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14:paraId="1D08F729" w14:textId="77777777" w:rsidR="00C85351" w:rsidRPr="003D1E07" w:rsidRDefault="00C85351" w:rsidP="00C92264">
      <w:pPr>
        <w:jc w:val="center"/>
        <w:rPr>
          <w:b/>
        </w:rPr>
      </w:pPr>
      <w:bookmarkStart w:id="0" w:name="_Toc464072367"/>
      <w:bookmarkStart w:id="1" w:name="OLE_LINK1"/>
      <w:bookmarkStart w:id="2" w:name="OLE_LINK2"/>
      <w:bookmarkStart w:id="3" w:name="_Toc93747265"/>
    </w:p>
    <w:p w14:paraId="7BFE9757" w14:textId="77777777" w:rsidR="00C85351" w:rsidRPr="003D1E07" w:rsidRDefault="00C85351" w:rsidP="00C92264">
      <w:pPr>
        <w:jc w:val="center"/>
        <w:rPr>
          <w:b/>
        </w:rPr>
      </w:pPr>
    </w:p>
    <w:p w14:paraId="7100CE54" w14:textId="77777777" w:rsidR="00C85351" w:rsidRPr="003D1E07" w:rsidRDefault="00C85351" w:rsidP="00C92264">
      <w:pPr>
        <w:jc w:val="center"/>
        <w:rPr>
          <w:b/>
        </w:rPr>
      </w:pPr>
    </w:p>
    <w:p w14:paraId="46F851BE" w14:textId="77777777" w:rsidR="00C85351" w:rsidRPr="003D1E07" w:rsidRDefault="00C85351" w:rsidP="00C92264">
      <w:pPr>
        <w:jc w:val="center"/>
        <w:rPr>
          <w:b/>
        </w:rPr>
      </w:pPr>
    </w:p>
    <w:p w14:paraId="7EA41496" w14:textId="5F35AC21" w:rsidR="00DF5BEB" w:rsidRPr="003D1E07" w:rsidRDefault="00DF5BEB" w:rsidP="00C92264">
      <w:pPr>
        <w:jc w:val="center"/>
        <w:rPr>
          <w:b/>
        </w:rPr>
      </w:pPr>
      <w:r w:rsidRPr="003D1E07">
        <w:rPr>
          <w:b/>
        </w:rPr>
        <w:t>Hermeneutika objektivity I.</w:t>
      </w:r>
    </w:p>
    <w:p w14:paraId="39317F3D" w14:textId="77777777" w:rsidR="00DF5BEB" w:rsidRPr="003D1E07" w:rsidRDefault="00DF5BEB" w:rsidP="00C92264">
      <w:pPr>
        <w:jc w:val="center"/>
        <w:rPr>
          <w:b/>
        </w:rPr>
      </w:pPr>
    </w:p>
    <w:p w14:paraId="72998D88" w14:textId="77B6C1B0" w:rsidR="00DF5BEB" w:rsidRPr="003D1E07" w:rsidRDefault="00DF5BEB" w:rsidP="00C92264">
      <w:pPr>
        <w:jc w:val="center"/>
        <w:rPr>
          <w:b/>
        </w:rPr>
      </w:pPr>
      <w:r w:rsidRPr="003D1E07">
        <w:rPr>
          <w:b/>
        </w:rPr>
        <w:t>Božská komedie klasické metafyziky a tragédie falsafy</w:t>
      </w:r>
    </w:p>
    <w:p w14:paraId="3AEB1C34" w14:textId="77777777" w:rsidR="00DF5BEB" w:rsidRPr="003D1E07" w:rsidRDefault="00DF5BEB" w:rsidP="00C92264">
      <w:pPr>
        <w:jc w:val="center"/>
        <w:rPr>
          <w:b/>
          <w:szCs w:val="24"/>
          <w:lang w:eastAsia="en-US"/>
        </w:rPr>
      </w:pPr>
    </w:p>
    <w:p w14:paraId="68A5D6F2" w14:textId="77777777" w:rsidR="00DF5BEB" w:rsidRPr="003D1E07" w:rsidRDefault="00DF5BEB" w:rsidP="00C92264">
      <w:pPr>
        <w:jc w:val="center"/>
        <w:rPr>
          <w:b/>
          <w:szCs w:val="24"/>
          <w:lang w:eastAsia="en-US"/>
        </w:rPr>
      </w:pPr>
    </w:p>
    <w:p w14:paraId="07D77FA3" w14:textId="77777777" w:rsidR="00DF5BEB" w:rsidRPr="003D1E07" w:rsidRDefault="00DF5BEB" w:rsidP="00C92264">
      <w:pPr>
        <w:jc w:val="center"/>
        <w:rPr>
          <w:b/>
          <w:szCs w:val="24"/>
          <w:lang w:eastAsia="en-US"/>
        </w:rPr>
      </w:pPr>
      <w:r w:rsidRPr="003D1E07">
        <w:rPr>
          <w:b/>
          <w:szCs w:val="24"/>
          <w:lang w:eastAsia="en-US"/>
        </w:rPr>
        <w:t>Václav Umlauf</w:t>
      </w:r>
    </w:p>
    <w:p w14:paraId="47680586" w14:textId="77777777" w:rsidR="00DF5BEB" w:rsidRPr="003D1E07" w:rsidRDefault="00DF5BEB" w:rsidP="00C92264">
      <w:pPr>
        <w:jc w:val="center"/>
        <w:rPr>
          <w:b/>
        </w:rPr>
      </w:pPr>
    </w:p>
    <w:p w14:paraId="7CA8CDC0" w14:textId="77777777" w:rsidR="00DF5BEB" w:rsidRPr="003D1E07" w:rsidRDefault="00DF5BEB" w:rsidP="00C92264">
      <w:pPr>
        <w:jc w:val="center"/>
        <w:rPr>
          <w:b/>
        </w:rPr>
      </w:pPr>
    </w:p>
    <w:p w14:paraId="79EAFC65" w14:textId="77777777" w:rsidR="00CD38D8" w:rsidRPr="003D1E07" w:rsidRDefault="00CD38D8" w:rsidP="002A39F7">
      <w:pPr>
        <w:jc w:val="center"/>
        <w:rPr>
          <w:b/>
        </w:rPr>
      </w:pPr>
    </w:p>
    <w:p w14:paraId="46E1A4C7" w14:textId="77777777" w:rsidR="00CD38D8" w:rsidRPr="003D1E07" w:rsidRDefault="00CD38D8" w:rsidP="002A39F7">
      <w:pPr>
        <w:jc w:val="center"/>
        <w:rPr>
          <w:b/>
        </w:rPr>
      </w:pPr>
    </w:p>
    <w:p w14:paraId="597B4A52" w14:textId="77777777" w:rsidR="00CD38D8" w:rsidRPr="003D1E07" w:rsidRDefault="00CD38D8" w:rsidP="002A39F7">
      <w:pPr>
        <w:jc w:val="center"/>
        <w:rPr>
          <w:b/>
        </w:rPr>
      </w:pPr>
    </w:p>
    <w:p w14:paraId="69DF186F" w14:textId="77777777" w:rsidR="00CD38D8" w:rsidRPr="003D1E07" w:rsidRDefault="00CD38D8" w:rsidP="002A39F7">
      <w:pPr>
        <w:jc w:val="center"/>
        <w:rPr>
          <w:b/>
        </w:rPr>
      </w:pPr>
    </w:p>
    <w:p w14:paraId="2EB942B3" w14:textId="77777777" w:rsidR="00CD38D8" w:rsidRPr="003D1E07" w:rsidRDefault="00CD38D8" w:rsidP="002A39F7">
      <w:pPr>
        <w:jc w:val="center"/>
        <w:rPr>
          <w:b/>
        </w:rPr>
      </w:pPr>
    </w:p>
    <w:p w14:paraId="1440A7D8" w14:textId="77777777" w:rsidR="00CD38D8" w:rsidRPr="003D1E07" w:rsidRDefault="00CD38D8" w:rsidP="002A39F7">
      <w:pPr>
        <w:jc w:val="center"/>
        <w:rPr>
          <w:b/>
        </w:rPr>
      </w:pPr>
    </w:p>
    <w:p w14:paraId="401B7D86" w14:textId="77777777" w:rsidR="002A39F7" w:rsidRPr="003D1E07" w:rsidRDefault="002A39F7" w:rsidP="002A39F7">
      <w:pPr>
        <w:jc w:val="center"/>
        <w:rPr>
          <w:b/>
        </w:rPr>
      </w:pPr>
      <w:r w:rsidRPr="003D1E07">
        <w:rPr>
          <w:b/>
        </w:rPr>
        <w:t>(Logo)</w:t>
      </w:r>
    </w:p>
    <w:p w14:paraId="72EA4A6A" w14:textId="77777777" w:rsidR="00DF5BEB" w:rsidRPr="003D1E07" w:rsidRDefault="00DF5BEB" w:rsidP="00C92264">
      <w:pPr>
        <w:jc w:val="center"/>
        <w:rPr>
          <w:b/>
        </w:rPr>
      </w:pPr>
    </w:p>
    <w:p w14:paraId="2135B487" w14:textId="77777777" w:rsidR="00DF5BEB" w:rsidRPr="003D1E07" w:rsidRDefault="00DF5BEB" w:rsidP="00C92264">
      <w:pPr>
        <w:jc w:val="center"/>
        <w:rPr>
          <w:b/>
        </w:rPr>
      </w:pPr>
    </w:p>
    <w:p w14:paraId="719C7F3A" w14:textId="77777777" w:rsidR="00FF3CCE" w:rsidRPr="003D1E07" w:rsidRDefault="00DF5BEB" w:rsidP="00243F54">
      <w:pPr>
        <w:jc w:val="center"/>
        <w:rPr>
          <w:b/>
        </w:rPr>
      </w:pPr>
      <w:r w:rsidRPr="003D1E07">
        <w:rPr>
          <w:b/>
        </w:rPr>
        <w:t>Praha 2022</w:t>
      </w:r>
      <w:r w:rsidRPr="003D1E07">
        <w:rPr>
          <w:b/>
        </w:rPr>
        <w:br w:type="page"/>
      </w:r>
    </w:p>
    <w:p w14:paraId="2A284D43" w14:textId="77777777" w:rsidR="009A19F1" w:rsidRPr="003D1E07" w:rsidRDefault="009A19F1" w:rsidP="00FF3CCE">
      <w:pPr>
        <w:jc w:val="left"/>
        <w:rPr>
          <w:b/>
        </w:rPr>
      </w:pPr>
    </w:p>
    <w:p w14:paraId="6728BC82" w14:textId="77777777" w:rsidR="009A19F1" w:rsidRPr="003D1E07" w:rsidRDefault="009A19F1" w:rsidP="00FF3CCE">
      <w:pPr>
        <w:jc w:val="left"/>
        <w:rPr>
          <w:b/>
        </w:rPr>
      </w:pPr>
    </w:p>
    <w:p w14:paraId="4B227384" w14:textId="1BC9D087" w:rsidR="00DF5BEB" w:rsidRPr="003D1E07" w:rsidRDefault="00DF5BEB" w:rsidP="00FF3CCE">
      <w:pPr>
        <w:jc w:val="left"/>
        <w:rPr>
          <w:b/>
        </w:rPr>
      </w:pPr>
      <w:r w:rsidRPr="003D1E07">
        <w:rPr>
          <w:b/>
        </w:rPr>
        <w:t>HERMAION</w:t>
      </w:r>
      <w:r w:rsidRPr="003D1E07">
        <w:rPr>
          <w:b/>
        </w:rPr>
        <w:cr/>
        <w:t>adresa</w:t>
      </w:r>
    </w:p>
    <w:p w14:paraId="35393820" w14:textId="77777777" w:rsidR="00481582" w:rsidRPr="003D1E07" w:rsidRDefault="00481582" w:rsidP="00701D96">
      <w:pPr>
        <w:rPr>
          <w:lang w:eastAsia="en-US"/>
        </w:rPr>
      </w:pPr>
    </w:p>
    <w:p w14:paraId="58FF44D2" w14:textId="56A28E48" w:rsidR="00481582" w:rsidRPr="003D1E07" w:rsidRDefault="00481582" w:rsidP="00701D96">
      <w:pPr>
        <w:rPr>
          <w:lang w:eastAsia="en-US"/>
        </w:rPr>
      </w:pPr>
      <w:r w:rsidRPr="003D1E07">
        <w:rPr>
          <w:lang w:eastAsia="en-US"/>
        </w:rPr>
        <w:t>Knihy lze zakoupit v internetovém knihkupectví</w:t>
      </w:r>
    </w:p>
    <w:p w14:paraId="479BFB3F" w14:textId="77777777" w:rsidR="00701D96" w:rsidRPr="003D1E07" w:rsidRDefault="00770CD2" w:rsidP="00701D96">
      <w:pPr>
        <w:rPr>
          <w:lang w:eastAsia="en-US"/>
        </w:rPr>
      </w:pPr>
      <w:hyperlink r:id="rId9" w:history="1">
        <w:r w:rsidR="00701D96" w:rsidRPr="003D1E07">
          <w:rPr>
            <w:rStyle w:val="Hypertextovodkaz"/>
            <w:lang w:eastAsia="en-US"/>
          </w:rPr>
          <w:t>www.hermaion.cz</w:t>
        </w:r>
      </w:hyperlink>
    </w:p>
    <w:p w14:paraId="6FD15E85" w14:textId="62A0A30C" w:rsidR="00DF5BEB" w:rsidRPr="003D1E07" w:rsidRDefault="00DF5BEB" w:rsidP="00C92264">
      <w:pPr>
        <w:jc w:val="left"/>
        <w:rPr>
          <w:b/>
        </w:rPr>
      </w:pPr>
    </w:p>
    <w:p w14:paraId="33514B4B" w14:textId="77777777" w:rsidR="00DF5BEB" w:rsidRPr="003D1E07" w:rsidRDefault="00DF5BEB" w:rsidP="00C92264">
      <w:pPr>
        <w:rPr>
          <w:b/>
        </w:rPr>
      </w:pPr>
    </w:p>
    <w:p w14:paraId="50C25ACE" w14:textId="77777777" w:rsidR="00DF5BEB" w:rsidRPr="003D1E07" w:rsidRDefault="00DF5BEB" w:rsidP="00C92264">
      <w:pPr>
        <w:rPr>
          <w:b/>
        </w:rPr>
      </w:pPr>
    </w:p>
    <w:p w14:paraId="3F64CF26" w14:textId="77777777" w:rsidR="00C85351" w:rsidRPr="003D1E07" w:rsidRDefault="00C85351" w:rsidP="00C92264">
      <w:pPr>
        <w:rPr>
          <w:b/>
        </w:rPr>
      </w:pPr>
    </w:p>
    <w:p w14:paraId="196BB894" w14:textId="77777777" w:rsidR="00C85351" w:rsidRPr="003D1E07" w:rsidRDefault="00C85351" w:rsidP="00C92264">
      <w:pPr>
        <w:rPr>
          <w:b/>
        </w:rPr>
      </w:pPr>
    </w:p>
    <w:p w14:paraId="5494BC16" w14:textId="77777777" w:rsidR="00C85351" w:rsidRPr="003D1E07" w:rsidRDefault="00C85351" w:rsidP="00C92264">
      <w:pPr>
        <w:rPr>
          <w:b/>
        </w:rPr>
      </w:pPr>
    </w:p>
    <w:p w14:paraId="69008C47" w14:textId="77777777" w:rsidR="00C85351" w:rsidRPr="003D1E07" w:rsidRDefault="00C85351" w:rsidP="00C92264">
      <w:pPr>
        <w:rPr>
          <w:b/>
        </w:rPr>
      </w:pPr>
    </w:p>
    <w:p w14:paraId="55127C66" w14:textId="77777777" w:rsidR="00C85351" w:rsidRPr="003D1E07" w:rsidRDefault="00C85351" w:rsidP="00C92264">
      <w:pPr>
        <w:rPr>
          <w:b/>
        </w:rPr>
      </w:pPr>
    </w:p>
    <w:p w14:paraId="413B3184" w14:textId="77777777" w:rsidR="00C85351" w:rsidRPr="003D1E07" w:rsidRDefault="00C85351" w:rsidP="00C92264">
      <w:pPr>
        <w:rPr>
          <w:b/>
        </w:rPr>
      </w:pPr>
    </w:p>
    <w:p w14:paraId="16E77457" w14:textId="77777777" w:rsidR="00C85351" w:rsidRPr="003D1E07" w:rsidRDefault="00C85351" w:rsidP="00C92264">
      <w:pPr>
        <w:rPr>
          <w:b/>
        </w:rPr>
      </w:pPr>
    </w:p>
    <w:p w14:paraId="4866E9D9" w14:textId="77777777" w:rsidR="00C85351" w:rsidRPr="003D1E07" w:rsidRDefault="00C85351" w:rsidP="00C92264">
      <w:pPr>
        <w:rPr>
          <w:b/>
        </w:rPr>
      </w:pPr>
    </w:p>
    <w:p w14:paraId="5B473547" w14:textId="7CDA0240" w:rsidR="00B572A4" w:rsidRPr="003D1E07" w:rsidRDefault="00B572A4" w:rsidP="00C92264">
      <w:pPr>
        <w:rPr>
          <w:b/>
        </w:rPr>
      </w:pPr>
      <w:r w:rsidRPr="003D1E07">
        <w:rPr>
          <w:b/>
        </w:rPr>
        <w:t>Copyright© 2022 Hermaion. All Rights reserved.</w:t>
      </w:r>
      <w:r w:rsidRPr="003D1E07">
        <w:rPr>
          <w:b/>
        </w:rPr>
        <w:cr/>
      </w:r>
    </w:p>
    <w:p w14:paraId="7E1FA5DF" w14:textId="57070372" w:rsidR="00B572A4" w:rsidRPr="003D1E07" w:rsidRDefault="00B572A4" w:rsidP="00C92264">
      <w:pPr>
        <w:rPr>
          <w:b/>
        </w:rPr>
      </w:pPr>
      <w:r w:rsidRPr="003D1E07">
        <w:rPr>
          <w:b/>
        </w:rPr>
        <w:t>ISBN ....(E-book)</w:t>
      </w:r>
    </w:p>
    <w:p w14:paraId="5098E202" w14:textId="271A06EA" w:rsidR="00DF5BEB" w:rsidRPr="003D1E07" w:rsidRDefault="00DF5BEB" w:rsidP="00C92264">
      <w:pPr>
        <w:rPr>
          <w:b/>
        </w:rPr>
      </w:pPr>
      <w:r w:rsidRPr="003D1E07">
        <w:rPr>
          <w:b/>
        </w:rPr>
        <w:t xml:space="preserve">ISBN </w:t>
      </w:r>
      <w:r w:rsidR="00B572A4" w:rsidRPr="003D1E07">
        <w:rPr>
          <w:b/>
        </w:rPr>
        <w:t>.....</w:t>
      </w:r>
      <w:r w:rsidRPr="003D1E07">
        <w:rPr>
          <w:b/>
        </w:rPr>
        <w:t>(brož.)</w:t>
      </w:r>
      <w:r w:rsidRPr="003D1E07">
        <w:rPr>
          <w:b/>
        </w:rPr>
        <w:cr/>
      </w:r>
    </w:p>
    <w:bookmarkEnd w:id="0"/>
    <w:bookmarkEnd w:id="1"/>
    <w:bookmarkEnd w:id="2"/>
    <w:bookmarkEnd w:id="3"/>
    <w:p w14:paraId="2919650D" w14:textId="308F9B47" w:rsidR="00C92264" w:rsidRPr="003D1E07" w:rsidRDefault="00DF5BEB" w:rsidP="00C92264">
      <w:pPr>
        <w:pStyle w:val="Nadpis3"/>
        <w:rPr>
          <w:lang w:val="cs-CZ"/>
        </w:rPr>
      </w:pPr>
      <w:r w:rsidRPr="003D1E07">
        <w:rPr>
          <w:i/>
          <w:lang w:val="cs-CZ"/>
        </w:rPr>
        <w:br w:type="page"/>
      </w:r>
      <w:bookmarkStart w:id="4" w:name="_Toc93747292"/>
      <w:bookmarkStart w:id="5" w:name="_Toc93748861"/>
      <w:bookmarkStart w:id="6" w:name="_Toc102906155"/>
      <w:r w:rsidR="00C92264" w:rsidRPr="003D1E07">
        <w:rPr>
          <w:lang w:val="cs-CZ"/>
        </w:rPr>
        <w:lastRenderedPageBreak/>
        <w:t>Obsah</w:t>
      </w:r>
      <w:bookmarkEnd w:id="4"/>
      <w:bookmarkEnd w:id="5"/>
      <w:r w:rsidR="00261E86">
        <w:rPr>
          <w:lang w:val="cs-CZ"/>
        </w:rPr>
        <w:t xml:space="preserve"> </w:t>
      </w:r>
      <w:r w:rsidR="00261E86" w:rsidRPr="00261E86">
        <w:rPr>
          <w:b w:val="0"/>
        </w:rPr>
        <w:t>(</w:t>
      </w:r>
      <w:r w:rsidR="00261E86" w:rsidRPr="00261E86">
        <w:rPr>
          <w:b w:val="0"/>
          <w:i/>
        </w:rPr>
        <w:t>do obsahu budou vždy přidané všechny tři díly</w:t>
      </w:r>
      <w:r w:rsidR="00261E86" w:rsidRPr="00261E86">
        <w:rPr>
          <w:b w:val="0"/>
          <w:i/>
          <w:lang w:val="cs-CZ"/>
        </w:rPr>
        <w:t>!</w:t>
      </w:r>
      <w:r w:rsidR="00261E86" w:rsidRPr="00261E86">
        <w:rPr>
          <w:b w:val="0"/>
        </w:rPr>
        <w:t>)</w:t>
      </w:r>
      <w:bookmarkEnd w:id="6"/>
    </w:p>
    <w:p w14:paraId="693EDD86" w14:textId="6FC805E2" w:rsidR="008B0AAE" w:rsidRPr="008B0AAE" w:rsidRDefault="00C92264" w:rsidP="008B0AAE">
      <w:pPr>
        <w:pStyle w:val="Obsah3"/>
        <w:tabs>
          <w:tab w:val="right" w:leader="dot" w:pos="9061"/>
        </w:tabs>
        <w:spacing w:line="240" w:lineRule="auto"/>
        <w:ind w:left="0"/>
        <w:rPr>
          <w:rStyle w:val="Hypertextovodkaz"/>
          <w:b/>
          <w:bCs/>
          <w:caps/>
        </w:rPr>
      </w:pPr>
      <w:r w:rsidRPr="003D1E07">
        <w:fldChar w:fldCharType="begin"/>
      </w:r>
      <w:r w:rsidRPr="003D1E07">
        <w:instrText xml:space="preserve"> TOC \o "1-3" \h \z \u </w:instrText>
      </w:r>
      <w:r w:rsidRPr="003D1E07">
        <w:fldChar w:fldCharType="separate"/>
      </w:r>
      <w:hyperlink w:anchor="_Toc102906156" w:history="1">
        <w:r w:rsidR="008B0AAE" w:rsidRPr="008B0AAE">
          <w:rPr>
            <w:rStyle w:val="Hypertextovodkaz"/>
            <w:b/>
            <w:bCs/>
            <w:i w:val="0"/>
            <w:iCs w:val="0"/>
            <w:caps/>
          </w:rPr>
          <w:t>1. Prolegomena k</w:t>
        </w:r>
        <w:r w:rsidR="00FC184B">
          <w:rPr>
            <w:rStyle w:val="Hypertextovodkaz"/>
            <w:b/>
            <w:bCs/>
            <w:i w:val="0"/>
            <w:iCs w:val="0"/>
            <w:caps/>
          </w:rPr>
          <w:t> hermeneutice objektivity</w:t>
        </w:r>
        <w:r w:rsidR="008B0AAE" w:rsidRPr="008B0AAE">
          <w:rPr>
            <w:rStyle w:val="Hypertextovodkaz"/>
            <w:b/>
            <w:bCs/>
            <w:i w:val="0"/>
            <w:iCs w:val="0"/>
            <w:caps/>
            <w:webHidden/>
          </w:rPr>
          <w:tab/>
        </w:r>
        <w:r w:rsidR="008B0AAE" w:rsidRPr="008B0AAE">
          <w:rPr>
            <w:rStyle w:val="Hypertextovodkaz"/>
            <w:b/>
            <w:bCs/>
            <w:i w:val="0"/>
            <w:iCs w:val="0"/>
            <w:caps/>
            <w:webHidden/>
          </w:rPr>
          <w:fldChar w:fldCharType="begin"/>
        </w:r>
        <w:r w:rsidR="008B0AAE" w:rsidRPr="008B0AAE">
          <w:rPr>
            <w:rStyle w:val="Hypertextovodkaz"/>
            <w:b/>
            <w:bCs/>
            <w:i w:val="0"/>
            <w:iCs w:val="0"/>
            <w:caps/>
            <w:webHidden/>
          </w:rPr>
          <w:instrText xml:space="preserve"> PAGEREF _Toc102906156 \h </w:instrText>
        </w:r>
        <w:r w:rsidR="008B0AAE" w:rsidRPr="008B0AAE">
          <w:rPr>
            <w:rStyle w:val="Hypertextovodkaz"/>
            <w:b/>
            <w:bCs/>
            <w:i w:val="0"/>
            <w:iCs w:val="0"/>
            <w:caps/>
            <w:webHidden/>
          </w:rPr>
        </w:r>
        <w:r w:rsidR="008B0AAE" w:rsidRPr="008B0AAE">
          <w:rPr>
            <w:rStyle w:val="Hypertextovodkaz"/>
            <w:b/>
            <w:bCs/>
            <w:i w:val="0"/>
            <w:iCs w:val="0"/>
            <w:caps/>
            <w:webHidden/>
          </w:rPr>
          <w:fldChar w:fldCharType="separate"/>
        </w:r>
        <w:r w:rsidR="008B0AAE" w:rsidRPr="008B0AAE">
          <w:rPr>
            <w:rStyle w:val="Hypertextovodkaz"/>
            <w:b/>
            <w:bCs/>
            <w:i w:val="0"/>
            <w:iCs w:val="0"/>
            <w:caps/>
            <w:webHidden/>
          </w:rPr>
          <w:t>11</w:t>
        </w:r>
        <w:r w:rsidR="008B0AAE" w:rsidRPr="008B0AAE">
          <w:rPr>
            <w:rStyle w:val="Hypertextovodkaz"/>
            <w:b/>
            <w:bCs/>
            <w:i w:val="0"/>
            <w:iCs w:val="0"/>
            <w:caps/>
            <w:webHidden/>
          </w:rPr>
          <w:fldChar w:fldCharType="end"/>
        </w:r>
      </w:hyperlink>
    </w:p>
    <w:p w14:paraId="2BC556C4" w14:textId="46D0AAA9" w:rsidR="008B0AAE" w:rsidRDefault="00770CD2" w:rsidP="008B0AAE">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02906157" w:history="1">
        <w:r w:rsidR="008B0AAE" w:rsidRPr="000F4C88">
          <w:rPr>
            <w:rStyle w:val="Hypertextovodkaz"/>
          </w:rPr>
          <w:t>1.1 Triadická struktura hermeneutiky</w:t>
        </w:r>
        <w:r w:rsidR="008B0AAE">
          <w:rPr>
            <w:webHidden/>
          </w:rPr>
          <w:tab/>
        </w:r>
        <w:r w:rsidR="008B0AAE">
          <w:rPr>
            <w:webHidden/>
          </w:rPr>
          <w:fldChar w:fldCharType="begin"/>
        </w:r>
        <w:r w:rsidR="008B0AAE">
          <w:rPr>
            <w:webHidden/>
          </w:rPr>
          <w:instrText xml:space="preserve"> PAGEREF _Toc102906157 \h </w:instrText>
        </w:r>
        <w:r w:rsidR="008B0AAE">
          <w:rPr>
            <w:webHidden/>
          </w:rPr>
        </w:r>
        <w:r w:rsidR="008B0AAE">
          <w:rPr>
            <w:webHidden/>
          </w:rPr>
          <w:fldChar w:fldCharType="separate"/>
        </w:r>
        <w:r w:rsidR="008B0AAE">
          <w:rPr>
            <w:webHidden/>
          </w:rPr>
          <w:t>37</w:t>
        </w:r>
        <w:r w:rsidR="008B0AAE">
          <w:rPr>
            <w:webHidden/>
          </w:rPr>
          <w:fldChar w:fldCharType="end"/>
        </w:r>
      </w:hyperlink>
    </w:p>
    <w:p w14:paraId="4C9E650F" w14:textId="77777777" w:rsidR="008B0AAE" w:rsidRDefault="00770CD2" w:rsidP="008B0AAE">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02906158" w:history="1">
        <w:r w:rsidR="008B0AAE" w:rsidRPr="000F4C88">
          <w:rPr>
            <w:rStyle w:val="Hypertextovodkaz"/>
          </w:rPr>
          <w:t xml:space="preserve">1.2 Metafyzika a </w:t>
        </w:r>
        <w:r w:rsidR="008B0AAE" w:rsidRPr="000F4C88">
          <w:rPr>
            <w:rStyle w:val="Hypertextovodkaz"/>
            <w:i/>
          </w:rPr>
          <w:t>tertium ens</w:t>
        </w:r>
        <w:r w:rsidR="008B0AAE">
          <w:rPr>
            <w:webHidden/>
          </w:rPr>
          <w:tab/>
        </w:r>
        <w:r w:rsidR="008B0AAE">
          <w:rPr>
            <w:webHidden/>
          </w:rPr>
          <w:fldChar w:fldCharType="begin"/>
        </w:r>
        <w:r w:rsidR="008B0AAE">
          <w:rPr>
            <w:webHidden/>
          </w:rPr>
          <w:instrText xml:space="preserve"> PAGEREF _Toc102906158 \h </w:instrText>
        </w:r>
        <w:r w:rsidR="008B0AAE">
          <w:rPr>
            <w:webHidden/>
          </w:rPr>
        </w:r>
        <w:r w:rsidR="008B0AAE">
          <w:rPr>
            <w:webHidden/>
          </w:rPr>
          <w:fldChar w:fldCharType="separate"/>
        </w:r>
        <w:r w:rsidR="008B0AAE">
          <w:rPr>
            <w:webHidden/>
          </w:rPr>
          <w:t>51</w:t>
        </w:r>
        <w:r w:rsidR="008B0AAE">
          <w:rPr>
            <w:webHidden/>
          </w:rPr>
          <w:fldChar w:fldCharType="end"/>
        </w:r>
      </w:hyperlink>
    </w:p>
    <w:p w14:paraId="7397D1B4" w14:textId="77777777" w:rsidR="008B0AAE" w:rsidRDefault="00770CD2" w:rsidP="008B0AAE">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02906159" w:history="1">
        <w:r w:rsidR="008B0AAE" w:rsidRPr="000F4C88">
          <w:rPr>
            <w:rStyle w:val="Hypertextovodkaz"/>
          </w:rPr>
          <w:t>1.3 Prehistorie objektivity</w:t>
        </w:r>
        <w:r w:rsidR="008B0AAE">
          <w:rPr>
            <w:webHidden/>
          </w:rPr>
          <w:tab/>
        </w:r>
        <w:r w:rsidR="008B0AAE">
          <w:rPr>
            <w:webHidden/>
          </w:rPr>
          <w:fldChar w:fldCharType="begin"/>
        </w:r>
        <w:r w:rsidR="008B0AAE">
          <w:rPr>
            <w:webHidden/>
          </w:rPr>
          <w:instrText xml:space="preserve"> PAGEREF _Toc102906159 \h </w:instrText>
        </w:r>
        <w:r w:rsidR="008B0AAE">
          <w:rPr>
            <w:webHidden/>
          </w:rPr>
        </w:r>
        <w:r w:rsidR="008B0AAE">
          <w:rPr>
            <w:webHidden/>
          </w:rPr>
          <w:fldChar w:fldCharType="separate"/>
        </w:r>
        <w:r w:rsidR="008B0AAE">
          <w:rPr>
            <w:webHidden/>
          </w:rPr>
          <w:t>79</w:t>
        </w:r>
        <w:r w:rsidR="008B0AAE">
          <w:rPr>
            <w:webHidden/>
          </w:rPr>
          <w:fldChar w:fldCharType="end"/>
        </w:r>
      </w:hyperlink>
    </w:p>
    <w:p w14:paraId="2254DDC1" w14:textId="77777777" w:rsidR="008B0AAE" w:rsidRDefault="00770CD2" w:rsidP="008B0AAE">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60" w:history="1">
        <w:r w:rsidR="008B0AAE" w:rsidRPr="000F4C88">
          <w:rPr>
            <w:rStyle w:val="Hypertextovodkaz"/>
          </w:rPr>
          <w:t>1.3.1 Zásvětí objektivity</w:t>
        </w:r>
        <w:r w:rsidR="008B0AAE">
          <w:rPr>
            <w:webHidden/>
          </w:rPr>
          <w:tab/>
        </w:r>
        <w:r w:rsidR="008B0AAE">
          <w:rPr>
            <w:webHidden/>
          </w:rPr>
          <w:fldChar w:fldCharType="begin"/>
        </w:r>
        <w:r w:rsidR="008B0AAE">
          <w:rPr>
            <w:webHidden/>
          </w:rPr>
          <w:instrText xml:space="preserve"> PAGEREF _Toc102906160 \h </w:instrText>
        </w:r>
        <w:r w:rsidR="008B0AAE">
          <w:rPr>
            <w:webHidden/>
          </w:rPr>
        </w:r>
        <w:r w:rsidR="008B0AAE">
          <w:rPr>
            <w:webHidden/>
          </w:rPr>
          <w:fldChar w:fldCharType="separate"/>
        </w:r>
        <w:r w:rsidR="008B0AAE">
          <w:rPr>
            <w:webHidden/>
          </w:rPr>
          <w:t>112</w:t>
        </w:r>
        <w:r w:rsidR="008B0AAE">
          <w:rPr>
            <w:webHidden/>
          </w:rPr>
          <w:fldChar w:fldCharType="end"/>
        </w:r>
      </w:hyperlink>
    </w:p>
    <w:p w14:paraId="2CCBF63A" w14:textId="62A9E373" w:rsidR="008B0AAE" w:rsidRDefault="00770CD2" w:rsidP="008B0AAE">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61" w:history="1">
        <w:r w:rsidR="008B0AAE" w:rsidRPr="000F4C88">
          <w:rPr>
            <w:rStyle w:val="Hypertextovodkaz"/>
          </w:rPr>
          <w:t xml:space="preserve">1.3.2 </w:t>
        </w:r>
        <w:r w:rsidR="000D360B">
          <w:t>Kosmologická s</w:t>
        </w:r>
        <w:r w:rsidR="008B0AAE" w:rsidRPr="000F4C88">
          <w:rPr>
            <w:rStyle w:val="Hypertextovodkaz"/>
          </w:rPr>
          <w:t>ubstance třetího druhu</w:t>
        </w:r>
        <w:r w:rsidR="008B0AAE">
          <w:rPr>
            <w:webHidden/>
          </w:rPr>
          <w:tab/>
        </w:r>
        <w:r w:rsidR="008B0AAE">
          <w:rPr>
            <w:webHidden/>
          </w:rPr>
          <w:fldChar w:fldCharType="begin"/>
        </w:r>
        <w:r w:rsidR="008B0AAE">
          <w:rPr>
            <w:webHidden/>
          </w:rPr>
          <w:instrText xml:space="preserve"> PAGEREF _Toc102906161 \h </w:instrText>
        </w:r>
        <w:r w:rsidR="008B0AAE">
          <w:rPr>
            <w:webHidden/>
          </w:rPr>
        </w:r>
        <w:r w:rsidR="008B0AAE">
          <w:rPr>
            <w:webHidden/>
          </w:rPr>
          <w:fldChar w:fldCharType="separate"/>
        </w:r>
        <w:r w:rsidR="008B0AAE">
          <w:rPr>
            <w:webHidden/>
          </w:rPr>
          <w:t>126</w:t>
        </w:r>
        <w:r w:rsidR="008B0AAE">
          <w:rPr>
            <w:webHidden/>
          </w:rPr>
          <w:fldChar w:fldCharType="end"/>
        </w:r>
      </w:hyperlink>
    </w:p>
    <w:p w14:paraId="27B1E2FE" w14:textId="77777777" w:rsidR="008B0AAE" w:rsidRDefault="00770CD2" w:rsidP="008B0AAE">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62" w:history="1">
        <w:r w:rsidR="008B0AAE" w:rsidRPr="000F4C88">
          <w:rPr>
            <w:rStyle w:val="Hypertextovodkaz"/>
          </w:rPr>
          <w:t>1.3.3 Založení objektivní fyziky</w:t>
        </w:r>
        <w:r w:rsidR="008B0AAE">
          <w:rPr>
            <w:webHidden/>
          </w:rPr>
          <w:tab/>
        </w:r>
        <w:r w:rsidR="008B0AAE">
          <w:rPr>
            <w:webHidden/>
          </w:rPr>
          <w:fldChar w:fldCharType="begin"/>
        </w:r>
        <w:r w:rsidR="008B0AAE">
          <w:rPr>
            <w:webHidden/>
          </w:rPr>
          <w:instrText xml:space="preserve"> PAGEREF _Toc102906162 \h </w:instrText>
        </w:r>
        <w:r w:rsidR="008B0AAE">
          <w:rPr>
            <w:webHidden/>
          </w:rPr>
        </w:r>
        <w:r w:rsidR="008B0AAE">
          <w:rPr>
            <w:webHidden/>
          </w:rPr>
          <w:fldChar w:fldCharType="separate"/>
        </w:r>
        <w:r w:rsidR="008B0AAE">
          <w:rPr>
            <w:webHidden/>
          </w:rPr>
          <w:t>149</w:t>
        </w:r>
        <w:r w:rsidR="008B0AAE">
          <w:rPr>
            <w:webHidden/>
          </w:rPr>
          <w:fldChar w:fldCharType="end"/>
        </w:r>
      </w:hyperlink>
    </w:p>
    <w:p w14:paraId="6E5DEE88" w14:textId="3E0C19B9" w:rsidR="008B0AAE" w:rsidRDefault="00770CD2" w:rsidP="008B0AAE">
      <w:pPr>
        <w:pStyle w:val="Obsah1"/>
        <w:tabs>
          <w:tab w:val="right" w:leader="dot" w:pos="9061"/>
        </w:tabs>
        <w:spacing w:line="240" w:lineRule="auto"/>
        <w:rPr>
          <w:rFonts w:asciiTheme="minorHAnsi" w:eastAsiaTheme="minorEastAsia" w:hAnsiTheme="minorHAnsi" w:cstheme="minorBidi"/>
          <w:b w:val="0"/>
          <w:bCs w:val="0"/>
          <w:caps w:val="0"/>
          <w:sz w:val="22"/>
          <w:szCs w:val="22"/>
        </w:rPr>
      </w:pPr>
      <w:hyperlink w:anchor="_Toc102906163" w:history="1">
        <w:r w:rsidR="008B0AAE" w:rsidRPr="000F4C88">
          <w:rPr>
            <w:rStyle w:val="Hypertextovodkaz"/>
          </w:rPr>
          <w:t xml:space="preserve">2. </w:t>
        </w:r>
        <w:r w:rsidR="00A41B24">
          <w:t xml:space="preserve">Falsafa a osud </w:t>
        </w:r>
        <w:r w:rsidR="00A41B24" w:rsidRPr="003D1E07">
          <w:t>metafyziky</w:t>
        </w:r>
        <w:r w:rsidR="008B0AAE">
          <w:rPr>
            <w:webHidden/>
          </w:rPr>
          <w:tab/>
        </w:r>
        <w:r w:rsidR="008B0AAE">
          <w:rPr>
            <w:webHidden/>
          </w:rPr>
          <w:fldChar w:fldCharType="begin"/>
        </w:r>
        <w:r w:rsidR="008B0AAE">
          <w:rPr>
            <w:webHidden/>
          </w:rPr>
          <w:instrText xml:space="preserve"> PAGEREF _Toc102906163 \h </w:instrText>
        </w:r>
        <w:r w:rsidR="008B0AAE">
          <w:rPr>
            <w:webHidden/>
          </w:rPr>
        </w:r>
        <w:r w:rsidR="008B0AAE">
          <w:rPr>
            <w:webHidden/>
          </w:rPr>
          <w:fldChar w:fldCharType="separate"/>
        </w:r>
        <w:r w:rsidR="008B0AAE">
          <w:rPr>
            <w:webHidden/>
          </w:rPr>
          <w:t>167</w:t>
        </w:r>
        <w:r w:rsidR="008B0AAE">
          <w:rPr>
            <w:webHidden/>
          </w:rPr>
          <w:fldChar w:fldCharType="end"/>
        </w:r>
      </w:hyperlink>
    </w:p>
    <w:p w14:paraId="2494C374" w14:textId="77777777" w:rsidR="008B0AAE" w:rsidRDefault="00770CD2" w:rsidP="008B0AAE">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02906164" w:history="1">
        <w:r w:rsidR="008B0AAE" w:rsidRPr="000F4C88">
          <w:rPr>
            <w:rStyle w:val="Hypertextovodkaz"/>
          </w:rPr>
          <w:t>2.1 Ambivalentní koncept substance a metafyziky (Al-Fárábí)</w:t>
        </w:r>
        <w:r w:rsidR="008B0AAE">
          <w:rPr>
            <w:webHidden/>
          </w:rPr>
          <w:tab/>
        </w:r>
        <w:r w:rsidR="008B0AAE">
          <w:rPr>
            <w:webHidden/>
          </w:rPr>
          <w:fldChar w:fldCharType="begin"/>
        </w:r>
        <w:r w:rsidR="008B0AAE">
          <w:rPr>
            <w:webHidden/>
          </w:rPr>
          <w:instrText xml:space="preserve"> PAGEREF _Toc102906164 \h </w:instrText>
        </w:r>
        <w:r w:rsidR="008B0AAE">
          <w:rPr>
            <w:webHidden/>
          </w:rPr>
        </w:r>
        <w:r w:rsidR="008B0AAE">
          <w:rPr>
            <w:webHidden/>
          </w:rPr>
          <w:fldChar w:fldCharType="separate"/>
        </w:r>
        <w:r w:rsidR="008B0AAE">
          <w:rPr>
            <w:webHidden/>
          </w:rPr>
          <w:t>170</w:t>
        </w:r>
        <w:r w:rsidR="008B0AAE">
          <w:rPr>
            <w:webHidden/>
          </w:rPr>
          <w:fldChar w:fldCharType="end"/>
        </w:r>
      </w:hyperlink>
    </w:p>
    <w:p w14:paraId="7A1B1047" w14:textId="77777777" w:rsidR="008B0AAE" w:rsidRDefault="00770CD2" w:rsidP="008B0AAE">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65" w:history="1">
        <w:r w:rsidR="008B0AAE" w:rsidRPr="000F4C88">
          <w:rPr>
            <w:rStyle w:val="Hypertextovodkaz"/>
          </w:rPr>
          <w:t>2.1.1 Vznik nového vidění světa</w:t>
        </w:r>
        <w:r w:rsidR="008B0AAE">
          <w:rPr>
            <w:webHidden/>
          </w:rPr>
          <w:tab/>
        </w:r>
        <w:r w:rsidR="008B0AAE">
          <w:rPr>
            <w:webHidden/>
          </w:rPr>
          <w:fldChar w:fldCharType="begin"/>
        </w:r>
        <w:r w:rsidR="008B0AAE">
          <w:rPr>
            <w:webHidden/>
          </w:rPr>
          <w:instrText xml:space="preserve"> PAGEREF _Toc102906165 \h </w:instrText>
        </w:r>
        <w:r w:rsidR="008B0AAE">
          <w:rPr>
            <w:webHidden/>
          </w:rPr>
        </w:r>
        <w:r w:rsidR="008B0AAE">
          <w:rPr>
            <w:webHidden/>
          </w:rPr>
          <w:fldChar w:fldCharType="separate"/>
        </w:r>
        <w:r w:rsidR="008B0AAE">
          <w:rPr>
            <w:webHidden/>
          </w:rPr>
          <w:t>179</w:t>
        </w:r>
        <w:r w:rsidR="008B0AAE">
          <w:rPr>
            <w:webHidden/>
          </w:rPr>
          <w:fldChar w:fldCharType="end"/>
        </w:r>
      </w:hyperlink>
    </w:p>
    <w:p w14:paraId="7B4C7D82" w14:textId="77777777" w:rsidR="008B0AAE" w:rsidRDefault="00770CD2" w:rsidP="008B0AAE">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66" w:history="1">
        <w:r w:rsidR="008B0AAE" w:rsidRPr="000F4C88">
          <w:rPr>
            <w:rStyle w:val="Hypertextovodkaz"/>
          </w:rPr>
          <w:t>2.1.2 Ontoteologický rozvrh metafyziky</w:t>
        </w:r>
        <w:r w:rsidR="008B0AAE">
          <w:rPr>
            <w:webHidden/>
          </w:rPr>
          <w:tab/>
        </w:r>
        <w:r w:rsidR="008B0AAE">
          <w:rPr>
            <w:webHidden/>
          </w:rPr>
          <w:fldChar w:fldCharType="begin"/>
        </w:r>
        <w:r w:rsidR="008B0AAE">
          <w:rPr>
            <w:webHidden/>
          </w:rPr>
          <w:instrText xml:space="preserve"> PAGEREF _Toc102906166 \h </w:instrText>
        </w:r>
        <w:r w:rsidR="008B0AAE">
          <w:rPr>
            <w:webHidden/>
          </w:rPr>
        </w:r>
        <w:r w:rsidR="008B0AAE">
          <w:rPr>
            <w:webHidden/>
          </w:rPr>
          <w:fldChar w:fldCharType="separate"/>
        </w:r>
        <w:r w:rsidR="008B0AAE">
          <w:rPr>
            <w:webHidden/>
          </w:rPr>
          <w:t>215</w:t>
        </w:r>
        <w:r w:rsidR="008B0AAE">
          <w:rPr>
            <w:webHidden/>
          </w:rPr>
          <w:fldChar w:fldCharType="end"/>
        </w:r>
      </w:hyperlink>
    </w:p>
    <w:p w14:paraId="4077DF09" w14:textId="77777777" w:rsidR="008B0AAE" w:rsidRDefault="00770CD2" w:rsidP="008B0AAE">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02906167" w:history="1">
        <w:r w:rsidR="008B0AAE" w:rsidRPr="000F4C88">
          <w:rPr>
            <w:rStyle w:val="Hypertextovodkaz"/>
          </w:rPr>
          <w:t>2.2 Ontoteologické určení jsoucna (Ibn Ádí)</w:t>
        </w:r>
        <w:r w:rsidR="008B0AAE">
          <w:rPr>
            <w:webHidden/>
          </w:rPr>
          <w:tab/>
        </w:r>
        <w:r w:rsidR="008B0AAE">
          <w:rPr>
            <w:webHidden/>
          </w:rPr>
          <w:fldChar w:fldCharType="begin"/>
        </w:r>
        <w:r w:rsidR="008B0AAE">
          <w:rPr>
            <w:webHidden/>
          </w:rPr>
          <w:instrText xml:space="preserve"> PAGEREF _Toc102906167 \h </w:instrText>
        </w:r>
        <w:r w:rsidR="008B0AAE">
          <w:rPr>
            <w:webHidden/>
          </w:rPr>
        </w:r>
        <w:r w:rsidR="008B0AAE">
          <w:rPr>
            <w:webHidden/>
          </w:rPr>
          <w:fldChar w:fldCharType="separate"/>
        </w:r>
        <w:r w:rsidR="008B0AAE">
          <w:rPr>
            <w:webHidden/>
          </w:rPr>
          <w:t>233</w:t>
        </w:r>
        <w:r w:rsidR="008B0AAE">
          <w:rPr>
            <w:webHidden/>
          </w:rPr>
          <w:fldChar w:fldCharType="end"/>
        </w:r>
      </w:hyperlink>
    </w:p>
    <w:p w14:paraId="51B42B05" w14:textId="77777777" w:rsidR="008B0AAE" w:rsidRDefault="00770CD2" w:rsidP="008B0AAE">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02906168" w:history="1">
        <w:r w:rsidR="008B0AAE" w:rsidRPr="000F4C88">
          <w:rPr>
            <w:rStyle w:val="Hypertextovodkaz"/>
          </w:rPr>
          <w:t>2.3 Metafyzika objektivního jsoucna (Avicenna)</w:t>
        </w:r>
        <w:r w:rsidR="008B0AAE">
          <w:rPr>
            <w:webHidden/>
          </w:rPr>
          <w:tab/>
        </w:r>
        <w:r w:rsidR="008B0AAE">
          <w:rPr>
            <w:webHidden/>
          </w:rPr>
          <w:fldChar w:fldCharType="begin"/>
        </w:r>
        <w:r w:rsidR="008B0AAE">
          <w:rPr>
            <w:webHidden/>
          </w:rPr>
          <w:instrText xml:space="preserve"> PAGEREF _Toc102906168 \h </w:instrText>
        </w:r>
        <w:r w:rsidR="008B0AAE">
          <w:rPr>
            <w:webHidden/>
          </w:rPr>
        </w:r>
        <w:r w:rsidR="008B0AAE">
          <w:rPr>
            <w:webHidden/>
          </w:rPr>
          <w:fldChar w:fldCharType="separate"/>
        </w:r>
        <w:r w:rsidR="008B0AAE">
          <w:rPr>
            <w:webHidden/>
          </w:rPr>
          <w:t>242</w:t>
        </w:r>
        <w:r w:rsidR="008B0AAE">
          <w:rPr>
            <w:webHidden/>
          </w:rPr>
          <w:fldChar w:fldCharType="end"/>
        </w:r>
      </w:hyperlink>
    </w:p>
    <w:p w14:paraId="07E334FD" w14:textId="77777777" w:rsidR="008B0AAE" w:rsidRDefault="00770CD2" w:rsidP="008B0AAE">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69" w:history="1">
        <w:r w:rsidR="008B0AAE" w:rsidRPr="000F4C88">
          <w:rPr>
            <w:rStyle w:val="Hypertextovodkaz"/>
          </w:rPr>
          <w:t>2.3.1 Objektivní náhled na jsoucno</w:t>
        </w:r>
        <w:r w:rsidR="008B0AAE">
          <w:rPr>
            <w:webHidden/>
          </w:rPr>
          <w:tab/>
        </w:r>
        <w:r w:rsidR="008B0AAE">
          <w:rPr>
            <w:webHidden/>
          </w:rPr>
          <w:fldChar w:fldCharType="begin"/>
        </w:r>
        <w:r w:rsidR="008B0AAE">
          <w:rPr>
            <w:webHidden/>
          </w:rPr>
          <w:instrText xml:space="preserve"> PAGEREF _Toc102906169 \h </w:instrText>
        </w:r>
        <w:r w:rsidR="008B0AAE">
          <w:rPr>
            <w:webHidden/>
          </w:rPr>
        </w:r>
        <w:r w:rsidR="008B0AAE">
          <w:rPr>
            <w:webHidden/>
          </w:rPr>
          <w:fldChar w:fldCharType="separate"/>
        </w:r>
        <w:r w:rsidR="008B0AAE">
          <w:rPr>
            <w:webHidden/>
          </w:rPr>
          <w:t>245</w:t>
        </w:r>
        <w:r w:rsidR="008B0AAE">
          <w:rPr>
            <w:webHidden/>
          </w:rPr>
          <w:fldChar w:fldCharType="end"/>
        </w:r>
      </w:hyperlink>
    </w:p>
    <w:p w14:paraId="32747D0B" w14:textId="77777777" w:rsidR="008B0AAE" w:rsidRDefault="00770CD2" w:rsidP="008B0AAE">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70" w:history="1">
        <w:r w:rsidR="008B0AAE" w:rsidRPr="000F4C88">
          <w:rPr>
            <w:rStyle w:val="Hypertextovodkaz"/>
          </w:rPr>
          <w:t>2.3.2 Vznik objektivní metafyziky</w:t>
        </w:r>
        <w:r w:rsidR="008B0AAE">
          <w:rPr>
            <w:webHidden/>
          </w:rPr>
          <w:tab/>
        </w:r>
        <w:r w:rsidR="008B0AAE">
          <w:rPr>
            <w:webHidden/>
          </w:rPr>
          <w:fldChar w:fldCharType="begin"/>
        </w:r>
        <w:r w:rsidR="008B0AAE">
          <w:rPr>
            <w:webHidden/>
          </w:rPr>
          <w:instrText xml:space="preserve"> PAGEREF _Toc102906170 \h </w:instrText>
        </w:r>
        <w:r w:rsidR="008B0AAE">
          <w:rPr>
            <w:webHidden/>
          </w:rPr>
        </w:r>
        <w:r w:rsidR="008B0AAE">
          <w:rPr>
            <w:webHidden/>
          </w:rPr>
          <w:fldChar w:fldCharType="separate"/>
        </w:r>
        <w:r w:rsidR="008B0AAE">
          <w:rPr>
            <w:webHidden/>
          </w:rPr>
          <w:t>266</w:t>
        </w:r>
        <w:r w:rsidR="008B0AAE">
          <w:rPr>
            <w:webHidden/>
          </w:rPr>
          <w:fldChar w:fldCharType="end"/>
        </w:r>
      </w:hyperlink>
    </w:p>
    <w:p w14:paraId="39EDCC23" w14:textId="77777777" w:rsidR="008B0AAE" w:rsidRDefault="00770CD2" w:rsidP="008B0AAE">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71" w:history="1">
        <w:r w:rsidR="008B0AAE" w:rsidRPr="000F4C88">
          <w:rPr>
            <w:rStyle w:val="Hypertextovodkaz"/>
          </w:rPr>
          <w:t>2.3.3 Ontoteologie a moderní bůh</w:t>
        </w:r>
        <w:r w:rsidR="008B0AAE">
          <w:rPr>
            <w:webHidden/>
          </w:rPr>
          <w:tab/>
        </w:r>
        <w:r w:rsidR="008B0AAE">
          <w:rPr>
            <w:webHidden/>
          </w:rPr>
          <w:fldChar w:fldCharType="begin"/>
        </w:r>
        <w:r w:rsidR="008B0AAE">
          <w:rPr>
            <w:webHidden/>
          </w:rPr>
          <w:instrText xml:space="preserve"> PAGEREF _Toc102906171 \h </w:instrText>
        </w:r>
        <w:r w:rsidR="008B0AAE">
          <w:rPr>
            <w:webHidden/>
          </w:rPr>
        </w:r>
        <w:r w:rsidR="008B0AAE">
          <w:rPr>
            <w:webHidden/>
          </w:rPr>
          <w:fldChar w:fldCharType="separate"/>
        </w:r>
        <w:r w:rsidR="008B0AAE">
          <w:rPr>
            <w:webHidden/>
          </w:rPr>
          <w:t>295</w:t>
        </w:r>
        <w:r w:rsidR="008B0AAE">
          <w:rPr>
            <w:webHidden/>
          </w:rPr>
          <w:fldChar w:fldCharType="end"/>
        </w:r>
      </w:hyperlink>
    </w:p>
    <w:p w14:paraId="72BD3CF1" w14:textId="134E67FF" w:rsidR="008B0AAE" w:rsidRPr="00243CB4" w:rsidRDefault="00770CD2" w:rsidP="008B0AAE">
      <w:pPr>
        <w:pStyle w:val="Obsah2"/>
        <w:tabs>
          <w:tab w:val="right" w:leader="dot" w:pos="9061"/>
        </w:tabs>
        <w:spacing w:line="240" w:lineRule="auto"/>
        <w:rPr>
          <w:rStyle w:val="Hypertextovodkaz"/>
        </w:rPr>
      </w:pPr>
      <w:hyperlink w:anchor="_Toc102906172" w:history="1">
        <w:r w:rsidR="008B0AAE" w:rsidRPr="000F4C88">
          <w:rPr>
            <w:rStyle w:val="Hypertextovodkaz"/>
          </w:rPr>
          <w:t xml:space="preserve">2.4 </w:t>
        </w:r>
        <w:r w:rsidR="00243CB4" w:rsidRPr="00243CB4">
          <w:rPr>
            <w:rStyle w:val="Hypertextovodkaz"/>
          </w:rPr>
          <w:t xml:space="preserve">Jednota </w:t>
        </w:r>
        <w:r w:rsidR="00757B32" w:rsidRPr="00757B32">
          <w:rPr>
            <w:rStyle w:val="Hypertextovodkaz"/>
          </w:rPr>
          <w:t>první vědy</w:t>
        </w:r>
        <w:r w:rsidR="00757B32">
          <w:rPr>
            <w:rStyle w:val="Hypertextovodkaz"/>
          </w:rPr>
          <w:t xml:space="preserve"> a poznání </w:t>
        </w:r>
        <w:r w:rsidR="00B00611">
          <w:rPr>
            <w:rStyle w:val="Hypertextovodkaz"/>
          </w:rPr>
          <w:t>(Averroes)</w:t>
        </w:r>
        <w:r w:rsidR="008B0AAE" w:rsidRPr="00243CB4">
          <w:rPr>
            <w:rStyle w:val="Hypertextovodkaz"/>
            <w:webHidden/>
          </w:rPr>
          <w:tab/>
        </w:r>
        <w:r w:rsidR="008B0AAE" w:rsidRPr="00243CB4">
          <w:rPr>
            <w:rStyle w:val="Hypertextovodkaz"/>
            <w:webHidden/>
          </w:rPr>
          <w:fldChar w:fldCharType="begin"/>
        </w:r>
        <w:r w:rsidR="008B0AAE" w:rsidRPr="00243CB4">
          <w:rPr>
            <w:rStyle w:val="Hypertextovodkaz"/>
            <w:webHidden/>
          </w:rPr>
          <w:instrText xml:space="preserve"> PAGEREF _Toc102906172 \h </w:instrText>
        </w:r>
        <w:r w:rsidR="008B0AAE" w:rsidRPr="00243CB4">
          <w:rPr>
            <w:rStyle w:val="Hypertextovodkaz"/>
            <w:webHidden/>
          </w:rPr>
        </w:r>
        <w:r w:rsidR="008B0AAE" w:rsidRPr="00243CB4">
          <w:rPr>
            <w:rStyle w:val="Hypertextovodkaz"/>
            <w:webHidden/>
          </w:rPr>
          <w:fldChar w:fldCharType="separate"/>
        </w:r>
        <w:r w:rsidR="008B0AAE" w:rsidRPr="00243CB4">
          <w:rPr>
            <w:rStyle w:val="Hypertextovodkaz"/>
            <w:webHidden/>
          </w:rPr>
          <w:t>321</w:t>
        </w:r>
        <w:r w:rsidR="008B0AAE" w:rsidRPr="00243CB4">
          <w:rPr>
            <w:rStyle w:val="Hypertextovodkaz"/>
            <w:webHidden/>
          </w:rPr>
          <w:fldChar w:fldCharType="end"/>
        </w:r>
      </w:hyperlink>
    </w:p>
    <w:p w14:paraId="60D7EEC6" w14:textId="77777777" w:rsidR="008B0AAE" w:rsidRDefault="00770CD2" w:rsidP="008B0AAE">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73" w:history="1">
        <w:r w:rsidR="008B0AAE" w:rsidRPr="000F4C88">
          <w:rPr>
            <w:rStyle w:val="Hypertextovodkaz"/>
          </w:rPr>
          <w:t>2.4.1 Metafyzika první substance</w:t>
        </w:r>
        <w:r w:rsidR="008B0AAE">
          <w:rPr>
            <w:webHidden/>
          </w:rPr>
          <w:tab/>
        </w:r>
        <w:r w:rsidR="008B0AAE">
          <w:rPr>
            <w:webHidden/>
          </w:rPr>
          <w:fldChar w:fldCharType="begin"/>
        </w:r>
        <w:r w:rsidR="008B0AAE">
          <w:rPr>
            <w:webHidden/>
          </w:rPr>
          <w:instrText xml:space="preserve"> PAGEREF _Toc102906173 \h </w:instrText>
        </w:r>
        <w:r w:rsidR="008B0AAE">
          <w:rPr>
            <w:webHidden/>
          </w:rPr>
        </w:r>
        <w:r w:rsidR="008B0AAE">
          <w:rPr>
            <w:webHidden/>
          </w:rPr>
          <w:fldChar w:fldCharType="separate"/>
        </w:r>
        <w:r w:rsidR="008B0AAE">
          <w:rPr>
            <w:webHidden/>
          </w:rPr>
          <w:t>334</w:t>
        </w:r>
        <w:r w:rsidR="008B0AAE">
          <w:rPr>
            <w:webHidden/>
          </w:rPr>
          <w:fldChar w:fldCharType="end"/>
        </w:r>
      </w:hyperlink>
    </w:p>
    <w:p w14:paraId="56EFFA45" w14:textId="77777777" w:rsidR="008B0AAE" w:rsidRDefault="00770CD2" w:rsidP="008B0AAE">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74" w:history="1">
        <w:r w:rsidR="008B0AAE" w:rsidRPr="000F4C88">
          <w:rPr>
            <w:rStyle w:val="Hypertextovodkaz"/>
          </w:rPr>
          <w:t>2.4.2 Pravdivé poznání reality</w:t>
        </w:r>
        <w:r w:rsidR="008B0AAE">
          <w:rPr>
            <w:webHidden/>
          </w:rPr>
          <w:tab/>
        </w:r>
        <w:r w:rsidR="008B0AAE">
          <w:rPr>
            <w:webHidden/>
          </w:rPr>
          <w:fldChar w:fldCharType="begin"/>
        </w:r>
        <w:r w:rsidR="008B0AAE">
          <w:rPr>
            <w:webHidden/>
          </w:rPr>
          <w:instrText xml:space="preserve"> PAGEREF _Toc102906174 \h </w:instrText>
        </w:r>
        <w:r w:rsidR="008B0AAE">
          <w:rPr>
            <w:webHidden/>
          </w:rPr>
        </w:r>
        <w:r w:rsidR="008B0AAE">
          <w:rPr>
            <w:webHidden/>
          </w:rPr>
          <w:fldChar w:fldCharType="separate"/>
        </w:r>
        <w:r w:rsidR="008B0AAE">
          <w:rPr>
            <w:webHidden/>
          </w:rPr>
          <w:t>356</w:t>
        </w:r>
        <w:r w:rsidR="008B0AAE">
          <w:rPr>
            <w:webHidden/>
          </w:rPr>
          <w:fldChar w:fldCharType="end"/>
        </w:r>
      </w:hyperlink>
    </w:p>
    <w:p w14:paraId="4F6108D3" w14:textId="77777777" w:rsidR="008B0AAE" w:rsidRDefault="00770CD2" w:rsidP="008B0AAE">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75" w:history="1">
        <w:r w:rsidR="008B0AAE" w:rsidRPr="000F4C88">
          <w:rPr>
            <w:rStyle w:val="Hypertextovodkaz"/>
          </w:rPr>
          <w:t>2.4.3 Intelekt a jednota osoby</w:t>
        </w:r>
        <w:r w:rsidR="008B0AAE">
          <w:rPr>
            <w:webHidden/>
          </w:rPr>
          <w:tab/>
        </w:r>
        <w:r w:rsidR="008B0AAE">
          <w:rPr>
            <w:webHidden/>
          </w:rPr>
          <w:fldChar w:fldCharType="begin"/>
        </w:r>
        <w:r w:rsidR="008B0AAE">
          <w:rPr>
            <w:webHidden/>
          </w:rPr>
          <w:instrText xml:space="preserve"> PAGEREF _Toc102906175 \h </w:instrText>
        </w:r>
        <w:r w:rsidR="008B0AAE">
          <w:rPr>
            <w:webHidden/>
          </w:rPr>
        </w:r>
        <w:r w:rsidR="008B0AAE">
          <w:rPr>
            <w:webHidden/>
          </w:rPr>
          <w:fldChar w:fldCharType="separate"/>
        </w:r>
        <w:r w:rsidR="008B0AAE">
          <w:rPr>
            <w:webHidden/>
          </w:rPr>
          <w:t>379</w:t>
        </w:r>
        <w:r w:rsidR="008B0AAE">
          <w:rPr>
            <w:webHidden/>
          </w:rPr>
          <w:fldChar w:fldCharType="end"/>
        </w:r>
      </w:hyperlink>
    </w:p>
    <w:p w14:paraId="589C65BC" w14:textId="77777777" w:rsidR="008B0AAE" w:rsidRDefault="00770CD2" w:rsidP="008B0AAE">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76" w:history="1">
        <w:r w:rsidR="008B0AAE" w:rsidRPr="000F4C88">
          <w:rPr>
            <w:rStyle w:val="Hypertextovodkaz"/>
          </w:rPr>
          <w:t>2.4.4 Diafanum a svět života</w:t>
        </w:r>
        <w:r w:rsidR="008B0AAE">
          <w:rPr>
            <w:webHidden/>
          </w:rPr>
          <w:tab/>
        </w:r>
        <w:r w:rsidR="008B0AAE">
          <w:rPr>
            <w:webHidden/>
          </w:rPr>
          <w:fldChar w:fldCharType="begin"/>
        </w:r>
        <w:r w:rsidR="008B0AAE">
          <w:rPr>
            <w:webHidden/>
          </w:rPr>
          <w:instrText xml:space="preserve"> PAGEREF _Toc102906176 \h </w:instrText>
        </w:r>
        <w:r w:rsidR="008B0AAE">
          <w:rPr>
            <w:webHidden/>
          </w:rPr>
        </w:r>
        <w:r w:rsidR="008B0AAE">
          <w:rPr>
            <w:webHidden/>
          </w:rPr>
          <w:fldChar w:fldCharType="separate"/>
        </w:r>
        <w:r w:rsidR="008B0AAE">
          <w:rPr>
            <w:webHidden/>
          </w:rPr>
          <w:t>423</w:t>
        </w:r>
        <w:r w:rsidR="008B0AAE">
          <w:rPr>
            <w:webHidden/>
          </w:rPr>
          <w:fldChar w:fldCharType="end"/>
        </w:r>
      </w:hyperlink>
    </w:p>
    <w:p w14:paraId="02F7CA66" w14:textId="77777777" w:rsidR="008B0AAE" w:rsidRDefault="00770CD2" w:rsidP="008B0AAE">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02906177" w:history="1">
        <w:r w:rsidR="008B0AAE" w:rsidRPr="000F4C88">
          <w:rPr>
            <w:rStyle w:val="Hypertextovodkaz"/>
          </w:rPr>
          <w:t>2.5 Tragický osud metafyziky</w:t>
        </w:r>
        <w:r w:rsidR="008B0AAE">
          <w:rPr>
            <w:webHidden/>
          </w:rPr>
          <w:tab/>
        </w:r>
        <w:r w:rsidR="008B0AAE">
          <w:rPr>
            <w:webHidden/>
          </w:rPr>
          <w:fldChar w:fldCharType="begin"/>
        </w:r>
        <w:r w:rsidR="008B0AAE">
          <w:rPr>
            <w:webHidden/>
          </w:rPr>
          <w:instrText xml:space="preserve"> PAGEREF _Toc102906177 \h </w:instrText>
        </w:r>
        <w:r w:rsidR="008B0AAE">
          <w:rPr>
            <w:webHidden/>
          </w:rPr>
        </w:r>
        <w:r w:rsidR="008B0AAE">
          <w:rPr>
            <w:webHidden/>
          </w:rPr>
          <w:fldChar w:fldCharType="separate"/>
        </w:r>
        <w:r w:rsidR="008B0AAE">
          <w:rPr>
            <w:webHidden/>
          </w:rPr>
          <w:t>454</w:t>
        </w:r>
        <w:r w:rsidR="008B0AAE">
          <w:rPr>
            <w:webHidden/>
          </w:rPr>
          <w:fldChar w:fldCharType="end"/>
        </w:r>
      </w:hyperlink>
    </w:p>
    <w:p w14:paraId="771C4A26" w14:textId="77777777" w:rsidR="008B0AAE" w:rsidRDefault="00770CD2" w:rsidP="008B0AAE">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78" w:history="1">
        <w:r w:rsidR="008B0AAE" w:rsidRPr="000F4C88">
          <w:rPr>
            <w:rStyle w:val="Hypertextovodkaz"/>
          </w:rPr>
          <w:t>Použité zkratky</w:t>
        </w:r>
        <w:r w:rsidR="008B0AAE">
          <w:rPr>
            <w:webHidden/>
          </w:rPr>
          <w:tab/>
        </w:r>
        <w:r w:rsidR="008B0AAE">
          <w:rPr>
            <w:webHidden/>
          </w:rPr>
          <w:fldChar w:fldCharType="begin"/>
        </w:r>
        <w:r w:rsidR="008B0AAE">
          <w:rPr>
            <w:webHidden/>
          </w:rPr>
          <w:instrText xml:space="preserve"> PAGEREF _Toc102906178 \h </w:instrText>
        </w:r>
        <w:r w:rsidR="008B0AAE">
          <w:rPr>
            <w:webHidden/>
          </w:rPr>
        </w:r>
        <w:r w:rsidR="008B0AAE">
          <w:rPr>
            <w:webHidden/>
          </w:rPr>
          <w:fldChar w:fldCharType="separate"/>
        </w:r>
        <w:r w:rsidR="008B0AAE">
          <w:rPr>
            <w:webHidden/>
          </w:rPr>
          <w:t>473</w:t>
        </w:r>
        <w:r w:rsidR="008B0AAE">
          <w:rPr>
            <w:webHidden/>
          </w:rPr>
          <w:fldChar w:fldCharType="end"/>
        </w:r>
      </w:hyperlink>
    </w:p>
    <w:p w14:paraId="13557C43" w14:textId="77777777" w:rsidR="008B0AAE" w:rsidRDefault="00770CD2" w:rsidP="008B0AAE">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79" w:history="1">
        <w:r w:rsidR="008B0AAE" w:rsidRPr="000F4C88">
          <w:rPr>
            <w:rStyle w:val="Hypertextovodkaz"/>
          </w:rPr>
          <w:t>Index locorum</w:t>
        </w:r>
        <w:r w:rsidR="008B0AAE">
          <w:rPr>
            <w:webHidden/>
          </w:rPr>
          <w:tab/>
        </w:r>
        <w:r w:rsidR="008B0AAE">
          <w:rPr>
            <w:webHidden/>
          </w:rPr>
          <w:fldChar w:fldCharType="begin"/>
        </w:r>
        <w:r w:rsidR="008B0AAE">
          <w:rPr>
            <w:webHidden/>
          </w:rPr>
          <w:instrText xml:space="preserve"> PAGEREF _Toc102906179 \h </w:instrText>
        </w:r>
        <w:r w:rsidR="008B0AAE">
          <w:rPr>
            <w:webHidden/>
          </w:rPr>
        </w:r>
        <w:r w:rsidR="008B0AAE">
          <w:rPr>
            <w:webHidden/>
          </w:rPr>
          <w:fldChar w:fldCharType="separate"/>
        </w:r>
        <w:r w:rsidR="008B0AAE">
          <w:rPr>
            <w:webHidden/>
          </w:rPr>
          <w:t>474</w:t>
        </w:r>
        <w:r w:rsidR="008B0AAE">
          <w:rPr>
            <w:webHidden/>
          </w:rPr>
          <w:fldChar w:fldCharType="end"/>
        </w:r>
      </w:hyperlink>
    </w:p>
    <w:p w14:paraId="518CC279" w14:textId="77777777" w:rsidR="008B0AAE" w:rsidRDefault="00770CD2" w:rsidP="008B0AAE">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80" w:history="1">
        <w:r w:rsidR="008B0AAE" w:rsidRPr="000F4C88">
          <w:rPr>
            <w:rStyle w:val="Hypertextovodkaz"/>
          </w:rPr>
          <w:t>Jmenný a věcný rejstřík</w:t>
        </w:r>
        <w:r w:rsidR="008B0AAE">
          <w:rPr>
            <w:webHidden/>
          </w:rPr>
          <w:tab/>
        </w:r>
        <w:r w:rsidR="008B0AAE">
          <w:rPr>
            <w:webHidden/>
          </w:rPr>
          <w:fldChar w:fldCharType="begin"/>
        </w:r>
        <w:r w:rsidR="008B0AAE">
          <w:rPr>
            <w:webHidden/>
          </w:rPr>
          <w:instrText xml:space="preserve"> PAGEREF _Toc102906180 \h </w:instrText>
        </w:r>
        <w:r w:rsidR="008B0AAE">
          <w:rPr>
            <w:webHidden/>
          </w:rPr>
        </w:r>
        <w:r w:rsidR="008B0AAE">
          <w:rPr>
            <w:webHidden/>
          </w:rPr>
          <w:fldChar w:fldCharType="separate"/>
        </w:r>
        <w:r w:rsidR="008B0AAE">
          <w:rPr>
            <w:webHidden/>
          </w:rPr>
          <w:t>479</w:t>
        </w:r>
        <w:r w:rsidR="008B0AAE">
          <w:rPr>
            <w:webHidden/>
          </w:rPr>
          <w:fldChar w:fldCharType="end"/>
        </w:r>
      </w:hyperlink>
    </w:p>
    <w:p w14:paraId="200D7546" w14:textId="77777777" w:rsidR="008B0AAE" w:rsidRDefault="00770CD2" w:rsidP="008B0AAE">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81" w:history="1">
        <w:r w:rsidR="008B0AAE" w:rsidRPr="000F4C88">
          <w:rPr>
            <w:rStyle w:val="Hypertextovodkaz"/>
          </w:rPr>
          <w:t>Literatura</w:t>
        </w:r>
        <w:r w:rsidR="008B0AAE">
          <w:rPr>
            <w:webHidden/>
          </w:rPr>
          <w:tab/>
        </w:r>
        <w:r w:rsidR="008B0AAE">
          <w:rPr>
            <w:webHidden/>
          </w:rPr>
          <w:fldChar w:fldCharType="begin"/>
        </w:r>
        <w:r w:rsidR="008B0AAE">
          <w:rPr>
            <w:webHidden/>
          </w:rPr>
          <w:instrText xml:space="preserve"> PAGEREF _Toc102906181 \h </w:instrText>
        </w:r>
        <w:r w:rsidR="008B0AAE">
          <w:rPr>
            <w:webHidden/>
          </w:rPr>
        </w:r>
        <w:r w:rsidR="008B0AAE">
          <w:rPr>
            <w:webHidden/>
          </w:rPr>
          <w:fldChar w:fldCharType="separate"/>
        </w:r>
        <w:r w:rsidR="008B0AAE">
          <w:rPr>
            <w:webHidden/>
          </w:rPr>
          <w:t>487</w:t>
        </w:r>
        <w:r w:rsidR="008B0AAE">
          <w:rPr>
            <w:webHidden/>
          </w:rPr>
          <w:fldChar w:fldCharType="end"/>
        </w:r>
      </w:hyperlink>
    </w:p>
    <w:p w14:paraId="7F934AF2" w14:textId="77777777" w:rsidR="00C92264" w:rsidRPr="003D1E07" w:rsidRDefault="00C92264" w:rsidP="008B0AAE">
      <w:pPr>
        <w:spacing w:line="240" w:lineRule="auto"/>
      </w:pPr>
      <w:r w:rsidRPr="003D1E07">
        <w:rPr>
          <w:b/>
          <w:bCs/>
        </w:rPr>
        <w:fldChar w:fldCharType="end"/>
      </w:r>
    </w:p>
    <w:p w14:paraId="79EB6891" w14:textId="77777777" w:rsidR="003A6E5B" w:rsidRPr="003D1E07" w:rsidRDefault="00C92264" w:rsidP="00C92264">
      <w:pPr>
        <w:jc w:val="right"/>
      </w:pPr>
      <w:r w:rsidRPr="003D1E07">
        <w:br w:type="page"/>
      </w:r>
      <w:bookmarkStart w:id="7" w:name="_Toc93748862"/>
    </w:p>
    <w:p w14:paraId="38F6E6AA" w14:textId="77777777" w:rsidR="003A6E5B" w:rsidRPr="003D1E07" w:rsidRDefault="003A6E5B" w:rsidP="00C92264">
      <w:pPr>
        <w:jc w:val="right"/>
      </w:pPr>
    </w:p>
    <w:p w14:paraId="685B3600" w14:textId="4124E55E" w:rsidR="0004352E" w:rsidRPr="003D1E07" w:rsidRDefault="00015E4A" w:rsidP="0004352E">
      <w:pPr>
        <w:jc w:val="right"/>
        <w:rPr>
          <w:b/>
          <w:i/>
        </w:rPr>
      </w:pPr>
      <w:r w:rsidRPr="003D1E07">
        <w:rPr>
          <w:b/>
          <w:i/>
        </w:rPr>
        <w:t xml:space="preserve">In memoriam </w:t>
      </w:r>
      <w:r w:rsidR="00D176DB" w:rsidRPr="003D1E07">
        <w:rPr>
          <w:b/>
          <w:i/>
        </w:rPr>
        <w:t xml:space="preserve">všech </w:t>
      </w:r>
      <w:r w:rsidR="081A0645" w:rsidRPr="003D1E07">
        <w:rPr>
          <w:b/>
          <w:i/>
        </w:rPr>
        <w:t>obětí moderny a postmoderny</w:t>
      </w:r>
      <w:bookmarkEnd w:id="7"/>
    </w:p>
    <w:p w14:paraId="3F802722" w14:textId="77777777" w:rsidR="00C85351" w:rsidRPr="003D1E07" w:rsidRDefault="00C85351" w:rsidP="0004352E">
      <w:pPr>
        <w:jc w:val="right"/>
        <w:rPr>
          <w:b/>
          <w:i/>
        </w:rPr>
      </w:pPr>
    </w:p>
    <w:p w14:paraId="486C392B" w14:textId="77777777" w:rsidR="00C85351" w:rsidRPr="003D1E07" w:rsidRDefault="00C85351" w:rsidP="08CF7832">
      <w:pPr>
        <w:sectPr w:rsidR="00C85351" w:rsidRPr="003D1E07" w:rsidSect="00492978">
          <w:footerReference w:type="default" r:id="rId10"/>
          <w:footerReference w:type="first" r:id="rId11"/>
          <w:pgSz w:w="11905" w:h="16837"/>
          <w:pgMar w:top="1417" w:right="1417" w:bottom="1417" w:left="1417" w:header="708" w:footer="720" w:gutter="0"/>
          <w:pgNumType w:start="1"/>
          <w:cols w:space="708"/>
          <w:titlePg/>
          <w:docGrid w:linePitch="360"/>
        </w:sectPr>
      </w:pPr>
    </w:p>
    <w:p w14:paraId="6F93EED6" w14:textId="4C5BE932" w:rsidR="00006A70" w:rsidRDefault="00F60901" w:rsidP="08CF7832">
      <w:r>
        <w:lastRenderedPageBreak/>
        <w:t>Stav současné vědy připomíná</w:t>
      </w:r>
      <w:r w:rsidRPr="00F60901">
        <w:t xml:space="preserve"> příběh o stavbě babylonské věže z knihy </w:t>
      </w:r>
      <w:r w:rsidRPr="00F60901">
        <w:rPr>
          <w:i/>
        </w:rPr>
        <w:t>Genesis</w:t>
      </w:r>
      <w:r w:rsidRPr="00F60901">
        <w:t xml:space="preserve">. Starozákonní Bůh přinutil lidi mluvit mnoha různými jazyky, aby nemohli společně pracovat na </w:t>
      </w:r>
      <w:r>
        <w:t>stavbě města a věže. V</w:t>
      </w:r>
      <w:r w:rsidR="00607784">
        <w:t>ědecká</w:t>
      </w:r>
      <w:r w:rsidRPr="00F60901">
        <w:t xml:space="preserve"> činnost </w:t>
      </w:r>
      <w:r>
        <w:t>nadnárodních korporací se dnes p</w:t>
      </w:r>
      <w:r w:rsidRPr="00F60901">
        <w:t xml:space="preserve">ovažuje </w:t>
      </w:r>
      <w:r>
        <w:t>za vědu</w:t>
      </w:r>
      <w:r w:rsidRPr="00F60901">
        <w:t xml:space="preserve">, jaká je sama o sobě; tato </w:t>
      </w:r>
      <w:r>
        <w:t xml:space="preserve">založená věda </w:t>
      </w:r>
      <w:r w:rsidRPr="00F60901">
        <w:t>je považována za přísně objektivní</w:t>
      </w:r>
      <w:r w:rsidR="00467143">
        <w:t xml:space="preserve"> činnost</w:t>
      </w:r>
      <w:r w:rsidRPr="00F60901">
        <w:t xml:space="preserve">; tento druh objektivity je stanoven jako základ filozofie v podobě první vědy; tato podoba první vědy se nazývá Aristotelova metafyzika; tento druh metafyziky je </w:t>
      </w:r>
      <w:r>
        <w:t xml:space="preserve">nakonec </w:t>
      </w:r>
      <w:r w:rsidRPr="00F60901">
        <w:t xml:space="preserve">považován za nejvyšší formu lidské lásky k moudrosti. Zkoumání objektivity prováděné výhradně </w:t>
      </w:r>
      <w:r>
        <w:t xml:space="preserve">v </w:t>
      </w:r>
      <w:r w:rsidRPr="00F60901">
        <w:t xml:space="preserve">takto zmatené </w:t>
      </w:r>
      <w:r>
        <w:t xml:space="preserve">podobě </w:t>
      </w:r>
      <w:r w:rsidRPr="00F60901">
        <w:t>se vystavuje riziku, ž</w:t>
      </w:r>
      <w:r>
        <w:t xml:space="preserve">e bude zásadně chybné. </w:t>
      </w:r>
      <w:r w:rsidR="08CF7832" w:rsidRPr="003D1E07">
        <w:t>Hermeneutika nemůže převzít  předsudky, které umožnily vznik objektivity a pak</w:t>
      </w:r>
      <w:r w:rsidR="002F11AE" w:rsidRPr="003D1E07">
        <w:t xml:space="preserve"> přešly do novověké racionality</w:t>
      </w:r>
      <w:r w:rsidR="08CF7832" w:rsidRPr="003D1E07">
        <w:t xml:space="preserve">. </w:t>
      </w:r>
      <w:r w:rsidR="002F11AE" w:rsidRPr="003D1E07">
        <w:t xml:space="preserve">Tento filosofický směr dostal na začátku 14. století název </w:t>
      </w:r>
      <w:r w:rsidR="002F11AE" w:rsidRPr="003D1E07">
        <w:rPr>
          <w:i/>
        </w:rPr>
        <w:t>via Modernorum</w:t>
      </w:r>
      <w:r w:rsidR="002F11AE" w:rsidRPr="003D1E07">
        <w:t xml:space="preserve">. </w:t>
      </w:r>
      <w:r w:rsidR="009A3C31" w:rsidRPr="003D1E07">
        <w:t xml:space="preserve">Nejasnosti </w:t>
      </w:r>
      <w:r w:rsidR="008C3371" w:rsidRPr="003D1E07">
        <w:t>skryté na počátku modern</w:t>
      </w:r>
      <w:r w:rsidR="00976AB6" w:rsidRPr="003D1E07">
        <w:t xml:space="preserve">y </w:t>
      </w:r>
      <w:r w:rsidR="008C3371" w:rsidRPr="003D1E07">
        <w:t xml:space="preserve">přispěly k tomu, že </w:t>
      </w:r>
      <w:r w:rsidR="002F11AE" w:rsidRPr="003D1E07">
        <w:t xml:space="preserve">takto založená filosofie </w:t>
      </w:r>
      <w:r w:rsidR="008C3371" w:rsidRPr="003D1E07">
        <w:t xml:space="preserve">ztratila zakládající význam první vědy. </w:t>
      </w:r>
      <w:r w:rsidR="00C91919" w:rsidRPr="003D1E07">
        <w:t>Speciální vědy</w:t>
      </w:r>
      <w:r w:rsidR="08E00414" w:rsidRPr="003D1E07">
        <w:t xml:space="preserve"> </w:t>
      </w:r>
      <w:r w:rsidR="00C91919" w:rsidRPr="003D1E07">
        <w:t>vzniklé od</w:t>
      </w:r>
      <w:r w:rsidR="00F23B1F" w:rsidRPr="003D1E07">
        <w:t> 17. století m</w:t>
      </w:r>
      <w:r w:rsidR="00C91919" w:rsidRPr="003D1E07">
        <w:t>ají</w:t>
      </w:r>
      <w:r w:rsidR="00D233F8" w:rsidRPr="003D1E07">
        <w:t xml:space="preserve"> vlastní metodologii</w:t>
      </w:r>
      <w:r w:rsidR="00F23B1F" w:rsidRPr="003D1E07">
        <w:t xml:space="preserve">, ale pořád stojí na filosofických konceptech scholastické </w:t>
      </w:r>
      <w:r w:rsidR="005C0A04" w:rsidRPr="003D1E07">
        <w:t>moderny</w:t>
      </w:r>
      <w:r w:rsidR="00F23B1F" w:rsidRPr="003D1E07">
        <w:t>. N</w:t>
      </w:r>
      <w:r w:rsidR="08E00414" w:rsidRPr="003D1E07">
        <w:t>ov</w:t>
      </w:r>
      <w:r w:rsidR="00C97BE4" w:rsidRPr="003D1E07">
        <w:t>ý náhled na svět</w:t>
      </w:r>
      <w:r w:rsidR="00F23B1F" w:rsidRPr="003D1E07">
        <w:t xml:space="preserve"> daný vznikem objektivity </w:t>
      </w:r>
      <w:r w:rsidR="00721FC6" w:rsidRPr="003D1E07">
        <w:t xml:space="preserve">na </w:t>
      </w:r>
      <w:r w:rsidR="00721FC6" w:rsidRPr="003D1E07">
        <w:rPr>
          <w:i/>
        </w:rPr>
        <w:t>via Modernorum</w:t>
      </w:r>
      <w:r w:rsidR="00721FC6" w:rsidRPr="003D1E07">
        <w:t xml:space="preserve"> </w:t>
      </w:r>
      <w:r w:rsidR="00F23B1F" w:rsidRPr="003D1E07">
        <w:t xml:space="preserve">zůstal jako základ speciálních věd. </w:t>
      </w:r>
      <w:r w:rsidR="006E5468" w:rsidRPr="003D1E07">
        <w:t>Novověké</w:t>
      </w:r>
      <w:r w:rsidR="006D7ADB" w:rsidRPr="003D1E07">
        <w:t xml:space="preserve"> v</w:t>
      </w:r>
      <w:r w:rsidR="006E5468" w:rsidRPr="003D1E07">
        <w:t>ědy</w:t>
      </w:r>
      <w:r w:rsidR="08E00414" w:rsidRPr="003D1E07">
        <w:t xml:space="preserve"> </w:t>
      </w:r>
      <w:r w:rsidR="00C5207B" w:rsidRPr="003D1E07">
        <w:t xml:space="preserve">proto </w:t>
      </w:r>
      <w:r w:rsidR="006E5468" w:rsidRPr="003D1E07">
        <w:t>obsahují</w:t>
      </w:r>
      <w:r w:rsidR="08E00414" w:rsidRPr="003D1E07">
        <w:t xml:space="preserve"> skryté předpoklady a konflikty, které </w:t>
      </w:r>
      <w:r w:rsidR="001374AC" w:rsidRPr="003D1E07">
        <w:t>j</w:t>
      </w:r>
      <w:r w:rsidR="00437C9C" w:rsidRPr="003D1E07">
        <w:t>s</w:t>
      </w:r>
      <w:r w:rsidR="001374AC" w:rsidRPr="003D1E07">
        <w:t>o</w:t>
      </w:r>
      <w:r w:rsidR="00437C9C" w:rsidRPr="003D1E07">
        <w:t xml:space="preserve">u dány faktem </w:t>
      </w:r>
      <w:r w:rsidR="006E5468" w:rsidRPr="003D1E07">
        <w:t xml:space="preserve">jejich </w:t>
      </w:r>
      <w:r w:rsidR="00437C9C" w:rsidRPr="003D1E07">
        <w:t>vzniku</w:t>
      </w:r>
      <w:r w:rsidR="006E5468" w:rsidRPr="003D1E07">
        <w:t xml:space="preserve"> z moderní metafyziky</w:t>
      </w:r>
      <w:r w:rsidR="009F0318" w:rsidRPr="003D1E07">
        <w:t xml:space="preserve">. </w:t>
      </w:r>
      <w:r w:rsidR="08CF7832" w:rsidRPr="003D1E07">
        <w:t>Postmoderna je napojena na modern</w:t>
      </w:r>
      <w:r w:rsidR="00F23B1F" w:rsidRPr="003D1E07">
        <w:t xml:space="preserve">u </w:t>
      </w:r>
      <w:r w:rsidR="08CF7832" w:rsidRPr="003D1E07">
        <w:t xml:space="preserve">a </w:t>
      </w:r>
      <w:r w:rsidR="00437C9C" w:rsidRPr="003D1E07">
        <w:t xml:space="preserve">na </w:t>
      </w:r>
      <w:r w:rsidR="00F23B1F" w:rsidRPr="003D1E07">
        <w:t xml:space="preserve">její </w:t>
      </w:r>
      <w:r w:rsidR="08CF7832" w:rsidRPr="003D1E07">
        <w:t>objektivní vidění světa</w:t>
      </w:r>
      <w:r w:rsidR="088E683D" w:rsidRPr="003D1E07">
        <w:t xml:space="preserve">, takže stojí před </w:t>
      </w:r>
      <w:r w:rsidR="088E683D" w:rsidRPr="003D1E07">
        <w:rPr>
          <w:noProof w:val="0"/>
        </w:rPr>
        <w:t>stejným</w:t>
      </w:r>
      <w:r w:rsidR="005A75EB" w:rsidRPr="003D1E07">
        <w:rPr>
          <w:noProof w:val="0"/>
        </w:rPr>
        <w:t>i</w:t>
      </w:r>
      <w:r w:rsidR="003D1E07" w:rsidRPr="003D1E07">
        <w:t xml:space="preserve"> problé</w:t>
      </w:r>
      <w:r w:rsidR="088E683D" w:rsidRPr="003D1E07">
        <w:t>m</w:t>
      </w:r>
      <w:r w:rsidR="005A75EB" w:rsidRPr="003D1E07">
        <w:t>y</w:t>
      </w:r>
      <w:r w:rsidR="00655DEF" w:rsidRPr="003D1E07">
        <w:t xml:space="preserve">. </w:t>
      </w:r>
      <w:r w:rsidR="083527C4" w:rsidRPr="003D1E07">
        <w:t>O</w:t>
      </w:r>
      <w:r w:rsidR="082C7C6F" w:rsidRPr="003D1E07">
        <w:t xml:space="preserve">bjektivní myšlení charakterizuje </w:t>
      </w:r>
      <w:r w:rsidR="004358EA" w:rsidRPr="003D1E07">
        <w:t xml:space="preserve">specifická forma logického omylu zvaného </w:t>
      </w:r>
      <w:r w:rsidR="082C7C6F" w:rsidRPr="003D1E07">
        <w:rPr>
          <w:i/>
        </w:rPr>
        <w:t>circulus vitiosus</w:t>
      </w:r>
      <w:r w:rsidR="003B46E3" w:rsidRPr="003D1E07">
        <w:t>. P</w:t>
      </w:r>
      <w:r w:rsidR="00313042" w:rsidRPr="003D1E07">
        <w:t xml:space="preserve">očátek objektivity </w:t>
      </w:r>
      <w:r w:rsidR="08CF7832" w:rsidRPr="003D1E07">
        <w:t xml:space="preserve">obsahuje </w:t>
      </w:r>
      <w:r w:rsidR="00313042" w:rsidRPr="003D1E07">
        <w:t xml:space="preserve">faktory, které způsobily její </w:t>
      </w:r>
      <w:r w:rsidR="08832205" w:rsidRPr="003D1E07">
        <w:t>zánik</w:t>
      </w:r>
      <w:r w:rsidR="08CF7832" w:rsidRPr="003D1E07">
        <w:t xml:space="preserve">. </w:t>
      </w:r>
      <w:r w:rsidR="00313042" w:rsidRPr="003D1E07">
        <w:t xml:space="preserve">Ten </w:t>
      </w:r>
      <w:r w:rsidR="08CF7832" w:rsidRPr="003D1E07">
        <w:t xml:space="preserve">přišel v současné epoše nihilistické fáze metafyziky, kdy první věda přestala existovat </w:t>
      </w:r>
      <w:r w:rsidR="003D1E07" w:rsidRPr="003D1E07">
        <w:t>pro myšlení</w:t>
      </w:r>
      <w:r w:rsidR="003D1E07">
        <w:t xml:space="preserve"> </w:t>
      </w:r>
      <w:r w:rsidR="08CF7832" w:rsidRPr="003D1E07">
        <w:t>jako do</w:t>
      </w:r>
      <w:r w:rsidR="003D1E07">
        <w:t>minantní úkol</w:t>
      </w:r>
      <w:r w:rsidR="08CF7832" w:rsidRPr="003D1E07">
        <w:t xml:space="preserve">. </w:t>
      </w:r>
      <w:r w:rsidR="00655DEF" w:rsidRPr="003D1E07">
        <w:t>Předložený výklad zkoumá</w:t>
      </w:r>
      <w:r w:rsidR="00F65780" w:rsidRPr="003D1E07">
        <w:t xml:space="preserve"> nejasnosti a konfliktní momenty, které stály u vzniku objektivity a </w:t>
      </w:r>
      <w:r w:rsidR="00655DEF" w:rsidRPr="003D1E07">
        <w:t>dnes skrytě určují její současnou krizi a možný zánik</w:t>
      </w:r>
      <w:r w:rsidR="00F65780" w:rsidRPr="003D1E07">
        <w:t xml:space="preserve">. </w:t>
      </w:r>
      <w:r w:rsidR="00341301" w:rsidRPr="003D1E07">
        <w:t xml:space="preserve">Esej musí najít jiný výchozí bod zkoumání, který přechází metafyziku. </w:t>
      </w:r>
      <w:r w:rsidR="00655DEF" w:rsidRPr="003D1E07">
        <w:t>Objektivní metafyzika nemůže zk</w:t>
      </w:r>
      <w:r w:rsidR="001360C1" w:rsidRPr="003D1E07">
        <w:t>oumat svůj vlastní počátek, pro</w:t>
      </w:r>
      <w:r w:rsidR="00655DEF" w:rsidRPr="003D1E07">
        <w:t>t</w:t>
      </w:r>
      <w:r w:rsidR="001360C1" w:rsidRPr="003D1E07">
        <w:t>o</w:t>
      </w:r>
      <w:r w:rsidR="00655DEF" w:rsidRPr="003D1E07">
        <w:t xml:space="preserve">že to je skutečnost jiného řádu bytí a pravdy. </w:t>
      </w:r>
      <w:r w:rsidR="08CF7832" w:rsidRPr="003D1E07">
        <w:t xml:space="preserve">Hermeneutika </w:t>
      </w:r>
      <w:r w:rsidR="00033E4A" w:rsidRPr="003D1E07">
        <w:t xml:space="preserve">založená na </w:t>
      </w:r>
      <w:r w:rsidR="00466985" w:rsidRPr="003D1E07">
        <w:t>výklad</w:t>
      </w:r>
      <w:r w:rsidR="00033E4A" w:rsidRPr="003D1E07">
        <w:t>u</w:t>
      </w:r>
      <w:r w:rsidR="00466985" w:rsidRPr="003D1E07">
        <w:t xml:space="preserve"> mystérií existoval</w:t>
      </w:r>
      <w:r w:rsidR="00033E4A" w:rsidRPr="003D1E07">
        <w:t>a</w:t>
      </w:r>
      <w:r w:rsidR="00466985" w:rsidRPr="003D1E07">
        <w:t xml:space="preserve"> dávno před </w:t>
      </w:r>
      <w:r w:rsidR="00033E4A" w:rsidRPr="003D1E07">
        <w:t>metafyzikou a dokonce předcházela první filosofii</w:t>
      </w:r>
      <w:r w:rsidR="00C703B6">
        <w:t xml:space="preserve">. </w:t>
      </w:r>
      <w:r w:rsidR="00B36638" w:rsidRPr="003D1E07">
        <w:t xml:space="preserve">Nejstarší umění výkladu proto může tento úkol zvládnout. </w:t>
      </w:r>
      <w:r w:rsidR="003218A4" w:rsidRPr="003D1E07">
        <w:t>Základní úkol hermeneutiky určuje nápis na Defské věštírně, který říká: „Poznej sám sebe!“</w:t>
      </w:r>
      <w:r w:rsidR="007F22DD" w:rsidRPr="003D1E07">
        <w:t xml:space="preserve"> </w:t>
      </w:r>
      <w:r w:rsidR="00C4158A" w:rsidRPr="003D1E07">
        <w:t xml:space="preserve">Sebepoznání dané jako božský úkol podává další důvod, proč metafyzika nemůže poznat sama sebe. </w:t>
      </w:r>
      <w:r w:rsidR="08223EE6" w:rsidRPr="003D1E07">
        <w:t>Objektivní náhled</w:t>
      </w:r>
      <w:r w:rsidR="08F223F3" w:rsidRPr="003D1E07">
        <w:t xml:space="preserve"> ne</w:t>
      </w:r>
      <w:r w:rsidR="08223EE6" w:rsidRPr="003D1E07">
        <w:t xml:space="preserve">způsobil </w:t>
      </w:r>
      <w:r w:rsidR="08F223F3" w:rsidRPr="003D1E07">
        <w:t xml:space="preserve">jen změnu ve vidění světa, ale změnilo se také </w:t>
      </w:r>
      <w:r w:rsidR="08CF7832" w:rsidRPr="003D1E07">
        <w:t xml:space="preserve">sebeporozumění </w:t>
      </w:r>
      <w:r w:rsidR="08F223F3" w:rsidRPr="003D1E07">
        <w:t>moderního člověka</w:t>
      </w:r>
      <w:r w:rsidR="08CF7832" w:rsidRPr="003D1E07">
        <w:t xml:space="preserve">. Zmizela původní jednota osoby, kterou moderna nahradila sbírkou různých substancí a hypostází. </w:t>
      </w:r>
      <w:r w:rsidR="00005C01" w:rsidRPr="003D1E07">
        <w:t xml:space="preserve">Koncept moderního boha šel stejnou cestou. </w:t>
      </w:r>
      <w:r w:rsidR="08CF7832" w:rsidRPr="003D1E07">
        <w:t xml:space="preserve">A na konci 19. století zmizel </w:t>
      </w:r>
      <w:r w:rsidR="08F835F4" w:rsidRPr="003D1E07">
        <w:t xml:space="preserve">v pozitivismu </w:t>
      </w:r>
      <w:r w:rsidR="08CF7832" w:rsidRPr="003D1E07">
        <w:t xml:space="preserve">i moderní bůh, </w:t>
      </w:r>
      <w:r w:rsidR="08E47E8E" w:rsidRPr="003D1E07">
        <w:t xml:space="preserve">protože v přicházející epoše </w:t>
      </w:r>
      <w:r w:rsidR="08F835F4" w:rsidRPr="003D1E07">
        <w:lastRenderedPageBreak/>
        <w:t>metafyzi</w:t>
      </w:r>
      <w:r w:rsidR="08E47E8E" w:rsidRPr="003D1E07">
        <w:t>c</w:t>
      </w:r>
      <w:r w:rsidR="00D113C7">
        <w:t xml:space="preserve">kého nihilismu </w:t>
      </w:r>
      <w:r w:rsidR="08F835F4" w:rsidRPr="003D1E07">
        <w:t xml:space="preserve">už </w:t>
      </w:r>
      <w:r w:rsidR="00652860">
        <w:t>na něj nezbyla žádná rozumná činnost</w:t>
      </w:r>
      <w:r w:rsidR="08CF7832" w:rsidRPr="003D1E07">
        <w:t xml:space="preserve">. Po smrti moderního boha a moderního subjektu </w:t>
      </w:r>
      <w:r w:rsidR="088777D8" w:rsidRPr="003D1E07">
        <w:t xml:space="preserve">přišly ke slovu </w:t>
      </w:r>
      <w:r w:rsidR="08CF7832" w:rsidRPr="003D1E07">
        <w:t xml:space="preserve">postmoderní vědy, </w:t>
      </w:r>
      <w:r w:rsidR="089302B6" w:rsidRPr="003D1E07">
        <w:t>aby zaplnily vzniklou  prázdnotu smyslu.</w:t>
      </w:r>
      <w:r w:rsidR="082A398B" w:rsidRPr="003D1E07">
        <w:t xml:space="preserve"> </w:t>
      </w:r>
      <w:r w:rsidR="089302B6" w:rsidRPr="003D1E07">
        <w:t xml:space="preserve">Tyto vědy </w:t>
      </w:r>
      <w:r w:rsidR="08CF7832" w:rsidRPr="003D1E07">
        <w:t xml:space="preserve">se konstituovaly v myšlenkovém prostoru </w:t>
      </w:r>
      <w:r w:rsidR="002433DA" w:rsidRPr="003D1E07">
        <w:t>objektivní metafyziky</w:t>
      </w:r>
      <w:r w:rsidR="00272C5C" w:rsidRPr="003D1E07">
        <w:t xml:space="preserve"> moderny</w:t>
      </w:r>
      <w:r w:rsidR="002433DA" w:rsidRPr="003D1E07">
        <w:t>, proto nemohou pravdivě zkoumat vlastní počátek</w:t>
      </w:r>
      <w:r w:rsidR="08CF7832" w:rsidRPr="003D1E07">
        <w:t xml:space="preserve">. </w:t>
      </w:r>
      <w:r w:rsidR="08253D84" w:rsidRPr="003D1E07">
        <w:t>Současné s</w:t>
      </w:r>
      <w:r w:rsidR="08CF7832" w:rsidRPr="003D1E07">
        <w:t xml:space="preserve">ociální vědy váhají </w:t>
      </w:r>
      <w:r w:rsidR="08253D84" w:rsidRPr="003D1E07">
        <w:t>jako Buridanův osel mezi dvěma přístupy k epistemologii</w:t>
      </w:r>
      <w:r w:rsidR="08CF7832" w:rsidRPr="003D1E07">
        <w:t>. Wilhelm Dilthey</w:t>
      </w:r>
      <w:r w:rsidR="08CF7832" w:rsidRPr="003D1E07">
        <w:rPr>
          <w:i/>
        </w:rPr>
        <w:fldChar w:fldCharType="begin"/>
      </w:r>
      <w:r w:rsidR="08CF7832" w:rsidRPr="003D1E07">
        <w:instrText xml:space="preserve"> XE "Dilthey, W." </w:instrText>
      </w:r>
      <w:r w:rsidR="08CF7832" w:rsidRPr="003D1E07">
        <w:rPr>
          <w:i/>
        </w:rPr>
        <w:fldChar w:fldCharType="end"/>
      </w:r>
      <w:r w:rsidR="08CF7832" w:rsidRPr="003D1E07">
        <w:rPr>
          <w:i/>
        </w:rPr>
        <w:t xml:space="preserve"> </w:t>
      </w:r>
      <w:r w:rsidR="08CF7832" w:rsidRPr="003D1E07">
        <w:t xml:space="preserve">přivedl vědy o člověku k volbě mezi objektivistickým </w:t>
      </w:r>
      <w:r w:rsidR="08CF7832" w:rsidRPr="003D1E07">
        <w:rPr>
          <w:i/>
        </w:rPr>
        <w:t>Erklären</w:t>
      </w:r>
      <w:r w:rsidR="08CF7832" w:rsidRPr="003D1E07">
        <w:t xml:space="preserve"> </w:t>
      </w:r>
      <w:r w:rsidR="00BB4D6F" w:rsidRPr="003D1E07">
        <w:t xml:space="preserve">a </w:t>
      </w:r>
      <w:r w:rsidR="00BB4D6F" w:rsidRPr="003D1E07">
        <w:rPr>
          <w:i/>
        </w:rPr>
        <w:t>Verstehen</w:t>
      </w:r>
      <w:r w:rsidR="00BB4D6F" w:rsidRPr="003D1E07">
        <w:t xml:space="preserve">. Deterministická explikace zakládá </w:t>
      </w:r>
      <w:r w:rsidR="08CF7832" w:rsidRPr="003D1E07">
        <w:t xml:space="preserve">model přírodních věd a </w:t>
      </w:r>
      <w:r w:rsidR="00BB4D6F" w:rsidRPr="003D1E07">
        <w:t xml:space="preserve">hermeneutické porozumění určuje metodologii </w:t>
      </w:r>
      <w:r w:rsidR="08CF7832" w:rsidRPr="003D1E07">
        <w:t xml:space="preserve">humanitních věd. </w:t>
      </w:r>
      <w:r w:rsidR="001820A9" w:rsidRPr="003D1E07">
        <w:t xml:space="preserve">Typická dichotomie </w:t>
      </w:r>
      <w:r w:rsidR="08995A45" w:rsidRPr="003D1E07">
        <w:t xml:space="preserve">tohoto typu probíhá mezi behavioristickou a humanistickou psychologií, mezi pozitivistickým a hermeneutickým vztahem k dějinám a k humanitním vědám. </w:t>
      </w:r>
      <w:r w:rsidR="08CF7832" w:rsidRPr="003D1E07">
        <w:t>Sázka na plnou objektivitu v</w:t>
      </w:r>
      <w:r w:rsidR="008B0BAD" w:rsidRPr="003D1E07">
        <w:t xml:space="preserve"> deterministickém </w:t>
      </w:r>
      <w:r w:rsidR="08CF7832" w:rsidRPr="003D1E07">
        <w:t xml:space="preserve">modu </w:t>
      </w:r>
      <w:r w:rsidR="08CF7832" w:rsidRPr="003D1E07">
        <w:rPr>
          <w:i/>
        </w:rPr>
        <w:t>Erklären</w:t>
      </w:r>
      <w:r w:rsidR="08CF7832" w:rsidRPr="003D1E07">
        <w:t xml:space="preserve"> přinesla v humanitních vědách smrt </w:t>
      </w:r>
      <w:r w:rsidR="088012EA" w:rsidRPr="003D1E07">
        <w:t xml:space="preserve">dějinně jednajícího </w:t>
      </w:r>
      <w:r w:rsidR="08CF7832" w:rsidRPr="003D1E07">
        <w:t xml:space="preserve">subjektu. </w:t>
      </w:r>
      <w:r w:rsidR="088012EA" w:rsidRPr="003D1E07">
        <w:t xml:space="preserve">Nihilistická epocha humanismu nepotřebuje </w:t>
      </w:r>
      <w:r w:rsidR="08E466E2" w:rsidRPr="003D1E07">
        <w:t xml:space="preserve">osobu jako </w:t>
      </w:r>
      <w:r w:rsidR="088012EA" w:rsidRPr="003D1E07">
        <w:t xml:space="preserve">aktuálního a reálného </w:t>
      </w:r>
      <w:r w:rsidR="08E466E2" w:rsidRPr="003D1E07">
        <w:t>činitele v dějinách</w:t>
      </w:r>
      <w:r w:rsidR="088012EA" w:rsidRPr="003D1E07">
        <w:t xml:space="preserve">. </w:t>
      </w:r>
      <w:r w:rsidR="00DF0EA4" w:rsidRPr="003D1E07">
        <w:t xml:space="preserve">Postmoderní vědy o člověku založené na strukturalismu jsou dány skrze základní fakt, že se něco změnilo na šachovnici lingvistických hodnot určených vzájemnými diferencemi. </w:t>
      </w:r>
      <w:r w:rsidR="00CC01C9" w:rsidRPr="003D1E07">
        <w:t>F</w:t>
      </w:r>
      <w:r w:rsidR="00CC01C9">
        <w:t>erdinand</w:t>
      </w:r>
      <w:r w:rsidR="00CC01C9" w:rsidRPr="003D1E07">
        <w:t xml:space="preserve"> </w:t>
      </w:r>
      <w:r w:rsidR="00CC01C9">
        <w:t xml:space="preserve">de </w:t>
      </w:r>
      <w:r w:rsidR="00CC01C9" w:rsidRPr="003D1E07">
        <w:t>Saussure</w:t>
      </w:r>
      <w:r w:rsidR="00CC01C9">
        <w:t xml:space="preserve"> vytvořil základy všeobecné lingvistiky </w:t>
      </w:r>
      <w:r w:rsidR="00DF0EA4" w:rsidRPr="003D1E07">
        <w:rPr>
          <w:i/>
        </w:rPr>
        <w:fldChar w:fldCharType="begin"/>
      </w:r>
      <w:r w:rsidR="00DF0EA4" w:rsidRPr="003D1E07">
        <w:instrText xml:space="preserve"> XE "Saussure, F." </w:instrText>
      </w:r>
      <w:r w:rsidR="00DF0EA4" w:rsidRPr="003D1E07">
        <w:rPr>
          <w:i/>
        </w:rPr>
        <w:fldChar w:fldCharType="end"/>
      </w:r>
      <w:r w:rsidR="00DF0EA4" w:rsidRPr="003D1E07">
        <w:t>v letech 1906‒11</w:t>
      </w:r>
      <w:r w:rsidR="00CC01C9">
        <w:t>.</w:t>
      </w:r>
      <w:r w:rsidR="0059556C">
        <w:t xml:space="preserve"> V synchronické struktuře jazyka </w:t>
      </w:r>
      <w:r w:rsidR="00DF0EA4" w:rsidRPr="003D1E07">
        <w:t>platí, že každá změna v systému jazykových diferencí a opozic produkuje nové uspořádání lingvistických významů a hodnot (</w:t>
      </w:r>
      <w:r w:rsidR="00DF0EA4" w:rsidRPr="003D1E07">
        <w:rPr>
          <w:i/>
        </w:rPr>
        <w:t>valeur</w:t>
      </w:r>
      <w:r w:rsidR="00DF0EA4" w:rsidRPr="003D1E07">
        <w:t xml:space="preserve">). Klasické myšlení přivádělo člověka ke kriticky zdůvodněnému základu věcí. Dnešní nihilistické myšlení pouze konstatuje iracionální změny systému a my se máme těmto změnám stejně iracionálně přizpůsobovat. Objektivní vědění o člověku přešlo do věku plného metafyzického nihilismu. </w:t>
      </w:r>
      <w:r w:rsidR="08CF7832" w:rsidRPr="003D1E07">
        <w:t>To ukázal Foucaultův</w:t>
      </w:r>
      <w:r w:rsidR="08CF7832" w:rsidRPr="003D1E07">
        <w:rPr>
          <w:i/>
        </w:rPr>
        <w:fldChar w:fldCharType="begin"/>
      </w:r>
      <w:r w:rsidR="08CF7832" w:rsidRPr="003D1E07">
        <w:instrText xml:space="preserve"> XE "Foucault, M." </w:instrText>
      </w:r>
      <w:r w:rsidR="08CF7832" w:rsidRPr="003D1E07">
        <w:rPr>
          <w:i/>
        </w:rPr>
        <w:fldChar w:fldCharType="end"/>
      </w:r>
      <w:r w:rsidR="08CF7832" w:rsidRPr="003D1E07">
        <w:rPr>
          <w:i/>
        </w:rPr>
        <w:t xml:space="preserve"> </w:t>
      </w:r>
      <w:r w:rsidR="08CF7832" w:rsidRPr="003D1E07">
        <w:t>rozbor různých forem</w:t>
      </w:r>
      <w:r w:rsidR="002A0944" w:rsidRPr="003D1E07">
        <w:t xml:space="preserve"> </w:t>
      </w:r>
      <w:r w:rsidR="00FB7779" w:rsidRPr="003D1E07">
        <w:rPr>
          <w:rStyle w:val="Zvraznn"/>
          <w:noProof w:val="0"/>
        </w:rPr>
        <w:t>épistémé</w:t>
      </w:r>
      <w:r w:rsidR="002A0944" w:rsidRPr="003D1E07">
        <w:rPr>
          <w:rStyle w:val="Zvraznn"/>
          <w:noProof w:val="0"/>
        </w:rPr>
        <w:fldChar w:fldCharType="begin"/>
      </w:r>
      <w:r w:rsidR="002A0944" w:rsidRPr="003D1E07">
        <w:rPr>
          <w:noProof w:val="0"/>
        </w:rPr>
        <w:instrText xml:space="preserve"> XE "</w:instrText>
      </w:r>
      <w:r w:rsidR="002A0944" w:rsidRPr="003D1E07">
        <w:rPr>
          <w:rStyle w:val="Zvraznn"/>
          <w:noProof w:val="0"/>
        </w:rPr>
        <w:instrText>épistém</w:instrText>
      </w:r>
      <w:r w:rsidR="00FB7779" w:rsidRPr="003D1E07">
        <w:rPr>
          <w:rStyle w:val="Zvraznn"/>
          <w:noProof w:val="0"/>
        </w:rPr>
        <w:instrText>é</w:instrText>
      </w:r>
      <w:r w:rsidR="002A0944" w:rsidRPr="003D1E07">
        <w:rPr>
          <w:noProof w:val="0"/>
        </w:rPr>
        <w:instrText xml:space="preserve">" </w:instrText>
      </w:r>
      <w:r w:rsidR="002A0944" w:rsidRPr="003D1E07">
        <w:rPr>
          <w:rStyle w:val="Zvraznn"/>
          <w:noProof w:val="0"/>
        </w:rPr>
        <w:fldChar w:fldCharType="end"/>
      </w:r>
      <w:r w:rsidR="08D70336" w:rsidRPr="003D1E07">
        <w:t>, které formují</w:t>
      </w:r>
      <w:r w:rsidR="08CF7832" w:rsidRPr="003D1E07">
        <w:t xml:space="preserve"> sociální vědy a společnost od konce 18. století. </w:t>
      </w:r>
      <w:r w:rsidR="00955AC1" w:rsidRPr="003D1E07">
        <w:t xml:space="preserve">Vědy o člověku sledovaly vývoj filosofie, která vstoupila do období metafyzického nihlismu. </w:t>
      </w:r>
      <w:r w:rsidR="08CF7832" w:rsidRPr="003D1E07">
        <w:t xml:space="preserve">Přijetí objektivity přivedlo na slepou cestu i karteziánsky pojatou </w:t>
      </w:r>
      <w:r w:rsidR="0819195D" w:rsidRPr="003D1E07">
        <w:t>filosof</w:t>
      </w:r>
      <w:r w:rsidR="08CF7832" w:rsidRPr="003D1E07">
        <w:t xml:space="preserve">ii. </w:t>
      </w:r>
      <w:r w:rsidR="0819195D" w:rsidRPr="003D1E07">
        <w:t xml:space="preserve">Husserlova fenomenologie </w:t>
      </w:r>
      <w:r w:rsidR="087477FE" w:rsidRPr="003D1E07">
        <w:t xml:space="preserve">odmítla </w:t>
      </w:r>
      <w:r w:rsidR="08CF7832" w:rsidRPr="003D1E07">
        <w:t xml:space="preserve">otázku po </w:t>
      </w:r>
      <w:r w:rsidR="0819195D" w:rsidRPr="003D1E07">
        <w:t xml:space="preserve">dějinném </w:t>
      </w:r>
      <w:r w:rsidR="00B82EC5" w:rsidRPr="003D1E07">
        <w:t xml:space="preserve">subjektu </w:t>
      </w:r>
      <w:r w:rsidR="08CF7832" w:rsidRPr="003D1E07">
        <w:t>jako předsudek</w:t>
      </w:r>
      <w:r w:rsidR="087477FE" w:rsidRPr="003D1E07">
        <w:t xml:space="preserve">. Smysl </w:t>
      </w:r>
      <w:r w:rsidR="0819195D" w:rsidRPr="003D1E07">
        <w:t xml:space="preserve">světa </w:t>
      </w:r>
      <w:r w:rsidR="087477FE" w:rsidRPr="003D1E07">
        <w:t xml:space="preserve">daný ve výkonu dějinného porozumění </w:t>
      </w:r>
      <w:r w:rsidR="08CF7832" w:rsidRPr="003D1E07">
        <w:t xml:space="preserve">neodpovídá přísným nárokům absolutního náhledu na fenomén, jak se ukazuje v prožitkovém proudu čistého vědomí. </w:t>
      </w:r>
      <w:r w:rsidR="086C74A0" w:rsidRPr="003D1E07">
        <w:t xml:space="preserve">Toto </w:t>
      </w:r>
      <w:r w:rsidR="083F59C0" w:rsidRPr="003D1E07">
        <w:t>tzv. „</w:t>
      </w:r>
      <w:r w:rsidR="086C74A0" w:rsidRPr="003D1E07">
        <w:t>čisté vědomí</w:t>
      </w:r>
      <w:r w:rsidR="083F59C0" w:rsidRPr="003D1E07">
        <w:t>“</w:t>
      </w:r>
      <w:r w:rsidR="086C74A0" w:rsidRPr="003D1E07">
        <w:t xml:space="preserve"> </w:t>
      </w:r>
      <w:r w:rsidR="083F59C0" w:rsidRPr="003D1E07">
        <w:t xml:space="preserve">představuje pouhý filosofický konstrukt, protože je postulované </w:t>
      </w:r>
      <w:r w:rsidR="086C74A0" w:rsidRPr="003D1E07">
        <w:t xml:space="preserve">mimo </w:t>
      </w:r>
      <w:r w:rsidR="087D5768" w:rsidRPr="003D1E07">
        <w:t xml:space="preserve">existenci </w:t>
      </w:r>
      <w:r w:rsidR="086C74A0" w:rsidRPr="003D1E07">
        <w:t>svět</w:t>
      </w:r>
      <w:r w:rsidR="087D5768" w:rsidRPr="003D1E07">
        <w:t>a</w:t>
      </w:r>
      <w:r w:rsidR="086C74A0" w:rsidRPr="003D1E07">
        <w:t xml:space="preserve"> a mimo </w:t>
      </w:r>
      <w:r w:rsidR="08280749" w:rsidRPr="003D1E07">
        <w:t>existenci reálné osoby</w:t>
      </w:r>
      <w:r w:rsidR="086C74A0" w:rsidRPr="003D1E07">
        <w:t xml:space="preserve">. </w:t>
      </w:r>
      <w:r w:rsidR="08CF7832" w:rsidRPr="003D1E07">
        <w:t>Husserlovy přednášky v Paříži (</w:t>
      </w:r>
      <w:r w:rsidR="08CF7832" w:rsidRPr="003D1E07">
        <w:rPr>
          <w:i/>
        </w:rPr>
        <w:t>Pariser Vorträge</w:t>
      </w:r>
      <w:r w:rsidR="08CF7832" w:rsidRPr="003D1E07">
        <w:t xml:space="preserve">, 1928) </w:t>
      </w:r>
      <w:r w:rsidR="08CF7832" w:rsidRPr="003D1E07">
        <w:rPr>
          <w:i/>
        </w:rPr>
        <w:fldChar w:fldCharType="begin"/>
      </w:r>
      <w:r w:rsidR="08CF7832" w:rsidRPr="003D1E07">
        <w:instrText xml:space="preserve"> XE "Husserl, E." </w:instrText>
      </w:r>
      <w:r w:rsidR="08CF7832" w:rsidRPr="003D1E07">
        <w:rPr>
          <w:i/>
        </w:rPr>
        <w:fldChar w:fldCharType="end"/>
      </w:r>
      <w:r w:rsidR="08CF7832" w:rsidRPr="003D1E07">
        <w:t xml:space="preserve"> založily novou formu kartezianismu</w:t>
      </w:r>
      <w:r w:rsidR="08545A56" w:rsidRPr="003D1E07">
        <w:t xml:space="preserve">. První filosofie </w:t>
      </w:r>
      <w:r w:rsidR="08CF7832" w:rsidRPr="003D1E07">
        <w:t xml:space="preserve">si nárokuje statut přísné </w:t>
      </w:r>
      <w:r w:rsidR="08054F69" w:rsidRPr="003D1E07">
        <w:t xml:space="preserve">a ideální </w:t>
      </w:r>
      <w:r w:rsidR="08CF7832" w:rsidRPr="003D1E07">
        <w:t>vědy založené na evidenci obsahů vědomí a na popisu t</w:t>
      </w:r>
      <w:r w:rsidR="00006A70">
        <w:t>akto dané prožitkové struktury.</w:t>
      </w:r>
    </w:p>
    <w:p w14:paraId="3947353B" w14:textId="193E8300" w:rsidR="086F40E8" w:rsidRPr="003D1E07" w:rsidRDefault="08CF7832" w:rsidP="00006A70">
      <w:pPr>
        <w:ind w:firstLine="397"/>
      </w:pPr>
      <w:r w:rsidRPr="003D1E07">
        <w:lastRenderedPageBreak/>
        <w:t xml:space="preserve">Nárok Husserlovy fenomenologie na evidentní objektivitu v absolutně daném subjektu popřela hermeneutika fakticity, která radikálně novým způsobem otevřela </w:t>
      </w:r>
      <w:r w:rsidR="00BD5AF0" w:rsidRPr="003D1E07">
        <w:t xml:space="preserve">klasickou </w:t>
      </w:r>
      <w:r w:rsidRPr="003D1E07">
        <w:t xml:space="preserve">otázku fundamentálního porozumění existence a smyslu bytí. Martin Heidegger zformuloval program hermeneutické fenomenologie ve stejné době, kdy Ludwig Wittgenstein </w:t>
      </w:r>
      <w:r w:rsidRPr="003D1E07">
        <w:rPr>
          <w:i/>
        </w:rPr>
        <w:fldChar w:fldCharType="begin"/>
      </w:r>
      <w:r w:rsidRPr="003D1E07">
        <w:instrText xml:space="preserve"> XE "Wittgenstein, L." </w:instrText>
      </w:r>
      <w:r w:rsidRPr="003D1E07">
        <w:rPr>
          <w:i/>
        </w:rPr>
        <w:fldChar w:fldCharType="end"/>
      </w:r>
      <w:r w:rsidRPr="003D1E07">
        <w:t xml:space="preserve"> publikoval </w:t>
      </w:r>
      <w:r w:rsidRPr="003D1E07">
        <w:rPr>
          <w:i/>
        </w:rPr>
        <w:t>Logicko-filosofický traktát</w:t>
      </w:r>
      <w:r w:rsidRPr="003D1E07">
        <w:t xml:space="preserve"> (</w:t>
      </w:r>
      <w:r w:rsidRPr="003D1E07">
        <w:rPr>
          <w:sz w:val="22"/>
        </w:rPr>
        <w:t>1921)</w:t>
      </w:r>
      <w:r w:rsidR="08465E6E" w:rsidRPr="003D1E07">
        <w:t xml:space="preserve">. </w:t>
      </w:r>
      <w:r w:rsidR="007C22AA" w:rsidRPr="003D1E07">
        <w:t xml:space="preserve">Studie absolutně založené logické objektivity </w:t>
      </w:r>
      <w:r w:rsidRPr="003D1E07">
        <w:t>prosadil</w:t>
      </w:r>
      <w:r w:rsidR="007C22AA" w:rsidRPr="003D1E07">
        <w:t>a</w:t>
      </w:r>
      <w:r w:rsidRPr="003D1E07">
        <w:t xml:space="preserve"> objektivní obraz světa konstruovaný na základě formální analýzy jazyka. Analytická filosofie provádí </w:t>
      </w:r>
      <w:r w:rsidR="002A2E9D" w:rsidRPr="003D1E07">
        <w:t xml:space="preserve">novou </w:t>
      </w:r>
      <w:r w:rsidRPr="003D1E07">
        <w:t>apoteózu vědecké objektivity</w:t>
      </w:r>
      <w:r w:rsidRPr="003D1E07">
        <w:rPr>
          <w:i/>
        </w:rPr>
        <w:fldChar w:fldCharType="begin"/>
      </w:r>
      <w:r w:rsidRPr="003D1E07">
        <w:instrText xml:space="preserve"> XE "objektivita:analytická filosofie" </w:instrText>
      </w:r>
      <w:r w:rsidRPr="003D1E07">
        <w:rPr>
          <w:i/>
        </w:rPr>
        <w:fldChar w:fldCharType="end"/>
      </w:r>
      <w:r w:rsidRPr="003D1E07">
        <w:t>, v níž se jakákoliv vazba na celek jsoucího odmítá jako metafyzický předsudek předešlých věků spojený se subjektivním prožíváním.</w:t>
      </w:r>
      <w:r w:rsidR="08232A27" w:rsidRPr="003D1E07">
        <w:t xml:space="preserve"> </w:t>
      </w:r>
      <w:r w:rsidR="08416247" w:rsidRPr="003D1E07">
        <w:t xml:space="preserve">Husserl vytvořil podobnou formu objektivity na úrovni čistého vědomí. Protože analytická filosofie byla slepá ke skutečnému běhu světa a dějin mimo jazyk, zvolila stejnou </w:t>
      </w:r>
      <w:r w:rsidR="085D253D" w:rsidRPr="003D1E07">
        <w:t xml:space="preserve">fatální cestu </w:t>
      </w:r>
      <w:r w:rsidR="008044ED" w:rsidRPr="003D1E07">
        <w:t>k metafyzickému nihilismu</w:t>
      </w:r>
      <w:r w:rsidR="085D253D" w:rsidRPr="003D1E07">
        <w:t>, jako kartez</w:t>
      </w:r>
      <w:r w:rsidR="08416247" w:rsidRPr="003D1E07">
        <w:t xml:space="preserve">iánská fenomenologie. </w:t>
      </w:r>
      <w:r w:rsidR="082800D3" w:rsidRPr="003D1E07">
        <w:t>Ideální jazyk konstruovan</w:t>
      </w:r>
      <w:r w:rsidR="08F610E2" w:rsidRPr="003D1E07">
        <w:t>ý</w:t>
      </w:r>
      <w:r w:rsidR="082800D3" w:rsidRPr="003D1E07">
        <w:t xml:space="preserve"> podle principů logiky a vybavený přesně danými významy se ukázal být stejným akademickým mýtem jako </w:t>
      </w:r>
      <w:r w:rsidR="08EE16B4" w:rsidRPr="003D1E07">
        <w:t xml:space="preserve">Descartovo a </w:t>
      </w:r>
      <w:r w:rsidR="082800D3" w:rsidRPr="003D1E07">
        <w:t>Husse</w:t>
      </w:r>
      <w:r w:rsidR="08EE16B4" w:rsidRPr="003D1E07">
        <w:t>r</w:t>
      </w:r>
      <w:r w:rsidR="082800D3" w:rsidRPr="003D1E07">
        <w:t xml:space="preserve">lovo </w:t>
      </w:r>
      <w:r w:rsidR="08EE16B4" w:rsidRPr="003D1E07">
        <w:t xml:space="preserve">transcendentální </w:t>
      </w:r>
      <w:r w:rsidR="082800D3" w:rsidRPr="003D1E07">
        <w:t xml:space="preserve">vědomí. </w:t>
      </w:r>
      <w:r w:rsidR="085A6D1D" w:rsidRPr="003D1E07">
        <w:t xml:space="preserve">Plná objektivita založená na neopozitivistické dedukci ve stylu díla </w:t>
      </w:r>
      <w:r w:rsidR="008044ED" w:rsidRPr="003D1E07">
        <w:t xml:space="preserve">Rudolfa Carnapa </w:t>
      </w:r>
      <w:r w:rsidR="008044ED" w:rsidRPr="003D1E07">
        <w:rPr>
          <w:i/>
        </w:rPr>
        <w:fldChar w:fldCharType="begin"/>
      </w:r>
      <w:r w:rsidR="008044ED" w:rsidRPr="003D1E07">
        <w:instrText xml:space="preserve"> XE "Carnap, R." </w:instrText>
      </w:r>
      <w:r w:rsidR="008044ED" w:rsidRPr="003D1E07">
        <w:rPr>
          <w:i/>
        </w:rPr>
        <w:fldChar w:fldCharType="end"/>
      </w:r>
      <w:r w:rsidR="008044ED" w:rsidRPr="003D1E07">
        <w:t xml:space="preserve"> </w:t>
      </w:r>
      <w:r w:rsidR="085A6D1D" w:rsidRPr="003D1E07">
        <w:rPr>
          <w:i/>
        </w:rPr>
        <w:t>Der logische Aufbau der Welt</w:t>
      </w:r>
      <w:r w:rsidR="08C05AC7" w:rsidRPr="003D1E07">
        <w:t xml:space="preserve"> (1928) </w:t>
      </w:r>
      <w:r w:rsidR="085A6D1D" w:rsidRPr="003D1E07">
        <w:t xml:space="preserve">se stala v </w:t>
      </w:r>
      <w:r w:rsidR="00BD5AF0" w:rsidRPr="003D1E07">
        <w:t>post</w:t>
      </w:r>
      <w:r w:rsidR="085A6D1D" w:rsidRPr="003D1E07">
        <w:t xml:space="preserve">moderní filosofii nedosažitelným ideálem. </w:t>
      </w:r>
      <w:r w:rsidRPr="003D1E07">
        <w:t xml:space="preserve">Pojetí objektivity prosazované analytickou filosofií se ocitlo v krizové situaci </w:t>
      </w:r>
      <w:r w:rsidR="08822E9D" w:rsidRPr="003D1E07">
        <w:t>završené kritikou</w:t>
      </w:r>
      <w:r w:rsidRPr="003D1E07">
        <w:t xml:space="preserve"> analytických výroků a odmítnut</w:t>
      </w:r>
      <w:r w:rsidR="081F7AB1" w:rsidRPr="003D1E07">
        <w:t>í</w:t>
      </w:r>
      <w:r w:rsidR="08822E9D" w:rsidRPr="003D1E07">
        <w:t>m</w:t>
      </w:r>
      <w:r w:rsidR="081F7AB1" w:rsidRPr="003D1E07">
        <w:t xml:space="preserve"> atomisticky pojaté reference. </w:t>
      </w:r>
      <w:r w:rsidR="087B70CA" w:rsidRPr="003D1E07">
        <w:t xml:space="preserve">Analytičtí filosofové </w:t>
      </w:r>
      <w:r w:rsidR="08C05AC7" w:rsidRPr="003D1E07">
        <w:t xml:space="preserve">sami potvrdili </w:t>
      </w:r>
      <w:r w:rsidR="089E227C" w:rsidRPr="003D1E07">
        <w:t>ve druhé polovině 20. století</w:t>
      </w:r>
      <w:r w:rsidR="087B70CA" w:rsidRPr="003D1E07">
        <w:t>, že neopozitivismus</w:t>
      </w:r>
      <w:r w:rsidR="087B70CA" w:rsidRPr="003D1E07">
        <w:rPr>
          <w:i/>
        </w:rPr>
        <w:fldChar w:fldCharType="begin"/>
      </w:r>
      <w:r w:rsidR="087B70CA" w:rsidRPr="003D1E07">
        <w:instrText xml:space="preserve"> XE "neopozitivismus" </w:instrText>
      </w:r>
      <w:r w:rsidR="087B70CA" w:rsidRPr="003D1E07">
        <w:rPr>
          <w:i/>
        </w:rPr>
        <w:fldChar w:fldCharType="end"/>
      </w:r>
      <w:r w:rsidR="087B70CA" w:rsidRPr="003D1E07">
        <w:t xml:space="preserve"> a logický formalimus nebyl schopen vyřešit otázky reference, verifikace, smyslu a pravdy</w:t>
      </w:r>
      <w:r w:rsidR="00D04760" w:rsidRPr="003D1E07">
        <w:t xml:space="preserve"> událostí v reálném světě</w:t>
      </w:r>
      <w:r w:rsidR="087B70CA" w:rsidRPr="003D1E07">
        <w:t>. Objektivita v rámci analytické filosof</w:t>
      </w:r>
      <w:r w:rsidR="081F7AB1" w:rsidRPr="003D1E07">
        <w:t xml:space="preserve">ie nebyla dostatečně objektivní, </w:t>
      </w:r>
      <w:r w:rsidR="08AB629F" w:rsidRPr="003D1E07">
        <w:t xml:space="preserve">protože </w:t>
      </w:r>
      <w:r w:rsidR="081F7AB1" w:rsidRPr="003D1E07">
        <w:t xml:space="preserve">nebyla schopna </w:t>
      </w:r>
      <w:r w:rsidR="085F2760" w:rsidRPr="003D1E07">
        <w:t xml:space="preserve">vytvořit </w:t>
      </w:r>
      <w:r w:rsidR="081F7AB1" w:rsidRPr="003D1E07">
        <w:t>základ pro metodologii</w:t>
      </w:r>
      <w:r w:rsidR="085F2760" w:rsidRPr="003D1E07">
        <w:t xml:space="preserve"> věd</w:t>
      </w:r>
      <w:r w:rsidR="087B70CA" w:rsidRPr="003D1E07">
        <w:t xml:space="preserve">. </w:t>
      </w:r>
      <w:r w:rsidR="083D1F79" w:rsidRPr="003D1E07">
        <w:t xml:space="preserve">Karl Popper </w:t>
      </w:r>
      <w:r w:rsidR="083D1F79" w:rsidRPr="003D1E07">
        <w:rPr>
          <w:i/>
        </w:rPr>
        <w:fldChar w:fldCharType="begin"/>
      </w:r>
      <w:r w:rsidR="083D1F79" w:rsidRPr="003D1E07">
        <w:instrText xml:space="preserve"> XE "Popper, K. R." </w:instrText>
      </w:r>
      <w:r w:rsidR="083D1F79" w:rsidRPr="003D1E07">
        <w:rPr>
          <w:i/>
        </w:rPr>
        <w:fldChar w:fldCharType="end"/>
      </w:r>
      <w:r w:rsidR="083D1F79" w:rsidRPr="003D1E07">
        <w:t xml:space="preserve"> v díle </w:t>
      </w:r>
      <w:r w:rsidR="083D1F79" w:rsidRPr="003D1E07">
        <w:rPr>
          <w:rStyle w:val="Zvraznn"/>
        </w:rPr>
        <w:t>Logik der Forschung</w:t>
      </w:r>
      <w:r w:rsidR="083D1F79" w:rsidRPr="003D1E07">
        <w:t xml:space="preserve"> (1935) zrušil n</w:t>
      </w:r>
      <w:r w:rsidRPr="003D1E07">
        <w:t>eopozitivistickou definici vědecké metody založenou</w:t>
      </w:r>
      <w:r w:rsidR="083D1F79" w:rsidRPr="003D1E07">
        <w:t xml:space="preserve"> na </w:t>
      </w:r>
      <w:r w:rsidR="000B6860" w:rsidRPr="003D1E07">
        <w:t xml:space="preserve">logické </w:t>
      </w:r>
      <w:r w:rsidR="083D1F79" w:rsidRPr="003D1E07">
        <w:t>dedukci</w:t>
      </w:r>
      <w:r w:rsidRPr="003D1E07">
        <w:t>. Popper vrátil teorii vědy k</w:t>
      </w:r>
      <w:r w:rsidR="08EB2DD6" w:rsidRPr="003D1E07">
        <w:t> </w:t>
      </w:r>
      <w:r w:rsidRPr="003D1E07">
        <w:t>indukci</w:t>
      </w:r>
      <w:r w:rsidR="08EB2DD6" w:rsidRPr="003D1E07">
        <w:t xml:space="preserve"> pomocí metody falsifikace</w:t>
      </w:r>
      <w:r w:rsidR="001F2F73" w:rsidRPr="003D1E07">
        <w:t xml:space="preserve"> a pozorování reálných faktů</w:t>
      </w:r>
      <w:r w:rsidR="086C1C72" w:rsidRPr="003D1E07">
        <w:t>, a</w:t>
      </w:r>
      <w:r w:rsidRPr="003D1E07">
        <w:t xml:space="preserve">le cena za záchranu </w:t>
      </w:r>
      <w:r w:rsidR="00DA05A5" w:rsidRPr="003D1E07">
        <w:t xml:space="preserve">objektivní vědy </w:t>
      </w:r>
      <w:r w:rsidRPr="003D1E07">
        <w:t xml:space="preserve">byla vysoká. </w:t>
      </w:r>
      <w:r w:rsidR="009657EF" w:rsidRPr="003D1E07">
        <w:t>V</w:t>
      </w:r>
      <w:r w:rsidRPr="003D1E07">
        <w:t xml:space="preserve">ěda přišla o ideál deduktivně určeného zkoumání reality, kterou Aristotelovo dílo </w:t>
      </w:r>
      <w:r w:rsidRPr="003D1E07">
        <w:rPr>
          <w:i/>
        </w:rPr>
        <w:t>Druhé analytiky</w:t>
      </w:r>
      <w:r w:rsidRPr="003D1E07">
        <w:t xml:space="preserve"> postulovalo jako nezbytnou podmínku pravdivého vědeckého poznání. </w:t>
      </w:r>
      <w:r w:rsidR="08EB2DD6" w:rsidRPr="003D1E07">
        <w:t>Současná metodologie vědy dekon</w:t>
      </w:r>
      <w:r w:rsidR="00BE1595" w:rsidRPr="003D1E07">
        <w:t>s</w:t>
      </w:r>
      <w:r w:rsidR="08EB2DD6" w:rsidRPr="003D1E07">
        <w:t>truovala p</w:t>
      </w:r>
      <w:r w:rsidR="08D704B7" w:rsidRPr="003D1E07">
        <w:t>ojetí obj</w:t>
      </w:r>
      <w:r w:rsidR="00D038F0" w:rsidRPr="003D1E07">
        <w:t>ektivity jako absolutního vědění, které</w:t>
      </w:r>
      <w:r w:rsidR="08EB2DD6" w:rsidRPr="003D1E07">
        <w:t xml:space="preserve"> stojí mimo </w:t>
      </w:r>
      <w:r w:rsidR="009D7F02" w:rsidRPr="003D1E07">
        <w:t>dějinné působení</w:t>
      </w:r>
      <w:r w:rsidR="00AF398C" w:rsidRPr="003D1E07">
        <w:t xml:space="preserve"> </w:t>
      </w:r>
      <w:r w:rsidR="00AF398C" w:rsidRPr="003D1E07">
        <w:rPr>
          <w:noProof w:val="0"/>
        </w:rPr>
        <w:t>(</w:t>
      </w:r>
      <w:r w:rsidR="00AF398C" w:rsidRPr="003D1E07">
        <w:rPr>
          <w:i/>
          <w:noProof w:val="0"/>
        </w:rPr>
        <w:t>Wirkungsgeschichte</w:t>
      </w:r>
      <w:r w:rsidR="00AF398C" w:rsidRPr="003D1E07">
        <w:rPr>
          <w:i/>
          <w:noProof w:val="0"/>
        </w:rPr>
        <w:fldChar w:fldCharType="begin"/>
      </w:r>
      <w:r w:rsidR="00AF398C" w:rsidRPr="003D1E07">
        <w:instrText xml:space="preserve"> XE "</w:instrText>
      </w:r>
      <w:r w:rsidR="00AF398C" w:rsidRPr="003D1E07">
        <w:rPr>
          <w:i/>
          <w:noProof w:val="0"/>
        </w:rPr>
        <w:instrText>Wirkungsgeschichte</w:instrText>
      </w:r>
      <w:r w:rsidR="00AF398C" w:rsidRPr="003D1E07">
        <w:instrText xml:space="preserve">" </w:instrText>
      </w:r>
      <w:r w:rsidR="00AF398C" w:rsidRPr="003D1E07">
        <w:rPr>
          <w:i/>
          <w:noProof w:val="0"/>
        </w:rPr>
        <w:fldChar w:fldCharType="end"/>
      </w:r>
      <w:r w:rsidR="00AF398C" w:rsidRPr="003D1E07">
        <w:rPr>
          <w:noProof w:val="0"/>
        </w:rPr>
        <w:t>)</w:t>
      </w:r>
      <w:r w:rsidR="08D704B7" w:rsidRPr="003D1E07">
        <w:t xml:space="preserve">. </w:t>
      </w:r>
      <w:r w:rsidR="003059AE" w:rsidRPr="003D1E07">
        <w:t xml:space="preserve">Tento omyl se sice podařilo korigovat, ale nutnou cenou byla byla další krize vědecké objektivity. </w:t>
      </w:r>
      <w:r w:rsidR="08D704B7" w:rsidRPr="003D1E07">
        <w:t>Thomas Kuhn</w:t>
      </w:r>
      <w:r w:rsidR="08D704B7" w:rsidRPr="003D1E07">
        <w:rPr>
          <w:i/>
        </w:rPr>
        <w:fldChar w:fldCharType="begin"/>
      </w:r>
      <w:r w:rsidR="08D704B7" w:rsidRPr="003D1E07">
        <w:instrText xml:space="preserve"> XE "Kuhn, T." </w:instrText>
      </w:r>
      <w:r w:rsidR="08D704B7" w:rsidRPr="003D1E07">
        <w:rPr>
          <w:i/>
        </w:rPr>
        <w:fldChar w:fldCharType="end"/>
      </w:r>
      <w:r w:rsidR="08D704B7" w:rsidRPr="003D1E07">
        <w:t xml:space="preserve"> upozornil na paradigmatické změny </w:t>
      </w:r>
      <w:r w:rsidR="086C1C72" w:rsidRPr="003D1E07">
        <w:t>ve vědě, které anu</w:t>
      </w:r>
      <w:r w:rsidR="08D704B7" w:rsidRPr="003D1E07">
        <w:t>lují předešlé poznatky jako nevědecké. Paul Feyerabend</w:t>
      </w:r>
      <w:r w:rsidR="08D704B7" w:rsidRPr="003D1E07">
        <w:rPr>
          <w:i/>
        </w:rPr>
        <w:fldChar w:fldCharType="begin"/>
      </w:r>
      <w:r w:rsidR="08D704B7" w:rsidRPr="003D1E07">
        <w:instrText xml:space="preserve"> XE "Feyerabend, P. K." </w:instrText>
      </w:r>
      <w:r w:rsidR="08D704B7" w:rsidRPr="003D1E07">
        <w:rPr>
          <w:i/>
        </w:rPr>
        <w:fldChar w:fldCharType="end"/>
      </w:r>
      <w:r w:rsidR="08D704B7" w:rsidRPr="003D1E07">
        <w:t xml:space="preserve"> přidal k paradigmatickým změnám také socio-kulturní a politickou podmíněnost vědeckého bádání</w:t>
      </w:r>
      <w:r w:rsidR="08843604" w:rsidRPr="003D1E07">
        <w:t xml:space="preserve">. Protože věda je ovlivněna společností a </w:t>
      </w:r>
      <w:r w:rsidR="08843604" w:rsidRPr="003D1E07">
        <w:lastRenderedPageBreak/>
        <w:t>pol</w:t>
      </w:r>
      <w:r w:rsidR="08431AD2" w:rsidRPr="003D1E07">
        <w:t>it</w:t>
      </w:r>
      <w:r w:rsidR="08843604" w:rsidRPr="003D1E07">
        <w:t xml:space="preserve">ickými strategiemi, její normy vědeckosti mají základ i mimo oblast samotné vědy. </w:t>
      </w:r>
      <w:r w:rsidR="00465D56" w:rsidRPr="003D1E07">
        <w:t>F</w:t>
      </w:r>
      <w:r w:rsidR="086039B4" w:rsidRPr="003D1E07">
        <w:t xml:space="preserve">ilosofie </w:t>
      </w:r>
      <w:r w:rsidR="00432A00" w:rsidRPr="003D1E07">
        <w:t xml:space="preserve">neostrukturalismu a dekonstrukce </w:t>
      </w:r>
      <w:r w:rsidR="00465D56" w:rsidRPr="003D1E07">
        <w:t xml:space="preserve">dala objektivitě finální ránu z milosti. Nekonečné přenášení </w:t>
      </w:r>
      <w:r w:rsidR="00465D56" w:rsidRPr="003D1E07">
        <w:rPr>
          <w:i/>
        </w:rPr>
        <w:t>ad hoc</w:t>
      </w:r>
      <w:r w:rsidR="00465D56" w:rsidRPr="003D1E07">
        <w:t xml:space="preserve"> daného významu způsobilo že objektivita se </w:t>
      </w:r>
      <w:r w:rsidR="086039B4" w:rsidRPr="003D1E07">
        <w:t xml:space="preserve">změnila </w:t>
      </w:r>
      <w:r w:rsidR="0853747F" w:rsidRPr="003D1E07">
        <w:t xml:space="preserve">na nihilistickou variantu pragmatismu, </w:t>
      </w:r>
      <w:r w:rsidR="086F40E8" w:rsidRPr="003D1E07">
        <w:t>na sofistiku a na teorii univ</w:t>
      </w:r>
      <w:r w:rsidR="086039B4" w:rsidRPr="003D1E07">
        <w:t>erzálně pojaté metafory</w:t>
      </w:r>
      <w:r w:rsidR="086F40E8" w:rsidRPr="003D1E07">
        <w:t>.</w:t>
      </w:r>
    </w:p>
    <w:p w14:paraId="7BD1F2B8" w14:textId="02D0EEC5" w:rsidR="08CF7832" w:rsidRPr="003D1E07" w:rsidRDefault="0853747F" w:rsidP="00CF40FB">
      <w:pPr>
        <w:ind w:firstLine="397"/>
        <w:rPr>
          <w:rStyle w:val="Znakapoznpodarou"/>
          <w:vertAlign w:val="baseline"/>
        </w:rPr>
      </w:pPr>
      <w:r w:rsidRPr="003D1E07">
        <w:t xml:space="preserve">Krize objektivity </w:t>
      </w:r>
      <w:r w:rsidR="0009339B" w:rsidRPr="003D1E07">
        <w:t xml:space="preserve">ve vědách </w:t>
      </w:r>
      <w:r w:rsidR="00AD7EED" w:rsidRPr="003D1E07">
        <w:t xml:space="preserve">je spojena s krizí subjektu, </w:t>
      </w:r>
      <w:r w:rsidRPr="003D1E07">
        <w:t>který přestal být existující osobou</w:t>
      </w:r>
      <w:r w:rsidR="00A75950" w:rsidRPr="003D1E07">
        <w:t xml:space="preserve"> jednající ve spole</w:t>
      </w:r>
      <w:r w:rsidR="008C459A" w:rsidRPr="003D1E07">
        <w:t xml:space="preserve">čně chápaném </w:t>
      </w:r>
      <w:r w:rsidR="00A75950" w:rsidRPr="003D1E07">
        <w:t>světě</w:t>
      </w:r>
      <w:r w:rsidRPr="003D1E07">
        <w:t xml:space="preserve">. Po zmizení osoby z první filosofie </w:t>
      </w:r>
      <w:r w:rsidR="08E95262" w:rsidRPr="003D1E07">
        <w:t>doš</w:t>
      </w:r>
      <w:r w:rsidR="08C236E5" w:rsidRPr="003D1E07">
        <w:t>lo k disjunkci</w:t>
      </w:r>
      <w:r w:rsidRPr="003D1E07">
        <w:t xml:space="preserve"> mezi existujícím člověkem a jím zkoumaným světem. </w:t>
      </w:r>
      <w:r w:rsidR="081342CD" w:rsidRPr="003D1E07">
        <w:t xml:space="preserve">Osoba byla v moderní a postmoderní filosofii zrušena dvojím způsobem. </w:t>
      </w:r>
      <w:r w:rsidR="00B5775E" w:rsidRPr="003D1E07">
        <w:t xml:space="preserve">Buď </w:t>
      </w:r>
      <w:r w:rsidR="081342CD" w:rsidRPr="003D1E07">
        <w:t>byla osoba zredukována na č</w:t>
      </w:r>
      <w:r w:rsidRPr="003D1E07">
        <w:t>isté vědomí subjektu</w:t>
      </w:r>
      <w:r w:rsidR="081342CD" w:rsidRPr="003D1E07">
        <w:t>, které</w:t>
      </w:r>
      <w:r w:rsidRPr="003D1E07">
        <w:t xml:space="preserve"> eviduje </w:t>
      </w:r>
      <w:r w:rsidR="0075128B" w:rsidRPr="003D1E07">
        <w:t>essen</w:t>
      </w:r>
      <w:r w:rsidR="081342CD" w:rsidRPr="003D1E07">
        <w:t xml:space="preserve">ciální </w:t>
      </w:r>
      <w:r w:rsidRPr="003D1E07">
        <w:t>obsahy prožitků</w:t>
      </w:r>
      <w:r w:rsidR="00700FC0" w:rsidRPr="003D1E07">
        <w:t xml:space="preserve"> </w:t>
      </w:r>
      <w:r w:rsidR="00E53C9A" w:rsidRPr="003D1E07">
        <w:t xml:space="preserve">neexistujících </w:t>
      </w:r>
      <w:r w:rsidR="00700FC0" w:rsidRPr="003D1E07">
        <w:t>v reáln</w:t>
      </w:r>
      <w:r w:rsidR="00E53C9A" w:rsidRPr="003D1E07">
        <w:t>ém</w:t>
      </w:r>
      <w:r w:rsidR="00700FC0" w:rsidRPr="003D1E07">
        <w:t xml:space="preserve"> světě</w:t>
      </w:r>
      <w:r w:rsidR="081342CD" w:rsidRPr="003D1E07">
        <w:t xml:space="preserve">. Nebo se </w:t>
      </w:r>
      <w:r w:rsidR="08AB05A5" w:rsidRPr="003D1E07">
        <w:t xml:space="preserve">člověk </w:t>
      </w:r>
      <w:r w:rsidR="081342CD" w:rsidRPr="003D1E07">
        <w:t xml:space="preserve">změnil na </w:t>
      </w:r>
      <w:r w:rsidR="08AB05A5" w:rsidRPr="003D1E07">
        <w:t>čistou formu</w:t>
      </w:r>
      <w:r w:rsidRPr="003D1E07">
        <w:t xml:space="preserve"> </w:t>
      </w:r>
      <w:r w:rsidR="08AB05A5" w:rsidRPr="003D1E07">
        <w:t xml:space="preserve">řeči a </w:t>
      </w:r>
      <w:r w:rsidRPr="003D1E07">
        <w:t xml:space="preserve">jazyka </w:t>
      </w:r>
      <w:r w:rsidR="08AB05A5" w:rsidRPr="003D1E07">
        <w:t>daných</w:t>
      </w:r>
      <w:r w:rsidRPr="003D1E07">
        <w:t xml:space="preserve"> mimo subjekt </w:t>
      </w:r>
      <w:r w:rsidR="081342CD" w:rsidRPr="003D1E07">
        <w:t>(</w:t>
      </w:r>
      <w:r w:rsidR="081342CD" w:rsidRPr="003D1E07">
        <w:rPr>
          <w:i/>
        </w:rPr>
        <w:t>speech-act</w:t>
      </w:r>
      <w:r w:rsidR="00A35274" w:rsidRPr="003D1E07">
        <w:rPr>
          <w:i/>
        </w:rPr>
        <w:t>s</w:t>
      </w:r>
      <w:r w:rsidR="081342CD" w:rsidRPr="003D1E07">
        <w:t xml:space="preserve">, </w:t>
      </w:r>
      <w:r w:rsidR="081342CD" w:rsidRPr="003D1E07">
        <w:rPr>
          <w:i/>
        </w:rPr>
        <w:t>language-game</w:t>
      </w:r>
      <w:r w:rsidR="00A35274" w:rsidRPr="003D1E07">
        <w:rPr>
          <w:i/>
        </w:rPr>
        <w:t>s</w:t>
      </w:r>
      <w:r w:rsidR="081342CD" w:rsidRPr="003D1E07">
        <w:t xml:space="preserve">), který sám v sobě </w:t>
      </w:r>
      <w:r w:rsidRPr="003D1E07">
        <w:t>zrcadlí svět</w:t>
      </w:r>
      <w:r w:rsidR="08881FC3" w:rsidRPr="003D1E07">
        <w:t xml:space="preserve"> v modu postmoderní idolatrie</w:t>
      </w:r>
      <w:r w:rsidRPr="003D1E07">
        <w:t>. V prvním případě je subjekt redukován na evidenci obsahů absolutního vědomí</w:t>
      </w:r>
      <w:r w:rsidR="082F3DA2" w:rsidRPr="003D1E07">
        <w:t>, v</w:t>
      </w:r>
      <w:r w:rsidRPr="003D1E07">
        <w:t>e druhém případě</w:t>
      </w:r>
      <w:r w:rsidR="082F3DA2" w:rsidRPr="003D1E07">
        <w:t xml:space="preserve"> tvoří neoddělitelnou část </w:t>
      </w:r>
      <w:r w:rsidRPr="003D1E07">
        <w:t>neutrálních procesů</w:t>
      </w:r>
      <w:r w:rsidR="0075128B" w:rsidRPr="003D1E07">
        <w:t xml:space="preserve"> jazyka</w:t>
      </w:r>
      <w:r w:rsidRPr="003D1E07">
        <w:t>. Transc</w:t>
      </w:r>
      <w:r w:rsidR="08177DC8" w:rsidRPr="003D1E07">
        <w:t xml:space="preserve">endentální egologie </w:t>
      </w:r>
      <w:r w:rsidRPr="003D1E07">
        <w:t xml:space="preserve">a strukturalismus </w:t>
      </w:r>
      <w:r w:rsidR="08177DC8" w:rsidRPr="003D1E07">
        <w:t xml:space="preserve">nepotřebují </w:t>
      </w:r>
      <w:r w:rsidRPr="003D1E07">
        <w:t>reálnou os</w:t>
      </w:r>
      <w:r w:rsidR="084C15A1" w:rsidRPr="003D1E07">
        <w:t xml:space="preserve">obu, která poznává reálný svět. </w:t>
      </w:r>
      <w:r w:rsidRPr="003D1E07">
        <w:t>Místo reality se sleduje pohyb eidetických významů v</w:t>
      </w:r>
      <w:r w:rsidR="00C77B03">
        <w:t xml:space="preserve"> transcendentálním </w:t>
      </w:r>
      <w:r w:rsidRPr="003D1E07">
        <w:t>subjektu nebo Šivův ta</w:t>
      </w:r>
      <w:r w:rsidR="084C15A1" w:rsidRPr="003D1E07">
        <w:t>nec virtuálních diferencí, který</w:t>
      </w:r>
      <w:r w:rsidRPr="003D1E07">
        <w:t xml:space="preserve"> </w:t>
      </w:r>
      <w:r w:rsidR="084C15A1" w:rsidRPr="003D1E07">
        <w:t xml:space="preserve">vytváří a destruuje </w:t>
      </w:r>
      <w:r w:rsidRPr="003D1E07">
        <w:rPr>
          <w:i/>
        </w:rPr>
        <w:t>ad hoc</w:t>
      </w:r>
      <w:r w:rsidRPr="003D1E07">
        <w:t xml:space="preserve"> dané </w:t>
      </w:r>
      <w:r w:rsidR="08581AE0" w:rsidRPr="003D1E07">
        <w:t>struktury.</w:t>
      </w:r>
      <w:r w:rsidR="088412BB" w:rsidRPr="003D1E07">
        <w:t xml:space="preserve"> </w:t>
      </w:r>
      <w:r w:rsidR="08CF7832" w:rsidRPr="003D1E07">
        <w:t xml:space="preserve">Krize filosofie jazyka završila </w:t>
      </w:r>
      <w:r w:rsidR="088412BB" w:rsidRPr="003D1E07">
        <w:t xml:space="preserve">doprovodnou </w:t>
      </w:r>
      <w:r w:rsidR="08CF7832" w:rsidRPr="003D1E07">
        <w:t xml:space="preserve">krizi epistemologie a </w:t>
      </w:r>
      <w:r w:rsidR="088412BB" w:rsidRPr="003D1E07">
        <w:t xml:space="preserve">obě </w:t>
      </w:r>
      <w:r w:rsidR="08CF7832" w:rsidRPr="003D1E07">
        <w:t>potvrdil</w:t>
      </w:r>
      <w:r w:rsidR="088412BB" w:rsidRPr="003D1E07">
        <w:t>y</w:t>
      </w:r>
      <w:r w:rsidR="08CF7832" w:rsidRPr="003D1E07">
        <w:t xml:space="preserve"> zánik metafyziky v epoše filosofického nihilismu. </w:t>
      </w:r>
      <w:r w:rsidR="080B422F" w:rsidRPr="003D1E07">
        <w:t>Zaniklou m</w:t>
      </w:r>
      <w:r w:rsidR="08CF7832" w:rsidRPr="003D1E07">
        <w:t xml:space="preserve">etafyziku vystřídala </w:t>
      </w:r>
      <w:r w:rsidR="08BB487C" w:rsidRPr="003D1E07">
        <w:t xml:space="preserve">současná módní vlna </w:t>
      </w:r>
      <w:r w:rsidR="08CF7832" w:rsidRPr="003D1E07">
        <w:t xml:space="preserve">dekonstrukce a kognitivní neurofyziologie. Tyto </w:t>
      </w:r>
      <w:r w:rsidR="083676B8" w:rsidRPr="003D1E07">
        <w:t xml:space="preserve">nihilistické </w:t>
      </w:r>
      <w:r w:rsidR="08CF7832" w:rsidRPr="003D1E07">
        <w:t xml:space="preserve">formy první vědy </w:t>
      </w:r>
      <w:r w:rsidR="083676B8" w:rsidRPr="003D1E07">
        <w:t xml:space="preserve">tvrdí, že mohou garantovat </w:t>
      </w:r>
      <w:r w:rsidR="08CF7832" w:rsidRPr="003D1E07">
        <w:t xml:space="preserve">pravdivé </w:t>
      </w:r>
      <w:r w:rsidR="083676B8" w:rsidRPr="003D1E07">
        <w:t xml:space="preserve">a celostní </w:t>
      </w:r>
      <w:r w:rsidR="08CF7832" w:rsidRPr="003D1E07">
        <w:t>poznání světa</w:t>
      </w:r>
      <w:r w:rsidR="088412BB" w:rsidRPr="003D1E07">
        <w:t xml:space="preserve"> a člověka</w:t>
      </w:r>
      <w:r w:rsidR="00CF40FB" w:rsidRPr="003D1E07">
        <w:t xml:space="preserve">. </w:t>
      </w:r>
      <w:r w:rsidR="08CF7832" w:rsidRPr="003D1E07">
        <w:t>Co je svět a realita mimo subjektivní reprezentaci platnou objektivně, to přestalo být vědecky poznatelné již od dob Kantovy</w:t>
      </w:r>
      <w:r w:rsidR="08CF7832" w:rsidRPr="003D1E07">
        <w:rPr>
          <w:i/>
        </w:rPr>
        <w:fldChar w:fldCharType="begin"/>
      </w:r>
      <w:r w:rsidR="08CF7832" w:rsidRPr="003D1E07">
        <w:instrText xml:space="preserve"> XE "Kant, I." </w:instrText>
      </w:r>
      <w:r w:rsidR="08CF7832" w:rsidRPr="003D1E07">
        <w:rPr>
          <w:i/>
        </w:rPr>
        <w:fldChar w:fldCharType="end"/>
      </w:r>
      <w:r w:rsidR="08CF7832" w:rsidRPr="003D1E07">
        <w:t xml:space="preserve"> </w:t>
      </w:r>
      <w:r w:rsidR="08CF7832" w:rsidRPr="003D1E07">
        <w:rPr>
          <w:i/>
        </w:rPr>
        <w:t>Kritiky čistého rozumu</w:t>
      </w:r>
      <w:r w:rsidR="08CF7832" w:rsidRPr="003D1E07">
        <w:t xml:space="preserve">. Krize objektivity se </w:t>
      </w:r>
      <w:r w:rsidR="00297CAA" w:rsidRPr="003D1E07">
        <w:t xml:space="preserve">primárně </w:t>
      </w:r>
      <w:r w:rsidR="08CF7832" w:rsidRPr="003D1E07">
        <w:t xml:space="preserve">týká </w:t>
      </w:r>
      <w:r w:rsidR="00297CAA" w:rsidRPr="003D1E07">
        <w:t xml:space="preserve">postavení </w:t>
      </w:r>
      <w:r w:rsidR="00163A71" w:rsidRPr="003D1E07">
        <w:t xml:space="preserve">subjektu. </w:t>
      </w:r>
      <w:r w:rsidR="08CF7832" w:rsidRPr="003D1E07">
        <w:t xml:space="preserve">Útok na metafyziku z pozice absolutní vůle k moci připomíná také fyzikům, že svět </w:t>
      </w:r>
      <w:r w:rsidR="00DF24A2" w:rsidRPr="003D1E07">
        <w:t xml:space="preserve">přírodních věd </w:t>
      </w:r>
      <w:r w:rsidR="08B57FC6" w:rsidRPr="003D1E07">
        <w:t xml:space="preserve">je tvořen </w:t>
      </w:r>
      <w:r w:rsidR="00DF24A2" w:rsidRPr="003D1E07">
        <w:t>skrze perspektiv</w:t>
      </w:r>
      <w:r w:rsidR="08CF7832" w:rsidRPr="003D1E07">
        <w:t xml:space="preserve">u </w:t>
      </w:r>
      <w:r w:rsidR="08B57FC6" w:rsidRPr="003D1E07">
        <w:t>subjektu</w:t>
      </w:r>
      <w:r w:rsidR="08CF7832" w:rsidRPr="003D1E07">
        <w:t xml:space="preserve">. Svět se stal na konci 19. století aspektem demiurgické vůle </w:t>
      </w:r>
      <w:r w:rsidR="08B57FC6" w:rsidRPr="003D1E07">
        <w:t>postmoderního subjektu.</w:t>
      </w:r>
      <w:r w:rsidR="08A21E4C" w:rsidRPr="003D1E07">
        <w:t xml:space="preserve"> </w:t>
      </w:r>
      <w:r w:rsidR="00595BC7" w:rsidRPr="003D1E07">
        <w:t xml:space="preserve">Friedrich </w:t>
      </w:r>
      <w:r w:rsidR="08CF7832" w:rsidRPr="003D1E07">
        <w:t>Nietzsche</w:t>
      </w:r>
      <w:r w:rsidR="08CF7832" w:rsidRPr="003D1E07">
        <w:rPr>
          <w:i/>
        </w:rPr>
        <w:fldChar w:fldCharType="begin"/>
      </w:r>
      <w:r w:rsidR="08CF7832" w:rsidRPr="003D1E07">
        <w:instrText xml:space="preserve"> XE "Nietzsche, F." </w:instrText>
      </w:r>
      <w:r w:rsidR="08CF7832" w:rsidRPr="003D1E07">
        <w:rPr>
          <w:i/>
        </w:rPr>
        <w:fldChar w:fldCharType="end"/>
      </w:r>
      <w:r w:rsidR="08CF7832" w:rsidRPr="003D1E07">
        <w:t xml:space="preserve"> zdůrazňuje, že </w:t>
      </w:r>
      <w:r w:rsidR="08A21E4C" w:rsidRPr="003D1E07">
        <w:t xml:space="preserve">lidská </w:t>
      </w:r>
      <w:r w:rsidR="08CF7832" w:rsidRPr="003D1E07">
        <w:t xml:space="preserve">vůle </w:t>
      </w:r>
      <w:r w:rsidR="08A21E4C" w:rsidRPr="003D1E07">
        <w:t>se zjevuje v podob</w:t>
      </w:r>
      <w:r w:rsidR="00435F68">
        <w:t>né formě jako přírodní síly. Vů</w:t>
      </w:r>
      <w:r w:rsidR="08A21E4C" w:rsidRPr="003D1E07">
        <w:t>l</w:t>
      </w:r>
      <w:r w:rsidR="00435F68">
        <w:t>e</w:t>
      </w:r>
      <w:r w:rsidR="08A21E4C" w:rsidRPr="003D1E07">
        <w:t xml:space="preserve"> vědce se zásadně </w:t>
      </w:r>
      <w:r w:rsidR="08CF7832" w:rsidRPr="003D1E07">
        <w:t>neliší od fyzikálních silových polí, které utvářejí okolí podle vlastní perspektivy akce a reakce.</w:t>
      </w:r>
      <w:r w:rsidR="0061203E" w:rsidRPr="003D1E07">
        <w:t xml:space="preserve"> L</w:t>
      </w:r>
      <w:r w:rsidR="08A41D34" w:rsidRPr="003D1E07">
        <w:t>idská v</w:t>
      </w:r>
      <w:r w:rsidR="08CF7832" w:rsidRPr="003D1E07">
        <w:t xml:space="preserve">ůle vidí svět v individuálním úhlu pohledu, který formuje životní síla, taktéž daná individuálně. Takto ozvláštněná vůle silově determinuje každé jednání, včetně zdánlivě nezaujatého pohledu vědce. První teoretický nihilista vidí něco podstatného z dění </w:t>
      </w:r>
      <w:r w:rsidR="0061203E" w:rsidRPr="003D1E07">
        <w:t>světa</w:t>
      </w:r>
      <w:r w:rsidR="08CF7832" w:rsidRPr="003D1E07">
        <w:rPr>
          <w:i/>
        </w:rPr>
        <w:fldChar w:fldCharType="begin"/>
      </w:r>
      <w:r w:rsidR="08F364C0" w:rsidRPr="003D1E07">
        <w:instrText xml:space="preserve"> XE "</w:instrText>
      </w:r>
      <w:r w:rsidR="08CF7832" w:rsidRPr="003D1E07">
        <w:instrText xml:space="preserve">vidění/vědění" </w:instrText>
      </w:r>
      <w:r w:rsidR="08CF7832" w:rsidRPr="003D1E07">
        <w:rPr>
          <w:i/>
        </w:rPr>
        <w:fldChar w:fldCharType="end"/>
      </w:r>
      <w:r w:rsidR="0061203E" w:rsidRPr="003D1E07">
        <w:t>, který</w:t>
      </w:r>
      <w:r w:rsidR="08CF7832" w:rsidRPr="003D1E07">
        <w:t xml:space="preserve"> nazírá v aktu původního vidění vůle.</w:t>
      </w:r>
    </w:p>
    <w:p w14:paraId="40597853" w14:textId="77777777" w:rsidR="08CF7832" w:rsidRPr="003D1E07" w:rsidRDefault="08CF7832" w:rsidP="08CF7832">
      <w:pPr>
        <w:pStyle w:val="Citace"/>
        <w:rPr>
          <w:lang w:val="cs-CZ"/>
        </w:rPr>
      </w:pPr>
      <w:r w:rsidRPr="003D1E07">
        <w:rPr>
          <w:lang w:val="cs-CZ"/>
        </w:rPr>
        <w:lastRenderedPageBreak/>
        <w:t xml:space="preserve">„A nakonec vědci z celého souboru něco vynechali, aniž by to věděli: onen nutný perspektivismus, díky němuž každé centrum moci – a nejen člověk – konstruuje směrem od sebe celý svět, to jest měří jej, ohmatává a utváří podle své vlastní síly... Zapomněli započítat tuto sílu </w:t>
      </w:r>
      <w:r w:rsidRPr="003D1E07">
        <w:rPr>
          <w:i/>
          <w:lang w:val="cs-CZ"/>
        </w:rPr>
        <w:t>utvářející</w:t>
      </w:r>
      <w:r w:rsidRPr="003D1E07">
        <w:rPr>
          <w:lang w:val="cs-CZ"/>
        </w:rPr>
        <w:t xml:space="preserve"> perspektivu do tak zvaného ,pravého bytí</w:t>
      </w:r>
      <w:r w:rsidRPr="003D1E07">
        <w:rPr>
          <w:rFonts w:eastAsia="AGaramondPro-Regular"/>
          <w:lang w:val="cs-CZ"/>
        </w:rPr>
        <w:t>‘</w:t>
      </w:r>
      <w:r w:rsidRPr="003D1E07">
        <w:rPr>
          <w:lang w:val="cs-CZ"/>
        </w:rPr>
        <w:t>... Přeloženo do filosofického jazyka to znamená: být subjektem...“ </w:t>
      </w:r>
      <w:r w:rsidRPr="003D1E07">
        <w:rPr>
          <w:rStyle w:val="Znakapoznpodarou"/>
          <w:lang w:val="cs-CZ"/>
        </w:rPr>
        <w:footnoteReference w:id="1"/>
      </w:r>
    </w:p>
    <w:p w14:paraId="4369EF2E" w14:textId="343E5E90" w:rsidR="0039414B" w:rsidRPr="003D1E07" w:rsidRDefault="0075134B" w:rsidP="00911A88">
      <w:r w:rsidRPr="003D1E07">
        <w:t>Nietzsche tvrdí, že b</w:t>
      </w:r>
      <w:r w:rsidR="08CF7832" w:rsidRPr="003D1E07">
        <w:t xml:space="preserve">adatelé pozorují </w:t>
      </w:r>
      <w:r w:rsidR="00B754C1" w:rsidRPr="003D1E07">
        <w:t>svět</w:t>
      </w:r>
      <w:r w:rsidR="08CF7832" w:rsidRPr="003D1E07">
        <w:t xml:space="preserve"> skrze subjektivní vůli k</w:t>
      </w:r>
      <w:r w:rsidRPr="003D1E07">
        <w:t> </w:t>
      </w:r>
      <w:r w:rsidR="08CF7832" w:rsidRPr="003D1E07">
        <w:t>moci</w:t>
      </w:r>
      <w:r w:rsidRPr="003D1E07">
        <w:t xml:space="preserve">. Ta </w:t>
      </w:r>
      <w:r w:rsidR="08CF7832" w:rsidRPr="003D1E07">
        <w:t>určuje skrytý způsob, jak se fyzikální fenomén dává</w:t>
      </w:r>
      <w:r w:rsidR="0028710D" w:rsidRPr="003D1E07">
        <w:t xml:space="preserve"> příslušnému vědci</w:t>
      </w:r>
      <w:r w:rsidR="08CF7832" w:rsidRPr="003D1E07">
        <w:t xml:space="preserve">. Pojmy typu „pravé bytí“ či „objektivní svět“ jsou produkty fiktivního zásvětí ducha, které je třeba rozbít kladivem nové filosofie. </w:t>
      </w:r>
      <w:r w:rsidR="000845A4" w:rsidRPr="003D1E07">
        <w:t xml:space="preserve">Nietzsche trvale polemizuje s Kantovým pojetím objektivity. Proto identifikuje tuto skrytou perspektivu jako individuálně utvářenou vůli k moci, jež se schovává za idealizovaný platonismus a objektivismus vědy. </w:t>
      </w:r>
      <w:r w:rsidR="08CF7832" w:rsidRPr="003D1E07">
        <w:t xml:space="preserve">Nietzsche na konci cesty k moderní objektivitě </w:t>
      </w:r>
      <w:r w:rsidR="00840B9C" w:rsidRPr="003D1E07">
        <w:t xml:space="preserve">a na konci německého idealismu </w:t>
      </w:r>
      <w:r w:rsidR="08CF7832" w:rsidRPr="003D1E07">
        <w:t xml:space="preserve">konstatuje nihilismus západní metafyziky a smrt </w:t>
      </w:r>
      <w:r w:rsidR="000110BB" w:rsidRPr="003D1E07">
        <w:t xml:space="preserve">modeního </w:t>
      </w:r>
      <w:r w:rsidR="08CF7832" w:rsidRPr="003D1E07">
        <w:t xml:space="preserve">boha, kterého si tato metafyzika vytvořila ke svému obrazu. Ideální forma </w:t>
      </w:r>
      <w:r w:rsidR="000110BB" w:rsidRPr="003D1E07">
        <w:t xml:space="preserve">poznání </w:t>
      </w:r>
      <w:r w:rsidR="08CF7832" w:rsidRPr="003D1E07">
        <w:t xml:space="preserve">objevená Platonem a pak kriticky revidovaná Kantem se završila v projektu nihilistické metafyziky, kterou nabízí Nietzsche. Obrat k metafyzickému pojetí pravdy jako objektivní správnosti se završil v nihilistickém subjektu </w:t>
      </w:r>
      <w:r w:rsidR="089D467E" w:rsidRPr="003D1E07">
        <w:t xml:space="preserve">vědy </w:t>
      </w:r>
      <w:r w:rsidR="08CF7832" w:rsidRPr="003D1E07">
        <w:t xml:space="preserve">vybaveném absolutní vůlí k moci. </w:t>
      </w:r>
      <w:r w:rsidR="089D467E" w:rsidRPr="003D1E07">
        <w:t>Exaktní v</w:t>
      </w:r>
      <w:r w:rsidR="08CF7832" w:rsidRPr="003D1E07">
        <w:t>ěda je jen zdánlivě objektivní</w:t>
      </w:r>
      <w:r w:rsidR="081A75F6" w:rsidRPr="003D1E07">
        <w:t xml:space="preserve">. Věda v epoše metafyzického nihilismu </w:t>
      </w:r>
      <w:r w:rsidR="08CF7832" w:rsidRPr="003D1E07">
        <w:t xml:space="preserve">slepě sleduje skrytou logiku vůle k moci a </w:t>
      </w:r>
      <w:r w:rsidR="00930006" w:rsidRPr="003D1E07">
        <w:t xml:space="preserve">bohužel </w:t>
      </w:r>
      <w:r w:rsidR="00AA6AFF" w:rsidRPr="003D1E07">
        <w:t>tuto skrytou manifestaci</w:t>
      </w:r>
      <w:r w:rsidR="08CF7832" w:rsidRPr="003D1E07">
        <w:t xml:space="preserve"> </w:t>
      </w:r>
      <w:r w:rsidR="08C04FB3" w:rsidRPr="003D1E07">
        <w:t xml:space="preserve">demiurgické </w:t>
      </w:r>
      <w:r w:rsidR="08CF7832" w:rsidRPr="003D1E07">
        <w:t>vůle</w:t>
      </w:r>
      <w:r w:rsidR="00AA6AFF" w:rsidRPr="003D1E07">
        <w:t xml:space="preserve"> </w:t>
      </w:r>
      <w:r w:rsidR="00930006" w:rsidRPr="003D1E07">
        <w:t xml:space="preserve">už </w:t>
      </w:r>
      <w:r w:rsidR="00AA6AFF" w:rsidRPr="003D1E07">
        <w:t>nemůže vidět</w:t>
      </w:r>
      <w:r w:rsidR="08CF7832" w:rsidRPr="003D1E07">
        <w:t>. Humanitní vědy po smrti západního subjektu vytěsnily ve strukturalismu i subjektivní perspektivu danou vůlí k moci</w:t>
      </w:r>
      <w:r w:rsidR="08CF7832" w:rsidRPr="003D1E07">
        <w:rPr>
          <w:i/>
        </w:rPr>
        <w:fldChar w:fldCharType="begin"/>
      </w:r>
      <w:r w:rsidR="08B62AE7" w:rsidRPr="003D1E07">
        <w:instrText xml:space="preserve"> XE "vůle </w:instrText>
      </w:r>
      <w:r w:rsidR="08CF7832" w:rsidRPr="003D1E07">
        <w:instrText xml:space="preserve">k moci" </w:instrText>
      </w:r>
      <w:r w:rsidR="08CF7832" w:rsidRPr="003D1E07">
        <w:rPr>
          <w:i/>
        </w:rPr>
        <w:fldChar w:fldCharType="end"/>
      </w:r>
      <w:r w:rsidR="08CF7832" w:rsidRPr="003D1E07">
        <w:t>, kterou etabloval Nietzsche</w:t>
      </w:r>
      <w:r w:rsidR="08B21378" w:rsidRPr="003D1E07">
        <w:t xml:space="preserve">. </w:t>
      </w:r>
      <w:r w:rsidR="085E18B3" w:rsidRPr="003D1E07">
        <w:t>V</w:t>
      </w:r>
      <w:r w:rsidR="08CF7832" w:rsidRPr="003D1E07">
        <w:t xml:space="preserve">e </w:t>
      </w:r>
      <w:r w:rsidR="085E18B3" w:rsidRPr="003D1E07">
        <w:t xml:space="preserve">humanismu jako </w:t>
      </w:r>
      <w:r w:rsidR="08CF7832" w:rsidRPr="003D1E07">
        <w:t xml:space="preserve">strukturalismu a jeho </w:t>
      </w:r>
      <w:r w:rsidR="085E18B3" w:rsidRPr="003D1E07">
        <w:t xml:space="preserve">současných </w:t>
      </w:r>
      <w:r w:rsidR="08CF7832" w:rsidRPr="003D1E07">
        <w:t xml:space="preserve">podobách daných binárně a digitálně zmizel i nihilistický subjekt nesoucí absolutní vůli k moci. Pro hermeneutiku představuje citát o neviditelné perspektivě vědy </w:t>
      </w:r>
      <w:r w:rsidR="0840483C" w:rsidRPr="003D1E07">
        <w:t>důlež</w:t>
      </w:r>
      <w:r w:rsidR="00E20510" w:rsidRPr="003D1E07">
        <w:t xml:space="preserve">ité znamení na cestě vedoucí k filosodickému </w:t>
      </w:r>
      <w:r w:rsidR="08CF7832" w:rsidRPr="003D1E07">
        <w:t xml:space="preserve">zkoumání objektivity. Nietzsche </w:t>
      </w:r>
      <w:r w:rsidR="082F5560" w:rsidRPr="003D1E07">
        <w:t xml:space="preserve">vidí </w:t>
      </w:r>
      <w:r w:rsidR="08CF7832" w:rsidRPr="003D1E07">
        <w:t xml:space="preserve">objektivní přírodní vědu z pozice metafyzického nihilismu, který završil tisíciletou cestu </w:t>
      </w:r>
      <w:r w:rsidR="082F5560" w:rsidRPr="003D1E07">
        <w:t xml:space="preserve">od klasické metafyziky </w:t>
      </w:r>
      <w:r w:rsidR="08CF7832" w:rsidRPr="003D1E07">
        <w:t>k současné objektivitě. Vědci jsou slepí ke vzniku objektivity</w:t>
      </w:r>
      <w:r w:rsidR="08100DEE" w:rsidRPr="003D1E07">
        <w:t xml:space="preserve">, protože vidí svět skrze </w:t>
      </w:r>
      <w:r w:rsidR="00C31B53" w:rsidRPr="003D1E07">
        <w:t>neviditelné působení vůle</w:t>
      </w:r>
      <w:r w:rsidR="08100DEE" w:rsidRPr="003D1E07">
        <w:t xml:space="preserve"> k moci</w:t>
      </w:r>
      <w:r w:rsidR="08CF7832" w:rsidRPr="003D1E07">
        <w:t xml:space="preserve">. </w:t>
      </w:r>
      <w:r w:rsidR="08413036" w:rsidRPr="003D1E07">
        <w:t xml:space="preserve">Objektivní myslitelé nemohou vidět fundamentální způsob, jak tento smysl jsoucna přišel do dějin a jak založil objektivní vidění světa a člověka. </w:t>
      </w:r>
      <w:r w:rsidR="08CF7832" w:rsidRPr="003D1E07">
        <w:t>I matematika jako absolutně axiomatická objektivní věda od působení Kurta Gödela</w:t>
      </w:r>
      <w:r w:rsidR="08CF7832" w:rsidRPr="003D1E07">
        <w:fldChar w:fldCharType="begin"/>
      </w:r>
      <w:r w:rsidR="08CF7832" w:rsidRPr="003D1E07">
        <w:instrText xml:space="preserve"> XE "Gödel, K." </w:instrText>
      </w:r>
      <w:r w:rsidR="08CF7832" w:rsidRPr="003D1E07">
        <w:fldChar w:fldCharType="end"/>
      </w:r>
      <w:r w:rsidR="08CF7832" w:rsidRPr="003D1E07">
        <w:t xml:space="preserve"> uznává, že její poznání řídí princip neúplnosti. Uvnitř objektivního myšlení vědy existuje sféra </w:t>
      </w:r>
      <w:r w:rsidR="08CF7832" w:rsidRPr="003D1E07">
        <w:lastRenderedPageBreak/>
        <w:t xml:space="preserve">iracionality a zapomnění ve stylu archaické božské síly zvané </w:t>
      </w:r>
      <w:r w:rsidR="00454B3C" w:rsidRPr="003D1E07">
        <w:t>Lé</w:t>
      </w:r>
      <w:r w:rsidR="08CF7832" w:rsidRPr="003D1E07">
        <w:t>th</w:t>
      </w:r>
      <w:r w:rsidR="00CC28CB" w:rsidRPr="003D1E07">
        <w:t>é</w:t>
      </w:r>
      <w:r w:rsidR="08CF7832" w:rsidRPr="003D1E07">
        <w:t>. Toto specifické zapomnění dané uvnitř objektivity způsobuje, že moderní věda je určitým způsobem slepá k</w:t>
      </w:r>
      <w:r w:rsidR="000D1F6B" w:rsidRPr="003D1E07">
        <w:t xml:space="preserve">e skryté </w:t>
      </w:r>
      <w:r w:rsidR="08CF7832" w:rsidRPr="003D1E07">
        <w:t>realitě</w:t>
      </w:r>
      <w:r w:rsidR="080E1AD8" w:rsidRPr="003D1E07">
        <w:t xml:space="preserve"> </w:t>
      </w:r>
      <w:r w:rsidR="000D1F6B" w:rsidRPr="003D1E07">
        <w:t xml:space="preserve">k fundamentálnímu </w:t>
      </w:r>
      <w:r w:rsidR="08EF2A11" w:rsidRPr="003D1E07">
        <w:t xml:space="preserve">způsobu, jak realitu </w:t>
      </w:r>
      <w:r w:rsidR="080E1AD8" w:rsidRPr="003D1E07">
        <w:t>zkoumá</w:t>
      </w:r>
      <w:r w:rsidR="0039414B" w:rsidRPr="003D1E07">
        <w:t>.</w:t>
      </w:r>
      <w:r w:rsidR="006D3222" w:rsidRPr="003D1E07">
        <w:t xml:space="preserve"> Opět platí, že nikdo nemůže vědecky zkoumat vlastní narození a svůj počátek. </w:t>
      </w:r>
    </w:p>
    <w:p w14:paraId="5209882F" w14:textId="0EBA5F5A" w:rsidR="003A461C" w:rsidRPr="003D1E07" w:rsidRDefault="0039414B" w:rsidP="0017418C">
      <w:pPr>
        <w:ind w:firstLine="397"/>
      </w:pPr>
      <w:r w:rsidRPr="003D1E07">
        <w:t xml:space="preserve">Metafyzický nihilista </w:t>
      </w:r>
      <w:r w:rsidR="08CF7832" w:rsidRPr="003D1E07">
        <w:t xml:space="preserve">Nietzsche uzavřel epochu </w:t>
      </w:r>
      <w:r w:rsidR="00DF518D" w:rsidRPr="003D1E07">
        <w:t>post</w:t>
      </w:r>
      <w:r w:rsidR="005124CA" w:rsidRPr="003D1E07">
        <w:t xml:space="preserve">moderního </w:t>
      </w:r>
      <w:r w:rsidR="08CF7832" w:rsidRPr="003D1E07">
        <w:t>myšlení</w:t>
      </w:r>
      <w:r w:rsidR="005124CA" w:rsidRPr="003D1E07">
        <w:t xml:space="preserve"> zaháj</w:t>
      </w:r>
      <w:r w:rsidR="00277FA6" w:rsidRPr="003D1E07">
        <w:t>eného Suá</w:t>
      </w:r>
      <w:r w:rsidR="005124CA" w:rsidRPr="003D1E07">
        <w:t xml:space="preserve">rezem a Descartem. Moderna </w:t>
      </w:r>
      <w:r w:rsidR="00CC28CB" w:rsidRPr="003D1E07">
        <w:t xml:space="preserve">začala </w:t>
      </w:r>
      <w:r w:rsidR="08CF7832" w:rsidRPr="003D1E07">
        <w:t xml:space="preserve">ve druhé polovině 13. století, kdy </w:t>
      </w:r>
      <w:r w:rsidR="007D4EE4" w:rsidRPr="003D1E07">
        <w:t>scholastikové latinského Západu odkryli</w:t>
      </w:r>
      <w:r w:rsidR="08CF7832" w:rsidRPr="003D1E07">
        <w:t xml:space="preserve"> zjevování jsoucna </w:t>
      </w:r>
      <w:r w:rsidR="0021662F" w:rsidRPr="003D1E07">
        <w:t>skrze</w:t>
      </w:r>
      <w:r w:rsidR="08CF7832" w:rsidRPr="003D1E07">
        <w:t xml:space="preserve"> objektivní </w:t>
      </w:r>
      <w:r w:rsidR="0021662F" w:rsidRPr="003D1E07">
        <w:t>formu</w:t>
      </w:r>
      <w:r w:rsidR="08CF7832" w:rsidRPr="003D1E07">
        <w:t xml:space="preserve"> metafyziky. Západní scholastikové vyvinuli toto poznání reality v návaznosti na učení Platona a Aristotela předávané pozdně antickými, arabskými a židovskými mysliteli, zejména neoplatonským Avicennou a aristotelským Averroesem. Hermeneutika musí ukázat, jak se změnil epochální smys</w:t>
      </w:r>
      <w:r w:rsidR="00D37943" w:rsidRPr="003D1E07">
        <w:t xml:space="preserve">l jsoucna v  náhledu objektivního </w:t>
      </w:r>
      <w:r w:rsidR="08CF7832" w:rsidRPr="003D1E07">
        <w:t>my</w:t>
      </w:r>
      <w:r w:rsidR="00D37943" w:rsidRPr="003D1E07">
        <w:t>šlení</w:t>
      </w:r>
      <w:r w:rsidR="08CF7832" w:rsidRPr="003D1E07">
        <w:t>.</w:t>
      </w:r>
      <w:r w:rsidR="08DF1CBA" w:rsidRPr="003D1E07">
        <w:t xml:space="preserve"> </w:t>
      </w:r>
      <w:r w:rsidR="08CF7832" w:rsidRPr="003D1E07">
        <w:t>Dějiny novověké filosofie ukazují, že objektivita nenahlédne do vlastní podstaty</w:t>
      </w:r>
      <w:r w:rsidR="08021783" w:rsidRPr="003D1E07">
        <w:t xml:space="preserve"> </w:t>
      </w:r>
      <w:r w:rsidR="00270B30" w:rsidRPr="003D1E07">
        <w:t xml:space="preserve">vytvořené během </w:t>
      </w:r>
      <w:r w:rsidR="08021783" w:rsidRPr="003D1E07">
        <w:t>jejího vzniku</w:t>
      </w:r>
      <w:r w:rsidR="08CF7832" w:rsidRPr="003D1E07">
        <w:t xml:space="preserve">. Objektivita představuje z hlediska hermeneutiky zvláštní jev daný dějinnou konstelací objektivně určeného </w:t>
      </w:r>
      <w:r w:rsidR="006F4301" w:rsidRPr="003D1E07">
        <w:t xml:space="preserve">smyslu </w:t>
      </w:r>
      <w:r w:rsidR="08CF7832" w:rsidRPr="003D1E07">
        <w:t xml:space="preserve">jsoucna, který je třeba vyložit z hlediska </w:t>
      </w:r>
      <w:r w:rsidRPr="003D1E07">
        <w:t xml:space="preserve">řeckého </w:t>
      </w:r>
      <w:r w:rsidR="08CF7832" w:rsidRPr="003D1E07">
        <w:t xml:space="preserve">pojetí </w:t>
      </w:r>
      <w:r w:rsidRPr="003D1E07">
        <w:t xml:space="preserve">archaické </w:t>
      </w:r>
      <w:r w:rsidR="08CF7832" w:rsidRPr="003D1E07">
        <w:t>pravdy</w:t>
      </w:r>
      <w:r w:rsidRPr="003D1E07">
        <w:t xml:space="preserve"> </w:t>
      </w:r>
      <w:r w:rsidRPr="003D1E07">
        <w:rPr>
          <w:noProof w:val="0"/>
          <w:lang w:eastAsia="x-none"/>
        </w:rPr>
        <w:t>(</w:t>
      </w:r>
      <w:r w:rsidRPr="003D1E07">
        <w:rPr>
          <w:rStyle w:val="st"/>
        </w:rPr>
        <w:t>ἀλήθεια</w:t>
      </w:r>
      <w:r w:rsidRPr="003D1E07">
        <w:rPr>
          <w:noProof w:val="0"/>
          <w:lang w:eastAsia="x-none"/>
        </w:rPr>
        <w:t>)</w:t>
      </w:r>
      <w:r w:rsidR="08CF7832" w:rsidRPr="003D1E07">
        <w:t>. Věda je objektivní proto, že určení jsoucna</w:t>
      </w:r>
      <w:r w:rsidR="009C7F39" w:rsidRPr="003D1E07">
        <w:t xml:space="preserve">, substance, boha, světa atd. </w:t>
      </w:r>
      <w:r w:rsidR="08CF7832" w:rsidRPr="003D1E07">
        <w:t xml:space="preserve">dostalo objektivní charakter v určité konstelaci myšlení. Výklad dějinně určené objektivity proto nemůže být objektivní, nýbrž pravdivý ve smyslu archaické </w:t>
      </w:r>
      <w:r w:rsidR="005E231D" w:rsidRPr="003D1E07">
        <w:t>pravdy</w:t>
      </w:r>
      <w:r w:rsidR="08CF7832" w:rsidRPr="003D1E07">
        <w:rPr>
          <w:i/>
        </w:rPr>
        <w:fldChar w:fldCharType="begin"/>
      </w:r>
      <w:r w:rsidR="08CF7832" w:rsidRPr="003D1E07">
        <w:instrText xml:space="preserve"> XE "pravda:archaická" </w:instrText>
      </w:r>
      <w:r w:rsidR="08CF7832" w:rsidRPr="003D1E07">
        <w:rPr>
          <w:i/>
        </w:rPr>
        <w:fldChar w:fldCharType="end"/>
      </w:r>
      <w:r w:rsidR="08CF7832" w:rsidRPr="003D1E07">
        <w:t>. Objektivita není scho</w:t>
      </w:r>
      <w:r w:rsidR="083529A4" w:rsidRPr="003D1E07">
        <w:t>pna dějinného myšlení. To by musela nejprve najít odp</w:t>
      </w:r>
      <w:r w:rsidR="00BF3125" w:rsidRPr="003D1E07">
        <w:t>o</w:t>
      </w:r>
      <w:r w:rsidR="083529A4" w:rsidRPr="003D1E07">
        <w:t xml:space="preserve">věď na otázku, </w:t>
      </w:r>
      <w:r w:rsidR="08CF7832" w:rsidRPr="003D1E07">
        <w:t>kdy a proč se stala mysl</w:t>
      </w:r>
      <w:r w:rsidR="083529A4" w:rsidRPr="003D1E07">
        <w:t xml:space="preserve">itelsky směšnou a rozporuplnou a proč má v sobě </w:t>
      </w:r>
      <w:r w:rsidR="08F610E2" w:rsidRPr="003D1E07">
        <w:t>zabudov</w:t>
      </w:r>
      <w:r w:rsidR="00B0450D" w:rsidRPr="003D1E07">
        <w:t>an</w:t>
      </w:r>
      <w:r w:rsidR="08F610E2" w:rsidRPr="003D1E07">
        <w:t xml:space="preserve">ý </w:t>
      </w:r>
      <w:r w:rsidR="083529A4" w:rsidRPr="003D1E07">
        <w:t xml:space="preserve">mechanismus vlastního zániku. </w:t>
      </w:r>
      <w:r w:rsidR="08CF7832" w:rsidRPr="003D1E07">
        <w:t xml:space="preserve">Z filosofických disciplín má jedině hermeneutika </w:t>
      </w:r>
      <w:r w:rsidR="08D87AC0" w:rsidRPr="003D1E07">
        <w:t xml:space="preserve">přímý a bezprostřední </w:t>
      </w:r>
      <w:r w:rsidR="08CF7832" w:rsidRPr="003D1E07">
        <w:t>vztah k</w:t>
      </w:r>
      <w:r w:rsidR="08D87AC0" w:rsidRPr="003D1E07">
        <w:t> </w:t>
      </w:r>
      <w:r w:rsidR="08F27B39" w:rsidRPr="003D1E07">
        <w:t>počátku</w:t>
      </w:r>
      <w:r w:rsidR="08D87AC0" w:rsidRPr="003D1E07">
        <w:t xml:space="preserve"> </w:t>
      </w:r>
      <w:r w:rsidR="00DA66E5" w:rsidRPr="003D1E07">
        <w:t>první filosofie</w:t>
      </w:r>
      <w:r w:rsidR="08F27B39" w:rsidRPr="003D1E07">
        <w:t xml:space="preserve">. </w:t>
      </w:r>
      <w:r w:rsidR="08CF7832" w:rsidRPr="003D1E07">
        <w:t>Hermeneutika je archaická</w:t>
      </w:r>
      <w:r w:rsidR="08CF7832" w:rsidRPr="003D1E07">
        <w:rPr>
          <w:i/>
        </w:rPr>
        <w:fldChar w:fldCharType="begin"/>
      </w:r>
      <w:r w:rsidR="08CF7832" w:rsidRPr="003D1E07">
        <w:instrText xml:space="preserve"> XE "hermeneutika:archaická" </w:instrText>
      </w:r>
      <w:r w:rsidR="08CF7832" w:rsidRPr="003D1E07">
        <w:rPr>
          <w:i/>
        </w:rPr>
        <w:fldChar w:fldCharType="end"/>
      </w:r>
      <w:r w:rsidR="08CF7832" w:rsidRPr="003D1E07">
        <w:t xml:space="preserve"> v řeckém smyslu slova, které znamená počátek něčeho nového (ἀρχή). Stejné slovo označuje vládu nad následnými ději danými ustavující silou tohoto počátku. </w:t>
      </w:r>
      <w:r w:rsidR="086956BB" w:rsidRPr="003D1E07">
        <w:t xml:space="preserve">Schopnost vidění skrytých dějů existovala </w:t>
      </w:r>
      <w:r w:rsidR="081F7E90" w:rsidRPr="003D1E07">
        <w:t xml:space="preserve">dávno před metafyzikou: </w:t>
      </w:r>
      <w:r w:rsidR="086956BB" w:rsidRPr="003D1E07">
        <w:t>v</w:t>
      </w:r>
      <w:r w:rsidR="081F7E90" w:rsidRPr="003D1E07">
        <w:t>e</w:t>
      </w:r>
      <w:r w:rsidR="086956BB" w:rsidRPr="003D1E07">
        <w:t xml:space="preserve"> starověkých mystériích</w:t>
      </w:r>
      <w:r w:rsidR="081F7E90" w:rsidRPr="003D1E07">
        <w:t>,</w:t>
      </w:r>
      <w:r w:rsidR="086956BB" w:rsidRPr="003D1E07">
        <w:t xml:space="preserve"> </w:t>
      </w:r>
      <w:r w:rsidR="081F7E90" w:rsidRPr="003D1E07">
        <w:t>v múzickém vidění světa podaném rapsódy, v antické tragédii a v první filosofii</w:t>
      </w:r>
      <w:r w:rsidR="086956BB" w:rsidRPr="003D1E07">
        <w:t xml:space="preserve">. </w:t>
      </w:r>
      <w:r w:rsidR="08CF7832" w:rsidRPr="003D1E07">
        <w:t xml:space="preserve">Hermeneutika vnímá sílu počátku </w:t>
      </w:r>
      <w:r w:rsidR="08BA2E20" w:rsidRPr="003D1E07">
        <w:t>„</w:t>
      </w:r>
      <w:r w:rsidR="08CF7832" w:rsidRPr="003D1E07">
        <w:t>kriticky</w:t>
      </w:r>
      <w:r w:rsidR="08BA2E20" w:rsidRPr="003D1E07">
        <w:t>“</w:t>
      </w:r>
      <w:r w:rsidR="08CF7832" w:rsidRPr="003D1E07">
        <w:t xml:space="preserve"> ve smyslu původního homérovského rozpoznávání (κρίνω)</w:t>
      </w:r>
      <w:r w:rsidR="08CF7832" w:rsidRPr="003D1E07">
        <w:rPr>
          <w:i/>
        </w:rPr>
        <w:fldChar w:fldCharType="begin"/>
      </w:r>
      <w:r w:rsidR="08CF7832" w:rsidRPr="003D1E07">
        <w:instrText xml:space="preserve"> XE "hermeneutika:kritická" </w:instrText>
      </w:r>
      <w:r w:rsidR="08CF7832" w:rsidRPr="003D1E07">
        <w:rPr>
          <w:i/>
        </w:rPr>
        <w:fldChar w:fldCharType="end"/>
      </w:r>
      <w:r w:rsidR="08CF7832" w:rsidRPr="003D1E07">
        <w:t xml:space="preserve">. Kritické poznání se váže na proměnlivou situaci a na rozlišující schopnosti válečníka (τάχιστα ἔκριναν μέγα; </w:t>
      </w:r>
      <w:r w:rsidR="08CF7832" w:rsidRPr="003D1E07">
        <w:rPr>
          <w:i/>
        </w:rPr>
        <w:t>Odys.</w:t>
      </w:r>
      <w:r w:rsidR="08CF7832" w:rsidRPr="003D1E07">
        <w:t xml:space="preserve"> 18.264</w:t>
      </w:r>
      <w:r w:rsidR="08CF7832" w:rsidRPr="003D1E07">
        <w:fldChar w:fldCharType="begin"/>
      </w:r>
      <w:r w:rsidR="08CF7832" w:rsidRPr="003D1E07">
        <w:instrText xml:space="preserve"> XE "</w:instrText>
      </w:r>
      <w:r w:rsidR="08A81815" w:rsidRPr="003D1E07">
        <w:instrText>Homé</w:instrText>
      </w:r>
      <w:r w:rsidR="08CF7832" w:rsidRPr="003D1E07">
        <w:instrText>r:</w:instrText>
      </w:r>
      <w:r w:rsidR="08CF7832" w:rsidRPr="003D1E07">
        <w:rPr>
          <w:i/>
        </w:rPr>
        <w:instrText>Odys.</w:instrText>
      </w:r>
      <w:r w:rsidR="08CF7832" w:rsidRPr="003D1E07">
        <w:instrText xml:space="preserve"> 18.264" </w:instrText>
      </w:r>
      <w:r w:rsidR="08CF7832" w:rsidRPr="003D1E07">
        <w:fldChar w:fldCharType="end"/>
      </w:r>
      <w:r w:rsidR="08CF7832" w:rsidRPr="003D1E07">
        <w:t>). Odysseova síla prozíravosti (μῆτις) je v homérském eposu chválena na mnoha místech. Jeho schopnost kritického rozlišování má téměř božský charakter. Tento válečník okamžitě reaguje na proměnlivý celek božských, lidských a přírodních sil v pra</w:t>
      </w:r>
      <w:r w:rsidR="00311CE2" w:rsidRPr="003D1E07">
        <w:t xml:space="preserve">ktickém jednání. </w:t>
      </w:r>
      <w:r w:rsidR="00045AF0" w:rsidRPr="003D1E07">
        <w:t>Praktická schopnost předvídání doplnila dar věšt</w:t>
      </w:r>
      <w:r w:rsidR="00311CE2" w:rsidRPr="003D1E07">
        <w:t>c</w:t>
      </w:r>
      <w:r w:rsidR="00045AF0" w:rsidRPr="003D1E07">
        <w:t>e nahlížet</w:t>
      </w:r>
      <w:r w:rsidR="00311CE2" w:rsidRPr="003D1E07">
        <w:t xml:space="preserve"> </w:t>
      </w:r>
      <w:r w:rsidR="08CF7832" w:rsidRPr="003D1E07">
        <w:t xml:space="preserve">celek </w:t>
      </w:r>
      <w:r w:rsidR="005E231D" w:rsidRPr="003D1E07">
        <w:t xml:space="preserve">kosmických sil </w:t>
      </w:r>
      <w:r w:rsidR="08CF7832" w:rsidRPr="003D1E07">
        <w:t>v teore</w:t>
      </w:r>
      <w:r w:rsidR="08437778" w:rsidRPr="003D1E07">
        <w:t xml:space="preserve">tickém vidění. </w:t>
      </w:r>
      <w:r w:rsidR="08437778" w:rsidRPr="003D1E07">
        <w:lastRenderedPageBreak/>
        <w:t>Rapsód typu Homér</w:t>
      </w:r>
      <w:r w:rsidR="08CF7832" w:rsidRPr="003D1E07">
        <w:t xml:space="preserve">a pak </w:t>
      </w:r>
      <w:r w:rsidR="08437778" w:rsidRPr="003D1E07">
        <w:t>v závislosti na této f</w:t>
      </w:r>
      <w:r w:rsidR="00311CE2" w:rsidRPr="003D1E07">
        <w:t xml:space="preserve">ormě teoretického vědění podal </w:t>
      </w:r>
      <w:r w:rsidR="08437778" w:rsidRPr="003D1E07">
        <w:t>celý příb</w:t>
      </w:r>
      <w:r w:rsidR="08CF7832" w:rsidRPr="003D1E07">
        <w:t xml:space="preserve">ěh božských a lidských aktérů Trojské války. </w:t>
      </w:r>
      <w:r w:rsidR="004F56C5" w:rsidRPr="003D1E07">
        <w:t xml:space="preserve">Myšlení </w:t>
      </w:r>
      <w:r w:rsidR="00311CE2" w:rsidRPr="003D1E07">
        <w:t xml:space="preserve">Parmenida </w:t>
      </w:r>
      <w:r w:rsidR="004F56C5" w:rsidRPr="003D1E07">
        <w:t>zachytilo původní sílu tohoto počátku skrze dění bytí zjevené b</w:t>
      </w:r>
      <w:r w:rsidR="00F770F1" w:rsidRPr="003D1E07">
        <w:t>ohyní Pravdy. Parmenida vedou ke zdroji p</w:t>
      </w:r>
      <w:r w:rsidR="004F56C5" w:rsidRPr="003D1E07">
        <w:t xml:space="preserve">ravdy sluneční múzy Heliády, proto má první filosofie múzický charakter. </w:t>
      </w:r>
      <w:r w:rsidR="006572B2">
        <w:t>Celek světa daný</w:t>
      </w:r>
      <w:r w:rsidR="004F56C5" w:rsidRPr="003D1E07">
        <w:t xml:space="preserve"> v mystériích přeš</w:t>
      </w:r>
      <w:r w:rsidR="006572B2">
        <w:t>el</w:t>
      </w:r>
      <w:r w:rsidR="004F56C5" w:rsidRPr="003D1E07">
        <w:t xml:space="preserve"> skrze Parmenidův epos a Hérakleitovy pythické výroky do epochálně nového typu moudrosti, která dbá na působení původního počátku bytí. </w:t>
      </w:r>
      <w:r w:rsidR="00B146C0" w:rsidRPr="003D1E07">
        <w:t>Po zavedení metafyziky se otázk</w:t>
      </w:r>
      <w:r w:rsidR="00D13F29">
        <w:t>a</w:t>
      </w:r>
      <w:r w:rsidR="00B146C0" w:rsidRPr="003D1E07">
        <w:t xml:space="preserve"> po bytí změnila na otázku po smyslu jsoucna a toto vidění a vědění </w:t>
      </w:r>
      <w:r w:rsidR="00D13F29">
        <w:t xml:space="preserve">nakonec </w:t>
      </w:r>
      <w:r w:rsidR="00B146C0" w:rsidRPr="003D1E07">
        <w:t>dostalo akademický char</w:t>
      </w:r>
      <w:r w:rsidR="000845E4" w:rsidRPr="003D1E07">
        <w:t>a</w:t>
      </w:r>
      <w:r w:rsidR="00B146C0" w:rsidRPr="003D1E07">
        <w:t xml:space="preserve">kter. </w:t>
      </w:r>
      <w:r w:rsidR="00A51B87" w:rsidRPr="003D1E07">
        <w:t xml:space="preserve">Proměny filosofického vidění a </w:t>
      </w:r>
      <w:r w:rsidR="0057213E" w:rsidRPr="003D1E07">
        <w:t xml:space="preserve">pojetí pravdy </w:t>
      </w:r>
      <w:r w:rsidR="00A51B87" w:rsidRPr="003D1E07">
        <w:rPr>
          <w:i/>
        </w:rPr>
        <w:fldChar w:fldCharType="begin"/>
      </w:r>
      <w:r w:rsidR="00A51B87" w:rsidRPr="003D1E07">
        <w:instrText xml:space="preserve"> XE "vidění/vědění" </w:instrText>
      </w:r>
      <w:r w:rsidR="00A51B87" w:rsidRPr="003D1E07">
        <w:rPr>
          <w:i/>
        </w:rPr>
        <w:fldChar w:fldCharType="end"/>
      </w:r>
      <w:r w:rsidR="00A51B87" w:rsidRPr="003D1E07">
        <w:t xml:space="preserve">je třeba vyložit v souvislém celku antiky a scholastiky. Hermeneutika objektivity sleduje dění této archaické formy pravdy jako odhalenosti dějinně zjevovaného bytí jsoucna v západní metafyzice. </w:t>
      </w:r>
      <w:r w:rsidR="08BA2E20" w:rsidRPr="003D1E07">
        <w:t xml:space="preserve">Výklad objektivity musí </w:t>
      </w:r>
      <w:r w:rsidR="004F56C5" w:rsidRPr="003D1E07">
        <w:t xml:space="preserve">podobným způsobem </w:t>
      </w:r>
      <w:r w:rsidR="08BA2E20" w:rsidRPr="003D1E07">
        <w:t>najít a vyložit epochální obraty myšlení, které umožnily vznik objektivně daného jsoucna v metafyzice. Transformace metafyziky na objektivní formu myšlení tvoří zvláštní fenomén vztažený k</w:t>
      </w:r>
      <w:r w:rsidR="0001480E" w:rsidRPr="003D1E07">
        <w:t xml:space="preserve"> počátečnímu </w:t>
      </w:r>
      <w:r w:rsidR="009B1843" w:rsidRPr="003D1E07">
        <w:t xml:space="preserve">a krytému </w:t>
      </w:r>
      <w:r w:rsidR="08BA2E20" w:rsidRPr="003D1E07">
        <w:t>dění samotného bytí</w:t>
      </w:r>
      <w:r w:rsidR="0057213E" w:rsidRPr="003D1E07">
        <w:t>.</w:t>
      </w:r>
      <w:r w:rsidR="007F022D" w:rsidRPr="003D1E07">
        <w:t xml:space="preserve"> D</w:t>
      </w:r>
      <w:r w:rsidR="000845E4" w:rsidRPr="003D1E07">
        <w:t xml:space="preserve">ění pravdy tohoto typu </w:t>
      </w:r>
      <w:r w:rsidR="007F022D" w:rsidRPr="003D1E07">
        <w:t xml:space="preserve">představuje </w:t>
      </w:r>
      <w:r w:rsidR="000845E4" w:rsidRPr="003D1E07">
        <w:t>neviditelný fenomén pro objektivní myšlení.</w:t>
      </w:r>
    </w:p>
    <w:p w14:paraId="02693BD5" w14:textId="77777777" w:rsidR="00FB20CD" w:rsidRDefault="00B205BE" w:rsidP="00B205BE">
      <w:pPr>
        <w:ind w:firstLine="397"/>
      </w:pPr>
      <w:r w:rsidRPr="003D1E07">
        <w:t>Trojskou v</w:t>
      </w:r>
      <w:r w:rsidR="08CF7832" w:rsidRPr="003D1E07">
        <w:t>álku</w:t>
      </w:r>
      <w:r w:rsidR="00BD7450" w:rsidRPr="003D1E07">
        <w:fldChar w:fldCharType="begin"/>
      </w:r>
      <w:r w:rsidR="00BD7450" w:rsidRPr="003D1E07">
        <w:instrText xml:space="preserve"> XE "Trojská válka" </w:instrText>
      </w:r>
      <w:r w:rsidR="00BD7450" w:rsidRPr="003D1E07">
        <w:fldChar w:fldCharType="end"/>
      </w:r>
      <w:r w:rsidR="08CF7832" w:rsidRPr="003D1E07">
        <w:t xml:space="preserve"> inicio</w:t>
      </w:r>
      <w:r w:rsidR="08FB1180" w:rsidRPr="003D1E07">
        <w:t>vanou únosem Heleny</w:t>
      </w:r>
      <w:r w:rsidR="084F2A56" w:rsidRPr="003D1E07">
        <w:t xml:space="preserve"> </w:t>
      </w:r>
      <w:r w:rsidR="08CF7832" w:rsidRPr="003D1E07">
        <w:t>vystřídala gigantomachie o substanci</w:t>
      </w:r>
      <w:r w:rsidR="00FC38F3" w:rsidRPr="003D1E07">
        <w:t xml:space="preserve">. První filosofie </w:t>
      </w:r>
      <w:r w:rsidRPr="003D1E07">
        <w:t xml:space="preserve">byla unesena podobným způsobem a </w:t>
      </w:r>
      <w:r w:rsidR="00FC38F3" w:rsidRPr="003D1E07">
        <w:t xml:space="preserve">změnila </w:t>
      </w:r>
      <w:r w:rsidRPr="003D1E07">
        <w:t>se na metafyziku. S</w:t>
      </w:r>
      <w:r w:rsidR="00FC38F3" w:rsidRPr="003D1E07">
        <w:t xml:space="preserve">ubstance tvoří její největší poklad. </w:t>
      </w:r>
      <w:r w:rsidR="08F92F8D" w:rsidRPr="003D1E07">
        <w:t>P</w:t>
      </w:r>
      <w:r w:rsidR="08BC247E" w:rsidRPr="003D1E07">
        <w:t xml:space="preserve">evnost </w:t>
      </w:r>
      <w:r w:rsidR="080E6A02" w:rsidRPr="003D1E07">
        <w:t xml:space="preserve">metafyziky </w:t>
      </w:r>
      <w:r w:rsidR="08943953" w:rsidRPr="003D1E07">
        <w:t xml:space="preserve">prolomili </w:t>
      </w:r>
      <w:r w:rsidR="08FF71E9" w:rsidRPr="003D1E07">
        <w:t xml:space="preserve">současní nihilisté všeho druhu </w:t>
      </w:r>
      <w:r w:rsidR="08943953" w:rsidRPr="003D1E07">
        <w:t>tro</w:t>
      </w:r>
      <w:r w:rsidR="080E6A02" w:rsidRPr="003D1E07">
        <w:t>j</w:t>
      </w:r>
      <w:r w:rsidR="08943953" w:rsidRPr="003D1E07">
        <w:t xml:space="preserve">ským koněm dekonstrukce </w:t>
      </w:r>
      <w:r w:rsidR="080E6A02" w:rsidRPr="003D1E07">
        <w:t xml:space="preserve">a tzv. </w:t>
      </w:r>
      <w:r w:rsidR="080E6A02" w:rsidRPr="003D1E07">
        <w:rPr>
          <w:i/>
        </w:rPr>
        <w:t>post-truths</w:t>
      </w:r>
      <w:r w:rsidR="00BD7450" w:rsidRPr="003D1E07">
        <w:rPr>
          <w:i/>
        </w:rPr>
        <w:fldChar w:fldCharType="begin"/>
      </w:r>
      <w:r w:rsidR="00BD7450" w:rsidRPr="003D1E07">
        <w:instrText xml:space="preserve"> XE "</w:instrText>
      </w:r>
      <w:r w:rsidR="00BD7450" w:rsidRPr="003D1E07">
        <w:rPr>
          <w:i/>
        </w:rPr>
        <w:instrText>post-truths</w:instrText>
      </w:r>
      <w:r w:rsidR="00BD7450" w:rsidRPr="003D1E07">
        <w:instrText xml:space="preserve">" </w:instrText>
      </w:r>
      <w:r w:rsidR="00BD7450" w:rsidRPr="003D1E07">
        <w:rPr>
          <w:i/>
        </w:rPr>
        <w:fldChar w:fldCharType="end"/>
      </w:r>
      <w:r w:rsidR="080A30EF" w:rsidRPr="003D1E07">
        <w:t xml:space="preserve">. Tito vítězní nájezdníci </w:t>
      </w:r>
      <w:r w:rsidR="087E13FB" w:rsidRPr="003D1E07">
        <w:t xml:space="preserve">přijeli na koni </w:t>
      </w:r>
      <w:r w:rsidR="08343455" w:rsidRPr="003D1E07">
        <w:t>instrumentálního rozumu</w:t>
      </w:r>
      <w:r w:rsidR="00FF099B" w:rsidRPr="003D1E07">
        <w:t xml:space="preserve"> </w:t>
      </w:r>
      <w:r w:rsidR="08343455" w:rsidRPr="003D1E07">
        <w:fldChar w:fldCharType="begin"/>
      </w:r>
      <w:r w:rsidR="08343455" w:rsidRPr="003D1E07">
        <w:instrText xml:space="preserve"> XE "instrumentální rozum" </w:instrText>
      </w:r>
      <w:r w:rsidR="08343455" w:rsidRPr="003D1E07">
        <w:fldChar w:fldCharType="end"/>
      </w:r>
      <w:r w:rsidR="087E13FB" w:rsidRPr="003D1E07">
        <w:t xml:space="preserve">a </w:t>
      </w:r>
      <w:r w:rsidR="00FF099B" w:rsidRPr="003D1E07">
        <w:t xml:space="preserve">nyní </w:t>
      </w:r>
      <w:r w:rsidR="08943953" w:rsidRPr="003D1E07">
        <w:t>provádějí neoliberální plenění</w:t>
      </w:r>
      <w:r w:rsidR="08BF69BE" w:rsidRPr="003D1E07">
        <w:t xml:space="preserve"> </w:t>
      </w:r>
      <w:r w:rsidR="08E976A1" w:rsidRPr="003D1E07">
        <w:t xml:space="preserve">celé </w:t>
      </w:r>
      <w:r w:rsidR="00E03C5A" w:rsidRPr="003D1E07">
        <w:t>zeměkoule</w:t>
      </w:r>
      <w:r w:rsidR="08BC247E" w:rsidRPr="003D1E07">
        <w:t>.</w:t>
      </w:r>
      <w:r w:rsidR="086405FB" w:rsidRPr="003D1E07">
        <w:t xml:space="preserve"> </w:t>
      </w:r>
      <w:r w:rsidR="08CF7832" w:rsidRPr="003D1E07">
        <w:rPr>
          <w:rStyle w:val="st"/>
        </w:rPr>
        <w:t xml:space="preserve">Slavná věta dialogu </w:t>
      </w:r>
      <w:r w:rsidR="08CF7832" w:rsidRPr="003D1E07">
        <w:rPr>
          <w:rStyle w:val="st"/>
          <w:i/>
        </w:rPr>
        <w:t>Sofistes</w:t>
      </w:r>
      <w:r w:rsidR="08CF7832" w:rsidRPr="003D1E07">
        <w:rPr>
          <w:rStyle w:val="st"/>
        </w:rPr>
        <w:t xml:space="preserve"> tvrdí, že kvůli vzájemným sporům různých myslitelů (</w:t>
      </w:r>
      <w:r w:rsidR="08CF7832" w:rsidRPr="003D1E07">
        <w:t>πρὸς ἀλλήλους</w:t>
      </w:r>
      <w:r w:rsidR="08CF7832" w:rsidRPr="003D1E07">
        <w:rPr>
          <w:rStyle w:val="st"/>
        </w:rPr>
        <w:t>) existuje nějaká forma gigantomachie</w:t>
      </w:r>
      <w:r w:rsidR="08CF7832" w:rsidRPr="003D1E07">
        <w:rPr>
          <w:i/>
        </w:rPr>
        <w:fldChar w:fldCharType="begin"/>
      </w:r>
      <w:r w:rsidR="08CF7832" w:rsidRPr="003D1E07">
        <w:instrText xml:space="preserve"> XE "metafyzika:gigantomachie" </w:instrText>
      </w:r>
      <w:r w:rsidR="08CF7832" w:rsidRPr="003D1E07">
        <w:rPr>
          <w:i/>
        </w:rPr>
        <w:fldChar w:fldCharType="end"/>
      </w:r>
      <w:r w:rsidR="08CF7832" w:rsidRPr="003D1E07">
        <w:rPr>
          <w:rStyle w:val="st"/>
        </w:rPr>
        <w:t xml:space="preserve"> (</w:t>
      </w:r>
      <w:r w:rsidR="08CF7832" w:rsidRPr="003D1E07">
        <w:t>γιγαντομαχία τις</w:t>
      </w:r>
      <w:r w:rsidR="08CF7832" w:rsidRPr="003D1E07">
        <w:rPr>
          <w:rStyle w:val="st"/>
        </w:rPr>
        <w:t>) daná ohledně substance</w:t>
      </w:r>
      <w:r w:rsidR="08CF7832" w:rsidRPr="003D1E07">
        <w:rPr>
          <w:rStyle w:val="st"/>
        </w:rPr>
        <w:fldChar w:fldCharType="begin"/>
      </w:r>
      <w:r w:rsidR="08CF7832" w:rsidRPr="003D1E07">
        <w:instrText xml:space="preserve"> XE "substance:Platon" </w:instrText>
      </w:r>
      <w:r w:rsidR="08CF7832" w:rsidRPr="003D1E07">
        <w:rPr>
          <w:rStyle w:val="st"/>
        </w:rPr>
        <w:fldChar w:fldCharType="end"/>
      </w:r>
      <w:r w:rsidR="08CF7832" w:rsidRPr="003D1E07">
        <w:rPr>
          <w:rStyle w:val="st"/>
        </w:rPr>
        <w:t xml:space="preserve"> (</w:t>
      </w:r>
      <w:r w:rsidR="08CF7832" w:rsidRPr="003D1E07">
        <w:t>περὶ τῆς οὐσίας;</w:t>
      </w:r>
      <w:r w:rsidR="08CF7832" w:rsidRPr="003D1E07">
        <w:rPr>
          <w:rStyle w:val="st"/>
          <w:i/>
        </w:rPr>
        <w:t xml:space="preserve"> Soph</w:t>
      </w:r>
      <w:r w:rsidR="08CF7832" w:rsidRPr="003D1E07">
        <w:rPr>
          <w:rStyle w:val="st"/>
        </w:rPr>
        <w:t xml:space="preserve">. </w:t>
      </w:r>
      <w:r w:rsidR="08CF7832" w:rsidRPr="003D1E07">
        <w:t>246a4–5</w:t>
      </w:r>
      <w:r w:rsidR="08CF7832" w:rsidRPr="003D1E07">
        <w:fldChar w:fldCharType="begin"/>
      </w:r>
      <w:r w:rsidR="08CF7832" w:rsidRPr="003D1E07">
        <w:instrText xml:space="preserve"> XE "Platon:</w:instrText>
      </w:r>
      <w:r w:rsidR="08CF7832" w:rsidRPr="003D1E07">
        <w:rPr>
          <w:rStyle w:val="st"/>
          <w:i/>
        </w:rPr>
        <w:instrText>Soph</w:instrText>
      </w:r>
      <w:r w:rsidR="08CF7832" w:rsidRPr="003D1E07">
        <w:rPr>
          <w:rStyle w:val="st"/>
        </w:rPr>
        <w:instrText xml:space="preserve">. </w:instrText>
      </w:r>
      <w:r w:rsidR="08CF7832" w:rsidRPr="003D1E07">
        <w:instrText xml:space="preserve">246a4–5" </w:instrText>
      </w:r>
      <w:r w:rsidR="08CF7832" w:rsidRPr="003D1E07">
        <w:fldChar w:fldCharType="end"/>
      </w:r>
      <w:r w:rsidR="08CF7832" w:rsidRPr="003D1E07">
        <w:rPr>
          <w:rStyle w:val="st"/>
        </w:rPr>
        <w:t>)</w:t>
      </w:r>
      <w:r w:rsidR="08CF7832" w:rsidRPr="003D1E07">
        <w:rPr>
          <w:rFonts w:ascii="Times New Roman" w:eastAsia="Times New Roman" w:hAnsi="Times New Roman"/>
          <w:szCs w:val="24"/>
        </w:rPr>
        <w:t xml:space="preserve">. </w:t>
      </w:r>
      <w:r w:rsidR="08CF7832" w:rsidRPr="003D1E07">
        <w:t>Určitým zájmenem se definují spory a tehdy známí aktéři</w:t>
      </w:r>
      <w:r w:rsidR="00420B4F" w:rsidRPr="003D1E07">
        <w:t xml:space="preserve"> Platonovy doby</w:t>
      </w:r>
      <w:r w:rsidR="08CF7832" w:rsidRPr="003D1E07">
        <w:t>. Ale povaha gigantomachie o substanci není jasně určen</w:t>
      </w:r>
      <w:r w:rsidR="00A16E01" w:rsidRPr="003D1E07">
        <w:t>a, což dokládá neurčité zájmeno</w:t>
      </w:r>
      <w:r w:rsidR="08CF7832" w:rsidRPr="003D1E07">
        <w:t xml:space="preserve">. Myslitelé po Platonovi mají stejně jako on určitou volnost v určení základního rámce sporu, ale vycházejí z již daných určení substance definované předešlými zápasy. </w:t>
      </w:r>
      <w:r w:rsidR="00B4102C">
        <w:t xml:space="preserve">Předložená </w:t>
      </w:r>
      <w:r w:rsidR="08CF7832" w:rsidRPr="003D1E07">
        <w:t xml:space="preserve">interpretace </w:t>
      </w:r>
      <w:r w:rsidR="00A16E01" w:rsidRPr="003D1E07">
        <w:t xml:space="preserve">chápe gigantomachii </w:t>
      </w:r>
      <w:r w:rsidR="08CF7832" w:rsidRPr="003D1E07">
        <w:t xml:space="preserve">jako zápas o </w:t>
      </w:r>
      <w:r w:rsidR="00602C2B" w:rsidRPr="003D1E07">
        <w:t xml:space="preserve">po-odkryté </w:t>
      </w:r>
      <w:r w:rsidR="08CF7832" w:rsidRPr="003D1E07">
        <w:t xml:space="preserve">určení </w:t>
      </w:r>
      <w:r w:rsidR="00602C2B" w:rsidRPr="003D1E07">
        <w:t xml:space="preserve">objektivní </w:t>
      </w:r>
      <w:r w:rsidR="08CF7832" w:rsidRPr="003D1E07">
        <w:t>substance. Archaická schopnost rozlišování musí přesně rozlišit různé formy objektivity. Dějiny myšlení jsou v posledku určeny dějinnými proměnami pravdy</w:t>
      </w:r>
      <w:r w:rsidR="08CF7832" w:rsidRPr="003D1E07">
        <w:fldChar w:fldCharType="begin"/>
      </w:r>
      <w:r w:rsidR="08CF7832" w:rsidRPr="003D1E07">
        <w:instrText xml:space="preserve"> XE "pravda:múzická" </w:instrText>
      </w:r>
      <w:r w:rsidR="08CF7832" w:rsidRPr="003D1E07">
        <w:fldChar w:fldCharType="end"/>
      </w:r>
      <w:r w:rsidR="08CF7832" w:rsidRPr="003D1E07">
        <w:t xml:space="preserve"> jako skrytě působící archaické </w:t>
      </w:r>
      <w:r w:rsidR="08CF7832" w:rsidRPr="003D1E07">
        <w:rPr>
          <w:i/>
        </w:rPr>
        <w:t>alétheia</w:t>
      </w:r>
      <w:r w:rsidR="08CF7832" w:rsidRPr="003D1E07">
        <w:t xml:space="preserve">, kterou je třeba znovu vidět, kriticky rozlišit a nezastřeně </w:t>
      </w:r>
      <w:r w:rsidR="001533AD" w:rsidRPr="003D1E07">
        <w:t>hermene</w:t>
      </w:r>
      <w:r w:rsidR="00ED1674">
        <w:t>u</w:t>
      </w:r>
      <w:r w:rsidR="001533AD" w:rsidRPr="003D1E07">
        <w:t xml:space="preserve">ticky </w:t>
      </w:r>
      <w:r w:rsidR="08CF7832" w:rsidRPr="003D1E07">
        <w:t xml:space="preserve">popsat. Tímto způsobem Odysseus sledoval působení a výzvy bohyně Athény a Homér podobným způsobem odpověděl na </w:t>
      </w:r>
      <w:r w:rsidR="08CF7832" w:rsidRPr="003D1E07">
        <w:lastRenderedPageBreak/>
        <w:t>výzvu Múz. Toto skryté dění múzické pravdy zakládá epochální běh  dějinnosti</w:t>
      </w:r>
      <w:r w:rsidR="084337BD" w:rsidRPr="003D1E07">
        <w:fldChar w:fldCharType="begin"/>
      </w:r>
      <w:r w:rsidR="084337BD" w:rsidRPr="003D1E07">
        <w:instrText xml:space="preserve"> XE "dějinnost" </w:instrText>
      </w:r>
      <w:r w:rsidR="084337BD" w:rsidRPr="003D1E07">
        <w:fldChar w:fldCharType="end"/>
      </w:r>
      <w:r w:rsidR="08CF7832" w:rsidRPr="003D1E07">
        <w:t xml:space="preserve">, který vznikl skrze tisícileté působení </w:t>
      </w:r>
      <w:r w:rsidR="00B87E84" w:rsidRPr="003D1E07">
        <w:t xml:space="preserve">archaického </w:t>
      </w:r>
      <w:r w:rsidR="08CF7832" w:rsidRPr="003D1E07">
        <w:t>myšlení. Tragikové přecházeli vznik metafyziky a byli současníky prvních filosofů. V epoše první filosofie začalo myšlení odpovídat na novou výzvu</w:t>
      </w:r>
      <w:r w:rsidR="00390C5D" w:rsidRPr="003D1E07">
        <w:t xml:space="preserve"> </w:t>
      </w:r>
      <w:r w:rsidR="00765FDB" w:rsidRPr="003D1E07">
        <w:t>první řecké moderny</w:t>
      </w:r>
      <w:r w:rsidR="08CF7832" w:rsidRPr="003D1E07">
        <w:t xml:space="preserve">. </w:t>
      </w:r>
      <w:r w:rsidR="084F2A56" w:rsidRPr="003D1E07">
        <w:t>Múzický, t</w:t>
      </w:r>
      <w:r w:rsidR="08CF7832" w:rsidRPr="003D1E07">
        <w:t xml:space="preserve">ragický a </w:t>
      </w:r>
      <w:r w:rsidR="084F2A56" w:rsidRPr="003D1E07">
        <w:t xml:space="preserve">archaicky-filosofický způsob </w:t>
      </w:r>
      <w:r w:rsidR="00217710" w:rsidRPr="003D1E07">
        <w:t>moudrosti potřebuje umění hermeneutiky</w:t>
      </w:r>
      <w:r w:rsidR="08CF7832" w:rsidRPr="003D1E07">
        <w:t xml:space="preserve"> k tomu, aby rozlišil původní dějinné podoby pravdy od pozdějšího obratu k objektivitě. Archaické vidění pravdy harmonicky napojené na bytí božského celku kosmu se změnilo na myšlení moderního subjektu. </w:t>
      </w:r>
      <w:r w:rsidR="001533AD" w:rsidRPr="003D1E07">
        <w:t xml:space="preserve">Metafyzika latinského Západu vedla téměř </w:t>
      </w:r>
      <w:r w:rsidR="00AE1EEB" w:rsidRPr="003D1E07">
        <w:t xml:space="preserve">dvě tisíciletí metafyzickou </w:t>
      </w:r>
      <w:r w:rsidR="001533AD" w:rsidRPr="003D1E07">
        <w:t>válku, jejíž oficiální historii psali pouze vítězové. A ti zničili sami sebe v epoše dokonaného metafyzického nihilismu</w:t>
      </w:r>
      <w:r w:rsidR="005D7533" w:rsidRPr="003D1E07">
        <w:t xml:space="preserve"> dneška</w:t>
      </w:r>
      <w:r w:rsidR="001533AD" w:rsidRPr="003D1E07">
        <w:t xml:space="preserve">. </w:t>
      </w:r>
      <w:r w:rsidR="08CF7832" w:rsidRPr="003D1E07">
        <w:t xml:space="preserve">Metafyzika sleduje skryté proměny bytí jsoucna </w:t>
      </w:r>
      <w:r w:rsidR="00E91433" w:rsidRPr="003D1E07">
        <w:t xml:space="preserve">provedené </w:t>
      </w:r>
      <w:r w:rsidR="08CF7832" w:rsidRPr="003D1E07">
        <w:t xml:space="preserve">jak </w:t>
      </w:r>
      <w:r w:rsidR="00A60F34" w:rsidRPr="003D1E07">
        <w:t xml:space="preserve">moudrým </w:t>
      </w:r>
      <w:r w:rsidR="08CF7832" w:rsidRPr="003D1E07">
        <w:t xml:space="preserve">tak nihilistickým způsobem. </w:t>
      </w:r>
      <w:r w:rsidR="003F5F9A" w:rsidRPr="003D1E07">
        <w:t xml:space="preserve">Průlom </w:t>
      </w:r>
      <w:r w:rsidR="08CF7832" w:rsidRPr="003D1E07">
        <w:t xml:space="preserve">modernistů </w:t>
      </w:r>
      <w:r w:rsidR="001F5FC2" w:rsidRPr="003D1E07">
        <w:t xml:space="preserve">do myšlení </w:t>
      </w:r>
      <w:r w:rsidR="08CF7832" w:rsidRPr="003D1E07">
        <w:t xml:space="preserve">13. století určil základní modus objektivního vědění skrze </w:t>
      </w:r>
      <w:r w:rsidR="00E91433" w:rsidRPr="003D1E07">
        <w:t xml:space="preserve">velmi problematické </w:t>
      </w:r>
      <w:r w:rsidR="08CF7832" w:rsidRPr="003D1E07">
        <w:t xml:space="preserve">pojetí </w:t>
      </w:r>
      <w:r w:rsidR="00170FBF" w:rsidRPr="003D1E07">
        <w:t xml:space="preserve">substance </w:t>
      </w:r>
      <w:r w:rsidR="007F3CA3" w:rsidRPr="003D1E07">
        <w:t xml:space="preserve">a </w:t>
      </w:r>
      <w:r w:rsidR="08CF7832" w:rsidRPr="003D1E07">
        <w:t xml:space="preserve">pravdy. </w:t>
      </w:r>
      <w:r w:rsidR="00013C49" w:rsidRPr="003D1E07">
        <w:t xml:space="preserve">Celek </w:t>
      </w:r>
      <w:r w:rsidR="08CF7832" w:rsidRPr="003D1E07">
        <w:t xml:space="preserve">jsoucna přestal být </w:t>
      </w:r>
      <w:r w:rsidR="00071535" w:rsidRPr="003D1E07">
        <w:t xml:space="preserve">metafyzickým </w:t>
      </w:r>
      <w:r w:rsidR="00211040">
        <w:t>problémem. M</w:t>
      </w:r>
      <w:r w:rsidR="08CF7832" w:rsidRPr="003D1E07">
        <w:t>oderní subj</w:t>
      </w:r>
      <w:r w:rsidR="00013C49" w:rsidRPr="003D1E07">
        <w:t>ekt dal skrze objektivní metafyzi</w:t>
      </w:r>
      <w:r w:rsidR="08CF7832" w:rsidRPr="003D1E07">
        <w:t xml:space="preserve">ku sám sebe jako základní problém filosofie. Tato fundamentální disharmonie myšlení zplodila současný metafyzický nihilismus. A </w:t>
      </w:r>
      <w:r w:rsidR="005313C9" w:rsidRPr="003D1E07">
        <w:t>konflik</w:t>
      </w:r>
      <w:r w:rsidR="000741BD">
        <w:t>t</w:t>
      </w:r>
      <w:r w:rsidR="005313C9" w:rsidRPr="003D1E07">
        <w:t xml:space="preserve">ní myšlení jej </w:t>
      </w:r>
      <w:r w:rsidR="08CF7832" w:rsidRPr="003D1E07">
        <w:t xml:space="preserve">udržuje v chodu skrze instrumentální racionalitu drtící poslední zbytky původní moudrosti latinského Západu do digitální podoby databázově dané </w:t>
      </w:r>
      <w:r w:rsidR="000741BD">
        <w:t>učenosti</w:t>
      </w:r>
      <w:r w:rsidR="08CF7832" w:rsidRPr="003D1E07">
        <w:t xml:space="preserve">. </w:t>
      </w:r>
      <w:r w:rsidR="08FB5115" w:rsidRPr="003D1E07">
        <w:t>Kde mluví zbraně a nihilistické násilí, tam mlčí Múzy.</w:t>
      </w:r>
      <w:r w:rsidR="0017418C" w:rsidRPr="003D1E07">
        <w:t xml:space="preserve"> </w:t>
      </w:r>
      <w:r w:rsidR="087724A4" w:rsidRPr="003D1E07">
        <w:t xml:space="preserve">Objektivita se </w:t>
      </w:r>
      <w:r w:rsidR="00E438BA" w:rsidRPr="003D1E07">
        <w:t xml:space="preserve">vítězně </w:t>
      </w:r>
      <w:r w:rsidR="087724A4" w:rsidRPr="003D1E07">
        <w:t>ukazuje skrze své působení</w:t>
      </w:r>
      <w:r w:rsidR="007435DB" w:rsidRPr="003D1E07">
        <w:t xml:space="preserve"> skrze pojetí </w:t>
      </w:r>
      <w:r w:rsidR="087724A4" w:rsidRPr="003D1E07">
        <w:t xml:space="preserve">pojetí pravdy, </w:t>
      </w:r>
      <w:r w:rsidR="007435DB" w:rsidRPr="003D1E07">
        <w:t xml:space="preserve">vědeckou </w:t>
      </w:r>
      <w:r w:rsidR="087724A4" w:rsidRPr="003D1E07">
        <w:t xml:space="preserve">metodologii a </w:t>
      </w:r>
      <w:r w:rsidR="007435DB" w:rsidRPr="003D1E07">
        <w:t xml:space="preserve">použité </w:t>
      </w:r>
      <w:r w:rsidR="087724A4" w:rsidRPr="003D1E07">
        <w:t xml:space="preserve">koncepty. </w:t>
      </w:r>
      <w:r w:rsidR="003310B6" w:rsidRPr="003D1E07">
        <w:t xml:space="preserve">Historie této kruciáty se představuje jako dominanta </w:t>
      </w:r>
      <w:r w:rsidR="006A563A" w:rsidRPr="003D1E07">
        <w:t>civ</w:t>
      </w:r>
      <w:r w:rsidR="0017418C" w:rsidRPr="003D1E07">
        <w:t>i</w:t>
      </w:r>
      <w:r w:rsidR="006A563A" w:rsidRPr="003D1E07">
        <w:t xml:space="preserve">lizace </w:t>
      </w:r>
      <w:r w:rsidR="003310B6" w:rsidRPr="003D1E07">
        <w:t>Západu. H</w:t>
      </w:r>
      <w:r w:rsidR="0079789D" w:rsidRPr="003D1E07">
        <w:t>egeliánská filosofie se tváří</w:t>
      </w:r>
      <w:r w:rsidR="08A25FFE" w:rsidRPr="003D1E07">
        <w:t xml:space="preserve"> jako završení dějin </w:t>
      </w:r>
      <w:r w:rsidR="008C75E5" w:rsidRPr="003D1E07">
        <w:t xml:space="preserve">tohoto </w:t>
      </w:r>
      <w:r w:rsidR="000D583E" w:rsidRPr="003D1E07">
        <w:t>myšlení</w:t>
      </w:r>
      <w:r w:rsidR="0079789D" w:rsidRPr="003D1E07">
        <w:t>.</w:t>
      </w:r>
      <w:r w:rsidR="08A25FFE" w:rsidRPr="003D1E07">
        <w:t xml:space="preserve"> </w:t>
      </w:r>
      <w:r w:rsidR="0079789D" w:rsidRPr="003D1E07">
        <w:t>Objektivní pohled jde od n</w:t>
      </w:r>
      <w:r w:rsidR="0818740D" w:rsidRPr="003D1E07">
        <w:t xml:space="preserve">ihilistického </w:t>
      </w:r>
      <w:r w:rsidR="08B10DB3" w:rsidRPr="003D1E07">
        <w:t xml:space="preserve">konce </w:t>
      </w:r>
      <w:r w:rsidR="00321F63" w:rsidRPr="003D1E07">
        <w:t xml:space="preserve">dějin </w:t>
      </w:r>
      <w:r w:rsidR="0818740D" w:rsidRPr="003D1E07">
        <w:t>myšlení k </w:t>
      </w:r>
      <w:r w:rsidR="08B10DB3" w:rsidRPr="003D1E07">
        <w:t xml:space="preserve">počátku </w:t>
      </w:r>
      <w:r w:rsidR="080F7A6D" w:rsidRPr="003D1E07">
        <w:t>filosofie</w:t>
      </w:r>
      <w:r w:rsidR="00FB20CD">
        <w:t>.</w:t>
      </w:r>
    </w:p>
    <w:p w14:paraId="52BA500F" w14:textId="1A291799" w:rsidR="08CF7832" w:rsidRPr="003D1E07" w:rsidRDefault="0079789D" w:rsidP="00B205BE">
      <w:pPr>
        <w:ind w:firstLine="397"/>
      </w:pPr>
      <w:r w:rsidRPr="003D1E07">
        <w:t>H</w:t>
      </w:r>
      <w:r w:rsidR="00321F63" w:rsidRPr="003D1E07">
        <w:t>ermene</w:t>
      </w:r>
      <w:r w:rsidR="00B30285">
        <w:t>u</w:t>
      </w:r>
      <w:r w:rsidR="08C276BC" w:rsidRPr="003D1E07">
        <w:t xml:space="preserve">tický </w:t>
      </w:r>
      <w:r w:rsidR="08B10DB3" w:rsidRPr="003D1E07">
        <w:t xml:space="preserve">pohled </w:t>
      </w:r>
      <w:r w:rsidRPr="003D1E07">
        <w:t xml:space="preserve">jde </w:t>
      </w:r>
      <w:r w:rsidR="00321F63" w:rsidRPr="003D1E07">
        <w:t xml:space="preserve">přesně opačně, </w:t>
      </w:r>
      <w:r w:rsidR="08B10DB3" w:rsidRPr="003D1E07">
        <w:t xml:space="preserve">od počátku k tomu, co </w:t>
      </w:r>
      <w:r w:rsidR="080F7A6D" w:rsidRPr="003D1E07">
        <w:t xml:space="preserve">tento </w:t>
      </w:r>
      <w:r w:rsidR="08B10DB3" w:rsidRPr="003D1E07">
        <w:t>počátek založil</w:t>
      </w:r>
      <w:r w:rsidR="08A67C8E" w:rsidRPr="003D1E07">
        <w:t xml:space="preserve"> jako následek</w:t>
      </w:r>
      <w:r w:rsidR="006B0D00" w:rsidRPr="003D1E07">
        <w:t xml:space="preserve">. Od objektivních </w:t>
      </w:r>
      <w:r w:rsidR="08B10DB3" w:rsidRPr="003D1E07">
        <w:t>dějin filosofie nelze jít k</w:t>
      </w:r>
      <w:r w:rsidR="08540278" w:rsidRPr="003D1E07">
        <w:t> </w:t>
      </w:r>
      <w:r w:rsidR="08B10DB3" w:rsidRPr="003D1E07">
        <w:t>dějinnost</w:t>
      </w:r>
      <w:r w:rsidR="08540278" w:rsidRPr="003D1E07">
        <w:t>i</w:t>
      </w:r>
      <w:r w:rsidR="084337BD" w:rsidRPr="003D1E07">
        <w:fldChar w:fldCharType="begin"/>
      </w:r>
      <w:r w:rsidR="084337BD" w:rsidRPr="003D1E07">
        <w:instrText xml:space="preserve"> XE "dějinnost" </w:instrText>
      </w:r>
      <w:r w:rsidR="084337BD" w:rsidRPr="003D1E07">
        <w:fldChar w:fldCharType="end"/>
      </w:r>
      <w:r w:rsidR="08540278" w:rsidRPr="003D1E07">
        <w:t>, protož</w:t>
      </w:r>
      <w:r w:rsidR="08951A12" w:rsidRPr="003D1E07">
        <w:t xml:space="preserve">e ta nemá objektivní charakter. Myšlení nemůže zkoumat něco co není. </w:t>
      </w:r>
      <w:r w:rsidR="08CF7832" w:rsidRPr="003D1E07">
        <w:t>Hermeneutick</w:t>
      </w:r>
      <w:r w:rsidR="00A17437" w:rsidRPr="003D1E07">
        <w:t xml:space="preserve">é </w:t>
      </w:r>
      <w:r w:rsidR="08CF7832" w:rsidRPr="003D1E07">
        <w:t xml:space="preserve">zkoumání </w:t>
      </w:r>
      <w:r w:rsidR="00A17437" w:rsidRPr="003D1E07">
        <w:t>o</w:t>
      </w:r>
      <w:r w:rsidR="08CF7832" w:rsidRPr="003D1E07">
        <w:t xml:space="preserve">bjektivity </w:t>
      </w:r>
      <w:r w:rsidR="088D01D8" w:rsidRPr="003D1E07">
        <w:t xml:space="preserve">nezakládá </w:t>
      </w:r>
      <w:r w:rsidR="08CF7832" w:rsidRPr="003D1E07">
        <w:t>Hegelova a Gadamerova</w:t>
      </w:r>
      <w:r w:rsidR="08CF7832" w:rsidRPr="003D1E07">
        <w:fldChar w:fldCharType="begin"/>
      </w:r>
      <w:r w:rsidR="08CF7832" w:rsidRPr="003D1E07">
        <w:instrText xml:space="preserve"> XE "Gadamer, H.-G." </w:instrText>
      </w:r>
      <w:r w:rsidR="08CF7832" w:rsidRPr="003D1E07">
        <w:fldChar w:fldCharType="end"/>
      </w:r>
      <w:r w:rsidR="08CF7832" w:rsidRPr="003D1E07">
        <w:t xml:space="preserve"> otázka dějinného působení ve vědomí subjektu</w:t>
      </w:r>
      <w:r w:rsidR="00170FBF" w:rsidRPr="003D1E07">
        <w:t xml:space="preserve"> </w:t>
      </w:r>
      <w:r w:rsidR="00170FBF" w:rsidRPr="003D1E07">
        <w:rPr>
          <w:noProof w:val="0"/>
          <w:lang w:eastAsia="x-none"/>
        </w:rPr>
        <w:t>(</w:t>
      </w:r>
      <w:r w:rsidR="00170FBF" w:rsidRPr="003D1E07">
        <w:rPr>
          <w:i/>
        </w:rPr>
        <w:t>wirkungsgeschichtliches Bewusstsein</w:t>
      </w:r>
      <w:r w:rsidR="00170FBF" w:rsidRPr="003D1E07">
        <w:rPr>
          <w:noProof w:val="0"/>
          <w:lang w:eastAsia="x-none"/>
        </w:rPr>
        <w:t>)</w:t>
      </w:r>
      <w:r w:rsidR="08CF7832" w:rsidRPr="003D1E07">
        <w:t xml:space="preserve">. </w:t>
      </w:r>
      <w:r w:rsidR="0836648B" w:rsidRPr="003D1E07">
        <w:t xml:space="preserve">Tato </w:t>
      </w:r>
      <w:r w:rsidR="08BC75B7" w:rsidRPr="003D1E07">
        <w:t>form</w:t>
      </w:r>
      <w:r w:rsidR="0836648B" w:rsidRPr="003D1E07">
        <w:t>a</w:t>
      </w:r>
      <w:r w:rsidR="08BC75B7" w:rsidRPr="003D1E07">
        <w:t xml:space="preserve"> hermeneutiky je nesen</w:t>
      </w:r>
      <w:r w:rsidR="0836648B" w:rsidRPr="003D1E07">
        <w:t>a</w:t>
      </w:r>
      <w:r w:rsidR="08BC75B7" w:rsidRPr="003D1E07">
        <w:t xml:space="preserve"> nihilistickým viděním reality</w:t>
      </w:r>
      <w:r w:rsidR="0836648B" w:rsidRPr="003D1E07">
        <w:t>, protože je zasazena</w:t>
      </w:r>
      <w:r w:rsidR="08BC75B7" w:rsidRPr="003D1E07">
        <w:t xml:space="preserve"> do </w:t>
      </w:r>
      <w:r w:rsidR="08BC43A3" w:rsidRPr="003D1E07">
        <w:t xml:space="preserve">filosofie a do </w:t>
      </w:r>
      <w:r w:rsidR="08BC75B7" w:rsidRPr="003D1E07">
        <w:t>ideologie německého idealismu 19. století. Tuto epochu myšlení ukončil</w:t>
      </w:r>
      <w:r w:rsidR="08BC43A3" w:rsidRPr="003D1E07">
        <w:t>i</w:t>
      </w:r>
      <w:r w:rsidR="08BC75B7" w:rsidRPr="003D1E07">
        <w:t xml:space="preserve"> Nietzsche a Marx</w:t>
      </w:r>
      <w:r w:rsidR="08916887" w:rsidRPr="003D1E07">
        <w:t xml:space="preserve">, kteří poslali </w:t>
      </w:r>
      <w:r w:rsidR="0860380C" w:rsidRPr="003D1E07">
        <w:t xml:space="preserve">tento </w:t>
      </w:r>
      <w:r w:rsidR="08916887" w:rsidRPr="003D1E07">
        <w:t xml:space="preserve">subjekt a jím vytvořený svět politické </w:t>
      </w:r>
      <w:r w:rsidR="089A7684" w:rsidRPr="003D1E07">
        <w:t>ideolog</w:t>
      </w:r>
      <w:r w:rsidR="08916887" w:rsidRPr="003D1E07">
        <w:t xml:space="preserve">ie a filosofického idealismu na hřbitov </w:t>
      </w:r>
      <w:r w:rsidR="089A7684" w:rsidRPr="003D1E07">
        <w:t>post</w:t>
      </w:r>
      <w:r w:rsidR="08916887" w:rsidRPr="003D1E07">
        <w:t>moderních idejí</w:t>
      </w:r>
      <w:r w:rsidR="08BC75B7" w:rsidRPr="003D1E07">
        <w:t xml:space="preserve">. </w:t>
      </w:r>
      <w:r w:rsidR="08CF7832" w:rsidRPr="003D1E07">
        <w:t xml:space="preserve">Archaickou hermeneutiku zajímá dění samotné dějinnosti </w:t>
      </w:r>
      <w:r w:rsidR="001C2D2A" w:rsidRPr="003D1E07">
        <w:t xml:space="preserve">bytí </w:t>
      </w:r>
      <w:r w:rsidR="08CF7832" w:rsidRPr="003D1E07">
        <w:t xml:space="preserve">vázané na filosofickou otázku po bytí jsoucna. Historické události a dějiny </w:t>
      </w:r>
      <w:r w:rsidR="00EB508A" w:rsidRPr="003D1E07">
        <w:t xml:space="preserve">moderní </w:t>
      </w:r>
      <w:r w:rsidR="08CF7832" w:rsidRPr="003D1E07">
        <w:t xml:space="preserve">filosofie spojené </w:t>
      </w:r>
      <w:r w:rsidR="08CF7832" w:rsidRPr="003D1E07">
        <w:lastRenderedPageBreak/>
        <w:t xml:space="preserve">se vznikem objektivity </w:t>
      </w:r>
      <w:r w:rsidR="00A57AE5" w:rsidRPr="003D1E07">
        <w:t xml:space="preserve">se manifestují </w:t>
      </w:r>
      <w:r w:rsidR="08CF7832" w:rsidRPr="003D1E07">
        <w:t>díky skrytému pohybu dějinnosti</w:t>
      </w:r>
      <w:r w:rsidR="00B541C6" w:rsidRPr="003D1E07">
        <w:t xml:space="preserve"> samotného bytí</w:t>
      </w:r>
      <w:r w:rsidR="08CF7832" w:rsidRPr="003D1E07">
        <w:t xml:space="preserve">. </w:t>
      </w:r>
      <w:r w:rsidR="008611B2" w:rsidRPr="003D1E07">
        <w:t xml:space="preserve">Úvodní pojednání o krizi objektivity v epoše současného myšlenkového nihilismu ukázalo, že být objektivní neznamená být pravdivý ve smyslu archaické </w:t>
      </w:r>
      <w:r w:rsidR="008611B2" w:rsidRPr="003D1E07">
        <w:rPr>
          <w:i/>
        </w:rPr>
        <w:t>alétheia</w:t>
      </w:r>
      <w:r w:rsidR="008611B2" w:rsidRPr="003D1E07">
        <w:t xml:space="preserve">. </w:t>
      </w:r>
      <w:r w:rsidR="08CF7832" w:rsidRPr="003D1E07">
        <w:t>Původní dění pravdy se vztahuje k</w:t>
      </w:r>
      <w:r w:rsidR="00853A2B" w:rsidRPr="003D1E07">
        <w:t xml:space="preserve"> tragické </w:t>
      </w:r>
      <w:r w:rsidR="08CF7832" w:rsidRPr="003D1E07">
        <w:t xml:space="preserve">moudrosti, která hledá původní </w:t>
      </w:r>
      <w:r w:rsidR="00853A2B" w:rsidRPr="003D1E07">
        <w:t>stav světa a božských sil</w:t>
      </w:r>
      <w:r w:rsidR="08CF7832" w:rsidRPr="003D1E07">
        <w:t xml:space="preserve">. Hermeneutika sledující Sokratovu kritickou </w:t>
      </w:r>
      <w:r w:rsidR="008D000D" w:rsidRPr="003D1E07">
        <w:t xml:space="preserve">a pythickou </w:t>
      </w:r>
      <w:r w:rsidR="08CF7832" w:rsidRPr="003D1E07">
        <w:t xml:space="preserve">cestu k moudrosti musí najít a </w:t>
      </w:r>
      <w:r w:rsidR="00A071AD" w:rsidRPr="003D1E07">
        <w:t xml:space="preserve">pravdivě </w:t>
      </w:r>
      <w:r w:rsidR="08CF7832" w:rsidRPr="003D1E07">
        <w:t xml:space="preserve">popsat temnou a nejasnou část fenoménu objektivity. Z této původní temnoty archaického bytí a </w:t>
      </w:r>
      <w:r w:rsidR="00566171" w:rsidRPr="003D1E07">
        <w:t xml:space="preserve">tragického </w:t>
      </w:r>
      <w:r w:rsidR="08CF7832" w:rsidRPr="003D1E07">
        <w:t xml:space="preserve">myšlení vyšel pozitivní koncept objektivity manifestovaný v dějinách filosofie. </w:t>
      </w:r>
      <w:r w:rsidR="089A7684" w:rsidRPr="003D1E07">
        <w:t>Objektivita nebyla a nyní je, protože někde a nějak vznikla</w:t>
      </w:r>
      <w:r w:rsidR="08912084" w:rsidRPr="003D1E07">
        <w:t xml:space="preserve"> v dějinách myšlení</w:t>
      </w:r>
      <w:r w:rsidR="089A7684" w:rsidRPr="003D1E07">
        <w:t xml:space="preserve">. </w:t>
      </w:r>
      <w:r w:rsidR="081B3CB3" w:rsidRPr="003D1E07">
        <w:t xml:space="preserve">Skryté dění bytí </w:t>
      </w:r>
      <w:r w:rsidR="000C77AF" w:rsidRPr="003D1E07">
        <w:t xml:space="preserve">jsoucna </w:t>
      </w:r>
      <w:r w:rsidR="081B3CB3" w:rsidRPr="003D1E07">
        <w:t xml:space="preserve">a </w:t>
      </w:r>
      <w:r w:rsidR="000C77AF" w:rsidRPr="003D1E07">
        <w:t xml:space="preserve">jeho reflexe </w:t>
      </w:r>
      <w:r w:rsidR="081B3CB3" w:rsidRPr="003D1E07">
        <w:t xml:space="preserve">dává do dějinné manifestace tu či onu pozitivní formu objektivity. </w:t>
      </w:r>
      <w:r w:rsidR="00E15008" w:rsidRPr="003D1E07">
        <w:t xml:space="preserve">Navržené </w:t>
      </w:r>
      <w:r w:rsidR="08CF7832" w:rsidRPr="003D1E07">
        <w:t xml:space="preserve">rozlišování </w:t>
      </w:r>
      <w:r w:rsidR="005F2F47" w:rsidRPr="003D1E07">
        <w:t xml:space="preserve">je dáno </w:t>
      </w:r>
      <w:r w:rsidR="08CF7832" w:rsidRPr="003D1E07">
        <w:t>vzhledem k dění počát</w:t>
      </w:r>
      <w:r w:rsidR="005F2F47" w:rsidRPr="003D1E07">
        <w:t xml:space="preserve">ku, které ukazuje Odysseova </w:t>
      </w:r>
      <w:r w:rsidR="00F20A48">
        <w:t>archaická</w:t>
      </w:r>
      <w:r w:rsidR="08CF7832" w:rsidRPr="003D1E07">
        <w:t xml:space="preserve"> </w:t>
      </w:r>
      <w:r w:rsidR="08CF7832" w:rsidRPr="003D1E07">
        <w:rPr>
          <w:i/>
        </w:rPr>
        <w:t>métis</w:t>
      </w:r>
      <w:r w:rsidR="00D94F6D" w:rsidRPr="003D1E07">
        <w:rPr>
          <w:i/>
          <w:szCs w:val="24"/>
        </w:rPr>
        <w:fldChar w:fldCharType="begin"/>
      </w:r>
      <w:r w:rsidR="00D94F6D" w:rsidRPr="003D1E07">
        <w:instrText xml:space="preserve"> XE "</w:instrText>
      </w:r>
      <w:r w:rsidR="00D94F6D" w:rsidRPr="003D1E07">
        <w:rPr>
          <w:i/>
          <w:szCs w:val="24"/>
        </w:rPr>
        <w:instrText>métis</w:instrText>
      </w:r>
      <w:r w:rsidR="00D94F6D" w:rsidRPr="003D1E07">
        <w:instrText xml:space="preserve">" </w:instrText>
      </w:r>
      <w:r w:rsidR="00D94F6D" w:rsidRPr="003D1E07">
        <w:rPr>
          <w:i/>
          <w:szCs w:val="24"/>
        </w:rPr>
        <w:fldChar w:fldCharType="end"/>
      </w:r>
      <w:r w:rsidR="08CF7832" w:rsidRPr="003D1E07">
        <w:t xml:space="preserve">. Hermeneutika zaměřila </w:t>
      </w:r>
      <w:r w:rsidR="00BA30B3" w:rsidRPr="003D1E07">
        <w:t>filosofi</w:t>
      </w:r>
      <w:r w:rsidR="002C205C" w:rsidRPr="003D1E07">
        <w:t>c</w:t>
      </w:r>
      <w:r w:rsidR="00BA30B3" w:rsidRPr="003D1E07">
        <w:t xml:space="preserve">kou </w:t>
      </w:r>
      <w:r w:rsidR="00BA30B3" w:rsidRPr="003D1E07">
        <w:rPr>
          <w:i/>
        </w:rPr>
        <w:t xml:space="preserve">métis </w:t>
      </w:r>
      <w:r w:rsidR="08CF7832" w:rsidRPr="003D1E07">
        <w:t xml:space="preserve">na </w:t>
      </w:r>
      <w:r w:rsidR="0094751F" w:rsidRPr="003D1E07">
        <w:t xml:space="preserve">odkryté </w:t>
      </w:r>
      <w:r w:rsidR="08CF7832" w:rsidRPr="003D1E07">
        <w:t xml:space="preserve">dění </w:t>
      </w:r>
      <w:r w:rsidR="0094751F" w:rsidRPr="003D1E07">
        <w:t xml:space="preserve">bytí jsoucna </w:t>
      </w:r>
      <w:r w:rsidR="002C205C" w:rsidRPr="003D1E07">
        <w:t>v modu „být v </w:t>
      </w:r>
      <w:r w:rsidR="003B348A" w:rsidRPr="003D1E07">
        <w:rPr>
          <w:i/>
        </w:rPr>
        <w:t>alétheia</w:t>
      </w:r>
      <w:r w:rsidR="002C205C" w:rsidRPr="003D1E07">
        <w:t>“</w:t>
      </w:r>
      <w:r w:rsidR="00904432" w:rsidRPr="003D1E07">
        <w:t xml:space="preserve">. Takto daný smysl dějinnosti </w:t>
      </w:r>
      <w:r w:rsidR="005E1765" w:rsidRPr="003D1E07">
        <w:t xml:space="preserve">se </w:t>
      </w:r>
      <w:r w:rsidR="003B348A" w:rsidRPr="003D1E07">
        <w:t>manifestuje</w:t>
      </w:r>
      <w:r w:rsidR="08CF7832" w:rsidRPr="003D1E07">
        <w:t xml:space="preserve"> v aktu kritického rozlišování a souzení. Moudrý a prozíravý člověk chce vědět, jak věci doopravdy jsou, a ne jak se zdají být. Tato původní </w:t>
      </w:r>
      <w:r w:rsidR="002C2477" w:rsidRPr="003D1E07">
        <w:t xml:space="preserve">dějinná </w:t>
      </w:r>
      <w:r w:rsidR="008B47AE" w:rsidRPr="003D1E07">
        <w:t xml:space="preserve">forma objektivity </w:t>
      </w:r>
      <w:r w:rsidR="002C2477" w:rsidRPr="003D1E07">
        <w:t xml:space="preserve">nikdy </w:t>
      </w:r>
      <w:r w:rsidR="08CF7832" w:rsidRPr="003D1E07">
        <w:t xml:space="preserve">není daná objektivně, protože objektivní je pouze faktická danost fenoménu. Tím se zásadně liší dva způsoby danosti </w:t>
      </w:r>
      <w:r w:rsidR="00AA7004" w:rsidRPr="003D1E07">
        <w:t>objektivity</w:t>
      </w:r>
      <w:r w:rsidR="007958DD" w:rsidRPr="003D1E07">
        <w:t>. Skrytá a neviditelná</w:t>
      </w:r>
      <w:r w:rsidR="083B7E80" w:rsidRPr="003D1E07">
        <w:t xml:space="preserve"> </w:t>
      </w:r>
      <w:r w:rsidR="08CF7832" w:rsidRPr="003D1E07">
        <w:t>dějinnost</w:t>
      </w:r>
      <w:r w:rsidR="084337BD" w:rsidRPr="003D1E07">
        <w:fldChar w:fldCharType="begin"/>
      </w:r>
      <w:r w:rsidR="084337BD" w:rsidRPr="003D1E07">
        <w:instrText xml:space="preserve"> XE "dějinnost" </w:instrText>
      </w:r>
      <w:r w:rsidR="084337BD" w:rsidRPr="003D1E07">
        <w:fldChar w:fldCharType="end"/>
      </w:r>
      <w:r w:rsidR="08CF7832" w:rsidRPr="003D1E07">
        <w:t xml:space="preserve"> </w:t>
      </w:r>
      <w:r w:rsidR="007958DD" w:rsidRPr="003D1E07">
        <w:t xml:space="preserve">je oddělena </w:t>
      </w:r>
      <w:r w:rsidR="08CF7832" w:rsidRPr="003D1E07">
        <w:t xml:space="preserve">od </w:t>
      </w:r>
      <w:r w:rsidR="007958DD" w:rsidRPr="003D1E07">
        <w:t xml:space="preserve">pozitivních </w:t>
      </w:r>
      <w:r w:rsidR="083B7E80" w:rsidRPr="003D1E07">
        <w:t xml:space="preserve">a viditelných </w:t>
      </w:r>
      <w:r w:rsidR="08CF7832" w:rsidRPr="003D1E07">
        <w:t>dějin</w:t>
      </w:r>
      <w:r w:rsidR="007958DD" w:rsidRPr="003D1E07">
        <w:t xml:space="preserve"> objektivity</w:t>
      </w:r>
      <w:r w:rsidR="08CF7832" w:rsidRPr="003D1E07">
        <w:t xml:space="preserve">. </w:t>
      </w:r>
      <w:r w:rsidR="08242DD5" w:rsidRPr="003D1E07">
        <w:t>Pozitivní vědění definuje objektivní danost věci nebo fenoménu. Ale původní forma této danosti není objektivní</w:t>
      </w:r>
      <w:r w:rsidR="088D4A7F" w:rsidRPr="003D1E07">
        <w:t xml:space="preserve">, protože představuje </w:t>
      </w:r>
      <w:r w:rsidR="08242DD5" w:rsidRPr="003D1E07">
        <w:t>skrytý počát</w:t>
      </w:r>
      <w:r w:rsidR="088D4A7F" w:rsidRPr="003D1E07">
        <w:t>e</w:t>
      </w:r>
      <w:r w:rsidR="08242DD5" w:rsidRPr="003D1E07">
        <w:t xml:space="preserve">k toho, co je </w:t>
      </w:r>
      <w:r w:rsidR="088D4A7F" w:rsidRPr="003D1E07">
        <w:t xml:space="preserve">až následně a sekundárně dáno v objektivních a pozitivních </w:t>
      </w:r>
      <w:r w:rsidR="08242DD5" w:rsidRPr="003D1E07">
        <w:t>dějin</w:t>
      </w:r>
      <w:r w:rsidR="088D4A7F" w:rsidRPr="003D1E07">
        <w:t>ách</w:t>
      </w:r>
      <w:r w:rsidR="08242DD5" w:rsidRPr="003D1E07">
        <w:t xml:space="preserve"> myšlení. </w:t>
      </w:r>
      <w:r w:rsidR="08CF7832" w:rsidRPr="003D1E07">
        <w:t>Co je pozitivně dáno, to se zásadně liší od skrytého způsobu, jak</w:t>
      </w:r>
      <w:r w:rsidR="08E20584" w:rsidRPr="003D1E07">
        <w:t xml:space="preserve"> je to dáno. </w:t>
      </w:r>
      <w:r w:rsidR="08CF7832" w:rsidRPr="003D1E07">
        <w:t>Dějinnost není objektivní fenomén</w:t>
      </w:r>
      <w:r w:rsidR="001C6D33" w:rsidRPr="003D1E07">
        <w:t>, protože zakládá původní smysl fenoménů</w:t>
      </w:r>
      <w:r w:rsidR="00B266AC" w:rsidRPr="003D1E07">
        <w:t xml:space="preserve"> v pravdě jako po-odkrytosti (</w:t>
      </w:r>
      <w:r w:rsidR="00B266AC" w:rsidRPr="003D1E07">
        <w:rPr>
          <w:i/>
        </w:rPr>
        <w:t>alétheia</w:t>
      </w:r>
      <w:r w:rsidR="00B266AC" w:rsidRPr="003D1E07">
        <w:t>)</w:t>
      </w:r>
      <w:r w:rsidR="08CF7832" w:rsidRPr="003D1E07">
        <w:t xml:space="preserve">. Výklad </w:t>
      </w:r>
      <w:r w:rsidR="082B4929" w:rsidRPr="003D1E07">
        <w:t xml:space="preserve">objektivity </w:t>
      </w:r>
      <w:r w:rsidR="08CF7832" w:rsidRPr="003D1E07">
        <w:t xml:space="preserve">sleduje působení </w:t>
      </w:r>
      <w:r w:rsidR="082B4929" w:rsidRPr="003D1E07">
        <w:t xml:space="preserve">bytí a myšlení </w:t>
      </w:r>
      <w:r w:rsidR="08CF7832" w:rsidRPr="003D1E07">
        <w:t xml:space="preserve">v modu </w:t>
      </w:r>
      <w:r w:rsidR="089A4024" w:rsidRPr="003D1E07">
        <w:t xml:space="preserve">skryté </w:t>
      </w:r>
      <w:r w:rsidR="08CF7832" w:rsidRPr="003D1E07">
        <w:t xml:space="preserve">dějinnosti. Archaická hermeneutika zkoumající objektivitu </w:t>
      </w:r>
      <w:r w:rsidR="00FC3502" w:rsidRPr="003D1E07">
        <w:t xml:space="preserve">jako archeologie myšlení </w:t>
      </w:r>
      <w:r w:rsidR="08CF7832" w:rsidRPr="003D1E07">
        <w:t>proto musí odpovědět na sérii následujících otázek</w:t>
      </w:r>
      <w:r w:rsidR="00E6786D" w:rsidRPr="003D1E07">
        <w:t xml:space="preserve">. Ty </w:t>
      </w:r>
      <w:r w:rsidR="08CF7832" w:rsidRPr="003D1E07">
        <w:t>sledují původní způsob a okolnosti, jak je objektivita dána</w:t>
      </w:r>
      <w:r w:rsidR="08B52D5F" w:rsidRPr="003D1E07">
        <w:t xml:space="preserve"> v dějinách myšlení</w:t>
      </w:r>
      <w:r w:rsidR="08CF7832" w:rsidRPr="003D1E07">
        <w:t>.</w:t>
      </w:r>
    </w:p>
    <w:p w14:paraId="509E393F" w14:textId="34506190" w:rsidR="08CF7832" w:rsidRPr="003D1E07" w:rsidRDefault="08CF7832" w:rsidP="00202920">
      <w:pPr>
        <w:numPr>
          <w:ilvl w:val="0"/>
          <w:numId w:val="9"/>
        </w:numPr>
      </w:pPr>
      <w:r w:rsidRPr="003D1E07">
        <w:t xml:space="preserve">Jak </w:t>
      </w:r>
      <w:r w:rsidR="007F25DF" w:rsidRPr="003D1E07">
        <w:t xml:space="preserve">vznikl </w:t>
      </w:r>
      <w:r w:rsidRPr="003D1E07">
        <w:t xml:space="preserve">základní </w:t>
      </w:r>
      <w:r w:rsidR="003F32D4" w:rsidRPr="003D1E07">
        <w:t>obrat v</w:t>
      </w:r>
      <w:r w:rsidR="00014A49" w:rsidRPr="003D1E07">
        <w:t xml:space="preserve"> metafyzickém </w:t>
      </w:r>
      <w:r w:rsidR="00BA76AE" w:rsidRPr="003D1E07">
        <w:t xml:space="preserve">chápání </w:t>
      </w:r>
      <w:r w:rsidRPr="003D1E07">
        <w:t xml:space="preserve">jsoucna, který založil epochu objektivity? </w:t>
      </w:r>
    </w:p>
    <w:p w14:paraId="61071202" w14:textId="77777777" w:rsidR="08CF7832" w:rsidRPr="003D1E07" w:rsidRDefault="08CF7832" w:rsidP="00202920">
      <w:pPr>
        <w:numPr>
          <w:ilvl w:val="0"/>
          <w:numId w:val="9"/>
        </w:numPr>
      </w:pPr>
      <w:r w:rsidRPr="003D1E07">
        <w:t xml:space="preserve">Jak se v tomto obratu myšlení </w:t>
      </w:r>
      <w:r w:rsidR="00565CE4" w:rsidRPr="003D1E07">
        <w:t>dává</w:t>
      </w:r>
      <w:r w:rsidRPr="003D1E07">
        <w:t xml:space="preserve"> poznat celek </w:t>
      </w:r>
      <w:r w:rsidR="00565CE4" w:rsidRPr="003D1E07">
        <w:t xml:space="preserve">objektivního jsoucna </w:t>
      </w:r>
      <w:r w:rsidR="007F25DF" w:rsidRPr="003D1E07">
        <w:t xml:space="preserve">vzhledem k původní formě pravdy jako </w:t>
      </w:r>
      <w:r w:rsidR="007F25DF" w:rsidRPr="003D1E07">
        <w:rPr>
          <w:i/>
        </w:rPr>
        <w:t>alétheia</w:t>
      </w:r>
      <w:r w:rsidRPr="003D1E07">
        <w:t>?</w:t>
      </w:r>
    </w:p>
    <w:p w14:paraId="674AB4AF" w14:textId="5920F130" w:rsidR="08CF7832" w:rsidRPr="003D1E07" w:rsidRDefault="08CF7832" w:rsidP="00202920">
      <w:pPr>
        <w:numPr>
          <w:ilvl w:val="0"/>
          <w:numId w:val="9"/>
        </w:numPr>
      </w:pPr>
      <w:r w:rsidRPr="003D1E07">
        <w:t xml:space="preserve">Jaké </w:t>
      </w:r>
      <w:r w:rsidR="004325D3" w:rsidRPr="003D1E07">
        <w:t xml:space="preserve">byly </w:t>
      </w:r>
      <w:r w:rsidR="006B5C21">
        <w:t xml:space="preserve">etapy </w:t>
      </w:r>
      <w:r w:rsidRPr="003D1E07">
        <w:t xml:space="preserve">zjevování </w:t>
      </w:r>
      <w:r w:rsidR="005617AD" w:rsidRPr="003D1E07">
        <w:t xml:space="preserve">objektivního </w:t>
      </w:r>
      <w:r w:rsidRPr="003D1E07">
        <w:t>smyslu jsoucna a jak na sebe navazovaly?</w:t>
      </w:r>
    </w:p>
    <w:p w14:paraId="3802953C" w14:textId="77777777" w:rsidR="08CF7832" w:rsidRPr="003D1E07" w:rsidRDefault="085324E5" w:rsidP="00202920">
      <w:pPr>
        <w:numPr>
          <w:ilvl w:val="0"/>
          <w:numId w:val="9"/>
        </w:numPr>
      </w:pPr>
      <w:r w:rsidRPr="003D1E07">
        <w:t>Jaký smysl jsoucna se v</w:t>
      </w:r>
      <w:r w:rsidR="00A47EA2" w:rsidRPr="003D1E07">
        <w:t xml:space="preserve"> každé výše uvedené </w:t>
      </w:r>
      <w:r w:rsidR="08CF7832" w:rsidRPr="003D1E07">
        <w:t>epochální změně ztratil a proč?</w:t>
      </w:r>
    </w:p>
    <w:p w14:paraId="5623FBB5" w14:textId="77777777" w:rsidR="08CF7832" w:rsidRPr="003D1E07" w:rsidRDefault="003C7EE4" w:rsidP="00202920">
      <w:pPr>
        <w:numPr>
          <w:ilvl w:val="0"/>
          <w:numId w:val="9"/>
        </w:numPr>
      </w:pPr>
      <w:r w:rsidRPr="003D1E07">
        <w:t xml:space="preserve">Jak </w:t>
      </w:r>
      <w:r w:rsidR="003D4B6E" w:rsidRPr="003D1E07">
        <w:t xml:space="preserve">tyto </w:t>
      </w:r>
      <w:r w:rsidR="00FD58D4" w:rsidRPr="003D1E07">
        <w:t>změny</w:t>
      </w:r>
      <w:r w:rsidRPr="003D1E07">
        <w:t xml:space="preserve"> vytvořil</w:t>
      </w:r>
      <w:r w:rsidR="00FD58D4" w:rsidRPr="003D1E07">
        <w:t>y</w:t>
      </w:r>
      <w:r w:rsidRPr="003D1E07">
        <w:t xml:space="preserve"> </w:t>
      </w:r>
      <w:r w:rsidR="00290780" w:rsidRPr="003D1E07">
        <w:t>novou školu známou</w:t>
      </w:r>
      <w:r w:rsidRPr="003D1E07">
        <w:t xml:space="preserve"> jako </w:t>
      </w:r>
      <w:r w:rsidR="08CF7832" w:rsidRPr="003D1E07">
        <w:rPr>
          <w:i/>
        </w:rPr>
        <w:t>via</w:t>
      </w:r>
      <w:r w:rsidR="08CF7832" w:rsidRPr="003D1E07">
        <w:t xml:space="preserve"> </w:t>
      </w:r>
      <w:r w:rsidR="08CF7832" w:rsidRPr="003D1E07">
        <w:rPr>
          <w:i/>
        </w:rPr>
        <w:t>Modernorum</w:t>
      </w:r>
      <w:r w:rsidR="08CF7832" w:rsidRPr="003D1E07">
        <w:rPr>
          <w:i/>
        </w:rPr>
        <w:fldChar w:fldCharType="begin"/>
      </w:r>
      <w:r w:rsidR="08CF7832" w:rsidRPr="003D1E07">
        <w:instrText xml:space="preserve"> XE "</w:instrText>
      </w:r>
      <w:r w:rsidR="08CF7832" w:rsidRPr="003D1E07">
        <w:rPr>
          <w:i/>
        </w:rPr>
        <w:instrText>via Modernorum</w:instrText>
      </w:r>
      <w:r w:rsidR="08CF7832" w:rsidRPr="003D1E07">
        <w:instrText xml:space="preserve">" </w:instrText>
      </w:r>
      <w:r w:rsidR="08CF7832" w:rsidRPr="003D1E07">
        <w:rPr>
          <w:i/>
        </w:rPr>
        <w:fldChar w:fldCharType="end"/>
      </w:r>
      <w:r w:rsidR="08CF7832" w:rsidRPr="003D1E07">
        <w:t>?</w:t>
      </w:r>
    </w:p>
    <w:p w14:paraId="3D7C3196" w14:textId="77777777" w:rsidR="08CF7832" w:rsidRPr="003D1E07" w:rsidRDefault="08CF7832" w:rsidP="00202920">
      <w:pPr>
        <w:numPr>
          <w:ilvl w:val="0"/>
          <w:numId w:val="9"/>
        </w:numPr>
      </w:pPr>
      <w:r w:rsidRPr="003D1E07">
        <w:lastRenderedPageBreak/>
        <w:t>J</w:t>
      </w:r>
      <w:r w:rsidR="00290780" w:rsidRPr="003D1E07">
        <w:t>ak příchod moderní metafyziky určil</w:t>
      </w:r>
      <w:r w:rsidRPr="003D1E07">
        <w:t xml:space="preserve"> </w:t>
      </w:r>
      <w:r w:rsidR="08C50EDD" w:rsidRPr="003D1E07">
        <w:t xml:space="preserve">dějiny </w:t>
      </w:r>
      <w:r w:rsidRPr="003D1E07">
        <w:t>Západu?</w:t>
      </w:r>
    </w:p>
    <w:p w14:paraId="38B24719" w14:textId="52F8D3CF" w:rsidR="081776A2" w:rsidRPr="003D1E07" w:rsidRDefault="08CF7832" w:rsidP="086C3B3B">
      <w:r w:rsidRPr="003D1E07">
        <w:t xml:space="preserve">Skrytý a dosud málo známý obrat v bytí jsoucna vytvořil </w:t>
      </w:r>
      <w:r w:rsidR="00D53933" w:rsidRPr="003D1E07">
        <w:t xml:space="preserve">novou entitu zvanou </w:t>
      </w:r>
      <w:r w:rsidR="00610C00" w:rsidRPr="003D1E07">
        <w:t>„</w:t>
      </w:r>
      <w:r w:rsidR="003F468B" w:rsidRPr="003D1E07">
        <w:t>objek</w:t>
      </w:r>
      <w:r w:rsidR="00610C00" w:rsidRPr="003D1E07">
        <w:t>tivní jsoucno“</w:t>
      </w:r>
      <w:r w:rsidR="00CD64E6" w:rsidRPr="003D1E07">
        <w:t xml:space="preserve">. </w:t>
      </w:r>
      <w:r w:rsidR="00A170B2" w:rsidRPr="003D1E07">
        <w:t xml:space="preserve">Ontologicky založená </w:t>
      </w:r>
      <w:r w:rsidRPr="003D1E07">
        <w:t>objektivit</w:t>
      </w:r>
      <w:r w:rsidR="00CD64E6" w:rsidRPr="003D1E07">
        <w:t>a</w:t>
      </w:r>
      <w:r w:rsidRPr="003D1E07">
        <w:t xml:space="preserve"> </w:t>
      </w:r>
      <w:r w:rsidR="00CD64E6" w:rsidRPr="003D1E07">
        <w:t xml:space="preserve">se </w:t>
      </w:r>
      <w:r w:rsidR="00F1041C" w:rsidRPr="003D1E07">
        <w:t xml:space="preserve">onticky </w:t>
      </w:r>
      <w:r w:rsidR="003F468B" w:rsidRPr="003D1E07">
        <w:t>zjevil</w:t>
      </w:r>
      <w:r w:rsidR="00CD64E6" w:rsidRPr="003D1E07">
        <w:t>a</w:t>
      </w:r>
      <w:r w:rsidR="003F468B" w:rsidRPr="003D1E07">
        <w:t xml:space="preserve"> v dějinách </w:t>
      </w:r>
      <w:r w:rsidR="00F1041C" w:rsidRPr="003D1E07">
        <w:t xml:space="preserve">západního </w:t>
      </w:r>
      <w:r w:rsidR="003F468B" w:rsidRPr="003D1E07">
        <w:t xml:space="preserve">myšlení a v novém </w:t>
      </w:r>
      <w:r w:rsidR="003F468B" w:rsidRPr="003D1E07">
        <w:rPr>
          <w:i/>
        </w:rPr>
        <w:t>Weltanschauung</w:t>
      </w:r>
      <w:r w:rsidRPr="003D1E07">
        <w:t xml:space="preserve">. Zjevující aktivita se zásadně liší od zjevovaného fenoménu, uměleckého díla či průmyslového produktu. To všechno jsou produkty moderního subjektu, který se chápe objektivně a </w:t>
      </w:r>
      <w:r w:rsidR="00F1041C" w:rsidRPr="003D1E07">
        <w:t xml:space="preserve">v </w:t>
      </w:r>
      <w:r w:rsidRPr="003D1E07">
        <w:t>této p</w:t>
      </w:r>
      <w:r w:rsidR="00A95BF6" w:rsidRPr="003D1E07">
        <w:t xml:space="preserve">erspektivě vidí a poznává svět. Zavedení objektivního smyslu jsoucna vytvořilo </w:t>
      </w:r>
      <w:r w:rsidR="00CE29E3" w:rsidRPr="003D1E07">
        <w:t xml:space="preserve">zakládající událost </w:t>
      </w:r>
      <w:r w:rsidR="00A95BF6" w:rsidRPr="003D1E07">
        <w:t xml:space="preserve">moderny, založilo nové </w:t>
      </w:r>
      <w:r w:rsidR="00CE29E3" w:rsidRPr="003D1E07">
        <w:t>dějin</w:t>
      </w:r>
      <w:r w:rsidR="00A95BF6" w:rsidRPr="003D1E07">
        <w:t xml:space="preserve">y filosofie a určilo nový směr </w:t>
      </w:r>
      <w:r w:rsidR="00CE29E3" w:rsidRPr="003D1E07">
        <w:t>historie</w:t>
      </w:r>
      <w:r w:rsidR="00A95BF6" w:rsidRPr="003D1E07">
        <w:t>. Moderní filosofie a h</w:t>
      </w:r>
      <w:r w:rsidR="00D9020D" w:rsidRPr="003D1E07">
        <w:t xml:space="preserve">istorie </w:t>
      </w:r>
      <w:r w:rsidR="00CE29E3" w:rsidRPr="003D1E07">
        <w:t xml:space="preserve">navazují na </w:t>
      </w:r>
      <w:r w:rsidR="00D9020D" w:rsidRPr="003D1E07">
        <w:t xml:space="preserve">skrytou </w:t>
      </w:r>
      <w:r w:rsidR="00CE29E3" w:rsidRPr="003D1E07">
        <w:t>dějinnost počátku</w:t>
      </w:r>
      <w:r w:rsidR="00D9020D" w:rsidRPr="003D1E07">
        <w:t xml:space="preserve"> objektivity</w:t>
      </w:r>
      <w:r w:rsidR="00CE29E3" w:rsidRPr="003D1E07">
        <w:fldChar w:fldCharType="begin"/>
      </w:r>
      <w:r w:rsidR="00CE29E3" w:rsidRPr="003D1E07">
        <w:instrText xml:space="preserve"> XE "dějinnost" </w:instrText>
      </w:r>
      <w:r w:rsidR="00CE29E3" w:rsidRPr="003D1E07">
        <w:fldChar w:fldCharType="end"/>
      </w:r>
      <w:r w:rsidR="00CE29E3" w:rsidRPr="003D1E07">
        <w:t xml:space="preserve">. </w:t>
      </w:r>
      <w:r w:rsidRPr="003D1E07">
        <w:t xml:space="preserve">Protože od 14. století zvítězila ve filosofii objektivita, tak jsou </w:t>
      </w:r>
      <w:r w:rsidR="00C01DAA">
        <w:t>všechna</w:t>
      </w:r>
      <w:r w:rsidR="00BA76AE" w:rsidRPr="003D1E07">
        <w:t xml:space="preserve"> </w:t>
      </w:r>
      <w:r w:rsidRPr="003D1E07">
        <w:t>vědecká zkoumání objekti</w:t>
      </w:r>
      <w:r w:rsidR="00F1041C" w:rsidRPr="003D1E07">
        <w:t>vní</w:t>
      </w:r>
      <w:r w:rsidRPr="003D1E07">
        <w:t xml:space="preserve">. </w:t>
      </w:r>
      <w:r w:rsidR="0095228A" w:rsidRPr="003D1E07">
        <w:t xml:space="preserve">Objektivita zkoumá objektivně sama sebe, což je </w:t>
      </w:r>
      <w:r w:rsidR="00C01DAA">
        <w:t xml:space="preserve">v </w:t>
      </w:r>
      <w:r w:rsidR="0095228A" w:rsidRPr="003D1E07">
        <w:t xml:space="preserve">klasické logice typický příklad omylu zvaného </w:t>
      </w:r>
      <w:r w:rsidR="0095228A" w:rsidRPr="003D1E07">
        <w:rPr>
          <w:i/>
        </w:rPr>
        <w:t>circulus vitiosus</w:t>
      </w:r>
      <w:r w:rsidR="00D94F6D" w:rsidRPr="003D1E07">
        <w:rPr>
          <w:i/>
        </w:rPr>
        <w:fldChar w:fldCharType="begin"/>
      </w:r>
      <w:r w:rsidR="00D94F6D" w:rsidRPr="003D1E07">
        <w:instrText xml:space="preserve"> XE "</w:instrText>
      </w:r>
      <w:r w:rsidR="00D94F6D" w:rsidRPr="003D1E07">
        <w:rPr>
          <w:i/>
        </w:rPr>
        <w:instrText>circulus vitiosus</w:instrText>
      </w:r>
      <w:r w:rsidR="00D94F6D" w:rsidRPr="003D1E07">
        <w:instrText xml:space="preserve">" </w:instrText>
      </w:r>
      <w:r w:rsidR="00D94F6D" w:rsidRPr="003D1E07">
        <w:rPr>
          <w:i/>
        </w:rPr>
        <w:fldChar w:fldCharType="end"/>
      </w:r>
      <w:r w:rsidR="0095228A" w:rsidRPr="003D1E07">
        <w:t xml:space="preserve">. </w:t>
      </w:r>
      <w:r w:rsidR="005217DE" w:rsidRPr="003D1E07">
        <w:t xml:space="preserve">Co není pravdivé ve smyslu objektivní </w:t>
      </w:r>
      <w:r w:rsidR="005217DE" w:rsidRPr="003D1E07">
        <w:rPr>
          <w:i/>
        </w:rPr>
        <w:t>veritas</w:t>
      </w:r>
      <w:r w:rsidR="005217DE" w:rsidRPr="003D1E07">
        <w:t xml:space="preserve">, to nepatří do vědeckého zkoumání. </w:t>
      </w:r>
      <w:r w:rsidRPr="003D1E07">
        <w:t xml:space="preserve">Objektivní </w:t>
      </w:r>
      <w:r w:rsidR="00094442" w:rsidRPr="003D1E07">
        <w:t>instituce zvaná</w:t>
      </w:r>
      <w:r w:rsidRPr="003D1E07">
        <w:t xml:space="preserve"> „muzeum“ existuje ve formě pozitivní danosti. Tím se zásadně li</w:t>
      </w:r>
      <w:r w:rsidR="00947F18" w:rsidRPr="003D1E07">
        <w:t>ší od původní události</w:t>
      </w:r>
      <w:r w:rsidRPr="003D1E07">
        <w:t xml:space="preserve">, </w:t>
      </w:r>
      <w:r w:rsidR="00AB3630" w:rsidRPr="003D1E07">
        <w:t xml:space="preserve">která </w:t>
      </w:r>
      <w:r w:rsidR="00947F18" w:rsidRPr="003D1E07">
        <w:t xml:space="preserve">založila </w:t>
      </w:r>
      <w:r w:rsidR="00AB3630" w:rsidRPr="003D1E07">
        <w:t xml:space="preserve">museum </w:t>
      </w:r>
      <w:r w:rsidRPr="003D1E07">
        <w:t xml:space="preserve">skrze bytí božských sil zvaných Múzy. Objektivně platí, že žádné Múzy neexistují. Proto máme instituci zvanou muzeum, a ne mytické bytosti zvané Múzy. </w:t>
      </w:r>
      <w:r w:rsidR="00F73A2F" w:rsidRPr="003D1E07">
        <w:t xml:space="preserve">Dějinný </w:t>
      </w:r>
      <w:r w:rsidRPr="003D1E07">
        <w:t xml:space="preserve">vztah mezi muzeem a Múzami není objektivně zkoumatelný, protože pro moderní vědu není pravdivý. Archaická hermeneutika </w:t>
      </w:r>
      <w:r w:rsidR="00E50717" w:rsidRPr="003D1E07">
        <w:t xml:space="preserve">může </w:t>
      </w:r>
      <w:r w:rsidRPr="003D1E07">
        <w:t>zkoum</w:t>
      </w:r>
      <w:r w:rsidR="00E50717" w:rsidRPr="003D1E07">
        <w:t>at</w:t>
      </w:r>
      <w:r w:rsidRPr="003D1E07">
        <w:t xml:space="preserve">, jak Múzy založily museum v původní podobě </w:t>
      </w:r>
      <w:r w:rsidR="00F415EE" w:rsidRPr="003D1E07">
        <w:t xml:space="preserve">múzické </w:t>
      </w:r>
      <w:r w:rsidRPr="003D1E07">
        <w:t>pravdivosti. Božské síly nejsou objektivně přítomny v moderním muzeu. Ale jejich dějinné působení je skrytě přítomné skrze historické události, které založily první moderní příbytek Múz v Alexandrii ve 3. století př. K</w:t>
      </w:r>
      <w:r w:rsidR="08710C74" w:rsidRPr="003D1E07">
        <w:t>r. D</w:t>
      </w:r>
      <w:r w:rsidR="081E10E0" w:rsidRPr="003D1E07">
        <w:t>ějiny filosofie jsou bez a</w:t>
      </w:r>
      <w:r w:rsidRPr="003D1E07">
        <w:t xml:space="preserve">lexandrijského </w:t>
      </w:r>
      <w:r w:rsidR="081E10E0" w:rsidRPr="003D1E07">
        <w:rPr>
          <w:i/>
        </w:rPr>
        <w:t>Músaion</w:t>
      </w:r>
      <w:r w:rsidR="081E10E0" w:rsidRPr="003D1E07">
        <w:t xml:space="preserve"> </w:t>
      </w:r>
      <w:r w:rsidRPr="003D1E07">
        <w:t>nemyslit</w:t>
      </w:r>
      <w:r w:rsidR="08710C74" w:rsidRPr="003D1E07">
        <w:t xml:space="preserve">elné, protože zde </w:t>
      </w:r>
      <w:r w:rsidR="005A3AA4">
        <w:t>byly uchovávány a komentovány spisy prvních filosofů.</w:t>
      </w:r>
      <w:r w:rsidRPr="003D1E07">
        <w:t xml:space="preserve"> </w:t>
      </w:r>
      <w:r w:rsidR="00D95650" w:rsidRPr="003D1E07">
        <w:t xml:space="preserve">Skrytá dějinnost </w:t>
      </w:r>
      <w:r w:rsidR="00983E34" w:rsidRPr="003D1E07">
        <w:t>Mú</w:t>
      </w:r>
      <w:r w:rsidR="00D95650" w:rsidRPr="003D1E07">
        <w:t xml:space="preserve">z založila historicky známé Músiaion a tato zakládající </w:t>
      </w:r>
      <w:r w:rsidR="00983E34" w:rsidRPr="003D1E07">
        <w:t xml:space="preserve">událost </w:t>
      </w:r>
      <w:r w:rsidR="00D95650" w:rsidRPr="003D1E07">
        <w:t>múzické dějinnosti je dějin</w:t>
      </w:r>
      <w:r w:rsidR="00983E34" w:rsidRPr="003D1E07">
        <w:t>ách</w:t>
      </w:r>
      <w:r w:rsidR="00D95650" w:rsidRPr="003D1E07">
        <w:t xml:space="preserve"> myšlení potvrzena dějinami metafyziky. </w:t>
      </w:r>
      <w:r w:rsidRPr="003D1E07">
        <w:t>Zkoumání objektivně neexistujícího působení Múz má pro hermeneutiku dějinnosti</w:t>
      </w:r>
      <w:r w:rsidR="084337BD" w:rsidRPr="003D1E07">
        <w:fldChar w:fldCharType="begin"/>
      </w:r>
      <w:r w:rsidR="084337BD" w:rsidRPr="003D1E07">
        <w:instrText xml:space="preserve"> XE "dějinnost" </w:instrText>
      </w:r>
      <w:r w:rsidR="084337BD" w:rsidRPr="003D1E07">
        <w:fldChar w:fldCharType="end"/>
      </w:r>
      <w:r w:rsidRPr="003D1E07">
        <w:t xml:space="preserve"> zásadní význam. Někdo musel nejprve odpovědět na skrytou výzvu </w:t>
      </w:r>
      <w:r w:rsidR="008C3DEA" w:rsidRPr="003D1E07">
        <w:t>dějinnosti d</w:t>
      </w:r>
      <w:r w:rsidRPr="003D1E07">
        <w:t>ané v původní múzické po</w:t>
      </w:r>
      <w:r w:rsidR="006D49BB" w:rsidRPr="003D1E07">
        <w:t xml:space="preserve">době </w:t>
      </w:r>
      <w:r w:rsidR="006D49BB" w:rsidRPr="003D1E07">
        <w:rPr>
          <w:i/>
        </w:rPr>
        <w:t>alétheia</w:t>
      </w:r>
      <w:r w:rsidR="08710C74" w:rsidRPr="003D1E07">
        <w:t xml:space="preserve">. </w:t>
      </w:r>
      <w:r w:rsidR="0056380F" w:rsidRPr="003D1E07">
        <w:t xml:space="preserve">Smysl instituce zvané </w:t>
      </w:r>
      <w:r w:rsidR="00ED3027" w:rsidRPr="003D1E07">
        <w:rPr>
          <w:i/>
        </w:rPr>
        <w:t>Músaion</w:t>
      </w:r>
      <w:r w:rsidR="00ED3027" w:rsidRPr="003D1E07">
        <w:t xml:space="preserve"> </w:t>
      </w:r>
      <w:r w:rsidR="0056380F" w:rsidRPr="003D1E07">
        <w:t xml:space="preserve">je </w:t>
      </w:r>
      <w:r w:rsidR="009E36EF" w:rsidRPr="003D1E07">
        <w:t>spojen s</w:t>
      </w:r>
      <w:r w:rsidR="00AD775F">
        <w:t xml:space="preserve"> pozdějšími </w:t>
      </w:r>
      <w:r w:rsidR="08710C74" w:rsidRPr="003D1E07">
        <w:t>dějin</w:t>
      </w:r>
      <w:r w:rsidR="009E36EF" w:rsidRPr="003D1E07">
        <w:t>ami</w:t>
      </w:r>
      <w:r w:rsidR="08710C74" w:rsidRPr="003D1E07">
        <w:t xml:space="preserve"> metafyziky</w:t>
      </w:r>
      <w:r w:rsidRPr="003D1E07">
        <w:t xml:space="preserve">. </w:t>
      </w:r>
      <w:r w:rsidR="08105E05" w:rsidRPr="003D1E07">
        <w:t xml:space="preserve">Hermeneutika jde od dějinnosti </w:t>
      </w:r>
      <w:r w:rsidR="009A467D" w:rsidRPr="003D1E07">
        <w:t xml:space="preserve">bytí </w:t>
      </w:r>
      <w:r w:rsidR="08105E05" w:rsidRPr="003D1E07">
        <w:t xml:space="preserve">k dějinám </w:t>
      </w:r>
      <w:r w:rsidR="009A467D" w:rsidRPr="003D1E07">
        <w:t xml:space="preserve">myšlení </w:t>
      </w:r>
      <w:r w:rsidR="08105E05" w:rsidRPr="003D1E07">
        <w:t xml:space="preserve">a </w:t>
      </w:r>
      <w:r w:rsidR="00C10794" w:rsidRPr="003D1E07">
        <w:t xml:space="preserve">nakonec </w:t>
      </w:r>
      <w:r w:rsidR="08105E05" w:rsidRPr="003D1E07">
        <w:t>k</w:t>
      </w:r>
      <w:r w:rsidR="009A467D" w:rsidRPr="003D1E07">
        <w:t> </w:t>
      </w:r>
      <w:r w:rsidR="08105E05" w:rsidRPr="003D1E07">
        <w:t>historii</w:t>
      </w:r>
      <w:r w:rsidR="009A467D" w:rsidRPr="003D1E07">
        <w:t xml:space="preserve"> účinků dějinného myšlení</w:t>
      </w:r>
      <w:r w:rsidR="08105E05" w:rsidRPr="003D1E07">
        <w:t>. M</w:t>
      </w:r>
      <w:r w:rsidR="081F1317" w:rsidRPr="003D1E07">
        <w:t>oderna postupu</w:t>
      </w:r>
      <w:r w:rsidR="08105E05" w:rsidRPr="003D1E07">
        <w:t>j</w:t>
      </w:r>
      <w:r w:rsidR="081F1317" w:rsidRPr="003D1E07">
        <w:t>e</w:t>
      </w:r>
      <w:r w:rsidR="08105E05" w:rsidRPr="003D1E07">
        <w:t xml:space="preserve"> přesně opačně. </w:t>
      </w:r>
      <w:r w:rsidRPr="003D1E07">
        <w:t xml:space="preserve">Objektivně-správně přijdeme do </w:t>
      </w:r>
      <w:r w:rsidR="08EE6FB8" w:rsidRPr="003D1E07">
        <w:t xml:space="preserve">moderního </w:t>
      </w:r>
      <w:r w:rsidRPr="003D1E07">
        <w:t xml:space="preserve">muzea, ale nikoliv ke skrytému dějinnému působení samotných Múz. Proto je třeba jít od počátku směrem k tomu, co </w:t>
      </w:r>
      <w:r w:rsidR="00FC2816" w:rsidRPr="003D1E07">
        <w:t xml:space="preserve">počátek </w:t>
      </w:r>
      <w:r w:rsidRPr="003D1E07">
        <w:t>zakládá. Jít opačně by znamenalo, že cesta myšlení k původnímu bytí objektivity by byla daná principiálně chybně.</w:t>
      </w:r>
    </w:p>
    <w:p w14:paraId="2A5E5EE7" w14:textId="53CB7748" w:rsidR="00AD515F" w:rsidRPr="003D1E07" w:rsidRDefault="08FA74A1" w:rsidP="00AD515F">
      <w:pPr>
        <w:pStyle w:val="Nadpis1"/>
        <w:rPr>
          <w:lang w:val="cs-CZ"/>
        </w:rPr>
      </w:pPr>
      <w:r w:rsidRPr="003D1E07">
        <w:rPr>
          <w:lang w:val="cs-CZ"/>
        </w:rPr>
        <w:br w:type="page"/>
      </w:r>
      <w:bookmarkStart w:id="8" w:name="_Toc93747266"/>
      <w:bookmarkStart w:id="9" w:name="_Toc102906156"/>
      <w:r w:rsidR="00AD515F" w:rsidRPr="003D1E07">
        <w:rPr>
          <w:lang w:val="cs-CZ"/>
        </w:rPr>
        <w:lastRenderedPageBreak/>
        <w:t>1. Prolegomena k</w:t>
      </w:r>
      <w:r w:rsidR="00B967ED">
        <w:rPr>
          <w:lang w:val="cs-CZ"/>
        </w:rPr>
        <w:t xml:space="preserve"> hermeneutice </w:t>
      </w:r>
      <w:r w:rsidR="00AD515F" w:rsidRPr="003D1E07">
        <w:rPr>
          <w:lang w:val="cs-CZ"/>
        </w:rPr>
        <w:t>objektivit</w:t>
      </w:r>
      <w:bookmarkEnd w:id="8"/>
      <w:bookmarkEnd w:id="9"/>
      <w:r w:rsidR="00B967ED">
        <w:rPr>
          <w:lang w:val="cs-CZ"/>
        </w:rPr>
        <w:t>y</w:t>
      </w:r>
    </w:p>
    <w:p w14:paraId="016B8F13" w14:textId="7360D5CB" w:rsidR="00DD3C26" w:rsidRPr="003D1E07" w:rsidRDefault="00CF7845" w:rsidP="00FA0399">
      <w:r w:rsidRPr="003D1E07">
        <w:t xml:space="preserve">Objektivní náhled světa </w:t>
      </w:r>
      <w:r w:rsidR="080F79E5" w:rsidRPr="003D1E07">
        <w:t xml:space="preserve">postuluje </w:t>
      </w:r>
      <w:r w:rsidR="004A446C" w:rsidRPr="003D1E07">
        <w:t>poznání</w:t>
      </w:r>
      <w:r w:rsidR="080F79E5" w:rsidRPr="003D1E07">
        <w:t>, které není ovlivněno subjektivními názory a předsudky. Jasně dané epistemologické přístupy, přesně vymezený obor zkoumání, kriti</w:t>
      </w:r>
      <w:r w:rsidR="08525B8D" w:rsidRPr="003D1E07">
        <w:t>c</w:t>
      </w:r>
      <w:r w:rsidR="080F79E5" w:rsidRPr="003D1E07">
        <w:t>ky přijatá a ověřovaná metodika dané vědy, soubor zavedených paradigmat, objektivní způsoby měření a vyhodnocování, veřejná ověřitelnost a reprodukovatelnost výsledků, otevřená a trvalá komunikace uvnitř mezinárodní komunity vědců − to vše a mnohé další zaručuje objektivní poznání daného fenoménu z hlediska exaktních přírodních věd</w:t>
      </w:r>
      <w:r w:rsidR="080F79E5" w:rsidRPr="003D1E07">
        <w:rPr>
          <w:i/>
        </w:rPr>
        <w:fldChar w:fldCharType="begin"/>
      </w:r>
      <w:r w:rsidR="080F79E5" w:rsidRPr="003D1E07">
        <w:instrText xml:space="preserve"> XE "objektivita:moderní vědy" </w:instrText>
      </w:r>
      <w:r w:rsidR="080F79E5" w:rsidRPr="003D1E07">
        <w:rPr>
          <w:i/>
        </w:rPr>
        <w:fldChar w:fldCharType="end"/>
      </w:r>
      <w:r w:rsidR="080F79E5" w:rsidRPr="003D1E07">
        <w:t xml:space="preserve">. Vědec se může opřít o pojetí objektivity pevně dané v rámci platných paradigmat přírodní vědy, což nemůže udělat sportovní rozhodčí nebo umělecký kritik. Ale i objektivita soudce, novináře, politika, duchovního, uměleckého kritika, sportovního rozhodčího atd. závisí na kvalitě jeho nestranného úsudku, jenž není ovlivněn stranictvím, cizími vlivy, úplatky, </w:t>
      </w:r>
      <w:r w:rsidR="0087231B" w:rsidRPr="003D1E07">
        <w:t xml:space="preserve">zavádějícími </w:t>
      </w:r>
      <w:r w:rsidR="080F79E5" w:rsidRPr="003D1E07">
        <w:t>emocemi a předsudky</w:t>
      </w:r>
      <w:r w:rsidR="080F79E5" w:rsidRPr="003D1E07">
        <w:rPr>
          <w:i/>
        </w:rPr>
        <w:fldChar w:fldCharType="begin"/>
      </w:r>
      <w:r w:rsidR="080F79E5" w:rsidRPr="003D1E07">
        <w:instrText xml:space="preserve"> XE "objektivita:Kant" </w:instrText>
      </w:r>
      <w:r w:rsidR="080F79E5" w:rsidRPr="003D1E07">
        <w:rPr>
          <w:i/>
        </w:rPr>
        <w:fldChar w:fldCharType="end"/>
      </w:r>
      <w:r w:rsidR="080F79E5" w:rsidRPr="003D1E07">
        <w:t>. Proto posuzuje daný jev správně, spravedlivě, čestně, pravdivě. Obě novověké vymezení objektivity dané z hlediska exaktnosti poznání a nestrannosti úsudku spočívají na principech Kantovy filosofie</w:t>
      </w:r>
      <w:r w:rsidR="080F79E5" w:rsidRPr="003D1E07">
        <w:rPr>
          <w:i/>
        </w:rPr>
        <w:fldChar w:fldCharType="begin"/>
      </w:r>
      <w:r w:rsidR="080F79E5" w:rsidRPr="003D1E07">
        <w:instrText xml:space="preserve"> XE "Kant, I." </w:instrText>
      </w:r>
      <w:r w:rsidR="080F79E5" w:rsidRPr="003D1E07">
        <w:rPr>
          <w:i/>
        </w:rPr>
        <w:fldChar w:fldCharType="end"/>
      </w:r>
      <w:r w:rsidR="080F79E5" w:rsidRPr="003D1E07">
        <w:t xml:space="preserve">. Kantovo třetí významné dílo </w:t>
      </w:r>
      <w:r w:rsidR="080F79E5" w:rsidRPr="003D1E07">
        <w:rPr>
          <w:i/>
        </w:rPr>
        <w:t>Kritika soudnosti</w:t>
      </w:r>
      <w:r w:rsidR="080F79E5" w:rsidRPr="003D1E07">
        <w:t xml:space="preserve"> určilo objektivitu z hlediska dvojí schopnosti souzení (</w:t>
      </w:r>
      <w:r w:rsidR="080F79E5" w:rsidRPr="003D1E07">
        <w:rPr>
          <w:i/>
        </w:rPr>
        <w:t>Urteilskraft</w:t>
      </w:r>
      <w:r w:rsidR="080F79E5" w:rsidRPr="003D1E07">
        <w:t>). Buď je schopnost souzení determinující (</w:t>
      </w:r>
      <w:r w:rsidR="080F79E5" w:rsidRPr="003D1E07">
        <w:rPr>
          <w:i/>
        </w:rPr>
        <w:t>bestimmend</w:t>
      </w:r>
      <w:r w:rsidR="080F79E5" w:rsidRPr="003D1E07">
        <w:t>), nebo pouze reflektující (</w:t>
      </w:r>
      <w:r w:rsidR="080F79E5" w:rsidRPr="003D1E07">
        <w:rPr>
          <w:i/>
        </w:rPr>
        <w:t xml:space="preserve">reflektierend; </w:t>
      </w:r>
      <w:r w:rsidR="080F79E5" w:rsidRPr="003D1E07">
        <w:t>KdU 179</w:t>
      </w:r>
      <w:r w:rsidR="080F79E5" w:rsidRPr="003D1E07">
        <w:fldChar w:fldCharType="begin"/>
      </w:r>
      <w:r w:rsidR="080F79E5" w:rsidRPr="003D1E07">
        <w:instrText xml:space="preserve"> XE "Kant:KdU 179" </w:instrText>
      </w:r>
      <w:r w:rsidR="080F79E5" w:rsidRPr="003D1E07">
        <w:fldChar w:fldCharType="end"/>
      </w:r>
      <w:r w:rsidR="080F79E5" w:rsidRPr="003D1E07">
        <w:t xml:space="preserve">). V prvním případě zařadí objektivní úsudek singulární smyslový </w:t>
      </w:r>
      <w:r w:rsidR="0806385B" w:rsidRPr="003D1E07">
        <w:t xml:space="preserve">poznatek </w:t>
      </w:r>
      <w:r w:rsidR="080F79E5" w:rsidRPr="003D1E07">
        <w:t>(</w:t>
      </w:r>
      <w:r w:rsidR="080F79E5" w:rsidRPr="003D1E07">
        <w:rPr>
          <w:i/>
        </w:rPr>
        <w:t>Anschauung</w:t>
      </w:r>
      <w:r w:rsidR="080F79E5" w:rsidRPr="003D1E07">
        <w:t>) pod obecná apriorní určení zakládající nutnou formu determinujícího soudu, který dává objektivní poznání</w:t>
      </w:r>
      <w:r w:rsidR="08396803" w:rsidRPr="003D1E07">
        <w:t xml:space="preserve"> exaktní vědy</w:t>
      </w:r>
      <w:r w:rsidR="080F79E5" w:rsidRPr="003D1E07">
        <w:t xml:space="preserve">. Správné zařazení jednotlivého pod obecné vychází z transcendentální dedukce kategorií a z analogií zkušenosti, které zakládají objektivitu přírodních jevů zkoumanou v rámci </w:t>
      </w:r>
      <w:r w:rsidR="080F79E5" w:rsidRPr="003D1E07">
        <w:rPr>
          <w:i/>
        </w:rPr>
        <w:t>Kritiky čistého rozumu</w:t>
      </w:r>
      <w:r w:rsidR="080F79E5" w:rsidRPr="003D1E07">
        <w:t xml:space="preserve">. Eticky závazná kauzalita ze svobody zakládá objektivitu povinnosti a kategorického imperativu zkoumanou v rámci </w:t>
      </w:r>
      <w:r w:rsidR="080F79E5" w:rsidRPr="003D1E07">
        <w:rPr>
          <w:i/>
        </w:rPr>
        <w:t>Kritiky praktického rozumu</w:t>
      </w:r>
      <w:r w:rsidR="080F79E5" w:rsidRPr="003D1E07">
        <w:t xml:space="preserve">. </w:t>
      </w:r>
      <w:r w:rsidR="08AA7D94" w:rsidRPr="003D1E07">
        <w:t xml:space="preserve">Soud je opřen o jasně danou kauzalitu danou buď v přírodě nebo ze svobody. </w:t>
      </w:r>
      <w:r w:rsidR="080F79E5" w:rsidRPr="003D1E07">
        <w:t>Ale tento dvojí typ objektivně platného souzení není možný v případě uměleckého soudu nebo obdivovatele přírodních krás</w:t>
      </w:r>
      <w:r w:rsidR="080F79E5" w:rsidRPr="003D1E07">
        <w:rPr>
          <w:i/>
        </w:rPr>
        <w:fldChar w:fldCharType="begin"/>
      </w:r>
      <w:r w:rsidR="080F79E5" w:rsidRPr="003D1E07">
        <w:instrText xml:space="preserve"> XE "objektivita:Kant" </w:instrText>
      </w:r>
      <w:r w:rsidR="080F79E5" w:rsidRPr="003D1E07">
        <w:rPr>
          <w:i/>
        </w:rPr>
        <w:fldChar w:fldCharType="end"/>
      </w:r>
      <w:r w:rsidR="080F79E5" w:rsidRPr="003D1E07">
        <w:t>. Estetický úsudek má jen subjektivně-obecný charakter daný na základě reflektující schopnosti souzení. Tato schopnost není určena externím stavem světa či zákonodárné morální vůle jako v pří</w:t>
      </w:r>
      <w:r w:rsidR="08A74BE7" w:rsidRPr="003D1E07">
        <w:t xml:space="preserve">padě determinujícího soudu. Schopnost souzení v její nejobecnější rovině </w:t>
      </w:r>
      <w:r w:rsidR="080F79E5" w:rsidRPr="003D1E07">
        <w:t>vychází pouze z nezávazného mínění subjektu. Kantova třetí kritika ukazuje, že reflektující forma soudnosti má za předmět pouze subjektivní výkon souzení (</w:t>
      </w:r>
      <w:r w:rsidR="080F79E5" w:rsidRPr="003D1E07">
        <w:rPr>
          <w:i/>
        </w:rPr>
        <w:t>das Subjective</w:t>
      </w:r>
      <w:r w:rsidR="080F79E5" w:rsidRPr="003D1E07">
        <w:t xml:space="preserve">). Obecná struktura estetického soudu není dána v  deterministickém schématu </w:t>
      </w:r>
      <w:r w:rsidR="080F79E5" w:rsidRPr="003D1E07">
        <w:lastRenderedPageBreak/>
        <w:t>přírodní kauzality či zákonodárné svobodné vůle (</w:t>
      </w:r>
      <w:r w:rsidR="080F79E5" w:rsidRPr="003D1E07">
        <w:rPr>
          <w:i/>
        </w:rPr>
        <w:t>die Zweckmäßigkeit</w:t>
      </w:r>
      <w:r w:rsidR="080F79E5" w:rsidRPr="003D1E07">
        <w:t>).</w:t>
      </w:r>
      <w:r w:rsidR="080F79E5" w:rsidRPr="003D1E07">
        <w:rPr>
          <w:rStyle w:val="Znakapoznpodarou"/>
        </w:rPr>
        <w:footnoteReference w:id="2"/>
      </w:r>
      <w:r w:rsidR="080F79E5" w:rsidRPr="003D1E07">
        <w:t xml:space="preserve"> Soud ve věci krásy, politiky atd. je determinován pouze naší interní schopností poznat konečný účel těchto jevů (např. řádu přírody),</w:t>
      </w:r>
      <w:r w:rsidR="0052336D" w:rsidRPr="003D1E07">
        <w:t xml:space="preserve"> či estetických </w:t>
      </w:r>
      <w:r w:rsidR="080F79E5" w:rsidRPr="003D1E07">
        <w:t xml:space="preserve">hodnot. Svět, který takto soudíme, není přírodním světem, ale světem vzniklým ze svobody jednat a kriticky soudit, proto je nesený humanistickými hodnotami a </w:t>
      </w:r>
      <w:r w:rsidR="0052336D" w:rsidRPr="003D1E07">
        <w:t xml:space="preserve">etickým </w:t>
      </w:r>
      <w:r w:rsidR="080F79E5" w:rsidRPr="003D1E07">
        <w:t xml:space="preserve">poznáním. V tomto případě musí subjekt uskutečnit výstup od individuálního jevu k obecnému zákonu za pomoci vlastních principů souzení ustavených </w:t>
      </w:r>
      <w:r w:rsidR="080F79E5" w:rsidRPr="003D1E07">
        <w:rPr>
          <w:i/>
        </w:rPr>
        <w:t>ad hoc</w:t>
      </w:r>
      <w:r w:rsidR="080F79E5" w:rsidRPr="003D1E07">
        <w:t>. Tyto obecné principy se utvářejí ve výkonu subjektivní reflexe, tedy mimo deterministické schéma obou předešlých kritik čistého a praktického rozumu. Soudy o kráse, politice, posledním smyslu přírody či člověka zavazují podle Kanta pouze intersubjektivně, tedy z hlediska společně sdílených hodnot daných skrze individuální a subjektivní reflexi, kterou lze společně sdílet a kriticky posuzovat</w:t>
      </w:r>
      <w:r w:rsidR="08F42CCC" w:rsidRPr="003D1E07">
        <w:t xml:space="preserve"> v okruhu stejně založených osvícenců a humanistů</w:t>
      </w:r>
      <w:r w:rsidR="080F79E5" w:rsidRPr="003D1E07">
        <w:t xml:space="preserve">. Tyto soudy nemají platnost přírodních či morálních </w:t>
      </w:r>
      <w:r w:rsidR="08F01C66" w:rsidRPr="003D1E07">
        <w:t>zákonů. D</w:t>
      </w:r>
      <w:r w:rsidR="080F79E5" w:rsidRPr="003D1E07">
        <w:t xml:space="preserve">eterminismus </w:t>
      </w:r>
      <w:r w:rsidR="08F01C66" w:rsidRPr="003D1E07">
        <w:t xml:space="preserve">krásy a smyslu </w:t>
      </w:r>
      <w:r w:rsidR="08F910C7" w:rsidRPr="003D1E07">
        <w:t xml:space="preserve">světa </w:t>
      </w:r>
      <w:r w:rsidR="080F79E5" w:rsidRPr="003D1E07">
        <w:t xml:space="preserve">nepochází ze samotných věcí nebo ze zákonodárné svobody, ale pouze z reflexivního kritického úsudku daného subjektivně v naší mysli. </w:t>
      </w:r>
      <w:r w:rsidR="00B04541" w:rsidRPr="003D1E07">
        <w:t>Nejprve je dána m</w:t>
      </w:r>
      <w:r w:rsidR="080F79E5" w:rsidRPr="003D1E07">
        <w:t>anifestovaná věc či jev, o jehož nestranné poznání a souzení usilujeme (</w:t>
      </w:r>
      <w:r w:rsidR="080F79E5" w:rsidRPr="003D1E07">
        <w:rPr>
          <w:i/>
        </w:rPr>
        <w:t>das Object</w:t>
      </w:r>
      <w:r w:rsidR="080F79E5" w:rsidRPr="003D1E07">
        <w:t>)</w:t>
      </w:r>
      <w:r w:rsidR="080F79E5" w:rsidRPr="003D1E07">
        <w:rPr>
          <w:i/>
        </w:rPr>
        <w:fldChar w:fldCharType="begin"/>
      </w:r>
      <w:r w:rsidR="080F79E5" w:rsidRPr="003D1E07">
        <w:instrText xml:space="preserve"> XE "objektivita:Kant" </w:instrText>
      </w:r>
      <w:r w:rsidR="080F79E5" w:rsidRPr="003D1E07">
        <w:rPr>
          <w:i/>
        </w:rPr>
        <w:fldChar w:fldCharType="end"/>
      </w:r>
      <w:r w:rsidR="080F79E5" w:rsidRPr="003D1E07">
        <w:t xml:space="preserve">. </w:t>
      </w:r>
      <w:r w:rsidR="00B04541" w:rsidRPr="003D1E07">
        <w:t>S</w:t>
      </w:r>
      <w:r w:rsidR="080F79E5" w:rsidRPr="003D1E07">
        <w:t xml:space="preserve">oud je určen specifickou </w:t>
      </w:r>
      <w:r w:rsidR="0032298E" w:rsidRPr="003D1E07">
        <w:t>kauzalitou</w:t>
      </w:r>
      <w:r w:rsidR="080F79E5" w:rsidRPr="003D1E07">
        <w:t xml:space="preserve">, </w:t>
      </w:r>
      <w:r w:rsidR="080F79E5" w:rsidRPr="003D1E07">
        <w:rPr>
          <w:iCs/>
        </w:rPr>
        <w:t>jak</w:t>
      </w:r>
      <w:r w:rsidR="080F79E5" w:rsidRPr="003D1E07">
        <w:t xml:space="preserve"> věc nazíráme v její </w:t>
      </w:r>
      <w:r w:rsidR="00173FE4" w:rsidRPr="003D1E07">
        <w:t xml:space="preserve">fenomenalitě </w:t>
      </w:r>
      <w:r w:rsidR="080F79E5" w:rsidRPr="003D1E07">
        <w:t>dané buď z determinujícího objektu nebo z reflektujícího subjektu (</w:t>
      </w:r>
      <w:r w:rsidR="080F79E5" w:rsidRPr="003D1E07">
        <w:rPr>
          <w:i/>
        </w:rPr>
        <w:t>bestimmende, reflektierende Urteilskraft</w:t>
      </w:r>
      <w:r w:rsidR="080F79E5" w:rsidRPr="003D1E07">
        <w:t xml:space="preserve">). </w:t>
      </w:r>
      <w:r w:rsidR="085A04A4" w:rsidRPr="003D1E07">
        <w:t xml:space="preserve">Akt souzení se děje </w:t>
      </w:r>
      <w:r w:rsidR="080F79E5" w:rsidRPr="003D1E07">
        <w:rPr>
          <w:iCs/>
        </w:rPr>
        <w:t>v perspektivě transcendentálního ideálu</w:t>
      </w:r>
      <w:r w:rsidR="080F79E5" w:rsidRPr="003D1E07">
        <w:t xml:space="preserve"> kriticky zkoumané objektivity, jež slouží jako základní kritérium pro souzení a poznání (</w:t>
      </w:r>
      <w:r w:rsidR="080F79E5" w:rsidRPr="003D1E07">
        <w:rPr>
          <w:i/>
        </w:rPr>
        <w:t>reine</w:t>
      </w:r>
      <w:r w:rsidR="080F79E5" w:rsidRPr="003D1E07">
        <w:t xml:space="preserve"> </w:t>
      </w:r>
      <w:r w:rsidR="080F79E5" w:rsidRPr="003D1E07">
        <w:rPr>
          <w:i/>
        </w:rPr>
        <w:t>Urteilskraft)</w:t>
      </w:r>
      <w:r w:rsidR="080F79E5" w:rsidRPr="003D1E07">
        <w:t xml:space="preserve">. Kant </w:t>
      </w:r>
      <w:r w:rsidR="00814D69">
        <w:t xml:space="preserve">založil postmoderní </w:t>
      </w:r>
      <w:r w:rsidR="080F79E5" w:rsidRPr="003D1E07">
        <w:t xml:space="preserve">objektivitu tím, že nově určil způsob, jak je věc posuzována ve světle apriorně čisté (tj. transcendentální) schopnosti souzení. Tuto poslední rovinu </w:t>
      </w:r>
      <w:r w:rsidR="00E523FD" w:rsidRPr="003D1E07">
        <w:t xml:space="preserve">objektivity </w:t>
      </w:r>
      <w:r w:rsidR="080F79E5" w:rsidRPr="003D1E07">
        <w:t>zajišťující správný náhled na celek svě</w:t>
      </w:r>
      <w:r w:rsidR="08E4785A" w:rsidRPr="003D1E07">
        <w:t xml:space="preserve">ta je možné dedukovat z reálné </w:t>
      </w:r>
      <w:r w:rsidR="080F79E5" w:rsidRPr="003D1E07">
        <w:t xml:space="preserve">schopnosti souzení, kterou má každý rozumný a svobodný člověk. Kantova </w:t>
      </w:r>
      <w:r w:rsidR="00454ADD" w:rsidRPr="003D1E07">
        <w:t xml:space="preserve">filosofie </w:t>
      </w:r>
      <w:r w:rsidR="080F79E5" w:rsidRPr="003D1E07">
        <w:t>objektivity vznikla v návaznosti na Descarta</w:t>
      </w:r>
      <w:r w:rsidR="080F79E5" w:rsidRPr="003D1E07">
        <w:fldChar w:fldCharType="begin"/>
      </w:r>
      <w:r w:rsidR="080F79E5" w:rsidRPr="003D1E07">
        <w:instrText xml:space="preserve"> XE "</w:instrText>
      </w:r>
      <w:r w:rsidR="080F79E5" w:rsidRPr="003D1E07">
        <w:rPr>
          <w:rStyle w:val="addmd"/>
        </w:rPr>
        <w:instrText>Descartes, R.</w:instrText>
      </w:r>
      <w:r w:rsidR="080F79E5" w:rsidRPr="003D1E07">
        <w:instrText xml:space="preserve">" </w:instrText>
      </w:r>
      <w:r w:rsidR="080F79E5" w:rsidRPr="003D1E07">
        <w:fldChar w:fldCharType="end"/>
      </w:r>
      <w:r w:rsidR="080F79E5" w:rsidRPr="003D1E07">
        <w:t>, jehož pojetí vycházelo z Avicennovy metafyziky. Díky dějinám působení objektivity (</w:t>
      </w:r>
      <w:r w:rsidR="080F79E5" w:rsidRPr="003D1E07">
        <w:rPr>
          <w:i/>
        </w:rPr>
        <w:t>Wirkungsgeschichte</w:t>
      </w:r>
      <w:r w:rsidR="080F79E5" w:rsidRPr="003D1E07">
        <w:t xml:space="preserve">) od Avicenny až po Kanta se tento náhled na jsoucno stal dějinným faktem a založil </w:t>
      </w:r>
      <w:r w:rsidR="082B3DF2" w:rsidRPr="003D1E07">
        <w:t xml:space="preserve">epochu </w:t>
      </w:r>
      <w:r w:rsidR="00A90EAD" w:rsidRPr="003D1E07">
        <w:t>osvícenství</w:t>
      </w:r>
      <w:r w:rsidR="082B3DF2" w:rsidRPr="003D1E07">
        <w:t>.</w:t>
      </w:r>
    </w:p>
    <w:p w14:paraId="165C8680" w14:textId="4A5D7269" w:rsidR="00E21925" w:rsidRPr="003D1E07" w:rsidRDefault="082B3DF2" w:rsidP="00DD3C26">
      <w:pPr>
        <w:ind w:firstLine="397"/>
      </w:pPr>
      <w:r w:rsidRPr="003D1E07">
        <w:t xml:space="preserve">Hermeneutický přístup k objektivní schopnosti usuzování dané v obou předešlých podobách nesmí zůstat úrovni metafyzického a transcendentálního myšlení. </w:t>
      </w:r>
      <w:r w:rsidR="080F79E5" w:rsidRPr="003D1E07">
        <w:t xml:space="preserve">Hermeneutika </w:t>
      </w:r>
      <w:r w:rsidR="00CC5CC7" w:rsidRPr="003D1E07">
        <w:t>se vztahuje k</w:t>
      </w:r>
      <w:r w:rsidR="080F79E5" w:rsidRPr="003D1E07">
        <w:t xml:space="preserve"> původnímu dění pravdy na úrovni dějinnosti </w:t>
      </w:r>
      <w:r w:rsidR="00CC5CC7" w:rsidRPr="003D1E07">
        <w:t xml:space="preserve">a tím </w:t>
      </w:r>
      <w:r w:rsidR="080F79E5" w:rsidRPr="003D1E07">
        <w:t xml:space="preserve">se zásadně liší od </w:t>
      </w:r>
      <w:r w:rsidR="080F79E5" w:rsidRPr="003D1E07">
        <w:lastRenderedPageBreak/>
        <w:t>specializovaného zkoumán</w:t>
      </w:r>
      <w:r w:rsidR="08BD3577" w:rsidRPr="003D1E07">
        <w:t>í v rámci pozitivistických dějin</w:t>
      </w:r>
      <w:r w:rsidR="00CD2145" w:rsidRPr="003D1E07">
        <w:t xml:space="preserve"> myšlení</w:t>
      </w:r>
      <w:r w:rsidR="08BD3577" w:rsidRPr="003D1E07">
        <w:t>. Objektivně daná herme</w:t>
      </w:r>
      <w:r w:rsidR="08E0166D" w:rsidRPr="003D1E07">
        <w:t>ne</w:t>
      </w:r>
      <w:r w:rsidR="08BD3577" w:rsidRPr="003D1E07">
        <w:t xml:space="preserve">utika a filosofie zkoumá </w:t>
      </w:r>
      <w:r w:rsidR="080F79E5" w:rsidRPr="003D1E07">
        <w:t>objektivit</w:t>
      </w:r>
      <w:r w:rsidR="00B67185" w:rsidRPr="003D1E07">
        <w:t xml:space="preserve">u v rámci </w:t>
      </w:r>
      <w:r w:rsidR="08BD3577" w:rsidRPr="003D1E07">
        <w:rPr>
          <w:i/>
        </w:rPr>
        <w:t>Wirkungsgeschichte</w:t>
      </w:r>
      <w:r w:rsidR="08E0166D" w:rsidRPr="003D1E07">
        <w:rPr>
          <w:i/>
        </w:rPr>
        <w:fldChar w:fldCharType="begin"/>
      </w:r>
      <w:r w:rsidR="08E0166D" w:rsidRPr="003D1E07">
        <w:instrText xml:space="preserve"> XE "</w:instrText>
      </w:r>
      <w:r w:rsidR="08E0166D" w:rsidRPr="003D1E07">
        <w:rPr>
          <w:i/>
        </w:rPr>
        <w:instrText>Wirkungsgeschichte</w:instrText>
      </w:r>
      <w:r w:rsidR="08E0166D" w:rsidRPr="003D1E07">
        <w:instrText xml:space="preserve">" </w:instrText>
      </w:r>
      <w:r w:rsidR="08E0166D" w:rsidRPr="003D1E07">
        <w:rPr>
          <w:i/>
        </w:rPr>
        <w:fldChar w:fldCharType="end"/>
      </w:r>
      <w:r w:rsidR="00484B12" w:rsidRPr="003D1E07">
        <w:t xml:space="preserve"> objek</w:t>
      </w:r>
      <w:r w:rsidR="00B67185" w:rsidRPr="003D1E07">
        <w:t>tivního jsoucna</w:t>
      </w:r>
      <w:r w:rsidR="080F79E5" w:rsidRPr="003D1E07">
        <w:t xml:space="preserve">. </w:t>
      </w:r>
      <w:r w:rsidR="085A5BDF" w:rsidRPr="003D1E07">
        <w:t>Archaická hermeneutika jde k počátku objekti</w:t>
      </w:r>
      <w:r w:rsidR="003F4120">
        <w:t>vi</w:t>
      </w:r>
      <w:r w:rsidR="085A5BDF" w:rsidRPr="003D1E07">
        <w:t xml:space="preserve">ty. A počátek není daný </w:t>
      </w:r>
      <w:r w:rsidR="0035046C" w:rsidRPr="003D1E07">
        <w:t>pozitivním a objektivním z</w:t>
      </w:r>
      <w:r w:rsidR="085A5BDF" w:rsidRPr="003D1E07">
        <w:t>působem</w:t>
      </w:r>
      <w:r w:rsidR="008D68A9" w:rsidRPr="003D1E07">
        <w:t xml:space="preserve">. Při </w:t>
      </w:r>
      <w:r w:rsidR="085A5BDF" w:rsidRPr="003D1E07">
        <w:t xml:space="preserve">vzniku objektivity neexistuje </w:t>
      </w:r>
      <w:r w:rsidR="008D68A9" w:rsidRPr="003D1E07">
        <w:t xml:space="preserve">objektivita jako ontický </w:t>
      </w:r>
      <w:r w:rsidR="00072E12">
        <w:t>fenomén. Její konstituce je daná dějinně a je určena</w:t>
      </w:r>
      <w:r w:rsidR="008D68A9" w:rsidRPr="003D1E07">
        <w:t xml:space="preserve"> v rámci pravdy jako </w:t>
      </w:r>
      <w:r w:rsidR="008D68A9" w:rsidRPr="003D1E07">
        <w:rPr>
          <w:i/>
        </w:rPr>
        <w:t>alétheia</w:t>
      </w:r>
      <w:r w:rsidR="085A5BDF" w:rsidRPr="003D1E07">
        <w:t xml:space="preserve">. </w:t>
      </w:r>
      <w:r w:rsidR="0035046C" w:rsidRPr="003D1E07">
        <w:t xml:space="preserve">Pozitivně </w:t>
      </w:r>
      <w:r w:rsidR="085A5BDF" w:rsidRPr="003D1E07">
        <w:t>viděno platí, že na počátku objektivita „není“, proto</w:t>
      </w:r>
      <w:r w:rsidR="08C60C0B" w:rsidRPr="003D1E07">
        <w:t>že neexis</w:t>
      </w:r>
      <w:r w:rsidR="085A5BDF" w:rsidRPr="003D1E07">
        <w:t>t</w:t>
      </w:r>
      <w:r w:rsidR="08C60C0B" w:rsidRPr="003D1E07">
        <w:t>u</w:t>
      </w:r>
      <w:r w:rsidR="085A5BDF" w:rsidRPr="003D1E07">
        <w:t xml:space="preserve">je jako pozitivní </w:t>
      </w:r>
      <w:r w:rsidR="008D68A9" w:rsidRPr="003D1E07">
        <w:t>fenomén</w:t>
      </w:r>
      <w:r w:rsidR="085A5BDF" w:rsidRPr="003D1E07">
        <w:t xml:space="preserve">. </w:t>
      </w:r>
      <w:r w:rsidR="00D06652" w:rsidRPr="003D1E07">
        <w:t xml:space="preserve">Dění </w:t>
      </w:r>
      <w:r w:rsidR="080F79E5" w:rsidRPr="003D1E07">
        <w:t xml:space="preserve">objektivity je třeba vidět ve třech odlišných rovinách smyslu: z hlediska </w:t>
      </w:r>
      <w:r w:rsidR="007F7168" w:rsidRPr="003D1E07">
        <w:t xml:space="preserve">objektivní </w:t>
      </w:r>
      <w:r w:rsidR="080F79E5" w:rsidRPr="003D1E07">
        <w:t xml:space="preserve">historie, z hlediska </w:t>
      </w:r>
      <w:r w:rsidR="007F7168" w:rsidRPr="003D1E07">
        <w:t xml:space="preserve">odkrytých </w:t>
      </w:r>
      <w:r w:rsidR="080F79E5" w:rsidRPr="003D1E07">
        <w:t>dějin</w:t>
      </w:r>
      <w:r w:rsidR="007916A2" w:rsidRPr="003D1E07">
        <w:t xml:space="preserve"> myšlení</w:t>
      </w:r>
      <w:r w:rsidR="080F79E5" w:rsidRPr="003D1E07">
        <w:t xml:space="preserve"> a z hlediska </w:t>
      </w:r>
      <w:r w:rsidR="007F7168" w:rsidRPr="003D1E07">
        <w:t>po-od</w:t>
      </w:r>
      <w:r w:rsidR="00733855" w:rsidRPr="003D1E07">
        <w:t xml:space="preserve">kryté </w:t>
      </w:r>
      <w:r w:rsidR="080F79E5" w:rsidRPr="003D1E07">
        <w:t>dějinnosti</w:t>
      </w:r>
      <w:r w:rsidR="00733855" w:rsidRPr="003D1E07">
        <w:t xml:space="preserve"> samo</w:t>
      </w:r>
      <w:r w:rsidR="007916A2" w:rsidRPr="003D1E07">
        <w:t>tného bytí</w:t>
      </w:r>
      <w:r w:rsidR="084337BD" w:rsidRPr="003D1E07">
        <w:fldChar w:fldCharType="begin"/>
      </w:r>
      <w:r w:rsidR="084337BD" w:rsidRPr="003D1E07">
        <w:instrText xml:space="preserve"> XE "dějinnost" </w:instrText>
      </w:r>
      <w:r w:rsidR="084337BD" w:rsidRPr="003D1E07">
        <w:fldChar w:fldCharType="end"/>
      </w:r>
      <w:r w:rsidR="080F79E5" w:rsidRPr="003D1E07">
        <w:t>.</w:t>
      </w:r>
      <w:r w:rsidR="080F79E5" w:rsidRPr="003D1E07">
        <w:rPr>
          <w:rStyle w:val="Znakapoznpodarou"/>
        </w:rPr>
        <w:footnoteReference w:id="3"/>
      </w:r>
      <w:r w:rsidR="080F79E5" w:rsidRPr="003D1E07">
        <w:t xml:space="preserve"> Hermeneutické zkoumání se nemůže spokojit s výčtem historických faktů souvisejících se vznikem objektivity a s jejím akademickým a mocenským prosazením</w:t>
      </w:r>
      <w:r w:rsidR="08727EA4" w:rsidRPr="003D1E07">
        <w:t xml:space="preserve"> na latinském Západě od 13. století až po dnešek</w:t>
      </w:r>
      <w:r w:rsidR="080F79E5" w:rsidRPr="003D1E07">
        <w:t>. Historie pozdní antiky, raného a vrcholného středověku zná více či méně podrobně životní osudy a díla hlavních aktérů myslitelského zápasu o objektivitu. Historik středověku poznává osudy filosofických aktérů na základě dějin filosofie</w:t>
      </w:r>
      <w:r w:rsidR="006F4C5C" w:rsidRPr="003D1E07">
        <w:t xml:space="preserve">, které </w:t>
      </w:r>
      <w:r w:rsidR="080F79E5" w:rsidRPr="003D1E07">
        <w:t xml:space="preserve">vytvářejí systematický přehled škol a autorů podaných v časové posloupnosti a vzhledem ke vzájemnému působení a ovlivňování. Díky filosofickým školám také zůstala zachována velká část pramenů </w:t>
      </w:r>
      <w:r w:rsidR="0022693A">
        <w:t xml:space="preserve">popisujících </w:t>
      </w:r>
      <w:r w:rsidR="080F79E5" w:rsidRPr="003D1E07">
        <w:t>myšlenkové spory té či oné epochy. Polemika ohledně výkladu Platona, Aristotela, Avicenny a Averroese zformovala novou podobu scholastiky a vytvořila novou kapitolu v dějinách západního myšlení. Základní spor ustavující moderní objektivitu se odehrál mezi Avicennou a Averroesem. Na jejich gigantomachii o substanci navazoval následný spor o latinský averroismus, který vyvrcholil církevním odsouzením 219 filo</w:t>
      </w:r>
      <w:r w:rsidR="08E60028" w:rsidRPr="003D1E07">
        <w:t>sofických a teologických tezí dne 7. března</w:t>
      </w:r>
      <w:r w:rsidR="080F79E5" w:rsidRPr="003D1E07">
        <w:t xml:space="preserve"> 1277 v Paříži a </w:t>
      </w:r>
      <w:r w:rsidR="08EA2902" w:rsidRPr="003D1E07">
        <w:t xml:space="preserve">hned nato v </w:t>
      </w:r>
      <w:r w:rsidR="080F79E5" w:rsidRPr="003D1E07">
        <w:t>Oxfordu</w:t>
      </w:r>
      <w:r w:rsidR="080F79E5" w:rsidRPr="003D1E07">
        <w:rPr>
          <w:i/>
        </w:rPr>
        <w:fldChar w:fldCharType="begin"/>
      </w:r>
      <w:r w:rsidR="080F79E5" w:rsidRPr="003D1E07">
        <w:instrText xml:space="preserve"> XE "odsouzení 1277" </w:instrText>
      </w:r>
      <w:r w:rsidR="080F79E5" w:rsidRPr="003D1E07">
        <w:rPr>
          <w:i/>
        </w:rPr>
        <w:fldChar w:fldCharType="end"/>
      </w:r>
      <w:r w:rsidR="080F79E5" w:rsidRPr="003D1E07">
        <w:t xml:space="preserve">. Historie objektivity potřebuje dějiny filosofie a ty existují proto, že díky geniálním myslitelům se měnila </w:t>
      </w:r>
      <w:r w:rsidR="081F0519" w:rsidRPr="003D1E07">
        <w:t xml:space="preserve">samotná </w:t>
      </w:r>
      <w:r w:rsidR="080F79E5" w:rsidRPr="003D1E07">
        <w:t>metafyzik</w:t>
      </w:r>
      <w:r w:rsidR="081F0519" w:rsidRPr="003D1E07">
        <w:t>a</w:t>
      </w:r>
      <w:r w:rsidR="080F79E5" w:rsidRPr="003D1E07">
        <w:t>. Specifický charakter bytí jsoucna zjeveného v rámci dějinnosti</w:t>
      </w:r>
      <w:r w:rsidR="084337BD" w:rsidRPr="003D1E07">
        <w:fldChar w:fldCharType="begin"/>
      </w:r>
      <w:r w:rsidR="084337BD" w:rsidRPr="003D1E07">
        <w:instrText xml:space="preserve"> XE "dějinnost" </w:instrText>
      </w:r>
      <w:r w:rsidR="084337BD" w:rsidRPr="003D1E07">
        <w:fldChar w:fldCharType="end"/>
      </w:r>
      <w:r w:rsidR="080F79E5" w:rsidRPr="003D1E07">
        <w:t xml:space="preserve"> vnímají jen ti nejlepší myslitelé, kteří určují vývoj myšlení na celá tisíciletí. Hérakleitův výrok definuje tuto nadčasovou polis aristokratů ducha následovně: „Jeden je pro mně za tisíce, když je nejlepší.“ (</w:t>
      </w:r>
      <w:r w:rsidR="008F2496" w:rsidRPr="003D1E07">
        <w:t>DK 22</w:t>
      </w:r>
      <w:r w:rsidR="080F79E5" w:rsidRPr="003D1E07">
        <w:t>, B 49</w:t>
      </w:r>
      <w:r w:rsidR="080F79E5" w:rsidRPr="003D1E07">
        <w:fldChar w:fldCharType="begin"/>
      </w:r>
      <w:r w:rsidR="080F79E5" w:rsidRPr="003D1E07">
        <w:instrText xml:space="preserve"> XE "Hérakleitos z Efezu:B 49" </w:instrText>
      </w:r>
      <w:r w:rsidR="080F79E5" w:rsidRPr="003D1E07">
        <w:fldChar w:fldCharType="end"/>
      </w:r>
      <w:r w:rsidR="080F79E5" w:rsidRPr="003D1E07">
        <w:t xml:space="preserve">). </w:t>
      </w:r>
      <w:r w:rsidR="085E315B" w:rsidRPr="003D1E07">
        <w:t>Jen jeden z tisíce myslitelů je schopen měnit podobu pravdy. Akademické Trojské války dané jako gigantomachie o substanci se účast</w:t>
      </w:r>
      <w:r w:rsidR="08CF65D5" w:rsidRPr="003D1E07">
        <w:t>ní jen ti nejlepší z nejlepších</w:t>
      </w:r>
      <w:r w:rsidR="085E315B" w:rsidRPr="003D1E07">
        <w:t xml:space="preserve">. Proto také mají zajištěnu nesmrtelnou slávu v dějinách filosofického myšlení. </w:t>
      </w:r>
      <w:r w:rsidR="080F79E5" w:rsidRPr="003D1E07">
        <w:t xml:space="preserve">Trojúhelník dějinnosti, dějin a historie určuje postup hermeneutiky, </w:t>
      </w:r>
      <w:r w:rsidR="00E21925" w:rsidRPr="003D1E07">
        <w:t xml:space="preserve">protože má epochální </w:t>
      </w:r>
      <w:r w:rsidR="00E21925" w:rsidRPr="003D1E07">
        <w:lastRenderedPageBreak/>
        <w:t>charakter.</w:t>
      </w:r>
      <w:r w:rsidR="00D8276E" w:rsidRPr="003D1E07">
        <w:t xml:space="preserve"> </w:t>
      </w:r>
      <w:r w:rsidR="080F79E5" w:rsidRPr="003D1E07">
        <w:t>Dějinnost filosofie je dána silou počátku, v němž myšlení prvních filosofů od</w:t>
      </w:r>
      <w:r w:rsidR="007D4D25" w:rsidRPr="003D1E07">
        <w:t>povědělo na výzvu bytí</w:t>
      </w:r>
      <w:r w:rsidR="080F79E5" w:rsidRPr="003D1E07">
        <w:t xml:space="preserve">. Tento pohyb archaické moudrosti </w:t>
      </w:r>
      <w:r w:rsidR="00121355" w:rsidRPr="003D1E07">
        <w:t xml:space="preserve">skryté v mystériích </w:t>
      </w:r>
      <w:r w:rsidR="080F79E5" w:rsidRPr="003D1E07">
        <w:t>dostal novou dějinnou podobu skrze Parmenida a založil filosofii. Proměna první filosofie skrze Platona a Aristotela pak z</w:t>
      </w:r>
      <w:r w:rsidR="00DF0426">
        <w:t xml:space="preserve">aložila metafyziku. </w:t>
      </w:r>
      <w:r w:rsidR="00B60BCA">
        <w:t xml:space="preserve">Na latinském Západě </w:t>
      </w:r>
      <w:r w:rsidR="00B60BCA" w:rsidRPr="003D1E07">
        <w:t xml:space="preserve">vznikla </w:t>
      </w:r>
      <w:r w:rsidR="00B60BCA">
        <w:t>m</w:t>
      </w:r>
      <w:r w:rsidR="00DF0426">
        <w:t>oderní o</w:t>
      </w:r>
      <w:r w:rsidR="080F79E5" w:rsidRPr="003D1E07">
        <w:t>bjektivit</w:t>
      </w:r>
      <w:r w:rsidR="00DC03C3" w:rsidRPr="003D1E07">
        <w:t xml:space="preserve">a proměnou metafyziky </w:t>
      </w:r>
      <w:r w:rsidR="080F79E5" w:rsidRPr="003D1E07">
        <w:t>ve 13. století.</w:t>
      </w:r>
      <w:r w:rsidR="00E21925" w:rsidRPr="003D1E07">
        <w:t xml:space="preserve"> Kantovo založení postmoderní formy objektivity završuje vývoj scholastické objektivity a zároveň stojí na prahu současného metafyzického nihilismu. Předložený výklad hledá počátek objektivity v jeho původní </w:t>
      </w:r>
      <w:r w:rsidR="001D5E2F" w:rsidRPr="003D1E07">
        <w:t>podobě. O</w:t>
      </w:r>
      <w:r w:rsidR="00E21925" w:rsidRPr="003D1E07">
        <w:t>bjektivně poznané jsoucno</w:t>
      </w:r>
      <w:r w:rsidR="001D5E2F" w:rsidRPr="003D1E07">
        <w:t xml:space="preserve"> změnilo předešlý smysl bytí jsoucna</w:t>
      </w:r>
      <w:r w:rsidR="00D8276E" w:rsidRPr="003D1E07">
        <w:t xml:space="preserve"> </w:t>
      </w:r>
      <w:r w:rsidR="00CC50B4">
        <w:t xml:space="preserve">podaný </w:t>
      </w:r>
      <w:r w:rsidR="00D8276E" w:rsidRPr="003D1E07">
        <w:t>v klasické metafyzice</w:t>
      </w:r>
      <w:r w:rsidR="001D5E2F" w:rsidRPr="003D1E07">
        <w:t xml:space="preserve">. Tím došlo k zásadní změně v dějinách filosofie, skrze kterou se nepřímo ukazuje i </w:t>
      </w:r>
      <w:r w:rsidR="00E21925" w:rsidRPr="003D1E07">
        <w:t>původní a skrytý fenomén samotné dějinnosti</w:t>
      </w:r>
      <w:r w:rsidR="00E21925" w:rsidRPr="003D1E07">
        <w:fldChar w:fldCharType="begin"/>
      </w:r>
      <w:r w:rsidR="00E21925" w:rsidRPr="003D1E07">
        <w:instrText xml:space="preserve"> XE "dějinnost" </w:instrText>
      </w:r>
      <w:r w:rsidR="00E21925" w:rsidRPr="003D1E07">
        <w:fldChar w:fldCharType="end"/>
      </w:r>
      <w:r w:rsidR="00E21925" w:rsidRPr="003D1E07">
        <w:t xml:space="preserve">. </w:t>
      </w:r>
      <w:r w:rsidR="001D5E2F" w:rsidRPr="003D1E07">
        <w:t xml:space="preserve">Výklad chápe epochální charakter objektivity z hlediska proměny pravdy jako archaické </w:t>
      </w:r>
      <w:r w:rsidR="001D5E2F" w:rsidRPr="003D1E07">
        <w:rPr>
          <w:i/>
        </w:rPr>
        <w:t>alétheia</w:t>
      </w:r>
      <w:r w:rsidR="005974C4" w:rsidRPr="003D1E07">
        <w:t>. Proměny smyslu jsoucna v metafyzice filosoficky vysvětlují</w:t>
      </w:r>
      <w:r w:rsidR="001D5E2F" w:rsidRPr="003D1E07">
        <w:t xml:space="preserve"> existenci boha, světa i člověka. </w:t>
      </w:r>
    </w:p>
    <w:p w14:paraId="76A0919F" w14:textId="1B859394" w:rsidR="006F2572" w:rsidRPr="003D1E07" w:rsidRDefault="087A5AE6" w:rsidP="00E125AA">
      <w:pPr>
        <w:ind w:firstLine="397"/>
      </w:pPr>
      <w:r w:rsidRPr="003D1E07">
        <w:t>Nietzsche</w:t>
      </w:r>
      <w:r w:rsidR="00CF7845" w:rsidRPr="003D1E07">
        <w:rPr>
          <w:szCs w:val="24"/>
        </w:rPr>
        <w:fldChar w:fldCharType="begin"/>
      </w:r>
      <w:r w:rsidR="00CF7845" w:rsidRPr="003D1E07">
        <w:instrText xml:space="preserve"> XE "</w:instrText>
      </w:r>
      <w:r w:rsidR="00CF7845" w:rsidRPr="003D1E07">
        <w:rPr>
          <w:szCs w:val="24"/>
        </w:rPr>
        <w:instrText>Nietzsche, F.</w:instrText>
      </w:r>
      <w:r w:rsidR="00CF7845" w:rsidRPr="003D1E07">
        <w:instrText xml:space="preserve">" </w:instrText>
      </w:r>
      <w:r w:rsidR="00CF7845" w:rsidRPr="003D1E07">
        <w:rPr>
          <w:szCs w:val="24"/>
        </w:rPr>
        <w:fldChar w:fldCharType="end"/>
      </w:r>
      <w:r w:rsidRPr="003D1E07">
        <w:t xml:space="preserve"> </w:t>
      </w:r>
      <w:r w:rsidR="08C83394" w:rsidRPr="003D1E07">
        <w:t xml:space="preserve">připomněl </w:t>
      </w:r>
      <w:r w:rsidR="001009A8" w:rsidRPr="003D1E07">
        <w:t xml:space="preserve">ideální a </w:t>
      </w:r>
      <w:r w:rsidRPr="003D1E07">
        <w:t xml:space="preserve">objektivní vědě podle Platona a Kanta, že je fundamentálně slepá ke svému počátku. </w:t>
      </w:r>
      <w:r w:rsidR="08F03398" w:rsidRPr="003D1E07">
        <w:t xml:space="preserve">Transformace vidění („jak vidím“) na objektivní formu vědění („co vidím“) </w:t>
      </w:r>
      <w:r w:rsidR="001A3A06" w:rsidRPr="003D1E07">
        <w:t xml:space="preserve">obsahuje proměnu dějinně určené </w:t>
      </w:r>
      <w:r w:rsidR="001A3A06" w:rsidRPr="003D1E07">
        <w:rPr>
          <w:i/>
        </w:rPr>
        <w:t>alétheia</w:t>
      </w:r>
      <w:r w:rsidR="001A3A06" w:rsidRPr="003D1E07">
        <w:t>. Tuto událost nemůže vidět ontická věda moderního subjektu</w:t>
      </w:r>
      <w:r w:rsidR="08F03398" w:rsidRPr="003D1E07">
        <w:t>.</w:t>
      </w:r>
      <w:r w:rsidR="08426513" w:rsidRPr="003D1E07">
        <w:t xml:space="preserve"> </w:t>
      </w:r>
      <w:r w:rsidR="080018CB" w:rsidRPr="003D1E07">
        <w:t xml:space="preserve">Hermeneutika </w:t>
      </w:r>
      <w:r w:rsidR="080018CB" w:rsidRPr="003D1E07">
        <w:rPr>
          <w:i/>
        </w:rPr>
        <w:fldChar w:fldCharType="begin"/>
      </w:r>
      <w:r w:rsidR="080018CB" w:rsidRPr="003D1E07">
        <w:instrText xml:space="preserve"> XE "hermeneutika:</w:instrText>
      </w:r>
      <w:r w:rsidR="080018CB" w:rsidRPr="003D1E07">
        <w:rPr>
          <w:i/>
        </w:rPr>
        <w:instrText>Dasein</w:instrText>
      </w:r>
      <w:r w:rsidR="080018CB" w:rsidRPr="003D1E07">
        <w:instrText xml:space="preserve">" </w:instrText>
      </w:r>
      <w:r w:rsidR="080018CB" w:rsidRPr="003D1E07">
        <w:rPr>
          <w:i/>
        </w:rPr>
        <w:fldChar w:fldCharType="end"/>
      </w:r>
      <w:r w:rsidR="080018CB" w:rsidRPr="003D1E07">
        <w:t xml:space="preserve">hledá ontologickou rovinu zjevování bytí, a ne pouze ontickou danost předmětu. </w:t>
      </w:r>
      <w:r w:rsidR="002B112C" w:rsidRPr="003D1E07">
        <w:t xml:space="preserve">Trojí struktura porozumění je dána skrze termíny </w:t>
      </w:r>
      <w:r w:rsidR="002B112C" w:rsidRPr="003D1E07">
        <w:rPr>
          <w:i/>
          <w:iCs/>
        </w:rPr>
        <w:t>Gehaltsinn</w:t>
      </w:r>
      <w:r w:rsidR="002B112C" w:rsidRPr="003D1E07">
        <w:rPr>
          <w:i/>
          <w:iCs/>
        </w:rPr>
        <w:fldChar w:fldCharType="begin"/>
      </w:r>
      <w:r w:rsidR="002B112C" w:rsidRPr="003D1E07">
        <w:rPr>
          <w:i/>
        </w:rPr>
        <w:instrText xml:space="preserve"> XE "</w:instrText>
      </w:r>
      <w:r w:rsidR="002B112C" w:rsidRPr="003D1E07">
        <w:rPr>
          <w:i/>
          <w:iCs/>
        </w:rPr>
        <w:instrText>Gehaltsinn</w:instrText>
      </w:r>
      <w:r w:rsidR="002B112C" w:rsidRPr="003D1E07">
        <w:rPr>
          <w:i/>
        </w:rPr>
        <w:instrText xml:space="preserve">" </w:instrText>
      </w:r>
      <w:r w:rsidR="002B112C" w:rsidRPr="003D1E07">
        <w:rPr>
          <w:i/>
          <w:iCs/>
        </w:rPr>
        <w:fldChar w:fldCharType="end"/>
      </w:r>
      <w:r w:rsidR="002B112C" w:rsidRPr="003D1E07">
        <w:rPr>
          <w:i/>
          <w:iCs/>
        </w:rPr>
        <w:t>, Bezugssinn</w:t>
      </w:r>
      <w:r w:rsidR="002B112C" w:rsidRPr="003D1E07">
        <w:rPr>
          <w:i/>
          <w:iCs/>
        </w:rPr>
        <w:fldChar w:fldCharType="begin"/>
      </w:r>
      <w:r w:rsidR="002B112C" w:rsidRPr="003D1E07">
        <w:rPr>
          <w:i/>
        </w:rPr>
        <w:instrText xml:space="preserve"> XE "</w:instrText>
      </w:r>
      <w:r w:rsidR="002B112C" w:rsidRPr="003D1E07">
        <w:rPr>
          <w:i/>
          <w:iCs/>
        </w:rPr>
        <w:instrText>Bezugssinn</w:instrText>
      </w:r>
      <w:r w:rsidR="002B112C" w:rsidRPr="003D1E07">
        <w:rPr>
          <w:i/>
        </w:rPr>
        <w:instrText xml:space="preserve">" </w:instrText>
      </w:r>
      <w:r w:rsidR="002B112C" w:rsidRPr="003D1E07">
        <w:rPr>
          <w:i/>
          <w:iCs/>
        </w:rPr>
        <w:fldChar w:fldCharType="end"/>
      </w:r>
      <w:r w:rsidR="002B112C" w:rsidRPr="003D1E07">
        <w:rPr>
          <w:i/>
          <w:iCs/>
        </w:rPr>
        <w:t>, Vollzugssinn</w:t>
      </w:r>
      <w:r w:rsidR="002B112C" w:rsidRPr="003D1E07">
        <w:rPr>
          <w:iCs/>
        </w:rPr>
        <w:fldChar w:fldCharType="begin"/>
      </w:r>
      <w:r w:rsidR="002B112C" w:rsidRPr="003D1E07">
        <w:instrText xml:space="preserve"> XE "</w:instrText>
      </w:r>
      <w:r w:rsidR="002B112C" w:rsidRPr="003D1E07">
        <w:rPr>
          <w:iCs/>
        </w:rPr>
        <w:instrText>Vollzugssinn</w:instrText>
      </w:r>
      <w:r w:rsidR="002B112C" w:rsidRPr="003D1E07">
        <w:instrText xml:space="preserve">" </w:instrText>
      </w:r>
      <w:r w:rsidR="002B112C" w:rsidRPr="003D1E07">
        <w:rPr>
          <w:iCs/>
        </w:rPr>
        <w:fldChar w:fldCharType="end"/>
      </w:r>
      <w:r w:rsidR="002B112C" w:rsidRPr="003D1E07">
        <w:rPr>
          <w:iCs/>
        </w:rPr>
        <w:t xml:space="preserve">, které Heidegger vypracoval během první etapy nové hermeneutiky v letech </w:t>
      </w:r>
      <w:r w:rsidR="002B112C" w:rsidRPr="003D1E07">
        <w:rPr>
          <w:szCs w:val="24"/>
        </w:rPr>
        <w:t xml:space="preserve">1920–23 </w:t>
      </w:r>
      <w:r w:rsidR="002B112C" w:rsidRPr="003D1E07">
        <w:t>(GA 59, 60–89</w:t>
      </w:r>
      <w:r w:rsidR="00136310" w:rsidRPr="003D1E07">
        <w:rPr>
          <w:noProof w:val="0"/>
          <w:lang w:eastAsia="en-US"/>
        </w:rPr>
        <w:fldChar w:fldCharType="begin"/>
      </w:r>
      <w:r w:rsidR="00136310" w:rsidRPr="003D1E07">
        <w:instrText xml:space="preserve"> XE "</w:instrText>
      </w:r>
      <w:r w:rsidR="00136310" w:rsidRPr="003D1E07">
        <w:rPr>
          <w:noProof w:val="0"/>
          <w:lang w:eastAsia="en-US"/>
        </w:rPr>
        <w:instrText>Heidegger:GA 59, 60–89</w:instrText>
      </w:r>
      <w:r w:rsidR="00136310" w:rsidRPr="003D1E07">
        <w:instrText xml:space="preserve">" </w:instrText>
      </w:r>
      <w:r w:rsidR="00136310" w:rsidRPr="003D1E07">
        <w:rPr>
          <w:noProof w:val="0"/>
          <w:lang w:eastAsia="en-US"/>
        </w:rPr>
        <w:fldChar w:fldCharType="end"/>
      </w:r>
      <w:r w:rsidR="002B112C" w:rsidRPr="003D1E07">
        <w:t>)</w:t>
      </w:r>
      <w:r w:rsidR="002B112C" w:rsidRPr="003D1E07">
        <w:rPr>
          <w:szCs w:val="24"/>
        </w:rPr>
        <w:t xml:space="preserve">. </w:t>
      </w:r>
      <w:r w:rsidR="08426513" w:rsidRPr="003D1E07">
        <w:t xml:space="preserve">Heideggerovy přednášky o hermeneutice fakticity </w:t>
      </w:r>
      <w:r w:rsidR="08426513" w:rsidRPr="003D1E07">
        <w:rPr>
          <w:i/>
        </w:rPr>
        <w:fldChar w:fldCharType="begin"/>
      </w:r>
      <w:r w:rsidR="08426513" w:rsidRPr="003D1E07">
        <w:instrText xml:space="preserve"> XE "hermeneutika:fakticity" </w:instrText>
      </w:r>
      <w:r w:rsidR="08426513" w:rsidRPr="003D1E07">
        <w:rPr>
          <w:i/>
        </w:rPr>
        <w:fldChar w:fldCharType="end"/>
      </w:r>
      <w:r w:rsidR="08426513" w:rsidRPr="003D1E07">
        <w:t xml:space="preserve"> (letní semestr 1923)</w:t>
      </w:r>
      <w:r w:rsidR="08F03398" w:rsidRPr="003D1E07">
        <w:t xml:space="preserve"> </w:t>
      </w:r>
      <w:r w:rsidR="08426513" w:rsidRPr="003D1E07">
        <w:t xml:space="preserve">zkoumají základní způsob, </w:t>
      </w:r>
      <w:r w:rsidR="086C339F" w:rsidRPr="003D1E07">
        <w:t xml:space="preserve">jak </w:t>
      </w:r>
      <w:r w:rsidR="08426513" w:rsidRPr="003D1E07">
        <w:t>porozumění probíhá</w:t>
      </w:r>
      <w:r w:rsidR="00F50FD9" w:rsidRPr="003D1E07">
        <w:t xml:space="preserve">. </w:t>
      </w:r>
      <w:r w:rsidR="08000F08" w:rsidRPr="003D1E07">
        <w:t xml:space="preserve">Nová </w:t>
      </w:r>
      <w:r w:rsidR="0813239E" w:rsidRPr="003D1E07">
        <w:t>form</w:t>
      </w:r>
      <w:r w:rsidR="08000F08" w:rsidRPr="003D1E07">
        <w:t>a</w:t>
      </w:r>
      <w:r w:rsidR="0813239E" w:rsidRPr="003D1E07">
        <w:t xml:space="preserve"> hermeneutiky </w:t>
      </w:r>
      <w:r w:rsidR="08000F08" w:rsidRPr="003D1E07">
        <w:t xml:space="preserve">je ustavena </w:t>
      </w:r>
      <w:r w:rsidR="0813239E" w:rsidRPr="003D1E07">
        <w:t xml:space="preserve">skrze </w:t>
      </w:r>
      <w:r w:rsidR="00F50FD9" w:rsidRPr="003D1E07">
        <w:t>termín</w:t>
      </w:r>
      <w:r w:rsidR="00AE583E" w:rsidRPr="003D1E07">
        <w:t xml:space="preserve"> </w:t>
      </w:r>
      <w:r w:rsidR="00D22BDB" w:rsidRPr="003D1E07">
        <w:t>„</w:t>
      </w:r>
      <w:r w:rsidR="00035EA2" w:rsidRPr="003D1E07">
        <w:t>formální náhled</w:t>
      </w:r>
      <w:r w:rsidR="00D22BDB" w:rsidRPr="003D1E07">
        <w:t>“</w:t>
      </w:r>
      <w:r w:rsidR="00035EA2" w:rsidRPr="003D1E07">
        <w:t xml:space="preserve"> (</w:t>
      </w:r>
      <w:r w:rsidR="00035EA2" w:rsidRPr="003D1E07">
        <w:rPr>
          <w:i/>
          <w:iCs/>
        </w:rPr>
        <w:t>formale Anzeige</w:t>
      </w:r>
      <w:r w:rsidR="08441BC5" w:rsidRPr="003D1E07">
        <w:rPr>
          <w:i/>
        </w:rPr>
        <w:fldChar w:fldCharType="begin"/>
      </w:r>
      <w:r w:rsidR="08441BC5" w:rsidRPr="003D1E07">
        <w:instrText xml:space="preserve"> XE "vidění:</w:instrText>
      </w:r>
      <w:r w:rsidR="08441BC5" w:rsidRPr="003D1E07">
        <w:rPr>
          <w:i/>
        </w:rPr>
        <w:instrText>formale Anzeige</w:instrText>
      </w:r>
      <w:r w:rsidR="08441BC5" w:rsidRPr="003D1E07">
        <w:instrText xml:space="preserve">" </w:instrText>
      </w:r>
      <w:r w:rsidR="08441BC5" w:rsidRPr="003D1E07">
        <w:rPr>
          <w:i/>
        </w:rPr>
        <w:fldChar w:fldCharType="end"/>
      </w:r>
      <w:r w:rsidR="00F50FD9" w:rsidRPr="003D1E07">
        <w:t>)</w:t>
      </w:r>
      <w:r w:rsidR="08441BC5" w:rsidRPr="003D1E07">
        <w:t>. Užívání a vlastnění všeho kolem nás se děje v rámci prvotního nasměřování k takto uchopenému jsoucnu (</w:t>
      </w:r>
      <w:r w:rsidR="08441BC5" w:rsidRPr="003D1E07">
        <w:rPr>
          <w:i/>
          <w:iCs/>
        </w:rPr>
        <w:t>Vorhabe</w:t>
      </w:r>
      <w:r w:rsidR="08441BC5" w:rsidRPr="003D1E07">
        <w:rPr>
          <w:i/>
        </w:rPr>
        <w:fldChar w:fldCharType="begin"/>
      </w:r>
      <w:r w:rsidR="08441BC5" w:rsidRPr="003D1E07">
        <w:instrText xml:space="preserve"> XE "</w:instrText>
      </w:r>
      <w:r w:rsidR="08441BC5" w:rsidRPr="003D1E07">
        <w:rPr>
          <w:i/>
        </w:rPr>
        <w:instrText>Vorhabe</w:instrText>
      </w:r>
      <w:r w:rsidR="08441BC5" w:rsidRPr="003D1E07">
        <w:instrText xml:space="preserve">" </w:instrText>
      </w:r>
      <w:r w:rsidR="08441BC5" w:rsidRPr="003D1E07">
        <w:rPr>
          <w:i/>
        </w:rPr>
        <w:fldChar w:fldCharType="end"/>
      </w:r>
      <w:r w:rsidR="08441BC5" w:rsidRPr="003D1E07">
        <w:t>)</w:t>
      </w:r>
      <w:r w:rsidR="00035EA2" w:rsidRPr="003D1E07">
        <w:t xml:space="preserve">. </w:t>
      </w:r>
      <w:r w:rsidR="089A1033" w:rsidRPr="003D1E07">
        <w:t xml:space="preserve">Směr pohledu na celek jsoucího v každodenním obstarávání není přímo vykazatelný. Vidíme pouze to, co se přímo a objektivně ukazuje ustaranému nebo vědeckému pohledu. </w:t>
      </w:r>
      <w:r w:rsidR="086010F5" w:rsidRPr="003D1E07">
        <w:rPr>
          <w:rFonts w:eastAsia="AGaramondPro-Italic"/>
        </w:rPr>
        <w:t>Z</w:t>
      </w:r>
      <w:r w:rsidR="086010F5" w:rsidRPr="003D1E07">
        <w:t>jevující dráha pohledu na jsoucno</w:t>
      </w:r>
      <w:r w:rsidR="086010F5" w:rsidRPr="003D1E07">
        <w:rPr>
          <w:i/>
        </w:rPr>
        <w:fldChar w:fldCharType="begin"/>
      </w:r>
      <w:r w:rsidR="086010F5" w:rsidRPr="003D1E07">
        <w:instrText xml:space="preserve"> XE "vidění:jsoucna" </w:instrText>
      </w:r>
      <w:r w:rsidR="086010F5" w:rsidRPr="003D1E07">
        <w:rPr>
          <w:i/>
        </w:rPr>
        <w:fldChar w:fldCharType="end"/>
      </w:r>
      <w:r w:rsidR="086010F5" w:rsidRPr="003D1E07">
        <w:t xml:space="preserve"> jako „toto zde“ </w:t>
      </w:r>
      <w:r w:rsidR="00A95F15" w:rsidRPr="003D1E07">
        <w:t xml:space="preserve">ale </w:t>
      </w:r>
      <w:r w:rsidR="086010F5" w:rsidRPr="003D1E07">
        <w:t xml:space="preserve">obsahuje </w:t>
      </w:r>
      <w:r w:rsidR="004B11B1" w:rsidRPr="003D1E07">
        <w:t xml:space="preserve">i </w:t>
      </w:r>
      <w:r w:rsidR="086010F5" w:rsidRPr="003D1E07">
        <w:t>skrytou rovinu porozumění, které určuje smysl jsoucna v jeho nejrůznějších formách: metafyzické, existenciální, každodenní, či objektivně-kritické na způsob Kanta. Výklad musí ukázat fundamentální způsob, „jak“ (</w:t>
      </w:r>
      <w:r w:rsidR="086010F5" w:rsidRPr="003D1E07">
        <w:rPr>
          <w:i/>
        </w:rPr>
        <w:t>Wie</w:t>
      </w:r>
      <w:r w:rsidR="086010F5" w:rsidRPr="003D1E07">
        <w:t>)</w:t>
      </w:r>
      <w:r w:rsidR="086010F5" w:rsidRPr="003D1E07">
        <w:rPr>
          <w:i/>
        </w:rPr>
        <w:t xml:space="preserve"> </w:t>
      </w:r>
      <w:r w:rsidR="086010F5" w:rsidRPr="003D1E07">
        <w:rPr>
          <w:i/>
        </w:rPr>
        <w:fldChar w:fldCharType="begin"/>
      </w:r>
      <w:r w:rsidR="086010F5" w:rsidRPr="003D1E07">
        <w:instrText xml:space="preserve"> XE "hermeneutické </w:instrText>
      </w:r>
      <w:r w:rsidR="086010F5" w:rsidRPr="003D1E07">
        <w:rPr>
          <w:i/>
        </w:rPr>
        <w:instrText>Wie</w:instrText>
      </w:r>
      <w:r w:rsidR="086010F5" w:rsidRPr="003D1E07">
        <w:instrText xml:space="preserve">:Heidegger" </w:instrText>
      </w:r>
      <w:r w:rsidR="086010F5" w:rsidRPr="003D1E07">
        <w:rPr>
          <w:i/>
        </w:rPr>
        <w:fldChar w:fldCharType="end"/>
      </w:r>
      <w:r w:rsidR="086010F5" w:rsidRPr="003D1E07">
        <w:t xml:space="preserve">se jsoucno ukazuje </w:t>
      </w:r>
      <w:r w:rsidR="00841109" w:rsidRPr="003D1E07">
        <w:t xml:space="preserve">skrze </w:t>
      </w:r>
      <w:r w:rsidR="086010F5" w:rsidRPr="003D1E07">
        <w:t>každodenní</w:t>
      </w:r>
      <w:r w:rsidR="00841109" w:rsidRPr="003D1E07">
        <w:t xml:space="preserve"> obstarávání, vědecké</w:t>
      </w:r>
      <w:r w:rsidR="086010F5" w:rsidRPr="003D1E07">
        <w:t xml:space="preserve"> zkoumání, </w:t>
      </w:r>
      <w:r w:rsidR="00F72F5F">
        <w:t xml:space="preserve">nebo </w:t>
      </w:r>
      <w:r w:rsidR="086010F5" w:rsidRPr="003D1E07">
        <w:t>mediální manipulace.</w:t>
      </w:r>
    </w:p>
    <w:p w14:paraId="08FF8427" w14:textId="77777777" w:rsidR="00B633DB" w:rsidRPr="003D1E07" w:rsidRDefault="000D3EBD" w:rsidP="00D41478">
      <w:pPr>
        <w:pStyle w:val="Citace"/>
        <w:rPr>
          <w:noProof/>
          <w:lang w:val="cs-CZ"/>
        </w:rPr>
      </w:pPr>
      <w:r w:rsidRPr="003D1E07">
        <w:rPr>
          <w:noProof/>
          <w:lang w:val="cs-CZ"/>
        </w:rPr>
        <w:t>„</w:t>
      </w:r>
      <w:r w:rsidR="008C6443" w:rsidRPr="003D1E07">
        <w:rPr>
          <w:noProof/>
          <w:lang w:val="cs-CZ"/>
        </w:rPr>
        <w:t xml:space="preserve">Hlavně je </w:t>
      </w:r>
      <w:r w:rsidR="08613EB1" w:rsidRPr="003D1E07">
        <w:rPr>
          <w:noProof/>
          <w:lang w:val="cs-CZ"/>
        </w:rPr>
        <w:t xml:space="preserve">však </w:t>
      </w:r>
      <w:r w:rsidR="008C6443" w:rsidRPr="003D1E07">
        <w:rPr>
          <w:noProof/>
          <w:lang w:val="cs-CZ"/>
        </w:rPr>
        <w:t xml:space="preserve">třeba </w:t>
      </w:r>
      <w:r w:rsidR="00762534" w:rsidRPr="003D1E07">
        <w:rPr>
          <w:noProof/>
          <w:lang w:val="cs-CZ"/>
        </w:rPr>
        <w:t>přivést akt porozumění</w:t>
      </w:r>
      <w:r w:rsidR="0010360E" w:rsidRPr="003D1E07">
        <w:rPr>
          <w:noProof/>
          <w:lang w:val="cs-CZ"/>
        </w:rPr>
        <w:t xml:space="preserve"> od jeho </w:t>
      </w:r>
      <w:r w:rsidR="006F2572" w:rsidRPr="003D1E07">
        <w:rPr>
          <w:noProof/>
          <w:lang w:val="cs-CZ"/>
        </w:rPr>
        <w:t>nejasných</w:t>
      </w:r>
      <w:r w:rsidR="00AC093E" w:rsidRPr="003D1E07">
        <w:rPr>
          <w:noProof/>
          <w:lang w:val="cs-CZ"/>
        </w:rPr>
        <w:t>, ale vždy nějak pochope</w:t>
      </w:r>
      <w:r w:rsidR="00FF0195" w:rsidRPr="003D1E07">
        <w:rPr>
          <w:noProof/>
          <w:lang w:val="cs-CZ"/>
        </w:rPr>
        <w:t>ných významových obsahů</w:t>
      </w:r>
      <w:r w:rsidR="006F2572" w:rsidRPr="003D1E07">
        <w:rPr>
          <w:noProof/>
          <w:lang w:val="cs-CZ"/>
        </w:rPr>
        <w:t>,</w:t>
      </w:r>
      <w:r w:rsidR="0010360E" w:rsidRPr="003D1E07">
        <w:rPr>
          <w:noProof/>
          <w:lang w:val="cs-CZ"/>
        </w:rPr>
        <w:t xml:space="preserve"> k</w:t>
      </w:r>
      <w:r w:rsidR="000F7EC5" w:rsidRPr="003D1E07">
        <w:rPr>
          <w:noProof/>
          <w:lang w:val="cs-CZ"/>
        </w:rPr>
        <w:t>e správné</w:t>
      </w:r>
      <w:r w:rsidR="0010360E" w:rsidRPr="003D1E07">
        <w:rPr>
          <w:noProof/>
          <w:lang w:val="cs-CZ"/>
        </w:rPr>
        <w:t xml:space="preserve"> </w:t>
      </w:r>
      <w:r w:rsidR="0010360E" w:rsidRPr="003D1E07">
        <w:rPr>
          <w:i/>
          <w:noProof/>
          <w:lang w:val="cs-CZ"/>
        </w:rPr>
        <w:t>dráze náhledu</w:t>
      </w:r>
      <w:r w:rsidR="0010360E" w:rsidRPr="003D1E07">
        <w:rPr>
          <w:noProof/>
          <w:lang w:val="cs-CZ"/>
        </w:rPr>
        <w:t xml:space="preserve"> (</w:t>
      </w:r>
      <w:r w:rsidR="0010360E" w:rsidRPr="003D1E07">
        <w:rPr>
          <w:i/>
          <w:noProof/>
          <w:lang w:val="cs-CZ"/>
        </w:rPr>
        <w:t>Blickbahn</w:t>
      </w:r>
      <w:r w:rsidR="00A42614" w:rsidRPr="003D1E07">
        <w:rPr>
          <w:noProof/>
          <w:lang w:val="cs-CZ"/>
        </w:rPr>
        <w:t>)</w:t>
      </w:r>
      <w:r w:rsidR="00E03B51" w:rsidRPr="003D1E07">
        <w:rPr>
          <w:noProof/>
          <w:lang w:val="cs-CZ"/>
        </w:rPr>
        <w:t xml:space="preserve">. </w:t>
      </w:r>
      <w:r w:rsidR="00A81785" w:rsidRPr="003D1E07">
        <w:rPr>
          <w:noProof/>
          <w:lang w:val="cs-CZ"/>
        </w:rPr>
        <w:t xml:space="preserve">Uchopení </w:t>
      </w:r>
      <w:r w:rsidR="0010360E" w:rsidRPr="003D1E07">
        <w:rPr>
          <w:noProof/>
          <w:lang w:val="cs-CZ"/>
        </w:rPr>
        <w:t xml:space="preserve">této dráhy náhledu může a </w:t>
      </w:r>
      <w:r w:rsidR="0010360E" w:rsidRPr="003D1E07">
        <w:rPr>
          <w:noProof/>
          <w:lang w:val="cs-CZ"/>
        </w:rPr>
        <w:lastRenderedPageBreak/>
        <w:t>musí být průběžně podporováno odmítnutí</w:t>
      </w:r>
      <w:r w:rsidR="000F7EC5" w:rsidRPr="003D1E07">
        <w:rPr>
          <w:noProof/>
          <w:lang w:val="cs-CZ"/>
        </w:rPr>
        <w:t>m</w:t>
      </w:r>
      <w:r w:rsidR="0010360E" w:rsidRPr="003D1E07">
        <w:rPr>
          <w:noProof/>
          <w:lang w:val="cs-CZ"/>
        </w:rPr>
        <w:t xml:space="preserve"> </w:t>
      </w:r>
      <w:r w:rsidR="0010360E" w:rsidRPr="003D1E07">
        <w:rPr>
          <w:i/>
          <w:noProof/>
          <w:lang w:val="cs-CZ"/>
        </w:rPr>
        <w:t xml:space="preserve">zdánlivě </w:t>
      </w:r>
      <w:r w:rsidR="0010360E" w:rsidRPr="003D1E07">
        <w:rPr>
          <w:noProof/>
          <w:lang w:val="cs-CZ"/>
        </w:rPr>
        <w:t xml:space="preserve">podobných úhlů náhledu, které se </w:t>
      </w:r>
      <w:r w:rsidR="001D6281" w:rsidRPr="003D1E07">
        <w:rPr>
          <w:noProof/>
          <w:lang w:val="cs-CZ"/>
        </w:rPr>
        <w:t xml:space="preserve">samy od sebe vnucují </w:t>
      </w:r>
      <w:r w:rsidR="0010360E" w:rsidRPr="003D1E07">
        <w:rPr>
          <w:noProof/>
          <w:lang w:val="cs-CZ"/>
        </w:rPr>
        <w:t>tím, že ovládají danou etapu zkoumání.“</w:t>
      </w:r>
      <w:r w:rsidR="00B34A13" w:rsidRPr="003D1E07">
        <w:rPr>
          <w:noProof/>
          <w:lang w:val="cs-CZ"/>
        </w:rPr>
        <w:t xml:space="preserve"> </w:t>
      </w:r>
      <w:r w:rsidR="0010360E" w:rsidRPr="003D1E07">
        <w:rPr>
          <w:rStyle w:val="Znakapoznpodarou"/>
          <w:noProof/>
          <w:lang w:val="cs-CZ"/>
        </w:rPr>
        <w:footnoteReference w:id="4"/>
      </w:r>
    </w:p>
    <w:p w14:paraId="4D7D7FF1" w14:textId="77777777" w:rsidR="08932FED" w:rsidRPr="003D1E07" w:rsidRDefault="08C72D95" w:rsidP="08932FED">
      <w:r w:rsidRPr="003D1E07">
        <w:t xml:space="preserve">Existujeme v prostředí objektivně daného světa, v němž obstaráváme různé věci a manipulujeme se vším, co leží v našem praktickém a teoretickém dosahu. V takto dané dráze porozumění se dávají </w:t>
      </w:r>
      <w:r w:rsidR="00387A60" w:rsidRPr="003D1E07">
        <w:t xml:space="preserve">hermeneuticky </w:t>
      </w:r>
      <w:r w:rsidRPr="003D1E07">
        <w:t xml:space="preserve">poznat věci, události a blízcí lidé. </w:t>
      </w:r>
      <w:r w:rsidR="00A262C5" w:rsidRPr="003D1E07">
        <w:t>C</w:t>
      </w:r>
      <w:r w:rsidR="00762534" w:rsidRPr="003D1E07">
        <w:t>itace ukazuje první sta</w:t>
      </w:r>
      <w:r w:rsidR="00A262C5" w:rsidRPr="003D1E07">
        <w:t xml:space="preserve">dium Heideggerova celoživotního hledání skrytého dění, které určuje </w:t>
      </w:r>
      <w:r w:rsidR="08CF5E4E" w:rsidRPr="003D1E07">
        <w:t xml:space="preserve">ontickou a pozitivní danost </w:t>
      </w:r>
      <w:r w:rsidR="00A262C5" w:rsidRPr="003D1E07">
        <w:t xml:space="preserve">fenoménu. </w:t>
      </w:r>
      <w:r w:rsidR="086010F5" w:rsidRPr="003D1E07">
        <w:t xml:space="preserve">Rozdíl mezi ontickou daností fenoménu („co se ukazuje“) a mezi ontologickým způsobem této danosti („jak se to ukazuje“) považuje dílo </w:t>
      </w:r>
      <w:r w:rsidR="086010F5" w:rsidRPr="003D1E07">
        <w:rPr>
          <w:i/>
        </w:rPr>
        <w:t>Bytí a čas</w:t>
      </w:r>
      <w:r w:rsidR="086010F5" w:rsidRPr="003D1E07">
        <w:t xml:space="preserve"> za fundamentální metodický předpoklad existenciální hermeneutiky. Zavedením nové metody zkoumání fenoménu se Heidegger </w:t>
      </w:r>
      <w:r w:rsidR="086010F5" w:rsidRPr="003D1E07">
        <w:rPr>
          <w:i/>
        </w:rPr>
        <w:fldChar w:fldCharType="begin"/>
      </w:r>
      <w:r w:rsidR="086010F5" w:rsidRPr="003D1E07">
        <w:instrText xml:space="preserve"> XE "vidění:</w:instrText>
      </w:r>
      <w:r w:rsidR="086010F5" w:rsidRPr="003D1E07">
        <w:rPr>
          <w:i/>
        </w:rPr>
        <w:instrText>Blickbahn</w:instrText>
      </w:r>
      <w:r w:rsidR="086010F5" w:rsidRPr="003D1E07">
        <w:instrText xml:space="preserve">" </w:instrText>
      </w:r>
      <w:r w:rsidR="086010F5" w:rsidRPr="003D1E07">
        <w:rPr>
          <w:i/>
        </w:rPr>
        <w:fldChar w:fldCharType="end"/>
      </w:r>
      <w:r w:rsidR="086010F5" w:rsidRPr="003D1E07">
        <w:t>radikálně oddělil od Husserlovy fenomenologie</w:t>
      </w:r>
      <w:r w:rsidR="08912B9F" w:rsidRPr="003D1E07">
        <w:fldChar w:fldCharType="begin"/>
      </w:r>
      <w:r w:rsidR="08912B9F" w:rsidRPr="003D1E07">
        <w:instrText xml:space="preserve"> XE "fenomenologie " </w:instrText>
      </w:r>
      <w:r w:rsidR="08912B9F" w:rsidRPr="003D1E07">
        <w:fldChar w:fldCharType="end"/>
      </w:r>
      <w:r w:rsidR="086010F5" w:rsidRPr="003D1E07">
        <w:t xml:space="preserve"> a pak i od metafyziky.</w:t>
      </w:r>
    </w:p>
    <w:p w14:paraId="62A22E18" w14:textId="77777777" w:rsidR="08932FED" w:rsidRPr="003D1E07" w:rsidRDefault="08932FED" w:rsidP="08932FED">
      <w:pPr>
        <w:pStyle w:val="Citace"/>
        <w:rPr>
          <w:noProof/>
          <w:lang w:val="cs-CZ"/>
        </w:rPr>
      </w:pPr>
      <w:r w:rsidRPr="003D1E07">
        <w:rPr>
          <w:rFonts w:eastAsia="AGaramondPro-Regular"/>
          <w:noProof/>
          <w:szCs w:val="19"/>
          <w:lang w:val="cs-CZ"/>
        </w:rPr>
        <w:t xml:space="preserve">„Výraz ,fenomenologie‘ primárně označuje </w:t>
      </w:r>
      <w:r w:rsidRPr="003D1E07">
        <w:rPr>
          <w:rFonts w:eastAsia="AGaramondPro-Italic"/>
          <w:i/>
          <w:noProof/>
          <w:szCs w:val="19"/>
          <w:lang w:val="cs-CZ"/>
        </w:rPr>
        <w:t>metodický pojem</w:t>
      </w:r>
      <w:r w:rsidRPr="003D1E07">
        <w:rPr>
          <w:rFonts w:eastAsia="AGaramondPro-Regular"/>
          <w:noProof/>
          <w:szCs w:val="19"/>
          <w:lang w:val="cs-CZ"/>
        </w:rPr>
        <w:t>. Necharakterizuje věcné</w:t>
      </w:r>
      <w:r w:rsidRPr="003D1E07">
        <w:rPr>
          <w:rFonts w:eastAsia="AGaramondPro-Regular"/>
          <w:noProof/>
          <w:lang w:val="cs-CZ"/>
        </w:rPr>
        <w:t xml:space="preserve"> </w:t>
      </w:r>
      <w:r w:rsidRPr="003D1E07">
        <w:rPr>
          <w:rFonts w:eastAsia="AGaramondPro-Regular"/>
          <w:noProof/>
          <w:szCs w:val="19"/>
          <w:lang w:val="cs-CZ"/>
        </w:rPr>
        <w:t xml:space="preserve">určení, tj. ,co‘ jsou předmětnosti </w:t>
      </w:r>
      <w:r w:rsidRPr="003D1E07">
        <w:rPr>
          <w:rFonts w:eastAsia="Arial Unicode MS"/>
          <w:noProof/>
          <w:szCs w:val="19"/>
          <w:lang w:val="cs-CZ"/>
        </w:rPr>
        <w:t>fi</w:t>
      </w:r>
      <w:r w:rsidRPr="003D1E07">
        <w:rPr>
          <w:rFonts w:eastAsia="AGaramondPro-Regular"/>
          <w:noProof/>
          <w:szCs w:val="19"/>
          <w:lang w:val="cs-CZ"/>
        </w:rPr>
        <w:t>loso</w:t>
      </w:r>
      <w:r w:rsidRPr="003D1E07">
        <w:rPr>
          <w:rFonts w:eastAsia="Arial Unicode MS"/>
          <w:noProof/>
          <w:szCs w:val="19"/>
          <w:lang w:val="cs-CZ"/>
        </w:rPr>
        <w:t>fi</w:t>
      </w:r>
      <w:r w:rsidR="08686D13" w:rsidRPr="003D1E07">
        <w:rPr>
          <w:rFonts w:eastAsia="AGaramondPro-Regular"/>
          <w:noProof/>
          <w:szCs w:val="19"/>
          <w:lang w:val="cs-CZ"/>
        </w:rPr>
        <w:t xml:space="preserve">ckého zkoumání, ale způsob, </w:t>
      </w:r>
      <w:r w:rsidRPr="003D1E07">
        <w:rPr>
          <w:rFonts w:eastAsia="AGaramondPro-Regular"/>
          <w:noProof/>
          <w:szCs w:val="19"/>
          <w:lang w:val="cs-CZ"/>
        </w:rPr>
        <w:t>,</w:t>
      </w:r>
      <w:r w:rsidR="00762534" w:rsidRPr="003D1E07">
        <w:rPr>
          <w:rFonts w:eastAsia="AGaramondPro-Regular"/>
          <w:i/>
          <w:noProof/>
          <w:szCs w:val="19"/>
          <w:lang w:val="cs-CZ"/>
        </w:rPr>
        <w:t>j</w:t>
      </w:r>
      <w:r w:rsidRPr="003D1E07">
        <w:rPr>
          <w:rFonts w:eastAsia="AGaramondPro-Regular"/>
          <w:i/>
          <w:noProof/>
          <w:szCs w:val="19"/>
          <w:lang w:val="cs-CZ"/>
        </w:rPr>
        <w:t>ak</w:t>
      </w:r>
      <w:r w:rsidRPr="003D1E07">
        <w:rPr>
          <w:rFonts w:eastAsia="AGaramondPro-Regular"/>
          <w:noProof/>
          <w:szCs w:val="19"/>
          <w:lang w:val="cs-CZ"/>
        </w:rPr>
        <w:t xml:space="preserve">‘ </w:t>
      </w:r>
      <w:r w:rsidR="006848E9" w:rsidRPr="003D1E07">
        <w:rPr>
          <w:rFonts w:eastAsia="AGaramondPro-Regular"/>
          <w:noProof/>
          <w:szCs w:val="19"/>
          <w:lang w:val="cs-CZ"/>
        </w:rPr>
        <w:t>(</w:t>
      </w:r>
      <w:r w:rsidR="006848E9" w:rsidRPr="003D1E07">
        <w:rPr>
          <w:rFonts w:eastAsia="AGaramondPro-Regular"/>
          <w:i/>
          <w:noProof/>
          <w:szCs w:val="19"/>
          <w:lang w:val="cs-CZ"/>
        </w:rPr>
        <w:t>Wie</w:t>
      </w:r>
      <w:r w:rsidR="006848E9" w:rsidRPr="003D1E07">
        <w:rPr>
          <w:rFonts w:eastAsia="AGaramondPro-Regular"/>
          <w:noProof/>
          <w:szCs w:val="19"/>
          <w:lang w:val="cs-CZ"/>
        </w:rPr>
        <w:t>)</w:t>
      </w:r>
      <w:r w:rsidR="00F702AE" w:rsidRPr="003D1E07">
        <w:rPr>
          <w:i/>
          <w:lang w:val="cs-CZ"/>
        </w:rPr>
        <w:t xml:space="preserve"> </w:t>
      </w:r>
      <w:r w:rsidRPr="003D1E07">
        <w:rPr>
          <w:rFonts w:eastAsia="AGaramondPro-Regular"/>
          <w:noProof/>
          <w:szCs w:val="19"/>
          <w:lang w:val="cs-CZ"/>
        </w:rPr>
        <w:t>jsou dány.“</w:t>
      </w:r>
      <w:r w:rsidR="00B34A13" w:rsidRPr="003D1E07">
        <w:rPr>
          <w:rFonts w:eastAsia="AGaramondPro-Regular"/>
          <w:noProof/>
          <w:szCs w:val="19"/>
          <w:lang w:val="cs-CZ"/>
        </w:rPr>
        <w:t xml:space="preserve"> </w:t>
      </w:r>
      <w:r w:rsidRPr="003D1E07">
        <w:rPr>
          <w:rStyle w:val="Znakapoznpodarou"/>
          <w:rFonts w:eastAsia="AGaramondPro-Regular"/>
          <w:noProof/>
          <w:lang w:val="cs-CZ"/>
        </w:rPr>
        <w:footnoteReference w:id="5"/>
      </w:r>
    </w:p>
    <w:p w14:paraId="02CF3DFE" w14:textId="5B4DFE27" w:rsidR="00644E34" w:rsidRPr="003D1E07" w:rsidRDefault="088D079E" w:rsidP="00D41478">
      <w:r w:rsidRPr="003D1E07">
        <w:t>Celek světa viděný v každodenním obstarávání se nehlásí ke slovu tak, jak skutečně bytuje (</w:t>
      </w:r>
      <w:r w:rsidRPr="003D1E07">
        <w:rPr>
          <w:i/>
        </w:rPr>
        <w:t>Sich-nicht-melden der Welt</w:t>
      </w:r>
      <w:r w:rsidRPr="003D1E07">
        <w:t>, SZ 75</w:t>
      </w:r>
      <w:r w:rsidRPr="003D1E07">
        <w:rPr>
          <w:i/>
        </w:rPr>
        <w:fldChar w:fldCharType="begin"/>
      </w:r>
      <w:r w:rsidRPr="003D1E07">
        <w:instrText xml:space="preserve"> XE "Heidegger:SZ 75" </w:instrText>
      </w:r>
      <w:r w:rsidRPr="003D1E07">
        <w:rPr>
          <w:i/>
        </w:rPr>
        <w:fldChar w:fldCharType="end"/>
      </w:r>
      <w:r w:rsidRPr="003D1E07">
        <w:t xml:space="preserve">). Svět zjevený v optice objektivní starosti není pojat fundamentálně-ontologicky, ale pouze objektivně-prakticky. Například pohled na hodinky je determinován předem daným věděním o tom, co je čas. </w:t>
      </w:r>
      <w:r w:rsidR="082A4E81" w:rsidRPr="003D1E07">
        <w:t>Skrytá perspektiva starosti o čas daná z hlediska každodennosti nebo vědeckého provozu určuje p</w:t>
      </w:r>
      <w:r w:rsidR="08FB477A" w:rsidRPr="003D1E07">
        <w:t xml:space="preserve">ůvodní způsob, jak </w:t>
      </w:r>
      <w:r w:rsidR="082A4E81" w:rsidRPr="003D1E07">
        <w:t xml:space="preserve">vzniká </w:t>
      </w:r>
      <w:r w:rsidR="08FB477A" w:rsidRPr="003D1E07">
        <w:t xml:space="preserve">objektivní pojetí času. </w:t>
      </w:r>
      <w:r w:rsidR="08DA1014" w:rsidRPr="003D1E07">
        <w:t xml:space="preserve">Vědecké měření sekundy je určeno přesně definovaným počtem kmitů elektromagnetického záření, jež vzniká v atomu cesia 133. Ve skutečnosti jde o formálně stejný </w:t>
      </w:r>
      <w:r w:rsidR="005B541E" w:rsidRPr="003D1E07">
        <w:t xml:space="preserve">ontický </w:t>
      </w:r>
      <w:r w:rsidR="08DA1014" w:rsidRPr="003D1E07">
        <w:t xml:space="preserve">náhled </w:t>
      </w:r>
      <w:r w:rsidR="0852092D" w:rsidRPr="003D1E07">
        <w:t>jako je každodenní starost</w:t>
      </w:r>
      <w:r w:rsidR="08DA1014" w:rsidRPr="003D1E07">
        <w:t xml:space="preserve"> o to, co je čas. </w:t>
      </w:r>
      <w:r w:rsidR="08BD6858" w:rsidRPr="003D1E07">
        <w:t xml:space="preserve">Všichni víme na základě každodenního či vědeckého poznání času, proč máme hodinky a k čemu je máme. </w:t>
      </w:r>
      <w:r w:rsidRPr="003D1E07">
        <w:t xml:space="preserve">Hodinky </w:t>
      </w:r>
      <w:r w:rsidR="08BD6858" w:rsidRPr="003D1E07">
        <w:t xml:space="preserve">dostávají </w:t>
      </w:r>
      <w:r w:rsidR="00FE07E5" w:rsidRPr="003D1E07">
        <w:t xml:space="preserve">objektivní </w:t>
      </w:r>
      <w:r w:rsidR="08BD6858" w:rsidRPr="003D1E07">
        <w:t xml:space="preserve">smysl </w:t>
      </w:r>
      <w:r w:rsidRPr="003D1E07">
        <w:t xml:space="preserve">skrze </w:t>
      </w:r>
      <w:r w:rsidR="08BD6858" w:rsidRPr="003D1E07">
        <w:t>vědeckou nebo každodenní manipulaci s tím, „co“ je čas</w:t>
      </w:r>
      <w:r w:rsidRPr="003D1E07">
        <w:t xml:space="preserve">. </w:t>
      </w:r>
      <w:r w:rsidR="08B6788F" w:rsidRPr="003D1E07">
        <w:t xml:space="preserve">Toto </w:t>
      </w:r>
      <w:r w:rsidR="00057EA4" w:rsidRPr="003D1E07">
        <w:t xml:space="preserve">ontické </w:t>
      </w:r>
      <w:r w:rsidR="08BD6858" w:rsidRPr="003D1E07">
        <w:t xml:space="preserve">porozumění </w:t>
      </w:r>
      <w:r w:rsidR="08E60A27" w:rsidRPr="003D1E07">
        <w:t xml:space="preserve">času </w:t>
      </w:r>
      <w:r w:rsidR="00FA76B8">
        <w:t xml:space="preserve">skrývá </w:t>
      </w:r>
      <w:r w:rsidR="005B541E" w:rsidRPr="003D1E07">
        <w:t xml:space="preserve">ontologický </w:t>
      </w:r>
      <w:r w:rsidR="08BD6858" w:rsidRPr="003D1E07">
        <w:t>způsob, „jak“ (</w:t>
      </w:r>
      <w:r w:rsidR="08BD6858" w:rsidRPr="003D1E07">
        <w:rPr>
          <w:i/>
        </w:rPr>
        <w:t>Wie</w:t>
      </w:r>
      <w:r w:rsidR="08BD6858" w:rsidRPr="003D1E07">
        <w:t xml:space="preserve">) jsou hodinky dány ve své objektivitě </w:t>
      </w:r>
      <w:r w:rsidR="08E60A27" w:rsidRPr="003D1E07">
        <w:t>„</w:t>
      </w:r>
      <w:r w:rsidR="08BD6858" w:rsidRPr="003D1E07">
        <w:t>jako</w:t>
      </w:r>
      <w:r w:rsidR="08E60A27" w:rsidRPr="003D1E07">
        <w:t>“</w:t>
      </w:r>
      <w:r w:rsidR="08BD6858" w:rsidRPr="003D1E07">
        <w:t xml:space="preserve"> hodinky. </w:t>
      </w:r>
      <w:r w:rsidR="083463FB" w:rsidRPr="003D1E07">
        <w:t xml:space="preserve">Viz strukturu hermeneutického porozumění „něčeho jako </w:t>
      </w:r>
      <w:r w:rsidR="083463FB" w:rsidRPr="003D1E07">
        <w:lastRenderedPageBreak/>
        <w:t>něčeho“ (</w:t>
      </w:r>
      <w:r w:rsidR="083463FB" w:rsidRPr="003D1E07">
        <w:rPr>
          <w:i/>
        </w:rPr>
        <w:t>Als-Struktur</w:t>
      </w:r>
      <w:r w:rsidR="083463FB" w:rsidRPr="003D1E07">
        <w:t xml:space="preserve">) popsanou v díle </w:t>
      </w:r>
      <w:r w:rsidR="083463FB" w:rsidRPr="003D1E07">
        <w:rPr>
          <w:i/>
        </w:rPr>
        <w:t>Bytí a čas</w:t>
      </w:r>
      <w:r w:rsidR="083463FB" w:rsidRPr="003D1E07">
        <w:t>.</w:t>
      </w:r>
      <w:r w:rsidR="083463FB" w:rsidRPr="003D1E07">
        <w:rPr>
          <w:rStyle w:val="Znakapoznpodarou"/>
        </w:rPr>
        <w:footnoteReference w:id="6"/>
      </w:r>
      <w:r w:rsidR="083463FB" w:rsidRPr="003D1E07">
        <w:t xml:space="preserve"> Porozumění v modu ontického či objektivního </w:t>
      </w:r>
      <w:r w:rsidR="083463FB" w:rsidRPr="003D1E07">
        <w:rPr>
          <w:i/>
        </w:rPr>
        <w:t>Als</w:t>
      </w:r>
      <w:r w:rsidR="083463FB" w:rsidRPr="003D1E07">
        <w:t xml:space="preserve"> vzniká díky </w:t>
      </w:r>
      <w:r w:rsidR="08BD6858" w:rsidRPr="003D1E07">
        <w:t xml:space="preserve">skrytému </w:t>
      </w:r>
      <w:r w:rsidR="083463FB" w:rsidRPr="003D1E07">
        <w:t xml:space="preserve">náhledu na bytí jsoucna. </w:t>
      </w:r>
      <w:r w:rsidR="00A314EC" w:rsidRPr="003D1E07">
        <w:t xml:space="preserve">Hermeneutický </w:t>
      </w:r>
      <w:r w:rsidR="08ED71F0" w:rsidRPr="003D1E07">
        <w:t xml:space="preserve">výklad metafyziky </w:t>
      </w:r>
      <w:r w:rsidR="081944DE" w:rsidRPr="003D1E07">
        <w:t xml:space="preserve">chápe </w:t>
      </w:r>
      <w:r w:rsidR="007B1EC4" w:rsidRPr="003D1E07">
        <w:t xml:space="preserve">ontologické </w:t>
      </w:r>
      <w:r w:rsidR="00D632B8" w:rsidRPr="003D1E07">
        <w:t>předporozumění jsoucna</w:t>
      </w:r>
      <w:r w:rsidR="08444538" w:rsidRPr="003D1E07">
        <w:t xml:space="preserve"> jako základní perspektivu sdílenou skrze každodenní užívání věcí</w:t>
      </w:r>
      <w:r w:rsidR="08C129F4" w:rsidRPr="003D1E07">
        <w:t>,</w:t>
      </w:r>
      <w:r w:rsidR="08444538" w:rsidRPr="003D1E07">
        <w:t xml:space="preserve"> </w:t>
      </w:r>
      <w:r w:rsidR="08C129F4" w:rsidRPr="003D1E07">
        <w:t xml:space="preserve">skrze </w:t>
      </w:r>
      <w:r w:rsidR="08444538" w:rsidRPr="003D1E07">
        <w:t xml:space="preserve">styk s lidmi a skrze </w:t>
      </w:r>
      <w:r w:rsidR="00E76245" w:rsidRPr="003D1E07">
        <w:t>vědecké</w:t>
      </w:r>
      <w:r w:rsidR="08444538" w:rsidRPr="003D1E07">
        <w:t xml:space="preserve"> poznání</w:t>
      </w:r>
      <w:r w:rsidR="00D648A8" w:rsidRPr="003D1E07">
        <w:t xml:space="preserve">. </w:t>
      </w:r>
      <w:r w:rsidR="08530CCC" w:rsidRPr="003D1E07">
        <w:t>Přednášky o základních otázkách metafyziky (</w:t>
      </w:r>
      <w:r w:rsidR="00E94C32" w:rsidRPr="003D1E07">
        <w:rPr>
          <w:i/>
        </w:rPr>
        <w:t xml:space="preserve">Einführung in die Metaphysik, </w:t>
      </w:r>
      <w:r w:rsidR="08530CCC" w:rsidRPr="003D1E07">
        <w:t>letní semestr 1935) označují tuto perspektivu pohledu na jsoucno termínem „předchůdný náhled“ (</w:t>
      </w:r>
      <w:r w:rsidR="08530CCC" w:rsidRPr="003D1E07">
        <w:rPr>
          <w:i/>
        </w:rPr>
        <w:t>Vor</w:t>
      </w:r>
      <w:r w:rsidR="08530CCC" w:rsidRPr="003D1E07">
        <w:rPr>
          <w:i/>
        </w:rPr>
        <w:noBreakHyphen/>
        <w:t>b</w:t>
      </w:r>
      <w:r w:rsidR="08530CCC" w:rsidRPr="003D1E07">
        <w:rPr>
          <w:i/>
          <w:iCs/>
        </w:rPr>
        <w:t>lickbahn</w:t>
      </w:r>
      <w:r w:rsidR="08530CCC" w:rsidRPr="003D1E07">
        <w:rPr>
          <w:i/>
          <w:iCs/>
        </w:rPr>
        <w:fldChar w:fldCharType="begin"/>
      </w:r>
      <w:r w:rsidR="08530CCC" w:rsidRPr="003D1E07">
        <w:instrText xml:space="preserve"> XE "</w:instrText>
      </w:r>
      <w:r w:rsidR="08530CCC" w:rsidRPr="003D1E07">
        <w:rPr>
          <w:i/>
        </w:rPr>
        <w:instrText>Vor-b</w:instrText>
      </w:r>
      <w:r w:rsidR="08530CCC" w:rsidRPr="003D1E07">
        <w:rPr>
          <w:i/>
          <w:iCs/>
        </w:rPr>
        <w:instrText>lickbahn</w:instrText>
      </w:r>
      <w:r w:rsidR="08530CCC" w:rsidRPr="003D1E07">
        <w:instrText xml:space="preserve">" </w:instrText>
      </w:r>
      <w:r w:rsidR="08530CCC" w:rsidRPr="003D1E07">
        <w:rPr>
          <w:i/>
          <w:iCs/>
        </w:rPr>
        <w:fldChar w:fldCharType="end"/>
      </w:r>
      <w:r w:rsidR="08530CCC" w:rsidRPr="003D1E07">
        <w:rPr>
          <w:iCs/>
        </w:rPr>
        <w:t>)</w:t>
      </w:r>
      <w:r w:rsidR="08FB3A35" w:rsidRPr="003D1E07">
        <w:rPr>
          <w:iCs/>
        </w:rPr>
        <w:t>.</w:t>
      </w:r>
    </w:p>
    <w:p w14:paraId="6389E2A2" w14:textId="77777777" w:rsidR="00644E34" w:rsidRPr="003D1E07" w:rsidRDefault="00064560" w:rsidP="00D41478">
      <w:pPr>
        <w:pStyle w:val="Citace"/>
        <w:rPr>
          <w:noProof/>
          <w:lang w:val="cs-CZ"/>
        </w:rPr>
      </w:pPr>
      <w:r w:rsidRPr="003D1E07">
        <w:rPr>
          <w:rFonts w:eastAsia="AGaramondPro-Regular"/>
          <w:noProof/>
          <w:lang w:val="cs-CZ"/>
        </w:rPr>
        <w:t xml:space="preserve">„Dráha </w:t>
      </w:r>
      <w:r w:rsidR="009C370E" w:rsidRPr="003D1E07">
        <w:rPr>
          <w:rFonts w:eastAsia="AGaramondPro-Regular"/>
          <w:noProof/>
          <w:lang w:val="cs-CZ"/>
        </w:rPr>
        <w:t>porozumění</w:t>
      </w:r>
      <w:r w:rsidRPr="003D1E07">
        <w:rPr>
          <w:rFonts w:eastAsia="AGaramondPro-Regular"/>
          <w:noProof/>
          <w:lang w:val="cs-CZ"/>
        </w:rPr>
        <w:t xml:space="preserve"> musí být předem již nějak nasměrována. Toto nasměrování nazýváme </w:t>
      </w:r>
      <w:r w:rsidR="00F042D9" w:rsidRPr="003D1E07">
        <w:rPr>
          <w:rFonts w:eastAsia="AGaramondPro-Regular"/>
          <w:noProof/>
          <w:lang w:val="cs-CZ"/>
        </w:rPr>
        <w:t>,</w:t>
      </w:r>
      <w:r w:rsidR="00745AD7" w:rsidRPr="003D1E07">
        <w:rPr>
          <w:rFonts w:eastAsia="AGaramondPro-Regular"/>
          <w:noProof/>
          <w:lang w:val="cs-CZ"/>
        </w:rPr>
        <w:t>předchůdný ná</w:t>
      </w:r>
      <w:r w:rsidRPr="003D1E07">
        <w:rPr>
          <w:rFonts w:eastAsia="AGaramondPro-Regular"/>
          <w:noProof/>
          <w:lang w:val="cs-CZ"/>
        </w:rPr>
        <w:t>hled</w:t>
      </w:r>
      <w:r w:rsidR="00F042D9" w:rsidRPr="003D1E07">
        <w:rPr>
          <w:rFonts w:eastAsia="AGaramondPro-Regular"/>
          <w:noProof/>
          <w:lang w:val="cs-CZ"/>
        </w:rPr>
        <w:t>‘</w:t>
      </w:r>
      <w:r w:rsidRPr="003D1E07">
        <w:rPr>
          <w:rFonts w:eastAsia="AGaramondPro-Regular"/>
          <w:noProof/>
          <w:lang w:val="cs-CZ"/>
        </w:rPr>
        <w:t xml:space="preserve"> (</w:t>
      </w:r>
      <w:r w:rsidR="00C37F8B" w:rsidRPr="003D1E07">
        <w:rPr>
          <w:rFonts w:eastAsia="AGaramondPro-Italic"/>
          <w:i/>
          <w:noProof/>
          <w:lang w:val="cs-CZ"/>
        </w:rPr>
        <w:t>Vor</w:t>
      </w:r>
      <w:r w:rsidR="00C37F8B" w:rsidRPr="003D1E07">
        <w:rPr>
          <w:rFonts w:eastAsia="AGaramondPro-Italic"/>
          <w:i/>
          <w:noProof/>
          <w:lang w:val="cs-CZ"/>
        </w:rPr>
        <w:noBreakHyphen/>
      </w:r>
      <w:r w:rsidRPr="003D1E07">
        <w:rPr>
          <w:rFonts w:eastAsia="AGaramondPro-Italic"/>
          <w:i/>
          <w:noProof/>
          <w:lang w:val="cs-CZ"/>
        </w:rPr>
        <w:t>blickbahn</w:t>
      </w:r>
      <w:r w:rsidR="08CC69B0" w:rsidRPr="003D1E07">
        <w:rPr>
          <w:rFonts w:eastAsia="AGaramondPro-Italic"/>
          <w:noProof/>
          <w:lang w:val="cs-CZ"/>
        </w:rPr>
        <w:t>)</w:t>
      </w:r>
      <w:r w:rsidRPr="003D1E07">
        <w:rPr>
          <w:rFonts w:eastAsia="AGaramondPro-Regular"/>
          <w:noProof/>
          <w:lang w:val="cs-CZ"/>
        </w:rPr>
        <w:t xml:space="preserve"> neboli ,perspektiva‘. Tím se ukáže následující: bytí není chápáno v nějaké</w:t>
      </w:r>
      <w:r w:rsidR="08650D98" w:rsidRPr="003D1E07">
        <w:rPr>
          <w:rFonts w:eastAsia="AGaramondPro-Regular"/>
          <w:noProof/>
          <w:lang w:val="cs-CZ"/>
        </w:rPr>
        <w:t xml:space="preserve">m neurčitém způsobu, ale vždy už </w:t>
      </w:r>
      <w:r w:rsidRPr="003D1E07">
        <w:rPr>
          <w:rFonts w:eastAsia="AGaramondPro-Regular"/>
          <w:noProof/>
          <w:lang w:val="cs-CZ"/>
        </w:rPr>
        <w:t>existuje porozumění bytí, které se pohybuje v určité dráze náhledu.“</w:t>
      </w:r>
      <w:bookmarkStart w:id="10" w:name="_Ref391145174"/>
      <w:r w:rsidR="00B34A13" w:rsidRPr="003D1E07">
        <w:rPr>
          <w:rFonts w:eastAsia="AGaramondPro-Regular"/>
          <w:noProof/>
          <w:lang w:val="cs-CZ"/>
        </w:rPr>
        <w:t xml:space="preserve"> </w:t>
      </w:r>
      <w:r w:rsidR="006971AF" w:rsidRPr="003D1E07">
        <w:rPr>
          <w:rStyle w:val="Znakapoznpodarou"/>
          <w:rFonts w:eastAsia="AGaramondPro-Regular"/>
          <w:noProof/>
          <w:lang w:val="cs-CZ"/>
        </w:rPr>
        <w:footnoteReference w:id="7"/>
      </w:r>
      <w:bookmarkEnd w:id="10"/>
    </w:p>
    <w:p w14:paraId="6D979ED5" w14:textId="77777777" w:rsidR="002F410B" w:rsidRDefault="00EF7BEF" w:rsidP="08180752">
      <w:pPr>
        <w:rPr>
          <w:rFonts w:eastAsia="AGaramondPro-Italic"/>
        </w:rPr>
      </w:pPr>
      <w:r w:rsidRPr="003D1E07">
        <w:t>Přecho</w:t>
      </w:r>
      <w:r w:rsidR="08D86A98" w:rsidRPr="003D1E07">
        <w:t xml:space="preserve">d </w:t>
      </w:r>
      <w:r w:rsidR="00185AFA" w:rsidRPr="003D1E07">
        <w:t xml:space="preserve">Nietzscheova perspektivismu </w:t>
      </w:r>
      <w:r w:rsidR="003050C4" w:rsidRPr="003D1E07">
        <w:t>k</w:t>
      </w:r>
      <w:r w:rsidR="00185AFA" w:rsidRPr="003D1E07">
        <w:t> </w:t>
      </w:r>
      <w:r w:rsidR="006F4B81" w:rsidRPr="003D1E07">
        <w:t xml:space="preserve">ontologické </w:t>
      </w:r>
      <w:r w:rsidRPr="003D1E07">
        <w:t xml:space="preserve">verzi </w:t>
      </w:r>
      <w:r w:rsidR="00C67E6B" w:rsidRPr="003D1E07">
        <w:rPr>
          <w:i/>
        </w:rPr>
        <w:t>Vor-blickbahn</w:t>
      </w:r>
      <w:r w:rsidR="00C67E6B" w:rsidRPr="003D1E07">
        <w:t xml:space="preserve"> </w:t>
      </w:r>
      <w:r w:rsidRPr="003D1E07">
        <w:rPr>
          <w:rFonts w:eastAsia="AGaramondPro-Italic"/>
        </w:rPr>
        <w:t xml:space="preserve">ukazuje </w:t>
      </w:r>
      <w:r w:rsidR="00877D10" w:rsidRPr="003D1E07">
        <w:rPr>
          <w:rFonts w:eastAsia="AGaramondPro-Italic"/>
        </w:rPr>
        <w:t xml:space="preserve">zásadní </w:t>
      </w:r>
      <w:r w:rsidRPr="003D1E07">
        <w:rPr>
          <w:rFonts w:eastAsia="AGaramondPro-Italic"/>
        </w:rPr>
        <w:t xml:space="preserve">obrat v </w:t>
      </w:r>
      <w:r w:rsidR="006F4B81" w:rsidRPr="003D1E07">
        <w:rPr>
          <w:rFonts w:eastAsia="AGaramondPro-Italic"/>
        </w:rPr>
        <w:t xml:space="preserve">hermeneutickém myšlení. Heidegger postoupil </w:t>
      </w:r>
      <w:r w:rsidR="0003167E" w:rsidRPr="003D1E07">
        <w:rPr>
          <w:rFonts w:eastAsia="AGaramondPro-Italic"/>
        </w:rPr>
        <w:t xml:space="preserve">od porozumění </w:t>
      </w:r>
      <w:r w:rsidR="08616966" w:rsidRPr="003D1E07">
        <w:rPr>
          <w:rFonts w:eastAsia="AGaramondPro-Italic"/>
        </w:rPr>
        <w:t xml:space="preserve">světu skrze hermeneutiku </w:t>
      </w:r>
      <w:r w:rsidR="0003167E" w:rsidRPr="003D1E07">
        <w:rPr>
          <w:rFonts w:eastAsia="AGaramondPro-Italic"/>
          <w:i/>
        </w:rPr>
        <w:t>Dasein</w:t>
      </w:r>
      <w:r w:rsidR="0003167E" w:rsidRPr="003D1E07">
        <w:rPr>
          <w:rFonts w:eastAsia="AGaramondPro-Italic"/>
        </w:rPr>
        <w:t xml:space="preserve"> </w:t>
      </w:r>
      <w:r w:rsidRPr="003D1E07">
        <w:rPr>
          <w:rFonts w:eastAsia="AGaramondPro-Italic"/>
        </w:rPr>
        <w:t>k</w:t>
      </w:r>
      <w:r w:rsidR="08616966" w:rsidRPr="003D1E07">
        <w:rPr>
          <w:rFonts w:eastAsia="AGaramondPro-Italic"/>
        </w:rPr>
        <w:t> základnímu způsobu</w:t>
      </w:r>
      <w:r w:rsidR="08B81407" w:rsidRPr="003D1E07">
        <w:rPr>
          <w:rFonts w:eastAsia="AGaramondPro-Italic"/>
        </w:rPr>
        <w:t>, jak</w:t>
      </w:r>
      <w:r w:rsidRPr="003D1E07">
        <w:rPr>
          <w:rFonts w:eastAsia="AGaramondPro-Italic"/>
        </w:rPr>
        <w:t xml:space="preserve"> </w:t>
      </w:r>
      <w:r w:rsidR="082C6DC0" w:rsidRPr="003D1E07">
        <w:rPr>
          <w:rFonts w:eastAsia="AGaramondPro-Italic"/>
        </w:rPr>
        <w:t xml:space="preserve">se </w:t>
      </w:r>
      <w:r w:rsidRPr="003D1E07">
        <w:rPr>
          <w:rFonts w:eastAsia="AGaramondPro-Italic"/>
        </w:rPr>
        <w:t xml:space="preserve">dává </w:t>
      </w:r>
      <w:r w:rsidR="008B5BC3" w:rsidRPr="003D1E07">
        <w:rPr>
          <w:rFonts w:eastAsia="AGaramondPro-Italic"/>
        </w:rPr>
        <w:t xml:space="preserve">bytí u </w:t>
      </w:r>
      <w:r w:rsidR="0006796F" w:rsidRPr="003D1E07">
        <w:rPr>
          <w:rFonts w:eastAsia="AGaramondPro-Italic"/>
        </w:rPr>
        <w:t>prvních filosofů</w:t>
      </w:r>
      <w:r w:rsidR="006362EF" w:rsidRPr="003D1E07">
        <w:rPr>
          <w:rFonts w:eastAsia="AGaramondPro-Italic"/>
        </w:rPr>
        <w:t xml:space="preserve"> v podobě </w:t>
      </w:r>
      <w:r w:rsidR="006362EF" w:rsidRPr="003D1E07">
        <w:rPr>
          <w:rFonts w:eastAsia="AGaramondPro-Italic"/>
          <w:i/>
        </w:rPr>
        <w:t>Da-sein</w:t>
      </w:r>
      <w:r w:rsidR="08B47901" w:rsidRPr="003D1E07">
        <w:rPr>
          <w:rFonts w:eastAsia="AGaramondPro-Italic"/>
        </w:rPr>
        <w:t xml:space="preserve">. </w:t>
      </w:r>
      <w:r w:rsidR="088C108A" w:rsidRPr="003D1E07">
        <w:t>T</w:t>
      </w:r>
      <w:r w:rsidR="00C63B39" w:rsidRPr="003D1E07">
        <w:t>ato</w:t>
      </w:r>
      <w:r w:rsidR="006678CA" w:rsidRPr="003D1E07">
        <w:t xml:space="preserve"> dějinnost samotného bytí </w:t>
      </w:r>
      <w:r w:rsidR="00487711" w:rsidRPr="003D1E07">
        <w:t>dala vzniknout metafyzice</w:t>
      </w:r>
      <w:r w:rsidR="004B276D" w:rsidRPr="003D1E07">
        <w:t xml:space="preserve"> jako specifické</w:t>
      </w:r>
      <w:r w:rsidR="00487711" w:rsidRPr="003D1E07">
        <w:t>mu</w:t>
      </w:r>
      <w:r w:rsidR="004B276D" w:rsidRPr="003D1E07">
        <w:t xml:space="preserve"> porozumění jsoucna. V</w:t>
      </w:r>
      <w:r w:rsidR="00C02599" w:rsidRPr="003D1E07">
        <w:t xml:space="preserve">znik </w:t>
      </w:r>
      <w:r w:rsidR="006678CA" w:rsidRPr="003D1E07">
        <w:t xml:space="preserve">metafyziky </w:t>
      </w:r>
      <w:r w:rsidR="00C02599" w:rsidRPr="003D1E07">
        <w:t xml:space="preserve">mění </w:t>
      </w:r>
      <w:r w:rsidR="088C108A" w:rsidRPr="003D1E07">
        <w:t xml:space="preserve">dějiny filosofie a </w:t>
      </w:r>
      <w:r w:rsidR="00C02599" w:rsidRPr="003D1E07">
        <w:t xml:space="preserve">tato změna určená </w:t>
      </w:r>
      <w:r w:rsidR="00A95641" w:rsidRPr="003D1E07">
        <w:t xml:space="preserve">jako církevní, teologické a ideologické </w:t>
      </w:r>
      <w:r w:rsidR="00773445" w:rsidRPr="003D1E07">
        <w:t xml:space="preserve">faktum </w:t>
      </w:r>
      <w:r w:rsidR="00A95641" w:rsidRPr="003D1E07">
        <w:t xml:space="preserve">utváří </w:t>
      </w:r>
      <w:r w:rsidR="088C108A" w:rsidRPr="003D1E07">
        <w:t xml:space="preserve">historii Západu. </w:t>
      </w:r>
      <w:r w:rsidR="08313F5C" w:rsidRPr="003D1E07">
        <w:t xml:space="preserve">Metodologické pořadí zkoumání </w:t>
      </w:r>
      <w:r w:rsidR="00CF1C58" w:rsidRPr="003D1E07">
        <w:t>jde od ontologického</w:t>
      </w:r>
      <w:r w:rsidR="004609B8" w:rsidRPr="003D1E07">
        <w:t xml:space="preserve"> fenoménu k ontickému a </w:t>
      </w:r>
      <w:r w:rsidR="00F75855" w:rsidRPr="003D1E07">
        <w:t xml:space="preserve">tím </w:t>
      </w:r>
      <w:r w:rsidR="00CF1C58" w:rsidRPr="003D1E07">
        <w:t xml:space="preserve">je etablován postup </w:t>
      </w:r>
      <w:r w:rsidR="00F75855" w:rsidRPr="003D1E07">
        <w:t>kritické hermeneutiky. P</w:t>
      </w:r>
      <w:r w:rsidR="08313F5C" w:rsidRPr="003D1E07">
        <w:t>rimárně zjevující skryté dění dává to, co je sekundárně zjeveno. Změnou předchůdné drá</w:t>
      </w:r>
      <w:r w:rsidR="00397165" w:rsidRPr="003D1E07">
        <w:t>hy náhledu vznikl nový</w:t>
      </w:r>
      <w:r w:rsidR="00995872" w:rsidRPr="003D1E07">
        <w:t xml:space="preserve"> dějinný smysl bytí metafyzického jsoucna</w:t>
      </w:r>
      <w:r w:rsidR="08313F5C" w:rsidRPr="003D1E07">
        <w:t>, kter</w:t>
      </w:r>
      <w:r w:rsidR="00995872" w:rsidRPr="003D1E07">
        <w:t>ý</w:t>
      </w:r>
      <w:r w:rsidR="08313F5C" w:rsidRPr="003D1E07">
        <w:t xml:space="preserve"> </w:t>
      </w:r>
      <w:r w:rsidR="008022FD" w:rsidRPr="003D1E07">
        <w:t xml:space="preserve">se </w:t>
      </w:r>
      <w:r w:rsidR="08313F5C" w:rsidRPr="003D1E07">
        <w:t xml:space="preserve">manifestuje </w:t>
      </w:r>
      <w:r w:rsidR="008022FD" w:rsidRPr="003D1E07">
        <w:t xml:space="preserve">jako </w:t>
      </w:r>
      <w:r w:rsidR="0003455A" w:rsidRPr="003D1E07">
        <w:t>objektiv</w:t>
      </w:r>
      <w:r w:rsidR="00464BF6" w:rsidRPr="003D1E07">
        <w:t xml:space="preserve">ní </w:t>
      </w:r>
      <w:r w:rsidR="00307B00" w:rsidRPr="003D1E07">
        <w:t>význam</w:t>
      </w:r>
      <w:r w:rsidR="08313F5C" w:rsidRPr="003D1E07">
        <w:t xml:space="preserve">. </w:t>
      </w:r>
      <w:r w:rsidR="00091DC4" w:rsidRPr="003D1E07">
        <w:t xml:space="preserve">Takto založené jsoucno </w:t>
      </w:r>
      <w:r w:rsidR="00D22FEC" w:rsidRPr="003D1E07">
        <w:t>je nutné zkoumat skrze ontologický způsob</w:t>
      </w:r>
      <w:r w:rsidR="0096290E" w:rsidRPr="003D1E07">
        <w:t>,</w:t>
      </w:r>
      <w:r w:rsidR="00D22FEC" w:rsidRPr="003D1E07">
        <w:t xml:space="preserve"> „jak“ </w:t>
      </w:r>
      <w:r w:rsidR="00D419C2" w:rsidRPr="003D1E07">
        <w:t xml:space="preserve">přišlo ke </w:t>
      </w:r>
      <w:r w:rsidR="00872271" w:rsidRPr="003D1E07">
        <w:t xml:space="preserve">k „takto“ (tj. dějinně) založenému smyslu </w:t>
      </w:r>
      <w:r w:rsidR="00D419C2" w:rsidRPr="003D1E07">
        <w:t>bytí</w:t>
      </w:r>
      <w:r w:rsidR="00D22FEC" w:rsidRPr="003D1E07">
        <w:t xml:space="preserve">. </w:t>
      </w:r>
      <w:r w:rsidR="08854D3F" w:rsidRPr="003D1E07">
        <w:t xml:space="preserve">Objektivní smysl věcí vzniká změnou základního předporozumění toho, jak se jsoucno zjevuje. </w:t>
      </w:r>
      <w:r w:rsidR="08313F5C" w:rsidRPr="003D1E07">
        <w:t>Smysl objektivity vzniká v určité konstelaci metafyziky, která je první vědou zkoumající bytí jsoucna. Zjevování smyslu jsoucna v</w:t>
      </w:r>
      <w:r w:rsidR="00BB6CFE" w:rsidRPr="003D1E07">
        <w:t xml:space="preserve"> ontologickém </w:t>
      </w:r>
      <w:r w:rsidR="08313F5C" w:rsidRPr="003D1E07">
        <w:t xml:space="preserve">rámci </w:t>
      </w:r>
      <w:r w:rsidR="00DF32BD" w:rsidRPr="003D1E07">
        <w:t>„</w:t>
      </w:r>
      <w:r w:rsidR="00DF32BD" w:rsidRPr="003D1E07">
        <w:rPr>
          <w:i/>
        </w:rPr>
        <w:t>als-Struktur</w:t>
      </w:r>
      <w:r w:rsidR="00DF32BD" w:rsidRPr="003D1E07">
        <w:t xml:space="preserve">“ </w:t>
      </w:r>
      <w:r w:rsidR="08313F5C" w:rsidRPr="003D1E07">
        <w:t xml:space="preserve">zakládá </w:t>
      </w:r>
      <w:r w:rsidR="00BB6CFE" w:rsidRPr="003D1E07">
        <w:t xml:space="preserve">ontický </w:t>
      </w:r>
      <w:r w:rsidR="08313F5C" w:rsidRPr="003D1E07">
        <w:t xml:space="preserve">smysl toho, co je objektivita jako </w:t>
      </w:r>
      <w:r w:rsidR="00E82EE4" w:rsidRPr="003D1E07">
        <w:t xml:space="preserve">pozitivně </w:t>
      </w:r>
      <w:r w:rsidR="00E82EE4" w:rsidRPr="003D1E07">
        <w:rPr>
          <w:szCs w:val="24"/>
        </w:rPr>
        <w:t>(</w:t>
      </w:r>
      <w:r w:rsidR="0075708D" w:rsidRPr="003D1E07">
        <w:rPr>
          <w:szCs w:val="24"/>
        </w:rPr>
        <w:t>t.j.</w:t>
      </w:r>
      <w:r w:rsidR="00E82EE4" w:rsidRPr="003D1E07">
        <w:rPr>
          <w:szCs w:val="24"/>
        </w:rPr>
        <w:t xml:space="preserve"> </w:t>
      </w:r>
      <w:r w:rsidR="00924215">
        <w:rPr>
          <w:szCs w:val="24"/>
        </w:rPr>
        <w:t xml:space="preserve">filosoficky, </w:t>
      </w:r>
      <w:r w:rsidR="00E82EE4" w:rsidRPr="003D1E07">
        <w:rPr>
          <w:szCs w:val="24"/>
        </w:rPr>
        <w:t>neopositi</w:t>
      </w:r>
      <w:r w:rsidR="0075708D" w:rsidRPr="003D1E07">
        <w:rPr>
          <w:szCs w:val="24"/>
        </w:rPr>
        <w:t>vistic</w:t>
      </w:r>
      <w:r w:rsidR="00E82EE4" w:rsidRPr="003D1E07">
        <w:rPr>
          <w:szCs w:val="24"/>
        </w:rPr>
        <w:t xml:space="preserve">ky, </w:t>
      </w:r>
      <w:r w:rsidR="002D790C" w:rsidRPr="003D1E07">
        <w:rPr>
          <w:szCs w:val="24"/>
        </w:rPr>
        <w:t xml:space="preserve">teologicky, </w:t>
      </w:r>
      <w:r w:rsidR="00E82EE4" w:rsidRPr="003D1E07">
        <w:rPr>
          <w:szCs w:val="24"/>
        </w:rPr>
        <w:t xml:space="preserve">strukturálně, vědecky, ideologicky, epistemologicky atd.) </w:t>
      </w:r>
      <w:r w:rsidR="007F3DC8" w:rsidRPr="003D1E07">
        <w:rPr>
          <w:szCs w:val="24"/>
        </w:rPr>
        <w:t xml:space="preserve">určená danost </w:t>
      </w:r>
      <w:r w:rsidR="003F352F" w:rsidRPr="003D1E07">
        <w:t>„něčeho</w:t>
      </w:r>
      <w:r w:rsidR="00DF32BD" w:rsidRPr="003D1E07">
        <w:t xml:space="preserve"> jako něčeho</w:t>
      </w:r>
      <w:r w:rsidR="003F352F" w:rsidRPr="003D1E07">
        <w:t>“</w:t>
      </w:r>
      <w:r w:rsidR="08313F5C" w:rsidRPr="003D1E07">
        <w:t xml:space="preserve">. </w:t>
      </w:r>
      <w:r w:rsidR="08016E6B" w:rsidRPr="003D1E07">
        <w:t xml:space="preserve">Bez </w:t>
      </w:r>
      <w:r w:rsidR="08016E6B" w:rsidRPr="003D1E07">
        <w:lastRenderedPageBreak/>
        <w:t xml:space="preserve">předchůdně dané dráhy náhledu na celek jsoucna by nemohl vzniknout žádný </w:t>
      </w:r>
      <w:r w:rsidR="00B71D82">
        <w:t xml:space="preserve">ontický </w:t>
      </w:r>
      <w:r w:rsidR="08016E6B" w:rsidRPr="003D1E07">
        <w:t>smysl zde a nyní zjeveného jsoucna.</w:t>
      </w:r>
      <w:r w:rsidR="000535D8" w:rsidRPr="003D1E07">
        <w:t xml:space="preserve"> </w:t>
      </w:r>
      <w:r w:rsidR="08825D7A" w:rsidRPr="003D1E07">
        <w:rPr>
          <w:rFonts w:eastAsia="AGaramondPro-Italic"/>
        </w:rPr>
        <w:t xml:space="preserve">Skrytá dráha náhledu na smysl jsoucna není totéž, jako objektivní význam utvořený v této </w:t>
      </w:r>
      <w:r w:rsidR="08952B77" w:rsidRPr="003D1E07">
        <w:rPr>
          <w:rFonts w:eastAsia="AGaramondPro-Italic"/>
        </w:rPr>
        <w:t>pers</w:t>
      </w:r>
      <w:r w:rsidR="002F410B">
        <w:rPr>
          <w:rFonts w:eastAsia="AGaramondPro-Italic"/>
        </w:rPr>
        <w:t>pektivě.</w:t>
      </w:r>
    </w:p>
    <w:p w14:paraId="3E892C02" w14:textId="6CB5382E" w:rsidR="00F94FF7" w:rsidRDefault="088C108A" w:rsidP="002F410B">
      <w:pPr>
        <w:ind w:firstLine="397"/>
      </w:pPr>
      <w:r w:rsidRPr="003D1E07">
        <w:t xml:space="preserve">Změněný </w:t>
      </w:r>
      <w:r w:rsidR="08952B77" w:rsidRPr="003D1E07">
        <w:t xml:space="preserve">pohled na </w:t>
      </w:r>
      <w:r w:rsidR="08CA6430" w:rsidRPr="003D1E07">
        <w:t xml:space="preserve">fenomenální konstituci </w:t>
      </w:r>
      <w:r w:rsidRPr="003D1E07">
        <w:t xml:space="preserve">jsoucna </w:t>
      </w:r>
      <w:r w:rsidR="00413C25" w:rsidRPr="003D1E07">
        <w:t xml:space="preserve">v jeho původní podobě pravdy a bytí </w:t>
      </w:r>
      <w:r w:rsidR="08F83BF4" w:rsidRPr="003D1E07">
        <w:t>má zásadní význam pro kritické zkoumání objektivity. H</w:t>
      </w:r>
      <w:r w:rsidR="083463FB" w:rsidRPr="003D1E07">
        <w:rPr>
          <w:rFonts w:eastAsia="AGaramondPro-Italic"/>
        </w:rPr>
        <w:t>ermeneutika musí vyjít ze zajetí předsudků daných objektivní formou myšlení</w:t>
      </w:r>
      <w:r w:rsidRPr="003D1E07">
        <w:rPr>
          <w:rFonts w:eastAsia="AGaramondPro-Italic"/>
        </w:rPr>
        <w:t xml:space="preserve">. </w:t>
      </w:r>
      <w:r w:rsidR="08366688" w:rsidRPr="003D1E07">
        <w:rPr>
          <w:rFonts w:eastAsia="AGaramondPro-Italic"/>
        </w:rPr>
        <w:t xml:space="preserve">Ontická metafyzika </w:t>
      </w:r>
      <w:r w:rsidR="00FC4DDC" w:rsidRPr="003D1E07">
        <w:rPr>
          <w:rFonts w:eastAsia="AGaramondPro-Italic"/>
        </w:rPr>
        <w:t>není souměřitelná</w:t>
      </w:r>
      <w:r w:rsidR="08184115" w:rsidRPr="003D1E07">
        <w:rPr>
          <w:rFonts w:eastAsia="AGaramondPro-Italic"/>
        </w:rPr>
        <w:t xml:space="preserve"> </w:t>
      </w:r>
      <w:r w:rsidR="00A11775" w:rsidRPr="003D1E07">
        <w:rPr>
          <w:rFonts w:eastAsia="AGaramondPro-Italic"/>
        </w:rPr>
        <w:t>s fundamen</w:t>
      </w:r>
      <w:r w:rsidR="00FC4DDC" w:rsidRPr="003D1E07">
        <w:rPr>
          <w:rFonts w:eastAsia="AGaramondPro-Italic"/>
        </w:rPr>
        <w:t>t</w:t>
      </w:r>
      <w:r w:rsidR="00A11775" w:rsidRPr="003D1E07">
        <w:rPr>
          <w:rFonts w:eastAsia="AGaramondPro-Italic"/>
        </w:rPr>
        <w:t>ální herm</w:t>
      </w:r>
      <w:r w:rsidR="006B295F" w:rsidRPr="003D1E07">
        <w:rPr>
          <w:rFonts w:eastAsia="AGaramondPro-Italic"/>
        </w:rPr>
        <w:t>eneu</w:t>
      </w:r>
      <w:r w:rsidR="00A11775" w:rsidRPr="003D1E07">
        <w:rPr>
          <w:rFonts w:eastAsia="AGaramondPro-Italic"/>
        </w:rPr>
        <w:t>tikou. Jejich výsledky se n</w:t>
      </w:r>
      <w:r w:rsidR="08184115" w:rsidRPr="003D1E07">
        <w:rPr>
          <w:rFonts w:eastAsia="AGaramondPro-Italic"/>
        </w:rPr>
        <w:t xml:space="preserve">edají </w:t>
      </w:r>
      <w:r w:rsidR="00A11775" w:rsidRPr="003D1E07">
        <w:rPr>
          <w:rFonts w:eastAsia="AGaramondPro-Italic"/>
        </w:rPr>
        <w:t xml:space="preserve">převést z jedné formy </w:t>
      </w:r>
      <w:r w:rsidR="08184115" w:rsidRPr="003D1E07">
        <w:rPr>
          <w:rFonts w:eastAsia="AGaramondPro-Italic"/>
        </w:rPr>
        <w:t xml:space="preserve">na druhou, protože nemají stejné pojetí pravdy. Pravda daná odkrytostí fenoménu </w:t>
      </w:r>
      <w:r w:rsidR="088634EF" w:rsidRPr="003D1E07">
        <w:rPr>
          <w:rFonts w:eastAsia="AGaramondPro-Italic"/>
        </w:rPr>
        <w:t>(</w:t>
      </w:r>
      <w:r w:rsidR="080B4FD4" w:rsidRPr="003D1E07">
        <w:rPr>
          <w:rFonts w:eastAsia="AGaramondPro-Italic"/>
        </w:rPr>
        <w:t xml:space="preserve">tj. </w:t>
      </w:r>
      <w:r w:rsidR="088634EF" w:rsidRPr="003D1E07">
        <w:rPr>
          <w:rFonts w:eastAsia="AGaramondPro-Italic"/>
        </w:rPr>
        <w:t xml:space="preserve">způsob, jak je dán) </w:t>
      </w:r>
      <w:r w:rsidR="08184115" w:rsidRPr="003D1E07">
        <w:rPr>
          <w:rFonts w:eastAsia="AGaramondPro-Italic"/>
        </w:rPr>
        <w:t>není totéž jako pr</w:t>
      </w:r>
      <w:r w:rsidR="088634EF" w:rsidRPr="003D1E07">
        <w:rPr>
          <w:rFonts w:eastAsia="AGaramondPro-Italic"/>
        </w:rPr>
        <w:t>avda takto odkry</w:t>
      </w:r>
      <w:r w:rsidR="08184115" w:rsidRPr="003D1E07">
        <w:rPr>
          <w:rFonts w:eastAsia="AGaramondPro-Italic"/>
        </w:rPr>
        <w:t>tého fenoménu</w:t>
      </w:r>
      <w:r w:rsidR="088634EF" w:rsidRPr="003D1E07">
        <w:rPr>
          <w:rFonts w:eastAsia="AGaramondPro-Italic"/>
        </w:rPr>
        <w:t xml:space="preserve"> (</w:t>
      </w:r>
      <w:r w:rsidR="080B4FD4" w:rsidRPr="003D1E07">
        <w:rPr>
          <w:rFonts w:eastAsia="AGaramondPro-Italic"/>
        </w:rPr>
        <w:t xml:space="preserve">tj. </w:t>
      </w:r>
      <w:r w:rsidR="088634EF" w:rsidRPr="003D1E07">
        <w:rPr>
          <w:rFonts w:eastAsia="AGaramondPro-Italic"/>
        </w:rPr>
        <w:t>objektivní faktum toho, co je dáno)</w:t>
      </w:r>
      <w:r w:rsidR="08184115" w:rsidRPr="003D1E07">
        <w:rPr>
          <w:rFonts w:eastAsia="AGaramondPro-Italic"/>
        </w:rPr>
        <w:t xml:space="preserve">. </w:t>
      </w:r>
      <w:r w:rsidR="086E0BE5" w:rsidRPr="003D1E07">
        <w:rPr>
          <w:rFonts w:eastAsia="AGaramondPro-Italic"/>
        </w:rPr>
        <w:t xml:space="preserve">Hermeneutický náhled na metafyzické </w:t>
      </w:r>
      <w:r w:rsidR="086E0BE5" w:rsidRPr="003D1E07">
        <w:rPr>
          <w:rFonts w:eastAsia="AGaramondPro-Italic"/>
          <w:i/>
        </w:rPr>
        <w:t>factum</w:t>
      </w:r>
      <w:r w:rsidR="086E0BE5" w:rsidRPr="003D1E07">
        <w:rPr>
          <w:rFonts w:eastAsia="AGaramondPro-Italic"/>
        </w:rPr>
        <w:t xml:space="preserve"> a </w:t>
      </w:r>
      <w:r w:rsidR="086E0BE5" w:rsidRPr="003D1E07">
        <w:rPr>
          <w:rFonts w:eastAsia="AGaramondPro-Italic"/>
          <w:i/>
        </w:rPr>
        <w:t>positum</w:t>
      </w:r>
      <w:r w:rsidR="086E0BE5" w:rsidRPr="003D1E07">
        <w:rPr>
          <w:rFonts w:eastAsia="AGaramondPro-Italic"/>
        </w:rPr>
        <w:t xml:space="preserve"> </w:t>
      </w:r>
      <w:r w:rsidR="009B4E8A">
        <w:rPr>
          <w:rFonts w:eastAsia="AGaramondPro-Italic"/>
        </w:rPr>
        <w:t xml:space="preserve">je výsledek, </w:t>
      </w:r>
      <w:r w:rsidR="00151B97" w:rsidRPr="003D1E07">
        <w:rPr>
          <w:rFonts w:eastAsia="AGaramondPro-Italic"/>
        </w:rPr>
        <w:t>a ne cesta</w:t>
      </w:r>
      <w:r w:rsidR="004A17EF">
        <w:rPr>
          <w:rFonts w:eastAsia="AGaramondPro-Italic"/>
        </w:rPr>
        <w:t xml:space="preserve"> myšlení</w:t>
      </w:r>
      <w:r w:rsidR="00151B97" w:rsidRPr="003D1E07">
        <w:rPr>
          <w:rFonts w:eastAsia="AGaramondPro-Italic"/>
        </w:rPr>
        <w:t xml:space="preserve">. Moderní subjektivní </w:t>
      </w:r>
      <w:r w:rsidR="00F759CC" w:rsidRPr="003D1E07">
        <w:rPr>
          <w:rFonts w:eastAsia="AGaramondPro-Italic"/>
        </w:rPr>
        <w:t xml:space="preserve">fondaci </w:t>
      </w:r>
      <w:r w:rsidR="00151B97" w:rsidRPr="003D1E07">
        <w:rPr>
          <w:rFonts w:eastAsia="AGaramondPro-Italic"/>
        </w:rPr>
        <w:t xml:space="preserve">jsoucna danou onticky </w:t>
      </w:r>
      <w:r w:rsidR="086E0BE5" w:rsidRPr="003D1E07">
        <w:rPr>
          <w:rFonts w:eastAsia="AGaramondPro-Italic"/>
        </w:rPr>
        <w:t xml:space="preserve">není možné </w:t>
      </w:r>
      <w:r w:rsidR="00151B97" w:rsidRPr="003D1E07">
        <w:rPr>
          <w:rFonts w:eastAsia="AGaramondPro-Italic"/>
        </w:rPr>
        <w:t xml:space="preserve">převést do </w:t>
      </w:r>
      <w:r w:rsidR="00F759CC" w:rsidRPr="003D1E07">
        <w:rPr>
          <w:rFonts w:eastAsia="AGaramondPro-Italic"/>
        </w:rPr>
        <w:t>ont</w:t>
      </w:r>
      <w:r w:rsidR="00151B97" w:rsidRPr="003D1E07">
        <w:rPr>
          <w:rFonts w:eastAsia="AGaramondPro-Italic"/>
        </w:rPr>
        <w:t>ologi</w:t>
      </w:r>
      <w:r w:rsidR="00F759CC" w:rsidRPr="003D1E07">
        <w:rPr>
          <w:rFonts w:eastAsia="AGaramondPro-Italic"/>
        </w:rPr>
        <w:t xml:space="preserve">ckého </w:t>
      </w:r>
      <w:r w:rsidR="086E0BE5" w:rsidRPr="003D1E07">
        <w:rPr>
          <w:rFonts w:eastAsia="AGaramondPro-Italic"/>
        </w:rPr>
        <w:t xml:space="preserve">výkladu. </w:t>
      </w:r>
      <w:r w:rsidR="00F759CC" w:rsidRPr="003D1E07">
        <w:rPr>
          <w:rFonts w:eastAsia="AGaramondPro-Italic"/>
        </w:rPr>
        <w:t xml:space="preserve">Hermeneutický </w:t>
      </w:r>
      <w:r w:rsidR="003428FA" w:rsidRPr="003D1E07">
        <w:rPr>
          <w:rFonts w:eastAsia="AGaramondPro-Italic"/>
        </w:rPr>
        <w:t>tro</w:t>
      </w:r>
      <w:r w:rsidR="001008A8">
        <w:rPr>
          <w:rFonts w:eastAsia="AGaramondPro-Italic"/>
        </w:rPr>
        <w:t>j</w:t>
      </w:r>
      <w:r w:rsidR="003428FA" w:rsidRPr="003D1E07">
        <w:rPr>
          <w:rFonts w:eastAsia="AGaramondPro-Italic"/>
        </w:rPr>
        <w:t>úhelník (dějinnost bytí, dějiny smyslu jsoucna v metafyzice, historie objektivity v </w:t>
      </w:r>
      <w:r w:rsidR="003428FA" w:rsidRPr="003D1E07">
        <w:rPr>
          <w:rFonts w:eastAsia="AGaramondPro-Italic"/>
          <w:i/>
        </w:rPr>
        <w:t>metaphysica generalis</w:t>
      </w:r>
      <w:r w:rsidR="003428FA" w:rsidRPr="003D1E07">
        <w:rPr>
          <w:rFonts w:eastAsia="AGaramondPro-Italic"/>
        </w:rPr>
        <w:t xml:space="preserve">) </w:t>
      </w:r>
      <w:r w:rsidR="00F759CC" w:rsidRPr="003D1E07">
        <w:rPr>
          <w:rFonts w:eastAsia="AGaramondPro-Italic"/>
        </w:rPr>
        <w:t xml:space="preserve">není </w:t>
      </w:r>
      <w:r w:rsidR="00F759CC" w:rsidRPr="003D1E07">
        <w:rPr>
          <w:rFonts w:eastAsia="AGaramondPro-Italic"/>
          <w:i/>
        </w:rPr>
        <w:t>circulus vitiosus</w:t>
      </w:r>
      <w:r w:rsidR="00F759CC" w:rsidRPr="003D1E07">
        <w:rPr>
          <w:rFonts w:eastAsia="AGaramondPro-Italic"/>
          <w:i/>
        </w:rPr>
        <w:fldChar w:fldCharType="begin"/>
      </w:r>
      <w:r w:rsidR="00F759CC" w:rsidRPr="003D1E07">
        <w:instrText xml:space="preserve"> XE "</w:instrText>
      </w:r>
      <w:r w:rsidR="00F759CC" w:rsidRPr="003D1E07">
        <w:rPr>
          <w:rFonts w:eastAsia="AGaramondPro-Italic"/>
          <w:i/>
        </w:rPr>
        <w:instrText>circulus vitiosus</w:instrText>
      </w:r>
      <w:r w:rsidR="00F759CC" w:rsidRPr="003D1E07">
        <w:instrText xml:space="preserve">" </w:instrText>
      </w:r>
      <w:r w:rsidR="00F759CC" w:rsidRPr="003D1E07">
        <w:rPr>
          <w:rFonts w:eastAsia="AGaramondPro-Italic"/>
          <w:i/>
        </w:rPr>
        <w:fldChar w:fldCharType="end"/>
      </w:r>
      <w:r w:rsidR="00F759CC" w:rsidRPr="003D1E07">
        <w:rPr>
          <w:rFonts w:eastAsia="AGaramondPro-Italic"/>
        </w:rPr>
        <w:t xml:space="preserve"> </w:t>
      </w:r>
      <w:r w:rsidR="00065EAD" w:rsidRPr="003D1E07">
        <w:rPr>
          <w:rFonts w:eastAsia="AGaramondPro-Italic"/>
        </w:rPr>
        <w:t xml:space="preserve">pozitivisticky vykázané </w:t>
      </w:r>
      <w:r w:rsidR="00F759CC" w:rsidRPr="003D1E07">
        <w:rPr>
          <w:rFonts w:eastAsia="AGaramondPro-Italic"/>
        </w:rPr>
        <w:t xml:space="preserve">objektivity. </w:t>
      </w:r>
      <w:r w:rsidR="08EB19A8" w:rsidRPr="003D1E07">
        <w:rPr>
          <w:rFonts w:eastAsia="AGaramondPro-Italic"/>
        </w:rPr>
        <w:t xml:space="preserve">Hermeneutika se nezabývá tím, </w:t>
      </w:r>
      <w:r w:rsidR="08813EDC" w:rsidRPr="003D1E07">
        <w:rPr>
          <w:rFonts w:eastAsia="AGaramondPro-Italic"/>
        </w:rPr>
        <w:t>„co“ je objektivita</w:t>
      </w:r>
      <w:r w:rsidRPr="003D1E07">
        <w:rPr>
          <w:rFonts w:eastAsia="AGaramondPro-Italic"/>
        </w:rPr>
        <w:t>, protože p</w:t>
      </w:r>
      <w:r w:rsidR="080A5951" w:rsidRPr="003D1E07">
        <w:rPr>
          <w:rFonts w:eastAsia="AGaramondPro-Italic"/>
        </w:rPr>
        <w:t>ravdivý p</w:t>
      </w:r>
      <w:r w:rsidR="00AC1977" w:rsidRPr="003D1E07">
        <w:t xml:space="preserve">ohled </w:t>
      </w:r>
      <w:r w:rsidRPr="003D1E07">
        <w:t xml:space="preserve">nemůže začít u </w:t>
      </w:r>
      <w:r w:rsidR="08F649FE" w:rsidRPr="003D1E07">
        <w:t>objektivní</w:t>
      </w:r>
      <w:r w:rsidRPr="003D1E07">
        <w:t>ho jsoucna</w:t>
      </w:r>
      <w:r w:rsidR="08D165DF" w:rsidRPr="003D1E07">
        <w:t xml:space="preserve">. </w:t>
      </w:r>
      <w:r w:rsidR="08EB19A8" w:rsidRPr="003D1E07">
        <w:t xml:space="preserve">U </w:t>
      </w:r>
      <w:r w:rsidR="0866150D" w:rsidRPr="003D1E07">
        <w:t xml:space="preserve">dějinně a historicky </w:t>
      </w:r>
      <w:r w:rsidR="08117EEC" w:rsidRPr="003D1E07">
        <w:t>konstituované</w:t>
      </w:r>
      <w:r w:rsidR="0866150D" w:rsidRPr="003D1E07">
        <w:t xml:space="preserve">ho smyslu </w:t>
      </w:r>
      <w:r w:rsidR="08EB19A8" w:rsidRPr="003D1E07">
        <w:t xml:space="preserve">objektivity musí výklad hermeneutiky </w:t>
      </w:r>
      <w:r w:rsidR="00E53F84" w:rsidRPr="003D1E07">
        <w:t xml:space="preserve">naopak </w:t>
      </w:r>
      <w:r w:rsidR="08EB19A8" w:rsidRPr="003D1E07">
        <w:t>končit, protože ta</w:t>
      </w:r>
      <w:r w:rsidR="00B927F5" w:rsidRPr="003D1E07">
        <w:t>m nastupují moderní ontické vědy</w:t>
      </w:r>
      <w:r w:rsidR="08EB19A8" w:rsidRPr="003D1E07">
        <w:t xml:space="preserve">. </w:t>
      </w:r>
      <w:r w:rsidR="080A5951" w:rsidRPr="003D1E07">
        <w:t>Výklad hledá původní odkrytost celku jsoucna, která ustavuje fenomén objektivity v</w:t>
      </w:r>
      <w:r w:rsidR="00B927F5" w:rsidRPr="003D1E07">
        <w:t xml:space="preserve"> historii </w:t>
      </w:r>
      <w:r w:rsidR="080A5951" w:rsidRPr="003D1E07">
        <w:t>myšlení</w:t>
      </w:r>
      <w:r w:rsidR="00B927F5" w:rsidRPr="003D1E07">
        <w:t xml:space="preserve"> tvořícího základní </w:t>
      </w:r>
      <w:r w:rsidR="00B927F5" w:rsidRPr="003D1E07">
        <w:rPr>
          <w:i/>
        </w:rPr>
        <w:t>Weltanschauung</w:t>
      </w:r>
      <w:r w:rsidR="00B927F5" w:rsidRPr="003D1E07">
        <w:t xml:space="preserve"> Západu</w:t>
      </w:r>
      <w:r w:rsidR="080A5951" w:rsidRPr="003D1E07">
        <w:t xml:space="preserve">. </w:t>
      </w:r>
      <w:r w:rsidR="089839B4" w:rsidRPr="003D1E07">
        <w:t xml:space="preserve">Pořadí zjevování má zásadní charakter, protože bez zjevujícího dění není zjevený fenomén. </w:t>
      </w:r>
      <w:r w:rsidR="08DE1BEF" w:rsidRPr="003D1E07">
        <w:t xml:space="preserve">Předchůdná dráha náhledu na smysl jsoucna popisuje způsob, jak se jsoucno ustavuje v objektivní podobě. </w:t>
      </w:r>
      <w:r w:rsidR="0817799C" w:rsidRPr="003D1E07">
        <w:t xml:space="preserve">Tuto zásadní danost jsoucna </w:t>
      </w:r>
      <w:r w:rsidR="086700C2" w:rsidRPr="003D1E07">
        <w:t xml:space="preserve">jako objektivní entity </w:t>
      </w:r>
      <w:r w:rsidR="0817799C" w:rsidRPr="003D1E07">
        <w:t xml:space="preserve">brání </w:t>
      </w:r>
      <w:r w:rsidR="089969C2" w:rsidRPr="003D1E07">
        <w:t xml:space="preserve">Aristotelova věta </w:t>
      </w:r>
      <w:r w:rsidR="0817799C" w:rsidRPr="003D1E07">
        <w:t xml:space="preserve">o </w:t>
      </w:r>
      <w:r w:rsidR="089969C2" w:rsidRPr="003D1E07">
        <w:t xml:space="preserve">metafyzické </w:t>
      </w:r>
      <w:r w:rsidR="0817799C" w:rsidRPr="003D1E07">
        <w:t xml:space="preserve">identitě substance (A=A). </w:t>
      </w:r>
      <w:r w:rsidR="08A76BD1" w:rsidRPr="003D1E07">
        <w:t>Objek</w:t>
      </w:r>
      <w:r w:rsidR="08871E95" w:rsidRPr="003D1E07">
        <w:t>tivně z</w:t>
      </w:r>
      <w:r w:rsidR="08047DC5" w:rsidRPr="003D1E07">
        <w:t>jev</w:t>
      </w:r>
      <w:r w:rsidR="082566A3" w:rsidRPr="003D1E07">
        <w:t xml:space="preserve">ené </w:t>
      </w:r>
      <w:r w:rsidR="08A76BD1" w:rsidRPr="003D1E07">
        <w:t>jsoucno</w:t>
      </w:r>
      <w:r w:rsidR="08871E95" w:rsidRPr="003D1E07">
        <w:t xml:space="preserve"> </w:t>
      </w:r>
      <w:r w:rsidR="082566A3" w:rsidRPr="003D1E07">
        <w:t>nemá žádnou možnost, jak by mohlo zpětně ovlivn</w:t>
      </w:r>
      <w:r w:rsidR="080C243C" w:rsidRPr="003D1E07">
        <w:t>it původní ante-</w:t>
      </w:r>
      <w:r w:rsidR="08871E95" w:rsidRPr="003D1E07">
        <w:t xml:space="preserve">objektivní </w:t>
      </w:r>
      <w:r w:rsidR="087A3A7A" w:rsidRPr="003D1E07">
        <w:t xml:space="preserve">způsob </w:t>
      </w:r>
      <w:r w:rsidR="08E86958" w:rsidRPr="003D1E07">
        <w:t xml:space="preserve">svého </w:t>
      </w:r>
      <w:r w:rsidR="08047DC5" w:rsidRPr="003D1E07">
        <w:t>zjevování</w:t>
      </w:r>
      <w:r w:rsidR="082566A3" w:rsidRPr="003D1E07">
        <w:t xml:space="preserve">. </w:t>
      </w:r>
      <w:r w:rsidR="0817799C" w:rsidRPr="003D1E07">
        <w:t xml:space="preserve">Nikdo nemůže změnit okolnosti svého narození. </w:t>
      </w:r>
      <w:r w:rsidR="089A3209" w:rsidRPr="003D1E07">
        <w:t xml:space="preserve">Co je jednou dáno, to už </w:t>
      </w:r>
      <w:r w:rsidR="08292ECF" w:rsidRPr="003D1E07">
        <w:t xml:space="preserve">je nutně </w:t>
      </w:r>
      <w:r w:rsidR="089A3209" w:rsidRPr="003D1E07">
        <w:t>tím, čím je</w:t>
      </w:r>
      <w:r w:rsidR="00796BD3" w:rsidRPr="003D1E07">
        <w:t xml:space="preserve"> </w:t>
      </w:r>
      <w:r w:rsidR="00C4676C">
        <w:t xml:space="preserve">takto založená </w:t>
      </w:r>
      <w:r w:rsidR="00796BD3" w:rsidRPr="003D1E07">
        <w:t>existence</w:t>
      </w:r>
      <w:r w:rsidR="089A3209" w:rsidRPr="003D1E07">
        <w:t xml:space="preserve">. </w:t>
      </w:r>
      <w:r w:rsidR="08BB22E6" w:rsidRPr="003D1E07">
        <w:t xml:space="preserve">Objektivistický předsudek </w:t>
      </w:r>
      <w:r w:rsidR="00C934E5">
        <w:t xml:space="preserve">stojí </w:t>
      </w:r>
      <w:r w:rsidR="08BB22E6" w:rsidRPr="003D1E07">
        <w:t xml:space="preserve">na mylné představě, že bytí </w:t>
      </w:r>
      <w:r w:rsidR="085F3A99" w:rsidRPr="003D1E07">
        <w:t xml:space="preserve">jednotlivého </w:t>
      </w:r>
      <w:r w:rsidR="08D37E6E" w:rsidRPr="003D1E07">
        <w:t xml:space="preserve">jsoucna má stejný způsob pravdivosti </w:t>
      </w:r>
      <w:r w:rsidR="08BB22E6" w:rsidRPr="003D1E07">
        <w:t xml:space="preserve">jako zjevující dění, které umožnilo jeho vznik. </w:t>
      </w:r>
      <w:r w:rsidR="0817799C" w:rsidRPr="003D1E07">
        <w:t xml:space="preserve">Vztah k ante-objektivní podobě pravdy </w:t>
      </w:r>
      <w:r w:rsidR="00003ED0" w:rsidRPr="003D1E07">
        <w:t xml:space="preserve">a bytí </w:t>
      </w:r>
      <w:r w:rsidR="0817799C" w:rsidRPr="003D1E07">
        <w:t xml:space="preserve">zásadně odlišuje hermeneutiku od objektivistické filosofie a od historie pozitivních věd. </w:t>
      </w:r>
      <w:r w:rsidR="0828135F" w:rsidRPr="003D1E07">
        <w:t>Pohled na ontickou substanci nevypovídá celou pravdu o tom, jak se substance zjevuje v původní podobě pravd</w:t>
      </w:r>
      <w:r w:rsidR="080C59E9" w:rsidRPr="003D1E07">
        <w:t xml:space="preserve">y. </w:t>
      </w:r>
      <w:r w:rsidR="081B7767" w:rsidRPr="003D1E07">
        <w:t xml:space="preserve">Falešný </w:t>
      </w:r>
      <w:r w:rsidR="081B7767" w:rsidRPr="003D1E07">
        <w:rPr>
          <w:i/>
        </w:rPr>
        <w:t>modus ponens</w:t>
      </w:r>
      <w:r w:rsidR="081B7767" w:rsidRPr="003D1E07">
        <w:rPr>
          <w:i/>
        </w:rPr>
        <w:fldChar w:fldCharType="begin"/>
      </w:r>
      <w:r w:rsidR="081B7767" w:rsidRPr="003D1E07">
        <w:instrText xml:space="preserve"> XE "</w:instrText>
      </w:r>
      <w:r w:rsidR="081B7767" w:rsidRPr="003D1E07">
        <w:rPr>
          <w:i/>
        </w:rPr>
        <w:instrText>modus ponens</w:instrText>
      </w:r>
      <w:r w:rsidR="081B7767" w:rsidRPr="003D1E07">
        <w:instrText xml:space="preserve">" </w:instrText>
      </w:r>
      <w:r w:rsidR="081B7767" w:rsidRPr="003D1E07">
        <w:rPr>
          <w:i/>
        </w:rPr>
        <w:fldChar w:fldCharType="end"/>
      </w:r>
      <w:r w:rsidR="081B7767" w:rsidRPr="003D1E07">
        <w:t xml:space="preserve"> </w:t>
      </w:r>
      <w:r w:rsidR="08D37E6E" w:rsidRPr="003D1E07">
        <w:t xml:space="preserve">objektivismu </w:t>
      </w:r>
      <w:r w:rsidR="081B7767" w:rsidRPr="003D1E07">
        <w:t xml:space="preserve">je </w:t>
      </w:r>
      <w:r w:rsidR="08393AB6" w:rsidRPr="003D1E07">
        <w:t xml:space="preserve">prakticky </w:t>
      </w:r>
      <w:r w:rsidR="00913E0E" w:rsidRPr="003D1E07">
        <w:t>správný</w:t>
      </w:r>
      <w:r w:rsidR="081B7767" w:rsidRPr="003D1E07">
        <w:t xml:space="preserve">, ale není </w:t>
      </w:r>
      <w:r w:rsidR="08393AB6" w:rsidRPr="003D1E07">
        <w:t xml:space="preserve">filosoficky </w:t>
      </w:r>
      <w:r w:rsidR="081B7767" w:rsidRPr="003D1E07">
        <w:t xml:space="preserve">pravdivý. </w:t>
      </w:r>
      <w:r w:rsidR="08AD0FA6" w:rsidRPr="003D1E07">
        <w:t xml:space="preserve">Původní moudrost Sokrata odmítla technické myšlení jeho současníků jako nedostatečně pravdivé. </w:t>
      </w:r>
      <w:r w:rsidR="08511548" w:rsidRPr="003D1E07">
        <w:t xml:space="preserve">Heidegger připomíná hermeneutice, že její </w:t>
      </w:r>
      <w:r w:rsidR="08511548" w:rsidRPr="003D1E07">
        <w:lastRenderedPageBreak/>
        <w:t>původní poslání není ve výkladu, ale v pobývání u zdroje božské zvěsti a v naslouchání její původní pravdě.</w:t>
      </w:r>
      <w:r w:rsidR="08511548" w:rsidRPr="003D1E07">
        <w:rPr>
          <w:rStyle w:val="Znakapoznpodarou"/>
        </w:rPr>
        <w:footnoteReference w:id="8"/>
      </w:r>
      <w:r w:rsidR="08511548" w:rsidRPr="003D1E07">
        <w:t xml:space="preserve"> Hermeneutika objektivity jde z tohoto zásadního důvodu od objektivní substance k původnímu dění, které zakládá zjevování jsoucna</w:t>
      </w:r>
      <w:r w:rsidR="08121A8E" w:rsidRPr="003D1E07">
        <w:t xml:space="preserve"> v jeho objektivně daném smyslu</w:t>
      </w:r>
      <w:r w:rsidR="08511548" w:rsidRPr="003D1E07">
        <w:t xml:space="preserve">. </w:t>
      </w:r>
      <w:r w:rsidR="00E24072" w:rsidRPr="003D1E07">
        <w:t>J</w:t>
      </w:r>
      <w:r w:rsidR="00103533" w:rsidRPr="003D1E07">
        <w:t>s</w:t>
      </w:r>
      <w:r w:rsidR="00E24072" w:rsidRPr="003D1E07">
        <w:t xml:space="preserve">oucno dostalo nový smysl v obratu metafyziky známého jako </w:t>
      </w:r>
      <w:r w:rsidR="00E24072" w:rsidRPr="003D1E07">
        <w:rPr>
          <w:i/>
        </w:rPr>
        <w:t>via Modernorum</w:t>
      </w:r>
      <w:r w:rsidR="00E24072" w:rsidRPr="003D1E07">
        <w:t xml:space="preserve">. </w:t>
      </w:r>
      <w:r w:rsidR="005D5A63" w:rsidRPr="003D1E07">
        <w:t>Dějinnost bytí je skrytá hybná síla, která utváří dějiny metafyziky. Vyjití pravdy z původní múzické po-odkrytosti (</w:t>
      </w:r>
      <w:r w:rsidR="005D5A63" w:rsidRPr="003D1E07">
        <w:rPr>
          <w:i/>
        </w:rPr>
        <w:t>a/létheia</w:t>
      </w:r>
      <w:r w:rsidR="005D5A63" w:rsidRPr="003D1E07">
        <w:rPr>
          <w:i/>
        </w:rPr>
        <w:fldChar w:fldCharType="begin"/>
      </w:r>
      <w:r w:rsidR="005D5A63" w:rsidRPr="003D1E07">
        <w:instrText xml:space="preserve"> XE "</w:instrText>
      </w:r>
      <w:r w:rsidR="005D5A63" w:rsidRPr="003D1E07">
        <w:rPr>
          <w:i/>
        </w:rPr>
        <w:instrText>a/létheia</w:instrText>
      </w:r>
      <w:r w:rsidR="005D5A63" w:rsidRPr="003D1E07">
        <w:instrText xml:space="preserve">" </w:instrText>
      </w:r>
      <w:r w:rsidR="005D5A63" w:rsidRPr="003D1E07">
        <w:rPr>
          <w:i/>
        </w:rPr>
        <w:fldChar w:fldCharType="end"/>
      </w:r>
      <w:r w:rsidR="005D5A63" w:rsidRPr="003D1E07">
        <w:t>) do ontologické odkrytosti (</w:t>
      </w:r>
      <w:r w:rsidR="005D5A63" w:rsidRPr="003D1E07">
        <w:rPr>
          <w:i/>
        </w:rPr>
        <w:t>alétheia</w:t>
      </w:r>
      <w:r w:rsidR="000718B2">
        <w:t xml:space="preserve">) vytváří epochální </w:t>
      </w:r>
      <w:r w:rsidR="005D5A63" w:rsidRPr="003D1E07">
        <w:t xml:space="preserve">dějiny filosofie. Teprve ve druhém kroku vytváří jsoucno skrze objektivní </w:t>
      </w:r>
      <w:r w:rsidR="005D5A63" w:rsidRPr="003D1E07">
        <w:rPr>
          <w:i/>
        </w:rPr>
        <w:t>veritas</w:t>
      </w:r>
      <w:r w:rsidR="005D5A63" w:rsidRPr="003D1E07">
        <w:t xml:space="preserve"> historicky účinnou objektivitu jako to, „co“ působí jako pozitivní faktum v historicky pojat</w:t>
      </w:r>
      <w:r w:rsidR="00F94FF7">
        <w:t>ých dějinách ontické filosofie.</w:t>
      </w:r>
    </w:p>
    <w:p w14:paraId="3BC844E2" w14:textId="2F6A1501" w:rsidR="0856496A" w:rsidRPr="003D1E07" w:rsidRDefault="00BD4E20" w:rsidP="00F94FF7">
      <w:pPr>
        <w:ind w:firstLine="397"/>
        <w:rPr>
          <w:lang w:eastAsia="en-US"/>
        </w:rPr>
      </w:pPr>
      <w:r w:rsidRPr="003D1E07">
        <w:rPr>
          <w:lang w:eastAsia="en-US"/>
        </w:rPr>
        <w:t>Z</w:t>
      </w:r>
      <w:r w:rsidRPr="003D1E07">
        <w:t xml:space="preserve">koumání musí začít u </w:t>
      </w:r>
      <w:r w:rsidR="081D629C" w:rsidRPr="003D1E07">
        <w:t xml:space="preserve">výkladu události, která změnila </w:t>
      </w:r>
      <w:r w:rsidR="08944CB5" w:rsidRPr="003D1E07">
        <w:t xml:space="preserve">původní pojetí </w:t>
      </w:r>
      <w:r w:rsidR="081D629C" w:rsidRPr="003D1E07">
        <w:t xml:space="preserve">pravdy na její metafyzickou podobu. </w:t>
      </w:r>
      <w:r w:rsidR="088B53B3" w:rsidRPr="003D1E07">
        <w:t>D</w:t>
      </w:r>
      <w:r w:rsidR="088B53B3" w:rsidRPr="003D1E07">
        <w:rPr>
          <w:lang w:eastAsia="en-US"/>
        </w:rPr>
        <w:t xml:space="preserve">onace pravdy skrze původní formu přítomnosti bytí </w:t>
      </w:r>
      <w:r w:rsidR="00DE74CF">
        <w:rPr>
          <w:lang w:eastAsia="en-US"/>
        </w:rPr>
        <w:t xml:space="preserve">je </w:t>
      </w:r>
      <w:r w:rsidR="088B53B3" w:rsidRPr="003D1E07">
        <w:rPr>
          <w:lang w:eastAsia="en-US"/>
        </w:rPr>
        <w:t>daná skrze vidění věštců, myst</w:t>
      </w:r>
      <w:r w:rsidR="08CB71B9" w:rsidRPr="003D1E07">
        <w:rPr>
          <w:lang w:eastAsia="en-US"/>
        </w:rPr>
        <w:t>agogů a prvních filosofů. Herme</w:t>
      </w:r>
      <w:r w:rsidR="08356DDF" w:rsidRPr="003D1E07">
        <w:rPr>
          <w:lang w:eastAsia="en-US"/>
        </w:rPr>
        <w:t>ne</w:t>
      </w:r>
      <w:r w:rsidR="08CB71B9" w:rsidRPr="003D1E07">
        <w:rPr>
          <w:lang w:eastAsia="en-US"/>
        </w:rPr>
        <w:t>utika vyjadřuje tuto původní donaci pravdy pomocí gram</w:t>
      </w:r>
      <w:r w:rsidR="003E3B23" w:rsidRPr="003D1E07">
        <w:rPr>
          <w:lang w:eastAsia="en-US"/>
        </w:rPr>
        <w:t xml:space="preserve">atické kategogie zvané „dativ“. </w:t>
      </w:r>
      <w:r w:rsidR="003E3B23" w:rsidRPr="003D1E07">
        <w:t>Práce používá gramatické struktury dativu, který nepřímou vazbou na předmět indikuje přítomnost původního fenoménu donace bytí. Proto je velmi důležitý popis hermeneutických forem</w:t>
      </w:r>
      <w:r w:rsidR="00FA519F">
        <w:t xml:space="preserve"> dativu</w:t>
      </w:r>
      <w:r w:rsidR="003E3B23" w:rsidRPr="003D1E07">
        <w:t>.</w:t>
      </w:r>
      <w:r w:rsidR="003E3B23" w:rsidRPr="003D1E07">
        <w:rPr>
          <w:lang w:eastAsia="en-US"/>
        </w:rPr>
        <w:t xml:space="preserve"> </w:t>
      </w:r>
      <w:r w:rsidR="08CB71B9" w:rsidRPr="003D1E07">
        <w:rPr>
          <w:lang w:eastAsia="en-US"/>
        </w:rPr>
        <w:t xml:space="preserve">Původní forma darování pravdy </w:t>
      </w:r>
      <w:r w:rsidR="00CC5C03" w:rsidRPr="003D1E07">
        <w:rPr>
          <w:lang w:eastAsia="en-US"/>
        </w:rPr>
        <w:t>pře</w:t>
      </w:r>
      <w:r w:rsidR="00B90BDB" w:rsidRPr="003D1E07">
        <w:rPr>
          <w:lang w:eastAsia="en-US"/>
        </w:rPr>
        <w:t>d</w:t>
      </w:r>
      <w:r w:rsidR="00CC5C03" w:rsidRPr="003D1E07">
        <w:rPr>
          <w:lang w:eastAsia="en-US"/>
        </w:rPr>
        <w:t xml:space="preserve"> vznikem filosofie </w:t>
      </w:r>
      <w:r w:rsidR="088B53B3" w:rsidRPr="003D1E07">
        <w:rPr>
          <w:lang w:eastAsia="en-US"/>
        </w:rPr>
        <w:t xml:space="preserve">má zakládající charakter v modu </w:t>
      </w:r>
      <w:r w:rsidR="088B53B3" w:rsidRPr="003D1E07">
        <w:rPr>
          <w:i/>
        </w:rPr>
        <w:t xml:space="preserve">dativus </w:t>
      </w:r>
      <w:r w:rsidR="084610A1" w:rsidRPr="003D1E07">
        <w:rPr>
          <w:i/>
        </w:rPr>
        <w:t>archegeticus</w:t>
      </w:r>
      <w:r w:rsidR="088B53B3" w:rsidRPr="003D1E07">
        <w:rPr>
          <w:i/>
        </w:rPr>
        <w:fldChar w:fldCharType="begin"/>
      </w:r>
      <w:r w:rsidR="088B53B3" w:rsidRPr="003D1E07">
        <w:instrText xml:space="preserve"> XE "</w:instrText>
      </w:r>
      <w:r w:rsidR="088B53B3" w:rsidRPr="003D1E07">
        <w:rPr>
          <w:i/>
        </w:rPr>
        <w:instrText xml:space="preserve">dativus </w:instrText>
      </w:r>
      <w:r w:rsidR="084610A1" w:rsidRPr="003D1E07">
        <w:rPr>
          <w:i/>
        </w:rPr>
        <w:instrText>archegeticus</w:instrText>
      </w:r>
      <w:r w:rsidR="088B53B3" w:rsidRPr="003D1E07">
        <w:instrText xml:space="preserve">" </w:instrText>
      </w:r>
      <w:r w:rsidR="088B53B3" w:rsidRPr="003D1E07">
        <w:rPr>
          <w:i/>
        </w:rPr>
        <w:fldChar w:fldCharType="end"/>
      </w:r>
      <w:r w:rsidR="00B90BDB" w:rsidRPr="003D1E07">
        <w:t xml:space="preserve"> a tato událost se týká samotného bytí </w:t>
      </w:r>
      <w:r w:rsidR="00916908" w:rsidRPr="003D1E07">
        <w:t xml:space="preserve">zjeveného na počátku myšlení </w:t>
      </w:r>
      <w:r w:rsidR="00B90BDB" w:rsidRPr="003D1E07">
        <w:rPr>
          <w:lang w:eastAsia="en-US"/>
        </w:rPr>
        <w:t>(</w:t>
      </w:r>
      <w:r w:rsidR="007A10FE" w:rsidRPr="003D1E07">
        <w:rPr>
          <w:noProof w:val="0"/>
        </w:rPr>
        <w:t>ἀρχή</w:t>
      </w:r>
      <w:r w:rsidR="00B90BDB" w:rsidRPr="003D1E07">
        <w:t>+γεννάω</w:t>
      </w:r>
      <w:r w:rsidR="00986DE3" w:rsidRPr="003D1E07">
        <w:rPr>
          <w:lang w:eastAsia="en-US"/>
        </w:rPr>
        <w:t xml:space="preserve">). </w:t>
      </w:r>
      <w:r w:rsidR="00D30A94" w:rsidRPr="003D1E07">
        <w:rPr>
          <w:lang w:eastAsia="en-US"/>
        </w:rPr>
        <w:t>Donace pravdy skrze celek bytí (</w:t>
      </w:r>
      <w:r w:rsidR="00D30A94" w:rsidRPr="003D1E07">
        <w:rPr>
          <w:i/>
          <w:lang w:eastAsia="en-US"/>
        </w:rPr>
        <w:t>tá ónta</w:t>
      </w:r>
      <w:r w:rsidR="00D30A94" w:rsidRPr="003D1E07">
        <w:rPr>
          <w:lang w:eastAsia="en-US"/>
        </w:rPr>
        <w:t xml:space="preserve">) založila pojetí pravdy jako božské </w:t>
      </w:r>
      <w:r w:rsidR="00D30A94" w:rsidRPr="003D1E07">
        <w:rPr>
          <w:i/>
          <w:lang w:eastAsia="en-US"/>
        </w:rPr>
        <w:t>alétheia</w:t>
      </w:r>
      <w:r w:rsidR="00D30A94" w:rsidRPr="003D1E07">
        <w:rPr>
          <w:lang w:eastAsia="en-US"/>
        </w:rPr>
        <w:t xml:space="preserve">. </w:t>
      </w:r>
      <w:r w:rsidR="00986DE3" w:rsidRPr="003D1E07">
        <w:t xml:space="preserve">První forma donace smyslu má apollinský archegetický charakter, který v této studii není příliš vidět. </w:t>
      </w:r>
      <w:r w:rsidR="002D2643" w:rsidRPr="003D1E07">
        <w:rPr>
          <w:lang w:eastAsia="en-US"/>
        </w:rPr>
        <w:t xml:space="preserve">Od této zakládající formy donace a pojetí pravdy daného v božské sféře je třeba odlišit odvozené formy hermeneutického dativu, které se týkají dalších proměn smyslu jsoucna. </w:t>
      </w:r>
      <w:r w:rsidR="00350CB9" w:rsidRPr="003D1E07">
        <w:t xml:space="preserve">Donace původní dějinnosti se manifestuje skrze múzickou </w:t>
      </w:r>
      <w:r w:rsidR="00350CB9" w:rsidRPr="003D1E07">
        <w:rPr>
          <w:i/>
        </w:rPr>
        <w:t>alétheia</w:t>
      </w:r>
      <w:r w:rsidR="00350CB9" w:rsidRPr="003D1E07">
        <w:t xml:space="preserve"> a skrze principiální dativ (</w:t>
      </w:r>
      <w:r w:rsidR="00350CB9" w:rsidRPr="003D1E07">
        <w:rPr>
          <w:i/>
        </w:rPr>
        <w:t>dativus principalis</w:t>
      </w:r>
      <w:r w:rsidR="00350CB9" w:rsidRPr="003D1E07">
        <w:rPr>
          <w:i/>
        </w:rPr>
        <w:fldChar w:fldCharType="begin"/>
      </w:r>
      <w:r w:rsidR="00350CB9" w:rsidRPr="003D1E07">
        <w:instrText xml:space="preserve"> XE "</w:instrText>
      </w:r>
      <w:r w:rsidR="00350CB9" w:rsidRPr="003D1E07">
        <w:rPr>
          <w:i/>
        </w:rPr>
        <w:instrText>dativus principalis</w:instrText>
      </w:r>
      <w:r w:rsidR="00350CB9" w:rsidRPr="003D1E07">
        <w:instrText xml:space="preserve">" </w:instrText>
      </w:r>
      <w:r w:rsidR="00350CB9" w:rsidRPr="003D1E07">
        <w:rPr>
          <w:i/>
        </w:rPr>
        <w:fldChar w:fldCharType="end"/>
      </w:r>
      <w:r w:rsidR="00350CB9" w:rsidRPr="003D1E07">
        <w:t xml:space="preserve">) první filosofie. </w:t>
      </w:r>
      <w:r w:rsidR="00916908" w:rsidRPr="003D1E07">
        <w:t xml:space="preserve">Božská </w:t>
      </w:r>
      <w:r w:rsidR="00916908" w:rsidRPr="003D1E07">
        <w:rPr>
          <w:i/>
        </w:rPr>
        <w:t>a/létheia</w:t>
      </w:r>
      <w:r w:rsidR="00916908" w:rsidRPr="003D1E07">
        <w:t xml:space="preserve"> určená hrou pravdy a klamu přešla na p</w:t>
      </w:r>
      <w:r w:rsidR="00986DE3" w:rsidRPr="003D1E07">
        <w:t>rincipiáln</w:t>
      </w:r>
      <w:r w:rsidR="00916908" w:rsidRPr="003D1E07">
        <w:t>í dat</w:t>
      </w:r>
      <w:r w:rsidR="002D2643" w:rsidRPr="003D1E07">
        <w:t>iv pr</w:t>
      </w:r>
      <w:r w:rsidR="00916908" w:rsidRPr="003D1E07">
        <w:t xml:space="preserve">vní filosofie. </w:t>
      </w:r>
      <w:r w:rsidR="00141C56" w:rsidRPr="003D1E07">
        <w:t>A</w:t>
      </w:r>
      <w:r w:rsidR="08417445" w:rsidRPr="003D1E07">
        <w:t xml:space="preserve">rchegetický dativ působí v první filosofii </w:t>
      </w:r>
      <w:r w:rsidR="00141C56" w:rsidRPr="003D1E07">
        <w:t xml:space="preserve">už jen </w:t>
      </w:r>
      <w:r w:rsidR="00182DCB" w:rsidRPr="003D1E07">
        <w:t xml:space="preserve">skrytě a to </w:t>
      </w:r>
      <w:r w:rsidR="08417445" w:rsidRPr="003D1E07">
        <w:t>skrze principiální dativ (</w:t>
      </w:r>
      <w:r w:rsidR="08417445" w:rsidRPr="003D1E07">
        <w:rPr>
          <w:i/>
        </w:rPr>
        <w:t>dativus principalis</w:t>
      </w:r>
      <w:r w:rsidR="08417445" w:rsidRPr="003D1E07">
        <w:rPr>
          <w:i/>
        </w:rPr>
        <w:fldChar w:fldCharType="begin"/>
      </w:r>
      <w:r w:rsidR="08417445" w:rsidRPr="003D1E07">
        <w:instrText xml:space="preserve"> XE "</w:instrText>
      </w:r>
      <w:r w:rsidR="08417445" w:rsidRPr="003D1E07">
        <w:rPr>
          <w:i/>
        </w:rPr>
        <w:instrText>dativus principalis</w:instrText>
      </w:r>
      <w:r w:rsidR="08417445" w:rsidRPr="003D1E07">
        <w:instrText xml:space="preserve">" </w:instrText>
      </w:r>
      <w:r w:rsidR="08417445" w:rsidRPr="003D1E07">
        <w:rPr>
          <w:i/>
        </w:rPr>
        <w:fldChar w:fldCharType="end"/>
      </w:r>
      <w:r w:rsidR="08417445" w:rsidRPr="003D1E07">
        <w:t xml:space="preserve">). </w:t>
      </w:r>
      <w:r w:rsidR="003041A3" w:rsidRPr="003D1E07">
        <w:t xml:space="preserve">První filosofové </w:t>
      </w:r>
      <w:r w:rsidR="003041A3" w:rsidRPr="003D1E07">
        <w:rPr>
          <w:i/>
        </w:rPr>
        <w:t>fýsis</w:t>
      </w:r>
      <w:r w:rsidR="003041A3" w:rsidRPr="003D1E07">
        <w:t xml:space="preserve"> zachytili podle Heideggera fundamentální událost (</w:t>
      </w:r>
      <w:r w:rsidR="003041A3" w:rsidRPr="003D1E07">
        <w:rPr>
          <w:i/>
        </w:rPr>
        <w:t>Ereignis</w:t>
      </w:r>
      <w:r w:rsidR="003041A3" w:rsidRPr="003D1E07">
        <w:t xml:space="preserve">), kdy pravda celku bytí přechází </w:t>
      </w:r>
      <w:r w:rsidR="00197295" w:rsidRPr="003D1E07">
        <w:t>do ambivalentní manifestace</w:t>
      </w:r>
      <w:r w:rsidR="003041A3" w:rsidRPr="003D1E07">
        <w:t xml:space="preserve"> </w:t>
      </w:r>
      <w:r w:rsidR="001F553D">
        <w:t xml:space="preserve">pravdy a klamu </w:t>
      </w:r>
      <w:r w:rsidR="003041A3" w:rsidRPr="003D1E07">
        <w:t>(</w:t>
      </w:r>
      <w:r w:rsidR="003041A3" w:rsidRPr="003D1E07">
        <w:rPr>
          <w:i/>
        </w:rPr>
        <w:t>Lichtung</w:t>
      </w:r>
      <w:r w:rsidR="003041A3" w:rsidRPr="003D1E07">
        <w:rPr>
          <w:i/>
        </w:rPr>
        <w:fldChar w:fldCharType="begin"/>
      </w:r>
      <w:r w:rsidR="003041A3" w:rsidRPr="003D1E07">
        <w:instrText xml:space="preserve"> XE "</w:instrText>
      </w:r>
      <w:r w:rsidR="003041A3" w:rsidRPr="003D1E07">
        <w:rPr>
          <w:i/>
        </w:rPr>
        <w:instrText>Lichtung</w:instrText>
      </w:r>
      <w:r w:rsidR="003041A3" w:rsidRPr="003D1E07">
        <w:instrText xml:space="preserve">" </w:instrText>
      </w:r>
      <w:r w:rsidR="003041A3" w:rsidRPr="003D1E07">
        <w:rPr>
          <w:i/>
        </w:rPr>
        <w:fldChar w:fldCharType="end"/>
      </w:r>
      <w:r w:rsidR="003041A3" w:rsidRPr="003D1E07">
        <w:t>). Původní archegetický dativ mystérií (</w:t>
      </w:r>
      <w:r w:rsidR="003041A3" w:rsidRPr="003D1E07">
        <w:rPr>
          <w:i/>
        </w:rPr>
        <w:t>dativus archegeticus</w:t>
      </w:r>
      <w:r w:rsidR="003041A3" w:rsidRPr="003D1E07">
        <w:rPr>
          <w:i/>
        </w:rPr>
        <w:fldChar w:fldCharType="begin"/>
      </w:r>
      <w:r w:rsidR="003041A3" w:rsidRPr="003D1E07">
        <w:instrText xml:space="preserve"> XE "</w:instrText>
      </w:r>
      <w:r w:rsidR="003041A3" w:rsidRPr="003D1E07">
        <w:rPr>
          <w:i/>
        </w:rPr>
        <w:instrText>dativus archegeticus</w:instrText>
      </w:r>
      <w:r w:rsidR="003041A3" w:rsidRPr="003D1E07">
        <w:instrText xml:space="preserve">" </w:instrText>
      </w:r>
      <w:r w:rsidR="003041A3" w:rsidRPr="003D1E07">
        <w:rPr>
          <w:i/>
        </w:rPr>
        <w:fldChar w:fldCharType="end"/>
      </w:r>
      <w:r w:rsidR="003041A3" w:rsidRPr="003D1E07">
        <w:t xml:space="preserve">) změnil na novou formu donace bytí (viz Heideggerovo </w:t>
      </w:r>
      <w:r w:rsidR="003041A3" w:rsidRPr="003D1E07">
        <w:rPr>
          <w:i/>
        </w:rPr>
        <w:t>Es gibt</w:t>
      </w:r>
      <w:r w:rsidR="003041A3" w:rsidRPr="003D1E07">
        <w:t>), která je původním počátkem (</w:t>
      </w:r>
      <w:r w:rsidR="003041A3" w:rsidRPr="003D1E07">
        <w:rPr>
          <w:i/>
        </w:rPr>
        <w:t>principium</w:t>
      </w:r>
      <w:r w:rsidR="003041A3" w:rsidRPr="003D1E07">
        <w:t xml:space="preserve">) filosofie. </w:t>
      </w:r>
      <w:r w:rsidR="08240F25" w:rsidRPr="003D1E07">
        <w:t xml:space="preserve">Nová </w:t>
      </w:r>
      <w:r w:rsidR="08696514" w:rsidRPr="003D1E07">
        <w:t xml:space="preserve">podoba </w:t>
      </w:r>
      <w:r w:rsidR="08240F25" w:rsidRPr="003D1E07">
        <w:t xml:space="preserve">principiálního </w:t>
      </w:r>
      <w:r w:rsidR="08696514" w:rsidRPr="003D1E07">
        <w:t xml:space="preserve">dativu </w:t>
      </w:r>
      <w:r w:rsidR="08CF5027" w:rsidRPr="003D1E07">
        <w:t xml:space="preserve">je </w:t>
      </w:r>
      <w:r w:rsidR="08696514" w:rsidRPr="003D1E07">
        <w:t xml:space="preserve">daná </w:t>
      </w:r>
      <w:r w:rsidR="08696514" w:rsidRPr="003D1E07">
        <w:lastRenderedPageBreak/>
        <w:t xml:space="preserve">transformací </w:t>
      </w:r>
      <w:r w:rsidR="08240F25" w:rsidRPr="003D1E07">
        <w:t>první filosofie na metafyziku</w:t>
      </w:r>
      <w:r w:rsidR="08696514" w:rsidRPr="003D1E07">
        <w:t xml:space="preserve"> Platona a Aristotela</w:t>
      </w:r>
      <w:r w:rsidR="08CF5027" w:rsidRPr="003D1E07">
        <w:t xml:space="preserve">. Tento </w:t>
      </w:r>
      <w:r w:rsidR="08240F25" w:rsidRPr="003D1E07">
        <w:t>t</w:t>
      </w:r>
      <w:r w:rsidR="08106BBC" w:rsidRPr="003D1E07">
        <w:t>yp dativu indikuje donaci</w:t>
      </w:r>
      <w:r w:rsidR="08CF5027" w:rsidRPr="003D1E07">
        <w:t xml:space="preserve"> </w:t>
      </w:r>
      <w:r w:rsidR="08106BBC" w:rsidRPr="003D1E07">
        <w:t xml:space="preserve">metafyzicky určeného </w:t>
      </w:r>
      <w:r w:rsidR="08F90DBF" w:rsidRPr="003D1E07">
        <w:t xml:space="preserve">jsoucna </w:t>
      </w:r>
      <w:r w:rsidR="08106BBC" w:rsidRPr="003D1E07">
        <w:t>(</w:t>
      </w:r>
      <w:r w:rsidR="08106BBC" w:rsidRPr="003D1E07">
        <w:rPr>
          <w:i/>
        </w:rPr>
        <w:t>dativus metaphysicus</w:t>
      </w:r>
      <w:r w:rsidR="08106BBC" w:rsidRPr="003D1E07">
        <w:t xml:space="preserve">) a </w:t>
      </w:r>
      <w:r w:rsidR="08CF5027" w:rsidRPr="003D1E07">
        <w:t>z</w:t>
      </w:r>
      <w:r w:rsidR="08785CA2" w:rsidRPr="003D1E07">
        <w:t xml:space="preserve">ásadně </w:t>
      </w:r>
      <w:r w:rsidR="08696514" w:rsidRPr="003D1E07">
        <w:t xml:space="preserve">determinuje </w:t>
      </w:r>
      <w:r w:rsidR="086D6E33" w:rsidRPr="003D1E07">
        <w:t>myšlení objektivity.</w:t>
      </w:r>
      <w:r w:rsidR="0856496A" w:rsidRPr="003D1E07">
        <w:t xml:space="preserve"> </w:t>
      </w:r>
      <w:r w:rsidR="003041A3" w:rsidRPr="003D1E07">
        <w:rPr>
          <w:lang w:eastAsia="en-US"/>
        </w:rPr>
        <w:t>Kompletní analýzu objektivní formy dativu ukáže až úvod třetího dílu (</w:t>
      </w:r>
      <w:r w:rsidR="003041A3" w:rsidRPr="003D1E07">
        <w:rPr>
          <w:i/>
          <w:noProof w:val="0"/>
          <w:lang w:eastAsia="x-none"/>
        </w:rPr>
        <w:t>dativus obiectivus</w:t>
      </w:r>
      <w:r w:rsidR="003041A3" w:rsidRPr="003D1E07">
        <w:rPr>
          <w:i/>
          <w:noProof w:val="0"/>
          <w:lang w:eastAsia="x-none"/>
        </w:rPr>
        <w:fldChar w:fldCharType="begin"/>
      </w:r>
      <w:r w:rsidR="003041A3" w:rsidRPr="003D1E07">
        <w:instrText xml:space="preserve"> XE "</w:instrText>
      </w:r>
      <w:r w:rsidR="003041A3" w:rsidRPr="003D1E07">
        <w:rPr>
          <w:i/>
          <w:noProof w:val="0"/>
          <w:lang w:eastAsia="x-none"/>
        </w:rPr>
        <w:instrText>dativus obiectivus</w:instrText>
      </w:r>
      <w:r w:rsidR="003041A3" w:rsidRPr="003D1E07">
        <w:instrText xml:space="preserve">" </w:instrText>
      </w:r>
      <w:r w:rsidR="003041A3" w:rsidRPr="003D1E07">
        <w:rPr>
          <w:i/>
          <w:noProof w:val="0"/>
          <w:lang w:eastAsia="x-none"/>
        </w:rPr>
        <w:fldChar w:fldCharType="end"/>
      </w:r>
      <w:r w:rsidR="003041A3" w:rsidRPr="003D1E07">
        <w:rPr>
          <w:i/>
          <w:noProof w:val="0"/>
          <w:lang w:eastAsia="x-none"/>
        </w:rPr>
        <w:t xml:space="preserve">; </w:t>
      </w:r>
      <w:r w:rsidR="003041A3" w:rsidRPr="003D1E07">
        <w:rPr>
          <w:lang w:eastAsia="en-US"/>
        </w:rPr>
        <w:t xml:space="preserve">OBJ III, kap. 4). </w:t>
      </w:r>
      <w:r w:rsidR="0856496A" w:rsidRPr="003D1E07">
        <w:t xml:space="preserve">Přechod mezi oběma formami </w:t>
      </w:r>
      <w:r w:rsidR="08B265C8" w:rsidRPr="003D1E07">
        <w:t xml:space="preserve">filosofického </w:t>
      </w:r>
      <w:r w:rsidR="0856496A" w:rsidRPr="003D1E07">
        <w:t xml:space="preserve">dativu </w:t>
      </w:r>
      <w:r w:rsidR="08B91F52" w:rsidRPr="003D1E07">
        <w:t>(</w:t>
      </w:r>
      <w:r w:rsidR="08B91F52" w:rsidRPr="003D1E07">
        <w:rPr>
          <w:i/>
        </w:rPr>
        <w:t>principalis</w:t>
      </w:r>
      <w:r w:rsidR="08B91F52" w:rsidRPr="003D1E07">
        <w:t xml:space="preserve">, </w:t>
      </w:r>
      <w:r w:rsidR="08B91F52" w:rsidRPr="003D1E07">
        <w:rPr>
          <w:i/>
        </w:rPr>
        <w:t>metaphysicus</w:t>
      </w:r>
      <w:r w:rsidR="08B91F52" w:rsidRPr="003D1E07">
        <w:t xml:space="preserve">) </w:t>
      </w:r>
      <w:r w:rsidR="0856496A" w:rsidRPr="003D1E07">
        <w:t>má zásadn</w:t>
      </w:r>
      <w:r w:rsidR="08C61FF9" w:rsidRPr="003D1E07">
        <w:t>í charakter paradigmatické změny</w:t>
      </w:r>
      <w:r w:rsidR="0856496A" w:rsidRPr="003D1E07">
        <w:t xml:space="preserve"> jsoucna na nejsoucno. Celek </w:t>
      </w:r>
      <w:r w:rsidR="083F0052" w:rsidRPr="003D1E07">
        <w:t>bytí zkoumaný archaic</w:t>
      </w:r>
      <w:r w:rsidR="001C4187" w:rsidRPr="003D1E07">
        <w:t xml:space="preserve">kým myšlením </w:t>
      </w:r>
      <w:r w:rsidR="00B86360" w:rsidRPr="003D1E07">
        <w:t>skrze archaický dativ (</w:t>
      </w:r>
      <w:r w:rsidR="00B86360" w:rsidRPr="003D1E07">
        <w:rPr>
          <w:i/>
        </w:rPr>
        <w:t>dativus archaicus</w:t>
      </w:r>
      <w:r w:rsidR="00B86360" w:rsidRPr="003D1E07">
        <w:t xml:space="preserve">) </w:t>
      </w:r>
      <w:r w:rsidR="0856496A" w:rsidRPr="003D1E07">
        <w:t xml:space="preserve">se stal </w:t>
      </w:r>
      <w:r w:rsidR="083F0052" w:rsidRPr="003D1E07">
        <w:t xml:space="preserve">v metafyzice </w:t>
      </w:r>
      <w:r w:rsidR="0856496A" w:rsidRPr="003D1E07">
        <w:t>nejs</w:t>
      </w:r>
      <w:r w:rsidR="083F0052" w:rsidRPr="003D1E07">
        <w:t>oucnem</w:t>
      </w:r>
      <w:r w:rsidR="085D314F" w:rsidRPr="003D1E07">
        <w:t xml:space="preserve"> a t</w:t>
      </w:r>
      <w:r w:rsidR="0890799B" w:rsidRPr="003D1E07">
        <w:t>eologickou pohádkou</w:t>
      </w:r>
      <w:r w:rsidR="083F0052" w:rsidRPr="003D1E07">
        <w:t>. Status jsoucna dostala po</w:t>
      </w:r>
      <w:r w:rsidR="0856496A" w:rsidRPr="003D1E07">
        <w:t>h</w:t>
      </w:r>
      <w:r w:rsidR="083F0052" w:rsidRPr="003D1E07">
        <w:t>y</w:t>
      </w:r>
      <w:r w:rsidR="0856496A" w:rsidRPr="003D1E07">
        <w:t xml:space="preserve">blivá substance, která naopak pro Eleaty </w:t>
      </w:r>
      <w:r w:rsidR="08E66E39" w:rsidRPr="003D1E07">
        <w:t>představovala typický</w:t>
      </w:r>
      <w:r w:rsidR="0856496A" w:rsidRPr="003D1E07">
        <w:t xml:space="preserve"> příklad nejsoucna. Te</w:t>
      </w:r>
      <w:r w:rsidR="087D3580" w:rsidRPr="003D1E07">
        <w:t>nto změněný status</w:t>
      </w:r>
      <w:r w:rsidR="0856496A" w:rsidRPr="003D1E07">
        <w:t xml:space="preserve"> </w:t>
      </w:r>
      <w:r w:rsidR="087D3580" w:rsidRPr="003D1E07">
        <w:t xml:space="preserve">celku </w:t>
      </w:r>
      <w:r w:rsidR="0856496A" w:rsidRPr="003D1E07">
        <w:t xml:space="preserve">bytí </w:t>
      </w:r>
      <w:r w:rsidR="002237C2" w:rsidRPr="003D1E07">
        <w:t xml:space="preserve">oscilující mezi jsoucnem a nejsoucnem </w:t>
      </w:r>
      <w:r w:rsidR="0856496A" w:rsidRPr="003D1E07">
        <w:t>označujeme termínem</w:t>
      </w:r>
      <w:r w:rsidR="0856496A" w:rsidRPr="003D1E07">
        <w:rPr>
          <w:i/>
        </w:rPr>
        <w:t xml:space="preserve"> tertium ens</w:t>
      </w:r>
      <w:r w:rsidR="0856496A" w:rsidRPr="003D1E07">
        <w:rPr>
          <w:i/>
        </w:rPr>
        <w:fldChar w:fldCharType="begin"/>
      </w:r>
      <w:r w:rsidR="0856496A" w:rsidRPr="003D1E07">
        <w:instrText xml:space="preserve"> XE "</w:instrText>
      </w:r>
      <w:r w:rsidR="0856496A" w:rsidRPr="003D1E07">
        <w:rPr>
          <w:i/>
        </w:rPr>
        <w:instrText>tertium ens</w:instrText>
      </w:r>
      <w:r w:rsidR="0856496A" w:rsidRPr="003D1E07">
        <w:instrText xml:space="preserve">:Parmenides" </w:instrText>
      </w:r>
      <w:r w:rsidR="0856496A" w:rsidRPr="003D1E07">
        <w:rPr>
          <w:i/>
        </w:rPr>
        <w:fldChar w:fldCharType="end"/>
      </w:r>
      <w:r w:rsidR="0856496A" w:rsidRPr="003D1E07">
        <w:t>.</w:t>
      </w:r>
    </w:p>
    <w:p w14:paraId="6A90EC30" w14:textId="77777777" w:rsidR="009E19DC" w:rsidRDefault="08B05D75" w:rsidP="008F678A">
      <w:pPr>
        <w:ind w:firstLine="397"/>
      </w:pPr>
      <w:r w:rsidRPr="003D1E07">
        <w:t xml:space="preserve">Přechod k metafyzice je dán epochálně novým způsobem, jak </w:t>
      </w:r>
      <w:r w:rsidR="08204569" w:rsidRPr="003D1E07">
        <w:t xml:space="preserve">Platon </w:t>
      </w:r>
      <w:r w:rsidRPr="003D1E07">
        <w:t>viděl celek jsoucna</w:t>
      </w:r>
      <w:r w:rsidR="00C2566B" w:rsidRPr="003D1E07">
        <w:t>, a to</w:t>
      </w:r>
      <w:r w:rsidR="00C21DB8" w:rsidRPr="003D1E07">
        <w:t xml:space="preserve"> ve smysl</w:t>
      </w:r>
      <w:r w:rsidR="00D02B3B" w:rsidRPr="003D1E07">
        <w:t>u</w:t>
      </w:r>
      <w:r w:rsidR="00C21DB8" w:rsidRPr="003D1E07">
        <w:t xml:space="preserve"> fenomenologického </w:t>
      </w:r>
      <w:r w:rsidR="00C21DB8" w:rsidRPr="003D1E07">
        <w:rPr>
          <w:i/>
        </w:rPr>
        <w:t>Wie</w:t>
      </w:r>
      <w:r w:rsidR="00C21DB8" w:rsidRPr="003D1E07">
        <w:t xml:space="preserve"> určeného Heideggerem</w:t>
      </w:r>
      <w:r w:rsidR="08D9016E" w:rsidRPr="003D1E07">
        <w:t xml:space="preserve">. </w:t>
      </w:r>
      <w:r w:rsidR="00D02B3B" w:rsidRPr="003D1E07">
        <w:t xml:space="preserve">Platonovo </w:t>
      </w:r>
      <w:r w:rsidR="08D9016E" w:rsidRPr="003D1E07">
        <w:t xml:space="preserve">vědění nahradilo vidění </w:t>
      </w:r>
      <w:r w:rsidRPr="003D1E07">
        <w:t xml:space="preserve">předešlé </w:t>
      </w:r>
      <w:r w:rsidR="08105C6A" w:rsidRPr="003D1E07">
        <w:t xml:space="preserve">generace </w:t>
      </w:r>
      <w:r w:rsidR="08D9016E" w:rsidRPr="003D1E07">
        <w:t>prvních filosof</w:t>
      </w:r>
      <w:r w:rsidR="08204569" w:rsidRPr="003D1E07">
        <w:t>ů</w:t>
      </w:r>
      <w:r w:rsidR="08D9016E" w:rsidRPr="003D1E07">
        <w:t xml:space="preserve"> jako byl múzický Parmenides či zasvěcenec mystérií </w:t>
      </w:r>
      <w:r w:rsidRPr="003D1E07">
        <w:t>Herakleit</w:t>
      </w:r>
      <w:r w:rsidR="08D9016E" w:rsidRPr="003D1E07">
        <w:t>os</w:t>
      </w:r>
      <w:r w:rsidRPr="003D1E07">
        <w:t xml:space="preserve"> z Efezu</w:t>
      </w:r>
      <w:r w:rsidRPr="003D1E07">
        <w:rPr>
          <w:i/>
        </w:rPr>
        <w:fldChar w:fldCharType="begin"/>
      </w:r>
      <w:r w:rsidRPr="003D1E07">
        <w:instrText xml:space="preserve"> XE "metafyzika:Platon" </w:instrText>
      </w:r>
      <w:r w:rsidRPr="003D1E07">
        <w:rPr>
          <w:i/>
        </w:rPr>
        <w:fldChar w:fldCharType="end"/>
      </w:r>
      <w:r w:rsidRPr="003D1E07">
        <w:t xml:space="preserve">. </w:t>
      </w:r>
      <w:r w:rsidR="08C4094C" w:rsidRPr="003D1E07">
        <w:t>Podstatné znaky vidění v archaické době řeckého myšlení popisuje zejména Jean-Pierre Vernant</w:t>
      </w:r>
      <w:r w:rsidR="08C4094C" w:rsidRPr="003D1E07">
        <w:fldChar w:fldCharType="begin"/>
      </w:r>
      <w:r w:rsidR="08C4094C" w:rsidRPr="003D1E07">
        <w:instrText xml:space="preserve"> XE "Vernant, J.-P." </w:instrText>
      </w:r>
      <w:r w:rsidR="08C4094C" w:rsidRPr="003D1E07">
        <w:fldChar w:fldCharType="end"/>
      </w:r>
      <w:r w:rsidR="08C4094C" w:rsidRPr="003D1E07">
        <w:t>.</w:t>
      </w:r>
      <w:r w:rsidR="08C4094C" w:rsidRPr="003D1E07">
        <w:rPr>
          <w:rStyle w:val="Znakapoznpodarou"/>
        </w:rPr>
        <w:footnoteReference w:id="9"/>
      </w:r>
      <w:r w:rsidR="08C4094C" w:rsidRPr="003D1E07">
        <w:t xml:space="preserve"> </w:t>
      </w:r>
      <w:r w:rsidR="083A24F3" w:rsidRPr="003D1E07">
        <w:t xml:space="preserve">Schopnost vidění neviditelného dostal nositel archaického vidění jako dar či prokletí. </w:t>
      </w:r>
      <w:r w:rsidR="084C74DD" w:rsidRPr="003D1E07">
        <w:t xml:space="preserve">Viz například </w:t>
      </w:r>
      <w:r w:rsidR="08976C34" w:rsidRPr="003D1E07">
        <w:t>dar</w:t>
      </w:r>
      <w:r w:rsidR="08B222E5" w:rsidRPr="003D1E07">
        <w:t xml:space="preserve"> </w:t>
      </w:r>
      <w:r w:rsidR="084C74DD" w:rsidRPr="003D1E07">
        <w:t xml:space="preserve">vnitřního vidění </w:t>
      </w:r>
      <w:r w:rsidR="08B222E5" w:rsidRPr="003D1E07">
        <w:t>daný slepým</w:t>
      </w:r>
      <w:r w:rsidR="084C74DD" w:rsidRPr="003D1E07">
        <w:t xml:space="preserve"> věštcům či rapsódům</w:t>
      </w:r>
      <w:r w:rsidR="08976C34" w:rsidRPr="003D1E07">
        <w:t xml:space="preserve">, nebo </w:t>
      </w:r>
      <w:r w:rsidR="083F0C90" w:rsidRPr="003D1E07">
        <w:t xml:space="preserve">Odysseovu </w:t>
      </w:r>
      <w:r w:rsidR="08976C34" w:rsidRPr="003D1E07">
        <w:t xml:space="preserve">schopnost </w:t>
      </w:r>
      <w:r w:rsidR="009C2E5E" w:rsidRPr="003D1E07">
        <w:t>(</w:t>
      </w:r>
      <w:r w:rsidR="009C2E5E" w:rsidRPr="003D1E07">
        <w:rPr>
          <w:i/>
        </w:rPr>
        <w:t>métis</w:t>
      </w:r>
      <w:r w:rsidR="00745F6B" w:rsidRPr="003D1E07">
        <w:t xml:space="preserve">) </w:t>
      </w:r>
      <w:r w:rsidR="001B5889" w:rsidRPr="003D1E07">
        <w:t>bystře c</w:t>
      </w:r>
      <w:r w:rsidR="08976C34" w:rsidRPr="003D1E07">
        <w:t xml:space="preserve">hápat </w:t>
      </w:r>
      <w:r w:rsidR="001B5889" w:rsidRPr="003D1E07">
        <w:t xml:space="preserve">božský a smrtelný celek věcí </w:t>
      </w:r>
      <w:r w:rsidR="08976C34" w:rsidRPr="003D1E07">
        <w:t xml:space="preserve">a </w:t>
      </w:r>
      <w:r w:rsidR="001B5889" w:rsidRPr="003D1E07">
        <w:t xml:space="preserve">moudře jej </w:t>
      </w:r>
      <w:r w:rsidR="08976C34" w:rsidRPr="003D1E07">
        <w:t xml:space="preserve">posuzovat. </w:t>
      </w:r>
      <w:r w:rsidR="087474B4" w:rsidRPr="003D1E07">
        <w:t xml:space="preserve">Toto </w:t>
      </w:r>
      <w:r w:rsidR="004E0F56" w:rsidRPr="003D1E07">
        <w:t xml:space="preserve">dvojí </w:t>
      </w:r>
      <w:r w:rsidR="087474B4" w:rsidRPr="003D1E07">
        <w:t xml:space="preserve">vidění celku bytí zakládá původní </w:t>
      </w:r>
      <w:r w:rsidR="00C127BB" w:rsidRPr="003D1E07">
        <w:t>fenomén dějinnosti, který vytvořil nejprve hermeneutiku a pak první filosofii</w:t>
      </w:r>
      <w:r w:rsidR="087474B4" w:rsidRPr="003D1E07">
        <w:t>.</w:t>
      </w:r>
      <w:r w:rsidR="087474B4" w:rsidRPr="003D1E07">
        <w:rPr>
          <w:rStyle w:val="Znakapoznpodarou"/>
        </w:rPr>
        <w:footnoteReference w:id="10"/>
      </w:r>
      <w:r w:rsidR="087474B4" w:rsidRPr="003D1E07">
        <w:t xml:space="preserve"> </w:t>
      </w:r>
      <w:r w:rsidR="08AE6FF3" w:rsidRPr="003D1E07">
        <w:t xml:space="preserve">Věštec </w:t>
      </w:r>
      <w:r w:rsidR="08976C34" w:rsidRPr="003D1E07">
        <w:rPr>
          <w:lang w:eastAsia="en-US"/>
        </w:rPr>
        <w:t xml:space="preserve">Kalchás vidí původní božský </w:t>
      </w:r>
      <w:r w:rsidR="08976C34" w:rsidRPr="003D1E07">
        <w:t xml:space="preserve">prézent celku bytí, v němž </w:t>
      </w:r>
      <w:r w:rsidR="08770819" w:rsidRPr="003D1E07">
        <w:t xml:space="preserve">se zjevuje </w:t>
      </w:r>
      <w:r w:rsidR="08976C34" w:rsidRPr="003D1E07">
        <w:t xml:space="preserve">smysl všech jsoucen </w:t>
      </w:r>
      <w:r w:rsidR="08976C34" w:rsidRPr="003D1E07">
        <w:rPr>
          <w:i/>
        </w:rPr>
        <w:fldChar w:fldCharType="begin"/>
      </w:r>
      <w:r w:rsidR="08976C34" w:rsidRPr="003D1E07">
        <w:instrText xml:space="preserve"> XE "Kalchás" </w:instrText>
      </w:r>
      <w:r w:rsidR="08976C34" w:rsidRPr="003D1E07">
        <w:rPr>
          <w:i/>
        </w:rPr>
        <w:fldChar w:fldCharType="end"/>
      </w:r>
      <w:r w:rsidR="08976C34" w:rsidRPr="003D1E07">
        <w:rPr>
          <w:lang w:eastAsia="en-US"/>
        </w:rPr>
        <w:t>(</w:t>
      </w:r>
      <w:r w:rsidR="08052B2E" w:rsidRPr="003D1E07">
        <w:t>τά τ' ἐόντα τά τ' ἐσσόμενα πρό τ' ἐόντα</w:t>
      </w:r>
      <w:r w:rsidR="08976C34" w:rsidRPr="003D1E07">
        <w:t xml:space="preserve">, </w:t>
      </w:r>
      <w:r w:rsidR="08976C34" w:rsidRPr="003D1E07">
        <w:rPr>
          <w:i/>
        </w:rPr>
        <w:t>Ilias</w:t>
      </w:r>
      <w:r w:rsidR="08976C34" w:rsidRPr="003D1E07">
        <w:t xml:space="preserve"> 1.70</w:t>
      </w:r>
      <w:r w:rsidR="08976C34" w:rsidRPr="003D1E07">
        <w:fldChar w:fldCharType="begin"/>
      </w:r>
      <w:r w:rsidR="08976C34" w:rsidRPr="003D1E07">
        <w:instrText xml:space="preserve"> XE "Homér:</w:instrText>
      </w:r>
      <w:r w:rsidR="08976C34" w:rsidRPr="003D1E07">
        <w:rPr>
          <w:i/>
        </w:rPr>
        <w:instrText>Ilias</w:instrText>
      </w:r>
      <w:r w:rsidR="08976C34" w:rsidRPr="003D1E07">
        <w:instrText xml:space="preserve"> 1.70" </w:instrText>
      </w:r>
      <w:r w:rsidR="08976C34" w:rsidRPr="003D1E07">
        <w:fldChar w:fldCharType="end"/>
      </w:r>
      <w:r w:rsidR="08976C34" w:rsidRPr="003D1E07">
        <w:rPr>
          <w:lang w:eastAsia="en-US"/>
        </w:rPr>
        <w:t>).</w:t>
      </w:r>
      <w:r w:rsidR="08976C34" w:rsidRPr="003D1E07">
        <w:t xml:space="preserve"> </w:t>
      </w:r>
      <w:r w:rsidR="08E0310D" w:rsidRPr="003D1E07">
        <w:t>P</w:t>
      </w:r>
      <w:r w:rsidR="08550DE7" w:rsidRPr="003D1E07">
        <w:t xml:space="preserve">řítomné vidění tohoto celku je vázané na akt </w:t>
      </w:r>
      <w:r w:rsidR="003E47D2" w:rsidRPr="003D1E07">
        <w:t xml:space="preserve">archegetické </w:t>
      </w:r>
      <w:r w:rsidR="08550DE7" w:rsidRPr="003D1E07">
        <w:t xml:space="preserve">donace dané od bohů ke smrtelníkům. </w:t>
      </w:r>
      <w:r w:rsidR="00FF1F8E" w:rsidRPr="003D1E07">
        <w:t>C</w:t>
      </w:r>
      <w:r w:rsidR="08F92E09" w:rsidRPr="003D1E07">
        <w:t xml:space="preserve">elek bytí je přítomný skrze věštecký dar vidění ve všech časových dimenzích. Kalchásem viděný celek </w:t>
      </w:r>
      <w:r w:rsidR="00FF1F8E" w:rsidRPr="003D1E07">
        <w:t xml:space="preserve">všeho přítomného </w:t>
      </w:r>
      <w:r w:rsidR="00603539" w:rsidRPr="003D1E07">
        <w:t>(</w:t>
      </w:r>
      <w:r w:rsidR="00603539" w:rsidRPr="003D1E07">
        <w:rPr>
          <w:i/>
        </w:rPr>
        <w:t>tá ónta</w:t>
      </w:r>
      <w:r w:rsidR="00603539" w:rsidRPr="003D1E07">
        <w:t xml:space="preserve">) </w:t>
      </w:r>
      <w:r w:rsidR="08F92E09" w:rsidRPr="003D1E07">
        <w:t xml:space="preserve">je určen věšteckým náhledem na přítomný celek bytí daný stejným způsobem také v minulosti a v budoucnosti. </w:t>
      </w:r>
      <w:r w:rsidR="08BF2036" w:rsidRPr="003D1E07">
        <w:t xml:space="preserve">Božský prézent vidění celku bytí </w:t>
      </w:r>
      <w:r w:rsidR="004E0F56" w:rsidRPr="003D1E07">
        <w:t xml:space="preserve">skrze božskou po-odhalenost </w:t>
      </w:r>
      <w:r w:rsidR="08BF2036" w:rsidRPr="003D1E07">
        <w:t xml:space="preserve">není vázán na vidění jednotlivého jsoucna. </w:t>
      </w:r>
      <w:r w:rsidR="00FF7A28" w:rsidRPr="003D1E07">
        <w:t xml:space="preserve">Věštci prezentovali celek bytí </w:t>
      </w:r>
      <w:r w:rsidR="00095493">
        <w:t>skrze prézentní mediální vidění, které označuje sloveso „</w:t>
      </w:r>
      <w:r w:rsidR="00FF7A28" w:rsidRPr="003D1E07">
        <w:t>εἴ</w:t>
      </w:r>
      <w:r w:rsidR="00095493">
        <w:t>δομαι“</w:t>
      </w:r>
      <w:r w:rsidR="00FF7A28" w:rsidRPr="003D1E07">
        <w:t xml:space="preserve">. </w:t>
      </w:r>
      <w:r w:rsidR="08550DE7" w:rsidRPr="003D1E07">
        <w:t>V</w:t>
      </w:r>
      <w:r w:rsidR="0884557B" w:rsidRPr="003D1E07">
        <w:t xml:space="preserve">idění celku bytí </w:t>
      </w:r>
      <w:r w:rsidR="080C531C" w:rsidRPr="003D1E07">
        <w:t xml:space="preserve">ve věšteckém prézentu </w:t>
      </w:r>
      <w:r w:rsidR="0884557B" w:rsidRPr="003D1E07">
        <w:t xml:space="preserve">je </w:t>
      </w:r>
      <w:r w:rsidR="080C531C" w:rsidRPr="003D1E07">
        <w:t xml:space="preserve">postaveno </w:t>
      </w:r>
      <w:r w:rsidR="08F92E09" w:rsidRPr="003D1E07">
        <w:t xml:space="preserve">jak </w:t>
      </w:r>
      <w:r w:rsidR="080C531C" w:rsidRPr="003D1E07">
        <w:t xml:space="preserve">mimo </w:t>
      </w:r>
      <w:r w:rsidR="08F92E09" w:rsidRPr="003D1E07">
        <w:t xml:space="preserve">bytí jednotlivého jsoucna tak mimo </w:t>
      </w:r>
      <w:r w:rsidR="080C531C" w:rsidRPr="003D1E07">
        <w:t xml:space="preserve">plynutí </w:t>
      </w:r>
      <w:r w:rsidR="08470BB6" w:rsidRPr="003D1E07">
        <w:t xml:space="preserve">ontického </w:t>
      </w:r>
      <w:r w:rsidR="080C531C" w:rsidRPr="003D1E07">
        <w:t>času</w:t>
      </w:r>
      <w:r w:rsidR="08470BB6" w:rsidRPr="003D1E07">
        <w:t xml:space="preserve">. </w:t>
      </w:r>
      <w:r w:rsidR="08C31B9C" w:rsidRPr="003D1E07">
        <w:t>J</w:t>
      </w:r>
      <w:r w:rsidR="081D529F" w:rsidRPr="003D1E07">
        <w:t xml:space="preserve">ednotlivé minulé jsoucno </w:t>
      </w:r>
      <w:r w:rsidR="08976C34" w:rsidRPr="003D1E07">
        <w:t xml:space="preserve">takto původně přítomné není, protože už neexistuje. Totéž platí pro budoucí jednotlivé jsoucno, </w:t>
      </w:r>
      <w:r w:rsidR="08976C34" w:rsidRPr="003D1E07">
        <w:lastRenderedPageBreak/>
        <w:t xml:space="preserve">protože ještě neexistuje. </w:t>
      </w:r>
      <w:r w:rsidR="082A5805" w:rsidRPr="003D1E07">
        <w:t>Archaické vidění je dáno v prostoru epochálních možností utvořených múzickou iniciativou skrytého bytí</w:t>
      </w:r>
      <w:r w:rsidR="006253B1" w:rsidRPr="003D1E07">
        <w:t>, které má božský archetypický charakter</w:t>
      </w:r>
      <w:r w:rsidR="082A5805" w:rsidRPr="003D1E07">
        <w:t xml:space="preserve">. </w:t>
      </w:r>
      <w:r w:rsidR="08E2057F" w:rsidRPr="003D1E07">
        <w:t xml:space="preserve">V múzicky či věštecky </w:t>
      </w:r>
      <w:r w:rsidR="08BC561C" w:rsidRPr="003D1E07">
        <w:t xml:space="preserve">přítomném celku jsoucna nemají jednotlivé věci vlastní svébytnost. </w:t>
      </w:r>
      <w:r w:rsidR="0869095E" w:rsidRPr="003D1E07">
        <w:t xml:space="preserve">Jednotliviny jsou podrobeny vzniku a zániku v rámci původního a trvale přítomného celku </w:t>
      </w:r>
      <w:r w:rsidR="0869095E" w:rsidRPr="003D1E07">
        <w:rPr>
          <w:i/>
        </w:rPr>
        <w:t>fýsis</w:t>
      </w:r>
      <w:r w:rsidR="0869095E" w:rsidRPr="003D1E07">
        <w:t xml:space="preserve">. </w:t>
      </w:r>
      <w:r w:rsidR="08C3504D" w:rsidRPr="003D1E07">
        <w:t>Archaické vidění založilo a nese původní formu vědění</w:t>
      </w:r>
      <w:r w:rsidR="08921377" w:rsidRPr="003D1E07">
        <w:t xml:space="preserve"> o tomto celku, protože jej vidělo přímo a bezprostředně</w:t>
      </w:r>
      <w:r w:rsidR="08C3504D" w:rsidRPr="003D1E07">
        <w:t xml:space="preserve">. </w:t>
      </w:r>
      <w:r w:rsidR="00783954" w:rsidRPr="003D1E07">
        <w:t xml:space="preserve">Archaický </w:t>
      </w:r>
      <w:r w:rsidR="00783954" w:rsidRPr="003D1E07">
        <w:rPr>
          <w:i/>
        </w:rPr>
        <w:t>hísto</w:t>
      </w:r>
      <w:r w:rsidR="08976C34" w:rsidRPr="003D1E07">
        <w:rPr>
          <w:i/>
        </w:rPr>
        <w:t>r</w:t>
      </w:r>
      <w:r w:rsidR="00A07EE5" w:rsidRPr="003D1E07">
        <w:rPr>
          <w:i/>
          <w:noProof w:val="0"/>
          <w:lang w:eastAsia="x-none"/>
        </w:rPr>
        <w:fldChar w:fldCharType="begin"/>
      </w:r>
      <w:r w:rsidR="00A07EE5" w:rsidRPr="003D1E07">
        <w:instrText xml:space="preserve"> XE "</w:instrText>
      </w:r>
      <w:r w:rsidR="00A07EE5" w:rsidRPr="003D1E07">
        <w:rPr>
          <w:i/>
          <w:noProof w:val="0"/>
          <w:lang w:eastAsia="x-none"/>
        </w:rPr>
        <w:instrText>hístor</w:instrText>
      </w:r>
      <w:r w:rsidR="00A07EE5" w:rsidRPr="003D1E07">
        <w:instrText xml:space="preserve">" </w:instrText>
      </w:r>
      <w:r w:rsidR="00A07EE5" w:rsidRPr="003D1E07">
        <w:rPr>
          <w:i/>
          <w:noProof w:val="0"/>
          <w:lang w:eastAsia="x-none"/>
        </w:rPr>
        <w:fldChar w:fldCharType="end"/>
      </w:r>
      <w:r w:rsidR="00A07EE5" w:rsidRPr="003D1E07">
        <w:rPr>
          <w:i/>
          <w:noProof w:val="0"/>
          <w:lang w:eastAsia="x-none"/>
        </w:rPr>
        <w:t xml:space="preserve"> </w:t>
      </w:r>
      <w:r w:rsidR="00A07EE5" w:rsidRPr="003D1E07">
        <w:t xml:space="preserve">(ἴστωρ) </w:t>
      </w:r>
      <w:r w:rsidR="00DB08A6" w:rsidRPr="003D1E07">
        <w:t xml:space="preserve">v roli svědka </w:t>
      </w:r>
      <w:r w:rsidR="08976C34" w:rsidRPr="003D1E07">
        <w:t>potvrdil věštbu č</w:t>
      </w:r>
      <w:r w:rsidR="00DB08A6" w:rsidRPr="003D1E07">
        <w:t xml:space="preserve">i přísahu proto, že věštec nebo prorok něco </w:t>
      </w:r>
      <w:r w:rsidR="08976C34" w:rsidRPr="003D1E07">
        <w:t>v</w:t>
      </w:r>
      <w:r w:rsidR="08DA0EA0" w:rsidRPr="003D1E07">
        <w:t xml:space="preserve">iděli a tím </w:t>
      </w:r>
      <w:r w:rsidR="00DB08A6" w:rsidRPr="003D1E07">
        <w:t xml:space="preserve">se </w:t>
      </w:r>
      <w:r w:rsidR="08DA0EA0" w:rsidRPr="003D1E07">
        <w:t xml:space="preserve">nyní pravdivě </w:t>
      </w:r>
      <w:r w:rsidR="08976C34" w:rsidRPr="003D1E07">
        <w:t>ví to, co bylo viděné</w:t>
      </w:r>
      <w:r w:rsidR="00A911CB" w:rsidRPr="003D1E07">
        <w:t>.</w:t>
      </w:r>
      <w:r w:rsidR="00A911CB" w:rsidRPr="003D1E07">
        <w:rPr>
          <w:rStyle w:val="Znakapoznpodarou"/>
        </w:rPr>
        <w:footnoteReference w:id="11"/>
      </w:r>
      <w:r w:rsidR="08976C34" w:rsidRPr="003D1E07">
        <w:t xml:space="preserve"> </w:t>
      </w:r>
      <w:r w:rsidR="00317864" w:rsidRPr="003D1E07">
        <w:t xml:space="preserve">Dosvědčená </w:t>
      </w:r>
      <w:r w:rsidR="080A19F4" w:rsidRPr="003D1E07">
        <w:t xml:space="preserve">přítomnost jednotliviny </w:t>
      </w:r>
      <w:r w:rsidR="00C279AB" w:rsidRPr="003D1E07">
        <w:t xml:space="preserve">a důležité události </w:t>
      </w:r>
      <w:r w:rsidR="080A19F4" w:rsidRPr="003D1E07">
        <w:t xml:space="preserve">je vázána na původní přítomnost celku bytí, který </w:t>
      </w:r>
      <w:r w:rsidR="08E57BB5" w:rsidRPr="003D1E07">
        <w:t xml:space="preserve">po věštcích </w:t>
      </w:r>
      <w:r w:rsidR="080A19F4" w:rsidRPr="003D1E07">
        <w:t xml:space="preserve">zkoumali </w:t>
      </w:r>
      <w:r w:rsidR="08E57BB5" w:rsidRPr="003D1E07">
        <w:t xml:space="preserve">také </w:t>
      </w:r>
      <w:r w:rsidR="080A19F4" w:rsidRPr="003D1E07">
        <w:t xml:space="preserve">první filosofové. </w:t>
      </w:r>
      <w:r w:rsidR="005B1266" w:rsidRPr="003D1E07">
        <w:t xml:space="preserve">Tato donace bytí už běží skrze principiální dativ </w:t>
      </w:r>
      <w:r w:rsidR="005B1266" w:rsidRPr="003D1E07">
        <w:rPr>
          <w:noProof w:val="0"/>
          <w:lang w:eastAsia="x-none"/>
        </w:rPr>
        <w:t>(</w:t>
      </w:r>
      <w:r w:rsidR="005B1266" w:rsidRPr="003D1E07">
        <w:rPr>
          <w:i/>
          <w:noProof w:val="0"/>
          <w:lang w:eastAsia="x-none"/>
        </w:rPr>
        <w:t>dativus principalis</w:t>
      </w:r>
      <w:r w:rsidR="005B1266" w:rsidRPr="003D1E07">
        <w:rPr>
          <w:noProof w:val="0"/>
          <w:lang w:eastAsia="x-none"/>
        </w:rPr>
        <w:t xml:space="preserve">). </w:t>
      </w:r>
      <w:r w:rsidR="0876673E" w:rsidRPr="003D1E07">
        <w:rPr>
          <w:lang w:eastAsia="en-US"/>
        </w:rPr>
        <w:t>Parmenide</w:t>
      </w:r>
      <w:r w:rsidR="0026281E">
        <w:rPr>
          <w:lang w:eastAsia="en-US"/>
        </w:rPr>
        <w:t xml:space="preserve">s díky laskavé bohyni </w:t>
      </w:r>
      <w:r w:rsidR="00E7153E">
        <w:rPr>
          <w:lang w:eastAsia="en-US"/>
        </w:rPr>
        <w:t>Alé</w:t>
      </w:r>
      <w:r w:rsidR="001F58DF">
        <w:rPr>
          <w:lang w:eastAsia="en-US"/>
        </w:rPr>
        <w:t xml:space="preserve">theia </w:t>
      </w:r>
      <w:r w:rsidR="0876673E" w:rsidRPr="003D1E07">
        <w:rPr>
          <w:lang w:eastAsia="en-US"/>
        </w:rPr>
        <w:t xml:space="preserve">jako první nám známý smrtelník viděl manifestaci celku jsoucna v původní formě bytí. </w:t>
      </w:r>
      <w:r w:rsidR="0876673E" w:rsidRPr="003D1E07">
        <w:t xml:space="preserve">Parmenides dostává darem vidění toho, co je odkrytě přítomné vzhledem k múzicky po-odhalenému a božskému celku bytí. </w:t>
      </w:r>
      <w:r w:rsidR="0876673E" w:rsidRPr="003D1E07">
        <w:rPr>
          <w:lang w:eastAsia="en-US"/>
        </w:rPr>
        <w:t>Jeho vidění celku bytí se odehrává v múzickém prézentu. Parmenides po vzoru Kalcháse spojil celek toho, co jest (</w:t>
      </w:r>
      <w:r w:rsidR="0876673E" w:rsidRPr="003D1E07">
        <w:t>τ' ἐὸν ἔμμεναι</w:t>
      </w:r>
      <w:r w:rsidR="0876673E" w:rsidRPr="003D1E07">
        <w:rPr>
          <w:lang w:eastAsia="en-US"/>
        </w:rPr>
        <w:t>) s původním bytím, v němž se celek jsoucna zjevuje (</w:t>
      </w:r>
      <w:r w:rsidR="0876673E" w:rsidRPr="003D1E07">
        <w:t>ἔστι γὰρ εἶ</w:t>
      </w:r>
      <w:r w:rsidR="083F2FD8" w:rsidRPr="003D1E07">
        <w:t xml:space="preserve">ναι; </w:t>
      </w:r>
      <w:r w:rsidR="00E25C4B" w:rsidRPr="003D1E07">
        <w:t xml:space="preserve">DK 28, </w:t>
      </w:r>
      <w:r w:rsidR="003F7EA2" w:rsidRPr="003D1E07">
        <w:t>B 6.</w:t>
      </w:r>
      <w:r w:rsidR="0876673E" w:rsidRPr="003D1E07">
        <w:t>8</w:t>
      </w:r>
      <w:r w:rsidR="0876673E" w:rsidRPr="003D1E07">
        <w:fldChar w:fldCharType="begin"/>
      </w:r>
      <w:r w:rsidR="0876673E" w:rsidRPr="003D1E07">
        <w:instrText xml:space="preserve"> XE "Parmenides:B 6.8" </w:instrText>
      </w:r>
      <w:r w:rsidR="0876673E" w:rsidRPr="003D1E07">
        <w:fldChar w:fldCharType="end"/>
      </w:r>
      <w:r w:rsidR="0876673E" w:rsidRPr="003D1E07">
        <w:rPr>
          <w:lang w:eastAsia="en-US"/>
        </w:rPr>
        <w:t xml:space="preserve">). Díky jeho moudrému vidění se skryté bytí stalo tématem pro </w:t>
      </w:r>
      <w:r w:rsidR="00102D30" w:rsidRPr="003D1E07">
        <w:rPr>
          <w:lang w:eastAsia="en-US"/>
        </w:rPr>
        <w:t>filosofy jako první „historiky“</w:t>
      </w:r>
      <w:r w:rsidR="0876673E" w:rsidRPr="003D1E07">
        <w:rPr>
          <w:lang w:eastAsia="en-US"/>
        </w:rPr>
        <w:t xml:space="preserve">. Pravda jako múzická shoda bytí a myšlení se manifestuje skrze specifickou přítomnost bytí celku v jeho skrytosti </w:t>
      </w:r>
      <w:r w:rsidR="002E4345" w:rsidRPr="003D1E07">
        <w:rPr>
          <w:lang w:eastAsia="en-US"/>
        </w:rPr>
        <w:t>(</w:t>
      </w:r>
      <w:r w:rsidR="002E4345" w:rsidRPr="003D1E07">
        <w:rPr>
          <w:i/>
          <w:lang w:eastAsia="en-US"/>
        </w:rPr>
        <w:t>léthe</w:t>
      </w:r>
      <w:r w:rsidR="002E4345" w:rsidRPr="003D1E07">
        <w:rPr>
          <w:lang w:eastAsia="en-US"/>
        </w:rPr>
        <w:t xml:space="preserve">) </w:t>
      </w:r>
      <w:r w:rsidR="0876673E" w:rsidRPr="003D1E07">
        <w:rPr>
          <w:lang w:eastAsia="en-US"/>
        </w:rPr>
        <w:t>a odkrytosti</w:t>
      </w:r>
      <w:r w:rsidR="002E4345" w:rsidRPr="003D1E07">
        <w:rPr>
          <w:lang w:eastAsia="en-US"/>
        </w:rPr>
        <w:t xml:space="preserve"> (</w:t>
      </w:r>
      <w:r w:rsidR="002E4345" w:rsidRPr="003D1E07">
        <w:rPr>
          <w:i/>
          <w:lang w:eastAsia="en-US"/>
        </w:rPr>
        <w:t>alétheia</w:t>
      </w:r>
      <w:r w:rsidR="002E4345" w:rsidRPr="003D1E07">
        <w:rPr>
          <w:lang w:eastAsia="en-US"/>
        </w:rPr>
        <w:t>)</w:t>
      </w:r>
      <w:r w:rsidR="0876673E" w:rsidRPr="003D1E07">
        <w:rPr>
          <w:lang w:eastAsia="en-US"/>
        </w:rPr>
        <w:t xml:space="preserve">. Celek jsoucna daný v přítomném prézentu bytí zakládá první epochální shodu přítomného bytí celku a </w:t>
      </w:r>
      <w:r w:rsidR="00B80B0B" w:rsidRPr="003D1E07">
        <w:rPr>
          <w:lang w:eastAsia="en-US"/>
        </w:rPr>
        <w:t xml:space="preserve">vstřícného </w:t>
      </w:r>
      <w:r w:rsidR="0876673E" w:rsidRPr="003D1E07">
        <w:rPr>
          <w:lang w:eastAsia="en-US"/>
        </w:rPr>
        <w:t>myšlení (</w:t>
      </w:r>
      <w:r w:rsidR="0876673E" w:rsidRPr="003D1E07">
        <w:t>τὸ γὰρ αὐτὸ νοεῖν ἐστίν τε καὶ εἶ</w:t>
      </w:r>
      <w:r w:rsidR="002E4345" w:rsidRPr="003D1E07">
        <w:t>ναι;</w:t>
      </w:r>
      <w:r w:rsidR="0876673E" w:rsidRPr="003D1E07">
        <w:t xml:space="preserve"> </w:t>
      </w:r>
      <w:r w:rsidR="002E4345" w:rsidRPr="003D1E07">
        <w:t xml:space="preserve">DK 28, </w:t>
      </w:r>
      <w:r w:rsidR="0876673E" w:rsidRPr="003D1E07">
        <w:t>B 3</w:t>
      </w:r>
      <w:r w:rsidR="0876673E" w:rsidRPr="003D1E07">
        <w:rPr>
          <w:i/>
        </w:rPr>
        <w:fldChar w:fldCharType="begin"/>
      </w:r>
      <w:r w:rsidR="082253BA" w:rsidRPr="003D1E07">
        <w:instrText xml:space="preserve"> XE "Parmenides:</w:instrText>
      </w:r>
      <w:r w:rsidR="0876673E" w:rsidRPr="003D1E07">
        <w:instrText xml:space="preserve">B 3" </w:instrText>
      </w:r>
      <w:r w:rsidR="0876673E" w:rsidRPr="003D1E07">
        <w:rPr>
          <w:i/>
        </w:rPr>
        <w:fldChar w:fldCharType="end"/>
      </w:r>
      <w:r w:rsidR="0876673E" w:rsidRPr="003D1E07">
        <w:rPr>
          <w:lang w:eastAsia="en-US"/>
        </w:rPr>
        <w:t xml:space="preserve">). Filosofický epos </w:t>
      </w:r>
      <w:r w:rsidR="0875495C" w:rsidRPr="003D1E07">
        <w:rPr>
          <w:lang w:eastAsia="en-US"/>
        </w:rPr>
        <w:t xml:space="preserve">Parmenida </w:t>
      </w:r>
      <w:r w:rsidR="00153195" w:rsidRPr="003D1E07">
        <w:rPr>
          <w:lang w:eastAsia="en-US"/>
        </w:rPr>
        <w:t xml:space="preserve">po-odkrývá </w:t>
      </w:r>
      <w:r w:rsidR="0876673E" w:rsidRPr="003D1E07">
        <w:rPr>
          <w:lang w:eastAsia="en-US"/>
        </w:rPr>
        <w:t xml:space="preserve">dění této odkrytosti ve formě filosofické </w:t>
      </w:r>
      <w:r w:rsidR="0876673E" w:rsidRPr="003D1E07">
        <w:rPr>
          <w:i/>
          <w:lang w:eastAsia="en-US"/>
        </w:rPr>
        <w:t>alétheia</w:t>
      </w:r>
      <w:r w:rsidR="00153195" w:rsidRPr="003D1E07">
        <w:rPr>
          <w:lang w:eastAsia="en-US"/>
        </w:rPr>
        <w:t xml:space="preserve">. Donace ve formě </w:t>
      </w:r>
      <w:r w:rsidR="00153195" w:rsidRPr="003D1E07">
        <w:rPr>
          <w:i/>
          <w:lang w:eastAsia="en-US"/>
        </w:rPr>
        <w:t>dativus principalis</w:t>
      </w:r>
      <w:r w:rsidR="00153195" w:rsidRPr="003D1E07">
        <w:rPr>
          <w:lang w:eastAsia="en-US"/>
        </w:rPr>
        <w:t xml:space="preserve"> </w:t>
      </w:r>
      <w:r w:rsidR="0876673E" w:rsidRPr="003D1E07">
        <w:rPr>
          <w:lang w:eastAsia="en-US"/>
        </w:rPr>
        <w:t xml:space="preserve">určuje základní způsob, jak je </w:t>
      </w:r>
      <w:r w:rsidR="00016696" w:rsidRPr="003D1E07">
        <w:rPr>
          <w:lang w:eastAsia="en-US"/>
        </w:rPr>
        <w:t xml:space="preserve">dějinně </w:t>
      </w:r>
      <w:r w:rsidR="0876673E" w:rsidRPr="003D1E07">
        <w:rPr>
          <w:lang w:eastAsia="en-US"/>
        </w:rPr>
        <w:t xml:space="preserve">dána přítomnost jsoucího. Pod vedením moudré bohyně Alétheia popsal tento občan řecké kolonie v Itálii základní znaky přítomného celku bytí, pravdy a jsoucna. </w:t>
      </w:r>
      <w:r w:rsidR="089231F9" w:rsidRPr="003D1E07">
        <w:rPr>
          <w:lang w:eastAsia="en-US"/>
        </w:rPr>
        <w:t xml:space="preserve">A další myslitelé </w:t>
      </w:r>
      <w:r w:rsidR="089231F9" w:rsidRPr="003D1E07">
        <w:t xml:space="preserve">zachovali alespoň části </w:t>
      </w:r>
      <w:r w:rsidR="089231F9" w:rsidRPr="003D1E07">
        <w:rPr>
          <w:lang w:eastAsia="en-US"/>
        </w:rPr>
        <w:t>jeho mystagogického eposu</w:t>
      </w:r>
      <w:r w:rsidR="089231F9" w:rsidRPr="003D1E07">
        <w:t xml:space="preserve">, </w:t>
      </w:r>
      <w:r w:rsidR="089231F9" w:rsidRPr="003D1E07">
        <w:rPr>
          <w:lang w:eastAsia="en-US"/>
        </w:rPr>
        <w:t xml:space="preserve">protože věděli, proč byl důležitý. </w:t>
      </w:r>
      <w:r w:rsidR="0876673E" w:rsidRPr="003D1E07">
        <w:t xml:space="preserve">První filosofové, tragikové a Sokrates vykládali božský řád bytí zjevený pythicky a múzicky. Platonova proměna vidění </w:t>
      </w:r>
      <w:r w:rsidR="009E3DAA" w:rsidRPr="003D1E07">
        <w:t xml:space="preserve">na vědění </w:t>
      </w:r>
      <w:r w:rsidR="00BC2A56" w:rsidRPr="003D1E07">
        <w:t xml:space="preserve">změnila přítomný </w:t>
      </w:r>
      <w:r w:rsidR="0876673E" w:rsidRPr="003D1E07">
        <w:t>cel</w:t>
      </w:r>
      <w:r w:rsidR="00BC2A56" w:rsidRPr="003D1E07">
        <w:t>ek</w:t>
      </w:r>
      <w:r w:rsidR="0876673E" w:rsidRPr="003D1E07">
        <w:t xml:space="preserve"> bytí na perfektní </w:t>
      </w:r>
      <w:r w:rsidR="002F20C7" w:rsidRPr="003D1E07">
        <w:t xml:space="preserve">znalost </w:t>
      </w:r>
      <w:r w:rsidR="00A56E18" w:rsidRPr="003D1E07">
        <w:t xml:space="preserve">individuálního </w:t>
      </w:r>
      <w:r w:rsidR="000F7640" w:rsidRPr="003D1E07">
        <w:t>jsoucna</w:t>
      </w:r>
      <w:r w:rsidR="00BC2A56" w:rsidRPr="003D1E07">
        <w:rPr>
          <w:noProof w:val="0"/>
          <w:lang w:eastAsia="x-none"/>
        </w:rPr>
        <w:t xml:space="preserve">. Toto vidění </w:t>
      </w:r>
      <w:r w:rsidR="00102064" w:rsidRPr="003D1E07">
        <w:rPr>
          <w:noProof w:val="0"/>
          <w:lang w:eastAsia="x-none"/>
        </w:rPr>
        <w:t xml:space="preserve">změněné na </w:t>
      </w:r>
      <w:r w:rsidR="00BC2A56" w:rsidRPr="003D1E07">
        <w:rPr>
          <w:noProof w:val="0"/>
          <w:lang w:eastAsia="x-none"/>
        </w:rPr>
        <w:t xml:space="preserve">vědění </w:t>
      </w:r>
      <w:r w:rsidR="0876673E" w:rsidRPr="003D1E07">
        <w:t xml:space="preserve">dává nový smysl všemu, co je </w:t>
      </w:r>
      <w:r w:rsidR="00B45733" w:rsidRPr="003D1E07">
        <w:t>zj</w:t>
      </w:r>
      <w:r w:rsidR="0876673E" w:rsidRPr="003D1E07">
        <w:t>e</w:t>
      </w:r>
      <w:r w:rsidR="00B45733" w:rsidRPr="003D1E07">
        <w:t>v</w:t>
      </w:r>
      <w:r w:rsidR="0876673E" w:rsidRPr="003D1E07">
        <w:t>né a tím i jsoucí</w:t>
      </w:r>
      <w:r w:rsidR="0876673E" w:rsidRPr="003D1E07">
        <w:rPr>
          <w:i/>
        </w:rPr>
        <w:fldChar w:fldCharType="begin"/>
      </w:r>
      <w:r w:rsidR="0876673E" w:rsidRPr="003D1E07">
        <w:instrText xml:space="preserve"> XE "objektivita:Platon" </w:instrText>
      </w:r>
      <w:r w:rsidR="0876673E" w:rsidRPr="003D1E07">
        <w:rPr>
          <w:i/>
        </w:rPr>
        <w:fldChar w:fldCharType="end"/>
      </w:r>
      <w:r w:rsidR="009E19DC">
        <w:t>.</w:t>
      </w:r>
    </w:p>
    <w:p w14:paraId="0E877408" w14:textId="7D62808C" w:rsidR="002C4373" w:rsidRDefault="086A74EB" w:rsidP="008F678A">
      <w:pPr>
        <w:ind w:firstLine="397"/>
      </w:pPr>
      <w:r w:rsidRPr="003D1E07">
        <w:lastRenderedPageBreak/>
        <w:t xml:space="preserve">Platon </w:t>
      </w:r>
      <w:r w:rsidR="009D5F49" w:rsidRPr="003D1E07">
        <w:t xml:space="preserve">uzavřel myšlení prvních filosofů, </w:t>
      </w:r>
      <w:r w:rsidRPr="003D1E07">
        <w:t xml:space="preserve">protože přeměnil přítomné vidění božského celku bytí na uzavřenou minulost aoristu (ἰδέσθαι). Co bylo </w:t>
      </w:r>
      <w:r w:rsidR="00DB08CB" w:rsidRPr="003D1E07">
        <w:t>viděno v minulosti,</w:t>
      </w:r>
      <w:r w:rsidR="0060069C" w:rsidRPr="003D1E07">
        <w:t xml:space="preserve"> pří</w:t>
      </w:r>
      <w:r w:rsidR="00DB08CB" w:rsidRPr="003D1E07">
        <w:t>tomnosti a budoucnosti</w:t>
      </w:r>
      <w:r w:rsidRPr="003D1E07">
        <w:t>, to působí v</w:t>
      </w:r>
      <w:r w:rsidR="00DB08CB" w:rsidRPr="003D1E07">
        <w:t> </w:t>
      </w:r>
      <w:r w:rsidR="0060069C" w:rsidRPr="003D1E07">
        <w:t>platonismu</w:t>
      </w:r>
      <w:r w:rsidR="00DB08CB" w:rsidRPr="003D1E07">
        <w:t xml:space="preserve"> </w:t>
      </w:r>
      <w:r w:rsidRPr="003D1E07">
        <w:t xml:space="preserve">skrze perfektum dané jako završené vědění. </w:t>
      </w:r>
      <w:r w:rsidR="081B53B5" w:rsidRPr="003D1E07">
        <w:rPr>
          <w:lang w:eastAsia="en-US"/>
        </w:rPr>
        <w:t>Co bylo</w:t>
      </w:r>
      <w:r w:rsidR="089E0437" w:rsidRPr="003D1E07">
        <w:rPr>
          <w:lang w:eastAsia="en-US"/>
        </w:rPr>
        <w:t xml:space="preserve"> viděno</w:t>
      </w:r>
      <w:r w:rsidR="081B53B5" w:rsidRPr="003D1E07">
        <w:rPr>
          <w:lang w:eastAsia="en-US"/>
        </w:rPr>
        <w:t xml:space="preserve"> jako </w:t>
      </w:r>
      <w:r w:rsidR="007C1856">
        <w:rPr>
          <w:lang w:eastAsia="en-US"/>
        </w:rPr>
        <w:t xml:space="preserve">přítomný </w:t>
      </w:r>
      <w:r w:rsidR="081B53B5" w:rsidRPr="003D1E07">
        <w:rPr>
          <w:lang w:eastAsia="en-US"/>
        </w:rPr>
        <w:t>celek</w:t>
      </w:r>
      <w:r w:rsidR="00CA1887" w:rsidRPr="003D1E07">
        <w:rPr>
          <w:lang w:eastAsia="en-US"/>
        </w:rPr>
        <w:t xml:space="preserve"> bytí</w:t>
      </w:r>
      <w:r w:rsidR="089E0437" w:rsidRPr="003D1E07">
        <w:rPr>
          <w:lang w:eastAsia="en-US"/>
        </w:rPr>
        <w:t xml:space="preserve">, to je </w:t>
      </w:r>
      <w:r w:rsidR="081B53B5" w:rsidRPr="003D1E07">
        <w:rPr>
          <w:lang w:eastAsia="en-US"/>
        </w:rPr>
        <w:t xml:space="preserve">v novém ideovém náhledu na jednotlivé jsoucno </w:t>
      </w:r>
      <w:r w:rsidR="089E0437" w:rsidRPr="003D1E07">
        <w:rPr>
          <w:lang w:eastAsia="en-US"/>
        </w:rPr>
        <w:t>dán</w:t>
      </w:r>
      <w:r w:rsidR="084F2BF2" w:rsidRPr="003D1E07">
        <w:rPr>
          <w:lang w:eastAsia="en-US"/>
        </w:rPr>
        <w:t xml:space="preserve">o stále stejně a trvale. </w:t>
      </w:r>
      <w:r w:rsidR="08CC471C" w:rsidRPr="003D1E07">
        <w:t xml:space="preserve">Působení celku bytí </w:t>
      </w:r>
      <w:r w:rsidR="00D527A7">
        <w:t xml:space="preserve">překonané </w:t>
      </w:r>
      <w:r w:rsidR="00CA1887" w:rsidRPr="003D1E07">
        <w:t xml:space="preserve">první filosofie </w:t>
      </w:r>
      <w:r w:rsidR="08CC471C" w:rsidRPr="003D1E07">
        <w:t xml:space="preserve">je dáno v modu plně přítomného vědění </w:t>
      </w:r>
      <w:r w:rsidR="00D527A7">
        <w:t>Platona, které určuje participium</w:t>
      </w:r>
      <w:r w:rsidR="00FD5B94" w:rsidRPr="003D1E07">
        <w:t xml:space="preserve"> </w:t>
      </w:r>
      <w:r w:rsidR="00A1053A" w:rsidRPr="003D1E07">
        <w:t xml:space="preserve">perfekta </w:t>
      </w:r>
      <w:r w:rsidR="08CC471C" w:rsidRPr="003D1E07">
        <w:t>(</w:t>
      </w:r>
      <w:r w:rsidR="00FD5B94" w:rsidRPr="003D1E07">
        <w:t>εἰδός</w:t>
      </w:r>
      <w:r w:rsidR="08CC471C" w:rsidRPr="003D1E07">
        <w:t xml:space="preserve">). </w:t>
      </w:r>
      <w:r w:rsidR="001E7FA4" w:rsidRPr="003D1E07">
        <w:t xml:space="preserve">Perfektní poznání singulárního jsoucna je základem eidetického vidění. </w:t>
      </w:r>
      <w:r w:rsidR="08CC471C" w:rsidRPr="003D1E07">
        <w:t xml:space="preserve">Idea </w:t>
      </w:r>
      <w:r w:rsidR="001C096C" w:rsidRPr="003D1E07">
        <w:t xml:space="preserve">osvětluje každé jsoucno a </w:t>
      </w:r>
      <w:r w:rsidR="08CC471C" w:rsidRPr="003D1E07">
        <w:t>představuje plně završenou jednotlivinu</w:t>
      </w:r>
      <w:r w:rsidR="001C096C" w:rsidRPr="003D1E07">
        <w:t>. P</w:t>
      </w:r>
      <w:r w:rsidR="08CC471C" w:rsidRPr="003D1E07">
        <w:t xml:space="preserve">roto je </w:t>
      </w:r>
      <w:r w:rsidR="08CC471C" w:rsidRPr="003D1E07">
        <w:rPr>
          <w:lang w:eastAsia="en-US"/>
        </w:rPr>
        <w:t xml:space="preserve">nejvyšším </w:t>
      </w:r>
      <w:r w:rsidR="00A9042F" w:rsidRPr="003D1E07">
        <w:rPr>
          <w:lang w:eastAsia="en-US"/>
        </w:rPr>
        <w:t xml:space="preserve">věděným a proto i „viděným“ </w:t>
      </w:r>
      <w:r w:rsidR="08CC471C" w:rsidRPr="003D1E07">
        <w:rPr>
          <w:lang w:eastAsia="en-US"/>
        </w:rPr>
        <w:t>jsoucnem</w:t>
      </w:r>
      <w:r w:rsidR="08CC471C" w:rsidRPr="003D1E07">
        <w:t xml:space="preserve">. </w:t>
      </w:r>
      <w:r w:rsidR="088165EA" w:rsidRPr="003D1E07">
        <w:t xml:space="preserve">Původní vidění </w:t>
      </w:r>
      <w:r w:rsidR="00390E56" w:rsidRPr="003D1E07">
        <w:t xml:space="preserve">kosmického </w:t>
      </w:r>
      <w:r w:rsidR="008F7320" w:rsidRPr="003D1E07">
        <w:t xml:space="preserve">řádu </w:t>
      </w:r>
      <w:r w:rsidR="088165EA" w:rsidRPr="003D1E07">
        <w:t xml:space="preserve">bytí </w:t>
      </w:r>
      <w:r w:rsidR="008B7090" w:rsidRPr="003D1E07">
        <w:t xml:space="preserve">zmizelo </w:t>
      </w:r>
      <w:r w:rsidR="00F467A5" w:rsidRPr="003D1E07">
        <w:t>a jeho místo nahradilo přítomné</w:t>
      </w:r>
      <w:r w:rsidR="003937D4" w:rsidRPr="003D1E07">
        <w:t xml:space="preserve"> </w:t>
      </w:r>
      <w:r w:rsidR="088165EA" w:rsidRPr="003D1E07">
        <w:t xml:space="preserve">vědění </w:t>
      </w:r>
      <w:r w:rsidR="00F467A5" w:rsidRPr="003D1E07">
        <w:t xml:space="preserve">věčné a </w:t>
      </w:r>
      <w:r w:rsidR="088165EA" w:rsidRPr="003D1E07">
        <w:t xml:space="preserve">nejvyšší ideje. </w:t>
      </w:r>
      <w:r w:rsidR="00151B2B" w:rsidRPr="003D1E07">
        <w:t>Platon nevid</w:t>
      </w:r>
      <w:r w:rsidR="0022523D" w:rsidRPr="003D1E07">
        <w:t xml:space="preserve">í stejný kosmos jako první filosofové. </w:t>
      </w:r>
      <w:r w:rsidR="088165EA" w:rsidRPr="003D1E07">
        <w:rPr>
          <w:lang w:eastAsia="en-US"/>
        </w:rPr>
        <w:t xml:space="preserve">Završené vidění již zcela minulého celku bytí je totožné s novým typem vědění daným v perfektu. </w:t>
      </w:r>
      <w:r w:rsidR="00FF1C47" w:rsidRPr="003D1E07">
        <w:rPr>
          <w:lang w:eastAsia="en-US"/>
        </w:rPr>
        <w:t>Původní vidění celku bytí skrze fyzicky přítomný kosmos zaniklo a jeho místo nahradilo přítomné vědění nejvyšší ideje Dobra. Filosofie od Platona zkoumá, jak l</w:t>
      </w:r>
      <w:r w:rsidR="00AF616F" w:rsidRPr="003D1E07">
        <w:rPr>
          <w:lang w:eastAsia="en-US"/>
        </w:rPr>
        <w:t xml:space="preserve">ze poznat celek jsoucen </w:t>
      </w:r>
      <w:r w:rsidR="008F678A" w:rsidRPr="003D1E07">
        <w:rPr>
          <w:lang w:eastAsia="en-US"/>
        </w:rPr>
        <w:t>skrze nejvyšší jsoucno. Zákon „</w:t>
      </w:r>
      <w:r w:rsidR="008F678A" w:rsidRPr="003D1E07">
        <w:rPr>
          <w:i/>
          <w:lang w:eastAsia="en-US"/>
        </w:rPr>
        <w:t>Divide et impera</w:t>
      </w:r>
      <w:r w:rsidR="008F678A" w:rsidRPr="003D1E07">
        <w:rPr>
          <w:lang w:eastAsia="en-US"/>
        </w:rPr>
        <w:t xml:space="preserve">“ vládne imperialismu metafyziky, kterou zavedl Platón jako pilný milovník tyranů. </w:t>
      </w:r>
      <w:r w:rsidR="00FF1C47" w:rsidRPr="003D1E07">
        <w:rPr>
          <w:lang w:eastAsia="en-US"/>
        </w:rPr>
        <w:t>Ideál matematické dedukce provedl drastickou redukci parusijně přítomného celku bytí na mytopoetické vidění</w:t>
      </w:r>
      <w:r w:rsidR="003864A5" w:rsidRPr="003D1E07">
        <w:rPr>
          <w:lang w:eastAsia="en-US"/>
        </w:rPr>
        <w:t xml:space="preserve"> </w:t>
      </w:r>
      <w:r w:rsidR="009A75F5">
        <w:rPr>
          <w:lang w:eastAsia="en-US"/>
        </w:rPr>
        <w:t xml:space="preserve">ideových </w:t>
      </w:r>
      <w:r w:rsidR="003864A5" w:rsidRPr="003D1E07">
        <w:rPr>
          <w:lang w:eastAsia="en-US"/>
        </w:rPr>
        <w:t>jsoucen</w:t>
      </w:r>
      <w:r w:rsidR="00FE3703" w:rsidRPr="003D1E07">
        <w:rPr>
          <w:lang w:eastAsia="en-US"/>
        </w:rPr>
        <w:t>. M</w:t>
      </w:r>
      <w:r w:rsidR="00FF1C47" w:rsidRPr="003D1E07">
        <w:rPr>
          <w:lang w:eastAsia="en-US"/>
        </w:rPr>
        <w:t>oderní svět</w:t>
      </w:r>
      <w:r w:rsidR="00BD7D64" w:rsidRPr="003D1E07">
        <w:rPr>
          <w:lang w:eastAsia="en-US"/>
        </w:rPr>
        <w:t xml:space="preserve"> </w:t>
      </w:r>
      <w:r w:rsidR="00FE3703" w:rsidRPr="003D1E07">
        <w:rPr>
          <w:lang w:eastAsia="en-US"/>
        </w:rPr>
        <w:t xml:space="preserve">se pozoruje </w:t>
      </w:r>
      <w:r w:rsidR="00BD7D64" w:rsidRPr="003D1E07">
        <w:rPr>
          <w:lang w:eastAsia="en-US"/>
        </w:rPr>
        <w:t>matematicky perfektním způsobem</w:t>
      </w:r>
      <w:r w:rsidR="00FE3703" w:rsidRPr="003D1E07">
        <w:rPr>
          <w:lang w:eastAsia="en-US"/>
        </w:rPr>
        <w:t xml:space="preserve"> a původní celek kosmu se stal nebytím</w:t>
      </w:r>
      <w:r w:rsidR="00FF1C47" w:rsidRPr="003D1E07">
        <w:rPr>
          <w:lang w:eastAsia="en-US"/>
        </w:rPr>
        <w:t xml:space="preserve">. </w:t>
      </w:r>
      <w:r w:rsidR="084E0036" w:rsidRPr="003D1E07">
        <w:rPr>
          <w:lang w:eastAsia="en-US"/>
        </w:rPr>
        <w:t xml:space="preserve">Proto přestala mít smysl otázka prvních filosofů po původním způsobu, jak se celek </w:t>
      </w:r>
      <w:r w:rsidR="00D3550C">
        <w:rPr>
          <w:lang w:eastAsia="en-US"/>
        </w:rPr>
        <w:t xml:space="preserve">kosmu </w:t>
      </w:r>
      <w:r w:rsidR="084E0036" w:rsidRPr="003D1E07">
        <w:rPr>
          <w:lang w:eastAsia="en-US"/>
        </w:rPr>
        <w:t xml:space="preserve">manifestuje v přítomnosti </w:t>
      </w:r>
      <w:r w:rsidR="00D3550C">
        <w:rPr>
          <w:lang w:eastAsia="en-US"/>
        </w:rPr>
        <w:t xml:space="preserve">svého </w:t>
      </w:r>
      <w:r w:rsidR="084E0036" w:rsidRPr="003D1E07">
        <w:rPr>
          <w:lang w:eastAsia="en-US"/>
        </w:rPr>
        <w:t xml:space="preserve">bytí. Otázka po způsobu, „jak“ je celek jsoucna dán, je nyní totožná s tím, „co“ je věčně nazíráno a ideově věděno. </w:t>
      </w:r>
      <w:r w:rsidR="089B1B3A" w:rsidRPr="003D1E07">
        <w:rPr>
          <w:lang w:eastAsia="en-US"/>
        </w:rPr>
        <w:t xml:space="preserve">Vidění </w:t>
      </w:r>
      <w:r w:rsidR="084E0036" w:rsidRPr="003D1E07">
        <w:rPr>
          <w:lang w:eastAsia="en-US"/>
        </w:rPr>
        <w:t xml:space="preserve">celku bytí jsoucna bylo před Platonem </w:t>
      </w:r>
      <w:r w:rsidR="089B1B3A" w:rsidRPr="003D1E07">
        <w:rPr>
          <w:lang w:eastAsia="en-US"/>
        </w:rPr>
        <w:t xml:space="preserve">dané v přítomnosti a </w:t>
      </w:r>
      <w:r w:rsidR="084E0036" w:rsidRPr="003D1E07">
        <w:rPr>
          <w:lang w:eastAsia="en-US"/>
        </w:rPr>
        <w:t xml:space="preserve">bylo </w:t>
      </w:r>
      <w:r w:rsidR="089B1B3A" w:rsidRPr="003D1E07">
        <w:rPr>
          <w:lang w:eastAsia="en-US"/>
        </w:rPr>
        <w:t>vázané na schopnost vidoucího věštce a prvních filosofů</w:t>
      </w:r>
      <w:r w:rsidR="084E0036" w:rsidRPr="003D1E07">
        <w:rPr>
          <w:lang w:eastAsia="en-US"/>
        </w:rPr>
        <w:t xml:space="preserve">. Tato forma první filosofie </w:t>
      </w:r>
      <w:r w:rsidR="089A2126" w:rsidRPr="003D1E07">
        <w:rPr>
          <w:lang w:eastAsia="en-US"/>
        </w:rPr>
        <w:t>se stala</w:t>
      </w:r>
      <w:r w:rsidR="089B1B3A" w:rsidRPr="003D1E07">
        <w:rPr>
          <w:lang w:eastAsia="en-US"/>
        </w:rPr>
        <w:t xml:space="preserve"> </w:t>
      </w:r>
      <w:r w:rsidR="089A2126" w:rsidRPr="003D1E07">
        <w:rPr>
          <w:lang w:eastAsia="en-US"/>
        </w:rPr>
        <w:t>v novém obratu vidění a vědění</w:t>
      </w:r>
      <w:r w:rsidR="08F50A05" w:rsidRPr="003D1E07">
        <w:rPr>
          <w:lang w:eastAsia="en-US"/>
        </w:rPr>
        <w:t xml:space="preserve"> zcela zbytečnou</w:t>
      </w:r>
      <w:r w:rsidR="084E0036" w:rsidRPr="003D1E07">
        <w:rPr>
          <w:lang w:eastAsia="en-US"/>
        </w:rPr>
        <w:t xml:space="preserve">. </w:t>
      </w:r>
      <w:r w:rsidR="08C160D5" w:rsidRPr="003D1E07">
        <w:rPr>
          <w:lang w:eastAsia="en-US"/>
        </w:rPr>
        <w:t xml:space="preserve">Minulé poznání celku se stalo perfektním věděním </w:t>
      </w:r>
      <w:r w:rsidR="00517864" w:rsidRPr="003D1E07">
        <w:rPr>
          <w:lang w:eastAsia="en-US"/>
        </w:rPr>
        <w:t xml:space="preserve">věčně </w:t>
      </w:r>
      <w:r w:rsidR="08C160D5" w:rsidRPr="003D1E07">
        <w:rPr>
          <w:lang w:eastAsia="en-US"/>
        </w:rPr>
        <w:t>přítomné ideje</w:t>
      </w:r>
      <w:r w:rsidR="080A19F4" w:rsidRPr="003D1E07">
        <w:rPr>
          <w:lang w:eastAsia="en-US"/>
        </w:rPr>
        <w:t xml:space="preserve"> dané jako jednotlivé jsoucno</w:t>
      </w:r>
      <w:r w:rsidR="08C160D5" w:rsidRPr="003D1E07">
        <w:rPr>
          <w:lang w:eastAsia="en-US"/>
        </w:rPr>
        <w:t xml:space="preserve">. </w:t>
      </w:r>
      <w:r w:rsidR="08C160D5" w:rsidRPr="003D1E07">
        <w:t xml:space="preserve">Platonismus vytvořil novou dráhu předchůdného náhledu na celek jsoucen a tím i nové pojetí pravdy a moudrosti. </w:t>
      </w:r>
      <w:r w:rsidR="08BA3F4A" w:rsidRPr="003D1E07">
        <w:t>P</w:t>
      </w:r>
      <w:r w:rsidR="08BA3F4A" w:rsidRPr="003D1E07">
        <w:rPr>
          <w:lang w:eastAsia="en-US"/>
        </w:rPr>
        <w:t xml:space="preserve">ředešlé akty přítomného vidění celku bytí (věštecký, múzický, tragický, archaicky filosofický) </w:t>
      </w:r>
      <w:r w:rsidR="08BA3F4A" w:rsidRPr="003D1E07">
        <w:t>působí v novém typu vědění p</w:t>
      </w:r>
      <w:r w:rsidR="0822022E" w:rsidRPr="003D1E07">
        <w:t>ouze v modu uzavřené minulosti.</w:t>
      </w:r>
      <w:r w:rsidR="0876673E" w:rsidRPr="003D1E07">
        <w:t xml:space="preserve"> </w:t>
      </w:r>
      <w:r w:rsidR="00C93A76" w:rsidRPr="003D1E07">
        <w:t>Slepé a proto p</w:t>
      </w:r>
      <w:r w:rsidR="001E3484" w:rsidRPr="003D1E07">
        <w:t xml:space="preserve">erfektní vědění </w:t>
      </w:r>
      <w:r w:rsidR="004C6062" w:rsidRPr="003D1E07">
        <w:t xml:space="preserve">bez původního vidění </w:t>
      </w:r>
      <w:r w:rsidR="001E3484" w:rsidRPr="003D1E07">
        <w:t>uzavř</w:t>
      </w:r>
      <w:r w:rsidR="004B01EC">
        <w:t>elo epochu vidoucího myšlení. A</w:t>
      </w:r>
      <w:r w:rsidR="001E3484" w:rsidRPr="003D1E07">
        <w:t xml:space="preserve">rchaická forma filosofie přestala být platná a pravdivá. </w:t>
      </w:r>
      <w:r w:rsidR="08432728" w:rsidRPr="003D1E07">
        <w:t>Hermeneutika řadí vznik metafyziky do procesu devalvace archaického pojetí pravdy (</w:t>
      </w:r>
      <w:r w:rsidR="08432728" w:rsidRPr="003D1E07">
        <w:rPr>
          <w:i/>
        </w:rPr>
        <w:t>dévalorisation de l'Alétheia</w:t>
      </w:r>
      <w:r w:rsidR="0041489A" w:rsidRPr="003D1E07">
        <w:rPr>
          <w:i/>
        </w:rPr>
        <w:fldChar w:fldCharType="begin"/>
      </w:r>
      <w:r w:rsidR="0041489A" w:rsidRPr="003D1E07">
        <w:instrText xml:space="preserve"> XE "</w:instrText>
      </w:r>
      <w:r w:rsidR="0041489A" w:rsidRPr="003D1E07">
        <w:rPr>
          <w:i/>
        </w:rPr>
        <w:instrText>dévalorisation de l'Alétheia</w:instrText>
      </w:r>
      <w:r w:rsidR="0041489A" w:rsidRPr="003D1E07">
        <w:instrText xml:space="preserve">" </w:instrText>
      </w:r>
      <w:r w:rsidR="0041489A" w:rsidRPr="003D1E07">
        <w:rPr>
          <w:i/>
        </w:rPr>
        <w:fldChar w:fldCharType="end"/>
      </w:r>
      <w:r w:rsidR="08432728" w:rsidRPr="003D1E07">
        <w:t>), kterou provedl o jedno století p</w:t>
      </w:r>
      <w:r w:rsidR="00DA5DCC" w:rsidRPr="003D1E07">
        <w:t>ředtím první moderní básník Simo</w:t>
      </w:r>
      <w:r w:rsidR="08432728" w:rsidRPr="003D1E07">
        <w:t>nidés z Keu</w:t>
      </w:r>
      <w:r w:rsidR="00DA5DCC" w:rsidRPr="003D1E07">
        <w:fldChar w:fldCharType="begin"/>
      </w:r>
      <w:r w:rsidR="00DA5DCC" w:rsidRPr="003D1E07">
        <w:instrText xml:space="preserve"> XE "Simonidés z Keu" </w:instrText>
      </w:r>
      <w:r w:rsidR="00DA5DCC" w:rsidRPr="003D1E07">
        <w:fldChar w:fldCharType="end"/>
      </w:r>
      <w:r w:rsidR="08432728" w:rsidRPr="003D1E07">
        <w:t xml:space="preserve"> (Detienne 1967, 124). Simonidés založil mnemotechniku </w:t>
      </w:r>
      <w:r w:rsidR="00031AA0">
        <w:t xml:space="preserve">pro sekularizované </w:t>
      </w:r>
      <w:r w:rsidR="000F6B57">
        <w:lastRenderedPageBreak/>
        <w:t xml:space="preserve">básníky; </w:t>
      </w:r>
      <w:r w:rsidR="08432728" w:rsidRPr="003D1E07">
        <w:t xml:space="preserve">Platon vytvořil první formu </w:t>
      </w:r>
      <w:r w:rsidR="0076576A" w:rsidRPr="003D1E07">
        <w:t xml:space="preserve">technického </w:t>
      </w:r>
      <w:r w:rsidR="08432728" w:rsidRPr="003D1E07">
        <w:t xml:space="preserve">vědění pro </w:t>
      </w:r>
      <w:r w:rsidR="0076576A" w:rsidRPr="003D1E07">
        <w:t xml:space="preserve">dialekticky </w:t>
      </w:r>
      <w:r w:rsidR="08432728" w:rsidRPr="003D1E07">
        <w:t xml:space="preserve">zdatné myslitele. Platonská proměna vědění odpovídá ve filosofii na předešlou laicizaci básnického slova, což ukazuje Platonův dialog </w:t>
      </w:r>
      <w:r w:rsidR="08432728" w:rsidRPr="003D1E07">
        <w:rPr>
          <w:i/>
        </w:rPr>
        <w:t>Ión</w:t>
      </w:r>
      <w:r w:rsidR="08432728" w:rsidRPr="003D1E07">
        <w:t xml:space="preserve">. </w:t>
      </w:r>
      <w:r w:rsidR="084626A0" w:rsidRPr="003D1E07">
        <w:t xml:space="preserve">Připomeňme původní význam múzické formy </w:t>
      </w:r>
      <w:r w:rsidR="084626A0" w:rsidRPr="003D1E07">
        <w:rPr>
          <w:i/>
        </w:rPr>
        <w:t>alétheia</w:t>
      </w:r>
      <w:r w:rsidR="084626A0" w:rsidRPr="003D1E07">
        <w:t xml:space="preserve"> podle rapsóda Hesioda</w:t>
      </w:r>
      <w:r w:rsidR="084626A0" w:rsidRPr="003D1E07">
        <w:fldChar w:fldCharType="begin"/>
      </w:r>
      <w:r w:rsidR="084626A0" w:rsidRPr="003D1E07">
        <w:instrText xml:space="preserve"> XE "Hesiod" </w:instrText>
      </w:r>
      <w:r w:rsidR="084626A0" w:rsidRPr="003D1E07">
        <w:fldChar w:fldCharType="end"/>
      </w:r>
      <w:r w:rsidR="084626A0" w:rsidRPr="003D1E07">
        <w:t>. Nikoliv básník, ale božské Múzy mají původní moc nad pravdou a nepravdou.</w:t>
      </w:r>
      <w:r w:rsidR="084626A0" w:rsidRPr="003D1E07">
        <w:rPr>
          <w:rStyle w:val="Znakapoznpodarou"/>
        </w:rPr>
        <w:footnoteReference w:id="12"/>
      </w:r>
      <w:r w:rsidR="084626A0" w:rsidRPr="003D1E07">
        <w:t xml:space="preserve"> Dar věšteckého vidění a moudrosti daný Apollónem a Múzami je </w:t>
      </w:r>
      <w:r w:rsidR="002A2F4A">
        <w:t xml:space="preserve">nyní </w:t>
      </w:r>
      <w:r w:rsidR="084626A0" w:rsidRPr="003D1E07">
        <w:t>zbytečný, protože výkon poznání přešel na stranu vědoucího subjektu. Detienne ukazuje transformaci bohyně Apaté determinující archaickou podobu pravdy a klamu (</w:t>
      </w:r>
      <w:r w:rsidR="084626A0" w:rsidRPr="003D1E07">
        <w:rPr>
          <w:i/>
        </w:rPr>
        <w:t>op. cit</w:t>
      </w:r>
      <w:r w:rsidR="084626A0" w:rsidRPr="003D1E07">
        <w:t xml:space="preserve">., 134‒35). Dvojznačnost a ambivalence pravdy a klamu </w:t>
      </w:r>
      <w:r w:rsidR="00F6757E" w:rsidRPr="003D1E07">
        <w:t xml:space="preserve">je </w:t>
      </w:r>
      <w:r w:rsidR="084626A0" w:rsidRPr="003D1E07">
        <w:t>daná v původní podobě věštecké, múzic</w:t>
      </w:r>
      <w:r w:rsidR="00F6757E" w:rsidRPr="003D1E07">
        <w:t xml:space="preserve">ké a rapsódické podoby </w:t>
      </w:r>
      <w:r w:rsidR="00F6757E" w:rsidRPr="001C36F7">
        <w:rPr>
          <w:i/>
        </w:rPr>
        <w:t>alétheia</w:t>
      </w:r>
      <w:r w:rsidR="084626A0" w:rsidRPr="003D1E07">
        <w:t>. Básník typu Simonida a metafyzik typu Platona se stali po odchodu Múz do zásvětí novými mistry</w:t>
      </w:r>
      <w:r w:rsidR="08BF60AA" w:rsidRPr="003D1E07">
        <w:t xml:space="preserve"> pravdy a klamu.</w:t>
      </w:r>
      <w:r w:rsidR="0835390F" w:rsidRPr="003D1E07">
        <w:t xml:space="preserve"> </w:t>
      </w:r>
      <w:r w:rsidR="08BA3F4A" w:rsidRPr="003D1E07">
        <w:rPr>
          <w:lang w:eastAsia="en-US"/>
        </w:rPr>
        <w:t xml:space="preserve">Celek múzicky či mystérijně nazíraného bytí dostal v metafyzice charakter minulé a již nepřítomné události. </w:t>
      </w:r>
      <w:r w:rsidR="08BA3F4A" w:rsidRPr="003D1E07">
        <w:t xml:space="preserve">Přítomné vidění </w:t>
      </w:r>
      <w:r w:rsidR="0097448F" w:rsidRPr="003D1E07">
        <w:t>celku bytí dané jako prezentace v rámci vidění věštce a rapsóda se stalo v novém myšlení repre</w:t>
      </w:r>
      <w:r w:rsidR="08BA3F4A" w:rsidRPr="003D1E07">
        <w:t>se</w:t>
      </w:r>
      <w:r w:rsidR="0097448F" w:rsidRPr="003D1E07">
        <w:t>ntací jsoucna</w:t>
      </w:r>
      <w:r w:rsidR="00C00FCB" w:rsidRPr="003D1E07">
        <w:t xml:space="preserve"> v metafyzice prostřednictvím idejí</w:t>
      </w:r>
      <w:r w:rsidR="0097448F" w:rsidRPr="003D1E07">
        <w:t xml:space="preserve">. Původní celek </w:t>
      </w:r>
      <w:r w:rsidR="00C00FCB" w:rsidRPr="003D1E07">
        <w:t xml:space="preserve">archaické </w:t>
      </w:r>
      <w:r w:rsidR="0097448F" w:rsidRPr="003D1E07">
        <w:rPr>
          <w:i/>
        </w:rPr>
        <w:t>fýsis</w:t>
      </w:r>
      <w:r w:rsidR="0097448F" w:rsidRPr="003D1E07">
        <w:t xml:space="preserve"> se stal</w:t>
      </w:r>
      <w:r w:rsidR="08BA3F4A" w:rsidRPr="003D1E07">
        <w:t xml:space="preserve"> uzavřenou neopakovatelnou m</w:t>
      </w:r>
      <w:r w:rsidR="00C00FCB" w:rsidRPr="003D1E07">
        <w:t>inulostí a nakonec úplně zmizel</w:t>
      </w:r>
      <w:r w:rsidR="08BA3F4A" w:rsidRPr="003D1E07">
        <w:t xml:space="preserve"> z dějin myšlení. </w:t>
      </w:r>
      <w:r w:rsidR="08884528" w:rsidRPr="003D1E07">
        <w:t>C</w:t>
      </w:r>
      <w:r w:rsidR="0877448E" w:rsidRPr="003D1E07">
        <w:t xml:space="preserve">elek </w:t>
      </w:r>
      <w:r w:rsidR="08884528" w:rsidRPr="003D1E07">
        <w:t xml:space="preserve">jednotlivých idejí </w:t>
      </w:r>
      <w:r w:rsidR="0877448E" w:rsidRPr="003D1E07">
        <w:t xml:space="preserve">je </w:t>
      </w:r>
      <w:r w:rsidR="081453EA" w:rsidRPr="003D1E07">
        <w:t xml:space="preserve">manifestovaný </w:t>
      </w:r>
      <w:r w:rsidR="08FB08DA" w:rsidRPr="003D1E07">
        <w:t xml:space="preserve">skrze </w:t>
      </w:r>
      <w:r w:rsidR="08934EB3" w:rsidRPr="003D1E07">
        <w:t xml:space="preserve">novou </w:t>
      </w:r>
      <w:r w:rsidR="0877448E" w:rsidRPr="003D1E07">
        <w:t>donaci bytí</w:t>
      </w:r>
      <w:r w:rsidR="08934EB3" w:rsidRPr="003D1E07">
        <w:t xml:space="preserve"> jsoucna</w:t>
      </w:r>
      <w:r w:rsidR="002E70DF" w:rsidRPr="003D1E07">
        <w:t xml:space="preserve"> </w:t>
      </w:r>
      <w:r w:rsidR="002E70DF" w:rsidRPr="003D1E07">
        <w:rPr>
          <w:noProof w:val="0"/>
          <w:lang w:eastAsia="x-none"/>
        </w:rPr>
        <w:t>(</w:t>
      </w:r>
      <w:r w:rsidR="002E70DF" w:rsidRPr="003D1E07">
        <w:rPr>
          <w:i/>
          <w:noProof w:val="0"/>
          <w:lang w:eastAsia="x-none"/>
        </w:rPr>
        <w:t>dativus metaphysicus</w:t>
      </w:r>
      <w:r w:rsidR="002E70DF" w:rsidRPr="003D1E07">
        <w:rPr>
          <w:noProof w:val="0"/>
          <w:lang w:eastAsia="x-none"/>
        </w:rPr>
        <w:t>)</w:t>
      </w:r>
      <w:r w:rsidR="0877448E" w:rsidRPr="003D1E07">
        <w:t xml:space="preserve">. </w:t>
      </w:r>
      <w:r w:rsidR="08CD46D3" w:rsidRPr="003D1E07">
        <w:t xml:space="preserve">Metafyzik už </w:t>
      </w:r>
      <w:r w:rsidR="08CD46D3" w:rsidRPr="003D1E07">
        <w:rPr>
          <w:noProof w:val="0"/>
        </w:rPr>
        <w:t xml:space="preserve">nepotřebuje být archaicky moudrý, protože </w:t>
      </w:r>
      <w:r w:rsidR="006F0457" w:rsidRPr="003D1E07">
        <w:rPr>
          <w:noProof w:val="0"/>
        </w:rPr>
        <w:t xml:space="preserve">odmítl platnost a pravdivost původní donace bytí </w:t>
      </w:r>
      <w:r w:rsidR="006F0457" w:rsidRPr="003D1E07">
        <w:rPr>
          <w:noProof w:val="0"/>
          <w:lang w:eastAsia="x-none"/>
        </w:rPr>
        <w:t>(</w:t>
      </w:r>
      <w:r w:rsidR="006F0457" w:rsidRPr="003D1E07">
        <w:rPr>
          <w:i/>
          <w:noProof w:val="0"/>
          <w:lang w:eastAsia="x-none"/>
        </w:rPr>
        <w:t>dativus archegeticus</w:t>
      </w:r>
      <w:r w:rsidR="009B1AEF" w:rsidRPr="003D1E07">
        <w:rPr>
          <w:i/>
          <w:noProof w:val="0"/>
          <w:lang w:eastAsia="x-none"/>
        </w:rPr>
        <w:t>, principalis</w:t>
      </w:r>
      <w:r w:rsidR="006F0457" w:rsidRPr="003D1E07">
        <w:rPr>
          <w:noProof w:val="0"/>
          <w:lang w:eastAsia="x-none"/>
        </w:rPr>
        <w:t>). Platonik má</w:t>
      </w:r>
      <w:r w:rsidR="08CD46D3" w:rsidRPr="003D1E07">
        <w:rPr>
          <w:noProof w:val="0"/>
        </w:rPr>
        <w:t xml:space="preserve"> </w:t>
      </w:r>
      <w:r w:rsidR="00BF632B" w:rsidRPr="003D1E07">
        <w:rPr>
          <w:noProof w:val="0"/>
        </w:rPr>
        <w:t xml:space="preserve">schopnost perfektního vědění, které se opírá </w:t>
      </w:r>
      <w:r w:rsidR="08CD46D3" w:rsidRPr="003D1E07">
        <w:rPr>
          <w:noProof w:val="0"/>
        </w:rPr>
        <w:t xml:space="preserve">o nový typ vidění. </w:t>
      </w:r>
      <w:r w:rsidR="0876673E" w:rsidRPr="003D1E07">
        <w:rPr>
          <w:noProof w:val="0"/>
          <w:lang w:eastAsia="en-US"/>
        </w:rPr>
        <w:t xml:space="preserve">První </w:t>
      </w:r>
      <w:r w:rsidR="0876673E" w:rsidRPr="003D1E07">
        <w:rPr>
          <w:noProof w:val="0"/>
        </w:rPr>
        <w:t>mudrci velmi opatrně a symbolickým jazykem formulova</w:t>
      </w:r>
      <w:r w:rsidR="00D61F48" w:rsidRPr="003D1E07">
        <w:rPr>
          <w:noProof w:val="0"/>
        </w:rPr>
        <w:t xml:space="preserve">li smysl původního bytí. Tento </w:t>
      </w:r>
      <w:r w:rsidR="00751459" w:rsidRPr="003D1E07">
        <w:rPr>
          <w:noProof w:val="0"/>
        </w:rPr>
        <w:t>celek má božský charakter</w:t>
      </w:r>
      <w:r w:rsidR="008949FF" w:rsidRPr="003D1E07">
        <w:rPr>
          <w:noProof w:val="0"/>
        </w:rPr>
        <w:t xml:space="preserve"> a manifestuje se skrze múzi</w:t>
      </w:r>
      <w:r w:rsidR="00702C61" w:rsidRPr="003D1E07">
        <w:rPr>
          <w:noProof w:val="0"/>
        </w:rPr>
        <w:t>cké pojetí pravdy</w:t>
      </w:r>
      <w:r w:rsidR="00751459" w:rsidRPr="003D1E07">
        <w:rPr>
          <w:noProof w:val="0"/>
        </w:rPr>
        <w:t>. P</w:t>
      </w:r>
      <w:r w:rsidR="00D561B7" w:rsidRPr="003D1E07">
        <w:rPr>
          <w:noProof w:val="0"/>
        </w:rPr>
        <w:t>rot</w:t>
      </w:r>
      <w:r w:rsidR="00D61F48" w:rsidRPr="003D1E07">
        <w:rPr>
          <w:noProof w:val="0"/>
        </w:rPr>
        <w:t>o</w:t>
      </w:r>
      <w:r w:rsidR="00D561B7" w:rsidRPr="003D1E07">
        <w:rPr>
          <w:noProof w:val="0"/>
        </w:rPr>
        <w:t xml:space="preserve"> obsahuje</w:t>
      </w:r>
      <w:r w:rsidR="00D561B7" w:rsidRPr="003D1E07">
        <w:t xml:space="preserve"> pravdu i klam, které je třeba </w:t>
      </w:r>
      <w:r w:rsidR="00D61F48" w:rsidRPr="003D1E07">
        <w:t xml:space="preserve">v první filosofii kriticky </w:t>
      </w:r>
      <w:r w:rsidR="00D561B7" w:rsidRPr="003D1E07">
        <w:t>rozlišit</w:t>
      </w:r>
      <w:r w:rsidR="0876673E" w:rsidRPr="003D1E07">
        <w:t xml:space="preserve">. </w:t>
      </w:r>
      <w:r w:rsidR="08E3447F" w:rsidRPr="003D1E07">
        <w:rPr>
          <w:lang w:eastAsia="en-US"/>
        </w:rPr>
        <w:t xml:space="preserve">Metafyzika už nepotřebuje archaické vidění mudrce a básníka. </w:t>
      </w:r>
      <w:r w:rsidR="08E3447F" w:rsidRPr="003D1E07">
        <w:t xml:space="preserve">Subjektivní schopnost vědění a </w:t>
      </w:r>
      <w:r w:rsidR="00F031CA" w:rsidRPr="003D1E07">
        <w:t xml:space="preserve">nový </w:t>
      </w:r>
      <w:r w:rsidR="0002690E" w:rsidRPr="003D1E07">
        <w:t xml:space="preserve">pojem </w:t>
      </w:r>
      <w:r w:rsidR="08E3447F" w:rsidRPr="003D1E07">
        <w:t xml:space="preserve">pravdy nahradily původní archaickou moudrost danou skrze </w:t>
      </w:r>
      <w:r w:rsidR="08CC3A54" w:rsidRPr="003D1E07">
        <w:t xml:space="preserve">múzický </w:t>
      </w:r>
      <w:r w:rsidR="08E3447F" w:rsidRPr="003D1E07">
        <w:t>da</w:t>
      </w:r>
      <w:r w:rsidR="08E26AA9" w:rsidRPr="003D1E07">
        <w:t xml:space="preserve">r vidění nebo básnického slova. </w:t>
      </w:r>
      <w:r w:rsidR="0030614B">
        <w:t>Božská síla Klamu (</w:t>
      </w:r>
      <w:r w:rsidR="004072D2" w:rsidRPr="003D1E07">
        <w:t>Apate</w:t>
      </w:r>
      <w:r w:rsidR="0030614B">
        <w:t>)</w:t>
      </w:r>
      <w:r w:rsidR="004072D2" w:rsidRPr="003D1E07">
        <w:t xml:space="preserve"> se skrze Platona stala člověkem</w:t>
      </w:r>
      <w:r w:rsidR="000F550E" w:rsidRPr="003D1E07">
        <w:t xml:space="preserve">, což je velmi pozoruhodný výkon. </w:t>
      </w:r>
      <w:r w:rsidR="009C1488" w:rsidRPr="003D1E07">
        <w:t>S</w:t>
      </w:r>
      <w:r w:rsidR="001E198F" w:rsidRPr="003D1E07">
        <w:t>ubjek</w:t>
      </w:r>
      <w:r w:rsidR="00746780" w:rsidRPr="003D1E07">
        <w:t xml:space="preserve">tivní forma </w:t>
      </w:r>
      <w:r w:rsidR="005B6CB6">
        <w:t xml:space="preserve">ne/pravdy </w:t>
      </w:r>
      <w:r w:rsidR="00746780" w:rsidRPr="003D1E07">
        <w:t xml:space="preserve">daná skrze „božskou“ </w:t>
      </w:r>
      <w:r w:rsidR="00746780" w:rsidRPr="003D1E07">
        <w:rPr>
          <w:i/>
        </w:rPr>
        <w:t>epoché</w:t>
      </w:r>
      <w:r w:rsidR="00746780" w:rsidRPr="003D1E07">
        <w:t xml:space="preserve"> </w:t>
      </w:r>
      <w:r w:rsidR="005B6CB6">
        <w:t xml:space="preserve">od minulosti </w:t>
      </w:r>
      <w:r w:rsidR="00746780" w:rsidRPr="003D1E07">
        <w:t>založila epochu moderny</w:t>
      </w:r>
      <w:r w:rsidR="005B6CB6">
        <w:t xml:space="preserve"> skrze </w:t>
      </w:r>
      <w:r w:rsidR="005B6CB6" w:rsidRPr="003D1E07">
        <w:t xml:space="preserve">apostata </w:t>
      </w:r>
      <w:r w:rsidR="005B6CB6">
        <w:t>Platona</w:t>
      </w:r>
      <w:r w:rsidR="002C4373">
        <w:t>.</w:t>
      </w:r>
    </w:p>
    <w:p w14:paraId="0D076F64" w14:textId="7D7B0030" w:rsidR="00546FE1" w:rsidRPr="003D1E07" w:rsidRDefault="08E26AA9" w:rsidP="008F678A">
      <w:pPr>
        <w:ind w:firstLine="397"/>
        <w:rPr>
          <w:lang w:eastAsia="en-US"/>
        </w:rPr>
      </w:pPr>
      <w:r w:rsidRPr="003D1E07">
        <w:t>Metafyzika ukončila přechod božské síly pravdy a klamu (</w:t>
      </w:r>
      <w:r w:rsidRPr="00F0729F">
        <w:t>Apaté</w:t>
      </w:r>
      <w:r w:rsidRPr="003D1E07">
        <w:t xml:space="preserve">) do její sofistikované a sekularizované podoby. </w:t>
      </w:r>
      <w:r w:rsidR="08702CE3" w:rsidRPr="003D1E07">
        <w:t>Dráha fundamentálního náhledu na jsoucí dostala ideovou podobu</w:t>
      </w:r>
      <w:r w:rsidR="003E74B8" w:rsidRPr="003D1E07">
        <w:t xml:space="preserve"> (</w:t>
      </w:r>
      <w:r w:rsidR="003E74B8" w:rsidRPr="003D1E07">
        <w:rPr>
          <w:i/>
        </w:rPr>
        <w:t>eídos</w:t>
      </w:r>
      <w:r w:rsidR="003E74B8" w:rsidRPr="003D1E07">
        <w:t>)</w:t>
      </w:r>
      <w:r w:rsidR="08702CE3" w:rsidRPr="003D1E07">
        <w:t xml:space="preserve">. </w:t>
      </w:r>
      <w:r w:rsidRPr="003D1E07">
        <w:t>I</w:t>
      </w:r>
      <w:r w:rsidR="08E3447F" w:rsidRPr="003D1E07">
        <w:t xml:space="preserve">deový celek jsoucen se zjevuje v perfektním typu vidění, které je identické s přítomným </w:t>
      </w:r>
      <w:r w:rsidR="001A74DC" w:rsidRPr="003D1E07">
        <w:t xml:space="preserve">a trvale daným </w:t>
      </w:r>
      <w:r w:rsidR="08E3447F" w:rsidRPr="003D1E07">
        <w:t xml:space="preserve">věděním. </w:t>
      </w:r>
      <w:r w:rsidR="00D561B7" w:rsidRPr="003D1E07">
        <w:t xml:space="preserve">Platon </w:t>
      </w:r>
      <w:r w:rsidR="08275B65" w:rsidRPr="003D1E07">
        <w:t xml:space="preserve">založil poznání  toho, co je perfektně přítomné </w:t>
      </w:r>
      <w:r w:rsidR="08275B65" w:rsidRPr="003D1E07">
        <w:lastRenderedPageBreak/>
        <w:t>díky manifestaci ideově založeného bytí-zde (οὐσία)</w:t>
      </w:r>
      <w:r w:rsidR="08275B65" w:rsidRPr="003D1E07">
        <w:rPr>
          <w:lang w:eastAsia="en-US"/>
        </w:rPr>
        <w:t xml:space="preserve">. </w:t>
      </w:r>
      <w:r w:rsidR="08275B65" w:rsidRPr="003D1E07">
        <w:t xml:space="preserve">Předchůdná dráha náhledu umožňuje manifestaci eideticky </w:t>
      </w:r>
      <w:r w:rsidR="00264401" w:rsidRPr="003D1E07">
        <w:t xml:space="preserve">a věčně </w:t>
      </w:r>
      <w:r w:rsidR="08275B65" w:rsidRPr="003D1E07">
        <w:t xml:space="preserve">založeného významu, který exaktní matematický myslitel typu Platona nahlíží ve vlastním poznání. Z původního věšteckého vidění přítomnosti v modu </w:t>
      </w:r>
      <w:r w:rsidR="08A0606C" w:rsidRPr="003D1E07">
        <w:t xml:space="preserve">titánky </w:t>
      </w:r>
      <w:r w:rsidR="08275B65" w:rsidRPr="003D1E07">
        <w:t xml:space="preserve">Mnémosýné, či v modu epoptického nazírání mystérií, nebo v modu intelektuální meditace prvních filosofů se stala metafyzická substance. </w:t>
      </w:r>
      <w:r w:rsidR="08063548" w:rsidRPr="003D1E07">
        <w:t>Změna pravdy na adekvaci idejí a substancí mezi sebou nastolila novou epochu myšlení. P</w:t>
      </w:r>
      <w:r w:rsidR="08275B65" w:rsidRPr="003D1E07">
        <w:t xml:space="preserve">ředchůdná dráha náhledu </w:t>
      </w:r>
      <w:r w:rsidR="08A11C35" w:rsidRPr="003D1E07">
        <w:t xml:space="preserve">na ideu </w:t>
      </w:r>
      <w:r w:rsidR="08275B65" w:rsidRPr="003D1E07">
        <w:t xml:space="preserve">nyní perfektně a proto ideálně určuje to, co je viděné. </w:t>
      </w:r>
      <w:r w:rsidR="081075BD" w:rsidRPr="003D1E07">
        <w:t xml:space="preserve">Absolutně zajištěné poznání platonika nepotřebuje darovanou a proto nejistou moudrost Sokrata </w:t>
      </w:r>
      <w:r w:rsidR="00295C1D" w:rsidRPr="003D1E07">
        <w:t xml:space="preserve">z Delf </w:t>
      </w:r>
      <w:r w:rsidR="081075BD" w:rsidRPr="003D1E07">
        <w:t xml:space="preserve">a jeho předchůdců danou náhledem </w:t>
      </w:r>
      <w:r w:rsidR="08A11C35" w:rsidRPr="003D1E07">
        <w:t xml:space="preserve">celku </w:t>
      </w:r>
      <w:r w:rsidR="006F7818">
        <w:t xml:space="preserve">bytí </w:t>
      </w:r>
      <w:r w:rsidR="08A11C35" w:rsidRPr="003D1E07">
        <w:t xml:space="preserve">díky daru </w:t>
      </w:r>
      <w:r w:rsidR="081075BD" w:rsidRPr="003D1E07">
        <w:t xml:space="preserve">božského Apollóna a Múz. </w:t>
      </w:r>
      <w:r w:rsidR="081075BD" w:rsidRPr="003D1E07">
        <w:rPr>
          <w:lang w:eastAsia="en-US"/>
        </w:rPr>
        <w:t xml:space="preserve">Platon vytvořil nový smysl jsoucna, který je trvale přítomný ve formě ideje. </w:t>
      </w:r>
      <w:r w:rsidR="001A74DC" w:rsidRPr="003D1E07">
        <w:rPr>
          <w:lang w:eastAsia="en-US"/>
        </w:rPr>
        <w:t>První Prométheus moderny vytvořil</w:t>
      </w:r>
      <w:r w:rsidR="006F3D70" w:rsidRPr="003D1E07">
        <w:rPr>
          <w:lang w:eastAsia="en-US"/>
        </w:rPr>
        <w:t xml:space="preserve"> pro techniky myšlení nový typ svatyně, kde smrtelníci sami od sebe tvoří věčné pravdy. </w:t>
      </w:r>
      <w:r w:rsidR="081075BD" w:rsidRPr="003D1E07">
        <w:rPr>
          <w:lang w:eastAsia="en-US"/>
        </w:rPr>
        <w:t>D</w:t>
      </w:r>
      <w:r w:rsidR="081075BD" w:rsidRPr="003D1E07">
        <w:t xml:space="preserve">íky ideovému náhledu na celek jednotlivých idejí vznikl epochálně nový výčet toho, co je zjeveno, viděno a poznáno. </w:t>
      </w:r>
      <w:r w:rsidR="081A26FB" w:rsidRPr="003D1E07">
        <w:t xml:space="preserve">Platonik </w:t>
      </w:r>
      <w:r w:rsidR="001754FC" w:rsidRPr="003D1E07">
        <w:t xml:space="preserve">jako pseudo-věštec </w:t>
      </w:r>
      <w:r w:rsidR="083D442F" w:rsidRPr="003D1E07">
        <w:t xml:space="preserve">pravdivě </w:t>
      </w:r>
      <w:r w:rsidR="08D96D66" w:rsidRPr="003D1E07">
        <w:t xml:space="preserve">vidí </w:t>
      </w:r>
      <w:r w:rsidR="08AD254C" w:rsidRPr="003D1E07">
        <w:t xml:space="preserve">celek reálného světa </w:t>
      </w:r>
      <w:r w:rsidR="08864CC6" w:rsidRPr="003D1E07">
        <w:t xml:space="preserve">proto, že </w:t>
      </w:r>
      <w:r w:rsidR="08AB5BEA" w:rsidRPr="003D1E07">
        <w:t xml:space="preserve">jeho duše </w:t>
      </w:r>
      <w:r w:rsidR="08D96D66" w:rsidRPr="003D1E07">
        <w:t>poznal</w:t>
      </w:r>
      <w:r w:rsidR="08AB5BEA" w:rsidRPr="003D1E07">
        <w:t>a</w:t>
      </w:r>
      <w:r w:rsidR="08D96D66" w:rsidRPr="003D1E07">
        <w:t xml:space="preserve"> </w:t>
      </w:r>
      <w:r w:rsidR="08D22BD6" w:rsidRPr="003D1E07">
        <w:t xml:space="preserve">věčný </w:t>
      </w:r>
      <w:r w:rsidR="08D96D66" w:rsidRPr="003D1E07">
        <w:t>svět</w:t>
      </w:r>
      <w:r w:rsidR="08AD254C" w:rsidRPr="003D1E07">
        <w:t xml:space="preserve"> ještě před </w:t>
      </w:r>
      <w:r w:rsidR="08D96D66" w:rsidRPr="003D1E07">
        <w:t xml:space="preserve">narozením. </w:t>
      </w:r>
      <w:r w:rsidR="081075BD" w:rsidRPr="003D1E07">
        <w:t>Platonik ani nemusí být naživu, a jeho d</w:t>
      </w:r>
      <w:r w:rsidR="088F5B70" w:rsidRPr="003D1E07">
        <w:t xml:space="preserve">uše už vidí to, co je pravdivé. Věštecké vidění byl naopak dar daný zde a nyní mimořádně disponovanému smrtelníkovi. </w:t>
      </w:r>
      <w:r w:rsidR="082D55F8" w:rsidRPr="003D1E07">
        <w:t xml:space="preserve">Nevšední chytrost nových techniků myšlení převrátila archaickou moudrost Delf a prvních filosofů do božské komedie. </w:t>
      </w:r>
      <w:r w:rsidR="00565D15" w:rsidRPr="003D1E07">
        <w:t xml:space="preserve">Pantheon reálně neexistujících </w:t>
      </w:r>
      <w:r w:rsidR="082E7712" w:rsidRPr="003D1E07">
        <w:t xml:space="preserve">idejí </w:t>
      </w:r>
      <w:r w:rsidR="08474321" w:rsidRPr="003D1E07">
        <w:t xml:space="preserve">daných v perfektu </w:t>
      </w:r>
      <w:r w:rsidR="0840653A" w:rsidRPr="003D1E07">
        <w:t xml:space="preserve">ideového </w:t>
      </w:r>
      <w:r w:rsidR="085F6529" w:rsidRPr="003D1E07">
        <w:t xml:space="preserve">vědění </w:t>
      </w:r>
      <w:r w:rsidR="082E7712" w:rsidRPr="003D1E07">
        <w:t>nahradil pantheon původních božských sil</w:t>
      </w:r>
      <w:r w:rsidR="08474321" w:rsidRPr="003D1E07">
        <w:t xml:space="preserve"> daných v</w:t>
      </w:r>
      <w:r w:rsidR="085F6529" w:rsidRPr="003D1E07">
        <w:t> </w:t>
      </w:r>
      <w:r w:rsidR="08474321" w:rsidRPr="003D1E07">
        <w:t>prézentu</w:t>
      </w:r>
      <w:r w:rsidR="085F6529" w:rsidRPr="003D1E07">
        <w:t xml:space="preserve"> </w:t>
      </w:r>
      <w:r w:rsidR="0840653A" w:rsidRPr="003D1E07">
        <w:t xml:space="preserve">věšteckého </w:t>
      </w:r>
      <w:r w:rsidR="085F6529" w:rsidRPr="003D1E07">
        <w:t>vidění</w:t>
      </w:r>
      <w:r w:rsidR="082E7712" w:rsidRPr="003D1E07">
        <w:t xml:space="preserve">. </w:t>
      </w:r>
      <w:r w:rsidR="08521EDB" w:rsidRPr="003D1E07">
        <w:t xml:space="preserve">Bytí </w:t>
      </w:r>
      <w:r w:rsidR="08777E0C" w:rsidRPr="003D1E07">
        <w:t xml:space="preserve">celku jsoucna </w:t>
      </w:r>
      <w:r w:rsidR="08521EDB" w:rsidRPr="003D1E07">
        <w:t>již není prézentním</w:t>
      </w:r>
      <w:r w:rsidR="084F7494" w:rsidRPr="003D1E07">
        <w:t xml:space="preserve"> a </w:t>
      </w:r>
      <w:r w:rsidR="085E5D43" w:rsidRPr="003D1E07">
        <w:t xml:space="preserve">proto prvním </w:t>
      </w:r>
      <w:r w:rsidR="08521EDB" w:rsidRPr="003D1E07">
        <w:t>problémem filosofie</w:t>
      </w:r>
      <w:r w:rsidR="085E5D43" w:rsidRPr="003D1E07">
        <w:t>.</w:t>
      </w:r>
      <w:r w:rsidR="084F7494" w:rsidRPr="003D1E07">
        <w:t xml:space="preserve"> </w:t>
      </w:r>
      <w:r w:rsidR="085B31B6" w:rsidRPr="003D1E07">
        <w:t>M</w:t>
      </w:r>
      <w:r w:rsidR="00FF27D7" w:rsidRPr="003D1E07">
        <w:t xml:space="preserve">etafyzické vědění nahradilo </w:t>
      </w:r>
      <w:r w:rsidR="08351D3E" w:rsidRPr="003D1E07">
        <w:t xml:space="preserve">a nakonec </w:t>
      </w:r>
      <w:r w:rsidR="08006F7A" w:rsidRPr="003D1E07">
        <w:t xml:space="preserve">úplně </w:t>
      </w:r>
      <w:r w:rsidR="08351D3E" w:rsidRPr="003D1E07">
        <w:t xml:space="preserve">zrušilo </w:t>
      </w:r>
      <w:r w:rsidR="00FF27D7" w:rsidRPr="003D1E07">
        <w:t xml:space="preserve">archaické vidění. </w:t>
      </w:r>
      <w:r w:rsidR="088519FE" w:rsidRPr="003D1E07">
        <w:t xml:space="preserve">Bohyně Apaté </w:t>
      </w:r>
      <w:r w:rsidR="08385CA5" w:rsidRPr="003D1E07">
        <w:t xml:space="preserve">dostala subjektivní podobu a </w:t>
      </w:r>
      <w:r w:rsidR="088519FE" w:rsidRPr="003D1E07">
        <w:t xml:space="preserve">usadila </w:t>
      </w:r>
      <w:r w:rsidR="08385CA5" w:rsidRPr="003D1E07">
        <w:t xml:space="preserve">se </w:t>
      </w:r>
      <w:r w:rsidR="088519FE" w:rsidRPr="003D1E07">
        <w:t>přímo v</w:t>
      </w:r>
      <w:r w:rsidR="00070F89" w:rsidRPr="003D1E07">
        <w:t xml:space="preserve"> neviditelném </w:t>
      </w:r>
      <w:r w:rsidR="08385CA5" w:rsidRPr="003D1E07">
        <w:t>centru</w:t>
      </w:r>
      <w:r w:rsidR="088519FE" w:rsidRPr="003D1E07">
        <w:t xml:space="preserve"> metafyziky</w:t>
      </w:r>
      <w:r w:rsidR="00B24728" w:rsidRPr="003D1E07">
        <w:t>. O</w:t>
      </w:r>
      <w:r w:rsidR="00CD51CC" w:rsidRPr="003D1E07">
        <w:t>d</w:t>
      </w:r>
      <w:r w:rsidR="088519FE" w:rsidRPr="003D1E07">
        <w:t xml:space="preserve">kud řídí </w:t>
      </w:r>
      <w:r w:rsidR="00B24728" w:rsidRPr="003D1E07">
        <w:t>subjektivně urče</w:t>
      </w:r>
      <w:r w:rsidR="00AA6782" w:rsidRPr="003D1E07">
        <w:t xml:space="preserve">nou modernu v jejím </w:t>
      </w:r>
      <w:r w:rsidR="00F90CCC" w:rsidRPr="003D1E07">
        <w:t xml:space="preserve">metafyzickém </w:t>
      </w:r>
      <w:r w:rsidR="00AA6782" w:rsidRPr="003D1E07">
        <w:t xml:space="preserve">klamu </w:t>
      </w:r>
      <w:r w:rsidR="088519FE" w:rsidRPr="003D1E07">
        <w:t xml:space="preserve">skrze zaniklou moudrost </w:t>
      </w:r>
      <w:r w:rsidR="006C0E97" w:rsidRPr="003D1E07">
        <w:t xml:space="preserve">letargicky působící </w:t>
      </w:r>
      <w:r w:rsidR="088519FE" w:rsidRPr="003D1E07">
        <w:t>první filosofie</w:t>
      </w:r>
      <w:r w:rsidR="00CD51CC" w:rsidRPr="003D1E07">
        <w:t xml:space="preserve">. Dialektika se stala novou technikou myšlení a </w:t>
      </w:r>
      <w:r w:rsidR="005A52D1" w:rsidRPr="003D1E07">
        <w:t xml:space="preserve">tvoří královskou cestu </w:t>
      </w:r>
      <w:r w:rsidR="00AC4683" w:rsidRPr="003D1E07">
        <w:t xml:space="preserve">metafyziky. </w:t>
      </w:r>
      <w:r w:rsidR="0844312C" w:rsidRPr="003D1E07">
        <w:t xml:space="preserve">Sokrates byl současníkem </w:t>
      </w:r>
      <w:r w:rsidR="088F48ED" w:rsidRPr="003D1E07">
        <w:t xml:space="preserve">apollinského orákula v </w:t>
      </w:r>
      <w:r w:rsidR="0844312C" w:rsidRPr="003D1E07">
        <w:t>Delf</w:t>
      </w:r>
      <w:r w:rsidR="088F48ED" w:rsidRPr="003D1E07">
        <w:t>ách</w:t>
      </w:r>
      <w:r w:rsidR="0844312C" w:rsidRPr="003D1E07">
        <w:t xml:space="preserve"> a věštba tehdejší Pýthie </w:t>
      </w:r>
      <w:r w:rsidR="00B210AA" w:rsidRPr="003D1E07">
        <w:t>zvěstovala dějinný význam jeho osoby</w:t>
      </w:r>
      <w:r w:rsidR="0844312C" w:rsidRPr="003D1E07">
        <w:t xml:space="preserve"> (</w:t>
      </w:r>
      <w:r w:rsidR="0844312C" w:rsidRPr="003D1E07">
        <w:rPr>
          <w:i/>
        </w:rPr>
        <w:t>Apol</w:t>
      </w:r>
      <w:r w:rsidR="0844312C" w:rsidRPr="003D1E07">
        <w:t>. 20e5‒21a8</w:t>
      </w:r>
      <w:r w:rsidR="0844312C" w:rsidRPr="003D1E07">
        <w:fldChar w:fldCharType="begin"/>
      </w:r>
      <w:r w:rsidR="0844312C" w:rsidRPr="003D1E07">
        <w:instrText xml:space="preserve"> XE "Platon:</w:instrText>
      </w:r>
      <w:r w:rsidR="0844312C" w:rsidRPr="003D1E07">
        <w:rPr>
          <w:i/>
        </w:rPr>
        <w:instrText>Apol</w:instrText>
      </w:r>
      <w:r w:rsidR="0844312C" w:rsidRPr="003D1E07">
        <w:instrText xml:space="preserve">. 20e5‒21a8" </w:instrText>
      </w:r>
      <w:r w:rsidR="0844312C" w:rsidRPr="003D1E07">
        <w:fldChar w:fldCharType="end"/>
      </w:r>
      <w:r w:rsidR="0844312C" w:rsidRPr="003D1E07">
        <w:t xml:space="preserve">). </w:t>
      </w:r>
      <w:r w:rsidR="084C41FB" w:rsidRPr="003D1E07">
        <w:t xml:space="preserve">Sokratovým původním zdrojem prézentního vidění jsou mystéria, orákula Delf či vidění mystagožek </w:t>
      </w:r>
      <w:r w:rsidR="009435C5" w:rsidRPr="003D1E07">
        <w:t>jako byla Diotima</w:t>
      </w:r>
      <w:r w:rsidR="08CF3374" w:rsidRPr="003D1E07">
        <w:t xml:space="preserve">. </w:t>
      </w:r>
      <w:r w:rsidR="084C41FB" w:rsidRPr="003D1E07">
        <w:t>N</w:t>
      </w:r>
      <w:r w:rsidR="0844312C" w:rsidRPr="003D1E07">
        <w:t xml:space="preserve">áhled daný v duchu moudrosti je nutně spojený s respektem božské pravdy, kterou </w:t>
      </w:r>
      <w:r w:rsidR="084C41FB" w:rsidRPr="003D1E07">
        <w:t xml:space="preserve">Sokrates </w:t>
      </w:r>
      <w:r w:rsidR="0844312C" w:rsidRPr="003D1E07">
        <w:t>pozn</w:t>
      </w:r>
      <w:r w:rsidR="009A0D30" w:rsidRPr="003D1E07">
        <w:t xml:space="preserve">al v modu původní pythické </w:t>
      </w:r>
      <w:r w:rsidR="0844312C" w:rsidRPr="003D1E07">
        <w:t xml:space="preserve">prezentace. </w:t>
      </w:r>
      <w:r w:rsidR="08F943A3" w:rsidRPr="003D1E07">
        <w:t xml:space="preserve">Apollón o něm </w:t>
      </w:r>
      <w:r w:rsidR="08486632" w:rsidRPr="003D1E07">
        <w:t xml:space="preserve">skrze Pýthii </w:t>
      </w:r>
      <w:r w:rsidR="08F943A3" w:rsidRPr="003D1E07">
        <w:t>řekl, že je nej</w:t>
      </w:r>
      <w:r w:rsidR="084C41FB" w:rsidRPr="003D1E07">
        <w:t>moudřejší ze všech lidí. H</w:t>
      </w:r>
      <w:r w:rsidR="08F943A3" w:rsidRPr="003D1E07">
        <w:t xml:space="preserve">ledač </w:t>
      </w:r>
      <w:r w:rsidR="084C41FB" w:rsidRPr="003D1E07">
        <w:t xml:space="preserve">tragické </w:t>
      </w:r>
      <w:r w:rsidR="08F943A3" w:rsidRPr="003D1E07">
        <w:t xml:space="preserve">moudrosti musel zjistit, jak má </w:t>
      </w:r>
      <w:r w:rsidR="08FE4432" w:rsidRPr="003D1E07">
        <w:t xml:space="preserve">tento </w:t>
      </w:r>
      <w:r w:rsidR="08F943A3" w:rsidRPr="003D1E07">
        <w:t xml:space="preserve">výrok </w:t>
      </w:r>
      <w:r w:rsidR="08FE4432" w:rsidRPr="003D1E07">
        <w:t xml:space="preserve">pravdivě </w:t>
      </w:r>
      <w:r w:rsidR="08F943A3" w:rsidRPr="003D1E07">
        <w:t xml:space="preserve">vyložit. </w:t>
      </w:r>
      <w:r w:rsidR="088150FC" w:rsidRPr="003D1E07">
        <w:t>Orákulum mu přikázalo hledat cestu</w:t>
      </w:r>
      <w:r w:rsidR="000D234D" w:rsidRPr="003D1E07">
        <w:t xml:space="preserve"> </w:t>
      </w:r>
      <w:r w:rsidR="088150FC" w:rsidRPr="003D1E07">
        <w:t>k původní moudrosti</w:t>
      </w:r>
      <w:r w:rsidR="00650758" w:rsidRPr="003D1E07">
        <w:t xml:space="preserve"> a tuto moudrost měl předat občanům Athén</w:t>
      </w:r>
      <w:r w:rsidR="088150FC" w:rsidRPr="003D1E07">
        <w:t xml:space="preserve">. </w:t>
      </w:r>
      <w:r w:rsidR="0844312C" w:rsidRPr="003D1E07">
        <w:t xml:space="preserve">Sokrates chce </w:t>
      </w:r>
      <w:r w:rsidR="0844312C" w:rsidRPr="003D1E07">
        <w:lastRenderedPageBreak/>
        <w:t xml:space="preserve">především a zásadně vidět to, co je nezastřené v modu pythické </w:t>
      </w:r>
      <w:r w:rsidR="0844312C" w:rsidRPr="003D1E07">
        <w:rPr>
          <w:i/>
        </w:rPr>
        <w:t>alétheia</w:t>
      </w:r>
      <w:r w:rsidR="0844312C" w:rsidRPr="003D1E07">
        <w:t>. Proto zrušil každou formu technického vědění</w:t>
      </w:r>
      <w:r w:rsidR="080F2093" w:rsidRPr="003D1E07">
        <w:t xml:space="preserve">, které je už </w:t>
      </w:r>
      <w:r w:rsidR="0806537D" w:rsidRPr="003D1E07">
        <w:t xml:space="preserve">završené </w:t>
      </w:r>
      <w:r w:rsidR="080F2093" w:rsidRPr="003D1E07">
        <w:t>díky osvědčenému vědění a praxi</w:t>
      </w:r>
      <w:r w:rsidR="0844312C" w:rsidRPr="003D1E07">
        <w:t xml:space="preserve">. </w:t>
      </w:r>
      <w:r w:rsidR="08C26A92" w:rsidRPr="003D1E07">
        <w:rPr>
          <w:lang w:eastAsia="en-US"/>
        </w:rPr>
        <w:t xml:space="preserve">Pythická moudrost </w:t>
      </w:r>
      <w:r w:rsidR="009A0D30" w:rsidRPr="003D1E07">
        <w:rPr>
          <w:lang w:eastAsia="en-US"/>
        </w:rPr>
        <w:t xml:space="preserve">nemá </w:t>
      </w:r>
      <w:r w:rsidR="08C26A92" w:rsidRPr="003D1E07">
        <w:rPr>
          <w:lang w:eastAsia="en-US"/>
        </w:rPr>
        <w:t>pozitivní odpověď na otázku, „co“ je jsoucno nebo substance. Sokratovo psychagogické tázání učinilo substanci zjevnou pouze nepřímo. Myšlení prvních filosofů a tím i Sokrata hledalo původní způsob tázání po celku bytí a celku jsoucen pravdivě poodhalených skrze přítomné vidění mudrce. Sokrates byl delfským povoláním psychagog a hledač skryté moudrosti</w:t>
      </w:r>
      <w:r w:rsidR="00315678" w:rsidRPr="003D1E07">
        <w:rPr>
          <w:lang w:eastAsia="en-US"/>
        </w:rPr>
        <w:t xml:space="preserve">. Jenže ta už byla skrytá </w:t>
      </w:r>
      <w:r w:rsidR="00100B1B" w:rsidRPr="003D1E07">
        <w:rPr>
          <w:lang w:eastAsia="en-US"/>
        </w:rPr>
        <w:t>v časech přicházející moderny</w:t>
      </w:r>
      <w:r w:rsidR="00775C27" w:rsidRPr="003D1E07">
        <w:rPr>
          <w:lang w:eastAsia="en-US"/>
        </w:rPr>
        <w:t xml:space="preserve">. Platon </w:t>
      </w:r>
      <w:r w:rsidR="08C26A92" w:rsidRPr="003D1E07">
        <w:rPr>
          <w:lang w:eastAsia="en-US"/>
        </w:rPr>
        <w:t xml:space="preserve">udělal </w:t>
      </w:r>
      <w:r w:rsidR="00775C27" w:rsidRPr="003D1E07">
        <w:rPr>
          <w:lang w:eastAsia="en-US"/>
        </w:rPr>
        <w:t xml:space="preserve">ze Sokrata </w:t>
      </w:r>
      <w:r w:rsidR="08C26A92" w:rsidRPr="003D1E07">
        <w:rPr>
          <w:lang w:eastAsia="en-US"/>
        </w:rPr>
        <w:t xml:space="preserve">metafyzického filosofa, který brilantně manipuluje mytopoetiku a </w:t>
      </w:r>
      <w:r w:rsidR="00E05DD4" w:rsidRPr="003D1E07">
        <w:rPr>
          <w:lang w:eastAsia="en-US"/>
        </w:rPr>
        <w:t xml:space="preserve">dialektiku </w:t>
      </w:r>
      <w:r w:rsidR="08C26A92" w:rsidRPr="003D1E07">
        <w:rPr>
          <w:lang w:eastAsia="en-US"/>
        </w:rPr>
        <w:t xml:space="preserve">na způsob </w:t>
      </w:r>
      <w:r w:rsidR="00AD0564" w:rsidRPr="003D1E07">
        <w:rPr>
          <w:lang w:eastAsia="en-US"/>
        </w:rPr>
        <w:t xml:space="preserve">tehdejších </w:t>
      </w:r>
      <w:r w:rsidR="08C26A92" w:rsidRPr="003D1E07">
        <w:rPr>
          <w:lang w:eastAsia="en-US"/>
        </w:rPr>
        <w:t xml:space="preserve">sofistů. </w:t>
      </w:r>
      <w:r w:rsidR="084C41FB" w:rsidRPr="003D1E07">
        <w:t>Tragický osud Sokrata určený orákulem Delf patří do epochálně stejného pojetí pravdy jako dramata tragiků</w:t>
      </w:r>
      <w:r w:rsidR="087741B4" w:rsidRPr="003D1E07">
        <w:t xml:space="preserve"> a vidění božské Alétheia u prvních filosofů</w:t>
      </w:r>
      <w:r w:rsidR="084C41FB" w:rsidRPr="003D1E07">
        <w:t>.</w:t>
      </w:r>
      <w:r w:rsidR="08CA291C" w:rsidRPr="003D1E07">
        <w:t xml:space="preserve"> Z tohoto zásadního důvodu daného archaickým pojetím pravdy </w:t>
      </w:r>
      <w:r w:rsidR="00937A56" w:rsidRPr="003D1E07">
        <w:t xml:space="preserve">a </w:t>
      </w:r>
      <w:r w:rsidR="00C855A2" w:rsidRPr="003D1E07">
        <w:t xml:space="preserve">principiálním </w:t>
      </w:r>
      <w:r w:rsidR="00937A56" w:rsidRPr="003D1E07">
        <w:t xml:space="preserve">dativem platí, že </w:t>
      </w:r>
      <w:r w:rsidR="08CA291C" w:rsidRPr="003D1E07">
        <w:t xml:space="preserve">Sokrates </w:t>
      </w:r>
      <w:r w:rsidR="00B82DB2" w:rsidRPr="003D1E07">
        <w:t xml:space="preserve">by jistě odmítl </w:t>
      </w:r>
      <w:r w:rsidR="08CA291C" w:rsidRPr="003D1E07">
        <w:t xml:space="preserve"> technickou podobu pravdy danou u Platona. </w:t>
      </w:r>
      <w:r w:rsidR="00E05DD4" w:rsidRPr="003D1E07">
        <w:rPr>
          <w:lang w:eastAsia="en-US"/>
        </w:rPr>
        <w:t xml:space="preserve">Platon a Sokrates </w:t>
      </w:r>
      <w:r w:rsidR="08CA291C" w:rsidRPr="003D1E07">
        <w:t>nežili v př</w:t>
      </w:r>
      <w:r w:rsidR="0866524D" w:rsidRPr="003D1E07">
        <w:t xml:space="preserve">ítomnosti stejné podoby pravdy. Nebyli </w:t>
      </w:r>
      <w:r w:rsidR="08B102CB" w:rsidRPr="003D1E07">
        <w:t xml:space="preserve">epochálními současníky </w:t>
      </w:r>
      <w:r w:rsidR="0866524D" w:rsidRPr="003D1E07">
        <w:t>z hlediska děj</w:t>
      </w:r>
      <w:r w:rsidR="08B102CB" w:rsidRPr="003D1E07">
        <w:t>i</w:t>
      </w:r>
      <w:r w:rsidR="0866524D" w:rsidRPr="003D1E07">
        <w:t xml:space="preserve">nnosti myšlení a bytí, </w:t>
      </w:r>
      <w:r w:rsidR="08CA291C" w:rsidRPr="003D1E07">
        <w:t xml:space="preserve">i když </w:t>
      </w:r>
      <w:r w:rsidR="085E07BD" w:rsidRPr="003D1E07">
        <w:t xml:space="preserve">žili </w:t>
      </w:r>
      <w:r w:rsidR="08B102CB" w:rsidRPr="003D1E07">
        <w:t>v historicky stejné době</w:t>
      </w:r>
      <w:r w:rsidR="08CA291C" w:rsidRPr="003D1E07">
        <w:t xml:space="preserve">. </w:t>
      </w:r>
      <w:r w:rsidR="086418BA" w:rsidRPr="003D1E07">
        <w:t>Archaická hermeneutika proto tvrdí z hlediska múzické pravdy</w:t>
      </w:r>
      <w:r w:rsidR="08A61516" w:rsidRPr="003D1E07">
        <w:t xml:space="preserve"> dané d</w:t>
      </w:r>
      <w:r w:rsidR="08AB463A" w:rsidRPr="003D1E07">
        <w:t>elfským orákulem</w:t>
      </w:r>
      <w:r w:rsidR="086418BA" w:rsidRPr="003D1E07">
        <w:t xml:space="preserve">, že Platon nebyl </w:t>
      </w:r>
      <w:r w:rsidR="08B225BB" w:rsidRPr="003D1E07">
        <w:t xml:space="preserve">filosofickým </w:t>
      </w:r>
      <w:r w:rsidR="086418BA" w:rsidRPr="003D1E07">
        <w:t xml:space="preserve">žákem Sokrata. </w:t>
      </w:r>
      <w:r w:rsidR="004F635C" w:rsidRPr="003D1E07">
        <w:t>F</w:t>
      </w:r>
      <w:r w:rsidR="004F635C" w:rsidRPr="003D1E07">
        <w:rPr>
          <w:lang w:eastAsia="en-US"/>
        </w:rPr>
        <w:t xml:space="preserve">ilosofie založená na interpretaci orákula nemá nic společného s eristikou sofistů a s dialektikou platoniků. </w:t>
      </w:r>
      <w:r w:rsidR="08D10443" w:rsidRPr="003D1E07">
        <w:t xml:space="preserve">Tragédie </w:t>
      </w:r>
      <w:r w:rsidR="00340AF8" w:rsidRPr="003D1E07">
        <w:t xml:space="preserve">metafyziky </w:t>
      </w:r>
      <w:r w:rsidR="08D10443" w:rsidRPr="003D1E07">
        <w:t>je v to</w:t>
      </w:r>
      <w:r w:rsidR="087F11A0" w:rsidRPr="003D1E07">
        <w:t xml:space="preserve">m, že </w:t>
      </w:r>
      <w:r w:rsidR="00340AF8" w:rsidRPr="003D1E07">
        <w:t xml:space="preserve">Sokrates </w:t>
      </w:r>
      <w:r w:rsidR="087F11A0" w:rsidRPr="003D1E07">
        <w:t xml:space="preserve">žádné </w:t>
      </w:r>
      <w:r w:rsidR="00683EBC" w:rsidRPr="003D1E07">
        <w:t xml:space="preserve">přímé </w:t>
      </w:r>
      <w:r w:rsidR="087F11A0" w:rsidRPr="003D1E07">
        <w:t>žáky neměl</w:t>
      </w:r>
      <w:r w:rsidR="00683EBC" w:rsidRPr="003D1E07">
        <w:t xml:space="preserve"> a nezaložil žádnou školu</w:t>
      </w:r>
      <w:r w:rsidR="00546FE1" w:rsidRPr="003D1E07">
        <w:t>.</w:t>
      </w:r>
      <w:r w:rsidR="00340AF8" w:rsidRPr="003D1E07">
        <w:t xml:space="preserve"> Byl posledn</w:t>
      </w:r>
      <w:r w:rsidR="00C16FB6" w:rsidRPr="003D1E07">
        <w:t>í z prvních mudrců</w:t>
      </w:r>
      <w:r w:rsidR="001D4942" w:rsidRPr="003D1E07">
        <w:t xml:space="preserve">, proto je navždy </w:t>
      </w:r>
      <w:r w:rsidR="00340AF8" w:rsidRPr="003D1E07">
        <w:t>nejmoudřejší ze všech</w:t>
      </w:r>
      <w:r w:rsidR="00C16FB6" w:rsidRPr="003D1E07">
        <w:t xml:space="preserve"> filosofů</w:t>
      </w:r>
      <w:r w:rsidR="00340AF8" w:rsidRPr="003D1E07">
        <w:t xml:space="preserve">. </w:t>
      </w:r>
    </w:p>
    <w:p w14:paraId="73CD8DFF" w14:textId="77777777" w:rsidR="00F11752" w:rsidRDefault="000718BF" w:rsidP="000A31C8">
      <w:pPr>
        <w:ind w:firstLine="397"/>
      </w:pPr>
      <w:r w:rsidRPr="003D1E07">
        <w:t xml:space="preserve">Platonismus </w:t>
      </w:r>
      <w:r w:rsidR="00FE5B48" w:rsidRPr="003D1E07">
        <w:t xml:space="preserve">nevratně </w:t>
      </w:r>
      <w:r w:rsidRPr="003D1E07">
        <w:t xml:space="preserve">změnil </w:t>
      </w:r>
      <w:r w:rsidR="00037395" w:rsidRPr="003D1E07">
        <w:t xml:space="preserve">povahu </w:t>
      </w:r>
      <w:r w:rsidRPr="003D1E07">
        <w:t xml:space="preserve">moudrosti. </w:t>
      </w:r>
      <w:r w:rsidR="00016007" w:rsidRPr="003D1E07">
        <w:t>Metafyzikové a akademici se stali milovníci</w:t>
      </w:r>
      <w:r w:rsidR="08EE0ECB" w:rsidRPr="003D1E07">
        <w:t xml:space="preserve"> </w:t>
      </w:r>
      <w:r w:rsidR="00CE5218" w:rsidRPr="003D1E07">
        <w:t xml:space="preserve">nové </w:t>
      </w:r>
      <w:r w:rsidR="00016007" w:rsidRPr="003D1E07">
        <w:t xml:space="preserve">subjektivně určené </w:t>
      </w:r>
      <w:r w:rsidR="08EE0ECB" w:rsidRPr="003D1E07">
        <w:t xml:space="preserve">moudrosti </w:t>
      </w:r>
      <w:r w:rsidR="00016007" w:rsidRPr="003D1E07">
        <w:t>v linii Platona</w:t>
      </w:r>
      <w:r w:rsidR="00F25F26" w:rsidRPr="003D1E07">
        <w:t xml:space="preserve">. </w:t>
      </w:r>
      <w:r w:rsidR="00CA7695" w:rsidRPr="003D1E07">
        <w:t xml:space="preserve">Na rozdíl od manuálně pracujícího Sokrata </w:t>
      </w:r>
      <w:r w:rsidR="00F25F26" w:rsidRPr="003D1E07">
        <w:t xml:space="preserve">chtěli dobře žít a </w:t>
      </w:r>
      <w:r w:rsidR="007104A7" w:rsidRPr="003D1E07">
        <w:t>kvůli vlastní obživě</w:t>
      </w:r>
      <w:r w:rsidR="007C521A" w:rsidRPr="003D1E07">
        <w:t xml:space="preserve"> založi</w:t>
      </w:r>
      <w:r w:rsidR="007104A7" w:rsidRPr="003D1E07">
        <w:t>li</w:t>
      </w:r>
      <w:r w:rsidR="007C521A" w:rsidRPr="003D1E07">
        <w:t xml:space="preserve"> </w:t>
      </w:r>
      <w:r w:rsidR="00544909" w:rsidRPr="003D1E07">
        <w:t xml:space="preserve">filosofické </w:t>
      </w:r>
      <w:r w:rsidR="007C521A" w:rsidRPr="003D1E07">
        <w:t>školy</w:t>
      </w:r>
      <w:r w:rsidR="08D10443" w:rsidRPr="003D1E07">
        <w:t xml:space="preserve">. </w:t>
      </w:r>
      <w:r w:rsidR="00356C0C" w:rsidRPr="003D1E07">
        <w:t>Simulákrum zvané „m</w:t>
      </w:r>
      <w:r w:rsidR="088B4A34" w:rsidRPr="003D1E07">
        <w:t>etafyzik</w:t>
      </w:r>
      <w:r w:rsidR="00356C0C" w:rsidRPr="003D1E07">
        <w:t>a</w:t>
      </w:r>
      <w:r w:rsidR="002C79A1" w:rsidRPr="003D1E07">
        <w:t xml:space="preserve"> Sokrata</w:t>
      </w:r>
      <w:r w:rsidR="00356C0C" w:rsidRPr="003D1E07">
        <w:t>“</w:t>
      </w:r>
      <w:r w:rsidR="088B4A34" w:rsidRPr="003D1E07">
        <w:t xml:space="preserve"> představuje </w:t>
      </w:r>
      <w:r w:rsidR="00A30610" w:rsidRPr="003D1E07">
        <w:t xml:space="preserve">dokonalý </w:t>
      </w:r>
      <w:r w:rsidR="088B4A34" w:rsidRPr="003D1E07">
        <w:t xml:space="preserve">výtvor </w:t>
      </w:r>
      <w:r w:rsidR="00786A91" w:rsidRPr="003D1E07">
        <w:t xml:space="preserve">bohyně Apaté. Archaicky pravdivé Múzy tak </w:t>
      </w:r>
      <w:r w:rsidR="088B4A34" w:rsidRPr="003D1E07">
        <w:t xml:space="preserve">dodnes promlouvají skrze božskou komedii metafyziky inscenovanou Platonem. </w:t>
      </w:r>
      <w:r w:rsidR="08AD7034" w:rsidRPr="003D1E07">
        <w:t xml:space="preserve">Tento moderní následovník </w:t>
      </w:r>
      <w:r w:rsidR="08B43B8D" w:rsidRPr="003D1E07">
        <w:t xml:space="preserve">Sokrata se stal nejlepším </w:t>
      </w:r>
      <w:r w:rsidR="0887369F" w:rsidRPr="003D1E07">
        <w:t xml:space="preserve">technikem myšlení </w:t>
      </w:r>
      <w:r w:rsidR="082856E9" w:rsidRPr="003D1E07">
        <w:t xml:space="preserve">své doby </w:t>
      </w:r>
      <w:r w:rsidR="08B43B8D" w:rsidRPr="003D1E07">
        <w:t xml:space="preserve">vedle celé řady </w:t>
      </w:r>
      <w:r w:rsidR="088F3742" w:rsidRPr="003D1E07">
        <w:t>tehdejších sofistických učitelů</w:t>
      </w:r>
      <w:r w:rsidR="08106F34" w:rsidRPr="003D1E07">
        <w:t xml:space="preserve">. </w:t>
      </w:r>
      <w:r w:rsidR="08727A95" w:rsidRPr="003D1E07">
        <w:t xml:space="preserve">Platon vytvořil metafyziku tím, že předložil současníkům mytopoetické simulákrum Sokratovy moudrosti v novém typu filosofického dialogu. </w:t>
      </w:r>
      <w:r w:rsidR="08FE3B74" w:rsidRPr="003D1E07">
        <w:t>První skupina modernistů vznikla již před Platonem v kruhu myslitelů založených slavným politikem Periklem</w:t>
      </w:r>
      <w:r w:rsidR="08FE3B74" w:rsidRPr="003D1E07">
        <w:fldChar w:fldCharType="begin"/>
      </w:r>
      <w:r w:rsidR="08FE3B74" w:rsidRPr="003D1E07">
        <w:instrText xml:space="preserve"> XE "Periklés" </w:instrText>
      </w:r>
      <w:r w:rsidR="08FE3B74" w:rsidRPr="003D1E07">
        <w:fldChar w:fldCharType="end"/>
      </w:r>
      <w:r w:rsidR="08FE3B74" w:rsidRPr="003D1E07">
        <w:t xml:space="preserve"> (</w:t>
      </w:r>
      <w:r w:rsidR="08FE3B74" w:rsidRPr="003D1E07">
        <w:rPr>
          <w:rFonts w:cs="Calibri"/>
        </w:rPr>
        <w:t>†</w:t>
      </w:r>
      <w:r w:rsidR="08FE3B74" w:rsidRPr="003D1E07">
        <w:t xml:space="preserve">429 př. Kr.). První generace </w:t>
      </w:r>
      <w:r w:rsidR="08FE3B74" w:rsidRPr="003D1E07">
        <w:rPr>
          <w:i/>
        </w:rPr>
        <w:t>Modernorum</w:t>
      </w:r>
      <w:r w:rsidR="08FE3B74" w:rsidRPr="003D1E07">
        <w:t xml:space="preserve"> změnila po smrti Sokrata </w:t>
      </w:r>
      <w:r w:rsidR="00C60EC3" w:rsidRPr="003D1E07">
        <w:t xml:space="preserve">pythické </w:t>
      </w:r>
      <w:r w:rsidR="08FE3B74" w:rsidRPr="003D1E07">
        <w:t xml:space="preserve">pojetí moudrosti již překonaných </w:t>
      </w:r>
      <w:r w:rsidR="08FE3B74" w:rsidRPr="003D1E07">
        <w:rPr>
          <w:i/>
        </w:rPr>
        <w:t>Antiquorum</w:t>
      </w:r>
      <w:r w:rsidR="005640D9" w:rsidRPr="003D1E07">
        <w:t xml:space="preserve"> podle </w:t>
      </w:r>
      <w:r w:rsidR="00221DC8">
        <w:t xml:space="preserve">nové </w:t>
      </w:r>
      <w:r w:rsidR="005640D9" w:rsidRPr="003D1E07">
        <w:t xml:space="preserve">dialektiky. </w:t>
      </w:r>
      <w:r w:rsidR="08FE3B74" w:rsidRPr="003D1E07">
        <w:t>Druhá vlna modernistů systematizovala díla Platona a Hérodota</w:t>
      </w:r>
      <w:r w:rsidR="08FE3B74" w:rsidRPr="003D1E07">
        <w:fldChar w:fldCharType="begin"/>
      </w:r>
      <w:r w:rsidR="08FE3B74" w:rsidRPr="003D1E07">
        <w:instrText xml:space="preserve"> XE "Hérodotos" </w:instrText>
      </w:r>
      <w:r w:rsidR="08FE3B74" w:rsidRPr="003D1E07">
        <w:fldChar w:fldCharType="end"/>
      </w:r>
      <w:r w:rsidR="08FE3B74" w:rsidRPr="003D1E07">
        <w:t xml:space="preserve"> do nových oborů myšlení později </w:t>
      </w:r>
      <w:r w:rsidR="08FE3B74" w:rsidRPr="003D1E07">
        <w:lastRenderedPageBreak/>
        <w:t xml:space="preserve">zvaných „metafyzika“ a „historie“. </w:t>
      </w:r>
      <w:r w:rsidR="08292EF0" w:rsidRPr="003D1E07">
        <w:t xml:space="preserve">Literární figura </w:t>
      </w:r>
      <w:r w:rsidR="00EE3EFD" w:rsidRPr="003D1E07">
        <w:t xml:space="preserve">modernisty </w:t>
      </w:r>
      <w:r w:rsidR="088857B9" w:rsidRPr="003D1E07">
        <w:t>Sokrat</w:t>
      </w:r>
      <w:r w:rsidR="08292EF0" w:rsidRPr="003D1E07">
        <w:t>a</w:t>
      </w:r>
      <w:r w:rsidR="088857B9" w:rsidRPr="003D1E07">
        <w:t xml:space="preserve"> </w:t>
      </w:r>
      <w:r w:rsidR="088857B9" w:rsidRPr="003D1E07">
        <w:fldChar w:fldCharType="begin"/>
      </w:r>
      <w:r w:rsidR="088857B9" w:rsidRPr="003D1E07">
        <w:instrText xml:space="preserve"> XE "Aristofanes" </w:instrText>
      </w:r>
      <w:r w:rsidR="088857B9" w:rsidRPr="003D1E07">
        <w:fldChar w:fldCharType="end"/>
      </w:r>
      <w:r w:rsidR="088857B9" w:rsidRPr="003D1E07">
        <w:t>podle Platona tvoří nerozlučnou metafyzickou a komickou dvojici</w:t>
      </w:r>
      <w:r w:rsidR="00DC1BED" w:rsidRPr="003D1E07">
        <w:t>, která kontrastuje s</w:t>
      </w:r>
      <w:r w:rsidR="00860B70" w:rsidRPr="003D1E07">
        <w:t xml:space="preserve"> </w:t>
      </w:r>
      <w:r w:rsidR="00143944" w:rsidRPr="003D1E07">
        <w:t>Xenofon</w:t>
      </w:r>
      <w:r w:rsidR="00223BAE" w:rsidRPr="003D1E07">
        <w:t>ovou apologií</w:t>
      </w:r>
      <w:r w:rsidR="00143944" w:rsidRPr="003D1E07">
        <w:t xml:space="preserve"> Sokrata</w:t>
      </w:r>
      <w:r w:rsidR="088857B9" w:rsidRPr="003D1E07">
        <w:t xml:space="preserve">. </w:t>
      </w:r>
      <w:r w:rsidR="08725587" w:rsidRPr="003D1E07">
        <w:t>První intelektuálové byli současníci</w:t>
      </w:r>
      <w:r w:rsidR="084C41FB" w:rsidRPr="003D1E07">
        <w:t xml:space="preserve"> </w:t>
      </w:r>
      <w:r w:rsidR="08B43B8D" w:rsidRPr="003D1E07">
        <w:t xml:space="preserve">(latinsky </w:t>
      </w:r>
      <w:r w:rsidR="08B43B8D" w:rsidRPr="003D1E07">
        <w:rPr>
          <w:i/>
        </w:rPr>
        <w:t>Moderni</w:t>
      </w:r>
      <w:r w:rsidR="08B43B8D" w:rsidRPr="003D1E07">
        <w:t xml:space="preserve">) </w:t>
      </w:r>
      <w:r w:rsidR="084C41FB" w:rsidRPr="003D1E07">
        <w:t>orákula v</w:t>
      </w:r>
      <w:r w:rsidR="08725587" w:rsidRPr="003D1E07">
        <w:t> </w:t>
      </w:r>
      <w:r w:rsidR="084C41FB" w:rsidRPr="003D1E07">
        <w:t>Delfách</w:t>
      </w:r>
      <w:r w:rsidR="08725587" w:rsidRPr="003D1E07">
        <w:t>,</w:t>
      </w:r>
      <w:r w:rsidR="084C41FB" w:rsidRPr="003D1E07">
        <w:t xml:space="preserve"> stejně jako tehdy zanikající skupina tragiků</w:t>
      </w:r>
      <w:r w:rsidR="084C41FB" w:rsidRPr="003D1E07">
        <w:rPr>
          <w:i/>
        </w:rPr>
        <w:fldChar w:fldCharType="begin"/>
      </w:r>
      <w:r w:rsidR="084C41FB" w:rsidRPr="003D1E07">
        <w:instrText xml:space="preserve"> XE "vidění:mystéria" </w:instrText>
      </w:r>
      <w:r w:rsidR="084C41FB" w:rsidRPr="003D1E07">
        <w:rPr>
          <w:i/>
        </w:rPr>
        <w:fldChar w:fldCharType="end"/>
      </w:r>
      <w:r w:rsidR="084C41FB" w:rsidRPr="003D1E07">
        <w:t>.</w:t>
      </w:r>
      <w:r w:rsidR="08D92A65" w:rsidRPr="003D1E07">
        <w:t xml:space="preserve"> </w:t>
      </w:r>
      <w:r w:rsidR="089C2184" w:rsidRPr="003D1E07">
        <w:t>Sofokles</w:t>
      </w:r>
      <w:r w:rsidR="089C2184" w:rsidRPr="003D1E07">
        <w:fldChar w:fldCharType="begin"/>
      </w:r>
      <w:r w:rsidR="089C2184" w:rsidRPr="003D1E07">
        <w:instrText xml:space="preserve"> XE "Sofokles" </w:instrText>
      </w:r>
      <w:r w:rsidR="089C2184" w:rsidRPr="003D1E07">
        <w:fldChar w:fldCharType="end"/>
      </w:r>
      <w:r w:rsidR="089C2184" w:rsidRPr="003D1E07">
        <w:t xml:space="preserve"> a Euripides jako hlavní představitelé tehdy zanikající tragické múzické pravdivosti žili v Athénách ve stejné době jako Sokrates. Jeho vidění pravdy a </w:t>
      </w:r>
      <w:r w:rsidR="00303EBD" w:rsidRPr="003D1E07">
        <w:t xml:space="preserve">jeho </w:t>
      </w:r>
      <w:r w:rsidR="089C2184" w:rsidRPr="003D1E07">
        <w:t>tragický osud se staly metafyzickým věděním</w:t>
      </w:r>
      <w:r w:rsidR="00755EB8" w:rsidRPr="003D1E07">
        <w:t xml:space="preserve">. Platon vytvořil ze Sokrata božského pedagoga platonismu. </w:t>
      </w:r>
      <w:r w:rsidR="089C2184" w:rsidRPr="003D1E07">
        <w:t>V</w:t>
      </w:r>
      <w:r w:rsidR="08C93951" w:rsidRPr="003D1E07">
        <w:t xml:space="preserve">ědění </w:t>
      </w:r>
      <w:r w:rsidR="003B19DE">
        <w:t>M</w:t>
      </w:r>
      <w:r w:rsidR="089C2184" w:rsidRPr="003D1E07">
        <w:t xml:space="preserve">oderních </w:t>
      </w:r>
      <w:r w:rsidR="08C93951" w:rsidRPr="003D1E07">
        <w:t xml:space="preserve">nepotřebovalo vidění původní božské pravdy hledané Sokratem a zvěstované Tragiky. </w:t>
      </w:r>
      <w:r w:rsidR="00B35B37" w:rsidRPr="003D1E07">
        <w:t>Akademické u</w:t>
      </w:r>
      <w:r w:rsidR="080F38EF" w:rsidRPr="003D1E07">
        <w:t xml:space="preserve">ctívání </w:t>
      </w:r>
      <w:r w:rsidR="006B09D9" w:rsidRPr="003D1E07">
        <w:t xml:space="preserve">platonského </w:t>
      </w:r>
      <w:r w:rsidR="080F38EF" w:rsidRPr="003D1E07">
        <w:t xml:space="preserve">Sokrata jako prvního </w:t>
      </w:r>
      <w:r w:rsidR="009F5592" w:rsidRPr="003D1E07">
        <w:t xml:space="preserve">moderního </w:t>
      </w:r>
      <w:r w:rsidR="00A3134B" w:rsidRPr="003D1E07">
        <w:t>„</w:t>
      </w:r>
      <w:r w:rsidR="080F38EF" w:rsidRPr="003D1E07">
        <w:t>filosofa</w:t>
      </w:r>
      <w:r w:rsidR="00A3134B" w:rsidRPr="003D1E07">
        <w:t>“</w:t>
      </w:r>
      <w:r w:rsidR="080F38EF" w:rsidRPr="003D1E07">
        <w:t xml:space="preserve"> nahradilo a zcela vytlačilo jeho původní vidění pravdy. </w:t>
      </w:r>
      <w:r w:rsidR="00831952" w:rsidRPr="003D1E07">
        <w:t xml:space="preserve">Múzické </w:t>
      </w:r>
      <w:r w:rsidR="00636204" w:rsidRPr="003D1E07">
        <w:t xml:space="preserve">porozumění delfských Pýthií </w:t>
      </w:r>
      <w:r w:rsidR="08133486" w:rsidRPr="003D1E07">
        <w:t xml:space="preserve">se stalo pozitivním věděním athénské </w:t>
      </w:r>
      <w:r w:rsidR="00636204" w:rsidRPr="003D1E07">
        <w:t xml:space="preserve">mužské </w:t>
      </w:r>
      <w:r w:rsidR="08133486" w:rsidRPr="003D1E07">
        <w:t xml:space="preserve">intelektuální elity. </w:t>
      </w:r>
      <w:r w:rsidR="08C46E19" w:rsidRPr="003D1E07">
        <w:t xml:space="preserve">Platon předělal Sokratovo vidění </w:t>
      </w:r>
      <w:r w:rsidR="00C139FF" w:rsidRPr="003D1E07">
        <w:t xml:space="preserve">zde a nyní daného smyslu bytí </w:t>
      </w:r>
      <w:r w:rsidR="08C46E19" w:rsidRPr="003D1E07">
        <w:t xml:space="preserve">do metafyzické formy pravdivosti určené matematicky definovanou ideou. Původní vidění vztažené k bytí jsoucna či tragické poznání člověka dané múzicky se stalo v platonismu metafyzickým věděním vztaženým k bytí ideje. V předešlé tradici </w:t>
      </w:r>
      <w:r w:rsidR="00C61A34" w:rsidRPr="003D1E07">
        <w:t>to bylo přesně naopak. Pro první filosofii</w:t>
      </w:r>
      <w:r w:rsidR="08C46E19" w:rsidRPr="003D1E07">
        <w:t xml:space="preserve"> byla přítomnost jedinečného jsoucna pro myšlení velmi problematickou entitou</w:t>
      </w:r>
      <w:r w:rsidR="003D0A53" w:rsidRPr="003D1E07">
        <w:t xml:space="preserve">. Jeho filosofické zkoumání bylo možné pouze v rámci </w:t>
      </w:r>
      <w:r w:rsidR="00837129" w:rsidRPr="003D1E07">
        <w:t>zákla</w:t>
      </w:r>
      <w:r w:rsidR="0026687B" w:rsidRPr="003D1E07">
        <w:t>dní otázky</w:t>
      </w:r>
      <w:r w:rsidR="00C61A34" w:rsidRPr="003D1E07">
        <w:t xml:space="preserve"> </w:t>
      </w:r>
      <w:r w:rsidR="003D0A53" w:rsidRPr="003D1E07">
        <w:t xml:space="preserve">po </w:t>
      </w:r>
      <w:r w:rsidR="00C61A34" w:rsidRPr="003D1E07">
        <w:t xml:space="preserve">bytí </w:t>
      </w:r>
      <w:r w:rsidR="0026687B" w:rsidRPr="003D1E07">
        <w:t xml:space="preserve">manifestované </w:t>
      </w:r>
      <w:r w:rsidR="00C61A34" w:rsidRPr="003D1E07">
        <w:t xml:space="preserve">v podobě </w:t>
      </w:r>
      <w:r w:rsidR="003D0A53" w:rsidRPr="003D1E07">
        <w:t xml:space="preserve">zde a nyní přítomného celku </w:t>
      </w:r>
      <w:r w:rsidR="00C61A34" w:rsidRPr="003D1E07">
        <w:rPr>
          <w:i/>
        </w:rPr>
        <w:t>fýsis</w:t>
      </w:r>
      <w:r w:rsidR="08C46E19" w:rsidRPr="003D1E07">
        <w:t xml:space="preserve">. </w:t>
      </w:r>
      <w:r w:rsidR="009A0532">
        <w:t xml:space="preserve">Izolovaný </w:t>
      </w:r>
      <w:r w:rsidR="00AD0595">
        <w:t xml:space="preserve">moderní </w:t>
      </w:r>
      <w:r w:rsidR="009A0532">
        <w:t>p</w:t>
      </w:r>
      <w:r w:rsidR="08C46E19" w:rsidRPr="003D1E07">
        <w:t xml:space="preserve">ohled na proměnlivou jednotlivinu je podle Parmenida </w:t>
      </w:r>
      <w:r w:rsidR="00260630" w:rsidRPr="003D1E07">
        <w:t xml:space="preserve">poznávacím znamením </w:t>
      </w:r>
      <w:r w:rsidR="00944C07" w:rsidRPr="003D1E07">
        <w:t>tzv</w:t>
      </w:r>
      <w:r w:rsidR="08C46E19" w:rsidRPr="003D1E07">
        <w:t>. „dvojhlavců“ (δί</w:t>
      </w:r>
      <w:r w:rsidR="0020267F" w:rsidRPr="003D1E07">
        <w:t xml:space="preserve">κρανοι; DK 28, </w:t>
      </w:r>
      <w:r w:rsidR="08C46E19" w:rsidRPr="003D1E07">
        <w:t>B 6.5</w:t>
      </w:r>
      <w:r w:rsidR="08C46E19" w:rsidRPr="003D1E07">
        <w:rPr>
          <w:i/>
        </w:rPr>
        <w:fldChar w:fldCharType="begin"/>
      </w:r>
      <w:r w:rsidR="08C46E19" w:rsidRPr="003D1E07">
        <w:instrText xml:space="preserve"> XE "Parmenides:Fr. B 6.5" </w:instrText>
      </w:r>
      <w:r w:rsidR="08C46E19" w:rsidRPr="003D1E07">
        <w:rPr>
          <w:i/>
        </w:rPr>
        <w:fldChar w:fldCharType="end"/>
      </w:r>
      <w:r w:rsidR="08C46E19" w:rsidRPr="003D1E07">
        <w:t>)</w:t>
      </w:r>
      <w:r w:rsidR="005D7968" w:rsidRPr="003D1E07">
        <w:t>. Jejich c</w:t>
      </w:r>
      <w:r w:rsidR="00260630" w:rsidRPr="003D1E07">
        <w:t xml:space="preserve">hybné </w:t>
      </w:r>
      <w:r w:rsidR="005D7968" w:rsidRPr="003D1E07">
        <w:t>poznání real</w:t>
      </w:r>
      <w:r w:rsidR="00260630" w:rsidRPr="003D1E07">
        <w:t xml:space="preserve">ity je dáno </w:t>
      </w:r>
      <w:r w:rsidR="00944C07" w:rsidRPr="003D1E07">
        <w:t xml:space="preserve">pouze v řádu </w:t>
      </w:r>
      <w:r w:rsidR="005D7968" w:rsidRPr="003D1E07">
        <w:t xml:space="preserve">dialekticky a sofisticky manipulovaného </w:t>
      </w:r>
      <w:r w:rsidR="00944C07" w:rsidRPr="003D1E07">
        <w:t>jazyka</w:t>
      </w:r>
      <w:r w:rsidR="00505931" w:rsidRPr="003D1E07">
        <w:t>, a ne reality</w:t>
      </w:r>
      <w:r w:rsidR="00944C07" w:rsidRPr="003D1E07">
        <w:t xml:space="preserve">. Jejich </w:t>
      </w:r>
      <w:r w:rsidR="08C46E19" w:rsidRPr="003D1E07">
        <w:t>cesta jde chaoticky tam i zpět (παλίντροπός ἐστι κέλευθος, B 6.9</w:t>
      </w:r>
      <w:r w:rsidR="08C46E19" w:rsidRPr="003D1E07">
        <w:rPr>
          <w:i/>
        </w:rPr>
        <w:fldChar w:fldCharType="begin"/>
      </w:r>
      <w:r w:rsidR="08C46E19" w:rsidRPr="003D1E07">
        <w:instrText xml:space="preserve"> XE "Parmenides:Fr. B 6.9" </w:instrText>
      </w:r>
      <w:r w:rsidR="08C46E19" w:rsidRPr="003D1E07">
        <w:rPr>
          <w:i/>
        </w:rPr>
        <w:fldChar w:fldCharType="end"/>
      </w:r>
      <w:r w:rsidR="08C46E19" w:rsidRPr="003D1E07">
        <w:t xml:space="preserve">). Izolované jsoucno </w:t>
      </w:r>
      <w:r w:rsidR="00D877B4">
        <w:t xml:space="preserve">modernistů </w:t>
      </w:r>
      <w:r w:rsidR="00EB0B5F" w:rsidRPr="003D1E07">
        <w:t xml:space="preserve">neexistuje </w:t>
      </w:r>
      <w:r w:rsidR="08C46E19" w:rsidRPr="003D1E07">
        <w:t>ani v minulosti ani v</w:t>
      </w:r>
      <w:r w:rsidR="00C604B7" w:rsidRPr="003D1E07">
        <w:t> </w:t>
      </w:r>
      <w:r w:rsidR="08C46E19" w:rsidRPr="003D1E07">
        <w:t>budoucnosti</w:t>
      </w:r>
      <w:r w:rsidR="00C604B7" w:rsidRPr="003D1E07">
        <w:t xml:space="preserve">. Proto nemůže být </w:t>
      </w:r>
      <w:r w:rsidR="08C46E19" w:rsidRPr="003D1E07">
        <w:t>definov</w:t>
      </w:r>
      <w:r w:rsidR="00C604B7" w:rsidRPr="003D1E07">
        <w:t>áno na stejné úrovni jako prézentně nazíraný</w:t>
      </w:r>
      <w:r w:rsidR="08C46E19" w:rsidRPr="003D1E07">
        <w:t xml:space="preserve"> cel</w:t>
      </w:r>
      <w:r w:rsidR="00C604B7" w:rsidRPr="003D1E07">
        <w:t>ek</w:t>
      </w:r>
      <w:r w:rsidR="00EB0B5F" w:rsidRPr="003D1E07">
        <w:t xml:space="preserve"> </w:t>
      </w:r>
      <w:r w:rsidR="0037099A" w:rsidRPr="003D1E07">
        <w:t xml:space="preserve">bytí. Existující jednotlivina vypadla z rámci </w:t>
      </w:r>
      <w:r w:rsidR="08C46E19" w:rsidRPr="003D1E07">
        <w:t xml:space="preserve">archaické podoby </w:t>
      </w:r>
      <w:r w:rsidR="08C46E19" w:rsidRPr="003D1E07">
        <w:rPr>
          <w:i/>
        </w:rPr>
        <w:t>fýsis</w:t>
      </w:r>
      <w:r w:rsidR="0037099A" w:rsidRPr="003D1E07">
        <w:t xml:space="preserve">, což </w:t>
      </w:r>
      <w:r w:rsidR="006958AD" w:rsidRPr="003D1E07">
        <w:t xml:space="preserve">pro první filosofy </w:t>
      </w:r>
      <w:r w:rsidR="0037099A" w:rsidRPr="003D1E07">
        <w:t>znamenalo, že musí být zkoumána s velkou opatrností.</w:t>
      </w:r>
      <w:r w:rsidR="08C46E19" w:rsidRPr="003D1E07">
        <w:t xml:space="preserve"> </w:t>
      </w:r>
      <w:r w:rsidR="000A5CBA" w:rsidRPr="003D1E07">
        <w:t>P</w:t>
      </w:r>
      <w:r w:rsidR="00992F9E" w:rsidRPr="003D1E07">
        <w:t>oznání izolovaného jsoucna patřilo</w:t>
      </w:r>
      <w:r w:rsidR="000A5CBA" w:rsidRPr="003D1E07">
        <w:t xml:space="preserve"> </w:t>
      </w:r>
      <w:r w:rsidR="00992F9E" w:rsidRPr="003D1E07">
        <w:t xml:space="preserve">především </w:t>
      </w:r>
      <w:r w:rsidR="08F627C8" w:rsidRPr="003D1E07">
        <w:t>do technicky založeného vědění</w:t>
      </w:r>
      <w:r w:rsidR="08C46E19" w:rsidRPr="003D1E07">
        <w:t xml:space="preserve">. Platon </w:t>
      </w:r>
      <w:r w:rsidR="003B24D4" w:rsidRPr="003D1E07">
        <w:t xml:space="preserve">zredukoval </w:t>
      </w:r>
      <w:r w:rsidR="007B5BE4" w:rsidRPr="003D1E07">
        <w:t>myšlení</w:t>
      </w:r>
      <w:r w:rsidR="003B24D4" w:rsidRPr="003D1E07">
        <w:t xml:space="preserve"> na t</w:t>
      </w:r>
      <w:r w:rsidR="00803FA5" w:rsidRPr="003D1E07">
        <w:t xml:space="preserve">echniku a </w:t>
      </w:r>
      <w:r w:rsidR="08C46E19" w:rsidRPr="003D1E07">
        <w:t xml:space="preserve">nahradil bytí archaického celku za věčné bytí jsoucí ideje. </w:t>
      </w:r>
      <w:r w:rsidR="00AA1DBD" w:rsidRPr="003D1E07">
        <w:t xml:space="preserve">Reálně neexistující idea </w:t>
      </w:r>
      <w:r w:rsidR="009C3814" w:rsidRPr="003D1E07">
        <w:t xml:space="preserve">začala zakládat </w:t>
      </w:r>
      <w:r w:rsidR="00AA1DBD" w:rsidRPr="003D1E07">
        <w:t>realitu</w:t>
      </w:r>
      <w:r w:rsidR="004216A0">
        <w:t>. I</w:t>
      </w:r>
      <w:r w:rsidR="00000120" w:rsidRPr="003D1E07">
        <w:t xml:space="preserve">dea jako </w:t>
      </w:r>
      <w:r w:rsidR="005E20DE" w:rsidRPr="003D1E07">
        <w:t xml:space="preserve">individuální jsoucno </w:t>
      </w:r>
      <w:r w:rsidR="004216A0">
        <w:t>začala vysvětlovat</w:t>
      </w:r>
      <w:r w:rsidR="00000120" w:rsidRPr="003D1E07">
        <w:t xml:space="preserve"> </w:t>
      </w:r>
      <w:r w:rsidR="005E20DE" w:rsidRPr="003D1E07">
        <w:t>celek bytí</w:t>
      </w:r>
      <w:r w:rsidR="0007695D" w:rsidRPr="003D1E07">
        <w:t>, který vůbec ne</w:t>
      </w:r>
      <w:r w:rsidR="0025343E" w:rsidRPr="003D1E07">
        <w:t xml:space="preserve">ní </w:t>
      </w:r>
      <w:r w:rsidR="003B7B7C" w:rsidRPr="003D1E07">
        <w:t>jsoucn</w:t>
      </w:r>
      <w:r w:rsidR="0025343E" w:rsidRPr="003D1E07">
        <w:t xml:space="preserve">em, protože má </w:t>
      </w:r>
      <w:r w:rsidR="00E865B0" w:rsidRPr="003D1E07">
        <w:t>napr</w:t>
      </w:r>
      <w:r w:rsidR="0025343E" w:rsidRPr="003D1E07">
        <w:t>osto odlišný způsob bytí</w:t>
      </w:r>
      <w:r w:rsidR="005E20DE" w:rsidRPr="003D1E07">
        <w:t xml:space="preserve">. </w:t>
      </w:r>
      <w:r w:rsidR="00E626E2" w:rsidRPr="003D1E07">
        <w:t>P</w:t>
      </w:r>
      <w:r w:rsidR="00465A7F" w:rsidRPr="003D1E07">
        <w:t xml:space="preserve">latonismus </w:t>
      </w:r>
      <w:r w:rsidR="00E626E2" w:rsidRPr="003D1E07">
        <w:t xml:space="preserve">vytvořil </w:t>
      </w:r>
      <w:r w:rsidR="00447BDF" w:rsidRPr="003D1E07">
        <w:t>první f</w:t>
      </w:r>
      <w:r w:rsidR="00E626E2" w:rsidRPr="003D1E07">
        <w:t>ormu</w:t>
      </w:r>
      <w:r w:rsidR="00447BDF" w:rsidRPr="003D1E07">
        <w:t xml:space="preserve"> božské komedie</w:t>
      </w:r>
      <w:r w:rsidR="00AD12B0" w:rsidRPr="003D1E07">
        <w:t xml:space="preserve"> in</w:t>
      </w:r>
      <w:r w:rsidR="00381176" w:rsidRPr="003D1E07">
        <w:t>s</w:t>
      </w:r>
      <w:r w:rsidR="00AD12B0" w:rsidRPr="003D1E07">
        <w:t>cenované Múzami</w:t>
      </w:r>
      <w:r w:rsidR="00E626E2" w:rsidRPr="003D1E07">
        <w:t xml:space="preserve"> na scéně filosofické moudrosti</w:t>
      </w:r>
      <w:r w:rsidR="00AA1DBD" w:rsidRPr="003D1E07">
        <w:t xml:space="preserve">. </w:t>
      </w:r>
      <w:r w:rsidR="009C3814" w:rsidRPr="003D1E07">
        <w:t xml:space="preserve">Přítomnost původního celku bytí se změnila na přítomnost jediného svrchovaného a reálně neexistujícího jsoucna, což je idea Dobra. Tato </w:t>
      </w:r>
      <w:r w:rsidR="005D2C5C" w:rsidRPr="003D1E07">
        <w:t xml:space="preserve">mytopoetická </w:t>
      </w:r>
      <w:r w:rsidR="009C3814" w:rsidRPr="003D1E07">
        <w:t xml:space="preserve">idea řídí proces </w:t>
      </w:r>
      <w:r w:rsidR="00F1047A" w:rsidRPr="003D1E07">
        <w:t xml:space="preserve">perfektního odhalování jsoucna v modu </w:t>
      </w:r>
      <w:r w:rsidR="00F1047A" w:rsidRPr="003D1E07">
        <w:lastRenderedPageBreak/>
        <w:t xml:space="preserve">moderně pojaté </w:t>
      </w:r>
      <w:r w:rsidR="009C3814" w:rsidRPr="003D1E07">
        <w:rPr>
          <w:i/>
        </w:rPr>
        <w:t>alétheia</w:t>
      </w:r>
      <w:r w:rsidR="009C3814" w:rsidRPr="003D1E07">
        <w:t xml:space="preserve">. </w:t>
      </w:r>
      <w:r w:rsidR="08C46E19" w:rsidRPr="003D1E07">
        <w:t>Celek bytí zakládající manifestaci původního smyslu jsoucen tím definitivně zmizel z filosofie ath</w:t>
      </w:r>
      <w:r w:rsidR="00F11752">
        <w:t>énských intelektuálů a sofistů.</w:t>
      </w:r>
    </w:p>
    <w:p w14:paraId="71490845" w14:textId="6F0D16CE" w:rsidR="00576748" w:rsidRPr="003D1E07" w:rsidRDefault="00BC6ECF" w:rsidP="000A31C8">
      <w:pPr>
        <w:ind w:firstLine="397"/>
      </w:pPr>
      <w:r w:rsidRPr="003D1E07">
        <w:t xml:space="preserve">Metafyzika definuje základní fenomenologický způsob, „jak“ jsou věci jsoucí skrze ideově založené vidění a vědění. </w:t>
      </w:r>
      <w:r w:rsidR="00C773BC" w:rsidRPr="003D1E07">
        <w:t xml:space="preserve">Ve srovnání s moudrostí, která </w:t>
      </w:r>
      <w:r w:rsidR="000E1D87" w:rsidRPr="003D1E07">
        <w:t xml:space="preserve">v klasických </w:t>
      </w:r>
      <w:r w:rsidR="00F1047A" w:rsidRPr="003D1E07">
        <w:t xml:space="preserve">kulturách </w:t>
      </w:r>
      <w:r w:rsidR="00C773BC" w:rsidRPr="003D1E07">
        <w:t>vládla celá milénia, představovala na</w:t>
      </w:r>
      <w:r w:rsidR="007A629F" w:rsidRPr="003D1E07">
        <w:t xml:space="preserve">uka modernistů čistou paranoiu. </w:t>
      </w:r>
      <w:r w:rsidR="00C773BC" w:rsidRPr="003D1E07">
        <w:t>Proto museli platonikové vytvořit novou definici pravdy</w:t>
      </w:r>
      <w:r w:rsidR="00796555" w:rsidRPr="003D1E07">
        <w:t>, aby vůbec přežili</w:t>
      </w:r>
      <w:r w:rsidR="00C773BC" w:rsidRPr="003D1E07">
        <w:t xml:space="preserve">. </w:t>
      </w:r>
      <w:r w:rsidR="00553BDA" w:rsidRPr="003D1E07">
        <w:t xml:space="preserve">Idea nejvyššího Dobra představuje první a nejdůležitější teorém nové první vědy o jsoucnu. Původní </w:t>
      </w:r>
      <w:r w:rsidR="00553BDA" w:rsidRPr="003D1E07">
        <w:rPr>
          <w:i/>
        </w:rPr>
        <w:t>theoría</w:t>
      </w:r>
      <w:r w:rsidR="00553BDA" w:rsidRPr="003D1E07">
        <w:t xml:space="preserve"> </w:t>
      </w:r>
      <w:r w:rsidR="002A3867">
        <w:t xml:space="preserve">daná v </w:t>
      </w:r>
      <w:r w:rsidR="00796555" w:rsidRPr="003D1E07">
        <w:t>mystérií</w:t>
      </w:r>
      <w:r w:rsidR="002A3867">
        <w:t>ch</w:t>
      </w:r>
      <w:r w:rsidR="00796555" w:rsidRPr="003D1E07">
        <w:t xml:space="preserve"> </w:t>
      </w:r>
      <w:r w:rsidR="00553BDA" w:rsidRPr="003D1E07">
        <w:t>se změnila na teoretické vědění prováděné v </w:t>
      </w:r>
      <w:r w:rsidR="00243EAF" w:rsidRPr="003D1E07">
        <w:t>rámci</w:t>
      </w:r>
      <w:r w:rsidR="00553BDA" w:rsidRPr="003D1E07">
        <w:t xml:space="preserve"> matematické dedukce. </w:t>
      </w:r>
      <w:r w:rsidR="08D711B7" w:rsidRPr="003D1E07">
        <w:t>Idea Dobra představuje věčn</w:t>
      </w:r>
      <w:r w:rsidR="00A50FC1" w:rsidRPr="003D1E07">
        <w:t>ou a neměnnou plnost jsoucna</w:t>
      </w:r>
      <w:r w:rsidR="08D711B7" w:rsidRPr="003D1E07">
        <w:t xml:space="preserve">, která ozařuje věci trvalým světlem a tak je dává do metafyzické formy odkrytosti. </w:t>
      </w:r>
      <w:r w:rsidR="08405135" w:rsidRPr="003D1E07">
        <w:t xml:space="preserve">Simulákrum nového vidění metafyziky vzniklo </w:t>
      </w:r>
      <w:r w:rsidR="00F42D1F" w:rsidRPr="003D1E07">
        <w:t xml:space="preserve">sofistickým </w:t>
      </w:r>
      <w:r w:rsidR="08405135" w:rsidRPr="003D1E07">
        <w:t>odkazem na původní múzickou matematiku Pythagory</w:t>
      </w:r>
      <w:r w:rsidR="0041489A" w:rsidRPr="003D1E07">
        <w:fldChar w:fldCharType="begin"/>
      </w:r>
      <w:r w:rsidR="0041489A" w:rsidRPr="003D1E07">
        <w:instrText xml:space="preserve"> XE "Pythágoras" </w:instrText>
      </w:r>
      <w:r w:rsidR="0041489A" w:rsidRPr="003D1E07">
        <w:fldChar w:fldCharType="end"/>
      </w:r>
      <w:r w:rsidR="08405135" w:rsidRPr="003D1E07">
        <w:t xml:space="preserve"> a Archytáse</w:t>
      </w:r>
      <w:r w:rsidR="0041489A" w:rsidRPr="003D1E07">
        <w:fldChar w:fldCharType="begin"/>
      </w:r>
      <w:r w:rsidR="0041489A" w:rsidRPr="003D1E07">
        <w:instrText xml:space="preserve"> XE "Archytás" </w:instrText>
      </w:r>
      <w:r w:rsidR="0041489A" w:rsidRPr="003D1E07">
        <w:fldChar w:fldCharType="end"/>
      </w:r>
      <w:r w:rsidR="08405135" w:rsidRPr="003D1E07">
        <w:t xml:space="preserve">. </w:t>
      </w:r>
      <w:r w:rsidR="080859CB" w:rsidRPr="003D1E07">
        <w:t xml:space="preserve">Múzická harmonie Pythágory je dána skrze </w:t>
      </w:r>
      <w:r w:rsidR="080859CB" w:rsidRPr="003D1E07">
        <w:rPr>
          <w:i/>
        </w:rPr>
        <w:t>musica universalis</w:t>
      </w:r>
      <w:r w:rsidR="0041489A" w:rsidRPr="003D1E07">
        <w:rPr>
          <w:i/>
        </w:rPr>
        <w:fldChar w:fldCharType="begin"/>
      </w:r>
      <w:r w:rsidR="0041489A" w:rsidRPr="003D1E07">
        <w:instrText xml:space="preserve"> XE "</w:instrText>
      </w:r>
      <w:r w:rsidR="0041489A" w:rsidRPr="003D1E07">
        <w:rPr>
          <w:i/>
        </w:rPr>
        <w:instrText>musica universalis</w:instrText>
      </w:r>
      <w:r w:rsidR="0041489A" w:rsidRPr="003D1E07">
        <w:instrText xml:space="preserve">" </w:instrText>
      </w:r>
      <w:r w:rsidR="0041489A" w:rsidRPr="003D1E07">
        <w:rPr>
          <w:i/>
        </w:rPr>
        <w:fldChar w:fldCharType="end"/>
      </w:r>
      <w:r w:rsidR="080859CB" w:rsidRPr="003D1E07">
        <w:t>, což představuje podle Archytáse</w:t>
      </w:r>
      <w:r w:rsidR="080859CB" w:rsidRPr="003D1E07">
        <w:fldChar w:fldCharType="begin"/>
      </w:r>
      <w:r w:rsidR="080859CB" w:rsidRPr="003D1E07">
        <w:instrText xml:space="preserve"> XE "Archytás" </w:instrText>
      </w:r>
      <w:r w:rsidR="080859CB" w:rsidRPr="003D1E07">
        <w:fldChar w:fldCharType="end"/>
      </w:r>
      <w:r w:rsidR="080859CB" w:rsidRPr="003D1E07">
        <w:t xml:space="preserve"> původní matematickou harmonii hvězdných sfér. Platon předělal múzickou harmonii </w:t>
      </w:r>
      <w:r w:rsidR="00A50FC1" w:rsidRPr="003D1E07">
        <w:t xml:space="preserve">původně </w:t>
      </w:r>
      <w:r w:rsidR="086A16FE" w:rsidRPr="003D1E07">
        <w:t xml:space="preserve">vztaženou k celku bytí </w:t>
      </w:r>
      <w:r w:rsidR="080859CB" w:rsidRPr="003D1E07">
        <w:t xml:space="preserve">na metafyziku ideje. Nová dráha náhledu na jsoucno způsobila, že z původního vidění daného múzicky se stalo metafyzické vědění dané matematicky. </w:t>
      </w:r>
      <w:r w:rsidR="08405135" w:rsidRPr="003D1E07">
        <w:t xml:space="preserve">Zdánlivě se na pojetí první vědy nic nezměnilo. </w:t>
      </w:r>
      <w:r w:rsidR="00FD76B8" w:rsidRPr="003D1E07">
        <w:t>M</w:t>
      </w:r>
      <w:r w:rsidR="085C7941" w:rsidRPr="003D1E07">
        <w:t xml:space="preserve">anifestace ideje zakládá perfektní </w:t>
      </w:r>
      <w:r w:rsidR="00C773FB" w:rsidRPr="003D1E07">
        <w:t xml:space="preserve">a božské </w:t>
      </w:r>
      <w:r w:rsidR="085C7941" w:rsidRPr="003D1E07">
        <w:t>vidění a vědění</w:t>
      </w:r>
      <w:r w:rsidR="00F42D1F" w:rsidRPr="003D1E07">
        <w:t xml:space="preserve"> kosmu</w:t>
      </w:r>
      <w:r w:rsidR="085C7941" w:rsidRPr="003D1E07">
        <w:t xml:space="preserve">. </w:t>
      </w:r>
      <w:r w:rsidR="08D91712" w:rsidRPr="003D1E07">
        <w:t xml:space="preserve">Moderní celek světa je dán matematickým souborem od sebe odlišených věčných jednotek. Původní </w:t>
      </w:r>
      <w:r w:rsidR="08BB73C7" w:rsidRPr="003D1E07">
        <w:t>první filosofie</w:t>
      </w:r>
      <w:r w:rsidR="084D7651" w:rsidRPr="003D1E07">
        <w:t xml:space="preserve"> </w:t>
      </w:r>
      <w:r w:rsidR="000128EC" w:rsidRPr="003D1E07">
        <w:t xml:space="preserve">vyloučila </w:t>
      </w:r>
      <w:r w:rsidR="08D91712" w:rsidRPr="003D1E07">
        <w:t xml:space="preserve">tento typ jednotlivých jsoucen </w:t>
      </w:r>
      <w:r w:rsidR="005B63B6" w:rsidRPr="003D1E07">
        <w:t xml:space="preserve">z nároku na </w:t>
      </w:r>
      <w:r w:rsidR="007C1D41">
        <w:t xml:space="preserve">kosmickou </w:t>
      </w:r>
      <w:r w:rsidR="005B63B6" w:rsidRPr="003D1E07">
        <w:t>pl</w:t>
      </w:r>
      <w:r w:rsidR="08D91712" w:rsidRPr="003D1E07">
        <w:t xml:space="preserve">nost pravdy. </w:t>
      </w:r>
      <w:r w:rsidR="08F20A7A" w:rsidRPr="003D1E07">
        <w:t xml:space="preserve">Vědění </w:t>
      </w:r>
      <w:r w:rsidR="00C379AB" w:rsidRPr="003D1E07">
        <w:t xml:space="preserve">izolovaného jsoucna </w:t>
      </w:r>
      <w:r w:rsidR="08F20A7A" w:rsidRPr="003D1E07">
        <w:t>nemůže předcházet vidění</w:t>
      </w:r>
      <w:r w:rsidR="00C379AB" w:rsidRPr="003D1E07">
        <w:t xml:space="preserve"> celku </w:t>
      </w:r>
      <w:r w:rsidR="00C379AB" w:rsidRPr="003D1E07">
        <w:rPr>
          <w:i/>
        </w:rPr>
        <w:t>fýsis</w:t>
      </w:r>
      <w:r w:rsidR="08F20A7A" w:rsidRPr="003D1E07">
        <w:t xml:space="preserve">. </w:t>
      </w:r>
      <w:r w:rsidR="00C379AB" w:rsidRPr="003D1E07">
        <w:t>Taková „věda“ o celku kosmu by byla</w:t>
      </w:r>
      <w:r w:rsidR="000A31C8" w:rsidRPr="003D1E07">
        <w:t xml:space="preserve"> řemeslnou techn</w:t>
      </w:r>
      <w:r w:rsidR="000F6981">
        <w:t>i</w:t>
      </w:r>
      <w:r w:rsidR="000A31C8" w:rsidRPr="003D1E07">
        <w:t xml:space="preserve">kou placených dělníků </w:t>
      </w:r>
      <w:r w:rsidR="000A31C8" w:rsidRPr="003D1E07">
        <w:rPr>
          <w:noProof w:val="0"/>
          <w:lang w:eastAsia="x-none"/>
        </w:rPr>
        <w:t>(</w:t>
      </w:r>
      <w:r w:rsidR="000A31C8" w:rsidRPr="003D1E07">
        <w:t>βάναυσοι</w:t>
      </w:r>
      <w:r w:rsidR="000A31C8" w:rsidRPr="003D1E07">
        <w:rPr>
          <w:noProof w:val="0"/>
          <w:lang w:eastAsia="x-none"/>
        </w:rPr>
        <w:t>).</w:t>
      </w:r>
      <w:r w:rsidR="000A31C8" w:rsidRPr="003D1E07">
        <w:t xml:space="preserve"> </w:t>
      </w:r>
      <w:r w:rsidR="00904446" w:rsidRPr="003D1E07">
        <w:t xml:space="preserve">Bytí kosmu ale </w:t>
      </w:r>
      <w:r w:rsidR="000A31C8" w:rsidRPr="003D1E07">
        <w:t xml:space="preserve">není banální, protože </w:t>
      </w:r>
      <w:r w:rsidR="0067348F" w:rsidRPr="003D1E07">
        <w:t>určuj</w:t>
      </w:r>
      <w:r w:rsidR="009B41D9" w:rsidRPr="003D1E07">
        <w:t>e vznikání a zanikání jednotlivých jsoucen. O</w:t>
      </w:r>
      <w:r w:rsidR="0067348F" w:rsidRPr="003D1E07">
        <w:t>pačně</w:t>
      </w:r>
      <w:r w:rsidR="002A5259" w:rsidRPr="003D1E07">
        <w:t xml:space="preserve"> </w:t>
      </w:r>
      <w:r w:rsidR="009B41D9" w:rsidRPr="003D1E07">
        <w:t xml:space="preserve">je to </w:t>
      </w:r>
      <w:r w:rsidR="002A5259" w:rsidRPr="003D1E07">
        <w:t>možné</w:t>
      </w:r>
      <w:r w:rsidR="009B41D9" w:rsidRPr="003D1E07">
        <w:t xml:space="preserve"> pouze v moderně</w:t>
      </w:r>
      <w:r w:rsidR="0067348F" w:rsidRPr="003D1E07">
        <w:t>. P</w:t>
      </w:r>
      <w:r w:rsidR="086C25CA" w:rsidRPr="003D1E07">
        <w:t>ředešlí filosofové museli nejprve vidět to, co je plně a neomezeně přítomné</w:t>
      </w:r>
      <w:r w:rsidR="086F46A2" w:rsidRPr="003D1E07">
        <w:t xml:space="preserve"> jako celek bytí</w:t>
      </w:r>
      <w:r w:rsidR="086C25CA" w:rsidRPr="003D1E07">
        <w:t xml:space="preserve">, aby mohli pravdivě vědět. </w:t>
      </w:r>
      <w:r w:rsidR="083171DD" w:rsidRPr="003D1E07">
        <w:t>Moderní metafyzik typu Platona se ani nemusí narodit a jeho duše už má plné vědění idejí</w:t>
      </w:r>
      <w:r w:rsidR="083A521A" w:rsidRPr="003D1E07">
        <w:t xml:space="preserve">. Toto vědění si pak </w:t>
      </w:r>
      <w:r w:rsidR="083171DD" w:rsidRPr="003D1E07">
        <w:t>dodatečně zpřítomní v </w:t>
      </w:r>
      <w:r w:rsidR="004D5196" w:rsidRPr="003D1E07">
        <w:t>ideové anamnézi</w:t>
      </w:r>
      <w:r w:rsidR="0878516B" w:rsidRPr="003D1E07">
        <w:t xml:space="preserve"> díky vlastní matematické šikovnosti</w:t>
      </w:r>
      <w:r w:rsidR="083171DD" w:rsidRPr="003D1E07">
        <w:t xml:space="preserve">. </w:t>
      </w:r>
      <w:r w:rsidR="08014393" w:rsidRPr="003D1E07">
        <w:t>S</w:t>
      </w:r>
      <w:r w:rsidR="085519AC" w:rsidRPr="003D1E07">
        <w:t xml:space="preserve">oubor idejí </w:t>
      </w:r>
      <w:r w:rsidR="08F945A9" w:rsidRPr="003D1E07">
        <w:t xml:space="preserve">určuje způsob </w:t>
      </w:r>
      <w:r w:rsidR="085519AC" w:rsidRPr="003D1E07">
        <w:t>zjevování</w:t>
      </w:r>
      <w:r w:rsidR="08F945A9" w:rsidRPr="003D1E07">
        <w:t xml:space="preserve"> </w:t>
      </w:r>
      <w:r w:rsidR="08014393" w:rsidRPr="003D1E07">
        <w:t xml:space="preserve">jsoucna </w:t>
      </w:r>
      <w:r w:rsidR="08F945A9" w:rsidRPr="003D1E07">
        <w:t>a dává završený obsah zjeveného</w:t>
      </w:r>
      <w:r w:rsidR="08014393" w:rsidRPr="003D1E07">
        <w:t xml:space="preserve"> ideového významu</w:t>
      </w:r>
      <w:r w:rsidR="085519AC" w:rsidRPr="003D1E07">
        <w:t xml:space="preserve">. </w:t>
      </w:r>
      <w:r w:rsidR="009A55B7" w:rsidRPr="003D1E07">
        <w:t>Metafyzikové typu Pl</w:t>
      </w:r>
      <w:r w:rsidR="0001504E" w:rsidRPr="003D1E07">
        <w:t>atona a komikové jako Aristofanes</w:t>
      </w:r>
      <w:r w:rsidR="009A55B7" w:rsidRPr="003D1E07">
        <w:t xml:space="preserve"> zahájili epochu sekularizace a ironizace archaického</w:t>
      </w:r>
      <w:r w:rsidR="08F30EC2" w:rsidRPr="003D1E07">
        <w:t xml:space="preserve"> </w:t>
      </w:r>
      <w:r w:rsidR="009A55B7" w:rsidRPr="003D1E07">
        <w:t>pojetí</w:t>
      </w:r>
      <w:r w:rsidR="08EB300E" w:rsidRPr="003D1E07">
        <w:t xml:space="preserve"> pravdy</w:t>
      </w:r>
      <w:r w:rsidR="009A55B7" w:rsidRPr="003D1E07">
        <w:t xml:space="preserve"> a demokracie</w:t>
      </w:r>
      <w:r w:rsidR="08EB300E" w:rsidRPr="003D1E07">
        <w:t xml:space="preserve">. </w:t>
      </w:r>
      <w:r w:rsidR="00BF6F7B" w:rsidRPr="003D1E07">
        <w:t xml:space="preserve">Tím způsobili odtržení moderní </w:t>
      </w:r>
      <w:r w:rsidR="00BF6F7B" w:rsidRPr="003D1E07">
        <w:rPr>
          <w:i/>
        </w:rPr>
        <w:t>veritas</w:t>
      </w:r>
      <w:r w:rsidR="00BF6F7B" w:rsidRPr="003D1E07">
        <w:t xml:space="preserve"> od archaické podoby pravdy. </w:t>
      </w:r>
      <w:r w:rsidR="08EB300E" w:rsidRPr="003D1E07">
        <w:t xml:space="preserve">Bývalý kosmos prvních filosofů a tragiků je možné ironizovat či kritizovat v nové mytopoetice. Platon vytvořil skrze sofistickou hermeneutiku </w:t>
      </w:r>
      <w:r w:rsidR="0009768E" w:rsidRPr="003D1E07">
        <w:t xml:space="preserve">archaické moudrosti </w:t>
      </w:r>
      <w:r w:rsidR="08EB300E" w:rsidRPr="003D1E07">
        <w:t xml:space="preserve">perfektní typ </w:t>
      </w:r>
      <w:r w:rsidR="0009768E" w:rsidRPr="003D1E07">
        <w:t>ví</w:t>
      </w:r>
      <w:r w:rsidR="00E04284" w:rsidRPr="003D1E07">
        <w:t xml:space="preserve">tězného </w:t>
      </w:r>
      <w:r w:rsidR="08EB300E" w:rsidRPr="003D1E07">
        <w:t>vědění.</w:t>
      </w:r>
      <w:r w:rsidR="00E44F86" w:rsidRPr="003D1E07">
        <w:t xml:space="preserve"> Tato </w:t>
      </w:r>
      <w:r w:rsidR="001E5616" w:rsidRPr="003D1E07">
        <w:lastRenderedPageBreak/>
        <w:t xml:space="preserve">nespoutaná </w:t>
      </w:r>
      <w:r w:rsidR="00E44F86" w:rsidRPr="003D1E07">
        <w:t xml:space="preserve">intelektuální zábava mladých intelektuálů </w:t>
      </w:r>
      <w:r w:rsidR="005A32FB" w:rsidRPr="003D1E07">
        <w:t xml:space="preserve">v Athénách </w:t>
      </w:r>
      <w:r w:rsidR="00E44F86" w:rsidRPr="003D1E07">
        <w:t xml:space="preserve">byla </w:t>
      </w:r>
      <w:r w:rsidR="005A32FB" w:rsidRPr="003D1E07">
        <w:t>opřená o metafyzickou dialektik</w:t>
      </w:r>
      <w:r w:rsidR="00B45D70" w:rsidRPr="003D1E07">
        <w:t xml:space="preserve">u, </w:t>
      </w:r>
      <w:r w:rsidR="00A912A9">
        <w:t xml:space="preserve">nově vytvořenou </w:t>
      </w:r>
      <w:r w:rsidR="00E44F86" w:rsidRPr="003D1E07">
        <w:t xml:space="preserve">komedii a </w:t>
      </w:r>
      <w:r w:rsidR="00B45D70" w:rsidRPr="003D1E07">
        <w:t>podporovala oligarchickou tyranii</w:t>
      </w:r>
      <w:r w:rsidR="005A32FB" w:rsidRPr="003D1E07">
        <w:t xml:space="preserve">. </w:t>
      </w:r>
      <w:r w:rsidR="00411B3E" w:rsidRPr="003D1E07">
        <w:t xml:space="preserve">Nietzsche brilantně zdůvodnil, že platonské ideje manifestují pouze svého </w:t>
      </w:r>
      <w:r w:rsidR="00411B3E">
        <w:t xml:space="preserve">famózního </w:t>
      </w:r>
      <w:r w:rsidR="00411B3E" w:rsidRPr="003D1E07">
        <w:t>tvůrce.</w:t>
      </w:r>
      <w:r w:rsidR="00411B3E" w:rsidRPr="003D1E07">
        <w:rPr>
          <w:rStyle w:val="Znakapoznpodarou"/>
          <w:noProof w:val="0"/>
        </w:rPr>
        <w:footnoteReference w:id="13"/>
      </w:r>
      <w:r w:rsidR="00411B3E" w:rsidRPr="003D1E07">
        <w:t xml:space="preserve"> </w:t>
      </w:r>
      <w:r w:rsidR="00B45D70" w:rsidRPr="003D1E07">
        <w:t>T</w:t>
      </w:r>
      <w:r w:rsidR="0009215B" w:rsidRPr="003D1E07">
        <w:t xml:space="preserve">ento typ „ideálního“ </w:t>
      </w:r>
      <w:r w:rsidR="005A32FB" w:rsidRPr="003D1E07">
        <w:t xml:space="preserve">vědění </w:t>
      </w:r>
      <w:r w:rsidR="0009215B" w:rsidRPr="003D1E07">
        <w:t>zrušil</w:t>
      </w:r>
      <w:r w:rsidR="005A32FB" w:rsidRPr="003D1E07">
        <w:t xml:space="preserve"> </w:t>
      </w:r>
      <w:r w:rsidR="00E44F86" w:rsidRPr="003D1E07">
        <w:t xml:space="preserve">po smrti Sokrata </w:t>
      </w:r>
      <w:r w:rsidR="005A32FB" w:rsidRPr="003D1E07">
        <w:t>původní hledání moudrosti.</w:t>
      </w:r>
      <w:r w:rsidR="00576748" w:rsidRPr="003D1E07">
        <w:t xml:space="preserve"> </w:t>
      </w:r>
      <w:r w:rsidR="00576748" w:rsidRPr="003D1E07">
        <w:rPr>
          <w:noProof w:val="0"/>
        </w:rPr>
        <w:t xml:space="preserve">Platon vytvořil první </w:t>
      </w:r>
      <w:r w:rsidR="00592071" w:rsidRPr="003D1E07">
        <w:rPr>
          <w:noProof w:val="0"/>
        </w:rPr>
        <w:t xml:space="preserve">verzi </w:t>
      </w:r>
      <w:r w:rsidR="00FE7E83" w:rsidRPr="003D1E07">
        <w:rPr>
          <w:i/>
          <w:noProof w:val="0"/>
        </w:rPr>
        <w:t>l'herméneutique du soupçon</w:t>
      </w:r>
      <w:r w:rsidR="00FE7E83" w:rsidRPr="003D1E07">
        <w:rPr>
          <w:noProof w:val="0"/>
        </w:rPr>
        <w:fldChar w:fldCharType="begin"/>
      </w:r>
      <w:r w:rsidR="00FE7E83" w:rsidRPr="003D1E07">
        <w:instrText xml:space="preserve"> XE "</w:instrText>
      </w:r>
      <w:r w:rsidR="00FE7E83" w:rsidRPr="003D1E07">
        <w:rPr>
          <w:i/>
          <w:noProof w:val="0"/>
        </w:rPr>
        <w:instrText>l'herméneutique du soupçon</w:instrText>
      </w:r>
      <w:r w:rsidR="00FE7E83" w:rsidRPr="003D1E07">
        <w:instrText xml:space="preserve">" </w:instrText>
      </w:r>
      <w:r w:rsidR="00FE7E83" w:rsidRPr="003D1E07">
        <w:rPr>
          <w:noProof w:val="0"/>
        </w:rPr>
        <w:fldChar w:fldCharType="end"/>
      </w:r>
      <w:r w:rsidR="00FE7E83" w:rsidRPr="003D1E07">
        <w:rPr>
          <w:noProof w:val="0"/>
        </w:rPr>
        <w:t xml:space="preserve"> (P. Ricoeur</w:t>
      </w:r>
      <w:r w:rsidR="00FE7E83" w:rsidRPr="003D1E07">
        <w:rPr>
          <w:noProof w:val="0"/>
        </w:rPr>
        <w:fldChar w:fldCharType="begin"/>
      </w:r>
      <w:r w:rsidR="00FE7E83" w:rsidRPr="003D1E07">
        <w:instrText xml:space="preserve"> XE "</w:instrText>
      </w:r>
      <w:r w:rsidR="00FE7E83" w:rsidRPr="003D1E07">
        <w:rPr>
          <w:noProof w:val="0"/>
        </w:rPr>
        <w:instrText>Ricoeur, P.</w:instrText>
      </w:r>
      <w:r w:rsidR="00FE7E83" w:rsidRPr="003D1E07">
        <w:instrText xml:space="preserve">" </w:instrText>
      </w:r>
      <w:r w:rsidR="00FE7E83" w:rsidRPr="003D1E07">
        <w:rPr>
          <w:noProof w:val="0"/>
        </w:rPr>
        <w:fldChar w:fldCharType="end"/>
      </w:r>
      <w:r w:rsidR="00FE7E83" w:rsidRPr="003D1E07">
        <w:rPr>
          <w:noProof w:val="0"/>
        </w:rPr>
        <w:t>)</w:t>
      </w:r>
      <w:r w:rsidR="00037CC6" w:rsidRPr="003D1E07">
        <w:t xml:space="preserve">, která </w:t>
      </w:r>
      <w:r w:rsidR="00B86908" w:rsidRPr="003D1E07">
        <w:t xml:space="preserve">nejprve neutralizovala a pak zničila </w:t>
      </w:r>
      <w:r w:rsidR="00576748" w:rsidRPr="003D1E07">
        <w:rPr>
          <w:noProof w:val="0"/>
        </w:rPr>
        <w:t>archaic</w:t>
      </w:r>
      <w:r w:rsidR="00592071" w:rsidRPr="003D1E07">
        <w:rPr>
          <w:noProof w:val="0"/>
        </w:rPr>
        <w:t>kou moudrost</w:t>
      </w:r>
      <w:r w:rsidR="00576748" w:rsidRPr="003D1E07">
        <w:rPr>
          <w:noProof w:val="0"/>
        </w:rPr>
        <w:t xml:space="preserve">. </w:t>
      </w:r>
    </w:p>
    <w:p w14:paraId="19CF4112" w14:textId="7A3265C0" w:rsidR="00515D64" w:rsidRPr="003D1E07" w:rsidRDefault="089451B0" w:rsidP="00B40ABF">
      <w:pPr>
        <w:ind w:firstLine="397"/>
      </w:pPr>
      <w:r w:rsidRPr="003D1E07">
        <w:t>Heidegger našel původní událost (</w:t>
      </w:r>
      <w:r w:rsidRPr="003D1E07">
        <w:rPr>
          <w:i/>
        </w:rPr>
        <w:t>Ereignis</w:t>
      </w:r>
      <w:r w:rsidR="00C43A29" w:rsidRPr="003D1E07">
        <w:rPr>
          <w:i/>
        </w:rPr>
        <w:fldChar w:fldCharType="begin"/>
      </w:r>
      <w:r w:rsidR="00C43A29" w:rsidRPr="003D1E07">
        <w:instrText xml:space="preserve"> XE "</w:instrText>
      </w:r>
      <w:r w:rsidR="00C43A29" w:rsidRPr="003D1E07">
        <w:rPr>
          <w:i/>
        </w:rPr>
        <w:instrText>Ereignis</w:instrText>
      </w:r>
      <w:r w:rsidR="00C43A29" w:rsidRPr="003D1E07">
        <w:instrText xml:space="preserve">" </w:instrText>
      </w:r>
      <w:r w:rsidR="00C43A29" w:rsidRPr="003D1E07">
        <w:rPr>
          <w:i/>
        </w:rPr>
        <w:fldChar w:fldCharType="end"/>
      </w:r>
      <w:r w:rsidRPr="003D1E07">
        <w:t xml:space="preserve">), která přeměnila </w:t>
      </w:r>
      <w:r w:rsidR="0046047B" w:rsidRPr="003D1E07">
        <w:t xml:space="preserve">pravdu </w:t>
      </w:r>
      <w:r w:rsidRPr="003D1E07">
        <w:t>první filosofie na metafyziku. Z</w:t>
      </w:r>
      <w:r w:rsidR="08741F37" w:rsidRPr="003D1E07">
        <w:t xml:space="preserve">amyšlení </w:t>
      </w:r>
      <w:r w:rsidR="08741F37" w:rsidRPr="003D1E07">
        <w:rPr>
          <w:i/>
          <w:iCs/>
        </w:rPr>
        <w:t xml:space="preserve">Platons Lehre von der Wahrheit </w:t>
      </w:r>
      <w:r w:rsidR="08741F37" w:rsidRPr="003D1E07">
        <w:t xml:space="preserve">(1942) </w:t>
      </w:r>
      <w:r w:rsidR="00922AA2" w:rsidRPr="003D1E07">
        <w:t>se inspirovalo</w:t>
      </w:r>
      <w:r w:rsidR="08741F37" w:rsidRPr="003D1E07">
        <w:t xml:space="preserve"> přednáškovým cyklem zimního semestru ve Freiburgu z roku 1931/32 (</w:t>
      </w:r>
      <w:r w:rsidR="08741F37" w:rsidRPr="003D1E07">
        <w:rPr>
          <w:i/>
          <w:iCs/>
        </w:rPr>
        <w:t>Vom Wesen der Wahrheit</w:t>
      </w:r>
      <w:r w:rsidR="08741F37" w:rsidRPr="003D1E07">
        <w:t>)</w:t>
      </w:r>
      <w:r w:rsidR="00922AA2" w:rsidRPr="003D1E07">
        <w:t>. Studie vyložila</w:t>
      </w:r>
      <w:r w:rsidR="08741F37" w:rsidRPr="003D1E07">
        <w:t xml:space="preserve"> novou dráhu náhledu na jsoucno, kterou způsobila výše popsaná změna vidění na vědění. Výklad podobenství o jeskyni v sedmé knize </w:t>
      </w:r>
      <w:r w:rsidR="08741F37" w:rsidRPr="003D1E07">
        <w:rPr>
          <w:i/>
          <w:iCs/>
        </w:rPr>
        <w:t>Ústavy</w:t>
      </w:r>
      <w:r w:rsidR="08741F37" w:rsidRPr="003D1E07">
        <w:t xml:space="preserve"> popisuje pohyby zajatce, který se přesunuje z ohněm osvětlené jeskyně na denní světlo a pak zase zpět do jeskyně (</w:t>
      </w:r>
      <w:r w:rsidR="08741F37" w:rsidRPr="003D1E07">
        <w:rPr>
          <w:i/>
        </w:rPr>
        <w:t>Rep</w:t>
      </w:r>
      <w:r w:rsidR="08741F37" w:rsidRPr="003D1E07">
        <w:t>. 514a2−517a7</w:t>
      </w:r>
      <w:r w:rsidR="08741F37" w:rsidRPr="003D1E07">
        <w:fldChar w:fldCharType="begin"/>
      </w:r>
      <w:r w:rsidR="08741F37" w:rsidRPr="003D1E07">
        <w:instrText xml:space="preserve"> XE "Platon:</w:instrText>
      </w:r>
      <w:r w:rsidR="08741F37" w:rsidRPr="003D1E07">
        <w:rPr>
          <w:i/>
        </w:rPr>
        <w:instrText>Rep</w:instrText>
      </w:r>
      <w:r w:rsidR="08741F37" w:rsidRPr="003D1E07">
        <w:instrText xml:space="preserve">. 514a2−517a7" </w:instrText>
      </w:r>
      <w:r w:rsidR="08741F37" w:rsidRPr="003D1E07">
        <w:fldChar w:fldCharType="end"/>
      </w:r>
      <w:r w:rsidR="08741F37" w:rsidRPr="003D1E07">
        <w:t>). Situovanost člověka je dána vůči stínům na zdi</w:t>
      </w:r>
      <w:r w:rsidR="00EB3457" w:rsidRPr="003D1E07">
        <w:t xml:space="preserve"> ozářených ohněm</w:t>
      </w:r>
      <w:r w:rsidR="08741F37" w:rsidRPr="003D1E07">
        <w:t>, pak vůči věcem v jeskyni, pak na světle a pak zase v šeru jeskyně. V každé z těchto fází se poznává jiný celek jsoucna</w:t>
      </w:r>
      <w:r w:rsidR="00425158" w:rsidRPr="003D1E07">
        <w:t xml:space="preserve"> a existuje jiné pojetí pravdy</w:t>
      </w:r>
      <w:r w:rsidR="08741F37" w:rsidRPr="003D1E07">
        <w:t xml:space="preserve">. </w:t>
      </w:r>
      <w:r w:rsidR="000D2CD0" w:rsidRPr="003D1E07">
        <w:t xml:space="preserve">Heidegger podrobně rozebírá základní perspektivu metafyzického vidění světa. </w:t>
      </w:r>
      <w:r w:rsidR="08741F37" w:rsidRPr="003D1E07">
        <w:t>První dojem pravdivosti jako něčeho odkrytého (τὸ ἀληθὲς,</w:t>
      </w:r>
      <w:r w:rsidR="08741F37" w:rsidRPr="003D1E07">
        <w:rPr>
          <w:rFonts w:ascii="Sgreek" w:hAnsi="Sgreek"/>
        </w:rPr>
        <w:t xml:space="preserve"> </w:t>
      </w:r>
      <w:r w:rsidR="08741F37" w:rsidRPr="003D1E07">
        <w:t>515c2</w:t>
      </w:r>
      <w:r w:rsidR="08741F37" w:rsidRPr="003D1E07">
        <w:fldChar w:fldCharType="begin"/>
      </w:r>
      <w:r w:rsidR="08741F37" w:rsidRPr="003D1E07">
        <w:instrText xml:space="preserve"> XE "Platon:</w:instrText>
      </w:r>
      <w:r w:rsidR="08741F37" w:rsidRPr="003D1E07">
        <w:rPr>
          <w:i/>
        </w:rPr>
        <w:instrText>Rep</w:instrText>
      </w:r>
      <w:r w:rsidR="08741F37" w:rsidRPr="003D1E07">
        <w:instrText xml:space="preserve">. 515c2" </w:instrText>
      </w:r>
      <w:r w:rsidR="08741F37" w:rsidRPr="003D1E07">
        <w:fldChar w:fldCharType="end"/>
      </w:r>
      <w:r w:rsidR="08741F37" w:rsidRPr="003D1E07">
        <w:t>) získá vězeň již v momentu, kdy pozor</w:t>
      </w:r>
      <w:r w:rsidR="005D3592" w:rsidRPr="003D1E07">
        <w:t>uje stíny věcí na stěně jeskyně</w:t>
      </w:r>
      <w:r w:rsidR="08741F37" w:rsidRPr="003D1E07">
        <w:rPr>
          <w:i/>
        </w:rPr>
        <w:fldChar w:fldCharType="begin"/>
      </w:r>
      <w:r w:rsidR="08741F37" w:rsidRPr="003D1E07">
        <w:instrText xml:space="preserve"> XE "pravda:Platonova jeskyně" </w:instrText>
      </w:r>
      <w:r w:rsidR="08741F37" w:rsidRPr="003D1E07">
        <w:rPr>
          <w:i/>
        </w:rPr>
        <w:fldChar w:fldCharType="end"/>
      </w:r>
      <w:r w:rsidR="08741F37" w:rsidRPr="003D1E07">
        <w:t xml:space="preserve">. Pak vidí </w:t>
      </w:r>
      <w:r w:rsidR="08827D8B" w:rsidRPr="003D1E07">
        <w:t>pravdivě</w:t>
      </w:r>
      <w:r w:rsidR="08333812" w:rsidRPr="003D1E07">
        <w:t>ji</w:t>
      </w:r>
      <w:r w:rsidR="08827D8B" w:rsidRPr="003D1E07">
        <w:t xml:space="preserve"> </w:t>
      </w:r>
      <w:r w:rsidR="08741F37" w:rsidRPr="003D1E07">
        <w:t>i samotné věci, které oheň v jeskyni již ozařuje přímo (τὰ τότε ὁρώμενα ἀληθέστερα</w:t>
      </w:r>
      <w:r w:rsidR="08741F37" w:rsidRPr="003D1E07">
        <w:rPr>
          <w:rFonts w:ascii="Sgreek" w:hAnsi="Sgreek"/>
        </w:rPr>
        <w:t xml:space="preserve">, </w:t>
      </w:r>
      <w:r w:rsidR="08741F37" w:rsidRPr="003D1E07">
        <w:t>515d6‒7</w:t>
      </w:r>
      <w:r w:rsidR="08741F37" w:rsidRPr="003D1E07">
        <w:fldChar w:fldCharType="begin"/>
      </w:r>
      <w:r w:rsidR="08741F37" w:rsidRPr="003D1E07">
        <w:instrText xml:space="preserve"> XE "Platon:</w:instrText>
      </w:r>
      <w:r w:rsidR="08741F37" w:rsidRPr="003D1E07">
        <w:rPr>
          <w:i/>
        </w:rPr>
        <w:instrText>Rep</w:instrText>
      </w:r>
      <w:r w:rsidR="08741F37" w:rsidRPr="003D1E07">
        <w:instrText xml:space="preserve">. 515d6‒7" </w:instrText>
      </w:r>
      <w:r w:rsidR="08741F37" w:rsidRPr="003D1E07">
        <w:fldChar w:fldCharType="end"/>
      </w:r>
      <w:r w:rsidR="08741F37" w:rsidRPr="003D1E07">
        <w:t xml:space="preserve">). </w:t>
      </w:r>
      <w:r w:rsidR="005D3592" w:rsidRPr="003D1E07">
        <w:t>Pak j</w:t>
      </w:r>
      <w:r w:rsidR="08406EBA" w:rsidRPr="003D1E07">
        <w:t>iž zajatec v jeskyni vidí správněji (ὀρθότερον βλέποι, 515d4</w:t>
      </w:r>
      <w:r w:rsidR="08406EBA" w:rsidRPr="003D1E07">
        <w:fldChar w:fldCharType="begin"/>
      </w:r>
      <w:r w:rsidR="08406EBA" w:rsidRPr="003D1E07">
        <w:instrText xml:space="preserve"> XE "Platon:</w:instrText>
      </w:r>
      <w:r w:rsidR="08406EBA" w:rsidRPr="003D1E07">
        <w:rPr>
          <w:i/>
        </w:rPr>
        <w:instrText>Rep</w:instrText>
      </w:r>
      <w:r w:rsidR="08406EBA" w:rsidRPr="003D1E07">
        <w:instrText xml:space="preserve">. 515d4" </w:instrText>
      </w:r>
      <w:r w:rsidR="08406EBA" w:rsidRPr="003D1E07">
        <w:fldChar w:fldCharType="end"/>
      </w:r>
      <w:r w:rsidR="08406EBA" w:rsidRPr="003D1E07">
        <w:t xml:space="preserve">), protože je zbavený pout, může otočit hlavu k ohni a porovnávat stíny věcí na zdi s jejich skutečnou existencí v přítmí jeskyně. Nakonec je mu přístupná plnost slunečního světa mimo jeskyni. </w:t>
      </w:r>
      <w:r w:rsidR="0068611A" w:rsidRPr="003D1E07">
        <w:t xml:space="preserve">Umělý oheň vytvoří první možnost adekvace, kterou završuje idea Dobra na denním světle. </w:t>
      </w:r>
      <w:r w:rsidR="08406EBA" w:rsidRPr="003D1E07">
        <w:t xml:space="preserve">Obrat ke správnosti a k nezastřenosti je dokonán </w:t>
      </w:r>
      <w:r w:rsidR="00B363BB" w:rsidRPr="003D1E07">
        <w:t>mimo jeskyni</w:t>
      </w:r>
      <w:r w:rsidR="0093184A" w:rsidRPr="003D1E07">
        <w:t xml:space="preserve">. </w:t>
      </w:r>
      <w:r w:rsidR="005F3F32" w:rsidRPr="003D1E07">
        <w:t xml:space="preserve">Vrcholná míra odkrytosti jsoucího spočívá v ideově založeném pohledu, kterým vězeň pozoruje reálné věci mimo jeskyni. </w:t>
      </w:r>
      <w:r w:rsidR="0093184A" w:rsidRPr="003D1E07">
        <w:t>O</w:t>
      </w:r>
      <w:r w:rsidR="08406EBA" w:rsidRPr="003D1E07">
        <w:t xml:space="preserve">svícený rozum porovnává věci s jejich ideovým vzorem, tedy s ideou Dobra jako takového. </w:t>
      </w:r>
      <w:r w:rsidR="08741F37" w:rsidRPr="003D1E07">
        <w:t xml:space="preserve">Tato idea je po výstupu na denní světlo označena jako </w:t>
      </w:r>
      <w:r w:rsidR="000E1AAF" w:rsidRPr="003D1E07">
        <w:t xml:space="preserve">nejvyšší intelektuální zdroj, který zajišťuje pravdu a poznání </w:t>
      </w:r>
      <w:r w:rsidR="08741F37" w:rsidRPr="003D1E07">
        <w:t>(517c3−4</w:t>
      </w:r>
      <w:r w:rsidR="08741F37" w:rsidRPr="003D1E07">
        <w:fldChar w:fldCharType="begin"/>
      </w:r>
      <w:r w:rsidR="08741F37" w:rsidRPr="003D1E07">
        <w:instrText xml:space="preserve"> XE "Platon:</w:instrText>
      </w:r>
      <w:r w:rsidR="08741F37" w:rsidRPr="003D1E07">
        <w:rPr>
          <w:i/>
        </w:rPr>
        <w:instrText>Rep</w:instrText>
      </w:r>
      <w:r w:rsidR="08741F37" w:rsidRPr="003D1E07">
        <w:instrText xml:space="preserve">. 517c3‒4" </w:instrText>
      </w:r>
      <w:r w:rsidR="08741F37" w:rsidRPr="003D1E07">
        <w:fldChar w:fldCharType="end"/>
      </w:r>
      <w:r w:rsidR="08741F37" w:rsidRPr="003D1E07">
        <w:t xml:space="preserve">). Věci jsou ozářeny </w:t>
      </w:r>
      <w:r w:rsidR="00984044" w:rsidRPr="003D1E07">
        <w:t xml:space="preserve">metaforickým </w:t>
      </w:r>
      <w:r w:rsidR="08741F37" w:rsidRPr="003D1E07">
        <w:t>slunce</w:t>
      </w:r>
      <w:r w:rsidR="00984044" w:rsidRPr="003D1E07">
        <w:t>m,</w:t>
      </w:r>
      <w:r w:rsidR="08741F37" w:rsidRPr="003D1E07">
        <w:t xml:space="preserve"> alias ideou dobra (ἀποδιδὸν τὴν τοῦ ἀγαθοῦ ἰδέαν, 508e2‒3</w:t>
      </w:r>
      <w:r w:rsidR="08741F37" w:rsidRPr="003D1E07">
        <w:fldChar w:fldCharType="begin"/>
      </w:r>
      <w:r w:rsidR="08741F37" w:rsidRPr="003D1E07">
        <w:instrText xml:space="preserve"> XE "Platon:</w:instrText>
      </w:r>
      <w:r w:rsidR="08741F37" w:rsidRPr="003D1E07">
        <w:rPr>
          <w:i/>
        </w:rPr>
        <w:instrText>Rep</w:instrText>
      </w:r>
      <w:r w:rsidR="08741F37" w:rsidRPr="003D1E07">
        <w:instrText xml:space="preserve">. 508e1‒3" </w:instrText>
      </w:r>
      <w:r w:rsidR="08741F37" w:rsidRPr="003D1E07">
        <w:fldChar w:fldCharType="end"/>
      </w:r>
      <w:r w:rsidR="08741F37" w:rsidRPr="003D1E07">
        <w:t xml:space="preserve">). Archaický význam slovesa ἀποδίδωμι znamená uvést věci do původního stavu, zaplatit dluh či odčinit spáchané zlo </w:t>
      </w:r>
      <w:r w:rsidR="08741F37" w:rsidRPr="003D1E07">
        <w:lastRenderedPageBreak/>
        <w:t>(</w:t>
      </w:r>
      <w:r w:rsidR="08741F37" w:rsidRPr="003D1E07">
        <w:rPr>
          <w:i/>
        </w:rPr>
        <w:t>restitutio ad integrum</w:t>
      </w:r>
      <w:r w:rsidR="08741F37" w:rsidRPr="003D1E07">
        <w:rPr>
          <w:i/>
        </w:rPr>
        <w:fldChar w:fldCharType="begin"/>
      </w:r>
      <w:r w:rsidR="08741F37" w:rsidRPr="003D1E07">
        <w:instrText xml:space="preserve"> XE "</w:instrText>
      </w:r>
      <w:r w:rsidR="08741F37" w:rsidRPr="003D1E07">
        <w:rPr>
          <w:i/>
        </w:rPr>
        <w:instrText>restitutio ad integrum</w:instrText>
      </w:r>
      <w:r w:rsidR="08741F37" w:rsidRPr="003D1E07">
        <w:instrText xml:space="preserve">" </w:instrText>
      </w:r>
      <w:r w:rsidR="08741F37" w:rsidRPr="003D1E07">
        <w:rPr>
          <w:i/>
        </w:rPr>
        <w:fldChar w:fldCharType="end"/>
      </w:r>
      <w:r w:rsidR="08741F37" w:rsidRPr="003D1E07">
        <w:t>). Vidění v metafyzickém perfektu restituuje</w:t>
      </w:r>
      <w:r w:rsidR="00B67169" w:rsidRPr="003D1E07">
        <w:t xml:space="preserve"> věci do jejich ideálního stavu</w:t>
      </w:r>
      <w:r w:rsidR="08741F37" w:rsidRPr="003D1E07">
        <w:t xml:space="preserve">. Restituce smyslu jsoucna v metafyzice už není dána vzhledem k původnímu bytí celku všech jsoucen, která viděl Kalchás a první filosofové. </w:t>
      </w:r>
      <w:r w:rsidR="084259D9" w:rsidRPr="003D1E07">
        <w:t>Podobenství o jeskyni zdůrazňuje, že ideové zření determinuje úhel pohledu zásadně správně (ὀρθότης), protože restituuje pravdu do její ideové podoby</w:t>
      </w:r>
      <w:r w:rsidR="084259D9" w:rsidRPr="003D1E07">
        <w:rPr>
          <w:i/>
        </w:rPr>
        <w:fldChar w:fldCharType="begin"/>
      </w:r>
      <w:r w:rsidR="084259D9" w:rsidRPr="003D1E07">
        <w:instrText xml:space="preserve"> XE "pravda:</w:instrText>
      </w:r>
      <w:r w:rsidR="084259D9" w:rsidRPr="003D1E07">
        <w:rPr>
          <w:i/>
        </w:rPr>
        <w:instrText>veritas</w:instrText>
      </w:r>
      <w:r w:rsidR="084259D9" w:rsidRPr="003D1E07">
        <w:instrText xml:space="preserve">" </w:instrText>
      </w:r>
      <w:r w:rsidR="084259D9" w:rsidRPr="003D1E07">
        <w:rPr>
          <w:i/>
        </w:rPr>
        <w:fldChar w:fldCharType="end"/>
      </w:r>
      <w:r w:rsidR="084259D9" w:rsidRPr="003D1E07">
        <w:t xml:space="preserve">. </w:t>
      </w:r>
      <w:r w:rsidR="087506E5" w:rsidRPr="003D1E07">
        <w:t xml:space="preserve">Platonský mýtus o jeskyni zakládá novou perspektivu poznání danou v metafyzické dráze náhledu na celek </w:t>
      </w:r>
      <w:r w:rsidRPr="003D1E07">
        <w:t>jsoucího.</w:t>
      </w:r>
      <w:r w:rsidR="087506E5" w:rsidRPr="003D1E07">
        <w:t xml:space="preserve"> </w:t>
      </w:r>
      <w:r w:rsidR="08474576" w:rsidRPr="003D1E07">
        <w:t xml:space="preserve">Idea zakládá nový počátek pravdy jako správnosti </w:t>
      </w:r>
      <w:r w:rsidR="00807C6E" w:rsidRPr="003D1E07">
        <w:t>a adekvátní shody</w:t>
      </w:r>
      <w:r w:rsidR="08474576" w:rsidRPr="003D1E07">
        <w:t xml:space="preserve">. </w:t>
      </w:r>
      <w:r w:rsidR="00A64C16" w:rsidRPr="003D1E07">
        <w:t xml:space="preserve">Způsob zjevování světa vyplývá z osvícení věcí skrze různé druhy světla. To je dáno v jasném hierarchickém pořadí zjevování: nejprve </w:t>
      </w:r>
      <w:r w:rsidR="00CB469E">
        <w:t xml:space="preserve">technicky vytvořený </w:t>
      </w:r>
      <w:r w:rsidR="00A64C16" w:rsidRPr="003D1E07">
        <w:t xml:space="preserve">oheň, pak mytopoetické slunce, a nakonec obojí dohromady. </w:t>
      </w:r>
      <w:r w:rsidR="00B42694" w:rsidRPr="003D1E07">
        <w:t>N</w:t>
      </w:r>
      <w:r w:rsidR="084259D9" w:rsidRPr="003D1E07">
        <w:t xml:space="preserve">asvícením věcí </w:t>
      </w:r>
      <w:r w:rsidR="00A64C16" w:rsidRPr="003D1E07">
        <w:t xml:space="preserve">skrze různě utvářený zdroj světla </w:t>
      </w:r>
      <w:r w:rsidR="084259D9" w:rsidRPr="003D1E07">
        <w:t xml:space="preserve">je </w:t>
      </w:r>
      <w:r w:rsidR="00A64C16" w:rsidRPr="003D1E07">
        <w:t xml:space="preserve">založen základní </w:t>
      </w:r>
      <w:r w:rsidR="084259D9" w:rsidRPr="003D1E07">
        <w:t xml:space="preserve">smysl toho, co je jsoucí, a jak je to jsoucí. </w:t>
      </w:r>
      <w:r w:rsidR="00C0797F" w:rsidRPr="003D1E07">
        <w:t>Metafyzická pravda existuje v novém řádu odkrytosti (</w:t>
      </w:r>
      <w:r w:rsidR="00C0797F" w:rsidRPr="003D1E07">
        <w:rPr>
          <w:i/>
        </w:rPr>
        <w:t>alétheia</w:t>
      </w:r>
      <w:r w:rsidR="00C0797F" w:rsidRPr="003D1E07">
        <w:t>) a skrytosti (</w:t>
      </w:r>
      <w:r w:rsidR="00C0797F" w:rsidRPr="003D1E07">
        <w:rPr>
          <w:i/>
        </w:rPr>
        <w:t>léthe</w:t>
      </w:r>
      <w:r w:rsidR="00C0797F" w:rsidRPr="003D1E07">
        <w:t xml:space="preserve">). </w:t>
      </w:r>
      <w:r w:rsidR="00831027">
        <w:t>Věci n</w:t>
      </w:r>
      <w:r w:rsidR="00C0797F" w:rsidRPr="003D1E07">
        <w:t xml:space="preserve">ejsou brány v souladu s celkem bytí, ale v jejich ideální, správné a nyní zcela samostatné podobě. </w:t>
      </w:r>
      <w:r w:rsidR="001664DF" w:rsidRPr="003D1E07">
        <w:t xml:space="preserve"> </w:t>
      </w:r>
      <w:r w:rsidR="000D2CD0" w:rsidRPr="003D1E07">
        <w:t xml:space="preserve">Nasvícení směrem od ideje umožňuje jsoucnu vstoupit do prostoru trvale pravdivého zjevování daného vzhledem k matematicky určené absolutní míře. </w:t>
      </w:r>
      <w:r w:rsidR="087506E5" w:rsidRPr="003D1E07">
        <w:t xml:space="preserve">Platon vidí veškeré jsoucno ve světle ideově založené </w:t>
      </w:r>
      <w:r w:rsidR="000D2CD0" w:rsidRPr="003D1E07">
        <w:t xml:space="preserve">manifestace. </w:t>
      </w:r>
      <w:r w:rsidR="087506E5" w:rsidRPr="003D1E07">
        <w:t>Zajatec porovnává viděné s absolutní mírou perfektního poznání</w:t>
      </w:r>
      <w:r w:rsidR="0043366D" w:rsidRPr="003D1E07">
        <w:t xml:space="preserve"> daného s matematickou přesností</w:t>
      </w:r>
      <w:r w:rsidR="087506E5" w:rsidRPr="003D1E07">
        <w:t xml:space="preserve">, která věci nasvěcuje v jejich ideové pravdě a jsoucnosti. Nejprve je to umělý oheň v jeskyni, pak </w:t>
      </w:r>
      <w:r w:rsidR="0067099B" w:rsidRPr="003D1E07">
        <w:t xml:space="preserve">idea Dobra </w:t>
      </w:r>
      <w:r w:rsidR="087506E5" w:rsidRPr="003D1E07">
        <w:t xml:space="preserve">venku. Pravda věci ve smyslu nově definované správnosti není v archaickém vidění, ale v nové formě </w:t>
      </w:r>
      <w:r w:rsidR="00B40ABF">
        <w:t xml:space="preserve">absolutního </w:t>
      </w:r>
      <w:r w:rsidR="087506E5" w:rsidRPr="003D1E07">
        <w:t>vědění</w:t>
      </w:r>
      <w:r w:rsidR="00B40ABF">
        <w:t xml:space="preserve"> (</w:t>
      </w:r>
      <w:r w:rsidR="00B40ABF" w:rsidRPr="007A5886">
        <w:rPr>
          <w:i/>
        </w:rPr>
        <w:t>absolv</w:t>
      </w:r>
      <w:r w:rsidR="00B40ABF">
        <w:rPr>
          <w:rFonts w:cs="Calibri"/>
          <w:i/>
        </w:rPr>
        <w:t>ō</w:t>
      </w:r>
      <w:r w:rsidR="00B40ABF">
        <w:t>)</w:t>
      </w:r>
      <w:r w:rsidR="087506E5" w:rsidRPr="003D1E07">
        <w:t xml:space="preserve">. </w:t>
      </w:r>
      <w:r w:rsidR="00B40ABF" w:rsidRPr="003D1E07">
        <w:t>Platónovi strážci a intelektuálové v ideální polis musí přesně vidět původní matematická jsoucna, protože musí oddělit moderní pravdu od archaického klamu (Apaté). Obě formy původně jedné archaické pravdivosti už nemohou společně existovat v novém světě metafyziky.</w:t>
      </w:r>
      <w:r w:rsidR="00B40ABF">
        <w:t xml:space="preserve"> </w:t>
      </w:r>
      <w:r w:rsidR="087506E5" w:rsidRPr="003D1E07">
        <w:t>Završené vidění</w:t>
      </w:r>
      <w:r w:rsidR="00044309" w:rsidRPr="003D1E07">
        <w:t>-vědění</w:t>
      </w:r>
      <w:r w:rsidR="087506E5" w:rsidRPr="003D1E07">
        <w:t xml:space="preserve"> </w:t>
      </w:r>
      <w:r w:rsidR="00044309" w:rsidRPr="003D1E07">
        <w:t>porovnává</w:t>
      </w:r>
      <w:r w:rsidR="087506E5" w:rsidRPr="003D1E07">
        <w:t xml:space="preserve"> dan</w:t>
      </w:r>
      <w:r w:rsidR="00044309" w:rsidRPr="003D1E07">
        <w:t xml:space="preserve">ý </w:t>
      </w:r>
      <w:r w:rsidR="003B69D5">
        <w:t>jev</w:t>
      </w:r>
      <w:r w:rsidR="087506E5" w:rsidRPr="003D1E07">
        <w:t xml:space="preserve"> s</w:t>
      </w:r>
      <w:r w:rsidR="00CE4C0F">
        <w:t> </w:t>
      </w:r>
      <w:r w:rsidR="00B40ABF">
        <w:t>perfektní</w:t>
      </w:r>
      <w:r w:rsidR="087506E5" w:rsidRPr="003D1E07">
        <w:t>, tedy oddělenou mírou plnosti jsoucna, která je věčně a neměnně dána skrze perfektum slovesa „vidět“ (</w:t>
      </w:r>
      <w:r w:rsidR="087506E5" w:rsidRPr="003D1E07">
        <w:rPr>
          <w:rStyle w:val="greek"/>
        </w:rPr>
        <w:t>οἶδα</w:t>
      </w:r>
      <w:r w:rsidR="087506E5" w:rsidRPr="003D1E07">
        <w:t xml:space="preserve">). </w:t>
      </w:r>
      <w:r w:rsidR="00A95351" w:rsidRPr="003D1E07">
        <w:t xml:space="preserve">Platon proměnil způsob archaického vidění (viz Heideggerovo fenomenologické </w:t>
      </w:r>
      <w:r w:rsidR="00A95351" w:rsidRPr="003D1E07">
        <w:rPr>
          <w:i/>
        </w:rPr>
        <w:t>Wie</w:t>
      </w:r>
      <w:r w:rsidR="00A95351" w:rsidRPr="003D1E07">
        <w:t>) na</w:t>
      </w:r>
      <w:r w:rsidR="00E7093D" w:rsidRPr="003D1E07">
        <w:t xml:space="preserve"> trvalou</w:t>
      </w:r>
      <w:r w:rsidR="00A95351" w:rsidRPr="003D1E07">
        <w:t xml:space="preserve"> </w:t>
      </w:r>
      <w:r w:rsidR="00E7093D" w:rsidRPr="003D1E07">
        <w:t xml:space="preserve">jsoucnost </w:t>
      </w:r>
      <w:r w:rsidR="005F1D97" w:rsidRPr="003D1E07">
        <w:t>(</w:t>
      </w:r>
      <w:r w:rsidR="005F1D97" w:rsidRPr="003D1E07">
        <w:rPr>
          <w:i/>
        </w:rPr>
        <w:t>ens</w:t>
      </w:r>
      <w:r w:rsidR="005F1D97" w:rsidRPr="003D1E07">
        <w:t xml:space="preserve">) </w:t>
      </w:r>
      <w:r w:rsidR="00A95351" w:rsidRPr="003D1E07">
        <w:t xml:space="preserve">toho, „co“ je viděno jako správné. </w:t>
      </w:r>
      <w:r w:rsidR="005960A3" w:rsidRPr="003D1E07">
        <w:t xml:space="preserve">Proces vidění je chápán z hlediska </w:t>
      </w:r>
      <w:r w:rsidR="08F16302" w:rsidRPr="003D1E07">
        <w:t xml:space="preserve">perfektně viděné formy </w:t>
      </w:r>
      <w:r w:rsidR="005960A3" w:rsidRPr="003D1E07">
        <w:t xml:space="preserve">dané jako </w:t>
      </w:r>
      <w:r w:rsidR="00C3263E" w:rsidRPr="003D1E07">
        <w:t>essence</w:t>
      </w:r>
      <w:r w:rsidR="08A344FE" w:rsidRPr="003D1E07">
        <w:rPr>
          <w:i/>
        </w:rPr>
        <w:fldChar w:fldCharType="begin"/>
      </w:r>
      <w:r w:rsidR="08A344FE" w:rsidRPr="003D1E07">
        <w:instrText xml:space="preserve"> XE "vidění:ideové vědění" </w:instrText>
      </w:r>
      <w:r w:rsidR="08A344FE" w:rsidRPr="003D1E07">
        <w:rPr>
          <w:i/>
        </w:rPr>
        <w:fldChar w:fldCharType="end"/>
      </w:r>
      <w:r w:rsidR="08D0660A" w:rsidRPr="003D1E07">
        <w:t xml:space="preserve">. </w:t>
      </w:r>
      <w:r w:rsidR="08C67990" w:rsidRPr="003D1E07">
        <w:t xml:space="preserve">Metafyzika převedla </w:t>
      </w:r>
      <w:r w:rsidR="0819100B" w:rsidRPr="003D1E07">
        <w:t xml:space="preserve">vidění </w:t>
      </w:r>
      <w:r w:rsidR="0078324C" w:rsidRPr="003D1E07">
        <w:t xml:space="preserve">přítomného </w:t>
      </w:r>
      <w:r w:rsidR="0819100B" w:rsidRPr="003D1E07">
        <w:t xml:space="preserve">celku </w:t>
      </w:r>
      <w:r w:rsidR="0078324C" w:rsidRPr="003D1E07">
        <w:t xml:space="preserve">kosmického řádu </w:t>
      </w:r>
      <w:r w:rsidR="08D07B41" w:rsidRPr="003D1E07">
        <w:t xml:space="preserve">na parousii jsoucna danou trvale (εἶδος, </w:t>
      </w:r>
      <w:r w:rsidR="08D07B41" w:rsidRPr="003D1E07">
        <w:rPr>
          <w:i/>
        </w:rPr>
        <w:t>essentia</w:t>
      </w:r>
      <w:r w:rsidR="08D07B41" w:rsidRPr="003D1E07">
        <w:t>)</w:t>
      </w:r>
      <w:r w:rsidR="0078324C" w:rsidRPr="003D1E07">
        <w:t xml:space="preserve">. </w:t>
      </w:r>
      <w:r w:rsidR="00DE4C48" w:rsidRPr="003D1E07">
        <w:t xml:space="preserve">Věčně přítomná esence </w:t>
      </w:r>
      <w:r w:rsidR="00A312EE" w:rsidRPr="003D1E07">
        <w:t xml:space="preserve">dostala </w:t>
      </w:r>
      <w:r w:rsidR="00770DD2" w:rsidRPr="003D1E07">
        <w:t xml:space="preserve">ideální </w:t>
      </w:r>
      <w:r w:rsidR="08D07B41" w:rsidRPr="003D1E07">
        <w:t>jsoucnost</w:t>
      </w:r>
      <w:r w:rsidR="00A312EE" w:rsidRPr="003D1E07">
        <w:t xml:space="preserve"> a tato </w:t>
      </w:r>
      <w:r w:rsidR="006B0DAC" w:rsidRPr="003D1E07">
        <w:t xml:space="preserve">neměnná </w:t>
      </w:r>
      <w:r w:rsidR="00A312EE" w:rsidRPr="003D1E07">
        <w:t xml:space="preserve">míra se aplikuje </w:t>
      </w:r>
      <w:r w:rsidR="08D07B41" w:rsidRPr="003D1E07">
        <w:t xml:space="preserve">na </w:t>
      </w:r>
      <w:r w:rsidR="0819100B" w:rsidRPr="003D1E07">
        <w:t xml:space="preserve">bytí </w:t>
      </w:r>
      <w:r w:rsidR="08D07B41" w:rsidRPr="003D1E07">
        <w:t xml:space="preserve">jakékoliv jiné </w:t>
      </w:r>
      <w:r w:rsidR="0819100B" w:rsidRPr="003D1E07">
        <w:t xml:space="preserve">substance </w:t>
      </w:r>
      <w:r w:rsidR="086727A1" w:rsidRPr="003D1E07">
        <w:t>(οὐσία)</w:t>
      </w:r>
      <w:r w:rsidR="002D01EE" w:rsidRPr="003D1E07">
        <w:t xml:space="preserve">. </w:t>
      </w:r>
      <w:r w:rsidR="00C3263E" w:rsidRPr="003D1E07">
        <w:t xml:space="preserve">Akt adekvátně správného vidění začíná na úrovni esenciální </w:t>
      </w:r>
      <w:r w:rsidR="00273074" w:rsidRPr="003D1E07">
        <w:t xml:space="preserve">eidetické </w:t>
      </w:r>
      <w:r w:rsidR="00C3263E" w:rsidRPr="003D1E07">
        <w:t>prezence, která je ve druhém kroku reprez</w:t>
      </w:r>
      <w:r w:rsidR="000156CF" w:rsidRPr="003D1E07">
        <w:t>e</w:t>
      </w:r>
      <w:r w:rsidR="00C3263E" w:rsidRPr="003D1E07">
        <w:t xml:space="preserve">ntována jako zde a nyní daná </w:t>
      </w:r>
      <w:r w:rsidR="00273074" w:rsidRPr="003D1E07">
        <w:t>přítomnost ve formě substance</w:t>
      </w:r>
      <w:r w:rsidR="00C3263E" w:rsidRPr="003D1E07">
        <w:t xml:space="preserve">. Věčný eidos vytváří trvalý význam zde a </w:t>
      </w:r>
      <w:r w:rsidR="00C3263E" w:rsidRPr="003D1E07">
        <w:lastRenderedPageBreak/>
        <w:t xml:space="preserve">nyní poznané ousía. </w:t>
      </w:r>
      <w:r w:rsidR="002C4446" w:rsidRPr="003D1E07">
        <w:t>Platonismu</w:t>
      </w:r>
      <w:r w:rsidR="00D03450" w:rsidRPr="003D1E07">
        <w:t>s postavil</w:t>
      </w:r>
      <w:r w:rsidR="002C4446" w:rsidRPr="003D1E07">
        <w:t xml:space="preserve"> řád presentace a reprezentace úplně na hlavu. Ideální esence </w:t>
      </w:r>
      <w:r w:rsidR="00D03450" w:rsidRPr="003D1E07">
        <w:t xml:space="preserve">je </w:t>
      </w:r>
      <w:r w:rsidR="002C4446" w:rsidRPr="003D1E07">
        <w:t xml:space="preserve">přítomná jako </w:t>
      </w:r>
      <w:r w:rsidR="00D03450" w:rsidRPr="003D1E07">
        <w:t xml:space="preserve">realita a reálná substance je daná </w:t>
      </w:r>
      <w:r w:rsidR="002C4446" w:rsidRPr="003D1E07">
        <w:t xml:space="preserve">jen jako mimetická reprezentace ideje. </w:t>
      </w:r>
      <w:r w:rsidR="00616DA8" w:rsidRPr="003D1E07">
        <w:t xml:space="preserve">Posun od </w:t>
      </w:r>
      <w:r w:rsidR="000935C1" w:rsidRPr="003D1E07">
        <w:t xml:space="preserve">individuálního aktu </w:t>
      </w:r>
      <w:r w:rsidR="00616DA8" w:rsidRPr="003D1E07">
        <w:t>vidění k</w:t>
      </w:r>
      <w:r w:rsidR="00665515" w:rsidRPr="003D1E07">
        <w:t xml:space="preserve"> neexistující, </w:t>
      </w:r>
      <w:r w:rsidR="003576AD" w:rsidRPr="003D1E07">
        <w:t>trvalé</w:t>
      </w:r>
      <w:r w:rsidR="000935C1" w:rsidRPr="003D1E07">
        <w:t xml:space="preserve"> a </w:t>
      </w:r>
      <w:r w:rsidR="00616DA8" w:rsidRPr="003D1E07">
        <w:t xml:space="preserve">esenciálně </w:t>
      </w:r>
      <w:r w:rsidR="000935C1" w:rsidRPr="003D1E07">
        <w:t>viděné ideji</w:t>
      </w:r>
      <w:r w:rsidR="085E2297" w:rsidRPr="003D1E07">
        <w:t>-substanci</w:t>
      </w:r>
      <w:r w:rsidR="00616DA8" w:rsidRPr="003D1E07">
        <w:t xml:space="preserve"> zakládá nové pojetí pravdy</w:t>
      </w:r>
      <w:r w:rsidR="08334B71" w:rsidRPr="003D1E07">
        <w:t xml:space="preserve"> jako toho, co je plně a perfektně správné </w:t>
      </w:r>
      <w:r w:rsidR="00F627A2" w:rsidRPr="003D1E07">
        <w:t>(</w:t>
      </w:r>
      <w:r w:rsidR="08334B71" w:rsidRPr="003D1E07">
        <w:t xml:space="preserve">τὸ ἀληθὲς, </w:t>
      </w:r>
      <w:r w:rsidR="00F627A2" w:rsidRPr="003D1E07">
        <w:rPr>
          <w:i/>
        </w:rPr>
        <w:t>ver</w:t>
      </w:r>
      <w:r w:rsidR="08334B71" w:rsidRPr="003D1E07">
        <w:rPr>
          <w:i/>
        </w:rPr>
        <w:t>um</w:t>
      </w:r>
      <w:r w:rsidR="00645815" w:rsidRPr="003D1E07">
        <w:rPr>
          <w:i/>
        </w:rPr>
        <w:fldChar w:fldCharType="begin"/>
      </w:r>
      <w:r w:rsidR="00645815" w:rsidRPr="003D1E07">
        <w:instrText xml:space="preserve"> XE "pravda:</w:instrText>
      </w:r>
      <w:r w:rsidR="00645815" w:rsidRPr="003D1E07">
        <w:rPr>
          <w:i/>
        </w:rPr>
        <w:instrText>veritas</w:instrText>
      </w:r>
      <w:r w:rsidR="00645815" w:rsidRPr="003D1E07">
        <w:instrText xml:space="preserve">" </w:instrText>
      </w:r>
      <w:r w:rsidR="00645815" w:rsidRPr="003D1E07">
        <w:rPr>
          <w:i/>
        </w:rPr>
        <w:fldChar w:fldCharType="end"/>
      </w:r>
      <w:r w:rsidR="00F627A2" w:rsidRPr="003D1E07">
        <w:t>)</w:t>
      </w:r>
      <w:r w:rsidR="00616DA8" w:rsidRPr="003D1E07">
        <w:t xml:space="preserve">. </w:t>
      </w:r>
      <w:r w:rsidR="00A74E0E" w:rsidRPr="003D1E07">
        <w:t xml:space="preserve">Po proměně archaického vidění na perfektní vědění může metafyzik </w:t>
      </w:r>
      <w:r w:rsidR="00C524AD" w:rsidRPr="003D1E07">
        <w:t xml:space="preserve">porovnat konkrétní obsah </w:t>
      </w:r>
      <w:r w:rsidR="08027452" w:rsidRPr="003D1E07">
        <w:t xml:space="preserve">správně </w:t>
      </w:r>
      <w:r w:rsidR="001001BF" w:rsidRPr="003D1E07">
        <w:t xml:space="preserve">viděné substance </w:t>
      </w:r>
      <w:r w:rsidR="00C524AD" w:rsidRPr="003D1E07">
        <w:t>s</w:t>
      </w:r>
      <w:r w:rsidR="003A2C5B" w:rsidRPr="003D1E07">
        <w:t xml:space="preserve"> absolutní, </w:t>
      </w:r>
      <w:r w:rsidR="00C524AD" w:rsidRPr="003D1E07">
        <w:t>věčnou mírou</w:t>
      </w:r>
      <w:r w:rsidR="081B5101" w:rsidRPr="003D1E07">
        <w:t xml:space="preserve"> </w:t>
      </w:r>
      <w:r w:rsidR="08027452" w:rsidRPr="003D1E07">
        <w:t xml:space="preserve">správnosti a perfekce </w:t>
      </w:r>
      <w:r w:rsidR="081B5101" w:rsidRPr="003D1E07">
        <w:t>danou esenciálně a eideticky</w:t>
      </w:r>
      <w:r w:rsidR="00C524AD" w:rsidRPr="003D1E07">
        <w:t xml:space="preserve">. </w:t>
      </w:r>
      <w:r w:rsidR="001001BF" w:rsidRPr="003D1E07">
        <w:t xml:space="preserve">Metafyzik se stal </w:t>
      </w:r>
      <w:r w:rsidR="00321742" w:rsidRPr="003D1E07">
        <w:t xml:space="preserve">kompletně </w:t>
      </w:r>
      <w:r w:rsidR="001001BF" w:rsidRPr="003D1E07">
        <w:t xml:space="preserve">slepý pro předešlou formu </w:t>
      </w:r>
      <w:r w:rsidR="001001BF" w:rsidRPr="003D1E07">
        <w:rPr>
          <w:i/>
        </w:rPr>
        <w:t>alétheia</w:t>
      </w:r>
      <w:r w:rsidR="001001BF" w:rsidRPr="003D1E07">
        <w:t xml:space="preserve">. </w:t>
      </w:r>
      <w:r w:rsidR="0028295F" w:rsidRPr="003D1E07">
        <w:t>Plato</w:t>
      </w:r>
      <w:r w:rsidR="089B0E46" w:rsidRPr="003D1E07">
        <w:t xml:space="preserve">nem etablovaná </w:t>
      </w:r>
      <w:r w:rsidR="004F235B" w:rsidRPr="003D1E07">
        <w:t>forma</w:t>
      </w:r>
      <w:r w:rsidR="081439B2" w:rsidRPr="003D1E07">
        <w:t xml:space="preserve"> náhledu určuje </w:t>
      </w:r>
      <w:r w:rsidR="004F235B" w:rsidRPr="003D1E07">
        <w:t xml:space="preserve">fundamentální </w:t>
      </w:r>
      <w:r w:rsidR="081439B2" w:rsidRPr="003D1E07">
        <w:t xml:space="preserve">způsob, </w:t>
      </w:r>
      <w:r w:rsidR="08A84D3E" w:rsidRPr="003D1E07">
        <w:t>jak</w:t>
      </w:r>
      <w:r w:rsidR="002127AA" w:rsidRPr="003D1E07">
        <w:t xml:space="preserve"> vzniká </w:t>
      </w:r>
      <w:r w:rsidR="00E072FC" w:rsidRPr="003D1E07">
        <w:t xml:space="preserve">ideově daná </w:t>
      </w:r>
      <w:r w:rsidR="002127AA" w:rsidRPr="003D1E07">
        <w:t xml:space="preserve">správnost vidění </w:t>
      </w:r>
      <w:r w:rsidR="0032466F" w:rsidRPr="003D1E07">
        <w:t>(</w:t>
      </w:r>
      <w:r w:rsidR="0032466F" w:rsidRPr="003D1E07">
        <w:rPr>
          <w:i/>
        </w:rPr>
        <w:t>Richtigkeit des Blickens</w:t>
      </w:r>
      <w:r w:rsidR="0032466F" w:rsidRPr="003D1E07">
        <w:t>) v první formě metafyziky</w:t>
      </w:r>
      <w:r w:rsidR="002127AA" w:rsidRPr="003D1E07">
        <w:t>.</w:t>
      </w:r>
      <w:r w:rsidR="08F806FE" w:rsidRPr="003D1E07">
        <w:t xml:space="preserve"> </w:t>
      </w:r>
      <w:r w:rsidR="009D115E" w:rsidRPr="003D1E07">
        <w:t xml:space="preserve">Heideggerův výklad podobenství o jeskyni </w:t>
      </w:r>
      <w:r w:rsidR="08F806FE" w:rsidRPr="003D1E07">
        <w:t xml:space="preserve">ukazuje </w:t>
      </w:r>
      <w:r w:rsidR="00E072FC" w:rsidRPr="003D1E07">
        <w:t xml:space="preserve">základní </w:t>
      </w:r>
      <w:r w:rsidR="08F806FE" w:rsidRPr="003D1E07">
        <w:t>formu p</w:t>
      </w:r>
      <w:r w:rsidR="080D25BE" w:rsidRPr="003D1E07">
        <w:t>ředchůdn</w:t>
      </w:r>
      <w:r w:rsidR="08F806FE" w:rsidRPr="003D1E07">
        <w:t>ého náhledu</w:t>
      </w:r>
      <w:r w:rsidR="08507CA5" w:rsidRPr="003D1E07">
        <w:t xml:space="preserve"> (</w:t>
      </w:r>
      <w:r w:rsidR="08507CA5" w:rsidRPr="003D1E07">
        <w:rPr>
          <w:i/>
        </w:rPr>
        <w:t>Vor-blickbahn</w:t>
      </w:r>
      <w:r w:rsidR="08CC69B0" w:rsidRPr="003D1E07">
        <w:rPr>
          <w:i/>
        </w:rPr>
        <w:fldChar w:fldCharType="begin"/>
      </w:r>
      <w:r w:rsidR="08CC69B0" w:rsidRPr="003D1E07">
        <w:instrText xml:space="preserve"> XE "</w:instrText>
      </w:r>
      <w:r w:rsidR="08CC69B0" w:rsidRPr="003D1E07">
        <w:rPr>
          <w:i/>
        </w:rPr>
        <w:instrText>Vor-blickbahn</w:instrText>
      </w:r>
      <w:r w:rsidR="08CC69B0" w:rsidRPr="003D1E07">
        <w:instrText xml:space="preserve">" </w:instrText>
      </w:r>
      <w:r w:rsidR="08CC69B0" w:rsidRPr="003D1E07">
        <w:rPr>
          <w:i/>
        </w:rPr>
        <w:fldChar w:fldCharType="end"/>
      </w:r>
      <w:r w:rsidR="08507CA5" w:rsidRPr="003D1E07">
        <w:t>)</w:t>
      </w:r>
      <w:r w:rsidR="00EE1D12" w:rsidRPr="003D1E07">
        <w:t xml:space="preserve">, který změnil svět na simulákrum. Metafyzický náhled </w:t>
      </w:r>
      <w:r w:rsidR="08F806FE" w:rsidRPr="003D1E07">
        <w:t xml:space="preserve">nasvěcuje </w:t>
      </w:r>
      <w:r w:rsidR="00E072FC" w:rsidRPr="003D1E07">
        <w:t xml:space="preserve">každé </w:t>
      </w:r>
      <w:r w:rsidR="08F806FE" w:rsidRPr="003D1E07">
        <w:t>jsoucno</w:t>
      </w:r>
      <w:r w:rsidR="00E072FC" w:rsidRPr="003D1E07">
        <w:t xml:space="preserve"> z hlediska pravdy jako správnosti</w:t>
      </w:r>
      <w:r w:rsidR="08F806FE" w:rsidRPr="003D1E07">
        <w:t>.</w:t>
      </w:r>
    </w:p>
    <w:p w14:paraId="3F0008B6" w14:textId="77777777" w:rsidR="00515D64" w:rsidRPr="003D1E07" w:rsidRDefault="00515D64" w:rsidP="00D41478">
      <w:pPr>
        <w:pStyle w:val="Citace"/>
        <w:rPr>
          <w:rFonts w:eastAsia="AGaramondPro-Regular"/>
          <w:iCs/>
          <w:noProof/>
          <w:sz w:val="26"/>
          <w:szCs w:val="24"/>
          <w:lang w:val="cs-CZ"/>
        </w:rPr>
      </w:pPr>
      <w:r w:rsidRPr="003D1E07">
        <w:rPr>
          <w:noProof/>
          <w:lang w:val="cs-CZ"/>
        </w:rPr>
        <w:t>„Všechno záleží na</w:t>
      </w:r>
      <w:r w:rsidR="00340F92" w:rsidRPr="003D1E07">
        <w:rPr>
          <w:noProof/>
          <w:lang w:val="cs-CZ"/>
        </w:rPr>
        <w:t xml:space="preserve"> ὀρθότης</w:t>
      </w:r>
      <w:r w:rsidRPr="003D1E07">
        <w:rPr>
          <w:noProof/>
          <w:lang w:val="cs-CZ"/>
        </w:rPr>
        <w:t>, tedy na s</w:t>
      </w:r>
      <w:r w:rsidR="084333CF" w:rsidRPr="003D1E07">
        <w:rPr>
          <w:noProof/>
          <w:lang w:val="cs-CZ"/>
        </w:rPr>
        <w:t>právnosti ná</w:t>
      </w:r>
      <w:r w:rsidRPr="003D1E07">
        <w:rPr>
          <w:noProof/>
          <w:lang w:val="cs-CZ"/>
        </w:rPr>
        <w:t xml:space="preserve">hledu. Skrze tuto správnost se stává vidění a poznání </w:t>
      </w:r>
      <w:r w:rsidR="0075029F" w:rsidRPr="003D1E07">
        <w:rPr>
          <w:noProof/>
          <w:lang w:val="cs-CZ"/>
        </w:rPr>
        <w:t>pravdivým</w:t>
      </w:r>
      <w:r w:rsidRPr="003D1E07">
        <w:rPr>
          <w:noProof/>
          <w:lang w:val="cs-CZ"/>
        </w:rPr>
        <w:t xml:space="preserve">, a to tím, že </w:t>
      </w:r>
      <w:r w:rsidR="084333CF" w:rsidRPr="003D1E07">
        <w:rPr>
          <w:noProof/>
          <w:lang w:val="cs-CZ"/>
        </w:rPr>
        <w:t xml:space="preserve">jde až </w:t>
      </w:r>
      <w:r w:rsidR="00B764C0" w:rsidRPr="003D1E07">
        <w:rPr>
          <w:noProof/>
          <w:lang w:val="cs-CZ"/>
        </w:rPr>
        <w:t xml:space="preserve">k nejvyšší ideji a </w:t>
      </w:r>
      <w:r w:rsidR="084333CF" w:rsidRPr="003D1E07">
        <w:rPr>
          <w:noProof/>
          <w:lang w:val="cs-CZ"/>
        </w:rPr>
        <w:t xml:space="preserve">upevňuje se </w:t>
      </w:r>
      <w:r w:rsidR="00B764C0" w:rsidRPr="003D1E07">
        <w:rPr>
          <w:noProof/>
          <w:lang w:val="cs-CZ"/>
        </w:rPr>
        <w:t xml:space="preserve">v tomto </w:t>
      </w:r>
      <w:r w:rsidR="00B764C0" w:rsidRPr="003D1E07">
        <w:rPr>
          <w:rFonts w:eastAsia="AGaramondPro-Regular"/>
          <w:noProof/>
          <w:lang w:val="cs-CZ"/>
        </w:rPr>
        <w:t>,nasměrování‘</w:t>
      </w:r>
      <w:r w:rsidRPr="003D1E07">
        <w:rPr>
          <w:noProof/>
          <w:lang w:val="cs-CZ"/>
        </w:rPr>
        <w:t>.“</w:t>
      </w:r>
      <w:r w:rsidR="084333CF" w:rsidRPr="003D1E07">
        <w:rPr>
          <w:noProof/>
          <w:lang w:val="cs-CZ"/>
        </w:rPr>
        <w:t> </w:t>
      </w:r>
      <w:r w:rsidRPr="003D1E07">
        <w:rPr>
          <w:rStyle w:val="Znakapoznpodarou"/>
          <w:noProof/>
          <w:lang w:val="cs-CZ"/>
        </w:rPr>
        <w:footnoteReference w:id="14"/>
      </w:r>
      <w:r w:rsidRPr="003D1E07">
        <w:rPr>
          <w:rFonts w:eastAsia="AGaramondPro-Regular"/>
          <w:iCs/>
          <w:noProof/>
          <w:sz w:val="26"/>
          <w:szCs w:val="24"/>
          <w:lang w:val="cs-CZ"/>
        </w:rPr>
        <w:t xml:space="preserve"> </w:t>
      </w:r>
    </w:p>
    <w:p w14:paraId="46C3063F" w14:textId="3B10A0C3" w:rsidR="000F7FF9" w:rsidRDefault="00035EA2" w:rsidP="00E46876">
      <w:r w:rsidRPr="003D1E07">
        <w:t xml:space="preserve">Zrak </w:t>
      </w:r>
      <w:r w:rsidR="0849439D" w:rsidRPr="003D1E07">
        <w:t xml:space="preserve">osvíceného </w:t>
      </w:r>
      <w:r w:rsidR="00D53883" w:rsidRPr="003D1E07">
        <w:t xml:space="preserve">platonika </w:t>
      </w:r>
      <w:r w:rsidR="0849439D" w:rsidRPr="003D1E07">
        <w:t xml:space="preserve">je po východu z jeskyně </w:t>
      </w:r>
      <w:r w:rsidR="08BC4503" w:rsidRPr="003D1E07">
        <w:t xml:space="preserve">už trvale </w:t>
      </w:r>
      <w:r w:rsidR="0849439D" w:rsidRPr="003D1E07">
        <w:t xml:space="preserve">vedený světlem idejí. </w:t>
      </w:r>
      <w:r w:rsidR="08BC4503" w:rsidRPr="003D1E07">
        <w:t>I</w:t>
      </w:r>
      <w:r w:rsidR="0849439D" w:rsidRPr="003D1E07">
        <w:t>ntelekt</w:t>
      </w:r>
      <w:r w:rsidR="00DD22E1" w:rsidRPr="003D1E07">
        <w:t xml:space="preserve"> </w:t>
      </w:r>
      <w:r w:rsidR="00986627" w:rsidRPr="003D1E07">
        <w:t xml:space="preserve">jako mytopoetické </w:t>
      </w:r>
      <w:r w:rsidR="0849439D" w:rsidRPr="003D1E07">
        <w:t xml:space="preserve">slunce </w:t>
      </w:r>
      <w:r w:rsidRPr="003D1E07">
        <w:t xml:space="preserve">orientuje poznání </w:t>
      </w:r>
      <w:r w:rsidR="0871308A" w:rsidRPr="003D1E07">
        <w:t xml:space="preserve">metafyzika </w:t>
      </w:r>
      <w:r w:rsidRPr="003D1E07">
        <w:t xml:space="preserve">na </w:t>
      </w:r>
      <w:r w:rsidR="000C6795" w:rsidRPr="003D1E07">
        <w:t>vrcholné jsoucno</w:t>
      </w:r>
      <w:r w:rsidRPr="003D1E07">
        <w:t xml:space="preserve"> v jeho nadčasové a nezastř</w:t>
      </w:r>
      <w:r w:rsidR="006B4B17" w:rsidRPr="003D1E07">
        <w:t xml:space="preserve">eně přítomné idealitě. </w:t>
      </w:r>
      <w:r w:rsidR="00E54EEF" w:rsidRPr="003D1E07">
        <w:t xml:space="preserve">Nově </w:t>
      </w:r>
      <w:r w:rsidR="087746FE" w:rsidRPr="003D1E07">
        <w:t xml:space="preserve">pojatá matematika </w:t>
      </w:r>
      <w:r w:rsidR="00DD22E1" w:rsidRPr="003D1E07">
        <w:t xml:space="preserve">jako metafyzika tvoří </w:t>
      </w:r>
      <w:r w:rsidR="00E14E7F" w:rsidRPr="003D1E07">
        <w:t xml:space="preserve">nerozlučný </w:t>
      </w:r>
      <w:r w:rsidR="00DD22E1" w:rsidRPr="003D1E07">
        <w:t xml:space="preserve">pár, který </w:t>
      </w:r>
      <w:r w:rsidR="087746FE" w:rsidRPr="003D1E07">
        <w:t>určuje mode</w:t>
      </w:r>
      <w:r w:rsidR="001B4656" w:rsidRPr="003D1E07">
        <w:t xml:space="preserve">rní způsob vidění jsoucna. </w:t>
      </w:r>
      <w:r w:rsidR="009C4824" w:rsidRPr="003D1E07">
        <w:t>Původní múzická forma matematiky u Pythágoráse chápala celý kosmos jako božský dar. Matematicky daná</w:t>
      </w:r>
      <w:r w:rsidR="00831574" w:rsidRPr="003D1E07">
        <w:t xml:space="preserve"> harmonie</w:t>
      </w:r>
      <w:r w:rsidR="087746FE" w:rsidRPr="003D1E07">
        <w:t xml:space="preserve"> </w:t>
      </w:r>
      <w:r w:rsidR="009C4824" w:rsidRPr="003D1E07">
        <w:t xml:space="preserve">orientuje metafyzika k tomu, </w:t>
      </w:r>
      <w:r w:rsidR="08A9728E" w:rsidRPr="003D1E07">
        <w:t xml:space="preserve">co je </w:t>
      </w:r>
      <w:r w:rsidR="001B4656" w:rsidRPr="003D1E07">
        <w:t xml:space="preserve">ideálně </w:t>
      </w:r>
      <w:r w:rsidR="08A9728E" w:rsidRPr="003D1E07">
        <w:t xml:space="preserve">dáno </w:t>
      </w:r>
      <w:r w:rsidR="08CC1675" w:rsidRPr="003D1E07">
        <w:t>v původním náhledu každé substance</w:t>
      </w:r>
      <w:r w:rsidR="082F7D6C" w:rsidRPr="003D1E07">
        <w:fldChar w:fldCharType="begin"/>
      </w:r>
      <w:r w:rsidR="082F7D6C" w:rsidRPr="003D1E07">
        <w:instrText xml:space="preserve"> XE "substance:Platon" </w:instrText>
      </w:r>
      <w:r w:rsidR="082F7D6C" w:rsidRPr="003D1E07">
        <w:fldChar w:fldCharType="end"/>
      </w:r>
      <w:r w:rsidR="087746FE" w:rsidRPr="003D1E07">
        <w:t>. Metafyzika založená na technicky pojaté matematice nahradila archaické vidění</w:t>
      </w:r>
      <w:r w:rsidR="08CC1675" w:rsidRPr="003D1E07">
        <w:t xml:space="preserve"> celku jsoucen</w:t>
      </w:r>
      <w:r w:rsidR="087746FE" w:rsidRPr="003D1E07">
        <w:t xml:space="preserve">. </w:t>
      </w:r>
      <w:r w:rsidR="080548B0" w:rsidRPr="003D1E07">
        <w:t xml:space="preserve">Platon provedl radikální </w:t>
      </w:r>
      <w:r w:rsidR="00AF283A" w:rsidRPr="003D1E07">
        <w:t xml:space="preserve">proměnu </w:t>
      </w:r>
      <w:r w:rsidR="00EF171E" w:rsidRPr="003D1E07">
        <w:t xml:space="preserve">archaické moudrosti </w:t>
      </w:r>
      <w:r w:rsidR="080548B0" w:rsidRPr="003D1E07">
        <w:t xml:space="preserve">do nové podoby první filosofie. První mudrci a Sokrates tvrdí, že </w:t>
      </w:r>
      <w:r w:rsidR="005B4F6C" w:rsidRPr="003D1E07">
        <w:t>vědění ovládané</w:t>
      </w:r>
      <w:r w:rsidR="080548B0" w:rsidRPr="003D1E07">
        <w:t xml:space="preserve"> technickým, řečnickým a politickým umem nemůže být poslední mírou pravdy. Platon nahradil proměnlivost </w:t>
      </w:r>
      <w:r w:rsidR="00C01260" w:rsidRPr="003D1E07">
        <w:t xml:space="preserve">technického vědění </w:t>
      </w:r>
      <w:r w:rsidR="080548B0" w:rsidRPr="003D1E07">
        <w:t>je</w:t>
      </w:r>
      <w:r w:rsidR="00C01260" w:rsidRPr="003D1E07">
        <w:t xml:space="preserve">ho </w:t>
      </w:r>
      <w:r w:rsidR="080548B0" w:rsidRPr="003D1E07">
        <w:t>matematicky daným simulákrem</w:t>
      </w:r>
      <w:r w:rsidR="083653EA" w:rsidRPr="003D1E07">
        <w:t xml:space="preserve"> (</w:t>
      </w:r>
      <w:r w:rsidR="083653EA" w:rsidRPr="003D1E07">
        <w:rPr>
          <w:i/>
        </w:rPr>
        <w:t>eídos</w:t>
      </w:r>
      <w:r w:rsidR="083653EA" w:rsidRPr="003D1E07">
        <w:t>)</w:t>
      </w:r>
      <w:r w:rsidR="080548B0" w:rsidRPr="003D1E07">
        <w:t xml:space="preserve">. </w:t>
      </w:r>
      <w:r w:rsidR="083B7421" w:rsidRPr="003D1E07">
        <w:t>P</w:t>
      </w:r>
      <w:r w:rsidR="08CC1675" w:rsidRPr="003D1E07">
        <w:t xml:space="preserve">ůvodní celek </w:t>
      </w:r>
      <w:r w:rsidR="08980141" w:rsidRPr="003D1E07">
        <w:t xml:space="preserve">darovaný v božském prézentu </w:t>
      </w:r>
      <w:r w:rsidR="083653EA" w:rsidRPr="003D1E07">
        <w:t xml:space="preserve">se úplně vytratil z eidetického vědění nové první </w:t>
      </w:r>
      <w:r w:rsidR="08CC1675" w:rsidRPr="003D1E07">
        <w:t>filosofie</w:t>
      </w:r>
      <w:r w:rsidR="089B6A2E" w:rsidRPr="003D1E07">
        <w:t>. J</w:t>
      </w:r>
      <w:r w:rsidR="08CC1675" w:rsidRPr="003D1E07">
        <w:t xml:space="preserve">eho místo nahradila matematická </w:t>
      </w:r>
      <w:r w:rsidR="00EF171E" w:rsidRPr="003D1E07">
        <w:t xml:space="preserve">entita </w:t>
      </w:r>
      <w:r w:rsidR="08CC1675" w:rsidRPr="003D1E07">
        <w:t xml:space="preserve">s konečným počtem </w:t>
      </w:r>
      <w:r w:rsidR="08A84D3E" w:rsidRPr="003D1E07">
        <w:t xml:space="preserve">ideově a axiomaticky daných </w:t>
      </w:r>
      <w:r w:rsidR="08CC1675" w:rsidRPr="003D1E07">
        <w:t xml:space="preserve">prvků. </w:t>
      </w:r>
      <w:r w:rsidR="08571357" w:rsidRPr="003D1E07">
        <w:t>H</w:t>
      </w:r>
      <w:r w:rsidR="089B6A2E" w:rsidRPr="003D1E07">
        <w:t xml:space="preserve">lavní prvek této množiny </w:t>
      </w:r>
      <w:r w:rsidR="00EF7B25" w:rsidRPr="003D1E07">
        <w:t xml:space="preserve">je </w:t>
      </w:r>
      <w:r w:rsidR="089B6A2E" w:rsidRPr="003D1E07">
        <w:t xml:space="preserve">daný </w:t>
      </w:r>
      <w:r w:rsidR="00EF171E" w:rsidRPr="003D1E07">
        <w:t>v pohádce pro filosofický lid</w:t>
      </w:r>
      <w:r w:rsidR="00EF7B25" w:rsidRPr="003D1E07">
        <w:t>. I</w:t>
      </w:r>
      <w:r w:rsidR="0896669F" w:rsidRPr="003D1E07">
        <w:t>dea Dobra zastoupil</w:t>
      </w:r>
      <w:r w:rsidR="00EF7B25" w:rsidRPr="003D1E07">
        <w:t>a</w:t>
      </w:r>
      <w:r w:rsidR="0896669F" w:rsidRPr="003D1E07">
        <w:t xml:space="preserve"> </w:t>
      </w:r>
      <w:r w:rsidR="089B6A2E" w:rsidRPr="003D1E07">
        <w:lastRenderedPageBreak/>
        <w:t>původní celek bytí</w:t>
      </w:r>
      <w:r w:rsidR="00AE58E4" w:rsidRPr="003D1E07">
        <w:t xml:space="preserve"> nazíraný v rámci </w:t>
      </w:r>
      <w:r w:rsidR="00AE58E4" w:rsidRPr="003D1E07">
        <w:rPr>
          <w:i/>
        </w:rPr>
        <w:t>fýsis</w:t>
      </w:r>
      <w:r w:rsidR="089B6A2E" w:rsidRPr="003D1E07">
        <w:t xml:space="preserve">. </w:t>
      </w:r>
      <w:r w:rsidR="00815FB2" w:rsidRPr="003D1E07">
        <w:t>Idea Dobra nechává manifestovat reálný svět. Tato traves</w:t>
      </w:r>
      <w:r w:rsidR="00D35C11">
        <w:t>tie pravdy vytěsnila původní viz</w:t>
      </w:r>
      <w:r w:rsidR="00815FB2" w:rsidRPr="003D1E07">
        <w:t>i bytí a ko</w:t>
      </w:r>
      <w:r w:rsidR="0030308A" w:rsidRPr="003D1E07">
        <w:t>sm</w:t>
      </w:r>
      <w:r w:rsidR="00815FB2" w:rsidRPr="003D1E07">
        <w:t xml:space="preserve">ického řádu. </w:t>
      </w:r>
      <w:r w:rsidR="0030308A" w:rsidRPr="003D1E07">
        <w:t>Existuje m</w:t>
      </w:r>
      <w:r w:rsidR="08F424E6" w:rsidRPr="003D1E07">
        <w:t xml:space="preserve">etafyzicky nepatrný </w:t>
      </w:r>
      <w:r w:rsidR="00831593" w:rsidRPr="003D1E07">
        <w:t xml:space="preserve">a neviditelný </w:t>
      </w:r>
      <w:r w:rsidR="08F424E6" w:rsidRPr="003D1E07">
        <w:t>rozdíl mezi platonskou ideou Dobra a múzickým celkem bytí</w:t>
      </w:r>
      <w:r w:rsidR="0030308A" w:rsidRPr="003D1E07">
        <w:t xml:space="preserve">. Oba celky jsou věčné a božské. Tento rozdíl </w:t>
      </w:r>
      <w:r w:rsidR="08F424E6" w:rsidRPr="003D1E07">
        <w:t xml:space="preserve">představuje </w:t>
      </w:r>
      <w:r w:rsidR="00D91D84" w:rsidRPr="003D1E07">
        <w:t xml:space="preserve">archegetické </w:t>
      </w:r>
      <w:r w:rsidR="006F7A8A" w:rsidRPr="003D1E07">
        <w:t xml:space="preserve">působení </w:t>
      </w:r>
      <w:r w:rsidR="08F424E6" w:rsidRPr="003D1E07">
        <w:t>Múz</w:t>
      </w:r>
      <w:r w:rsidR="006F7A8A" w:rsidRPr="003D1E07">
        <w:t xml:space="preserve">, které skrytě řídí božskou komedii </w:t>
      </w:r>
      <w:r w:rsidR="08F424E6" w:rsidRPr="003D1E07">
        <w:t>moderního myšlení</w:t>
      </w:r>
      <w:r w:rsidR="00EF7B25" w:rsidRPr="003D1E07">
        <w:t xml:space="preserve">. </w:t>
      </w:r>
      <w:r w:rsidR="08F424E6" w:rsidRPr="003D1E07">
        <w:t xml:space="preserve">Bohyně Apaté </w:t>
      </w:r>
      <w:r w:rsidR="00FF1E44" w:rsidRPr="003D1E07">
        <w:t>do</w:t>
      </w:r>
      <w:r w:rsidR="00457DCB" w:rsidRPr="003D1E07">
        <w:t xml:space="preserve">vedla </w:t>
      </w:r>
      <w:r w:rsidR="08F424E6" w:rsidRPr="003D1E07">
        <w:t xml:space="preserve">technickou schopnost </w:t>
      </w:r>
      <w:r w:rsidR="00F3340B" w:rsidRPr="003D1E07">
        <w:t xml:space="preserve">Platona </w:t>
      </w:r>
      <w:r w:rsidR="00457DCB" w:rsidRPr="003D1E07">
        <w:t xml:space="preserve">do </w:t>
      </w:r>
      <w:r w:rsidR="08382C48" w:rsidRPr="003D1E07">
        <w:t>věk</w:t>
      </w:r>
      <w:r w:rsidR="00457DCB" w:rsidRPr="003D1E07">
        <w:t>u</w:t>
      </w:r>
      <w:r w:rsidR="08382C48" w:rsidRPr="003D1E07">
        <w:t xml:space="preserve"> sekularizace </w:t>
      </w:r>
      <w:r w:rsidR="005D4B42" w:rsidRPr="003D1E07">
        <w:t xml:space="preserve">definované </w:t>
      </w:r>
      <w:r w:rsidR="08382C48" w:rsidRPr="003D1E07">
        <w:t>odcházením božských sil ze světa moderny</w:t>
      </w:r>
      <w:r w:rsidR="08834C9A" w:rsidRPr="003D1E07">
        <w:t>.</w:t>
      </w:r>
      <w:r w:rsidR="00DE1145" w:rsidRPr="003D1E07">
        <w:t xml:space="preserve"> </w:t>
      </w:r>
      <w:r w:rsidR="08F424E6" w:rsidRPr="003D1E07">
        <w:t xml:space="preserve">Epocha moderny začala </w:t>
      </w:r>
      <w:r w:rsidR="0896669F" w:rsidRPr="003D1E07">
        <w:t xml:space="preserve">zánikem </w:t>
      </w:r>
      <w:r w:rsidR="08382C48" w:rsidRPr="003D1E07">
        <w:t xml:space="preserve">Delf a </w:t>
      </w:r>
      <w:r w:rsidR="08F424E6" w:rsidRPr="003D1E07">
        <w:t xml:space="preserve">skončila </w:t>
      </w:r>
      <w:r w:rsidR="08382C48" w:rsidRPr="003D1E07">
        <w:t xml:space="preserve">smrtí </w:t>
      </w:r>
      <w:r w:rsidR="0896669F" w:rsidRPr="003D1E07">
        <w:t xml:space="preserve">moderního </w:t>
      </w:r>
      <w:r w:rsidR="08382C48" w:rsidRPr="003D1E07">
        <w:t>boha</w:t>
      </w:r>
      <w:r w:rsidR="08382C48" w:rsidRPr="003D1E07">
        <w:fldChar w:fldCharType="begin"/>
      </w:r>
      <w:r w:rsidR="08382C48" w:rsidRPr="003D1E07">
        <w:instrText xml:space="preserve"> XE "smrt boha" </w:instrText>
      </w:r>
      <w:r w:rsidR="08382C48" w:rsidRPr="003D1E07">
        <w:fldChar w:fldCharType="end"/>
      </w:r>
      <w:r w:rsidR="08382C48" w:rsidRPr="003D1E07">
        <w:t xml:space="preserve"> v nihilistické postmoderně.</w:t>
      </w:r>
      <w:r w:rsidR="00B153EA">
        <w:t xml:space="preserve"> </w:t>
      </w:r>
      <w:r w:rsidR="087746FE" w:rsidRPr="003D1E07">
        <w:t xml:space="preserve">Hermeneutika </w:t>
      </w:r>
      <w:r w:rsidR="00495359" w:rsidRPr="003D1E07">
        <w:t>provádí</w:t>
      </w:r>
      <w:r w:rsidR="001363BA" w:rsidRPr="003D1E07">
        <w:t xml:space="preserve"> kritickou revizi </w:t>
      </w:r>
      <w:r w:rsidR="08F35CAE" w:rsidRPr="003D1E07">
        <w:t>vzniku metafyziky</w:t>
      </w:r>
      <w:r w:rsidR="001363BA" w:rsidRPr="003D1E07">
        <w:t xml:space="preserve"> na základě </w:t>
      </w:r>
      <w:r w:rsidR="009B3EB4" w:rsidRPr="003D1E07">
        <w:t xml:space="preserve">dějinných </w:t>
      </w:r>
      <w:r w:rsidR="001363BA" w:rsidRPr="003D1E07">
        <w:t xml:space="preserve">proměn donace </w:t>
      </w:r>
      <w:r w:rsidR="004E1930" w:rsidRPr="003D1E07">
        <w:t>bytí. A</w:t>
      </w:r>
      <w:r w:rsidR="001363BA" w:rsidRPr="003D1E07">
        <w:t>rche</w:t>
      </w:r>
      <w:r w:rsidR="004E1930" w:rsidRPr="003D1E07">
        <w:t>getický</w:t>
      </w:r>
      <w:r w:rsidR="001363BA" w:rsidRPr="003D1E07">
        <w:t xml:space="preserve"> dati</w:t>
      </w:r>
      <w:r w:rsidR="004E1930" w:rsidRPr="003D1E07">
        <w:t xml:space="preserve">v byl uchován v </w:t>
      </w:r>
      <w:r w:rsidR="001363BA" w:rsidRPr="003D1E07">
        <w:t>principiální</w:t>
      </w:r>
      <w:r w:rsidR="004E1930" w:rsidRPr="003D1E07">
        <w:t>m</w:t>
      </w:r>
      <w:r w:rsidR="001363BA" w:rsidRPr="003D1E07">
        <w:t xml:space="preserve"> </w:t>
      </w:r>
      <w:r w:rsidR="004E1930" w:rsidRPr="003D1E07">
        <w:t xml:space="preserve">dativu první filosofie a tuto </w:t>
      </w:r>
      <w:r w:rsidR="00EC1FE8" w:rsidRPr="003D1E07">
        <w:t xml:space="preserve">dvojí </w:t>
      </w:r>
      <w:r w:rsidR="004E1930" w:rsidRPr="003D1E07">
        <w:t xml:space="preserve">archaickou donaci </w:t>
      </w:r>
      <w:r w:rsidR="00393424">
        <w:t xml:space="preserve">bytí </w:t>
      </w:r>
      <w:r w:rsidR="004E1930" w:rsidRPr="003D1E07">
        <w:t>anuloval metafyzický</w:t>
      </w:r>
      <w:r w:rsidR="001363BA" w:rsidRPr="003D1E07">
        <w:t xml:space="preserve"> </w:t>
      </w:r>
      <w:r w:rsidR="004E1930" w:rsidRPr="003D1E07">
        <w:t>dativ</w:t>
      </w:r>
      <w:r w:rsidR="08F35CAE" w:rsidRPr="003D1E07">
        <w:t xml:space="preserve">. </w:t>
      </w:r>
      <w:r w:rsidR="001363BA" w:rsidRPr="003D1E07">
        <w:t xml:space="preserve">Výklad </w:t>
      </w:r>
      <w:r w:rsidR="006A00DE" w:rsidRPr="003D1E07">
        <w:t>hledá původní místo vzniku metafyziky a je určen výše uvedenými</w:t>
      </w:r>
      <w:r w:rsidR="001363BA" w:rsidRPr="003D1E07">
        <w:t xml:space="preserve"> proměn</w:t>
      </w:r>
      <w:r w:rsidR="006A00DE" w:rsidRPr="003D1E07">
        <w:t>ami</w:t>
      </w:r>
      <w:r w:rsidR="087746FE" w:rsidRPr="003D1E07">
        <w:t xml:space="preserve"> pravdy</w:t>
      </w:r>
      <w:r w:rsidR="08F83DB6" w:rsidRPr="003D1E07">
        <w:t xml:space="preserve"> z múzické a tragické podoby </w:t>
      </w:r>
      <w:r w:rsidR="00265565" w:rsidRPr="003D1E07">
        <w:t>do metafyzického ná</w:t>
      </w:r>
      <w:r w:rsidR="009A6B7E" w:rsidRPr="003D1E07">
        <w:t>hledu světa. Původní pravda je daná</w:t>
      </w:r>
      <w:r w:rsidR="08F83DB6" w:rsidRPr="003D1E07">
        <w:t xml:space="preserve"> jako božská síla </w:t>
      </w:r>
      <w:r w:rsidR="00265565" w:rsidRPr="003D1E07">
        <w:t>a zjevuje</w:t>
      </w:r>
      <w:r w:rsidR="00C32E33" w:rsidRPr="003D1E07">
        <w:t xml:space="preserve"> celek kosmického řádu v modu </w:t>
      </w:r>
      <w:r w:rsidR="00BE7219" w:rsidRPr="003D1E07">
        <w:t xml:space="preserve">múzické </w:t>
      </w:r>
      <w:r w:rsidR="00C32E33" w:rsidRPr="003D1E07">
        <w:rPr>
          <w:i/>
        </w:rPr>
        <w:t>a</w:t>
      </w:r>
      <w:r w:rsidR="08F83DB6" w:rsidRPr="003D1E07">
        <w:rPr>
          <w:i/>
        </w:rPr>
        <w:t>létheia</w:t>
      </w:r>
      <w:r w:rsidR="08F83DB6" w:rsidRPr="003D1E07">
        <w:t xml:space="preserve">. Toto archaické pojetí pravdy se změnilo na pravdu metafyzickou a ironicky-komickou v modu </w:t>
      </w:r>
      <w:r w:rsidR="08F83DB6" w:rsidRPr="003D1E07">
        <w:rPr>
          <w:i/>
        </w:rPr>
        <w:t>veritas</w:t>
      </w:r>
      <w:r w:rsidR="08F83DB6" w:rsidRPr="003D1E07">
        <w:t xml:space="preserve">. </w:t>
      </w:r>
      <w:r w:rsidR="00961792" w:rsidRPr="003D1E07">
        <w:t xml:space="preserve">Moderní substance je pravdivá </w:t>
      </w:r>
      <w:r w:rsidR="006F0A91" w:rsidRPr="003D1E07">
        <w:t xml:space="preserve">(τὸ ἀληθὲς, </w:t>
      </w:r>
      <w:r w:rsidR="006F0A91" w:rsidRPr="003D1E07">
        <w:rPr>
          <w:i/>
        </w:rPr>
        <w:t>verum</w:t>
      </w:r>
      <w:r w:rsidR="000E3DF0" w:rsidRPr="003D1E07">
        <w:rPr>
          <w:i/>
        </w:rPr>
        <w:fldChar w:fldCharType="begin"/>
      </w:r>
      <w:r w:rsidR="000E3DF0" w:rsidRPr="003D1E07">
        <w:instrText xml:space="preserve"> XE "pravda:</w:instrText>
      </w:r>
      <w:r w:rsidR="000E3DF0" w:rsidRPr="003D1E07">
        <w:rPr>
          <w:i/>
        </w:rPr>
        <w:instrText>verum</w:instrText>
      </w:r>
      <w:r w:rsidR="000E3DF0" w:rsidRPr="003D1E07">
        <w:instrText xml:space="preserve">" </w:instrText>
      </w:r>
      <w:r w:rsidR="000E3DF0" w:rsidRPr="003D1E07">
        <w:rPr>
          <w:i/>
        </w:rPr>
        <w:fldChar w:fldCharType="end"/>
      </w:r>
      <w:r w:rsidR="000B2A4F" w:rsidRPr="003D1E07">
        <w:t xml:space="preserve">), </w:t>
      </w:r>
      <w:r w:rsidR="00961792" w:rsidRPr="003D1E07">
        <w:t xml:space="preserve">pokud se shoduje s ideální esencí. </w:t>
      </w:r>
      <w:r w:rsidR="086478E6" w:rsidRPr="003D1E07">
        <w:t xml:space="preserve">Platonovo porozumění bytí postavené na perfektu slovesa „vidět“ zjevuje realitu perfektním způsobem daným skrze ideální vědění. Ideová správnost je označena jako návrat k původnímu stavu bytí. </w:t>
      </w:r>
      <w:r w:rsidR="00BE7219" w:rsidRPr="003D1E07">
        <w:t xml:space="preserve">Metafyzická matematika se stala první vědou o jsoucnu. Celek </w:t>
      </w:r>
      <w:r w:rsidR="00CA72FE" w:rsidRPr="003D1E07">
        <w:t xml:space="preserve">takto travestovaného bytí </w:t>
      </w:r>
      <w:r w:rsidR="00BE7219" w:rsidRPr="003D1E07">
        <w:t>je převeden</w:t>
      </w:r>
      <w:r w:rsidR="006F0A91" w:rsidRPr="003D1E07">
        <w:t xml:space="preserve"> do metafyzické pravdy</w:t>
      </w:r>
      <w:r w:rsidR="006F0A91" w:rsidRPr="003D1E07">
        <w:rPr>
          <w:i/>
        </w:rPr>
        <w:t xml:space="preserve"> </w:t>
      </w:r>
      <w:r w:rsidR="006F0A91" w:rsidRPr="003D1E07">
        <w:t xml:space="preserve">v perfektním modu </w:t>
      </w:r>
      <w:r w:rsidR="006F0A91" w:rsidRPr="003D1E07">
        <w:rPr>
          <w:i/>
        </w:rPr>
        <w:t>restitutio ad integrum</w:t>
      </w:r>
      <w:r w:rsidR="006F0A91" w:rsidRPr="003D1E07">
        <w:rPr>
          <w:i/>
        </w:rPr>
        <w:fldChar w:fldCharType="begin"/>
      </w:r>
      <w:r w:rsidR="006F0A91" w:rsidRPr="003D1E07">
        <w:instrText xml:space="preserve"> XE "</w:instrText>
      </w:r>
      <w:r w:rsidR="006F0A91" w:rsidRPr="003D1E07">
        <w:rPr>
          <w:i/>
        </w:rPr>
        <w:instrText>restitutio ad integrum</w:instrText>
      </w:r>
      <w:r w:rsidR="006F0A91" w:rsidRPr="003D1E07">
        <w:instrText xml:space="preserve">" </w:instrText>
      </w:r>
      <w:r w:rsidR="006F0A91" w:rsidRPr="003D1E07">
        <w:rPr>
          <w:i/>
        </w:rPr>
        <w:fldChar w:fldCharType="end"/>
      </w:r>
      <w:r w:rsidR="006F0A91" w:rsidRPr="003D1E07">
        <w:t>.</w:t>
      </w:r>
    </w:p>
    <w:p w14:paraId="5FF44EB4" w14:textId="7ACCA4A2" w:rsidR="00476B0D" w:rsidRPr="003D1E07" w:rsidRDefault="003055E1" w:rsidP="00CA64F8">
      <w:pPr>
        <w:ind w:firstLine="397"/>
      </w:pPr>
      <w:r w:rsidRPr="003D1E07">
        <w:t>Změny ve vidění jsoucna dané přechodem světla a tmy označuje Heideggerův pojem „formace“ (</w:t>
      </w:r>
      <w:r w:rsidRPr="003D1E07">
        <w:rPr>
          <w:i/>
          <w:iCs/>
        </w:rPr>
        <w:t>Bildung</w:t>
      </w:r>
      <w:r w:rsidRPr="003D1E07">
        <w:rPr>
          <w:i/>
        </w:rPr>
        <w:fldChar w:fldCharType="begin"/>
      </w:r>
      <w:r w:rsidRPr="003D1E07">
        <w:instrText xml:space="preserve"> XE "</w:instrText>
      </w:r>
      <w:r w:rsidRPr="003D1E07">
        <w:rPr>
          <w:i/>
        </w:rPr>
        <w:instrText>Bildung</w:instrText>
      </w:r>
      <w:r w:rsidRPr="003D1E07">
        <w:instrText xml:space="preserve">" </w:instrText>
      </w:r>
      <w:r w:rsidRPr="003D1E07">
        <w:rPr>
          <w:i/>
        </w:rPr>
        <w:fldChar w:fldCharType="end"/>
      </w:r>
      <w:r w:rsidRPr="003D1E07">
        <w:t>) v návaznosti na řecký výraz παιδεία.</w:t>
      </w:r>
      <w:r w:rsidRPr="003D1E07">
        <w:rPr>
          <w:rStyle w:val="Znakapoznpodarou"/>
        </w:rPr>
        <w:footnoteReference w:id="15"/>
      </w:r>
      <w:r w:rsidRPr="003D1E07">
        <w:t xml:space="preserve"> </w:t>
      </w:r>
      <w:r w:rsidR="00A77C56" w:rsidRPr="003D1E07">
        <w:t xml:space="preserve">V </w:t>
      </w:r>
      <w:r w:rsidR="006F0A91" w:rsidRPr="003D1E07">
        <w:t>Platonově podobenství o jeskyni</w:t>
      </w:r>
      <w:r w:rsidR="00A77C56" w:rsidRPr="003D1E07">
        <w:t xml:space="preserve"> </w:t>
      </w:r>
      <w:r w:rsidR="00DF50C3" w:rsidRPr="003D1E07">
        <w:t>je přechod z</w:t>
      </w:r>
      <w:r w:rsidR="00EE2D76" w:rsidRPr="003D1E07">
        <w:t xml:space="preserve"> t</w:t>
      </w:r>
      <w:r w:rsidR="00DF50C3" w:rsidRPr="003D1E07">
        <w:t>emnoty</w:t>
      </w:r>
      <w:r w:rsidR="00EE2D76" w:rsidRPr="003D1E07">
        <w:t xml:space="preserve"> </w:t>
      </w:r>
      <w:r w:rsidR="009627DB" w:rsidRPr="003D1E07">
        <w:t>mi</w:t>
      </w:r>
      <w:r w:rsidR="00DF50C3" w:rsidRPr="003D1E07">
        <w:t>nu</w:t>
      </w:r>
      <w:r w:rsidR="009627DB" w:rsidRPr="003D1E07">
        <w:t xml:space="preserve">lých epoch </w:t>
      </w:r>
      <w:r w:rsidR="00EE2D76" w:rsidRPr="003D1E07">
        <w:t>do s</w:t>
      </w:r>
      <w:r w:rsidR="006F0A91" w:rsidRPr="003D1E07">
        <w:t>větl</w:t>
      </w:r>
      <w:r w:rsidR="00EE2D76" w:rsidRPr="003D1E07">
        <w:t xml:space="preserve">a </w:t>
      </w:r>
      <w:r w:rsidR="009627DB" w:rsidRPr="003D1E07">
        <w:t xml:space="preserve">moderny </w:t>
      </w:r>
      <w:r w:rsidR="006F0A91" w:rsidRPr="003D1E07">
        <w:t>tematiz</w:t>
      </w:r>
      <w:r w:rsidR="00A77C56" w:rsidRPr="003D1E07">
        <w:t xml:space="preserve">ován jako nový úkol filosofie. </w:t>
      </w:r>
      <w:r w:rsidR="00295EC9" w:rsidRPr="003D1E07">
        <w:t xml:space="preserve">Metafyzika odmítla původní vidění božského celku, protože udělala obrat od celku archaické </w:t>
      </w:r>
      <w:r w:rsidR="00295EC9" w:rsidRPr="003D1E07">
        <w:rPr>
          <w:i/>
        </w:rPr>
        <w:t>fýsis</w:t>
      </w:r>
      <w:r w:rsidR="00295EC9" w:rsidRPr="003D1E07">
        <w:t xml:space="preserve"> do světa </w:t>
      </w:r>
      <w:r w:rsidR="00BA3A0C" w:rsidRPr="003D1E07">
        <w:t xml:space="preserve">matematických </w:t>
      </w:r>
      <w:r w:rsidR="00295EC9" w:rsidRPr="003D1E07">
        <w:t xml:space="preserve">idejí. Akademie už nemůže spoléhat na božskou sílu pravdy, ale na novou formu pedagogiky </w:t>
      </w:r>
      <w:r w:rsidR="00076EBF" w:rsidRPr="003D1E07">
        <w:t xml:space="preserve">jako </w:t>
      </w:r>
      <w:r w:rsidR="002F2054" w:rsidRPr="003D1E07">
        <w:t xml:space="preserve">ideové </w:t>
      </w:r>
      <w:r w:rsidR="00076EBF" w:rsidRPr="003D1E07">
        <w:t xml:space="preserve">indoktrinace </w:t>
      </w:r>
      <w:r w:rsidR="002F2054" w:rsidRPr="003D1E07">
        <w:t>napojené</w:t>
      </w:r>
      <w:r w:rsidR="00295EC9" w:rsidRPr="003D1E07">
        <w:t xml:space="preserve"> na </w:t>
      </w:r>
      <w:r w:rsidR="006565B1" w:rsidRPr="003D1E07">
        <w:t xml:space="preserve">donucovací </w:t>
      </w:r>
      <w:r w:rsidR="00295EC9" w:rsidRPr="003D1E07">
        <w:t xml:space="preserve">autoritu státu. </w:t>
      </w:r>
      <w:r w:rsidR="00BA3A0C" w:rsidRPr="003D1E07">
        <w:t xml:space="preserve">Nová epocha akademické péče o duši je určena </w:t>
      </w:r>
      <w:r w:rsidR="00177D33" w:rsidRPr="003D1E07">
        <w:t xml:space="preserve">metafyzickým přechodem </w:t>
      </w:r>
      <w:r w:rsidR="00F329C0" w:rsidRPr="003D1E07">
        <w:t>ze</w:t>
      </w:r>
      <w:r w:rsidR="002F07DA" w:rsidRPr="003D1E07">
        <w:t xml:space="preserve"> </w:t>
      </w:r>
      <w:r w:rsidR="00BB6C47" w:rsidRPr="003D1E07">
        <w:t xml:space="preserve">tmy </w:t>
      </w:r>
      <w:r w:rsidR="00FD4EF4">
        <w:t>jesk</w:t>
      </w:r>
      <w:r w:rsidR="00F329C0" w:rsidRPr="003D1E07">
        <w:t>y</w:t>
      </w:r>
      <w:r w:rsidR="00FD4EF4">
        <w:t>n</w:t>
      </w:r>
      <w:r w:rsidR="00F329C0" w:rsidRPr="003D1E07">
        <w:t xml:space="preserve">ě </w:t>
      </w:r>
      <w:r w:rsidR="00BB6C47" w:rsidRPr="003D1E07">
        <w:t xml:space="preserve">do </w:t>
      </w:r>
      <w:r w:rsidR="002F07DA" w:rsidRPr="003D1E07">
        <w:t xml:space="preserve">světla </w:t>
      </w:r>
      <w:r w:rsidR="00F329C0" w:rsidRPr="003D1E07">
        <w:t xml:space="preserve">idejí </w:t>
      </w:r>
      <w:r w:rsidR="002F07DA" w:rsidRPr="003D1E07">
        <w:t xml:space="preserve">a opačně. </w:t>
      </w:r>
      <w:r w:rsidR="00177D33" w:rsidRPr="003D1E07">
        <w:t>Původní význam substantiva „obrat“</w:t>
      </w:r>
      <w:r w:rsidR="001E4503" w:rsidRPr="003D1E07">
        <w:t xml:space="preserve"> nebo „epocha“ </w:t>
      </w:r>
      <w:r w:rsidR="00177D33" w:rsidRPr="003D1E07">
        <w:t xml:space="preserve"> (ἐποχή</w:t>
      </w:r>
      <w:r w:rsidR="00177D33" w:rsidRPr="003D1E07">
        <w:rPr>
          <w:i/>
        </w:rPr>
        <w:fldChar w:fldCharType="begin"/>
      </w:r>
      <w:r w:rsidR="00177D33" w:rsidRPr="003D1E07">
        <w:instrText xml:space="preserve"> XE "</w:instrText>
      </w:r>
      <w:r w:rsidR="00177D33" w:rsidRPr="003D1E07">
        <w:rPr>
          <w:i/>
        </w:rPr>
        <w:instrText>epoché</w:instrText>
      </w:r>
      <w:r w:rsidR="00177D33" w:rsidRPr="003D1E07">
        <w:instrText xml:space="preserve">" </w:instrText>
      </w:r>
      <w:r w:rsidR="00177D33" w:rsidRPr="003D1E07">
        <w:rPr>
          <w:i/>
        </w:rPr>
        <w:fldChar w:fldCharType="end"/>
      </w:r>
      <w:r w:rsidR="00177D33" w:rsidRPr="003D1E07">
        <w:t xml:space="preserve">) je odvozený od astronomické události zatmění slunce. Tato epochální událost popisuje temnotu a propast </w:t>
      </w:r>
      <w:r w:rsidR="00430F85" w:rsidRPr="003D1E07">
        <w:t xml:space="preserve">(χάος) před vznikem </w:t>
      </w:r>
      <w:r w:rsidR="00D85C31" w:rsidRPr="003D1E07">
        <w:t>organizovaného kosmu</w:t>
      </w:r>
      <w:r w:rsidR="00430F85" w:rsidRPr="003D1E07">
        <w:t xml:space="preserve">. </w:t>
      </w:r>
      <w:r w:rsidR="00177D33" w:rsidRPr="003D1E07">
        <w:t xml:space="preserve"> Při zatmění slunce </w:t>
      </w:r>
      <w:r w:rsidR="00177D33" w:rsidRPr="003D1E07">
        <w:lastRenderedPageBreak/>
        <w:t>všechno v přírodě znehybní</w:t>
      </w:r>
      <w:r w:rsidR="00FE5DD6" w:rsidRPr="003D1E07">
        <w:t>, je neviditelné</w:t>
      </w:r>
      <w:r w:rsidR="00177D33" w:rsidRPr="003D1E07">
        <w:t xml:space="preserve"> a pak slunce opět vyjde z původní temnoty. Tento přírodní jev dal základ univerzálnímu filosofickému významu slova </w:t>
      </w:r>
      <w:r w:rsidR="00177D33" w:rsidRPr="003D1E07">
        <w:rPr>
          <w:i/>
        </w:rPr>
        <w:t>epoché</w:t>
      </w:r>
      <w:r w:rsidR="00177D33" w:rsidRPr="003D1E07">
        <w:t xml:space="preserve"> jako zadržení úsudku a kritického přezkoumání poznatků. </w:t>
      </w:r>
      <w:r w:rsidR="001E4503" w:rsidRPr="003D1E07">
        <w:t xml:space="preserve">Zánik archaické filosofie a vznik metafyziky znamenal </w:t>
      </w:r>
      <w:r w:rsidR="001D0C9C" w:rsidRPr="003D1E07">
        <w:t xml:space="preserve">dějinnou </w:t>
      </w:r>
      <w:r w:rsidR="001E4503" w:rsidRPr="003D1E07">
        <w:t>změnu v pojetí pravdy</w:t>
      </w:r>
      <w:r w:rsidR="001D0C9C" w:rsidRPr="003D1E07">
        <w:t xml:space="preserve">. Změnil se základní </w:t>
      </w:r>
      <w:r w:rsidR="001E4503" w:rsidRPr="003D1E07">
        <w:t>způsob, jak je dána předchůdná dráha porozumění (</w:t>
      </w:r>
      <w:r w:rsidR="001E4503" w:rsidRPr="003D1E07">
        <w:rPr>
          <w:i/>
        </w:rPr>
        <w:t>Vor-blickbahn</w:t>
      </w:r>
      <w:r w:rsidR="001E4503" w:rsidRPr="003D1E07">
        <w:t xml:space="preserve">) na smysl </w:t>
      </w:r>
      <w:r w:rsidR="00197057" w:rsidRPr="003D1E07">
        <w:t xml:space="preserve">bytí a </w:t>
      </w:r>
      <w:r w:rsidR="001E4503" w:rsidRPr="003D1E07">
        <w:t xml:space="preserve">jsoucna. </w:t>
      </w:r>
      <w:r w:rsidR="00304828" w:rsidRPr="003D1E07">
        <w:t>P</w:t>
      </w:r>
      <w:r w:rsidR="001E4503" w:rsidRPr="003D1E07">
        <w:t xml:space="preserve">řechod daný temnotou zaniklého celku </w:t>
      </w:r>
      <w:r w:rsidR="001E4503" w:rsidRPr="003D1E07">
        <w:rPr>
          <w:i/>
        </w:rPr>
        <w:t>fýsis</w:t>
      </w:r>
      <w:r w:rsidR="001E4503" w:rsidRPr="003D1E07">
        <w:t xml:space="preserve"> a </w:t>
      </w:r>
      <w:r w:rsidR="00CA493A" w:rsidRPr="003D1E07">
        <w:t xml:space="preserve">vyjitím </w:t>
      </w:r>
      <w:r w:rsidR="001E4503" w:rsidRPr="003D1E07">
        <w:t xml:space="preserve">idejí </w:t>
      </w:r>
      <w:r w:rsidR="00CA493A" w:rsidRPr="003D1E07">
        <w:t xml:space="preserve">na denní světlo </w:t>
      </w:r>
      <w:r w:rsidR="001E4503" w:rsidRPr="003D1E07">
        <w:t>má pro hermeneutiku objektivity z</w:t>
      </w:r>
      <w:r w:rsidR="007060F2" w:rsidRPr="003D1E07">
        <w:t xml:space="preserve">ásadní význam. </w:t>
      </w:r>
      <w:r w:rsidR="005D34E8" w:rsidRPr="005D34E8">
        <w:t xml:space="preserve">Hermeneutika postavená na </w:t>
      </w:r>
      <w:r w:rsidR="005D34E8">
        <w:t xml:space="preserve">astronomickém smyslu </w:t>
      </w:r>
      <w:r w:rsidR="005D34E8" w:rsidRPr="005D34E8">
        <w:rPr>
          <w:i/>
        </w:rPr>
        <w:t>epoché</w:t>
      </w:r>
      <w:r w:rsidR="005D34E8" w:rsidRPr="005D34E8">
        <w:t xml:space="preserve"> </w:t>
      </w:r>
      <w:r w:rsidR="005D34E8">
        <w:t>nazývá význam platónského bytí „epochálním“</w:t>
      </w:r>
      <w:r w:rsidR="005D34E8" w:rsidRPr="005D34E8">
        <w:t xml:space="preserve">. </w:t>
      </w:r>
      <w:r w:rsidR="005D34E8">
        <w:t xml:space="preserve">První, </w:t>
      </w:r>
      <w:r w:rsidR="005D34E8" w:rsidRPr="005D34E8">
        <w:t xml:space="preserve">nejdůležitější a objektivně nesledovatelná figura platónského bytí </w:t>
      </w:r>
      <w:r w:rsidR="005D34E8">
        <w:t xml:space="preserve">je dána </w:t>
      </w:r>
      <w:r w:rsidR="005D34E8" w:rsidRPr="005D34E8">
        <w:t>v původní temnotě historicky skrytého bytí.</w:t>
      </w:r>
      <w:r w:rsidR="00CA64F8">
        <w:t xml:space="preserve"> </w:t>
      </w:r>
      <w:r w:rsidR="007060F2" w:rsidRPr="003D1E07">
        <w:t xml:space="preserve">Smysl </w:t>
      </w:r>
      <w:r w:rsidR="00B2784F" w:rsidRPr="003D1E07">
        <w:t xml:space="preserve">platonského </w:t>
      </w:r>
      <w:r w:rsidR="007060F2" w:rsidRPr="003D1E07">
        <w:t xml:space="preserve">jsoucna </w:t>
      </w:r>
      <w:r w:rsidR="00B2784F" w:rsidRPr="003D1E07">
        <w:rPr>
          <w:noProof w:val="0"/>
        </w:rPr>
        <w:t>(</w:t>
      </w:r>
      <w:r w:rsidR="00B2784F" w:rsidRPr="003D1E07">
        <w:rPr>
          <w:i/>
          <w:noProof w:val="0"/>
        </w:rPr>
        <w:t>Sinn des Seienden</w:t>
      </w:r>
      <w:r w:rsidR="00B2784F" w:rsidRPr="003D1E07">
        <w:rPr>
          <w:noProof w:val="0"/>
        </w:rPr>
        <w:t xml:space="preserve">) </w:t>
      </w:r>
      <w:r w:rsidR="007060F2" w:rsidRPr="003D1E07">
        <w:t xml:space="preserve">se stal „epochálním“, protože </w:t>
      </w:r>
      <w:r w:rsidR="002A1841" w:rsidRPr="003D1E07">
        <w:t xml:space="preserve">zatím </w:t>
      </w:r>
      <w:r w:rsidR="007060F2" w:rsidRPr="003D1E07">
        <w:t xml:space="preserve">existuje v původní </w:t>
      </w:r>
      <w:r w:rsidR="001E4503" w:rsidRPr="003D1E07">
        <w:t xml:space="preserve">temnotě </w:t>
      </w:r>
      <w:r w:rsidR="00A62B2A" w:rsidRPr="003D1E07">
        <w:t xml:space="preserve">dějinně skrytého </w:t>
      </w:r>
      <w:r w:rsidR="001E4503" w:rsidRPr="003D1E07">
        <w:t>bytí</w:t>
      </w:r>
      <w:r w:rsidR="00B2784F" w:rsidRPr="003D1E07">
        <w:t xml:space="preserve"> </w:t>
      </w:r>
      <w:r w:rsidR="00B2784F" w:rsidRPr="003D1E07">
        <w:rPr>
          <w:noProof w:val="0"/>
        </w:rPr>
        <w:t>(</w:t>
      </w:r>
      <w:r w:rsidR="00B2784F" w:rsidRPr="003D1E07">
        <w:rPr>
          <w:i/>
          <w:noProof w:val="0"/>
        </w:rPr>
        <w:t>Verborgenheit des Seins</w:t>
      </w:r>
      <w:r w:rsidR="00B2784F" w:rsidRPr="003D1E07">
        <w:rPr>
          <w:noProof w:val="0"/>
        </w:rPr>
        <w:t>)</w:t>
      </w:r>
      <w:r w:rsidR="007060F2" w:rsidRPr="003D1E07">
        <w:t xml:space="preserve">. V epochální fázi filosofie </w:t>
      </w:r>
      <w:r w:rsidR="001E4503" w:rsidRPr="003D1E07">
        <w:t xml:space="preserve">nelze rozlišit staré pojetí </w:t>
      </w:r>
      <w:r w:rsidR="00197057" w:rsidRPr="003D1E07">
        <w:t xml:space="preserve">smyslu jsoucna </w:t>
      </w:r>
      <w:r w:rsidR="001E4503" w:rsidRPr="003D1E07">
        <w:t xml:space="preserve">od nového. </w:t>
      </w:r>
      <w:r w:rsidR="001058E5" w:rsidRPr="003D1E07">
        <w:t>Starý smysl už není</w:t>
      </w:r>
      <w:r w:rsidR="00197057" w:rsidRPr="003D1E07">
        <w:t xml:space="preserve"> a</w:t>
      </w:r>
      <w:r w:rsidR="007060F2" w:rsidRPr="003D1E07">
        <w:t xml:space="preserve"> nový ještě není. Tento chaotic</w:t>
      </w:r>
      <w:r w:rsidR="00197057" w:rsidRPr="003D1E07">
        <w:t xml:space="preserve">ký a temný stav </w:t>
      </w:r>
      <w:r w:rsidR="007060F2" w:rsidRPr="003D1E07">
        <w:t xml:space="preserve">epochální </w:t>
      </w:r>
      <w:r w:rsidR="00197057" w:rsidRPr="003D1E07">
        <w:t>filosofie nazýváme termínem „jsoucno třetího druhu“ (</w:t>
      </w:r>
      <w:r w:rsidR="00197057" w:rsidRPr="003D1E07">
        <w:rPr>
          <w:i/>
        </w:rPr>
        <w:t>tertium ens</w:t>
      </w:r>
      <w:r w:rsidR="00B52A9F" w:rsidRPr="003D1E07">
        <w:rPr>
          <w:i/>
        </w:rPr>
        <w:fldChar w:fldCharType="begin"/>
      </w:r>
      <w:r w:rsidR="00B52A9F" w:rsidRPr="003D1E07">
        <w:instrText xml:space="preserve"> XE "</w:instrText>
      </w:r>
      <w:r w:rsidR="00B52A9F" w:rsidRPr="003D1E07">
        <w:rPr>
          <w:i/>
        </w:rPr>
        <w:instrText>tertium ens</w:instrText>
      </w:r>
      <w:r w:rsidR="00B52A9F" w:rsidRPr="003D1E07">
        <w:instrText xml:space="preserve">:Platon" </w:instrText>
      </w:r>
      <w:r w:rsidR="00B52A9F" w:rsidRPr="003D1E07">
        <w:rPr>
          <w:i/>
        </w:rPr>
        <w:fldChar w:fldCharType="end"/>
      </w:r>
      <w:r w:rsidR="00197057" w:rsidRPr="003D1E07">
        <w:t xml:space="preserve">). </w:t>
      </w:r>
      <w:r w:rsidR="00AF668D" w:rsidRPr="003D1E07">
        <w:t>První j</w:t>
      </w:r>
      <w:r w:rsidR="001E4503" w:rsidRPr="003D1E07">
        <w:t>soucno třetího druhu</w:t>
      </w:r>
      <w:r w:rsidR="00B52A9F" w:rsidRPr="003D1E07">
        <w:t xml:space="preserve"> </w:t>
      </w:r>
      <w:r w:rsidR="001E4503" w:rsidRPr="003D1E07">
        <w:t xml:space="preserve"> </w:t>
      </w:r>
      <w:r w:rsidR="00AF668D" w:rsidRPr="003D1E07">
        <w:t>vzniklo stínohrou platonské jeskyně. Pro dokonanou meta</w:t>
      </w:r>
      <w:r w:rsidR="00982E28">
        <w:t>fyz</w:t>
      </w:r>
      <w:r w:rsidR="00AF668D" w:rsidRPr="003D1E07">
        <w:t>iku na denním světle už žádné jsoucno třetího druhu neexistuje. B</w:t>
      </w:r>
      <w:r w:rsidR="001E4503" w:rsidRPr="003D1E07">
        <w:t xml:space="preserve">uď něco </w:t>
      </w:r>
      <w:r w:rsidR="00B52A9F" w:rsidRPr="003D1E07">
        <w:t>je</w:t>
      </w:r>
      <w:r w:rsidR="00AF668D" w:rsidRPr="003D1E07">
        <w:t>,</w:t>
      </w:r>
      <w:r w:rsidR="00B52A9F" w:rsidRPr="003D1E07">
        <w:t xml:space="preserve"> nebo není. Metafyzická technika myšlení nemá způsob, jak by mohla poznat s</w:t>
      </w:r>
      <w:r w:rsidR="001E4503" w:rsidRPr="003D1E07">
        <w:t>tínové bytí jsoucna v</w:t>
      </w:r>
      <w:r w:rsidR="00E5068A" w:rsidRPr="003D1E07">
        <w:t xml:space="preserve"> tranzitivním </w:t>
      </w:r>
      <w:r w:rsidR="001E4503" w:rsidRPr="003D1E07">
        <w:t xml:space="preserve">modu </w:t>
      </w:r>
      <w:r w:rsidR="001E4503" w:rsidRPr="003D1E07">
        <w:rPr>
          <w:i/>
        </w:rPr>
        <w:t>tertium ens</w:t>
      </w:r>
      <w:r w:rsidR="001E4503" w:rsidRPr="003D1E07">
        <w:t xml:space="preserve">. </w:t>
      </w:r>
      <w:r w:rsidR="00B573F3" w:rsidRPr="003D1E07">
        <w:t xml:space="preserve">Heideggerův epochální obrat v pojetí smyslu bytí </w:t>
      </w:r>
      <w:r w:rsidR="002A7557" w:rsidRPr="003D1E07">
        <w:t>lze potvrdit</w:t>
      </w:r>
      <w:r w:rsidR="00B573F3" w:rsidRPr="003D1E07">
        <w:t xml:space="preserve"> </w:t>
      </w:r>
      <w:r w:rsidR="002A7557" w:rsidRPr="003D1E07">
        <w:t xml:space="preserve">skrze </w:t>
      </w:r>
      <w:r w:rsidR="00476B0D" w:rsidRPr="003D1E07">
        <w:t xml:space="preserve">Aristotelův </w:t>
      </w:r>
      <w:r w:rsidR="00B573F3" w:rsidRPr="003D1E07">
        <w:t xml:space="preserve">spis </w:t>
      </w:r>
      <w:r w:rsidR="00B573F3" w:rsidRPr="003D1E07">
        <w:rPr>
          <w:i/>
        </w:rPr>
        <w:t>Metafyzika</w:t>
      </w:r>
      <w:r w:rsidR="00B573F3" w:rsidRPr="003D1E07">
        <w:t>. Po ustavení identity substance (A</w:t>
      </w:r>
      <w:r w:rsidR="00DE70E1" w:rsidRPr="003D1E07">
        <w:t xml:space="preserve"> </w:t>
      </w:r>
      <w:r w:rsidR="00B573F3" w:rsidRPr="003D1E07">
        <w:t>=</w:t>
      </w:r>
      <w:r w:rsidR="00DE70E1" w:rsidRPr="003D1E07">
        <w:t xml:space="preserve"> </w:t>
      </w:r>
      <w:r w:rsidR="00B573F3" w:rsidRPr="003D1E07">
        <w:t>A) platí princip vyloučeného třetího. Buď něco je A nebo není A</w:t>
      </w:r>
      <w:r w:rsidR="00B573F3" w:rsidRPr="003D1E07">
        <w:fldChar w:fldCharType="begin"/>
      </w:r>
      <w:r w:rsidR="00B573F3" w:rsidRPr="003D1E07">
        <w:instrText xml:space="preserve"> XE "princip non-kontradikce" </w:instrText>
      </w:r>
      <w:r w:rsidR="00B573F3" w:rsidRPr="003D1E07">
        <w:fldChar w:fldCharType="end"/>
      </w:r>
      <w:r w:rsidR="00B573F3" w:rsidRPr="003D1E07">
        <w:t xml:space="preserve"> (A</w:t>
      </w:r>
      <w:r w:rsidR="00DE70E1" w:rsidRPr="003D1E07">
        <w:t xml:space="preserve"> </w:t>
      </w:r>
      <w:r w:rsidR="00B573F3" w:rsidRPr="003D1E07">
        <w:rPr>
          <w:rFonts w:cs="Calibri"/>
        </w:rPr>
        <w:t>≠</w:t>
      </w:r>
      <w:r w:rsidR="00DE70E1" w:rsidRPr="003D1E07">
        <w:rPr>
          <w:rFonts w:cs="Calibri"/>
        </w:rPr>
        <w:t xml:space="preserve"> non A</w:t>
      </w:r>
      <w:r w:rsidR="00B573F3" w:rsidRPr="003D1E07">
        <w:t>) a žádný ontologický přechod mezi oběma substancemi neexistuje.</w:t>
      </w:r>
      <w:r w:rsidR="00B573F3" w:rsidRPr="003D1E07">
        <w:rPr>
          <w:rStyle w:val="Znakapoznpodarou"/>
          <w:lang w:eastAsia="en-US"/>
        </w:rPr>
        <w:footnoteReference w:id="16"/>
      </w:r>
      <w:r w:rsidR="00EF79D8" w:rsidRPr="003D1E07">
        <w:t xml:space="preserve"> Aristotelská revoluce zlikvidovala zastaralou modernitu platonismu zavedením logického myšlení. </w:t>
      </w:r>
      <w:r w:rsidR="00BB47D0" w:rsidRPr="003D1E07">
        <w:t xml:space="preserve">Nová forma </w:t>
      </w:r>
      <w:r w:rsidR="00B70DBD" w:rsidRPr="003D1E07">
        <w:t>logi</w:t>
      </w:r>
      <w:r w:rsidR="00EF79D8" w:rsidRPr="003D1E07">
        <w:t xml:space="preserve">ky </w:t>
      </w:r>
      <w:r w:rsidR="00BB47D0" w:rsidRPr="003D1E07">
        <w:t xml:space="preserve">vytěsnila </w:t>
      </w:r>
      <w:r w:rsidR="007C52C6" w:rsidRPr="003D1E07">
        <w:t>přechod mezi světlem a tmou, který naposledy tematiz</w:t>
      </w:r>
      <w:r w:rsidR="002322F2" w:rsidRPr="003D1E07">
        <w:t xml:space="preserve">oval platonský mýtus o jeskyni. </w:t>
      </w:r>
      <w:r w:rsidR="004D5FB2" w:rsidRPr="003D1E07">
        <w:t>Peripatetikové a a</w:t>
      </w:r>
      <w:r w:rsidR="005172E7" w:rsidRPr="003D1E07">
        <w:t xml:space="preserve">kademikové </w:t>
      </w:r>
      <w:r w:rsidR="00476B0D" w:rsidRPr="003D1E07">
        <w:t xml:space="preserve">prezentovali dalším generacím </w:t>
      </w:r>
      <w:r w:rsidR="00DD28AD" w:rsidRPr="003D1E07">
        <w:t xml:space="preserve">vizi </w:t>
      </w:r>
      <w:r w:rsidR="004D5FB2" w:rsidRPr="003D1E07">
        <w:t xml:space="preserve">metafyzického </w:t>
      </w:r>
      <w:r w:rsidR="00476B0D" w:rsidRPr="003D1E07">
        <w:t xml:space="preserve">jsoucna místo původního celku </w:t>
      </w:r>
      <w:r w:rsidR="005C70B3" w:rsidRPr="003D1E07">
        <w:t>bytí</w:t>
      </w:r>
      <w:r w:rsidR="00476B0D" w:rsidRPr="003D1E07">
        <w:t xml:space="preserve">. </w:t>
      </w:r>
      <w:r w:rsidR="00DA6149" w:rsidRPr="003D1E07">
        <w:t xml:space="preserve">Moderní verze </w:t>
      </w:r>
      <w:r w:rsidR="00DA6149" w:rsidRPr="003D1E07">
        <w:rPr>
          <w:i/>
        </w:rPr>
        <w:t xml:space="preserve">restitutio ad integrum </w:t>
      </w:r>
      <w:r w:rsidR="00DA6149" w:rsidRPr="003D1E07">
        <w:t>nechala zmizet a</w:t>
      </w:r>
      <w:r w:rsidR="00842432" w:rsidRPr="003D1E07">
        <w:t xml:space="preserve">rchaické pojetí bytí a jsoucna. To se změnilo </w:t>
      </w:r>
      <w:r w:rsidR="005172E7" w:rsidRPr="003D1E07">
        <w:t xml:space="preserve">na </w:t>
      </w:r>
      <w:r w:rsidR="001F4B12" w:rsidRPr="003D1E07">
        <w:t xml:space="preserve">substanci určenou </w:t>
      </w:r>
      <w:r w:rsidR="00476B0D" w:rsidRPr="003D1E07">
        <w:t>matematicky a deduktivně-axiomaticky (</w:t>
      </w:r>
      <w:r w:rsidR="00476B0D" w:rsidRPr="003D1E07">
        <w:rPr>
          <w:i/>
        </w:rPr>
        <w:t>more geometrico</w:t>
      </w:r>
      <w:r w:rsidR="00476B0D" w:rsidRPr="003D1E07">
        <w:rPr>
          <w:i/>
        </w:rPr>
        <w:fldChar w:fldCharType="begin"/>
      </w:r>
      <w:r w:rsidR="00476B0D" w:rsidRPr="003D1E07">
        <w:instrText xml:space="preserve"> XE "</w:instrText>
      </w:r>
      <w:r w:rsidR="00476B0D" w:rsidRPr="003D1E07">
        <w:rPr>
          <w:i/>
        </w:rPr>
        <w:instrText>more geometrico</w:instrText>
      </w:r>
      <w:r w:rsidR="00476B0D" w:rsidRPr="003D1E07">
        <w:instrText xml:space="preserve">" </w:instrText>
      </w:r>
      <w:r w:rsidR="00476B0D" w:rsidRPr="003D1E07">
        <w:rPr>
          <w:i/>
        </w:rPr>
        <w:fldChar w:fldCharType="end"/>
      </w:r>
      <w:r w:rsidR="00DD28AD" w:rsidRPr="003D1E07">
        <w:t xml:space="preserve">). </w:t>
      </w:r>
      <w:r w:rsidR="00072FAB" w:rsidRPr="003D1E07">
        <w:t>Platonova nauka zvítězila nad chaotickými Titány původní první filosofie</w:t>
      </w:r>
      <w:r w:rsidR="00C12C45" w:rsidRPr="003D1E07">
        <w:t xml:space="preserve"> a to</w:t>
      </w:r>
      <w:r w:rsidR="00D5729D" w:rsidRPr="003D1E07">
        <w:t>t</w:t>
      </w:r>
      <w:r w:rsidR="00C12C45" w:rsidRPr="003D1E07">
        <w:t>o</w:t>
      </w:r>
      <w:r w:rsidR="00D5729D" w:rsidRPr="003D1E07">
        <w:t xml:space="preserve"> vítězství potvrdila Aristotelova metafyzika</w:t>
      </w:r>
      <w:r w:rsidR="00072FAB" w:rsidRPr="003D1E07">
        <w:t xml:space="preserve">. Epochální obrat metafyziky ustavil zlatý věk lidstva pod </w:t>
      </w:r>
      <w:r w:rsidR="00040708" w:rsidRPr="003D1E07">
        <w:t xml:space="preserve">vládou </w:t>
      </w:r>
      <w:r w:rsidR="00072FAB" w:rsidRPr="003D1E07">
        <w:t xml:space="preserve">ideje Dobra. </w:t>
      </w:r>
      <w:r w:rsidR="004A1CE4" w:rsidRPr="003D1E07">
        <w:t xml:space="preserve">Hermeneutika pozoruje průběh božské komedie řízené Múzami. </w:t>
      </w:r>
      <w:r w:rsidR="00072FAB" w:rsidRPr="003D1E07">
        <w:t xml:space="preserve">Podle múzického pojetí pravdy došlo k tomu, že </w:t>
      </w:r>
      <w:r w:rsidR="004A1CE4" w:rsidRPr="003D1E07">
        <w:t>mytopoetika</w:t>
      </w:r>
      <w:r w:rsidR="00072FAB" w:rsidRPr="003D1E07">
        <w:t xml:space="preserve"> platonského </w:t>
      </w:r>
      <w:r w:rsidR="00072FAB" w:rsidRPr="003D1E07">
        <w:lastRenderedPageBreak/>
        <w:t xml:space="preserve">osvícenství nahradila </w:t>
      </w:r>
      <w:r w:rsidR="004A1CE4" w:rsidRPr="003D1E07">
        <w:t xml:space="preserve">„mytologickou“ </w:t>
      </w:r>
      <w:r w:rsidR="00072FAB" w:rsidRPr="003D1E07">
        <w:t xml:space="preserve">epochu olympských božských sil. Matematika se stala univerzální technikou moderního myšlení. </w:t>
      </w:r>
      <w:r w:rsidR="00233BEC" w:rsidRPr="003D1E07">
        <w:t>Platonská Akademie dokončila inauguraci</w:t>
      </w:r>
      <w:r w:rsidR="00072FAB" w:rsidRPr="003D1E07">
        <w:t xml:space="preserve"> metafyziky a dialektiky jako první </w:t>
      </w:r>
      <w:r w:rsidR="00233BEC" w:rsidRPr="003D1E07">
        <w:t>filosofie</w:t>
      </w:r>
      <w:r w:rsidR="00D87DD7" w:rsidRPr="003D1E07">
        <w:t xml:space="preserve"> místo tisícileté moudrosti</w:t>
      </w:r>
      <w:r w:rsidR="00072FAB" w:rsidRPr="003D1E07">
        <w:t xml:space="preserve">. </w:t>
      </w:r>
    </w:p>
    <w:p w14:paraId="3A7C3A2A" w14:textId="05C7D141" w:rsidR="00035EA2" w:rsidRPr="003D1E07" w:rsidRDefault="00035EA2" w:rsidP="00F65158">
      <w:pPr>
        <w:ind w:firstLine="397"/>
      </w:pPr>
      <w:r w:rsidRPr="003D1E07">
        <w:t xml:space="preserve">Vznik metafyziky jako trvalé </w:t>
      </w:r>
      <w:r w:rsidR="08247890" w:rsidRPr="003D1E07">
        <w:t xml:space="preserve">přítomnosti </w:t>
      </w:r>
      <w:r w:rsidRPr="003D1E07">
        <w:t xml:space="preserve">správně viděného jsoucna je </w:t>
      </w:r>
      <w:r w:rsidR="000E1F1C" w:rsidRPr="003D1E07">
        <w:t xml:space="preserve">spojen </w:t>
      </w:r>
      <w:r w:rsidR="088B75B9" w:rsidRPr="003D1E07">
        <w:t>s antropocentrickým</w:t>
      </w:r>
      <w:r w:rsidR="002208DF" w:rsidRPr="003D1E07">
        <w:t xml:space="preserve"> obratem</w:t>
      </w:r>
      <w:r w:rsidRPr="003D1E07">
        <w:t xml:space="preserve">. </w:t>
      </w:r>
      <w:r w:rsidR="00072FAB" w:rsidRPr="003D1E07">
        <w:t xml:space="preserve">Technické vědění </w:t>
      </w:r>
      <w:r w:rsidR="002208DF" w:rsidRPr="003D1E07">
        <w:t xml:space="preserve">filosofie </w:t>
      </w:r>
      <w:r w:rsidR="00072FAB" w:rsidRPr="003D1E07">
        <w:t xml:space="preserve">bez pravdivého vidění </w:t>
      </w:r>
      <w:r w:rsidR="007F61CD" w:rsidRPr="003D1E07">
        <w:t>zaklád</w:t>
      </w:r>
      <w:r w:rsidR="00ED770D" w:rsidRPr="003D1E07">
        <w:t>á</w:t>
      </w:r>
      <w:r w:rsidR="007F61CD" w:rsidRPr="003D1E07">
        <w:t xml:space="preserve"> pouze a jedině samotný subjekt</w:t>
      </w:r>
      <w:r w:rsidR="00072FAB" w:rsidRPr="003D1E07">
        <w:t xml:space="preserve">. </w:t>
      </w:r>
      <w:r w:rsidR="086808DB" w:rsidRPr="003D1E07">
        <w:t xml:space="preserve">Tragédie Západu </w:t>
      </w:r>
      <w:r w:rsidR="00ED770D" w:rsidRPr="003D1E07">
        <w:t xml:space="preserve">byla </w:t>
      </w:r>
      <w:r w:rsidR="08AF50A9" w:rsidRPr="003D1E07">
        <w:t xml:space="preserve">a </w:t>
      </w:r>
      <w:r w:rsidR="086808DB" w:rsidRPr="003D1E07">
        <w:t xml:space="preserve">je v tom, že </w:t>
      </w:r>
      <w:r w:rsidR="00D40B5B" w:rsidRPr="003D1E07">
        <w:t xml:space="preserve">metafyzika </w:t>
      </w:r>
      <w:r w:rsidR="086808DB" w:rsidRPr="003D1E07">
        <w:t xml:space="preserve">v modu </w:t>
      </w:r>
      <w:r w:rsidR="086808DB" w:rsidRPr="003D1E07">
        <w:rPr>
          <w:i/>
        </w:rPr>
        <w:t>veritas</w:t>
      </w:r>
      <w:r w:rsidR="086808DB" w:rsidRPr="003D1E07">
        <w:t xml:space="preserve"> nahradila múzickou </w:t>
      </w:r>
      <w:r w:rsidR="086808DB" w:rsidRPr="003D1E07">
        <w:rPr>
          <w:i/>
        </w:rPr>
        <w:t>alétheia</w:t>
      </w:r>
      <w:r w:rsidR="086808DB" w:rsidRPr="003D1E07">
        <w:t xml:space="preserve"> naposledy zjevenou skrze antickou tragédii. </w:t>
      </w:r>
      <w:r w:rsidR="08466918" w:rsidRPr="003D1E07">
        <w:t xml:space="preserve">Athénská obec se dostala po smrti Sokrata a </w:t>
      </w:r>
      <w:r w:rsidR="08ED3764" w:rsidRPr="003D1E07">
        <w:t xml:space="preserve">po </w:t>
      </w:r>
      <w:r w:rsidR="08466918" w:rsidRPr="003D1E07">
        <w:t xml:space="preserve">odchodu tragiků do zásadní krize. Filosofie </w:t>
      </w:r>
      <w:r w:rsidR="0003644E" w:rsidRPr="003D1E07">
        <w:rPr>
          <w:i/>
          <w:noProof w:val="0"/>
        </w:rPr>
        <w:t>phýsis</w:t>
      </w:r>
      <w:r w:rsidR="0003644E" w:rsidRPr="003D1E07">
        <w:rPr>
          <w:noProof w:val="0"/>
        </w:rPr>
        <w:t xml:space="preserve"> </w:t>
      </w:r>
      <w:r w:rsidR="08ED3764" w:rsidRPr="003D1E07">
        <w:t>a tragická moudrost dramatiků neposkytla g</w:t>
      </w:r>
      <w:r w:rsidR="08460589" w:rsidRPr="003D1E07">
        <w:t xml:space="preserve">eneraci Platóna dostatečně silnou záruku pravdivého </w:t>
      </w:r>
      <w:r w:rsidR="00867C4D" w:rsidRPr="003D1E07">
        <w:t>vědění. První akade</w:t>
      </w:r>
      <w:r w:rsidR="003B7C04" w:rsidRPr="003D1E07">
        <w:t xml:space="preserve">mikové byli </w:t>
      </w:r>
      <w:r w:rsidR="00AD450D" w:rsidRPr="003D1E07">
        <w:t xml:space="preserve">z řad athénské oligarchie a podporovali </w:t>
      </w:r>
      <w:r w:rsidR="003B7C04" w:rsidRPr="003D1E07">
        <w:t>autorita</w:t>
      </w:r>
      <w:r w:rsidR="00AD450D" w:rsidRPr="003D1E07">
        <w:t xml:space="preserve">tivní režimy </w:t>
      </w:r>
      <w:r w:rsidR="00867C4D" w:rsidRPr="003D1E07">
        <w:t xml:space="preserve">pod </w:t>
      </w:r>
      <w:r w:rsidR="000C6694" w:rsidRPr="003D1E07">
        <w:t>vládou charimatických</w:t>
      </w:r>
      <w:r w:rsidR="00867C4D" w:rsidRPr="003D1E07">
        <w:t xml:space="preserve"> </w:t>
      </w:r>
      <w:r w:rsidR="000C6694" w:rsidRPr="003D1E07">
        <w:t>tyranů</w:t>
      </w:r>
      <w:r w:rsidR="00BE64D7" w:rsidRPr="003D1E07">
        <w:t xml:space="preserve"> </w:t>
      </w:r>
      <w:r w:rsidR="00867C4D" w:rsidRPr="003D1E07">
        <w:t>jako byl Alkibiádés</w:t>
      </w:r>
      <w:r w:rsidR="000E3DF0" w:rsidRPr="003D1E07">
        <w:fldChar w:fldCharType="begin"/>
      </w:r>
      <w:r w:rsidR="000E3DF0" w:rsidRPr="003D1E07">
        <w:instrText xml:space="preserve"> XE "Alkibiádés" </w:instrText>
      </w:r>
      <w:r w:rsidR="000E3DF0" w:rsidRPr="003D1E07">
        <w:fldChar w:fldCharType="end"/>
      </w:r>
      <w:r w:rsidR="000E3DF0" w:rsidRPr="003D1E07">
        <w:t xml:space="preserve"> </w:t>
      </w:r>
      <w:r w:rsidR="00867C4D" w:rsidRPr="003D1E07">
        <w:t>(</w:t>
      </w:r>
      <w:r w:rsidR="00867C4D" w:rsidRPr="003D1E07">
        <w:rPr>
          <w:rFonts w:cs="Calibri"/>
        </w:rPr>
        <w:t>†</w:t>
      </w:r>
      <w:r w:rsidR="00867C4D" w:rsidRPr="003D1E07">
        <w:t>404 př. Kr.)</w:t>
      </w:r>
      <w:r w:rsidR="00F65158" w:rsidRPr="003D1E07">
        <w:t xml:space="preserve">. První modernisté formovaní Platonem </w:t>
      </w:r>
      <w:r w:rsidR="00867C4D" w:rsidRPr="003D1E07">
        <w:t xml:space="preserve">už nevěřili na archaickou formu demokracie, jako tomu bylo v případě Sokrata. </w:t>
      </w:r>
      <w:r w:rsidR="000C08C3">
        <w:t>Modernistý vzali k úvaze fakt, že ani pravda</w:t>
      </w:r>
      <w:r w:rsidR="088D149C" w:rsidRPr="003D1E07">
        <w:t xml:space="preserve"> </w:t>
      </w:r>
      <w:r w:rsidR="08B551A6" w:rsidRPr="003D1E07">
        <w:t xml:space="preserve">nejmoudřejšího ze všech lidí </w:t>
      </w:r>
      <w:r w:rsidR="000C08C3">
        <w:t>nebyla</w:t>
      </w:r>
      <w:r w:rsidR="08C22741" w:rsidRPr="003D1E07">
        <w:t xml:space="preserve"> scho</w:t>
      </w:r>
      <w:r w:rsidR="000C08C3">
        <w:t>pna</w:t>
      </w:r>
      <w:r w:rsidR="08C22741" w:rsidRPr="003D1E07">
        <w:t xml:space="preserve"> zachránit</w:t>
      </w:r>
      <w:r w:rsidR="088D149C" w:rsidRPr="003D1E07">
        <w:t xml:space="preserve"> </w:t>
      </w:r>
      <w:r w:rsidR="000C08C3">
        <w:t>spravedlnost v athénské</w:t>
      </w:r>
      <w:r w:rsidR="088D149C" w:rsidRPr="003D1E07">
        <w:t xml:space="preserve"> polis. </w:t>
      </w:r>
      <w:r w:rsidR="08DE6C16" w:rsidRPr="003D1E07">
        <w:t xml:space="preserve">Po zapomenutí původního hledání pravdy v podání moudrých Tragiků a Sokrata nastoupila pedagogika filosofických pohádek a metafyzika ideových simuláker. </w:t>
      </w:r>
      <w:r w:rsidR="08C77C57" w:rsidRPr="003D1E07">
        <w:t>Platon se rozhodl, že otřesenou moudrost zachrání skrze technickou dokonalost matematiky.</w:t>
      </w:r>
      <w:r w:rsidR="08DE6C16" w:rsidRPr="003D1E07">
        <w:t xml:space="preserve"> </w:t>
      </w:r>
      <w:r w:rsidR="084B49F0" w:rsidRPr="003D1E07">
        <w:t>Platonský obrat k nově restituovanému počátku vědění provozuje nový aktér či nosič (</w:t>
      </w:r>
      <w:r w:rsidR="084B49F0" w:rsidRPr="003D1E07">
        <w:rPr>
          <w:i/>
        </w:rPr>
        <w:t>subiectum</w:t>
      </w:r>
      <w:r w:rsidR="00E76139" w:rsidRPr="003D1E07">
        <w:rPr>
          <w:i/>
        </w:rPr>
        <w:fldChar w:fldCharType="begin"/>
      </w:r>
      <w:r w:rsidR="00E76139" w:rsidRPr="003D1E07">
        <w:instrText xml:space="preserve"> XE "</w:instrText>
      </w:r>
      <w:r w:rsidR="00E76139" w:rsidRPr="003D1E07">
        <w:rPr>
          <w:i/>
        </w:rPr>
        <w:instrText>subiectum</w:instrText>
      </w:r>
      <w:r w:rsidR="00E76139" w:rsidRPr="003D1E07">
        <w:instrText xml:space="preserve">" </w:instrText>
      </w:r>
      <w:r w:rsidR="00E76139" w:rsidRPr="003D1E07">
        <w:rPr>
          <w:i/>
        </w:rPr>
        <w:fldChar w:fldCharType="end"/>
      </w:r>
      <w:r w:rsidR="00144B7D" w:rsidRPr="003D1E07">
        <w:t>)</w:t>
      </w:r>
      <w:r w:rsidR="00346CF0" w:rsidRPr="003D1E07">
        <w:t xml:space="preserve"> vědění</w:t>
      </w:r>
      <w:r w:rsidR="00144B7D" w:rsidRPr="003D1E07">
        <w:t xml:space="preserve">. K tomu bylo třeba nové formy výchovy a vzdělání, aby vznikl nový svět </w:t>
      </w:r>
      <w:r w:rsidR="084B49F0" w:rsidRPr="003D1E07">
        <w:t xml:space="preserve">takto osvíceného myšlení. </w:t>
      </w:r>
      <w:r w:rsidR="08ED454D" w:rsidRPr="003D1E07">
        <w:t>Mytopoetiku světa idejí zakládá jen a pouze</w:t>
      </w:r>
      <w:r w:rsidR="084B49F0" w:rsidRPr="003D1E07">
        <w:t xml:space="preserve"> moderní subjekt, a nikoliv původní přítomnost celku jsoucna</w:t>
      </w:r>
      <w:r w:rsidR="08B1719C" w:rsidRPr="003D1E07">
        <w:t xml:space="preserve"> daná skrze </w:t>
      </w:r>
      <w:r w:rsidR="081C12AF" w:rsidRPr="003D1E07">
        <w:t xml:space="preserve">božský celek </w:t>
      </w:r>
      <w:r w:rsidR="08B1719C" w:rsidRPr="003D1E07">
        <w:rPr>
          <w:i/>
        </w:rPr>
        <w:t>fýsis</w:t>
      </w:r>
      <w:r w:rsidR="084B49F0" w:rsidRPr="003D1E07">
        <w:t xml:space="preserve">. </w:t>
      </w:r>
      <w:r w:rsidR="082B58FC" w:rsidRPr="003D1E07">
        <w:t xml:space="preserve">Metafyzika je založena na </w:t>
      </w:r>
      <w:r w:rsidR="00445454" w:rsidRPr="003D1E07">
        <w:t xml:space="preserve">technické </w:t>
      </w:r>
      <w:r w:rsidR="082B58FC" w:rsidRPr="003D1E07">
        <w:t>imitac</w:t>
      </w:r>
      <w:r w:rsidR="00445454" w:rsidRPr="003D1E07">
        <w:t>i</w:t>
      </w:r>
      <w:r w:rsidR="08FD15ED" w:rsidRPr="003D1E07">
        <w:t xml:space="preserve"> </w:t>
      </w:r>
      <w:r w:rsidR="00346CF0" w:rsidRPr="003D1E07">
        <w:t xml:space="preserve">světa idejí </w:t>
      </w:r>
      <w:r w:rsidR="08FD15ED" w:rsidRPr="003D1E07">
        <w:t>v řádu matematiky a geometrie. P</w:t>
      </w:r>
      <w:r w:rsidR="082B58FC" w:rsidRPr="003D1E07">
        <w:t xml:space="preserve">ravdivost </w:t>
      </w:r>
      <w:r w:rsidR="08FD15ED" w:rsidRPr="003D1E07">
        <w:t>kaž</w:t>
      </w:r>
      <w:r w:rsidR="08CD0B85" w:rsidRPr="003D1E07">
        <w:t>d</w:t>
      </w:r>
      <w:r w:rsidR="08FD15ED" w:rsidRPr="003D1E07">
        <w:t xml:space="preserve">é </w:t>
      </w:r>
      <w:r w:rsidR="08CD0B85" w:rsidRPr="003D1E07">
        <w:t>metafyzické imita</w:t>
      </w:r>
      <w:r w:rsidR="08FD15ED" w:rsidRPr="003D1E07">
        <w:t xml:space="preserve">ce </w:t>
      </w:r>
      <w:r w:rsidR="08D54EC2" w:rsidRPr="003D1E07">
        <w:t xml:space="preserve">je dána matematickou a </w:t>
      </w:r>
      <w:r w:rsidR="08A63027" w:rsidRPr="003D1E07">
        <w:t xml:space="preserve">sofistickou </w:t>
      </w:r>
      <w:r w:rsidR="082B58FC" w:rsidRPr="003D1E07">
        <w:t xml:space="preserve">zdatností metafyzika. </w:t>
      </w:r>
      <w:r w:rsidR="08E457C3" w:rsidRPr="003D1E07">
        <w:t>Schopnost i</w:t>
      </w:r>
      <w:r w:rsidR="0835691A" w:rsidRPr="003D1E07">
        <w:t>mitace z něj udělal</w:t>
      </w:r>
      <w:r w:rsidR="08F64C6F" w:rsidRPr="003D1E07">
        <w:t xml:space="preserve">a moderního producenta </w:t>
      </w:r>
      <w:r w:rsidR="00172AD0" w:rsidRPr="003D1E07">
        <w:t xml:space="preserve">intelektuálního </w:t>
      </w:r>
      <w:r w:rsidR="00D3101F" w:rsidRPr="003D1E07">
        <w:t xml:space="preserve">kapitálu </w:t>
      </w:r>
      <w:r w:rsidR="002C75AC" w:rsidRPr="003D1E07">
        <w:t xml:space="preserve">ve formě </w:t>
      </w:r>
      <w:r w:rsidR="00D3101F" w:rsidRPr="003D1E07">
        <w:t>idejí</w:t>
      </w:r>
      <w:r w:rsidR="08F64C6F" w:rsidRPr="003D1E07">
        <w:fldChar w:fldCharType="begin"/>
      </w:r>
      <w:r w:rsidR="08F64C6F" w:rsidRPr="003D1E07">
        <w:instrText xml:space="preserve"> XE "kapitál" </w:instrText>
      </w:r>
      <w:r w:rsidR="08F64C6F" w:rsidRPr="003D1E07">
        <w:fldChar w:fldCharType="end"/>
      </w:r>
      <w:r w:rsidR="0835691A" w:rsidRPr="003D1E07">
        <w:t xml:space="preserve">. </w:t>
      </w:r>
      <w:r w:rsidR="00D16E03" w:rsidRPr="003D1E07">
        <w:t>Archetyp akademického demiurga</w:t>
      </w:r>
      <w:r w:rsidR="00D16E03" w:rsidRPr="003D1E07">
        <w:fldChar w:fldCharType="begin"/>
      </w:r>
      <w:r w:rsidR="00D16E03" w:rsidRPr="003D1E07">
        <w:instrText xml:space="preserve"> XE "demiurg" </w:instrText>
      </w:r>
      <w:r w:rsidR="00D16E03" w:rsidRPr="003D1E07">
        <w:fldChar w:fldCharType="end"/>
      </w:r>
      <w:r w:rsidR="00D16E03" w:rsidRPr="003D1E07">
        <w:t xml:space="preserve"> v dialogu </w:t>
      </w:r>
      <w:r w:rsidR="00D16E03" w:rsidRPr="003D1E07">
        <w:rPr>
          <w:i/>
        </w:rPr>
        <w:t xml:space="preserve">Timaios </w:t>
      </w:r>
      <w:r w:rsidR="00D16E03" w:rsidRPr="003D1E07">
        <w:t>provádí mytopoetickou produkci</w:t>
      </w:r>
      <w:r w:rsidR="08D3328E" w:rsidRPr="003D1E07">
        <w:t xml:space="preserve"> světa v modu matematické </w:t>
      </w:r>
      <w:r w:rsidR="00D16E03" w:rsidRPr="003D1E07">
        <w:t>imitace věčných idejí</w:t>
      </w:r>
      <w:r w:rsidR="08D3328E" w:rsidRPr="003D1E07">
        <w:t xml:space="preserve">. </w:t>
      </w:r>
      <w:r w:rsidR="00260574" w:rsidRPr="003D1E07">
        <w:t xml:space="preserve">Ideje </w:t>
      </w:r>
      <w:r w:rsidR="002B41B5" w:rsidRPr="003D1E07">
        <w:t>v</w:t>
      </w:r>
      <w:r w:rsidR="002A09C2">
        <w:t>e viditelném</w:t>
      </w:r>
      <w:r w:rsidR="002B41B5" w:rsidRPr="003D1E07">
        <w:t xml:space="preserve"> kosmu </w:t>
      </w:r>
      <w:r w:rsidR="00260574" w:rsidRPr="003D1E07">
        <w:t xml:space="preserve">reálně neexistují a </w:t>
      </w:r>
      <w:r w:rsidR="0084291E" w:rsidRPr="003D1E07">
        <w:t>demiurgi</w:t>
      </w:r>
      <w:r w:rsidR="00260574" w:rsidRPr="003D1E07">
        <w:t>cká nápodoba této neexistují</w:t>
      </w:r>
      <w:r w:rsidR="0084291E" w:rsidRPr="003D1E07">
        <w:t>cí</w:t>
      </w:r>
      <w:r w:rsidR="00260574" w:rsidRPr="003D1E07">
        <w:t xml:space="preserve"> reality má vytvořit reálný svět. </w:t>
      </w:r>
      <w:r w:rsidR="086D5BF1" w:rsidRPr="003D1E07">
        <w:t xml:space="preserve">Metafyzik </w:t>
      </w:r>
      <w:r w:rsidR="0065644B" w:rsidRPr="003D1E07">
        <w:t xml:space="preserve">má ideovou správnost </w:t>
      </w:r>
      <w:r w:rsidR="003D6614">
        <w:t xml:space="preserve">ve své mysli </w:t>
      </w:r>
      <w:r w:rsidR="0065644B" w:rsidRPr="003D1E07">
        <w:t>a pak měří každé reálné jsoucno podle této ideální míry</w:t>
      </w:r>
      <w:r w:rsidR="086D5BF1" w:rsidRPr="003D1E07">
        <w:t>. Idea fixuje přítomnost bytí do esence daného jsoucna (</w:t>
      </w:r>
      <w:r w:rsidR="086D5BF1" w:rsidRPr="003D1E07">
        <w:rPr>
          <w:i/>
        </w:rPr>
        <w:fldChar w:fldCharType="begin"/>
      </w:r>
      <w:r w:rsidR="086D5BF1" w:rsidRPr="003D1E07">
        <w:instrText xml:space="preserve"> XE "</w:instrText>
      </w:r>
      <w:r w:rsidR="086D5BF1" w:rsidRPr="003D1E07">
        <w:rPr>
          <w:i/>
        </w:rPr>
        <w:instrText>Was-sein</w:instrText>
      </w:r>
      <w:r w:rsidR="086D5BF1" w:rsidRPr="003D1E07">
        <w:instrText xml:space="preserve">" </w:instrText>
      </w:r>
      <w:r w:rsidR="086D5BF1" w:rsidRPr="003D1E07">
        <w:rPr>
          <w:i/>
        </w:rPr>
        <w:fldChar w:fldCharType="end"/>
      </w:r>
      <w:r w:rsidR="086D5BF1" w:rsidRPr="003D1E07">
        <w:rPr>
          <w:i/>
          <w:iCs/>
        </w:rPr>
        <w:t>Was-sein</w:t>
      </w:r>
      <w:r w:rsidR="086D5BF1" w:rsidRPr="003D1E07">
        <w:t>), kterou poznává metafyzicky osvícený intelekt (GA 9, 225</w:t>
      </w:r>
      <w:r w:rsidR="086D5BF1" w:rsidRPr="003D1E07">
        <w:rPr>
          <w:i/>
        </w:rPr>
        <w:fldChar w:fldCharType="begin"/>
      </w:r>
      <w:r w:rsidR="086D5BF1" w:rsidRPr="003D1E07">
        <w:instrText xml:space="preserve"> XE "Heidegger:GA 9, 225" </w:instrText>
      </w:r>
      <w:r w:rsidR="086D5BF1" w:rsidRPr="003D1E07">
        <w:rPr>
          <w:i/>
        </w:rPr>
        <w:fldChar w:fldCharType="end"/>
      </w:r>
      <w:r w:rsidR="006906CD" w:rsidRPr="003D1E07">
        <w:t xml:space="preserve">). </w:t>
      </w:r>
      <w:r w:rsidR="086D5BF1" w:rsidRPr="003D1E07">
        <w:t>Z metafyziky zmizelo vidění celku bytí, které určovalo původní způsob, jak se jednotlivý fenomén manifestuje vzhledem k celku.</w:t>
      </w:r>
      <w:r w:rsidR="0850437A" w:rsidRPr="003D1E07">
        <w:t xml:space="preserve"> </w:t>
      </w:r>
      <w:r w:rsidR="003F6B08" w:rsidRPr="003D1E07">
        <w:t>Heidegger zdůrazňuje, že ideové</w:t>
      </w:r>
      <w:r w:rsidR="0850437A" w:rsidRPr="003D1E07">
        <w:t xml:space="preserve"> pojímání </w:t>
      </w:r>
      <w:r w:rsidR="0850437A" w:rsidRPr="003D1E07">
        <w:rPr>
          <w:i/>
        </w:rPr>
        <w:fldChar w:fldCharType="begin"/>
      </w:r>
      <w:r w:rsidR="0850437A" w:rsidRPr="003D1E07">
        <w:instrText xml:space="preserve"> XE "pravda:</w:instrText>
      </w:r>
      <w:r w:rsidR="0850437A" w:rsidRPr="003D1E07">
        <w:rPr>
          <w:i/>
        </w:rPr>
        <w:instrText>veritas</w:instrText>
      </w:r>
      <w:r w:rsidR="0850437A" w:rsidRPr="003D1E07">
        <w:instrText xml:space="preserve">" </w:instrText>
      </w:r>
      <w:r w:rsidR="0850437A" w:rsidRPr="003D1E07">
        <w:rPr>
          <w:i/>
        </w:rPr>
        <w:fldChar w:fldCharType="end"/>
      </w:r>
      <w:r w:rsidR="0850437A" w:rsidRPr="003D1E07">
        <w:t xml:space="preserve">reality v metafyzickém určení jsoucna </w:t>
      </w:r>
      <w:r w:rsidR="0850437A" w:rsidRPr="003D1E07">
        <w:lastRenderedPageBreak/>
        <w:t xml:space="preserve">přineslo do myšlení také první subjektivizaci pravdy. Pravda přešla na stranu technicky zdatného subjektu, který správně nahlíží celek </w:t>
      </w:r>
      <w:r w:rsidR="00976CBE" w:rsidRPr="003D1E07">
        <w:t xml:space="preserve">jednotlivých </w:t>
      </w:r>
      <w:r w:rsidR="0850437A" w:rsidRPr="003D1E07">
        <w:t>jsouc</w:t>
      </w:r>
      <w:r w:rsidR="00976CBE" w:rsidRPr="003D1E07">
        <w:t>en</w:t>
      </w:r>
      <w:r w:rsidR="0850437A" w:rsidRPr="003D1E07">
        <w:t>.</w:t>
      </w:r>
    </w:p>
    <w:p w14:paraId="4AD030E1" w14:textId="77777777" w:rsidR="00035EA2" w:rsidRPr="003D1E07" w:rsidRDefault="00035EA2" w:rsidP="00D41478">
      <w:pPr>
        <w:pStyle w:val="Citace"/>
        <w:rPr>
          <w:noProof/>
          <w:lang w:val="cs-CZ"/>
        </w:rPr>
      </w:pPr>
      <w:r w:rsidRPr="003D1E07">
        <w:rPr>
          <w:noProof/>
          <w:lang w:val="cs-CZ"/>
        </w:rPr>
        <w:t>„V této proměně bytostného určení pravdy se současně uskutečňuje i změna místa, kde pravda bytuje. Jako odkrytost je pravda stále ještě základním projevem samotného bytí. Jako správnost ,náhledu‘ se však stává význačným rysem</w:t>
      </w:r>
      <w:r w:rsidR="084333CF" w:rsidRPr="003D1E07">
        <w:rPr>
          <w:noProof/>
          <w:lang w:val="cs-CZ"/>
        </w:rPr>
        <w:t xml:space="preserve"> lidského vztahu k tomu, co je jsoucí</w:t>
      </w:r>
      <w:r w:rsidRPr="003D1E07">
        <w:rPr>
          <w:noProof/>
          <w:lang w:val="cs-CZ"/>
        </w:rPr>
        <w:t>.“</w:t>
      </w:r>
      <w:r w:rsidR="009A51D8" w:rsidRPr="003D1E07">
        <w:rPr>
          <w:noProof/>
          <w:lang w:val="cs-CZ"/>
        </w:rPr>
        <w:t xml:space="preserve"> </w:t>
      </w:r>
      <w:r w:rsidRPr="003D1E07">
        <w:rPr>
          <w:rStyle w:val="Znakapoznpodarou"/>
          <w:noProof/>
          <w:lang w:val="cs-CZ"/>
        </w:rPr>
        <w:footnoteReference w:id="17"/>
      </w:r>
    </w:p>
    <w:p w14:paraId="2FEFF67D" w14:textId="54905FED" w:rsidR="00DE753D" w:rsidRPr="003D1E07" w:rsidRDefault="08997D6B" w:rsidP="00DE753D">
      <w:r w:rsidRPr="003D1E07">
        <w:t>Metafyzi</w:t>
      </w:r>
      <w:r w:rsidR="004F7D5B" w:rsidRPr="003D1E07">
        <w:t xml:space="preserve">k produkuje a </w:t>
      </w:r>
      <w:r w:rsidR="007F0798" w:rsidRPr="003D1E07">
        <w:t xml:space="preserve">pedagog </w:t>
      </w:r>
      <w:r w:rsidR="004F7D5B" w:rsidRPr="003D1E07">
        <w:t xml:space="preserve">reprodukuje </w:t>
      </w:r>
      <w:r w:rsidR="00B44781" w:rsidRPr="003D1E07">
        <w:t xml:space="preserve">trvalou </w:t>
      </w:r>
      <w:r w:rsidR="004F7D5B" w:rsidRPr="003D1E07">
        <w:t xml:space="preserve">znalost </w:t>
      </w:r>
      <w:r w:rsidRPr="003D1E07">
        <w:t xml:space="preserve">(τὸ ἀληθὲς, </w:t>
      </w:r>
      <w:r w:rsidRPr="003D1E07">
        <w:rPr>
          <w:i/>
        </w:rPr>
        <w:t>verum</w:t>
      </w:r>
      <w:r w:rsidRPr="003D1E07">
        <w:t>) nahodilé a proměnlivé reálné věci</w:t>
      </w:r>
      <w:r w:rsidR="009F587E" w:rsidRPr="003D1E07">
        <w:t xml:space="preserve">. Oba </w:t>
      </w:r>
      <w:r w:rsidR="00E86FBE" w:rsidRPr="003D1E07">
        <w:t xml:space="preserve">technici </w:t>
      </w:r>
      <w:r w:rsidRPr="003D1E07">
        <w:t>nazír</w:t>
      </w:r>
      <w:r w:rsidR="007F0798" w:rsidRPr="003D1E07">
        <w:t xml:space="preserve">ají </w:t>
      </w:r>
      <w:r w:rsidR="009F587E" w:rsidRPr="003D1E07">
        <w:t xml:space="preserve">reálný svět </w:t>
      </w:r>
      <w:r w:rsidRPr="003D1E07">
        <w:t>ve světle věčně přítomné ideje.</w:t>
      </w:r>
      <w:r w:rsidR="08F524F7" w:rsidRPr="003D1E07">
        <w:t xml:space="preserve"> </w:t>
      </w:r>
      <w:r w:rsidR="0841226C" w:rsidRPr="003D1E07">
        <w:t xml:space="preserve">Substance </w:t>
      </w:r>
      <w:r w:rsidR="089B3A73" w:rsidRPr="003D1E07">
        <w:t>nedostává pravdu od celku archaicky nazíraného bytí</w:t>
      </w:r>
      <w:r w:rsidR="0841226C" w:rsidRPr="003D1E07">
        <w:t xml:space="preserve">, protože je poznaná </w:t>
      </w:r>
      <w:r w:rsidR="08CC2500" w:rsidRPr="003D1E07">
        <w:t xml:space="preserve">v modu pravdy jako </w:t>
      </w:r>
      <w:r w:rsidR="08F7435C" w:rsidRPr="003D1E07">
        <w:t xml:space="preserve">ideové </w:t>
      </w:r>
      <w:r w:rsidR="08CC2500" w:rsidRPr="003D1E07">
        <w:t xml:space="preserve">správnosti. </w:t>
      </w:r>
      <w:r w:rsidR="08E33BB8" w:rsidRPr="003D1E07">
        <w:t>Archaická p</w:t>
      </w:r>
      <w:r w:rsidR="087A4768" w:rsidRPr="003D1E07">
        <w:t>ravda</w:t>
      </w:r>
      <w:r w:rsidR="08F524F7" w:rsidRPr="003D1E07">
        <w:t>-</w:t>
      </w:r>
      <w:r w:rsidR="08E33BB8" w:rsidRPr="003D1E07">
        <w:rPr>
          <w:i/>
        </w:rPr>
        <w:t>alétheia</w:t>
      </w:r>
      <w:r w:rsidR="08E33BB8" w:rsidRPr="003D1E07">
        <w:t xml:space="preserve"> </w:t>
      </w:r>
      <w:r w:rsidR="087A4768" w:rsidRPr="003D1E07">
        <w:t xml:space="preserve">dostala platonské simulákrum, které založilo </w:t>
      </w:r>
      <w:r w:rsidR="08120AC1" w:rsidRPr="003D1E07">
        <w:t xml:space="preserve">mimetickou </w:t>
      </w:r>
      <w:r w:rsidR="08FB349C" w:rsidRPr="003D1E07">
        <w:t>pravdu</w:t>
      </w:r>
      <w:r w:rsidR="083437D4" w:rsidRPr="003D1E07">
        <w:t>-</w:t>
      </w:r>
      <w:r w:rsidR="083437D4" w:rsidRPr="003D1E07">
        <w:rPr>
          <w:i/>
        </w:rPr>
        <w:t>veritas</w:t>
      </w:r>
      <w:r w:rsidR="087A4768" w:rsidRPr="003D1E07">
        <w:t xml:space="preserve">. </w:t>
      </w:r>
      <w:r w:rsidR="08EB5546" w:rsidRPr="003D1E07">
        <w:t>Pravda</w:t>
      </w:r>
      <w:r w:rsidR="084E77F2" w:rsidRPr="003D1E07">
        <w:t xml:space="preserve"> jako </w:t>
      </w:r>
      <w:r w:rsidR="08EB5546" w:rsidRPr="003D1E07">
        <w:t xml:space="preserve">matematická úměra </w:t>
      </w:r>
      <w:r w:rsidR="08BD0220" w:rsidRPr="003D1E07">
        <w:t xml:space="preserve">představuje klíčovou </w:t>
      </w:r>
      <w:r w:rsidR="08F55CED" w:rsidRPr="003D1E07">
        <w:t>část moderní objektivity</w:t>
      </w:r>
      <w:r w:rsidR="08BD0220" w:rsidRPr="003D1E07">
        <w:t xml:space="preserve"> </w:t>
      </w:r>
      <w:r w:rsidR="00B2293F" w:rsidRPr="003D1E07">
        <w:t xml:space="preserve">později určenou termínem </w:t>
      </w:r>
      <w:r w:rsidR="08BD0220" w:rsidRPr="003D1E07">
        <w:rPr>
          <w:i/>
        </w:rPr>
        <w:t>more geometrico</w:t>
      </w:r>
      <w:r w:rsidR="08BD0220" w:rsidRPr="003D1E07">
        <w:rPr>
          <w:i/>
        </w:rPr>
        <w:fldChar w:fldCharType="begin"/>
      </w:r>
      <w:r w:rsidR="08BD0220" w:rsidRPr="003D1E07">
        <w:rPr>
          <w:i/>
        </w:rPr>
        <w:instrText xml:space="preserve"> XE "more geometrico" </w:instrText>
      </w:r>
      <w:r w:rsidR="08BD0220" w:rsidRPr="003D1E07">
        <w:rPr>
          <w:i/>
        </w:rPr>
        <w:fldChar w:fldCharType="end"/>
      </w:r>
      <w:r w:rsidR="08BD0220" w:rsidRPr="003D1E07">
        <w:t xml:space="preserve">. </w:t>
      </w:r>
      <w:r w:rsidR="00313F42" w:rsidRPr="003D1E07">
        <w:t>R</w:t>
      </w:r>
      <w:r w:rsidR="08204A26" w:rsidRPr="003D1E07">
        <w:t xml:space="preserve">edukce jednotlivin na společný ideální vzor a dedukce ideality umožňuje definovat </w:t>
      </w:r>
      <w:r w:rsidR="009928A9" w:rsidRPr="003D1E07">
        <w:t xml:space="preserve">moderní </w:t>
      </w:r>
      <w:r w:rsidR="08204A26" w:rsidRPr="003D1E07">
        <w:t xml:space="preserve">vyrábění. </w:t>
      </w:r>
      <w:r w:rsidR="08C3511E" w:rsidRPr="003D1E07">
        <w:t xml:space="preserve">Výrobek </w:t>
      </w:r>
      <w:r w:rsidR="00025F05" w:rsidRPr="003D1E07">
        <w:t xml:space="preserve">je pravdivý </w:t>
      </w:r>
      <w:r w:rsidR="00CF1930" w:rsidRPr="003D1E07">
        <w:t xml:space="preserve">a dobrý </w:t>
      </w:r>
      <w:r w:rsidR="08C3511E" w:rsidRPr="003D1E07">
        <w:t>t</w:t>
      </w:r>
      <w:r w:rsidR="009928A9" w:rsidRPr="003D1E07">
        <w:t>ím, že imituje ideální vzor</w:t>
      </w:r>
      <w:r w:rsidR="08C3511E" w:rsidRPr="003D1E07">
        <w:t xml:space="preserve">. </w:t>
      </w:r>
      <w:r w:rsidR="0847010F" w:rsidRPr="003D1E07">
        <w:t xml:space="preserve">Dialog </w:t>
      </w:r>
      <w:r w:rsidR="0847010F" w:rsidRPr="003D1E07">
        <w:rPr>
          <w:i/>
        </w:rPr>
        <w:t>Timaios</w:t>
      </w:r>
      <w:r w:rsidR="0847010F" w:rsidRPr="003D1E07">
        <w:rPr>
          <w:i/>
        </w:rPr>
        <w:fldChar w:fldCharType="begin"/>
      </w:r>
      <w:r w:rsidR="0847010F" w:rsidRPr="003D1E07">
        <w:rPr>
          <w:i/>
        </w:rPr>
        <w:instrText xml:space="preserve"> XE "</w:instrText>
      </w:r>
      <w:r w:rsidR="0847010F" w:rsidRPr="003D1E07">
        <w:instrText>dialog</w:instrText>
      </w:r>
      <w:r w:rsidR="0847010F" w:rsidRPr="003D1E07">
        <w:rPr>
          <w:i/>
        </w:rPr>
        <w:instrText xml:space="preserve"> Timaios" </w:instrText>
      </w:r>
      <w:r w:rsidR="0847010F" w:rsidRPr="003D1E07">
        <w:rPr>
          <w:i/>
        </w:rPr>
        <w:fldChar w:fldCharType="end"/>
      </w:r>
      <w:r w:rsidR="0847010F" w:rsidRPr="003D1E07">
        <w:t xml:space="preserve"> připomíná</w:t>
      </w:r>
      <w:r w:rsidR="084A43A1" w:rsidRPr="003D1E07">
        <w:t xml:space="preserve"> archetypický význam geometricky a matematicky definovatelných entit. </w:t>
      </w:r>
      <w:r w:rsidR="00FA160E" w:rsidRPr="003D1E07">
        <w:t>Demiur</w:t>
      </w:r>
      <w:r w:rsidR="00F11DCD" w:rsidRPr="003D1E07">
        <w:t>g pře</w:t>
      </w:r>
      <w:r w:rsidR="00FA160E" w:rsidRPr="003D1E07">
        <w:t xml:space="preserve">vede jejich smysl </w:t>
      </w:r>
      <w:r w:rsidR="0847010F" w:rsidRPr="003D1E07">
        <w:t xml:space="preserve">do </w:t>
      </w:r>
      <w:r w:rsidR="085A775E" w:rsidRPr="003D1E07">
        <w:t xml:space="preserve">primární materie </w:t>
      </w:r>
      <w:r w:rsidR="00FA160E" w:rsidRPr="003D1E07">
        <w:t>a tím vznikne h</w:t>
      </w:r>
      <w:r w:rsidR="084A43A1" w:rsidRPr="003D1E07">
        <w:t xml:space="preserve">ylemorfická substance. </w:t>
      </w:r>
      <w:r w:rsidR="08411840" w:rsidRPr="003D1E07">
        <w:t xml:space="preserve">Moderní význam techniky odmítnuté Sokratem představuje nevyhnutelný následek subjektivizace pravdy v platonské metafyzice. </w:t>
      </w:r>
      <w:r w:rsidR="086C61FE" w:rsidRPr="003D1E07">
        <w:t xml:space="preserve">Nápodoba </w:t>
      </w:r>
      <w:r w:rsidR="08FF2E4D" w:rsidRPr="003D1E07">
        <w:t xml:space="preserve">matematického diakosmu </w:t>
      </w:r>
      <w:r w:rsidR="086C61FE" w:rsidRPr="003D1E07">
        <w:t>dovoluje metafyzickému demiurgovi</w:t>
      </w:r>
      <w:r w:rsidR="086C61FE" w:rsidRPr="003D1E07">
        <w:fldChar w:fldCharType="begin"/>
      </w:r>
      <w:r w:rsidR="086C61FE" w:rsidRPr="003D1E07">
        <w:instrText xml:space="preserve"> XE "demiurg" </w:instrText>
      </w:r>
      <w:r w:rsidR="086C61FE" w:rsidRPr="003D1E07">
        <w:fldChar w:fldCharType="end"/>
      </w:r>
      <w:r w:rsidR="086C61FE" w:rsidRPr="003D1E07">
        <w:t xml:space="preserve">, aby od daného ideového vzoru </w:t>
      </w:r>
      <w:r w:rsidR="00E4738B">
        <w:t xml:space="preserve">vytvářel </w:t>
      </w:r>
      <w:r w:rsidR="086C61FE" w:rsidRPr="003D1E07">
        <w:t xml:space="preserve">věrné kopie pomocí </w:t>
      </w:r>
      <w:r w:rsidR="006E3F68" w:rsidRPr="003D1E07">
        <w:t xml:space="preserve">matematizované </w:t>
      </w:r>
      <w:r w:rsidR="086C61FE" w:rsidRPr="003D1E07">
        <w:t>techniky</w:t>
      </w:r>
      <w:r w:rsidR="086C61FE" w:rsidRPr="003D1E07">
        <w:rPr>
          <w:i/>
        </w:rPr>
        <w:fldChar w:fldCharType="begin"/>
      </w:r>
      <w:r w:rsidR="086C61FE" w:rsidRPr="003D1E07">
        <w:instrText xml:space="preserve"> XE "technika" </w:instrText>
      </w:r>
      <w:r w:rsidR="086C61FE" w:rsidRPr="003D1E07">
        <w:rPr>
          <w:i/>
        </w:rPr>
        <w:fldChar w:fldCharType="end"/>
      </w:r>
      <w:r w:rsidR="086C61FE" w:rsidRPr="003D1E07">
        <w:t xml:space="preserve"> chápané v antice jako umění a </w:t>
      </w:r>
      <w:r w:rsidR="004A49DB" w:rsidRPr="003D1E07">
        <w:t xml:space="preserve">banální </w:t>
      </w:r>
      <w:r w:rsidR="086C61FE" w:rsidRPr="003D1E07">
        <w:t xml:space="preserve">řemeslná výroba. </w:t>
      </w:r>
      <w:r w:rsidR="00FE592F">
        <w:t xml:space="preserve">Technika se stala základem metafyziky. </w:t>
      </w:r>
      <w:r w:rsidR="08C3511E" w:rsidRPr="003D1E07">
        <w:t xml:space="preserve">Božský či lidský artefakt nabývá jsoucnosti v procesu nápodoby, která určuje základní způsob, jak je idea realizována v daném materiálu. </w:t>
      </w:r>
      <w:r w:rsidR="0847010F" w:rsidRPr="003D1E07">
        <w:t xml:space="preserve">Imitovaná idea přítomná ve zformovaném materiálu manifestuje výrobek v ideové trvalosti postavené mimo fyzikální změny. Dialog </w:t>
      </w:r>
      <w:r w:rsidR="0847010F" w:rsidRPr="003D1E07">
        <w:rPr>
          <w:i/>
          <w:iCs/>
        </w:rPr>
        <w:t>Ústava</w:t>
      </w:r>
      <w:r w:rsidR="0847010F" w:rsidRPr="003D1E07">
        <w:t xml:space="preserve"> zdůrazňuje, že řemeslník tvořící lehátko vychází z</w:t>
      </w:r>
      <w:r w:rsidR="00DE7A47" w:rsidRPr="003D1E07">
        <w:t xml:space="preserve"> primárního </w:t>
      </w:r>
      <w:r w:rsidR="0847010F" w:rsidRPr="003D1E07">
        <w:t>nazírání ideje výrobku (πρὸς τὴν ἰδέαν βλέπων, 596b7−8</w:t>
      </w:r>
      <w:r w:rsidR="0847010F" w:rsidRPr="003D1E07">
        <w:fldChar w:fldCharType="begin"/>
      </w:r>
      <w:r w:rsidR="0847010F" w:rsidRPr="003D1E07">
        <w:instrText xml:space="preserve"> XE "Platon:</w:instrText>
      </w:r>
      <w:r w:rsidR="0847010F" w:rsidRPr="003D1E07">
        <w:rPr>
          <w:i/>
        </w:rPr>
        <w:instrText xml:space="preserve">Rep. </w:instrText>
      </w:r>
      <w:r w:rsidR="0847010F" w:rsidRPr="003D1E07">
        <w:instrText xml:space="preserve">596b7−8" </w:instrText>
      </w:r>
      <w:r w:rsidR="0847010F" w:rsidRPr="003D1E07">
        <w:fldChar w:fldCharType="end"/>
      </w:r>
      <w:r w:rsidR="0847010F" w:rsidRPr="003D1E07">
        <w:t>). Demiurg tuto idealitu odezírá od původní věčné ideje</w:t>
      </w:r>
      <w:r w:rsidR="004344EC" w:rsidRPr="003D1E07">
        <w:t xml:space="preserve">. Imitace vytvořená díky jeho </w:t>
      </w:r>
      <w:r w:rsidR="0847010F" w:rsidRPr="003D1E07">
        <w:t>píli a umu získává podíl na ideové plnosti jsoucna. Proces matematické</w:t>
      </w:r>
      <w:r w:rsidR="00A93F94" w:rsidRPr="003D1E07">
        <w:t xml:space="preserve"> a technické </w:t>
      </w:r>
      <w:r w:rsidR="0847010F" w:rsidRPr="003D1E07">
        <w:t xml:space="preserve">determinace jsoucna od </w:t>
      </w:r>
      <w:r w:rsidR="08C05D1A" w:rsidRPr="003D1E07">
        <w:t xml:space="preserve">demiurgického </w:t>
      </w:r>
      <w:r w:rsidR="0847010F" w:rsidRPr="003D1E07">
        <w:t xml:space="preserve">subjektu jako účinné kauzální příčiny do jím vyrobené věci má pro vznik objektivity zásadní význam. Stvořená věc dostává díky schopnosti a vůli subjektu podíl na trvalém bytí ideje. </w:t>
      </w:r>
      <w:r w:rsidR="08E42A46" w:rsidRPr="003D1E07">
        <w:t xml:space="preserve">Heidegger v přednáškách o Nietzschem zdůrazňuje </w:t>
      </w:r>
      <w:r w:rsidR="087C188D" w:rsidRPr="003D1E07">
        <w:t xml:space="preserve">zásadní </w:t>
      </w:r>
      <w:r w:rsidR="08E42A46" w:rsidRPr="003D1E07">
        <w:t xml:space="preserve">funkci platonské ideje vázanou na proces </w:t>
      </w:r>
      <w:r w:rsidR="08E42A46" w:rsidRPr="003D1E07">
        <w:lastRenderedPageBreak/>
        <w:t xml:space="preserve">imitace. </w:t>
      </w:r>
      <w:r w:rsidR="08C24328" w:rsidRPr="003D1E07">
        <w:t xml:space="preserve">Technika imituje původní metafyzickou produkci moderního subjektu tím, </w:t>
      </w:r>
      <w:r w:rsidR="083C0ED8" w:rsidRPr="003D1E07">
        <w:t xml:space="preserve">že ji reprodukuje v </w:t>
      </w:r>
      <w:r w:rsidR="08C24328" w:rsidRPr="003D1E07">
        <w:t xml:space="preserve">objektu. </w:t>
      </w:r>
      <w:r w:rsidR="0813558C" w:rsidRPr="003D1E07">
        <w:t xml:space="preserve">Jsoucno získává novou reprezentaci </w:t>
      </w:r>
      <w:r w:rsidR="08372E21" w:rsidRPr="003D1E07">
        <w:t xml:space="preserve">ve světě </w:t>
      </w:r>
      <w:r w:rsidR="08F16B8D" w:rsidRPr="003D1E07">
        <w:t xml:space="preserve">pomocí </w:t>
      </w:r>
      <w:r w:rsidR="08814109" w:rsidRPr="003D1E07">
        <w:t xml:space="preserve">technické </w:t>
      </w:r>
      <w:r w:rsidR="08F16B8D" w:rsidRPr="003D1E07">
        <w:t xml:space="preserve">imitace v modu </w:t>
      </w:r>
      <w:r w:rsidR="0813558C" w:rsidRPr="003D1E07">
        <w:rPr>
          <w:i/>
          <w:iCs/>
        </w:rPr>
        <w:t>Darstellung</w:t>
      </w:r>
      <w:r w:rsidR="08F16B8D" w:rsidRPr="003D1E07">
        <w:t xml:space="preserve">, protože </w:t>
      </w:r>
      <w:r w:rsidR="0813558C" w:rsidRPr="003D1E07">
        <w:t>umění a technika vystavují zhotovené jsoucno</w:t>
      </w:r>
      <w:r w:rsidR="08F16B8D" w:rsidRPr="003D1E07">
        <w:t xml:space="preserve"> </w:t>
      </w:r>
      <w:r w:rsidR="0813558C" w:rsidRPr="003D1E07">
        <w:t xml:space="preserve">do předmětnosti daného artefaktu </w:t>
      </w:r>
      <w:r w:rsidR="08F16B8D" w:rsidRPr="003D1E07">
        <w:t xml:space="preserve">v modu </w:t>
      </w:r>
      <w:r w:rsidR="08814109" w:rsidRPr="003D1E07">
        <w:t xml:space="preserve">subjektivního </w:t>
      </w:r>
      <w:r w:rsidR="08F16B8D" w:rsidRPr="003D1E07">
        <w:rPr>
          <w:i/>
          <w:iCs/>
        </w:rPr>
        <w:t>Herstellung</w:t>
      </w:r>
      <w:r w:rsidR="08F16B8D" w:rsidRPr="003D1E07">
        <w:t xml:space="preserve"> </w:t>
      </w:r>
      <w:r w:rsidR="0813558C" w:rsidRPr="003D1E07">
        <w:t>(GA 6.1, 177−78</w:t>
      </w:r>
      <w:r w:rsidR="0813558C" w:rsidRPr="003D1E07">
        <w:fldChar w:fldCharType="begin"/>
      </w:r>
      <w:r w:rsidR="0813558C" w:rsidRPr="003D1E07">
        <w:instrText xml:space="preserve"> XE "Heidegger:GA 6.1, 177−178" </w:instrText>
      </w:r>
      <w:r w:rsidR="0813558C" w:rsidRPr="003D1E07">
        <w:fldChar w:fldCharType="end"/>
      </w:r>
      <w:r w:rsidR="0813558C" w:rsidRPr="003D1E07">
        <w:t>).</w:t>
      </w:r>
      <w:r w:rsidR="0058596E" w:rsidRPr="003D1E07">
        <w:t xml:space="preserve"> Prefix </w:t>
      </w:r>
      <w:r w:rsidR="00C570FC" w:rsidRPr="003D1E07">
        <w:rPr>
          <w:rFonts w:cs="Calibri"/>
        </w:rPr>
        <w:t>„</w:t>
      </w:r>
      <w:r w:rsidR="0058596E" w:rsidRPr="003D1E07">
        <w:rPr>
          <w:i/>
        </w:rPr>
        <w:t>her–</w:t>
      </w:r>
      <w:r w:rsidR="00C570FC" w:rsidRPr="003D1E07">
        <w:t>„</w:t>
      </w:r>
      <w:r w:rsidR="0058596E" w:rsidRPr="003D1E07">
        <w:t xml:space="preserve"> potvrzuje, že svět technicky přistavený k modernímu subjektu se manifestuje jako prodloužení </w:t>
      </w:r>
      <w:r w:rsidR="00026B8C" w:rsidRPr="003D1E07">
        <w:t>lidského ducha</w:t>
      </w:r>
      <w:r w:rsidR="000C0E0C">
        <w:t>, který nyní tvoří centrum světa</w:t>
      </w:r>
      <w:r w:rsidR="0058596E" w:rsidRPr="003D1E07">
        <w:t xml:space="preserve">. </w:t>
      </w:r>
      <w:r w:rsidR="08C24328" w:rsidRPr="003D1E07">
        <w:t>Heidegger zdůrazňuje metafyzický charakter výroby a nihilistický charakter techniky</w:t>
      </w:r>
      <w:r w:rsidR="08C24328" w:rsidRPr="003D1E07">
        <w:rPr>
          <w:i/>
        </w:rPr>
        <w:fldChar w:fldCharType="begin"/>
      </w:r>
      <w:r w:rsidR="00E76139" w:rsidRPr="003D1E07">
        <w:instrText xml:space="preserve"> XE "technika</w:instrText>
      </w:r>
      <w:r w:rsidR="08C24328" w:rsidRPr="003D1E07">
        <w:instrText xml:space="preserve">" </w:instrText>
      </w:r>
      <w:r w:rsidR="08C24328" w:rsidRPr="003D1E07">
        <w:rPr>
          <w:i/>
        </w:rPr>
        <w:fldChar w:fldCharType="end"/>
      </w:r>
      <w:r w:rsidR="08C24328" w:rsidRPr="003D1E07">
        <w:t xml:space="preserve"> jako specifický způsob zjevování jsoucna směrem od smrtelného subjektu. </w:t>
      </w:r>
      <w:r w:rsidR="08E42A46" w:rsidRPr="003D1E07">
        <w:t xml:space="preserve">Božská či lidská varianta tvoření reflektuje reprezentaci ideje v tvůrčím intelektu a poieticky reprodukuje její věčnou či pomíjivou idealitu v uměleckém či technickém díle. </w:t>
      </w:r>
      <w:r w:rsidR="08230D98" w:rsidRPr="003D1E07">
        <w:t xml:space="preserve">Výroba potvrzuje ideové a metafyzické založení světa dané ve tvůrčím subjektu. </w:t>
      </w:r>
      <w:r w:rsidR="08415888" w:rsidRPr="003D1E07">
        <w:t xml:space="preserve">Celek platonských simuláker daný jako křesťanské </w:t>
      </w:r>
      <w:r w:rsidR="08415888" w:rsidRPr="003D1E07">
        <w:rPr>
          <w:i/>
          <w:iCs/>
        </w:rPr>
        <w:t>creatio</w:t>
      </w:r>
      <w:r w:rsidR="08415888" w:rsidRPr="003D1E07">
        <w:t xml:space="preserve"> nebo novověké </w:t>
      </w:r>
      <w:r w:rsidR="08415888" w:rsidRPr="003D1E07">
        <w:rPr>
          <w:i/>
        </w:rPr>
        <w:t>factum</w:t>
      </w:r>
      <w:r w:rsidR="08415888" w:rsidRPr="003D1E07">
        <w:rPr>
          <w:i/>
        </w:rPr>
        <w:fldChar w:fldCharType="begin"/>
      </w:r>
      <w:r w:rsidR="08415888" w:rsidRPr="003D1E07">
        <w:instrText xml:space="preserve"> XE "</w:instrText>
      </w:r>
      <w:r w:rsidR="08415888" w:rsidRPr="003D1E07">
        <w:rPr>
          <w:i/>
        </w:rPr>
        <w:instrText>factum</w:instrText>
      </w:r>
      <w:r w:rsidR="08415888" w:rsidRPr="003D1E07">
        <w:instrText xml:space="preserve">" </w:instrText>
      </w:r>
      <w:r w:rsidR="08415888" w:rsidRPr="003D1E07">
        <w:rPr>
          <w:i/>
        </w:rPr>
        <w:fldChar w:fldCharType="end"/>
      </w:r>
      <w:r w:rsidR="08415888" w:rsidRPr="003D1E07">
        <w:t xml:space="preserve"> přichází ke svému objektivnímu určení skrze píli božského a lidského demiurga</w:t>
      </w:r>
      <w:r w:rsidR="08415888" w:rsidRPr="003D1E07">
        <w:rPr>
          <w:i/>
        </w:rPr>
        <w:fldChar w:fldCharType="begin"/>
      </w:r>
      <w:r w:rsidR="08415888" w:rsidRPr="003D1E07">
        <w:instrText xml:space="preserve"> XE "demiurg" </w:instrText>
      </w:r>
      <w:r w:rsidR="08415888" w:rsidRPr="003D1E07">
        <w:rPr>
          <w:i/>
        </w:rPr>
        <w:fldChar w:fldCharType="end"/>
      </w:r>
      <w:r w:rsidR="08415888" w:rsidRPr="003D1E07">
        <w:t xml:space="preserve">. </w:t>
      </w:r>
      <w:r w:rsidR="08ED3932" w:rsidRPr="003D1E07">
        <w:t>Po proměně pravdy v metafyzickou a později i v logickou a ve vědeckou správnost se vyrábění a idealita spojují do jednoho celku.</w:t>
      </w:r>
      <w:r w:rsidR="087D6533" w:rsidRPr="003D1E07">
        <w:t xml:space="preserve"> Jak metafyzický tak objektivní způsob zjevování smyslu jsoucna je principiálně dán od poznávajícího subjektu. Jeho iniciativní vůle k moci </w:t>
      </w:r>
      <w:r w:rsidR="087D6533" w:rsidRPr="003D1E07">
        <w:rPr>
          <w:i/>
        </w:rPr>
        <w:fldChar w:fldCharType="begin"/>
      </w:r>
      <w:r w:rsidR="088C0C7A" w:rsidRPr="003D1E07">
        <w:instrText xml:space="preserve"> XE "vůle </w:instrText>
      </w:r>
      <w:r w:rsidR="087D6533" w:rsidRPr="003D1E07">
        <w:instrText xml:space="preserve">k moci" </w:instrText>
      </w:r>
      <w:r w:rsidR="087D6533" w:rsidRPr="003D1E07">
        <w:rPr>
          <w:i/>
        </w:rPr>
        <w:fldChar w:fldCharType="end"/>
      </w:r>
      <w:r w:rsidR="087D6533" w:rsidRPr="003D1E07">
        <w:t>představuje skrytý začátek i odkrytý konec objektivity</w:t>
      </w:r>
      <w:r w:rsidR="08CA3BD7" w:rsidRPr="003D1E07">
        <w:t>.</w:t>
      </w:r>
      <w:r w:rsidR="00DE753D" w:rsidRPr="003D1E07">
        <w:t xml:space="preserve"> </w:t>
      </w:r>
      <w:r w:rsidR="08C24584" w:rsidRPr="003D1E07">
        <w:t>Platonova f</w:t>
      </w:r>
      <w:r w:rsidR="08E42A46" w:rsidRPr="003D1E07">
        <w:rPr>
          <w:lang w:eastAsia="en-US"/>
        </w:rPr>
        <w:t xml:space="preserve">ilosofie </w:t>
      </w:r>
      <w:r w:rsidR="0061062A" w:rsidRPr="003D1E07">
        <w:rPr>
          <w:lang w:eastAsia="en-US"/>
        </w:rPr>
        <w:t xml:space="preserve">splnila to </w:t>
      </w:r>
      <w:r w:rsidR="00302E14" w:rsidRPr="003D1E07">
        <w:rPr>
          <w:lang w:eastAsia="en-US"/>
        </w:rPr>
        <w:t xml:space="preserve">múzicky </w:t>
      </w:r>
      <w:r w:rsidR="0061062A" w:rsidRPr="003D1E07">
        <w:rPr>
          <w:lang w:eastAsia="en-US"/>
        </w:rPr>
        <w:t>podstatné</w:t>
      </w:r>
      <w:r w:rsidR="00302E14" w:rsidRPr="003D1E07">
        <w:rPr>
          <w:lang w:eastAsia="en-US"/>
        </w:rPr>
        <w:t xml:space="preserve"> z jejího </w:t>
      </w:r>
      <w:r w:rsidR="0061062A" w:rsidRPr="003D1E07">
        <w:rPr>
          <w:lang w:eastAsia="en-US"/>
        </w:rPr>
        <w:t>dějinného úkolu, který se nyní snaží završit současná nihilistická</w:t>
      </w:r>
      <w:r w:rsidR="08E42A46" w:rsidRPr="003D1E07">
        <w:rPr>
          <w:lang w:eastAsia="en-US"/>
        </w:rPr>
        <w:t xml:space="preserve"> epo</w:t>
      </w:r>
      <w:r w:rsidR="0061062A" w:rsidRPr="003D1E07">
        <w:rPr>
          <w:lang w:eastAsia="en-US"/>
        </w:rPr>
        <w:t>cha myšlení</w:t>
      </w:r>
      <w:r w:rsidR="084042B7" w:rsidRPr="003D1E07">
        <w:rPr>
          <w:lang w:eastAsia="en-US"/>
        </w:rPr>
        <w:t xml:space="preserve">. </w:t>
      </w:r>
      <w:r w:rsidR="08C24584" w:rsidRPr="003D1E07">
        <w:rPr>
          <w:lang w:eastAsia="en-US"/>
        </w:rPr>
        <w:t>Ú</w:t>
      </w:r>
      <w:r w:rsidR="084042B7" w:rsidRPr="003D1E07">
        <w:rPr>
          <w:lang w:eastAsia="en-US"/>
        </w:rPr>
        <w:t xml:space="preserve">vodní poslání </w:t>
      </w:r>
      <w:r w:rsidR="08C24584" w:rsidRPr="003D1E07">
        <w:rPr>
          <w:lang w:eastAsia="en-US"/>
        </w:rPr>
        <w:t xml:space="preserve">metafyziky jí dalo do vínku schopnost </w:t>
      </w:r>
      <w:r w:rsidR="08E42A46" w:rsidRPr="003D1E07">
        <w:rPr>
          <w:lang w:eastAsia="en-US"/>
        </w:rPr>
        <w:t xml:space="preserve">být </w:t>
      </w:r>
      <w:r w:rsidR="08766BE9" w:rsidRPr="003D1E07">
        <w:rPr>
          <w:lang w:eastAsia="en-US"/>
        </w:rPr>
        <w:t>tec</w:t>
      </w:r>
      <w:r w:rsidR="084042B7" w:rsidRPr="003D1E07">
        <w:rPr>
          <w:lang w:eastAsia="en-US"/>
        </w:rPr>
        <w:t>hnicky zdatným akademickým věděním</w:t>
      </w:r>
      <w:r w:rsidR="08C24584" w:rsidRPr="003D1E07">
        <w:rPr>
          <w:lang w:eastAsia="en-US"/>
        </w:rPr>
        <w:t xml:space="preserve">. Tento imperativ </w:t>
      </w:r>
      <w:r w:rsidR="08E42A46" w:rsidRPr="003D1E07">
        <w:rPr>
          <w:lang w:eastAsia="en-US"/>
        </w:rPr>
        <w:t>nyní naplnily všechny vědecké disciplíny, které vz</w:t>
      </w:r>
      <w:r w:rsidR="00DE753D" w:rsidRPr="003D1E07">
        <w:rPr>
          <w:lang w:eastAsia="en-US"/>
        </w:rPr>
        <w:t>nik metafyziky povolal na svět.</w:t>
      </w:r>
    </w:p>
    <w:p w14:paraId="0DD06F71" w14:textId="77777777" w:rsidR="005D4BA1" w:rsidRDefault="08F066BC" w:rsidP="005D4BA1">
      <w:r w:rsidRPr="003D1E07">
        <w:t xml:space="preserve">Archetypická událost zakládající objektivní pohled na jsoucno není nahodilou transformací </w:t>
      </w:r>
      <w:r w:rsidR="00FA5E1A">
        <w:t xml:space="preserve">archaické </w:t>
      </w:r>
      <w:r w:rsidR="00FA5E1A" w:rsidRPr="00FA5E1A">
        <w:rPr>
          <w:i/>
        </w:rPr>
        <w:t>alétheia</w:t>
      </w:r>
      <w:r w:rsidR="00FA5E1A">
        <w:t xml:space="preserve"> </w:t>
      </w:r>
      <w:r w:rsidRPr="003D1E07">
        <w:t xml:space="preserve">na </w:t>
      </w:r>
      <w:r w:rsidR="00FA5E1A">
        <w:t xml:space="preserve">metafyzickou </w:t>
      </w:r>
      <w:r w:rsidR="00FA5E1A" w:rsidRPr="00FA5E1A">
        <w:rPr>
          <w:i/>
        </w:rPr>
        <w:t>veritas</w:t>
      </w:r>
      <w:r w:rsidRPr="003D1E07">
        <w:t xml:space="preserve">. </w:t>
      </w:r>
      <w:r w:rsidR="083508A5" w:rsidRPr="003D1E07">
        <w:t xml:space="preserve">Dialektika Heideggerových termínů </w:t>
      </w:r>
      <w:r w:rsidR="083508A5" w:rsidRPr="003D1E07">
        <w:rPr>
          <w:i/>
        </w:rPr>
        <w:t xml:space="preserve">Anfang </w:t>
      </w:r>
      <w:r w:rsidR="083508A5" w:rsidRPr="003D1E07">
        <w:t>a</w:t>
      </w:r>
      <w:r w:rsidR="083508A5" w:rsidRPr="003D1E07">
        <w:rPr>
          <w:i/>
        </w:rPr>
        <w:t xml:space="preserve"> Beginn </w:t>
      </w:r>
      <w:r w:rsidR="083508A5" w:rsidRPr="003D1E07">
        <w:fldChar w:fldCharType="begin"/>
      </w:r>
      <w:r w:rsidR="083508A5" w:rsidRPr="003D1E07">
        <w:instrText xml:space="preserve"> XE "</w:instrText>
      </w:r>
      <w:r w:rsidR="083508A5" w:rsidRPr="003D1E07">
        <w:rPr>
          <w:i/>
        </w:rPr>
        <w:instrText>Anfang/Beginn</w:instrText>
      </w:r>
      <w:r w:rsidR="083508A5" w:rsidRPr="003D1E07">
        <w:instrText xml:space="preserve">" </w:instrText>
      </w:r>
      <w:r w:rsidR="083508A5" w:rsidRPr="003D1E07">
        <w:fldChar w:fldCharType="end"/>
      </w:r>
      <w:r w:rsidR="083508A5" w:rsidRPr="003D1E07">
        <w:t xml:space="preserve">odlišuje </w:t>
      </w:r>
      <w:r w:rsidR="00327D95">
        <w:t xml:space="preserve">principiální </w:t>
      </w:r>
      <w:r w:rsidR="083508A5" w:rsidRPr="003D1E07">
        <w:t xml:space="preserve">počátek první filosofie a </w:t>
      </w:r>
      <w:r w:rsidR="00327D95">
        <w:t xml:space="preserve">iniciativní </w:t>
      </w:r>
      <w:r w:rsidR="083508A5" w:rsidRPr="003D1E07">
        <w:t>začátek metafyziky. Zakládající událost nového vidění daná jako počátek metafyziky (</w:t>
      </w:r>
      <w:r w:rsidR="083508A5" w:rsidRPr="003D1E07">
        <w:rPr>
          <w:i/>
        </w:rPr>
        <w:t>Beginn</w:t>
      </w:r>
      <w:r w:rsidR="083508A5" w:rsidRPr="003D1E07">
        <w:t>) přestala být přímo spojena s původní dynamikou skrývání a zjevování danou jako zakládající událost samotného bytí (</w:t>
      </w:r>
      <w:r w:rsidR="083508A5" w:rsidRPr="003D1E07">
        <w:rPr>
          <w:i/>
        </w:rPr>
        <w:t>Anfang</w:t>
      </w:r>
      <w:r w:rsidR="083508A5" w:rsidRPr="003D1E07">
        <w:t>). Metafyzik drž</w:t>
      </w:r>
      <w:r w:rsidR="00500E6B" w:rsidRPr="003D1E07">
        <w:t xml:space="preserve">í jsoucno trvale v centru </w:t>
      </w:r>
      <w:r w:rsidR="00E30265" w:rsidRPr="003D1E07">
        <w:t xml:space="preserve">věčného a zářivého </w:t>
      </w:r>
      <w:r w:rsidR="00500E6B" w:rsidRPr="003D1E07">
        <w:t>vědění</w:t>
      </w:r>
      <w:r w:rsidR="00DC73B3" w:rsidRPr="003D1E07">
        <w:t xml:space="preserve">, </w:t>
      </w:r>
      <w:r w:rsidR="004B3FB7" w:rsidRPr="003D1E07">
        <w:t xml:space="preserve">protože idea Dobra </w:t>
      </w:r>
      <w:r w:rsidR="00DC73B3" w:rsidRPr="003D1E07">
        <w:t>netoleruje žádný stín</w:t>
      </w:r>
      <w:r w:rsidR="083508A5" w:rsidRPr="003D1E07">
        <w:t xml:space="preserve">. Tato změna habitatu, čili původního místa pobývání pravdy, má zásadní charakter pro další vývoj metafyziky a objektivity. </w:t>
      </w:r>
      <w:r w:rsidRPr="003D1E07">
        <w:t>Pravda a klam objektivity jsou dějinně nutně spojeny s proměnami původní podoby pravdy. Metafyzika a tím i objektivita má múzický a tragický počátek daný zakládající činnosti božských Múz</w:t>
      </w:r>
      <w:r w:rsidR="00DA5D84" w:rsidRPr="003D1E07">
        <w:t xml:space="preserve">. </w:t>
      </w:r>
      <w:r w:rsidR="007C7AA7" w:rsidRPr="003D1E07">
        <w:t>Archegetická a princ</w:t>
      </w:r>
      <w:r w:rsidR="002A5A91" w:rsidRPr="003D1E07">
        <w:t xml:space="preserve">ipiální donace bytí zakládá </w:t>
      </w:r>
      <w:r w:rsidR="002A5A91" w:rsidRPr="003D1E07">
        <w:rPr>
          <w:i/>
        </w:rPr>
        <w:t>dativus metaphysi</w:t>
      </w:r>
      <w:r w:rsidR="007C7AA7" w:rsidRPr="003D1E07">
        <w:rPr>
          <w:i/>
        </w:rPr>
        <w:t>cus</w:t>
      </w:r>
      <w:r w:rsidR="002A5A91" w:rsidRPr="003D1E07">
        <w:t xml:space="preserve">, protože </w:t>
      </w:r>
      <w:r w:rsidR="007C7AA7" w:rsidRPr="003D1E07">
        <w:t>opačně</w:t>
      </w:r>
      <w:r w:rsidR="002A5A91" w:rsidRPr="003D1E07">
        <w:t xml:space="preserve"> to nejde</w:t>
      </w:r>
      <w:r w:rsidR="007C7AA7" w:rsidRPr="003D1E07">
        <w:t xml:space="preserve">. </w:t>
      </w:r>
      <w:r w:rsidR="00DA5D84" w:rsidRPr="003D1E07">
        <w:t xml:space="preserve">Ipseita </w:t>
      </w:r>
      <w:r w:rsidR="007C7AA7" w:rsidRPr="003D1E07">
        <w:lastRenderedPageBreak/>
        <w:t xml:space="preserve">dějinného </w:t>
      </w:r>
      <w:r w:rsidR="00DA5D84" w:rsidRPr="003D1E07">
        <w:t xml:space="preserve">počátku </w:t>
      </w:r>
      <w:r w:rsidR="003E42A7" w:rsidRPr="003D1E07">
        <w:t>(</w:t>
      </w:r>
      <w:r w:rsidR="003E42A7" w:rsidRPr="003D1E07">
        <w:rPr>
          <w:i/>
        </w:rPr>
        <w:t>Anfang</w:t>
      </w:r>
      <w:r w:rsidR="003E42A7" w:rsidRPr="003D1E07">
        <w:t xml:space="preserve">) </w:t>
      </w:r>
      <w:r w:rsidR="00DA5D84" w:rsidRPr="003D1E07">
        <w:t xml:space="preserve">není </w:t>
      </w:r>
      <w:r w:rsidR="007C7AA7" w:rsidRPr="003D1E07">
        <w:t xml:space="preserve">historická </w:t>
      </w:r>
      <w:r w:rsidR="00DA5D84" w:rsidRPr="003D1E07">
        <w:t>identita druhotného začátku</w:t>
      </w:r>
      <w:r w:rsidR="003E42A7" w:rsidRPr="003D1E07">
        <w:t xml:space="preserve"> (</w:t>
      </w:r>
      <w:r w:rsidR="003E42A7" w:rsidRPr="003D1E07">
        <w:rPr>
          <w:i/>
        </w:rPr>
        <w:t>Beginn</w:t>
      </w:r>
      <w:r w:rsidR="003E42A7" w:rsidRPr="003D1E07">
        <w:t>)</w:t>
      </w:r>
      <w:r w:rsidR="00DA5D84" w:rsidRPr="003D1E07">
        <w:t>. P</w:t>
      </w:r>
      <w:r w:rsidR="08AF1D7E" w:rsidRPr="003D1E07">
        <w:t xml:space="preserve">ůvodní podoba pravdy </w:t>
      </w:r>
      <w:r w:rsidR="088F62BB" w:rsidRPr="003D1E07">
        <w:t xml:space="preserve">v modu apollinské ipseity </w:t>
      </w:r>
      <w:r w:rsidR="08AF1D7E" w:rsidRPr="003D1E07">
        <w:t xml:space="preserve">vyvedla metafyziku z dějinné skrytosti do viditelných dějin myšlení. </w:t>
      </w:r>
      <w:r w:rsidR="08D47314" w:rsidRPr="003D1E07">
        <w:t>Božská p</w:t>
      </w:r>
      <w:r w:rsidR="088F62BB" w:rsidRPr="003D1E07">
        <w:t xml:space="preserve">ravda </w:t>
      </w:r>
      <w:r w:rsidR="08D47314" w:rsidRPr="003D1E07">
        <w:t xml:space="preserve">v modu </w:t>
      </w:r>
      <w:r w:rsidR="08D47314" w:rsidRPr="003D1E07">
        <w:rPr>
          <w:i/>
        </w:rPr>
        <w:t>ipse</w:t>
      </w:r>
      <w:r w:rsidR="009F400D" w:rsidRPr="003D1E07">
        <w:rPr>
          <w:i/>
          <w:szCs w:val="24"/>
        </w:rPr>
        <w:fldChar w:fldCharType="begin"/>
      </w:r>
      <w:r w:rsidR="009F400D" w:rsidRPr="003D1E07">
        <w:instrText xml:space="preserve"> XE "</w:instrText>
      </w:r>
      <w:r w:rsidR="009F400D" w:rsidRPr="003D1E07">
        <w:rPr>
          <w:i/>
          <w:szCs w:val="24"/>
        </w:rPr>
        <w:instrText>ipse/idem</w:instrText>
      </w:r>
      <w:r w:rsidR="009F400D" w:rsidRPr="003D1E07">
        <w:instrText xml:space="preserve">" </w:instrText>
      </w:r>
      <w:r w:rsidR="009F400D" w:rsidRPr="003D1E07">
        <w:rPr>
          <w:i/>
          <w:szCs w:val="24"/>
        </w:rPr>
        <w:fldChar w:fldCharType="end"/>
      </w:r>
      <w:r w:rsidR="08D47314" w:rsidRPr="003D1E07">
        <w:t xml:space="preserve"> </w:t>
      </w:r>
      <w:r w:rsidR="088F62BB" w:rsidRPr="003D1E07">
        <w:t>nám nepatří</w:t>
      </w:r>
      <w:r w:rsidR="086A5724" w:rsidRPr="003D1E07">
        <w:t xml:space="preserve"> a nejsme jejími pány. </w:t>
      </w:r>
      <w:r w:rsidR="085D1BCC" w:rsidRPr="003D1E07">
        <w:t xml:space="preserve">Manipulovat můžeme pouze </w:t>
      </w:r>
      <w:r w:rsidR="00E35D0A" w:rsidRPr="003D1E07">
        <w:t xml:space="preserve">subjektivní </w:t>
      </w:r>
      <w:r w:rsidR="085D1BCC" w:rsidRPr="003D1E07">
        <w:t xml:space="preserve">pravdu v modu </w:t>
      </w:r>
      <w:r w:rsidR="085D1BCC" w:rsidRPr="003D1E07">
        <w:rPr>
          <w:i/>
        </w:rPr>
        <w:t>idem</w:t>
      </w:r>
      <w:r w:rsidR="085D1BCC" w:rsidRPr="003D1E07">
        <w:t xml:space="preserve">. </w:t>
      </w:r>
      <w:r w:rsidR="086A5724" w:rsidRPr="003D1E07">
        <w:t>M</w:t>
      </w:r>
      <w:r w:rsidR="088F62BB" w:rsidRPr="003D1E07">
        <w:t>oudří lidé sledují původní dění pravdy a chtějí existovat v plnost</w:t>
      </w:r>
      <w:r w:rsidR="08283030" w:rsidRPr="003D1E07">
        <w:t>i</w:t>
      </w:r>
      <w:r w:rsidR="088F62BB" w:rsidRPr="003D1E07">
        <w:t xml:space="preserve"> </w:t>
      </w:r>
      <w:r w:rsidR="08283030" w:rsidRPr="003D1E07">
        <w:t xml:space="preserve">ipseitně </w:t>
      </w:r>
      <w:r w:rsidR="088F62BB" w:rsidRPr="003D1E07">
        <w:t xml:space="preserve">dané pravdy. </w:t>
      </w:r>
      <w:r w:rsidR="08497D4E" w:rsidRPr="003D1E07">
        <w:t>Tento a</w:t>
      </w:r>
      <w:r w:rsidR="08555451" w:rsidRPr="003D1E07">
        <w:t xml:space="preserve">rchaický celek bytí a myšlení tvoří souhra původní skrytosti a odkrytosti </w:t>
      </w:r>
      <w:r w:rsidR="006D7377" w:rsidRPr="003D1E07">
        <w:rPr>
          <w:noProof w:val="0"/>
        </w:rPr>
        <w:t>(</w:t>
      </w:r>
      <w:r w:rsidR="006D7377" w:rsidRPr="003D1E07">
        <w:rPr>
          <w:i/>
          <w:noProof w:val="0"/>
        </w:rPr>
        <w:t>a/létheia</w:t>
      </w:r>
      <w:r w:rsidR="009F400D" w:rsidRPr="003D1E07">
        <w:rPr>
          <w:i/>
          <w:noProof w:val="0"/>
        </w:rPr>
        <w:fldChar w:fldCharType="begin"/>
      </w:r>
      <w:r w:rsidR="009F400D" w:rsidRPr="003D1E07">
        <w:instrText xml:space="preserve"> XE "</w:instrText>
      </w:r>
      <w:r w:rsidR="009F400D" w:rsidRPr="003D1E07">
        <w:rPr>
          <w:i/>
          <w:noProof w:val="0"/>
        </w:rPr>
        <w:instrText>a/létheia</w:instrText>
      </w:r>
      <w:r w:rsidR="009F400D" w:rsidRPr="003D1E07">
        <w:instrText xml:space="preserve">" </w:instrText>
      </w:r>
      <w:r w:rsidR="009F400D" w:rsidRPr="003D1E07">
        <w:rPr>
          <w:i/>
          <w:noProof w:val="0"/>
        </w:rPr>
        <w:fldChar w:fldCharType="end"/>
      </w:r>
      <w:r w:rsidR="006D7377" w:rsidRPr="003D1E07">
        <w:rPr>
          <w:noProof w:val="0"/>
        </w:rPr>
        <w:t xml:space="preserve">) </w:t>
      </w:r>
      <w:r w:rsidR="08555451" w:rsidRPr="003D1E07">
        <w:t>daná skrze vidění věštců, rapsódů, tragiků a prvních filosofů. Pravdu a nepravdu celku spravují nesmrtelné Múzy a nadčasovou dějinnost</w:t>
      </w:r>
      <w:r w:rsidR="084337BD" w:rsidRPr="003D1E07">
        <w:fldChar w:fldCharType="begin"/>
      </w:r>
      <w:r w:rsidR="084337BD" w:rsidRPr="003D1E07">
        <w:instrText xml:space="preserve"> XE "dějinnost" </w:instrText>
      </w:r>
      <w:r w:rsidR="084337BD" w:rsidRPr="003D1E07">
        <w:fldChar w:fldCharType="end"/>
      </w:r>
      <w:r w:rsidR="08555451" w:rsidRPr="003D1E07">
        <w:t xml:space="preserve"> celku všeho zkoumají tehdy i dnes moudří lidé všech ras a národů. </w:t>
      </w:r>
      <w:r w:rsidRPr="003D1E07">
        <w:t xml:space="preserve">Zakládající dění dané archaickou souhrou bytí a myšlení předává do Platonovy metafyziky nově pojatý smysl </w:t>
      </w:r>
      <w:r w:rsidR="08555451" w:rsidRPr="003D1E07">
        <w:t xml:space="preserve">substance </w:t>
      </w:r>
      <w:r w:rsidR="08AF1D7E" w:rsidRPr="003D1E07">
        <w:t xml:space="preserve">v modu </w:t>
      </w:r>
      <w:r w:rsidR="08AF1D7E" w:rsidRPr="003D1E07">
        <w:rPr>
          <w:i/>
        </w:rPr>
        <w:t>idem</w:t>
      </w:r>
      <w:r w:rsidRPr="003D1E07">
        <w:t xml:space="preserve">. </w:t>
      </w:r>
      <w:r w:rsidR="080167CC" w:rsidRPr="003D1E07">
        <w:t xml:space="preserve">Ipseita bytí celku jsoucna daná v přímém vidění založila identitární vědění o substanci. </w:t>
      </w:r>
      <w:r w:rsidR="00A36984" w:rsidRPr="003D1E07">
        <w:t xml:space="preserve"> Je zásadně třeba udržovat kritický odstup od božské komedie prezentované metafyzikou. </w:t>
      </w:r>
      <w:r w:rsidRPr="003D1E07">
        <w:t xml:space="preserve">Hermeneutika </w:t>
      </w:r>
      <w:r w:rsidR="08AA5DC4" w:rsidRPr="003D1E07">
        <w:t xml:space="preserve">musí popsat přechod pravdy z archaického modu </w:t>
      </w:r>
      <w:r w:rsidR="08AA5DC4" w:rsidRPr="003D1E07">
        <w:rPr>
          <w:i/>
        </w:rPr>
        <w:t>ipse</w:t>
      </w:r>
      <w:r w:rsidR="08AA5DC4" w:rsidRPr="003D1E07">
        <w:t xml:space="preserve"> do metafyzického modu </w:t>
      </w:r>
      <w:r w:rsidR="08AA5DC4" w:rsidRPr="003D1E07">
        <w:rPr>
          <w:i/>
        </w:rPr>
        <w:t>idem</w:t>
      </w:r>
      <w:r w:rsidR="08AA5DC4" w:rsidRPr="003D1E07">
        <w:t xml:space="preserve">. </w:t>
      </w:r>
      <w:r w:rsidR="08A05C21" w:rsidRPr="003D1E07">
        <w:t>H</w:t>
      </w:r>
      <w:r w:rsidRPr="003D1E07">
        <w:t xml:space="preserve">ledání moudrosti </w:t>
      </w:r>
      <w:r w:rsidR="08AA5DC4" w:rsidRPr="003D1E07">
        <w:t>vidí původní dráhu ná</w:t>
      </w:r>
      <w:r w:rsidRPr="003D1E07">
        <w:t>hledu (</w:t>
      </w:r>
      <w:r w:rsidRPr="003D1E07">
        <w:rPr>
          <w:i/>
        </w:rPr>
        <w:t>Vor-blickbahn</w:t>
      </w:r>
      <w:r w:rsidRPr="003D1E07">
        <w:rPr>
          <w:i/>
        </w:rPr>
        <w:fldChar w:fldCharType="begin"/>
      </w:r>
      <w:r w:rsidRPr="003D1E07">
        <w:instrText xml:space="preserve"> XE "</w:instrText>
      </w:r>
      <w:r w:rsidRPr="003D1E07">
        <w:rPr>
          <w:i/>
        </w:rPr>
        <w:instrText>Vor-b</w:instrText>
      </w:r>
      <w:r w:rsidRPr="003D1E07">
        <w:rPr>
          <w:i/>
          <w:iCs/>
        </w:rPr>
        <w:instrText>lickbahn</w:instrText>
      </w:r>
      <w:r w:rsidRPr="003D1E07">
        <w:instrText xml:space="preserve">" </w:instrText>
      </w:r>
      <w:r w:rsidRPr="003D1E07">
        <w:rPr>
          <w:i/>
        </w:rPr>
        <w:fldChar w:fldCharType="end"/>
      </w:r>
      <w:r w:rsidRPr="003D1E07">
        <w:t>)</w:t>
      </w:r>
      <w:r w:rsidR="081A4B3F" w:rsidRPr="003D1E07">
        <w:t xml:space="preserve"> na substanci v</w:t>
      </w:r>
      <w:r w:rsidR="08002FA1" w:rsidRPr="003D1E07">
        <w:t xml:space="preserve"> Sokratově </w:t>
      </w:r>
      <w:r w:rsidR="081A4B3F" w:rsidRPr="003D1E07">
        <w:t>otázce</w:t>
      </w:r>
      <w:r w:rsidR="088E4843" w:rsidRPr="003D1E07">
        <w:t>,</w:t>
      </w:r>
      <w:r w:rsidR="081A4B3F" w:rsidRPr="003D1E07">
        <w:t xml:space="preserve"> a ne v</w:t>
      </w:r>
      <w:r w:rsidR="088E4843" w:rsidRPr="003D1E07">
        <w:t xml:space="preserve"> Platonově </w:t>
      </w:r>
      <w:r w:rsidR="081A4B3F" w:rsidRPr="003D1E07">
        <w:t xml:space="preserve">technické odpovědi. Hermeneutika tím našla původní způsob, </w:t>
      </w:r>
      <w:r w:rsidRPr="003D1E07">
        <w:t xml:space="preserve">jak objektivita přichází </w:t>
      </w:r>
      <w:r w:rsidR="084E0204" w:rsidRPr="003D1E07">
        <w:t>do metafyziky.</w:t>
      </w:r>
      <w:r w:rsidR="08622FAC" w:rsidRPr="003D1E07">
        <w:t xml:space="preserve"> </w:t>
      </w:r>
      <w:r w:rsidRPr="003D1E07">
        <w:t xml:space="preserve">Každý jev odvozuje svou podstatu od místa původu, odkud začal dějinné působení. </w:t>
      </w:r>
      <w:r w:rsidR="08B230F1" w:rsidRPr="003D1E07">
        <w:t xml:space="preserve">Simulákrum </w:t>
      </w:r>
      <w:r w:rsidR="002B22A6" w:rsidRPr="003D1E07">
        <w:t>pravdy v platonské jeskyni</w:t>
      </w:r>
      <w:r w:rsidR="08B230F1" w:rsidRPr="003D1E07">
        <w:t xml:space="preserve"> vzniklo proto, že předtím existovala mystéria Eleusinií a orákula Delf. Toto původní pojetí pravdy se přesunulo do skryté </w:t>
      </w:r>
      <w:r w:rsidR="00381EBA" w:rsidRPr="003D1E07">
        <w:rPr>
          <w:i/>
        </w:rPr>
        <w:t>léthe</w:t>
      </w:r>
      <w:r w:rsidR="08B230F1" w:rsidRPr="003D1E07">
        <w:t xml:space="preserve"> a z</w:t>
      </w:r>
      <w:r w:rsidR="00D2765D" w:rsidRPr="003D1E07">
        <w:t xml:space="preserve"> ruin </w:t>
      </w:r>
      <w:r w:rsidR="08B230F1" w:rsidRPr="003D1E07">
        <w:t xml:space="preserve">Delf se stala turistická atrakce. </w:t>
      </w:r>
      <w:r w:rsidRPr="003D1E07">
        <w:t xml:space="preserve">Celek bytí a myšlení opatrovaný múzicky a tragicky odešel do skryté dějinnosti počátku. </w:t>
      </w:r>
      <w:r w:rsidR="005B1B01" w:rsidRPr="003D1E07">
        <w:rPr>
          <w:lang w:eastAsia="en-US"/>
        </w:rPr>
        <w:t xml:space="preserve">Původní dativ daný apollinsky </w:t>
      </w:r>
      <w:r w:rsidR="00FC36B4" w:rsidRPr="003D1E07">
        <w:rPr>
          <w:noProof w:val="0"/>
        </w:rPr>
        <w:t>(</w:t>
      </w:r>
      <w:r w:rsidR="00FC36B4" w:rsidRPr="003D1E07">
        <w:rPr>
          <w:i/>
          <w:noProof w:val="0"/>
        </w:rPr>
        <w:t>dativus archegeticus</w:t>
      </w:r>
      <w:r w:rsidR="00FC36B4" w:rsidRPr="003D1E07">
        <w:rPr>
          <w:noProof w:val="0"/>
        </w:rPr>
        <w:t xml:space="preserve">) </w:t>
      </w:r>
      <w:r w:rsidR="005B1B01" w:rsidRPr="003D1E07">
        <w:rPr>
          <w:lang w:eastAsia="en-US"/>
        </w:rPr>
        <w:t xml:space="preserve">má v první filosofii principálně zakládající charakter </w:t>
      </w:r>
      <w:r w:rsidR="005B1B01" w:rsidRPr="003D1E07">
        <w:t>(</w:t>
      </w:r>
      <w:r w:rsidR="005B1B01" w:rsidRPr="003D1E07">
        <w:rPr>
          <w:i/>
        </w:rPr>
        <w:t>dativus principalis</w:t>
      </w:r>
      <w:r w:rsidR="005B1B01" w:rsidRPr="003D1E07">
        <w:rPr>
          <w:i/>
        </w:rPr>
        <w:fldChar w:fldCharType="begin"/>
      </w:r>
      <w:r w:rsidR="005B1B01" w:rsidRPr="003D1E07">
        <w:instrText xml:space="preserve"> XE "</w:instrText>
      </w:r>
      <w:r w:rsidR="005B1B01" w:rsidRPr="003D1E07">
        <w:rPr>
          <w:i/>
        </w:rPr>
        <w:instrText>dativus principalis</w:instrText>
      </w:r>
      <w:r w:rsidR="005B1B01" w:rsidRPr="003D1E07">
        <w:instrText xml:space="preserve">" </w:instrText>
      </w:r>
      <w:r w:rsidR="005B1B01" w:rsidRPr="003D1E07">
        <w:rPr>
          <w:i/>
        </w:rPr>
        <w:fldChar w:fldCharType="end"/>
      </w:r>
      <w:r w:rsidR="005B1B01" w:rsidRPr="003D1E07">
        <w:t xml:space="preserve">) jednak kvůli dějinnému a civilizačnímu významu Delf a jednak kvůli Sokratovu hledání pravdy vedenému apollinským mystériem. </w:t>
      </w:r>
      <w:r w:rsidR="00D2765D" w:rsidRPr="003D1E07">
        <w:t xml:space="preserve">Současné studie </w:t>
      </w:r>
      <w:r w:rsidR="00D2765D" w:rsidRPr="003D1E07">
        <w:rPr>
          <w:lang w:eastAsia="en-US"/>
        </w:rPr>
        <w:t>ukázaly</w:t>
      </w:r>
      <w:r w:rsidR="005B1B01" w:rsidRPr="003D1E07">
        <w:rPr>
          <w:lang w:eastAsia="en-US"/>
        </w:rPr>
        <w:t xml:space="preserve"> zásadní a skrytý význam Delf pro civilizaci středomořského prostoru </w:t>
      </w:r>
      <w:r w:rsidR="003E6086" w:rsidRPr="003D1E07">
        <w:rPr>
          <w:lang w:eastAsia="en-US"/>
        </w:rPr>
        <w:t xml:space="preserve">utvářeného v </w:t>
      </w:r>
      <w:r w:rsidR="005B1B01" w:rsidRPr="003D1E07">
        <w:rPr>
          <w:lang w:eastAsia="en-US"/>
        </w:rPr>
        <w:t>podob</w:t>
      </w:r>
      <w:r w:rsidR="003E6086" w:rsidRPr="003D1E07">
        <w:rPr>
          <w:lang w:eastAsia="en-US"/>
        </w:rPr>
        <w:t>ě</w:t>
      </w:r>
      <w:r w:rsidR="005B1B01" w:rsidRPr="003D1E07">
        <w:rPr>
          <w:lang w:eastAsia="en-US"/>
        </w:rPr>
        <w:t xml:space="preserve"> </w:t>
      </w:r>
      <w:r w:rsidR="005B1B01" w:rsidRPr="003D1E07">
        <w:rPr>
          <w:i/>
          <w:lang w:eastAsia="en-US"/>
        </w:rPr>
        <w:t>Magna Graecia</w:t>
      </w:r>
      <w:r w:rsidR="005B1B01" w:rsidRPr="003D1E07">
        <w:rPr>
          <w:i/>
          <w:lang w:eastAsia="en-US"/>
        </w:rPr>
        <w:fldChar w:fldCharType="begin"/>
      </w:r>
      <w:r w:rsidR="005B1B01" w:rsidRPr="003D1E07">
        <w:instrText xml:space="preserve"> XE "</w:instrText>
      </w:r>
      <w:r w:rsidR="005B1B01" w:rsidRPr="003D1E07">
        <w:rPr>
          <w:i/>
          <w:lang w:eastAsia="en-US"/>
        </w:rPr>
        <w:instrText>Magna Graecia</w:instrText>
      </w:r>
      <w:r w:rsidR="005B1B01" w:rsidRPr="003D1E07">
        <w:instrText xml:space="preserve">" </w:instrText>
      </w:r>
      <w:r w:rsidR="005B1B01" w:rsidRPr="003D1E07">
        <w:rPr>
          <w:i/>
          <w:lang w:eastAsia="en-US"/>
        </w:rPr>
        <w:fldChar w:fldCharType="end"/>
      </w:r>
      <w:r w:rsidR="005B1B01" w:rsidRPr="003D1E07">
        <w:rPr>
          <w:lang w:eastAsia="en-US"/>
        </w:rPr>
        <w:t>.</w:t>
      </w:r>
      <w:r w:rsidR="005B1B01" w:rsidRPr="003D1E07">
        <w:rPr>
          <w:rStyle w:val="Znakapoznpodarou"/>
          <w:lang w:eastAsia="en-US"/>
        </w:rPr>
        <w:footnoteReference w:id="18"/>
      </w:r>
      <w:r w:rsidR="005B1B01" w:rsidRPr="003D1E07">
        <w:t xml:space="preserve"> </w:t>
      </w:r>
      <w:r w:rsidR="003922D7" w:rsidRPr="003D1E07">
        <w:t>H</w:t>
      </w:r>
      <w:r w:rsidR="005B1B01" w:rsidRPr="003D1E07">
        <w:t>ermeneutika musí metodologicky sledova</w:t>
      </w:r>
      <w:r w:rsidR="003922D7" w:rsidRPr="003D1E07">
        <w:t>t sémantická znamení daná Apollo</w:t>
      </w:r>
      <w:r w:rsidR="005B1B01" w:rsidRPr="003D1E07">
        <w:t xml:space="preserve">nem, což rozvede další kapitola. Stejně jako to dělal v Athénách Sokrates, i hermeneutika musí vzhledem k objektivitě položit správné otázky, aby vynikla její sofistická a </w:t>
      </w:r>
      <w:r w:rsidR="003922D7" w:rsidRPr="003D1E07">
        <w:t xml:space="preserve">ambivalentní </w:t>
      </w:r>
      <w:r w:rsidR="005B1B01" w:rsidRPr="003D1E07">
        <w:t xml:space="preserve">povaha. Identita objektivity v sobě skrývá původní </w:t>
      </w:r>
      <w:r w:rsidR="005B1B01" w:rsidRPr="003D1E07">
        <w:lastRenderedPageBreak/>
        <w:t xml:space="preserve">temnotu </w:t>
      </w:r>
      <w:r w:rsidR="00CD1240">
        <w:t xml:space="preserve">danou v modu archaického </w:t>
      </w:r>
      <w:r w:rsidR="00CD1240" w:rsidRPr="00CD1240">
        <w:rPr>
          <w:i/>
        </w:rPr>
        <w:t>ipse</w:t>
      </w:r>
      <w:r w:rsidR="00CD1240">
        <w:t xml:space="preserve">, což je </w:t>
      </w:r>
      <w:r w:rsidR="005B1B01" w:rsidRPr="003D1E07">
        <w:t>skryté působení počátku sokratovské pravdy dané orákulem z Delf. Moudrost daná v modu Jiného má charakter dynamické ipseity</w:t>
      </w:r>
      <w:r w:rsidR="005B1B01" w:rsidRPr="003D1E07">
        <w:fldChar w:fldCharType="begin"/>
      </w:r>
      <w:r w:rsidR="005B1B01" w:rsidRPr="003D1E07">
        <w:instrText xml:space="preserve"> XE "ipseita" </w:instrText>
      </w:r>
      <w:r w:rsidR="005B1B01" w:rsidRPr="003D1E07">
        <w:fldChar w:fldCharType="end"/>
      </w:r>
      <w:r w:rsidR="005B1B01" w:rsidRPr="003D1E07">
        <w:t>, protože sleduje dosud neznámou cestu Apollóna Archegeta. Metafyzická identita jsoucna není archaická ipseita bytí, proto</w:t>
      </w:r>
      <w:r w:rsidR="00576FA9">
        <w:t>že</w:t>
      </w:r>
      <w:r w:rsidR="005B1B01" w:rsidRPr="003D1E07">
        <w:t xml:space="preserve"> </w:t>
      </w:r>
      <w:r w:rsidR="00783437">
        <w:t>nemají stejné pojetí pravdy</w:t>
      </w:r>
      <w:r w:rsidR="005B1B01" w:rsidRPr="003D1E07">
        <w:t xml:space="preserve">. Božská komedie objektivního myšlení začíná v momentu, kdy Platon poslal do minulosti Sokratovu moudrost napojenou na apollinské mystérium Delf. Nejmoudřejší ze všech smrtelníků se stal </w:t>
      </w:r>
      <w:r w:rsidR="00483A34" w:rsidRPr="003D1E07">
        <w:t xml:space="preserve">platonským </w:t>
      </w:r>
      <w:r w:rsidR="005B1B01" w:rsidRPr="003D1E07">
        <w:t xml:space="preserve">metafyzikem a tímto </w:t>
      </w:r>
      <w:r w:rsidR="008972C9" w:rsidRPr="003D1E07">
        <w:t xml:space="preserve">politováníhodným </w:t>
      </w:r>
      <w:r w:rsidR="005B1B01" w:rsidRPr="003D1E07">
        <w:t xml:space="preserve">způsobem </w:t>
      </w:r>
      <w:r w:rsidR="00AE6DC9" w:rsidRPr="003D1E07">
        <w:t>utváří filosofické dějiny</w:t>
      </w:r>
      <w:r w:rsidR="005B1B01" w:rsidRPr="003D1E07">
        <w:t xml:space="preserve"> moderny. Platonův moderní mýtus o jeskyni překryl působení delfského mystéria</w:t>
      </w:r>
      <w:r w:rsidR="00483A34" w:rsidRPr="003D1E07">
        <w:t xml:space="preserve">. To </w:t>
      </w:r>
      <w:r w:rsidR="005B1B01" w:rsidRPr="003D1E07">
        <w:t>mluvilo skrze temnot</w:t>
      </w:r>
      <w:r w:rsidR="00483A34" w:rsidRPr="003D1E07">
        <w:t>u archaické jeskyně, v níž dlely</w:t>
      </w:r>
      <w:r w:rsidR="005B1B01" w:rsidRPr="003D1E07">
        <w:t xml:space="preserve"> Pýthie. Původní modus poznání vztaženého k donaci dějinně daného bytí skrze mystéria a skrze archaické pojetí pravdy přešel do epochální </w:t>
      </w:r>
      <w:r w:rsidR="00381EBA" w:rsidRPr="003D1E07">
        <w:rPr>
          <w:i/>
        </w:rPr>
        <w:t>léthe</w:t>
      </w:r>
      <w:r w:rsidR="005B1B01" w:rsidRPr="003D1E07">
        <w:t xml:space="preserve">. Metafyzika vytěsnila Sokratovo hledání moudrosti vlastní mytopoetikou a tu začala vydávat za stejně závazné hledání pravdy jako byla Sokratova tragická pravdivost. Matematicky založená filosofie Platona přežila zdatnost sofistů a jeho škola </w:t>
      </w:r>
      <w:r w:rsidR="000F2329" w:rsidRPr="003D1E07">
        <w:t xml:space="preserve">založená </w:t>
      </w:r>
      <w:r w:rsidR="005B1B01" w:rsidRPr="003D1E07">
        <w:t xml:space="preserve">v háji boha Akadéma </w:t>
      </w:r>
      <w:r w:rsidR="000F700A" w:rsidRPr="003D1E07">
        <w:t xml:space="preserve">dodnes </w:t>
      </w:r>
      <w:r w:rsidR="000F2329" w:rsidRPr="003D1E07">
        <w:t>diktuje normy</w:t>
      </w:r>
      <w:r w:rsidR="005B1B01" w:rsidRPr="003D1E07">
        <w:t xml:space="preserve"> </w:t>
      </w:r>
      <w:r w:rsidR="000F2329" w:rsidRPr="003D1E07">
        <w:t xml:space="preserve">pravdivého </w:t>
      </w:r>
      <w:r w:rsidR="005B1B01" w:rsidRPr="003D1E07">
        <w:t xml:space="preserve">vědění. </w:t>
      </w:r>
      <w:r w:rsidR="005D4BA1" w:rsidRPr="0034228E">
        <w:t xml:space="preserve">Skutečná Sokratova moudrost oddělila </w:t>
      </w:r>
      <w:r w:rsidR="005D4BA1" w:rsidRPr="003D1E07">
        <w:t xml:space="preserve">apollinskou pravdu </w:t>
      </w:r>
      <w:r w:rsidR="005D4BA1" w:rsidRPr="0034228E">
        <w:t>od klamu mo</w:t>
      </w:r>
      <w:r w:rsidR="005D4BA1">
        <w:t>derny, kterou představoval Plato</w:t>
      </w:r>
      <w:r w:rsidR="005D4BA1" w:rsidRPr="0034228E">
        <w:t>n.</w:t>
      </w:r>
      <w:r w:rsidR="005D4BA1">
        <w:t xml:space="preserve"> Sokratova </w:t>
      </w:r>
      <w:r w:rsidR="005D4BA1" w:rsidRPr="003D1E07">
        <w:t>smrt uzavřela etapu múzické odhalenosti bytí a myšlení</w:t>
      </w:r>
      <w:r w:rsidR="005D4BA1">
        <w:t>, která charakterizuje etapu první filosofie</w:t>
      </w:r>
      <w:r w:rsidR="005D4BA1" w:rsidRPr="003D1E07">
        <w:t xml:space="preserve">. Nauka Platóna přestala být </w:t>
      </w:r>
      <w:r w:rsidR="005D4BA1">
        <w:t>původní první filosofií</w:t>
      </w:r>
      <w:r w:rsidR="005D4BA1" w:rsidRPr="003D1E07">
        <w:t xml:space="preserve"> a stala se technikou myšlení. Metafyzická odkrytost daná trvale zářivou přítomností idejí vytěsnila múzické a tragické pojetí pravdy, jehož duchovním centrem byly Delfy. Akademické vědění je založeno na ideologickém a pedagogickém pojetí pravdy, kterou střeží moderní ilumináti jako epochálně cenný poklad vědění. Výklad jde k božské po-odkrytosti (</w:t>
      </w:r>
      <w:r w:rsidR="005D4BA1" w:rsidRPr="003D1E07">
        <w:rPr>
          <w:i/>
        </w:rPr>
        <w:t>a/létheia</w:t>
      </w:r>
      <w:r w:rsidR="005D4BA1" w:rsidRPr="003D1E07">
        <w:t xml:space="preserve">) dané skrze věštce, rapsódy, tragiky a první filosofy. Esej zkoumá </w:t>
      </w:r>
      <w:r w:rsidR="005D4BA1">
        <w:t>devalv</w:t>
      </w:r>
      <w:r w:rsidR="005D4BA1" w:rsidRPr="003D1E07">
        <w:t xml:space="preserve">aci pravdy na metafyzickou adekvaci a nakonec na objektivní </w:t>
      </w:r>
      <w:r w:rsidR="005D4BA1" w:rsidRPr="003D1E07">
        <w:rPr>
          <w:i/>
        </w:rPr>
        <w:t>veritas</w:t>
      </w:r>
      <w:r w:rsidR="005D4BA1" w:rsidRPr="003D1E07">
        <w:t xml:space="preserve">. Výklad se neptá, „co“ je objektivita zkoumaná v systému pozitivistické </w:t>
      </w:r>
      <w:r w:rsidR="005D4BA1" w:rsidRPr="003D1E07">
        <w:rPr>
          <w:i/>
        </w:rPr>
        <w:t>Problemgeschichte</w:t>
      </w:r>
      <w:r w:rsidR="005D4BA1" w:rsidRPr="003D1E07">
        <w:t>. Zkoumání objektivity v rámci objektivismu zavedlo současné myšlení do začarovaného kruhu. Nietzsche a Heidegger ukázali, že objektivismus není schopen kriticky vnímat vlastní předsudky. Slepota moderny vůči vlastnímu počatku je určena metafyzickou dráhou předchůdného náhledu. Původní smysl bytí je stále daný skrze archaické pojetí pravdy, i když působení božských sil není objektivně vidět. Objektivní myšlení nemůže změnit vlastní počátek. Hermeneutika hledá původní způsob, jak pravda jako ideově pojatá sprá</w:t>
      </w:r>
      <w:r w:rsidR="005D4BA1">
        <w:t>vnost utváří dějiny metafyziky.</w:t>
      </w:r>
    </w:p>
    <w:p w14:paraId="757058D6" w14:textId="77777777" w:rsidR="0808553D" w:rsidRPr="003D1E07" w:rsidRDefault="08CD7B7D" w:rsidP="0808553D">
      <w:pPr>
        <w:pStyle w:val="Nadpis2"/>
        <w:rPr>
          <w:lang w:val="cs-CZ"/>
        </w:rPr>
      </w:pPr>
      <w:r w:rsidRPr="003D1E07">
        <w:rPr>
          <w:lang w:val="cs-CZ"/>
        </w:rPr>
        <w:br w:type="page"/>
      </w:r>
      <w:bookmarkStart w:id="11" w:name="_Toc93747267"/>
      <w:bookmarkStart w:id="12" w:name="_Toc102906157"/>
      <w:r w:rsidR="0808553D" w:rsidRPr="003D1E07">
        <w:rPr>
          <w:lang w:val="cs-CZ"/>
        </w:rPr>
        <w:lastRenderedPageBreak/>
        <w:t xml:space="preserve">1.1 Triadická struktura </w:t>
      </w:r>
      <w:r w:rsidR="00D50960" w:rsidRPr="003D1E07">
        <w:rPr>
          <w:lang w:val="cs-CZ"/>
        </w:rPr>
        <w:t>hermeneutiky</w:t>
      </w:r>
      <w:bookmarkEnd w:id="11"/>
      <w:bookmarkEnd w:id="12"/>
    </w:p>
    <w:p w14:paraId="0EB8E5EB" w14:textId="30443BD5" w:rsidR="004E56C3" w:rsidRDefault="08C35585" w:rsidP="005D4BA1">
      <w:r w:rsidRPr="003D1E07">
        <w:t>Platon</w:t>
      </w:r>
      <w:r w:rsidR="00CE7CC6" w:rsidRPr="003D1E07">
        <w:t>ovo</w:t>
      </w:r>
      <w:r w:rsidRPr="003D1E07">
        <w:t xml:space="preserve"> simulákrum Sokratovy moudrosti</w:t>
      </w:r>
      <w:r w:rsidR="00CE7CC6" w:rsidRPr="003D1E07">
        <w:t xml:space="preserve"> nebylo možné akademicky </w:t>
      </w:r>
      <w:r w:rsidR="00A73CD5" w:rsidRPr="003D1E07">
        <w:t>u</w:t>
      </w:r>
      <w:r w:rsidR="00CE7CC6" w:rsidRPr="003D1E07">
        <w:t>bránit</w:t>
      </w:r>
      <w:r w:rsidR="004457C5">
        <w:t xml:space="preserve"> </w:t>
      </w:r>
      <w:r w:rsidR="00407398">
        <w:t>v dlouho</w:t>
      </w:r>
      <w:r w:rsidR="00610082">
        <w:t>do</w:t>
      </w:r>
      <w:r w:rsidR="00407398">
        <w:t>bé perspektivě</w:t>
      </w:r>
      <w:r w:rsidR="00CE7CC6" w:rsidRPr="003D1E07">
        <w:t xml:space="preserve">. Platonův žák </w:t>
      </w:r>
      <w:r w:rsidR="087A168B" w:rsidRPr="003D1E07">
        <w:t xml:space="preserve">a </w:t>
      </w:r>
      <w:r w:rsidR="00FD49C1">
        <w:t xml:space="preserve">jeho </w:t>
      </w:r>
      <w:r w:rsidR="087A168B" w:rsidRPr="003D1E07">
        <w:t xml:space="preserve">zásadní kritik </w:t>
      </w:r>
      <w:r w:rsidRPr="003D1E07">
        <w:t xml:space="preserve">vzal jako základ moudrosti reálné vztahy v polis, reálnou existenci živých bytostí </w:t>
      </w:r>
      <w:r w:rsidR="000532F7" w:rsidRPr="003D1E07">
        <w:t>ve světě vnímaném</w:t>
      </w:r>
      <w:r w:rsidRPr="003D1E07">
        <w:t xml:space="preserve"> smyslově. </w:t>
      </w:r>
      <w:r w:rsidR="085C31B8" w:rsidRPr="003D1E07">
        <w:t>Aristoteles po vzoru Sokrata následoval příklad znalců lidské povahy (</w:t>
      </w:r>
      <w:r w:rsidR="001739C2" w:rsidRPr="003D1E07">
        <w:rPr>
          <w:i/>
        </w:rPr>
        <w:t>hísto</w:t>
      </w:r>
      <w:r w:rsidR="085C31B8" w:rsidRPr="003D1E07">
        <w:rPr>
          <w:i/>
        </w:rPr>
        <w:t>r</w:t>
      </w:r>
      <w:r w:rsidR="08EC4148" w:rsidRPr="003D1E07">
        <w:t>)</w:t>
      </w:r>
      <w:r w:rsidR="085C31B8" w:rsidRPr="003D1E07">
        <w:t xml:space="preserve">. </w:t>
      </w:r>
      <w:r w:rsidRPr="003D1E07">
        <w:t xml:space="preserve">Moudrý člověk poznává věci proto, že aktuálně existují a že účinně působí v realitě. </w:t>
      </w:r>
      <w:r w:rsidR="08CB6FAA" w:rsidRPr="003D1E07">
        <w:t>Bytí bylo opět uchopeno skrze perfektum vidění</w:t>
      </w:r>
      <w:r w:rsidR="08652E44" w:rsidRPr="003D1E07">
        <w:t xml:space="preserve"> a vědění</w:t>
      </w:r>
      <w:r w:rsidR="08CB6FAA" w:rsidRPr="003D1E07">
        <w:t xml:space="preserve">, ale jinak než u Platona. </w:t>
      </w:r>
      <w:r w:rsidR="001F38BA" w:rsidRPr="003D1E07">
        <w:t>Arist</w:t>
      </w:r>
      <w:r w:rsidR="001F38BA">
        <w:t>ot</w:t>
      </w:r>
      <w:r w:rsidR="001F38BA" w:rsidRPr="003D1E07">
        <w:t xml:space="preserve">eles definoval charakter substance podle donace jsoucnosti v dativu (τό τί, </w:t>
      </w:r>
      <w:r w:rsidR="001F38BA" w:rsidRPr="003D1E07">
        <w:rPr>
          <w:i/>
        </w:rPr>
        <w:t>quo est</w:t>
      </w:r>
      <w:r w:rsidR="001F38BA" w:rsidRPr="003D1E07">
        <w:t>), která zakládá akt bytí individuálního jsoucna.</w:t>
      </w:r>
      <w:r w:rsidR="00F30631">
        <w:t xml:space="preserve"> </w:t>
      </w:r>
      <w:r w:rsidR="08F82C56" w:rsidRPr="003D1E07">
        <w:t xml:space="preserve">Zkoumání v </w:t>
      </w:r>
      <w:r w:rsidR="08815644" w:rsidRPr="003D1E07">
        <w:rPr>
          <w:i/>
        </w:rPr>
        <w:t>Metafyzice</w:t>
      </w:r>
      <w:r w:rsidR="08F82C56" w:rsidRPr="003D1E07">
        <w:t xml:space="preserve"> </w:t>
      </w:r>
      <w:r w:rsidR="08F82C56" w:rsidRPr="003D1E07">
        <w:rPr>
          <w:i/>
        </w:rPr>
        <w:t>Z</w:t>
      </w:r>
      <w:r w:rsidR="08F82C56" w:rsidRPr="003D1E07">
        <w:t xml:space="preserve"> hledá </w:t>
      </w:r>
      <w:r w:rsidR="08815644" w:rsidRPr="003D1E07">
        <w:t xml:space="preserve">způsob, jak jsoucno </w:t>
      </w:r>
      <w:r w:rsidR="002F716F" w:rsidRPr="003D1E07">
        <w:t xml:space="preserve">přichází ke svému </w:t>
      </w:r>
      <w:r w:rsidR="08815644" w:rsidRPr="003D1E07">
        <w:t xml:space="preserve">bytí. </w:t>
      </w:r>
      <w:r w:rsidR="08652E44" w:rsidRPr="003D1E07">
        <w:t>Nové pojetí substance vyšlo z Platonova zjevování jsoucna v aoristu vidění, které se stalo perfektním věděním</w:t>
      </w:r>
      <w:r w:rsidR="0852525E" w:rsidRPr="003D1E07">
        <w:t xml:space="preserve"> substance</w:t>
      </w:r>
      <w:r w:rsidR="00F30631">
        <w:t xml:space="preserve">. </w:t>
      </w:r>
      <w:r w:rsidR="005413B1" w:rsidRPr="003D1E07">
        <w:t>Jsoucno</w:t>
      </w:r>
      <w:r w:rsidR="0064722F" w:rsidRPr="003D1E07">
        <w:t>st</w:t>
      </w:r>
      <w:r w:rsidR="005413B1" w:rsidRPr="003D1E07">
        <w:t xml:space="preserve"> (a ne celek bytí) se manifestuje skrze </w:t>
      </w:r>
      <w:r w:rsidR="008D10D7" w:rsidRPr="003D1E07">
        <w:t>metafyzický dativ (</w:t>
      </w:r>
      <w:r w:rsidR="008D10D7" w:rsidRPr="003D1E07">
        <w:rPr>
          <w:i/>
        </w:rPr>
        <w:t>dativus metaphysicus</w:t>
      </w:r>
      <w:r w:rsidR="008D10D7" w:rsidRPr="003D1E07">
        <w:t xml:space="preserve">) </w:t>
      </w:r>
      <w:r w:rsidR="005413B1" w:rsidRPr="003D1E07">
        <w:t>v dále nedělitelné</w:t>
      </w:r>
      <w:r w:rsidR="08DB5832" w:rsidRPr="003D1E07">
        <w:t xml:space="preserve"> </w:t>
      </w:r>
      <w:r w:rsidR="005413B1" w:rsidRPr="003D1E07">
        <w:t xml:space="preserve">věci </w:t>
      </w:r>
      <w:r w:rsidR="08DB5832" w:rsidRPr="003D1E07">
        <w:t>dané zde a nyní (τόδε τι</w:t>
      </w:r>
      <w:r w:rsidR="006A4395" w:rsidRPr="003D1E07">
        <w:t xml:space="preserve">, </w:t>
      </w:r>
      <w:r w:rsidR="006A4395" w:rsidRPr="003D1E07">
        <w:rPr>
          <w:i/>
        </w:rPr>
        <w:t>quod est</w:t>
      </w:r>
      <w:r w:rsidR="00412639" w:rsidRPr="003D1E07">
        <w:t xml:space="preserve">). </w:t>
      </w:r>
      <w:r w:rsidR="003F6A1F" w:rsidRPr="003D1E07">
        <w:t>Rozdíl mezi „</w:t>
      </w:r>
      <w:r w:rsidR="00B75A22" w:rsidRPr="003D1E07">
        <w:rPr>
          <w:noProof w:val="0"/>
          <w:lang w:eastAsia="en-US"/>
        </w:rPr>
        <w:t xml:space="preserve">τό τί </w:t>
      </w:r>
      <w:r w:rsidR="00B75A22" w:rsidRPr="003D1E07">
        <w:rPr>
          <w:rFonts w:cs="Calibri"/>
          <w:noProof w:val="0"/>
          <w:lang w:eastAsia="en-US"/>
        </w:rPr>
        <w:t xml:space="preserve">— </w:t>
      </w:r>
      <w:r w:rsidR="00B75A22" w:rsidRPr="003D1E07">
        <w:rPr>
          <w:noProof w:val="0"/>
          <w:lang w:eastAsia="en-US"/>
        </w:rPr>
        <w:t>τόδε τι</w:t>
      </w:r>
      <w:r w:rsidR="003F6A1F" w:rsidRPr="003D1E07">
        <w:t>“ má zásadní charakter</w:t>
      </w:r>
      <w:r w:rsidR="003555C0" w:rsidRPr="003D1E07">
        <w:t xml:space="preserve">, </w:t>
      </w:r>
      <w:r w:rsidR="00AC3B5D" w:rsidRPr="003D1E07">
        <w:t>protože mění smysl původní donace určené principiálním dativem první filosofie</w:t>
      </w:r>
      <w:r w:rsidR="003F6A1F" w:rsidRPr="003D1E07">
        <w:t xml:space="preserve">. </w:t>
      </w:r>
      <w:r w:rsidR="00A776F3" w:rsidRPr="003D1E07">
        <w:t xml:space="preserve">Bytí přestalo bytovat </w:t>
      </w:r>
      <w:r w:rsidR="008A4962" w:rsidRPr="003D1E07">
        <w:t xml:space="preserve">v aktu původního </w:t>
      </w:r>
      <w:r w:rsidR="00F813EE" w:rsidRPr="003D1E07">
        <w:t xml:space="preserve">archaického </w:t>
      </w:r>
      <w:r w:rsidR="008A4962" w:rsidRPr="003D1E07">
        <w:t>celku</w:t>
      </w:r>
      <w:r w:rsidR="00F813EE" w:rsidRPr="003D1E07">
        <w:t xml:space="preserve"> (</w:t>
      </w:r>
      <w:r w:rsidR="00F813EE" w:rsidRPr="003D1E07">
        <w:rPr>
          <w:i/>
        </w:rPr>
        <w:t>tá ónta</w:t>
      </w:r>
      <w:r w:rsidR="00F813EE" w:rsidRPr="003D1E07">
        <w:rPr>
          <w:i/>
        </w:rPr>
        <w:fldChar w:fldCharType="begin"/>
      </w:r>
      <w:r w:rsidR="00F813EE" w:rsidRPr="003D1E07">
        <w:instrText xml:space="preserve"> XE "</w:instrText>
      </w:r>
      <w:r w:rsidR="00F813EE" w:rsidRPr="003D1E07">
        <w:rPr>
          <w:i/>
        </w:rPr>
        <w:instrText>tá ónta</w:instrText>
      </w:r>
      <w:r w:rsidR="00F813EE" w:rsidRPr="003D1E07">
        <w:instrText xml:space="preserve">" </w:instrText>
      </w:r>
      <w:r w:rsidR="00F813EE" w:rsidRPr="003D1E07">
        <w:rPr>
          <w:i/>
        </w:rPr>
        <w:fldChar w:fldCharType="end"/>
      </w:r>
      <w:r w:rsidR="00F813EE" w:rsidRPr="003D1E07">
        <w:t>)</w:t>
      </w:r>
      <w:r w:rsidR="008A4962" w:rsidRPr="003D1E07">
        <w:t xml:space="preserve"> </w:t>
      </w:r>
      <w:r w:rsidR="00A776F3" w:rsidRPr="003D1E07">
        <w:t xml:space="preserve">a změnilo </w:t>
      </w:r>
      <w:r w:rsidR="00F813EE" w:rsidRPr="003D1E07">
        <w:t xml:space="preserve">se </w:t>
      </w:r>
      <w:r w:rsidR="00A776F3" w:rsidRPr="003D1E07">
        <w:t>na jsoucí bytnost</w:t>
      </w:r>
      <w:r w:rsidR="008A4962" w:rsidRPr="003D1E07">
        <w:t xml:space="preserve"> danou jako individuální substance</w:t>
      </w:r>
      <w:r w:rsidR="00013BC5" w:rsidRPr="003D1E07">
        <w:t xml:space="preserve"> (</w:t>
      </w:r>
      <w:r w:rsidR="00013BC5" w:rsidRPr="003D1E07">
        <w:rPr>
          <w:i/>
        </w:rPr>
        <w:t>ousía</w:t>
      </w:r>
      <w:r w:rsidR="00013BC5" w:rsidRPr="003D1E07">
        <w:t>)</w:t>
      </w:r>
      <w:r w:rsidR="008A4962" w:rsidRPr="003D1E07">
        <w:t xml:space="preserve">. </w:t>
      </w:r>
      <w:r w:rsidR="08B5334E" w:rsidRPr="003D1E07">
        <w:t>Při predikaci reálné substance má původní událost přechodu bytí do zde a nyní bytujícího jsoucna pouze minulý charakter (τό τί ἦν εἶναι</w:t>
      </w:r>
      <w:r w:rsidR="08B5334E" w:rsidRPr="003D1E07">
        <w:fldChar w:fldCharType="begin"/>
      </w:r>
      <w:r w:rsidR="08B5334E" w:rsidRPr="003D1E07">
        <w:instrText xml:space="preserve"> XE "</w:instrText>
      </w:r>
      <w:r w:rsidR="08AD2D2B" w:rsidRPr="003D1E07">
        <w:instrText>substance:</w:instrText>
      </w:r>
      <w:r w:rsidR="08B5334E" w:rsidRPr="003D1E07">
        <w:instrText xml:space="preserve">τό τί ἦν εἶναι" </w:instrText>
      </w:r>
      <w:r w:rsidR="08B5334E" w:rsidRPr="003D1E07">
        <w:fldChar w:fldCharType="end"/>
      </w:r>
      <w:r w:rsidR="08B5334E" w:rsidRPr="003D1E07">
        <w:t xml:space="preserve">, </w:t>
      </w:r>
      <w:r w:rsidR="08B5334E" w:rsidRPr="003D1E07">
        <w:rPr>
          <w:i/>
        </w:rPr>
        <w:t>quidditas</w:t>
      </w:r>
      <w:r w:rsidR="08B5334E" w:rsidRPr="003D1E07">
        <w:rPr>
          <w:i/>
        </w:rPr>
        <w:fldChar w:fldCharType="begin"/>
      </w:r>
      <w:r w:rsidR="08B5334E" w:rsidRPr="003D1E07">
        <w:instrText xml:space="preserve"> XE "</w:instrText>
      </w:r>
      <w:r w:rsidR="08B5334E" w:rsidRPr="003D1E07">
        <w:rPr>
          <w:i/>
        </w:rPr>
        <w:instrText>quidditas</w:instrText>
      </w:r>
      <w:r w:rsidR="08B5334E" w:rsidRPr="003D1E07">
        <w:instrText xml:space="preserve">" </w:instrText>
      </w:r>
      <w:r w:rsidR="08B5334E" w:rsidRPr="003D1E07">
        <w:rPr>
          <w:i/>
        </w:rPr>
        <w:fldChar w:fldCharType="end"/>
      </w:r>
      <w:r w:rsidR="08B5334E" w:rsidRPr="003D1E07">
        <w:t xml:space="preserve">). </w:t>
      </w:r>
      <w:r w:rsidR="00F25C83" w:rsidRPr="003D1E07">
        <w:t xml:space="preserve">Přítomnost </w:t>
      </w:r>
      <w:r w:rsidR="081763AA" w:rsidRPr="003D1E07">
        <w:t xml:space="preserve">jsoucna </w:t>
      </w:r>
      <w:r w:rsidR="00CE5F90" w:rsidRPr="003D1E07">
        <w:t xml:space="preserve">v myšlení </w:t>
      </w:r>
      <w:r w:rsidR="081763AA" w:rsidRPr="003D1E07">
        <w:t>zachycuje „bytí jsoucna, které bylo</w:t>
      </w:r>
      <w:r w:rsidR="00A327B0">
        <w:t xml:space="preserve"> dáno</w:t>
      </w:r>
      <w:r w:rsidR="081763AA" w:rsidRPr="003D1E07">
        <w:t xml:space="preserve">“ (τό ἦν). </w:t>
      </w:r>
      <w:r w:rsidR="08472FFC" w:rsidRPr="003D1E07">
        <w:t xml:space="preserve">Poznání </w:t>
      </w:r>
      <w:r w:rsidR="00CE5F90" w:rsidRPr="003D1E07">
        <w:t xml:space="preserve">podle Aristotela </w:t>
      </w:r>
      <w:r w:rsidR="08472FFC" w:rsidRPr="003D1E07">
        <w:t>znamená, že reálná věc přešla do minulého modu</w:t>
      </w:r>
      <w:r w:rsidR="08E3487E" w:rsidRPr="003D1E07">
        <w:t>, protože v duši je reáln</w:t>
      </w:r>
      <w:r w:rsidR="08830184" w:rsidRPr="003D1E07">
        <w:t>ě přítomný jen její ideový náhled</w:t>
      </w:r>
      <w:r w:rsidR="00F25C83" w:rsidRPr="003D1E07">
        <w:t xml:space="preserve"> (</w:t>
      </w:r>
      <w:r w:rsidR="00F25C83" w:rsidRPr="003D1E07">
        <w:rPr>
          <w:i/>
        </w:rPr>
        <w:t>parousía</w:t>
      </w:r>
      <w:r w:rsidR="00F25C83" w:rsidRPr="003D1E07">
        <w:t>)</w:t>
      </w:r>
      <w:r w:rsidR="08472FFC" w:rsidRPr="003D1E07">
        <w:t xml:space="preserve">. </w:t>
      </w:r>
      <w:r w:rsidR="00F25C83" w:rsidRPr="003D1E07">
        <w:t>Adekvace uvnitř páru „</w:t>
      </w:r>
      <w:r w:rsidR="00F25C83" w:rsidRPr="003D1E07">
        <w:rPr>
          <w:i/>
          <w:lang w:eastAsia="en-US"/>
        </w:rPr>
        <w:t>ousía – parousía</w:t>
      </w:r>
      <w:r w:rsidR="006B7A2C" w:rsidRPr="003D1E07">
        <w:rPr>
          <w:i/>
          <w:lang w:eastAsia="en-US"/>
        </w:rPr>
        <w:fldChar w:fldCharType="begin"/>
      </w:r>
      <w:r w:rsidR="006B7A2C" w:rsidRPr="003D1E07">
        <w:instrText xml:space="preserve"> XE "</w:instrText>
      </w:r>
      <w:r w:rsidR="006B7A2C" w:rsidRPr="003D1E07">
        <w:rPr>
          <w:i/>
          <w:lang w:eastAsia="en-US"/>
        </w:rPr>
        <w:instrText>ousía/parousía</w:instrText>
      </w:r>
      <w:r w:rsidR="006B7A2C" w:rsidRPr="003D1E07">
        <w:instrText xml:space="preserve">" </w:instrText>
      </w:r>
      <w:r w:rsidR="006B7A2C" w:rsidRPr="003D1E07">
        <w:rPr>
          <w:i/>
          <w:lang w:eastAsia="en-US"/>
        </w:rPr>
        <w:fldChar w:fldCharType="end"/>
      </w:r>
      <w:r w:rsidR="00F25C83" w:rsidRPr="003D1E07">
        <w:rPr>
          <w:i/>
          <w:lang w:eastAsia="en-US"/>
        </w:rPr>
        <w:t>”</w:t>
      </w:r>
      <w:r w:rsidR="00F25C83" w:rsidRPr="003D1E07">
        <w:rPr>
          <w:lang w:eastAsia="en-US"/>
        </w:rPr>
        <w:t xml:space="preserve"> znamená, že herme</w:t>
      </w:r>
      <w:r w:rsidR="00C26949" w:rsidRPr="003D1E07">
        <w:rPr>
          <w:lang w:eastAsia="en-US"/>
        </w:rPr>
        <w:t>neu</w:t>
      </w:r>
      <w:r w:rsidR="00F25C83" w:rsidRPr="003D1E07">
        <w:rPr>
          <w:lang w:eastAsia="en-US"/>
        </w:rPr>
        <w:t xml:space="preserve">tika musí </w:t>
      </w:r>
      <w:r w:rsidR="08472FFC" w:rsidRPr="003D1E07">
        <w:t xml:space="preserve">přesně oddělit akt bytí věci </w:t>
      </w:r>
      <w:r w:rsidR="086A7E18" w:rsidRPr="003D1E07">
        <w:t xml:space="preserve">daný v minulosti </w:t>
      </w:r>
      <w:r w:rsidR="08472FFC" w:rsidRPr="003D1E07">
        <w:t>a akt jejího poznání</w:t>
      </w:r>
      <w:r w:rsidR="086A7E18" w:rsidRPr="003D1E07">
        <w:t xml:space="preserve"> daný v přítomnosti</w:t>
      </w:r>
      <w:r w:rsidR="00575695" w:rsidRPr="003D1E07">
        <w:t xml:space="preserve">. Vazba mezi minulou </w:t>
      </w:r>
      <w:r w:rsidR="00D0138F" w:rsidRPr="003D1E07">
        <w:t xml:space="preserve">existující </w:t>
      </w:r>
      <w:r w:rsidR="004023EC" w:rsidRPr="003D1E07">
        <w:t xml:space="preserve">první </w:t>
      </w:r>
      <w:r w:rsidR="08472FFC" w:rsidRPr="003D1E07">
        <w:t xml:space="preserve">substancí a parousijně přítomnou druhou substancí je naprosto těsná (τό ἦν εἶναι). </w:t>
      </w:r>
      <w:r w:rsidR="0014045A" w:rsidRPr="003D1E07">
        <w:t xml:space="preserve">Aristoteles </w:t>
      </w:r>
      <w:r w:rsidR="08472FFC" w:rsidRPr="003D1E07">
        <w:t xml:space="preserve">poznává to, co je reálné a proto je </w:t>
      </w:r>
      <w:r w:rsidR="005932A4" w:rsidRPr="003D1E07">
        <w:t>i pravdivě poznatelné</w:t>
      </w:r>
      <w:r w:rsidR="08472FFC" w:rsidRPr="003D1E07">
        <w:t xml:space="preserve">. </w:t>
      </w:r>
      <w:r w:rsidR="0837534D" w:rsidRPr="003D1E07">
        <w:t>Obojí ale nemůže existovat jako původní jednota věčně přítomné Plat</w:t>
      </w:r>
      <w:r w:rsidR="0014045A" w:rsidRPr="003D1E07">
        <w:t xml:space="preserve">onovy substance jako </w:t>
      </w:r>
      <w:r w:rsidR="0837534D" w:rsidRPr="003D1E07">
        <w:t>ideje. Bytí věci v reálu a bytí ideje v mysli nemá stejný charakter.</w:t>
      </w:r>
      <w:r w:rsidR="08E20AE0" w:rsidRPr="003D1E07">
        <w:t xml:space="preserve"> </w:t>
      </w:r>
      <w:r w:rsidR="08472FFC" w:rsidRPr="003D1E07">
        <w:t>Minulost aktuál</w:t>
      </w:r>
      <w:r w:rsidR="086233F0" w:rsidRPr="003D1E07">
        <w:t xml:space="preserve">ního jsoucna </w:t>
      </w:r>
      <w:r w:rsidR="008F57E4" w:rsidRPr="003D1E07">
        <w:t xml:space="preserve">byla </w:t>
      </w:r>
      <w:r w:rsidR="086233F0" w:rsidRPr="003D1E07">
        <w:t>převeden</w:t>
      </w:r>
      <w:r w:rsidR="008F57E4" w:rsidRPr="003D1E07">
        <w:t xml:space="preserve">a </w:t>
      </w:r>
      <w:r w:rsidR="086233F0" w:rsidRPr="003D1E07">
        <w:t>do par</w:t>
      </w:r>
      <w:r w:rsidR="08472FFC" w:rsidRPr="003D1E07">
        <w:t>usie pojmu</w:t>
      </w:r>
      <w:r w:rsidR="008F57E4" w:rsidRPr="003D1E07">
        <w:t xml:space="preserve">. Tato nová forma shody </w:t>
      </w:r>
      <w:r w:rsidR="08472FFC" w:rsidRPr="003D1E07">
        <w:t xml:space="preserve"> demaskovala mytopoetiku Platonovy ideje jako falešné pojetí pravdy. Aristoteles vystupující v gigantomachii su</w:t>
      </w:r>
      <w:r w:rsidR="0035686C" w:rsidRPr="003D1E07">
        <w:t>bstance proti Platonovi odmítl</w:t>
      </w:r>
      <w:r w:rsidR="08472FFC" w:rsidRPr="003D1E07">
        <w:t xml:space="preserve"> ideu jako</w:t>
      </w:r>
      <w:r w:rsidR="000A1D32" w:rsidRPr="003D1E07">
        <w:t xml:space="preserve"> falešný způsob odkrytosti </w:t>
      </w:r>
      <w:r w:rsidR="08472FFC" w:rsidRPr="003D1E07">
        <w:t xml:space="preserve">a dal plnou satisfakci reálné substanci. </w:t>
      </w:r>
      <w:r w:rsidR="00913532" w:rsidRPr="003D1E07">
        <w:t xml:space="preserve">První substance </w:t>
      </w:r>
      <w:r w:rsidR="08472FFC" w:rsidRPr="003D1E07">
        <w:t>je pro myšlení nezměnitelná a kategoriálně zavazující proto, že se stala účinnou minulostí</w:t>
      </w:r>
      <w:r w:rsidR="087C7DAA" w:rsidRPr="003D1E07">
        <w:t xml:space="preserve"> v</w:t>
      </w:r>
      <w:r w:rsidR="0878258F" w:rsidRPr="003D1E07">
        <w:t xml:space="preserve"> přítomném </w:t>
      </w:r>
      <w:r w:rsidR="087C7DAA" w:rsidRPr="003D1E07">
        <w:t>aktu poznání</w:t>
      </w:r>
      <w:r w:rsidR="08472FFC" w:rsidRPr="003D1E07">
        <w:t xml:space="preserve">. Co je minulé, to už nelze nijak měnit. Proto je reálná věc dána pro myšlení v modu nezměnitelné minulosti toho, </w:t>
      </w:r>
      <w:r w:rsidR="08472FFC" w:rsidRPr="003D1E07">
        <w:lastRenderedPageBreak/>
        <w:t>co je pro sebe</w:t>
      </w:r>
      <w:r w:rsidR="0856403A" w:rsidRPr="003D1E07">
        <w:t xml:space="preserve"> samo přítomné plně a aktuálně.</w:t>
      </w:r>
      <w:r w:rsidR="080C15C2" w:rsidRPr="003D1E07">
        <w:t xml:space="preserve"> </w:t>
      </w:r>
      <w:r w:rsidR="087C0B5F" w:rsidRPr="003D1E07">
        <w:t xml:space="preserve">Idea Dobra reálně neexistuje, protože v reálu jsou jen dobré věci a činnosti, které existují skrze sebe a pro sebe jako reálné substance. Spis </w:t>
      </w:r>
      <w:r w:rsidR="087C0B5F" w:rsidRPr="003D1E07">
        <w:rPr>
          <w:i/>
        </w:rPr>
        <w:t>Druhé analytiky</w:t>
      </w:r>
      <w:r w:rsidR="089D4E2F" w:rsidRPr="003D1E07">
        <w:t xml:space="preserve"> jas</w:t>
      </w:r>
      <w:r w:rsidR="087C0B5F" w:rsidRPr="003D1E07">
        <w:t>n</w:t>
      </w:r>
      <w:r w:rsidR="089D4E2F" w:rsidRPr="003D1E07">
        <w:t>ě</w:t>
      </w:r>
      <w:r w:rsidR="087C0B5F" w:rsidRPr="003D1E07">
        <w:t xml:space="preserve"> říká, že v reálných jednotlivinách nejsou obsažena žádná univerzália (τὸ μὲν καθόλου μὴ ἔστι τι παρὰ τὰ καθ' ἕκαστα, </w:t>
      </w:r>
      <w:r w:rsidR="087C0B5F" w:rsidRPr="003D1E07">
        <w:rPr>
          <w:i/>
        </w:rPr>
        <w:t>Anal. Post</w:t>
      </w:r>
      <w:r w:rsidR="087C0B5F" w:rsidRPr="003D1E07">
        <w:t>. 85a31</w:t>
      </w:r>
      <w:r w:rsidR="087C0B5F" w:rsidRPr="003D1E07">
        <w:fldChar w:fldCharType="begin"/>
      </w:r>
      <w:r w:rsidR="087C0B5F" w:rsidRPr="003D1E07">
        <w:instrText xml:space="preserve"> XE "Aristoteles:</w:instrText>
      </w:r>
      <w:r w:rsidR="087C0B5F" w:rsidRPr="003D1E07">
        <w:rPr>
          <w:i/>
        </w:rPr>
        <w:instrText>Anal. Post</w:instrText>
      </w:r>
      <w:r w:rsidR="087C0B5F" w:rsidRPr="003D1E07">
        <w:instrText xml:space="preserve">. 85a31" </w:instrText>
      </w:r>
      <w:r w:rsidR="087C0B5F" w:rsidRPr="003D1E07">
        <w:fldChar w:fldCharType="end"/>
      </w:r>
      <w:r w:rsidR="087C0B5F" w:rsidRPr="003D1E07">
        <w:t xml:space="preserve">). </w:t>
      </w:r>
      <w:r w:rsidR="0029309F" w:rsidRPr="003D1E07">
        <w:t xml:space="preserve">Metafyzický dativ </w:t>
      </w:r>
      <w:r w:rsidR="00992CB8" w:rsidRPr="003D1E07">
        <w:t xml:space="preserve">je u </w:t>
      </w:r>
      <w:r w:rsidR="0029309F" w:rsidRPr="003D1E07">
        <w:t xml:space="preserve">Aristotela zásadně </w:t>
      </w:r>
      <w:r w:rsidR="00992CB8" w:rsidRPr="003D1E07">
        <w:t>doložen jako akt reálné existence</w:t>
      </w:r>
      <w:r w:rsidR="00A462A3">
        <w:t xml:space="preserve"> věci</w:t>
      </w:r>
      <w:r w:rsidR="00992CB8" w:rsidRPr="003D1E07">
        <w:t xml:space="preserve">. Tím se </w:t>
      </w:r>
      <w:r w:rsidR="0029309F" w:rsidRPr="003D1E07">
        <w:t>odděl</w:t>
      </w:r>
      <w:r w:rsidR="00992CB8" w:rsidRPr="003D1E07">
        <w:t>ily dvě manifestace substance</w:t>
      </w:r>
      <w:r w:rsidR="08472FFC" w:rsidRPr="003D1E07">
        <w:t xml:space="preserve">. Kauzálně daná </w:t>
      </w:r>
      <w:r w:rsidR="08E265D1" w:rsidRPr="003D1E07">
        <w:t xml:space="preserve">minulost </w:t>
      </w:r>
      <w:r w:rsidR="08472FFC" w:rsidRPr="003D1E07">
        <w:t xml:space="preserve">aktuální první substance </w:t>
      </w:r>
      <w:r w:rsidR="00C363E3" w:rsidRPr="003D1E07">
        <w:t xml:space="preserve">se v případě </w:t>
      </w:r>
      <w:r w:rsidR="00BC6E75" w:rsidRPr="003D1E07">
        <w:t>predikac</w:t>
      </w:r>
      <w:r w:rsidR="00C363E3" w:rsidRPr="003D1E07">
        <w:t>e</w:t>
      </w:r>
      <w:r w:rsidR="00BC6E75" w:rsidRPr="003D1E07">
        <w:t xml:space="preserve"> </w:t>
      </w:r>
      <w:r w:rsidR="08472FFC" w:rsidRPr="003D1E07">
        <w:t xml:space="preserve">zásadně liší od potenciálně poznaného a plně přítomného významu </w:t>
      </w:r>
      <w:r w:rsidR="00BC6E75" w:rsidRPr="003D1E07">
        <w:t xml:space="preserve">druhé </w:t>
      </w:r>
      <w:r w:rsidR="00C363E3" w:rsidRPr="003D1E07">
        <w:t>substance</w:t>
      </w:r>
      <w:r w:rsidR="08472FFC" w:rsidRPr="003D1E07">
        <w:t xml:space="preserve">. Reálné jsoucno existuje jako „tato věc zde“ (τόδε τι) a má své vlastní bytí </w:t>
      </w:r>
      <w:r w:rsidR="00897579" w:rsidRPr="003D1E07">
        <w:t xml:space="preserve">takto daného jsoucna </w:t>
      </w:r>
      <w:r w:rsidR="08472FFC" w:rsidRPr="003D1E07">
        <w:t>(</w:t>
      </w:r>
      <w:r w:rsidR="08472FFC" w:rsidRPr="003D1E07">
        <w:rPr>
          <w:i/>
        </w:rPr>
        <w:t>actus essendi</w:t>
      </w:r>
      <w:r w:rsidR="08472FFC" w:rsidRPr="003D1E07">
        <w:t xml:space="preserve">). Místo existence </w:t>
      </w:r>
      <w:r w:rsidR="08D605BA" w:rsidRPr="003D1E07">
        <w:t>reál</w:t>
      </w:r>
      <w:r w:rsidR="08066EEA" w:rsidRPr="003D1E07">
        <w:t xml:space="preserve">né a aktuální </w:t>
      </w:r>
      <w:r w:rsidR="08472FFC" w:rsidRPr="003D1E07">
        <w:t xml:space="preserve">věci </w:t>
      </w:r>
      <w:r w:rsidR="089F5FA5" w:rsidRPr="003D1E07">
        <w:t xml:space="preserve">dané </w:t>
      </w:r>
      <w:r w:rsidR="089F5FA5" w:rsidRPr="003D1E07">
        <w:rPr>
          <w:i/>
        </w:rPr>
        <w:t>per se</w:t>
      </w:r>
      <w:r w:rsidR="089F5FA5" w:rsidRPr="003D1E07">
        <w:t xml:space="preserve"> </w:t>
      </w:r>
      <w:r w:rsidR="08472FFC" w:rsidRPr="003D1E07">
        <w:t xml:space="preserve">je v mysli přítomná její </w:t>
      </w:r>
      <w:r w:rsidR="08F753FB" w:rsidRPr="003D1E07">
        <w:t xml:space="preserve">univerzální </w:t>
      </w:r>
      <w:r w:rsidR="08472FFC" w:rsidRPr="003D1E07">
        <w:t>esence</w:t>
      </w:r>
      <w:r w:rsidR="08F753FB" w:rsidRPr="003D1E07">
        <w:t>. A</w:t>
      </w:r>
      <w:r w:rsidR="089F5FA5" w:rsidRPr="003D1E07">
        <w:t xml:space="preserve">ktuální </w:t>
      </w:r>
      <w:r w:rsidR="0001262D" w:rsidRPr="003D1E07">
        <w:t xml:space="preserve">první </w:t>
      </w:r>
      <w:r w:rsidR="089F5FA5" w:rsidRPr="003D1E07">
        <w:t xml:space="preserve">substance přešla do minulého </w:t>
      </w:r>
      <w:r w:rsidR="08F753FB" w:rsidRPr="003D1E07">
        <w:t xml:space="preserve">nezměnitelného </w:t>
      </w:r>
      <w:r w:rsidR="089F5FA5" w:rsidRPr="003D1E07">
        <w:t>modu</w:t>
      </w:r>
      <w:r w:rsidR="08F753FB" w:rsidRPr="003D1E07">
        <w:t xml:space="preserve"> a na poznání působí pouze v modu účinné a formální kauzality</w:t>
      </w:r>
      <w:r w:rsidR="002C275C" w:rsidRPr="003D1E07">
        <w:t xml:space="preserve"> (</w:t>
      </w:r>
      <w:r w:rsidR="002C275C" w:rsidRPr="003D1E07">
        <w:rPr>
          <w:i/>
        </w:rPr>
        <w:t>causa efficiens, formalis</w:t>
      </w:r>
      <w:r w:rsidR="002C275C" w:rsidRPr="003D1E07">
        <w:t>)</w:t>
      </w:r>
      <w:r w:rsidR="08472FFC" w:rsidRPr="003D1E07">
        <w:t xml:space="preserve">. Proto platí, že poznaná esence definovaná v pojmu má jiný způsob bytí než </w:t>
      </w:r>
      <w:r w:rsidR="08236F4F" w:rsidRPr="003D1E07">
        <w:t xml:space="preserve">substance </w:t>
      </w:r>
      <w:r w:rsidR="08472FFC" w:rsidRPr="003D1E07">
        <w:t>existující v realitě. Původní událost bytí zakládající jsoucno jako zde a nyní jsoucí substanci se oddělila od sekundárního poznání dané v mysli a v univerzálním modu</w:t>
      </w:r>
      <w:r w:rsidR="08236F4F" w:rsidRPr="003D1E07">
        <w:t xml:space="preserve"> esence</w:t>
      </w:r>
      <w:r w:rsidR="08472FFC" w:rsidRPr="003D1E07">
        <w:t>.</w:t>
      </w:r>
      <w:r w:rsidR="08136DE7" w:rsidRPr="003D1E07">
        <w:t xml:space="preserve"> </w:t>
      </w:r>
      <w:r w:rsidR="086705B4" w:rsidRPr="003D1E07">
        <w:t>Tato n</w:t>
      </w:r>
      <w:r w:rsidR="080B7BDB" w:rsidRPr="003D1E07">
        <w:t xml:space="preserve">ová forma </w:t>
      </w:r>
      <w:r w:rsidR="08E66257" w:rsidRPr="003D1E07">
        <w:t xml:space="preserve">metafyzického </w:t>
      </w:r>
      <w:r w:rsidR="08136DE7" w:rsidRPr="003D1E07">
        <w:t>dativ</w:t>
      </w:r>
      <w:r w:rsidR="080B7BDB" w:rsidRPr="003D1E07">
        <w:t>u</w:t>
      </w:r>
      <w:r w:rsidR="08136DE7" w:rsidRPr="003D1E07">
        <w:t xml:space="preserve"> (</w:t>
      </w:r>
      <w:r w:rsidR="08136DE7" w:rsidRPr="003D1E07">
        <w:rPr>
          <w:i/>
        </w:rPr>
        <w:t xml:space="preserve">dativus </w:t>
      </w:r>
      <w:r w:rsidR="08E66257" w:rsidRPr="003D1E07">
        <w:rPr>
          <w:i/>
        </w:rPr>
        <w:t>metaphysicus</w:t>
      </w:r>
      <w:r w:rsidR="08136DE7" w:rsidRPr="003D1E07">
        <w:rPr>
          <w:i/>
        </w:rPr>
        <w:fldChar w:fldCharType="begin"/>
      </w:r>
      <w:r w:rsidR="08136DE7" w:rsidRPr="003D1E07">
        <w:instrText xml:space="preserve"> XE "</w:instrText>
      </w:r>
      <w:r w:rsidR="08136DE7" w:rsidRPr="003D1E07">
        <w:rPr>
          <w:i/>
        </w:rPr>
        <w:instrText xml:space="preserve">dativus </w:instrText>
      </w:r>
      <w:r w:rsidR="08E66257" w:rsidRPr="003D1E07">
        <w:rPr>
          <w:i/>
        </w:rPr>
        <w:instrText>metaphysicus</w:instrText>
      </w:r>
      <w:r w:rsidR="08136DE7" w:rsidRPr="003D1E07">
        <w:instrText xml:space="preserve">" </w:instrText>
      </w:r>
      <w:r w:rsidR="08136DE7" w:rsidRPr="003D1E07">
        <w:rPr>
          <w:i/>
        </w:rPr>
        <w:fldChar w:fldCharType="end"/>
      </w:r>
      <w:r w:rsidR="080B7BDB" w:rsidRPr="003D1E07">
        <w:t xml:space="preserve">) </w:t>
      </w:r>
      <w:r w:rsidR="08136DE7" w:rsidRPr="003D1E07">
        <w:t>založil</w:t>
      </w:r>
      <w:r w:rsidR="080B7BDB" w:rsidRPr="003D1E07">
        <w:t>a</w:t>
      </w:r>
      <w:r w:rsidR="08136DE7" w:rsidRPr="003D1E07">
        <w:t xml:space="preserve"> kategoriální rozdělení reality na první a na druhou substanci.</w:t>
      </w:r>
      <w:r w:rsidR="004A4787" w:rsidRPr="003D1E07">
        <w:t xml:space="preserve"> </w:t>
      </w:r>
      <w:r w:rsidR="08C44082" w:rsidRPr="003D1E07">
        <w:t>Rozdíl mezi parmenidovskou přít</w:t>
      </w:r>
      <w:r w:rsidR="080958D5" w:rsidRPr="003D1E07">
        <w:t>omností celku</w:t>
      </w:r>
      <w:r w:rsidR="08820198" w:rsidRPr="003D1E07">
        <w:t xml:space="preserve">, platonskou přítomností ideje a </w:t>
      </w:r>
      <w:r w:rsidR="080958D5" w:rsidRPr="003D1E07">
        <w:t xml:space="preserve">aristotelským bytím jednotlivé substance </w:t>
      </w:r>
      <w:r w:rsidR="08C44082" w:rsidRPr="003D1E07">
        <w:t xml:space="preserve">má zásadní charakter. </w:t>
      </w:r>
      <w:r w:rsidR="08B64693" w:rsidRPr="003D1E07">
        <w:t xml:space="preserve">Minulá kapitola ukázala, že celek bytí jsoucna byl v múzickém myšlení přítomný zcela odlišným způsobem. Existence jednotlivé substance byla suspendována v archaické </w:t>
      </w:r>
      <w:r w:rsidR="08B64693" w:rsidRPr="003D1E07">
        <w:rPr>
          <w:i/>
        </w:rPr>
        <w:t>epoché</w:t>
      </w:r>
      <w:r w:rsidR="08B64693" w:rsidRPr="003D1E07">
        <w:t xml:space="preserve">, aby </w:t>
      </w:r>
      <w:r w:rsidR="004A4787" w:rsidRPr="003D1E07">
        <w:t xml:space="preserve">vznikl prostor pro </w:t>
      </w:r>
      <w:r w:rsidR="08B64693" w:rsidRPr="003D1E07">
        <w:t xml:space="preserve">mystérijně, múzicky a tragicky přítomný celek bytí. Platon převedl </w:t>
      </w:r>
      <w:r w:rsidR="08E66257" w:rsidRPr="003D1E07">
        <w:t xml:space="preserve">principiální </w:t>
      </w:r>
      <w:r w:rsidR="08B64693" w:rsidRPr="003D1E07">
        <w:t xml:space="preserve">dativ </w:t>
      </w:r>
      <w:r w:rsidR="08E66257" w:rsidRPr="003D1E07">
        <w:t>první filosofie (</w:t>
      </w:r>
      <w:r w:rsidR="08E66257" w:rsidRPr="003D1E07">
        <w:rPr>
          <w:i/>
        </w:rPr>
        <w:t>dativus principalis</w:t>
      </w:r>
      <w:r w:rsidR="08425F56" w:rsidRPr="003D1E07">
        <w:rPr>
          <w:i/>
        </w:rPr>
        <w:fldChar w:fldCharType="begin"/>
      </w:r>
      <w:r w:rsidR="08425F56" w:rsidRPr="003D1E07">
        <w:instrText xml:space="preserve"> XE "</w:instrText>
      </w:r>
      <w:r w:rsidR="08425F56" w:rsidRPr="003D1E07">
        <w:rPr>
          <w:i/>
        </w:rPr>
        <w:instrText>dativus principalis</w:instrText>
      </w:r>
      <w:r w:rsidR="08425F56" w:rsidRPr="003D1E07">
        <w:instrText xml:space="preserve">" </w:instrText>
      </w:r>
      <w:r w:rsidR="08425F56" w:rsidRPr="003D1E07">
        <w:rPr>
          <w:i/>
        </w:rPr>
        <w:fldChar w:fldCharType="end"/>
      </w:r>
      <w:r w:rsidR="08E66257" w:rsidRPr="003D1E07">
        <w:t xml:space="preserve">) </w:t>
      </w:r>
      <w:r w:rsidR="08B64693" w:rsidRPr="003D1E07">
        <w:t>na panství jednotlivé ideje</w:t>
      </w:r>
      <w:r w:rsidR="0004377F" w:rsidRPr="003D1E07">
        <w:t xml:space="preserve">. Toto </w:t>
      </w:r>
      <w:r w:rsidR="004F7EA7" w:rsidRPr="003D1E07">
        <w:t xml:space="preserve">nejvyšší </w:t>
      </w:r>
      <w:r w:rsidR="0004377F" w:rsidRPr="003D1E07">
        <w:t xml:space="preserve">jsoucno </w:t>
      </w:r>
      <w:r w:rsidR="001D0D3C" w:rsidRPr="003D1E07">
        <w:t xml:space="preserve">produkuje </w:t>
      </w:r>
      <w:r w:rsidR="08B64693" w:rsidRPr="003D1E07">
        <w:t>ma</w:t>
      </w:r>
      <w:r w:rsidR="08382732" w:rsidRPr="003D1E07">
        <w:t xml:space="preserve">tematicky správně a perfektně </w:t>
      </w:r>
      <w:r w:rsidR="08B64693" w:rsidRPr="003D1E07">
        <w:t xml:space="preserve">nižší jsoucna. Aristotelská metafyzika vytvořila novou podobu </w:t>
      </w:r>
      <w:r w:rsidR="08287C41" w:rsidRPr="003D1E07">
        <w:t xml:space="preserve">metafyzického </w:t>
      </w:r>
      <w:r w:rsidR="08B64693" w:rsidRPr="003D1E07">
        <w:t>dativu (</w:t>
      </w:r>
      <w:r w:rsidR="08B64693" w:rsidRPr="003D1E07">
        <w:rPr>
          <w:i/>
        </w:rPr>
        <w:t xml:space="preserve">dativus </w:t>
      </w:r>
      <w:r w:rsidR="08287C41" w:rsidRPr="003D1E07">
        <w:rPr>
          <w:i/>
        </w:rPr>
        <w:t>metaphysicus</w:t>
      </w:r>
      <w:r w:rsidR="08B64693" w:rsidRPr="003D1E07">
        <w:rPr>
          <w:i/>
        </w:rPr>
        <w:fldChar w:fldCharType="begin"/>
      </w:r>
      <w:r w:rsidR="08B64693" w:rsidRPr="003D1E07">
        <w:instrText xml:space="preserve"> XE "</w:instrText>
      </w:r>
      <w:r w:rsidR="08B64693" w:rsidRPr="003D1E07">
        <w:rPr>
          <w:i/>
        </w:rPr>
        <w:instrText xml:space="preserve">dativus </w:instrText>
      </w:r>
      <w:r w:rsidR="08287C41" w:rsidRPr="003D1E07">
        <w:rPr>
          <w:i/>
        </w:rPr>
        <w:instrText>metaphysicus</w:instrText>
      </w:r>
      <w:r w:rsidR="08B64693" w:rsidRPr="003D1E07">
        <w:instrText xml:space="preserve">" </w:instrText>
      </w:r>
      <w:r w:rsidR="08B64693" w:rsidRPr="003D1E07">
        <w:rPr>
          <w:i/>
        </w:rPr>
        <w:fldChar w:fldCharType="end"/>
      </w:r>
      <w:r w:rsidR="08B64693" w:rsidRPr="003D1E07">
        <w:t>). Existence věci podle Aristotela má zásadní a nezměnitelný primát daný jejím skrytým a minulým charakterem. Tato původní příčin</w:t>
      </w:r>
      <w:r w:rsidR="00E078B2" w:rsidRPr="003D1E07">
        <w:t>a</w:t>
      </w:r>
      <w:r w:rsidR="08B64693" w:rsidRPr="003D1E07">
        <w:t xml:space="preserve"> </w:t>
      </w:r>
      <w:r w:rsidR="00E1691C" w:rsidRPr="003D1E07">
        <w:t xml:space="preserve">přirozeného </w:t>
      </w:r>
      <w:r w:rsidR="08B64693" w:rsidRPr="003D1E07">
        <w:t xml:space="preserve">pohybu determinuje intelektuální </w:t>
      </w:r>
      <w:r w:rsidR="00E078B2" w:rsidRPr="003D1E07">
        <w:t>poznání</w:t>
      </w:r>
      <w:r w:rsidR="00E1691C" w:rsidRPr="003D1E07">
        <w:t xml:space="preserve"> jako sekundární účinek</w:t>
      </w:r>
      <w:r w:rsidR="08B64693" w:rsidRPr="003D1E07">
        <w:t xml:space="preserve">. </w:t>
      </w:r>
      <w:r w:rsidR="00D3499F" w:rsidRPr="003D1E07">
        <w:t xml:space="preserve">Fyzikální působení reálné substance </w:t>
      </w:r>
      <w:r w:rsidR="08B64693" w:rsidRPr="003D1E07">
        <w:t>se pr</w:t>
      </w:r>
      <w:r w:rsidR="08670B96" w:rsidRPr="003D1E07">
        <w:t>ojevuje v intelektuálním pozná</w:t>
      </w:r>
      <w:r w:rsidR="08B64693" w:rsidRPr="003D1E07">
        <w:t>ní</w:t>
      </w:r>
      <w:r w:rsidR="00D3499F" w:rsidRPr="003D1E07">
        <w:t xml:space="preserve"> jako </w:t>
      </w:r>
      <w:r w:rsidR="00D41FF3" w:rsidRPr="003D1E07">
        <w:t xml:space="preserve">specifickém </w:t>
      </w:r>
      <w:r w:rsidR="00D3499F" w:rsidRPr="003D1E07">
        <w:t>následku</w:t>
      </w:r>
      <w:r w:rsidR="08B64693" w:rsidRPr="003D1E07">
        <w:t>. Jedinečný a proto minulý pohyb první substance v realitě (τό ἦν</w:t>
      </w:r>
      <w:r w:rsidR="087E6A0C" w:rsidRPr="003D1E07">
        <w:t xml:space="preserve">) </w:t>
      </w:r>
      <w:r w:rsidR="08B64693" w:rsidRPr="003D1E07">
        <w:t xml:space="preserve">se mění díky </w:t>
      </w:r>
      <w:r w:rsidR="08287C41" w:rsidRPr="003D1E07">
        <w:t xml:space="preserve">metafyzickému </w:t>
      </w:r>
      <w:r w:rsidR="08B64693" w:rsidRPr="003D1E07">
        <w:t xml:space="preserve">dativu (τό τί) na iterativní infinitiv bytí druhé substance v mysli </w:t>
      </w:r>
      <w:r w:rsidR="002A628F" w:rsidRPr="003D1E07">
        <w:t>(τό ἦν εἶναι)</w:t>
      </w:r>
      <w:r w:rsidR="08B64693" w:rsidRPr="003D1E07">
        <w:t>. Pohyb reálné substa</w:t>
      </w:r>
      <w:r w:rsidR="000E0FCA" w:rsidRPr="003D1E07">
        <w:t>nce vytváří nový typ ideové</w:t>
      </w:r>
      <w:r w:rsidR="002131A0" w:rsidRPr="003D1E07">
        <w:t xml:space="preserve"> hierar</w:t>
      </w:r>
      <w:r w:rsidR="000E0FCA" w:rsidRPr="003D1E07">
        <w:t xml:space="preserve">chie v myšlení, která se skládá </w:t>
      </w:r>
      <w:r w:rsidR="08B64693" w:rsidRPr="003D1E07">
        <w:t>z potenciálních a všeobecných substancí. Aristoteles zůstal po vzoru Platona metafyzikem substance a opustil Sokratovo hledání pravdy</w:t>
      </w:r>
      <w:r w:rsidR="0023186B" w:rsidRPr="003D1E07">
        <w:t xml:space="preserve"> </w:t>
      </w:r>
      <w:r w:rsidR="00593E18" w:rsidRPr="003D1E07">
        <w:t xml:space="preserve">podle </w:t>
      </w:r>
      <w:r w:rsidR="0023186B" w:rsidRPr="003D1E07">
        <w:t>první filosofie</w:t>
      </w:r>
      <w:r w:rsidR="08B64693" w:rsidRPr="003D1E07">
        <w:t xml:space="preserve">. </w:t>
      </w:r>
      <w:r w:rsidR="08C44082" w:rsidRPr="003D1E07">
        <w:t xml:space="preserve">Aristotelský celek </w:t>
      </w:r>
      <w:r w:rsidR="005F4482" w:rsidRPr="003D1E07">
        <w:t xml:space="preserve">bytí </w:t>
      </w:r>
      <w:r w:rsidR="08C44082" w:rsidRPr="003D1E07">
        <w:lastRenderedPageBreak/>
        <w:t>nemá charakter skutečné události dané mú</w:t>
      </w:r>
      <w:r w:rsidR="080331C9" w:rsidRPr="003D1E07">
        <w:t>zic</w:t>
      </w:r>
      <w:r w:rsidR="08C44082" w:rsidRPr="003D1E07">
        <w:t xml:space="preserve">kou donací celku bytí skrze dar archaického vidění. </w:t>
      </w:r>
      <w:r w:rsidR="086233F0" w:rsidRPr="003D1E07">
        <w:t>Nová par</w:t>
      </w:r>
      <w:r w:rsidR="084C3B58" w:rsidRPr="003D1E07">
        <w:t>usie celku bytí má esenciální charakter daný neurčitým přítomným infinitivem</w:t>
      </w:r>
      <w:r w:rsidR="00C03B7B" w:rsidRPr="003D1E07">
        <w:t xml:space="preserve"> (τό εἶναι), které signifikuje </w:t>
      </w:r>
      <w:r w:rsidR="084C3B58" w:rsidRPr="003D1E07">
        <w:rPr>
          <w:i/>
          <w:iCs/>
        </w:rPr>
        <w:t>verbum iterativum</w:t>
      </w:r>
      <w:r w:rsidR="084C3B58" w:rsidRPr="003D1E07">
        <w:t xml:space="preserve">. </w:t>
      </w:r>
      <w:r w:rsidR="00502CC3">
        <w:t xml:space="preserve">Substantivní </w:t>
      </w:r>
      <w:r w:rsidR="00502CC3">
        <w:rPr>
          <w:szCs w:val="24"/>
        </w:rPr>
        <w:t>i</w:t>
      </w:r>
      <w:r w:rsidR="00EB1718" w:rsidRPr="003D1E07">
        <w:rPr>
          <w:szCs w:val="24"/>
        </w:rPr>
        <w:t>nfinitiv „</w:t>
      </w:r>
      <w:r w:rsidR="00502CC3">
        <w:rPr>
          <w:szCs w:val="24"/>
        </w:rPr>
        <w:t xml:space="preserve"> </w:t>
      </w:r>
      <w:r w:rsidR="00502CC3" w:rsidRPr="003D1E07">
        <w:t>τό</w:t>
      </w:r>
      <w:r w:rsidR="00502CC3">
        <w:t xml:space="preserve"> </w:t>
      </w:r>
      <w:r w:rsidR="00EB1718" w:rsidRPr="003D1E07">
        <w:rPr>
          <w:szCs w:val="24"/>
        </w:rPr>
        <w:t xml:space="preserve">εἶναι“ </w:t>
      </w:r>
      <w:r w:rsidR="00502CC3">
        <w:rPr>
          <w:szCs w:val="24"/>
        </w:rPr>
        <w:t xml:space="preserve">ve skutečnosti znamená „subjektivně určený pobyt trvale přítomného ideálního jsoucna“. Takto určená existence věci </w:t>
      </w:r>
      <w:r w:rsidR="00EB1718" w:rsidRPr="003D1E07">
        <w:rPr>
          <w:szCs w:val="24"/>
        </w:rPr>
        <w:t xml:space="preserve">v rámci aristotelské </w:t>
      </w:r>
      <w:r w:rsidR="00EB1718" w:rsidRPr="003D1E07">
        <w:rPr>
          <w:i/>
          <w:szCs w:val="24"/>
        </w:rPr>
        <w:t>quidditas</w:t>
      </w:r>
      <w:r w:rsidR="00EB1718" w:rsidRPr="003D1E07">
        <w:rPr>
          <w:szCs w:val="24"/>
        </w:rPr>
        <w:t xml:space="preserve"> už nemá nic společného s Parmenidovým viděním původního bytí. </w:t>
      </w:r>
      <w:r w:rsidR="08D2779B" w:rsidRPr="003D1E07">
        <w:t xml:space="preserve">Hermeneutika musí přesně zjistit, k jakému typu přítomnosti substance je vztažen tento neurčitý a iterativní infinitiv. Bytí </w:t>
      </w:r>
      <w:r w:rsidR="002D58FF" w:rsidRPr="003D1E07">
        <w:t>přítomné skrze takto dané jsoucno</w:t>
      </w:r>
      <w:r w:rsidR="08D2779B" w:rsidRPr="003D1E07">
        <w:t xml:space="preserve"> skrytě a </w:t>
      </w:r>
      <w:r w:rsidR="005F4482" w:rsidRPr="003D1E07">
        <w:t xml:space="preserve">proto </w:t>
      </w:r>
      <w:r w:rsidR="08D2779B" w:rsidRPr="003D1E07">
        <w:t xml:space="preserve">múzicky určuje novou formu metafyziky. </w:t>
      </w:r>
      <w:r w:rsidR="08A970D4" w:rsidRPr="003D1E07">
        <w:t xml:space="preserve">Síla </w:t>
      </w:r>
      <w:r w:rsidR="00186243" w:rsidRPr="003D1E07">
        <w:t xml:space="preserve">a vláda </w:t>
      </w:r>
      <w:r w:rsidR="08A970D4" w:rsidRPr="003D1E07">
        <w:t xml:space="preserve">počátku je </w:t>
      </w:r>
      <w:r w:rsidR="00504E92" w:rsidRPr="003D1E07">
        <w:t>určena kauzalitou</w:t>
      </w:r>
      <w:r w:rsidR="08A970D4" w:rsidRPr="003D1E07">
        <w:t xml:space="preserve"> reálné substance</w:t>
      </w:r>
      <w:r w:rsidR="001A5D78" w:rsidRPr="003D1E07">
        <w:t xml:space="preserve">. Aristotelismus </w:t>
      </w:r>
      <w:r w:rsidR="08A970D4" w:rsidRPr="003D1E07">
        <w:t>konstatuje její působení</w:t>
      </w:r>
      <w:r w:rsidR="08242606" w:rsidRPr="003D1E07">
        <w:t xml:space="preserve"> v řádu nové ideality</w:t>
      </w:r>
      <w:r w:rsidR="08A970D4" w:rsidRPr="003D1E07">
        <w:t xml:space="preserve">. </w:t>
      </w:r>
      <w:r w:rsidR="004C2C2D" w:rsidRPr="003D1E07">
        <w:t xml:space="preserve">Panství bytí je vytvořeno pouze v mysli a navíc  je tato produkce plně iterativní. </w:t>
      </w:r>
      <w:r w:rsidR="00360FEA" w:rsidRPr="003D1E07">
        <w:t>Takový koncept st</w:t>
      </w:r>
      <w:r w:rsidR="004C2C2D" w:rsidRPr="003D1E07">
        <w:t>ojí v naprostém protikladu vůči prézent</w:t>
      </w:r>
      <w:r w:rsidR="001A5D78" w:rsidRPr="003D1E07">
        <w:t>n</w:t>
      </w:r>
      <w:r w:rsidR="004C2C2D" w:rsidRPr="003D1E07">
        <w:t>ě pří</w:t>
      </w:r>
      <w:r w:rsidR="00C73DC7" w:rsidRPr="003D1E07">
        <w:t xml:space="preserve">tomnému celku </w:t>
      </w:r>
      <w:r w:rsidR="001A5D78" w:rsidRPr="003D1E07">
        <w:t xml:space="preserve">archaického </w:t>
      </w:r>
      <w:r w:rsidR="00C73DC7" w:rsidRPr="003D1E07">
        <w:t xml:space="preserve">bytí </w:t>
      </w:r>
      <w:r w:rsidR="004C2C2D" w:rsidRPr="003D1E07">
        <w:rPr>
          <w:szCs w:val="24"/>
        </w:rPr>
        <w:t>(</w:t>
      </w:r>
      <w:r w:rsidR="004C2C2D" w:rsidRPr="003D1E07">
        <w:rPr>
          <w:i/>
          <w:szCs w:val="24"/>
        </w:rPr>
        <w:t>tá ónta</w:t>
      </w:r>
      <w:r w:rsidR="004C2C2D" w:rsidRPr="003D1E07">
        <w:rPr>
          <w:i/>
          <w:szCs w:val="24"/>
        </w:rPr>
        <w:fldChar w:fldCharType="begin"/>
      </w:r>
      <w:r w:rsidR="004C2C2D" w:rsidRPr="003D1E07">
        <w:instrText xml:space="preserve"> XE "</w:instrText>
      </w:r>
      <w:r w:rsidR="004C2C2D" w:rsidRPr="003D1E07">
        <w:rPr>
          <w:i/>
          <w:szCs w:val="24"/>
        </w:rPr>
        <w:instrText>tá ónta</w:instrText>
      </w:r>
      <w:r w:rsidR="004C2C2D" w:rsidRPr="003D1E07">
        <w:instrText xml:space="preserve">" </w:instrText>
      </w:r>
      <w:r w:rsidR="004C2C2D" w:rsidRPr="003D1E07">
        <w:rPr>
          <w:i/>
          <w:szCs w:val="24"/>
        </w:rPr>
        <w:fldChar w:fldCharType="end"/>
      </w:r>
      <w:r w:rsidR="001A5D78" w:rsidRPr="003D1E07">
        <w:rPr>
          <w:szCs w:val="24"/>
        </w:rPr>
        <w:t>)</w:t>
      </w:r>
      <w:r w:rsidR="004C2C2D" w:rsidRPr="003D1E07">
        <w:rPr>
          <w:szCs w:val="24"/>
        </w:rPr>
        <w:t xml:space="preserve">. </w:t>
      </w:r>
      <w:r w:rsidR="003571EE" w:rsidRPr="003571EE">
        <w:rPr>
          <w:szCs w:val="24"/>
        </w:rPr>
        <w:t xml:space="preserve">Druhá substance definuje esenci jako přítomnost v oblasti </w:t>
      </w:r>
      <w:r w:rsidR="003571EE">
        <w:rPr>
          <w:szCs w:val="24"/>
        </w:rPr>
        <w:t>potence</w:t>
      </w:r>
      <w:r w:rsidR="003571EE" w:rsidRPr="003571EE">
        <w:rPr>
          <w:szCs w:val="24"/>
        </w:rPr>
        <w:t xml:space="preserve">, kterou vytvářejí </w:t>
      </w:r>
      <w:r w:rsidR="003571EE">
        <w:rPr>
          <w:szCs w:val="24"/>
        </w:rPr>
        <w:t xml:space="preserve">univerzální pojmy. Aristotelská technologie </w:t>
      </w:r>
      <w:r w:rsidR="003571EE" w:rsidRPr="003571EE">
        <w:rPr>
          <w:szCs w:val="24"/>
        </w:rPr>
        <w:t xml:space="preserve">poznání </w:t>
      </w:r>
      <w:r w:rsidR="00A30B29">
        <w:rPr>
          <w:szCs w:val="24"/>
        </w:rPr>
        <w:t>odpovídá technické</w:t>
      </w:r>
      <w:r w:rsidR="003571EE" w:rsidRPr="003571EE">
        <w:rPr>
          <w:szCs w:val="24"/>
        </w:rPr>
        <w:t xml:space="preserve"> produkci </w:t>
      </w:r>
      <w:r w:rsidR="007375FD">
        <w:rPr>
          <w:szCs w:val="24"/>
        </w:rPr>
        <w:t>potenciálně určeného jsoucna</w:t>
      </w:r>
      <w:r w:rsidR="003571EE">
        <w:rPr>
          <w:szCs w:val="24"/>
        </w:rPr>
        <w:t xml:space="preserve"> na </w:t>
      </w:r>
      <w:r w:rsidR="003571EE" w:rsidRPr="003571EE">
        <w:rPr>
          <w:szCs w:val="24"/>
        </w:rPr>
        <w:t xml:space="preserve">montážní lince, </w:t>
      </w:r>
      <w:r w:rsidR="003571EE">
        <w:rPr>
          <w:szCs w:val="24"/>
        </w:rPr>
        <w:t xml:space="preserve">která </w:t>
      </w:r>
      <w:r w:rsidR="003571EE" w:rsidRPr="003571EE">
        <w:rPr>
          <w:szCs w:val="24"/>
        </w:rPr>
        <w:t xml:space="preserve">je </w:t>
      </w:r>
      <w:r w:rsidR="003571EE">
        <w:rPr>
          <w:szCs w:val="24"/>
        </w:rPr>
        <w:t>provozován</w:t>
      </w:r>
      <w:r w:rsidR="007375FD">
        <w:rPr>
          <w:szCs w:val="24"/>
        </w:rPr>
        <w:t>a</w:t>
      </w:r>
      <w:r w:rsidR="003571EE">
        <w:rPr>
          <w:szCs w:val="24"/>
        </w:rPr>
        <w:t xml:space="preserve"> </w:t>
      </w:r>
      <w:r w:rsidR="003571EE" w:rsidRPr="003571EE">
        <w:rPr>
          <w:szCs w:val="24"/>
        </w:rPr>
        <w:t xml:space="preserve">za účelem vytvoření pravdivé reprodukce </w:t>
      </w:r>
      <w:r w:rsidR="003571EE" w:rsidRPr="003571EE">
        <w:rPr>
          <w:i/>
          <w:szCs w:val="24"/>
        </w:rPr>
        <w:t>quidditas</w:t>
      </w:r>
      <w:r w:rsidR="003571EE" w:rsidRPr="003571EE">
        <w:rPr>
          <w:szCs w:val="24"/>
        </w:rPr>
        <w:t>.</w:t>
      </w:r>
      <w:r w:rsidR="003571EE">
        <w:rPr>
          <w:szCs w:val="24"/>
        </w:rPr>
        <w:t xml:space="preserve"> </w:t>
      </w:r>
      <w:r w:rsidR="081515A4" w:rsidRPr="003D1E07">
        <w:t xml:space="preserve">Zakladatel nové formy metafyziky </w:t>
      </w:r>
      <w:r w:rsidR="003571EE">
        <w:t xml:space="preserve">ale </w:t>
      </w:r>
      <w:r w:rsidR="081515A4" w:rsidRPr="003D1E07">
        <w:t xml:space="preserve">odmítl postavit první vědu na matematicky a technicky pojaté ideji. </w:t>
      </w:r>
      <w:r w:rsidR="08C44082" w:rsidRPr="003D1E07">
        <w:t xml:space="preserve">Do metafyziky vstupuje místo reálně existující věci pouze </w:t>
      </w:r>
      <w:r w:rsidR="08716712" w:rsidRPr="003D1E07">
        <w:t>univerzální koncept substance manifesto</w:t>
      </w:r>
      <w:r w:rsidR="08553B7B" w:rsidRPr="003D1E07">
        <w:t xml:space="preserve">vané </w:t>
      </w:r>
      <w:r w:rsidR="08C20275" w:rsidRPr="003D1E07">
        <w:t>v přítomné parousii poznání. T</w:t>
      </w:r>
      <w:r w:rsidR="08544262" w:rsidRPr="003D1E07">
        <w:t xml:space="preserve">oto poznání bytí je plně iterativní, protože metafyzika je </w:t>
      </w:r>
      <w:r w:rsidR="08C20275" w:rsidRPr="003D1E07">
        <w:t xml:space="preserve">šikovnost založená na imitaci a reprodukci </w:t>
      </w:r>
      <w:r w:rsidR="08B314D9" w:rsidRPr="003D1E07">
        <w:t xml:space="preserve">reálného </w:t>
      </w:r>
      <w:r w:rsidR="08C20275" w:rsidRPr="003D1E07">
        <w:t xml:space="preserve">jsoucna pomocí </w:t>
      </w:r>
      <w:r w:rsidR="086820E7" w:rsidRPr="003D1E07">
        <w:t xml:space="preserve">správné </w:t>
      </w:r>
      <w:r w:rsidR="08C20275" w:rsidRPr="003D1E07">
        <w:t>techniky</w:t>
      </w:r>
      <w:r w:rsidR="086820E7" w:rsidRPr="003D1E07">
        <w:t xml:space="preserve"> myšlení a poznání</w:t>
      </w:r>
      <w:r w:rsidR="08544262" w:rsidRPr="003D1E07">
        <w:t xml:space="preserve">. </w:t>
      </w:r>
      <w:r w:rsidR="08E47CA1" w:rsidRPr="003D1E07">
        <w:t>Metafyzickou přítomnost substance je možné kdykoliv vyvolat pomocí techniky vědění založené Platonem</w:t>
      </w:r>
      <w:r w:rsidR="082A19D6" w:rsidRPr="003D1E07">
        <w:t xml:space="preserve"> a potvrzené Aristotelem</w:t>
      </w:r>
      <w:r w:rsidR="08E47CA1" w:rsidRPr="003D1E07">
        <w:t xml:space="preserve">. </w:t>
      </w:r>
      <w:r w:rsidR="089C74AF" w:rsidRPr="003D1E07">
        <w:t>Technik</w:t>
      </w:r>
      <w:r w:rsidR="089C65FA" w:rsidRPr="003D1E07">
        <w:t>,</w:t>
      </w:r>
      <w:r w:rsidR="089C74AF" w:rsidRPr="003D1E07">
        <w:t xml:space="preserve"> řemeslník a umělec </w:t>
      </w:r>
      <w:r w:rsidR="08C8047A" w:rsidRPr="003D1E07">
        <w:t>p</w:t>
      </w:r>
      <w:r w:rsidR="089C74AF" w:rsidRPr="003D1E07">
        <w:t>e</w:t>
      </w:r>
      <w:r w:rsidR="08C8047A" w:rsidRPr="003D1E07">
        <w:t>r</w:t>
      </w:r>
      <w:r w:rsidR="089C74AF" w:rsidRPr="003D1E07">
        <w:t>fektně ví, co dělá, když je doopravdy šikovný.</w:t>
      </w:r>
      <w:r w:rsidR="089C65FA" w:rsidRPr="003D1E07">
        <w:t xml:space="preserve"> </w:t>
      </w:r>
      <w:r w:rsidR="00633F70" w:rsidRPr="003D1E07">
        <w:t>Materiál a výrob</w:t>
      </w:r>
      <w:r w:rsidR="00420567" w:rsidRPr="003D1E07">
        <w:t>a</w:t>
      </w:r>
      <w:r w:rsidR="00633F70" w:rsidRPr="003D1E07">
        <w:t xml:space="preserve"> </w:t>
      </w:r>
      <w:r w:rsidR="089C65FA" w:rsidRPr="003D1E07">
        <w:t>završují technickou schopnost</w:t>
      </w:r>
      <w:r w:rsidR="089339B1" w:rsidRPr="003D1E07">
        <w:t>, kte</w:t>
      </w:r>
      <w:r w:rsidR="089C65FA" w:rsidRPr="003D1E07">
        <w:t xml:space="preserve">rou nese subjekt sám v sobě. </w:t>
      </w:r>
      <w:r w:rsidR="081943CF" w:rsidRPr="003D1E07">
        <w:t>Proto je bytí technicky poznaného jsoucna plně přítomné v mysli šikovného</w:t>
      </w:r>
      <w:r w:rsidR="08CE1A94" w:rsidRPr="003D1E07">
        <w:t xml:space="preserve"> logika </w:t>
      </w:r>
      <w:r w:rsidR="081943CF" w:rsidRPr="003D1E07">
        <w:t xml:space="preserve">či metafyzického umělce. </w:t>
      </w:r>
      <w:r w:rsidR="082B597D" w:rsidRPr="003D1E07">
        <w:t xml:space="preserve">Přechod jedinečné kauzality první substance na iterativní logiku druhé substance určuje </w:t>
      </w:r>
      <w:r w:rsidR="08287C41" w:rsidRPr="003D1E07">
        <w:t xml:space="preserve">metafyzický </w:t>
      </w:r>
      <w:r w:rsidR="082B597D" w:rsidRPr="003D1E07">
        <w:t xml:space="preserve">dativ. </w:t>
      </w:r>
      <w:r w:rsidR="08C8047A" w:rsidRPr="003D1E07">
        <w:t xml:space="preserve">Přítomnost </w:t>
      </w:r>
      <w:r w:rsidR="00B242A2" w:rsidRPr="003D1E07">
        <w:t xml:space="preserve">individuálního </w:t>
      </w:r>
      <w:r w:rsidR="08C8047A" w:rsidRPr="003D1E07">
        <w:t xml:space="preserve">jsoucna je skrze vědění aristotelského subjektu metafyziky </w:t>
      </w:r>
      <w:r w:rsidR="003F48C8" w:rsidRPr="003D1E07">
        <w:t xml:space="preserve">určena </w:t>
      </w:r>
      <w:r w:rsidR="08A62205" w:rsidRPr="003D1E07">
        <w:t>kauzálně-perfektně</w:t>
      </w:r>
      <w:r w:rsidR="08910B2F" w:rsidRPr="003D1E07">
        <w:t xml:space="preserve"> (</w:t>
      </w:r>
      <w:r w:rsidR="08910B2F" w:rsidRPr="003D1E07">
        <w:rPr>
          <w:i/>
        </w:rPr>
        <w:t>quidditas</w:t>
      </w:r>
      <w:r w:rsidR="08910B2F" w:rsidRPr="003D1E07">
        <w:t xml:space="preserve">) </w:t>
      </w:r>
      <w:r w:rsidR="08A62205" w:rsidRPr="003D1E07">
        <w:t xml:space="preserve">a proto </w:t>
      </w:r>
      <w:r w:rsidR="003F48C8" w:rsidRPr="003D1E07">
        <w:t xml:space="preserve">je </w:t>
      </w:r>
      <w:r w:rsidR="08351EDC" w:rsidRPr="003D1E07">
        <w:t>logicky</w:t>
      </w:r>
      <w:r w:rsidR="001F6337" w:rsidRPr="003D1E07">
        <w:t xml:space="preserve"> a </w:t>
      </w:r>
      <w:r w:rsidR="08C8047A" w:rsidRPr="003D1E07">
        <w:t>iterativně</w:t>
      </w:r>
      <w:r w:rsidR="08910B2F" w:rsidRPr="003D1E07">
        <w:t xml:space="preserve"> </w:t>
      </w:r>
      <w:r w:rsidR="003F48C8" w:rsidRPr="003D1E07">
        <w:t xml:space="preserve">reprodukována </w:t>
      </w:r>
      <w:r w:rsidR="08910B2F" w:rsidRPr="003D1E07">
        <w:t>(</w:t>
      </w:r>
      <w:r w:rsidR="08910B2F" w:rsidRPr="003D1E07">
        <w:rPr>
          <w:i/>
        </w:rPr>
        <w:t>essentia</w:t>
      </w:r>
      <w:r w:rsidR="08910B2F" w:rsidRPr="003D1E07">
        <w:t>)</w:t>
      </w:r>
      <w:r w:rsidR="08C8047A" w:rsidRPr="003D1E07">
        <w:t>.</w:t>
      </w:r>
      <w:r w:rsidR="086178F7" w:rsidRPr="003D1E07">
        <w:t xml:space="preserve"> </w:t>
      </w:r>
      <w:r w:rsidR="0877553E" w:rsidRPr="003D1E07">
        <w:t xml:space="preserve">Přítomnost </w:t>
      </w:r>
      <w:r w:rsidR="003833B3" w:rsidRPr="003D1E07">
        <w:t xml:space="preserve">esenciálního </w:t>
      </w:r>
      <w:r w:rsidR="0877553E" w:rsidRPr="003D1E07">
        <w:t>konceptu vyplnila v mysli prázdnotu</w:t>
      </w:r>
      <w:r w:rsidR="003833B3" w:rsidRPr="003D1E07">
        <w:t xml:space="preserve"> danou nepřítomností reálné substance</w:t>
      </w:r>
      <w:r w:rsidR="0877553E" w:rsidRPr="003D1E07">
        <w:t xml:space="preserve">. </w:t>
      </w:r>
      <w:r w:rsidR="002B2346" w:rsidRPr="003D1E07">
        <w:t>R</w:t>
      </w:r>
      <w:r w:rsidR="08544262" w:rsidRPr="003D1E07">
        <w:t xml:space="preserve">eprezentovaná substance </w:t>
      </w:r>
      <w:r w:rsidR="08C8047A" w:rsidRPr="003D1E07">
        <w:t xml:space="preserve">neexistuje </w:t>
      </w:r>
      <w:r w:rsidR="08544262" w:rsidRPr="003D1E07">
        <w:t>v intelektu reálně, ale jen potenciálně.</w:t>
      </w:r>
    </w:p>
    <w:p w14:paraId="121D4C55" w14:textId="77777777" w:rsidR="00831F37" w:rsidRDefault="005C7FE5" w:rsidP="004E56C3">
      <w:pPr>
        <w:ind w:firstLine="397"/>
      </w:pPr>
      <w:r w:rsidRPr="003D1E07">
        <w:t>Aristotelem založená parusie vědění odmítla mytopoetic</w:t>
      </w:r>
      <w:r w:rsidR="00094D78" w:rsidRPr="003D1E07">
        <w:t xml:space="preserve">kou přítomnost platonské ideje. Druhá substance definuje esenci jako přítomnost čisté možnosti, kterou vytváří univerzální </w:t>
      </w:r>
      <w:r w:rsidR="00094D78" w:rsidRPr="003D1E07">
        <w:lastRenderedPageBreak/>
        <w:t xml:space="preserve">pojem. Aristotelské poznání je produkcí možného, která odpovídá pravdivé reprodukci </w:t>
      </w:r>
      <w:r w:rsidR="00094D78" w:rsidRPr="003D1E07">
        <w:rPr>
          <w:i/>
        </w:rPr>
        <w:t>quidditas</w:t>
      </w:r>
      <w:r w:rsidR="00094D78" w:rsidRPr="003D1E07">
        <w:t xml:space="preserve">. Rozdíl „produkce možného – reprodukce skutečného“ má kapitální význam pro rozdíl mezi Aristotelovou logikou a metafyzikou. </w:t>
      </w:r>
      <w:r w:rsidRPr="003D1E07">
        <w:t xml:space="preserve">Druhá substance definuje esenci pouze jako </w:t>
      </w:r>
      <w:r w:rsidR="008F32FC" w:rsidRPr="003D1E07">
        <w:t xml:space="preserve">přítomnost čisté potence, která je reprodukována </w:t>
      </w:r>
      <w:r w:rsidRPr="003D1E07">
        <w:t xml:space="preserve">skrze univerzální pojem. </w:t>
      </w:r>
      <w:r w:rsidR="0877553E" w:rsidRPr="003D1E07">
        <w:t xml:space="preserve">Tento </w:t>
      </w:r>
      <w:r w:rsidR="006573E2" w:rsidRPr="003D1E07">
        <w:t xml:space="preserve">problematický </w:t>
      </w:r>
      <w:r w:rsidR="0877553E" w:rsidRPr="003D1E07">
        <w:t xml:space="preserve">status aristotelského pojmu </w:t>
      </w:r>
      <w:r w:rsidR="08FB0F40" w:rsidRPr="003D1E07">
        <w:t xml:space="preserve">odvozený od platonské ideje </w:t>
      </w:r>
      <w:r w:rsidR="0877553E" w:rsidRPr="003D1E07">
        <w:t>budeme dále zkoumat skrze termín „jsoucno třetího druhu“ (</w:t>
      </w:r>
      <w:r w:rsidR="0877553E" w:rsidRPr="003D1E07">
        <w:rPr>
          <w:i/>
        </w:rPr>
        <w:t>tertium ens</w:t>
      </w:r>
      <w:r w:rsidR="0877553E" w:rsidRPr="003D1E07">
        <w:rPr>
          <w:i/>
        </w:rPr>
        <w:fldChar w:fldCharType="begin"/>
      </w:r>
      <w:r w:rsidR="0877553E" w:rsidRPr="003D1E07">
        <w:instrText xml:space="preserve"> XE "</w:instrText>
      </w:r>
      <w:r w:rsidR="0877553E" w:rsidRPr="003D1E07">
        <w:rPr>
          <w:i/>
        </w:rPr>
        <w:instrText>tertium ens</w:instrText>
      </w:r>
      <w:r w:rsidR="0877553E" w:rsidRPr="003D1E07">
        <w:instrText xml:space="preserve">:Aristoteles" </w:instrText>
      </w:r>
      <w:r w:rsidR="0877553E" w:rsidRPr="003D1E07">
        <w:rPr>
          <w:i/>
        </w:rPr>
        <w:fldChar w:fldCharType="end"/>
      </w:r>
      <w:r w:rsidR="009A3DD1" w:rsidRPr="003D1E07">
        <w:t xml:space="preserve">). </w:t>
      </w:r>
      <w:r w:rsidR="08A07D7D" w:rsidRPr="003D1E07">
        <w:t xml:space="preserve">Poznané ideální </w:t>
      </w:r>
      <w:r w:rsidR="007A67FD" w:rsidRPr="003D1E07">
        <w:t xml:space="preserve">jsoucno </w:t>
      </w:r>
      <w:r w:rsidR="08A07D7D" w:rsidRPr="003D1E07">
        <w:t>není ani celkem archaicky nazíraného bytí a</w:t>
      </w:r>
      <w:r w:rsidR="007A67FD" w:rsidRPr="003D1E07">
        <w:t xml:space="preserve">ni reálně existující substancí. </w:t>
      </w:r>
      <w:r w:rsidR="0026479B" w:rsidRPr="003D1E07">
        <w:t xml:space="preserve">Reálná metabolická produkce a kinetický pohyb jsoucna v aristotelské </w:t>
      </w:r>
      <w:r w:rsidR="0026479B" w:rsidRPr="003D1E07">
        <w:rPr>
          <w:i/>
        </w:rPr>
        <w:t>fýsis</w:t>
      </w:r>
      <w:r w:rsidR="0026479B" w:rsidRPr="003D1E07">
        <w:t xml:space="preserve"> se zásadně liší od ideální reprodukce </w:t>
      </w:r>
      <w:r w:rsidR="007A67FD" w:rsidRPr="003D1E07">
        <w:t xml:space="preserve">tohoto </w:t>
      </w:r>
      <w:r w:rsidR="0026479B" w:rsidRPr="003D1E07">
        <w:t xml:space="preserve">fyzikálního dění v lidské duši. </w:t>
      </w:r>
      <w:r w:rsidR="007A67FD" w:rsidRPr="003D1E07">
        <w:t>R</w:t>
      </w:r>
      <w:r w:rsidR="0026479B" w:rsidRPr="003D1E07">
        <w:t xml:space="preserve">eálné jsoucno kauzálně a proto adekvátně deteminuje poznání esence. </w:t>
      </w:r>
      <w:r w:rsidR="00EB5A2D" w:rsidRPr="003D1E07">
        <w:t>Kategoriální p</w:t>
      </w:r>
      <w:r w:rsidR="08B64693" w:rsidRPr="003D1E07">
        <w:t>redik</w:t>
      </w:r>
      <w:r w:rsidR="00EB5A2D" w:rsidRPr="003D1E07">
        <w:t>ace</w:t>
      </w:r>
      <w:r w:rsidR="080E598C" w:rsidRPr="003D1E07">
        <w:t> </w:t>
      </w:r>
      <w:r w:rsidR="08B64693" w:rsidRPr="003D1E07">
        <w:t>druhé substance</w:t>
      </w:r>
      <w:r w:rsidR="00EB5A2D" w:rsidRPr="003D1E07">
        <w:t xml:space="preserve"> </w:t>
      </w:r>
      <w:r w:rsidR="08765E37" w:rsidRPr="003D1E07">
        <w:t>způsobila, že první substance se stala perfektně poznanou minulostí</w:t>
      </w:r>
      <w:r w:rsidR="009A3DD1" w:rsidRPr="003D1E07">
        <w:t xml:space="preserve">. </w:t>
      </w:r>
      <w:r w:rsidR="08F12D6C" w:rsidRPr="003D1E07">
        <w:t>P</w:t>
      </w:r>
      <w:r w:rsidR="08D7555C" w:rsidRPr="003D1E07">
        <w:t xml:space="preserve">rvní substance dané v realitě nejsou přímo </w:t>
      </w:r>
      <w:r w:rsidR="0884743C" w:rsidRPr="003D1E07">
        <w:t>obsaženy v</w:t>
      </w:r>
      <w:r w:rsidR="08940CFA" w:rsidRPr="003D1E07">
        <w:t xml:space="preserve"> lidském typu </w:t>
      </w:r>
      <w:r w:rsidR="0884743C" w:rsidRPr="003D1E07">
        <w:t>poznání</w:t>
      </w:r>
      <w:r w:rsidR="087202A2" w:rsidRPr="003D1E07">
        <w:t xml:space="preserve">. </w:t>
      </w:r>
      <w:r w:rsidR="08940CFA" w:rsidRPr="003D1E07">
        <w:t xml:space="preserve">Aristoteles odmítl falešnou </w:t>
      </w:r>
      <w:r w:rsidR="08782A10" w:rsidRPr="003D1E07">
        <w:t xml:space="preserve">mytopoetiku platonské </w:t>
      </w:r>
      <w:r w:rsidR="004D160E" w:rsidRPr="003D1E07">
        <w:t xml:space="preserve">božské </w:t>
      </w:r>
      <w:r w:rsidR="08782A10" w:rsidRPr="003D1E07">
        <w:t xml:space="preserve">komedie. </w:t>
      </w:r>
      <w:r w:rsidR="00812B4E" w:rsidRPr="003D1E07">
        <w:t>Filosofie se vrátila</w:t>
      </w:r>
      <w:r w:rsidR="08782A10" w:rsidRPr="003D1E07">
        <w:t xml:space="preserve"> na pevnou půdu první substance a tím část</w:t>
      </w:r>
      <w:r w:rsidR="08DA469F" w:rsidRPr="003D1E07">
        <w:t>e</w:t>
      </w:r>
      <w:r w:rsidR="00200BAD" w:rsidRPr="003D1E07">
        <w:t>čně rehabilitovala</w:t>
      </w:r>
      <w:r w:rsidR="08782A10" w:rsidRPr="003D1E07">
        <w:t xml:space="preserve"> p</w:t>
      </w:r>
      <w:r w:rsidR="08940CFA" w:rsidRPr="003D1E07">
        <w:t xml:space="preserve">ůvodní </w:t>
      </w:r>
      <w:r w:rsidR="08782A10" w:rsidRPr="003D1E07">
        <w:t xml:space="preserve">formu </w:t>
      </w:r>
      <w:r w:rsidR="08940CFA" w:rsidRPr="003D1E07">
        <w:t xml:space="preserve">moudrosti. </w:t>
      </w:r>
      <w:r w:rsidR="08531AC5" w:rsidRPr="003D1E07">
        <w:t>Aktuální jsoucno dané mimo nás vnímají nejprve smysly a pak je poznává intelekt</w:t>
      </w:r>
      <w:r w:rsidR="08640352" w:rsidRPr="003D1E07">
        <w:t>.</w:t>
      </w:r>
      <w:r w:rsidR="08531AC5" w:rsidRPr="003D1E07">
        <w:t xml:space="preserve"> </w:t>
      </w:r>
      <w:r w:rsidR="088C5A69" w:rsidRPr="003D1E07">
        <w:t xml:space="preserve">Přítomnost reálné první substance odpovídá </w:t>
      </w:r>
      <w:r w:rsidR="087F0A93" w:rsidRPr="003D1E07">
        <w:t xml:space="preserve">v řádu nové metafyziky </w:t>
      </w:r>
      <w:r w:rsidR="088125AD" w:rsidRPr="003D1E07">
        <w:t xml:space="preserve">na bytí </w:t>
      </w:r>
      <w:r w:rsidR="087F0A93" w:rsidRPr="003D1E07">
        <w:t xml:space="preserve">technicky zajištěné a </w:t>
      </w:r>
      <w:r w:rsidR="086A76F1" w:rsidRPr="003D1E07">
        <w:t xml:space="preserve">nezměnitelné jsoucnosti </w:t>
      </w:r>
      <w:r w:rsidR="088C5A69" w:rsidRPr="003D1E07">
        <w:t xml:space="preserve">platonské ideje. </w:t>
      </w:r>
      <w:r w:rsidR="0808780D" w:rsidRPr="003D1E07">
        <w:t xml:space="preserve">K bytí aktuálního jsoucna </w:t>
      </w:r>
      <w:r w:rsidR="086A76F1" w:rsidRPr="003D1E07">
        <w:t xml:space="preserve">(Platonovy ideje, Aristotelovy první substance) </w:t>
      </w:r>
      <w:r w:rsidR="0808780D" w:rsidRPr="003D1E07">
        <w:t xml:space="preserve">nelze nic přidat. </w:t>
      </w:r>
      <w:r w:rsidR="08B85CC6" w:rsidRPr="003D1E07">
        <w:t xml:space="preserve">Tato </w:t>
      </w:r>
      <w:r w:rsidR="083F65BF" w:rsidRPr="003D1E07">
        <w:t xml:space="preserve">perfektní plnost </w:t>
      </w:r>
      <w:r w:rsidR="00031234" w:rsidRPr="003D1E07">
        <w:t xml:space="preserve">platonské nebo aristotelské </w:t>
      </w:r>
      <w:r w:rsidR="08B85CC6" w:rsidRPr="003D1E07">
        <w:t xml:space="preserve">substance </w:t>
      </w:r>
      <w:r w:rsidR="00D00EA7" w:rsidRPr="003D1E07">
        <w:t xml:space="preserve">nejprve </w:t>
      </w:r>
      <w:r w:rsidR="083F65BF" w:rsidRPr="003D1E07">
        <w:t xml:space="preserve">determinuje realitu a </w:t>
      </w:r>
      <w:r w:rsidR="08B85CC6" w:rsidRPr="003D1E07">
        <w:t xml:space="preserve">tím i </w:t>
      </w:r>
      <w:r w:rsidR="00831F37">
        <w:t>naše poznání.</w:t>
      </w:r>
    </w:p>
    <w:p w14:paraId="7217DEE1" w14:textId="77777777" w:rsidR="008C261C" w:rsidRDefault="084941D2" w:rsidP="00831F37">
      <w:pPr>
        <w:ind w:firstLine="397"/>
      </w:pPr>
      <w:r w:rsidRPr="003D1E07">
        <w:t xml:space="preserve">Minulá kapitola ukázala </w:t>
      </w:r>
      <w:r w:rsidR="08E10D19" w:rsidRPr="003D1E07">
        <w:t>p</w:t>
      </w:r>
      <w:r w:rsidR="009652AC" w:rsidRPr="003D1E07">
        <w:t>latonskou</w:t>
      </w:r>
      <w:r w:rsidR="08E10D19" w:rsidRPr="003D1E07">
        <w:t xml:space="preserve"> </w:t>
      </w:r>
      <w:r w:rsidR="009652AC" w:rsidRPr="003D1E07">
        <w:t xml:space="preserve">manifestaci </w:t>
      </w:r>
      <w:r w:rsidRPr="003D1E07">
        <w:t xml:space="preserve">perfektního ideového jsoucna skrze technicky pojatý </w:t>
      </w:r>
      <w:r w:rsidR="08287C41" w:rsidRPr="003D1E07">
        <w:t xml:space="preserve">metafyzický </w:t>
      </w:r>
      <w:r w:rsidRPr="003D1E07">
        <w:t>dativ.</w:t>
      </w:r>
      <w:r w:rsidR="08E64D68" w:rsidRPr="003D1E07">
        <w:t xml:space="preserve"> </w:t>
      </w:r>
      <w:r w:rsidR="007575C5" w:rsidRPr="003D1E07">
        <w:t>Metafyzika</w:t>
      </w:r>
      <w:r w:rsidR="085339F6" w:rsidRPr="003D1E07">
        <w:t xml:space="preserve"> daná dialektikou </w:t>
      </w:r>
      <w:r w:rsidR="08CC4813" w:rsidRPr="003D1E07">
        <w:t xml:space="preserve">první a druhé </w:t>
      </w:r>
      <w:r w:rsidR="08331CF6" w:rsidRPr="003D1E07">
        <w:t xml:space="preserve">substance </w:t>
      </w:r>
      <w:r w:rsidR="08CC4813" w:rsidRPr="003D1E07">
        <w:t xml:space="preserve">zásadně </w:t>
      </w:r>
      <w:r w:rsidR="084F2F56" w:rsidRPr="003D1E07">
        <w:t>odmítl</w:t>
      </w:r>
      <w:r w:rsidR="08331CF6" w:rsidRPr="003D1E07">
        <w:t>a</w:t>
      </w:r>
      <w:r w:rsidR="08CC4813" w:rsidRPr="003D1E07">
        <w:t xml:space="preserve"> </w:t>
      </w:r>
      <w:r w:rsidR="08E10D19" w:rsidRPr="003D1E07">
        <w:t xml:space="preserve">platonskou </w:t>
      </w:r>
      <w:r w:rsidR="08CC4813" w:rsidRPr="003D1E07">
        <w:t>matematiku jako první vědu</w:t>
      </w:r>
      <w:r w:rsidR="082463D9" w:rsidRPr="003D1E07">
        <w:t xml:space="preserve">. </w:t>
      </w:r>
      <w:r w:rsidR="08E10D19" w:rsidRPr="003D1E07">
        <w:t>Aristotelská p</w:t>
      </w:r>
      <w:r w:rsidR="082463D9" w:rsidRPr="003D1E07">
        <w:t xml:space="preserve">rvní věda </w:t>
      </w:r>
      <w:r w:rsidR="084715DD" w:rsidRPr="003D1E07">
        <w:t>sleduje původní stopu Sokratovy moudrosti dano</w:t>
      </w:r>
      <w:r w:rsidR="08507799" w:rsidRPr="003D1E07">
        <w:t>u v</w:t>
      </w:r>
      <w:r w:rsidR="089B5A7A" w:rsidRPr="003D1E07">
        <w:t>e dvojím druhu</w:t>
      </w:r>
      <w:r w:rsidR="08507799" w:rsidRPr="003D1E07">
        <w:t> tázání</w:t>
      </w:r>
      <w:r w:rsidR="089B5A7A" w:rsidRPr="003D1E07">
        <w:t xml:space="preserve"> po kráse a po dobru</w:t>
      </w:r>
      <w:r w:rsidR="000C5503" w:rsidRPr="003D1E07">
        <w:t xml:space="preserve">: </w:t>
      </w:r>
      <w:r w:rsidR="08507799" w:rsidRPr="003D1E07">
        <w:t>Co je toto krásné působící</w:t>
      </w:r>
      <w:r w:rsidR="084715DD" w:rsidRPr="003D1E07">
        <w:t xml:space="preserve"> zde a nyní</w:t>
      </w:r>
      <w:r w:rsidR="08507799" w:rsidRPr="003D1E07">
        <w:t xml:space="preserve"> (τί ἐστι τοῦτο τὸ καλόν, </w:t>
      </w:r>
      <w:r w:rsidR="08507799" w:rsidRPr="003D1E07">
        <w:rPr>
          <w:i/>
        </w:rPr>
        <w:t>Hippias maior</w:t>
      </w:r>
      <w:r w:rsidR="08A22012" w:rsidRPr="003D1E07">
        <w:t xml:space="preserve"> 287d3</w:t>
      </w:r>
      <w:r w:rsidR="089B5A7A" w:rsidRPr="003D1E07">
        <w:fldChar w:fldCharType="begin"/>
      </w:r>
      <w:r w:rsidR="089B5A7A" w:rsidRPr="003D1E07">
        <w:instrText xml:space="preserve"> XE "Platon:</w:instrText>
      </w:r>
      <w:r w:rsidR="089B5A7A" w:rsidRPr="003D1E07">
        <w:rPr>
          <w:i/>
        </w:rPr>
        <w:instrText>Hippias maior</w:instrText>
      </w:r>
      <w:r w:rsidR="08A22012" w:rsidRPr="003D1E07">
        <w:instrText xml:space="preserve"> 287d3</w:instrText>
      </w:r>
      <w:r w:rsidR="089B5A7A" w:rsidRPr="003D1E07">
        <w:instrText xml:space="preserve">" </w:instrText>
      </w:r>
      <w:r w:rsidR="089B5A7A" w:rsidRPr="003D1E07">
        <w:fldChar w:fldCharType="end"/>
      </w:r>
      <w:r w:rsidR="08507799" w:rsidRPr="003D1E07">
        <w:t>)</w:t>
      </w:r>
      <w:r w:rsidR="089B5A7A" w:rsidRPr="003D1E07">
        <w:t xml:space="preserve">? Co je dobro </w:t>
      </w:r>
      <w:r w:rsidR="08507799" w:rsidRPr="003D1E07">
        <w:t>existující samo od sebe (αὐτὸ μὲν τί ποτ' ἐστὶ τἀγαθὸν</w:t>
      </w:r>
      <w:r w:rsidR="089B5A7A" w:rsidRPr="003D1E07">
        <w:t xml:space="preserve">, </w:t>
      </w:r>
      <w:r w:rsidR="084C7E0F" w:rsidRPr="003D1E07">
        <w:rPr>
          <w:i/>
        </w:rPr>
        <w:t>Rep</w:t>
      </w:r>
      <w:r w:rsidR="084C7E0F" w:rsidRPr="003D1E07">
        <w:t xml:space="preserve">. </w:t>
      </w:r>
      <w:r w:rsidR="089B5A7A" w:rsidRPr="003D1E07">
        <w:t>506</w:t>
      </w:r>
      <w:r w:rsidR="08C04C63" w:rsidRPr="003D1E07">
        <w:t>d8‒</w:t>
      </w:r>
      <w:r w:rsidR="089B5A7A" w:rsidRPr="003D1E07">
        <w:t>e1</w:t>
      </w:r>
      <w:r w:rsidR="089B5A7A" w:rsidRPr="003D1E07">
        <w:fldChar w:fldCharType="begin"/>
      </w:r>
      <w:r w:rsidR="089B5A7A" w:rsidRPr="003D1E07">
        <w:instrText xml:space="preserve"> XE "Platon:</w:instrText>
      </w:r>
      <w:r w:rsidR="084C7E0F" w:rsidRPr="003D1E07">
        <w:rPr>
          <w:i/>
        </w:rPr>
        <w:instrText>Rep</w:instrText>
      </w:r>
      <w:r w:rsidR="084C7E0F" w:rsidRPr="003D1E07">
        <w:instrText xml:space="preserve">. </w:instrText>
      </w:r>
      <w:r w:rsidR="089B5A7A" w:rsidRPr="003D1E07">
        <w:instrText xml:space="preserve">506d8-e1" </w:instrText>
      </w:r>
      <w:r w:rsidR="089B5A7A" w:rsidRPr="003D1E07">
        <w:fldChar w:fldCharType="end"/>
      </w:r>
      <w:r w:rsidR="089B5A7A" w:rsidRPr="003D1E07">
        <w:t xml:space="preserve">)? </w:t>
      </w:r>
      <w:r w:rsidR="08CC4813" w:rsidRPr="003D1E07">
        <w:t xml:space="preserve">Aristoteles </w:t>
      </w:r>
      <w:r w:rsidR="08A60320" w:rsidRPr="003D1E07">
        <w:t>řekl v</w:t>
      </w:r>
      <w:r w:rsidR="004409EB" w:rsidRPr="003D1E07">
        <w:t> </w:t>
      </w:r>
      <w:r w:rsidR="000C5503" w:rsidRPr="003D1E07">
        <w:t>nov</w:t>
      </w:r>
      <w:r w:rsidR="004409EB" w:rsidRPr="003D1E07">
        <w:t>é verzi metafyziky,</w:t>
      </w:r>
      <w:r w:rsidR="089B5A7A" w:rsidRPr="003D1E07">
        <w:t xml:space="preserve"> že </w:t>
      </w:r>
      <w:r w:rsidR="08A23A2C" w:rsidRPr="003D1E07">
        <w:t xml:space="preserve">Sokratovo tázání </w:t>
      </w:r>
      <w:r w:rsidR="004409EB" w:rsidRPr="003D1E07">
        <w:t xml:space="preserve">se týká </w:t>
      </w:r>
      <w:r w:rsidR="08242B31" w:rsidRPr="003D1E07">
        <w:t xml:space="preserve">reálně existující </w:t>
      </w:r>
      <w:r w:rsidR="089B5A7A" w:rsidRPr="003D1E07">
        <w:t>první substance</w:t>
      </w:r>
      <w:r w:rsidR="08AD169C" w:rsidRPr="003D1E07">
        <w:t xml:space="preserve">. </w:t>
      </w:r>
      <w:r w:rsidR="081968B9" w:rsidRPr="003D1E07">
        <w:t>P</w:t>
      </w:r>
      <w:r w:rsidR="085A4579" w:rsidRPr="003D1E07">
        <w:t xml:space="preserve">rvní substance reálně působí proto, že existuje sama od sebe (καθ' αὑτὸ ἐνεργεῖν, </w:t>
      </w:r>
      <w:r w:rsidR="085A4579" w:rsidRPr="003D1E07">
        <w:rPr>
          <w:i/>
        </w:rPr>
        <w:t>Met</w:t>
      </w:r>
      <w:r w:rsidR="085A4579" w:rsidRPr="003D1E07">
        <w:t>. 1072a12‒13</w:t>
      </w:r>
      <w:r w:rsidR="085A4579" w:rsidRPr="003D1E07">
        <w:fldChar w:fldCharType="begin"/>
      </w:r>
      <w:r w:rsidR="085A4579" w:rsidRPr="003D1E07">
        <w:instrText xml:space="preserve"> XE "Aristoteles:</w:instrText>
      </w:r>
      <w:r w:rsidR="085A4579" w:rsidRPr="003D1E07">
        <w:rPr>
          <w:i/>
        </w:rPr>
        <w:instrText>Met</w:instrText>
      </w:r>
      <w:r w:rsidR="085A4579" w:rsidRPr="003D1E07">
        <w:instrText xml:space="preserve">. 1072a12‒13" </w:instrText>
      </w:r>
      <w:r w:rsidR="085A4579" w:rsidRPr="003D1E07">
        <w:fldChar w:fldCharType="end"/>
      </w:r>
      <w:r w:rsidR="085A4579" w:rsidRPr="003D1E07">
        <w:t>). Platonská idea reálně neexistuje</w:t>
      </w:r>
      <w:r w:rsidR="08A23A2C" w:rsidRPr="003D1E07">
        <w:t>, tak ani nemůže reálně působit</w:t>
      </w:r>
      <w:r w:rsidR="085A4579" w:rsidRPr="003D1E07">
        <w:t xml:space="preserve">. </w:t>
      </w:r>
      <w:r w:rsidR="00C85362" w:rsidRPr="003D1E07">
        <w:t xml:space="preserve">Jsoucno zjevené skrze druhou substanci se vztahuje k bytí reálného kosmického celku prvních substancí, nikoliv k diakosmickému celku platonských substancí jako idejí. První substance tvoří základ metafyzické donace a její esenciální bytí je shrnuto v poznané druhé substanci. Metafyzický dativ daný skrze </w:t>
      </w:r>
      <w:r w:rsidR="00C85362" w:rsidRPr="003D1E07">
        <w:fldChar w:fldCharType="begin"/>
      </w:r>
      <w:r w:rsidR="00C85362" w:rsidRPr="003D1E07">
        <w:instrText xml:space="preserve"> XE "</w:instrText>
      </w:r>
      <w:r w:rsidR="00C85362" w:rsidRPr="003D1E07">
        <w:rPr>
          <w:i/>
        </w:rPr>
        <w:instrText>dativus metaphysicus</w:instrText>
      </w:r>
      <w:r w:rsidR="00C85362" w:rsidRPr="003D1E07">
        <w:instrText xml:space="preserve">" </w:instrText>
      </w:r>
      <w:r w:rsidR="00C85362" w:rsidRPr="003D1E07">
        <w:fldChar w:fldCharType="end"/>
      </w:r>
      <w:r w:rsidR="00C85362" w:rsidRPr="003D1E07">
        <w:rPr>
          <w:i/>
        </w:rPr>
        <w:t>quidditas</w:t>
      </w:r>
      <w:r w:rsidR="00C85362" w:rsidRPr="003D1E07">
        <w:t xml:space="preserve"> shromažďuje plnost smyslu </w:t>
      </w:r>
      <w:r w:rsidR="00996704" w:rsidRPr="003D1E07">
        <w:t xml:space="preserve">až </w:t>
      </w:r>
      <w:r w:rsidR="00C85362" w:rsidRPr="003D1E07">
        <w:t xml:space="preserve">v poznávajícím </w:t>
      </w:r>
      <w:r w:rsidR="00C85362" w:rsidRPr="003D1E07">
        <w:lastRenderedPageBreak/>
        <w:t xml:space="preserve">intelektu, a ne v realitě. Celek bytí </w:t>
      </w:r>
      <w:r w:rsidR="00CB129A" w:rsidRPr="003D1E07">
        <w:t>v</w:t>
      </w:r>
      <w:r w:rsidR="00C85362" w:rsidRPr="003D1E07">
        <w:t>zniká až na konci poznání skrze apofantickou predikaci.</w:t>
      </w:r>
      <w:r w:rsidR="00831F37">
        <w:rPr>
          <w:szCs w:val="24"/>
        </w:rPr>
        <w:t xml:space="preserve"> </w:t>
      </w:r>
      <w:r w:rsidR="08E151D2" w:rsidRPr="003D1E07">
        <w:t>Aristotelská m</w:t>
      </w:r>
      <w:r w:rsidR="088474AE" w:rsidRPr="003D1E07">
        <w:t xml:space="preserve">etafyzika přeložila Sokratovo tázání po celku </w:t>
      </w:r>
      <w:r w:rsidR="0010054C" w:rsidRPr="003D1E07">
        <w:t xml:space="preserve">bytí </w:t>
      </w:r>
      <w:r w:rsidR="006E1D0F" w:rsidRPr="003D1E07">
        <w:t>(</w:t>
      </w:r>
      <w:r w:rsidR="006E1D0F" w:rsidRPr="003D1E07">
        <w:rPr>
          <w:i/>
        </w:rPr>
        <w:t>Sein</w:t>
      </w:r>
      <w:r w:rsidR="006E1D0F" w:rsidRPr="003D1E07">
        <w:t xml:space="preserve">) </w:t>
      </w:r>
      <w:r w:rsidR="088474AE" w:rsidRPr="003D1E07">
        <w:t>na tázání po bytí první a druhé substance</w:t>
      </w:r>
      <w:r w:rsidR="006E1D0F" w:rsidRPr="003D1E07">
        <w:t xml:space="preserve"> (</w:t>
      </w:r>
      <w:r w:rsidR="006E1D0F" w:rsidRPr="003D1E07">
        <w:rPr>
          <w:i/>
        </w:rPr>
        <w:t>Dasein</w:t>
      </w:r>
      <w:r w:rsidR="006E1D0F" w:rsidRPr="003D1E07">
        <w:t>)</w:t>
      </w:r>
      <w:r w:rsidR="088474AE" w:rsidRPr="003D1E07">
        <w:t xml:space="preserve">. Sounáležitost první a druhé substance v modu pravdy-adekvace zcela vytěsnila původní pravdu bytí danou jako múzická </w:t>
      </w:r>
      <w:r w:rsidR="088474AE" w:rsidRPr="003D1E07">
        <w:rPr>
          <w:i/>
        </w:rPr>
        <w:t>alétheia</w:t>
      </w:r>
      <w:r w:rsidR="08220A98" w:rsidRPr="003D1E07">
        <w:t>.</w:t>
      </w:r>
      <w:r w:rsidR="08EA7040" w:rsidRPr="003D1E07">
        <w:t xml:space="preserve"> </w:t>
      </w:r>
      <w:r w:rsidR="08FC3CA0" w:rsidRPr="003D1E07">
        <w:t xml:space="preserve">Aristotelský </w:t>
      </w:r>
      <w:r w:rsidR="08FB27A2" w:rsidRPr="003D1E07">
        <w:t xml:space="preserve">Sokrates se </w:t>
      </w:r>
      <w:r w:rsidR="08962A2B" w:rsidRPr="003D1E07">
        <w:t xml:space="preserve">ptá na první substanci danou reálně a jeho odpověď je formulovaná v řádu </w:t>
      </w:r>
      <w:r w:rsidR="00E12476" w:rsidRPr="003D1E07">
        <w:t>logiky, a ne matematiky</w:t>
      </w:r>
      <w:r w:rsidR="08962A2B" w:rsidRPr="003D1E07">
        <w:t xml:space="preserve">. </w:t>
      </w:r>
      <w:r w:rsidR="00416EED" w:rsidRPr="003D1E07">
        <w:t xml:space="preserve">Logos daný </w:t>
      </w:r>
      <w:r w:rsidR="0808780D" w:rsidRPr="003D1E07">
        <w:t xml:space="preserve">na úrovni </w:t>
      </w:r>
      <w:r w:rsidR="081E1823" w:rsidRPr="003D1E07">
        <w:t xml:space="preserve">univerzálního </w:t>
      </w:r>
      <w:r w:rsidR="00416EED" w:rsidRPr="003D1E07">
        <w:t xml:space="preserve">jazyka </w:t>
      </w:r>
      <w:r w:rsidR="0808780D" w:rsidRPr="003D1E07">
        <w:t>univočně a kauzálně definuje již daný smysl jsoucího v duši.</w:t>
      </w:r>
      <w:r w:rsidR="087A1203" w:rsidRPr="003D1E07">
        <w:t xml:space="preserve"> </w:t>
      </w:r>
      <w:r w:rsidR="0017790E" w:rsidRPr="003D1E07">
        <w:t>Pravda je daná</w:t>
      </w:r>
      <w:r w:rsidR="081E1823" w:rsidRPr="003D1E07">
        <w:t xml:space="preserve"> univočně a kauzálně,</w:t>
      </w:r>
      <w:r w:rsidR="08B1752D" w:rsidRPr="003D1E07">
        <w:t xml:space="preserve"> protože </w:t>
      </w:r>
      <w:r w:rsidR="08E834A6" w:rsidRPr="003D1E07">
        <w:t xml:space="preserve">apodiktické </w:t>
      </w:r>
      <w:r w:rsidR="08B1752D" w:rsidRPr="003D1E07">
        <w:t>poznání druhé substance</w:t>
      </w:r>
      <w:r w:rsidR="081E1823" w:rsidRPr="003D1E07">
        <w:t xml:space="preserve"> je </w:t>
      </w:r>
      <w:r w:rsidR="08B1752D" w:rsidRPr="003D1E07">
        <w:t xml:space="preserve">přímým </w:t>
      </w:r>
      <w:r w:rsidR="081E1823" w:rsidRPr="003D1E07">
        <w:t xml:space="preserve">důsledkem </w:t>
      </w:r>
      <w:r w:rsidR="088827B4" w:rsidRPr="003D1E07">
        <w:t xml:space="preserve">jedinečné </w:t>
      </w:r>
      <w:r w:rsidR="081E1823" w:rsidRPr="003D1E07">
        <w:t xml:space="preserve">existence </w:t>
      </w:r>
      <w:r w:rsidR="08AB7F36" w:rsidRPr="003D1E07">
        <w:t xml:space="preserve">a kauzálního působení </w:t>
      </w:r>
      <w:r w:rsidR="081E1823" w:rsidRPr="003D1E07">
        <w:t>první substanc</w:t>
      </w:r>
      <w:r w:rsidR="08EA7040" w:rsidRPr="003D1E07">
        <w:t>e.</w:t>
      </w:r>
      <w:r w:rsidR="088827B4" w:rsidRPr="003D1E07">
        <w:t xml:space="preserve"> Myšlení jde od věci v realitě k její obecné esenci v</w:t>
      </w:r>
      <w:r w:rsidR="00A8318F" w:rsidRPr="003D1E07">
        <w:t> </w:t>
      </w:r>
      <w:r w:rsidR="088827B4" w:rsidRPr="003D1E07">
        <w:t>mysli</w:t>
      </w:r>
      <w:r w:rsidR="00A8318F" w:rsidRPr="003D1E07">
        <w:t xml:space="preserve"> a pak v jazyku</w:t>
      </w:r>
      <w:r w:rsidR="088827B4" w:rsidRPr="003D1E07">
        <w:t>.</w:t>
      </w:r>
      <w:r w:rsidR="08F97F56" w:rsidRPr="003D1E07">
        <w:t xml:space="preserve"> </w:t>
      </w:r>
      <w:r w:rsidR="086233F0" w:rsidRPr="003D1E07">
        <w:t xml:space="preserve">Platonská </w:t>
      </w:r>
      <w:r w:rsidR="002030F8" w:rsidRPr="003D1E07">
        <w:t xml:space="preserve">přítomnost mytopoetické </w:t>
      </w:r>
      <w:r w:rsidR="08F97F56" w:rsidRPr="003D1E07">
        <w:t>ideje zmizela</w:t>
      </w:r>
      <w:r w:rsidR="086233F0" w:rsidRPr="003D1E07">
        <w:t xml:space="preserve"> a </w:t>
      </w:r>
      <w:r w:rsidR="00BC0672" w:rsidRPr="003D1E07">
        <w:t>nahradil</w:t>
      </w:r>
      <w:r w:rsidR="086233F0" w:rsidRPr="003D1E07">
        <w:t xml:space="preserve"> ji univerzální </w:t>
      </w:r>
      <w:r w:rsidR="00BC0672" w:rsidRPr="003D1E07">
        <w:t xml:space="preserve">význam </w:t>
      </w:r>
      <w:r w:rsidR="08F97F56" w:rsidRPr="003D1E07">
        <w:t>reálně existující jednotliviny.</w:t>
      </w:r>
      <w:r w:rsidR="089872BC" w:rsidRPr="003D1E07">
        <w:t xml:space="preserve"> </w:t>
      </w:r>
      <w:r w:rsidR="005B6186" w:rsidRPr="003D1E07">
        <w:t xml:space="preserve">Bytí </w:t>
      </w:r>
      <w:r w:rsidR="089872BC" w:rsidRPr="003D1E07">
        <w:t xml:space="preserve">druhé substance je podle Aristotela pouze sekundární jev, ale zato má univerzální význam. </w:t>
      </w:r>
      <w:r w:rsidR="001476BA" w:rsidRPr="003D1E07">
        <w:t>N</w:t>
      </w:r>
      <w:r w:rsidR="089872BC" w:rsidRPr="003D1E07">
        <w:t xml:space="preserve">ová přítomnost eidetického aspektu jsoucna v mysli </w:t>
      </w:r>
      <w:r w:rsidR="001476BA" w:rsidRPr="003D1E07">
        <w:t xml:space="preserve">opět </w:t>
      </w:r>
      <w:r w:rsidR="089872BC" w:rsidRPr="003D1E07">
        <w:t>tvoří perfektní poznání</w:t>
      </w:r>
      <w:r w:rsidR="001476BA" w:rsidRPr="003D1E07">
        <w:t>. I</w:t>
      </w:r>
      <w:r w:rsidR="089872BC" w:rsidRPr="003D1E07">
        <w:t xml:space="preserve">ntelekt je spojen s bytím věci pomocí kauzálně daného </w:t>
      </w:r>
      <w:r w:rsidR="0876330D" w:rsidRPr="003D1E07">
        <w:t xml:space="preserve">metafyzického </w:t>
      </w:r>
      <w:r w:rsidR="089872BC" w:rsidRPr="003D1E07">
        <w:t xml:space="preserve">dativu. Aktuálně přítomné jsoucno se nepřímo (tj. v modu minulého) manifestuje skrze poznávající akt. Smysly přenášejí působení věci kauzálně, proto také zcela adekvátně. Vztah původní příčiny a původního následku dává zásadní důvod, proč se smysly samy o sobě nemohou mýlit ve svém výkonu. Omyl vzniká až v následných syntézách poznání, které vykonává subjekt. </w:t>
      </w:r>
      <w:r w:rsidR="08A9631C" w:rsidRPr="003D1E07">
        <w:t xml:space="preserve">Donace původního archaického celku bytí zůstala </w:t>
      </w:r>
      <w:r w:rsidR="0864692E" w:rsidRPr="003D1E07">
        <w:t xml:space="preserve">plně skrytým děním </w:t>
      </w:r>
      <w:r w:rsidR="006978B3" w:rsidRPr="003D1E07">
        <w:t xml:space="preserve">u Aristotela stejně </w:t>
      </w:r>
      <w:r w:rsidR="08A9631C" w:rsidRPr="003D1E07">
        <w:t xml:space="preserve">jako u Platona. Celek bytí zmizel do </w:t>
      </w:r>
      <w:r w:rsidR="00381EBA" w:rsidRPr="003D1E07">
        <w:rPr>
          <w:i/>
        </w:rPr>
        <w:t>léthe</w:t>
      </w:r>
      <w:r w:rsidR="08A9631C" w:rsidRPr="003D1E07">
        <w:t xml:space="preserve"> po </w:t>
      </w:r>
      <w:r w:rsidR="001476BA" w:rsidRPr="003D1E07">
        <w:t xml:space="preserve">novém </w:t>
      </w:r>
      <w:r w:rsidR="08A9631C" w:rsidRPr="003D1E07">
        <w:t xml:space="preserve">aktu donace jsoucna, které se stalo </w:t>
      </w:r>
      <w:r w:rsidR="08A544C5" w:rsidRPr="003D1E07">
        <w:t>první substancí</w:t>
      </w:r>
      <w:r w:rsidR="08A9631C" w:rsidRPr="003D1E07">
        <w:t xml:space="preserve">. </w:t>
      </w:r>
      <w:r w:rsidR="008D2E0E" w:rsidRPr="003D1E07">
        <w:t>Múzický a tragický</w:t>
      </w:r>
      <w:r w:rsidR="0803590D" w:rsidRPr="003D1E07">
        <w:t xml:space="preserve"> náhled do jednoty bytí </w:t>
      </w:r>
      <w:r w:rsidR="003F1C79" w:rsidRPr="003D1E07">
        <w:t xml:space="preserve">stál na profetickém vidění a na demokratickém </w:t>
      </w:r>
      <w:r w:rsidR="005D720C">
        <w:t>politickém</w:t>
      </w:r>
      <w:r w:rsidR="086240C9" w:rsidRPr="003D1E07">
        <w:t xml:space="preserve"> </w:t>
      </w:r>
      <w:r w:rsidR="0803590D" w:rsidRPr="003D1E07">
        <w:t>myšlení</w:t>
      </w:r>
      <w:r w:rsidR="003F1C79" w:rsidRPr="003D1E07">
        <w:t xml:space="preserve">, protože </w:t>
      </w:r>
      <w:r w:rsidR="008D2E0E" w:rsidRPr="003D1E07">
        <w:t>vycházel z předchůdného bytí celku</w:t>
      </w:r>
      <w:r w:rsidR="0803590D" w:rsidRPr="003D1E07">
        <w:t xml:space="preserve">. </w:t>
      </w:r>
      <w:r w:rsidR="008D2E0E" w:rsidRPr="003D1E07">
        <w:t xml:space="preserve">Nyní je celek složen z jednotlivých jsoucen </w:t>
      </w:r>
      <w:r w:rsidR="003F1C79" w:rsidRPr="003D1E07">
        <w:t xml:space="preserve">a v subjektu, neboť </w:t>
      </w:r>
      <w:r w:rsidR="008D2E0E" w:rsidRPr="003D1E07">
        <w:t xml:space="preserve"> událost </w:t>
      </w:r>
      <w:r w:rsidR="00DD6C0C" w:rsidRPr="003D1E07">
        <w:t xml:space="preserve">reálně působícího </w:t>
      </w:r>
      <w:r w:rsidR="008D2E0E" w:rsidRPr="003D1E07">
        <w:t>bytí se stala metafyzickým konstruktem.</w:t>
      </w:r>
      <w:r w:rsidR="00DD6C0C" w:rsidRPr="003D1E07">
        <w:t xml:space="preserve"> </w:t>
      </w:r>
      <w:r w:rsidR="0028000B" w:rsidRPr="003D1E07">
        <w:t>Po metafyzickém obratu, k němuž došlo během řecké tyranie, se jednota celku vytváří sk</w:t>
      </w:r>
      <w:r w:rsidR="008C261C">
        <w:t>ládáním jednotlivých substancí.</w:t>
      </w:r>
    </w:p>
    <w:p w14:paraId="16E51DDB" w14:textId="77B13F80" w:rsidR="00307315" w:rsidRPr="004C27E8" w:rsidRDefault="08512147" w:rsidP="004C27E8">
      <w:pPr>
        <w:ind w:firstLine="397"/>
      </w:pPr>
      <w:r w:rsidRPr="003D1E07">
        <w:t xml:space="preserve">Metafyzika završená Aristotelem definitivně změnila vztah myšlení a bytí, protože změnila pojetí pravdy. </w:t>
      </w:r>
      <w:r w:rsidR="001C3C86" w:rsidRPr="003D1E07">
        <w:t>Kauzalita reálné substance se stala</w:t>
      </w:r>
      <w:r w:rsidRPr="003D1E07">
        <w:t xml:space="preserve"> v univerzálním poli zjevování jazyka a poznání minulým děním zakládajícím přítomné poznání a kategoriální výpovědi (ἀπόφανσις</w:t>
      </w:r>
      <w:r w:rsidR="001C3C86" w:rsidRPr="003D1E07">
        <w:t xml:space="preserve">). </w:t>
      </w:r>
      <w:r w:rsidR="00EE022F" w:rsidRPr="003D1E07">
        <w:t>V</w:t>
      </w:r>
      <w:r w:rsidRPr="003D1E07">
        <w:t xml:space="preserve">idění celku bytí v modu múzické pravdy se stalo apofantickou </w:t>
      </w:r>
      <w:r w:rsidR="006E4735" w:rsidRPr="003D1E07">
        <w:t xml:space="preserve">výpovědí </w:t>
      </w:r>
      <w:r w:rsidRPr="003D1E07">
        <w:t xml:space="preserve">jako adekvace první a druhé substance. </w:t>
      </w:r>
      <w:r w:rsidR="00C827E5">
        <w:t xml:space="preserve">To může dělat každý, kdo je intelektuálně trochu šikovný a nepotřebuje k tomu žádnou božskou intervenci Delf. </w:t>
      </w:r>
      <w:r w:rsidR="00425E39">
        <w:t>Toto sekularizované a subjektivní b</w:t>
      </w:r>
      <w:r w:rsidRPr="003D1E07">
        <w:t xml:space="preserve">ytí jsoucna se stalo základem pro první vědu o substanci </w:t>
      </w:r>
      <w:r w:rsidRPr="003D1E07">
        <w:rPr>
          <w:i/>
        </w:rPr>
        <w:t>qua</w:t>
      </w:r>
      <w:r w:rsidRPr="003D1E07">
        <w:t xml:space="preserve"> substanci</w:t>
      </w:r>
      <w:r w:rsidR="08FC40A9" w:rsidRPr="003D1E07">
        <w:fldChar w:fldCharType="begin"/>
      </w:r>
      <w:r w:rsidR="08FC40A9" w:rsidRPr="003D1E07">
        <w:instrText xml:space="preserve"> XE "substance:</w:instrText>
      </w:r>
      <w:r w:rsidR="08FC40A9" w:rsidRPr="003D1E07">
        <w:rPr>
          <w:i/>
        </w:rPr>
        <w:instrText>qua</w:instrText>
      </w:r>
      <w:r w:rsidR="08FC40A9" w:rsidRPr="003D1E07">
        <w:instrText xml:space="preserve"> substance" </w:instrText>
      </w:r>
      <w:r w:rsidR="08FC40A9" w:rsidRPr="003D1E07">
        <w:fldChar w:fldCharType="end"/>
      </w:r>
      <w:r w:rsidRPr="003D1E07">
        <w:t xml:space="preserve">. Platonská technika </w:t>
      </w:r>
      <w:r w:rsidR="004A2685" w:rsidRPr="003D1E07">
        <w:lastRenderedPageBreak/>
        <w:t>dialekti</w:t>
      </w:r>
      <w:r w:rsidR="00874D20" w:rsidRPr="003D1E07">
        <w:t xml:space="preserve">ky </w:t>
      </w:r>
      <w:r w:rsidRPr="003D1E07">
        <w:t>se změnila na aristotelskou techniku logi</w:t>
      </w:r>
      <w:r w:rsidR="00874D20" w:rsidRPr="003D1E07">
        <w:t>ky</w:t>
      </w:r>
      <w:r w:rsidRPr="003D1E07">
        <w:t xml:space="preserve">. Aristoteles provedl metafyzickou revizi předešlého múzického poznání filosofů a poetů. Jejich vidění celku přeložil do nově pojaté fyziky popisující kauzalitu reálně účinné substance. Metafyzik toto primární jsoucno pozoruje stejně účastně a pozorně jako divák tragédie (θεωρός) pozoruje dění vztažené k celku polis. </w:t>
      </w:r>
      <w:r w:rsidR="089D41A9" w:rsidRPr="003D1E07">
        <w:t xml:space="preserve">Aristoteles hlásal po vzoru Platona novou pravdu substance </w:t>
      </w:r>
      <w:r w:rsidR="089D41A9" w:rsidRPr="003D1E07">
        <w:rPr>
          <w:i/>
        </w:rPr>
        <w:t>ex cathedra</w:t>
      </w:r>
      <w:r w:rsidR="089D41A9" w:rsidRPr="003D1E07">
        <w:t xml:space="preserve">, tedy z autority školy založené u chrámu Apollóna Lykeiského. Z původního Sokratova hledání pravdy mezi politicky angažovanými občany Athén (σχολάζω) se stala univerzitní scholastika a povinná školní docházka. Přeměna archaické </w:t>
      </w:r>
      <w:r w:rsidR="089D41A9" w:rsidRPr="003D1E07">
        <w:rPr>
          <w:i/>
        </w:rPr>
        <w:t>scholé</w:t>
      </w:r>
      <w:r w:rsidR="08EE05C3" w:rsidRPr="003D1E07">
        <w:rPr>
          <w:i/>
        </w:rPr>
        <w:fldChar w:fldCharType="begin"/>
      </w:r>
      <w:r w:rsidR="08EE05C3" w:rsidRPr="003D1E07">
        <w:instrText xml:space="preserve"> XE "</w:instrText>
      </w:r>
      <w:r w:rsidR="08EE05C3" w:rsidRPr="003D1E07">
        <w:rPr>
          <w:i/>
        </w:rPr>
        <w:instrText>scholé</w:instrText>
      </w:r>
      <w:r w:rsidR="08EE05C3" w:rsidRPr="003D1E07">
        <w:instrText xml:space="preserve">" </w:instrText>
      </w:r>
      <w:r w:rsidR="08EE05C3" w:rsidRPr="003D1E07">
        <w:rPr>
          <w:i/>
        </w:rPr>
        <w:fldChar w:fldCharType="end"/>
      </w:r>
      <w:r w:rsidR="089D41A9" w:rsidRPr="003D1E07">
        <w:t xml:space="preserve"> na objektivně manipulované školství potvrzuje vítěznou ironii moderny. </w:t>
      </w:r>
      <w:r w:rsidR="08E64D68" w:rsidRPr="003D1E07">
        <w:t xml:space="preserve">Obojí první jsoucno </w:t>
      </w:r>
      <w:r w:rsidR="086177B1" w:rsidRPr="003D1E07">
        <w:t>(ideu nebo</w:t>
      </w:r>
      <w:r w:rsidR="088D415B" w:rsidRPr="003D1E07">
        <w:t xml:space="preserve"> reálnou věc</w:t>
      </w:r>
      <w:r w:rsidR="086177B1" w:rsidRPr="003D1E07">
        <w:t xml:space="preserve">) </w:t>
      </w:r>
      <w:r w:rsidR="08E64D68" w:rsidRPr="003D1E07">
        <w:t xml:space="preserve">je možné reprodukovat a reprezentovat skrze různé formy akademického či lycejního podílnictví na původní plnosti izolovaného jsoucna. Původní význam slova „sdílení“ (μέθεξις) je vzat z aktivní participace na dění tragédie a na politickém životě obce. </w:t>
      </w:r>
      <w:r w:rsidR="004C27E8" w:rsidRPr="004C27E8">
        <w:t xml:space="preserve">Dovední myslitelé </w:t>
      </w:r>
      <w:r w:rsidR="004C27E8">
        <w:t xml:space="preserve">zavedli novou </w:t>
      </w:r>
      <w:r w:rsidR="004C27E8" w:rsidRPr="004C27E8">
        <w:t xml:space="preserve">účast na idejích (Platón) a metafyzickou účast </w:t>
      </w:r>
      <w:r w:rsidR="004C27E8">
        <w:t xml:space="preserve">na druhých substancích </w:t>
      </w:r>
      <w:r w:rsidR="004C27E8" w:rsidRPr="004C27E8">
        <w:t>(Aristoteles). Toto simulakrum archaické účasti na mystériích vytvořilo novou formu meta</w:t>
      </w:r>
      <w:r w:rsidR="004C27E8">
        <w:t xml:space="preserve">fyzického kapitálu. </w:t>
      </w:r>
      <w:r w:rsidR="00DC5061">
        <w:t xml:space="preserve">Tímto způsobem vznikla božská komedie zvaná „metafyzika“. </w:t>
      </w:r>
      <w:r w:rsidR="00215AAE" w:rsidRPr="003D1E07">
        <w:t xml:space="preserve">Akademici jsou šťastnými majiteli nového podniku a pedagogové mají </w:t>
      </w:r>
      <w:r w:rsidR="00561E24">
        <w:t xml:space="preserve">přednostní </w:t>
      </w:r>
      <w:r w:rsidR="00215AAE" w:rsidRPr="003D1E07">
        <w:t xml:space="preserve">právo na nákup akcií. </w:t>
      </w:r>
      <w:r w:rsidR="08E41F14" w:rsidRPr="003D1E07">
        <w:t xml:space="preserve">Akademický spolek tvoří teoretikové první vědy a praktičtí technici logické vypovědi. </w:t>
      </w:r>
      <w:r w:rsidR="00E75087" w:rsidRPr="003D1E07">
        <w:t xml:space="preserve">Obě skupiny artisticky zdatných intelektuálů řídí školní podnik s ohledem na zachování své profese a blahobyt příslušné profesní skupiny. Scholastický pud sebezáchovy </w:t>
      </w:r>
      <w:r w:rsidR="086551BC" w:rsidRPr="003D1E07">
        <w:t xml:space="preserve">zakládá </w:t>
      </w:r>
      <w:r w:rsidR="08485ED6" w:rsidRPr="003D1E07">
        <w:t xml:space="preserve">nové </w:t>
      </w:r>
      <w:r w:rsidR="08E41F14" w:rsidRPr="003D1E07">
        <w:t xml:space="preserve">pojetí </w:t>
      </w:r>
      <w:r w:rsidR="00FD7169" w:rsidRPr="003D1E07">
        <w:t>„péče o duši“</w:t>
      </w:r>
      <w:r w:rsidR="00474FD1" w:rsidRPr="003D1E07">
        <w:t>, které se v rámci plnohodnotné božské komedie odvolává na Sokrata</w:t>
      </w:r>
      <w:r w:rsidR="08E41F14" w:rsidRPr="003D1E07">
        <w:t xml:space="preserve">. </w:t>
      </w:r>
      <w:r w:rsidR="08AC758A" w:rsidRPr="003D1E07">
        <w:t>Akademické s</w:t>
      </w:r>
      <w:r w:rsidR="08E92D25" w:rsidRPr="003D1E07">
        <w:t xml:space="preserve">dílení pravdy </w:t>
      </w:r>
      <w:r w:rsidR="08AC758A" w:rsidRPr="003D1E07">
        <w:t xml:space="preserve">po zániku </w:t>
      </w:r>
      <w:r w:rsidR="08485ED6" w:rsidRPr="003D1E07">
        <w:t>politicky a filosofic</w:t>
      </w:r>
      <w:r w:rsidR="08EC0896" w:rsidRPr="003D1E07">
        <w:t>k</w:t>
      </w:r>
      <w:r w:rsidR="08485ED6" w:rsidRPr="003D1E07">
        <w:t>y anga</w:t>
      </w:r>
      <w:r w:rsidR="08EC0896" w:rsidRPr="003D1E07">
        <w:t xml:space="preserve">žované tragédie nese </w:t>
      </w:r>
      <w:r w:rsidR="08E64D68" w:rsidRPr="003D1E07">
        <w:t xml:space="preserve">metafyzický význam určený technickým </w:t>
      </w:r>
      <w:r w:rsidR="08A31809" w:rsidRPr="003D1E07">
        <w:t xml:space="preserve">umem </w:t>
      </w:r>
      <w:r w:rsidR="08E64D68" w:rsidRPr="003D1E07">
        <w:t xml:space="preserve">řemeslníků (βάναυσοι). </w:t>
      </w:r>
      <w:r w:rsidR="083F760F" w:rsidRPr="003D1E07">
        <w:t>J</w:t>
      </w:r>
      <w:r w:rsidR="08E64D68" w:rsidRPr="003D1E07">
        <w:t xml:space="preserve">ejich činnost má z hlediska archaického pojetí pravdy </w:t>
      </w:r>
      <w:r w:rsidR="08A31809" w:rsidRPr="003D1E07">
        <w:t>technický</w:t>
      </w:r>
      <w:r w:rsidR="08E64D68" w:rsidRPr="003D1E07">
        <w:t xml:space="preserve"> charakter. </w:t>
      </w:r>
      <w:r w:rsidR="080F1A97" w:rsidRPr="003D1E07">
        <w:t>Působení bohyně Apaté způsobilo, že akademické řemeslo má na Západě zlaté dno.</w:t>
      </w:r>
      <w:r w:rsidR="0853500A" w:rsidRPr="003D1E07">
        <w:t xml:space="preserve"> </w:t>
      </w:r>
      <w:r w:rsidR="08632FDB" w:rsidRPr="003D1E07">
        <w:t xml:space="preserve">Metafyzika daná v řádu univerzální výpovědi o smyslu jsoucna nemůže v modu přítomného nazírání (θεωρία) uchopit ani reálné jsoucno, i když přímo vnímá skrze smysly jeho bytí a jeho účinky. Vzhledem k přítomné apofantické predikaci je původní </w:t>
      </w:r>
      <w:r w:rsidR="08632FDB" w:rsidRPr="003D1E07">
        <w:rPr>
          <w:i/>
        </w:rPr>
        <w:t>arché</w:t>
      </w:r>
      <w:r w:rsidR="08632FDB" w:rsidRPr="003D1E07">
        <w:t xml:space="preserve"> první substance dána v minulém čase. </w:t>
      </w:r>
      <w:r w:rsidR="084E6769" w:rsidRPr="003D1E07">
        <w:t>P</w:t>
      </w:r>
      <w:r w:rsidR="08662C23" w:rsidRPr="003D1E07">
        <w:t xml:space="preserve">ojetí pravdy jako </w:t>
      </w:r>
      <w:r w:rsidR="084E6769" w:rsidRPr="003D1E07">
        <w:t xml:space="preserve">kauzálně pojaté </w:t>
      </w:r>
      <w:r w:rsidR="08662C23" w:rsidRPr="003D1E07">
        <w:t xml:space="preserve">adekvace první a druhé substance vytvořilo </w:t>
      </w:r>
      <w:r w:rsidR="08CE0ECD" w:rsidRPr="003D1E07">
        <w:t>dvojí</w:t>
      </w:r>
      <w:r w:rsidR="08662C23" w:rsidRPr="003D1E07">
        <w:t xml:space="preserve"> odstup</w:t>
      </w:r>
      <w:r w:rsidR="0874693E" w:rsidRPr="003D1E07">
        <w:t xml:space="preserve"> od archaického pojetí pravdy.</w:t>
      </w:r>
      <w:r w:rsidR="08CE0ECD" w:rsidRPr="003D1E07">
        <w:t xml:space="preserve"> </w:t>
      </w:r>
      <w:r w:rsidR="08662C23" w:rsidRPr="003D1E07">
        <w:t>Původní c</w:t>
      </w:r>
      <w:r w:rsidR="08CE0ECD" w:rsidRPr="003D1E07">
        <w:t xml:space="preserve">elek bytí </w:t>
      </w:r>
      <w:r w:rsidR="08662C23" w:rsidRPr="003D1E07">
        <w:t xml:space="preserve">nazíraný tragiky a prvními filosofy se stal </w:t>
      </w:r>
      <w:r w:rsidR="0874693E" w:rsidRPr="003D1E07">
        <w:t xml:space="preserve">úplně </w:t>
      </w:r>
      <w:r w:rsidR="08662C23" w:rsidRPr="003D1E07">
        <w:t xml:space="preserve">skrytým. A dále se stalo do jisté míry skrytým i </w:t>
      </w:r>
      <w:r w:rsidR="08CE0ECD" w:rsidRPr="003D1E07">
        <w:t>bytí reálné věci</w:t>
      </w:r>
      <w:r w:rsidR="08CE78D3" w:rsidRPr="003D1E07">
        <w:t>, která se stala v poznání pouze účinnou minulostí</w:t>
      </w:r>
      <w:r w:rsidR="08CE0ECD" w:rsidRPr="003D1E07">
        <w:t>. To ne</w:t>
      </w:r>
      <w:r w:rsidR="08480DFB" w:rsidRPr="003D1E07">
        <w:t>ní tragické, pokud o tom víme. A</w:t>
      </w:r>
      <w:r w:rsidR="08CE0ECD" w:rsidRPr="003D1E07">
        <w:t xml:space="preserve">le začne to být tragické, pokud </w:t>
      </w:r>
      <w:r w:rsidR="08480DFB" w:rsidRPr="003D1E07">
        <w:t>zapomeneme či vytě</w:t>
      </w:r>
      <w:r w:rsidR="001C034C" w:rsidRPr="003D1E07">
        <w:t xml:space="preserve">sníme z kritického myšlení </w:t>
      </w:r>
      <w:r w:rsidR="08480DFB" w:rsidRPr="003D1E07">
        <w:lastRenderedPageBreak/>
        <w:t xml:space="preserve">základní </w:t>
      </w:r>
      <w:r w:rsidR="001C034C" w:rsidRPr="003D1E07">
        <w:t xml:space="preserve">danost </w:t>
      </w:r>
      <w:r w:rsidR="0876330D" w:rsidRPr="003D1E07">
        <w:t xml:space="preserve">metafyzického </w:t>
      </w:r>
      <w:r w:rsidR="08480DFB" w:rsidRPr="003D1E07">
        <w:t>dativu</w:t>
      </w:r>
      <w:r w:rsidR="001C034C" w:rsidRPr="003D1E07">
        <w:t xml:space="preserve">. </w:t>
      </w:r>
      <w:r w:rsidR="080D1911" w:rsidRPr="003D1E07">
        <w:t>Smrtelník svým myšlením svět reálně nezakládá, jen dodatečně poznává</w:t>
      </w:r>
      <w:r w:rsidR="0876330D" w:rsidRPr="003D1E07">
        <w:t>, pro</w:t>
      </w:r>
      <w:r w:rsidR="08CA633C" w:rsidRPr="003D1E07">
        <w:t>t</w:t>
      </w:r>
      <w:r w:rsidR="0876330D" w:rsidRPr="003D1E07">
        <w:t>o</w:t>
      </w:r>
      <w:r w:rsidR="08CA633C" w:rsidRPr="003D1E07">
        <w:t xml:space="preserve">že je vtažen </w:t>
      </w:r>
      <w:r w:rsidR="0876330D" w:rsidRPr="003D1E07">
        <w:t xml:space="preserve">do </w:t>
      </w:r>
      <w:r w:rsidR="003121A2" w:rsidRPr="003D1E07">
        <w:t>přítomného působení celku světa. P</w:t>
      </w:r>
      <w:r w:rsidR="0876330D" w:rsidRPr="003D1E07">
        <w:t xml:space="preserve">ůvodní </w:t>
      </w:r>
      <w:r w:rsidR="08CA633C" w:rsidRPr="003D1E07">
        <w:rPr>
          <w:i/>
        </w:rPr>
        <w:t>dativus principalis</w:t>
      </w:r>
      <w:r w:rsidR="08425F56" w:rsidRPr="003D1E07">
        <w:rPr>
          <w:i/>
        </w:rPr>
        <w:fldChar w:fldCharType="begin"/>
      </w:r>
      <w:r w:rsidR="08425F56" w:rsidRPr="003D1E07">
        <w:instrText xml:space="preserve"> XE "</w:instrText>
      </w:r>
      <w:r w:rsidR="08425F56" w:rsidRPr="003D1E07">
        <w:rPr>
          <w:i/>
        </w:rPr>
        <w:instrText>dativus principalis</w:instrText>
      </w:r>
      <w:r w:rsidR="08425F56" w:rsidRPr="003D1E07">
        <w:instrText xml:space="preserve">" </w:instrText>
      </w:r>
      <w:r w:rsidR="08425F56" w:rsidRPr="003D1E07">
        <w:rPr>
          <w:i/>
        </w:rPr>
        <w:fldChar w:fldCharType="end"/>
      </w:r>
      <w:r w:rsidR="003121A2" w:rsidRPr="003D1E07">
        <w:t xml:space="preserve"> sice </w:t>
      </w:r>
      <w:r w:rsidR="00C4534A" w:rsidRPr="003D1E07">
        <w:t>z</w:t>
      </w:r>
      <w:r w:rsidR="00842DC5" w:rsidRPr="003D1E07">
        <w:t xml:space="preserve"> akademické </w:t>
      </w:r>
      <w:r w:rsidR="00C4534A" w:rsidRPr="003D1E07">
        <w:t xml:space="preserve">filosofie </w:t>
      </w:r>
      <w:r w:rsidR="00842DC5" w:rsidRPr="003D1E07">
        <w:t xml:space="preserve">úplně </w:t>
      </w:r>
      <w:r w:rsidR="003121A2" w:rsidRPr="003D1E07">
        <w:t xml:space="preserve">zmizel, ale aristotelský metafyzický dativ místo </w:t>
      </w:r>
      <w:r w:rsidR="00C4534A" w:rsidRPr="003D1E07">
        <w:t xml:space="preserve">celku </w:t>
      </w:r>
      <w:r w:rsidR="00C4534A" w:rsidRPr="003D1E07">
        <w:rPr>
          <w:i/>
        </w:rPr>
        <w:t>fýsis</w:t>
      </w:r>
      <w:r w:rsidR="00C4534A" w:rsidRPr="003D1E07">
        <w:t xml:space="preserve"> alespoň </w:t>
      </w:r>
      <w:r w:rsidR="003121A2" w:rsidRPr="003D1E07">
        <w:t>dosadil bytí reálné substance</w:t>
      </w:r>
      <w:r w:rsidR="080D1911" w:rsidRPr="003D1E07">
        <w:t xml:space="preserve">. </w:t>
      </w:r>
      <w:r w:rsidR="008C55CA">
        <w:t xml:space="preserve">Aristotelská metafyzika proto musí velice pečlivě, a tedy kategoriálně </w:t>
      </w:r>
      <w:r w:rsidR="08191314" w:rsidRPr="003D1E07">
        <w:t>rozlišov</w:t>
      </w:r>
      <w:r w:rsidR="08227FA7" w:rsidRPr="003D1E07">
        <w:t>at</w:t>
      </w:r>
      <w:r w:rsidR="08191314" w:rsidRPr="003D1E07">
        <w:t xml:space="preserve"> </w:t>
      </w:r>
      <w:r w:rsidR="008C55CA">
        <w:t xml:space="preserve">různé významy, které označují </w:t>
      </w:r>
      <w:r w:rsidR="08191314" w:rsidRPr="003D1E07">
        <w:t>bytí</w:t>
      </w:r>
      <w:r w:rsidR="08D21607" w:rsidRPr="003D1E07">
        <w:t xml:space="preserve"> substance</w:t>
      </w:r>
      <w:r w:rsidR="083E1EFB" w:rsidRPr="003D1E07">
        <w:t>.</w:t>
      </w:r>
    </w:p>
    <w:p w14:paraId="79AFE6A6" w14:textId="77777777" w:rsidR="0068208A" w:rsidRDefault="08757EAE" w:rsidP="00415C2E">
      <w:pPr>
        <w:ind w:firstLine="397"/>
      </w:pPr>
      <w:r w:rsidRPr="003D1E07">
        <w:t xml:space="preserve">Změnou </w:t>
      </w:r>
      <w:r w:rsidR="08754301" w:rsidRPr="003D1E07">
        <w:t xml:space="preserve">principiálního </w:t>
      </w:r>
      <w:r w:rsidRPr="003D1E07">
        <w:t xml:space="preserve">dativu </w:t>
      </w:r>
      <w:r w:rsidR="08754301" w:rsidRPr="003D1E07">
        <w:t xml:space="preserve">první filosofie </w:t>
      </w:r>
      <w:r w:rsidRPr="003D1E07">
        <w:t xml:space="preserve">na metafyzickou donaci </w:t>
      </w:r>
      <w:r w:rsidR="00307315" w:rsidRPr="003D1E07">
        <w:t>vznikl nový smysl</w:t>
      </w:r>
      <w:r w:rsidRPr="003D1E07">
        <w:t xml:space="preserve"> jsoucna. </w:t>
      </w:r>
      <w:r w:rsidR="089579E7" w:rsidRPr="003D1E07">
        <w:rPr>
          <w:lang w:eastAsia="en-US"/>
        </w:rPr>
        <w:t xml:space="preserve">Aristoteles napojil </w:t>
      </w:r>
      <w:r w:rsidR="008A467D">
        <w:rPr>
          <w:lang w:eastAsia="en-US"/>
        </w:rPr>
        <w:t xml:space="preserve">metafyzický </w:t>
      </w:r>
      <w:r w:rsidR="089579E7" w:rsidRPr="003D1E07">
        <w:rPr>
          <w:lang w:eastAsia="en-US"/>
        </w:rPr>
        <w:t xml:space="preserve">dativ na </w:t>
      </w:r>
      <w:r w:rsidR="086110E5" w:rsidRPr="003D1E07">
        <w:rPr>
          <w:lang w:eastAsia="en-US"/>
        </w:rPr>
        <w:t xml:space="preserve">esenciálně těsný </w:t>
      </w:r>
      <w:r w:rsidR="089579E7" w:rsidRPr="003D1E07">
        <w:rPr>
          <w:lang w:eastAsia="en-US"/>
        </w:rPr>
        <w:t>vzta</w:t>
      </w:r>
      <w:r w:rsidR="086110E5" w:rsidRPr="003D1E07">
        <w:rPr>
          <w:lang w:eastAsia="en-US"/>
        </w:rPr>
        <w:t xml:space="preserve">h mezi první a druhou substancí. </w:t>
      </w:r>
      <w:r w:rsidR="08135FC9" w:rsidRPr="003D1E07">
        <w:t xml:space="preserve">V poznání je přítomná druhá substance, jejíž existenci zajišťují smysly a intelekt. </w:t>
      </w:r>
      <w:r w:rsidR="087641D2" w:rsidRPr="003D1E07">
        <w:rPr>
          <w:lang w:eastAsia="en-US"/>
        </w:rPr>
        <w:t>Reálná substance usedla na soudní lavici obžalovaných</w:t>
      </w:r>
      <w:r w:rsidR="001D45BA" w:rsidRPr="003D1E07">
        <w:rPr>
          <w:lang w:eastAsia="en-US"/>
        </w:rPr>
        <w:t xml:space="preserve"> (</w:t>
      </w:r>
      <w:r w:rsidR="001D45BA" w:rsidRPr="003D1E07">
        <w:t>κατηγορέω</w:t>
      </w:r>
      <w:r w:rsidR="001D45BA" w:rsidRPr="003D1E07">
        <w:rPr>
          <w:lang w:eastAsia="en-US"/>
        </w:rPr>
        <w:t>)</w:t>
      </w:r>
      <w:r w:rsidR="000923ED">
        <w:rPr>
          <w:lang w:eastAsia="en-US"/>
        </w:rPr>
        <w:t xml:space="preserve">. Zde </w:t>
      </w:r>
      <w:r w:rsidR="087641D2" w:rsidRPr="003D1E07">
        <w:rPr>
          <w:lang w:eastAsia="en-US"/>
        </w:rPr>
        <w:t xml:space="preserve">je vyšetřována </w:t>
      </w:r>
      <w:r w:rsidR="001D45BA" w:rsidRPr="003D1E07">
        <w:rPr>
          <w:lang w:eastAsia="en-US"/>
        </w:rPr>
        <w:t>kvůli</w:t>
      </w:r>
      <w:r w:rsidR="000923ED">
        <w:rPr>
          <w:lang w:eastAsia="en-US"/>
        </w:rPr>
        <w:t xml:space="preserve"> aktuálnímu nebytí a pouze </w:t>
      </w:r>
      <w:r w:rsidR="001D45BA" w:rsidRPr="003D1E07">
        <w:rPr>
          <w:lang w:eastAsia="en-US"/>
        </w:rPr>
        <w:t>tranzitivní formě jsoucnosti</w:t>
      </w:r>
      <w:r w:rsidR="087641D2" w:rsidRPr="003D1E07">
        <w:rPr>
          <w:lang w:eastAsia="en-US"/>
        </w:rPr>
        <w:t xml:space="preserve">. </w:t>
      </w:r>
      <w:r w:rsidR="088E651D" w:rsidRPr="003D1E07">
        <w:rPr>
          <w:lang w:eastAsia="en-US"/>
        </w:rPr>
        <w:t>V myšlení metafyziky vznikla fundamentální posloupnost od první substance jako minulé příčiny ke druhé substanci jako přítomnému univerzál</w:t>
      </w:r>
      <w:r w:rsidR="007E4590">
        <w:rPr>
          <w:lang w:eastAsia="en-US"/>
        </w:rPr>
        <w:t>nímu následku. Tuto ontickou</w:t>
      </w:r>
      <w:r w:rsidR="088E651D" w:rsidRPr="003D1E07">
        <w:rPr>
          <w:lang w:eastAsia="en-US"/>
        </w:rPr>
        <w:t xml:space="preserve"> posloupnost vyjadřuje kategoriální modus „předtím“ (</w:t>
      </w:r>
      <w:r w:rsidR="088E651D" w:rsidRPr="003D1E07">
        <w:rPr>
          <w:i/>
          <w:lang w:eastAsia="en-US"/>
        </w:rPr>
        <w:t>per prius</w:t>
      </w:r>
      <w:r w:rsidR="088E651D" w:rsidRPr="003D1E07">
        <w:rPr>
          <w:i/>
        </w:rPr>
        <w:fldChar w:fldCharType="begin"/>
      </w:r>
      <w:r w:rsidR="088E651D" w:rsidRPr="003D1E07">
        <w:instrText xml:space="preserve"> XE "zjevování:</w:instrText>
      </w:r>
      <w:r w:rsidR="088E651D" w:rsidRPr="003D1E07">
        <w:rPr>
          <w:i/>
        </w:rPr>
        <w:instrText>per prius</w:instrText>
      </w:r>
      <w:r w:rsidR="088E651D" w:rsidRPr="003D1E07">
        <w:instrText xml:space="preserve">" </w:instrText>
      </w:r>
      <w:r w:rsidR="088E651D" w:rsidRPr="003D1E07">
        <w:rPr>
          <w:i/>
        </w:rPr>
        <w:fldChar w:fldCharType="end"/>
      </w:r>
      <w:r w:rsidR="088E651D" w:rsidRPr="003D1E07">
        <w:rPr>
          <w:lang w:eastAsia="en-US"/>
        </w:rPr>
        <w:t>) a „potom“ (</w:t>
      </w:r>
      <w:r w:rsidR="088E651D" w:rsidRPr="003D1E07">
        <w:rPr>
          <w:i/>
          <w:lang w:eastAsia="en-US"/>
        </w:rPr>
        <w:t>per posterius</w:t>
      </w:r>
      <w:r w:rsidR="088E651D" w:rsidRPr="003D1E07">
        <w:rPr>
          <w:i/>
        </w:rPr>
        <w:fldChar w:fldCharType="begin"/>
      </w:r>
      <w:r w:rsidR="088E651D" w:rsidRPr="003D1E07">
        <w:instrText xml:space="preserve"> XE "zjevování:</w:instrText>
      </w:r>
      <w:r w:rsidR="088E651D" w:rsidRPr="003D1E07">
        <w:rPr>
          <w:i/>
        </w:rPr>
        <w:instrText>per posterius</w:instrText>
      </w:r>
      <w:r w:rsidR="088E651D" w:rsidRPr="003D1E07">
        <w:instrText xml:space="preserve">" </w:instrText>
      </w:r>
      <w:r w:rsidR="088E651D" w:rsidRPr="003D1E07">
        <w:rPr>
          <w:i/>
        </w:rPr>
        <w:fldChar w:fldCharType="end"/>
      </w:r>
      <w:r w:rsidR="088E651D" w:rsidRPr="003D1E07">
        <w:rPr>
          <w:lang w:eastAsia="en-US"/>
        </w:rPr>
        <w:t xml:space="preserve">). </w:t>
      </w:r>
      <w:r w:rsidR="083221EF" w:rsidRPr="003D1E07">
        <w:rPr>
          <w:lang w:eastAsia="en-US"/>
        </w:rPr>
        <w:t xml:space="preserve">Dějiny vědy a objektivity zakládá spis </w:t>
      </w:r>
      <w:r w:rsidR="083221EF" w:rsidRPr="003D1E07">
        <w:rPr>
          <w:i/>
          <w:lang w:eastAsia="en-US"/>
        </w:rPr>
        <w:t>Kategorie</w:t>
      </w:r>
      <w:r w:rsidR="083221EF" w:rsidRPr="003D1E07">
        <w:rPr>
          <w:lang w:eastAsia="en-US"/>
        </w:rPr>
        <w:t>, který pop</w:t>
      </w:r>
      <w:r w:rsidR="00B27CB0" w:rsidRPr="003D1E07">
        <w:rPr>
          <w:lang w:eastAsia="en-US"/>
        </w:rPr>
        <w:t xml:space="preserve">isuje </w:t>
      </w:r>
      <w:r w:rsidR="083221EF" w:rsidRPr="003D1E07">
        <w:rPr>
          <w:lang w:eastAsia="en-US"/>
        </w:rPr>
        <w:t xml:space="preserve">základní způsoby, jak vypovídat o substanci. </w:t>
      </w:r>
      <w:r w:rsidR="089579E7" w:rsidRPr="003D1E07">
        <w:rPr>
          <w:lang w:eastAsia="en-US"/>
        </w:rPr>
        <w:t xml:space="preserve">Kategoriální výměr první substance a výsledný verdikt o jejích univerzálních významech daný ve </w:t>
      </w:r>
      <w:r w:rsidR="089579E7" w:rsidRPr="003D1E07">
        <w:rPr>
          <w:i/>
          <w:lang w:eastAsia="en-US"/>
        </w:rPr>
        <w:t xml:space="preserve">Druhých analytikách </w:t>
      </w:r>
      <w:r w:rsidR="089579E7" w:rsidRPr="003D1E07">
        <w:rPr>
          <w:lang w:eastAsia="en-US"/>
        </w:rPr>
        <w:t>určuje pojetí západní vědy.</w:t>
      </w:r>
      <w:r w:rsidR="08F06E84" w:rsidRPr="003D1E07">
        <w:t xml:space="preserve"> </w:t>
      </w:r>
      <w:r w:rsidR="08C37CEF" w:rsidRPr="003D1E07">
        <w:t xml:space="preserve">Mluvu </w:t>
      </w:r>
      <w:r w:rsidR="08F06E84" w:rsidRPr="003D1E07">
        <w:t xml:space="preserve">obou spisů determinuje pravda jako adekvace mezi první a druhou substancí. </w:t>
      </w:r>
      <w:r w:rsidR="089579E7" w:rsidRPr="003D1E07">
        <w:t xml:space="preserve">Pravdivá predikace </w:t>
      </w:r>
      <w:r w:rsidR="082300D9" w:rsidRPr="003D1E07">
        <w:t xml:space="preserve">běží </w:t>
      </w:r>
      <w:r w:rsidR="08C37CEF" w:rsidRPr="003D1E07">
        <w:t xml:space="preserve">v novém typu </w:t>
      </w:r>
      <w:r w:rsidR="082300D9" w:rsidRPr="003D1E07">
        <w:t xml:space="preserve">kategoriální </w:t>
      </w:r>
      <w:r w:rsidR="0029465F" w:rsidRPr="003D1E07">
        <w:t>logiky</w:t>
      </w:r>
      <w:r w:rsidR="005827D8" w:rsidRPr="003D1E07">
        <w:t xml:space="preserve"> a vědeckého důkazu </w:t>
      </w:r>
      <w:r w:rsidR="08C37CEF" w:rsidRPr="003D1E07">
        <w:t xml:space="preserve">(ἐπιδείξεις, </w:t>
      </w:r>
      <w:r w:rsidR="08C37CEF" w:rsidRPr="003D1E07">
        <w:rPr>
          <w:i/>
        </w:rPr>
        <w:t>demonstratio</w:t>
      </w:r>
      <w:r w:rsidR="08C37CEF" w:rsidRPr="003D1E07">
        <w:t>)</w:t>
      </w:r>
      <w:r w:rsidR="082300D9" w:rsidRPr="003D1E07">
        <w:t>. Vyvádění smyslu jsoucna z původní první substance pomocí dedukce a indukce se stalo</w:t>
      </w:r>
      <w:r w:rsidR="089579E7" w:rsidRPr="003D1E07">
        <w:t xml:space="preserve"> </w:t>
      </w:r>
      <w:r w:rsidR="082300D9" w:rsidRPr="003D1E07">
        <w:t xml:space="preserve">novým </w:t>
      </w:r>
      <w:r w:rsidR="00E47998" w:rsidRPr="003D1E07">
        <w:t xml:space="preserve">místem zjevování jsoucna. Aristoteles </w:t>
      </w:r>
      <w:r w:rsidR="082300D9" w:rsidRPr="003D1E07">
        <w:t>zrušil</w:t>
      </w:r>
      <w:r w:rsidR="084B482F" w:rsidRPr="003D1E07">
        <w:t xml:space="preserve"> bývalou sofistiku.</w:t>
      </w:r>
      <w:r w:rsidR="087274DA" w:rsidRPr="003D1E07">
        <w:t xml:space="preserve"> </w:t>
      </w:r>
      <w:r w:rsidR="089579E7" w:rsidRPr="003D1E07">
        <w:t>Logika se stala po zániku klasické moudrosti novou agorou moderního ducha. Reprezentativní schopnost jazyka podává věci v jejich společné jsoucnosti. Díky schopnosti jazyka vnímáme obecnou eidetickou podstatu</w:t>
      </w:r>
      <w:r w:rsidR="0029389F" w:rsidRPr="003D1E07">
        <w:t xml:space="preserve"> věcí</w:t>
      </w:r>
      <w:r w:rsidR="089579E7" w:rsidRPr="003D1E07">
        <w:t xml:space="preserve">. </w:t>
      </w:r>
      <w:r w:rsidR="007025A8" w:rsidRPr="003D1E07">
        <w:t xml:space="preserve">Společný smysl světa </w:t>
      </w:r>
      <w:r w:rsidR="002527FB" w:rsidRPr="003D1E07">
        <w:t>(</w:t>
      </w:r>
      <w:r w:rsidR="002527FB" w:rsidRPr="003D1E07">
        <w:rPr>
          <w:i/>
        </w:rPr>
        <w:t>res publica</w:t>
      </w:r>
      <w:r w:rsidR="002527FB" w:rsidRPr="003D1E07">
        <w:t xml:space="preserve">) </w:t>
      </w:r>
      <w:r w:rsidR="007025A8" w:rsidRPr="003D1E07">
        <w:t>se st</w:t>
      </w:r>
      <w:r w:rsidR="00874424" w:rsidRPr="003D1E07">
        <w:t xml:space="preserve">al otázkou technické schopnosti, jak </w:t>
      </w:r>
      <w:r w:rsidR="007025A8" w:rsidRPr="003D1E07">
        <w:t xml:space="preserve">vytvořit správný druh kategoriálního sylogismu. </w:t>
      </w:r>
      <w:r w:rsidR="00E328D8">
        <w:t>T</w:t>
      </w:r>
      <w:r w:rsidR="00E328D8" w:rsidRPr="003D1E07">
        <w:t xml:space="preserve">uto </w:t>
      </w:r>
      <w:r w:rsidR="00E328D8">
        <w:t>důležitou roli hrálo v tragédii v</w:t>
      </w:r>
      <w:r w:rsidR="00C94D3F" w:rsidRPr="003D1E07">
        <w:t xml:space="preserve">ěštecké slovo a </w:t>
      </w:r>
      <w:r w:rsidR="00F972EE" w:rsidRPr="003D1E07">
        <w:t xml:space="preserve">jeho </w:t>
      </w:r>
      <w:r w:rsidR="00E328D8">
        <w:t>moudrý výklad</w:t>
      </w:r>
      <w:r w:rsidR="00F972EE" w:rsidRPr="003D1E07">
        <w:t xml:space="preserve">. </w:t>
      </w:r>
      <w:r w:rsidR="00004D2E" w:rsidRPr="003D1E07">
        <w:t>Politická k</w:t>
      </w:r>
      <w:r w:rsidR="089579E7" w:rsidRPr="003D1E07">
        <w:t xml:space="preserve">omunita tuto pospolitost smyslu viděla skrze shromáždění občanů na agoře. </w:t>
      </w:r>
      <w:r w:rsidR="0827680A" w:rsidRPr="003D1E07">
        <w:t>Technokratické vytržení archaické podoby pravdy ze společenství moudrých občanů (</w:t>
      </w:r>
      <w:r w:rsidR="0827680A" w:rsidRPr="003D1E07">
        <w:rPr>
          <w:rStyle w:val="greek"/>
        </w:rPr>
        <w:t xml:space="preserve">σπαστέος, </w:t>
      </w:r>
      <w:r w:rsidR="0827680A" w:rsidRPr="003D1E07">
        <w:rPr>
          <w:rStyle w:val="greek"/>
          <w:i/>
        </w:rPr>
        <w:t>castratio</w:t>
      </w:r>
      <w:r w:rsidR="0827680A" w:rsidRPr="003D1E07">
        <w:t>) považovali poslední tragikové za brutální selhání svých současníků. Sofokles</w:t>
      </w:r>
      <w:r w:rsidR="0827680A" w:rsidRPr="003D1E07">
        <w:fldChar w:fldCharType="begin"/>
      </w:r>
      <w:r w:rsidR="0827680A" w:rsidRPr="003D1E07">
        <w:instrText xml:space="preserve"> XE "Sofokles" </w:instrText>
      </w:r>
      <w:r w:rsidR="0827680A" w:rsidRPr="003D1E07">
        <w:fldChar w:fldCharType="end"/>
      </w:r>
      <w:r w:rsidR="0827680A" w:rsidRPr="003D1E07">
        <w:t xml:space="preserve"> v dramatu o technokratickém tyranovi Oidipovi</w:t>
      </w:r>
      <w:r w:rsidR="0827680A" w:rsidRPr="003D1E07">
        <w:fldChar w:fldCharType="begin"/>
      </w:r>
      <w:r w:rsidR="0827680A" w:rsidRPr="003D1E07">
        <w:instrText xml:space="preserve"> XE "Oidipus" </w:instrText>
      </w:r>
      <w:r w:rsidR="0827680A" w:rsidRPr="003D1E07">
        <w:fldChar w:fldCharType="end"/>
      </w:r>
      <w:r w:rsidR="0827680A" w:rsidRPr="003D1E07">
        <w:t xml:space="preserve"> zásadně odsoudil moderní kastraci původní pravdy</w:t>
      </w:r>
      <w:r w:rsidR="08ED4273" w:rsidRPr="003D1E07">
        <w:fldChar w:fldCharType="begin"/>
      </w:r>
      <w:r w:rsidR="08ED4273" w:rsidRPr="003D1E07">
        <w:instrText xml:space="preserve"> XE "kastrace pravdy" </w:instrText>
      </w:r>
      <w:r w:rsidR="08ED4273" w:rsidRPr="003D1E07">
        <w:fldChar w:fldCharType="end"/>
      </w:r>
      <w:r w:rsidR="0827680A" w:rsidRPr="003D1E07">
        <w:t xml:space="preserve"> a myšlení (</w:t>
      </w:r>
      <w:r w:rsidR="08926993" w:rsidRPr="003D1E07">
        <w:t>OBJ III, kap. 7</w:t>
      </w:r>
      <w:r w:rsidR="0827680A" w:rsidRPr="003D1E07">
        <w:t xml:space="preserve">). </w:t>
      </w:r>
      <w:r w:rsidR="08CB733E" w:rsidRPr="003D1E07">
        <w:t xml:space="preserve">Božská komedie moderny je založena na Oidipově kastračním komplexu, který skrytě pronásleduje v podobě trestajících </w:t>
      </w:r>
      <w:r w:rsidR="00F8678B" w:rsidRPr="003D1E07">
        <w:t xml:space="preserve">božských </w:t>
      </w:r>
      <w:r w:rsidR="08CB733E" w:rsidRPr="003D1E07">
        <w:t xml:space="preserve">Fúrií každého metafyzika a logika. </w:t>
      </w:r>
      <w:r w:rsidR="08F6243D" w:rsidRPr="003D1E07">
        <w:t xml:space="preserve">Múzický a archaický výklad hermeneutiky </w:t>
      </w:r>
      <w:r w:rsidR="08A63602" w:rsidRPr="003D1E07">
        <w:t xml:space="preserve">má </w:t>
      </w:r>
      <w:r w:rsidR="08F15C2C" w:rsidRPr="003D1E07">
        <w:t xml:space="preserve">po vzoru antického dramatu </w:t>
      </w:r>
      <w:r w:rsidR="08A63602" w:rsidRPr="003D1E07">
        <w:lastRenderedPageBreak/>
        <w:t xml:space="preserve">katarktický a terapeutický charakter. Výklad objektivity proto </w:t>
      </w:r>
      <w:r w:rsidR="08F6243D" w:rsidRPr="003D1E07">
        <w:t xml:space="preserve">nazírá smysl jsoucna v modu původní </w:t>
      </w:r>
      <w:r w:rsidR="00F26909" w:rsidRPr="003D1E07">
        <w:t xml:space="preserve">božské </w:t>
      </w:r>
      <w:r w:rsidR="08F6243D" w:rsidRPr="003D1E07">
        <w:t xml:space="preserve">donace popsané tragiky a prvními filosofy. </w:t>
      </w:r>
      <w:r w:rsidR="0827680A" w:rsidRPr="003D1E07">
        <w:t xml:space="preserve">První forma nihilistické sekularizace a odbožštění světa změnila nazíraný celek bytí na teoreticky poznatelný kosmos daný skrze ideje nebo skrze první substance. </w:t>
      </w:r>
      <w:r w:rsidR="085A3522" w:rsidRPr="003D1E07">
        <w:t xml:space="preserve">Myšlení Moderních ovládla matematika a </w:t>
      </w:r>
      <w:r w:rsidR="08A52208" w:rsidRPr="003D1E07">
        <w:t xml:space="preserve">fyzika, která vytvořila nový smysl toho, co je přítomné a co je </w:t>
      </w:r>
      <w:r w:rsidR="00937657" w:rsidRPr="003D1E07">
        <w:rPr>
          <w:i/>
        </w:rPr>
        <w:t xml:space="preserve">de </w:t>
      </w:r>
      <w:r w:rsidR="00937657" w:rsidRPr="007C560E">
        <w:rPr>
          <w:i/>
        </w:rPr>
        <w:t>facto</w:t>
      </w:r>
      <w:r w:rsidR="00937657" w:rsidRPr="003D1E07">
        <w:t xml:space="preserve"> </w:t>
      </w:r>
      <w:r w:rsidR="08A52208" w:rsidRPr="003D1E07">
        <w:t xml:space="preserve">závazné pro pravdivé poznání. </w:t>
      </w:r>
      <w:r w:rsidR="08F26F7B" w:rsidRPr="003D1E07">
        <w:t>Zakládající d</w:t>
      </w:r>
      <w:r w:rsidR="08515F66" w:rsidRPr="003D1E07">
        <w:t xml:space="preserve">ativ </w:t>
      </w:r>
      <w:r w:rsidR="08C16B28" w:rsidRPr="003D1E07">
        <w:t xml:space="preserve">metafyziky </w:t>
      </w:r>
      <w:r w:rsidR="0871220E" w:rsidRPr="003D1E07">
        <w:t xml:space="preserve">odmítl </w:t>
      </w:r>
      <w:r w:rsidR="00937657" w:rsidRPr="003D1E07">
        <w:t xml:space="preserve">cestu tragické moudrosti, protože </w:t>
      </w:r>
      <w:r w:rsidR="08515F66" w:rsidRPr="003D1E07">
        <w:t xml:space="preserve">tematizuje skryté dění celku bytí jen nepřímo, tedy ve dvojím minulostním rázu. </w:t>
      </w:r>
      <w:r w:rsidR="000A68EC" w:rsidRPr="003D1E07">
        <w:t xml:space="preserve">V poznání zmizel jak celek bytí, tak přítomnost první substance. </w:t>
      </w:r>
      <w:r w:rsidR="08515F66" w:rsidRPr="003D1E07">
        <w:t xml:space="preserve">Oba zakladatelé metafyziky </w:t>
      </w:r>
      <w:r w:rsidR="08C16B28" w:rsidRPr="003D1E07">
        <w:t xml:space="preserve">tematizují původní </w:t>
      </w:r>
      <w:r w:rsidR="08515F66" w:rsidRPr="003D1E07">
        <w:t>událost</w:t>
      </w:r>
      <w:r w:rsidR="08C16B28" w:rsidRPr="003D1E07">
        <w:t>i</w:t>
      </w:r>
      <w:r w:rsidR="08515F66" w:rsidRPr="003D1E07">
        <w:t xml:space="preserve"> </w:t>
      </w:r>
      <w:r w:rsidR="08C16B28" w:rsidRPr="003D1E07">
        <w:t xml:space="preserve">skryté </w:t>
      </w:r>
      <w:r w:rsidR="08515F66" w:rsidRPr="003D1E07">
        <w:t xml:space="preserve">za světem </w:t>
      </w:r>
      <w:r w:rsidR="08515F66" w:rsidRPr="003D1E07">
        <w:rPr>
          <w:i/>
        </w:rPr>
        <w:t>fýsis</w:t>
      </w:r>
      <w:r w:rsidR="08515F66" w:rsidRPr="003D1E07">
        <w:t xml:space="preserve"> </w:t>
      </w:r>
      <w:r w:rsidR="08C16B28" w:rsidRPr="003D1E07">
        <w:t>v obecných výpovědích</w:t>
      </w:r>
      <w:r w:rsidR="08515F66" w:rsidRPr="003D1E07">
        <w:t xml:space="preserve"> o substanci. Metafyzická </w:t>
      </w:r>
      <w:r w:rsidR="08C16B28" w:rsidRPr="003D1E07">
        <w:t xml:space="preserve">přítomnost </w:t>
      </w:r>
      <w:r w:rsidR="08515F66" w:rsidRPr="003D1E07">
        <w:t xml:space="preserve">toho, co jest, je dána jako přítomná idea v celku </w:t>
      </w:r>
      <w:r w:rsidR="08C16B28" w:rsidRPr="003D1E07">
        <w:t>matematicky nazíraného kosm</w:t>
      </w:r>
      <w:r w:rsidR="084E70AD" w:rsidRPr="003D1E07">
        <w:t>u</w:t>
      </w:r>
      <w:r w:rsidR="000A68EC" w:rsidRPr="003D1E07">
        <w:t xml:space="preserve"> (Platon)</w:t>
      </w:r>
      <w:r w:rsidR="08C16B28" w:rsidRPr="003D1E07">
        <w:t>. N</w:t>
      </w:r>
      <w:r w:rsidR="08515F66" w:rsidRPr="003D1E07">
        <w:t xml:space="preserve">ebo </w:t>
      </w:r>
      <w:r w:rsidR="08C16B28" w:rsidRPr="003D1E07">
        <w:t xml:space="preserve">jsou přítomné první substance, které </w:t>
      </w:r>
      <w:r w:rsidR="0041406C">
        <w:t xml:space="preserve">skládají </w:t>
      </w:r>
      <w:r w:rsidR="08C16B28" w:rsidRPr="003D1E07">
        <w:t xml:space="preserve">celek </w:t>
      </w:r>
      <w:r w:rsidR="084E70AD" w:rsidRPr="003D1E07">
        <w:t xml:space="preserve">pohyblivé </w:t>
      </w:r>
      <w:r w:rsidR="084E70AD" w:rsidRPr="003D1E07">
        <w:rPr>
          <w:i/>
        </w:rPr>
        <w:t>fýsis</w:t>
      </w:r>
      <w:r w:rsidR="000A68EC" w:rsidRPr="003D1E07">
        <w:t xml:space="preserve"> (Aristoteles). </w:t>
      </w:r>
      <w:r w:rsidR="086A7200" w:rsidRPr="003D1E07">
        <w:t xml:space="preserve">Tato </w:t>
      </w:r>
      <w:r w:rsidR="00AA2F9D" w:rsidRPr="003D1E07">
        <w:t xml:space="preserve">problematická přítomnost </w:t>
      </w:r>
      <w:r w:rsidR="08EC5C78" w:rsidRPr="003D1E07">
        <w:t xml:space="preserve">jsoucna jako </w:t>
      </w:r>
      <w:r w:rsidR="00AA2F9D" w:rsidRPr="003D1E07">
        <w:t xml:space="preserve">dvojí </w:t>
      </w:r>
      <w:r w:rsidR="08515F66" w:rsidRPr="003D1E07">
        <w:t>substance se m</w:t>
      </w:r>
      <w:r w:rsidR="00AA2F9D" w:rsidRPr="003D1E07">
        <w:t xml:space="preserve">usí </w:t>
      </w:r>
      <w:r w:rsidR="008A2D78" w:rsidRPr="003D1E07">
        <w:t xml:space="preserve">fundamentálně </w:t>
      </w:r>
      <w:r w:rsidR="00AA2F9D" w:rsidRPr="003D1E07">
        <w:t>poodk</w:t>
      </w:r>
      <w:r w:rsidR="00AA113F" w:rsidRPr="003D1E07">
        <w:t>r</w:t>
      </w:r>
      <w:r w:rsidR="00AA2F9D" w:rsidRPr="003D1E07">
        <w:t>ýt v</w:t>
      </w:r>
      <w:r w:rsidR="08515F66" w:rsidRPr="003D1E07">
        <w:t xml:space="preserve"> poli </w:t>
      </w:r>
      <w:r w:rsidR="08EC5C78" w:rsidRPr="003D1E07">
        <w:t xml:space="preserve">archeologického </w:t>
      </w:r>
      <w:r w:rsidR="08515F66" w:rsidRPr="003D1E07">
        <w:t xml:space="preserve">vidění a výkladu. Tragika </w:t>
      </w:r>
      <w:r w:rsidR="084E70AD" w:rsidRPr="003D1E07">
        <w:t xml:space="preserve">metafyzické </w:t>
      </w:r>
      <w:r w:rsidR="08515F66" w:rsidRPr="003D1E07">
        <w:t>moderny spočívá v tom, že</w:t>
      </w:r>
      <w:r w:rsidR="08C150CA" w:rsidRPr="003D1E07">
        <w:t xml:space="preserve"> po</w:t>
      </w:r>
      <w:r w:rsidR="08C752F4" w:rsidRPr="003D1E07">
        <w:t>stavila na první místo jednotlivé jsoucno</w:t>
      </w:r>
      <w:r w:rsidR="081B2BD5" w:rsidRPr="003D1E07">
        <w:t>. Izolovaná substance je p</w:t>
      </w:r>
      <w:r w:rsidR="085C3BFA" w:rsidRPr="003D1E07">
        <w:t xml:space="preserve">ro archaickou moudrost </w:t>
      </w:r>
      <w:r w:rsidR="081B2BD5" w:rsidRPr="003D1E07">
        <w:t>druhotná</w:t>
      </w:r>
      <w:r w:rsidR="0013294D" w:rsidRPr="003D1E07">
        <w:t>,</w:t>
      </w:r>
      <w:r w:rsidR="08C752F4" w:rsidRPr="003D1E07">
        <w:t xml:space="preserve"> </w:t>
      </w:r>
      <w:r w:rsidR="081B2BD5" w:rsidRPr="003D1E07">
        <w:t>a navíc je naprosto dvojznačná</w:t>
      </w:r>
      <w:r w:rsidR="084E70AD" w:rsidRPr="003D1E07">
        <w:t xml:space="preserve">. </w:t>
      </w:r>
      <w:r w:rsidR="088B6B4C" w:rsidRPr="003D1E07">
        <w:t>Pravdivě nazíraný celek bytí jsoucna (Kalchásova</w:t>
      </w:r>
      <w:r w:rsidR="08AB2848" w:rsidRPr="003D1E07">
        <w:t xml:space="preserve"> τά τ' ἐόντα</w:t>
      </w:r>
      <w:r w:rsidR="08DC6847" w:rsidRPr="003D1E07">
        <w:fldChar w:fldCharType="begin"/>
      </w:r>
      <w:r w:rsidR="08DC6847" w:rsidRPr="003D1E07">
        <w:instrText xml:space="preserve"> XE "Homér:</w:instrText>
      </w:r>
      <w:r w:rsidR="08DC6847" w:rsidRPr="003D1E07">
        <w:rPr>
          <w:i/>
        </w:rPr>
        <w:instrText>Ilias</w:instrText>
      </w:r>
      <w:r w:rsidR="08DC6847" w:rsidRPr="003D1E07">
        <w:instrText xml:space="preserve"> 1.70" </w:instrText>
      </w:r>
      <w:r w:rsidR="08DC6847" w:rsidRPr="003D1E07">
        <w:fldChar w:fldCharType="end"/>
      </w:r>
      <w:r w:rsidR="088B6B4C" w:rsidRPr="003D1E07">
        <w:t xml:space="preserve">) nemůže být klamný, </w:t>
      </w:r>
      <w:r w:rsidR="008F40D3" w:rsidRPr="003D1E07">
        <w:t>na roz</w:t>
      </w:r>
      <w:r w:rsidR="00A83DB5" w:rsidRPr="003D1E07">
        <w:t>d</w:t>
      </w:r>
      <w:r w:rsidR="008F40D3" w:rsidRPr="003D1E07">
        <w:t>íl od jednotlivé substance</w:t>
      </w:r>
      <w:r w:rsidR="088B6B4C" w:rsidRPr="003D1E07">
        <w:t xml:space="preserve">. </w:t>
      </w:r>
      <w:r w:rsidR="001D1C06" w:rsidRPr="003D1E07">
        <w:t xml:space="preserve">Zcela oddělená a proto zcela minulá nemateriální a věčná </w:t>
      </w:r>
      <w:r w:rsidR="001D1C06" w:rsidRPr="003D1E07">
        <w:rPr>
          <w:i/>
        </w:rPr>
        <w:t>quidditas</w:t>
      </w:r>
      <w:r w:rsidR="001D1C06" w:rsidRPr="003D1E07">
        <w:t xml:space="preserve"> představuje první příčinu pohybu. Ostatní kosmické sféry napodobují z lásky k moudrosti věčný příklad nehybného Intelektu (κινεῖ δὴ ὡς ἐρώμενον, </w:t>
      </w:r>
      <w:r w:rsidR="001D1C06" w:rsidRPr="003D1E07">
        <w:rPr>
          <w:i/>
        </w:rPr>
        <w:t>Met</w:t>
      </w:r>
      <w:r w:rsidR="001D1C06" w:rsidRPr="003D1E07">
        <w:t>. 1073b2</w:t>
      </w:r>
      <w:r w:rsidR="001D1C06" w:rsidRPr="003D1E07">
        <w:fldChar w:fldCharType="begin"/>
      </w:r>
      <w:r w:rsidR="001D1C06" w:rsidRPr="003D1E07">
        <w:instrText xml:space="preserve"> XE "Aristoteles:</w:instrText>
      </w:r>
      <w:r w:rsidR="001D1C06" w:rsidRPr="003D1E07">
        <w:rPr>
          <w:i/>
        </w:rPr>
        <w:instrText>Met</w:instrText>
      </w:r>
      <w:r w:rsidR="001D1C06" w:rsidRPr="003D1E07">
        <w:instrText xml:space="preserve">. 1073b2" </w:instrText>
      </w:r>
      <w:r w:rsidR="001D1C06" w:rsidRPr="003D1E07">
        <w:fldChar w:fldCharType="end"/>
      </w:r>
      <w:r w:rsidR="001D1C06" w:rsidRPr="003D1E07">
        <w:t>). Toto eminentní dění zkoumají Aristo</w:t>
      </w:r>
      <w:r w:rsidR="0068208A">
        <w:t>telovy spisy o první filosofii.</w:t>
      </w:r>
    </w:p>
    <w:p w14:paraId="3D14A415" w14:textId="6C306331" w:rsidR="00C52990" w:rsidRDefault="001D1C06" w:rsidP="00415C2E">
      <w:pPr>
        <w:ind w:firstLine="397"/>
      </w:pPr>
      <w:r w:rsidRPr="003D1E07">
        <w:t xml:space="preserve">Celkem čtrnáct těchto různorodých pojednání o první substanci a jejím působení bylo umístěno </w:t>
      </w:r>
      <w:r w:rsidR="0052650E">
        <w:t xml:space="preserve">za spisy nazvané </w:t>
      </w:r>
      <w:r w:rsidR="0052650E" w:rsidRPr="0052650E">
        <w:rPr>
          <w:i/>
        </w:rPr>
        <w:t>F</w:t>
      </w:r>
      <w:r w:rsidRPr="0052650E">
        <w:rPr>
          <w:i/>
        </w:rPr>
        <w:t>yzi</w:t>
      </w:r>
      <w:r w:rsidR="0052650E">
        <w:rPr>
          <w:i/>
        </w:rPr>
        <w:t>ka</w:t>
      </w:r>
      <w:r w:rsidRPr="003D1E07">
        <w:t xml:space="preserve"> (μετὰ τὰ φύσικὰ </w:t>
      </w:r>
      <w:r w:rsidRPr="003D1E07">
        <w:rPr>
          <w:rFonts w:cs="Calibri"/>
        </w:rPr>
        <w:t>βιβλία</w:t>
      </w:r>
      <w:r w:rsidRPr="003D1E07">
        <w:t>). Díky skrytému působení Múz dostaly tyto spisy skrze Andronika z Rhodu společný název</w:t>
      </w:r>
      <w:r w:rsidR="005C2DED">
        <w:t xml:space="preserve"> </w:t>
      </w:r>
      <w:r w:rsidR="005C2DED" w:rsidRPr="005C2DED">
        <w:rPr>
          <w:i/>
        </w:rPr>
        <w:t>Metafyzika</w:t>
      </w:r>
      <w:r w:rsidRPr="003D1E07">
        <w:t xml:space="preserve">. </w:t>
      </w:r>
      <w:r w:rsidR="00936669">
        <w:t>Od vzniku metafyziky, a</w:t>
      </w:r>
      <w:r w:rsidRPr="003D1E07">
        <w:t>rchaický modus zjevování celku bytí se stal nevědeckým a komickým děním vázaným na mytopoetické příběhy o bozích (θεολόγια). Předešlé filosofické spisy o celku bytí (</w:t>
      </w:r>
      <w:r w:rsidRPr="003D1E07">
        <w:rPr>
          <w:rFonts w:cs="Calibri"/>
        </w:rPr>
        <w:t>π</w:t>
      </w:r>
      <w:r w:rsidRPr="003D1E07">
        <w:t xml:space="preserve">ερὶ φύσεως) a Sokratova moudrost se staly ve vítězném aristotelismu prvním </w:t>
      </w:r>
      <w:r w:rsidR="00FE6B1C" w:rsidRPr="003D1E07">
        <w:t>exponátem v akademickém muzeu</w:t>
      </w:r>
      <w:r w:rsidRPr="003D1E07">
        <w:t>.</w:t>
      </w:r>
      <w:r w:rsidR="00041B46" w:rsidRPr="003D1E07">
        <w:t xml:space="preserve"> </w:t>
      </w:r>
      <w:r w:rsidR="08580FC1" w:rsidRPr="003D1E07">
        <w:t>N</w:t>
      </w:r>
      <w:r w:rsidR="08F82B74" w:rsidRPr="003D1E07">
        <w:t>ov</w:t>
      </w:r>
      <w:r w:rsidR="08580FC1" w:rsidRPr="003D1E07">
        <w:t xml:space="preserve">ý </w:t>
      </w:r>
      <w:r w:rsidR="08F82B74" w:rsidRPr="003D1E07">
        <w:t>typ vědě</w:t>
      </w:r>
      <w:r w:rsidR="08D84F91" w:rsidRPr="003D1E07">
        <w:t>ní</w:t>
      </w:r>
      <w:r w:rsidR="08580FC1" w:rsidRPr="003D1E07">
        <w:t xml:space="preserve"> daný </w:t>
      </w:r>
      <w:r w:rsidR="08274264" w:rsidRPr="003D1E07">
        <w:t xml:space="preserve">veritativně </w:t>
      </w:r>
      <w:r w:rsidR="082F049D" w:rsidRPr="003D1E07">
        <w:t xml:space="preserve">a substanciálně </w:t>
      </w:r>
      <w:r w:rsidR="08885377" w:rsidRPr="003D1E07">
        <w:t>nemůže uchopit pythické pojetí pravdy</w:t>
      </w:r>
      <w:r w:rsidR="08D0541C" w:rsidRPr="003D1E07">
        <w:t>, které celý život hledal Sokrates</w:t>
      </w:r>
      <w:r w:rsidR="08885377" w:rsidRPr="003D1E07">
        <w:t xml:space="preserve">. </w:t>
      </w:r>
      <w:r w:rsidR="08D0541C" w:rsidRPr="003D1E07">
        <w:t xml:space="preserve">Platon </w:t>
      </w:r>
      <w:r w:rsidR="08686A05" w:rsidRPr="003D1E07">
        <w:t>a Aristotel</w:t>
      </w:r>
      <w:r w:rsidR="0818337F" w:rsidRPr="003D1E07">
        <w:t>e</w:t>
      </w:r>
      <w:r w:rsidR="08686A05" w:rsidRPr="003D1E07">
        <w:t xml:space="preserve">s </w:t>
      </w:r>
      <w:r w:rsidR="08D0541C" w:rsidRPr="003D1E07">
        <w:t>nahradil</w:t>
      </w:r>
      <w:r w:rsidR="08686A05" w:rsidRPr="003D1E07">
        <w:t>i</w:t>
      </w:r>
      <w:r w:rsidR="08D0541C" w:rsidRPr="003D1E07">
        <w:t xml:space="preserve"> Pýthií oslaveného Sokrata tím, že se stal</w:t>
      </w:r>
      <w:r w:rsidR="08686A05" w:rsidRPr="003D1E07">
        <w:t>i</w:t>
      </w:r>
      <w:r w:rsidR="08D0541C" w:rsidRPr="003D1E07">
        <w:t xml:space="preserve"> jeho metafyzicky </w:t>
      </w:r>
      <w:r w:rsidR="080A3612" w:rsidRPr="003D1E07">
        <w:t xml:space="preserve">adekvátním </w:t>
      </w:r>
      <w:r w:rsidR="08686A05" w:rsidRPr="003D1E07">
        <w:t>vykladači</w:t>
      </w:r>
      <w:r w:rsidR="004D08B9" w:rsidRPr="003D1E07">
        <w:t xml:space="preserve">. Platon přetvořil Sokrata v ideu Dobra, která tvoří základ mytopoetiky idejí. Mytický Sokrates v podobě oddělené </w:t>
      </w:r>
      <w:r w:rsidR="004D08B9" w:rsidRPr="003D1E07">
        <w:rPr>
          <w:i/>
        </w:rPr>
        <w:t>causa prima</w:t>
      </w:r>
      <w:r w:rsidR="004D08B9" w:rsidRPr="003D1E07">
        <w:t xml:space="preserve"> nese metafyziku v novém typu božské komedie. </w:t>
      </w:r>
      <w:r w:rsidR="008D0B8D">
        <w:t>A</w:t>
      </w:r>
      <w:r w:rsidR="008D0B8D" w:rsidRPr="003D1E07">
        <w:t xml:space="preserve">ristotelské </w:t>
      </w:r>
      <w:r w:rsidR="008D0B8D" w:rsidRPr="003D1E07">
        <w:lastRenderedPageBreak/>
        <w:t>simulákrum Sokrata</w:t>
      </w:r>
      <w:r w:rsidR="008D0B8D">
        <w:t xml:space="preserve"> </w:t>
      </w:r>
      <w:r w:rsidR="008D0B8D" w:rsidRPr="003D1E07">
        <w:t xml:space="preserve">představuje </w:t>
      </w:r>
      <w:r w:rsidR="008D0B8D">
        <w:t>n</w:t>
      </w:r>
      <w:r w:rsidR="004D08B9" w:rsidRPr="003D1E07">
        <w:t xml:space="preserve">ehybný a věčný Teoretik meditující vlastní pravdu ve věčné </w:t>
      </w:r>
      <w:r w:rsidR="004D08B9" w:rsidRPr="003D1E07">
        <w:rPr>
          <w:i/>
        </w:rPr>
        <w:t>scholé</w:t>
      </w:r>
      <w:r w:rsidR="004D08B9" w:rsidRPr="003D1E07">
        <w:t>. Ironičtí epikurejci udělali z teoretické činnosti oddělené první substance figuru „zahálčivého boha“ (</w:t>
      </w:r>
      <w:r w:rsidR="004D08B9" w:rsidRPr="003D1E07">
        <w:rPr>
          <w:i/>
        </w:rPr>
        <w:t>deus otiosus</w:t>
      </w:r>
      <w:r w:rsidR="004D08B9" w:rsidRPr="003D1E07">
        <w:rPr>
          <w:i/>
        </w:rPr>
        <w:fldChar w:fldCharType="begin"/>
      </w:r>
      <w:r w:rsidR="004D08B9" w:rsidRPr="003D1E07">
        <w:instrText xml:space="preserve"> XE "</w:instrText>
      </w:r>
      <w:r w:rsidR="004D08B9" w:rsidRPr="003D1E07">
        <w:rPr>
          <w:i/>
        </w:rPr>
        <w:instrText>deus otiosus</w:instrText>
      </w:r>
      <w:r w:rsidR="004D08B9" w:rsidRPr="003D1E07">
        <w:instrText xml:space="preserve">" </w:instrText>
      </w:r>
      <w:r w:rsidR="004D08B9" w:rsidRPr="003D1E07">
        <w:rPr>
          <w:i/>
        </w:rPr>
        <w:fldChar w:fldCharType="end"/>
      </w:r>
      <w:r w:rsidR="004D08B9" w:rsidRPr="003D1E07">
        <w:t>). Bůh metafyziky představuje z hlediska hermeneutiky simulákrum Sokrata ve stále nových figurách (</w:t>
      </w:r>
      <w:r w:rsidR="004D08B9" w:rsidRPr="003D1E07">
        <w:rPr>
          <w:i/>
        </w:rPr>
        <w:t>Socrates redivivus</w:t>
      </w:r>
      <w:r w:rsidR="004D08B9" w:rsidRPr="003D1E07">
        <w:t>). Božská komedie metafyziky způsobila, že moderní simulákrum Sokrata tvoří buď frenetická První kauza nebo nehybný První teoretik. Rozporuplná mytopoetika založila nejprve monumentální historii metafyziky a pak její postmoderní antikvární verzi.</w:t>
      </w:r>
      <w:r w:rsidR="004D08B9" w:rsidRPr="003D1E07">
        <w:rPr>
          <w:rStyle w:val="Znakapoznpodarou"/>
        </w:rPr>
        <w:footnoteReference w:id="19"/>
      </w:r>
      <w:r w:rsidR="004D08B9" w:rsidRPr="003D1E07">
        <w:t xml:space="preserve"> Banalizací platonského a aristotelského Sokrata začala smrt boha</w:t>
      </w:r>
      <w:r w:rsidR="004D08B9" w:rsidRPr="003D1E07">
        <w:fldChar w:fldCharType="begin"/>
      </w:r>
      <w:r w:rsidR="004D08B9" w:rsidRPr="003D1E07">
        <w:instrText xml:space="preserve"> XE "smrt boha" </w:instrText>
      </w:r>
      <w:r w:rsidR="004D08B9" w:rsidRPr="003D1E07">
        <w:fldChar w:fldCharType="end"/>
      </w:r>
      <w:r w:rsidR="004D08B9" w:rsidRPr="003D1E07">
        <w:t xml:space="preserve"> filosofů dokončená v</w:t>
      </w:r>
      <w:r w:rsidR="00003481">
        <w:t xml:space="preserve"> nihilistické </w:t>
      </w:r>
      <w:r w:rsidR="004D08B9" w:rsidRPr="003D1E07">
        <w:t>postmoderně</w:t>
      </w:r>
      <w:r w:rsidR="00E14B99" w:rsidRPr="003D1E07">
        <w:t xml:space="preserve"> 19. století</w:t>
      </w:r>
      <w:r w:rsidR="004D08B9" w:rsidRPr="003D1E07">
        <w:t>. Simulákrum Sokratovy schizofrenické moudrosti se stalo úctyhodnou antikvární dekorací na akademické hostině věčné Pravdy. Delfské mystérium nahradil průvod simuláker hlásaných z akademické stolice vědecko-technické šikovnosti. Sokrates nebyl ani mytický hrdina, ani banální myslitel, ani technicky zdatný typ akademického sofisty. Posel apollinského mystéria nemohl založit metafyziku, protože sledoval původní pojetí múzické pravdy. Výrok Pýthie má dějinně určenou pravdu, protože žádný metafyzik nemůže být tak moudrý jako Sokrates. Hermeneutika musí jít cestou sokratovského tázání při zkoumání objektivity. Metafyzičtí technici nemohou vidět archaickou přítomnost bytí jsoucna v rámci první filosofie. Pravda první filosofie není totožná s pravdou metafyziky</w:t>
      </w:r>
      <w:r w:rsidR="00A0025B">
        <w:t xml:space="preserve">. </w:t>
      </w:r>
      <w:r w:rsidR="00A0025B" w:rsidRPr="00A0025B">
        <w:t>Archaická moudrost a akademické dovednosti mají jiný předmět zkoumání a pozorují jiný svět.</w:t>
      </w:r>
      <w:r w:rsidR="00A0025B">
        <w:t xml:space="preserve"> </w:t>
      </w:r>
      <w:r w:rsidR="004D08B9" w:rsidRPr="003D1E07">
        <w:t xml:space="preserve">Celek iterativně uchopeného jsoucna skrze technický um metafyzika má pouze potenciální charakter neutrálního pojmu. Tragédie metafyziky a na ní postavené vědy tkví v tom, že vědění přestalo být archaicky teoretické. Metafyzika zrušila původní formu moudrosti a tuto ztrátu nepovažovala za důležitou. Archaický akt zakládání jsoucna viděný prvními filosofy zmizel z myšlení. Původní přítomnost celku bytí se stala uzavřenou a vytěsněnou minulostí, která už nepatří do </w:t>
      </w:r>
      <w:r w:rsidR="00D945FA">
        <w:t xml:space="preserve">historie vítězné akademické </w:t>
      </w:r>
      <w:r w:rsidR="004D08B9" w:rsidRPr="003D1E07">
        <w:t xml:space="preserve">filosofie. Také v tragédii se pravda a klam dává v modu múzické </w:t>
      </w:r>
      <w:r w:rsidR="004D08B9" w:rsidRPr="003D1E07">
        <w:rPr>
          <w:i/>
        </w:rPr>
        <w:t>alétheia</w:t>
      </w:r>
      <w:r w:rsidR="004D08B9" w:rsidRPr="003D1E07">
        <w:t xml:space="preserve">, protože vědění tragiků navazuje na původní mystérijní a věštecký charakter pravdy a klamu. Stav světa a lidské osudy se primárně dávají skrze tragicky skrytou formu archegetického </w:t>
      </w:r>
      <w:r w:rsidR="004D08B9" w:rsidRPr="003D1E07">
        <w:lastRenderedPageBreak/>
        <w:t>dativu, jehož přítomnost viděli a pythicky oznamovali věštci jako Teiresiás v Thébách. Teoretické vědění politicky činných diváků tragédie bylo schopné tuto pravdu a nepravdu správně číst a vyložit v modu archaické katarze dané nejprve viděním a pak věděním. Také múzické vidění prvních filosofů vidělo celek světa v jeho božském působení. Aristoteles v </w:t>
      </w:r>
      <w:r w:rsidR="004D08B9" w:rsidRPr="003D1E07">
        <w:rPr>
          <w:i/>
        </w:rPr>
        <w:t>Metafyzice</w:t>
      </w:r>
      <w:r w:rsidR="004D08B9" w:rsidRPr="003D1E07">
        <w:t xml:space="preserve"> odmítl </w:t>
      </w:r>
      <w:r w:rsidR="00A459FD">
        <w:t xml:space="preserve">vědecky </w:t>
      </w:r>
      <w:r w:rsidR="004D08B9" w:rsidRPr="003D1E07">
        <w:t>zkoumat archaickou donaci celku bytí</w:t>
      </w:r>
      <w:r w:rsidR="00A459FD">
        <w:t>, jako to měl Parmenides</w:t>
      </w:r>
      <w:r w:rsidR="004D08B9" w:rsidRPr="003D1E07">
        <w:t xml:space="preserve">. Původní donace bytí od absolutně jsoucího Počátku není apofanticky predikovaným fenoménem vnímaným smyslově. Nejvyšší jsoucno je od ostatních kosmických sfér zásadně odděleno, stejně jako Platónova idea Dobra je oddělena od bytí jsoucna. Celek múzického bytí zmizel z teoretického myšlení nové filosofie. Tato archaická forma bytí a myšlení přestala být metafyzicky pravdivá. Metafyzika má za první předmět poznání buď věčně přítomnou matematickou ideu nebo fyzikálně a kauzálně působící věčný celek substancí. Přítomnost jsoucna je </w:t>
      </w:r>
      <w:r w:rsidR="00415C2E">
        <w:t>„</w:t>
      </w:r>
      <w:r w:rsidR="004D08B9" w:rsidRPr="003D1E07">
        <w:t>re</w:t>
      </w:r>
      <w:r w:rsidR="00415C2E">
        <w:t>-</w:t>
      </w:r>
      <w:r w:rsidR="004D08B9" w:rsidRPr="003D1E07">
        <w:t>prezentována</w:t>
      </w:r>
      <w:r w:rsidR="00415C2E">
        <w:t>“</w:t>
      </w:r>
      <w:r w:rsidR="004D08B9" w:rsidRPr="003D1E07">
        <w:t xml:space="preserve"> </w:t>
      </w:r>
      <w:r w:rsidR="009E153E">
        <w:t xml:space="preserve">a proto </w:t>
      </w:r>
      <w:r w:rsidR="00415C2E">
        <w:t>„</w:t>
      </w:r>
      <w:r w:rsidR="009E153E">
        <w:t>re</w:t>
      </w:r>
      <w:r w:rsidR="00415C2E">
        <w:t>-</w:t>
      </w:r>
      <w:r w:rsidR="009E153E">
        <w:t>presivně</w:t>
      </w:r>
      <w:r w:rsidR="00415C2E">
        <w:t>“</w:t>
      </w:r>
      <w:r w:rsidR="009E153E">
        <w:t xml:space="preserve"> vytěsněna </w:t>
      </w:r>
      <w:r w:rsidR="004D08B9" w:rsidRPr="003D1E07">
        <w:t xml:space="preserve">tímto dvojím typem vědění </w:t>
      </w:r>
      <w:r w:rsidR="009E153E">
        <w:t xml:space="preserve">ideové a reálné </w:t>
      </w:r>
      <w:r w:rsidR="00415C2E">
        <w:t xml:space="preserve">substance. </w:t>
      </w:r>
      <w:r w:rsidR="00415C2E" w:rsidRPr="00415C2E">
        <w:t>Substantivní</w:t>
      </w:r>
      <w:r w:rsidR="00415C2E">
        <w:t xml:space="preserve"> infinitiv aristotelismu</w:t>
      </w:r>
      <w:r w:rsidR="00415C2E" w:rsidRPr="00415C2E">
        <w:t xml:space="preserve"> (τό εἶναι) je iterativní na způsob </w:t>
      </w:r>
      <w:r w:rsidR="00415C2E">
        <w:t xml:space="preserve">perfektivního </w:t>
      </w:r>
      <w:r w:rsidR="00415C2E" w:rsidRPr="00415C2E">
        <w:t xml:space="preserve">platónského </w:t>
      </w:r>
      <w:r w:rsidR="00415C2E" w:rsidRPr="00415C2E">
        <w:rPr>
          <w:i/>
        </w:rPr>
        <w:t>eídos</w:t>
      </w:r>
      <w:r w:rsidR="00415C2E" w:rsidRPr="00415C2E">
        <w:t>.</w:t>
      </w:r>
      <w:r w:rsidR="00415C2E">
        <w:t xml:space="preserve"> </w:t>
      </w:r>
      <w:r w:rsidR="004D08B9" w:rsidRPr="003D1E07">
        <w:t xml:space="preserve">Původní jednota celku jsoucna viděná múzicky nebo tragicky je daná v metafyzice deduktivně a proto pouze </w:t>
      </w:r>
      <w:r w:rsidR="004D08B9" w:rsidRPr="003D1E07">
        <w:rPr>
          <w:i/>
        </w:rPr>
        <w:t>ex post</w:t>
      </w:r>
      <w:r w:rsidR="004D08B9" w:rsidRPr="003D1E07">
        <w:t xml:space="preserve">. Ztracenou jednotu bytí, jsoucna a myšlení nahrazuje mytopoetický význam božského Sokrata jako dekorativní a nehybné První substance. Platon provedl první ideovou sekularizaci Sokratova dějinného prézentu myšlení. </w:t>
      </w:r>
      <w:r w:rsidR="00444E52" w:rsidRPr="00444E52">
        <w:t xml:space="preserve">Aristotelská fyzika </w:t>
      </w:r>
      <w:r w:rsidR="00444E52">
        <w:t>provedla metafyzické</w:t>
      </w:r>
      <w:r w:rsidR="00444E52" w:rsidRPr="00444E52">
        <w:t xml:space="preserve"> zbožštění Sokrata. Toto simulakrum skrývá v postavě </w:t>
      </w:r>
      <w:r w:rsidR="00444E52" w:rsidRPr="00444E52">
        <w:rPr>
          <w:i/>
        </w:rPr>
        <w:t>Deus otiosus</w:t>
      </w:r>
      <w:r w:rsidR="00444E52" w:rsidRPr="00444E52">
        <w:t xml:space="preserve"> nebo </w:t>
      </w:r>
      <w:r w:rsidR="00444E52" w:rsidRPr="00444E52">
        <w:rPr>
          <w:i/>
        </w:rPr>
        <w:t>Causa prima</w:t>
      </w:r>
      <w:r w:rsidR="00444E52" w:rsidRPr="00444E52">
        <w:t xml:space="preserve"> skrytý způsob, j</w:t>
      </w:r>
      <w:r w:rsidR="00444E52">
        <w:t>akým bohyně Apate a apollinské M</w:t>
      </w:r>
      <w:r w:rsidR="00444E52" w:rsidRPr="00444E52">
        <w:t>úzy řídí metafyzick</w:t>
      </w:r>
      <w:r w:rsidR="00444E52">
        <w:t>ou komedii a kastraci Sókratovy</w:t>
      </w:r>
      <w:r w:rsidR="00444E52" w:rsidRPr="003D1E07">
        <w:fldChar w:fldCharType="begin"/>
      </w:r>
      <w:r w:rsidR="00444E52" w:rsidRPr="003D1E07">
        <w:instrText xml:space="preserve"> XE "kastrace pravdy" </w:instrText>
      </w:r>
      <w:r w:rsidR="00444E52" w:rsidRPr="003D1E07">
        <w:fldChar w:fldCharType="end"/>
      </w:r>
      <w:r w:rsidR="00444E52">
        <w:t xml:space="preserve"> </w:t>
      </w:r>
      <w:r w:rsidR="00444E52" w:rsidRPr="00444E52">
        <w:t>pravdy.</w:t>
      </w:r>
    </w:p>
    <w:p w14:paraId="0226036E" w14:textId="7EF33E38" w:rsidR="00BA291B" w:rsidRDefault="001D1C06" w:rsidP="009A36FB">
      <w:pPr>
        <w:ind w:firstLine="397"/>
      </w:pPr>
      <w:r w:rsidRPr="003D1E07">
        <w:t>P</w:t>
      </w:r>
      <w:r w:rsidR="08AE4F31" w:rsidRPr="003D1E07">
        <w:t xml:space="preserve">ředchozí úvahy ukázaly, že </w:t>
      </w:r>
      <w:r w:rsidR="086B46E6" w:rsidRPr="003D1E07">
        <w:t xml:space="preserve">archeologicky, terapeuticky a katarkticky pojatá </w:t>
      </w:r>
      <w:r w:rsidR="08AE4F31" w:rsidRPr="003D1E07">
        <w:t xml:space="preserve">hermeneutika </w:t>
      </w:r>
      <w:r w:rsidR="081E6AEB" w:rsidRPr="003D1E07">
        <w:t xml:space="preserve">nemůže začít výklad od </w:t>
      </w:r>
      <w:r w:rsidR="08AE4F31" w:rsidRPr="003D1E07">
        <w:t xml:space="preserve">pozitivně </w:t>
      </w:r>
      <w:r w:rsidR="08D440E6" w:rsidRPr="003D1E07">
        <w:t>daného smyslu objektivity. Archeologie objektivity začíná v delfském adytonu</w:t>
      </w:r>
      <w:r w:rsidR="08D440E6" w:rsidRPr="003D1E07">
        <w:rPr>
          <w:i/>
        </w:rPr>
        <w:fldChar w:fldCharType="begin"/>
      </w:r>
      <w:r w:rsidR="08D440E6" w:rsidRPr="003D1E07">
        <w:instrText xml:space="preserve"> XE "hermeneutika:archaická" </w:instrText>
      </w:r>
      <w:r w:rsidR="08D440E6" w:rsidRPr="003D1E07">
        <w:rPr>
          <w:i/>
        </w:rPr>
        <w:fldChar w:fldCharType="end"/>
      </w:r>
      <w:r w:rsidR="08D440E6" w:rsidRPr="003D1E07">
        <w:t xml:space="preserve">, protože je třeba začít v původní temnotě bytí a myšlení. </w:t>
      </w:r>
      <w:r w:rsidR="08DE0A73" w:rsidRPr="003D1E07">
        <w:t xml:space="preserve">Oidipovská </w:t>
      </w:r>
      <w:r w:rsidR="08655E8D" w:rsidRPr="003D1E07">
        <w:rPr>
          <w:lang w:eastAsia="en-US"/>
        </w:rPr>
        <w:t>s</w:t>
      </w:r>
      <w:r w:rsidR="08D440E6" w:rsidRPr="003D1E07">
        <w:t xml:space="preserve">lepota metafyziky </w:t>
      </w:r>
      <w:r w:rsidR="08312DE5" w:rsidRPr="003D1E07">
        <w:t xml:space="preserve">má epochální rozměr. </w:t>
      </w:r>
      <w:r w:rsidR="08D440E6" w:rsidRPr="003D1E07">
        <w:t>Hermeneutický návrat myšlení</w:t>
      </w:r>
      <w:r w:rsidR="08CB6164" w:rsidRPr="003D1E07">
        <w:t xml:space="preserve"> k počátku znamená, že temnota P</w:t>
      </w:r>
      <w:r w:rsidR="08D440E6" w:rsidRPr="003D1E07">
        <w:t>latonovy moderní jeskyně se musí stát původní te</w:t>
      </w:r>
      <w:r w:rsidR="08A61516" w:rsidRPr="003D1E07">
        <w:t>mnotou d</w:t>
      </w:r>
      <w:r w:rsidR="08D440E6" w:rsidRPr="003D1E07">
        <w:t xml:space="preserve">elfské jeskyně. </w:t>
      </w:r>
      <w:r w:rsidR="08D440E6" w:rsidRPr="003D1E07">
        <w:rPr>
          <w:lang w:eastAsia="en-US"/>
        </w:rPr>
        <w:t xml:space="preserve">Heidegger ukázal, že </w:t>
      </w:r>
      <w:r w:rsidR="088D5846" w:rsidRPr="003D1E07">
        <w:rPr>
          <w:lang w:eastAsia="en-US"/>
        </w:rPr>
        <w:t xml:space="preserve">platonské </w:t>
      </w:r>
      <w:r w:rsidR="08D440E6" w:rsidRPr="003D1E07">
        <w:rPr>
          <w:lang w:eastAsia="en-US"/>
        </w:rPr>
        <w:t xml:space="preserve">podobenství o jeskyni představuje vidění jsoucna, které </w:t>
      </w:r>
      <w:r w:rsidR="08D440E6" w:rsidRPr="003D1E07">
        <w:rPr>
          <w:i/>
          <w:lang w:eastAsia="en-US"/>
        </w:rPr>
        <w:t>in nuce</w:t>
      </w:r>
      <w:r w:rsidR="08D440E6" w:rsidRPr="003D1E07">
        <w:rPr>
          <w:lang w:eastAsia="en-US"/>
        </w:rPr>
        <w:t xml:space="preserve"> obsahuje všechny dějinné mož</w:t>
      </w:r>
      <w:r w:rsidR="08071A0F" w:rsidRPr="003D1E07">
        <w:rPr>
          <w:lang w:eastAsia="en-US"/>
        </w:rPr>
        <w:t xml:space="preserve">nosti metafyziky. </w:t>
      </w:r>
      <w:r w:rsidR="08443D5E" w:rsidRPr="003D1E07">
        <w:rPr>
          <w:lang w:eastAsia="en-US"/>
        </w:rPr>
        <w:t>Ideově daná</w:t>
      </w:r>
      <w:r w:rsidR="08D440E6" w:rsidRPr="003D1E07">
        <w:rPr>
          <w:lang w:eastAsia="en-US"/>
        </w:rPr>
        <w:t xml:space="preserve"> substance</w:t>
      </w:r>
      <w:r w:rsidR="08D440E6" w:rsidRPr="003D1E07">
        <w:rPr>
          <w:lang w:eastAsia="en-US"/>
        </w:rPr>
        <w:fldChar w:fldCharType="begin"/>
      </w:r>
      <w:r w:rsidR="08D440E6" w:rsidRPr="003D1E07">
        <w:instrText xml:space="preserve"> XE "substance:Platon" </w:instrText>
      </w:r>
      <w:r w:rsidR="08D440E6" w:rsidRPr="003D1E07">
        <w:rPr>
          <w:lang w:eastAsia="en-US"/>
        </w:rPr>
        <w:fldChar w:fldCharType="end"/>
      </w:r>
      <w:r w:rsidR="08D25ACD" w:rsidRPr="003D1E07">
        <w:rPr>
          <w:lang w:eastAsia="en-US"/>
        </w:rPr>
        <w:t xml:space="preserve"> se stala smyslem nové epochy, protože </w:t>
      </w:r>
      <w:r w:rsidR="08443D5E" w:rsidRPr="003D1E07">
        <w:rPr>
          <w:lang w:eastAsia="en-US"/>
        </w:rPr>
        <w:t xml:space="preserve">metafyzická substance </w:t>
      </w:r>
      <w:r w:rsidR="08D25ACD" w:rsidRPr="003D1E07">
        <w:rPr>
          <w:lang w:eastAsia="en-US"/>
        </w:rPr>
        <w:t>vyšla z temnoty platonské jeskyně na světlo intelektu</w:t>
      </w:r>
      <w:r w:rsidR="08D440E6" w:rsidRPr="003D1E07">
        <w:rPr>
          <w:lang w:eastAsia="en-US"/>
        </w:rPr>
        <w:t>.</w:t>
      </w:r>
      <w:r w:rsidR="08D440E6" w:rsidRPr="003D1E07">
        <w:t xml:space="preserve"> </w:t>
      </w:r>
      <w:r w:rsidR="08071A0F" w:rsidRPr="003D1E07">
        <w:rPr>
          <w:lang w:eastAsia="en-US"/>
        </w:rPr>
        <w:t xml:space="preserve">Eidetická jasnost daná ideou Dobra určuje nový způsob zjevování jsoucna. </w:t>
      </w:r>
      <w:r w:rsidR="08D440E6" w:rsidRPr="003D1E07">
        <w:t>Podobenství o jeskyni ukázalo, že idea jako plnost jsoucna se stala nejjasnější a nejtrvalejší manifestací</w:t>
      </w:r>
      <w:r w:rsidR="086233F0" w:rsidRPr="003D1E07">
        <w:t xml:space="preserve"> toho, co jest. Tato ideová par</w:t>
      </w:r>
      <w:r w:rsidR="08D440E6" w:rsidRPr="003D1E07">
        <w:t xml:space="preserve">usie jsoucna zakládá </w:t>
      </w:r>
      <w:r w:rsidR="08D440E6" w:rsidRPr="003D1E07">
        <w:lastRenderedPageBreak/>
        <w:t xml:space="preserve">metafyziku, protože tvoří její přítomný a </w:t>
      </w:r>
      <w:r w:rsidR="08F64A28" w:rsidRPr="003D1E07">
        <w:t xml:space="preserve">trvalý </w:t>
      </w:r>
      <w:r w:rsidR="08D440E6" w:rsidRPr="003D1E07">
        <w:t xml:space="preserve">základ. </w:t>
      </w:r>
      <w:r w:rsidR="08670666" w:rsidRPr="003D1E07">
        <w:t>Epochální zadržení objektivního úsudku znamená, že hermeneutika musí vrátit ideové vědění zpět k původní události prézentního vidění</w:t>
      </w:r>
      <w:r w:rsidR="08513384" w:rsidRPr="003D1E07">
        <w:t xml:space="preserve"> prvních filosofů a tragiků</w:t>
      </w:r>
      <w:r w:rsidR="08670666" w:rsidRPr="003D1E07">
        <w:t xml:space="preserve">. </w:t>
      </w:r>
      <w:r w:rsidR="08D440E6" w:rsidRPr="003D1E07">
        <w:t xml:space="preserve">V záření ideje přestal být viděn původní proces zjevování jsoucna skrze múzickou podobu pravdy. </w:t>
      </w:r>
      <w:r w:rsidR="080B4CB8" w:rsidRPr="003D1E07">
        <w:t xml:space="preserve">Parmenidův původní prézent vidění a </w:t>
      </w:r>
      <w:r w:rsidR="080B4CB8" w:rsidRPr="003D1E07">
        <w:rPr>
          <w:i/>
        </w:rPr>
        <w:t>alétheia</w:t>
      </w:r>
      <w:r w:rsidR="080B4CB8" w:rsidRPr="003D1E07">
        <w:t xml:space="preserve"> prvních filosofů stojí mimo metafyzické vědění první a druhé substance. </w:t>
      </w:r>
      <w:r w:rsidR="08AC5619" w:rsidRPr="003D1E07">
        <w:rPr>
          <w:lang w:eastAsia="en-US"/>
        </w:rPr>
        <w:t>T</w:t>
      </w:r>
      <w:r w:rsidR="08E90B79" w:rsidRPr="003D1E07">
        <w:rPr>
          <w:lang w:eastAsia="en-US"/>
        </w:rPr>
        <w:t xml:space="preserve">ento původní prézent bytí a myšlení se stal v metafyzice zapomenutou a </w:t>
      </w:r>
      <w:r w:rsidR="085D7F66" w:rsidRPr="003D1E07">
        <w:rPr>
          <w:lang w:eastAsia="en-US"/>
        </w:rPr>
        <w:t xml:space="preserve">vykastrovanou </w:t>
      </w:r>
      <w:r w:rsidR="08E90B79" w:rsidRPr="003D1E07">
        <w:rPr>
          <w:lang w:eastAsia="en-US"/>
        </w:rPr>
        <w:t xml:space="preserve">minulostí. </w:t>
      </w:r>
      <w:r w:rsidR="088E58A3" w:rsidRPr="003D1E07">
        <w:t>Temnota původního bytí zmizela a epochální obrat metafyziky dal archaické bytí zkoumané prvními filosofy do perfektního světla mate</w:t>
      </w:r>
      <w:r w:rsidR="08AC5619" w:rsidRPr="003D1E07">
        <w:t xml:space="preserve">maticky definované ideje. </w:t>
      </w:r>
      <w:r w:rsidR="08AE4F31" w:rsidRPr="003D1E07">
        <w:t xml:space="preserve">Hermeneutika </w:t>
      </w:r>
      <w:r w:rsidR="08F466BA" w:rsidRPr="003D1E07">
        <w:t xml:space="preserve">vedená </w:t>
      </w:r>
      <w:r w:rsidR="08A847DD" w:rsidRPr="003D1E07">
        <w:t xml:space="preserve">temnotou Delf </w:t>
      </w:r>
      <w:r w:rsidR="087C3BF8" w:rsidRPr="003D1E07">
        <w:t xml:space="preserve">není </w:t>
      </w:r>
      <w:r w:rsidR="084D45F8" w:rsidRPr="003D1E07">
        <w:t xml:space="preserve">akademicky </w:t>
      </w:r>
      <w:r w:rsidR="087C3BF8" w:rsidRPr="003D1E07">
        <w:t xml:space="preserve">vykastrovaná, proto </w:t>
      </w:r>
      <w:r w:rsidR="08AE4F31" w:rsidRPr="003D1E07">
        <w:t>trvá na archaickém pojetí adekvace</w:t>
      </w:r>
      <w:r w:rsidR="089C4606" w:rsidRPr="003D1E07">
        <w:t xml:space="preserve"> bytí a myšlení. </w:t>
      </w:r>
      <w:r w:rsidR="08AE4F31" w:rsidRPr="003D1E07">
        <w:t>Jak se fenomén vynoří ze skrytosti do zjevnosti, tak je i poznatelný</w:t>
      </w:r>
      <w:r w:rsidR="08AE4F31" w:rsidRPr="003D1E07">
        <w:rPr>
          <w:i/>
        </w:rPr>
        <w:fldChar w:fldCharType="begin"/>
      </w:r>
      <w:r w:rsidR="08AE4F31" w:rsidRPr="003D1E07">
        <w:instrText xml:space="preserve"> XE "hermeneutické </w:instrText>
      </w:r>
      <w:r w:rsidR="08AE4F31" w:rsidRPr="003D1E07">
        <w:rPr>
          <w:i/>
        </w:rPr>
        <w:instrText>Wie</w:instrText>
      </w:r>
      <w:r w:rsidR="08AE4F31" w:rsidRPr="003D1E07">
        <w:instrText xml:space="preserve">:Heidegger" </w:instrText>
      </w:r>
      <w:r w:rsidR="08AE4F31" w:rsidRPr="003D1E07">
        <w:rPr>
          <w:i/>
        </w:rPr>
        <w:fldChar w:fldCharType="end"/>
      </w:r>
      <w:r w:rsidR="08AE4F31" w:rsidRPr="003D1E07">
        <w:t xml:space="preserve">. Po vzoru Heideggerova výkladu podobenství o jeskyni </w:t>
      </w:r>
      <w:r w:rsidR="080C0D42" w:rsidRPr="003D1E07">
        <w:t xml:space="preserve">jsme našli </w:t>
      </w:r>
      <w:r w:rsidR="08F466BA" w:rsidRPr="003D1E07">
        <w:t>původní způsob myšlení, který změnil</w:t>
      </w:r>
      <w:r w:rsidR="08AE4F31" w:rsidRPr="003D1E07">
        <w:t xml:space="preserve"> mystérijní a múzick</w:t>
      </w:r>
      <w:r w:rsidR="003C49BF">
        <w:t>é vidění na metafyzické vědění.</w:t>
      </w:r>
      <w:r w:rsidR="009A36FB">
        <w:t xml:space="preserve"> </w:t>
      </w:r>
      <w:r w:rsidR="08AE4F31" w:rsidRPr="003D1E07">
        <w:t xml:space="preserve">Vznik </w:t>
      </w:r>
      <w:r w:rsidR="080C0D42" w:rsidRPr="003D1E07">
        <w:t xml:space="preserve">metafyzického </w:t>
      </w:r>
      <w:r w:rsidR="08AE4F31" w:rsidRPr="003D1E07">
        <w:t xml:space="preserve">náhledu determinuje základní způsob, jak se objektivita zjevuje v následujících dějinných proměnách. Toto „místo“ nebo „událost“ objektivně neexistuje. Podle citované </w:t>
      </w:r>
      <w:r w:rsidR="08AE4F31" w:rsidRPr="003D1E07">
        <w:rPr>
          <w:i/>
        </w:rPr>
        <w:t>Metafyziky</w:t>
      </w:r>
      <w:r w:rsidR="08AE4F31" w:rsidRPr="003D1E07">
        <w:t xml:space="preserve"> Z platí, že původní událost donace zakládající </w:t>
      </w:r>
      <w:r w:rsidR="08AE4F31" w:rsidRPr="003D1E07">
        <w:rPr>
          <w:i/>
        </w:rPr>
        <w:t>quidditas</w:t>
      </w:r>
      <w:r w:rsidR="084E70AD" w:rsidRPr="003D1E07">
        <w:t xml:space="preserve"> se stala minulostí. </w:t>
      </w:r>
      <w:r w:rsidR="087D4280" w:rsidRPr="003D1E07">
        <w:t>Reálná substance se pravdivě a tedy adekvátně predikuje v modu apofanticky přítomné druhé substance. Tím spíše se stal minulostí i původní archaický celek bytí viděný prvními filosofy</w:t>
      </w:r>
      <w:r w:rsidR="083C1F7B" w:rsidRPr="003D1E07">
        <w:t xml:space="preserve"> ve věšteckém a múzickém prézentu</w:t>
      </w:r>
      <w:r w:rsidR="087D4280" w:rsidRPr="003D1E07">
        <w:t>. Pro aristotelskou metafyziku zkoumající zde a nyní zjevenou substanci se stal múzický celek bytí plně nejsoucí. Dokonce ani v</w:t>
      </w:r>
      <w:r w:rsidR="084E70AD" w:rsidRPr="003D1E07">
        <w:t xml:space="preserve">ěc existující mimo nás není skrze intelekt uchopitelná tak, jak bytuje sama o sobě. </w:t>
      </w:r>
      <w:r w:rsidR="085C5D41" w:rsidRPr="003D1E07">
        <w:t xml:space="preserve">Přítomné vědění vznikne </w:t>
      </w:r>
      <w:r w:rsidR="08121B7D" w:rsidRPr="003D1E07">
        <w:t xml:space="preserve">následkem toho, že </w:t>
      </w:r>
      <w:r w:rsidR="085C5D41" w:rsidRPr="003D1E07">
        <w:t xml:space="preserve">jeho </w:t>
      </w:r>
      <w:r w:rsidR="08121B7D" w:rsidRPr="003D1E07">
        <w:t xml:space="preserve">původní </w:t>
      </w:r>
      <w:r w:rsidR="085C5D41" w:rsidRPr="003D1E07">
        <w:t xml:space="preserve">příčina přešla do minulého modu bytí. </w:t>
      </w:r>
      <w:r w:rsidR="084E70AD" w:rsidRPr="003D1E07">
        <w:t xml:space="preserve">Metafyzické určení </w:t>
      </w:r>
      <w:r w:rsidR="084E70AD" w:rsidRPr="003D1E07">
        <w:rPr>
          <w:i/>
        </w:rPr>
        <w:t>quidditas</w:t>
      </w:r>
      <w:r w:rsidR="084E70AD" w:rsidRPr="003D1E07">
        <w:rPr>
          <w:i/>
        </w:rPr>
        <w:fldChar w:fldCharType="begin"/>
      </w:r>
      <w:r w:rsidR="084E70AD" w:rsidRPr="003D1E07">
        <w:instrText xml:space="preserve"> XE "</w:instrText>
      </w:r>
      <w:r w:rsidR="084E70AD" w:rsidRPr="003D1E07">
        <w:rPr>
          <w:i/>
        </w:rPr>
        <w:instrText>quidditas</w:instrText>
      </w:r>
      <w:r w:rsidR="084E70AD" w:rsidRPr="003D1E07">
        <w:instrText xml:space="preserve">" </w:instrText>
      </w:r>
      <w:r w:rsidR="084E70AD" w:rsidRPr="003D1E07">
        <w:rPr>
          <w:i/>
        </w:rPr>
        <w:fldChar w:fldCharType="end"/>
      </w:r>
      <w:r w:rsidR="084E70AD" w:rsidRPr="003D1E07">
        <w:t xml:space="preserve"> ukazuje, že původní bytí první substance přešlo v aktu donace do parousijního významu druhé substance. </w:t>
      </w:r>
      <w:r w:rsidR="08943685" w:rsidRPr="003D1E07">
        <w:t xml:space="preserve">Aktuální jsoucno je pro myšlení dáno pouze v minulém čase a je </w:t>
      </w:r>
      <w:r w:rsidR="087D4280" w:rsidRPr="003D1E07">
        <w:t xml:space="preserve">adekvátně-pravdivě </w:t>
      </w:r>
      <w:r w:rsidR="08943685" w:rsidRPr="003D1E07">
        <w:t>zprostřed</w:t>
      </w:r>
      <w:r w:rsidR="087D4280" w:rsidRPr="003D1E07">
        <w:t>k</w:t>
      </w:r>
      <w:r w:rsidR="08943685" w:rsidRPr="003D1E07">
        <w:t xml:space="preserve">ované skrze kauzalitu. </w:t>
      </w:r>
      <w:r w:rsidR="084E70AD" w:rsidRPr="003D1E07">
        <w:t>Zakládající dění dané kauzalitou první substance se stalo minulostí, protože místo něj je d</w:t>
      </w:r>
      <w:r w:rsidR="086233F0" w:rsidRPr="003D1E07">
        <w:t>án univerzální význam. Jeho par</w:t>
      </w:r>
      <w:r w:rsidR="084E70AD" w:rsidRPr="003D1E07">
        <w:t xml:space="preserve">usie vzniká v poznávající mysli </w:t>
      </w:r>
      <w:r w:rsidR="08D47FF2" w:rsidRPr="003D1E07">
        <w:t xml:space="preserve">a zjevuje ji predikující mluva. </w:t>
      </w:r>
      <w:r w:rsidR="08AE4F31" w:rsidRPr="003D1E07">
        <w:t xml:space="preserve">Metafyzika zkoumá jen pozitivně daný fenomén aktuální substance či ideální esence zjevené v poli perfektně utvářeného eidetického vědění. Po změně dráhy </w:t>
      </w:r>
      <w:r w:rsidR="006D239B">
        <w:t xml:space="preserve">ontologického </w:t>
      </w:r>
      <w:r w:rsidR="08AE4F31" w:rsidRPr="003D1E07">
        <w:t>náhledu (</w:t>
      </w:r>
      <w:r w:rsidR="08AE4F31" w:rsidRPr="003D1E07">
        <w:rPr>
          <w:i/>
        </w:rPr>
        <w:t>Vor</w:t>
      </w:r>
      <w:r w:rsidR="08AE4F31" w:rsidRPr="003D1E07">
        <w:rPr>
          <w:i/>
        </w:rPr>
        <w:noBreakHyphen/>
        <w:t>blickbahn</w:t>
      </w:r>
      <w:r w:rsidR="08AE4F31" w:rsidRPr="003D1E07">
        <w:t>) do moderní f</w:t>
      </w:r>
      <w:r w:rsidR="084E70AD" w:rsidRPr="003D1E07">
        <w:t>ormy vědění nemá původní múzická</w:t>
      </w:r>
      <w:r w:rsidR="08AE4F31" w:rsidRPr="003D1E07">
        <w:t xml:space="preserve"> a mystérijní moudrost žádný způsob, jak by mohla být tematizována</w:t>
      </w:r>
      <w:r w:rsidR="084E70AD" w:rsidRPr="003D1E07">
        <w:t xml:space="preserve"> v moderní filosofii</w:t>
      </w:r>
      <w:r w:rsidR="08AE4F31" w:rsidRPr="003D1E07">
        <w:t xml:space="preserve">. </w:t>
      </w:r>
      <w:r w:rsidR="0884015C" w:rsidRPr="003D1E07">
        <w:t xml:space="preserve">Nejsoucno není podle Parmenida ani myslitelné ani predikovatelné. </w:t>
      </w:r>
      <w:r w:rsidR="08FE25ED" w:rsidRPr="003D1E07">
        <w:t xml:space="preserve">Nová forma filosofie daná skrze vědění metafyziky je kategoriálně slepá </w:t>
      </w:r>
      <w:r w:rsidR="08FE25ED" w:rsidRPr="003D1E07">
        <w:lastRenderedPageBreak/>
        <w:t>k původní události bytí, která založila myšlení Moderních</w:t>
      </w:r>
      <w:r w:rsidR="0042611A" w:rsidRPr="003D1E07">
        <w:t xml:space="preserve"> tím, že zmizela</w:t>
      </w:r>
      <w:r w:rsidR="08FE25ED" w:rsidRPr="003D1E07">
        <w:t xml:space="preserve">. </w:t>
      </w:r>
      <w:r w:rsidR="00214696" w:rsidRPr="003D1E07">
        <w:t xml:space="preserve">Akademici dirigují běh vědy pořád kupředu, protože na světě není nic k vidění. </w:t>
      </w:r>
      <w:r w:rsidR="08D440E6" w:rsidRPr="003D1E07">
        <w:t xml:space="preserve">Múzická </w:t>
      </w:r>
      <w:r w:rsidR="08FE25ED" w:rsidRPr="003D1E07">
        <w:t>pravda se stala nepravdou a b</w:t>
      </w:r>
      <w:r w:rsidR="084E70AD" w:rsidRPr="003D1E07">
        <w:t xml:space="preserve">ásníci se stali neškodnými </w:t>
      </w:r>
      <w:r w:rsidR="08D440E6" w:rsidRPr="003D1E07">
        <w:t xml:space="preserve">šašky na </w:t>
      </w:r>
      <w:r w:rsidR="086204CF" w:rsidRPr="003D1E07">
        <w:t>tragi</w:t>
      </w:r>
      <w:r w:rsidR="08D47FF2" w:rsidRPr="003D1E07">
        <w:t>komickém sympóziu</w:t>
      </w:r>
      <w:r w:rsidR="08D440E6" w:rsidRPr="003D1E07">
        <w:t xml:space="preserve"> m</w:t>
      </w:r>
      <w:r w:rsidR="08FE25ED" w:rsidRPr="003D1E07">
        <w:t>etafyziky, matematiky a logiky.</w:t>
      </w:r>
      <w:r w:rsidR="08BC04E3" w:rsidRPr="003D1E07">
        <w:t xml:space="preserve"> </w:t>
      </w:r>
      <w:r w:rsidR="08C7207B" w:rsidRPr="003D1E07">
        <w:t>Ale původní</w:t>
      </w:r>
      <w:r w:rsidR="082167F1" w:rsidRPr="003D1E07">
        <w:t xml:space="preserve"> </w:t>
      </w:r>
      <w:r w:rsidR="08C7207B" w:rsidRPr="003D1E07">
        <w:t>pravda nemůž</w:t>
      </w:r>
      <w:r w:rsidR="00501864">
        <w:t xml:space="preserve">e zmizet, i když metafyzika ze sebe dělá </w:t>
      </w:r>
      <w:r w:rsidR="00EC6F49">
        <w:t xml:space="preserve">učeného </w:t>
      </w:r>
      <w:r w:rsidR="00501864">
        <w:t>blázna</w:t>
      </w:r>
      <w:r w:rsidR="082167F1" w:rsidRPr="003D1E07">
        <w:t xml:space="preserve">. </w:t>
      </w:r>
      <w:r w:rsidR="08C7207B" w:rsidRPr="003D1E07">
        <w:t xml:space="preserve">Dění Múz a Delf </w:t>
      </w:r>
      <w:r w:rsidR="082167F1" w:rsidRPr="003D1E07">
        <w:t xml:space="preserve">je </w:t>
      </w:r>
      <w:r w:rsidR="08C7207B" w:rsidRPr="003D1E07">
        <w:t xml:space="preserve">archaicky </w:t>
      </w:r>
      <w:r w:rsidR="08536553" w:rsidRPr="003D1E07">
        <w:t xml:space="preserve">a proto sématicky </w:t>
      </w:r>
      <w:r w:rsidR="08C7207B" w:rsidRPr="003D1E07">
        <w:t xml:space="preserve">přítomné skrze </w:t>
      </w:r>
      <w:r w:rsidR="08763F05" w:rsidRPr="003D1E07">
        <w:t xml:space="preserve">učení </w:t>
      </w:r>
      <w:r w:rsidR="08C7207B" w:rsidRPr="003D1E07">
        <w:t>první</w:t>
      </w:r>
      <w:r w:rsidR="08763F05" w:rsidRPr="003D1E07">
        <w:t>ch filosofů</w:t>
      </w:r>
      <w:r w:rsidR="08C7207B" w:rsidRPr="003D1E07">
        <w:t xml:space="preserve"> a skrze </w:t>
      </w:r>
      <w:r w:rsidR="08120E9F" w:rsidRPr="003D1E07">
        <w:t xml:space="preserve">akademickou parodii </w:t>
      </w:r>
      <w:r w:rsidR="08C7207B" w:rsidRPr="003D1E07">
        <w:t>Sokra</w:t>
      </w:r>
      <w:r w:rsidR="08120E9F" w:rsidRPr="003D1E07">
        <w:t>tovy moudrosti</w:t>
      </w:r>
      <w:r w:rsidR="08C7207B" w:rsidRPr="003D1E07">
        <w:t xml:space="preserve">. Tato původní moudrost trvale zvěstuje pravdu a </w:t>
      </w:r>
      <w:r w:rsidR="086A773A" w:rsidRPr="003D1E07">
        <w:t xml:space="preserve">klam </w:t>
      </w:r>
      <w:r w:rsidR="08C7207B" w:rsidRPr="003D1E07">
        <w:t>o múzickém</w:t>
      </w:r>
      <w:r w:rsidR="085C3CB3" w:rsidRPr="003D1E07">
        <w:t xml:space="preserve"> </w:t>
      </w:r>
      <w:r w:rsidR="086A773A" w:rsidRPr="003D1E07">
        <w:t xml:space="preserve">celku </w:t>
      </w:r>
      <w:r w:rsidR="085C3CB3" w:rsidRPr="003D1E07">
        <w:t xml:space="preserve">bytí, jak jej traduje </w:t>
      </w:r>
      <w:r w:rsidR="08C7207B" w:rsidRPr="003D1E07">
        <w:t>počát</w:t>
      </w:r>
      <w:r w:rsidR="085C3CB3" w:rsidRPr="003D1E07">
        <w:t>e</w:t>
      </w:r>
      <w:r w:rsidR="08C7207B" w:rsidRPr="003D1E07">
        <w:t>k</w:t>
      </w:r>
      <w:r w:rsidR="085C3CB3" w:rsidRPr="003D1E07">
        <w:t xml:space="preserve"> filosofického </w:t>
      </w:r>
      <w:r w:rsidR="08BB63BD" w:rsidRPr="003D1E07">
        <w:t>myšlení.</w:t>
      </w:r>
      <w:r w:rsidR="08EB3F3A" w:rsidRPr="003D1E07">
        <w:t xml:space="preserve"> </w:t>
      </w:r>
      <w:r w:rsidR="08D440E6" w:rsidRPr="003D1E07">
        <w:t xml:space="preserve">Platonovo podobenství o jeskyni vytvořilo zakládající událost technického vědění slepého k počátku moudrosti dané prézentním viděním celku. </w:t>
      </w:r>
      <w:r w:rsidR="08970E6A" w:rsidRPr="003D1E07">
        <w:rPr>
          <w:lang w:eastAsia="en-US"/>
        </w:rPr>
        <w:t xml:space="preserve">Filosof vyjde z jeskyně do světa idejí, které září skrze ideu Dobra jako původního slunce. Tato událost epochálního východu z temnoty do světla </w:t>
      </w:r>
      <w:r w:rsidR="007F0004">
        <w:rPr>
          <w:lang w:eastAsia="en-US"/>
        </w:rPr>
        <w:t xml:space="preserve">založila </w:t>
      </w:r>
      <w:r w:rsidR="005704B7">
        <w:rPr>
          <w:lang w:eastAsia="en-US"/>
        </w:rPr>
        <w:t>m</w:t>
      </w:r>
      <w:r w:rsidR="08BB63BD" w:rsidRPr="003D1E07">
        <w:rPr>
          <w:lang w:eastAsia="en-US"/>
        </w:rPr>
        <w:t>odern</w:t>
      </w:r>
      <w:r w:rsidR="005704B7">
        <w:rPr>
          <w:lang w:eastAsia="en-US"/>
        </w:rPr>
        <w:t xml:space="preserve">u tím, že oddělila novou </w:t>
      </w:r>
      <w:r w:rsidR="00892B91">
        <w:rPr>
          <w:lang w:eastAsia="en-US"/>
        </w:rPr>
        <w:t xml:space="preserve">formu </w:t>
      </w:r>
      <w:r w:rsidR="08970E6A" w:rsidRPr="003D1E07">
        <w:rPr>
          <w:lang w:eastAsia="en-US"/>
        </w:rPr>
        <w:t>pravdivost</w:t>
      </w:r>
      <w:r w:rsidR="00892B91">
        <w:rPr>
          <w:lang w:eastAsia="en-US"/>
        </w:rPr>
        <w:t>i</w:t>
      </w:r>
      <w:r w:rsidR="00E318D6">
        <w:rPr>
          <w:lang w:eastAsia="en-US"/>
        </w:rPr>
        <w:t xml:space="preserve"> (</w:t>
      </w:r>
      <w:r w:rsidR="00E318D6" w:rsidRPr="00E318D6">
        <w:rPr>
          <w:i/>
          <w:lang w:eastAsia="en-US"/>
        </w:rPr>
        <w:t>veritas</w:t>
      </w:r>
      <w:r w:rsidR="00E318D6">
        <w:rPr>
          <w:lang w:eastAsia="en-US"/>
        </w:rPr>
        <w:t xml:space="preserve">) </w:t>
      </w:r>
      <w:r w:rsidR="007F0004">
        <w:rPr>
          <w:lang w:eastAsia="en-US"/>
        </w:rPr>
        <w:t xml:space="preserve">metafyzického rozumu </w:t>
      </w:r>
      <w:r w:rsidR="005704B7">
        <w:rPr>
          <w:lang w:eastAsia="en-US"/>
        </w:rPr>
        <w:t xml:space="preserve">od původní </w:t>
      </w:r>
      <w:r w:rsidR="005704B7" w:rsidRPr="005704B7">
        <w:rPr>
          <w:i/>
          <w:lang w:eastAsia="en-US"/>
        </w:rPr>
        <w:t>alétheia</w:t>
      </w:r>
      <w:r w:rsidR="005704B7">
        <w:rPr>
          <w:lang w:eastAsia="en-US"/>
        </w:rPr>
        <w:t xml:space="preserve"> první filosofie</w:t>
      </w:r>
      <w:r w:rsidR="08970E6A" w:rsidRPr="003D1E07">
        <w:rPr>
          <w:lang w:eastAsia="en-US"/>
        </w:rPr>
        <w:t>. U</w:t>
      </w:r>
      <w:r w:rsidR="08D440E6" w:rsidRPr="003D1E07">
        <w:t xml:space="preserve">dálost reálného zatmění slunce </w:t>
      </w:r>
      <w:r w:rsidR="08866E7F" w:rsidRPr="003D1E07">
        <w:t xml:space="preserve">přestala být pro myšlení důležitá a </w:t>
      </w:r>
      <w:r w:rsidR="08D440E6" w:rsidRPr="003D1E07">
        <w:t>nahradil ji pří</w:t>
      </w:r>
      <w:r w:rsidR="08BF1A47" w:rsidRPr="003D1E07">
        <w:t>běh o věčně zářící ideji Dobra.</w:t>
      </w:r>
      <w:r w:rsidR="00334E99" w:rsidRPr="003D1E07">
        <w:t xml:space="preserve"> </w:t>
      </w:r>
      <w:r w:rsidR="08D440E6" w:rsidRPr="003D1E07">
        <w:t>Mytický p</w:t>
      </w:r>
      <w:r w:rsidR="08D440E6" w:rsidRPr="003D1E07">
        <w:rPr>
          <w:lang w:eastAsia="en-US"/>
        </w:rPr>
        <w:t>říběh o intelektu-slunci obsahuje všechny následné transformace s</w:t>
      </w:r>
      <w:r w:rsidR="08073DA8" w:rsidRPr="003D1E07">
        <w:rPr>
          <w:lang w:eastAsia="en-US"/>
        </w:rPr>
        <w:t>krytosti a od</w:t>
      </w:r>
      <w:r w:rsidR="00E23A98" w:rsidRPr="003D1E07">
        <w:rPr>
          <w:lang w:eastAsia="en-US"/>
        </w:rPr>
        <w:t xml:space="preserve">krytosti jsoucna. </w:t>
      </w:r>
      <w:r w:rsidR="00B418D0" w:rsidRPr="003D1E07">
        <w:rPr>
          <w:lang w:eastAsia="en-US"/>
        </w:rPr>
        <w:t xml:space="preserve">Moderní </w:t>
      </w:r>
      <w:r w:rsidR="08D440E6" w:rsidRPr="003D1E07">
        <w:t>ilumináti</w:t>
      </w:r>
      <w:r w:rsidR="00B418D0" w:rsidRPr="003D1E07">
        <w:t xml:space="preserve"> věří </w:t>
      </w:r>
      <w:r w:rsidR="08D440E6" w:rsidRPr="003D1E07">
        <w:t>na zázračné světlo</w:t>
      </w:r>
      <w:r w:rsidR="08FF3BE4" w:rsidRPr="003D1E07">
        <w:t xml:space="preserve"> intelektu. </w:t>
      </w:r>
      <w:r w:rsidR="08D440E6" w:rsidRPr="003D1E07">
        <w:t>Slunce se sice občas zatmí, ale nik</w:t>
      </w:r>
      <w:r w:rsidR="081C2EDA" w:rsidRPr="003D1E07">
        <w:t xml:space="preserve">oliv věčné metafyzické pravdy. </w:t>
      </w:r>
      <w:r w:rsidR="00334E99" w:rsidRPr="003D1E07">
        <w:t>B</w:t>
      </w:r>
      <w:r w:rsidR="08D440E6" w:rsidRPr="003D1E07">
        <w:t xml:space="preserve">ohyně Pomsty </w:t>
      </w:r>
      <w:r w:rsidR="08FF3BE4" w:rsidRPr="003D1E07">
        <w:t>jménem božského řádu trestají</w:t>
      </w:r>
      <w:r w:rsidR="08D440E6" w:rsidRPr="003D1E07">
        <w:t xml:space="preserve"> zpupnost a hloupost (ὕβρις) </w:t>
      </w:r>
      <w:r w:rsidR="08060D2E" w:rsidRPr="003D1E07">
        <w:t xml:space="preserve">objektivně </w:t>
      </w:r>
      <w:r w:rsidR="08FF3BE4" w:rsidRPr="003D1E07">
        <w:t>vědoucích iluminátů</w:t>
      </w:r>
      <w:r w:rsidR="08060D2E" w:rsidRPr="003D1E07">
        <w:t xml:space="preserve">. Trest má tragický charakter </w:t>
      </w:r>
      <w:r w:rsidR="08D440E6" w:rsidRPr="003D1E07">
        <w:t xml:space="preserve">podle Aischylova výroku „utrpením k moudrosti“ (πάθει μάθος; </w:t>
      </w:r>
      <w:r w:rsidR="08D440E6" w:rsidRPr="003D1E07">
        <w:rPr>
          <w:i/>
        </w:rPr>
        <w:t>Agamemnon</w:t>
      </w:r>
      <w:r w:rsidR="08D440E6" w:rsidRPr="003D1E07">
        <w:t>, v. 178</w:t>
      </w:r>
      <w:r w:rsidR="08D440E6" w:rsidRPr="003D1E07">
        <w:fldChar w:fldCharType="begin"/>
      </w:r>
      <w:r w:rsidR="08E200C9" w:rsidRPr="003D1E07">
        <w:instrText xml:space="preserve"> XE "Aischylo</w:instrText>
      </w:r>
      <w:r w:rsidR="08D440E6" w:rsidRPr="003D1E07">
        <w:instrText>s:</w:instrText>
      </w:r>
      <w:r w:rsidR="08D440E6" w:rsidRPr="003D1E07">
        <w:rPr>
          <w:i/>
        </w:rPr>
        <w:instrText>Agamemnon</w:instrText>
      </w:r>
      <w:r w:rsidR="08D440E6" w:rsidRPr="003D1E07">
        <w:instrText xml:space="preserve"> 178" </w:instrText>
      </w:r>
      <w:r w:rsidR="08D440E6" w:rsidRPr="003D1E07">
        <w:fldChar w:fldCharType="end"/>
      </w:r>
      <w:r w:rsidR="08D440E6" w:rsidRPr="003D1E07">
        <w:t xml:space="preserve">). Múzy sesílají z podsvětí démonické Fúrie proto, aby napravily chaotické smrtelníky jsoucí po </w:t>
      </w:r>
      <w:r w:rsidR="08D440E6" w:rsidRPr="003D1E07">
        <w:rPr>
          <w:i/>
        </w:rPr>
        <w:t>via Modernorum</w:t>
      </w:r>
      <w:r w:rsidR="08D440E6" w:rsidRPr="003D1E07">
        <w:t xml:space="preserve">. </w:t>
      </w:r>
      <w:r w:rsidR="08060D2E" w:rsidRPr="003D1E07">
        <w:t>Erínye</w:t>
      </w:r>
      <w:r w:rsidR="08060D2E" w:rsidRPr="003D1E07">
        <w:fldChar w:fldCharType="begin"/>
      </w:r>
      <w:r w:rsidR="08060D2E" w:rsidRPr="003D1E07">
        <w:instrText xml:space="preserve"> XE "Erín</w:instrText>
      </w:r>
      <w:r w:rsidR="08D15880" w:rsidRPr="003D1E07">
        <w:instrText>y</w:instrText>
      </w:r>
      <w:r w:rsidR="08060D2E" w:rsidRPr="003D1E07">
        <w:instrText xml:space="preserve">e" </w:instrText>
      </w:r>
      <w:r w:rsidR="08060D2E" w:rsidRPr="003D1E07">
        <w:fldChar w:fldCharType="end"/>
      </w:r>
      <w:r w:rsidR="08060D2E" w:rsidRPr="003D1E07">
        <w:t xml:space="preserve"> jsou chtónická božstva </w:t>
      </w:r>
      <w:r w:rsidR="08057919" w:rsidRPr="003D1E07">
        <w:t xml:space="preserve">Pomsty </w:t>
      </w:r>
      <w:r w:rsidR="08060D2E" w:rsidRPr="003D1E07">
        <w:t xml:space="preserve">přebývající v původní propasti bytí a v temnotě jsoucna. </w:t>
      </w:r>
      <w:r w:rsidR="08A61516" w:rsidRPr="003D1E07">
        <w:t>Temnota původní d</w:t>
      </w:r>
      <w:r w:rsidR="08855D19" w:rsidRPr="003D1E07">
        <w:t xml:space="preserve">elfské jeskyně představuje původní místo jejich </w:t>
      </w:r>
      <w:r w:rsidR="08BC6C73" w:rsidRPr="003D1E07">
        <w:t xml:space="preserve">skrytého </w:t>
      </w:r>
      <w:r w:rsidR="08855D19" w:rsidRPr="003D1E07">
        <w:t>vědění (</w:t>
      </w:r>
      <w:r w:rsidR="08855D19" w:rsidRPr="003D1E07">
        <w:rPr>
          <w:i/>
        </w:rPr>
        <w:t>ortus scientiarum</w:t>
      </w:r>
      <w:r w:rsidR="08855D19" w:rsidRPr="003D1E07">
        <w:rPr>
          <w:i/>
        </w:rPr>
        <w:fldChar w:fldCharType="begin"/>
      </w:r>
      <w:r w:rsidR="08855D19" w:rsidRPr="003D1E07">
        <w:instrText xml:space="preserve"> XE "</w:instrText>
      </w:r>
      <w:r w:rsidR="08855D19" w:rsidRPr="003D1E07">
        <w:rPr>
          <w:i/>
        </w:rPr>
        <w:instrText>ortus scientiarum</w:instrText>
      </w:r>
      <w:r w:rsidR="08855D19" w:rsidRPr="003D1E07">
        <w:instrText xml:space="preserve">" </w:instrText>
      </w:r>
      <w:r w:rsidR="08855D19" w:rsidRPr="003D1E07">
        <w:rPr>
          <w:i/>
        </w:rPr>
        <w:fldChar w:fldCharType="end"/>
      </w:r>
      <w:r w:rsidR="08855D19" w:rsidRPr="003D1E07">
        <w:t xml:space="preserve">). </w:t>
      </w:r>
      <w:r w:rsidR="00E23A98" w:rsidRPr="003D1E07">
        <w:t>T</w:t>
      </w:r>
      <w:r w:rsidR="08D440E6" w:rsidRPr="003D1E07">
        <w:t>restající bohyně nelze usmířit, protože v epoše metafyzického nihilismu zmizel Areopág moudrých příslušníků filos</w:t>
      </w:r>
      <w:r w:rsidR="08E8539F" w:rsidRPr="003D1E07">
        <w:t>ofické obce</w:t>
      </w:r>
      <w:r w:rsidR="08D440E6" w:rsidRPr="003D1E07">
        <w:t xml:space="preserve">. </w:t>
      </w:r>
      <w:r w:rsidR="08D25DC3" w:rsidRPr="003D1E07">
        <w:t>Banální t</w:t>
      </w:r>
      <w:r w:rsidR="08E8539F" w:rsidRPr="003D1E07">
        <w:t xml:space="preserve">echnici </w:t>
      </w:r>
      <w:r w:rsidR="00E23A98" w:rsidRPr="003D1E07">
        <w:t xml:space="preserve">nevytvoří </w:t>
      </w:r>
      <w:r w:rsidR="08E8539F" w:rsidRPr="003D1E07">
        <w:t xml:space="preserve">tuto </w:t>
      </w:r>
      <w:r w:rsidR="00670E4A" w:rsidRPr="003D1E07">
        <w:rPr>
          <w:i/>
          <w:lang w:eastAsia="en-US"/>
        </w:rPr>
        <w:t>res publica</w:t>
      </w:r>
      <w:r w:rsidR="00670E4A" w:rsidRPr="003D1E07">
        <w:rPr>
          <w:lang w:eastAsia="en-US"/>
        </w:rPr>
        <w:t xml:space="preserve"> </w:t>
      </w:r>
      <w:r w:rsidR="089F62DA" w:rsidRPr="003D1E07">
        <w:t xml:space="preserve">aristokratů </w:t>
      </w:r>
      <w:r w:rsidR="00E23A98" w:rsidRPr="003D1E07">
        <w:t>ducha</w:t>
      </w:r>
      <w:r w:rsidR="08E8539F" w:rsidRPr="003D1E07">
        <w:t xml:space="preserve">, protože jim chybí pravdivý náhled na celek bytí. </w:t>
      </w:r>
      <w:r w:rsidR="0821142C" w:rsidRPr="003D1E07">
        <w:t>O</w:t>
      </w:r>
      <w:r w:rsidR="08FC415B" w:rsidRPr="003D1E07">
        <w:t xml:space="preserve">rákulu </w:t>
      </w:r>
      <w:r w:rsidR="0821142C" w:rsidRPr="003D1E07">
        <w:t xml:space="preserve">může </w:t>
      </w:r>
      <w:r w:rsidR="08FC415B" w:rsidRPr="003D1E07">
        <w:t>rozumět v modu archaické adekvace</w:t>
      </w:r>
      <w:r w:rsidR="0821142C" w:rsidRPr="003D1E07">
        <w:t xml:space="preserve"> jen moudrý člověk typu Sokrata</w:t>
      </w:r>
      <w:r w:rsidR="088A6BFD" w:rsidRPr="003D1E07">
        <w:t>. N</w:t>
      </w:r>
      <w:r w:rsidR="0821142C" w:rsidRPr="003D1E07">
        <w:t>ikoliv</w:t>
      </w:r>
      <w:r w:rsidR="08FC415B" w:rsidRPr="003D1E07">
        <w:t xml:space="preserve"> objektivní vědec</w:t>
      </w:r>
      <w:r w:rsidR="0821142C" w:rsidRPr="003D1E07">
        <w:t xml:space="preserve">, který dnes místo Pýthie určuje </w:t>
      </w:r>
      <w:r w:rsidR="08167960" w:rsidRPr="003D1E07">
        <w:t xml:space="preserve">objektivní </w:t>
      </w:r>
      <w:r w:rsidR="005B024F" w:rsidRPr="003D1E07">
        <w:t>dějiny myšlení</w:t>
      </w:r>
      <w:r w:rsidR="00A45A18">
        <w:t>.</w:t>
      </w:r>
      <w:r w:rsidR="00BA291B">
        <w:t xml:space="preserve"> </w:t>
      </w:r>
      <w:r w:rsidR="08FA059A" w:rsidRPr="003D1E07">
        <w:t>Delfská věštba založila Sokratovo hledání moudrosti skrze archaický způsob pravdy od t</w:t>
      </w:r>
      <w:r w:rsidR="00BA291B">
        <w:t>rojnožky, na níž seděla Pýthie.</w:t>
      </w:r>
      <w:r w:rsidR="00CF4F79">
        <w:t xml:space="preserve"> </w:t>
      </w:r>
      <w:r w:rsidR="00CF4F79" w:rsidRPr="00CF4F79">
        <w:t xml:space="preserve">Objektivní věda </w:t>
      </w:r>
      <w:r w:rsidR="00DE2F4C">
        <w:t xml:space="preserve">zabrala </w:t>
      </w:r>
      <w:r w:rsidR="00CF4F79" w:rsidRPr="00CF4F79">
        <w:t>místo</w:t>
      </w:r>
      <w:r w:rsidR="00DE2F4C">
        <w:t>, kde byla trojnožka</w:t>
      </w:r>
      <w:r w:rsidR="00B04340">
        <w:t xml:space="preserve"> Pýthie a určuje současnou historii </w:t>
      </w:r>
      <w:r w:rsidR="00CF4F79" w:rsidRPr="00CF4F79">
        <w:t xml:space="preserve">racionality, nikoli </w:t>
      </w:r>
      <w:r w:rsidR="00B04340">
        <w:t xml:space="preserve">dějiny </w:t>
      </w:r>
      <w:r w:rsidR="00CF4F79" w:rsidRPr="00CF4F79">
        <w:t>moudrosti.</w:t>
      </w:r>
    </w:p>
    <w:p w14:paraId="1088C3A9" w14:textId="5B718AE2" w:rsidR="089579E7" w:rsidRPr="003D1E07" w:rsidRDefault="08E15483" w:rsidP="00BA291B">
      <w:pPr>
        <w:ind w:firstLine="397"/>
      </w:pPr>
      <w:r w:rsidRPr="003D1E07">
        <w:t>Toto z</w:t>
      </w:r>
      <w:r w:rsidR="081530A1" w:rsidRPr="003D1E07">
        <w:rPr>
          <w:lang w:eastAsia="en-US"/>
        </w:rPr>
        <w:t xml:space="preserve">ákladní </w:t>
      </w:r>
      <w:r w:rsidRPr="003D1E07">
        <w:rPr>
          <w:lang w:eastAsia="en-US"/>
        </w:rPr>
        <w:t xml:space="preserve">místo </w:t>
      </w:r>
      <w:r w:rsidR="081530A1" w:rsidRPr="003D1E07">
        <w:rPr>
          <w:lang w:eastAsia="en-US"/>
        </w:rPr>
        <w:t xml:space="preserve">zjevnosti a nezjevnosti pravdy nese pro předloženou studii metodologický význam, protože ukazuje hermeneutickou vazbu mezi dějinností, dějinami a </w:t>
      </w:r>
      <w:r w:rsidR="081530A1" w:rsidRPr="003D1E07">
        <w:rPr>
          <w:lang w:eastAsia="en-US"/>
        </w:rPr>
        <w:lastRenderedPageBreak/>
        <w:t xml:space="preserve">historií. Triadická struktura pravdy napojená na proměny </w:t>
      </w:r>
      <w:r w:rsidR="08611F3F" w:rsidRPr="003D1E07">
        <w:rPr>
          <w:lang w:eastAsia="en-US"/>
        </w:rPr>
        <w:t xml:space="preserve">principiálního </w:t>
      </w:r>
      <w:r w:rsidR="08890981" w:rsidRPr="003D1E07">
        <w:rPr>
          <w:lang w:eastAsia="en-US"/>
        </w:rPr>
        <w:t xml:space="preserve">a </w:t>
      </w:r>
      <w:r w:rsidR="08611F3F" w:rsidRPr="003D1E07">
        <w:rPr>
          <w:lang w:eastAsia="en-US"/>
        </w:rPr>
        <w:t xml:space="preserve">metafyzického </w:t>
      </w:r>
      <w:r w:rsidR="081530A1" w:rsidRPr="003D1E07">
        <w:rPr>
          <w:lang w:eastAsia="en-US"/>
        </w:rPr>
        <w:t xml:space="preserve">dativu vytváří novou podobu hermeneutiky nutnou pro zkoumání fenoménu objektivity. </w:t>
      </w:r>
      <w:r w:rsidR="082F407E" w:rsidRPr="003D1E07">
        <w:t xml:space="preserve">Výraz pro počátek (ἀρχή, </w:t>
      </w:r>
      <w:r w:rsidR="082F407E" w:rsidRPr="003D1E07">
        <w:rPr>
          <w:i/>
        </w:rPr>
        <w:t>principium</w:t>
      </w:r>
      <w:r w:rsidR="082F407E" w:rsidRPr="003D1E07">
        <w:t>) také znamená vládu danou směrem od této původní události. Počátek je z hlediska dějinnosti</w:t>
      </w:r>
      <w:r w:rsidR="084337BD" w:rsidRPr="003D1E07">
        <w:fldChar w:fldCharType="begin"/>
      </w:r>
      <w:r w:rsidR="084337BD" w:rsidRPr="003D1E07">
        <w:instrText xml:space="preserve"> XE "dějinnost" </w:instrText>
      </w:r>
      <w:r w:rsidR="084337BD" w:rsidRPr="003D1E07">
        <w:fldChar w:fldCharType="end"/>
      </w:r>
      <w:r w:rsidR="082F407E" w:rsidRPr="003D1E07">
        <w:t xml:space="preserve"> iniciativní v tom, že určuje povahu toho, co zakládá svou principiální aktivitou a silou. </w:t>
      </w:r>
      <w:r w:rsidR="086B10B0" w:rsidRPr="003D1E07">
        <w:rPr>
          <w:lang w:eastAsia="en-US"/>
        </w:rPr>
        <w:t>Smysl triadické struktury porozumění minulosti je radikálně kritický po vzoru Nietzscheho kritiky monumentální a antikvární historie. Ep</w:t>
      </w:r>
      <w:r w:rsidR="089579E7" w:rsidRPr="003D1E07">
        <w:rPr>
          <w:lang w:eastAsia="en-US"/>
        </w:rPr>
        <w:t xml:space="preserve">ochální </w:t>
      </w:r>
      <w:r w:rsidR="089579E7" w:rsidRPr="003D1E07">
        <w:t xml:space="preserve">proměny bytí jsoucna určují dějiny metafyziky a </w:t>
      </w:r>
      <w:r w:rsidR="086B10B0" w:rsidRPr="003D1E07">
        <w:t>tvoří základní kořen (</w:t>
      </w:r>
      <w:r w:rsidR="086B10B0" w:rsidRPr="003D1E07">
        <w:rPr>
          <w:i/>
        </w:rPr>
        <w:t>radix</w:t>
      </w:r>
      <w:r w:rsidR="086B10B0" w:rsidRPr="003D1E07">
        <w:t xml:space="preserve">) </w:t>
      </w:r>
      <w:r w:rsidR="080A4E7C" w:rsidRPr="003D1E07">
        <w:t>objektivní formy božské komedie</w:t>
      </w:r>
      <w:r w:rsidR="089579E7" w:rsidRPr="003D1E07">
        <w:t xml:space="preserve">. Proměna </w:t>
      </w:r>
      <w:r w:rsidR="089579E7" w:rsidRPr="003D1E07">
        <w:rPr>
          <w:lang w:eastAsia="en-US"/>
        </w:rPr>
        <w:t xml:space="preserve">archaické </w:t>
      </w:r>
      <w:r w:rsidR="089579E7" w:rsidRPr="003D1E07">
        <w:rPr>
          <w:i/>
          <w:lang w:eastAsia="en-US"/>
        </w:rPr>
        <w:t>epoché</w:t>
      </w:r>
      <w:r w:rsidR="089579E7" w:rsidRPr="003D1E07">
        <w:rPr>
          <w:lang w:eastAsia="en-US"/>
        </w:rPr>
        <w:t xml:space="preserve"> na epochální tragik</w:t>
      </w:r>
      <w:r w:rsidR="08DE3800" w:rsidRPr="003D1E07">
        <w:rPr>
          <w:lang w:eastAsia="en-US"/>
        </w:rPr>
        <w:t>omik</w:t>
      </w:r>
      <w:r w:rsidR="089579E7" w:rsidRPr="003D1E07">
        <w:rPr>
          <w:lang w:eastAsia="en-US"/>
        </w:rPr>
        <w:t xml:space="preserve">u Moderních je možná jen proto, že existoval a existuje původní řád bytí. Archaická pravda Múz umožnila vznik chaotické pravdy smrtelníků, kteří ji převrátili do vlastní mytopoetiky. Nová pravda myšlení není daná skrze </w:t>
      </w:r>
      <w:r w:rsidR="00AA71A3" w:rsidRPr="003D1E07">
        <w:rPr>
          <w:lang w:eastAsia="en-US"/>
        </w:rPr>
        <w:t xml:space="preserve">božskou </w:t>
      </w:r>
      <w:r w:rsidR="089579E7" w:rsidRPr="003D1E07">
        <w:rPr>
          <w:i/>
          <w:lang w:eastAsia="en-US"/>
        </w:rPr>
        <w:t>a/létheia</w:t>
      </w:r>
      <w:r w:rsidR="089579E7" w:rsidRPr="003D1E07">
        <w:rPr>
          <w:lang w:eastAsia="en-US"/>
        </w:rPr>
        <w:t xml:space="preserve">, </w:t>
      </w:r>
      <w:r w:rsidR="00AA71A3" w:rsidRPr="003D1E07">
        <w:rPr>
          <w:lang w:eastAsia="en-US"/>
        </w:rPr>
        <w:t xml:space="preserve">ani </w:t>
      </w:r>
      <w:r w:rsidR="089579E7" w:rsidRPr="003D1E07">
        <w:rPr>
          <w:lang w:eastAsia="en-US"/>
        </w:rPr>
        <w:t xml:space="preserve">skrze </w:t>
      </w:r>
      <w:r w:rsidR="00AA71A3" w:rsidRPr="003D1E07">
        <w:rPr>
          <w:lang w:eastAsia="en-US"/>
        </w:rPr>
        <w:t xml:space="preserve">tragickou </w:t>
      </w:r>
      <w:r w:rsidR="089579E7" w:rsidRPr="003D1E07">
        <w:rPr>
          <w:i/>
          <w:lang w:eastAsia="en-US"/>
        </w:rPr>
        <w:t>alétheia</w:t>
      </w:r>
      <w:r w:rsidR="089579E7" w:rsidRPr="003D1E07">
        <w:rPr>
          <w:lang w:eastAsia="en-US"/>
        </w:rPr>
        <w:t xml:space="preserve">, </w:t>
      </w:r>
      <w:r w:rsidR="00AA71A3" w:rsidRPr="003D1E07">
        <w:rPr>
          <w:lang w:eastAsia="en-US"/>
        </w:rPr>
        <w:t xml:space="preserve">ale skrze </w:t>
      </w:r>
      <w:r w:rsidR="089579E7" w:rsidRPr="003D1E07">
        <w:rPr>
          <w:lang w:eastAsia="en-US"/>
        </w:rPr>
        <w:t xml:space="preserve">objektivní </w:t>
      </w:r>
      <w:r w:rsidR="089579E7" w:rsidRPr="003D1E07">
        <w:rPr>
          <w:i/>
          <w:lang w:eastAsia="en-US"/>
        </w:rPr>
        <w:t>veritas</w:t>
      </w:r>
      <w:r w:rsidR="089579E7" w:rsidRPr="003D1E07">
        <w:rPr>
          <w:lang w:eastAsia="en-US"/>
        </w:rPr>
        <w:t>. Původní múzická pravda vládne skrze každou metafyzickou epochu pouze ve skrytosti</w:t>
      </w:r>
      <w:r w:rsidR="004555D2" w:rsidRPr="003D1E07">
        <w:rPr>
          <w:lang w:eastAsia="en-US"/>
        </w:rPr>
        <w:t>. Hermeneutika musí vyložit specifickou formu n</w:t>
      </w:r>
      <w:r w:rsidR="00F776B8" w:rsidRPr="003D1E07">
        <w:rPr>
          <w:lang w:eastAsia="en-US"/>
        </w:rPr>
        <w:t>erozumu a paranoie, které se na</w:t>
      </w:r>
      <w:r w:rsidR="004555D2" w:rsidRPr="003D1E07">
        <w:rPr>
          <w:lang w:eastAsia="en-US"/>
        </w:rPr>
        <w:t xml:space="preserve">cházejí v každém stádiu moderní metafyziky. </w:t>
      </w:r>
      <w:r w:rsidR="089579E7" w:rsidRPr="003D1E07">
        <w:t xml:space="preserve">Múzy nemají rády, když si smrtelník osobuje božská práva v modu múzické </w:t>
      </w:r>
      <w:r w:rsidR="089579E7" w:rsidRPr="003D1E07">
        <w:rPr>
          <w:i/>
        </w:rPr>
        <w:t>a/létheia</w:t>
      </w:r>
      <w:r w:rsidR="004555D2" w:rsidRPr="003D1E07">
        <w:t xml:space="preserve"> a chová se jako božská</w:t>
      </w:r>
      <w:r w:rsidR="089579E7" w:rsidRPr="003D1E07">
        <w:t xml:space="preserve"> </w:t>
      </w:r>
      <w:r w:rsidR="08A23658" w:rsidRPr="003D1E07">
        <w:t>Alétheia</w:t>
      </w:r>
      <w:r w:rsidR="00A57EDA" w:rsidRPr="003D1E07">
        <w:t xml:space="preserve"> pops</w:t>
      </w:r>
      <w:r w:rsidR="004555D2" w:rsidRPr="003D1E07">
        <w:t>aná Parmenidem</w:t>
      </w:r>
      <w:r w:rsidR="089579E7" w:rsidRPr="003D1E07">
        <w:t xml:space="preserve">. Moudrý smrtelník hledá pravdu jako Sokrates, ale sám ji neurčuje světlem oslepeného intelektu. Tuto </w:t>
      </w:r>
      <w:r w:rsidR="089579E7" w:rsidRPr="003D1E07">
        <w:rPr>
          <w:i/>
        </w:rPr>
        <w:t>hýbris</w:t>
      </w:r>
      <w:r w:rsidR="089579E7" w:rsidRPr="003D1E07">
        <w:rPr>
          <w:i/>
        </w:rPr>
        <w:fldChar w:fldCharType="begin"/>
      </w:r>
      <w:r w:rsidR="089579E7" w:rsidRPr="003D1E07">
        <w:instrText xml:space="preserve"> XE "</w:instrText>
      </w:r>
      <w:r w:rsidR="089579E7" w:rsidRPr="003D1E07">
        <w:rPr>
          <w:i/>
        </w:rPr>
        <w:instrText>hýbris</w:instrText>
      </w:r>
      <w:r w:rsidR="089579E7" w:rsidRPr="003D1E07">
        <w:instrText xml:space="preserve">" </w:instrText>
      </w:r>
      <w:r w:rsidR="089579E7" w:rsidRPr="003D1E07">
        <w:rPr>
          <w:i/>
        </w:rPr>
        <w:fldChar w:fldCharType="end"/>
      </w:r>
      <w:r w:rsidR="089579E7" w:rsidRPr="003D1E07">
        <w:t xml:space="preserve"> trestají Múzy zvláště tvrdým způsobem, tedy šílenstvím (μανία) předávaným z jedné generace moderních metafyziků na druhou (ἄτη). Podle prvního z tragiků je moderna je nemoudrá (</w:t>
      </w:r>
      <w:r w:rsidR="089579E7" w:rsidRPr="003D1E07">
        <w:rPr>
          <w:bCs/>
        </w:rPr>
        <w:t>ἄφρων</w:t>
      </w:r>
      <w:r w:rsidR="089579E7" w:rsidRPr="003D1E07">
        <w:t>) proto, že její vědění má charakter tragické nenávisti, poskvrny a temnoty (μύσος) způsobené božskými silami Pomsty.</w:t>
      </w:r>
      <w:r w:rsidR="089579E7" w:rsidRPr="003D1E07">
        <w:rPr>
          <w:rStyle w:val="Znakapoznpodarou"/>
        </w:rPr>
        <w:footnoteReference w:id="20"/>
      </w:r>
      <w:r w:rsidR="089579E7" w:rsidRPr="003D1E07">
        <w:t xml:space="preserve"> </w:t>
      </w:r>
      <w:r w:rsidR="08191BE5" w:rsidRPr="003D1E07">
        <w:t xml:space="preserve">Objektivita představuje v řádu tragických dějin metafyziky </w:t>
      </w:r>
      <w:r w:rsidR="08CD561A" w:rsidRPr="003D1E07">
        <w:t xml:space="preserve">nejkrutější </w:t>
      </w:r>
      <w:r w:rsidR="08191BE5" w:rsidRPr="003D1E07">
        <w:t xml:space="preserve">trest akademicky schopných </w:t>
      </w:r>
      <w:r w:rsidR="08DA142E" w:rsidRPr="003D1E07">
        <w:rPr>
          <w:rStyle w:val="st"/>
        </w:rPr>
        <w:t>Eríny</w:t>
      </w:r>
      <w:r w:rsidR="08191BE5" w:rsidRPr="003D1E07">
        <w:rPr>
          <w:rStyle w:val="st"/>
        </w:rPr>
        <w:t>í</w:t>
      </w:r>
      <w:r w:rsidR="08191BE5" w:rsidRPr="003D1E07">
        <w:rPr>
          <w:rStyle w:val="st"/>
        </w:rPr>
        <w:fldChar w:fldCharType="begin"/>
      </w:r>
      <w:r w:rsidR="08191BE5" w:rsidRPr="003D1E07">
        <w:instrText xml:space="preserve"> XE "</w:instrText>
      </w:r>
      <w:r w:rsidR="08DA142E" w:rsidRPr="003D1E07">
        <w:rPr>
          <w:rStyle w:val="st"/>
        </w:rPr>
        <w:instrText>Erínye</w:instrText>
      </w:r>
      <w:r w:rsidR="08191BE5" w:rsidRPr="003D1E07">
        <w:instrText xml:space="preserve">" </w:instrText>
      </w:r>
      <w:r w:rsidR="08191BE5" w:rsidRPr="003D1E07">
        <w:rPr>
          <w:rStyle w:val="st"/>
        </w:rPr>
        <w:fldChar w:fldCharType="end"/>
      </w:r>
      <w:r w:rsidR="00FC77F4" w:rsidRPr="003D1E07">
        <w:t xml:space="preserve">. </w:t>
      </w:r>
      <w:r w:rsidR="00FC77F4" w:rsidRPr="003D1E07">
        <w:rPr>
          <w:szCs w:val="24"/>
        </w:rPr>
        <w:t xml:space="preserve">Božské daimon působilo v Sokratovi jako vnitřní hlas skrze </w:t>
      </w:r>
      <w:r w:rsidR="00FC77F4" w:rsidRPr="003D1E07">
        <w:t>apollinskou sémantiku pravdy  (</w:t>
      </w:r>
      <w:r w:rsidR="00FC77F4" w:rsidRPr="003D1E07">
        <w:rPr>
          <w:i/>
        </w:rPr>
        <w:t>Apol</w:t>
      </w:r>
      <w:r w:rsidR="00FC77F4" w:rsidRPr="003D1E07">
        <w:t>. 40c3–4</w:t>
      </w:r>
      <w:r w:rsidR="00FC77F4" w:rsidRPr="003D1E07">
        <w:fldChar w:fldCharType="begin"/>
      </w:r>
      <w:r w:rsidR="00FC77F4" w:rsidRPr="003D1E07">
        <w:instrText xml:space="preserve"> XE "Platon:</w:instrText>
      </w:r>
      <w:r w:rsidR="00FC77F4" w:rsidRPr="003D1E07">
        <w:rPr>
          <w:i/>
        </w:rPr>
        <w:instrText>Apol</w:instrText>
      </w:r>
      <w:r w:rsidR="00FC77F4" w:rsidRPr="003D1E07">
        <w:instrText xml:space="preserve">. 40c3–4" </w:instrText>
      </w:r>
      <w:r w:rsidR="00FC77F4" w:rsidRPr="003D1E07">
        <w:fldChar w:fldCharType="end"/>
      </w:r>
      <w:r w:rsidR="00FC77F4" w:rsidRPr="003D1E07">
        <w:t xml:space="preserve">). Tento vnitřní hlas jej varoval v rozhodujících okamžicích a zdržoval jej od provedení nesprávných životních kroků a rozhodnutí. </w:t>
      </w:r>
      <w:r w:rsidR="00FC77F4" w:rsidRPr="003D1E07">
        <w:rPr>
          <w:lang w:eastAsia="en-US"/>
        </w:rPr>
        <w:t>Teoretický náhled Sokrata</w:t>
      </w:r>
      <w:r w:rsidR="008D701C" w:rsidRPr="003D1E07">
        <w:rPr>
          <w:lang w:eastAsia="en-US"/>
        </w:rPr>
        <w:t xml:space="preserve"> </w:t>
      </w:r>
      <w:r w:rsidR="00FC77F4" w:rsidRPr="003D1E07">
        <w:rPr>
          <w:lang w:eastAsia="en-US"/>
        </w:rPr>
        <w:t xml:space="preserve">byl zbožštěn do </w:t>
      </w:r>
      <w:r w:rsidR="008D701C" w:rsidRPr="003D1E07">
        <w:rPr>
          <w:lang w:eastAsia="en-US"/>
        </w:rPr>
        <w:t xml:space="preserve">metafyzické </w:t>
      </w:r>
      <w:r w:rsidR="009F07C1">
        <w:rPr>
          <w:lang w:eastAsia="en-US"/>
        </w:rPr>
        <w:t>figury jeho dvojníka. Ten je vždy pravdivý na jediný metafyzický způsob</w:t>
      </w:r>
      <w:r w:rsidR="009F07C1" w:rsidRPr="009F07C1">
        <w:rPr>
          <w:lang w:eastAsia="en-US"/>
        </w:rPr>
        <w:t>, protože je veden logicky závaznou nutností.</w:t>
      </w:r>
      <w:r w:rsidR="009F07C1">
        <w:rPr>
          <w:lang w:eastAsia="en-US"/>
        </w:rPr>
        <w:t xml:space="preserve"> T</w:t>
      </w:r>
      <w:r w:rsidR="00FC77F4" w:rsidRPr="003D1E07">
        <w:rPr>
          <w:lang w:eastAsia="en-US"/>
        </w:rPr>
        <w:t>ento mytopoetický Minotaurus dodnes běhá v labyrintu metafyziky pod vedením Aischylových Erínyjí. Tato démonická bytost nahání posvátnou akademickou Úctu a Hrůzu všem studentům filosofie</w:t>
      </w:r>
      <w:r w:rsidR="008D701C" w:rsidRPr="003D1E07">
        <w:rPr>
          <w:lang w:eastAsia="en-US"/>
        </w:rPr>
        <w:t xml:space="preserve"> </w:t>
      </w:r>
      <w:r w:rsidR="00FC77F4" w:rsidRPr="003D1E07">
        <w:rPr>
          <w:lang w:eastAsia="en-US"/>
        </w:rPr>
        <w:t>(</w:t>
      </w:r>
      <w:r w:rsidR="00FC77F4" w:rsidRPr="003D1E07">
        <w:t xml:space="preserve">σέβας ἀστῶν φόβος τε ξυγγενὴς τὸ μὴ ἀδικεῖν, </w:t>
      </w:r>
      <w:r w:rsidR="00FC77F4" w:rsidRPr="003D1E07">
        <w:rPr>
          <w:i/>
        </w:rPr>
        <w:t>Eumenidae</w:t>
      </w:r>
      <w:r w:rsidR="00FC77F4" w:rsidRPr="003D1E07">
        <w:t>, vv. 690–1</w:t>
      </w:r>
      <w:r w:rsidR="00FC77F4" w:rsidRPr="003D1E07">
        <w:fldChar w:fldCharType="begin"/>
      </w:r>
      <w:r w:rsidR="00FC77F4" w:rsidRPr="003D1E07">
        <w:instrText xml:space="preserve"> XE "Aischylos:</w:instrText>
      </w:r>
      <w:r w:rsidR="00FC77F4" w:rsidRPr="003D1E07">
        <w:rPr>
          <w:i/>
        </w:rPr>
        <w:instrText>Eumenidae</w:instrText>
      </w:r>
      <w:r w:rsidR="00FC77F4" w:rsidRPr="003D1E07">
        <w:instrText xml:space="preserve"> 690–1" </w:instrText>
      </w:r>
      <w:r w:rsidR="00FC77F4" w:rsidRPr="003D1E07">
        <w:fldChar w:fldCharType="end"/>
      </w:r>
      <w:r w:rsidR="00FC77F4" w:rsidRPr="003D1E07">
        <w:rPr>
          <w:lang w:eastAsia="en-US"/>
        </w:rPr>
        <w:t>). Iracionální podob</w:t>
      </w:r>
      <w:r w:rsidR="00955EAE">
        <w:rPr>
          <w:lang w:eastAsia="en-US"/>
        </w:rPr>
        <w:t>a</w:t>
      </w:r>
      <w:r w:rsidR="00FC77F4" w:rsidRPr="003D1E07">
        <w:rPr>
          <w:lang w:eastAsia="en-US"/>
        </w:rPr>
        <w:t xml:space="preserve"> Sokrata</w:t>
      </w:r>
      <w:r w:rsidR="00FC77F4" w:rsidRPr="003D1E07">
        <w:rPr>
          <w:lang w:eastAsia="en-US"/>
        </w:rPr>
        <w:softHyphen/>
        <w:t xml:space="preserve">-Minotaura </w:t>
      </w:r>
      <w:r w:rsidR="00FC77F4" w:rsidRPr="003D1E07">
        <w:rPr>
          <w:lang w:eastAsia="en-US"/>
        </w:rPr>
        <w:lastRenderedPageBreak/>
        <w:t>vznikl</w:t>
      </w:r>
      <w:r w:rsidR="008D701C" w:rsidRPr="003D1E07">
        <w:rPr>
          <w:lang w:eastAsia="en-US"/>
        </w:rPr>
        <w:t xml:space="preserve">a </w:t>
      </w:r>
      <w:r w:rsidR="00FC77F4" w:rsidRPr="003D1E07">
        <w:rPr>
          <w:lang w:eastAsia="en-US"/>
        </w:rPr>
        <w:t>incestním spojením ideo</w:t>
      </w:r>
      <w:r w:rsidR="008D701C" w:rsidRPr="003D1E07">
        <w:rPr>
          <w:lang w:eastAsia="en-US"/>
        </w:rPr>
        <w:t xml:space="preserve">vé matematiky a první filosofie. </w:t>
      </w:r>
      <w:r w:rsidR="002F71C9">
        <w:rPr>
          <w:lang w:eastAsia="en-US"/>
        </w:rPr>
        <w:t xml:space="preserve">Tato intelektuální nestvůra byla postavena na piedestal skrze aktivitu </w:t>
      </w:r>
      <w:r w:rsidR="00FC77F4" w:rsidRPr="003D1E07">
        <w:rPr>
          <w:lang w:eastAsia="en-US"/>
        </w:rPr>
        <w:t xml:space="preserve">metafyzicky </w:t>
      </w:r>
      <w:r w:rsidR="002F71C9">
        <w:rPr>
          <w:lang w:eastAsia="en-US"/>
        </w:rPr>
        <w:t>vzdělaných</w:t>
      </w:r>
      <w:r w:rsidR="008D701C" w:rsidRPr="003D1E07">
        <w:rPr>
          <w:lang w:eastAsia="en-US"/>
        </w:rPr>
        <w:t xml:space="preserve"> </w:t>
      </w:r>
      <w:r w:rsidR="002F71C9">
        <w:rPr>
          <w:lang w:eastAsia="en-US"/>
        </w:rPr>
        <w:t>Fúrií</w:t>
      </w:r>
      <w:r w:rsidR="00FC77F4" w:rsidRPr="003D1E07">
        <w:rPr>
          <w:lang w:eastAsia="en-US"/>
        </w:rPr>
        <w:t xml:space="preserve">, které </w:t>
      </w:r>
      <w:r w:rsidR="002F71C9">
        <w:rPr>
          <w:lang w:eastAsia="en-US"/>
        </w:rPr>
        <w:t xml:space="preserve">díky svému subjektivnímu převleku </w:t>
      </w:r>
      <w:r w:rsidR="00FC77F4" w:rsidRPr="003D1E07">
        <w:rPr>
          <w:lang w:eastAsia="en-US"/>
        </w:rPr>
        <w:t xml:space="preserve">tvoří skrytý základ moderní filosofie. </w:t>
      </w:r>
      <w:r w:rsidR="08F96BB3" w:rsidRPr="003D1E07">
        <w:t>Objektivní vědění je tragicky slepé a běží v modu Oidipova obje</w:t>
      </w:r>
      <w:r w:rsidR="08F30E44" w:rsidRPr="003D1E07">
        <w:t>k</w:t>
      </w:r>
      <w:r w:rsidR="08F96BB3" w:rsidRPr="003D1E07">
        <w:t xml:space="preserve">tivního komplexu. </w:t>
      </w:r>
      <w:r w:rsidR="08D37DB3" w:rsidRPr="003D1E07">
        <w:t xml:space="preserve">Múzy </w:t>
      </w:r>
      <w:r w:rsidR="089579E7" w:rsidRPr="003D1E07">
        <w:t>vyslaly</w:t>
      </w:r>
      <w:r w:rsidR="08D37DB3" w:rsidRPr="003D1E07">
        <w:t xml:space="preserve"> </w:t>
      </w:r>
      <w:r w:rsidR="08981348" w:rsidRPr="003D1E07">
        <w:t xml:space="preserve">v epoše </w:t>
      </w:r>
      <w:r w:rsidR="0801790F" w:rsidRPr="003D1E07">
        <w:t xml:space="preserve">moderny trestající Fúrie </w:t>
      </w:r>
      <w:r w:rsidR="08191BE5" w:rsidRPr="003D1E07">
        <w:t>proto</w:t>
      </w:r>
      <w:r w:rsidR="089579E7" w:rsidRPr="003D1E07">
        <w:t xml:space="preserve">, </w:t>
      </w:r>
      <w:r w:rsidR="08191BE5" w:rsidRPr="003D1E07">
        <w:t>aby střežily</w:t>
      </w:r>
      <w:r w:rsidR="089579E7" w:rsidRPr="003D1E07">
        <w:t xml:space="preserve"> řád </w:t>
      </w:r>
      <w:r w:rsidR="08DB224F" w:rsidRPr="003D1E07">
        <w:t xml:space="preserve">Díké a přítomnost Pravdy, které poznal </w:t>
      </w:r>
      <w:r w:rsidR="08226D6D" w:rsidRPr="003D1E07">
        <w:t xml:space="preserve">moudrý </w:t>
      </w:r>
      <w:r w:rsidR="08DB224F" w:rsidRPr="003D1E07">
        <w:t xml:space="preserve">Parmenides </w:t>
      </w:r>
      <w:r w:rsidR="089579E7" w:rsidRPr="003D1E07">
        <w:t xml:space="preserve">a jeho nástupci. Platonici pod vedením akademicky zdatných Fúrií </w:t>
      </w:r>
      <w:r w:rsidR="089568EA" w:rsidRPr="003D1E07">
        <w:t xml:space="preserve">tragikomicky </w:t>
      </w:r>
      <w:r w:rsidR="089579E7" w:rsidRPr="003D1E07">
        <w:t>vyh</w:t>
      </w:r>
      <w:r w:rsidR="08191BE5" w:rsidRPr="003D1E07">
        <w:t xml:space="preserve">nali </w:t>
      </w:r>
      <w:r w:rsidR="089579E7" w:rsidRPr="003D1E07">
        <w:t xml:space="preserve">temnotu předešlých věků nerozumu. </w:t>
      </w:r>
      <w:r w:rsidR="089568EA" w:rsidRPr="003D1E07">
        <w:t xml:space="preserve">Díky </w:t>
      </w:r>
      <w:r w:rsidR="081E5253" w:rsidRPr="003D1E07">
        <w:t xml:space="preserve">klamné, ale přesto </w:t>
      </w:r>
      <w:r w:rsidR="089568EA" w:rsidRPr="003D1E07">
        <w:t>vítězné podob</w:t>
      </w:r>
      <w:r w:rsidR="08226D6D" w:rsidRPr="003D1E07">
        <w:t xml:space="preserve">ě </w:t>
      </w:r>
      <w:r w:rsidR="089579E7" w:rsidRPr="003D1E07">
        <w:t xml:space="preserve">pravdy </w:t>
      </w:r>
      <w:r w:rsidR="089568EA" w:rsidRPr="003D1E07">
        <w:t>podle Aristofana a Platona (εἰρωνεία</w:t>
      </w:r>
      <w:r w:rsidR="08714134" w:rsidRPr="003D1E07">
        <w:fldChar w:fldCharType="begin"/>
      </w:r>
      <w:r w:rsidR="08714134" w:rsidRPr="003D1E07">
        <w:instrText xml:space="preserve"> XE "ironie" </w:instrText>
      </w:r>
      <w:r w:rsidR="08714134" w:rsidRPr="003D1E07">
        <w:fldChar w:fldCharType="end"/>
      </w:r>
      <w:r w:rsidR="089568EA" w:rsidRPr="003D1E07">
        <w:t xml:space="preserve">) </w:t>
      </w:r>
      <w:r w:rsidR="08714134" w:rsidRPr="003D1E07">
        <w:t xml:space="preserve">si </w:t>
      </w:r>
      <w:r w:rsidR="089579E7" w:rsidRPr="003D1E07">
        <w:t xml:space="preserve">moderna </w:t>
      </w:r>
      <w:r w:rsidR="08714134" w:rsidRPr="003D1E07">
        <w:t xml:space="preserve">moderna osvojila ironický náhled na svět a na pravdu. Toto ironické </w:t>
      </w:r>
      <w:r w:rsidR="08714134" w:rsidRPr="003D1E07">
        <w:rPr>
          <w:i/>
        </w:rPr>
        <w:t>Weltanschauung</w:t>
      </w:r>
      <w:r w:rsidR="08714134" w:rsidRPr="003D1E07">
        <w:rPr>
          <w:i/>
        </w:rPr>
        <w:fldChar w:fldCharType="begin"/>
      </w:r>
      <w:r w:rsidR="08714134" w:rsidRPr="003D1E07">
        <w:instrText xml:space="preserve"> XE "</w:instrText>
      </w:r>
      <w:r w:rsidR="08714134" w:rsidRPr="003D1E07">
        <w:rPr>
          <w:i/>
        </w:rPr>
        <w:instrText>Weltanschauung</w:instrText>
      </w:r>
      <w:r w:rsidR="08714134" w:rsidRPr="003D1E07">
        <w:instrText xml:space="preserve">" </w:instrText>
      </w:r>
      <w:r w:rsidR="08714134" w:rsidRPr="003D1E07">
        <w:rPr>
          <w:i/>
        </w:rPr>
        <w:fldChar w:fldCharType="end"/>
      </w:r>
      <w:r w:rsidR="08714134" w:rsidRPr="003D1E07">
        <w:t xml:space="preserve"> tvoří to, co je moderně </w:t>
      </w:r>
      <w:r w:rsidR="089579E7" w:rsidRPr="003D1E07">
        <w:t xml:space="preserve">bytostně vlastní. </w:t>
      </w:r>
      <w:r w:rsidR="08490AB0" w:rsidRPr="003D1E07">
        <w:t>Tuto metafyzickou ironii</w:t>
      </w:r>
      <w:r w:rsidR="089579E7" w:rsidRPr="003D1E07">
        <w:t xml:space="preserve"> </w:t>
      </w:r>
      <w:r w:rsidR="083A6575" w:rsidRPr="003D1E07">
        <w:t xml:space="preserve">napojenou na pojem </w:t>
      </w:r>
      <w:r w:rsidR="084A04A3" w:rsidRPr="003D1E07">
        <w:t xml:space="preserve">objektivního </w:t>
      </w:r>
      <w:r w:rsidR="083A6575" w:rsidRPr="003D1E07">
        <w:t xml:space="preserve">humanismu </w:t>
      </w:r>
      <w:r w:rsidR="08A275B0" w:rsidRPr="003D1E07">
        <w:t xml:space="preserve">dosvědčují </w:t>
      </w:r>
      <w:r w:rsidR="089579E7" w:rsidRPr="003D1E07">
        <w:t>děj</w:t>
      </w:r>
      <w:r w:rsidR="08A275B0" w:rsidRPr="003D1E07">
        <w:t>iny myšlení a historie Západu</w:t>
      </w:r>
      <w:r w:rsidR="089579E7" w:rsidRPr="003D1E07">
        <w:t xml:space="preserve">. </w:t>
      </w:r>
      <w:r w:rsidR="08262A6D" w:rsidRPr="003D1E07">
        <w:t>Ničiv</w:t>
      </w:r>
      <w:r w:rsidR="08490AB0" w:rsidRPr="003D1E07">
        <w:t xml:space="preserve">á </w:t>
      </w:r>
      <w:r w:rsidR="089579E7" w:rsidRPr="003D1E07">
        <w:t xml:space="preserve">podoba </w:t>
      </w:r>
      <w:r w:rsidR="08490AB0" w:rsidRPr="003D1E07">
        <w:t xml:space="preserve">ironie </w:t>
      </w:r>
      <w:r w:rsidR="089579E7" w:rsidRPr="003D1E07">
        <w:t xml:space="preserve">je </w:t>
      </w:r>
      <w:r w:rsidR="08262A6D" w:rsidRPr="003D1E07">
        <w:t xml:space="preserve">dána </w:t>
      </w:r>
      <w:r w:rsidR="089579E7" w:rsidRPr="003D1E07">
        <w:t xml:space="preserve">na konci metafyziky, kdy myšlení jsoucna přechází do nihilistické epochy dějin Západu. Současní </w:t>
      </w:r>
      <w:r w:rsidR="086D55B8" w:rsidRPr="003D1E07">
        <w:t xml:space="preserve">humanističtí </w:t>
      </w:r>
      <w:r w:rsidR="089579E7" w:rsidRPr="003D1E07">
        <w:t xml:space="preserve">troglodyté totiž zhasli i umělé světlo původní formy metafyziky a tuto tmu vyhlásili za nové panství rozumu. </w:t>
      </w:r>
      <w:r w:rsidR="00C708F8" w:rsidRPr="003D1E07">
        <w:t xml:space="preserve">Slepí akademici jdou cestou politické tyranie, protože je to jejich archetypální osud. </w:t>
      </w:r>
      <w:r w:rsidR="089579E7" w:rsidRPr="003D1E07">
        <w:t>Démonické síly nerozumu a chaosu proto mají od 20. století už zcela globální a totalitní charakter.</w:t>
      </w:r>
    </w:p>
    <w:p w14:paraId="69C6D793" w14:textId="77777777" w:rsidR="089579E7" w:rsidRPr="003D1E07" w:rsidRDefault="08A678DB" w:rsidP="089579E7">
      <w:pPr>
        <w:pStyle w:val="Nadpis2"/>
        <w:rPr>
          <w:lang w:val="cs-CZ"/>
        </w:rPr>
      </w:pPr>
      <w:r w:rsidRPr="003D1E07">
        <w:rPr>
          <w:lang w:val="cs-CZ"/>
        </w:rPr>
        <w:br w:type="page"/>
      </w:r>
      <w:bookmarkStart w:id="13" w:name="_Toc93747268"/>
      <w:bookmarkStart w:id="14" w:name="_Toc102906158"/>
      <w:r w:rsidR="089579E7" w:rsidRPr="003D1E07">
        <w:rPr>
          <w:lang w:val="cs-CZ"/>
        </w:rPr>
        <w:lastRenderedPageBreak/>
        <w:t>1.2 M</w:t>
      </w:r>
      <w:r w:rsidR="00443F72" w:rsidRPr="003D1E07">
        <w:rPr>
          <w:lang w:val="cs-CZ"/>
        </w:rPr>
        <w:t>etafyzika</w:t>
      </w:r>
      <w:r w:rsidR="089579E7" w:rsidRPr="003D1E07">
        <w:rPr>
          <w:lang w:val="cs-CZ"/>
        </w:rPr>
        <w:t xml:space="preserve"> a </w:t>
      </w:r>
      <w:r w:rsidR="00443F72" w:rsidRPr="003D1E07">
        <w:rPr>
          <w:i/>
          <w:lang w:val="cs-CZ"/>
        </w:rPr>
        <w:t>tertium ens</w:t>
      </w:r>
      <w:bookmarkEnd w:id="13"/>
      <w:bookmarkEnd w:id="14"/>
      <w:r w:rsidR="089579E7" w:rsidRPr="003D1E07">
        <w:rPr>
          <w:lang w:val="cs-CZ"/>
        </w:rPr>
        <w:t xml:space="preserve"> </w:t>
      </w:r>
    </w:p>
    <w:p w14:paraId="0C49108D" w14:textId="33A7A8F9" w:rsidR="00385CD9" w:rsidRPr="003D1E07" w:rsidRDefault="089E40A4" w:rsidP="00AF4438">
      <w:pPr>
        <w:rPr>
          <w:lang w:eastAsia="en-US"/>
        </w:rPr>
      </w:pPr>
      <w:r w:rsidRPr="003D1E07">
        <w:t xml:space="preserve">Hermeneutika ukázala, jak došlo k zatmění </w:t>
      </w:r>
      <w:r w:rsidR="00373D32" w:rsidRPr="003D1E07">
        <w:t xml:space="preserve">(ἐποχή) </w:t>
      </w:r>
      <w:r w:rsidRPr="003D1E07">
        <w:t xml:space="preserve">archaické podoby pravdy v metafyzice Platona a Aristotela. </w:t>
      </w:r>
      <w:r w:rsidR="086C0E22" w:rsidRPr="003D1E07">
        <w:rPr>
          <w:lang w:eastAsia="en-US"/>
        </w:rPr>
        <w:t>První metodický krok zhasl metafyzický význam objektivity tím, že ji ponořil do původní temnoty jejího bytí, v níž byla na počátku</w:t>
      </w:r>
      <w:r w:rsidR="08377E15" w:rsidRPr="003D1E07">
        <w:rPr>
          <w:lang w:eastAsia="en-US"/>
        </w:rPr>
        <w:t xml:space="preserve"> před vznikem metafyziky</w:t>
      </w:r>
      <w:r w:rsidR="086C0E22" w:rsidRPr="003D1E07">
        <w:rPr>
          <w:lang w:eastAsia="en-US"/>
        </w:rPr>
        <w:t xml:space="preserve">. </w:t>
      </w:r>
      <w:r w:rsidR="08483239" w:rsidRPr="003D1E07">
        <w:t xml:space="preserve">Krok zpět k archaické podobě pravdy umožňuje najít původní pole zjevování jsoucna. </w:t>
      </w:r>
      <w:r w:rsidR="08483239" w:rsidRPr="003D1E07">
        <w:rPr>
          <w:lang w:eastAsia="en-US"/>
        </w:rPr>
        <w:t xml:space="preserve">Múzická zjevnost metafyziky </w:t>
      </w:r>
      <w:r w:rsidR="08483239" w:rsidRPr="003D1E07">
        <w:t xml:space="preserve">je dána v modu pythické pravdy a klamu. Tato původní forma pravdy zakládá v modu archaické </w:t>
      </w:r>
      <w:r w:rsidR="08483239" w:rsidRPr="003D1E07">
        <w:rPr>
          <w:i/>
        </w:rPr>
        <w:t>epoché</w:t>
      </w:r>
      <w:r w:rsidR="08483239" w:rsidRPr="003D1E07">
        <w:t xml:space="preserve"> každé metafyzické porozumění, z něhož se vynořuje objektivita. </w:t>
      </w:r>
      <w:r w:rsidR="085A37D3" w:rsidRPr="003D1E07">
        <w:rPr>
          <w:lang w:eastAsia="en-US"/>
        </w:rPr>
        <w:t xml:space="preserve">Dosavadní výklad určil způsob, </w:t>
      </w:r>
      <w:r w:rsidR="08FD606F" w:rsidRPr="003D1E07">
        <w:rPr>
          <w:lang w:eastAsia="en-US"/>
        </w:rPr>
        <w:t>jak dochází epochálnímu obratu dění pravdy</w:t>
      </w:r>
      <w:r w:rsidR="089E298E" w:rsidRPr="003D1E07">
        <w:rPr>
          <w:lang w:eastAsia="en-US"/>
        </w:rPr>
        <w:t xml:space="preserve"> v metafyzice</w:t>
      </w:r>
      <w:r w:rsidR="08FD606F" w:rsidRPr="003D1E07">
        <w:rPr>
          <w:lang w:eastAsia="en-US"/>
        </w:rPr>
        <w:t>, které popsalo Platonovo podobenství o jeskyni. Tato událost iniciovala myšlení</w:t>
      </w:r>
      <w:r w:rsidR="089E298E" w:rsidRPr="003D1E07">
        <w:rPr>
          <w:lang w:eastAsia="en-US"/>
        </w:rPr>
        <w:t xml:space="preserve"> athénských Moderních</w:t>
      </w:r>
      <w:r w:rsidR="08FD606F" w:rsidRPr="003D1E07">
        <w:rPr>
          <w:lang w:eastAsia="en-US"/>
        </w:rPr>
        <w:t xml:space="preserve">. Stala se novým principem myšlení a způsobila, že se změnil základní smysl toho, co je jsoucí a jak je to jsoucí. </w:t>
      </w:r>
      <w:r w:rsidR="08521FC9" w:rsidRPr="003D1E07">
        <w:rPr>
          <w:lang w:eastAsia="en-US"/>
        </w:rPr>
        <w:t>P</w:t>
      </w:r>
      <w:r w:rsidR="08B875F0" w:rsidRPr="003D1E07">
        <w:rPr>
          <w:lang w:eastAsia="en-US"/>
        </w:rPr>
        <w:t xml:space="preserve">o tomto kroku do původní temnoty už </w:t>
      </w:r>
      <w:r w:rsidR="00614DA8" w:rsidRPr="003D1E07">
        <w:rPr>
          <w:lang w:eastAsia="en-US"/>
        </w:rPr>
        <w:t>objektivit</w:t>
      </w:r>
      <w:r w:rsidR="08B875F0" w:rsidRPr="003D1E07">
        <w:rPr>
          <w:lang w:eastAsia="en-US"/>
        </w:rPr>
        <w:t>a není</w:t>
      </w:r>
      <w:r w:rsidR="08064A4C" w:rsidRPr="003D1E07">
        <w:rPr>
          <w:lang w:eastAsia="en-US"/>
        </w:rPr>
        <w:t xml:space="preserve"> onticky přítomná</w:t>
      </w:r>
      <w:r w:rsidR="00614DA8" w:rsidRPr="003D1E07">
        <w:rPr>
          <w:lang w:eastAsia="en-US"/>
        </w:rPr>
        <w:t xml:space="preserve">, protože </w:t>
      </w:r>
      <w:r w:rsidR="08E72CD9" w:rsidRPr="003D1E07">
        <w:rPr>
          <w:lang w:eastAsia="en-US"/>
        </w:rPr>
        <w:t xml:space="preserve">v archaicky temné podobě bytí nemá </w:t>
      </w:r>
      <w:r w:rsidR="085717F2" w:rsidRPr="003D1E07">
        <w:rPr>
          <w:lang w:eastAsia="en-US"/>
        </w:rPr>
        <w:t xml:space="preserve">objektivita </w:t>
      </w:r>
      <w:r w:rsidR="08E72CD9" w:rsidRPr="003D1E07">
        <w:rPr>
          <w:lang w:eastAsia="en-US"/>
        </w:rPr>
        <w:t xml:space="preserve">žádný sobě vlastní </w:t>
      </w:r>
      <w:r w:rsidR="00614DA8" w:rsidRPr="003D1E07">
        <w:rPr>
          <w:lang w:eastAsia="en-US"/>
        </w:rPr>
        <w:t xml:space="preserve">způsob zjevování. </w:t>
      </w:r>
      <w:r w:rsidR="080E4DEA" w:rsidRPr="003D1E07">
        <w:t xml:space="preserve">Apollinská sémantika vede hermeneutiku zpět do temné jeskyně </w:t>
      </w:r>
      <w:r w:rsidR="0884679B" w:rsidRPr="003D1E07">
        <w:t>mystérií</w:t>
      </w:r>
      <w:r w:rsidR="080E4DEA" w:rsidRPr="003D1E07">
        <w:t xml:space="preserve">. </w:t>
      </w:r>
      <w:r w:rsidR="08A60597" w:rsidRPr="003D1E07">
        <w:t xml:space="preserve">Zadržení metafyzického a objektivistického náhledu na svět v modu archaické </w:t>
      </w:r>
      <w:r w:rsidR="08A60597" w:rsidRPr="003D1E07">
        <w:rPr>
          <w:i/>
        </w:rPr>
        <w:t>epoché</w:t>
      </w:r>
      <w:r w:rsidR="08A60597" w:rsidRPr="003D1E07">
        <w:t xml:space="preserve"> tvoří základní cestu (ὁδός) myšlení, kterou je třeba kráčet. </w:t>
      </w:r>
      <w:r w:rsidR="08483239" w:rsidRPr="003D1E07">
        <w:rPr>
          <w:lang w:eastAsia="en-US"/>
        </w:rPr>
        <w:t xml:space="preserve">Slunce jde do temnoty zatmění a pak znovu vyjde. </w:t>
      </w:r>
      <w:r w:rsidR="08EB2C37" w:rsidRPr="003D1E07">
        <w:t>D</w:t>
      </w:r>
      <w:r w:rsidR="08EB2C37" w:rsidRPr="003D1E07">
        <w:rPr>
          <w:lang w:eastAsia="en-US"/>
        </w:rPr>
        <w:t xml:space="preserve">onace pravdy skrze </w:t>
      </w:r>
      <w:r w:rsidR="00BB311A" w:rsidRPr="003D1E07">
        <w:rPr>
          <w:lang w:eastAsia="en-US"/>
        </w:rPr>
        <w:t xml:space="preserve">archegetickou </w:t>
      </w:r>
      <w:r w:rsidR="08EB2C37" w:rsidRPr="003D1E07">
        <w:rPr>
          <w:lang w:eastAsia="en-US"/>
        </w:rPr>
        <w:t xml:space="preserve">a tragickou formu dativu v první fázi hledání moudrosti </w:t>
      </w:r>
      <w:r w:rsidR="00BB311A" w:rsidRPr="003D1E07">
        <w:rPr>
          <w:lang w:eastAsia="en-US"/>
        </w:rPr>
        <w:t xml:space="preserve">určila </w:t>
      </w:r>
      <w:r w:rsidR="08EB2C37" w:rsidRPr="003D1E07">
        <w:rPr>
          <w:lang w:eastAsia="en-US"/>
        </w:rPr>
        <w:t xml:space="preserve">myšlení prvních filosofů </w:t>
      </w:r>
      <w:r w:rsidR="00BB311A" w:rsidRPr="003D1E07">
        <w:t xml:space="preserve">skrze </w:t>
      </w:r>
      <w:r w:rsidR="08EB2C37" w:rsidRPr="003D1E07">
        <w:rPr>
          <w:i/>
        </w:rPr>
        <w:t>dativus principalis</w:t>
      </w:r>
      <w:r w:rsidR="08EB2C37" w:rsidRPr="003D1E07">
        <w:rPr>
          <w:i/>
        </w:rPr>
        <w:fldChar w:fldCharType="begin"/>
      </w:r>
      <w:r w:rsidR="08EB2C37" w:rsidRPr="003D1E07">
        <w:instrText xml:space="preserve"> XE "</w:instrText>
      </w:r>
      <w:r w:rsidR="08EB2C37" w:rsidRPr="003D1E07">
        <w:rPr>
          <w:i/>
        </w:rPr>
        <w:instrText>dativus principalis</w:instrText>
      </w:r>
      <w:r w:rsidR="08EB2C37" w:rsidRPr="003D1E07">
        <w:instrText xml:space="preserve">" </w:instrText>
      </w:r>
      <w:r w:rsidR="08EB2C37" w:rsidRPr="003D1E07">
        <w:rPr>
          <w:i/>
        </w:rPr>
        <w:fldChar w:fldCharType="end"/>
      </w:r>
      <w:r w:rsidR="08EB2C37" w:rsidRPr="003D1E07">
        <w:t xml:space="preserve">. </w:t>
      </w:r>
      <w:r w:rsidR="08A60597" w:rsidRPr="003D1E07">
        <w:t xml:space="preserve">Temnota a iracionalita </w:t>
      </w:r>
      <w:r w:rsidR="08A60597" w:rsidRPr="003D1E07">
        <w:rPr>
          <w:lang w:eastAsia="en-US"/>
        </w:rPr>
        <w:t xml:space="preserve">objektivity zkoumané v modu archaické </w:t>
      </w:r>
      <w:r w:rsidR="08A60597" w:rsidRPr="003D1E07">
        <w:rPr>
          <w:i/>
          <w:lang w:eastAsia="en-US"/>
        </w:rPr>
        <w:t>epoché</w:t>
      </w:r>
      <w:r w:rsidR="08A60597" w:rsidRPr="003D1E07">
        <w:rPr>
          <w:lang w:eastAsia="en-US"/>
        </w:rPr>
        <w:t xml:space="preserve"> má principální charakter (</w:t>
      </w:r>
      <w:r w:rsidR="08A60597" w:rsidRPr="003D1E07">
        <w:rPr>
          <w:i/>
          <w:lang w:eastAsia="en-US"/>
        </w:rPr>
        <w:t>principium</w:t>
      </w:r>
      <w:r w:rsidR="08A60597" w:rsidRPr="003D1E07">
        <w:rPr>
          <w:lang w:eastAsia="en-US"/>
        </w:rPr>
        <w:t>). P</w:t>
      </w:r>
      <w:r w:rsidR="08E72CD9" w:rsidRPr="003D1E07">
        <w:rPr>
          <w:lang w:eastAsia="en-US"/>
        </w:rPr>
        <w:t>rincipiální temnota bytí umož</w:t>
      </w:r>
      <w:r w:rsidR="08B711E8" w:rsidRPr="003D1E07">
        <w:rPr>
          <w:lang w:eastAsia="en-US"/>
        </w:rPr>
        <w:t xml:space="preserve">ňuje </w:t>
      </w:r>
      <w:r w:rsidR="08D30428" w:rsidRPr="003D1E07">
        <w:rPr>
          <w:lang w:eastAsia="en-US"/>
        </w:rPr>
        <w:t xml:space="preserve">jsoucnu, aby vyšlo do toho, co je </w:t>
      </w:r>
      <w:r w:rsidR="088D5845" w:rsidRPr="003D1E07">
        <w:rPr>
          <w:lang w:eastAsia="en-US"/>
        </w:rPr>
        <w:t>jeho ontickým údělem</w:t>
      </w:r>
      <w:r w:rsidR="08D30428" w:rsidRPr="003D1E07">
        <w:rPr>
          <w:lang w:eastAsia="en-US"/>
        </w:rPr>
        <w:t xml:space="preserve">, tedy do </w:t>
      </w:r>
      <w:r w:rsidR="08873759" w:rsidRPr="003D1E07">
        <w:rPr>
          <w:lang w:eastAsia="en-US"/>
        </w:rPr>
        <w:t xml:space="preserve">působení </w:t>
      </w:r>
      <w:r w:rsidR="08D30428" w:rsidRPr="003D1E07">
        <w:rPr>
          <w:lang w:eastAsia="en-US"/>
        </w:rPr>
        <w:t xml:space="preserve">v dějinách </w:t>
      </w:r>
      <w:r w:rsidR="08873759" w:rsidRPr="003D1E07">
        <w:rPr>
          <w:lang w:eastAsia="en-US"/>
        </w:rPr>
        <w:t>(</w:t>
      </w:r>
      <w:r w:rsidR="08873759" w:rsidRPr="003D1E07">
        <w:rPr>
          <w:i/>
          <w:lang w:eastAsia="en-US"/>
        </w:rPr>
        <w:t>initium</w:t>
      </w:r>
      <w:r w:rsidR="08873759" w:rsidRPr="003D1E07">
        <w:rPr>
          <w:lang w:eastAsia="en-US"/>
        </w:rPr>
        <w:t>)</w:t>
      </w:r>
      <w:r w:rsidR="08E72CD9" w:rsidRPr="003D1E07">
        <w:rPr>
          <w:lang w:eastAsia="en-US"/>
        </w:rPr>
        <w:t xml:space="preserve">. </w:t>
      </w:r>
      <w:r w:rsidR="08AA00CC" w:rsidRPr="003D1E07">
        <w:rPr>
          <w:lang w:eastAsia="en-US"/>
        </w:rPr>
        <w:t>B</w:t>
      </w:r>
      <w:r w:rsidR="00BB5665" w:rsidRPr="003D1E07">
        <w:rPr>
          <w:lang w:eastAsia="en-US"/>
        </w:rPr>
        <w:t xml:space="preserve">ěhem </w:t>
      </w:r>
      <w:r w:rsidR="085E027B" w:rsidRPr="003D1E07">
        <w:rPr>
          <w:lang w:eastAsia="en-US"/>
        </w:rPr>
        <w:t xml:space="preserve">principiální </w:t>
      </w:r>
      <w:r w:rsidR="00BB5665" w:rsidRPr="003D1E07">
        <w:rPr>
          <w:lang w:eastAsia="en-US"/>
        </w:rPr>
        <w:t xml:space="preserve">události zatmění jsoucna v modu archaické </w:t>
      </w:r>
      <w:r w:rsidR="00BB5665" w:rsidRPr="003D1E07">
        <w:rPr>
          <w:i/>
          <w:lang w:eastAsia="en-US"/>
        </w:rPr>
        <w:t>epoché</w:t>
      </w:r>
      <w:r w:rsidR="00BB5665" w:rsidRPr="003D1E07">
        <w:rPr>
          <w:lang w:eastAsia="en-US"/>
        </w:rPr>
        <w:t xml:space="preserve"> </w:t>
      </w:r>
      <w:r w:rsidR="00614DA8" w:rsidRPr="003D1E07">
        <w:rPr>
          <w:lang w:eastAsia="en-US"/>
        </w:rPr>
        <w:t xml:space="preserve">nemá </w:t>
      </w:r>
      <w:r w:rsidR="080320C1" w:rsidRPr="003D1E07">
        <w:rPr>
          <w:lang w:eastAsia="en-US"/>
        </w:rPr>
        <w:t xml:space="preserve">substance </w:t>
      </w:r>
      <w:r w:rsidR="089159EE" w:rsidRPr="003D1E07">
        <w:rPr>
          <w:lang w:eastAsia="en-US"/>
        </w:rPr>
        <w:t xml:space="preserve">žádnou </w:t>
      </w:r>
      <w:r w:rsidR="08B860C3" w:rsidRPr="003D1E07">
        <w:rPr>
          <w:lang w:eastAsia="en-US"/>
        </w:rPr>
        <w:t xml:space="preserve">metafyzickou </w:t>
      </w:r>
      <w:r w:rsidR="08384ED5" w:rsidRPr="003D1E07">
        <w:rPr>
          <w:lang w:eastAsia="en-US"/>
        </w:rPr>
        <w:t xml:space="preserve">možnost, </w:t>
      </w:r>
      <w:r w:rsidR="00614DA8" w:rsidRPr="003D1E07">
        <w:rPr>
          <w:lang w:eastAsia="en-US"/>
        </w:rPr>
        <w:t>jak</w:t>
      </w:r>
      <w:r w:rsidR="08384ED5" w:rsidRPr="003D1E07">
        <w:rPr>
          <w:lang w:eastAsia="en-US"/>
        </w:rPr>
        <w:t xml:space="preserve"> </w:t>
      </w:r>
      <w:r w:rsidR="00614DA8" w:rsidRPr="003D1E07">
        <w:rPr>
          <w:lang w:eastAsia="en-US"/>
        </w:rPr>
        <w:t>by mohl</w:t>
      </w:r>
      <w:r w:rsidR="080320C1" w:rsidRPr="003D1E07">
        <w:rPr>
          <w:lang w:eastAsia="en-US"/>
        </w:rPr>
        <w:t>a</w:t>
      </w:r>
      <w:r w:rsidR="00614DA8" w:rsidRPr="003D1E07">
        <w:rPr>
          <w:lang w:eastAsia="en-US"/>
        </w:rPr>
        <w:t xml:space="preserve"> </w:t>
      </w:r>
      <w:r w:rsidR="08E57937" w:rsidRPr="003D1E07">
        <w:rPr>
          <w:lang w:eastAsia="en-US"/>
        </w:rPr>
        <w:t xml:space="preserve">iniciativně </w:t>
      </w:r>
      <w:r w:rsidR="00614DA8" w:rsidRPr="003D1E07">
        <w:rPr>
          <w:lang w:eastAsia="en-US"/>
        </w:rPr>
        <w:t xml:space="preserve">existovat. </w:t>
      </w:r>
      <w:r w:rsidR="08873759" w:rsidRPr="003D1E07">
        <w:rPr>
          <w:lang w:eastAsia="en-US"/>
        </w:rPr>
        <w:t xml:space="preserve">V této původní podobě bytí </w:t>
      </w:r>
      <w:r w:rsidR="0842422E" w:rsidRPr="003D1E07">
        <w:rPr>
          <w:lang w:eastAsia="en-US"/>
        </w:rPr>
        <w:t xml:space="preserve">nemůže působit ani metafyzika </w:t>
      </w:r>
      <w:r w:rsidR="08680618" w:rsidRPr="003D1E07">
        <w:rPr>
          <w:lang w:eastAsia="en-US"/>
        </w:rPr>
        <w:t xml:space="preserve">v modu pozitivní </w:t>
      </w:r>
      <w:r w:rsidR="08680618" w:rsidRPr="003D1E07">
        <w:rPr>
          <w:i/>
          <w:lang w:eastAsia="en-US"/>
        </w:rPr>
        <w:t>Wirkungsgeschichte</w:t>
      </w:r>
      <w:r w:rsidR="08680618" w:rsidRPr="003D1E07">
        <w:rPr>
          <w:lang w:eastAsia="en-US"/>
        </w:rPr>
        <w:t xml:space="preserve"> </w:t>
      </w:r>
      <w:r w:rsidR="0842422E" w:rsidRPr="003D1E07">
        <w:rPr>
          <w:lang w:eastAsia="en-US"/>
        </w:rPr>
        <w:t xml:space="preserve">a </w:t>
      </w:r>
      <w:r w:rsidR="08680618" w:rsidRPr="003D1E07">
        <w:rPr>
          <w:lang w:eastAsia="en-US"/>
        </w:rPr>
        <w:t xml:space="preserve">tím méně </w:t>
      </w:r>
      <w:r w:rsidR="0842422E" w:rsidRPr="003D1E07">
        <w:rPr>
          <w:lang w:eastAsia="en-US"/>
        </w:rPr>
        <w:t>objektivita</w:t>
      </w:r>
      <w:r w:rsidR="08873759" w:rsidRPr="003D1E07">
        <w:rPr>
          <w:lang w:eastAsia="en-US"/>
        </w:rPr>
        <w:t xml:space="preserve">. </w:t>
      </w:r>
      <w:r w:rsidR="08E87C34" w:rsidRPr="003D1E07">
        <w:rPr>
          <w:lang w:eastAsia="en-US"/>
        </w:rPr>
        <w:t xml:space="preserve">Jednotlivé jsoucno v takto dané archaické přítomnosti celku nemá vlastní způsob pravdivosti. </w:t>
      </w:r>
      <w:r w:rsidR="08ED4199" w:rsidRPr="003D1E07">
        <w:rPr>
          <w:lang w:eastAsia="en-US"/>
        </w:rPr>
        <w:t>Archaicky zkoumané hodinky v modu múzické pravdy nejsou hodinky, protože nejsou onticky danou jednotlivinou</w:t>
      </w:r>
      <w:r w:rsidR="0011514E" w:rsidRPr="003D1E07">
        <w:rPr>
          <w:lang w:eastAsia="en-US"/>
        </w:rPr>
        <w:t xml:space="preserve"> a není dán ontický čas</w:t>
      </w:r>
      <w:r w:rsidR="08ED4199" w:rsidRPr="003D1E07">
        <w:rPr>
          <w:lang w:eastAsia="en-US"/>
        </w:rPr>
        <w:t xml:space="preserve">. </w:t>
      </w:r>
      <w:r w:rsidR="08E23B15" w:rsidRPr="003D1E07">
        <w:rPr>
          <w:lang w:eastAsia="en-US"/>
        </w:rPr>
        <w:t>V </w:t>
      </w:r>
      <w:r w:rsidR="00D45007" w:rsidRPr="003D1E07">
        <w:rPr>
          <w:lang w:eastAsia="en-US"/>
        </w:rPr>
        <w:t xml:space="preserve">primární </w:t>
      </w:r>
      <w:r w:rsidR="08E23B15" w:rsidRPr="003D1E07">
        <w:rPr>
          <w:lang w:eastAsia="en-US"/>
        </w:rPr>
        <w:t>dějinnosti bytí neexistuje předchůdná dráha náhledu (</w:t>
      </w:r>
      <w:r w:rsidR="08E23B15" w:rsidRPr="003D1E07">
        <w:rPr>
          <w:i/>
          <w:lang w:eastAsia="en-US"/>
        </w:rPr>
        <w:t>Vor-blickbahn</w:t>
      </w:r>
      <w:r w:rsidR="08E23B15" w:rsidRPr="003D1E07">
        <w:rPr>
          <w:i/>
          <w:lang w:eastAsia="en-US"/>
        </w:rPr>
        <w:fldChar w:fldCharType="begin"/>
      </w:r>
      <w:r w:rsidR="08E23B15" w:rsidRPr="003D1E07">
        <w:instrText xml:space="preserve"> XE "</w:instrText>
      </w:r>
      <w:r w:rsidR="08E23B15" w:rsidRPr="003D1E07">
        <w:rPr>
          <w:i/>
          <w:lang w:eastAsia="en-US"/>
        </w:rPr>
        <w:instrText>Vor-blickbahn</w:instrText>
      </w:r>
      <w:r w:rsidR="08E23B15" w:rsidRPr="003D1E07">
        <w:rPr>
          <w:lang w:eastAsia="en-US"/>
        </w:rPr>
        <w:instrText>:archaická hermeneutika</w:instrText>
      </w:r>
      <w:r w:rsidR="08E23B15" w:rsidRPr="003D1E07">
        <w:instrText xml:space="preserve">" </w:instrText>
      </w:r>
      <w:r w:rsidR="08E23B15" w:rsidRPr="003D1E07">
        <w:rPr>
          <w:i/>
          <w:lang w:eastAsia="en-US"/>
        </w:rPr>
        <w:fldChar w:fldCharType="end"/>
      </w:r>
      <w:r w:rsidR="08E23B15" w:rsidRPr="003D1E07">
        <w:rPr>
          <w:lang w:eastAsia="en-US"/>
        </w:rPr>
        <w:t xml:space="preserve">) na hodiny </w:t>
      </w:r>
      <w:r w:rsidR="0002383B">
        <w:rPr>
          <w:lang w:eastAsia="en-US"/>
        </w:rPr>
        <w:t>„</w:t>
      </w:r>
      <w:r w:rsidR="08E23B15" w:rsidRPr="003D1E07">
        <w:rPr>
          <w:lang w:eastAsia="en-US"/>
        </w:rPr>
        <w:t>jako</w:t>
      </w:r>
      <w:r w:rsidR="0002383B">
        <w:rPr>
          <w:lang w:eastAsia="en-US"/>
        </w:rPr>
        <w:t>“</w:t>
      </w:r>
      <w:r w:rsidR="08E23B15" w:rsidRPr="003D1E07">
        <w:rPr>
          <w:lang w:eastAsia="en-US"/>
        </w:rPr>
        <w:t xml:space="preserve"> </w:t>
      </w:r>
      <w:r w:rsidR="00796568">
        <w:rPr>
          <w:noProof w:val="0"/>
          <w:lang w:val="fr-FR"/>
        </w:rPr>
        <w:t>(</w:t>
      </w:r>
      <w:r w:rsidR="00796568" w:rsidRPr="008B65BA">
        <w:rPr>
          <w:i/>
          <w:noProof w:val="0"/>
          <w:lang w:val="fr-FR"/>
        </w:rPr>
        <w:t>Als</w:t>
      </w:r>
      <w:r w:rsidR="00796568">
        <w:rPr>
          <w:i/>
          <w:noProof w:val="0"/>
          <w:lang w:val="fr-FR"/>
        </w:rPr>
        <w:t>-Struktur</w:t>
      </w:r>
      <w:r w:rsidR="00796568">
        <w:rPr>
          <w:i/>
          <w:noProof w:val="0"/>
          <w:lang w:val="fr-FR"/>
        </w:rPr>
        <w:fldChar w:fldCharType="begin"/>
      </w:r>
      <w:r w:rsidR="00796568">
        <w:instrText xml:space="preserve"> XE "</w:instrText>
      </w:r>
      <w:r w:rsidR="00796568" w:rsidRPr="00AF2227">
        <w:rPr>
          <w:i/>
          <w:noProof w:val="0"/>
          <w:lang w:val="fr-FR"/>
        </w:rPr>
        <w:instrText>Als-Struktur</w:instrText>
      </w:r>
      <w:r w:rsidR="00796568">
        <w:instrText xml:space="preserve">" </w:instrText>
      </w:r>
      <w:r w:rsidR="00796568">
        <w:rPr>
          <w:i/>
          <w:noProof w:val="0"/>
          <w:lang w:val="fr-FR"/>
        </w:rPr>
        <w:fldChar w:fldCharType="end"/>
      </w:r>
      <w:r w:rsidR="00796568">
        <w:rPr>
          <w:noProof w:val="0"/>
          <w:lang w:val="fr-FR"/>
        </w:rPr>
        <w:t xml:space="preserve">) </w:t>
      </w:r>
      <w:r w:rsidR="08E23B15" w:rsidRPr="003D1E07">
        <w:rPr>
          <w:lang w:eastAsia="en-US"/>
        </w:rPr>
        <w:t xml:space="preserve">hodinky v modu </w:t>
      </w:r>
      <w:r w:rsidR="0002383B">
        <w:rPr>
          <w:lang w:eastAsia="en-US"/>
        </w:rPr>
        <w:t xml:space="preserve">ontického porozumění </w:t>
      </w:r>
      <w:r w:rsidR="08E23B15" w:rsidRPr="003D1E07">
        <w:rPr>
          <w:lang w:eastAsia="en-US"/>
        </w:rPr>
        <w:t xml:space="preserve">(kap. 1). </w:t>
      </w:r>
      <w:r w:rsidR="08BF799E" w:rsidRPr="003D1E07">
        <w:rPr>
          <w:lang w:eastAsia="en-US"/>
        </w:rPr>
        <w:t xml:space="preserve">Absolutní přítomnost celku jsoucna (Kalchásova </w:t>
      </w:r>
      <w:r w:rsidR="08BF799E" w:rsidRPr="003D1E07">
        <w:t>τά τ' ἐόντα</w:t>
      </w:r>
      <w:r w:rsidR="08BF799E" w:rsidRPr="003D1E07">
        <w:fldChar w:fldCharType="begin"/>
      </w:r>
      <w:r w:rsidR="08BF799E" w:rsidRPr="003D1E07">
        <w:instrText xml:space="preserve"> XE "Homér:</w:instrText>
      </w:r>
      <w:r w:rsidR="08BF799E" w:rsidRPr="003D1E07">
        <w:rPr>
          <w:i/>
        </w:rPr>
        <w:instrText>Ilias</w:instrText>
      </w:r>
      <w:r w:rsidR="08BF799E" w:rsidRPr="003D1E07">
        <w:instrText xml:space="preserve"> 1.70" </w:instrText>
      </w:r>
      <w:r w:rsidR="08BF799E" w:rsidRPr="003D1E07">
        <w:fldChar w:fldCharType="end"/>
      </w:r>
      <w:r w:rsidR="08BF799E" w:rsidRPr="003D1E07">
        <w:t>, Parmenidovo ἔστι γὰρ εἶναι, B 6.8</w:t>
      </w:r>
      <w:r w:rsidR="08BF799E" w:rsidRPr="003D1E07">
        <w:fldChar w:fldCharType="begin"/>
      </w:r>
      <w:r w:rsidR="08BF799E" w:rsidRPr="003D1E07">
        <w:instrText xml:space="preserve"> XE "Parmenides:B 6.8" </w:instrText>
      </w:r>
      <w:r w:rsidR="08BF799E" w:rsidRPr="003D1E07">
        <w:fldChar w:fldCharType="end"/>
      </w:r>
      <w:r w:rsidR="08BF799E" w:rsidRPr="003D1E07">
        <w:rPr>
          <w:lang w:eastAsia="en-US"/>
        </w:rPr>
        <w:t>) je oddělen</w:t>
      </w:r>
      <w:r w:rsidR="088556BE" w:rsidRPr="003D1E07">
        <w:rPr>
          <w:lang w:eastAsia="en-US"/>
        </w:rPr>
        <w:t xml:space="preserve">a od jednotliviny, protože </w:t>
      </w:r>
      <w:r w:rsidR="083F78E5" w:rsidRPr="003D1E07">
        <w:rPr>
          <w:lang w:eastAsia="en-US"/>
        </w:rPr>
        <w:t xml:space="preserve">aktuální </w:t>
      </w:r>
      <w:r w:rsidR="08BF799E" w:rsidRPr="003D1E07">
        <w:rPr>
          <w:lang w:eastAsia="en-US"/>
        </w:rPr>
        <w:t xml:space="preserve">přítomnost </w:t>
      </w:r>
      <w:r w:rsidR="088556BE" w:rsidRPr="003D1E07">
        <w:rPr>
          <w:lang w:eastAsia="en-US"/>
        </w:rPr>
        <w:t xml:space="preserve">reálné substance </w:t>
      </w:r>
      <w:r w:rsidR="08BF799E" w:rsidRPr="003D1E07">
        <w:rPr>
          <w:lang w:eastAsia="en-US"/>
        </w:rPr>
        <w:t xml:space="preserve">není dána ani v minulosti ani v budoucnosti. </w:t>
      </w:r>
      <w:r w:rsidR="08233468" w:rsidRPr="003D1E07">
        <w:rPr>
          <w:lang w:eastAsia="en-US"/>
        </w:rPr>
        <w:t xml:space="preserve">Odkrytost celku bytí tvoří </w:t>
      </w:r>
      <w:r w:rsidR="08637A9D" w:rsidRPr="003D1E07">
        <w:rPr>
          <w:lang w:eastAsia="en-US"/>
        </w:rPr>
        <w:t xml:space="preserve">archaickou </w:t>
      </w:r>
      <w:r w:rsidR="08233468" w:rsidRPr="003D1E07">
        <w:rPr>
          <w:lang w:eastAsia="en-US"/>
        </w:rPr>
        <w:t>jednotu</w:t>
      </w:r>
      <w:r w:rsidR="08D72BBA" w:rsidRPr="003D1E07">
        <w:rPr>
          <w:lang w:eastAsia="en-US"/>
        </w:rPr>
        <w:t xml:space="preserve"> </w:t>
      </w:r>
      <w:r w:rsidR="08691D4E" w:rsidRPr="003D1E07">
        <w:rPr>
          <w:lang w:eastAsia="en-US"/>
        </w:rPr>
        <w:t xml:space="preserve">smyslu. Dějinnost současně daná v říši božských sil, mrtvých a živých </w:t>
      </w:r>
      <w:r w:rsidR="08D72BBA" w:rsidRPr="003D1E07">
        <w:rPr>
          <w:lang w:eastAsia="en-US"/>
        </w:rPr>
        <w:t xml:space="preserve">má </w:t>
      </w:r>
      <w:r w:rsidR="088525D7" w:rsidRPr="003D1E07">
        <w:rPr>
          <w:lang w:eastAsia="en-US"/>
        </w:rPr>
        <w:lastRenderedPageBreak/>
        <w:t xml:space="preserve">věčný </w:t>
      </w:r>
      <w:r w:rsidR="08145682" w:rsidRPr="003D1E07">
        <w:rPr>
          <w:lang w:eastAsia="en-US"/>
        </w:rPr>
        <w:t xml:space="preserve">charakter </w:t>
      </w:r>
      <w:r w:rsidR="08D72BBA" w:rsidRPr="003D1E07">
        <w:rPr>
          <w:lang w:eastAsia="en-US"/>
        </w:rPr>
        <w:t xml:space="preserve">utvářený </w:t>
      </w:r>
      <w:r w:rsidR="08074149" w:rsidRPr="003D1E07">
        <w:rPr>
          <w:lang w:eastAsia="en-US"/>
        </w:rPr>
        <w:t xml:space="preserve">kosmickým </w:t>
      </w:r>
      <w:r w:rsidR="08D72BBA" w:rsidRPr="003D1E07">
        <w:rPr>
          <w:lang w:eastAsia="en-US"/>
        </w:rPr>
        <w:t>děním</w:t>
      </w:r>
      <w:r w:rsidR="08065D82" w:rsidRPr="003D1E07">
        <w:rPr>
          <w:lang w:eastAsia="en-US"/>
        </w:rPr>
        <w:t xml:space="preserve"> celku bytí</w:t>
      </w:r>
      <w:r w:rsidR="089C6DBF" w:rsidRPr="003D1E07">
        <w:rPr>
          <w:lang w:eastAsia="en-US"/>
        </w:rPr>
        <w:t xml:space="preserve">. Náhled do tohoto dění dostává smrtelník jako </w:t>
      </w:r>
      <w:r w:rsidR="08681499" w:rsidRPr="003D1E07">
        <w:rPr>
          <w:lang w:eastAsia="en-US"/>
        </w:rPr>
        <w:t>múzický</w:t>
      </w:r>
      <w:r w:rsidR="08257F74" w:rsidRPr="003D1E07">
        <w:rPr>
          <w:lang w:eastAsia="en-US"/>
        </w:rPr>
        <w:t xml:space="preserve"> nebo věštecký</w:t>
      </w:r>
      <w:r w:rsidR="08681499" w:rsidRPr="003D1E07">
        <w:rPr>
          <w:lang w:eastAsia="en-US"/>
        </w:rPr>
        <w:t xml:space="preserve"> </w:t>
      </w:r>
      <w:r w:rsidR="089C6DBF" w:rsidRPr="003D1E07">
        <w:rPr>
          <w:lang w:eastAsia="en-US"/>
        </w:rPr>
        <w:t xml:space="preserve">dar. </w:t>
      </w:r>
      <w:r w:rsidR="088556BE" w:rsidRPr="003D1E07">
        <w:rPr>
          <w:lang w:eastAsia="en-US"/>
        </w:rPr>
        <w:t>Dějinná přítomnost celku</w:t>
      </w:r>
      <w:r w:rsidR="08F13A81" w:rsidRPr="003D1E07">
        <w:rPr>
          <w:lang w:eastAsia="en-US"/>
        </w:rPr>
        <w:t xml:space="preserve"> bytí a jsoucna stojí </w:t>
      </w:r>
      <w:r w:rsidR="08233468" w:rsidRPr="003D1E07">
        <w:rPr>
          <w:lang w:eastAsia="en-US"/>
        </w:rPr>
        <w:t>mimo plynutí onticky pojatého času</w:t>
      </w:r>
      <w:r w:rsidR="089A1B25" w:rsidRPr="003D1E07">
        <w:rPr>
          <w:lang w:eastAsia="en-US"/>
        </w:rPr>
        <w:t>, který A</w:t>
      </w:r>
      <w:r w:rsidR="08233468" w:rsidRPr="003D1E07">
        <w:rPr>
          <w:lang w:eastAsia="en-US"/>
        </w:rPr>
        <w:t>ristotel</w:t>
      </w:r>
      <w:r w:rsidR="089A1B25" w:rsidRPr="003D1E07">
        <w:rPr>
          <w:lang w:eastAsia="en-US"/>
        </w:rPr>
        <w:t>es</w:t>
      </w:r>
      <w:r w:rsidR="08233468" w:rsidRPr="003D1E07">
        <w:rPr>
          <w:lang w:eastAsia="en-US"/>
        </w:rPr>
        <w:t xml:space="preserve"> </w:t>
      </w:r>
      <w:r w:rsidR="089A1B25" w:rsidRPr="003D1E07">
        <w:rPr>
          <w:lang w:eastAsia="en-US"/>
        </w:rPr>
        <w:t xml:space="preserve">spojil s </w:t>
      </w:r>
      <w:r w:rsidR="08233468" w:rsidRPr="003D1E07">
        <w:rPr>
          <w:lang w:eastAsia="en-US"/>
        </w:rPr>
        <w:t>fyzikální</w:t>
      </w:r>
      <w:r w:rsidR="089A1B25" w:rsidRPr="003D1E07">
        <w:rPr>
          <w:lang w:eastAsia="en-US"/>
        </w:rPr>
        <w:t>mi změnami</w:t>
      </w:r>
      <w:r w:rsidR="08233468" w:rsidRPr="003D1E07">
        <w:rPr>
          <w:lang w:eastAsia="en-US"/>
        </w:rPr>
        <w:t xml:space="preserve"> </w:t>
      </w:r>
      <w:r w:rsidR="086E7BE1" w:rsidRPr="003D1E07">
        <w:rPr>
          <w:lang w:eastAsia="en-US"/>
        </w:rPr>
        <w:t xml:space="preserve">první </w:t>
      </w:r>
      <w:r w:rsidR="08233468" w:rsidRPr="003D1E07">
        <w:rPr>
          <w:lang w:eastAsia="en-US"/>
        </w:rPr>
        <w:t>substance</w:t>
      </w:r>
      <w:r w:rsidR="081C6B05" w:rsidRPr="003D1E07">
        <w:rPr>
          <w:lang w:eastAsia="en-US"/>
        </w:rPr>
        <w:t xml:space="preserve"> (kap. 1.3.3)</w:t>
      </w:r>
      <w:r w:rsidR="08233468" w:rsidRPr="003D1E07">
        <w:rPr>
          <w:lang w:eastAsia="en-US"/>
        </w:rPr>
        <w:t xml:space="preserve">. </w:t>
      </w:r>
      <w:r w:rsidR="08FE586D" w:rsidRPr="003D1E07">
        <w:rPr>
          <w:lang w:eastAsia="en-US"/>
        </w:rPr>
        <w:t xml:space="preserve">Archaická hermeneutika dlící v temnotě </w:t>
      </w:r>
      <w:r w:rsidR="083854A2" w:rsidRPr="003D1E07">
        <w:rPr>
          <w:lang w:eastAsia="en-US"/>
        </w:rPr>
        <w:t xml:space="preserve">delfského </w:t>
      </w:r>
      <w:r w:rsidR="08FE586D" w:rsidRPr="003D1E07">
        <w:rPr>
          <w:lang w:eastAsia="en-US"/>
        </w:rPr>
        <w:t xml:space="preserve">adytonu dostala skrze dar dějinnosti možnost </w:t>
      </w:r>
      <w:r w:rsidR="08233468" w:rsidRPr="003D1E07">
        <w:rPr>
          <w:lang w:eastAsia="en-US"/>
        </w:rPr>
        <w:t xml:space="preserve">pobývat </w:t>
      </w:r>
      <w:r w:rsidR="08FE586D" w:rsidRPr="003D1E07">
        <w:rPr>
          <w:lang w:eastAsia="en-US"/>
        </w:rPr>
        <w:t>v původní přítomnosti múzického celku bytí jsoucna. Dráha archaického náhledu stojí v přítomném dění múzické pravdy a klamu</w:t>
      </w:r>
      <w:r w:rsidR="08E23809" w:rsidRPr="003D1E07">
        <w:rPr>
          <w:lang w:eastAsia="en-US"/>
        </w:rPr>
        <w:t xml:space="preserve"> spojené</w:t>
      </w:r>
      <w:r w:rsidR="08974D72" w:rsidRPr="003D1E07">
        <w:rPr>
          <w:lang w:eastAsia="en-US"/>
        </w:rPr>
        <w:t>ho s manifestací původního smyslu substance</w:t>
      </w:r>
      <w:r w:rsidR="08FE586D" w:rsidRPr="003D1E07">
        <w:rPr>
          <w:lang w:eastAsia="en-US"/>
        </w:rPr>
        <w:t xml:space="preserve">. </w:t>
      </w:r>
      <w:r w:rsidR="08974D72" w:rsidRPr="003D1E07">
        <w:rPr>
          <w:lang w:eastAsia="en-US"/>
        </w:rPr>
        <w:t xml:space="preserve">Její metafyzický význam </w:t>
      </w:r>
      <w:r w:rsidR="08553388" w:rsidRPr="003D1E07">
        <w:rPr>
          <w:lang w:eastAsia="en-US"/>
        </w:rPr>
        <w:t xml:space="preserve">dostává </w:t>
      </w:r>
      <w:r w:rsidR="08974D72" w:rsidRPr="003D1E07">
        <w:rPr>
          <w:lang w:eastAsia="en-US"/>
        </w:rPr>
        <w:t>díky dějinnosti</w:t>
      </w:r>
      <w:r w:rsidR="084337BD" w:rsidRPr="003D1E07">
        <w:fldChar w:fldCharType="begin"/>
      </w:r>
      <w:r w:rsidR="084337BD" w:rsidRPr="003D1E07">
        <w:instrText xml:space="preserve"> XE "dějinnost" </w:instrText>
      </w:r>
      <w:r w:rsidR="084337BD" w:rsidRPr="003D1E07">
        <w:fldChar w:fldCharType="end"/>
      </w:r>
      <w:r w:rsidR="08974D72" w:rsidRPr="003D1E07">
        <w:rPr>
          <w:lang w:eastAsia="en-US"/>
        </w:rPr>
        <w:t xml:space="preserve"> svůj </w:t>
      </w:r>
      <w:r w:rsidR="08E23809" w:rsidRPr="003D1E07">
        <w:rPr>
          <w:lang w:eastAsia="en-US"/>
        </w:rPr>
        <w:t>vlastní počát</w:t>
      </w:r>
      <w:r w:rsidR="08974D72" w:rsidRPr="003D1E07">
        <w:rPr>
          <w:lang w:eastAsia="en-US"/>
        </w:rPr>
        <w:t>ek</w:t>
      </w:r>
      <w:r w:rsidR="08553388" w:rsidRPr="003D1E07">
        <w:rPr>
          <w:lang w:eastAsia="en-US"/>
        </w:rPr>
        <w:t xml:space="preserve">. </w:t>
      </w:r>
      <w:r w:rsidR="006672E9" w:rsidRPr="003D1E07">
        <w:rPr>
          <w:lang w:eastAsia="en-US"/>
        </w:rPr>
        <w:t xml:space="preserve">První výtvor moderní filosofie vznikl v neexistující jeskyni troglodytů, když jejich nejvýznačnější exemplář začal myslet radikálně mytopoeticky, a tedy filosoficky zcela paranoidně. </w:t>
      </w:r>
      <w:r w:rsidR="08553388" w:rsidRPr="003D1E07">
        <w:rPr>
          <w:lang w:eastAsia="en-US"/>
        </w:rPr>
        <w:t xml:space="preserve">Díky skrytému působení múzické pravdy </w:t>
      </w:r>
      <w:r w:rsidR="08485033" w:rsidRPr="003D1E07">
        <w:rPr>
          <w:lang w:eastAsia="en-US"/>
        </w:rPr>
        <w:t xml:space="preserve">Platonova substance daná jako </w:t>
      </w:r>
      <w:r w:rsidR="08553388" w:rsidRPr="003D1E07">
        <w:rPr>
          <w:lang w:eastAsia="en-US"/>
        </w:rPr>
        <w:t xml:space="preserve">idea vyšla z mytopoetické jeskyně troglodytů </w:t>
      </w:r>
      <w:r w:rsidR="08485033" w:rsidRPr="003D1E07">
        <w:rPr>
          <w:lang w:eastAsia="en-US"/>
        </w:rPr>
        <w:t xml:space="preserve">a stala se </w:t>
      </w:r>
      <w:r w:rsidR="08553388" w:rsidRPr="003D1E07">
        <w:rPr>
          <w:lang w:eastAsia="en-US"/>
        </w:rPr>
        <w:t>filosoficky určený</w:t>
      </w:r>
      <w:r w:rsidR="08485033" w:rsidRPr="003D1E07">
        <w:rPr>
          <w:lang w:eastAsia="en-US"/>
        </w:rPr>
        <w:t>m</w:t>
      </w:r>
      <w:r w:rsidR="08553388" w:rsidRPr="003D1E07">
        <w:rPr>
          <w:lang w:eastAsia="en-US"/>
        </w:rPr>
        <w:t xml:space="preserve"> </w:t>
      </w:r>
      <w:r w:rsidR="08974D72" w:rsidRPr="003D1E07">
        <w:rPr>
          <w:lang w:eastAsia="en-US"/>
        </w:rPr>
        <w:t>fenomén</w:t>
      </w:r>
      <w:r w:rsidR="08485033" w:rsidRPr="003D1E07">
        <w:rPr>
          <w:lang w:eastAsia="en-US"/>
        </w:rPr>
        <w:t xml:space="preserve">em v </w:t>
      </w:r>
      <w:r w:rsidR="08E23809" w:rsidRPr="003D1E07">
        <w:rPr>
          <w:lang w:eastAsia="en-US"/>
        </w:rPr>
        <w:t>dějin</w:t>
      </w:r>
      <w:r w:rsidR="08485033" w:rsidRPr="003D1E07">
        <w:rPr>
          <w:lang w:eastAsia="en-US"/>
        </w:rPr>
        <w:t>ách</w:t>
      </w:r>
      <w:r w:rsidR="08E23809" w:rsidRPr="003D1E07">
        <w:rPr>
          <w:lang w:eastAsia="en-US"/>
        </w:rPr>
        <w:t xml:space="preserve"> moderního myšlení. </w:t>
      </w:r>
      <w:r w:rsidR="08206554" w:rsidRPr="003D1E07">
        <w:rPr>
          <w:lang w:eastAsia="en-US"/>
        </w:rPr>
        <w:t>Možnost dějinného působení metafyziky je původně dána ve skrytosti múzické dějinnosti</w:t>
      </w:r>
      <w:r w:rsidR="08206554" w:rsidRPr="003D1E07">
        <w:rPr>
          <w:lang w:eastAsia="en-US"/>
        </w:rPr>
        <w:fldChar w:fldCharType="begin"/>
      </w:r>
      <w:r w:rsidR="08206554" w:rsidRPr="003D1E07">
        <w:instrText xml:space="preserve"> XE "</w:instrText>
      </w:r>
      <w:r w:rsidR="08206554" w:rsidRPr="003D1E07">
        <w:rPr>
          <w:lang w:eastAsia="en-US"/>
        </w:rPr>
        <w:instrText>zatmění:jsoucna</w:instrText>
      </w:r>
      <w:r w:rsidR="08206554" w:rsidRPr="003D1E07">
        <w:instrText xml:space="preserve">" </w:instrText>
      </w:r>
      <w:r w:rsidR="08206554" w:rsidRPr="003D1E07">
        <w:rPr>
          <w:lang w:eastAsia="en-US"/>
        </w:rPr>
        <w:fldChar w:fldCharType="end"/>
      </w:r>
      <w:r w:rsidR="08C23985" w:rsidRPr="003D1E07">
        <w:rPr>
          <w:lang w:eastAsia="en-US"/>
        </w:rPr>
        <w:t>.</w:t>
      </w:r>
      <w:r w:rsidR="00AF4438" w:rsidRPr="003D1E07">
        <w:rPr>
          <w:lang w:eastAsia="en-US"/>
        </w:rPr>
        <w:t xml:space="preserve"> </w:t>
      </w:r>
      <w:r w:rsidR="00CD5F56" w:rsidRPr="003D1E07">
        <w:rPr>
          <w:lang w:eastAsia="en-US"/>
        </w:rPr>
        <w:t xml:space="preserve">Heidegger </w:t>
      </w:r>
      <w:r w:rsidR="08F128C2" w:rsidRPr="003D1E07">
        <w:rPr>
          <w:lang w:eastAsia="en-US"/>
        </w:rPr>
        <w:t xml:space="preserve">označuje </w:t>
      </w:r>
      <w:r w:rsidR="00CD5F56" w:rsidRPr="003D1E07">
        <w:rPr>
          <w:lang w:eastAsia="en-US"/>
        </w:rPr>
        <w:t>specifické d</w:t>
      </w:r>
      <w:r w:rsidR="00071E30" w:rsidRPr="003D1E07">
        <w:rPr>
          <w:lang w:eastAsia="en-US"/>
        </w:rPr>
        <w:t xml:space="preserve">ění pravdy vztažené k </w:t>
      </w:r>
      <w:r w:rsidR="00CD5F56" w:rsidRPr="003D1E07">
        <w:rPr>
          <w:lang w:eastAsia="en-US"/>
        </w:rPr>
        <w:t xml:space="preserve">události </w:t>
      </w:r>
      <w:r w:rsidR="00DE647B" w:rsidRPr="003D1E07">
        <w:rPr>
          <w:lang w:eastAsia="en-US"/>
        </w:rPr>
        <w:t xml:space="preserve">epochálního </w:t>
      </w:r>
      <w:r w:rsidR="00CD5F56" w:rsidRPr="003D1E07">
        <w:rPr>
          <w:lang w:eastAsia="en-US"/>
        </w:rPr>
        <w:t xml:space="preserve">skrývání a poodkrývání </w:t>
      </w:r>
      <w:r w:rsidR="089B54B4" w:rsidRPr="003D1E07">
        <w:rPr>
          <w:lang w:eastAsia="en-US"/>
        </w:rPr>
        <w:t xml:space="preserve">pravdy </w:t>
      </w:r>
      <w:r w:rsidR="00071E30" w:rsidRPr="003D1E07">
        <w:rPr>
          <w:lang w:eastAsia="en-US"/>
        </w:rPr>
        <w:t xml:space="preserve">termínem </w:t>
      </w:r>
      <w:r w:rsidR="00CD5F56" w:rsidRPr="003D1E07">
        <w:rPr>
          <w:i/>
          <w:lang w:eastAsia="en-US"/>
        </w:rPr>
        <w:t>Lichtung</w:t>
      </w:r>
      <w:r w:rsidR="08315723" w:rsidRPr="003D1E07">
        <w:rPr>
          <w:i/>
        </w:rPr>
        <w:fldChar w:fldCharType="begin"/>
      </w:r>
      <w:r w:rsidR="08315723" w:rsidRPr="003D1E07">
        <w:instrText xml:space="preserve"> XE "</w:instrText>
      </w:r>
      <w:r w:rsidR="08315723" w:rsidRPr="003D1E07">
        <w:rPr>
          <w:i/>
        </w:rPr>
        <w:instrText>Lichtung</w:instrText>
      </w:r>
      <w:r w:rsidR="08315723" w:rsidRPr="003D1E07">
        <w:instrText xml:space="preserve">:Heidegger" </w:instrText>
      </w:r>
      <w:r w:rsidR="08315723" w:rsidRPr="003D1E07">
        <w:rPr>
          <w:i/>
        </w:rPr>
        <w:fldChar w:fldCharType="end"/>
      </w:r>
      <w:r w:rsidR="00CD5F56" w:rsidRPr="003D1E07">
        <w:rPr>
          <w:lang w:eastAsia="en-US"/>
        </w:rPr>
        <w:t>.</w:t>
      </w:r>
      <w:r w:rsidR="08315723" w:rsidRPr="003D1E07">
        <w:rPr>
          <w:lang w:eastAsia="en-US"/>
        </w:rPr>
        <w:t xml:space="preserve"> </w:t>
      </w:r>
      <w:r w:rsidR="00071E30" w:rsidRPr="003D1E07">
        <w:rPr>
          <w:lang w:eastAsia="en-US"/>
        </w:rPr>
        <w:t xml:space="preserve">Tento výraz </w:t>
      </w:r>
      <w:r w:rsidR="08E65527" w:rsidRPr="003D1E07">
        <w:rPr>
          <w:lang w:eastAsia="en-US"/>
        </w:rPr>
        <w:t xml:space="preserve">je dvakrát zmíněn již v díle </w:t>
      </w:r>
      <w:r w:rsidR="08E65527" w:rsidRPr="003D1E07">
        <w:rPr>
          <w:i/>
          <w:lang w:eastAsia="en-US"/>
        </w:rPr>
        <w:t>Bytí a čas</w:t>
      </w:r>
      <w:r w:rsidR="00151018" w:rsidRPr="003D1E07">
        <w:rPr>
          <w:lang w:eastAsia="en-US"/>
        </w:rPr>
        <w:t xml:space="preserve">, kde představuje </w:t>
      </w:r>
      <w:r w:rsidR="08D96A5B" w:rsidRPr="003D1E07">
        <w:rPr>
          <w:lang w:eastAsia="en-US"/>
        </w:rPr>
        <w:t xml:space="preserve">existenciální </w:t>
      </w:r>
      <w:r w:rsidR="00151018" w:rsidRPr="003D1E07">
        <w:rPr>
          <w:lang w:eastAsia="en-US"/>
        </w:rPr>
        <w:t xml:space="preserve">modifikaci scholastického </w:t>
      </w:r>
      <w:r w:rsidR="08E65527" w:rsidRPr="003D1E07">
        <w:rPr>
          <w:lang w:eastAsia="en-US"/>
        </w:rPr>
        <w:t>termín</w:t>
      </w:r>
      <w:r w:rsidR="00151018" w:rsidRPr="003D1E07">
        <w:rPr>
          <w:lang w:eastAsia="en-US"/>
        </w:rPr>
        <w:t>u</w:t>
      </w:r>
      <w:r w:rsidR="08E65527" w:rsidRPr="003D1E07">
        <w:rPr>
          <w:lang w:eastAsia="en-US"/>
        </w:rPr>
        <w:t xml:space="preserve"> </w:t>
      </w:r>
      <w:r w:rsidR="08E65527" w:rsidRPr="003D1E07">
        <w:rPr>
          <w:i/>
          <w:lang w:eastAsia="en-US"/>
        </w:rPr>
        <w:t>lumen naturale</w:t>
      </w:r>
      <w:r w:rsidR="08E65527" w:rsidRPr="003D1E07">
        <w:rPr>
          <w:lang w:eastAsia="en-US"/>
        </w:rPr>
        <w:t xml:space="preserve"> </w:t>
      </w:r>
      <w:r w:rsidR="00785D01" w:rsidRPr="003D1E07">
        <w:rPr>
          <w:lang w:eastAsia="en-US"/>
        </w:rPr>
        <w:t xml:space="preserve">(SZ </w:t>
      </w:r>
      <w:r w:rsidR="00773296" w:rsidRPr="003D1E07">
        <w:rPr>
          <w:lang w:eastAsia="en-US"/>
        </w:rPr>
        <w:t>170</w:t>
      </w:r>
      <w:r w:rsidR="0020260D" w:rsidRPr="003D1E07">
        <w:fldChar w:fldCharType="begin"/>
      </w:r>
      <w:r w:rsidR="0020260D" w:rsidRPr="003D1E07">
        <w:instrText xml:space="preserve"> XE "Heidegger:SZ 170" </w:instrText>
      </w:r>
      <w:r w:rsidR="0020260D" w:rsidRPr="003D1E07">
        <w:fldChar w:fldCharType="end"/>
      </w:r>
      <w:r w:rsidR="00773296" w:rsidRPr="003D1E07">
        <w:rPr>
          <w:lang w:eastAsia="en-US"/>
        </w:rPr>
        <w:t>)</w:t>
      </w:r>
      <w:r w:rsidR="08E65527" w:rsidRPr="003D1E07">
        <w:rPr>
          <w:lang w:eastAsia="en-US"/>
        </w:rPr>
        <w:t xml:space="preserve">. </w:t>
      </w:r>
      <w:r w:rsidR="00151018" w:rsidRPr="003D1E07">
        <w:rPr>
          <w:lang w:eastAsia="en-US"/>
        </w:rPr>
        <w:t xml:space="preserve">Existence </w:t>
      </w:r>
      <w:r w:rsidR="0000195F" w:rsidRPr="003D1E07">
        <w:rPr>
          <w:lang w:eastAsia="en-US"/>
        </w:rPr>
        <w:t xml:space="preserve">v </w:t>
      </w:r>
      <w:r w:rsidR="007B36A1" w:rsidRPr="003D1E07">
        <w:rPr>
          <w:lang w:eastAsia="en-US"/>
        </w:rPr>
        <w:t>primární</w:t>
      </w:r>
      <w:r w:rsidR="000569A2" w:rsidRPr="003D1E07">
        <w:rPr>
          <w:lang w:eastAsia="en-US"/>
        </w:rPr>
        <w:t>m</w:t>
      </w:r>
      <w:r w:rsidR="007B36A1" w:rsidRPr="003D1E07">
        <w:rPr>
          <w:lang w:eastAsia="en-US"/>
        </w:rPr>
        <w:t xml:space="preserve"> </w:t>
      </w:r>
      <w:r w:rsidR="0000195F" w:rsidRPr="003D1E07">
        <w:rPr>
          <w:lang w:eastAsia="en-US"/>
        </w:rPr>
        <w:t xml:space="preserve">modu </w:t>
      </w:r>
      <w:r w:rsidR="0000195F" w:rsidRPr="003D1E07">
        <w:rPr>
          <w:i/>
          <w:lang w:eastAsia="en-US"/>
        </w:rPr>
        <w:t>Dasein</w:t>
      </w:r>
      <w:r w:rsidR="0000195F" w:rsidRPr="003D1E07">
        <w:rPr>
          <w:lang w:eastAsia="en-US"/>
        </w:rPr>
        <w:t xml:space="preserve"> </w:t>
      </w:r>
      <w:r w:rsidR="00151018" w:rsidRPr="003D1E07">
        <w:rPr>
          <w:lang w:eastAsia="en-US"/>
        </w:rPr>
        <w:t xml:space="preserve">vidí svět jako každodenně daný, ale nevidí </w:t>
      </w:r>
      <w:r w:rsidR="088C217D" w:rsidRPr="003D1E07">
        <w:rPr>
          <w:lang w:eastAsia="en-US"/>
        </w:rPr>
        <w:t xml:space="preserve">ontologický </w:t>
      </w:r>
      <w:r w:rsidR="08521FC9" w:rsidRPr="003D1E07">
        <w:rPr>
          <w:lang w:eastAsia="en-US"/>
        </w:rPr>
        <w:t xml:space="preserve">způsob, </w:t>
      </w:r>
      <w:r w:rsidR="08446718" w:rsidRPr="003D1E07">
        <w:rPr>
          <w:lang w:eastAsia="en-US"/>
        </w:rPr>
        <w:t>j</w:t>
      </w:r>
      <w:r w:rsidR="088C217D" w:rsidRPr="003D1E07">
        <w:rPr>
          <w:lang w:eastAsia="en-US"/>
        </w:rPr>
        <w:t>ak</w:t>
      </w:r>
      <w:r w:rsidR="00151018" w:rsidRPr="003D1E07">
        <w:rPr>
          <w:lang w:eastAsia="en-US"/>
        </w:rPr>
        <w:t xml:space="preserve"> je dána pravdivá přítomnost jsoucna ve světě.</w:t>
      </w:r>
      <w:r w:rsidR="00151018" w:rsidRPr="003D1E07">
        <w:rPr>
          <w:rStyle w:val="Znakapoznpodarou"/>
          <w:lang w:eastAsia="en-US"/>
        </w:rPr>
        <w:footnoteReference w:id="21"/>
      </w:r>
      <w:r w:rsidR="00151018" w:rsidRPr="003D1E07">
        <w:rPr>
          <w:lang w:eastAsia="en-US"/>
        </w:rPr>
        <w:t xml:space="preserve"> </w:t>
      </w:r>
      <w:r w:rsidR="086A53A8" w:rsidRPr="003D1E07">
        <w:rPr>
          <w:lang w:eastAsia="en-US"/>
        </w:rPr>
        <w:t xml:space="preserve">Původní smysl celku jsoucna existuje ve dvojí excentrické pozici dané mimo objektivní náhled v modu vědecké či každodenní ustaranosti (kap. 1). </w:t>
      </w:r>
      <w:r w:rsidR="0803078C" w:rsidRPr="003D1E07">
        <w:rPr>
          <w:lang w:eastAsia="en-US"/>
        </w:rPr>
        <w:t xml:space="preserve">Přijetí </w:t>
      </w:r>
      <w:r w:rsidR="08A33790" w:rsidRPr="003D1E07">
        <w:rPr>
          <w:lang w:eastAsia="en-US"/>
        </w:rPr>
        <w:t>vlastní konečnosti</w:t>
      </w:r>
      <w:r w:rsidR="0803078C" w:rsidRPr="003D1E07">
        <w:rPr>
          <w:lang w:eastAsia="en-US"/>
        </w:rPr>
        <w:t xml:space="preserve"> znamená, že existence </w:t>
      </w:r>
      <w:r w:rsidR="08493187" w:rsidRPr="003D1E07">
        <w:rPr>
          <w:lang w:eastAsia="en-US"/>
        </w:rPr>
        <w:t xml:space="preserve">chápe smysl jsoucna </w:t>
      </w:r>
      <w:r w:rsidR="083945B4" w:rsidRPr="003D1E07">
        <w:rPr>
          <w:lang w:eastAsia="en-US"/>
        </w:rPr>
        <w:t>v otevřenosti světa postaveného mimo objektivitu (</w:t>
      </w:r>
      <w:r w:rsidR="083945B4" w:rsidRPr="003D1E07">
        <w:rPr>
          <w:i/>
          <w:lang w:eastAsia="en-US"/>
        </w:rPr>
        <w:t>Erschlossenheit</w:t>
      </w:r>
      <w:r w:rsidR="083945B4" w:rsidRPr="003D1E07">
        <w:rPr>
          <w:lang w:eastAsia="en-US"/>
        </w:rPr>
        <w:t xml:space="preserve">) a také v modu existenciální otevřenosti </w:t>
      </w:r>
      <w:r w:rsidR="083945B4" w:rsidRPr="003D1E07">
        <w:rPr>
          <w:i/>
          <w:lang w:eastAsia="en-US"/>
        </w:rPr>
        <w:t>Dasein</w:t>
      </w:r>
      <w:r w:rsidR="083945B4" w:rsidRPr="003D1E07">
        <w:rPr>
          <w:lang w:eastAsia="en-US"/>
        </w:rPr>
        <w:t xml:space="preserve"> daného mimo subjektivitu (</w:t>
      </w:r>
      <w:r w:rsidR="083945B4" w:rsidRPr="003D1E07">
        <w:rPr>
          <w:i/>
          <w:lang w:eastAsia="en-US"/>
        </w:rPr>
        <w:t>Entschlossenheit</w:t>
      </w:r>
      <w:r w:rsidR="083945B4" w:rsidRPr="003D1E07">
        <w:rPr>
          <w:lang w:eastAsia="en-US"/>
        </w:rPr>
        <w:t xml:space="preserve">). </w:t>
      </w:r>
      <w:r w:rsidR="08197F1B" w:rsidRPr="003D1E07">
        <w:rPr>
          <w:lang w:eastAsia="en-US"/>
        </w:rPr>
        <w:t xml:space="preserve">Konečná </w:t>
      </w:r>
      <w:r w:rsidR="088C217D" w:rsidRPr="003D1E07">
        <w:rPr>
          <w:lang w:eastAsia="en-US"/>
        </w:rPr>
        <w:t xml:space="preserve">existence si skrze vrženost do světa rozumí novým způsobem a nově vidí svět. </w:t>
      </w:r>
      <w:r w:rsidR="086876D5" w:rsidRPr="003D1E07">
        <w:rPr>
          <w:lang w:eastAsia="en-US"/>
        </w:rPr>
        <w:t>N</w:t>
      </w:r>
      <w:r w:rsidR="084D1BEC" w:rsidRPr="003D1E07">
        <w:rPr>
          <w:lang w:eastAsia="en-US"/>
        </w:rPr>
        <w:t>ová zjev</w:t>
      </w:r>
      <w:r w:rsidR="086876D5" w:rsidRPr="003D1E07">
        <w:rPr>
          <w:lang w:eastAsia="en-US"/>
        </w:rPr>
        <w:t xml:space="preserve">nost světa prozařuje </w:t>
      </w:r>
      <w:r w:rsidR="086876D5" w:rsidRPr="003D1E07">
        <w:rPr>
          <w:i/>
          <w:lang w:eastAsia="en-US"/>
        </w:rPr>
        <w:t>Dasein</w:t>
      </w:r>
      <w:r w:rsidR="086876D5" w:rsidRPr="003D1E07">
        <w:rPr>
          <w:lang w:eastAsia="en-US"/>
        </w:rPr>
        <w:t xml:space="preserve"> existenciá</w:t>
      </w:r>
      <w:r w:rsidR="084D1BEC" w:rsidRPr="003D1E07">
        <w:rPr>
          <w:lang w:eastAsia="en-US"/>
        </w:rPr>
        <w:t xml:space="preserve">lní otevřeností pro </w:t>
      </w:r>
      <w:r w:rsidR="08020844" w:rsidRPr="003D1E07">
        <w:rPr>
          <w:lang w:eastAsia="en-US"/>
        </w:rPr>
        <w:t xml:space="preserve">celkové </w:t>
      </w:r>
      <w:r w:rsidR="084D1BEC" w:rsidRPr="003D1E07">
        <w:rPr>
          <w:lang w:eastAsia="en-US"/>
        </w:rPr>
        <w:t>dění smyslu</w:t>
      </w:r>
      <w:r w:rsidR="08020844" w:rsidRPr="003D1E07">
        <w:rPr>
          <w:lang w:eastAsia="en-US"/>
        </w:rPr>
        <w:t xml:space="preserve"> bytí</w:t>
      </w:r>
      <w:r w:rsidR="084D1BEC" w:rsidRPr="003D1E07">
        <w:rPr>
          <w:lang w:eastAsia="en-US"/>
        </w:rPr>
        <w:t xml:space="preserve">. </w:t>
      </w:r>
      <w:r w:rsidR="089659C9" w:rsidRPr="003D1E07">
        <w:rPr>
          <w:lang w:eastAsia="en-US"/>
        </w:rPr>
        <w:t xml:space="preserve">Ale fenomén </w:t>
      </w:r>
      <w:r w:rsidR="089659C9" w:rsidRPr="003D1E07">
        <w:rPr>
          <w:i/>
          <w:lang w:eastAsia="en-US"/>
        </w:rPr>
        <w:t>Lichtung</w:t>
      </w:r>
      <w:r w:rsidR="089659C9" w:rsidRPr="003D1E07">
        <w:rPr>
          <w:lang w:eastAsia="en-US"/>
        </w:rPr>
        <w:t xml:space="preserve"> </w:t>
      </w:r>
      <w:r w:rsidR="084D1BEC" w:rsidRPr="003D1E07">
        <w:rPr>
          <w:lang w:eastAsia="en-US"/>
        </w:rPr>
        <w:t xml:space="preserve">je v </w:t>
      </w:r>
      <w:r w:rsidR="086876D5" w:rsidRPr="003D1E07">
        <w:rPr>
          <w:lang w:eastAsia="en-US"/>
        </w:rPr>
        <w:t xml:space="preserve">díle </w:t>
      </w:r>
      <w:r w:rsidR="086876D5" w:rsidRPr="003D1E07">
        <w:rPr>
          <w:i/>
          <w:lang w:eastAsia="en-US"/>
        </w:rPr>
        <w:t>Bytí a čas</w:t>
      </w:r>
      <w:r w:rsidR="086876D5" w:rsidRPr="003D1E07">
        <w:rPr>
          <w:lang w:eastAsia="en-US"/>
        </w:rPr>
        <w:t xml:space="preserve"> </w:t>
      </w:r>
      <w:r w:rsidR="08020844" w:rsidRPr="003D1E07">
        <w:rPr>
          <w:lang w:eastAsia="en-US"/>
        </w:rPr>
        <w:t xml:space="preserve">stále ještě </w:t>
      </w:r>
      <w:r w:rsidR="084D1BEC" w:rsidRPr="003D1E07">
        <w:rPr>
          <w:lang w:eastAsia="en-US"/>
        </w:rPr>
        <w:t>inte</w:t>
      </w:r>
      <w:r w:rsidR="08020844" w:rsidRPr="003D1E07">
        <w:rPr>
          <w:lang w:eastAsia="en-US"/>
        </w:rPr>
        <w:t>r</w:t>
      </w:r>
      <w:r w:rsidR="089659C9" w:rsidRPr="003D1E07">
        <w:rPr>
          <w:lang w:eastAsia="en-US"/>
        </w:rPr>
        <w:t>pretován</w:t>
      </w:r>
      <w:r w:rsidR="084D1BEC" w:rsidRPr="003D1E07">
        <w:rPr>
          <w:lang w:eastAsia="en-US"/>
        </w:rPr>
        <w:t xml:space="preserve"> </w:t>
      </w:r>
      <w:r w:rsidR="08E24588" w:rsidRPr="003D1E07">
        <w:rPr>
          <w:lang w:eastAsia="en-US"/>
        </w:rPr>
        <w:t>na základě K</w:t>
      </w:r>
      <w:r w:rsidR="086876D5" w:rsidRPr="003D1E07">
        <w:rPr>
          <w:lang w:eastAsia="en-US"/>
        </w:rPr>
        <w:t>antov</w:t>
      </w:r>
      <w:r w:rsidR="08E24588" w:rsidRPr="003D1E07">
        <w:rPr>
          <w:lang w:eastAsia="en-US"/>
        </w:rPr>
        <w:t>a</w:t>
      </w:r>
      <w:r w:rsidR="086876D5" w:rsidRPr="003D1E07">
        <w:rPr>
          <w:lang w:eastAsia="en-US"/>
        </w:rPr>
        <w:t xml:space="preserve"> </w:t>
      </w:r>
      <w:r w:rsidR="08E24588" w:rsidRPr="003D1E07">
        <w:rPr>
          <w:lang w:eastAsia="en-US"/>
        </w:rPr>
        <w:t xml:space="preserve">transcendentálního </w:t>
      </w:r>
      <w:r w:rsidR="086876D5" w:rsidRPr="003D1E07">
        <w:rPr>
          <w:lang w:eastAsia="en-US"/>
        </w:rPr>
        <w:t xml:space="preserve">subjektu. </w:t>
      </w:r>
      <w:r w:rsidR="0005328E" w:rsidRPr="003D1E07">
        <w:rPr>
          <w:lang w:eastAsia="en-US"/>
        </w:rPr>
        <w:t xml:space="preserve">Metafyzik už takto moudrý není, protože má od Platona ideově-technický náhled na jsoucno. A od Aristotela přijal techniku logického myšlení vztaženou ke kategoriální predikaci substance. </w:t>
      </w:r>
      <w:r w:rsidR="0005328E">
        <w:rPr>
          <w:lang w:eastAsia="en-US"/>
        </w:rPr>
        <w:t xml:space="preserve"> </w:t>
      </w:r>
      <w:r w:rsidR="00C3149C" w:rsidRPr="003D1E07">
        <w:rPr>
          <w:lang w:eastAsia="en-US"/>
        </w:rPr>
        <w:t>Po výkladu Plato</w:t>
      </w:r>
      <w:r w:rsidR="00CD5F56" w:rsidRPr="003D1E07">
        <w:rPr>
          <w:lang w:eastAsia="en-US"/>
        </w:rPr>
        <w:t xml:space="preserve">nova podobenství o jeskyni dostal termín </w:t>
      </w:r>
      <w:r w:rsidR="00CD5F56" w:rsidRPr="003D1E07">
        <w:rPr>
          <w:i/>
          <w:lang w:eastAsia="en-US"/>
        </w:rPr>
        <w:t>Lichtung</w:t>
      </w:r>
      <w:r w:rsidR="009F6FB5" w:rsidRPr="003D1E07">
        <w:rPr>
          <w:lang w:eastAsia="en-US"/>
        </w:rPr>
        <w:t xml:space="preserve"> nový význam postavený </w:t>
      </w:r>
      <w:r w:rsidR="00CD5F56" w:rsidRPr="003D1E07">
        <w:rPr>
          <w:lang w:eastAsia="en-US"/>
        </w:rPr>
        <w:t>mimo analytiku</w:t>
      </w:r>
      <w:r w:rsidR="00EC25E4" w:rsidRPr="003D1E07">
        <w:rPr>
          <w:lang w:eastAsia="en-US"/>
        </w:rPr>
        <w:t xml:space="preserve"> </w:t>
      </w:r>
      <w:r w:rsidR="00EC25E4" w:rsidRPr="003D1E07">
        <w:rPr>
          <w:i/>
          <w:lang w:eastAsia="en-US"/>
        </w:rPr>
        <w:t>Dasein</w:t>
      </w:r>
      <w:r w:rsidR="08DC3ED8" w:rsidRPr="003D1E07">
        <w:rPr>
          <w:i/>
        </w:rPr>
        <w:fldChar w:fldCharType="begin"/>
      </w:r>
      <w:r w:rsidR="08DC3ED8" w:rsidRPr="003D1E07">
        <w:instrText xml:space="preserve"> XE "hermeneutika:</w:instrText>
      </w:r>
      <w:r w:rsidR="08DC3ED8" w:rsidRPr="003D1E07">
        <w:rPr>
          <w:i/>
        </w:rPr>
        <w:instrText>Dasein</w:instrText>
      </w:r>
      <w:r w:rsidR="08DC3ED8" w:rsidRPr="003D1E07">
        <w:instrText xml:space="preserve">" </w:instrText>
      </w:r>
      <w:r w:rsidR="08DC3ED8" w:rsidRPr="003D1E07">
        <w:rPr>
          <w:i/>
        </w:rPr>
        <w:fldChar w:fldCharType="end"/>
      </w:r>
      <w:r w:rsidR="0008654B" w:rsidRPr="003D1E07">
        <w:rPr>
          <w:lang w:eastAsia="en-US"/>
        </w:rPr>
        <w:t xml:space="preserve">. </w:t>
      </w:r>
      <w:r w:rsidR="081F6A32" w:rsidRPr="003D1E07">
        <w:rPr>
          <w:lang w:eastAsia="en-US"/>
        </w:rPr>
        <w:t xml:space="preserve">Výslednou podobu </w:t>
      </w:r>
      <w:r w:rsidR="081F6A32" w:rsidRPr="003D1E07">
        <w:rPr>
          <w:i/>
          <w:lang w:eastAsia="en-US"/>
        </w:rPr>
        <w:t>Lichtung</w:t>
      </w:r>
      <w:r w:rsidR="081F6A32" w:rsidRPr="003D1E07">
        <w:rPr>
          <w:lang w:eastAsia="en-US"/>
        </w:rPr>
        <w:t xml:space="preserve"> ukazuje zamyšlení </w:t>
      </w:r>
      <w:r w:rsidR="081F6A32" w:rsidRPr="003D1E07">
        <w:rPr>
          <w:i/>
          <w:lang w:eastAsia="en-US"/>
        </w:rPr>
        <w:t>Das Ende der Philosophie und die Aufgabe des Denkens</w:t>
      </w:r>
      <w:r w:rsidR="081F6A32" w:rsidRPr="003D1E07">
        <w:rPr>
          <w:lang w:eastAsia="en-US"/>
        </w:rPr>
        <w:t xml:space="preserve"> </w:t>
      </w:r>
      <w:r w:rsidR="081F6A32" w:rsidRPr="003D1E07">
        <w:rPr>
          <w:lang w:eastAsia="en-US"/>
        </w:rPr>
        <w:lastRenderedPageBreak/>
        <w:t xml:space="preserve">(1964). </w:t>
      </w:r>
      <w:r w:rsidR="088C117D" w:rsidRPr="003D1E07">
        <w:rPr>
          <w:lang w:eastAsia="en-US"/>
        </w:rPr>
        <w:t xml:space="preserve">Heidegger připomíná, že tato skytá zjevnost </w:t>
      </w:r>
      <w:r w:rsidR="089F4C15" w:rsidRPr="003D1E07">
        <w:rPr>
          <w:lang w:eastAsia="en-US"/>
        </w:rPr>
        <w:t xml:space="preserve">pravdy </w:t>
      </w:r>
      <w:r w:rsidR="088C117D" w:rsidRPr="003D1E07">
        <w:rPr>
          <w:lang w:eastAsia="en-US"/>
        </w:rPr>
        <w:t xml:space="preserve">není založena skrze subjektivní </w:t>
      </w:r>
      <w:r w:rsidR="089F4C15" w:rsidRPr="003D1E07">
        <w:rPr>
          <w:lang w:eastAsia="en-US"/>
        </w:rPr>
        <w:t>svět</w:t>
      </w:r>
      <w:r w:rsidR="088C117D" w:rsidRPr="003D1E07">
        <w:rPr>
          <w:lang w:eastAsia="en-US"/>
        </w:rPr>
        <w:t>lo přirozeného rozumu. Nová cesta k</w:t>
      </w:r>
      <w:r w:rsidR="08CE0D44" w:rsidRPr="003D1E07">
        <w:rPr>
          <w:lang w:eastAsia="en-US"/>
        </w:rPr>
        <w:t xml:space="preserve"> archaické sounaležitosti </w:t>
      </w:r>
      <w:r w:rsidR="088C117D" w:rsidRPr="003D1E07">
        <w:rPr>
          <w:lang w:eastAsia="en-US"/>
        </w:rPr>
        <w:t xml:space="preserve">bytí </w:t>
      </w:r>
      <w:r w:rsidR="08CE0D44" w:rsidRPr="003D1E07">
        <w:rPr>
          <w:lang w:eastAsia="en-US"/>
        </w:rPr>
        <w:t xml:space="preserve">a myšlení </w:t>
      </w:r>
      <w:r w:rsidR="088C117D" w:rsidRPr="003D1E07">
        <w:rPr>
          <w:lang w:eastAsia="en-US"/>
        </w:rPr>
        <w:t xml:space="preserve">skrze Parmenidovo múzické pojetí bohyně Alétheia ukazuje </w:t>
      </w:r>
      <w:r w:rsidR="088C117D" w:rsidRPr="003D1E07">
        <w:rPr>
          <w:i/>
          <w:lang w:eastAsia="en-US"/>
        </w:rPr>
        <w:t>Lichtung</w:t>
      </w:r>
      <w:r w:rsidR="088C117D" w:rsidRPr="003D1E07">
        <w:rPr>
          <w:lang w:eastAsia="en-US"/>
        </w:rPr>
        <w:t xml:space="preserve"> </w:t>
      </w:r>
      <w:r w:rsidR="089F4C15" w:rsidRPr="003D1E07">
        <w:rPr>
          <w:lang w:eastAsia="en-US"/>
        </w:rPr>
        <w:t xml:space="preserve">jako původní </w:t>
      </w:r>
      <w:r w:rsidR="088C117D" w:rsidRPr="003D1E07">
        <w:rPr>
          <w:lang w:eastAsia="en-US"/>
        </w:rPr>
        <w:t xml:space="preserve">místo </w:t>
      </w:r>
      <w:r w:rsidR="089F4C15" w:rsidRPr="003D1E07">
        <w:rPr>
          <w:lang w:eastAsia="en-US"/>
        </w:rPr>
        <w:t>odkrytosti bytí.</w:t>
      </w:r>
      <w:r w:rsidR="089F4C15" w:rsidRPr="003D1E07">
        <w:rPr>
          <w:rStyle w:val="Znakapoznpodarou"/>
          <w:lang w:eastAsia="en-US"/>
        </w:rPr>
        <w:footnoteReference w:id="22"/>
      </w:r>
      <w:r w:rsidR="089F4C15" w:rsidRPr="003D1E07">
        <w:rPr>
          <w:lang w:eastAsia="en-US"/>
        </w:rPr>
        <w:t xml:space="preserve"> </w:t>
      </w:r>
      <w:r w:rsidR="08DA52B0" w:rsidRPr="003D1E07">
        <w:rPr>
          <w:lang w:eastAsia="en-US"/>
        </w:rPr>
        <w:t xml:space="preserve">Termín </w:t>
      </w:r>
      <w:r w:rsidR="08DA52B0" w:rsidRPr="003D1E07">
        <w:rPr>
          <w:i/>
          <w:lang w:eastAsia="en-US"/>
        </w:rPr>
        <w:t>Lichtung</w:t>
      </w:r>
      <w:r w:rsidR="08DA52B0" w:rsidRPr="003D1E07">
        <w:rPr>
          <w:i/>
        </w:rPr>
        <w:fldChar w:fldCharType="begin"/>
      </w:r>
      <w:r w:rsidR="08DA52B0" w:rsidRPr="003D1E07">
        <w:instrText xml:space="preserve"> XE "</w:instrText>
      </w:r>
      <w:r w:rsidR="08DA52B0" w:rsidRPr="003D1E07">
        <w:rPr>
          <w:i/>
          <w:lang w:eastAsia="en-US"/>
        </w:rPr>
        <w:instrText>Lichtung</w:instrText>
      </w:r>
      <w:r w:rsidR="08DA52B0" w:rsidRPr="003D1E07">
        <w:instrText xml:space="preserve">:Heidegger" </w:instrText>
      </w:r>
      <w:r w:rsidR="08DA52B0" w:rsidRPr="003D1E07">
        <w:rPr>
          <w:i/>
        </w:rPr>
        <w:fldChar w:fldCharType="end"/>
      </w:r>
      <w:r w:rsidR="08DA52B0" w:rsidRPr="003D1E07">
        <w:rPr>
          <w:lang w:eastAsia="en-US"/>
        </w:rPr>
        <w:t xml:space="preserve"> představuje </w:t>
      </w:r>
      <w:r w:rsidR="00586022">
        <w:rPr>
          <w:lang w:eastAsia="en-US"/>
        </w:rPr>
        <w:t xml:space="preserve">archaické </w:t>
      </w:r>
      <w:r w:rsidR="00362FF6">
        <w:rPr>
          <w:lang w:eastAsia="en-US"/>
        </w:rPr>
        <w:t>porozumění vztažené</w:t>
      </w:r>
      <w:r w:rsidR="08DA52B0" w:rsidRPr="003D1E07">
        <w:rPr>
          <w:lang w:eastAsia="en-US"/>
        </w:rPr>
        <w:t xml:space="preserve"> k existenci smrtelníka schopného vyložit sounáležitost s přítomným děním samotného bytí. </w:t>
      </w:r>
      <w:r w:rsidR="08380F68" w:rsidRPr="003D1E07">
        <w:rPr>
          <w:lang w:eastAsia="en-US"/>
        </w:rPr>
        <w:t xml:space="preserve">Subjektivní </w:t>
      </w:r>
      <w:r w:rsidR="08380F68" w:rsidRPr="003D1E07">
        <w:rPr>
          <w:i/>
          <w:lang w:eastAsia="en-US"/>
        </w:rPr>
        <w:t>lumen naturale</w:t>
      </w:r>
      <w:r w:rsidR="08380F68" w:rsidRPr="003D1E07">
        <w:rPr>
          <w:lang w:eastAsia="en-US"/>
        </w:rPr>
        <w:t xml:space="preserve"> osvěcuje věci až sekundárně</w:t>
      </w:r>
      <w:r w:rsidR="08D858A1" w:rsidRPr="003D1E07">
        <w:rPr>
          <w:lang w:eastAsia="en-US"/>
        </w:rPr>
        <w:t xml:space="preserve">, proto nepatří k původnímu fenoménu </w:t>
      </w:r>
      <w:r w:rsidR="08D858A1" w:rsidRPr="003D1E07">
        <w:rPr>
          <w:i/>
          <w:lang w:eastAsia="en-US"/>
        </w:rPr>
        <w:t>Lichtung</w:t>
      </w:r>
      <w:r w:rsidR="08380F68" w:rsidRPr="003D1E07">
        <w:rPr>
          <w:lang w:eastAsia="en-US"/>
        </w:rPr>
        <w:t xml:space="preserve">. </w:t>
      </w:r>
      <w:r w:rsidR="080A1A57" w:rsidRPr="003D1E07">
        <w:rPr>
          <w:lang w:eastAsia="en-US"/>
        </w:rPr>
        <w:t xml:space="preserve">Základní </w:t>
      </w:r>
      <w:r w:rsidR="083A76DF" w:rsidRPr="003D1E07">
        <w:rPr>
          <w:lang w:eastAsia="en-US"/>
        </w:rPr>
        <w:t xml:space="preserve">význam </w:t>
      </w:r>
      <w:r w:rsidR="088F19C0" w:rsidRPr="003D1E07">
        <w:rPr>
          <w:lang w:eastAsia="en-US"/>
        </w:rPr>
        <w:t xml:space="preserve">německého </w:t>
      </w:r>
      <w:r w:rsidR="083A76DF" w:rsidRPr="003D1E07">
        <w:rPr>
          <w:lang w:eastAsia="en-US"/>
        </w:rPr>
        <w:t xml:space="preserve">slova </w:t>
      </w:r>
      <w:r w:rsidR="083A76DF" w:rsidRPr="003D1E07">
        <w:rPr>
          <w:i/>
          <w:lang w:eastAsia="en-US"/>
        </w:rPr>
        <w:t>Lichtung</w:t>
      </w:r>
      <w:r w:rsidR="083A76DF" w:rsidRPr="003D1E07">
        <w:rPr>
          <w:lang w:eastAsia="en-US"/>
        </w:rPr>
        <w:t xml:space="preserve"> odkazuje na světlinu nebo mýtinu v lese, která díky volnému prostoru </w:t>
      </w:r>
      <w:r w:rsidR="08B11596" w:rsidRPr="003D1E07">
        <w:rPr>
          <w:lang w:eastAsia="en-US"/>
        </w:rPr>
        <w:t xml:space="preserve">manifestuje nejen věci, ale také </w:t>
      </w:r>
      <w:r w:rsidR="083A76DF" w:rsidRPr="003D1E07">
        <w:rPr>
          <w:lang w:eastAsia="en-US"/>
        </w:rPr>
        <w:t>hru světla a stínu. Světlina či mýtina v lese ohraničuje prostor zjevování</w:t>
      </w:r>
      <w:r w:rsidR="08631CC7" w:rsidRPr="003D1E07">
        <w:rPr>
          <w:lang w:eastAsia="en-US"/>
        </w:rPr>
        <w:t xml:space="preserve">, protože určuje to, co </w:t>
      </w:r>
      <w:r w:rsidR="083A76DF" w:rsidRPr="003D1E07">
        <w:rPr>
          <w:lang w:eastAsia="en-US"/>
        </w:rPr>
        <w:t xml:space="preserve">v kontrastu s takto danou </w:t>
      </w:r>
      <w:r w:rsidR="08631CC7" w:rsidRPr="003D1E07">
        <w:rPr>
          <w:lang w:eastAsia="en-US"/>
        </w:rPr>
        <w:t xml:space="preserve">hrou světla a stínu </w:t>
      </w:r>
      <w:r w:rsidR="083A76DF" w:rsidRPr="003D1E07">
        <w:rPr>
          <w:lang w:eastAsia="en-US"/>
        </w:rPr>
        <w:t>zůstává trvale skryté a nezjevné (GA 14, 80</w:t>
      </w:r>
      <w:r w:rsidR="083A76DF" w:rsidRPr="003D1E07">
        <w:fldChar w:fldCharType="begin"/>
      </w:r>
      <w:r w:rsidR="083A76DF" w:rsidRPr="003D1E07">
        <w:instrText xml:space="preserve"> XE "Heidegger:GA 14, 80" </w:instrText>
      </w:r>
      <w:r w:rsidR="083A76DF" w:rsidRPr="003D1E07">
        <w:fldChar w:fldCharType="end"/>
      </w:r>
      <w:r w:rsidR="083A76DF" w:rsidRPr="003D1E07">
        <w:rPr>
          <w:lang w:eastAsia="en-US"/>
        </w:rPr>
        <w:t xml:space="preserve">). </w:t>
      </w:r>
      <w:r w:rsidR="087675BC" w:rsidRPr="003D1E07">
        <w:rPr>
          <w:lang w:eastAsia="en-US"/>
        </w:rPr>
        <w:t xml:space="preserve">Epochální působení </w:t>
      </w:r>
      <w:r w:rsidR="087675BC" w:rsidRPr="003D1E07">
        <w:rPr>
          <w:i/>
          <w:lang w:eastAsia="en-US"/>
        </w:rPr>
        <w:t>Lichtung</w:t>
      </w:r>
      <w:r w:rsidR="087675BC" w:rsidRPr="003D1E07">
        <w:rPr>
          <w:lang w:eastAsia="en-US"/>
        </w:rPr>
        <w:t xml:space="preserve"> dává věcem zjevnost a nezjevno</w:t>
      </w:r>
      <w:r w:rsidR="08E17442" w:rsidRPr="003D1E07">
        <w:rPr>
          <w:lang w:eastAsia="en-US"/>
        </w:rPr>
        <w:t xml:space="preserve">st. Tyto obě podoby pravdy stojí </w:t>
      </w:r>
      <w:r w:rsidR="08F91D08" w:rsidRPr="003D1E07">
        <w:rPr>
          <w:lang w:eastAsia="en-US"/>
        </w:rPr>
        <w:t xml:space="preserve">mimo </w:t>
      </w:r>
      <w:r w:rsidR="08105AE2" w:rsidRPr="003D1E07">
        <w:rPr>
          <w:lang w:eastAsia="en-US"/>
        </w:rPr>
        <w:t xml:space="preserve">subjektivní </w:t>
      </w:r>
      <w:r w:rsidR="08F91D08" w:rsidRPr="003D1E07">
        <w:rPr>
          <w:lang w:eastAsia="en-US"/>
        </w:rPr>
        <w:t>pojetí</w:t>
      </w:r>
      <w:r w:rsidR="087675BC" w:rsidRPr="003D1E07">
        <w:rPr>
          <w:lang w:eastAsia="en-US"/>
        </w:rPr>
        <w:t xml:space="preserve"> pravdy</w:t>
      </w:r>
      <w:r w:rsidR="08105AE2" w:rsidRPr="003D1E07">
        <w:rPr>
          <w:lang w:eastAsia="en-US"/>
        </w:rPr>
        <w:t xml:space="preserve"> dané v metafyzické formě filosofie</w:t>
      </w:r>
      <w:r w:rsidR="087675BC" w:rsidRPr="003D1E07">
        <w:rPr>
          <w:lang w:eastAsia="en-US"/>
        </w:rPr>
        <w:t>.</w:t>
      </w:r>
      <w:r w:rsidR="08970250" w:rsidRPr="003D1E07">
        <w:rPr>
          <w:lang w:eastAsia="en-US"/>
        </w:rPr>
        <w:t xml:space="preserve"> </w:t>
      </w:r>
    </w:p>
    <w:p w14:paraId="6A0CA525" w14:textId="77777777" w:rsidR="00385CD9" w:rsidRPr="003D1E07" w:rsidRDefault="00385CD9" w:rsidP="08204D8A">
      <w:pPr>
        <w:pStyle w:val="Citace"/>
        <w:rPr>
          <w:noProof/>
          <w:szCs w:val="19"/>
          <w:lang w:val="cs-CZ"/>
        </w:rPr>
      </w:pPr>
      <w:r w:rsidRPr="003D1E07">
        <w:rPr>
          <w:noProof/>
          <w:szCs w:val="19"/>
          <w:lang w:val="cs-CZ"/>
        </w:rPr>
        <w:t>„O světlině (</w:t>
      </w:r>
      <w:r w:rsidRPr="003D1E07">
        <w:rPr>
          <w:i/>
          <w:noProof/>
          <w:szCs w:val="19"/>
          <w:lang w:val="cs-CZ"/>
        </w:rPr>
        <w:t>Lichtung</w:t>
      </w:r>
      <w:r w:rsidRPr="003D1E07">
        <w:rPr>
          <w:noProof/>
          <w:szCs w:val="19"/>
          <w:lang w:val="cs-CZ"/>
        </w:rPr>
        <w:t>) však filosofie nic neví. Filosofie sice mluví o světle rozumu, ale nedbá na světlo samotné</w:t>
      </w:r>
      <w:r w:rsidR="0069397B" w:rsidRPr="003D1E07">
        <w:rPr>
          <w:noProof/>
          <w:szCs w:val="19"/>
          <w:lang w:val="cs-CZ"/>
        </w:rPr>
        <w:t xml:space="preserve">ho bytí. Známé </w:t>
      </w:r>
      <w:r w:rsidR="0069397B" w:rsidRPr="003D1E07">
        <w:rPr>
          <w:i/>
          <w:noProof/>
          <w:szCs w:val="19"/>
          <w:lang w:val="cs-CZ"/>
        </w:rPr>
        <w:t>lumen naturale</w:t>
      </w:r>
      <w:r w:rsidR="0069397B" w:rsidRPr="003D1E07">
        <w:rPr>
          <w:noProof/>
          <w:szCs w:val="19"/>
          <w:lang w:val="cs-CZ"/>
        </w:rPr>
        <w:t xml:space="preserve">, </w:t>
      </w:r>
      <w:r w:rsidRPr="003D1E07">
        <w:rPr>
          <w:noProof/>
          <w:szCs w:val="19"/>
          <w:lang w:val="cs-CZ"/>
        </w:rPr>
        <w:t>světlo rozumu, osvětluje pouze to, co je už otevřeno (</w:t>
      </w:r>
      <w:r w:rsidRPr="003D1E07">
        <w:rPr>
          <w:i/>
          <w:noProof/>
          <w:szCs w:val="19"/>
          <w:lang w:val="cs-CZ"/>
        </w:rPr>
        <w:t>das Offene</w:t>
      </w:r>
      <w:r w:rsidRPr="003D1E07">
        <w:rPr>
          <w:noProof/>
          <w:szCs w:val="19"/>
          <w:lang w:val="cs-CZ"/>
        </w:rPr>
        <w:t>). Tím sice rozum postihuje svě</w:t>
      </w:r>
      <w:r w:rsidR="00DF5718" w:rsidRPr="003D1E07">
        <w:rPr>
          <w:noProof/>
          <w:szCs w:val="19"/>
          <w:lang w:val="cs-CZ"/>
        </w:rPr>
        <w:t>tlinu, ale nijak ji nezakládá</w:t>
      </w:r>
      <w:r w:rsidR="086B2C62" w:rsidRPr="003D1E07">
        <w:rPr>
          <w:noProof/>
          <w:szCs w:val="19"/>
          <w:lang w:val="cs-CZ"/>
        </w:rPr>
        <w:t>. N</w:t>
      </w:r>
      <w:r w:rsidRPr="003D1E07">
        <w:rPr>
          <w:noProof/>
          <w:szCs w:val="19"/>
          <w:lang w:val="cs-CZ"/>
        </w:rPr>
        <w:t xml:space="preserve">aopak ji potřebuje k tomu, aby </w:t>
      </w:r>
      <w:r w:rsidR="082C1B3E" w:rsidRPr="003D1E07">
        <w:rPr>
          <w:noProof/>
          <w:szCs w:val="19"/>
          <w:lang w:val="cs-CZ"/>
        </w:rPr>
        <w:t xml:space="preserve">mohl myslitelsky pojmout </w:t>
      </w:r>
      <w:r w:rsidRPr="003D1E07">
        <w:rPr>
          <w:noProof/>
          <w:szCs w:val="19"/>
          <w:lang w:val="cs-CZ"/>
        </w:rPr>
        <w:t>to</w:t>
      </w:r>
      <w:r w:rsidR="082C1B3E" w:rsidRPr="003D1E07">
        <w:rPr>
          <w:noProof/>
          <w:szCs w:val="19"/>
          <w:lang w:val="cs-CZ"/>
        </w:rPr>
        <w:t>,</w:t>
      </w:r>
      <w:r w:rsidRPr="003D1E07">
        <w:rPr>
          <w:noProof/>
          <w:szCs w:val="19"/>
          <w:lang w:val="cs-CZ"/>
        </w:rPr>
        <w:t xml:space="preserve"> co </w:t>
      </w:r>
      <w:r w:rsidR="081D165B" w:rsidRPr="003D1E07">
        <w:rPr>
          <w:noProof/>
          <w:szCs w:val="19"/>
          <w:lang w:val="cs-CZ"/>
        </w:rPr>
        <w:t>je v prostoru světliny přítomné</w:t>
      </w:r>
      <w:r w:rsidRPr="003D1E07">
        <w:rPr>
          <w:noProof/>
          <w:szCs w:val="19"/>
          <w:lang w:val="cs-CZ"/>
        </w:rPr>
        <w:t xml:space="preserve">. Toto platí nejen pro </w:t>
      </w:r>
      <w:r w:rsidRPr="003D1E07">
        <w:rPr>
          <w:i/>
          <w:noProof/>
          <w:szCs w:val="19"/>
          <w:lang w:val="cs-CZ"/>
        </w:rPr>
        <w:t>metodu</w:t>
      </w:r>
      <w:r w:rsidRPr="003D1E07">
        <w:rPr>
          <w:noProof/>
          <w:szCs w:val="19"/>
          <w:lang w:val="cs-CZ"/>
        </w:rPr>
        <w:t xml:space="preserve"> filosofie, ale především a primárně pro její </w:t>
      </w:r>
      <w:r w:rsidRPr="003D1E07">
        <w:rPr>
          <w:i/>
          <w:noProof/>
          <w:szCs w:val="19"/>
          <w:lang w:val="cs-CZ"/>
        </w:rPr>
        <w:t>věc</w:t>
      </w:r>
      <w:r w:rsidR="08736B07" w:rsidRPr="003D1E07">
        <w:rPr>
          <w:noProof/>
          <w:szCs w:val="19"/>
          <w:lang w:val="cs-CZ"/>
        </w:rPr>
        <w:t>, totiž pro zp</w:t>
      </w:r>
      <w:r w:rsidR="00B7188A" w:rsidRPr="003D1E07">
        <w:rPr>
          <w:noProof/>
          <w:szCs w:val="19"/>
          <w:lang w:val="cs-CZ"/>
        </w:rPr>
        <w:t>řítomňování</w:t>
      </w:r>
      <w:r w:rsidR="08736B07" w:rsidRPr="003D1E07">
        <w:rPr>
          <w:noProof/>
          <w:szCs w:val="19"/>
          <w:lang w:val="cs-CZ"/>
        </w:rPr>
        <w:t xml:space="preserve"> </w:t>
      </w:r>
      <w:r w:rsidR="00DF5718" w:rsidRPr="003D1E07">
        <w:rPr>
          <w:noProof/>
          <w:szCs w:val="19"/>
          <w:lang w:val="cs-CZ"/>
        </w:rPr>
        <w:t xml:space="preserve">toho, co přichází do své </w:t>
      </w:r>
      <w:r w:rsidR="002A0402" w:rsidRPr="003D1E07">
        <w:rPr>
          <w:noProof/>
          <w:szCs w:val="19"/>
          <w:lang w:val="cs-CZ"/>
        </w:rPr>
        <w:t xml:space="preserve">vlastní </w:t>
      </w:r>
      <w:r w:rsidR="00DF5718" w:rsidRPr="003D1E07">
        <w:rPr>
          <w:noProof/>
          <w:szCs w:val="19"/>
          <w:lang w:val="cs-CZ"/>
        </w:rPr>
        <w:t>přítomnosti</w:t>
      </w:r>
      <w:r w:rsidRPr="003D1E07">
        <w:rPr>
          <w:noProof/>
          <w:szCs w:val="19"/>
          <w:lang w:val="cs-CZ"/>
        </w:rPr>
        <w:t>.“</w:t>
      </w:r>
      <w:r w:rsidR="00526989" w:rsidRPr="003D1E07">
        <w:rPr>
          <w:noProof/>
          <w:szCs w:val="19"/>
          <w:lang w:val="cs-CZ"/>
        </w:rPr>
        <w:t> </w:t>
      </w:r>
      <w:r w:rsidRPr="003D1E07">
        <w:rPr>
          <w:rStyle w:val="Znakapoznpodarou"/>
          <w:noProof/>
          <w:szCs w:val="19"/>
          <w:lang w:val="cs-CZ"/>
        </w:rPr>
        <w:footnoteReference w:id="23"/>
      </w:r>
    </w:p>
    <w:p w14:paraId="252CE08B" w14:textId="484F192D" w:rsidR="00A01E5A" w:rsidRDefault="08944399" w:rsidP="00BD2452">
      <w:pPr>
        <w:rPr>
          <w:lang w:eastAsia="en-US"/>
        </w:rPr>
      </w:pPr>
      <w:r w:rsidRPr="003D1E07">
        <w:rPr>
          <w:lang w:eastAsia="en-US"/>
        </w:rPr>
        <w:t xml:space="preserve">Hermeneutika musí po vzoru Heideggera uskutečnit původní </w:t>
      </w:r>
      <w:r w:rsidRPr="003D1E07">
        <w:rPr>
          <w:i/>
          <w:lang w:eastAsia="en-US"/>
        </w:rPr>
        <w:t>epoché</w:t>
      </w:r>
      <w:r w:rsidRPr="003D1E07">
        <w:rPr>
          <w:lang w:eastAsia="en-US"/>
        </w:rPr>
        <w:t xml:space="preserve"> od metafyzické filosofie. Archeologie substance sleduje </w:t>
      </w:r>
      <w:r w:rsidR="089D41BE" w:rsidRPr="003D1E07">
        <w:rPr>
          <w:lang w:eastAsia="en-US"/>
        </w:rPr>
        <w:t>původní formu substance</w:t>
      </w:r>
      <w:r w:rsidRPr="003D1E07">
        <w:rPr>
          <w:lang w:eastAsia="en-US"/>
        </w:rPr>
        <w:t xml:space="preserve"> </w:t>
      </w:r>
      <w:r w:rsidR="089D41BE" w:rsidRPr="003D1E07">
        <w:rPr>
          <w:lang w:eastAsia="en-US"/>
        </w:rPr>
        <w:t xml:space="preserve">v </w:t>
      </w:r>
      <w:r w:rsidRPr="003D1E07">
        <w:rPr>
          <w:lang w:eastAsia="en-US"/>
        </w:rPr>
        <w:t>múzické přítomnosti</w:t>
      </w:r>
      <w:r w:rsidR="089D41BE" w:rsidRPr="003D1E07">
        <w:rPr>
          <w:lang w:eastAsia="en-US"/>
        </w:rPr>
        <w:t xml:space="preserve"> bytí</w:t>
      </w:r>
      <w:r w:rsidRPr="003D1E07">
        <w:rPr>
          <w:lang w:eastAsia="en-US"/>
        </w:rPr>
        <w:t xml:space="preserve">. </w:t>
      </w:r>
      <w:r w:rsidR="089B54B4" w:rsidRPr="003D1E07">
        <w:rPr>
          <w:lang w:eastAsia="en-US"/>
        </w:rPr>
        <w:t xml:space="preserve">Pohled </w:t>
      </w:r>
      <w:r w:rsidRPr="003D1E07">
        <w:rPr>
          <w:lang w:eastAsia="en-US"/>
        </w:rPr>
        <w:t xml:space="preserve">první </w:t>
      </w:r>
      <w:r w:rsidR="089B54B4" w:rsidRPr="003D1E07">
        <w:rPr>
          <w:lang w:eastAsia="en-US"/>
        </w:rPr>
        <w:t xml:space="preserve">filosofie směřuje od skrytého celku bytí k odkrytému bytí jsoucna. </w:t>
      </w:r>
      <w:r w:rsidR="00BD2452" w:rsidRPr="003D1E07">
        <w:rPr>
          <w:lang w:eastAsia="en-US"/>
        </w:rPr>
        <w:t xml:space="preserve">Archaické myšlení poznává celek jsoucna nejen v jeho odkrytosti, ale také v určité formě skrytosti vázané na původní zjevování múzické a tragické pravdy. </w:t>
      </w:r>
      <w:r w:rsidR="089D4ED7" w:rsidRPr="003D1E07">
        <w:rPr>
          <w:lang w:eastAsia="en-US"/>
        </w:rPr>
        <w:t>Hermeneutická moudrost daná apollinskými Delfami předchází epochu metafyziky ustavenou v</w:t>
      </w:r>
      <w:r w:rsidR="00AD43BB">
        <w:rPr>
          <w:lang w:eastAsia="en-US"/>
        </w:rPr>
        <w:t xml:space="preserve"> mytologické </w:t>
      </w:r>
      <w:r w:rsidR="089D4ED7" w:rsidRPr="003D1E07">
        <w:rPr>
          <w:lang w:eastAsia="en-US"/>
        </w:rPr>
        <w:t xml:space="preserve">jeskyni pilných troglodytů, jejichž řemeslné myšlení je osvíceno stálým světlem </w:t>
      </w:r>
      <w:r w:rsidR="00AD43BB">
        <w:rPr>
          <w:lang w:eastAsia="en-US"/>
        </w:rPr>
        <w:t xml:space="preserve">subjektivního </w:t>
      </w:r>
      <w:r w:rsidR="089D4ED7" w:rsidRPr="003D1E07">
        <w:rPr>
          <w:lang w:eastAsia="en-US"/>
        </w:rPr>
        <w:lastRenderedPageBreak/>
        <w:t xml:space="preserve">intelektu. </w:t>
      </w:r>
      <w:r w:rsidR="08F5106F" w:rsidRPr="003D1E07">
        <w:rPr>
          <w:lang w:eastAsia="en-US"/>
        </w:rPr>
        <w:t xml:space="preserve">Hermeneutická archeologie musí najít původní místo </w:t>
      </w:r>
      <w:r w:rsidR="08F5106F" w:rsidRPr="003D1E07">
        <w:rPr>
          <w:i/>
          <w:lang w:eastAsia="en-US"/>
        </w:rPr>
        <w:t>Lichtung</w:t>
      </w:r>
      <w:r w:rsidR="08F5106F" w:rsidRPr="003D1E07">
        <w:rPr>
          <w:lang w:eastAsia="en-US"/>
        </w:rPr>
        <w:t xml:space="preserve"> vzhledem k pythické trojnožce, která ukazuje v modu apollinské séma</w:t>
      </w:r>
      <w:r w:rsidR="08050684" w:rsidRPr="003D1E07">
        <w:rPr>
          <w:lang w:eastAsia="en-US"/>
        </w:rPr>
        <w:t>n</w:t>
      </w:r>
      <w:r w:rsidR="08F5106F" w:rsidRPr="003D1E07">
        <w:rPr>
          <w:lang w:eastAsia="en-US"/>
        </w:rPr>
        <w:t xml:space="preserve">tiky </w:t>
      </w:r>
      <w:r w:rsidR="08050684" w:rsidRPr="003D1E07">
        <w:rPr>
          <w:lang w:eastAsia="en-US"/>
        </w:rPr>
        <w:t xml:space="preserve">skrytý fenomén </w:t>
      </w:r>
      <w:r w:rsidR="08F5106F" w:rsidRPr="003D1E07">
        <w:rPr>
          <w:lang w:eastAsia="en-US"/>
        </w:rPr>
        <w:t xml:space="preserve">dějinnosti, dějin a historie. </w:t>
      </w:r>
      <w:r w:rsidR="089D4ED7" w:rsidRPr="003D1E07">
        <w:rPr>
          <w:lang w:eastAsia="en-US"/>
        </w:rPr>
        <w:t xml:space="preserve">Archaické myšlení dlí s Apollonem jako vládcem </w:t>
      </w:r>
      <w:r w:rsidR="08A61516" w:rsidRPr="003D1E07">
        <w:rPr>
          <w:lang w:eastAsia="en-US"/>
        </w:rPr>
        <w:t>Múz a Erínyjí v temném adytonu d</w:t>
      </w:r>
      <w:r w:rsidR="089D4ED7" w:rsidRPr="003D1E07">
        <w:rPr>
          <w:lang w:eastAsia="en-US"/>
        </w:rPr>
        <w:t xml:space="preserve">elfské jeskyně. Zde vládne původní </w:t>
      </w:r>
      <w:r w:rsidR="089D4ED7" w:rsidRPr="003D1E07">
        <w:rPr>
          <w:i/>
          <w:lang w:eastAsia="en-US"/>
        </w:rPr>
        <w:t>epoché</w:t>
      </w:r>
      <w:r w:rsidR="089D4ED7" w:rsidRPr="003D1E07">
        <w:rPr>
          <w:lang w:eastAsia="en-US"/>
        </w:rPr>
        <w:t xml:space="preserve"> jsoucna, v níž zhaslo bytí substance. </w:t>
      </w:r>
      <w:r w:rsidR="086F5253" w:rsidRPr="003D1E07">
        <w:rPr>
          <w:lang w:eastAsia="en-US"/>
        </w:rPr>
        <w:t xml:space="preserve">Dění v rámci </w:t>
      </w:r>
      <w:r w:rsidR="086F5253" w:rsidRPr="003D1E07">
        <w:rPr>
          <w:i/>
          <w:lang w:eastAsia="en-US"/>
        </w:rPr>
        <w:t>Lichtung</w:t>
      </w:r>
      <w:r w:rsidR="086F5253" w:rsidRPr="003D1E07">
        <w:rPr>
          <w:lang w:eastAsia="en-US"/>
        </w:rPr>
        <w:t xml:space="preserve"> začíná v momentu archaické </w:t>
      </w:r>
      <w:r w:rsidR="086F5253" w:rsidRPr="003D1E07">
        <w:rPr>
          <w:i/>
          <w:lang w:eastAsia="en-US"/>
        </w:rPr>
        <w:t>epoché</w:t>
      </w:r>
      <w:r w:rsidR="086F5253" w:rsidRPr="003D1E07">
        <w:rPr>
          <w:lang w:eastAsia="en-US"/>
        </w:rPr>
        <w:t xml:space="preserve">, kdy probíhá událost zatmění </w:t>
      </w:r>
      <w:r w:rsidR="00131B5C">
        <w:rPr>
          <w:lang w:eastAsia="en-US"/>
        </w:rPr>
        <w:t xml:space="preserve">bytí a jeho východu </w:t>
      </w:r>
      <w:r w:rsidR="086F5253" w:rsidRPr="003D1E07">
        <w:rPr>
          <w:lang w:eastAsia="en-US"/>
        </w:rPr>
        <w:t xml:space="preserve">z temnoty. </w:t>
      </w:r>
      <w:r w:rsidR="089D4ED7" w:rsidRPr="003D1E07">
        <w:rPr>
          <w:lang w:eastAsia="en-US"/>
        </w:rPr>
        <w:t>Archeologie objektivity se musí vrátit k původní věci iniciativního myšlení, tedy k</w:t>
      </w:r>
      <w:r w:rsidR="08611F3F" w:rsidRPr="003D1E07">
        <w:rPr>
          <w:lang w:eastAsia="en-US"/>
        </w:rPr>
        <w:t xml:space="preserve"> archegetickému </w:t>
      </w:r>
      <w:r w:rsidR="08CF5489" w:rsidRPr="003D1E07">
        <w:rPr>
          <w:lang w:eastAsia="en-US"/>
        </w:rPr>
        <w:t xml:space="preserve">dativu </w:t>
      </w:r>
      <w:r w:rsidR="089D4ED7" w:rsidRPr="003D1E07">
        <w:rPr>
          <w:lang w:eastAsia="en-US"/>
        </w:rPr>
        <w:t>apollinského mystéria</w:t>
      </w:r>
      <w:r w:rsidR="08611F3F" w:rsidRPr="003D1E07">
        <w:rPr>
          <w:lang w:eastAsia="en-US"/>
        </w:rPr>
        <w:t xml:space="preserve"> a principiálnímu dativu první filosofie</w:t>
      </w:r>
      <w:r w:rsidR="089D4ED7" w:rsidRPr="003D1E07">
        <w:rPr>
          <w:lang w:eastAsia="en-US"/>
        </w:rPr>
        <w:t xml:space="preserve">. </w:t>
      </w:r>
      <w:r w:rsidR="08CF5489" w:rsidRPr="003D1E07">
        <w:rPr>
          <w:lang w:eastAsia="en-US"/>
        </w:rPr>
        <w:t xml:space="preserve">Triadický anax </w:t>
      </w:r>
      <w:r w:rsidR="003C74A9">
        <w:rPr>
          <w:lang w:eastAsia="en-US"/>
        </w:rPr>
        <w:t xml:space="preserve">v Delfách </w:t>
      </w:r>
      <w:r w:rsidR="00DD72FB" w:rsidRPr="003D1E07">
        <w:rPr>
          <w:lang w:eastAsia="en-US"/>
        </w:rPr>
        <w:t>podle Hé</w:t>
      </w:r>
      <w:r w:rsidR="08FE428C" w:rsidRPr="003D1E07">
        <w:rPr>
          <w:lang w:eastAsia="en-US"/>
        </w:rPr>
        <w:t xml:space="preserve">rakleita nic </w:t>
      </w:r>
      <w:r w:rsidR="00361949" w:rsidRPr="003D1E07">
        <w:rPr>
          <w:lang w:eastAsia="en-US"/>
        </w:rPr>
        <w:t>neskrývá</w:t>
      </w:r>
      <w:r w:rsidR="00A875BF" w:rsidRPr="003D1E07">
        <w:rPr>
          <w:lang w:eastAsia="en-US"/>
        </w:rPr>
        <w:t xml:space="preserve"> a </w:t>
      </w:r>
      <w:r w:rsidR="08FE428C" w:rsidRPr="003D1E07">
        <w:rPr>
          <w:lang w:eastAsia="en-US"/>
        </w:rPr>
        <w:t xml:space="preserve">nic </w:t>
      </w:r>
      <w:r w:rsidR="08CF5489" w:rsidRPr="003D1E07">
        <w:rPr>
          <w:lang w:eastAsia="en-US"/>
        </w:rPr>
        <w:t xml:space="preserve">nevypovídá </w:t>
      </w:r>
      <w:r w:rsidR="008A308B" w:rsidRPr="003D1E07">
        <w:rPr>
          <w:lang w:eastAsia="en-US"/>
        </w:rPr>
        <w:t>pří</w:t>
      </w:r>
      <w:r w:rsidR="00C93B8A" w:rsidRPr="003D1E07">
        <w:rPr>
          <w:lang w:eastAsia="en-US"/>
        </w:rPr>
        <w:t>mo, ale dává zn</w:t>
      </w:r>
      <w:r w:rsidR="008A308B" w:rsidRPr="003D1E07">
        <w:rPr>
          <w:lang w:eastAsia="en-US"/>
        </w:rPr>
        <w:t xml:space="preserve">amení </w:t>
      </w:r>
      <w:r w:rsidR="008A308B" w:rsidRPr="003D1E07">
        <w:t>(οὔτε λέγει οὔτε κρύπτει ἀλλὰ σημαίνει; DK 22, B 93</w:t>
      </w:r>
      <w:r w:rsidR="00DD72FB" w:rsidRPr="003D1E07">
        <w:fldChar w:fldCharType="begin"/>
      </w:r>
      <w:r w:rsidR="00DD72FB" w:rsidRPr="003D1E07">
        <w:instrText xml:space="preserve"> XE "Hérakleitos z Efezu:B 93" </w:instrText>
      </w:r>
      <w:r w:rsidR="00DD72FB" w:rsidRPr="003D1E07">
        <w:fldChar w:fldCharType="end"/>
      </w:r>
      <w:r w:rsidR="008A308B" w:rsidRPr="003D1E07">
        <w:t xml:space="preserve">). </w:t>
      </w:r>
      <w:r w:rsidR="08CF5489" w:rsidRPr="003D1E07">
        <w:rPr>
          <w:lang w:eastAsia="en-US"/>
        </w:rPr>
        <w:t xml:space="preserve">Temnota apollinského mystéria </w:t>
      </w:r>
      <w:r w:rsidR="08D37BF7" w:rsidRPr="003D1E07">
        <w:rPr>
          <w:lang w:eastAsia="en-US"/>
        </w:rPr>
        <w:t xml:space="preserve">skrývá </w:t>
      </w:r>
      <w:r w:rsidR="08CF5489" w:rsidRPr="003D1E07">
        <w:rPr>
          <w:lang w:eastAsia="en-US"/>
        </w:rPr>
        <w:t>bytí jsoucna</w:t>
      </w:r>
      <w:r w:rsidR="08B74B26" w:rsidRPr="003D1E07">
        <w:rPr>
          <w:lang w:eastAsia="en-US"/>
        </w:rPr>
        <w:t xml:space="preserve">, které hodegeticky ukazuje cestu myšlení skrze </w:t>
      </w:r>
      <w:r w:rsidR="08CF5489" w:rsidRPr="003D1E07">
        <w:rPr>
          <w:lang w:eastAsia="en-US"/>
        </w:rPr>
        <w:t>apollinsk</w:t>
      </w:r>
      <w:r w:rsidR="08B74B26" w:rsidRPr="003D1E07">
        <w:rPr>
          <w:lang w:eastAsia="en-US"/>
        </w:rPr>
        <w:t>ou</w:t>
      </w:r>
      <w:r w:rsidR="08CF5489" w:rsidRPr="003D1E07">
        <w:rPr>
          <w:lang w:eastAsia="en-US"/>
        </w:rPr>
        <w:t xml:space="preserve"> séma</w:t>
      </w:r>
      <w:r w:rsidR="08B74B26" w:rsidRPr="003D1E07">
        <w:rPr>
          <w:lang w:eastAsia="en-US"/>
        </w:rPr>
        <w:t>ntiku</w:t>
      </w:r>
      <w:r w:rsidR="08CF5489" w:rsidRPr="003D1E07">
        <w:rPr>
          <w:lang w:eastAsia="en-US"/>
        </w:rPr>
        <w:t xml:space="preserve">. </w:t>
      </w:r>
      <w:r w:rsidR="0856015B" w:rsidRPr="003D1E07">
        <w:rPr>
          <w:lang w:eastAsia="en-US"/>
        </w:rPr>
        <w:t xml:space="preserve">Tato znamení správně četli všichni moudří kolonisté, kteří zakládali politickou komunitu </w:t>
      </w:r>
      <w:r w:rsidR="0859769F" w:rsidRPr="003D1E07">
        <w:rPr>
          <w:lang w:eastAsia="en-US"/>
        </w:rPr>
        <w:t>zv</w:t>
      </w:r>
      <w:r w:rsidR="0856015B" w:rsidRPr="003D1E07">
        <w:rPr>
          <w:lang w:eastAsia="en-US"/>
        </w:rPr>
        <w:t xml:space="preserve">anou </w:t>
      </w:r>
      <w:r w:rsidR="0856015B" w:rsidRPr="003D1E07">
        <w:rPr>
          <w:i/>
          <w:lang w:eastAsia="en-US"/>
        </w:rPr>
        <w:t>Magna Graecia</w:t>
      </w:r>
      <w:r w:rsidR="088C3CFA" w:rsidRPr="003D1E07">
        <w:rPr>
          <w:i/>
          <w:lang w:eastAsia="en-US"/>
        </w:rPr>
        <w:fldChar w:fldCharType="begin"/>
      </w:r>
      <w:r w:rsidR="088C3CFA" w:rsidRPr="003D1E07">
        <w:instrText xml:space="preserve"> XE "</w:instrText>
      </w:r>
      <w:r w:rsidR="088C3CFA" w:rsidRPr="003D1E07">
        <w:rPr>
          <w:i/>
          <w:lang w:eastAsia="en-US"/>
        </w:rPr>
        <w:instrText>Magna Graecia</w:instrText>
      </w:r>
      <w:r w:rsidR="088C3CFA" w:rsidRPr="003D1E07">
        <w:instrText xml:space="preserve">" </w:instrText>
      </w:r>
      <w:r w:rsidR="088C3CFA" w:rsidRPr="003D1E07">
        <w:rPr>
          <w:i/>
          <w:lang w:eastAsia="en-US"/>
        </w:rPr>
        <w:fldChar w:fldCharType="end"/>
      </w:r>
      <w:r w:rsidR="0859769F" w:rsidRPr="003D1E07">
        <w:rPr>
          <w:lang w:eastAsia="en-US"/>
        </w:rPr>
        <w:t xml:space="preserve">. Díky této sémantice </w:t>
      </w:r>
      <w:r w:rsidR="0856015B" w:rsidRPr="003D1E07">
        <w:rPr>
          <w:lang w:eastAsia="en-US"/>
        </w:rPr>
        <w:t>vznikla první filosofie</w:t>
      </w:r>
      <w:r w:rsidR="08CE7457" w:rsidRPr="003D1E07">
        <w:rPr>
          <w:lang w:eastAsia="en-US"/>
        </w:rPr>
        <w:t xml:space="preserve"> v iónských </w:t>
      </w:r>
      <w:r w:rsidR="08486120" w:rsidRPr="003D1E07">
        <w:rPr>
          <w:lang w:eastAsia="en-US"/>
        </w:rPr>
        <w:t>a italských řeckých koloniích</w:t>
      </w:r>
      <w:r w:rsidR="0856015B" w:rsidRPr="003D1E07">
        <w:rPr>
          <w:lang w:eastAsia="en-US"/>
        </w:rPr>
        <w:t xml:space="preserve">. </w:t>
      </w:r>
      <w:r w:rsidR="08D76FE5" w:rsidRPr="003D1E07">
        <w:rPr>
          <w:lang w:eastAsia="en-US"/>
        </w:rPr>
        <w:t>P</w:t>
      </w:r>
      <w:r w:rsidR="089D4ED7" w:rsidRPr="003D1E07">
        <w:rPr>
          <w:lang w:eastAsia="en-US"/>
        </w:rPr>
        <w:t xml:space="preserve">odobně jako Sokrates můžeme myslitelsky uchopit událost pythického dění bytí, která pro moudrého smrtelníka sémanticky odhaluje dění archaické pravdy. </w:t>
      </w:r>
      <w:r w:rsidR="081671FD" w:rsidRPr="003D1E07">
        <w:rPr>
          <w:lang w:eastAsia="en-US"/>
        </w:rPr>
        <w:t xml:space="preserve">Civilizace Moderních se ustavila jako ideový protipól archaického Velkého Řecka, které bylo </w:t>
      </w:r>
      <w:r w:rsidR="081671FD" w:rsidRPr="003D1E07">
        <w:t xml:space="preserve">budováno pod záštitou Apollóna zakladatele (Ἀπόλλων Ἀρχηγέτης). </w:t>
      </w:r>
      <w:r w:rsidR="08901C26" w:rsidRPr="003D1E07">
        <w:rPr>
          <w:lang w:eastAsia="en-US"/>
        </w:rPr>
        <w:t xml:space="preserve">Bytí jsoucna je </w:t>
      </w:r>
      <w:r w:rsidR="08857B66" w:rsidRPr="003D1E07">
        <w:rPr>
          <w:lang w:eastAsia="en-US"/>
        </w:rPr>
        <w:t xml:space="preserve">dnes </w:t>
      </w:r>
      <w:r w:rsidR="08901C26" w:rsidRPr="003D1E07">
        <w:rPr>
          <w:lang w:eastAsia="en-US"/>
        </w:rPr>
        <w:t xml:space="preserve">vidět v původním prostoru zjevování </w:t>
      </w:r>
      <w:r w:rsidR="080B19E4" w:rsidRPr="003D1E07">
        <w:rPr>
          <w:i/>
          <w:lang w:eastAsia="en-US"/>
        </w:rPr>
        <w:t>Lichtung</w:t>
      </w:r>
      <w:r w:rsidR="080B19E4" w:rsidRPr="003D1E07">
        <w:rPr>
          <w:lang w:eastAsia="en-US"/>
        </w:rPr>
        <w:t xml:space="preserve"> </w:t>
      </w:r>
      <w:r w:rsidR="08901C26" w:rsidRPr="003D1E07">
        <w:rPr>
          <w:lang w:eastAsia="en-US"/>
        </w:rPr>
        <w:t>jen nepřímo</w:t>
      </w:r>
      <w:r w:rsidR="08901C26" w:rsidRPr="003D1E07">
        <w:rPr>
          <w:i/>
        </w:rPr>
        <w:fldChar w:fldCharType="begin"/>
      </w:r>
      <w:r w:rsidR="08901C26" w:rsidRPr="003D1E07">
        <w:instrText xml:space="preserve"> XE "pravda:po-odkrytost" </w:instrText>
      </w:r>
      <w:r w:rsidR="08901C26" w:rsidRPr="003D1E07">
        <w:rPr>
          <w:i/>
        </w:rPr>
        <w:fldChar w:fldCharType="end"/>
      </w:r>
      <w:r w:rsidR="08901C26" w:rsidRPr="003D1E07">
        <w:rPr>
          <w:lang w:eastAsia="en-US"/>
        </w:rPr>
        <w:t xml:space="preserve">, ale zato v plnosti původní </w:t>
      </w:r>
      <w:r w:rsidR="08100FDC" w:rsidRPr="003D1E07">
        <w:rPr>
          <w:lang w:eastAsia="en-US"/>
        </w:rPr>
        <w:t xml:space="preserve">pythické </w:t>
      </w:r>
      <w:r w:rsidR="08901C26" w:rsidRPr="003D1E07">
        <w:rPr>
          <w:i/>
          <w:lang w:eastAsia="en-US"/>
        </w:rPr>
        <w:t>a</w:t>
      </w:r>
      <w:r w:rsidR="08D12102" w:rsidRPr="003D1E07">
        <w:rPr>
          <w:i/>
          <w:lang w:eastAsia="en-US"/>
        </w:rPr>
        <w:t>/</w:t>
      </w:r>
      <w:r w:rsidR="08901C26" w:rsidRPr="003D1E07">
        <w:rPr>
          <w:i/>
          <w:lang w:eastAsia="en-US"/>
        </w:rPr>
        <w:t>létheia</w:t>
      </w:r>
      <w:r w:rsidR="08901C26" w:rsidRPr="003D1E07">
        <w:rPr>
          <w:lang w:eastAsia="en-US"/>
        </w:rPr>
        <w:t>. Dění pravdy v </w:t>
      </w:r>
      <w:r w:rsidR="08901C26" w:rsidRPr="003D1E07">
        <w:rPr>
          <w:i/>
          <w:lang w:eastAsia="en-US"/>
        </w:rPr>
        <w:t>Lichtung</w:t>
      </w:r>
      <w:r w:rsidR="08901C26" w:rsidRPr="003D1E07">
        <w:rPr>
          <w:lang w:eastAsia="en-US"/>
        </w:rPr>
        <w:t xml:space="preserve"> označuje z hlediska hermeneutiky epochální obrat ve vidění jsoucna</w:t>
      </w:r>
      <w:r w:rsidR="087349C6" w:rsidRPr="003D1E07">
        <w:rPr>
          <w:lang w:eastAsia="en-US"/>
        </w:rPr>
        <w:t xml:space="preserve"> daný přechodem světla a temnoty</w:t>
      </w:r>
      <w:r w:rsidR="08901C26" w:rsidRPr="003D1E07">
        <w:rPr>
          <w:lang w:eastAsia="en-US"/>
        </w:rPr>
        <w:t xml:space="preserve">. </w:t>
      </w:r>
      <w:r w:rsidR="00A70128">
        <w:rPr>
          <w:lang w:eastAsia="en-US"/>
        </w:rPr>
        <w:t>Událost zatmění má ast</w:t>
      </w:r>
      <w:r w:rsidR="00DF4C87" w:rsidRPr="003D1E07">
        <w:rPr>
          <w:lang w:eastAsia="en-US"/>
        </w:rPr>
        <w:t xml:space="preserve">ronomický charakter a první filosofie sleduje božský kosmický řád. Proto jde od apollinské temnoty k po-odhalené </w:t>
      </w:r>
      <w:r w:rsidR="00DF4C87" w:rsidRPr="003D1E07">
        <w:rPr>
          <w:i/>
          <w:lang w:eastAsia="en-US"/>
        </w:rPr>
        <w:t>a/létheia</w:t>
      </w:r>
      <w:r w:rsidR="00DF4C87" w:rsidRPr="003D1E07">
        <w:rPr>
          <w:lang w:eastAsia="en-US"/>
        </w:rPr>
        <w:t xml:space="preserve"> dané v oblasti viditelných fenoménů jako Hérakleitovo znamení. </w:t>
      </w:r>
      <w:r w:rsidR="087F7329" w:rsidRPr="003D1E07">
        <w:rPr>
          <w:lang w:eastAsia="en-US"/>
        </w:rPr>
        <w:t xml:space="preserve">Toto dění kompletně vytěsnila mytopoetická pravda Platonovy metafyziky a Aristotelův princip vyloučeného třetího. </w:t>
      </w:r>
      <w:r w:rsidR="08194722" w:rsidRPr="003D1E07">
        <w:rPr>
          <w:lang w:eastAsia="en-US"/>
        </w:rPr>
        <w:t xml:space="preserve">V </w:t>
      </w:r>
      <w:r w:rsidR="08A9717B" w:rsidRPr="003D1E07">
        <w:rPr>
          <w:lang w:eastAsia="en-US"/>
        </w:rPr>
        <w:t xml:space="preserve">múzickém a </w:t>
      </w:r>
      <w:r w:rsidR="08100FDC" w:rsidRPr="003D1E07">
        <w:rPr>
          <w:lang w:eastAsia="en-US"/>
        </w:rPr>
        <w:t xml:space="preserve">pythickém </w:t>
      </w:r>
      <w:r w:rsidR="006A4DC3" w:rsidRPr="003D1E07">
        <w:rPr>
          <w:lang w:eastAsia="en-US"/>
        </w:rPr>
        <w:t xml:space="preserve">prostoru </w:t>
      </w:r>
      <w:r w:rsidR="006A4DC3" w:rsidRPr="003D1E07">
        <w:rPr>
          <w:i/>
          <w:lang w:eastAsia="en-US"/>
        </w:rPr>
        <w:t>Lichtung</w:t>
      </w:r>
      <w:r w:rsidR="08194722" w:rsidRPr="003D1E07">
        <w:rPr>
          <w:lang w:eastAsia="en-US"/>
        </w:rPr>
        <w:t xml:space="preserve"> </w:t>
      </w:r>
      <w:r w:rsidR="006A4DC3" w:rsidRPr="003D1E07">
        <w:rPr>
          <w:lang w:eastAsia="en-US"/>
        </w:rPr>
        <w:t>se dává původní pravda</w:t>
      </w:r>
      <w:r w:rsidR="00DC0C2E" w:rsidRPr="003D1E07">
        <w:rPr>
          <w:lang w:eastAsia="en-US"/>
        </w:rPr>
        <w:t xml:space="preserve"> </w:t>
      </w:r>
      <w:r w:rsidR="088B1831" w:rsidRPr="003D1E07">
        <w:rPr>
          <w:lang w:eastAsia="en-US"/>
        </w:rPr>
        <w:t>celku</w:t>
      </w:r>
      <w:r w:rsidR="08DC0771" w:rsidRPr="003D1E07">
        <w:rPr>
          <w:lang w:eastAsia="en-US"/>
        </w:rPr>
        <w:t xml:space="preserve"> bytí a dějinnosti (</w:t>
      </w:r>
      <w:r w:rsidR="08DC0771" w:rsidRPr="003D1E07">
        <w:rPr>
          <w:i/>
          <w:lang w:eastAsia="en-US"/>
        </w:rPr>
        <w:t>tá ónta</w:t>
      </w:r>
      <w:r w:rsidR="08DC0771" w:rsidRPr="003D1E07">
        <w:rPr>
          <w:lang w:eastAsia="en-US"/>
        </w:rPr>
        <w:t xml:space="preserve"> Kalcháse, </w:t>
      </w:r>
      <w:r w:rsidR="08DC0771" w:rsidRPr="003D1E07">
        <w:rPr>
          <w:i/>
          <w:lang w:eastAsia="en-US"/>
        </w:rPr>
        <w:t>fýsis</w:t>
      </w:r>
      <w:r w:rsidR="08DC0771" w:rsidRPr="003D1E07">
        <w:rPr>
          <w:lang w:eastAsia="en-US"/>
        </w:rPr>
        <w:t xml:space="preserve"> první filosofie)</w:t>
      </w:r>
      <w:r w:rsidR="00DC0C2E" w:rsidRPr="003D1E07">
        <w:rPr>
          <w:lang w:eastAsia="en-US"/>
        </w:rPr>
        <w:t xml:space="preserve">. </w:t>
      </w:r>
      <w:r w:rsidR="087478C5" w:rsidRPr="003D1E07">
        <w:rPr>
          <w:lang w:eastAsia="en-US"/>
        </w:rPr>
        <w:t>Dějinnost</w:t>
      </w:r>
      <w:r w:rsidR="084337BD" w:rsidRPr="003D1E07">
        <w:fldChar w:fldCharType="begin"/>
      </w:r>
      <w:r w:rsidR="084337BD" w:rsidRPr="003D1E07">
        <w:instrText xml:space="preserve"> XE "dějinnost" </w:instrText>
      </w:r>
      <w:r w:rsidR="084337BD" w:rsidRPr="003D1E07">
        <w:fldChar w:fldCharType="end"/>
      </w:r>
      <w:r w:rsidR="087478C5" w:rsidRPr="003D1E07">
        <w:rPr>
          <w:lang w:eastAsia="en-US"/>
        </w:rPr>
        <w:t xml:space="preserve"> </w:t>
      </w:r>
      <w:r w:rsidR="08CF16D0" w:rsidRPr="003D1E07">
        <w:rPr>
          <w:lang w:eastAsia="en-US"/>
        </w:rPr>
        <w:t>umožňující toto základní po</w:t>
      </w:r>
      <w:r w:rsidR="08CF16D0" w:rsidRPr="003D1E07">
        <w:rPr>
          <w:lang w:eastAsia="en-US"/>
        </w:rPr>
        <w:noBreakHyphen/>
        <w:t xml:space="preserve">odhalování </w:t>
      </w:r>
      <w:r w:rsidR="08DF7009" w:rsidRPr="003D1E07">
        <w:rPr>
          <w:lang w:eastAsia="en-US"/>
        </w:rPr>
        <w:t xml:space="preserve">celku </w:t>
      </w:r>
      <w:r w:rsidR="08CF16D0" w:rsidRPr="003D1E07">
        <w:rPr>
          <w:lang w:eastAsia="en-US"/>
        </w:rPr>
        <w:t xml:space="preserve">jsoucna </w:t>
      </w:r>
      <w:r w:rsidR="08780D3D" w:rsidRPr="003D1E07">
        <w:rPr>
          <w:lang w:eastAsia="en-US"/>
        </w:rPr>
        <w:t xml:space="preserve">v modu </w:t>
      </w:r>
      <w:r w:rsidR="08D63825" w:rsidRPr="003D1E07">
        <w:rPr>
          <w:lang w:eastAsia="en-US"/>
        </w:rPr>
        <w:t>původní pythické pravdy a klamu (</w:t>
      </w:r>
      <w:r w:rsidR="08780D3D" w:rsidRPr="003D1E07">
        <w:rPr>
          <w:i/>
          <w:lang w:eastAsia="en-US"/>
        </w:rPr>
        <w:t>a/létheia</w:t>
      </w:r>
      <w:r w:rsidR="08D63825" w:rsidRPr="003D1E07">
        <w:rPr>
          <w:lang w:eastAsia="en-US"/>
        </w:rPr>
        <w:t xml:space="preserve">) </w:t>
      </w:r>
      <w:r w:rsidR="0023591D" w:rsidRPr="003D1E07">
        <w:rPr>
          <w:lang w:eastAsia="en-US"/>
        </w:rPr>
        <w:t xml:space="preserve">je dané v modu </w:t>
      </w:r>
      <w:r w:rsidR="0023591D" w:rsidRPr="003D1E07">
        <w:rPr>
          <w:i/>
          <w:lang w:eastAsia="en-US"/>
        </w:rPr>
        <w:t>ipse</w:t>
      </w:r>
      <w:r w:rsidR="0023591D" w:rsidRPr="003D1E07">
        <w:rPr>
          <w:i/>
          <w:lang w:eastAsia="en-US"/>
        </w:rPr>
        <w:fldChar w:fldCharType="begin"/>
      </w:r>
      <w:r w:rsidR="0023591D" w:rsidRPr="003D1E07">
        <w:instrText xml:space="preserve"> XE "</w:instrText>
      </w:r>
      <w:r w:rsidR="0023591D" w:rsidRPr="003D1E07">
        <w:rPr>
          <w:i/>
          <w:lang w:eastAsia="en-US"/>
        </w:rPr>
        <w:instrText>ipse/idem</w:instrText>
      </w:r>
      <w:r w:rsidR="0023591D" w:rsidRPr="003D1E07">
        <w:instrText xml:space="preserve">" </w:instrText>
      </w:r>
      <w:r w:rsidR="0023591D" w:rsidRPr="003D1E07">
        <w:rPr>
          <w:i/>
          <w:lang w:eastAsia="en-US"/>
        </w:rPr>
        <w:fldChar w:fldCharType="end"/>
      </w:r>
      <w:r w:rsidR="0023591D" w:rsidRPr="003D1E07">
        <w:rPr>
          <w:lang w:eastAsia="en-US"/>
        </w:rPr>
        <w:t xml:space="preserve"> a ten </w:t>
      </w:r>
      <w:r w:rsidR="08ED13A8" w:rsidRPr="003D1E07">
        <w:rPr>
          <w:lang w:eastAsia="en-US"/>
        </w:rPr>
        <w:t xml:space="preserve">nelze převést na </w:t>
      </w:r>
      <w:r w:rsidR="08CF16D0" w:rsidRPr="003D1E07">
        <w:rPr>
          <w:lang w:eastAsia="en-US"/>
        </w:rPr>
        <w:t>metafyzické pojetí pravdy</w:t>
      </w:r>
      <w:r w:rsidR="0023591D" w:rsidRPr="003D1E07">
        <w:rPr>
          <w:lang w:eastAsia="en-US"/>
        </w:rPr>
        <w:t xml:space="preserve"> v modu </w:t>
      </w:r>
      <w:r w:rsidR="0023591D" w:rsidRPr="003D1E07">
        <w:rPr>
          <w:i/>
          <w:lang w:eastAsia="en-US"/>
        </w:rPr>
        <w:t>idem</w:t>
      </w:r>
      <w:r w:rsidR="08780D3D" w:rsidRPr="003D1E07">
        <w:rPr>
          <w:lang w:eastAsia="en-US"/>
        </w:rPr>
        <w:t xml:space="preserve">. </w:t>
      </w:r>
      <w:r w:rsidR="0023591D" w:rsidRPr="003D1E07">
        <w:rPr>
          <w:lang w:eastAsia="en-US"/>
        </w:rPr>
        <w:t xml:space="preserve">Ipseita </w:t>
      </w:r>
      <w:r w:rsidR="00AD2E2E" w:rsidRPr="003D1E07">
        <w:rPr>
          <w:lang w:eastAsia="en-US"/>
        </w:rPr>
        <w:t xml:space="preserve">archaické </w:t>
      </w:r>
      <w:r w:rsidR="00AD2E2E" w:rsidRPr="003D1E07">
        <w:rPr>
          <w:i/>
        </w:rPr>
        <w:t>a/lētheia</w:t>
      </w:r>
      <w:r w:rsidR="00AD2E2E" w:rsidRPr="003D1E07">
        <w:rPr>
          <w:i/>
        </w:rPr>
        <w:fldChar w:fldCharType="begin"/>
      </w:r>
      <w:r w:rsidR="00AD2E2E" w:rsidRPr="003D1E07">
        <w:instrText xml:space="preserve"> XE "</w:instrText>
      </w:r>
      <w:r w:rsidR="00AD2E2E" w:rsidRPr="003D1E07">
        <w:rPr>
          <w:i/>
        </w:rPr>
        <w:instrText>a/lētheia</w:instrText>
      </w:r>
      <w:r w:rsidR="00AD2E2E" w:rsidRPr="003D1E07">
        <w:instrText xml:space="preserve">" </w:instrText>
      </w:r>
      <w:r w:rsidR="00AD2E2E" w:rsidRPr="003D1E07">
        <w:rPr>
          <w:i/>
        </w:rPr>
        <w:fldChar w:fldCharType="end"/>
      </w:r>
      <w:r w:rsidR="00AD2E2E" w:rsidRPr="003D1E07">
        <w:t xml:space="preserve"> nen</w:t>
      </w:r>
      <w:r w:rsidR="00E51B13" w:rsidRPr="003D1E07">
        <w:t>í manifestovate</w:t>
      </w:r>
      <w:r w:rsidR="00AD2E2E" w:rsidRPr="003D1E07">
        <w:t xml:space="preserve">lná skrze moderní </w:t>
      </w:r>
      <w:r w:rsidR="00AD2E2E" w:rsidRPr="003D1E07">
        <w:rPr>
          <w:i/>
        </w:rPr>
        <w:t>veritas</w:t>
      </w:r>
      <w:r w:rsidR="00AD2E2E" w:rsidRPr="003D1E07">
        <w:t xml:space="preserve"> danou jako </w:t>
      </w:r>
      <w:r w:rsidR="0023591D" w:rsidRPr="003D1E07">
        <w:rPr>
          <w:lang w:eastAsia="en-US"/>
        </w:rPr>
        <w:t xml:space="preserve">identita. </w:t>
      </w:r>
      <w:r w:rsidR="083136BB" w:rsidRPr="003D1E07">
        <w:rPr>
          <w:lang w:eastAsia="en-US"/>
        </w:rPr>
        <w:t xml:space="preserve">Metafyzika vytvořila </w:t>
      </w:r>
      <w:r w:rsidR="083B2524" w:rsidRPr="003D1E07">
        <w:rPr>
          <w:lang w:eastAsia="en-US"/>
        </w:rPr>
        <w:t>pod vlivem Fúr</w:t>
      </w:r>
      <w:r w:rsidR="083136BB" w:rsidRPr="003D1E07">
        <w:rPr>
          <w:lang w:eastAsia="en-US"/>
        </w:rPr>
        <w:t xml:space="preserve">ií </w:t>
      </w:r>
      <w:r w:rsidR="083B2524" w:rsidRPr="003D1E07">
        <w:rPr>
          <w:lang w:eastAsia="en-US"/>
        </w:rPr>
        <w:t xml:space="preserve">mýtus </w:t>
      </w:r>
      <w:r w:rsidR="00D80E43">
        <w:rPr>
          <w:lang w:eastAsia="en-US"/>
        </w:rPr>
        <w:t xml:space="preserve">moderní </w:t>
      </w:r>
      <w:r w:rsidR="081C4F27" w:rsidRPr="003D1E07">
        <w:rPr>
          <w:lang w:eastAsia="en-US"/>
        </w:rPr>
        <w:t>formy „</w:t>
      </w:r>
      <w:r w:rsidR="083B2524" w:rsidRPr="003D1E07">
        <w:rPr>
          <w:lang w:eastAsia="en-US"/>
        </w:rPr>
        <w:t>božího muže</w:t>
      </w:r>
      <w:r w:rsidR="081C4F27" w:rsidRPr="003D1E07">
        <w:rPr>
          <w:lang w:eastAsia="en-US"/>
        </w:rPr>
        <w:t>“</w:t>
      </w:r>
      <w:r w:rsidR="00390B14">
        <w:rPr>
          <w:lang w:eastAsia="en-US"/>
        </w:rPr>
        <w:t xml:space="preserve"> (a bohužel i </w:t>
      </w:r>
      <w:r w:rsidR="00D80E43">
        <w:rPr>
          <w:lang w:eastAsia="en-US"/>
        </w:rPr>
        <w:t xml:space="preserve">postmoderní </w:t>
      </w:r>
      <w:r w:rsidR="00390B14">
        <w:rPr>
          <w:lang w:eastAsia="en-US"/>
        </w:rPr>
        <w:t>„boží ženy“), kteří</w:t>
      </w:r>
      <w:r w:rsidR="083136BB" w:rsidRPr="003D1E07">
        <w:rPr>
          <w:lang w:eastAsia="en-US"/>
        </w:rPr>
        <w:t xml:space="preserve"> </w:t>
      </w:r>
      <w:r w:rsidR="081B7A1F" w:rsidRPr="003D1E07">
        <w:rPr>
          <w:lang w:eastAsia="en-US"/>
        </w:rPr>
        <w:t xml:space="preserve">věští z akademické či lycejní </w:t>
      </w:r>
      <w:r w:rsidR="081C4F27" w:rsidRPr="003D1E07">
        <w:rPr>
          <w:lang w:eastAsia="en-US"/>
        </w:rPr>
        <w:t xml:space="preserve">stolice logiky a metafyziky, proto </w:t>
      </w:r>
      <w:r w:rsidR="083136BB" w:rsidRPr="003D1E07">
        <w:rPr>
          <w:lang w:eastAsia="en-US"/>
        </w:rPr>
        <w:t>se n</w:t>
      </w:r>
      <w:r w:rsidR="00390B14">
        <w:rPr>
          <w:lang w:eastAsia="en-US"/>
        </w:rPr>
        <w:t xml:space="preserve">emohou </w:t>
      </w:r>
      <w:r w:rsidR="083136BB" w:rsidRPr="003D1E07">
        <w:rPr>
          <w:lang w:eastAsia="en-US"/>
        </w:rPr>
        <w:t xml:space="preserve">mýlit. </w:t>
      </w:r>
      <w:r w:rsidR="08780D3D" w:rsidRPr="003D1E07">
        <w:rPr>
          <w:lang w:eastAsia="en-US"/>
        </w:rPr>
        <w:t>Výklad podobenství o jeskyni ukázal, že pravda metafyziky je</w:t>
      </w:r>
      <w:r w:rsidR="088B4D3A" w:rsidRPr="003D1E07">
        <w:rPr>
          <w:lang w:eastAsia="en-US"/>
        </w:rPr>
        <w:t xml:space="preserve"> primárně</w:t>
      </w:r>
      <w:r w:rsidR="08780D3D" w:rsidRPr="003D1E07">
        <w:rPr>
          <w:lang w:eastAsia="en-US"/>
        </w:rPr>
        <w:t xml:space="preserve"> vázaná na </w:t>
      </w:r>
      <w:r w:rsidR="08DF7009" w:rsidRPr="003D1E07">
        <w:rPr>
          <w:lang w:eastAsia="en-US"/>
        </w:rPr>
        <w:t xml:space="preserve">zjevování </w:t>
      </w:r>
      <w:r w:rsidR="088B4D3A" w:rsidRPr="003D1E07">
        <w:rPr>
          <w:lang w:eastAsia="en-US"/>
        </w:rPr>
        <w:t xml:space="preserve">ideje jako </w:t>
      </w:r>
      <w:r w:rsidR="08AA6836" w:rsidRPr="003D1E07">
        <w:rPr>
          <w:lang w:eastAsia="en-US"/>
        </w:rPr>
        <w:t>jednotlivé substance</w:t>
      </w:r>
      <w:r w:rsidR="08780D3D" w:rsidRPr="003D1E07">
        <w:rPr>
          <w:lang w:eastAsia="en-US"/>
        </w:rPr>
        <w:t xml:space="preserve">. </w:t>
      </w:r>
      <w:r w:rsidR="089527BF" w:rsidRPr="003D1E07">
        <w:rPr>
          <w:lang w:eastAsia="en-US"/>
        </w:rPr>
        <w:t>Mytopoetická k</w:t>
      </w:r>
      <w:r w:rsidR="08DB3ABC" w:rsidRPr="003D1E07">
        <w:rPr>
          <w:lang w:eastAsia="en-US"/>
        </w:rPr>
        <w:t xml:space="preserve">astrace </w:t>
      </w:r>
      <w:r w:rsidR="089626C4" w:rsidRPr="003D1E07">
        <w:rPr>
          <w:lang w:eastAsia="en-US"/>
        </w:rPr>
        <w:t xml:space="preserve">apollinské </w:t>
      </w:r>
      <w:r w:rsidR="08DB3ABC" w:rsidRPr="003D1E07">
        <w:rPr>
          <w:lang w:eastAsia="en-US"/>
        </w:rPr>
        <w:lastRenderedPageBreak/>
        <w:t xml:space="preserve">moudrosti </w:t>
      </w:r>
      <w:r w:rsidR="089626C4" w:rsidRPr="003D1E07">
        <w:rPr>
          <w:lang w:eastAsia="en-US"/>
        </w:rPr>
        <w:t xml:space="preserve">v metafyzice </w:t>
      </w:r>
      <w:r w:rsidR="08DB3ABC" w:rsidRPr="003D1E07">
        <w:rPr>
          <w:lang w:eastAsia="en-US"/>
        </w:rPr>
        <w:t xml:space="preserve">ale neznamená, že </w:t>
      </w:r>
      <w:r w:rsidR="089626C4" w:rsidRPr="003D1E07">
        <w:rPr>
          <w:lang w:eastAsia="en-US"/>
        </w:rPr>
        <w:t xml:space="preserve">z filosofie </w:t>
      </w:r>
      <w:r w:rsidR="081E16E6" w:rsidRPr="003D1E07">
        <w:rPr>
          <w:lang w:eastAsia="en-US"/>
        </w:rPr>
        <w:t xml:space="preserve">úplně zmizela </w:t>
      </w:r>
      <w:r w:rsidR="08C022B6" w:rsidRPr="003D1E07">
        <w:rPr>
          <w:lang w:eastAsia="en-US"/>
        </w:rPr>
        <w:t>archaická a tragická podoba pravdy</w:t>
      </w:r>
      <w:r w:rsidR="08DB3ABC" w:rsidRPr="003D1E07">
        <w:rPr>
          <w:lang w:eastAsia="en-US"/>
        </w:rPr>
        <w:t xml:space="preserve">. </w:t>
      </w:r>
      <w:r w:rsidR="00A70128">
        <w:rPr>
          <w:lang w:eastAsia="en-US"/>
        </w:rPr>
        <w:t>P</w:t>
      </w:r>
      <w:r w:rsidR="08F758F8" w:rsidRPr="003D1E07">
        <w:rPr>
          <w:lang w:eastAsia="en-US"/>
        </w:rPr>
        <w:t xml:space="preserve">okolení objektivně slepých estetiků </w:t>
      </w:r>
      <w:r w:rsidR="083C2F05" w:rsidRPr="003D1E07">
        <w:rPr>
          <w:lang w:eastAsia="en-US"/>
        </w:rPr>
        <w:t xml:space="preserve">a krasoduchů </w:t>
      </w:r>
      <w:r w:rsidR="08F758F8" w:rsidRPr="003D1E07">
        <w:rPr>
          <w:lang w:eastAsia="en-US"/>
        </w:rPr>
        <w:t>zakouší v původní</w:t>
      </w:r>
      <w:r w:rsidR="08E224EE" w:rsidRPr="003D1E07">
        <w:rPr>
          <w:lang w:eastAsia="en-US"/>
        </w:rPr>
        <w:t>m</w:t>
      </w:r>
      <w:r w:rsidR="08F758F8" w:rsidRPr="003D1E07">
        <w:rPr>
          <w:lang w:eastAsia="en-US"/>
        </w:rPr>
        <w:t xml:space="preserve"> řeckém amfiteátru tragická dramata, aniž by chápalo jejich apollinský smysl. </w:t>
      </w:r>
      <w:r w:rsidR="00D27218">
        <w:rPr>
          <w:lang w:eastAsia="en-US"/>
        </w:rPr>
        <w:t>Ale tr</w:t>
      </w:r>
      <w:r w:rsidR="0091272D">
        <w:rPr>
          <w:lang w:eastAsia="en-US"/>
        </w:rPr>
        <w:t>a</w:t>
      </w:r>
      <w:r w:rsidR="00D27218">
        <w:rPr>
          <w:lang w:eastAsia="en-US"/>
        </w:rPr>
        <w:t xml:space="preserve">gédie je zde pořád a může mluvit. </w:t>
      </w:r>
      <w:r w:rsidR="087C39A0" w:rsidRPr="003D1E07">
        <w:rPr>
          <w:lang w:eastAsia="en-US"/>
        </w:rPr>
        <w:t xml:space="preserve">Apollinský smysl založil svět tragédie a proto nemůže zmizet. Jeho pravda </w:t>
      </w:r>
      <w:r w:rsidR="08D148D9" w:rsidRPr="003D1E07">
        <w:rPr>
          <w:lang w:eastAsia="en-US"/>
        </w:rPr>
        <w:t xml:space="preserve">i dnes </w:t>
      </w:r>
      <w:r w:rsidR="087C39A0" w:rsidRPr="003D1E07">
        <w:rPr>
          <w:lang w:eastAsia="en-US"/>
        </w:rPr>
        <w:t>působí ze skrytosti</w:t>
      </w:r>
      <w:r w:rsidR="08D148D9" w:rsidRPr="003D1E07">
        <w:rPr>
          <w:lang w:eastAsia="en-US"/>
        </w:rPr>
        <w:t xml:space="preserve"> dějinnosti</w:t>
      </w:r>
      <w:r w:rsidR="087C39A0" w:rsidRPr="003D1E07">
        <w:rPr>
          <w:lang w:eastAsia="en-US"/>
        </w:rPr>
        <w:t xml:space="preserve">. </w:t>
      </w:r>
      <w:r w:rsidR="005A5556">
        <w:rPr>
          <w:lang w:eastAsia="en-US"/>
        </w:rPr>
        <w:t xml:space="preserve">Platon a Aristoteles jako </w:t>
      </w:r>
      <w:r w:rsidR="083C2F05" w:rsidRPr="003D1E07">
        <w:rPr>
          <w:lang w:eastAsia="en-US"/>
        </w:rPr>
        <w:t xml:space="preserve">zakladatelé metafyziky ještě žili ve věku tragiků a působení mystérií, proto byli </w:t>
      </w:r>
      <w:r w:rsidR="085D022E" w:rsidRPr="003D1E07">
        <w:rPr>
          <w:lang w:eastAsia="en-US"/>
        </w:rPr>
        <w:t xml:space="preserve">částečně </w:t>
      </w:r>
      <w:r w:rsidR="080C799D" w:rsidRPr="003D1E07">
        <w:rPr>
          <w:lang w:eastAsia="en-US"/>
        </w:rPr>
        <w:t xml:space="preserve">moudří i původním sokratovským způsobem. </w:t>
      </w:r>
      <w:r w:rsidR="08175BBB" w:rsidRPr="003D1E07">
        <w:rPr>
          <w:lang w:eastAsia="en-US"/>
        </w:rPr>
        <w:t xml:space="preserve">Původní celek bytí je v metafyzice přítomný jen nepřímo, tedy ve formě apollinského </w:t>
      </w:r>
      <w:r w:rsidR="08175BBB" w:rsidRPr="003D1E07">
        <w:rPr>
          <w:i/>
          <w:lang w:eastAsia="en-US"/>
        </w:rPr>
        <w:t>sémeion</w:t>
      </w:r>
      <w:r w:rsidR="08175BBB" w:rsidRPr="003D1E07">
        <w:rPr>
          <w:lang w:eastAsia="en-US"/>
        </w:rPr>
        <w:t xml:space="preserve"> daného pro cestu archeologické hermeneutiky. </w:t>
      </w:r>
      <w:r w:rsidR="08C476F6" w:rsidRPr="003D1E07">
        <w:rPr>
          <w:lang w:eastAsia="en-US"/>
        </w:rPr>
        <w:t xml:space="preserve">Platon i Aristoteles </w:t>
      </w:r>
      <w:r w:rsidR="080C799D" w:rsidRPr="003D1E07">
        <w:rPr>
          <w:lang w:eastAsia="en-US"/>
        </w:rPr>
        <w:t xml:space="preserve">tematizovali vztah myšlení k zakládajícímu počátku pomocí </w:t>
      </w:r>
      <w:r w:rsidR="08B91E68" w:rsidRPr="003D1E07">
        <w:rPr>
          <w:lang w:eastAsia="en-US"/>
        </w:rPr>
        <w:t xml:space="preserve">metafyzického </w:t>
      </w:r>
      <w:r w:rsidR="080C799D" w:rsidRPr="003D1E07">
        <w:rPr>
          <w:lang w:eastAsia="en-US"/>
        </w:rPr>
        <w:t>dativu</w:t>
      </w:r>
      <w:r w:rsidR="080C799D" w:rsidRPr="003D1E07">
        <w:rPr>
          <w:i/>
        </w:rPr>
        <w:fldChar w:fldCharType="begin"/>
      </w:r>
      <w:r w:rsidR="080C799D" w:rsidRPr="003D1E07">
        <w:instrText xml:space="preserve"> XE "</w:instrText>
      </w:r>
      <w:r w:rsidR="080C799D" w:rsidRPr="003D1E07">
        <w:rPr>
          <w:i/>
        </w:rPr>
        <w:instrText xml:space="preserve">dativus </w:instrText>
      </w:r>
      <w:r w:rsidR="08B91E68" w:rsidRPr="003D1E07">
        <w:rPr>
          <w:i/>
        </w:rPr>
        <w:instrText>metaphysicus</w:instrText>
      </w:r>
      <w:r w:rsidR="080C799D" w:rsidRPr="003D1E07">
        <w:instrText xml:space="preserve">" </w:instrText>
      </w:r>
      <w:r w:rsidR="080C799D" w:rsidRPr="003D1E07">
        <w:rPr>
          <w:i/>
        </w:rPr>
        <w:fldChar w:fldCharType="end"/>
      </w:r>
      <w:r w:rsidR="080C799D" w:rsidRPr="003D1E07">
        <w:rPr>
          <w:lang w:eastAsia="en-US"/>
        </w:rPr>
        <w:t xml:space="preserve"> (mýtus o jeskyni, termín </w:t>
      </w:r>
      <w:r w:rsidR="0027146B">
        <w:rPr>
          <w:lang w:eastAsia="en-US"/>
        </w:rPr>
        <w:t>„</w:t>
      </w:r>
      <w:r w:rsidR="080C799D" w:rsidRPr="003D1E07">
        <w:t>τό τί ἦν εἶναι</w:t>
      </w:r>
      <w:r w:rsidR="0027146B">
        <w:t>“</w:t>
      </w:r>
      <w:r w:rsidR="080C799D" w:rsidRPr="003D1E07">
        <w:rPr>
          <w:lang w:eastAsia="en-US"/>
        </w:rPr>
        <w:t xml:space="preserve">). </w:t>
      </w:r>
      <w:r w:rsidR="0091272D">
        <w:rPr>
          <w:lang w:eastAsia="en-US"/>
        </w:rPr>
        <w:t>Tím se osud fi</w:t>
      </w:r>
      <w:r w:rsidR="00FF2E6F">
        <w:rPr>
          <w:lang w:eastAsia="en-US"/>
        </w:rPr>
        <w:t>losofie svázal s bytím substance</w:t>
      </w:r>
      <w:r w:rsidR="0091272D">
        <w:rPr>
          <w:lang w:eastAsia="en-US"/>
        </w:rPr>
        <w:t xml:space="preserve">. </w:t>
      </w:r>
      <w:r w:rsidR="08A95A97" w:rsidRPr="003D1E07">
        <w:rPr>
          <w:lang w:eastAsia="en-US"/>
        </w:rPr>
        <w:t xml:space="preserve">Apollinsky-sémantická </w:t>
      </w:r>
      <w:r w:rsidR="080D39ED" w:rsidRPr="003D1E07">
        <w:rPr>
          <w:lang w:eastAsia="en-US"/>
        </w:rPr>
        <w:t xml:space="preserve">přítomnost celku bytí jsoucna </w:t>
      </w:r>
      <w:r w:rsidR="00FF2E6F">
        <w:rPr>
          <w:lang w:eastAsia="en-US"/>
        </w:rPr>
        <w:t xml:space="preserve">ale </w:t>
      </w:r>
      <w:r w:rsidR="08687170" w:rsidRPr="003D1E07">
        <w:rPr>
          <w:lang w:eastAsia="en-US"/>
        </w:rPr>
        <w:t>ukazuje, že z</w:t>
      </w:r>
      <w:r w:rsidR="08FC4266" w:rsidRPr="003D1E07">
        <w:rPr>
          <w:lang w:eastAsia="en-US"/>
        </w:rPr>
        <w:t xml:space="preserve">jevnost </w:t>
      </w:r>
      <w:r w:rsidR="088B1831" w:rsidRPr="003D1E07">
        <w:rPr>
          <w:lang w:eastAsia="en-US"/>
        </w:rPr>
        <w:t xml:space="preserve">jednotlivého </w:t>
      </w:r>
      <w:r w:rsidR="08FC4266" w:rsidRPr="003D1E07">
        <w:rPr>
          <w:lang w:eastAsia="en-US"/>
        </w:rPr>
        <w:t>jsoucna</w:t>
      </w:r>
      <w:r w:rsidR="088B1831" w:rsidRPr="003D1E07">
        <w:rPr>
          <w:lang w:eastAsia="en-US"/>
        </w:rPr>
        <w:t>-substance</w:t>
      </w:r>
      <w:r w:rsidR="08FC4266" w:rsidRPr="003D1E07">
        <w:rPr>
          <w:lang w:eastAsia="en-US"/>
        </w:rPr>
        <w:t xml:space="preserve"> v dějinách metafyziky není dána sama od sebe</w:t>
      </w:r>
      <w:r w:rsidR="008C7AFC">
        <w:rPr>
          <w:lang w:eastAsia="en-US"/>
        </w:rPr>
        <w:t>.</w:t>
      </w:r>
      <w:r w:rsidR="00195E9F">
        <w:rPr>
          <w:lang w:eastAsia="en-US"/>
        </w:rPr>
        <w:t xml:space="preserve"> </w:t>
      </w:r>
      <w:r w:rsidR="008C7AFC">
        <w:rPr>
          <w:lang w:eastAsia="en-US"/>
        </w:rPr>
        <w:t>Každý ontický fenomén vstupuje do ontologické o</w:t>
      </w:r>
      <w:r w:rsidR="00195E9F">
        <w:rPr>
          <w:lang w:eastAsia="en-US"/>
        </w:rPr>
        <w:t>dkrytosti</w:t>
      </w:r>
      <w:r w:rsidR="008C7AFC">
        <w:rPr>
          <w:lang w:eastAsia="en-US"/>
        </w:rPr>
        <w:t xml:space="preserve"> (</w:t>
      </w:r>
      <w:r w:rsidR="00195E9F" w:rsidRPr="00195E9F">
        <w:rPr>
          <w:i/>
          <w:lang w:eastAsia="en-US"/>
        </w:rPr>
        <w:t>alétheia</w:t>
      </w:r>
      <w:r w:rsidR="008C7AFC">
        <w:rPr>
          <w:lang w:eastAsia="en-US"/>
        </w:rPr>
        <w:t>)</w:t>
      </w:r>
      <w:r w:rsidR="00195E9F">
        <w:rPr>
          <w:lang w:eastAsia="en-US"/>
        </w:rPr>
        <w:t xml:space="preserve"> z prostoru původního dějinného </w:t>
      </w:r>
      <w:r w:rsidR="08FC4266" w:rsidRPr="003D1E07">
        <w:rPr>
          <w:i/>
          <w:lang w:eastAsia="en-US"/>
        </w:rPr>
        <w:t>Lichtung</w:t>
      </w:r>
      <w:r w:rsidR="009F535A">
        <w:rPr>
          <w:lang w:eastAsia="en-US"/>
        </w:rPr>
        <w:t xml:space="preserve">. To je určeno </w:t>
      </w:r>
      <w:r w:rsidR="00195E9F">
        <w:rPr>
          <w:lang w:eastAsia="en-US"/>
        </w:rPr>
        <w:t xml:space="preserve">původní </w:t>
      </w:r>
      <w:r w:rsidR="08FC4266" w:rsidRPr="003D1E07">
        <w:rPr>
          <w:lang w:eastAsia="en-US"/>
        </w:rPr>
        <w:t xml:space="preserve"> </w:t>
      </w:r>
      <w:r w:rsidR="00195E9F" w:rsidRPr="00195E9F">
        <w:rPr>
          <w:i/>
          <w:lang w:eastAsia="en-US"/>
        </w:rPr>
        <w:t>a</w:t>
      </w:r>
      <w:r w:rsidR="00195E9F">
        <w:rPr>
          <w:i/>
          <w:lang w:eastAsia="en-US"/>
        </w:rPr>
        <w:t>/</w:t>
      </w:r>
      <w:r w:rsidR="00195E9F" w:rsidRPr="00195E9F">
        <w:rPr>
          <w:i/>
          <w:lang w:eastAsia="en-US"/>
        </w:rPr>
        <w:t>létheia</w:t>
      </w:r>
      <w:r w:rsidR="00195E9F">
        <w:rPr>
          <w:i/>
          <w:lang w:eastAsia="en-US"/>
        </w:rPr>
        <w:t xml:space="preserve"> </w:t>
      </w:r>
      <w:r w:rsidR="00195E9F">
        <w:rPr>
          <w:lang w:eastAsia="en-US"/>
        </w:rPr>
        <w:t>spravovanou apolinskými Mů</w:t>
      </w:r>
      <w:r w:rsidR="00195E9F" w:rsidRPr="00195E9F">
        <w:rPr>
          <w:lang w:eastAsia="en-US"/>
        </w:rPr>
        <w:t>z</w:t>
      </w:r>
      <w:r w:rsidR="00195E9F">
        <w:rPr>
          <w:lang w:eastAsia="en-US"/>
        </w:rPr>
        <w:t>ami</w:t>
      </w:r>
      <w:r w:rsidR="00195E9F">
        <w:rPr>
          <w:i/>
          <w:lang w:eastAsia="en-US"/>
        </w:rPr>
        <w:t xml:space="preserve">. </w:t>
      </w:r>
      <w:r w:rsidR="081E16E6" w:rsidRPr="003D1E07">
        <w:rPr>
          <w:lang w:eastAsia="en-US"/>
        </w:rPr>
        <w:t>V</w:t>
      </w:r>
      <w:r w:rsidR="08486A85" w:rsidRPr="003D1E07">
        <w:rPr>
          <w:lang w:eastAsia="en-US"/>
        </w:rPr>
        <w:t xml:space="preserve"> archegetickém </w:t>
      </w:r>
      <w:r w:rsidR="081E16E6" w:rsidRPr="003D1E07">
        <w:rPr>
          <w:lang w:eastAsia="en-US"/>
        </w:rPr>
        <w:t xml:space="preserve">modu </w:t>
      </w:r>
      <w:r w:rsidR="081E16E6" w:rsidRPr="003D1E07">
        <w:rPr>
          <w:i/>
          <w:lang w:eastAsia="en-US"/>
        </w:rPr>
        <w:t>Lichtung</w:t>
      </w:r>
      <w:r w:rsidR="081E16E6" w:rsidRPr="003D1E07">
        <w:rPr>
          <w:lang w:eastAsia="en-US"/>
        </w:rPr>
        <w:t xml:space="preserve"> </w:t>
      </w:r>
      <w:r w:rsidR="08486A85" w:rsidRPr="003D1E07">
        <w:rPr>
          <w:lang w:eastAsia="en-US"/>
        </w:rPr>
        <w:t xml:space="preserve">daném múzicky a pýthicky </w:t>
      </w:r>
      <w:r w:rsidR="081E16E6" w:rsidRPr="003D1E07">
        <w:rPr>
          <w:lang w:eastAsia="en-US"/>
        </w:rPr>
        <w:t>jsou archaicky přítomné všechny proměny metafyziky</w:t>
      </w:r>
      <w:r w:rsidR="08ED0F8D" w:rsidRPr="003D1E07">
        <w:rPr>
          <w:lang w:eastAsia="en-US"/>
        </w:rPr>
        <w:t xml:space="preserve"> a </w:t>
      </w:r>
      <w:r w:rsidR="08EB77B5" w:rsidRPr="003D1E07">
        <w:rPr>
          <w:lang w:eastAsia="en-US"/>
        </w:rPr>
        <w:t>všechny její dějinné podoby</w:t>
      </w:r>
      <w:r w:rsidR="08ED0F8D" w:rsidRPr="003D1E07">
        <w:rPr>
          <w:lang w:eastAsia="en-US"/>
        </w:rPr>
        <w:t xml:space="preserve">. </w:t>
      </w:r>
      <w:r w:rsidR="08572D2C" w:rsidRPr="003D1E07">
        <w:rPr>
          <w:lang w:eastAsia="en-US"/>
        </w:rPr>
        <w:t>Dějiny metafyziky rozložené do časové osy ukazují pouze o</w:t>
      </w:r>
      <w:r w:rsidR="08824266" w:rsidRPr="003D1E07">
        <w:rPr>
          <w:lang w:eastAsia="en-US"/>
        </w:rPr>
        <w:t>ntickou dano</w:t>
      </w:r>
      <w:r w:rsidR="08EB77B5" w:rsidRPr="003D1E07">
        <w:rPr>
          <w:lang w:eastAsia="en-US"/>
        </w:rPr>
        <w:t xml:space="preserve">st </w:t>
      </w:r>
      <w:r w:rsidR="08A54CF6" w:rsidRPr="003D1E07">
        <w:rPr>
          <w:lang w:eastAsia="en-US"/>
        </w:rPr>
        <w:t xml:space="preserve">dějinnosti </w:t>
      </w:r>
      <w:r w:rsidR="08824266" w:rsidRPr="003D1E07">
        <w:rPr>
          <w:lang w:eastAsia="en-US"/>
        </w:rPr>
        <w:t>vázanou na promě</w:t>
      </w:r>
      <w:r w:rsidR="0802084C" w:rsidRPr="003D1E07">
        <w:rPr>
          <w:lang w:eastAsia="en-US"/>
        </w:rPr>
        <w:t>ny smyslu substance</w:t>
      </w:r>
      <w:r w:rsidR="08EB77B5" w:rsidRPr="003D1E07">
        <w:rPr>
          <w:lang w:eastAsia="en-US"/>
        </w:rPr>
        <w:t xml:space="preserve">. </w:t>
      </w:r>
      <w:r w:rsidR="08572D2C" w:rsidRPr="003D1E07">
        <w:rPr>
          <w:lang w:eastAsia="en-US"/>
        </w:rPr>
        <w:t xml:space="preserve">Tím dějiny myšlení nepřímo ukazují i epochální </w:t>
      </w:r>
      <w:r w:rsidR="0822311B" w:rsidRPr="003D1E07">
        <w:rPr>
          <w:lang w:eastAsia="en-US"/>
        </w:rPr>
        <w:t>bloudění metafyziky, které</w:t>
      </w:r>
      <w:r w:rsidR="08572D2C" w:rsidRPr="003D1E07">
        <w:rPr>
          <w:lang w:eastAsia="en-US"/>
        </w:rPr>
        <w:t xml:space="preserve"> vznikl</w:t>
      </w:r>
      <w:r w:rsidR="081E490B" w:rsidRPr="003D1E07">
        <w:rPr>
          <w:lang w:eastAsia="en-US"/>
        </w:rPr>
        <w:t>o</w:t>
      </w:r>
      <w:r w:rsidR="08572D2C" w:rsidRPr="003D1E07">
        <w:rPr>
          <w:lang w:eastAsia="en-US"/>
        </w:rPr>
        <w:t xml:space="preserve"> zatměním původní podoby bytí jsoucna. </w:t>
      </w:r>
      <w:r w:rsidR="08470A77" w:rsidRPr="003D1E07">
        <w:t>V pravdě jako po</w:t>
      </w:r>
      <w:r w:rsidR="08470A77" w:rsidRPr="003D1E07">
        <w:noBreakHyphen/>
        <w:t>odkrytosti (</w:t>
      </w:r>
      <w:r w:rsidR="08470A77" w:rsidRPr="003D1E07">
        <w:rPr>
          <w:i/>
        </w:rPr>
        <w:t>Un</w:t>
      </w:r>
      <w:r w:rsidR="08470A77" w:rsidRPr="003D1E07">
        <w:rPr>
          <w:i/>
        </w:rPr>
        <w:noBreakHyphen/>
        <w:t xml:space="preserve">Verborgenheit, </w:t>
      </w:r>
      <w:r w:rsidR="08470A77" w:rsidRPr="003D1E07">
        <w:t>Ἀ</w:t>
      </w:r>
      <w:r w:rsidR="08470A77" w:rsidRPr="003D1E07">
        <w:noBreakHyphen/>
        <w:t>λήθεια) se dává poznat nepřímým způsobem i původní skrytost bytí (</w:t>
      </w:r>
      <w:r w:rsidR="08470A77" w:rsidRPr="003D1E07">
        <w:rPr>
          <w:i/>
        </w:rPr>
        <w:t>Ansichhalten des Seins</w:t>
      </w:r>
      <w:r w:rsidR="08470A77" w:rsidRPr="003D1E07">
        <w:t xml:space="preserve">, </w:t>
      </w:r>
      <w:r w:rsidR="08470A77" w:rsidRPr="003D1E07">
        <w:rPr>
          <w:i/>
        </w:rPr>
        <w:t>Verborgenheit des Seins</w:t>
      </w:r>
      <w:r w:rsidR="08470A77" w:rsidRPr="003D1E07">
        <w:t>).</w:t>
      </w:r>
      <w:r w:rsidR="08470A77" w:rsidRPr="003D1E07">
        <w:rPr>
          <w:rStyle w:val="Znakapoznpodarou"/>
        </w:rPr>
        <w:footnoteReference w:id="24"/>
      </w:r>
      <w:r w:rsidR="08470A77" w:rsidRPr="003D1E07">
        <w:t xml:space="preserve"> </w:t>
      </w:r>
      <w:r w:rsidR="081E16E6" w:rsidRPr="003D1E07">
        <w:t>Událost vzniku metafyziky v podobenství o jeskyni nepřímo ukazuje na událost dění samotného bytí, které z trvalé skrytosti vydalo novou podobu odkryté přítomnosti (</w:t>
      </w:r>
      <w:r w:rsidR="081E16E6" w:rsidRPr="003D1E07">
        <w:rPr>
          <w:i/>
        </w:rPr>
        <w:t>Lichtung des sich verbergenden Bergens;</w:t>
      </w:r>
      <w:r w:rsidR="081E16E6" w:rsidRPr="003D1E07">
        <w:t xml:space="preserve"> GA 14, 88</w:t>
      </w:r>
      <w:r w:rsidR="081E16E6" w:rsidRPr="003D1E07">
        <w:fldChar w:fldCharType="begin"/>
      </w:r>
      <w:r w:rsidR="081E16E6" w:rsidRPr="003D1E07">
        <w:instrText xml:space="preserve"> XE "Heidegger:GA 14, 88" </w:instrText>
      </w:r>
      <w:r w:rsidR="081E16E6" w:rsidRPr="003D1E07">
        <w:fldChar w:fldCharType="end"/>
      </w:r>
      <w:r w:rsidR="081E16E6" w:rsidRPr="003D1E07">
        <w:t>).</w:t>
      </w:r>
      <w:r w:rsidR="081E16E6" w:rsidRPr="003D1E07">
        <w:rPr>
          <w:lang w:eastAsia="en-US"/>
        </w:rPr>
        <w:t xml:space="preserve"> </w:t>
      </w:r>
      <w:r w:rsidR="08310135" w:rsidRPr="003D1E07">
        <w:rPr>
          <w:lang w:eastAsia="en-US"/>
        </w:rPr>
        <w:t xml:space="preserve">Existuje dvojí pohyb zjevujícího dění, které dává zjevené jsoucno. </w:t>
      </w:r>
      <w:r w:rsidR="08310135" w:rsidRPr="003D1E07">
        <w:t xml:space="preserve">Skrze tu či onu formu </w:t>
      </w:r>
      <w:r w:rsidR="08310135" w:rsidRPr="003D1E07">
        <w:rPr>
          <w:i/>
        </w:rPr>
        <w:t>Lichtung</w:t>
      </w:r>
      <w:r w:rsidR="08310135" w:rsidRPr="003D1E07">
        <w:t xml:space="preserve"> dojde k zaslání bytí (</w:t>
      </w:r>
      <w:r w:rsidR="08310135" w:rsidRPr="003D1E07">
        <w:rPr>
          <w:i/>
        </w:rPr>
        <w:t>Entbergung des Seins</w:t>
      </w:r>
      <w:r w:rsidR="08310135" w:rsidRPr="003D1E07">
        <w:t>) do plné nezakrytosti jsoucna (</w:t>
      </w:r>
      <w:r w:rsidR="08310135" w:rsidRPr="003D1E07">
        <w:rPr>
          <w:i/>
        </w:rPr>
        <w:t>Un</w:t>
      </w:r>
      <w:r w:rsidR="08310135" w:rsidRPr="003D1E07">
        <w:rPr>
          <w:i/>
        </w:rPr>
        <w:noBreakHyphen/>
        <w:t>Verborgenheit des Seienden</w:t>
      </w:r>
      <w:r w:rsidR="08310135" w:rsidRPr="003D1E07">
        <w:rPr>
          <w:i/>
        </w:rPr>
        <w:fldChar w:fldCharType="begin"/>
      </w:r>
      <w:r w:rsidR="08310135" w:rsidRPr="003D1E07">
        <w:instrText xml:space="preserve"> XE "pravda:po-odkrytost" </w:instrText>
      </w:r>
      <w:r w:rsidR="08310135" w:rsidRPr="003D1E07">
        <w:rPr>
          <w:i/>
        </w:rPr>
        <w:fldChar w:fldCharType="end"/>
      </w:r>
      <w:r w:rsidR="08310135" w:rsidRPr="003D1E07">
        <w:t>).</w:t>
      </w:r>
      <w:r w:rsidR="087C6A11" w:rsidRPr="003D1E07">
        <w:t xml:space="preserve"> Ale v momentu zjevnosti jsoucna se původní dění bytí nutně stává skrytým dějem, protože temnotu jeskyně ozářilo světlo metafyzické substance. </w:t>
      </w:r>
      <w:r w:rsidR="081E16E6" w:rsidRPr="003D1E07">
        <w:rPr>
          <w:lang w:eastAsia="en-US"/>
        </w:rPr>
        <w:t xml:space="preserve">Platonova idea </w:t>
      </w:r>
      <w:r w:rsidR="084C0A9D" w:rsidRPr="003D1E07">
        <w:rPr>
          <w:lang w:eastAsia="en-US"/>
        </w:rPr>
        <w:t xml:space="preserve">nepřímo ukazuje toto </w:t>
      </w:r>
      <w:r w:rsidR="081E16E6" w:rsidRPr="003D1E07">
        <w:rPr>
          <w:lang w:eastAsia="en-US"/>
        </w:rPr>
        <w:t xml:space="preserve">skryté působení </w:t>
      </w:r>
      <w:r w:rsidR="0077304C" w:rsidRPr="003D1E07">
        <w:rPr>
          <w:lang w:eastAsia="en-US"/>
        </w:rPr>
        <w:t xml:space="preserve">skrze </w:t>
      </w:r>
      <w:r w:rsidR="00686A82" w:rsidRPr="003D1E07">
        <w:rPr>
          <w:lang w:eastAsia="en-US"/>
        </w:rPr>
        <w:lastRenderedPageBreak/>
        <w:t>metafyzickou simulaci původní</w:t>
      </w:r>
      <w:r w:rsidR="002C2FF5" w:rsidRPr="003D1E07">
        <w:rPr>
          <w:lang w:eastAsia="en-US"/>
        </w:rPr>
        <w:t xml:space="preserve">ho dění samotného </w:t>
      </w:r>
      <w:r w:rsidR="00686A82" w:rsidRPr="003D1E07">
        <w:rPr>
          <w:lang w:eastAsia="en-US"/>
        </w:rPr>
        <w:t>bytí (</w:t>
      </w:r>
      <w:r w:rsidR="00686A82" w:rsidRPr="003D1E07">
        <w:rPr>
          <w:i/>
          <w:lang w:eastAsia="en-US"/>
        </w:rPr>
        <w:t>Ereignis</w:t>
      </w:r>
      <w:r w:rsidR="00F8685F" w:rsidRPr="003D1E07">
        <w:rPr>
          <w:i/>
          <w:lang w:eastAsia="en-US"/>
        </w:rPr>
        <w:fldChar w:fldCharType="begin"/>
      </w:r>
      <w:r w:rsidR="00F8685F" w:rsidRPr="003D1E07">
        <w:instrText xml:space="preserve"> XE "</w:instrText>
      </w:r>
      <w:r w:rsidR="00F8685F" w:rsidRPr="003D1E07">
        <w:rPr>
          <w:i/>
          <w:lang w:eastAsia="en-US"/>
        </w:rPr>
        <w:instrText>Ereignis</w:instrText>
      </w:r>
      <w:r w:rsidR="00F8685F" w:rsidRPr="003D1E07">
        <w:instrText xml:space="preserve">" </w:instrText>
      </w:r>
      <w:r w:rsidR="00F8685F" w:rsidRPr="003D1E07">
        <w:rPr>
          <w:i/>
          <w:lang w:eastAsia="en-US"/>
        </w:rPr>
        <w:fldChar w:fldCharType="end"/>
      </w:r>
      <w:r w:rsidR="00686A82" w:rsidRPr="003D1E07">
        <w:rPr>
          <w:lang w:eastAsia="en-US"/>
        </w:rPr>
        <w:t>)</w:t>
      </w:r>
      <w:r w:rsidR="081E16E6" w:rsidRPr="003D1E07">
        <w:rPr>
          <w:lang w:eastAsia="en-US"/>
        </w:rPr>
        <w:t xml:space="preserve">. </w:t>
      </w:r>
      <w:r w:rsidR="00FD2D46" w:rsidRPr="003D1E07">
        <w:rPr>
          <w:lang w:eastAsia="en-US"/>
        </w:rPr>
        <w:t xml:space="preserve">Běžná forma porozumění </w:t>
      </w:r>
      <w:r w:rsidR="00FF4476" w:rsidRPr="003D1E07">
        <w:rPr>
          <w:lang w:eastAsia="en-US"/>
        </w:rPr>
        <w:t xml:space="preserve">je </w:t>
      </w:r>
      <w:r w:rsidR="00D45BFD" w:rsidRPr="003D1E07">
        <w:rPr>
          <w:lang w:eastAsia="en-US"/>
        </w:rPr>
        <w:t>určená řemeslnou dovedností</w:t>
      </w:r>
      <w:r w:rsidR="001F0FA4" w:rsidRPr="003D1E07">
        <w:rPr>
          <w:lang w:eastAsia="en-US"/>
        </w:rPr>
        <w:t xml:space="preserve"> troglodytů</w:t>
      </w:r>
      <w:r w:rsidR="00D45BFD" w:rsidRPr="003D1E07">
        <w:rPr>
          <w:lang w:eastAsia="en-US"/>
        </w:rPr>
        <w:t>. O</w:t>
      </w:r>
      <w:r w:rsidR="00FF4476" w:rsidRPr="003D1E07">
        <w:rPr>
          <w:lang w:eastAsia="en-US"/>
        </w:rPr>
        <w:t xml:space="preserve">heň v jeskyni symbolizuje běžné technické </w:t>
      </w:r>
      <w:r w:rsidR="00FF4476" w:rsidRPr="003D1E07">
        <w:rPr>
          <w:i/>
          <w:lang w:eastAsia="en-US"/>
        </w:rPr>
        <w:t>Lichtung</w:t>
      </w:r>
      <w:r w:rsidR="00FF4476" w:rsidRPr="003D1E07">
        <w:rPr>
          <w:lang w:eastAsia="en-US"/>
        </w:rPr>
        <w:t xml:space="preserve"> určené hrou stínů a věcí. Nová odkrytost jsoucna </w:t>
      </w:r>
      <w:r w:rsidR="00D45BFD" w:rsidRPr="003D1E07">
        <w:rPr>
          <w:lang w:eastAsia="en-US"/>
        </w:rPr>
        <w:t xml:space="preserve">vznikne </w:t>
      </w:r>
      <w:r w:rsidR="08DF0BED" w:rsidRPr="003D1E07">
        <w:rPr>
          <w:lang w:eastAsia="en-US"/>
        </w:rPr>
        <w:t xml:space="preserve">východem akademicky osvíceného Sokrata </w:t>
      </w:r>
      <w:r w:rsidR="088E0A2E" w:rsidRPr="003D1E07">
        <w:rPr>
          <w:lang w:eastAsia="en-US"/>
        </w:rPr>
        <w:t>z </w:t>
      </w:r>
      <w:r w:rsidR="08DF0BED" w:rsidRPr="003D1E07">
        <w:rPr>
          <w:lang w:eastAsia="en-US"/>
        </w:rPr>
        <w:t>jeskyně</w:t>
      </w:r>
      <w:r w:rsidR="088E0A2E" w:rsidRPr="003D1E07">
        <w:rPr>
          <w:lang w:eastAsia="en-US"/>
        </w:rPr>
        <w:t xml:space="preserve"> a jeho opětovným příchodem v roli </w:t>
      </w:r>
      <w:r w:rsidR="08C72765" w:rsidRPr="003D1E07">
        <w:rPr>
          <w:lang w:eastAsia="en-US"/>
        </w:rPr>
        <w:t xml:space="preserve">metafyzického </w:t>
      </w:r>
      <w:r w:rsidR="088E0A2E" w:rsidRPr="003D1E07">
        <w:rPr>
          <w:lang w:eastAsia="en-US"/>
        </w:rPr>
        <w:t>pedagoga</w:t>
      </w:r>
      <w:r w:rsidR="08DF0BED" w:rsidRPr="003D1E07">
        <w:rPr>
          <w:lang w:eastAsia="en-US"/>
        </w:rPr>
        <w:t xml:space="preserve">. </w:t>
      </w:r>
      <w:r w:rsidR="00D45BFD" w:rsidRPr="003D1E07">
        <w:rPr>
          <w:lang w:eastAsia="en-US"/>
        </w:rPr>
        <w:t>D</w:t>
      </w:r>
      <w:r w:rsidR="00FF4476" w:rsidRPr="003D1E07">
        <w:rPr>
          <w:lang w:eastAsia="en-US"/>
        </w:rPr>
        <w:t xml:space="preserve">íky </w:t>
      </w:r>
      <w:r w:rsidR="00D45BFD" w:rsidRPr="003D1E07">
        <w:rPr>
          <w:lang w:eastAsia="en-US"/>
        </w:rPr>
        <w:t>metafyzi</w:t>
      </w:r>
      <w:r w:rsidR="00FF4476" w:rsidRPr="003D1E07">
        <w:rPr>
          <w:lang w:eastAsia="en-US"/>
        </w:rPr>
        <w:t xml:space="preserve">cky danému </w:t>
      </w:r>
      <w:r w:rsidR="00FF4476" w:rsidRPr="003D1E07">
        <w:rPr>
          <w:i/>
          <w:lang w:eastAsia="en-US"/>
        </w:rPr>
        <w:t>Lichtung</w:t>
      </w:r>
      <w:r w:rsidR="00FF4476" w:rsidRPr="003D1E07">
        <w:rPr>
          <w:lang w:eastAsia="en-US"/>
        </w:rPr>
        <w:t xml:space="preserve"> může idea zářit a být zjevná v plnosti své substanční přítomnosti. </w:t>
      </w:r>
      <w:r w:rsidR="08C72765" w:rsidRPr="003D1E07">
        <w:rPr>
          <w:lang w:eastAsia="en-US"/>
        </w:rPr>
        <w:t xml:space="preserve">V nové formě první filosofie přestalo platit heslo </w:t>
      </w:r>
      <w:r w:rsidR="08C72765" w:rsidRPr="003D1E07">
        <w:rPr>
          <w:i/>
          <w:lang w:eastAsia="en-US"/>
        </w:rPr>
        <w:t>Ex oriente lux</w:t>
      </w:r>
      <w:r w:rsidR="08C72765" w:rsidRPr="003D1E07">
        <w:rPr>
          <w:lang w:eastAsia="en-US"/>
        </w:rPr>
        <w:t xml:space="preserve">. V Akadémově svatyni </w:t>
      </w:r>
      <w:r w:rsidR="08DF0BED" w:rsidRPr="003D1E07">
        <w:rPr>
          <w:lang w:eastAsia="en-US"/>
        </w:rPr>
        <w:t xml:space="preserve">trvale </w:t>
      </w:r>
      <w:r w:rsidR="08F1307D" w:rsidRPr="003D1E07">
        <w:rPr>
          <w:lang w:eastAsia="en-US"/>
        </w:rPr>
        <w:t>plane po</w:t>
      </w:r>
      <w:r w:rsidR="08714B7A" w:rsidRPr="003D1E07">
        <w:rPr>
          <w:lang w:eastAsia="en-US"/>
        </w:rPr>
        <w:t>s</w:t>
      </w:r>
      <w:r w:rsidR="08F1307D" w:rsidRPr="003D1E07">
        <w:rPr>
          <w:lang w:eastAsia="en-US"/>
        </w:rPr>
        <w:t>vátný oheň ideje</w:t>
      </w:r>
      <w:r w:rsidR="08DF0BED" w:rsidRPr="003D1E07">
        <w:rPr>
          <w:lang w:eastAsia="en-US"/>
        </w:rPr>
        <w:t xml:space="preserve"> Dobra</w:t>
      </w:r>
      <w:r w:rsidR="00A70128">
        <w:rPr>
          <w:lang w:eastAsia="en-US"/>
        </w:rPr>
        <w:t>. Původní hra</w:t>
      </w:r>
      <w:r w:rsidR="00E70905" w:rsidRPr="003D1E07">
        <w:rPr>
          <w:lang w:eastAsia="en-US"/>
        </w:rPr>
        <w:t xml:space="preserve"> </w:t>
      </w:r>
      <w:r w:rsidR="00A70128">
        <w:rPr>
          <w:lang w:eastAsia="en-US"/>
        </w:rPr>
        <w:t>skrytosti a odkrytosti bytí neby</w:t>
      </w:r>
      <w:r w:rsidR="00E70905" w:rsidRPr="003D1E07">
        <w:rPr>
          <w:lang w:eastAsia="en-US"/>
        </w:rPr>
        <w:t>l</w:t>
      </w:r>
      <w:r w:rsidR="00A70128">
        <w:rPr>
          <w:lang w:eastAsia="en-US"/>
        </w:rPr>
        <w:t>a</w:t>
      </w:r>
      <w:r w:rsidR="00E70905" w:rsidRPr="003D1E07">
        <w:rPr>
          <w:lang w:eastAsia="en-US"/>
        </w:rPr>
        <w:t xml:space="preserve"> nahrazena novou formou dějinného </w:t>
      </w:r>
      <w:r w:rsidR="00E70905" w:rsidRPr="00A70128">
        <w:rPr>
          <w:i/>
          <w:lang w:eastAsia="en-US"/>
        </w:rPr>
        <w:t>Lichtung</w:t>
      </w:r>
      <w:r w:rsidR="00E70905" w:rsidRPr="003D1E07">
        <w:rPr>
          <w:lang w:eastAsia="en-US"/>
        </w:rPr>
        <w:t xml:space="preserve">, ale mytopoetickým světlem nehasnoucího intelektu-slunce. </w:t>
      </w:r>
      <w:r w:rsidR="08DF355E" w:rsidRPr="003D1E07">
        <w:rPr>
          <w:lang w:eastAsia="en-US"/>
        </w:rPr>
        <w:t>T</w:t>
      </w:r>
      <w:r w:rsidR="08DF0BED" w:rsidRPr="003D1E07">
        <w:rPr>
          <w:lang w:eastAsia="en-US"/>
        </w:rPr>
        <w:t xml:space="preserve">emnotu </w:t>
      </w:r>
      <w:r w:rsidR="08DF0BED" w:rsidRPr="003D1E07">
        <w:rPr>
          <w:i/>
          <w:lang w:eastAsia="en-US"/>
        </w:rPr>
        <w:t>Lichtung</w:t>
      </w:r>
      <w:r w:rsidR="08DF0BED" w:rsidRPr="003D1E07">
        <w:rPr>
          <w:lang w:eastAsia="en-US"/>
        </w:rPr>
        <w:t xml:space="preserve"> </w:t>
      </w:r>
      <w:r w:rsidR="002407B5" w:rsidRPr="003D1E07">
        <w:rPr>
          <w:lang w:eastAsia="en-US"/>
        </w:rPr>
        <w:t xml:space="preserve">skrytou v samotném centru </w:t>
      </w:r>
      <w:r w:rsidR="08425CFC" w:rsidRPr="003D1E07">
        <w:rPr>
          <w:lang w:eastAsia="en-US"/>
        </w:rPr>
        <w:t xml:space="preserve">metafyziky </w:t>
      </w:r>
      <w:r w:rsidR="08DF0BED" w:rsidRPr="003D1E07">
        <w:rPr>
          <w:lang w:eastAsia="en-US"/>
        </w:rPr>
        <w:t xml:space="preserve">opatrují </w:t>
      </w:r>
      <w:r w:rsidR="000F3FBC" w:rsidRPr="003D1E07">
        <w:rPr>
          <w:lang w:eastAsia="en-US"/>
        </w:rPr>
        <w:t xml:space="preserve">tragicky nutně </w:t>
      </w:r>
      <w:r w:rsidR="08DF0BED" w:rsidRPr="003D1E07">
        <w:rPr>
          <w:lang w:eastAsia="en-US"/>
        </w:rPr>
        <w:t xml:space="preserve">pouze bohyně Pomsty. </w:t>
      </w:r>
      <w:r w:rsidR="08E52714" w:rsidRPr="003D1E07">
        <w:rPr>
          <w:lang w:eastAsia="en-US"/>
        </w:rPr>
        <w:t xml:space="preserve">V poli původního </w:t>
      </w:r>
      <w:r w:rsidR="08800FF9" w:rsidRPr="003D1E07">
        <w:rPr>
          <w:lang w:eastAsia="en-US"/>
        </w:rPr>
        <w:t>arche</w:t>
      </w:r>
      <w:r w:rsidR="089B07D7" w:rsidRPr="003D1E07">
        <w:rPr>
          <w:lang w:eastAsia="en-US"/>
        </w:rPr>
        <w:t xml:space="preserve">getického </w:t>
      </w:r>
      <w:r w:rsidR="08E52714" w:rsidRPr="003D1E07">
        <w:rPr>
          <w:lang w:eastAsia="en-US"/>
        </w:rPr>
        <w:t xml:space="preserve">zjevování daného skrze termín </w:t>
      </w:r>
      <w:r w:rsidR="08E52714" w:rsidRPr="003D1E07">
        <w:rPr>
          <w:i/>
          <w:lang w:eastAsia="en-US"/>
        </w:rPr>
        <w:t>Lichtung</w:t>
      </w:r>
      <w:r w:rsidR="08E52714" w:rsidRPr="003D1E07">
        <w:rPr>
          <w:lang w:eastAsia="en-US"/>
        </w:rPr>
        <w:t xml:space="preserve"> se dává objektivita v modu zjevnosti a nezjevnosti, který předává archaická podoba pravdy </w:t>
      </w:r>
      <w:r w:rsidR="085C5B29" w:rsidRPr="003D1E07">
        <w:rPr>
          <w:lang w:eastAsia="en-US"/>
        </w:rPr>
        <w:t xml:space="preserve">a klamu </w:t>
      </w:r>
      <w:r w:rsidR="08E52714" w:rsidRPr="003D1E07">
        <w:rPr>
          <w:lang w:eastAsia="en-US"/>
        </w:rPr>
        <w:t xml:space="preserve">jako </w:t>
      </w:r>
      <w:r w:rsidR="085C5B29" w:rsidRPr="003D1E07">
        <w:rPr>
          <w:lang w:eastAsia="en-US"/>
        </w:rPr>
        <w:t xml:space="preserve">původní </w:t>
      </w:r>
      <w:r w:rsidR="08E52714" w:rsidRPr="003D1E07">
        <w:rPr>
          <w:lang w:eastAsia="en-US"/>
        </w:rPr>
        <w:t>po</w:t>
      </w:r>
      <w:r w:rsidR="08E52714" w:rsidRPr="003D1E07">
        <w:rPr>
          <w:lang w:eastAsia="en-US"/>
        </w:rPr>
        <w:noBreakHyphen/>
        <w:t>odkrytosti (</w:t>
      </w:r>
      <w:r w:rsidR="08E52714" w:rsidRPr="003D1E07">
        <w:rPr>
          <w:i/>
          <w:lang w:eastAsia="en-US"/>
        </w:rPr>
        <w:t>a/létheia</w:t>
      </w:r>
      <w:r w:rsidR="08E52714" w:rsidRPr="003D1E07">
        <w:rPr>
          <w:i/>
          <w:lang w:eastAsia="en-US"/>
        </w:rPr>
        <w:fldChar w:fldCharType="begin"/>
      </w:r>
      <w:r w:rsidR="08E52714" w:rsidRPr="003D1E07">
        <w:instrText xml:space="preserve"> XE "</w:instrText>
      </w:r>
      <w:r w:rsidR="08E52714" w:rsidRPr="003D1E07">
        <w:rPr>
          <w:i/>
          <w:lang w:eastAsia="en-US"/>
        </w:rPr>
        <w:instrText>a/létheia</w:instrText>
      </w:r>
      <w:r w:rsidR="08E52714" w:rsidRPr="003D1E07">
        <w:instrText xml:space="preserve">" </w:instrText>
      </w:r>
      <w:r w:rsidR="08E52714" w:rsidRPr="003D1E07">
        <w:rPr>
          <w:i/>
          <w:lang w:eastAsia="en-US"/>
        </w:rPr>
        <w:fldChar w:fldCharType="end"/>
      </w:r>
      <w:r w:rsidR="08E52714" w:rsidRPr="003D1E07">
        <w:rPr>
          <w:lang w:eastAsia="en-US"/>
        </w:rPr>
        <w:t>). Klíčový je způsob náhledu na tu</w:t>
      </w:r>
      <w:r w:rsidR="08194722" w:rsidRPr="003D1E07">
        <w:rPr>
          <w:lang w:eastAsia="en-US"/>
        </w:rPr>
        <w:t xml:space="preserve">to původní manifestaci </w:t>
      </w:r>
      <w:r w:rsidR="08531A04" w:rsidRPr="003D1E07">
        <w:rPr>
          <w:lang w:eastAsia="en-US"/>
        </w:rPr>
        <w:t xml:space="preserve">metafyzické </w:t>
      </w:r>
      <w:r w:rsidR="08F70492" w:rsidRPr="003D1E07">
        <w:rPr>
          <w:lang w:eastAsia="en-US"/>
        </w:rPr>
        <w:t xml:space="preserve">ne/pravdy </w:t>
      </w:r>
      <w:r w:rsidR="08531A04" w:rsidRPr="003D1E07">
        <w:rPr>
          <w:lang w:eastAsia="en-US"/>
        </w:rPr>
        <w:t xml:space="preserve">dané </w:t>
      </w:r>
      <w:r w:rsidR="089B07D7" w:rsidRPr="003D1E07">
        <w:rPr>
          <w:lang w:eastAsia="en-US"/>
        </w:rPr>
        <w:t xml:space="preserve">apollinsky-sémantickou </w:t>
      </w:r>
      <w:r w:rsidR="08531A04" w:rsidRPr="003D1E07">
        <w:rPr>
          <w:lang w:eastAsia="en-US"/>
        </w:rPr>
        <w:t xml:space="preserve">manifestací </w:t>
      </w:r>
      <w:r w:rsidR="08F70492" w:rsidRPr="003D1E07">
        <w:rPr>
          <w:lang w:eastAsia="en-US"/>
        </w:rPr>
        <w:t xml:space="preserve">celku </w:t>
      </w:r>
      <w:r w:rsidR="08194722" w:rsidRPr="003D1E07">
        <w:rPr>
          <w:lang w:eastAsia="en-US"/>
        </w:rPr>
        <w:t>jsoucna.</w:t>
      </w:r>
      <w:r w:rsidR="08C153A0" w:rsidRPr="003D1E07">
        <w:rPr>
          <w:lang w:eastAsia="en-US"/>
        </w:rPr>
        <w:t xml:space="preserve"> </w:t>
      </w:r>
      <w:r w:rsidR="08B91E68" w:rsidRPr="003D1E07">
        <w:rPr>
          <w:lang w:eastAsia="en-US"/>
        </w:rPr>
        <w:t xml:space="preserve">Moderní </w:t>
      </w:r>
      <w:r w:rsidR="08F42509" w:rsidRPr="003D1E07">
        <w:rPr>
          <w:lang w:eastAsia="en-US"/>
        </w:rPr>
        <w:t>dati</w:t>
      </w:r>
      <w:r w:rsidR="081751AF" w:rsidRPr="003D1E07">
        <w:rPr>
          <w:lang w:eastAsia="en-US"/>
        </w:rPr>
        <w:t xml:space="preserve">v metafyziky </w:t>
      </w:r>
      <w:r w:rsidR="089E359F" w:rsidRPr="003D1E07">
        <w:rPr>
          <w:lang w:eastAsia="en-US"/>
        </w:rPr>
        <w:t xml:space="preserve">vytěsnil </w:t>
      </w:r>
      <w:r w:rsidR="0818689D" w:rsidRPr="003D1E07">
        <w:rPr>
          <w:lang w:eastAsia="en-US"/>
        </w:rPr>
        <w:t xml:space="preserve">apollinské </w:t>
      </w:r>
      <w:r w:rsidR="0818689D" w:rsidRPr="003D1E07">
        <w:rPr>
          <w:i/>
          <w:lang w:eastAsia="en-US"/>
        </w:rPr>
        <w:t>sémaion</w:t>
      </w:r>
      <w:r w:rsidR="0818689D" w:rsidRPr="003D1E07">
        <w:rPr>
          <w:lang w:eastAsia="en-US"/>
        </w:rPr>
        <w:t xml:space="preserve"> </w:t>
      </w:r>
      <w:r w:rsidR="086C66F1" w:rsidRPr="003D1E07">
        <w:rPr>
          <w:lang w:eastAsia="en-US"/>
        </w:rPr>
        <w:t xml:space="preserve">plnou </w:t>
      </w:r>
      <w:r w:rsidR="089E359F" w:rsidRPr="003D1E07">
        <w:rPr>
          <w:lang w:eastAsia="en-US"/>
        </w:rPr>
        <w:t>přítomností substance. Archegetická séma</w:t>
      </w:r>
      <w:r w:rsidR="08A45C6B" w:rsidRPr="003D1E07">
        <w:rPr>
          <w:lang w:eastAsia="en-US"/>
        </w:rPr>
        <w:t>n</w:t>
      </w:r>
      <w:r w:rsidR="089E359F" w:rsidRPr="003D1E07">
        <w:rPr>
          <w:lang w:eastAsia="en-US"/>
        </w:rPr>
        <w:t xml:space="preserve">tická </w:t>
      </w:r>
      <w:r w:rsidR="08A45C6B" w:rsidRPr="003D1E07">
        <w:rPr>
          <w:lang w:eastAsia="en-US"/>
        </w:rPr>
        <w:t xml:space="preserve">přítomnost celku </w:t>
      </w:r>
      <w:r w:rsidR="089E359F" w:rsidRPr="003D1E07">
        <w:rPr>
          <w:lang w:eastAsia="en-US"/>
        </w:rPr>
        <w:t xml:space="preserve">bytí jsoucna </w:t>
      </w:r>
      <w:r w:rsidR="08913ADA" w:rsidRPr="003D1E07">
        <w:rPr>
          <w:lang w:eastAsia="en-US"/>
        </w:rPr>
        <w:t xml:space="preserve">naposledy zkoumaná Sokratem </w:t>
      </w:r>
      <w:r w:rsidR="089E359F" w:rsidRPr="003D1E07">
        <w:rPr>
          <w:lang w:eastAsia="en-US"/>
        </w:rPr>
        <w:t xml:space="preserve">se stala v metafyzice </w:t>
      </w:r>
      <w:r w:rsidR="08A45C6B" w:rsidRPr="003D1E07">
        <w:rPr>
          <w:lang w:eastAsia="en-US"/>
        </w:rPr>
        <w:t xml:space="preserve">aktuálně přítomným </w:t>
      </w:r>
      <w:r w:rsidR="089E359F" w:rsidRPr="003D1E07">
        <w:rPr>
          <w:lang w:eastAsia="en-US"/>
        </w:rPr>
        <w:t xml:space="preserve">bytím </w:t>
      </w:r>
      <w:r w:rsidR="00175D69" w:rsidRPr="003D1E07">
        <w:rPr>
          <w:lang w:eastAsia="en-US"/>
        </w:rPr>
        <w:t xml:space="preserve">této substance </w:t>
      </w:r>
      <w:r w:rsidR="00F2760C">
        <w:rPr>
          <w:lang w:eastAsia="en-US"/>
        </w:rPr>
        <w:t xml:space="preserve">dané </w:t>
      </w:r>
      <w:r w:rsidR="089E359F" w:rsidRPr="003D1E07">
        <w:rPr>
          <w:lang w:eastAsia="en-US"/>
        </w:rPr>
        <w:t>zde</w:t>
      </w:r>
      <w:r w:rsidR="08FB109C" w:rsidRPr="003D1E07">
        <w:rPr>
          <w:lang w:eastAsia="en-US"/>
        </w:rPr>
        <w:t xml:space="preserve"> </w:t>
      </w:r>
      <w:r w:rsidR="00F2760C">
        <w:rPr>
          <w:lang w:eastAsia="en-US"/>
        </w:rPr>
        <w:t xml:space="preserve">a nyní </w:t>
      </w:r>
      <w:r w:rsidR="08FB109C" w:rsidRPr="003D1E07">
        <w:rPr>
          <w:lang w:eastAsia="en-US"/>
        </w:rPr>
        <w:t>(</w:t>
      </w:r>
      <w:r w:rsidR="08FB109C" w:rsidRPr="003D1E07">
        <w:t>τόδε τι</w:t>
      </w:r>
      <w:r w:rsidR="08FB109C" w:rsidRPr="003D1E07">
        <w:rPr>
          <w:lang w:eastAsia="en-US"/>
        </w:rPr>
        <w:t>)</w:t>
      </w:r>
      <w:r w:rsidR="089E359F" w:rsidRPr="003D1E07">
        <w:rPr>
          <w:lang w:eastAsia="en-US"/>
        </w:rPr>
        <w:t xml:space="preserve">. </w:t>
      </w:r>
      <w:r w:rsidR="08B73A3D" w:rsidRPr="003D1E07">
        <w:rPr>
          <w:lang w:eastAsia="en-US"/>
        </w:rPr>
        <w:t>Metafyzika vznikla řemeslnou banalizací první filosofie</w:t>
      </w:r>
      <w:r w:rsidR="087F4726" w:rsidRPr="003D1E07">
        <w:rPr>
          <w:lang w:eastAsia="en-US"/>
        </w:rPr>
        <w:t xml:space="preserve"> během vlády zlaté athénské </w:t>
      </w:r>
      <w:r w:rsidR="08F84995" w:rsidRPr="003D1E07">
        <w:rPr>
          <w:lang w:eastAsia="en-US"/>
        </w:rPr>
        <w:t xml:space="preserve">modernistické mládeže, která ironicky a komicky zprofanovala nejmoudřejšího ze všech lidí na </w:t>
      </w:r>
      <w:r w:rsidR="087F4726" w:rsidRPr="003D1E07">
        <w:rPr>
          <w:lang w:eastAsia="en-US"/>
        </w:rPr>
        <w:t>aka</w:t>
      </w:r>
      <w:r w:rsidR="08F84995" w:rsidRPr="003D1E07">
        <w:rPr>
          <w:lang w:eastAsia="en-US"/>
        </w:rPr>
        <w:t>demický idol</w:t>
      </w:r>
      <w:r w:rsidR="08AA4F2B" w:rsidRPr="003D1E07">
        <w:rPr>
          <w:lang w:eastAsia="en-US"/>
        </w:rPr>
        <w:t xml:space="preserve">. </w:t>
      </w:r>
      <w:r w:rsidR="08BE3AFD" w:rsidRPr="003D1E07">
        <w:rPr>
          <w:lang w:eastAsia="en-US"/>
        </w:rPr>
        <w:t xml:space="preserve">Perfektní vidění ideje jako nového simulákra vytlačilo prézentní vidění prvních filosofů a Sokrata do temnoty minulého děje. </w:t>
      </w:r>
      <w:r w:rsidR="081D188F" w:rsidRPr="003D1E07">
        <w:rPr>
          <w:lang w:eastAsia="en-US"/>
        </w:rPr>
        <w:t xml:space="preserve">Platonský metafyzik přesně ví i před svým narozením, co je jsoucno. </w:t>
      </w:r>
      <w:r w:rsidR="08BE3AFD" w:rsidRPr="003D1E07">
        <w:rPr>
          <w:lang w:eastAsia="en-US"/>
        </w:rPr>
        <w:t xml:space="preserve">Mytopoetika idejí zakládá pravdivou identitu moderních iluminátů a postmoderních osvícenců. </w:t>
      </w:r>
      <w:r w:rsidR="08AA4F2B" w:rsidRPr="003D1E07">
        <w:rPr>
          <w:lang w:eastAsia="en-US"/>
        </w:rPr>
        <w:t xml:space="preserve">Každý dobrý </w:t>
      </w:r>
      <w:r w:rsidR="08B73A3D" w:rsidRPr="003D1E07">
        <w:rPr>
          <w:lang w:eastAsia="en-US"/>
        </w:rPr>
        <w:t xml:space="preserve">technik ví, co </w:t>
      </w:r>
      <w:r w:rsidR="08AA4F2B" w:rsidRPr="003D1E07">
        <w:rPr>
          <w:lang w:eastAsia="en-US"/>
        </w:rPr>
        <w:t>má dělat</w:t>
      </w:r>
      <w:r w:rsidR="08013123" w:rsidRPr="003D1E07">
        <w:rPr>
          <w:lang w:eastAsia="en-US"/>
        </w:rPr>
        <w:t>, když má před sebou tu či onu substanci</w:t>
      </w:r>
      <w:r w:rsidR="08B73A3D" w:rsidRPr="003D1E07">
        <w:rPr>
          <w:lang w:eastAsia="en-US"/>
        </w:rPr>
        <w:t xml:space="preserve">. </w:t>
      </w:r>
      <w:r w:rsidR="08ED1843" w:rsidRPr="003D1E07">
        <w:rPr>
          <w:lang w:eastAsia="en-US"/>
        </w:rPr>
        <w:t xml:space="preserve">Technik idejí a substance </w:t>
      </w:r>
      <w:r w:rsidR="08F421A1" w:rsidRPr="003D1E07">
        <w:rPr>
          <w:lang w:eastAsia="en-US"/>
        </w:rPr>
        <w:t xml:space="preserve">přestal </w:t>
      </w:r>
      <w:r w:rsidR="086E6D2F" w:rsidRPr="003D1E07">
        <w:rPr>
          <w:lang w:eastAsia="en-US"/>
        </w:rPr>
        <w:t xml:space="preserve">hledat sémantiku po-odkrytě přítomného celku bytí jsoucna. </w:t>
      </w:r>
      <w:r w:rsidR="08D15A96" w:rsidRPr="003D1E07">
        <w:rPr>
          <w:lang w:eastAsia="en-US"/>
        </w:rPr>
        <w:t xml:space="preserve">Celek plně přítomných jsoucen </w:t>
      </w:r>
      <w:r w:rsidR="08C153A0" w:rsidRPr="003D1E07">
        <w:rPr>
          <w:lang w:eastAsia="en-US"/>
        </w:rPr>
        <w:t>už má minulostní ráz toho, co není</w:t>
      </w:r>
      <w:r w:rsidR="08BF58B0" w:rsidRPr="003D1E07">
        <w:rPr>
          <w:lang w:eastAsia="en-US"/>
        </w:rPr>
        <w:t xml:space="preserve"> a jeho </w:t>
      </w:r>
      <w:r w:rsidR="084A1BED" w:rsidRPr="003D1E07">
        <w:rPr>
          <w:lang w:eastAsia="en-US"/>
        </w:rPr>
        <w:t xml:space="preserve">archaickou </w:t>
      </w:r>
      <w:r w:rsidR="08BF58B0" w:rsidRPr="003D1E07">
        <w:rPr>
          <w:lang w:eastAsia="en-US"/>
        </w:rPr>
        <w:t>séma</w:t>
      </w:r>
      <w:r w:rsidR="08412FC3" w:rsidRPr="003D1E07">
        <w:rPr>
          <w:lang w:eastAsia="en-US"/>
        </w:rPr>
        <w:t>n</w:t>
      </w:r>
      <w:r w:rsidR="08BF58B0" w:rsidRPr="003D1E07">
        <w:rPr>
          <w:lang w:eastAsia="en-US"/>
        </w:rPr>
        <w:t xml:space="preserve">tiku vytěsnila </w:t>
      </w:r>
      <w:r w:rsidR="084A1BED" w:rsidRPr="003D1E07">
        <w:rPr>
          <w:lang w:eastAsia="en-US"/>
        </w:rPr>
        <w:t xml:space="preserve">aristotelská </w:t>
      </w:r>
      <w:r w:rsidR="08BF58B0" w:rsidRPr="003D1E07">
        <w:rPr>
          <w:lang w:eastAsia="en-US"/>
        </w:rPr>
        <w:t>logika</w:t>
      </w:r>
      <w:r w:rsidR="08C153A0" w:rsidRPr="003D1E07">
        <w:rPr>
          <w:lang w:eastAsia="en-US"/>
        </w:rPr>
        <w:t xml:space="preserve">. </w:t>
      </w:r>
      <w:r w:rsidR="081C6850" w:rsidRPr="003D1E07">
        <w:rPr>
          <w:lang w:eastAsia="en-US"/>
        </w:rPr>
        <w:t>Pro metafyziku s</w:t>
      </w:r>
      <w:r w:rsidR="08977300" w:rsidRPr="003D1E07">
        <w:rPr>
          <w:lang w:eastAsia="en-US"/>
        </w:rPr>
        <w:t>e stalo původní pojetí po-odhalenosti (</w:t>
      </w:r>
      <w:r w:rsidR="08977300" w:rsidRPr="003D1E07">
        <w:rPr>
          <w:i/>
          <w:lang w:eastAsia="en-US"/>
        </w:rPr>
        <w:t>a/létheia</w:t>
      </w:r>
      <w:r w:rsidR="08977300" w:rsidRPr="003D1E07">
        <w:rPr>
          <w:lang w:eastAsia="en-US"/>
        </w:rPr>
        <w:t xml:space="preserve">) </w:t>
      </w:r>
      <w:r w:rsidR="08AD02B5" w:rsidRPr="003D1E07">
        <w:rPr>
          <w:lang w:eastAsia="en-US"/>
        </w:rPr>
        <w:t xml:space="preserve">bytí </w:t>
      </w:r>
      <w:r w:rsidR="084D7A92" w:rsidRPr="003D1E07">
        <w:rPr>
          <w:lang w:eastAsia="en-US"/>
        </w:rPr>
        <w:t>nedostupným dějem</w:t>
      </w:r>
      <w:r w:rsidR="08901165" w:rsidRPr="003D1E07">
        <w:rPr>
          <w:lang w:eastAsia="en-US"/>
        </w:rPr>
        <w:t>.</w:t>
      </w:r>
      <w:r w:rsidR="08276BBF" w:rsidRPr="003D1E07">
        <w:rPr>
          <w:lang w:eastAsia="en-US"/>
        </w:rPr>
        <w:t xml:space="preserve"> Metafyzický technik myšlení je v</w:t>
      </w:r>
      <w:r w:rsidR="08A55B81" w:rsidRPr="003D1E07">
        <w:rPr>
          <w:lang w:eastAsia="en-US"/>
        </w:rPr>
        <w:t xml:space="preserve"> apollinské </w:t>
      </w:r>
      <w:r w:rsidR="08276BBF" w:rsidRPr="003D1E07">
        <w:rPr>
          <w:lang w:eastAsia="en-US"/>
        </w:rPr>
        <w:t>te</w:t>
      </w:r>
      <w:r w:rsidR="08A55B81" w:rsidRPr="003D1E07">
        <w:rPr>
          <w:lang w:eastAsia="en-US"/>
        </w:rPr>
        <w:t>mnotě jsoucna naprosto ztracen</w:t>
      </w:r>
      <w:r w:rsidR="08426575" w:rsidRPr="003D1E07">
        <w:rPr>
          <w:lang w:eastAsia="en-US"/>
        </w:rPr>
        <w:t xml:space="preserve">. </w:t>
      </w:r>
      <w:r w:rsidR="00F24C4A" w:rsidRPr="003D1E07">
        <w:t xml:space="preserve">V temnotě delfské jeskyně by moderní troglodyt </w:t>
      </w:r>
      <w:r w:rsidR="00F24C4A" w:rsidRPr="003D1E07">
        <w:rPr>
          <w:lang w:eastAsia="en-US"/>
        </w:rPr>
        <w:t xml:space="preserve">přišel o metafyzický intelekt-slunce řízený bohyněmi Pomsty. </w:t>
      </w:r>
      <w:r w:rsidR="08426575" w:rsidRPr="003D1E07">
        <w:rPr>
          <w:lang w:eastAsia="en-US"/>
        </w:rPr>
        <w:t xml:space="preserve">Troglodyté si vytvořili nové </w:t>
      </w:r>
      <w:r w:rsidR="00B56711" w:rsidRPr="003D1E07">
        <w:rPr>
          <w:lang w:eastAsia="en-US"/>
        </w:rPr>
        <w:t xml:space="preserve">světlo </w:t>
      </w:r>
      <w:r w:rsidR="08A55B81" w:rsidRPr="003D1E07">
        <w:rPr>
          <w:lang w:eastAsia="en-US"/>
        </w:rPr>
        <w:t xml:space="preserve">pro putování </w:t>
      </w:r>
      <w:r w:rsidR="08426575" w:rsidRPr="003D1E07">
        <w:rPr>
          <w:lang w:eastAsia="en-US"/>
        </w:rPr>
        <w:t xml:space="preserve">osvíceného moderního </w:t>
      </w:r>
      <w:r w:rsidR="08A55B81" w:rsidRPr="003D1E07">
        <w:rPr>
          <w:lang w:eastAsia="en-US"/>
        </w:rPr>
        <w:t xml:space="preserve">ducha. </w:t>
      </w:r>
      <w:r w:rsidR="00C44889" w:rsidRPr="003D1E07">
        <w:rPr>
          <w:lang w:eastAsia="en-US"/>
        </w:rPr>
        <w:t>S</w:t>
      </w:r>
      <w:r w:rsidR="08276BBF" w:rsidRPr="003D1E07">
        <w:rPr>
          <w:lang w:eastAsia="en-US"/>
        </w:rPr>
        <w:t xml:space="preserve">trach </w:t>
      </w:r>
      <w:r w:rsidR="086D30EA" w:rsidRPr="003D1E07">
        <w:rPr>
          <w:lang w:eastAsia="en-US"/>
        </w:rPr>
        <w:t xml:space="preserve">a arogance </w:t>
      </w:r>
      <w:r w:rsidR="08276BBF" w:rsidRPr="003D1E07">
        <w:rPr>
          <w:lang w:eastAsia="en-US"/>
        </w:rPr>
        <w:t>radí</w:t>
      </w:r>
      <w:r w:rsidR="086D30EA" w:rsidRPr="003D1E07">
        <w:rPr>
          <w:lang w:eastAsia="en-US"/>
        </w:rPr>
        <w:t xml:space="preserve"> akademikům</w:t>
      </w:r>
      <w:r w:rsidR="08276BBF" w:rsidRPr="003D1E07">
        <w:rPr>
          <w:lang w:eastAsia="en-US"/>
        </w:rPr>
        <w:t xml:space="preserve">, </w:t>
      </w:r>
      <w:r w:rsidR="00C44889" w:rsidRPr="003D1E07">
        <w:rPr>
          <w:lang w:eastAsia="en-US"/>
        </w:rPr>
        <w:t>aby nevstoupili</w:t>
      </w:r>
      <w:r w:rsidR="08276BBF" w:rsidRPr="003D1E07">
        <w:rPr>
          <w:lang w:eastAsia="en-US"/>
        </w:rPr>
        <w:t xml:space="preserve"> do </w:t>
      </w:r>
      <w:r w:rsidR="08A242E5" w:rsidRPr="003D1E07">
        <w:rPr>
          <w:lang w:eastAsia="en-US"/>
        </w:rPr>
        <w:t>apollinsk</w:t>
      </w:r>
      <w:r w:rsidR="0890444F" w:rsidRPr="003D1E07">
        <w:rPr>
          <w:lang w:eastAsia="en-US"/>
        </w:rPr>
        <w:t>y</w:t>
      </w:r>
      <w:r w:rsidR="08A242E5" w:rsidRPr="003D1E07">
        <w:rPr>
          <w:lang w:eastAsia="en-US"/>
        </w:rPr>
        <w:t xml:space="preserve"> </w:t>
      </w:r>
      <w:r w:rsidR="08276BBF" w:rsidRPr="003D1E07">
        <w:rPr>
          <w:lang w:eastAsia="en-US"/>
        </w:rPr>
        <w:t xml:space="preserve">temného „srdce pravdy“ </w:t>
      </w:r>
      <w:r w:rsidR="08276BBF" w:rsidRPr="003D1E07">
        <w:t>(</w:t>
      </w:r>
      <w:r w:rsidR="08276BBF" w:rsidRPr="003D1E07">
        <w:rPr>
          <w:i/>
        </w:rPr>
        <w:t>Parm</w:t>
      </w:r>
      <w:r w:rsidR="08276BBF" w:rsidRPr="003D1E07">
        <w:t>. B 1.53</w:t>
      </w:r>
      <w:r w:rsidR="08276BBF" w:rsidRPr="003D1E07">
        <w:fldChar w:fldCharType="begin"/>
      </w:r>
      <w:r w:rsidR="08EA3E86" w:rsidRPr="003D1E07">
        <w:instrText xml:space="preserve"> XE "Parmenides:</w:instrText>
      </w:r>
      <w:r w:rsidR="08276BBF" w:rsidRPr="003D1E07">
        <w:instrText xml:space="preserve">B 1.53" </w:instrText>
      </w:r>
      <w:r w:rsidR="08276BBF" w:rsidRPr="003D1E07">
        <w:fldChar w:fldCharType="end"/>
      </w:r>
      <w:r w:rsidR="08276BBF" w:rsidRPr="003D1E07">
        <w:t xml:space="preserve">). </w:t>
      </w:r>
      <w:r w:rsidR="00471B9D" w:rsidRPr="003D1E07">
        <w:t xml:space="preserve">Delfy představují spojení původního mystéria a </w:t>
      </w:r>
      <w:r w:rsidR="00471B9D" w:rsidRPr="003D1E07">
        <w:lastRenderedPageBreak/>
        <w:t>vykladačské práce kněží. Jinak není fenomén pravdy jako po</w:t>
      </w:r>
      <w:r w:rsidR="00471B9D" w:rsidRPr="003D1E07">
        <w:noBreakHyphen/>
        <w:t xml:space="preserve">odkrytosti vyložen úplně. Je jen logické a metafyzicky správné, že původní vidění božského a jeho výklad přešlo do stejné formy epochální </w:t>
      </w:r>
      <w:r w:rsidR="00471B9D" w:rsidRPr="003D1E07">
        <w:rPr>
          <w:i/>
        </w:rPr>
        <w:t>léthe</w:t>
      </w:r>
      <w:r w:rsidR="00471B9D" w:rsidRPr="003D1E07">
        <w:t xml:space="preserve">, v jaké se dnes nacházejí všechna velká mystéria antiky. </w:t>
      </w:r>
      <w:r w:rsidR="08953B50" w:rsidRPr="003D1E07">
        <w:rPr>
          <w:lang w:eastAsia="en-US"/>
        </w:rPr>
        <w:t>M</w:t>
      </w:r>
      <w:r w:rsidR="08412FC3" w:rsidRPr="003D1E07">
        <w:rPr>
          <w:lang w:eastAsia="en-US"/>
        </w:rPr>
        <w:t xml:space="preserve">ytopoetická </w:t>
      </w:r>
      <w:r w:rsidR="08276BBF" w:rsidRPr="003D1E07">
        <w:rPr>
          <w:lang w:eastAsia="en-US"/>
        </w:rPr>
        <w:t xml:space="preserve">racionalita zjevená skrze technické světlo platónské jeskyně </w:t>
      </w:r>
      <w:r w:rsidR="08953B50" w:rsidRPr="003D1E07">
        <w:rPr>
          <w:lang w:eastAsia="en-US"/>
        </w:rPr>
        <w:t xml:space="preserve">a skrze intelekt-slunce </w:t>
      </w:r>
      <w:r w:rsidR="08276BBF" w:rsidRPr="003D1E07">
        <w:rPr>
          <w:lang w:eastAsia="en-US"/>
        </w:rPr>
        <w:t xml:space="preserve">tvoří nejcennější kapitál </w:t>
      </w:r>
      <w:r w:rsidR="08654010" w:rsidRPr="003D1E07">
        <w:rPr>
          <w:lang w:eastAsia="en-US"/>
        </w:rPr>
        <w:t xml:space="preserve">banální </w:t>
      </w:r>
      <w:r w:rsidR="08276BBF" w:rsidRPr="003D1E07">
        <w:rPr>
          <w:lang w:eastAsia="en-US"/>
        </w:rPr>
        <w:t>moderny</w:t>
      </w:r>
      <w:r w:rsidR="08654010" w:rsidRPr="003D1E07">
        <w:rPr>
          <w:lang w:eastAsia="en-US"/>
        </w:rPr>
        <w:t xml:space="preserve"> řízené pudem akademické a technické sebezáchovy</w:t>
      </w:r>
      <w:r w:rsidR="08FC106F" w:rsidRPr="003D1E07">
        <w:rPr>
          <w:lang w:eastAsia="en-US"/>
        </w:rPr>
        <w:t>.</w:t>
      </w:r>
      <w:r w:rsidR="08397D3B" w:rsidRPr="003D1E07">
        <w:rPr>
          <w:lang w:eastAsia="en-US"/>
        </w:rPr>
        <w:t xml:space="preserve"> </w:t>
      </w:r>
      <w:r w:rsidR="08A4580B" w:rsidRPr="003D1E07">
        <w:rPr>
          <w:lang w:eastAsia="en-US"/>
        </w:rPr>
        <w:t>Iracionální d</w:t>
      </w:r>
      <w:r w:rsidR="08517E24" w:rsidRPr="003D1E07">
        <w:rPr>
          <w:lang w:eastAsia="en-US"/>
        </w:rPr>
        <w:t xml:space="preserve">ějiny </w:t>
      </w:r>
      <w:r w:rsidR="08BB0BFC" w:rsidRPr="003D1E07">
        <w:rPr>
          <w:lang w:eastAsia="en-US"/>
        </w:rPr>
        <w:t xml:space="preserve">platoniků a peripatetiků </w:t>
      </w:r>
      <w:r w:rsidR="08517E24" w:rsidRPr="003D1E07">
        <w:rPr>
          <w:lang w:eastAsia="en-US"/>
        </w:rPr>
        <w:t xml:space="preserve">tvoří </w:t>
      </w:r>
      <w:r w:rsidR="081B6A5D" w:rsidRPr="003D1E07">
        <w:rPr>
          <w:lang w:eastAsia="en-US"/>
        </w:rPr>
        <w:t xml:space="preserve">frenetické </w:t>
      </w:r>
      <w:r w:rsidR="08FC106F" w:rsidRPr="003D1E07">
        <w:rPr>
          <w:lang w:eastAsia="en-US"/>
        </w:rPr>
        <w:t xml:space="preserve">a mytopoetické </w:t>
      </w:r>
      <w:r w:rsidR="08517E24" w:rsidRPr="003D1E07">
        <w:rPr>
          <w:lang w:eastAsia="en-US"/>
        </w:rPr>
        <w:t>vyhánění původní delfské temnoty</w:t>
      </w:r>
      <w:r w:rsidR="08BB0BFC" w:rsidRPr="003D1E07">
        <w:rPr>
          <w:lang w:eastAsia="en-US"/>
        </w:rPr>
        <w:t xml:space="preserve"> prováděné krok za krokem </w:t>
      </w:r>
      <w:r w:rsidR="08F16317" w:rsidRPr="003D1E07">
        <w:rPr>
          <w:lang w:eastAsia="en-US"/>
        </w:rPr>
        <w:t>(</w:t>
      </w:r>
      <w:r w:rsidR="08F16317" w:rsidRPr="003D1E07">
        <w:rPr>
          <w:rStyle w:val="st"/>
        </w:rPr>
        <w:t>μέθοδος</w:t>
      </w:r>
      <w:r w:rsidR="08F16317" w:rsidRPr="003D1E07">
        <w:rPr>
          <w:lang w:eastAsia="en-US"/>
        </w:rPr>
        <w:t xml:space="preserve">) </w:t>
      </w:r>
      <w:r w:rsidR="08BB0BFC" w:rsidRPr="003D1E07">
        <w:rPr>
          <w:lang w:eastAsia="en-US"/>
        </w:rPr>
        <w:t>v</w:t>
      </w:r>
      <w:r w:rsidR="08F16317" w:rsidRPr="003D1E07">
        <w:rPr>
          <w:lang w:eastAsia="en-US"/>
        </w:rPr>
        <w:t xml:space="preserve"> jednotlivých </w:t>
      </w:r>
      <w:r w:rsidR="08BB0BFC" w:rsidRPr="003D1E07">
        <w:rPr>
          <w:lang w:eastAsia="en-US"/>
        </w:rPr>
        <w:t>epochách metafyziky</w:t>
      </w:r>
      <w:r w:rsidR="08517E24" w:rsidRPr="003D1E07">
        <w:rPr>
          <w:lang w:eastAsia="en-US"/>
        </w:rPr>
        <w:t xml:space="preserve">. </w:t>
      </w:r>
      <w:r w:rsidR="085D05FF" w:rsidRPr="003D1E07">
        <w:rPr>
          <w:lang w:eastAsia="en-US"/>
        </w:rPr>
        <w:t>Původní místo zjevnosti bytí bylo zapomenuto vinou mytopoetického záření samotné ideje-slunce</w:t>
      </w:r>
      <w:r w:rsidR="085D05FF" w:rsidRPr="003D1E07">
        <w:rPr>
          <w:lang w:eastAsia="en-US"/>
        </w:rPr>
        <w:fldChar w:fldCharType="begin"/>
      </w:r>
      <w:r w:rsidR="085D05FF" w:rsidRPr="003D1E07">
        <w:instrText xml:space="preserve"> XE "intelekt-slunce" </w:instrText>
      </w:r>
      <w:r w:rsidR="085D05FF" w:rsidRPr="003D1E07">
        <w:rPr>
          <w:lang w:eastAsia="en-US"/>
        </w:rPr>
        <w:fldChar w:fldCharType="end"/>
      </w:r>
      <w:r w:rsidR="085D05FF" w:rsidRPr="003D1E07">
        <w:rPr>
          <w:lang w:eastAsia="en-US"/>
        </w:rPr>
        <w:t xml:space="preserve">. </w:t>
      </w:r>
      <w:r w:rsidR="08517E24" w:rsidRPr="003D1E07">
        <w:rPr>
          <w:lang w:eastAsia="en-US"/>
        </w:rPr>
        <w:t xml:space="preserve">Tato kastrace </w:t>
      </w:r>
      <w:r w:rsidR="08276BBF" w:rsidRPr="003D1E07">
        <w:rPr>
          <w:lang w:eastAsia="en-US"/>
        </w:rPr>
        <w:t xml:space="preserve">původní múzické </w:t>
      </w:r>
      <w:r w:rsidR="08276BBF" w:rsidRPr="003D1E07">
        <w:rPr>
          <w:i/>
          <w:lang w:eastAsia="en-US"/>
        </w:rPr>
        <w:t>a/létheia</w:t>
      </w:r>
      <w:r w:rsidR="08517E24" w:rsidRPr="003D1E07">
        <w:rPr>
          <w:lang w:eastAsia="en-US"/>
        </w:rPr>
        <w:t xml:space="preserve"> představuje hlavní činnost </w:t>
      </w:r>
      <w:r w:rsidR="08776199" w:rsidRPr="003D1E07">
        <w:rPr>
          <w:lang w:eastAsia="en-US"/>
        </w:rPr>
        <w:t>moderní</w:t>
      </w:r>
      <w:r w:rsidR="08C41A7A" w:rsidRPr="003D1E07">
        <w:rPr>
          <w:lang w:eastAsia="en-US"/>
        </w:rPr>
        <w:t xml:space="preserve"> </w:t>
      </w:r>
      <w:r w:rsidR="08776199" w:rsidRPr="003D1E07">
        <w:rPr>
          <w:lang w:eastAsia="en-US"/>
        </w:rPr>
        <w:t>cesty za zlatým rounem</w:t>
      </w:r>
      <w:r w:rsidR="085D05FF" w:rsidRPr="003D1E07">
        <w:rPr>
          <w:lang w:eastAsia="en-US"/>
        </w:rPr>
        <w:t>, kter</w:t>
      </w:r>
      <w:r w:rsidR="08776199" w:rsidRPr="003D1E07">
        <w:rPr>
          <w:lang w:eastAsia="en-US"/>
        </w:rPr>
        <w:t xml:space="preserve">ou </w:t>
      </w:r>
      <w:r w:rsidR="08F358AE" w:rsidRPr="003D1E07">
        <w:rPr>
          <w:lang w:eastAsia="en-US"/>
        </w:rPr>
        <w:t>dn</w:t>
      </w:r>
      <w:r w:rsidR="08491BFA" w:rsidRPr="003D1E07">
        <w:rPr>
          <w:lang w:eastAsia="en-US"/>
        </w:rPr>
        <w:t>e</w:t>
      </w:r>
      <w:r w:rsidR="08F358AE" w:rsidRPr="003D1E07">
        <w:rPr>
          <w:lang w:eastAsia="en-US"/>
        </w:rPr>
        <w:t xml:space="preserve">s a denně </w:t>
      </w:r>
      <w:r w:rsidR="08776199" w:rsidRPr="003D1E07">
        <w:rPr>
          <w:lang w:eastAsia="en-US"/>
        </w:rPr>
        <w:t xml:space="preserve">podnikají </w:t>
      </w:r>
      <w:r w:rsidR="08F358AE" w:rsidRPr="003D1E07">
        <w:rPr>
          <w:lang w:eastAsia="en-US"/>
        </w:rPr>
        <w:t xml:space="preserve">pilní </w:t>
      </w:r>
      <w:r w:rsidR="08BC61DF" w:rsidRPr="003D1E07">
        <w:rPr>
          <w:lang w:eastAsia="en-US"/>
        </w:rPr>
        <w:t>nástupc</w:t>
      </w:r>
      <w:r w:rsidR="08776199" w:rsidRPr="003D1E07">
        <w:rPr>
          <w:lang w:eastAsia="en-US"/>
        </w:rPr>
        <w:t>i</w:t>
      </w:r>
      <w:r w:rsidR="08BC61DF" w:rsidRPr="003D1E07">
        <w:rPr>
          <w:lang w:eastAsia="en-US"/>
        </w:rPr>
        <w:t xml:space="preserve"> </w:t>
      </w:r>
      <w:r w:rsidR="08C41A7A" w:rsidRPr="003D1E07">
        <w:rPr>
          <w:lang w:eastAsia="en-US"/>
        </w:rPr>
        <w:t xml:space="preserve">mytického hrdiny </w:t>
      </w:r>
      <w:r w:rsidR="08742221" w:rsidRPr="003D1E07">
        <w:rPr>
          <w:lang w:eastAsia="en-US"/>
        </w:rPr>
        <w:t>Akadéma</w:t>
      </w:r>
      <w:r w:rsidR="08C80BD5" w:rsidRPr="003D1E07">
        <w:rPr>
          <w:lang w:eastAsia="en-US"/>
        </w:rPr>
        <w:t xml:space="preserve">. </w:t>
      </w:r>
      <w:r w:rsidR="08F42D87" w:rsidRPr="003D1E07">
        <w:rPr>
          <w:lang w:eastAsia="en-US"/>
        </w:rPr>
        <w:t>Idea září skrze mate</w:t>
      </w:r>
      <w:r w:rsidR="08CF2E8F" w:rsidRPr="003D1E07">
        <w:rPr>
          <w:lang w:eastAsia="en-US"/>
        </w:rPr>
        <w:t xml:space="preserve">matickou harmonii plně a stále. Cestu za pravdou řídí vědecké </w:t>
      </w:r>
      <w:r w:rsidR="08CF6B57" w:rsidRPr="003D1E07">
        <w:rPr>
          <w:lang w:eastAsia="en-US"/>
        </w:rPr>
        <w:t xml:space="preserve">databanky </w:t>
      </w:r>
      <w:r w:rsidR="08CF2E8F" w:rsidRPr="003D1E07">
        <w:rPr>
          <w:lang w:eastAsia="en-US"/>
        </w:rPr>
        <w:t xml:space="preserve">spravované korporátními společnostmi, proto </w:t>
      </w:r>
      <w:r w:rsidR="08F42D87" w:rsidRPr="003D1E07">
        <w:rPr>
          <w:lang w:eastAsia="en-US"/>
        </w:rPr>
        <w:t xml:space="preserve">není třeba chodit do temné jeskyně. Bytí již není dáno v původní podobě zjevování, protože metafyzika přesunula původní </w:t>
      </w:r>
      <w:r w:rsidR="08F42D87" w:rsidRPr="003D1E07">
        <w:rPr>
          <w:i/>
          <w:lang w:eastAsia="en-US"/>
        </w:rPr>
        <w:t>Lichtung</w:t>
      </w:r>
      <w:r w:rsidR="08F42D87" w:rsidRPr="003D1E07">
        <w:rPr>
          <w:lang w:eastAsia="en-US"/>
        </w:rPr>
        <w:t xml:space="preserve"> z bytí jsoucna do perfektního záření ideje</w:t>
      </w:r>
      <w:r w:rsidR="082C72C6" w:rsidRPr="003D1E07">
        <w:rPr>
          <w:lang w:eastAsia="en-US"/>
        </w:rPr>
        <w:t>.</w:t>
      </w:r>
      <w:r w:rsidR="08B70AF0" w:rsidRPr="003D1E07">
        <w:t xml:space="preserve"> </w:t>
      </w:r>
      <w:r w:rsidR="00283F38" w:rsidRPr="003D1E07">
        <w:rPr>
          <w:lang w:eastAsia="en-US"/>
        </w:rPr>
        <w:t xml:space="preserve">Epochální manifestace jsoucna v metafyzice nastala tím, že byla ustavena specifická </w:t>
      </w:r>
      <w:r w:rsidR="00283F38" w:rsidRPr="003D1E07">
        <w:rPr>
          <w:i/>
          <w:lang w:eastAsia="en-US"/>
        </w:rPr>
        <w:t>epoché</w:t>
      </w:r>
      <w:r w:rsidR="00B85E85" w:rsidRPr="003D1E07">
        <w:rPr>
          <w:i/>
          <w:lang w:eastAsia="en-US"/>
        </w:rPr>
        <w:fldChar w:fldCharType="begin"/>
      </w:r>
      <w:r w:rsidR="00B85E85" w:rsidRPr="003D1E07">
        <w:instrText xml:space="preserve"> XE "</w:instrText>
      </w:r>
      <w:r w:rsidR="00B85E85" w:rsidRPr="003D1E07">
        <w:rPr>
          <w:i/>
        </w:rPr>
        <w:instrText>epoché</w:instrText>
      </w:r>
      <w:r w:rsidR="00B85E85" w:rsidRPr="003D1E07">
        <w:instrText xml:space="preserve">" </w:instrText>
      </w:r>
      <w:r w:rsidR="00B85E85" w:rsidRPr="003D1E07">
        <w:rPr>
          <w:i/>
          <w:lang w:eastAsia="en-US"/>
        </w:rPr>
        <w:fldChar w:fldCharType="end"/>
      </w:r>
      <w:r w:rsidR="00283F38" w:rsidRPr="003D1E07">
        <w:rPr>
          <w:lang w:eastAsia="en-US"/>
        </w:rPr>
        <w:t xml:space="preserve"> samotného bytí</w:t>
      </w:r>
      <w:r w:rsidR="08456706" w:rsidRPr="003D1E07">
        <w:rPr>
          <w:lang w:eastAsia="en-US"/>
        </w:rPr>
        <w:t xml:space="preserve">, které zmizelo kvůli </w:t>
      </w:r>
      <w:r w:rsidR="08BD6DD2" w:rsidRPr="003D1E07">
        <w:rPr>
          <w:lang w:eastAsia="en-US"/>
        </w:rPr>
        <w:t>mytopoetickému světlu</w:t>
      </w:r>
      <w:r w:rsidR="08FA057D" w:rsidRPr="003D1E07">
        <w:rPr>
          <w:lang w:eastAsia="en-US"/>
        </w:rPr>
        <w:t xml:space="preserve"> platonské ideje a později i aristotelské první substance</w:t>
      </w:r>
      <w:r w:rsidR="0833614E" w:rsidRPr="003D1E07">
        <w:t>. Bytí přestalo být poodhalováno v p</w:t>
      </w:r>
      <w:r w:rsidR="00283F38" w:rsidRPr="003D1E07">
        <w:rPr>
          <w:lang w:eastAsia="en-US"/>
        </w:rPr>
        <w:t xml:space="preserve">ůvodní </w:t>
      </w:r>
      <w:r w:rsidR="089C2F81" w:rsidRPr="003D1E07">
        <w:rPr>
          <w:lang w:eastAsia="en-US"/>
        </w:rPr>
        <w:t xml:space="preserve">věštecké </w:t>
      </w:r>
      <w:r w:rsidR="0833614E" w:rsidRPr="003D1E07">
        <w:rPr>
          <w:lang w:eastAsia="en-US"/>
        </w:rPr>
        <w:t xml:space="preserve">a múzické souhře pravdy a nepravdy, která určuje zjevování </w:t>
      </w:r>
      <w:r w:rsidR="080B403A" w:rsidRPr="003D1E07">
        <w:rPr>
          <w:lang w:eastAsia="en-US"/>
        </w:rPr>
        <w:t xml:space="preserve">celku </w:t>
      </w:r>
      <w:r w:rsidR="0833614E" w:rsidRPr="003D1E07">
        <w:rPr>
          <w:lang w:eastAsia="en-US"/>
        </w:rPr>
        <w:t>jsoucna</w:t>
      </w:r>
      <w:r w:rsidR="080439BE" w:rsidRPr="003D1E07">
        <w:rPr>
          <w:lang w:eastAsia="en-US"/>
        </w:rPr>
        <w:t xml:space="preserve"> v archegetickém modu Apollóna</w:t>
      </w:r>
      <w:r w:rsidR="0833614E" w:rsidRPr="003D1E07">
        <w:rPr>
          <w:lang w:eastAsia="en-US"/>
        </w:rPr>
        <w:t xml:space="preserve">. </w:t>
      </w:r>
      <w:r w:rsidR="08092163" w:rsidRPr="003D1E07">
        <w:rPr>
          <w:lang w:eastAsia="en-US"/>
        </w:rPr>
        <w:t xml:space="preserve">Dějiny </w:t>
      </w:r>
      <w:r w:rsidR="081B256D" w:rsidRPr="003D1E07">
        <w:rPr>
          <w:lang w:eastAsia="en-US"/>
        </w:rPr>
        <w:t xml:space="preserve">myšlení </w:t>
      </w:r>
      <w:r w:rsidR="00A01E5A">
        <w:rPr>
          <w:lang w:eastAsia="en-US"/>
        </w:rPr>
        <w:t>dostaly ideový charakter.</w:t>
      </w:r>
    </w:p>
    <w:p w14:paraId="022877ED" w14:textId="0A9CD0D4" w:rsidR="008444A8" w:rsidRPr="003D1E07" w:rsidRDefault="088A0263" w:rsidP="00A01E5A">
      <w:pPr>
        <w:ind w:firstLine="397"/>
        <w:rPr>
          <w:lang w:eastAsia="en-US"/>
        </w:rPr>
      </w:pPr>
      <w:r w:rsidRPr="003D1E07">
        <w:rPr>
          <w:lang w:eastAsia="en-US"/>
        </w:rPr>
        <w:t>Z</w:t>
      </w:r>
      <w:r w:rsidR="08A155C6" w:rsidRPr="003D1E07">
        <w:rPr>
          <w:lang w:eastAsia="en-US"/>
        </w:rPr>
        <w:t>aložením</w:t>
      </w:r>
      <w:r w:rsidR="08092163" w:rsidRPr="003D1E07">
        <w:rPr>
          <w:lang w:eastAsia="en-US"/>
        </w:rPr>
        <w:t xml:space="preserve"> </w:t>
      </w:r>
      <w:r w:rsidRPr="003D1E07">
        <w:rPr>
          <w:lang w:eastAsia="en-US"/>
        </w:rPr>
        <w:t xml:space="preserve">nové první filosofie </w:t>
      </w:r>
      <w:r w:rsidR="08092163" w:rsidRPr="003D1E07">
        <w:rPr>
          <w:lang w:eastAsia="en-US"/>
        </w:rPr>
        <w:t xml:space="preserve">vznikla </w:t>
      </w:r>
      <w:r w:rsidR="08E83810" w:rsidRPr="003D1E07">
        <w:rPr>
          <w:lang w:eastAsia="en-US"/>
        </w:rPr>
        <w:t>nová historie daná</w:t>
      </w:r>
      <w:r w:rsidRPr="003D1E07">
        <w:rPr>
          <w:lang w:eastAsia="en-US"/>
        </w:rPr>
        <w:t xml:space="preserve"> jako </w:t>
      </w:r>
      <w:r w:rsidR="08092163" w:rsidRPr="003D1E07">
        <w:rPr>
          <w:lang w:eastAsia="en-US"/>
        </w:rPr>
        <w:t>civ</w:t>
      </w:r>
      <w:r w:rsidR="080B403A" w:rsidRPr="003D1E07">
        <w:rPr>
          <w:lang w:eastAsia="en-US"/>
        </w:rPr>
        <w:t>i</w:t>
      </w:r>
      <w:r w:rsidRPr="003D1E07">
        <w:rPr>
          <w:lang w:eastAsia="en-US"/>
        </w:rPr>
        <w:t>lizace moderního Západu</w:t>
      </w:r>
      <w:r w:rsidR="08092163" w:rsidRPr="003D1E07">
        <w:rPr>
          <w:lang w:eastAsia="en-US"/>
        </w:rPr>
        <w:t xml:space="preserve">. </w:t>
      </w:r>
      <w:r w:rsidR="08E83810" w:rsidRPr="003D1E07">
        <w:rPr>
          <w:lang w:eastAsia="en-US"/>
        </w:rPr>
        <w:t>Jejím prvním historikem byl nik</w:t>
      </w:r>
      <w:r w:rsidR="08636359" w:rsidRPr="003D1E07">
        <w:rPr>
          <w:lang w:eastAsia="en-US"/>
        </w:rPr>
        <w:t>o</w:t>
      </w:r>
      <w:r w:rsidR="08E83810" w:rsidRPr="003D1E07">
        <w:rPr>
          <w:lang w:eastAsia="en-US"/>
        </w:rPr>
        <w:t xml:space="preserve">liv moudrý Hérodotos, ale </w:t>
      </w:r>
      <w:r w:rsidR="08B945DA" w:rsidRPr="003D1E07">
        <w:rPr>
          <w:lang w:eastAsia="en-US"/>
        </w:rPr>
        <w:t xml:space="preserve">pragmaticky </w:t>
      </w:r>
      <w:r w:rsidR="08637A85" w:rsidRPr="003D1E07">
        <w:rPr>
          <w:lang w:eastAsia="en-US"/>
        </w:rPr>
        <w:t xml:space="preserve">uvažující vojevůdce </w:t>
      </w:r>
      <w:r w:rsidR="08E83810" w:rsidRPr="003D1E07">
        <w:rPr>
          <w:lang w:eastAsia="en-US"/>
        </w:rPr>
        <w:t>Thukydidés</w:t>
      </w:r>
      <w:r w:rsidR="08636359" w:rsidRPr="003D1E07">
        <w:rPr>
          <w:lang w:eastAsia="en-US"/>
        </w:rPr>
        <w:t xml:space="preserve"> (asi </w:t>
      </w:r>
      <w:r w:rsidR="08636359" w:rsidRPr="003D1E07">
        <w:rPr>
          <w:rFonts w:cs="Calibri"/>
          <w:lang w:eastAsia="en-US"/>
        </w:rPr>
        <w:t>†</w:t>
      </w:r>
      <w:r w:rsidR="08636359" w:rsidRPr="003D1E07">
        <w:rPr>
          <w:lang w:eastAsia="en-US"/>
        </w:rPr>
        <w:t>411</w:t>
      </w:r>
      <w:r w:rsidR="08C17D37" w:rsidRPr="003D1E07">
        <w:rPr>
          <w:lang w:eastAsia="en-US"/>
        </w:rPr>
        <w:t xml:space="preserve"> př. Kr.</w:t>
      </w:r>
      <w:r w:rsidR="08636359" w:rsidRPr="003D1E07">
        <w:rPr>
          <w:lang w:eastAsia="en-US"/>
        </w:rPr>
        <w:t>)</w:t>
      </w:r>
      <w:r w:rsidR="08E83810" w:rsidRPr="003D1E07">
        <w:rPr>
          <w:lang w:eastAsia="en-US"/>
        </w:rPr>
        <w:t xml:space="preserve">. </w:t>
      </w:r>
      <w:r w:rsidR="08E83810" w:rsidRPr="003D1E07">
        <w:t xml:space="preserve">Tento nástupce Hérodota </w:t>
      </w:r>
      <w:r w:rsidR="08807EF1" w:rsidRPr="003D1E07">
        <w:t xml:space="preserve">a platonský současník Sokrata </w:t>
      </w:r>
      <w:r w:rsidR="08E83810" w:rsidRPr="003D1E07">
        <w:t>zavedl první substanci historie v podobě lidské přiroz</w:t>
      </w:r>
      <w:r w:rsidR="08636359" w:rsidRPr="003D1E07">
        <w:t>enosti, která</w:t>
      </w:r>
      <w:r w:rsidR="08E83810" w:rsidRPr="003D1E07">
        <w:t xml:space="preserve"> vytvořila nový subjekt historie (Umlauf 2010, 84</w:t>
      </w:r>
      <w:r w:rsidR="08E83810" w:rsidRPr="003D1E07">
        <w:rPr>
          <w:rFonts w:cs="Calibri"/>
        </w:rPr>
        <w:t>─</w:t>
      </w:r>
      <w:r w:rsidR="08E83810" w:rsidRPr="003D1E07">
        <w:t xml:space="preserve">90). </w:t>
      </w:r>
      <w:r w:rsidR="0011766D" w:rsidRPr="003D1E07">
        <w:t>V metafyzice je jsoucno</w:t>
      </w:r>
      <w:r w:rsidR="0809626C" w:rsidRPr="003D1E07">
        <w:rPr>
          <w:lang w:eastAsia="en-US"/>
        </w:rPr>
        <w:t xml:space="preserve"> </w:t>
      </w:r>
      <w:r w:rsidR="0011766D" w:rsidRPr="003D1E07">
        <w:rPr>
          <w:lang w:eastAsia="en-US"/>
        </w:rPr>
        <w:t xml:space="preserve">určeno </w:t>
      </w:r>
      <w:r w:rsidR="0809626C" w:rsidRPr="003D1E07">
        <w:rPr>
          <w:lang w:eastAsia="en-US"/>
        </w:rPr>
        <w:t>jako „toto zde“</w:t>
      </w:r>
      <w:r w:rsidR="08BF77E3" w:rsidRPr="003D1E07">
        <w:rPr>
          <w:lang w:eastAsia="en-US"/>
        </w:rPr>
        <w:t>, či</w:t>
      </w:r>
      <w:r w:rsidR="0011766D" w:rsidRPr="003D1E07">
        <w:rPr>
          <w:lang w:eastAsia="en-US"/>
        </w:rPr>
        <w:t>li v neúplné podobě pravdivosti</w:t>
      </w:r>
      <w:r w:rsidR="08BF77E3" w:rsidRPr="003D1E07">
        <w:rPr>
          <w:i/>
          <w:lang w:eastAsia="en-US"/>
        </w:rPr>
        <w:fldChar w:fldCharType="begin"/>
      </w:r>
      <w:r w:rsidR="08BF77E3" w:rsidRPr="003D1E07">
        <w:instrText xml:space="preserve"> XE "</w:instrText>
      </w:r>
      <w:r w:rsidR="08BF77E3" w:rsidRPr="003D1E07">
        <w:rPr>
          <w:i/>
          <w:lang w:eastAsia="en-US"/>
        </w:rPr>
        <w:instrText>modus ponens</w:instrText>
      </w:r>
      <w:r w:rsidR="08BF77E3" w:rsidRPr="003D1E07">
        <w:instrText xml:space="preserve">" </w:instrText>
      </w:r>
      <w:r w:rsidR="08BF77E3" w:rsidRPr="003D1E07">
        <w:rPr>
          <w:i/>
          <w:lang w:eastAsia="en-US"/>
        </w:rPr>
        <w:fldChar w:fldCharType="end"/>
      </w:r>
      <w:r w:rsidR="08BF77E3" w:rsidRPr="003D1E07">
        <w:rPr>
          <w:lang w:eastAsia="en-US"/>
        </w:rPr>
        <w:t xml:space="preserve">. </w:t>
      </w:r>
      <w:r w:rsidR="08C45CBC" w:rsidRPr="003D1E07">
        <w:rPr>
          <w:lang w:eastAsia="en-US"/>
        </w:rPr>
        <w:t>Subjektem toh</w:t>
      </w:r>
      <w:r w:rsidR="085645EB" w:rsidRPr="003D1E07">
        <w:rPr>
          <w:lang w:eastAsia="en-US"/>
        </w:rPr>
        <w:t>o</w:t>
      </w:r>
      <w:r w:rsidR="08C45CBC" w:rsidRPr="003D1E07">
        <w:rPr>
          <w:lang w:eastAsia="en-US"/>
        </w:rPr>
        <w:t>to kladení je moderní iluminát</w:t>
      </w:r>
      <w:r w:rsidR="085645EB" w:rsidRPr="003D1E07">
        <w:rPr>
          <w:lang w:eastAsia="en-US"/>
        </w:rPr>
        <w:t xml:space="preserve">, </w:t>
      </w:r>
      <w:r w:rsidR="08C45CBC" w:rsidRPr="003D1E07">
        <w:rPr>
          <w:lang w:eastAsia="en-US"/>
        </w:rPr>
        <w:t xml:space="preserve">který vidí platonskou ideu nebo aristotelskou substanci </w:t>
      </w:r>
      <w:r w:rsidR="009C4B9B" w:rsidRPr="003D1E07">
        <w:rPr>
          <w:lang w:eastAsia="en-US"/>
        </w:rPr>
        <w:t xml:space="preserve">skrze </w:t>
      </w:r>
      <w:r w:rsidR="009C4B9B" w:rsidRPr="003D1E07">
        <w:rPr>
          <w:i/>
        </w:rPr>
        <w:t>Vor-blickbahn</w:t>
      </w:r>
      <w:r w:rsidR="009C4B9B" w:rsidRPr="003D1E07">
        <w:t xml:space="preserve"> </w:t>
      </w:r>
      <w:r w:rsidR="08C45CBC" w:rsidRPr="003D1E07">
        <w:rPr>
          <w:lang w:eastAsia="en-US"/>
        </w:rPr>
        <w:t xml:space="preserve">mytopoeticky dané první filosofie. </w:t>
      </w:r>
      <w:r w:rsidR="08E3088A" w:rsidRPr="003D1E07">
        <w:rPr>
          <w:lang w:eastAsia="en-US"/>
        </w:rPr>
        <w:t xml:space="preserve">Skrze tento základní metafyzický omyl se manifestuje </w:t>
      </w:r>
      <w:r w:rsidR="08EE1C5E" w:rsidRPr="003D1E07">
        <w:rPr>
          <w:lang w:eastAsia="en-US"/>
        </w:rPr>
        <w:t xml:space="preserve">skrytost </w:t>
      </w:r>
      <w:r w:rsidR="084274AF" w:rsidRPr="003D1E07">
        <w:rPr>
          <w:lang w:eastAsia="en-US"/>
        </w:rPr>
        <w:t>bytí, která</w:t>
      </w:r>
      <w:r w:rsidR="08F86C8C" w:rsidRPr="003D1E07">
        <w:rPr>
          <w:lang w:eastAsia="en-US"/>
        </w:rPr>
        <w:t xml:space="preserve"> dává </w:t>
      </w:r>
      <w:r w:rsidR="084274AF" w:rsidRPr="003D1E07">
        <w:rPr>
          <w:lang w:eastAsia="en-US"/>
        </w:rPr>
        <w:t xml:space="preserve">vidět </w:t>
      </w:r>
      <w:r w:rsidR="008C3B47" w:rsidRPr="003D1E07">
        <w:rPr>
          <w:lang w:eastAsia="en-US"/>
        </w:rPr>
        <w:t>něco podstatného</w:t>
      </w:r>
      <w:r w:rsidR="00D367BF" w:rsidRPr="003D1E07">
        <w:rPr>
          <w:lang w:eastAsia="en-US"/>
        </w:rPr>
        <w:t xml:space="preserve"> z původního dění</w:t>
      </w:r>
      <w:r w:rsidR="08E1044D" w:rsidRPr="003D1E07">
        <w:rPr>
          <w:lang w:eastAsia="en-US"/>
        </w:rPr>
        <w:t xml:space="preserve"> bytí a moudrosti</w:t>
      </w:r>
      <w:r w:rsidR="008C3B47" w:rsidRPr="003D1E07">
        <w:rPr>
          <w:lang w:eastAsia="en-US"/>
        </w:rPr>
        <w:t xml:space="preserve">. </w:t>
      </w:r>
      <w:r w:rsidR="082F7BCD" w:rsidRPr="003D1E07">
        <w:rPr>
          <w:lang w:eastAsia="en-US"/>
        </w:rPr>
        <w:t xml:space="preserve">Pokud přejdeme do pohádkové jeskyně troglodytů, pak </w:t>
      </w:r>
      <w:r w:rsidR="08251644" w:rsidRPr="003D1E07">
        <w:rPr>
          <w:lang w:eastAsia="en-US"/>
        </w:rPr>
        <w:t>nazíráme celek jsoucna skrze ideový náhled na věčnou a plně přítomnou substanci. Tuto techniku založil matematik Platon a nově ji ustavila Aristote</w:t>
      </w:r>
      <w:r w:rsidR="08DF639D" w:rsidRPr="003D1E07">
        <w:rPr>
          <w:lang w:eastAsia="en-US"/>
        </w:rPr>
        <w:t>lova fyzika první substance.</w:t>
      </w:r>
      <w:r w:rsidR="00B01B2E" w:rsidRPr="003D1E07">
        <w:rPr>
          <w:lang w:eastAsia="en-US"/>
        </w:rPr>
        <w:t xml:space="preserve"> </w:t>
      </w:r>
      <w:r w:rsidR="00D66267" w:rsidRPr="003D1E07">
        <w:rPr>
          <w:lang w:eastAsia="en-US"/>
        </w:rPr>
        <w:t>P</w:t>
      </w:r>
      <w:r w:rsidR="08B5584E" w:rsidRPr="003D1E07">
        <w:rPr>
          <w:lang w:eastAsia="en-US"/>
        </w:rPr>
        <w:t xml:space="preserve">rincipiální </w:t>
      </w:r>
      <w:r w:rsidR="00D66267" w:rsidRPr="003D1E07">
        <w:rPr>
          <w:lang w:eastAsia="en-US"/>
        </w:rPr>
        <w:t>síla Múz na skrytém</w:t>
      </w:r>
      <w:r w:rsidR="08B5584E" w:rsidRPr="003D1E07">
        <w:rPr>
          <w:lang w:eastAsia="en-US"/>
        </w:rPr>
        <w:t xml:space="preserve"> počátku (</w:t>
      </w:r>
      <w:r w:rsidR="00D66267" w:rsidRPr="003D1E07">
        <w:rPr>
          <w:i/>
          <w:lang w:eastAsia="en-US"/>
        </w:rPr>
        <w:t>Ereignis</w:t>
      </w:r>
      <w:r w:rsidR="08B5584E" w:rsidRPr="003D1E07">
        <w:rPr>
          <w:lang w:eastAsia="en-US"/>
        </w:rPr>
        <w:t xml:space="preserve">) </w:t>
      </w:r>
      <w:r w:rsidR="00D66267" w:rsidRPr="003D1E07">
        <w:rPr>
          <w:lang w:eastAsia="en-US"/>
        </w:rPr>
        <w:t>určeném jako po-</w:t>
      </w:r>
      <w:r w:rsidR="00D66267" w:rsidRPr="003D1E07">
        <w:rPr>
          <w:lang w:eastAsia="en-US"/>
        </w:rPr>
        <w:lastRenderedPageBreak/>
        <w:t>odhalenost (</w:t>
      </w:r>
      <w:r w:rsidR="00D66267" w:rsidRPr="003D1E07">
        <w:rPr>
          <w:i/>
          <w:lang w:eastAsia="en-US"/>
        </w:rPr>
        <w:t>a/létheia</w:t>
      </w:r>
      <w:r w:rsidR="00D66267" w:rsidRPr="003D1E07">
        <w:rPr>
          <w:lang w:eastAsia="en-US"/>
        </w:rPr>
        <w:t xml:space="preserve">) zaloúžila dějinnost první filosofie </w:t>
      </w:r>
      <w:r w:rsidR="00D66267" w:rsidRPr="003D1E07">
        <w:t>(</w:t>
      </w:r>
      <w:r w:rsidR="00D66267" w:rsidRPr="003D1E07">
        <w:rPr>
          <w:i/>
        </w:rPr>
        <w:t>Lichtung</w:t>
      </w:r>
      <w:r w:rsidR="00D66267" w:rsidRPr="003D1E07">
        <w:t xml:space="preserve">). </w:t>
      </w:r>
      <w:r w:rsidR="00D66267" w:rsidRPr="003D1E07">
        <w:rPr>
          <w:lang w:eastAsia="en-US"/>
        </w:rPr>
        <w:t>Objektivita dostala svou odhalenost (</w:t>
      </w:r>
      <w:r w:rsidR="00D66267" w:rsidRPr="003D1E07">
        <w:rPr>
          <w:i/>
          <w:lang w:eastAsia="en-US"/>
        </w:rPr>
        <w:t>alétheia</w:t>
      </w:r>
      <w:r w:rsidR="00D66267" w:rsidRPr="003D1E07">
        <w:rPr>
          <w:lang w:eastAsia="en-US"/>
        </w:rPr>
        <w:t xml:space="preserve">) skrze metafyzickou </w:t>
      </w:r>
      <w:r w:rsidR="00D66267" w:rsidRPr="003D1E07">
        <w:rPr>
          <w:i/>
          <w:lang w:eastAsia="en-US"/>
        </w:rPr>
        <w:t>veritas</w:t>
      </w:r>
      <w:r w:rsidR="00D66267" w:rsidRPr="003D1E07">
        <w:rPr>
          <w:lang w:eastAsia="en-US"/>
        </w:rPr>
        <w:t xml:space="preserve">. </w:t>
      </w:r>
      <w:r w:rsidR="00A07D36" w:rsidRPr="003D1E07">
        <w:rPr>
          <w:lang w:eastAsia="en-US"/>
        </w:rPr>
        <w:t>Dějiny filosofi</w:t>
      </w:r>
      <w:r w:rsidR="006A6407" w:rsidRPr="003D1E07">
        <w:rPr>
          <w:lang w:eastAsia="en-US"/>
        </w:rPr>
        <w:t xml:space="preserve">e pak založily </w:t>
      </w:r>
      <w:r w:rsidR="00AF2D9B" w:rsidRPr="003D1E07">
        <w:rPr>
          <w:lang w:eastAsia="en-US"/>
        </w:rPr>
        <w:t>pozitivní histori</w:t>
      </w:r>
      <w:r w:rsidR="006A6407" w:rsidRPr="003D1E07">
        <w:rPr>
          <w:lang w:eastAsia="en-US"/>
        </w:rPr>
        <w:t>i</w:t>
      </w:r>
      <w:r w:rsidR="00AF2D9B" w:rsidRPr="003D1E07">
        <w:rPr>
          <w:lang w:eastAsia="en-US"/>
        </w:rPr>
        <w:t xml:space="preserve"> </w:t>
      </w:r>
      <w:r w:rsidR="006A6407" w:rsidRPr="003D1E07">
        <w:rPr>
          <w:lang w:eastAsia="en-US"/>
        </w:rPr>
        <w:t xml:space="preserve">vědeckého </w:t>
      </w:r>
      <w:r w:rsidR="00AF2D9B" w:rsidRPr="003D1E07">
        <w:rPr>
          <w:lang w:eastAsia="en-US"/>
        </w:rPr>
        <w:t>myšlení</w:t>
      </w:r>
      <w:r w:rsidR="08B5584E" w:rsidRPr="003D1E07">
        <w:rPr>
          <w:lang w:eastAsia="en-US"/>
        </w:rPr>
        <w:t xml:space="preserve"> </w:t>
      </w:r>
      <w:r w:rsidR="00D66267" w:rsidRPr="003D1E07">
        <w:rPr>
          <w:lang w:eastAsia="en-US"/>
        </w:rPr>
        <w:t xml:space="preserve">v modu „subjekt–objekt“ </w:t>
      </w:r>
      <w:r w:rsidR="08B5584E" w:rsidRPr="003D1E07">
        <w:rPr>
          <w:lang w:eastAsia="en-US"/>
        </w:rPr>
        <w:t>(</w:t>
      </w:r>
      <w:r w:rsidR="00D66267" w:rsidRPr="003D1E07">
        <w:rPr>
          <w:i/>
          <w:lang w:eastAsia="en-US"/>
        </w:rPr>
        <w:t>facta humana</w:t>
      </w:r>
      <w:r w:rsidR="00D66267" w:rsidRPr="003D1E07">
        <w:rPr>
          <w:lang w:eastAsia="en-US"/>
        </w:rPr>
        <w:t xml:space="preserve">). </w:t>
      </w:r>
      <w:r w:rsidR="088F5EB0" w:rsidRPr="003D1E07">
        <w:rPr>
          <w:lang w:eastAsia="en-US"/>
        </w:rPr>
        <w:t xml:space="preserve">Božská komedie moderny </w:t>
      </w:r>
      <w:r w:rsidR="00D66267" w:rsidRPr="003D1E07">
        <w:rPr>
          <w:lang w:eastAsia="en-US"/>
        </w:rPr>
        <w:t xml:space="preserve">je dána faktograficky a </w:t>
      </w:r>
      <w:r w:rsidR="088F5EB0" w:rsidRPr="003D1E07">
        <w:rPr>
          <w:lang w:eastAsia="en-US"/>
        </w:rPr>
        <w:t>vznikla tím, že moudrost byla vyměněna za sofistikovanou techniku a za jejího zakladatele byl prohlášen nejmoudřejší ze všech lidí.</w:t>
      </w:r>
      <w:r w:rsidR="00993E0F" w:rsidRPr="003D1E07">
        <w:rPr>
          <w:lang w:eastAsia="en-US"/>
        </w:rPr>
        <w:t xml:space="preserve"> </w:t>
      </w:r>
      <w:r w:rsidR="086209A8" w:rsidRPr="003D1E07">
        <w:rPr>
          <w:lang w:eastAsia="en-US"/>
        </w:rPr>
        <w:t>Principiální hledá</w:t>
      </w:r>
      <w:r w:rsidR="08A20D96" w:rsidRPr="003D1E07">
        <w:rPr>
          <w:lang w:eastAsia="en-US"/>
        </w:rPr>
        <w:t xml:space="preserve">ní původní moudrosti řídí sémantika archegetického dativu daného </w:t>
      </w:r>
      <w:r w:rsidR="086209A8" w:rsidRPr="003D1E07">
        <w:rPr>
          <w:lang w:eastAsia="en-US"/>
        </w:rPr>
        <w:t xml:space="preserve">múzickým pojetím pravdy. </w:t>
      </w:r>
      <w:r w:rsidR="082835E4" w:rsidRPr="003D1E07">
        <w:rPr>
          <w:lang w:eastAsia="en-US"/>
        </w:rPr>
        <w:t xml:space="preserve">Zakladatelé moderny Platon a Aristoteles </w:t>
      </w:r>
      <w:r w:rsidR="00F85792" w:rsidRPr="003D1E07">
        <w:rPr>
          <w:lang w:eastAsia="en-US"/>
        </w:rPr>
        <w:t xml:space="preserve">desinterpretovali </w:t>
      </w:r>
      <w:r w:rsidR="08C03173" w:rsidRPr="003D1E07">
        <w:rPr>
          <w:lang w:eastAsia="en-US"/>
        </w:rPr>
        <w:t xml:space="preserve">pod vedením bohyně Apaté </w:t>
      </w:r>
      <w:r w:rsidR="08664C45" w:rsidRPr="003D1E07">
        <w:rPr>
          <w:lang w:eastAsia="en-US"/>
        </w:rPr>
        <w:t xml:space="preserve">archegetickou a pythickou </w:t>
      </w:r>
      <w:r w:rsidR="007F20F5" w:rsidRPr="003D1E07">
        <w:rPr>
          <w:lang w:eastAsia="en-US"/>
        </w:rPr>
        <w:t xml:space="preserve">pravdu počátků </w:t>
      </w:r>
      <w:r w:rsidR="00395029" w:rsidRPr="003D1E07">
        <w:rPr>
          <w:lang w:eastAsia="en-US"/>
        </w:rPr>
        <w:t>filosofie</w:t>
      </w:r>
      <w:r w:rsidR="089579E7" w:rsidRPr="003D1E07">
        <w:rPr>
          <w:lang w:eastAsia="en-US"/>
        </w:rPr>
        <w:t xml:space="preserve">. Moderna vedená klamným </w:t>
      </w:r>
      <w:r w:rsidR="006A3421" w:rsidRPr="003D1E07">
        <w:rPr>
          <w:lang w:eastAsia="en-US"/>
        </w:rPr>
        <w:t xml:space="preserve">apollinským </w:t>
      </w:r>
      <w:r w:rsidR="089579E7" w:rsidRPr="003D1E07">
        <w:rPr>
          <w:lang w:eastAsia="en-US"/>
        </w:rPr>
        <w:t xml:space="preserve">jasem </w:t>
      </w:r>
      <w:r w:rsidR="08397F22" w:rsidRPr="003D1E07">
        <w:rPr>
          <w:lang w:eastAsia="en-US"/>
        </w:rPr>
        <w:t>substance</w:t>
      </w:r>
      <w:r w:rsidR="0895033A" w:rsidRPr="003D1E07">
        <w:rPr>
          <w:lang w:eastAsia="en-US"/>
        </w:rPr>
        <w:t xml:space="preserve"> (</w:t>
      </w:r>
      <w:r w:rsidR="0895033A" w:rsidRPr="003D1E07">
        <w:rPr>
          <w:i/>
          <w:lang w:eastAsia="en-US"/>
        </w:rPr>
        <w:t>eídolon</w:t>
      </w:r>
      <w:r w:rsidR="0895033A" w:rsidRPr="003D1E07">
        <w:rPr>
          <w:lang w:eastAsia="en-US"/>
        </w:rPr>
        <w:t xml:space="preserve">) </w:t>
      </w:r>
      <w:r w:rsidR="089579E7" w:rsidRPr="003D1E07">
        <w:rPr>
          <w:lang w:eastAsia="en-US"/>
        </w:rPr>
        <w:t xml:space="preserve">sleduje cestu ideového simulákra </w:t>
      </w:r>
      <w:r w:rsidR="08791965" w:rsidRPr="003D1E07">
        <w:rPr>
          <w:lang w:eastAsia="en-US"/>
        </w:rPr>
        <w:t>zavedeného Platonem</w:t>
      </w:r>
      <w:r w:rsidR="08171B4D" w:rsidRPr="003D1E07">
        <w:rPr>
          <w:lang w:eastAsia="en-US"/>
        </w:rPr>
        <w:t xml:space="preserve"> (</w:t>
      </w:r>
      <w:r w:rsidR="08171B4D" w:rsidRPr="003D1E07">
        <w:rPr>
          <w:i/>
          <w:lang w:eastAsia="en-US"/>
        </w:rPr>
        <w:t>eídos</w:t>
      </w:r>
      <w:r w:rsidR="08171B4D" w:rsidRPr="003D1E07">
        <w:rPr>
          <w:lang w:eastAsia="en-US"/>
        </w:rPr>
        <w:t>)</w:t>
      </w:r>
      <w:r w:rsidR="08791965" w:rsidRPr="003D1E07">
        <w:rPr>
          <w:lang w:eastAsia="en-US"/>
        </w:rPr>
        <w:t xml:space="preserve">. </w:t>
      </w:r>
      <w:r w:rsidR="089579E7" w:rsidRPr="003D1E07">
        <w:t>Múzický charakter arch</w:t>
      </w:r>
      <w:r w:rsidR="08B91E68" w:rsidRPr="003D1E07">
        <w:t xml:space="preserve">egetického </w:t>
      </w:r>
      <w:r w:rsidR="089579E7" w:rsidRPr="003D1E07">
        <w:t xml:space="preserve">dativu vzhledem k ideové nebo k reálné jsoucnosti substance ještě viděli Platon i Aristoteles, protože byli </w:t>
      </w:r>
      <w:r w:rsidR="08DF1E87" w:rsidRPr="003D1E07">
        <w:t xml:space="preserve">současníky </w:t>
      </w:r>
      <w:r w:rsidR="089579E7" w:rsidRPr="003D1E07">
        <w:t>Sokrata</w:t>
      </w:r>
      <w:r w:rsidR="08F92DB4" w:rsidRPr="003D1E07">
        <w:t xml:space="preserve"> a Delf</w:t>
      </w:r>
      <w:r w:rsidR="089579E7" w:rsidRPr="003D1E07">
        <w:t xml:space="preserve">. Jejich </w:t>
      </w:r>
      <w:r w:rsidR="003D1762" w:rsidRPr="003D1E07">
        <w:t xml:space="preserve">spekulativní </w:t>
      </w:r>
      <w:r w:rsidR="089579E7" w:rsidRPr="003D1E07">
        <w:t xml:space="preserve">myšlení </w:t>
      </w:r>
      <w:r w:rsidR="003D1762" w:rsidRPr="003D1E07">
        <w:t>vytvořilo křivé zrcadlo (</w:t>
      </w:r>
      <w:r w:rsidR="003D1762" w:rsidRPr="003D1E07">
        <w:rPr>
          <w:i/>
        </w:rPr>
        <w:t>speculum</w:t>
      </w:r>
      <w:r w:rsidR="003D1762" w:rsidRPr="003D1E07">
        <w:t xml:space="preserve">) </w:t>
      </w:r>
      <w:r w:rsidR="004B0F7A" w:rsidRPr="003D1E07">
        <w:t xml:space="preserve">epochy tragiků, </w:t>
      </w:r>
      <w:r w:rsidR="003D1762" w:rsidRPr="003D1E07">
        <w:t xml:space="preserve">které ale </w:t>
      </w:r>
      <w:r w:rsidR="089579E7" w:rsidRPr="003D1E07">
        <w:t xml:space="preserve">stále </w:t>
      </w:r>
      <w:r w:rsidR="08DF1E87" w:rsidRPr="003D1E07">
        <w:t>ještě odráželo (</w:t>
      </w:r>
      <w:r w:rsidR="081A2DDF" w:rsidRPr="003D1E07">
        <w:rPr>
          <w:i/>
        </w:rPr>
        <w:t>reflexum</w:t>
      </w:r>
      <w:r w:rsidR="08DF1E87" w:rsidRPr="003D1E07">
        <w:t xml:space="preserve">) něco </w:t>
      </w:r>
      <w:r w:rsidR="003D1762" w:rsidRPr="003D1E07">
        <w:t xml:space="preserve">málo </w:t>
      </w:r>
      <w:r w:rsidR="08DF1E87" w:rsidRPr="003D1E07">
        <w:t>z p</w:t>
      </w:r>
      <w:r w:rsidR="089579E7" w:rsidRPr="003D1E07">
        <w:rPr>
          <w:lang w:eastAsia="en-US"/>
        </w:rPr>
        <w:t xml:space="preserve">ůvodní apollinské formy </w:t>
      </w:r>
      <w:r w:rsidR="089579E7" w:rsidRPr="003D1E07">
        <w:rPr>
          <w:i/>
          <w:lang w:eastAsia="en-US"/>
        </w:rPr>
        <w:t>Lichtung</w:t>
      </w:r>
      <w:r w:rsidR="082C3B39" w:rsidRPr="003D1E07">
        <w:rPr>
          <w:lang w:eastAsia="en-US"/>
        </w:rPr>
        <w:t xml:space="preserve">. Proto je </w:t>
      </w:r>
      <w:r w:rsidR="00DD7B1F" w:rsidRPr="003D1E07">
        <w:rPr>
          <w:lang w:eastAsia="en-US"/>
        </w:rPr>
        <w:t>reflexivně-spekulativní za</w:t>
      </w:r>
      <w:r w:rsidR="082C3B39" w:rsidRPr="003D1E07">
        <w:rPr>
          <w:lang w:eastAsia="en-US"/>
        </w:rPr>
        <w:t xml:space="preserve">čátek metafyziky </w:t>
      </w:r>
      <w:r w:rsidR="00DD7B1F" w:rsidRPr="003D1E07">
        <w:rPr>
          <w:lang w:eastAsia="en-US"/>
        </w:rPr>
        <w:t>(</w:t>
      </w:r>
      <w:r w:rsidR="00DD7B1F" w:rsidRPr="003D1E07">
        <w:rPr>
          <w:i/>
          <w:lang w:eastAsia="en-US"/>
        </w:rPr>
        <w:t>Beginn</w:t>
      </w:r>
      <w:r w:rsidR="002F71C5" w:rsidRPr="003D1E07">
        <w:rPr>
          <w:i/>
          <w:lang w:eastAsia="en-US"/>
        </w:rPr>
        <w:fldChar w:fldCharType="begin"/>
      </w:r>
      <w:r w:rsidR="002F71C5" w:rsidRPr="003D1E07">
        <w:instrText xml:space="preserve"> XE "</w:instrText>
      </w:r>
      <w:r w:rsidR="002F71C5" w:rsidRPr="003D1E07">
        <w:rPr>
          <w:i/>
          <w:lang w:eastAsia="en-US"/>
        </w:rPr>
        <w:instrText>Beginn</w:instrText>
      </w:r>
      <w:r w:rsidR="002F71C5" w:rsidRPr="003D1E07">
        <w:instrText xml:space="preserve">" </w:instrText>
      </w:r>
      <w:r w:rsidR="002F71C5" w:rsidRPr="003D1E07">
        <w:rPr>
          <w:i/>
          <w:lang w:eastAsia="en-US"/>
        </w:rPr>
        <w:fldChar w:fldCharType="end"/>
      </w:r>
      <w:r w:rsidR="00DD7B1F" w:rsidRPr="003D1E07">
        <w:rPr>
          <w:lang w:eastAsia="en-US"/>
        </w:rPr>
        <w:t xml:space="preserve">) </w:t>
      </w:r>
      <w:r w:rsidR="082C3B39" w:rsidRPr="003D1E07">
        <w:rPr>
          <w:lang w:eastAsia="en-US"/>
        </w:rPr>
        <w:t xml:space="preserve">stále ještě </w:t>
      </w:r>
      <w:r w:rsidR="00927C8E" w:rsidRPr="003D1E07">
        <w:rPr>
          <w:lang w:eastAsia="en-US"/>
        </w:rPr>
        <w:t xml:space="preserve">dán v oblasti </w:t>
      </w:r>
      <w:r w:rsidR="001D1ECE" w:rsidRPr="003D1E07">
        <w:rPr>
          <w:lang w:eastAsia="en-US"/>
        </w:rPr>
        <w:t>působ</w:t>
      </w:r>
      <w:r w:rsidR="00927C8E" w:rsidRPr="003D1E07">
        <w:rPr>
          <w:lang w:eastAsia="en-US"/>
        </w:rPr>
        <w:t>ení archaického</w:t>
      </w:r>
      <w:r w:rsidR="082C3B39" w:rsidRPr="003D1E07">
        <w:rPr>
          <w:lang w:eastAsia="en-US"/>
        </w:rPr>
        <w:t xml:space="preserve"> smyslu pravdy jako události moudrého myšlení</w:t>
      </w:r>
      <w:r w:rsidR="00F72562">
        <w:rPr>
          <w:lang w:eastAsia="en-US"/>
        </w:rPr>
        <w:t xml:space="preserve"> </w:t>
      </w:r>
      <w:r w:rsidR="00F72562">
        <w:t>(</w:t>
      </w:r>
      <w:r w:rsidR="00F72562" w:rsidRPr="00F41F4D">
        <w:rPr>
          <w:i/>
        </w:rPr>
        <w:t>factum</w:t>
      </w:r>
      <w:r w:rsidR="00F72562">
        <w:rPr>
          <w:i/>
        </w:rPr>
        <w:fldChar w:fldCharType="begin"/>
      </w:r>
      <w:r w:rsidR="00F72562">
        <w:instrText xml:space="preserve"> XE "</w:instrText>
      </w:r>
      <w:r w:rsidR="00F72562" w:rsidRPr="0010792D">
        <w:rPr>
          <w:i/>
        </w:rPr>
        <w:instrText>factum</w:instrText>
      </w:r>
      <w:r w:rsidR="00F72562">
        <w:instrText xml:space="preserve">" </w:instrText>
      </w:r>
      <w:r w:rsidR="00F72562">
        <w:rPr>
          <w:i/>
        </w:rPr>
        <w:fldChar w:fldCharType="end"/>
      </w:r>
      <w:r w:rsidR="00F72562">
        <w:t>)</w:t>
      </w:r>
      <w:r w:rsidR="086B475E" w:rsidRPr="003D1E07">
        <w:rPr>
          <w:lang w:eastAsia="en-US"/>
        </w:rPr>
        <w:t xml:space="preserve">. </w:t>
      </w:r>
      <w:r w:rsidR="08F92DB4" w:rsidRPr="003D1E07">
        <w:rPr>
          <w:lang w:eastAsia="en-US"/>
        </w:rPr>
        <w:t xml:space="preserve">Oba první metafyzikové ještě věděli, že působení archaického počátku v jednotlivé substanci či ideji je nutné tematizovat, i když jen okrajově. Ale toto dění počátku zůstává v dalších proměnách metafyziky trvale, čili letargicky skryto. </w:t>
      </w:r>
      <w:r w:rsidR="08E72475" w:rsidRPr="003D1E07">
        <w:rPr>
          <w:lang w:eastAsia="en-US"/>
        </w:rPr>
        <w:t>M</w:t>
      </w:r>
      <w:r w:rsidR="08E72475" w:rsidRPr="003D1E07">
        <w:t>yšlení metafyziky se vztahuje pouze k přítomnému bytí jsoucího jako eideticky pojaté substance.</w:t>
      </w:r>
      <w:r w:rsidR="08E72475" w:rsidRPr="003D1E07">
        <w:rPr>
          <w:lang w:eastAsia="en-US"/>
        </w:rPr>
        <w:t xml:space="preserve"> Metafyzika Západu změnila původní moudrost na objektivní technologii myšlení. </w:t>
      </w:r>
      <w:r w:rsidR="08DF1E87" w:rsidRPr="003D1E07">
        <w:rPr>
          <w:lang w:eastAsia="en-US"/>
        </w:rPr>
        <w:t xml:space="preserve">Z teoretické moudrosti tragiků se stala </w:t>
      </w:r>
      <w:r w:rsidR="088C6FF1" w:rsidRPr="003D1E07">
        <w:rPr>
          <w:lang w:eastAsia="en-US"/>
        </w:rPr>
        <w:t xml:space="preserve">reflexivní </w:t>
      </w:r>
      <w:r w:rsidR="08DF1E87" w:rsidRPr="003D1E07">
        <w:rPr>
          <w:lang w:eastAsia="en-US"/>
        </w:rPr>
        <w:t>spekulace</w:t>
      </w:r>
      <w:r w:rsidR="088C6FF1" w:rsidRPr="003D1E07">
        <w:rPr>
          <w:lang w:eastAsia="en-US"/>
        </w:rPr>
        <w:t xml:space="preserve"> postmoderního karteziánského subjektu</w:t>
      </w:r>
      <w:r w:rsidR="08DF1E87" w:rsidRPr="003D1E07">
        <w:rPr>
          <w:lang w:eastAsia="en-US"/>
        </w:rPr>
        <w:t xml:space="preserve">. </w:t>
      </w:r>
      <w:r w:rsidR="087717F3" w:rsidRPr="003D1E07">
        <w:rPr>
          <w:lang w:eastAsia="en-US"/>
        </w:rPr>
        <w:t>Po zmizení metafyziky zbylo z působení Múz jen postmoderní muzeum</w:t>
      </w:r>
      <w:r w:rsidR="0828284D" w:rsidRPr="003D1E07">
        <w:rPr>
          <w:lang w:eastAsia="en-US"/>
        </w:rPr>
        <w:t>, jehož sbírky se postupně digitalizují</w:t>
      </w:r>
      <w:r w:rsidR="08196BA9" w:rsidRPr="003D1E07">
        <w:rPr>
          <w:lang w:eastAsia="en-US"/>
        </w:rPr>
        <w:t xml:space="preserve"> do </w:t>
      </w:r>
      <w:r w:rsidR="084624F8" w:rsidRPr="003D1E07">
        <w:rPr>
          <w:lang w:eastAsia="en-US"/>
        </w:rPr>
        <w:t xml:space="preserve">binární </w:t>
      </w:r>
      <w:r w:rsidR="08196BA9" w:rsidRPr="003D1E07">
        <w:rPr>
          <w:lang w:eastAsia="en-US"/>
        </w:rPr>
        <w:t>diference mezi jedničkou a nulou</w:t>
      </w:r>
      <w:r w:rsidR="087717F3" w:rsidRPr="003D1E07">
        <w:rPr>
          <w:lang w:eastAsia="en-US"/>
        </w:rPr>
        <w:t xml:space="preserve">. </w:t>
      </w:r>
      <w:r w:rsidR="089579E7" w:rsidRPr="003D1E07">
        <w:t xml:space="preserve">Vidění </w:t>
      </w:r>
      <w:r w:rsidR="00F045B8" w:rsidRPr="003D1E07">
        <w:t xml:space="preserve">moudrého Sokrata </w:t>
      </w:r>
      <w:r w:rsidR="089579E7" w:rsidRPr="003D1E07">
        <w:t>se stalo věděním</w:t>
      </w:r>
      <w:r w:rsidR="087717F3" w:rsidRPr="003D1E07">
        <w:t xml:space="preserve"> me</w:t>
      </w:r>
      <w:r w:rsidR="089579E7" w:rsidRPr="003D1E07">
        <w:rPr>
          <w:lang w:eastAsia="en-US"/>
        </w:rPr>
        <w:t>ta</w:t>
      </w:r>
      <w:r w:rsidR="087717F3" w:rsidRPr="003D1E07">
        <w:rPr>
          <w:lang w:eastAsia="en-US"/>
        </w:rPr>
        <w:t>fyziky</w:t>
      </w:r>
      <w:r w:rsidR="081E14A9" w:rsidRPr="003D1E07">
        <w:rPr>
          <w:lang w:eastAsia="en-US"/>
        </w:rPr>
        <w:t>, která skončila v  sebereflexi narcistického subjektu</w:t>
      </w:r>
      <w:r w:rsidR="089579E7" w:rsidRPr="003D1E07">
        <w:rPr>
          <w:lang w:eastAsia="en-US"/>
        </w:rPr>
        <w:t xml:space="preserve">. </w:t>
      </w:r>
      <w:r w:rsidR="082F024B" w:rsidRPr="003D1E07">
        <w:rPr>
          <w:lang w:eastAsia="en-US"/>
        </w:rPr>
        <w:t>Jeho současné vítězství v epoše dekonstrukce  určuje charakter západní civilizace</w:t>
      </w:r>
      <w:r w:rsidR="082273D0" w:rsidRPr="003D1E07">
        <w:rPr>
          <w:lang w:eastAsia="en-US"/>
        </w:rPr>
        <w:t>, která sama sobě nastavila ironicky pravdivé zrcadlo</w:t>
      </w:r>
      <w:r w:rsidR="08A05FFA" w:rsidRPr="003D1E07">
        <w:rPr>
          <w:lang w:eastAsia="en-US"/>
        </w:rPr>
        <w:t xml:space="preserve"> (</w:t>
      </w:r>
      <w:r w:rsidR="08A05FFA" w:rsidRPr="003D1E07">
        <w:rPr>
          <w:i/>
          <w:lang w:eastAsia="en-US"/>
        </w:rPr>
        <w:t>speculum</w:t>
      </w:r>
      <w:r w:rsidR="08A05FFA" w:rsidRPr="003D1E07">
        <w:rPr>
          <w:lang w:eastAsia="en-US"/>
        </w:rPr>
        <w:t>)</w:t>
      </w:r>
      <w:r w:rsidR="088D5C6F" w:rsidRPr="003D1E07">
        <w:rPr>
          <w:lang w:eastAsia="en-US"/>
        </w:rPr>
        <w:t>.</w:t>
      </w:r>
      <w:r w:rsidR="08A05FFA" w:rsidRPr="003D1E07">
        <w:rPr>
          <w:lang w:eastAsia="en-US"/>
        </w:rPr>
        <w:t xml:space="preserve"> Spekulativní charakter </w:t>
      </w:r>
      <w:r w:rsidR="0845658A" w:rsidRPr="003D1E07">
        <w:t xml:space="preserve">metafyziky je třeba podrobně </w:t>
      </w:r>
      <w:r w:rsidR="081F4E6A" w:rsidRPr="003D1E07">
        <w:t>zkoumat. V</w:t>
      </w:r>
      <w:r w:rsidR="08B25C35" w:rsidRPr="003D1E07">
        <w:t xml:space="preserve">zpoura </w:t>
      </w:r>
      <w:r w:rsidR="080B3C79" w:rsidRPr="003D1E07">
        <w:t xml:space="preserve">akademické </w:t>
      </w:r>
      <w:r w:rsidR="080B3C79" w:rsidRPr="003D1E07">
        <w:rPr>
          <w:i/>
        </w:rPr>
        <w:t>hýbris</w:t>
      </w:r>
      <w:r w:rsidR="080B3C79" w:rsidRPr="003D1E07">
        <w:t xml:space="preserve"> </w:t>
      </w:r>
      <w:r w:rsidR="08B25C35" w:rsidRPr="003D1E07">
        <w:t xml:space="preserve">proti archaické moudrosti </w:t>
      </w:r>
      <w:r w:rsidR="0845658A" w:rsidRPr="003D1E07">
        <w:t xml:space="preserve">tvoří identitu </w:t>
      </w:r>
      <w:r w:rsidR="081F4E6A" w:rsidRPr="003D1E07">
        <w:t xml:space="preserve">současné </w:t>
      </w:r>
      <w:r w:rsidR="0845658A" w:rsidRPr="003D1E07">
        <w:t>západní civili</w:t>
      </w:r>
      <w:r w:rsidR="08B25C35" w:rsidRPr="003D1E07">
        <w:t>z</w:t>
      </w:r>
      <w:r w:rsidR="0845658A" w:rsidRPr="003D1E07">
        <w:t xml:space="preserve">ace a objektivního myšlení. </w:t>
      </w:r>
      <w:r w:rsidR="08676A52" w:rsidRPr="003D1E07">
        <w:t xml:space="preserve">Titánská vzpoura </w:t>
      </w:r>
      <w:r w:rsidR="084C6E03" w:rsidRPr="003D1E07">
        <w:t xml:space="preserve">Moderních </w:t>
      </w:r>
      <w:r w:rsidR="08676A52" w:rsidRPr="003D1E07">
        <w:t xml:space="preserve">neskončila darem ohně jako u Prométhea, ale globálním oteplováním. </w:t>
      </w:r>
    </w:p>
    <w:p w14:paraId="658D7FC2" w14:textId="68F87ED5" w:rsidR="08D5415A" w:rsidRPr="003D1E07" w:rsidRDefault="00B56A1C" w:rsidP="00A1788F">
      <w:pPr>
        <w:ind w:firstLine="397"/>
        <w:rPr>
          <w:lang w:eastAsia="en-US"/>
        </w:rPr>
      </w:pPr>
      <w:r w:rsidRPr="003D1E07">
        <w:t>Metafyzika vznikla skrytou aktivitou zakládajícího dění daného jako událost bytí (</w:t>
      </w:r>
      <w:r w:rsidRPr="003D1E07">
        <w:rPr>
          <w:i/>
        </w:rPr>
        <w:t>Gr</w:t>
      </w:r>
      <w:r w:rsidRPr="003D1E07">
        <w:rPr>
          <w:rFonts w:cs="Calibri"/>
          <w:i/>
        </w:rPr>
        <w:t>ü</w:t>
      </w:r>
      <w:r w:rsidRPr="003D1E07">
        <w:rPr>
          <w:i/>
        </w:rPr>
        <w:t>ndung</w:t>
      </w:r>
      <w:r w:rsidRPr="003D1E07">
        <w:t xml:space="preserve">). </w:t>
      </w:r>
      <w:r w:rsidR="003E7C47" w:rsidRPr="003D1E07">
        <w:t>Nová o</w:t>
      </w:r>
      <w:r w:rsidRPr="003D1E07">
        <w:t xml:space="preserve">dkrytost bytí se vytvořila skrze lidskou vůli, která začala dominovat </w:t>
      </w:r>
      <w:r w:rsidRPr="003D1E07">
        <w:lastRenderedPageBreak/>
        <w:t>myšlení stejně tyranským způsobem, jako politická tyranie dominovala řecké státy. Moderní subjekt ustavuje n</w:t>
      </w:r>
      <w:r w:rsidR="003E7C47" w:rsidRPr="003D1E07">
        <w:t>ový</w:t>
      </w:r>
      <w:r w:rsidRPr="003D1E07">
        <w:t xml:space="preserve"> základ (</w:t>
      </w:r>
      <w:r w:rsidRPr="003D1E07">
        <w:rPr>
          <w:i/>
        </w:rPr>
        <w:t>Grund</w:t>
      </w:r>
      <w:r w:rsidRPr="003D1E07">
        <w:t xml:space="preserve">) </w:t>
      </w:r>
      <w:r w:rsidR="008F53A7" w:rsidRPr="003D1E07">
        <w:t xml:space="preserve">skrze určení </w:t>
      </w:r>
      <w:r w:rsidRPr="003D1E07">
        <w:t>jsoucna</w:t>
      </w:r>
      <w:r w:rsidR="008F53A7" w:rsidRPr="003D1E07">
        <w:t>. P</w:t>
      </w:r>
      <w:r w:rsidR="003E7C47" w:rsidRPr="003D1E07">
        <w:t>ůvodní bytí přeš</w:t>
      </w:r>
      <w:r w:rsidR="008F53A7" w:rsidRPr="003D1E07">
        <w:t>lo do léthé stej</w:t>
      </w:r>
      <w:r w:rsidR="003E7C47" w:rsidRPr="003D1E07">
        <w:t>n</w:t>
      </w:r>
      <w:r w:rsidR="008F53A7" w:rsidRPr="003D1E07">
        <w:t>ě</w:t>
      </w:r>
      <w:r w:rsidR="003E7C47" w:rsidRPr="003D1E07">
        <w:t xml:space="preserve"> jako archaická demokracie</w:t>
      </w:r>
      <w:r w:rsidR="08A05FFA" w:rsidRPr="003D1E07">
        <w:t xml:space="preserve">. </w:t>
      </w:r>
      <w:r w:rsidR="004D2944" w:rsidRPr="003D1E07">
        <w:t xml:space="preserve">Antropologický obrat daný platonismem nahradil </w:t>
      </w:r>
      <w:r w:rsidR="00BD1BD0" w:rsidRPr="003D1E07">
        <w:rPr>
          <w:i/>
        </w:rPr>
        <w:t>fýsis</w:t>
      </w:r>
      <w:r w:rsidR="00BD1BD0" w:rsidRPr="003D1E07">
        <w:t xml:space="preserve"> tím, že </w:t>
      </w:r>
      <w:r w:rsidR="00BB0FA5" w:rsidRPr="003D1E07">
        <w:t>vytvořil nov</w:t>
      </w:r>
      <w:r w:rsidR="00BD1BD0" w:rsidRPr="003D1E07">
        <w:t>ý</w:t>
      </w:r>
      <w:r w:rsidR="00BB0FA5" w:rsidRPr="003D1E07">
        <w:t xml:space="preserve"> fenomén izolovaného jsoucna, které se stalo základem metafyziky</w:t>
      </w:r>
      <w:r w:rsidR="00931D5B" w:rsidRPr="003D1E07">
        <w:t xml:space="preserve">. </w:t>
      </w:r>
      <w:r w:rsidR="086E3FAA" w:rsidRPr="003D1E07">
        <w:t xml:space="preserve">Jsoucno </w:t>
      </w:r>
      <w:r w:rsidR="00F6454A" w:rsidRPr="003D1E07">
        <w:t xml:space="preserve">„jako“ jsoucí (Heideggerovo </w:t>
      </w:r>
      <w:r w:rsidR="00F6454A" w:rsidRPr="003D1E07">
        <w:rPr>
          <w:i/>
        </w:rPr>
        <w:t>Als</w:t>
      </w:r>
      <w:r w:rsidR="00F6454A" w:rsidRPr="003D1E07">
        <w:t xml:space="preserve">) existuje </w:t>
      </w:r>
      <w:r w:rsidR="086E3FAA" w:rsidRPr="003D1E07">
        <w:t xml:space="preserve">v metafyzice proto, že </w:t>
      </w:r>
      <w:r w:rsidR="00507C04" w:rsidRPr="003D1E07">
        <w:t>moderní subjekt nese substančně pojatou jsoucnost jako zakládající událost</w:t>
      </w:r>
      <w:r w:rsidR="00F6454A" w:rsidRPr="003D1E07">
        <w:t>. Sokrates jako metafyzický transvestita zakládá metafyziku Platona a Aristotela</w:t>
      </w:r>
      <w:r w:rsidR="00DD3251" w:rsidRPr="003D1E07">
        <w:t>, protože představuje prvního nosiče ideálního jsoucna</w:t>
      </w:r>
      <w:r w:rsidR="086E3FAA" w:rsidRPr="003D1E07">
        <w:t xml:space="preserve">. </w:t>
      </w:r>
      <w:r w:rsidR="08406FA2" w:rsidRPr="003D1E07">
        <w:t>Heideggerovo d</w:t>
      </w:r>
      <w:r w:rsidR="086A16D7" w:rsidRPr="003D1E07">
        <w:t xml:space="preserve">ílo </w:t>
      </w:r>
      <w:r w:rsidR="086A16D7" w:rsidRPr="003D1E07">
        <w:rPr>
          <w:i/>
        </w:rPr>
        <w:t>Der</w:t>
      </w:r>
      <w:r w:rsidR="086A16D7" w:rsidRPr="003D1E07">
        <w:t xml:space="preserve"> </w:t>
      </w:r>
      <w:r w:rsidR="086A16D7" w:rsidRPr="003D1E07">
        <w:rPr>
          <w:i/>
        </w:rPr>
        <w:t>Satz der Identität</w:t>
      </w:r>
      <w:r w:rsidR="086A16D7" w:rsidRPr="003D1E07">
        <w:t xml:space="preserve"> vykládá v</w:t>
      </w:r>
      <w:r w:rsidR="085B5F68" w:rsidRPr="003D1E07">
        <w:t>ztah metafyziky</w:t>
      </w:r>
      <w:r w:rsidR="086A16D7" w:rsidRPr="003D1E07">
        <w:t xml:space="preserve"> k původní události </w:t>
      </w:r>
      <w:r w:rsidR="08757DC6" w:rsidRPr="003D1E07">
        <w:t xml:space="preserve">bytí celku </w:t>
      </w:r>
      <w:r w:rsidR="086A16D7" w:rsidRPr="003D1E07">
        <w:t>jsoucna. Heidegger mluví o zakládajícím dění pravdy (</w:t>
      </w:r>
      <w:r w:rsidR="086A16D7" w:rsidRPr="003D1E07">
        <w:rPr>
          <w:i/>
        </w:rPr>
        <w:t>Gründung der Wahrheit</w:t>
      </w:r>
      <w:r w:rsidR="086A16D7" w:rsidRPr="003D1E07">
        <w:t>), která je totálně skrytá v současné epoše objektivity a techniky. Dění jsoucna zjeveného jako základ metafyziky (</w:t>
      </w:r>
      <w:r w:rsidR="086A16D7" w:rsidRPr="003D1E07">
        <w:rPr>
          <w:i/>
        </w:rPr>
        <w:t>Gründung</w:t>
      </w:r>
      <w:r w:rsidR="086A16D7" w:rsidRPr="003D1E07">
        <w:t>)</w:t>
      </w:r>
      <w:r w:rsidR="086A16D7" w:rsidRPr="003D1E07">
        <w:rPr>
          <w:i/>
        </w:rPr>
        <w:t xml:space="preserve"> </w:t>
      </w:r>
      <w:r w:rsidR="086A16D7" w:rsidRPr="003D1E07">
        <w:rPr>
          <w:i/>
        </w:rPr>
        <w:fldChar w:fldCharType="begin"/>
      </w:r>
      <w:r w:rsidR="086A16D7" w:rsidRPr="003D1E07">
        <w:instrText xml:space="preserve"> XE "metafyzika:</w:instrText>
      </w:r>
      <w:r w:rsidR="086A16D7" w:rsidRPr="003D1E07">
        <w:rPr>
          <w:i/>
        </w:rPr>
        <w:instrText>Gründung</w:instrText>
      </w:r>
      <w:r w:rsidR="086A16D7" w:rsidRPr="003D1E07">
        <w:instrText xml:space="preserve">" </w:instrText>
      </w:r>
      <w:r w:rsidR="086A16D7" w:rsidRPr="003D1E07">
        <w:rPr>
          <w:i/>
        </w:rPr>
        <w:fldChar w:fldCharType="end"/>
      </w:r>
      <w:r w:rsidR="086A16D7" w:rsidRPr="003D1E07">
        <w:t>stále drží skrytou a vytěsněnou vazbu na původní událost bytí</w:t>
      </w:r>
      <w:r w:rsidR="0833149F" w:rsidRPr="003D1E07">
        <w:t>.</w:t>
      </w:r>
      <w:r w:rsidR="081409DB" w:rsidRPr="003D1E07">
        <w:rPr>
          <w:rStyle w:val="Znakapoznpodarou"/>
        </w:rPr>
        <w:footnoteReference w:id="25"/>
      </w:r>
      <w:r w:rsidR="081409DB" w:rsidRPr="003D1E07">
        <w:t xml:space="preserve"> </w:t>
      </w:r>
      <w:r w:rsidR="08E171AA" w:rsidRPr="003D1E07">
        <w:t xml:space="preserve">Událost původního </w:t>
      </w:r>
      <w:r w:rsidR="08E171AA" w:rsidRPr="003D1E07">
        <w:rPr>
          <w:i/>
        </w:rPr>
        <w:t>Gründung</w:t>
      </w:r>
      <w:r w:rsidR="08E171AA" w:rsidRPr="003D1E07">
        <w:t xml:space="preserve"> není totéž jako následný ontický</w:t>
      </w:r>
      <w:r w:rsidR="08F567A4" w:rsidRPr="003D1E07">
        <w:t xml:space="preserve"> základ</w:t>
      </w:r>
      <w:r w:rsidR="08933D24" w:rsidRPr="003D1E07">
        <w:t xml:space="preserve">, </w:t>
      </w:r>
      <w:r w:rsidR="08F84608" w:rsidRPr="003D1E07">
        <w:t>který nese nový typ identity jsoucna</w:t>
      </w:r>
      <w:r w:rsidR="08933D24" w:rsidRPr="003D1E07">
        <w:t xml:space="preserve"> (</w:t>
      </w:r>
      <w:r w:rsidR="08933D24" w:rsidRPr="003D1E07">
        <w:rPr>
          <w:rStyle w:val="st"/>
        </w:rPr>
        <w:t>ὑποκείμενον</w:t>
      </w:r>
      <w:r w:rsidR="08933D24" w:rsidRPr="003D1E07">
        <w:rPr>
          <w:i/>
        </w:rPr>
        <w:t>, subiectum</w:t>
      </w:r>
      <w:r w:rsidR="08933D24" w:rsidRPr="003D1E07">
        <w:rPr>
          <w:i/>
        </w:rPr>
        <w:fldChar w:fldCharType="begin"/>
      </w:r>
      <w:r w:rsidR="08933D24" w:rsidRPr="003D1E07">
        <w:instrText xml:space="preserve"> XE "</w:instrText>
      </w:r>
      <w:r w:rsidR="08933D24" w:rsidRPr="003D1E07">
        <w:rPr>
          <w:i/>
        </w:rPr>
        <w:instrText>subiectum:</w:instrText>
      </w:r>
      <w:r w:rsidR="08933D24" w:rsidRPr="003D1E07">
        <w:instrText xml:space="preserve">třetího druhu" </w:instrText>
      </w:r>
      <w:r w:rsidR="08933D24" w:rsidRPr="003D1E07">
        <w:rPr>
          <w:i/>
        </w:rPr>
        <w:fldChar w:fldCharType="end"/>
      </w:r>
      <w:r w:rsidR="08933D24" w:rsidRPr="003D1E07">
        <w:t>)</w:t>
      </w:r>
      <w:r w:rsidR="08F567A4" w:rsidRPr="003D1E07">
        <w:t xml:space="preserve">. </w:t>
      </w:r>
      <w:r w:rsidR="086D2878" w:rsidRPr="003D1E07">
        <w:t xml:space="preserve">Činnost zakládání metafyziky v modu </w:t>
      </w:r>
      <w:r w:rsidR="00286E1D" w:rsidRPr="003D1E07">
        <w:t xml:space="preserve">archaického </w:t>
      </w:r>
      <w:r w:rsidR="086D2878" w:rsidRPr="003D1E07">
        <w:rPr>
          <w:i/>
        </w:rPr>
        <w:t>Gründung</w:t>
      </w:r>
      <w:r w:rsidR="086D2878" w:rsidRPr="003D1E07">
        <w:t xml:space="preserve"> je nutné zásadně odlišit od pozitivně položeného základu, který umožňuje objektivní predikaci a kategorizaci jsoucna (</w:t>
      </w:r>
      <w:r w:rsidR="086D2878" w:rsidRPr="003D1E07">
        <w:rPr>
          <w:i/>
        </w:rPr>
        <w:t>Grund</w:t>
      </w:r>
      <w:r w:rsidR="086D2878" w:rsidRPr="003D1E07">
        <w:t xml:space="preserve">). </w:t>
      </w:r>
      <w:r w:rsidR="080F3872" w:rsidRPr="003D1E07">
        <w:t>Z</w:t>
      </w:r>
      <w:r w:rsidR="081409DB" w:rsidRPr="003D1E07">
        <w:t xml:space="preserve">akládající subjekt </w:t>
      </w:r>
      <w:r w:rsidR="08083CCB" w:rsidRPr="003D1E07">
        <w:t xml:space="preserve">metafyziky </w:t>
      </w:r>
      <w:r w:rsidR="081409DB" w:rsidRPr="003D1E07">
        <w:t xml:space="preserve">je idea, substance, demiurg, </w:t>
      </w:r>
      <w:r w:rsidR="08692985" w:rsidRPr="003D1E07">
        <w:t xml:space="preserve">teologicky pojatá </w:t>
      </w:r>
      <w:r w:rsidR="08692985" w:rsidRPr="003D1E07">
        <w:rPr>
          <w:i/>
        </w:rPr>
        <w:t>causa prima</w:t>
      </w:r>
      <w:r w:rsidR="081409DB" w:rsidRPr="003D1E07">
        <w:t xml:space="preserve">, </w:t>
      </w:r>
      <w:r w:rsidR="08692985" w:rsidRPr="003D1E07">
        <w:t xml:space="preserve">nebo </w:t>
      </w:r>
      <w:r w:rsidR="003D385F" w:rsidRPr="003D1E07">
        <w:t>objektivně určený subjekt</w:t>
      </w:r>
      <w:r w:rsidR="081409DB" w:rsidRPr="003D1E07">
        <w:t xml:space="preserve">. </w:t>
      </w:r>
      <w:r w:rsidR="086D2878" w:rsidRPr="003D1E07">
        <w:t xml:space="preserve">Tento </w:t>
      </w:r>
      <w:r w:rsidR="086D2878" w:rsidRPr="003D1E07">
        <w:rPr>
          <w:i/>
        </w:rPr>
        <w:t>Grund</w:t>
      </w:r>
      <w:r w:rsidR="086D2878" w:rsidRPr="003D1E07">
        <w:t xml:space="preserve"> drží metafyzika ve formě pevného dna či půdy pod nohama. Substance dostala v nové formě subjektivního zakládání pevně daný ontick</w:t>
      </w:r>
      <w:r w:rsidR="004A6327" w:rsidRPr="003D1E07">
        <w:t xml:space="preserve">ý </w:t>
      </w:r>
      <w:r w:rsidR="08FB49D8" w:rsidRPr="003D1E07">
        <w:t xml:space="preserve">základ, na němž je postaven </w:t>
      </w:r>
      <w:r w:rsidR="086D2878" w:rsidRPr="003D1E07">
        <w:t>metafyzicky založený smysl jsoucna</w:t>
      </w:r>
      <w:r w:rsidR="086D2878" w:rsidRPr="003D1E07">
        <w:fldChar w:fldCharType="begin"/>
      </w:r>
      <w:r w:rsidR="086D2878" w:rsidRPr="003D1E07">
        <w:instrText xml:space="preserve"> XE "substance:kategoriální danost" </w:instrText>
      </w:r>
      <w:r w:rsidR="086D2878" w:rsidRPr="003D1E07">
        <w:fldChar w:fldCharType="end"/>
      </w:r>
      <w:r w:rsidR="086D2878" w:rsidRPr="003D1E07">
        <w:t>.</w:t>
      </w:r>
      <w:r w:rsidR="08713BA2" w:rsidRPr="003D1E07">
        <w:t xml:space="preserve"> </w:t>
      </w:r>
      <w:r w:rsidR="00767FC5" w:rsidRPr="003D1E07">
        <w:t>A</w:t>
      </w:r>
      <w:r w:rsidR="08E71944" w:rsidRPr="003D1E07">
        <w:t xml:space="preserve">rchaické </w:t>
      </w:r>
      <w:r w:rsidR="08320385" w:rsidRPr="003D1E07">
        <w:t>dění nesl celek bytí</w:t>
      </w:r>
      <w:r w:rsidR="00767FC5" w:rsidRPr="003D1E07">
        <w:t xml:space="preserve"> nebo </w:t>
      </w:r>
      <w:r w:rsidR="00767FC5" w:rsidRPr="003D1E07">
        <w:rPr>
          <w:i/>
        </w:rPr>
        <w:t>fýsis</w:t>
      </w:r>
      <w:r w:rsidR="00767FC5" w:rsidRPr="003D1E07">
        <w:t>, který se ukazoval prostřednictvím individuální události nebo věci jako znamení Jiného</w:t>
      </w:r>
      <w:r w:rsidR="08320385" w:rsidRPr="003D1E07">
        <w:t xml:space="preserve">. </w:t>
      </w:r>
      <w:r w:rsidR="00902E65" w:rsidRPr="003D1E07">
        <w:t>Tento typ znamení po</w:t>
      </w:r>
      <w:r w:rsidR="00CE07B2" w:rsidRPr="003D1E07">
        <w:t>psalo výše uvedené He</w:t>
      </w:r>
      <w:r w:rsidR="00902E65" w:rsidRPr="003D1E07">
        <w:t>rakl</w:t>
      </w:r>
      <w:r w:rsidR="00CE07B2" w:rsidRPr="003D1E07">
        <w:t>e</w:t>
      </w:r>
      <w:r w:rsidR="00902E65" w:rsidRPr="003D1E07">
        <w:t xml:space="preserve">itovo diktum. </w:t>
      </w:r>
      <w:r w:rsidR="00767FC5" w:rsidRPr="003D1E07">
        <w:t xml:space="preserve">Archegetická identita stála na principiálním dění apollinského Jiného v modu </w:t>
      </w:r>
      <w:r w:rsidR="00767FC5" w:rsidRPr="003D1E07">
        <w:rPr>
          <w:i/>
        </w:rPr>
        <w:t>ipse</w:t>
      </w:r>
      <w:r w:rsidR="00767FC5" w:rsidRPr="003D1E07">
        <w:rPr>
          <w:i/>
        </w:rPr>
        <w:fldChar w:fldCharType="begin"/>
      </w:r>
      <w:r w:rsidR="00767FC5" w:rsidRPr="003D1E07">
        <w:instrText xml:space="preserve"> XE "ipseita" </w:instrText>
      </w:r>
      <w:r w:rsidR="00767FC5" w:rsidRPr="003D1E07">
        <w:rPr>
          <w:i/>
        </w:rPr>
        <w:fldChar w:fldCharType="end"/>
      </w:r>
      <w:r w:rsidR="00767FC5" w:rsidRPr="003D1E07">
        <w:t xml:space="preserve">. </w:t>
      </w:r>
      <w:r w:rsidR="08F312CB" w:rsidRPr="003D1E07">
        <w:t xml:space="preserve">Metafyzika změnila původní ontologický smysl a pravdivost v modu </w:t>
      </w:r>
      <w:r w:rsidR="08F312CB" w:rsidRPr="003D1E07">
        <w:rPr>
          <w:i/>
        </w:rPr>
        <w:t>ipse</w:t>
      </w:r>
      <w:r w:rsidR="08F312CB" w:rsidRPr="003D1E07">
        <w:t xml:space="preserve"> na ontické subjektivní dění v modu </w:t>
      </w:r>
      <w:r w:rsidR="08F312CB" w:rsidRPr="003D1E07">
        <w:rPr>
          <w:i/>
        </w:rPr>
        <w:t>idem</w:t>
      </w:r>
      <w:r w:rsidR="08F312CB" w:rsidRPr="003D1E07">
        <w:t xml:space="preserve">. </w:t>
      </w:r>
      <w:r w:rsidR="08320385" w:rsidRPr="003D1E07">
        <w:t>M</w:t>
      </w:r>
      <w:r w:rsidR="08FB49D8" w:rsidRPr="003D1E07">
        <w:t>oderní identita se pevně drží toho, co bylo založeno</w:t>
      </w:r>
      <w:r w:rsidR="08320385" w:rsidRPr="003D1E07">
        <w:t xml:space="preserve"> </w:t>
      </w:r>
      <w:r w:rsidR="08985B04" w:rsidRPr="003D1E07">
        <w:t xml:space="preserve">a co je pozitivně dáno </w:t>
      </w:r>
      <w:r w:rsidR="00204729" w:rsidRPr="003D1E07">
        <w:t xml:space="preserve">jako substance. </w:t>
      </w:r>
      <w:r w:rsidR="00204729" w:rsidRPr="003D1E07">
        <w:rPr>
          <w:lang w:eastAsia="en-US"/>
        </w:rPr>
        <w:t xml:space="preserve">Parusie jsoucna se manifestuje jako přítomné </w:t>
      </w:r>
      <w:r w:rsidR="00204729" w:rsidRPr="003D1E07">
        <w:rPr>
          <w:i/>
          <w:lang w:eastAsia="en-US"/>
        </w:rPr>
        <w:t>positum</w:t>
      </w:r>
      <w:r w:rsidR="00204729" w:rsidRPr="003D1E07">
        <w:rPr>
          <w:i/>
          <w:lang w:eastAsia="en-US"/>
        </w:rPr>
        <w:fldChar w:fldCharType="begin"/>
      </w:r>
      <w:r w:rsidR="00204729" w:rsidRPr="003D1E07">
        <w:instrText xml:space="preserve"> XE "</w:instrText>
      </w:r>
      <w:r w:rsidR="00204729" w:rsidRPr="003D1E07">
        <w:rPr>
          <w:rStyle w:val="st"/>
          <w:i/>
        </w:rPr>
        <w:instrText>positum</w:instrText>
      </w:r>
      <w:r w:rsidR="00204729" w:rsidRPr="003D1E07">
        <w:instrText xml:space="preserve">" </w:instrText>
      </w:r>
      <w:r w:rsidR="00204729" w:rsidRPr="003D1E07">
        <w:rPr>
          <w:i/>
          <w:lang w:eastAsia="en-US"/>
        </w:rPr>
        <w:fldChar w:fldCharType="end"/>
      </w:r>
      <w:r w:rsidR="00204729" w:rsidRPr="003D1E07">
        <w:rPr>
          <w:lang w:eastAsia="en-US"/>
        </w:rPr>
        <w:t>, čili jako první substance zjevená skrze metafyzické vědění</w:t>
      </w:r>
      <w:r w:rsidR="00B01FBA">
        <w:rPr>
          <w:lang w:eastAsia="en-US"/>
        </w:rPr>
        <w:t xml:space="preserve"> </w:t>
      </w:r>
      <w:r w:rsidR="002654A6">
        <w:rPr>
          <w:lang w:eastAsia="en-US"/>
        </w:rPr>
        <w:t xml:space="preserve">produkované </w:t>
      </w:r>
      <w:r w:rsidR="00B01FBA">
        <w:rPr>
          <w:lang w:eastAsia="en-US"/>
        </w:rPr>
        <w:t>mo</w:t>
      </w:r>
      <w:r w:rsidR="002654A6">
        <w:rPr>
          <w:lang w:eastAsia="en-US"/>
        </w:rPr>
        <w:t>derním subjektem</w:t>
      </w:r>
      <w:r w:rsidR="00346F7D">
        <w:rPr>
          <w:lang w:eastAsia="en-US"/>
        </w:rPr>
        <w:t xml:space="preserve"> ze sebe</w:t>
      </w:r>
      <w:r w:rsidR="00B01FBA">
        <w:rPr>
          <w:lang w:eastAsia="en-US"/>
        </w:rPr>
        <w:t xml:space="preserve"> (</w:t>
      </w:r>
      <w:r w:rsidR="00B01FBA" w:rsidRPr="00B01FBA">
        <w:rPr>
          <w:i/>
          <w:lang w:eastAsia="en-US"/>
        </w:rPr>
        <w:t>factum</w:t>
      </w:r>
      <w:r w:rsidR="00B01FBA">
        <w:rPr>
          <w:lang w:eastAsia="en-US"/>
        </w:rPr>
        <w:t>)</w:t>
      </w:r>
      <w:r w:rsidR="00204729" w:rsidRPr="003D1E07">
        <w:rPr>
          <w:lang w:eastAsia="en-US"/>
        </w:rPr>
        <w:fldChar w:fldCharType="begin"/>
      </w:r>
      <w:r w:rsidR="00204729" w:rsidRPr="003D1E07">
        <w:instrText xml:space="preserve"> XE "vidění:eidetické" </w:instrText>
      </w:r>
      <w:r w:rsidR="00204729" w:rsidRPr="003D1E07">
        <w:rPr>
          <w:lang w:eastAsia="en-US"/>
        </w:rPr>
        <w:fldChar w:fldCharType="end"/>
      </w:r>
      <w:r w:rsidR="00204729" w:rsidRPr="003D1E07">
        <w:rPr>
          <w:lang w:eastAsia="en-US"/>
        </w:rPr>
        <w:t xml:space="preserve">. Hermeneutika musí vyložit sémantiku metafyzické </w:t>
      </w:r>
      <w:r w:rsidR="00204729" w:rsidRPr="003D1E07">
        <w:rPr>
          <w:i/>
          <w:lang w:eastAsia="en-US"/>
        </w:rPr>
        <w:t>quidditas</w:t>
      </w:r>
      <w:r w:rsidR="00204729" w:rsidRPr="003D1E07">
        <w:rPr>
          <w:lang w:eastAsia="en-US"/>
        </w:rPr>
        <w:t xml:space="preserve"> skrze aristotelský </w:t>
      </w:r>
      <w:r w:rsidR="00204729" w:rsidRPr="003D1E07">
        <w:rPr>
          <w:i/>
          <w:lang w:eastAsia="en-US"/>
        </w:rPr>
        <w:t>modus ponens</w:t>
      </w:r>
      <w:r w:rsidR="00204729" w:rsidRPr="003D1E07">
        <w:rPr>
          <w:lang w:eastAsia="en-US"/>
        </w:rPr>
        <w:t xml:space="preserve">. </w:t>
      </w:r>
      <w:r w:rsidR="000448B3">
        <w:rPr>
          <w:lang w:eastAsia="en-US"/>
        </w:rPr>
        <w:t>P</w:t>
      </w:r>
      <w:r w:rsidR="08B105A3" w:rsidRPr="003D1E07">
        <w:t xml:space="preserve">oznání </w:t>
      </w:r>
      <w:r w:rsidR="00C32A2A">
        <w:t xml:space="preserve">v modu </w:t>
      </w:r>
      <w:r w:rsidR="08320385" w:rsidRPr="003D1E07">
        <w:rPr>
          <w:i/>
        </w:rPr>
        <w:t>idem</w:t>
      </w:r>
      <w:r w:rsidR="08320385" w:rsidRPr="003D1E07">
        <w:t xml:space="preserve"> </w:t>
      </w:r>
      <w:r w:rsidR="08B105A3" w:rsidRPr="003D1E07">
        <w:t xml:space="preserve">dává </w:t>
      </w:r>
      <w:r w:rsidR="000448B3" w:rsidRPr="003D1E07">
        <w:t>metafyzický smysl substance</w:t>
      </w:r>
      <w:r w:rsidR="000448B3">
        <w:t xml:space="preserve"> </w:t>
      </w:r>
      <w:r w:rsidR="08FB49D8" w:rsidRPr="003D1E07">
        <w:t xml:space="preserve">skrze subjekt-objektivní </w:t>
      </w:r>
      <w:r w:rsidR="08FB49D8" w:rsidRPr="003D1E07">
        <w:rPr>
          <w:i/>
        </w:rPr>
        <w:t>modus ponens</w:t>
      </w:r>
      <w:r w:rsidR="08FB49D8" w:rsidRPr="003D1E07">
        <w:rPr>
          <w:i/>
        </w:rPr>
        <w:fldChar w:fldCharType="begin"/>
      </w:r>
      <w:r w:rsidR="08FB49D8" w:rsidRPr="003D1E07">
        <w:instrText xml:space="preserve"> XE "</w:instrText>
      </w:r>
      <w:r w:rsidR="08FB49D8" w:rsidRPr="003D1E07">
        <w:rPr>
          <w:i/>
        </w:rPr>
        <w:instrText>modus ponens</w:instrText>
      </w:r>
      <w:r w:rsidR="08FB49D8" w:rsidRPr="003D1E07">
        <w:instrText xml:space="preserve">" </w:instrText>
      </w:r>
      <w:r w:rsidR="08FB49D8" w:rsidRPr="003D1E07">
        <w:rPr>
          <w:i/>
        </w:rPr>
        <w:fldChar w:fldCharType="end"/>
      </w:r>
      <w:r w:rsidR="08B105A3" w:rsidRPr="003D1E07">
        <w:t xml:space="preserve">. </w:t>
      </w:r>
      <w:r w:rsidR="089D1D5C" w:rsidRPr="003D1E07">
        <w:t xml:space="preserve">Moderní </w:t>
      </w:r>
      <w:r w:rsidR="081B6521" w:rsidRPr="003D1E07">
        <w:t xml:space="preserve">mýtus o </w:t>
      </w:r>
      <w:r w:rsidR="081B6521" w:rsidRPr="003D1E07">
        <w:lastRenderedPageBreak/>
        <w:t xml:space="preserve">věčném návratu ideje začíná </w:t>
      </w:r>
      <w:r w:rsidR="081B6521" w:rsidRPr="003D1E07">
        <w:rPr>
          <w:i/>
        </w:rPr>
        <w:t>in illo tempore</w:t>
      </w:r>
      <w:r w:rsidR="081B6521" w:rsidRPr="003D1E07">
        <w:t xml:space="preserve"> v jeskyni troglodytů, kte</w:t>
      </w:r>
      <w:r w:rsidR="089D1D5C" w:rsidRPr="003D1E07">
        <w:t>rou osvítilo simulákrum Sokrata-</w:t>
      </w:r>
      <w:r w:rsidR="081B6521" w:rsidRPr="003D1E07">
        <w:t xml:space="preserve">akademika a pedagoga. </w:t>
      </w:r>
      <w:r w:rsidR="085050E0" w:rsidRPr="003D1E07">
        <w:t>Původní událost archaického smyslu zjeveného v přítomném poli vidění a moudrosti se stala normovanou a univerzálně použitelnou technikou logika a metafyzika.</w:t>
      </w:r>
      <w:r w:rsidR="0848370B" w:rsidRPr="003D1E07">
        <w:rPr>
          <w:lang w:eastAsia="en-US"/>
        </w:rPr>
        <w:t xml:space="preserve"> </w:t>
      </w:r>
      <w:r w:rsidR="0822311B" w:rsidRPr="003D1E07">
        <w:t>Metafyzika</w:t>
      </w:r>
      <w:r w:rsidR="0848370B" w:rsidRPr="003D1E07">
        <w:t xml:space="preserve"> </w:t>
      </w:r>
      <w:r w:rsidR="0811519D" w:rsidRPr="003D1E07">
        <w:t xml:space="preserve">je </w:t>
      </w:r>
      <w:r w:rsidR="0848370B" w:rsidRPr="003D1E07">
        <w:t xml:space="preserve">založená na tomto základním </w:t>
      </w:r>
      <w:r w:rsidR="083521EB" w:rsidRPr="003D1E07">
        <w:t>pojetí jsoucna v</w:t>
      </w:r>
      <w:r w:rsidR="0822311B" w:rsidRPr="003D1E07">
        <w:t> </w:t>
      </w:r>
      <w:r w:rsidR="083521EB" w:rsidRPr="003D1E07">
        <w:t>modu</w:t>
      </w:r>
      <w:r w:rsidR="0822311B" w:rsidRPr="003D1E07">
        <w:t xml:space="preserve"> identity substance (A=A)</w:t>
      </w:r>
      <w:r w:rsidR="0811519D" w:rsidRPr="003D1E07">
        <w:t xml:space="preserve">. </w:t>
      </w:r>
      <w:r w:rsidR="00B01B2E" w:rsidRPr="003D1E07">
        <w:t xml:space="preserve">Archaický výklad bytí se řídí vzorem první filosofie, v níž počátek jevů určuje další postup. </w:t>
      </w:r>
      <w:r w:rsidR="0833059D" w:rsidRPr="003D1E07">
        <w:rPr>
          <w:lang w:eastAsia="en-US"/>
        </w:rPr>
        <w:t xml:space="preserve">Výklad </w:t>
      </w:r>
      <w:r w:rsidR="08D12877" w:rsidRPr="003D1E07">
        <w:rPr>
          <w:lang w:eastAsia="en-US"/>
        </w:rPr>
        <w:t xml:space="preserve">celku bytí a myšlení </w:t>
      </w:r>
      <w:r w:rsidR="087B14E8" w:rsidRPr="003D1E07">
        <w:rPr>
          <w:lang w:eastAsia="en-US"/>
        </w:rPr>
        <w:t xml:space="preserve">zjeveného ve vidění první filosofie </w:t>
      </w:r>
      <w:r w:rsidR="0833059D" w:rsidRPr="003D1E07">
        <w:rPr>
          <w:lang w:eastAsia="en-US"/>
        </w:rPr>
        <w:t xml:space="preserve">proto </w:t>
      </w:r>
      <w:r w:rsidR="0848370B" w:rsidRPr="003D1E07">
        <w:rPr>
          <w:lang w:eastAsia="en-US"/>
        </w:rPr>
        <w:t xml:space="preserve">nemůže jít v modu </w:t>
      </w:r>
      <w:r w:rsidR="0848370B" w:rsidRPr="003D1E07">
        <w:rPr>
          <w:i/>
          <w:lang w:eastAsia="en-US"/>
        </w:rPr>
        <w:t>per prius</w:t>
      </w:r>
      <w:r w:rsidR="0848370B" w:rsidRPr="003D1E07">
        <w:rPr>
          <w:lang w:eastAsia="en-US"/>
        </w:rPr>
        <w:t xml:space="preserve"> k Aristotelově kategorizaci významů jsoucna</w:t>
      </w:r>
      <w:r w:rsidR="08DB1CC8" w:rsidRPr="003D1E07">
        <w:rPr>
          <w:lang w:eastAsia="en-US"/>
        </w:rPr>
        <w:t xml:space="preserve">. </w:t>
      </w:r>
      <w:r w:rsidR="0822311B" w:rsidRPr="003D1E07">
        <w:rPr>
          <w:lang w:eastAsia="en-US"/>
        </w:rPr>
        <w:t>A</w:t>
      </w:r>
      <w:r w:rsidR="08E24D71" w:rsidRPr="003D1E07">
        <w:rPr>
          <w:lang w:eastAsia="en-US"/>
        </w:rPr>
        <w:t xml:space="preserve">thénská </w:t>
      </w:r>
      <w:r w:rsidR="08443F5D" w:rsidRPr="003D1E07">
        <w:rPr>
          <w:lang w:eastAsia="en-US"/>
        </w:rPr>
        <w:t xml:space="preserve">moderna </w:t>
      </w:r>
      <w:r w:rsidR="08E24D71" w:rsidRPr="003D1E07">
        <w:rPr>
          <w:lang w:eastAsia="en-US"/>
        </w:rPr>
        <w:t xml:space="preserve">ironicky vítězně </w:t>
      </w:r>
      <w:r w:rsidR="08443F5D" w:rsidRPr="003D1E07">
        <w:rPr>
          <w:lang w:eastAsia="en-US"/>
        </w:rPr>
        <w:t xml:space="preserve">vytěsnila </w:t>
      </w:r>
      <w:r w:rsidR="08A22D5B" w:rsidRPr="003D1E07">
        <w:rPr>
          <w:lang w:eastAsia="en-US"/>
        </w:rPr>
        <w:t xml:space="preserve">zakládající dění archaické první filosofie. Pravda metafyziky postihuje pouze </w:t>
      </w:r>
      <w:r w:rsidR="0848370B" w:rsidRPr="003D1E07">
        <w:rPr>
          <w:lang w:eastAsia="en-US"/>
        </w:rPr>
        <w:t>iden</w:t>
      </w:r>
      <w:r w:rsidR="08FA1327" w:rsidRPr="003D1E07">
        <w:rPr>
          <w:lang w:eastAsia="en-US"/>
        </w:rPr>
        <w:t>titně dan</w:t>
      </w:r>
      <w:r w:rsidR="08A22D5B" w:rsidRPr="003D1E07">
        <w:rPr>
          <w:lang w:eastAsia="en-US"/>
        </w:rPr>
        <w:t xml:space="preserve">ý </w:t>
      </w:r>
      <w:r w:rsidR="08FA1327" w:rsidRPr="003D1E07">
        <w:rPr>
          <w:lang w:eastAsia="en-US"/>
        </w:rPr>
        <w:t xml:space="preserve">vztah první a druhé </w:t>
      </w:r>
      <w:r w:rsidR="0848370B" w:rsidRPr="003D1E07">
        <w:rPr>
          <w:lang w:eastAsia="en-US"/>
        </w:rPr>
        <w:t>substance</w:t>
      </w:r>
      <w:r w:rsidR="08FA1327" w:rsidRPr="003D1E07">
        <w:rPr>
          <w:lang w:eastAsia="en-US"/>
        </w:rPr>
        <w:t xml:space="preserve">. </w:t>
      </w:r>
      <w:r w:rsidR="0833059D" w:rsidRPr="003D1E07">
        <w:rPr>
          <w:lang w:eastAsia="en-US"/>
        </w:rPr>
        <w:t>Přítomnost celku bytí pro myšlení v tomto typu technického myšlení není dána vůbec</w:t>
      </w:r>
      <w:r w:rsidR="08364E07" w:rsidRPr="003D1E07">
        <w:rPr>
          <w:lang w:eastAsia="en-US"/>
        </w:rPr>
        <w:t xml:space="preserve">. A dokonce i </w:t>
      </w:r>
      <w:r w:rsidR="0833059D" w:rsidRPr="003D1E07">
        <w:rPr>
          <w:lang w:eastAsia="en-US"/>
        </w:rPr>
        <w:t xml:space="preserve">realita </w:t>
      </w:r>
      <w:r w:rsidR="08364E07" w:rsidRPr="003D1E07">
        <w:rPr>
          <w:lang w:eastAsia="en-US"/>
        </w:rPr>
        <w:t xml:space="preserve">jednotlivé </w:t>
      </w:r>
      <w:r w:rsidR="0833059D" w:rsidRPr="003D1E07">
        <w:rPr>
          <w:lang w:eastAsia="en-US"/>
        </w:rPr>
        <w:t>první substance existu</w:t>
      </w:r>
      <w:r w:rsidR="08FA1327" w:rsidRPr="003D1E07">
        <w:rPr>
          <w:lang w:eastAsia="en-US"/>
        </w:rPr>
        <w:t xml:space="preserve">je </w:t>
      </w:r>
      <w:r w:rsidR="08364E07" w:rsidRPr="003D1E07">
        <w:rPr>
          <w:lang w:eastAsia="en-US"/>
        </w:rPr>
        <w:t>v</w:t>
      </w:r>
      <w:r w:rsidR="0870146C" w:rsidRPr="003D1E07">
        <w:rPr>
          <w:lang w:eastAsia="en-US"/>
        </w:rPr>
        <w:t xml:space="preserve"> aristotelské </w:t>
      </w:r>
      <w:r w:rsidR="08364E07" w:rsidRPr="003D1E07">
        <w:rPr>
          <w:lang w:eastAsia="en-US"/>
        </w:rPr>
        <w:t>metafyzi</w:t>
      </w:r>
      <w:r w:rsidR="0833059D" w:rsidRPr="003D1E07">
        <w:rPr>
          <w:lang w:eastAsia="en-US"/>
        </w:rPr>
        <w:t xml:space="preserve">ce </w:t>
      </w:r>
      <w:r w:rsidR="08FA1327" w:rsidRPr="003D1E07">
        <w:rPr>
          <w:lang w:eastAsia="en-US"/>
        </w:rPr>
        <w:t>pouze v minulostním modu</w:t>
      </w:r>
      <w:r w:rsidR="0848370B" w:rsidRPr="003D1E07">
        <w:rPr>
          <w:lang w:eastAsia="en-US"/>
        </w:rPr>
        <w:t>.</w:t>
      </w:r>
      <w:r w:rsidR="089E6678" w:rsidRPr="003D1E07">
        <w:rPr>
          <w:lang w:eastAsia="en-US"/>
        </w:rPr>
        <w:t xml:space="preserve"> Proto je základ moderně pojaté první filosofie daný v modu múzické ambivalence pravdy a klamu.</w:t>
      </w:r>
      <w:r w:rsidR="084919E8" w:rsidRPr="003D1E07">
        <w:t xml:space="preserve"> </w:t>
      </w:r>
      <w:r w:rsidR="08341313" w:rsidRPr="003D1E07">
        <w:rPr>
          <w:lang w:eastAsia="en-US"/>
        </w:rPr>
        <w:t>Hermeneutická archeologie hledá bytí objektivity</w:t>
      </w:r>
      <w:r w:rsidR="08341313" w:rsidRPr="003D1E07">
        <w:rPr>
          <w:lang w:eastAsia="en-US"/>
        </w:rPr>
        <w:fldChar w:fldCharType="begin"/>
      </w:r>
      <w:r w:rsidR="08341313" w:rsidRPr="003D1E07">
        <w:instrText xml:space="preserve"> XE "objektivita:archeologie" </w:instrText>
      </w:r>
      <w:r w:rsidR="08341313" w:rsidRPr="003D1E07">
        <w:rPr>
          <w:lang w:eastAsia="en-US"/>
        </w:rPr>
        <w:fldChar w:fldCharType="end"/>
      </w:r>
      <w:r w:rsidR="08341313" w:rsidRPr="003D1E07">
        <w:rPr>
          <w:lang w:eastAsia="en-US"/>
        </w:rPr>
        <w:t xml:space="preserve"> metodou archaické </w:t>
      </w:r>
      <w:r w:rsidR="08341313" w:rsidRPr="003D1E07">
        <w:rPr>
          <w:i/>
          <w:lang w:eastAsia="en-US"/>
        </w:rPr>
        <w:t>epoché</w:t>
      </w:r>
      <w:r w:rsidR="08341313" w:rsidRPr="003D1E07">
        <w:rPr>
          <w:lang w:eastAsia="en-US"/>
        </w:rPr>
        <w:t>, protože potřebuje najít po vzoru Kalc</w:t>
      </w:r>
      <w:r w:rsidR="08E1038B" w:rsidRPr="003D1E07">
        <w:rPr>
          <w:lang w:eastAsia="en-US"/>
        </w:rPr>
        <w:t xml:space="preserve">háse, </w:t>
      </w:r>
      <w:r w:rsidR="08341313" w:rsidRPr="003D1E07">
        <w:rPr>
          <w:lang w:eastAsia="en-US"/>
        </w:rPr>
        <w:t xml:space="preserve">Parmenida </w:t>
      </w:r>
      <w:r w:rsidR="08E1038B" w:rsidRPr="003D1E07">
        <w:rPr>
          <w:lang w:eastAsia="en-US"/>
        </w:rPr>
        <w:t xml:space="preserve">a Sokrata </w:t>
      </w:r>
      <w:r w:rsidR="08341313" w:rsidRPr="003D1E07">
        <w:rPr>
          <w:lang w:eastAsia="en-US"/>
        </w:rPr>
        <w:t>schůdnou cestu k původnímu poli zjevo</w:t>
      </w:r>
      <w:r w:rsidR="080A4136" w:rsidRPr="003D1E07">
        <w:rPr>
          <w:lang w:eastAsia="en-US"/>
        </w:rPr>
        <w:t>vání objektivní podoby jsoucna.</w:t>
      </w:r>
      <w:bookmarkStart w:id="15" w:name="_Ref380740509"/>
      <w:r w:rsidR="080A4136" w:rsidRPr="003D1E07">
        <w:rPr>
          <w:lang w:eastAsia="en-US"/>
        </w:rPr>
        <w:t xml:space="preserve"> </w:t>
      </w:r>
      <w:r w:rsidR="089C78BD" w:rsidRPr="003D1E07">
        <w:rPr>
          <w:lang w:eastAsia="en-US"/>
        </w:rPr>
        <w:t>H</w:t>
      </w:r>
      <w:r w:rsidR="08005D48" w:rsidRPr="003D1E07">
        <w:rPr>
          <w:lang w:eastAsia="en-US"/>
        </w:rPr>
        <w:t>ermeneutik</w:t>
      </w:r>
      <w:r w:rsidR="089C78BD" w:rsidRPr="003D1E07">
        <w:rPr>
          <w:lang w:eastAsia="en-US"/>
        </w:rPr>
        <w:t xml:space="preserve">a se usadila </w:t>
      </w:r>
      <w:r w:rsidR="08005D48" w:rsidRPr="003D1E07">
        <w:rPr>
          <w:lang w:eastAsia="en-US"/>
        </w:rPr>
        <w:t>v adytonu archaického myšlení sledujícího událost zatmění jsoucna</w:t>
      </w:r>
      <w:r w:rsidR="08E34A2A" w:rsidRPr="003D1E07">
        <w:rPr>
          <w:lang w:eastAsia="en-US"/>
        </w:rPr>
        <w:t xml:space="preserve"> v jeho moderním smyslu</w:t>
      </w:r>
      <w:r w:rsidR="089C78BD" w:rsidRPr="003D1E07">
        <w:rPr>
          <w:lang w:eastAsia="en-US"/>
        </w:rPr>
        <w:t xml:space="preserve">. </w:t>
      </w:r>
      <w:r w:rsidR="08134B08" w:rsidRPr="003D1E07">
        <w:t xml:space="preserve">Delfy s apollinským mystériem přešly do plné skrytosti </w:t>
      </w:r>
      <w:r w:rsidR="00381EBA" w:rsidRPr="003D1E07">
        <w:rPr>
          <w:i/>
        </w:rPr>
        <w:t>léthe</w:t>
      </w:r>
      <w:r w:rsidR="08134B08" w:rsidRPr="003D1E07">
        <w:t xml:space="preserve">, ale sokratovské hledání pravdy zůstalo </w:t>
      </w:r>
      <w:r w:rsidR="0891189D" w:rsidRPr="003D1E07">
        <w:t xml:space="preserve">i ve věku metafyziky </w:t>
      </w:r>
      <w:r w:rsidR="08134B08" w:rsidRPr="003D1E07">
        <w:t>v modu dějinné po-odkrytosti</w:t>
      </w:r>
      <w:r w:rsidR="08047F09" w:rsidRPr="003D1E07">
        <w:t xml:space="preserve"> (</w:t>
      </w:r>
      <w:r w:rsidR="08047F09" w:rsidRPr="003D1E07">
        <w:rPr>
          <w:i/>
        </w:rPr>
        <w:t>a/létheia</w:t>
      </w:r>
      <w:r w:rsidR="08047F09" w:rsidRPr="003D1E07">
        <w:t>)</w:t>
      </w:r>
      <w:r w:rsidR="08134B08" w:rsidRPr="003D1E07">
        <w:t xml:space="preserve">. </w:t>
      </w:r>
      <w:r w:rsidR="084919E8" w:rsidRPr="003D1E07">
        <w:rPr>
          <w:lang w:eastAsia="en-US"/>
        </w:rPr>
        <w:t xml:space="preserve">Delfská jeskyně zjevuje </w:t>
      </w:r>
      <w:r w:rsidR="0891189D" w:rsidRPr="003D1E07">
        <w:rPr>
          <w:lang w:eastAsia="en-US"/>
        </w:rPr>
        <w:t>pravdu</w:t>
      </w:r>
      <w:r w:rsidR="084919E8" w:rsidRPr="003D1E07">
        <w:rPr>
          <w:lang w:eastAsia="en-US"/>
        </w:rPr>
        <w:t xml:space="preserve"> a klam jak</w:t>
      </w:r>
      <w:r w:rsidR="08CF6D40" w:rsidRPr="003D1E07">
        <w:rPr>
          <w:lang w:eastAsia="en-US"/>
        </w:rPr>
        <w:t>o pův</w:t>
      </w:r>
      <w:r w:rsidR="084919E8" w:rsidRPr="003D1E07">
        <w:rPr>
          <w:lang w:eastAsia="en-US"/>
        </w:rPr>
        <w:t xml:space="preserve">odní událost dějinnosti. </w:t>
      </w:r>
      <w:r w:rsidR="089907DD" w:rsidRPr="003D1E07">
        <w:rPr>
          <w:lang w:eastAsia="en-US"/>
        </w:rPr>
        <w:t xml:space="preserve">Otevřenost </w:t>
      </w:r>
      <w:r w:rsidR="089907DD" w:rsidRPr="003D1E07">
        <w:rPr>
          <w:i/>
          <w:lang w:eastAsia="en-US"/>
        </w:rPr>
        <w:t>Lichtung</w:t>
      </w:r>
      <w:r w:rsidR="089907DD" w:rsidRPr="003D1E07">
        <w:rPr>
          <w:lang w:eastAsia="en-US"/>
        </w:rPr>
        <w:t xml:space="preserve"> jako původní formy zjevování umožňuje najít a vyložit výše citovanou předchůdnou dráhu náhledu (</w:t>
      </w:r>
      <w:r w:rsidR="089907DD" w:rsidRPr="003D1E07">
        <w:rPr>
          <w:i/>
          <w:lang w:eastAsia="en-US"/>
        </w:rPr>
        <w:t>Vor</w:t>
      </w:r>
      <w:r w:rsidR="089907DD" w:rsidRPr="003D1E07">
        <w:rPr>
          <w:i/>
          <w:lang w:eastAsia="en-US"/>
        </w:rPr>
        <w:noBreakHyphen/>
        <w:t>blickbahn</w:t>
      </w:r>
      <w:r w:rsidR="089907DD" w:rsidRPr="003D1E07">
        <w:rPr>
          <w:i/>
          <w:lang w:eastAsia="en-US"/>
        </w:rPr>
        <w:fldChar w:fldCharType="begin"/>
      </w:r>
      <w:r w:rsidR="089907DD" w:rsidRPr="003D1E07">
        <w:instrText xml:space="preserve"> XE "</w:instrText>
      </w:r>
      <w:r w:rsidR="089907DD" w:rsidRPr="003D1E07">
        <w:rPr>
          <w:i/>
        </w:rPr>
        <w:instrText>Vor-b</w:instrText>
      </w:r>
      <w:r w:rsidR="089907DD" w:rsidRPr="003D1E07">
        <w:rPr>
          <w:i/>
          <w:iCs/>
        </w:rPr>
        <w:instrText>lickbahn</w:instrText>
      </w:r>
      <w:r w:rsidR="089907DD" w:rsidRPr="003D1E07">
        <w:rPr>
          <w:iCs/>
        </w:rPr>
        <w:instrText>:hermeneutická</w:instrText>
      </w:r>
      <w:r w:rsidR="089907DD" w:rsidRPr="003D1E07">
        <w:instrText xml:space="preserve">" </w:instrText>
      </w:r>
      <w:r w:rsidR="089907DD" w:rsidRPr="003D1E07">
        <w:rPr>
          <w:i/>
          <w:lang w:eastAsia="en-US"/>
        </w:rPr>
        <w:fldChar w:fldCharType="end"/>
      </w:r>
      <w:r w:rsidR="089907DD" w:rsidRPr="003D1E07">
        <w:rPr>
          <w:lang w:eastAsia="en-US"/>
        </w:rPr>
        <w:t xml:space="preserve">), v níž se jsoucno zjevuje v archegetické formě pravdivosti. </w:t>
      </w:r>
      <w:r w:rsidR="0879342E" w:rsidRPr="003D1E07">
        <w:rPr>
          <w:lang w:eastAsia="en-US"/>
        </w:rPr>
        <w:t xml:space="preserve">Pythickou věštbu vykládá </w:t>
      </w:r>
      <w:r w:rsidR="08DC2F8A" w:rsidRPr="003D1E07">
        <w:rPr>
          <w:lang w:eastAsia="en-US"/>
        </w:rPr>
        <w:t>mo</w:t>
      </w:r>
      <w:r w:rsidR="0879342E" w:rsidRPr="003D1E07">
        <w:rPr>
          <w:lang w:eastAsia="en-US"/>
        </w:rPr>
        <w:t xml:space="preserve">udrý člověk pravdivě a hlupák mylně. </w:t>
      </w:r>
      <w:r w:rsidR="084919E8" w:rsidRPr="003D1E07">
        <w:rPr>
          <w:lang w:eastAsia="en-US"/>
        </w:rPr>
        <w:t xml:space="preserve">Pak platí pro následnou odkrytost dějin myšlení, že </w:t>
      </w:r>
      <w:r w:rsidR="08005D48" w:rsidRPr="003D1E07">
        <w:rPr>
          <w:lang w:eastAsia="en-US"/>
        </w:rPr>
        <w:t xml:space="preserve">odkrytost </w:t>
      </w:r>
      <w:r w:rsidR="081713F8" w:rsidRPr="003D1E07">
        <w:rPr>
          <w:lang w:eastAsia="en-US"/>
        </w:rPr>
        <w:t xml:space="preserve">metafyziky a tím i </w:t>
      </w:r>
      <w:r w:rsidR="08295F70" w:rsidRPr="003D1E07">
        <w:rPr>
          <w:lang w:eastAsia="en-US"/>
        </w:rPr>
        <w:t xml:space="preserve">nepravda objektivity </w:t>
      </w:r>
      <w:r w:rsidR="084919E8" w:rsidRPr="003D1E07">
        <w:rPr>
          <w:lang w:eastAsia="en-US"/>
        </w:rPr>
        <w:t xml:space="preserve">se </w:t>
      </w:r>
      <w:r w:rsidR="08295F70" w:rsidRPr="003D1E07">
        <w:rPr>
          <w:lang w:eastAsia="en-US"/>
        </w:rPr>
        <w:t xml:space="preserve">zjevuje v původních </w:t>
      </w:r>
      <w:r w:rsidR="089C78BD" w:rsidRPr="003D1E07">
        <w:rPr>
          <w:lang w:eastAsia="en-US"/>
        </w:rPr>
        <w:t>dějinných možnostech daných od múzicky poodhaleného bytí</w:t>
      </w:r>
      <w:r w:rsidR="00143AEE">
        <w:rPr>
          <w:lang w:eastAsia="en-US"/>
        </w:rPr>
        <w:t>.</w:t>
      </w:r>
      <w:r w:rsidR="00A1788F">
        <w:rPr>
          <w:lang w:eastAsia="en-US"/>
        </w:rPr>
        <w:t xml:space="preserve"> </w:t>
      </w:r>
      <w:r w:rsidR="080A4136" w:rsidRPr="003D1E07">
        <w:t xml:space="preserve">Dějinná podoba pravdy je založena na </w:t>
      </w:r>
      <w:r w:rsidR="00482C9D" w:rsidRPr="003D1E07">
        <w:t xml:space="preserve">transformaci původního bytí do formy jeho nebytí daného jako přítomnost ideje. Tento přechod z archaické pravdy do její metafyzické podoby </w:t>
      </w:r>
      <w:r w:rsidR="080A4136" w:rsidRPr="003D1E07">
        <w:t xml:space="preserve">ukázal předchozí rozbor Platonova podobenství o jeskyni. </w:t>
      </w:r>
      <w:r w:rsidR="08063845" w:rsidRPr="003D1E07">
        <w:t xml:space="preserve">Akt </w:t>
      </w:r>
      <w:r w:rsidR="08165126" w:rsidRPr="003D1E07">
        <w:t xml:space="preserve">principiální </w:t>
      </w:r>
      <w:r w:rsidR="08063845" w:rsidRPr="003D1E07">
        <w:t xml:space="preserve">otevřenosti bytí </w:t>
      </w:r>
      <w:r w:rsidR="08063845" w:rsidRPr="003D1E07">
        <w:rPr>
          <w:i/>
        </w:rPr>
        <w:t>Es gibt</w:t>
      </w:r>
      <w:r w:rsidR="08063845" w:rsidRPr="003D1E07">
        <w:rPr>
          <w:i/>
        </w:rPr>
        <w:fldChar w:fldCharType="begin"/>
      </w:r>
      <w:r w:rsidR="08063845" w:rsidRPr="003D1E07">
        <w:instrText xml:space="preserve"> XE "</w:instrText>
      </w:r>
      <w:r w:rsidR="08063845" w:rsidRPr="003D1E07">
        <w:rPr>
          <w:i/>
        </w:rPr>
        <w:instrText>Es gibt</w:instrText>
      </w:r>
      <w:r w:rsidR="08063845" w:rsidRPr="003D1E07">
        <w:instrText xml:space="preserve">" </w:instrText>
      </w:r>
      <w:r w:rsidR="08063845" w:rsidRPr="003D1E07">
        <w:rPr>
          <w:i/>
        </w:rPr>
        <w:fldChar w:fldCharType="end"/>
      </w:r>
      <w:r w:rsidR="08063845" w:rsidRPr="003D1E07">
        <w:t xml:space="preserve">) dává přítomné jsoucno v jeho </w:t>
      </w:r>
      <w:r w:rsidR="08791965" w:rsidRPr="003D1E07">
        <w:t xml:space="preserve">iniciativních </w:t>
      </w:r>
      <w:r w:rsidR="08063845" w:rsidRPr="003D1E07">
        <w:t>podobách zjevné a nezjevné přítomnosti (</w:t>
      </w:r>
      <w:r w:rsidR="08063845" w:rsidRPr="003D1E07">
        <w:rPr>
          <w:i/>
        </w:rPr>
        <w:t>Anwesenheit</w:t>
      </w:r>
      <w:r w:rsidR="08063845" w:rsidRPr="003D1E07">
        <w:t>)</w:t>
      </w:r>
      <w:r w:rsidR="08063845" w:rsidRPr="003D1E07">
        <w:rPr>
          <w:i/>
        </w:rPr>
        <w:fldChar w:fldCharType="begin"/>
      </w:r>
      <w:r w:rsidR="08063845" w:rsidRPr="003D1E07">
        <w:instrText xml:space="preserve"> XE "zjevování:</w:instrText>
      </w:r>
      <w:r w:rsidR="08063845" w:rsidRPr="003D1E07">
        <w:rPr>
          <w:i/>
        </w:rPr>
        <w:instrText>Anwesenheit</w:instrText>
      </w:r>
      <w:r w:rsidR="08063845" w:rsidRPr="003D1E07">
        <w:instrText xml:space="preserve">" </w:instrText>
      </w:r>
      <w:r w:rsidR="08063845" w:rsidRPr="003D1E07">
        <w:rPr>
          <w:i/>
        </w:rPr>
        <w:fldChar w:fldCharType="end"/>
      </w:r>
      <w:r w:rsidR="08063845" w:rsidRPr="003D1E07">
        <w:t>.</w:t>
      </w:r>
      <w:r w:rsidR="08FD2917" w:rsidRPr="003D1E07">
        <w:t xml:space="preserve"> </w:t>
      </w:r>
      <w:r w:rsidR="00FD06B3" w:rsidRPr="003D1E07">
        <w:t xml:space="preserve">Co přichází do prostoru dějinně určené zjevnosti tímto pythickým a múzickým způsobem, to je nutně poznamenáno základní dvojznačností pravdy a klamu. </w:t>
      </w:r>
      <w:r w:rsidR="08791549" w:rsidRPr="003D1E07">
        <w:rPr>
          <w:lang w:eastAsia="en-US"/>
        </w:rPr>
        <w:t xml:space="preserve">Toto </w:t>
      </w:r>
      <w:r w:rsidR="08791965" w:rsidRPr="003D1E07">
        <w:rPr>
          <w:lang w:eastAsia="en-US"/>
        </w:rPr>
        <w:t xml:space="preserve">principiální </w:t>
      </w:r>
      <w:r w:rsidR="08C779EC" w:rsidRPr="003D1E07">
        <w:rPr>
          <w:lang w:eastAsia="en-US"/>
        </w:rPr>
        <w:t xml:space="preserve">a ipseitní </w:t>
      </w:r>
      <w:r w:rsidR="08791549" w:rsidRPr="003D1E07">
        <w:rPr>
          <w:lang w:eastAsia="en-US"/>
        </w:rPr>
        <w:t>dění pravdy (</w:t>
      </w:r>
      <w:r w:rsidR="08791549" w:rsidRPr="003D1E07">
        <w:t>τὸ χρεών</w:t>
      </w:r>
      <w:r w:rsidR="08791549" w:rsidRPr="003D1E07">
        <w:rPr>
          <w:i/>
          <w:lang w:eastAsia="en-US"/>
        </w:rPr>
        <w:t>, der</w:t>
      </w:r>
      <w:r w:rsidR="08791549" w:rsidRPr="003D1E07">
        <w:rPr>
          <w:lang w:eastAsia="en-US"/>
        </w:rPr>
        <w:t xml:space="preserve"> </w:t>
      </w:r>
      <w:r w:rsidR="08791549" w:rsidRPr="003D1E07">
        <w:rPr>
          <w:i/>
          <w:lang w:eastAsia="en-US"/>
        </w:rPr>
        <w:t>Brauch</w:t>
      </w:r>
      <w:r w:rsidR="08791549" w:rsidRPr="003D1E07">
        <w:rPr>
          <w:lang w:eastAsia="en-US"/>
        </w:rPr>
        <w:t xml:space="preserve">) například obsahuje Anaximandrův výrok, jež indikuje původní způsob zpřítomnění celku </w:t>
      </w:r>
      <w:r w:rsidR="08791549" w:rsidRPr="003D1E07">
        <w:rPr>
          <w:lang w:eastAsia="en-US"/>
        </w:rPr>
        <w:lastRenderedPageBreak/>
        <w:t>jsoucna směrem od počátečního dění bytí (GA 5, 368</w:t>
      </w:r>
      <w:r w:rsidR="08791549" w:rsidRPr="003D1E07">
        <w:fldChar w:fldCharType="begin"/>
      </w:r>
      <w:r w:rsidR="08791549" w:rsidRPr="003D1E07">
        <w:instrText xml:space="preserve"> XE "Heidegger:GA 5, 368" </w:instrText>
      </w:r>
      <w:r w:rsidR="08791549" w:rsidRPr="003D1E07">
        <w:fldChar w:fldCharType="end"/>
      </w:r>
      <w:r w:rsidR="08791549" w:rsidRPr="003D1E07">
        <w:rPr>
          <w:lang w:eastAsia="en-US"/>
        </w:rPr>
        <w:t xml:space="preserve">). </w:t>
      </w:r>
      <w:r w:rsidR="08791549" w:rsidRPr="003D1E07">
        <w:t>Tato původní skrytost zakládá otevřenost vůči skrytému a odkrytému dění pravdy (</w:t>
      </w:r>
      <w:r w:rsidR="08791549" w:rsidRPr="003D1E07">
        <w:rPr>
          <w:i/>
        </w:rPr>
        <w:t>das Offene</w:t>
      </w:r>
      <w:r w:rsidR="08791549" w:rsidRPr="003D1E07">
        <w:rPr>
          <w:i/>
        </w:rPr>
        <w:fldChar w:fldCharType="begin"/>
      </w:r>
      <w:r w:rsidR="08791549" w:rsidRPr="003D1E07">
        <w:instrText xml:space="preserve"> XE "pravda:</w:instrText>
      </w:r>
      <w:r w:rsidR="08791549" w:rsidRPr="003D1E07">
        <w:rPr>
          <w:i/>
        </w:rPr>
        <w:instrText>das Offene</w:instrText>
      </w:r>
      <w:r w:rsidR="08791549" w:rsidRPr="003D1E07">
        <w:instrText xml:space="preserve">" </w:instrText>
      </w:r>
      <w:r w:rsidR="08791549" w:rsidRPr="003D1E07">
        <w:rPr>
          <w:i/>
        </w:rPr>
        <w:fldChar w:fldCharType="end"/>
      </w:r>
      <w:r w:rsidR="08791549" w:rsidRPr="003D1E07">
        <w:t xml:space="preserve">). </w:t>
      </w:r>
      <w:r w:rsidR="08165126" w:rsidRPr="003D1E07">
        <w:t>Pythická hermeneutika vidí se Sokratem a Heideggerem fenomén objektivity od letargicky skrytého bytí (</w:t>
      </w:r>
      <w:r w:rsidR="08165126" w:rsidRPr="003D1E07">
        <w:rPr>
          <w:i/>
        </w:rPr>
        <w:t>Anfang</w:t>
      </w:r>
      <w:r w:rsidR="08165126" w:rsidRPr="003D1E07">
        <w:rPr>
          <w:i/>
        </w:rPr>
        <w:fldChar w:fldCharType="begin"/>
      </w:r>
      <w:r w:rsidR="08165126" w:rsidRPr="003D1E07">
        <w:instrText xml:space="preserve"> XE "metafyzika:</w:instrText>
      </w:r>
      <w:r w:rsidR="08165126" w:rsidRPr="003D1E07">
        <w:rPr>
          <w:i/>
        </w:rPr>
        <w:instrText>Anfang</w:instrText>
      </w:r>
      <w:r w:rsidR="08165126" w:rsidRPr="003D1E07">
        <w:instrText>/</w:instrText>
      </w:r>
      <w:r w:rsidR="08165126" w:rsidRPr="003D1E07">
        <w:rPr>
          <w:i/>
        </w:rPr>
        <w:instrText>Beginn</w:instrText>
      </w:r>
      <w:r w:rsidR="08165126" w:rsidRPr="003D1E07">
        <w:instrText xml:space="preserve">" </w:instrText>
      </w:r>
      <w:r w:rsidR="08165126" w:rsidRPr="003D1E07">
        <w:rPr>
          <w:i/>
        </w:rPr>
        <w:fldChar w:fldCharType="end"/>
      </w:r>
      <w:r w:rsidR="08165126" w:rsidRPr="003D1E07">
        <w:t>) směrem ke zjevenému jsoucnu (</w:t>
      </w:r>
      <w:r w:rsidR="08165126" w:rsidRPr="003D1E07">
        <w:rPr>
          <w:i/>
        </w:rPr>
        <w:t>Beginn</w:t>
      </w:r>
      <w:r w:rsidR="08165126" w:rsidRPr="003D1E07">
        <w:t xml:space="preserve">). </w:t>
      </w:r>
      <w:r w:rsidR="085E41F5" w:rsidRPr="003D1E07">
        <w:rPr>
          <w:lang w:eastAsia="en-US"/>
        </w:rPr>
        <w:t xml:space="preserve">Hermeneutická </w:t>
      </w:r>
      <w:r w:rsidR="085E41F5" w:rsidRPr="003D1E07">
        <w:rPr>
          <w:i/>
          <w:lang w:eastAsia="en-US"/>
        </w:rPr>
        <w:t>epoché</w:t>
      </w:r>
      <w:r w:rsidR="085E41F5" w:rsidRPr="003D1E07">
        <w:rPr>
          <w:lang w:eastAsia="en-US"/>
        </w:rPr>
        <w:t xml:space="preserve"> sleduje pythickou moudrost Sokrata, proto musí zadržet úsudek Platonovy metafyzické </w:t>
      </w:r>
      <w:r w:rsidR="085E41F5" w:rsidRPr="003D1E07">
        <w:rPr>
          <w:i/>
          <w:lang w:eastAsia="en-US"/>
        </w:rPr>
        <w:t>téchné</w:t>
      </w:r>
      <w:r w:rsidR="085E41F5" w:rsidRPr="003D1E07">
        <w:rPr>
          <w:lang w:eastAsia="en-US"/>
        </w:rPr>
        <w:t>. Mystérijní a múzický výklad původního dění objektivit</w:t>
      </w:r>
      <w:r w:rsidR="08C7477F" w:rsidRPr="003D1E07">
        <w:rPr>
          <w:lang w:eastAsia="en-US"/>
        </w:rPr>
        <w:t>y zjevené skrze metafyziku sleduje</w:t>
      </w:r>
      <w:r w:rsidR="085E41F5" w:rsidRPr="003D1E07">
        <w:rPr>
          <w:lang w:eastAsia="en-US"/>
        </w:rPr>
        <w:t xml:space="preserve"> zjevování bytí jsoucna z temné jeskyně Delf. </w:t>
      </w:r>
      <w:r w:rsidR="08B172AD" w:rsidRPr="003D1E07">
        <w:rPr>
          <w:lang w:eastAsia="en-US"/>
        </w:rPr>
        <w:t xml:space="preserve">Toto primární a nadčasové dění múzické </w:t>
      </w:r>
      <w:r w:rsidR="08B172AD" w:rsidRPr="003D1E07">
        <w:rPr>
          <w:i/>
          <w:lang w:eastAsia="en-US"/>
        </w:rPr>
        <w:t>a/létheia</w:t>
      </w:r>
      <w:r w:rsidR="08B172AD" w:rsidRPr="003D1E07">
        <w:rPr>
          <w:lang w:eastAsia="en-US"/>
        </w:rPr>
        <w:t xml:space="preserve"> </w:t>
      </w:r>
      <w:r w:rsidR="08E92EFE" w:rsidRPr="003D1E07">
        <w:t xml:space="preserve">zakládá </w:t>
      </w:r>
      <w:r w:rsidR="088971F4" w:rsidRPr="003D1E07">
        <w:t xml:space="preserve">v poli archického </w:t>
      </w:r>
      <w:r w:rsidR="088971F4" w:rsidRPr="003D1E07">
        <w:rPr>
          <w:i/>
        </w:rPr>
        <w:t>Lichtung</w:t>
      </w:r>
      <w:r w:rsidR="088971F4" w:rsidRPr="003D1E07">
        <w:t xml:space="preserve"> </w:t>
      </w:r>
      <w:r w:rsidR="08B63F43" w:rsidRPr="003D1E07">
        <w:t xml:space="preserve">metafyzickou </w:t>
      </w:r>
      <w:r w:rsidR="08B63F43" w:rsidRPr="003D1E07">
        <w:rPr>
          <w:i/>
        </w:rPr>
        <w:t>alétheia</w:t>
      </w:r>
      <w:r w:rsidR="08B63F43" w:rsidRPr="003D1E07">
        <w:t xml:space="preserve"> jsoucna </w:t>
      </w:r>
      <w:r w:rsidR="08B172AD" w:rsidRPr="003D1E07">
        <w:t xml:space="preserve">v modu </w:t>
      </w:r>
      <w:r w:rsidR="00093721">
        <w:t xml:space="preserve">archegetického </w:t>
      </w:r>
      <w:r w:rsidR="08B172AD" w:rsidRPr="003D1E07">
        <w:t>dativu</w:t>
      </w:r>
      <w:r w:rsidR="088971F4" w:rsidRPr="003D1E07">
        <w:t xml:space="preserve"> a </w:t>
      </w:r>
      <w:r w:rsidR="00093721">
        <w:t>apollinské</w:t>
      </w:r>
      <w:r w:rsidR="00093721" w:rsidRPr="003D1E07">
        <w:t xml:space="preserve"> </w:t>
      </w:r>
      <w:r w:rsidR="088971F4" w:rsidRPr="003D1E07">
        <w:t>séma</w:t>
      </w:r>
      <w:r w:rsidR="08CC0DD2" w:rsidRPr="003D1E07">
        <w:t>n</w:t>
      </w:r>
      <w:r w:rsidR="088971F4" w:rsidRPr="003D1E07">
        <w:t>tiky</w:t>
      </w:r>
      <w:r w:rsidR="08E92EFE" w:rsidRPr="003D1E07">
        <w:t xml:space="preserve">. </w:t>
      </w:r>
      <w:r w:rsidR="08363E8A" w:rsidRPr="003D1E07">
        <w:t>Jeho původním z</w:t>
      </w:r>
      <w:r w:rsidR="088971F4" w:rsidRPr="003D1E07">
        <w:t>d</w:t>
      </w:r>
      <w:r w:rsidR="00BE0339">
        <w:t>rojem je temnota p</w:t>
      </w:r>
      <w:r w:rsidR="08363E8A" w:rsidRPr="003D1E07">
        <w:t>očátku (</w:t>
      </w:r>
      <w:r w:rsidR="00FA41B3">
        <w:rPr>
          <w:i/>
        </w:rPr>
        <w:t>p</w:t>
      </w:r>
      <w:r w:rsidR="08363E8A" w:rsidRPr="003D1E07">
        <w:rPr>
          <w:i/>
        </w:rPr>
        <w:t>rincipium</w:t>
      </w:r>
      <w:r w:rsidR="08363E8A" w:rsidRPr="003D1E07">
        <w:t>), kam smrte</w:t>
      </w:r>
      <w:r w:rsidR="008F2F19">
        <w:t xml:space="preserve">lníci nemají přímý </w:t>
      </w:r>
      <w:r w:rsidR="08D5415A" w:rsidRPr="003D1E07">
        <w:t>přístup.</w:t>
      </w:r>
      <w:r w:rsidR="08985DC1" w:rsidRPr="003D1E07">
        <w:rPr>
          <w:lang w:eastAsia="en-US"/>
        </w:rPr>
        <w:t xml:space="preserve"> V této extatické pozici moudrosti postavené mimo techniku myšlení a usazené v původním </w:t>
      </w:r>
      <w:r w:rsidR="08985DC1" w:rsidRPr="003D1E07">
        <w:rPr>
          <w:i/>
          <w:lang w:eastAsia="en-US"/>
        </w:rPr>
        <w:t>Lichtung</w:t>
      </w:r>
      <w:r w:rsidR="08985DC1" w:rsidRPr="003D1E07">
        <w:rPr>
          <w:lang w:eastAsia="en-US"/>
        </w:rPr>
        <w:t xml:space="preserve"> dějinnosti se odkrývá původní vědění zakládající metafyziku (</w:t>
      </w:r>
      <w:r w:rsidR="08985DC1" w:rsidRPr="003D1E07">
        <w:rPr>
          <w:i/>
          <w:lang w:eastAsia="en-US"/>
        </w:rPr>
        <w:t>ortus scientiarum</w:t>
      </w:r>
      <w:r w:rsidR="08985DC1" w:rsidRPr="003D1E07">
        <w:rPr>
          <w:i/>
          <w:lang w:eastAsia="en-US"/>
        </w:rPr>
        <w:fldChar w:fldCharType="begin"/>
      </w:r>
      <w:r w:rsidR="08985DC1" w:rsidRPr="003D1E07">
        <w:instrText xml:space="preserve"> XE "</w:instrText>
      </w:r>
      <w:r w:rsidR="08985DC1" w:rsidRPr="003D1E07">
        <w:rPr>
          <w:i/>
          <w:lang w:eastAsia="en-US"/>
        </w:rPr>
        <w:instrText>ortus scientiarum</w:instrText>
      </w:r>
      <w:r w:rsidR="08985DC1" w:rsidRPr="003D1E07">
        <w:instrText xml:space="preserve">" </w:instrText>
      </w:r>
      <w:r w:rsidR="08985DC1" w:rsidRPr="003D1E07">
        <w:rPr>
          <w:i/>
          <w:lang w:eastAsia="en-US"/>
        </w:rPr>
        <w:fldChar w:fldCharType="end"/>
      </w:r>
      <w:r w:rsidR="08985DC1" w:rsidRPr="003D1E07">
        <w:rPr>
          <w:lang w:eastAsia="en-US"/>
        </w:rPr>
        <w:t>).</w:t>
      </w:r>
      <w:r w:rsidR="084B0BA0" w:rsidRPr="003D1E07">
        <w:rPr>
          <w:lang w:eastAsia="en-US"/>
        </w:rPr>
        <w:t xml:space="preserve"> </w:t>
      </w:r>
      <w:r w:rsidR="08A908B3" w:rsidRPr="003D1E07">
        <w:rPr>
          <w:lang w:eastAsia="en-US"/>
        </w:rPr>
        <w:t>Dějinný optismus moderny spočívá v tragickém faktu, že sa</w:t>
      </w:r>
      <w:r w:rsidR="085F544E" w:rsidRPr="003D1E07">
        <w:rPr>
          <w:lang w:eastAsia="en-US"/>
        </w:rPr>
        <w:t>ma sebe postavila na bož</w:t>
      </w:r>
      <w:r w:rsidR="0867307E" w:rsidRPr="003D1E07">
        <w:rPr>
          <w:lang w:eastAsia="en-US"/>
        </w:rPr>
        <w:t>s</w:t>
      </w:r>
      <w:r w:rsidR="085F544E" w:rsidRPr="003D1E07">
        <w:rPr>
          <w:lang w:eastAsia="en-US"/>
        </w:rPr>
        <w:t>ké místo</w:t>
      </w:r>
      <w:r w:rsidR="08A908B3" w:rsidRPr="003D1E07">
        <w:rPr>
          <w:lang w:eastAsia="en-US"/>
        </w:rPr>
        <w:t xml:space="preserve"> </w:t>
      </w:r>
      <w:r w:rsidR="08F173BE" w:rsidRPr="003D1E07">
        <w:rPr>
          <w:lang w:eastAsia="en-US"/>
        </w:rPr>
        <w:t xml:space="preserve">apollinského a sokratova </w:t>
      </w:r>
      <w:r w:rsidR="08F173BE" w:rsidRPr="003D1E07">
        <w:rPr>
          <w:i/>
          <w:lang w:eastAsia="en-US"/>
        </w:rPr>
        <w:t>daimón</w:t>
      </w:r>
      <w:r w:rsidR="086C67DD" w:rsidRPr="003D1E07">
        <w:rPr>
          <w:i/>
          <w:lang w:eastAsia="en-US"/>
        </w:rPr>
        <w:t>ion</w:t>
      </w:r>
      <w:r w:rsidR="00F0142A" w:rsidRPr="003D1E07">
        <w:rPr>
          <w:lang w:eastAsia="en-US"/>
        </w:rPr>
        <w:t xml:space="preserve">. Moderna </w:t>
      </w:r>
      <w:r w:rsidR="08A908B3" w:rsidRPr="003D1E07">
        <w:rPr>
          <w:lang w:eastAsia="en-US"/>
        </w:rPr>
        <w:t>se stala démonickou</w:t>
      </w:r>
      <w:r w:rsidR="00F0142A" w:rsidRPr="003D1E07">
        <w:rPr>
          <w:lang w:eastAsia="en-US"/>
        </w:rPr>
        <w:t xml:space="preserve"> skrze subjektivní sílu tohoto </w:t>
      </w:r>
      <w:r w:rsidR="00F0142A" w:rsidRPr="003D1E07">
        <w:rPr>
          <w:i/>
          <w:lang w:eastAsia="en-US"/>
        </w:rPr>
        <w:t>factum</w:t>
      </w:r>
      <w:r w:rsidR="008827FE">
        <w:rPr>
          <w:lang w:eastAsia="en-US"/>
        </w:rPr>
        <w:t>, protože udělala sama sebe.</w:t>
      </w:r>
      <w:r w:rsidR="08A908B3" w:rsidRPr="003D1E07">
        <w:rPr>
          <w:lang w:eastAsia="en-US"/>
        </w:rPr>
        <w:t xml:space="preserve"> </w:t>
      </w:r>
      <w:r w:rsidR="00133A16" w:rsidRPr="003D1E07">
        <w:rPr>
          <w:lang w:eastAsia="en-US"/>
        </w:rPr>
        <w:t xml:space="preserve">Metafyzika a objektivita </w:t>
      </w:r>
      <w:r w:rsidR="08650D8C" w:rsidRPr="003D1E07">
        <w:t xml:space="preserve">spekulativně vidí v zrcadle vlastní tvář danou skrze Sokratovo simulákrum. </w:t>
      </w:r>
      <w:r w:rsidR="08641B48" w:rsidRPr="003D1E07">
        <w:t xml:space="preserve">Euripides v tragédii </w:t>
      </w:r>
      <w:r w:rsidR="08641B48" w:rsidRPr="003D1E07">
        <w:rPr>
          <w:i/>
        </w:rPr>
        <w:t>Bakchantky</w:t>
      </w:r>
      <w:r w:rsidR="08641B48" w:rsidRPr="003D1E07">
        <w:t xml:space="preserve"> ukazuje tuto tragickou podobu vidění Moderních z</w:t>
      </w:r>
      <w:r w:rsidR="003B6037">
        <w:t xml:space="preserve"> božského, tedy múzického </w:t>
      </w:r>
      <w:r w:rsidR="08641B48" w:rsidRPr="003D1E07">
        <w:t>pohledu. Král Pentheus se ptá mladíka, který oznamuje bohův příchod, zda Dionýsia viděl v nočním snu či na vlastní oči. Dionýsos v podobě mladého muže odpovídá pythicky pravdivě: „Viděl jsem to, co bylo k vidění“ (ὁρῶν ὁρῶντα, v. 470</w:t>
      </w:r>
      <w:r w:rsidR="08641B48" w:rsidRPr="003D1E07">
        <w:fldChar w:fldCharType="begin"/>
      </w:r>
      <w:r w:rsidR="08641B48" w:rsidRPr="003D1E07">
        <w:instrText xml:space="preserve"> XE "Euripides:</w:instrText>
      </w:r>
      <w:r w:rsidR="08641B48" w:rsidRPr="003D1E07">
        <w:rPr>
          <w:i/>
        </w:rPr>
        <w:instrText>Bacchae</w:instrText>
      </w:r>
      <w:r w:rsidR="08641B48" w:rsidRPr="003D1E07">
        <w:instrText xml:space="preserve"> 470" </w:instrText>
      </w:r>
      <w:r w:rsidR="08641B48" w:rsidRPr="003D1E07">
        <w:fldChar w:fldCharType="end"/>
      </w:r>
      <w:r w:rsidR="08641B48" w:rsidRPr="003D1E07">
        <w:t xml:space="preserve">). Moderna končí stejně tragicky jako tento thébský král, který chtěl na způsob hlupáka objektivně a nezúčastněně pozorovat mystéria boha Dionýsa. Pod vlivem trestajících Fúrií jej zaživa roztrhal na kusy sbor bakchantek vedený jeho vlastní matkou Agaué. </w:t>
      </w:r>
      <w:r w:rsidR="08A908B3" w:rsidRPr="003D1E07">
        <w:rPr>
          <w:lang w:eastAsia="en-US"/>
        </w:rPr>
        <w:t xml:space="preserve">Tuto devastaci myšlení </w:t>
      </w:r>
      <w:r w:rsidR="087A4126" w:rsidRPr="003D1E07">
        <w:rPr>
          <w:lang w:eastAsia="en-US"/>
        </w:rPr>
        <w:t xml:space="preserve">ve škole tragicky slepých </w:t>
      </w:r>
      <w:r w:rsidR="08A908B3" w:rsidRPr="003D1E07">
        <w:rPr>
          <w:lang w:eastAsia="en-US"/>
        </w:rPr>
        <w:t xml:space="preserve">Moderních </w:t>
      </w:r>
      <w:r w:rsidR="08F00D89" w:rsidRPr="003D1E07">
        <w:rPr>
          <w:lang w:eastAsia="en-US"/>
        </w:rPr>
        <w:t xml:space="preserve">múzicky pravdivě viděl </w:t>
      </w:r>
      <w:r w:rsidR="08A908B3" w:rsidRPr="003D1E07">
        <w:rPr>
          <w:lang w:eastAsia="en-US"/>
        </w:rPr>
        <w:t>Platonův současník Sofokles v dramatu o tyranu Oidipovi</w:t>
      </w:r>
      <w:r w:rsidR="0871360B" w:rsidRPr="003D1E07">
        <w:rPr>
          <w:lang w:eastAsia="en-US"/>
        </w:rPr>
        <w:t xml:space="preserve"> (OBJ III, kap. 7)</w:t>
      </w:r>
      <w:r w:rsidR="08A908B3" w:rsidRPr="003D1E07">
        <w:rPr>
          <w:lang w:eastAsia="en-US"/>
        </w:rPr>
        <w:t xml:space="preserve">. </w:t>
      </w:r>
      <w:r w:rsidR="00B047C8" w:rsidRPr="003D1E07">
        <w:t xml:space="preserve">Setkání Sokrata s Platonem proběhlo podobně a ve stejně tragickém smyslu daném slepou a vidoucí podobou pravdy. Scholastika zopakuje tento scénář skrze </w:t>
      </w:r>
      <w:r w:rsidR="00B047C8" w:rsidRPr="003D1E07">
        <w:rPr>
          <w:i/>
        </w:rPr>
        <w:t>via Modernorum</w:t>
      </w:r>
      <w:r w:rsidR="00B047C8" w:rsidRPr="003D1E07">
        <w:rPr>
          <w:i/>
        </w:rPr>
        <w:fldChar w:fldCharType="begin"/>
      </w:r>
      <w:r w:rsidR="00B047C8" w:rsidRPr="003D1E07">
        <w:instrText xml:space="preserve"> XE "</w:instrText>
      </w:r>
      <w:r w:rsidR="00B047C8" w:rsidRPr="003D1E07">
        <w:rPr>
          <w:i/>
        </w:rPr>
        <w:instrText>via Modernorum</w:instrText>
      </w:r>
      <w:r w:rsidR="00B047C8" w:rsidRPr="003D1E07">
        <w:instrText xml:space="preserve">" </w:instrText>
      </w:r>
      <w:r w:rsidR="00B047C8" w:rsidRPr="003D1E07">
        <w:rPr>
          <w:i/>
        </w:rPr>
        <w:fldChar w:fldCharType="end"/>
      </w:r>
      <w:r w:rsidR="00B047C8" w:rsidRPr="003D1E07">
        <w:t xml:space="preserve">. </w:t>
      </w:r>
    </w:p>
    <w:p w14:paraId="393EA22D" w14:textId="610C3970" w:rsidR="00F01FAB" w:rsidRDefault="08791549" w:rsidP="00522E91">
      <w:pPr>
        <w:ind w:firstLine="397"/>
      </w:pPr>
      <w:r w:rsidRPr="003D1E07">
        <w:t xml:space="preserve">Dílo </w:t>
      </w:r>
      <w:r w:rsidRPr="003D1E07">
        <w:rPr>
          <w:i/>
        </w:rPr>
        <w:t>Der Spruch des Anaximader</w:t>
      </w:r>
      <w:r w:rsidRPr="003D1E07">
        <w:t xml:space="preserve"> (1946) zkoumá další významný moment důležitý pro hermeneutiku objektivity. Termín </w:t>
      </w:r>
      <w:r w:rsidRPr="003D1E07">
        <w:rPr>
          <w:i/>
        </w:rPr>
        <w:t>Seinsverlassenheit</w:t>
      </w:r>
      <w:r w:rsidRPr="003D1E07">
        <w:rPr>
          <w:i/>
        </w:rPr>
        <w:fldChar w:fldCharType="begin"/>
      </w:r>
      <w:r w:rsidRPr="003D1E07">
        <w:instrText xml:space="preserve"> XE "</w:instrText>
      </w:r>
      <w:r w:rsidRPr="003D1E07">
        <w:rPr>
          <w:i/>
        </w:rPr>
        <w:instrText>Seinsverlassenheit</w:instrText>
      </w:r>
      <w:r w:rsidRPr="003D1E07">
        <w:instrText xml:space="preserve">" </w:instrText>
      </w:r>
      <w:r w:rsidRPr="003D1E07">
        <w:rPr>
          <w:i/>
        </w:rPr>
        <w:fldChar w:fldCharType="end"/>
      </w:r>
      <w:r w:rsidRPr="003D1E07">
        <w:t xml:space="preserve"> popisuje událost fundamentální skrytosti bytí</w:t>
      </w:r>
      <w:r w:rsidR="085101C4" w:rsidRPr="003D1E07">
        <w:t xml:space="preserve"> danou na začátku metafyziky</w:t>
      </w:r>
      <w:r w:rsidRPr="003D1E07">
        <w:t xml:space="preserve">. Výklad Anaximandrova výroku chápe bytí v jeho vlastním </w:t>
      </w:r>
      <w:r w:rsidRPr="003D1E07">
        <w:rPr>
          <w:i/>
        </w:rPr>
        <w:t>Lichtung</w:t>
      </w:r>
      <w:r w:rsidRPr="003D1E07">
        <w:t>, k</w:t>
      </w:r>
      <w:r w:rsidR="081E3FB0" w:rsidRPr="003D1E07">
        <w:t xml:space="preserve">dy je dění pravdy vztaženo k </w:t>
      </w:r>
      <w:r w:rsidRPr="003D1E07">
        <w:t xml:space="preserve">odhalenosti </w:t>
      </w:r>
      <w:r w:rsidR="081E3FB0" w:rsidRPr="003D1E07">
        <w:t xml:space="preserve">a určité formě skrytosti dané </w:t>
      </w:r>
      <w:r w:rsidR="081E3FB0" w:rsidRPr="003D1E07">
        <w:lastRenderedPageBreak/>
        <w:t xml:space="preserve">při manifestaci </w:t>
      </w:r>
      <w:r w:rsidRPr="003D1E07">
        <w:t>bytí jsoucna.</w:t>
      </w:r>
      <w:bookmarkStart w:id="16" w:name="_Ref380841931"/>
      <w:r w:rsidR="088E763D" w:rsidRPr="003D1E07">
        <w:rPr>
          <w:rStyle w:val="Znakapoznpodarou"/>
        </w:rPr>
        <w:footnoteReference w:id="26"/>
      </w:r>
      <w:bookmarkEnd w:id="16"/>
      <w:r w:rsidRPr="003D1E07">
        <w:t xml:space="preserve"> Bytí se stahuje do skrytosti a současn</w:t>
      </w:r>
      <w:r w:rsidR="08F8148F" w:rsidRPr="003D1E07">
        <w:t>ě manifestuje odkrytost jsoucna</w:t>
      </w:r>
      <w:r w:rsidRPr="003D1E07">
        <w:t xml:space="preserve">. </w:t>
      </w:r>
      <w:r w:rsidR="08943EEE" w:rsidRPr="003D1E07">
        <w:t>P</w:t>
      </w:r>
      <w:r w:rsidRPr="003D1E07">
        <w:t>ohyb</w:t>
      </w:r>
      <w:r w:rsidR="08CE1236" w:rsidRPr="003D1E07">
        <w:t xml:space="preserve"> této původní </w:t>
      </w:r>
      <w:r w:rsidR="08F367A7" w:rsidRPr="003D1E07">
        <w:t xml:space="preserve">múzické </w:t>
      </w:r>
      <w:r w:rsidR="08463D44" w:rsidRPr="003D1E07">
        <w:t>po-</w:t>
      </w:r>
      <w:r w:rsidRPr="003D1E07">
        <w:t xml:space="preserve">odkrytosti </w:t>
      </w:r>
      <w:r w:rsidR="08CE1236" w:rsidRPr="003D1E07">
        <w:t>(</w:t>
      </w:r>
      <w:r w:rsidR="08CE1236" w:rsidRPr="003D1E07">
        <w:rPr>
          <w:i/>
        </w:rPr>
        <w:t>a/létheia</w:t>
      </w:r>
      <w:r w:rsidR="08CE1236" w:rsidRPr="003D1E07">
        <w:t xml:space="preserve">) </w:t>
      </w:r>
      <w:r w:rsidR="08943EEE" w:rsidRPr="003D1E07">
        <w:t>zakládá pra</w:t>
      </w:r>
      <w:r w:rsidR="08F367A7" w:rsidRPr="003D1E07">
        <w:t>vdu a nepravdu</w:t>
      </w:r>
      <w:r w:rsidR="08943EEE" w:rsidRPr="003D1E07">
        <w:t xml:space="preserve"> </w:t>
      </w:r>
      <w:r w:rsidRPr="003D1E07">
        <w:t>js</w:t>
      </w:r>
      <w:r w:rsidR="08021CD1" w:rsidRPr="003D1E07">
        <w:t>oucna</w:t>
      </w:r>
      <w:r w:rsidR="08F35673" w:rsidRPr="003D1E07">
        <w:t xml:space="preserve"> v archegetickém modu</w:t>
      </w:r>
      <w:r w:rsidR="08CE1236" w:rsidRPr="003D1E07">
        <w:t xml:space="preserve">. </w:t>
      </w:r>
      <w:r w:rsidR="08FD3AF1" w:rsidRPr="003D1E07">
        <w:t xml:space="preserve">Pohyb bytí </w:t>
      </w:r>
      <w:r w:rsidR="088049A2" w:rsidRPr="003D1E07">
        <w:t xml:space="preserve">směřuje </w:t>
      </w:r>
      <w:r w:rsidR="0074430D">
        <w:t>z původní skrytosti p</w:t>
      </w:r>
      <w:r w:rsidR="08FD3AF1" w:rsidRPr="003D1E07">
        <w:t>očátku do dění samotného bytí (</w:t>
      </w:r>
      <w:r w:rsidR="08FD3AF1" w:rsidRPr="003D1E07">
        <w:rPr>
          <w:i/>
        </w:rPr>
        <w:t>Ereignis</w:t>
      </w:r>
      <w:r w:rsidR="08FD3AF1" w:rsidRPr="003D1E07">
        <w:t>) a pak do apollinské skrytosti tohoto dění (</w:t>
      </w:r>
      <w:r w:rsidR="08FD3AF1" w:rsidRPr="003D1E07">
        <w:rPr>
          <w:i/>
        </w:rPr>
        <w:t>Sichverbergen der Lichtung des Seins</w:t>
      </w:r>
      <w:r w:rsidR="08FD3AF1" w:rsidRPr="003D1E07">
        <w:t>)</w:t>
      </w:r>
      <w:r w:rsidR="088049A2" w:rsidRPr="003D1E07">
        <w:t xml:space="preserve">. Tento pohyb </w:t>
      </w:r>
      <w:r w:rsidR="08A009C6" w:rsidRPr="003D1E07">
        <w:t xml:space="preserve">celku přítomný ve věšteckém </w:t>
      </w:r>
      <w:r w:rsidR="08870ACA" w:rsidRPr="003D1E07">
        <w:t xml:space="preserve">modu </w:t>
      </w:r>
      <w:r w:rsidR="081B6494" w:rsidRPr="003D1E07">
        <w:t>„</w:t>
      </w:r>
      <w:r w:rsidR="08870ACA" w:rsidRPr="003D1E07">
        <w:t>co je, co bude a co bylo</w:t>
      </w:r>
      <w:r w:rsidR="081B6494" w:rsidRPr="003D1E07">
        <w:t>“</w:t>
      </w:r>
      <w:r w:rsidR="08870ACA" w:rsidRPr="003D1E07">
        <w:rPr>
          <w:sz w:val="27"/>
          <w:szCs w:val="27"/>
        </w:rPr>
        <w:t xml:space="preserve"> </w:t>
      </w:r>
      <w:r w:rsidR="08870ACA" w:rsidRPr="003D1E07">
        <w:rPr>
          <w:lang w:eastAsia="en-US"/>
        </w:rPr>
        <w:t>(</w:t>
      </w:r>
      <w:r w:rsidR="08870ACA" w:rsidRPr="003D1E07">
        <w:rPr>
          <w:i/>
        </w:rPr>
        <w:t>Illias</w:t>
      </w:r>
      <w:r w:rsidR="08870ACA" w:rsidRPr="003D1E07">
        <w:t xml:space="preserve"> 1.70</w:t>
      </w:r>
      <w:r w:rsidR="08870ACA" w:rsidRPr="003D1E07">
        <w:fldChar w:fldCharType="begin"/>
      </w:r>
      <w:r w:rsidR="08870ACA" w:rsidRPr="003D1E07">
        <w:instrText xml:space="preserve"> XE "Homér:</w:instrText>
      </w:r>
      <w:r w:rsidR="08870ACA" w:rsidRPr="003D1E07">
        <w:rPr>
          <w:i/>
        </w:rPr>
        <w:instrText>Ilias</w:instrText>
      </w:r>
      <w:r w:rsidR="08870ACA" w:rsidRPr="003D1E07">
        <w:instrText xml:space="preserve"> 1.70" </w:instrText>
      </w:r>
      <w:r w:rsidR="08870ACA" w:rsidRPr="003D1E07">
        <w:fldChar w:fldCharType="end"/>
      </w:r>
      <w:r w:rsidR="08870ACA" w:rsidRPr="003D1E07">
        <w:rPr>
          <w:lang w:eastAsia="en-US"/>
        </w:rPr>
        <w:t xml:space="preserve">) </w:t>
      </w:r>
      <w:r w:rsidR="08FD3AF1" w:rsidRPr="003D1E07">
        <w:t>představuje původní séma</w:t>
      </w:r>
      <w:r w:rsidR="001D7C6F" w:rsidRPr="003D1E07">
        <w:t>ntické znamení pro hermeneutiku</w:t>
      </w:r>
      <w:r w:rsidR="08FD3AF1" w:rsidRPr="003D1E07">
        <w:t xml:space="preserve">. </w:t>
      </w:r>
      <w:r w:rsidR="08317772" w:rsidRPr="003D1E07">
        <w:t xml:space="preserve">Přechod od věčného principu k primordiálnímu dění </w:t>
      </w:r>
      <w:r w:rsidR="0880700B" w:rsidRPr="003D1E07">
        <w:t xml:space="preserve">v rámci </w:t>
      </w:r>
      <w:r w:rsidR="0880700B" w:rsidRPr="003D1E07">
        <w:rPr>
          <w:i/>
        </w:rPr>
        <w:t>fýsis</w:t>
      </w:r>
      <w:r w:rsidR="0880700B" w:rsidRPr="003D1E07">
        <w:t xml:space="preserve"> </w:t>
      </w:r>
      <w:r w:rsidR="08317772" w:rsidRPr="003D1E07">
        <w:t xml:space="preserve">představuje </w:t>
      </w:r>
      <w:r w:rsidR="081B1995" w:rsidRPr="003D1E07">
        <w:t xml:space="preserve">základní </w:t>
      </w:r>
      <w:r w:rsidR="08317772" w:rsidRPr="003D1E07">
        <w:t>formu dějinnosti (</w:t>
      </w:r>
      <w:r w:rsidR="08317772" w:rsidRPr="003D1E07">
        <w:rPr>
          <w:i/>
        </w:rPr>
        <w:t>Ereignis</w:t>
      </w:r>
      <w:r w:rsidR="008E33DE" w:rsidRPr="003D1E07">
        <w:rPr>
          <w:i/>
        </w:rPr>
        <w:fldChar w:fldCharType="begin"/>
      </w:r>
      <w:r w:rsidR="008E33DE" w:rsidRPr="003D1E07">
        <w:instrText xml:space="preserve"> XE "</w:instrText>
      </w:r>
      <w:r w:rsidR="008E33DE" w:rsidRPr="003D1E07">
        <w:rPr>
          <w:i/>
        </w:rPr>
        <w:instrText>Ereignis</w:instrText>
      </w:r>
      <w:r w:rsidR="008E33DE" w:rsidRPr="003D1E07">
        <w:instrText xml:space="preserve">" </w:instrText>
      </w:r>
      <w:r w:rsidR="008E33DE" w:rsidRPr="003D1E07">
        <w:rPr>
          <w:i/>
        </w:rPr>
        <w:fldChar w:fldCharType="end"/>
      </w:r>
      <w:r w:rsidR="08317772" w:rsidRPr="003D1E07">
        <w:t>). Tento mimočasov</w:t>
      </w:r>
      <w:r w:rsidR="08C442D9" w:rsidRPr="003D1E07">
        <w:t>ý</w:t>
      </w:r>
      <w:r w:rsidR="08317772" w:rsidRPr="003D1E07">
        <w:t xml:space="preserve"> pohyb stvoření tematizují všechny kultury buď v</w:t>
      </w:r>
      <w:r w:rsidR="083379F6" w:rsidRPr="003D1E07">
        <w:t> </w:t>
      </w:r>
      <w:r w:rsidR="08317772" w:rsidRPr="003D1E07">
        <w:t>mýtu</w:t>
      </w:r>
      <w:r w:rsidR="083379F6" w:rsidRPr="003D1E07">
        <w:t>,</w:t>
      </w:r>
      <w:r w:rsidR="08317772" w:rsidRPr="003D1E07">
        <w:t xml:space="preserve"> nebo v různých filosofických vysvětleních pohybu skrze emanaci idejí či kauzalitu substance</w:t>
      </w:r>
      <w:r w:rsidR="08696E82" w:rsidRPr="003D1E07">
        <w:t xml:space="preserve"> nebo </w:t>
      </w:r>
      <w:r w:rsidR="08376371" w:rsidRPr="003D1E07">
        <w:t xml:space="preserve">v kosmologické teorii </w:t>
      </w:r>
      <w:r w:rsidR="08696E82" w:rsidRPr="003D1E07">
        <w:t>Velkého třesku (</w:t>
      </w:r>
      <w:r w:rsidR="08696E82" w:rsidRPr="003D1E07">
        <w:rPr>
          <w:i/>
        </w:rPr>
        <w:t>Big Bang</w:t>
      </w:r>
      <w:r w:rsidR="08696E82" w:rsidRPr="003D1E07">
        <w:rPr>
          <w:i/>
        </w:rPr>
        <w:fldChar w:fldCharType="begin"/>
      </w:r>
      <w:r w:rsidR="08696E82" w:rsidRPr="003D1E07">
        <w:instrText xml:space="preserve"> XE "</w:instrText>
      </w:r>
      <w:r w:rsidR="08920797" w:rsidRPr="003D1E07">
        <w:rPr>
          <w:i/>
        </w:rPr>
        <w:instrText>Big</w:instrText>
      </w:r>
      <w:r w:rsidR="08920797" w:rsidRPr="003D1E07">
        <w:instrText xml:space="preserve"> </w:instrText>
      </w:r>
      <w:r w:rsidR="08696E82" w:rsidRPr="003D1E07">
        <w:rPr>
          <w:i/>
        </w:rPr>
        <w:instrText>Bang</w:instrText>
      </w:r>
      <w:r w:rsidR="08696E82" w:rsidRPr="003D1E07">
        <w:instrText xml:space="preserve">" </w:instrText>
      </w:r>
      <w:r w:rsidR="08696E82" w:rsidRPr="003D1E07">
        <w:rPr>
          <w:i/>
        </w:rPr>
        <w:fldChar w:fldCharType="end"/>
      </w:r>
      <w:r w:rsidR="08696E82" w:rsidRPr="003D1E07">
        <w:t>)</w:t>
      </w:r>
      <w:r w:rsidR="08317772" w:rsidRPr="003D1E07">
        <w:t xml:space="preserve">. </w:t>
      </w:r>
      <w:r w:rsidR="0815703A" w:rsidRPr="003D1E07">
        <w:t xml:space="preserve">Původní dění dějinnosti chápe hermeneutika objektivity vzhledem k </w:t>
      </w:r>
      <w:r w:rsidR="0847437B" w:rsidRPr="003D1E07">
        <w:t>m</w:t>
      </w:r>
      <w:r w:rsidR="0815703A" w:rsidRPr="003D1E07">
        <w:t>etafyzické substanci. J</w:t>
      </w:r>
      <w:r w:rsidR="08091035" w:rsidRPr="003D1E07">
        <w:t>souc</w:t>
      </w:r>
      <w:r w:rsidR="0815703A" w:rsidRPr="003D1E07">
        <w:t xml:space="preserve">no přítomné zde a nyní </w:t>
      </w:r>
      <w:r w:rsidR="08091035" w:rsidRPr="003D1E07">
        <w:t>(</w:t>
      </w:r>
      <w:r w:rsidR="08091035" w:rsidRPr="003D1E07">
        <w:rPr>
          <w:i/>
        </w:rPr>
        <w:t>oúsía</w:t>
      </w:r>
      <w:r w:rsidR="08091035" w:rsidRPr="003D1E07">
        <w:t xml:space="preserve">) </w:t>
      </w:r>
      <w:r w:rsidR="0815703A" w:rsidRPr="003D1E07">
        <w:t>je zjeveno</w:t>
      </w:r>
      <w:r w:rsidR="08B56516" w:rsidRPr="003D1E07">
        <w:t xml:space="preserve"> v </w:t>
      </w:r>
      <w:r w:rsidR="08B56516" w:rsidRPr="003D1E07">
        <w:rPr>
          <w:i/>
        </w:rPr>
        <w:t>Lichtung</w:t>
      </w:r>
      <w:r w:rsidR="08B56516" w:rsidRPr="003D1E07">
        <w:t xml:space="preserve"> díky původnímu přechodu bytí a múzické pravdy směrem do apollinské skrytosti. </w:t>
      </w:r>
      <w:r w:rsidR="08830B3B" w:rsidRPr="003D1E07">
        <w:t>Mystika zná tento přechod jako původní pohyb boží přítomnosti či slávy, kterou nelze vidět tváří v tvář (</w:t>
      </w:r>
      <w:r w:rsidR="08830B3B" w:rsidRPr="003D1E07">
        <w:rPr>
          <w:i/>
        </w:rPr>
        <w:t>Exodus</w:t>
      </w:r>
      <w:r w:rsidR="08830B3B" w:rsidRPr="003D1E07">
        <w:t xml:space="preserve"> 33:18–33</w:t>
      </w:r>
      <w:r w:rsidR="00684D3B" w:rsidRPr="003D1E07">
        <w:fldChar w:fldCharType="begin"/>
      </w:r>
      <w:r w:rsidR="00684D3B" w:rsidRPr="003D1E07">
        <w:instrText xml:space="preserve"> XE "</w:instrText>
      </w:r>
      <w:r w:rsidR="00684D3B" w:rsidRPr="003D1E07">
        <w:rPr>
          <w:i/>
        </w:rPr>
        <w:instrText>Starý zákon:Exodus</w:instrText>
      </w:r>
      <w:r w:rsidR="00684D3B" w:rsidRPr="003D1E07">
        <w:instrText xml:space="preserve"> 33.18–33" </w:instrText>
      </w:r>
      <w:r w:rsidR="00684D3B" w:rsidRPr="003D1E07">
        <w:fldChar w:fldCharType="end"/>
      </w:r>
      <w:r w:rsidR="08830B3B" w:rsidRPr="003D1E07">
        <w:t xml:space="preserve">). </w:t>
      </w:r>
      <w:r w:rsidR="08C803BF" w:rsidRPr="003D1E07">
        <w:t xml:space="preserve">Hermeneutika sleduje tuto událost </w:t>
      </w:r>
      <w:r w:rsidR="08B15BE3" w:rsidRPr="003D1E07">
        <w:t xml:space="preserve">vzniku jsoucna a tím i metafyziky </w:t>
      </w:r>
      <w:r w:rsidR="08C803BF" w:rsidRPr="003D1E07">
        <w:t xml:space="preserve">pomocí skrytého působení </w:t>
      </w:r>
      <w:r w:rsidR="08B91E68" w:rsidRPr="003D1E07">
        <w:t xml:space="preserve">primárního filosofického </w:t>
      </w:r>
      <w:r w:rsidR="08C803BF" w:rsidRPr="003D1E07">
        <w:t>dativu (</w:t>
      </w:r>
      <w:r w:rsidR="08C803BF" w:rsidRPr="003D1E07">
        <w:rPr>
          <w:i/>
        </w:rPr>
        <w:t>dativus principalis</w:t>
      </w:r>
      <w:r w:rsidR="08C803BF" w:rsidRPr="003D1E07">
        <w:rPr>
          <w:i/>
        </w:rPr>
        <w:fldChar w:fldCharType="begin"/>
      </w:r>
      <w:r w:rsidR="08C803BF" w:rsidRPr="003D1E07">
        <w:instrText xml:space="preserve"> XE "</w:instrText>
      </w:r>
      <w:r w:rsidR="08C803BF" w:rsidRPr="003D1E07">
        <w:rPr>
          <w:i/>
        </w:rPr>
        <w:instrText>dativus principalis</w:instrText>
      </w:r>
      <w:r w:rsidR="08C803BF" w:rsidRPr="003D1E07">
        <w:instrText xml:space="preserve">" </w:instrText>
      </w:r>
      <w:r w:rsidR="08C803BF" w:rsidRPr="003D1E07">
        <w:rPr>
          <w:i/>
        </w:rPr>
        <w:fldChar w:fldCharType="end"/>
      </w:r>
      <w:r w:rsidR="08C803BF" w:rsidRPr="003D1E07">
        <w:t xml:space="preserve">). </w:t>
      </w:r>
      <w:r w:rsidR="081413C1" w:rsidRPr="003D1E07">
        <w:t xml:space="preserve">Výklad jde </w:t>
      </w:r>
      <w:r w:rsidR="08F718A1" w:rsidRPr="003D1E07">
        <w:t xml:space="preserve">od dnešního myšlenkového nihilismu </w:t>
      </w:r>
      <w:r w:rsidR="081413C1" w:rsidRPr="003D1E07">
        <w:t>k původnímu dění samotné dějinnosti</w:t>
      </w:r>
      <w:r w:rsidR="084337BD" w:rsidRPr="003D1E07">
        <w:fldChar w:fldCharType="begin"/>
      </w:r>
      <w:r w:rsidR="084337BD" w:rsidRPr="003D1E07">
        <w:instrText xml:space="preserve"> XE "dějinnost" </w:instrText>
      </w:r>
      <w:r w:rsidR="084337BD" w:rsidRPr="003D1E07">
        <w:fldChar w:fldCharType="end"/>
      </w:r>
      <w:r w:rsidR="081413C1" w:rsidRPr="003D1E07">
        <w:t xml:space="preserve">, aby mohl </w:t>
      </w:r>
      <w:r w:rsidR="08FC7D3B" w:rsidRPr="003D1E07">
        <w:t xml:space="preserve">archaicky </w:t>
      </w:r>
      <w:r w:rsidR="088B1FDB" w:rsidRPr="003D1E07">
        <w:t xml:space="preserve">odhalit </w:t>
      </w:r>
      <w:r w:rsidR="081413C1" w:rsidRPr="003D1E07">
        <w:t>dějiny metafyziky a hist</w:t>
      </w:r>
      <w:r w:rsidR="08FC7D3B" w:rsidRPr="003D1E07">
        <w:t xml:space="preserve">orii </w:t>
      </w:r>
      <w:r w:rsidR="081413C1" w:rsidRPr="003D1E07">
        <w:t>objektivity</w:t>
      </w:r>
      <w:r w:rsidR="08AA0D07" w:rsidRPr="003D1E07">
        <w:t xml:space="preserve"> </w:t>
      </w:r>
      <w:r w:rsidR="08FC7D3B" w:rsidRPr="003D1E07">
        <w:t>(</w:t>
      </w:r>
      <w:r w:rsidR="08FC7D3B" w:rsidRPr="003D1E07">
        <w:rPr>
          <w:rStyle w:val="greek"/>
          <w:bCs/>
        </w:rPr>
        <w:t>ἀποκαλύπτω</w:t>
      </w:r>
      <w:r w:rsidR="08FC7D3B" w:rsidRPr="003D1E07">
        <w:t>)</w:t>
      </w:r>
      <w:r w:rsidR="081413C1" w:rsidRPr="003D1E07">
        <w:t>.</w:t>
      </w:r>
      <w:r w:rsidR="00985D9F">
        <w:t xml:space="preserve"> </w:t>
      </w:r>
      <w:r w:rsidR="083C3300" w:rsidRPr="003D1E07">
        <w:t xml:space="preserve">Apokalyptika vidí principiální dění </w:t>
      </w:r>
      <w:r w:rsidR="08B91E68" w:rsidRPr="003D1E07">
        <w:t>archege</w:t>
      </w:r>
      <w:r w:rsidR="083C3300" w:rsidRPr="003D1E07">
        <w:t xml:space="preserve">tického dativu v modu synoptického vidění věštců, </w:t>
      </w:r>
      <w:r w:rsidR="00A22393" w:rsidRPr="003D1E07">
        <w:t>tragiků a první filosofie. V</w:t>
      </w:r>
      <w:r w:rsidR="083C3300" w:rsidRPr="003D1E07">
        <w:t xml:space="preserve">ýklad </w:t>
      </w:r>
      <w:r w:rsidR="00A22393" w:rsidRPr="003D1E07">
        <w:t>ne</w:t>
      </w:r>
      <w:r w:rsidR="083C3300" w:rsidRPr="003D1E07">
        <w:t>jde z tohoto základního důvodu od konce dějů k jejich původnímu počátku</w:t>
      </w:r>
      <w:r w:rsidR="00DD5DBB" w:rsidRPr="003D1E07">
        <w:t>, protože to by musel převzí</w:t>
      </w:r>
      <w:r w:rsidR="00A22393" w:rsidRPr="003D1E07">
        <w:t xml:space="preserve">t všechny moderní omyly. </w:t>
      </w:r>
      <w:r w:rsidR="00313DDB">
        <w:t xml:space="preserve">Výklad </w:t>
      </w:r>
      <w:r w:rsidR="00A22393" w:rsidRPr="003D1E07">
        <w:t xml:space="preserve">bere jako východisko Sokratovu moudrost danou na </w:t>
      </w:r>
      <w:r w:rsidR="00DD5DBB" w:rsidRPr="003D1E07">
        <w:t xml:space="preserve">konci archaického </w:t>
      </w:r>
      <w:r w:rsidR="00A22393" w:rsidRPr="003D1E07">
        <w:t>počátku a s ní jde až na dnešní konec objektivity</w:t>
      </w:r>
      <w:r w:rsidR="083C3300" w:rsidRPr="003D1E07">
        <w:t xml:space="preserve">. Působení </w:t>
      </w:r>
      <w:r w:rsidR="00DD5DBB" w:rsidRPr="003D1E07">
        <w:t xml:space="preserve">původního </w:t>
      </w:r>
      <w:r w:rsidR="00A22393" w:rsidRPr="003D1E07">
        <w:t>počátku</w:t>
      </w:r>
      <w:r w:rsidR="00DD5DBB" w:rsidRPr="003D1E07">
        <w:t xml:space="preserve"> (</w:t>
      </w:r>
      <w:r w:rsidR="00DD5DBB" w:rsidRPr="003D1E07">
        <w:rPr>
          <w:i/>
        </w:rPr>
        <w:t>Anfang</w:t>
      </w:r>
      <w:r w:rsidR="00DD5DBB" w:rsidRPr="003D1E07">
        <w:t xml:space="preserve">) </w:t>
      </w:r>
      <w:r w:rsidR="083C3300" w:rsidRPr="003D1E07">
        <w:t xml:space="preserve">v metafyzice je dané skrytě a proto </w:t>
      </w:r>
      <w:r w:rsidR="002852FE" w:rsidRPr="003D1E07">
        <w:t>apolinsky-</w:t>
      </w:r>
      <w:r w:rsidR="083C3300" w:rsidRPr="003D1E07">
        <w:t>sémanticky na počátku moderní epochy</w:t>
      </w:r>
      <w:r w:rsidR="00DD5DBB" w:rsidRPr="003D1E07">
        <w:t xml:space="preserve"> (</w:t>
      </w:r>
      <w:r w:rsidR="00DD5DBB" w:rsidRPr="003D1E07">
        <w:rPr>
          <w:i/>
        </w:rPr>
        <w:t>Beginn</w:t>
      </w:r>
      <w:r w:rsidR="00DD5DBB" w:rsidRPr="003D1E07">
        <w:t>)</w:t>
      </w:r>
      <w:r w:rsidR="002852FE" w:rsidRPr="003D1E07">
        <w:t xml:space="preserve">. </w:t>
      </w:r>
      <w:r w:rsidR="00DD5DBB" w:rsidRPr="003D1E07">
        <w:t xml:space="preserve">Síla původního počátku </w:t>
      </w:r>
      <w:r w:rsidR="002852FE" w:rsidRPr="003D1E07">
        <w:t xml:space="preserve">je </w:t>
      </w:r>
      <w:r w:rsidR="083C3300" w:rsidRPr="003D1E07">
        <w:t xml:space="preserve">apokalypticky </w:t>
      </w:r>
      <w:r w:rsidR="00DD5DBB" w:rsidRPr="003D1E07">
        <w:t xml:space="preserve">zjevena </w:t>
      </w:r>
      <w:r w:rsidR="083C3300" w:rsidRPr="003D1E07">
        <w:t>na konci</w:t>
      </w:r>
      <w:r w:rsidR="00DD5DBB" w:rsidRPr="003D1E07">
        <w:t xml:space="preserve"> objektivity</w:t>
      </w:r>
      <w:r w:rsidR="083C3300" w:rsidRPr="003D1E07">
        <w:t xml:space="preserve">. Hermeneutika objektivity </w:t>
      </w:r>
      <w:r w:rsidR="001A467C" w:rsidRPr="003D1E07">
        <w:t>musí b</w:t>
      </w:r>
      <w:r w:rsidR="083C3300" w:rsidRPr="003D1E07">
        <w:t xml:space="preserve">ýt </w:t>
      </w:r>
      <w:r w:rsidR="001A467C" w:rsidRPr="003D1E07">
        <w:t>a</w:t>
      </w:r>
      <w:r w:rsidR="083C3300" w:rsidRPr="003D1E07">
        <w:t>pokaplytická</w:t>
      </w:r>
      <w:r w:rsidR="001A467C" w:rsidRPr="003D1E07">
        <w:t xml:space="preserve"> podle archaického modu. V</w:t>
      </w:r>
      <w:r w:rsidR="083C3300" w:rsidRPr="003D1E07">
        <w:t xml:space="preserve">e viditelném působení totalitních režimů a válek 20. století, metafyzického nihilismu a dekonstrukce nachází neviditelné působení počátku metafyziky. Platon vytěsnil archegetické dění celku </w:t>
      </w:r>
      <w:r w:rsidR="083C3300" w:rsidRPr="003D1E07">
        <w:lastRenderedPageBreak/>
        <w:t xml:space="preserve">bytí ideovou jasností a matematickou technikou nazírání světa. </w:t>
      </w:r>
      <w:r w:rsidR="089D33F4" w:rsidRPr="003D1E07">
        <w:t xml:space="preserve">Aristotelská verze </w:t>
      </w:r>
      <w:r w:rsidR="00321FDE">
        <w:rPr>
          <w:lang w:eastAsia="en-US"/>
        </w:rPr>
        <w:t>metafyz</w:t>
      </w:r>
      <w:r w:rsidR="08B91E68" w:rsidRPr="003D1E07">
        <w:rPr>
          <w:lang w:eastAsia="en-US"/>
        </w:rPr>
        <w:t>ického</w:t>
      </w:r>
      <w:r w:rsidR="089D33F4" w:rsidRPr="003D1E07">
        <w:t xml:space="preserve"> dativu vytěsnila </w:t>
      </w:r>
      <w:r w:rsidR="089B79E0" w:rsidRPr="003D1E07">
        <w:t xml:space="preserve">původní skrytost celku jsoucna skrze </w:t>
      </w:r>
      <w:r w:rsidR="00590C79" w:rsidRPr="003D1E07">
        <w:t xml:space="preserve">působení </w:t>
      </w:r>
      <w:r w:rsidR="089B79E0" w:rsidRPr="003D1E07">
        <w:t>první substance</w:t>
      </w:r>
      <w:r w:rsidR="00590C79" w:rsidRPr="003D1E07">
        <w:t>, která přešla do minulosti</w:t>
      </w:r>
      <w:r w:rsidR="080F48BF" w:rsidRPr="003D1E07">
        <w:t xml:space="preserve">. </w:t>
      </w:r>
      <w:r w:rsidR="08957C4B" w:rsidRPr="003D1E07">
        <w:rPr>
          <w:lang w:eastAsia="en-US"/>
        </w:rPr>
        <w:t xml:space="preserve">Pro archaickou hermeneutiku to znamená, že musí udělat na cestě k pravdě metodologický krok zpět, od platonského Sokrata k jeho původnímu tázání. </w:t>
      </w:r>
      <w:r w:rsidR="08E21A83" w:rsidRPr="003D1E07">
        <w:rPr>
          <w:lang w:eastAsia="en-US"/>
        </w:rPr>
        <w:t xml:space="preserve">Dráhu náhledu </w:t>
      </w:r>
      <w:r w:rsidR="00175C5E" w:rsidRPr="003D1E07">
        <w:rPr>
          <w:lang w:eastAsia="en-US"/>
        </w:rPr>
        <w:t xml:space="preserve">na objektivitu </w:t>
      </w:r>
      <w:r w:rsidR="08E21A83" w:rsidRPr="003D1E07">
        <w:rPr>
          <w:lang w:eastAsia="en-US"/>
        </w:rPr>
        <w:t xml:space="preserve">určuje </w:t>
      </w:r>
      <w:r w:rsidR="00175C5E" w:rsidRPr="003D1E07">
        <w:rPr>
          <w:lang w:eastAsia="en-US"/>
        </w:rPr>
        <w:t xml:space="preserve">původní </w:t>
      </w:r>
      <w:r w:rsidR="08E21A83" w:rsidRPr="003D1E07">
        <w:rPr>
          <w:i/>
          <w:lang w:eastAsia="en-US"/>
        </w:rPr>
        <w:t>Lichtung</w:t>
      </w:r>
      <w:r w:rsidR="08E21A83" w:rsidRPr="003D1E07">
        <w:rPr>
          <w:lang w:eastAsia="en-US"/>
        </w:rPr>
        <w:t xml:space="preserve"> skrytého přechodu samotného bytí, které nelze onticky tematizovat</w:t>
      </w:r>
      <w:r w:rsidR="08E21A83" w:rsidRPr="003D1E07">
        <w:rPr>
          <w:lang w:eastAsia="en-US"/>
        </w:rPr>
        <w:fldChar w:fldCharType="begin"/>
      </w:r>
      <w:r w:rsidR="08E21A83" w:rsidRPr="003D1E07">
        <w:instrText xml:space="preserve"> XE "zjevování:nasvícení zezadu" </w:instrText>
      </w:r>
      <w:r w:rsidR="08E21A83" w:rsidRPr="003D1E07">
        <w:rPr>
          <w:lang w:eastAsia="en-US"/>
        </w:rPr>
        <w:fldChar w:fldCharType="end"/>
      </w:r>
      <w:r w:rsidR="08E21A83" w:rsidRPr="003D1E07">
        <w:rPr>
          <w:lang w:eastAsia="en-US"/>
        </w:rPr>
        <w:t xml:space="preserve">. </w:t>
      </w:r>
      <w:r w:rsidR="084401CD" w:rsidRPr="003D1E07">
        <w:t>Archeologický v</w:t>
      </w:r>
      <w:r w:rsidR="08246210" w:rsidRPr="003D1E07">
        <w:rPr>
          <w:lang w:eastAsia="en-US"/>
        </w:rPr>
        <w:t xml:space="preserve">ýklad objektivity popisuje způsob, jak je bytí jsoucna </w:t>
      </w:r>
      <w:r w:rsidR="080F1493" w:rsidRPr="003D1E07">
        <w:rPr>
          <w:lang w:eastAsia="en-US"/>
        </w:rPr>
        <w:t xml:space="preserve">poodhaleno </w:t>
      </w:r>
      <w:r w:rsidR="0881427D" w:rsidRPr="003D1E07">
        <w:rPr>
          <w:lang w:eastAsia="en-US"/>
        </w:rPr>
        <w:t xml:space="preserve">skrze </w:t>
      </w:r>
      <w:r w:rsidR="082D45CA" w:rsidRPr="003D1E07">
        <w:rPr>
          <w:lang w:eastAsia="en-US"/>
        </w:rPr>
        <w:t>dvojznačnost pythické pravdy</w:t>
      </w:r>
      <w:r w:rsidR="08246210" w:rsidRPr="003D1E07">
        <w:rPr>
          <w:lang w:eastAsia="en-US"/>
        </w:rPr>
        <w:t xml:space="preserve"> </w:t>
      </w:r>
      <w:r w:rsidR="0881427D" w:rsidRPr="003D1E07">
        <w:rPr>
          <w:lang w:eastAsia="en-US"/>
        </w:rPr>
        <w:t>a klam</w:t>
      </w:r>
      <w:r w:rsidR="082D45CA" w:rsidRPr="003D1E07">
        <w:rPr>
          <w:lang w:eastAsia="en-US"/>
        </w:rPr>
        <w:t>u</w:t>
      </w:r>
      <w:r w:rsidR="0881427D" w:rsidRPr="003D1E07">
        <w:rPr>
          <w:lang w:eastAsia="en-US"/>
        </w:rPr>
        <w:t xml:space="preserve">. </w:t>
      </w:r>
      <w:r w:rsidR="08FC1531" w:rsidRPr="003D1E07">
        <w:rPr>
          <w:lang w:eastAsia="en-US"/>
        </w:rPr>
        <w:t xml:space="preserve">Tato donace pravdy skrze mystérijní a tragickou formu </w:t>
      </w:r>
      <w:r w:rsidR="08B91E68" w:rsidRPr="003D1E07">
        <w:rPr>
          <w:lang w:eastAsia="en-US"/>
        </w:rPr>
        <w:t xml:space="preserve">archegetického </w:t>
      </w:r>
      <w:r w:rsidR="08FC1531" w:rsidRPr="003D1E07">
        <w:rPr>
          <w:lang w:eastAsia="en-US"/>
        </w:rPr>
        <w:t xml:space="preserve">dativu </w:t>
      </w:r>
      <w:r w:rsidR="088E1E70" w:rsidRPr="003D1E07">
        <w:rPr>
          <w:lang w:eastAsia="en-US"/>
        </w:rPr>
        <w:t>má zaklá</w:t>
      </w:r>
      <w:r w:rsidR="08FC1531" w:rsidRPr="003D1E07">
        <w:rPr>
          <w:lang w:eastAsia="en-US"/>
        </w:rPr>
        <w:t xml:space="preserve">dající charakter </w:t>
      </w:r>
      <w:r w:rsidR="088E1E70" w:rsidRPr="003D1E07">
        <w:rPr>
          <w:lang w:eastAsia="en-US"/>
        </w:rPr>
        <w:t xml:space="preserve">pro myšlení prvních filosofů </w:t>
      </w:r>
      <w:r w:rsidR="08FC1531" w:rsidRPr="003D1E07">
        <w:t>(</w:t>
      </w:r>
      <w:r w:rsidR="08FC1531" w:rsidRPr="003D1E07">
        <w:rPr>
          <w:i/>
        </w:rPr>
        <w:t>dativus principalis</w:t>
      </w:r>
      <w:r w:rsidR="08FC1531" w:rsidRPr="003D1E07">
        <w:rPr>
          <w:i/>
        </w:rPr>
        <w:fldChar w:fldCharType="begin"/>
      </w:r>
      <w:r w:rsidR="08FC1531" w:rsidRPr="003D1E07">
        <w:instrText xml:space="preserve"> XE "</w:instrText>
      </w:r>
      <w:r w:rsidR="08FC1531" w:rsidRPr="003D1E07">
        <w:rPr>
          <w:i/>
        </w:rPr>
        <w:instrText>dativus principalis</w:instrText>
      </w:r>
      <w:r w:rsidR="08FC1531" w:rsidRPr="003D1E07">
        <w:instrText xml:space="preserve">" </w:instrText>
      </w:r>
      <w:r w:rsidR="08FC1531" w:rsidRPr="003D1E07">
        <w:rPr>
          <w:i/>
        </w:rPr>
        <w:fldChar w:fldCharType="end"/>
      </w:r>
      <w:r w:rsidR="08FC1531" w:rsidRPr="003D1E07">
        <w:t xml:space="preserve">). </w:t>
      </w:r>
      <w:r w:rsidR="082154C1" w:rsidRPr="003D1E07">
        <w:t xml:space="preserve">Mystérium Apollóna a Múz </w:t>
      </w:r>
      <w:r w:rsidR="00114C2D" w:rsidRPr="003D1E07">
        <w:t xml:space="preserve">založilo metafyziku v múzické </w:t>
      </w:r>
      <w:r w:rsidR="082154C1" w:rsidRPr="003D1E07">
        <w:t xml:space="preserve">pravdě dané skrytostí bytí v dějinně utvářené </w:t>
      </w:r>
      <w:r w:rsidR="00381EBA" w:rsidRPr="003D1E07">
        <w:rPr>
          <w:i/>
        </w:rPr>
        <w:t>léthe</w:t>
      </w:r>
      <w:r w:rsidR="082154C1" w:rsidRPr="003D1E07">
        <w:t xml:space="preserve">. </w:t>
      </w:r>
      <w:r w:rsidR="081B326A" w:rsidRPr="003D1E07">
        <w:t>Sémantika sledující skryté dění Apollóna Archegeta musí postupovat od moderního klamu k archaické pravdě. Po přechodu pravdy do skr</w:t>
      </w:r>
      <w:r w:rsidR="08D60647" w:rsidRPr="003D1E07">
        <w:t>ytosti dějin už vidíme jen metafyzické simulákrum archaické pravdy</w:t>
      </w:r>
      <w:r w:rsidR="00F01FAB">
        <w:t>.</w:t>
      </w:r>
    </w:p>
    <w:p w14:paraId="006B2C52" w14:textId="3115D428" w:rsidR="08CC34B6" w:rsidRPr="003D1E07" w:rsidRDefault="081B326A" w:rsidP="00522E91">
      <w:pPr>
        <w:ind w:firstLine="397"/>
        <w:rPr>
          <w:lang w:eastAsia="en-US"/>
        </w:rPr>
      </w:pPr>
      <w:r w:rsidRPr="003D1E07">
        <w:t xml:space="preserve">Nová forma archaického dativu vázaného na bytí substance způsobila, že archegetické dění dané principiálním dativem se stalo pro metafyziku zcela nejsoucí a tím i nepoznatelné. </w:t>
      </w:r>
      <w:r w:rsidRPr="003D1E07">
        <w:rPr>
          <w:lang w:eastAsia="en-US"/>
        </w:rPr>
        <w:t>Tato původní forma po-odkrytosti bytí a jsoucna (</w:t>
      </w:r>
      <w:r w:rsidRPr="003D1E07">
        <w:rPr>
          <w:i/>
          <w:lang w:eastAsia="en-US"/>
        </w:rPr>
        <w:t>a/létheia</w:t>
      </w:r>
      <w:r w:rsidRPr="003D1E07">
        <w:rPr>
          <w:lang w:eastAsia="en-US"/>
        </w:rPr>
        <w:t>) je dána v </w:t>
      </w:r>
      <w:r w:rsidRPr="003D1E07">
        <w:rPr>
          <w:i/>
          <w:lang w:eastAsia="en-US"/>
        </w:rPr>
        <w:t>Lichtung</w:t>
      </w:r>
      <w:r w:rsidRPr="003D1E07">
        <w:rPr>
          <w:lang w:eastAsia="en-US"/>
        </w:rPr>
        <w:t xml:space="preserve"> archaické dějinnosti vázané na počátek první filosofie (</w:t>
      </w:r>
      <w:r w:rsidRPr="003D1E07">
        <w:rPr>
          <w:i/>
          <w:lang w:eastAsia="en-US"/>
        </w:rPr>
        <w:t>Anfang</w:t>
      </w:r>
      <w:r w:rsidRPr="003D1E07">
        <w:rPr>
          <w:lang w:eastAsia="en-US"/>
        </w:rPr>
        <w:t xml:space="preserve">, </w:t>
      </w:r>
      <w:r w:rsidRPr="003D1E07">
        <w:rPr>
          <w:i/>
          <w:lang w:eastAsia="en-US"/>
        </w:rPr>
        <w:t>principium</w:t>
      </w:r>
      <w:r w:rsidRPr="003D1E07">
        <w:rPr>
          <w:lang w:eastAsia="en-US"/>
        </w:rPr>
        <w:t xml:space="preserve">). </w:t>
      </w:r>
      <w:r w:rsidR="08DE4313" w:rsidRPr="003D1E07">
        <w:rPr>
          <w:lang w:eastAsia="en-US"/>
        </w:rPr>
        <w:t>E</w:t>
      </w:r>
      <w:r w:rsidR="08DE4313" w:rsidRPr="003D1E07">
        <w:t xml:space="preserve">pochální zatmění bytí </w:t>
      </w:r>
      <w:r w:rsidR="082C3F2B" w:rsidRPr="003D1E07">
        <w:t xml:space="preserve">v </w:t>
      </w:r>
      <w:r w:rsidRPr="003D1E07">
        <w:t xml:space="preserve">myšlení metafyziky </w:t>
      </w:r>
      <w:r w:rsidR="08DE4313" w:rsidRPr="003D1E07">
        <w:t>založilo dějiny substance</w:t>
      </w:r>
      <w:r w:rsidR="08835204" w:rsidRPr="003D1E07">
        <w:t xml:space="preserve">, což indikuje Heideggerův termín </w:t>
      </w:r>
      <w:r w:rsidR="082C3F2B" w:rsidRPr="003D1E07">
        <w:rPr>
          <w:i/>
        </w:rPr>
        <w:t>Seinsverlassenheit</w:t>
      </w:r>
      <w:r w:rsidR="082C3F2B" w:rsidRPr="003D1E07">
        <w:rPr>
          <w:i/>
        </w:rPr>
        <w:fldChar w:fldCharType="begin"/>
      </w:r>
      <w:r w:rsidR="082C3F2B" w:rsidRPr="003D1E07">
        <w:instrText xml:space="preserve"> XE "</w:instrText>
      </w:r>
      <w:r w:rsidR="082C3F2B" w:rsidRPr="003D1E07">
        <w:rPr>
          <w:i/>
        </w:rPr>
        <w:instrText>Seinsverlassenheit</w:instrText>
      </w:r>
      <w:r w:rsidR="082C3F2B" w:rsidRPr="003D1E07">
        <w:instrText xml:space="preserve">" </w:instrText>
      </w:r>
      <w:r w:rsidR="082C3F2B" w:rsidRPr="003D1E07">
        <w:rPr>
          <w:i/>
        </w:rPr>
        <w:fldChar w:fldCharType="end"/>
      </w:r>
      <w:r w:rsidR="08DE4313" w:rsidRPr="003D1E07">
        <w:t>.</w:t>
      </w:r>
      <w:r w:rsidR="08AF6DFF" w:rsidRPr="003D1E07">
        <w:rPr>
          <w:lang w:eastAsia="en-US"/>
        </w:rPr>
        <w:t xml:space="preserve"> </w:t>
      </w:r>
      <w:r w:rsidR="08840E07" w:rsidRPr="003D1E07">
        <w:rPr>
          <w:lang w:eastAsia="en-US"/>
        </w:rPr>
        <w:t>Pro</w:t>
      </w:r>
      <w:r w:rsidR="083E59D3" w:rsidRPr="003D1E07">
        <w:rPr>
          <w:lang w:eastAsia="en-US"/>
        </w:rPr>
        <w:t>to</w:t>
      </w:r>
      <w:r w:rsidR="08840E07" w:rsidRPr="003D1E07">
        <w:rPr>
          <w:lang w:eastAsia="en-US"/>
        </w:rPr>
        <w:t xml:space="preserve"> je d</w:t>
      </w:r>
      <w:r w:rsidR="08E6331B" w:rsidRPr="003D1E07">
        <w:rPr>
          <w:lang w:eastAsia="en-US"/>
        </w:rPr>
        <w:t xml:space="preserve">ruhý počátek první filosofie </w:t>
      </w:r>
      <w:r w:rsidR="08DC43D5" w:rsidRPr="003D1E07">
        <w:rPr>
          <w:lang w:eastAsia="en-US"/>
        </w:rPr>
        <w:t>(</w:t>
      </w:r>
      <w:r w:rsidR="08DC43D5" w:rsidRPr="003D1E07">
        <w:rPr>
          <w:i/>
          <w:lang w:eastAsia="en-US"/>
        </w:rPr>
        <w:t>Beginn</w:t>
      </w:r>
      <w:r w:rsidR="08DC43D5" w:rsidRPr="003D1E07">
        <w:rPr>
          <w:lang w:eastAsia="en-US"/>
        </w:rPr>
        <w:t xml:space="preserve">, </w:t>
      </w:r>
      <w:r w:rsidR="08DC43D5" w:rsidRPr="003D1E07">
        <w:rPr>
          <w:i/>
          <w:lang w:eastAsia="en-US"/>
        </w:rPr>
        <w:t>initium</w:t>
      </w:r>
      <w:r w:rsidR="08DC43D5" w:rsidRPr="003D1E07">
        <w:rPr>
          <w:lang w:eastAsia="en-US"/>
        </w:rPr>
        <w:t xml:space="preserve">) </w:t>
      </w:r>
      <w:r w:rsidR="08840E07" w:rsidRPr="003D1E07">
        <w:rPr>
          <w:lang w:eastAsia="en-US"/>
        </w:rPr>
        <w:t xml:space="preserve">nastolen </w:t>
      </w:r>
      <w:r w:rsidR="08E6331B" w:rsidRPr="003D1E07">
        <w:rPr>
          <w:lang w:eastAsia="en-US"/>
        </w:rPr>
        <w:t>skrze metafyziku</w:t>
      </w:r>
      <w:r w:rsidR="08DC43D5" w:rsidRPr="003D1E07">
        <w:rPr>
          <w:lang w:eastAsia="en-US"/>
        </w:rPr>
        <w:t xml:space="preserve"> a její dějinné působení</w:t>
      </w:r>
      <w:r w:rsidR="08E6331B" w:rsidRPr="003D1E07">
        <w:rPr>
          <w:lang w:eastAsia="en-US"/>
        </w:rPr>
        <w:t xml:space="preserve">. </w:t>
      </w:r>
      <w:r w:rsidR="0801043E" w:rsidRPr="003D1E07">
        <w:t>Počáteční událost bytí</w:t>
      </w:r>
      <w:r w:rsidR="08875AE2" w:rsidRPr="003D1E07">
        <w:t xml:space="preserve"> </w:t>
      </w:r>
      <w:r w:rsidR="08875AE2" w:rsidRPr="003D1E07">
        <w:rPr>
          <w:lang w:eastAsia="en-US"/>
        </w:rPr>
        <w:t>(</w:t>
      </w:r>
      <w:r w:rsidR="08875AE2" w:rsidRPr="003D1E07">
        <w:rPr>
          <w:i/>
          <w:lang w:eastAsia="en-US"/>
        </w:rPr>
        <w:t>Ereignis</w:t>
      </w:r>
      <w:r w:rsidR="08875AE2" w:rsidRPr="003D1E07">
        <w:rPr>
          <w:lang w:eastAsia="en-US"/>
        </w:rPr>
        <w:t>)</w:t>
      </w:r>
      <w:r w:rsidR="0801043E" w:rsidRPr="003D1E07">
        <w:t xml:space="preserve"> půs</w:t>
      </w:r>
      <w:r w:rsidR="080F3BC3" w:rsidRPr="003D1E07">
        <w:t xml:space="preserve">obí skrze </w:t>
      </w:r>
      <w:r w:rsidR="08185F6A" w:rsidRPr="003D1E07">
        <w:t>dějiny metafyziky</w:t>
      </w:r>
      <w:r w:rsidR="080F3BC3" w:rsidRPr="003D1E07">
        <w:t xml:space="preserve"> dějinným, </w:t>
      </w:r>
      <w:r w:rsidR="0801043E" w:rsidRPr="003D1E07">
        <w:t xml:space="preserve">proto </w:t>
      </w:r>
      <w:r w:rsidR="083B1A90" w:rsidRPr="003D1E07">
        <w:t>objektivně-</w:t>
      </w:r>
      <w:r w:rsidR="0801043E" w:rsidRPr="003D1E07">
        <w:t xml:space="preserve">skrytým způsobem. </w:t>
      </w:r>
      <w:r w:rsidR="08C054FD" w:rsidRPr="003D1E07">
        <w:rPr>
          <w:lang w:eastAsia="en-US"/>
        </w:rPr>
        <w:t xml:space="preserve">Principiální </w:t>
      </w:r>
      <w:r w:rsidR="08C054FD" w:rsidRPr="003D1E07">
        <w:rPr>
          <w:i/>
          <w:lang w:eastAsia="en-US"/>
        </w:rPr>
        <w:t>epoché</w:t>
      </w:r>
      <w:r w:rsidR="08C054FD" w:rsidRPr="003D1E07">
        <w:rPr>
          <w:lang w:eastAsia="en-US"/>
        </w:rPr>
        <w:t xml:space="preserve"> od metafyziky směrem k dějinnému dění pravdy nechává jsoucno zazářit z temnoty původního počátku. </w:t>
      </w:r>
      <w:r w:rsidR="084F253A" w:rsidRPr="003D1E07">
        <w:rPr>
          <w:lang w:eastAsia="en-US"/>
        </w:rPr>
        <w:t xml:space="preserve">Bytí jsoucna je zjevné hermeneuticky-archaicky </w:t>
      </w:r>
      <w:r w:rsidR="08272519" w:rsidRPr="003D1E07">
        <w:rPr>
          <w:lang w:eastAsia="en-US"/>
        </w:rPr>
        <w:t xml:space="preserve">a pak </w:t>
      </w:r>
      <w:r w:rsidR="084F253A" w:rsidRPr="003D1E07">
        <w:rPr>
          <w:lang w:eastAsia="en-US"/>
        </w:rPr>
        <w:t xml:space="preserve">metafyzicky-objektivně. </w:t>
      </w:r>
      <w:r w:rsidR="08C35B9C" w:rsidRPr="003D1E07">
        <w:rPr>
          <w:lang w:eastAsia="en-US"/>
        </w:rPr>
        <w:t>Metafyzika už nemůže jít k nesubstančnímu a čistě dějinnému počátku</w:t>
      </w:r>
      <w:r w:rsidR="08272519" w:rsidRPr="003D1E07">
        <w:rPr>
          <w:lang w:eastAsia="en-US"/>
        </w:rPr>
        <w:t xml:space="preserve">, protože </w:t>
      </w:r>
      <w:r w:rsidR="08C35B9C" w:rsidRPr="003D1E07">
        <w:rPr>
          <w:lang w:eastAsia="en-US"/>
        </w:rPr>
        <w:t>ten se stal v myšlení substance či</w:t>
      </w:r>
      <w:r w:rsidR="087D28DB" w:rsidRPr="003D1E07">
        <w:rPr>
          <w:lang w:eastAsia="en-US"/>
        </w:rPr>
        <w:t>s</w:t>
      </w:r>
      <w:r w:rsidR="08C35B9C" w:rsidRPr="003D1E07">
        <w:rPr>
          <w:lang w:eastAsia="en-US"/>
        </w:rPr>
        <w:t xml:space="preserve">tým nejsoucnem. A </w:t>
      </w:r>
      <w:r w:rsidR="08272519" w:rsidRPr="003D1E07">
        <w:rPr>
          <w:lang w:eastAsia="en-US"/>
        </w:rPr>
        <w:t xml:space="preserve">od jsoucna nelze jít k nejsoucnu. </w:t>
      </w:r>
      <w:r w:rsidR="08282A1E" w:rsidRPr="003D1E07">
        <w:rPr>
          <w:lang w:eastAsia="en-US"/>
        </w:rPr>
        <w:t>Hermeneutika není metafyzická, protože vidí moderní mytopoetiku z</w:t>
      </w:r>
      <w:r w:rsidR="007530AF">
        <w:rPr>
          <w:lang w:eastAsia="en-US"/>
        </w:rPr>
        <w:t xml:space="preserve"> archaické </w:t>
      </w:r>
      <w:r w:rsidR="08282A1E" w:rsidRPr="003D1E07">
        <w:rPr>
          <w:lang w:eastAsia="en-US"/>
        </w:rPr>
        <w:t xml:space="preserve">a tragické pozice. </w:t>
      </w:r>
      <w:r w:rsidR="00C46541" w:rsidRPr="003D1E07">
        <w:rPr>
          <w:lang w:eastAsia="en-US"/>
        </w:rPr>
        <w:t>Metodologicky jde o to, že jsoucno buď nazíráme v dráz</w:t>
      </w:r>
      <w:r w:rsidR="08792D12" w:rsidRPr="003D1E07">
        <w:rPr>
          <w:lang w:eastAsia="en-US"/>
        </w:rPr>
        <w:t xml:space="preserve">e náhledu daného od </w:t>
      </w:r>
      <w:r w:rsidR="08A7564F" w:rsidRPr="003D1E07">
        <w:rPr>
          <w:lang w:eastAsia="en-US"/>
        </w:rPr>
        <w:t xml:space="preserve">archegetického </w:t>
      </w:r>
      <w:r w:rsidR="08792D12" w:rsidRPr="003D1E07">
        <w:rPr>
          <w:lang w:eastAsia="en-US"/>
        </w:rPr>
        <w:t>celku jsoucna (</w:t>
      </w:r>
      <w:r w:rsidR="08792D12" w:rsidRPr="003D1E07">
        <w:t xml:space="preserve">τά τ' ἐόντα, </w:t>
      </w:r>
      <w:r w:rsidR="08792D12" w:rsidRPr="003D1E07">
        <w:rPr>
          <w:i/>
        </w:rPr>
        <w:t>Ilias</w:t>
      </w:r>
      <w:r w:rsidR="08792D12" w:rsidRPr="003D1E07">
        <w:t xml:space="preserve"> 1.70</w:t>
      </w:r>
      <w:r w:rsidR="08792D12" w:rsidRPr="003D1E07">
        <w:fldChar w:fldCharType="begin"/>
      </w:r>
      <w:r w:rsidR="08792D12" w:rsidRPr="003D1E07">
        <w:instrText xml:space="preserve"> XE "Homér:</w:instrText>
      </w:r>
      <w:r w:rsidR="08792D12" w:rsidRPr="003D1E07">
        <w:rPr>
          <w:i/>
        </w:rPr>
        <w:instrText>Ilias</w:instrText>
      </w:r>
      <w:r w:rsidR="08792D12" w:rsidRPr="003D1E07">
        <w:instrText xml:space="preserve"> 1.70" </w:instrText>
      </w:r>
      <w:r w:rsidR="08792D12" w:rsidRPr="003D1E07">
        <w:fldChar w:fldCharType="end"/>
      </w:r>
      <w:r w:rsidR="08792D12" w:rsidRPr="003D1E07">
        <w:rPr>
          <w:lang w:eastAsia="en-US"/>
        </w:rPr>
        <w:t xml:space="preserve">) </w:t>
      </w:r>
      <w:r w:rsidR="00C46541" w:rsidRPr="003D1E07">
        <w:rPr>
          <w:lang w:eastAsia="en-US"/>
        </w:rPr>
        <w:t>nebo</w:t>
      </w:r>
      <w:r w:rsidR="08FF5C4B" w:rsidRPr="003D1E07">
        <w:rPr>
          <w:lang w:eastAsia="en-US"/>
        </w:rPr>
        <w:t xml:space="preserve"> </w:t>
      </w:r>
      <w:r w:rsidR="00C46541" w:rsidRPr="003D1E07">
        <w:rPr>
          <w:lang w:eastAsia="en-US"/>
        </w:rPr>
        <w:t xml:space="preserve">od ideově založené jsoucnosti. </w:t>
      </w:r>
      <w:r w:rsidR="08A7564F" w:rsidRPr="003D1E07">
        <w:rPr>
          <w:lang w:eastAsia="en-US"/>
        </w:rPr>
        <w:t xml:space="preserve">V prvním případě má substance archaickou ipseitu </w:t>
      </w:r>
      <w:r w:rsidR="08CB707D" w:rsidRPr="003D1E07">
        <w:rPr>
          <w:lang w:eastAsia="en-US"/>
        </w:rPr>
        <w:t>danou pythic</w:t>
      </w:r>
      <w:r w:rsidR="087A5D59" w:rsidRPr="003D1E07">
        <w:rPr>
          <w:lang w:eastAsia="en-US"/>
        </w:rPr>
        <w:t>kým pojetím pravdy. V</w:t>
      </w:r>
      <w:r w:rsidR="08A7564F" w:rsidRPr="003D1E07">
        <w:rPr>
          <w:lang w:eastAsia="en-US"/>
        </w:rPr>
        <w:t xml:space="preserve">e druhém případě </w:t>
      </w:r>
      <w:r w:rsidR="087A5D59" w:rsidRPr="003D1E07">
        <w:rPr>
          <w:lang w:eastAsia="en-US"/>
        </w:rPr>
        <w:t xml:space="preserve">má substance </w:t>
      </w:r>
      <w:r w:rsidR="08A7564F" w:rsidRPr="003D1E07">
        <w:rPr>
          <w:lang w:eastAsia="en-US"/>
        </w:rPr>
        <w:t>metafyzickou identitu</w:t>
      </w:r>
      <w:r w:rsidR="08CB707D" w:rsidRPr="003D1E07">
        <w:rPr>
          <w:lang w:eastAsia="en-US"/>
        </w:rPr>
        <w:t xml:space="preserve"> danou v apofantické logice</w:t>
      </w:r>
      <w:r w:rsidR="08A7564F" w:rsidRPr="003D1E07">
        <w:rPr>
          <w:lang w:eastAsia="en-US"/>
        </w:rPr>
        <w:t xml:space="preserve">. </w:t>
      </w:r>
      <w:r w:rsidR="00DD08B4" w:rsidRPr="003D1E07">
        <w:rPr>
          <w:lang w:eastAsia="en-US"/>
        </w:rPr>
        <w:t>Rozdílný úh</w:t>
      </w:r>
      <w:r w:rsidR="08CA2F33" w:rsidRPr="003D1E07">
        <w:rPr>
          <w:lang w:eastAsia="en-US"/>
        </w:rPr>
        <w:t>el</w:t>
      </w:r>
      <w:r w:rsidR="00DD08B4" w:rsidRPr="003D1E07">
        <w:rPr>
          <w:lang w:eastAsia="en-US"/>
        </w:rPr>
        <w:t xml:space="preserve"> pohledu na</w:t>
      </w:r>
      <w:r w:rsidR="08CA2F33" w:rsidRPr="003D1E07">
        <w:rPr>
          <w:lang w:eastAsia="en-US"/>
        </w:rPr>
        <w:t xml:space="preserve"> bytí jsoucna </w:t>
      </w:r>
      <w:r w:rsidR="080D6846" w:rsidRPr="003D1E07">
        <w:rPr>
          <w:lang w:eastAsia="en-US"/>
        </w:rPr>
        <w:t>v modu ips</w:t>
      </w:r>
      <w:r w:rsidR="08E63886" w:rsidRPr="003D1E07">
        <w:rPr>
          <w:lang w:eastAsia="en-US"/>
        </w:rPr>
        <w:t>e</w:t>
      </w:r>
      <w:r w:rsidR="080D6846" w:rsidRPr="003D1E07">
        <w:rPr>
          <w:lang w:eastAsia="en-US"/>
        </w:rPr>
        <w:t xml:space="preserve">ity a identity </w:t>
      </w:r>
      <w:r w:rsidR="08CA2F33" w:rsidRPr="003D1E07">
        <w:rPr>
          <w:lang w:eastAsia="en-US"/>
        </w:rPr>
        <w:t xml:space="preserve">založil </w:t>
      </w:r>
      <w:r w:rsidR="00C46541" w:rsidRPr="003D1E07">
        <w:rPr>
          <w:lang w:eastAsia="en-US"/>
        </w:rPr>
        <w:t>dvojí událos</w:t>
      </w:r>
      <w:r w:rsidR="00DD08B4" w:rsidRPr="003D1E07">
        <w:rPr>
          <w:lang w:eastAsia="en-US"/>
        </w:rPr>
        <w:t>t</w:t>
      </w:r>
      <w:r w:rsidR="00C46541" w:rsidRPr="003D1E07">
        <w:rPr>
          <w:lang w:eastAsia="en-US"/>
        </w:rPr>
        <w:t xml:space="preserve"> bytí jsoucna</w:t>
      </w:r>
      <w:r w:rsidR="08CA2F33" w:rsidRPr="003D1E07">
        <w:rPr>
          <w:lang w:eastAsia="en-US"/>
        </w:rPr>
        <w:t xml:space="preserve"> a tím i dvojí pravdu toho, jak je jsoucno jsoucí</w:t>
      </w:r>
      <w:r w:rsidR="00C46541" w:rsidRPr="003D1E07">
        <w:rPr>
          <w:i/>
          <w:lang w:eastAsia="en-US"/>
        </w:rPr>
        <w:fldChar w:fldCharType="begin"/>
      </w:r>
      <w:r w:rsidR="00C46541" w:rsidRPr="003D1E07">
        <w:instrText xml:space="preserve"> XE "</w:instrText>
      </w:r>
      <w:r w:rsidR="00C46541" w:rsidRPr="003D1E07">
        <w:rPr>
          <w:i/>
          <w:lang w:eastAsia="en-US"/>
        </w:rPr>
        <w:instrText>Ereignis</w:instrText>
      </w:r>
      <w:r w:rsidR="00C46541" w:rsidRPr="003D1E07">
        <w:instrText xml:space="preserve">" </w:instrText>
      </w:r>
      <w:r w:rsidR="00C46541" w:rsidRPr="003D1E07">
        <w:rPr>
          <w:i/>
          <w:lang w:eastAsia="en-US"/>
        </w:rPr>
        <w:fldChar w:fldCharType="end"/>
      </w:r>
      <w:r w:rsidR="08C24589" w:rsidRPr="003D1E07">
        <w:rPr>
          <w:lang w:eastAsia="en-US"/>
        </w:rPr>
        <w:t xml:space="preserve">. </w:t>
      </w:r>
      <w:r w:rsidR="00522E91" w:rsidRPr="003D1E07">
        <w:rPr>
          <w:lang w:eastAsia="en-US"/>
        </w:rPr>
        <w:t>Viz hermeneutické „</w:t>
      </w:r>
      <w:r w:rsidR="00522E91" w:rsidRPr="003D1E07">
        <w:rPr>
          <w:i/>
          <w:lang w:eastAsia="en-US"/>
        </w:rPr>
        <w:t>Wie</w:t>
      </w:r>
      <w:r w:rsidR="00522E91" w:rsidRPr="003D1E07">
        <w:rPr>
          <w:lang w:eastAsia="en-US"/>
        </w:rPr>
        <w:t xml:space="preserve">“ podané v první kapitole. </w:t>
      </w:r>
      <w:r w:rsidR="08C24589" w:rsidRPr="003D1E07">
        <w:rPr>
          <w:lang w:eastAsia="en-US"/>
        </w:rPr>
        <w:t>Tuto d</w:t>
      </w:r>
      <w:r w:rsidR="00DD08B4" w:rsidRPr="003D1E07">
        <w:rPr>
          <w:lang w:eastAsia="en-US"/>
        </w:rPr>
        <w:t xml:space="preserve">vojí podobu </w:t>
      </w:r>
      <w:r w:rsidR="00DD08B4" w:rsidRPr="003D1E07">
        <w:rPr>
          <w:lang w:eastAsia="en-US"/>
        </w:rPr>
        <w:lastRenderedPageBreak/>
        <w:t xml:space="preserve">nasvícení jsoucna </w:t>
      </w:r>
      <w:r w:rsidR="0802450E" w:rsidRPr="003D1E07">
        <w:rPr>
          <w:lang w:eastAsia="en-US"/>
        </w:rPr>
        <w:t xml:space="preserve">od pythické jeskyně </w:t>
      </w:r>
      <w:r w:rsidR="00DD08B4" w:rsidRPr="003D1E07">
        <w:rPr>
          <w:lang w:eastAsia="en-US"/>
        </w:rPr>
        <w:t xml:space="preserve">nebo </w:t>
      </w:r>
      <w:r w:rsidR="0802450E" w:rsidRPr="003D1E07">
        <w:rPr>
          <w:lang w:eastAsia="en-US"/>
        </w:rPr>
        <w:t xml:space="preserve">od </w:t>
      </w:r>
      <w:r w:rsidR="08E61E5A" w:rsidRPr="003D1E07">
        <w:rPr>
          <w:lang w:eastAsia="en-US"/>
        </w:rPr>
        <w:t xml:space="preserve">platonské </w:t>
      </w:r>
      <w:r w:rsidR="0802450E" w:rsidRPr="003D1E07">
        <w:rPr>
          <w:lang w:eastAsia="en-US"/>
        </w:rPr>
        <w:t>ideje</w:t>
      </w:r>
      <w:r w:rsidR="08E776A4" w:rsidRPr="003D1E07">
        <w:rPr>
          <w:lang w:eastAsia="en-US"/>
        </w:rPr>
        <w:t xml:space="preserve"> budou analyzovat následující kapito</w:t>
      </w:r>
      <w:r w:rsidR="080F520C" w:rsidRPr="003D1E07">
        <w:rPr>
          <w:lang w:eastAsia="en-US"/>
        </w:rPr>
        <w:t>ly</w:t>
      </w:r>
      <w:r w:rsidR="08A506BA" w:rsidRPr="003D1E07">
        <w:rPr>
          <w:lang w:eastAsia="en-US"/>
        </w:rPr>
        <w:t>.</w:t>
      </w:r>
      <w:r w:rsidR="08286572" w:rsidRPr="003D1E07">
        <w:rPr>
          <w:lang w:eastAsia="en-US"/>
        </w:rPr>
        <w:t xml:space="preserve"> </w:t>
      </w:r>
      <w:r w:rsidR="080F520C" w:rsidRPr="003D1E07">
        <w:rPr>
          <w:lang w:eastAsia="en-US"/>
        </w:rPr>
        <w:t>P</w:t>
      </w:r>
      <w:r w:rsidR="088F79E5" w:rsidRPr="003D1E07">
        <w:rPr>
          <w:lang w:eastAsia="en-US"/>
        </w:rPr>
        <w:t xml:space="preserve">ůvodní místo vědění </w:t>
      </w:r>
      <w:r w:rsidR="080F520C" w:rsidRPr="003D1E07">
        <w:rPr>
          <w:lang w:eastAsia="en-US"/>
        </w:rPr>
        <w:t>objektivního vědění moderny (</w:t>
      </w:r>
      <w:r w:rsidR="080F520C" w:rsidRPr="003D1E07">
        <w:rPr>
          <w:i/>
          <w:lang w:eastAsia="en-US"/>
        </w:rPr>
        <w:t>ortus scientiarum</w:t>
      </w:r>
      <w:r w:rsidR="080F520C" w:rsidRPr="003D1E07">
        <w:rPr>
          <w:i/>
          <w:lang w:eastAsia="en-US"/>
        </w:rPr>
        <w:fldChar w:fldCharType="begin"/>
      </w:r>
      <w:r w:rsidR="080F520C" w:rsidRPr="003D1E07">
        <w:instrText xml:space="preserve"> XE "</w:instrText>
      </w:r>
      <w:r w:rsidR="080F520C" w:rsidRPr="003D1E07">
        <w:rPr>
          <w:i/>
          <w:lang w:eastAsia="en-US"/>
        </w:rPr>
        <w:instrText>ortus scientiarum</w:instrText>
      </w:r>
      <w:r w:rsidR="080F520C" w:rsidRPr="003D1E07">
        <w:instrText xml:space="preserve">" </w:instrText>
      </w:r>
      <w:r w:rsidR="080F520C" w:rsidRPr="003D1E07">
        <w:rPr>
          <w:i/>
          <w:lang w:eastAsia="en-US"/>
        </w:rPr>
        <w:fldChar w:fldCharType="end"/>
      </w:r>
      <w:r w:rsidR="080F520C" w:rsidRPr="003D1E07">
        <w:rPr>
          <w:lang w:eastAsia="en-US"/>
        </w:rPr>
        <w:t xml:space="preserve">) </w:t>
      </w:r>
      <w:r w:rsidR="088F79E5" w:rsidRPr="003D1E07">
        <w:rPr>
          <w:lang w:eastAsia="en-US"/>
        </w:rPr>
        <w:t>jsme lokalizo</w:t>
      </w:r>
      <w:r w:rsidR="08A61516" w:rsidRPr="003D1E07">
        <w:rPr>
          <w:lang w:eastAsia="en-US"/>
        </w:rPr>
        <w:t>vali do múzické dvojznačnosti He</w:t>
      </w:r>
      <w:r w:rsidR="088F79E5" w:rsidRPr="003D1E07">
        <w:rPr>
          <w:lang w:eastAsia="en-US"/>
        </w:rPr>
        <w:t xml:space="preserve">siodova </w:t>
      </w:r>
      <w:r w:rsidR="084C4BFF" w:rsidRPr="003D1E07">
        <w:rPr>
          <w:lang w:eastAsia="en-US"/>
        </w:rPr>
        <w:t xml:space="preserve">a Platonova </w:t>
      </w:r>
      <w:r w:rsidR="088F79E5" w:rsidRPr="003D1E07">
        <w:rPr>
          <w:lang w:eastAsia="en-US"/>
        </w:rPr>
        <w:t>daimonského a démonického zlatého věku</w:t>
      </w:r>
      <w:r w:rsidR="08AE23DD" w:rsidRPr="003D1E07">
        <w:rPr>
          <w:lang w:eastAsia="en-US"/>
        </w:rPr>
        <w:t xml:space="preserve"> (kap. 1)</w:t>
      </w:r>
      <w:r w:rsidR="088F79E5" w:rsidRPr="003D1E07">
        <w:rPr>
          <w:lang w:eastAsia="en-US"/>
        </w:rPr>
        <w:t xml:space="preserve">. </w:t>
      </w:r>
      <w:r w:rsidR="08286572" w:rsidRPr="003D1E07">
        <w:rPr>
          <w:lang w:eastAsia="en-US"/>
        </w:rPr>
        <w:t>Moudrost rozlišuje s Parmenidem cestu bytí a neschůdnou</w:t>
      </w:r>
      <w:r w:rsidR="08A61516" w:rsidRPr="003D1E07">
        <w:rPr>
          <w:lang w:eastAsia="en-US"/>
        </w:rPr>
        <w:t xml:space="preserve"> cestu nebytí. Buď zůstaneme v d</w:t>
      </w:r>
      <w:r w:rsidR="08286572" w:rsidRPr="003D1E07">
        <w:rPr>
          <w:lang w:eastAsia="en-US"/>
        </w:rPr>
        <w:t>elfské jeskyni a jako moudří lidé popisujeme tragické dění bytí a celku jsoucna v myšlení Západu. Nebo vyjdeme na pohádkové slunce intelektu a inscenujeme s</w:t>
      </w:r>
      <w:r w:rsidR="0867076D" w:rsidRPr="003D1E07">
        <w:rPr>
          <w:lang w:eastAsia="en-US"/>
        </w:rPr>
        <w:t xml:space="preserve">e slepými </w:t>
      </w:r>
      <w:r w:rsidR="08286572" w:rsidRPr="003D1E07">
        <w:rPr>
          <w:lang w:eastAsia="en-US"/>
        </w:rPr>
        <w:t> akademickými ilumináty moderní tragikomedii řízenou Fúriemi.</w:t>
      </w:r>
      <w:r w:rsidR="08F535D2" w:rsidRPr="003D1E07">
        <w:rPr>
          <w:lang w:eastAsia="en-US"/>
        </w:rPr>
        <w:t xml:space="preserve"> </w:t>
      </w:r>
      <w:r w:rsidR="08BF7E3E" w:rsidRPr="003D1E07">
        <w:rPr>
          <w:lang w:eastAsia="en-US"/>
        </w:rPr>
        <w:t xml:space="preserve">Výklad musí </w:t>
      </w:r>
      <w:r w:rsidR="08BF7E3E" w:rsidRPr="003D1E07">
        <w:t xml:space="preserve">provést Heideggerem požadovaný metodický obrat na cestě myšlení, o němž mluví pojednání </w:t>
      </w:r>
      <w:r w:rsidR="08BF7E3E" w:rsidRPr="003D1E07">
        <w:rPr>
          <w:i/>
        </w:rPr>
        <w:t>Das Ding</w:t>
      </w:r>
      <w:r w:rsidR="08BF7E3E" w:rsidRPr="003D1E07">
        <w:t xml:space="preserve"> (1950). </w:t>
      </w:r>
      <w:r w:rsidR="08516046" w:rsidRPr="003D1E07">
        <w:rPr>
          <w:lang w:eastAsia="en-US"/>
        </w:rPr>
        <w:t xml:space="preserve">Heidegger udělal od metafyziky krok nazpět k počátečnímu místu pravdy. Zkoumá v prvních filosofických textech místo či událost, skrze něž se pravda děje směrem od skrytého dění samotného bytí. </w:t>
      </w:r>
      <w:r w:rsidR="08CC34B6" w:rsidRPr="003D1E07">
        <w:t xml:space="preserve">Pravdivě vyložit entitu zvanou „džbán“ znamená, že objektivní poznání této věci vyložíme skrze první vědu o jsoucnu. </w:t>
      </w:r>
      <w:r w:rsidR="08A76C33" w:rsidRPr="003D1E07">
        <w:t>Bytí d</w:t>
      </w:r>
      <w:r w:rsidR="08A76C33" w:rsidRPr="003D1E07">
        <w:rPr>
          <w:lang w:eastAsia="en-US"/>
        </w:rPr>
        <w:t xml:space="preserve">žbánu se po-odkrývá v původním </w:t>
      </w:r>
      <w:r w:rsidR="08A76C33" w:rsidRPr="003D1E07">
        <w:rPr>
          <w:i/>
          <w:lang w:eastAsia="en-US"/>
        </w:rPr>
        <w:t>Lichtung</w:t>
      </w:r>
      <w:r w:rsidR="08A76C33" w:rsidRPr="003D1E07">
        <w:rPr>
          <w:i/>
        </w:rPr>
        <w:fldChar w:fldCharType="begin"/>
      </w:r>
      <w:r w:rsidR="08A76C33" w:rsidRPr="003D1E07">
        <w:instrText xml:space="preserve"> XE "</w:instrText>
      </w:r>
      <w:r w:rsidR="08A76C33" w:rsidRPr="003D1E07">
        <w:rPr>
          <w:i/>
        </w:rPr>
        <w:instrText>Lichtung</w:instrText>
      </w:r>
      <w:r w:rsidR="08A76C33" w:rsidRPr="003D1E07">
        <w:instrText xml:space="preserve">:zjevování bytí" </w:instrText>
      </w:r>
      <w:r w:rsidR="08A76C33" w:rsidRPr="003D1E07">
        <w:rPr>
          <w:i/>
        </w:rPr>
        <w:fldChar w:fldCharType="end"/>
      </w:r>
      <w:r w:rsidR="08A76C33" w:rsidRPr="003D1E07">
        <w:rPr>
          <w:lang w:eastAsia="en-US"/>
        </w:rPr>
        <w:t xml:space="preserve">. Tato věc je dána skrze zjevování pravdy jako nezakrytosti jsoucna a dokonce jako po-odkrytosti samotného bytí. </w:t>
      </w:r>
      <w:r w:rsidR="08CC34B6" w:rsidRPr="003D1E07">
        <w:t xml:space="preserve">Popis pravdivého zjevování jsoucna je tím vyložen podle původního dění pravdy. </w:t>
      </w:r>
    </w:p>
    <w:p w14:paraId="2A8FED0E" w14:textId="77777777" w:rsidR="08CC34B6" w:rsidRPr="003D1E07" w:rsidRDefault="08CC34B6" w:rsidP="08CC34B6">
      <w:pPr>
        <w:pStyle w:val="Citace"/>
        <w:rPr>
          <w:noProof/>
          <w:lang w:val="cs-CZ"/>
        </w:rPr>
      </w:pPr>
      <w:r w:rsidRPr="003D1E07">
        <w:rPr>
          <w:noProof/>
          <w:lang w:val="cs-CZ"/>
        </w:rPr>
        <w:t xml:space="preserve">„Kdy a jak přicházejí věci jako věci? Nepřicházejí </w:t>
      </w:r>
      <w:r w:rsidRPr="003D1E07">
        <w:rPr>
          <w:i/>
          <w:noProof/>
          <w:lang w:val="cs-CZ"/>
        </w:rPr>
        <w:t>skrze</w:t>
      </w:r>
      <w:r w:rsidRPr="003D1E07">
        <w:rPr>
          <w:noProof/>
          <w:lang w:val="cs-CZ"/>
        </w:rPr>
        <w:t xml:space="preserve"> subjektivní dovednost člověka. Ale nepřicházejí ani </w:t>
      </w:r>
      <w:r w:rsidRPr="003D1E07">
        <w:rPr>
          <w:i/>
          <w:noProof/>
          <w:lang w:val="cs-CZ"/>
        </w:rPr>
        <w:t>bez</w:t>
      </w:r>
      <w:r w:rsidRPr="003D1E07">
        <w:rPr>
          <w:noProof/>
          <w:lang w:val="cs-CZ"/>
        </w:rPr>
        <w:t xml:space="preserve"> bdělosti smrtelníků. První krok k této bdělosti je krok zpět z pouze kladoucího, t.j. vysvětlujícího myšlení, k myšlení vstřícnému vůči dění počátku.“ </w:t>
      </w:r>
      <w:r w:rsidRPr="003D1E07">
        <w:rPr>
          <w:rStyle w:val="Znakapoznpodarou"/>
          <w:noProof/>
          <w:lang w:val="cs-CZ"/>
        </w:rPr>
        <w:footnoteReference w:id="27"/>
      </w:r>
      <w:r w:rsidRPr="003D1E07">
        <w:rPr>
          <w:noProof/>
          <w:lang w:val="cs-CZ"/>
        </w:rPr>
        <w:t xml:space="preserve"> </w:t>
      </w:r>
    </w:p>
    <w:p w14:paraId="65426155" w14:textId="77777777" w:rsidR="0042437D" w:rsidRDefault="081A792D" w:rsidP="003B09C2">
      <w:r w:rsidRPr="003D1E07">
        <w:rPr>
          <w:lang w:eastAsia="en-US"/>
        </w:rPr>
        <w:t xml:space="preserve">Heidegger provádí filosofickou anabázi k počátku, aby nezastřeně vyložil metafyzické a vědecké pojetí pravdy. </w:t>
      </w:r>
      <w:r w:rsidR="08CC34B6" w:rsidRPr="003D1E07">
        <w:t xml:space="preserve">Hermeneutika objektivity </w:t>
      </w:r>
      <w:r w:rsidR="08E63886" w:rsidRPr="003D1E07">
        <w:t xml:space="preserve">vedená apollinským mystériem </w:t>
      </w:r>
      <w:r w:rsidR="08CC34B6" w:rsidRPr="003D1E07">
        <w:t>musí provést tuto fundamentální operaci myšlení vstřícného vůči po</w:t>
      </w:r>
      <w:r w:rsidR="08CC34B6" w:rsidRPr="003D1E07">
        <w:noBreakHyphen/>
        <w:t>odkrytému bytí jsoucna (</w:t>
      </w:r>
      <w:r w:rsidR="08CC34B6" w:rsidRPr="003D1E07">
        <w:rPr>
          <w:i/>
        </w:rPr>
        <w:t>das andenkende Denken</w:t>
      </w:r>
      <w:r w:rsidR="08CC34B6" w:rsidRPr="003D1E07">
        <w:rPr>
          <w:i/>
        </w:rPr>
        <w:fldChar w:fldCharType="begin"/>
      </w:r>
      <w:r w:rsidR="08CC34B6" w:rsidRPr="003D1E07">
        <w:instrText xml:space="preserve"> XE "</w:instrText>
      </w:r>
      <w:r w:rsidR="08CC34B6" w:rsidRPr="003D1E07">
        <w:rPr>
          <w:i/>
        </w:rPr>
        <w:instrText>das andenkende Denken</w:instrText>
      </w:r>
      <w:r w:rsidR="08CC34B6" w:rsidRPr="003D1E07">
        <w:instrText xml:space="preserve">" </w:instrText>
      </w:r>
      <w:r w:rsidR="08CC34B6" w:rsidRPr="003D1E07">
        <w:rPr>
          <w:i/>
        </w:rPr>
        <w:fldChar w:fldCharType="end"/>
      </w:r>
      <w:r w:rsidR="08CC34B6" w:rsidRPr="003D1E07">
        <w:t xml:space="preserve">). </w:t>
      </w:r>
      <w:r w:rsidR="08CE0ADD" w:rsidRPr="003D1E07">
        <w:t xml:space="preserve">Důležitá pasáž v </w:t>
      </w:r>
      <w:r w:rsidR="08CE0ADD" w:rsidRPr="003D1E07">
        <w:rPr>
          <w:i/>
        </w:rPr>
        <w:t>Beiträge zur Philosophie</w:t>
      </w:r>
      <w:r w:rsidR="08CE0ADD" w:rsidRPr="003D1E07">
        <w:t xml:space="preserve"> odděluje objektivní vědu od původního filosofického zkoumání bytí daného krokem zpět, k původní události bytí určující myšlení.</w:t>
      </w:r>
      <w:r w:rsidR="08CE0ADD" w:rsidRPr="003D1E07">
        <w:rPr>
          <w:rStyle w:val="Znakapoznpodarou"/>
        </w:rPr>
        <w:footnoteReference w:id="28"/>
      </w:r>
      <w:r w:rsidR="08CE0ADD" w:rsidRPr="003D1E07">
        <w:t xml:space="preserve"> Hermeneutika dělá krok zpět k podstatě metafyziky, protože není ani moderní, ani objektivní. </w:t>
      </w:r>
      <w:r w:rsidR="08E876BD" w:rsidRPr="003D1E07">
        <w:t>Objektivní věda nemůže podle Heideg</w:t>
      </w:r>
      <w:r w:rsidR="086A68DD" w:rsidRPr="003D1E07">
        <w:t>g</w:t>
      </w:r>
      <w:r w:rsidR="08E876BD" w:rsidRPr="003D1E07">
        <w:t xml:space="preserve">era myslet bytí jsoucna v jeho původním </w:t>
      </w:r>
      <w:r w:rsidR="08E876BD" w:rsidRPr="003D1E07">
        <w:lastRenderedPageBreak/>
        <w:t>významu, protože nemyslí v původním archaickém smyslu.</w:t>
      </w:r>
      <w:r w:rsidR="08E876BD" w:rsidRPr="003D1E07">
        <w:rPr>
          <w:rStyle w:val="Znakapoznpodarou"/>
        </w:rPr>
        <w:footnoteReference w:id="29"/>
      </w:r>
      <w:r w:rsidR="08E876BD" w:rsidRPr="003D1E07">
        <w:t xml:space="preserve"> To tvrdí zamyšlení o archaickém myšlení </w:t>
      </w:r>
      <w:r w:rsidR="081504C2" w:rsidRPr="003D1E07">
        <w:t xml:space="preserve">pythicky </w:t>
      </w:r>
      <w:r w:rsidR="08E876BD" w:rsidRPr="003D1E07">
        <w:t xml:space="preserve">zvané </w:t>
      </w:r>
      <w:r w:rsidR="08E876BD" w:rsidRPr="003D1E07">
        <w:rPr>
          <w:i/>
        </w:rPr>
        <w:t>Was heisst denken</w:t>
      </w:r>
      <w:r w:rsidR="08E876BD" w:rsidRPr="003D1E07">
        <w:t xml:space="preserve">. </w:t>
      </w:r>
      <w:r w:rsidR="08E2642F" w:rsidRPr="003D1E07">
        <w:t xml:space="preserve">Iniciativní myšlení vedené principiální pravdou počátku je oslovené původní událostí bytí. </w:t>
      </w:r>
      <w:r w:rsidR="08B00146" w:rsidRPr="003D1E07">
        <w:t xml:space="preserve">Hermeneutika </w:t>
      </w:r>
      <w:r w:rsidR="083B4451" w:rsidRPr="003D1E07">
        <w:t>sledující cestu Sokratovy moudrost</w:t>
      </w:r>
      <w:r w:rsidR="08422BF7" w:rsidRPr="003D1E07">
        <w:t>i</w:t>
      </w:r>
      <w:r w:rsidR="083B4451" w:rsidRPr="003D1E07">
        <w:t xml:space="preserve"> </w:t>
      </w:r>
      <w:r w:rsidR="0878495B" w:rsidRPr="003D1E07">
        <w:t>vykládá</w:t>
      </w:r>
      <w:r w:rsidR="08B00146" w:rsidRPr="003D1E07">
        <w:t xml:space="preserve"> skrytou sémantiku zakládajícího počátku, který oslovuje vstřícné myšlení. </w:t>
      </w:r>
      <w:r w:rsidR="008B5C79" w:rsidRPr="003D1E07">
        <w:t>A</w:t>
      </w:r>
      <w:r w:rsidR="08420696" w:rsidRPr="003D1E07">
        <w:t xml:space="preserve">rchaické </w:t>
      </w:r>
      <w:r w:rsidR="008B5C79" w:rsidRPr="003D1E07">
        <w:t xml:space="preserve">myšlení Sokrata se odlišilo </w:t>
      </w:r>
      <w:r w:rsidR="08420696" w:rsidRPr="003D1E07">
        <w:t xml:space="preserve">od </w:t>
      </w:r>
      <w:r w:rsidR="008B5C79" w:rsidRPr="003D1E07">
        <w:t xml:space="preserve">moderní </w:t>
      </w:r>
      <w:r w:rsidR="08420696" w:rsidRPr="003D1E07">
        <w:t>mytologie akademické zlaté athénské mládeže pod vedením Platona</w:t>
      </w:r>
      <w:r w:rsidR="008B5C79" w:rsidRPr="003D1E07">
        <w:t xml:space="preserve">. </w:t>
      </w:r>
      <w:r w:rsidR="008D0070" w:rsidRPr="003D1E07">
        <w:t xml:space="preserve">Tímto způsobem se ze skutečného Sokrata stal absurdní moderní komik. </w:t>
      </w:r>
      <w:r w:rsidR="008B5C79" w:rsidRPr="003D1E07">
        <w:t xml:space="preserve">Moderna </w:t>
      </w:r>
      <w:r w:rsidR="00314C18" w:rsidRPr="003D1E07">
        <w:t xml:space="preserve">odmítla </w:t>
      </w:r>
      <w:r w:rsidR="008B5C79" w:rsidRPr="003D1E07">
        <w:t xml:space="preserve">myšlení vstřícné delfskému Apollonovi a tím </w:t>
      </w:r>
      <w:r w:rsidR="08420696" w:rsidRPr="003D1E07">
        <w:t>po smrti Sokrata nasto</w:t>
      </w:r>
      <w:r w:rsidR="08A55500" w:rsidRPr="003D1E07">
        <w:t xml:space="preserve">lila zlatý věk </w:t>
      </w:r>
      <w:r w:rsidR="008B5C79" w:rsidRPr="003D1E07">
        <w:t>moderního ne</w:t>
      </w:r>
      <w:r w:rsidR="08A55500" w:rsidRPr="003D1E07">
        <w:t>ro</w:t>
      </w:r>
      <w:r w:rsidR="08420696" w:rsidRPr="003D1E07">
        <w:t xml:space="preserve">zumu. </w:t>
      </w:r>
      <w:r w:rsidR="08A55500" w:rsidRPr="003D1E07">
        <w:t>Ukázali jsme, že současní tragikové jako Euripides</w:t>
      </w:r>
      <w:r w:rsidR="08A55500" w:rsidRPr="003D1E07">
        <w:fldChar w:fldCharType="begin"/>
      </w:r>
      <w:r w:rsidR="08A55500" w:rsidRPr="003D1E07">
        <w:instrText xml:space="preserve"> XE "Euripides" </w:instrText>
      </w:r>
      <w:r w:rsidR="08A55500" w:rsidRPr="003D1E07">
        <w:fldChar w:fldCharType="end"/>
      </w:r>
      <w:r w:rsidR="08A55500" w:rsidRPr="003D1E07">
        <w:t xml:space="preserve"> a Sofokles</w:t>
      </w:r>
      <w:r w:rsidR="08A55500" w:rsidRPr="003D1E07">
        <w:fldChar w:fldCharType="begin"/>
      </w:r>
      <w:r w:rsidR="08A55500" w:rsidRPr="003D1E07">
        <w:instrText xml:space="preserve"> XE "Sofokles" </w:instrText>
      </w:r>
      <w:r w:rsidR="08A55500" w:rsidRPr="003D1E07">
        <w:fldChar w:fldCharType="end"/>
      </w:r>
      <w:r w:rsidR="08025703" w:rsidRPr="003D1E07">
        <w:t xml:space="preserve"> </w:t>
      </w:r>
      <w:r w:rsidR="08A55500" w:rsidRPr="003D1E07">
        <w:t>patřili díky obraně Sokratovy archaické pravdy k</w:t>
      </w:r>
      <w:r w:rsidR="08025703" w:rsidRPr="003D1E07">
        <w:t xml:space="preserve"> zásadním kritikům tohoto komického sboru </w:t>
      </w:r>
      <w:r w:rsidR="08A55500" w:rsidRPr="003D1E07">
        <w:t>athénských intelektuálů</w:t>
      </w:r>
      <w:r w:rsidR="080F11B6" w:rsidRPr="003D1E07">
        <w:t xml:space="preserve"> a sofistů (</w:t>
      </w:r>
      <w:r w:rsidR="00AA674C">
        <w:rPr>
          <w:i/>
        </w:rPr>
        <w:t>M</w:t>
      </w:r>
      <w:r w:rsidR="080F11B6" w:rsidRPr="003D1E07">
        <w:rPr>
          <w:i/>
        </w:rPr>
        <w:t>oderni</w:t>
      </w:r>
      <w:r w:rsidR="080F11B6" w:rsidRPr="003D1E07">
        <w:t>)</w:t>
      </w:r>
      <w:r w:rsidR="08A55500" w:rsidRPr="003D1E07">
        <w:t xml:space="preserve">. </w:t>
      </w:r>
      <w:r w:rsidR="08025703" w:rsidRPr="003D1E07">
        <w:t>O</w:t>
      </w:r>
      <w:r w:rsidR="08BD09E8" w:rsidRPr="003D1E07">
        <w:t xml:space="preserve">bjektivní myšlení není ze své podstaty </w:t>
      </w:r>
      <w:r w:rsidR="00A83106">
        <w:t xml:space="preserve">originální </w:t>
      </w:r>
      <w:r w:rsidR="08BD09E8" w:rsidRPr="003D1E07">
        <w:t xml:space="preserve">a tragické, protože nevidí múzickou pravdu a nepravdu svého počátku. </w:t>
      </w:r>
      <w:r w:rsidR="08422BF7" w:rsidRPr="003D1E07">
        <w:t>Zatmění původní pythické zjevnosti bytí (</w:t>
      </w:r>
      <w:r w:rsidR="08422BF7" w:rsidRPr="003D1E07">
        <w:rPr>
          <w:i/>
        </w:rPr>
        <w:t>a/létheia</w:t>
      </w:r>
      <w:r w:rsidR="08422BF7" w:rsidRPr="003D1E07">
        <w:t>) způsobilo, že v epoše metafyziky je bytí manifestované pouze v modu bytí</w:t>
      </w:r>
      <w:r w:rsidR="088E1BC5" w:rsidRPr="003D1E07">
        <w:t xml:space="preserve"> substance</w:t>
      </w:r>
      <w:r w:rsidR="08422BF7" w:rsidRPr="003D1E07">
        <w:t xml:space="preserve">. Tento náhled </w:t>
      </w:r>
      <w:r w:rsidR="088E1BC5" w:rsidRPr="003D1E07">
        <w:t xml:space="preserve">na celek jsoucen </w:t>
      </w:r>
      <w:r w:rsidR="08422BF7" w:rsidRPr="003D1E07">
        <w:t xml:space="preserve">změnil původní dění pravdy </w:t>
      </w:r>
      <w:r w:rsidR="08F50CBA" w:rsidRPr="003D1E07">
        <w:t xml:space="preserve">dané v první filosofii </w:t>
      </w:r>
      <w:r w:rsidR="08422BF7" w:rsidRPr="003D1E07">
        <w:t>na me</w:t>
      </w:r>
      <w:r w:rsidR="088E1BC5" w:rsidRPr="003D1E07">
        <w:t>tafyzické vidění jsoucna v modu platonské nezastřenosti ideje (</w:t>
      </w:r>
      <w:r w:rsidR="088E1BC5" w:rsidRPr="003D1E07">
        <w:rPr>
          <w:i/>
        </w:rPr>
        <w:t>alétheia</w:t>
      </w:r>
      <w:r w:rsidR="088E1BC5" w:rsidRPr="003D1E07">
        <w:t>). Aristotelská technika logické výpovědi změnila pravdu ideje na iterativní a proto verifikovatelné postupy logiky a vědy (</w:t>
      </w:r>
      <w:r w:rsidR="088E1BC5" w:rsidRPr="003D1E07">
        <w:rPr>
          <w:i/>
        </w:rPr>
        <w:t>veritas</w:t>
      </w:r>
      <w:r w:rsidR="088E1BC5" w:rsidRPr="003D1E07">
        <w:t xml:space="preserve">). </w:t>
      </w:r>
      <w:r w:rsidR="08821BA3" w:rsidRPr="003D1E07">
        <w:t xml:space="preserve">Posloupnost </w:t>
      </w:r>
      <w:r w:rsidR="08737BFF" w:rsidRPr="003D1E07">
        <w:t xml:space="preserve">výše uvedených </w:t>
      </w:r>
      <w:r w:rsidR="08821BA3" w:rsidRPr="003D1E07">
        <w:t xml:space="preserve">třech figur pravdy </w:t>
      </w:r>
      <w:r w:rsidR="08D51EB7" w:rsidRPr="003D1E07">
        <w:t xml:space="preserve">v modu dějinnosti, dějin a historie </w:t>
      </w:r>
      <w:r w:rsidR="08821BA3" w:rsidRPr="003D1E07">
        <w:t>má apollinsky-sémantický charakter</w:t>
      </w:r>
      <w:r w:rsidR="08267E7A" w:rsidRPr="003D1E07">
        <w:t xml:space="preserve"> a proto jej řídí pythická nutnost </w:t>
      </w:r>
      <w:r w:rsidR="084F7AD5" w:rsidRPr="003D1E07">
        <w:t xml:space="preserve">pravdy dané </w:t>
      </w:r>
      <w:r w:rsidR="08267E7A" w:rsidRPr="003D1E07">
        <w:t>Delf</w:t>
      </w:r>
      <w:r w:rsidR="084F7AD5" w:rsidRPr="003D1E07">
        <w:t>ami a Múzami</w:t>
      </w:r>
      <w:r w:rsidR="08821BA3" w:rsidRPr="003D1E07">
        <w:t xml:space="preserve">. </w:t>
      </w:r>
      <w:r w:rsidR="08AE2D74" w:rsidRPr="003D1E07">
        <w:t>Apokalypticky a m</w:t>
      </w:r>
      <w:r w:rsidR="08B417A3" w:rsidRPr="003D1E07">
        <w:t>etodologicky pravdivý v</w:t>
      </w:r>
      <w:r w:rsidR="08422BF7" w:rsidRPr="003D1E07">
        <w:t xml:space="preserve">ýklad musí </w:t>
      </w:r>
      <w:r w:rsidR="08B417A3" w:rsidRPr="003D1E07">
        <w:t xml:space="preserve">zůstat na cestě dané působením </w:t>
      </w:r>
      <w:r w:rsidR="08781F30" w:rsidRPr="003D1E07">
        <w:t>těcht</w:t>
      </w:r>
      <w:r w:rsidR="08BF0291" w:rsidRPr="003D1E07">
        <w:t>o</w:t>
      </w:r>
      <w:r w:rsidR="08781F30" w:rsidRPr="003D1E07">
        <w:t xml:space="preserve"> </w:t>
      </w:r>
      <w:r w:rsidR="08BF0291" w:rsidRPr="003D1E07">
        <w:t>dějinných dějů</w:t>
      </w:r>
      <w:r w:rsidR="08781F30" w:rsidRPr="003D1E07">
        <w:t xml:space="preserve">, které Heidegger vyjádřil </w:t>
      </w:r>
      <w:r w:rsidR="00D248AB">
        <w:t>skrze termín</w:t>
      </w:r>
      <w:r w:rsidR="08781F30" w:rsidRPr="003D1E07">
        <w:t xml:space="preserve"> </w:t>
      </w:r>
      <w:r w:rsidR="08C12DFA" w:rsidRPr="003D1E07">
        <w:rPr>
          <w:i/>
        </w:rPr>
        <w:t>Anfang</w:t>
      </w:r>
      <w:r w:rsidR="08B417A3" w:rsidRPr="003D1E07">
        <w:t xml:space="preserve">. </w:t>
      </w:r>
      <w:r w:rsidR="081B45AB" w:rsidRPr="003D1E07">
        <w:t xml:space="preserve">Substance </w:t>
      </w:r>
      <w:r w:rsidR="08511038" w:rsidRPr="003D1E07">
        <w:t xml:space="preserve">v modu </w:t>
      </w:r>
      <w:r w:rsidR="08511038" w:rsidRPr="003D1E07">
        <w:rPr>
          <w:i/>
        </w:rPr>
        <w:t>a/létheia</w:t>
      </w:r>
      <w:r w:rsidR="08511038" w:rsidRPr="003D1E07">
        <w:rPr>
          <w:i/>
        </w:rPr>
        <w:fldChar w:fldCharType="begin"/>
      </w:r>
      <w:r w:rsidR="08511038" w:rsidRPr="003D1E07">
        <w:instrText xml:space="preserve"> XE "pravda:</w:instrText>
      </w:r>
      <w:r w:rsidR="08511038" w:rsidRPr="003D1E07">
        <w:rPr>
          <w:i/>
          <w:lang w:eastAsia="en-US"/>
        </w:rPr>
        <w:instrText>a/létheia</w:instrText>
      </w:r>
      <w:r w:rsidR="08511038" w:rsidRPr="003D1E07">
        <w:instrText xml:space="preserve">" </w:instrText>
      </w:r>
      <w:r w:rsidR="08511038" w:rsidRPr="003D1E07">
        <w:rPr>
          <w:i/>
        </w:rPr>
        <w:fldChar w:fldCharType="end"/>
      </w:r>
      <w:r w:rsidR="08511038" w:rsidRPr="003D1E07">
        <w:t xml:space="preserve"> bytuje v původním poli </w:t>
      </w:r>
      <w:r w:rsidR="08511038" w:rsidRPr="003D1E07">
        <w:rPr>
          <w:i/>
        </w:rPr>
        <w:t>Lichtung</w:t>
      </w:r>
      <w:r w:rsidR="08511038" w:rsidRPr="003D1E07">
        <w:t xml:space="preserve">, odkud je možné </w:t>
      </w:r>
      <w:r w:rsidR="088B6198" w:rsidRPr="003D1E07">
        <w:t xml:space="preserve">vyložit </w:t>
      </w:r>
      <w:r w:rsidR="081B45AB" w:rsidRPr="003D1E07">
        <w:t xml:space="preserve">dějinnost </w:t>
      </w:r>
      <w:r w:rsidR="088B6198" w:rsidRPr="003D1E07">
        <w:t>počátku</w:t>
      </w:r>
      <w:r w:rsidR="08511038" w:rsidRPr="003D1E07">
        <w:t xml:space="preserve">. </w:t>
      </w:r>
      <w:r w:rsidR="08556472" w:rsidRPr="003D1E07">
        <w:t xml:space="preserve">Iniciativu hermeneutické archeologie určuje principiální </w:t>
      </w:r>
      <w:r w:rsidR="08556472" w:rsidRPr="003D1E07">
        <w:rPr>
          <w:i/>
        </w:rPr>
        <w:t>arché</w:t>
      </w:r>
      <w:r w:rsidR="08556472" w:rsidRPr="003D1E07">
        <w:t xml:space="preserve"> samotného bytí. Tato původní múzická síla pravdy a klamu zakládá všechny dějinné možnosti </w:t>
      </w:r>
      <w:r w:rsidR="083045AD" w:rsidRPr="003D1E07">
        <w:t xml:space="preserve">filosofického </w:t>
      </w:r>
      <w:r w:rsidR="08556472" w:rsidRPr="003D1E07">
        <w:t>myšlení</w:t>
      </w:r>
      <w:r w:rsidR="087446F9" w:rsidRPr="003D1E07">
        <w:t xml:space="preserve">, které hledá </w:t>
      </w:r>
      <w:r w:rsidR="00182B7E">
        <w:t>v př</w:t>
      </w:r>
      <w:r w:rsidR="0894611E" w:rsidRPr="003D1E07">
        <w:t>ípadě první</w:t>
      </w:r>
      <w:r w:rsidR="00182B7E">
        <w:t>ch</w:t>
      </w:r>
      <w:r w:rsidR="0894611E" w:rsidRPr="003D1E07">
        <w:t xml:space="preserve"> myslitelů </w:t>
      </w:r>
      <w:r w:rsidR="087446F9" w:rsidRPr="003D1E07">
        <w:t>pravdu bytí a pak už jen správnost substance</w:t>
      </w:r>
      <w:r w:rsidR="08556472" w:rsidRPr="003D1E07">
        <w:t xml:space="preserve">. Působení skrytého počátku je vyloženo ve vstřícném myšlení, které nemůže zůstat na úrovni metafyziky. </w:t>
      </w:r>
      <w:r w:rsidR="08F008AF" w:rsidRPr="003D1E07">
        <w:t>Tragická moudrost je pravdivá v archaickém význam</w:t>
      </w:r>
      <w:r w:rsidR="088B6198" w:rsidRPr="003D1E07">
        <w:t>u zjevnosti bytí skrze archegetickou formu</w:t>
      </w:r>
      <w:r w:rsidR="08F008AF" w:rsidRPr="003D1E07">
        <w:t xml:space="preserve"> dativ</w:t>
      </w:r>
      <w:r w:rsidR="088B6198" w:rsidRPr="003D1E07">
        <w:t>u</w:t>
      </w:r>
      <w:r w:rsidR="08CF49CB" w:rsidRPr="003D1E07">
        <w:t xml:space="preserve"> (</w:t>
      </w:r>
      <w:r w:rsidR="08CF49CB" w:rsidRPr="003D1E07">
        <w:rPr>
          <w:i/>
        </w:rPr>
        <w:t xml:space="preserve">dativus </w:t>
      </w:r>
      <w:r w:rsidR="08EC3D5D" w:rsidRPr="003D1E07">
        <w:rPr>
          <w:i/>
        </w:rPr>
        <w:t>archegeticus</w:t>
      </w:r>
      <w:r w:rsidR="08FC1531" w:rsidRPr="003D1E07">
        <w:rPr>
          <w:i/>
        </w:rPr>
        <w:fldChar w:fldCharType="begin"/>
      </w:r>
      <w:r w:rsidR="08FC1531" w:rsidRPr="003D1E07">
        <w:instrText xml:space="preserve"> XE "</w:instrText>
      </w:r>
      <w:r w:rsidR="08FC1531" w:rsidRPr="003D1E07">
        <w:rPr>
          <w:i/>
        </w:rPr>
        <w:instrText xml:space="preserve">dativus </w:instrText>
      </w:r>
      <w:r w:rsidR="08EC3D5D" w:rsidRPr="003D1E07">
        <w:rPr>
          <w:i/>
        </w:rPr>
        <w:instrText>archegeticus</w:instrText>
      </w:r>
      <w:r w:rsidR="08FC1531" w:rsidRPr="003D1E07">
        <w:instrText xml:space="preserve">" </w:instrText>
      </w:r>
      <w:r w:rsidR="08FC1531" w:rsidRPr="003D1E07">
        <w:rPr>
          <w:i/>
        </w:rPr>
        <w:fldChar w:fldCharType="end"/>
      </w:r>
      <w:r w:rsidR="08CF49CB" w:rsidRPr="003D1E07">
        <w:t>)</w:t>
      </w:r>
      <w:r w:rsidR="089146AF" w:rsidRPr="003D1E07">
        <w:t>. Její určující podoba p</w:t>
      </w:r>
      <w:r w:rsidR="083E4847" w:rsidRPr="003D1E07">
        <w:t>ro archaickou hermeneutiku objek</w:t>
      </w:r>
      <w:r w:rsidR="089146AF" w:rsidRPr="003D1E07">
        <w:t>tiv</w:t>
      </w:r>
      <w:r w:rsidR="083E4847" w:rsidRPr="003D1E07">
        <w:t>i</w:t>
      </w:r>
      <w:r w:rsidR="089146AF" w:rsidRPr="003D1E07">
        <w:t xml:space="preserve">ty </w:t>
      </w:r>
      <w:r w:rsidR="088B6198" w:rsidRPr="003D1E07">
        <w:t>je dána sémantikou mystérií</w:t>
      </w:r>
      <w:r w:rsidR="08172118" w:rsidRPr="003D1E07">
        <w:t xml:space="preserve"> a výzvou první filosofie</w:t>
      </w:r>
      <w:r w:rsidR="089E654B" w:rsidRPr="003D1E07">
        <w:t xml:space="preserve"> ukončené Sokratem</w:t>
      </w:r>
      <w:r w:rsidR="08F008AF" w:rsidRPr="003D1E07">
        <w:t xml:space="preserve">. </w:t>
      </w:r>
      <w:r w:rsidR="08556472" w:rsidRPr="003D1E07">
        <w:t xml:space="preserve">Tím je dáno principiální </w:t>
      </w:r>
      <w:r w:rsidR="08556472" w:rsidRPr="003D1E07">
        <w:lastRenderedPageBreak/>
        <w:t>místo a iniciativní způsob myšlení moudrého s</w:t>
      </w:r>
      <w:r w:rsidR="08291286" w:rsidRPr="003D1E07">
        <w:t>mrtelníka</w:t>
      </w:r>
      <w:r w:rsidR="08556472" w:rsidRPr="003D1E07">
        <w:rPr>
          <w:i/>
        </w:rPr>
        <w:fldChar w:fldCharType="begin"/>
      </w:r>
      <w:r w:rsidR="08556472" w:rsidRPr="003D1E07">
        <w:instrText xml:space="preserve"> XE "hermeneutika:</w:instrText>
      </w:r>
      <w:r w:rsidR="08556472" w:rsidRPr="003D1E07">
        <w:rPr>
          <w:i/>
        </w:rPr>
        <w:instrText>Da-sein</w:instrText>
      </w:r>
      <w:r w:rsidR="08556472" w:rsidRPr="003D1E07">
        <w:instrText xml:space="preserve">" </w:instrText>
      </w:r>
      <w:r w:rsidR="08556472" w:rsidRPr="003D1E07">
        <w:rPr>
          <w:i/>
        </w:rPr>
        <w:fldChar w:fldCharType="end"/>
      </w:r>
      <w:r w:rsidR="08556472" w:rsidRPr="003D1E07">
        <w:t xml:space="preserve">. </w:t>
      </w:r>
      <w:r w:rsidR="08AA37C3" w:rsidRPr="003D1E07">
        <w:t xml:space="preserve">Sémantika bytí se změnila vinou ironie </w:t>
      </w:r>
      <w:r w:rsidR="083619B5" w:rsidRPr="003D1E07">
        <w:t xml:space="preserve">athénských </w:t>
      </w:r>
      <w:r w:rsidR="08AA37C3" w:rsidRPr="003D1E07">
        <w:t>Moderních na drama božské komedie</w:t>
      </w:r>
      <w:r w:rsidR="083619B5" w:rsidRPr="003D1E07">
        <w:t xml:space="preserve"> inscenované Múzami</w:t>
      </w:r>
      <w:r w:rsidR="08AA37C3" w:rsidRPr="003D1E07">
        <w:t xml:space="preserve">. </w:t>
      </w:r>
      <w:r w:rsidR="08D8399F" w:rsidRPr="003D1E07">
        <w:t>D</w:t>
      </w:r>
      <w:r w:rsidR="083619B5" w:rsidRPr="003D1E07">
        <w:t xml:space="preserve">alší dějství </w:t>
      </w:r>
      <w:r w:rsidR="08FE26EB" w:rsidRPr="003D1E07">
        <w:t xml:space="preserve">pod vlivem Fúrií </w:t>
      </w:r>
      <w:r w:rsidR="083619B5" w:rsidRPr="003D1E07">
        <w:t xml:space="preserve">je už utvářené jako postmoderní </w:t>
      </w:r>
      <w:r w:rsidR="08AF26C2" w:rsidRPr="003D1E07">
        <w:t>tragikomedie</w:t>
      </w:r>
      <w:r w:rsidR="08FE26EB" w:rsidRPr="003D1E07">
        <w:t xml:space="preserve"> a </w:t>
      </w:r>
      <w:r w:rsidR="0813097B" w:rsidRPr="003D1E07">
        <w:t xml:space="preserve">tragický </w:t>
      </w:r>
      <w:r w:rsidR="08FE26EB" w:rsidRPr="003D1E07">
        <w:t>nihilistický závěr</w:t>
      </w:r>
      <w:r w:rsidR="08AF26C2" w:rsidRPr="003D1E07">
        <w:t>.</w:t>
      </w:r>
      <w:r w:rsidR="002F44F6" w:rsidRPr="003D1E07">
        <w:t xml:space="preserve"> </w:t>
      </w:r>
      <w:r w:rsidR="082901E0" w:rsidRPr="003D1E07">
        <w:t xml:space="preserve">Změna </w:t>
      </w:r>
      <w:r w:rsidR="086D6060" w:rsidRPr="003D1E07">
        <w:t xml:space="preserve">archegetické sémantiky </w:t>
      </w:r>
      <w:r w:rsidR="00EA6B4A" w:rsidRPr="003D1E07">
        <w:rPr>
          <w:i/>
        </w:rPr>
        <w:t>a</w:t>
      </w:r>
      <w:r w:rsidR="082901E0" w:rsidRPr="003D1E07">
        <w:rPr>
          <w:i/>
        </w:rPr>
        <w:t>létheia</w:t>
      </w:r>
      <w:r w:rsidR="082901E0" w:rsidRPr="003D1E07">
        <w:t xml:space="preserve"> na subjektivní mytopoetiku způsobila, že Múzy vyslaly na nemoudré smrtelníky bohyně Pomsty. </w:t>
      </w:r>
      <w:r w:rsidR="08021EB9" w:rsidRPr="003D1E07">
        <w:t>Ais</w:t>
      </w:r>
      <w:r w:rsidR="00522296" w:rsidRPr="003D1E07">
        <w:t>chylos</w:t>
      </w:r>
      <w:r w:rsidR="00AF7738" w:rsidRPr="003D1E07">
        <w:t xml:space="preserve"> a dal</w:t>
      </w:r>
      <w:r w:rsidR="00522296" w:rsidRPr="003D1E07">
        <w:t>ší tragikové dobře věděli</w:t>
      </w:r>
      <w:r w:rsidR="08021EB9" w:rsidRPr="003D1E07">
        <w:t>, čeho jsou schopny temné a chaotické Erínye.</w:t>
      </w:r>
      <w:bookmarkEnd w:id="15"/>
    </w:p>
    <w:p w14:paraId="6E85EC74" w14:textId="3E9CEA6C" w:rsidR="004A06B4" w:rsidRPr="003D1E07" w:rsidRDefault="08B1709C" w:rsidP="0042437D">
      <w:pPr>
        <w:ind w:firstLine="397"/>
      </w:pPr>
      <w:r w:rsidRPr="003D1E07">
        <w:t>Tím je dán zásadní rozdíl v definici člověka podle archaické moudro</w:t>
      </w:r>
      <w:r w:rsidR="08374E9D" w:rsidRPr="003D1E07">
        <w:t>s</w:t>
      </w:r>
      <w:r w:rsidRPr="003D1E07">
        <w:t>ti nebo</w:t>
      </w:r>
      <w:r w:rsidR="088C1B3B" w:rsidRPr="003D1E07">
        <w:t xml:space="preserve"> podle metafyzického humanismu.</w:t>
      </w:r>
      <w:r w:rsidR="083F2873" w:rsidRPr="003D1E07">
        <w:t xml:space="preserve"> </w:t>
      </w:r>
      <w:r w:rsidRPr="003D1E07">
        <w:t xml:space="preserve">Smrtelník s tragickým vědomím dějinnosti </w:t>
      </w:r>
      <w:r w:rsidR="080E24F8" w:rsidRPr="003D1E07">
        <w:t xml:space="preserve">pobývá na zemi vzhledem k </w:t>
      </w:r>
      <w:r w:rsidR="08796AEA" w:rsidRPr="003D1E07">
        <w:t xml:space="preserve">temnému a tajemnému místu, kde se pravda dává v původní </w:t>
      </w:r>
      <w:r w:rsidR="08961CF1" w:rsidRPr="003D1E07">
        <w:t xml:space="preserve">dvojznačnosti </w:t>
      </w:r>
      <w:r w:rsidR="08796AEA" w:rsidRPr="003D1E07">
        <w:rPr>
          <w:i/>
        </w:rPr>
        <w:t>a/létheia</w:t>
      </w:r>
      <w:r w:rsidR="08796AEA" w:rsidRPr="003D1E07">
        <w:rPr>
          <w:i/>
        </w:rPr>
        <w:fldChar w:fldCharType="begin"/>
      </w:r>
      <w:r w:rsidR="08796AEA" w:rsidRPr="003D1E07">
        <w:instrText xml:space="preserve"> XE "</w:instrText>
      </w:r>
      <w:r w:rsidR="08796AEA" w:rsidRPr="003D1E07">
        <w:rPr>
          <w:i/>
          <w:lang w:eastAsia="en-US"/>
        </w:rPr>
        <w:instrText>a/létheia</w:instrText>
      </w:r>
      <w:r w:rsidR="08796AEA" w:rsidRPr="003D1E07">
        <w:instrText xml:space="preserve">" </w:instrText>
      </w:r>
      <w:r w:rsidR="08796AEA" w:rsidRPr="003D1E07">
        <w:rPr>
          <w:i/>
        </w:rPr>
        <w:fldChar w:fldCharType="end"/>
      </w:r>
      <w:r w:rsidR="08961CF1" w:rsidRPr="003D1E07">
        <w:t xml:space="preserve">. </w:t>
      </w:r>
      <w:r w:rsidRPr="003D1E07">
        <w:t>Tuto formu bdělé existence Heidegger tematizuje skrze bytí smrtelníka (</w:t>
      </w:r>
      <w:r w:rsidR="082227FF" w:rsidRPr="003D1E07">
        <w:rPr>
          <w:i/>
        </w:rPr>
        <w:t>Da-</w:t>
      </w:r>
      <w:r w:rsidR="08796AEA" w:rsidRPr="003D1E07">
        <w:rPr>
          <w:i/>
        </w:rPr>
        <w:t>sein</w:t>
      </w:r>
      <w:r w:rsidRPr="003D1E07">
        <w:t>)</w:t>
      </w:r>
      <w:r w:rsidR="08796AEA" w:rsidRPr="003D1E07">
        <w:rPr>
          <w:i/>
        </w:rPr>
        <w:fldChar w:fldCharType="begin"/>
      </w:r>
      <w:r w:rsidR="08796AEA" w:rsidRPr="003D1E07">
        <w:instrText xml:space="preserve"> XE "hermeneutika:</w:instrText>
      </w:r>
      <w:r w:rsidR="08796AEA" w:rsidRPr="003D1E07">
        <w:rPr>
          <w:i/>
        </w:rPr>
        <w:instrText>Da-sein</w:instrText>
      </w:r>
      <w:r w:rsidR="08796AEA" w:rsidRPr="003D1E07">
        <w:instrText xml:space="preserve">" </w:instrText>
      </w:r>
      <w:r w:rsidR="08796AEA" w:rsidRPr="003D1E07">
        <w:rPr>
          <w:i/>
        </w:rPr>
        <w:fldChar w:fldCharType="end"/>
      </w:r>
      <w:r w:rsidR="08796AEA" w:rsidRPr="003D1E07">
        <w:t xml:space="preserve">. Bytostné určení </w:t>
      </w:r>
      <w:r w:rsidR="08AA751C" w:rsidRPr="003D1E07">
        <w:t xml:space="preserve">člověka v modu </w:t>
      </w:r>
      <w:r w:rsidR="08796AEA" w:rsidRPr="003D1E07">
        <w:rPr>
          <w:i/>
        </w:rPr>
        <w:t>Da-sein</w:t>
      </w:r>
      <w:r w:rsidR="08796AEA" w:rsidRPr="003D1E07">
        <w:t xml:space="preserve"> jej definuje směrem od skrytého dění samotného bytí. Poválečné pojednání </w:t>
      </w:r>
      <w:r w:rsidR="08796AEA" w:rsidRPr="003D1E07">
        <w:rPr>
          <w:rFonts w:cs="Calibri"/>
          <w:i/>
        </w:rPr>
        <w:t>Ü</w:t>
      </w:r>
      <w:r w:rsidR="08796AEA" w:rsidRPr="003D1E07">
        <w:rPr>
          <w:i/>
        </w:rPr>
        <w:t>ber den Humanismus</w:t>
      </w:r>
      <w:r w:rsidR="08796AEA" w:rsidRPr="003D1E07">
        <w:t xml:space="preserve"> (1947) připomíná, že na dění pravdy participujeme jako strážci a uchovatelé původní pravdy bytí</w:t>
      </w:r>
      <w:r w:rsidR="08796AEA" w:rsidRPr="003D1E07">
        <w:fldChar w:fldCharType="begin"/>
      </w:r>
      <w:r w:rsidR="08796AEA" w:rsidRPr="003D1E07">
        <w:instrText xml:space="preserve"> XE "humanismus:Heideggger" </w:instrText>
      </w:r>
      <w:r w:rsidR="08796AEA" w:rsidRPr="003D1E07">
        <w:fldChar w:fldCharType="end"/>
      </w:r>
      <w:r w:rsidR="08796AEA" w:rsidRPr="003D1E07">
        <w:t xml:space="preserve">, která zakládá pohyb </w:t>
      </w:r>
      <w:r w:rsidR="00D3481D" w:rsidRPr="003D1E07">
        <w:t xml:space="preserve">zvaný </w:t>
      </w:r>
      <w:r w:rsidR="08796AEA" w:rsidRPr="003D1E07">
        <w:t>„</w:t>
      </w:r>
      <w:r w:rsidR="00D3481D" w:rsidRPr="003D1E07">
        <w:rPr>
          <w:i/>
        </w:rPr>
        <w:t>Ek-sistenz</w:t>
      </w:r>
      <w:r w:rsidR="08796AEA" w:rsidRPr="003D1E07">
        <w:t>“.</w:t>
      </w:r>
      <w:r w:rsidR="08796AEA" w:rsidRPr="003D1E07">
        <w:rPr>
          <w:rStyle w:val="Znakapoznpodarou"/>
        </w:rPr>
        <w:footnoteReference w:id="30"/>
      </w:r>
      <w:r w:rsidR="08796AEA" w:rsidRPr="003D1E07">
        <w:t xml:space="preserve"> Osud smrtelníka utvářeného dějinností</w:t>
      </w:r>
      <w:r w:rsidR="084337BD" w:rsidRPr="003D1E07">
        <w:fldChar w:fldCharType="begin"/>
      </w:r>
      <w:r w:rsidR="084337BD" w:rsidRPr="003D1E07">
        <w:instrText xml:space="preserve"> XE "dějinnost" </w:instrText>
      </w:r>
      <w:r w:rsidR="084337BD" w:rsidRPr="003D1E07">
        <w:fldChar w:fldCharType="end"/>
      </w:r>
      <w:r w:rsidR="08796AEA" w:rsidRPr="003D1E07">
        <w:t xml:space="preserve"> je otevřený </w:t>
      </w:r>
      <w:r w:rsidR="08DE6384" w:rsidRPr="003D1E07">
        <w:t xml:space="preserve">v modu </w:t>
      </w:r>
      <w:r w:rsidR="08DE6384" w:rsidRPr="003D1E07">
        <w:rPr>
          <w:i/>
        </w:rPr>
        <w:t>ipse</w:t>
      </w:r>
      <w:r w:rsidR="08883DE0" w:rsidRPr="003D1E07">
        <w:rPr>
          <w:i/>
        </w:rPr>
        <w:fldChar w:fldCharType="begin"/>
      </w:r>
      <w:r w:rsidR="08883DE0" w:rsidRPr="003D1E07">
        <w:instrText xml:space="preserve"> XE "</w:instrText>
      </w:r>
      <w:r w:rsidR="08883DE0" w:rsidRPr="003D1E07">
        <w:rPr>
          <w:i/>
        </w:rPr>
        <w:instrText>ipse</w:instrText>
      </w:r>
      <w:r w:rsidR="08883DE0" w:rsidRPr="003D1E07">
        <w:instrText xml:space="preserve">" </w:instrText>
      </w:r>
      <w:r w:rsidR="08883DE0" w:rsidRPr="003D1E07">
        <w:rPr>
          <w:i/>
        </w:rPr>
        <w:fldChar w:fldCharType="end"/>
      </w:r>
      <w:r w:rsidR="08DE6384" w:rsidRPr="003D1E07">
        <w:t xml:space="preserve"> vůči </w:t>
      </w:r>
      <w:r w:rsidR="08796AEA" w:rsidRPr="003D1E07">
        <w:t xml:space="preserve">epochálním proměnám dějin, které jsou dány skrze fundamentální proměny metafyziky. </w:t>
      </w:r>
      <w:r w:rsidR="08C0637E" w:rsidRPr="003D1E07">
        <w:t xml:space="preserve">Podobenství o jeskyni ukázalo, že vznik metafyziky přinesl zásadní skrytost původního způsobu, jak se bytí dává. Jsoucno je sice pořád určeno směrem od skryté </w:t>
      </w:r>
      <w:r w:rsidR="08C0637E" w:rsidRPr="003D1E07">
        <w:rPr>
          <w:i/>
        </w:rPr>
        <w:t>alétheia</w:t>
      </w:r>
      <w:r w:rsidR="08C1239E" w:rsidRPr="003D1E07">
        <w:t xml:space="preserve"> samotného bytí, ale archaická pravda </w:t>
      </w:r>
      <w:r w:rsidR="08C0637E" w:rsidRPr="003D1E07">
        <w:t xml:space="preserve">už bytuje </w:t>
      </w:r>
      <w:r w:rsidR="085024A4" w:rsidRPr="003D1E07">
        <w:t xml:space="preserve">po </w:t>
      </w:r>
      <w:r w:rsidR="08C64753" w:rsidRPr="003D1E07">
        <w:t xml:space="preserve">odchodu </w:t>
      </w:r>
      <w:r w:rsidR="085024A4" w:rsidRPr="003D1E07">
        <w:t xml:space="preserve">tragiků a Sokrata </w:t>
      </w:r>
      <w:r w:rsidR="08C0637E" w:rsidRPr="003D1E07">
        <w:t xml:space="preserve">v trvalé </w:t>
      </w:r>
      <w:r w:rsidR="00381EBA" w:rsidRPr="003D1E07">
        <w:rPr>
          <w:i/>
        </w:rPr>
        <w:t>léthe</w:t>
      </w:r>
      <w:r w:rsidR="08C0637E" w:rsidRPr="003D1E07">
        <w:t xml:space="preserve">. </w:t>
      </w:r>
      <w:bookmarkStart w:id="17" w:name="_Ref381366852"/>
      <w:r w:rsidR="08C0637E" w:rsidRPr="003D1E07">
        <w:t>Po zatmění samotného bytí se posílá do epochální „ek</w:t>
      </w:r>
      <w:r w:rsidR="08C0637E" w:rsidRPr="003D1E07">
        <w:noBreakHyphen/>
        <w:t>sistence“ jen bytí jsoucna manifestované v metafyzickém modelu pravdy.</w:t>
      </w:r>
      <w:bookmarkEnd w:id="17"/>
      <w:r w:rsidR="08C0637E" w:rsidRPr="003D1E07">
        <w:t xml:space="preserve"> </w:t>
      </w:r>
      <w:r w:rsidR="087E2F73" w:rsidRPr="003D1E07">
        <w:t>Z hlediska předložené archeologie tím zmizela možnost původní apollinské séman</w:t>
      </w:r>
      <w:r w:rsidR="08A67A4C" w:rsidRPr="003D1E07">
        <w:t xml:space="preserve">tiky, kterou </w:t>
      </w:r>
      <w:r w:rsidR="08091CE1" w:rsidRPr="003D1E07">
        <w:t xml:space="preserve">Sokrates </w:t>
      </w:r>
      <w:r w:rsidR="08A67A4C" w:rsidRPr="003D1E07">
        <w:t xml:space="preserve">naposledy vykládal v archaickém smyslu. </w:t>
      </w:r>
      <w:r w:rsidR="088D02BB" w:rsidRPr="003D1E07">
        <w:t>T</w:t>
      </w:r>
      <w:r w:rsidR="08094043" w:rsidRPr="003D1E07">
        <w:t xml:space="preserve">ransformaci pravdy </w:t>
      </w:r>
      <w:r w:rsidR="086B3246" w:rsidRPr="003D1E07">
        <w:t xml:space="preserve">na její metafyzické či nihilistické simulákrum </w:t>
      </w:r>
      <w:r w:rsidR="00D67ACF" w:rsidRPr="003D1E07">
        <w:t xml:space="preserve">označuje </w:t>
      </w:r>
      <w:r w:rsidR="08DB1F59" w:rsidRPr="003D1E07">
        <w:t xml:space="preserve">Heideggerův </w:t>
      </w:r>
      <w:r w:rsidR="00D67ACF" w:rsidRPr="003D1E07">
        <w:t>t</w:t>
      </w:r>
      <w:r w:rsidR="08810E17" w:rsidRPr="003D1E07">
        <w:t xml:space="preserve">ermín </w:t>
      </w:r>
      <w:r w:rsidR="08810E17" w:rsidRPr="003D1E07">
        <w:rPr>
          <w:i/>
        </w:rPr>
        <w:t>Irr</w:t>
      </w:r>
      <w:r w:rsidR="08912E26" w:rsidRPr="003D1E07">
        <w:rPr>
          <w:i/>
        </w:rPr>
        <w:t>e</w:t>
      </w:r>
      <w:r w:rsidR="08810E17" w:rsidRPr="003D1E07">
        <w:rPr>
          <w:i/>
        </w:rPr>
        <w:fldChar w:fldCharType="begin"/>
      </w:r>
      <w:r w:rsidR="08810E17" w:rsidRPr="003D1E07">
        <w:instrText xml:space="preserve"> XE "</w:instrText>
      </w:r>
      <w:r w:rsidR="08810E17" w:rsidRPr="003D1E07">
        <w:rPr>
          <w:i/>
        </w:rPr>
        <w:instrText>Irre</w:instrText>
      </w:r>
      <w:r w:rsidR="08810E17" w:rsidRPr="003D1E07">
        <w:instrText xml:space="preserve">" </w:instrText>
      </w:r>
      <w:r w:rsidR="08810E17" w:rsidRPr="003D1E07">
        <w:rPr>
          <w:i/>
        </w:rPr>
        <w:fldChar w:fldCharType="end"/>
      </w:r>
      <w:r w:rsidR="08810E17" w:rsidRPr="003D1E07">
        <w:t>.</w:t>
      </w:r>
      <w:r w:rsidR="089E454B" w:rsidRPr="003D1E07">
        <w:rPr>
          <w:rStyle w:val="Znakapoznpodarou"/>
        </w:rPr>
        <w:footnoteReference w:id="31"/>
      </w:r>
      <w:r w:rsidR="08810E17" w:rsidRPr="003D1E07">
        <w:t xml:space="preserve"> </w:t>
      </w:r>
      <w:r w:rsidR="0832214A" w:rsidRPr="003D1E07">
        <w:t xml:space="preserve">Termín </w:t>
      </w:r>
      <w:r w:rsidR="0832214A" w:rsidRPr="003D1E07">
        <w:rPr>
          <w:i/>
        </w:rPr>
        <w:t>Irre</w:t>
      </w:r>
      <w:r w:rsidR="0832214A" w:rsidRPr="003D1E07">
        <w:t xml:space="preserve"> označuje </w:t>
      </w:r>
      <w:r w:rsidR="08177AE4" w:rsidRPr="003D1E07">
        <w:t xml:space="preserve">dějinnou temnotu </w:t>
      </w:r>
      <w:r w:rsidR="0868043C" w:rsidRPr="003D1E07">
        <w:t>vytvářenou</w:t>
      </w:r>
      <w:r w:rsidR="08E753E9" w:rsidRPr="003D1E07">
        <w:t xml:space="preserve"> </w:t>
      </w:r>
      <w:r w:rsidR="0868043C" w:rsidRPr="003D1E07">
        <w:t>skrze myšlení a praxi</w:t>
      </w:r>
      <w:r w:rsidR="08E753E9" w:rsidRPr="003D1E07">
        <w:t xml:space="preserve"> moderny. </w:t>
      </w:r>
      <w:r w:rsidR="08E16945" w:rsidRPr="003D1E07">
        <w:t xml:space="preserve">Trvalý stav nihilisticky založeného myšlení v modu metafyzického pochybení a bloudění ukazuje celkový smysl objektivity. Přednáška z roku 1930 nazvaná </w:t>
      </w:r>
      <w:r w:rsidR="08E16945" w:rsidRPr="003D1E07">
        <w:rPr>
          <w:i/>
        </w:rPr>
        <w:t>Vom Wesen der Wahrheit</w:t>
      </w:r>
      <w:r w:rsidR="08E16945" w:rsidRPr="003D1E07">
        <w:t xml:space="preserve"> chápe termín </w:t>
      </w:r>
      <w:r w:rsidR="08E16945" w:rsidRPr="003D1E07">
        <w:rPr>
          <w:i/>
        </w:rPr>
        <w:lastRenderedPageBreak/>
        <w:t>Irre</w:t>
      </w:r>
      <w:r w:rsidR="08E16945" w:rsidRPr="003D1E07">
        <w:rPr>
          <w:i/>
        </w:rPr>
        <w:fldChar w:fldCharType="begin"/>
      </w:r>
      <w:r w:rsidR="08E16945" w:rsidRPr="003D1E07">
        <w:instrText xml:space="preserve"> XE "</w:instrText>
      </w:r>
      <w:r w:rsidR="08E16945" w:rsidRPr="003D1E07">
        <w:rPr>
          <w:i/>
        </w:rPr>
        <w:instrText>Irre</w:instrText>
      </w:r>
      <w:r w:rsidR="08E16945" w:rsidRPr="003D1E07">
        <w:instrText xml:space="preserve">" </w:instrText>
      </w:r>
      <w:r w:rsidR="08E16945" w:rsidRPr="003D1E07">
        <w:rPr>
          <w:i/>
        </w:rPr>
        <w:fldChar w:fldCharType="end"/>
      </w:r>
      <w:r w:rsidR="08E16945" w:rsidRPr="003D1E07">
        <w:t xml:space="preserve"> jako výraz svobody člověka (</w:t>
      </w:r>
      <w:r w:rsidR="08E16945" w:rsidRPr="003D1E07">
        <w:rPr>
          <w:i/>
        </w:rPr>
        <w:t>Freiheit</w:t>
      </w:r>
      <w:r w:rsidR="08E16945" w:rsidRPr="003D1E07">
        <w:t xml:space="preserve">), která </w:t>
      </w:r>
      <w:r w:rsidR="089C57E5" w:rsidRPr="003D1E07">
        <w:t xml:space="preserve">vychází ze </w:t>
      </w:r>
      <w:r w:rsidR="08E16945" w:rsidRPr="003D1E07">
        <w:t>skryté</w:t>
      </w:r>
      <w:r w:rsidR="089C57E5" w:rsidRPr="003D1E07">
        <w:t xml:space="preserve">ho dění původní </w:t>
      </w:r>
      <w:r w:rsidR="08E16945" w:rsidRPr="003D1E07">
        <w:t>pravdy</w:t>
      </w:r>
      <w:r w:rsidR="089C57E5" w:rsidRPr="003D1E07">
        <w:t xml:space="preserve"> bytí</w:t>
      </w:r>
      <w:r w:rsidR="08E16945" w:rsidRPr="003D1E07">
        <w:t xml:space="preserve">. Pochybení či bloudění myšlení </w:t>
      </w:r>
      <w:r w:rsidR="085101C4" w:rsidRPr="003D1E07">
        <w:t xml:space="preserve">v epochálním modu </w:t>
      </w:r>
      <w:r w:rsidR="085101C4" w:rsidRPr="003D1E07">
        <w:rPr>
          <w:i/>
        </w:rPr>
        <w:t>Irre</w:t>
      </w:r>
      <w:r w:rsidR="085101C4" w:rsidRPr="003D1E07">
        <w:t xml:space="preserve"> </w:t>
      </w:r>
      <w:r w:rsidR="08E16945" w:rsidRPr="003D1E07">
        <w:t>tvoří podstatu současné epochy jak po zapomenutí bytí v metafyzice tak po následném zapomenutí jsoucna v technice.</w:t>
      </w:r>
      <w:r w:rsidR="085101C4" w:rsidRPr="003D1E07">
        <w:rPr>
          <w:rStyle w:val="Znakapoznpodarou"/>
        </w:rPr>
        <w:footnoteReference w:id="32"/>
      </w:r>
      <w:r w:rsidR="08E16945" w:rsidRPr="003D1E07">
        <w:t xml:space="preserve"> Co do smyslu podobný termín </w:t>
      </w:r>
      <w:r w:rsidR="08E16945" w:rsidRPr="003D1E07">
        <w:rPr>
          <w:i/>
        </w:rPr>
        <w:t>Irrtum</w:t>
      </w:r>
      <w:r w:rsidR="08E16945" w:rsidRPr="003D1E07">
        <w:t xml:space="preserve"> ukazuje tuto epochální událost v celku dějinného působení takto dané pravdy skrze západní metafyziku. </w:t>
      </w:r>
      <w:r w:rsidR="080527DF" w:rsidRPr="003D1E07">
        <w:t xml:space="preserve">Novověké zanedbání otázky po bytí odhaluje původní smysl západní techniky. </w:t>
      </w:r>
      <w:r w:rsidR="08EF1938" w:rsidRPr="003D1E07">
        <w:t>Dění bytí zcela zmizelo z dráhy předchůdného náhledu, která charakterizuje dnešní vidění světa a jeho současné dějiny (</w:t>
      </w:r>
      <w:r w:rsidR="08EF1938" w:rsidRPr="003D1E07">
        <w:rPr>
          <w:i/>
        </w:rPr>
        <w:t>Entzug, Entbergung</w:t>
      </w:r>
      <w:r w:rsidR="08EF1938" w:rsidRPr="003D1E07">
        <w:t>).</w:t>
      </w:r>
      <w:r w:rsidR="08EF1938" w:rsidRPr="003D1E07">
        <w:rPr>
          <w:rStyle w:val="Znakapoznpodarou"/>
        </w:rPr>
        <w:footnoteReference w:id="33"/>
      </w:r>
      <w:r w:rsidR="08EF1938" w:rsidRPr="003D1E07">
        <w:t xml:space="preserve"> </w:t>
      </w:r>
      <w:r w:rsidR="08DB2F46" w:rsidRPr="003D1E07">
        <w:t xml:space="preserve">Bloudění moderny vzhledem ke skrytému bytí je uchopeno jako součást toho, čím je smrtelník ve své </w:t>
      </w:r>
      <w:r w:rsidR="08F5206F" w:rsidRPr="003D1E07">
        <w:t xml:space="preserve">současné tragické </w:t>
      </w:r>
      <w:r w:rsidR="08DB2F46" w:rsidRPr="003D1E07">
        <w:t xml:space="preserve">podstatě. </w:t>
      </w:r>
      <w:r w:rsidR="084D745F" w:rsidRPr="003D1E07">
        <w:t xml:space="preserve">Různé formy tohoto bloudění a pochybení v modu </w:t>
      </w:r>
      <w:r w:rsidR="084D745F" w:rsidRPr="003D1E07">
        <w:rPr>
          <w:i/>
        </w:rPr>
        <w:t>Irre</w:t>
      </w:r>
      <w:r w:rsidR="084D745F" w:rsidRPr="003D1E07">
        <w:t xml:space="preserve"> a </w:t>
      </w:r>
      <w:r w:rsidR="084D745F" w:rsidRPr="003D1E07">
        <w:rPr>
          <w:i/>
        </w:rPr>
        <w:t>Irrtum</w:t>
      </w:r>
      <w:r w:rsidR="084D745F" w:rsidRPr="003D1E07">
        <w:t xml:space="preserve"> budeme vysvětlovat v exegezi jednotlivých podob metafyziky. Múzické bloudění metafyziky </w:t>
      </w:r>
      <w:r w:rsidR="08E04863" w:rsidRPr="003D1E07">
        <w:t xml:space="preserve">a humanismu </w:t>
      </w:r>
      <w:r w:rsidR="084D745F" w:rsidRPr="003D1E07">
        <w:t>popisuje termín „božská komedie</w:t>
      </w:r>
      <w:r w:rsidR="084D745F" w:rsidRPr="003D1E07">
        <w:fldChar w:fldCharType="begin"/>
      </w:r>
      <w:r w:rsidR="084D745F" w:rsidRPr="003D1E07">
        <w:instrText xml:space="preserve"> XE "božská komedie" </w:instrText>
      </w:r>
      <w:r w:rsidR="084D745F" w:rsidRPr="003D1E07">
        <w:fldChar w:fldCharType="end"/>
      </w:r>
      <w:r w:rsidR="084D745F" w:rsidRPr="003D1E07">
        <w:t>“</w:t>
      </w:r>
      <w:r w:rsidR="08F25968" w:rsidRPr="003D1E07">
        <w:t xml:space="preserve">. První forma božské komedia </w:t>
      </w:r>
      <w:r w:rsidR="08072FAC" w:rsidRPr="003D1E07">
        <w:t>charakterizuje zakládající dění první formy metafyziky u Platona a Aristotela</w:t>
      </w:r>
      <w:r w:rsidR="089D2950" w:rsidRPr="003D1E07">
        <w:t xml:space="preserve"> dané bohyní Apaté</w:t>
      </w:r>
      <w:r w:rsidR="0835630F" w:rsidRPr="003D1E07">
        <w:fldChar w:fldCharType="begin"/>
      </w:r>
      <w:r w:rsidR="0835630F" w:rsidRPr="003D1E07">
        <w:instrText xml:space="preserve"> XE "Apaté" </w:instrText>
      </w:r>
      <w:r w:rsidR="0835630F" w:rsidRPr="003D1E07">
        <w:fldChar w:fldCharType="end"/>
      </w:r>
      <w:r w:rsidR="084D745F" w:rsidRPr="003D1E07">
        <w:t xml:space="preserve">. Výraz „tragikomedie“ ukazuje na </w:t>
      </w:r>
      <w:r w:rsidR="08817971" w:rsidRPr="003D1E07">
        <w:t xml:space="preserve">bloudění </w:t>
      </w:r>
      <w:r w:rsidR="08EC333F" w:rsidRPr="003D1E07">
        <w:t xml:space="preserve">objektivity </w:t>
      </w:r>
      <w:r w:rsidR="08817971" w:rsidRPr="003D1E07">
        <w:t xml:space="preserve">v modu </w:t>
      </w:r>
      <w:r w:rsidR="08817971" w:rsidRPr="003D1E07">
        <w:rPr>
          <w:i/>
        </w:rPr>
        <w:t>Irre</w:t>
      </w:r>
      <w:r w:rsidR="08817971" w:rsidRPr="003D1E07">
        <w:t xml:space="preserve"> a </w:t>
      </w:r>
      <w:r w:rsidR="08817971" w:rsidRPr="003D1E07">
        <w:rPr>
          <w:i/>
        </w:rPr>
        <w:t>Irrtum</w:t>
      </w:r>
      <w:r w:rsidR="08817971" w:rsidRPr="003D1E07">
        <w:t xml:space="preserve"> </w:t>
      </w:r>
      <w:r w:rsidR="08EC333F" w:rsidRPr="003D1E07">
        <w:t xml:space="preserve">dané </w:t>
      </w:r>
      <w:r w:rsidR="084D745F" w:rsidRPr="003D1E07">
        <w:t xml:space="preserve">v epoše postmoderny a nihilismu, kdy je myšlení pod přímým vlivem trestajících Fúrií. </w:t>
      </w:r>
      <w:r w:rsidR="086C6C1D" w:rsidRPr="003D1E07">
        <w:t xml:space="preserve">Zapomenutost bytí </w:t>
      </w:r>
      <w:r w:rsidR="08C31AF5" w:rsidRPr="003D1E07">
        <w:t xml:space="preserve">daná Fúriemi </w:t>
      </w:r>
      <w:r w:rsidR="08FE21EB" w:rsidRPr="003D1E07">
        <w:t xml:space="preserve">v epoše </w:t>
      </w:r>
      <w:r w:rsidR="08795C20" w:rsidRPr="003D1E07">
        <w:t>metafyziky jako pouhé vědo-</w:t>
      </w:r>
      <w:r w:rsidR="08FE21EB" w:rsidRPr="003D1E07">
        <w:t xml:space="preserve">techniky už </w:t>
      </w:r>
      <w:r w:rsidR="086C6C1D" w:rsidRPr="003D1E07">
        <w:t xml:space="preserve">má charakter vůle k moci, která proměňuje západní subjekt do nihilistické podoby. </w:t>
      </w:r>
      <w:r w:rsidR="08975DD9" w:rsidRPr="003D1E07">
        <w:t>Smysl jsoucna se stává pouhým akcidentem vůle demiurgického nadčlověka, kterého popsal Nietzsche. Tato vůle k moci tvoří zakládající dění smyslu (</w:t>
      </w:r>
      <w:r w:rsidR="08975DD9" w:rsidRPr="003D1E07">
        <w:rPr>
          <w:i/>
        </w:rPr>
        <w:t>Gr</w:t>
      </w:r>
      <w:r w:rsidR="08F91A2B" w:rsidRPr="003D1E07">
        <w:rPr>
          <w:rFonts w:cs="Calibri"/>
          <w:i/>
        </w:rPr>
        <w:t>und, subiectum</w:t>
      </w:r>
      <w:r w:rsidR="08975DD9" w:rsidRPr="003D1E07">
        <w:t xml:space="preserve">) v současné epoše nihilismu. </w:t>
      </w:r>
      <w:r w:rsidR="086C6C1D" w:rsidRPr="003D1E07">
        <w:t>Dění samotného bytí je určené objektivním při</w:t>
      </w:r>
      <w:r w:rsidR="086C6C1D" w:rsidRPr="003D1E07">
        <w:noBreakHyphen/>
        <w:t>stavením (</w:t>
      </w:r>
      <w:r w:rsidR="086C6C1D" w:rsidRPr="003D1E07">
        <w:rPr>
          <w:i/>
        </w:rPr>
        <w:t>Ge-Stell</w:t>
      </w:r>
      <w:r w:rsidR="087F7347" w:rsidRPr="003D1E07">
        <w:rPr>
          <w:i/>
        </w:rPr>
        <w:fldChar w:fldCharType="begin"/>
      </w:r>
      <w:r w:rsidR="087F7347" w:rsidRPr="003D1E07">
        <w:instrText xml:space="preserve"> XE "</w:instrText>
      </w:r>
      <w:r w:rsidR="087F7347" w:rsidRPr="003D1E07">
        <w:rPr>
          <w:i/>
        </w:rPr>
        <w:instrText>Ge-Stell</w:instrText>
      </w:r>
      <w:r w:rsidR="087F7347" w:rsidRPr="003D1E07">
        <w:instrText xml:space="preserve">" </w:instrText>
      </w:r>
      <w:r w:rsidR="087F7347" w:rsidRPr="003D1E07">
        <w:rPr>
          <w:i/>
        </w:rPr>
        <w:fldChar w:fldCharType="end"/>
      </w:r>
      <w:r w:rsidR="086C6C1D" w:rsidRPr="003D1E07">
        <w:t xml:space="preserve">) jsoucna před subjekt vybavený vůlí k moci. </w:t>
      </w:r>
      <w:r w:rsidR="08A2163B" w:rsidRPr="003D1E07">
        <w:t xml:space="preserve">Stať </w:t>
      </w:r>
      <w:r w:rsidR="08A2163B" w:rsidRPr="003D1E07">
        <w:rPr>
          <w:i/>
          <w:iCs/>
        </w:rPr>
        <w:t>Überwindung der Metaphysik</w:t>
      </w:r>
      <w:r w:rsidR="08A2163B" w:rsidRPr="003D1E07">
        <w:t xml:space="preserve"> (1938/39) </w:t>
      </w:r>
      <w:r w:rsidR="08796AEA" w:rsidRPr="003D1E07">
        <w:t>vyšla těsně před Druhou světovou válkou. S</w:t>
      </w:r>
      <w:r w:rsidR="08796AEA" w:rsidRPr="003D1E07">
        <w:rPr>
          <w:rStyle w:val="Zkladntext158dkovn0pt"/>
          <w:color w:val="auto"/>
          <w:spacing w:val="0"/>
          <w:sz w:val="24"/>
          <w:lang w:val="cs-CZ"/>
        </w:rPr>
        <w:t xml:space="preserve">mysl jsoucna v pojetí pravdy jako </w:t>
      </w:r>
      <w:r w:rsidR="08796AEA" w:rsidRPr="003D1E07">
        <w:rPr>
          <w:rStyle w:val="Zkladntext158dkovn0pt"/>
          <w:i/>
          <w:color w:val="auto"/>
          <w:spacing w:val="0"/>
          <w:sz w:val="24"/>
          <w:lang w:val="cs-CZ"/>
        </w:rPr>
        <w:t>veritas</w:t>
      </w:r>
      <w:r w:rsidR="08796AEA" w:rsidRPr="003D1E07">
        <w:rPr>
          <w:rStyle w:val="Zkladntext158dkovn0pt"/>
          <w:color w:val="auto"/>
          <w:spacing w:val="0"/>
          <w:sz w:val="24"/>
          <w:lang w:val="cs-CZ"/>
        </w:rPr>
        <w:t xml:space="preserve"> podle Heideggera určil nihilistickým způsobem moderní osud jsoucího v podobě </w:t>
      </w:r>
      <w:r w:rsidR="08796AEA" w:rsidRPr="003D1E07">
        <w:rPr>
          <w:rStyle w:val="Zkladntext158dkovn0pt"/>
          <w:i/>
          <w:color w:val="auto"/>
          <w:spacing w:val="0"/>
          <w:sz w:val="24"/>
          <w:lang w:val="cs-CZ"/>
        </w:rPr>
        <w:t>Ge</w:t>
      </w:r>
      <w:r w:rsidR="08796AEA" w:rsidRPr="003D1E07">
        <w:rPr>
          <w:rStyle w:val="Zkladntext158dkovn0pt"/>
          <w:i/>
          <w:color w:val="auto"/>
          <w:spacing w:val="0"/>
          <w:sz w:val="24"/>
          <w:lang w:val="cs-CZ"/>
        </w:rPr>
        <w:noBreakHyphen/>
        <w:t>Stell</w:t>
      </w:r>
      <w:r w:rsidR="08796AEA" w:rsidRPr="003D1E07">
        <w:rPr>
          <w:rStyle w:val="Zkladntext158dkovn0pt"/>
          <w:color w:val="auto"/>
          <w:spacing w:val="0"/>
          <w:sz w:val="24"/>
          <w:lang w:val="cs-CZ"/>
        </w:rPr>
        <w:t xml:space="preserve"> a následně i nihilismu techniky</w:t>
      </w:r>
      <w:r w:rsidR="08796AEA" w:rsidRPr="003D1E07">
        <w:rPr>
          <w:i/>
        </w:rPr>
        <w:fldChar w:fldCharType="begin"/>
      </w:r>
      <w:r w:rsidR="08796AEA" w:rsidRPr="003D1E07">
        <w:instrText xml:space="preserve"> XE "technika:</w:instrText>
      </w:r>
      <w:r w:rsidR="08796AEA" w:rsidRPr="003D1E07">
        <w:rPr>
          <w:i/>
        </w:rPr>
        <w:instrText>Ge-Stell</w:instrText>
      </w:r>
      <w:r w:rsidR="08796AEA" w:rsidRPr="003D1E07">
        <w:instrText xml:space="preserve">" </w:instrText>
      </w:r>
      <w:r w:rsidR="08796AEA" w:rsidRPr="003D1E07">
        <w:rPr>
          <w:i/>
        </w:rPr>
        <w:fldChar w:fldCharType="end"/>
      </w:r>
      <w:r w:rsidR="08796AEA" w:rsidRPr="003D1E07">
        <w:rPr>
          <w:rStyle w:val="Zkladntext158dkovn0pt"/>
          <w:color w:val="auto"/>
          <w:spacing w:val="0"/>
          <w:sz w:val="24"/>
          <w:lang w:val="cs-CZ"/>
        </w:rPr>
        <w:t>.</w:t>
      </w:r>
      <w:r w:rsidR="08796AEA" w:rsidRPr="003D1E07">
        <w:rPr>
          <w:rStyle w:val="Znakapoznpodarou"/>
          <w:szCs w:val="27"/>
          <w:shd w:val="clear" w:color="auto" w:fill="FFFFFF"/>
        </w:rPr>
        <w:footnoteReference w:id="34"/>
      </w:r>
      <w:r w:rsidR="08796AEA" w:rsidRPr="003D1E07">
        <w:rPr>
          <w:rStyle w:val="Zkladntext158dkovn0pt"/>
          <w:color w:val="auto"/>
          <w:spacing w:val="0"/>
          <w:sz w:val="24"/>
          <w:lang w:val="cs-CZ"/>
        </w:rPr>
        <w:t xml:space="preserve"> </w:t>
      </w:r>
      <w:r w:rsidR="08DD1B7B" w:rsidRPr="003D1E07">
        <w:t xml:space="preserve">Tato destruktivní </w:t>
      </w:r>
      <w:r w:rsidR="0864339D" w:rsidRPr="003D1E07">
        <w:t xml:space="preserve">forma </w:t>
      </w:r>
      <w:r w:rsidR="08C960FD" w:rsidRPr="003D1E07">
        <w:t xml:space="preserve">metafyziky </w:t>
      </w:r>
      <w:r w:rsidR="0864339D" w:rsidRPr="003D1E07">
        <w:t xml:space="preserve">vznikla </w:t>
      </w:r>
      <w:r w:rsidR="0875444F" w:rsidRPr="003D1E07">
        <w:t>nástupem průmyslové revoluce od konce 18</w:t>
      </w:r>
      <w:r w:rsidR="08EF5E47" w:rsidRPr="003D1E07">
        <w:t>. století</w:t>
      </w:r>
      <w:r w:rsidR="0864339D" w:rsidRPr="003D1E07">
        <w:t xml:space="preserve">. </w:t>
      </w:r>
      <w:r w:rsidR="082E0F62" w:rsidRPr="003D1E07">
        <w:t xml:space="preserve">Jsoucno je přeměněné na energii a ta tvoří pouhý doplněk demiurgické </w:t>
      </w:r>
      <w:r w:rsidR="082E0F62" w:rsidRPr="003D1E07">
        <w:lastRenderedPageBreak/>
        <w:t>vůle k moci. Obojí druh objektivní a subjektivní energie si adekvátně pravdivě odpovídá v modu metafyzického nihilismu, což ukázal úvo</w:t>
      </w:r>
      <w:r w:rsidR="0019542E">
        <w:t>dní citát Nietzscheho (kap. 1).</w:t>
      </w:r>
      <w:r w:rsidR="003B09C2">
        <w:t xml:space="preserve"> </w:t>
      </w:r>
      <w:r w:rsidR="08A2163B" w:rsidRPr="003D1E07">
        <w:t xml:space="preserve">Hermeneutika objektivity </w:t>
      </w:r>
      <w:r w:rsidR="0864339D" w:rsidRPr="003D1E07">
        <w:t xml:space="preserve">definuje </w:t>
      </w:r>
      <w:r w:rsidR="08A2163B" w:rsidRPr="003D1E07">
        <w:t>epochu postmoderního subjektu pomocí Heideggerova termínu</w:t>
      </w:r>
      <w:r w:rsidR="08A2163B" w:rsidRPr="003D1E07">
        <w:rPr>
          <w:i/>
        </w:rPr>
        <w:t xml:space="preserve"> Seinsvergessenheit</w:t>
      </w:r>
      <w:r w:rsidR="08A2163B" w:rsidRPr="003D1E07">
        <w:rPr>
          <w:i/>
        </w:rPr>
        <w:fldChar w:fldCharType="begin"/>
      </w:r>
      <w:r w:rsidR="08A2163B" w:rsidRPr="003D1E07">
        <w:instrText xml:space="preserve"> XE "</w:instrText>
      </w:r>
      <w:r w:rsidR="08A2163B" w:rsidRPr="003D1E07">
        <w:rPr>
          <w:i/>
        </w:rPr>
        <w:instrText>Seinsvergessenheit</w:instrText>
      </w:r>
      <w:r w:rsidR="08A2163B" w:rsidRPr="003D1E07">
        <w:instrText xml:space="preserve">" </w:instrText>
      </w:r>
      <w:r w:rsidR="08A2163B" w:rsidRPr="003D1E07">
        <w:rPr>
          <w:i/>
        </w:rPr>
        <w:fldChar w:fldCharType="end"/>
      </w:r>
      <w:r w:rsidR="08A2163B" w:rsidRPr="003D1E07">
        <w:t>.</w:t>
      </w:r>
      <w:r w:rsidR="08ED0D7A" w:rsidRPr="003D1E07">
        <w:t xml:space="preserve"> Heideggerova hermeneutika</w:t>
      </w:r>
      <w:r w:rsidR="08A2163B" w:rsidRPr="003D1E07">
        <w:t xml:space="preserve"> </w:t>
      </w:r>
      <w:r w:rsidR="08A2163B" w:rsidRPr="003D1E07">
        <w:rPr>
          <w:i/>
        </w:rPr>
        <w:t>Da-sein</w:t>
      </w:r>
      <w:r w:rsidR="08934936" w:rsidRPr="003D1E07">
        <w:t xml:space="preserve"> </w:t>
      </w:r>
      <w:r w:rsidR="08ED0D7A" w:rsidRPr="003D1E07">
        <w:t xml:space="preserve">používá </w:t>
      </w:r>
      <w:r w:rsidR="08A2163B" w:rsidRPr="003D1E07">
        <w:t>oba termíny (</w:t>
      </w:r>
      <w:r w:rsidR="08B97C34" w:rsidRPr="003D1E07">
        <w:rPr>
          <w:i/>
        </w:rPr>
        <w:t xml:space="preserve">Seinsverlassenheit, </w:t>
      </w:r>
      <w:r w:rsidR="08A2163B" w:rsidRPr="003D1E07">
        <w:rPr>
          <w:i/>
        </w:rPr>
        <w:t>Seinsvergessenheit</w:t>
      </w:r>
      <w:r w:rsidR="08A2163B" w:rsidRPr="003D1E07">
        <w:t xml:space="preserve">) </w:t>
      </w:r>
      <w:r w:rsidR="08ED0D7A" w:rsidRPr="003D1E07">
        <w:t xml:space="preserve">tak, že jsou </w:t>
      </w:r>
      <w:r w:rsidR="08A2163B" w:rsidRPr="003D1E07">
        <w:t xml:space="preserve">z velké části zaměnitelné. Oba </w:t>
      </w:r>
      <w:r w:rsidR="08982B6A" w:rsidRPr="003D1E07">
        <w:t xml:space="preserve">pojmy </w:t>
      </w:r>
      <w:r w:rsidR="08A2163B" w:rsidRPr="003D1E07">
        <w:t xml:space="preserve">popisují základní skrytost bytí, které vyklidilo pole zjevování při vzniku metafyziky a nechalo působit nihilismus vůle a techniky. </w:t>
      </w:r>
      <w:r w:rsidR="08CF0362" w:rsidRPr="003D1E07">
        <w:t xml:space="preserve">Hermeneutická archeologie </w:t>
      </w:r>
      <w:r w:rsidR="083C5C08" w:rsidRPr="003D1E07">
        <w:t xml:space="preserve">odděluje epochu původního bloudění metafyziky </w:t>
      </w:r>
      <w:r w:rsidR="08934936" w:rsidRPr="003D1E07">
        <w:t xml:space="preserve">pod vedením múzické bohyně </w:t>
      </w:r>
      <w:r w:rsidR="08934936" w:rsidRPr="00DA2421">
        <w:t>Apaté</w:t>
      </w:r>
      <w:r w:rsidR="08934936" w:rsidRPr="003D1E07">
        <w:t xml:space="preserve"> </w:t>
      </w:r>
      <w:r w:rsidR="083C5C08" w:rsidRPr="003D1E07">
        <w:t xml:space="preserve">od následných epoch řízených </w:t>
      </w:r>
      <w:r w:rsidR="08FA455F" w:rsidRPr="003D1E07">
        <w:t xml:space="preserve">démonickými </w:t>
      </w:r>
      <w:r w:rsidR="08441B40" w:rsidRPr="003D1E07">
        <w:t xml:space="preserve">silami </w:t>
      </w:r>
      <w:r w:rsidR="083C5C08" w:rsidRPr="003D1E07">
        <w:t xml:space="preserve">Chaosu. </w:t>
      </w:r>
      <w:r w:rsidR="00414F83" w:rsidRPr="003D1E07">
        <w:t xml:space="preserve">Metafyzická </w:t>
      </w:r>
      <w:r w:rsidR="08EC3172" w:rsidRPr="003D1E07">
        <w:rPr>
          <w:lang w:eastAsia="en-US"/>
        </w:rPr>
        <w:t xml:space="preserve">pravda </w:t>
      </w:r>
      <w:r w:rsidR="08EC3172" w:rsidRPr="003D1E07">
        <w:t xml:space="preserve">jsoucna nastolená skrze </w:t>
      </w:r>
      <w:r w:rsidR="08EC3172" w:rsidRPr="003D1E07">
        <w:rPr>
          <w:i/>
        </w:rPr>
        <w:t>Seinsverlassenheit</w:t>
      </w:r>
      <w:r w:rsidR="08EC3172" w:rsidRPr="003D1E07">
        <w:t xml:space="preserve"> přešla do objektivně dané </w:t>
      </w:r>
      <w:r w:rsidR="08EC3172" w:rsidRPr="003D1E07">
        <w:rPr>
          <w:i/>
        </w:rPr>
        <w:t>Seinsvergessenheit</w:t>
      </w:r>
      <w:r w:rsidR="08EC3172" w:rsidRPr="003D1E07">
        <w:t xml:space="preserve">. </w:t>
      </w:r>
      <w:r w:rsidR="08B97C34" w:rsidRPr="003D1E07">
        <w:rPr>
          <w:lang w:eastAsia="en-US"/>
        </w:rPr>
        <w:t xml:space="preserve">Ústup bytí do </w:t>
      </w:r>
      <w:r w:rsidR="00381EBA" w:rsidRPr="003D1E07">
        <w:rPr>
          <w:i/>
          <w:lang w:eastAsia="en-US"/>
        </w:rPr>
        <w:t>léthe</w:t>
      </w:r>
      <w:r w:rsidR="08B97C34" w:rsidRPr="003D1E07">
        <w:rPr>
          <w:lang w:eastAsia="en-US"/>
        </w:rPr>
        <w:t xml:space="preserve"> nechal působit metafyzické jsoucno v modu </w:t>
      </w:r>
      <w:r w:rsidR="08B97C34" w:rsidRPr="003D1E07">
        <w:rPr>
          <w:i/>
        </w:rPr>
        <w:t>Seinsverlassenheit</w:t>
      </w:r>
      <w:r w:rsidR="088A3F71" w:rsidRPr="003D1E07">
        <w:rPr>
          <w:lang w:eastAsia="en-US"/>
        </w:rPr>
        <w:t xml:space="preserve"> nastolené první metafyzikou substance. </w:t>
      </w:r>
      <w:r w:rsidR="08B97C34" w:rsidRPr="003D1E07">
        <w:rPr>
          <w:lang w:eastAsia="en-US"/>
        </w:rPr>
        <w:t xml:space="preserve">Ale </w:t>
      </w:r>
      <w:r w:rsidR="086F7CD7" w:rsidRPr="003D1E07">
        <w:rPr>
          <w:lang w:eastAsia="en-US"/>
        </w:rPr>
        <w:t xml:space="preserve">vědomé </w:t>
      </w:r>
      <w:r w:rsidR="08B97C34" w:rsidRPr="003D1E07">
        <w:rPr>
          <w:lang w:eastAsia="en-US"/>
        </w:rPr>
        <w:t xml:space="preserve">zapomenutí </w:t>
      </w:r>
      <w:r w:rsidR="086F7CD7" w:rsidRPr="003D1E07">
        <w:rPr>
          <w:lang w:eastAsia="en-US"/>
        </w:rPr>
        <w:t xml:space="preserve">a vytěsnění Aristotelovy první substance </w:t>
      </w:r>
      <w:r w:rsidR="08B97C34" w:rsidRPr="003D1E07">
        <w:rPr>
          <w:lang w:eastAsia="en-US"/>
        </w:rPr>
        <w:t xml:space="preserve">v moderně a v objektivitě je už myslitelskou prohrou moderního subjektu v modu </w:t>
      </w:r>
      <w:r w:rsidR="08B97C34" w:rsidRPr="003D1E07">
        <w:rPr>
          <w:i/>
        </w:rPr>
        <w:t>Seinsvergessenheit</w:t>
      </w:r>
      <w:r w:rsidR="08B97C34" w:rsidRPr="003D1E07">
        <w:rPr>
          <w:lang w:eastAsia="en-US"/>
        </w:rPr>
        <w:t xml:space="preserve">. </w:t>
      </w:r>
      <w:r w:rsidR="08A667AA" w:rsidRPr="003D1E07">
        <w:t xml:space="preserve">Původní formu skrytosti bytí jsoucna navazující na antickou tragédii nastolila Platonova a Aristotelova metafyzika. Pak ji uchovávala klasická metafyzika až do svého zániku na konci 13. století. </w:t>
      </w:r>
      <w:r w:rsidR="08EF5E47" w:rsidRPr="003D1E07">
        <w:t xml:space="preserve">Epocha objektivní moderny začíná </w:t>
      </w:r>
      <w:r w:rsidR="08BC028A" w:rsidRPr="003D1E07">
        <w:t>od 14. století skrze scholastickou škol</w:t>
      </w:r>
      <w:r w:rsidR="08EF5E47" w:rsidRPr="003D1E07">
        <w:t xml:space="preserve">u zvanou </w:t>
      </w:r>
      <w:r w:rsidR="08EF5E47" w:rsidRPr="003D1E07">
        <w:rPr>
          <w:i/>
        </w:rPr>
        <w:t>via Modernorum</w:t>
      </w:r>
      <w:r w:rsidR="08EF5E47" w:rsidRPr="003D1E07">
        <w:t xml:space="preserve">. </w:t>
      </w:r>
      <w:r w:rsidR="083F329B" w:rsidRPr="003D1E07">
        <w:rPr>
          <w:lang w:eastAsia="en-US"/>
        </w:rPr>
        <w:t xml:space="preserve">Substanci nahradila vůle k moci daná v subjektu. </w:t>
      </w:r>
      <w:r w:rsidR="083F329B" w:rsidRPr="003D1E07">
        <w:t xml:space="preserve">Po zapomenutí otázky po bytí v metafyzice jako nové první filosofii </w:t>
      </w:r>
      <w:r w:rsidR="080A00E4" w:rsidRPr="003D1E07">
        <w:t xml:space="preserve">došlo v latinské scholastice k </w:t>
      </w:r>
      <w:r w:rsidR="083F329B" w:rsidRPr="003D1E07">
        <w:t xml:space="preserve">zapomenutí původní aristotelské substance. </w:t>
      </w:r>
      <w:r w:rsidR="086053D6" w:rsidRPr="003D1E07">
        <w:t xml:space="preserve">Myšlení </w:t>
      </w:r>
      <w:r w:rsidR="0074560A">
        <w:t>post</w:t>
      </w:r>
      <w:r w:rsidR="086053D6" w:rsidRPr="003D1E07">
        <w:t xml:space="preserve">moderní epochy už není dramatizované pod vlivem Múz v modu božské komedie, protože režii nihilistické epochy převzaly </w:t>
      </w:r>
      <w:r w:rsidR="085267DA" w:rsidRPr="003D1E07">
        <w:t xml:space="preserve">objektivně neexistující </w:t>
      </w:r>
      <w:r w:rsidR="08B20B92" w:rsidRPr="003D1E07">
        <w:t>bohyně C</w:t>
      </w:r>
      <w:r w:rsidR="086053D6" w:rsidRPr="003D1E07">
        <w:t xml:space="preserve">haosu. </w:t>
      </w:r>
      <w:r w:rsidR="08A244B7" w:rsidRPr="003D1E07">
        <w:t xml:space="preserve">Tragikomická pravda jsoucna nastolená skrze objektivní zapomenutost bytí se proto zásadně liší od původní božské komedie založené Platonem během působení posledních tragiků jako byl Sofokles. Od pozdní antiky se prosadila jiná verze </w:t>
      </w:r>
      <w:r w:rsidR="082C10FB" w:rsidRPr="003D1E07">
        <w:t>metafyzického</w:t>
      </w:r>
      <w:r w:rsidR="08A244B7" w:rsidRPr="003D1E07">
        <w:t xml:space="preserve"> dativu, který je založen na poznání </w:t>
      </w:r>
      <w:r w:rsidR="00640CB9">
        <w:t>post</w:t>
      </w:r>
      <w:r w:rsidR="08A244B7" w:rsidRPr="003D1E07">
        <w:t xml:space="preserve">moderního subjektu a na jeho vůli k moci. </w:t>
      </w:r>
      <w:r w:rsidR="085907DD" w:rsidRPr="003D1E07">
        <w:t xml:space="preserve">Na cestu Moderních navazuje epocha karteziánské postmoderny a současného nihilismu. </w:t>
      </w:r>
      <w:r w:rsidR="08A02945" w:rsidRPr="003D1E07">
        <w:t>Osvícenská p</w:t>
      </w:r>
      <w:r w:rsidR="08F95399" w:rsidRPr="003D1E07">
        <w:t>ostmoderna 17.</w:t>
      </w:r>
      <w:r w:rsidR="08273ABB" w:rsidRPr="003D1E07">
        <w:t xml:space="preserve"> a 18. století </w:t>
      </w:r>
      <w:r w:rsidR="08EF5E47" w:rsidRPr="003D1E07">
        <w:t xml:space="preserve">končí metafyzickým nihilismem 19. století a současnou dekonstrukcí </w:t>
      </w:r>
      <w:r w:rsidR="08ED6D21" w:rsidRPr="003D1E07">
        <w:t xml:space="preserve">jakéhokoliv </w:t>
      </w:r>
      <w:r w:rsidR="08EF5E47" w:rsidRPr="003D1E07">
        <w:t>smyslu</w:t>
      </w:r>
      <w:r w:rsidR="08ED6D21" w:rsidRPr="003D1E07">
        <w:t>, dokonce i toho objektivního</w:t>
      </w:r>
      <w:r w:rsidR="086053D6" w:rsidRPr="003D1E07">
        <w:t>.</w:t>
      </w:r>
    </w:p>
    <w:p w14:paraId="0AAE1F5C" w14:textId="77777777" w:rsidR="009F42EA" w:rsidRDefault="08C12D58" w:rsidP="003E3688">
      <w:pPr>
        <w:ind w:firstLine="397"/>
      </w:pPr>
      <w:r w:rsidRPr="003D1E07">
        <w:t xml:space="preserve">Platon ještě věděl, že vykládá </w:t>
      </w:r>
      <w:r w:rsidR="08C776CC" w:rsidRPr="003D1E07">
        <w:t>filosofickou pohádku fiktivním strážcům neexistující ideální polis</w:t>
      </w:r>
      <w:r w:rsidR="08956CB9" w:rsidRPr="003D1E07">
        <w:t xml:space="preserve">. Tento zasvěcenec </w:t>
      </w:r>
      <w:r w:rsidR="00694946">
        <w:t xml:space="preserve">řeckých </w:t>
      </w:r>
      <w:r w:rsidR="08956CB9" w:rsidRPr="003D1E07">
        <w:t xml:space="preserve">mystérií </w:t>
      </w:r>
      <w:r w:rsidRPr="003D1E07">
        <w:t>znal múzické pojetí pravdy</w:t>
      </w:r>
      <w:r w:rsidR="08C46CA9" w:rsidRPr="003D1E07">
        <w:t xml:space="preserve"> a </w:t>
      </w:r>
      <w:r w:rsidR="009F7E02" w:rsidRPr="003D1E07">
        <w:t xml:space="preserve">vědomě </w:t>
      </w:r>
      <w:r w:rsidR="08BB6D35" w:rsidRPr="003D1E07">
        <w:t>tvořil</w:t>
      </w:r>
      <w:r w:rsidR="009F7E02" w:rsidRPr="003D1E07">
        <w:t xml:space="preserve"> zakládající mýty</w:t>
      </w:r>
      <w:r w:rsidR="08956CB9" w:rsidRPr="003D1E07">
        <w:t xml:space="preserve"> </w:t>
      </w:r>
      <w:r w:rsidR="00EC6EB5" w:rsidRPr="003D1E07">
        <w:t xml:space="preserve">moderny </w:t>
      </w:r>
      <w:r w:rsidR="083B718F" w:rsidRPr="003D1E07">
        <w:t xml:space="preserve">pro </w:t>
      </w:r>
      <w:r w:rsidR="007E4506" w:rsidRPr="003D1E07">
        <w:t>akademicky formovanou</w:t>
      </w:r>
      <w:r w:rsidR="08225FDA" w:rsidRPr="003D1E07">
        <w:t xml:space="preserve"> </w:t>
      </w:r>
      <w:r w:rsidR="08225FDA" w:rsidRPr="003D1E07">
        <w:rPr>
          <w:i/>
        </w:rPr>
        <w:t>Magna Graecia</w:t>
      </w:r>
      <w:r w:rsidR="08225FDA" w:rsidRPr="003D1E07">
        <w:rPr>
          <w:i/>
        </w:rPr>
        <w:fldChar w:fldCharType="begin"/>
      </w:r>
      <w:r w:rsidR="08225FDA" w:rsidRPr="003D1E07">
        <w:instrText xml:space="preserve"> XE "</w:instrText>
      </w:r>
      <w:r w:rsidR="08225FDA" w:rsidRPr="003D1E07">
        <w:rPr>
          <w:i/>
        </w:rPr>
        <w:instrText>Magna Graecia</w:instrText>
      </w:r>
      <w:r w:rsidR="08225FDA" w:rsidRPr="003D1E07">
        <w:instrText xml:space="preserve">" </w:instrText>
      </w:r>
      <w:r w:rsidR="08225FDA" w:rsidRPr="003D1E07">
        <w:rPr>
          <w:i/>
        </w:rPr>
        <w:fldChar w:fldCharType="end"/>
      </w:r>
      <w:r w:rsidR="08956CB9" w:rsidRPr="003D1E07">
        <w:t xml:space="preserve">. </w:t>
      </w:r>
      <w:r w:rsidR="002F33CF" w:rsidRPr="003D1E07">
        <w:t>N</w:t>
      </w:r>
      <w:r w:rsidR="082A5FA9" w:rsidRPr="003D1E07">
        <w:t xml:space="preserve">eoplatonikové </w:t>
      </w:r>
      <w:r w:rsidR="08BF184C" w:rsidRPr="003D1E07">
        <w:t xml:space="preserve">začali </w:t>
      </w:r>
      <w:r w:rsidR="085125AA" w:rsidRPr="003D1E07">
        <w:t xml:space="preserve">v následujících staletích </w:t>
      </w:r>
      <w:r w:rsidR="08153144" w:rsidRPr="003D1E07">
        <w:t xml:space="preserve">teoretizovat </w:t>
      </w:r>
      <w:r w:rsidR="082A5FA9" w:rsidRPr="003D1E07">
        <w:t xml:space="preserve">platonský </w:t>
      </w:r>
      <w:r w:rsidR="08153144" w:rsidRPr="003D1E07">
        <w:t>ped</w:t>
      </w:r>
      <w:r w:rsidR="08BF184C" w:rsidRPr="003D1E07">
        <w:t>ag</w:t>
      </w:r>
      <w:r w:rsidR="08153144" w:rsidRPr="003D1E07">
        <w:t>og</w:t>
      </w:r>
      <w:r w:rsidR="08BF184C" w:rsidRPr="003D1E07">
        <w:t>ický</w:t>
      </w:r>
      <w:r w:rsidR="08266FC9" w:rsidRPr="003D1E07">
        <w:t xml:space="preserve"> mýtus. K </w:t>
      </w:r>
      <w:r w:rsidR="08BF184C" w:rsidRPr="003D1E07">
        <w:t xml:space="preserve"> tomu si vzali </w:t>
      </w:r>
      <w:r w:rsidR="0848297B" w:rsidRPr="003D1E07">
        <w:t xml:space="preserve">na </w:t>
      </w:r>
      <w:r w:rsidR="0848297B" w:rsidRPr="003D1E07">
        <w:lastRenderedPageBreak/>
        <w:t xml:space="preserve">pomoc </w:t>
      </w:r>
      <w:r w:rsidR="087B0685" w:rsidRPr="003D1E07">
        <w:t xml:space="preserve">mytologickou </w:t>
      </w:r>
      <w:r w:rsidR="08266FC9" w:rsidRPr="003D1E07">
        <w:t>kosmogoni</w:t>
      </w:r>
      <w:r w:rsidR="087B0685" w:rsidRPr="003D1E07">
        <w:t>i</w:t>
      </w:r>
      <w:r w:rsidR="08266FC9" w:rsidRPr="003D1E07">
        <w:t xml:space="preserve"> podanou v dialogu </w:t>
      </w:r>
      <w:r w:rsidR="08BF184C" w:rsidRPr="003D1E07">
        <w:rPr>
          <w:i/>
        </w:rPr>
        <w:t>Timaios</w:t>
      </w:r>
      <w:r w:rsidR="08BF184C" w:rsidRPr="003D1E07">
        <w:t xml:space="preserve">. </w:t>
      </w:r>
      <w:r w:rsidR="08EF01AF" w:rsidRPr="003D1E07">
        <w:t>Z </w:t>
      </w:r>
      <w:r w:rsidR="0867057E" w:rsidRPr="003D1E07">
        <w:t>platonského</w:t>
      </w:r>
      <w:r w:rsidR="08EF01AF" w:rsidRPr="003D1E07">
        <w:t xml:space="preserve"> simulákra parodujícího původní </w:t>
      </w:r>
      <w:r w:rsidR="08EF01AF" w:rsidRPr="003D1E07">
        <w:rPr>
          <w:i/>
        </w:rPr>
        <w:t>Lichtung</w:t>
      </w:r>
      <w:r w:rsidR="08EF01AF" w:rsidRPr="003D1E07">
        <w:t xml:space="preserve"> </w:t>
      </w:r>
      <w:r w:rsidR="083D3DBA" w:rsidRPr="003D1E07">
        <w:t xml:space="preserve">pravdy a klamu </w:t>
      </w:r>
      <w:r w:rsidR="085C3E3B" w:rsidRPr="003D1E07">
        <w:t xml:space="preserve">vychází každý nový projekt </w:t>
      </w:r>
      <w:r w:rsidR="08D44E67" w:rsidRPr="003D1E07">
        <w:t>metafyzického pochybení (</w:t>
      </w:r>
      <w:r w:rsidR="08D44E67" w:rsidRPr="003D1E07">
        <w:rPr>
          <w:i/>
        </w:rPr>
        <w:t>Irre</w:t>
      </w:r>
      <w:r w:rsidR="087427A4" w:rsidRPr="003D1E07">
        <w:t xml:space="preserve">). </w:t>
      </w:r>
      <w:r w:rsidR="08483422" w:rsidRPr="003D1E07">
        <w:t xml:space="preserve">Termíny Irre a </w:t>
      </w:r>
      <w:r w:rsidR="08483422" w:rsidRPr="003D1E07">
        <w:rPr>
          <w:i/>
        </w:rPr>
        <w:t>Irrtum</w:t>
      </w:r>
      <w:r w:rsidR="08483422" w:rsidRPr="003D1E07">
        <w:t xml:space="preserve"> ukazují celkové dění metafyziky z hlediska jejího bytostného určení, které je dáno na objektivně zcela skrytém začátku toho či onoho epochálního obratu metafyziky. </w:t>
      </w:r>
      <w:r w:rsidR="08483422" w:rsidRPr="003D1E07">
        <w:rPr>
          <w:lang w:eastAsia="en-US"/>
        </w:rPr>
        <w:t>Rozbor objektivity proto začíná u arch</w:t>
      </w:r>
      <w:r w:rsidR="08E37F8F" w:rsidRPr="003D1E07">
        <w:rPr>
          <w:lang w:eastAsia="en-US"/>
        </w:rPr>
        <w:t>a</w:t>
      </w:r>
      <w:r w:rsidR="08483422" w:rsidRPr="003D1E07">
        <w:rPr>
          <w:lang w:eastAsia="en-US"/>
        </w:rPr>
        <w:t xml:space="preserve">ické podoby </w:t>
      </w:r>
      <w:r w:rsidR="08483422" w:rsidRPr="003D1E07">
        <w:rPr>
          <w:i/>
        </w:rPr>
        <w:t>Irre</w:t>
      </w:r>
      <w:r w:rsidR="08483422" w:rsidRPr="003D1E07">
        <w:rPr>
          <w:lang w:eastAsia="en-US"/>
        </w:rPr>
        <w:t>. Jsoucno v dějinné konstelaci tvoří součást dění pravdy jako po</w:t>
      </w:r>
      <w:r w:rsidR="08483422" w:rsidRPr="003D1E07">
        <w:rPr>
          <w:lang w:eastAsia="en-US"/>
        </w:rPr>
        <w:noBreakHyphen/>
        <w:t>odkrytosti (</w:t>
      </w:r>
      <w:r w:rsidR="08483422" w:rsidRPr="003D1E07">
        <w:rPr>
          <w:i/>
          <w:lang w:eastAsia="en-US"/>
        </w:rPr>
        <w:t>a/létheia</w:t>
      </w:r>
      <w:r w:rsidR="08483422" w:rsidRPr="003D1E07">
        <w:rPr>
          <w:lang w:eastAsia="en-US"/>
        </w:rPr>
        <w:t xml:space="preserve">). Působení této původní dějinnosti </w:t>
      </w:r>
      <w:r w:rsidR="08323142" w:rsidRPr="003D1E07">
        <w:rPr>
          <w:lang w:eastAsia="en-US"/>
        </w:rPr>
        <w:t xml:space="preserve">v modu metafyzického </w:t>
      </w:r>
      <w:r w:rsidR="08323142" w:rsidRPr="003D1E07">
        <w:rPr>
          <w:i/>
          <w:lang w:eastAsia="en-US"/>
        </w:rPr>
        <w:t>Lichtung</w:t>
      </w:r>
      <w:r w:rsidR="08323142" w:rsidRPr="003D1E07">
        <w:rPr>
          <w:i/>
          <w:lang w:eastAsia="en-US"/>
        </w:rPr>
        <w:fldChar w:fldCharType="begin"/>
      </w:r>
      <w:r w:rsidR="08323142" w:rsidRPr="003D1E07">
        <w:instrText xml:space="preserve"> XE "</w:instrText>
      </w:r>
      <w:r w:rsidR="08323142" w:rsidRPr="003D1E07">
        <w:rPr>
          <w:i/>
          <w:lang w:eastAsia="en-US"/>
        </w:rPr>
        <w:instrText>Lichtung</w:instrText>
      </w:r>
      <w:r w:rsidR="08323142" w:rsidRPr="003D1E07">
        <w:rPr>
          <w:lang w:eastAsia="en-US"/>
        </w:rPr>
        <w:instrText>:metafyzika</w:instrText>
      </w:r>
      <w:r w:rsidR="08323142" w:rsidRPr="003D1E07">
        <w:instrText xml:space="preserve">" </w:instrText>
      </w:r>
      <w:r w:rsidR="08323142" w:rsidRPr="003D1E07">
        <w:rPr>
          <w:i/>
          <w:lang w:eastAsia="en-US"/>
        </w:rPr>
        <w:fldChar w:fldCharType="end"/>
      </w:r>
      <w:r w:rsidR="08323142" w:rsidRPr="003D1E07">
        <w:rPr>
          <w:lang w:eastAsia="en-US"/>
        </w:rPr>
        <w:t xml:space="preserve"> </w:t>
      </w:r>
      <w:r w:rsidR="08483422" w:rsidRPr="003D1E07">
        <w:rPr>
          <w:lang w:eastAsia="en-US"/>
        </w:rPr>
        <w:t xml:space="preserve">transformuje </w:t>
      </w:r>
      <w:r w:rsidR="084216EB" w:rsidRPr="003D1E07">
        <w:rPr>
          <w:lang w:eastAsia="en-US"/>
        </w:rPr>
        <w:t>metafyziku</w:t>
      </w:r>
      <w:r w:rsidR="08483422" w:rsidRPr="003D1E07">
        <w:rPr>
          <w:lang w:eastAsia="en-US"/>
        </w:rPr>
        <w:t xml:space="preserve"> ze staré podoby na novou. </w:t>
      </w:r>
      <w:r w:rsidR="08BA79B3" w:rsidRPr="003D1E07">
        <w:t xml:space="preserve">V prostoru původní </w:t>
      </w:r>
      <w:r w:rsidR="08BA79B3" w:rsidRPr="003D1E07">
        <w:rPr>
          <w:i/>
        </w:rPr>
        <w:t>a/létheia</w:t>
      </w:r>
      <w:r w:rsidR="08BA79B3" w:rsidRPr="003D1E07">
        <w:t xml:space="preserve"> a </w:t>
      </w:r>
      <w:r w:rsidR="08BA79B3" w:rsidRPr="003D1E07">
        <w:rPr>
          <w:i/>
        </w:rPr>
        <w:t>Lichtung</w:t>
      </w:r>
      <w:r w:rsidR="08BA79B3" w:rsidRPr="003D1E07">
        <w:t xml:space="preserve"> existuje </w:t>
      </w:r>
      <w:r w:rsidR="08BA79B3" w:rsidRPr="003D1E07">
        <w:rPr>
          <w:i/>
        </w:rPr>
        <w:t>alétheia</w:t>
      </w:r>
      <w:r w:rsidR="08BA79B3" w:rsidRPr="003D1E07">
        <w:t xml:space="preserve"> metafyziky jako světlo a stín, pravda a klam. Temnota skrytého bytí a šerosvit budoucích možností mytopoetické správnosti (</w:t>
      </w:r>
      <w:r w:rsidR="08BA79B3" w:rsidRPr="003D1E07">
        <w:rPr>
          <w:i/>
        </w:rPr>
        <w:t>veritas</w:t>
      </w:r>
      <w:r w:rsidR="08BA79B3" w:rsidRPr="003D1E07">
        <w:t xml:space="preserve">) zakládá manifestaci každého metafyzického smyslu jsoucna. </w:t>
      </w:r>
      <w:r w:rsidR="08483422" w:rsidRPr="003D1E07">
        <w:rPr>
          <w:lang w:eastAsia="en-US"/>
        </w:rPr>
        <w:t xml:space="preserve">Archeologický </w:t>
      </w:r>
      <w:r w:rsidR="08483422" w:rsidRPr="003D1E07">
        <w:t xml:space="preserve">výklad </w:t>
      </w:r>
      <w:r w:rsidR="084216EB" w:rsidRPr="003D1E07">
        <w:t>sledující archegetickou séma</w:t>
      </w:r>
      <w:r w:rsidR="00194927">
        <w:t>n</w:t>
      </w:r>
      <w:r w:rsidR="084216EB" w:rsidRPr="003D1E07">
        <w:t xml:space="preserve">tiku bytí </w:t>
      </w:r>
      <w:r w:rsidR="08483422" w:rsidRPr="003D1E07">
        <w:t xml:space="preserve">hledá původní možnost objektivního vidění jsoucna. </w:t>
      </w:r>
      <w:r w:rsidR="08483422" w:rsidRPr="003D1E07">
        <w:rPr>
          <w:lang w:eastAsia="en-US"/>
        </w:rPr>
        <w:t>Tento postup umožňuje zkoumání fundamentálního pochybení (</w:t>
      </w:r>
      <w:r w:rsidR="08483422" w:rsidRPr="003D1E07">
        <w:rPr>
          <w:i/>
          <w:lang w:eastAsia="en-US"/>
        </w:rPr>
        <w:t>Irrtum</w:t>
      </w:r>
      <w:r w:rsidR="08483422" w:rsidRPr="003D1E07">
        <w:rPr>
          <w:lang w:eastAsia="en-US"/>
        </w:rPr>
        <w:t>) daného vzhledem k původní manifestaci bytí jsoucna (</w:t>
      </w:r>
      <w:r w:rsidR="08483422" w:rsidRPr="003D1E07">
        <w:rPr>
          <w:i/>
          <w:lang w:eastAsia="en-US"/>
        </w:rPr>
        <w:t>a</w:t>
      </w:r>
      <w:r w:rsidR="08527D08" w:rsidRPr="003D1E07">
        <w:rPr>
          <w:i/>
          <w:lang w:eastAsia="en-US"/>
        </w:rPr>
        <w:t>/</w:t>
      </w:r>
      <w:r w:rsidR="08483422" w:rsidRPr="003D1E07">
        <w:rPr>
          <w:i/>
          <w:lang w:eastAsia="en-US"/>
        </w:rPr>
        <w:t>létheia</w:t>
      </w:r>
      <w:r w:rsidR="08483422" w:rsidRPr="003D1E07">
        <w:rPr>
          <w:lang w:eastAsia="en-US"/>
        </w:rPr>
        <w:t xml:space="preserve">). </w:t>
      </w:r>
      <w:r w:rsidR="08527D08" w:rsidRPr="003D1E07">
        <w:rPr>
          <w:lang w:eastAsia="en-US"/>
        </w:rPr>
        <w:t xml:space="preserve">Po založení metafyziky přešla archegetická funkce na </w:t>
      </w:r>
      <w:r w:rsidR="08FE7A86" w:rsidRPr="003D1E07">
        <w:rPr>
          <w:lang w:eastAsia="en-US"/>
        </w:rPr>
        <w:t xml:space="preserve">poznanou </w:t>
      </w:r>
      <w:r w:rsidR="08527D08" w:rsidRPr="003D1E07">
        <w:rPr>
          <w:lang w:eastAsia="en-US"/>
        </w:rPr>
        <w:t xml:space="preserve">substanci, která v modu </w:t>
      </w:r>
      <w:r w:rsidR="081E48BA" w:rsidRPr="003D1E07">
        <w:rPr>
          <w:lang w:eastAsia="en-US"/>
        </w:rPr>
        <w:t>subjektivně daného základu (</w:t>
      </w:r>
      <w:r w:rsidR="081E48BA" w:rsidRPr="003D1E07">
        <w:rPr>
          <w:i/>
          <w:lang w:eastAsia="en-US"/>
        </w:rPr>
        <w:t>Grund</w:t>
      </w:r>
      <w:r w:rsidR="081E48BA" w:rsidRPr="003D1E07">
        <w:rPr>
          <w:lang w:eastAsia="en-US"/>
        </w:rPr>
        <w:t xml:space="preserve">) </w:t>
      </w:r>
      <w:r w:rsidR="08527D08" w:rsidRPr="003D1E07">
        <w:rPr>
          <w:lang w:eastAsia="en-US"/>
        </w:rPr>
        <w:t>nese zakládající dění</w:t>
      </w:r>
      <w:r w:rsidR="08E519A8" w:rsidRPr="003D1E07">
        <w:rPr>
          <w:lang w:eastAsia="en-US"/>
        </w:rPr>
        <w:t xml:space="preserve"> metafyziky</w:t>
      </w:r>
      <w:r w:rsidR="08527D08" w:rsidRPr="003D1E07">
        <w:rPr>
          <w:lang w:eastAsia="en-US"/>
        </w:rPr>
        <w:t xml:space="preserve">. </w:t>
      </w:r>
      <w:r w:rsidR="086278A1" w:rsidRPr="003D1E07">
        <w:rPr>
          <w:lang w:eastAsia="en-US"/>
        </w:rPr>
        <w:t xml:space="preserve">Ipseita celku jsoucna daná </w:t>
      </w:r>
      <w:r w:rsidR="08FE02C7" w:rsidRPr="003D1E07">
        <w:rPr>
          <w:lang w:eastAsia="en-US"/>
        </w:rPr>
        <w:t xml:space="preserve">původním </w:t>
      </w:r>
      <w:r w:rsidR="08265113" w:rsidRPr="003D1E07">
        <w:rPr>
          <w:lang w:eastAsia="en-US"/>
        </w:rPr>
        <w:t xml:space="preserve">jedinečným </w:t>
      </w:r>
      <w:r w:rsidR="08FE02C7" w:rsidRPr="003D1E07">
        <w:rPr>
          <w:lang w:eastAsia="en-US"/>
        </w:rPr>
        <w:t xml:space="preserve">děním božského zakládání a </w:t>
      </w:r>
      <w:r w:rsidR="08265113" w:rsidRPr="003D1E07">
        <w:rPr>
          <w:lang w:eastAsia="en-US"/>
        </w:rPr>
        <w:t xml:space="preserve">odpovídajícím darem </w:t>
      </w:r>
      <w:r w:rsidR="08FE02C7" w:rsidRPr="003D1E07">
        <w:rPr>
          <w:lang w:eastAsia="en-US"/>
        </w:rPr>
        <w:t xml:space="preserve">archaického vidění </w:t>
      </w:r>
      <w:r w:rsidR="086278A1" w:rsidRPr="003D1E07">
        <w:rPr>
          <w:lang w:eastAsia="en-US"/>
        </w:rPr>
        <w:t xml:space="preserve">se změnila na identitu substance </w:t>
      </w:r>
      <w:r w:rsidR="08265113" w:rsidRPr="003D1E07">
        <w:rPr>
          <w:lang w:eastAsia="en-US"/>
        </w:rPr>
        <w:t xml:space="preserve">definovanou iterativně a </w:t>
      </w:r>
      <w:r w:rsidR="086278A1" w:rsidRPr="003D1E07">
        <w:rPr>
          <w:lang w:eastAsia="en-US"/>
        </w:rPr>
        <w:t>esenciálně</w:t>
      </w:r>
      <w:r w:rsidR="08835C99" w:rsidRPr="003D1E07">
        <w:rPr>
          <w:lang w:eastAsia="en-US"/>
        </w:rPr>
        <w:t xml:space="preserve"> v modu platonské </w:t>
      </w:r>
      <w:r w:rsidR="0894178E" w:rsidRPr="003D1E07">
        <w:rPr>
          <w:lang w:eastAsia="en-US"/>
        </w:rPr>
        <w:t xml:space="preserve">a aristotelské </w:t>
      </w:r>
      <w:r w:rsidR="00020395" w:rsidRPr="006F25C0">
        <w:rPr>
          <w:i/>
          <w:noProof w:val="0"/>
          <w:lang w:val="en-US"/>
        </w:rPr>
        <w:t>veritas</w:t>
      </w:r>
      <w:r w:rsidR="00020395">
        <w:rPr>
          <w:i/>
          <w:noProof w:val="0"/>
          <w:lang w:val="en-US"/>
        </w:rPr>
        <w:t>.</w:t>
      </w:r>
      <w:r w:rsidR="086278A1" w:rsidRPr="003D1E07">
        <w:rPr>
          <w:lang w:eastAsia="en-US"/>
        </w:rPr>
        <w:t xml:space="preserve"> </w:t>
      </w:r>
      <w:r w:rsidR="08B80030" w:rsidRPr="003D1E07">
        <w:t>Metafyzik</w:t>
      </w:r>
      <w:r w:rsidR="084B3D86" w:rsidRPr="003D1E07">
        <w:t xml:space="preserve">a není ve své podstatě nic jiného, než dějiny </w:t>
      </w:r>
      <w:r w:rsidR="08B627FD" w:rsidRPr="003D1E07">
        <w:t>jednotlivých gigantomachií</w:t>
      </w:r>
      <w:r w:rsidR="08B80030" w:rsidRPr="003D1E07">
        <w:t xml:space="preserve"> o </w:t>
      </w:r>
      <w:r w:rsidR="086A5C7F" w:rsidRPr="003D1E07">
        <w:t>substanci</w:t>
      </w:r>
      <w:r w:rsidR="08B80030" w:rsidRPr="003D1E07">
        <w:t xml:space="preserve">. </w:t>
      </w:r>
      <w:r w:rsidR="085C3E3B" w:rsidRPr="003D1E07">
        <w:t xml:space="preserve">Skryté </w:t>
      </w:r>
      <w:r w:rsidR="087427A4" w:rsidRPr="003D1E07">
        <w:t xml:space="preserve">dění </w:t>
      </w:r>
      <w:r w:rsidR="08F60A8D" w:rsidRPr="003D1E07">
        <w:t xml:space="preserve">múzického celku </w:t>
      </w:r>
      <w:r w:rsidR="085C3E3B" w:rsidRPr="003D1E07">
        <w:t>bytí s</w:t>
      </w:r>
      <w:r w:rsidR="08CD679D" w:rsidRPr="003D1E07">
        <w:t xml:space="preserve">e stává </w:t>
      </w:r>
      <w:r w:rsidR="08F60A8D" w:rsidRPr="003D1E07">
        <w:t xml:space="preserve">v metafyzice </w:t>
      </w:r>
      <w:r w:rsidR="08CD679D" w:rsidRPr="003D1E07">
        <w:t xml:space="preserve">bytím odkryté substance </w:t>
      </w:r>
      <w:r w:rsidR="085C3E3B" w:rsidRPr="003D1E07">
        <w:t xml:space="preserve">ve smyslu epochálně daného subjektivního a objektivního genitivu. </w:t>
      </w:r>
      <w:r w:rsidR="087427A4" w:rsidRPr="003D1E07">
        <w:t xml:space="preserve">Subjektivní a objektivní genitiv </w:t>
      </w:r>
      <w:r w:rsidR="08007E6D" w:rsidRPr="003D1E07">
        <w:t xml:space="preserve">vztažený k substanci </w:t>
      </w:r>
      <w:r w:rsidR="083F592F" w:rsidRPr="003D1E07">
        <w:t xml:space="preserve">zrušil </w:t>
      </w:r>
      <w:r w:rsidR="08F60A8D" w:rsidRPr="003D1E07">
        <w:t xml:space="preserve">původní dění archegetického </w:t>
      </w:r>
      <w:r w:rsidR="087427A4" w:rsidRPr="003D1E07">
        <w:t>dativu</w:t>
      </w:r>
      <w:r w:rsidR="08007E6D" w:rsidRPr="003D1E07">
        <w:t xml:space="preserve"> vztaženého k celku bytí jsoucna</w:t>
      </w:r>
      <w:r w:rsidR="087427A4" w:rsidRPr="003D1E07">
        <w:t xml:space="preserve">. Vytěsnění </w:t>
      </w:r>
      <w:r w:rsidR="08F60A8D" w:rsidRPr="003D1E07">
        <w:t>archegetického</w:t>
      </w:r>
      <w:r w:rsidR="082C10FB" w:rsidRPr="003D1E07">
        <w:t xml:space="preserve">, principiálního </w:t>
      </w:r>
      <w:r w:rsidR="08F60A8D" w:rsidRPr="003D1E07">
        <w:t xml:space="preserve">a pak i </w:t>
      </w:r>
      <w:r w:rsidR="082C10FB" w:rsidRPr="003D1E07">
        <w:t xml:space="preserve">metafyzického </w:t>
      </w:r>
      <w:r w:rsidR="087427A4" w:rsidRPr="003D1E07">
        <w:t xml:space="preserve">dativu </w:t>
      </w:r>
      <w:r w:rsidR="08262F22" w:rsidRPr="003D1E07">
        <w:t>skrze subjektivně-objektivní genitiv</w:t>
      </w:r>
      <w:r w:rsidR="087427A4" w:rsidRPr="003D1E07">
        <w:t xml:space="preserve"> nastolilo dějinnou zjevnost každé figury metafyziky</w:t>
      </w:r>
      <w:r w:rsidR="085063EF" w:rsidRPr="003D1E07">
        <w:t xml:space="preserve"> v modu </w:t>
      </w:r>
      <w:r w:rsidR="085063EF" w:rsidRPr="003D1E07">
        <w:rPr>
          <w:i/>
        </w:rPr>
        <w:t>Irrtum</w:t>
      </w:r>
      <w:r w:rsidR="080652DC" w:rsidRPr="003D1E07">
        <w:t xml:space="preserve">. Průvod těchto simuláker </w:t>
      </w:r>
      <w:r w:rsidR="08156CF2" w:rsidRPr="003D1E07">
        <w:t xml:space="preserve">přistavuje </w:t>
      </w:r>
      <w:r w:rsidR="086B72E7" w:rsidRPr="003D1E07">
        <w:t xml:space="preserve">stále </w:t>
      </w:r>
      <w:r w:rsidR="087427A4" w:rsidRPr="003D1E07">
        <w:t xml:space="preserve">nový smysl jsoucna </w:t>
      </w:r>
      <w:r w:rsidR="084463F7" w:rsidRPr="003D1E07">
        <w:t xml:space="preserve">do </w:t>
      </w:r>
      <w:r w:rsidR="086B72E7" w:rsidRPr="003D1E07">
        <w:t>dějin moderního myšlení</w:t>
      </w:r>
      <w:r w:rsidR="08595093" w:rsidRPr="003D1E07">
        <w:t xml:space="preserve"> v technickém modu </w:t>
      </w:r>
      <w:r w:rsidR="08595093" w:rsidRPr="003D1E07">
        <w:rPr>
          <w:i/>
        </w:rPr>
        <w:t>Ge-Stell</w:t>
      </w:r>
      <w:r w:rsidR="00754E5A" w:rsidRPr="003D1E07">
        <w:rPr>
          <w:i/>
        </w:rPr>
        <w:fldChar w:fldCharType="begin"/>
      </w:r>
      <w:r w:rsidR="00754E5A" w:rsidRPr="003D1E07">
        <w:instrText xml:space="preserve"> XE "</w:instrText>
      </w:r>
      <w:r w:rsidR="00754E5A" w:rsidRPr="003D1E07">
        <w:rPr>
          <w:i/>
        </w:rPr>
        <w:instrText>Ge-Stell</w:instrText>
      </w:r>
      <w:r w:rsidR="00754E5A" w:rsidRPr="003D1E07">
        <w:instrText xml:space="preserve">" </w:instrText>
      </w:r>
      <w:r w:rsidR="00754E5A" w:rsidRPr="003D1E07">
        <w:rPr>
          <w:i/>
        </w:rPr>
        <w:fldChar w:fldCharType="end"/>
      </w:r>
      <w:r w:rsidR="087427A4" w:rsidRPr="003D1E07">
        <w:t xml:space="preserve">. </w:t>
      </w:r>
      <w:r w:rsidR="00F831BF" w:rsidRPr="003D1E07">
        <w:t xml:space="preserve">Dění v prostoru </w:t>
      </w:r>
      <w:r w:rsidR="087427A4" w:rsidRPr="003D1E07">
        <w:t xml:space="preserve">metafyzického simulákra </w:t>
      </w:r>
      <w:r w:rsidR="08443D23" w:rsidRPr="003D1E07">
        <w:t xml:space="preserve">pravdy </w:t>
      </w:r>
      <w:r w:rsidR="080D5463" w:rsidRPr="003D1E07">
        <w:t>nevidí původní ipseitu</w:t>
      </w:r>
      <w:r w:rsidR="08443D23" w:rsidRPr="003D1E07">
        <w:t xml:space="preserve"> </w:t>
      </w:r>
      <w:r w:rsidR="00B009A8" w:rsidRPr="003D1E07">
        <w:t xml:space="preserve">bytí </w:t>
      </w:r>
      <w:r w:rsidR="080D5463" w:rsidRPr="003D1E07">
        <w:t>dan</w:t>
      </w:r>
      <w:r w:rsidR="08D447F0" w:rsidRPr="003D1E07">
        <w:t>ou</w:t>
      </w:r>
      <w:r w:rsidR="080D5463" w:rsidRPr="003D1E07">
        <w:t xml:space="preserve"> </w:t>
      </w:r>
      <w:r w:rsidR="082C10FB" w:rsidRPr="003D1E07">
        <w:t xml:space="preserve">archegetickým </w:t>
      </w:r>
      <w:r w:rsidR="08832AC2" w:rsidRPr="003D1E07">
        <w:t xml:space="preserve">apollinským a </w:t>
      </w:r>
      <w:r w:rsidR="082C10FB" w:rsidRPr="003D1E07">
        <w:t xml:space="preserve">principálním </w:t>
      </w:r>
      <w:r w:rsidR="08832AC2" w:rsidRPr="003D1E07">
        <w:t>sokratovským dativem</w:t>
      </w:r>
      <w:r w:rsidR="08443D23" w:rsidRPr="003D1E07">
        <w:t>. O</w:t>
      </w:r>
      <w:r w:rsidR="089A1B99" w:rsidRPr="003D1E07">
        <w:t xml:space="preserve">bjektivně </w:t>
      </w:r>
      <w:r w:rsidR="08D266E7" w:rsidRPr="003D1E07">
        <w:t>osvícení troglo</w:t>
      </w:r>
      <w:r w:rsidR="08A515A9" w:rsidRPr="003D1E07">
        <w:t>dyté už nemohou přejít zpět do d</w:t>
      </w:r>
      <w:r w:rsidR="08D266E7" w:rsidRPr="003D1E07">
        <w:t>elfské jeskyně</w:t>
      </w:r>
      <w:r w:rsidR="08971C84" w:rsidRPr="003D1E07">
        <w:t>, kde vládne primární ipseita božského dění. P</w:t>
      </w:r>
      <w:r w:rsidR="085E6663" w:rsidRPr="003D1E07">
        <w:t xml:space="preserve">roto si zbožštili Sokrata v modu </w:t>
      </w:r>
      <w:r w:rsidR="085E6663" w:rsidRPr="003D1E07">
        <w:rPr>
          <w:i/>
        </w:rPr>
        <w:t>idem</w:t>
      </w:r>
      <w:r w:rsidR="085E6663" w:rsidRPr="003D1E07">
        <w:t xml:space="preserve"> na první </w:t>
      </w:r>
      <w:r w:rsidR="08B35A55" w:rsidRPr="003D1E07">
        <w:t xml:space="preserve">oddělenou </w:t>
      </w:r>
      <w:r w:rsidR="085E6663" w:rsidRPr="003D1E07">
        <w:t xml:space="preserve">kauzu </w:t>
      </w:r>
      <w:r w:rsidR="08B35A55" w:rsidRPr="003D1E07">
        <w:t xml:space="preserve">všeho </w:t>
      </w:r>
      <w:r w:rsidR="0814619D" w:rsidRPr="003D1E07">
        <w:t xml:space="preserve">vzniku a </w:t>
      </w:r>
      <w:r w:rsidR="08B35A55" w:rsidRPr="003D1E07">
        <w:t xml:space="preserve">pohybu </w:t>
      </w:r>
      <w:r w:rsidR="085E6663" w:rsidRPr="003D1E07">
        <w:t xml:space="preserve">a </w:t>
      </w:r>
      <w:r w:rsidR="08971C84" w:rsidRPr="003D1E07">
        <w:t xml:space="preserve">na </w:t>
      </w:r>
      <w:r w:rsidR="085E6663" w:rsidRPr="003D1E07">
        <w:t>nehybného teoretika.</w:t>
      </w:r>
      <w:r w:rsidR="080718F8" w:rsidRPr="003D1E07">
        <w:t xml:space="preserve"> </w:t>
      </w:r>
      <w:r w:rsidR="089A1B99" w:rsidRPr="003D1E07">
        <w:t xml:space="preserve">Moderna </w:t>
      </w:r>
      <w:r w:rsidR="080718F8" w:rsidRPr="003D1E07">
        <w:t xml:space="preserve">se nemůže vidět </w:t>
      </w:r>
      <w:r w:rsidR="089970AA" w:rsidRPr="003D1E07">
        <w:t>archaicky-</w:t>
      </w:r>
      <w:r w:rsidR="080718F8" w:rsidRPr="003D1E07">
        <w:t xml:space="preserve">epochálně, protože nemá původní pojetí pravdy založené na pythické </w:t>
      </w:r>
      <w:r w:rsidR="080718F8" w:rsidRPr="003D1E07">
        <w:rPr>
          <w:i/>
        </w:rPr>
        <w:t>epoché</w:t>
      </w:r>
      <w:r w:rsidR="080718F8" w:rsidRPr="003D1E07">
        <w:t xml:space="preserve">. Múzická pravda metafyzického </w:t>
      </w:r>
      <w:r w:rsidR="080718F8" w:rsidRPr="003D1E07">
        <w:lastRenderedPageBreak/>
        <w:t xml:space="preserve">simulákra je vidět </w:t>
      </w:r>
      <w:r w:rsidR="00F831BF" w:rsidRPr="003D1E07">
        <w:t xml:space="preserve">pouze </w:t>
      </w:r>
      <w:r w:rsidR="08701317" w:rsidRPr="003D1E07">
        <w:t xml:space="preserve">nasvícením pravdy </w:t>
      </w:r>
      <w:r w:rsidR="002477D7" w:rsidRPr="003D1E07">
        <w:t xml:space="preserve">z </w:t>
      </w:r>
      <w:r w:rsidR="086A7FA2" w:rsidRPr="003D1E07">
        <w:t xml:space="preserve">temnoty </w:t>
      </w:r>
      <w:r w:rsidR="089970AA" w:rsidRPr="003D1E07">
        <w:t xml:space="preserve">pythické </w:t>
      </w:r>
      <w:r w:rsidR="002477D7" w:rsidRPr="003D1E07">
        <w:t>jeskyně</w:t>
      </w:r>
      <w:r w:rsidR="00CF4ACD" w:rsidRPr="003D1E07">
        <w:t xml:space="preserve">, tedy od </w:t>
      </w:r>
      <w:r w:rsidR="009F42EA">
        <w:t>místa původního dění pravdy.</w:t>
      </w:r>
    </w:p>
    <w:p w14:paraId="2F031988" w14:textId="77777777" w:rsidR="00752A03" w:rsidRDefault="08192FE6" w:rsidP="003E3688">
      <w:pPr>
        <w:ind w:firstLine="397"/>
      </w:pPr>
      <w:r w:rsidRPr="003D1E07">
        <w:t xml:space="preserve">V počátku </w:t>
      </w:r>
      <w:r w:rsidR="08DB4EFE" w:rsidRPr="003D1E07">
        <w:t xml:space="preserve">každé </w:t>
      </w:r>
      <w:r w:rsidR="081310A4" w:rsidRPr="003D1E07">
        <w:t xml:space="preserve">nové </w:t>
      </w:r>
      <w:r w:rsidRPr="003D1E07">
        <w:t xml:space="preserve">figury metafyziky je jsoucno dáno v prostoru </w:t>
      </w:r>
      <w:r w:rsidR="083043EA" w:rsidRPr="003D1E07">
        <w:t xml:space="preserve">archegetické formy </w:t>
      </w:r>
      <w:r w:rsidRPr="003D1E07">
        <w:rPr>
          <w:i/>
        </w:rPr>
        <w:t>Lichtung</w:t>
      </w:r>
      <w:r w:rsidRPr="003D1E07">
        <w:t xml:space="preserve">, kde </w:t>
      </w:r>
      <w:r w:rsidR="083043EA" w:rsidRPr="003D1E07">
        <w:t xml:space="preserve">substance </w:t>
      </w:r>
      <w:r w:rsidRPr="003D1E07">
        <w:t>bytuje v</w:t>
      </w:r>
      <w:r w:rsidR="081310A4" w:rsidRPr="003D1E07">
        <w:t> múzické po-</w:t>
      </w:r>
      <w:r w:rsidRPr="003D1E07">
        <w:t>odkrytosti</w:t>
      </w:r>
      <w:r w:rsidR="081310A4" w:rsidRPr="003D1E07">
        <w:t xml:space="preserve"> pravdy a klamu (</w:t>
      </w:r>
      <w:r w:rsidR="081310A4" w:rsidRPr="003D1E07">
        <w:rPr>
          <w:i/>
        </w:rPr>
        <w:t>a/létheia</w:t>
      </w:r>
      <w:r w:rsidR="081310A4" w:rsidRPr="003D1E07">
        <w:t>)</w:t>
      </w:r>
      <w:r w:rsidRPr="003D1E07">
        <w:t xml:space="preserve">. </w:t>
      </w:r>
      <w:r w:rsidR="086B4300" w:rsidRPr="003D1E07">
        <w:t xml:space="preserve">Díky působení archaické pravdy tato nová forma ne/substance ještě </w:t>
      </w:r>
      <w:r w:rsidRPr="003D1E07">
        <w:t xml:space="preserve">není </w:t>
      </w:r>
      <w:r w:rsidR="086B4300" w:rsidRPr="003D1E07">
        <w:t>zjevná ve své pozitivní a veritativní pravdě</w:t>
      </w:r>
      <w:r w:rsidR="00047B8E" w:rsidRPr="003D1E07">
        <w:t>. Původní</w:t>
      </w:r>
      <w:r w:rsidR="00B50899" w:rsidRPr="003D1E07">
        <w:t xml:space="preserve"> podoba jsoucna existuje v múzické podobě </w:t>
      </w:r>
      <w:r w:rsidR="00671DCE">
        <w:t>metafyzické entity, kterou nazýváme „jsoucno třetího druhu“ (</w:t>
      </w:r>
      <w:r w:rsidR="001D388B" w:rsidRPr="003D1E07">
        <w:rPr>
          <w:i/>
          <w:noProof w:val="0"/>
        </w:rPr>
        <w:t>tertium ens</w:t>
      </w:r>
      <w:r w:rsidR="00671DCE">
        <w:rPr>
          <w:i/>
          <w:noProof w:val="0"/>
        </w:rPr>
        <w:fldChar w:fldCharType="begin"/>
      </w:r>
      <w:r w:rsidR="00671DCE">
        <w:instrText xml:space="preserve"> XE "</w:instrText>
      </w:r>
      <w:r w:rsidR="00671DCE" w:rsidRPr="009A2995">
        <w:rPr>
          <w:i/>
          <w:noProof w:val="0"/>
        </w:rPr>
        <w:instrText>tertium ens</w:instrText>
      </w:r>
      <w:r w:rsidR="00671DCE">
        <w:instrText xml:space="preserve">" </w:instrText>
      </w:r>
      <w:r w:rsidR="00671DCE">
        <w:rPr>
          <w:i/>
          <w:noProof w:val="0"/>
        </w:rPr>
        <w:fldChar w:fldCharType="end"/>
      </w:r>
      <w:r w:rsidR="00671DCE" w:rsidRPr="00671DCE">
        <w:rPr>
          <w:noProof w:val="0"/>
        </w:rPr>
        <w:t>)</w:t>
      </w:r>
      <w:r w:rsidRPr="003D1E07">
        <w:t xml:space="preserve">. </w:t>
      </w:r>
      <w:r w:rsidR="0878418E" w:rsidRPr="003D1E07">
        <w:t>To</w:t>
      </w:r>
      <w:r w:rsidRPr="003D1E07">
        <w:t xml:space="preserve">to zakládající dění </w:t>
      </w:r>
      <w:r w:rsidR="0878418E" w:rsidRPr="003D1E07">
        <w:t xml:space="preserve">ukázal </w:t>
      </w:r>
      <w:r w:rsidR="086E6613" w:rsidRPr="003D1E07">
        <w:t>jak r</w:t>
      </w:r>
      <w:r w:rsidR="0878418E" w:rsidRPr="003D1E07">
        <w:t xml:space="preserve">ozbor </w:t>
      </w:r>
      <w:r w:rsidR="08685075" w:rsidRPr="003D1E07">
        <w:t xml:space="preserve">platonského </w:t>
      </w:r>
      <w:r w:rsidRPr="003D1E07">
        <w:t>mýtu o jeskyni</w:t>
      </w:r>
      <w:r w:rsidR="00CD10F7">
        <w:t>,</w:t>
      </w:r>
      <w:r w:rsidRPr="003D1E07">
        <w:t xml:space="preserve"> tak </w:t>
      </w:r>
      <w:r w:rsidR="086E6613" w:rsidRPr="003D1E07">
        <w:t xml:space="preserve">výklad navazující </w:t>
      </w:r>
      <w:r w:rsidRPr="003D1E07">
        <w:t xml:space="preserve">aristotelské </w:t>
      </w:r>
      <w:r w:rsidR="0878418E" w:rsidRPr="003D1E07">
        <w:rPr>
          <w:i/>
        </w:rPr>
        <w:t>quidditas</w:t>
      </w:r>
      <w:r w:rsidR="0878418E" w:rsidRPr="003D1E07">
        <w:rPr>
          <w:i/>
        </w:rPr>
        <w:fldChar w:fldCharType="begin"/>
      </w:r>
      <w:r w:rsidR="0878418E" w:rsidRPr="003D1E07">
        <w:instrText xml:space="preserve"> XE "</w:instrText>
      </w:r>
      <w:r w:rsidR="0878418E" w:rsidRPr="003D1E07">
        <w:rPr>
          <w:i/>
        </w:rPr>
        <w:instrText>quidditas</w:instrText>
      </w:r>
      <w:r w:rsidR="0878418E" w:rsidRPr="003D1E07">
        <w:instrText xml:space="preserve">" </w:instrText>
      </w:r>
      <w:r w:rsidR="0878418E" w:rsidRPr="003D1E07">
        <w:rPr>
          <w:i/>
        </w:rPr>
        <w:fldChar w:fldCharType="end"/>
      </w:r>
      <w:r w:rsidR="007860B8" w:rsidRPr="003D1E07">
        <w:t>. Obě formy metafyzického dativu</w:t>
      </w:r>
      <w:r w:rsidRPr="003D1E07">
        <w:t xml:space="preserve"> jsou </w:t>
      </w:r>
      <w:r w:rsidR="0878418E" w:rsidRPr="003D1E07">
        <w:t xml:space="preserve">vázané na </w:t>
      </w:r>
      <w:r w:rsidR="083B0EA4" w:rsidRPr="003D1E07">
        <w:t xml:space="preserve">skryté působení </w:t>
      </w:r>
      <w:r w:rsidR="08D447F0" w:rsidRPr="003D1E07">
        <w:t xml:space="preserve">principiálního </w:t>
      </w:r>
      <w:r w:rsidR="0878418E" w:rsidRPr="003D1E07">
        <w:t>dativu</w:t>
      </w:r>
      <w:r w:rsidRPr="003D1E07">
        <w:t>, který je spojen s</w:t>
      </w:r>
      <w:r w:rsidR="08F13969" w:rsidRPr="003D1E07">
        <w:t xml:space="preserve"> archegetickou moudrostí božských </w:t>
      </w:r>
      <w:r w:rsidR="083B0EA4" w:rsidRPr="003D1E07">
        <w:t>mystérií</w:t>
      </w:r>
      <w:r w:rsidR="08B77861" w:rsidRPr="003D1E07">
        <w:t>. Přítomnost první substance jako „toto zde“ (τόδε τι</w:t>
      </w:r>
      <w:r w:rsidR="08B77861" w:rsidRPr="003D1E07">
        <w:fldChar w:fldCharType="begin"/>
      </w:r>
      <w:r w:rsidR="08B77861" w:rsidRPr="003D1E07">
        <w:instrText xml:space="preserve"> XE "substance:τόδε τι" </w:instrText>
      </w:r>
      <w:r w:rsidR="08B77861" w:rsidRPr="003D1E07">
        <w:fldChar w:fldCharType="end"/>
      </w:r>
      <w:r w:rsidR="08B77861" w:rsidRPr="003D1E07">
        <w:t>) tvoří v Aristotelově metafyzice zakládající událost nového myšlení</w:t>
      </w:r>
      <w:r w:rsidR="0090210F" w:rsidRPr="003D1E07">
        <w:t xml:space="preserve">. Shoda </w:t>
      </w:r>
      <w:r w:rsidR="00C318B6" w:rsidRPr="003D1E07">
        <w:t xml:space="preserve">myšlení a věci </w:t>
      </w:r>
      <w:r w:rsidR="0090210F" w:rsidRPr="003D1E07">
        <w:t xml:space="preserve">jde směrem k první substanci skryté v minulosti. </w:t>
      </w:r>
      <w:r w:rsidR="08B77861" w:rsidRPr="003D1E07">
        <w:t xml:space="preserve">Bez této aristotelské </w:t>
      </w:r>
      <w:r w:rsidR="0090210F" w:rsidRPr="003D1E07">
        <w:t>ne/</w:t>
      </w:r>
      <w:r w:rsidR="08B77861" w:rsidRPr="003D1E07">
        <w:t>přítomnosti substance pro myšlení by moderní metafyzika neměla své vlastní triadické pojetí pravdy dané na subjektivní vůli k moci. Epochu</w:t>
      </w:r>
      <w:r w:rsidR="002909D4" w:rsidRPr="003D1E07">
        <w:t xml:space="preserve"> objektivního zapomenutí jsoucna (</w:t>
      </w:r>
      <w:r w:rsidR="08B77861" w:rsidRPr="003D1E07">
        <w:rPr>
          <w:i/>
        </w:rPr>
        <w:t>Seinsvergessenheit</w:t>
      </w:r>
      <w:r w:rsidR="002909D4" w:rsidRPr="003D1E07">
        <w:t xml:space="preserve">) </w:t>
      </w:r>
      <w:r w:rsidR="08B77861" w:rsidRPr="003D1E07">
        <w:t>ustavuje moderní triáda pozitivní pravdivosti (</w:t>
      </w:r>
      <w:r w:rsidR="08B77861" w:rsidRPr="003D1E07">
        <w:rPr>
          <w:i/>
        </w:rPr>
        <w:t>verum</w:t>
      </w:r>
      <w:r w:rsidR="08B77861" w:rsidRPr="003D1E07">
        <w:t>), evidentní jistoty autonomně osvíceného myšlení (</w:t>
      </w:r>
      <w:r w:rsidR="08B77861" w:rsidRPr="003D1E07">
        <w:rPr>
          <w:i/>
        </w:rPr>
        <w:t>certum</w:t>
      </w:r>
      <w:r w:rsidR="08B77861" w:rsidRPr="003D1E07">
        <w:t>) a subjektivní správnosti (</w:t>
      </w:r>
      <w:r w:rsidR="08B77861" w:rsidRPr="003D1E07">
        <w:rPr>
          <w:i/>
        </w:rPr>
        <w:t>rectum</w:t>
      </w:r>
      <w:r w:rsidR="08B77861" w:rsidRPr="003D1E07">
        <w:t xml:space="preserve">). Tento hermeneutický trojúhelník zakládá nejen metafyzické myšlení, ale i celkový náhled na svět, proto má </w:t>
      </w:r>
      <w:r w:rsidR="08A01762" w:rsidRPr="003D1E07">
        <w:t xml:space="preserve">v epoše moderny </w:t>
      </w:r>
      <w:r w:rsidR="083043EA" w:rsidRPr="003D1E07">
        <w:t xml:space="preserve">archegetický </w:t>
      </w:r>
      <w:r w:rsidR="08B77861" w:rsidRPr="003D1E07">
        <w:t>charakter. Dění principu zakládá následnou iniciativu toho, co bylo založeno. Po vzniku metafyziky dané opuštěním původní filosofické moudrosti musí hermeneutika sledovat cestu dano</w:t>
      </w:r>
      <w:r w:rsidR="002B1CCE" w:rsidRPr="003D1E07">
        <w:t>u moderními bitvami o substanci</w:t>
      </w:r>
      <w:r w:rsidR="08B77861" w:rsidRPr="003D1E07">
        <w:t xml:space="preserve">. </w:t>
      </w:r>
      <w:r w:rsidR="005E27A0" w:rsidRPr="003D1E07">
        <w:t>Metafyzika vznikla po zániku filosofické moudrosti (</w:t>
      </w:r>
      <w:r w:rsidR="005E27A0" w:rsidRPr="003D1E07">
        <w:rPr>
          <w:i/>
        </w:rPr>
        <w:t>Seinsverlassenheit</w:t>
      </w:r>
      <w:r w:rsidR="005E27A0" w:rsidRPr="003D1E07">
        <w:t xml:space="preserve">) </w:t>
      </w:r>
      <w:r w:rsidR="007F63AC" w:rsidRPr="003D1E07">
        <w:t xml:space="preserve">a tuto božskou komedii </w:t>
      </w:r>
      <w:r w:rsidR="005E27A0" w:rsidRPr="003D1E07">
        <w:t>ří</w:t>
      </w:r>
      <w:r w:rsidR="007F63AC" w:rsidRPr="003D1E07">
        <w:t>dila v modu adekvace božská síla</w:t>
      </w:r>
      <w:r w:rsidR="005E27A0" w:rsidRPr="003D1E07">
        <w:t xml:space="preserve"> Apaté. </w:t>
      </w:r>
      <w:r w:rsidR="007F63AC" w:rsidRPr="003D1E07">
        <w:t xml:space="preserve">Výklad jde cestou gigantomachie o metafyzickou a objektivní substanci. Tato gigantomachie už běží v modu </w:t>
      </w:r>
      <w:r w:rsidR="007F63AC" w:rsidRPr="003D1E07">
        <w:rPr>
          <w:i/>
        </w:rPr>
        <w:t>Seinsvergessenheit</w:t>
      </w:r>
      <w:r w:rsidR="003D3575" w:rsidRPr="003D1E07">
        <w:t xml:space="preserve">. Tuto tragikomedii řídí </w:t>
      </w:r>
      <w:r w:rsidR="007F63AC" w:rsidRPr="003D1E07">
        <w:t>akademicky vzdělané Fúrie</w:t>
      </w:r>
      <w:r w:rsidR="00E5583C" w:rsidRPr="003D1E07">
        <w:t xml:space="preserve">. Tyto bytosti s diplomem </w:t>
      </w:r>
      <w:r w:rsidR="007F63AC" w:rsidRPr="003D1E07">
        <w:t>dostaly plně subjektivní charakter</w:t>
      </w:r>
      <w:r w:rsidR="00E5583C" w:rsidRPr="003D1E07">
        <w:t xml:space="preserve"> a proto mohly založit objektivitu</w:t>
      </w:r>
      <w:r w:rsidR="007F63AC" w:rsidRPr="003D1E07">
        <w:t xml:space="preserve">. </w:t>
      </w:r>
      <w:r w:rsidR="08A70C43" w:rsidRPr="003D1E07">
        <w:t>P</w:t>
      </w:r>
      <w:r w:rsidR="08B77861" w:rsidRPr="003D1E07">
        <w:t xml:space="preserve">ůvodní forma </w:t>
      </w:r>
      <w:r w:rsidR="08A70C43" w:rsidRPr="003D1E07">
        <w:t xml:space="preserve">Aristotelova </w:t>
      </w:r>
      <w:r w:rsidR="085E4F30" w:rsidRPr="003D1E07">
        <w:t xml:space="preserve">metafyzického </w:t>
      </w:r>
      <w:r w:rsidR="08B77861" w:rsidRPr="003D1E07">
        <w:t>dativu</w:t>
      </w:r>
      <w:r w:rsidR="08A70C43" w:rsidRPr="003D1E07">
        <w:t xml:space="preserve"> už působí </w:t>
      </w:r>
      <w:r w:rsidR="00313E97" w:rsidRPr="003D1E07">
        <w:t xml:space="preserve">v epoše </w:t>
      </w:r>
      <w:r w:rsidR="00313E97" w:rsidRPr="003D1E07">
        <w:rPr>
          <w:i/>
        </w:rPr>
        <w:t xml:space="preserve">Seinsverlassenheit </w:t>
      </w:r>
      <w:r w:rsidR="08A70C43" w:rsidRPr="003D1E07">
        <w:t xml:space="preserve">pouze z objektivně dané skrytosti. </w:t>
      </w:r>
      <w:r w:rsidR="08B77861" w:rsidRPr="003D1E07">
        <w:t xml:space="preserve">Ale Múzy jsou nesmrtelné </w:t>
      </w:r>
      <w:r w:rsidR="083F178B" w:rsidRPr="003D1E07">
        <w:t xml:space="preserve">síly </w:t>
      </w:r>
      <w:r w:rsidR="08B77861" w:rsidRPr="003D1E07">
        <w:t>a skry</w:t>
      </w:r>
      <w:r w:rsidR="004F48DC" w:rsidRPr="003D1E07">
        <w:t xml:space="preserve">tě působí i skrze moderní </w:t>
      </w:r>
      <w:r w:rsidR="00337F86">
        <w:t>museum</w:t>
      </w:r>
      <w:r w:rsidR="08B77861" w:rsidRPr="003D1E07">
        <w:t xml:space="preserve">. </w:t>
      </w:r>
      <w:r w:rsidR="08616703" w:rsidRPr="003D1E07">
        <w:t xml:space="preserve">Identita </w:t>
      </w:r>
      <w:r w:rsidR="007167BB" w:rsidRPr="003D1E07">
        <w:t xml:space="preserve">aristotelské </w:t>
      </w:r>
      <w:r w:rsidR="08616703" w:rsidRPr="003D1E07">
        <w:t xml:space="preserve">substance je dána skrze logický </w:t>
      </w:r>
      <w:r w:rsidR="08616703" w:rsidRPr="003D1E07">
        <w:rPr>
          <w:i/>
        </w:rPr>
        <w:t>modus ponens</w:t>
      </w:r>
      <w:r w:rsidR="08616703" w:rsidRPr="003D1E07">
        <w:t xml:space="preserve">, na kterém staví každá další epocha v modu </w:t>
      </w:r>
      <w:r w:rsidR="08616703" w:rsidRPr="003D1E07">
        <w:rPr>
          <w:i/>
        </w:rPr>
        <w:t>veritas</w:t>
      </w:r>
      <w:r w:rsidR="08616703" w:rsidRPr="003D1E07">
        <w:t xml:space="preserve">. </w:t>
      </w:r>
      <w:r w:rsidR="08B77861" w:rsidRPr="003D1E07">
        <w:t>Každá epocha metafyziky si v první fázi svého vzniku (</w:t>
      </w:r>
      <w:r w:rsidR="08B77861" w:rsidRPr="003D1E07">
        <w:rPr>
          <w:i/>
        </w:rPr>
        <w:t>Anfang</w:t>
      </w:r>
      <w:r w:rsidR="08B77861" w:rsidRPr="003D1E07">
        <w:t>) podržuje něco z původní události zakládání smyslu jsoucna</w:t>
      </w:r>
      <w:r w:rsidR="007C256B" w:rsidRPr="003D1E07">
        <w:t>. Metafyzická</w:t>
      </w:r>
      <w:r w:rsidR="08616703" w:rsidRPr="003D1E07">
        <w:t xml:space="preserve"> </w:t>
      </w:r>
      <w:r w:rsidR="08616703" w:rsidRPr="003D1E07">
        <w:rPr>
          <w:i/>
        </w:rPr>
        <w:t>alétheia</w:t>
      </w:r>
      <w:r w:rsidR="007C256B" w:rsidRPr="003D1E07">
        <w:t xml:space="preserve"> vzniká v prostoru múzického </w:t>
      </w:r>
      <w:r w:rsidR="007C256B" w:rsidRPr="003D1E07">
        <w:rPr>
          <w:i/>
        </w:rPr>
        <w:t>Lichtung</w:t>
      </w:r>
      <w:r w:rsidR="007C256B" w:rsidRPr="003D1E07">
        <w:t xml:space="preserve">, kde působí archegetická </w:t>
      </w:r>
      <w:r w:rsidR="007C256B" w:rsidRPr="003D1E07">
        <w:rPr>
          <w:i/>
        </w:rPr>
        <w:t>a/létheia</w:t>
      </w:r>
      <w:r w:rsidR="007C256B" w:rsidRPr="003D1E07">
        <w:t xml:space="preserve">. </w:t>
      </w:r>
      <w:r w:rsidR="088B15D1" w:rsidRPr="003D1E07">
        <w:t xml:space="preserve">Platon jako zasvěcenec mystérií ještě </w:t>
      </w:r>
      <w:r w:rsidR="088B15D1" w:rsidRPr="003D1E07">
        <w:lastRenderedPageBreak/>
        <w:t>dobře věděl, že Sokrat</w:t>
      </w:r>
      <w:r w:rsidR="0076070F" w:rsidRPr="003D1E07">
        <w:t>es</w:t>
      </w:r>
      <w:r w:rsidR="088B15D1" w:rsidRPr="003D1E07">
        <w:t xml:space="preserve"> vyšel </w:t>
      </w:r>
      <w:r w:rsidR="0076070F" w:rsidRPr="003D1E07">
        <w:t>z</w:t>
      </w:r>
      <w:r w:rsidR="088B15D1" w:rsidRPr="003D1E07">
        <w:t xml:space="preserve"> temné jeskyně orákul</w:t>
      </w:r>
      <w:r w:rsidR="0076070F" w:rsidRPr="003D1E07">
        <w:t>a</w:t>
      </w:r>
      <w:r w:rsidR="088B15D1" w:rsidRPr="003D1E07">
        <w:t xml:space="preserve"> Delf</w:t>
      </w:r>
      <w:r w:rsidR="0076070F" w:rsidRPr="003D1E07">
        <w:t xml:space="preserve"> na světlo </w:t>
      </w:r>
      <w:r w:rsidR="00992016" w:rsidRPr="003D1E07">
        <w:t xml:space="preserve">apollinské </w:t>
      </w:r>
      <w:r w:rsidR="0076070F" w:rsidRPr="003D1E07">
        <w:t>odkrytosti</w:t>
      </w:r>
      <w:r w:rsidR="088B15D1" w:rsidRPr="003D1E07">
        <w:t xml:space="preserve">. Ale osudem Západu stala metafyzika, v níž zmizelo počáteční </w:t>
      </w:r>
      <w:r w:rsidR="088B15D1" w:rsidRPr="003D1E07">
        <w:rPr>
          <w:i/>
        </w:rPr>
        <w:t>Lichtung</w:t>
      </w:r>
      <w:r w:rsidR="088B15D1" w:rsidRPr="003D1E07">
        <w:t xml:space="preserve"> vztažené k původnímu dění pravdy jako </w:t>
      </w:r>
      <w:r w:rsidR="088B15D1" w:rsidRPr="003D1E07">
        <w:rPr>
          <w:i/>
        </w:rPr>
        <w:t>a/létheia</w:t>
      </w:r>
      <w:r w:rsidR="088B15D1" w:rsidRPr="003D1E07">
        <w:rPr>
          <w:i/>
          <w:lang w:eastAsia="en-US"/>
        </w:rPr>
        <w:fldChar w:fldCharType="begin"/>
      </w:r>
      <w:r w:rsidR="088B15D1" w:rsidRPr="003D1E07">
        <w:instrText xml:space="preserve"> XE "</w:instrText>
      </w:r>
      <w:r w:rsidR="088B15D1" w:rsidRPr="003D1E07">
        <w:rPr>
          <w:i/>
          <w:lang w:eastAsia="en-US"/>
        </w:rPr>
        <w:instrText>a/létheia</w:instrText>
      </w:r>
      <w:r w:rsidR="088B15D1" w:rsidRPr="003D1E07">
        <w:instrText xml:space="preserve">" </w:instrText>
      </w:r>
      <w:r w:rsidR="088B15D1" w:rsidRPr="003D1E07">
        <w:rPr>
          <w:i/>
          <w:lang w:eastAsia="en-US"/>
        </w:rPr>
        <w:fldChar w:fldCharType="end"/>
      </w:r>
      <w:r w:rsidR="088B15D1" w:rsidRPr="003D1E07">
        <w:t>.</w:t>
      </w:r>
      <w:r w:rsidR="088B15D1" w:rsidRPr="003D1E07">
        <w:rPr>
          <w:lang w:eastAsia="en-US"/>
        </w:rPr>
        <w:t xml:space="preserve"> Metafyzika toto skryté dění pravdy dané v rámci původní události bytí (</w:t>
      </w:r>
      <w:r w:rsidR="088B15D1" w:rsidRPr="003D1E07">
        <w:rPr>
          <w:i/>
          <w:lang w:eastAsia="en-US"/>
        </w:rPr>
        <w:t>Ereignis</w:t>
      </w:r>
      <w:r w:rsidR="088B15D1" w:rsidRPr="003D1E07">
        <w:rPr>
          <w:i/>
        </w:rPr>
        <w:fldChar w:fldCharType="begin"/>
      </w:r>
      <w:r w:rsidR="088B15D1" w:rsidRPr="003D1E07">
        <w:instrText xml:space="preserve"> XE "metafyzika:Platon" </w:instrText>
      </w:r>
      <w:r w:rsidR="088B15D1" w:rsidRPr="003D1E07">
        <w:rPr>
          <w:i/>
        </w:rPr>
        <w:fldChar w:fldCharType="end"/>
      </w:r>
      <w:r w:rsidR="088B15D1" w:rsidRPr="003D1E07">
        <w:rPr>
          <w:lang w:eastAsia="en-US"/>
        </w:rPr>
        <w:t xml:space="preserve">) už nemůže vidět. Technici myšlení vidí svět pouze skrze metafyzicky dané dějiny filosofie. </w:t>
      </w:r>
      <w:r w:rsidR="087417D9" w:rsidRPr="003D1E07">
        <w:t>M</w:t>
      </w:r>
      <w:r w:rsidR="087417D9" w:rsidRPr="003D1E07">
        <w:rPr>
          <w:lang w:eastAsia="en-US"/>
        </w:rPr>
        <w:t xml:space="preserve">etafyzická substance dokonale, věčně a perfektně září ve světle trojí identity a pravdy jako </w:t>
      </w:r>
      <w:r w:rsidR="087417D9" w:rsidRPr="003D1E07">
        <w:rPr>
          <w:i/>
          <w:lang w:eastAsia="en-US"/>
        </w:rPr>
        <w:t>verum</w:t>
      </w:r>
      <w:r w:rsidR="087417D9" w:rsidRPr="003D1E07">
        <w:rPr>
          <w:lang w:eastAsia="en-US"/>
        </w:rPr>
        <w:t xml:space="preserve">, </w:t>
      </w:r>
      <w:r w:rsidR="087417D9" w:rsidRPr="003D1E07">
        <w:rPr>
          <w:i/>
          <w:lang w:eastAsia="en-US"/>
        </w:rPr>
        <w:t xml:space="preserve">certum </w:t>
      </w:r>
      <w:r w:rsidR="087417D9" w:rsidRPr="003D1E07">
        <w:rPr>
          <w:lang w:eastAsia="en-US"/>
        </w:rPr>
        <w:t xml:space="preserve">a </w:t>
      </w:r>
      <w:r w:rsidR="087417D9" w:rsidRPr="003D1E07">
        <w:rPr>
          <w:i/>
          <w:lang w:eastAsia="en-US"/>
        </w:rPr>
        <w:t>rectum</w:t>
      </w:r>
      <w:r w:rsidR="087417D9" w:rsidRPr="003D1E07">
        <w:rPr>
          <w:lang w:eastAsia="en-US"/>
        </w:rPr>
        <w:t xml:space="preserve">. </w:t>
      </w:r>
      <w:r w:rsidR="087417D9" w:rsidRPr="003D1E07">
        <w:t xml:space="preserve">Objektivně vidoucí subjekt má před sebou ideové slunce, které svítí nepřetržitě, protože intelekt iluminátů je veden věčnými matematickými pravdami. </w:t>
      </w:r>
      <w:r w:rsidR="088B15D1" w:rsidRPr="003D1E07">
        <w:t>Událost reálného zatmění slunce (</w:t>
      </w:r>
      <w:r w:rsidR="088B15D1" w:rsidRPr="003D1E07">
        <w:rPr>
          <w:i/>
        </w:rPr>
        <w:t>epoché</w:t>
      </w:r>
      <w:r w:rsidR="088B15D1" w:rsidRPr="003D1E07">
        <w:t xml:space="preserve">) a východ z temné jeskyně mystérií přestaly určovat myšlení Moderních. </w:t>
      </w:r>
      <w:r w:rsidR="08735F5A" w:rsidRPr="003D1E07">
        <w:t xml:space="preserve">Moderní identitu jsoucna zakládá osvícený intelekt. </w:t>
      </w:r>
      <w:r w:rsidR="088B15D1" w:rsidRPr="003D1E07">
        <w:t>Tragédie iluminátů je v tom, že vždy vidí správ</w:t>
      </w:r>
      <w:r w:rsidR="084667ED" w:rsidRPr="003D1E07">
        <w:t>ně a že se nikdy nemohou mýlit.</w:t>
      </w:r>
      <w:r w:rsidR="080A7D62" w:rsidRPr="003D1E07">
        <w:t xml:space="preserve"> Proto jsou pod vedením bohyně Apaté a Fúrii stále sami s</w:t>
      </w:r>
      <w:r w:rsidR="08594A97" w:rsidRPr="003D1E07">
        <w:t>ebou v epochálně dané identitě t</w:t>
      </w:r>
      <w:r w:rsidR="080A7D62" w:rsidRPr="003D1E07">
        <w:t>éhož</w:t>
      </w:r>
      <w:r w:rsidR="08594A97" w:rsidRPr="003D1E07">
        <w:t xml:space="preserve"> </w:t>
      </w:r>
      <w:r w:rsidR="08594A97" w:rsidRPr="003D1E07">
        <w:rPr>
          <w:i/>
        </w:rPr>
        <w:t>Irrtum</w:t>
      </w:r>
      <w:r w:rsidR="080A7D62" w:rsidRPr="003D1E07">
        <w:t>.</w:t>
      </w:r>
      <w:r w:rsidR="002F44F6" w:rsidRPr="003D1E07">
        <w:rPr>
          <w:lang w:eastAsia="en-US"/>
        </w:rPr>
        <w:t xml:space="preserve"> </w:t>
      </w:r>
      <w:r w:rsidR="08DB3636" w:rsidRPr="003D1E07">
        <w:t>Metafyzika začala působit v pozitivních dějinách myšlení (</w:t>
      </w:r>
      <w:r w:rsidR="08DB3636" w:rsidRPr="003D1E07">
        <w:rPr>
          <w:i/>
        </w:rPr>
        <w:t>Beginn</w:t>
      </w:r>
      <w:r w:rsidR="08DB3636" w:rsidRPr="003D1E07">
        <w:t xml:space="preserve">) díky </w:t>
      </w:r>
      <w:r w:rsidR="00CF75FD">
        <w:t xml:space="preserve">onticky pojaté </w:t>
      </w:r>
      <w:r w:rsidR="08DB3636" w:rsidRPr="003D1E07">
        <w:t xml:space="preserve">substanci. </w:t>
      </w:r>
      <w:r w:rsidR="08DB3636" w:rsidRPr="003D1E07">
        <w:rPr>
          <w:lang w:eastAsia="en-US"/>
        </w:rPr>
        <w:t>S</w:t>
      </w:r>
      <w:r w:rsidR="08DB3636" w:rsidRPr="003D1E07">
        <w:t>oučasný nihilismus zakládá smysl jsoucího skrze demiurgickou vůli k</w:t>
      </w:r>
      <w:r w:rsidR="00827E06" w:rsidRPr="003D1E07">
        <w:t> </w:t>
      </w:r>
      <w:r w:rsidR="08DB3636" w:rsidRPr="003D1E07">
        <w:t>moci</w:t>
      </w:r>
      <w:r w:rsidR="00827E06" w:rsidRPr="003D1E07">
        <w:t>, která tvoří radikálně subjektivní identitu celého světa</w:t>
      </w:r>
      <w:r w:rsidR="00752A03">
        <w:t>.</w:t>
      </w:r>
    </w:p>
    <w:p w14:paraId="755659AC" w14:textId="77777777" w:rsidR="00FF2B0D" w:rsidRDefault="0842738C" w:rsidP="003E3688">
      <w:pPr>
        <w:ind w:firstLine="397"/>
      </w:pPr>
      <w:r w:rsidRPr="003D1E07">
        <w:t xml:space="preserve">Hermeneutická archeologie </w:t>
      </w:r>
      <w:r w:rsidRPr="003D1E07">
        <w:rPr>
          <w:i/>
        </w:rPr>
        <w:fldChar w:fldCharType="begin"/>
      </w:r>
      <w:r w:rsidRPr="003D1E07">
        <w:instrText xml:space="preserve"> XE "hermeneutika:archeologie" </w:instrText>
      </w:r>
      <w:r w:rsidRPr="003D1E07">
        <w:rPr>
          <w:i/>
        </w:rPr>
        <w:fldChar w:fldCharType="end"/>
      </w:r>
      <w:r w:rsidRPr="003D1E07">
        <w:t>musí udělat krok zpět k původnímu bytí jsoucna, kde se objektivní triáda p</w:t>
      </w:r>
      <w:r w:rsidR="000F6FE0">
        <w:t>ravdy ukazuje v archaické formě</w:t>
      </w:r>
      <w:r w:rsidR="08AA01B5" w:rsidRPr="003D1E07">
        <w:t xml:space="preserve">. </w:t>
      </w:r>
      <w:r w:rsidR="08BF007C" w:rsidRPr="003D1E07">
        <w:t xml:space="preserve">Sokratovská pravda a nepravda </w:t>
      </w:r>
      <w:r w:rsidR="00DB3A06" w:rsidRPr="003D1E07">
        <w:t xml:space="preserve">sleduje celek </w:t>
      </w:r>
      <w:r w:rsidR="08BF007C" w:rsidRPr="003D1E07">
        <w:t xml:space="preserve">bytí, </w:t>
      </w:r>
      <w:r w:rsidR="00DB3A06" w:rsidRPr="003D1E07">
        <w:t>proto ji nelze pravdivě uchopit skrze pozitivní</w:t>
      </w:r>
      <w:r w:rsidR="08BF007C" w:rsidRPr="003D1E07">
        <w:t xml:space="preserve"> </w:t>
      </w:r>
      <w:r w:rsidR="00DB3A06" w:rsidRPr="003D1E07">
        <w:t xml:space="preserve">historii </w:t>
      </w:r>
      <w:r w:rsidR="000F0B1A" w:rsidRPr="003D1E07">
        <w:t xml:space="preserve">filosofie. Metafyzika </w:t>
      </w:r>
      <w:r w:rsidR="00DB3A06" w:rsidRPr="003D1E07">
        <w:t>postihuje</w:t>
      </w:r>
      <w:r w:rsidR="08BF007C" w:rsidRPr="003D1E07">
        <w:t xml:space="preserve"> pouze smysl jednotlivého jsoucna</w:t>
      </w:r>
      <w:r w:rsidR="008F1895">
        <w:t xml:space="preserve"> daného jako nějaká substance</w:t>
      </w:r>
      <w:r w:rsidR="08BF007C" w:rsidRPr="003D1E07">
        <w:t xml:space="preserve">. </w:t>
      </w:r>
      <w:r w:rsidR="082F27A0" w:rsidRPr="003D1E07">
        <w:t xml:space="preserve">Apollinská dějinnost skončila v dějinách západní filosofie s myšlením Sokrata a s moudrostí tragiků. </w:t>
      </w:r>
      <w:r w:rsidR="006B1E3A">
        <w:t xml:space="preserve">Po epoše řecké tragédie, která se týkala dění božských sil, začala božská </w:t>
      </w:r>
      <w:r w:rsidR="08C27754" w:rsidRPr="003D1E07">
        <w:t>komedie</w:t>
      </w:r>
      <w:r w:rsidR="081F138F" w:rsidRPr="003D1E07">
        <w:t xml:space="preserve"> </w:t>
      </w:r>
      <w:r w:rsidR="00306E02" w:rsidRPr="003D1E07">
        <w:t>metafyziky</w:t>
      </w:r>
      <w:r w:rsidR="00306E02">
        <w:t xml:space="preserve"> </w:t>
      </w:r>
      <w:r w:rsidR="081F138F" w:rsidRPr="003D1E07">
        <w:t xml:space="preserve">a lidská tragikomedie </w:t>
      </w:r>
      <w:r w:rsidR="00306E02">
        <w:t>objektivity</w:t>
      </w:r>
      <w:r w:rsidR="00A92F06">
        <w:t xml:space="preserve">. </w:t>
      </w:r>
      <w:r w:rsidR="00A92F06" w:rsidRPr="00A92F06">
        <w:t>Každá nová varianta metafyziky začíná tím, že starý význam substance je zastaralý a nová verze substance musí nahradit tu starou.</w:t>
      </w:r>
      <w:r w:rsidR="00A92F06">
        <w:t xml:space="preserve"> Původní </w:t>
      </w:r>
      <w:r w:rsidR="08C53F3E" w:rsidRPr="003D1E07">
        <w:t xml:space="preserve">bytí jsoucna je </w:t>
      </w:r>
      <w:r w:rsidR="00A92F06">
        <w:t xml:space="preserve">opakovaně </w:t>
      </w:r>
      <w:r w:rsidR="08C53F3E" w:rsidRPr="003D1E07">
        <w:t>zhasnuto v</w:t>
      </w:r>
      <w:r w:rsidR="00A92F06">
        <w:t xml:space="preserve"> moderní formě </w:t>
      </w:r>
      <w:r w:rsidR="08C53F3E" w:rsidRPr="003D1E07">
        <w:rPr>
          <w:i/>
        </w:rPr>
        <w:t>epoché</w:t>
      </w:r>
      <w:r w:rsidR="001F6D60">
        <w:rPr>
          <w:i/>
        </w:rPr>
        <w:fldChar w:fldCharType="begin"/>
      </w:r>
      <w:r w:rsidR="001F6D60">
        <w:instrText xml:space="preserve"> XE "</w:instrText>
      </w:r>
      <w:r w:rsidR="001F6D60" w:rsidRPr="008E5AE6">
        <w:rPr>
          <w:i/>
        </w:rPr>
        <w:instrText>epoché</w:instrText>
      </w:r>
      <w:r w:rsidR="001F6D60">
        <w:instrText xml:space="preserve">" </w:instrText>
      </w:r>
      <w:r w:rsidR="001F6D60">
        <w:rPr>
          <w:i/>
        </w:rPr>
        <w:fldChar w:fldCharType="end"/>
      </w:r>
      <w:r w:rsidR="08C976C9" w:rsidRPr="003D1E07">
        <w:t xml:space="preserve">. </w:t>
      </w:r>
      <w:r w:rsidR="0830564B" w:rsidRPr="003D1E07">
        <w:t>Múzická n</w:t>
      </w:r>
      <w:r w:rsidR="08C976C9" w:rsidRPr="003D1E07">
        <w:t xml:space="preserve">epravda a omyl v modu </w:t>
      </w:r>
      <w:r w:rsidR="08C976C9" w:rsidRPr="003D1E07">
        <w:rPr>
          <w:i/>
        </w:rPr>
        <w:t>Irre</w:t>
      </w:r>
      <w:r w:rsidR="08C976C9" w:rsidRPr="003D1E07">
        <w:t xml:space="preserve"> a </w:t>
      </w:r>
      <w:r w:rsidR="08C976C9" w:rsidRPr="003D1E07">
        <w:rPr>
          <w:i/>
        </w:rPr>
        <w:t>Irrtum</w:t>
      </w:r>
      <w:r w:rsidR="08C976C9" w:rsidRPr="003D1E07">
        <w:t xml:space="preserve"> st</w:t>
      </w:r>
      <w:r w:rsidR="0820066D" w:rsidRPr="003D1E07">
        <w:t xml:space="preserve">ojí na dění původní </w:t>
      </w:r>
      <w:r w:rsidR="084C1EF7" w:rsidRPr="003D1E07">
        <w:t xml:space="preserve">apollinské </w:t>
      </w:r>
      <w:r w:rsidR="0820066D" w:rsidRPr="003D1E07">
        <w:t xml:space="preserve">pravdy </w:t>
      </w:r>
      <w:r w:rsidR="0820066D" w:rsidRPr="003D1E07">
        <w:rPr>
          <w:i/>
        </w:rPr>
        <w:t>a/létheia</w:t>
      </w:r>
      <w:r w:rsidR="00735C4F" w:rsidRPr="003D1E07">
        <w:t>. P</w:t>
      </w:r>
      <w:r w:rsidR="08C53F3E" w:rsidRPr="003D1E07">
        <w:t xml:space="preserve">ozitivně myslící metafyzika </w:t>
      </w:r>
      <w:r w:rsidR="00735C4F" w:rsidRPr="003D1E07">
        <w:t xml:space="preserve">nemůže toto nejsoucno </w:t>
      </w:r>
      <w:r w:rsidR="000F6FE0" w:rsidRPr="003D1E07">
        <w:t>(</w:t>
      </w:r>
      <w:r w:rsidR="000F6FE0" w:rsidRPr="003D1E07">
        <w:rPr>
          <w:i/>
        </w:rPr>
        <w:t>tertium ens</w:t>
      </w:r>
      <w:r w:rsidR="000F6FE0" w:rsidRPr="003D1E07">
        <w:t>)</w:t>
      </w:r>
      <w:r w:rsidR="000F6FE0">
        <w:t xml:space="preserve"> </w:t>
      </w:r>
      <w:r w:rsidR="00735C4F" w:rsidRPr="003D1E07">
        <w:t>ani vidět</w:t>
      </w:r>
      <w:r w:rsidR="00583072" w:rsidRPr="003D1E07">
        <w:t>,</w:t>
      </w:r>
      <w:r w:rsidR="00735C4F" w:rsidRPr="003D1E07">
        <w:t xml:space="preserve"> ani myslitelsky uchopit. </w:t>
      </w:r>
      <w:r w:rsidR="080550CD" w:rsidRPr="003D1E07">
        <w:t xml:space="preserve">V </w:t>
      </w:r>
      <w:r w:rsidR="00F831BF" w:rsidRPr="003D1E07">
        <w:t xml:space="preserve">původním počátku každé </w:t>
      </w:r>
      <w:r w:rsidR="080358C5" w:rsidRPr="003D1E07">
        <w:t xml:space="preserve">formy </w:t>
      </w:r>
      <w:r w:rsidR="00F831BF" w:rsidRPr="003D1E07">
        <w:t xml:space="preserve">metafyziky </w:t>
      </w:r>
      <w:r w:rsidR="089373C5" w:rsidRPr="003D1E07">
        <w:t>(</w:t>
      </w:r>
      <w:r w:rsidR="089373C5" w:rsidRPr="003D1E07">
        <w:rPr>
          <w:i/>
        </w:rPr>
        <w:t>Ereignis</w:t>
      </w:r>
      <w:r w:rsidR="089373C5" w:rsidRPr="003D1E07">
        <w:t xml:space="preserve">, </w:t>
      </w:r>
      <w:r w:rsidR="089373C5" w:rsidRPr="003D1E07">
        <w:rPr>
          <w:i/>
        </w:rPr>
        <w:t>Anfang</w:t>
      </w:r>
      <w:r w:rsidR="089373C5" w:rsidRPr="003D1E07">
        <w:t xml:space="preserve">) </w:t>
      </w:r>
      <w:r w:rsidR="00F831BF" w:rsidRPr="003D1E07">
        <w:t xml:space="preserve">jsoucno </w:t>
      </w:r>
      <w:r w:rsidR="080358C5" w:rsidRPr="003D1E07">
        <w:t xml:space="preserve">archaicky a múzicky „ex-sistuje“ </w:t>
      </w:r>
      <w:r w:rsidR="08CF62A3" w:rsidRPr="003D1E07">
        <w:t>(</w:t>
      </w:r>
      <w:r w:rsidR="08CF62A3" w:rsidRPr="003D1E07">
        <w:rPr>
          <w:i/>
        </w:rPr>
        <w:t>exsist</w:t>
      </w:r>
      <w:r w:rsidR="08D618F8" w:rsidRPr="003D1E07">
        <w:rPr>
          <w:i/>
        </w:rPr>
        <w:t>it</w:t>
      </w:r>
      <w:r w:rsidR="08CF62A3" w:rsidRPr="003D1E07">
        <w:t xml:space="preserve">) </w:t>
      </w:r>
      <w:r w:rsidR="083E7B20" w:rsidRPr="003D1E07">
        <w:t>v</w:t>
      </w:r>
      <w:r w:rsidR="08A40F0A" w:rsidRPr="003D1E07">
        <w:t xml:space="preserve"> dějinném </w:t>
      </w:r>
      <w:r w:rsidR="083E7B20" w:rsidRPr="003D1E07">
        <w:t xml:space="preserve">prostoru </w:t>
      </w:r>
      <w:r w:rsidR="08D76E09" w:rsidRPr="003D1E07">
        <w:rPr>
          <w:i/>
        </w:rPr>
        <w:t>Lichtung</w:t>
      </w:r>
      <w:r w:rsidR="086B3D5C" w:rsidRPr="003D1E07">
        <w:t>, ted</w:t>
      </w:r>
      <w:r w:rsidR="08436F93" w:rsidRPr="003D1E07">
        <w:t xml:space="preserve">y </w:t>
      </w:r>
      <w:r w:rsidR="086B3D5C" w:rsidRPr="003D1E07">
        <w:t xml:space="preserve">rámci </w:t>
      </w:r>
      <w:r w:rsidR="08D90FC4" w:rsidRPr="003D1E07">
        <w:t xml:space="preserve">archaické </w:t>
      </w:r>
      <w:r w:rsidR="0873363C" w:rsidRPr="003D1E07">
        <w:t xml:space="preserve">ipseity dané vzhledem k původní </w:t>
      </w:r>
      <w:r w:rsidR="086B3D5C" w:rsidRPr="003D1E07">
        <w:t>parousi</w:t>
      </w:r>
      <w:r w:rsidR="0873363C" w:rsidRPr="003D1E07">
        <w:t>i</w:t>
      </w:r>
      <w:r w:rsidR="086B3D5C" w:rsidRPr="003D1E07">
        <w:t xml:space="preserve"> celku </w:t>
      </w:r>
      <w:r w:rsidR="08C97495" w:rsidRPr="003D1E07">
        <w:t>bytí</w:t>
      </w:r>
      <w:r w:rsidR="086B3D5C" w:rsidRPr="003D1E07">
        <w:t xml:space="preserve">. </w:t>
      </w:r>
      <w:r w:rsidR="085E0E5F" w:rsidRPr="003D1E07">
        <w:t xml:space="preserve">Substance v tomto dějinném a apollinském modu bytí pro metafyziku neexistuje, protože není jsoucnem. </w:t>
      </w:r>
      <w:r w:rsidR="007C2C62" w:rsidRPr="003D1E07">
        <w:t xml:space="preserve">Reálný Sokrates hledal po vzoru Parmenida a dalších tuto původní formu pythické „substance“, protože její technické (a jistě i metafyzické) deriváty pro něj byly nejsoucnem. </w:t>
      </w:r>
      <w:r w:rsidR="086860C9" w:rsidRPr="003D1E07">
        <w:t>Múzický a pythický modus substance zakládá s</w:t>
      </w:r>
      <w:r w:rsidR="086B3D5C" w:rsidRPr="003D1E07">
        <w:t>krytá „ex-sistence</w:t>
      </w:r>
      <w:r w:rsidR="08C97495" w:rsidRPr="003D1E07">
        <w:t xml:space="preserve">“ </w:t>
      </w:r>
      <w:r w:rsidR="08C97495" w:rsidRPr="003D1E07">
        <w:lastRenderedPageBreak/>
        <w:t xml:space="preserve">metafyziky </w:t>
      </w:r>
      <w:r w:rsidR="086B3D5C" w:rsidRPr="003D1E07">
        <w:t xml:space="preserve">v parousijní přítomnosti viděného celku </w:t>
      </w:r>
      <w:r w:rsidR="089373C5" w:rsidRPr="003D1E07">
        <w:t>pravdy a nepravdy</w:t>
      </w:r>
      <w:r w:rsidR="00F831BF" w:rsidRPr="003D1E07">
        <w:t xml:space="preserve">. </w:t>
      </w:r>
      <w:r w:rsidR="08A41528" w:rsidRPr="003D1E07">
        <w:t xml:space="preserve">Hermeneutika tento celek bytí vnímá skrze archaickou sémantiku a </w:t>
      </w:r>
      <w:r w:rsidR="087530AE" w:rsidRPr="003D1E07">
        <w:t xml:space="preserve">podává </w:t>
      </w:r>
      <w:r w:rsidR="08A41528" w:rsidRPr="003D1E07">
        <w:t xml:space="preserve">její tragický </w:t>
      </w:r>
      <w:r w:rsidR="0073593A" w:rsidRPr="003D1E07">
        <w:t xml:space="preserve">a </w:t>
      </w:r>
      <w:r w:rsidR="08A41528" w:rsidRPr="003D1E07">
        <w:t xml:space="preserve">sokratovský výklad. </w:t>
      </w:r>
      <w:r w:rsidR="08D714C1" w:rsidRPr="003D1E07">
        <w:t xml:space="preserve">V návaznosti na Heideggerův termín </w:t>
      </w:r>
      <w:r w:rsidR="08D714C1" w:rsidRPr="003D1E07">
        <w:rPr>
          <w:i/>
        </w:rPr>
        <w:t>Bildung</w:t>
      </w:r>
      <w:r w:rsidR="08D714C1" w:rsidRPr="003D1E07">
        <w:t xml:space="preserve"> (kap. 1) </w:t>
      </w:r>
      <w:r w:rsidR="0826275C" w:rsidRPr="003D1E07">
        <w:t>jsme dali t</w:t>
      </w:r>
      <w:r w:rsidR="08F625EB" w:rsidRPr="003D1E07">
        <w:t xml:space="preserve">akto sémanticky a </w:t>
      </w:r>
      <w:r w:rsidR="0826275C" w:rsidRPr="003D1E07">
        <w:t xml:space="preserve">múzicky </w:t>
      </w:r>
      <w:r w:rsidR="08D714C1" w:rsidRPr="003D1E07">
        <w:t>po</w:t>
      </w:r>
      <w:r w:rsidR="08D714C1" w:rsidRPr="003D1E07">
        <w:noBreakHyphen/>
        <w:t xml:space="preserve">odkrytému </w:t>
      </w:r>
      <w:r w:rsidR="08F625EB" w:rsidRPr="003D1E07">
        <w:t xml:space="preserve">smyslu </w:t>
      </w:r>
      <w:r w:rsidR="08D714C1" w:rsidRPr="003D1E07">
        <w:t xml:space="preserve">jsoucna </w:t>
      </w:r>
      <w:r w:rsidR="0826275C" w:rsidRPr="003D1E07">
        <w:t>název „jsoucno třetího druhu“ (</w:t>
      </w:r>
      <w:r w:rsidR="0826275C" w:rsidRPr="003D1E07">
        <w:rPr>
          <w:i/>
        </w:rPr>
        <w:t>tertium ens</w:t>
      </w:r>
      <w:r w:rsidR="0826275C" w:rsidRPr="003D1E07">
        <w:rPr>
          <w:i/>
        </w:rPr>
        <w:fldChar w:fldCharType="begin"/>
      </w:r>
      <w:r w:rsidR="0826275C" w:rsidRPr="003D1E07">
        <w:instrText xml:space="preserve"> XE "</w:instrText>
      </w:r>
      <w:r w:rsidR="0826275C" w:rsidRPr="003D1E07">
        <w:rPr>
          <w:i/>
        </w:rPr>
        <w:instrText>tertium ens</w:instrText>
      </w:r>
      <w:r w:rsidR="0826275C" w:rsidRPr="003D1E07">
        <w:instrText>:</w:instrText>
      </w:r>
      <w:r w:rsidR="08190AD6" w:rsidRPr="003D1E07">
        <w:instrText>metafyzika</w:instrText>
      </w:r>
      <w:r w:rsidR="0826275C" w:rsidRPr="003D1E07">
        <w:instrText xml:space="preserve">" </w:instrText>
      </w:r>
      <w:r w:rsidR="0826275C" w:rsidRPr="003D1E07">
        <w:rPr>
          <w:i/>
        </w:rPr>
        <w:fldChar w:fldCharType="end"/>
      </w:r>
      <w:r w:rsidR="0826275C" w:rsidRPr="003D1E07">
        <w:t xml:space="preserve">). </w:t>
      </w:r>
      <w:r w:rsidR="08F625EB" w:rsidRPr="003D1E07">
        <w:t xml:space="preserve">Existence takto daného smyslu jsoucna je pouze archegetická, a nikoliv substanční. </w:t>
      </w:r>
      <w:r w:rsidR="08A40F0A" w:rsidRPr="003D1E07">
        <w:t xml:space="preserve">Substance </w:t>
      </w:r>
      <w:r w:rsidR="089C6973" w:rsidRPr="003D1E07">
        <w:t xml:space="preserve">je dána jako znamení pro moudrého </w:t>
      </w:r>
      <w:r w:rsidR="088154CB" w:rsidRPr="003D1E07">
        <w:t xml:space="preserve">a archaicky vzdělaného </w:t>
      </w:r>
      <w:r w:rsidR="089C6973" w:rsidRPr="003D1E07">
        <w:t xml:space="preserve">člověka, který umí </w:t>
      </w:r>
      <w:r w:rsidR="08AF62CA" w:rsidRPr="003D1E07">
        <w:t xml:space="preserve">číst věci </w:t>
      </w:r>
      <w:r w:rsidR="084F4B93" w:rsidRPr="003D1E07">
        <w:t xml:space="preserve">a události </w:t>
      </w:r>
      <w:r w:rsidR="08AF62CA" w:rsidRPr="003D1E07">
        <w:t xml:space="preserve">jako </w:t>
      </w:r>
      <w:r w:rsidR="089C6973" w:rsidRPr="003D1E07">
        <w:t xml:space="preserve">znamení. </w:t>
      </w:r>
      <w:r w:rsidR="08F625EB" w:rsidRPr="003D1E07">
        <w:t xml:space="preserve">Apollinská </w:t>
      </w:r>
      <w:r w:rsidR="08B2784E" w:rsidRPr="003D1E07">
        <w:t xml:space="preserve">pravda bytí jsoucna v modu </w:t>
      </w:r>
      <w:r w:rsidR="08B2784E" w:rsidRPr="003D1E07">
        <w:rPr>
          <w:i/>
        </w:rPr>
        <w:t>tertium ens</w:t>
      </w:r>
      <w:r w:rsidR="08B2784E" w:rsidRPr="003D1E07">
        <w:t xml:space="preserve"> pro Aristotela neexistuje, protože to vylučuje výše citovaný princip vyloučeného třetího. </w:t>
      </w:r>
      <w:r w:rsidR="00B47DF5">
        <w:t xml:space="preserve">Filosofie moderny </w:t>
      </w:r>
      <w:r w:rsidR="087504EB" w:rsidRPr="003D1E07">
        <w:t>váhá mezi metafyzickým určením platonské substance dané jako ideální esence a aristote</w:t>
      </w:r>
      <w:r w:rsidR="003E3688">
        <w:t xml:space="preserve">lskou aktuální první substancí. </w:t>
      </w:r>
      <w:r w:rsidR="003E3688" w:rsidRPr="003E3688">
        <w:t xml:space="preserve">Hermeneutická archeologie definuje pokrok metafyziky jako sérii opakovaných nevědomostí způsobených nedostatkem filozofické erudice </w:t>
      </w:r>
      <w:r w:rsidR="003E3688" w:rsidRPr="003D1E07">
        <w:t>(ἀπαιδευσία</w:t>
      </w:r>
      <w:r w:rsidR="003E3688" w:rsidRPr="003D1E07">
        <w:rPr>
          <w:lang w:eastAsia="en-US"/>
        </w:rPr>
        <w:fldChar w:fldCharType="begin"/>
      </w:r>
      <w:r w:rsidR="003E3688" w:rsidRPr="003D1E07">
        <w:instrText xml:space="preserve"> XE "</w:instrText>
      </w:r>
      <w:r w:rsidR="003E3688" w:rsidRPr="003D1E07">
        <w:rPr>
          <w:i/>
        </w:rPr>
        <w:instrText>apaideusía</w:instrText>
      </w:r>
      <w:r w:rsidR="003E3688" w:rsidRPr="003D1E07">
        <w:instrText xml:space="preserve">" </w:instrText>
      </w:r>
      <w:r w:rsidR="003E3688" w:rsidRPr="003D1E07">
        <w:rPr>
          <w:lang w:eastAsia="en-US"/>
        </w:rPr>
        <w:fldChar w:fldCharType="end"/>
      </w:r>
      <w:r w:rsidR="003E3688" w:rsidRPr="003D1E07">
        <w:t xml:space="preserve">, </w:t>
      </w:r>
      <w:r w:rsidR="003E3688" w:rsidRPr="003D1E07">
        <w:rPr>
          <w:i/>
        </w:rPr>
        <w:t>Met</w:t>
      </w:r>
      <w:r w:rsidR="003E3688" w:rsidRPr="003D1E07">
        <w:t>. 1006a6</w:t>
      </w:r>
      <w:r w:rsidR="003E3688" w:rsidRPr="003D1E07">
        <w:rPr>
          <w:i/>
        </w:rPr>
        <w:fldChar w:fldCharType="begin"/>
      </w:r>
      <w:r w:rsidR="003E3688" w:rsidRPr="003D1E07">
        <w:instrText xml:space="preserve"> XE "Aristoteles:</w:instrText>
      </w:r>
      <w:r w:rsidR="003E3688" w:rsidRPr="003D1E07">
        <w:rPr>
          <w:i/>
        </w:rPr>
        <w:instrText>Met</w:instrText>
      </w:r>
      <w:r w:rsidR="003E3688" w:rsidRPr="003D1E07">
        <w:instrText xml:space="preserve">. 1006a6" </w:instrText>
      </w:r>
      <w:r w:rsidR="003E3688" w:rsidRPr="003D1E07">
        <w:rPr>
          <w:i/>
        </w:rPr>
        <w:fldChar w:fldCharType="end"/>
      </w:r>
      <w:r w:rsidR="003E3688" w:rsidRPr="003D1E07">
        <w:t xml:space="preserve">). </w:t>
      </w:r>
      <w:r w:rsidR="003E3688" w:rsidRPr="003E3688">
        <w:t>Metafyzický král je nahý, ale nosí stále nové šaty a ty mu velmi sluší.</w:t>
      </w:r>
      <w:r w:rsidR="003E3688">
        <w:t xml:space="preserve"> </w:t>
      </w:r>
      <w:r w:rsidR="085521A8" w:rsidRPr="003D1E07">
        <w:t xml:space="preserve">Modernu </w:t>
      </w:r>
      <w:r w:rsidR="00AF3802" w:rsidRPr="003D1E07">
        <w:t xml:space="preserve">budují </w:t>
      </w:r>
      <w:r w:rsidR="08F25E36" w:rsidRPr="003D1E07">
        <w:t xml:space="preserve">opakované </w:t>
      </w:r>
      <w:r w:rsidR="085521A8" w:rsidRPr="003D1E07">
        <w:t xml:space="preserve">přechody metafyziků z platonské jeskyně idejí na světlo aristotelovy metafyziky determinované světlem reálné substance. </w:t>
      </w:r>
      <w:r w:rsidR="00D51C75" w:rsidRPr="003D1E07">
        <w:t xml:space="preserve">Parmenides popisuje toto </w:t>
      </w:r>
      <w:r w:rsidR="0003065B" w:rsidRPr="003D1E07">
        <w:t xml:space="preserve">palintropické </w:t>
      </w:r>
      <w:r w:rsidR="00D51C75" w:rsidRPr="003D1E07">
        <w:t>pobíhání a</w:t>
      </w:r>
      <w:r w:rsidR="0003065B" w:rsidRPr="003D1E07">
        <w:t>kademických d</w:t>
      </w:r>
      <w:r w:rsidR="00D51C75" w:rsidRPr="003D1E07">
        <w:t>v</w:t>
      </w:r>
      <w:r w:rsidR="0003065B" w:rsidRPr="003D1E07">
        <w:t>o</w:t>
      </w:r>
      <w:r w:rsidR="00D51C75" w:rsidRPr="003D1E07">
        <w:t xml:space="preserve">jhlavců </w:t>
      </w:r>
      <w:r w:rsidR="00AF3802" w:rsidRPr="003D1E07">
        <w:t>sem a tam</w:t>
      </w:r>
      <w:r w:rsidR="00E36A0F" w:rsidRPr="003D1E07">
        <w:t xml:space="preserve"> (</w:t>
      </w:r>
      <w:r w:rsidR="00E36A0F" w:rsidRPr="003D1E07">
        <w:rPr>
          <w:i/>
        </w:rPr>
        <w:t>Irre</w:t>
      </w:r>
      <w:r w:rsidR="00E36A0F" w:rsidRPr="003D1E07">
        <w:t>)</w:t>
      </w:r>
      <w:r w:rsidR="00D51C75" w:rsidRPr="003D1E07">
        <w:t xml:space="preserve">. Jejich čilý pohyb oběma směry metafyziky </w:t>
      </w:r>
      <w:r w:rsidR="00AF3802" w:rsidRPr="003D1E07">
        <w:t xml:space="preserve"> </w:t>
      </w:r>
      <w:r w:rsidR="0087717C" w:rsidRPr="003D1E07">
        <w:t>neus</w:t>
      </w:r>
      <w:r w:rsidR="0003065B" w:rsidRPr="003D1E07">
        <w:t>t</w:t>
      </w:r>
      <w:r w:rsidR="0087717C" w:rsidRPr="003D1E07">
        <w:t xml:space="preserve">ále </w:t>
      </w:r>
      <w:r w:rsidR="084667ED" w:rsidRPr="003D1E07">
        <w:t xml:space="preserve">produkuje jsoucna třetího druhu v modu </w:t>
      </w:r>
      <w:r w:rsidR="084667ED" w:rsidRPr="003D1E07">
        <w:rPr>
          <w:i/>
        </w:rPr>
        <w:t>Irrtum</w:t>
      </w:r>
      <w:r w:rsidR="084667ED" w:rsidRPr="003D1E07">
        <w:t xml:space="preserve">. </w:t>
      </w:r>
      <w:r w:rsidR="08D714C1" w:rsidRPr="003D1E07">
        <w:t xml:space="preserve">Filosofické školy </w:t>
      </w:r>
      <w:r w:rsidR="085521A8" w:rsidRPr="003D1E07">
        <w:t>moderny, post</w:t>
      </w:r>
      <w:r w:rsidR="08B94476" w:rsidRPr="003D1E07">
        <w:t xml:space="preserve">moderny a současného nihilismu </w:t>
      </w:r>
      <w:r w:rsidR="08D714C1" w:rsidRPr="003D1E07">
        <w:t xml:space="preserve">produkovaly a produkují nekonečnou řadu </w:t>
      </w:r>
      <w:r w:rsidR="089044EC" w:rsidRPr="003D1E07">
        <w:t xml:space="preserve">mytopoetických </w:t>
      </w:r>
      <w:r w:rsidR="08D714C1" w:rsidRPr="003D1E07">
        <w:t xml:space="preserve">simuláker v modu </w:t>
      </w:r>
      <w:r w:rsidR="0826275C" w:rsidRPr="003D1E07">
        <w:t xml:space="preserve">objektivní </w:t>
      </w:r>
      <w:r w:rsidR="0024096A" w:rsidRPr="003D1E07">
        <w:rPr>
          <w:i/>
        </w:rPr>
        <w:t>apaideusía</w:t>
      </w:r>
      <w:r w:rsidR="089044EC" w:rsidRPr="003D1E07">
        <w:t xml:space="preserve">. Nová nauka </w:t>
      </w:r>
      <w:r w:rsidR="08EF340C" w:rsidRPr="003D1E07">
        <w:t xml:space="preserve">automaticky </w:t>
      </w:r>
      <w:r w:rsidR="08202353" w:rsidRPr="003D1E07">
        <w:t xml:space="preserve">vystřídá překonanou </w:t>
      </w:r>
      <w:r w:rsidR="0826275C" w:rsidRPr="003D1E07">
        <w:rPr>
          <w:i/>
        </w:rPr>
        <w:t>apaideusía</w:t>
      </w:r>
      <w:r w:rsidR="08202353" w:rsidRPr="003D1E07">
        <w:t xml:space="preserve"> předchozích forem metafyziky</w:t>
      </w:r>
      <w:r w:rsidR="007742E7" w:rsidRPr="003D1E07">
        <w:t xml:space="preserve">. Každý ví, že </w:t>
      </w:r>
      <w:r w:rsidR="08EF340C" w:rsidRPr="003D1E07">
        <w:t>technický pokrok nelze zastavit</w:t>
      </w:r>
      <w:r w:rsidR="08202353" w:rsidRPr="003D1E07">
        <w:t xml:space="preserve">. </w:t>
      </w:r>
      <w:r w:rsidR="08F25E36" w:rsidRPr="003D1E07">
        <w:t xml:space="preserve">Z bývalého pochybného </w:t>
      </w:r>
      <w:r w:rsidR="08F25E36" w:rsidRPr="003D1E07">
        <w:rPr>
          <w:i/>
        </w:rPr>
        <w:t>tertium ens</w:t>
      </w:r>
      <w:r w:rsidR="08F25E36" w:rsidRPr="003D1E07">
        <w:t xml:space="preserve"> se stane nová </w:t>
      </w:r>
      <w:r w:rsidR="08797D9A" w:rsidRPr="003D1E07">
        <w:t xml:space="preserve">pravdivá </w:t>
      </w:r>
      <w:r w:rsidR="08F25E36" w:rsidRPr="003D1E07">
        <w:t xml:space="preserve">substance. Tato změna paradigmatu dává metafyzice pevný základ, po němž se kráčí dál. Každá škola </w:t>
      </w:r>
      <w:r w:rsidR="08F25E36" w:rsidRPr="003D1E07">
        <w:rPr>
          <w:i/>
        </w:rPr>
        <w:t>Modernorum</w:t>
      </w:r>
      <w:r w:rsidR="08F25E36" w:rsidRPr="003D1E07">
        <w:t xml:space="preserve"> prohlásí </w:t>
      </w:r>
      <w:r w:rsidR="08417A80" w:rsidRPr="003D1E07">
        <w:t xml:space="preserve">po vzoru Platona a </w:t>
      </w:r>
      <w:r w:rsidR="089C3A53" w:rsidRPr="003D1E07">
        <w:t xml:space="preserve">Aristotela, že </w:t>
      </w:r>
      <w:r w:rsidR="08F25E36" w:rsidRPr="003D1E07">
        <w:t xml:space="preserve">staré vědění o jsoucnu </w:t>
      </w:r>
      <w:r w:rsidR="089C3A53" w:rsidRPr="003D1E07">
        <w:t xml:space="preserve">představuje </w:t>
      </w:r>
      <w:r w:rsidR="08F25E36" w:rsidRPr="003D1E07">
        <w:t xml:space="preserve">překonanou nevzdělanost </w:t>
      </w:r>
      <w:r w:rsidR="08F25E36" w:rsidRPr="003D1E07">
        <w:rPr>
          <w:i/>
        </w:rPr>
        <w:t>Antiquorum</w:t>
      </w:r>
      <w:r w:rsidR="08F25E36" w:rsidRPr="003D1E07">
        <w:t xml:space="preserve">. </w:t>
      </w:r>
      <w:r w:rsidR="08255FC9" w:rsidRPr="003D1E07">
        <w:t>Tato objektivně daná ne/vzdělanost tvoří podstatu myšlení Moderních</w:t>
      </w:r>
      <w:r w:rsidR="087A7E50" w:rsidRPr="003D1E07">
        <w:t xml:space="preserve">, kteří milují novinky a evoluční </w:t>
      </w:r>
      <w:r w:rsidR="0853041B" w:rsidRPr="003D1E07">
        <w:t xml:space="preserve">či revoluční </w:t>
      </w:r>
      <w:r w:rsidR="087A7E50" w:rsidRPr="003D1E07">
        <w:t>změny</w:t>
      </w:r>
      <w:r w:rsidR="08255FC9" w:rsidRPr="003D1E07">
        <w:t xml:space="preserve">. </w:t>
      </w:r>
      <w:r w:rsidR="087A7E50" w:rsidRPr="003D1E07">
        <w:t>Revoluční c</w:t>
      </w:r>
      <w:r w:rsidR="08F25E36" w:rsidRPr="003D1E07">
        <w:t xml:space="preserve">haos myšlení způsobený </w:t>
      </w:r>
      <w:r w:rsidR="08C056C9" w:rsidRPr="003D1E07">
        <w:t xml:space="preserve">božskou </w:t>
      </w:r>
      <w:r w:rsidR="087A7E50" w:rsidRPr="003D1E07">
        <w:t xml:space="preserve">Apaté </w:t>
      </w:r>
      <w:r w:rsidR="08F25E36" w:rsidRPr="003D1E07">
        <w:t xml:space="preserve">či </w:t>
      </w:r>
      <w:r w:rsidR="08C056C9" w:rsidRPr="003D1E07">
        <w:t xml:space="preserve">démonickými </w:t>
      </w:r>
      <w:r w:rsidR="08F25E36" w:rsidRPr="003D1E07">
        <w:t xml:space="preserve">Fúriemi </w:t>
      </w:r>
      <w:r w:rsidR="08FF7022" w:rsidRPr="003D1E07">
        <w:t xml:space="preserve">má tragický charakter. </w:t>
      </w:r>
      <w:r w:rsidR="08A45E39" w:rsidRPr="003D1E07">
        <w:t>F</w:t>
      </w:r>
      <w:r w:rsidR="08FF7022" w:rsidRPr="003D1E07">
        <w:t xml:space="preserve">renesie démonicky posedlé mysli </w:t>
      </w:r>
      <w:r w:rsidR="08A45E39" w:rsidRPr="003D1E07">
        <w:t>(</w:t>
      </w:r>
      <w:r w:rsidR="08A45E39" w:rsidRPr="003D1E07">
        <w:rPr>
          <w:i/>
        </w:rPr>
        <w:t>resolutio</w:t>
      </w:r>
      <w:r w:rsidR="08A45E39" w:rsidRPr="003D1E07">
        <w:t xml:space="preserve">) </w:t>
      </w:r>
      <w:r w:rsidR="08FF7022" w:rsidRPr="003D1E07">
        <w:t xml:space="preserve">produkuje </w:t>
      </w:r>
      <w:r w:rsidR="087A7E50" w:rsidRPr="003D1E07">
        <w:t>stále nový návrat Moderních na počátek původního metafyzického pochybení (</w:t>
      </w:r>
      <w:r w:rsidR="087A7E50" w:rsidRPr="003D1E07">
        <w:rPr>
          <w:i/>
        </w:rPr>
        <w:t>revolutio</w:t>
      </w:r>
      <w:r w:rsidR="087A7E50" w:rsidRPr="003D1E07">
        <w:t xml:space="preserve">). </w:t>
      </w:r>
      <w:r w:rsidR="084C56F7" w:rsidRPr="003D1E07">
        <w:t xml:space="preserve">Moderna je </w:t>
      </w:r>
      <w:r w:rsidR="08506ED9" w:rsidRPr="003D1E07">
        <w:t>rezolutně-</w:t>
      </w:r>
      <w:r w:rsidR="084C56F7" w:rsidRPr="003D1E07">
        <w:t xml:space="preserve">revoluční proces, v němž se </w:t>
      </w:r>
      <w:r w:rsidR="08CB5FE7" w:rsidRPr="003D1E07">
        <w:t xml:space="preserve">progresivně a </w:t>
      </w:r>
      <w:r w:rsidR="08C177D4" w:rsidRPr="003D1E07">
        <w:t xml:space="preserve">evolučně </w:t>
      </w:r>
      <w:r w:rsidR="084C56F7" w:rsidRPr="003D1E07">
        <w:t xml:space="preserve">modifikuje původní simulákrum pravdy. </w:t>
      </w:r>
      <w:r w:rsidR="082C1980" w:rsidRPr="003D1E07">
        <w:rPr>
          <w:i/>
        </w:rPr>
        <w:t>Plus ça change, plus c'est la même chose</w:t>
      </w:r>
      <w:r w:rsidR="082C1980" w:rsidRPr="003D1E07">
        <w:t xml:space="preserve">. </w:t>
      </w:r>
      <w:r w:rsidR="0007353D" w:rsidRPr="003D1E07">
        <w:t xml:space="preserve">Paradigmatická změna </w:t>
      </w:r>
      <w:r w:rsidR="0804760F" w:rsidRPr="003D1E07">
        <w:t xml:space="preserve">evolučně či revolučně pojaté objektivní pravdy tvoří </w:t>
      </w:r>
      <w:r w:rsidR="00C8527B" w:rsidRPr="003D1E07">
        <w:t xml:space="preserve">nekonečný </w:t>
      </w:r>
      <w:r w:rsidR="00F57ED6" w:rsidRPr="003D1E07">
        <w:t>karneval moderní</w:t>
      </w:r>
      <w:r w:rsidR="00C8527B" w:rsidRPr="003D1E07">
        <w:t xml:space="preserve">ho myšlení. </w:t>
      </w:r>
      <w:r w:rsidR="00466D63" w:rsidRPr="003D1E07">
        <w:t xml:space="preserve">Tento tragikomický </w:t>
      </w:r>
      <w:r w:rsidR="00466D63" w:rsidRPr="003D1E07">
        <w:rPr>
          <w:i/>
        </w:rPr>
        <w:t>Ereignis</w:t>
      </w:r>
      <w:r w:rsidR="00466D63" w:rsidRPr="003D1E07">
        <w:t xml:space="preserve"> představuje </w:t>
      </w:r>
      <w:r w:rsidR="0804760F" w:rsidRPr="003D1E07">
        <w:t xml:space="preserve">správně zakulacené a neohrožené srdce každé moderní epochy, pokud </w:t>
      </w:r>
      <w:r w:rsidR="0804760F" w:rsidRPr="003D1E07">
        <w:lastRenderedPageBreak/>
        <w:t>parafrázujeme známou archaickou moudrost (</w:t>
      </w:r>
      <w:r w:rsidR="0804760F" w:rsidRPr="003D1E07">
        <w:rPr>
          <w:i/>
        </w:rPr>
        <w:t>Parm</w:t>
      </w:r>
      <w:r w:rsidR="0804760F" w:rsidRPr="003D1E07">
        <w:t>. B 1.53</w:t>
      </w:r>
      <w:r w:rsidR="0804760F" w:rsidRPr="003D1E07">
        <w:fldChar w:fldCharType="begin"/>
      </w:r>
      <w:r w:rsidR="08CF280B" w:rsidRPr="003D1E07">
        <w:instrText xml:space="preserve"> XE "Parmenides:</w:instrText>
      </w:r>
      <w:r w:rsidR="0804760F" w:rsidRPr="003D1E07">
        <w:instrText xml:space="preserve">B 1.53" </w:instrText>
      </w:r>
      <w:r w:rsidR="0804760F" w:rsidRPr="003D1E07">
        <w:fldChar w:fldCharType="end"/>
      </w:r>
      <w:r w:rsidR="0804760F" w:rsidRPr="003D1E07">
        <w:t xml:space="preserve">). </w:t>
      </w:r>
      <w:r w:rsidR="087A7E50" w:rsidRPr="003D1E07">
        <w:t>K</w:t>
      </w:r>
      <w:r w:rsidR="08F25E36" w:rsidRPr="003D1E07">
        <w:t xml:space="preserve">aždý epochální obrat metafyziky produkuje </w:t>
      </w:r>
      <w:r w:rsidR="08255FC9" w:rsidRPr="003D1E07">
        <w:t xml:space="preserve">na svém počátku </w:t>
      </w:r>
      <w:r w:rsidR="08F25E36" w:rsidRPr="003D1E07">
        <w:t xml:space="preserve">novou substanci jako </w:t>
      </w:r>
      <w:r w:rsidR="08F25E36" w:rsidRPr="003D1E07">
        <w:rPr>
          <w:i/>
        </w:rPr>
        <w:t>tertium ens</w:t>
      </w:r>
      <w:r w:rsidR="08F25E36" w:rsidRPr="003D1E07">
        <w:t xml:space="preserve">. Nová generace iluminátů prohlásí v modu božské komedie či tragikomedie toto jsoucno třetího druhu za pravé světlo rozumu. </w:t>
      </w:r>
      <w:r w:rsidR="0879594F" w:rsidRPr="003D1E07">
        <w:t xml:space="preserve">Zatmění staré formy </w:t>
      </w:r>
      <w:r w:rsidR="0879594F" w:rsidRPr="003D1E07">
        <w:rPr>
          <w:i/>
        </w:rPr>
        <w:t>tertium ens</w:t>
      </w:r>
      <w:r w:rsidR="0879594F" w:rsidRPr="003D1E07">
        <w:t xml:space="preserve"> a nástup nového smyslu jsoucna obsahuje múzickou pravdu a nepravdu každé epochální formy metafyziky. Jsoucno třetího druhu </w:t>
      </w:r>
      <w:r w:rsidR="087E673B" w:rsidRPr="003D1E07">
        <w:t xml:space="preserve">sémanticky </w:t>
      </w:r>
      <w:r w:rsidR="0879594F" w:rsidRPr="003D1E07">
        <w:t xml:space="preserve">odkazuje na původní fenomén </w:t>
      </w:r>
      <w:r w:rsidR="087E673B" w:rsidRPr="003D1E07">
        <w:t xml:space="preserve">archegetické pravdy </w:t>
      </w:r>
      <w:r w:rsidR="0879594F" w:rsidRPr="003D1E07">
        <w:t>střežený Delfami a Múzami.</w:t>
      </w:r>
      <w:r w:rsidR="08F25E36" w:rsidRPr="003D1E07">
        <w:t xml:space="preserve"> </w:t>
      </w:r>
      <w:r w:rsidR="08B82FA9" w:rsidRPr="003D1E07">
        <w:t xml:space="preserve">Ilumináti vedení metafyzickým světlem intelektu hrdě kráčí po cestě Moderních. Tragédii </w:t>
      </w:r>
      <w:r w:rsidR="002C6451">
        <w:t xml:space="preserve">Antikvářů </w:t>
      </w:r>
      <w:r w:rsidR="08B82FA9" w:rsidRPr="003D1E07">
        <w:t xml:space="preserve">opakovaně </w:t>
      </w:r>
      <w:r w:rsidR="08FC3066" w:rsidRPr="003D1E07">
        <w:t xml:space="preserve">překonává </w:t>
      </w:r>
      <w:r w:rsidR="002C6451">
        <w:t>tragikomedie Modernistů</w:t>
      </w:r>
      <w:r w:rsidR="08B82FA9" w:rsidRPr="003D1E07">
        <w:t xml:space="preserve">. </w:t>
      </w:r>
      <w:r w:rsidR="00E277B4" w:rsidRPr="003D1E07">
        <w:t>Technologické m</w:t>
      </w:r>
      <w:r w:rsidR="08A00CEC" w:rsidRPr="003D1E07">
        <w:t xml:space="preserve">yšlení produkuje stále nový </w:t>
      </w:r>
      <w:r w:rsidR="08A00CEC" w:rsidRPr="003D1E07">
        <w:rPr>
          <w:i/>
        </w:rPr>
        <w:t>Irrtum</w:t>
      </w:r>
      <w:r w:rsidR="08A00CEC" w:rsidRPr="003D1E07">
        <w:t xml:space="preserve"> tím, že představí nový smysl jsoucna. Noví osvícenci odstraňují starou temnotu nevzdělanosti. </w:t>
      </w:r>
      <w:r w:rsidR="08645799" w:rsidRPr="003D1E07">
        <w:t xml:space="preserve">Část pravdy spojená s původní událostí zakládání přestala být zjevná a stala se temnou nepravdou. Pohyb tragikomické ne/vzdělanosti založí další fázi dějin metafyzické pravdy, evidence a správnosti. </w:t>
      </w:r>
      <w:r w:rsidR="080C479C" w:rsidRPr="003D1E07">
        <w:t>Předchozí a nová podoba substance představuje v modu archaické sémantiky další z řady nekonečných simuláker apollinského celku bytí a myšlení</w:t>
      </w:r>
      <w:r w:rsidR="00FF2B0D">
        <w:t>.</w:t>
      </w:r>
    </w:p>
    <w:p w14:paraId="22CD1697" w14:textId="0CBB05BC" w:rsidR="00EE4355" w:rsidRPr="003D1E07" w:rsidRDefault="089176A1" w:rsidP="003E3688">
      <w:pPr>
        <w:ind w:firstLine="397"/>
      </w:pPr>
      <w:r w:rsidRPr="003D1E07">
        <w:t xml:space="preserve">V této progresivní paralýze moudrosti hledá hermeneutika původní </w:t>
      </w:r>
      <w:r w:rsidR="08235B9F" w:rsidRPr="003D1E07">
        <w:t>podobu</w:t>
      </w:r>
      <w:r w:rsidR="08946DDE" w:rsidRPr="003D1E07">
        <w:t xml:space="preserve"> </w:t>
      </w:r>
      <w:r w:rsidR="00EC4EBE">
        <w:t>první filosofie</w:t>
      </w:r>
      <w:r w:rsidR="08235B9F" w:rsidRPr="003D1E07">
        <w:t>, která je schopna vidět působení božských sil Klamu a Pomsty</w:t>
      </w:r>
      <w:r w:rsidR="083429BA" w:rsidRPr="003D1E07">
        <w:t xml:space="preserve">. </w:t>
      </w:r>
      <w:r w:rsidR="08645799" w:rsidRPr="003D1E07">
        <w:t xml:space="preserve">Archeologie objektivity </w:t>
      </w:r>
      <w:r w:rsidR="08645799" w:rsidRPr="003D1E07">
        <w:fldChar w:fldCharType="begin"/>
      </w:r>
      <w:r w:rsidR="08645799" w:rsidRPr="003D1E07">
        <w:instrText xml:space="preserve"> XE "objektivita:archeologie" </w:instrText>
      </w:r>
      <w:r w:rsidR="08645799" w:rsidRPr="003D1E07">
        <w:fldChar w:fldCharType="end"/>
      </w:r>
      <w:r w:rsidR="08645799" w:rsidRPr="003D1E07">
        <w:t xml:space="preserve">udělá metodický krok zpět od objektivní sofistiky k zakládajícímu dění každé nové figury metafyziky. </w:t>
      </w:r>
      <w:r w:rsidR="08846D36" w:rsidRPr="003D1E07">
        <w:t xml:space="preserve">Dvojí pohyb </w:t>
      </w:r>
      <w:r w:rsidR="0048499C" w:rsidRPr="003D1E07">
        <w:rPr>
          <w:i/>
        </w:rPr>
        <w:t>a/létheia</w:t>
      </w:r>
      <w:r w:rsidR="0048499C" w:rsidRPr="003D1E07">
        <w:t xml:space="preserve"> </w:t>
      </w:r>
      <w:r w:rsidR="08846D36" w:rsidRPr="003D1E07">
        <w:t xml:space="preserve">jako skrytosti a odkrytosti určuje základní místo zjevování jsoucna v moderních dějinách myšlení. </w:t>
      </w:r>
      <w:r w:rsidR="081A789E" w:rsidRPr="003D1E07">
        <w:t xml:space="preserve">Hermeneutika zhasne v </w:t>
      </w:r>
      <w:r w:rsidR="08717FCD" w:rsidRPr="003D1E07">
        <w:t xml:space="preserve">metodologické </w:t>
      </w:r>
      <w:r w:rsidR="08717FCD" w:rsidRPr="003D1E07">
        <w:rPr>
          <w:i/>
        </w:rPr>
        <w:t>epoché</w:t>
      </w:r>
      <w:r w:rsidR="08717FCD" w:rsidRPr="003D1E07">
        <w:t xml:space="preserve"> </w:t>
      </w:r>
      <w:r w:rsidR="086B1C72" w:rsidRPr="003D1E07">
        <w:t xml:space="preserve">všechny </w:t>
      </w:r>
      <w:r w:rsidR="08717FCD" w:rsidRPr="003D1E07">
        <w:t>fo</w:t>
      </w:r>
      <w:r w:rsidR="08D008A6" w:rsidRPr="003D1E07">
        <w:t>rmy objektivity v j</w:t>
      </w:r>
      <w:r w:rsidR="08717FCD" w:rsidRPr="003D1E07">
        <w:t>ejí pozi</w:t>
      </w:r>
      <w:r w:rsidR="08D008A6" w:rsidRPr="003D1E07">
        <w:t>ti</w:t>
      </w:r>
      <w:r w:rsidR="08717FCD" w:rsidRPr="003D1E07">
        <w:t>vní jso</w:t>
      </w:r>
      <w:r w:rsidR="08D008A6" w:rsidRPr="003D1E07">
        <w:t xml:space="preserve">ucnosti. </w:t>
      </w:r>
      <w:r w:rsidR="08810A46" w:rsidRPr="003D1E07">
        <w:t>Archeologie objektivity popisuje postupné transformace jsoucna v prostoru archaického dění pravdy</w:t>
      </w:r>
      <w:r w:rsidR="082F1515" w:rsidRPr="003D1E07">
        <w:t xml:space="preserve"> daného jako šerosvit platonské jeskyně nebo Heideggerovo </w:t>
      </w:r>
      <w:r w:rsidR="082F1515" w:rsidRPr="003D1E07">
        <w:rPr>
          <w:i/>
        </w:rPr>
        <w:t>Lichtung</w:t>
      </w:r>
      <w:r w:rsidR="08810A46" w:rsidRPr="003D1E07">
        <w:t xml:space="preserve">. Ve tmě počátku je vidět dějinná </w:t>
      </w:r>
      <w:r w:rsidR="08810A46" w:rsidRPr="003D1E07">
        <w:rPr>
          <w:i/>
        </w:rPr>
        <w:t>alétheia</w:t>
      </w:r>
      <w:r w:rsidR="08810A46" w:rsidRPr="003D1E07">
        <w:t xml:space="preserve"> nové substance</w:t>
      </w:r>
      <w:r w:rsidR="08AB7C8E" w:rsidRPr="003D1E07">
        <w:t xml:space="preserve">. Toto metafyzicky neexistující jsoucno </w:t>
      </w:r>
      <w:r w:rsidR="0830201A" w:rsidRPr="003D1E07">
        <w:t>je stále ještě v </w:t>
      </w:r>
      <w:r w:rsidR="08AB7C8E" w:rsidRPr="003D1E07">
        <w:t>prosto</w:t>
      </w:r>
      <w:r w:rsidR="0830201A" w:rsidRPr="003D1E07">
        <w:t>ru původní sokratovské a pythické pravdy a klamu</w:t>
      </w:r>
      <w:r w:rsidR="08810A46" w:rsidRPr="003D1E07">
        <w:t xml:space="preserve">. </w:t>
      </w:r>
      <w:r w:rsidR="085477FD" w:rsidRPr="003D1E07">
        <w:t xml:space="preserve">Zavedením substance jako </w:t>
      </w:r>
      <w:r w:rsidR="085477FD" w:rsidRPr="003D1E07">
        <w:rPr>
          <w:i/>
        </w:rPr>
        <w:t xml:space="preserve">tertium ens </w:t>
      </w:r>
      <w:r w:rsidR="085477FD" w:rsidRPr="003D1E07">
        <w:t xml:space="preserve">vznikla forma apollinského znamení, které v modu pravdy a nepravdy </w:t>
      </w:r>
      <w:r w:rsidR="081815A1" w:rsidRPr="003D1E07">
        <w:t xml:space="preserve">zjevuje </w:t>
      </w:r>
      <w:r w:rsidR="085477FD" w:rsidRPr="003D1E07">
        <w:t xml:space="preserve">dějiny objektivity. </w:t>
      </w:r>
      <w:r w:rsidR="08737B34" w:rsidRPr="003D1E07">
        <w:t xml:space="preserve">Výklad </w:t>
      </w:r>
      <w:r w:rsidR="007356E3" w:rsidRPr="003D1E07">
        <w:t xml:space="preserve">našel novou formu </w:t>
      </w:r>
      <w:r w:rsidR="007356E3" w:rsidRPr="003D1E07">
        <w:rPr>
          <w:i/>
        </w:rPr>
        <w:t>Vor-blickbahn</w:t>
      </w:r>
      <w:r w:rsidR="007356E3" w:rsidRPr="003D1E07">
        <w:t xml:space="preserve"> a </w:t>
      </w:r>
      <w:r w:rsidR="003930C4" w:rsidRPr="003D1E07">
        <w:t xml:space="preserve">definitivně </w:t>
      </w:r>
      <w:r w:rsidR="08737B34" w:rsidRPr="003D1E07">
        <w:t>opustil</w:t>
      </w:r>
      <w:r w:rsidR="0880323E" w:rsidRPr="003D1E07">
        <w:t xml:space="preserve"> nepůvodní základ (</w:t>
      </w:r>
      <w:r w:rsidR="0880323E" w:rsidRPr="003D1E07">
        <w:rPr>
          <w:i/>
        </w:rPr>
        <w:t>subiectum</w:t>
      </w:r>
      <w:r w:rsidR="0880323E" w:rsidRPr="003D1E07">
        <w:t xml:space="preserve">) moderního myšlení držený objektivisty všeho druhu. </w:t>
      </w:r>
      <w:r w:rsidR="081815A1" w:rsidRPr="003D1E07">
        <w:t>Každé nov</w:t>
      </w:r>
      <w:r w:rsidR="08316614" w:rsidRPr="003D1E07">
        <w:t xml:space="preserve">é simulákrum </w:t>
      </w:r>
      <w:r w:rsidR="08FD2B94" w:rsidRPr="003D1E07">
        <w:t xml:space="preserve">substance </w:t>
      </w:r>
      <w:r w:rsidR="081815A1" w:rsidRPr="003D1E07">
        <w:t>vychází</w:t>
      </w:r>
      <w:r w:rsidR="08DE1A9D" w:rsidRPr="003D1E07">
        <w:t xml:space="preserve"> </w:t>
      </w:r>
      <w:r w:rsidR="08D75E63" w:rsidRPr="003D1E07">
        <w:t>(</w:t>
      </w:r>
      <w:r w:rsidR="08D75E63" w:rsidRPr="003D1E07">
        <w:rPr>
          <w:i/>
        </w:rPr>
        <w:t>exsistit</w:t>
      </w:r>
      <w:r w:rsidR="08D75E63" w:rsidRPr="003D1E07">
        <w:t xml:space="preserve">) </w:t>
      </w:r>
      <w:r w:rsidR="08DE1A9D" w:rsidRPr="003D1E07">
        <w:t xml:space="preserve">z původní temnoty </w:t>
      </w:r>
      <w:r w:rsidR="08316614" w:rsidRPr="003D1E07">
        <w:t>aristotelské substance</w:t>
      </w:r>
      <w:r w:rsidR="086B1C72" w:rsidRPr="003D1E07">
        <w:t xml:space="preserve">. </w:t>
      </w:r>
      <w:r w:rsidR="085D32CB" w:rsidRPr="003D1E07">
        <w:t>Séma</w:t>
      </w:r>
      <w:r w:rsidR="08810A46" w:rsidRPr="003D1E07">
        <w:t>n</w:t>
      </w:r>
      <w:r w:rsidR="085D32CB" w:rsidRPr="003D1E07">
        <w:t>tická s</w:t>
      </w:r>
      <w:r w:rsidR="08E345EE" w:rsidRPr="003D1E07">
        <w:t xml:space="preserve">topa původní </w:t>
      </w:r>
      <w:r w:rsidR="085D32CB" w:rsidRPr="003D1E07">
        <w:t xml:space="preserve">archegetické </w:t>
      </w:r>
      <w:r w:rsidR="08E345EE" w:rsidRPr="003D1E07">
        <w:t xml:space="preserve">dějinnosti </w:t>
      </w:r>
      <w:r w:rsidR="085D32CB" w:rsidRPr="003D1E07">
        <w:t xml:space="preserve">je </w:t>
      </w:r>
      <w:r w:rsidR="08B0568F" w:rsidRPr="003D1E07">
        <w:t>daná jako „ex-sistence“ jsoucna třetího druhu</w:t>
      </w:r>
      <w:r w:rsidR="085D32CB" w:rsidRPr="003D1E07">
        <w:t xml:space="preserve">. Takto daná ipseita substance </w:t>
      </w:r>
      <w:r w:rsidR="08AA0411" w:rsidRPr="003D1E07">
        <w:t xml:space="preserve">jako </w:t>
      </w:r>
      <w:r w:rsidR="08AA0411" w:rsidRPr="003D1E07">
        <w:rPr>
          <w:i/>
        </w:rPr>
        <w:t>tertium ens</w:t>
      </w:r>
      <w:r w:rsidR="08AA0411" w:rsidRPr="003D1E07">
        <w:t xml:space="preserve"> </w:t>
      </w:r>
      <w:r w:rsidR="08E345EE" w:rsidRPr="003D1E07">
        <w:t>stojí v základu každé</w:t>
      </w:r>
      <w:r w:rsidR="00031C34" w:rsidRPr="003D1E07">
        <w:t xml:space="preserve"> </w:t>
      </w:r>
      <w:r w:rsidR="08E345EE" w:rsidRPr="003D1E07">
        <w:t>epochální formy metafyziky (</w:t>
      </w:r>
      <w:r w:rsidR="08E345EE" w:rsidRPr="003D1E07">
        <w:rPr>
          <w:i/>
        </w:rPr>
        <w:t>Gr</w:t>
      </w:r>
      <w:r w:rsidR="08E345EE" w:rsidRPr="003D1E07">
        <w:rPr>
          <w:rFonts w:cs="Calibri"/>
          <w:i/>
        </w:rPr>
        <w:t>ü</w:t>
      </w:r>
      <w:r w:rsidR="08E345EE" w:rsidRPr="003D1E07">
        <w:rPr>
          <w:i/>
        </w:rPr>
        <w:t>ndung</w:t>
      </w:r>
      <w:r w:rsidR="08033109" w:rsidRPr="003D1E07">
        <w:t>)</w:t>
      </w:r>
      <w:r w:rsidR="08056F4B" w:rsidRPr="003D1E07">
        <w:t xml:space="preserve">. Původní </w:t>
      </w:r>
      <w:r w:rsidR="08056F4B" w:rsidRPr="003D1E07">
        <w:rPr>
          <w:i/>
        </w:rPr>
        <w:t>Lichtung</w:t>
      </w:r>
      <w:r w:rsidR="08056F4B" w:rsidRPr="003D1E07">
        <w:t xml:space="preserve"> zjevnosti a nezjevnosti metafyziky pak zakládá dějiny metafyziky jako </w:t>
      </w:r>
      <w:r w:rsidR="08056F4B" w:rsidRPr="003D1E07">
        <w:lastRenderedPageBreak/>
        <w:t xml:space="preserve">nekonečnou sofistickou řadu </w:t>
      </w:r>
      <w:r w:rsidR="00C205A2" w:rsidRPr="003D1E07">
        <w:t xml:space="preserve">napodobenin </w:t>
      </w:r>
      <w:r w:rsidR="08056F4B" w:rsidRPr="003D1E07">
        <w:t>substance (</w:t>
      </w:r>
      <w:r w:rsidR="08056F4B" w:rsidRPr="003D1E07">
        <w:rPr>
          <w:i/>
        </w:rPr>
        <w:t>eídolon</w:t>
      </w:r>
      <w:r w:rsidR="00B22FA0" w:rsidRPr="003D1E07">
        <w:rPr>
          <w:i/>
        </w:rPr>
        <w:fldChar w:fldCharType="begin"/>
      </w:r>
      <w:r w:rsidR="00B22FA0" w:rsidRPr="003D1E07">
        <w:instrText xml:space="preserve"> XE "</w:instrText>
      </w:r>
      <w:r w:rsidR="00B22FA0" w:rsidRPr="003D1E07">
        <w:rPr>
          <w:i/>
        </w:rPr>
        <w:instrText>eídolon</w:instrText>
      </w:r>
      <w:r w:rsidR="00B22FA0" w:rsidRPr="003D1E07">
        <w:instrText xml:space="preserve">" </w:instrText>
      </w:r>
      <w:r w:rsidR="00B22FA0" w:rsidRPr="003D1E07">
        <w:rPr>
          <w:i/>
        </w:rPr>
        <w:fldChar w:fldCharType="end"/>
      </w:r>
      <w:r w:rsidR="00B22FA0" w:rsidRPr="003D1E07">
        <w:rPr>
          <w:i/>
        </w:rPr>
        <w:t xml:space="preserve">, </w:t>
      </w:r>
      <w:r w:rsidR="00B22FA0" w:rsidRPr="003D1E07">
        <w:rPr>
          <w:i/>
          <w:noProof w:val="0"/>
        </w:rPr>
        <w:t>Grund</w:t>
      </w:r>
      <w:r w:rsidR="00B22FA0" w:rsidRPr="003D1E07">
        <w:rPr>
          <w:i/>
          <w:noProof w:val="0"/>
        </w:rPr>
        <w:fldChar w:fldCharType="begin"/>
      </w:r>
      <w:r w:rsidR="00B22FA0" w:rsidRPr="003D1E07">
        <w:instrText xml:space="preserve"> XE "</w:instrText>
      </w:r>
      <w:r w:rsidR="00B22FA0" w:rsidRPr="003D1E07">
        <w:rPr>
          <w:i/>
          <w:noProof w:val="0"/>
        </w:rPr>
        <w:instrText>Grund</w:instrText>
      </w:r>
      <w:r w:rsidR="00B22FA0" w:rsidRPr="003D1E07">
        <w:instrText xml:space="preserve">" </w:instrText>
      </w:r>
      <w:r w:rsidR="00B22FA0" w:rsidRPr="003D1E07">
        <w:rPr>
          <w:i/>
          <w:noProof w:val="0"/>
        </w:rPr>
        <w:fldChar w:fldCharType="end"/>
      </w:r>
      <w:r w:rsidR="08056F4B" w:rsidRPr="003D1E07">
        <w:t>)</w:t>
      </w:r>
      <w:r w:rsidR="08E91368" w:rsidRPr="003D1E07">
        <w:t xml:space="preserve">. Díky </w:t>
      </w:r>
      <w:r w:rsidR="081D0CB5" w:rsidRPr="003D1E07">
        <w:t xml:space="preserve">dějinné </w:t>
      </w:r>
      <w:r w:rsidR="08E91368" w:rsidRPr="003D1E07">
        <w:t xml:space="preserve">ipseitě takto zjevené </w:t>
      </w:r>
      <w:r w:rsidR="081670EF" w:rsidRPr="003D1E07">
        <w:t xml:space="preserve">substance </w:t>
      </w:r>
      <w:r w:rsidR="081D0CB5" w:rsidRPr="003D1E07">
        <w:t>jako znamení božské komedie</w:t>
      </w:r>
      <w:r w:rsidR="08E91368" w:rsidRPr="003D1E07">
        <w:t xml:space="preserve"> Múz či postmoderní tragikomedie Fúrií </w:t>
      </w:r>
      <w:r w:rsidR="08E345EE" w:rsidRPr="003D1E07">
        <w:t>je možné postihnout dění původního arch</w:t>
      </w:r>
      <w:r w:rsidR="088E6370" w:rsidRPr="003D1E07">
        <w:t>eget</w:t>
      </w:r>
      <w:r w:rsidR="08E345EE" w:rsidRPr="003D1E07">
        <w:t xml:space="preserve">ického dativu. </w:t>
      </w:r>
      <w:r w:rsidR="08153CFC" w:rsidRPr="003D1E07">
        <w:t>V </w:t>
      </w:r>
      <w:r w:rsidR="0025009D" w:rsidRPr="003D1E07">
        <w:t>moudrosti</w:t>
      </w:r>
      <w:r w:rsidR="08153CFC" w:rsidRPr="003D1E07">
        <w:t xml:space="preserve"> první filosofie je platnost každého metafyzického simulákra dána v modu původního </w:t>
      </w:r>
      <w:r w:rsidR="08153CFC" w:rsidRPr="003D1E07">
        <w:rPr>
          <w:i/>
        </w:rPr>
        <w:t>Irrtum</w:t>
      </w:r>
      <w:r w:rsidR="08153CFC" w:rsidRPr="003D1E07">
        <w:t xml:space="preserve">. </w:t>
      </w:r>
      <w:r w:rsidR="08363444" w:rsidRPr="003D1E07">
        <w:t xml:space="preserve">Dějinná podoba </w:t>
      </w:r>
      <w:r w:rsidR="08363444" w:rsidRPr="003D1E07">
        <w:rPr>
          <w:i/>
        </w:rPr>
        <w:t>Seinsvergessenheit</w:t>
      </w:r>
      <w:r w:rsidR="08363444" w:rsidRPr="003D1E07">
        <w:t xml:space="preserve"> se ukazuje v situaci, kdy přestává platit aristotelská logika daná identitou substance a větou o vyloučeném třetím. </w:t>
      </w:r>
      <w:r w:rsidR="08B779FB" w:rsidRPr="003D1E07">
        <w:t xml:space="preserve">Metafyzický </w:t>
      </w:r>
      <w:r w:rsidR="08363444" w:rsidRPr="003D1E07">
        <w:t>dativ daný skrze aristo</w:t>
      </w:r>
      <w:r w:rsidR="088E6370" w:rsidRPr="003D1E07">
        <w:t xml:space="preserve">telskou formu první či druhé substance je anulován novou formou substance jako </w:t>
      </w:r>
      <w:r w:rsidR="088E6370" w:rsidRPr="003D1E07">
        <w:rPr>
          <w:i/>
        </w:rPr>
        <w:t>tertium ens</w:t>
      </w:r>
      <w:r w:rsidR="088E6370" w:rsidRPr="003D1E07">
        <w:t xml:space="preserve">. </w:t>
      </w:r>
      <w:r w:rsidR="0833747F" w:rsidRPr="003D1E07">
        <w:t>Nová přítomnost jsoucn</w:t>
      </w:r>
      <w:r w:rsidR="0896649D" w:rsidRPr="003D1E07">
        <w:t>a pro myšlení je pořád ještě ne</w:t>
      </w:r>
      <w:r w:rsidR="0833747F" w:rsidRPr="003D1E07">
        <w:t>pravdivou v novém metafyzickém smyslu</w:t>
      </w:r>
      <w:r w:rsidR="00780451" w:rsidRPr="003D1E07">
        <w:t>, pro</w:t>
      </w:r>
      <w:r w:rsidR="0002448B" w:rsidRPr="003D1E07">
        <w:t>t</w:t>
      </w:r>
      <w:r w:rsidR="00780451" w:rsidRPr="003D1E07">
        <w:t>o</w:t>
      </w:r>
      <w:r w:rsidR="0002448B" w:rsidRPr="003D1E07">
        <w:t>že nový smysl substance ještě nemá paradigmatickou platnost</w:t>
      </w:r>
      <w:r w:rsidR="00780451" w:rsidRPr="003D1E07">
        <w:t>. Ale smysl jsoucna přestal být pravdivý</w:t>
      </w:r>
      <w:r w:rsidR="0833747F" w:rsidRPr="003D1E07">
        <w:t xml:space="preserve"> v původním smyslu již překonané figury metafyziky. </w:t>
      </w:r>
      <w:r w:rsidR="08D809FD" w:rsidRPr="003D1E07">
        <w:t>Objektivně manifestovaná substance v sobě nese v momentu přechodu z počáteční fáze nezjevnosti (</w:t>
      </w:r>
      <w:r w:rsidR="08D809FD" w:rsidRPr="003D1E07">
        <w:rPr>
          <w:i/>
        </w:rPr>
        <w:t>Anfang</w:t>
      </w:r>
      <w:r w:rsidR="08D809FD" w:rsidRPr="003D1E07">
        <w:t>) do veritativní zjevnosti (</w:t>
      </w:r>
      <w:r w:rsidR="08D809FD" w:rsidRPr="003D1E07">
        <w:rPr>
          <w:i/>
        </w:rPr>
        <w:t>Beginn</w:t>
      </w:r>
      <w:r w:rsidR="08D809FD" w:rsidRPr="003D1E07">
        <w:t xml:space="preserve">) </w:t>
      </w:r>
      <w:r w:rsidR="08F71966" w:rsidRPr="003D1E07">
        <w:t xml:space="preserve">stopu </w:t>
      </w:r>
      <w:r w:rsidR="08D809FD" w:rsidRPr="003D1E07">
        <w:t xml:space="preserve">původní archaické pravdy. Tato pythická nebo múzická podoba pravdy </w:t>
      </w:r>
      <w:r w:rsidR="0809055B" w:rsidRPr="003D1E07">
        <w:t xml:space="preserve">se </w:t>
      </w:r>
      <w:r w:rsidR="08D809FD" w:rsidRPr="003D1E07">
        <w:t xml:space="preserve">ukazuje </w:t>
      </w:r>
      <w:r w:rsidR="08F71966" w:rsidRPr="003D1E07">
        <w:t xml:space="preserve">v modu apollinské </w:t>
      </w:r>
      <w:r w:rsidR="006B5A86" w:rsidRPr="003D1E07">
        <w:t xml:space="preserve">a sokratovské </w:t>
      </w:r>
      <w:r w:rsidR="08F71966" w:rsidRPr="003D1E07">
        <w:t>sémantiky</w:t>
      </w:r>
      <w:r w:rsidR="0809055B" w:rsidRPr="003D1E07">
        <w:t>. Je</w:t>
      </w:r>
      <w:r w:rsidR="08121142" w:rsidRPr="003D1E07">
        <w:t xml:space="preserve">jí hermeneutický výklad zjevuje </w:t>
      </w:r>
      <w:r w:rsidR="08D809FD" w:rsidRPr="003D1E07">
        <w:t xml:space="preserve">pravdu a nepravdu každé nové formy metafyziky. </w:t>
      </w:r>
      <w:r w:rsidR="08153CFC" w:rsidRPr="003D1E07">
        <w:t xml:space="preserve">Archegetická ipseita ne/substance v modu </w:t>
      </w:r>
      <w:r w:rsidR="08153CFC" w:rsidRPr="003D1E07">
        <w:rPr>
          <w:i/>
        </w:rPr>
        <w:t>a/létheia</w:t>
      </w:r>
      <w:r w:rsidR="08462D84" w:rsidRPr="003D1E07">
        <w:fldChar w:fldCharType="begin"/>
      </w:r>
      <w:r w:rsidR="08462D84" w:rsidRPr="003D1E07">
        <w:instrText xml:space="preserve"> XE "pravda:múzická" </w:instrText>
      </w:r>
      <w:r w:rsidR="08462D84" w:rsidRPr="003D1E07">
        <w:fldChar w:fldCharType="end"/>
      </w:r>
      <w:r w:rsidR="00D07401" w:rsidRPr="003D1E07">
        <w:t xml:space="preserve"> </w:t>
      </w:r>
      <w:r w:rsidR="08153CFC" w:rsidRPr="003D1E07">
        <w:t xml:space="preserve">jako </w:t>
      </w:r>
      <w:r w:rsidR="08153CFC" w:rsidRPr="003D1E07">
        <w:rPr>
          <w:i/>
        </w:rPr>
        <w:t>tertium ens</w:t>
      </w:r>
      <w:r w:rsidR="08153CFC" w:rsidRPr="003D1E07">
        <w:t xml:space="preserve"> přešla po změně paradigmatu do identity nové formy substance. </w:t>
      </w:r>
      <w:r w:rsidR="08533B1C" w:rsidRPr="003D1E07">
        <w:t xml:space="preserve">Pravdu metafyziky </w:t>
      </w:r>
      <w:r w:rsidR="08F845E1" w:rsidRPr="003D1E07">
        <w:t xml:space="preserve">určuje identita substance a </w:t>
      </w:r>
      <w:r w:rsidR="08533B1C" w:rsidRPr="003D1E07">
        <w:t xml:space="preserve">zákon o vyloučeném třetím, ale po-odkrytost substance je dána jako </w:t>
      </w:r>
      <w:r w:rsidR="08533B1C" w:rsidRPr="003D1E07">
        <w:rPr>
          <w:i/>
        </w:rPr>
        <w:t>tertium ens</w:t>
      </w:r>
      <w:r w:rsidR="00483AB2" w:rsidRPr="003D1E07">
        <w:t xml:space="preserve"> v moment</w:t>
      </w:r>
      <w:r w:rsidR="00597D4D" w:rsidRPr="003D1E07">
        <w:t>u</w:t>
      </w:r>
      <w:r w:rsidR="00483AB2" w:rsidRPr="003D1E07">
        <w:t xml:space="preserve"> epochálního přechodu z temnoty do světla. </w:t>
      </w:r>
      <w:r w:rsidR="0833747F" w:rsidRPr="003D1E07">
        <w:t xml:space="preserve">Po zániku tohoto </w:t>
      </w:r>
      <w:r w:rsidR="08B5666B" w:rsidRPr="003D1E07">
        <w:t xml:space="preserve">principiálního dění pravdy </w:t>
      </w:r>
      <w:r w:rsidR="0833747F" w:rsidRPr="003D1E07">
        <w:t xml:space="preserve">je nastolena vláda nové </w:t>
      </w:r>
      <w:r w:rsidR="008869FE" w:rsidRPr="003D1E07">
        <w:t xml:space="preserve">a plně zářící </w:t>
      </w:r>
      <w:r w:rsidR="0833747F" w:rsidRPr="003D1E07">
        <w:t>formy bytí jsoucna v</w:t>
      </w:r>
      <w:r w:rsidR="08730A06" w:rsidRPr="003D1E07">
        <w:t xml:space="preserve"> logickém </w:t>
      </w:r>
      <w:r w:rsidR="004A0220" w:rsidRPr="003D1E07">
        <w:t>modu vyloučeného třetího. Akademický basilišek pak znovu hlídá zahradu Hesperidek, aby se nikd</w:t>
      </w:r>
      <w:r w:rsidR="00880773" w:rsidRPr="003D1E07">
        <w:t>o</w:t>
      </w:r>
      <w:r w:rsidR="004A0220" w:rsidRPr="003D1E07">
        <w:t xml:space="preserve"> nemohl vráti</w:t>
      </w:r>
      <w:r w:rsidR="00880773" w:rsidRPr="003D1E07">
        <w:t>t</w:t>
      </w:r>
      <w:r w:rsidR="004A0220" w:rsidRPr="003D1E07">
        <w:t xml:space="preserve"> pro zastaralou formu moudrosti. N</w:t>
      </w:r>
      <w:r w:rsidR="080D5C55" w:rsidRPr="003D1E07">
        <w:t>epodmín</w:t>
      </w:r>
      <w:r w:rsidR="082635B4" w:rsidRPr="003D1E07">
        <w:t xml:space="preserve">ěná platnost </w:t>
      </w:r>
      <w:r w:rsidR="004A0220" w:rsidRPr="003D1E07">
        <w:t xml:space="preserve">logiky </w:t>
      </w:r>
      <w:r w:rsidR="082635B4" w:rsidRPr="003D1E07">
        <w:t xml:space="preserve">pro </w:t>
      </w:r>
      <w:r w:rsidR="00F211B8" w:rsidRPr="003D1E07">
        <w:t xml:space="preserve">každou </w:t>
      </w:r>
      <w:r w:rsidR="082635B4" w:rsidRPr="003D1E07">
        <w:t xml:space="preserve">novou formu substance ustavuje </w:t>
      </w:r>
      <w:r w:rsidR="089A3142" w:rsidRPr="003D1E07">
        <w:t xml:space="preserve">vládnoucí </w:t>
      </w:r>
      <w:r w:rsidR="082635B4" w:rsidRPr="003D1E07">
        <w:t xml:space="preserve">paradigma metafyziky. </w:t>
      </w:r>
      <w:r w:rsidR="08372145" w:rsidRPr="003D1E07">
        <w:t xml:space="preserve">V božské komedii moderny </w:t>
      </w:r>
      <w:r w:rsidR="08244078" w:rsidRPr="003D1E07">
        <w:t xml:space="preserve">dané jako její veritativní a pozitivní dějiny </w:t>
      </w:r>
      <w:r w:rsidR="08372145" w:rsidRPr="003D1E07">
        <w:t>pak vy</w:t>
      </w:r>
      <w:r w:rsidR="084373A9" w:rsidRPr="003D1E07">
        <w:t>s</w:t>
      </w:r>
      <w:r w:rsidR="08372145" w:rsidRPr="003D1E07">
        <w:t xml:space="preserve">tupuje nová substance už jako pevný a nepochybný základ </w:t>
      </w:r>
      <w:r w:rsidR="00D33663" w:rsidRPr="003D1E07">
        <w:t xml:space="preserve">každé modernizované </w:t>
      </w:r>
      <w:r w:rsidR="08553003" w:rsidRPr="003D1E07">
        <w:t xml:space="preserve">formy </w:t>
      </w:r>
      <w:r w:rsidR="08372145" w:rsidRPr="003D1E07">
        <w:t xml:space="preserve">metafyziky. </w:t>
      </w:r>
      <w:r w:rsidR="084372CB" w:rsidRPr="003D1E07">
        <w:t xml:space="preserve">Hermeneutika </w:t>
      </w:r>
      <w:r w:rsidR="004A73AD" w:rsidRPr="003D1E07">
        <w:t>stojí mimo tuto komedii</w:t>
      </w:r>
      <w:r w:rsidR="007F3274" w:rsidRPr="003D1E07">
        <w:t xml:space="preserve">, </w:t>
      </w:r>
      <w:r w:rsidR="004A73AD" w:rsidRPr="003D1E07">
        <w:t xml:space="preserve">proto </w:t>
      </w:r>
      <w:r w:rsidR="084372CB" w:rsidRPr="003D1E07">
        <w:t xml:space="preserve">vidí </w:t>
      </w:r>
      <w:r w:rsidR="00853680" w:rsidRPr="003D1E07">
        <w:t>dějinnost metafyziky</w:t>
      </w:r>
      <w:r w:rsidR="08050803" w:rsidRPr="003D1E07">
        <w:t xml:space="preserve"> </w:t>
      </w:r>
      <w:r w:rsidR="084372CB" w:rsidRPr="003D1E07">
        <w:t>tragicky a múzicky</w:t>
      </w:r>
      <w:r w:rsidR="00333801" w:rsidRPr="003D1E07">
        <w:t xml:space="preserve">. To </w:t>
      </w:r>
      <w:r w:rsidR="00EC1F3E" w:rsidRPr="003D1E07">
        <w:t>je její původní dráha předchůdného náhledu</w:t>
      </w:r>
      <w:r w:rsidR="00333801" w:rsidRPr="003D1E07">
        <w:t xml:space="preserve"> podle Sokratovy původní formy </w:t>
      </w:r>
      <w:r w:rsidR="00333801" w:rsidRPr="003D1E07">
        <w:rPr>
          <w:i/>
        </w:rPr>
        <w:t>epoché</w:t>
      </w:r>
      <w:r w:rsidR="000A6119" w:rsidRPr="003D1E07">
        <w:t xml:space="preserve">. </w:t>
      </w:r>
      <w:r w:rsidR="008242C3" w:rsidRPr="003D1E07">
        <w:t xml:space="preserve">Tato perspektiva chápe metafyziku </w:t>
      </w:r>
      <w:r w:rsidR="004A73AD" w:rsidRPr="003D1E07">
        <w:t>j</w:t>
      </w:r>
      <w:r w:rsidR="08C5372D" w:rsidRPr="003D1E07">
        <w:t xml:space="preserve">ako </w:t>
      </w:r>
      <w:r w:rsidR="08B33263" w:rsidRPr="003D1E07">
        <w:t xml:space="preserve">mytopoetický </w:t>
      </w:r>
      <w:r w:rsidR="08713A6B" w:rsidRPr="003D1E07">
        <w:t>průvod substancí</w:t>
      </w:r>
      <w:r w:rsidR="08C5372D" w:rsidRPr="003D1E07">
        <w:t xml:space="preserve"> daný skrze </w:t>
      </w:r>
      <w:r w:rsidR="08713A6B" w:rsidRPr="003D1E07">
        <w:t xml:space="preserve">evoluční a revoluční </w:t>
      </w:r>
      <w:r w:rsidR="08D81468" w:rsidRPr="003D1E07">
        <w:t xml:space="preserve">dějiny </w:t>
      </w:r>
      <w:r w:rsidR="08713A6B" w:rsidRPr="003D1E07">
        <w:t>moderny</w:t>
      </w:r>
      <w:r w:rsidR="08C5372D" w:rsidRPr="003D1E07">
        <w:t xml:space="preserve">. Kruhovým pohybem mytického myšlení </w:t>
      </w:r>
      <w:r w:rsidR="08957321" w:rsidRPr="003D1E07">
        <w:t xml:space="preserve">daného v kruhu věčného návratu Téhož </w:t>
      </w:r>
      <w:r w:rsidR="08C5372D" w:rsidRPr="003D1E07">
        <w:t xml:space="preserve">vznikají </w:t>
      </w:r>
      <w:r w:rsidR="08050803" w:rsidRPr="003D1E07">
        <w:t xml:space="preserve">stále nová dramatická </w:t>
      </w:r>
      <w:r w:rsidR="0847005E" w:rsidRPr="003D1E07">
        <w:t>dějs</w:t>
      </w:r>
      <w:r w:rsidR="08050803" w:rsidRPr="003D1E07">
        <w:t>tví</w:t>
      </w:r>
      <w:r w:rsidR="08713A6B" w:rsidRPr="003D1E07">
        <w:t xml:space="preserve"> </w:t>
      </w:r>
      <w:r w:rsidR="08C5372D" w:rsidRPr="003D1E07">
        <w:t xml:space="preserve">jedné a téže </w:t>
      </w:r>
      <w:r w:rsidR="08713A6B" w:rsidRPr="003D1E07">
        <w:t xml:space="preserve">božské komedie, kterou skrytě inscenují apollinské </w:t>
      </w:r>
      <w:r w:rsidR="08DE748E" w:rsidRPr="003D1E07">
        <w:t>Mú</w:t>
      </w:r>
      <w:r w:rsidR="08713A6B" w:rsidRPr="003D1E07">
        <w:t>zy</w:t>
      </w:r>
      <w:r w:rsidR="08954E62" w:rsidRPr="003D1E07">
        <w:t>.</w:t>
      </w:r>
      <w:r w:rsidR="005425D9" w:rsidRPr="003D1E07">
        <w:t xml:space="preserve"> </w:t>
      </w:r>
      <w:r w:rsidR="08553003" w:rsidRPr="003D1E07">
        <w:t xml:space="preserve">Původní múzická síla pravdy zjevuje zpřítomnění nového smyslu jsoucna v jeho pravdě i nepravdě. </w:t>
      </w:r>
      <w:r w:rsidR="081830AF" w:rsidRPr="003D1E07">
        <w:t xml:space="preserve">Proto může archeologie </w:t>
      </w:r>
      <w:r w:rsidR="086B1C72" w:rsidRPr="003D1E07">
        <w:t>tyto počáteční figury metafyziky vyložit</w:t>
      </w:r>
      <w:r w:rsidR="08922355" w:rsidRPr="003D1E07">
        <w:t xml:space="preserve"> na začátku </w:t>
      </w:r>
      <w:r w:rsidR="0896649D" w:rsidRPr="003D1E07">
        <w:t xml:space="preserve">jejich </w:t>
      </w:r>
      <w:r w:rsidR="0896649D" w:rsidRPr="003D1E07">
        <w:lastRenderedPageBreak/>
        <w:t xml:space="preserve">dějinného působení. V této fázi </w:t>
      </w:r>
      <w:r w:rsidR="08886EFA" w:rsidRPr="003D1E07">
        <w:t xml:space="preserve">dosvědčuje </w:t>
      </w:r>
      <w:r w:rsidR="0896649D" w:rsidRPr="003D1E07">
        <w:t xml:space="preserve">každá nová forma </w:t>
      </w:r>
      <w:r w:rsidR="0038145C" w:rsidRPr="003D1E07">
        <w:t xml:space="preserve">metafyzické </w:t>
      </w:r>
      <w:r w:rsidR="0896649D" w:rsidRPr="003D1E07">
        <w:t xml:space="preserve">substance </w:t>
      </w:r>
      <w:r w:rsidR="00B6341D" w:rsidRPr="003D1E07">
        <w:t xml:space="preserve">skryté </w:t>
      </w:r>
      <w:r w:rsidR="08886EFA" w:rsidRPr="003D1E07">
        <w:t xml:space="preserve">působení </w:t>
      </w:r>
      <w:r w:rsidR="0896649D" w:rsidRPr="003D1E07">
        <w:t xml:space="preserve">archaického počátku </w:t>
      </w:r>
      <w:r w:rsidR="08922355" w:rsidRPr="003D1E07">
        <w:t>dané</w:t>
      </w:r>
      <w:r w:rsidR="0896649D" w:rsidRPr="003D1E07">
        <w:t>ho</w:t>
      </w:r>
      <w:r w:rsidR="08922355" w:rsidRPr="003D1E07">
        <w:t xml:space="preserve"> múzickou pravdou a nepravdou</w:t>
      </w:r>
      <w:r w:rsidR="086B1C72" w:rsidRPr="003D1E07">
        <w:t xml:space="preserve">. </w:t>
      </w:r>
      <w:r w:rsidR="001B45A6" w:rsidRPr="003D1E07">
        <w:t>F</w:t>
      </w:r>
      <w:r w:rsidR="086B1C72" w:rsidRPr="003D1E07">
        <w:t xml:space="preserve">ormy </w:t>
      </w:r>
      <w:r w:rsidR="086B1C72" w:rsidRPr="003D1E07">
        <w:rPr>
          <w:i/>
        </w:rPr>
        <w:t>tertium ens</w:t>
      </w:r>
      <w:r w:rsidR="086B1C72" w:rsidRPr="003D1E07">
        <w:t xml:space="preserve"> </w:t>
      </w:r>
      <w:r w:rsidR="00F6305A" w:rsidRPr="003D1E07">
        <w:t xml:space="preserve">obsahují původní pravdu </w:t>
      </w:r>
      <w:r w:rsidR="00386113" w:rsidRPr="003D1E07">
        <w:t xml:space="preserve">archaického </w:t>
      </w:r>
      <w:r w:rsidR="086B1C72" w:rsidRPr="003D1E07">
        <w:rPr>
          <w:i/>
        </w:rPr>
        <w:t>Lichtung</w:t>
      </w:r>
      <w:r w:rsidR="00F6305A" w:rsidRPr="003D1E07">
        <w:t xml:space="preserve"> daného anti-platonským Sokratem</w:t>
      </w:r>
      <w:r w:rsidR="00E205A8" w:rsidRPr="003D1E07">
        <w:t xml:space="preserve"> a jeho otázkou po tom, co doopravdy bytuje v pravdě a nepravdě</w:t>
      </w:r>
      <w:r w:rsidR="00F6305A" w:rsidRPr="003D1E07">
        <w:t xml:space="preserve">. Jeho skutečná </w:t>
      </w:r>
      <w:r w:rsidR="00BC1DF2" w:rsidRPr="003D1E07">
        <w:t xml:space="preserve">a proto múzicky skrytá </w:t>
      </w:r>
      <w:r w:rsidR="00F6305A" w:rsidRPr="003D1E07">
        <w:t xml:space="preserve">figura </w:t>
      </w:r>
      <w:r w:rsidR="00BD0604" w:rsidRPr="003D1E07">
        <w:t xml:space="preserve">posílá </w:t>
      </w:r>
      <w:r w:rsidR="086B1C72" w:rsidRPr="003D1E07">
        <w:t>metafyzické myšlen</w:t>
      </w:r>
      <w:r w:rsidR="089F3F94" w:rsidRPr="003D1E07">
        <w:t xml:space="preserve">í do </w:t>
      </w:r>
      <w:r w:rsidR="002907F9" w:rsidRPr="003D1E07">
        <w:t xml:space="preserve">pozitivní </w:t>
      </w:r>
      <w:r w:rsidR="00BD0604" w:rsidRPr="003D1E07">
        <w:t xml:space="preserve">historie </w:t>
      </w:r>
      <w:r w:rsidR="002907F9" w:rsidRPr="003D1E07">
        <w:t xml:space="preserve">dané průvodem </w:t>
      </w:r>
      <w:r w:rsidR="00BD0604" w:rsidRPr="003D1E07">
        <w:t>simuláker</w:t>
      </w:r>
      <w:r w:rsidR="08784BC4" w:rsidRPr="003D1E07">
        <w:t xml:space="preserve"> </w:t>
      </w:r>
      <w:r w:rsidR="0833747F" w:rsidRPr="003D1E07">
        <w:t>objektivního myšlení</w:t>
      </w:r>
      <w:r w:rsidR="00EE4355" w:rsidRPr="003D1E07">
        <w:t>.</w:t>
      </w:r>
    </w:p>
    <w:p w14:paraId="67796251" w14:textId="77777777" w:rsidR="00EB4EF5" w:rsidRDefault="0877412E" w:rsidP="009316D7">
      <w:pPr>
        <w:ind w:firstLine="397"/>
      </w:pPr>
      <w:r w:rsidRPr="003D1E07">
        <w:t xml:space="preserve">Změna dějinnosti první filosofie na dějiny metafyziky je dána </w:t>
      </w:r>
      <w:r w:rsidR="000A25A8" w:rsidRPr="003D1E07">
        <w:t xml:space="preserve">zavedením a </w:t>
      </w:r>
      <w:r w:rsidRPr="003D1E07">
        <w:t xml:space="preserve">proměnami </w:t>
      </w:r>
      <w:r w:rsidR="08B779FB" w:rsidRPr="003D1E07">
        <w:t xml:space="preserve">metafyzického </w:t>
      </w:r>
      <w:r w:rsidRPr="003D1E07">
        <w:t xml:space="preserve">dativu, který mění </w:t>
      </w:r>
      <w:r w:rsidR="084A01DC" w:rsidRPr="003D1E07">
        <w:t xml:space="preserve">základní definici </w:t>
      </w:r>
      <w:r w:rsidRPr="003D1E07">
        <w:t xml:space="preserve">substance. </w:t>
      </w:r>
      <w:r w:rsidR="085C3E3B" w:rsidRPr="003D1E07">
        <w:t xml:space="preserve">Konflikt mezi </w:t>
      </w:r>
      <w:r w:rsidR="08795120" w:rsidRPr="003D1E07">
        <w:t xml:space="preserve">platonismem a aristotelismem </w:t>
      </w:r>
      <w:r w:rsidR="082F0618" w:rsidRPr="003D1E07">
        <w:t xml:space="preserve">je </w:t>
      </w:r>
      <w:r w:rsidR="086B068D" w:rsidRPr="003D1E07">
        <w:t>ukončený vládou</w:t>
      </w:r>
      <w:r w:rsidR="08DC1568" w:rsidRPr="003D1E07">
        <w:t xml:space="preserve"> </w:t>
      </w:r>
      <w:r w:rsidR="082F0618" w:rsidRPr="003D1E07">
        <w:t xml:space="preserve">nihilistické formy </w:t>
      </w:r>
      <w:r w:rsidR="08DC1568" w:rsidRPr="003D1E07">
        <w:t>objektivity</w:t>
      </w:r>
      <w:r w:rsidR="082F0618" w:rsidRPr="003D1E07">
        <w:t xml:space="preserve">. </w:t>
      </w:r>
      <w:r w:rsidR="08FF5C4B" w:rsidRPr="003D1E07">
        <w:rPr>
          <w:lang w:eastAsia="en-US"/>
        </w:rPr>
        <w:t xml:space="preserve">Objektivní vize jsoucna vznikla v prostředí pozdně antických škol, perské falsafy a latinské scholastiky. </w:t>
      </w:r>
      <w:r w:rsidR="088524E1" w:rsidRPr="003D1E07">
        <w:rPr>
          <w:lang w:eastAsia="en-US"/>
        </w:rPr>
        <w:t>Nakonec byla kanonizována ve</w:t>
      </w:r>
      <w:r w:rsidR="08FF5C4B" w:rsidRPr="003D1E07">
        <w:rPr>
          <w:lang w:eastAsia="en-US"/>
        </w:rPr>
        <w:t xml:space="preserve"> škol</w:t>
      </w:r>
      <w:r w:rsidR="088524E1" w:rsidRPr="003D1E07">
        <w:rPr>
          <w:lang w:eastAsia="en-US"/>
        </w:rPr>
        <w:t>ách</w:t>
      </w:r>
      <w:r w:rsidR="08FF5C4B" w:rsidRPr="003D1E07">
        <w:rPr>
          <w:lang w:eastAsia="en-US"/>
        </w:rPr>
        <w:t xml:space="preserve">, které samy sebe označily latinským termínem </w:t>
      </w:r>
      <w:r w:rsidR="08FF5C4B" w:rsidRPr="003D1E07">
        <w:rPr>
          <w:i/>
          <w:lang w:eastAsia="en-US"/>
        </w:rPr>
        <w:t>Moderni</w:t>
      </w:r>
      <w:r w:rsidR="088524E1" w:rsidRPr="003D1E07">
        <w:rPr>
          <w:lang w:eastAsia="en-US"/>
        </w:rPr>
        <w:t>. Tím vzniklo j</w:t>
      </w:r>
      <w:r w:rsidR="08FF5C4B" w:rsidRPr="003D1E07">
        <w:t xml:space="preserve">soucno </w:t>
      </w:r>
      <w:r w:rsidR="08FF5C4B" w:rsidRPr="003D1E07">
        <w:rPr>
          <w:lang w:eastAsia="en-US"/>
        </w:rPr>
        <w:t>v objektivně dané formě bytí, která je od začátku 14. století epochálně zjevná a v následujících staletích se stala g</w:t>
      </w:r>
      <w:r w:rsidR="08A232D2" w:rsidRPr="003D1E07">
        <w:rPr>
          <w:lang w:eastAsia="en-US"/>
        </w:rPr>
        <w:t>lobálně účinným věděním Západu.</w:t>
      </w:r>
      <w:r w:rsidR="0818333A" w:rsidRPr="003D1E07">
        <w:t xml:space="preserve"> </w:t>
      </w:r>
      <w:r w:rsidR="088B15D1" w:rsidRPr="003D1E07">
        <w:t xml:space="preserve">Metodologická suspenze metafyziky v modu hermeneutické </w:t>
      </w:r>
      <w:r w:rsidR="088B15D1" w:rsidRPr="003D1E07">
        <w:rPr>
          <w:i/>
        </w:rPr>
        <w:t>epoché</w:t>
      </w:r>
      <w:r w:rsidR="088B15D1" w:rsidRPr="003D1E07">
        <w:t xml:space="preserve"> znamená, že nově vzniklou substanci vyložíme z hlediska původních forem její manifestace. Takto daný proces zjevování objektivně </w:t>
      </w:r>
      <w:r w:rsidR="087B0C8E" w:rsidRPr="003D1E07">
        <w:t xml:space="preserve">neexistuje. </w:t>
      </w:r>
      <w:r w:rsidR="089E5F7A" w:rsidRPr="003D1E07">
        <w:t>Tragikové moudře viděli, že první modernisté typu Platona byli fatálně slepí ke všem druhům božských znamení. Postmoderna začala být slepá i v</w:t>
      </w:r>
      <w:r w:rsidR="085836AA" w:rsidRPr="003D1E07">
        <w:t xml:space="preserve">ůči realitě dané jako aristotelská </w:t>
      </w:r>
      <w:r w:rsidR="089E5F7A" w:rsidRPr="003D1E07">
        <w:t xml:space="preserve">první substance. </w:t>
      </w:r>
      <w:r w:rsidR="087B0C8E" w:rsidRPr="003D1E07">
        <w:t>P</w:t>
      </w:r>
      <w:r w:rsidR="088B15D1" w:rsidRPr="003D1E07">
        <w:t xml:space="preserve">ozitivní věda a filosofie </w:t>
      </w:r>
      <w:r w:rsidR="08BB6A3E" w:rsidRPr="003D1E07">
        <w:t xml:space="preserve">daná ilumináty </w:t>
      </w:r>
      <w:r w:rsidR="088B15D1" w:rsidRPr="003D1E07">
        <w:t>pobývající</w:t>
      </w:r>
      <w:r w:rsidR="08BB6A3E" w:rsidRPr="003D1E07">
        <w:t xml:space="preserve">mi ve věčném </w:t>
      </w:r>
      <w:r w:rsidR="088B15D1" w:rsidRPr="003D1E07">
        <w:t>světle metafyziky ne</w:t>
      </w:r>
      <w:r w:rsidR="08BB6A3E" w:rsidRPr="003D1E07">
        <w:t xml:space="preserve">má </w:t>
      </w:r>
      <w:r w:rsidR="088B15D1" w:rsidRPr="003D1E07">
        <w:t>žá</w:t>
      </w:r>
      <w:r w:rsidR="089E5F7A" w:rsidRPr="003D1E07">
        <w:t xml:space="preserve">dný způsob, jak by </w:t>
      </w:r>
      <w:r w:rsidR="08B55B01" w:rsidRPr="003D1E07">
        <w:t>mohla</w:t>
      </w:r>
      <w:r w:rsidR="088B15D1" w:rsidRPr="003D1E07">
        <w:t xml:space="preserve"> vidět</w:t>
      </w:r>
      <w:r w:rsidR="089E5F7A" w:rsidRPr="003D1E07">
        <w:t xml:space="preserve"> svou vlastní slepotu</w:t>
      </w:r>
      <w:r w:rsidR="088B15D1" w:rsidRPr="003D1E07">
        <w:t xml:space="preserve">. </w:t>
      </w:r>
      <w:r w:rsidR="088644EC" w:rsidRPr="003D1E07">
        <w:t xml:space="preserve">Objektivita zkoumá jen přítomnost substance. </w:t>
      </w:r>
      <w:r w:rsidR="088B15D1" w:rsidRPr="003D1E07">
        <w:t xml:space="preserve">Epochálně účinná </w:t>
      </w:r>
      <w:r w:rsidR="08B55B01" w:rsidRPr="003D1E07">
        <w:t xml:space="preserve">forma každé nové substance </w:t>
      </w:r>
      <w:r w:rsidR="088B15D1" w:rsidRPr="003D1E07">
        <w:t xml:space="preserve">překryje svou jasností </w:t>
      </w:r>
      <w:r w:rsidR="08B55B01" w:rsidRPr="003D1E07">
        <w:t xml:space="preserve">skryté dění pravdy jako </w:t>
      </w:r>
      <w:r w:rsidR="085836AA" w:rsidRPr="003D1E07">
        <w:t xml:space="preserve">apollinské </w:t>
      </w:r>
      <w:r w:rsidR="08B55B01" w:rsidRPr="003D1E07">
        <w:t xml:space="preserve">znamení. Původní pravdu a klam objektivních simuláker </w:t>
      </w:r>
      <w:r w:rsidR="088B15D1" w:rsidRPr="003D1E07">
        <w:t xml:space="preserve">lze najít pouze na úplném počátku té či oné epochální manifestace. Proto je nutno hledat epochálně nový způsob, jak byla zpřítomňována substance </w:t>
      </w:r>
      <w:r w:rsidR="009F3DBA" w:rsidRPr="003D1E07">
        <w:t xml:space="preserve">jako </w:t>
      </w:r>
      <w:r w:rsidR="009F3DBA" w:rsidRPr="003D1E07">
        <w:rPr>
          <w:i/>
        </w:rPr>
        <w:t xml:space="preserve">tertium ens </w:t>
      </w:r>
      <w:r w:rsidR="009F3DBA" w:rsidRPr="003D1E07">
        <w:t>ve významných filosofických školách</w:t>
      </w:r>
      <w:r w:rsidR="088B15D1" w:rsidRPr="003D1E07">
        <w:t xml:space="preserve">. Dějiny moderní filosofie </w:t>
      </w:r>
      <w:r w:rsidR="08030700" w:rsidRPr="003D1E07">
        <w:t xml:space="preserve">sémanticky </w:t>
      </w:r>
      <w:r w:rsidR="088B15D1" w:rsidRPr="003D1E07">
        <w:t xml:space="preserve">ukazují </w:t>
      </w:r>
      <w:r w:rsidR="08030700" w:rsidRPr="003D1E07">
        <w:t xml:space="preserve">archegetické </w:t>
      </w:r>
      <w:r w:rsidR="08BD2F0A" w:rsidRPr="003D1E07">
        <w:t xml:space="preserve">dění samotné dějinnosti skrze </w:t>
      </w:r>
      <w:r w:rsidR="088B15D1" w:rsidRPr="003D1E07">
        <w:t xml:space="preserve">proměny jsoucna třetího druhu. </w:t>
      </w:r>
      <w:r w:rsidR="08916D03" w:rsidRPr="003D1E07">
        <w:t xml:space="preserve">Klasičtí </w:t>
      </w:r>
      <w:r w:rsidR="08792B7E" w:rsidRPr="003D1E07">
        <w:t xml:space="preserve">znalci </w:t>
      </w:r>
      <w:r w:rsidR="0046696D" w:rsidRPr="003D1E07">
        <w:t xml:space="preserve">Aristotelovy </w:t>
      </w:r>
      <w:r w:rsidR="08792B7E" w:rsidRPr="003D1E07">
        <w:t>meta</w:t>
      </w:r>
      <w:r w:rsidR="005228BD" w:rsidRPr="003D1E07">
        <w:t xml:space="preserve">fyziky pokládali </w:t>
      </w:r>
      <w:r w:rsidR="08792B7E" w:rsidRPr="003D1E07">
        <w:t xml:space="preserve">cestu </w:t>
      </w:r>
      <w:r w:rsidR="08792B7E" w:rsidRPr="003D1E07">
        <w:rPr>
          <w:i/>
        </w:rPr>
        <w:t>Modernorum</w:t>
      </w:r>
      <w:r w:rsidR="080E32A7" w:rsidRPr="003D1E07">
        <w:rPr>
          <w:i/>
        </w:rPr>
        <w:t xml:space="preserve"> </w:t>
      </w:r>
      <w:r w:rsidR="08792B7E" w:rsidRPr="003D1E07">
        <w:t xml:space="preserve">za </w:t>
      </w:r>
      <w:r w:rsidR="002D7CF0" w:rsidRPr="003D1E07">
        <w:t xml:space="preserve">sofististiku, </w:t>
      </w:r>
      <w:r w:rsidR="089F5BDD" w:rsidRPr="003D1E07">
        <w:t xml:space="preserve">za kardinální </w:t>
      </w:r>
      <w:r w:rsidR="08792B7E" w:rsidRPr="003D1E07">
        <w:t>omyl nebo dokonce za šílenství</w:t>
      </w:r>
      <w:r w:rsidR="08285D93" w:rsidRPr="003D1E07">
        <w:t xml:space="preserve"> proti pravdě</w:t>
      </w:r>
      <w:r w:rsidR="08792B7E" w:rsidRPr="003D1E07">
        <w:t xml:space="preserve">. </w:t>
      </w:r>
      <w:r w:rsidR="088524E1" w:rsidRPr="003D1E07">
        <w:t xml:space="preserve">Antimoderní </w:t>
      </w:r>
      <w:r w:rsidR="00A30C69" w:rsidRPr="003D1E07">
        <w:t xml:space="preserve">znalci metafyziky </w:t>
      </w:r>
      <w:r w:rsidR="089C04D7" w:rsidRPr="003D1E07">
        <w:t xml:space="preserve">v pozdní antice, ve falsafě i ve scholastice </w:t>
      </w:r>
      <w:r w:rsidR="080F3AB5" w:rsidRPr="003D1E07">
        <w:t xml:space="preserve">šli ve stopách Aristotela. Moudří filosofové </w:t>
      </w:r>
      <w:r w:rsidR="089F5BDD" w:rsidRPr="003D1E07">
        <w:t>v</w:t>
      </w:r>
      <w:r w:rsidR="08792B7E" w:rsidRPr="003D1E07">
        <w:t xml:space="preserve">yloučili </w:t>
      </w:r>
      <w:r w:rsidR="00DD336F" w:rsidRPr="003D1E07">
        <w:t xml:space="preserve">každou možnost </w:t>
      </w:r>
      <w:r w:rsidR="00DD336F" w:rsidRPr="003D1E07">
        <w:rPr>
          <w:i/>
        </w:rPr>
        <w:t>tertium ens</w:t>
      </w:r>
      <w:r w:rsidR="00DD336F" w:rsidRPr="003D1E07">
        <w:t xml:space="preserve">, tedy </w:t>
      </w:r>
      <w:r w:rsidR="00385DE7" w:rsidRPr="003D1E07">
        <w:t xml:space="preserve">každou </w:t>
      </w:r>
      <w:r w:rsidR="00DD336F" w:rsidRPr="003D1E07">
        <w:t xml:space="preserve">objektivní formu jsoucna. </w:t>
      </w:r>
      <w:r w:rsidR="08B84008" w:rsidRPr="003D1E07">
        <w:t xml:space="preserve">Jsoucno třetího druhu </w:t>
      </w:r>
      <w:r w:rsidR="08285D93" w:rsidRPr="003D1E07">
        <w:t xml:space="preserve">přesto </w:t>
      </w:r>
      <w:r w:rsidR="08B84008" w:rsidRPr="003D1E07">
        <w:t xml:space="preserve">vstoupilo do dějin filosofie a stalo se základní cestou Moderních. </w:t>
      </w:r>
      <w:r w:rsidR="088524E1" w:rsidRPr="003D1E07">
        <w:t xml:space="preserve">Výklad </w:t>
      </w:r>
      <w:r w:rsidR="00973D6A" w:rsidRPr="003D1E07">
        <w:t xml:space="preserve">ukáže, proč myšlení </w:t>
      </w:r>
      <w:r w:rsidR="08E22AEB" w:rsidRPr="003D1E07">
        <w:t xml:space="preserve">scholastických </w:t>
      </w:r>
      <w:r w:rsidR="00973D6A" w:rsidRPr="003D1E07">
        <w:rPr>
          <w:i/>
        </w:rPr>
        <w:t>Modernorum</w:t>
      </w:r>
      <w:r w:rsidR="00973D6A" w:rsidRPr="003D1E07">
        <w:t xml:space="preserve"> zvítězil</w:t>
      </w:r>
      <w:r w:rsidR="00385DE7" w:rsidRPr="003D1E07">
        <w:t xml:space="preserve">o, i </w:t>
      </w:r>
      <w:r w:rsidR="086E2911" w:rsidRPr="003D1E07">
        <w:t xml:space="preserve">když </w:t>
      </w:r>
      <w:r w:rsidR="08E22AEB" w:rsidRPr="003D1E07">
        <w:t xml:space="preserve">obsahovalo </w:t>
      </w:r>
      <w:r w:rsidR="00973D6A" w:rsidRPr="003D1E07">
        <w:t xml:space="preserve">hrubé </w:t>
      </w:r>
      <w:r w:rsidR="0897081E" w:rsidRPr="003D1E07">
        <w:t xml:space="preserve">metafyzické </w:t>
      </w:r>
      <w:r w:rsidR="00973D6A" w:rsidRPr="003D1E07">
        <w:t>omyly</w:t>
      </w:r>
      <w:r w:rsidR="004C689C" w:rsidRPr="003D1E07">
        <w:t xml:space="preserve">. </w:t>
      </w:r>
      <w:r w:rsidR="00865F9A" w:rsidRPr="003D1E07">
        <w:t>Každá me</w:t>
      </w:r>
      <w:r w:rsidR="085B79E9" w:rsidRPr="003D1E07">
        <w:t xml:space="preserve">tafyzika nutně </w:t>
      </w:r>
      <w:r w:rsidR="085B79E9" w:rsidRPr="003D1E07">
        <w:lastRenderedPageBreak/>
        <w:t>spěje k</w:t>
      </w:r>
      <w:r w:rsidR="009202FC" w:rsidRPr="003D1E07">
        <w:t xml:space="preserve"> objektivní </w:t>
      </w:r>
      <w:r w:rsidR="085C7136" w:rsidRPr="003D1E07">
        <w:t xml:space="preserve">správnosti, protože v myšlení čisté logiky je omyl vyloučen. </w:t>
      </w:r>
      <w:r w:rsidR="002920BF" w:rsidRPr="003D1E07">
        <w:t>O</w:t>
      </w:r>
      <w:r w:rsidR="003219FE" w:rsidRPr="003D1E07">
        <w:t xml:space="preserve">bdobí </w:t>
      </w:r>
      <w:r w:rsidR="00C8420A" w:rsidRPr="003D1E07">
        <w:t>tzv. „</w:t>
      </w:r>
      <w:r w:rsidR="00035EA2" w:rsidRPr="003D1E07">
        <w:t>druhé</w:t>
      </w:r>
      <w:r w:rsidR="00B14E7A" w:rsidRPr="003D1E07">
        <w:t>ho</w:t>
      </w:r>
      <w:r w:rsidR="00035EA2" w:rsidRPr="003D1E07">
        <w:t xml:space="preserve"> </w:t>
      </w:r>
      <w:r w:rsidR="00B14E7A" w:rsidRPr="003D1E07">
        <w:t xml:space="preserve">začátku </w:t>
      </w:r>
      <w:r w:rsidR="00035EA2" w:rsidRPr="003D1E07">
        <w:t>scholastiky</w:t>
      </w:r>
      <w:r w:rsidR="00B14E7A" w:rsidRPr="003D1E07">
        <w:rPr>
          <w:i/>
        </w:rPr>
        <w:fldChar w:fldCharType="begin"/>
      </w:r>
      <w:r w:rsidR="00B14E7A" w:rsidRPr="003D1E07">
        <w:instrText xml:space="preserve"> XE "scholastika:druhý začátek" </w:instrText>
      </w:r>
      <w:r w:rsidR="00B14E7A" w:rsidRPr="003D1E07">
        <w:rPr>
          <w:i/>
        </w:rPr>
        <w:fldChar w:fldCharType="end"/>
      </w:r>
      <w:r w:rsidR="00C8420A" w:rsidRPr="003D1E07">
        <w:t>“</w:t>
      </w:r>
      <w:r w:rsidR="00035EA2" w:rsidRPr="003D1E07">
        <w:t xml:space="preserve"> </w:t>
      </w:r>
      <w:r w:rsidR="08911EA3" w:rsidRPr="003D1E07">
        <w:t xml:space="preserve">běžně </w:t>
      </w:r>
      <w:r w:rsidR="00FF596E" w:rsidRPr="003D1E07">
        <w:t xml:space="preserve">datovaného od Dunse Scota </w:t>
      </w:r>
      <w:r w:rsidR="00035EA2" w:rsidRPr="003D1E07">
        <w:t xml:space="preserve">signalizuje něco </w:t>
      </w:r>
      <w:r w:rsidR="00B25400" w:rsidRPr="003D1E07">
        <w:t>pro</w:t>
      </w:r>
      <w:r w:rsidR="00035EA2" w:rsidRPr="003D1E07">
        <w:t>zatím zapomenutého</w:t>
      </w:r>
      <w:r w:rsidR="003643DD" w:rsidRPr="003D1E07">
        <w:t>:</w:t>
      </w:r>
      <w:r w:rsidR="00897649" w:rsidRPr="003D1E07">
        <w:t xml:space="preserve"> </w:t>
      </w:r>
      <w:r w:rsidR="00035EA2" w:rsidRPr="003D1E07">
        <w:t>přeměnu metafyziky na objektivitu</w:t>
      </w:r>
      <w:r w:rsidR="00897649" w:rsidRPr="003D1E07">
        <w:t xml:space="preserve">. </w:t>
      </w:r>
      <w:r w:rsidR="0869649B" w:rsidRPr="003D1E07">
        <w:t xml:space="preserve">Tato změna </w:t>
      </w:r>
      <w:r w:rsidR="009408DD" w:rsidRPr="003D1E07">
        <w:t>v</w:t>
      </w:r>
      <w:r w:rsidR="00470416" w:rsidRPr="003D1E07">
        <w:t xml:space="preserve">znikla </w:t>
      </w:r>
      <w:r w:rsidR="005B2F67" w:rsidRPr="003D1E07">
        <w:t xml:space="preserve">v prostředí </w:t>
      </w:r>
      <w:r w:rsidR="00AA6A75" w:rsidRPr="003D1E07">
        <w:t xml:space="preserve">pozdně antických škol. </w:t>
      </w:r>
      <w:r w:rsidR="089A384D" w:rsidRPr="003D1E07">
        <w:t>Myslitelé islámské falsafy recipovali a tvořivě změnili u</w:t>
      </w:r>
      <w:r w:rsidR="005B2F67" w:rsidRPr="003D1E07">
        <w:t xml:space="preserve">čení </w:t>
      </w:r>
      <w:r w:rsidR="089A384D" w:rsidRPr="003D1E07">
        <w:t xml:space="preserve">prvních </w:t>
      </w:r>
      <w:r w:rsidR="0869649B" w:rsidRPr="003D1E07">
        <w:t xml:space="preserve">antických </w:t>
      </w:r>
      <w:r w:rsidR="0869649B" w:rsidRPr="003D1E07">
        <w:rPr>
          <w:i/>
        </w:rPr>
        <w:t>Modernorum</w:t>
      </w:r>
      <w:r w:rsidR="00470416" w:rsidRPr="003D1E07">
        <w:t xml:space="preserve">. </w:t>
      </w:r>
      <w:r w:rsidR="08C4701B" w:rsidRPr="003D1E07">
        <w:t xml:space="preserve">Křesťanští scholastikové latinského Západu </w:t>
      </w:r>
      <w:r w:rsidR="089A384D" w:rsidRPr="003D1E07">
        <w:t xml:space="preserve">zase </w:t>
      </w:r>
      <w:r w:rsidR="08C4701B" w:rsidRPr="003D1E07">
        <w:t xml:space="preserve">převzali a upravili </w:t>
      </w:r>
      <w:r w:rsidR="08B84008" w:rsidRPr="003D1E07">
        <w:t>spisy</w:t>
      </w:r>
      <w:r w:rsidR="08C4701B" w:rsidRPr="003D1E07">
        <w:t xml:space="preserve"> falsafy</w:t>
      </w:r>
      <w:r w:rsidR="00EB4EF5">
        <w:t>.</w:t>
      </w:r>
    </w:p>
    <w:p w14:paraId="570C696F" w14:textId="77777777" w:rsidR="00855DC7" w:rsidRDefault="00035EA2" w:rsidP="009316D7">
      <w:pPr>
        <w:ind w:firstLine="397"/>
      </w:pPr>
      <w:r w:rsidRPr="003D1E07">
        <w:t xml:space="preserve">Hermeneutická cesta </w:t>
      </w:r>
      <w:r w:rsidR="08555E68" w:rsidRPr="003D1E07">
        <w:t>ori</w:t>
      </w:r>
      <w:r w:rsidR="087E73DC" w:rsidRPr="003D1E07">
        <w:t>e</w:t>
      </w:r>
      <w:r w:rsidR="08555E68" w:rsidRPr="003D1E07">
        <w:t>n</w:t>
      </w:r>
      <w:r w:rsidR="087E73DC" w:rsidRPr="003D1E07">
        <w:t xml:space="preserve">tuje výklad metafyziky </w:t>
      </w:r>
      <w:r w:rsidR="08CB0805" w:rsidRPr="003D1E07">
        <w:t xml:space="preserve">v duchu Heideggerova myšlení vstřícného k počátku </w:t>
      </w:r>
      <w:r w:rsidR="087E73DC" w:rsidRPr="003D1E07">
        <w:t xml:space="preserve">bytí a myšlení. Sémantika a archeologie </w:t>
      </w:r>
      <w:r w:rsidR="08D32880" w:rsidRPr="003D1E07">
        <w:t xml:space="preserve">našla pro </w:t>
      </w:r>
      <w:r w:rsidR="08467713" w:rsidRPr="003D1E07">
        <w:t xml:space="preserve">falsafu a </w:t>
      </w:r>
      <w:r w:rsidR="08555D88" w:rsidRPr="003D1E07">
        <w:t xml:space="preserve">scholastiku </w:t>
      </w:r>
      <w:r w:rsidR="08D32880" w:rsidRPr="003D1E07">
        <w:t>novou dráhu náhledu (</w:t>
      </w:r>
      <w:r w:rsidR="08D32880" w:rsidRPr="003D1E07">
        <w:rPr>
          <w:i/>
        </w:rPr>
        <w:t>Vor-blickbahn</w:t>
      </w:r>
      <w:r w:rsidR="08D32880" w:rsidRPr="003D1E07">
        <w:t>) postavenou mimo proměny substance. V</w:t>
      </w:r>
      <w:r w:rsidR="08904B11" w:rsidRPr="003D1E07">
        <w:t>e</w:t>
      </w:r>
      <w:r w:rsidR="00376280" w:rsidRPr="003D1E07">
        <w:t xml:space="preserve"> zrodu </w:t>
      </w:r>
      <w:r w:rsidRPr="003D1E07">
        <w:t>objektivního jsoucna (</w:t>
      </w:r>
      <w:r w:rsidRPr="003D1E07">
        <w:rPr>
          <w:i/>
          <w:iCs/>
        </w:rPr>
        <w:t>Beginn</w:t>
      </w:r>
      <w:r w:rsidRPr="003D1E07">
        <w:t xml:space="preserve">) </w:t>
      </w:r>
      <w:r w:rsidR="08D32880" w:rsidRPr="003D1E07">
        <w:t>se uka</w:t>
      </w:r>
      <w:r w:rsidRPr="003D1E07">
        <w:t>z</w:t>
      </w:r>
      <w:r w:rsidR="08D32880" w:rsidRPr="003D1E07">
        <w:t xml:space="preserve">uje </w:t>
      </w:r>
      <w:r w:rsidRPr="003D1E07">
        <w:t>i celková událost početí nové metafyziky</w:t>
      </w:r>
      <w:r w:rsidR="00F601F4" w:rsidRPr="003D1E07">
        <w:t xml:space="preserve">, která ji předcházela </w:t>
      </w:r>
      <w:r w:rsidR="00D059B5" w:rsidRPr="003D1E07">
        <w:t>(</w:t>
      </w:r>
      <w:r w:rsidR="00D059B5" w:rsidRPr="003D1E07">
        <w:rPr>
          <w:i/>
          <w:iCs/>
        </w:rPr>
        <w:t>Anfang</w:t>
      </w:r>
      <w:r w:rsidR="005D0AEC" w:rsidRPr="003D1E07">
        <w:rPr>
          <w:i/>
        </w:rPr>
        <w:fldChar w:fldCharType="begin"/>
      </w:r>
      <w:r w:rsidR="005D0AEC" w:rsidRPr="003D1E07">
        <w:instrText xml:space="preserve"> XE "</w:instrText>
      </w:r>
      <w:r w:rsidR="007F368A" w:rsidRPr="003D1E07">
        <w:instrText>scholastika</w:instrText>
      </w:r>
      <w:r w:rsidR="005D0AEC" w:rsidRPr="003D1E07">
        <w:instrText>:</w:instrText>
      </w:r>
      <w:r w:rsidR="005D0AEC" w:rsidRPr="003D1E07">
        <w:rPr>
          <w:i/>
        </w:rPr>
        <w:instrText>Anfang/Beginn</w:instrText>
      </w:r>
      <w:r w:rsidR="005D0AEC" w:rsidRPr="003D1E07">
        <w:instrText xml:space="preserve">" </w:instrText>
      </w:r>
      <w:r w:rsidR="005D0AEC" w:rsidRPr="003D1E07">
        <w:rPr>
          <w:i/>
        </w:rPr>
        <w:fldChar w:fldCharType="end"/>
      </w:r>
      <w:r w:rsidR="00D059B5" w:rsidRPr="003D1E07">
        <w:t>)</w:t>
      </w:r>
      <w:r w:rsidRPr="003D1E07">
        <w:t xml:space="preserve">. Výklad </w:t>
      </w:r>
      <w:r w:rsidR="086151BE" w:rsidRPr="003D1E07">
        <w:t>začíná v objektivní temn</w:t>
      </w:r>
      <w:r w:rsidR="083F28CB" w:rsidRPr="003D1E07">
        <w:t>o</w:t>
      </w:r>
      <w:r w:rsidR="086151BE" w:rsidRPr="003D1E07">
        <w:t xml:space="preserve">tě dané zapomenutým a vytěsněným </w:t>
      </w:r>
      <w:r w:rsidR="004C600B" w:rsidRPr="003D1E07">
        <w:t>počátk</w:t>
      </w:r>
      <w:r w:rsidR="086151BE" w:rsidRPr="003D1E07">
        <w:t>em</w:t>
      </w:r>
      <w:r w:rsidR="004C600B" w:rsidRPr="003D1E07">
        <w:t xml:space="preserve"> </w:t>
      </w:r>
      <w:r w:rsidR="080A1F7A" w:rsidRPr="003D1E07">
        <w:t>objektivity</w:t>
      </w:r>
      <w:r w:rsidR="086151BE" w:rsidRPr="003D1E07">
        <w:t xml:space="preserve">. Tato sokratovská perspektiva </w:t>
      </w:r>
      <w:r w:rsidR="00F16A5A" w:rsidRPr="003D1E07">
        <w:t>orientuje</w:t>
      </w:r>
      <w:r w:rsidRPr="003D1E07">
        <w:t xml:space="preserve"> dráhu pohledu na vybrané texty tak, aby </w:t>
      </w:r>
      <w:r w:rsidR="0863080B" w:rsidRPr="003D1E07">
        <w:t>ukázaly</w:t>
      </w:r>
      <w:r w:rsidRPr="003D1E07">
        <w:t xml:space="preserve"> to, co v nich není přímo vidět</w:t>
      </w:r>
      <w:r w:rsidR="0863080B" w:rsidRPr="003D1E07">
        <w:t xml:space="preserve">. </w:t>
      </w:r>
      <w:r w:rsidR="008D7E72" w:rsidRPr="003D1E07">
        <w:t>P</w:t>
      </w:r>
      <w:r w:rsidRPr="003D1E07">
        <w:t xml:space="preserve">očátek </w:t>
      </w:r>
      <w:r w:rsidR="0863080B" w:rsidRPr="003D1E07">
        <w:t xml:space="preserve">moderny </w:t>
      </w:r>
      <w:r w:rsidR="008D7E72" w:rsidRPr="003D1E07">
        <w:t xml:space="preserve">je nutno nahlížet </w:t>
      </w:r>
      <w:r w:rsidR="00A10E6B" w:rsidRPr="003D1E07">
        <w:t xml:space="preserve">z excentrické pozice </w:t>
      </w:r>
      <w:r w:rsidR="008D7E72" w:rsidRPr="003D1E07">
        <w:t>pravdy</w:t>
      </w:r>
      <w:r w:rsidR="00C91930" w:rsidRPr="003D1E07">
        <w:t xml:space="preserve"> dané mimo </w:t>
      </w:r>
      <w:r w:rsidR="00A02A3C" w:rsidRPr="003D1E07">
        <w:t xml:space="preserve">objektivní </w:t>
      </w:r>
      <w:r w:rsidR="00C91930" w:rsidRPr="003D1E07">
        <w:t xml:space="preserve">správnost. </w:t>
      </w:r>
      <w:r w:rsidR="00D14ECB" w:rsidRPr="003D1E07">
        <w:t>Hermeneutik</w:t>
      </w:r>
      <w:r w:rsidR="00143D2B" w:rsidRPr="003D1E07">
        <w:t>a</w:t>
      </w:r>
      <w:r w:rsidR="00D14ECB" w:rsidRPr="003D1E07">
        <w:t xml:space="preserve"> </w:t>
      </w:r>
      <w:r w:rsidR="08CB0274" w:rsidRPr="003D1E07">
        <w:t xml:space="preserve">usazená v prostoru manifestace pravdy dané jako pythické </w:t>
      </w:r>
      <w:r w:rsidR="08CB0274" w:rsidRPr="003D1E07">
        <w:rPr>
          <w:i/>
        </w:rPr>
        <w:t>Lichtung</w:t>
      </w:r>
      <w:r w:rsidR="08CB0274" w:rsidRPr="003D1E07">
        <w:t xml:space="preserve"> </w:t>
      </w:r>
      <w:r w:rsidR="00D14ECB" w:rsidRPr="003D1E07">
        <w:t xml:space="preserve">musí číst </w:t>
      </w:r>
      <w:r w:rsidR="08467713" w:rsidRPr="003D1E07">
        <w:t xml:space="preserve">metafyzické </w:t>
      </w:r>
      <w:r w:rsidR="00D14ECB" w:rsidRPr="003D1E07">
        <w:t xml:space="preserve">texty jako </w:t>
      </w:r>
      <w:r w:rsidR="00674ACA" w:rsidRPr="003D1E07">
        <w:t xml:space="preserve">filosofické orákulum, které zvěstuje pravdu </w:t>
      </w:r>
      <w:r w:rsidR="08B11036" w:rsidRPr="003D1E07">
        <w:t xml:space="preserve">a nepravdu </w:t>
      </w:r>
      <w:r w:rsidR="00674ACA" w:rsidRPr="003D1E07">
        <w:t xml:space="preserve">jsoucna </w:t>
      </w:r>
      <w:r w:rsidR="00D14ECB" w:rsidRPr="003D1E07">
        <w:t xml:space="preserve">třetího druhu. </w:t>
      </w:r>
      <w:r w:rsidR="08044BFD" w:rsidRPr="003D1E07">
        <w:t xml:space="preserve">Podobnou sémantiku provozoval </w:t>
      </w:r>
      <w:r w:rsidR="00745EE8" w:rsidRPr="003D1E07">
        <w:t xml:space="preserve">celý život </w:t>
      </w:r>
      <w:r w:rsidR="00D14ECB" w:rsidRPr="003D1E07">
        <w:t>nejmoudřejší ze všech lidí S</w:t>
      </w:r>
      <w:r w:rsidR="00D11F0A" w:rsidRPr="003D1E07">
        <w:t>okrates vzhledem k výrokům</w:t>
      </w:r>
      <w:r w:rsidR="08246B47" w:rsidRPr="003D1E07">
        <w:t xml:space="preserve"> </w:t>
      </w:r>
      <w:r w:rsidR="08BC452E" w:rsidRPr="003D1E07">
        <w:t>d</w:t>
      </w:r>
      <w:r w:rsidR="00D11F0A" w:rsidRPr="003D1E07">
        <w:t>elfské věštírny</w:t>
      </w:r>
      <w:r w:rsidR="00D14ECB" w:rsidRPr="003D1E07">
        <w:t xml:space="preserve">. </w:t>
      </w:r>
      <w:r w:rsidR="08355DE2" w:rsidRPr="003D1E07">
        <w:t xml:space="preserve">Ipseita hledajícího Sokrata přešla do metafyzické identity jeho </w:t>
      </w:r>
      <w:r w:rsidR="002143F0" w:rsidRPr="003D1E07">
        <w:t xml:space="preserve">akademického </w:t>
      </w:r>
      <w:r w:rsidR="08355DE2" w:rsidRPr="003D1E07">
        <w:t xml:space="preserve">simulákra. </w:t>
      </w:r>
      <w:r w:rsidR="008C2F0A" w:rsidRPr="003D1E07">
        <w:t xml:space="preserve">Akademický Sokratés nemůže sledovat božská znamení, protože je objektivně slepý jako Oidipus; proto hlásá svou vlastní pravdu subjektivně založených faktů. </w:t>
      </w:r>
      <w:r w:rsidR="00D14C6A" w:rsidRPr="003D1E07">
        <w:t xml:space="preserve">Metodologické </w:t>
      </w:r>
      <w:r w:rsidR="00C91930" w:rsidRPr="003D1E07">
        <w:t>z</w:t>
      </w:r>
      <w:r w:rsidR="00D14C6A" w:rsidRPr="003D1E07">
        <w:t>d</w:t>
      </w:r>
      <w:r w:rsidR="00C91930" w:rsidRPr="003D1E07">
        <w:t xml:space="preserve">ůvodnění </w:t>
      </w:r>
      <w:r w:rsidR="08621414" w:rsidRPr="003D1E07">
        <w:t xml:space="preserve">archaické </w:t>
      </w:r>
      <w:r w:rsidR="00C91930" w:rsidRPr="003D1E07">
        <w:t xml:space="preserve">dráhy náhledu </w:t>
      </w:r>
      <w:r w:rsidR="00D14C6A" w:rsidRPr="003D1E07">
        <w:t xml:space="preserve">a cesty </w:t>
      </w:r>
      <w:r w:rsidR="08621414" w:rsidRPr="003D1E07">
        <w:t xml:space="preserve">moudrosti </w:t>
      </w:r>
      <w:r w:rsidR="00C91930" w:rsidRPr="003D1E07">
        <w:t xml:space="preserve">podaly </w:t>
      </w:r>
      <w:r w:rsidR="006F5C32" w:rsidRPr="003D1E07">
        <w:t>Hei</w:t>
      </w:r>
      <w:r w:rsidR="00C91930" w:rsidRPr="003D1E07">
        <w:t>de</w:t>
      </w:r>
      <w:r w:rsidR="006F5C32" w:rsidRPr="003D1E07">
        <w:t>ggerovy</w:t>
      </w:r>
      <w:r w:rsidR="008D7E72" w:rsidRPr="003D1E07">
        <w:t xml:space="preserve"> termíny </w:t>
      </w:r>
      <w:r w:rsidR="00BF29DC" w:rsidRPr="003D1E07">
        <w:rPr>
          <w:i/>
        </w:rPr>
        <w:t xml:space="preserve">Irre </w:t>
      </w:r>
      <w:r w:rsidR="008D7E72" w:rsidRPr="003D1E07">
        <w:t xml:space="preserve">a </w:t>
      </w:r>
      <w:r w:rsidR="00BF29DC" w:rsidRPr="003D1E07">
        <w:rPr>
          <w:i/>
        </w:rPr>
        <w:t>Irrtum</w:t>
      </w:r>
      <w:r w:rsidR="00BC0DC9" w:rsidRPr="003D1E07">
        <w:rPr>
          <w:i/>
        </w:rPr>
        <w:fldChar w:fldCharType="begin"/>
      </w:r>
      <w:r w:rsidR="00BC0DC9" w:rsidRPr="003D1E07">
        <w:instrText xml:space="preserve"> XE "</w:instrText>
      </w:r>
      <w:r w:rsidR="00BC0DC9" w:rsidRPr="003D1E07">
        <w:rPr>
          <w:i/>
        </w:rPr>
        <w:instrText>Irre</w:instrText>
      </w:r>
      <w:r w:rsidR="00BC0DC9" w:rsidRPr="003D1E07">
        <w:instrText xml:space="preserve">" </w:instrText>
      </w:r>
      <w:r w:rsidR="00BC0DC9" w:rsidRPr="003D1E07">
        <w:rPr>
          <w:i/>
        </w:rPr>
        <w:fldChar w:fldCharType="end"/>
      </w:r>
      <w:r w:rsidR="008D7E72" w:rsidRPr="003D1E07">
        <w:t xml:space="preserve">. </w:t>
      </w:r>
      <w:r w:rsidR="08DF0625" w:rsidRPr="003D1E07">
        <w:t xml:space="preserve">Co je objektivně </w:t>
      </w:r>
      <w:r w:rsidR="00C82DCE" w:rsidRPr="003D1E07">
        <w:t xml:space="preserve">(tj. onticky) </w:t>
      </w:r>
      <w:r w:rsidR="08DF0625" w:rsidRPr="003D1E07">
        <w:t xml:space="preserve">dáno, to se </w:t>
      </w:r>
      <w:r w:rsidR="00C82DCE" w:rsidRPr="003D1E07">
        <w:t xml:space="preserve">ontologicky </w:t>
      </w:r>
      <w:r w:rsidR="08DF0625" w:rsidRPr="003D1E07">
        <w:t xml:space="preserve">liší od způsobu, jak je to dáno. Tento způsob interpretace respektuje </w:t>
      </w:r>
      <w:r w:rsidR="0818333A" w:rsidRPr="003D1E07">
        <w:t>diferenci mezi archaickou moudrostí první filosofie, bož</w:t>
      </w:r>
      <w:r w:rsidR="08285E26" w:rsidRPr="003D1E07">
        <w:t xml:space="preserve">skou komedií první metafyziky, </w:t>
      </w:r>
      <w:r w:rsidR="0818333A" w:rsidRPr="003D1E07">
        <w:t xml:space="preserve">tragikomedií </w:t>
      </w:r>
      <w:r w:rsidR="08AF65E4" w:rsidRPr="003D1E07">
        <w:t>post</w:t>
      </w:r>
      <w:r w:rsidR="08E153CD" w:rsidRPr="003D1E07">
        <w:t>moderní metafyziky</w:t>
      </w:r>
      <w:r w:rsidR="08AF65E4" w:rsidRPr="003D1E07">
        <w:t xml:space="preserve"> a </w:t>
      </w:r>
      <w:r w:rsidR="08285E26" w:rsidRPr="003D1E07">
        <w:t>koncem myšlení v </w:t>
      </w:r>
      <w:r w:rsidR="08AF65E4" w:rsidRPr="003D1E07">
        <w:t>nihilistick</w:t>
      </w:r>
      <w:r w:rsidR="08285E26" w:rsidRPr="003D1E07">
        <w:t>é formě dekonstrukce</w:t>
      </w:r>
      <w:r w:rsidR="00C02C4E" w:rsidRPr="003D1E07">
        <w:t xml:space="preserve"> a </w:t>
      </w:r>
      <w:r w:rsidR="00C02C4E" w:rsidRPr="003D1E07">
        <w:rPr>
          <w:i/>
          <w:noProof w:val="0"/>
        </w:rPr>
        <w:t>language-games</w:t>
      </w:r>
      <w:r w:rsidR="0818333A" w:rsidRPr="003D1E07">
        <w:t xml:space="preserve">. </w:t>
      </w:r>
      <w:r w:rsidR="082F77B5" w:rsidRPr="003D1E07">
        <w:t xml:space="preserve">Cestou od konce k začátku a od slepoty ke katarzi je daná apokalyptická a tragická forma výkladu. </w:t>
      </w:r>
      <w:r w:rsidR="00596A2B" w:rsidRPr="003D1E07">
        <w:t xml:space="preserve">Kritický výklad </w:t>
      </w:r>
      <w:r w:rsidR="00380BF2" w:rsidRPr="003D1E07">
        <w:t>zkoum</w:t>
      </w:r>
      <w:r w:rsidR="00596A2B" w:rsidRPr="003D1E07">
        <w:t xml:space="preserve">á </w:t>
      </w:r>
      <w:r w:rsidR="00380BF2" w:rsidRPr="003D1E07">
        <w:t xml:space="preserve">původní </w:t>
      </w:r>
      <w:r w:rsidR="00596A2B" w:rsidRPr="003D1E07">
        <w:t>pole zjevování, v němž se jsoucno stává jsoucnem třetího druhu</w:t>
      </w:r>
      <w:r w:rsidR="005C01F3" w:rsidRPr="003D1E07">
        <w:t xml:space="preserve">. </w:t>
      </w:r>
      <w:r w:rsidR="00AE70C0" w:rsidRPr="003D1E07">
        <w:t>To je klasický postup d</w:t>
      </w:r>
      <w:r w:rsidR="003F08CD" w:rsidRPr="003D1E07">
        <w:t>elfského orákula</w:t>
      </w:r>
      <w:r w:rsidR="08AD678F" w:rsidRPr="003D1E07">
        <w:t xml:space="preserve">, kdy </w:t>
      </w:r>
      <w:r w:rsidR="08C16419" w:rsidRPr="003D1E07">
        <w:t xml:space="preserve">Apollón a </w:t>
      </w:r>
      <w:r w:rsidR="08AD678F" w:rsidRPr="003D1E07">
        <w:t>Mú</w:t>
      </w:r>
      <w:r w:rsidR="0020288A" w:rsidRPr="003D1E07">
        <w:t>zy</w:t>
      </w:r>
      <w:r w:rsidR="08AD678F" w:rsidRPr="003D1E07">
        <w:fldChar w:fldCharType="begin"/>
      </w:r>
      <w:r w:rsidR="08AD678F" w:rsidRPr="003D1E07">
        <w:instrText xml:space="preserve"> XE "Múzy" </w:instrText>
      </w:r>
      <w:r w:rsidR="08AD678F" w:rsidRPr="003D1E07">
        <w:fldChar w:fldCharType="end"/>
      </w:r>
      <w:r w:rsidR="08C16419" w:rsidRPr="003D1E07">
        <w:t xml:space="preserve"> </w:t>
      </w:r>
      <w:r w:rsidR="0020288A" w:rsidRPr="003D1E07">
        <w:t>dávají věc současně v její pravdě a nepravdě</w:t>
      </w:r>
      <w:r w:rsidR="003F08CD" w:rsidRPr="003D1E07">
        <w:t xml:space="preserve">. </w:t>
      </w:r>
      <w:r w:rsidR="08C16419" w:rsidRPr="003D1E07">
        <w:t>H</w:t>
      </w:r>
      <w:r w:rsidR="00DE175C" w:rsidRPr="003D1E07">
        <w:t xml:space="preserve">lupák a mudrc </w:t>
      </w:r>
      <w:r w:rsidR="00986A23" w:rsidRPr="003D1E07">
        <w:t>liší zásadním</w:t>
      </w:r>
      <w:r w:rsidR="08A51F43" w:rsidRPr="003D1E07">
        <w:t xml:space="preserve"> </w:t>
      </w:r>
      <w:r w:rsidR="089A5D34" w:rsidRPr="003D1E07">
        <w:t xml:space="preserve">způsobem, </w:t>
      </w:r>
      <w:r w:rsidR="006B0B57" w:rsidRPr="003D1E07">
        <w:t xml:space="preserve">jak orákulum vyloží. </w:t>
      </w:r>
      <w:r w:rsidR="007C5F10" w:rsidRPr="003D1E07">
        <w:t xml:space="preserve">Múzy ovládají umění, jak vést moudrého a jak zmást hlupáka. Dante vytvořil </w:t>
      </w:r>
      <w:r w:rsidR="001F3D2E">
        <w:t xml:space="preserve">své </w:t>
      </w:r>
      <w:r w:rsidR="00BE7D98">
        <w:t xml:space="preserve">slavné </w:t>
      </w:r>
      <w:r w:rsidR="001F3D2E">
        <w:t>dílo „</w:t>
      </w:r>
      <w:r w:rsidR="001F3D2E" w:rsidRPr="001F3D2E">
        <w:rPr>
          <w:i/>
        </w:rPr>
        <w:t>Božská komedie</w:t>
      </w:r>
      <w:r w:rsidR="001F3D2E">
        <w:t>“</w:t>
      </w:r>
      <w:r w:rsidR="007C5F10" w:rsidRPr="003D1E07">
        <w:t xml:space="preserve"> pod vedením Múz a hermeneutika se snaží tuto umění reprodukovat podle svého vlastního umu. </w:t>
      </w:r>
      <w:r w:rsidR="007C5F10" w:rsidRPr="003D1E07">
        <w:lastRenderedPageBreak/>
        <w:t xml:space="preserve">Tato studie zkoumá smysl filosofické komedie a tragikomedie skrze vznik objektivity. </w:t>
      </w:r>
      <w:r w:rsidR="085F5448" w:rsidRPr="003D1E07">
        <w:t xml:space="preserve">A florentský básník hraje v této božské komedii významnou roli, protože viděl moderní metafyziku </w:t>
      </w:r>
      <w:r w:rsidR="081140FC" w:rsidRPr="003D1E07">
        <w:t>v jejím počá</w:t>
      </w:r>
      <w:r w:rsidR="08C45CB8" w:rsidRPr="003D1E07">
        <w:t xml:space="preserve">tku a navíc </w:t>
      </w:r>
      <w:r w:rsidR="08065FD1" w:rsidRPr="003D1E07">
        <w:t>múzickým způsobem.</w:t>
      </w:r>
      <w:r w:rsidR="083333D9" w:rsidRPr="003D1E07">
        <w:rPr>
          <w:lang w:eastAsia="en-US"/>
        </w:rPr>
        <w:t xml:space="preserve"> </w:t>
      </w:r>
      <w:r w:rsidR="086A34C4" w:rsidRPr="003D1E07">
        <w:t xml:space="preserve">Archeologie </w:t>
      </w:r>
      <w:r w:rsidR="08A444B3" w:rsidRPr="003D1E07">
        <w:t>vyloží</w:t>
      </w:r>
      <w:r w:rsidR="080F47EA" w:rsidRPr="003D1E07">
        <w:t xml:space="preserve"> způsob</w:t>
      </w:r>
      <w:r w:rsidR="086A34C4" w:rsidRPr="003D1E07">
        <w:t xml:space="preserve">, jak zpřítomňování různých forem </w:t>
      </w:r>
      <w:r w:rsidR="086A34C4" w:rsidRPr="003D1E07">
        <w:rPr>
          <w:i/>
        </w:rPr>
        <w:t>tertium ens</w:t>
      </w:r>
      <w:r w:rsidR="003F16A5" w:rsidRPr="003D1E07">
        <w:rPr>
          <w:i/>
        </w:rPr>
        <w:fldChar w:fldCharType="begin"/>
      </w:r>
      <w:r w:rsidR="003F16A5" w:rsidRPr="003D1E07">
        <w:instrText xml:space="preserve"> XE "</w:instrText>
      </w:r>
      <w:r w:rsidR="003F16A5" w:rsidRPr="003D1E07">
        <w:rPr>
          <w:rStyle w:val="Zvraznn"/>
        </w:rPr>
        <w:instrText>tertium ens</w:instrText>
      </w:r>
      <w:r w:rsidR="007C2826" w:rsidRPr="003D1E07">
        <w:rPr>
          <w:rStyle w:val="Zvraznn"/>
          <w:i w:val="0"/>
        </w:rPr>
        <w:instrText>:</w:instrText>
      </w:r>
      <w:r w:rsidR="087A5637" w:rsidRPr="003D1E07">
        <w:rPr>
          <w:rStyle w:val="Zvraznn"/>
          <w:i w:val="0"/>
        </w:rPr>
        <w:instrText>metafyzika</w:instrText>
      </w:r>
      <w:r w:rsidR="003F16A5" w:rsidRPr="003D1E07">
        <w:instrText xml:space="preserve">" </w:instrText>
      </w:r>
      <w:r w:rsidR="003F16A5" w:rsidRPr="003D1E07">
        <w:rPr>
          <w:i/>
        </w:rPr>
        <w:fldChar w:fldCharType="end"/>
      </w:r>
      <w:r w:rsidR="00867A6A" w:rsidRPr="003D1E07">
        <w:t xml:space="preserve"> v jednotlivých for</w:t>
      </w:r>
      <w:r w:rsidR="00AE70C0" w:rsidRPr="003D1E07">
        <w:t xml:space="preserve">mách </w:t>
      </w:r>
      <w:r w:rsidR="00867A6A" w:rsidRPr="003D1E07">
        <w:t>metafyziky vedlo k vytvoření toho či onoho pojetí objektivity</w:t>
      </w:r>
      <w:r w:rsidR="009B4B48" w:rsidRPr="003D1E07">
        <w:t xml:space="preserve">. </w:t>
      </w:r>
      <w:r w:rsidR="08B13EEB" w:rsidRPr="003D1E07">
        <w:t>Každá nová forma eidetické</w:t>
      </w:r>
      <w:r w:rsidR="086A34C4" w:rsidRPr="003D1E07">
        <w:t xml:space="preserve"> jasnost</w:t>
      </w:r>
      <w:r w:rsidR="08B13EEB" w:rsidRPr="003D1E07">
        <w:t>i</w:t>
      </w:r>
      <w:r w:rsidR="009B4B48" w:rsidRPr="003D1E07">
        <w:t xml:space="preserve"> nechala zmizet </w:t>
      </w:r>
      <w:r w:rsidR="086A34C4" w:rsidRPr="003D1E07">
        <w:t>předešlé rozpory</w:t>
      </w:r>
      <w:r w:rsidR="00EF1E7E" w:rsidRPr="003D1E07">
        <w:t>, které stály u jejího vzniku</w:t>
      </w:r>
      <w:r w:rsidR="00AE70C0" w:rsidRPr="003D1E07">
        <w:t xml:space="preserve">. </w:t>
      </w:r>
      <w:r w:rsidR="00EB1D6D" w:rsidRPr="003D1E07">
        <w:rPr>
          <w:rStyle w:val="Zvraznn"/>
          <w:i w:val="0"/>
        </w:rPr>
        <w:t xml:space="preserve">Vytěsnění předešlých forem </w:t>
      </w:r>
      <w:r w:rsidR="00EB1D6D" w:rsidRPr="003D1E07">
        <w:rPr>
          <w:rStyle w:val="Zvraznn"/>
        </w:rPr>
        <w:t>tertium ens</w:t>
      </w:r>
      <w:r w:rsidR="00EB1D6D" w:rsidRPr="003D1E07">
        <w:rPr>
          <w:rStyle w:val="Zvraznn"/>
          <w:i w:val="0"/>
        </w:rPr>
        <w:t xml:space="preserve"> </w:t>
      </w:r>
      <w:r w:rsidR="006B0B57" w:rsidRPr="003D1E07">
        <w:rPr>
          <w:rStyle w:val="Zvraznn"/>
          <w:i w:val="0"/>
        </w:rPr>
        <w:t>odkazuje na o</w:t>
      </w:r>
      <w:r w:rsidR="00434E17" w:rsidRPr="003D1E07">
        <w:t>bjek</w:t>
      </w:r>
      <w:r w:rsidR="00EB1D6D" w:rsidRPr="003D1E07">
        <w:t xml:space="preserve">tivně odkrytou </w:t>
      </w:r>
      <w:r w:rsidR="006B0B57" w:rsidRPr="003D1E07">
        <w:t>ne/přítomnost</w:t>
      </w:r>
      <w:r w:rsidR="08E45D52" w:rsidRPr="003D1E07">
        <w:t xml:space="preserve"> substance, </w:t>
      </w:r>
      <w:r w:rsidR="00FE24F3" w:rsidRPr="003D1E07">
        <w:t>která představuje od Aristotela eminentní způsob přítomnosti jsoucího.</w:t>
      </w:r>
      <w:r w:rsidR="003B0B8E" w:rsidRPr="003D1E07">
        <w:t xml:space="preserve"> </w:t>
      </w:r>
      <w:r w:rsidR="084E2F00" w:rsidRPr="003D1E07">
        <w:t xml:space="preserve">Zkoumané formy </w:t>
      </w:r>
      <w:r w:rsidR="084E2F00" w:rsidRPr="003D1E07">
        <w:rPr>
          <w:i/>
        </w:rPr>
        <w:t>tertium ens</w:t>
      </w:r>
      <w:r w:rsidR="084E2F00" w:rsidRPr="003D1E07">
        <w:t xml:space="preserve"> už o</w:t>
      </w:r>
      <w:r w:rsidR="083D7492" w:rsidRPr="003D1E07">
        <w:t>bjektivně viděno vůbec nejsou</w:t>
      </w:r>
      <w:r w:rsidR="086B5F59" w:rsidRPr="003D1E07">
        <w:t xml:space="preserve">, </w:t>
      </w:r>
      <w:r w:rsidR="08DB1342" w:rsidRPr="003D1E07">
        <w:t xml:space="preserve">protože </w:t>
      </w:r>
      <w:r w:rsidR="008E3F92" w:rsidRPr="003D1E07">
        <w:t xml:space="preserve">onticky </w:t>
      </w:r>
      <w:r w:rsidR="08DB1342" w:rsidRPr="003D1E07">
        <w:t>nemají jak neexistovat</w:t>
      </w:r>
      <w:r w:rsidR="083D7492" w:rsidRPr="003D1E07">
        <w:t xml:space="preserve">. </w:t>
      </w:r>
      <w:r w:rsidR="08FF05E9" w:rsidRPr="003D1E07">
        <w:t>Znamení n</w:t>
      </w:r>
      <w:r w:rsidR="083D7492" w:rsidRPr="003D1E07">
        <w:t xml:space="preserve">emají substanční identitu, protože „ex-sistují“ </w:t>
      </w:r>
      <w:r w:rsidR="001246DA" w:rsidRPr="003D1E07">
        <w:t>(</w:t>
      </w:r>
      <w:r w:rsidR="001246DA" w:rsidRPr="003D1E07">
        <w:rPr>
          <w:i/>
        </w:rPr>
        <w:t>exsistere</w:t>
      </w:r>
      <w:r w:rsidR="001246DA" w:rsidRPr="003D1E07">
        <w:t xml:space="preserve">) </w:t>
      </w:r>
      <w:r w:rsidR="083D7492" w:rsidRPr="003D1E07">
        <w:t xml:space="preserve">jen v modu původní </w:t>
      </w:r>
      <w:r w:rsidR="00BC3DAA" w:rsidRPr="003D1E07">
        <w:t xml:space="preserve">archegetické </w:t>
      </w:r>
      <w:r w:rsidR="083D7492" w:rsidRPr="003D1E07">
        <w:t>ipseity</w:t>
      </w:r>
      <w:r w:rsidR="084340F3" w:rsidRPr="003D1E07">
        <w:t>. Ta</w:t>
      </w:r>
      <w:r w:rsidR="005941EF" w:rsidRPr="003D1E07">
        <w:t>to ipseita</w:t>
      </w:r>
      <w:r w:rsidR="084340F3" w:rsidRPr="003D1E07">
        <w:t xml:space="preserve"> představuje </w:t>
      </w:r>
      <w:r w:rsidR="083D7492" w:rsidRPr="003D1E07">
        <w:rPr>
          <w:i/>
        </w:rPr>
        <w:t>Ereignis</w:t>
      </w:r>
      <w:r w:rsidR="083D7492" w:rsidRPr="003D1E07">
        <w:t xml:space="preserve"> múzické dějinnosti</w:t>
      </w:r>
      <w:r w:rsidR="08F4357F" w:rsidRPr="003D1E07">
        <w:t xml:space="preserve"> pro toho, kdo </w:t>
      </w:r>
      <w:r w:rsidR="08FB25DE" w:rsidRPr="003D1E07">
        <w:t xml:space="preserve">umí </w:t>
      </w:r>
      <w:r w:rsidR="08F4357F" w:rsidRPr="003D1E07">
        <w:t xml:space="preserve">objektivní formy substance </w:t>
      </w:r>
      <w:r w:rsidR="08FB25DE" w:rsidRPr="003D1E07">
        <w:t xml:space="preserve">vidět </w:t>
      </w:r>
      <w:r w:rsidR="08F4357F" w:rsidRPr="003D1E07">
        <w:t>ději</w:t>
      </w:r>
      <w:r w:rsidR="084C7A88" w:rsidRPr="003D1E07">
        <w:t>n</w:t>
      </w:r>
      <w:r w:rsidR="08F4357F" w:rsidRPr="003D1E07">
        <w:t>ně, čili jako tragická či komická simulákra</w:t>
      </w:r>
      <w:r w:rsidR="083D7492" w:rsidRPr="003D1E07">
        <w:t xml:space="preserve">. </w:t>
      </w:r>
      <w:r w:rsidR="084E2F00" w:rsidRPr="003D1E07">
        <w:t xml:space="preserve">Každá epocha myšlení nově odkryje smysl jsoucna tím, že úspěšně skryje a vytěsní předešlé formy </w:t>
      </w:r>
      <w:r w:rsidR="003B63FC" w:rsidRPr="003D1E07">
        <w:t>jsoucna třetího druhu</w:t>
      </w:r>
      <w:r w:rsidR="084E2F00" w:rsidRPr="003D1E07">
        <w:t xml:space="preserve">. </w:t>
      </w:r>
      <w:r w:rsidR="08030694" w:rsidRPr="003D1E07">
        <w:t xml:space="preserve">Světlo objektivního rozumu-slunce revolučně či evolučně vyhání temnotu nevědění. Eidetická jasnost pravdy </w:t>
      </w:r>
      <w:r w:rsidR="005B4CA2" w:rsidRPr="003D1E07">
        <w:t xml:space="preserve">vede </w:t>
      </w:r>
      <w:r w:rsidR="08030694" w:rsidRPr="003D1E07">
        <w:t xml:space="preserve">vítězný subjekt </w:t>
      </w:r>
      <w:r w:rsidR="005B4CA2" w:rsidRPr="003D1E07">
        <w:t>do nové bitvy. M</w:t>
      </w:r>
      <w:r w:rsidR="08030694" w:rsidRPr="003D1E07">
        <w:t>oderní</w:t>
      </w:r>
      <w:r w:rsidR="005B4CA2" w:rsidRPr="003D1E07">
        <w:t xml:space="preserve"> ilumináti </w:t>
      </w:r>
      <w:r w:rsidR="08443E37" w:rsidRPr="003D1E07">
        <w:t>všeho druhu vedli západní civilizaci ke světlým zítřkům</w:t>
      </w:r>
      <w:r w:rsidR="004979C1" w:rsidRPr="003D1E07">
        <w:t xml:space="preserve"> dneš</w:t>
      </w:r>
      <w:r w:rsidR="005B4CA2" w:rsidRPr="003D1E07">
        <w:t>ka</w:t>
      </w:r>
      <w:r w:rsidR="08443E37" w:rsidRPr="003D1E07">
        <w:t xml:space="preserve">. </w:t>
      </w:r>
      <w:r w:rsidR="08D75E55" w:rsidRPr="003D1E07">
        <w:t xml:space="preserve">Objektivní vědění dané skrze subjektivní vůli k moci automaticky znamená plnou moc nad tím, co je věděno. </w:t>
      </w:r>
      <w:r w:rsidR="084E2F00" w:rsidRPr="003D1E07">
        <w:t xml:space="preserve">Formy jsoucna třetího druhu dané v modu </w:t>
      </w:r>
      <w:r w:rsidR="084E2F00" w:rsidRPr="003D1E07">
        <w:rPr>
          <w:i/>
        </w:rPr>
        <w:t>a/létheia</w:t>
      </w:r>
      <w:r w:rsidR="084E2F00" w:rsidRPr="003D1E07">
        <w:rPr>
          <w:i/>
        </w:rPr>
        <w:fldChar w:fldCharType="begin"/>
      </w:r>
      <w:r w:rsidR="084E2F00" w:rsidRPr="003D1E07">
        <w:instrText xml:space="preserve"> XE "</w:instrText>
      </w:r>
      <w:r w:rsidR="084E2F00" w:rsidRPr="003D1E07">
        <w:rPr>
          <w:i/>
          <w:lang w:eastAsia="en-US"/>
        </w:rPr>
        <w:instrText>a/létheia</w:instrText>
      </w:r>
      <w:r w:rsidR="084E2F00" w:rsidRPr="003D1E07">
        <w:instrText xml:space="preserve">" </w:instrText>
      </w:r>
      <w:r w:rsidR="084E2F00" w:rsidRPr="003D1E07">
        <w:rPr>
          <w:i/>
        </w:rPr>
        <w:fldChar w:fldCharType="end"/>
      </w:r>
      <w:r w:rsidR="084E2F00" w:rsidRPr="003D1E07">
        <w:t xml:space="preserve"> postupně přešly do letargického dění samotného bytí</w:t>
      </w:r>
      <w:r w:rsidR="004979C1" w:rsidRPr="003D1E07">
        <w:t xml:space="preserve">. To vládne skrze </w:t>
      </w:r>
      <w:r w:rsidR="084E2F00" w:rsidRPr="003D1E07">
        <w:t xml:space="preserve">metafyzický </w:t>
      </w:r>
      <w:r w:rsidR="084E2F00" w:rsidRPr="003D1E07">
        <w:rPr>
          <w:i/>
        </w:rPr>
        <w:t>Irrtum</w:t>
      </w:r>
      <w:r w:rsidR="084E2F00" w:rsidRPr="003D1E07">
        <w:t xml:space="preserve"> a skrze moderní </w:t>
      </w:r>
      <w:r w:rsidR="084E2F00" w:rsidRPr="003D1E07">
        <w:rPr>
          <w:i/>
        </w:rPr>
        <w:t>Seinsvergessenheit</w:t>
      </w:r>
      <w:r w:rsidR="084E2F00" w:rsidRPr="003D1E07">
        <w:rPr>
          <w:i/>
        </w:rPr>
        <w:fldChar w:fldCharType="begin"/>
      </w:r>
      <w:r w:rsidR="084E2F00" w:rsidRPr="003D1E07">
        <w:instrText xml:space="preserve"> XE "</w:instrText>
      </w:r>
      <w:r w:rsidR="084E2F00" w:rsidRPr="003D1E07">
        <w:rPr>
          <w:i/>
        </w:rPr>
        <w:instrText>Seinsvergessenheit</w:instrText>
      </w:r>
      <w:r w:rsidR="084E2F00" w:rsidRPr="003D1E07">
        <w:instrText xml:space="preserve">" </w:instrText>
      </w:r>
      <w:r w:rsidR="084E2F00" w:rsidRPr="003D1E07">
        <w:rPr>
          <w:i/>
        </w:rPr>
        <w:fldChar w:fldCharType="end"/>
      </w:r>
      <w:r w:rsidR="00855DC7">
        <w:t>.</w:t>
      </w:r>
    </w:p>
    <w:p w14:paraId="30E86511" w14:textId="1235B4F3" w:rsidR="00E05091" w:rsidRPr="003D1E07" w:rsidRDefault="00202CBA" w:rsidP="009316D7">
      <w:pPr>
        <w:ind w:firstLine="397"/>
      </w:pPr>
      <w:r w:rsidRPr="003D1E07">
        <w:t>M</w:t>
      </w:r>
      <w:r w:rsidR="00410753" w:rsidRPr="003D1E07">
        <w:t xml:space="preserve">etodické zamyšlení hermeneutiky </w:t>
      </w:r>
      <w:r w:rsidR="007A58D1" w:rsidRPr="003D1E07">
        <w:t>postupuje</w:t>
      </w:r>
      <w:r w:rsidR="00410753" w:rsidRPr="003D1E07">
        <w:t xml:space="preserve"> jinak než předmětná faktografie. </w:t>
      </w:r>
      <w:r w:rsidR="08E92A6C" w:rsidRPr="003D1E07">
        <w:t>Pozit</w:t>
      </w:r>
      <w:r w:rsidR="0824116F" w:rsidRPr="003D1E07">
        <w:t xml:space="preserve">ivní věda zná </w:t>
      </w:r>
      <w:r w:rsidR="00EF4D29" w:rsidRPr="003D1E07">
        <w:t xml:space="preserve">pouze nepřímo </w:t>
      </w:r>
      <w:r w:rsidR="0031622B" w:rsidRPr="003D1E07">
        <w:t xml:space="preserve">ty </w:t>
      </w:r>
      <w:r w:rsidR="00EF4D29" w:rsidRPr="003D1E07">
        <w:t xml:space="preserve">projevy, které souvisí s proměnami metafyzické pravdivosti. Tyto změny nakonec vedou k proměně </w:t>
      </w:r>
      <w:r w:rsidR="0031622B" w:rsidRPr="003D1E07">
        <w:t>zákla</w:t>
      </w:r>
      <w:r w:rsidR="00EF4D29" w:rsidRPr="003D1E07">
        <w:t xml:space="preserve">dního souboru pravidel, které určují zkoumání určité vědy </w:t>
      </w:r>
      <w:r w:rsidR="08E92A6C" w:rsidRPr="003D1E07">
        <w:t>(Thomas Kuhn</w:t>
      </w:r>
      <w:r w:rsidR="082059A7" w:rsidRPr="003D1E07">
        <w:fldChar w:fldCharType="begin"/>
      </w:r>
      <w:r w:rsidR="082059A7" w:rsidRPr="003D1E07">
        <w:instrText xml:space="preserve"> XE "Kuhn, T." </w:instrText>
      </w:r>
      <w:r w:rsidR="082059A7" w:rsidRPr="003D1E07">
        <w:fldChar w:fldCharType="end"/>
      </w:r>
      <w:r w:rsidR="08E92A6C" w:rsidRPr="003D1E07">
        <w:t>). P</w:t>
      </w:r>
      <w:r w:rsidR="082059A7" w:rsidRPr="003D1E07">
        <w:t xml:space="preserve">ři změně paradigmatu </w:t>
      </w:r>
      <w:r w:rsidR="08E92A6C" w:rsidRPr="003D1E07">
        <w:t>mizí celé bloky vědění</w:t>
      </w:r>
      <w:r w:rsidR="081A501E" w:rsidRPr="003D1E07">
        <w:t xml:space="preserve">, </w:t>
      </w:r>
      <w:r w:rsidR="08E92A6C" w:rsidRPr="003D1E07">
        <w:t xml:space="preserve">například z alchymie se stává chemie. </w:t>
      </w:r>
      <w:r w:rsidR="00A3227F" w:rsidRPr="003D1E07">
        <w:t>H</w:t>
      </w:r>
      <w:r w:rsidR="08F069D0" w:rsidRPr="003D1E07">
        <w:t xml:space="preserve">ermeneutika zkoumá pravdu a nepravdu jsoucna </w:t>
      </w:r>
      <w:r w:rsidR="08A302CC" w:rsidRPr="003D1E07">
        <w:t>na úrovni paradigmatických změn metafyziky</w:t>
      </w:r>
      <w:r w:rsidR="08064AC3" w:rsidRPr="003D1E07">
        <w:t>.</w:t>
      </w:r>
      <w:r w:rsidR="08DA62F8" w:rsidRPr="003D1E07">
        <w:t xml:space="preserve"> </w:t>
      </w:r>
      <w:r w:rsidR="00C32DE8" w:rsidRPr="003D1E07">
        <w:t>P</w:t>
      </w:r>
      <w:r w:rsidR="0830458C" w:rsidRPr="003D1E07">
        <w:t>ředešlá kapitola ukázala, že modernu řídí démonické síly</w:t>
      </w:r>
      <w:r w:rsidR="00681B09">
        <w:t>,</w:t>
      </w:r>
      <w:r w:rsidR="0830458C" w:rsidRPr="003D1E07">
        <w:t xml:space="preserve"> a ne kritické myšlení rozlišující </w:t>
      </w:r>
      <w:r w:rsidR="0876205F" w:rsidRPr="003D1E07">
        <w:t>mezi múzickou pravdou a metafyzickou správností</w:t>
      </w:r>
      <w:r w:rsidR="082C66C4" w:rsidRPr="003D1E07">
        <w:t xml:space="preserve">. Objektivně </w:t>
      </w:r>
      <w:r w:rsidR="0830458C" w:rsidRPr="003D1E07">
        <w:t xml:space="preserve">racionální </w:t>
      </w:r>
      <w:r w:rsidR="00A3227F" w:rsidRPr="003D1E07">
        <w:t xml:space="preserve">moderna provedla vytěsnění starších forem metafyziky pomocí </w:t>
      </w:r>
      <w:r w:rsidR="08BA624F" w:rsidRPr="003D1E07">
        <w:t xml:space="preserve">podvědomého </w:t>
      </w:r>
      <w:r w:rsidR="00A3227F" w:rsidRPr="003D1E07">
        <w:t xml:space="preserve">obranného mechanismu, který popisuje Freudův </w:t>
      </w:r>
      <w:r w:rsidR="00983837" w:rsidRPr="003D1E07">
        <w:t>pojem</w:t>
      </w:r>
      <w:r w:rsidR="00554401" w:rsidRPr="003D1E07">
        <w:fldChar w:fldCharType="begin"/>
      </w:r>
      <w:r w:rsidR="00554401" w:rsidRPr="003D1E07">
        <w:instrText xml:space="preserve"> XE "Freud, S." </w:instrText>
      </w:r>
      <w:r w:rsidR="00554401" w:rsidRPr="003D1E07">
        <w:fldChar w:fldCharType="end"/>
      </w:r>
      <w:r w:rsidR="00983837" w:rsidRPr="003D1E07">
        <w:t xml:space="preserve"> </w:t>
      </w:r>
      <w:r w:rsidR="00A3227F" w:rsidRPr="003D1E07">
        <w:rPr>
          <w:rStyle w:val="Zvraznn"/>
        </w:rPr>
        <w:t>Verkehrung ins Gegenteil</w:t>
      </w:r>
      <w:r w:rsidR="00554401" w:rsidRPr="003D1E07">
        <w:rPr>
          <w:rStyle w:val="Zvraznn"/>
        </w:rPr>
        <w:fldChar w:fldCharType="begin"/>
      </w:r>
      <w:r w:rsidR="00554401" w:rsidRPr="003D1E07">
        <w:instrText xml:space="preserve"> XE "</w:instrText>
      </w:r>
      <w:r w:rsidR="00554401" w:rsidRPr="003D1E07">
        <w:rPr>
          <w:rStyle w:val="Zvraznn"/>
        </w:rPr>
        <w:instrText>Verkehrung ins Gegenteil</w:instrText>
      </w:r>
      <w:r w:rsidR="00554401" w:rsidRPr="003D1E07">
        <w:instrText xml:space="preserve">" </w:instrText>
      </w:r>
      <w:r w:rsidR="00554401" w:rsidRPr="003D1E07">
        <w:rPr>
          <w:rStyle w:val="Zvraznn"/>
        </w:rPr>
        <w:fldChar w:fldCharType="end"/>
      </w:r>
      <w:r w:rsidR="00A3227F" w:rsidRPr="003D1E07">
        <w:rPr>
          <w:rStyle w:val="Zvraznn"/>
          <w:i w:val="0"/>
        </w:rPr>
        <w:t xml:space="preserve">. </w:t>
      </w:r>
      <w:r w:rsidR="083A64EA" w:rsidRPr="003D1E07">
        <w:t>D</w:t>
      </w:r>
      <w:r w:rsidR="00A3227F" w:rsidRPr="003D1E07">
        <w:t xml:space="preserve">efinice </w:t>
      </w:r>
      <w:r w:rsidR="00983837" w:rsidRPr="003D1E07">
        <w:t xml:space="preserve">tohoto termínu </w:t>
      </w:r>
      <w:r w:rsidR="00A3227F" w:rsidRPr="003D1E07">
        <w:t xml:space="preserve">v díle </w:t>
      </w:r>
      <w:r w:rsidR="00A3227F" w:rsidRPr="003D1E07">
        <w:rPr>
          <w:i/>
        </w:rPr>
        <w:t>Triebe und Triebschicksale</w:t>
      </w:r>
      <w:r w:rsidR="00A3227F" w:rsidRPr="003D1E07">
        <w:t xml:space="preserve"> (1915) shrnuje </w:t>
      </w:r>
      <w:r w:rsidR="00772BD1" w:rsidRPr="003D1E07">
        <w:rPr>
          <w:i/>
        </w:rPr>
        <w:t>in nuce</w:t>
      </w:r>
      <w:r w:rsidR="00772BD1" w:rsidRPr="003D1E07">
        <w:t xml:space="preserve"> </w:t>
      </w:r>
      <w:r w:rsidR="00A3227F" w:rsidRPr="003D1E07">
        <w:t>celou historii</w:t>
      </w:r>
      <w:r w:rsidR="08E75B5F" w:rsidRPr="003D1E07">
        <w:t xml:space="preserve"> Moderních</w:t>
      </w:r>
      <w:r w:rsidR="00A3227F" w:rsidRPr="003D1E07">
        <w:t>.</w:t>
      </w:r>
      <w:r w:rsidR="00A3227F" w:rsidRPr="003D1E07">
        <w:rPr>
          <w:rStyle w:val="Znakapoznpodarou"/>
          <w:iCs/>
        </w:rPr>
        <w:footnoteReference w:id="35"/>
      </w:r>
      <w:r w:rsidR="00A3227F" w:rsidRPr="003D1E07">
        <w:rPr>
          <w:rStyle w:val="Zvraznn"/>
          <w:i w:val="0"/>
        </w:rPr>
        <w:t xml:space="preserve"> </w:t>
      </w:r>
      <w:r w:rsidR="08E75B5F" w:rsidRPr="003D1E07">
        <w:rPr>
          <w:rStyle w:val="Zvraznn"/>
          <w:i w:val="0"/>
        </w:rPr>
        <w:lastRenderedPageBreak/>
        <w:t>P</w:t>
      </w:r>
      <w:r w:rsidR="00842730" w:rsidRPr="003D1E07">
        <w:rPr>
          <w:rStyle w:val="Zvraznn"/>
          <w:i w:val="0"/>
        </w:rPr>
        <w:t>ostmoderní s</w:t>
      </w:r>
      <w:r w:rsidR="00A3227F" w:rsidRPr="003D1E07">
        <w:rPr>
          <w:rStyle w:val="Zvraznn"/>
          <w:i w:val="0"/>
        </w:rPr>
        <w:t xml:space="preserve">adismus </w:t>
      </w:r>
      <w:r w:rsidR="082F002B" w:rsidRPr="003D1E07">
        <w:rPr>
          <w:rStyle w:val="Zvraznn"/>
          <w:i w:val="0"/>
        </w:rPr>
        <w:t xml:space="preserve">renesančních humanistů a </w:t>
      </w:r>
      <w:r w:rsidR="08390E5C" w:rsidRPr="003D1E07">
        <w:rPr>
          <w:rStyle w:val="Zvraznn"/>
          <w:i w:val="0"/>
        </w:rPr>
        <w:t xml:space="preserve">osvícenců </w:t>
      </w:r>
      <w:r w:rsidR="08405151" w:rsidRPr="003D1E07">
        <w:rPr>
          <w:rStyle w:val="Zvraznn"/>
          <w:i w:val="0"/>
        </w:rPr>
        <w:t xml:space="preserve">prováděný </w:t>
      </w:r>
      <w:r w:rsidR="00A3227F" w:rsidRPr="003D1E07">
        <w:rPr>
          <w:rStyle w:val="Zvraznn"/>
          <w:i w:val="0"/>
        </w:rPr>
        <w:t xml:space="preserve">vůči předešlým formám metafyziky </w:t>
      </w:r>
      <w:r w:rsidR="00F64FE0" w:rsidRPr="003D1E07">
        <w:rPr>
          <w:rStyle w:val="Zvraznn"/>
          <w:i w:val="0"/>
        </w:rPr>
        <w:t xml:space="preserve">ve scholastické </w:t>
      </w:r>
      <w:r w:rsidR="00F64FE0" w:rsidRPr="003D1E07">
        <w:rPr>
          <w:rStyle w:val="Zvraznn"/>
        </w:rPr>
        <w:t>via Modernorum</w:t>
      </w:r>
      <w:r w:rsidR="00F64FE0" w:rsidRPr="003D1E07">
        <w:rPr>
          <w:rStyle w:val="Zvraznn"/>
          <w:i w:val="0"/>
        </w:rPr>
        <w:t xml:space="preserve"> </w:t>
      </w:r>
      <w:r w:rsidR="00A3227F" w:rsidRPr="003D1E07">
        <w:rPr>
          <w:rStyle w:val="Zvraznn"/>
          <w:i w:val="0"/>
        </w:rPr>
        <w:t xml:space="preserve">vystřídal současný masochismus </w:t>
      </w:r>
      <w:r w:rsidR="08390E5C" w:rsidRPr="003D1E07">
        <w:rPr>
          <w:rStyle w:val="Zvraznn"/>
          <w:i w:val="0"/>
        </w:rPr>
        <w:t xml:space="preserve">dekonstrukce </w:t>
      </w:r>
      <w:r w:rsidR="00A3227F" w:rsidRPr="003D1E07">
        <w:rPr>
          <w:rStyle w:val="Zvraznn"/>
          <w:i w:val="0"/>
        </w:rPr>
        <w:t>provozo</w:t>
      </w:r>
      <w:r w:rsidR="08390E5C" w:rsidRPr="003D1E07">
        <w:rPr>
          <w:rStyle w:val="Zvraznn"/>
          <w:i w:val="0"/>
        </w:rPr>
        <w:t>vané</w:t>
      </w:r>
      <w:r w:rsidR="00A3227F" w:rsidRPr="003D1E07">
        <w:rPr>
          <w:rStyle w:val="Zvraznn"/>
          <w:i w:val="0"/>
        </w:rPr>
        <w:t xml:space="preserve"> v epoše metafyzického nihilismu</w:t>
      </w:r>
      <w:r w:rsidR="00A76FAB" w:rsidRPr="003D1E07">
        <w:rPr>
          <w:rStyle w:val="Zvraznn"/>
          <w:i w:val="0"/>
        </w:rPr>
        <w:t xml:space="preserve"> a digitální </w:t>
      </w:r>
      <w:r w:rsidR="08290118" w:rsidRPr="003D1E07">
        <w:rPr>
          <w:rStyle w:val="Zvraznn"/>
          <w:i w:val="0"/>
        </w:rPr>
        <w:t xml:space="preserve">wikipedické </w:t>
      </w:r>
      <w:r w:rsidR="00A76FAB" w:rsidRPr="003D1E07">
        <w:rPr>
          <w:rStyle w:val="Zvraznn"/>
          <w:i w:val="0"/>
        </w:rPr>
        <w:t>bezradnosti</w:t>
      </w:r>
      <w:r w:rsidR="0087473D" w:rsidRPr="003D1E07">
        <w:rPr>
          <w:rStyle w:val="Zvraznn"/>
          <w:i w:val="0"/>
        </w:rPr>
        <w:t xml:space="preserve"> manipulované globálními korporacemi</w:t>
      </w:r>
      <w:r w:rsidR="00A3227F" w:rsidRPr="003D1E07">
        <w:rPr>
          <w:rStyle w:val="Zvraznn"/>
          <w:i w:val="0"/>
        </w:rPr>
        <w:t xml:space="preserve">. </w:t>
      </w:r>
      <w:r w:rsidR="08BA1F3F" w:rsidRPr="003D1E07">
        <w:t xml:space="preserve">Hermeneutická archeologie </w:t>
      </w:r>
      <w:r w:rsidR="086E2C5A" w:rsidRPr="003D1E07">
        <w:t xml:space="preserve">ve shodě s Heideggerem </w:t>
      </w:r>
      <w:r w:rsidR="008C069D" w:rsidRPr="003D1E07">
        <w:t xml:space="preserve">a Freudem </w:t>
      </w:r>
      <w:r w:rsidR="08BA1F3F" w:rsidRPr="003D1E07">
        <w:t xml:space="preserve">tvrdí, že </w:t>
      </w:r>
      <w:r w:rsidR="08A91361" w:rsidRPr="003D1E07">
        <w:t xml:space="preserve">vytěsněná část </w:t>
      </w:r>
      <w:r w:rsidR="009446E9" w:rsidRPr="003D1E07">
        <w:t>pravd</w:t>
      </w:r>
      <w:r w:rsidR="08A91361" w:rsidRPr="003D1E07">
        <w:t xml:space="preserve">y </w:t>
      </w:r>
      <w:r w:rsidR="008C069D" w:rsidRPr="003D1E07">
        <w:t xml:space="preserve">v dějinách skrytě působí, a to převážně destruktivním způsobem. </w:t>
      </w:r>
      <w:r w:rsidR="08BB7691" w:rsidRPr="003D1E07">
        <w:t>T</w:t>
      </w:r>
      <w:r w:rsidR="00386B54" w:rsidRPr="003D1E07">
        <w:t xml:space="preserve">ento vytěsněný </w:t>
      </w:r>
      <w:r w:rsidR="00386B54" w:rsidRPr="003D1E07">
        <w:rPr>
          <w:i/>
        </w:rPr>
        <w:t>Irrtum</w:t>
      </w:r>
      <w:r w:rsidR="00386B54" w:rsidRPr="003D1E07">
        <w:t xml:space="preserve"> </w:t>
      </w:r>
      <w:r w:rsidR="08BB7691" w:rsidRPr="003D1E07">
        <w:t>metafyziky má zakládající, tedy archegetický charakter iterativně spouštěného obranného mechanismu</w:t>
      </w:r>
      <w:r w:rsidR="006B3BE1" w:rsidRPr="003D1E07">
        <w:t xml:space="preserve"> moderny</w:t>
      </w:r>
      <w:r w:rsidR="08BB7691" w:rsidRPr="003D1E07">
        <w:t xml:space="preserve">. </w:t>
      </w:r>
      <w:r w:rsidR="009316D7" w:rsidRPr="003D1E07">
        <w:t>Modernita funguje podle výše popsaného nutkavého mechanismu (</w:t>
      </w:r>
      <w:r w:rsidR="009316D7" w:rsidRPr="003D1E07">
        <w:rPr>
          <w:i/>
        </w:rPr>
        <w:t>Zwangsmechanismus</w:t>
      </w:r>
      <w:r w:rsidR="009316D7" w:rsidRPr="003D1E07">
        <w:t xml:space="preserve">) akademicky vzdělaných a radikálně subjektivních Fúrií. </w:t>
      </w:r>
      <w:r w:rsidR="00F8576A" w:rsidRPr="003D1E07">
        <w:t xml:space="preserve">Hermeneutická cesta </w:t>
      </w:r>
      <w:r w:rsidR="00EB4447" w:rsidRPr="003D1E07">
        <w:t xml:space="preserve">k objektivitě </w:t>
      </w:r>
      <w:r w:rsidR="00F8576A" w:rsidRPr="003D1E07">
        <w:t xml:space="preserve">začíná u skryté </w:t>
      </w:r>
      <w:r w:rsidR="08F74999" w:rsidRPr="003D1E07">
        <w:t xml:space="preserve">a pak vytěsněné </w:t>
      </w:r>
      <w:r w:rsidR="00F8576A" w:rsidRPr="003D1E07">
        <w:t>dějinnosti</w:t>
      </w:r>
      <w:r w:rsidR="08F74999" w:rsidRPr="003D1E07">
        <w:t xml:space="preserve">. </w:t>
      </w:r>
      <w:r w:rsidR="08AE048A" w:rsidRPr="003D1E07">
        <w:t xml:space="preserve">Tragikomický průvod </w:t>
      </w:r>
      <w:r w:rsidR="008C28F1" w:rsidRPr="003D1E07">
        <w:t>jsouc</w:t>
      </w:r>
      <w:r w:rsidR="08AE048A" w:rsidRPr="003D1E07">
        <w:t>en</w:t>
      </w:r>
      <w:r w:rsidR="008C28F1" w:rsidRPr="003D1E07">
        <w:t xml:space="preserve"> třetího druhu </w:t>
      </w:r>
      <w:r w:rsidR="08AE048A" w:rsidRPr="003D1E07">
        <w:t>založil pozitivní</w:t>
      </w:r>
      <w:r w:rsidR="08AB3E14" w:rsidRPr="003D1E07">
        <w:t xml:space="preserve"> </w:t>
      </w:r>
      <w:r w:rsidR="00F8576A" w:rsidRPr="003D1E07">
        <w:t>dějin</w:t>
      </w:r>
      <w:r w:rsidR="08AE048A" w:rsidRPr="003D1E07">
        <w:t>y</w:t>
      </w:r>
      <w:r w:rsidR="00F8576A" w:rsidRPr="003D1E07">
        <w:t xml:space="preserve"> myšlení</w:t>
      </w:r>
      <w:r w:rsidR="005324EA" w:rsidRPr="003D1E07">
        <w:t>.</w:t>
      </w:r>
      <w:r w:rsidR="0860025B" w:rsidRPr="003D1E07">
        <w:t xml:space="preserve"> </w:t>
      </w:r>
      <w:r w:rsidR="083A7BD3" w:rsidRPr="003D1E07">
        <w:t>Dějiny filosofických škol lze nakonec popsat v rámci známé historie</w:t>
      </w:r>
      <w:r w:rsidR="083A7BD3" w:rsidRPr="003D1E07">
        <w:rPr>
          <w:i/>
        </w:rPr>
        <w:t xml:space="preserve"> </w:t>
      </w:r>
      <w:r w:rsidR="087E5CC6" w:rsidRPr="003D1E07">
        <w:t>středověku</w:t>
      </w:r>
      <w:r w:rsidR="08D40B5D" w:rsidRPr="003D1E07">
        <w:t>, například na základě archivních pramenů</w:t>
      </w:r>
      <w:r w:rsidR="087E5CC6" w:rsidRPr="003D1E07">
        <w:t>.</w:t>
      </w:r>
      <w:r w:rsidR="081F7603" w:rsidRPr="003D1E07">
        <w:t xml:space="preserve"> </w:t>
      </w:r>
      <w:r w:rsidR="087E5CC6" w:rsidRPr="003D1E07">
        <w:t xml:space="preserve">Z uvedených důvodů je předložená hermeneutická metoda zkoumání metodologicky vhodným kandidátem pro </w:t>
      </w:r>
      <w:r w:rsidR="087E5CC6" w:rsidRPr="003D1E07">
        <w:rPr>
          <w:i/>
        </w:rPr>
        <w:t>ante</w:t>
      </w:r>
      <w:r w:rsidR="087E5CC6" w:rsidRPr="003D1E07">
        <w:noBreakHyphen/>
        <w:t xml:space="preserve">objektivní výklad předložených textů a autorů. </w:t>
      </w:r>
      <w:r w:rsidR="08BB419B" w:rsidRPr="003D1E07">
        <w:t>G</w:t>
      </w:r>
      <w:r w:rsidR="089619F2" w:rsidRPr="003D1E07">
        <w:t xml:space="preserve">igantomachie </w:t>
      </w:r>
      <w:r w:rsidR="0860025B" w:rsidRPr="003D1E07">
        <w:t xml:space="preserve">o substanci </w:t>
      </w:r>
      <w:r w:rsidR="089619F2" w:rsidRPr="003D1E07">
        <w:t>sleduj</w:t>
      </w:r>
      <w:r w:rsidR="08BB419B" w:rsidRPr="003D1E07">
        <w:t xml:space="preserve">e proměny metafyziky vzhledem ke </w:t>
      </w:r>
      <w:r w:rsidR="089619F2" w:rsidRPr="003D1E07">
        <w:t>sporu o jsoucno a nejsoucno</w:t>
      </w:r>
      <w:r w:rsidR="08BB419B" w:rsidRPr="003D1E07">
        <w:t>. Výklad tohoto sporu je dán rozdílným p</w:t>
      </w:r>
      <w:r w:rsidR="089619F2" w:rsidRPr="003D1E07">
        <w:t>ostavení</w:t>
      </w:r>
      <w:r w:rsidR="08BB419B" w:rsidRPr="003D1E07">
        <w:t>m</w:t>
      </w:r>
      <w:r w:rsidR="089619F2" w:rsidRPr="003D1E07">
        <w:t xml:space="preserve"> substance jako jsoucna třetího druhu. </w:t>
      </w:r>
      <w:r w:rsidR="08EE2D35" w:rsidRPr="003D1E07">
        <w:t>G</w:t>
      </w:r>
      <w:r w:rsidR="083A7BD3" w:rsidRPr="003D1E07">
        <w:t xml:space="preserve">igantomachii </w:t>
      </w:r>
      <w:r w:rsidR="08EE2D35" w:rsidRPr="003D1E07">
        <w:t xml:space="preserve">o metafyziku </w:t>
      </w:r>
      <w:r w:rsidR="083A7BD3" w:rsidRPr="003D1E07">
        <w:t xml:space="preserve">byly schopny provozovat jen ty nejlepší školy myšlení, které nově </w:t>
      </w:r>
      <w:r w:rsidR="08C43DF1" w:rsidRPr="003D1E07">
        <w:t xml:space="preserve">řešily </w:t>
      </w:r>
      <w:r w:rsidR="083A7BD3" w:rsidRPr="003D1E07">
        <w:t xml:space="preserve">status </w:t>
      </w:r>
      <w:r w:rsidR="08C43DF1" w:rsidRPr="003D1E07">
        <w:t>substanc</w:t>
      </w:r>
      <w:r w:rsidR="083A7BD3" w:rsidRPr="003D1E07">
        <w:t>e</w:t>
      </w:r>
      <w:r w:rsidR="089619F2" w:rsidRPr="003D1E07">
        <w:t xml:space="preserve">. </w:t>
      </w:r>
      <w:r w:rsidR="005324EA" w:rsidRPr="003D1E07">
        <w:t>Kritická analýza</w:t>
      </w:r>
      <w:r w:rsidR="00F8576A" w:rsidRPr="003D1E07">
        <w:t xml:space="preserve"> sporů formujících zkoumané období</w:t>
      </w:r>
      <w:r w:rsidR="005324EA" w:rsidRPr="003D1E07">
        <w:t xml:space="preserve">, tedy </w:t>
      </w:r>
      <w:r w:rsidR="00AE276A">
        <w:t>výběr</w:t>
      </w:r>
      <w:r w:rsidR="00F8576A" w:rsidRPr="003D1E07">
        <w:t xml:space="preserve"> textů, autorů a zkoum</w:t>
      </w:r>
      <w:r w:rsidR="08CF1847" w:rsidRPr="003D1E07">
        <w:t xml:space="preserve">aných filosofických problémů určuje základní otázka </w:t>
      </w:r>
      <w:r w:rsidR="00F8576A" w:rsidRPr="003D1E07">
        <w:t>po epoc</w:t>
      </w:r>
      <w:r w:rsidR="00311B62" w:rsidRPr="003D1E07">
        <w:t xml:space="preserve">hální manifestaci </w:t>
      </w:r>
      <w:r w:rsidR="08C43DF1" w:rsidRPr="003D1E07">
        <w:t xml:space="preserve">objektivní substance </w:t>
      </w:r>
      <w:r w:rsidR="005A3E47" w:rsidRPr="003D1E07">
        <w:t xml:space="preserve">v modu </w:t>
      </w:r>
      <w:r w:rsidR="00660E52" w:rsidRPr="003D1E07">
        <w:rPr>
          <w:i/>
        </w:rPr>
        <w:t>tertium ens</w:t>
      </w:r>
      <w:r w:rsidR="003F16A5" w:rsidRPr="003D1E07">
        <w:rPr>
          <w:i/>
        </w:rPr>
        <w:fldChar w:fldCharType="begin"/>
      </w:r>
      <w:r w:rsidR="003F16A5" w:rsidRPr="003D1E07">
        <w:instrText xml:space="preserve"> XE "</w:instrText>
      </w:r>
      <w:r w:rsidR="003F16A5" w:rsidRPr="003D1E07">
        <w:rPr>
          <w:rStyle w:val="Zvraznn"/>
        </w:rPr>
        <w:instrText>tertium ens</w:instrText>
      </w:r>
      <w:r w:rsidR="0091152E" w:rsidRPr="003D1E07">
        <w:rPr>
          <w:rStyle w:val="Zvraznn"/>
          <w:i w:val="0"/>
        </w:rPr>
        <w:instrText>:manifestace</w:instrText>
      </w:r>
      <w:r w:rsidR="003F16A5" w:rsidRPr="003D1E07">
        <w:instrText xml:space="preserve">" </w:instrText>
      </w:r>
      <w:r w:rsidR="003F16A5" w:rsidRPr="003D1E07">
        <w:rPr>
          <w:i/>
        </w:rPr>
        <w:fldChar w:fldCharType="end"/>
      </w:r>
      <w:r w:rsidR="08CF1847" w:rsidRPr="003D1E07">
        <w:t xml:space="preserve">. </w:t>
      </w:r>
      <w:r w:rsidR="0084634B" w:rsidRPr="003D1E07">
        <w:t xml:space="preserve">Úvodní část projde </w:t>
      </w:r>
      <w:r w:rsidR="002B5933" w:rsidRPr="003D1E07">
        <w:t xml:space="preserve">výklad Aristotelových </w:t>
      </w:r>
      <w:r w:rsidR="002B5933" w:rsidRPr="003D1E07">
        <w:rPr>
          <w:i/>
        </w:rPr>
        <w:t>Kategori</w:t>
      </w:r>
      <w:r w:rsidR="000E1087" w:rsidRPr="003D1E07">
        <w:rPr>
          <w:i/>
        </w:rPr>
        <w:t>í</w:t>
      </w:r>
      <w:r w:rsidR="000E1087" w:rsidRPr="003D1E07">
        <w:t xml:space="preserve"> v</w:t>
      </w:r>
      <w:r w:rsidR="00B2391C" w:rsidRPr="003D1E07">
        <w:t xml:space="preserve"> renovovaném </w:t>
      </w:r>
      <w:r w:rsidR="000E1087" w:rsidRPr="003D1E07">
        <w:t>podání neoplato</w:t>
      </w:r>
      <w:r w:rsidR="00B2391C" w:rsidRPr="003D1E07">
        <w:t xml:space="preserve">niků </w:t>
      </w:r>
      <w:r w:rsidR="00C23408" w:rsidRPr="003D1E07">
        <w:t>mezi 3. a 7. stoletím</w:t>
      </w:r>
      <w:r w:rsidR="085C20E1" w:rsidRPr="003D1E07">
        <w:t xml:space="preserve">. </w:t>
      </w:r>
      <w:r w:rsidR="000E1087" w:rsidRPr="003D1E07">
        <w:t>Nástupci Porfy</w:t>
      </w:r>
      <w:r w:rsidR="00C23408" w:rsidRPr="003D1E07">
        <w:t>ria vytvořili novou figuru metafyziky, která tematizovala jsoucno třetího druhu jako kompromis mezi kategoriál</w:t>
      </w:r>
      <w:r w:rsidR="00CF294F" w:rsidRPr="003D1E07">
        <w:t>ním a transcen</w:t>
      </w:r>
      <w:r w:rsidR="00C23408" w:rsidRPr="003D1E07">
        <w:t>dentálním určením substance</w:t>
      </w:r>
      <w:r w:rsidR="00A70FA4" w:rsidRPr="003D1E07">
        <w:fldChar w:fldCharType="begin"/>
      </w:r>
      <w:r w:rsidR="00A70FA4" w:rsidRPr="003D1E07">
        <w:instrText xml:space="preserve"> XE "substance</w:instrText>
      </w:r>
      <w:r w:rsidR="00592385" w:rsidRPr="003D1E07">
        <w:instrText>:třetího druhu</w:instrText>
      </w:r>
      <w:r w:rsidR="00A70FA4" w:rsidRPr="003D1E07">
        <w:instrText xml:space="preserve">" </w:instrText>
      </w:r>
      <w:r w:rsidR="00A70FA4" w:rsidRPr="003D1E07">
        <w:fldChar w:fldCharType="end"/>
      </w:r>
      <w:r w:rsidR="00C23408" w:rsidRPr="003D1E07">
        <w:t xml:space="preserve">. </w:t>
      </w:r>
      <w:r w:rsidR="08145C82" w:rsidRPr="003D1E07">
        <w:t xml:space="preserve">Neoplatonikové z Plotínovy školy změnili pojetí substance, tělesa, času a prostoru. </w:t>
      </w:r>
      <w:r w:rsidR="004C3CF6" w:rsidRPr="003D1E07">
        <w:t xml:space="preserve">Pozdní antika </w:t>
      </w:r>
      <w:r w:rsidR="0810149F" w:rsidRPr="003D1E07">
        <w:t>provedla základní proměnu</w:t>
      </w:r>
      <w:r w:rsidR="004C3CF6" w:rsidRPr="003D1E07">
        <w:t xml:space="preserve"> metafyziky</w:t>
      </w:r>
      <w:r w:rsidR="0810149F" w:rsidRPr="003D1E07">
        <w:t xml:space="preserve">, která vedla ke </w:t>
      </w:r>
      <w:r w:rsidR="004C3CF6" w:rsidRPr="003D1E07">
        <w:t>vznik</w:t>
      </w:r>
      <w:r w:rsidR="0810149F" w:rsidRPr="003D1E07">
        <w:t>u</w:t>
      </w:r>
      <w:r w:rsidR="004C3CF6" w:rsidRPr="003D1E07">
        <w:t xml:space="preserve"> </w:t>
      </w:r>
      <w:r w:rsidR="006F5060" w:rsidRPr="003D1E07">
        <w:t>objektivi</w:t>
      </w:r>
      <w:r w:rsidR="0015510E" w:rsidRPr="003D1E07">
        <w:t>ty</w:t>
      </w:r>
      <w:r w:rsidR="083746E3" w:rsidRPr="003D1E07">
        <w:t xml:space="preserve">. Její </w:t>
      </w:r>
      <w:r w:rsidR="0810149F" w:rsidRPr="003D1E07">
        <w:t xml:space="preserve">středověkou </w:t>
      </w:r>
      <w:r w:rsidR="001F4A00" w:rsidRPr="003D1E07">
        <w:t xml:space="preserve">a moderní </w:t>
      </w:r>
      <w:r w:rsidR="0810149F" w:rsidRPr="003D1E07">
        <w:t>podobu</w:t>
      </w:r>
      <w:r w:rsidR="083746E3" w:rsidRPr="003D1E07">
        <w:t xml:space="preserve"> </w:t>
      </w:r>
      <w:r w:rsidR="0015510E" w:rsidRPr="003D1E07">
        <w:t>zkoumají následující</w:t>
      </w:r>
      <w:r w:rsidR="00BA7248" w:rsidRPr="003D1E07">
        <w:t xml:space="preserve"> dva</w:t>
      </w:r>
      <w:r w:rsidR="0015510E" w:rsidRPr="003D1E07">
        <w:t xml:space="preserve"> </w:t>
      </w:r>
      <w:r w:rsidR="08F61EBC" w:rsidRPr="003D1E07">
        <w:t>díly</w:t>
      </w:r>
      <w:r w:rsidR="006F5060" w:rsidRPr="003D1E07">
        <w:t>.</w:t>
      </w:r>
      <w:r w:rsidR="089558B9" w:rsidRPr="003D1E07">
        <w:t xml:space="preserve"> </w:t>
      </w:r>
      <w:r w:rsidR="08CB5535" w:rsidRPr="003D1E07">
        <w:t xml:space="preserve">Prehistorii objektivity ukazuje </w:t>
      </w:r>
      <w:r w:rsidR="08CB5535" w:rsidRPr="003D1E07">
        <w:rPr>
          <w:i/>
          <w:lang w:eastAsia="en-US"/>
        </w:rPr>
        <w:t>translatio studiorum</w:t>
      </w:r>
      <w:r w:rsidR="005305E2" w:rsidRPr="003D1E07">
        <w:rPr>
          <w:i/>
          <w:lang w:eastAsia="en-US"/>
        </w:rPr>
        <w:fldChar w:fldCharType="begin"/>
      </w:r>
      <w:r w:rsidR="005305E2" w:rsidRPr="003D1E07">
        <w:instrText xml:space="preserve"> XE "</w:instrText>
      </w:r>
      <w:r w:rsidR="005305E2" w:rsidRPr="003D1E07">
        <w:rPr>
          <w:i/>
          <w:lang w:eastAsia="en-US"/>
        </w:rPr>
        <w:instrText>translatio studiorum</w:instrText>
      </w:r>
      <w:r w:rsidR="005305E2" w:rsidRPr="003D1E07">
        <w:instrText xml:space="preserve">" </w:instrText>
      </w:r>
      <w:r w:rsidR="005305E2" w:rsidRPr="003D1E07">
        <w:rPr>
          <w:i/>
          <w:lang w:eastAsia="en-US"/>
        </w:rPr>
        <w:fldChar w:fldCharType="end"/>
      </w:r>
      <w:r w:rsidR="08CB5535" w:rsidRPr="003D1E07">
        <w:rPr>
          <w:lang w:eastAsia="en-US"/>
        </w:rPr>
        <w:t xml:space="preserve"> z pozdní antiky do byzantsko-arabského světa monoteistických náboženství, které přešlo přes scholastiku až do moderny. Přesun škol a směrů se konal ve formě skrytého </w:t>
      </w:r>
      <w:r w:rsidR="08CB5535" w:rsidRPr="003D1E07">
        <w:rPr>
          <w:i/>
          <w:lang w:eastAsia="en-US"/>
        </w:rPr>
        <w:t>translatio problematum</w:t>
      </w:r>
      <w:r w:rsidR="08CB5535" w:rsidRPr="003D1E07">
        <w:rPr>
          <w:lang w:eastAsia="en-US"/>
        </w:rPr>
        <w:t>.</w:t>
      </w:r>
      <w:r w:rsidR="08CB5535" w:rsidRPr="003D1E07">
        <w:t xml:space="preserve"> </w:t>
      </w:r>
      <w:r w:rsidR="089558B9" w:rsidRPr="003D1E07">
        <w:t xml:space="preserve">První podoba </w:t>
      </w:r>
      <w:r w:rsidR="08DA5F93" w:rsidRPr="003D1E07">
        <w:t xml:space="preserve">objektivity </w:t>
      </w:r>
      <w:r w:rsidR="08E53C3D" w:rsidRPr="003D1E07">
        <w:t xml:space="preserve">vzniká </w:t>
      </w:r>
      <w:r w:rsidR="08E53C3D" w:rsidRPr="003D1E07">
        <w:lastRenderedPageBreak/>
        <w:t xml:space="preserve">skrze </w:t>
      </w:r>
      <w:r w:rsidR="00444954" w:rsidRPr="003D1E07">
        <w:t>dvě základní figury metafyzi</w:t>
      </w:r>
      <w:r w:rsidR="08E53C3D" w:rsidRPr="003D1E07">
        <w:t>ky v perské falsafě. Avicenna</w:t>
      </w:r>
      <w:r w:rsidR="000E1087" w:rsidRPr="003D1E07">
        <w:t xml:space="preserve"> a Averroe</w:t>
      </w:r>
      <w:r w:rsidR="08E53C3D" w:rsidRPr="003D1E07">
        <w:t xml:space="preserve">s </w:t>
      </w:r>
      <w:r w:rsidR="080A1F7A" w:rsidRPr="003D1E07">
        <w:t>rozvíjeli</w:t>
      </w:r>
      <w:r w:rsidR="000E1087" w:rsidRPr="003D1E07">
        <w:t xml:space="preserve"> odkaz Al-Fá</w:t>
      </w:r>
      <w:r w:rsidR="00444954" w:rsidRPr="003D1E07">
        <w:t>rábího</w:t>
      </w:r>
      <w:r w:rsidR="008A5E92" w:rsidRPr="003D1E07">
        <w:t xml:space="preserve">. Tento první moderní myslitel </w:t>
      </w:r>
      <w:r w:rsidR="00444954" w:rsidRPr="003D1E07">
        <w:t>smíři</w:t>
      </w:r>
      <w:r w:rsidR="000E1087" w:rsidRPr="003D1E07">
        <w:t xml:space="preserve">l </w:t>
      </w:r>
      <w:r w:rsidR="008A5E92" w:rsidRPr="003D1E07">
        <w:t xml:space="preserve">novým způsobem </w:t>
      </w:r>
      <w:r w:rsidR="000E1087" w:rsidRPr="003D1E07">
        <w:t>Aristotelovu substanci a Plato</w:t>
      </w:r>
      <w:r w:rsidR="00444954" w:rsidRPr="003D1E07">
        <w:t>novy ideje. Latinská scholastika následně rozvinula vidění jsoucna obsažené v těchto dvou</w:t>
      </w:r>
      <w:r w:rsidR="08E53C3D" w:rsidRPr="003D1E07">
        <w:t xml:space="preserve"> základních projektech falsafy</w:t>
      </w:r>
      <w:r w:rsidR="00444954" w:rsidRPr="003D1E07">
        <w:t>.</w:t>
      </w:r>
      <w:r w:rsidR="089558B9" w:rsidRPr="003D1E07">
        <w:t xml:space="preserve"> Její poslední podoba </w:t>
      </w:r>
      <w:r w:rsidR="004F295D" w:rsidRPr="003D1E07">
        <w:t>druhé polovině 13. století ust</w:t>
      </w:r>
      <w:r w:rsidR="0006577E" w:rsidRPr="003D1E07">
        <w:t>avil</w:t>
      </w:r>
      <w:r w:rsidR="089558B9" w:rsidRPr="003D1E07">
        <w:t>a</w:t>
      </w:r>
      <w:r w:rsidR="0006577E" w:rsidRPr="003D1E07">
        <w:t xml:space="preserve"> </w:t>
      </w:r>
      <w:r w:rsidR="089558B9" w:rsidRPr="003D1E07">
        <w:t xml:space="preserve">plně </w:t>
      </w:r>
      <w:r w:rsidR="0006577E" w:rsidRPr="003D1E07">
        <w:t>objektivní figuru myšlení.</w:t>
      </w:r>
      <w:r w:rsidR="001F0C8C" w:rsidRPr="003D1E07">
        <w:t xml:space="preserve"> Latinská scholastik</w:t>
      </w:r>
      <w:r w:rsidR="088D0D3C" w:rsidRPr="003D1E07">
        <w:t>a pokračovala</w:t>
      </w:r>
      <w:r w:rsidR="001F0C8C" w:rsidRPr="003D1E07">
        <w:t xml:space="preserve"> v zápasu </w:t>
      </w:r>
      <w:r w:rsidR="008E02F5" w:rsidRPr="003D1E07">
        <w:t>Platon</w:t>
      </w:r>
      <w:r w:rsidR="001F0C8C" w:rsidRPr="003D1E07">
        <w:t>a a Aristotela, předaného skr</w:t>
      </w:r>
      <w:r w:rsidR="00382505" w:rsidRPr="003D1E07">
        <w:t xml:space="preserve">ze </w:t>
      </w:r>
      <w:r w:rsidR="0062457C" w:rsidRPr="003D1E07">
        <w:t xml:space="preserve">zásadně </w:t>
      </w:r>
      <w:r w:rsidR="007A1F1C" w:rsidRPr="003D1E07">
        <w:t xml:space="preserve">rozdílnou </w:t>
      </w:r>
      <w:r w:rsidR="00382505" w:rsidRPr="003D1E07">
        <w:t>metafyziku Avicenny a Averroe</w:t>
      </w:r>
      <w:r w:rsidR="001F0C8C" w:rsidRPr="003D1E07">
        <w:t>se.</w:t>
      </w:r>
      <w:r w:rsidR="08CB6AD2" w:rsidRPr="003D1E07">
        <w:t xml:space="preserve"> </w:t>
      </w:r>
      <w:r w:rsidR="001F0C8C" w:rsidRPr="003D1E07">
        <w:t>Š</w:t>
      </w:r>
      <w:r w:rsidR="087138F3" w:rsidRPr="003D1E07">
        <w:t xml:space="preserve">kola </w:t>
      </w:r>
      <w:r w:rsidR="001F0C8C" w:rsidRPr="003D1E07">
        <w:t>pr</w:t>
      </w:r>
      <w:r w:rsidR="087138F3" w:rsidRPr="003D1E07">
        <w:t xml:space="preserve">vního a druhého averroismu </w:t>
      </w:r>
      <w:r w:rsidR="08CB6AD2" w:rsidRPr="003D1E07">
        <w:t xml:space="preserve">na latinském Západě </w:t>
      </w:r>
      <w:r w:rsidR="088D0D3C" w:rsidRPr="003D1E07">
        <w:t>přímo navazovala</w:t>
      </w:r>
      <w:r w:rsidR="001F0C8C" w:rsidRPr="003D1E07">
        <w:t xml:space="preserve"> na gigantomachii pozdní antiky a islámské falsafy. Poslední kolo této bitvy o substanci vedené na latinském Západě </w:t>
      </w:r>
      <w:r w:rsidR="087138F3" w:rsidRPr="003D1E07">
        <w:t xml:space="preserve">nakonec </w:t>
      </w:r>
      <w:r w:rsidR="001F0C8C" w:rsidRPr="003D1E07">
        <w:t>vy</w:t>
      </w:r>
      <w:r w:rsidR="088D0D3C" w:rsidRPr="003D1E07">
        <w:t>tvořilo</w:t>
      </w:r>
      <w:r w:rsidR="001F0C8C" w:rsidRPr="003D1E07">
        <w:t xml:space="preserve"> </w:t>
      </w:r>
      <w:r w:rsidR="087138F3" w:rsidRPr="003D1E07">
        <w:t xml:space="preserve">plně </w:t>
      </w:r>
      <w:r w:rsidR="001F0C8C" w:rsidRPr="003D1E07">
        <w:rPr>
          <w:lang w:eastAsia="en-US"/>
        </w:rPr>
        <w:t>objektivní smysl jsoucna</w:t>
      </w:r>
      <w:r w:rsidR="00DA27DE" w:rsidRPr="003D1E07">
        <w:rPr>
          <w:lang w:eastAsia="en-US"/>
        </w:rPr>
        <w:t xml:space="preserve"> na </w:t>
      </w:r>
      <w:r w:rsidR="00DA27DE" w:rsidRPr="003D1E07">
        <w:rPr>
          <w:i/>
          <w:lang w:eastAsia="en-US"/>
        </w:rPr>
        <w:t>via Modernorum</w:t>
      </w:r>
      <w:r w:rsidR="001F0C8C" w:rsidRPr="003D1E07">
        <w:t>.</w:t>
      </w:r>
      <w:r w:rsidR="087138F3" w:rsidRPr="003D1E07">
        <w:t xml:space="preserve"> </w:t>
      </w:r>
      <w:r w:rsidR="007D4326" w:rsidRPr="003D1E07">
        <w:t xml:space="preserve">Hermeneutická triáda dějinnosti, dějin a historie </w:t>
      </w:r>
      <w:r w:rsidR="007D4326" w:rsidRPr="003D1E07">
        <w:rPr>
          <w:i/>
        </w:rPr>
        <w:fldChar w:fldCharType="begin"/>
      </w:r>
      <w:r w:rsidR="007D4326" w:rsidRPr="003D1E07">
        <w:instrText xml:space="preserve"> XE "hermeneutická triáda" </w:instrText>
      </w:r>
      <w:r w:rsidR="007D4326" w:rsidRPr="003D1E07">
        <w:rPr>
          <w:i/>
        </w:rPr>
        <w:fldChar w:fldCharType="end"/>
      </w:r>
      <w:r w:rsidR="007D4326" w:rsidRPr="003D1E07">
        <w:t xml:space="preserve"> zkoumá změny náhledu uvnitř metafyziky. Výklad začal od skrytého zakládajícího dění dějinnosti</w:t>
      </w:r>
      <w:r w:rsidR="007D4326" w:rsidRPr="003D1E07">
        <w:rPr>
          <w:i/>
        </w:rPr>
        <w:t xml:space="preserve"> </w:t>
      </w:r>
      <w:r w:rsidR="007D4326" w:rsidRPr="003D1E07">
        <w:t>v rámci hermeneuticky zkoumané po</w:t>
      </w:r>
      <w:r w:rsidR="007D4326" w:rsidRPr="003D1E07">
        <w:noBreakHyphen/>
        <w:t xml:space="preserve">odkrytosti metafyziky vztažené k dění původního </w:t>
      </w:r>
      <w:r w:rsidR="007D4326" w:rsidRPr="003D1E07">
        <w:rPr>
          <w:i/>
        </w:rPr>
        <w:t>Lichtung</w:t>
      </w:r>
      <w:r w:rsidR="007D4326" w:rsidRPr="003D1E07">
        <w:t xml:space="preserve"> skrze archegetický dativ. Metafyzika s jí vlastní dějinností vzniká díky složitému vztahu určenému principiálním dativem první filosofie. Toto dění samotného bytí  určuje epochální obraty dějin</w:t>
      </w:r>
      <w:r w:rsidR="007D4326" w:rsidRPr="003D1E07">
        <w:rPr>
          <w:i/>
        </w:rPr>
        <w:t xml:space="preserve"> </w:t>
      </w:r>
      <w:r w:rsidR="007D4326" w:rsidRPr="003D1E07">
        <w:t>filosofického</w:t>
      </w:r>
      <w:r w:rsidR="007D4326" w:rsidRPr="003D1E07">
        <w:rPr>
          <w:i/>
        </w:rPr>
        <w:t xml:space="preserve"> </w:t>
      </w:r>
      <w:r w:rsidR="007D4326" w:rsidRPr="003D1E07">
        <w:t xml:space="preserve">myšlení i skrze pozitivně manifestovanou objektivitu. Hermeneutika objektivity po vzoru Heideggera určuje základní způsob, jak je objektivní výměr jsoucna ustaven v prostoru epochálně daného </w:t>
      </w:r>
      <w:r w:rsidR="007D4326" w:rsidRPr="003D1E07">
        <w:rPr>
          <w:i/>
        </w:rPr>
        <w:t>Lichtung</w:t>
      </w:r>
      <w:r w:rsidR="007D4326" w:rsidRPr="003D1E07">
        <w:t>. Po-odhalenost múzické pravdy a nepravdy, jsoucna a nejsoucna (</w:t>
      </w:r>
      <w:r w:rsidR="007D4326" w:rsidRPr="003D1E07">
        <w:rPr>
          <w:i/>
        </w:rPr>
        <w:t>tertium ens</w:t>
      </w:r>
      <w:r w:rsidR="007D4326" w:rsidRPr="003D1E07">
        <w:t xml:space="preserve">) vyvádí stále nové formy metafyziky do zjevnosti dějin. </w:t>
      </w:r>
    </w:p>
    <w:p w14:paraId="5E79F838" w14:textId="77777777" w:rsidR="00156FF7" w:rsidRPr="003D1E07" w:rsidRDefault="08A678DB" w:rsidP="00156FF7">
      <w:pPr>
        <w:pStyle w:val="Nadpis2"/>
        <w:rPr>
          <w:lang w:val="cs-CZ"/>
        </w:rPr>
      </w:pPr>
      <w:r w:rsidRPr="003D1E07">
        <w:rPr>
          <w:lang w:val="cs-CZ"/>
        </w:rPr>
        <w:br w:type="page"/>
      </w:r>
      <w:bookmarkStart w:id="18" w:name="_Toc93747269"/>
      <w:bookmarkStart w:id="19" w:name="_Toc102906159"/>
      <w:r w:rsidR="08AF6B7D" w:rsidRPr="003D1E07">
        <w:rPr>
          <w:lang w:val="cs-CZ"/>
        </w:rPr>
        <w:lastRenderedPageBreak/>
        <w:t>1.3</w:t>
      </w:r>
      <w:r w:rsidR="00CE52CD" w:rsidRPr="003D1E07">
        <w:rPr>
          <w:lang w:val="cs-CZ"/>
        </w:rPr>
        <w:t xml:space="preserve"> Prehistorie </w:t>
      </w:r>
      <w:r w:rsidR="007F7AFD" w:rsidRPr="003D1E07">
        <w:rPr>
          <w:lang w:val="cs-CZ"/>
        </w:rPr>
        <w:t>objektivity</w:t>
      </w:r>
      <w:bookmarkEnd w:id="18"/>
      <w:bookmarkEnd w:id="19"/>
    </w:p>
    <w:p w14:paraId="08345B48" w14:textId="412AF8E8" w:rsidR="08325241" w:rsidRPr="003D1E07" w:rsidRDefault="00016C37" w:rsidP="00E918E2">
      <w:r w:rsidRPr="003D1E07">
        <w:t xml:space="preserve">Začátek </w:t>
      </w:r>
      <w:r w:rsidR="006B74BB" w:rsidRPr="003D1E07">
        <w:t>o</w:t>
      </w:r>
      <w:r w:rsidRPr="003D1E07">
        <w:t>bjektiv</w:t>
      </w:r>
      <w:r w:rsidR="006B74BB" w:rsidRPr="003D1E07">
        <w:t xml:space="preserve">ity </w:t>
      </w:r>
      <w:r w:rsidR="085C6A44" w:rsidRPr="003D1E07">
        <w:t>lze datovat rokem</w:t>
      </w:r>
      <w:r w:rsidR="008B6D76" w:rsidRPr="003D1E07">
        <w:t xml:space="preserve"> 268, kdy Porfy</w:t>
      </w:r>
      <w:r w:rsidRPr="003D1E07">
        <w:t>rius</w:t>
      </w:r>
      <w:r w:rsidR="006D3721" w:rsidRPr="003D1E07">
        <w:fldChar w:fldCharType="begin"/>
      </w:r>
      <w:r w:rsidR="006D3721" w:rsidRPr="003D1E07">
        <w:instrText xml:space="preserve"> XE "</w:instrText>
      </w:r>
      <w:r w:rsidR="08CE5A60" w:rsidRPr="003D1E07">
        <w:instrText>Porfyrius:</w:instrText>
      </w:r>
      <w:r w:rsidR="00554E31" w:rsidRPr="003D1E07">
        <w:instrText xml:space="preserve">viz </w:instrText>
      </w:r>
      <w:r w:rsidR="00554E31" w:rsidRPr="003D1E07">
        <w:rPr>
          <w:i/>
        </w:rPr>
        <w:instrText>Index locorum</w:instrText>
      </w:r>
      <w:r w:rsidR="006D3721" w:rsidRPr="003D1E07">
        <w:instrText xml:space="preserve">" </w:instrText>
      </w:r>
      <w:r w:rsidR="006D3721" w:rsidRPr="003D1E07">
        <w:fldChar w:fldCharType="end"/>
      </w:r>
      <w:r w:rsidRPr="003D1E07">
        <w:t xml:space="preserve"> op</w:t>
      </w:r>
      <w:r w:rsidR="008B6D76" w:rsidRPr="003D1E07">
        <w:t>ouští Ploti</w:t>
      </w:r>
      <w:r w:rsidRPr="003D1E07">
        <w:t xml:space="preserve">novu akademii v Římě kvůli zásadním neshodám ve výkladu Aristotelovy filosofie. V domě římského mecenáše Proba v sicilské Marsale píše dvě dochovaná pojednání k Aristotelovým </w:t>
      </w:r>
      <w:r w:rsidRPr="003D1E07">
        <w:rPr>
          <w:i/>
        </w:rPr>
        <w:t>Kategoriím</w:t>
      </w:r>
      <w:r w:rsidRPr="003D1E07">
        <w:t xml:space="preserve"> (</w:t>
      </w:r>
      <w:r w:rsidR="008B6D76" w:rsidRPr="003D1E07">
        <w:rPr>
          <w:i/>
        </w:rPr>
        <w:t>Isagoge</w:t>
      </w:r>
      <w:r w:rsidRPr="003D1E07">
        <w:t xml:space="preserve">, </w:t>
      </w:r>
      <w:r w:rsidRPr="003D1E07">
        <w:rPr>
          <w:i/>
        </w:rPr>
        <w:t>In Aristotelis categorias expositio</w:t>
      </w:r>
      <w:r w:rsidRPr="003D1E07">
        <w:t xml:space="preserve">). Oba traktáty společně s nedochovaným komentářem ke </w:t>
      </w:r>
      <w:r w:rsidRPr="003D1E07">
        <w:rPr>
          <w:i/>
        </w:rPr>
        <w:t>Kategori</w:t>
      </w:r>
      <w:r w:rsidR="00807096" w:rsidRPr="003D1E07">
        <w:rPr>
          <w:i/>
        </w:rPr>
        <w:t>ím</w:t>
      </w:r>
      <w:r w:rsidR="00807096" w:rsidRPr="003D1E07">
        <w:t xml:space="preserve"> věnovaným Gedaliovi zahájily</w:t>
      </w:r>
      <w:r w:rsidRPr="003D1E07">
        <w:t xml:space="preserve"> dějinnou proměnu jsoucna na jeho objektivní podobu. </w:t>
      </w:r>
      <w:r w:rsidR="081920B6" w:rsidRPr="003D1E07">
        <w:t xml:space="preserve">Devalvace první substance způsobila gigantomachii mezi aristoteliky a platoniky v Plotinově škole, kvůli které musel Porfyrius odejít z Říma. </w:t>
      </w:r>
      <w:r w:rsidRPr="003D1E07">
        <w:t xml:space="preserve">Spor </w:t>
      </w:r>
      <w:r w:rsidR="00807096" w:rsidRPr="003D1E07">
        <w:t>Porfy</w:t>
      </w:r>
      <w:r w:rsidRPr="003D1E07">
        <w:t xml:space="preserve">ria s neoplatoniky </w:t>
      </w:r>
      <w:r w:rsidR="00807096" w:rsidRPr="003D1E07">
        <w:t>se týkal status</w:t>
      </w:r>
      <w:r w:rsidRPr="003D1E07">
        <w:t xml:space="preserve">u kategorií podaného v šesté knize </w:t>
      </w:r>
      <w:r w:rsidRPr="003D1E07">
        <w:rPr>
          <w:i/>
        </w:rPr>
        <w:t>Enneád</w:t>
      </w:r>
      <w:r w:rsidRPr="003D1E07">
        <w:t xml:space="preserve"> (</w:t>
      </w:r>
      <w:r w:rsidRPr="003D1E07">
        <w:rPr>
          <w:i/>
        </w:rPr>
        <w:t>Enn</w:t>
      </w:r>
      <w:r w:rsidR="006D3721" w:rsidRPr="003D1E07">
        <w:t>. VI.1–3</w:t>
      </w:r>
      <w:r w:rsidR="00554E31" w:rsidRPr="003D1E07">
        <w:fldChar w:fldCharType="begin"/>
      </w:r>
      <w:r w:rsidR="00554E31" w:rsidRPr="003D1E07">
        <w:instrText xml:space="preserve"> XE "</w:instrText>
      </w:r>
      <w:r w:rsidR="08F72573" w:rsidRPr="003D1E07">
        <w:instrText>Plotinos</w:instrText>
      </w:r>
      <w:r w:rsidR="00554E31" w:rsidRPr="003D1E07">
        <w:instrText>:</w:instrText>
      </w:r>
      <w:r w:rsidR="00554E31" w:rsidRPr="003D1E07">
        <w:rPr>
          <w:i/>
        </w:rPr>
        <w:instrText>Enn</w:instrText>
      </w:r>
      <w:r w:rsidR="00976C0C" w:rsidRPr="003D1E07">
        <w:instrText>. 6</w:instrText>
      </w:r>
      <w:r w:rsidR="00554E31" w:rsidRPr="003D1E07">
        <w:instrText xml:space="preserve">.1–3" </w:instrText>
      </w:r>
      <w:r w:rsidR="00554E31" w:rsidRPr="003D1E07">
        <w:fldChar w:fldCharType="end"/>
      </w:r>
      <w:r w:rsidRPr="003D1E07">
        <w:t xml:space="preserve">). </w:t>
      </w:r>
      <w:r w:rsidR="00807096" w:rsidRPr="003D1E07">
        <w:t>Ploti</w:t>
      </w:r>
      <w:r w:rsidRPr="003D1E07">
        <w:t>nos</w:t>
      </w:r>
      <w:r w:rsidR="00A70FA4" w:rsidRPr="003D1E07">
        <w:fldChar w:fldCharType="begin"/>
      </w:r>
      <w:r w:rsidR="00A70FA4" w:rsidRPr="003D1E07">
        <w:instrText xml:space="preserve"> XE "</w:instrText>
      </w:r>
      <w:r w:rsidR="08F72573" w:rsidRPr="003D1E07">
        <w:instrText>Plotinos</w:instrText>
      </w:r>
      <w:r w:rsidR="00554E31" w:rsidRPr="003D1E07">
        <w:instrText xml:space="preserve">:viz </w:instrText>
      </w:r>
      <w:r w:rsidR="00554E31" w:rsidRPr="003D1E07">
        <w:rPr>
          <w:i/>
        </w:rPr>
        <w:instrText>Index locorum</w:instrText>
      </w:r>
      <w:r w:rsidR="00A70FA4" w:rsidRPr="003D1E07">
        <w:instrText xml:space="preserve">" </w:instrText>
      </w:r>
      <w:r w:rsidR="00A70FA4" w:rsidRPr="003D1E07">
        <w:fldChar w:fldCharType="end"/>
      </w:r>
      <w:r w:rsidRPr="003D1E07">
        <w:t xml:space="preserve"> přímo nekomentoval Aristotelovy spisy, ale </w:t>
      </w:r>
      <w:r w:rsidR="08DA00BE" w:rsidRPr="003D1E07">
        <w:t>kategoriální predikaci</w:t>
      </w:r>
      <w:r w:rsidRPr="003D1E07">
        <w:t xml:space="preserve"> chápal podle dialogu </w:t>
      </w:r>
      <w:r w:rsidR="00807096" w:rsidRPr="003D1E07">
        <w:rPr>
          <w:i/>
        </w:rPr>
        <w:t>Sofiste</w:t>
      </w:r>
      <w:r w:rsidRPr="003D1E07">
        <w:rPr>
          <w:i/>
        </w:rPr>
        <w:t>s</w:t>
      </w:r>
      <w:r w:rsidRPr="003D1E07">
        <w:t xml:space="preserve"> </w:t>
      </w:r>
      <w:r w:rsidR="00FF144B" w:rsidRPr="003D1E07">
        <w:t>jako rody jsoucna</w:t>
      </w:r>
      <w:r w:rsidR="00FE230E" w:rsidRPr="003D1E07">
        <w:t xml:space="preserve">. </w:t>
      </w:r>
      <w:r w:rsidRPr="003D1E07">
        <w:rPr>
          <w:i/>
        </w:rPr>
        <w:t>Enneády</w:t>
      </w:r>
      <w:r w:rsidRPr="003D1E07">
        <w:t xml:space="preserve"> zredukovaly</w:t>
      </w:r>
      <w:r w:rsidR="004C4D15" w:rsidRPr="003D1E07">
        <w:t xml:space="preserve"> deset </w:t>
      </w:r>
      <w:r w:rsidR="00A50398" w:rsidRPr="003D1E07">
        <w:t xml:space="preserve">aristotelských </w:t>
      </w:r>
      <w:r w:rsidR="004C4D15" w:rsidRPr="003D1E07">
        <w:t>kategorií na Plato</w:t>
      </w:r>
      <w:r w:rsidR="08776A98" w:rsidRPr="003D1E07">
        <w:t>novu nauku pěti hlavních rodů</w:t>
      </w:r>
      <w:r w:rsidRPr="003D1E07">
        <w:t xml:space="preserve"> (μέγιστα γένη, </w:t>
      </w:r>
      <w:r w:rsidRPr="003D1E07">
        <w:rPr>
          <w:i/>
        </w:rPr>
        <w:t>Soph.</w:t>
      </w:r>
      <w:r w:rsidRPr="003D1E07">
        <w:t xml:space="preserve"> 254d</w:t>
      </w:r>
      <w:r w:rsidR="00554E31" w:rsidRPr="003D1E07">
        <w:fldChar w:fldCharType="begin"/>
      </w:r>
      <w:r w:rsidR="00554E31" w:rsidRPr="003D1E07">
        <w:instrText xml:space="preserve"> XE "</w:instrText>
      </w:r>
      <w:r w:rsidR="008E02F5" w:rsidRPr="003D1E07">
        <w:instrText>Platon</w:instrText>
      </w:r>
      <w:r w:rsidR="00554E31" w:rsidRPr="003D1E07">
        <w:instrText>:</w:instrText>
      </w:r>
      <w:r w:rsidR="00554E31" w:rsidRPr="003D1E07">
        <w:rPr>
          <w:i/>
        </w:rPr>
        <w:instrText>Soph.</w:instrText>
      </w:r>
      <w:r w:rsidR="00554E31" w:rsidRPr="003D1E07">
        <w:instrText xml:space="preserve"> 254d" </w:instrText>
      </w:r>
      <w:r w:rsidR="00554E31" w:rsidRPr="003D1E07">
        <w:fldChar w:fldCharType="end"/>
      </w:r>
      <w:r w:rsidRPr="003D1E07">
        <w:t xml:space="preserve">). Jejich status pak vyšetřují vzhledem ke smyslové substanci, kterou </w:t>
      </w:r>
      <w:r w:rsidR="08776A98" w:rsidRPr="003D1E07">
        <w:t>Plotinos</w:t>
      </w:r>
      <w:r w:rsidR="08776A98" w:rsidRPr="003D1E07">
        <w:fldChar w:fldCharType="begin"/>
      </w:r>
      <w:r w:rsidR="08776A98" w:rsidRPr="003D1E07">
        <w:instrText xml:space="preserve"> XE "</w:instrText>
      </w:r>
      <w:r w:rsidR="08F72573" w:rsidRPr="003D1E07">
        <w:instrText>Plotinos</w:instrText>
      </w:r>
      <w:r w:rsidR="08776A98" w:rsidRPr="003D1E07">
        <w:instrText xml:space="preserve">:viz </w:instrText>
      </w:r>
      <w:r w:rsidR="08776A98" w:rsidRPr="003D1E07">
        <w:rPr>
          <w:i/>
        </w:rPr>
        <w:instrText>Index locorum</w:instrText>
      </w:r>
      <w:r w:rsidR="08776A98" w:rsidRPr="003D1E07">
        <w:instrText xml:space="preserve">" </w:instrText>
      </w:r>
      <w:r w:rsidR="08776A98" w:rsidRPr="003D1E07">
        <w:fldChar w:fldCharType="end"/>
      </w:r>
      <w:r w:rsidR="08776A98" w:rsidRPr="003D1E07">
        <w:t xml:space="preserve"> prohlásil</w:t>
      </w:r>
      <w:r w:rsidRPr="003D1E07">
        <w:t xml:space="preserve"> za nižší rod v říši vznikání a zanikání (γιγνέσθω γένη οὐ πρῶτα, </w:t>
      </w:r>
      <w:r w:rsidRPr="003D1E07">
        <w:rPr>
          <w:i/>
        </w:rPr>
        <w:t>Enn.</w:t>
      </w:r>
      <w:r w:rsidRPr="003D1E07">
        <w:t xml:space="preserve"> 6.2.15.18</w:t>
      </w:r>
      <w:r w:rsidR="00554E31" w:rsidRPr="003D1E07">
        <w:fldChar w:fldCharType="begin"/>
      </w:r>
      <w:r w:rsidR="00554E31" w:rsidRPr="003D1E07">
        <w:instrText xml:space="preserve"> XE "</w:instrText>
      </w:r>
      <w:r w:rsidR="08F72573" w:rsidRPr="003D1E07">
        <w:instrText>Plotinos</w:instrText>
      </w:r>
      <w:r w:rsidR="00554E31" w:rsidRPr="003D1E07">
        <w:instrText>:</w:instrText>
      </w:r>
      <w:r w:rsidR="00554E31" w:rsidRPr="003D1E07">
        <w:rPr>
          <w:i/>
        </w:rPr>
        <w:instrText>Enn.</w:instrText>
      </w:r>
      <w:r w:rsidR="00554E31" w:rsidRPr="003D1E07">
        <w:instrText xml:space="preserve"> 6.2.15.18" </w:instrText>
      </w:r>
      <w:r w:rsidR="00554E31" w:rsidRPr="003D1E07">
        <w:fldChar w:fldCharType="end"/>
      </w:r>
      <w:r w:rsidRPr="003D1E07">
        <w:t xml:space="preserve">). </w:t>
      </w:r>
      <w:r w:rsidR="08BD3CC1" w:rsidRPr="003D1E07">
        <w:t>N</w:t>
      </w:r>
      <w:r w:rsidR="004C4D15" w:rsidRPr="003D1E07">
        <w:t xml:space="preserve">ejvyšší rody se </w:t>
      </w:r>
      <w:r w:rsidRPr="003D1E07">
        <w:t xml:space="preserve">staly nezávislou entitou, která je do jisté míry obsažena v jednotlivinách (τὸ γένει ἓν ὡς ἐν πολλοῖς ὅλον, </w:t>
      </w:r>
      <w:r w:rsidRPr="003D1E07">
        <w:rPr>
          <w:i/>
        </w:rPr>
        <w:t>Enn</w:t>
      </w:r>
      <w:r w:rsidRPr="003D1E07">
        <w:t>. 6.2.12.12</w:t>
      </w:r>
      <w:r w:rsidR="08B94771" w:rsidRPr="003D1E07">
        <w:fldChar w:fldCharType="begin"/>
      </w:r>
      <w:r w:rsidR="08B94771" w:rsidRPr="003D1E07">
        <w:instrText xml:space="preserve"> XE "Plotinos:</w:instrText>
      </w:r>
      <w:r w:rsidR="08B94771" w:rsidRPr="003D1E07">
        <w:rPr>
          <w:i/>
        </w:rPr>
        <w:instrText>Enn.</w:instrText>
      </w:r>
      <w:r w:rsidR="08B94771" w:rsidRPr="003D1E07">
        <w:instrText xml:space="preserve"> 6.2.12.12" </w:instrText>
      </w:r>
      <w:r w:rsidR="08B94771" w:rsidRPr="003D1E07">
        <w:fldChar w:fldCharType="end"/>
      </w:r>
      <w:r w:rsidRPr="003D1E07">
        <w:t>). Hypostatické bytí univerzálií zajišťuje, že nejvyšší r</w:t>
      </w:r>
      <w:r w:rsidR="003D09BC">
        <w:t xml:space="preserve">ody existují </w:t>
      </w:r>
      <w:r w:rsidR="086E1467" w:rsidRPr="003D1E07">
        <w:t xml:space="preserve">v modu </w:t>
      </w:r>
      <w:r w:rsidRPr="003D1E07">
        <w:rPr>
          <w:i/>
        </w:rPr>
        <w:t>per se</w:t>
      </w:r>
      <w:r w:rsidR="00C52CA4" w:rsidRPr="003D1E07">
        <w:t xml:space="preserve"> </w:t>
      </w:r>
      <w:r w:rsidR="003D09BC">
        <w:t xml:space="preserve">a to </w:t>
      </w:r>
      <w:r w:rsidR="00C52CA4" w:rsidRPr="003D1E07">
        <w:t xml:space="preserve">v podobě </w:t>
      </w:r>
      <w:r w:rsidR="086E1467" w:rsidRPr="003D1E07">
        <w:t xml:space="preserve">oddělených </w:t>
      </w:r>
      <w:r w:rsidR="00C52CA4" w:rsidRPr="003D1E07">
        <w:t>hypostázovaných forem</w:t>
      </w:r>
      <w:r w:rsidR="003D09BC">
        <w:t xml:space="preserve">; dále existují </w:t>
      </w:r>
      <w:r w:rsidRPr="003D1E07">
        <w:t xml:space="preserve">skrze akt participace v </w:t>
      </w:r>
      <w:r w:rsidR="086E1467" w:rsidRPr="003D1E07">
        <w:t xml:space="preserve">materiálních </w:t>
      </w:r>
      <w:r w:rsidRPr="003D1E07">
        <w:t xml:space="preserve">jednotlivinách (καὶ καθ' αὑτὸ καὶ ἐν τοῖς μετέχουσιν, </w:t>
      </w:r>
      <w:r w:rsidRPr="003D1E07">
        <w:rPr>
          <w:i/>
        </w:rPr>
        <w:t>Enn.</w:t>
      </w:r>
      <w:r w:rsidRPr="003D1E07">
        <w:t xml:space="preserve"> 6.2.12.13–14</w:t>
      </w:r>
      <w:r w:rsidR="00554E31" w:rsidRPr="003D1E07">
        <w:fldChar w:fldCharType="begin"/>
      </w:r>
      <w:r w:rsidR="00554E31" w:rsidRPr="003D1E07">
        <w:instrText xml:space="preserve"> XE "</w:instrText>
      </w:r>
      <w:r w:rsidR="08F72573" w:rsidRPr="003D1E07">
        <w:instrText>Plotinos</w:instrText>
      </w:r>
      <w:r w:rsidR="00554E31" w:rsidRPr="003D1E07">
        <w:instrText>:</w:instrText>
      </w:r>
      <w:r w:rsidR="00554E31" w:rsidRPr="003D1E07">
        <w:rPr>
          <w:i/>
        </w:rPr>
        <w:instrText>Enn.</w:instrText>
      </w:r>
      <w:r w:rsidR="00554E31" w:rsidRPr="003D1E07">
        <w:instrText xml:space="preserve"> 6.2.15.13‒14" </w:instrText>
      </w:r>
      <w:r w:rsidR="00554E31" w:rsidRPr="003D1E07">
        <w:fldChar w:fldCharType="end"/>
      </w:r>
      <w:r w:rsidRPr="003D1E07">
        <w:t xml:space="preserve">). Jednotlivina </w:t>
      </w:r>
      <w:r w:rsidR="00063287" w:rsidRPr="003D1E07">
        <w:t>kvůli nižšímu</w:t>
      </w:r>
      <w:r w:rsidR="00EF43B5" w:rsidRPr="003D1E07">
        <w:t xml:space="preserve"> gener</w:t>
      </w:r>
      <w:r w:rsidR="00063287" w:rsidRPr="003D1E07">
        <w:t>ickému</w:t>
      </w:r>
      <w:r w:rsidR="004C4D15" w:rsidRPr="003D1E07">
        <w:t xml:space="preserve"> status</w:t>
      </w:r>
      <w:r w:rsidR="00EF43B5" w:rsidRPr="003D1E07">
        <w:t xml:space="preserve">u </w:t>
      </w:r>
      <w:r w:rsidRPr="003D1E07">
        <w:t>nemůže existovat bez participace na</w:t>
      </w:r>
      <w:r w:rsidR="00063287" w:rsidRPr="003D1E07">
        <w:t xml:space="preserve"> rodu. A</w:t>
      </w:r>
      <w:r w:rsidRPr="003D1E07">
        <w:t xml:space="preserve">le rod může existovat bez jednotliviny, protože existuje </w:t>
      </w:r>
      <w:r w:rsidR="00063287" w:rsidRPr="003D1E07">
        <w:rPr>
          <w:i/>
        </w:rPr>
        <w:t>per se</w:t>
      </w:r>
      <w:r w:rsidR="00063287" w:rsidRPr="003D1E07">
        <w:t xml:space="preserve"> díky aktu</w:t>
      </w:r>
      <w:r w:rsidRPr="003D1E07">
        <w:t xml:space="preserve"> vlastní subsistence</w:t>
      </w:r>
      <w:r w:rsidR="00015564" w:rsidRPr="003D1E07">
        <w:fldChar w:fldCharType="begin"/>
      </w:r>
      <w:r w:rsidR="00015564" w:rsidRPr="003D1E07">
        <w:instrText xml:space="preserve"> XE "subsistence" </w:instrText>
      </w:r>
      <w:r w:rsidR="00015564" w:rsidRPr="003D1E07">
        <w:fldChar w:fldCharType="end"/>
      </w:r>
      <w:r w:rsidRPr="003D1E07">
        <w:t xml:space="preserve"> (καθ' αὑτὸ). </w:t>
      </w:r>
      <w:r w:rsidR="00D90A10" w:rsidRPr="003D1E07">
        <w:t>Materiální substance představu</w:t>
      </w:r>
      <w:r w:rsidR="08C248C8" w:rsidRPr="003D1E07">
        <w:t>je nižší rod bytí a kategorie substance</w:t>
      </w:r>
      <w:r w:rsidR="00D90A10" w:rsidRPr="003D1E07">
        <w:t xml:space="preserve"> k ní patří </w:t>
      </w:r>
      <w:r w:rsidR="08C248C8" w:rsidRPr="003D1E07">
        <w:t xml:space="preserve">pouze </w:t>
      </w:r>
      <w:r w:rsidR="00D90A10" w:rsidRPr="003D1E07">
        <w:t xml:space="preserve">homonymicky a analogicky (κατ' ἀναλογίαν καὶ ὁμωνύμως, </w:t>
      </w:r>
      <w:r w:rsidR="00D90A10" w:rsidRPr="003D1E07">
        <w:rPr>
          <w:i/>
        </w:rPr>
        <w:t>Enn</w:t>
      </w:r>
      <w:r w:rsidR="00D90A10" w:rsidRPr="003D1E07">
        <w:t>. 6.3.5.2–3</w:t>
      </w:r>
      <w:r w:rsidR="00D90A10" w:rsidRPr="003D1E07">
        <w:fldChar w:fldCharType="begin"/>
      </w:r>
      <w:r w:rsidR="00D90A10" w:rsidRPr="003D1E07">
        <w:instrText xml:space="preserve"> XE "</w:instrText>
      </w:r>
      <w:r w:rsidR="08F72573" w:rsidRPr="003D1E07">
        <w:instrText>Plotinos</w:instrText>
      </w:r>
      <w:r w:rsidR="00D90A10" w:rsidRPr="003D1E07">
        <w:instrText>:</w:instrText>
      </w:r>
      <w:r w:rsidR="00D90A10" w:rsidRPr="003D1E07">
        <w:rPr>
          <w:i/>
        </w:rPr>
        <w:instrText>Enn.</w:instrText>
      </w:r>
      <w:r w:rsidR="00D90A10" w:rsidRPr="003D1E07">
        <w:instrText xml:space="preserve"> 6.3.5.2‒3" </w:instrText>
      </w:r>
      <w:r w:rsidR="00D90A10" w:rsidRPr="003D1E07">
        <w:fldChar w:fldCharType="end"/>
      </w:r>
      <w:r w:rsidR="00D90A10" w:rsidRPr="003D1E07">
        <w:t xml:space="preserve">). </w:t>
      </w:r>
      <w:r w:rsidR="003B3117" w:rsidRPr="003D1E07">
        <w:t>S</w:t>
      </w:r>
      <w:r w:rsidRPr="003D1E07">
        <w:t>myslově vnímané substance</w:t>
      </w:r>
      <w:r w:rsidR="00A70FA4" w:rsidRPr="003D1E07">
        <w:fldChar w:fldCharType="begin"/>
      </w:r>
      <w:r w:rsidR="00A70FA4" w:rsidRPr="003D1E07">
        <w:instrText xml:space="preserve"> XE "substance:</w:instrText>
      </w:r>
      <w:r w:rsidR="08F72573" w:rsidRPr="003D1E07">
        <w:instrText>Plotinos</w:instrText>
      </w:r>
      <w:r w:rsidR="00A70FA4" w:rsidRPr="003D1E07">
        <w:instrText xml:space="preserve">" </w:instrText>
      </w:r>
      <w:r w:rsidR="00A70FA4" w:rsidRPr="003D1E07">
        <w:fldChar w:fldCharType="end"/>
      </w:r>
      <w:r w:rsidRPr="003D1E07">
        <w:t xml:space="preserve"> </w:t>
      </w:r>
      <w:r w:rsidR="000015D6" w:rsidRPr="003D1E07">
        <w:t>předst</w:t>
      </w:r>
      <w:r w:rsidR="003B3117" w:rsidRPr="003D1E07">
        <w:t>a</w:t>
      </w:r>
      <w:r w:rsidR="000015D6" w:rsidRPr="003D1E07">
        <w:t>v</w:t>
      </w:r>
      <w:r w:rsidR="003B3117" w:rsidRPr="003D1E07">
        <w:t xml:space="preserve">ují </w:t>
      </w:r>
      <w:r w:rsidR="08C248C8" w:rsidRPr="003D1E07">
        <w:t xml:space="preserve">v Plotinově nauce </w:t>
      </w:r>
      <w:r w:rsidR="08BD3CC1" w:rsidRPr="003D1E07">
        <w:t xml:space="preserve">pouze </w:t>
      </w:r>
      <w:r w:rsidR="08C248C8" w:rsidRPr="003D1E07">
        <w:fldChar w:fldCharType="begin"/>
      </w:r>
      <w:r w:rsidR="08C248C8" w:rsidRPr="003D1E07">
        <w:instrText xml:space="preserve"> XE "</w:instrText>
      </w:r>
      <w:r w:rsidR="08F72573" w:rsidRPr="003D1E07">
        <w:instrText>Plotinos</w:instrText>
      </w:r>
      <w:r w:rsidR="08C248C8" w:rsidRPr="003D1E07">
        <w:instrText xml:space="preserve">:viz </w:instrText>
      </w:r>
      <w:r w:rsidR="08C248C8" w:rsidRPr="003D1E07">
        <w:rPr>
          <w:i/>
        </w:rPr>
        <w:instrText>Index locorum</w:instrText>
      </w:r>
      <w:r w:rsidR="08C248C8" w:rsidRPr="003D1E07">
        <w:instrText xml:space="preserve">" </w:instrText>
      </w:r>
      <w:r w:rsidR="08C248C8" w:rsidRPr="003D1E07">
        <w:fldChar w:fldCharType="end"/>
      </w:r>
      <w:r w:rsidRPr="003D1E07">
        <w:t>svaze</w:t>
      </w:r>
      <w:r w:rsidR="003B3117" w:rsidRPr="003D1E07">
        <w:t xml:space="preserve">k akcidentálních určení, což </w:t>
      </w:r>
      <w:r w:rsidR="000015D6" w:rsidRPr="003D1E07">
        <w:t>z</w:t>
      </w:r>
      <w:r w:rsidRPr="003D1E07">
        <w:t xml:space="preserve"> </w:t>
      </w:r>
      <w:r w:rsidR="003B3117" w:rsidRPr="003D1E07">
        <w:t xml:space="preserve">Aristotelovy </w:t>
      </w:r>
      <w:r w:rsidRPr="003D1E07">
        <w:t xml:space="preserve">substance udělalo proměnlivý a nestálý fenomén bez </w:t>
      </w:r>
      <w:r w:rsidR="08D7069E" w:rsidRPr="003D1E07">
        <w:t>pevně vymezené</w:t>
      </w:r>
      <w:r w:rsidR="003B3117" w:rsidRPr="003D1E07">
        <w:t xml:space="preserve"> </w:t>
      </w:r>
      <w:r w:rsidRPr="003D1E07">
        <w:t>pravdivostní</w:t>
      </w:r>
      <w:r w:rsidR="08D7069E" w:rsidRPr="003D1E07">
        <w:t xml:space="preserve"> hodnoty</w:t>
      </w:r>
      <w:r w:rsidRPr="003D1E07">
        <w:t xml:space="preserve"> (οὐδὲ γὰρ τὸ ὅλον ἀληθὴς οὐσία, </w:t>
      </w:r>
      <w:r w:rsidRPr="003D1E07">
        <w:rPr>
          <w:i/>
        </w:rPr>
        <w:t>Enn</w:t>
      </w:r>
      <w:r w:rsidRPr="003D1E07">
        <w:t>.</w:t>
      </w:r>
      <w:r w:rsidRPr="003D1E07">
        <w:rPr>
          <w:rFonts w:ascii="CMTI10" w:hAnsi="CMTI10" w:cs="CMTI10"/>
        </w:rPr>
        <w:t xml:space="preserve"> </w:t>
      </w:r>
      <w:r w:rsidR="00DB17ED" w:rsidRPr="003D1E07">
        <w:t>6.3.8.32</w:t>
      </w:r>
      <w:r w:rsidR="00554E31" w:rsidRPr="003D1E07">
        <w:fldChar w:fldCharType="begin"/>
      </w:r>
      <w:r w:rsidR="00554E31" w:rsidRPr="003D1E07">
        <w:instrText xml:space="preserve"> XE "</w:instrText>
      </w:r>
      <w:r w:rsidR="08F72573" w:rsidRPr="003D1E07">
        <w:instrText>Plotinos</w:instrText>
      </w:r>
      <w:r w:rsidR="00554E31" w:rsidRPr="003D1E07">
        <w:instrText>:</w:instrText>
      </w:r>
      <w:r w:rsidR="00554E31" w:rsidRPr="003D1E07">
        <w:rPr>
          <w:i/>
        </w:rPr>
        <w:instrText>Enn.</w:instrText>
      </w:r>
      <w:r w:rsidR="00554E31" w:rsidRPr="003D1E07">
        <w:instrText xml:space="preserve"> 6.3.</w:instrText>
      </w:r>
      <w:r w:rsidR="00DB17ED" w:rsidRPr="003D1E07">
        <w:instrText>8.32</w:instrText>
      </w:r>
      <w:r w:rsidR="00554E31" w:rsidRPr="003D1E07">
        <w:instrText xml:space="preserve">" </w:instrText>
      </w:r>
      <w:r w:rsidR="00554E31" w:rsidRPr="003D1E07">
        <w:fldChar w:fldCharType="end"/>
      </w:r>
      <w:r w:rsidRPr="003D1E07">
        <w:t xml:space="preserve">). Smyslově vnímaná substance </w:t>
      </w:r>
      <w:r w:rsidR="004C4D15" w:rsidRPr="003D1E07">
        <w:t>představuje pro Ploti</w:t>
      </w:r>
      <w:r w:rsidR="085961AE" w:rsidRPr="003D1E07">
        <w:t xml:space="preserve">na pouhou </w:t>
      </w:r>
      <w:r w:rsidR="003B3117" w:rsidRPr="003D1E07">
        <w:t>pseudo-substanci</w:t>
      </w:r>
      <w:r w:rsidRPr="003D1E07">
        <w:t>, o které něco vypovídáme z hlediska proměnlivosti a nestálosti (δὲ ταῦτα περὶ τῆς ἐνθάδε οὐσίας λεγομένης,</w:t>
      </w:r>
      <w:r w:rsidRPr="003D1E07">
        <w:rPr>
          <w:rFonts w:ascii="Times New Roman" w:eastAsia="Times New Roman" w:hAnsi="Times New Roman"/>
          <w:szCs w:val="24"/>
        </w:rPr>
        <w:t xml:space="preserve"> </w:t>
      </w:r>
      <w:r w:rsidRPr="003D1E07">
        <w:rPr>
          <w:i/>
        </w:rPr>
        <w:t>Enn.</w:t>
      </w:r>
      <w:r w:rsidRPr="003D1E07">
        <w:t xml:space="preserve"> 6.3.5.1–2</w:t>
      </w:r>
      <w:r w:rsidR="00554E31" w:rsidRPr="003D1E07">
        <w:fldChar w:fldCharType="begin"/>
      </w:r>
      <w:r w:rsidR="00554E31" w:rsidRPr="003D1E07">
        <w:instrText xml:space="preserve"> XE "</w:instrText>
      </w:r>
      <w:r w:rsidR="08F72573" w:rsidRPr="003D1E07">
        <w:instrText>Plotinos</w:instrText>
      </w:r>
      <w:r w:rsidR="00554E31" w:rsidRPr="003D1E07">
        <w:instrText>:</w:instrText>
      </w:r>
      <w:r w:rsidR="00554E31" w:rsidRPr="003D1E07">
        <w:rPr>
          <w:i/>
        </w:rPr>
        <w:instrText>Enn.</w:instrText>
      </w:r>
      <w:r w:rsidR="00554E31" w:rsidRPr="003D1E07">
        <w:instrText xml:space="preserve"> 6.3.5.1‒2" </w:instrText>
      </w:r>
      <w:r w:rsidR="00554E31" w:rsidRPr="003D1E07">
        <w:fldChar w:fldCharType="end"/>
      </w:r>
      <w:r w:rsidRPr="003D1E07">
        <w:t xml:space="preserve">). </w:t>
      </w:r>
      <w:r w:rsidR="085961AE" w:rsidRPr="003D1E07">
        <w:t>P</w:t>
      </w:r>
      <w:r w:rsidRPr="003D1E07">
        <w:t xml:space="preserve">redikace </w:t>
      </w:r>
      <w:r w:rsidR="085961AE" w:rsidRPr="003D1E07">
        <w:t>nejvyšších forem bytí j</w:t>
      </w:r>
      <w:r w:rsidRPr="003D1E07">
        <w:t xml:space="preserve">de primárně k </w:t>
      </w:r>
      <w:r w:rsidR="085961AE" w:rsidRPr="003D1E07">
        <w:t xml:space="preserve">eidetickému bytí </w:t>
      </w:r>
      <w:r w:rsidR="08CC7D83" w:rsidRPr="003D1E07">
        <w:t xml:space="preserve">substance </w:t>
      </w:r>
      <w:r w:rsidRPr="003D1E07">
        <w:t xml:space="preserve">danému mimo materii </w:t>
      </w:r>
      <w:r w:rsidR="08BF53BA" w:rsidRPr="003D1E07">
        <w:t>a mimo</w:t>
      </w:r>
      <w:r w:rsidR="08CC7D83" w:rsidRPr="003D1E07">
        <w:t xml:space="preserve"> smyslové poznání </w:t>
      </w:r>
      <w:r w:rsidRPr="003D1E07">
        <w:t xml:space="preserve">(τὸ πρῶτον ὡς πρὸς τὰ μετ' αὐτὸ λέγεται, </w:t>
      </w:r>
      <w:r w:rsidRPr="003D1E07">
        <w:rPr>
          <w:i/>
        </w:rPr>
        <w:t>Enn</w:t>
      </w:r>
      <w:r w:rsidRPr="003D1E07">
        <w:t>. 6.3.5.3–4</w:t>
      </w:r>
      <w:r w:rsidR="00554E31" w:rsidRPr="003D1E07">
        <w:fldChar w:fldCharType="begin"/>
      </w:r>
      <w:r w:rsidR="00554E31" w:rsidRPr="003D1E07">
        <w:instrText xml:space="preserve"> XE "</w:instrText>
      </w:r>
      <w:r w:rsidR="08F72573" w:rsidRPr="003D1E07">
        <w:instrText>Plotinos</w:instrText>
      </w:r>
      <w:r w:rsidR="00554E31" w:rsidRPr="003D1E07">
        <w:instrText>:</w:instrText>
      </w:r>
      <w:r w:rsidR="00554E31" w:rsidRPr="003D1E07">
        <w:rPr>
          <w:i/>
        </w:rPr>
        <w:instrText>Enn.</w:instrText>
      </w:r>
      <w:r w:rsidR="00554E31" w:rsidRPr="003D1E07">
        <w:instrText xml:space="preserve"> 6.3.5.3‒4" </w:instrText>
      </w:r>
      <w:r w:rsidR="00554E31" w:rsidRPr="003D1E07">
        <w:fldChar w:fldCharType="end"/>
      </w:r>
      <w:r w:rsidRPr="003D1E07">
        <w:t>). Až sekundárně jde predikace k nižší substanci jako složeniny formy a látky existující v říši vznikání a zanikání (δὲ ταῦτα περὶ τῆς ἐνθάδε οὐσίας λεγομένης,</w:t>
      </w:r>
      <w:r w:rsidRPr="003D1E07">
        <w:rPr>
          <w:rFonts w:ascii="Times New Roman" w:eastAsia="Times New Roman" w:hAnsi="Times New Roman"/>
          <w:szCs w:val="24"/>
        </w:rPr>
        <w:t xml:space="preserve"> </w:t>
      </w:r>
      <w:r w:rsidRPr="003D1E07">
        <w:rPr>
          <w:i/>
        </w:rPr>
        <w:t>Enn.</w:t>
      </w:r>
      <w:r w:rsidRPr="003D1E07">
        <w:t xml:space="preserve"> 6.3.5.1–2</w:t>
      </w:r>
      <w:r w:rsidR="00554E31" w:rsidRPr="003D1E07">
        <w:fldChar w:fldCharType="begin"/>
      </w:r>
      <w:r w:rsidR="00554E31" w:rsidRPr="003D1E07">
        <w:instrText xml:space="preserve"> XE "</w:instrText>
      </w:r>
      <w:r w:rsidR="08F72573" w:rsidRPr="003D1E07">
        <w:instrText>Plotinos</w:instrText>
      </w:r>
      <w:r w:rsidR="00554E31" w:rsidRPr="003D1E07">
        <w:instrText>:</w:instrText>
      </w:r>
      <w:r w:rsidR="00554E31" w:rsidRPr="003D1E07">
        <w:rPr>
          <w:i/>
        </w:rPr>
        <w:instrText>Enn.</w:instrText>
      </w:r>
      <w:r w:rsidR="00554E31" w:rsidRPr="003D1E07">
        <w:instrText xml:space="preserve"> 6.3.5.1‒2" </w:instrText>
      </w:r>
      <w:r w:rsidR="00554E31" w:rsidRPr="003D1E07">
        <w:fldChar w:fldCharType="end"/>
      </w:r>
      <w:r w:rsidRPr="003D1E07">
        <w:t xml:space="preserve">). V následné gigantomachii je </w:t>
      </w:r>
      <w:r w:rsidR="00D00E8C" w:rsidRPr="003D1E07">
        <w:t xml:space="preserve">tento devalvovaný </w:t>
      </w:r>
      <w:r w:rsidRPr="003D1E07">
        <w:lastRenderedPageBreak/>
        <w:t>statut materiální substance naprosto klíčový</w:t>
      </w:r>
      <w:r w:rsidR="00D87F47" w:rsidRPr="003D1E07">
        <w:t>. Tento předchůdný náhled (</w:t>
      </w:r>
      <w:r w:rsidR="00D87F47" w:rsidRPr="003D1E07">
        <w:rPr>
          <w:i/>
        </w:rPr>
        <w:t>Vor-blickbahn</w:t>
      </w:r>
      <w:r w:rsidR="00D87F47" w:rsidRPr="003D1E07">
        <w:t xml:space="preserve">) </w:t>
      </w:r>
      <w:r w:rsidR="00D00E8C" w:rsidRPr="003D1E07">
        <w:t>zakládá moderní perspektivu</w:t>
      </w:r>
      <w:r w:rsidRPr="003D1E07">
        <w:t xml:space="preserve">, odkud se </w:t>
      </w:r>
      <w:r w:rsidR="00D00E8C" w:rsidRPr="003D1E07">
        <w:t xml:space="preserve">nazírá </w:t>
      </w:r>
      <w:r w:rsidRPr="003D1E07">
        <w:t>celek jsoucna.</w:t>
      </w:r>
      <w:r w:rsidR="08A00E53" w:rsidRPr="003D1E07">
        <w:t xml:space="preserve"> </w:t>
      </w:r>
      <w:r w:rsidR="08024D9A" w:rsidRPr="003D1E07">
        <w:t>Negativní určení Aristotelovy su</w:t>
      </w:r>
      <w:r w:rsidR="00C2773A" w:rsidRPr="003D1E07">
        <w:t>bstance najdeme v nové podobě ve všech m</w:t>
      </w:r>
      <w:r w:rsidR="08024D9A" w:rsidRPr="003D1E07">
        <w:t xml:space="preserve">oderních </w:t>
      </w:r>
      <w:r w:rsidR="08F61EBC" w:rsidRPr="003D1E07">
        <w:t xml:space="preserve">teoriích </w:t>
      </w:r>
      <w:r w:rsidR="08024D9A" w:rsidRPr="003D1E07">
        <w:t xml:space="preserve">objektivity, včetně devaluace hylemorfické substance dané v realitě. </w:t>
      </w:r>
      <w:r w:rsidR="08345718" w:rsidRPr="003D1E07">
        <w:t xml:space="preserve">Neoplatonikové chápali hypotézy v Platonově dialogu </w:t>
      </w:r>
      <w:r w:rsidR="08345718" w:rsidRPr="003D1E07">
        <w:rPr>
          <w:i/>
        </w:rPr>
        <w:t>Parmenides</w:t>
      </w:r>
      <w:r w:rsidR="08345718" w:rsidRPr="003D1E07">
        <w:t xml:space="preserve"> jako nejvyšší rody bytí, proto jim nedali pouze hypotetický, ale i kategoriální stat</w:t>
      </w:r>
      <w:r w:rsidR="08325241" w:rsidRPr="003D1E07">
        <w:t>us.</w:t>
      </w:r>
      <w:r w:rsidR="00883C37" w:rsidRPr="003D1E07">
        <w:t xml:space="preserve"> Kategoriální definice aristotelské substance se tím dostala do první vážné krize. </w:t>
      </w:r>
    </w:p>
    <w:p w14:paraId="1AD9D096" w14:textId="77777777" w:rsidR="00015CB8" w:rsidRDefault="08325241" w:rsidP="002E161F">
      <w:r w:rsidRPr="003D1E07">
        <w:tab/>
      </w:r>
      <w:r w:rsidR="004C4D15" w:rsidRPr="003D1E07">
        <w:t>Aristotele</w:t>
      </w:r>
      <w:r w:rsidR="00C731B5" w:rsidRPr="003D1E07">
        <w:t>s dává nauku o kategoriích do souvislosti s definicí rodu (</w:t>
      </w:r>
      <w:r w:rsidR="00C731B5" w:rsidRPr="003D1E07">
        <w:rPr>
          <w:i/>
        </w:rPr>
        <w:t>Cat</w:t>
      </w:r>
      <w:r w:rsidR="00C731B5" w:rsidRPr="003D1E07">
        <w:t>. 11a</w:t>
      </w:r>
      <w:r w:rsidR="00577075" w:rsidRPr="003D1E07">
        <w:t>38</w:t>
      </w:r>
      <w:r w:rsidR="00554E31" w:rsidRPr="003D1E07">
        <w:fldChar w:fldCharType="begin"/>
      </w:r>
      <w:r w:rsidR="00554E31" w:rsidRPr="003D1E07">
        <w:instrText xml:space="preserve"> XE "</w:instrText>
      </w:r>
      <w:r w:rsidR="008E02F5" w:rsidRPr="003D1E07">
        <w:instrText>Aristoteles</w:instrText>
      </w:r>
      <w:r w:rsidR="00554E31" w:rsidRPr="003D1E07">
        <w:instrText>:</w:instrText>
      </w:r>
      <w:r w:rsidR="00554E31" w:rsidRPr="003D1E07">
        <w:rPr>
          <w:i/>
        </w:rPr>
        <w:instrText>Cat</w:instrText>
      </w:r>
      <w:r w:rsidR="00577075" w:rsidRPr="003D1E07">
        <w:instrText>. 11a38</w:instrText>
      </w:r>
      <w:r w:rsidR="00554E31" w:rsidRPr="003D1E07">
        <w:instrText xml:space="preserve">" </w:instrText>
      </w:r>
      <w:r w:rsidR="00554E31" w:rsidRPr="003D1E07">
        <w:fldChar w:fldCharType="end"/>
      </w:r>
      <w:r w:rsidR="00C731B5" w:rsidRPr="003D1E07">
        <w:t xml:space="preserve">; </w:t>
      </w:r>
      <w:r w:rsidR="00C731B5" w:rsidRPr="003D1E07">
        <w:rPr>
          <w:i/>
        </w:rPr>
        <w:t>De anima</w:t>
      </w:r>
      <w:r w:rsidR="00C731B5" w:rsidRPr="003D1E07">
        <w:t xml:space="preserve"> 412a6</w:t>
      </w:r>
      <w:r w:rsidR="00554E31" w:rsidRPr="003D1E07">
        <w:fldChar w:fldCharType="begin"/>
      </w:r>
      <w:r w:rsidR="00554E31" w:rsidRPr="003D1E07">
        <w:instrText xml:space="preserve"> XE "</w:instrText>
      </w:r>
      <w:r w:rsidR="008E02F5" w:rsidRPr="003D1E07">
        <w:instrText>Aristoteles</w:instrText>
      </w:r>
      <w:r w:rsidR="00554E31" w:rsidRPr="003D1E07">
        <w:instrText>:</w:instrText>
      </w:r>
      <w:r w:rsidR="00554E31" w:rsidRPr="003D1E07">
        <w:rPr>
          <w:i/>
        </w:rPr>
        <w:instrText>De anima</w:instrText>
      </w:r>
      <w:r w:rsidR="00554E31" w:rsidRPr="003D1E07">
        <w:instrText xml:space="preserve"> 412a6" </w:instrText>
      </w:r>
      <w:r w:rsidR="00554E31" w:rsidRPr="003D1E07">
        <w:fldChar w:fldCharType="end"/>
      </w:r>
      <w:r w:rsidR="08997B64" w:rsidRPr="003D1E07">
        <w:t xml:space="preserve">). Aristotelismus </w:t>
      </w:r>
      <w:r w:rsidR="00016C37" w:rsidRPr="003D1E07">
        <w:t xml:space="preserve">jasně odděluje řád bytí </w:t>
      </w:r>
      <w:r w:rsidR="003F5507" w:rsidRPr="003D1E07">
        <w:t xml:space="preserve">jedinečné </w:t>
      </w:r>
      <w:r w:rsidR="00016C37" w:rsidRPr="003D1E07">
        <w:t xml:space="preserve">věci </w:t>
      </w:r>
      <w:r w:rsidR="08997B64" w:rsidRPr="003D1E07">
        <w:t xml:space="preserve">v realitě </w:t>
      </w:r>
      <w:r w:rsidR="00016C37" w:rsidRPr="003D1E07">
        <w:t xml:space="preserve">a řád </w:t>
      </w:r>
      <w:r w:rsidR="00895966" w:rsidRPr="003D1E07">
        <w:t xml:space="preserve">univerzální </w:t>
      </w:r>
      <w:r w:rsidR="00016C37" w:rsidRPr="003D1E07">
        <w:t>signifikace</w:t>
      </w:r>
      <w:r w:rsidR="003F5507" w:rsidRPr="003D1E07">
        <w:t>. R</w:t>
      </w:r>
      <w:r w:rsidR="00895966" w:rsidRPr="003D1E07">
        <w:t xml:space="preserve">eálná </w:t>
      </w:r>
      <w:r w:rsidR="00016C37" w:rsidRPr="003D1E07">
        <w:t xml:space="preserve">věc dostává </w:t>
      </w:r>
      <w:r w:rsidR="00895966" w:rsidRPr="003D1E07">
        <w:t xml:space="preserve">obecný </w:t>
      </w:r>
      <w:r w:rsidR="00016C37" w:rsidRPr="003D1E07">
        <w:t>význam</w:t>
      </w:r>
      <w:r w:rsidR="00895966" w:rsidRPr="003D1E07">
        <w:t xml:space="preserve"> v</w:t>
      </w:r>
      <w:r w:rsidR="003F5507" w:rsidRPr="003D1E07">
        <w:t xml:space="preserve"> aktu </w:t>
      </w:r>
      <w:r w:rsidR="00895966" w:rsidRPr="003D1E07">
        <w:t>poznání</w:t>
      </w:r>
      <w:r w:rsidR="00016C37" w:rsidRPr="003D1E07">
        <w:t>.</w:t>
      </w:r>
      <w:r w:rsidR="00AA6706" w:rsidRPr="003D1E07">
        <w:t xml:space="preserve"> </w:t>
      </w:r>
      <w:r w:rsidR="083251AC" w:rsidRPr="003D1E07">
        <w:t xml:space="preserve">Důvodem </w:t>
      </w:r>
      <w:r w:rsidR="002E3784" w:rsidRPr="003D1E07">
        <w:t xml:space="preserve">tohoto oddělení dvou světů </w:t>
      </w:r>
      <w:r w:rsidR="083251AC" w:rsidRPr="003D1E07">
        <w:t xml:space="preserve">je triadická struktura </w:t>
      </w:r>
      <w:r w:rsidR="08B779FB" w:rsidRPr="003D1E07">
        <w:t xml:space="preserve">metafyzického </w:t>
      </w:r>
      <w:r w:rsidR="08CC1305" w:rsidRPr="003D1E07">
        <w:t>dativ</w:t>
      </w:r>
      <w:r w:rsidR="083251AC" w:rsidRPr="003D1E07">
        <w:t>u</w:t>
      </w:r>
      <w:r w:rsidR="08CC1305" w:rsidRPr="003D1E07">
        <w:t xml:space="preserve"> (</w:t>
      </w:r>
      <w:r w:rsidR="08CC1305" w:rsidRPr="003D1E07">
        <w:fldChar w:fldCharType="begin"/>
      </w:r>
      <w:r w:rsidR="08CC1305" w:rsidRPr="003D1E07">
        <w:instrText xml:space="preserve"> XE "</w:instrText>
      </w:r>
      <w:r w:rsidR="08B779FB" w:rsidRPr="003D1E07">
        <w:rPr>
          <w:i/>
        </w:rPr>
        <w:instrText>dativus metaphysi</w:instrText>
      </w:r>
      <w:r w:rsidR="08CC1305" w:rsidRPr="003D1E07">
        <w:rPr>
          <w:i/>
        </w:rPr>
        <w:instrText>cus</w:instrText>
      </w:r>
      <w:r w:rsidR="08CC1305" w:rsidRPr="003D1E07">
        <w:instrText xml:space="preserve">" </w:instrText>
      </w:r>
      <w:r w:rsidR="08CC1305" w:rsidRPr="003D1E07">
        <w:fldChar w:fldCharType="end"/>
      </w:r>
      <w:r w:rsidR="083251AC" w:rsidRPr="003D1E07">
        <w:t>kap. 1.1). A</w:t>
      </w:r>
      <w:r w:rsidR="08CC1305" w:rsidRPr="003D1E07">
        <w:t xml:space="preserve">kt donace bytí </w:t>
      </w:r>
      <w:r w:rsidR="08E26237" w:rsidRPr="003D1E07">
        <w:t xml:space="preserve">do reálného jsoucna </w:t>
      </w:r>
      <w:r w:rsidR="085643AA" w:rsidRPr="003D1E07">
        <w:t xml:space="preserve">je dán v modu </w:t>
      </w:r>
      <w:r w:rsidR="085643AA" w:rsidRPr="003D1E07">
        <w:rPr>
          <w:i/>
        </w:rPr>
        <w:t>per prius</w:t>
      </w:r>
      <w:r w:rsidR="08E26237" w:rsidRPr="003D1E07">
        <w:t>. P</w:t>
      </w:r>
      <w:r w:rsidR="08CC1305" w:rsidRPr="003D1E07">
        <w:t xml:space="preserve">oznání </w:t>
      </w:r>
      <w:r w:rsidR="08E26237" w:rsidRPr="003D1E07">
        <w:t xml:space="preserve">první </w:t>
      </w:r>
      <w:r w:rsidR="083251AC" w:rsidRPr="003D1E07">
        <w:t xml:space="preserve">substance </w:t>
      </w:r>
      <w:r w:rsidR="08E26237" w:rsidRPr="003D1E07">
        <w:t>představuje důsledek této primární donace</w:t>
      </w:r>
      <w:r w:rsidR="089669B3" w:rsidRPr="003D1E07">
        <w:t xml:space="preserve"> </w:t>
      </w:r>
      <w:r w:rsidR="085643AA" w:rsidRPr="003D1E07">
        <w:t xml:space="preserve">v modu </w:t>
      </w:r>
      <w:r w:rsidR="085643AA" w:rsidRPr="003D1E07">
        <w:rPr>
          <w:i/>
        </w:rPr>
        <w:t>per posterius</w:t>
      </w:r>
      <w:r w:rsidR="08E26237" w:rsidRPr="003D1E07">
        <w:t xml:space="preserve">. </w:t>
      </w:r>
      <w:r w:rsidR="08CD6EB2" w:rsidRPr="003D1E07">
        <w:t>Protože věc reálně existuje, tak kauzálně zakládá naše poznání</w:t>
      </w:r>
      <w:r w:rsidR="00254F7E" w:rsidRPr="003D1E07">
        <w:t xml:space="preserve"> v minulostním modu </w:t>
      </w:r>
      <w:r w:rsidR="00254F7E" w:rsidRPr="003D1E07">
        <w:rPr>
          <w:i/>
        </w:rPr>
        <w:t>quidditas</w:t>
      </w:r>
      <w:r w:rsidR="00254F7E" w:rsidRPr="003D1E07">
        <w:t xml:space="preserve">. </w:t>
      </w:r>
      <w:r w:rsidR="002C2D49" w:rsidRPr="003D1E07">
        <w:t>Nejasno</w:t>
      </w:r>
      <w:r w:rsidR="08C44BB6" w:rsidRPr="003D1E07">
        <w:t>st ohledně kategorií způsobilo i</w:t>
      </w:r>
      <w:r w:rsidR="002C2D49" w:rsidRPr="003D1E07">
        <w:t xml:space="preserve"> to, že stejnojmenný Aristotelův spis tento klíčový termín (κατηγορία</w:t>
      </w:r>
      <w:r w:rsidR="002C2D49" w:rsidRPr="003D1E07">
        <w:rPr>
          <w:i/>
        </w:rPr>
        <w:t>, praedicamentum</w:t>
      </w:r>
      <w:r w:rsidR="002C2D49" w:rsidRPr="003D1E07">
        <w:t>) používá jen třikrát a vůbec jej blíže nevysvětluje (</w:t>
      </w:r>
      <w:r w:rsidR="002C2D49" w:rsidRPr="003D1E07">
        <w:rPr>
          <w:i/>
        </w:rPr>
        <w:t>Cat</w:t>
      </w:r>
      <w:r w:rsidR="002C2D49" w:rsidRPr="003D1E07">
        <w:t>. 3a37, 10b19, 10b21</w:t>
      </w:r>
      <w:r w:rsidR="00554E31" w:rsidRPr="003D1E07">
        <w:fldChar w:fldCharType="begin"/>
      </w:r>
      <w:r w:rsidR="00554E31" w:rsidRPr="003D1E07">
        <w:instrText xml:space="preserve"> XE "</w:instrText>
      </w:r>
      <w:r w:rsidR="008E02F5" w:rsidRPr="003D1E07">
        <w:instrText>Aristoteles</w:instrText>
      </w:r>
      <w:r w:rsidR="00554E31" w:rsidRPr="003D1E07">
        <w:instrText>:</w:instrText>
      </w:r>
      <w:r w:rsidR="00554E31" w:rsidRPr="003D1E07">
        <w:rPr>
          <w:i/>
        </w:rPr>
        <w:instrText>Cat</w:instrText>
      </w:r>
      <w:r w:rsidR="00554E31" w:rsidRPr="003D1E07">
        <w:instrText xml:space="preserve">. 3a37" </w:instrText>
      </w:r>
      <w:r w:rsidR="00554E31" w:rsidRPr="003D1E07">
        <w:fldChar w:fldCharType="end"/>
      </w:r>
      <w:r w:rsidR="00554E31" w:rsidRPr="003D1E07">
        <w:fldChar w:fldCharType="begin"/>
      </w:r>
      <w:r w:rsidR="00554E31" w:rsidRPr="003D1E07">
        <w:instrText xml:space="preserve"> XE "</w:instrText>
      </w:r>
      <w:r w:rsidR="008E02F5" w:rsidRPr="003D1E07">
        <w:instrText>Aristoteles</w:instrText>
      </w:r>
      <w:r w:rsidR="00554E31" w:rsidRPr="003D1E07">
        <w:instrText>:</w:instrText>
      </w:r>
      <w:r w:rsidR="00554E31" w:rsidRPr="003D1E07">
        <w:rPr>
          <w:i/>
        </w:rPr>
        <w:instrText>Cat</w:instrText>
      </w:r>
      <w:r w:rsidR="00554E31" w:rsidRPr="003D1E07">
        <w:instrText xml:space="preserve">. 10ba19" </w:instrText>
      </w:r>
      <w:r w:rsidR="00554E31" w:rsidRPr="003D1E07">
        <w:fldChar w:fldCharType="end"/>
      </w:r>
      <w:r w:rsidR="00554E31" w:rsidRPr="003D1E07">
        <w:fldChar w:fldCharType="begin"/>
      </w:r>
      <w:r w:rsidR="00554E31" w:rsidRPr="003D1E07">
        <w:instrText xml:space="preserve"> XE "</w:instrText>
      </w:r>
      <w:r w:rsidR="008E02F5" w:rsidRPr="003D1E07">
        <w:instrText>Aristoteles</w:instrText>
      </w:r>
      <w:r w:rsidR="00554E31" w:rsidRPr="003D1E07">
        <w:instrText>:</w:instrText>
      </w:r>
      <w:r w:rsidR="00554E31" w:rsidRPr="003D1E07">
        <w:rPr>
          <w:i/>
        </w:rPr>
        <w:instrText>Cat</w:instrText>
      </w:r>
      <w:r w:rsidR="00554E31" w:rsidRPr="003D1E07">
        <w:instrText xml:space="preserve">. 10b21" </w:instrText>
      </w:r>
      <w:r w:rsidR="00554E31" w:rsidRPr="003D1E07">
        <w:fldChar w:fldCharType="end"/>
      </w:r>
      <w:r w:rsidR="002C2D49" w:rsidRPr="003D1E07">
        <w:t xml:space="preserve">). </w:t>
      </w:r>
      <w:r w:rsidR="00895966" w:rsidRPr="003D1E07">
        <w:t>Pr</w:t>
      </w:r>
      <w:r w:rsidR="000A7BAB" w:rsidRPr="003D1E07">
        <w:t>o hermeneutiku objekti</w:t>
      </w:r>
      <w:r w:rsidR="00895966" w:rsidRPr="003D1E07">
        <w:t>v</w:t>
      </w:r>
      <w:r w:rsidR="000A7BAB" w:rsidRPr="003D1E07">
        <w:t>i</w:t>
      </w:r>
      <w:r w:rsidR="00895966" w:rsidRPr="003D1E07">
        <w:t>ty je k</w:t>
      </w:r>
      <w:r w:rsidR="006E5DED" w:rsidRPr="003D1E07">
        <w:t xml:space="preserve">líčové rozdělení predikace </w:t>
      </w:r>
      <w:r w:rsidR="00F5030D" w:rsidRPr="003D1E07">
        <w:t xml:space="preserve">ve spisu </w:t>
      </w:r>
      <w:r w:rsidR="00F5030D" w:rsidRPr="003D1E07">
        <w:rPr>
          <w:i/>
        </w:rPr>
        <w:t>Kategorie</w:t>
      </w:r>
      <w:r w:rsidR="00F5030D" w:rsidRPr="003D1E07">
        <w:t xml:space="preserve"> </w:t>
      </w:r>
      <w:r w:rsidR="004C4AA9" w:rsidRPr="003D1E07">
        <w:t xml:space="preserve">vzhledem k substanci </w:t>
      </w:r>
      <w:r w:rsidR="006E5DED" w:rsidRPr="003D1E07">
        <w:t>na čtyři třídy významů</w:t>
      </w:r>
      <w:r w:rsidR="00AA602E" w:rsidRPr="003D1E07">
        <w:t xml:space="preserve"> (</w:t>
      </w:r>
      <w:r w:rsidR="00AA602E" w:rsidRPr="003D1E07">
        <w:rPr>
          <w:i/>
        </w:rPr>
        <w:t>Cat</w:t>
      </w:r>
      <w:r w:rsidR="00AA602E" w:rsidRPr="003D1E07">
        <w:t>. 1a20‒b9</w:t>
      </w:r>
      <w:r w:rsidR="00AA602E" w:rsidRPr="003D1E07">
        <w:fldChar w:fldCharType="begin"/>
      </w:r>
      <w:r w:rsidR="00AA602E" w:rsidRPr="003D1E07">
        <w:instrText xml:space="preserve"> XE "Aristoteles:</w:instrText>
      </w:r>
      <w:r w:rsidR="00AA602E" w:rsidRPr="003D1E07">
        <w:rPr>
          <w:i/>
        </w:rPr>
        <w:instrText>Cat</w:instrText>
      </w:r>
      <w:r w:rsidR="00AA602E" w:rsidRPr="003D1E07">
        <w:instrText xml:space="preserve">. 1a20‒b9 " </w:instrText>
      </w:r>
      <w:r w:rsidR="00AA602E" w:rsidRPr="003D1E07">
        <w:fldChar w:fldCharType="end"/>
      </w:r>
      <w:r w:rsidR="00AA602E" w:rsidRPr="003D1E07">
        <w:t>)</w:t>
      </w:r>
      <w:r w:rsidR="006E5DED" w:rsidRPr="003D1E07">
        <w:t>, které da</w:t>
      </w:r>
      <w:r w:rsidR="00AA602E" w:rsidRPr="003D1E07">
        <w:t>lší tradice výkladu spisu začaly</w:t>
      </w:r>
      <w:r w:rsidR="006E5DED" w:rsidRPr="003D1E07">
        <w:t xml:space="preserve"> různě směšovat</w:t>
      </w:r>
      <w:r w:rsidR="004C4AA9" w:rsidRPr="003D1E07">
        <w:t xml:space="preserve">. </w:t>
      </w:r>
      <w:r w:rsidR="00646407" w:rsidRPr="003D1E07">
        <w:t xml:space="preserve">První </w:t>
      </w:r>
      <w:r w:rsidR="00AB2869" w:rsidRPr="003D1E07">
        <w:t xml:space="preserve">a nejdůležitější určení kategoriální </w:t>
      </w:r>
      <w:r w:rsidR="00646407" w:rsidRPr="003D1E07">
        <w:t xml:space="preserve">predikace </w:t>
      </w:r>
      <w:r w:rsidR="004C4AA9" w:rsidRPr="003D1E07">
        <w:t>se týká univerzál</w:t>
      </w:r>
      <w:r w:rsidR="00826296" w:rsidRPr="003D1E07">
        <w:t xml:space="preserve">ií esenciálně či akcidentálně </w:t>
      </w:r>
      <w:r w:rsidR="00AB2869" w:rsidRPr="003D1E07">
        <w:t xml:space="preserve">predikovaných </w:t>
      </w:r>
      <w:r w:rsidR="085D18C5" w:rsidRPr="003D1E07">
        <w:t>vzhledem k původnímu subjektu kategoriální výpovědi</w:t>
      </w:r>
      <w:r w:rsidR="081F64BA" w:rsidRPr="003D1E07">
        <w:t xml:space="preserve"> daném předchů</w:t>
      </w:r>
      <w:r w:rsidR="08747A41" w:rsidRPr="003D1E07">
        <w:t>dně a aktuálně v realitě</w:t>
      </w:r>
      <w:r w:rsidR="00AB2869" w:rsidRPr="003D1E07">
        <w:t xml:space="preserve">. Tyto významy </w:t>
      </w:r>
      <w:r w:rsidR="00141A8B" w:rsidRPr="003D1E07">
        <w:t xml:space="preserve">nemohou být </w:t>
      </w:r>
      <w:r w:rsidR="00AB2869" w:rsidRPr="003D1E07">
        <w:t xml:space="preserve">ve své univerzalitě přímo a bezprostředně </w:t>
      </w:r>
      <w:r w:rsidR="004C4AA9" w:rsidRPr="003D1E07">
        <w:t xml:space="preserve">obsaženy v </w:t>
      </w:r>
      <w:r w:rsidR="00AB2869" w:rsidRPr="003D1E07">
        <w:t xml:space="preserve">reálné jednotlivině, o níž se vypovídá </w:t>
      </w:r>
      <w:r w:rsidR="004C4AA9" w:rsidRPr="003D1E07">
        <w:t>(ἐν ὑποκειμένῳ δὲ οὐδενί ἐστιν</w:t>
      </w:r>
      <w:r w:rsidR="0031487B" w:rsidRPr="003D1E07">
        <w:t xml:space="preserve">, </w:t>
      </w:r>
      <w:r w:rsidR="0031487B" w:rsidRPr="003D1E07">
        <w:rPr>
          <w:i/>
        </w:rPr>
        <w:t>Cat</w:t>
      </w:r>
      <w:r w:rsidR="0031487B" w:rsidRPr="003D1E07">
        <w:t>. 1a21</w:t>
      </w:r>
      <w:r w:rsidR="00554E31" w:rsidRPr="003D1E07">
        <w:fldChar w:fldCharType="begin"/>
      </w:r>
      <w:r w:rsidR="00554E31" w:rsidRPr="003D1E07">
        <w:instrText xml:space="preserve"> XE "</w:instrText>
      </w:r>
      <w:r w:rsidR="008E02F5" w:rsidRPr="003D1E07">
        <w:instrText>Aristoteles</w:instrText>
      </w:r>
      <w:r w:rsidR="00554E31" w:rsidRPr="003D1E07">
        <w:instrText>:</w:instrText>
      </w:r>
      <w:r w:rsidR="00554E31" w:rsidRPr="003D1E07">
        <w:rPr>
          <w:i/>
        </w:rPr>
        <w:instrText>Cat</w:instrText>
      </w:r>
      <w:r w:rsidR="00554E31" w:rsidRPr="003D1E07">
        <w:instrText xml:space="preserve">. 1a21" </w:instrText>
      </w:r>
      <w:r w:rsidR="00554E31" w:rsidRPr="003D1E07">
        <w:fldChar w:fldCharType="end"/>
      </w:r>
      <w:r w:rsidR="004C4AA9" w:rsidRPr="003D1E07">
        <w:t>). Herm</w:t>
      </w:r>
      <w:r w:rsidR="00A45FDB" w:rsidRPr="003D1E07">
        <w:t xml:space="preserve">eneutika bere termín „nikdy“ </w:t>
      </w:r>
      <w:r w:rsidR="00141A8B" w:rsidRPr="003D1E07">
        <w:t xml:space="preserve">nebo „v žádném případě“ (οὐδενί) </w:t>
      </w:r>
      <w:r w:rsidR="00A45FDB" w:rsidRPr="003D1E07">
        <w:t>v</w:t>
      </w:r>
      <w:r w:rsidR="00141A8B" w:rsidRPr="003D1E07">
        <w:t xml:space="preserve"> jeho původním</w:t>
      </w:r>
      <w:r w:rsidR="003A59B2" w:rsidRPr="003D1E07">
        <w:t xml:space="preserve"> </w:t>
      </w:r>
      <w:r w:rsidR="00141A8B" w:rsidRPr="003D1E07">
        <w:t>kategorick</w:t>
      </w:r>
      <w:r w:rsidR="003A59B2" w:rsidRPr="003D1E07">
        <w:t xml:space="preserve">y daném </w:t>
      </w:r>
      <w:r w:rsidR="00141A8B" w:rsidRPr="003D1E07">
        <w:t xml:space="preserve">významu. </w:t>
      </w:r>
      <w:r w:rsidR="004C4D15" w:rsidRPr="003D1E07">
        <w:t>Aristotele</w:t>
      </w:r>
      <w:r w:rsidR="003A59B2" w:rsidRPr="003D1E07">
        <w:t xml:space="preserve">s </w:t>
      </w:r>
      <w:r w:rsidR="08543D03" w:rsidRPr="003D1E07">
        <w:t xml:space="preserve">zásadně a jednoznačně odděluje </w:t>
      </w:r>
      <w:r w:rsidR="00895966" w:rsidRPr="003D1E07">
        <w:t>predikaci</w:t>
      </w:r>
      <w:r w:rsidR="004C4AA9" w:rsidRPr="003D1E07">
        <w:t xml:space="preserve"> </w:t>
      </w:r>
      <w:r w:rsidR="00AA1528" w:rsidRPr="003D1E07">
        <w:t>univerzáli</w:t>
      </w:r>
      <w:r w:rsidR="00766E29" w:rsidRPr="003D1E07">
        <w:t xml:space="preserve">í daných v mysli </w:t>
      </w:r>
      <w:r w:rsidR="004C4AA9" w:rsidRPr="003D1E07">
        <w:t xml:space="preserve">od </w:t>
      </w:r>
      <w:r w:rsidR="00323F55" w:rsidRPr="003D1E07">
        <w:t xml:space="preserve">aktuálního </w:t>
      </w:r>
      <w:r w:rsidR="004C4AA9" w:rsidRPr="003D1E07">
        <w:t>bytí jsoucna daného v realitě</w:t>
      </w:r>
      <w:r w:rsidR="00766E29" w:rsidRPr="003D1E07">
        <w:t>.</w:t>
      </w:r>
      <w:r w:rsidR="083F4C9A" w:rsidRPr="003D1E07">
        <w:t xml:space="preserve"> Signifikace substance v rámci společného významu (τὸ καθόλου, </w:t>
      </w:r>
      <w:r w:rsidR="083F4C9A" w:rsidRPr="003D1E07">
        <w:rPr>
          <w:i/>
        </w:rPr>
        <w:t>Met</w:t>
      </w:r>
      <w:r w:rsidR="083F4C9A" w:rsidRPr="003D1E07">
        <w:t>. 1028b34</w:t>
      </w:r>
      <w:r w:rsidR="00554E31" w:rsidRPr="003D1E07">
        <w:fldChar w:fldCharType="begin"/>
      </w:r>
      <w:r w:rsidR="00554E31" w:rsidRPr="003D1E07">
        <w:instrText xml:space="preserve"> XE "</w:instrText>
      </w:r>
      <w:r w:rsidR="008E02F5" w:rsidRPr="003D1E07">
        <w:instrText>Aristoteles</w:instrText>
      </w:r>
      <w:r w:rsidR="00554E31" w:rsidRPr="003D1E07">
        <w:instrText>:</w:instrText>
      </w:r>
      <w:r w:rsidR="00554E31" w:rsidRPr="003D1E07">
        <w:rPr>
          <w:i/>
        </w:rPr>
        <w:instrText>Met.</w:instrText>
      </w:r>
      <w:r w:rsidR="00554E31" w:rsidRPr="003D1E07">
        <w:instrText xml:space="preserve"> 1028b34" </w:instrText>
      </w:r>
      <w:r w:rsidR="00554E31" w:rsidRPr="003D1E07">
        <w:fldChar w:fldCharType="end"/>
      </w:r>
      <w:r w:rsidR="083F4C9A" w:rsidRPr="003D1E07">
        <w:t>) musí být univerzální i proto, že máme omezený počet sl</w:t>
      </w:r>
      <w:r w:rsidR="004C4D15" w:rsidRPr="003D1E07">
        <w:t>ov a definic, zatímco počet věcí</w:t>
      </w:r>
      <w:r w:rsidR="083F4C9A" w:rsidRPr="003D1E07">
        <w:t xml:space="preserve"> je neomezený (</w:t>
      </w:r>
      <w:r w:rsidR="083F4C9A" w:rsidRPr="003D1E07">
        <w:rPr>
          <w:i/>
        </w:rPr>
        <w:t>Refut. Soph</w:t>
      </w:r>
      <w:r w:rsidR="083F4C9A" w:rsidRPr="003D1E07">
        <w:t>. 165a6</w:t>
      </w:r>
      <w:r w:rsidR="00554E31" w:rsidRPr="003D1E07">
        <w:fldChar w:fldCharType="begin"/>
      </w:r>
      <w:r w:rsidR="00554E31" w:rsidRPr="003D1E07">
        <w:instrText xml:space="preserve"> XE "</w:instrText>
      </w:r>
      <w:r w:rsidR="008E02F5" w:rsidRPr="003D1E07">
        <w:instrText>Aristoteles</w:instrText>
      </w:r>
      <w:r w:rsidR="00554E31" w:rsidRPr="003D1E07">
        <w:instrText>:</w:instrText>
      </w:r>
      <w:r w:rsidR="00554E31" w:rsidRPr="003D1E07">
        <w:rPr>
          <w:i/>
        </w:rPr>
        <w:instrText>Refut. Soph</w:instrText>
      </w:r>
      <w:r w:rsidR="00554E31" w:rsidRPr="003D1E07">
        <w:instrText xml:space="preserve">. 165a6" </w:instrText>
      </w:r>
      <w:r w:rsidR="00554E31" w:rsidRPr="003D1E07">
        <w:fldChar w:fldCharType="end"/>
      </w:r>
      <w:r w:rsidR="083F4C9A" w:rsidRPr="003D1E07">
        <w:t xml:space="preserve">). </w:t>
      </w:r>
      <w:r w:rsidR="08801A72" w:rsidRPr="003D1E07">
        <w:t xml:space="preserve">Věc existuje zcela autonomně v </w:t>
      </w:r>
      <w:r w:rsidR="00DA39FF" w:rsidRPr="003D1E07">
        <w:t xml:space="preserve">jedinečném </w:t>
      </w:r>
      <w:r w:rsidR="009F0071" w:rsidRPr="003D1E07">
        <w:t xml:space="preserve">aktuálním </w:t>
      </w:r>
      <w:r w:rsidR="00DA39FF" w:rsidRPr="003D1E07">
        <w:t xml:space="preserve">bytí </w:t>
      </w:r>
      <w:r w:rsidR="009F0071" w:rsidRPr="003D1E07">
        <w:t>a sama v sobě</w:t>
      </w:r>
      <w:r w:rsidR="08DF63F5" w:rsidRPr="003D1E07">
        <w:t xml:space="preserve"> (</w:t>
      </w:r>
      <w:r w:rsidR="08DF63F5" w:rsidRPr="003D1E07">
        <w:rPr>
          <w:i/>
        </w:rPr>
        <w:t>per se</w:t>
      </w:r>
      <w:r w:rsidR="08DF63F5" w:rsidRPr="003D1E07">
        <w:t>)</w:t>
      </w:r>
      <w:r w:rsidR="009F0071" w:rsidRPr="003D1E07">
        <w:t xml:space="preserve">. </w:t>
      </w:r>
      <w:r w:rsidR="08801A72" w:rsidRPr="003D1E07">
        <w:t>Fakt, že někdo tuto reálnou a aktuální první substanci myslí a klasifikuje</w:t>
      </w:r>
      <w:r w:rsidR="08FA104E" w:rsidRPr="003D1E07">
        <w:t xml:space="preserve"> v modu intelektuálně dané obecnosti</w:t>
      </w:r>
      <w:r w:rsidR="08801A72" w:rsidRPr="003D1E07">
        <w:t xml:space="preserve">, se </w:t>
      </w:r>
      <w:r w:rsidR="08FA104E" w:rsidRPr="003D1E07">
        <w:t xml:space="preserve">vůbec nedotýká </w:t>
      </w:r>
      <w:r w:rsidR="08801A72" w:rsidRPr="003D1E07">
        <w:t xml:space="preserve">původního </w:t>
      </w:r>
      <w:r w:rsidR="08FA104E" w:rsidRPr="003D1E07">
        <w:t xml:space="preserve">jedinečného </w:t>
      </w:r>
      <w:r w:rsidR="08801A72" w:rsidRPr="003D1E07">
        <w:t>bytí věci</w:t>
      </w:r>
      <w:r w:rsidR="086250FA" w:rsidRPr="003D1E07">
        <w:t xml:space="preserve">. </w:t>
      </w:r>
      <w:r w:rsidR="08B779FB" w:rsidRPr="003D1E07">
        <w:t xml:space="preserve">Metafyzický </w:t>
      </w:r>
      <w:r w:rsidR="086250FA" w:rsidRPr="003D1E07">
        <w:t xml:space="preserve">dativ určuje celkový postup predikace vázané na existenci první substrance. </w:t>
      </w:r>
      <w:r w:rsidR="0828590D" w:rsidRPr="003D1E07">
        <w:t xml:space="preserve">Primární jsoucno představuje </w:t>
      </w:r>
      <w:r w:rsidR="0828590D" w:rsidRPr="003D1E07">
        <w:lastRenderedPageBreak/>
        <w:t>zcela jedinečnou aktuální existenci jednoduché substance v reálném světě, která nemůže být obsažena v žádném výroku (</w:t>
      </w:r>
      <w:r w:rsidR="0828590D" w:rsidRPr="003D1E07">
        <w:rPr>
          <w:i/>
        </w:rPr>
        <w:t>Cat</w:t>
      </w:r>
      <w:r w:rsidR="0828590D" w:rsidRPr="003D1E07">
        <w:t>. 2a11‒13</w:t>
      </w:r>
      <w:r w:rsidR="0828590D" w:rsidRPr="003D1E07">
        <w:fldChar w:fldCharType="begin"/>
      </w:r>
      <w:r w:rsidR="0828590D" w:rsidRPr="003D1E07">
        <w:instrText xml:space="preserve"> XE "Aristoteles:</w:instrText>
      </w:r>
      <w:r w:rsidR="0828590D" w:rsidRPr="003D1E07">
        <w:rPr>
          <w:i/>
        </w:rPr>
        <w:instrText>Cat</w:instrText>
      </w:r>
      <w:r w:rsidR="0828590D" w:rsidRPr="003D1E07">
        <w:instrText xml:space="preserve">. 2b11‒13" </w:instrText>
      </w:r>
      <w:r w:rsidR="0828590D" w:rsidRPr="003D1E07">
        <w:fldChar w:fldCharType="end"/>
      </w:r>
      <w:r w:rsidR="0828590D" w:rsidRPr="003D1E07">
        <w:t>). První substance tvoří oddělený substrát (ὑ</w:t>
      </w:r>
      <w:r w:rsidR="084B2296" w:rsidRPr="003D1E07">
        <w:t xml:space="preserve">ποκείμενον, </w:t>
      </w:r>
      <w:r w:rsidR="084B2296" w:rsidRPr="003D1E07">
        <w:rPr>
          <w:i/>
        </w:rPr>
        <w:t>subiectum</w:t>
      </w:r>
      <w:r w:rsidR="084B2296" w:rsidRPr="003D1E07">
        <w:t>). K</w:t>
      </w:r>
      <w:r w:rsidR="0860152A" w:rsidRPr="003D1E07">
        <w:t xml:space="preserve"> tomuto původnímu subjektu výpovědi </w:t>
      </w:r>
      <w:r w:rsidR="084B2296" w:rsidRPr="003D1E07">
        <w:t xml:space="preserve">směřuje </w:t>
      </w:r>
      <w:r w:rsidR="0860152A" w:rsidRPr="003D1E07">
        <w:t xml:space="preserve">kategoriální </w:t>
      </w:r>
      <w:r w:rsidR="0828590D" w:rsidRPr="003D1E07">
        <w:t xml:space="preserve">predikace, která </w:t>
      </w:r>
      <w:r w:rsidR="084B2296" w:rsidRPr="003D1E07">
        <w:t xml:space="preserve">si </w:t>
      </w:r>
      <w:r w:rsidR="0828590D" w:rsidRPr="003D1E07">
        <w:t xml:space="preserve">bere </w:t>
      </w:r>
      <w:r w:rsidR="084B2296" w:rsidRPr="003D1E07">
        <w:t xml:space="preserve">první substanci </w:t>
      </w:r>
      <w:r w:rsidR="0828590D" w:rsidRPr="003D1E07">
        <w:t xml:space="preserve">jako </w:t>
      </w:r>
      <w:r w:rsidR="0860152A" w:rsidRPr="003D1E07">
        <w:t xml:space="preserve">pravdivý </w:t>
      </w:r>
      <w:r w:rsidR="0828590D" w:rsidRPr="003D1E07">
        <w:t xml:space="preserve">základ původního významu (ὑπάρχω). </w:t>
      </w:r>
      <w:r w:rsidR="08A00E53" w:rsidRPr="003D1E07">
        <w:t>Reálné jsoucno je plně a absolutně dáno</w:t>
      </w:r>
      <w:r w:rsidR="08FA104E" w:rsidRPr="003D1E07">
        <w:t xml:space="preserve"> </w:t>
      </w:r>
      <w:r w:rsidR="08DF63F5" w:rsidRPr="003D1E07">
        <w:t>ve svém bytí tak jak je</w:t>
      </w:r>
      <w:r w:rsidR="084C217E" w:rsidRPr="003D1E07">
        <w:t xml:space="preserve">, protože mu </w:t>
      </w:r>
      <w:r w:rsidR="080F5A05" w:rsidRPr="003D1E07">
        <w:t>jsoucnost patří v původním hyparchickém modu</w:t>
      </w:r>
      <w:r w:rsidR="08801A72" w:rsidRPr="003D1E07">
        <w:t xml:space="preserve">. </w:t>
      </w:r>
      <w:r w:rsidR="00364A4F" w:rsidRPr="003D1E07">
        <w:t xml:space="preserve">Tento </w:t>
      </w:r>
      <w:r w:rsidR="080F5A05" w:rsidRPr="003D1E07">
        <w:t xml:space="preserve">hyparchický </w:t>
      </w:r>
      <w:r w:rsidR="00364A4F" w:rsidRPr="003D1E07">
        <w:t xml:space="preserve">akt </w:t>
      </w:r>
      <w:r w:rsidR="009F0071" w:rsidRPr="003D1E07">
        <w:t xml:space="preserve">bytí </w:t>
      </w:r>
      <w:r w:rsidR="00364A4F" w:rsidRPr="003D1E07">
        <w:t>zde a nyní daného jsoucna (</w:t>
      </w:r>
      <w:r w:rsidR="006A3B6D" w:rsidRPr="003D1E07">
        <w:t>τόδε τι</w:t>
      </w:r>
      <w:r w:rsidR="009C505E" w:rsidRPr="003D1E07">
        <w:fldChar w:fldCharType="begin"/>
      </w:r>
      <w:r w:rsidR="009C505E" w:rsidRPr="003D1E07">
        <w:instrText xml:space="preserve"> XE "substance:</w:instrText>
      </w:r>
      <w:r w:rsidR="00446D6C" w:rsidRPr="003D1E07">
        <w:instrText>τόδε τι</w:instrText>
      </w:r>
      <w:r w:rsidR="009C505E" w:rsidRPr="003D1E07">
        <w:instrText xml:space="preserve">" </w:instrText>
      </w:r>
      <w:r w:rsidR="009C505E" w:rsidRPr="003D1E07">
        <w:fldChar w:fldCharType="end"/>
      </w:r>
      <w:r w:rsidR="00364A4F" w:rsidRPr="003D1E07">
        <w:t xml:space="preserve">) je dán v </w:t>
      </w:r>
      <w:r w:rsidR="00932FAB" w:rsidRPr="003D1E07">
        <w:t xml:space="preserve">jeho </w:t>
      </w:r>
      <w:r w:rsidR="00364A4F" w:rsidRPr="003D1E07">
        <w:t xml:space="preserve">původní </w:t>
      </w:r>
      <w:r w:rsidR="009F0071" w:rsidRPr="003D1E07">
        <w:t>celistvosti a jednoduchosti</w:t>
      </w:r>
      <w:r w:rsidR="00932FAB" w:rsidRPr="003D1E07">
        <w:t xml:space="preserve">, k níž </w:t>
      </w:r>
      <w:r w:rsidR="000D137B">
        <w:t xml:space="preserve">v mysli </w:t>
      </w:r>
      <w:r w:rsidR="00932FAB" w:rsidRPr="003D1E07">
        <w:t>nelze nic přidat ani ubrat</w:t>
      </w:r>
      <w:r w:rsidR="00364A4F" w:rsidRPr="003D1E07">
        <w:t xml:space="preserve">. </w:t>
      </w:r>
      <w:r w:rsidR="08A35269" w:rsidRPr="003D1E07">
        <w:t xml:space="preserve">Kategoriální významy nejsou dány v první substanci ve smyslu nějakého insistentního bytí, protože to nedovoluje </w:t>
      </w:r>
      <w:r w:rsidR="08EB676E" w:rsidRPr="003D1E07">
        <w:t xml:space="preserve">hyparchický </w:t>
      </w:r>
      <w:r w:rsidR="08A35269" w:rsidRPr="003D1E07">
        <w:t xml:space="preserve">způsob bytí první substance. </w:t>
      </w:r>
      <w:r w:rsidR="00E928FC" w:rsidRPr="003D1E07">
        <w:t xml:space="preserve">Její bytí šlo vzhledem k přítomné predikaci do nedosažitelné minulosti. </w:t>
      </w:r>
      <w:r w:rsidR="085F1313" w:rsidRPr="003D1E07">
        <w:t>Bez první substance</w:t>
      </w:r>
      <w:r w:rsidR="085F1313" w:rsidRPr="003D1E07">
        <w:fldChar w:fldCharType="begin"/>
      </w:r>
      <w:r w:rsidR="085F1313" w:rsidRPr="003D1E07">
        <w:instrText xml:space="preserve"> XE "substance:první" </w:instrText>
      </w:r>
      <w:r w:rsidR="085F1313" w:rsidRPr="003D1E07">
        <w:fldChar w:fldCharType="end"/>
      </w:r>
      <w:r w:rsidR="085F1313" w:rsidRPr="003D1E07">
        <w:t xml:space="preserve"> </w:t>
      </w:r>
      <w:r w:rsidR="003311E4" w:rsidRPr="003D1E07">
        <w:t xml:space="preserve">manifestované </w:t>
      </w:r>
      <w:r w:rsidR="00FA4169" w:rsidRPr="003D1E07">
        <w:t xml:space="preserve">a symbolizované </w:t>
      </w:r>
      <w:r w:rsidR="003311E4" w:rsidRPr="003D1E07">
        <w:t xml:space="preserve">skrze </w:t>
      </w:r>
      <w:r w:rsidR="003311E4" w:rsidRPr="003D1E07">
        <w:rPr>
          <w:i/>
        </w:rPr>
        <w:t>dativus metaphysicus</w:t>
      </w:r>
      <w:r w:rsidR="001305B0" w:rsidRPr="003D1E07">
        <w:rPr>
          <w:i/>
        </w:rPr>
        <w:fldChar w:fldCharType="begin"/>
      </w:r>
      <w:r w:rsidR="001305B0" w:rsidRPr="003D1E07">
        <w:instrText xml:space="preserve"> XE "</w:instrText>
      </w:r>
      <w:r w:rsidR="001305B0" w:rsidRPr="003D1E07">
        <w:rPr>
          <w:i/>
        </w:rPr>
        <w:instrText>dativus metaphysicus</w:instrText>
      </w:r>
      <w:r w:rsidR="001305B0" w:rsidRPr="003D1E07">
        <w:instrText xml:space="preserve">" </w:instrText>
      </w:r>
      <w:r w:rsidR="001305B0" w:rsidRPr="003D1E07">
        <w:rPr>
          <w:i/>
        </w:rPr>
        <w:fldChar w:fldCharType="end"/>
      </w:r>
      <w:r w:rsidR="003311E4" w:rsidRPr="003D1E07">
        <w:t xml:space="preserve"> </w:t>
      </w:r>
      <w:r w:rsidR="085F1313" w:rsidRPr="003D1E07">
        <w:t xml:space="preserve">není možné ani myšlení, ani univerzální predikace. </w:t>
      </w:r>
      <w:r w:rsidR="08FD5931" w:rsidRPr="003D1E07">
        <w:t xml:space="preserve">Směr donace jsoucna od reálné substance k potenciální esenci </w:t>
      </w:r>
      <w:r w:rsidR="085F1313" w:rsidRPr="003D1E07">
        <w:t>má zásadní vliv na predikaci</w:t>
      </w:r>
      <w:r w:rsidR="08755B96" w:rsidRPr="003D1E07">
        <w:t>, proto</w:t>
      </w:r>
      <w:r w:rsidR="08665D8D" w:rsidRPr="003D1E07">
        <w:t>že</w:t>
      </w:r>
      <w:r w:rsidR="08755B96" w:rsidRPr="003D1E07">
        <w:t xml:space="preserve"> nelze provést </w:t>
      </w:r>
      <w:r w:rsidR="08645E95" w:rsidRPr="003D1E07">
        <w:t>k</w:t>
      </w:r>
      <w:r w:rsidR="00D93605" w:rsidRPr="003D1E07">
        <w:t xml:space="preserve">ategoriální </w:t>
      </w:r>
      <w:r w:rsidR="08182140" w:rsidRPr="003D1E07">
        <w:t xml:space="preserve">výpovědi </w:t>
      </w:r>
      <w:r w:rsidR="00D93605" w:rsidRPr="003D1E07">
        <w:t xml:space="preserve">na </w:t>
      </w:r>
      <w:r w:rsidR="08645E95" w:rsidRPr="003D1E07">
        <w:t>úrovni reálně dané první substance</w:t>
      </w:r>
      <w:r w:rsidR="00D93605" w:rsidRPr="003D1E07">
        <w:t xml:space="preserve">. </w:t>
      </w:r>
      <w:r w:rsidR="083400C2" w:rsidRPr="003D1E07">
        <w:t xml:space="preserve">První substance drží primát v řádu bytí (οὐσία δέ ἐστιν ἡ κυριώτατά τε καὶ πρώτως καὶ μάλιστα λεγομένη, </w:t>
      </w:r>
      <w:r w:rsidR="083400C2" w:rsidRPr="003D1E07">
        <w:rPr>
          <w:i/>
        </w:rPr>
        <w:t>Cat</w:t>
      </w:r>
      <w:r w:rsidR="083400C2" w:rsidRPr="003D1E07">
        <w:t>. 2a11–12</w:t>
      </w:r>
      <w:r w:rsidR="083400C2" w:rsidRPr="003D1E07">
        <w:fldChar w:fldCharType="begin"/>
      </w:r>
      <w:r w:rsidR="083400C2" w:rsidRPr="003D1E07">
        <w:instrText xml:space="preserve"> XE "Aristoteles:</w:instrText>
      </w:r>
      <w:r w:rsidR="083400C2" w:rsidRPr="003D1E07">
        <w:rPr>
          <w:i/>
        </w:rPr>
        <w:instrText>Cat</w:instrText>
      </w:r>
      <w:r w:rsidR="083400C2" w:rsidRPr="003D1E07">
        <w:instrText xml:space="preserve">. 2a11‒12" </w:instrText>
      </w:r>
      <w:r w:rsidR="083400C2" w:rsidRPr="003D1E07">
        <w:fldChar w:fldCharType="end"/>
      </w:r>
      <w:r w:rsidR="083400C2" w:rsidRPr="003D1E07">
        <w:t xml:space="preserve">). </w:t>
      </w:r>
      <w:r w:rsidR="080E5F09" w:rsidRPr="003D1E07">
        <w:t xml:space="preserve">První typ určení substance představuje reálné bytí věci, k níž je univerzální predikace vztažena až aktem poznávající mysli. </w:t>
      </w:r>
      <w:r w:rsidR="085B3481" w:rsidRPr="003D1E07">
        <w:t xml:space="preserve">Bytí první substance je dáno hyparchicky a v minulostním rázu vůči </w:t>
      </w:r>
      <w:r w:rsidR="080E5F09" w:rsidRPr="003D1E07">
        <w:t xml:space="preserve">predikaci </w:t>
      </w:r>
      <w:r w:rsidR="085B3481" w:rsidRPr="003D1E07">
        <w:t xml:space="preserve">přítomné </w:t>
      </w:r>
      <w:r w:rsidR="080E5F09" w:rsidRPr="003D1E07">
        <w:t>v</w:t>
      </w:r>
      <w:r w:rsidR="08673C8B" w:rsidRPr="003D1E07">
        <w:t> </w:t>
      </w:r>
      <w:r w:rsidR="080E5F09" w:rsidRPr="003D1E07">
        <w:t>mysli</w:t>
      </w:r>
      <w:r w:rsidR="08673C8B" w:rsidRPr="003D1E07">
        <w:t xml:space="preserve"> (τὸ τί ἦν εἶναι ἢ μόνων τῶν οὐσιῶν ἐστὶν ἢ μάλιστα καὶ πρώτως καὶ ἁπλῶς</w:t>
      </w:r>
      <w:r w:rsidR="08673C8B" w:rsidRPr="003D1E07">
        <w:rPr>
          <w:rFonts w:ascii="Times New Roman" w:eastAsia="Times New Roman" w:hAnsi="Times New Roman"/>
          <w:szCs w:val="24"/>
        </w:rPr>
        <w:t xml:space="preserve">, </w:t>
      </w:r>
      <w:r w:rsidR="08673C8B" w:rsidRPr="003D1E07">
        <w:rPr>
          <w:i/>
        </w:rPr>
        <w:t>Met.</w:t>
      </w:r>
      <w:r w:rsidR="08673C8B" w:rsidRPr="003D1E07">
        <w:t xml:space="preserve"> 1031a12–13</w:t>
      </w:r>
      <w:r w:rsidR="08673C8B" w:rsidRPr="003D1E07">
        <w:fldChar w:fldCharType="begin"/>
      </w:r>
      <w:r w:rsidR="08673C8B" w:rsidRPr="003D1E07">
        <w:instrText xml:space="preserve"> XE "Aristoteles:</w:instrText>
      </w:r>
      <w:r w:rsidR="08673C8B" w:rsidRPr="003D1E07">
        <w:rPr>
          <w:i/>
        </w:rPr>
        <w:instrText>Met.</w:instrText>
      </w:r>
      <w:r w:rsidR="08673C8B" w:rsidRPr="003D1E07">
        <w:instrText xml:space="preserve"> 1031a12–13" </w:instrText>
      </w:r>
      <w:r w:rsidR="08673C8B" w:rsidRPr="003D1E07">
        <w:fldChar w:fldCharType="end"/>
      </w:r>
      <w:r w:rsidR="08673C8B" w:rsidRPr="003D1E07">
        <w:t>)</w:t>
      </w:r>
      <w:r w:rsidR="004B59EC" w:rsidRPr="003D1E07">
        <w:t>. Vyložené důvody jasně ukazují, proč k</w:t>
      </w:r>
      <w:r w:rsidR="08491796" w:rsidRPr="003D1E07">
        <w:t xml:space="preserve">ategorie nelze predikovat na úrovni první substance (οὔτε καθ' ὑποκειμένου λέγεται, </w:t>
      </w:r>
      <w:r w:rsidR="08491796" w:rsidRPr="003D1E07">
        <w:rPr>
          <w:i/>
        </w:rPr>
        <w:t>Cat</w:t>
      </w:r>
      <w:r w:rsidR="08491796" w:rsidRPr="003D1E07">
        <w:t>. 1b4</w:t>
      </w:r>
      <w:r w:rsidR="08491796" w:rsidRPr="003D1E07">
        <w:fldChar w:fldCharType="begin"/>
      </w:r>
      <w:r w:rsidR="08491796" w:rsidRPr="003D1E07">
        <w:instrText xml:space="preserve"> XE "Aristoteles:</w:instrText>
      </w:r>
      <w:r w:rsidR="08491796" w:rsidRPr="003D1E07">
        <w:rPr>
          <w:i/>
        </w:rPr>
        <w:instrText>Cat</w:instrText>
      </w:r>
      <w:r w:rsidR="08491796" w:rsidRPr="003D1E07">
        <w:instrText xml:space="preserve">. 1b4" </w:instrText>
      </w:r>
      <w:r w:rsidR="08491796" w:rsidRPr="003D1E07">
        <w:fldChar w:fldCharType="end"/>
      </w:r>
      <w:r w:rsidR="08491796" w:rsidRPr="003D1E07">
        <w:t xml:space="preserve">). </w:t>
      </w:r>
      <w:r w:rsidR="08532EAD" w:rsidRPr="003D1E07">
        <w:t>Aristoteles uvádí jako příklad první substance</w:t>
      </w:r>
      <w:r w:rsidR="08532EAD" w:rsidRPr="003D1E07">
        <w:fldChar w:fldCharType="begin"/>
      </w:r>
      <w:r w:rsidR="08532EAD" w:rsidRPr="003D1E07">
        <w:instrText xml:space="preserve"> XE "substance:první" </w:instrText>
      </w:r>
      <w:r w:rsidR="08532EAD" w:rsidRPr="003D1E07">
        <w:fldChar w:fldCharType="end"/>
      </w:r>
      <w:r w:rsidR="08532EAD" w:rsidRPr="003D1E07">
        <w:t xml:space="preserve"> reálné bytí člověka a koně. </w:t>
      </w:r>
      <w:r w:rsidR="08C16542" w:rsidRPr="003D1E07">
        <w:t xml:space="preserve">Hyparchickou první substanci je třeba zásadně oddělit od signifikace první substance dané jako </w:t>
      </w:r>
      <w:r w:rsidR="08131C7E" w:rsidRPr="003D1E07">
        <w:t>univerzální esen</w:t>
      </w:r>
      <w:r w:rsidR="08C16542" w:rsidRPr="003D1E07">
        <w:t>ce</w:t>
      </w:r>
      <w:r w:rsidR="08131C7E" w:rsidRPr="003D1E07">
        <w:t xml:space="preserve">. </w:t>
      </w:r>
      <w:r w:rsidR="08D77795" w:rsidRPr="003D1E07">
        <w:t xml:space="preserve">Obě zjevení první substance (tj. v realitě a v mysli) jsou zásadně odlišné. </w:t>
      </w:r>
      <w:r w:rsidR="08131C7E" w:rsidRPr="003D1E07">
        <w:t xml:space="preserve">Postup predikace podle nutnosti dané kauzalitou první substance ukazuje rozdíl mezi mezi jedinečnou a aktuální </w:t>
      </w:r>
      <w:r w:rsidR="08131C7E" w:rsidRPr="003D1E07">
        <w:rPr>
          <w:i/>
        </w:rPr>
        <w:t>ousía</w:t>
      </w:r>
      <w:r w:rsidR="08131C7E" w:rsidRPr="003D1E07">
        <w:t xml:space="preserve"> v realitě a univerzální a pouze potenciální koncept </w:t>
      </w:r>
      <w:r w:rsidR="08131C7E" w:rsidRPr="003D1E07">
        <w:rPr>
          <w:i/>
        </w:rPr>
        <w:t>parousía</w:t>
      </w:r>
      <w:r w:rsidR="08131C7E" w:rsidRPr="003D1E07">
        <w:t xml:space="preserve"> daný v mysli. </w:t>
      </w:r>
      <w:r w:rsidR="08B626B0" w:rsidRPr="003D1E07">
        <w:t>Esence nemůže mít hyparchický význam první substance d</w:t>
      </w:r>
      <w:r w:rsidR="08131C7E" w:rsidRPr="003D1E07">
        <w:t>íky t</w:t>
      </w:r>
      <w:r w:rsidR="08B626B0" w:rsidRPr="003D1E07">
        <w:t>éto fundamentální diferenci</w:t>
      </w:r>
      <w:r w:rsidR="08131C7E" w:rsidRPr="003D1E07">
        <w:t xml:space="preserve"> dané jako nepřekročitelný</w:t>
      </w:r>
      <w:r w:rsidR="08B626B0" w:rsidRPr="003D1E07">
        <w:t>,</w:t>
      </w:r>
      <w:r w:rsidR="08131C7E" w:rsidRPr="003D1E07">
        <w:t xml:space="preserve"> a tedy kategoriální rozdíl mezi</w:t>
      </w:r>
      <w:r w:rsidR="08B626B0" w:rsidRPr="003D1E07">
        <w:t xml:space="preserve"> první a druhou substan</w:t>
      </w:r>
      <w:r w:rsidR="08131C7E" w:rsidRPr="003D1E07">
        <w:t>cí</w:t>
      </w:r>
      <w:r w:rsidR="08C16542" w:rsidRPr="003D1E07">
        <w:t xml:space="preserve">. </w:t>
      </w:r>
      <w:r w:rsidR="08DE65A9" w:rsidRPr="003D1E07">
        <w:t xml:space="preserve">Význam daný slovem není ve výpovědích obsažen jako autonomní substrát fyzikálních změn a pohybu (ἐν ὑποκειμένῳ δὲ οὐδενί ἐστιν, </w:t>
      </w:r>
      <w:r w:rsidR="08DE65A9" w:rsidRPr="003D1E07">
        <w:rPr>
          <w:i/>
        </w:rPr>
        <w:t>Cat</w:t>
      </w:r>
      <w:r w:rsidR="08DE65A9" w:rsidRPr="003D1E07">
        <w:t>. 1a21</w:t>
      </w:r>
      <w:r w:rsidR="08DE65A9" w:rsidRPr="003D1E07">
        <w:fldChar w:fldCharType="begin"/>
      </w:r>
      <w:r w:rsidR="08DE65A9" w:rsidRPr="003D1E07">
        <w:instrText xml:space="preserve"> XE "Aristoteles:</w:instrText>
      </w:r>
      <w:r w:rsidR="08DE65A9" w:rsidRPr="003D1E07">
        <w:rPr>
          <w:i/>
        </w:rPr>
        <w:instrText>Cat</w:instrText>
      </w:r>
      <w:r w:rsidR="08DE65A9" w:rsidRPr="003D1E07">
        <w:instrText xml:space="preserve">. 1a21" </w:instrText>
      </w:r>
      <w:r w:rsidR="08DE65A9" w:rsidRPr="003D1E07">
        <w:fldChar w:fldCharType="end"/>
      </w:r>
      <w:r w:rsidR="08DE65A9" w:rsidRPr="003D1E07">
        <w:t xml:space="preserve">). Scholastika znala tuto tezi pod názvem </w:t>
      </w:r>
      <w:r w:rsidR="08DE65A9" w:rsidRPr="003D1E07">
        <w:rPr>
          <w:i/>
        </w:rPr>
        <w:t>destructio primis</w:t>
      </w:r>
      <w:r w:rsidR="08DE65A9" w:rsidRPr="003D1E07">
        <w:rPr>
          <w:i/>
        </w:rPr>
        <w:fldChar w:fldCharType="begin"/>
      </w:r>
      <w:r w:rsidR="08DE65A9" w:rsidRPr="003D1E07">
        <w:instrText xml:space="preserve"> XE "</w:instrText>
      </w:r>
      <w:r w:rsidR="08DE65A9" w:rsidRPr="003D1E07">
        <w:rPr>
          <w:i/>
        </w:rPr>
        <w:instrText>destructio primis</w:instrText>
      </w:r>
      <w:r w:rsidR="08DE65A9" w:rsidRPr="003D1E07">
        <w:instrText xml:space="preserve">" </w:instrText>
      </w:r>
      <w:r w:rsidR="08DE65A9" w:rsidRPr="003D1E07">
        <w:rPr>
          <w:i/>
        </w:rPr>
        <w:fldChar w:fldCharType="end"/>
      </w:r>
      <w:r w:rsidR="08DE65A9" w:rsidRPr="003D1E07">
        <w:t xml:space="preserve"> podle parafráze spisu </w:t>
      </w:r>
      <w:r w:rsidR="08DE65A9" w:rsidRPr="003D1E07">
        <w:rPr>
          <w:i/>
        </w:rPr>
        <w:t>Kategorie</w:t>
      </w:r>
      <w:r w:rsidR="08DE65A9" w:rsidRPr="003D1E07">
        <w:t xml:space="preserve"> (</w:t>
      </w:r>
      <w:r w:rsidR="08DE65A9" w:rsidRPr="003D1E07">
        <w:rPr>
          <w:i/>
        </w:rPr>
        <w:t>Cat</w:t>
      </w:r>
      <w:r w:rsidR="08DE65A9" w:rsidRPr="003D1E07">
        <w:t>. 2b5‒6</w:t>
      </w:r>
      <w:r w:rsidR="08DE65A9" w:rsidRPr="003D1E07">
        <w:fldChar w:fldCharType="begin"/>
      </w:r>
      <w:r w:rsidR="08DE65A9" w:rsidRPr="003D1E07">
        <w:instrText xml:space="preserve"> XE "Aristoteles:</w:instrText>
      </w:r>
      <w:r w:rsidR="08DE65A9" w:rsidRPr="003D1E07">
        <w:rPr>
          <w:i/>
        </w:rPr>
        <w:instrText>Cat</w:instrText>
      </w:r>
      <w:r w:rsidR="08DE65A9" w:rsidRPr="003D1E07">
        <w:instrText xml:space="preserve">. 2b5‒6" </w:instrText>
      </w:r>
      <w:r w:rsidR="08DE65A9" w:rsidRPr="003D1E07">
        <w:fldChar w:fldCharType="end"/>
      </w:r>
      <w:r w:rsidR="08DE65A9" w:rsidRPr="003D1E07">
        <w:t>).</w:t>
      </w:r>
      <w:r w:rsidR="08DE65A9" w:rsidRPr="003D1E07">
        <w:rPr>
          <w:rStyle w:val="Znakapoznpodarou"/>
        </w:rPr>
        <w:footnoteReference w:id="36"/>
      </w:r>
      <w:r w:rsidR="08DE65A9" w:rsidRPr="003D1E07">
        <w:t xml:space="preserve"> Reálná substance je první v řádu bytí daném v modu </w:t>
      </w:r>
      <w:r w:rsidR="08DE65A9" w:rsidRPr="003D1E07">
        <w:rPr>
          <w:i/>
        </w:rPr>
        <w:t xml:space="preserve">per </w:t>
      </w:r>
      <w:r w:rsidR="08DE65A9" w:rsidRPr="003D1E07">
        <w:rPr>
          <w:i/>
        </w:rPr>
        <w:lastRenderedPageBreak/>
        <w:t>prius</w:t>
      </w:r>
      <w:r w:rsidR="08DE65A9" w:rsidRPr="003D1E07">
        <w:t xml:space="preserve">, proto plně determinuje následující výpovědi dané v modu </w:t>
      </w:r>
      <w:r w:rsidR="08DE65A9" w:rsidRPr="003D1E07">
        <w:rPr>
          <w:i/>
        </w:rPr>
        <w:t>per posterius</w:t>
      </w:r>
      <w:r w:rsidR="08DE65A9" w:rsidRPr="003D1E07">
        <w:fldChar w:fldCharType="begin"/>
      </w:r>
      <w:r w:rsidR="08DE65A9" w:rsidRPr="003D1E07">
        <w:instrText xml:space="preserve"> XE "substance:</w:instrText>
      </w:r>
      <w:r w:rsidR="08DE65A9" w:rsidRPr="003D1E07">
        <w:rPr>
          <w:i/>
        </w:rPr>
        <w:instrText>per prius</w:instrText>
      </w:r>
      <w:r w:rsidR="08DE65A9" w:rsidRPr="003D1E07">
        <w:instrText xml:space="preserve">" </w:instrText>
      </w:r>
      <w:r w:rsidR="08DE65A9" w:rsidRPr="003D1E07">
        <w:fldChar w:fldCharType="end"/>
      </w:r>
      <w:r w:rsidR="08DE65A9" w:rsidRPr="003D1E07">
        <w:t xml:space="preserve">. </w:t>
      </w:r>
      <w:r w:rsidR="08532EAD" w:rsidRPr="003D1E07">
        <w:t>Jednoduché a aktuální bytí jsoucna odděluje reálnou první substanci od významových určení</w:t>
      </w:r>
      <w:r w:rsidR="08DE65A9" w:rsidRPr="003D1E07">
        <w:t xml:space="preserve"> v rámci jazyka, která</w:t>
      </w:r>
      <w:r w:rsidR="08532EAD" w:rsidRPr="003D1E07">
        <w:t xml:space="preserve"> v modu kategoriální impozice vyjadřuje druhá substance</w:t>
      </w:r>
      <w:r w:rsidR="0028334C" w:rsidRPr="003D1E07">
        <w:t xml:space="preserve">. Proto je druhá substance daná </w:t>
      </w:r>
      <w:r w:rsidR="08532EAD" w:rsidRPr="003D1E07">
        <w:t xml:space="preserve">v tabulce kategorií v modu </w:t>
      </w:r>
      <w:r w:rsidR="08532EAD" w:rsidRPr="003D1E07">
        <w:rPr>
          <w:i/>
        </w:rPr>
        <w:t>per prius</w:t>
      </w:r>
      <w:r w:rsidR="08532EAD" w:rsidRPr="003D1E07">
        <w:t xml:space="preserve">. </w:t>
      </w:r>
      <w:r w:rsidR="08532EAD" w:rsidRPr="003D1E07">
        <w:fldChar w:fldCharType="begin"/>
      </w:r>
      <w:r w:rsidR="08532EAD" w:rsidRPr="003D1E07">
        <w:instrText xml:space="preserve"> XE "substance:první" </w:instrText>
      </w:r>
      <w:r w:rsidR="08532EAD" w:rsidRPr="003D1E07">
        <w:fldChar w:fldCharType="end"/>
      </w:r>
      <w:r w:rsidR="08532EAD" w:rsidRPr="003D1E07">
        <w:t xml:space="preserve">K první substanci dané jedinečně a reálně nelze přidat nic z řádu univerzální signifikace. Proto platí, že teprve predikací na úrovni univerzálních kategorií vzniká pojetí pravdy a nepravdy vázané na kopulu soudu. </w:t>
      </w:r>
      <w:r w:rsidR="00D3676C" w:rsidRPr="003D1E07">
        <w:t>Sekundární predikace vytváří vlastní hierarchii signifikace dané univerzálně, čímž se zásadně oddělí od první substance dané pouze aktuálně a</w:t>
      </w:r>
      <w:r w:rsidR="08F52D37" w:rsidRPr="003D1E07">
        <w:t xml:space="preserve"> singulárně</w:t>
      </w:r>
      <w:r w:rsidR="00D3676C" w:rsidRPr="003D1E07">
        <w:t xml:space="preserve">. </w:t>
      </w:r>
      <w:r w:rsidR="005E1099" w:rsidRPr="003D1E07">
        <w:t xml:space="preserve">Impozice významů </w:t>
      </w:r>
      <w:r w:rsidR="00F63C7A" w:rsidRPr="003D1E07">
        <w:t>vztažený</w:t>
      </w:r>
      <w:r w:rsidR="003849E6" w:rsidRPr="003D1E07">
        <w:t>ch k první s</w:t>
      </w:r>
      <w:r w:rsidR="00BC6B30" w:rsidRPr="003D1E07">
        <w:t xml:space="preserve">ubstanci </w:t>
      </w:r>
      <w:r w:rsidR="005E1099" w:rsidRPr="003D1E07">
        <w:t xml:space="preserve">vytváří v jazyce druhou </w:t>
      </w:r>
      <w:r w:rsidR="003D18B6" w:rsidRPr="003D1E07">
        <w:t xml:space="preserve">substanci </w:t>
      </w:r>
      <w:r w:rsidR="00DB1977" w:rsidRPr="003D1E07">
        <w:t xml:space="preserve">danou jako první kategorie </w:t>
      </w:r>
      <w:r w:rsidR="08BA55D6" w:rsidRPr="003D1E07">
        <w:t xml:space="preserve">univerzální </w:t>
      </w:r>
      <w:r w:rsidR="00833C61" w:rsidRPr="003D1E07">
        <w:t>predikace</w:t>
      </w:r>
      <w:r w:rsidR="00446D6C" w:rsidRPr="003D1E07">
        <w:fldChar w:fldCharType="begin"/>
      </w:r>
      <w:r w:rsidR="00446D6C" w:rsidRPr="003D1E07">
        <w:instrText xml:space="preserve"> XE "substance:druhá" </w:instrText>
      </w:r>
      <w:r w:rsidR="00446D6C" w:rsidRPr="003D1E07">
        <w:fldChar w:fldCharType="end"/>
      </w:r>
      <w:r w:rsidR="00833C61" w:rsidRPr="003D1E07">
        <w:t>.</w:t>
      </w:r>
      <w:r w:rsidR="0063478D" w:rsidRPr="003D1E07">
        <w:t xml:space="preserve"> Nad </w:t>
      </w:r>
      <w:r w:rsidR="00A96476" w:rsidRPr="003D1E07">
        <w:t>druhou substancí</w:t>
      </w:r>
      <w:r w:rsidR="0063478D" w:rsidRPr="003D1E07">
        <w:t xml:space="preserve"> </w:t>
      </w:r>
      <w:r w:rsidR="00A96476" w:rsidRPr="003D1E07">
        <w:t>danou v rámci kategoriální predikace</w:t>
      </w:r>
      <w:r w:rsidR="0063478D" w:rsidRPr="003D1E07">
        <w:t xml:space="preserve"> už neexistuje </w:t>
      </w:r>
      <w:r w:rsidR="00A96476" w:rsidRPr="003D1E07">
        <w:t xml:space="preserve">žádný univočně pojatý význam jsoucna </w:t>
      </w:r>
      <w:r w:rsidR="0063478D" w:rsidRPr="003D1E07">
        <w:t>(οὐδέν ἐστι κοινόν</w:t>
      </w:r>
      <w:r w:rsidR="0063478D" w:rsidRPr="003D1E07">
        <w:rPr>
          <w:szCs w:val="24"/>
        </w:rPr>
        <w:t xml:space="preserve">, </w:t>
      </w:r>
      <w:r w:rsidR="0063478D" w:rsidRPr="003D1E07">
        <w:rPr>
          <w:i/>
        </w:rPr>
        <w:t>Met</w:t>
      </w:r>
      <w:r w:rsidR="0063478D" w:rsidRPr="003D1E07">
        <w:t>. 1070b2‒7</w:t>
      </w:r>
      <w:r w:rsidR="00554E31" w:rsidRPr="003D1E07">
        <w:fldChar w:fldCharType="begin"/>
      </w:r>
      <w:r w:rsidR="00554E31" w:rsidRPr="003D1E07">
        <w:instrText xml:space="preserve"> XE "</w:instrText>
      </w:r>
      <w:r w:rsidR="008E02F5" w:rsidRPr="003D1E07">
        <w:instrText>Aristoteles</w:instrText>
      </w:r>
      <w:r w:rsidR="00554E31" w:rsidRPr="003D1E07">
        <w:instrText>:</w:instrText>
      </w:r>
      <w:r w:rsidR="00554E31" w:rsidRPr="003D1E07">
        <w:rPr>
          <w:i/>
        </w:rPr>
        <w:instrText>Met</w:instrText>
      </w:r>
      <w:r w:rsidR="00554E31" w:rsidRPr="003D1E07">
        <w:instrText xml:space="preserve">. 1070b2‒7" </w:instrText>
      </w:r>
      <w:r w:rsidR="00554E31" w:rsidRPr="003D1E07">
        <w:fldChar w:fldCharType="end"/>
      </w:r>
      <w:r w:rsidR="0063478D" w:rsidRPr="003D1E07">
        <w:t>)</w:t>
      </w:r>
      <w:r w:rsidR="00A96476" w:rsidRPr="003D1E07">
        <w:t xml:space="preserve">. Vyšší forma univocity </w:t>
      </w:r>
      <w:r w:rsidR="00715EF6" w:rsidRPr="003D1E07">
        <w:t xml:space="preserve">daná nad druhou substancí </w:t>
      </w:r>
      <w:r w:rsidR="00A96476" w:rsidRPr="003D1E07">
        <w:t xml:space="preserve">by </w:t>
      </w:r>
      <w:r w:rsidR="0063478D" w:rsidRPr="003D1E07">
        <w:t>předpok</w:t>
      </w:r>
      <w:r w:rsidR="004C4D15" w:rsidRPr="003D1E07">
        <w:t>ládala oddělenou</w:t>
      </w:r>
      <w:r w:rsidR="08F52D37" w:rsidRPr="003D1E07">
        <w:t xml:space="preserve"> jsoucnost p</w:t>
      </w:r>
      <w:r w:rsidR="004C4D15" w:rsidRPr="003D1E07">
        <w:t>lato</w:t>
      </w:r>
      <w:r w:rsidR="0063478D" w:rsidRPr="003D1E07">
        <w:t>n</w:t>
      </w:r>
      <w:r w:rsidR="08F52D37" w:rsidRPr="003D1E07">
        <w:t>sk</w:t>
      </w:r>
      <w:r w:rsidR="0063478D" w:rsidRPr="003D1E07">
        <w:t>ých idejí a nejvyšších rodů</w:t>
      </w:r>
      <w:r w:rsidR="00030D7B" w:rsidRPr="003D1E07">
        <w:t xml:space="preserve"> Plotina</w:t>
      </w:r>
      <w:r w:rsidR="0063478D" w:rsidRPr="003D1E07">
        <w:t>.</w:t>
      </w:r>
      <w:bookmarkStart w:id="20" w:name="_Ref375953363"/>
      <w:r w:rsidR="00344E5A" w:rsidRPr="003D1E07">
        <w:rPr>
          <w:rStyle w:val="Znakapoznpodarou"/>
          <w:lang w:eastAsia="en-US"/>
        </w:rPr>
        <w:footnoteReference w:id="37"/>
      </w:r>
      <w:bookmarkEnd w:id="20"/>
      <w:r w:rsidR="0063478D" w:rsidRPr="003D1E07">
        <w:t xml:space="preserve"> </w:t>
      </w:r>
      <w:r w:rsidR="00715EF6" w:rsidRPr="003D1E07">
        <w:t xml:space="preserve">Kategoriální </w:t>
      </w:r>
      <w:r w:rsidR="005E1099" w:rsidRPr="003D1E07">
        <w:t>stat</w:t>
      </w:r>
      <w:r w:rsidR="00DE27CC" w:rsidRPr="003D1E07">
        <w:t xml:space="preserve">us </w:t>
      </w:r>
      <w:r w:rsidR="00715EF6" w:rsidRPr="003D1E07">
        <w:t xml:space="preserve">predikovaného </w:t>
      </w:r>
      <w:r w:rsidR="084574A8" w:rsidRPr="003D1E07">
        <w:t xml:space="preserve">univerzálního </w:t>
      </w:r>
      <w:r w:rsidR="00715EF6" w:rsidRPr="003D1E07">
        <w:t xml:space="preserve">významu </w:t>
      </w:r>
      <w:r w:rsidR="00DE27CC" w:rsidRPr="003D1E07">
        <w:t xml:space="preserve">závisí na druhové či rodové vzdálenosti </w:t>
      </w:r>
      <w:r w:rsidR="005E1099" w:rsidRPr="003D1E07">
        <w:t>od první substance</w:t>
      </w:r>
      <w:r w:rsidR="0077509C" w:rsidRPr="003D1E07">
        <w:t xml:space="preserve">. </w:t>
      </w:r>
      <w:r w:rsidR="084574A8" w:rsidRPr="003D1E07">
        <w:t xml:space="preserve">Druh má z hlediska příbuznosti bližší určení vzhledem k první substanci </w:t>
      </w:r>
      <w:r w:rsidR="00D95966" w:rsidRPr="003D1E07">
        <w:t xml:space="preserve">než rod (μᾶλλον οὐσία τὸ εἶδος τοῦ γένους), protože má blíže k první substanci (ἔγγιον γὰρ τῆς πρώτης οὐσίας ἐστίν, </w:t>
      </w:r>
      <w:r w:rsidR="009B36D7" w:rsidRPr="003D1E07">
        <w:rPr>
          <w:i/>
        </w:rPr>
        <w:t>Cat</w:t>
      </w:r>
      <w:r w:rsidR="009B36D7" w:rsidRPr="003D1E07">
        <w:t xml:space="preserve">. </w:t>
      </w:r>
      <w:r w:rsidR="00D95966" w:rsidRPr="003D1E07">
        <w:t>2b7</w:t>
      </w:r>
      <w:r w:rsidR="002E49B4" w:rsidRPr="003D1E07">
        <w:t>–</w:t>
      </w:r>
      <w:r w:rsidR="00D95966" w:rsidRPr="003D1E07">
        <w:t>8</w:t>
      </w:r>
      <w:r w:rsidR="00554E31" w:rsidRPr="003D1E07">
        <w:fldChar w:fldCharType="begin"/>
      </w:r>
      <w:r w:rsidR="00554E31" w:rsidRPr="003D1E07">
        <w:instrText xml:space="preserve"> XE "</w:instrText>
      </w:r>
      <w:r w:rsidR="008E02F5" w:rsidRPr="003D1E07">
        <w:instrText>Aristoteles</w:instrText>
      </w:r>
      <w:r w:rsidR="00554E31" w:rsidRPr="003D1E07">
        <w:instrText>:</w:instrText>
      </w:r>
      <w:r w:rsidR="00554E31" w:rsidRPr="003D1E07">
        <w:rPr>
          <w:i/>
        </w:rPr>
        <w:instrText>Cat</w:instrText>
      </w:r>
      <w:r w:rsidR="00554E31" w:rsidRPr="003D1E07">
        <w:instrText xml:space="preserve">. 2b7‒8" </w:instrText>
      </w:r>
      <w:r w:rsidR="00554E31" w:rsidRPr="003D1E07">
        <w:fldChar w:fldCharType="end"/>
      </w:r>
      <w:r w:rsidR="00D95966" w:rsidRPr="003D1E07">
        <w:t>)</w:t>
      </w:r>
      <w:r w:rsidR="00015CB8">
        <w:t>.</w:t>
      </w:r>
    </w:p>
    <w:p w14:paraId="5B9E91F3" w14:textId="3123D2CD" w:rsidR="005045ED" w:rsidRPr="003D1E07" w:rsidRDefault="08F809B2" w:rsidP="00015CB8">
      <w:pPr>
        <w:ind w:firstLine="397"/>
      </w:pPr>
      <w:r w:rsidRPr="003D1E07">
        <w:t xml:space="preserve">Predikace </w:t>
      </w:r>
      <w:r w:rsidRPr="003D1E07">
        <w:rPr>
          <w:i/>
        </w:rPr>
        <w:t>per prius</w:t>
      </w:r>
      <w:r w:rsidRPr="003D1E07">
        <w:t xml:space="preserve"> a </w:t>
      </w:r>
      <w:r w:rsidRPr="003D1E07">
        <w:rPr>
          <w:i/>
        </w:rPr>
        <w:t>per posterius</w:t>
      </w:r>
      <w:r w:rsidRPr="003D1E07">
        <w:t xml:space="preserve"> je řízena dvěma principy</w:t>
      </w:r>
      <w:r w:rsidRPr="003D1E07">
        <w:fldChar w:fldCharType="begin"/>
      </w:r>
      <w:r w:rsidRPr="003D1E07">
        <w:instrText xml:space="preserve"> XE "predikace:hyparchická" </w:instrText>
      </w:r>
      <w:r w:rsidRPr="003D1E07">
        <w:fldChar w:fldCharType="end"/>
      </w:r>
      <w:r w:rsidR="080A64F7" w:rsidRPr="003D1E07">
        <w:t xml:space="preserve">. Impozice </w:t>
      </w:r>
      <w:r w:rsidR="08711F70" w:rsidRPr="003D1E07">
        <w:t xml:space="preserve">hyparchického </w:t>
      </w:r>
      <w:r w:rsidR="080A64F7" w:rsidRPr="003D1E07">
        <w:t>významu jde</w:t>
      </w:r>
      <w:r w:rsidRPr="003D1E07">
        <w:t xml:space="preserve"> </w:t>
      </w:r>
      <w:r w:rsidRPr="003D1E07">
        <w:fldChar w:fldCharType="begin"/>
      </w:r>
      <w:r w:rsidRPr="003D1E07">
        <w:instrText xml:space="preserve"> XE "impozice:Aristoteles" </w:instrText>
      </w:r>
      <w:r w:rsidRPr="003D1E07">
        <w:fldChar w:fldCharType="end"/>
      </w:r>
      <w:r w:rsidRPr="003D1E07">
        <w:t xml:space="preserve">od první substance </w:t>
      </w:r>
      <w:r w:rsidR="080A64F7" w:rsidRPr="003D1E07">
        <w:t xml:space="preserve">přes </w:t>
      </w:r>
      <w:r w:rsidRPr="003D1E07">
        <w:t>druh</w:t>
      </w:r>
      <w:r w:rsidR="080A64F7" w:rsidRPr="003D1E07">
        <w:t xml:space="preserve"> a následně přes rod. Supozice</w:t>
      </w:r>
      <w:r w:rsidRPr="003D1E07">
        <w:t xml:space="preserve"> univerzálního významu </w:t>
      </w:r>
      <w:r w:rsidR="080A64F7" w:rsidRPr="003D1E07">
        <w:t xml:space="preserve">jde od </w:t>
      </w:r>
      <w:r w:rsidRPr="003D1E07">
        <w:t>rod</w:t>
      </w:r>
      <w:r w:rsidR="080A64F7" w:rsidRPr="003D1E07">
        <w:t xml:space="preserve">u </w:t>
      </w:r>
      <w:r w:rsidRPr="003D1E07">
        <w:fldChar w:fldCharType="begin"/>
      </w:r>
      <w:r w:rsidRPr="003D1E07">
        <w:instrText xml:space="preserve"> XE "supozice:Aristoteles" </w:instrText>
      </w:r>
      <w:r w:rsidRPr="003D1E07">
        <w:fldChar w:fldCharType="end"/>
      </w:r>
      <w:r w:rsidR="08711F70" w:rsidRPr="003D1E07">
        <w:t xml:space="preserve"> přes druh</w:t>
      </w:r>
      <w:r w:rsidR="080A64F7" w:rsidRPr="003D1E07">
        <w:t xml:space="preserve"> až k první substanci. </w:t>
      </w:r>
      <w:r w:rsidR="00C700B4" w:rsidRPr="003D1E07">
        <w:t>Klíčový význam pro hermeneutiku má následující pasáž</w:t>
      </w:r>
      <w:r w:rsidR="00DF1D7F" w:rsidRPr="003D1E07">
        <w:t xml:space="preserve"> </w:t>
      </w:r>
      <w:r w:rsidR="00DF1D7F" w:rsidRPr="003D1E07">
        <w:rPr>
          <w:i/>
        </w:rPr>
        <w:t>Kategorií</w:t>
      </w:r>
      <w:r w:rsidR="00DF1D7F" w:rsidRPr="003D1E07">
        <w:t>, která představuje základní rozlišení náhledů na jednotu jsoucna</w:t>
      </w:r>
      <w:r w:rsidR="088A6033" w:rsidRPr="003D1E07">
        <w:t xml:space="preserve"> v modu </w:t>
      </w:r>
      <w:r w:rsidR="088A6033" w:rsidRPr="003D1E07">
        <w:rPr>
          <w:i/>
        </w:rPr>
        <w:t>per prius</w:t>
      </w:r>
      <w:r w:rsidR="088A6033" w:rsidRPr="003D1E07">
        <w:t xml:space="preserve"> a </w:t>
      </w:r>
      <w:r w:rsidR="088A6033" w:rsidRPr="003D1E07">
        <w:rPr>
          <w:i/>
        </w:rPr>
        <w:t>per posterius</w:t>
      </w:r>
      <w:r w:rsidR="00DF1D7F" w:rsidRPr="003D1E07">
        <w:t xml:space="preserve">. </w:t>
      </w:r>
      <w:r w:rsidR="004A34C3" w:rsidRPr="003D1E07">
        <w:t>O</w:t>
      </w:r>
      <w:r w:rsidR="00DF1D7F" w:rsidRPr="003D1E07">
        <w:t xml:space="preserve">ba náhledy </w:t>
      </w:r>
      <w:r w:rsidR="085C714A" w:rsidRPr="003D1E07">
        <w:t xml:space="preserve">naposledy existují v původní jednotě kritického myšlení </w:t>
      </w:r>
      <w:r w:rsidR="082D72C4" w:rsidRPr="003D1E07">
        <w:t>dané</w:t>
      </w:r>
      <w:r w:rsidR="085C714A" w:rsidRPr="003D1E07">
        <w:t>ho</w:t>
      </w:r>
      <w:r w:rsidR="082D72C4" w:rsidRPr="003D1E07">
        <w:t xml:space="preserve"> vzhledem k reálné věci a vzhledem k obecnému významu</w:t>
      </w:r>
      <w:r w:rsidR="00DF1D7F" w:rsidRPr="003D1E07">
        <w:t>.</w:t>
      </w:r>
    </w:p>
    <w:p w14:paraId="6D520B57" w14:textId="57EE61EF" w:rsidR="005045ED" w:rsidRPr="003D1E07" w:rsidRDefault="005045ED" w:rsidP="006A2420">
      <w:pPr>
        <w:pStyle w:val="Citace"/>
        <w:rPr>
          <w:lang w:val="cs-CZ"/>
        </w:rPr>
      </w:pPr>
      <w:r w:rsidRPr="003D1E07">
        <w:rPr>
          <w:lang w:val="cs-CZ"/>
        </w:rPr>
        <w:t>„</w:t>
      </w:r>
      <w:r w:rsidR="006A2420" w:rsidRPr="003D1E07">
        <w:rPr>
          <w:lang w:val="cs-CZ"/>
        </w:rPr>
        <w:t xml:space="preserve">V odvozeném smyslu se nazývají substancemi i ty (δεύτεραι δὲ οὐσίαι λέγονται), v jejichž </w:t>
      </w:r>
      <w:r w:rsidR="00F214C5" w:rsidRPr="003D1E07">
        <w:rPr>
          <w:lang w:val="cs-CZ"/>
        </w:rPr>
        <w:t>species</w:t>
      </w:r>
      <w:r w:rsidR="006A2420" w:rsidRPr="003D1E07">
        <w:rPr>
          <w:lang w:val="cs-CZ"/>
        </w:rPr>
        <w:t xml:space="preserve"> (ἐν οἷς εἴδεσιν) jsou predikovány </w:t>
      </w:r>
      <w:r w:rsidR="080D6B37" w:rsidRPr="003D1E07">
        <w:rPr>
          <w:lang w:val="cs-CZ"/>
        </w:rPr>
        <w:t xml:space="preserve">první substance existující hyparchicky </w:t>
      </w:r>
      <w:r w:rsidR="006A2420" w:rsidRPr="003D1E07">
        <w:rPr>
          <w:lang w:val="cs-CZ"/>
        </w:rPr>
        <w:t xml:space="preserve">(πρώτως οὐσίαι λεγόμεναι </w:t>
      </w:r>
      <w:r w:rsidR="006A2420" w:rsidRPr="003D1E07">
        <w:rPr>
          <w:lang w:val="cs-CZ"/>
        </w:rPr>
        <w:lastRenderedPageBreak/>
        <w:t>ὑπάρχουσιν</w:t>
      </w:r>
      <w:r w:rsidR="006F785E" w:rsidRPr="003D1E07">
        <w:rPr>
          <w:lang w:val="cs-CZ"/>
        </w:rPr>
        <w:t>). S</w:t>
      </w:r>
      <w:r w:rsidR="001B3866" w:rsidRPr="003D1E07">
        <w:rPr>
          <w:lang w:val="cs-CZ"/>
        </w:rPr>
        <w:t>ubsta</w:t>
      </w:r>
      <w:r w:rsidR="004A34C3" w:rsidRPr="003D1E07">
        <w:rPr>
          <w:lang w:val="cs-CZ"/>
        </w:rPr>
        <w:t>n</w:t>
      </w:r>
      <w:r w:rsidR="001B3866" w:rsidRPr="003D1E07">
        <w:rPr>
          <w:lang w:val="cs-CZ"/>
        </w:rPr>
        <w:t>ční významy</w:t>
      </w:r>
      <w:r w:rsidR="08955247" w:rsidRPr="003D1E07">
        <w:rPr>
          <w:lang w:val="cs-CZ"/>
        </w:rPr>
        <w:t xml:space="preserve"> dané ve </w:t>
      </w:r>
      <w:r w:rsidR="006A2420" w:rsidRPr="003D1E07">
        <w:rPr>
          <w:lang w:val="cs-CZ"/>
        </w:rPr>
        <w:t xml:space="preserve">formě </w:t>
      </w:r>
      <w:r w:rsidR="08955247" w:rsidRPr="003D1E07">
        <w:rPr>
          <w:lang w:val="cs-CZ"/>
        </w:rPr>
        <w:t xml:space="preserve">rodu </w:t>
      </w:r>
      <w:r w:rsidR="006A2420" w:rsidRPr="003D1E07">
        <w:rPr>
          <w:lang w:val="cs-CZ"/>
        </w:rPr>
        <w:t xml:space="preserve">do sebe zahrnují i </w:t>
      </w:r>
      <w:r w:rsidR="00F214C5" w:rsidRPr="003D1E07">
        <w:rPr>
          <w:lang w:val="cs-CZ"/>
        </w:rPr>
        <w:t>species</w:t>
      </w:r>
      <w:r w:rsidR="006A2420" w:rsidRPr="003D1E07">
        <w:rPr>
          <w:lang w:val="cs-CZ"/>
        </w:rPr>
        <w:t xml:space="preserve"> (ταῦτά τε καὶ τὰ τῶν εἰδῶν τούτων γένη).</w:t>
      </w:r>
      <w:r w:rsidR="001B3866" w:rsidRPr="003D1E07">
        <w:rPr>
          <w:lang w:val="cs-CZ"/>
        </w:rPr>
        <w:t>“ </w:t>
      </w:r>
      <w:r w:rsidR="006A2420" w:rsidRPr="003D1E07">
        <w:rPr>
          <w:rStyle w:val="Znakapoznpodarou"/>
          <w:lang w:val="cs-CZ"/>
        </w:rPr>
        <w:footnoteReference w:id="38"/>
      </w:r>
    </w:p>
    <w:p w14:paraId="7F89F04D" w14:textId="41E02592" w:rsidR="08AC601A" w:rsidRPr="003D1E07" w:rsidRDefault="005045ED" w:rsidP="08AC601A">
      <w:r w:rsidRPr="003D1E07">
        <w:t>Citovaná pasáž u</w:t>
      </w:r>
      <w:r w:rsidR="00C700B4" w:rsidRPr="003D1E07">
        <w:t>kazuje předchůdnou dráhu náhledu (</w:t>
      </w:r>
      <w:r w:rsidR="00C700B4" w:rsidRPr="003D1E07">
        <w:rPr>
          <w:i/>
        </w:rPr>
        <w:t>Vor-blickbahn</w:t>
      </w:r>
      <w:r w:rsidR="006B28CF" w:rsidRPr="003D1E07">
        <w:rPr>
          <w:i/>
        </w:rPr>
        <w:fldChar w:fldCharType="begin"/>
      </w:r>
      <w:r w:rsidR="006B28CF" w:rsidRPr="003D1E07">
        <w:instrText xml:space="preserve"> XE "</w:instrText>
      </w:r>
      <w:r w:rsidR="08106DC9" w:rsidRPr="003D1E07">
        <w:rPr>
          <w:i/>
        </w:rPr>
        <w:instrText>Vor-</w:instrText>
      </w:r>
      <w:r w:rsidR="006B28CF" w:rsidRPr="003D1E07">
        <w:rPr>
          <w:i/>
        </w:rPr>
        <w:instrText>b</w:instrText>
      </w:r>
      <w:r w:rsidR="006B28CF" w:rsidRPr="003D1E07">
        <w:rPr>
          <w:i/>
          <w:iCs/>
        </w:rPr>
        <w:instrText>lickbahn</w:instrText>
      </w:r>
      <w:r w:rsidR="006B28CF" w:rsidRPr="003D1E07">
        <w:rPr>
          <w:iCs/>
        </w:rPr>
        <w:instrText>:</w:instrText>
      </w:r>
      <w:r w:rsidR="008E02F5" w:rsidRPr="003D1E07">
        <w:rPr>
          <w:iCs/>
        </w:rPr>
        <w:instrText>Aristoteles</w:instrText>
      </w:r>
      <w:r w:rsidR="006B28CF" w:rsidRPr="003D1E07">
        <w:instrText xml:space="preserve">" </w:instrText>
      </w:r>
      <w:r w:rsidR="006B28CF" w:rsidRPr="003D1E07">
        <w:rPr>
          <w:i/>
        </w:rPr>
        <w:fldChar w:fldCharType="end"/>
      </w:r>
      <w:r w:rsidR="00C700B4" w:rsidRPr="003D1E07">
        <w:t>)</w:t>
      </w:r>
      <w:r w:rsidR="00B41564" w:rsidRPr="003D1E07">
        <w:t xml:space="preserve"> na kategoriálně predikovaný celek jsoucna</w:t>
      </w:r>
      <w:r w:rsidR="00446D6C" w:rsidRPr="003D1E07">
        <w:fldChar w:fldCharType="begin"/>
      </w:r>
      <w:r w:rsidR="00446D6C" w:rsidRPr="003D1E07">
        <w:instrText xml:space="preserve"> XE "vidění</w:instrText>
      </w:r>
      <w:r w:rsidR="00AA5638" w:rsidRPr="003D1E07">
        <w:instrText>:dráha náhledu</w:instrText>
      </w:r>
      <w:r w:rsidR="00446D6C" w:rsidRPr="003D1E07">
        <w:instrText xml:space="preserve">" </w:instrText>
      </w:r>
      <w:r w:rsidR="00446D6C" w:rsidRPr="003D1E07">
        <w:fldChar w:fldCharType="end"/>
      </w:r>
      <w:r w:rsidR="00C700B4" w:rsidRPr="003D1E07">
        <w:t xml:space="preserve">, v němž je třeba rozlišit dvě odlišné formy </w:t>
      </w:r>
      <w:r w:rsidR="08F149EC" w:rsidRPr="003D1E07">
        <w:t xml:space="preserve">univoční </w:t>
      </w:r>
      <w:r w:rsidR="00C700B4" w:rsidRPr="003D1E07">
        <w:t>predikace</w:t>
      </w:r>
      <w:r w:rsidR="0023502F">
        <w:t>: hyparchickou</w:t>
      </w:r>
      <w:r w:rsidR="08106CE5" w:rsidRPr="003D1E07">
        <w:t xml:space="preserve"> a univerzální</w:t>
      </w:r>
      <w:r w:rsidR="00C700B4" w:rsidRPr="003D1E07">
        <w:t>.</w:t>
      </w:r>
      <w:r w:rsidR="00D45B4D" w:rsidRPr="003D1E07">
        <w:t xml:space="preserve"> </w:t>
      </w:r>
      <w:r w:rsidR="006250E8" w:rsidRPr="003D1E07">
        <w:t>P</w:t>
      </w:r>
      <w:r w:rsidR="009E7341" w:rsidRPr="003D1E07">
        <w:t xml:space="preserve">redikace </w:t>
      </w:r>
      <w:r w:rsidR="00F20E1A" w:rsidRPr="003D1E07">
        <w:t xml:space="preserve">univočního významu </w:t>
      </w:r>
      <w:r w:rsidR="006250E8" w:rsidRPr="003D1E07">
        <w:t xml:space="preserve">je </w:t>
      </w:r>
      <w:r w:rsidR="00A558D5" w:rsidRPr="003D1E07">
        <w:t xml:space="preserve">nejprve a zásadně </w:t>
      </w:r>
      <w:r w:rsidR="006250E8" w:rsidRPr="003D1E07">
        <w:t xml:space="preserve">dána </w:t>
      </w:r>
      <w:r w:rsidR="009E7341" w:rsidRPr="003D1E07">
        <w:t>směrem od první substance</w:t>
      </w:r>
      <w:r w:rsidR="081F7F8F" w:rsidRPr="003D1E07">
        <w:t xml:space="preserve"> (πρώτως οὐσίαι λεγόμεναι)</w:t>
      </w:r>
      <w:r w:rsidR="009E7341" w:rsidRPr="003D1E07">
        <w:t xml:space="preserve">. </w:t>
      </w:r>
      <w:r w:rsidR="081F7F8F" w:rsidRPr="003D1E07">
        <w:t xml:space="preserve">První substance </w:t>
      </w:r>
      <w:r w:rsidR="08F149EC" w:rsidRPr="003D1E07">
        <w:t>zakládá každou predikaci proto, že existuje sama od sebe a pro sebe</w:t>
      </w:r>
      <w:r w:rsidR="08AA120C" w:rsidRPr="003D1E07">
        <w:t xml:space="preserve"> v hyparchickém modu bytí. </w:t>
      </w:r>
      <w:r w:rsidR="089500B1" w:rsidRPr="003D1E07">
        <w:t xml:space="preserve">Nejprve a zásadně je dána první substance. </w:t>
      </w:r>
      <w:r w:rsidR="08AA120C" w:rsidRPr="003D1E07">
        <w:t xml:space="preserve">Minulostní ráz této donace vyjadřuje predikace podle </w:t>
      </w:r>
      <w:r w:rsidR="08B779FB" w:rsidRPr="003D1E07">
        <w:t xml:space="preserve">metafyzického </w:t>
      </w:r>
      <w:r w:rsidR="08EF0539" w:rsidRPr="003D1E07">
        <w:t>dativu. P</w:t>
      </w:r>
      <w:r w:rsidR="08A51C57" w:rsidRPr="003D1E07">
        <w:t>redikace je determinována</w:t>
      </w:r>
      <w:r w:rsidR="08AA120C" w:rsidRPr="003D1E07">
        <w:t xml:space="preserve"> skrze hyparchicky danou první substanci</w:t>
      </w:r>
      <w:r w:rsidR="08A51C57" w:rsidRPr="003D1E07">
        <w:t>, tedy principem reality</w:t>
      </w:r>
      <w:r w:rsidR="08F149EC" w:rsidRPr="003D1E07">
        <w:t xml:space="preserve">. </w:t>
      </w:r>
      <w:r w:rsidR="00CD1160" w:rsidRPr="003D1E07">
        <w:t xml:space="preserve">Kategoriální </w:t>
      </w:r>
      <w:r w:rsidR="00CD7F94" w:rsidRPr="003D1E07">
        <w:t xml:space="preserve">substanci </w:t>
      </w:r>
      <w:r w:rsidR="004D7489" w:rsidRPr="003D1E07">
        <w:t>z hlediska status</w:t>
      </w:r>
      <w:r w:rsidR="00CD7F94" w:rsidRPr="003D1E07">
        <w:t xml:space="preserve">u </w:t>
      </w:r>
      <w:r w:rsidR="00CD7F94" w:rsidRPr="003D1E07">
        <w:rPr>
          <w:i/>
        </w:rPr>
        <w:t>per prius</w:t>
      </w:r>
      <w:r w:rsidR="00CD7F94" w:rsidRPr="003D1E07">
        <w:t xml:space="preserve"> vztaženého k původní substanci nejprve vyjadřuje </w:t>
      </w:r>
      <w:r w:rsidR="00F214C5" w:rsidRPr="003D1E07">
        <w:t>species</w:t>
      </w:r>
      <w:r w:rsidR="007C1F9E" w:rsidRPr="003D1E07">
        <w:t xml:space="preserve"> (ἐν οἷς εἴδεσιν), protože v sobě nejprve a bezprostředně obsahuje původní význam první substance</w:t>
      </w:r>
      <w:r w:rsidR="00CD7F94" w:rsidRPr="003D1E07">
        <w:t xml:space="preserve">. </w:t>
      </w:r>
      <w:r w:rsidR="08E65822" w:rsidRPr="003D1E07">
        <w:t xml:space="preserve">Znovu platí </w:t>
      </w:r>
      <w:r w:rsidR="08B779FB" w:rsidRPr="003D1E07">
        <w:t xml:space="preserve">metafyzický </w:t>
      </w:r>
      <w:r w:rsidR="08652EB1" w:rsidRPr="003D1E07">
        <w:t>dativ</w:t>
      </w:r>
      <w:r w:rsidR="08CE4648" w:rsidRPr="003D1E07">
        <w:t xml:space="preserve"> v jeho minulostním modu</w:t>
      </w:r>
      <w:r w:rsidR="08652EB1" w:rsidRPr="003D1E07">
        <w:t>, ale tentokr</w:t>
      </w:r>
      <w:r w:rsidR="08E65822" w:rsidRPr="003D1E07">
        <w:t xml:space="preserve">át v </w:t>
      </w:r>
      <w:r w:rsidR="08CE4648" w:rsidRPr="003D1E07">
        <w:t xml:space="preserve">oboru </w:t>
      </w:r>
      <w:r w:rsidR="08E65822" w:rsidRPr="003D1E07">
        <w:t>univerzá</w:t>
      </w:r>
      <w:r w:rsidR="08652EB1" w:rsidRPr="003D1E07">
        <w:t>l</w:t>
      </w:r>
      <w:r w:rsidR="08E65822" w:rsidRPr="003D1E07">
        <w:t>ní predikace</w:t>
      </w:r>
      <w:r w:rsidR="006D667B" w:rsidRPr="003D1E07">
        <w:t xml:space="preserve"> chápané „hyparchicky“. Tato nejdůležitější metafyzická predikace </w:t>
      </w:r>
      <w:r w:rsidR="08E65822" w:rsidRPr="003D1E07">
        <w:t xml:space="preserve">předává </w:t>
      </w:r>
      <w:r w:rsidR="00CE5904" w:rsidRPr="003D1E07">
        <w:t>jedinečnost</w:t>
      </w:r>
      <w:r w:rsidR="08E65822" w:rsidRPr="003D1E07">
        <w:t xml:space="preserve"> </w:t>
      </w:r>
      <w:r w:rsidR="00CE5904" w:rsidRPr="003D1E07">
        <w:t xml:space="preserve">bytí </w:t>
      </w:r>
      <w:r w:rsidR="08E65822" w:rsidRPr="003D1E07">
        <w:t xml:space="preserve">první substance </w:t>
      </w:r>
      <w:r w:rsidR="08DF1119" w:rsidRPr="003D1E07">
        <w:t xml:space="preserve">v řádu univerzální signifikace </w:t>
      </w:r>
      <w:r w:rsidR="08E65822" w:rsidRPr="003D1E07">
        <w:t xml:space="preserve">zezdola nahoru, od druhu na rod. </w:t>
      </w:r>
      <w:r w:rsidR="08B81044" w:rsidRPr="003D1E07">
        <w:t xml:space="preserve">Kategoriálně </w:t>
      </w:r>
      <w:r w:rsidR="080E57D1" w:rsidRPr="003D1E07">
        <w:t>určené</w:t>
      </w:r>
      <w:r w:rsidR="08F04D6A" w:rsidRPr="003D1E07">
        <w:t xml:space="preserve"> p</w:t>
      </w:r>
      <w:r w:rsidR="00CD7F94" w:rsidRPr="003D1E07">
        <w:t xml:space="preserve">ořadí významu </w:t>
      </w:r>
      <w:r w:rsidR="08F04D6A" w:rsidRPr="003D1E07">
        <w:t xml:space="preserve">je primárně </w:t>
      </w:r>
      <w:r w:rsidR="00CD7F94" w:rsidRPr="003D1E07">
        <w:t xml:space="preserve">vztažené k první substanci </w:t>
      </w:r>
      <w:r w:rsidR="00390563" w:rsidRPr="003D1E07">
        <w:t xml:space="preserve">v modu </w:t>
      </w:r>
      <w:r w:rsidR="00390563" w:rsidRPr="003D1E07">
        <w:rPr>
          <w:i/>
        </w:rPr>
        <w:t>per prius</w:t>
      </w:r>
      <w:r w:rsidR="00390563" w:rsidRPr="003D1E07">
        <w:t xml:space="preserve"> (πρώτως)</w:t>
      </w:r>
      <w:r w:rsidR="080E57D1" w:rsidRPr="003D1E07">
        <w:t>, který je dán jako impozice signifikace přímo od první substance</w:t>
      </w:r>
      <w:r w:rsidR="00EB075A" w:rsidRPr="003D1E07">
        <w:t xml:space="preserve"> (tj. hyparchicky)</w:t>
      </w:r>
      <w:r w:rsidR="001037EB" w:rsidRPr="003D1E07">
        <w:fldChar w:fldCharType="begin"/>
      </w:r>
      <w:r w:rsidR="001037EB" w:rsidRPr="003D1E07">
        <w:instrText xml:space="preserve"> XE "</w:instrText>
      </w:r>
      <w:r w:rsidR="008822E6" w:rsidRPr="003D1E07">
        <w:instrText>substance:první</w:instrText>
      </w:r>
      <w:r w:rsidR="001037EB" w:rsidRPr="003D1E07">
        <w:instrText xml:space="preserve">" </w:instrText>
      </w:r>
      <w:r w:rsidR="001037EB" w:rsidRPr="003D1E07">
        <w:fldChar w:fldCharType="end"/>
      </w:r>
      <w:r w:rsidR="08F04D6A" w:rsidRPr="003D1E07">
        <w:t xml:space="preserve">. Tento směr náhledu na smysl jsoucna </w:t>
      </w:r>
      <w:r w:rsidR="00CD7F94" w:rsidRPr="003D1E07">
        <w:t xml:space="preserve">je pro hermeneutiku zcela zásadní. </w:t>
      </w:r>
      <w:r w:rsidR="004D7489" w:rsidRPr="003D1E07">
        <w:t xml:space="preserve">Druh </w:t>
      </w:r>
      <w:r w:rsidR="00D36036" w:rsidRPr="003D1E07">
        <w:t xml:space="preserve">má nejblíže k primární substanci z hlediska </w:t>
      </w:r>
      <w:r w:rsidR="007F3C60" w:rsidRPr="003D1E07">
        <w:t xml:space="preserve">vzniku </w:t>
      </w:r>
      <w:r w:rsidR="08DF2586" w:rsidRPr="003D1E07">
        <w:t xml:space="preserve">či </w:t>
      </w:r>
      <w:r w:rsidR="00C011ED" w:rsidRPr="003D1E07">
        <w:t>za</w:t>
      </w:r>
      <w:r w:rsidR="08DF2586" w:rsidRPr="003D1E07">
        <w:t>ložení</w:t>
      </w:r>
      <w:r w:rsidR="00C011ED" w:rsidRPr="003D1E07">
        <w:t xml:space="preserve"> </w:t>
      </w:r>
      <w:r w:rsidR="0097229E" w:rsidRPr="003D1E07">
        <w:t xml:space="preserve">kategoriálního </w:t>
      </w:r>
      <w:r w:rsidR="00D36036" w:rsidRPr="003D1E07">
        <w:t>významu</w:t>
      </w:r>
      <w:r w:rsidR="00A558D5" w:rsidRPr="003D1E07">
        <w:t xml:space="preserve"> (ὑπάρχω)</w:t>
      </w:r>
      <w:r w:rsidR="004E69CE" w:rsidRPr="003D1E07">
        <w:t>, protože v řádu kauzality a poznání má nejblíže k původní jedinečné první substanci</w:t>
      </w:r>
      <w:r w:rsidR="00D36036" w:rsidRPr="003D1E07">
        <w:t xml:space="preserve">. </w:t>
      </w:r>
      <w:r w:rsidR="00C361C4" w:rsidRPr="003D1E07">
        <w:t xml:space="preserve">Smysl kategoriální predikace </w:t>
      </w:r>
      <w:r w:rsidR="00396B48" w:rsidRPr="003D1E07">
        <w:t xml:space="preserve">je </w:t>
      </w:r>
      <w:r w:rsidR="00C361C4" w:rsidRPr="003D1E07">
        <w:t xml:space="preserve">daný </w:t>
      </w:r>
      <w:r w:rsidR="00396B48" w:rsidRPr="003D1E07">
        <w:t xml:space="preserve">v </w:t>
      </w:r>
      <w:r w:rsidR="08080469" w:rsidRPr="003D1E07">
        <w:t xml:space="preserve">univočním </w:t>
      </w:r>
      <w:r w:rsidR="00396B48" w:rsidRPr="003D1E07">
        <w:t xml:space="preserve">modu </w:t>
      </w:r>
      <w:r w:rsidR="00396B48" w:rsidRPr="003D1E07">
        <w:rPr>
          <w:i/>
        </w:rPr>
        <w:t>p</w:t>
      </w:r>
      <w:r w:rsidR="00C361C4" w:rsidRPr="003D1E07">
        <w:rPr>
          <w:i/>
        </w:rPr>
        <w:t>e</w:t>
      </w:r>
      <w:r w:rsidR="00396B48" w:rsidRPr="003D1E07">
        <w:rPr>
          <w:i/>
        </w:rPr>
        <w:t>r</w:t>
      </w:r>
      <w:r w:rsidR="00C361C4" w:rsidRPr="003D1E07">
        <w:rPr>
          <w:i/>
        </w:rPr>
        <w:t xml:space="preserve"> prius</w:t>
      </w:r>
      <w:r w:rsidR="00527744" w:rsidRPr="003D1E07">
        <w:rPr>
          <w:i/>
        </w:rPr>
        <w:t xml:space="preserve"> </w:t>
      </w:r>
      <w:r w:rsidR="00527744" w:rsidRPr="003D1E07">
        <w:t xml:space="preserve">vzhledem k </w:t>
      </w:r>
      <w:r w:rsidR="08080469" w:rsidRPr="003D1E07">
        <w:t xml:space="preserve">hyparchicky dané </w:t>
      </w:r>
      <w:r w:rsidR="00527744" w:rsidRPr="003D1E07">
        <w:t>první substanci</w:t>
      </w:r>
      <w:r w:rsidR="00F20E1A" w:rsidRPr="003D1E07">
        <w:t xml:space="preserve">. </w:t>
      </w:r>
      <w:r w:rsidR="00F4000A" w:rsidRPr="003D1E07">
        <w:t>P</w:t>
      </w:r>
      <w:r w:rsidR="00C361C4" w:rsidRPr="003D1E07">
        <w:t xml:space="preserve">redikace </w:t>
      </w:r>
      <w:r w:rsidR="00945E10" w:rsidRPr="003D1E07">
        <w:t xml:space="preserve">má </w:t>
      </w:r>
      <w:r w:rsidR="00BD339F">
        <w:t xml:space="preserve">v metafyzice </w:t>
      </w:r>
      <w:r w:rsidR="00945E10" w:rsidRPr="003D1E07">
        <w:t xml:space="preserve">kategoriální smysl jen tehdy, je-li </w:t>
      </w:r>
      <w:r w:rsidR="00F4000A" w:rsidRPr="003D1E07">
        <w:t xml:space="preserve">primárně </w:t>
      </w:r>
      <w:r w:rsidR="00945E10" w:rsidRPr="003D1E07">
        <w:t xml:space="preserve">určena bytím </w:t>
      </w:r>
      <w:r w:rsidR="080807A6" w:rsidRPr="003D1E07">
        <w:t xml:space="preserve">reálné </w:t>
      </w:r>
      <w:r w:rsidR="00C361C4" w:rsidRPr="003D1E07">
        <w:t xml:space="preserve">první substance. </w:t>
      </w:r>
      <w:r w:rsidR="008F3889" w:rsidRPr="003D1E07">
        <w:t>První a nejdůležitější s</w:t>
      </w:r>
      <w:r w:rsidR="00396B48" w:rsidRPr="003D1E07">
        <w:t xml:space="preserve">mysl predikace je dán </w:t>
      </w:r>
      <w:r w:rsidR="00C361C4" w:rsidRPr="003D1E07">
        <w:t xml:space="preserve">od </w:t>
      </w:r>
      <w:r w:rsidR="08087654" w:rsidRPr="003D1E07">
        <w:t xml:space="preserve">hyparchicky bytující </w:t>
      </w:r>
      <w:r w:rsidR="00C361C4" w:rsidRPr="003D1E07">
        <w:t>první substance</w:t>
      </w:r>
      <w:r w:rsidR="08087654" w:rsidRPr="003D1E07">
        <w:t xml:space="preserve"> dané vůči predikaci v modu </w:t>
      </w:r>
      <w:r w:rsidR="08B779FB" w:rsidRPr="003D1E07">
        <w:t xml:space="preserve">metafyzického </w:t>
      </w:r>
      <w:r w:rsidR="08087654" w:rsidRPr="003D1E07">
        <w:t>dativu</w:t>
      </w:r>
      <w:r w:rsidR="08087654" w:rsidRPr="003D1E07">
        <w:fldChar w:fldCharType="begin"/>
      </w:r>
      <w:r w:rsidR="08087654" w:rsidRPr="003D1E07">
        <w:instrText xml:space="preserve"> XE "</w:instrText>
      </w:r>
      <w:r w:rsidR="08B779FB" w:rsidRPr="003D1E07">
        <w:rPr>
          <w:i/>
        </w:rPr>
        <w:instrText>dativus metaphysi</w:instrText>
      </w:r>
      <w:r w:rsidR="08087654" w:rsidRPr="003D1E07">
        <w:rPr>
          <w:i/>
        </w:rPr>
        <w:instrText>cus</w:instrText>
      </w:r>
      <w:r w:rsidR="08087654" w:rsidRPr="003D1E07">
        <w:instrText xml:space="preserve">" </w:instrText>
      </w:r>
      <w:r w:rsidR="08087654" w:rsidRPr="003D1E07">
        <w:fldChar w:fldCharType="end"/>
      </w:r>
      <w:r w:rsidR="00C361C4" w:rsidRPr="003D1E07">
        <w:t xml:space="preserve">. </w:t>
      </w:r>
      <w:r w:rsidR="08D43DC4" w:rsidRPr="003D1E07">
        <w:t>Toto aristotelské pojetí kategorií nazveme termínem „nasvícení smyslu jsoucna zepředu“</w:t>
      </w:r>
      <w:r w:rsidR="08D43DC4" w:rsidRPr="003D1E07">
        <w:fldChar w:fldCharType="begin"/>
      </w:r>
      <w:r w:rsidR="08D43DC4" w:rsidRPr="003D1E07">
        <w:instrText xml:space="preserve"> XE "zjevování:nasvícení zepředu" </w:instrText>
      </w:r>
      <w:r w:rsidR="08D43DC4" w:rsidRPr="003D1E07">
        <w:fldChar w:fldCharType="end"/>
      </w:r>
      <w:r w:rsidR="08D43DC4" w:rsidRPr="003D1E07">
        <w:t xml:space="preserve">. </w:t>
      </w:r>
      <w:r w:rsidR="00B46D0B" w:rsidRPr="003D1E07">
        <w:t xml:space="preserve">Z hlediska univerzality </w:t>
      </w:r>
      <w:r w:rsidR="008F3889" w:rsidRPr="003D1E07">
        <w:t xml:space="preserve">ale predikace </w:t>
      </w:r>
      <w:r w:rsidR="000B5178" w:rsidRPr="003D1E07">
        <w:t xml:space="preserve">postupuje </w:t>
      </w:r>
      <w:r w:rsidR="008F3889" w:rsidRPr="003D1E07">
        <w:t xml:space="preserve">přesně </w:t>
      </w:r>
      <w:r w:rsidR="00FA0392" w:rsidRPr="003D1E07">
        <w:t>opačným směrem</w:t>
      </w:r>
      <w:r w:rsidR="00A86A99" w:rsidRPr="003D1E07">
        <w:t xml:space="preserve">, což dokládá druhá věta </w:t>
      </w:r>
      <w:r w:rsidR="089F0997" w:rsidRPr="003D1E07">
        <w:t xml:space="preserve">výše uvedené </w:t>
      </w:r>
      <w:r w:rsidR="00A86A99" w:rsidRPr="003D1E07">
        <w:t>citace</w:t>
      </w:r>
      <w:r w:rsidR="089F0997" w:rsidRPr="003D1E07">
        <w:t xml:space="preserve"> z </w:t>
      </w:r>
      <w:r w:rsidR="089F0997" w:rsidRPr="003D1E07">
        <w:rPr>
          <w:i/>
        </w:rPr>
        <w:t>Kategorií</w:t>
      </w:r>
      <w:r w:rsidR="08527102" w:rsidRPr="003D1E07">
        <w:t>. R</w:t>
      </w:r>
      <w:r w:rsidR="00F17553" w:rsidRPr="003D1E07">
        <w:t xml:space="preserve">ody do sebe zahrnují druhy, což zdůrazňuje </w:t>
      </w:r>
      <w:r w:rsidR="00825B4A" w:rsidRPr="003D1E07">
        <w:t xml:space="preserve">významově </w:t>
      </w:r>
      <w:r w:rsidR="00F17553" w:rsidRPr="003D1E07">
        <w:t>dosti komplikovaný v</w:t>
      </w:r>
      <w:r w:rsidR="000B0B0B" w:rsidRPr="003D1E07">
        <w:t xml:space="preserve">ýrok </w:t>
      </w:r>
      <w:r w:rsidR="007E1D94" w:rsidRPr="003D1E07">
        <w:t>(</w:t>
      </w:r>
      <w:r w:rsidR="00B46D0B" w:rsidRPr="003D1E07">
        <w:t xml:space="preserve">τὰ τῶν εἰδῶν τούτων γένη, </w:t>
      </w:r>
      <w:r w:rsidR="009B36D7" w:rsidRPr="003D1E07">
        <w:rPr>
          <w:i/>
        </w:rPr>
        <w:t>Cat</w:t>
      </w:r>
      <w:r w:rsidR="009B36D7" w:rsidRPr="003D1E07">
        <w:t xml:space="preserve">. </w:t>
      </w:r>
      <w:r w:rsidR="00B46D0B" w:rsidRPr="003D1E07">
        <w:t>2a15</w:t>
      </w:r>
      <w:r w:rsidR="002E49B4" w:rsidRPr="003D1E07">
        <w:t>–</w:t>
      </w:r>
      <w:r w:rsidR="00B46D0B" w:rsidRPr="003D1E07">
        <w:t>16</w:t>
      </w:r>
      <w:r w:rsidR="089B28D6" w:rsidRPr="003D1E07">
        <w:fldChar w:fldCharType="begin"/>
      </w:r>
      <w:r w:rsidR="089B28D6" w:rsidRPr="003D1E07">
        <w:instrText xml:space="preserve"> XE "Aristoteles:</w:instrText>
      </w:r>
      <w:r w:rsidR="089B28D6" w:rsidRPr="003D1E07">
        <w:rPr>
          <w:i/>
        </w:rPr>
        <w:instrText>Cat</w:instrText>
      </w:r>
      <w:r w:rsidR="089B28D6" w:rsidRPr="003D1E07">
        <w:instrText xml:space="preserve">. 2a15–16" </w:instrText>
      </w:r>
      <w:r w:rsidR="089B28D6" w:rsidRPr="003D1E07">
        <w:fldChar w:fldCharType="end"/>
      </w:r>
      <w:r w:rsidR="00B46D0B" w:rsidRPr="003D1E07">
        <w:t>).</w:t>
      </w:r>
      <w:r w:rsidR="00506785" w:rsidRPr="003D1E07">
        <w:t xml:space="preserve"> </w:t>
      </w:r>
      <w:r w:rsidR="000C7D43" w:rsidRPr="003D1E07">
        <w:t xml:space="preserve">Z hlediska </w:t>
      </w:r>
      <w:r w:rsidR="00B8510E" w:rsidRPr="003D1E07">
        <w:t xml:space="preserve">predikace </w:t>
      </w:r>
      <w:r w:rsidR="000C7D43" w:rsidRPr="003D1E07">
        <w:t xml:space="preserve">dané na úrovni univerzality </w:t>
      </w:r>
      <w:r w:rsidR="088A7D43" w:rsidRPr="003D1E07">
        <w:t xml:space="preserve">a </w:t>
      </w:r>
      <w:r w:rsidR="000C7D43" w:rsidRPr="003D1E07">
        <w:t xml:space="preserve">vztažené k signifikaci druhé substance platí opačná predikace </w:t>
      </w:r>
      <w:r w:rsidR="000C7D43" w:rsidRPr="003D1E07">
        <w:rPr>
          <w:i/>
        </w:rPr>
        <w:t>per prius</w:t>
      </w:r>
      <w:r w:rsidR="008822E6" w:rsidRPr="003D1E07">
        <w:fldChar w:fldCharType="begin"/>
      </w:r>
      <w:r w:rsidR="008822E6" w:rsidRPr="003D1E07">
        <w:instrText xml:space="preserve"> XE "predikace:</w:instrText>
      </w:r>
      <w:r w:rsidR="008822E6" w:rsidRPr="003D1E07">
        <w:rPr>
          <w:i/>
        </w:rPr>
        <w:instrText>per prius</w:instrText>
      </w:r>
      <w:r w:rsidR="008822E6" w:rsidRPr="003D1E07">
        <w:instrText xml:space="preserve">" </w:instrText>
      </w:r>
      <w:r w:rsidR="008822E6" w:rsidRPr="003D1E07">
        <w:fldChar w:fldCharType="end"/>
      </w:r>
      <w:r w:rsidR="000C7D43" w:rsidRPr="003D1E07">
        <w:t xml:space="preserve"> a </w:t>
      </w:r>
      <w:r w:rsidR="000C7D43" w:rsidRPr="003D1E07">
        <w:rPr>
          <w:i/>
        </w:rPr>
        <w:t>per posterius</w:t>
      </w:r>
      <w:r w:rsidR="00F52129" w:rsidRPr="003D1E07">
        <w:t xml:space="preserve">, </w:t>
      </w:r>
      <w:r w:rsidR="007E2A49" w:rsidRPr="003D1E07">
        <w:fldChar w:fldCharType="begin"/>
      </w:r>
      <w:r w:rsidR="007E2A49" w:rsidRPr="003D1E07">
        <w:instrText xml:space="preserve"> XE "predikace:</w:instrText>
      </w:r>
      <w:r w:rsidR="007E2A49" w:rsidRPr="003D1E07">
        <w:rPr>
          <w:i/>
        </w:rPr>
        <w:instrText>per posterius</w:instrText>
      </w:r>
      <w:r w:rsidR="007E2A49" w:rsidRPr="003D1E07">
        <w:instrText xml:space="preserve">" </w:instrText>
      </w:r>
      <w:r w:rsidR="007E2A49" w:rsidRPr="003D1E07">
        <w:fldChar w:fldCharType="end"/>
      </w:r>
      <w:r w:rsidR="000C7D43" w:rsidRPr="003D1E07">
        <w:t xml:space="preserve">než </w:t>
      </w:r>
      <w:r w:rsidR="00C33A5B" w:rsidRPr="003D1E07">
        <w:t xml:space="preserve">má </w:t>
      </w:r>
      <w:r w:rsidR="00B8510E" w:rsidRPr="003D1E07">
        <w:t xml:space="preserve">hyparchická </w:t>
      </w:r>
      <w:r w:rsidR="00B8510E" w:rsidRPr="003D1E07">
        <w:lastRenderedPageBreak/>
        <w:t xml:space="preserve">predikace daná vzhledem </w:t>
      </w:r>
      <w:r w:rsidR="000C7D43" w:rsidRPr="003D1E07">
        <w:t>k existující primární substanci</w:t>
      </w:r>
      <w:r w:rsidR="001109D5" w:rsidRPr="003D1E07">
        <w:t>.</w:t>
      </w:r>
      <w:r w:rsidR="08C46B9A" w:rsidRPr="003D1E07">
        <w:t xml:space="preserve"> Impozice je daná nasvícením zepředu, ale supozice je daná n</w:t>
      </w:r>
      <w:r w:rsidR="081B47D2" w:rsidRPr="003D1E07">
        <w:t xml:space="preserve">asvícením zezadu. </w:t>
      </w:r>
      <w:r w:rsidR="08321060" w:rsidRPr="003D1E07">
        <w:t xml:space="preserve">Do supozice určující pořadí predikace není dosazena aktuální první substance, ale potenciální univerzální význam daný pouze v mysli. </w:t>
      </w:r>
      <w:r w:rsidR="081B47D2" w:rsidRPr="003D1E07">
        <w:t xml:space="preserve">Náhled na jednotu významu substance proto začíná od posledního společného a </w:t>
      </w:r>
      <w:r w:rsidR="08DF28DC" w:rsidRPr="003D1E07">
        <w:t xml:space="preserve">stále ještě </w:t>
      </w:r>
      <w:r w:rsidR="08C46B9A" w:rsidRPr="003D1E07">
        <w:t>univočního významu daného na úrovni druhé substance</w:t>
      </w:r>
      <w:r w:rsidR="081B47D2" w:rsidRPr="003D1E07">
        <w:t xml:space="preserve">, </w:t>
      </w:r>
      <w:r w:rsidR="08C46B9A" w:rsidRPr="003D1E07">
        <w:t xml:space="preserve">která je </w:t>
      </w:r>
      <w:r w:rsidR="08DF28DC" w:rsidRPr="003D1E07">
        <w:t xml:space="preserve">v kategoriálním modu </w:t>
      </w:r>
      <w:r w:rsidR="08DF28DC" w:rsidRPr="003D1E07">
        <w:rPr>
          <w:i/>
        </w:rPr>
        <w:t>per prius</w:t>
      </w:r>
      <w:r w:rsidR="08DF28DC" w:rsidRPr="003D1E07">
        <w:t xml:space="preserve"> </w:t>
      </w:r>
      <w:r w:rsidR="08C46B9A" w:rsidRPr="003D1E07">
        <w:t xml:space="preserve">nejvyšším univočně predikovaným rodem. </w:t>
      </w:r>
      <w:r w:rsidR="001109D5" w:rsidRPr="003D1E07">
        <w:t>R</w:t>
      </w:r>
      <w:r w:rsidR="007370C0" w:rsidRPr="003D1E07">
        <w:t xml:space="preserve">od je </w:t>
      </w:r>
      <w:r w:rsidR="08CF7929" w:rsidRPr="003D1E07">
        <w:t xml:space="preserve">z hlediska univočně </w:t>
      </w:r>
      <w:r w:rsidR="08B455EE" w:rsidRPr="003D1E07">
        <w:t xml:space="preserve">predikovaného významu </w:t>
      </w:r>
      <w:r w:rsidR="007370C0" w:rsidRPr="003D1E07">
        <w:t>unive</w:t>
      </w:r>
      <w:r w:rsidR="00DF0468" w:rsidRPr="003D1E07">
        <w:t>r</w:t>
      </w:r>
      <w:r w:rsidR="007370C0" w:rsidRPr="003D1E07">
        <w:t xml:space="preserve">zálnější než </w:t>
      </w:r>
      <w:r w:rsidR="00F214C5" w:rsidRPr="003D1E07">
        <w:t>species</w:t>
      </w:r>
      <w:r w:rsidR="001109D5" w:rsidRPr="003D1E07">
        <w:t>, proto je v řádu obecnosti první</w:t>
      </w:r>
      <w:r w:rsidR="008822E6" w:rsidRPr="003D1E07">
        <w:fldChar w:fldCharType="begin"/>
      </w:r>
      <w:r w:rsidR="008822E6" w:rsidRPr="003D1E07">
        <w:instrText xml:space="preserve"> XE "substance:rod" </w:instrText>
      </w:r>
      <w:r w:rsidR="008822E6" w:rsidRPr="003D1E07">
        <w:fldChar w:fldCharType="end"/>
      </w:r>
      <w:r w:rsidR="00F52129" w:rsidRPr="003D1E07">
        <w:t>.</w:t>
      </w:r>
      <w:r w:rsidR="00531152" w:rsidRPr="003D1E07">
        <w:t xml:space="preserve"> </w:t>
      </w:r>
      <w:r w:rsidR="089A79EF" w:rsidRPr="003D1E07">
        <w:t xml:space="preserve">Pořadí supozice je </w:t>
      </w:r>
      <w:r w:rsidR="08D43087" w:rsidRPr="003D1E07">
        <w:t xml:space="preserve">proto </w:t>
      </w:r>
      <w:r w:rsidR="089A79EF" w:rsidRPr="003D1E07">
        <w:t xml:space="preserve">opačné než v případě hyparchické impozice významu od první substance. </w:t>
      </w:r>
      <w:r w:rsidR="08087654" w:rsidRPr="003D1E07">
        <w:t xml:space="preserve">Druhá cesta k náhledu na metafyzický celek jsoucna sleduje predikaci univočního významu, který </w:t>
      </w:r>
      <w:r w:rsidR="0804279C" w:rsidRPr="003D1E07">
        <w:t>představuje</w:t>
      </w:r>
      <w:r w:rsidR="08D43087" w:rsidRPr="003D1E07">
        <w:t xml:space="preserve"> univerzální a potenciální pojem v mysli</w:t>
      </w:r>
      <w:r w:rsidR="08D0230A" w:rsidRPr="003D1E07">
        <w:t xml:space="preserve">. Tím se supozice </w:t>
      </w:r>
      <w:r w:rsidR="08C66BB4" w:rsidRPr="003D1E07">
        <w:t xml:space="preserve">univerzálního významu </w:t>
      </w:r>
      <w:r w:rsidR="08D0230A" w:rsidRPr="003D1E07">
        <w:t xml:space="preserve">zásadně liší od predikace </w:t>
      </w:r>
      <w:r w:rsidR="08D43087" w:rsidRPr="003D1E07">
        <w:t>hyparchické jsoucnosti</w:t>
      </w:r>
      <w:r w:rsidR="0879478A" w:rsidRPr="003D1E07">
        <w:t xml:space="preserve"> v modu impozice</w:t>
      </w:r>
      <w:r w:rsidR="08D43087" w:rsidRPr="003D1E07">
        <w:t xml:space="preserve">, </w:t>
      </w:r>
      <w:r w:rsidR="08D0230A" w:rsidRPr="003D1E07">
        <w:t xml:space="preserve">kterou determinuje </w:t>
      </w:r>
      <w:r w:rsidR="08D43087" w:rsidRPr="003D1E07">
        <w:t xml:space="preserve">aktuální a singulární věc v realitě. </w:t>
      </w:r>
      <w:r w:rsidR="089A79EF" w:rsidRPr="003D1E07">
        <w:t xml:space="preserve">Rod se predikuje v modu </w:t>
      </w:r>
      <w:r w:rsidR="089A79EF" w:rsidRPr="003D1E07">
        <w:rPr>
          <w:i/>
        </w:rPr>
        <w:t>per prius</w:t>
      </w:r>
      <w:r w:rsidR="089A79EF" w:rsidRPr="003D1E07">
        <w:t xml:space="preserve">, protože </w:t>
      </w:r>
      <w:r w:rsidR="08D57F71" w:rsidRPr="003D1E07">
        <w:t>představu</w:t>
      </w:r>
      <w:r w:rsidR="084924B9" w:rsidRPr="003D1E07">
        <w:t xml:space="preserve">je poslední </w:t>
      </w:r>
      <w:r w:rsidR="080D7681" w:rsidRPr="003D1E07">
        <w:t xml:space="preserve">stupeň </w:t>
      </w:r>
      <w:r w:rsidR="084924B9" w:rsidRPr="003D1E07">
        <w:t xml:space="preserve">univoční predikace na úrovni druhé substance. </w:t>
      </w:r>
      <w:r w:rsidR="080D7681" w:rsidRPr="003D1E07">
        <w:t xml:space="preserve">Za </w:t>
      </w:r>
      <w:r w:rsidR="08C95953" w:rsidRPr="003D1E07">
        <w:t xml:space="preserve">jednotou signifikace v rámci </w:t>
      </w:r>
      <w:r w:rsidR="080D7681" w:rsidRPr="003D1E07">
        <w:t>rod</w:t>
      </w:r>
      <w:r w:rsidR="08C95953" w:rsidRPr="003D1E07">
        <w:t>u</w:t>
      </w:r>
      <w:r w:rsidR="080D7681" w:rsidRPr="003D1E07">
        <w:t xml:space="preserve"> už vládne na úrovni predikace jen ekvivocita a analogie, což nezajistí </w:t>
      </w:r>
      <w:r w:rsidR="08462C4B" w:rsidRPr="003D1E07">
        <w:t xml:space="preserve">kategoriální </w:t>
      </w:r>
      <w:r w:rsidR="080D7681" w:rsidRPr="003D1E07">
        <w:t xml:space="preserve">jednotu </w:t>
      </w:r>
      <w:r w:rsidR="08462C4B" w:rsidRPr="003D1E07">
        <w:t xml:space="preserve">smyslu </w:t>
      </w:r>
      <w:r w:rsidR="080D7681" w:rsidRPr="003D1E07">
        <w:t xml:space="preserve">jsoucna vztaženou k bytí reálné substance. </w:t>
      </w:r>
      <w:r w:rsidR="08F779CF" w:rsidRPr="003D1E07">
        <w:t>K</w:t>
      </w:r>
      <w:r w:rsidR="005E58B0" w:rsidRPr="003D1E07">
        <w:t xml:space="preserve">ategoriální smysl jsoucna </w:t>
      </w:r>
      <w:r w:rsidR="084924B9" w:rsidRPr="003D1E07">
        <w:t xml:space="preserve">daného univerzálně </w:t>
      </w:r>
      <w:r w:rsidR="08230860" w:rsidRPr="003D1E07">
        <w:t xml:space="preserve">jde </w:t>
      </w:r>
      <w:r w:rsidR="084924B9" w:rsidRPr="003D1E07">
        <w:t xml:space="preserve">v modu </w:t>
      </w:r>
      <w:r w:rsidR="084924B9" w:rsidRPr="003D1E07">
        <w:rPr>
          <w:i/>
        </w:rPr>
        <w:t>per prius</w:t>
      </w:r>
      <w:r w:rsidR="084924B9" w:rsidRPr="003D1E07">
        <w:t xml:space="preserve"> </w:t>
      </w:r>
      <w:r w:rsidR="005E58B0" w:rsidRPr="003D1E07">
        <w:t xml:space="preserve">od </w:t>
      </w:r>
      <w:r w:rsidR="084924B9" w:rsidRPr="003D1E07">
        <w:t xml:space="preserve">rodově daného </w:t>
      </w:r>
      <w:r w:rsidR="00C23104" w:rsidRPr="003D1E07">
        <w:t>un</w:t>
      </w:r>
      <w:r w:rsidR="007040C4" w:rsidRPr="003D1E07">
        <w:t>i</w:t>
      </w:r>
      <w:r w:rsidR="00C23104" w:rsidRPr="003D1E07">
        <w:t>v</w:t>
      </w:r>
      <w:r w:rsidR="084924B9" w:rsidRPr="003D1E07">
        <w:t xml:space="preserve">erzálního </w:t>
      </w:r>
      <w:r w:rsidR="005E58B0" w:rsidRPr="003D1E07">
        <w:t xml:space="preserve">významu. </w:t>
      </w:r>
      <w:r w:rsidR="084924B9" w:rsidRPr="003D1E07">
        <w:t xml:space="preserve">Pohled metafyzika je nyní určen nikoliv náhledem na signifikaci </w:t>
      </w:r>
      <w:r w:rsidR="08230860" w:rsidRPr="003D1E07">
        <w:t xml:space="preserve">kategorií </w:t>
      </w:r>
      <w:r w:rsidR="084924B9" w:rsidRPr="003D1E07">
        <w:t xml:space="preserve">od první substance, ale </w:t>
      </w:r>
      <w:r w:rsidR="0842723C" w:rsidRPr="003D1E07">
        <w:t xml:space="preserve">náhledem na smysl jsoucna daný </w:t>
      </w:r>
      <w:r w:rsidR="084924B9" w:rsidRPr="003D1E07">
        <w:t>od rodově dané univerzality druhé substance</w:t>
      </w:r>
      <w:r w:rsidR="08230860" w:rsidRPr="003D1E07">
        <w:t xml:space="preserve"> jako </w:t>
      </w:r>
      <w:r w:rsidR="08067ADB" w:rsidRPr="003D1E07">
        <w:t xml:space="preserve">poslední univočně dané </w:t>
      </w:r>
      <w:r w:rsidR="08230860" w:rsidRPr="003D1E07">
        <w:t>kategorie významu</w:t>
      </w:r>
      <w:r w:rsidR="084924B9" w:rsidRPr="003D1E07">
        <w:t xml:space="preserve">. </w:t>
      </w:r>
      <w:r w:rsidR="005F4CD1" w:rsidRPr="003D1E07">
        <w:t xml:space="preserve">Rod </w:t>
      </w:r>
      <w:r w:rsidR="005E58B0" w:rsidRPr="003D1E07">
        <w:t xml:space="preserve">je </w:t>
      </w:r>
      <w:r w:rsidR="00CE11E2" w:rsidRPr="003D1E07">
        <w:t xml:space="preserve">první </w:t>
      </w:r>
      <w:r w:rsidR="08737C93" w:rsidRPr="003D1E07">
        <w:t xml:space="preserve">a nejvyšší </w:t>
      </w:r>
      <w:r w:rsidR="003721B8" w:rsidRPr="003D1E07">
        <w:t xml:space="preserve">univerzální forma </w:t>
      </w:r>
      <w:r w:rsidR="084924B9" w:rsidRPr="003D1E07">
        <w:t xml:space="preserve">univočního </w:t>
      </w:r>
      <w:r w:rsidR="003721B8" w:rsidRPr="003D1E07">
        <w:t>významu, která</w:t>
      </w:r>
      <w:r w:rsidR="005E58B0" w:rsidRPr="003D1E07">
        <w:t xml:space="preserve"> dává </w:t>
      </w:r>
      <w:r w:rsidR="005F4CD1" w:rsidRPr="003D1E07">
        <w:t xml:space="preserve">v modu </w:t>
      </w:r>
      <w:r w:rsidR="005F4CD1" w:rsidRPr="003D1E07">
        <w:rPr>
          <w:i/>
        </w:rPr>
        <w:t>per prius</w:t>
      </w:r>
      <w:r w:rsidR="005F4CD1" w:rsidRPr="003D1E07">
        <w:t xml:space="preserve"> kategoriální určení </w:t>
      </w:r>
      <w:r w:rsidR="08067ADB" w:rsidRPr="003D1E07">
        <w:t xml:space="preserve">druhu jako </w:t>
      </w:r>
      <w:r w:rsidR="003721B8" w:rsidRPr="003D1E07">
        <w:t xml:space="preserve">nižší </w:t>
      </w:r>
      <w:r w:rsidR="08737C93" w:rsidRPr="003D1E07">
        <w:t xml:space="preserve">univerzální </w:t>
      </w:r>
      <w:r w:rsidR="003721B8" w:rsidRPr="003D1E07">
        <w:t>formě</w:t>
      </w:r>
      <w:r w:rsidR="08737C93" w:rsidRPr="003D1E07">
        <w:t xml:space="preserve"> významu</w:t>
      </w:r>
      <w:r w:rsidR="00CA6B71" w:rsidRPr="003D1E07">
        <w:t xml:space="preserve">. </w:t>
      </w:r>
      <w:r w:rsidR="00F232C1" w:rsidRPr="003D1E07">
        <w:t xml:space="preserve">Tuto dráhu náhledu na predikativní význam jsoucna v modu univoční univerzality nazveme termínem „nasvícení </w:t>
      </w:r>
      <w:r w:rsidR="004E71D9" w:rsidRPr="003D1E07">
        <w:t xml:space="preserve">smyslu jsoucna </w:t>
      </w:r>
      <w:r w:rsidR="00F232C1" w:rsidRPr="003D1E07">
        <w:t>zezadu“</w:t>
      </w:r>
      <w:r w:rsidR="0096141E" w:rsidRPr="003D1E07">
        <w:fldChar w:fldCharType="begin"/>
      </w:r>
      <w:r w:rsidR="0096141E" w:rsidRPr="003D1E07">
        <w:instrText xml:space="preserve"> XE "zjevování:nasvícení zezadu" </w:instrText>
      </w:r>
      <w:r w:rsidR="0096141E" w:rsidRPr="003D1E07">
        <w:fldChar w:fldCharType="end"/>
      </w:r>
      <w:r w:rsidR="00F232C1" w:rsidRPr="003D1E07">
        <w:t xml:space="preserve">. </w:t>
      </w:r>
      <w:r w:rsidR="009012D1" w:rsidRPr="003D1E07">
        <w:t xml:space="preserve">Dráha náhledu na jsoucno je opačná než v případě hyparchické predikace. </w:t>
      </w:r>
      <w:r w:rsidR="00E25F85" w:rsidRPr="003D1E07">
        <w:t xml:space="preserve">Méně univerzální </w:t>
      </w:r>
      <w:r w:rsidR="004D7489" w:rsidRPr="003D1E07">
        <w:t>druh nasvícený</w:t>
      </w:r>
      <w:r w:rsidR="00CA6B71" w:rsidRPr="003D1E07">
        <w:t xml:space="preserve"> směrem od </w:t>
      </w:r>
      <w:r w:rsidR="00E25F85" w:rsidRPr="003D1E07">
        <w:t xml:space="preserve">více univerzálního </w:t>
      </w:r>
      <w:r w:rsidR="00CA6B71" w:rsidRPr="003D1E07">
        <w:t xml:space="preserve">rodu </w:t>
      </w:r>
      <w:r w:rsidR="003721B8" w:rsidRPr="003D1E07">
        <w:t>signifikuj</w:t>
      </w:r>
      <w:r w:rsidR="00CA6B71" w:rsidRPr="003D1E07">
        <w:t xml:space="preserve">e kategoriální význam </w:t>
      </w:r>
      <w:r w:rsidR="005F4CD1" w:rsidRPr="003D1E07">
        <w:t xml:space="preserve">v rámci obecnosti až v modu </w:t>
      </w:r>
      <w:r w:rsidR="005F4CD1" w:rsidRPr="003D1E07">
        <w:rPr>
          <w:i/>
        </w:rPr>
        <w:t>per posterius</w:t>
      </w:r>
      <w:r w:rsidR="005E58B0" w:rsidRPr="003D1E07">
        <w:t xml:space="preserve">. </w:t>
      </w:r>
      <w:r w:rsidR="000E7FA7">
        <w:t>Úvodní kapitola o předchůdné dráze porozumění (</w:t>
      </w:r>
      <w:r w:rsidR="000E7FA7" w:rsidRPr="000E7FA7">
        <w:rPr>
          <w:i/>
        </w:rPr>
        <w:t>Vor-blickbahn</w:t>
      </w:r>
      <w:r w:rsidR="000E7FA7" w:rsidRPr="000E7FA7">
        <w:rPr>
          <w:i/>
        </w:rPr>
        <w:fldChar w:fldCharType="begin"/>
      </w:r>
      <w:r w:rsidR="000E7FA7" w:rsidRPr="000E7FA7">
        <w:rPr>
          <w:i/>
        </w:rPr>
        <w:instrText xml:space="preserve"> XE "Vor-blickbahn" </w:instrText>
      </w:r>
      <w:r w:rsidR="000E7FA7" w:rsidRPr="000E7FA7">
        <w:rPr>
          <w:i/>
        </w:rPr>
        <w:fldChar w:fldCharType="end"/>
      </w:r>
      <w:r w:rsidR="000E7FA7">
        <w:t xml:space="preserve">, kap. 1) má zásadní význam. </w:t>
      </w:r>
      <w:r w:rsidR="003837C2">
        <w:t>Moderna vidí mytologickou</w:t>
      </w:r>
      <w:r w:rsidR="000E7FA7">
        <w:t xml:space="preserve"> „</w:t>
      </w:r>
      <w:r w:rsidR="003837C2">
        <w:t>substanci</w:t>
      </w:r>
      <w:r w:rsidR="000E7FA7">
        <w:t xml:space="preserve">“ jako </w:t>
      </w:r>
      <w:r w:rsidR="000E7FA7" w:rsidRPr="000E7FA7">
        <w:rPr>
          <w:i/>
        </w:rPr>
        <w:t>tertium ens</w:t>
      </w:r>
      <w:r w:rsidR="003837C2">
        <w:t>. J</w:t>
      </w:r>
      <w:r w:rsidR="000E7FA7">
        <w:t>ejí kategoriální význam (</w:t>
      </w:r>
      <w:r w:rsidR="000E7FA7" w:rsidRPr="000E7FA7">
        <w:rPr>
          <w:i/>
        </w:rPr>
        <w:t>Gehaltsinn</w:t>
      </w:r>
      <w:r w:rsidR="000E7FA7">
        <w:fldChar w:fldCharType="begin"/>
      </w:r>
      <w:r w:rsidR="000E7FA7">
        <w:instrText xml:space="preserve"> XE "</w:instrText>
      </w:r>
      <w:r w:rsidR="000E7FA7" w:rsidRPr="000E7FA7">
        <w:rPr>
          <w:i/>
        </w:rPr>
        <w:instrText>Gehaltsinn</w:instrText>
      </w:r>
      <w:r w:rsidR="000E7FA7">
        <w:instrText xml:space="preserve">" </w:instrText>
      </w:r>
      <w:r w:rsidR="000E7FA7">
        <w:fldChar w:fldCharType="end"/>
      </w:r>
      <w:r w:rsidR="000E7FA7">
        <w:t xml:space="preserve">) </w:t>
      </w:r>
      <w:r w:rsidR="003837C2">
        <w:t>j</w:t>
      </w:r>
      <w:r w:rsidR="000E7FA7">
        <w:t xml:space="preserve">e třeba jasně rozlišit v rámci </w:t>
      </w:r>
      <w:r w:rsidR="003837C2">
        <w:t>dvojitého</w:t>
      </w:r>
      <w:r w:rsidR="000E7FA7">
        <w:t xml:space="preserve"> náhledu porozumění, které generuje dvojí metafyzický význam (</w:t>
      </w:r>
      <w:r w:rsidR="000E7FA7" w:rsidRPr="000E7FA7">
        <w:rPr>
          <w:i/>
        </w:rPr>
        <w:t>Bezugssinn</w:t>
      </w:r>
      <w:r w:rsidR="000E7FA7" w:rsidRPr="000E7FA7">
        <w:rPr>
          <w:i/>
        </w:rPr>
        <w:fldChar w:fldCharType="begin"/>
      </w:r>
      <w:r w:rsidR="000E7FA7" w:rsidRPr="000E7FA7">
        <w:rPr>
          <w:i/>
        </w:rPr>
        <w:instrText xml:space="preserve"> XE "Bezugssinn" </w:instrText>
      </w:r>
      <w:r w:rsidR="000E7FA7" w:rsidRPr="000E7FA7">
        <w:rPr>
          <w:i/>
        </w:rPr>
        <w:fldChar w:fldCharType="end"/>
      </w:r>
      <w:r w:rsidR="000E7FA7">
        <w:t>)</w:t>
      </w:r>
      <w:r w:rsidR="003837C2">
        <w:t xml:space="preserve">. </w:t>
      </w:r>
      <w:r w:rsidR="0824419C" w:rsidRPr="003D1E07">
        <w:t xml:space="preserve">Aristoteles </w:t>
      </w:r>
      <w:r w:rsidR="08C474E8" w:rsidRPr="003D1E07">
        <w:t>jasně odlišuje oba druhy náhledu</w:t>
      </w:r>
      <w:r w:rsidR="0824419C" w:rsidRPr="003D1E07">
        <w:t xml:space="preserve">, což ukáže jeho teorie poznání v díle </w:t>
      </w:r>
      <w:r w:rsidR="0824419C" w:rsidRPr="003D1E07">
        <w:rPr>
          <w:i/>
        </w:rPr>
        <w:t>De anima</w:t>
      </w:r>
      <w:r w:rsidR="08C474E8" w:rsidRPr="003D1E07">
        <w:t xml:space="preserve">. </w:t>
      </w:r>
      <w:r w:rsidR="0824419C" w:rsidRPr="003D1E07">
        <w:t>Intelekt v duši je prázdný a nepopsaný list (</w:t>
      </w:r>
      <w:r w:rsidR="0824419C" w:rsidRPr="003D1E07">
        <w:rPr>
          <w:i/>
        </w:rPr>
        <w:t>tabula rasa</w:t>
      </w:r>
      <w:r w:rsidR="08166C36" w:rsidRPr="003D1E07">
        <w:rPr>
          <w:i/>
        </w:rPr>
        <w:fldChar w:fldCharType="begin"/>
      </w:r>
      <w:r w:rsidR="08166C36" w:rsidRPr="003D1E07">
        <w:instrText xml:space="preserve"> XE "</w:instrText>
      </w:r>
      <w:r w:rsidR="08166C36" w:rsidRPr="003D1E07">
        <w:rPr>
          <w:i/>
        </w:rPr>
        <w:instrText>tabula rasa</w:instrText>
      </w:r>
      <w:r w:rsidR="08166C36" w:rsidRPr="003D1E07">
        <w:instrText xml:space="preserve">" </w:instrText>
      </w:r>
      <w:r w:rsidR="08166C36" w:rsidRPr="003D1E07">
        <w:rPr>
          <w:i/>
        </w:rPr>
        <w:fldChar w:fldCharType="end"/>
      </w:r>
      <w:r w:rsidR="0824419C" w:rsidRPr="003D1E07">
        <w:t>) a bez kauzálního působení první hylemorfické substance na naše smysly bychom nemohli nic poznat. Proto n</w:t>
      </w:r>
      <w:r w:rsidR="088B10AC" w:rsidRPr="003D1E07">
        <w:t>ejprve a zásadně platí ontologický primát</w:t>
      </w:r>
      <w:r w:rsidR="00506785" w:rsidRPr="003D1E07">
        <w:t xml:space="preserve"> první </w:t>
      </w:r>
      <w:r w:rsidR="00506785" w:rsidRPr="003D1E07">
        <w:lastRenderedPageBreak/>
        <w:t>substance</w:t>
      </w:r>
      <w:r w:rsidR="006A1633" w:rsidRPr="003D1E07">
        <w:t xml:space="preserve"> predikované v modu hyparchické impozice</w:t>
      </w:r>
      <w:r w:rsidR="00224AFF" w:rsidRPr="003D1E07">
        <w:t xml:space="preserve">. </w:t>
      </w:r>
      <w:r w:rsidR="089351FD" w:rsidRPr="003D1E07">
        <w:t xml:space="preserve">Reálná věc se </w:t>
      </w:r>
      <w:r w:rsidR="08F92A04" w:rsidRPr="003D1E07">
        <w:t xml:space="preserve">smyslovému a pak intelektuálnímu </w:t>
      </w:r>
      <w:r w:rsidR="089351FD" w:rsidRPr="003D1E07">
        <w:t xml:space="preserve">poznání kauzálně </w:t>
      </w:r>
      <w:r w:rsidR="00493018" w:rsidRPr="003D1E07">
        <w:t xml:space="preserve">vnutí tím, že existuje mimo nás a její bytí je dáno samo v sobě a pro sebe. </w:t>
      </w:r>
      <w:r w:rsidR="00224AFF" w:rsidRPr="003D1E07">
        <w:t xml:space="preserve">Na úrovni první substance není možný žádný univerzální a kategoriální vztah. </w:t>
      </w:r>
      <w:r w:rsidR="08074737" w:rsidRPr="003D1E07">
        <w:t xml:space="preserve">Poznávající mysl nemůže nic přidat k tomu, co existuje samo o sobě v modu </w:t>
      </w:r>
      <w:r w:rsidR="08074737" w:rsidRPr="003D1E07">
        <w:rPr>
          <w:i/>
        </w:rPr>
        <w:t>per se</w:t>
      </w:r>
      <w:r w:rsidR="08074737" w:rsidRPr="003D1E07">
        <w:t xml:space="preserve">. </w:t>
      </w:r>
      <w:r w:rsidR="00005F23" w:rsidRPr="003D1E07">
        <w:t>Toto m</w:t>
      </w:r>
      <w:r w:rsidR="00126B74" w:rsidRPr="003D1E07">
        <w:t xml:space="preserve">entální </w:t>
      </w:r>
      <w:r w:rsidR="00876F2B" w:rsidRPr="003D1E07">
        <w:t xml:space="preserve">zaměření </w:t>
      </w:r>
      <w:r w:rsidR="00FE45F5" w:rsidRPr="003D1E07">
        <w:t xml:space="preserve">kategorizující </w:t>
      </w:r>
      <w:r w:rsidR="00E830FF" w:rsidRPr="003D1E07">
        <w:t xml:space="preserve">a signifikující </w:t>
      </w:r>
      <w:r w:rsidR="007675B7" w:rsidRPr="003D1E07">
        <w:t xml:space="preserve">mysli </w:t>
      </w:r>
      <w:r w:rsidR="00E830FF" w:rsidRPr="003D1E07">
        <w:t xml:space="preserve">zaměřené </w:t>
      </w:r>
      <w:r w:rsidR="00876F2B" w:rsidRPr="003D1E07">
        <w:t xml:space="preserve">směrem k </w:t>
      </w:r>
      <w:r w:rsidR="00694106" w:rsidRPr="003D1E07">
        <w:t xml:space="preserve">primárním jsoucnům </w:t>
      </w:r>
      <w:r w:rsidR="00D54693" w:rsidRPr="003D1E07">
        <w:t>podržel</w:t>
      </w:r>
      <w:r w:rsidR="00876F2B" w:rsidRPr="003D1E07">
        <w:t xml:space="preserve"> scholastický termín </w:t>
      </w:r>
      <w:r w:rsidR="00876F2B" w:rsidRPr="003D1E07">
        <w:rPr>
          <w:i/>
        </w:rPr>
        <w:t>impositio</w:t>
      </w:r>
      <w:r w:rsidR="0025303B" w:rsidRPr="003D1E07">
        <w:fldChar w:fldCharType="begin"/>
      </w:r>
      <w:r w:rsidR="0025303B" w:rsidRPr="003D1E07">
        <w:instrText xml:space="preserve"> XE "impozice:</w:instrText>
      </w:r>
      <w:r w:rsidR="008E02F5" w:rsidRPr="003D1E07">
        <w:instrText>Aristoteles</w:instrText>
      </w:r>
      <w:r w:rsidR="0025303B" w:rsidRPr="003D1E07">
        <w:instrText xml:space="preserve">" </w:instrText>
      </w:r>
      <w:r w:rsidR="0025303B" w:rsidRPr="003D1E07">
        <w:fldChar w:fldCharType="end"/>
      </w:r>
      <w:r w:rsidR="0096403C" w:rsidRPr="003D1E07">
        <w:t xml:space="preserve">, který vyjadřuje základní smysl hyparchické predikace. </w:t>
      </w:r>
      <w:r w:rsidR="00602989" w:rsidRPr="003D1E07">
        <w:t xml:space="preserve">Opačný náhled na pořadí dané na úrovni dělení obecných významů od rodu k druhu vyjadřuje </w:t>
      </w:r>
      <w:r w:rsidR="00D10E4D" w:rsidRPr="003D1E07">
        <w:t xml:space="preserve">v klasické latinské scholastice </w:t>
      </w:r>
      <w:r w:rsidR="00602989" w:rsidRPr="003D1E07">
        <w:t xml:space="preserve">termín </w:t>
      </w:r>
      <w:r w:rsidR="00602989" w:rsidRPr="003D1E07">
        <w:rPr>
          <w:i/>
        </w:rPr>
        <w:t>suppositio</w:t>
      </w:r>
      <w:r w:rsidR="00BF6ED7" w:rsidRPr="003D1E07">
        <w:fldChar w:fldCharType="begin"/>
      </w:r>
      <w:r w:rsidR="00BF6ED7" w:rsidRPr="003D1E07">
        <w:instrText xml:space="preserve"> XE "supozice:</w:instrText>
      </w:r>
      <w:r w:rsidR="008E02F5" w:rsidRPr="003D1E07">
        <w:instrText>Aristoteles</w:instrText>
      </w:r>
      <w:r w:rsidR="00BF6ED7" w:rsidRPr="003D1E07">
        <w:instrText xml:space="preserve">" </w:instrText>
      </w:r>
      <w:r w:rsidR="00BF6ED7" w:rsidRPr="003D1E07">
        <w:fldChar w:fldCharType="end"/>
      </w:r>
      <w:r w:rsidR="00602989" w:rsidRPr="003D1E07">
        <w:t xml:space="preserve">. </w:t>
      </w:r>
      <w:r w:rsidR="007E618B" w:rsidRPr="003D1E07">
        <w:t xml:space="preserve">Pokud jsou již univerzální a univoční významy dány, pak je lze dělit a určovat z hlediska větší či menší kategoriální obecnosti, kdy rod do sebe zahrnuje </w:t>
      </w:r>
      <w:r w:rsidR="00F214C5" w:rsidRPr="003D1E07">
        <w:t>species</w:t>
      </w:r>
      <w:r w:rsidR="007E618B" w:rsidRPr="003D1E07">
        <w:t xml:space="preserve">. </w:t>
      </w:r>
      <w:r w:rsidR="08897174" w:rsidRPr="003D1E07">
        <w:t xml:space="preserve">Toto dělení univerzálií znala scholastika pod názvem </w:t>
      </w:r>
      <w:r w:rsidR="087712A5" w:rsidRPr="003D1E07">
        <w:t>„</w:t>
      </w:r>
      <w:r w:rsidR="08897174" w:rsidRPr="003D1E07">
        <w:t>Porfýriův strom</w:t>
      </w:r>
      <w:r w:rsidR="087712A5" w:rsidRPr="003D1E07">
        <w:t>“</w:t>
      </w:r>
      <w:r w:rsidR="08897174" w:rsidRPr="003D1E07">
        <w:t xml:space="preserve"> (</w:t>
      </w:r>
      <w:r w:rsidR="08897174" w:rsidRPr="003D1E07">
        <w:rPr>
          <w:i/>
        </w:rPr>
        <w:t>Arbor Porphyriana</w:t>
      </w:r>
      <w:r w:rsidR="08423DF4" w:rsidRPr="003D1E07">
        <w:rPr>
          <w:i/>
        </w:rPr>
        <w:fldChar w:fldCharType="begin"/>
      </w:r>
      <w:r w:rsidR="08423DF4" w:rsidRPr="003D1E07">
        <w:instrText xml:space="preserve"> XE "</w:instrText>
      </w:r>
      <w:r w:rsidR="08423DF4" w:rsidRPr="003D1E07">
        <w:rPr>
          <w:i/>
        </w:rPr>
        <w:instrText>Arbor Porphyriana</w:instrText>
      </w:r>
      <w:r w:rsidR="08423DF4" w:rsidRPr="003D1E07">
        <w:instrText xml:space="preserve">" </w:instrText>
      </w:r>
      <w:r w:rsidR="08423DF4" w:rsidRPr="003D1E07">
        <w:rPr>
          <w:i/>
        </w:rPr>
        <w:fldChar w:fldCharType="end"/>
      </w:r>
      <w:r w:rsidR="08897174" w:rsidRPr="003D1E07">
        <w:t xml:space="preserve">). </w:t>
      </w:r>
      <w:r w:rsidR="08933C9B" w:rsidRPr="003D1E07">
        <w:t>Impozice a supozice nemá stejný pohled na jsoucno</w:t>
      </w:r>
      <w:r w:rsidR="08363612" w:rsidRPr="003D1E07">
        <w:t xml:space="preserve">, což ve škole </w:t>
      </w:r>
      <w:r w:rsidR="0028586A" w:rsidRPr="003D1E07">
        <w:rPr>
          <w:i/>
        </w:rPr>
        <w:t>L</w:t>
      </w:r>
      <w:r w:rsidR="08363612" w:rsidRPr="003D1E07">
        <w:rPr>
          <w:i/>
        </w:rPr>
        <w:t>ogica Vetus</w:t>
      </w:r>
      <w:r w:rsidR="08166C36" w:rsidRPr="003D1E07">
        <w:rPr>
          <w:i/>
        </w:rPr>
        <w:fldChar w:fldCharType="begin"/>
      </w:r>
      <w:r w:rsidR="08166C36" w:rsidRPr="003D1E07">
        <w:instrText xml:space="preserve"> XE "</w:instrText>
      </w:r>
      <w:r w:rsidR="0028586A" w:rsidRPr="003D1E07">
        <w:rPr>
          <w:i/>
        </w:rPr>
        <w:instrText>L</w:instrText>
      </w:r>
      <w:r w:rsidR="08166C36" w:rsidRPr="003D1E07">
        <w:rPr>
          <w:i/>
        </w:rPr>
        <w:instrText>ogica Vetus</w:instrText>
      </w:r>
      <w:r w:rsidR="08166C36" w:rsidRPr="003D1E07">
        <w:instrText xml:space="preserve">" </w:instrText>
      </w:r>
      <w:r w:rsidR="08166C36" w:rsidRPr="003D1E07">
        <w:rPr>
          <w:i/>
        </w:rPr>
        <w:fldChar w:fldCharType="end"/>
      </w:r>
      <w:r w:rsidR="08363612" w:rsidRPr="003D1E07">
        <w:t xml:space="preserve"> hrálo klíčovou roli. </w:t>
      </w:r>
      <w:r w:rsidR="005924CD" w:rsidRPr="003D1E07">
        <w:t xml:space="preserve">Impozice významu </w:t>
      </w:r>
      <w:r w:rsidR="00117157" w:rsidRPr="003D1E07">
        <w:t xml:space="preserve">směrem od první substance </w:t>
      </w:r>
      <w:r w:rsidR="005924CD" w:rsidRPr="003D1E07">
        <w:t>zásadně determinuje perspektivu</w:t>
      </w:r>
      <w:r w:rsidR="084108C9" w:rsidRPr="003D1E07">
        <w:t xml:space="preserve"> fundamentálního náhledu, který zakládá </w:t>
      </w:r>
      <w:r w:rsidR="00C049D2" w:rsidRPr="003D1E07">
        <w:t>poznání.</w:t>
      </w:r>
      <w:r w:rsidR="00962FAA" w:rsidRPr="003D1E07">
        <w:t xml:space="preserve"> </w:t>
      </w:r>
      <w:r w:rsidR="08A23F27" w:rsidRPr="003D1E07">
        <w:t>K</w:t>
      </w:r>
      <w:r w:rsidR="08786448" w:rsidRPr="003D1E07">
        <w:t xml:space="preserve">ategoriální supozice </w:t>
      </w:r>
      <w:r w:rsidR="08A23F27" w:rsidRPr="003D1E07">
        <w:t>nao</w:t>
      </w:r>
      <w:r w:rsidR="088A2FEE" w:rsidRPr="003D1E07">
        <w:t xml:space="preserve">pak </w:t>
      </w:r>
      <w:r w:rsidR="08786448" w:rsidRPr="003D1E07">
        <w:t xml:space="preserve">predikuje význam </w:t>
      </w:r>
      <w:r w:rsidR="082B3805" w:rsidRPr="003D1E07">
        <w:t xml:space="preserve">nikoliv </w:t>
      </w:r>
      <w:r w:rsidR="08786448" w:rsidRPr="003D1E07">
        <w:t>vzhledem k reálnému bytí věci</w:t>
      </w:r>
      <w:r w:rsidR="082B3805" w:rsidRPr="003D1E07">
        <w:t>, ale vzhledem k obecnému významu. Supozičně daný význam lze dialekticky dělit a skládat, protože je dán pouze v mysli</w:t>
      </w:r>
      <w:r w:rsidR="08786448" w:rsidRPr="003D1E07">
        <w:t xml:space="preserve">. </w:t>
      </w:r>
      <w:r w:rsidR="08072A19" w:rsidRPr="003D1E07">
        <w:t xml:space="preserve">Impozičně daný význam nelze dělit, protože jej generuje nutnost </w:t>
      </w:r>
      <w:r w:rsidR="08B779FB" w:rsidRPr="003D1E07">
        <w:t xml:space="preserve">metafyzického </w:t>
      </w:r>
      <w:r w:rsidR="08072A19" w:rsidRPr="003D1E07">
        <w:t xml:space="preserve">dativu, která univočně spojuje jedinečný význam druhé substance s hyparchickým bytím první substance. </w:t>
      </w:r>
      <w:r w:rsidR="088A2FEE" w:rsidRPr="003D1E07">
        <w:t xml:space="preserve">Při nasvícení smyslu jsoucna zepředu </w:t>
      </w:r>
      <w:r w:rsidR="08786448" w:rsidRPr="003D1E07">
        <w:t>platí, že mrtvola není člověk, protože vznik významu „</w:t>
      </w:r>
      <w:r w:rsidR="08786448" w:rsidRPr="003D1E07">
        <w:rPr>
          <w:i/>
        </w:rPr>
        <w:t>homo</w:t>
      </w:r>
      <w:r w:rsidR="08786448" w:rsidRPr="003D1E07">
        <w:t>“ není zajištěn predikací od hyparchic</w:t>
      </w:r>
      <w:r w:rsidR="08AC601A" w:rsidRPr="003D1E07">
        <w:t xml:space="preserve">ky dané reálné první substance. </w:t>
      </w:r>
      <w:r w:rsidR="00F10465" w:rsidRPr="003D1E07">
        <w:t xml:space="preserve">Živý člověk není mrtvola. </w:t>
      </w:r>
      <w:r w:rsidR="08AC601A" w:rsidRPr="003D1E07">
        <w:t>Esenciálně dané významy zajišťují jen ekvivoční logickou abstrakci a nikoliv univocitu významu, protože ta je dána jen skrze metafyzický náhled na reálný svět</w:t>
      </w:r>
      <w:r w:rsidR="08C5736A" w:rsidRPr="003D1E07">
        <w:t xml:space="preserve"> v </w:t>
      </w:r>
      <w:r w:rsidR="08AC601A" w:rsidRPr="003D1E07">
        <w:t>rámci impozic</w:t>
      </w:r>
      <w:r w:rsidR="08C5736A" w:rsidRPr="003D1E07">
        <w:t xml:space="preserve">e. Pouze metafyzické vidění významu v rámci impozice dané nasvícením jsoucna zepředu </w:t>
      </w:r>
      <w:r w:rsidR="08AC601A" w:rsidRPr="003D1E07">
        <w:t>zajišťuje univoční kategoriální predikace</w:t>
      </w:r>
      <w:r w:rsidR="08AC601A" w:rsidRPr="003D1E07">
        <w:fldChar w:fldCharType="begin"/>
      </w:r>
      <w:r w:rsidR="08AC601A" w:rsidRPr="003D1E07">
        <w:instrText xml:space="preserve"> XE "sofisma člověk-mrtvola" </w:instrText>
      </w:r>
      <w:r w:rsidR="08AC601A" w:rsidRPr="003D1E07">
        <w:fldChar w:fldCharType="end"/>
      </w:r>
      <w:r w:rsidR="08AC601A" w:rsidRPr="003D1E07">
        <w:t>.</w:t>
      </w:r>
      <w:r w:rsidR="08AC601A" w:rsidRPr="003D1E07">
        <w:rPr>
          <w:rFonts w:ascii="Times New Roman" w:hAnsi="Times New Roman"/>
          <w:szCs w:val="24"/>
        </w:rPr>
        <w:t xml:space="preserve"> </w:t>
      </w:r>
    </w:p>
    <w:p w14:paraId="43DCAB52" w14:textId="77777777" w:rsidR="00A708D8" w:rsidRDefault="08642810" w:rsidP="08A00205">
      <w:r w:rsidRPr="003D1E07">
        <w:tab/>
      </w:r>
      <w:r w:rsidR="00C049D2" w:rsidRPr="003D1E07">
        <w:t xml:space="preserve">Rozdíl mezi kategoriální impozicí a supozicí v </w:t>
      </w:r>
      <w:r w:rsidR="00C049D2" w:rsidRPr="003D1E07">
        <w:rPr>
          <w:i/>
        </w:rPr>
        <w:t>Cat</w:t>
      </w:r>
      <w:r w:rsidR="00C049D2" w:rsidRPr="003D1E07">
        <w:t>. 2a14‒16</w:t>
      </w:r>
      <w:r w:rsidR="00554E31" w:rsidRPr="003D1E07">
        <w:fldChar w:fldCharType="begin"/>
      </w:r>
      <w:r w:rsidR="00554E31" w:rsidRPr="003D1E07">
        <w:instrText xml:space="preserve"> XE "</w:instrText>
      </w:r>
      <w:r w:rsidR="008E02F5" w:rsidRPr="003D1E07">
        <w:instrText>Aristoteles</w:instrText>
      </w:r>
      <w:r w:rsidR="00554E31" w:rsidRPr="003D1E07">
        <w:instrText>:</w:instrText>
      </w:r>
      <w:r w:rsidR="00554E31" w:rsidRPr="003D1E07">
        <w:rPr>
          <w:i/>
        </w:rPr>
        <w:instrText>Cat</w:instrText>
      </w:r>
      <w:r w:rsidR="00554E31" w:rsidRPr="003D1E07">
        <w:instrText xml:space="preserve">. 2a14‒16" </w:instrText>
      </w:r>
      <w:r w:rsidR="00554E31" w:rsidRPr="003D1E07">
        <w:fldChar w:fldCharType="end"/>
      </w:r>
      <w:r w:rsidR="00C049D2" w:rsidRPr="003D1E07">
        <w:t xml:space="preserve"> zakládá původní </w:t>
      </w:r>
      <w:r w:rsidR="08B5261D" w:rsidRPr="003D1E07">
        <w:t>místo pravdy pro následující</w:t>
      </w:r>
      <w:r w:rsidR="00C049D2" w:rsidRPr="003D1E07">
        <w:t xml:space="preserve"> epoch</w:t>
      </w:r>
      <w:r w:rsidR="08B5261D" w:rsidRPr="003D1E07">
        <w:t>y</w:t>
      </w:r>
      <w:r w:rsidR="00C049D2" w:rsidRPr="003D1E07">
        <w:t xml:space="preserve"> metafyziky, protože tvoří původní </w:t>
      </w:r>
      <w:r w:rsidR="00C049D2" w:rsidRPr="003D1E07">
        <w:rPr>
          <w:i/>
        </w:rPr>
        <w:t>Lichtung</w:t>
      </w:r>
      <w:r w:rsidR="00111FCC" w:rsidRPr="003D1E07">
        <w:fldChar w:fldCharType="begin"/>
      </w:r>
      <w:r w:rsidR="00111FCC" w:rsidRPr="003D1E07">
        <w:instrText xml:space="preserve"> XE "</w:instrText>
      </w:r>
      <w:r w:rsidR="00111FCC" w:rsidRPr="003D1E07">
        <w:rPr>
          <w:i/>
        </w:rPr>
        <w:instrText>Lichtung</w:instrText>
      </w:r>
      <w:r w:rsidR="00111FCC" w:rsidRPr="003D1E07">
        <w:instrText>:</w:instrText>
      </w:r>
      <w:r w:rsidR="008E02F5" w:rsidRPr="003D1E07">
        <w:instrText>Aristoteles</w:instrText>
      </w:r>
      <w:r w:rsidR="00111FCC" w:rsidRPr="003D1E07">
        <w:instrText xml:space="preserve">" </w:instrText>
      </w:r>
      <w:r w:rsidR="00111FCC" w:rsidRPr="003D1E07">
        <w:fldChar w:fldCharType="end"/>
      </w:r>
      <w:r w:rsidR="0012030C" w:rsidRPr="003D1E07">
        <w:t xml:space="preserve"> aristotel</w:t>
      </w:r>
      <w:r w:rsidR="00282822" w:rsidRPr="003D1E07">
        <w:t>s</w:t>
      </w:r>
      <w:r w:rsidR="0012030C" w:rsidRPr="003D1E07">
        <w:t>k</w:t>
      </w:r>
      <w:r w:rsidR="00282822" w:rsidRPr="003D1E07">
        <w:t>é metafyziky. O</w:t>
      </w:r>
      <w:r w:rsidR="00C049D2" w:rsidRPr="003D1E07">
        <w:t xml:space="preserve">dkud </w:t>
      </w:r>
      <w:r w:rsidR="00282822" w:rsidRPr="003D1E07">
        <w:t>lze nazírat</w:t>
      </w:r>
      <w:r w:rsidR="00C049D2" w:rsidRPr="003D1E07">
        <w:t xml:space="preserve"> smysl jsoucna</w:t>
      </w:r>
      <w:r w:rsidR="08147CE1" w:rsidRPr="003D1E07">
        <w:t xml:space="preserve"> </w:t>
      </w:r>
      <w:r w:rsidR="00851685" w:rsidRPr="003D1E07">
        <w:t xml:space="preserve">dvěma směry, aby se přišlo k principu </w:t>
      </w:r>
      <w:r w:rsidR="08147CE1" w:rsidRPr="003D1E07">
        <w:t>vyloučeného třetího</w:t>
      </w:r>
      <w:r w:rsidR="00983D46" w:rsidRPr="003D1E07">
        <w:t xml:space="preserve"> a principu</w:t>
      </w:r>
      <w:r w:rsidR="0067085E" w:rsidRPr="003D1E07">
        <w:t xml:space="preserve"> bezrozpornosti</w:t>
      </w:r>
      <w:r w:rsidR="00C049D2" w:rsidRPr="003D1E07">
        <w:t xml:space="preserve">. </w:t>
      </w:r>
      <w:r w:rsidR="08147CE1" w:rsidRPr="003D1E07">
        <w:t>Buď j</w:t>
      </w:r>
      <w:r w:rsidR="084108C9" w:rsidRPr="003D1E07">
        <w:t>de poznání směrem od autonomní</w:t>
      </w:r>
      <w:r w:rsidR="00E802CC" w:rsidRPr="003D1E07">
        <w:t>ho světa neoplato</w:t>
      </w:r>
      <w:r w:rsidR="08147CE1" w:rsidRPr="003D1E07">
        <w:t xml:space="preserve">nských substancí a forem. Nebo predikujeme významy reálného světa </w:t>
      </w:r>
      <w:r w:rsidR="08D90725" w:rsidRPr="003D1E07">
        <w:t>univ</w:t>
      </w:r>
      <w:r w:rsidR="08E4770C" w:rsidRPr="003D1E07">
        <w:t xml:space="preserve">očně dané </w:t>
      </w:r>
      <w:r w:rsidR="08147CE1" w:rsidRPr="003D1E07">
        <w:t>vz</w:t>
      </w:r>
      <w:r w:rsidR="08E4770C" w:rsidRPr="003D1E07">
        <w:t>h</w:t>
      </w:r>
      <w:r w:rsidR="08147CE1" w:rsidRPr="003D1E07">
        <w:t xml:space="preserve">ledem k </w:t>
      </w:r>
      <w:r w:rsidR="08E4770C" w:rsidRPr="003D1E07">
        <w:t xml:space="preserve">hyparchicky </w:t>
      </w:r>
      <w:r w:rsidR="00C049D2" w:rsidRPr="003D1E07">
        <w:t xml:space="preserve">existující </w:t>
      </w:r>
      <w:r w:rsidR="0815521D" w:rsidRPr="003D1E07">
        <w:t>věci v realitě</w:t>
      </w:r>
      <w:r w:rsidR="08147CE1" w:rsidRPr="003D1E07">
        <w:t>.</w:t>
      </w:r>
      <w:r w:rsidR="0815521D" w:rsidRPr="003D1E07">
        <w:t xml:space="preserve"> Dráha metafyzického náhledu (</w:t>
      </w:r>
      <w:r w:rsidR="0815521D" w:rsidRPr="003D1E07">
        <w:rPr>
          <w:i/>
        </w:rPr>
        <w:t>Vor</w:t>
      </w:r>
      <w:r w:rsidR="0815521D" w:rsidRPr="003D1E07">
        <w:rPr>
          <w:i/>
        </w:rPr>
        <w:noBreakHyphen/>
        <w:t>blickbahn</w:t>
      </w:r>
      <w:r w:rsidR="0815521D" w:rsidRPr="003D1E07">
        <w:t>) je v modu impozice dána buď vzhledem k první substanci (nasvícení zepředu), nebo v modu supozice predikuje již daný univerzální význam druh</w:t>
      </w:r>
      <w:r w:rsidR="08F01B97" w:rsidRPr="003D1E07">
        <w:t xml:space="preserve">é substance (nasvícení zezadu). </w:t>
      </w:r>
      <w:r w:rsidRPr="003D1E07">
        <w:t xml:space="preserve">V metafyzice </w:t>
      </w:r>
      <w:r w:rsidR="087F2E3D" w:rsidRPr="003D1E07">
        <w:t xml:space="preserve">platí </w:t>
      </w:r>
      <w:r w:rsidRPr="003D1E07">
        <w:lastRenderedPageBreak/>
        <w:t xml:space="preserve">existenční </w:t>
      </w:r>
      <w:r w:rsidR="00D236C9">
        <w:t xml:space="preserve">nutnost </w:t>
      </w:r>
      <w:r w:rsidR="08B779FB" w:rsidRPr="003D1E07">
        <w:t xml:space="preserve">metafyzického </w:t>
      </w:r>
      <w:r w:rsidR="087F2E3D" w:rsidRPr="003D1E07">
        <w:t>dativu, protože s</w:t>
      </w:r>
      <w:r w:rsidR="085B3408" w:rsidRPr="003D1E07">
        <w:t xml:space="preserve">měr nasvícení jsoucna </w:t>
      </w:r>
      <w:r w:rsidR="087F2E3D" w:rsidRPr="003D1E07">
        <w:t xml:space="preserve">od hyparchicky dané první substance </w:t>
      </w:r>
      <w:r w:rsidR="085B3408" w:rsidRPr="003D1E07">
        <w:t xml:space="preserve">zakládá fundamentální určení </w:t>
      </w:r>
      <w:r w:rsidR="08905AED" w:rsidRPr="003D1E07">
        <w:t xml:space="preserve">západní vědy. </w:t>
      </w:r>
      <w:r w:rsidR="00E802CC" w:rsidRPr="003D1E07">
        <w:t>Aristotele</w:t>
      </w:r>
      <w:r w:rsidR="08155660" w:rsidRPr="003D1E07">
        <w:t>s</w:t>
      </w:r>
      <w:r w:rsidR="08E247D3" w:rsidRPr="003D1E07">
        <w:t xml:space="preserve"> </w:t>
      </w:r>
      <w:r w:rsidR="00015E4A" w:rsidRPr="003D1E07">
        <w:t xml:space="preserve">v závěru </w:t>
      </w:r>
      <w:r w:rsidR="00015E4A" w:rsidRPr="003D1E07">
        <w:rPr>
          <w:i/>
        </w:rPr>
        <w:t>Druhých analytik</w:t>
      </w:r>
      <w:r w:rsidR="00015E4A" w:rsidRPr="003D1E07">
        <w:t xml:space="preserve"> dokazuje</w:t>
      </w:r>
      <w:r w:rsidR="088A2F7A" w:rsidRPr="003D1E07">
        <w:t xml:space="preserve">, že </w:t>
      </w:r>
      <w:r w:rsidR="00E404C2" w:rsidRPr="003D1E07">
        <w:t xml:space="preserve">naše </w:t>
      </w:r>
      <w:r w:rsidR="088A2F7A" w:rsidRPr="003D1E07">
        <w:t xml:space="preserve">poznání </w:t>
      </w:r>
      <w:r w:rsidR="08E247D3" w:rsidRPr="003D1E07">
        <w:t xml:space="preserve">není schopné vytvořit plnohodnotné poznání reality </w:t>
      </w:r>
      <w:r w:rsidR="088A2F7A" w:rsidRPr="003D1E07">
        <w:t>pouze z vlastních schopností.</w:t>
      </w:r>
      <w:r w:rsidR="00E404C2" w:rsidRPr="003D1E07">
        <w:t xml:space="preserve"> Lidský intelekt </w:t>
      </w:r>
      <w:r w:rsidR="00CC6DE6" w:rsidRPr="003D1E07">
        <w:t xml:space="preserve">přijímá </w:t>
      </w:r>
      <w:r w:rsidR="00E404C2" w:rsidRPr="003D1E07">
        <w:t xml:space="preserve">aktualitu vnějšího světa </w:t>
      </w:r>
      <w:r w:rsidR="005924CD" w:rsidRPr="003D1E07">
        <w:t xml:space="preserve">skrze smysly </w:t>
      </w:r>
      <w:r w:rsidR="00E404C2" w:rsidRPr="003D1E07">
        <w:t>a nemá žádné vrozené poznání.</w:t>
      </w:r>
      <w:r w:rsidR="00015E4A" w:rsidRPr="003D1E07">
        <w:rPr>
          <w:rStyle w:val="Znakapoznpodarou"/>
        </w:rPr>
        <w:footnoteReference w:id="39"/>
      </w:r>
      <w:r w:rsidR="088A2F7A" w:rsidRPr="003D1E07">
        <w:t xml:space="preserve"> </w:t>
      </w:r>
      <w:r w:rsidR="00CC6DE6" w:rsidRPr="003D1E07">
        <w:t xml:space="preserve">Zdroj </w:t>
      </w:r>
      <w:r w:rsidR="088A2F7A" w:rsidRPr="003D1E07">
        <w:t xml:space="preserve">poznání </w:t>
      </w:r>
      <w:r w:rsidR="00A165C4" w:rsidRPr="003D1E07">
        <w:t>z hlediska aktualizace</w:t>
      </w:r>
      <w:r w:rsidR="00CC6DE6" w:rsidRPr="003D1E07">
        <w:t xml:space="preserve"> </w:t>
      </w:r>
      <w:r w:rsidR="00840CBF" w:rsidRPr="003D1E07">
        <w:t xml:space="preserve">našeho intelektu </w:t>
      </w:r>
      <w:r w:rsidR="00CC6DE6" w:rsidRPr="003D1E07">
        <w:t xml:space="preserve">leží ve </w:t>
      </w:r>
      <w:r w:rsidR="08E35B94" w:rsidRPr="003D1E07">
        <w:t>smyslové zkušenosti</w:t>
      </w:r>
      <w:r w:rsidR="086B6E6F" w:rsidRPr="003D1E07">
        <w:t xml:space="preserve"> (ἀπὸ αἰσθήσεως)</w:t>
      </w:r>
      <w:r w:rsidR="08E35B94" w:rsidRPr="003D1E07">
        <w:t>. H</w:t>
      </w:r>
      <w:r w:rsidR="088A2F7A" w:rsidRPr="003D1E07">
        <w:t xml:space="preserve">ermeneutika </w:t>
      </w:r>
      <w:r w:rsidR="00E463C9" w:rsidRPr="003D1E07">
        <w:t xml:space="preserve">spojuje </w:t>
      </w:r>
      <w:r w:rsidR="08E35B94" w:rsidRPr="003D1E07">
        <w:t xml:space="preserve">tuto perspektivu poznání </w:t>
      </w:r>
      <w:r w:rsidR="00CF2903" w:rsidRPr="003D1E07">
        <w:t xml:space="preserve">napojenou na </w:t>
      </w:r>
      <w:r w:rsidR="00E463C9" w:rsidRPr="003D1E07">
        <w:t xml:space="preserve">výše uvedené </w:t>
      </w:r>
      <w:r w:rsidR="00CF2903" w:rsidRPr="003D1E07">
        <w:t xml:space="preserve">hyparchické kategoriální postavení substance </w:t>
      </w:r>
      <w:r w:rsidR="00CE7FB7" w:rsidRPr="003D1E07">
        <w:t xml:space="preserve">pod </w:t>
      </w:r>
      <w:r w:rsidR="088A2F7A" w:rsidRPr="003D1E07">
        <w:t>termín</w:t>
      </w:r>
      <w:r w:rsidR="00CE7FB7" w:rsidRPr="003D1E07">
        <w:t xml:space="preserve"> </w:t>
      </w:r>
      <w:r w:rsidR="088A2F7A" w:rsidRPr="003D1E07">
        <w:t xml:space="preserve">„nasvícení </w:t>
      </w:r>
      <w:r w:rsidR="00CE7FB7" w:rsidRPr="003D1E07">
        <w:t xml:space="preserve">smyslu jsoucna </w:t>
      </w:r>
      <w:r w:rsidR="088A2F7A" w:rsidRPr="003D1E07">
        <w:t>zepředu“</w:t>
      </w:r>
      <w:r w:rsidR="00111FCC" w:rsidRPr="003D1E07">
        <w:fldChar w:fldCharType="begin"/>
      </w:r>
      <w:r w:rsidR="00111FCC" w:rsidRPr="003D1E07">
        <w:instrText xml:space="preserve"> XE "zjevování:nasvícení zepředu" </w:instrText>
      </w:r>
      <w:r w:rsidR="00111FCC" w:rsidRPr="003D1E07">
        <w:fldChar w:fldCharType="end"/>
      </w:r>
      <w:r w:rsidR="080E18D1" w:rsidRPr="003D1E07">
        <w:t>. A</w:t>
      </w:r>
      <w:r w:rsidR="088A2F7A" w:rsidRPr="003D1E07">
        <w:t xml:space="preserve">ktualizace poznání </w:t>
      </w:r>
      <w:r w:rsidR="080E18D1" w:rsidRPr="003D1E07">
        <w:t xml:space="preserve">a </w:t>
      </w:r>
      <w:r w:rsidR="002102C2" w:rsidRPr="003D1E07">
        <w:t>následná kategor</w:t>
      </w:r>
      <w:r w:rsidR="08C779C9" w:rsidRPr="003D1E07">
        <w:t>i</w:t>
      </w:r>
      <w:r w:rsidR="002102C2" w:rsidRPr="003D1E07">
        <w:t>ální predikace jsou</w:t>
      </w:r>
      <w:r w:rsidR="080E18D1" w:rsidRPr="003D1E07">
        <w:t xml:space="preserve"> dán</w:t>
      </w:r>
      <w:r w:rsidR="002102C2" w:rsidRPr="003D1E07">
        <w:t>y</w:t>
      </w:r>
      <w:r w:rsidR="0853781E" w:rsidRPr="003D1E07">
        <w:t xml:space="preserve"> </w:t>
      </w:r>
      <w:r w:rsidR="088A2F7A" w:rsidRPr="003D1E07">
        <w:t xml:space="preserve">od </w:t>
      </w:r>
      <w:r w:rsidR="08402841" w:rsidRPr="003D1E07">
        <w:t xml:space="preserve">reálně existující </w:t>
      </w:r>
      <w:r w:rsidR="088A2F7A" w:rsidRPr="003D1E07">
        <w:t>první substance.</w:t>
      </w:r>
      <w:r w:rsidR="00EA2A92" w:rsidRPr="003D1E07">
        <w:t xml:space="preserve"> </w:t>
      </w:r>
      <w:r w:rsidR="00E802CC" w:rsidRPr="003D1E07">
        <w:t xml:space="preserve">Spis </w:t>
      </w:r>
      <w:r w:rsidR="00E802CC" w:rsidRPr="003D1E07">
        <w:rPr>
          <w:i/>
        </w:rPr>
        <w:t>Druhé a</w:t>
      </w:r>
      <w:r w:rsidR="00EA2A92" w:rsidRPr="003D1E07">
        <w:rPr>
          <w:i/>
        </w:rPr>
        <w:t>nalytiky</w:t>
      </w:r>
      <w:r w:rsidR="00EA2A92" w:rsidRPr="003D1E07">
        <w:t xml:space="preserve"> tvrdí, že první substance poznáváme díky působení </w:t>
      </w:r>
      <w:r w:rsidR="084C5F21" w:rsidRPr="003D1E07">
        <w:t xml:space="preserve">reálné </w:t>
      </w:r>
      <w:r w:rsidR="00EA2A92" w:rsidRPr="003D1E07">
        <w:t xml:space="preserve">kauzality, která se týká pouze reálných </w:t>
      </w:r>
      <w:r w:rsidR="00CC6F5B" w:rsidRPr="003D1E07">
        <w:t>věcí daných v jednoznačnosti bytí první substance</w:t>
      </w:r>
      <w:r w:rsidR="00EA2A92" w:rsidRPr="003D1E07">
        <w:t>.</w:t>
      </w:r>
      <w:r w:rsidR="00EA2A92" w:rsidRPr="003D1E07">
        <w:rPr>
          <w:rStyle w:val="Znakapoznpodarou"/>
        </w:rPr>
        <w:footnoteReference w:id="40"/>
      </w:r>
      <w:r w:rsidR="088A2F7A" w:rsidRPr="003D1E07">
        <w:t xml:space="preserve"> </w:t>
      </w:r>
      <w:r w:rsidR="083969FC" w:rsidRPr="003D1E07">
        <w:t xml:space="preserve">První impozici </w:t>
      </w:r>
      <w:r w:rsidR="00065C43" w:rsidRPr="003D1E07">
        <w:t xml:space="preserve">hyparchicky daného </w:t>
      </w:r>
      <w:r w:rsidR="083969FC" w:rsidRPr="003D1E07">
        <w:t xml:space="preserve">významu determinuje </w:t>
      </w:r>
      <w:r w:rsidR="00065C43" w:rsidRPr="003D1E07">
        <w:t xml:space="preserve">pouze a jedině </w:t>
      </w:r>
      <w:r w:rsidR="083969FC" w:rsidRPr="003D1E07">
        <w:t>aktuální první substance</w:t>
      </w:r>
      <w:r w:rsidR="006C0777" w:rsidRPr="003D1E07">
        <w:t xml:space="preserve"> (πρώτως οὐσίαι λεγόμεναι ὑπάρχουσιν, </w:t>
      </w:r>
      <w:r w:rsidR="006C0777" w:rsidRPr="003D1E07">
        <w:rPr>
          <w:i/>
        </w:rPr>
        <w:t>Cat</w:t>
      </w:r>
      <w:r w:rsidR="0013724F" w:rsidRPr="003D1E07">
        <w:t>. 2a14–15</w:t>
      </w:r>
      <w:r w:rsidR="00554E31" w:rsidRPr="003D1E07">
        <w:fldChar w:fldCharType="begin"/>
      </w:r>
      <w:r w:rsidR="00554E31" w:rsidRPr="003D1E07">
        <w:instrText xml:space="preserve"> XE "</w:instrText>
      </w:r>
      <w:r w:rsidR="008E02F5" w:rsidRPr="003D1E07">
        <w:instrText>Aristoteles</w:instrText>
      </w:r>
      <w:r w:rsidR="00554E31" w:rsidRPr="003D1E07">
        <w:instrText>:</w:instrText>
      </w:r>
      <w:r w:rsidR="00554E31" w:rsidRPr="003D1E07">
        <w:rPr>
          <w:i/>
        </w:rPr>
        <w:instrText>Cat</w:instrText>
      </w:r>
      <w:r w:rsidR="00554E31" w:rsidRPr="003D1E07">
        <w:instrText xml:space="preserve">. 2a14‒15" </w:instrText>
      </w:r>
      <w:r w:rsidR="00554E31" w:rsidRPr="003D1E07">
        <w:fldChar w:fldCharType="end"/>
      </w:r>
      <w:r w:rsidR="006C0777" w:rsidRPr="003D1E07">
        <w:t>)</w:t>
      </w:r>
      <w:r w:rsidR="083969FC" w:rsidRPr="003D1E07">
        <w:t xml:space="preserve">. </w:t>
      </w:r>
      <w:r w:rsidR="00161F71" w:rsidRPr="003D1E07">
        <w:t xml:space="preserve">Ale nyní je jasné, že tato „první substance“ má dvojí podobu danou hyparchickou impozicí a </w:t>
      </w:r>
      <w:r w:rsidR="00E116EF" w:rsidRPr="003D1E07">
        <w:t>univerz</w:t>
      </w:r>
      <w:r w:rsidR="00161F71" w:rsidRPr="003D1E07">
        <w:t xml:space="preserve">ální supozicí. Obě </w:t>
      </w:r>
      <w:r w:rsidR="001B4533" w:rsidRPr="003D1E07">
        <w:t xml:space="preserve">základní </w:t>
      </w:r>
      <w:r w:rsidR="00161F71" w:rsidRPr="003D1E07">
        <w:t>k</w:t>
      </w:r>
      <w:r w:rsidR="00374ED1" w:rsidRPr="003D1E07">
        <w:t xml:space="preserve">ategorizace </w:t>
      </w:r>
      <w:r w:rsidR="00161F71" w:rsidRPr="003D1E07">
        <w:t>probíhají</w:t>
      </w:r>
      <w:r w:rsidR="00374ED1" w:rsidRPr="003D1E07">
        <w:t xml:space="preserve"> v rámci predikace </w:t>
      </w:r>
      <w:r w:rsidR="00E420F5" w:rsidRPr="003D1E07">
        <w:t xml:space="preserve">ambivalentně </w:t>
      </w:r>
      <w:r w:rsidR="00374ED1" w:rsidRPr="003D1E07">
        <w:t>vztažené k primární substanci.</w:t>
      </w:r>
      <w:r w:rsidR="00374ED1" w:rsidRPr="003D1E07">
        <w:rPr>
          <w:rStyle w:val="Znakapoznpodarou"/>
        </w:rPr>
        <w:footnoteReference w:id="41"/>
      </w:r>
      <w:r w:rsidR="00374ED1" w:rsidRPr="003D1E07">
        <w:t xml:space="preserve"> </w:t>
      </w:r>
      <w:r w:rsidR="000A33E6" w:rsidRPr="003D1E07">
        <w:t xml:space="preserve">Pak </w:t>
      </w:r>
      <w:r w:rsidR="00F374FE" w:rsidRPr="003D1E07">
        <w:t xml:space="preserve">existují dvě perspektivy </w:t>
      </w:r>
      <w:r w:rsidR="007711C1" w:rsidRPr="003D1E07">
        <w:t xml:space="preserve">kategoriální predikace </w:t>
      </w:r>
      <w:r w:rsidR="00DA5DC9" w:rsidRPr="003D1E07">
        <w:t xml:space="preserve">dané v modu </w:t>
      </w:r>
      <w:r w:rsidR="00DA5DC9" w:rsidRPr="003D1E07">
        <w:rPr>
          <w:i/>
        </w:rPr>
        <w:t>per prius</w:t>
      </w:r>
      <w:r w:rsidR="00DA5DC9" w:rsidRPr="003D1E07">
        <w:t xml:space="preserve"> </w:t>
      </w:r>
      <w:r w:rsidR="00944B51" w:rsidRPr="003D1E07">
        <w:fldChar w:fldCharType="begin"/>
      </w:r>
      <w:r w:rsidR="00944B51" w:rsidRPr="003D1E07">
        <w:instrText xml:space="preserve"> XE "predikace:</w:instrText>
      </w:r>
      <w:r w:rsidR="00944B51" w:rsidRPr="003D1E07">
        <w:rPr>
          <w:i/>
        </w:rPr>
        <w:instrText>per prius</w:instrText>
      </w:r>
      <w:r w:rsidR="00944B51" w:rsidRPr="003D1E07">
        <w:instrText xml:space="preserve">" </w:instrText>
      </w:r>
      <w:r w:rsidR="00944B51" w:rsidRPr="003D1E07">
        <w:fldChar w:fldCharType="end"/>
      </w:r>
      <w:r w:rsidR="008E4002" w:rsidRPr="003D1E07">
        <w:t xml:space="preserve">podle </w:t>
      </w:r>
      <w:r w:rsidR="00851CF8" w:rsidRPr="003D1E07">
        <w:t>citovaného výroku</w:t>
      </w:r>
      <w:r w:rsidR="006A33C4" w:rsidRPr="003D1E07">
        <w:t xml:space="preserve"> (πρώτως οὐσίαι λεγόμεναι)</w:t>
      </w:r>
      <w:r w:rsidR="00772541" w:rsidRPr="003D1E07">
        <w:t>.</w:t>
      </w:r>
      <w:r w:rsidR="00F374FE" w:rsidRPr="003D1E07">
        <w:t xml:space="preserve"> </w:t>
      </w:r>
      <w:r w:rsidR="005C7FD6" w:rsidRPr="003D1E07">
        <w:t>S</w:t>
      </w:r>
      <w:r w:rsidR="00F374FE" w:rsidRPr="003D1E07">
        <w:t>ledujeme</w:t>
      </w:r>
      <w:r w:rsidR="005C7FD6" w:rsidRPr="003D1E07">
        <w:t>-li</w:t>
      </w:r>
      <w:r w:rsidR="00F374FE" w:rsidRPr="003D1E07">
        <w:t xml:space="preserve"> </w:t>
      </w:r>
      <w:r w:rsidR="08E94D3F" w:rsidRPr="003D1E07">
        <w:t xml:space="preserve">dráhu náhledu danou </w:t>
      </w:r>
      <w:r w:rsidR="00BB248A" w:rsidRPr="003D1E07">
        <w:t>primát</w:t>
      </w:r>
      <w:r w:rsidR="08E94D3F" w:rsidRPr="003D1E07">
        <w:t xml:space="preserve">em </w:t>
      </w:r>
      <w:r w:rsidR="00BB248A" w:rsidRPr="003D1E07">
        <w:t xml:space="preserve">reálné </w:t>
      </w:r>
      <w:r w:rsidR="00F374FE" w:rsidRPr="003D1E07">
        <w:t>substance</w:t>
      </w:r>
      <w:r w:rsidR="005C7FD6" w:rsidRPr="003D1E07">
        <w:t xml:space="preserve">, pak </w:t>
      </w:r>
      <w:r w:rsidR="084E46B9" w:rsidRPr="003D1E07">
        <w:t xml:space="preserve">prvním </w:t>
      </w:r>
      <w:r w:rsidR="00F374FE" w:rsidRPr="003D1E07">
        <w:t>kategoriálním k</w:t>
      </w:r>
      <w:r w:rsidR="005C7FD6" w:rsidRPr="003D1E07">
        <w:t xml:space="preserve">onceptem bude </w:t>
      </w:r>
      <w:r w:rsidR="00F214C5" w:rsidRPr="003D1E07">
        <w:t>species</w:t>
      </w:r>
      <w:r w:rsidR="00920069" w:rsidRPr="003D1E07">
        <w:t xml:space="preserve">, </w:t>
      </w:r>
      <w:r w:rsidR="005C7FD6" w:rsidRPr="003D1E07">
        <w:t xml:space="preserve">protože má </w:t>
      </w:r>
      <w:r w:rsidR="009907A7" w:rsidRPr="003D1E07">
        <w:t xml:space="preserve">ontologicky </w:t>
      </w:r>
      <w:r w:rsidR="005C7FD6" w:rsidRPr="003D1E07">
        <w:t>nejblí</w:t>
      </w:r>
      <w:r w:rsidR="008B0846" w:rsidRPr="003D1E07">
        <w:t>že k individuální první substanci</w:t>
      </w:r>
      <w:r w:rsidR="005D2115" w:rsidRPr="003D1E07">
        <w:t xml:space="preserve">. </w:t>
      </w:r>
      <w:r w:rsidR="00E802CC" w:rsidRPr="003D1E07">
        <w:t xml:space="preserve">Druh </w:t>
      </w:r>
      <w:r w:rsidR="00D27CF2" w:rsidRPr="003D1E07">
        <w:t>chápaný hyparchicky vzhled</w:t>
      </w:r>
      <w:r w:rsidR="00063A20" w:rsidRPr="003D1E07">
        <w:t>em</w:t>
      </w:r>
      <w:r w:rsidR="00D27CF2" w:rsidRPr="003D1E07">
        <w:t xml:space="preserve"> k první substanci </w:t>
      </w:r>
      <w:r w:rsidR="08D65CCA" w:rsidRPr="003D1E07">
        <w:t xml:space="preserve">ustavuje </w:t>
      </w:r>
      <w:r w:rsidR="08DB1937" w:rsidRPr="003D1E07">
        <w:t xml:space="preserve">univerzální </w:t>
      </w:r>
      <w:r w:rsidR="08D65CCA" w:rsidRPr="003D1E07">
        <w:t xml:space="preserve">význam </w:t>
      </w:r>
      <w:r w:rsidR="00D27CF2" w:rsidRPr="003D1E07">
        <w:t xml:space="preserve">druhé substance, která stojí </w:t>
      </w:r>
      <w:r w:rsidR="08D65CCA" w:rsidRPr="003D1E07">
        <w:t>jako první v řadě</w:t>
      </w:r>
      <w:r w:rsidR="00D27CF2" w:rsidRPr="003D1E07">
        <w:t xml:space="preserve"> kategoriálních </w:t>
      </w:r>
      <w:r w:rsidR="08DB1937" w:rsidRPr="003D1E07">
        <w:t>významů</w:t>
      </w:r>
      <w:r w:rsidR="08D65CCA" w:rsidRPr="003D1E07">
        <w:t xml:space="preserve">. </w:t>
      </w:r>
      <w:r w:rsidR="009D4A80" w:rsidRPr="003D1E07">
        <w:t xml:space="preserve">Tento význam nelze dále dělit, protože představuje první rovinu univocity. </w:t>
      </w:r>
      <w:r w:rsidR="0013724F" w:rsidRPr="003D1E07">
        <w:t>Druhé hledisko</w:t>
      </w:r>
      <w:r w:rsidR="08762639" w:rsidRPr="003D1E07">
        <w:t xml:space="preserve"> vztahuje predikaci</w:t>
      </w:r>
      <w:r w:rsidR="00162E02" w:rsidRPr="003D1E07">
        <w:t xml:space="preserve"> ke </w:t>
      </w:r>
      <w:r w:rsidR="08C4594D" w:rsidRPr="003D1E07">
        <w:t>kategoriálnímu významu (</w:t>
      </w:r>
      <w:r w:rsidR="008B0846" w:rsidRPr="003D1E07">
        <w:t>πρώτως οὐσίαι λεγόμεναι</w:t>
      </w:r>
      <w:r w:rsidR="08C4594D" w:rsidRPr="003D1E07">
        <w:t xml:space="preserve">) </w:t>
      </w:r>
      <w:r w:rsidR="08762639" w:rsidRPr="003D1E07">
        <w:t xml:space="preserve">nahlíženého </w:t>
      </w:r>
      <w:r w:rsidR="008B0846" w:rsidRPr="003D1E07">
        <w:t xml:space="preserve">z </w:t>
      </w:r>
      <w:r w:rsidR="00277005" w:rsidRPr="003D1E07">
        <w:t>hlediska obecnosti</w:t>
      </w:r>
      <w:r w:rsidR="002B1711" w:rsidRPr="003D1E07">
        <w:fldChar w:fldCharType="begin"/>
      </w:r>
      <w:r w:rsidR="002B1711" w:rsidRPr="003D1E07">
        <w:instrText xml:space="preserve"> XE "predikace:</w:instrText>
      </w:r>
      <w:r w:rsidR="002B1711" w:rsidRPr="003D1E07">
        <w:rPr>
          <w:i/>
        </w:rPr>
        <w:instrText>per posterius</w:instrText>
      </w:r>
      <w:r w:rsidR="002B1711" w:rsidRPr="003D1E07">
        <w:instrText xml:space="preserve">" </w:instrText>
      </w:r>
      <w:r w:rsidR="002B1711" w:rsidRPr="003D1E07">
        <w:fldChar w:fldCharType="end"/>
      </w:r>
      <w:r w:rsidR="008B0846" w:rsidRPr="003D1E07">
        <w:t xml:space="preserve">. </w:t>
      </w:r>
      <w:r w:rsidR="08E94D3F" w:rsidRPr="003D1E07">
        <w:t xml:space="preserve">Náhled na jsoucno </w:t>
      </w:r>
      <w:r w:rsidR="08762639" w:rsidRPr="003D1E07">
        <w:t xml:space="preserve">v modu </w:t>
      </w:r>
      <w:r w:rsidR="08264A43" w:rsidRPr="003D1E07">
        <w:t xml:space="preserve">univerzální </w:t>
      </w:r>
      <w:r w:rsidR="08762639" w:rsidRPr="003D1E07">
        <w:t xml:space="preserve">supozice </w:t>
      </w:r>
      <w:r w:rsidR="08E94D3F" w:rsidRPr="003D1E07">
        <w:t>ny</w:t>
      </w:r>
      <w:r w:rsidR="08762639" w:rsidRPr="003D1E07">
        <w:t>n</w:t>
      </w:r>
      <w:r w:rsidR="08E94D3F" w:rsidRPr="003D1E07">
        <w:t xml:space="preserve">í </w:t>
      </w:r>
      <w:r w:rsidR="08762639" w:rsidRPr="003D1E07">
        <w:t xml:space="preserve">determinuje význam </w:t>
      </w:r>
      <w:r w:rsidR="08762639" w:rsidRPr="003D1E07">
        <w:lastRenderedPageBreak/>
        <w:t xml:space="preserve">podle primátu </w:t>
      </w:r>
      <w:r w:rsidR="08E94D3F" w:rsidRPr="003D1E07">
        <w:t xml:space="preserve">druhé substance, která představuje nejvyšší rodovou jednotu významu. </w:t>
      </w:r>
      <w:r w:rsidR="009D4A80" w:rsidRPr="003D1E07">
        <w:t>Tento význam lze děl</w:t>
      </w:r>
      <w:r w:rsidR="001E2ECD" w:rsidRPr="003D1E07">
        <w:t>i</w:t>
      </w:r>
      <w:r w:rsidR="009D4A80" w:rsidRPr="003D1E07">
        <w:t xml:space="preserve">t, protože obsahuje nejvyšší univocitu generického významu. </w:t>
      </w:r>
      <w:r w:rsidR="088B47E7" w:rsidRPr="003D1E07">
        <w:t xml:space="preserve">Ale to také znamená, že tento význam bude nejdále od hyparchické první substance, protože supoziční jednota v rámci </w:t>
      </w:r>
      <w:r w:rsidR="00636BD4" w:rsidRPr="003D1E07">
        <w:t>genus</w:t>
      </w:r>
      <w:r w:rsidR="088B47E7" w:rsidRPr="003D1E07">
        <w:t xml:space="preserve"> je daná až za </w:t>
      </w:r>
      <w:r w:rsidR="00F214C5" w:rsidRPr="003D1E07">
        <w:t>species</w:t>
      </w:r>
      <w:r w:rsidR="002F72EA" w:rsidRPr="003D1E07">
        <w:t>, pokud jej chá</w:t>
      </w:r>
      <w:r w:rsidR="00824490" w:rsidRPr="003D1E07">
        <w:t>p</w:t>
      </w:r>
      <w:r w:rsidR="002F72EA" w:rsidRPr="003D1E07">
        <w:t>eme hyparchicky, tj. nasvícením zepředu.</w:t>
      </w:r>
      <w:r w:rsidR="088B47E7" w:rsidRPr="003D1E07">
        <w:t xml:space="preserve"> </w:t>
      </w:r>
      <w:r w:rsidR="00A124FD" w:rsidRPr="003D1E07">
        <w:t xml:space="preserve">Nyní </w:t>
      </w:r>
      <w:r w:rsidR="002F72EA" w:rsidRPr="003D1E07">
        <w:t xml:space="preserve">je perspektiva dána od primátu druhé substance, tj. nasvícením </w:t>
      </w:r>
      <w:r w:rsidR="008742B4" w:rsidRPr="003D1E07">
        <w:t>„první</w:t>
      </w:r>
      <w:r w:rsidR="00FF51D9" w:rsidRPr="003D1E07">
        <w:t>“</w:t>
      </w:r>
      <w:r w:rsidR="008742B4" w:rsidRPr="003D1E07">
        <w:t xml:space="preserve"> </w:t>
      </w:r>
      <w:r w:rsidR="00FF51D9" w:rsidRPr="003D1E07">
        <w:t xml:space="preserve">predikované </w:t>
      </w:r>
      <w:r w:rsidR="008742B4" w:rsidRPr="003D1E07">
        <w:t xml:space="preserve">substance </w:t>
      </w:r>
      <w:r w:rsidR="002F72EA" w:rsidRPr="003D1E07">
        <w:t xml:space="preserve">zezadu. </w:t>
      </w:r>
      <w:r w:rsidR="008B0846" w:rsidRPr="003D1E07">
        <w:t>Pak n</w:t>
      </w:r>
      <w:r w:rsidR="00E1443C" w:rsidRPr="003D1E07">
        <w:t xml:space="preserve">a úrovni </w:t>
      </w:r>
      <w:r w:rsidR="008B0846" w:rsidRPr="003D1E07">
        <w:t>obecného u</w:t>
      </w:r>
      <w:r w:rsidR="00E1443C" w:rsidRPr="003D1E07">
        <w:t xml:space="preserve">rčení </w:t>
      </w:r>
      <w:r w:rsidR="00485134" w:rsidRPr="003D1E07">
        <w:t xml:space="preserve">jsoucna </w:t>
      </w:r>
      <w:r w:rsidR="00CE471C" w:rsidRPr="003D1E07">
        <w:t xml:space="preserve">je na prvním místě rod jako poslední jednotka univočně vypovídaného </w:t>
      </w:r>
      <w:r w:rsidR="00E802CC" w:rsidRPr="003D1E07">
        <w:t xml:space="preserve">univerzálního </w:t>
      </w:r>
      <w:r w:rsidR="00CE471C" w:rsidRPr="003D1E07">
        <w:t xml:space="preserve">významu </w:t>
      </w:r>
      <w:r w:rsidR="00E802CC" w:rsidRPr="003D1E07">
        <w:t xml:space="preserve">daného </w:t>
      </w:r>
      <w:r w:rsidR="002F72EA" w:rsidRPr="003D1E07">
        <w:t>vzhledem ke druhé substanci</w:t>
      </w:r>
      <w:r w:rsidR="004255D9" w:rsidRPr="003D1E07">
        <w:fldChar w:fldCharType="begin"/>
      </w:r>
      <w:r w:rsidR="004255D9" w:rsidRPr="003D1E07">
        <w:instrText xml:space="preserve"> XE "substance:rod" </w:instrText>
      </w:r>
      <w:r w:rsidR="004255D9" w:rsidRPr="003D1E07">
        <w:fldChar w:fldCharType="end"/>
      </w:r>
      <w:r w:rsidR="00CE471C" w:rsidRPr="003D1E07">
        <w:t xml:space="preserve">. </w:t>
      </w:r>
      <w:r w:rsidR="085F09E8" w:rsidRPr="003D1E07">
        <w:t xml:space="preserve">Rod </w:t>
      </w:r>
      <w:r w:rsidR="00E1443C" w:rsidRPr="003D1E07">
        <w:t xml:space="preserve">tvoří </w:t>
      </w:r>
      <w:r w:rsidR="003928A7" w:rsidRPr="003D1E07">
        <w:t>nej</w:t>
      </w:r>
      <w:r w:rsidR="00DE0B2C" w:rsidRPr="003D1E07">
        <w:t xml:space="preserve">obecnější </w:t>
      </w:r>
      <w:r w:rsidR="00084F67" w:rsidRPr="003D1E07">
        <w:t xml:space="preserve">univoční </w:t>
      </w:r>
      <w:r w:rsidR="00E1443C" w:rsidRPr="003D1E07">
        <w:t xml:space="preserve">signifikaci </w:t>
      </w:r>
      <w:r w:rsidR="005A4B81" w:rsidRPr="003D1E07">
        <w:rPr>
          <w:i/>
        </w:rPr>
        <w:t>per prius</w:t>
      </w:r>
      <w:r w:rsidR="001B235A" w:rsidRPr="003D1E07">
        <w:t xml:space="preserve"> danou </w:t>
      </w:r>
      <w:r w:rsidR="005A4B81" w:rsidRPr="003D1E07">
        <w:t xml:space="preserve">vzhledem k </w:t>
      </w:r>
      <w:r w:rsidR="00353F49" w:rsidRPr="003D1E07">
        <w:t>podřaz</w:t>
      </w:r>
      <w:r w:rsidR="003A3D5F" w:rsidRPr="003D1E07">
        <w:t>eným</w:t>
      </w:r>
      <w:r w:rsidR="002C067E" w:rsidRPr="003D1E07">
        <w:t xml:space="preserve"> </w:t>
      </w:r>
      <w:r w:rsidR="00E802CC" w:rsidRPr="003D1E07">
        <w:t xml:space="preserve">druhům </w:t>
      </w:r>
      <w:r w:rsidR="002C067E" w:rsidRPr="003D1E07">
        <w:t>predikovaných</w:t>
      </w:r>
      <w:r w:rsidR="00A971ED" w:rsidRPr="003D1E07">
        <w:t xml:space="preserve"> </w:t>
      </w:r>
      <w:r w:rsidR="002C067E" w:rsidRPr="003D1E07">
        <w:rPr>
          <w:i/>
        </w:rPr>
        <w:t>per posterius</w:t>
      </w:r>
      <w:r w:rsidR="002C067E" w:rsidRPr="003D1E07">
        <w:t>.</w:t>
      </w:r>
      <w:r w:rsidR="00AA53A4" w:rsidRPr="003D1E07">
        <w:t xml:space="preserve"> </w:t>
      </w:r>
      <w:r w:rsidR="088806E3" w:rsidRPr="003D1E07">
        <w:t xml:space="preserve">Mezi oběma způsoby </w:t>
      </w:r>
      <w:r w:rsidR="00740DC5" w:rsidRPr="003D1E07">
        <w:t xml:space="preserve">kategoriální </w:t>
      </w:r>
      <w:r w:rsidR="088806E3" w:rsidRPr="003D1E07">
        <w:t xml:space="preserve">signifikace </w:t>
      </w:r>
      <w:r w:rsidR="00281A6E" w:rsidRPr="003D1E07">
        <w:t xml:space="preserve">danými </w:t>
      </w:r>
      <w:r w:rsidR="00281A6E" w:rsidRPr="003D1E07">
        <w:rPr>
          <w:i/>
        </w:rPr>
        <w:t>per prius</w:t>
      </w:r>
      <w:r w:rsidR="00281A6E" w:rsidRPr="003D1E07">
        <w:t xml:space="preserve"> </w:t>
      </w:r>
      <w:r w:rsidR="088806E3" w:rsidRPr="003D1E07">
        <w:t>e</w:t>
      </w:r>
      <w:r w:rsidR="00D21603" w:rsidRPr="003D1E07">
        <w:t xml:space="preserve">xistuje </w:t>
      </w:r>
      <w:r w:rsidR="00B05D48" w:rsidRPr="003D1E07">
        <w:t>zásadní rozdíl</w:t>
      </w:r>
      <w:r w:rsidR="00740DC5" w:rsidRPr="003D1E07">
        <w:t>. Každá z nich má svou vlastní dráh</w:t>
      </w:r>
      <w:r w:rsidR="088806E3" w:rsidRPr="003D1E07">
        <w:t xml:space="preserve">u náhledu </w:t>
      </w:r>
      <w:r w:rsidR="00740DC5" w:rsidRPr="003D1E07">
        <w:t xml:space="preserve">na smysl jsoucna </w:t>
      </w:r>
      <w:r w:rsidR="08B62F6E" w:rsidRPr="003D1E07">
        <w:t>(</w:t>
      </w:r>
      <w:r w:rsidR="08B62F6E" w:rsidRPr="003D1E07">
        <w:rPr>
          <w:i/>
        </w:rPr>
        <w:t>Vor-blickbahn</w:t>
      </w:r>
      <w:r w:rsidR="08B62F6E" w:rsidRPr="003D1E07">
        <w:rPr>
          <w:i/>
        </w:rPr>
        <w:fldChar w:fldCharType="begin"/>
      </w:r>
      <w:r w:rsidR="08B62F6E" w:rsidRPr="003D1E07">
        <w:instrText xml:space="preserve"> XE "</w:instrText>
      </w:r>
      <w:r w:rsidR="08B62F6E" w:rsidRPr="003D1E07">
        <w:rPr>
          <w:i/>
        </w:rPr>
        <w:instrText>Vor-blickbahn</w:instrText>
      </w:r>
      <w:r w:rsidR="08B62F6E" w:rsidRPr="003D1E07">
        <w:instrText xml:space="preserve">" </w:instrText>
      </w:r>
      <w:r w:rsidR="08B62F6E" w:rsidRPr="003D1E07">
        <w:rPr>
          <w:i/>
        </w:rPr>
        <w:fldChar w:fldCharType="end"/>
      </w:r>
      <w:r w:rsidR="08B62F6E" w:rsidRPr="003D1E07">
        <w:t>)</w:t>
      </w:r>
      <w:r w:rsidR="088806E3" w:rsidRPr="003D1E07">
        <w:t xml:space="preserve">. </w:t>
      </w:r>
      <w:r w:rsidR="0843767B" w:rsidRPr="003D1E07">
        <w:t xml:space="preserve">Kategoriální </w:t>
      </w:r>
      <w:r w:rsidR="088806E3" w:rsidRPr="003D1E07">
        <w:t xml:space="preserve">predikace </w:t>
      </w:r>
      <w:r w:rsidR="0843767B" w:rsidRPr="003D1E07">
        <w:t xml:space="preserve">zakládající metafyziku </w:t>
      </w:r>
      <w:r w:rsidR="0815094F" w:rsidRPr="003D1E07">
        <w:t xml:space="preserve">a vědu </w:t>
      </w:r>
      <w:r w:rsidR="088806E3" w:rsidRPr="003D1E07">
        <w:t xml:space="preserve">míní </w:t>
      </w:r>
      <w:r w:rsidR="08D567E0" w:rsidRPr="003D1E07">
        <w:t xml:space="preserve">při tvorbě významu </w:t>
      </w:r>
      <w:r w:rsidR="0843767B" w:rsidRPr="003D1E07">
        <w:t xml:space="preserve">hyparchické </w:t>
      </w:r>
      <w:r w:rsidR="088806E3" w:rsidRPr="003D1E07">
        <w:t xml:space="preserve">jsoucno dané jedinečně-aktuálně v realitě </w:t>
      </w:r>
      <w:r w:rsidR="08064F73" w:rsidRPr="003D1E07">
        <w:t>(první substance)</w:t>
      </w:r>
      <w:r w:rsidR="0843767B" w:rsidRPr="003D1E07">
        <w:t>. U</w:t>
      </w:r>
      <w:r w:rsidR="088806E3" w:rsidRPr="003D1E07">
        <w:t xml:space="preserve">niverzální predikace </w:t>
      </w:r>
      <w:r w:rsidR="0843767B" w:rsidRPr="003D1E07">
        <w:t xml:space="preserve">zakládající logiku </w:t>
      </w:r>
      <w:r w:rsidR="0815094F" w:rsidRPr="003D1E07">
        <w:t xml:space="preserve">a obecnou signifikaci </w:t>
      </w:r>
      <w:r w:rsidR="088806E3" w:rsidRPr="003D1E07">
        <w:t xml:space="preserve">míní </w:t>
      </w:r>
      <w:r w:rsidR="08D567E0" w:rsidRPr="003D1E07">
        <w:t>při tvorbě významu esenci danou</w:t>
      </w:r>
      <w:r w:rsidR="088806E3" w:rsidRPr="003D1E07">
        <w:t xml:space="preserve"> univerzálně-potenciálně v mysli</w:t>
      </w:r>
      <w:r w:rsidR="089864FF" w:rsidRPr="003D1E07">
        <w:t xml:space="preserve"> (druhá su</w:t>
      </w:r>
      <w:r w:rsidR="08064F73" w:rsidRPr="003D1E07">
        <w:t>b</w:t>
      </w:r>
      <w:r w:rsidR="089864FF" w:rsidRPr="003D1E07">
        <w:t>s</w:t>
      </w:r>
      <w:r w:rsidR="08064F73" w:rsidRPr="003D1E07">
        <w:t>tance)</w:t>
      </w:r>
      <w:r w:rsidR="088806E3" w:rsidRPr="003D1E07">
        <w:t xml:space="preserve">. </w:t>
      </w:r>
      <w:r w:rsidR="08D22178" w:rsidRPr="003D1E07">
        <w:t>První k</w:t>
      </w:r>
      <w:r w:rsidR="088806E3" w:rsidRPr="003D1E07">
        <w:t>ategoriální m</w:t>
      </w:r>
      <w:r w:rsidR="00A837A9" w:rsidRPr="003D1E07">
        <w:t>odu</w:t>
      </w:r>
      <w:r w:rsidR="088806E3" w:rsidRPr="003D1E07">
        <w:t>s</w:t>
      </w:r>
      <w:r w:rsidR="00A837A9" w:rsidRPr="003D1E07">
        <w:t xml:space="preserve"> </w:t>
      </w:r>
      <w:r w:rsidR="00A837A9" w:rsidRPr="003D1E07">
        <w:rPr>
          <w:i/>
        </w:rPr>
        <w:t xml:space="preserve">per prius </w:t>
      </w:r>
      <w:r w:rsidR="088806E3" w:rsidRPr="003D1E07">
        <w:t>je</w:t>
      </w:r>
      <w:r w:rsidR="088806E3" w:rsidRPr="003D1E07">
        <w:rPr>
          <w:i/>
        </w:rPr>
        <w:t xml:space="preserve"> </w:t>
      </w:r>
      <w:r w:rsidR="00B05D48" w:rsidRPr="003D1E07">
        <w:t>dan</w:t>
      </w:r>
      <w:r w:rsidR="088806E3" w:rsidRPr="003D1E07">
        <w:t>ý</w:t>
      </w:r>
      <w:r w:rsidR="00B05D48" w:rsidRPr="003D1E07">
        <w:t xml:space="preserve"> impozicí </w:t>
      </w:r>
      <w:r w:rsidR="002E637D" w:rsidRPr="003D1E07">
        <w:t>od první substance</w:t>
      </w:r>
      <w:r w:rsidR="08D22178" w:rsidRPr="003D1E07">
        <w:t xml:space="preserve">. Druhý kategoriální </w:t>
      </w:r>
      <w:r w:rsidR="00A70FA4" w:rsidRPr="003D1E07">
        <w:fldChar w:fldCharType="begin"/>
      </w:r>
      <w:r w:rsidR="00A70FA4" w:rsidRPr="003D1E07">
        <w:instrText xml:space="preserve"> XE "substance</w:instrText>
      </w:r>
      <w:r w:rsidR="002E2499" w:rsidRPr="003D1E07">
        <w:instrText>:</w:instrText>
      </w:r>
      <w:r w:rsidR="088B254C" w:rsidRPr="003D1E07">
        <w:instrText>Porfyrius</w:instrText>
      </w:r>
      <w:r w:rsidR="00A70FA4" w:rsidRPr="003D1E07">
        <w:instrText xml:space="preserve">" </w:instrText>
      </w:r>
      <w:r w:rsidR="00A70FA4" w:rsidRPr="003D1E07">
        <w:fldChar w:fldCharType="end"/>
      </w:r>
      <w:r w:rsidR="00B05D48" w:rsidRPr="003D1E07">
        <w:t xml:space="preserve">modus </w:t>
      </w:r>
      <w:r w:rsidR="00B05D48" w:rsidRPr="003D1E07">
        <w:rPr>
          <w:i/>
        </w:rPr>
        <w:t>per prius</w:t>
      </w:r>
      <w:r w:rsidR="00B05D48" w:rsidRPr="003D1E07">
        <w:t xml:space="preserve"> </w:t>
      </w:r>
      <w:r w:rsidR="08D22178" w:rsidRPr="003D1E07">
        <w:t xml:space="preserve">je </w:t>
      </w:r>
      <w:r w:rsidR="00B05D48" w:rsidRPr="003D1E07">
        <w:t xml:space="preserve">daný supozicí od </w:t>
      </w:r>
      <w:r w:rsidR="08064F73" w:rsidRPr="003D1E07">
        <w:t xml:space="preserve">druhé substance jako </w:t>
      </w:r>
      <w:r w:rsidR="002E637D" w:rsidRPr="003D1E07">
        <w:t xml:space="preserve">univerzálního rodu. </w:t>
      </w:r>
      <w:r w:rsidR="0850602B" w:rsidRPr="003D1E07">
        <w:t xml:space="preserve">Oba </w:t>
      </w:r>
      <w:r w:rsidR="08A62D1A" w:rsidRPr="003D1E07">
        <w:t>způsoby nasvícení jsoucna je třeba</w:t>
      </w:r>
      <w:r w:rsidR="0850602B" w:rsidRPr="003D1E07">
        <w:t xml:space="preserve"> mít neustále na mysli při tvorbě</w:t>
      </w:r>
      <w:r w:rsidR="08A62D1A" w:rsidRPr="003D1E07">
        <w:t xml:space="preserve"> významu, protože toto rozlišen</w:t>
      </w:r>
      <w:r w:rsidR="0850602B" w:rsidRPr="003D1E07">
        <w:t>í před</w:t>
      </w:r>
      <w:r w:rsidR="08A62D1A" w:rsidRPr="003D1E07">
        <w:t>s</w:t>
      </w:r>
      <w:r w:rsidR="0850602B" w:rsidRPr="003D1E07">
        <w:t xml:space="preserve">tavuje základní </w:t>
      </w:r>
      <w:r w:rsidR="0850602B" w:rsidRPr="003D1E07">
        <w:rPr>
          <w:i/>
        </w:rPr>
        <w:t>intentum</w:t>
      </w:r>
      <w:r w:rsidR="0850602B" w:rsidRPr="003D1E07">
        <w:t xml:space="preserve"> kategoriální predikace</w:t>
      </w:r>
      <w:r w:rsidR="08FE2D6F" w:rsidRPr="003D1E07">
        <w:t xml:space="preserve"> a </w:t>
      </w:r>
      <w:r w:rsidR="007D787D" w:rsidRPr="003D1E07">
        <w:rPr>
          <w:i/>
        </w:rPr>
        <w:t>ipso facto</w:t>
      </w:r>
      <w:r w:rsidR="007D787D" w:rsidRPr="003D1E07">
        <w:t xml:space="preserve"> </w:t>
      </w:r>
      <w:r w:rsidR="08FE2D6F" w:rsidRPr="003D1E07">
        <w:t>cel</w:t>
      </w:r>
      <w:r w:rsidR="08BF0BD2" w:rsidRPr="003D1E07">
        <w:t>ku</w:t>
      </w:r>
      <w:r w:rsidR="08FE2D6F" w:rsidRPr="003D1E07">
        <w:t xml:space="preserve"> Aristotelovy metafyziky</w:t>
      </w:r>
      <w:r w:rsidR="00A708D8">
        <w:t>.</w:t>
      </w:r>
    </w:p>
    <w:p w14:paraId="69D4C929" w14:textId="6BB51619" w:rsidR="08A00A30" w:rsidRPr="003D1E07" w:rsidRDefault="08CC0688" w:rsidP="00A708D8">
      <w:pPr>
        <w:ind w:firstLine="397"/>
      </w:pPr>
      <w:r w:rsidRPr="003D1E07">
        <w:t xml:space="preserve">Díky této </w:t>
      </w:r>
      <w:r w:rsidR="08E64FE9" w:rsidRPr="003D1E07">
        <w:t xml:space="preserve">geniální analýze kriticky rozlišující dvojí podobu </w:t>
      </w:r>
      <w:r w:rsidRPr="003D1E07">
        <w:t>signifikace platí, že r</w:t>
      </w:r>
      <w:r w:rsidR="08BB6CBC" w:rsidRPr="003D1E07">
        <w:t xml:space="preserve">ody a druhy vypovídají o substanci kategoriálním způsobem (τὰ μὲν γὰρ γένη κατὰ τῶν εἰδῶν κατηγορεῖται, </w:t>
      </w:r>
      <w:r w:rsidR="08BB6CBC" w:rsidRPr="003D1E07">
        <w:rPr>
          <w:i/>
        </w:rPr>
        <w:t>Cat</w:t>
      </w:r>
      <w:r w:rsidR="08BB6CBC" w:rsidRPr="003D1E07">
        <w:t>. 2b20</w:t>
      </w:r>
      <w:r w:rsidR="08BB6CBC" w:rsidRPr="003D1E07">
        <w:fldChar w:fldCharType="begin"/>
      </w:r>
      <w:r w:rsidR="08BB6CBC" w:rsidRPr="003D1E07">
        <w:instrText xml:space="preserve"> XE "Aristoteles:</w:instrText>
      </w:r>
      <w:r w:rsidR="08BB6CBC" w:rsidRPr="003D1E07">
        <w:rPr>
          <w:i/>
        </w:rPr>
        <w:instrText>Cat</w:instrText>
      </w:r>
      <w:r w:rsidR="08BB6CBC" w:rsidRPr="003D1E07">
        <w:instrText xml:space="preserve">. 2b20" </w:instrText>
      </w:r>
      <w:r w:rsidR="08BB6CBC" w:rsidRPr="003D1E07">
        <w:fldChar w:fldCharType="end"/>
      </w:r>
      <w:r w:rsidR="08BB6CBC" w:rsidRPr="003D1E07">
        <w:t xml:space="preserve">). </w:t>
      </w:r>
      <w:r w:rsidR="004A3550" w:rsidRPr="003D1E07">
        <w:t xml:space="preserve">Rod je </w:t>
      </w:r>
      <w:r w:rsidR="006A5AC1" w:rsidRPr="003D1E07">
        <w:t xml:space="preserve">první </w:t>
      </w:r>
      <w:r w:rsidR="004A3550" w:rsidRPr="003D1E07">
        <w:t xml:space="preserve">instance </w:t>
      </w:r>
      <w:r w:rsidR="00BE388B" w:rsidRPr="003D1E07">
        <w:t xml:space="preserve">univoční </w:t>
      </w:r>
      <w:r w:rsidR="004A3550" w:rsidRPr="003D1E07">
        <w:t xml:space="preserve">predikace vzhledem k </w:t>
      </w:r>
      <w:r w:rsidR="00D21603" w:rsidRPr="003D1E07">
        <w:t xml:space="preserve">univerzální </w:t>
      </w:r>
      <w:r w:rsidR="004A3550" w:rsidRPr="003D1E07">
        <w:t>jednotě jsoucího</w:t>
      </w:r>
      <w:r w:rsidR="006405DC" w:rsidRPr="003D1E07">
        <w:t xml:space="preserve">, protože </w:t>
      </w:r>
      <w:r w:rsidR="000C7FE7" w:rsidRPr="003D1E07">
        <w:t xml:space="preserve">v maximální univoční univerzalitě </w:t>
      </w:r>
      <w:r w:rsidR="006405DC" w:rsidRPr="003D1E07">
        <w:t>vyjadřuje význam dru</w:t>
      </w:r>
      <w:r w:rsidR="0027236E" w:rsidRPr="003D1E07">
        <w:t xml:space="preserve">hé substance. </w:t>
      </w:r>
      <w:r w:rsidR="006A5AC1" w:rsidRPr="003D1E07">
        <w:t>Species je první instance univoční predikace vzhledem k první substanci</w:t>
      </w:r>
      <w:r w:rsidR="00816ED4" w:rsidRPr="003D1E07">
        <w:t>, protože zajišťuje pro dru</w:t>
      </w:r>
      <w:r w:rsidR="00BB243B">
        <w:t xml:space="preserve">hou substanci </w:t>
      </w:r>
      <w:r w:rsidR="00FF6622">
        <w:t xml:space="preserve">sice </w:t>
      </w:r>
      <w:r w:rsidR="00BB243B">
        <w:t xml:space="preserve">minimální, ale </w:t>
      </w:r>
      <w:r w:rsidR="00FF6622">
        <w:t xml:space="preserve">zato </w:t>
      </w:r>
      <w:r w:rsidR="00BB243B">
        <w:t xml:space="preserve">nejpřesnější </w:t>
      </w:r>
      <w:r w:rsidR="00816ED4" w:rsidRPr="003D1E07">
        <w:t xml:space="preserve">univoční význam. Tento impozičně určený význam je minimáně univerzální proto, že v maximálně adekvátní míře odpovídá jedinečnosti první substance. </w:t>
      </w:r>
      <w:r w:rsidR="003F173D" w:rsidRPr="003D1E07">
        <w:t xml:space="preserve">Jedině rod a druh odpovídá </w:t>
      </w:r>
      <w:r w:rsidR="006E0594" w:rsidRPr="003D1E07">
        <w:t xml:space="preserve">společně, ale v různém kategoriálním smyslu </w:t>
      </w:r>
      <w:r w:rsidR="00984D4E" w:rsidRPr="003D1E07">
        <w:t>na otázku</w:t>
      </w:r>
      <w:r w:rsidR="006E0594" w:rsidRPr="003D1E07">
        <w:t>: „C</w:t>
      </w:r>
      <w:r w:rsidR="00984D4E" w:rsidRPr="003D1E07">
        <w:t>o je</w:t>
      </w:r>
      <w:r w:rsidR="00762177" w:rsidRPr="003D1E07">
        <w:t xml:space="preserve"> </w:t>
      </w:r>
      <w:r w:rsidR="00984D4E" w:rsidRPr="003D1E07">
        <w:t xml:space="preserve">tento </w:t>
      </w:r>
      <w:r w:rsidR="00762177" w:rsidRPr="003D1E07">
        <w:t>kůň</w:t>
      </w:r>
      <w:r w:rsidR="006E0594" w:rsidRPr="003D1E07">
        <w:t>?</w:t>
      </w:r>
      <w:r w:rsidR="003F173D" w:rsidRPr="003D1E07">
        <w:t>“ (κατὰ τοῦ τινὸς</w:t>
      </w:r>
      <w:r w:rsidR="00762177" w:rsidRPr="003D1E07">
        <w:t xml:space="preserve"> ἵππου</w:t>
      </w:r>
      <w:r w:rsidR="003F173D" w:rsidRPr="003D1E07">
        <w:t xml:space="preserve">, </w:t>
      </w:r>
      <w:r w:rsidR="003F173D" w:rsidRPr="003D1E07">
        <w:rPr>
          <w:i/>
        </w:rPr>
        <w:t>Cat</w:t>
      </w:r>
      <w:r w:rsidR="00BE388B" w:rsidRPr="003D1E07">
        <w:t>. 2b25</w:t>
      </w:r>
      <w:r w:rsidR="08166C36" w:rsidRPr="003D1E07">
        <w:fldChar w:fldCharType="begin"/>
      </w:r>
      <w:r w:rsidR="08166C36" w:rsidRPr="003D1E07">
        <w:instrText xml:space="preserve"> XE "Aristoteles:</w:instrText>
      </w:r>
      <w:r w:rsidR="08166C36" w:rsidRPr="003D1E07">
        <w:rPr>
          <w:i/>
        </w:rPr>
        <w:instrText>Cat</w:instrText>
      </w:r>
      <w:r w:rsidR="08166C36" w:rsidRPr="003D1E07">
        <w:instrText xml:space="preserve">. 2b25" </w:instrText>
      </w:r>
      <w:r w:rsidR="08166C36" w:rsidRPr="003D1E07">
        <w:fldChar w:fldCharType="end"/>
      </w:r>
      <w:r w:rsidR="00BE388B" w:rsidRPr="003D1E07">
        <w:t xml:space="preserve">). </w:t>
      </w:r>
      <w:r w:rsidR="008E02F5" w:rsidRPr="003D1E07">
        <w:t>Aristoteles</w:t>
      </w:r>
      <w:r w:rsidR="00571829" w:rsidRPr="003D1E07">
        <w:t xml:space="preserve"> </w:t>
      </w:r>
      <w:r w:rsidR="00FA2078" w:rsidRPr="003D1E07">
        <w:t xml:space="preserve">proti platonikům </w:t>
      </w:r>
      <w:r w:rsidR="00571829" w:rsidRPr="003D1E07">
        <w:t xml:space="preserve">obhájil autonomní status kategoriální predikace založený na primátu rodu jako </w:t>
      </w:r>
      <w:r w:rsidR="0895334E" w:rsidRPr="003D1E07">
        <w:t xml:space="preserve">posledního </w:t>
      </w:r>
      <w:r w:rsidR="00571829" w:rsidRPr="003D1E07">
        <w:t>synonymického termínu (κοινόν)</w:t>
      </w:r>
      <w:r w:rsidR="004C1EBC" w:rsidRPr="003D1E07">
        <w:t>.</w:t>
      </w:r>
      <w:r w:rsidR="008F7EC4" w:rsidRPr="003D1E07">
        <w:t xml:space="preserve"> </w:t>
      </w:r>
      <w:r w:rsidR="0895334E" w:rsidRPr="003D1E07">
        <w:t>Ale termín „poslední“ nebo „první“ společný univoční význam v žádném případě neznamená ontologicky nejvyšší</w:t>
      </w:r>
      <w:r w:rsidR="00AB58A4" w:rsidRPr="003D1E07">
        <w:t xml:space="preserve"> rod-jsoucno jako v platonismu. Dělení univerzálních významů je možné je na základě jejich </w:t>
      </w:r>
      <w:r w:rsidR="00AB58A4" w:rsidRPr="003D1E07">
        <w:lastRenderedPageBreak/>
        <w:t xml:space="preserve">genericky vytvořené supozice. Ta v žádném případě není hypostázovaná entita stejného substačního typu jako nejvyšší rody jsoucna v platonismu. </w:t>
      </w:r>
      <w:r w:rsidR="00D447D4" w:rsidRPr="003D1E07">
        <w:t xml:space="preserve">Aristotelský </w:t>
      </w:r>
      <w:r w:rsidR="00FA2E7A" w:rsidRPr="003D1E07">
        <w:t xml:space="preserve">kategoriální </w:t>
      </w:r>
      <w:r w:rsidR="00D447D4" w:rsidRPr="003D1E07">
        <w:t>p</w:t>
      </w:r>
      <w:r w:rsidR="00EF649C" w:rsidRPr="003D1E07">
        <w:t xml:space="preserve">řechod z rodu na </w:t>
      </w:r>
      <w:r w:rsidR="00F214C5" w:rsidRPr="003D1E07">
        <w:t>species</w:t>
      </w:r>
      <w:r w:rsidR="00EF649C" w:rsidRPr="003D1E07">
        <w:t xml:space="preserve"> </w:t>
      </w:r>
      <w:r w:rsidR="00F907F9" w:rsidRPr="003D1E07">
        <w:t xml:space="preserve">je možný </w:t>
      </w:r>
      <w:r w:rsidR="0887555B" w:rsidRPr="003D1E07">
        <w:t xml:space="preserve">proto, že rozdílnost </w:t>
      </w:r>
      <w:r w:rsidR="006459C2">
        <w:t>„</w:t>
      </w:r>
      <w:r w:rsidR="00636BD4" w:rsidRPr="003D1E07">
        <w:t>genus</w:t>
      </w:r>
      <w:r w:rsidR="0887555B" w:rsidRPr="003D1E07">
        <w:t>‒</w:t>
      </w:r>
      <w:r w:rsidR="00F214C5" w:rsidRPr="003D1E07">
        <w:t>species</w:t>
      </w:r>
      <w:r w:rsidR="006459C2">
        <w:t>“</w:t>
      </w:r>
      <w:r w:rsidR="0887555B" w:rsidRPr="003D1E07">
        <w:t xml:space="preserve"> </w:t>
      </w:r>
      <w:r w:rsidR="00EF649C" w:rsidRPr="003D1E07">
        <w:t xml:space="preserve">je určena </w:t>
      </w:r>
      <w:r w:rsidR="00D046BA" w:rsidRPr="003D1E07">
        <w:t xml:space="preserve">druhovou </w:t>
      </w:r>
      <w:r w:rsidR="00EF649C" w:rsidRPr="003D1E07">
        <w:t>diferencí odlišnou od rodu.</w:t>
      </w:r>
      <w:r w:rsidR="0093179F" w:rsidRPr="003D1E07">
        <w:t xml:space="preserve"> </w:t>
      </w:r>
      <w:r w:rsidR="08A85EF7" w:rsidRPr="003D1E07">
        <w:t xml:space="preserve">Rod není jednoduchá forma signifikace, protože </w:t>
      </w:r>
      <w:r w:rsidR="08B0201E" w:rsidRPr="003D1E07">
        <w:t xml:space="preserve">z hlediska poslední obecnosti v sobě </w:t>
      </w:r>
      <w:r w:rsidR="08A85EF7" w:rsidRPr="003D1E07">
        <w:t xml:space="preserve">obsahuje </w:t>
      </w:r>
      <w:r w:rsidR="08B0201E" w:rsidRPr="003D1E07">
        <w:t xml:space="preserve">specifické </w:t>
      </w:r>
      <w:r w:rsidR="08A85EF7" w:rsidRPr="003D1E07">
        <w:t xml:space="preserve">diference zakládající </w:t>
      </w:r>
      <w:r w:rsidR="087E12DF" w:rsidRPr="003D1E07">
        <w:t xml:space="preserve">další </w:t>
      </w:r>
      <w:r w:rsidR="08A85EF7" w:rsidRPr="003D1E07">
        <w:t xml:space="preserve">univoční predikaci </w:t>
      </w:r>
      <w:r w:rsidR="08A85EF7" w:rsidRPr="003D1E07">
        <w:rPr>
          <w:i/>
        </w:rPr>
        <w:t>per posterius</w:t>
      </w:r>
      <w:r w:rsidR="08F017DF" w:rsidRPr="003D1E07">
        <w:t xml:space="preserve"> </w:t>
      </w:r>
      <w:r w:rsidR="08627202" w:rsidRPr="003D1E07">
        <w:t xml:space="preserve">danou </w:t>
      </w:r>
      <w:r w:rsidR="08F017DF" w:rsidRPr="003D1E07">
        <w:t>v rá</w:t>
      </w:r>
      <w:r w:rsidR="08B0201E" w:rsidRPr="003D1E07">
        <w:t>mci druhu.</w:t>
      </w:r>
      <w:r w:rsidR="00756CEC" w:rsidRPr="003D1E07">
        <w:t xml:space="preserve"> Rod není jednoduchou formou významu, protože z hlediska obecnosti v sobě obsahuje specifické rozdíly, které v rámci druhu zakládají další jednoznačnou predikaci </w:t>
      </w:r>
      <w:r w:rsidR="00756CEC" w:rsidRPr="003D1E07">
        <w:rPr>
          <w:i/>
        </w:rPr>
        <w:t>per posterius</w:t>
      </w:r>
      <w:r w:rsidR="00756CEC" w:rsidRPr="003D1E07">
        <w:t xml:space="preserve">. Specifická určení ale musí být zachována na prvním místě. Díky nim se univocita uskutečňuje hyparchickým způsobem, který chrání fundamentální charakter metafyzické predikace. </w:t>
      </w:r>
      <w:r w:rsidR="08A85EF7" w:rsidRPr="003D1E07">
        <w:t xml:space="preserve">Rod představuje nejvyšší obecninu, a tím je nejvíce vzdálen od reálně existující jednotliviny, proto potřebuje následnou diferenciaci univočního významu skrze specifickou diferenci a </w:t>
      </w:r>
      <w:r w:rsidR="00F214C5" w:rsidRPr="003D1E07">
        <w:t>species</w:t>
      </w:r>
      <w:r w:rsidR="08A85EF7" w:rsidRPr="003D1E07">
        <w:t xml:space="preserve">. </w:t>
      </w:r>
      <w:r w:rsidR="0884139E" w:rsidRPr="003D1E07">
        <w:t>Proto není možná univoční predikace jsoucna signifikovaného pouze genericky</w:t>
      </w:r>
      <w:r w:rsidR="085D4CFB" w:rsidRPr="003D1E07">
        <w:t xml:space="preserve"> jako v platonismu</w:t>
      </w:r>
      <w:r w:rsidR="0884139E" w:rsidRPr="003D1E07">
        <w:t xml:space="preserve">. </w:t>
      </w:r>
      <w:r w:rsidR="0093179F" w:rsidRPr="003D1E07">
        <w:t>Základní důvod</w:t>
      </w:r>
      <w:r w:rsidR="003A6E6B" w:rsidRPr="003D1E07">
        <w:t>, proč jednotu bytí</w:t>
      </w:r>
      <w:r w:rsidR="00A87699" w:rsidRPr="003D1E07">
        <w:t xml:space="preserve"> jsoucna</w:t>
      </w:r>
      <w:r w:rsidR="003A6E6B" w:rsidRPr="003D1E07">
        <w:t xml:space="preserve"> nelze definovat </w:t>
      </w:r>
      <w:r w:rsidR="08A16F10" w:rsidRPr="003D1E07">
        <w:t xml:space="preserve">pouze </w:t>
      </w:r>
      <w:r w:rsidR="003A6E6B" w:rsidRPr="003D1E07">
        <w:t xml:space="preserve">v rámci </w:t>
      </w:r>
      <w:r w:rsidR="08A16F10" w:rsidRPr="003D1E07">
        <w:t xml:space="preserve">rodu </w:t>
      </w:r>
      <w:r w:rsidR="0093179F" w:rsidRPr="003D1E07">
        <w:t xml:space="preserve">je fakt, že specifická diference </w:t>
      </w:r>
      <w:r w:rsidR="08DC3DE9" w:rsidRPr="003D1E07">
        <w:t xml:space="preserve">a tím ani </w:t>
      </w:r>
      <w:r w:rsidR="00F214C5" w:rsidRPr="003D1E07">
        <w:t>species</w:t>
      </w:r>
      <w:r w:rsidR="08DC3DE9" w:rsidRPr="003D1E07">
        <w:t xml:space="preserve"> by neměly</w:t>
      </w:r>
      <w:r w:rsidR="0093179F" w:rsidRPr="003D1E07">
        <w:t xml:space="preserve"> vlastní id</w:t>
      </w:r>
      <w:r w:rsidR="00366868" w:rsidRPr="003D1E07">
        <w:t xml:space="preserve">entitu, </w:t>
      </w:r>
      <w:r w:rsidR="087705FC" w:rsidRPr="003D1E07">
        <w:t xml:space="preserve">protože </w:t>
      </w:r>
      <w:r w:rsidR="08A25C3D" w:rsidRPr="003D1E07">
        <w:t xml:space="preserve">by byly </w:t>
      </w:r>
      <w:r w:rsidR="00F81E8F" w:rsidRPr="003D1E07">
        <w:t>univočně zahrnut</w:t>
      </w:r>
      <w:r w:rsidR="08A25C3D" w:rsidRPr="003D1E07">
        <w:t>y</w:t>
      </w:r>
      <w:r w:rsidR="00F81E8F" w:rsidRPr="003D1E07">
        <w:t xml:space="preserve"> do bytí rodu</w:t>
      </w:r>
      <w:r w:rsidR="00A97D0A" w:rsidRPr="003D1E07">
        <w:t xml:space="preserve"> (</w:t>
      </w:r>
      <w:r w:rsidR="00A97D0A" w:rsidRPr="003D1E07">
        <w:rPr>
          <w:i/>
        </w:rPr>
        <w:t>Met</w:t>
      </w:r>
      <w:r w:rsidR="00A97D0A" w:rsidRPr="003D1E07">
        <w:t>. 998b22‒23</w:t>
      </w:r>
      <w:r w:rsidR="00554E31" w:rsidRPr="003D1E07">
        <w:fldChar w:fldCharType="begin"/>
      </w:r>
      <w:r w:rsidR="00554E31" w:rsidRPr="003D1E07">
        <w:instrText xml:space="preserve"> XE "</w:instrText>
      </w:r>
      <w:r w:rsidR="008E02F5" w:rsidRPr="003D1E07">
        <w:instrText>Aristoteles</w:instrText>
      </w:r>
      <w:r w:rsidR="00554E31" w:rsidRPr="003D1E07">
        <w:instrText>:</w:instrText>
      </w:r>
      <w:r w:rsidR="00554E31" w:rsidRPr="003D1E07">
        <w:rPr>
          <w:i/>
        </w:rPr>
        <w:instrText>Met</w:instrText>
      </w:r>
      <w:r w:rsidR="00554E31" w:rsidRPr="003D1E07">
        <w:instrText xml:space="preserve">. 998b22‒23" </w:instrText>
      </w:r>
      <w:r w:rsidR="00554E31" w:rsidRPr="003D1E07">
        <w:fldChar w:fldCharType="end"/>
      </w:r>
      <w:r w:rsidR="00A97D0A" w:rsidRPr="003D1E07">
        <w:t>)</w:t>
      </w:r>
      <w:r w:rsidR="00836FFA" w:rsidRPr="003D1E07">
        <w:t>.</w:t>
      </w:r>
      <w:r w:rsidR="00A97D0A" w:rsidRPr="003D1E07">
        <w:t xml:space="preserve"> </w:t>
      </w:r>
      <w:r w:rsidR="087705FC" w:rsidRPr="003D1E07">
        <w:t>T</w:t>
      </w:r>
      <w:r w:rsidR="08D13470" w:rsidRPr="003D1E07">
        <w:t>aké d</w:t>
      </w:r>
      <w:r w:rsidR="00A97D0A" w:rsidRPr="003D1E07">
        <w:t xml:space="preserve">ílo </w:t>
      </w:r>
      <w:r w:rsidR="00A97D0A" w:rsidRPr="003D1E07">
        <w:rPr>
          <w:i/>
        </w:rPr>
        <w:t>Topiky</w:t>
      </w:r>
      <w:r w:rsidR="00A97D0A" w:rsidRPr="003D1E07">
        <w:t xml:space="preserve"> vysvětluje autonomii specifické diference odkazem na predikaci </w:t>
      </w:r>
      <w:r w:rsidR="00A97D0A" w:rsidRPr="003D1E07">
        <w:rPr>
          <w:i/>
        </w:rPr>
        <w:t>per prius</w:t>
      </w:r>
      <w:r w:rsidR="00A97D0A" w:rsidRPr="003D1E07">
        <w:t xml:space="preserve"> vzhledem ke </w:t>
      </w:r>
      <w:r w:rsidR="00E802CC" w:rsidRPr="003D1E07">
        <w:t xml:space="preserve">druhu </w:t>
      </w:r>
      <w:r w:rsidR="00A97D0A" w:rsidRPr="003D1E07">
        <w:t xml:space="preserve">a </w:t>
      </w:r>
      <w:r w:rsidR="00A97D0A" w:rsidRPr="003D1E07">
        <w:rPr>
          <w:i/>
        </w:rPr>
        <w:t>per posterius</w:t>
      </w:r>
      <w:r w:rsidR="00A97D0A" w:rsidRPr="003D1E07">
        <w:t xml:space="preserve"> vzhledem k rodu (</w:t>
      </w:r>
      <w:r w:rsidR="00A97D0A" w:rsidRPr="003D1E07">
        <w:rPr>
          <w:i/>
        </w:rPr>
        <w:t>Top</w:t>
      </w:r>
      <w:r w:rsidR="00A97D0A" w:rsidRPr="003D1E07">
        <w:t>. 144b10–11</w:t>
      </w:r>
      <w:r w:rsidR="00554E31" w:rsidRPr="003D1E07">
        <w:fldChar w:fldCharType="begin"/>
      </w:r>
      <w:r w:rsidR="00554E31" w:rsidRPr="003D1E07">
        <w:instrText xml:space="preserve"> XE "</w:instrText>
      </w:r>
      <w:r w:rsidR="008E02F5" w:rsidRPr="003D1E07">
        <w:instrText>Aristoteles</w:instrText>
      </w:r>
      <w:r w:rsidR="00554E31" w:rsidRPr="003D1E07">
        <w:instrText>:</w:instrText>
      </w:r>
      <w:r w:rsidR="00554E31" w:rsidRPr="003D1E07">
        <w:rPr>
          <w:i/>
        </w:rPr>
        <w:instrText>Top</w:instrText>
      </w:r>
      <w:r w:rsidR="00554E31" w:rsidRPr="003D1E07">
        <w:instrText xml:space="preserve">. 144b10–11" </w:instrText>
      </w:r>
      <w:r w:rsidR="00554E31" w:rsidRPr="003D1E07">
        <w:fldChar w:fldCharType="end"/>
      </w:r>
      <w:r w:rsidR="00A97D0A" w:rsidRPr="003D1E07">
        <w:t xml:space="preserve">). </w:t>
      </w:r>
      <w:r w:rsidR="00E802CC" w:rsidRPr="003D1E07">
        <w:t>Aristotele</w:t>
      </w:r>
      <w:r w:rsidR="00A36385" w:rsidRPr="003D1E07">
        <w:t xml:space="preserve">s tvrdí, že poslední </w:t>
      </w:r>
      <w:r w:rsidR="00DF365E" w:rsidRPr="003D1E07">
        <w:t xml:space="preserve">univoční </w:t>
      </w:r>
      <w:r w:rsidR="00A36385" w:rsidRPr="003D1E07">
        <w:t xml:space="preserve">jednota hledané první vědy nemůže spočívat na dělení jsoucna ve stylu </w:t>
      </w:r>
      <w:r w:rsidR="08AF042C" w:rsidRPr="003D1E07">
        <w:t>p</w:t>
      </w:r>
      <w:r w:rsidR="008E02F5" w:rsidRPr="003D1E07">
        <w:t>laton</w:t>
      </w:r>
      <w:r w:rsidR="00A36385" w:rsidRPr="003D1E07">
        <w:t>ských nejvyšších rodů.</w:t>
      </w:r>
      <w:r w:rsidR="004879A5" w:rsidRPr="003D1E07">
        <w:t xml:space="preserve"> </w:t>
      </w:r>
      <w:r w:rsidR="080F7B78" w:rsidRPr="003D1E07">
        <w:t>Bytí nemůže být nejvyšším rodem, protože zahrnuje reálná jsoucna pouze na úrovni abstraktní signifikace, která je v případě rodového určení jsoucna maximálně vzdálena od první substance. Generická jednota bytí na způsob nejvyššího rodu by zrušila jak mnohost jsoucen, tak i možnost smysluplné mluvy</w:t>
      </w:r>
      <w:r w:rsidR="08555990" w:rsidRPr="003D1E07">
        <w:t xml:space="preserve"> vztažené k realitě prvních substancí</w:t>
      </w:r>
      <w:r w:rsidR="080F7B78" w:rsidRPr="003D1E07">
        <w:t xml:space="preserve">. </w:t>
      </w:r>
      <w:r w:rsidR="08E57981" w:rsidRPr="003D1E07">
        <w:t>Pokud by bylo b</w:t>
      </w:r>
      <w:r w:rsidR="00E802CC" w:rsidRPr="003D1E07">
        <w:t>ytí nejvyšším rodem jako v Plato</w:t>
      </w:r>
      <w:r w:rsidR="08E57981" w:rsidRPr="003D1E07">
        <w:t>nov</w:t>
      </w:r>
      <w:r w:rsidR="00E802CC" w:rsidRPr="003D1E07">
        <w:t>ých pozdních dialozích a u Ploti</w:t>
      </w:r>
      <w:r w:rsidR="08E57981" w:rsidRPr="003D1E07">
        <w:t xml:space="preserve">na, pak by mimo něj existovalo </w:t>
      </w:r>
      <w:r w:rsidR="00C3753A" w:rsidRPr="003D1E07">
        <w:t xml:space="preserve">z hlediska univoční kategoriální predikace </w:t>
      </w:r>
      <w:r w:rsidR="08E57981" w:rsidRPr="003D1E07">
        <w:t xml:space="preserve">jen nebytí. </w:t>
      </w:r>
      <w:r w:rsidR="00BF628B" w:rsidRPr="003D1E07">
        <w:t xml:space="preserve">Pozice </w:t>
      </w:r>
      <w:r w:rsidR="08E93176" w:rsidRPr="003D1E07">
        <w:t xml:space="preserve">těchto </w:t>
      </w:r>
      <w:r w:rsidR="088B34FD" w:rsidRPr="003D1E07">
        <w:t xml:space="preserve">metafyzicky pomýlených </w:t>
      </w:r>
      <w:r w:rsidR="00BF628B" w:rsidRPr="003D1E07">
        <w:t>Eleatů ale není schopna vysvětlit pohyb, vznik a zánik substancí, což uznaly i Plat</w:t>
      </w:r>
      <w:r w:rsidR="00E802CC" w:rsidRPr="003D1E07">
        <w:t>o</w:t>
      </w:r>
      <w:r w:rsidR="00BF628B" w:rsidRPr="003D1E07">
        <w:t xml:space="preserve">novy pozdní dialogy. </w:t>
      </w:r>
      <w:r w:rsidR="00E802CC" w:rsidRPr="003D1E07">
        <w:t>Aristotele</w:t>
      </w:r>
      <w:r w:rsidR="00C51090" w:rsidRPr="003D1E07">
        <w:t xml:space="preserve">s zásadně odmítl pojmout kategoriální predikaci v pojetí jsoucna jako nejvyššího rodu, protože by tím padl hyparchický primát první substance. </w:t>
      </w:r>
      <w:r w:rsidR="084746E5" w:rsidRPr="003D1E07">
        <w:t xml:space="preserve">Ze stejného </w:t>
      </w:r>
      <w:r w:rsidR="085B448C" w:rsidRPr="003D1E07">
        <w:t xml:space="preserve">důvodu </w:t>
      </w:r>
      <w:r w:rsidR="084746E5" w:rsidRPr="003D1E07">
        <w:t xml:space="preserve">nemůže přijat determinaci významu substance směrem od matematické abstrakce. Hlavní argument </w:t>
      </w:r>
      <w:r w:rsidR="084746E5" w:rsidRPr="003D1E07">
        <w:rPr>
          <w:i/>
        </w:rPr>
        <w:t>Metafyziky</w:t>
      </w:r>
      <w:r w:rsidR="084746E5" w:rsidRPr="003D1E07">
        <w:t xml:space="preserve"> proti nároku matematiky jako hledané první vědy stojí na odmítnutí autonomní existence oddělených matematických substancí (</w:t>
      </w:r>
      <w:r w:rsidR="084746E5" w:rsidRPr="003D1E07">
        <w:rPr>
          <w:i/>
        </w:rPr>
        <w:t xml:space="preserve">Met. </w:t>
      </w:r>
      <w:r w:rsidR="084746E5" w:rsidRPr="003D1E07">
        <w:t>1076b13‒16</w:t>
      </w:r>
      <w:r w:rsidR="084746E5" w:rsidRPr="003D1E07">
        <w:fldChar w:fldCharType="begin"/>
      </w:r>
      <w:r w:rsidR="084746E5" w:rsidRPr="003D1E07">
        <w:instrText xml:space="preserve"> XE "Aristoteles:</w:instrText>
      </w:r>
      <w:r w:rsidR="084746E5" w:rsidRPr="003D1E07">
        <w:rPr>
          <w:i/>
        </w:rPr>
        <w:instrText>Met</w:instrText>
      </w:r>
      <w:r w:rsidR="084746E5" w:rsidRPr="003D1E07">
        <w:instrText xml:space="preserve">. 1076b13‒16" </w:instrText>
      </w:r>
      <w:r w:rsidR="084746E5" w:rsidRPr="003D1E07">
        <w:fldChar w:fldCharType="end"/>
      </w:r>
      <w:r w:rsidR="084746E5" w:rsidRPr="003D1E07">
        <w:t xml:space="preserve">). </w:t>
      </w:r>
      <w:r w:rsidR="00EF027C" w:rsidRPr="003D1E07">
        <w:t xml:space="preserve">Čísla </w:t>
      </w:r>
      <w:r w:rsidR="00034A35" w:rsidRPr="003D1E07">
        <w:t xml:space="preserve">jako matematické substance </w:t>
      </w:r>
      <w:r w:rsidR="00EF027C" w:rsidRPr="003D1E07">
        <w:t xml:space="preserve">od sebe </w:t>
      </w:r>
      <w:r w:rsidR="00EF027C" w:rsidRPr="003D1E07">
        <w:lastRenderedPageBreak/>
        <w:t xml:space="preserve">nejsou </w:t>
      </w:r>
      <w:r w:rsidR="00107B5B" w:rsidRPr="003D1E07">
        <w:t xml:space="preserve">reálně </w:t>
      </w:r>
      <w:r w:rsidR="00EF027C" w:rsidRPr="003D1E07">
        <w:t>odděle</w:t>
      </w:r>
      <w:r w:rsidR="00107B5B" w:rsidRPr="003D1E07">
        <w:t>na</w:t>
      </w:r>
      <w:r w:rsidR="00EF027C" w:rsidRPr="003D1E07">
        <w:t xml:space="preserve">, to je vše. </w:t>
      </w:r>
      <w:r w:rsidR="089B3038" w:rsidRPr="003D1E07">
        <w:t>Č</w:t>
      </w:r>
      <w:r w:rsidR="084746E5" w:rsidRPr="003D1E07">
        <w:t xml:space="preserve">íslo není první substance, </w:t>
      </w:r>
      <w:r w:rsidR="089B3038" w:rsidRPr="003D1E07">
        <w:t xml:space="preserve">proto </w:t>
      </w:r>
      <w:r w:rsidR="084746E5" w:rsidRPr="003D1E07">
        <w:t xml:space="preserve">je matematický nárok predikace dané v modu </w:t>
      </w:r>
      <w:r w:rsidR="084746E5" w:rsidRPr="003D1E07">
        <w:rPr>
          <w:i/>
        </w:rPr>
        <w:t>per prius</w:t>
      </w:r>
      <w:r w:rsidR="084746E5" w:rsidRPr="003D1E07">
        <w:t xml:space="preserve"> z metafyzického hlediska zásadně mylný.</w:t>
      </w:r>
      <w:r w:rsidR="084746E5" w:rsidRPr="003D1E07">
        <w:rPr>
          <w:rStyle w:val="Znakapoznpodarou"/>
        </w:rPr>
        <w:footnoteReference w:id="42"/>
      </w:r>
      <w:r w:rsidR="085B448C" w:rsidRPr="003D1E07">
        <w:t xml:space="preserve"> </w:t>
      </w:r>
      <w:r w:rsidR="08DD097E" w:rsidRPr="003D1E07">
        <w:t xml:space="preserve">Primárně existuje pouze reálné jsoucno a predikace musí jít v modu </w:t>
      </w:r>
      <w:r w:rsidR="08DD097E" w:rsidRPr="003D1E07">
        <w:rPr>
          <w:i/>
        </w:rPr>
        <w:t>per prius</w:t>
      </w:r>
      <w:r w:rsidR="08DD097E" w:rsidRPr="003D1E07">
        <w:t xml:space="preserve"> k univerzální druhé substanci</w:t>
      </w:r>
      <w:r w:rsidR="00F04178" w:rsidRPr="003D1E07">
        <w:t xml:space="preserve"> dané buď jako species nebo jako genus</w:t>
      </w:r>
      <w:r w:rsidR="08DD097E" w:rsidRPr="003D1E07">
        <w:t xml:space="preserve">. Toto tvrzení má zásadní význam pro aristotelské pojetí vědy dané ve </w:t>
      </w:r>
      <w:r w:rsidR="08DD097E" w:rsidRPr="003D1E07">
        <w:rPr>
          <w:i/>
        </w:rPr>
        <w:t>Druhých analytikách</w:t>
      </w:r>
      <w:r w:rsidR="08DD097E" w:rsidRPr="003D1E07">
        <w:t xml:space="preserve">. </w:t>
      </w:r>
      <w:r w:rsidR="00236AA4" w:rsidRPr="003D1E07">
        <w:t xml:space="preserve">Klíčová citace z </w:t>
      </w:r>
      <w:r w:rsidR="00236AA4" w:rsidRPr="003D1E07">
        <w:rPr>
          <w:i/>
        </w:rPr>
        <w:t>Metafyziky</w:t>
      </w:r>
      <w:r w:rsidR="00E802CC" w:rsidRPr="003D1E07">
        <w:t xml:space="preserve"> ukazuje, že plato</w:t>
      </w:r>
      <w:r w:rsidR="00236AA4" w:rsidRPr="003D1E07">
        <w:t xml:space="preserve">nská predikace </w:t>
      </w:r>
      <w:r w:rsidR="08B64FDE" w:rsidRPr="003D1E07">
        <w:t xml:space="preserve">rodového </w:t>
      </w:r>
      <w:r w:rsidR="00236AA4" w:rsidRPr="003D1E07">
        <w:t xml:space="preserve">bytí jsoucen směrem k Jednomu nevytváří dostatečnou jednotu, protože jde o homonymickou predikaci </w:t>
      </w:r>
      <w:r w:rsidR="00800699" w:rsidRPr="003D1E07">
        <w:fldChar w:fldCharType="begin"/>
      </w:r>
      <w:r w:rsidR="00800699" w:rsidRPr="003D1E07">
        <w:instrText xml:space="preserve"> XE "homonymie" </w:instrText>
      </w:r>
      <w:r w:rsidR="00800699" w:rsidRPr="003D1E07">
        <w:fldChar w:fldCharType="end"/>
      </w:r>
      <w:r w:rsidR="00236AA4" w:rsidRPr="003D1E07">
        <w:t xml:space="preserve">na úrovni pouhého </w:t>
      </w:r>
      <w:r w:rsidR="00236AA4" w:rsidRPr="003D1E07">
        <w:rPr>
          <w:i/>
        </w:rPr>
        <w:t>ens commune</w:t>
      </w:r>
      <w:r w:rsidR="00236AA4" w:rsidRPr="003D1E07">
        <w:t>.</w:t>
      </w:r>
      <w:r w:rsidR="00236AA4" w:rsidRPr="003D1E07">
        <w:rPr>
          <w:rStyle w:val="Znakapoznpodarou"/>
        </w:rPr>
        <w:footnoteReference w:id="43"/>
      </w:r>
      <w:r w:rsidR="00236AA4" w:rsidRPr="003D1E07">
        <w:t xml:space="preserve"> </w:t>
      </w:r>
      <w:r w:rsidR="000A7AB5" w:rsidRPr="003D1E07">
        <w:t>Věda</w:t>
      </w:r>
      <w:r w:rsidR="084C0C1C" w:rsidRPr="003D1E07">
        <w:t xml:space="preserve"> o reálných jevech </w:t>
      </w:r>
      <w:r w:rsidR="000A7AB5" w:rsidRPr="003D1E07">
        <w:t xml:space="preserve">nemůže </w:t>
      </w:r>
      <w:r w:rsidR="00785E2D" w:rsidRPr="003D1E07">
        <w:t>začínat u abstrakcí</w:t>
      </w:r>
      <w:r w:rsidR="084C0C1C" w:rsidRPr="003D1E07">
        <w:t xml:space="preserve"> a esenciálních definicí</w:t>
      </w:r>
      <w:r w:rsidR="000A7AB5" w:rsidRPr="003D1E07">
        <w:t>, protože kategorizuje obecné významy vzhled</w:t>
      </w:r>
      <w:r w:rsidR="000C1F48" w:rsidRPr="003D1E07">
        <w:t>e</w:t>
      </w:r>
      <w:r w:rsidR="000A7AB5" w:rsidRPr="003D1E07">
        <w:t>m k reálné existenci jsoucna</w:t>
      </w:r>
      <w:r w:rsidR="084C0C1C" w:rsidRPr="003D1E07">
        <w:t>. J</w:t>
      </w:r>
      <w:r w:rsidR="085B45B6" w:rsidRPr="003D1E07">
        <w:t xml:space="preserve">edině aktuální první substance na sebe </w:t>
      </w:r>
      <w:r w:rsidR="00653669" w:rsidRPr="003D1E07">
        <w:t>v realitě působí kauzálně</w:t>
      </w:r>
      <w:r w:rsidR="000A7AB5" w:rsidRPr="003D1E07">
        <w:t xml:space="preserve">. </w:t>
      </w:r>
      <w:r w:rsidR="084C0C1C" w:rsidRPr="003D1E07">
        <w:t>Něco jiného jsou logické či matem</w:t>
      </w:r>
      <w:r w:rsidR="088C3DF4" w:rsidRPr="003D1E07">
        <w:t>a</w:t>
      </w:r>
      <w:r w:rsidR="004C202A">
        <w:t>tické významy</w:t>
      </w:r>
      <w:r w:rsidR="084C0C1C" w:rsidRPr="003D1E07">
        <w:t xml:space="preserve"> dané </w:t>
      </w:r>
      <w:r w:rsidR="084C0C1C" w:rsidRPr="003D1E07">
        <w:rPr>
          <w:i/>
        </w:rPr>
        <w:t>per</w:t>
      </w:r>
      <w:r w:rsidR="088C3DF4" w:rsidRPr="003D1E07">
        <w:rPr>
          <w:i/>
        </w:rPr>
        <w:t xml:space="preserve"> se</w:t>
      </w:r>
      <w:r w:rsidR="088C3DF4" w:rsidRPr="003D1E07">
        <w:t xml:space="preserve"> </w:t>
      </w:r>
      <w:r w:rsidR="004C202A">
        <w:t xml:space="preserve">pouze </w:t>
      </w:r>
      <w:r w:rsidR="088C3DF4" w:rsidRPr="003D1E07">
        <w:t>v mysli. Ale ty jsou dány pouze v modu supozice a proto nepostihují</w:t>
      </w:r>
      <w:r w:rsidR="084C0C1C" w:rsidRPr="003D1E07">
        <w:t xml:space="preserve"> hyp</w:t>
      </w:r>
      <w:r w:rsidR="088C3DF4" w:rsidRPr="003D1E07">
        <w:t xml:space="preserve">archickou predikaci </w:t>
      </w:r>
      <w:r w:rsidR="089820CF" w:rsidRPr="003D1E07">
        <w:t xml:space="preserve">reálné </w:t>
      </w:r>
      <w:r w:rsidR="088C3DF4" w:rsidRPr="003D1E07">
        <w:t xml:space="preserve">kauzality, která existuje </w:t>
      </w:r>
      <w:r w:rsidR="084C0C1C" w:rsidRPr="003D1E07">
        <w:t>pouze na úrovni první</w:t>
      </w:r>
      <w:r w:rsidR="088C3DF4" w:rsidRPr="003D1E07">
        <w:t>ch</w:t>
      </w:r>
      <w:r w:rsidR="084C0C1C" w:rsidRPr="003D1E07">
        <w:t xml:space="preserve"> substancí. Opět platí logika </w:t>
      </w:r>
      <w:r w:rsidR="08B779FB" w:rsidRPr="003D1E07">
        <w:t xml:space="preserve">metafyzického </w:t>
      </w:r>
      <w:r w:rsidR="084C0C1C" w:rsidRPr="003D1E07">
        <w:t>dativu</w:t>
      </w:r>
      <w:r w:rsidR="0800138A" w:rsidRPr="003D1E07">
        <w:fldChar w:fldCharType="begin"/>
      </w:r>
      <w:r w:rsidR="0800138A" w:rsidRPr="003D1E07">
        <w:instrText xml:space="preserve"> XE "</w:instrText>
      </w:r>
      <w:r w:rsidR="08B779FB" w:rsidRPr="003D1E07">
        <w:rPr>
          <w:i/>
        </w:rPr>
        <w:instrText>dativus metaphysi</w:instrText>
      </w:r>
      <w:r w:rsidR="0800138A" w:rsidRPr="003D1E07">
        <w:rPr>
          <w:i/>
        </w:rPr>
        <w:instrText>cus</w:instrText>
      </w:r>
      <w:r w:rsidR="0800138A" w:rsidRPr="003D1E07">
        <w:instrText xml:space="preserve">" </w:instrText>
      </w:r>
      <w:r w:rsidR="0800138A" w:rsidRPr="003D1E07">
        <w:fldChar w:fldCharType="end"/>
      </w:r>
      <w:r w:rsidR="08757317" w:rsidRPr="003D1E07">
        <w:t xml:space="preserve"> vylučující </w:t>
      </w:r>
      <w:r w:rsidR="08777EB0" w:rsidRPr="003D1E07">
        <w:t xml:space="preserve">platonský </w:t>
      </w:r>
      <w:r w:rsidR="08757317" w:rsidRPr="003D1E07">
        <w:t>náhled na realitu</w:t>
      </w:r>
      <w:r w:rsidR="084C0C1C" w:rsidRPr="003D1E07">
        <w:t xml:space="preserve">. </w:t>
      </w:r>
      <w:r w:rsidR="08777EB0" w:rsidRPr="003D1E07">
        <w:t xml:space="preserve">Pořád platí, že </w:t>
      </w:r>
      <w:r w:rsidR="08A71CA2" w:rsidRPr="003D1E07">
        <w:t xml:space="preserve">reálná </w:t>
      </w:r>
      <w:r w:rsidR="08777EB0" w:rsidRPr="003D1E07">
        <w:rPr>
          <w:i/>
        </w:rPr>
        <w:t>ousía</w:t>
      </w:r>
      <w:r w:rsidR="08777EB0" w:rsidRPr="003D1E07">
        <w:t xml:space="preserve"> </w:t>
      </w:r>
      <w:r w:rsidR="08E13CE2" w:rsidRPr="003D1E07">
        <w:t xml:space="preserve">vzata sama o sobě </w:t>
      </w:r>
      <w:r w:rsidR="08777EB0" w:rsidRPr="003D1E07">
        <w:t xml:space="preserve">není </w:t>
      </w:r>
      <w:r w:rsidR="08A71CA2" w:rsidRPr="003D1E07">
        <w:t xml:space="preserve">konceptuální </w:t>
      </w:r>
      <w:r w:rsidR="08777EB0" w:rsidRPr="003D1E07">
        <w:rPr>
          <w:i/>
        </w:rPr>
        <w:t>parousía</w:t>
      </w:r>
      <w:r w:rsidR="08777EB0" w:rsidRPr="003D1E07">
        <w:t xml:space="preserve">. </w:t>
      </w:r>
      <w:r w:rsidR="084C0C1C" w:rsidRPr="003D1E07">
        <w:t>Protože v minulosti proběhla donace jsoucnosti a věc reálně exist</w:t>
      </w:r>
      <w:r w:rsidR="08CA7854" w:rsidRPr="003D1E07">
        <w:t xml:space="preserve">uje a působí, pak je možné </w:t>
      </w:r>
      <w:r w:rsidR="084C0C1C" w:rsidRPr="003D1E07">
        <w:t xml:space="preserve">adekvátně pravdivě </w:t>
      </w:r>
      <w:r w:rsidR="088F1428" w:rsidRPr="003D1E07">
        <w:t xml:space="preserve">tvořit </w:t>
      </w:r>
      <w:r w:rsidR="084C0C1C" w:rsidRPr="003D1E07">
        <w:t xml:space="preserve">univerzální vědecké výpovědi. </w:t>
      </w:r>
      <w:r w:rsidR="085B45B6" w:rsidRPr="003D1E07">
        <w:t xml:space="preserve">Spis </w:t>
      </w:r>
      <w:r w:rsidR="08602CDA" w:rsidRPr="003D1E07">
        <w:rPr>
          <w:i/>
        </w:rPr>
        <w:t>Druhé analytiky</w:t>
      </w:r>
      <w:r w:rsidR="08602CDA" w:rsidRPr="003D1E07">
        <w:t xml:space="preserve"> </w:t>
      </w:r>
      <w:r w:rsidR="00DF6F2A" w:rsidRPr="003D1E07">
        <w:t>definuje vědecký důkaz jako spojení jedinečného</w:t>
      </w:r>
      <w:r w:rsidR="08B8633A" w:rsidRPr="003D1E07">
        <w:t xml:space="preserve"> účink</w:t>
      </w:r>
      <w:r w:rsidR="00DF6F2A" w:rsidRPr="003D1E07">
        <w:t>u</w:t>
      </w:r>
      <w:r w:rsidR="08B8633A" w:rsidRPr="003D1E07">
        <w:t xml:space="preserve"> první substance v realitě (</w:t>
      </w:r>
      <w:r w:rsidR="08B8633A" w:rsidRPr="003D1E07">
        <w:rPr>
          <w:i/>
        </w:rPr>
        <w:t>passio</w:t>
      </w:r>
      <w:r w:rsidR="08B8633A" w:rsidRPr="003D1E07">
        <w:t xml:space="preserve">) a </w:t>
      </w:r>
      <w:r w:rsidR="00F24D72" w:rsidRPr="003D1E07">
        <w:t>univerzální</w:t>
      </w:r>
      <w:r w:rsidR="00DF6F2A" w:rsidRPr="003D1E07">
        <w:t>ho</w:t>
      </w:r>
      <w:r w:rsidR="00F24D72" w:rsidRPr="003D1E07">
        <w:t xml:space="preserve"> poznání </w:t>
      </w:r>
      <w:r w:rsidR="08C12AEE" w:rsidRPr="003D1E07">
        <w:t>druhé substance</w:t>
      </w:r>
      <w:r w:rsidR="08B8633A" w:rsidRPr="003D1E07">
        <w:t xml:space="preserve"> jako </w:t>
      </w:r>
      <w:r w:rsidR="00DF6F2A" w:rsidRPr="003D1E07">
        <w:t xml:space="preserve">v rámci hyparchické </w:t>
      </w:r>
      <w:r w:rsidR="08B8633A" w:rsidRPr="003D1E07">
        <w:t>predikace</w:t>
      </w:r>
      <w:r w:rsidR="002117F9" w:rsidRPr="003D1E07">
        <w:t xml:space="preserve">. </w:t>
      </w:r>
      <w:r w:rsidR="086F3749" w:rsidRPr="003D1E07">
        <w:t>Jak dále uvidíme, vytěsnění tohoto základního principu determinace poznání skrze hyparchickou kauzalitu první substance (</w:t>
      </w:r>
      <w:r w:rsidR="08FE1B6D" w:rsidRPr="003D1E07">
        <w:t xml:space="preserve">princip </w:t>
      </w:r>
      <w:r w:rsidR="00EE63B3" w:rsidRPr="003D1E07">
        <w:rPr>
          <w:i/>
        </w:rPr>
        <w:t>ex in</w:t>
      </w:r>
      <w:r w:rsidR="086F3749" w:rsidRPr="003D1E07">
        <w:rPr>
          <w:i/>
        </w:rPr>
        <w:t>mediatis</w:t>
      </w:r>
      <w:r w:rsidR="086F3749" w:rsidRPr="003D1E07">
        <w:rPr>
          <w:i/>
        </w:rPr>
        <w:fldChar w:fldCharType="begin"/>
      </w:r>
      <w:r w:rsidR="086F3749" w:rsidRPr="003D1E07">
        <w:instrText xml:space="preserve"> XE "princip </w:instrText>
      </w:r>
      <w:r w:rsidR="00EF73BD" w:rsidRPr="003D1E07">
        <w:rPr>
          <w:i/>
        </w:rPr>
        <w:instrText>ex in</w:instrText>
      </w:r>
      <w:r w:rsidR="086F3749" w:rsidRPr="003D1E07">
        <w:rPr>
          <w:i/>
        </w:rPr>
        <w:instrText>mediatis</w:instrText>
      </w:r>
      <w:r w:rsidR="086F3749" w:rsidRPr="003D1E07">
        <w:instrText xml:space="preserve">" </w:instrText>
      </w:r>
      <w:r w:rsidR="086F3749" w:rsidRPr="003D1E07">
        <w:rPr>
          <w:i/>
        </w:rPr>
        <w:fldChar w:fldCharType="end"/>
      </w:r>
      <w:r w:rsidR="086F3749" w:rsidRPr="003D1E07">
        <w:t xml:space="preserve">) bude hrát klíčovou úlohu při vzniku moderní objektivity. </w:t>
      </w:r>
      <w:r w:rsidR="080F40E6" w:rsidRPr="003D1E07">
        <w:t>Střední člen deduktivního vědeckého soudu (</w:t>
      </w:r>
      <w:r w:rsidR="080F40E6" w:rsidRPr="003D1E07">
        <w:rPr>
          <w:i/>
        </w:rPr>
        <w:t>medium</w:t>
      </w:r>
      <w:r w:rsidR="080F40E6" w:rsidRPr="003D1E07">
        <w:rPr>
          <w:i/>
        </w:rPr>
        <w:fldChar w:fldCharType="begin"/>
      </w:r>
      <w:r w:rsidR="080F40E6" w:rsidRPr="003D1E07">
        <w:instrText xml:space="preserve"> XE "</w:instrText>
      </w:r>
      <w:r w:rsidR="080F40E6" w:rsidRPr="003D1E07">
        <w:rPr>
          <w:i/>
        </w:rPr>
        <w:instrText>medium:</w:instrText>
      </w:r>
      <w:r w:rsidR="08A73663" w:rsidRPr="003D1E07">
        <w:instrText>Aristoteles</w:instrText>
      </w:r>
      <w:r w:rsidR="080F40E6" w:rsidRPr="003D1E07">
        <w:instrText xml:space="preserve">" </w:instrText>
      </w:r>
      <w:r w:rsidR="080F40E6" w:rsidRPr="003D1E07">
        <w:rPr>
          <w:i/>
        </w:rPr>
        <w:fldChar w:fldCharType="end"/>
      </w:r>
      <w:r w:rsidR="080F40E6" w:rsidRPr="003D1E07">
        <w:t xml:space="preserve">) univerzálně a univočně signifikuje původní </w:t>
      </w:r>
      <w:r w:rsidR="002117F9" w:rsidRPr="003D1E07">
        <w:t>jed</w:t>
      </w:r>
      <w:r w:rsidR="080F40E6" w:rsidRPr="003D1E07">
        <w:t>inečnou kauzalitu danou v reálu</w:t>
      </w:r>
      <w:r w:rsidR="00C63D4D" w:rsidRPr="003D1E07">
        <w:rPr>
          <w:i/>
        </w:rPr>
        <w:fldChar w:fldCharType="begin"/>
      </w:r>
      <w:r w:rsidR="00C63D4D" w:rsidRPr="003D1E07">
        <w:instrText xml:space="preserve"> XE "kauzalita:</w:instrText>
      </w:r>
      <w:r w:rsidR="008E02F5" w:rsidRPr="003D1E07">
        <w:instrText>Aristoteles</w:instrText>
      </w:r>
      <w:r w:rsidR="00C63D4D" w:rsidRPr="003D1E07">
        <w:instrText xml:space="preserve">" </w:instrText>
      </w:r>
      <w:r w:rsidR="00C63D4D" w:rsidRPr="003D1E07">
        <w:rPr>
          <w:i/>
        </w:rPr>
        <w:fldChar w:fldCharType="end"/>
      </w:r>
      <w:r w:rsidR="002117F9" w:rsidRPr="003D1E07">
        <w:t xml:space="preserve">. Skrze mediaci kauzality </w:t>
      </w:r>
      <w:r w:rsidR="00F24D72" w:rsidRPr="003D1E07">
        <w:t xml:space="preserve">se </w:t>
      </w:r>
      <w:r w:rsidR="00A44FB0" w:rsidRPr="003D1E07">
        <w:t xml:space="preserve">jedinečné </w:t>
      </w:r>
      <w:r w:rsidR="00F24D72" w:rsidRPr="003D1E07">
        <w:t xml:space="preserve">působení </w:t>
      </w:r>
      <w:r w:rsidR="00CB7203" w:rsidRPr="003D1E07">
        <w:t xml:space="preserve">první substance </w:t>
      </w:r>
      <w:r w:rsidR="00A44FB0" w:rsidRPr="003D1E07">
        <w:t xml:space="preserve">v realitě </w:t>
      </w:r>
      <w:r w:rsidR="002117F9" w:rsidRPr="003D1E07">
        <w:t>stává</w:t>
      </w:r>
      <w:r w:rsidR="00F24D72" w:rsidRPr="003D1E07">
        <w:t xml:space="preserve"> univoční součástí univerzálního vědeckého důkazu. </w:t>
      </w:r>
      <w:r w:rsidR="08F7559E" w:rsidRPr="003D1E07">
        <w:t>D</w:t>
      </w:r>
      <w:r w:rsidR="00A44FB0" w:rsidRPr="003D1E07">
        <w:t xml:space="preserve">íky impozici kauzality skrze </w:t>
      </w:r>
      <w:r w:rsidR="00A44FB0" w:rsidRPr="003D1E07">
        <w:rPr>
          <w:i/>
        </w:rPr>
        <w:t>medium</w:t>
      </w:r>
      <w:r w:rsidR="00A44FB0" w:rsidRPr="003D1E07">
        <w:t xml:space="preserve"> </w:t>
      </w:r>
      <w:r w:rsidR="08AD6F83" w:rsidRPr="003D1E07">
        <w:t xml:space="preserve">vědeckého deduktivního soudu </w:t>
      </w:r>
      <w:r w:rsidR="005A6F46" w:rsidRPr="003D1E07">
        <w:fldChar w:fldCharType="begin"/>
      </w:r>
      <w:r w:rsidR="005A6F46" w:rsidRPr="003D1E07">
        <w:instrText xml:space="preserve"> XE "predikace:střední člen soudu" </w:instrText>
      </w:r>
      <w:r w:rsidR="005A6F46" w:rsidRPr="003D1E07">
        <w:fldChar w:fldCharType="end"/>
      </w:r>
      <w:r w:rsidR="00A44FB0" w:rsidRPr="003D1E07">
        <w:t xml:space="preserve">se </w:t>
      </w:r>
      <w:r w:rsidR="08F7559E" w:rsidRPr="003D1E07">
        <w:t xml:space="preserve">myšlení </w:t>
      </w:r>
      <w:r w:rsidR="00A44FB0" w:rsidRPr="003D1E07">
        <w:t xml:space="preserve">vztahuje </w:t>
      </w:r>
      <w:r w:rsidR="082604BC" w:rsidRPr="003D1E07">
        <w:t>k reálnému dění danému kauzálně</w:t>
      </w:r>
      <w:r w:rsidR="08836B0B" w:rsidRPr="003D1E07">
        <w:t xml:space="preserve"> mimo nás</w:t>
      </w:r>
      <w:r w:rsidR="08511CAB" w:rsidRPr="003D1E07">
        <w:t xml:space="preserve">. Spojením první a druhé substance skrze reálně poznané působení věcí </w:t>
      </w:r>
      <w:r w:rsidR="002E6450" w:rsidRPr="003D1E07">
        <w:t xml:space="preserve">byla </w:t>
      </w:r>
      <w:r w:rsidR="00351DBD" w:rsidRPr="003D1E07">
        <w:t xml:space="preserve">založena </w:t>
      </w:r>
      <w:r w:rsidR="002E6450" w:rsidRPr="003D1E07">
        <w:t xml:space="preserve">pravda jako univerzální poznání </w:t>
      </w:r>
      <w:r w:rsidR="00B270F3" w:rsidRPr="003D1E07">
        <w:t xml:space="preserve">a </w:t>
      </w:r>
      <w:r w:rsidR="002F70C9" w:rsidRPr="003D1E07">
        <w:t>univo</w:t>
      </w:r>
      <w:r w:rsidR="00887005" w:rsidRPr="003D1E07">
        <w:t>ční predikace</w:t>
      </w:r>
      <w:r w:rsidR="00A4524D" w:rsidRPr="003D1E07">
        <w:t xml:space="preserve"> vztažené k reálnému světu prvních substancí</w:t>
      </w:r>
      <w:r w:rsidR="00887005" w:rsidRPr="003D1E07">
        <w:t xml:space="preserve">. </w:t>
      </w:r>
      <w:r w:rsidR="08842FA4" w:rsidRPr="003D1E07">
        <w:t xml:space="preserve">Vědecký důkaz se vypovídá univočně a univerzálně v řádu kategoriální predikace vztažené k </w:t>
      </w:r>
      <w:r w:rsidR="08842FA4" w:rsidRPr="003D1E07">
        <w:lastRenderedPageBreak/>
        <w:t xml:space="preserve">reálnému dění. </w:t>
      </w:r>
      <w:r w:rsidR="008964A2" w:rsidRPr="003D1E07">
        <w:t>Aktuální jsoucno existuje</w:t>
      </w:r>
      <w:r w:rsidR="00571DD7" w:rsidRPr="003D1E07">
        <w:t xml:space="preserve"> </w:t>
      </w:r>
      <w:r w:rsidR="008964A2" w:rsidRPr="003D1E07">
        <w:t xml:space="preserve">jako první substance, která </w:t>
      </w:r>
      <w:r w:rsidR="00571DD7" w:rsidRPr="003D1E07">
        <w:t>kauzálně působí</w:t>
      </w:r>
      <w:r w:rsidR="008964A2" w:rsidRPr="003D1E07">
        <w:t xml:space="preserve"> na jiné první substance. P</w:t>
      </w:r>
      <w:r w:rsidR="00571DD7" w:rsidRPr="003D1E07">
        <w:t xml:space="preserve">ak můžeme tuto jedinečnou kauzalitu </w:t>
      </w:r>
      <w:r w:rsidR="00157D34" w:rsidRPr="003D1E07">
        <w:t xml:space="preserve">závazně a nutně </w:t>
      </w:r>
      <w:r w:rsidR="00571DD7" w:rsidRPr="003D1E07">
        <w:t xml:space="preserve">konstatovat v rámci obecné kategoriální predikace dané v rámci deduktivního úsudku. </w:t>
      </w:r>
      <w:r w:rsidR="00887005" w:rsidRPr="003D1E07">
        <w:t xml:space="preserve">Díky hyparchické vazbě na první substanci platí jako pravdivá výpověď </w:t>
      </w:r>
      <w:r w:rsidR="00AE3414" w:rsidRPr="003D1E07">
        <w:t>o tom</w:t>
      </w:r>
      <w:r w:rsidR="00B270F3" w:rsidRPr="003D1E07">
        <w:t>, co je, že</w:t>
      </w:r>
      <w:r w:rsidR="002F70C9" w:rsidRPr="003D1E07">
        <w:t xml:space="preserve"> </w:t>
      </w:r>
      <w:r w:rsidR="003028AC" w:rsidRPr="003D1E07">
        <w:t xml:space="preserve">to </w:t>
      </w:r>
      <w:r w:rsidR="00B270F3" w:rsidRPr="003D1E07">
        <w:t>j</w:t>
      </w:r>
      <w:r w:rsidR="002F70C9" w:rsidRPr="003D1E07">
        <w:t>e</w:t>
      </w:r>
      <w:r w:rsidR="00887005" w:rsidRPr="003D1E07">
        <w:t xml:space="preserve">; </w:t>
      </w:r>
      <w:r w:rsidR="002E6450" w:rsidRPr="003D1E07">
        <w:t>a</w:t>
      </w:r>
      <w:r w:rsidR="00AE3414" w:rsidRPr="003D1E07">
        <w:t xml:space="preserve"> o tom</w:t>
      </w:r>
      <w:r w:rsidR="00B270F3" w:rsidRPr="003D1E07">
        <w:t xml:space="preserve">, co není, že </w:t>
      </w:r>
      <w:r w:rsidR="003028AC" w:rsidRPr="003D1E07">
        <w:t xml:space="preserve">to </w:t>
      </w:r>
      <w:r w:rsidR="00B270F3" w:rsidRPr="003D1E07">
        <w:t>není (</w:t>
      </w:r>
      <w:r w:rsidR="00B270F3" w:rsidRPr="003D1E07">
        <w:rPr>
          <w:rStyle w:val="Zvraznn"/>
        </w:rPr>
        <w:t>Met</w:t>
      </w:r>
      <w:r w:rsidR="00B270F3" w:rsidRPr="003D1E07">
        <w:rPr>
          <w:rStyle w:val="Zvraznn"/>
          <w:i w:val="0"/>
        </w:rPr>
        <w:t>.</w:t>
      </w:r>
      <w:r w:rsidR="006E262F" w:rsidRPr="003D1E07">
        <w:t xml:space="preserve"> 1011b26‒29</w:t>
      </w:r>
      <w:r w:rsidR="00554E31" w:rsidRPr="003D1E07">
        <w:fldChar w:fldCharType="begin"/>
      </w:r>
      <w:r w:rsidR="00554E31" w:rsidRPr="003D1E07">
        <w:instrText xml:space="preserve"> XE "</w:instrText>
      </w:r>
      <w:r w:rsidR="008E02F5" w:rsidRPr="003D1E07">
        <w:instrText>Aristoteles</w:instrText>
      </w:r>
      <w:r w:rsidR="00554E31" w:rsidRPr="003D1E07">
        <w:instrText>:</w:instrText>
      </w:r>
      <w:r w:rsidR="00554E31" w:rsidRPr="003D1E07">
        <w:rPr>
          <w:i/>
        </w:rPr>
        <w:instrText>Met</w:instrText>
      </w:r>
      <w:r w:rsidR="00554E31" w:rsidRPr="003D1E07">
        <w:instrText xml:space="preserve">. 1011b26‒29" </w:instrText>
      </w:r>
      <w:r w:rsidR="00554E31" w:rsidRPr="003D1E07">
        <w:fldChar w:fldCharType="end"/>
      </w:r>
      <w:r w:rsidR="00B270F3" w:rsidRPr="003D1E07">
        <w:t>).</w:t>
      </w:r>
      <w:r w:rsidR="00742069" w:rsidRPr="003D1E07">
        <w:t xml:space="preserve"> </w:t>
      </w:r>
      <w:r w:rsidR="00B174E6" w:rsidRPr="003D1E07">
        <w:t>Aristotele</w:t>
      </w:r>
      <w:r w:rsidR="08155660" w:rsidRPr="003D1E07">
        <w:t>s</w:t>
      </w:r>
      <w:r w:rsidR="00B4692C" w:rsidRPr="003D1E07">
        <w:t xml:space="preserve"> </w:t>
      </w:r>
      <w:r w:rsidR="007C1E0C" w:rsidRPr="003D1E07">
        <w:t xml:space="preserve">úspěšně </w:t>
      </w:r>
      <w:r w:rsidR="00B4692C" w:rsidRPr="003D1E07">
        <w:t xml:space="preserve">obhájil statut první a druhé substance pro vědecké poznání světa, </w:t>
      </w:r>
      <w:r w:rsidR="08383B76" w:rsidRPr="003D1E07">
        <w:t xml:space="preserve">protože oba jevy </w:t>
      </w:r>
      <w:r w:rsidR="08016EAD" w:rsidRPr="003D1E07">
        <w:t xml:space="preserve">spojil ve správném pořadí. Pak mohl začít hledat </w:t>
      </w:r>
      <w:r w:rsidR="00B4692C" w:rsidRPr="003D1E07">
        <w:t>základ metafyzické jednoty jsoucna.</w:t>
      </w:r>
      <w:r w:rsidR="00946E33" w:rsidRPr="003D1E07">
        <w:t xml:space="preserve"> </w:t>
      </w:r>
      <w:r w:rsidR="08A00A30" w:rsidRPr="003D1E07">
        <w:t xml:space="preserve">První substance svým odděleným bytím hyparchicky určuje základní směr kategoriální predikace, protože věc v realitě zakládá její význam v mysli. Reálně a aktuálně neexistuje Platonova idea nebo Plotinův nejvyšší rod jsoucna, ale pouze aktuální věc. Pravdivě vypovídáme vzhledem k reálné věci, ale naše mluva není touto věcí. </w:t>
      </w:r>
      <w:r w:rsidR="00946E33" w:rsidRPr="003D1E07">
        <w:t xml:space="preserve">Z hlediska hermeneutiky platí, že smysl jsoucna je dán nasvícením zepředu, tedy od reálné první substance, která hyparchicky zakládá </w:t>
      </w:r>
      <w:r w:rsidR="08FE41CC" w:rsidRPr="003D1E07">
        <w:t>univerzální výpovědi vztažené</w:t>
      </w:r>
      <w:r w:rsidR="00946E33" w:rsidRPr="003D1E07">
        <w:t xml:space="preserve"> k aktuálnímu bytí a </w:t>
      </w:r>
      <w:r w:rsidR="08A00A30" w:rsidRPr="003D1E07">
        <w:t xml:space="preserve">k reálné </w:t>
      </w:r>
      <w:r w:rsidR="00946E33" w:rsidRPr="003D1E07">
        <w:t>kauzalitě</w:t>
      </w:r>
      <w:r w:rsidR="00946E33" w:rsidRPr="003D1E07">
        <w:fldChar w:fldCharType="begin"/>
      </w:r>
      <w:r w:rsidR="00946E33" w:rsidRPr="003D1E07">
        <w:instrText xml:space="preserve"> XE "predikace:hyparchická" </w:instrText>
      </w:r>
      <w:r w:rsidR="00946E33" w:rsidRPr="003D1E07">
        <w:fldChar w:fldCharType="end"/>
      </w:r>
      <w:r w:rsidR="00946E33" w:rsidRPr="003D1E07">
        <w:t xml:space="preserve">. Neoplatonismus naopak poznává svět podle svébytných forem a nejvyšších rodů bytí, které </w:t>
      </w:r>
      <w:r w:rsidR="08A41981" w:rsidRPr="003D1E07">
        <w:t>nasvěcují smysl jsoucna zezadu.</w:t>
      </w:r>
    </w:p>
    <w:p w14:paraId="2336083B" w14:textId="78C22BF8" w:rsidR="08282200" w:rsidRPr="003D1E07" w:rsidRDefault="08A00A30" w:rsidP="08A00205">
      <w:r w:rsidRPr="003D1E07">
        <w:tab/>
      </w:r>
      <w:r w:rsidR="00946E33" w:rsidRPr="003D1E07">
        <w:t xml:space="preserve">Spor o výklad spisu </w:t>
      </w:r>
      <w:r w:rsidR="00946E33" w:rsidRPr="003D1E07">
        <w:rPr>
          <w:i/>
        </w:rPr>
        <w:t>Kategorie</w:t>
      </w:r>
      <w:r w:rsidR="00946E33" w:rsidRPr="003D1E07">
        <w:t xml:space="preserve"> musel </w:t>
      </w:r>
      <w:r w:rsidR="00B174E6" w:rsidRPr="003D1E07">
        <w:t>v Ploti</w:t>
      </w:r>
      <w:r w:rsidR="00946E33" w:rsidRPr="003D1E07">
        <w:t>nově škole vypuknout zcela nevyhnutelně.</w:t>
      </w:r>
      <w:r w:rsidR="08B0291C" w:rsidRPr="003D1E07">
        <w:t xml:space="preserve"> </w:t>
      </w:r>
      <w:r w:rsidR="08454615" w:rsidRPr="003D1E07">
        <w:t xml:space="preserve">Rozdíl mezi impozicí a supozicí znamená, že predikace je jinak dána vzhledem k první, a jinak vzhledem ke druhé substanci. </w:t>
      </w:r>
      <w:r w:rsidR="08784D44" w:rsidRPr="003D1E07">
        <w:t xml:space="preserve">Porfyrius na rozdíl od neoplatoniků pochopil zásadní význam predikace </w:t>
      </w:r>
      <w:r w:rsidR="08784D44" w:rsidRPr="003D1E07">
        <w:rPr>
          <w:i/>
        </w:rPr>
        <w:t>per prius</w:t>
      </w:r>
      <w:r w:rsidR="08784D44" w:rsidRPr="003D1E07">
        <w:t xml:space="preserve"> a </w:t>
      </w:r>
      <w:r w:rsidR="08784D44" w:rsidRPr="003D1E07">
        <w:rPr>
          <w:i/>
        </w:rPr>
        <w:t>per posterius</w:t>
      </w:r>
      <w:r w:rsidR="08784D44" w:rsidRPr="003D1E07">
        <w:t xml:space="preserve"> ve spisu </w:t>
      </w:r>
      <w:r w:rsidR="08784D44" w:rsidRPr="003D1E07">
        <w:rPr>
          <w:i/>
        </w:rPr>
        <w:t>Kategorie</w:t>
      </w:r>
      <w:r w:rsidR="08784D44" w:rsidRPr="003D1E07">
        <w:t xml:space="preserve">. </w:t>
      </w:r>
      <w:r w:rsidR="08092810" w:rsidRPr="003D1E07">
        <w:t xml:space="preserve">Obrana původního Aristotelova významu kategoriální predikace odkazuje na klíčové místo v </w:t>
      </w:r>
      <w:r w:rsidR="08092810" w:rsidRPr="003D1E07">
        <w:rPr>
          <w:i/>
        </w:rPr>
        <w:t>De Interpretatione</w:t>
      </w:r>
      <w:r w:rsidR="08092810" w:rsidRPr="003D1E07">
        <w:t xml:space="preserve"> 16a3–8</w:t>
      </w:r>
      <w:r w:rsidR="08423DF4" w:rsidRPr="003D1E07">
        <w:fldChar w:fldCharType="begin"/>
      </w:r>
      <w:r w:rsidR="08423DF4" w:rsidRPr="003D1E07">
        <w:instrText xml:space="preserve"> XE "Aristoteles:</w:instrText>
      </w:r>
      <w:r w:rsidR="08423DF4" w:rsidRPr="003D1E07">
        <w:rPr>
          <w:i/>
        </w:rPr>
        <w:instrText>De Interpretatione</w:instrText>
      </w:r>
      <w:r w:rsidR="08423DF4" w:rsidRPr="003D1E07">
        <w:instrText xml:space="preserve"> 16a3–8" </w:instrText>
      </w:r>
      <w:r w:rsidR="08423DF4" w:rsidRPr="003D1E07">
        <w:fldChar w:fldCharType="end"/>
      </w:r>
      <w:r w:rsidR="08092810" w:rsidRPr="003D1E07">
        <w:t>, které představuje kanonický text pro pojetí signifikace oddělené od bytí reálné věci (</w:t>
      </w:r>
      <w:r w:rsidR="08A85B38" w:rsidRPr="003D1E07">
        <w:t>OBJ II, kap. 1</w:t>
      </w:r>
      <w:r w:rsidR="08092810" w:rsidRPr="003D1E07">
        <w:t xml:space="preserve">.1). Porfyrius pochopil, že definice druhé substance je možná jedině skrze predikaci v rámci deseti kategorií vztažených k oddělené první substanci dané v realitě. Hyparchická funkce první substance v neoplatonismu zmizela a nahradilo ji rodové určení jsoucna. </w:t>
      </w:r>
      <w:r w:rsidR="00B174E6" w:rsidRPr="003D1E07">
        <w:t>Porfy</w:t>
      </w:r>
      <w:r w:rsidR="00AA6706" w:rsidRPr="003D1E07">
        <w:t xml:space="preserve">rius kritizuje především </w:t>
      </w:r>
      <w:r w:rsidR="00B174E6" w:rsidRPr="003D1E07">
        <w:t>neoplato</w:t>
      </w:r>
      <w:r w:rsidR="00AA6706" w:rsidRPr="003D1E07">
        <w:t>nskou ontologizaci kategorií (</w:t>
      </w:r>
      <w:r w:rsidR="00AA6706" w:rsidRPr="003D1E07">
        <w:rPr>
          <w:rStyle w:val="addmd"/>
        </w:rPr>
        <w:t>Evangeliou 1988, 93–97</w:t>
      </w:r>
      <w:r w:rsidR="00AA6706" w:rsidRPr="003D1E07">
        <w:t xml:space="preserve">). Tvrdí, že stejnojmenný Aristotelův spis pojednává pouze o verbálních způsobech signifikace (φωναὶ σημαντικαὶ), které skrze kategoriální výpovědi pravdivě vypovídají o </w:t>
      </w:r>
      <w:r w:rsidR="087B4502" w:rsidRPr="003D1E07">
        <w:t xml:space="preserve">reálně </w:t>
      </w:r>
      <w:r w:rsidR="00AA6706" w:rsidRPr="003D1E07">
        <w:t>existujících věcech.</w:t>
      </w:r>
      <w:r w:rsidR="00AA6706" w:rsidRPr="003D1E07">
        <w:rPr>
          <w:rStyle w:val="Znakapoznpodarou"/>
        </w:rPr>
        <w:footnoteReference w:id="44"/>
      </w:r>
      <w:r w:rsidR="00AA6706" w:rsidRPr="003D1E07">
        <w:t xml:space="preserve"> </w:t>
      </w:r>
      <w:r w:rsidR="08471C72" w:rsidRPr="003D1E07">
        <w:t xml:space="preserve">Kategoriální </w:t>
      </w:r>
      <w:r w:rsidR="00127A27" w:rsidRPr="003D1E07">
        <w:t>významy signifikující věc jsou oddělené od první substance</w:t>
      </w:r>
      <w:r w:rsidR="00127A27" w:rsidRPr="003D1E07">
        <w:fldChar w:fldCharType="begin"/>
      </w:r>
      <w:r w:rsidR="00127A27" w:rsidRPr="003D1E07">
        <w:instrText xml:space="preserve"> XE "substance:</w:instrText>
      </w:r>
      <w:r w:rsidR="088B254C" w:rsidRPr="003D1E07">
        <w:instrText>Porfyrius</w:instrText>
      </w:r>
      <w:r w:rsidR="00127A27" w:rsidRPr="003D1E07">
        <w:instrText xml:space="preserve">" </w:instrText>
      </w:r>
      <w:r w:rsidR="00127A27" w:rsidRPr="003D1E07">
        <w:fldChar w:fldCharType="end"/>
      </w:r>
      <w:r w:rsidR="00127A27" w:rsidRPr="003D1E07">
        <w:t xml:space="preserve"> díky významotvorné mluvě. </w:t>
      </w:r>
      <w:r w:rsidR="08C13344" w:rsidRPr="003D1E07">
        <w:t xml:space="preserve">Porfyrius proti neoplatonikům namítá, že </w:t>
      </w:r>
      <w:r w:rsidR="00AD1B53" w:rsidRPr="003D1E07">
        <w:t xml:space="preserve">nemůžeme přistoupit </w:t>
      </w:r>
      <w:r w:rsidR="00874BEF" w:rsidRPr="003D1E07">
        <w:t xml:space="preserve">v kategoriálním modu </w:t>
      </w:r>
      <w:r w:rsidR="00874BEF" w:rsidRPr="003D1E07">
        <w:rPr>
          <w:i/>
        </w:rPr>
        <w:t>per prius</w:t>
      </w:r>
      <w:r w:rsidR="00874BEF" w:rsidRPr="003D1E07">
        <w:t xml:space="preserve"> </w:t>
      </w:r>
      <w:r w:rsidR="004A5C9E" w:rsidRPr="003D1E07">
        <w:t xml:space="preserve">k </w:t>
      </w:r>
      <w:r w:rsidR="08742B2C" w:rsidRPr="003D1E07">
        <w:t xml:space="preserve">reálné </w:t>
      </w:r>
      <w:r w:rsidR="008243F3" w:rsidRPr="003D1E07">
        <w:t xml:space="preserve">substanci </w:t>
      </w:r>
      <w:r w:rsidR="00D345EE" w:rsidRPr="003D1E07">
        <w:t xml:space="preserve">od platonských </w:t>
      </w:r>
      <w:r w:rsidR="004A5C9E" w:rsidRPr="003D1E07">
        <w:t>forem</w:t>
      </w:r>
      <w:r w:rsidR="002E2499" w:rsidRPr="003D1E07">
        <w:fldChar w:fldCharType="begin"/>
      </w:r>
      <w:r w:rsidR="002E2499" w:rsidRPr="003D1E07">
        <w:instrText xml:space="preserve"> XE "zjevování:nasvícení zezadu" </w:instrText>
      </w:r>
      <w:r w:rsidR="002E2499" w:rsidRPr="003D1E07">
        <w:fldChar w:fldCharType="end"/>
      </w:r>
      <w:r w:rsidR="004A5C9E" w:rsidRPr="003D1E07">
        <w:t xml:space="preserve">. </w:t>
      </w:r>
      <w:r w:rsidR="00AD1B53" w:rsidRPr="003D1E07">
        <w:t xml:space="preserve">Taková predikace </w:t>
      </w:r>
      <w:r w:rsidR="00AD1B53" w:rsidRPr="003D1E07">
        <w:lastRenderedPageBreak/>
        <w:t xml:space="preserve">splňuje nároky supozice </w:t>
      </w:r>
      <w:r w:rsidR="08DE673F" w:rsidRPr="003D1E07">
        <w:t xml:space="preserve">pouze </w:t>
      </w:r>
      <w:r w:rsidR="00AD1B53" w:rsidRPr="003D1E07">
        <w:t>v modu plurivocity</w:t>
      </w:r>
      <w:r w:rsidR="081E02D9" w:rsidRPr="003D1E07">
        <w:t xml:space="preserve"> a pak vypovídáme pouze o univerzálně dané esenci</w:t>
      </w:r>
      <w:r w:rsidR="088F779E" w:rsidRPr="003D1E07">
        <w:t xml:space="preserve">. Jedině kategoriální predikace daná v modu impozice od první substance zajišťuje </w:t>
      </w:r>
      <w:r w:rsidR="00AD1B53" w:rsidRPr="003D1E07">
        <w:t>univoční význam nutný pro</w:t>
      </w:r>
      <w:r w:rsidR="00E20BED" w:rsidRPr="003D1E07">
        <w:t xml:space="preserve"> pravdivou </w:t>
      </w:r>
      <w:r w:rsidR="088F779E" w:rsidRPr="003D1E07">
        <w:t>výpověď</w:t>
      </w:r>
      <w:r w:rsidR="00013A1C" w:rsidRPr="003D1E07">
        <w:fldChar w:fldCharType="begin"/>
      </w:r>
      <w:r w:rsidR="00013A1C" w:rsidRPr="003D1E07">
        <w:instrText xml:space="preserve"> XE "impozice:Porfýrios" </w:instrText>
      </w:r>
      <w:r w:rsidR="00013A1C" w:rsidRPr="003D1E07">
        <w:fldChar w:fldCharType="end"/>
      </w:r>
      <w:r w:rsidR="00AD1B53" w:rsidRPr="003D1E07">
        <w:t xml:space="preserve">. </w:t>
      </w:r>
      <w:r w:rsidR="00B174E6" w:rsidRPr="003D1E07">
        <w:t>Porfy</w:t>
      </w:r>
      <w:r w:rsidR="004D71D1" w:rsidRPr="003D1E07">
        <w:t>rius ob</w:t>
      </w:r>
      <w:r w:rsidR="00B174E6" w:rsidRPr="003D1E07">
        <w:t>hájil proti Ploti</w:t>
      </w:r>
      <w:r w:rsidR="004D71D1" w:rsidRPr="003D1E07">
        <w:t xml:space="preserve">novi tezi, že slovo „kategorie“ neoznačuje rodové určení typu substance, kvantity, kvality, vztahu a pohybu, což byla pozice </w:t>
      </w:r>
      <w:r w:rsidR="004D71D1" w:rsidRPr="003D1E07">
        <w:rPr>
          <w:i/>
        </w:rPr>
        <w:t>Enneád</w:t>
      </w:r>
      <w:r w:rsidR="004D71D1" w:rsidRPr="003D1E07">
        <w:t xml:space="preserve"> (</w:t>
      </w:r>
      <w:r w:rsidR="004D71D1" w:rsidRPr="003D1E07">
        <w:rPr>
          <w:i/>
        </w:rPr>
        <w:t>Enn</w:t>
      </w:r>
      <w:r w:rsidR="004D71D1" w:rsidRPr="003D1E07">
        <w:t>. 6.2.21.24–59</w:t>
      </w:r>
      <w:r w:rsidR="00554E31" w:rsidRPr="003D1E07">
        <w:fldChar w:fldCharType="begin"/>
      </w:r>
      <w:r w:rsidR="00554E31" w:rsidRPr="003D1E07">
        <w:instrText xml:space="preserve"> XE "</w:instrText>
      </w:r>
      <w:r w:rsidR="08F72573" w:rsidRPr="003D1E07">
        <w:instrText>Plotinos</w:instrText>
      </w:r>
      <w:r w:rsidR="00554E31" w:rsidRPr="003D1E07">
        <w:instrText>:</w:instrText>
      </w:r>
      <w:r w:rsidR="00554E31" w:rsidRPr="003D1E07">
        <w:rPr>
          <w:i/>
        </w:rPr>
        <w:instrText>Enn</w:instrText>
      </w:r>
      <w:r w:rsidR="00554E31" w:rsidRPr="003D1E07">
        <w:instrText xml:space="preserve">. 6.2.21.24–59" </w:instrText>
      </w:r>
      <w:r w:rsidR="00554E31" w:rsidRPr="003D1E07">
        <w:fldChar w:fldCharType="end"/>
      </w:r>
      <w:r w:rsidR="004D71D1" w:rsidRPr="003D1E07">
        <w:t xml:space="preserve">). </w:t>
      </w:r>
      <w:r w:rsidR="08D51FC4" w:rsidRPr="003D1E07">
        <w:t>Brila</w:t>
      </w:r>
      <w:r w:rsidR="089A177A" w:rsidRPr="003D1E07">
        <w:t>n</w:t>
      </w:r>
      <w:r w:rsidR="08D51FC4" w:rsidRPr="003D1E07">
        <w:t>tní z</w:t>
      </w:r>
      <w:r w:rsidR="003A28C1" w:rsidRPr="003D1E07">
        <w:t xml:space="preserve">nalec spisu </w:t>
      </w:r>
      <w:r w:rsidR="003A28C1" w:rsidRPr="003D1E07">
        <w:rPr>
          <w:i/>
        </w:rPr>
        <w:t>Kategorie</w:t>
      </w:r>
      <w:r w:rsidR="003A28C1" w:rsidRPr="003D1E07">
        <w:t xml:space="preserve"> </w:t>
      </w:r>
      <w:r w:rsidR="08A76D48" w:rsidRPr="003D1E07">
        <w:t xml:space="preserve">nekompromisně </w:t>
      </w:r>
      <w:r w:rsidR="00403185" w:rsidRPr="003D1E07">
        <w:t xml:space="preserve">držel původní smysl aristotelské predikace. </w:t>
      </w:r>
      <w:r w:rsidR="08CE6D18" w:rsidRPr="003D1E07">
        <w:t>D</w:t>
      </w:r>
      <w:r w:rsidR="00122CE8" w:rsidRPr="003D1E07">
        <w:t>i</w:t>
      </w:r>
      <w:r w:rsidR="00FB555B" w:rsidRPr="003D1E07">
        <w:t>ference mezi rodem a druhem ukazuje, že kategoriální výpovědi mají svou vnitřní hiera</w:t>
      </w:r>
      <w:r w:rsidR="08BC6021" w:rsidRPr="003D1E07">
        <w:t>r</w:t>
      </w:r>
      <w:r w:rsidR="00FB555B" w:rsidRPr="003D1E07">
        <w:t>chii, protože d</w:t>
      </w:r>
      <w:r w:rsidR="00C4655F" w:rsidRPr="003D1E07">
        <w:t>ruh má blíže k první substanci</w:t>
      </w:r>
      <w:r w:rsidR="08BC6021" w:rsidRPr="003D1E07">
        <w:t xml:space="preserve"> než rod</w:t>
      </w:r>
      <w:r w:rsidR="00C4655F" w:rsidRPr="003D1E07">
        <w:t xml:space="preserve">. </w:t>
      </w:r>
      <w:r w:rsidR="00B174E6" w:rsidRPr="003D1E07">
        <w:t>Porfy</w:t>
      </w:r>
      <w:r w:rsidR="006D0DC6" w:rsidRPr="003D1E07">
        <w:t xml:space="preserve">rius držel </w:t>
      </w:r>
      <w:r w:rsidR="0095087E" w:rsidRPr="003D1E07">
        <w:t xml:space="preserve">obojí </w:t>
      </w:r>
      <w:r w:rsidR="006D0DC6" w:rsidRPr="003D1E07">
        <w:t>směr predikace směrem od první</w:t>
      </w:r>
      <w:r w:rsidR="0095087E" w:rsidRPr="003D1E07">
        <w:t xml:space="preserve"> i druhé </w:t>
      </w:r>
      <w:r w:rsidR="006D0DC6" w:rsidRPr="003D1E07">
        <w:t>substance</w:t>
      </w:r>
      <w:r w:rsidR="0095087E" w:rsidRPr="003D1E07">
        <w:t>. A</w:t>
      </w:r>
      <w:r w:rsidR="006D0DC6" w:rsidRPr="003D1E07">
        <w:t xml:space="preserve">le zároveň </w:t>
      </w:r>
      <w:r w:rsidR="08A76D48" w:rsidRPr="003D1E07">
        <w:t xml:space="preserve">pro neoplatoniky </w:t>
      </w:r>
      <w:r w:rsidR="006D0DC6" w:rsidRPr="003D1E07">
        <w:t xml:space="preserve">vybudoval systém </w:t>
      </w:r>
      <w:r w:rsidR="0095087E" w:rsidRPr="003D1E07">
        <w:t xml:space="preserve">jim srozumitelné </w:t>
      </w:r>
      <w:r w:rsidR="08BC6021" w:rsidRPr="003D1E07">
        <w:t xml:space="preserve">kategoriální </w:t>
      </w:r>
      <w:r w:rsidR="006D0DC6" w:rsidRPr="003D1E07">
        <w:t>signifikace daný univerzálně</w:t>
      </w:r>
      <w:r w:rsidR="0095087E" w:rsidRPr="003D1E07">
        <w:t>, což bylo fatální rozhodnutí</w:t>
      </w:r>
      <w:r w:rsidR="006D0DC6" w:rsidRPr="003D1E07">
        <w:t xml:space="preserve">. Proto ve druhém kroku rozpracoval </w:t>
      </w:r>
      <w:r w:rsidR="00875E17" w:rsidRPr="003D1E07">
        <w:t xml:space="preserve">i </w:t>
      </w:r>
      <w:r w:rsidR="006D0DC6" w:rsidRPr="003D1E07">
        <w:t xml:space="preserve">predikaci </w:t>
      </w:r>
      <w:r w:rsidR="006D0DC6" w:rsidRPr="003D1E07">
        <w:rPr>
          <w:i/>
        </w:rPr>
        <w:t>per prius</w:t>
      </w:r>
      <w:r w:rsidR="006D0DC6" w:rsidRPr="003D1E07">
        <w:t xml:space="preserve"> danou směrem od univerzálního významu</w:t>
      </w:r>
      <w:r w:rsidR="00875E17" w:rsidRPr="003D1E07">
        <w:t>, tedy skrze nasvícení jsoucna zezadu</w:t>
      </w:r>
      <w:r w:rsidR="006D0DC6" w:rsidRPr="003D1E07">
        <w:t xml:space="preserve">. </w:t>
      </w:r>
      <w:r w:rsidR="00335B7D" w:rsidRPr="003D1E07">
        <w:t>D</w:t>
      </w:r>
      <w:r w:rsidR="00385901" w:rsidRPr="003D1E07">
        <w:t xml:space="preserve">ůležitá </w:t>
      </w:r>
      <w:r w:rsidR="00CA34C6" w:rsidRPr="003D1E07">
        <w:t xml:space="preserve">pasáž v </w:t>
      </w:r>
      <w:r w:rsidR="007E4945" w:rsidRPr="003D1E07">
        <w:rPr>
          <w:i/>
        </w:rPr>
        <w:t>Isagog</w:t>
      </w:r>
      <w:r w:rsidR="08BA539B" w:rsidRPr="003D1E07">
        <w:rPr>
          <w:i/>
        </w:rPr>
        <w:t>e</w:t>
      </w:r>
      <w:r w:rsidR="007E4945" w:rsidRPr="003D1E07">
        <w:t xml:space="preserve"> </w:t>
      </w:r>
      <w:r w:rsidR="00CA34C6" w:rsidRPr="003D1E07">
        <w:t xml:space="preserve">používá </w:t>
      </w:r>
      <w:r w:rsidR="000839F0" w:rsidRPr="003D1E07">
        <w:t xml:space="preserve">specifickou formu </w:t>
      </w:r>
      <w:r w:rsidR="000839F0" w:rsidRPr="003D1E07">
        <w:rPr>
          <w:i/>
        </w:rPr>
        <w:t>modus ponens</w:t>
      </w:r>
      <w:r w:rsidR="007109A6" w:rsidRPr="003D1E07">
        <w:rPr>
          <w:i/>
        </w:rPr>
        <w:fldChar w:fldCharType="begin"/>
      </w:r>
      <w:r w:rsidR="007109A6" w:rsidRPr="003D1E07">
        <w:instrText xml:space="preserve"> XE "</w:instrText>
      </w:r>
      <w:r w:rsidR="007109A6" w:rsidRPr="003D1E07">
        <w:rPr>
          <w:i/>
        </w:rPr>
        <w:instrText>modus ponens</w:instrText>
      </w:r>
      <w:r w:rsidR="007109A6" w:rsidRPr="003D1E07">
        <w:instrText xml:space="preserve">" </w:instrText>
      </w:r>
      <w:r w:rsidR="007109A6" w:rsidRPr="003D1E07">
        <w:rPr>
          <w:i/>
        </w:rPr>
        <w:fldChar w:fldCharType="end"/>
      </w:r>
      <w:r w:rsidR="000839F0" w:rsidRPr="003D1E07">
        <w:rPr>
          <w:i/>
        </w:rPr>
        <w:t xml:space="preserve"> </w:t>
      </w:r>
      <w:r w:rsidR="000839F0" w:rsidRPr="003D1E07">
        <w:t>a</w:t>
      </w:r>
      <w:r w:rsidR="000839F0" w:rsidRPr="003D1E07">
        <w:rPr>
          <w:i/>
        </w:rPr>
        <w:t xml:space="preserve"> </w:t>
      </w:r>
      <w:r w:rsidR="004550A8" w:rsidRPr="003D1E07">
        <w:rPr>
          <w:i/>
        </w:rPr>
        <w:t xml:space="preserve">modus </w:t>
      </w:r>
      <w:r w:rsidR="000839F0" w:rsidRPr="003D1E07">
        <w:rPr>
          <w:i/>
        </w:rPr>
        <w:t>tollens</w:t>
      </w:r>
      <w:r w:rsidR="007109A6" w:rsidRPr="003D1E07">
        <w:rPr>
          <w:i/>
        </w:rPr>
        <w:fldChar w:fldCharType="begin"/>
      </w:r>
      <w:r w:rsidR="007109A6" w:rsidRPr="003D1E07">
        <w:instrText xml:space="preserve"> XE "</w:instrText>
      </w:r>
      <w:r w:rsidR="007109A6" w:rsidRPr="003D1E07">
        <w:rPr>
          <w:i/>
        </w:rPr>
        <w:instrText>modus tollens</w:instrText>
      </w:r>
      <w:r w:rsidR="007109A6" w:rsidRPr="003D1E07">
        <w:instrText xml:space="preserve">" </w:instrText>
      </w:r>
      <w:r w:rsidR="007109A6" w:rsidRPr="003D1E07">
        <w:rPr>
          <w:i/>
        </w:rPr>
        <w:fldChar w:fldCharType="end"/>
      </w:r>
      <w:r w:rsidR="000839F0" w:rsidRPr="003D1E07">
        <w:t xml:space="preserve">, kterou </w:t>
      </w:r>
      <w:r w:rsidR="00B174E6" w:rsidRPr="003D1E07">
        <w:t>Porfy</w:t>
      </w:r>
      <w:r w:rsidR="009F1A1E" w:rsidRPr="003D1E07">
        <w:t xml:space="preserve">rius </w:t>
      </w:r>
      <w:r w:rsidR="000839F0" w:rsidRPr="003D1E07">
        <w:t>dokazuje vzájemnou závislost mezi rodem, druhem, diferencí a propriem</w:t>
      </w:r>
      <w:r w:rsidR="00CA34C6" w:rsidRPr="003D1E07">
        <w:t xml:space="preserve"> (</w:t>
      </w:r>
      <w:r w:rsidR="00CA34C6" w:rsidRPr="003D1E07">
        <w:rPr>
          <w:i/>
        </w:rPr>
        <w:t>Isag</w:t>
      </w:r>
      <w:r w:rsidR="00CA34C6" w:rsidRPr="003D1E07">
        <w:t>. 13.23</w:t>
      </w:r>
      <w:r w:rsidR="002E49B4" w:rsidRPr="003D1E07">
        <w:t>–</w:t>
      </w:r>
      <w:r w:rsidR="00CA34C6" w:rsidRPr="003D1E07">
        <w:t>19.3</w:t>
      </w:r>
      <w:r w:rsidR="00554E31" w:rsidRPr="003D1E07">
        <w:fldChar w:fldCharType="begin"/>
      </w:r>
      <w:r w:rsidR="00554E31" w:rsidRPr="003D1E07">
        <w:instrText xml:space="preserve"> XE "</w:instrText>
      </w:r>
      <w:r w:rsidR="08CE5A60" w:rsidRPr="003D1E07">
        <w:instrText>Porfyrius:</w:instrText>
      </w:r>
      <w:r w:rsidR="00554E31" w:rsidRPr="003D1E07">
        <w:rPr>
          <w:i/>
        </w:rPr>
        <w:instrText>Isag</w:instrText>
      </w:r>
      <w:r w:rsidR="00554E31" w:rsidRPr="003D1E07">
        <w:instrText xml:space="preserve">. 13.23–19.3" </w:instrText>
      </w:r>
      <w:r w:rsidR="00554E31" w:rsidRPr="003D1E07">
        <w:fldChar w:fldCharType="end"/>
      </w:r>
      <w:r w:rsidR="00CA34C6" w:rsidRPr="003D1E07">
        <w:t>)</w:t>
      </w:r>
      <w:r w:rsidR="000839F0" w:rsidRPr="003D1E07">
        <w:t xml:space="preserve">. Při negaci nebo afirmaci nadřazeného členu predikace </w:t>
      </w:r>
      <w:r w:rsidR="08525C9B" w:rsidRPr="003D1E07">
        <w:t>Porfyrius</w:t>
      </w:r>
      <w:r w:rsidR="008A1F3D" w:rsidRPr="003D1E07">
        <w:t xml:space="preserve"> </w:t>
      </w:r>
      <w:r w:rsidR="000839F0" w:rsidRPr="003D1E07">
        <w:t xml:space="preserve">sleduje, jaké důsledky má existence nebo neexistence </w:t>
      </w:r>
      <w:r w:rsidR="009B0966" w:rsidRPr="003D1E07">
        <w:t xml:space="preserve">pro následující určení </w:t>
      </w:r>
      <w:r w:rsidR="00AA5392" w:rsidRPr="003D1E07">
        <w:t xml:space="preserve">kategoriálně podřízeného </w:t>
      </w:r>
      <w:r w:rsidR="00747A95" w:rsidRPr="003D1E07">
        <w:t xml:space="preserve">predikátu </w:t>
      </w:r>
      <w:r w:rsidR="000839F0" w:rsidRPr="003D1E07">
        <w:t>(Taormina</w:t>
      </w:r>
      <w:r w:rsidR="00040EB4" w:rsidRPr="003D1E07">
        <w:fldChar w:fldCharType="begin"/>
      </w:r>
      <w:r w:rsidR="00040EB4" w:rsidRPr="003D1E07">
        <w:instrText xml:space="preserve"> XE "Taormina, D. P." </w:instrText>
      </w:r>
      <w:r w:rsidR="00040EB4" w:rsidRPr="003D1E07">
        <w:fldChar w:fldCharType="end"/>
      </w:r>
      <w:r w:rsidR="000839F0" w:rsidRPr="003D1E07">
        <w:t xml:space="preserve"> </w:t>
      </w:r>
      <w:r w:rsidR="009B0966" w:rsidRPr="003D1E07">
        <w:t xml:space="preserve">1999, </w:t>
      </w:r>
      <w:r w:rsidR="000839F0" w:rsidRPr="003D1E07">
        <w:t>23</w:t>
      </w:r>
      <w:r w:rsidR="002E49B4" w:rsidRPr="003D1E07">
        <w:t>–</w:t>
      </w:r>
      <w:r w:rsidR="000839F0" w:rsidRPr="003D1E07">
        <w:t>25).</w:t>
      </w:r>
      <w:r w:rsidR="00ED1874" w:rsidRPr="003D1E07">
        <w:t xml:space="preserve"> </w:t>
      </w:r>
      <w:r w:rsidR="00075C72" w:rsidRPr="003D1E07">
        <w:t xml:space="preserve">Stejný postup </w:t>
      </w:r>
      <w:r w:rsidR="00BC6BAE">
        <w:t xml:space="preserve">v rámci </w:t>
      </w:r>
      <w:r w:rsidR="00BC6BAE" w:rsidRPr="003D1E07">
        <w:rPr>
          <w:i/>
        </w:rPr>
        <w:t>modus tollens</w:t>
      </w:r>
      <w:r w:rsidR="00BC6BAE">
        <w:rPr>
          <w:i/>
        </w:rPr>
        <w:t xml:space="preserve"> </w:t>
      </w:r>
      <w:r w:rsidR="00075C72" w:rsidRPr="003D1E07">
        <w:t>najdeme</w:t>
      </w:r>
      <w:r w:rsidR="00B174E6" w:rsidRPr="003D1E07">
        <w:t xml:space="preserve"> v Porfy</w:t>
      </w:r>
      <w:r w:rsidR="00075C72" w:rsidRPr="003D1E07">
        <w:t xml:space="preserve">riově druhém komentáři ke </w:t>
      </w:r>
      <w:r w:rsidR="00075C72" w:rsidRPr="003D1E07">
        <w:rPr>
          <w:i/>
        </w:rPr>
        <w:t>Kategoriím</w:t>
      </w:r>
      <w:r w:rsidR="00F32D52" w:rsidRPr="003D1E07">
        <w:t>, který se prav</w:t>
      </w:r>
      <w:r w:rsidR="00DB5B01" w:rsidRPr="003D1E07">
        <w:t>děpodobně inspiroval Ploti</w:t>
      </w:r>
      <w:r w:rsidR="00272ACC" w:rsidRPr="003D1E07">
        <w:t>nem. V</w:t>
      </w:r>
      <w:r w:rsidR="00F32D52" w:rsidRPr="003D1E07">
        <w:t>iz výše</w:t>
      </w:r>
      <w:r w:rsidR="00EE2283" w:rsidRPr="003D1E07">
        <w:t xml:space="preserve"> uvedený vztah </w:t>
      </w:r>
      <w:r w:rsidR="00272ACC" w:rsidRPr="003D1E07">
        <w:t xml:space="preserve">závislosti a nezávislosti </w:t>
      </w:r>
      <w:r w:rsidR="00911A61" w:rsidRPr="003D1E07">
        <w:t>mezi jednotlivinou a rodem</w:t>
      </w:r>
      <w:r w:rsidR="009628C3" w:rsidRPr="003D1E07">
        <w:t xml:space="preserve"> (</w:t>
      </w:r>
      <w:r w:rsidR="009628C3" w:rsidRPr="003D1E07">
        <w:rPr>
          <w:i/>
        </w:rPr>
        <w:t>Enn.</w:t>
      </w:r>
      <w:r w:rsidR="009628C3" w:rsidRPr="003D1E07">
        <w:t xml:space="preserve"> 6.2.12.13</w:t>
      </w:r>
      <w:r w:rsidR="002E49B4" w:rsidRPr="003D1E07">
        <w:t>–</w:t>
      </w:r>
      <w:r w:rsidR="009628C3" w:rsidRPr="003D1E07">
        <w:t>14</w:t>
      </w:r>
      <w:r w:rsidR="00554E31" w:rsidRPr="003D1E07">
        <w:fldChar w:fldCharType="begin"/>
      </w:r>
      <w:r w:rsidR="00554E31" w:rsidRPr="003D1E07">
        <w:instrText xml:space="preserve"> XE "</w:instrText>
      </w:r>
      <w:r w:rsidR="08F72573" w:rsidRPr="003D1E07">
        <w:instrText>Plotinos</w:instrText>
      </w:r>
      <w:r w:rsidR="00554E31" w:rsidRPr="003D1E07">
        <w:instrText>:</w:instrText>
      </w:r>
      <w:r w:rsidR="00554E31" w:rsidRPr="003D1E07">
        <w:rPr>
          <w:i/>
        </w:rPr>
        <w:instrText>Enn</w:instrText>
      </w:r>
      <w:r w:rsidR="00554E31" w:rsidRPr="003D1E07">
        <w:instrText xml:space="preserve">. 6.2.12.13–14" </w:instrText>
      </w:r>
      <w:r w:rsidR="00554E31" w:rsidRPr="003D1E07">
        <w:fldChar w:fldCharType="end"/>
      </w:r>
      <w:r w:rsidR="009628C3" w:rsidRPr="003D1E07">
        <w:t>)</w:t>
      </w:r>
      <w:r w:rsidR="00075C72" w:rsidRPr="003D1E07">
        <w:t xml:space="preserve">. </w:t>
      </w:r>
      <w:r w:rsidR="00553117" w:rsidRPr="003D1E07">
        <w:t>Vezměm</w:t>
      </w:r>
      <w:r w:rsidR="002A3B4F" w:rsidRPr="003D1E07">
        <w:t xml:space="preserve">e </w:t>
      </w:r>
      <w:r w:rsidR="08166ED6" w:rsidRPr="003D1E07">
        <w:t xml:space="preserve">podle </w:t>
      </w:r>
      <w:r w:rsidR="08166ED6" w:rsidRPr="003D1E07">
        <w:rPr>
          <w:i/>
        </w:rPr>
        <w:t>Isagoge</w:t>
      </w:r>
      <w:r w:rsidR="08166ED6" w:rsidRPr="003D1E07">
        <w:t xml:space="preserve"> </w:t>
      </w:r>
      <w:r w:rsidR="002A3B4F" w:rsidRPr="003D1E07">
        <w:t xml:space="preserve">predikaci </w:t>
      </w:r>
      <w:r w:rsidR="002A3B4F" w:rsidRPr="003D1E07">
        <w:rPr>
          <w:i/>
        </w:rPr>
        <w:t>per prius</w:t>
      </w:r>
      <w:r w:rsidR="00553117" w:rsidRPr="003D1E07">
        <w:t xml:space="preserve"> danou v rám</w:t>
      </w:r>
      <w:r w:rsidR="00C97A6A" w:rsidRPr="003D1E07">
        <w:t xml:space="preserve">ci </w:t>
      </w:r>
      <w:r w:rsidR="00F214C5" w:rsidRPr="003D1E07">
        <w:t>species</w:t>
      </w:r>
      <w:r w:rsidR="000E24B8" w:rsidRPr="003D1E07">
        <w:fldChar w:fldCharType="begin"/>
      </w:r>
      <w:r w:rsidR="000E24B8" w:rsidRPr="003D1E07">
        <w:instrText xml:space="preserve"> XE "substance:</w:instrText>
      </w:r>
      <w:r w:rsidR="000E24B8" w:rsidRPr="003D1E07">
        <w:rPr>
          <w:i/>
        </w:rPr>
        <w:instrText>species</w:instrText>
      </w:r>
      <w:r w:rsidR="000E24B8" w:rsidRPr="003D1E07">
        <w:instrText xml:space="preserve">" </w:instrText>
      </w:r>
      <w:r w:rsidR="000E24B8" w:rsidRPr="003D1E07">
        <w:fldChar w:fldCharType="end"/>
      </w:r>
      <w:r w:rsidR="00C97A6A" w:rsidRPr="003D1E07">
        <w:t xml:space="preserve">. </w:t>
      </w:r>
      <w:r w:rsidR="08682912" w:rsidRPr="003D1E07">
        <w:t xml:space="preserve">Dráha náhledu je dána hyparchicky, protože je </w:t>
      </w:r>
      <w:r w:rsidR="08042093" w:rsidRPr="003D1E07">
        <w:t>vznik univerzálního významu v mysli determinován</w:t>
      </w:r>
      <w:r w:rsidR="08682912" w:rsidRPr="003D1E07">
        <w:t xml:space="preserve"> blízkostí první substance. </w:t>
      </w:r>
      <w:r w:rsidR="08014A0C" w:rsidRPr="003D1E07">
        <w:t xml:space="preserve">Její význam nese nedělitelně druhá substance, protože ta je univočně odvozena od reálného významu první substance skrze </w:t>
      </w:r>
      <w:r w:rsidR="08B779FB" w:rsidRPr="003D1E07">
        <w:t xml:space="preserve">metafyzický </w:t>
      </w:r>
      <w:r w:rsidR="08014A0C" w:rsidRPr="003D1E07">
        <w:t xml:space="preserve">dativ. </w:t>
      </w:r>
      <w:r w:rsidR="080B7DA1" w:rsidRPr="003D1E07">
        <w:t xml:space="preserve">Predikace </w:t>
      </w:r>
      <w:r w:rsidR="08CB1ABB" w:rsidRPr="003D1E07">
        <w:t>s</w:t>
      </w:r>
      <w:r w:rsidR="08682912" w:rsidRPr="003D1E07">
        <w:t>leduje danost univerzálního významu ve druhé substanci zvané „Sokrates</w:t>
      </w:r>
      <w:r w:rsidR="08872F87" w:rsidRPr="003D1E07">
        <w:t xml:space="preserve">“ </w:t>
      </w:r>
      <w:r w:rsidR="08014A0C" w:rsidRPr="003D1E07">
        <w:t xml:space="preserve">danou </w:t>
      </w:r>
      <w:r w:rsidR="08872F87" w:rsidRPr="003D1E07">
        <w:t>nasvícení</w:t>
      </w:r>
      <w:r w:rsidR="08014A0C" w:rsidRPr="003D1E07">
        <w:t>m</w:t>
      </w:r>
      <w:r w:rsidR="08872F87" w:rsidRPr="003D1E07">
        <w:t xml:space="preserve"> jsoucna zepředu. </w:t>
      </w:r>
      <w:r w:rsidR="08FB02A3" w:rsidRPr="003D1E07">
        <w:t xml:space="preserve">Supozice </w:t>
      </w:r>
      <w:r w:rsidR="080B5A92" w:rsidRPr="003D1E07">
        <w:t xml:space="preserve">vzniklá </w:t>
      </w:r>
      <w:r w:rsidR="08FB02A3" w:rsidRPr="003D1E07">
        <w:t>tím</w:t>
      </w:r>
      <w:r w:rsidR="08A07A88" w:rsidRPr="003D1E07">
        <w:t>t</w:t>
      </w:r>
      <w:r w:rsidR="08FB02A3" w:rsidRPr="003D1E07">
        <w:t xml:space="preserve">o způsobem </w:t>
      </w:r>
      <w:r w:rsidR="080B5A92" w:rsidRPr="003D1E07">
        <w:t>je daná v metafyzické dráze náhl</w:t>
      </w:r>
      <w:r w:rsidR="08FB02A3" w:rsidRPr="003D1E07">
        <w:t>e</w:t>
      </w:r>
      <w:r w:rsidR="00BC6BAE">
        <w:t>du, tedy nasvícení</w:t>
      </w:r>
      <w:r w:rsidR="080B5A92" w:rsidRPr="003D1E07">
        <w:t xml:space="preserve">m jsoucna zepředu. </w:t>
      </w:r>
      <w:r w:rsidR="08872F87" w:rsidRPr="003D1E07">
        <w:t>P</w:t>
      </w:r>
      <w:r w:rsidR="0874641C" w:rsidRPr="003D1E07">
        <w:t xml:space="preserve">rvní </w:t>
      </w:r>
      <w:r w:rsidR="08014A0C" w:rsidRPr="003D1E07">
        <w:t xml:space="preserve">univerzálně dělitelný </w:t>
      </w:r>
      <w:r w:rsidR="0874641C" w:rsidRPr="003D1E07">
        <w:t xml:space="preserve">význam </w:t>
      </w:r>
      <w:r w:rsidR="08433F5A" w:rsidRPr="003D1E07">
        <w:t xml:space="preserve">daný skrze impozici </w:t>
      </w:r>
      <w:r w:rsidR="0874641C" w:rsidRPr="003D1E07">
        <w:t xml:space="preserve">musí být určen specificky, protože </w:t>
      </w:r>
      <w:r w:rsidR="00F214C5" w:rsidRPr="003D1E07">
        <w:t>species</w:t>
      </w:r>
      <w:r w:rsidR="0874641C" w:rsidRPr="003D1E07">
        <w:t xml:space="preserve"> má v řádu univerzální výpovědi nejblíže k reálné první substanci</w:t>
      </w:r>
      <w:r w:rsidR="08A00205" w:rsidRPr="003D1E07">
        <w:t>, tj. k reálné osobě Sokrata</w:t>
      </w:r>
      <w:r w:rsidR="08D66142" w:rsidRPr="003D1E07">
        <w:t>.</w:t>
      </w:r>
      <w:r w:rsidR="0874641C" w:rsidRPr="003D1E07">
        <w:t xml:space="preserve"> </w:t>
      </w:r>
      <w:r w:rsidR="08682912" w:rsidRPr="003D1E07">
        <w:t>Význam Sokrata je určen specifickou diferencí danou nejprve od druhu, a pak od rodu</w:t>
      </w:r>
      <w:r w:rsidR="08567157" w:rsidRPr="003D1E07">
        <w:t>.</w:t>
      </w:r>
      <w:r w:rsidR="08567157" w:rsidRPr="003D1E07">
        <w:rPr>
          <w:szCs w:val="24"/>
          <w:vertAlign w:val="superscript"/>
        </w:rPr>
        <w:footnoteReference w:id="45"/>
      </w:r>
      <w:r w:rsidR="08567157" w:rsidRPr="003D1E07">
        <w:t xml:space="preserve"> </w:t>
      </w:r>
      <w:r w:rsidR="084E1E0D" w:rsidRPr="003D1E07">
        <w:t xml:space="preserve">Bez hyparchické první substance a impozičně-univočně predikované druhé substance Sokrata by nikdy nevznikl </w:t>
      </w:r>
      <w:r w:rsidR="00F214C5" w:rsidRPr="003D1E07">
        <w:t>species</w:t>
      </w:r>
      <w:r w:rsidR="084E1E0D" w:rsidRPr="003D1E07">
        <w:t xml:space="preserve"> „člověk“, a tím ani </w:t>
      </w:r>
      <w:r w:rsidR="084E1E0D" w:rsidRPr="003D1E07">
        <w:lastRenderedPageBreak/>
        <w:t xml:space="preserve">individuum (ἀνθρώπου δὲ μὴ ὄντος οὐκ ἔστιν Σωκράτης). </w:t>
      </w:r>
      <w:r w:rsidR="001F21D7" w:rsidRPr="003D1E07">
        <w:t>Až nyní může začít platonské dělení na úrovni species</w:t>
      </w:r>
      <w:r w:rsidR="001F21D7" w:rsidRPr="003D1E07">
        <w:rPr>
          <w:i/>
        </w:rPr>
        <w:t xml:space="preserve"> </w:t>
      </w:r>
      <w:r w:rsidR="001F21D7" w:rsidRPr="003D1E07">
        <w:t>a</w:t>
      </w:r>
      <w:r w:rsidR="001F21D7" w:rsidRPr="003D1E07">
        <w:rPr>
          <w:i/>
        </w:rPr>
        <w:t xml:space="preserve"> </w:t>
      </w:r>
      <w:r w:rsidR="001F21D7" w:rsidRPr="003D1E07">
        <w:t xml:space="preserve">genus, protože význam druhé substance je daný univočně </w:t>
      </w:r>
      <w:r w:rsidR="00503DEE">
        <w:t>skrze impozici od první substance</w:t>
      </w:r>
      <w:r w:rsidR="001F21D7" w:rsidRPr="003D1E07">
        <w:t xml:space="preserve">. </w:t>
      </w:r>
      <w:r w:rsidR="08D66142" w:rsidRPr="003D1E07">
        <w:t>Sokrates v modu posledního určení univerzálního významu jako indiv</w:t>
      </w:r>
      <w:r w:rsidR="08014A0C" w:rsidRPr="003D1E07">
        <w:t>i</w:t>
      </w:r>
      <w:r w:rsidR="08D66142" w:rsidRPr="003D1E07">
        <w:t>duum je dán je</w:t>
      </w:r>
      <w:r w:rsidR="08750099" w:rsidRPr="003D1E07">
        <w:t>n</w:t>
      </w:r>
      <w:r w:rsidR="08D66142" w:rsidRPr="003D1E07">
        <w:t xml:space="preserve"> tehdy, je-li </w:t>
      </w:r>
      <w:r w:rsidR="08750099" w:rsidRPr="003D1E07">
        <w:t xml:space="preserve">určen </w:t>
      </w:r>
      <w:r w:rsidR="08D66142" w:rsidRPr="003D1E07">
        <w:t>rod</w:t>
      </w:r>
      <w:r w:rsidR="00E06A02">
        <w:t xml:space="preserve"> a druh. Toto univerzální indivi</w:t>
      </w:r>
      <w:r w:rsidR="08D66142" w:rsidRPr="003D1E07">
        <w:t>duum nemá na úrovni existence nic společného s r</w:t>
      </w:r>
      <w:r w:rsidR="00E368D7" w:rsidRPr="003D1E07">
        <w:t>eálnou první substancí Sokrata. I</w:t>
      </w:r>
      <w:r w:rsidR="08982861" w:rsidRPr="003D1E07">
        <w:t xml:space="preserve">ndividuum vzniklé dělením univerzálií </w:t>
      </w:r>
      <w:r w:rsidR="00E368D7" w:rsidRPr="003D1E07">
        <w:t xml:space="preserve">odvozuje svou signifikaci od </w:t>
      </w:r>
      <w:r w:rsidR="08F031DE" w:rsidRPr="003D1E07">
        <w:t>druhé substance</w:t>
      </w:r>
      <w:r w:rsidR="00E368D7" w:rsidRPr="003D1E07">
        <w:t xml:space="preserve"> jako species. </w:t>
      </w:r>
      <w:r w:rsidR="08F031DE" w:rsidRPr="003D1E07">
        <w:t>T</w:t>
      </w:r>
      <w:r w:rsidR="08982861" w:rsidRPr="003D1E07">
        <w:t>u neurčuje dělení unive</w:t>
      </w:r>
      <w:r w:rsidR="08090815" w:rsidRPr="003D1E07">
        <w:t xml:space="preserve">rzálních významů, ale impozice </w:t>
      </w:r>
      <w:r w:rsidR="00E06A02">
        <w:t xml:space="preserve">nedělitelného </w:t>
      </w:r>
      <w:r w:rsidR="08090815" w:rsidRPr="003D1E07">
        <w:t xml:space="preserve">univočního významu </w:t>
      </w:r>
      <w:r w:rsidR="00AD43E2">
        <w:t xml:space="preserve">směrem </w:t>
      </w:r>
      <w:r w:rsidR="08090815" w:rsidRPr="003D1E07">
        <w:t xml:space="preserve">od první substance. Porfýrius nyní sleduje </w:t>
      </w:r>
      <w:r w:rsidR="089F18B8" w:rsidRPr="003D1E07">
        <w:t xml:space="preserve">společně s neoplatoniky </w:t>
      </w:r>
      <w:r w:rsidR="08090815" w:rsidRPr="003D1E07">
        <w:t xml:space="preserve">dělení univerzálního významu v rámci supozice </w:t>
      </w:r>
      <w:r w:rsidR="088761CF" w:rsidRPr="003D1E07">
        <w:t xml:space="preserve">dané </w:t>
      </w:r>
      <w:r w:rsidR="08090815" w:rsidRPr="003D1E07">
        <w:t>skrze spojení „</w:t>
      </w:r>
      <w:r w:rsidR="08090815" w:rsidRPr="003D1E07">
        <w:rPr>
          <w:i/>
        </w:rPr>
        <w:t>individuum</w:t>
      </w:r>
      <w:r w:rsidR="08090815" w:rsidRPr="003D1E07">
        <w:t>‒</w:t>
      </w:r>
      <w:r w:rsidR="00F214C5" w:rsidRPr="006459C2">
        <w:rPr>
          <w:i/>
        </w:rPr>
        <w:t>species</w:t>
      </w:r>
      <w:r w:rsidR="08090815" w:rsidRPr="003D1E07">
        <w:t>‒</w:t>
      </w:r>
      <w:r w:rsidR="00636BD4" w:rsidRPr="006459C2">
        <w:rPr>
          <w:i/>
        </w:rPr>
        <w:t>genus</w:t>
      </w:r>
      <w:r w:rsidR="08090815" w:rsidRPr="003D1E07">
        <w:t xml:space="preserve">“. </w:t>
      </w:r>
      <w:r w:rsidR="089F18B8" w:rsidRPr="003D1E07">
        <w:t xml:space="preserve">Viděno aristotelsky-kategoriálně je nyní vše v pořádku. </w:t>
      </w:r>
      <w:r w:rsidR="00C4655F" w:rsidRPr="003D1E07">
        <w:t>V modu univerzality platí, že n</w:t>
      </w:r>
      <w:r w:rsidR="002B6946" w:rsidRPr="003D1E07">
        <w:t xml:space="preserve">egace </w:t>
      </w:r>
      <w:r w:rsidR="00F214C5" w:rsidRPr="003D1E07">
        <w:t>species</w:t>
      </w:r>
      <w:r w:rsidR="00553117" w:rsidRPr="003D1E07">
        <w:t xml:space="preserve"> („člověk“) </w:t>
      </w:r>
      <w:r w:rsidR="002B6946" w:rsidRPr="003D1E07">
        <w:t xml:space="preserve">způsobuje neexistenci </w:t>
      </w:r>
      <w:r w:rsidR="0879375C" w:rsidRPr="003D1E07">
        <w:t xml:space="preserve">supozičně </w:t>
      </w:r>
      <w:r w:rsidR="002B6946" w:rsidRPr="003D1E07">
        <w:t>predikovaného individua</w:t>
      </w:r>
      <w:r w:rsidR="00553117" w:rsidRPr="003D1E07">
        <w:t xml:space="preserve"> („Sokrates“)</w:t>
      </w:r>
      <w:r w:rsidR="00A22647" w:rsidRPr="003D1E07">
        <w:t xml:space="preserve">. </w:t>
      </w:r>
      <w:r w:rsidR="089639FA" w:rsidRPr="003D1E07">
        <w:t xml:space="preserve">Důvod je jasný, protože </w:t>
      </w:r>
      <w:r w:rsidR="00F214C5" w:rsidRPr="003D1E07">
        <w:t>species</w:t>
      </w:r>
      <w:r w:rsidR="08BA539B" w:rsidRPr="003D1E07">
        <w:t xml:space="preserve"> má v modu hyparchické predikace </w:t>
      </w:r>
      <w:r w:rsidR="0879375C" w:rsidRPr="003D1E07">
        <w:t xml:space="preserve">dané impozicí </w:t>
      </w:r>
      <w:r w:rsidR="08BA539B" w:rsidRPr="003D1E07">
        <w:t>blíže k reálné první substanci (</w:t>
      </w:r>
      <w:r w:rsidR="08BA539B" w:rsidRPr="003D1E07">
        <w:rPr>
          <w:i/>
        </w:rPr>
        <w:t>Cat</w:t>
      </w:r>
      <w:r w:rsidR="08BA539B" w:rsidRPr="003D1E07">
        <w:t>. 2b8</w:t>
      </w:r>
      <w:r w:rsidR="08BA539B" w:rsidRPr="003D1E07">
        <w:fldChar w:fldCharType="begin"/>
      </w:r>
      <w:r w:rsidR="08BA539B" w:rsidRPr="003D1E07">
        <w:instrText xml:space="preserve"> XE "Aristoteles:</w:instrText>
      </w:r>
      <w:r w:rsidR="08BA539B" w:rsidRPr="003D1E07">
        <w:rPr>
          <w:i/>
        </w:rPr>
        <w:instrText>Cat</w:instrText>
      </w:r>
      <w:r w:rsidR="08BA539B" w:rsidRPr="003D1E07">
        <w:instrText xml:space="preserve">. 2b8" </w:instrText>
      </w:r>
      <w:r w:rsidR="08BA539B" w:rsidRPr="003D1E07">
        <w:fldChar w:fldCharType="end"/>
      </w:r>
      <w:r w:rsidR="08BA539B" w:rsidRPr="003D1E07">
        <w:t xml:space="preserve">) než jím definované individuum. </w:t>
      </w:r>
      <w:r w:rsidR="084F2E6C" w:rsidRPr="003D1E07">
        <w:t xml:space="preserve">Atomární jednotka významu vzniká až na konci řady dělení univerzálií díky poslední specifické diferenci, která oddělí od </w:t>
      </w:r>
      <w:r w:rsidR="00F214C5" w:rsidRPr="003D1E07">
        <w:t>species</w:t>
      </w:r>
      <w:r w:rsidR="084F2E6C" w:rsidRPr="003D1E07">
        <w:t xml:space="preserve"> poslední část již dále nedělitelné </w:t>
      </w:r>
      <w:r w:rsidR="08A111E5" w:rsidRPr="003D1E07">
        <w:t xml:space="preserve">univerzální </w:t>
      </w:r>
      <w:r w:rsidR="084F2E6C" w:rsidRPr="003D1E07">
        <w:t xml:space="preserve">jednotliviny. </w:t>
      </w:r>
      <w:r w:rsidR="08CD0FDC" w:rsidRPr="003D1E07">
        <w:t xml:space="preserve">Individuum proto není a nikdy nemůže být dáno impozicí jako druhá substance, protože vzniká dělením univerzálního významu danému pouze supozičně. </w:t>
      </w:r>
      <w:r w:rsidR="08B92781" w:rsidRPr="003D1E07">
        <w:t xml:space="preserve">Pořadí tvorby významu od </w:t>
      </w:r>
      <w:r w:rsidR="00F214C5" w:rsidRPr="003D1E07">
        <w:t>species</w:t>
      </w:r>
      <w:r w:rsidR="08B92781" w:rsidRPr="003D1E07">
        <w:t xml:space="preserve"> k individuu také jasně ukazuje, proč </w:t>
      </w:r>
      <w:r w:rsidR="002B6946" w:rsidRPr="003D1E07">
        <w:t xml:space="preserve">při neexistenci </w:t>
      </w:r>
      <w:r w:rsidR="00C97A6A" w:rsidRPr="003D1E07">
        <w:t xml:space="preserve">univerzálně definovaného </w:t>
      </w:r>
      <w:r w:rsidR="002B6946" w:rsidRPr="003D1E07">
        <w:t xml:space="preserve">individua může existovat </w:t>
      </w:r>
      <w:r w:rsidR="00C97A6A" w:rsidRPr="003D1E07">
        <w:t xml:space="preserve">jeho </w:t>
      </w:r>
      <w:r w:rsidR="00F214C5" w:rsidRPr="003D1E07">
        <w:t>species</w:t>
      </w:r>
      <w:r w:rsidR="002A6B2F" w:rsidRPr="003D1E07">
        <w:t xml:space="preserve">. V predikaci samostatně existuje species „člověk“ i bez individua zvaného „Sokrates“. </w:t>
      </w:r>
      <w:r w:rsidR="00DB5B01" w:rsidRPr="003D1E07">
        <w:t>V Porfy</w:t>
      </w:r>
      <w:r w:rsidR="00C9227B" w:rsidRPr="003D1E07">
        <w:t xml:space="preserve">riově scénáři má </w:t>
      </w:r>
      <w:r w:rsidR="00F214C5" w:rsidRPr="003D1E07">
        <w:t>species</w:t>
      </w:r>
      <w:r w:rsidR="00C9227B" w:rsidRPr="003D1E07">
        <w:t xml:space="preserve"> k</w:t>
      </w:r>
      <w:r w:rsidR="00553117" w:rsidRPr="003D1E07">
        <w:t>líčov</w:t>
      </w:r>
      <w:r w:rsidR="00C9227B" w:rsidRPr="003D1E07">
        <w:t>ou pozici středního členu v soudu</w:t>
      </w:r>
      <w:r w:rsidR="00553117" w:rsidRPr="003D1E07">
        <w:t xml:space="preserve">, což potvrdí pozdější </w:t>
      </w:r>
      <w:r w:rsidR="00E37A15" w:rsidRPr="003D1E07">
        <w:t xml:space="preserve">falsafa i </w:t>
      </w:r>
      <w:r w:rsidR="007513AB" w:rsidRPr="003D1E07">
        <w:t xml:space="preserve">scholastika. </w:t>
      </w:r>
      <w:r w:rsidR="0085393A" w:rsidRPr="003D1E07">
        <w:t xml:space="preserve">Je třeba přesně sledovat působení metafyzického dativu v kategoriální predikaci. </w:t>
      </w:r>
      <w:r w:rsidR="007513AB" w:rsidRPr="003D1E07">
        <w:t>P</w:t>
      </w:r>
      <w:r w:rsidR="00553117" w:rsidRPr="003D1E07">
        <w:t xml:space="preserve">okud </w:t>
      </w:r>
      <w:r w:rsidR="00A23815" w:rsidRPr="003D1E07">
        <w:t>je dán</w:t>
      </w:r>
      <w:r w:rsidR="08E55C8F" w:rsidRPr="003D1E07">
        <w:t xml:space="preserve">a </w:t>
      </w:r>
      <w:r w:rsidR="00F214C5" w:rsidRPr="003D1E07">
        <w:t>species</w:t>
      </w:r>
      <w:r w:rsidR="08600692" w:rsidRPr="003D1E07">
        <w:t xml:space="preserve"> v modu </w:t>
      </w:r>
      <w:r w:rsidR="00F37701">
        <w:t xml:space="preserve">impozice </w:t>
      </w:r>
      <w:r w:rsidR="0085393A" w:rsidRPr="003D1E07">
        <w:rPr>
          <w:i/>
        </w:rPr>
        <w:t>univoce</w:t>
      </w:r>
      <w:r w:rsidR="00F37701">
        <w:t xml:space="preserve"> v hyparchickém řádu metafyziky</w:t>
      </w:r>
      <w:r w:rsidR="08600692" w:rsidRPr="003D1E07">
        <w:t xml:space="preserve">, </w:t>
      </w:r>
      <w:r w:rsidR="00553117" w:rsidRPr="003D1E07">
        <w:t xml:space="preserve">pak </w:t>
      </w:r>
      <w:r w:rsidR="00E264EC" w:rsidRPr="003D1E07">
        <w:t xml:space="preserve">v řádu </w:t>
      </w:r>
      <w:r w:rsidR="00F37701">
        <w:t xml:space="preserve">metafyzické </w:t>
      </w:r>
      <w:r w:rsidR="00E264EC" w:rsidRPr="003D1E07">
        <w:t xml:space="preserve">univerzality </w:t>
      </w:r>
      <w:r w:rsidR="00F37701">
        <w:t xml:space="preserve">dané univočně </w:t>
      </w:r>
      <w:r w:rsidR="00553117" w:rsidRPr="003D1E07">
        <w:t xml:space="preserve">nutně existuje i </w:t>
      </w:r>
      <w:r w:rsidR="00636BD4" w:rsidRPr="003D1E07">
        <w:t>genus</w:t>
      </w:r>
      <w:r w:rsidR="00553117" w:rsidRPr="003D1E07">
        <w:t xml:space="preserve"> a </w:t>
      </w:r>
      <w:r w:rsidR="00636BD4" w:rsidRPr="003D1E07">
        <w:t>proprium</w:t>
      </w:r>
      <w:r w:rsidR="00F37701">
        <w:t xml:space="preserve">. Něco jiného je logická predikace, v níž dělení </w:t>
      </w:r>
      <w:r w:rsidR="00F63346">
        <w:t>na rody</w:t>
      </w:r>
      <w:r w:rsidR="00F37701">
        <w:t xml:space="preserve"> a species nemá univoční metafyzický význam, protože platí jen ekvivočně. </w:t>
      </w:r>
      <w:r w:rsidR="00D5763A">
        <w:t xml:space="preserve">Logická supozice </w:t>
      </w:r>
      <w:r w:rsidR="00CC2FA6">
        <w:t>určená</w:t>
      </w:r>
      <w:r w:rsidR="00D5763A">
        <w:t xml:space="preserve"> univer</w:t>
      </w:r>
      <w:r w:rsidR="00CC2FA6">
        <w:t>zálním významem</w:t>
      </w:r>
      <w:r w:rsidR="00D5763A">
        <w:t xml:space="preserve"> daným pouze v mysli není metafyzická</w:t>
      </w:r>
      <w:r w:rsidR="00F63346">
        <w:t xml:space="preserve"> impozice</w:t>
      </w:r>
      <w:r w:rsidR="00CC2FA6">
        <w:t xml:space="preserve"> určená</w:t>
      </w:r>
      <w:r w:rsidR="00D5763A">
        <w:t xml:space="preserve"> bytím reálné věci</w:t>
      </w:r>
      <w:r w:rsidR="00F63346">
        <w:t xml:space="preserve">. </w:t>
      </w:r>
      <w:r w:rsidR="00D547AB" w:rsidRPr="003D1E07">
        <w:t xml:space="preserve">Hypostázovaná </w:t>
      </w:r>
      <w:r w:rsidR="00F214C5" w:rsidRPr="003D1E07">
        <w:t>species</w:t>
      </w:r>
      <w:r w:rsidR="00D547AB" w:rsidRPr="003D1E07">
        <w:t xml:space="preserve"> a individuum</w:t>
      </w:r>
      <w:r w:rsidR="008908BA" w:rsidRPr="003D1E07">
        <w:t xml:space="preserve">, </w:t>
      </w:r>
      <w:r w:rsidR="00D547AB" w:rsidRPr="003D1E07">
        <w:t>zcela oddělené</w:t>
      </w:r>
      <w:r w:rsidR="082B1103" w:rsidRPr="003D1E07">
        <w:t xml:space="preserve"> od původního významu hyparchické predikace v</w:t>
      </w:r>
      <w:r w:rsidR="008908BA" w:rsidRPr="003D1E07">
        <w:t> </w:t>
      </w:r>
      <w:r w:rsidR="082B1103" w:rsidRPr="003D1E07">
        <w:rPr>
          <w:i/>
        </w:rPr>
        <w:t>Kategoriích</w:t>
      </w:r>
      <w:r w:rsidR="00D547AB" w:rsidRPr="003D1E07">
        <w:t>, dostaly</w:t>
      </w:r>
      <w:r w:rsidR="082B1103" w:rsidRPr="003D1E07">
        <w:t xml:space="preserve"> v moderní scholastice centrální význam pro určení objektivity</w:t>
      </w:r>
      <w:r w:rsidR="00636BD4" w:rsidRPr="003D1E07">
        <w:t>. Fatá</w:t>
      </w:r>
      <w:r w:rsidR="002A6B2F" w:rsidRPr="003D1E07">
        <w:t xml:space="preserve">lně došlo k tomu, že </w:t>
      </w:r>
      <w:r w:rsidR="00D547AB" w:rsidRPr="003D1E07">
        <w:t xml:space="preserve">obě entity </w:t>
      </w:r>
      <w:r w:rsidR="002A6B2F" w:rsidRPr="003D1E07">
        <w:t>dostal</w:t>
      </w:r>
      <w:r w:rsidR="00D547AB" w:rsidRPr="003D1E07">
        <w:t>y</w:t>
      </w:r>
      <w:r w:rsidR="08F60985" w:rsidRPr="003D1E07">
        <w:t xml:space="preserve"> status</w:t>
      </w:r>
      <w:r w:rsidR="08F11A35" w:rsidRPr="003D1E07">
        <w:t xml:space="preserve"> první substance</w:t>
      </w:r>
      <w:r w:rsidR="082B1103" w:rsidRPr="003D1E07">
        <w:t xml:space="preserve">. Jak dále uvidíme, tato argumentace vedla </w:t>
      </w:r>
      <w:r w:rsidR="00D0397F" w:rsidRPr="003D1E07">
        <w:t xml:space="preserve">v moderní metafyzice </w:t>
      </w:r>
      <w:r w:rsidR="082B1103" w:rsidRPr="003D1E07">
        <w:t>k zatmění první substance</w:t>
      </w:r>
      <w:r w:rsidR="082B1103" w:rsidRPr="003D1E07">
        <w:fldChar w:fldCharType="begin"/>
      </w:r>
      <w:r w:rsidR="082B1103" w:rsidRPr="003D1E07">
        <w:instrText xml:space="preserve"> XE "zatmění:substance" </w:instrText>
      </w:r>
      <w:r w:rsidR="082B1103" w:rsidRPr="003D1E07">
        <w:fldChar w:fldCharType="end"/>
      </w:r>
      <w:r w:rsidR="082B1103" w:rsidRPr="003D1E07">
        <w:t>, které završil Scotus (</w:t>
      </w:r>
      <w:r w:rsidR="08A85B38" w:rsidRPr="003D1E07">
        <w:t>OBJ III, kap. 5</w:t>
      </w:r>
      <w:r w:rsidR="082B1103" w:rsidRPr="003D1E07">
        <w:t xml:space="preserve">.3.2). </w:t>
      </w:r>
      <w:r w:rsidR="008516D2" w:rsidRPr="003D1E07">
        <w:t xml:space="preserve">Jenže </w:t>
      </w:r>
      <w:r w:rsidR="00DB5B01" w:rsidRPr="003D1E07">
        <w:t>Porfy</w:t>
      </w:r>
      <w:r w:rsidR="00AA2F40" w:rsidRPr="003D1E07">
        <w:t xml:space="preserve">rius ví, že </w:t>
      </w:r>
      <w:r w:rsidR="00553117" w:rsidRPr="003D1E07">
        <w:t xml:space="preserve">tento </w:t>
      </w:r>
      <w:r w:rsidR="00DB5B01" w:rsidRPr="003D1E07">
        <w:t>neoplato</w:t>
      </w:r>
      <w:r w:rsidR="0006706C" w:rsidRPr="003D1E07">
        <w:t xml:space="preserve">nský přístup </w:t>
      </w:r>
      <w:r w:rsidR="08F70B27" w:rsidRPr="003D1E07">
        <w:t xml:space="preserve">k obecninám </w:t>
      </w:r>
      <w:r w:rsidR="00553117" w:rsidRPr="003D1E07">
        <w:t xml:space="preserve">by z </w:t>
      </w:r>
      <w:r w:rsidR="00DC518F" w:rsidRPr="003D1E07">
        <w:t xml:space="preserve">bytí </w:t>
      </w:r>
      <w:r w:rsidR="00DC518F" w:rsidRPr="003D1E07">
        <w:lastRenderedPageBreak/>
        <w:t>udělal nejvyšší rod</w:t>
      </w:r>
      <w:r w:rsidR="08483AFD" w:rsidRPr="003D1E07">
        <w:t xml:space="preserve">. </w:t>
      </w:r>
      <w:r w:rsidR="006B590D" w:rsidRPr="003D1E07">
        <w:t>Věc ve svém jedinečném bytí determinuje výpovědi o věci (</w:t>
      </w:r>
      <w:r w:rsidR="006B590D" w:rsidRPr="003D1E07">
        <w:rPr>
          <w:i/>
        </w:rPr>
        <w:t>Cat</w:t>
      </w:r>
      <w:r w:rsidR="006B590D" w:rsidRPr="003D1E07">
        <w:t>. 2a11–12</w:t>
      </w:r>
      <w:r w:rsidR="00554E31" w:rsidRPr="003D1E07">
        <w:fldChar w:fldCharType="begin"/>
      </w:r>
      <w:r w:rsidR="00554E31" w:rsidRPr="003D1E07">
        <w:instrText xml:space="preserve"> XE "</w:instrText>
      </w:r>
      <w:r w:rsidR="008E02F5" w:rsidRPr="003D1E07">
        <w:instrText>Aristoteles</w:instrText>
      </w:r>
      <w:r w:rsidR="00554E31" w:rsidRPr="003D1E07">
        <w:instrText>:</w:instrText>
      </w:r>
      <w:r w:rsidR="00554E31" w:rsidRPr="003D1E07">
        <w:rPr>
          <w:i/>
        </w:rPr>
        <w:instrText>Cat</w:instrText>
      </w:r>
      <w:r w:rsidR="00554E31" w:rsidRPr="003D1E07">
        <w:instrText xml:space="preserve">. 2a11–12" </w:instrText>
      </w:r>
      <w:r w:rsidR="00554E31" w:rsidRPr="003D1E07">
        <w:fldChar w:fldCharType="end"/>
      </w:r>
      <w:r w:rsidR="006B590D" w:rsidRPr="003D1E07">
        <w:t>)</w:t>
      </w:r>
      <w:r w:rsidR="00111A30" w:rsidRPr="003D1E07">
        <w:t>. P</w:t>
      </w:r>
      <w:r w:rsidR="006B590D" w:rsidRPr="003D1E07">
        <w:t xml:space="preserve">roto </w:t>
      </w:r>
      <w:r w:rsidR="00111A30" w:rsidRPr="003D1E07">
        <w:t xml:space="preserve">platí, že </w:t>
      </w:r>
      <w:r w:rsidR="006B590D" w:rsidRPr="003D1E07">
        <w:t xml:space="preserve">impozice významu od první substance nesmí zmizet úplně. </w:t>
      </w:r>
      <w:r w:rsidR="00BB6158">
        <w:t xml:space="preserve">Metafyzická jednoznačnost </w:t>
      </w:r>
      <w:r w:rsidR="006B590D" w:rsidRPr="003D1E07">
        <w:t xml:space="preserve">druhé substance by přestala existovat, kdyby zmizel hyparchický vztah k první substanci. </w:t>
      </w:r>
      <w:r w:rsidR="08483AFD" w:rsidRPr="003D1E07">
        <w:t>Existence</w:t>
      </w:r>
      <w:r w:rsidR="00BF5DC2" w:rsidRPr="003D1E07">
        <w:t xml:space="preserve"> </w:t>
      </w:r>
      <w:r w:rsidR="0866217F" w:rsidRPr="003D1E07">
        <w:t xml:space="preserve">Sokrata jako </w:t>
      </w:r>
      <w:r w:rsidR="00BF5DC2" w:rsidRPr="003D1E07">
        <w:t>reálné</w:t>
      </w:r>
      <w:r w:rsidR="00553117" w:rsidRPr="003D1E07">
        <w:t xml:space="preserve"> první substance </w:t>
      </w:r>
      <w:r w:rsidR="08483AFD" w:rsidRPr="003D1E07">
        <w:t>determin</w:t>
      </w:r>
      <w:r w:rsidR="0866217F" w:rsidRPr="003D1E07">
        <w:t xml:space="preserve">uje </w:t>
      </w:r>
      <w:r w:rsidR="084859B9" w:rsidRPr="003D1E07">
        <w:t xml:space="preserve">skrze </w:t>
      </w:r>
      <w:r w:rsidR="08B779FB" w:rsidRPr="003D1E07">
        <w:t xml:space="preserve">metafyzický </w:t>
      </w:r>
      <w:r w:rsidR="084859B9" w:rsidRPr="003D1E07">
        <w:t xml:space="preserve">dativ </w:t>
      </w:r>
      <w:r w:rsidR="08483AFD" w:rsidRPr="003D1E07">
        <w:t xml:space="preserve">univerzálie </w:t>
      </w:r>
      <w:r w:rsidR="00836757" w:rsidRPr="003D1E07">
        <w:t xml:space="preserve">rodu a druhu </w:t>
      </w:r>
      <w:r w:rsidR="00553117" w:rsidRPr="003D1E07">
        <w:t xml:space="preserve">(οὐχ ὁ Σωκράτης ἂν εἴη οὐσία πρώτη ἀλλὰ τὰ γένη καὶ τὰ εἴδη, </w:t>
      </w:r>
      <w:r w:rsidR="005068C4" w:rsidRPr="003D1E07">
        <w:rPr>
          <w:i/>
        </w:rPr>
        <w:t>Porph. i</w:t>
      </w:r>
      <w:r w:rsidR="00CC6787" w:rsidRPr="003D1E07">
        <w:rPr>
          <w:i/>
        </w:rPr>
        <w:t>n C</w:t>
      </w:r>
      <w:r w:rsidR="00553117" w:rsidRPr="003D1E07">
        <w:rPr>
          <w:i/>
        </w:rPr>
        <w:t>at</w:t>
      </w:r>
      <w:r w:rsidR="00C160DD" w:rsidRPr="003D1E07">
        <w:rPr>
          <w:i/>
        </w:rPr>
        <w:t>.</w:t>
      </w:r>
      <w:r w:rsidR="00C160DD" w:rsidRPr="003D1E07">
        <w:t xml:space="preserve"> 90.</w:t>
      </w:r>
      <w:r w:rsidR="00553117" w:rsidRPr="003D1E07">
        <w:t>25</w:t>
      </w:r>
      <w:r w:rsidR="002E49B4" w:rsidRPr="003D1E07">
        <w:t>–</w:t>
      </w:r>
      <w:r w:rsidR="00553117" w:rsidRPr="003D1E07">
        <w:t>26</w:t>
      </w:r>
      <w:r w:rsidR="00554E31" w:rsidRPr="003D1E07">
        <w:fldChar w:fldCharType="begin"/>
      </w:r>
      <w:r w:rsidR="00554E31" w:rsidRPr="003D1E07">
        <w:instrText xml:space="preserve"> XE "</w:instrText>
      </w:r>
      <w:r w:rsidR="08CE5A60" w:rsidRPr="003D1E07">
        <w:instrText>Porfyrius:</w:instrText>
      </w:r>
      <w:r w:rsidR="00554E31" w:rsidRPr="003D1E07">
        <w:rPr>
          <w:i/>
        </w:rPr>
        <w:instrText>Porph. in Cat.</w:instrText>
      </w:r>
      <w:r w:rsidR="00554E31" w:rsidRPr="003D1E07">
        <w:instrText xml:space="preserve"> 90.25–26" </w:instrText>
      </w:r>
      <w:r w:rsidR="00554E31" w:rsidRPr="003D1E07">
        <w:fldChar w:fldCharType="end"/>
      </w:r>
      <w:r w:rsidR="00553117" w:rsidRPr="003D1E07">
        <w:t>)</w:t>
      </w:r>
      <w:r w:rsidR="00261C62" w:rsidRPr="003D1E07">
        <w:t xml:space="preserve">. </w:t>
      </w:r>
      <w:r w:rsidR="00D66D7E" w:rsidRPr="003D1E07">
        <w:t>Týrský filosof p</w:t>
      </w:r>
      <w:r w:rsidR="00261C62" w:rsidRPr="003D1E07">
        <w:t xml:space="preserve">roto hned </w:t>
      </w:r>
      <w:r w:rsidR="00553117" w:rsidRPr="003D1E07">
        <w:t xml:space="preserve">doplňuje druhou stranu rovnice. První </w:t>
      </w:r>
      <w:r w:rsidR="005B0C2C" w:rsidRPr="003D1E07">
        <w:t xml:space="preserve">nedělitelná </w:t>
      </w:r>
      <w:r w:rsidR="00553117" w:rsidRPr="003D1E07">
        <w:t xml:space="preserve">substance </w:t>
      </w:r>
      <w:r w:rsidR="08F10110" w:rsidRPr="003D1E07">
        <w:t xml:space="preserve">daná reálně </w:t>
      </w:r>
      <w:r w:rsidR="00CB5AF7" w:rsidRPr="003D1E07">
        <w:t>zakládá predikaci</w:t>
      </w:r>
      <w:r w:rsidR="00BF5DC2" w:rsidRPr="003D1E07">
        <w:t xml:space="preserve">, protože platí </w:t>
      </w:r>
      <w:r w:rsidR="00BF5DC2" w:rsidRPr="003D1E07">
        <w:rPr>
          <w:i/>
        </w:rPr>
        <w:t>modus tollens</w:t>
      </w:r>
      <w:r w:rsidR="00BF5DC2" w:rsidRPr="003D1E07">
        <w:t xml:space="preserve"> </w:t>
      </w:r>
      <w:r w:rsidR="002427AE" w:rsidRPr="003D1E07">
        <w:fldChar w:fldCharType="begin"/>
      </w:r>
      <w:r w:rsidR="002427AE" w:rsidRPr="003D1E07">
        <w:instrText xml:space="preserve"> XE "predikace:</w:instrText>
      </w:r>
      <w:r w:rsidR="002427AE" w:rsidRPr="003D1E07">
        <w:rPr>
          <w:i/>
        </w:rPr>
        <w:instrText>modus tollens</w:instrText>
      </w:r>
      <w:r w:rsidR="002427AE" w:rsidRPr="003D1E07">
        <w:instrText xml:space="preserve">" </w:instrText>
      </w:r>
      <w:r w:rsidR="002427AE" w:rsidRPr="003D1E07">
        <w:fldChar w:fldCharType="end"/>
      </w:r>
      <w:r w:rsidR="00BF5DC2" w:rsidRPr="003D1E07">
        <w:t>dokazující její prioritu</w:t>
      </w:r>
      <w:r w:rsidR="08F10110" w:rsidRPr="003D1E07">
        <w:t xml:space="preserve"> (ἄτομος οὐσία</w:t>
      </w:r>
      <w:r w:rsidR="08F10110" w:rsidRPr="003D1E07">
        <w:fldChar w:fldCharType="begin"/>
      </w:r>
      <w:r w:rsidR="08F10110" w:rsidRPr="003D1E07">
        <w:instrText xml:space="preserve"> XE "substance:atomární" </w:instrText>
      </w:r>
      <w:r w:rsidR="08F10110" w:rsidRPr="003D1E07">
        <w:fldChar w:fldCharType="end"/>
      </w:r>
      <w:r w:rsidR="08F10110" w:rsidRPr="003D1E07">
        <w:t>, ibid. 90.31</w:t>
      </w:r>
      <w:r w:rsidR="08F10110" w:rsidRPr="003D1E07">
        <w:fldChar w:fldCharType="begin"/>
      </w:r>
      <w:r w:rsidR="08F10110" w:rsidRPr="003D1E07">
        <w:instrText xml:space="preserve"> XE "Porfyrius:</w:instrText>
      </w:r>
      <w:r w:rsidR="08F10110" w:rsidRPr="003D1E07">
        <w:rPr>
          <w:i/>
        </w:rPr>
        <w:instrText>Porph. in Cat.</w:instrText>
      </w:r>
      <w:r w:rsidR="08F10110" w:rsidRPr="003D1E07">
        <w:instrText xml:space="preserve"> 90.31" </w:instrText>
      </w:r>
      <w:r w:rsidR="08F10110" w:rsidRPr="003D1E07">
        <w:fldChar w:fldCharType="end"/>
      </w:r>
      <w:r w:rsidR="08F10110" w:rsidRPr="003D1E07">
        <w:t>)</w:t>
      </w:r>
      <w:r w:rsidR="00BF5DC2" w:rsidRPr="003D1E07">
        <w:t xml:space="preserve">. </w:t>
      </w:r>
      <w:r w:rsidR="00DB5B01" w:rsidRPr="003D1E07">
        <w:t>Porfy</w:t>
      </w:r>
      <w:r w:rsidR="00777F2F" w:rsidRPr="003D1E07">
        <w:t xml:space="preserve">rius tuto </w:t>
      </w:r>
      <w:r w:rsidR="00313167" w:rsidRPr="003D1E07">
        <w:t xml:space="preserve">atomární substanci </w:t>
      </w:r>
      <w:r w:rsidR="08AA0C48" w:rsidRPr="003D1E07">
        <w:t>danou v modu imp</w:t>
      </w:r>
      <w:r w:rsidR="08902D3F" w:rsidRPr="003D1E07">
        <w:t>o</w:t>
      </w:r>
      <w:r w:rsidR="08AA0C48" w:rsidRPr="003D1E07">
        <w:t xml:space="preserve">zice jako druhá substance </w:t>
      </w:r>
      <w:r w:rsidR="00DB5B01" w:rsidRPr="003D1E07">
        <w:t>považuje za první predika</w:t>
      </w:r>
      <w:r w:rsidR="00B50412" w:rsidRPr="003D1E07">
        <w:t>bilium</w:t>
      </w:r>
      <w:r w:rsidR="004A0DA2" w:rsidRPr="003D1E07">
        <w:t xml:space="preserve"> ve smyslu obecného konceptu (καθ' ἕκαστον ἄνθρωποι πάντες)</w:t>
      </w:r>
      <w:r w:rsidR="08F11133" w:rsidRPr="003D1E07">
        <w:t>. Atomá</w:t>
      </w:r>
      <w:r w:rsidR="08902D3F" w:rsidRPr="003D1E07">
        <w:t>rní substance vzatá v modu impozi</w:t>
      </w:r>
      <w:r w:rsidR="08F11133" w:rsidRPr="003D1E07">
        <w:t>ce existuje v kategorální predik</w:t>
      </w:r>
      <w:r w:rsidR="08902D3F" w:rsidRPr="003D1E07">
        <w:t>ace jako druhá substance. Pak platí, že díky impozici univočního významu z reálné první substance tvoří</w:t>
      </w:r>
      <w:r w:rsidR="004A0DA2" w:rsidRPr="003D1E07">
        <w:t xml:space="preserve"> </w:t>
      </w:r>
      <w:r w:rsidR="08902D3F" w:rsidRPr="003D1E07">
        <w:t xml:space="preserve">atomární a dále nedělitelná druhá substance </w:t>
      </w:r>
      <w:r w:rsidR="004A0DA2" w:rsidRPr="003D1E07">
        <w:t xml:space="preserve">zdroj kategoriální signifikace pro </w:t>
      </w:r>
      <w:r w:rsidR="00F214C5" w:rsidRPr="003D1E07">
        <w:t>species</w:t>
      </w:r>
      <w:r w:rsidR="004A0DA2" w:rsidRPr="003D1E07">
        <w:t xml:space="preserve"> „člověk“</w:t>
      </w:r>
      <w:r w:rsidR="00B50412" w:rsidRPr="003D1E07">
        <w:t xml:space="preserve"> (</w:t>
      </w:r>
      <w:r w:rsidR="004A0DA2" w:rsidRPr="003D1E07">
        <w:t>ἐξ ὧν καὶ ὁ κοινῇ κατηγορούμενος ἄνθρωπος ἐ</w:t>
      </w:r>
      <w:r w:rsidR="0066543B" w:rsidRPr="003D1E07">
        <w:t xml:space="preserve">πενοήθη, </w:t>
      </w:r>
      <w:r w:rsidR="005068C4" w:rsidRPr="003D1E07">
        <w:t xml:space="preserve">ibid. </w:t>
      </w:r>
      <w:r w:rsidR="0066543B" w:rsidRPr="003D1E07">
        <w:t>90.</w:t>
      </w:r>
      <w:r w:rsidR="004A0DA2" w:rsidRPr="003D1E07">
        <w:t>32</w:t>
      </w:r>
      <w:r w:rsidR="002E49B4" w:rsidRPr="003D1E07">
        <w:t>–</w:t>
      </w:r>
      <w:r w:rsidR="004A0DA2" w:rsidRPr="003D1E07">
        <w:t>33</w:t>
      </w:r>
      <w:r w:rsidR="00554E31" w:rsidRPr="003D1E07">
        <w:fldChar w:fldCharType="begin"/>
      </w:r>
      <w:r w:rsidR="00554E31" w:rsidRPr="003D1E07">
        <w:instrText xml:space="preserve"> XE "</w:instrText>
      </w:r>
      <w:r w:rsidR="08CE5A60" w:rsidRPr="003D1E07">
        <w:instrText>Porfyrius:</w:instrText>
      </w:r>
      <w:r w:rsidR="00554E31" w:rsidRPr="003D1E07">
        <w:rPr>
          <w:i/>
        </w:rPr>
        <w:instrText>Porph. in Cat.</w:instrText>
      </w:r>
      <w:r w:rsidR="00554E31" w:rsidRPr="003D1E07">
        <w:instrText xml:space="preserve"> 90.32–33" </w:instrText>
      </w:r>
      <w:r w:rsidR="00554E31" w:rsidRPr="003D1E07">
        <w:fldChar w:fldCharType="end"/>
      </w:r>
      <w:r w:rsidR="00B50412" w:rsidRPr="003D1E07">
        <w:t>)</w:t>
      </w:r>
      <w:r w:rsidR="004A0DA2" w:rsidRPr="003D1E07">
        <w:t xml:space="preserve">. </w:t>
      </w:r>
      <w:r w:rsidR="08CB6FE7" w:rsidRPr="003D1E07">
        <w:t xml:space="preserve">Porfyrius </w:t>
      </w:r>
      <w:r w:rsidR="00CB5AF7" w:rsidRPr="003D1E07">
        <w:t xml:space="preserve">zdůrazňuje, že tím myslí Aristotelovu první substanci, protože </w:t>
      </w:r>
      <w:r w:rsidR="0009291E" w:rsidRPr="003D1E07">
        <w:t xml:space="preserve">ta </w:t>
      </w:r>
      <w:r w:rsidR="00CB5AF7" w:rsidRPr="003D1E07">
        <w:t xml:space="preserve">slouží jako příčina </w:t>
      </w:r>
      <w:r w:rsidR="0009291E" w:rsidRPr="003D1E07">
        <w:t xml:space="preserve">obecné </w:t>
      </w:r>
      <w:r w:rsidR="00CB5AF7" w:rsidRPr="003D1E07">
        <w:t>predikace jako takové (αἴτια τοῖς κοινῇ κατηγορουμένοις ἐστὶ τοῦ εἶ</w:t>
      </w:r>
      <w:r w:rsidR="00480D03" w:rsidRPr="003D1E07">
        <w:t xml:space="preserve">ναι; ibid, </w:t>
      </w:r>
      <w:r w:rsidR="00803673" w:rsidRPr="003D1E07">
        <w:t>90.</w:t>
      </w:r>
      <w:r w:rsidR="00CB5AF7" w:rsidRPr="003D1E07">
        <w:t>30</w:t>
      </w:r>
      <w:r w:rsidR="002E49B4" w:rsidRPr="003D1E07">
        <w:t>–</w:t>
      </w:r>
      <w:r w:rsidR="00CB5AF7" w:rsidRPr="003D1E07">
        <w:t>91.1</w:t>
      </w:r>
      <w:r w:rsidR="00554E31" w:rsidRPr="003D1E07">
        <w:fldChar w:fldCharType="begin"/>
      </w:r>
      <w:r w:rsidR="00554E31" w:rsidRPr="003D1E07">
        <w:instrText xml:space="preserve"> XE "</w:instrText>
      </w:r>
      <w:r w:rsidR="08CE5A60" w:rsidRPr="003D1E07">
        <w:instrText>Porfyrius:</w:instrText>
      </w:r>
      <w:r w:rsidR="00554E31" w:rsidRPr="003D1E07">
        <w:rPr>
          <w:i/>
        </w:rPr>
        <w:instrText>Porph. in Cat.</w:instrText>
      </w:r>
      <w:r w:rsidR="00554E31" w:rsidRPr="003D1E07">
        <w:instrText xml:space="preserve"> 90.30–90.1" </w:instrText>
      </w:r>
      <w:r w:rsidR="00554E31" w:rsidRPr="003D1E07">
        <w:fldChar w:fldCharType="end"/>
      </w:r>
      <w:r w:rsidR="00CB5AF7" w:rsidRPr="003D1E07">
        <w:t>)</w:t>
      </w:r>
      <w:r w:rsidR="00E64F5D" w:rsidRPr="003D1E07">
        <w:t xml:space="preserve">. Uplatnění </w:t>
      </w:r>
      <w:r w:rsidR="00E64F5D" w:rsidRPr="003D1E07">
        <w:rPr>
          <w:i/>
        </w:rPr>
        <w:t>modus tollens</w:t>
      </w:r>
      <w:r w:rsidR="00E64F5D" w:rsidRPr="003D1E07">
        <w:t xml:space="preserve"> znamená, že p</w:t>
      </w:r>
      <w:r w:rsidR="0009291E" w:rsidRPr="003D1E07">
        <w:t xml:space="preserve">ři </w:t>
      </w:r>
      <w:r w:rsidR="00CB5AF7" w:rsidRPr="003D1E07">
        <w:t xml:space="preserve">eliminaci </w:t>
      </w:r>
      <w:r w:rsidR="08611EB4" w:rsidRPr="003D1E07">
        <w:t xml:space="preserve">dále nedělitelné </w:t>
      </w:r>
      <w:r w:rsidR="00E901BF" w:rsidRPr="003D1E07">
        <w:t xml:space="preserve">substance </w:t>
      </w:r>
      <w:r w:rsidR="08611EB4" w:rsidRPr="003D1E07">
        <w:t>(ἄτομος οὐσία</w:t>
      </w:r>
      <w:r w:rsidR="08611EB4" w:rsidRPr="003D1E07">
        <w:fldChar w:fldCharType="begin"/>
      </w:r>
      <w:r w:rsidR="08611EB4" w:rsidRPr="003D1E07">
        <w:instrText xml:space="preserve"> XE "substance:atomární" </w:instrText>
      </w:r>
      <w:r w:rsidR="08611EB4" w:rsidRPr="003D1E07">
        <w:fldChar w:fldCharType="end"/>
      </w:r>
      <w:r w:rsidR="08611EB4" w:rsidRPr="003D1E07">
        <w:t xml:space="preserve">) </w:t>
      </w:r>
      <w:r w:rsidR="00B53D1F" w:rsidRPr="003D1E07">
        <w:t xml:space="preserve">dané v hyparchickém modu první substance </w:t>
      </w:r>
      <w:r w:rsidR="086743D2" w:rsidRPr="003D1E07">
        <w:t xml:space="preserve">a </w:t>
      </w:r>
      <w:r w:rsidR="00CB5AF7" w:rsidRPr="003D1E07">
        <w:t xml:space="preserve">by se </w:t>
      </w:r>
      <w:r w:rsidR="00E64F5D" w:rsidRPr="003D1E07">
        <w:t xml:space="preserve">predikace </w:t>
      </w:r>
      <w:r w:rsidR="00D30D01" w:rsidRPr="003D1E07">
        <w:t>stala nemožnou</w:t>
      </w:r>
      <w:r w:rsidR="003A2656" w:rsidRPr="003D1E07">
        <w:t xml:space="preserve"> v impozičním modu druhé substance</w:t>
      </w:r>
      <w:r w:rsidR="086743D2" w:rsidRPr="003D1E07">
        <w:t xml:space="preserve">. </w:t>
      </w:r>
      <w:r w:rsidR="00775B20" w:rsidRPr="003D1E07">
        <w:t xml:space="preserve">Opět platí dvojí forma hyparchie, kdy musí obě strany odpovídat jedna druhé. První hyparchická substance musí nutně (tj. v rámci pravdy jako metafyzické korespondence) determinovat hyparchickou predikaci druhé substance. </w:t>
      </w:r>
      <w:r w:rsidR="08C72238" w:rsidRPr="003D1E07">
        <w:t xml:space="preserve">Nedělitelná substance je nyní „první“ proto, že je daná z hlediska jsoucnosti jak reálně tak kategoriálně. V tomto </w:t>
      </w:r>
      <w:r w:rsidR="007636E5" w:rsidRPr="003D1E07">
        <w:t xml:space="preserve">novém korespondenčním </w:t>
      </w:r>
      <w:r w:rsidR="08C72238" w:rsidRPr="003D1E07">
        <w:t xml:space="preserve">modu bytí a </w:t>
      </w:r>
      <w:r w:rsidR="08F75143" w:rsidRPr="003D1E07">
        <w:t xml:space="preserve">myšlení </w:t>
      </w:r>
      <w:r w:rsidR="08C72238" w:rsidRPr="003D1E07">
        <w:t>daném podle Parmenidova třetího fragmentu (kap. 1.2) tvoří dvojí nedělitelná substance kauzální a sémantický základ kategoriální predikace.</w:t>
      </w:r>
      <w:bookmarkStart w:id="21" w:name="_Ref388095623"/>
      <w:r w:rsidR="08C72238" w:rsidRPr="003D1E07">
        <w:t xml:space="preserve"> </w:t>
      </w:r>
      <w:bookmarkEnd w:id="21"/>
      <w:r w:rsidR="0859631F" w:rsidRPr="003D1E07">
        <w:t xml:space="preserve">Tento </w:t>
      </w:r>
      <w:r w:rsidR="08F75143" w:rsidRPr="003D1E07">
        <w:t xml:space="preserve">dvojí </w:t>
      </w:r>
      <w:r w:rsidR="00907D09">
        <w:t>„</w:t>
      </w:r>
      <w:r w:rsidR="0859631F" w:rsidRPr="003D1E07">
        <w:t>atomární</w:t>
      </w:r>
      <w:r w:rsidR="00907D09">
        <w:t>“</w:t>
      </w:r>
      <w:r w:rsidR="00637107" w:rsidRPr="003D1E07">
        <w:t xml:space="preserve"> p</w:t>
      </w:r>
      <w:r w:rsidR="00F87646" w:rsidRPr="003D1E07">
        <w:t xml:space="preserve">rimát </w:t>
      </w:r>
      <w:r w:rsidR="00E25F28" w:rsidRPr="003D1E07">
        <w:t>subst</w:t>
      </w:r>
      <w:r w:rsidR="08EA4B1D" w:rsidRPr="003D1E07">
        <w:t xml:space="preserve">ance </w:t>
      </w:r>
      <w:r w:rsidR="00907D09">
        <w:t xml:space="preserve">se týká jednak první reálné hyparchické substance a jednak druhé substance určené impozicí jako species. Přenos významu je </w:t>
      </w:r>
      <w:r w:rsidR="00DB5B01" w:rsidRPr="003D1E07">
        <w:t>v obou Porfy</w:t>
      </w:r>
      <w:r w:rsidR="001F7459" w:rsidRPr="003D1E07">
        <w:t xml:space="preserve">riových komentářích </w:t>
      </w:r>
      <w:r w:rsidR="00637107" w:rsidRPr="003D1E07">
        <w:t xml:space="preserve">založen hyparchicky a </w:t>
      </w:r>
      <w:r w:rsidR="00907D09">
        <w:t xml:space="preserve">tím sleduje </w:t>
      </w:r>
      <w:r w:rsidR="08EA4B1D" w:rsidRPr="003D1E07">
        <w:t>zá</w:t>
      </w:r>
      <w:r w:rsidR="00475816" w:rsidRPr="003D1E07">
        <w:t xml:space="preserve">kladní intenci spisu </w:t>
      </w:r>
      <w:r w:rsidR="00475816" w:rsidRPr="003D1E07">
        <w:rPr>
          <w:i/>
        </w:rPr>
        <w:t>Kategorie</w:t>
      </w:r>
      <w:r w:rsidR="00475816" w:rsidRPr="003D1E07">
        <w:t xml:space="preserve">. První impozici významu determinuje pouze a jedině aktuální první substance predikovaná hyparchicky (πρώτως οὐσίαι λεγόμεναι ὑπάρχουσιν, </w:t>
      </w:r>
      <w:r w:rsidR="00475816" w:rsidRPr="003D1E07">
        <w:rPr>
          <w:i/>
        </w:rPr>
        <w:t>Cat</w:t>
      </w:r>
      <w:r w:rsidR="00475816" w:rsidRPr="003D1E07">
        <w:t>. 2a14–15</w:t>
      </w:r>
      <w:r w:rsidR="00554E31" w:rsidRPr="003D1E07">
        <w:fldChar w:fldCharType="begin"/>
      </w:r>
      <w:r w:rsidR="00554E31" w:rsidRPr="003D1E07">
        <w:instrText xml:space="preserve"> XE "</w:instrText>
      </w:r>
      <w:r w:rsidR="008E02F5" w:rsidRPr="003D1E07">
        <w:instrText>Aristoteles</w:instrText>
      </w:r>
      <w:r w:rsidR="00554E31" w:rsidRPr="003D1E07">
        <w:instrText>:</w:instrText>
      </w:r>
      <w:r w:rsidR="00554E31" w:rsidRPr="003D1E07">
        <w:rPr>
          <w:i/>
        </w:rPr>
        <w:instrText>Cat.</w:instrText>
      </w:r>
      <w:r w:rsidR="00554E31" w:rsidRPr="003D1E07">
        <w:instrText xml:space="preserve"> 2a14–15" </w:instrText>
      </w:r>
      <w:r w:rsidR="00554E31" w:rsidRPr="003D1E07">
        <w:fldChar w:fldCharType="end"/>
      </w:r>
      <w:r w:rsidR="00475816" w:rsidRPr="003D1E07">
        <w:t xml:space="preserve">). </w:t>
      </w:r>
      <w:r w:rsidR="00DB5B01" w:rsidRPr="003D1E07">
        <w:t>Porfy</w:t>
      </w:r>
      <w:r w:rsidR="00644C26" w:rsidRPr="003D1E07">
        <w:t xml:space="preserve">rius </w:t>
      </w:r>
      <w:r w:rsidR="08FD32D4" w:rsidRPr="003D1E07">
        <w:t xml:space="preserve">tím </w:t>
      </w:r>
      <w:r w:rsidR="00644C26" w:rsidRPr="003D1E07">
        <w:t xml:space="preserve">kritizoval školu </w:t>
      </w:r>
      <w:r w:rsidR="00DB5B01" w:rsidRPr="003D1E07">
        <w:t>Ploti</w:t>
      </w:r>
      <w:r w:rsidR="00644C26" w:rsidRPr="003D1E07">
        <w:t xml:space="preserve">na, která držela zcela autonomní existenci univerzálií. </w:t>
      </w:r>
      <w:r w:rsidR="08BD7B77" w:rsidRPr="003D1E07">
        <w:t>Jeho a</w:t>
      </w:r>
      <w:r w:rsidR="08FD32D4" w:rsidRPr="003D1E07">
        <w:t xml:space="preserve">rgumentace ukázala, že neoplatonské vidění světa je nesmysl, protože vytvořilo signifikaci </w:t>
      </w:r>
      <w:r w:rsidR="08C54175" w:rsidRPr="003D1E07">
        <w:t xml:space="preserve">první substance </w:t>
      </w:r>
      <w:r w:rsidR="08FD32D4" w:rsidRPr="003D1E07">
        <w:rPr>
          <w:i/>
        </w:rPr>
        <w:t xml:space="preserve">ex </w:t>
      </w:r>
      <w:r w:rsidR="08FD32D4" w:rsidRPr="003D1E07">
        <w:rPr>
          <w:i/>
        </w:rPr>
        <w:lastRenderedPageBreak/>
        <w:t>nihilo</w:t>
      </w:r>
      <w:r w:rsidR="08FD32D4" w:rsidRPr="003D1E07">
        <w:rPr>
          <w:i/>
        </w:rPr>
        <w:fldChar w:fldCharType="begin"/>
      </w:r>
      <w:r w:rsidR="08FD32D4" w:rsidRPr="003D1E07">
        <w:instrText xml:space="preserve"> XE "</w:instrText>
      </w:r>
      <w:r w:rsidR="08FD32D4" w:rsidRPr="003D1E07">
        <w:rPr>
          <w:i/>
        </w:rPr>
        <w:instrText>creatio ex nihilo</w:instrText>
      </w:r>
      <w:r w:rsidR="08FD32D4" w:rsidRPr="003D1E07">
        <w:instrText xml:space="preserve">" </w:instrText>
      </w:r>
      <w:r w:rsidR="08FD32D4" w:rsidRPr="003D1E07">
        <w:rPr>
          <w:i/>
        </w:rPr>
        <w:fldChar w:fldCharType="end"/>
      </w:r>
      <w:r w:rsidR="08FD32D4" w:rsidRPr="003D1E07">
        <w:t xml:space="preserve">. </w:t>
      </w:r>
      <w:r w:rsidR="08E25C3B" w:rsidRPr="003D1E07">
        <w:t xml:space="preserve">Aristotelský výklad </w:t>
      </w:r>
      <w:r w:rsidR="08E25C3B" w:rsidRPr="003D1E07">
        <w:rPr>
          <w:i/>
        </w:rPr>
        <w:t>Kategorií</w:t>
      </w:r>
      <w:r w:rsidR="08E25C3B" w:rsidRPr="003D1E07">
        <w:t xml:space="preserve"> </w:t>
      </w:r>
      <w:r w:rsidR="00475816" w:rsidRPr="003D1E07">
        <w:t>zaji</w:t>
      </w:r>
      <w:r w:rsidR="08E25C3B" w:rsidRPr="003D1E07">
        <w:t>s</w:t>
      </w:r>
      <w:r w:rsidR="00475816" w:rsidRPr="003D1E07">
        <w:t>t</w:t>
      </w:r>
      <w:r w:rsidR="08E25C3B" w:rsidRPr="003D1E07">
        <w:t xml:space="preserve">il </w:t>
      </w:r>
      <w:r w:rsidR="00475816" w:rsidRPr="003D1E07">
        <w:t xml:space="preserve">význam </w:t>
      </w:r>
      <w:r w:rsidR="08E25C3B" w:rsidRPr="003D1E07">
        <w:t xml:space="preserve">reálně atomární </w:t>
      </w:r>
      <w:r w:rsidR="00475816" w:rsidRPr="003D1E07">
        <w:t xml:space="preserve">první substance </w:t>
      </w:r>
      <w:r w:rsidR="08E25C3B" w:rsidRPr="003D1E07">
        <w:t>pro impozici univočně atomární druhé</w:t>
      </w:r>
      <w:r w:rsidR="00B34D18" w:rsidRPr="003D1E07">
        <w:t xml:space="preserve"> substance. </w:t>
      </w:r>
      <w:r w:rsidR="00851D84">
        <w:t xml:space="preserve">Výklad </w:t>
      </w:r>
      <w:r w:rsidR="08E25C3B" w:rsidRPr="003D1E07">
        <w:t xml:space="preserve">zajistil </w:t>
      </w:r>
      <w:r w:rsidR="00E66EE6" w:rsidRPr="003D1E07">
        <w:t xml:space="preserve">aristotelskou predikaci a tím i </w:t>
      </w:r>
      <w:r w:rsidR="00B34D18" w:rsidRPr="003D1E07">
        <w:t xml:space="preserve">metafyzickou (a ne pouze logickou) </w:t>
      </w:r>
      <w:r w:rsidR="0888109A" w:rsidRPr="003D1E07">
        <w:t>pravdivost generického a specifického dělení univerzálních významů</w:t>
      </w:r>
      <w:r w:rsidR="08E25C3B" w:rsidRPr="003D1E07">
        <w:t>. P</w:t>
      </w:r>
      <w:r w:rsidR="00E25F28" w:rsidRPr="003D1E07">
        <w:t xml:space="preserve">ak </w:t>
      </w:r>
      <w:r w:rsidR="004113F2" w:rsidRPr="003D1E07">
        <w:t xml:space="preserve">již </w:t>
      </w:r>
      <w:r w:rsidR="00475816" w:rsidRPr="003D1E07">
        <w:t xml:space="preserve">není </w:t>
      </w:r>
      <w:r w:rsidR="00F87646" w:rsidRPr="003D1E07">
        <w:t xml:space="preserve">problém </w:t>
      </w:r>
      <w:r w:rsidR="004113F2" w:rsidRPr="003D1E07">
        <w:t xml:space="preserve">sestavit predikaci </w:t>
      </w:r>
      <w:r w:rsidR="00F87646" w:rsidRPr="003D1E07">
        <w:t xml:space="preserve">v rámci univerzálních významů daných </w:t>
      </w:r>
      <w:r w:rsidR="00F87646" w:rsidRPr="003D1E07">
        <w:rPr>
          <w:i/>
        </w:rPr>
        <w:t>per prius</w:t>
      </w:r>
      <w:r w:rsidR="00F87646" w:rsidRPr="003D1E07">
        <w:t xml:space="preserve"> a </w:t>
      </w:r>
      <w:r w:rsidR="00F87646" w:rsidRPr="003D1E07">
        <w:rPr>
          <w:i/>
        </w:rPr>
        <w:t>per posterius</w:t>
      </w:r>
      <w:r w:rsidR="00F87646" w:rsidRPr="003D1E07">
        <w:t xml:space="preserve">. </w:t>
      </w:r>
      <w:r w:rsidR="00475816" w:rsidRPr="003D1E07">
        <w:t xml:space="preserve">Viz druhou část výroku </w:t>
      </w:r>
      <w:r w:rsidR="00475816" w:rsidRPr="003D1E07">
        <w:rPr>
          <w:i/>
        </w:rPr>
        <w:t>Kategorií</w:t>
      </w:r>
      <w:r w:rsidR="08762CF9" w:rsidRPr="003D1E07">
        <w:t xml:space="preserve"> o tom, že </w:t>
      </w:r>
      <w:r w:rsidR="00475816" w:rsidRPr="003D1E07">
        <w:t xml:space="preserve">rody a druhy vypovídají o substanci kategoriálním způsobem </w:t>
      </w:r>
      <w:r w:rsidR="00146E50" w:rsidRPr="003D1E07">
        <w:t xml:space="preserve">podle univerzálního významu </w:t>
      </w:r>
      <w:r w:rsidR="00F214C5" w:rsidRPr="003D1E07">
        <w:t>species</w:t>
      </w:r>
      <w:r w:rsidR="00146E50" w:rsidRPr="003D1E07">
        <w:t xml:space="preserve"> </w:t>
      </w:r>
      <w:r w:rsidR="00475816" w:rsidRPr="003D1E07">
        <w:t xml:space="preserve">(τὰ μὲν γὰρ γένη κατὰ τῶν εἰδῶν κατηγορεῖται, </w:t>
      </w:r>
      <w:r w:rsidR="00475816" w:rsidRPr="003D1E07">
        <w:rPr>
          <w:i/>
        </w:rPr>
        <w:t>Cat</w:t>
      </w:r>
      <w:r w:rsidR="00475816" w:rsidRPr="003D1E07">
        <w:t>. 2b20</w:t>
      </w:r>
      <w:r w:rsidR="00554E31" w:rsidRPr="003D1E07">
        <w:fldChar w:fldCharType="begin"/>
      </w:r>
      <w:r w:rsidR="00554E31" w:rsidRPr="003D1E07">
        <w:instrText xml:space="preserve"> XE "</w:instrText>
      </w:r>
      <w:r w:rsidR="008E02F5" w:rsidRPr="003D1E07">
        <w:instrText>Aristoteles</w:instrText>
      </w:r>
      <w:r w:rsidR="00554E31" w:rsidRPr="003D1E07">
        <w:instrText>:</w:instrText>
      </w:r>
      <w:r w:rsidR="00554E31" w:rsidRPr="003D1E07">
        <w:rPr>
          <w:i/>
        </w:rPr>
        <w:instrText>Cat.</w:instrText>
      </w:r>
      <w:r w:rsidR="00554E31" w:rsidRPr="003D1E07">
        <w:instrText xml:space="preserve"> 2b20" </w:instrText>
      </w:r>
      <w:r w:rsidR="00554E31" w:rsidRPr="003D1E07">
        <w:fldChar w:fldCharType="end"/>
      </w:r>
      <w:r w:rsidR="00475816" w:rsidRPr="003D1E07">
        <w:t xml:space="preserve">). </w:t>
      </w:r>
      <w:r w:rsidR="00A91582" w:rsidRPr="003D1E07">
        <w:t>Porfy</w:t>
      </w:r>
      <w:r w:rsidR="00B34C3F" w:rsidRPr="003D1E07">
        <w:t xml:space="preserve">rius </w:t>
      </w:r>
      <w:r w:rsidR="00BB572E" w:rsidRPr="003D1E07">
        <w:t xml:space="preserve">ve druhém kroku </w:t>
      </w:r>
      <w:r w:rsidR="08251D90" w:rsidRPr="003D1E07">
        <w:t xml:space="preserve">supozice </w:t>
      </w:r>
      <w:r w:rsidR="00F964B5" w:rsidRPr="003D1E07">
        <w:t xml:space="preserve">zakládá dělení </w:t>
      </w:r>
      <w:r w:rsidR="00890F0D" w:rsidRPr="003D1E07">
        <w:t xml:space="preserve">rodových, tedy univerzálních významů </w:t>
      </w:r>
      <w:r w:rsidR="006C35EB" w:rsidRPr="003D1E07">
        <w:t xml:space="preserve">smyslu </w:t>
      </w:r>
      <w:r w:rsidR="000B1477" w:rsidRPr="003D1E07">
        <w:t xml:space="preserve">jsoucna </w:t>
      </w:r>
      <w:r w:rsidR="00F964B5" w:rsidRPr="003D1E07">
        <w:t>později známého</w:t>
      </w:r>
      <w:r w:rsidR="087E6553" w:rsidRPr="003D1E07">
        <w:t xml:space="preserve"> jako </w:t>
      </w:r>
      <w:r w:rsidR="00A91582" w:rsidRPr="003D1E07">
        <w:t>Porfy</w:t>
      </w:r>
      <w:r w:rsidR="087E6553" w:rsidRPr="003D1E07">
        <w:t>riův strom</w:t>
      </w:r>
      <w:r w:rsidR="003F6459" w:rsidRPr="003D1E07">
        <w:t xml:space="preserve"> (</w:t>
      </w:r>
      <w:r w:rsidR="00123002" w:rsidRPr="003D1E07">
        <w:rPr>
          <w:i/>
        </w:rPr>
        <w:t>Arbor Porphyriana</w:t>
      </w:r>
      <w:r w:rsidR="00B65DFD" w:rsidRPr="003D1E07">
        <w:rPr>
          <w:i/>
        </w:rPr>
        <w:fldChar w:fldCharType="begin"/>
      </w:r>
      <w:r w:rsidR="00B65DFD" w:rsidRPr="003D1E07">
        <w:instrText xml:space="preserve"> XE "</w:instrText>
      </w:r>
      <w:r w:rsidR="00B65DFD" w:rsidRPr="003D1E07">
        <w:rPr>
          <w:i/>
        </w:rPr>
        <w:instrText>Arbor Porphyriana</w:instrText>
      </w:r>
      <w:r w:rsidR="00B65DFD" w:rsidRPr="003D1E07">
        <w:instrText xml:space="preserve">" </w:instrText>
      </w:r>
      <w:r w:rsidR="00B65DFD" w:rsidRPr="003D1E07">
        <w:rPr>
          <w:i/>
        </w:rPr>
        <w:fldChar w:fldCharType="end"/>
      </w:r>
      <w:r w:rsidR="003F6459" w:rsidRPr="003D1E07">
        <w:t>)</w:t>
      </w:r>
      <w:r w:rsidR="00F964B5" w:rsidRPr="003D1E07">
        <w:t xml:space="preserve">. </w:t>
      </w:r>
      <w:r w:rsidR="00CF6537" w:rsidRPr="003D1E07">
        <w:t xml:space="preserve">Klíčové </w:t>
      </w:r>
      <w:r w:rsidR="008B27C8" w:rsidRPr="003D1E07">
        <w:t xml:space="preserve">pro další vývoj objektivity </w:t>
      </w:r>
      <w:r w:rsidR="00D54E72" w:rsidRPr="003D1E07">
        <w:t>je postavení rodu,</w:t>
      </w:r>
      <w:r w:rsidR="00A91582" w:rsidRPr="003D1E07">
        <w:t xml:space="preserve"> </w:t>
      </w:r>
      <w:r w:rsidR="00F214C5" w:rsidRPr="003D1E07">
        <w:t>species</w:t>
      </w:r>
      <w:r w:rsidR="00A91582" w:rsidRPr="003D1E07">
        <w:t xml:space="preserve"> a individua v </w:t>
      </w:r>
      <w:r w:rsidR="00A91582" w:rsidRPr="003D1E07">
        <w:rPr>
          <w:i/>
        </w:rPr>
        <w:t>Isagoge</w:t>
      </w:r>
      <w:r w:rsidR="00D54E72" w:rsidRPr="003D1E07">
        <w:t xml:space="preserve">. </w:t>
      </w:r>
      <w:r w:rsidR="00577087" w:rsidRPr="003D1E07">
        <w:t>Univerzální p</w:t>
      </w:r>
      <w:r w:rsidR="00F964B5" w:rsidRPr="003D1E07">
        <w:t>redikac</w:t>
      </w:r>
      <w:r w:rsidR="00523BB9" w:rsidRPr="003D1E07">
        <w:t>e</w:t>
      </w:r>
      <w:r w:rsidR="00B34C3F" w:rsidRPr="003D1E07">
        <w:t xml:space="preserve"> </w:t>
      </w:r>
      <w:r w:rsidR="00B34C3F" w:rsidRPr="003D1E07">
        <w:rPr>
          <w:i/>
        </w:rPr>
        <w:t>per prius</w:t>
      </w:r>
      <w:r w:rsidR="00B34C3F" w:rsidRPr="003D1E07">
        <w:t xml:space="preserve"> směrem od rodu zakládá predikaci </w:t>
      </w:r>
      <w:r w:rsidR="00B34C3F" w:rsidRPr="003D1E07">
        <w:rPr>
          <w:i/>
        </w:rPr>
        <w:t>per posterius</w:t>
      </w:r>
      <w:r w:rsidR="00B34C3F" w:rsidRPr="003D1E07">
        <w:t xml:space="preserve"> směrem k</w:t>
      </w:r>
      <w:r w:rsidR="00F964B5" w:rsidRPr="003D1E07">
        <w:t xml:space="preserve"> diferenci a</w:t>
      </w:r>
      <w:r w:rsidR="00B34C3F" w:rsidRPr="003D1E07">
        <w:t xml:space="preserve"> ke </w:t>
      </w:r>
      <w:r w:rsidR="00F214C5" w:rsidRPr="003D1E07">
        <w:t>species</w:t>
      </w:r>
      <w:r w:rsidR="003A32E5" w:rsidRPr="003D1E07">
        <w:t xml:space="preserve">, a nakonec až k individuu. </w:t>
      </w:r>
      <w:r w:rsidR="00A91582" w:rsidRPr="003D1E07">
        <w:t xml:space="preserve">Druh </w:t>
      </w:r>
      <w:r w:rsidR="003A32E5" w:rsidRPr="003D1E07">
        <w:t>svo</w:t>
      </w:r>
      <w:r w:rsidR="007B3C7B" w:rsidRPr="003D1E07">
        <w:t>u blíz</w:t>
      </w:r>
      <w:r w:rsidR="003A32E5" w:rsidRPr="003D1E07">
        <w:t>kostí k původní první substanci dané</w:t>
      </w:r>
      <w:r w:rsidR="007B3C7B" w:rsidRPr="003D1E07">
        <w:t xml:space="preserve"> reálně </w:t>
      </w:r>
      <w:r w:rsidR="003A32E5" w:rsidRPr="003D1E07">
        <w:t xml:space="preserve">má </w:t>
      </w:r>
      <w:r w:rsidR="00FC43B1" w:rsidRPr="003D1E07">
        <w:t xml:space="preserve">centrální postavení </w:t>
      </w:r>
      <w:r w:rsidR="00A91582" w:rsidRPr="003D1E07">
        <w:t xml:space="preserve">v rámci </w:t>
      </w:r>
      <w:r w:rsidR="003A32E5" w:rsidRPr="003D1E07">
        <w:t xml:space="preserve">predikace. Určuje obecným významem poslední </w:t>
      </w:r>
      <w:r w:rsidR="00425F12" w:rsidRPr="003D1E07">
        <w:t xml:space="preserve">abstraktní </w:t>
      </w:r>
      <w:r w:rsidR="003A32E5" w:rsidRPr="003D1E07">
        <w:t>jedno</w:t>
      </w:r>
      <w:r w:rsidR="00577087" w:rsidRPr="003D1E07">
        <w:t xml:space="preserve">tlivinu danou </w:t>
      </w:r>
      <w:r w:rsidR="00003E39">
        <w:t xml:space="preserve">na konci </w:t>
      </w:r>
      <w:r w:rsidR="00577087" w:rsidRPr="003D1E07">
        <w:t>dělení univerzáli</w:t>
      </w:r>
      <w:r w:rsidR="003A32E5" w:rsidRPr="003D1E07">
        <w:t>í (</w:t>
      </w:r>
      <w:r w:rsidR="003A32E5" w:rsidRPr="003D1E07">
        <w:rPr>
          <w:i/>
        </w:rPr>
        <w:t>individuum</w:t>
      </w:r>
      <w:r w:rsidR="00554E31" w:rsidRPr="003D1E07">
        <w:fldChar w:fldCharType="begin"/>
      </w:r>
      <w:r w:rsidR="00554E31" w:rsidRPr="003D1E07">
        <w:instrText xml:space="preserve"> XE "</w:instrText>
      </w:r>
      <w:r w:rsidR="007265C8" w:rsidRPr="003D1E07">
        <w:instrText>substance:</w:instrText>
      </w:r>
      <w:r w:rsidR="00554E31" w:rsidRPr="003D1E07">
        <w:instrText xml:space="preserve">individuum" </w:instrText>
      </w:r>
      <w:r w:rsidR="00554E31" w:rsidRPr="003D1E07">
        <w:fldChar w:fldCharType="end"/>
      </w:r>
      <w:r w:rsidR="003A32E5" w:rsidRPr="003D1E07">
        <w:t>). Zároveň stojí v přímém spojení s poslední univoční jednotou jsoucího danou v rámci ro</w:t>
      </w:r>
      <w:r w:rsidR="00604FD0" w:rsidRPr="003D1E07">
        <w:t>d</w:t>
      </w:r>
      <w:r w:rsidR="00FC43B1" w:rsidRPr="003D1E07">
        <w:t>u</w:t>
      </w:r>
      <w:r w:rsidR="003A32E5" w:rsidRPr="003D1E07">
        <w:t xml:space="preserve">, odkud se toto </w:t>
      </w:r>
      <w:r w:rsidR="00577087" w:rsidRPr="003D1E07">
        <w:t xml:space="preserve">univerzální </w:t>
      </w:r>
      <w:r w:rsidR="003A32E5" w:rsidRPr="003D1E07">
        <w:t>dělení rozbíhá</w:t>
      </w:r>
      <w:r w:rsidR="00523BB9" w:rsidRPr="003D1E07">
        <w:t>.</w:t>
      </w:r>
    </w:p>
    <w:p w14:paraId="6AE68D35" w14:textId="347ECC8F" w:rsidR="004E09FB" w:rsidRPr="003D1E07" w:rsidRDefault="08282200" w:rsidP="08A00205">
      <w:r w:rsidRPr="003D1E07">
        <w:tab/>
      </w:r>
      <w:r w:rsidR="005304C3" w:rsidRPr="003D1E07">
        <w:t>Klíčovou roli ve scholastickém utváření objektivity bude hrát ambivalentní statut nedělitelné substance (ἄτομος οὐσία</w:t>
      </w:r>
      <w:r w:rsidR="00372E82" w:rsidRPr="003D1E07">
        <w:fldChar w:fldCharType="begin"/>
      </w:r>
      <w:r w:rsidR="00372E82" w:rsidRPr="003D1E07">
        <w:instrText xml:space="preserve"> XE "substance:atomární" </w:instrText>
      </w:r>
      <w:r w:rsidR="00372E82" w:rsidRPr="003D1E07">
        <w:fldChar w:fldCharType="end"/>
      </w:r>
      <w:r w:rsidR="005304C3" w:rsidRPr="003D1E07">
        <w:t xml:space="preserve">). </w:t>
      </w:r>
      <w:r w:rsidR="08805B92" w:rsidRPr="003D1E07">
        <w:t>Z přede</w:t>
      </w:r>
      <w:r w:rsidR="084162BB" w:rsidRPr="003D1E07">
        <w:t>šlého výkladu je jasné, že Porfy</w:t>
      </w:r>
      <w:r w:rsidR="08805B92" w:rsidRPr="003D1E07">
        <w:t xml:space="preserve">rius od sebe zásadně rozlišil nedělitelnost ve třech registrech: první substrance, druhá substance, individuum. První nedělitelnost je reálná, druhá kategoriálně-univoční v rámci </w:t>
      </w:r>
      <w:r w:rsidR="00003E39">
        <w:t xml:space="preserve">metafyzické </w:t>
      </w:r>
      <w:r w:rsidR="08805B92" w:rsidRPr="003D1E07">
        <w:t xml:space="preserve">impozice, třetí dialekticky supoziční v rámci univerzálního dělení rodového významu, v němž si libovali neoplatonikové. </w:t>
      </w:r>
      <w:r w:rsidR="005304C3" w:rsidRPr="003D1E07">
        <w:t xml:space="preserve">Z hlediska zkoumané gigantomachie </w:t>
      </w:r>
      <w:r w:rsidR="08BD68DF" w:rsidRPr="003D1E07">
        <w:t>o substanci</w:t>
      </w:r>
      <w:r w:rsidR="08A42A81" w:rsidRPr="003D1E07">
        <w:rPr>
          <w:i/>
        </w:rPr>
        <w:fldChar w:fldCharType="begin"/>
      </w:r>
      <w:r w:rsidR="08A42A81" w:rsidRPr="003D1E07">
        <w:instrText xml:space="preserve"> XE "metafyzika:gigantomachie" </w:instrText>
      </w:r>
      <w:r w:rsidR="08A42A81" w:rsidRPr="003D1E07">
        <w:rPr>
          <w:i/>
        </w:rPr>
        <w:fldChar w:fldCharType="end"/>
      </w:r>
      <w:r w:rsidR="08BD68DF" w:rsidRPr="003D1E07">
        <w:t xml:space="preserve"> </w:t>
      </w:r>
      <w:r w:rsidR="005304C3" w:rsidRPr="003D1E07">
        <w:t xml:space="preserve">platí, že tato ambivalence </w:t>
      </w:r>
      <w:r w:rsidR="089F1531" w:rsidRPr="003D1E07">
        <w:t xml:space="preserve">atomární substance </w:t>
      </w:r>
      <w:r w:rsidR="005304C3" w:rsidRPr="003D1E07">
        <w:t>stojí v jádru celého zaměření a cíle (</w:t>
      </w:r>
      <w:r w:rsidR="004837D5" w:rsidRPr="003D1E07">
        <w:t>σκωπός</w:t>
      </w:r>
      <w:r w:rsidR="00365CBB" w:rsidRPr="003D1E07">
        <w:t>) Porfy</w:t>
      </w:r>
      <w:r w:rsidR="005304C3" w:rsidRPr="003D1E07">
        <w:t xml:space="preserve">riova výkladu </w:t>
      </w:r>
      <w:r w:rsidR="005304C3" w:rsidRPr="003D1E07">
        <w:rPr>
          <w:i/>
        </w:rPr>
        <w:t>Kategorií</w:t>
      </w:r>
      <w:r w:rsidR="005304C3" w:rsidRPr="003D1E07">
        <w:t>.</w:t>
      </w:r>
      <w:r w:rsidR="005304C3" w:rsidRPr="003D1E07">
        <w:rPr>
          <w:rStyle w:val="Znakapoznpodarou"/>
        </w:rPr>
        <w:footnoteReference w:id="46"/>
      </w:r>
      <w:r w:rsidR="005304C3" w:rsidRPr="003D1E07">
        <w:t xml:space="preserve"> </w:t>
      </w:r>
      <w:r w:rsidR="087F5A0F" w:rsidRPr="003D1E07">
        <w:t>Archaická h</w:t>
      </w:r>
      <w:r w:rsidR="00353D7B" w:rsidRPr="003D1E07">
        <w:t xml:space="preserve">ermeneutika brání hyparchický smysl predikace směrem od první substance, protože tvoří </w:t>
      </w:r>
      <w:r w:rsidR="08A33A0F" w:rsidRPr="003D1E07">
        <w:t xml:space="preserve">původní </w:t>
      </w:r>
      <w:r w:rsidR="00353D7B" w:rsidRPr="003D1E07">
        <w:t xml:space="preserve">aristotelský smysl spisů </w:t>
      </w:r>
      <w:r w:rsidR="00353D7B" w:rsidRPr="003D1E07">
        <w:rPr>
          <w:i/>
        </w:rPr>
        <w:t>Kategorie</w:t>
      </w:r>
      <w:r w:rsidR="00353D7B" w:rsidRPr="003D1E07">
        <w:t xml:space="preserve"> a </w:t>
      </w:r>
      <w:r w:rsidR="00353D7B" w:rsidRPr="003D1E07">
        <w:rPr>
          <w:i/>
        </w:rPr>
        <w:t>Metafyzika</w:t>
      </w:r>
      <w:r w:rsidR="00353D7B" w:rsidRPr="003D1E07">
        <w:t xml:space="preserve">. </w:t>
      </w:r>
      <w:r w:rsidR="087E6553" w:rsidRPr="003D1E07">
        <w:t>Z předloženého výkladu je jasné, že pokud pomineme hyparchickou predikaci od první substance</w:t>
      </w:r>
      <w:r w:rsidR="083F3EA8" w:rsidRPr="003D1E07">
        <w:t xml:space="preserve"> v modu impozice</w:t>
      </w:r>
      <w:r w:rsidR="087E6553" w:rsidRPr="003D1E07">
        <w:t>, tak význam nedělitelné substa</w:t>
      </w:r>
      <w:r w:rsidR="08C43D70" w:rsidRPr="003D1E07">
        <w:t>n</w:t>
      </w:r>
      <w:r w:rsidR="087E6553" w:rsidRPr="003D1E07">
        <w:t xml:space="preserve">ce už není vztažen k reálné první substanci, </w:t>
      </w:r>
      <w:r w:rsidR="083F3EA8" w:rsidRPr="003D1E07">
        <w:t xml:space="preserve">a dokonce </w:t>
      </w:r>
      <w:r w:rsidR="007D6FDF" w:rsidRPr="003D1E07">
        <w:t>ztratil hyparchický smysl druhé substance</w:t>
      </w:r>
      <w:r w:rsidR="083F3EA8" w:rsidRPr="003D1E07">
        <w:t xml:space="preserve">. </w:t>
      </w:r>
      <w:r w:rsidR="00FF41A0" w:rsidRPr="003D1E07">
        <w:t xml:space="preserve">Logika vidí významy budované pouze na supozici. </w:t>
      </w:r>
      <w:r w:rsidR="000954D3" w:rsidRPr="003D1E07">
        <w:t xml:space="preserve">V tomto případě vznikne úplně odlišný případ nedělitelnosti významu, než je daný skrze impozici hyparchického významu na species. </w:t>
      </w:r>
      <w:r w:rsidR="008D6E69" w:rsidRPr="003D1E07">
        <w:t xml:space="preserve">Nedělitelnost vzniká </w:t>
      </w:r>
      <w:r w:rsidR="087E6553" w:rsidRPr="003D1E07">
        <w:lastRenderedPageBreak/>
        <w:t xml:space="preserve">mezi </w:t>
      </w:r>
      <w:r w:rsidR="00F214C5" w:rsidRPr="003D1E07">
        <w:t>species</w:t>
      </w:r>
      <w:r w:rsidR="087E6553" w:rsidRPr="003D1E07">
        <w:t xml:space="preserve"> a posledním univerzálním význam</w:t>
      </w:r>
      <w:r w:rsidR="083D5FCD" w:rsidRPr="003D1E07">
        <w:t>em, který vznikne</w:t>
      </w:r>
      <w:r w:rsidR="087E6553" w:rsidRPr="003D1E07">
        <w:t xml:space="preserve"> pohybem </w:t>
      </w:r>
      <w:r w:rsidR="087E6553" w:rsidRPr="003D1E07">
        <w:rPr>
          <w:i/>
        </w:rPr>
        <w:t>differentia specifica</w:t>
      </w:r>
      <w:r w:rsidR="087E6553" w:rsidRPr="003D1E07">
        <w:t xml:space="preserve">. Takto vytvořený dále nedělitelný </w:t>
      </w:r>
      <w:r w:rsidR="00D50FF8">
        <w:t xml:space="preserve">generický </w:t>
      </w:r>
      <w:r w:rsidR="083D5FCD" w:rsidRPr="003D1E07">
        <w:t>un</w:t>
      </w:r>
      <w:r w:rsidR="087E6553" w:rsidRPr="003D1E07">
        <w:t>i</w:t>
      </w:r>
      <w:r w:rsidR="083D5FCD" w:rsidRPr="003D1E07">
        <w:t>v</w:t>
      </w:r>
      <w:r w:rsidR="087E6553" w:rsidRPr="003D1E07">
        <w:t>erzální význam (ἄτομος οὐσία</w:t>
      </w:r>
      <w:r w:rsidR="087E6553" w:rsidRPr="003D1E07">
        <w:fldChar w:fldCharType="begin"/>
      </w:r>
      <w:r w:rsidR="087E6553" w:rsidRPr="003D1E07">
        <w:instrText xml:space="preserve"> XE "substance:atomární" </w:instrText>
      </w:r>
      <w:r w:rsidR="087E6553" w:rsidRPr="003D1E07">
        <w:fldChar w:fldCharType="end"/>
      </w:r>
      <w:r w:rsidR="087E6553" w:rsidRPr="003D1E07">
        <w:t xml:space="preserve">, </w:t>
      </w:r>
      <w:r w:rsidR="087E6553" w:rsidRPr="003D1E07">
        <w:rPr>
          <w:i/>
        </w:rPr>
        <w:t>individuum</w:t>
      </w:r>
      <w:r w:rsidR="087E6553" w:rsidRPr="003D1E07">
        <w:fldChar w:fldCharType="begin"/>
      </w:r>
      <w:r w:rsidR="087E6553" w:rsidRPr="003D1E07">
        <w:instrText xml:space="preserve"> XE "substance:individuum" </w:instrText>
      </w:r>
      <w:r w:rsidR="087E6553" w:rsidRPr="003D1E07">
        <w:fldChar w:fldCharType="end"/>
      </w:r>
      <w:r w:rsidR="087E6553" w:rsidRPr="003D1E07">
        <w:t>)</w:t>
      </w:r>
      <w:r w:rsidR="083D5FCD" w:rsidRPr="003D1E07">
        <w:t xml:space="preserve"> </w:t>
      </w:r>
      <w:r w:rsidR="00D50FF8">
        <w:t xml:space="preserve">je vytvořený na základě dialektice dané supozičně. </w:t>
      </w:r>
      <w:r w:rsidR="009D425C" w:rsidRPr="009D425C">
        <w:t xml:space="preserve">Toto individuum vytvořené </w:t>
      </w:r>
      <w:r w:rsidR="009D425C">
        <w:t xml:space="preserve">supozicí </w:t>
      </w:r>
      <w:r w:rsidR="009D425C" w:rsidRPr="009D425C">
        <w:t>na rovině dialektického dělení začalo hrát osudovou roli, neboť vytlačilo roli druhé substance a později dokonce nahradilo první substanci.</w:t>
      </w:r>
      <w:r w:rsidR="009D425C">
        <w:t xml:space="preserve"> </w:t>
      </w:r>
      <w:r w:rsidR="00FF1654" w:rsidRPr="003D1E07">
        <w:rPr>
          <w:lang w:eastAsia="x-none"/>
        </w:rPr>
        <w:t>Hermeneutika moderní metafy</w:t>
      </w:r>
      <w:r w:rsidR="00FD33B2">
        <w:rPr>
          <w:lang w:eastAsia="x-none"/>
        </w:rPr>
        <w:t>z</w:t>
      </w:r>
      <w:r w:rsidR="00FF1654" w:rsidRPr="003D1E07">
        <w:rPr>
          <w:lang w:eastAsia="x-none"/>
        </w:rPr>
        <w:t xml:space="preserve">iky musí ukázat </w:t>
      </w:r>
      <w:r w:rsidR="00FF1654" w:rsidRPr="003D1E07">
        <w:rPr>
          <w:i/>
          <w:lang w:eastAsia="x-none"/>
        </w:rPr>
        <w:t>peccatum originale</w:t>
      </w:r>
      <w:r w:rsidR="00FF1654" w:rsidRPr="003D1E07">
        <w:rPr>
          <w:lang w:eastAsia="x-none"/>
        </w:rPr>
        <w:t xml:space="preserve"> moderny ve formě dějinného </w:t>
      </w:r>
      <w:r w:rsidR="00FF1654" w:rsidRPr="003D1E07">
        <w:rPr>
          <w:i/>
          <w:lang w:eastAsia="x-none"/>
        </w:rPr>
        <w:t>Irrtum</w:t>
      </w:r>
      <w:r w:rsidR="00FF1654" w:rsidRPr="003D1E07">
        <w:rPr>
          <w:lang w:eastAsia="x-none"/>
        </w:rPr>
        <w:t xml:space="preserve"> popsaného Heideggerem. </w:t>
      </w:r>
      <w:r w:rsidR="00A56D44" w:rsidRPr="003D1E07">
        <w:t xml:space="preserve">Proberme osudovou citaci z </w:t>
      </w:r>
      <w:r w:rsidR="00A56D44" w:rsidRPr="003D1E07">
        <w:rPr>
          <w:i/>
        </w:rPr>
        <w:t>Isagog</w:t>
      </w:r>
      <w:r w:rsidR="00365CBB" w:rsidRPr="003D1E07">
        <w:rPr>
          <w:i/>
        </w:rPr>
        <w:t>e</w:t>
      </w:r>
      <w:r w:rsidR="004E09FB" w:rsidRPr="003D1E07">
        <w:t xml:space="preserve"> v latinském překladu Boethia</w:t>
      </w:r>
      <w:r w:rsidR="00A56D44" w:rsidRPr="003D1E07">
        <w:t>, která</w:t>
      </w:r>
      <w:r w:rsidR="00365CBB" w:rsidRPr="003D1E07">
        <w:t xml:space="preserve"> zakládá po Plato</w:t>
      </w:r>
      <w:r w:rsidR="00A56D44" w:rsidRPr="003D1E07">
        <w:t xml:space="preserve">nově podobenství o jeskyni první </w:t>
      </w:r>
      <w:r w:rsidR="00A56D44" w:rsidRPr="003D1E07">
        <w:rPr>
          <w:i/>
        </w:rPr>
        <w:t>Lichtung</w:t>
      </w:r>
      <w:r w:rsidR="00A56D44" w:rsidRPr="003D1E07">
        <w:t xml:space="preserve"> západní objektivity</w:t>
      </w:r>
      <w:r w:rsidR="004E2300" w:rsidRPr="003D1E07">
        <w:fldChar w:fldCharType="begin"/>
      </w:r>
      <w:r w:rsidR="004E2300" w:rsidRPr="003D1E07">
        <w:instrText xml:space="preserve"> XE "objektivita:</w:instrText>
      </w:r>
      <w:r w:rsidR="00554E31" w:rsidRPr="003D1E07">
        <w:instrText>Boethius</w:instrText>
      </w:r>
      <w:r w:rsidR="004E2300" w:rsidRPr="003D1E07">
        <w:instrText xml:space="preserve">" </w:instrText>
      </w:r>
      <w:r w:rsidR="004E2300" w:rsidRPr="003D1E07">
        <w:fldChar w:fldCharType="end"/>
      </w:r>
      <w:r w:rsidR="00A56D44" w:rsidRPr="003D1E07">
        <w:t>.</w:t>
      </w:r>
      <w:r w:rsidR="08F61FFB" w:rsidRPr="003D1E07">
        <w:t xml:space="preserve"> Pořád je třeba mít na mysli </w:t>
      </w:r>
      <w:r w:rsidR="08881722" w:rsidRPr="003D1E07">
        <w:t xml:space="preserve">dvojí </w:t>
      </w:r>
      <w:r w:rsidR="08F61FFB" w:rsidRPr="003D1E07">
        <w:t>základní dráhu náhledu na</w:t>
      </w:r>
      <w:r w:rsidR="08881722" w:rsidRPr="003D1E07">
        <w:t xml:space="preserve"> atomární substanci</w:t>
      </w:r>
      <w:r w:rsidR="0065658E">
        <w:t xml:space="preserve"> </w:t>
      </w:r>
      <w:r w:rsidR="0065658E">
        <w:rPr>
          <w:noProof w:val="0"/>
          <w:lang w:val="en-US" w:eastAsia="x-none"/>
        </w:rPr>
        <w:t>(</w:t>
      </w:r>
      <w:r w:rsidR="0065658E" w:rsidRPr="00041194">
        <w:rPr>
          <w:i/>
          <w:noProof w:val="0"/>
          <w:lang w:val="en-US" w:eastAsia="x-none"/>
        </w:rPr>
        <w:t>Vor-blickbahn</w:t>
      </w:r>
      <w:r w:rsidR="0065658E">
        <w:rPr>
          <w:noProof w:val="0"/>
          <w:lang w:val="en-US" w:eastAsia="x-none"/>
        </w:rPr>
        <w:t>)</w:t>
      </w:r>
      <w:r w:rsidR="08F61FFB" w:rsidRPr="003D1E07">
        <w:t xml:space="preserve">, </w:t>
      </w:r>
      <w:r w:rsidR="085A498B" w:rsidRPr="003D1E07">
        <w:t>jako to měli Porfyrius</w:t>
      </w:r>
      <w:r w:rsidR="00B80F9D">
        <w:t xml:space="preserve">, </w:t>
      </w:r>
      <w:r w:rsidR="085A498B" w:rsidRPr="003D1E07">
        <w:t>Boethius</w:t>
      </w:r>
      <w:r w:rsidR="00B80F9D">
        <w:t xml:space="preserve"> a Heidegger</w:t>
      </w:r>
      <w:r w:rsidR="085A498B" w:rsidRPr="003D1E07">
        <w:t xml:space="preserve">. Tato dráha náhledu </w:t>
      </w:r>
      <w:r w:rsidR="08F61FFB" w:rsidRPr="003D1E07">
        <w:t xml:space="preserve">je nyní dána </w:t>
      </w:r>
      <w:r w:rsidR="085A498B" w:rsidRPr="003D1E07">
        <w:t xml:space="preserve">zezadu, tedy </w:t>
      </w:r>
      <w:r w:rsidR="08F61FFB" w:rsidRPr="003D1E07">
        <w:t>v modu dialektického dělení univerzálních významů vzniklých skrze supozici.</w:t>
      </w:r>
    </w:p>
    <w:p w14:paraId="29C418ED" w14:textId="77777777" w:rsidR="004E09FB" w:rsidRPr="003D1E07" w:rsidRDefault="004E09FB" w:rsidP="004E09FB">
      <w:pPr>
        <w:pStyle w:val="Citace"/>
        <w:rPr>
          <w:lang w:val="cs-CZ"/>
        </w:rPr>
      </w:pPr>
      <w:r w:rsidRPr="003D1E07">
        <w:rPr>
          <w:lang w:val="cs-CZ"/>
        </w:rPr>
        <w:t>„Individuum stojí pod druhem a druh pod rodem. Rod tvoří v určitém smyslu celek (</w:t>
      </w:r>
      <w:r w:rsidRPr="003D1E07">
        <w:rPr>
          <w:i/>
          <w:lang w:val="cs-CZ"/>
        </w:rPr>
        <w:t xml:space="preserve">totum enim quiddam est </w:t>
      </w:r>
      <w:r w:rsidR="00636BD4" w:rsidRPr="003D1E07">
        <w:rPr>
          <w:i/>
          <w:lang w:val="cs-CZ"/>
        </w:rPr>
        <w:t>genus</w:t>
      </w:r>
      <w:r w:rsidRPr="003D1E07">
        <w:rPr>
          <w:lang w:val="cs-CZ"/>
        </w:rPr>
        <w:t xml:space="preserve">) a </w:t>
      </w:r>
      <w:r w:rsidR="085E14DB" w:rsidRPr="003D1E07">
        <w:rPr>
          <w:lang w:val="cs-CZ"/>
        </w:rPr>
        <w:t xml:space="preserve">individuum </w:t>
      </w:r>
      <w:r w:rsidRPr="003D1E07">
        <w:rPr>
          <w:lang w:val="cs-CZ"/>
        </w:rPr>
        <w:t>je jeho část (</w:t>
      </w:r>
      <w:r w:rsidRPr="003D1E07">
        <w:rPr>
          <w:i/>
          <w:lang w:val="cs-CZ"/>
        </w:rPr>
        <w:t>individuum autem pars</w:t>
      </w:r>
      <w:r w:rsidRPr="003D1E07">
        <w:rPr>
          <w:lang w:val="cs-CZ"/>
        </w:rPr>
        <w:t xml:space="preserve">). </w:t>
      </w:r>
      <w:r w:rsidR="00365CBB" w:rsidRPr="003D1E07">
        <w:rPr>
          <w:lang w:val="cs-CZ"/>
        </w:rPr>
        <w:t xml:space="preserve">Druh </w:t>
      </w:r>
      <w:r w:rsidRPr="003D1E07">
        <w:rPr>
          <w:lang w:val="cs-CZ"/>
        </w:rPr>
        <w:t>tvoří doopravdy celek i část (</w:t>
      </w:r>
      <w:r w:rsidR="00F214C5" w:rsidRPr="003D1E07">
        <w:rPr>
          <w:i/>
          <w:lang w:val="cs-CZ"/>
        </w:rPr>
        <w:t>species</w:t>
      </w:r>
      <w:r w:rsidRPr="003D1E07">
        <w:rPr>
          <w:i/>
          <w:lang w:val="cs-CZ"/>
        </w:rPr>
        <w:t xml:space="preserve"> vero et totum et pars</w:t>
      </w:r>
      <w:r w:rsidRPr="003D1E07">
        <w:rPr>
          <w:lang w:val="cs-CZ"/>
        </w:rPr>
        <w:t xml:space="preserve">). Ale </w:t>
      </w:r>
      <w:r w:rsidR="08D77B58" w:rsidRPr="003D1E07">
        <w:rPr>
          <w:lang w:val="cs-CZ"/>
        </w:rPr>
        <w:t xml:space="preserve">druh tvoří </w:t>
      </w:r>
      <w:r w:rsidRPr="003D1E07">
        <w:rPr>
          <w:lang w:val="cs-CZ"/>
        </w:rPr>
        <w:t>část vzhledem k něčemu odlišnému</w:t>
      </w:r>
      <w:r w:rsidR="0034489D" w:rsidRPr="003D1E07">
        <w:rPr>
          <w:lang w:val="cs-CZ"/>
        </w:rPr>
        <w:t xml:space="preserve"> (</w:t>
      </w:r>
      <w:r w:rsidR="0034489D" w:rsidRPr="003D1E07">
        <w:rPr>
          <w:i/>
          <w:lang w:val="cs-CZ"/>
        </w:rPr>
        <w:t>pars quidem alterius</w:t>
      </w:r>
      <w:r w:rsidR="0034489D" w:rsidRPr="003D1E07">
        <w:rPr>
          <w:lang w:val="cs-CZ"/>
        </w:rPr>
        <w:t>)</w:t>
      </w:r>
      <w:r w:rsidRPr="003D1E07">
        <w:rPr>
          <w:lang w:val="cs-CZ"/>
        </w:rPr>
        <w:t xml:space="preserve">, zatímco </w:t>
      </w:r>
      <w:r w:rsidR="083A4CF6" w:rsidRPr="003D1E07">
        <w:rPr>
          <w:lang w:val="cs-CZ"/>
        </w:rPr>
        <w:t xml:space="preserve">druh </w:t>
      </w:r>
      <w:r w:rsidR="08D77B58" w:rsidRPr="003D1E07">
        <w:rPr>
          <w:lang w:val="cs-CZ"/>
        </w:rPr>
        <w:t xml:space="preserve">jako </w:t>
      </w:r>
      <w:r w:rsidRPr="003D1E07">
        <w:rPr>
          <w:lang w:val="cs-CZ"/>
        </w:rPr>
        <w:t xml:space="preserve">celek je dán nikoliv k něčemu odlišnému, ale k </w:t>
      </w:r>
      <w:r w:rsidR="00D62AB9" w:rsidRPr="003D1E07">
        <w:rPr>
          <w:lang w:val="cs-CZ"/>
        </w:rPr>
        <w:t xml:space="preserve">individuálním </w:t>
      </w:r>
      <w:r w:rsidRPr="003D1E07">
        <w:rPr>
          <w:lang w:val="cs-CZ"/>
        </w:rPr>
        <w:t>částem</w:t>
      </w:r>
      <w:r w:rsidR="08A86CBE" w:rsidRPr="003D1E07">
        <w:rPr>
          <w:lang w:val="cs-CZ"/>
        </w:rPr>
        <w:t xml:space="preserve"> druhu</w:t>
      </w:r>
      <w:r w:rsidRPr="003D1E07">
        <w:rPr>
          <w:lang w:val="cs-CZ"/>
        </w:rPr>
        <w:t xml:space="preserve"> (</w:t>
      </w:r>
      <w:r w:rsidRPr="003D1E07">
        <w:rPr>
          <w:i/>
          <w:lang w:val="cs-CZ"/>
        </w:rPr>
        <w:t>totum autem non alterius, sed aliis</w:t>
      </w:r>
      <w:r w:rsidRPr="003D1E07">
        <w:rPr>
          <w:lang w:val="cs-CZ"/>
        </w:rPr>
        <w:t xml:space="preserve">), protože </w:t>
      </w:r>
      <w:r w:rsidR="08200264" w:rsidRPr="003D1E07">
        <w:rPr>
          <w:lang w:val="cs-CZ"/>
        </w:rPr>
        <w:t xml:space="preserve">druh jako </w:t>
      </w:r>
      <w:r w:rsidRPr="003D1E07">
        <w:rPr>
          <w:lang w:val="cs-CZ"/>
        </w:rPr>
        <w:t>celek se skládá z částí.“ </w:t>
      </w:r>
      <w:r w:rsidR="00A56D44" w:rsidRPr="003D1E07">
        <w:rPr>
          <w:rStyle w:val="Znakapoznpodarou"/>
          <w:lang w:val="cs-CZ"/>
        </w:rPr>
        <w:footnoteReference w:id="47"/>
      </w:r>
    </w:p>
    <w:p w14:paraId="70BC93EE" w14:textId="2616F0D7" w:rsidR="008534A8" w:rsidRDefault="08C17765" w:rsidP="001E435C">
      <w:r w:rsidRPr="003D1E07">
        <w:t xml:space="preserve">Nasvícení </w:t>
      </w:r>
      <w:r w:rsidR="005E1045">
        <w:t xml:space="preserve">jsoucna </w:t>
      </w:r>
      <w:r w:rsidR="00947825">
        <w:rPr>
          <w:noProof w:val="0"/>
          <w:lang w:val="en-US" w:eastAsia="x-none"/>
        </w:rPr>
        <w:t>(</w:t>
      </w:r>
      <w:r w:rsidR="00947825">
        <w:rPr>
          <w:i/>
          <w:noProof w:val="0"/>
          <w:lang w:val="en-US" w:eastAsia="x-none"/>
        </w:rPr>
        <w:t>Bezugssinn</w:t>
      </w:r>
      <w:r w:rsidR="00ED6D2B">
        <w:rPr>
          <w:i/>
          <w:noProof w:val="0"/>
          <w:lang w:val="en-US" w:eastAsia="x-none"/>
        </w:rPr>
        <w:fldChar w:fldCharType="begin"/>
      </w:r>
      <w:r w:rsidR="00ED6D2B">
        <w:instrText xml:space="preserve"> XE "</w:instrText>
      </w:r>
      <w:r w:rsidR="00ED6D2B" w:rsidRPr="00482301">
        <w:rPr>
          <w:i/>
          <w:noProof w:val="0"/>
          <w:lang w:val="en-US" w:eastAsia="x-none"/>
        </w:rPr>
        <w:instrText>Bezugssinn</w:instrText>
      </w:r>
      <w:r w:rsidR="00ED6D2B">
        <w:instrText xml:space="preserve">" </w:instrText>
      </w:r>
      <w:r w:rsidR="00ED6D2B">
        <w:rPr>
          <w:i/>
          <w:noProof w:val="0"/>
          <w:lang w:val="en-US" w:eastAsia="x-none"/>
        </w:rPr>
        <w:fldChar w:fldCharType="end"/>
      </w:r>
      <w:r w:rsidR="00947825">
        <w:rPr>
          <w:noProof w:val="0"/>
          <w:lang w:val="en-US" w:eastAsia="x-none"/>
        </w:rPr>
        <w:t xml:space="preserve">) </w:t>
      </w:r>
      <w:r w:rsidRPr="003D1E07">
        <w:t xml:space="preserve">je nyní dáno zezadu od rodu jako poslední univoční jednotky významu. </w:t>
      </w:r>
      <w:r w:rsidR="00D75AA5" w:rsidRPr="003D1E07">
        <w:t xml:space="preserve">Rod je </w:t>
      </w:r>
      <w:r w:rsidR="003035FC" w:rsidRPr="003D1E07">
        <w:t xml:space="preserve">kompletní celek </w:t>
      </w:r>
      <w:r w:rsidR="08A32EEF" w:rsidRPr="003D1E07">
        <w:t xml:space="preserve">významu </w:t>
      </w:r>
      <w:r w:rsidR="00D96F05" w:rsidRPr="003D1E07">
        <w:t>v univerzální predikaci</w:t>
      </w:r>
      <w:r w:rsidR="00EC14CD" w:rsidRPr="003D1E07">
        <w:t xml:space="preserve">, </w:t>
      </w:r>
      <w:r w:rsidR="00F214C5" w:rsidRPr="003D1E07">
        <w:t>species</w:t>
      </w:r>
      <w:r w:rsidR="00D75AA5" w:rsidRPr="003D1E07">
        <w:t xml:space="preserve"> a </w:t>
      </w:r>
      <w:r w:rsidR="00D75AA5" w:rsidRPr="003D1E07">
        <w:rPr>
          <w:i/>
        </w:rPr>
        <w:t>individuum</w:t>
      </w:r>
      <w:r w:rsidR="00D75AA5" w:rsidRPr="003D1E07">
        <w:t xml:space="preserve"> tvoří jeho část. </w:t>
      </w:r>
      <w:r w:rsidR="00365CBB" w:rsidRPr="003D1E07">
        <w:t xml:space="preserve">Druh </w:t>
      </w:r>
      <w:r w:rsidR="00463197" w:rsidRPr="003D1E07">
        <w:t xml:space="preserve">je </w:t>
      </w:r>
      <w:r w:rsidR="00365CBB" w:rsidRPr="003D1E07">
        <w:t>podřazen</w:t>
      </w:r>
      <w:r w:rsidR="00277CC5" w:rsidRPr="003D1E07">
        <w:t xml:space="preserve"> rodu </w:t>
      </w:r>
      <w:r w:rsidR="00937A2E" w:rsidRPr="003D1E07">
        <w:t xml:space="preserve">v rámci supozice, </w:t>
      </w:r>
      <w:r w:rsidR="00277CC5" w:rsidRPr="003D1E07">
        <w:t xml:space="preserve">stejně jako </w:t>
      </w:r>
      <w:r w:rsidR="08970EC3" w:rsidRPr="003D1E07">
        <w:t xml:space="preserve">individuální význam </w:t>
      </w:r>
      <w:r w:rsidR="003429FA" w:rsidRPr="003D1E07">
        <w:t xml:space="preserve">(εἶδος ὑπὸ τοῦ γένους). </w:t>
      </w:r>
      <w:r w:rsidR="003035FC" w:rsidRPr="003D1E07">
        <w:t>Definice začín</w:t>
      </w:r>
      <w:r w:rsidR="080D4A79" w:rsidRPr="003D1E07">
        <w:t xml:space="preserve">á u posledního a dále nedělitelného individua </w:t>
      </w:r>
      <w:r w:rsidR="003035FC" w:rsidRPr="003D1E07">
        <w:t xml:space="preserve">jako </w:t>
      </w:r>
      <w:r w:rsidR="080D4A79" w:rsidRPr="003D1E07">
        <w:t xml:space="preserve">univerzální </w:t>
      </w:r>
      <w:r w:rsidR="003035FC" w:rsidRPr="003D1E07">
        <w:t xml:space="preserve">části </w:t>
      </w:r>
      <w:r w:rsidR="080D4A79" w:rsidRPr="003D1E07">
        <w:t xml:space="preserve">vyššího univerzálního </w:t>
      </w:r>
      <w:r w:rsidR="003035FC" w:rsidRPr="003D1E07">
        <w:t xml:space="preserve">celku, kterým je </w:t>
      </w:r>
      <w:r w:rsidR="00F214C5" w:rsidRPr="003D1E07">
        <w:t>species</w:t>
      </w:r>
      <w:r w:rsidR="003035FC" w:rsidRPr="003D1E07">
        <w:t xml:space="preserve"> (τὸ μὲν ἄτομον ὑπὸ τοῦ εἴ</w:t>
      </w:r>
      <w:r w:rsidR="00AE4791" w:rsidRPr="003D1E07">
        <w:t>δους</w:t>
      </w:r>
      <w:r w:rsidR="003035FC" w:rsidRPr="003D1E07">
        <w:t xml:space="preserve">). </w:t>
      </w:r>
      <w:r w:rsidR="00CB7878" w:rsidRPr="003D1E07">
        <w:t xml:space="preserve">Species </w:t>
      </w:r>
      <w:r w:rsidR="003429FA" w:rsidRPr="003D1E07">
        <w:t>hraje klíčovou roli</w:t>
      </w:r>
      <w:r w:rsidR="00B34820" w:rsidRPr="003D1E07">
        <w:t>, což jsme vyložili výše</w:t>
      </w:r>
      <w:r w:rsidR="00CB7878" w:rsidRPr="003D1E07">
        <w:t xml:space="preserve"> vzhledem ke dvojímu náhledu </w:t>
      </w:r>
      <w:r w:rsidR="00FF3332" w:rsidRPr="003D1E07">
        <w:t>(</w:t>
      </w:r>
      <w:r w:rsidR="00FF3332" w:rsidRPr="003D1E07">
        <w:rPr>
          <w:i/>
        </w:rPr>
        <w:t>Vor-blickbahn</w:t>
      </w:r>
      <w:r w:rsidR="00FF3332" w:rsidRPr="003D1E07">
        <w:t xml:space="preserve">) </w:t>
      </w:r>
      <w:r w:rsidR="00CB7878" w:rsidRPr="003D1E07">
        <w:t xml:space="preserve">na species </w:t>
      </w:r>
      <w:r w:rsidR="00544495" w:rsidRPr="003D1E07">
        <w:t xml:space="preserve">jako celek a jako část </w:t>
      </w:r>
      <w:r w:rsidR="00CB7878" w:rsidRPr="003D1E07">
        <w:t>(τὸ δὲ εἶδος καὶ ὅλον καὶ μέρος)</w:t>
      </w:r>
      <w:r w:rsidR="002F2822" w:rsidRPr="003D1E07">
        <w:t>. S</w:t>
      </w:r>
      <w:r w:rsidR="003429FA" w:rsidRPr="003D1E07">
        <w:t xml:space="preserve">měrem k rodu je </w:t>
      </w:r>
      <w:r w:rsidR="00F214C5" w:rsidRPr="003D1E07">
        <w:t>species</w:t>
      </w:r>
      <w:r w:rsidR="002F2822" w:rsidRPr="003D1E07">
        <w:t xml:space="preserve"> </w:t>
      </w:r>
      <w:r w:rsidR="003429FA" w:rsidRPr="003D1E07">
        <w:t>pouhou částí</w:t>
      </w:r>
      <w:r w:rsidR="00CB7878" w:rsidRPr="003D1E07">
        <w:t xml:space="preserve"> (</w:t>
      </w:r>
      <w:r w:rsidR="00CB7878" w:rsidRPr="003D1E07">
        <w:rPr>
          <w:i/>
        </w:rPr>
        <w:t>suppositio</w:t>
      </w:r>
      <w:r w:rsidR="00CB7878" w:rsidRPr="003D1E07">
        <w:t xml:space="preserve">); </w:t>
      </w:r>
      <w:r w:rsidR="003429FA" w:rsidRPr="003D1E07">
        <w:t>ale směrem k</w:t>
      </w:r>
      <w:r w:rsidR="00E35108" w:rsidRPr="003D1E07">
        <w:t xml:space="preserve"> první substanci </w:t>
      </w:r>
      <w:r w:rsidR="003429FA" w:rsidRPr="003D1E07">
        <w:t>je samostatným celk</w:t>
      </w:r>
      <w:r w:rsidR="00A10FAA" w:rsidRPr="003D1E07">
        <w:t>em</w:t>
      </w:r>
      <w:r w:rsidR="003429FA" w:rsidRPr="003D1E07">
        <w:t xml:space="preserve"> významu </w:t>
      </w:r>
      <w:r w:rsidR="00CB7878" w:rsidRPr="003D1E07">
        <w:t xml:space="preserve">v rámci </w:t>
      </w:r>
      <w:r w:rsidR="00E35108" w:rsidRPr="003D1E07">
        <w:t>impozice</w:t>
      </w:r>
      <w:r w:rsidR="003429FA" w:rsidRPr="003D1E07">
        <w:t xml:space="preserve">. </w:t>
      </w:r>
      <w:r w:rsidR="08970EC3" w:rsidRPr="003D1E07">
        <w:t xml:space="preserve">Klíčový je fakt, že </w:t>
      </w:r>
      <w:r w:rsidR="00F214C5" w:rsidRPr="003D1E07">
        <w:t>species</w:t>
      </w:r>
      <w:r w:rsidR="08970EC3" w:rsidRPr="003D1E07">
        <w:t xml:space="preserve"> je posledním celistvým celkem významu, což je dané blízkostí impozice od první substance. </w:t>
      </w:r>
      <w:r w:rsidR="00365CBB" w:rsidRPr="003D1E07">
        <w:t xml:space="preserve">Druh </w:t>
      </w:r>
      <w:r w:rsidR="00F6312B" w:rsidRPr="003D1E07">
        <w:t>předst</w:t>
      </w:r>
      <w:r w:rsidR="00DE034E" w:rsidRPr="003D1E07">
        <w:t>a</w:t>
      </w:r>
      <w:r w:rsidR="00F6312B" w:rsidRPr="003D1E07">
        <w:t>v</w:t>
      </w:r>
      <w:r w:rsidR="00DE034E" w:rsidRPr="003D1E07">
        <w:t xml:space="preserve">uje </w:t>
      </w:r>
      <w:r w:rsidR="08EF7598" w:rsidRPr="003D1E07">
        <w:t xml:space="preserve">z hlediska </w:t>
      </w:r>
      <w:r w:rsidR="08B54AFB" w:rsidRPr="003D1E07">
        <w:t xml:space="preserve">supozice </w:t>
      </w:r>
      <w:r w:rsidR="08EF7598" w:rsidRPr="003D1E07">
        <w:t xml:space="preserve">nižší </w:t>
      </w:r>
      <w:r w:rsidR="00A84664" w:rsidRPr="003D1E07">
        <w:t>cel</w:t>
      </w:r>
      <w:r w:rsidR="08B54AFB" w:rsidRPr="003D1E07">
        <w:t>ek</w:t>
      </w:r>
      <w:r w:rsidR="00A84664" w:rsidRPr="003D1E07">
        <w:t xml:space="preserve"> než rod</w:t>
      </w:r>
      <w:r w:rsidR="00175ACB" w:rsidRPr="003D1E07">
        <w:t xml:space="preserve">, </w:t>
      </w:r>
      <w:r w:rsidR="08B54AFB" w:rsidRPr="003D1E07">
        <w:t xml:space="preserve">protože rod </w:t>
      </w:r>
      <w:r w:rsidR="003035FC" w:rsidRPr="003D1E07">
        <w:t xml:space="preserve">predikuje univoční </w:t>
      </w:r>
      <w:r w:rsidR="004B117F">
        <w:t xml:space="preserve">generický </w:t>
      </w:r>
      <w:r w:rsidR="003035FC" w:rsidRPr="003D1E07">
        <w:t xml:space="preserve">význam i </w:t>
      </w:r>
      <w:r w:rsidR="00175ACB" w:rsidRPr="003D1E07">
        <w:t xml:space="preserve">pro </w:t>
      </w:r>
      <w:r w:rsidR="00F214C5" w:rsidRPr="003D1E07">
        <w:t>species</w:t>
      </w:r>
      <w:r w:rsidR="00F6312B" w:rsidRPr="003D1E07">
        <w:t xml:space="preserve"> a pro individuum</w:t>
      </w:r>
      <w:r w:rsidR="007D70A2" w:rsidRPr="003D1E07">
        <w:rPr>
          <w:i/>
        </w:rPr>
        <w:fldChar w:fldCharType="begin"/>
      </w:r>
      <w:r w:rsidR="007D70A2" w:rsidRPr="003D1E07">
        <w:instrText xml:space="preserve"> XE "substance:</w:instrText>
      </w:r>
      <w:r w:rsidR="007D70A2" w:rsidRPr="003D1E07">
        <w:rPr>
          <w:i/>
        </w:rPr>
        <w:instrText>species</w:instrText>
      </w:r>
      <w:r w:rsidR="007D70A2" w:rsidRPr="003D1E07">
        <w:instrText xml:space="preserve">" </w:instrText>
      </w:r>
      <w:r w:rsidR="007D70A2" w:rsidRPr="003D1E07">
        <w:rPr>
          <w:i/>
        </w:rPr>
        <w:fldChar w:fldCharType="end"/>
      </w:r>
      <w:r w:rsidR="00A84664" w:rsidRPr="003D1E07">
        <w:t>.</w:t>
      </w:r>
      <w:r w:rsidR="00C032E0" w:rsidRPr="003D1E07">
        <w:t xml:space="preserve"> </w:t>
      </w:r>
      <w:r w:rsidR="00344365">
        <w:lastRenderedPageBreak/>
        <w:t>Dialektický p</w:t>
      </w:r>
      <w:r w:rsidR="08EF7598" w:rsidRPr="003D1E07">
        <w:t xml:space="preserve">rimát rodu jasně ukazuje </w:t>
      </w:r>
      <w:r w:rsidR="08EF7598" w:rsidRPr="003D1E07">
        <w:rPr>
          <w:i/>
        </w:rPr>
        <w:t>modus tollens</w:t>
      </w:r>
      <w:r w:rsidR="08786D56" w:rsidRPr="003D1E07">
        <w:t xml:space="preserve"> nyní použitý v modu nasvícení jsoucna zezadu</w:t>
      </w:r>
      <w:r w:rsidR="0879179F" w:rsidRPr="003D1E07">
        <w:t xml:space="preserve"> skrze supozici</w:t>
      </w:r>
      <w:r w:rsidR="08786D56" w:rsidRPr="003D1E07">
        <w:t xml:space="preserve">. </w:t>
      </w:r>
      <w:r w:rsidR="007F1C72" w:rsidRPr="003D1E07">
        <w:t>O</w:t>
      </w:r>
      <w:r w:rsidR="00C032E0" w:rsidRPr="003D1E07">
        <w:t>ddělením nižších specifických diferencí (</w:t>
      </w:r>
      <w:r w:rsidR="00C032E0" w:rsidRPr="003D1E07">
        <w:rPr>
          <w:i/>
        </w:rPr>
        <w:t>rationale</w:t>
      </w:r>
      <w:r w:rsidR="00C032E0" w:rsidRPr="003D1E07">
        <w:t xml:space="preserve">, </w:t>
      </w:r>
      <w:r w:rsidR="00C032E0" w:rsidRPr="003D1E07">
        <w:rPr>
          <w:i/>
        </w:rPr>
        <w:t>irrationale</w:t>
      </w:r>
      <w:r w:rsidR="00C032E0" w:rsidRPr="003D1E07">
        <w:t>) bude dál existovat rod „</w:t>
      </w:r>
      <w:r w:rsidR="00365CBB" w:rsidRPr="003D1E07">
        <w:t>zvíře</w:t>
      </w:r>
      <w:r w:rsidR="00C032E0" w:rsidRPr="003D1E07">
        <w:t xml:space="preserve">“, ale nikoliv </w:t>
      </w:r>
      <w:r w:rsidR="00F214C5" w:rsidRPr="003D1E07">
        <w:t>species</w:t>
      </w:r>
      <w:r w:rsidR="00C032E0" w:rsidRPr="003D1E07">
        <w:t xml:space="preserve"> „</w:t>
      </w:r>
      <w:r w:rsidR="00365CBB" w:rsidRPr="003D1E07">
        <w:t>člověk</w:t>
      </w:r>
      <w:r w:rsidR="08842E9A" w:rsidRPr="003D1E07">
        <w:t xml:space="preserve">“, protože tento univerzální význam </w:t>
      </w:r>
      <w:r w:rsidR="08FA03A2" w:rsidRPr="003D1E07">
        <w:t xml:space="preserve">vzniká až pohybem diference směrem </w:t>
      </w:r>
      <w:r w:rsidR="08090D1B" w:rsidRPr="003D1E07">
        <w:t xml:space="preserve">dolů ke </w:t>
      </w:r>
      <w:r w:rsidR="00F214C5" w:rsidRPr="003D1E07">
        <w:t>species</w:t>
      </w:r>
      <w:r w:rsidR="00C032E0" w:rsidRPr="003D1E07">
        <w:t xml:space="preserve">. </w:t>
      </w:r>
      <w:r w:rsidR="00CE16A8" w:rsidRPr="003D1E07">
        <w:t xml:space="preserve">Druh </w:t>
      </w:r>
      <w:r w:rsidR="08090D1B" w:rsidRPr="003D1E07">
        <w:t xml:space="preserve">ale u Porfyria </w:t>
      </w:r>
      <w:r w:rsidR="00291540" w:rsidRPr="003D1E07">
        <w:t xml:space="preserve">není </w:t>
      </w:r>
      <w:r w:rsidR="000356F7" w:rsidRPr="003D1E07">
        <w:t>od indivi</w:t>
      </w:r>
      <w:r w:rsidR="00F6312B" w:rsidRPr="003D1E07">
        <w:t xml:space="preserve">dua </w:t>
      </w:r>
      <w:r w:rsidR="00291540" w:rsidRPr="003D1E07">
        <w:t>odd</w:t>
      </w:r>
      <w:r w:rsidR="00607394" w:rsidRPr="003D1E07">
        <w:t>ě</w:t>
      </w:r>
      <w:r w:rsidR="008F0575" w:rsidRPr="003D1E07">
        <w:t>l</w:t>
      </w:r>
      <w:r w:rsidR="00607394" w:rsidRPr="003D1E07">
        <w:t xml:space="preserve">ený </w:t>
      </w:r>
      <w:r w:rsidR="00A413B1" w:rsidRPr="003D1E07">
        <w:t>(ὐκ ἄλλου)</w:t>
      </w:r>
      <w:r w:rsidR="00A413B1">
        <w:t xml:space="preserve"> </w:t>
      </w:r>
      <w:r w:rsidR="00607394" w:rsidRPr="003D1E07">
        <w:t xml:space="preserve">stejně </w:t>
      </w:r>
      <w:r w:rsidR="00C032E0" w:rsidRPr="003D1E07">
        <w:t xml:space="preserve">radikálně </w:t>
      </w:r>
      <w:r w:rsidR="00607394" w:rsidRPr="003D1E07">
        <w:t>jako rod</w:t>
      </w:r>
      <w:r w:rsidR="00856A7B" w:rsidRPr="003D1E07">
        <w:t xml:space="preserve"> </w:t>
      </w:r>
      <w:r w:rsidR="00A413B1">
        <w:t xml:space="preserve">od druhu. Species </w:t>
      </w:r>
      <w:r w:rsidR="00607394" w:rsidRPr="003D1E07">
        <w:t>je obsažen</w:t>
      </w:r>
      <w:r w:rsidR="00A413B1">
        <w:t>a</w:t>
      </w:r>
      <w:r w:rsidR="00607394" w:rsidRPr="003D1E07">
        <w:t xml:space="preserve"> „v“ nebo „vzhledem k“ </w:t>
      </w:r>
      <w:r w:rsidR="00A413B1" w:rsidRPr="003D1E07">
        <w:t>(ἐν ἄλλοις)</w:t>
      </w:r>
      <w:r w:rsidR="00A413B1">
        <w:t xml:space="preserve"> jinakovosti individuí, které ale tvoří </w:t>
      </w:r>
      <w:r w:rsidR="00607394" w:rsidRPr="003D1E07">
        <w:t xml:space="preserve">část </w:t>
      </w:r>
      <w:r w:rsidR="00F214C5" w:rsidRPr="003D1E07">
        <w:t>species</w:t>
      </w:r>
      <w:r w:rsidR="00A84664" w:rsidRPr="003D1E07">
        <w:t xml:space="preserve">. </w:t>
      </w:r>
      <w:r w:rsidR="081254F5" w:rsidRPr="003D1E07">
        <w:t xml:space="preserve">Je to logické, protože individuum má specifický význam, který už nelze dále dělit. </w:t>
      </w:r>
      <w:r w:rsidR="007F03F9" w:rsidRPr="003D1E07">
        <w:t xml:space="preserve">Generický význam dělit jde, ale specifický už ne. </w:t>
      </w:r>
      <w:r w:rsidR="005F4F2F" w:rsidRPr="003D1E07">
        <w:t>P</w:t>
      </w:r>
      <w:r w:rsidR="007F03F9" w:rsidRPr="003D1E07">
        <w:t xml:space="preserve">lný </w:t>
      </w:r>
      <w:r w:rsidR="08D0458D" w:rsidRPr="003D1E07">
        <w:t xml:space="preserve">univerzální význam </w:t>
      </w:r>
      <w:r w:rsidR="005F4F2F" w:rsidRPr="003D1E07">
        <w:t xml:space="preserve">existuje v rámci metafyziky </w:t>
      </w:r>
      <w:r w:rsidR="08D0458D" w:rsidRPr="003D1E07">
        <w:t>na úrovni</w:t>
      </w:r>
      <w:r w:rsidR="08897D05" w:rsidRPr="003D1E07">
        <w:t xml:space="preserve"> </w:t>
      </w:r>
      <w:r w:rsidR="00E25438">
        <w:t xml:space="preserve">atomární </w:t>
      </w:r>
      <w:r w:rsidR="00F214C5" w:rsidRPr="003D1E07">
        <w:t>species</w:t>
      </w:r>
      <w:r w:rsidR="00E25438">
        <w:t xml:space="preserve">, protože je </w:t>
      </w:r>
      <w:r w:rsidR="00EE580A">
        <w:t xml:space="preserve">nedělitelně </w:t>
      </w:r>
      <w:r w:rsidR="00E25438">
        <w:t>určená</w:t>
      </w:r>
      <w:r w:rsidR="00F02563" w:rsidRPr="003D1E07">
        <w:t xml:space="preserve"> jak</w:t>
      </w:r>
      <w:r w:rsidR="005F4F2F" w:rsidRPr="003D1E07">
        <w:t xml:space="preserve"> skrze supozici tak impozici</w:t>
      </w:r>
      <w:r w:rsidR="08D0458D" w:rsidRPr="003D1E07">
        <w:t xml:space="preserve">. </w:t>
      </w:r>
      <w:r w:rsidR="00122D2B" w:rsidRPr="003D1E07">
        <w:t xml:space="preserve">Z hlediska supozice tvoří species poslední </w:t>
      </w:r>
      <w:r w:rsidR="00C27327">
        <w:t xml:space="preserve">dále nedělitelnou </w:t>
      </w:r>
      <w:r w:rsidR="00122D2B" w:rsidRPr="003D1E07">
        <w:t xml:space="preserve">rovinu </w:t>
      </w:r>
      <w:r w:rsidR="00C27327">
        <w:t xml:space="preserve">univočního </w:t>
      </w:r>
      <w:r w:rsidR="00122D2B" w:rsidRPr="003D1E07">
        <w:t xml:space="preserve">významu. Z hlediska impozice tvoří species první </w:t>
      </w:r>
      <w:r w:rsidR="00C27327">
        <w:t xml:space="preserve">nedělitelnou </w:t>
      </w:r>
      <w:r w:rsidR="00122D2B" w:rsidRPr="003D1E07">
        <w:t>rov</w:t>
      </w:r>
      <w:r w:rsidR="00C93D2D" w:rsidRPr="003D1E07">
        <w:t>i</w:t>
      </w:r>
      <w:r w:rsidR="00122D2B" w:rsidRPr="003D1E07">
        <w:t xml:space="preserve">nu </w:t>
      </w:r>
      <w:r w:rsidR="00C27327">
        <w:t xml:space="preserve">univočního </w:t>
      </w:r>
      <w:r w:rsidR="00122D2B" w:rsidRPr="003D1E07">
        <w:t xml:space="preserve">významu. </w:t>
      </w:r>
      <w:r w:rsidR="08897D05" w:rsidRPr="003D1E07">
        <w:t xml:space="preserve">V modu impozice je </w:t>
      </w:r>
      <w:r w:rsidR="00F214C5" w:rsidRPr="003D1E07">
        <w:t>species</w:t>
      </w:r>
      <w:r w:rsidR="08897D05" w:rsidRPr="003D1E07">
        <w:t xml:space="preserve"> dáno primárně od první substance, v modu supozice je dáno sekundárně směrem od nadřazeného rodu. </w:t>
      </w:r>
      <w:r w:rsidR="087F0C76" w:rsidRPr="003D1E07">
        <w:t xml:space="preserve">Individuum vzaté v </w:t>
      </w:r>
      <w:r w:rsidR="0047336C" w:rsidRPr="003D1E07">
        <w:t>modu impozice nemá vlastní význam</w:t>
      </w:r>
      <w:r w:rsidR="00C27327">
        <w:t>, protože impoziční význam nemá ani rod</w:t>
      </w:r>
      <w:r w:rsidR="087F0C76" w:rsidRPr="003D1E07">
        <w:t xml:space="preserve">. </w:t>
      </w:r>
      <w:r w:rsidR="005E646C">
        <w:t xml:space="preserve">Vzato dialekticky, tak není co dělit. </w:t>
      </w:r>
      <w:r w:rsidR="087F0C76" w:rsidRPr="003D1E07">
        <w:t xml:space="preserve">Individuum neexistuje autonomně </w:t>
      </w:r>
      <w:r w:rsidR="0047336C" w:rsidRPr="003D1E07">
        <w:t xml:space="preserve">ani </w:t>
      </w:r>
      <w:r w:rsidR="087F0C76" w:rsidRPr="003D1E07">
        <w:t>v modu supozice</w:t>
      </w:r>
      <w:r w:rsidR="0047336C" w:rsidRPr="003D1E07">
        <w:t>, natož impozice</w:t>
      </w:r>
      <w:r w:rsidR="087F0C76" w:rsidRPr="003D1E07">
        <w:t xml:space="preserve">, protože tvoří část </w:t>
      </w:r>
      <w:r w:rsidR="00F214C5" w:rsidRPr="003D1E07">
        <w:t>species</w:t>
      </w:r>
      <w:r w:rsidR="087F0C76" w:rsidRPr="003D1E07">
        <w:t xml:space="preserve"> (</w:t>
      </w:r>
      <w:r w:rsidR="087F0C76" w:rsidRPr="003D1E07">
        <w:rPr>
          <w:i/>
        </w:rPr>
        <w:t>partibus enim totum est</w:t>
      </w:r>
      <w:r w:rsidR="087F0C76" w:rsidRPr="003D1E07">
        <w:t xml:space="preserve">). </w:t>
      </w:r>
      <w:r w:rsidR="083D5300" w:rsidRPr="003D1E07">
        <w:t xml:space="preserve">Kdyby individuum kompletně ztratilo </w:t>
      </w:r>
      <w:r w:rsidR="00FC5BFB">
        <w:t xml:space="preserve">univerzální </w:t>
      </w:r>
      <w:r w:rsidR="083D5300" w:rsidRPr="003D1E07">
        <w:t>význam</w:t>
      </w:r>
      <w:r w:rsidR="00256FBD">
        <w:t xml:space="preserve"> odvoz</w:t>
      </w:r>
      <w:r w:rsidR="00FC5BFB">
        <w:t>ený od species</w:t>
      </w:r>
      <w:r w:rsidR="083D5300" w:rsidRPr="003D1E07">
        <w:t xml:space="preserve">, pak by nemělo vůbec nic z univerzality a přestalo by existovat v mysli. Nicotu nejde dělit, protože nejsoucno podle Parmenida nelze predikovat. </w:t>
      </w:r>
      <w:r w:rsidR="00674262" w:rsidRPr="003D1E07">
        <w:t>Proto species</w:t>
      </w:r>
      <w:r w:rsidR="089A7E4F" w:rsidRPr="003D1E07">
        <w:t xml:space="preserve"> tvoří část vzhledem k individuu jako k něčemu odli</w:t>
      </w:r>
      <w:r w:rsidR="00674262" w:rsidRPr="003D1E07">
        <w:t xml:space="preserve">šnému, tj. </w:t>
      </w:r>
      <w:r w:rsidR="00AC2CB5" w:rsidRPr="003D1E07">
        <w:t>pod</w:t>
      </w:r>
      <w:r w:rsidR="00674262" w:rsidRPr="003D1E07">
        <w:t>řazenému</w:t>
      </w:r>
      <w:r w:rsidR="00AC2CB5" w:rsidRPr="003D1E07">
        <w:t xml:space="preserve">. </w:t>
      </w:r>
      <w:r w:rsidR="00674262" w:rsidRPr="003D1E07">
        <w:t xml:space="preserve"> </w:t>
      </w:r>
      <w:r w:rsidR="00AC2CB5" w:rsidRPr="003D1E07">
        <w:t xml:space="preserve">Species </w:t>
      </w:r>
      <w:r w:rsidR="00674262" w:rsidRPr="003D1E07">
        <w:t xml:space="preserve">se od něj liší z hlediska </w:t>
      </w:r>
      <w:r w:rsidR="00AC2CB5" w:rsidRPr="003D1E07">
        <w:t>celku, který je děle</w:t>
      </w:r>
      <w:r w:rsidR="00674262" w:rsidRPr="003D1E07">
        <w:t xml:space="preserve">n na </w:t>
      </w:r>
      <w:r w:rsidR="00AC2CB5" w:rsidRPr="003D1E07">
        <w:t xml:space="preserve">další </w:t>
      </w:r>
      <w:r w:rsidR="00674262" w:rsidRPr="003D1E07">
        <w:t xml:space="preserve">části </w:t>
      </w:r>
      <w:r w:rsidR="089A7E4F" w:rsidRPr="003D1E07">
        <w:t>(</w:t>
      </w:r>
      <w:r w:rsidR="089A7E4F" w:rsidRPr="003D1E07">
        <w:rPr>
          <w:i/>
        </w:rPr>
        <w:t>pars quidem alterius</w:t>
      </w:r>
      <w:r w:rsidR="089A7E4F" w:rsidRPr="003D1E07">
        <w:t>)</w:t>
      </w:r>
      <w:r w:rsidR="088A39C3" w:rsidRPr="003D1E07">
        <w:t xml:space="preserve">. Dělení </w:t>
      </w:r>
      <w:r w:rsidR="00F214C5" w:rsidRPr="003D1E07">
        <w:t>species</w:t>
      </w:r>
      <w:r w:rsidR="088A39C3" w:rsidRPr="003D1E07">
        <w:t xml:space="preserve"> směrem dolů způsobilo, že individuum </w:t>
      </w:r>
      <w:r w:rsidR="089A7E4F" w:rsidRPr="003D1E07">
        <w:t xml:space="preserve">je od </w:t>
      </w:r>
      <w:r w:rsidR="00F214C5" w:rsidRPr="003D1E07">
        <w:t>species</w:t>
      </w:r>
      <w:r w:rsidR="089A7E4F" w:rsidRPr="003D1E07">
        <w:t xml:space="preserve"> oddělen</w:t>
      </w:r>
      <w:r w:rsidR="088A39C3" w:rsidRPr="003D1E07">
        <w:t>o</w:t>
      </w:r>
      <w:r w:rsidR="089A7E4F" w:rsidRPr="003D1E07">
        <w:t xml:space="preserve"> </w:t>
      </w:r>
      <w:r w:rsidR="088A39C3" w:rsidRPr="003D1E07">
        <w:t xml:space="preserve">poslední </w:t>
      </w:r>
      <w:r w:rsidR="089A7E4F" w:rsidRPr="003D1E07">
        <w:t xml:space="preserve">diferencí významu. </w:t>
      </w:r>
      <w:r w:rsidR="08B5589E" w:rsidRPr="003D1E07">
        <w:t xml:space="preserve">Pak </w:t>
      </w:r>
      <w:r w:rsidR="08F43EF5" w:rsidRPr="003D1E07">
        <w:t xml:space="preserve">se </w:t>
      </w:r>
      <w:r w:rsidR="08B5589E" w:rsidRPr="003D1E07">
        <w:t xml:space="preserve">musí nutně zastavit </w:t>
      </w:r>
      <w:r w:rsidR="08F43EF5" w:rsidRPr="003D1E07">
        <w:t xml:space="preserve">dialektické určování univerzálního významu, protože už není nic </w:t>
      </w:r>
      <w:r w:rsidR="08092DB3" w:rsidRPr="003D1E07">
        <w:t>univerzálně-</w:t>
      </w:r>
      <w:r w:rsidR="08F43EF5" w:rsidRPr="003D1E07">
        <w:t xml:space="preserve">specifického, co by šlo </w:t>
      </w:r>
      <w:r w:rsidR="08092DB3" w:rsidRPr="003D1E07">
        <w:t xml:space="preserve">dále </w:t>
      </w:r>
      <w:r w:rsidR="08F43EF5" w:rsidRPr="003D1E07">
        <w:t xml:space="preserve">dělit. </w:t>
      </w:r>
      <w:r w:rsidR="08092DB3" w:rsidRPr="003D1E07">
        <w:t xml:space="preserve">Proto </w:t>
      </w:r>
      <w:r w:rsidR="089A7E4F" w:rsidRPr="003D1E07">
        <w:t xml:space="preserve">je druh </w:t>
      </w:r>
      <w:r w:rsidR="08092DB3" w:rsidRPr="003D1E07">
        <w:t xml:space="preserve">jako celek významu </w:t>
      </w:r>
      <w:r w:rsidR="089A7E4F" w:rsidRPr="003D1E07">
        <w:t>dán vzhledem k individuu nikoliv jako k něčemu odlišnému (</w:t>
      </w:r>
      <w:r w:rsidR="089A7E4F" w:rsidRPr="003D1E07">
        <w:rPr>
          <w:i/>
        </w:rPr>
        <w:t>totum autem non alterius</w:t>
      </w:r>
      <w:r w:rsidR="08205176" w:rsidRPr="003D1E07">
        <w:t>). Druh je vzhledem k individuu jiný tím, že byl diferencován do skupiny nezávislých individuí</w:t>
      </w:r>
      <w:r w:rsidR="08230E1B" w:rsidRPr="003D1E07">
        <w:t xml:space="preserve"> daných specificky</w:t>
      </w:r>
      <w:r w:rsidR="08205176" w:rsidRPr="003D1E07">
        <w:t xml:space="preserve">. Proto se </w:t>
      </w:r>
      <w:r w:rsidR="08196C56" w:rsidRPr="003D1E07">
        <w:t xml:space="preserve">atomární </w:t>
      </w:r>
      <w:r w:rsidR="08205176" w:rsidRPr="003D1E07">
        <w:t xml:space="preserve">individua faktem této poslední diferenciace liší od </w:t>
      </w:r>
      <w:r w:rsidR="00F214C5" w:rsidRPr="003D1E07">
        <w:t>species</w:t>
      </w:r>
      <w:r w:rsidR="008918C7" w:rsidRPr="003D1E07">
        <w:t xml:space="preserve">, ale mají stejný </w:t>
      </w:r>
      <w:r w:rsidR="002C294C">
        <w:t xml:space="preserve">specifický </w:t>
      </w:r>
      <w:r w:rsidR="008918C7" w:rsidRPr="003D1E07">
        <w:t>význam</w:t>
      </w:r>
      <w:r w:rsidR="08487435" w:rsidRPr="003D1E07">
        <w:t xml:space="preserve">. </w:t>
      </w:r>
      <w:r w:rsidR="00E03901" w:rsidRPr="003D1E07">
        <w:t xml:space="preserve">Význam individuí je pouze specifický a jiný být ani nemůže. </w:t>
      </w:r>
      <w:r w:rsidR="08196C56" w:rsidRPr="003D1E07">
        <w:t xml:space="preserve">Supoziční </w:t>
      </w:r>
      <w:r w:rsidR="08B232D5" w:rsidRPr="003D1E07">
        <w:t xml:space="preserve">definice jejich univerzality </w:t>
      </w:r>
      <w:r w:rsidR="08196C56" w:rsidRPr="003D1E07">
        <w:t xml:space="preserve">je stejná jako pro </w:t>
      </w:r>
      <w:r w:rsidR="00F214C5" w:rsidRPr="003D1E07">
        <w:t>species</w:t>
      </w:r>
      <w:r w:rsidR="08196C56" w:rsidRPr="003D1E07">
        <w:t>. A</w:t>
      </w:r>
      <w:r w:rsidR="08B232D5" w:rsidRPr="003D1E07">
        <w:t xml:space="preserve">le </w:t>
      </w:r>
      <w:r w:rsidR="00F214C5" w:rsidRPr="003D1E07">
        <w:t>species</w:t>
      </w:r>
      <w:r w:rsidR="088917F9" w:rsidRPr="003D1E07">
        <w:rPr>
          <w:i/>
        </w:rPr>
        <w:t xml:space="preserve"> </w:t>
      </w:r>
      <w:r w:rsidR="08B232D5" w:rsidRPr="003D1E07">
        <w:t>mají jiný druh identity (</w:t>
      </w:r>
      <w:r w:rsidR="08B232D5" w:rsidRPr="003D1E07">
        <w:rPr>
          <w:i/>
        </w:rPr>
        <w:t>totum</w:t>
      </w:r>
      <w:r w:rsidR="08A653F4" w:rsidRPr="003D1E07">
        <w:rPr>
          <w:i/>
        </w:rPr>
        <w:t xml:space="preserve">, </w:t>
      </w:r>
      <w:r w:rsidR="08A653F4" w:rsidRPr="003D1E07">
        <w:t>ἄτομον μέρος</w:t>
      </w:r>
      <w:r w:rsidR="08B232D5" w:rsidRPr="003D1E07">
        <w:t>)</w:t>
      </w:r>
      <w:r w:rsidR="088917F9" w:rsidRPr="003D1E07">
        <w:t xml:space="preserve"> než individua</w:t>
      </w:r>
      <w:r w:rsidR="08B232D5" w:rsidRPr="003D1E07">
        <w:t xml:space="preserve">, </w:t>
      </w:r>
      <w:r w:rsidR="088917F9" w:rsidRPr="003D1E07">
        <w:t xml:space="preserve">protože ta </w:t>
      </w:r>
      <w:r w:rsidR="08B232D5" w:rsidRPr="003D1E07">
        <w:t>se na poslední úrovni dělení univerzálií liší už jen mezi sebou (</w:t>
      </w:r>
      <w:r w:rsidR="08B232D5" w:rsidRPr="003D1E07">
        <w:rPr>
          <w:i/>
        </w:rPr>
        <w:t>aliis</w:t>
      </w:r>
      <w:r w:rsidR="08E72F16" w:rsidRPr="003D1E07">
        <w:rPr>
          <w:i/>
        </w:rPr>
        <w:t xml:space="preserve">, </w:t>
      </w:r>
      <w:r w:rsidR="08E72F16" w:rsidRPr="003D1E07">
        <w:t>ἐν ἄλλοις</w:t>
      </w:r>
      <w:r w:rsidR="08B232D5" w:rsidRPr="003D1E07">
        <w:t xml:space="preserve">). </w:t>
      </w:r>
      <w:r w:rsidR="08487435" w:rsidRPr="003D1E07">
        <w:t>P</w:t>
      </w:r>
      <w:r w:rsidR="089A7E4F" w:rsidRPr="003D1E07">
        <w:t xml:space="preserve">oslední </w:t>
      </w:r>
      <w:r w:rsidR="00290C16">
        <w:t xml:space="preserve">jednota </w:t>
      </w:r>
      <w:r w:rsidR="089A7E4F" w:rsidRPr="003D1E07">
        <w:t xml:space="preserve">významu je </w:t>
      </w:r>
      <w:r w:rsidR="00290C16">
        <w:t>specifická. Za ní</w:t>
      </w:r>
      <w:r w:rsidR="089A7E4F" w:rsidRPr="003D1E07">
        <w:t xml:space="preserve"> je už </w:t>
      </w:r>
      <w:r w:rsidR="00290C16">
        <w:t xml:space="preserve">jen </w:t>
      </w:r>
      <w:r w:rsidR="089A7E4F" w:rsidRPr="003D1E07">
        <w:t xml:space="preserve">nedělitelná atomární jednotka univerzálního </w:t>
      </w:r>
      <w:r w:rsidR="08393F89" w:rsidRPr="003D1E07">
        <w:t xml:space="preserve">a dále nedělitelného </w:t>
      </w:r>
      <w:r w:rsidR="089A7E4F" w:rsidRPr="003D1E07">
        <w:t xml:space="preserve">specifického významu. Proto citát pokračuje tím, </w:t>
      </w:r>
      <w:r w:rsidR="089A7E4F" w:rsidRPr="003D1E07">
        <w:lastRenderedPageBreak/>
        <w:t>že individuum tvoří část druhu</w:t>
      </w:r>
      <w:r w:rsidR="088E6AFA" w:rsidRPr="003D1E07">
        <w:t xml:space="preserve">, který jako jediný tvoří poslední celek významu (τὸ δὲ εἶδος καὶ ὅλον). Proto má individuum </w:t>
      </w:r>
      <w:r w:rsidR="08CE6F1C" w:rsidRPr="003D1E07">
        <w:t xml:space="preserve">kategoriální </w:t>
      </w:r>
      <w:r w:rsidR="089A7E4F" w:rsidRPr="003D1E07">
        <w:t xml:space="preserve">charakter </w:t>
      </w:r>
      <w:r w:rsidR="00F214C5" w:rsidRPr="003D1E07">
        <w:t>species</w:t>
      </w:r>
      <w:r w:rsidR="088E6AFA" w:rsidRPr="003D1E07">
        <w:t>, ale jen částečný, protože je od tohoto celku odděle</w:t>
      </w:r>
      <w:r w:rsidR="00474505" w:rsidRPr="003D1E07">
        <w:t>no poslední diferencí významu.</w:t>
      </w:r>
      <w:r w:rsidR="004272D2" w:rsidRPr="003D1E07">
        <w:t xml:space="preserve"> </w:t>
      </w:r>
      <w:r w:rsidR="00474505" w:rsidRPr="003D1E07">
        <w:t>Řecký originál nemá žádné nejasnosti, které ovlivnily latinský překlad a následně celou moderní tradici. Individua jsou součástí druhu (ἄτομον μέρος) a jen tak je lze definovat (</w:t>
      </w:r>
      <w:r w:rsidR="00474505" w:rsidRPr="003D1E07">
        <w:rPr>
          <w:i/>
        </w:rPr>
        <w:t>totum</w:t>
      </w:r>
      <w:r w:rsidR="00474505" w:rsidRPr="003D1E07">
        <w:t xml:space="preserve">). </w:t>
      </w:r>
      <w:r w:rsidR="088E6AFA" w:rsidRPr="003D1E07">
        <w:t>Druh tvoří poslední významový celek vzhledem k individuím proto, že zakládá supozici po</w:t>
      </w:r>
      <w:r w:rsidR="082552C7" w:rsidRPr="003D1E07">
        <w:t>s</w:t>
      </w:r>
      <w:r w:rsidR="088E6AFA" w:rsidRPr="003D1E07">
        <w:t xml:space="preserve">ledního celistvého </w:t>
      </w:r>
      <w:r w:rsidR="082552C7" w:rsidRPr="003D1E07">
        <w:t xml:space="preserve">specifického </w:t>
      </w:r>
      <w:r w:rsidR="088E6AFA" w:rsidRPr="003D1E07">
        <w:t>významu (τὸ ὅλον) pro individuální atomární jednotky (τοῖς μέρεσι).</w:t>
      </w:r>
      <w:r w:rsidR="0892025E" w:rsidRPr="003D1E07">
        <w:t xml:space="preserve"> Toto </w:t>
      </w:r>
      <w:r w:rsidR="00D1108F" w:rsidRPr="003D1E07">
        <w:t xml:space="preserve">poslední </w:t>
      </w:r>
      <w:r w:rsidR="0892025E" w:rsidRPr="003D1E07">
        <w:t xml:space="preserve">dělení vezme moderní </w:t>
      </w:r>
      <w:r w:rsidR="00855211" w:rsidRPr="003D1E07">
        <w:t xml:space="preserve">metafyzika </w:t>
      </w:r>
      <w:r w:rsidR="0892025E" w:rsidRPr="003D1E07">
        <w:t xml:space="preserve">a na tomto základě určí nový kategoriální vztah </w:t>
      </w:r>
      <w:r w:rsidR="00F0687D">
        <w:t>totálně chybné „</w:t>
      </w:r>
      <w:r w:rsidR="0892025E" w:rsidRPr="003D1E07">
        <w:t>první substance</w:t>
      </w:r>
      <w:r w:rsidR="00F0687D">
        <w:t>“</w:t>
      </w:r>
      <w:r w:rsidR="0892025E" w:rsidRPr="003D1E07">
        <w:t xml:space="preserve"> (</w:t>
      </w:r>
      <w:r w:rsidR="0892025E" w:rsidRPr="003D1E07">
        <w:rPr>
          <w:i/>
        </w:rPr>
        <w:t>individuum</w:t>
      </w:r>
      <w:r w:rsidR="0892025E" w:rsidRPr="003D1E07">
        <w:t>) a druhé substance (</w:t>
      </w:r>
      <w:r w:rsidR="00F214C5" w:rsidRPr="0079602B">
        <w:rPr>
          <w:i/>
        </w:rPr>
        <w:t>species</w:t>
      </w:r>
      <w:r w:rsidR="0892025E" w:rsidRPr="003D1E07">
        <w:t xml:space="preserve">). </w:t>
      </w:r>
      <w:r w:rsidR="008534A8" w:rsidRPr="008534A8">
        <w:t>Další svazky ukazují, jak tento vztah mezi individuem a druhem zakládá objekt</w:t>
      </w:r>
      <w:r w:rsidR="008534A8">
        <w:t>ivní sofisma</w:t>
      </w:r>
      <w:r w:rsidR="008534A8" w:rsidRPr="008534A8">
        <w:t xml:space="preserve"> v</w:t>
      </w:r>
      <w:r w:rsidR="008534A8">
        <w:t xml:space="preserve"> kategoriální </w:t>
      </w:r>
      <w:r w:rsidR="008534A8" w:rsidRPr="008534A8">
        <w:t xml:space="preserve">predikaci </w:t>
      </w:r>
      <w:r w:rsidR="008534A8">
        <w:t>a moderní metafyzice známé jako Heideggerův „</w:t>
      </w:r>
      <w:r w:rsidR="008534A8" w:rsidRPr="008534A8">
        <w:rPr>
          <w:i/>
        </w:rPr>
        <w:t>Irrtum</w:t>
      </w:r>
      <w:r w:rsidR="008534A8">
        <w:t>“</w:t>
      </w:r>
      <w:r w:rsidR="008534A8" w:rsidRPr="008534A8">
        <w:t>.</w:t>
      </w:r>
    </w:p>
    <w:p w14:paraId="5011F96A" w14:textId="77777777" w:rsidR="007A445F" w:rsidRDefault="0847464A" w:rsidP="00FC2305">
      <w:pPr>
        <w:ind w:firstLine="397"/>
      </w:pPr>
      <w:r w:rsidRPr="003D1E07">
        <w:t xml:space="preserve">Porfyrius, Boethius a jejich </w:t>
      </w:r>
      <w:r w:rsidR="08882432" w:rsidRPr="003D1E07">
        <w:t xml:space="preserve">klasiční nástupci </w:t>
      </w:r>
      <w:r w:rsidRPr="003D1E07">
        <w:t xml:space="preserve">na latinském Západě </w:t>
      </w:r>
      <w:r w:rsidR="08882432" w:rsidRPr="003D1E07">
        <w:t xml:space="preserve">tvrdí, že individua jako univerzálie dostávají abstraktní bytí pouze v mysli dialektika a jejich determinace jde od nadřazených </w:t>
      </w:r>
      <w:r w:rsidR="00F214C5" w:rsidRPr="003D1E07">
        <w:t>species</w:t>
      </w:r>
      <w:r w:rsidR="08882432" w:rsidRPr="003D1E07">
        <w:t xml:space="preserve">. Vzaty samy </w:t>
      </w:r>
      <w:r w:rsidR="00A40840" w:rsidRPr="003D1E07">
        <w:t>o sobě, individua nemohou být univoční</w:t>
      </w:r>
      <w:r w:rsidR="08882432" w:rsidRPr="003D1E07">
        <w:t>, proto</w:t>
      </w:r>
      <w:r w:rsidR="08F054F3" w:rsidRPr="003D1E07">
        <w:t>že</w:t>
      </w:r>
      <w:r w:rsidR="08882432" w:rsidRPr="003D1E07">
        <w:t xml:space="preserve"> tvoří </w:t>
      </w:r>
      <w:r w:rsidR="08047D66" w:rsidRPr="003D1E07">
        <w:t xml:space="preserve">jen </w:t>
      </w:r>
      <w:r w:rsidR="08882432" w:rsidRPr="003D1E07">
        <w:t xml:space="preserve">část </w:t>
      </w:r>
      <w:r w:rsidR="00F214C5" w:rsidRPr="003D1E07">
        <w:t>species</w:t>
      </w:r>
      <w:r w:rsidR="08882432" w:rsidRPr="003D1E07">
        <w:t xml:space="preserve">. </w:t>
      </w:r>
      <w:r w:rsidR="08DD718C" w:rsidRPr="003D1E07">
        <w:t>Individuum je u Porfyria celek (</w:t>
      </w:r>
      <w:r w:rsidR="08DD718C" w:rsidRPr="003D1E07">
        <w:rPr>
          <w:i/>
        </w:rPr>
        <w:t>totum</w:t>
      </w:r>
      <w:r w:rsidR="08DD718C" w:rsidRPr="003D1E07">
        <w:t xml:space="preserve">) ve zcela specifickém významu, kdy je univerzální význam </w:t>
      </w:r>
      <w:r w:rsidR="00F214C5" w:rsidRPr="003D1E07">
        <w:t>species</w:t>
      </w:r>
      <w:r w:rsidR="08F054F3" w:rsidRPr="003D1E07">
        <w:t xml:space="preserve"> </w:t>
      </w:r>
      <w:r w:rsidR="08DD718C" w:rsidRPr="003D1E07">
        <w:t xml:space="preserve">již oddělený pouze od nicoty. </w:t>
      </w:r>
      <w:r w:rsidR="08F054F3" w:rsidRPr="003D1E07">
        <w:t>Posledním specifickým dělením se již individua liší jen mezi sebou</w:t>
      </w:r>
      <w:r w:rsidR="08A30D34" w:rsidRPr="003D1E07">
        <w:t xml:space="preserve"> (ἐν ἄλλοις)</w:t>
      </w:r>
      <w:r w:rsidR="00FC2305">
        <w:t xml:space="preserve">. Individua se liší jen mezi sebou a nijak jinak. </w:t>
      </w:r>
      <w:r w:rsidR="00FC2305" w:rsidRPr="00642EF7">
        <w:t>Toto dělení</w:t>
      </w:r>
      <w:r w:rsidR="00711C06">
        <w:t xml:space="preserve"> odpovídá lingvistickému pojmu „</w:t>
      </w:r>
      <w:r w:rsidR="00FC2305" w:rsidRPr="00642EF7">
        <w:rPr>
          <w:i/>
        </w:rPr>
        <w:t>valeur</w:t>
      </w:r>
      <w:r w:rsidR="00C8346C">
        <w:rPr>
          <w:i/>
        </w:rPr>
        <w:fldChar w:fldCharType="begin"/>
      </w:r>
      <w:r w:rsidR="00C8346C">
        <w:instrText xml:space="preserve"> XE "</w:instrText>
      </w:r>
      <w:r w:rsidR="00C8346C" w:rsidRPr="004834C3">
        <w:rPr>
          <w:i/>
        </w:rPr>
        <w:instrText>valeur</w:instrText>
      </w:r>
      <w:r w:rsidR="00C8346C">
        <w:instrText xml:space="preserve">" </w:instrText>
      </w:r>
      <w:r w:rsidR="00C8346C">
        <w:rPr>
          <w:i/>
        </w:rPr>
        <w:fldChar w:fldCharType="end"/>
      </w:r>
      <w:r w:rsidR="00711C06">
        <w:t>“</w:t>
      </w:r>
      <w:r w:rsidR="00FC2305" w:rsidRPr="00642EF7">
        <w:t>, který Saussure vzal za základ pro vytvoření systému struktur</w:t>
      </w:r>
      <w:r w:rsidR="00FC2305">
        <w:t>álních diferencí,</w:t>
      </w:r>
      <w:r w:rsidR="00FC2305" w:rsidRPr="00642EF7">
        <w:t xml:space="preserve"> jak bylo zmíněno v úvodní části knihy.</w:t>
      </w:r>
      <w:r w:rsidR="00FC2305">
        <w:t xml:space="preserve"> To </w:t>
      </w:r>
      <w:r w:rsidR="08F054F3" w:rsidRPr="003D1E07">
        <w:t xml:space="preserve">je úplně nejslabší stupeň </w:t>
      </w:r>
      <w:r w:rsidR="00CF6543" w:rsidRPr="003D1E07">
        <w:t xml:space="preserve">univocity vytvořené supozicí a </w:t>
      </w:r>
      <w:r w:rsidR="08F054F3" w:rsidRPr="003D1E07">
        <w:t xml:space="preserve">pouze v mysli. </w:t>
      </w:r>
      <w:r w:rsidR="00CF6543" w:rsidRPr="003D1E07">
        <w:t xml:space="preserve">Bez impozice významu dané skrze species by </w:t>
      </w:r>
      <w:r w:rsidR="00CF6543" w:rsidRPr="003D1E07">
        <w:rPr>
          <w:i/>
        </w:rPr>
        <w:t>individuum</w:t>
      </w:r>
      <w:r w:rsidR="00CF6543" w:rsidRPr="003D1E07">
        <w:t xml:space="preserve"> nemělo vůbec žádnou univocitu. </w:t>
      </w:r>
      <w:r w:rsidR="08DD718C" w:rsidRPr="003D1E07">
        <w:t>Na tomto nih</w:t>
      </w:r>
      <w:r w:rsidR="08FB5885" w:rsidRPr="003D1E07">
        <w:t>i</w:t>
      </w:r>
      <w:r w:rsidR="08DD718C" w:rsidRPr="003D1E07">
        <w:t xml:space="preserve">listickém základu vznikla epochální </w:t>
      </w:r>
      <w:r w:rsidR="08DD718C" w:rsidRPr="003D1E07">
        <w:rPr>
          <w:i/>
        </w:rPr>
        <w:t>Irre</w:t>
      </w:r>
      <w:r w:rsidR="08DD718C" w:rsidRPr="003D1E07">
        <w:rPr>
          <w:i/>
        </w:rPr>
        <w:fldChar w:fldCharType="begin"/>
      </w:r>
      <w:r w:rsidR="08DD718C" w:rsidRPr="003D1E07">
        <w:instrText xml:space="preserve"> XE "</w:instrText>
      </w:r>
      <w:r w:rsidR="08DD718C" w:rsidRPr="003D1E07">
        <w:rPr>
          <w:i/>
        </w:rPr>
        <w:instrText>Irre</w:instrText>
      </w:r>
      <w:r w:rsidR="08DD718C" w:rsidRPr="003D1E07">
        <w:instrText xml:space="preserve">" </w:instrText>
      </w:r>
      <w:r w:rsidR="08DD718C" w:rsidRPr="003D1E07">
        <w:rPr>
          <w:i/>
        </w:rPr>
        <w:fldChar w:fldCharType="end"/>
      </w:r>
      <w:r w:rsidR="08DD718C" w:rsidRPr="003D1E07">
        <w:t xml:space="preserve"> moderní metafyziky. </w:t>
      </w:r>
      <w:r w:rsidR="08487435" w:rsidRPr="003D1E07">
        <w:t>O</w:t>
      </w:r>
      <w:r w:rsidR="0826646C" w:rsidRPr="003D1E07">
        <w:t xml:space="preserve">riginální výklad termínu </w:t>
      </w:r>
      <w:r w:rsidR="00D02E68" w:rsidRPr="003D1E07">
        <w:rPr>
          <w:i/>
        </w:rPr>
        <w:t>individuum</w:t>
      </w:r>
      <w:r w:rsidR="00D02E68" w:rsidRPr="003D1E07">
        <w:t xml:space="preserve"> (τὸ ἄτομον) </w:t>
      </w:r>
      <w:r w:rsidR="0826646C" w:rsidRPr="003D1E07">
        <w:t xml:space="preserve">podle </w:t>
      </w:r>
      <w:r w:rsidR="0826646C" w:rsidRPr="003D1E07">
        <w:rPr>
          <w:i/>
        </w:rPr>
        <w:t>Kategorií</w:t>
      </w:r>
      <w:r w:rsidR="08487435" w:rsidRPr="003D1E07">
        <w:t xml:space="preserve"> a Porfýriova výkladu </w:t>
      </w:r>
      <w:r w:rsidR="0826646C" w:rsidRPr="003D1E07">
        <w:t xml:space="preserve">v </w:t>
      </w:r>
      <w:r w:rsidR="08ED7B48" w:rsidRPr="003D1E07">
        <w:t>dalším výkladu neoplatoniků jak</w:t>
      </w:r>
      <w:r w:rsidR="0826646C" w:rsidRPr="003D1E07">
        <w:t xml:space="preserve">o Simplikius úplně zmizel. </w:t>
      </w:r>
      <w:r w:rsidR="000010BA" w:rsidRPr="003D1E07">
        <w:t xml:space="preserve">Individuum určuje </w:t>
      </w:r>
      <w:r w:rsidR="08CE59FA" w:rsidRPr="003D1E07">
        <w:t>fakt, že spe</w:t>
      </w:r>
      <w:r w:rsidR="08FB5885" w:rsidRPr="003D1E07">
        <w:t>cifická univerzalita</w:t>
      </w:r>
      <w:r w:rsidR="08CE59FA" w:rsidRPr="003D1E07">
        <w:t xml:space="preserve"> je </w:t>
      </w:r>
      <w:r w:rsidR="000010BA" w:rsidRPr="003D1E07">
        <w:t xml:space="preserve">po posledním </w:t>
      </w:r>
      <w:r w:rsidR="08CE59FA" w:rsidRPr="003D1E07">
        <w:t xml:space="preserve">dělení </w:t>
      </w:r>
      <w:r w:rsidR="000010BA" w:rsidRPr="003D1E07">
        <w:t xml:space="preserve">dále nedělitelná a tato individualita už </w:t>
      </w:r>
      <w:r w:rsidR="08CE59FA" w:rsidRPr="003D1E07">
        <w:t>nic ví</w:t>
      </w:r>
      <w:r w:rsidR="08FB5885" w:rsidRPr="003D1E07">
        <w:t>c</w:t>
      </w:r>
      <w:r w:rsidR="08CE59FA" w:rsidRPr="003D1E07">
        <w:t xml:space="preserve"> neobsahuje. Toto in</w:t>
      </w:r>
      <w:r w:rsidR="080A3292" w:rsidRPr="003D1E07">
        <w:t xml:space="preserve">dividuum nemůže být ani esencí ani druhou substancí. Esence předpokládá definici autonomně daného </w:t>
      </w:r>
      <w:r w:rsidR="0801071E" w:rsidRPr="003D1E07">
        <w:t xml:space="preserve">atomárního </w:t>
      </w:r>
      <w:r w:rsidR="080A3292" w:rsidRPr="003D1E07">
        <w:t xml:space="preserve">významu podle supozice skrze </w:t>
      </w:r>
      <w:r w:rsidR="00F214C5" w:rsidRPr="003D1E07">
        <w:t>species</w:t>
      </w:r>
      <w:r w:rsidR="00860B63" w:rsidRPr="003D1E07">
        <w:t xml:space="preserve"> a rody. D</w:t>
      </w:r>
      <w:r w:rsidR="080A3292" w:rsidRPr="003D1E07">
        <w:t xml:space="preserve">ruhá substance má dokonce </w:t>
      </w:r>
      <w:r w:rsidR="00860B63" w:rsidRPr="003D1E07">
        <w:t>univoční a kategoriální význam daný skrze impozici od první substance</w:t>
      </w:r>
      <w:r w:rsidR="080A3292" w:rsidRPr="003D1E07">
        <w:t xml:space="preserve">. Individuum jako atomární substance představuje pouhé </w:t>
      </w:r>
      <w:r w:rsidR="08CE59FA" w:rsidRPr="003D1E07">
        <w:t>dialektické dělení čistých univerzálních</w:t>
      </w:r>
      <w:r w:rsidR="08C07EFE" w:rsidRPr="003D1E07">
        <w:t xml:space="preserve"> význ</w:t>
      </w:r>
      <w:r w:rsidR="08CE59FA" w:rsidRPr="003D1E07">
        <w:t>amů</w:t>
      </w:r>
      <w:r w:rsidR="00C77C6D" w:rsidRPr="003D1E07">
        <w:t xml:space="preserve"> daných univočně a metafyzicky</w:t>
      </w:r>
      <w:r w:rsidR="08CE59FA" w:rsidRPr="003D1E07">
        <w:t xml:space="preserve">. </w:t>
      </w:r>
      <w:r w:rsidR="0826646C" w:rsidRPr="003D1E07">
        <w:t xml:space="preserve">Individuum </w:t>
      </w:r>
      <w:r w:rsidR="08AB2C1E" w:rsidRPr="003D1E07">
        <w:t>už není skoro nic</w:t>
      </w:r>
      <w:r w:rsidR="08C56216" w:rsidRPr="003D1E07">
        <w:t xml:space="preserve">, </w:t>
      </w:r>
      <w:r w:rsidR="08AB2C1E" w:rsidRPr="003D1E07">
        <w:t>pro</w:t>
      </w:r>
      <w:r w:rsidR="08C07EFE" w:rsidRPr="003D1E07">
        <w:t>t</w:t>
      </w:r>
      <w:r w:rsidR="08AB2C1E" w:rsidRPr="003D1E07">
        <w:t>o</w:t>
      </w:r>
      <w:r w:rsidR="08C07EFE" w:rsidRPr="003D1E07">
        <w:t xml:space="preserve"> </w:t>
      </w:r>
      <w:r w:rsidR="0820296E" w:rsidRPr="003D1E07">
        <w:t xml:space="preserve">stojí </w:t>
      </w:r>
      <w:r w:rsidR="0826646C" w:rsidRPr="003D1E07">
        <w:t xml:space="preserve">v řádu univerzální supozice nejdále </w:t>
      </w:r>
      <w:r w:rsidR="0820296E" w:rsidRPr="003D1E07">
        <w:t xml:space="preserve">jak </w:t>
      </w:r>
      <w:r w:rsidR="0826646C" w:rsidRPr="003D1E07">
        <w:t xml:space="preserve">od </w:t>
      </w:r>
      <w:r w:rsidR="0820296E" w:rsidRPr="003D1E07">
        <w:t xml:space="preserve">reálné </w:t>
      </w:r>
      <w:r w:rsidR="0826646C" w:rsidRPr="003D1E07">
        <w:t>první substance</w:t>
      </w:r>
      <w:r w:rsidR="0820296E" w:rsidRPr="003D1E07">
        <w:t xml:space="preserve"> tak od rodové </w:t>
      </w:r>
      <w:r w:rsidR="00CA5FE7" w:rsidRPr="003D1E07">
        <w:t xml:space="preserve">a specifické </w:t>
      </w:r>
      <w:r w:rsidR="0820296E" w:rsidRPr="003D1E07">
        <w:t xml:space="preserve">univerzality. </w:t>
      </w:r>
      <w:r w:rsidR="08C56216" w:rsidRPr="003D1E07">
        <w:t>J</w:t>
      </w:r>
      <w:r w:rsidR="0820296E" w:rsidRPr="003D1E07">
        <w:t xml:space="preserve">eho univerzální význam </w:t>
      </w:r>
      <w:r w:rsidR="0826646C" w:rsidRPr="003D1E07">
        <w:lastRenderedPageBreak/>
        <w:t xml:space="preserve">vzniká až </w:t>
      </w:r>
      <w:r w:rsidR="0820296E" w:rsidRPr="003D1E07">
        <w:t xml:space="preserve">na samém konci </w:t>
      </w:r>
      <w:r w:rsidR="0826646C" w:rsidRPr="003D1E07">
        <w:t xml:space="preserve">po </w:t>
      </w:r>
      <w:r w:rsidR="08AE2724" w:rsidRPr="003D1E07">
        <w:t xml:space="preserve">kompletně </w:t>
      </w:r>
      <w:r w:rsidR="0820296E" w:rsidRPr="003D1E07">
        <w:t xml:space="preserve">provedené </w:t>
      </w:r>
      <w:r w:rsidR="0826646C" w:rsidRPr="003D1E07">
        <w:t>diferenci</w:t>
      </w:r>
      <w:r w:rsidR="0820296E" w:rsidRPr="003D1E07">
        <w:t xml:space="preserve">aci rodového </w:t>
      </w:r>
      <w:r w:rsidR="088E6D85" w:rsidRPr="003D1E07">
        <w:t xml:space="preserve">a druhového </w:t>
      </w:r>
      <w:r w:rsidR="0820296E" w:rsidRPr="003D1E07">
        <w:t>významu</w:t>
      </w:r>
      <w:r w:rsidR="0826646C" w:rsidRPr="003D1E07">
        <w:t xml:space="preserve">. Pak je jasné, že z hlediska </w:t>
      </w:r>
      <w:r w:rsidR="001D48C9" w:rsidRPr="003D1E07">
        <w:t xml:space="preserve">supozice </w:t>
      </w:r>
      <w:r w:rsidR="0826646C" w:rsidRPr="003D1E07">
        <w:t>ustavující náhle</w:t>
      </w:r>
      <w:r w:rsidR="089636E6" w:rsidRPr="003D1E07">
        <w:t>d jsoucna od nejvyšší</w:t>
      </w:r>
      <w:r w:rsidR="0826646C" w:rsidRPr="003D1E07">
        <w:t xml:space="preserve"> </w:t>
      </w:r>
      <w:r w:rsidR="089636E6" w:rsidRPr="003D1E07">
        <w:t xml:space="preserve">společné </w:t>
      </w:r>
      <w:r w:rsidR="00DA4D3E" w:rsidRPr="003D1E07">
        <w:t xml:space="preserve">metafyzické </w:t>
      </w:r>
      <w:r w:rsidR="08AE2724" w:rsidRPr="003D1E07">
        <w:t>jednoty (</w:t>
      </w:r>
      <w:r w:rsidR="08AE2724" w:rsidRPr="003D1E07">
        <w:rPr>
          <w:i/>
        </w:rPr>
        <w:t>t</w:t>
      </w:r>
      <w:r w:rsidR="08AE2724" w:rsidRPr="003D1E07">
        <w:rPr>
          <w:i/>
          <w:color w:val="000000"/>
        </w:rPr>
        <w:t xml:space="preserve">otum est </w:t>
      </w:r>
      <w:r w:rsidR="00636BD4" w:rsidRPr="003D1E07">
        <w:rPr>
          <w:i/>
          <w:color w:val="000000"/>
        </w:rPr>
        <w:t>genus</w:t>
      </w:r>
      <w:r w:rsidR="08AE2724" w:rsidRPr="003D1E07">
        <w:t xml:space="preserve">) </w:t>
      </w:r>
      <w:r w:rsidR="0826646C" w:rsidRPr="003D1E07">
        <w:t xml:space="preserve">je význam </w:t>
      </w:r>
      <w:r w:rsidR="001D48C9" w:rsidRPr="003D1E07">
        <w:t xml:space="preserve">individua </w:t>
      </w:r>
      <w:r w:rsidR="08C32D3B" w:rsidRPr="003D1E07">
        <w:t xml:space="preserve">nejvíce </w:t>
      </w:r>
      <w:r w:rsidR="0826646C" w:rsidRPr="003D1E07">
        <w:t xml:space="preserve">vzdálen od univerzálního významu druhé substance </w:t>
      </w:r>
      <w:r w:rsidR="089636E6" w:rsidRPr="003D1E07">
        <w:t xml:space="preserve">univočně </w:t>
      </w:r>
      <w:r w:rsidR="08047F3A" w:rsidRPr="003D1E07">
        <w:t>dané jako rod</w:t>
      </w:r>
      <w:r w:rsidR="0826646C" w:rsidRPr="003D1E07">
        <w:t>. Individuum už obsahuje pouze minimální univerzalitu</w:t>
      </w:r>
      <w:r w:rsidR="08047F3A" w:rsidRPr="003D1E07">
        <w:t>, proto</w:t>
      </w:r>
      <w:r w:rsidR="080D27A4" w:rsidRPr="003D1E07">
        <w:t xml:space="preserve">že stojí až na konci </w:t>
      </w:r>
      <w:r w:rsidR="0876743F" w:rsidRPr="003D1E07">
        <w:t>dělení</w:t>
      </w:r>
      <w:r w:rsidR="080D27A4" w:rsidRPr="003D1E07">
        <w:t xml:space="preserve">. </w:t>
      </w:r>
      <w:r w:rsidR="08566965" w:rsidRPr="003D1E07">
        <w:t xml:space="preserve">Z hlediska hyparchické predikace </w:t>
      </w:r>
      <w:r w:rsidR="00301272" w:rsidRPr="003D1E07">
        <w:t xml:space="preserve">je individuum </w:t>
      </w:r>
      <w:r w:rsidR="08566965" w:rsidRPr="003D1E07">
        <w:t>téměř nejsoucí</w:t>
      </w:r>
      <w:r w:rsidR="00744BAA">
        <w:t xml:space="preserve"> a tvoří součást species</w:t>
      </w:r>
      <w:r w:rsidR="08566965" w:rsidRPr="003D1E07">
        <w:t>. J</w:t>
      </w:r>
      <w:r w:rsidR="08927361" w:rsidRPr="003D1E07">
        <w:t>eho existence je</w:t>
      </w:r>
      <w:r w:rsidR="08566965" w:rsidRPr="003D1E07">
        <w:t xml:space="preserve"> dána pouze v mysli pozn</w:t>
      </w:r>
      <w:r w:rsidR="08927361" w:rsidRPr="003D1E07">
        <w:t>ávajícího a v predikaci</w:t>
      </w:r>
      <w:r w:rsidR="08566965" w:rsidRPr="003D1E07">
        <w:t xml:space="preserve"> </w:t>
      </w:r>
      <w:r w:rsidR="00B77747" w:rsidRPr="003D1E07">
        <w:t xml:space="preserve">univočních metafyzických </w:t>
      </w:r>
      <w:r w:rsidR="08566965" w:rsidRPr="003D1E07">
        <w:t xml:space="preserve">univerzálií stojí až na konci řady dělení univerzálního významu. </w:t>
      </w:r>
      <w:r w:rsidR="08516990" w:rsidRPr="003D1E07">
        <w:t xml:space="preserve">Vzhledem ke </w:t>
      </w:r>
      <w:r w:rsidR="00636BD4" w:rsidRPr="003D1E07">
        <w:t>genus</w:t>
      </w:r>
      <w:r w:rsidR="08516990" w:rsidRPr="003D1E07">
        <w:t xml:space="preserve"> a </w:t>
      </w:r>
      <w:r w:rsidR="00F214C5" w:rsidRPr="003D1E07">
        <w:t>species</w:t>
      </w:r>
      <w:r w:rsidR="08516990" w:rsidRPr="003D1E07">
        <w:t xml:space="preserve"> se</w:t>
      </w:r>
      <w:r w:rsidR="08431B1F" w:rsidRPr="003D1E07">
        <w:t xml:space="preserve"> individuum </w:t>
      </w:r>
      <w:r w:rsidR="08516990" w:rsidRPr="003D1E07">
        <w:t>odlišu</w:t>
      </w:r>
      <w:r w:rsidR="08431B1F" w:rsidRPr="003D1E07">
        <w:t>j</w:t>
      </w:r>
      <w:r w:rsidR="08516990" w:rsidRPr="003D1E07">
        <w:t>e tím, že je už dále nedělitelné</w:t>
      </w:r>
      <w:r w:rsidR="08C84506" w:rsidRPr="003D1E07">
        <w:t xml:space="preserve"> na podřazené části</w:t>
      </w:r>
      <w:r w:rsidR="08516990" w:rsidRPr="003D1E07">
        <w:t>, což tvoří jeho jinakovost</w:t>
      </w:r>
      <w:r w:rsidR="0887136C" w:rsidRPr="003D1E07">
        <w:t xml:space="preserve"> proti dělitelnosti rodu a druhu</w:t>
      </w:r>
      <w:r w:rsidR="08516990" w:rsidRPr="003D1E07">
        <w:t xml:space="preserve">. </w:t>
      </w:r>
      <w:r w:rsidR="08B07052" w:rsidRPr="003D1E07">
        <w:t xml:space="preserve">Za individuem už </w:t>
      </w:r>
      <w:r w:rsidR="08F37A55" w:rsidRPr="003D1E07">
        <w:t xml:space="preserve">nic není a čisté nejsoucno nelze ani myslet ani predikovat. </w:t>
      </w:r>
      <w:r w:rsidR="084866F3" w:rsidRPr="003D1E07">
        <w:t xml:space="preserve">Individuum </w:t>
      </w:r>
      <w:r w:rsidR="08ED2BF5" w:rsidRPr="003D1E07">
        <w:t>nemůže samo o sobě ustavit žádný</w:t>
      </w:r>
      <w:r w:rsidR="006F243D" w:rsidRPr="003D1E07">
        <w:t xml:space="preserve"> univerzální význam</w:t>
      </w:r>
      <w:r w:rsidR="080079BB" w:rsidRPr="003D1E07">
        <w:t xml:space="preserve">, </w:t>
      </w:r>
      <w:r w:rsidR="006F243D" w:rsidRPr="003D1E07">
        <w:t xml:space="preserve">proto </w:t>
      </w:r>
      <w:r w:rsidR="080079BB" w:rsidRPr="003D1E07">
        <w:t xml:space="preserve">je od generického </w:t>
      </w:r>
      <w:r w:rsidR="006F243D" w:rsidRPr="003D1E07">
        <w:t xml:space="preserve">a specifického </w:t>
      </w:r>
      <w:r w:rsidR="080079BB" w:rsidRPr="003D1E07">
        <w:t xml:space="preserve">významu odvozeno na konci </w:t>
      </w:r>
      <w:r w:rsidR="08045555" w:rsidRPr="003D1E07">
        <w:t xml:space="preserve">dialektické </w:t>
      </w:r>
      <w:r w:rsidR="080079BB" w:rsidRPr="003D1E07">
        <w:t>řady</w:t>
      </w:r>
      <w:r w:rsidR="08ED2BF5" w:rsidRPr="003D1E07">
        <w:t>. Připomeňme fundamentální význam této teze</w:t>
      </w:r>
      <w:r w:rsidR="006F243D" w:rsidRPr="003D1E07">
        <w:t>. Moderní</w:t>
      </w:r>
      <w:r w:rsidR="08ED2BF5" w:rsidRPr="003D1E07">
        <w:t xml:space="preserve"> určení individua </w:t>
      </w:r>
      <w:r w:rsidR="006F243D" w:rsidRPr="003D1E07">
        <w:t xml:space="preserve">je dáno </w:t>
      </w:r>
      <w:r w:rsidR="08ED2BF5" w:rsidRPr="003D1E07">
        <w:t xml:space="preserve">v modu epochálního </w:t>
      </w:r>
      <w:r w:rsidR="08ED2BF5" w:rsidRPr="003D1E07">
        <w:rPr>
          <w:i/>
        </w:rPr>
        <w:t>Irrtum</w:t>
      </w:r>
      <w:r w:rsidR="08ED2BF5" w:rsidRPr="003D1E07">
        <w:t xml:space="preserve">. Atomární jednotka daná posledním dělením univerzálního významu </w:t>
      </w:r>
      <w:r w:rsidR="083B5667" w:rsidRPr="003D1E07">
        <w:t>(</w:t>
      </w:r>
      <w:r w:rsidR="00BD394C" w:rsidRPr="003D1E07">
        <w:t>τὸ ἄτομον</w:t>
      </w:r>
      <w:r w:rsidR="083B5667" w:rsidRPr="003D1E07">
        <w:fldChar w:fldCharType="begin"/>
      </w:r>
      <w:r w:rsidR="083B5667" w:rsidRPr="003D1E07">
        <w:instrText xml:space="preserve"> XE "substance:atomární" </w:instrText>
      </w:r>
      <w:r w:rsidR="083B5667" w:rsidRPr="003D1E07">
        <w:fldChar w:fldCharType="end"/>
      </w:r>
      <w:r w:rsidR="083B5667" w:rsidRPr="003D1E07">
        <w:t xml:space="preserve">, </w:t>
      </w:r>
      <w:r w:rsidR="083B5667" w:rsidRPr="003D1E07">
        <w:rPr>
          <w:i/>
        </w:rPr>
        <w:t>individuum</w:t>
      </w:r>
      <w:r w:rsidR="083B5667" w:rsidRPr="003D1E07">
        <w:fldChar w:fldCharType="begin"/>
      </w:r>
      <w:r w:rsidR="083B5667" w:rsidRPr="003D1E07">
        <w:instrText xml:space="preserve"> XE "substance:individuum" </w:instrText>
      </w:r>
      <w:r w:rsidR="083B5667" w:rsidRPr="003D1E07">
        <w:fldChar w:fldCharType="end"/>
      </w:r>
      <w:r w:rsidR="083B5667" w:rsidRPr="003D1E07">
        <w:t xml:space="preserve">) obsahuje </w:t>
      </w:r>
      <w:r w:rsidR="0853487A" w:rsidRPr="003D1E07">
        <w:t xml:space="preserve">minimální </w:t>
      </w:r>
      <w:r w:rsidR="08ED2BF5" w:rsidRPr="003D1E07">
        <w:t>význam z podsta</w:t>
      </w:r>
      <w:r w:rsidR="083B5667" w:rsidRPr="003D1E07">
        <w:t>t</w:t>
      </w:r>
      <w:r w:rsidR="08ED2BF5" w:rsidRPr="003D1E07">
        <w:t xml:space="preserve">y </w:t>
      </w:r>
      <w:r w:rsidR="083B5667" w:rsidRPr="003D1E07">
        <w:t>aristo</w:t>
      </w:r>
      <w:r w:rsidR="0853487A" w:rsidRPr="003D1E07">
        <w:t xml:space="preserve">telského dělení kategoriálního významu </w:t>
      </w:r>
      <w:r w:rsidR="08A653F4" w:rsidRPr="003D1E07">
        <w:t>(</w:t>
      </w:r>
      <w:r w:rsidR="08A653F4" w:rsidRPr="003D1E07">
        <w:rPr>
          <w:i/>
        </w:rPr>
        <w:t>totum</w:t>
      </w:r>
      <w:r w:rsidR="08A653F4" w:rsidRPr="003D1E07">
        <w:t>)</w:t>
      </w:r>
      <w:r w:rsidR="00545595" w:rsidRPr="003D1E07">
        <w:t xml:space="preserve">. </w:t>
      </w:r>
      <w:r w:rsidR="00B72551" w:rsidRPr="003D1E07">
        <w:t xml:space="preserve">Celek nyní označuje druhou substanci definovanou pouze v modu supozice. </w:t>
      </w:r>
      <w:r w:rsidR="00545595" w:rsidRPr="003D1E07">
        <w:t>Aristoteles zásadně změnil</w:t>
      </w:r>
      <w:r w:rsidR="0869785C" w:rsidRPr="003D1E07">
        <w:t xml:space="preserve"> </w:t>
      </w:r>
      <w:r w:rsidR="082409DB" w:rsidRPr="003D1E07">
        <w:t>p</w:t>
      </w:r>
      <w:r w:rsidR="0853487A" w:rsidRPr="003D1E07">
        <w:t>laton</w:t>
      </w:r>
      <w:r w:rsidR="082409DB" w:rsidRPr="003D1E07">
        <w:t xml:space="preserve">ské </w:t>
      </w:r>
      <w:r w:rsidR="0869785C" w:rsidRPr="003D1E07">
        <w:t>dělení nejvyšších rodů jsoucna (</w:t>
      </w:r>
      <w:r w:rsidR="0853487A" w:rsidRPr="003D1E07">
        <w:rPr>
          <w:rStyle w:val="st"/>
        </w:rPr>
        <w:t>διαίρεσις</w:t>
      </w:r>
      <w:r w:rsidR="0869785C" w:rsidRPr="003D1E07">
        <w:rPr>
          <w:rStyle w:val="st"/>
        </w:rPr>
        <w:t>)</w:t>
      </w:r>
      <w:r w:rsidR="0869785C" w:rsidRPr="003D1E07">
        <w:t xml:space="preserve">. </w:t>
      </w:r>
      <w:r w:rsidR="0827692A" w:rsidRPr="003D1E07">
        <w:t>Porfýriovo d</w:t>
      </w:r>
      <w:r w:rsidR="0869785C" w:rsidRPr="003D1E07">
        <w:t xml:space="preserve">ělení </w:t>
      </w:r>
      <w:r w:rsidR="00614C9A" w:rsidRPr="003D1E07">
        <w:t xml:space="preserve">univerzálií </w:t>
      </w:r>
      <w:r w:rsidR="00896966" w:rsidRPr="003D1E07">
        <w:t xml:space="preserve">proto </w:t>
      </w:r>
      <w:r w:rsidR="0869785C" w:rsidRPr="003D1E07">
        <w:t>běží jen v mysli a ne v realitě</w:t>
      </w:r>
      <w:r w:rsidR="0827692A" w:rsidRPr="003D1E07">
        <w:t xml:space="preserve"> a týká se pouze univočně</w:t>
      </w:r>
      <w:r w:rsidR="0869785C" w:rsidRPr="003D1E07">
        <w:t xml:space="preserve"> predikované druhé substance dané </w:t>
      </w:r>
      <w:r w:rsidR="085E4B11" w:rsidRPr="003D1E07">
        <w:t xml:space="preserve">v rámci supozice </w:t>
      </w:r>
      <w:r w:rsidR="086811BC" w:rsidRPr="003D1E07">
        <w:t>jako nej</w:t>
      </w:r>
      <w:r w:rsidR="0869785C" w:rsidRPr="003D1E07">
        <w:t>vyšší rod</w:t>
      </w:r>
      <w:r w:rsidR="08047F3A" w:rsidRPr="003D1E07">
        <w:t xml:space="preserve">. </w:t>
      </w:r>
      <w:r w:rsidR="00643D15" w:rsidRPr="003D1E07">
        <w:t xml:space="preserve">Rod je spojen supozicí s první substancí, ale tento způsob predikace potřebuje impozici, aby byl jednoznačný. Proto je </w:t>
      </w:r>
      <w:r w:rsidR="00636BD4" w:rsidRPr="003D1E07">
        <w:t>genus</w:t>
      </w:r>
      <w:r w:rsidR="08047F3A" w:rsidRPr="003D1E07">
        <w:t xml:space="preserve"> je</w:t>
      </w:r>
      <w:r w:rsidR="08C84F63" w:rsidRPr="003D1E07">
        <w:t xml:space="preserve"> </w:t>
      </w:r>
      <w:r w:rsidR="086811BC" w:rsidRPr="003D1E07">
        <w:t>naváz</w:t>
      </w:r>
      <w:r w:rsidR="08047F3A" w:rsidRPr="003D1E07">
        <w:t xml:space="preserve">án </w:t>
      </w:r>
      <w:r w:rsidR="08826ACE" w:rsidRPr="003D1E07">
        <w:t xml:space="preserve">v modu </w:t>
      </w:r>
      <w:r w:rsidR="08826ACE" w:rsidRPr="003D1E07">
        <w:rPr>
          <w:i/>
        </w:rPr>
        <w:t>per p</w:t>
      </w:r>
      <w:r w:rsidR="00612D04" w:rsidRPr="003D1E07">
        <w:rPr>
          <w:i/>
        </w:rPr>
        <w:t xml:space="preserve">osterius </w:t>
      </w:r>
      <w:r w:rsidR="00643D15" w:rsidRPr="003D1E07">
        <w:t xml:space="preserve">na </w:t>
      </w:r>
      <w:r w:rsidR="08120EA2" w:rsidRPr="003D1E07">
        <w:t xml:space="preserve">impozici </w:t>
      </w:r>
      <w:r w:rsidR="00643D15" w:rsidRPr="003D1E07">
        <w:t xml:space="preserve">významu skrze species, která </w:t>
      </w:r>
      <w:r w:rsidR="00643D15" w:rsidRPr="003D1E07">
        <w:rPr>
          <w:i/>
        </w:rPr>
        <w:t>per prius</w:t>
      </w:r>
      <w:r w:rsidR="00643D15" w:rsidRPr="003D1E07">
        <w:t xml:space="preserve"> predikuje </w:t>
      </w:r>
      <w:r w:rsidR="08120EA2" w:rsidRPr="003D1E07">
        <w:t xml:space="preserve">hyparchické bytí </w:t>
      </w:r>
      <w:r w:rsidR="08826ACE" w:rsidRPr="003D1E07">
        <w:t xml:space="preserve">první </w:t>
      </w:r>
      <w:r w:rsidR="086811BC" w:rsidRPr="003D1E07">
        <w:t>substanc</w:t>
      </w:r>
      <w:r w:rsidR="08826ACE" w:rsidRPr="003D1E07">
        <w:t xml:space="preserve">e. </w:t>
      </w:r>
      <w:r w:rsidR="00234C5C" w:rsidRPr="003D1E07">
        <w:t xml:space="preserve">Tím došlo k tomu, že nejvyšší rody v neoplatonismu </w:t>
      </w:r>
      <w:r w:rsidR="00780705" w:rsidRPr="003D1E07">
        <w:t>byly degradovány na pouhé mentál</w:t>
      </w:r>
      <w:r w:rsidR="00234C5C" w:rsidRPr="003D1E07">
        <w:t>ní pro</w:t>
      </w:r>
      <w:r w:rsidR="007A445F">
        <w:t>dukty mysli.</w:t>
      </w:r>
    </w:p>
    <w:p w14:paraId="6036428D" w14:textId="5C9A3E15" w:rsidR="00096CBC" w:rsidRDefault="00FF2DE2" w:rsidP="00FC2305">
      <w:pPr>
        <w:ind w:firstLine="397"/>
      </w:pPr>
      <w:r w:rsidRPr="003D1E07">
        <w:t>K</w:t>
      </w:r>
      <w:r w:rsidR="00896966" w:rsidRPr="003D1E07">
        <w:t xml:space="preserve">ategoriální </w:t>
      </w:r>
      <w:r w:rsidR="00234C5C" w:rsidRPr="003D1E07">
        <w:t xml:space="preserve">hyparchická </w:t>
      </w:r>
      <w:r w:rsidR="00896966" w:rsidRPr="003D1E07">
        <w:t xml:space="preserve">vazba „hmotná substance </w:t>
      </w:r>
      <w:r w:rsidR="00236B28" w:rsidRPr="003D1E07">
        <w:t xml:space="preserve">v realitě </w:t>
      </w:r>
      <w:r w:rsidR="00896966" w:rsidRPr="003D1E07">
        <w:t xml:space="preserve">– </w:t>
      </w:r>
      <w:r w:rsidR="00236B28" w:rsidRPr="003D1E07">
        <w:t>un</w:t>
      </w:r>
      <w:r w:rsidR="00270FF7" w:rsidRPr="003D1E07">
        <w:t xml:space="preserve">iverzální </w:t>
      </w:r>
      <w:r w:rsidR="00896966" w:rsidRPr="003D1E07">
        <w:t>species</w:t>
      </w:r>
      <w:r w:rsidR="00270FF7" w:rsidRPr="003D1E07">
        <w:t xml:space="preserve"> v mysli</w:t>
      </w:r>
      <w:r w:rsidR="00896966" w:rsidRPr="003D1E07">
        <w:t>“ byla pro neoplatoniky nepřijatelná. Hyparchická predikace materiální substance pro ně jednoduše neměla smysl. Viz výše zmíněné post</w:t>
      </w:r>
      <w:r w:rsidR="00397F69">
        <w:t>avení hylemorfní substance u Plo</w:t>
      </w:r>
      <w:r w:rsidR="00896966" w:rsidRPr="003D1E07">
        <w:t>tina. A</w:t>
      </w:r>
      <w:r w:rsidR="08826ACE" w:rsidRPr="003D1E07">
        <w:t xml:space="preserve">ristotelské dělení </w:t>
      </w:r>
      <w:r w:rsidR="08DC2CC0" w:rsidRPr="003D1E07">
        <w:t xml:space="preserve">změněné na kategoriální predikaci </w:t>
      </w:r>
      <w:r w:rsidR="08120EA2" w:rsidRPr="003D1E07">
        <w:t xml:space="preserve">v rámci impozice a supozice </w:t>
      </w:r>
      <w:r w:rsidR="00A55819" w:rsidRPr="003D1E07">
        <w:t xml:space="preserve">se </w:t>
      </w:r>
      <w:r w:rsidR="08826ACE" w:rsidRPr="003D1E07">
        <w:t xml:space="preserve">zásadně liší od </w:t>
      </w:r>
      <w:r w:rsidR="08FA739A" w:rsidRPr="003D1E07">
        <w:t xml:space="preserve">platonské </w:t>
      </w:r>
      <w:r w:rsidR="08826ACE" w:rsidRPr="003D1E07">
        <w:rPr>
          <w:rStyle w:val="st"/>
        </w:rPr>
        <w:t xml:space="preserve">διαίρεσις v dialogu </w:t>
      </w:r>
      <w:r w:rsidR="08826ACE" w:rsidRPr="003D1E07">
        <w:rPr>
          <w:rStyle w:val="st"/>
          <w:i/>
        </w:rPr>
        <w:t>Sofistes</w:t>
      </w:r>
      <w:r w:rsidR="08826ACE" w:rsidRPr="003D1E07">
        <w:rPr>
          <w:rStyle w:val="st"/>
        </w:rPr>
        <w:t xml:space="preserve">. Platon dělí </w:t>
      </w:r>
      <w:r w:rsidR="08826ACE" w:rsidRPr="003D1E07">
        <w:t>jsoucí ideje jako nejvyšší rody</w:t>
      </w:r>
      <w:r w:rsidR="08455171" w:rsidRPr="003D1E07">
        <w:t xml:space="preserve">. Individuum </w:t>
      </w:r>
      <w:r w:rsidR="08037229" w:rsidRPr="003D1E07">
        <w:t xml:space="preserve">v Porfýriově výkladu a dělení </w:t>
      </w:r>
      <w:r w:rsidR="08455171" w:rsidRPr="003D1E07">
        <w:t xml:space="preserve">obsahuje univerzalitu </w:t>
      </w:r>
      <w:r w:rsidR="083B5667" w:rsidRPr="003D1E07">
        <w:t xml:space="preserve">v naprosto </w:t>
      </w:r>
      <w:r w:rsidR="08ED2BF5" w:rsidRPr="003D1E07">
        <w:t xml:space="preserve">minimální míře, proto stojí až na konci univerzální predikace. </w:t>
      </w:r>
      <w:r w:rsidR="08CA6F4D" w:rsidRPr="003D1E07">
        <w:t>Vinou nedělitelnosti tvoří i</w:t>
      </w:r>
      <w:r w:rsidR="084D0020" w:rsidRPr="003D1E07">
        <w:t xml:space="preserve">ndividuum </w:t>
      </w:r>
      <w:r w:rsidR="083B5667" w:rsidRPr="003D1E07">
        <w:t xml:space="preserve">abstraktní a zcela nejnižší celek </w:t>
      </w:r>
      <w:r w:rsidR="08A33AA7" w:rsidRPr="003D1E07">
        <w:t xml:space="preserve">univerzálního </w:t>
      </w:r>
      <w:r w:rsidR="083B5667" w:rsidRPr="003D1E07">
        <w:t>významu (</w:t>
      </w:r>
      <w:r w:rsidR="083B5667" w:rsidRPr="003D1E07">
        <w:rPr>
          <w:i/>
        </w:rPr>
        <w:t>totum</w:t>
      </w:r>
      <w:r w:rsidR="083B5667" w:rsidRPr="003D1E07">
        <w:t>)</w:t>
      </w:r>
      <w:r w:rsidR="08A33AA7" w:rsidRPr="003D1E07">
        <w:t xml:space="preserve">. </w:t>
      </w:r>
      <w:r w:rsidR="08047F3A" w:rsidRPr="003D1E07">
        <w:t xml:space="preserve">Viděno očima </w:t>
      </w:r>
      <w:r w:rsidR="08047F3A" w:rsidRPr="003D1E07">
        <w:rPr>
          <w:i/>
        </w:rPr>
        <w:t>Isagoge</w:t>
      </w:r>
      <w:r w:rsidR="0065224D" w:rsidRPr="003D1E07">
        <w:t xml:space="preserve">, </w:t>
      </w:r>
      <w:r w:rsidR="08047F3A" w:rsidRPr="003D1E07">
        <w:lastRenderedPageBreak/>
        <w:t xml:space="preserve">individuum tvoří pouze část </w:t>
      </w:r>
      <w:r w:rsidR="00D60B63" w:rsidRPr="003D1E07">
        <w:t xml:space="preserve">celku </w:t>
      </w:r>
      <w:r w:rsidR="08047F3A" w:rsidRPr="003D1E07">
        <w:t>(</w:t>
      </w:r>
      <w:r w:rsidR="00636BD4" w:rsidRPr="003D1E07">
        <w:t>genus</w:t>
      </w:r>
      <w:r w:rsidR="087821D6" w:rsidRPr="003D1E07">
        <w:t xml:space="preserve"> a </w:t>
      </w:r>
      <w:r w:rsidR="00F214C5" w:rsidRPr="003D1E07">
        <w:t>species</w:t>
      </w:r>
      <w:r w:rsidR="08047F3A" w:rsidRPr="003D1E07">
        <w:t>)</w:t>
      </w:r>
      <w:r w:rsidR="08A33AA7" w:rsidRPr="003D1E07">
        <w:t>,</w:t>
      </w:r>
      <w:r w:rsidR="08047F3A" w:rsidRPr="003D1E07">
        <w:t xml:space="preserve"> proto nemá samostatnou kategoriální </w:t>
      </w:r>
      <w:r w:rsidR="0065224D" w:rsidRPr="003D1E07">
        <w:t xml:space="preserve">signifikaci </w:t>
      </w:r>
      <w:r w:rsidR="08047F3A" w:rsidRPr="003D1E07">
        <w:t>ve smyslu univerzálie</w:t>
      </w:r>
      <w:r w:rsidR="00EA4E53" w:rsidRPr="003D1E07">
        <w:t xml:space="preserve"> jako </w:t>
      </w:r>
      <w:r w:rsidR="00EA4E53" w:rsidRPr="003D1E07">
        <w:rPr>
          <w:i/>
        </w:rPr>
        <w:t>totum</w:t>
      </w:r>
      <w:r w:rsidR="08047F3A" w:rsidRPr="003D1E07">
        <w:t xml:space="preserve">. </w:t>
      </w:r>
      <w:r w:rsidR="08193A0D" w:rsidRPr="003D1E07">
        <w:t xml:space="preserve">Univerzalitu individua zajišťuje </w:t>
      </w:r>
      <w:r w:rsidR="08A0260B" w:rsidRPr="003D1E07">
        <w:t>druh</w:t>
      </w:r>
      <w:r w:rsidR="08193A0D" w:rsidRPr="003D1E07">
        <w:t>, protože individuum tvoří jeho specifickou část</w:t>
      </w:r>
      <w:r w:rsidR="08C733D3" w:rsidRPr="003D1E07">
        <w:t xml:space="preserve"> (</w:t>
      </w:r>
      <w:r w:rsidR="08C733D3" w:rsidRPr="003D1E07">
        <w:rPr>
          <w:i/>
          <w:color w:val="000000"/>
        </w:rPr>
        <w:t>totum autem non alterius</w:t>
      </w:r>
      <w:r w:rsidR="08C733D3" w:rsidRPr="003D1E07">
        <w:t>)</w:t>
      </w:r>
      <w:r w:rsidR="08193A0D" w:rsidRPr="003D1E07">
        <w:t xml:space="preserve">. </w:t>
      </w:r>
      <w:r w:rsidR="08DA7028" w:rsidRPr="003D1E07">
        <w:t xml:space="preserve">Individuum </w:t>
      </w:r>
      <w:r w:rsidR="08C733D3" w:rsidRPr="003D1E07">
        <w:t xml:space="preserve">jako </w:t>
      </w:r>
      <w:r w:rsidR="08C733D3" w:rsidRPr="003D1E07">
        <w:rPr>
          <w:i/>
        </w:rPr>
        <w:t>totum</w:t>
      </w:r>
      <w:r w:rsidR="08C733D3" w:rsidRPr="003D1E07">
        <w:t xml:space="preserve"> </w:t>
      </w:r>
      <w:r w:rsidR="08DA7028" w:rsidRPr="003D1E07">
        <w:t xml:space="preserve">už téměř není univerzální, protože stojí na hranici nebytí </w:t>
      </w:r>
      <w:r w:rsidR="08E15372" w:rsidRPr="003D1E07">
        <w:t xml:space="preserve">samotné </w:t>
      </w:r>
      <w:r w:rsidR="08DA7028" w:rsidRPr="003D1E07">
        <w:t xml:space="preserve">univerzality a </w:t>
      </w:r>
      <w:r w:rsidR="08FA50E5" w:rsidRPr="003D1E07">
        <w:t xml:space="preserve">je nejvíce vzdáleno </w:t>
      </w:r>
      <w:r w:rsidR="08DA7028" w:rsidRPr="003D1E07">
        <w:t>od reálné první substance. Z toho jasně vyplývá, že individuum téměř neexistuje</w:t>
      </w:r>
      <w:r w:rsidR="08E23F81" w:rsidRPr="003D1E07">
        <w:t>, protože stojí na samotné hranici mezi jsoucnem a nejsoucnem</w:t>
      </w:r>
      <w:r w:rsidR="086C0342" w:rsidRPr="003D1E07">
        <w:t>. A</w:t>
      </w:r>
      <w:r w:rsidR="00CF193B" w:rsidRPr="003D1E07">
        <w:t xml:space="preserve">ktuální jsoucnost nemá vůbec, protože </w:t>
      </w:r>
      <w:r w:rsidR="086C0342" w:rsidRPr="003D1E07">
        <w:t>tu nemá ani rod</w:t>
      </w:r>
      <w:r w:rsidR="00CF193B" w:rsidRPr="003D1E07">
        <w:t xml:space="preserve">. Navíc </w:t>
      </w:r>
      <w:r w:rsidR="08DA7028" w:rsidRPr="003D1E07">
        <w:t xml:space="preserve">má </w:t>
      </w:r>
      <w:r w:rsidR="00CF193B" w:rsidRPr="003D1E07">
        <w:t xml:space="preserve">individuum </w:t>
      </w:r>
      <w:r w:rsidR="08DA7028" w:rsidRPr="003D1E07">
        <w:t xml:space="preserve">i naprosto minimální univerzální </w:t>
      </w:r>
      <w:r w:rsidR="08E15372" w:rsidRPr="003D1E07">
        <w:t xml:space="preserve">specifickou </w:t>
      </w:r>
      <w:r w:rsidR="08DA7028" w:rsidRPr="003D1E07">
        <w:t xml:space="preserve">jsoucnost danou pouze v mysli. </w:t>
      </w:r>
      <w:r w:rsidR="00AA0FC2" w:rsidRPr="003D1E07">
        <w:t xml:space="preserve">Individuum netvoří druhou substanci ve vlastním smyslu podle nauky kategorií. </w:t>
      </w:r>
      <w:r w:rsidR="086C0342" w:rsidRPr="003D1E07">
        <w:t xml:space="preserve">Z tohoto zásadního důvodu </w:t>
      </w:r>
      <w:r w:rsidR="00D851E1" w:rsidRPr="003D1E07">
        <w:t xml:space="preserve">dvojího </w:t>
      </w:r>
      <w:r w:rsidR="00E34FD2" w:rsidRPr="003D1E07">
        <w:t xml:space="preserve">minimálního </w:t>
      </w:r>
      <w:r w:rsidR="086C0342" w:rsidRPr="003D1E07">
        <w:t xml:space="preserve">bytí </w:t>
      </w:r>
      <w:r w:rsidR="00E34FD2" w:rsidRPr="003D1E07">
        <w:t xml:space="preserve">je </w:t>
      </w:r>
      <w:r w:rsidR="00D851E1" w:rsidRPr="003D1E07">
        <w:t xml:space="preserve">individuum </w:t>
      </w:r>
      <w:r w:rsidR="00E34FD2" w:rsidRPr="003D1E07">
        <w:t>vztaženo</w:t>
      </w:r>
      <w:r w:rsidR="08047F3A" w:rsidRPr="003D1E07">
        <w:t xml:space="preserve"> k rodu a druhu</w:t>
      </w:r>
      <w:r w:rsidR="00E34FD2" w:rsidRPr="003D1E07">
        <w:t xml:space="preserve">. Ty </w:t>
      </w:r>
      <w:r w:rsidR="08B0315A" w:rsidRPr="003D1E07">
        <w:t xml:space="preserve">mají svébytný </w:t>
      </w:r>
      <w:r w:rsidR="082E7548" w:rsidRPr="003D1E07">
        <w:t xml:space="preserve">univerzální </w:t>
      </w:r>
      <w:r w:rsidR="08B0315A" w:rsidRPr="003D1E07">
        <w:t>význam</w:t>
      </w:r>
      <w:r w:rsidR="00107F4B" w:rsidRPr="003D1E07">
        <w:t xml:space="preserve"> v rámci univočně utvářené metafyziky</w:t>
      </w:r>
      <w:r w:rsidR="08047F3A" w:rsidRPr="003D1E07">
        <w:t xml:space="preserve">. </w:t>
      </w:r>
      <w:r w:rsidR="08997CAC" w:rsidRPr="003D1E07">
        <w:t xml:space="preserve">Druh tvoří poslední rovinu </w:t>
      </w:r>
      <w:r w:rsidR="00311D39" w:rsidRPr="003D1E07">
        <w:t xml:space="preserve">univočního metafyzického </w:t>
      </w:r>
      <w:r w:rsidR="08997CAC" w:rsidRPr="003D1E07">
        <w:t>významu</w:t>
      </w:r>
      <w:r w:rsidR="00786514" w:rsidRPr="003D1E07">
        <w:t xml:space="preserve"> (τὸ ὅλον)</w:t>
      </w:r>
      <w:r w:rsidR="085D68DD" w:rsidRPr="003D1E07">
        <w:t xml:space="preserve"> </w:t>
      </w:r>
      <w:r w:rsidR="00786514" w:rsidRPr="003D1E07">
        <w:t>vzhledem k individuu</w:t>
      </w:r>
      <w:r w:rsidR="00CA5F6B" w:rsidRPr="003D1E07">
        <w:t xml:space="preserve">. </w:t>
      </w:r>
      <w:r w:rsidR="085D68DD" w:rsidRPr="003D1E07">
        <w:t>P</w:t>
      </w:r>
      <w:r w:rsidR="08997CAC" w:rsidRPr="003D1E07">
        <w:t>ři nasvícení zezadu od univerzálního rodu dané</w:t>
      </w:r>
      <w:r w:rsidR="085D68DD" w:rsidRPr="003D1E07">
        <w:t>ho</w:t>
      </w:r>
      <w:r w:rsidR="08997CAC" w:rsidRPr="003D1E07">
        <w:t xml:space="preserve"> </w:t>
      </w:r>
      <w:r w:rsidR="085D68DD" w:rsidRPr="003D1E07">
        <w:t xml:space="preserve">univočně </w:t>
      </w:r>
      <w:r w:rsidR="08997CAC" w:rsidRPr="003D1E07">
        <w:rPr>
          <w:i/>
        </w:rPr>
        <w:t>per prius</w:t>
      </w:r>
      <w:r w:rsidR="08997CAC" w:rsidRPr="003D1E07">
        <w:t xml:space="preserve"> </w:t>
      </w:r>
      <w:r w:rsidR="00786514" w:rsidRPr="003D1E07">
        <w:t xml:space="preserve">zakládá </w:t>
      </w:r>
      <w:r w:rsidR="00F214C5" w:rsidRPr="003D1E07">
        <w:t>species</w:t>
      </w:r>
      <w:r w:rsidR="085D68DD" w:rsidRPr="003D1E07">
        <w:t xml:space="preserve"> </w:t>
      </w:r>
      <w:r w:rsidR="005260B0" w:rsidRPr="003D1E07">
        <w:rPr>
          <w:i/>
        </w:rPr>
        <w:t>per posterius</w:t>
      </w:r>
      <w:r w:rsidR="005260B0" w:rsidRPr="003D1E07">
        <w:t xml:space="preserve"> </w:t>
      </w:r>
      <w:r w:rsidR="08997CAC" w:rsidRPr="003D1E07">
        <w:t xml:space="preserve">supozici </w:t>
      </w:r>
      <w:r w:rsidR="00786514" w:rsidRPr="003D1E07">
        <w:t xml:space="preserve">pro </w:t>
      </w:r>
      <w:r w:rsidR="08997CAC" w:rsidRPr="003D1E07">
        <w:t>pos</w:t>
      </w:r>
      <w:r w:rsidR="085D68DD" w:rsidRPr="003D1E07">
        <w:t>lední specifický</w:t>
      </w:r>
      <w:r w:rsidR="08997CAC" w:rsidRPr="003D1E07">
        <w:t xml:space="preserve"> </w:t>
      </w:r>
      <w:r w:rsidR="085D68DD" w:rsidRPr="003D1E07">
        <w:t>význam</w:t>
      </w:r>
      <w:r w:rsidR="08997CAC" w:rsidRPr="003D1E07">
        <w:t xml:space="preserve"> </w:t>
      </w:r>
      <w:r w:rsidR="00786514" w:rsidRPr="003D1E07">
        <w:t xml:space="preserve">již dále nedělitelné </w:t>
      </w:r>
      <w:r w:rsidR="08997CAC" w:rsidRPr="003D1E07">
        <w:t>individuální atomární jednotky (τοῖς μέρεσι</w:t>
      </w:r>
      <w:r w:rsidR="00096CBC">
        <w:t>).</w:t>
      </w:r>
    </w:p>
    <w:p w14:paraId="3A1783C7" w14:textId="5789E0AC" w:rsidR="00710560" w:rsidRDefault="000A52BE" w:rsidP="000002EA">
      <w:pPr>
        <w:ind w:firstLine="397"/>
      </w:pPr>
      <w:r w:rsidRPr="003D1E07">
        <w:t xml:space="preserve">Nyní je třeba </w:t>
      </w:r>
      <w:r w:rsidR="00A402C8">
        <w:t xml:space="preserve">znovu </w:t>
      </w:r>
      <w:r w:rsidRPr="003D1E07">
        <w:t xml:space="preserve">vyšetřit proměnu </w:t>
      </w:r>
      <w:r w:rsidRPr="003D1E07">
        <w:rPr>
          <w:i/>
        </w:rPr>
        <w:t xml:space="preserve">dativus metaphysicus </w:t>
      </w:r>
      <w:r w:rsidR="00146A77" w:rsidRPr="003D1E07">
        <w:t xml:space="preserve">podle </w:t>
      </w:r>
      <w:r w:rsidRPr="003D1E07">
        <w:t xml:space="preserve">Aristotelovy </w:t>
      </w:r>
      <w:r w:rsidR="00146A77" w:rsidRPr="003D1E07">
        <w:rPr>
          <w:i/>
        </w:rPr>
        <w:t>quidditas</w:t>
      </w:r>
      <w:r w:rsidR="00146A77" w:rsidRPr="003D1E07">
        <w:t xml:space="preserve"> (kap. </w:t>
      </w:r>
      <w:r w:rsidR="006718C4" w:rsidRPr="003D1E07">
        <w:t>1.1).</w:t>
      </w:r>
      <w:r w:rsidR="00F566D5" w:rsidRPr="003D1E07">
        <w:t xml:space="preserve"> </w:t>
      </w:r>
      <w:r w:rsidR="006718C4" w:rsidRPr="003D1E07">
        <w:t>Adekvace myšlení a věci uvnitř páru „</w:t>
      </w:r>
      <w:r w:rsidR="006718C4" w:rsidRPr="003D1E07">
        <w:rPr>
          <w:i/>
          <w:lang w:eastAsia="en-US"/>
        </w:rPr>
        <w:t>ousía – parousía</w:t>
      </w:r>
      <w:r w:rsidR="0032708B" w:rsidRPr="003D1E07">
        <w:rPr>
          <w:i/>
          <w:lang w:eastAsia="en-US"/>
        </w:rPr>
        <w:fldChar w:fldCharType="begin"/>
      </w:r>
      <w:r w:rsidR="0032708B" w:rsidRPr="003D1E07">
        <w:instrText xml:space="preserve"> XE "</w:instrText>
      </w:r>
      <w:r w:rsidR="0032708B" w:rsidRPr="003D1E07">
        <w:rPr>
          <w:i/>
          <w:lang w:eastAsia="en-US"/>
        </w:rPr>
        <w:instrText>ousía/parousía</w:instrText>
      </w:r>
      <w:r w:rsidR="0032708B" w:rsidRPr="003D1E07">
        <w:instrText xml:space="preserve">" </w:instrText>
      </w:r>
      <w:r w:rsidR="0032708B" w:rsidRPr="003D1E07">
        <w:rPr>
          <w:i/>
          <w:lang w:eastAsia="en-US"/>
        </w:rPr>
        <w:fldChar w:fldCharType="end"/>
      </w:r>
      <w:r w:rsidR="006718C4" w:rsidRPr="003D1E07">
        <w:rPr>
          <w:i/>
          <w:lang w:eastAsia="en-US"/>
        </w:rPr>
        <w:t>”</w:t>
      </w:r>
      <w:r w:rsidR="006718C4" w:rsidRPr="003D1E07">
        <w:rPr>
          <w:lang w:eastAsia="en-US"/>
        </w:rPr>
        <w:t xml:space="preserve"> </w:t>
      </w:r>
      <w:r w:rsidR="0050069D" w:rsidRPr="003D1E07">
        <w:rPr>
          <w:lang w:eastAsia="en-US"/>
        </w:rPr>
        <w:t xml:space="preserve">obešla </w:t>
      </w:r>
      <w:r w:rsidR="000B5471" w:rsidRPr="003D1E07">
        <w:rPr>
          <w:lang w:eastAsia="en-US"/>
        </w:rPr>
        <w:t>bytí první substance, protože j</w:t>
      </w:r>
      <w:r w:rsidR="006718C4" w:rsidRPr="003D1E07">
        <w:rPr>
          <w:lang w:eastAsia="en-US"/>
        </w:rPr>
        <w:t xml:space="preserve">ejí poznání </w:t>
      </w:r>
      <w:r w:rsidR="000B5471" w:rsidRPr="003D1E07">
        <w:rPr>
          <w:lang w:eastAsia="en-US"/>
        </w:rPr>
        <w:t xml:space="preserve">běží </w:t>
      </w:r>
      <w:r w:rsidR="006718C4" w:rsidRPr="003D1E07">
        <w:rPr>
          <w:lang w:eastAsia="en-US"/>
        </w:rPr>
        <w:t xml:space="preserve">skrze </w:t>
      </w:r>
      <w:r w:rsidR="000B5471" w:rsidRPr="003D1E07">
        <w:rPr>
          <w:lang w:eastAsia="en-US"/>
        </w:rPr>
        <w:t xml:space="preserve">kategoriální </w:t>
      </w:r>
      <w:r w:rsidR="006718C4" w:rsidRPr="003D1E07">
        <w:rPr>
          <w:lang w:eastAsia="en-US"/>
        </w:rPr>
        <w:t xml:space="preserve">predikaci druhé substance. </w:t>
      </w:r>
      <w:r w:rsidR="006718C4" w:rsidRPr="003D1E07">
        <w:t xml:space="preserve">Reálná substance se pravdivě predikuje v modu druhé substance. </w:t>
      </w:r>
      <w:r w:rsidR="006718C4" w:rsidRPr="003D1E07">
        <w:rPr>
          <w:lang w:eastAsia="en-US"/>
        </w:rPr>
        <w:t>Cenou za metafyzický způsob poznání bylo zmizení celku bytí z metafyziky, což je tragická událost (</w:t>
      </w:r>
      <w:r w:rsidR="006718C4" w:rsidRPr="003D1E07">
        <w:rPr>
          <w:i/>
          <w:lang w:eastAsia="en-US"/>
        </w:rPr>
        <w:t>Ereignis</w:t>
      </w:r>
      <w:r w:rsidR="006718C4" w:rsidRPr="003D1E07">
        <w:rPr>
          <w:lang w:eastAsia="en-US"/>
        </w:rPr>
        <w:t xml:space="preserve">, </w:t>
      </w:r>
      <w:r w:rsidR="006718C4" w:rsidRPr="003D1E07">
        <w:rPr>
          <w:i/>
          <w:lang w:eastAsia="en-US"/>
        </w:rPr>
        <w:t>Seinsverlassenheit</w:t>
      </w:r>
      <w:r w:rsidR="006718C4" w:rsidRPr="003D1E07">
        <w:rPr>
          <w:lang w:eastAsia="en-US"/>
        </w:rPr>
        <w:t xml:space="preserve">). </w:t>
      </w:r>
      <w:r w:rsidR="00396B66" w:rsidRPr="003D1E07">
        <w:rPr>
          <w:lang w:eastAsia="en-US"/>
        </w:rPr>
        <w:t>Rozbor klíčového pojmu aristotelské metafyziky (</w:t>
      </w:r>
      <w:r w:rsidR="00396B66" w:rsidRPr="003D1E07">
        <w:t>τό ἦν εἶναι</w:t>
      </w:r>
      <w:r w:rsidR="00396B66" w:rsidRPr="003D1E07">
        <w:rPr>
          <w:lang w:eastAsia="en-US"/>
        </w:rPr>
        <w:t>) ukázal p</w:t>
      </w:r>
      <w:r w:rsidR="006718C4" w:rsidRPr="003D1E07">
        <w:rPr>
          <w:lang w:eastAsia="en-US"/>
        </w:rPr>
        <w:t xml:space="preserve">řechod první substance do archaické </w:t>
      </w:r>
      <w:r w:rsidR="006718C4" w:rsidRPr="003D1E07">
        <w:rPr>
          <w:i/>
          <w:lang w:eastAsia="en-US"/>
        </w:rPr>
        <w:t>léthe</w:t>
      </w:r>
      <w:r w:rsidR="006718C4" w:rsidRPr="003D1E07">
        <w:rPr>
          <w:lang w:eastAsia="en-US"/>
        </w:rPr>
        <w:t xml:space="preserve"> </w:t>
      </w:r>
      <w:r w:rsidR="00813374" w:rsidRPr="003D1E07">
        <w:rPr>
          <w:lang w:eastAsia="en-US"/>
        </w:rPr>
        <w:t>dané minulostní</w:t>
      </w:r>
      <w:r w:rsidR="00396B66" w:rsidRPr="003D1E07">
        <w:rPr>
          <w:lang w:eastAsia="en-US"/>
        </w:rPr>
        <w:t>m</w:t>
      </w:r>
      <w:r w:rsidR="00813374" w:rsidRPr="003D1E07">
        <w:rPr>
          <w:lang w:eastAsia="en-US"/>
        </w:rPr>
        <w:t xml:space="preserve"> ráze</w:t>
      </w:r>
      <w:r w:rsidR="00396B66" w:rsidRPr="003D1E07">
        <w:rPr>
          <w:lang w:eastAsia="en-US"/>
        </w:rPr>
        <w:t>m první substance</w:t>
      </w:r>
      <w:r w:rsidR="006718C4" w:rsidRPr="003D1E07">
        <w:rPr>
          <w:lang w:eastAsia="en-US"/>
        </w:rPr>
        <w:t xml:space="preserve">. </w:t>
      </w:r>
      <w:r w:rsidR="00396B66" w:rsidRPr="003D1E07">
        <w:rPr>
          <w:lang w:eastAsia="en-US"/>
        </w:rPr>
        <w:t xml:space="preserve">Podle aristotelské kategoriální predikace hájené Porfyriem </w:t>
      </w:r>
      <w:r w:rsidR="004E5608" w:rsidRPr="003D1E07">
        <w:rPr>
          <w:lang w:eastAsia="en-US"/>
        </w:rPr>
        <w:t xml:space="preserve">stále </w:t>
      </w:r>
      <w:r w:rsidR="00396B66" w:rsidRPr="003D1E07">
        <w:rPr>
          <w:lang w:eastAsia="en-US"/>
        </w:rPr>
        <w:t>platí, že s</w:t>
      </w:r>
      <w:r w:rsidR="00CA5F6B" w:rsidRPr="003D1E07">
        <w:t xml:space="preserve">pecies </w:t>
      </w:r>
      <w:r w:rsidR="085D68DD" w:rsidRPr="003D1E07">
        <w:t xml:space="preserve">předává univerzalitu do individua </w:t>
      </w:r>
      <w:r w:rsidR="00396B66" w:rsidRPr="003D1E07">
        <w:t xml:space="preserve">podle </w:t>
      </w:r>
      <w:r w:rsidR="08B779FB" w:rsidRPr="003D1E07">
        <w:t xml:space="preserve">metafyzického </w:t>
      </w:r>
      <w:r w:rsidR="085D68DD" w:rsidRPr="003D1E07">
        <w:t xml:space="preserve">dativu. </w:t>
      </w:r>
      <w:r w:rsidR="00C217C3" w:rsidRPr="003D1E07">
        <w:t>I</w:t>
      </w:r>
      <w:r w:rsidR="00396B66" w:rsidRPr="003D1E07">
        <w:t xml:space="preserve">mpozice </w:t>
      </w:r>
      <w:r w:rsidR="00C217C3" w:rsidRPr="003D1E07">
        <w:t xml:space="preserve">je </w:t>
      </w:r>
      <w:r w:rsidR="00396B66" w:rsidRPr="003D1E07">
        <w:t xml:space="preserve">daná </w:t>
      </w:r>
      <w:r w:rsidR="00396B66" w:rsidRPr="003D1E07">
        <w:rPr>
          <w:i/>
        </w:rPr>
        <w:t xml:space="preserve">per prius </w:t>
      </w:r>
      <w:r w:rsidR="00396B66" w:rsidRPr="003D1E07">
        <w:t>směrem od první substance</w:t>
      </w:r>
      <w:r w:rsidR="00C217C3" w:rsidRPr="003D1E07">
        <w:t xml:space="preserve"> a pak je daná směrem od species</w:t>
      </w:r>
      <w:r w:rsidR="00F74278" w:rsidRPr="003D1E07">
        <w:t xml:space="preserve">. Druh </w:t>
      </w:r>
      <w:r w:rsidR="00EC35CD" w:rsidRPr="003D1E07">
        <w:t xml:space="preserve">zastupuje </w:t>
      </w:r>
      <w:r w:rsidR="00F74278" w:rsidRPr="003D1E07">
        <w:t xml:space="preserve">první substanci </w:t>
      </w:r>
      <w:r w:rsidR="00EC35CD" w:rsidRPr="003D1E07">
        <w:t>jako první v</w:t>
      </w:r>
      <w:r w:rsidR="00F74278" w:rsidRPr="003D1E07">
        <w:t> </w:t>
      </w:r>
      <w:r w:rsidR="00EC35CD" w:rsidRPr="003D1E07">
        <w:t>řadě</w:t>
      </w:r>
      <w:r w:rsidR="00F74278" w:rsidRPr="003D1E07">
        <w:t xml:space="preserve"> metafyzických významů jsoucna</w:t>
      </w:r>
      <w:r w:rsidR="00396B66" w:rsidRPr="003D1E07">
        <w:t xml:space="preserve">. </w:t>
      </w:r>
      <w:r w:rsidR="00F6151E" w:rsidRPr="003D1E07">
        <w:t xml:space="preserve">Desinterpretací Porfýriovy katagoriální nauky </w:t>
      </w:r>
      <w:r w:rsidR="00C217C3" w:rsidRPr="003D1E07">
        <w:rPr>
          <w:lang w:eastAsia="en-US"/>
        </w:rPr>
        <w:t>s</w:t>
      </w:r>
      <w:r w:rsidR="00396B66" w:rsidRPr="003D1E07">
        <w:rPr>
          <w:lang w:eastAsia="en-US"/>
        </w:rPr>
        <w:t xml:space="preserve">e filosofická tragédie změnila v moderní tragikomedii. Neoplatonská moderna </w:t>
      </w:r>
      <w:r w:rsidR="00A43E56" w:rsidRPr="003D1E07">
        <w:rPr>
          <w:lang w:eastAsia="en-US"/>
        </w:rPr>
        <w:t xml:space="preserve">vytvořila </w:t>
      </w:r>
      <w:r w:rsidR="00396B66" w:rsidRPr="003D1E07">
        <w:rPr>
          <w:lang w:eastAsia="en-US"/>
        </w:rPr>
        <w:t xml:space="preserve">absurdní </w:t>
      </w:r>
      <w:r w:rsidR="00A43E56" w:rsidRPr="003D1E07">
        <w:rPr>
          <w:lang w:eastAsia="en-US"/>
        </w:rPr>
        <w:t xml:space="preserve">donaci </w:t>
      </w:r>
      <w:r w:rsidR="00396B66" w:rsidRPr="003D1E07">
        <w:rPr>
          <w:lang w:eastAsia="en-US"/>
        </w:rPr>
        <w:t xml:space="preserve">smyslu jsoucna podle </w:t>
      </w:r>
      <w:r w:rsidR="00A43E56" w:rsidRPr="003D1E07">
        <w:rPr>
          <w:lang w:eastAsia="en-US"/>
        </w:rPr>
        <w:t xml:space="preserve">chybné formy </w:t>
      </w:r>
      <w:r w:rsidR="00396B66" w:rsidRPr="003D1E07">
        <w:rPr>
          <w:lang w:eastAsia="en-US"/>
        </w:rPr>
        <w:t>metafyzického dativu, který vznikl spojením Plotínový</w:t>
      </w:r>
      <w:r w:rsidR="00E866EA" w:rsidRPr="003D1E07">
        <w:rPr>
          <w:lang w:eastAsia="en-US"/>
        </w:rPr>
        <w:t>ch nejvyšších rodů a kategoriál</w:t>
      </w:r>
      <w:r w:rsidR="00396B66" w:rsidRPr="003D1E07">
        <w:rPr>
          <w:lang w:eastAsia="en-US"/>
        </w:rPr>
        <w:t xml:space="preserve">ní predikace. </w:t>
      </w:r>
      <w:r w:rsidR="00E866EA" w:rsidRPr="003D1E07">
        <w:rPr>
          <w:lang w:eastAsia="en-US"/>
        </w:rPr>
        <w:t xml:space="preserve">Nový pár </w:t>
      </w:r>
      <w:r w:rsidR="00E866EA" w:rsidRPr="003D1E07">
        <w:t>„</w:t>
      </w:r>
      <w:r w:rsidR="00E866EA" w:rsidRPr="003D1E07">
        <w:rPr>
          <w:i/>
          <w:lang w:eastAsia="en-US"/>
        </w:rPr>
        <w:t>ousía – parousía</w:t>
      </w:r>
      <w:r w:rsidR="006B7A2C" w:rsidRPr="003D1E07">
        <w:rPr>
          <w:i/>
          <w:lang w:eastAsia="en-US"/>
        </w:rPr>
        <w:fldChar w:fldCharType="begin"/>
      </w:r>
      <w:r w:rsidR="006B7A2C" w:rsidRPr="003D1E07">
        <w:instrText xml:space="preserve"> XE "</w:instrText>
      </w:r>
      <w:r w:rsidR="006B7A2C" w:rsidRPr="003D1E07">
        <w:rPr>
          <w:i/>
          <w:lang w:eastAsia="en-US"/>
        </w:rPr>
        <w:instrText>ousía/parousía</w:instrText>
      </w:r>
      <w:r w:rsidR="006B7A2C" w:rsidRPr="003D1E07">
        <w:instrText xml:space="preserve">" </w:instrText>
      </w:r>
      <w:r w:rsidR="006B7A2C" w:rsidRPr="003D1E07">
        <w:rPr>
          <w:i/>
          <w:lang w:eastAsia="en-US"/>
        </w:rPr>
        <w:fldChar w:fldCharType="end"/>
      </w:r>
      <w:r w:rsidR="00E866EA" w:rsidRPr="003D1E07">
        <w:rPr>
          <w:i/>
          <w:lang w:eastAsia="en-US"/>
        </w:rPr>
        <w:t>”</w:t>
      </w:r>
      <w:r w:rsidR="00E866EA" w:rsidRPr="003D1E07">
        <w:rPr>
          <w:lang w:eastAsia="en-US"/>
        </w:rPr>
        <w:t xml:space="preserve"> popírá základní smysl aristotelské metafyziky tím, že ekvivočně spojil různé významy </w:t>
      </w:r>
      <w:r w:rsidR="00007537">
        <w:rPr>
          <w:lang w:eastAsia="en-US"/>
        </w:rPr>
        <w:t>tak zvané „nedělitelné</w:t>
      </w:r>
      <w:r w:rsidR="00E866EA" w:rsidRPr="003D1E07">
        <w:rPr>
          <w:lang w:eastAsia="en-US"/>
        </w:rPr>
        <w:t xml:space="preserve"> substance</w:t>
      </w:r>
      <w:r w:rsidR="00007537">
        <w:rPr>
          <w:lang w:eastAsia="en-US"/>
        </w:rPr>
        <w:t>“</w:t>
      </w:r>
      <w:r w:rsidR="00E866EA" w:rsidRPr="003D1E07">
        <w:rPr>
          <w:lang w:eastAsia="en-US"/>
        </w:rPr>
        <w:t xml:space="preserve"> (</w:t>
      </w:r>
      <w:r w:rsidR="00E866EA" w:rsidRPr="003D1E07">
        <w:t>ἄτομος οὐσία</w:t>
      </w:r>
      <w:r w:rsidR="00E866EA" w:rsidRPr="003D1E07">
        <w:rPr>
          <w:lang w:eastAsia="en-US"/>
        </w:rPr>
        <w:t xml:space="preserve">). Zcela abstraktní species </w:t>
      </w:r>
      <w:r w:rsidR="0041556F" w:rsidRPr="003D1E07">
        <w:rPr>
          <w:lang w:eastAsia="en-US"/>
        </w:rPr>
        <w:t>jako atomární substance vznikla</w:t>
      </w:r>
      <w:r w:rsidR="00E866EA" w:rsidRPr="003D1E07">
        <w:rPr>
          <w:lang w:eastAsia="en-US"/>
        </w:rPr>
        <w:t xml:space="preserve"> čistou supozicí</w:t>
      </w:r>
      <w:r w:rsidR="00D30B67" w:rsidRPr="003D1E07">
        <w:rPr>
          <w:lang w:eastAsia="en-US"/>
        </w:rPr>
        <w:t xml:space="preserve"> a v rámci pouze logické abstrakce</w:t>
      </w:r>
      <w:r w:rsidR="00D76901">
        <w:rPr>
          <w:lang w:eastAsia="en-US"/>
        </w:rPr>
        <w:t>. Ta</w:t>
      </w:r>
      <w:r w:rsidR="0041556F" w:rsidRPr="003D1E07">
        <w:rPr>
          <w:lang w:eastAsia="en-US"/>
        </w:rPr>
        <w:t xml:space="preserve">to species se </w:t>
      </w:r>
      <w:r w:rsidR="0041556F" w:rsidRPr="003D1E07">
        <w:rPr>
          <w:lang w:eastAsia="en-US"/>
        </w:rPr>
        <w:lastRenderedPageBreak/>
        <w:t>v neoplatonismu změnil</w:t>
      </w:r>
      <w:r w:rsidR="00D76901">
        <w:rPr>
          <w:lang w:eastAsia="en-US"/>
        </w:rPr>
        <w:t>a</w:t>
      </w:r>
      <w:r w:rsidR="0041556F" w:rsidRPr="003D1E07">
        <w:rPr>
          <w:lang w:eastAsia="en-US"/>
        </w:rPr>
        <w:t xml:space="preserve"> na první </w:t>
      </w:r>
      <w:r w:rsidR="005F0AEC" w:rsidRPr="003D1E07">
        <w:rPr>
          <w:lang w:eastAsia="x-none"/>
        </w:rPr>
        <w:t xml:space="preserve">„aristotelskou“ </w:t>
      </w:r>
      <w:r w:rsidR="0041556F" w:rsidRPr="003D1E07">
        <w:rPr>
          <w:lang w:eastAsia="en-US"/>
        </w:rPr>
        <w:t>substanci a ta přechází postupně do minulosti. Na její</w:t>
      </w:r>
      <w:r w:rsidR="00E866EA" w:rsidRPr="003D1E07">
        <w:rPr>
          <w:lang w:eastAsia="en-US"/>
        </w:rPr>
        <w:t xml:space="preserve"> místo přichází jsoucno třetího druhu (</w:t>
      </w:r>
      <w:r w:rsidR="00E866EA" w:rsidRPr="003D1E07">
        <w:rPr>
          <w:i/>
          <w:lang w:eastAsia="en-US"/>
        </w:rPr>
        <w:t>individum</w:t>
      </w:r>
      <w:r w:rsidR="00E866EA" w:rsidRPr="003D1E07">
        <w:rPr>
          <w:lang w:eastAsia="en-US"/>
        </w:rPr>
        <w:t>) definované v </w:t>
      </w:r>
      <w:r w:rsidR="00E866EA" w:rsidRPr="003D1E07">
        <w:rPr>
          <w:i/>
          <w:lang w:eastAsia="en-US"/>
        </w:rPr>
        <w:t>Isagogé</w:t>
      </w:r>
      <w:r w:rsidR="00E866EA" w:rsidRPr="003D1E07">
        <w:rPr>
          <w:lang w:eastAsia="en-US"/>
        </w:rPr>
        <w:t xml:space="preserve"> (</w:t>
      </w:r>
      <w:r w:rsidR="00E866EA" w:rsidRPr="003D1E07">
        <w:t>τὸ ἄτομον</w:t>
      </w:r>
      <w:r w:rsidR="00607224" w:rsidRPr="003D1E07">
        <w:rPr>
          <w:lang w:eastAsia="en-US"/>
        </w:rPr>
        <w:t xml:space="preserve">). </w:t>
      </w:r>
      <w:r w:rsidR="08453ADB" w:rsidRPr="003D1E07">
        <w:t xml:space="preserve">Aristotelský význam donace jsoucnosti „tomuto </w:t>
      </w:r>
      <w:r w:rsidR="08EF0F7A" w:rsidRPr="003D1E07">
        <w:t xml:space="preserve">individuu </w:t>
      </w:r>
      <w:r w:rsidR="08453ADB" w:rsidRPr="003D1E07">
        <w:t xml:space="preserve">zde“ (τό τί) je dán </w:t>
      </w:r>
      <w:r w:rsidR="08611AD2" w:rsidRPr="003D1E07">
        <w:t xml:space="preserve">v Porfýriově originále naprosto správně </w:t>
      </w:r>
      <w:r w:rsidR="08453ADB" w:rsidRPr="003D1E07">
        <w:t xml:space="preserve">podle Aristotelovy definice </w:t>
      </w:r>
      <w:r w:rsidR="08453ADB" w:rsidRPr="003D1E07">
        <w:rPr>
          <w:i/>
        </w:rPr>
        <w:t>quidditas</w:t>
      </w:r>
      <w:r w:rsidR="08453ADB" w:rsidRPr="003D1E07">
        <w:rPr>
          <w:i/>
        </w:rPr>
        <w:fldChar w:fldCharType="begin"/>
      </w:r>
      <w:r w:rsidR="08453ADB" w:rsidRPr="003D1E07">
        <w:instrText xml:space="preserve"> XE "</w:instrText>
      </w:r>
      <w:r w:rsidR="08453ADB" w:rsidRPr="003D1E07">
        <w:rPr>
          <w:i/>
        </w:rPr>
        <w:instrText>quidditas</w:instrText>
      </w:r>
      <w:r w:rsidR="08453ADB" w:rsidRPr="003D1E07">
        <w:instrText xml:space="preserve">" </w:instrText>
      </w:r>
      <w:r w:rsidR="08453ADB" w:rsidRPr="003D1E07">
        <w:rPr>
          <w:i/>
        </w:rPr>
        <w:fldChar w:fldCharType="end"/>
      </w:r>
      <w:r w:rsidR="08453ADB" w:rsidRPr="003D1E07">
        <w:t xml:space="preserve"> (kap. 1</w:t>
      </w:r>
      <w:r w:rsidR="082053FF" w:rsidRPr="003D1E07">
        <w:t>.1</w:t>
      </w:r>
      <w:r w:rsidR="08453ADB" w:rsidRPr="003D1E07">
        <w:t xml:space="preserve">). </w:t>
      </w:r>
      <w:r w:rsidR="08611AD2" w:rsidRPr="003D1E07">
        <w:t xml:space="preserve">Supozice </w:t>
      </w:r>
      <w:r w:rsidR="001B3D36" w:rsidRPr="003D1E07">
        <w:t xml:space="preserve">transformuje původní hyparchický </w:t>
      </w:r>
      <w:r w:rsidR="00986F55">
        <w:t xml:space="preserve">význam </w:t>
      </w:r>
      <w:r w:rsidR="009E27FC">
        <w:t xml:space="preserve">impozice </w:t>
      </w:r>
      <w:r w:rsidR="001B3D36" w:rsidRPr="003D1E07">
        <w:t xml:space="preserve">do univerzální predikace </w:t>
      </w:r>
      <w:r w:rsidR="086D74E5" w:rsidRPr="003D1E07">
        <w:t>z rodu na druh. I</w:t>
      </w:r>
      <w:r w:rsidR="08611AD2" w:rsidRPr="003D1E07">
        <w:t>ndividuum nemá žá</w:t>
      </w:r>
      <w:r w:rsidR="08044809" w:rsidRPr="003D1E07">
        <w:t>dný vlastní význam</w:t>
      </w:r>
      <w:r w:rsidR="004339FB" w:rsidRPr="003D1E07">
        <w:t xml:space="preserve"> dokonce ani v supozici</w:t>
      </w:r>
      <w:r w:rsidR="08044809" w:rsidRPr="003D1E07">
        <w:t>, prot</w:t>
      </w:r>
      <w:r w:rsidR="08611AD2" w:rsidRPr="003D1E07">
        <w:t xml:space="preserve">ože tvoří část </w:t>
      </w:r>
      <w:r w:rsidR="00F214C5" w:rsidRPr="003D1E07">
        <w:t>species</w:t>
      </w:r>
      <w:r w:rsidR="00E808FE" w:rsidRPr="003D1E07">
        <w:t xml:space="preserve">. </w:t>
      </w:r>
      <w:r w:rsidR="00253E97" w:rsidRPr="003D1E07">
        <w:t xml:space="preserve">Metafyzika moderních vytvořila novou „událost“ </w:t>
      </w:r>
      <w:r w:rsidR="0003053A" w:rsidRPr="003D1E07">
        <w:t>(</w:t>
      </w:r>
      <w:r w:rsidR="0003053A" w:rsidRPr="003D1E07">
        <w:rPr>
          <w:i/>
        </w:rPr>
        <w:t>Ereignis</w:t>
      </w:r>
      <w:r w:rsidR="0003053A" w:rsidRPr="003D1E07">
        <w:t xml:space="preserve">) </w:t>
      </w:r>
      <w:r w:rsidR="08453ADB" w:rsidRPr="003D1E07">
        <w:t xml:space="preserve">přechodu </w:t>
      </w:r>
      <w:r w:rsidR="08AF2E8D" w:rsidRPr="003D1E07">
        <w:t xml:space="preserve">univerzálně-specifického </w:t>
      </w:r>
      <w:r w:rsidR="08453ADB" w:rsidRPr="003D1E07">
        <w:t xml:space="preserve">bytí </w:t>
      </w:r>
      <w:r w:rsidR="00253E97" w:rsidRPr="003D1E07">
        <w:t>species jako první substance do objektivní zjevnosti (</w:t>
      </w:r>
      <w:r w:rsidR="00253E97" w:rsidRPr="003D1E07">
        <w:rPr>
          <w:i/>
        </w:rPr>
        <w:t>alétheia</w:t>
      </w:r>
      <w:r w:rsidR="00253E97" w:rsidRPr="003D1E07">
        <w:t>) v </w:t>
      </w:r>
      <w:r w:rsidR="08453ADB" w:rsidRPr="003D1E07">
        <w:t>individuu</w:t>
      </w:r>
      <w:r w:rsidR="00A32F99" w:rsidRPr="003D1E07">
        <w:t xml:space="preserve"> jako druhé substanci. Univerzální význam druhu se mění v první substanci, která získává objektivní podobu. Prostřednictvím mytopoetické donace tato „hyparchická první substance“ přenáší smysl bytí na individuum jako </w:t>
      </w:r>
      <w:r w:rsidR="00BE3FB0" w:rsidRPr="003D1E07">
        <w:t>moderní „</w:t>
      </w:r>
      <w:r w:rsidR="00A32F99" w:rsidRPr="003D1E07">
        <w:t>druhou substanci</w:t>
      </w:r>
      <w:r w:rsidR="00BE3FB0" w:rsidRPr="003D1E07">
        <w:t>“</w:t>
      </w:r>
      <w:r w:rsidR="006A45D0">
        <w:t xml:space="preserve"> </w:t>
      </w:r>
      <w:r w:rsidR="006A45D0">
        <w:rPr>
          <w:noProof w:val="0"/>
          <w:lang w:val="fr-FR" w:eastAsia="x-none"/>
        </w:rPr>
        <w:t>(</w:t>
      </w:r>
      <w:r w:rsidR="006A45D0" w:rsidRPr="0013400A">
        <w:rPr>
          <w:i/>
          <w:noProof w:val="0"/>
          <w:lang w:val="fr-FR" w:eastAsia="x-none"/>
        </w:rPr>
        <w:t>tertium ens</w:t>
      </w:r>
      <w:r w:rsidR="006A45D0">
        <w:t>)</w:t>
      </w:r>
      <w:r w:rsidR="00A32F99" w:rsidRPr="003D1E07">
        <w:t xml:space="preserve">. </w:t>
      </w:r>
      <w:r w:rsidR="00A435A8" w:rsidRPr="003D1E07">
        <w:t>Aristotelská</w:t>
      </w:r>
      <w:r w:rsidR="00BE3FB0" w:rsidRPr="003D1E07">
        <w:t xml:space="preserve"> s</w:t>
      </w:r>
      <w:r w:rsidR="009C0679">
        <w:t>pecies dostala</w:t>
      </w:r>
      <w:r w:rsidR="00253E97" w:rsidRPr="003D1E07">
        <w:t xml:space="preserve"> mi</w:t>
      </w:r>
      <w:r w:rsidR="08453ADB" w:rsidRPr="003D1E07">
        <w:t>nulý charakter (ἦν εἶναι</w:t>
      </w:r>
      <w:r w:rsidR="00253E97" w:rsidRPr="003D1E07">
        <w:t>)</w:t>
      </w:r>
      <w:r w:rsidR="00BE3FB0" w:rsidRPr="003D1E07">
        <w:t xml:space="preserve"> vzhledem k individuu a k rodu. </w:t>
      </w:r>
      <w:r w:rsidR="00A435A8" w:rsidRPr="003D1E07">
        <w:t>Aristotelská s</w:t>
      </w:r>
      <w:r w:rsidR="088F0088" w:rsidRPr="003D1E07">
        <w:t xml:space="preserve">pecies </w:t>
      </w:r>
      <w:r w:rsidR="00D13085" w:rsidRPr="003D1E07">
        <w:t xml:space="preserve">přešla </w:t>
      </w:r>
      <w:r w:rsidR="088F0088" w:rsidRPr="003D1E07">
        <w:t>do minulostního modu a téměř</w:t>
      </w:r>
      <w:r w:rsidR="00253E97" w:rsidRPr="003D1E07">
        <w:t xml:space="preserve"> neexistuje</w:t>
      </w:r>
      <w:r w:rsidR="006E6FCF" w:rsidRPr="003D1E07">
        <w:t xml:space="preserve">. </w:t>
      </w:r>
      <w:r w:rsidR="00D13085" w:rsidRPr="003D1E07">
        <w:t>Klasická s</w:t>
      </w:r>
      <w:r w:rsidR="006E6FCF" w:rsidRPr="003D1E07">
        <w:t>pecies je oddělen</w:t>
      </w:r>
      <w:r w:rsidR="00D13085" w:rsidRPr="003D1E07">
        <w:t>a</w:t>
      </w:r>
      <w:r w:rsidR="006E6FCF" w:rsidRPr="003D1E07">
        <w:t xml:space="preserve"> novou objektivní diferencí od moderního </w:t>
      </w:r>
      <w:r w:rsidR="00253E97" w:rsidRPr="003D1E07">
        <w:t>indivi</w:t>
      </w:r>
      <w:r w:rsidR="006E6FCF" w:rsidRPr="003D1E07">
        <w:t>dua</w:t>
      </w:r>
      <w:r w:rsidR="088F0088" w:rsidRPr="003D1E07">
        <w:t xml:space="preserve"> </w:t>
      </w:r>
      <w:r w:rsidR="00253E97" w:rsidRPr="003D1E07">
        <w:t xml:space="preserve">jako </w:t>
      </w:r>
      <w:r w:rsidR="00253E97" w:rsidRPr="003D1E07">
        <w:rPr>
          <w:i/>
        </w:rPr>
        <w:t>tertium ens</w:t>
      </w:r>
      <w:r w:rsidR="088F0088" w:rsidRPr="003D1E07">
        <w:t xml:space="preserve">. </w:t>
      </w:r>
      <w:r w:rsidR="00746029" w:rsidRPr="003D1E07">
        <w:t xml:space="preserve">Nová diference je dána tím, že moderní individuum existuje jako autonomní druhá substance. </w:t>
      </w:r>
      <w:r w:rsidR="00E808FE" w:rsidRPr="003D1E07">
        <w:t>Role se otočily a místo</w:t>
      </w:r>
      <w:r w:rsidR="000A212A" w:rsidRPr="003D1E07">
        <w:t xml:space="preserve"> Porfýriova individua nastoupila</w:t>
      </w:r>
      <w:r w:rsidR="00E808FE" w:rsidRPr="003D1E07">
        <w:t xml:space="preserve"> </w:t>
      </w:r>
      <w:r w:rsidR="00254EA2">
        <w:t xml:space="preserve">aristotelská </w:t>
      </w:r>
      <w:r w:rsidR="00E808FE" w:rsidRPr="003D1E07">
        <w:t xml:space="preserve">species cestu do nejsoucna. </w:t>
      </w:r>
      <w:r w:rsidR="08162B12" w:rsidRPr="003D1E07">
        <w:t xml:space="preserve">Moderna vytvořila nový </w:t>
      </w:r>
      <w:r w:rsidR="08B779FB" w:rsidRPr="003D1E07">
        <w:t xml:space="preserve">metafyzický </w:t>
      </w:r>
      <w:r w:rsidR="08162B12" w:rsidRPr="003D1E07">
        <w:t>dativ tam</w:t>
      </w:r>
      <w:r w:rsidR="089C0113" w:rsidRPr="003D1E07">
        <w:t>,</w:t>
      </w:r>
      <w:r w:rsidR="08162B12" w:rsidRPr="003D1E07">
        <w:t xml:space="preserve"> kde původ</w:t>
      </w:r>
      <w:r w:rsidR="00602B2E" w:rsidRPr="003D1E07">
        <w:t xml:space="preserve">ně nemohl být. Neexistuje žádné dělení </w:t>
      </w:r>
      <w:r w:rsidR="00116C5D">
        <w:t xml:space="preserve">supozičního (natož impozičního) </w:t>
      </w:r>
      <w:r w:rsidR="08162B12" w:rsidRPr="003D1E07">
        <w:t xml:space="preserve">významu ze </w:t>
      </w:r>
      <w:r w:rsidR="00F214C5" w:rsidRPr="003D1E07">
        <w:t>species</w:t>
      </w:r>
      <w:r w:rsidR="08162B12" w:rsidRPr="003D1E07">
        <w:t xml:space="preserve"> na individuum. Moderní individuum si přivlastnilo v aktu </w:t>
      </w:r>
      <w:r w:rsidR="003B67A0">
        <w:t xml:space="preserve">mytologického </w:t>
      </w:r>
      <w:r w:rsidR="00D54E3C">
        <w:t xml:space="preserve">a zcela chybného </w:t>
      </w:r>
      <w:r w:rsidR="08162B12" w:rsidRPr="003D1E07">
        <w:rPr>
          <w:i/>
        </w:rPr>
        <w:t>dativus possessivus</w:t>
      </w:r>
      <w:r w:rsidR="08162B12" w:rsidRPr="003D1E07">
        <w:t xml:space="preserve"> </w:t>
      </w:r>
      <w:r w:rsidR="00AA4EA9" w:rsidRPr="003D1E07">
        <w:t xml:space="preserve">(OBJ III, kap. 4) </w:t>
      </w:r>
      <w:r w:rsidR="08162B12" w:rsidRPr="003D1E07">
        <w:t xml:space="preserve">něco, co  mu nikdy nepatřilo, totiž autonomní supoziční </w:t>
      </w:r>
      <w:r w:rsidR="00BA0063" w:rsidRPr="003D1E07">
        <w:t xml:space="preserve">a dokonce i hyparchický </w:t>
      </w:r>
      <w:r w:rsidR="08162B12" w:rsidRPr="003D1E07">
        <w:t xml:space="preserve">význam. Individuum si obléklo císařovy nové šaty a </w:t>
      </w:r>
      <w:r w:rsidR="0838570C" w:rsidRPr="003D1E07">
        <w:t>tím vzniklo nové jsoucno třetíh</w:t>
      </w:r>
      <w:r w:rsidR="08162B12" w:rsidRPr="003D1E07">
        <w:t xml:space="preserve">o druhu. </w:t>
      </w:r>
      <w:r w:rsidR="08A040F1" w:rsidRPr="003D1E07">
        <w:t>Klasický a</w:t>
      </w:r>
      <w:r w:rsidR="08E67805" w:rsidRPr="003D1E07">
        <w:t xml:space="preserve">kt donace </w:t>
      </w:r>
      <w:r w:rsidR="00BB04CC" w:rsidRPr="003D1E07">
        <w:t xml:space="preserve">metafyzického smyslu </w:t>
      </w:r>
      <w:r w:rsidR="08E67805" w:rsidRPr="003D1E07">
        <w:t xml:space="preserve">jsoucna </w:t>
      </w:r>
      <w:r w:rsidR="00BB04CC" w:rsidRPr="003D1E07">
        <w:t xml:space="preserve">je dán skrze impozici významu </w:t>
      </w:r>
      <w:r w:rsidR="004E3AE2">
        <w:t xml:space="preserve">z reálné první substance </w:t>
      </w:r>
      <w:r w:rsidR="00BB04CC" w:rsidRPr="003D1E07">
        <w:t xml:space="preserve">na species. Dělení </w:t>
      </w:r>
      <w:r w:rsidR="08E67805" w:rsidRPr="003D1E07">
        <w:t xml:space="preserve">se vztahuje </w:t>
      </w:r>
      <w:r w:rsidR="08FC037F" w:rsidRPr="003D1E07">
        <w:t xml:space="preserve">v modu supozice </w:t>
      </w:r>
      <w:r w:rsidR="08E67805" w:rsidRPr="003D1E07">
        <w:t>pouze k univerzálnímu bytí danému v mysli</w:t>
      </w:r>
      <w:r w:rsidR="08FB7027" w:rsidRPr="003D1E07">
        <w:t xml:space="preserve"> jako </w:t>
      </w:r>
      <w:r w:rsidR="00F214C5" w:rsidRPr="003D1E07">
        <w:t>species</w:t>
      </w:r>
      <w:r w:rsidR="08E67805" w:rsidRPr="003D1E07">
        <w:t xml:space="preserve">, protože individuum </w:t>
      </w:r>
      <w:r w:rsidR="00405185" w:rsidRPr="003D1E07">
        <w:t>nemá žádný autonomní kategoriální význam</w:t>
      </w:r>
      <w:r w:rsidR="08E67805" w:rsidRPr="003D1E07">
        <w:t xml:space="preserve">. </w:t>
      </w:r>
      <w:r w:rsidR="007A2236" w:rsidRPr="003D1E07">
        <w:t xml:space="preserve">Také </w:t>
      </w:r>
      <w:r w:rsidR="08FC037F" w:rsidRPr="003D1E07">
        <w:t xml:space="preserve">univerzální kategoriální signifikaci </w:t>
      </w:r>
      <w:r w:rsidR="007A2236" w:rsidRPr="003D1E07">
        <w:t xml:space="preserve">určenou supozicí skrze species </w:t>
      </w:r>
      <w:r w:rsidR="08FC037F" w:rsidRPr="003D1E07">
        <w:t xml:space="preserve">má </w:t>
      </w:r>
      <w:r w:rsidR="007A2236" w:rsidRPr="003D1E07">
        <w:t xml:space="preserve">individuum </w:t>
      </w:r>
      <w:r w:rsidR="08FC037F" w:rsidRPr="003D1E07">
        <w:t>úplně v minimál</w:t>
      </w:r>
      <w:r w:rsidR="08487334" w:rsidRPr="003D1E07">
        <w:t xml:space="preserve">ní míře, protože </w:t>
      </w:r>
      <w:r w:rsidR="000D1D4A" w:rsidRPr="003D1E07">
        <w:t xml:space="preserve">se nachází </w:t>
      </w:r>
      <w:r w:rsidR="08487334" w:rsidRPr="003D1E07">
        <w:t>v dělení významu nejdále od rodu.</w:t>
      </w:r>
      <w:r w:rsidR="08FC037F" w:rsidRPr="003D1E07">
        <w:t xml:space="preserve"> </w:t>
      </w:r>
      <w:r w:rsidR="00BD4597" w:rsidRPr="003D1E07">
        <w:t>I</w:t>
      </w:r>
      <w:r w:rsidR="08FC037F" w:rsidRPr="003D1E07">
        <w:t xml:space="preserve">ndividuum </w:t>
      </w:r>
      <w:r w:rsidR="089F020B" w:rsidRPr="003D1E07">
        <w:t xml:space="preserve">tvoří </w:t>
      </w:r>
      <w:r w:rsidR="08FC037F" w:rsidRPr="003D1E07">
        <w:t xml:space="preserve">součást </w:t>
      </w:r>
      <w:r w:rsidR="00F214C5" w:rsidRPr="003D1E07">
        <w:t>species</w:t>
      </w:r>
      <w:r w:rsidR="08FC037F" w:rsidRPr="003D1E07">
        <w:t xml:space="preserve">, </w:t>
      </w:r>
      <w:r w:rsidR="00BD4597" w:rsidRPr="003D1E07">
        <w:t xml:space="preserve">protože </w:t>
      </w:r>
      <w:r w:rsidR="08E42427" w:rsidRPr="003D1E07">
        <w:t xml:space="preserve">nemá žádný autonomní </w:t>
      </w:r>
      <w:r w:rsidR="08FC037F" w:rsidRPr="003D1E07">
        <w:t>kategoriální význam</w:t>
      </w:r>
      <w:r w:rsidR="08407C18" w:rsidRPr="003D1E07">
        <w:t xml:space="preserve">. </w:t>
      </w:r>
      <w:r w:rsidR="08011D7A" w:rsidRPr="003D1E07">
        <w:t>Indivi</w:t>
      </w:r>
      <w:r w:rsidR="083F34E6" w:rsidRPr="003D1E07">
        <w:t>d</w:t>
      </w:r>
      <w:r w:rsidR="08011D7A" w:rsidRPr="003D1E07">
        <w:t xml:space="preserve">uum je </w:t>
      </w:r>
      <w:r w:rsidR="08FC037F" w:rsidRPr="003D1E07">
        <w:t xml:space="preserve">část </w:t>
      </w:r>
      <w:r w:rsidR="00F214C5" w:rsidRPr="003D1E07">
        <w:t>species</w:t>
      </w:r>
      <w:r w:rsidR="08407C18" w:rsidRPr="003D1E07">
        <w:t xml:space="preserve">, který představuje první </w:t>
      </w:r>
      <w:r w:rsidR="08487334" w:rsidRPr="003D1E07">
        <w:t xml:space="preserve">a nejdůležitější </w:t>
      </w:r>
      <w:r w:rsidR="08FC037F" w:rsidRPr="003D1E07">
        <w:t xml:space="preserve">hyparchické </w:t>
      </w:r>
      <w:r w:rsidR="08023CE2" w:rsidRPr="003D1E07">
        <w:t xml:space="preserve">univerzální </w:t>
      </w:r>
      <w:r w:rsidR="08FC037F" w:rsidRPr="003D1E07">
        <w:rPr>
          <w:i/>
        </w:rPr>
        <w:t>totum</w:t>
      </w:r>
      <w:r w:rsidR="08407C18" w:rsidRPr="003D1E07">
        <w:t xml:space="preserve"> dané vzhledem k reálné první substanci. </w:t>
      </w:r>
      <w:r w:rsidR="08ED2BF5" w:rsidRPr="003D1E07">
        <w:t xml:space="preserve">Tento </w:t>
      </w:r>
      <w:r w:rsidR="083F34E6" w:rsidRPr="003D1E07">
        <w:t xml:space="preserve">minimální </w:t>
      </w:r>
      <w:r w:rsidR="08ED2BF5" w:rsidRPr="003D1E07">
        <w:t xml:space="preserve">význam </w:t>
      </w:r>
      <w:r w:rsidR="082E7548" w:rsidRPr="003D1E07">
        <w:t xml:space="preserve">individua </w:t>
      </w:r>
      <w:r w:rsidR="083F34E6" w:rsidRPr="003D1E07">
        <w:t xml:space="preserve">(pozdější </w:t>
      </w:r>
      <w:r w:rsidR="083F34E6" w:rsidRPr="003D1E07">
        <w:rPr>
          <w:i/>
        </w:rPr>
        <w:t>esse diminutum</w:t>
      </w:r>
      <w:r w:rsidR="083F34E6" w:rsidRPr="003D1E07">
        <w:rPr>
          <w:i/>
        </w:rPr>
        <w:fldChar w:fldCharType="begin"/>
      </w:r>
      <w:r w:rsidR="083F34E6" w:rsidRPr="003D1E07">
        <w:instrText xml:space="preserve"> XE "</w:instrText>
      </w:r>
      <w:r w:rsidR="083F34E6" w:rsidRPr="003D1E07">
        <w:rPr>
          <w:i/>
        </w:rPr>
        <w:instrText>esse diminutum</w:instrText>
      </w:r>
      <w:r w:rsidR="083F34E6" w:rsidRPr="003D1E07">
        <w:instrText xml:space="preserve">" </w:instrText>
      </w:r>
      <w:r w:rsidR="083F34E6" w:rsidRPr="003D1E07">
        <w:rPr>
          <w:i/>
        </w:rPr>
        <w:fldChar w:fldCharType="end"/>
      </w:r>
      <w:r w:rsidR="083F34E6" w:rsidRPr="003D1E07">
        <w:t xml:space="preserve">) </w:t>
      </w:r>
      <w:r w:rsidR="08ED2BF5" w:rsidRPr="003D1E07">
        <w:t xml:space="preserve">neoplatonikové a latinští sofisté </w:t>
      </w:r>
      <w:r w:rsidR="083F34E6" w:rsidRPr="003D1E07">
        <w:t xml:space="preserve">úplně otočili. Moderna udělala </w:t>
      </w:r>
      <w:r w:rsidR="08ED2BF5" w:rsidRPr="003D1E07">
        <w:t xml:space="preserve">z </w:t>
      </w:r>
      <w:r w:rsidR="083F34E6" w:rsidRPr="003D1E07">
        <w:t xml:space="preserve">individua </w:t>
      </w:r>
      <w:r w:rsidR="0005195D">
        <w:t>paranoickou „</w:t>
      </w:r>
      <w:r w:rsidR="08ED2BF5" w:rsidRPr="003D1E07">
        <w:t>první substanci</w:t>
      </w:r>
      <w:r w:rsidR="0005195D">
        <w:t>“</w:t>
      </w:r>
      <w:r w:rsidR="083F34E6" w:rsidRPr="003D1E07">
        <w:t xml:space="preserve"> a </w:t>
      </w:r>
      <w:r w:rsidR="08387822" w:rsidRPr="003D1E07">
        <w:t xml:space="preserve">její </w:t>
      </w:r>
      <w:r w:rsidR="084269E4" w:rsidRPr="003D1E07">
        <w:t xml:space="preserve">pevné </w:t>
      </w:r>
      <w:r w:rsidR="08387822" w:rsidRPr="003D1E07">
        <w:t xml:space="preserve">bytí </w:t>
      </w:r>
      <w:r w:rsidR="084269E4" w:rsidRPr="003D1E07">
        <w:t>(</w:t>
      </w:r>
      <w:r w:rsidR="084269E4" w:rsidRPr="003D1E07">
        <w:rPr>
          <w:i/>
        </w:rPr>
        <w:t>esse ratum</w:t>
      </w:r>
      <w:r w:rsidR="084269E4" w:rsidRPr="003D1E07">
        <w:rPr>
          <w:i/>
        </w:rPr>
        <w:fldChar w:fldCharType="begin"/>
      </w:r>
      <w:r w:rsidR="084269E4" w:rsidRPr="003D1E07">
        <w:instrText xml:space="preserve"> XE "</w:instrText>
      </w:r>
      <w:r w:rsidR="084269E4" w:rsidRPr="003D1E07">
        <w:rPr>
          <w:i/>
        </w:rPr>
        <w:instrText>esse ratum</w:instrText>
      </w:r>
      <w:r w:rsidR="084269E4" w:rsidRPr="003D1E07">
        <w:instrText xml:space="preserve">" </w:instrText>
      </w:r>
      <w:r w:rsidR="084269E4" w:rsidRPr="003D1E07">
        <w:rPr>
          <w:i/>
        </w:rPr>
        <w:fldChar w:fldCharType="end"/>
      </w:r>
      <w:r w:rsidR="084269E4" w:rsidRPr="003D1E07">
        <w:t xml:space="preserve">) </w:t>
      </w:r>
      <w:r w:rsidR="08387822" w:rsidRPr="003D1E07">
        <w:t>zakotvil</w:t>
      </w:r>
      <w:r w:rsidR="083F34E6" w:rsidRPr="003D1E07">
        <w:t>a</w:t>
      </w:r>
      <w:r w:rsidR="08387822" w:rsidRPr="003D1E07">
        <w:t xml:space="preserve"> </w:t>
      </w:r>
      <w:r w:rsidR="08B25FD5" w:rsidRPr="003D1E07">
        <w:t xml:space="preserve">nejprve </w:t>
      </w:r>
      <w:r w:rsidR="08387822" w:rsidRPr="003D1E07">
        <w:t xml:space="preserve">v božím </w:t>
      </w:r>
      <w:r w:rsidR="08387822" w:rsidRPr="003D1E07">
        <w:lastRenderedPageBreak/>
        <w:t>myšlení</w:t>
      </w:r>
      <w:r w:rsidR="083F34E6" w:rsidRPr="003D1E07">
        <w:t xml:space="preserve"> a později v matematice</w:t>
      </w:r>
      <w:r w:rsidR="08ED2BF5" w:rsidRPr="003D1E07">
        <w:t xml:space="preserve">. </w:t>
      </w:r>
      <w:r w:rsidR="08B25FD5" w:rsidRPr="003D1E07">
        <w:t>Supoziční v</w:t>
      </w:r>
      <w:r w:rsidR="08ED2BF5" w:rsidRPr="003D1E07">
        <w:t xml:space="preserve">ýznam </w:t>
      </w:r>
      <w:r w:rsidR="082B02B4" w:rsidRPr="003D1E07">
        <w:t xml:space="preserve">individua </w:t>
      </w:r>
      <w:r w:rsidR="088074DB" w:rsidRPr="003D1E07">
        <w:t xml:space="preserve">v modu </w:t>
      </w:r>
      <w:r w:rsidR="088074DB" w:rsidRPr="003D1E07">
        <w:rPr>
          <w:i/>
        </w:rPr>
        <w:t>totum</w:t>
      </w:r>
      <w:r w:rsidR="088074DB" w:rsidRPr="003D1E07">
        <w:t xml:space="preserve"> </w:t>
      </w:r>
      <w:r w:rsidR="08ED2BF5" w:rsidRPr="003D1E07">
        <w:t xml:space="preserve">je dán </w:t>
      </w:r>
      <w:r w:rsidR="08F2555B" w:rsidRPr="003D1E07">
        <w:t xml:space="preserve">v citovaném originále </w:t>
      </w:r>
      <w:r w:rsidR="088074DB" w:rsidRPr="003D1E07">
        <w:t xml:space="preserve">pouze vzhledem k vyšším </w:t>
      </w:r>
      <w:r w:rsidR="08ED2BF5" w:rsidRPr="003D1E07">
        <w:t>univerzálním významů</w:t>
      </w:r>
      <w:r w:rsidR="086E0B07" w:rsidRPr="003D1E07">
        <w:t>m</w:t>
      </w:r>
      <w:r w:rsidR="08ED2BF5" w:rsidRPr="003D1E07">
        <w:t>, což</w:t>
      </w:r>
      <w:r w:rsidR="08CA5E88" w:rsidRPr="003D1E07">
        <w:t xml:space="preserve"> je</w:t>
      </w:r>
      <w:r w:rsidR="08ED2BF5" w:rsidRPr="003D1E07">
        <w:t xml:space="preserve"> pochopitelně </w:t>
      </w:r>
      <w:r w:rsidR="08CA5E88" w:rsidRPr="003D1E07">
        <w:t xml:space="preserve">na prvním místě </w:t>
      </w:r>
      <w:r w:rsidR="00F214C5" w:rsidRPr="003D1E07">
        <w:t>species</w:t>
      </w:r>
      <w:r w:rsidR="08ED2BF5" w:rsidRPr="003D1E07">
        <w:t>. P</w:t>
      </w:r>
      <w:r w:rsidR="0826646C" w:rsidRPr="003D1E07">
        <w:t xml:space="preserve">roto z hlediska </w:t>
      </w:r>
      <w:r w:rsidR="08AD7786" w:rsidRPr="003D1E07">
        <w:t xml:space="preserve">klasické </w:t>
      </w:r>
      <w:r w:rsidR="0826646C" w:rsidRPr="003D1E07">
        <w:t xml:space="preserve">univerzální predikace tvoří </w:t>
      </w:r>
      <w:r w:rsidR="082B02B4" w:rsidRPr="003D1E07">
        <w:t xml:space="preserve">individuum </w:t>
      </w:r>
      <w:r w:rsidR="0826646C" w:rsidRPr="003D1E07">
        <w:t>pouhou část vyššího celku univerz</w:t>
      </w:r>
      <w:r w:rsidR="087A60C5" w:rsidRPr="003D1E07">
        <w:t>álního významu</w:t>
      </w:r>
      <w:r w:rsidR="08ED2BF5" w:rsidRPr="003D1E07">
        <w:t xml:space="preserve"> danéh</w:t>
      </w:r>
      <w:r w:rsidR="082E768B" w:rsidRPr="003D1E07">
        <w:t xml:space="preserve">o na úrovni </w:t>
      </w:r>
      <w:r w:rsidR="00F214C5" w:rsidRPr="003D1E07">
        <w:t>species</w:t>
      </w:r>
      <w:r w:rsidR="082E768B" w:rsidRPr="003D1E07">
        <w:t xml:space="preserve"> jako celku </w:t>
      </w:r>
      <w:r w:rsidR="087A60C5" w:rsidRPr="003D1E07">
        <w:t>(</w:t>
      </w:r>
      <w:r w:rsidR="087A60C5" w:rsidRPr="003D1E07">
        <w:rPr>
          <w:i/>
          <w:color w:val="000000"/>
        </w:rPr>
        <w:t>partibus enim totum est</w:t>
      </w:r>
      <w:r w:rsidR="087A60C5" w:rsidRPr="003D1E07">
        <w:t xml:space="preserve">). </w:t>
      </w:r>
      <w:r w:rsidR="005D6DF9" w:rsidRPr="003D1E07">
        <w:t>Individuum tvoří určenou jednotu významu (</w:t>
      </w:r>
      <w:r w:rsidR="005D6DF9" w:rsidRPr="003D1E07">
        <w:rPr>
          <w:i/>
        </w:rPr>
        <w:t>totum</w:t>
      </w:r>
      <w:r w:rsidR="005D6DF9" w:rsidRPr="003D1E07">
        <w:t>) díky své nedělitelnosti. Ale metafyzický význam druhé substance (</w:t>
      </w:r>
      <w:r w:rsidR="005D6DF9" w:rsidRPr="003D1E07">
        <w:rPr>
          <w:i/>
        </w:rPr>
        <w:t>totum</w:t>
      </w:r>
      <w:r w:rsidR="005D6DF9" w:rsidRPr="003D1E07">
        <w:t xml:space="preserve">) je dán nejprve druhu. Oba významy </w:t>
      </w:r>
      <w:r w:rsidR="005D6DF9" w:rsidRPr="003D1E07">
        <w:rPr>
          <w:i/>
        </w:rPr>
        <w:t>totum</w:t>
      </w:r>
      <w:r w:rsidR="005D6DF9" w:rsidRPr="003D1E07">
        <w:t xml:space="preserve"> </w:t>
      </w:r>
      <w:r w:rsidR="00230A0D" w:rsidRPr="003D1E07">
        <w:t xml:space="preserve">se zásadně </w:t>
      </w:r>
      <w:r w:rsidR="005D6DF9" w:rsidRPr="003D1E07">
        <w:t>liš</w:t>
      </w:r>
      <w:r w:rsidR="00230A0D" w:rsidRPr="003D1E07">
        <w:t>í</w:t>
      </w:r>
      <w:r w:rsidR="00AC57DF" w:rsidRPr="003D1E07">
        <w:t>, protože nemají stejný subjekt kategoriální výpovědi</w:t>
      </w:r>
      <w:r w:rsidR="005D6DF9" w:rsidRPr="003D1E07">
        <w:t>. I</w:t>
      </w:r>
      <w:r w:rsidR="087A60C5" w:rsidRPr="003D1E07">
        <w:t>ndividu</w:t>
      </w:r>
      <w:r w:rsidR="005D6DF9" w:rsidRPr="003D1E07">
        <w:t xml:space="preserve">um </w:t>
      </w:r>
      <w:r w:rsidR="087A60C5" w:rsidRPr="003D1E07">
        <w:t xml:space="preserve">už téměř žádný univerzální význam nemá, protože </w:t>
      </w:r>
      <w:r w:rsidR="08577640" w:rsidRPr="003D1E07">
        <w:t xml:space="preserve">v rámci supozice </w:t>
      </w:r>
      <w:r w:rsidR="08980871" w:rsidRPr="003D1E07">
        <w:t xml:space="preserve">představuje </w:t>
      </w:r>
      <w:r w:rsidR="00102BEF">
        <w:t xml:space="preserve">dále </w:t>
      </w:r>
      <w:r w:rsidR="08980871" w:rsidRPr="003D1E07">
        <w:t xml:space="preserve">nedělitelnou část </w:t>
      </w:r>
      <w:r w:rsidR="00F214C5" w:rsidRPr="003D1E07">
        <w:t>species</w:t>
      </w:r>
      <w:r w:rsidR="0826646C" w:rsidRPr="003D1E07">
        <w:t xml:space="preserve">. </w:t>
      </w:r>
      <w:r w:rsidR="08F11B4D" w:rsidRPr="003D1E07">
        <w:t xml:space="preserve">Porfyriův strom </w:t>
      </w:r>
      <w:r w:rsidR="08484929" w:rsidRPr="003D1E07">
        <w:rPr>
          <w:i/>
        </w:rPr>
        <w:fldChar w:fldCharType="begin"/>
      </w:r>
      <w:r w:rsidR="08484929" w:rsidRPr="003D1E07">
        <w:instrText xml:space="preserve"> XE "</w:instrText>
      </w:r>
      <w:r w:rsidR="08484929" w:rsidRPr="003D1E07">
        <w:rPr>
          <w:i/>
        </w:rPr>
        <w:instrText>Arbor Porphyriana</w:instrText>
      </w:r>
      <w:r w:rsidR="08484929" w:rsidRPr="003D1E07">
        <w:instrText xml:space="preserve">" </w:instrText>
      </w:r>
      <w:r w:rsidR="08484929" w:rsidRPr="003D1E07">
        <w:rPr>
          <w:i/>
        </w:rPr>
        <w:fldChar w:fldCharType="end"/>
      </w:r>
      <w:r w:rsidR="08F11B4D" w:rsidRPr="003D1E07">
        <w:t xml:space="preserve"> sleduje </w:t>
      </w:r>
      <w:r w:rsidR="08D125F8" w:rsidRPr="003D1E07">
        <w:t xml:space="preserve">tuto </w:t>
      </w:r>
      <w:r w:rsidR="08F11B4D" w:rsidRPr="003D1E07">
        <w:t>logiku dělení na úrovni univerzálií.</w:t>
      </w:r>
      <w:r w:rsidR="08F11B4D" w:rsidRPr="003D1E07">
        <w:rPr>
          <w:rStyle w:val="Znakapoznpodarou"/>
        </w:rPr>
        <w:footnoteReference w:id="48"/>
      </w:r>
      <w:r w:rsidR="08F11B4D" w:rsidRPr="003D1E07">
        <w:t xml:space="preserve"> Poslední nedělitelné </w:t>
      </w:r>
      <w:r w:rsidR="08195B5A" w:rsidRPr="003D1E07">
        <w:rPr>
          <w:i/>
        </w:rPr>
        <w:t>individuum</w:t>
      </w:r>
      <w:r w:rsidR="084B0D4F" w:rsidRPr="003D1E07">
        <w:t xml:space="preserve"> jako</w:t>
      </w:r>
      <w:r w:rsidR="08195B5A" w:rsidRPr="003D1E07">
        <w:t xml:space="preserve"> celek (</w:t>
      </w:r>
      <w:r w:rsidR="08195B5A" w:rsidRPr="003D1E07">
        <w:rPr>
          <w:i/>
        </w:rPr>
        <w:t>totum</w:t>
      </w:r>
      <w:r w:rsidR="08195B5A" w:rsidRPr="003D1E07">
        <w:t xml:space="preserve">) </w:t>
      </w:r>
      <w:r w:rsidR="08787434" w:rsidRPr="003D1E07">
        <w:t>obsahuje univerz</w:t>
      </w:r>
      <w:r w:rsidR="084B0D4F" w:rsidRPr="003D1E07">
        <w:t>al</w:t>
      </w:r>
      <w:r w:rsidR="08787434" w:rsidRPr="003D1E07">
        <w:t xml:space="preserve">itu </w:t>
      </w:r>
      <w:r w:rsidR="08195B5A" w:rsidRPr="003D1E07">
        <w:t xml:space="preserve">v </w:t>
      </w:r>
      <w:r w:rsidR="08787434" w:rsidRPr="003D1E07">
        <w:t>téměř nulovém stupni,</w:t>
      </w:r>
      <w:r w:rsidR="08195B5A" w:rsidRPr="003D1E07">
        <w:t xml:space="preserve"> protože </w:t>
      </w:r>
      <w:r w:rsidR="084C42B1" w:rsidRPr="003D1E07">
        <w:t xml:space="preserve">na konci dělení pod </w:t>
      </w:r>
      <w:r w:rsidR="00F214C5" w:rsidRPr="003D1E07">
        <w:t>species</w:t>
      </w:r>
      <w:r w:rsidR="084C42B1" w:rsidRPr="003D1E07">
        <w:t xml:space="preserve"> </w:t>
      </w:r>
      <w:r w:rsidR="08195B5A" w:rsidRPr="003D1E07">
        <w:t>už skoro žádný univerzální význam ne</w:t>
      </w:r>
      <w:r w:rsidR="084B0D4F" w:rsidRPr="003D1E07">
        <w:t>ní.</w:t>
      </w:r>
      <w:r w:rsidR="08195B5A" w:rsidRPr="003D1E07">
        <w:t xml:space="preserve"> </w:t>
      </w:r>
      <w:r w:rsidR="08D125F8" w:rsidRPr="003D1E07">
        <w:t>Co je naposledy specificky</w:t>
      </w:r>
      <w:r w:rsidR="08C11655" w:rsidRPr="003D1E07">
        <w:t>-individuálně</w:t>
      </w:r>
      <w:r w:rsidR="08D125F8" w:rsidRPr="003D1E07">
        <w:t xml:space="preserve"> rozděleno, to se tímto holým faktem </w:t>
      </w:r>
      <w:r w:rsidR="00AC530E" w:rsidRPr="003D1E07">
        <w:t xml:space="preserve">diference </w:t>
      </w:r>
      <w:r w:rsidR="08D125F8" w:rsidRPr="003D1E07">
        <w:t>liší jedno od druhého (τοῖς μέρεσι</w:t>
      </w:r>
      <w:r w:rsidR="08D125F8" w:rsidRPr="003D1E07">
        <w:rPr>
          <w:i/>
          <w:color w:val="000000"/>
        </w:rPr>
        <w:t>, aliis</w:t>
      </w:r>
      <w:r w:rsidR="08D125F8" w:rsidRPr="003D1E07">
        <w:t xml:space="preserve">). </w:t>
      </w:r>
      <w:r w:rsidR="00F657A5" w:rsidRPr="003D1E07">
        <w:t>To je první známý příklad „</w:t>
      </w:r>
      <w:r w:rsidR="00F657A5" w:rsidRPr="003D1E07">
        <w:rPr>
          <w:i/>
        </w:rPr>
        <w:t>valeur du signe</w:t>
      </w:r>
      <w:r w:rsidR="00F657A5" w:rsidRPr="003D1E07">
        <w:t>“, který tvoří strukturální rozdíl v moderní Saussurově lingvistice (</w:t>
      </w:r>
      <w:r w:rsidR="00F657A5" w:rsidRPr="003D1E07">
        <w:rPr>
          <w:i/>
        </w:rPr>
        <w:t>les écarts différentiels</w:t>
      </w:r>
      <w:r w:rsidR="00F657A5" w:rsidRPr="003D1E07">
        <w:t xml:space="preserve">). </w:t>
      </w:r>
      <w:r w:rsidR="08195B5A" w:rsidRPr="003D1E07">
        <w:t xml:space="preserve">První skutečné </w:t>
      </w:r>
      <w:r w:rsidR="08195B5A" w:rsidRPr="003D1E07">
        <w:rPr>
          <w:i/>
        </w:rPr>
        <w:t>totum</w:t>
      </w:r>
      <w:r w:rsidR="08195B5A" w:rsidRPr="003D1E07">
        <w:t xml:space="preserve"> pro univerzální určení </w:t>
      </w:r>
      <w:r w:rsidR="084F78DF" w:rsidRPr="003D1E07">
        <w:t xml:space="preserve">druhé </w:t>
      </w:r>
      <w:r w:rsidR="08195B5A" w:rsidRPr="003D1E07">
        <w:t xml:space="preserve">substance je </w:t>
      </w:r>
      <w:r w:rsidR="00F214C5" w:rsidRPr="003D1E07">
        <w:t>species</w:t>
      </w:r>
      <w:r w:rsidR="084C42B1" w:rsidRPr="003D1E07">
        <w:t xml:space="preserve">, protože má první vlastní univerzální </w:t>
      </w:r>
      <w:r w:rsidR="004D7C53">
        <w:t xml:space="preserve">univoční </w:t>
      </w:r>
      <w:r w:rsidR="084C42B1" w:rsidRPr="003D1E07">
        <w:t xml:space="preserve">význam. </w:t>
      </w:r>
      <w:r w:rsidR="00365CBB" w:rsidRPr="003D1E07">
        <w:t xml:space="preserve">Druh </w:t>
      </w:r>
      <w:r w:rsidR="0068722B" w:rsidRPr="003D1E07">
        <w:t xml:space="preserve">dostal nové postavení vzhledem k jednotlivinám, protože je </w:t>
      </w:r>
      <w:r w:rsidR="088A0290" w:rsidRPr="003D1E07">
        <w:t xml:space="preserve">v modu impozice první </w:t>
      </w:r>
      <w:r w:rsidR="0068722B" w:rsidRPr="003D1E07">
        <w:t xml:space="preserve">univerzální rovinou významu, ale jiného druhu než rod. </w:t>
      </w:r>
      <w:r w:rsidR="08521F99" w:rsidRPr="003D1E07">
        <w:t xml:space="preserve">První celek významu (ὅλον, </w:t>
      </w:r>
      <w:r w:rsidR="08521F99" w:rsidRPr="003D1E07">
        <w:rPr>
          <w:i/>
        </w:rPr>
        <w:t>totum</w:t>
      </w:r>
      <w:r w:rsidR="08521F99" w:rsidRPr="003D1E07">
        <w:t xml:space="preserve">) je </w:t>
      </w:r>
      <w:r w:rsidR="00F214C5" w:rsidRPr="003D1E07">
        <w:t>species</w:t>
      </w:r>
      <w:r w:rsidR="08521F99" w:rsidRPr="003D1E07">
        <w:t xml:space="preserve">, které </w:t>
      </w:r>
      <w:r w:rsidR="00EB6718" w:rsidRPr="003D1E07">
        <w:t xml:space="preserve">má vzhledem k </w:t>
      </w:r>
      <w:r w:rsidR="08521F99" w:rsidRPr="003D1E07">
        <w:t xml:space="preserve">individuu </w:t>
      </w:r>
      <w:r w:rsidR="00EB6718" w:rsidRPr="003D1E07">
        <w:t>ambivalentní postavení</w:t>
      </w:r>
      <w:r w:rsidR="08521F99" w:rsidRPr="003D1E07">
        <w:t xml:space="preserve">. Od </w:t>
      </w:r>
      <w:r w:rsidR="083841C9" w:rsidRPr="003D1E07">
        <w:t xml:space="preserve">dále </w:t>
      </w:r>
      <w:r w:rsidR="08521F99" w:rsidRPr="003D1E07">
        <w:t xml:space="preserve">nedělitelného </w:t>
      </w:r>
      <w:r w:rsidR="083841C9" w:rsidRPr="003D1E07">
        <w:t xml:space="preserve">specifického </w:t>
      </w:r>
      <w:r w:rsidR="08521F99" w:rsidRPr="003D1E07">
        <w:t xml:space="preserve">individua </w:t>
      </w:r>
      <w:r w:rsidR="088A0290" w:rsidRPr="003D1E07">
        <w:t xml:space="preserve">se </w:t>
      </w:r>
      <w:r w:rsidR="00F214C5" w:rsidRPr="003D1E07">
        <w:t>species</w:t>
      </w:r>
      <w:r w:rsidR="08521F99" w:rsidRPr="003D1E07">
        <w:t xml:space="preserve"> </w:t>
      </w:r>
      <w:r w:rsidR="088A0290" w:rsidRPr="003D1E07">
        <w:t xml:space="preserve">liší svou </w:t>
      </w:r>
      <w:r w:rsidR="08521F99" w:rsidRPr="003D1E07">
        <w:t>dělite</w:t>
      </w:r>
      <w:r w:rsidR="088A0290" w:rsidRPr="003D1E07">
        <w:t>lností</w:t>
      </w:r>
      <w:r w:rsidR="083841C9" w:rsidRPr="003D1E07">
        <w:t xml:space="preserve">. </w:t>
      </w:r>
      <w:r w:rsidR="08521F99" w:rsidRPr="003D1E07">
        <w:t>Pro</w:t>
      </w:r>
      <w:r w:rsidR="00EB6718" w:rsidRPr="003D1E07">
        <w:t xml:space="preserve">to </w:t>
      </w:r>
      <w:r w:rsidR="082312BD" w:rsidRPr="003D1E07">
        <w:t xml:space="preserve">tvoří </w:t>
      </w:r>
      <w:r w:rsidR="00F214C5" w:rsidRPr="003D1E07">
        <w:t>species</w:t>
      </w:r>
      <w:r w:rsidR="08521F99" w:rsidRPr="003D1E07">
        <w:t xml:space="preserve"> a individuum </w:t>
      </w:r>
      <w:r w:rsidR="00EB6718" w:rsidRPr="003D1E07">
        <w:t>zvláštní druh jednoty</w:t>
      </w:r>
      <w:r w:rsidR="003847E8">
        <w:t xml:space="preserve"> v modu supozice</w:t>
      </w:r>
      <w:r w:rsidR="00EB6718" w:rsidRPr="003D1E07">
        <w:t>.</w:t>
      </w:r>
      <w:r w:rsidR="00970BB5" w:rsidRPr="003D1E07">
        <w:t xml:space="preserve"> </w:t>
      </w:r>
      <w:r w:rsidR="00320367">
        <w:t>Naopak v modu impozice je nedělitelné species a individuum nemá žádný vlastní význam, protože primární atomární substance je species.</w:t>
      </w:r>
      <w:r w:rsidR="000002EA">
        <w:t xml:space="preserve"> </w:t>
      </w:r>
      <w:r w:rsidR="0802760C" w:rsidRPr="003D1E07">
        <w:t xml:space="preserve">Boethius a po něm klasičtí znalci Aristotela </w:t>
      </w:r>
      <w:r w:rsidR="08A92F3A" w:rsidRPr="003D1E07">
        <w:t>přesně znal</w:t>
      </w:r>
      <w:r w:rsidR="0802760C" w:rsidRPr="003D1E07">
        <w:t>i</w:t>
      </w:r>
      <w:r w:rsidR="08A92F3A" w:rsidRPr="003D1E07">
        <w:t xml:space="preserve"> původní </w:t>
      </w:r>
      <w:r w:rsidR="08810D3D" w:rsidRPr="003D1E07">
        <w:t xml:space="preserve">specifický </w:t>
      </w:r>
      <w:r w:rsidR="08A92F3A" w:rsidRPr="003D1E07">
        <w:t xml:space="preserve">význam individua jako </w:t>
      </w:r>
      <w:r w:rsidR="08B0701B" w:rsidRPr="003D1E07">
        <w:t xml:space="preserve">pouhé části významu </w:t>
      </w:r>
      <w:r w:rsidR="08A92F3A" w:rsidRPr="003D1E07">
        <w:t>v kategor</w:t>
      </w:r>
      <w:r w:rsidR="08483D58" w:rsidRPr="003D1E07">
        <w:t>i</w:t>
      </w:r>
      <w:r w:rsidR="08A92F3A" w:rsidRPr="003D1E07">
        <w:t>ální predikaci</w:t>
      </w:r>
      <w:r w:rsidR="00FF7D2D" w:rsidRPr="003D1E07">
        <w:t xml:space="preserve">. Tu </w:t>
      </w:r>
      <w:r w:rsidR="08B0701B" w:rsidRPr="003D1E07">
        <w:t xml:space="preserve">vzali </w:t>
      </w:r>
      <w:r w:rsidR="08384D36" w:rsidRPr="003D1E07">
        <w:t xml:space="preserve">supozičně </w:t>
      </w:r>
      <w:r w:rsidR="089B5B0F" w:rsidRPr="003D1E07">
        <w:t xml:space="preserve">vzhledem k rodu a </w:t>
      </w:r>
      <w:r w:rsidR="08384D36" w:rsidRPr="003D1E07">
        <w:t xml:space="preserve">impozičně </w:t>
      </w:r>
      <w:r w:rsidR="089B5B0F" w:rsidRPr="003D1E07">
        <w:t>vzhledem k první substanci</w:t>
      </w:r>
      <w:r w:rsidR="08A92F3A" w:rsidRPr="003D1E07">
        <w:t xml:space="preserve">. </w:t>
      </w:r>
      <w:r w:rsidR="0802760C" w:rsidRPr="003D1E07">
        <w:t xml:space="preserve">Aberlard </w:t>
      </w:r>
      <w:r w:rsidR="08A92F3A" w:rsidRPr="003D1E07">
        <w:t xml:space="preserve">zdůrazňuje proti neoplatonikovi Anselmovi a proti moderním porretánům zásadní rozdíl mezi </w:t>
      </w:r>
      <w:r w:rsidR="08A92F3A" w:rsidRPr="003D1E07">
        <w:rPr>
          <w:i/>
        </w:rPr>
        <w:t>totum universale</w:t>
      </w:r>
      <w:r w:rsidR="08A92F3A" w:rsidRPr="003D1E07">
        <w:rPr>
          <w:i/>
        </w:rPr>
        <w:fldChar w:fldCharType="begin"/>
      </w:r>
      <w:r w:rsidR="08A92F3A" w:rsidRPr="003D1E07">
        <w:instrText xml:space="preserve"> XE "</w:instrText>
      </w:r>
      <w:r w:rsidR="08A92F3A" w:rsidRPr="003D1E07">
        <w:rPr>
          <w:i/>
        </w:rPr>
        <w:instrText>totum universale</w:instrText>
      </w:r>
      <w:r w:rsidR="08A92F3A" w:rsidRPr="003D1E07">
        <w:instrText xml:space="preserve">" </w:instrText>
      </w:r>
      <w:r w:rsidR="08A92F3A" w:rsidRPr="003D1E07">
        <w:rPr>
          <w:i/>
        </w:rPr>
        <w:fldChar w:fldCharType="end"/>
      </w:r>
      <w:r w:rsidR="08A92F3A" w:rsidRPr="003D1E07">
        <w:t xml:space="preserve"> a </w:t>
      </w:r>
      <w:r w:rsidR="08A92F3A" w:rsidRPr="003D1E07">
        <w:rPr>
          <w:i/>
        </w:rPr>
        <w:t>totum integrum</w:t>
      </w:r>
      <w:r w:rsidR="08A92F3A" w:rsidRPr="003D1E07">
        <w:rPr>
          <w:i/>
        </w:rPr>
        <w:fldChar w:fldCharType="begin"/>
      </w:r>
      <w:r w:rsidR="08A92F3A" w:rsidRPr="003D1E07">
        <w:instrText xml:space="preserve"> XE "</w:instrText>
      </w:r>
      <w:r w:rsidR="08A92F3A" w:rsidRPr="003D1E07">
        <w:rPr>
          <w:i/>
        </w:rPr>
        <w:instrText>totum integrum</w:instrText>
      </w:r>
      <w:r w:rsidR="08A92F3A" w:rsidRPr="003D1E07">
        <w:instrText xml:space="preserve">" </w:instrText>
      </w:r>
      <w:r w:rsidR="08A92F3A" w:rsidRPr="003D1E07">
        <w:rPr>
          <w:i/>
        </w:rPr>
        <w:fldChar w:fldCharType="end"/>
      </w:r>
      <w:r w:rsidR="08A92F3A" w:rsidRPr="003D1E07">
        <w:rPr>
          <w:i/>
        </w:rPr>
        <w:t xml:space="preserve"> </w:t>
      </w:r>
      <w:r w:rsidR="08A92F3A" w:rsidRPr="003D1E07">
        <w:t>(</w:t>
      </w:r>
      <w:r w:rsidR="08A85B38" w:rsidRPr="003D1E07">
        <w:t>OBJ II, kap. 1</w:t>
      </w:r>
      <w:r w:rsidR="08A92F3A" w:rsidRPr="003D1E07">
        <w:t xml:space="preserve">.2). </w:t>
      </w:r>
      <w:r w:rsidR="0068722B" w:rsidRPr="003D1E07">
        <w:t xml:space="preserve">Tento statut </w:t>
      </w:r>
      <w:r w:rsidR="00F214C5" w:rsidRPr="003D1E07">
        <w:t>species</w:t>
      </w:r>
      <w:r w:rsidR="0068722B" w:rsidRPr="003D1E07">
        <w:t xml:space="preserve"> </w:t>
      </w:r>
      <w:r w:rsidR="08B76E2E" w:rsidRPr="003D1E07">
        <w:t xml:space="preserve">a individua </w:t>
      </w:r>
      <w:r w:rsidR="08F61EBC" w:rsidRPr="003D1E07">
        <w:t xml:space="preserve">bude hrát klíčovou roli ve vývoji </w:t>
      </w:r>
      <w:r w:rsidR="0068722B" w:rsidRPr="003D1E07">
        <w:t xml:space="preserve">objektivity po </w:t>
      </w:r>
      <w:r w:rsidR="00365CBB" w:rsidRPr="003D1E07">
        <w:t xml:space="preserve">roce </w:t>
      </w:r>
      <w:r w:rsidR="00607224" w:rsidRPr="003D1E07">
        <w:t xml:space="preserve">1250. </w:t>
      </w:r>
      <w:r w:rsidR="00607224" w:rsidRPr="003D1E07">
        <w:rPr>
          <w:lang w:eastAsia="en-US"/>
        </w:rPr>
        <w:t xml:space="preserve">Prakticky nejsoucí individuum přichází jako intelektuální Mesiáš moderny do </w:t>
      </w:r>
      <w:r w:rsidR="004339E9">
        <w:rPr>
          <w:lang w:eastAsia="en-US"/>
        </w:rPr>
        <w:t xml:space="preserve">mentální </w:t>
      </w:r>
      <w:r w:rsidR="00607224" w:rsidRPr="003D1E07">
        <w:rPr>
          <w:lang w:eastAsia="en-US"/>
        </w:rPr>
        <w:t xml:space="preserve">parousie určené paranoickým myšlením </w:t>
      </w:r>
      <w:r w:rsidR="00607224" w:rsidRPr="003D1E07">
        <w:rPr>
          <w:lang w:eastAsia="en-US"/>
        </w:rPr>
        <w:lastRenderedPageBreak/>
        <w:t>moderní filosofie. Nezadržitelné vítězství individua jako nové první a druhé substance (</w:t>
      </w:r>
      <w:r w:rsidR="00607224" w:rsidRPr="003D1E07">
        <w:rPr>
          <w:i/>
          <w:lang w:eastAsia="en-US"/>
        </w:rPr>
        <w:t>tertium ens</w:t>
      </w:r>
      <w:r w:rsidR="00607224" w:rsidRPr="003D1E07">
        <w:rPr>
          <w:lang w:eastAsia="en-US"/>
        </w:rPr>
        <w:t xml:space="preserve">) vzniklo fatálními omyly na </w:t>
      </w:r>
      <w:r w:rsidR="00607224" w:rsidRPr="003D1E07">
        <w:rPr>
          <w:i/>
          <w:lang w:eastAsia="en-US"/>
        </w:rPr>
        <w:t>via Modernorum</w:t>
      </w:r>
      <w:r w:rsidR="00607224" w:rsidRPr="003D1E07">
        <w:rPr>
          <w:lang w:eastAsia="en-US"/>
        </w:rPr>
        <w:t>. Moderní tragikomedie v metafyzice nakonec vedla v současné epoše metafyzického nihilismu k plnému zapomenutí smyslu jsoucna určeného skrze aristotelskou první substanci (</w:t>
      </w:r>
      <w:r w:rsidR="00607224" w:rsidRPr="003D1E07">
        <w:rPr>
          <w:i/>
          <w:lang w:eastAsia="en-US"/>
        </w:rPr>
        <w:t>Seinsvergessenheit</w:t>
      </w:r>
      <w:r w:rsidR="00710560">
        <w:t>).</w:t>
      </w:r>
    </w:p>
    <w:p w14:paraId="32A93773" w14:textId="77777777" w:rsidR="00831540" w:rsidRDefault="00607224" w:rsidP="00096CBC">
      <w:pPr>
        <w:ind w:firstLine="397"/>
      </w:pPr>
      <w:r w:rsidRPr="003D1E07">
        <w:t xml:space="preserve">Zastavme se u nové formy metafyzického dativu, který představuje původní </w:t>
      </w:r>
      <w:r w:rsidRPr="003D1E07">
        <w:rPr>
          <w:i/>
        </w:rPr>
        <w:t>dativus obiectivus</w:t>
      </w:r>
      <w:r w:rsidRPr="003D1E07">
        <w:rPr>
          <w:i/>
        </w:rPr>
        <w:fldChar w:fldCharType="begin"/>
      </w:r>
      <w:r w:rsidRPr="003D1E07">
        <w:instrText xml:space="preserve"> XE "</w:instrText>
      </w:r>
      <w:r w:rsidRPr="003D1E07">
        <w:rPr>
          <w:i/>
        </w:rPr>
        <w:instrText>dativus obiectivus</w:instrText>
      </w:r>
      <w:r w:rsidRPr="003D1E07">
        <w:instrText xml:space="preserve">" </w:instrText>
      </w:r>
      <w:r w:rsidRPr="003D1E07">
        <w:rPr>
          <w:i/>
        </w:rPr>
        <w:fldChar w:fldCharType="end"/>
      </w:r>
      <w:r w:rsidRPr="003D1E07">
        <w:rPr>
          <w:i/>
        </w:rPr>
        <w:t xml:space="preserve"> </w:t>
      </w:r>
      <w:r w:rsidRPr="003D1E07">
        <w:t>pro objektivní význam jsoucna (OBJ III, kap. 4). Došlo k fatálnímu omylu predikace zmatené formy jsoucnosti dané supozicí od species, a dokonce i od reálné první substance. Individuum dostalo nový typ objektivní jsoucnosti v</w:t>
      </w:r>
      <w:r w:rsidR="009D0EEA">
        <w:t xml:space="preserve"> dále určeném modu </w:t>
      </w:r>
      <w:r w:rsidRPr="003D1E07">
        <w:t xml:space="preserve">modu </w:t>
      </w:r>
      <w:r w:rsidRPr="003D1E07">
        <w:rPr>
          <w:i/>
        </w:rPr>
        <w:t>dativus possessivus</w:t>
      </w:r>
      <w:r w:rsidRPr="003D1E07">
        <w:rPr>
          <w:i/>
        </w:rPr>
        <w:fldChar w:fldCharType="begin"/>
      </w:r>
      <w:r w:rsidRPr="003D1E07">
        <w:instrText xml:space="preserve"> XE "</w:instrText>
      </w:r>
      <w:r w:rsidRPr="003D1E07">
        <w:rPr>
          <w:i/>
        </w:rPr>
        <w:instrText>dativus possessivus</w:instrText>
      </w:r>
      <w:r w:rsidRPr="003D1E07">
        <w:instrText xml:space="preserve">" </w:instrText>
      </w:r>
      <w:r w:rsidRPr="003D1E07">
        <w:rPr>
          <w:i/>
        </w:rPr>
        <w:fldChar w:fldCharType="end"/>
      </w:r>
      <w:r w:rsidRPr="003D1E07">
        <w:t xml:space="preserve">. Individuum dostalo impoziční a supoziční typ jsoucnosti, kterou nikdy nemělo a nemohlo mít. </w:t>
      </w:r>
      <w:r w:rsidR="002566C3">
        <w:t xml:space="preserve">Jednotlivina měla v aristotelismu úplně minimální porci vlastního bytí. </w:t>
      </w:r>
      <w:r w:rsidRPr="003D1E07">
        <w:t xml:space="preserve">Atomární substance dostala císařovy nové šaty, které jí bezvadně sluší, jako ve známé Andersenově pohádce. Tato mytopoetika daná v modu epochálního </w:t>
      </w:r>
      <w:r w:rsidRPr="003D1E07">
        <w:rPr>
          <w:i/>
        </w:rPr>
        <w:t>Irrtum</w:t>
      </w:r>
      <w:r w:rsidRPr="003D1E07">
        <w:t xml:space="preserve"> dodnes řídí pod vlivem akademicky schopných bohyní Pomsty provoz objektivní západní filosofie a vědy. Fúrie ovšem působí na příkaz božských Múz, které tuto božskou komedii dovedly až do současného metafyzického nihilismu. </w:t>
      </w:r>
      <w:r w:rsidR="08D125F8" w:rsidRPr="003D1E07">
        <w:t>Šalebné Múzy</w:t>
      </w:r>
      <w:r w:rsidR="08D125F8" w:rsidRPr="003D1E07">
        <w:fldChar w:fldCharType="begin"/>
      </w:r>
      <w:r w:rsidR="08D125F8" w:rsidRPr="003D1E07">
        <w:instrText xml:space="preserve"> XE "Múzy" </w:instrText>
      </w:r>
      <w:r w:rsidR="08D125F8" w:rsidRPr="003D1E07">
        <w:fldChar w:fldCharType="end"/>
      </w:r>
      <w:r w:rsidR="08D125F8" w:rsidRPr="003D1E07">
        <w:t xml:space="preserve"> nechaly pobloudilé moderně provozující akademickou </w:t>
      </w:r>
      <w:r w:rsidR="000D12FD" w:rsidRPr="003D1E07">
        <w:t>tragi</w:t>
      </w:r>
      <w:r w:rsidR="08D125F8" w:rsidRPr="003D1E07">
        <w:t>komedii jen poslední kousek už nikoliv z reálného, ale pouze z</w:t>
      </w:r>
      <w:r w:rsidR="009C27AB" w:rsidRPr="003D1E07">
        <w:t xml:space="preserve"> individuálního </w:t>
      </w:r>
      <w:r w:rsidR="08D125F8" w:rsidRPr="003D1E07">
        <w:t xml:space="preserve">koláče. </w:t>
      </w:r>
      <w:r w:rsidR="089045E4" w:rsidRPr="003D1E07">
        <w:t xml:space="preserve">Nový statut rodu a </w:t>
      </w:r>
      <w:r w:rsidR="00F214C5" w:rsidRPr="003D1E07">
        <w:t>species</w:t>
      </w:r>
      <w:r w:rsidR="08483D58" w:rsidRPr="003D1E07">
        <w:t xml:space="preserve"> dal vzniknout </w:t>
      </w:r>
      <w:r w:rsidR="083B238F" w:rsidRPr="003D1E07">
        <w:t xml:space="preserve">novým </w:t>
      </w:r>
      <w:r w:rsidR="089045E4" w:rsidRPr="003D1E07">
        <w:t xml:space="preserve">jsoucnům třetího druhu, která vytvořil neoplatonismus Jamblicha a Simplikia. </w:t>
      </w:r>
      <w:r w:rsidR="08E74B16" w:rsidRPr="003D1E07">
        <w:t xml:space="preserve">Následné neoplatonské určení </w:t>
      </w:r>
      <w:r w:rsidR="083B238F" w:rsidRPr="003D1E07">
        <w:rPr>
          <w:i/>
        </w:rPr>
        <w:t>Isag</w:t>
      </w:r>
      <w:r w:rsidR="083B238F" w:rsidRPr="003D1E07">
        <w:t>. 7.27‒8.3</w:t>
      </w:r>
      <w:r w:rsidR="083B238F" w:rsidRPr="003D1E07">
        <w:fldChar w:fldCharType="begin"/>
      </w:r>
      <w:r w:rsidR="083B238F" w:rsidRPr="003D1E07">
        <w:instrText xml:space="preserve"> XE "Porfyrius:</w:instrText>
      </w:r>
      <w:r w:rsidR="083B238F" w:rsidRPr="003D1E07">
        <w:rPr>
          <w:i/>
        </w:rPr>
        <w:instrText>Isag</w:instrText>
      </w:r>
      <w:r w:rsidR="083B238F" w:rsidRPr="003D1E07">
        <w:instrText xml:space="preserve">. 7.27‒8.3" </w:instrText>
      </w:r>
      <w:r w:rsidR="083B238F" w:rsidRPr="003D1E07">
        <w:fldChar w:fldCharType="end"/>
      </w:r>
      <w:r w:rsidR="083B238F" w:rsidRPr="003D1E07">
        <w:t xml:space="preserve"> </w:t>
      </w:r>
      <w:r w:rsidR="08E74B16" w:rsidRPr="003D1E07">
        <w:t xml:space="preserve">postupovalo v modu epochálního </w:t>
      </w:r>
      <w:r w:rsidR="08E74B16" w:rsidRPr="003D1E07">
        <w:rPr>
          <w:i/>
        </w:rPr>
        <w:t>Irrtum</w:t>
      </w:r>
      <w:r w:rsidR="088B49DB" w:rsidRPr="003D1E07">
        <w:t>. N</w:t>
      </w:r>
      <w:r w:rsidR="08453DDB" w:rsidRPr="003D1E07">
        <w:t xml:space="preserve">ásledovníci Porfyria </w:t>
      </w:r>
      <w:r w:rsidR="08E74B16" w:rsidRPr="003D1E07">
        <w:t xml:space="preserve">nejprve sloučili </w:t>
      </w:r>
      <w:r w:rsidR="00F214C5" w:rsidRPr="003D1E07">
        <w:t>species</w:t>
      </w:r>
      <w:r w:rsidR="08E74B16" w:rsidRPr="003D1E07">
        <w:t xml:space="preserve"> a individuum do jedné a</w:t>
      </w:r>
      <w:r w:rsidR="08C927B8" w:rsidRPr="003D1E07">
        <w:t>tomární subs</w:t>
      </w:r>
      <w:r w:rsidR="080869A0" w:rsidRPr="003D1E07">
        <w:t>tance</w:t>
      </w:r>
      <w:r w:rsidR="08C927B8" w:rsidRPr="003D1E07">
        <w:t xml:space="preserve">. </w:t>
      </w:r>
      <w:r w:rsidR="08AF4366" w:rsidRPr="003D1E07">
        <w:t xml:space="preserve">A v dalším vývoji u Simplikia </w:t>
      </w:r>
      <w:r w:rsidR="08681E17" w:rsidRPr="003D1E07">
        <w:t xml:space="preserve">a Filopona </w:t>
      </w:r>
      <w:r w:rsidR="08AF4366" w:rsidRPr="003D1E07">
        <w:t xml:space="preserve">se toto individuum </w:t>
      </w:r>
      <w:r w:rsidR="08C927B8" w:rsidRPr="003D1E07">
        <w:t xml:space="preserve">třetího druhu </w:t>
      </w:r>
      <w:r w:rsidR="08CA6A30" w:rsidRPr="003D1E07">
        <w:t>smísilo</w:t>
      </w:r>
      <w:r w:rsidR="0068722B" w:rsidRPr="003D1E07">
        <w:t xml:space="preserve"> s jednotlivinou na úrovni </w:t>
      </w:r>
      <w:r w:rsidR="087F56EB" w:rsidRPr="003D1E07">
        <w:t xml:space="preserve">Aristotelovy </w:t>
      </w:r>
      <w:r w:rsidR="0068722B" w:rsidRPr="003D1E07">
        <w:t>první substance</w:t>
      </w:r>
      <w:r w:rsidR="0881518C" w:rsidRPr="003D1E07">
        <w:t xml:space="preserve">. </w:t>
      </w:r>
      <w:r w:rsidR="00A70FA4" w:rsidRPr="003D1E07">
        <w:fldChar w:fldCharType="begin"/>
      </w:r>
      <w:r w:rsidR="00A70FA4" w:rsidRPr="003D1E07">
        <w:instrText xml:space="preserve"> XE "substance</w:instrText>
      </w:r>
      <w:r w:rsidR="0081061F" w:rsidRPr="003D1E07">
        <w:instrText>:</w:instrText>
      </w:r>
      <w:r w:rsidR="0081061F" w:rsidRPr="003D1E07">
        <w:rPr>
          <w:i/>
        </w:rPr>
        <w:instrText>tertium ens</w:instrText>
      </w:r>
      <w:r w:rsidR="00A70FA4" w:rsidRPr="003D1E07">
        <w:instrText xml:space="preserve">" </w:instrText>
      </w:r>
      <w:r w:rsidR="00A70FA4" w:rsidRPr="003D1E07">
        <w:fldChar w:fldCharType="end"/>
      </w:r>
      <w:r w:rsidR="088B02C9" w:rsidRPr="003D1E07">
        <w:t xml:space="preserve">Sofistické smíšení singularity a univerzality </w:t>
      </w:r>
      <w:r w:rsidR="08CA6A30" w:rsidRPr="003D1E07">
        <w:t xml:space="preserve">založilo </w:t>
      </w:r>
      <w:r w:rsidR="088B02C9" w:rsidRPr="003D1E07">
        <w:t xml:space="preserve">v neoplatonismu </w:t>
      </w:r>
      <w:r w:rsidR="0068722B" w:rsidRPr="003D1E07">
        <w:t xml:space="preserve">objektivní význam </w:t>
      </w:r>
      <w:r w:rsidR="08681E17" w:rsidRPr="003D1E07">
        <w:t xml:space="preserve">Aristotelovy </w:t>
      </w:r>
      <w:r w:rsidR="08681E17" w:rsidRPr="003D1E07">
        <w:rPr>
          <w:i/>
        </w:rPr>
        <w:t>Fyziky</w:t>
      </w:r>
      <w:r w:rsidR="0068722B" w:rsidRPr="003D1E07">
        <w:t xml:space="preserve">. </w:t>
      </w:r>
      <w:r w:rsidR="08C72CED" w:rsidRPr="003D1E07">
        <w:t xml:space="preserve">Revoluce neoplatoniků po Porfyriově výkladu </w:t>
      </w:r>
      <w:r w:rsidR="08453DDB" w:rsidRPr="003D1E07">
        <w:rPr>
          <w:i/>
        </w:rPr>
        <w:t>Kategori</w:t>
      </w:r>
      <w:r w:rsidR="08C72CED" w:rsidRPr="003D1E07">
        <w:rPr>
          <w:i/>
        </w:rPr>
        <w:t>í</w:t>
      </w:r>
      <w:r w:rsidR="08C72CED" w:rsidRPr="003D1E07">
        <w:t xml:space="preserve"> </w:t>
      </w:r>
      <w:r w:rsidR="08B00676" w:rsidRPr="003D1E07">
        <w:t xml:space="preserve">založila </w:t>
      </w:r>
      <w:r w:rsidR="085918CF" w:rsidRPr="003D1E07">
        <w:t xml:space="preserve">dvojí </w:t>
      </w:r>
      <w:r w:rsidR="08C72CED" w:rsidRPr="003D1E07">
        <w:rPr>
          <w:i/>
        </w:rPr>
        <w:t>revolutio</w:t>
      </w:r>
      <w:r w:rsidR="08B00676" w:rsidRPr="003D1E07">
        <w:t xml:space="preserve"> </w:t>
      </w:r>
      <w:r w:rsidR="08CD39F6" w:rsidRPr="003D1E07">
        <w:t xml:space="preserve">dané </w:t>
      </w:r>
      <w:r w:rsidR="08B00676" w:rsidRPr="003D1E07">
        <w:t>jako návrat</w:t>
      </w:r>
      <w:r w:rsidR="08C72CED" w:rsidRPr="003D1E07">
        <w:t xml:space="preserve"> </w:t>
      </w:r>
      <w:r w:rsidR="08E85CCF" w:rsidRPr="003D1E07">
        <w:t>k Platonovi</w:t>
      </w:r>
      <w:r w:rsidR="082921A8" w:rsidRPr="003D1E07">
        <w:t xml:space="preserve"> a k Plotinovi</w:t>
      </w:r>
      <w:r w:rsidR="08C72CED" w:rsidRPr="003D1E07">
        <w:t xml:space="preserve">. </w:t>
      </w:r>
      <w:r w:rsidR="085918CF" w:rsidRPr="003D1E07">
        <w:t xml:space="preserve">Za prvé. </w:t>
      </w:r>
      <w:r w:rsidR="08C72CED" w:rsidRPr="003D1E07">
        <w:t>Neoplatonikové vyt</w:t>
      </w:r>
      <w:r w:rsidR="08587C1F" w:rsidRPr="003D1E07">
        <w:t xml:space="preserve">ěsnili hyparchickou predikaci, protože </w:t>
      </w:r>
      <w:r w:rsidR="08CA40A7" w:rsidRPr="003D1E07">
        <w:t xml:space="preserve">kategorizaci </w:t>
      </w:r>
      <w:r w:rsidR="08CE3B5C" w:rsidRPr="003D1E07">
        <w:t xml:space="preserve">determinovali </w:t>
      </w:r>
      <w:r w:rsidR="08C72CED" w:rsidRPr="003D1E07">
        <w:t xml:space="preserve">pouze v rámci platonské </w:t>
      </w:r>
      <w:r w:rsidR="08C72CED" w:rsidRPr="003D1E07">
        <w:rPr>
          <w:rStyle w:val="st"/>
        </w:rPr>
        <w:t>διαίρεσις</w:t>
      </w:r>
      <w:r w:rsidR="08587C1F" w:rsidRPr="003D1E07">
        <w:rPr>
          <w:rStyle w:val="st"/>
        </w:rPr>
        <w:t xml:space="preserve"> definující dělení rodu na druh. </w:t>
      </w:r>
      <w:r w:rsidR="085918CF" w:rsidRPr="003D1E07">
        <w:rPr>
          <w:rStyle w:val="st"/>
        </w:rPr>
        <w:t xml:space="preserve">Za druhé. </w:t>
      </w:r>
      <w:r w:rsidR="08F105BC" w:rsidRPr="003D1E07">
        <w:rPr>
          <w:rStyle w:val="st"/>
        </w:rPr>
        <w:t xml:space="preserve">Skrze nové dělení univerzálií </w:t>
      </w:r>
      <w:r w:rsidR="089F524C" w:rsidRPr="003D1E07">
        <w:rPr>
          <w:rStyle w:val="st"/>
        </w:rPr>
        <w:t xml:space="preserve">udělali z </w:t>
      </w:r>
      <w:r w:rsidR="08EE11A8" w:rsidRPr="003D1E07">
        <w:rPr>
          <w:rStyle w:val="st"/>
        </w:rPr>
        <w:t xml:space="preserve">nedělitelného individua </w:t>
      </w:r>
      <w:r w:rsidR="089F524C" w:rsidRPr="003D1E07">
        <w:rPr>
          <w:rStyle w:val="st"/>
        </w:rPr>
        <w:t xml:space="preserve">dokonce i </w:t>
      </w:r>
      <w:r w:rsidR="08EE11A8" w:rsidRPr="003D1E07">
        <w:rPr>
          <w:rStyle w:val="st"/>
        </w:rPr>
        <w:t xml:space="preserve">nedělitelnou první substanci, kterou měl Aristoteles pouze v realitě. </w:t>
      </w:r>
      <w:r w:rsidR="08587C1F" w:rsidRPr="003D1E07">
        <w:rPr>
          <w:rStyle w:val="st"/>
        </w:rPr>
        <w:t xml:space="preserve">Toto </w:t>
      </w:r>
      <w:r w:rsidR="08EE11A8" w:rsidRPr="003D1E07">
        <w:rPr>
          <w:rStyle w:val="st"/>
        </w:rPr>
        <w:t xml:space="preserve">dvojí </w:t>
      </w:r>
      <w:r w:rsidR="08587C1F" w:rsidRPr="003D1E07">
        <w:rPr>
          <w:rStyle w:val="st"/>
        </w:rPr>
        <w:t xml:space="preserve">fatální pochybení způsobilo, že </w:t>
      </w:r>
      <w:r w:rsidR="08162FD6" w:rsidRPr="003D1E07">
        <w:rPr>
          <w:rStyle w:val="st"/>
        </w:rPr>
        <w:t xml:space="preserve">z Porfýriova výkladu </w:t>
      </w:r>
      <w:r w:rsidR="08162FD6" w:rsidRPr="003D1E07">
        <w:rPr>
          <w:rStyle w:val="st"/>
          <w:i/>
        </w:rPr>
        <w:t>K</w:t>
      </w:r>
      <w:r w:rsidR="080F63B0" w:rsidRPr="003D1E07">
        <w:rPr>
          <w:rStyle w:val="st"/>
          <w:i/>
        </w:rPr>
        <w:t>ategorií</w:t>
      </w:r>
      <w:r w:rsidR="080F63B0" w:rsidRPr="003D1E07">
        <w:rPr>
          <w:rStyle w:val="st"/>
        </w:rPr>
        <w:t xml:space="preserve"> zbyl pouze </w:t>
      </w:r>
      <w:r w:rsidR="080F63B0" w:rsidRPr="003D1E07">
        <w:rPr>
          <w:rStyle w:val="st"/>
          <w:i/>
        </w:rPr>
        <w:t>Arbor Porphyriana</w:t>
      </w:r>
      <w:r w:rsidR="080F63B0" w:rsidRPr="003D1E07">
        <w:rPr>
          <w:rStyle w:val="st"/>
          <w:i/>
        </w:rPr>
        <w:fldChar w:fldCharType="begin"/>
      </w:r>
      <w:r w:rsidR="080F63B0" w:rsidRPr="003D1E07">
        <w:instrText xml:space="preserve"> XE "</w:instrText>
      </w:r>
      <w:r w:rsidR="080F63B0" w:rsidRPr="003D1E07">
        <w:rPr>
          <w:rStyle w:val="st"/>
          <w:i/>
        </w:rPr>
        <w:instrText>Arbor Porphyriana</w:instrText>
      </w:r>
      <w:r w:rsidR="080F63B0" w:rsidRPr="003D1E07">
        <w:instrText xml:space="preserve">" </w:instrText>
      </w:r>
      <w:r w:rsidR="080F63B0" w:rsidRPr="003D1E07">
        <w:rPr>
          <w:rStyle w:val="st"/>
          <w:i/>
        </w:rPr>
        <w:fldChar w:fldCharType="end"/>
      </w:r>
      <w:r w:rsidR="082163D8" w:rsidRPr="003D1E07">
        <w:rPr>
          <w:rStyle w:val="st"/>
        </w:rPr>
        <w:t xml:space="preserve"> jako epochálně účinné simulákrum</w:t>
      </w:r>
      <w:r w:rsidR="0822375E" w:rsidRPr="003D1E07">
        <w:rPr>
          <w:rStyle w:val="st"/>
        </w:rPr>
        <w:t xml:space="preserve"> zakládající mode</w:t>
      </w:r>
      <w:r w:rsidR="088B49DB" w:rsidRPr="003D1E07">
        <w:rPr>
          <w:rStyle w:val="st"/>
        </w:rPr>
        <w:t>rní a postmoderní vědu</w:t>
      </w:r>
      <w:r w:rsidR="082163D8" w:rsidRPr="003D1E07">
        <w:rPr>
          <w:rStyle w:val="st"/>
        </w:rPr>
        <w:t>.</w:t>
      </w:r>
      <w:r w:rsidR="08E04AAA" w:rsidRPr="003D1E07">
        <w:rPr>
          <w:rStyle w:val="st"/>
        </w:rPr>
        <w:t xml:space="preserve"> </w:t>
      </w:r>
      <w:r w:rsidR="00FE2AFE" w:rsidRPr="003D1E07">
        <w:t>T</w:t>
      </w:r>
      <w:r w:rsidR="082E1FD0" w:rsidRPr="003D1E07">
        <w:t xml:space="preserve">ransformací </w:t>
      </w:r>
      <w:r w:rsidR="08BB25D8" w:rsidRPr="003D1E07">
        <w:t xml:space="preserve">individua na </w:t>
      </w:r>
      <w:r w:rsidR="08CF0EFE" w:rsidRPr="003D1E07">
        <w:t xml:space="preserve">platonský </w:t>
      </w:r>
      <w:r w:rsidR="08C72CED" w:rsidRPr="003D1E07">
        <w:t xml:space="preserve">nejvyšší rod </w:t>
      </w:r>
      <w:r w:rsidR="00FE2AFE" w:rsidRPr="003D1E07">
        <w:t>vznikla</w:t>
      </w:r>
      <w:r w:rsidR="08AF4366" w:rsidRPr="003D1E07">
        <w:t xml:space="preserve"> nová nedělitelná substance</w:t>
      </w:r>
      <w:r w:rsidR="00906CF9" w:rsidRPr="003D1E07">
        <w:t>, která je typickým jsoucnem třetího druhu</w:t>
      </w:r>
      <w:r w:rsidR="00F34F47" w:rsidRPr="003D1E07">
        <w:fldChar w:fldCharType="begin"/>
      </w:r>
      <w:r w:rsidR="00F34F47" w:rsidRPr="003D1E07">
        <w:instrText xml:space="preserve"> XE "substance:atomární" </w:instrText>
      </w:r>
      <w:r w:rsidR="00F34F47" w:rsidRPr="003D1E07">
        <w:fldChar w:fldCharType="end"/>
      </w:r>
      <w:r w:rsidR="00906CF9" w:rsidRPr="003D1E07">
        <w:t xml:space="preserve">. </w:t>
      </w:r>
      <w:r w:rsidR="005930CF" w:rsidRPr="003D1E07">
        <w:t xml:space="preserve">Pozdější zmatení ohledně univerzálií </w:t>
      </w:r>
      <w:r w:rsidR="08EB219A" w:rsidRPr="003D1E07">
        <w:t>se týká</w:t>
      </w:r>
      <w:r w:rsidR="08894CDF" w:rsidRPr="003D1E07">
        <w:t xml:space="preserve"> </w:t>
      </w:r>
      <w:r w:rsidR="08894CDF" w:rsidRPr="003D1E07">
        <w:lastRenderedPageBreak/>
        <w:t xml:space="preserve">nejasného statusu tohoto </w:t>
      </w:r>
      <w:r w:rsidR="08894CDF" w:rsidRPr="003D1E07">
        <w:rPr>
          <w:i/>
        </w:rPr>
        <w:t>tertium ens</w:t>
      </w:r>
      <w:r w:rsidR="005930CF" w:rsidRPr="003D1E07">
        <w:t xml:space="preserve">. </w:t>
      </w:r>
      <w:r w:rsidR="08257034" w:rsidRPr="003D1E07">
        <w:t xml:space="preserve">Absolutizovaný kategoriální význam </w:t>
      </w:r>
      <w:r w:rsidR="0868417F" w:rsidRPr="003D1E07">
        <w:t xml:space="preserve">už </w:t>
      </w:r>
      <w:r w:rsidR="08257034" w:rsidRPr="003D1E07">
        <w:t xml:space="preserve">nelze </w:t>
      </w:r>
      <w:r w:rsidR="08894CDF" w:rsidRPr="003D1E07">
        <w:t>predikovat hyparchicky, protože tento smysl kategoriální pr</w:t>
      </w:r>
      <w:r w:rsidR="08F22B36" w:rsidRPr="003D1E07">
        <w:t xml:space="preserve">edikace v moderně úplně zmizel. </w:t>
      </w:r>
      <w:r w:rsidR="0090204B" w:rsidRPr="003D1E07">
        <w:t xml:space="preserve">Impozice a supozice dostaly stejný význam. </w:t>
      </w:r>
      <w:r w:rsidR="08F22B36" w:rsidRPr="003D1E07">
        <w:t>Moderna přiřazuje u</w:t>
      </w:r>
      <w:r w:rsidR="08887918" w:rsidRPr="003D1E07">
        <w:t>niverzália</w:t>
      </w:r>
      <w:r w:rsidR="08E06DC6" w:rsidRPr="003D1E07">
        <w:t xml:space="preserve"> jako hypostázovaná jsoucna třetího druhu </w:t>
      </w:r>
      <w:r w:rsidR="08F22B36" w:rsidRPr="003D1E07">
        <w:t>přímo k reálným prvním substancím v modu</w:t>
      </w:r>
      <w:r w:rsidR="080D5269" w:rsidRPr="003D1E07">
        <w:rPr>
          <w:i/>
        </w:rPr>
        <w:t xml:space="preserve"> ante rem</w:t>
      </w:r>
      <w:r w:rsidR="080D5269" w:rsidRPr="003D1E07">
        <w:t xml:space="preserve">, </w:t>
      </w:r>
      <w:r w:rsidR="080D5269" w:rsidRPr="003D1E07">
        <w:rPr>
          <w:i/>
        </w:rPr>
        <w:t>in re, post rem</w:t>
      </w:r>
      <w:r w:rsidR="080D5269" w:rsidRPr="003D1E07">
        <w:t xml:space="preserve">. Vkládání hypostázovaného významu do prvních substancí nebo </w:t>
      </w:r>
      <w:r w:rsidR="003367B2" w:rsidRPr="003D1E07">
        <w:t xml:space="preserve">analogie </w:t>
      </w:r>
      <w:r w:rsidR="080D5269" w:rsidRPr="003D1E07">
        <w:t xml:space="preserve">první substance a nějakého jsoucna třetího druhu </w:t>
      </w:r>
      <w:r w:rsidR="08F22B36" w:rsidRPr="003D1E07">
        <w:t xml:space="preserve">je </w:t>
      </w:r>
      <w:r w:rsidR="084226E6" w:rsidRPr="003D1E07">
        <w:t xml:space="preserve">naprostý nesmysl </w:t>
      </w:r>
      <w:r w:rsidR="08F22B36" w:rsidRPr="003D1E07">
        <w:t xml:space="preserve">podle aristotelského výkladu </w:t>
      </w:r>
      <w:r w:rsidR="08F22B36" w:rsidRPr="003D1E07">
        <w:rPr>
          <w:i/>
        </w:rPr>
        <w:t>Kategorií</w:t>
      </w:r>
      <w:r w:rsidR="08F22B36" w:rsidRPr="003D1E07">
        <w:t xml:space="preserve"> </w:t>
      </w:r>
      <w:r w:rsidR="084226E6" w:rsidRPr="003D1E07">
        <w:t>a jeho klasického dědictví</w:t>
      </w:r>
      <w:r w:rsidR="081B7158" w:rsidRPr="003D1E07">
        <w:t xml:space="preserve">. </w:t>
      </w:r>
      <w:r w:rsidR="081B7158" w:rsidRPr="003D1E07">
        <w:rPr>
          <w:rStyle w:val="st"/>
        </w:rPr>
        <w:t xml:space="preserve">Aristoteles po kritice Platona považoval dialektické dělení univerzálií za druhořadé. Metafyzika dosazuje kategoriální význam impozičně a v modu </w:t>
      </w:r>
      <w:r w:rsidR="081B7158" w:rsidRPr="003D1E07">
        <w:rPr>
          <w:rStyle w:val="st"/>
          <w:i/>
        </w:rPr>
        <w:t>per prius</w:t>
      </w:r>
      <w:r w:rsidR="081B7158" w:rsidRPr="003D1E07">
        <w:rPr>
          <w:rStyle w:val="st"/>
        </w:rPr>
        <w:t xml:space="preserve"> vzhledem k hylemorfické první substanci. </w:t>
      </w:r>
      <w:r w:rsidR="08C60092" w:rsidRPr="003D1E07">
        <w:t xml:space="preserve">Základní tezi o neexistenci univerzálií na úrovni prvních substancí podle citovaného </w:t>
      </w:r>
      <w:r w:rsidR="08C60092" w:rsidRPr="003D1E07">
        <w:rPr>
          <w:i/>
        </w:rPr>
        <w:t>modus tollens</w:t>
      </w:r>
      <w:r w:rsidR="08C60092" w:rsidRPr="003D1E07">
        <w:rPr>
          <w:i/>
        </w:rPr>
        <w:fldChar w:fldCharType="begin"/>
      </w:r>
      <w:r w:rsidR="08C60092" w:rsidRPr="003D1E07">
        <w:instrText xml:space="preserve"> XE "</w:instrText>
      </w:r>
      <w:r w:rsidR="08C60092" w:rsidRPr="003D1E07">
        <w:rPr>
          <w:i/>
        </w:rPr>
        <w:instrText>modus tollens</w:instrText>
      </w:r>
      <w:r w:rsidR="08C60092" w:rsidRPr="003D1E07">
        <w:instrText xml:space="preserve">" </w:instrText>
      </w:r>
      <w:r w:rsidR="08C60092" w:rsidRPr="003D1E07">
        <w:rPr>
          <w:i/>
        </w:rPr>
        <w:fldChar w:fldCharType="end"/>
      </w:r>
      <w:r w:rsidR="08C60092" w:rsidRPr="003D1E07">
        <w:t xml:space="preserve"> </w:t>
      </w:r>
      <w:r w:rsidR="08D046A7" w:rsidRPr="003D1E07">
        <w:t xml:space="preserve">a </w:t>
      </w:r>
      <w:r w:rsidR="08D046A7" w:rsidRPr="003D1E07">
        <w:rPr>
          <w:i/>
        </w:rPr>
        <w:t>destructio primis</w:t>
      </w:r>
      <w:r w:rsidR="08D046A7" w:rsidRPr="003D1E07">
        <w:rPr>
          <w:i/>
        </w:rPr>
        <w:fldChar w:fldCharType="begin"/>
      </w:r>
      <w:r w:rsidR="08D046A7" w:rsidRPr="003D1E07">
        <w:instrText xml:space="preserve"> XE "</w:instrText>
      </w:r>
      <w:r w:rsidR="08D046A7" w:rsidRPr="003D1E07">
        <w:rPr>
          <w:i/>
        </w:rPr>
        <w:instrText>destructio primis</w:instrText>
      </w:r>
      <w:r w:rsidR="08D046A7" w:rsidRPr="003D1E07">
        <w:instrText xml:space="preserve">" </w:instrText>
      </w:r>
      <w:r w:rsidR="08D046A7" w:rsidRPr="003D1E07">
        <w:rPr>
          <w:i/>
        </w:rPr>
        <w:fldChar w:fldCharType="end"/>
      </w:r>
      <w:r w:rsidR="08D046A7" w:rsidRPr="003D1E07">
        <w:t xml:space="preserve"> </w:t>
      </w:r>
      <w:r w:rsidR="08C60092" w:rsidRPr="003D1E07">
        <w:t xml:space="preserve">přebrala scholastika skrze Averroesův velký komentář k </w:t>
      </w:r>
      <w:r w:rsidR="08C60092" w:rsidRPr="003D1E07">
        <w:rPr>
          <w:i/>
        </w:rPr>
        <w:t>De anima</w:t>
      </w:r>
      <w:r w:rsidR="08C60092" w:rsidRPr="003D1E07">
        <w:t>.</w:t>
      </w:r>
      <w:r w:rsidR="08C60092" w:rsidRPr="003D1E07">
        <w:rPr>
          <w:rStyle w:val="Znakapoznpodarou"/>
          <w:lang w:eastAsia="en-US"/>
        </w:rPr>
        <w:footnoteReference w:id="49"/>
      </w:r>
      <w:r w:rsidR="08C60092" w:rsidRPr="003D1E07">
        <w:rPr>
          <w:lang w:eastAsia="en-US"/>
        </w:rPr>
        <w:t xml:space="preserve"> </w:t>
      </w:r>
      <w:r w:rsidR="005930CF" w:rsidRPr="003D1E07">
        <w:t xml:space="preserve">Rod </w:t>
      </w:r>
      <w:r w:rsidR="000006DE" w:rsidRPr="003D1E07">
        <w:t xml:space="preserve">jako čistá univerzálie </w:t>
      </w:r>
      <w:r w:rsidR="0826785A" w:rsidRPr="003D1E07">
        <w:t>se stal</w:t>
      </w:r>
      <w:r w:rsidR="005930CF" w:rsidRPr="003D1E07">
        <w:t xml:space="preserve"> </w:t>
      </w:r>
      <w:r w:rsidR="08DC3FA2" w:rsidRPr="003D1E07">
        <w:t xml:space="preserve">v moderně </w:t>
      </w:r>
      <w:r w:rsidR="005930CF" w:rsidRPr="003D1E07">
        <w:t xml:space="preserve">novou </w:t>
      </w:r>
      <w:r w:rsidR="00850E30" w:rsidRPr="003D1E07">
        <w:t xml:space="preserve">druhou </w:t>
      </w:r>
      <w:r w:rsidR="0826785A" w:rsidRPr="003D1E07">
        <w:t>substancí a umožnil</w:t>
      </w:r>
      <w:r w:rsidR="08C32D3B" w:rsidRPr="003D1E07">
        <w:t xml:space="preserve"> kategoriální</w:t>
      </w:r>
      <w:r w:rsidR="005930CF" w:rsidRPr="003D1E07">
        <w:t xml:space="preserve"> predikaci čehokoliv</w:t>
      </w:r>
      <w:r w:rsidR="08C32D3B" w:rsidRPr="003D1E07">
        <w:t xml:space="preserve"> </w:t>
      </w:r>
      <w:r w:rsidR="081325C3" w:rsidRPr="003D1E07">
        <w:t>specifického</w:t>
      </w:r>
      <w:r w:rsidR="08C32D3B" w:rsidRPr="003D1E07">
        <w:t xml:space="preserve"> a </w:t>
      </w:r>
      <w:r w:rsidR="081325C3" w:rsidRPr="003D1E07">
        <w:t>ind</w:t>
      </w:r>
      <w:r w:rsidR="08C32D3B" w:rsidRPr="003D1E07">
        <w:t>ividuálního</w:t>
      </w:r>
      <w:r w:rsidR="089E0985" w:rsidRPr="003D1E07">
        <w:t>. I</w:t>
      </w:r>
      <w:r w:rsidR="084055A2" w:rsidRPr="003D1E07">
        <w:t xml:space="preserve">ndividuum </w:t>
      </w:r>
      <w:r w:rsidR="089E0985" w:rsidRPr="003D1E07">
        <w:t xml:space="preserve">je totiž </w:t>
      </w:r>
      <w:r w:rsidR="006328A7" w:rsidRPr="003D1E07">
        <w:t xml:space="preserve">dáno </w:t>
      </w:r>
      <w:r w:rsidR="080C6113" w:rsidRPr="003D1E07">
        <w:t xml:space="preserve">v modu </w:t>
      </w:r>
      <w:r w:rsidR="08B779FB" w:rsidRPr="003D1E07">
        <w:t xml:space="preserve">metafyzického </w:t>
      </w:r>
      <w:r w:rsidR="080C6113" w:rsidRPr="003D1E07">
        <w:t>dativu</w:t>
      </w:r>
      <w:r w:rsidR="080431E2" w:rsidRPr="003D1E07">
        <w:fldChar w:fldCharType="begin"/>
      </w:r>
      <w:r w:rsidR="080431E2" w:rsidRPr="003D1E07">
        <w:instrText xml:space="preserve"> XE "</w:instrText>
      </w:r>
      <w:r w:rsidR="08B779FB" w:rsidRPr="003D1E07">
        <w:rPr>
          <w:i/>
        </w:rPr>
        <w:instrText>dativus metaphysi</w:instrText>
      </w:r>
      <w:r w:rsidR="080431E2" w:rsidRPr="003D1E07">
        <w:rPr>
          <w:i/>
        </w:rPr>
        <w:instrText>cus</w:instrText>
      </w:r>
      <w:r w:rsidR="080431E2" w:rsidRPr="003D1E07">
        <w:instrText xml:space="preserve">" </w:instrText>
      </w:r>
      <w:r w:rsidR="080431E2" w:rsidRPr="003D1E07">
        <w:fldChar w:fldCharType="end"/>
      </w:r>
      <w:r w:rsidR="080C6113" w:rsidRPr="003D1E07">
        <w:t xml:space="preserve"> </w:t>
      </w:r>
      <w:r w:rsidR="006328A7" w:rsidRPr="003D1E07">
        <w:t>vzh</w:t>
      </w:r>
      <w:r w:rsidR="00850E30" w:rsidRPr="003D1E07">
        <w:t>ledem k původní</w:t>
      </w:r>
      <w:r w:rsidR="006328A7" w:rsidRPr="003D1E07">
        <w:t xml:space="preserve"> generické</w:t>
      </w:r>
      <w:r w:rsidR="00850E30" w:rsidRPr="003D1E07">
        <w:t xml:space="preserve"> </w:t>
      </w:r>
      <w:r w:rsidR="080C6113" w:rsidRPr="003D1E07">
        <w:t xml:space="preserve">či specifické </w:t>
      </w:r>
      <w:r w:rsidR="00850E30" w:rsidRPr="003D1E07">
        <w:t xml:space="preserve">jednotě významu </w:t>
      </w:r>
      <w:r w:rsidR="00956DEE" w:rsidRPr="003D1E07">
        <w:t xml:space="preserve">konstituované </w:t>
      </w:r>
      <w:r w:rsidR="00850E30" w:rsidRPr="003D1E07">
        <w:t xml:space="preserve">v modu </w:t>
      </w:r>
      <w:r w:rsidR="00850E30" w:rsidRPr="003D1E07">
        <w:rPr>
          <w:i/>
        </w:rPr>
        <w:t>per prius</w:t>
      </w:r>
      <w:r w:rsidR="005930CF" w:rsidRPr="003D1E07">
        <w:t xml:space="preserve">. </w:t>
      </w:r>
      <w:r w:rsidR="08160C67" w:rsidRPr="003D1E07">
        <w:t xml:space="preserve">Tragická sofistika </w:t>
      </w:r>
      <w:r w:rsidR="08B56AD1" w:rsidRPr="003D1E07">
        <w:t>moderny a p</w:t>
      </w:r>
      <w:r w:rsidR="08CF35E0" w:rsidRPr="003D1E07">
        <w:t>ost</w:t>
      </w:r>
      <w:r w:rsidR="08B56AD1" w:rsidRPr="003D1E07">
        <w:t xml:space="preserve">moderny </w:t>
      </w:r>
      <w:r w:rsidR="08015FE6" w:rsidRPr="003D1E07">
        <w:t xml:space="preserve">řízená </w:t>
      </w:r>
      <w:r w:rsidR="08160C67" w:rsidRPr="003D1E07">
        <w:t xml:space="preserve">komicky smýšlejícími </w:t>
      </w:r>
      <w:r w:rsidR="08015FE6" w:rsidRPr="003D1E07">
        <w:t xml:space="preserve">Múzami spočívá ve faktu, že i </w:t>
      </w:r>
      <w:r w:rsidR="081325C3" w:rsidRPr="003D1E07">
        <w:t xml:space="preserve">po záměně první substance za individuum </w:t>
      </w:r>
      <w:r w:rsidR="00C40E20" w:rsidRPr="003D1E07">
        <w:t xml:space="preserve">formálně </w:t>
      </w:r>
      <w:r w:rsidR="081325C3" w:rsidRPr="003D1E07">
        <w:t xml:space="preserve">platí citovaná věta </w:t>
      </w:r>
      <w:r w:rsidR="081325C3" w:rsidRPr="003D1E07">
        <w:rPr>
          <w:i/>
        </w:rPr>
        <w:t xml:space="preserve">Cat. </w:t>
      </w:r>
      <w:r w:rsidR="081325C3" w:rsidRPr="003D1E07">
        <w:t>2a14‒16</w:t>
      </w:r>
      <w:r w:rsidR="081325C3" w:rsidRPr="003D1E07">
        <w:fldChar w:fldCharType="begin"/>
      </w:r>
      <w:r w:rsidR="081325C3" w:rsidRPr="003D1E07">
        <w:instrText xml:space="preserve"> XE "Aristoteles:</w:instrText>
      </w:r>
      <w:r w:rsidR="081325C3" w:rsidRPr="003D1E07">
        <w:rPr>
          <w:i/>
        </w:rPr>
        <w:instrText>Cat</w:instrText>
      </w:r>
      <w:r w:rsidR="081325C3" w:rsidRPr="003D1E07">
        <w:instrText xml:space="preserve">. 2a14‒16" </w:instrText>
      </w:r>
      <w:r w:rsidR="081325C3" w:rsidRPr="003D1E07">
        <w:fldChar w:fldCharType="end"/>
      </w:r>
      <w:r w:rsidR="081325C3" w:rsidRPr="003D1E07">
        <w:t xml:space="preserve"> o dvojí predikaci dané buď hyparchicky nebo univerzálně. </w:t>
      </w:r>
      <w:r w:rsidR="00A91582" w:rsidRPr="003D1E07">
        <w:t xml:space="preserve">Druh </w:t>
      </w:r>
      <w:r w:rsidR="0068722B" w:rsidRPr="003D1E07">
        <w:t xml:space="preserve">funguje o jedno patro predikace níže </w:t>
      </w:r>
      <w:r w:rsidR="083B44A1" w:rsidRPr="003D1E07">
        <w:t xml:space="preserve">než rod </w:t>
      </w:r>
      <w:r w:rsidR="0068722B" w:rsidRPr="003D1E07">
        <w:t>a určuje bezprostředně poslední nedělitel</w:t>
      </w:r>
      <w:r w:rsidR="083B44A1" w:rsidRPr="003D1E07">
        <w:t>ný význam individua</w:t>
      </w:r>
      <w:r w:rsidR="0068722B" w:rsidRPr="003D1E07">
        <w:t xml:space="preserve">. </w:t>
      </w:r>
      <w:r w:rsidR="089C13E0" w:rsidRPr="003D1E07">
        <w:t xml:space="preserve">Atomární jednotlivina se </w:t>
      </w:r>
      <w:r w:rsidR="084E5DF5" w:rsidRPr="003D1E07">
        <w:t>stala</w:t>
      </w:r>
      <w:r w:rsidR="089C13E0" w:rsidRPr="003D1E07">
        <w:t xml:space="preserve"> novým </w:t>
      </w:r>
      <w:r w:rsidR="089C13E0" w:rsidRPr="003D1E07">
        <w:rPr>
          <w:i/>
        </w:rPr>
        <w:t>totum</w:t>
      </w:r>
      <w:r w:rsidR="089C13E0" w:rsidRPr="003D1E07">
        <w:t xml:space="preserve"> univerzálního významu stvořeného kompletně </w:t>
      </w:r>
      <w:r w:rsidR="089C13E0" w:rsidRPr="003D1E07">
        <w:rPr>
          <w:i/>
        </w:rPr>
        <w:t>ex nihilo</w:t>
      </w:r>
      <w:r w:rsidR="089C13E0" w:rsidRPr="003D1E07">
        <w:fldChar w:fldCharType="begin"/>
      </w:r>
      <w:r w:rsidR="089C13E0" w:rsidRPr="003D1E07">
        <w:instrText xml:space="preserve"> XE "</w:instrText>
      </w:r>
      <w:r w:rsidR="089C13E0" w:rsidRPr="003D1E07">
        <w:rPr>
          <w:i/>
        </w:rPr>
        <w:instrText>creatio ex nihilo</w:instrText>
      </w:r>
      <w:r w:rsidR="089C13E0" w:rsidRPr="003D1E07">
        <w:instrText xml:space="preserve">" </w:instrText>
      </w:r>
      <w:r w:rsidR="089C13E0" w:rsidRPr="003D1E07">
        <w:fldChar w:fldCharType="end"/>
      </w:r>
      <w:r w:rsidR="089C13E0" w:rsidRPr="003D1E07">
        <w:t xml:space="preserve">. </w:t>
      </w:r>
      <w:r w:rsidR="008875B6">
        <w:t>Tragi</w:t>
      </w:r>
      <w:r w:rsidR="08345FCC" w:rsidRPr="003D1E07">
        <w:t>k</w:t>
      </w:r>
      <w:r w:rsidR="08921A9F" w:rsidRPr="003D1E07">
        <w:t xml:space="preserve">omický význam atomárního </w:t>
      </w:r>
      <w:r w:rsidR="08345FCC" w:rsidRPr="003D1E07">
        <w:t xml:space="preserve">individua vzniká tím, </w:t>
      </w:r>
      <w:r w:rsidR="08D824EB" w:rsidRPr="003D1E07">
        <w:t xml:space="preserve">že </w:t>
      </w:r>
      <w:r w:rsidR="08345FCC" w:rsidRPr="003D1E07">
        <w:t xml:space="preserve">čistě logická predikace není schopna rozlišit individuum ani </w:t>
      </w:r>
      <w:r w:rsidR="08921A9F" w:rsidRPr="003D1E07">
        <w:t>od reálné první substance</w:t>
      </w:r>
      <w:r w:rsidR="08345FCC" w:rsidRPr="003D1E07">
        <w:t xml:space="preserve">, </w:t>
      </w:r>
      <w:r w:rsidR="08921A9F" w:rsidRPr="003D1E07">
        <w:t>ani od impozičně predikované d</w:t>
      </w:r>
      <w:r w:rsidR="00567B26" w:rsidRPr="003D1E07">
        <w:t>ruhé substance. Moderní paranoia je naprosto logická</w:t>
      </w:r>
      <w:r w:rsidR="08921A9F" w:rsidRPr="003D1E07">
        <w:t xml:space="preserve"> v modu </w:t>
      </w:r>
      <w:r w:rsidR="08921A9F" w:rsidRPr="003D1E07">
        <w:rPr>
          <w:i/>
        </w:rPr>
        <w:t>veritas</w:t>
      </w:r>
      <w:r w:rsidR="00567B26" w:rsidRPr="003D1E07">
        <w:t>, což je</w:t>
      </w:r>
      <w:r w:rsidR="08921A9F" w:rsidRPr="003D1E07">
        <w:t xml:space="preserve"> základní </w:t>
      </w:r>
      <w:r w:rsidR="086339EC" w:rsidRPr="003D1E07">
        <w:t xml:space="preserve">tragická </w:t>
      </w:r>
      <w:r w:rsidR="08921A9F" w:rsidRPr="003D1E07">
        <w:t xml:space="preserve">charakteristika z hlediska pravdy </w:t>
      </w:r>
      <w:r w:rsidR="081762E1" w:rsidRPr="003D1E07">
        <w:t xml:space="preserve">jako archaické a </w:t>
      </w:r>
      <w:r w:rsidR="086339EC" w:rsidRPr="003D1E07">
        <w:t xml:space="preserve">múzické </w:t>
      </w:r>
      <w:r w:rsidR="08921A9F" w:rsidRPr="003D1E07">
        <w:rPr>
          <w:i/>
        </w:rPr>
        <w:t>a</w:t>
      </w:r>
      <w:r w:rsidR="081762E1" w:rsidRPr="003D1E07">
        <w:rPr>
          <w:i/>
        </w:rPr>
        <w:t>/</w:t>
      </w:r>
      <w:r w:rsidR="08921A9F" w:rsidRPr="003D1E07">
        <w:rPr>
          <w:i/>
        </w:rPr>
        <w:t>létheia</w:t>
      </w:r>
      <w:r w:rsidR="00831540">
        <w:t>.</w:t>
      </w:r>
    </w:p>
    <w:p w14:paraId="345E2180" w14:textId="77777777" w:rsidR="00721212" w:rsidRDefault="082468AF" w:rsidP="00C53BB2">
      <w:pPr>
        <w:ind w:firstLine="397"/>
      </w:pPr>
      <w:r w:rsidRPr="003D1E07">
        <w:t>K</w:t>
      </w:r>
      <w:r w:rsidR="089C13E0" w:rsidRPr="003D1E07">
        <w:t xml:space="preserve">lasičtí vykladači </w:t>
      </w:r>
      <w:r w:rsidR="089C13E0" w:rsidRPr="003D1E07">
        <w:rPr>
          <w:i/>
        </w:rPr>
        <w:t>Katerogií</w:t>
      </w:r>
      <w:r w:rsidR="089C13E0" w:rsidRPr="003D1E07">
        <w:t xml:space="preserve"> zásadně </w:t>
      </w:r>
      <w:r w:rsidR="084E5DF5" w:rsidRPr="003D1E07">
        <w:t xml:space="preserve">odmítli dát </w:t>
      </w:r>
      <w:r w:rsidR="088B1805" w:rsidRPr="003D1E07">
        <w:t>metafyzický význam daný</w:t>
      </w:r>
      <w:r w:rsidRPr="003D1E07">
        <w:t xml:space="preserve"> impozičně </w:t>
      </w:r>
      <w:r w:rsidR="084E5DF5" w:rsidRPr="003D1E07">
        <w:t xml:space="preserve">pro </w:t>
      </w:r>
      <w:r w:rsidR="08A119D5" w:rsidRPr="003D1E07">
        <w:t>jakákoliv</w:t>
      </w:r>
      <w:r w:rsidR="08A740C2" w:rsidRPr="003D1E07">
        <w:t xml:space="preserve"> </w:t>
      </w:r>
      <w:r w:rsidR="08FA3328" w:rsidRPr="003D1E07">
        <w:t>individua</w:t>
      </w:r>
      <w:r w:rsidR="08592759" w:rsidRPr="003D1E07">
        <w:t xml:space="preserve">. </w:t>
      </w:r>
      <w:r w:rsidRPr="003D1E07">
        <w:t>Proto</w:t>
      </w:r>
      <w:r w:rsidR="088B1805" w:rsidRPr="003D1E07">
        <w:t>že</w:t>
      </w:r>
      <w:r w:rsidRPr="003D1E07">
        <w:t xml:space="preserve"> </w:t>
      </w:r>
      <w:r w:rsidR="00EC286F">
        <w:t xml:space="preserve">reální filosofové </w:t>
      </w:r>
      <w:r w:rsidRPr="003D1E07">
        <w:t xml:space="preserve">byli klasicky </w:t>
      </w:r>
      <w:r w:rsidR="08540CD1" w:rsidRPr="003D1E07">
        <w:t>roz</w:t>
      </w:r>
      <w:r w:rsidRPr="003D1E07">
        <w:t xml:space="preserve">lišující a tím </w:t>
      </w:r>
      <w:r w:rsidR="08540CD1" w:rsidRPr="003D1E07">
        <w:t xml:space="preserve">i </w:t>
      </w:r>
      <w:r w:rsidR="00B02EAC">
        <w:t xml:space="preserve">metafyzicky </w:t>
      </w:r>
      <w:r w:rsidRPr="003D1E07">
        <w:t xml:space="preserve">kritičtí, tak nemohli přijmout </w:t>
      </w:r>
      <w:r w:rsidR="08E5241E" w:rsidRPr="003D1E07">
        <w:t>tragické zmatení</w:t>
      </w:r>
      <w:r w:rsidR="08767B48" w:rsidRPr="003D1E07">
        <w:t xml:space="preserve"> mysli (μανία) </w:t>
      </w:r>
      <w:r w:rsidR="08E5241E" w:rsidRPr="003D1E07">
        <w:t>způsobené l</w:t>
      </w:r>
      <w:r w:rsidRPr="003D1E07">
        <w:t xml:space="preserve">ogicky schopnými </w:t>
      </w:r>
      <w:r w:rsidR="08767B48" w:rsidRPr="003D1E07">
        <w:t xml:space="preserve">a proto zcela moderními </w:t>
      </w:r>
      <w:r w:rsidRPr="003D1E07">
        <w:t xml:space="preserve">Fúriemi. </w:t>
      </w:r>
      <w:r w:rsidR="08592759" w:rsidRPr="003D1E07">
        <w:t xml:space="preserve">Univerzalita sleduje realitu a ne opačně, protože </w:t>
      </w:r>
      <w:r w:rsidR="08C84708" w:rsidRPr="003D1E07">
        <w:t xml:space="preserve">kritické myšlení dané vlivem Múz není </w:t>
      </w:r>
      <w:r w:rsidR="08A740C2" w:rsidRPr="003D1E07">
        <w:t xml:space="preserve">ani </w:t>
      </w:r>
      <w:r w:rsidR="08592759" w:rsidRPr="003D1E07">
        <w:t>paranoi</w:t>
      </w:r>
      <w:r w:rsidR="08C84708" w:rsidRPr="003D1E07">
        <w:t>cké</w:t>
      </w:r>
      <w:r w:rsidR="08A740C2" w:rsidRPr="003D1E07">
        <w:t xml:space="preserve"> ani manické</w:t>
      </w:r>
      <w:r w:rsidR="08592759" w:rsidRPr="003D1E07">
        <w:t xml:space="preserve">. Atomární díl </w:t>
      </w:r>
      <w:r w:rsidR="08DB0C32" w:rsidRPr="003D1E07">
        <w:t xml:space="preserve">univerzality </w:t>
      </w:r>
      <w:r w:rsidR="089C13E0" w:rsidRPr="003D1E07">
        <w:t xml:space="preserve">nemá </w:t>
      </w:r>
      <w:r w:rsidR="08592759" w:rsidRPr="003D1E07">
        <w:t xml:space="preserve">sám o </w:t>
      </w:r>
      <w:r w:rsidR="08592759" w:rsidRPr="003D1E07">
        <w:lastRenderedPageBreak/>
        <w:t xml:space="preserve">sobě žádnou možnost, jak </w:t>
      </w:r>
      <w:r w:rsidR="08DB0C32" w:rsidRPr="003D1E07">
        <w:t xml:space="preserve">získat </w:t>
      </w:r>
      <w:r w:rsidR="08592759" w:rsidRPr="003D1E07">
        <w:t>specifický význam</w:t>
      </w:r>
      <w:r w:rsidR="08DB0C32" w:rsidRPr="003D1E07">
        <w:t xml:space="preserve"> daný </w:t>
      </w:r>
      <w:r w:rsidR="08DB0C32" w:rsidRPr="003D1E07">
        <w:rPr>
          <w:i/>
        </w:rPr>
        <w:t>sui generis</w:t>
      </w:r>
      <w:r w:rsidR="08592759" w:rsidRPr="003D1E07">
        <w:t xml:space="preserve">. Proto </w:t>
      </w:r>
      <w:r w:rsidR="08025382" w:rsidRPr="003D1E07">
        <w:t xml:space="preserve">aristotelské </w:t>
      </w:r>
      <w:r w:rsidR="08263321" w:rsidRPr="003D1E07">
        <w:t xml:space="preserve">individuum </w:t>
      </w:r>
      <w:r w:rsidR="08592759" w:rsidRPr="003D1E07">
        <w:t xml:space="preserve">dostává univerzalitu </w:t>
      </w:r>
      <w:r w:rsidR="088B794C" w:rsidRPr="003D1E07">
        <w:t xml:space="preserve">od </w:t>
      </w:r>
      <w:r w:rsidR="00F214C5" w:rsidRPr="003D1E07">
        <w:t>species</w:t>
      </w:r>
      <w:r w:rsidR="088B794C" w:rsidRPr="003D1E07">
        <w:t xml:space="preserve"> </w:t>
      </w:r>
      <w:r w:rsidR="08FF4225" w:rsidRPr="003D1E07">
        <w:t xml:space="preserve">nikoliv </w:t>
      </w:r>
      <w:r w:rsidR="08592759" w:rsidRPr="003D1E07">
        <w:t xml:space="preserve">v aktu donace skrze </w:t>
      </w:r>
      <w:r w:rsidR="00C24090" w:rsidRPr="003D1E07">
        <w:t xml:space="preserve">objektivní </w:t>
      </w:r>
      <w:r w:rsidR="089C13E0" w:rsidRPr="003D1E07">
        <w:t>dativ</w:t>
      </w:r>
      <w:r w:rsidR="082F0DD8" w:rsidRPr="003D1E07">
        <w:t xml:space="preserve"> jako v neoplatonismu a v moderně</w:t>
      </w:r>
      <w:r w:rsidR="08FF4225" w:rsidRPr="003D1E07">
        <w:t xml:space="preserve">, ale pouze v aktu </w:t>
      </w:r>
      <w:r w:rsidR="00756029">
        <w:t xml:space="preserve">poslední </w:t>
      </w:r>
      <w:r w:rsidR="08FF4225" w:rsidRPr="003D1E07">
        <w:t>participace</w:t>
      </w:r>
      <w:r w:rsidR="006325BF" w:rsidRPr="003D1E07">
        <w:t xml:space="preserve"> a dělení univerzálního významu</w:t>
      </w:r>
      <w:r w:rsidR="008F6408">
        <w:t xml:space="preserve"> určeného nejprve impozicí a pak supozicí</w:t>
      </w:r>
      <w:r w:rsidR="089C13E0" w:rsidRPr="003D1E07">
        <w:t xml:space="preserve">. </w:t>
      </w:r>
      <w:r w:rsidR="08B745E0" w:rsidRPr="003D1E07">
        <w:t xml:space="preserve">Individuum si nemůže přivlastnit </w:t>
      </w:r>
      <w:r w:rsidR="08876699" w:rsidRPr="003D1E07">
        <w:t xml:space="preserve">autonomně </w:t>
      </w:r>
      <w:r w:rsidR="08B745E0" w:rsidRPr="003D1E07">
        <w:t xml:space="preserve">danou univerzalitu na úrovni </w:t>
      </w:r>
      <w:r w:rsidR="08B745E0" w:rsidRPr="003D1E07">
        <w:rPr>
          <w:i/>
        </w:rPr>
        <w:t>totum</w:t>
      </w:r>
      <w:r w:rsidR="08B745E0" w:rsidRPr="003D1E07">
        <w:t xml:space="preserve">, protože ta patří jen </w:t>
      </w:r>
      <w:r w:rsidR="00F214C5" w:rsidRPr="003D1E07">
        <w:t>species</w:t>
      </w:r>
      <w:r w:rsidR="08B745E0" w:rsidRPr="003D1E07">
        <w:t xml:space="preserve">. </w:t>
      </w:r>
      <w:r w:rsidR="084F34DA" w:rsidRPr="003D1E07">
        <w:t xml:space="preserve">Neoplatonští ilumináti ale měli </w:t>
      </w:r>
      <w:r w:rsidR="08C30791" w:rsidRPr="003D1E07">
        <w:t xml:space="preserve">mytopoetické </w:t>
      </w:r>
      <w:r w:rsidR="084F34DA" w:rsidRPr="003D1E07">
        <w:t>vědění</w:t>
      </w:r>
      <w:r w:rsidR="08C30791" w:rsidRPr="003D1E07">
        <w:t xml:space="preserve"> </w:t>
      </w:r>
      <w:r w:rsidR="00F214C5" w:rsidRPr="003D1E07">
        <w:t>species</w:t>
      </w:r>
      <w:r w:rsidR="08C30791" w:rsidRPr="003D1E07">
        <w:t xml:space="preserve"> a individua</w:t>
      </w:r>
      <w:r w:rsidR="084F34DA" w:rsidRPr="003D1E07">
        <w:t>, které bylo silnější než vidění</w:t>
      </w:r>
      <w:r w:rsidR="08C30791" w:rsidRPr="003D1E07">
        <w:t xml:space="preserve"> reality</w:t>
      </w:r>
      <w:r w:rsidR="08313366" w:rsidRPr="003D1E07">
        <w:t xml:space="preserve">. </w:t>
      </w:r>
      <w:r w:rsidR="00046460" w:rsidRPr="003D1E07">
        <w:t xml:space="preserve">Díky platónské </w:t>
      </w:r>
      <w:r w:rsidR="00046460" w:rsidRPr="003D1E07">
        <w:rPr>
          <w:i/>
        </w:rPr>
        <w:t>dihaíresis</w:t>
      </w:r>
      <w:r w:rsidR="00046460" w:rsidRPr="003D1E07">
        <w:t xml:space="preserve"> získala species </w:t>
      </w:r>
      <w:r w:rsidR="001D6C06">
        <w:t xml:space="preserve">postavení </w:t>
      </w:r>
      <w:r w:rsidR="00046460" w:rsidRPr="003D1E07">
        <w:t xml:space="preserve">moderní první substance. Impozice významu pak přechází na aristotelskou hylemofyzickou první substanci, která byla transformována na moderní </w:t>
      </w:r>
      <w:r w:rsidR="00046460" w:rsidRPr="003D1E07">
        <w:rPr>
          <w:i/>
        </w:rPr>
        <w:t>individuum</w:t>
      </w:r>
      <w:r w:rsidR="00046460" w:rsidRPr="003D1E07">
        <w:t xml:space="preserve">. </w:t>
      </w:r>
      <w:r w:rsidR="08F8737A" w:rsidRPr="003D1E07">
        <w:t xml:space="preserve">Logicky viděno se na výkladu </w:t>
      </w:r>
      <w:r w:rsidR="08F8737A" w:rsidRPr="003D1E07">
        <w:rPr>
          <w:i/>
        </w:rPr>
        <w:t>Kategorií</w:t>
      </w:r>
      <w:r w:rsidR="08F8737A" w:rsidRPr="003D1E07">
        <w:t xml:space="preserve"> nezměnilo vůb</w:t>
      </w:r>
      <w:r w:rsidR="08313366" w:rsidRPr="003D1E07">
        <w:t>e</w:t>
      </w:r>
      <w:r w:rsidR="08F8737A" w:rsidRPr="003D1E07">
        <w:t xml:space="preserve">c nic a dokonce je možné vzít text doslova a vykládat jej v novém </w:t>
      </w:r>
      <w:r w:rsidR="08A149FA" w:rsidRPr="003D1E07">
        <w:t>paradigmatu moderny. Tím vznikl</w:t>
      </w:r>
      <w:r w:rsidR="08F8737A" w:rsidRPr="003D1E07">
        <w:t xml:space="preserve"> </w:t>
      </w:r>
      <w:r w:rsidR="08643CA9" w:rsidRPr="003D1E07">
        <w:t xml:space="preserve">epochálně nový </w:t>
      </w:r>
      <w:r w:rsidR="08F8737A" w:rsidRPr="003D1E07">
        <w:t>pythický modus</w:t>
      </w:r>
      <w:r w:rsidR="08A149FA" w:rsidRPr="003D1E07">
        <w:t xml:space="preserve"> myšlení</w:t>
      </w:r>
      <w:r w:rsidR="08643CA9" w:rsidRPr="003D1E07">
        <w:t>, který originálním smíšením pravdy a nepravdy založil současnou paranoiu</w:t>
      </w:r>
      <w:r w:rsidR="08A149FA" w:rsidRPr="003D1E07">
        <w:t xml:space="preserve"> </w:t>
      </w:r>
      <w:r w:rsidR="08A149FA" w:rsidRPr="003D1E07">
        <w:rPr>
          <w:i/>
        </w:rPr>
        <w:t>Modernorum</w:t>
      </w:r>
      <w:r w:rsidR="08313366" w:rsidRPr="003D1E07">
        <w:t>.</w:t>
      </w:r>
      <w:r w:rsidR="009044FA" w:rsidRPr="003D1E07">
        <w:t xml:space="preserve"> Logický „Sokrates“ jako moderní </w:t>
      </w:r>
      <w:r w:rsidR="009044FA" w:rsidRPr="003D1E07">
        <w:rPr>
          <w:i/>
        </w:rPr>
        <w:t>individuum</w:t>
      </w:r>
      <w:r w:rsidR="009044FA" w:rsidRPr="003D1E07">
        <w:t xml:space="preserve"> je vytvořen v paranoickém modu </w:t>
      </w:r>
      <w:r w:rsidR="009044FA" w:rsidRPr="003D1E07">
        <w:rPr>
          <w:i/>
        </w:rPr>
        <w:t>idem</w:t>
      </w:r>
      <w:r w:rsidR="009044FA" w:rsidRPr="003D1E07">
        <w:t xml:space="preserve"> jako čistá mentální supozice; ale je stejnou „substancí“ jako hyparchický Sokrates z metafyzické impozice dané v modu </w:t>
      </w:r>
      <w:r w:rsidR="009044FA" w:rsidRPr="003D1E07">
        <w:rPr>
          <w:i/>
        </w:rPr>
        <w:t>ipse</w:t>
      </w:r>
      <w:r w:rsidR="00EB1E4A" w:rsidRPr="003D1E07">
        <w:rPr>
          <w:i/>
        </w:rPr>
        <w:fldChar w:fldCharType="begin"/>
      </w:r>
      <w:r w:rsidR="00EB1E4A" w:rsidRPr="003D1E07">
        <w:instrText xml:space="preserve"> XE "</w:instrText>
      </w:r>
      <w:r w:rsidR="00EB1E4A" w:rsidRPr="003D1E07">
        <w:rPr>
          <w:i/>
        </w:rPr>
        <w:instrText>ipse/idem</w:instrText>
      </w:r>
      <w:r w:rsidR="00EB1E4A" w:rsidRPr="003D1E07">
        <w:instrText xml:space="preserve">" </w:instrText>
      </w:r>
      <w:r w:rsidR="00EB1E4A" w:rsidRPr="003D1E07">
        <w:rPr>
          <w:i/>
        </w:rPr>
        <w:fldChar w:fldCharType="end"/>
      </w:r>
      <w:r w:rsidR="009044FA" w:rsidRPr="003D1E07">
        <w:t xml:space="preserve">. </w:t>
      </w:r>
      <w:r w:rsidR="005A436D" w:rsidRPr="003D1E07">
        <w:t xml:space="preserve">A </w:t>
      </w:r>
      <w:r w:rsidR="00087214">
        <w:t xml:space="preserve">moderně je úplně </w:t>
      </w:r>
      <w:r w:rsidR="005A436D" w:rsidRPr="003D1E07">
        <w:t xml:space="preserve">jedno, jestli </w:t>
      </w:r>
      <w:r w:rsidR="00087214">
        <w:t xml:space="preserve">toto individuum </w:t>
      </w:r>
      <w:r w:rsidR="005A436D" w:rsidRPr="003D1E07">
        <w:t>je mrtvola nebo živá osoba.</w:t>
      </w:r>
    </w:p>
    <w:p w14:paraId="1B1E8240" w14:textId="6A519C63" w:rsidR="00C53BB2" w:rsidRDefault="00721212" w:rsidP="00C53BB2">
      <w:pPr>
        <w:ind w:firstLine="397"/>
      </w:pPr>
      <w:r>
        <w:t>S</w:t>
      </w:r>
      <w:r w:rsidR="08A149FA" w:rsidRPr="003D1E07">
        <w:t xml:space="preserve">oučasníci Porfýria </w:t>
      </w:r>
      <w:r w:rsidR="08AD63FB" w:rsidRPr="003D1E07">
        <w:t xml:space="preserve">usedli na akademický stolec </w:t>
      </w:r>
      <w:r w:rsidR="08294B16" w:rsidRPr="003D1E07">
        <w:t xml:space="preserve">prvních </w:t>
      </w:r>
      <w:r w:rsidR="08D25260" w:rsidRPr="003D1E07">
        <w:t xml:space="preserve">antických </w:t>
      </w:r>
      <w:r w:rsidR="08294B16" w:rsidRPr="003D1E07">
        <w:t xml:space="preserve">univerzit </w:t>
      </w:r>
      <w:r w:rsidR="08AD63FB" w:rsidRPr="003D1E07">
        <w:t xml:space="preserve">a po vzoru </w:t>
      </w:r>
      <w:r w:rsidR="08313366" w:rsidRPr="003D1E07">
        <w:t xml:space="preserve">zaniklých Delf a pýthií </w:t>
      </w:r>
      <w:r w:rsidR="08DB11DF" w:rsidRPr="003D1E07">
        <w:t>vy</w:t>
      </w:r>
      <w:r w:rsidR="08A149FA" w:rsidRPr="003D1E07">
        <w:t>tvořil</w:t>
      </w:r>
      <w:r w:rsidR="08AD63FB" w:rsidRPr="003D1E07">
        <w:t>i</w:t>
      </w:r>
      <w:r w:rsidR="08A149FA" w:rsidRPr="003D1E07">
        <w:t xml:space="preserve"> </w:t>
      </w:r>
      <w:r w:rsidR="08DB11DF" w:rsidRPr="003D1E07">
        <w:t xml:space="preserve">vlastní </w:t>
      </w:r>
      <w:r w:rsidR="08A149FA" w:rsidRPr="003D1E07">
        <w:t xml:space="preserve">mytopoetické </w:t>
      </w:r>
      <w:r w:rsidR="08DB11DF" w:rsidRPr="003D1E07">
        <w:t>orák</w:t>
      </w:r>
      <w:r w:rsidR="08734B9D" w:rsidRPr="003D1E07">
        <w:t>ukum</w:t>
      </w:r>
      <w:r w:rsidR="08AD63FB" w:rsidRPr="003D1E07">
        <w:t xml:space="preserve">. </w:t>
      </w:r>
      <w:r w:rsidR="08313366" w:rsidRPr="003D1E07">
        <w:t xml:space="preserve">Na těchto posvátných shromáděních </w:t>
      </w:r>
      <w:r w:rsidR="0823615B" w:rsidRPr="003D1E07">
        <w:t xml:space="preserve">neoplatonských iluminátů </w:t>
      </w:r>
      <w:r w:rsidR="08313366" w:rsidRPr="003D1E07">
        <w:t xml:space="preserve">(ὄργια, </w:t>
      </w:r>
      <w:r w:rsidR="08313366" w:rsidRPr="003D1E07">
        <w:rPr>
          <w:i/>
        </w:rPr>
        <w:t>conferentia</w:t>
      </w:r>
      <w:r w:rsidR="08313366" w:rsidRPr="003D1E07">
        <w:t>)</w:t>
      </w:r>
      <w:r w:rsidR="086019C0" w:rsidRPr="003D1E07">
        <w:t xml:space="preserve"> vznikla </w:t>
      </w:r>
      <w:r w:rsidR="08D0561A" w:rsidRPr="003D1E07">
        <w:t>p</w:t>
      </w:r>
      <w:r w:rsidR="08072D6B" w:rsidRPr="003D1E07">
        <w:t>od</w:t>
      </w:r>
      <w:r w:rsidR="08D0561A" w:rsidRPr="003D1E07">
        <w:t xml:space="preserve"> vedením Fúrií </w:t>
      </w:r>
      <w:r w:rsidR="086019C0" w:rsidRPr="003D1E07">
        <w:t xml:space="preserve">nová forma </w:t>
      </w:r>
      <w:r w:rsidR="08643CA9" w:rsidRPr="003D1E07">
        <w:t>„</w:t>
      </w:r>
      <w:r w:rsidR="086019C0" w:rsidRPr="003D1E07">
        <w:t>orgiastické</w:t>
      </w:r>
      <w:r w:rsidR="08643CA9" w:rsidRPr="003D1E07">
        <w:t>“</w:t>
      </w:r>
      <w:r w:rsidR="086019C0" w:rsidRPr="003D1E07">
        <w:t xml:space="preserve"> zá</w:t>
      </w:r>
      <w:r w:rsidR="08313366" w:rsidRPr="003D1E07">
        <w:t>padní vzdělanosti</w:t>
      </w:r>
      <w:r w:rsidR="08CD2FA0" w:rsidRPr="003D1E07">
        <w:t xml:space="preserve">, která </w:t>
      </w:r>
      <w:r w:rsidR="08074BC1" w:rsidRPr="003D1E07">
        <w:t xml:space="preserve">v následných etapách metafyzického synkretismu </w:t>
      </w:r>
      <w:r w:rsidR="08CD2FA0" w:rsidRPr="003D1E07">
        <w:t>dostala objektivní charakter</w:t>
      </w:r>
      <w:r w:rsidR="0813231A" w:rsidRPr="003D1E07">
        <w:t xml:space="preserve">. Tato </w:t>
      </w:r>
      <w:r w:rsidR="0813231A" w:rsidRPr="003D1E07">
        <w:rPr>
          <w:i/>
        </w:rPr>
        <w:t>apaideusía</w:t>
      </w:r>
      <w:r w:rsidR="087146C0" w:rsidRPr="003D1E07">
        <w:rPr>
          <w:i/>
        </w:rPr>
        <w:fldChar w:fldCharType="begin"/>
      </w:r>
      <w:r w:rsidR="087146C0" w:rsidRPr="003D1E07">
        <w:instrText xml:space="preserve"> XE "</w:instrText>
      </w:r>
      <w:r w:rsidR="087146C0" w:rsidRPr="003D1E07">
        <w:rPr>
          <w:i/>
        </w:rPr>
        <w:instrText>apaideusía</w:instrText>
      </w:r>
      <w:r w:rsidR="087146C0" w:rsidRPr="003D1E07">
        <w:instrText xml:space="preserve">" </w:instrText>
      </w:r>
      <w:r w:rsidR="087146C0" w:rsidRPr="003D1E07">
        <w:rPr>
          <w:i/>
        </w:rPr>
        <w:fldChar w:fldCharType="end"/>
      </w:r>
      <w:r w:rsidR="0813231A" w:rsidRPr="003D1E07">
        <w:t xml:space="preserve"> </w:t>
      </w:r>
      <w:r w:rsidR="0849442F" w:rsidRPr="003D1E07">
        <w:t xml:space="preserve">(kap. 1.2) </w:t>
      </w:r>
      <w:r w:rsidR="0813231A" w:rsidRPr="003D1E07">
        <w:t xml:space="preserve">se dnes </w:t>
      </w:r>
      <w:r w:rsidR="08072D6B" w:rsidRPr="003D1E07">
        <w:t>provozuje naprosto globálně</w:t>
      </w:r>
      <w:r w:rsidR="0813231A" w:rsidRPr="003D1E07">
        <w:t xml:space="preserve"> a míra totoho mytopoetického šílenství je objektivně indexována </w:t>
      </w:r>
      <w:r w:rsidR="083169E7" w:rsidRPr="003D1E07">
        <w:t xml:space="preserve">ve vědeckých databázích </w:t>
      </w:r>
      <w:r w:rsidR="0813231A" w:rsidRPr="003D1E07">
        <w:t xml:space="preserve">a </w:t>
      </w:r>
      <w:r w:rsidR="083169E7" w:rsidRPr="003D1E07">
        <w:t xml:space="preserve">finančně </w:t>
      </w:r>
      <w:r w:rsidR="0813231A" w:rsidRPr="003D1E07">
        <w:t>odměňována</w:t>
      </w:r>
      <w:r w:rsidR="08313366" w:rsidRPr="003D1E07">
        <w:t xml:space="preserve">. </w:t>
      </w:r>
      <w:r w:rsidR="08AD63FB" w:rsidRPr="003D1E07">
        <w:t xml:space="preserve">Pythickým a pseudomystickým výkladem </w:t>
      </w:r>
      <w:r w:rsidR="08AD63FB" w:rsidRPr="003D1E07">
        <w:rPr>
          <w:i/>
        </w:rPr>
        <w:t>Kategorií</w:t>
      </w:r>
      <w:r w:rsidR="08AD63FB" w:rsidRPr="003D1E07">
        <w:t xml:space="preserve"> a následně i Porf</w:t>
      </w:r>
      <w:r w:rsidR="08F147B5" w:rsidRPr="003D1E07">
        <w:t xml:space="preserve">ýriových komentářů </w:t>
      </w:r>
      <w:r w:rsidR="08176D6B" w:rsidRPr="003D1E07">
        <w:t xml:space="preserve">ke </w:t>
      </w:r>
      <w:r w:rsidR="08176D6B" w:rsidRPr="003D1E07">
        <w:rPr>
          <w:i/>
        </w:rPr>
        <w:t>Kategoriím</w:t>
      </w:r>
      <w:r w:rsidR="08176D6B" w:rsidRPr="003D1E07">
        <w:t xml:space="preserve"> zpečetili </w:t>
      </w:r>
      <w:r w:rsidR="08F147B5" w:rsidRPr="003D1E07">
        <w:t xml:space="preserve">neoplatonští </w:t>
      </w:r>
      <w:r w:rsidR="08AD63FB" w:rsidRPr="003D1E07">
        <w:rPr>
          <w:i/>
        </w:rPr>
        <w:t>Moderni</w:t>
      </w:r>
      <w:r w:rsidR="08AD63FB" w:rsidRPr="003D1E07">
        <w:t xml:space="preserve"> </w:t>
      </w:r>
      <w:r w:rsidR="08734B9D" w:rsidRPr="003D1E07">
        <w:t xml:space="preserve">osud </w:t>
      </w:r>
      <w:r w:rsidR="081D7C0C" w:rsidRPr="003D1E07">
        <w:t xml:space="preserve">západního </w:t>
      </w:r>
      <w:r w:rsidR="08734B9D" w:rsidRPr="003D1E07">
        <w:t>myšlení</w:t>
      </w:r>
      <w:r w:rsidR="08F8737A" w:rsidRPr="003D1E07">
        <w:t>.</w:t>
      </w:r>
      <w:r w:rsidR="08DB11DF" w:rsidRPr="003D1E07">
        <w:t xml:space="preserve"> </w:t>
      </w:r>
      <w:r w:rsidR="081D31F8" w:rsidRPr="003D1E07">
        <w:t xml:space="preserve">Intelektuální </w:t>
      </w:r>
      <w:r w:rsidR="081D31F8" w:rsidRPr="003D1E07">
        <w:rPr>
          <w:i/>
        </w:rPr>
        <w:t>hýbris</w:t>
      </w:r>
      <w:r w:rsidR="081D31F8" w:rsidRPr="003D1E07">
        <w:t xml:space="preserve"> „božích mužů“ typu Jamblicha </w:t>
      </w:r>
      <w:r w:rsidR="08856F31" w:rsidRPr="003D1E07">
        <w:t xml:space="preserve">tragicky </w:t>
      </w:r>
      <w:r w:rsidR="081D31F8" w:rsidRPr="003D1E07">
        <w:t xml:space="preserve">odpovídala míře jejich metafyzického pochybení. </w:t>
      </w:r>
      <w:r w:rsidR="08CD47ED" w:rsidRPr="003D1E07">
        <w:t xml:space="preserve">Nové individuum třetího druhu </w:t>
      </w:r>
      <w:r w:rsidR="08AD3057" w:rsidRPr="003D1E07">
        <w:t xml:space="preserve">začalo </w:t>
      </w:r>
      <w:r w:rsidR="080A15D3" w:rsidRPr="003D1E07">
        <w:t xml:space="preserve">působit </w:t>
      </w:r>
      <w:r w:rsidR="08AD3057" w:rsidRPr="003D1E07">
        <w:t xml:space="preserve"> jako první </w:t>
      </w:r>
      <w:r w:rsidR="080A15D3" w:rsidRPr="003D1E07">
        <w:t xml:space="preserve">nebo jako druhá </w:t>
      </w:r>
      <w:r w:rsidR="08AD3057" w:rsidRPr="003D1E07">
        <w:t>substance</w:t>
      </w:r>
      <w:r w:rsidR="086464CC" w:rsidRPr="003D1E07">
        <w:t>. P</w:t>
      </w:r>
      <w:r w:rsidR="08CD47ED" w:rsidRPr="003D1E07">
        <w:t>ak</w:t>
      </w:r>
      <w:r w:rsidR="08DC0DC2" w:rsidRPr="003D1E07">
        <w:t xml:space="preserve"> tvoří </w:t>
      </w:r>
      <w:r w:rsidR="080F684D" w:rsidRPr="003D1E07">
        <w:t xml:space="preserve">atomární substance </w:t>
      </w:r>
      <w:r w:rsidR="08DC0DC2" w:rsidRPr="003D1E07">
        <w:t>pos</w:t>
      </w:r>
      <w:r w:rsidR="08CD47ED" w:rsidRPr="003D1E07">
        <w:t>l</w:t>
      </w:r>
      <w:r w:rsidR="08DC0DC2" w:rsidRPr="003D1E07">
        <w:t>e</w:t>
      </w:r>
      <w:r w:rsidR="08CD47ED" w:rsidRPr="003D1E07">
        <w:t xml:space="preserve">dní člen </w:t>
      </w:r>
      <w:r w:rsidR="08DC0DC2" w:rsidRPr="003D1E07">
        <w:t xml:space="preserve">univerzální </w:t>
      </w:r>
      <w:r w:rsidR="08CD47ED" w:rsidRPr="003D1E07">
        <w:t>predikace</w:t>
      </w:r>
      <w:r w:rsidR="080A2B46" w:rsidRPr="003D1E07">
        <w:t xml:space="preserve"> dané</w:t>
      </w:r>
      <w:r w:rsidR="08DC0DC2" w:rsidRPr="003D1E07">
        <w:t xml:space="preserve"> specifickým dělením </w:t>
      </w:r>
      <w:r w:rsidR="080F684D" w:rsidRPr="003D1E07">
        <w:t xml:space="preserve">generického univerzálního významu </w:t>
      </w:r>
      <w:r w:rsidR="08DC0DC2" w:rsidRPr="003D1E07">
        <w:t>na poslední dále nedělitelný význam</w:t>
      </w:r>
      <w:r w:rsidR="086464CC" w:rsidRPr="003D1E07">
        <w:t xml:space="preserve">. </w:t>
      </w:r>
      <w:r w:rsidR="00FE2AFE" w:rsidRPr="003D1E07">
        <w:t xml:space="preserve">Tím se </w:t>
      </w:r>
      <w:r w:rsidR="00F214C5" w:rsidRPr="003D1E07">
        <w:t>species</w:t>
      </w:r>
      <w:r w:rsidR="00FE2AFE" w:rsidRPr="003D1E07">
        <w:t xml:space="preserve"> </w:t>
      </w:r>
      <w:r w:rsidR="083B4940" w:rsidRPr="003D1E07">
        <w:t>nebo individuum staly</w:t>
      </w:r>
      <w:r w:rsidR="00FE2AFE" w:rsidRPr="003D1E07">
        <w:t xml:space="preserve"> první</w:t>
      </w:r>
      <w:r w:rsidR="083B4940" w:rsidRPr="003D1E07">
        <w:t>mi substancem</w:t>
      </w:r>
      <w:r w:rsidR="085C5A7D" w:rsidRPr="003D1E07">
        <w:t>i</w:t>
      </w:r>
      <w:r w:rsidR="083B4940" w:rsidRPr="003D1E07">
        <w:t xml:space="preserve"> a nahradily</w:t>
      </w:r>
      <w:r w:rsidR="00B356D0" w:rsidRPr="003D1E07">
        <w:t xml:space="preserve"> reálnou první substanci, kterou </w:t>
      </w:r>
      <w:r w:rsidR="00823C55" w:rsidRPr="003D1E07">
        <w:t xml:space="preserve">spis </w:t>
      </w:r>
      <w:r w:rsidR="00B356D0" w:rsidRPr="003D1E07">
        <w:rPr>
          <w:i/>
        </w:rPr>
        <w:t>Kategorie</w:t>
      </w:r>
      <w:r w:rsidR="00B356D0" w:rsidRPr="003D1E07">
        <w:t xml:space="preserve"> </w:t>
      </w:r>
      <w:r w:rsidR="005068C4" w:rsidRPr="003D1E07">
        <w:t xml:space="preserve">a </w:t>
      </w:r>
      <w:r w:rsidR="005068C4" w:rsidRPr="003D1E07">
        <w:rPr>
          <w:i/>
        </w:rPr>
        <w:t>Me</w:t>
      </w:r>
      <w:r w:rsidR="001B23C7" w:rsidRPr="003D1E07">
        <w:rPr>
          <w:i/>
        </w:rPr>
        <w:t>tafyzika</w:t>
      </w:r>
      <w:r w:rsidR="001B23C7" w:rsidRPr="003D1E07">
        <w:t xml:space="preserve"> </w:t>
      </w:r>
      <w:r w:rsidR="00823C55" w:rsidRPr="003D1E07">
        <w:t>zásadně postavil</w:t>
      </w:r>
      <w:r w:rsidR="00B356D0" w:rsidRPr="003D1E07">
        <w:t xml:space="preserve"> mimo </w:t>
      </w:r>
      <w:r w:rsidR="003F2FBA">
        <w:t xml:space="preserve">jakoukoliv </w:t>
      </w:r>
      <w:r w:rsidR="00600050">
        <w:t xml:space="preserve">kategoriální </w:t>
      </w:r>
      <w:r w:rsidR="00B356D0" w:rsidRPr="003D1E07">
        <w:t>predikaci</w:t>
      </w:r>
      <w:r w:rsidR="00FE2AFE" w:rsidRPr="003D1E07">
        <w:t xml:space="preserve">. </w:t>
      </w:r>
      <w:r w:rsidR="083F483A" w:rsidRPr="003D1E07">
        <w:t xml:space="preserve">Postavení individua v novém systému dělení jsoucna je přesně opačné než v </w:t>
      </w:r>
      <w:r w:rsidR="083F483A" w:rsidRPr="003D1E07">
        <w:rPr>
          <w:i/>
        </w:rPr>
        <w:t>Kategoriích</w:t>
      </w:r>
      <w:r w:rsidR="0826646C" w:rsidRPr="003D1E07">
        <w:t xml:space="preserve">, viz předešlý výklad </w:t>
      </w:r>
      <w:r w:rsidR="08F2498E" w:rsidRPr="003D1E07">
        <w:rPr>
          <w:i/>
        </w:rPr>
        <w:t>Isagoge</w:t>
      </w:r>
      <w:r w:rsidR="08F2498E" w:rsidRPr="003D1E07">
        <w:t xml:space="preserve"> ohledně </w:t>
      </w:r>
      <w:r w:rsidR="0826646C" w:rsidRPr="003D1E07">
        <w:t xml:space="preserve">postavení druhu a </w:t>
      </w:r>
      <w:r w:rsidR="0826646C" w:rsidRPr="003D1E07">
        <w:lastRenderedPageBreak/>
        <w:t xml:space="preserve">jednotliviny v modu ἐν ἄλλοις podle Aristotela. </w:t>
      </w:r>
      <w:r w:rsidR="08AD3057" w:rsidRPr="003D1E07">
        <w:t xml:space="preserve">Moderní individuum ztratilo původní univerzální význam </w:t>
      </w:r>
      <w:r w:rsidR="00F214C5" w:rsidRPr="003D1E07">
        <w:t>species</w:t>
      </w:r>
      <w:r w:rsidR="08AD3057" w:rsidRPr="003D1E07">
        <w:t xml:space="preserve"> daný v </w:t>
      </w:r>
      <w:r w:rsidR="08AD3057" w:rsidRPr="003D1E07">
        <w:rPr>
          <w:i/>
        </w:rPr>
        <w:t>Isagoge</w:t>
      </w:r>
      <w:r w:rsidR="08AD3057" w:rsidRPr="003D1E07">
        <w:t xml:space="preserve">. </w:t>
      </w:r>
      <w:r w:rsidR="08643B68" w:rsidRPr="003D1E07">
        <w:t xml:space="preserve">Druh začal v neoplatonismu fungovat jako první substance, protože má vlastní nedělitelný </w:t>
      </w:r>
      <w:r w:rsidR="007F2073">
        <w:t xml:space="preserve">objektivní </w:t>
      </w:r>
      <w:r w:rsidR="08643B68" w:rsidRPr="003D1E07">
        <w:t>význam</w:t>
      </w:r>
      <w:r w:rsidR="088C2011" w:rsidRPr="003D1E07">
        <w:t xml:space="preserve"> daný </w:t>
      </w:r>
      <w:r w:rsidR="088C2011" w:rsidRPr="003D1E07">
        <w:rPr>
          <w:i/>
        </w:rPr>
        <w:t>per se</w:t>
      </w:r>
      <w:r w:rsidR="08097494" w:rsidRPr="003D1E07">
        <w:t xml:space="preserve">. Vinou tohoto epochálního pochybení </w:t>
      </w:r>
      <w:r w:rsidR="08914F22" w:rsidRPr="003D1E07">
        <w:t xml:space="preserve">zakládá </w:t>
      </w:r>
      <w:r w:rsidR="08F830A5" w:rsidRPr="003D1E07">
        <w:t xml:space="preserve">neoplatonské </w:t>
      </w:r>
      <w:r w:rsidR="00F214C5" w:rsidRPr="003D1E07">
        <w:t>species</w:t>
      </w:r>
      <w:r w:rsidR="08097494" w:rsidRPr="003D1E07">
        <w:t xml:space="preserve"> </w:t>
      </w:r>
      <w:r w:rsidR="08914F22" w:rsidRPr="003D1E07">
        <w:t xml:space="preserve">třetího druhu jak hyparchickou predikaci, tak </w:t>
      </w:r>
      <w:r w:rsidR="08097494" w:rsidRPr="003D1E07">
        <w:t xml:space="preserve">metafyzickou </w:t>
      </w:r>
      <w:r w:rsidR="088C2011" w:rsidRPr="003D1E07">
        <w:t>impozici významu</w:t>
      </w:r>
      <w:r w:rsidR="08097494" w:rsidRPr="003D1E07">
        <w:t xml:space="preserve"> v modu </w:t>
      </w:r>
      <w:r w:rsidR="08097494" w:rsidRPr="003D1E07">
        <w:rPr>
          <w:i/>
        </w:rPr>
        <w:t>per prius</w:t>
      </w:r>
      <w:r w:rsidR="088C2011" w:rsidRPr="003D1E07">
        <w:t xml:space="preserve">. </w:t>
      </w:r>
      <w:r w:rsidR="083F483A" w:rsidRPr="003D1E07">
        <w:t xml:space="preserve">V novém </w:t>
      </w:r>
      <w:r w:rsidR="08A13E1C" w:rsidRPr="003D1E07">
        <w:t xml:space="preserve">pythickém </w:t>
      </w:r>
      <w:r w:rsidR="083F483A" w:rsidRPr="003D1E07">
        <w:t xml:space="preserve">systému </w:t>
      </w:r>
      <w:r w:rsidR="08EC4981" w:rsidRPr="003D1E07">
        <w:t xml:space="preserve">neoplatonských kategorií </w:t>
      </w:r>
      <w:r w:rsidR="083F483A" w:rsidRPr="003D1E07">
        <w:t>má individuum nejblíže k první substanci</w:t>
      </w:r>
      <w:r w:rsidR="08A13E1C" w:rsidRPr="003D1E07">
        <w:t>-</w:t>
      </w:r>
      <w:r w:rsidR="00F214C5" w:rsidRPr="003D1E07">
        <w:t>species</w:t>
      </w:r>
      <w:r w:rsidR="083F483A" w:rsidRPr="003D1E07">
        <w:t xml:space="preserve">, protože je obsaženo ve </w:t>
      </w:r>
      <w:r w:rsidR="00F214C5" w:rsidRPr="003D1E07">
        <w:t>species</w:t>
      </w:r>
      <w:r w:rsidR="083F483A" w:rsidRPr="003D1E07">
        <w:t xml:space="preserve"> jako její univoční část (ἐν ἄλλοις). </w:t>
      </w:r>
      <w:r w:rsidR="087A39B0" w:rsidRPr="003D1E07">
        <w:t xml:space="preserve">Epochální </w:t>
      </w:r>
      <w:r w:rsidR="0022403B">
        <w:t xml:space="preserve">omyl </w:t>
      </w:r>
      <w:r w:rsidR="08AA1111" w:rsidRPr="003D1E07">
        <w:t>n</w:t>
      </w:r>
      <w:r w:rsidR="087A39B0" w:rsidRPr="003D1E07">
        <w:t>o</w:t>
      </w:r>
      <w:r w:rsidR="08AA1111" w:rsidRPr="003D1E07">
        <w:t>v</w:t>
      </w:r>
      <w:r w:rsidR="087A39B0" w:rsidRPr="003D1E07">
        <w:t xml:space="preserve">é metafyziky je </w:t>
      </w:r>
      <w:r w:rsidR="08AA1111" w:rsidRPr="003D1E07">
        <w:t>napr</w:t>
      </w:r>
      <w:r w:rsidR="087A39B0" w:rsidRPr="003D1E07">
        <w:t xml:space="preserve">osto zřejmý, protože výklad </w:t>
      </w:r>
      <w:r w:rsidR="087A39B0" w:rsidRPr="003D1E07">
        <w:rPr>
          <w:i/>
        </w:rPr>
        <w:t>Isagoge</w:t>
      </w:r>
      <w:r w:rsidR="087A39B0" w:rsidRPr="003D1E07">
        <w:t xml:space="preserve"> definoval individuum přesně opačně. </w:t>
      </w:r>
      <w:r w:rsidR="086E5342" w:rsidRPr="003D1E07">
        <w:t>Specifická j</w:t>
      </w:r>
      <w:r w:rsidR="087A39B0" w:rsidRPr="003D1E07">
        <w:t xml:space="preserve">ednotlivina </w:t>
      </w:r>
      <w:r w:rsidR="089C52B3" w:rsidRPr="003D1E07">
        <w:t>byla nejdále od první substance</w:t>
      </w:r>
      <w:r w:rsidR="086E5342" w:rsidRPr="003D1E07">
        <w:t>, p</w:t>
      </w:r>
      <w:r w:rsidR="089C52B3" w:rsidRPr="003D1E07">
        <w:t xml:space="preserve">roto </w:t>
      </w:r>
      <w:r w:rsidR="086E5342" w:rsidRPr="003D1E07">
        <w:t xml:space="preserve">individuum </w:t>
      </w:r>
      <w:r w:rsidR="089C52B3" w:rsidRPr="003D1E07">
        <w:t>ne</w:t>
      </w:r>
      <w:r w:rsidR="086E5342" w:rsidRPr="003D1E07">
        <w:t xml:space="preserve">mělo </w:t>
      </w:r>
      <w:r w:rsidR="089C52B3" w:rsidRPr="003D1E07">
        <w:t xml:space="preserve">žádný hyparchický význam </w:t>
      </w:r>
      <w:r w:rsidR="086E5342" w:rsidRPr="003D1E07">
        <w:t xml:space="preserve">daný impozicí </w:t>
      </w:r>
      <w:r w:rsidR="089C52B3" w:rsidRPr="003D1E07">
        <w:t xml:space="preserve">a </w:t>
      </w:r>
      <w:r w:rsidR="086E5342" w:rsidRPr="003D1E07">
        <w:t>mělo</w:t>
      </w:r>
      <w:r w:rsidR="087A39B0" w:rsidRPr="003D1E07">
        <w:t xml:space="preserve"> </w:t>
      </w:r>
      <w:r w:rsidR="089C52B3" w:rsidRPr="003D1E07">
        <w:t>je</w:t>
      </w:r>
      <w:r w:rsidR="002B403B">
        <w:t>n</w:t>
      </w:r>
      <w:r w:rsidR="089C52B3" w:rsidRPr="003D1E07">
        <w:t xml:space="preserve"> zcela minimální </w:t>
      </w:r>
      <w:r w:rsidR="087A39B0" w:rsidRPr="003D1E07">
        <w:t>univerzální</w:t>
      </w:r>
      <w:r w:rsidR="08DF6B3B" w:rsidRPr="003D1E07">
        <w:t xml:space="preserve"> význam</w:t>
      </w:r>
      <w:r w:rsidR="086E5342" w:rsidRPr="003D1E07">
        <w:t xml:space="preserve"> daný </w:t>
      </w:r>
      <w:r w:rsidR="081B7F7C" w:rsidRPr="003D1E07">
        <w:t xml:space="preserve">podílem na supozici významu skrze </w:t>
      </w:r>
      <w:r w:rsidR="00F214C5" w:rsidRPr="003D1E07">
        <w:t>species</w:t>
      </w:r>
      <w:r w:rsidR="08DF6B3B" w:rsidRPr="003D1E07">
        <w:t>.</w:t>
      </w:r>
      <w:r w:rsidR="081B7F7C" w:rsidRPr="003D1E07">
        <w:t xml:space="preserve"> </w:t>
      </w:r>
      <w:r w:rsidR="08D64B2C" w:rsidRPr="003D1E07">
        <w:t xml:space="preserve">Smíšením původně tří zcela oddělených významů atomární substance (první a druhá substance, individuum) vznikla </w:t>
      </w:r>
      <w:r w:rsidR="08A6688E" w:rsidRPr="003D1E07">
        <w:t xml:space="preserve">ve třetím století </w:t>
      </w:r>
      <w:r w:rsidR="08D64B2C" w:rsidRPr="003D1E07">
        <w:t>originální mytopoetická exegeze</w:t>
      </w:r>
      <w:r w:rsidR="007E124C" w:rsidRPr="003D1E07">
        <w:t xml:space="preserve"> nedělitelné </w:t>
      </w:r>
      <w:r w:rsidR="003933E7">
        <w:t>„</w:t>
      </w:r>
      <w:r w:rsidR="007E124C" w:rsidRPr="003D1E07">
        <w:t>první substance</w:t>
      </w:r>
      <w:r w:rsidR="003933E7">
        <w:t>“</w:t>
      </w:r>
      <w:r w:rsidR="08D64B2C" w:rsidRPr="003D1E07">
        <w:t xml:space="preserve">. Tato </w:t>
      </w:r>
      <w:r w:rsidR="00144FF4" w:rsidRPr="003D1E07">
        <w:t>ambivalence</w:t>
      </w:r>
      <w:r w:rsidR="08D64B2C" w:rsidRPr="003D1E07">
        <w:t xml:space="preserve"> atomární substance </w:t>
      </w:r>
      <w:r w:rsidR="00144FF4" w:rsidRPr="003D1E07">
        <w:t xml:space="preserve">bude hrát </w:t>
      </w:r>
      <w:r w:rsidR="007E124C" w:rsidRPr="003D1E07">
        <w:t xml:space="preserve">zásadní </w:t>
      </w:r>
      <w:r w:rsidR="00144FF4" w:rsidRPr="003D1E07">
        <w:t xml:space="preserve">roli </w:t>
      </w:r>
      <w:r w:rsidR="007E124C" w:rsidRPr="003D1E07">
        <w:t>v dějinách Západu</w:t>
      </w:r>
      <w:r w:rsidR="08D64B2C" w:rsidRPr="003D1E07">
        <w:t>, protože určuje všechny následné formy gigantomachi</w:t>
      </w:r>
      <w:r w:rsidR="08C8692F" w:rsidRPr="003D1E07">
        <w:t>e</w:t>
      </w:r>
      <w:r w:rsidR="08D64B2C" w:rsidRPr="003D1E07">
        <w:t xml:space="preserve"> o substanci</w:t>
      </w:r>
      <w:r w:rsidR="08A42A81" w:rsidRPr="003D1E07">
        <w:rPr>
          <w:i/>
        </w:rPr>
        <w:fldChar w:fldCharType="begin"/>
      </w:r>
      <w:r w:rsidR="08A42A81" w:rsidRPr="003D1E07">
        <w:instrText xml:space="preserve"> XE "metafyzika:gigantomachie" </w:instrText>
      </w:r>
      <w:r w:rsidR="08A42A81" w:rsidRPr="003D1E07">
        <w:rPr>
          <w:i/>
        </w:rPr>
        <w:fldChar w:fldCharType="end"/>
      </w:r>
      <w:r w:rsidR="007E124C" w:rsidRPr="003D1E07">
        <w:t>.</w:t>
      </w:r>
      <w:r w:rsidR="00123403" w:rsidRPr="003D1E07">
        <w:t xml:space="preserve"> </w:t>
      </w:r>
      <w:r w:rsidR="080A2B46" w:rsidRPr="003D1E07">
        <w:t xml:space="preserve">Následovníci </w:t>
      </w:r>
      <w:r w:rsidR="00A91582" w:rsidRPr="003D1E07">
        <w:t>Porfy</w:t>
      </w:r>
      <w:r w:rsidR="080A2B46" w:rsidRPr="003D1E07">
        <w:t>ria</w:t>
      </w:r>
      <w:r w:rsidR="006D3721" w:rsidRPr="003D1E07">
        <w:fldChar w:fldCharType="begin"/>
      </w:r>
      <w:r w:rsidR="006D3721" w:rsidRPr="003D1E07">
        <w:instrText xml:space="preserve"> XE "</w:instrText>
      </w:r>
      <w:r w:rsidR="088B254C" w:rsidRPr="003D1E07">
        <w:instrText>Porfyrius</w:instrText>
      </w:r>
      <w:r w:rsidR="006D3721" w:rsidRPr="003D1E07">
        <w:instrText xml:space="preserve">" </w:instrText>
      </w:r>
      <w:r w:rsidR="006D3721" w:rsidRPr="003D1E07">
        <w:fldChar w:fldCharType="end"/>
      </w:r>
      <w:r w:rsidR="080A2B46" w:rsidRPr="003D1E07">
        <w:t xml:space="preserve"> zakládají </w:t>
      </w:r>
      <w:r w:rsidR="00285582" w:rsidRPr="003D1E07">
        <w:t xml:space="preserve">novou kategoriální predikaci </w:t>
      </w:r>
      <w:r w:rsidR="00285582" w:rsidRPr="003D1E07">
        <w:rPr>
          <w:i/>
        </w:rPr>
        <w:t>per prius</w:t>
      </w:r>
      <w:r w:rsidR="00285582" w:rsidRPr="003D1E07">
        <w:t xml:space="preserve"> a </w:t>
      </w:r>
      <w:r w:rsidR="00285582" w:rsidRPr="003D1E07">
        <w:rPr>
          <w:i/>
        </w:rPr>
        <w:t xml:space="preserve">per posterius, </w:t>
      </w:r>
      <w:r w:rsidR="00285582" w:rsidRPr="003D1E07">
        <w:t>která ustavuje nový význam substance</w:t>
      </w:r>
      <w:r w:rsidR="00F34F47" w:rsidRPr="003D1E07">
        <w:fldChar w:fldCharType="begin"/>
      </w:r>
      <w:r w:rsidR="00F34F47" w:rsidRPr="003D1E07">
        <w:instrText xml:space="preserve"> XE "predikace:</w:instrText>
      </w:r>
      <w:r w:rsidR="00F34F47" w:rsidRPr="003D1E07">
        <w:rPr>
          <w:i/>
        </w:rPr>
        <w:instrText>per prius</w:instrText>
      </w:r>
      <w:r w:rsidR="00F34F47" w:rsidRPr="003D1E07">
        <w:instrText xml:space="preserve">" </w:instrText>
      </w:r>
      <w:r w:rsidR="00F34F47" w:rsidRPr="003D1E07">
        <w:fldChar w:fldCharType="end"/>
      </w:r>
      <w:r w:rsidR="00285582" w:rsidRPr="003D1E07">
        <w:t>.</w:t>
      </w:r>
      <w:r w:rsidR="00C53BB2">
        <w:t xml:space="preserve"> </w:t>
      </w:r>
      <w:r w:rsidR="002F37A5" w:rsidRPr="003D1E07">
        <w:t xml:space="preserve">Spor o objektivitu si všímá zejména rozdílu mezi formálním a </w:t>
      </w:r>
      <w:r w:rsidR="00AF28C9" w:rsidRPr="003D1E07">
        <w:t xml:space="preserve">metafyzickým </w:t>
      </w:r>
      <w:r w:rsidR="002F37A5" w:rsidRPr="003D1E07">
        <w:t>určením adjektiva ἄτομος</w:t>
      </w:r>
      <w:r w:rsidR="00FC3467" w:rsidRPr="003D1E07">
        <w:t xml:space="preserve">, které </w:t>
      </w:r>
      <w:r w:rsidR="009A4D46">
        <w:t xml:space="preserve">vytváří </w:t>
      </w:r>
      <w:r w:rsidR="081C30BB" w:rsidRPr="003D1E07">
        <w:t xml:space="preserve">určení </w:t>
      </w:r>
      <w:r w:rsidR="009A4D46">
        <w:t xml:space="preserve">„nedělitelné“ </w:t>
      </w:r>
      <w:r w:rsidR="081C30BB" w:rsidRPr="003D1E07">
        <w:t>substance</w:t>
      </w:r>
      <w:r w:rsidR="00E6423D" w:rsidRPr="003D1E07">
        <w:t xml:space="preserve"> (ἄτομος οὐ</w:t>
      </w:r>
      <w:r w:rsidR="08183336" w:rsidRPr="003D1E07">
        <w:t>σία)</w:t>
      </w:r>
      <w:r w:rsidR="002F37A5" w:rsidRPr="003D1E07">
        <w:t xml:space="preserve">. </w:t>
      </w:r>
      <w:r w:rsidR="00BB45B1" w:rsidRPr="003D1E07">
        <w:t>Porfyri</w:t>
      </w:r>
      <w:r w:rsidR="002B14D7" w:rsidRPr="003D1E07">
        <w:t xml:space="preserve">us tvrdí, že atomární substance </w:t>
      </w:r>
      <w:r w:rsidR="088355D5" w:rsidRPr="003D1E07">
        <w:t xml:space="preserve">daná reálně </w:t>
      </w:r>
      <w:r w:rsidR="002B14D7" w:rsidRPr="003D1E07">
        <w:t>je ve své původní jednotě nedělitelná na části (oὐκ ἔστιν ἄτομος οὐσία</w:t>
      </w:r>
      <w:r w:rsidR="00372E82" w:rsidRPr="003D1E07">
        <w:fldChar w:fldCharType="begin"/>
      </w:r>
      <w:r w:rsidR="00372E82" w:rsidRPr="003D1E07">
        <w:instrText xml:space="preserve"> XE "substance:atomární" </w:instrText>
      </w:r>
      <w:r w:rsidR="00372E82" w:rsidRPr="003D1E07">
        <w:fldChar w:fldCharType="end"/>
      </w:r>
      <w:r w:rsidR="002B14D7" w:rsidRPr="003D1E07">
        <w:t xml:space="preserve"> ὁ εἷς τῶν κατὰ μέρος</w:t>
      </w:r>
      <w:r w:rsidR="08183336" w:rsidRPr="003D1E07">
        <w:t xml:space="preserve">, </w:t>
      </w:r>
      <w:r w:rsidR="08183336" w:rsidRPr="003D1E07">
        <w:rPr>
          <w:i/>
        </w:rPr>
        <w:t>Porph. in Cat.</w:t>
      </w:r>
      <w:r w:rsidR="08183336" w:rsidRPr="003D1E07">
        <w:t xml:space="preserve"> 90.31</w:t>
      </w:r>
      <w:r w:rsidR="08183336" w:rsidRPr="003D1E07">
        <w:fldChar w:fldCharType="begin"/>
      </w:r>
      <w:r w:rsidR="08183336" w:rsidRPr="003D1E07">
        <w:instrText xml:space="preserve"> XE "Porfyrius:</w:instrText>
      </w:r>
      <w:r w:rsidR="08183336" w:rsidRPr="003D1E07">
        <w:rPr>
          <w:i/>
        </w:rPr>
        <w:instrText>Porph. in Cat.</w:instrText>
      </w:r>
      <w:r w:rsidR="08183336" w:rsidRPr="003D1E07">
        <w:instrText xml:space="preserve"> 90.31" </w:instrText>
      </w:r>
      <w:r w:rsidR="08183336" w:rsidRPr="003D1E07">
        <w:fldChar w:fldCharType="end"/>
      </w:r>
      <w:r w:rsidR="08F648F6" w:rsidRPr="003D1E07">
        <w:t>). Č</w:t>
      </w:r>
      <w:r w:rsidR="001F4D97" w:rsidRPr="003D1E07">
        <w:t xml:space="preserve">lověk jako </w:t>
      </w:r>
      <w:r w:rsidR="088355D5" w:rsidRPr="003D1E07">
        <w:t xml:space="preserve">univerzální </w:t>
      </w:r>
      <w:r w:rsidR="001F4D97" w:rsidRPr="003D1E07">
        <w:t xml:space="preserve">celek </w:t>
      </w:r>
      <w:r w:rsidR="088355D5" w:rsidRPr="003D1E07">
        <w:t xml:space="preserve">významu </w:t>
      </w:r>
      <w:r w:rsidR="001F4D97" w:rsidRPr="003D1E07">
        <w:t xml:space="preserve">je </w:t>
      </w:r>
      <w:r w:rsidR="00A019E2" w:rsidRPr="003D1E07">
        <w:t>dán</w:t>
      </w:r>
      <w:r w:rsidR="002B14D7" w:rsidRPr="003D1E07">
        <w:t xml:space="preserve"> skrze ni (καθ' ἕκαστον ἄνθρωποι πάντες) a z takto daného </w:t>
      </w:r>
      <w:r w:rsidR="084E3CF4" w:rsidRPr="003D1E07">
        <w:t>hyparchického bytí a</w:t>
      </w:r>
      <w:r w:rsidR="007F701F" w:rsidRPr="003D1E07">
        <w:t xml:space="preserve">tomární </w:t>
      </w:r>
      <w:r w:rsidR="002B14D7" w:rsidRPr="003D1E07">
        <w:t xml:space="preserve">substance lze provést univerzální predikaci (ἐξ ὧν καὶ ὁ κοινῇ κατηγορούμενος ἄνθρωπος, </w:t>
      </w:r>
      <w:r w:rsidR="005068C4" w:rsidRPr="003D1E07">
        <w:rPr>
          <w:i/>
        </w:rPr>
        <w:t>Porph. in Cat.</w:t>
      </w:r>
      <w:r w:rsidR="005068C4" w:rsidRPr="003D1E07">
        <w:t xml:space="preserve"> </w:t>
      </w:r>
      <w:r w:rsidR="08621E9E" w:rsidRPr="003D1E07">
        <w:t>90.32</w:t>
      </w:r>
      <w:r w:rsidR="002B14D7" w:rsidRPr="003D1E07">
        <w:t>–33</w:t>
      </w:r>
      <w:r w:rsidR="00D43919" w:rsidRPr="003D1E07">
        <w:fldChar w:fldCharType="begin"/>
      </w:r>
      <w:r w:rsidR="00D43919" w:rsidRPr="003D1E07">
        <w:instrText xml:space="preserve"> XE "</w:instrText>
      </w:r>
      <w:r w:rsidR="08CE5A60" w:rsidRPr="003D1E07">
        <w:instrText>Porfyrius:</w:instrText>
      </w:r>
      <w:r w:rsidR="00D43919" w:rsidRPr="003D1E07">
        <w:rPr>
          <w:i/>
        </w:rPr>
        <w:instrText>Porph. in Cat.</w:instrText>
      </w:r>
      <w:r w:rsidR="08621E9E" w:rsidRPr="003D1E07">
        <w:instrText xml:space="preserve"> 90.32</w:instrText>
      </w:r>
      <w:r w:rsidR="00D43919" w:rsidRPr="003D1E07">
        <w:instrText xml:space="preserve">‒33" </w:instrText>
      </w:r>
      <w:r w:rsidR="00D43919" w:rsidRPr="003D1E07">
        <w:fldChar w:fldCharType="end"/>
      </w:r>
      <w:r w:rsidR="002B14D7" w:rsidRPr="003D1E07">
        <w:t xml:space="preserve">). </w:t>
      </w:r>
      <w:r w:rsidR="08D86071" w:rsidRPr="003D1E07">
        <w:t>Z podstaty předešlého výk</w:t>
      </w:r>
      <w:r w:rsidR="08FC6C95" w:rsidRPr="003D1E07">
        <w:t xml:space="preserve">ladu je jasné, že </w:t>
      </w:r>
      <w:r w:rsidR="088B254C" w:rsidRPr="003D1E07">
        <w:t>Porfyrius</w:t>
      </w:r>
      <w:r w:rsidR="08FC6C95" w:rsidRPr="003D1E07">
        <w:t xml:space="preserve"> bere pro základ predikace jen </w:t>
      </w:r>
      <w:r w:rsidR="08D86071" w:rsidRPr="003D1E07">
        <w:t xml:space="preserve">reálnou první substanci a druhou substanci </w:t>
      </w:r>
      <w:r w:rsidR="08615C92" w:rsidRPr="003D1E07">
        <w:t xml:space="preserve">predikuje </w:t>
      </w:r>
      <w:r w:rsidR="08C8692F" w:rsidRPr="003D1E07">
        <w:t xml:space="preserve">impozičně od </w:t>
      </w:r>
      <w:r w:rsidR="08615C92" w:rsidRPr="003D1E07">
        <w:t>první substance</w:t>
      </w:r>
      <w:r w:rsidR="08FC6C95" w:rsidRPr="003D1E07">
        <w:t xml:space="preserve">. </w:t>
      </w:r>
      <w:r w:rsidR="0850764B" w:rsidRPr="003D1E07">
        <w:t xml:space="preserve">Zrušením impozice </w:t>
      </w:r>
      <w:r w:rsidR="085B6408" w:rsidRPr="003D1E07">
        <w:t xml:space="preserve">přestala </w:t>
      </w:r>
      <w:r w:rsidR="08D86071" w:rsidRPr="003D1E07">
        <w:t>plati</w:t>
      </w:r>
      <w:r w:rsidR="085B6408" w:rsidRPr="003D1E07">
        <w:t>t</w:t>
      </w:r>
      <w:r w:rsidR="08D86071" w:rsidRPr="003D1E07">
        <w:t xml:space="preserve"> teorie pravdy jako aristotelské adekvace</w:t>
      </w:r>
      <w:r w:rsidR="008925FF">
        <w:t xml:space="preserve"> v rámci metafyziky</w:t>
      </w:r>
      <w:r w:rsidR="08D86071" w:rsidRPr="003D1E07">
        <w:t xml:space="preserve">. </w:t>
      </w:r>
      <w:r w:rsidR="0850764B" w:rsidRPr="003D1E07">
        <w:t xml:space="preserve">Pokud začne </w:t>
      </w:r>
      <w:r w:rsidR="085B6408" w:rsidRPr="003D1E07">
        <w:t>věda od supozičně daných významů daných například matematicky a logicky, tak nemá žádnou možnost univocity,</w:t>
      </w:r>
      <w:r w:rsidR="0850764B" w:rsidRPr="003D1E07">
        <w:t xml:space="preserve"> protože pracuje </w:t>
      </w:r>
      <w:r w:rsidR="00650864" w:rsidRPr="003D1E07">
        <w:t xml:space="preserve">nejprve </w:t>
      </w:r>
      <w:r w:rsidR="0850764B" w:rsidRPr="003D1E07">
        <w:t>s významy</w:t>
      </w:r>
      <w:r w:rsidR="085B6408" w:rsidRPr="003D1E07">
        <w:t xml:space="preserve"> danými v mysli. Pro aristoteliky bránící pravdu jako adekvaci </w:t>
      </w:r>
      <w:r w:rsidR="088F1C21" w:rsidRPr="003D1E07">
        <w:t xml:space="preserve">intelektuálního poznání </w:t>
      </w:r>
      <w:r w:rsidR="085B6408" w:rsidRPr="003D1E07">
        <w:t xml:space="preserve">k realitě nutně platí, že </w:t>
      </w:r>
      <w:r w:rsidR="08D86071" w:rsidRPr="003D1E07">
        <w:t>nedělitelné první substanci v reálu odpovídá nedělitelný význam druhé kategorie predikovaný univerzálně</w:t>
      </w:r>
      <w:r w:rsidR="00F95C22">
        <w:t xml:space="preserve"> v rámci impozice</w:t>
      </w:r>
      <w:r w:rsidR="08D86071" w:rsidRPr="003D1E07">
        <w:t>. A tuto druhou kategorii danou v tabulce</w:t>
      </w:r>
      <w:r w:rsidR="082C7BE6" w:rsidRPr="003D1E07">
        <w:t xml:space="preserve"> </w:t>
      </w:r>
      <w:r w:rsidR="08ED0257" w:rsidRPr="003D1E07">
        <w:rPr>
          <w:i/>
        </w:rPr>
        <w:t>Kategorií</w:t>
      </w:r>
      <w:r w:rsidR="08ED0257" w:rsidRPr="003D1E07">
        <w:t xml:space="preserve"> </w:t>
      </w:r>
      <w:r w:rsidR="082C7BE6" w:rsidRPr="003D1E07">
        <w:t xml:space="preserve">na prvním místě </w:t>
      </w:r>
      <w:r w:rsidR="08D86071" w:rsidRPr="003D1E07">
        <w:t>je třeba oddělit od supozičně d</w:t>
      </w:r>
      <w:r w:rsidR="08226EB5" w:rsidRPr="003D1E07">
        <w:t>aného individua. To je určen</w:t>
      </w:r>
      <w:r w:rsidR="08ED0257" w:rsidRPr="003D1E07">
        <w:t xml:space="preserve">o pouze </w:t>
      </w:r>
      <w:r w:rsidR="08D86071" w:rsidRPr="003D1E07">
        <w:rPr>
          <w:i/>
        </w:rPr>
        <w:t xml:space="preserve">via </w:t>
      </w:r>
      <w:r w:rsidR="08D86071" w:rsidRPr="003D1E07">
        <w:rPr>
          <w:i/>
        </w:rPr>
        <w:lastRenderedPageBreak/>
        <w:t>negativa</w:t>
      </w:r>
      <w:r w:rsidR="08D86071" w:rsidRPr="003D1E07">
        <w:t xml:space="preserve"> na konci řady </w:t>
      </w:r>
      <w:r w:rsidR="08ED0257" w:rsidRPr="003D1E07">
        <w:t>rodových a druhových diferencí daných</w:t>
      </w:r>
      <w:r w:rsidR="08D86071" w:rsidRPr="003D1E07">
        <w:t xml:space="preserve"> dělením univerzálií</w:t>
      </w:r>
      <w:r w:rsidR="08ED0257" w:rsidRPr="003D1E07">
        <w:t xml:space="preserve"> </w:t>
      </w:r>
      <w:r w:rsidR="08D86071" w:rsidRPr="003D1E07">
        <w:t xml:space="preserve">podle Porfyriova stromu. </w:t>
      </w:r>
      <w:r w:rsidR="00C80410">
        <w:t>R</w:t>
      </w:r>
      <w:r w:rsidR="08C21DE5" w:rsidRPr="003D1E07">
        <w:t xml:space="preserve">ozdíly </w:t>
      </w:r>
      <w:r w:rsidR="00C80410">
        <w:t xml:space="preserve">mezi impozicí a supozicí </w:t>
      </w:r>
      <w:r w:rsidR="08C21DE5" w:rsidRPr="003D1E07">
        <w:t xml:space="preserve">mají klíčový metafyzický význam, pro </w:t>
      </w:r>
      <w:r w:rsidR="00C53BB2">
        <w:t>modernu bohužel zcela okrajový.</w:t>
      </w:r>
    </w:p>
    <w:p w14:paraId="67D0B2A1" w14:textId="7C778971" w:rsidR="00202920" w:rsidRPr="003D1E07" w:rsidRDefault="083A654D" w:rsidP="00C53BB2">
      <w:pPr>
        <w:ind w:firstLine="397"/>
      </w:pPr>
      <w:r w:rsidRPr="003D1E07">
        <w:t>Po vytěs</w:t>
      </w:r>
      <w:r w:rsidR="002F6795">
        <w:t xml:space="preserve">nění hyparchické predikace nebylo </w:t>
      </w:r>
      <w:r w:rsidRPr="003D1E07">
        <w:t>neoplatonikům jasné</w:t>
      </w:r>
      <w:r w:rsidR="082E2B3A" w:rsidRPr="003D1E07">
        <w:t xml:space="preserve">, jak </w:t>
      </w:r>
      <w:r w:rsidRPr="003D1E07">
        <w:t xml:space="preserve">mají </w:t>
      </w:r>
      <w:r w:rsidR="082E2B3A" w:rsidRPr="003D1E07">
        <w:t>c</w:t>
      </w:r>
      <w:r w:rsidR="00A91582" w:rsidRPr="003D1E07">
        <w:t>hápat Porfy</w:t>
      </w:r>
      <w:r w:rsidR="085C5A7D" w:rsidRPr="003D1E07">
        <w:t>riovu atomární substanci</w:t>
      </w:r>
      <w:r w:rsidR="00B145F2" w:rsidRPr="003D1E07">
        <w:t xml:space="preserve"> </w:t>
      </w:r>
      <w:r w:rsidR="081122B4" w:rsidRPr="003D1E07">
        <w:t xml:space="preserve">definovanou a přesně rozlišenou </w:t>
      </w:r>
      <w:r w:rsidR="00B145F2" w:rsidRPr="003D1E07">
        <w:fldChar w:fldCharType="begin"/>
      </w:r>
      <w:r w:rsidR="00B145F2" w:rsidRPr="003D1E07">
        <w:instrText xml:space="preserve"> XE "substance:atomární" </w:instrText>
      </w:r>
      <w:r w:rsidR="00B145F2" w:rsidRPr="003D1E07">
        <w:fldChar w:fldCharType="end"/>
      </w:r>
      <w:r w:rsidR="082E2B3A" w:rsidRPr="003D1E07">
        <w:t>v jeho</w:t>
      </w:r>
      <w:r w:rsidR="001B6BAC" w:rsidRPr="003D1E07">
        <w:t xml:space="preserve"> výkladu </w:t>
      </w:r>
      <w:r w:rsidR="001B6BAC" w:rsidRPr="003D1E07">
        <w:rPr>
          <w:i/>
        </w:rPr>
        <w:t>Kategorií</w:t>
      </w:r>
      <w:r w:rsidR="082E2B3A" w:rsidRPr="003D1E07">
        <w:t>.</w:t>
      </w:r>
      <w:r w:rsidR="001B6BAC" w:rsidRPr="003D1E07">
        <w:t xml:space="preserve"> Je nedělitelnost vztažena k první nebo ke druhé substanci, nebo k oběma najednou? </w:t>
      </w:r>
      <w:r w:rsidR="08A16415" w:rsidRPr="003D1E07">
        <w:t>Jakou roli hraje individuu</w:t>
      </w:r>
      <w:r w:rsidR="08A723AC" w:rsidRPr="003D1E07">
        <w:t>m</w:t>
      </w:r>
      <w:r w:rsidR="08A16415" w:rsidRPr="003D1E07">
        <w:t xml:space="preserve"> vůči první a druhé substanci? </w:t>
      </w:r>
      <w:r w:rsidR="001B6BAC" w:rsidRPr="003D1E07">
        <w:t>Co lze dělit a co nelze dělit? Podívejme se podrobněji na základní křižovatku aristotelismu určující všechny následné gigantomachie o substanci</w:t>
      </w:r>
      <w:r w:rsidR="00B145F2" w:rsidRPr="003D1E07">
        <w:fldChar w:fldCharType="begin"/>
      </w:r>
      <w:r w:rsidR="00B145F2" w:rsidRPr="003D1E07">
        <w:instrText xml:space="preserve"> XE "substance:gigantomachie" </w:instrText>
      </w:r>
      <w:r w:rsidR="00B145F2" w:rsidRPr="003D1E07">
        <w:fldChar w:fldCharType="end"/>
      </w:r>
      <w:r w:rsidR="001B6BAC" w:rsidRPr="003D1E07">
        <w:t xml:space="preserve">. </w:t>
      </w:r>
      <w:r w:rsidR="00337CF7" w:rsidRPr="003D1E07">
        <w:t>Citovaná místa</w:t>
      </w:r>
      <w:r w:rsidR="00A91582" w:rsidRPr="003D1E07">
        <w:t xml:space="preserve"> Porfy</w:t>
      </w:r>
      <w:r w:rsidR="08DB319A" w:rsidRPr="003D1E07">
        <w:t xml:space="preserve">riova výkladu </w:t>
      </w:r>
      <w:r w:rsidR="08DB319A" w:rsidRPr="003D1E07">
        <w:rPr>
          <w:i/>
        </w:rPr>
        <w:t>Kategorií</w:t>
      </w:r>
      <w:r w:rsidR="08DB319A" w:rsidRPr="003D1E07">
        <w:t xml:space="preserve"> </w:t>
      </w:r>
      <w:r w:rsidR="00337CF7" w:rsidRPr="003D1E07">
        <w:t>(</w:t>
      </w:r>
      <w:r w:rsidR="005068C4" w:rsidRPr="003D1E07">
        <w:rPr>
          <w:i/>
        </w:rPr>
        <w:t>Porph. in Cat.</w:t>
      </w:r>
      <w:r w:rsidR="005068C4" w:rsidRPr="003D1E07">
        <w:t xml:space="preserve"> </w:t>
      </w:r>
      <w:r w:rsidR="00337CF7" w:rsidRPr="003D1E07">
        <w:t>90.31–33</w:t>
      </w:r>
      <w:r w:rsidR="08253C50" w:rsidRPr="003D1E07">
        <w:rPr>
          <w:szCs w:val="24"/>
        </w:rPr>
        <w:fldChar w:fldCharType="begin"/>
      </w:r>
      <w:r w:rsidR="089D2E02" w:rsidRPr="003D1E07">
        <w:rPr>
          <w:szCs w:val="24"/>
        </w:rPr>
        <w:instrText xml:space="preserve"> XE "Porf</w:instrText>
      </w:r>
      <w:r w:rsidR="08253C50" w:rsidRPr="003D1E07">
        <w:rPr>
          <w:szCs w:val="24"/>
        </w:rPr>
        <w:instrText>yrius:</w:instrText>
      </w:r>
      <w:r w:rsidR="08253C50" w:rsidRPr="003D1E07">
        <w:rPr>
          <w:i/>
          <w:szCs w:val="24"/>
        </w:rPr>
        <w:instrText>Porph. in Cat.</w:instrText>
      </w:r>
      <w:r w:rsidR="08253C50" w:rsidRPr="003D1E07">
        <w:rPr>
          <w:szCs w:val="24"/>
        </w:rPr>
        <w:instrText xml:space="preserve"> 90.31–33" </w:instrText>
      </w:r>
      <w:r w:rsidR="08253C50" w:rsidRPr="003D1E07">
        <w:rPr>
          <w:szCs w:val="24"/>
        </w:rPr>
        <w:fldChar w:fldCharType="end"/>
      </w:r>
      <w:r w:rsidR="00337CF7" w:rsidRPr="003D1E07">
        <w:t xml:space="preserve">) a </w:t>
      </w:r>
      <w:r w:rsidR="00337CF7" w:rsidRPr="003D1E07">
        <w:rPr>
          <w:i/>
        </w:rPr>
        <w:t>Isago</w:t>
      </w:r>
      <w:r w:rsidR="00BD5641" w:rsidRPr="003D1E07">
        <w:rPr>
          <w:i/>
        </w:rPr>
        <w:t>g</w:t>
      </w:r>
      <w:r w:rsidR="00A91582" w:rsidRPr="003D1E07">
        <w:rPr>
          <w:i/>
        </w:rPr>
        <w:t>e</w:t>
      </w:r>
      <w:r w:rsidR="00337CF7" w:rsidRPr="003D1E07">
        <w:t xml:space="preserve"> </w:t>
      </w:r>
      <w:r w:rsidR="08215619" w:rsidRPr="003D1E07">
        <w:t>(</w:t>
      </w:r>
      <w:r w:rsidR="08215619" w:rsidRPr="003D1E07">
        <w:rPr>
          <w:i/>
        </w:rPr>
        <w:t>Isag</w:t>
      </w:r>
      <w:r w:rsidR="08215619" w:rsidRPr="003D1E07">
        <w:t>. 7.27‒8.3</w:t>
      </w:r>
      <w:r w:rsidR="08215619" w:rsidRPr="003D1E07">
        <w:fldChar w:fldCharType="begin"/>
      </w:r>
      <w:r w:rsidR="08215619" w:rsidRPr="003D1E07">
        <w:instrText xml:space="preserve"> XE "Porfyrius:</w:instrText>
      </w:r>
      <w:r w:rsidR="08215619" w:rsidRPr="003D1E07">
        <w:rPr>
          <w:i/>
        </w:rPr>
        <w:instrText>Isag</w:instrText>
      </w:r>
      <w:r w:rsidR="08215619" w:rsidRPr="003D1E07">
        <w:instrText xml:space="preserve">. 7.27‒8.3" </w:instrText>
      </w:r>
      <w:r w:rsidR="08215619" w:rsidRPr="003D1E07">
        <w:fldChar w:fldCharType="end"/>
      </w:r>
      <w:r w:rsidR="08215619" w:rsidRPr="003D1E07">
        <w:t>), popřípadě Boethiův latinský překlad (</w:t>
      </w:r>
      <w:r w:rsidR="08767F02" w:rsidRPr="003D1E07">
        <w:rPr>
          <w:i/>
        </w:rPr>
        <w:t xml:space="preserve">In Porph. </w:t>
      </w:r>
      <w:r w:rsidR="00337CF7" w:rsidRPr="003D1E07">
        <w:rPr>
          <w:i/>
        </w:rPr>
        <w:t>Isag</w:t>
      </w:r>
      <w:r w:rsidR="00337CF7" w:rsidRPr="003D1E07">
        <w:t>. 2.16</w:t>
      </w:r>
      <w:r w:rsidR="08767F02" w:rsidRPr="003D1E07">
        <w:rPr>
          <w:rStyle w:val="TextpoznpodarouChar"/>
        </w:rPr>
        <w:fldChar w:fldCharType="begin"/>
      </w:r>
      <w:r w:rsidR="08767F02" w:rsidRPr="003D1E07">
        <w:instrText xml:space="preserve"> XE "Boethius:</w:instrText>
      </w:r>
      <w:r w:rsidR="08767F02" w:rsidRPr="003D1E07">
        <w:rPr>
          <w:i/>
        </w:rPr>
        <w:instrText>In Porph. Isag</w:instrText>
      </w:r>
      <w:r w:rsidR="08767F02" w:rsidRPr="003D1E07">
        <w:instrText>.</w:instrText>
      </w:r>
      <w:r w:rsidR="08767F02" w:rsidRPr="003D1E07">
        <w:rPr>
          <w:rStyle w:val="TextpoznpodarouChar"/>
        </w:rPr>
        <w:instrText xml:space="preserve"> 2.16</w:instrText>
      </w:r>
      <w:r w:rsidR="08767F02" w:rsidRPr="003D1E07">
        <w:instrText xml:space="preserve">" </w:instrText>
      </w:r>
      <w:r w:rsidR="08767F02" w:rsidRPr="003D1E07">
        <w:rPr>
          <w:rStyle w:val="TextpoznpodarouChar"/>
        </w:rPr>
        <w:fldChar w:fldCharType="end"/>
      </w:r>
      <w:r w:rsidR="00337CF7" w:rsidRPr="003D1E07">
        <w:t xml:space="preserve">) </w:t>
      </w:r>
      <w:r w:rsidR="08DB319A" w:rsidRPr="003D1E07">
        <w:t>v t</w:t>
      </w:r>
      <w:r w:rsidR="08BA1F10" w:rsidRPr="003D1E07">
        <w:t xml:space="preserve">éto klíčové věci </w:t>
      </w:r>
      <w:r w:rsidR="003C1EFC" w:rsidRPr="003D1E07">
        <w:t>mluví jasně</w:t>
      </w:r>
      <w:r w:rsidR="08804C1F" w:rsidRPr="003D1E07">
        <w:t xml:space="preserve">. Jenže </w:t>
      </w:r>
      <w:r w:rsidR="08BA1F10" w:rsidRPr="003D1E07">
        <w:t xml:space="preserve">následný </w:t>
      </w:r>
      <w:r w:rsidR="08804C1F" w:rsidRPr="003D1E07">
        <w:t>mytopoetický</w:t>
      </w:r>
      <w:r w:rsidR="08E343DA" w:rsidRPr="003D1E07">
        <w:fldChar w:fldCharType="begin"/>
      </w:r>
      <w:r w:rsidR="08E343DA" w:rsidRPr="003D1E07">
        <w:instrText xml:space="preserve"> XE "</w:instrText>
      </w:r>
      <w:r w:rsidR="085C1D0C" w:rsidRPr="003D1E07">
        <w:instrText>mytopoiesis</w:instrText>
      </w:r>
      <w:r w:rsidR="08E343DA" w:rsidRPr="003D1E07">
        <w:instrText xml:space="preserve">" </w:instrText>
      </w:r>
      <w:r w:rsidR="08E343DA" w:rsidRPr="003D1E07">
        <w:fldChar w:fldCharType="end"/>
      </w:r>
      <w:r w:rsidR="08804C1F" w:rsidRPr="003D1E07">
        <w:t xml:space="preserve"> výklad </w:t>
      </w:r>
      <w:r w:rsidR="088A18E5" w:rsidRPr="003D1E07">
        <w:rPr>
          <w:i/>
        </w:rPr>
        <w:t>Modernorum</w:t>
      </w:r>
      <w:r w:rsidR="088A18E5" w:rsidRPr="003D1E07">
        <w:t xml:space="preserve"> </w:t>
      </w:r>
      <w:r w:rsidR="08BA1F10" w:rsidRPr="003D1E07">
        <w:t xml:space="preserve">se stal </w:t>
      </w:r>
      <w:r w:rsidR="0866373D" w:rsidRPr="003D1E07">
        <w:t>akademicky-</w:t>
      </w:r>
      <w:r w:rsidR="08804C1F" w:rsidRPr="003D1E07">
        <w:t xml:space="preserve">pythicky </w:t>
      </w:r>
      <w:r w:rsidR="08BA1F10" w:rsidRPr="003D1E07">
        <w:t>nejasným</w:t>
      </w:r>
      <w:r w:rsidR="08DB319A" w:rsidRPr="003D1E07">
        <w:t xml:space="preserve">. </w:t>
      </w:r>
      <w:r w:rsidR="0839602C" w:rsidRPr="003D1E07">
        <w:t>B</w:t>
      </w:r>
      <w:r w:rsidR="08B62255" w:rsidRPr="003D1E07">
        <w:t xml:space="preserve">ohyně </w:t>
      </w:r>
      <w:r w:rsidR="0803446A" w:rsidRPr="003D1E07">
        <w:t>pomsty</w:t>
      </w:r>
      <w:r w:rsidR="08B62255" w:rsidRPr="003D1E07">
        <w:t xml:space="preserve"> jsou chtónické božské síly </w:t>
      </w:r>
      <w:r w:rsidR="08582EA3" w:rsidRPr="003D1E07">
        <w:t xml:space="preserve">chaosu </w:t>
      </w:r>
      <w:r w:rsidR="08B62255" w:rsidRPr="003D1E07">
        <w:t xml:space="preserve">a naučily se bez problémů moderní </w:t>
      </w:r>
      <w:r w:rsidR="08582EA3" w:rsidRPr="003D1E07">
        <w:t xml:space="preserve">chaotický </w:t>
      </w:r>
      <w:r w:rsidR="08E4299E" w:rsidRPr="003D1E07">
        <w:t xml:space="preserve">výklad </w:t>
      </w:r>
      <w:r w:rsidR="08E4299E" w:rsidRPr="003D1E07">
        <w:rPr>
          <w:i/>
        </w:rPr>
        <w:t>Kategorií</w:t>
      </w:r>
      <w:r w:rsidR="0839602C" w:rsidRPr="003D1E07">
        <w:t>, protože to je dokonale jednoduchý a dějinně účinný nást</w:t>
      </w:r>
      <w:r w:rsidR="08494725" w:rsidRPr="003D1E07">
        <w:t>r</w:t>
      </w:r>
      <w:r w:rsidR="0839602C" w:rsidRPr="003D1E07">
        <w:t>oj pomsty</w:t>
      </w:r>
      <w:r w:rsidR="08494725" w:rsidRPr="003D1E07">
        <w:t xml:space="preserve"> nad moderními smrtelníky</w:t>
      </w:r>
      <w:r w:rsidR="0803446A" w:rsidRPr="003D1E07">
        <w:t xml:space="preserve">. </w:t>
      </w:r>
      <w:r w:rsidR="08E4299E" w:rsidRPr="003D1E07">
        <w:t xml:space="preserve">Spis </w:t>
      </w:r>
      <w:r w:rsidR="08E4299E" w:rsidRPr="003D1E07">
        <w:rPr>
          <w:i/>
        </w:rPr>
        <w:t>Kategorie</w:t>
      </w:r>
      <w:r w:rsidR="08E4299E" w:rsidRPr="003D1E07">
        <w:t xml:space="preserve"> se stal </w:t>
      </w:r>
      <w:r w:rsidR="08665CCD" w:rsidRPr="003D1E07">
        <w:t>epochální událostí (</w:t>
      </w:r>
      <w:r w:rsidR="08665CCD" w:rsidRPr="003D1E07">
        <w:rPr>
          <w:i/>
        </w:rPr>
        <w:t>Ereignis</w:t>
      </w:r>
      <w:r w:rsidR="08665CCD" w:rsidRPr="003D1E07">
        <w:t xml:space="preserve">) </w:t>
      </w:r>
      <w:r w:rsidR="08294DB8" w:rsidRPr="003D1E07">
        <w:t xml:space="preserve">tragického </w:t>
      </w:r>
      <w:r w:rsidR="08E4299E" w:rsidRPr="003D1E07">
        <w:t xml:space="preserve">soudu nad </w:t>
      </w:r>
      <w:r w:rsidR="082B6C5A" w:rsidRPr="003D1E07">
        <w:t xml:space="preserve">paranoickou </w:t>
      </w:r>
      <w:r w:rsidR="08E4299E" w:rsidRPr="003D1E07">
        <w:t>modernou</w:t>
      </w:r>
      <w:r w:rsidR="08665CCD" w:rsidRPr="003D1E07">
        <w:t xml:space="preserve">, </w:t>
      </w:r>
      <w:r w:rsidR="08E4299E" w:rsidRPr="003D1E07">
        <w:t xml:space="preserve">což </w:t>
      </w:r>
      <w:r w:rsidR="08665CCD" w:rsidRPr="003D1E07">
        <w:t xml:space="preserve">v </w:t>
      </w:r>
      <w:r w:rsidR="08294DB8" w:rsidRPr="003D1E07">
        <w:t xml:space="preserve">múzickém </w:t>
      </w:r>
      <w:r w:rsidR="08665CCD" w:rsidRPr="003D1E07">
        <w:t xml:space="preserve">modu </w:t>
      </w:r>
      <w:r w:rsidR="08665CCD" w:rsidRPr="003D1E07">
        <w:rPr>
          <w:i/>
        </w:rPr>
        <w:t>a</w:t>
      </w:r>
      <w:r w:rsidR="08294DB8" w:rsidRPr="003D1E07">
        <w:rPr>
          <w:i/>
        </w:rPr>
        <w:t>/</w:t>
      </w:r>
      <w:r w:rsidR="08665CCD" w:rsidRPr="003D1E07">
        <w:rPr>
          <w:i/>
        </w:rPr>
        <w:t>létheia</w:t>
      </w:r>
      <w:r w:rsidR="08665CCD" w:rsidRPr="003D1E07">
        <w:t xml:space="preserve"> naplnilo </w:t>
      </w:r>
      <w:r w:rsidR="08E4299E" w:rsidRPr="003D1E07">
        <w:t xml:space="preserve">původní </w:t>
      </w:r>
      <w:r w:rsidR="086950DF" w:rsidRPr="003D1E07">
        <w:t xml:space="preserve">archaický </w:t>
      </w:r>
      <w:r w:rsidR="08E4299E" w:rsidRPr="003D1E07">
        <w:t>význam</w:t>
      </w:r>
      <w:r w:rsidR="08665CCD" w:rsidRPr="003D1E07">
        <w:t xml:space="preserve"> slova</w:t>
      </w:r>
      <w:r w:rsidR="08D61601" w:rsidRPr="003D1E07">
        <w:t xml:space="preserve"> κατηγορία</w:t>
      </w:r>
      <w:r w:rsidR="08E4299E" w:rsidRPr="003D1E07">
        <w:t xml:space="preserve">. </w:t>
      </w:r>
      <w:r w:rsidR="00E6454B" w:rsidRPr="003D1E07">
        <w:t xml:space="preserve">Pod vlivem subjektivního </w:t>
      </w:r>
      <w:r w:rsidR="00E6454B" w:rsidRPr="003D1E07">
        <w:rPr>
          <w:i/>
        </w:rPr>
        <w:t>furor logicus</w:t>
      </w:r>
      <w:r w:rsidR="00E6454B" w:rsidRPr="003D1E07">
        <w:t xml:space="preserve"> se modernita stala kategoricky šílenou. Jelikož je však objektivně příčetná, nic o tom neví, </w:t>
      </w:r>
      <w:r w:rsidR="08C546C8" w:rsidRPr="003D1E07">
        <w:t xml:space="preserve">což je její </w:t>
      </w:r>
      <w:r w:rsidR="085D4B58" w:rsidRPr="003D1E07">
        <w:t xml:space="preserve">skutečná a tedy </w:t>
      </w:r>
      <w:r w:rsidR="08331B18" w:rsidRPr="003D1E07">
        <w:t xml:space="preserve">dějinná </w:t>
      </w:r>
      <w:r w:rsidR="008C02D0" w:rsidRPr="003D1E07">
        <w:t>tragikomedie</w:t>
      </w:r>
      <w:r w:rsidR="08C546C8" w:rsidRPr="003D1E07">
        <w:t xml:space="preserve">. </w:t>
      </w:r>
      <w:r w:rsidR="00FC3467" w:rsidRPr="003D1E07">
        <w:t xml:space="preserve">Hermeneutika vidí tyto tři základní nejasnosti v citovaném výkladu </w:t>
      </w:r>
      <w:r w:rsidR="00D35D93" w:rsidRPr="003D1E07">
        <w:t xml:space="preserve">nedělitelné </w:t>
      </w:r>
      <w:r w:rsidR="00FC3467" w:rsidRPr="003D1E07">
        <w:t>substance, které budou hrát klíčovou roli v pozdějších určeních jsoucna</w:t>
      </w:r>
      <w:r w:rsidR="00D35D93" w:rsidRPr="003D1E07">
        <w:t xml:space="preserve"> a ve sporu o un</w:t>
      </w:r>
      <w:r w:rsidR="00FC3467" w:rsidRPr="003D1E07">
        <w:t>i</w:t>
      </w:r>
      <w:r w:rsidR="00D35D93" w:rsidRPr="003D1E07">
        <w:t>v</w:t>
      </w:r>
      <w:r w:rsidR="08887918" w:rsidRPr="003D1E07">
        <w:t>erzália</w:t>
      </w:r>
      <w:r w:rsidR="00FC3467" w:rsidRPr="003D1E07">
        <w:t xml:space="preserve">. </w:t>
      </w:r>
      <w:r w:rsidR="00D35D93" w:rsidRPr="003D1E07">
        <w:t>Statut atomární substance může být trojí</w:t>
      </w:r>
      <w:r w:rsidR="009B4436" w:rsidRPr="003D1E07">
        <w:fldChar w:fldCharType="begin"/>
      </w:r>
      <w:r w:rsidR="009B4436" w:rsidRPr="003D1E07">
        <w:instrText xml:space="preserve"> XE "substance:</w:instrText>
      </w:r>
      <w:r w:rsidR="00AF0359" w:rsidRPr="003D1E07">
        <w:instrText>atomární</w:instrText>
      </w:r>
      <w:r w:rsidR="009B03CB" w:rsidRPr="003D1E07">
        <w:instrText>"</w:instrText>
      </w:r>
      <w:r w:rsidR="00AF0359" w:rsidRPr="003D1E07">
        <w:instrText xml:space="preserve"> </w:instrText>
      </w:r>
      <w:r w:rsidR="009B4436" w:rsidRPr="003D1E07">
        <w:fldChar w:fldCharType="end"/>
      </w:r>
      <w:r w:rsidR="00D35D93" w:rsidRPr="003D1E07">
        <w:t>.</w:t>
      </w:r>
    </w:p>
    <w:p w14:paraId="29A590EF" w14:textId="7A9FC81C" w:rsidR="00DC2E51" w:rsidRPr="003D1E07" w:rsidRDefault="00202920" w:rsidP="00DC2E51">
      <w:pPr>
        <w:numPr>
          <w:ilvl w:val="0"/>
          <w:numId w:val="11"/>
        </w:numPr>
      </w:pPr>
      <w:r w:rsidRPr="003D1E07">
        <w:t>A</w:t>
      </w:r>
      <w:r w:rsidR="00373DD2" w:rsidRPr="003D1E07">
        <w:t xml:space="preserve">tomární substance chápána </w:t>
      </w:r>
      <w:r w:rsidRPr="003D1E07">
        <w:t xml:space="preserve">nejprve </w:t>
      </w:r>
      <w:r w:rsidR="00562640" w:rsidRPr="003D1E07">
        <w:t xml:space="preserve">jako </w:t>
      </w:r>
      <w:r w:rsidR="00373DD2" w:rsidRPr="003D1E07">
        <w:t>první substance</w:t>
      </w:r>
      <w:r w:rsidR="00562640" w:rsidRPr="003D1E07">
        <w:t xml:space="preserve"> (οὐσία δέ ἐστιν ἡ κυριώτατά καὶ πρώτως, </w:t>
      </w:r>
      <w:r w:rsidR="00562640" w:rsidRPr="003D1E07">
        <w:rPr>
          <w:i/>
        </w:rPr>
        <w:t>Cat</w:t>
      </w:r>
      <w:r w:rsidR="00562640" w:rsidRPr="003D1E07">
        <w:t>. 2a11</w:t>
      </w:r>
      <w:r w:rsidR="00D43919" w:rsidRPr="003D1E07">
        <w:fldChar w:fldCharType="begin"/>
      </w:r>
      <w:r w:rsidR="00D43919" w:rsidRPr="003D1E07">
        <w:instrText xml:space="preserve"> XE "</w:instrText>
      </w:r>
      <w:r w:rsidR="008E02F5" w:rsidRPr="003D1E07">
        <w:instrText>Aristoteles</w:instrText>
      </w:r>
      <w:r w:rsidR="00D43919" w:rsidRPr="003D1E07">
        <w:instrText>:</w:instrText>
      </w:r>
      <w:r w:rsidR="00D43919" w:rsidRPr="003D1E07">
        <w:rPr>
          <w:i/>
        </w:rPr>
        <w:instrText>Cat.</w:instrText>
      </w:r>
      <w:r w:rsidR="00D43919" w:rsidRPr="003D1E07">
        <w:instrText xml:space="preserve"> 2a11" </w:instrText>
      </w:r>
      <w:r w:rsidR="00D43919" w:rsidRPr="003D1E07">
        <w:fldChar w:fldCharType="end"/>
      </w:r>
      <w:r w:rsidR="00562640" w:rsidRPr="003D1E07">
        <w:t>)</w:t>
      </w:r>
      <w:r w:rsidR="080A758F" w:rsidRPr="003D1E07">
        <w:t>. První substance je p</w:t>
      </w:r>
      <w:r w:rsidR="00373DD2" w:rsidRPr="003D1E07">
        <w:t>roto oddělena od kateg</w:t>
      </w:r>
      <w:r w:rsidR="08357999" w:rsidRPr="003D1E07">
        <w:t xml:space="preserve">oriální predikace vztažené </w:t>
      </w:r>
      <w:r w:rsidR="08186F59" w:rsidRPr="003D1E07">
        <w:t>k univerzálně pojaté</w:t>
      </w:r>
      <w:r w:rsidR="00373DD2" w:rsidRPr="003D1E07">
        <w:t xml:space="preserve"> druhé substanci</w:t>
      </w:r>
      <w:r w:rsidR="00B12008" w:rsidRPr="003D1E07">
        <w:t>.</w:t>
      </w:r>
      <w:r w:rsidR="00480CFE" w:rsidRPr="003D1E07">
        <w:t xml:space="preserve"> Ta</w:t>
      </w:r>
      <w:r w:rsidR="00A91582" w:rsidRPr="003D1E07">
        <w:t xml:space="preserve">kto je </w:t>
      </w:r>
      <w:r w:rsidR="00D96864">
        <w:t xml:space="preserve">dán </w:t>
      </w:r>
      <w:r w:rsidR="00A91582" w:rsidRPr="003D1E07">
        <w:t>Porfy</w:t>
      </w:r>
      <w:r w:rsidR="00480CFE" w:rsidRPr="003D1E07">
        <w:t xml:space="preserve">riův výklad spisu </w:t>
      </w:r>
      <w:r w:rsidR="00480CFE" w:rsidRPr="003D1E07">
        <w:rPr>
          <w:i/>
        </w:rPr>
        <w:t>Kategorie</w:t>
      </w:r>
      <w:r w:rsidR="00480CFE" w:rsidRPr="003D1E07">
        <w:t xml:space="preserve"> v</w:t>
      </w:r>
      <w:r w:rsidR="00FB7813" w:rsidRPr="003D1E07">
        <w:t xml:space="preserve"> rámci klasického aristotelismu</w:t>
      </w:r>
      <w:r w:rsidR="00EC43D6" w:rsidRPr="003D1E07">
        <w:t xml:space="preserve">. Hyparchická impozice </w:t>
      </w:r>
      <w:r w:rsidR="005E5894">
        <w:t xml:space="preserve">univočního metafyzického </w:t>
      </w:r>
      <w:r w:rsidR="00EC43D6" w:rsidRPr="003D1E07">
        <w:t xml:space="preserve">významu vychází z reálné první substance, proto je tato univoční kategoriální predikace dána </w:t>
      </w:r>
      <w:r w:rsidR="00EC43D6" w:rsidRPr="003D1E07">
        <w:rPr>
          <w:i/>
        </w:rPr>
        <w:t>per prius</w:t>
      </w:r>
      <w:r w:rsidR="00F90867">
        <w:t xml:space="preserve"> právě tímto způsopbem.</w:t>
      </w:r>
      <w:r w:rsidR="00EC43D6" w:rsidRPr="003D1E07">
        <w:t xml:space="preserve"> Univerzální supozice </w:t>
      </w:r>
      <w:r w:rsidRPr="003D1E07">
        <w:t xml:space="preserve">vzniká </w:t>
      </w:r>
      <w:r w:rsidR="00EC43D6" w:rsidRPr="003D1E07">
        <w:t xml:space="preserve">pouze v mysli a může být v metafyzice vzata v modu </w:t>
      </w:r>
      <w:r w:rsidR="00EC43D6" w:rsidRPr="003D1E07">
        <w:rPr>
          <w:i/>
        </w:rPr>
        <w:t>per prius</w:t>
      </w:r>
      <w:r w:rsidR="00EC43D6" w:rsidRPr="003D1E07">
        <w:t xml:space="preserve"> až poté, co byla </w:t>
      </w:r>
      <w:r w:rsidRPr="003D1E07">
        <w:t>určena katego</w:t>
      </w:r>
      <w:r w:rsidR="00EC43D6" w:rsidRPr="003D1E07">
        <w:t xml:space="preserve">riální impozice. </w:t>
      </w:r>
      <w:r w:rsidR="00BF1BCC">
        <w:t>Pokud tato impozice chybí, tak se n</w:t>
      </w:r>
      <w:r w:rsidR="00EC43D6" w:rsidRPr="003D1E07">
        <w:t xml:space="preserve">ejedná o </w:t>
      </w:r>
      <w:r w:rsidR="00BF1BCC">
        <w:t>univoční predikaci</w:t>
      </w:r>
      <w:r w:rsidR="00EC43D6" w:rsidRPr="003D1E07">
        <w:t>, ale o homonymii na úrovni logiky.</w:t>
      </w:r>
    </w:p>
    <w:p w14:paraId="1BF77F14" w14:textId="4E01DC60" w:rsidR="00FC3467" w:rsidRPr="003D1E07" w:rsidRDefault="00DC2E51" w:rsidP="00E44784">
      <w:pPr>
        <w:numPr>
          <w:ilvl w:val="0"/>
          <w:numId w:val="11"/>
        </w:numPr>
      </w:pPr>
      <w:r w:rsidRPr="003D1E07">
        <w:t>S</w:t>
      </w:r>
      <w:r w:rsidR="009D3DDB" w:rsidRPr="003D1E07">
        <w:t xml:space="preserve">ubstance </w:t>
      </w:r>
      <w:r w:rsidRPr="003D1E07">
        <w:t xml:space="preserve">se </w:t>
      </w:r>
      <w:r w:rsidR="00C07EB3" w:rsidRPr="003D1E07">
        <w:t>ber</w:t>
      </w:r>
      <w:r w:rsidR="007C3F74" w:rsidRPr="003D1E07">
        <w:t>e nerozlišeně v obou významech</w:t>
      </w:r>
      <w:r w:rsidR="007F71DF" w:rsidRPr="003D1E07">
        <w:t xml:space="preserve"> první a druhé substance</w:t>
      </w:r>
      <w:r w:rsidR="007C3F74" w:rsidRPr="003D1E07">
        <w:t xml:space="preserve">, </w:t>
      </w:r>
      <w:r w:rsidR="007F71DF" w:rsidRPr="003D1E07">
        <w:t>v níž splývá impozice daná hyparchicky a supozice daná univerzálně</w:t>
      </w:r>
      <w:r w:rsidR="001B5965" w:rsidRPr="003D1E07">
        <w:t xml:space="preserve">. Obe formy substance </w:t>
      </w:r>
      <w:r w:rsidR="001B5965" w:rsidRPr="003D1E07">
        <w:lastRenderedPageBreak/>
        <w:t xml:space="preserve">vytvářejí genericky nejvyšší rod </w:t>
      </w:r>
      <w:r w:rsidR="007F71DF" w:rsidRPr="003D1E07">
        <w:t xml:space="preserve"> </w:t>
      </w:r>
      <w:r w:rsidR="000327A2" w:rsidRPr="003D1E07">
        <w:t xml:space="preserve">(κυριώτατά καὶ πρώτως καὶ μάλιστα λεγομένη, </w:t>
      </w:r>
      <w:r w:rsidR="000327A2" w:rsidRPr="003D1E07">
        <w:rPr>
          <w:i/>
        </w:rPr>
        <w:t>Cat</w:t>
      </w:r>
      <w:r w:rsidR="000327A2" w:rsidRPr="003D1E07">
        <w:t>. 2a11</w:t>
      </w:r>
      <w:r w:rsidR="002E49B4" w:rsidRPr="003D1E07">
        <w:t>–</w:t>
      </w:r>
      <w:r w:rsidR="000327A2" w:rsidRPr="003D1E07">
        <w:t>12</w:t>
      </w:r>
      <w:r w:rsidR="00D43919" w:rsidRPr="003D1E07">
        <w:fldChar w:fldCharType="begin"/>
      </w:r>
      <w:r w:rsidR="00D43919" w:rsidRPr="003D1E07">
        <w:instrText xml:space="preserve"> XE "</w:instrText>
      </w:r>
      <w:r w:rsidR="008E02F5" w:rsidRPr="003D1E07">
        <w:instrText>Aristoteles</w:instrText>
      </w:r>
      <w:r w:rsidR="00D43919" w:rsidRPr="003D1E07">
        <w:instrText>:</w:instrText>
      </w:r>
      <w:r w:rsidR="00D43919" w:rsidRPr="003D1E07">
        <w:rPr>
          <w:i/>
        </w:rPr>
        <w:instrText>Cat.</w:instrText>
      </w:r>
      <w:r w:rsidR="00D43919" w:rsidRPr="003D1E07">
        <w:instrText xml:space="preserve"> 2a11‒12" </w:instrText>
      </w:r>
      <w:r w:rsidR="00D43919" w:rsidRPr="003D1E07">
        <w:fldChar w:fldCharType="end"/>
      </w:r>
      <w:r w:rsidR="000327A2" w:rsidRPr="003D1E07">
        <w:t>)</w:t>
      </w:r>
      <w:r w:rsidR="0019051C" w:rsidRPr="003D1E07">
        <w:t>.</w:t>
      </w:r>
      <w:r w:rsidR="00E76AAC" w:rsidRPr="003D1E07">
        <w:t xml:space="preserve"> </w:t>
      </w:r>
      <w:r w:rsidR="00E45148" w:rsidRPr="003D1E07">
        <w:t>Klíčovou funkci má d</w:t>
      </w:r>
      <w:r w:rsidR="083C3F66" w:rsidRPr="003D1E07">
        <w:t xml:space="preserve">ělitelnost pojatá </w:t>
      </w:r>
      <w:r w:rsidR="00075D89" w:rsidRPr="003D1E07">
        <w:t>ekvivočně</w:t>
      </w:r>
      <w:r w:rsidR="0069623C" w:rsidRPr="003D1E07">
        <w:t>, která vytváří systém kategorií</w:t>
      </w:r>
      <w:r w:rsidR="00075D89" w:rsidRPr="003D1E07">
        <w:t>. P</w:t>
      </w:r>
      <w:r w:rsidR="083C3F66" w:rsidRPr="003D1E07">
        <w:t xml:space="preserve">rvní substanci i individuum </w:t>
      </w:r>
      <w:r w:rsidR="00075D89" w:rsidRPr="003D1E07">
        <w:t xml:space="preserve">charakterizuje </w:t>
      </w:r>
      <w:r w:rsidR="00F72E15" w:rsidRPr="003D1E07">
        <w:t xml:space="preserve">poslední </w:t>
      </w:r>
      <w:r w:rsidR="00075D89" w:rsidRPr="003D1E07">
        <w:t xml:space="preserve">nedělitelnost určená </w:t>
      </w:r>
      <w:r w:rsidR="083C3F66" w:rsidRPr="003D1E07">
        <w:t xml:space="preserve">dělením univerzálních významů. Pak je možné </w:t>
      </w:r>
      <w:r w:rsidR="00E44784">
        <w:t>spojit</w:t>
      </w:r>
      <w:r w:rsidR="00E44784" w:rsidRPr="003D1E07">
        <w:t xml:space="preserve"> Platona a Aristotela</w:t>
      </w:r>
      <w:r w:rsidR="00E44784">
        <w:t xml:space="preserve"> a tím </w:t>
      </w:r>
      <w:r w:rsidR="083C3F66" w:rsidRPr="003D1E07">
        <w:t>vytvořit</w:t>
      </w:r>
      <w:r w:rsidR="08A83078" w:rsidRPr="003D1E07">
        <w:t xml:space="preserve"> novou fyziku a metafyziku</w:t>
      </w:r>
      <w:r w:rsidR="00E44784">
        <w:t xml:space="preserve"> v rámci </w:t>
      </w:r>
      <w:r w:rsidR="08A83078" w:rsidRPr="003D1E07">
        <w:t>nové jednoty</w:t>
      </w:r>
      <w:r w:rsidR="0812667F" w:rsidRPr="003D1E07">
        <w:t xml:space="preserve"> jsoucna, která transcenduje </w:t>
      </w:r>
      <w:r w:rsidR="00947B0F" w:rsidRPr="003D1E07">
        <w:t xml:space="preserve">významy utříděné ve </w:t>
      </w:r>
      <w:r w:rsidR="0812667F" w:rsidRPr="003D1E07">
        <w:t>spis</w:t>
      </w:r>
      <w:r w:rsidR="00947B0F" w:rsidRPr="003D1E07">
        <w:t>u</w:t>
      </w:r>
      <w:r w:rsidR="0812667F" w:rsidRPr="003D1E07">
        <w:t xml:space="preserve"> </w:t>
      </w:r>
      <w:r w:rsidR="0812667F" w:rsidRPr="00E44784">
        <w:rPr>
          <w:i/>
        </w:rPr>
        <w:t>Kategorie</w:t>
      </w:r>
      <w:r w:rsidR="08A83078" w:rsidRPr="003D1E07">
        <w:t xml:space="preserve">. </w:t>
      </w:r>
      <w:r w:rsidR="00E76AAC" w:rsidRPr="003D1E07">
        <w:t>To je postoj neoplatoniků jako byl Simplikius</w:t>
      </w:r>
      <w:r w:rsidR="082E5AD2" w:rsidRPr="003D1E07">
        <w:fldChar w:fldCharType="begin"/>
      </w:r>
      <w:r w:rsidR="082E5AD2" w:rsidRPr="003D1E07">
        <w:instrText xml:space="preserve"> XE "Simplikius:viz </w:instrText>
      </w:r>
      <w:r w:rsidR="082E5AD2" w:rsidRPr="00E44784">
        <w:rPr>
          <w:i/>
        </w:rPr>
        <w:instrText>Index locorum</w:instrText>
      </w:r>
      <w:r w:rsidR="082E5AD2" w:rsidRPr="003D1E07">
        <w:instrText xml:space="preserve">" </w:instrText>
      </w:r>
      <w:r w:rsidR="082E5AD2" w:rsidRPr="003D1E07">
        <w:fldChar w:fldCharType="end"/>
      </w:r>
      <w:r w:rsidR="08572626" w:rsidRPr="003D1E07">
        <w:t>, kteří založili metafyzik</w:t>
      </w:r>
      <w:r w:rsidR="08BA7C3C" w:rsidRPr="003D1E07">
        <w:t>u</w:t>
      </w:r>
      <w:r w:rsidR="08572626" w:rsidRPr="003D1E07">
        <w:t xml:space="preserve"> jako </w:t>
      </w:r>
      <w:r w:rsidR="08572626" w:rsidRPr="00E44784">
        <w:rPr>
          <w:i/>
        </w:rPr>
        <w:t>scientia transcendens</w:t>
      </w:r>
      <w:r w:rsidR="08733F8E" w:rsidRPr="00E44784">
        <w:rPr>
          <w:i/>
        </w:rPr>
        <w:fldChar w:fldCharType="begin"/>
      </w:r>
      <w:r w:rsidR="08733F8E" w:rsidRPr="003D1E07">
        <w:instrText xml:space="preserve"> XE "</w:instrText>
      </w:r>
      <w:r w:rsidR="08733F8E" w:rsidRPr="00E44784">
        <w:rPr>
          <w:i/>
        </w:rPr>
        <w:instrText>scientia transcendens</w:instrText>
      </w:r>
      <w:r w:rsidR="08733F8E" w:rsidRPr="003D1E07">
        <w:instrText xml:space="preserve">" </w:instrText>
      </w:r>
      <w:r w:rsidR="08733F8E" w:rsidRPr="00E44784">
        <w:rPr>
          <w:i/>
        </w:rPr>
        <w:fldChar w:fldCharType="end"/>
      </w:r>
      <w:r w:rsidR="08572626" w:rsidRPr="003D1E07">
        <w:t xml:space="preserve"> danou směrem k Jednomu</w:t>
      </w:r>
      <w:r w:rsidR="08BA7C3C" w:rsidRPr="003D1E07">
        <w:t xml:space="preserve"> </w:t>
      </w:r>
      <w:r w:rsidR="085F6B5B" w:rsidRPr="003D1E07">
        <w:t xml:space="preserve">postavenému </w:t>
      </w:r>
      <w:r w:rsidR="08BA7C3C" w:rsidRPr="003D1E07">
        <w:t>za bytím a esencí</w:t>
      </w:r>
      <w:r w:rsidR="00E76AAC" w:rsidRPr="003D1E07">
        <w:t>.</w:t>
      </w:r>
    </w:p>
    <w:p w14:paraId="00478DBC" w14:textId="2202A3A7" w:rsidR="00A3698A" w:rsidRPr="003D1E07" w:rsidRDefault="001C6A0E" w:rsidP="00A3698A">
      <w:pPr>
        <w:numPr>
          <w:ilvl w:val="0"/>
          <w:numId w:val="5"/>
        </w:numPr>
      </w:pPr>
      <w:r w:rsidRPr="003D1E07">
        <w:t xml:space="preserve">Nebo je primát atomární substance je založen čistě formálně v modu sémantiky (σημαίνει τὰ σχήματα τῆς κατηγορίας, </w:t>
      </w:r>
      <w:r w:rsidRPr="003D1E07">
        <w:rPr>
          <w:i/>
        </w:rPr>
        <w:t>Met</w:t>
      </w:r>
      <w:r w:rsidRPr="003D1E07">
        <w:t>. 1017a23</w:t>
      </w:r>
      <w:r w:rsidR="00D43919" w:rsidRPr="003D1E07">
        <w:fldChar w:fldCharType="begin"/>
      </w:r>
      <w:r w:rsidR="00D43919" w:rsidRPr="003D1E07">
        <w:instrText xml:space="preserve"> XE "</w:instrText>
      </w:r>
      <w:r w:rsidR="008E02F5" w:rsidRPr="003D1E07">
        <w:instrText>Aristoteles</w:instrText>
      </w:r>
      <w:r w:rsidR="00D43919" w:rsidRPr="003D1E07">
        <w:instrText>:</w:instrText>
      </w:r>
      <w:r w:rsidR="00D43919" w:rsidRPr="003D1E07">
        <w:rPr>
          <w:i/>
        </w:rPr>
        <w:instrText>Met</w:instrText>
      </w:r>
      <w:r w:rsidR="00D43919" w:rsidRPr="003D1E07">
        <w:instrText xml:space="preserve">. 1017a23" </w:instrText>
      </w:r>
      <w:r w:rsidR="00D43919" w:rsidRPr="003D1E07">
        <w:fldChar w:fldCharType="end"/>
      </w:r>
      <w:r w:rsidRPr="003D1E07">
        <w:t xml:space="preserve">). Nedělitelnost daná ekvivočně ruší specifičnost kategoriální predikace v rámci metafyzické abstrakce a převádí ji na </w:t>
      </w:r>
      <w:r w:rsidR="08575C93" w:rsidRPr="003D1E07">
        <w:t xml:space="preserve">pouhou </w:t>
      </w:r>
      <w:r w:rsidRPr="003D1E07">
        <w:t xml:space="preserve">logickou abstrakci. To je výklad Scota a moderní verze objektivity, která vidí v </w:t>
      </w:r>
      <w:r w:rsidRPr="003D1E07">
        <w:rPr>
          <w:i/>
        </w:rPr>
        <w:t>Kategoriích</w:t>
      </w:r>
      <w:r w:rsidRPr="003D1E07">
        <w:t xml:space="preserve"> pouze logický spis</w:t>
      </w:r>
      <w:r w:rsidR="002B3E3C" w:rsidRPr="003D1E07">
        <w:t xml:space="preserve"> postavený mimo metafyziku</w:t>
      </w:r>
      <w:r w:rsidRPr="003D1E07">
        <w:t>.</w:t>
      </w:r>
      <w:r w:rsidR="081D24F4" w:rsidRPr="003D1E07">
        <w:t xml:space="preserve"> Pak je třeba založit novou metafyziku na přímém náhledu minimální </w:t>
      </w:r>
      <w:r w:rsidR="00FC78E3">
        <w:t xml:space="preserve">jsoucnosti, která se týká nedělitelné </w:t>
      </w:r>
      <w:r w:rsidR="00E44369">
        <w:t xml:space="preserve">esence </w:t>
      </w:r>
      <w:r w:rsidR="08446A02" w:rsidRPr="003D1E07">
        <w:t xml:space="preserve">podle Avicenny. </w:t>
      </w:r>
      <w:r w:rsidR="00A3698A" w:rsidRPr="003D1E07">
        <w:t xml:space="preserve">Toto </w:t>
      </w:r>
      <w:r w:rsidR="00A3698A" w:rsidRPr="003D1E07">
        <w:rPr>
          <w:i/>
        </w:rPr>
        <w:t>individuum</w:t>
      </w:r>
      <w:r w:rsidR="00A3698A" w:rsidRPr="003D1E07">
        <w:t xml:space="preserve"> je pak určeno jako aristotelská substance a je zařazeno do systému kategorií jako druhá substance. Transcendentální metafyzika neoplatoniků se tak mění v moderní pseudo-aristotelskou </w:t>
      </w:r>
      <w:r w:rsidR="00A3698A" w:rsidRPr="003D1E07">
        <w:rPr>
          <w:i/>
        </w:rPr>
        <w:t>metaphysica generalis</w:t>
      </w:r>
      <w:r w:rsidR="00A3698A" w:rsidRPr="003D1E07">
        <w:t xml:space="preserve">. To je výklad Dunse Scota a moderní verze objektivismu, které v </w:t>
      </w:r>
      <w:r w:rsidR="00A3698A" w:rsidRPr="00D940AA">
        <w:rPr>
          <w:i/>
        </w:rPr>
        <w:t>Kategoriích</w:t>
      </w:r>
      <w:r w:rsidR="00A3698A" w:rsidRPr="003D1E07">
        <w:t xml:space="preserve"> vidí pouze logický spis postavený mimo moderní metafyziku. </w:t>
      </w:r>
    </w:p>
    <w:p w14:paraId="34B1DC70" w14:textId="2C8E523C" w:rsidR="000D50A8" w:rsidRPr="003D1E07" w:rsidRDefault="00AF28C9" w:rsidP="00A3698A">
      <w:pPr>
        <w:ind w:left="360"/>
      </w:pPr>
      <w:r w:rsidRPr="003D1E07">
        <w:t>P</w:t>
      </w:r>
      <w:r w:rsidR="00A91582" w:rsidRPr="003D1E07">
        <w:t xml:space="preserve">ředešlý výklad </w:t>
      </w:r>
      <w:r w:rsidR="00A91582" w:rsidRPr="003D1E07">
        <w:rPr>
          <w:i/>
        </w:rPr>
        <w:t>Isagoge</w:t>
      </w:r>
      <w:r w:rsidRPr="003D1E07">
        <w:t xml:space="preserve"> ukázal, že </w:t>
      </w:r>
      <w:r w:rsidR="005A6DCB" w:rsidRPr="003D1E07">
        <w:t>vznik těchto tří variant je daný na základě nejasné definice individua podle Porfyria</w:t>
      </w:r>
      <w:r w:rsidR="002E1C5D" w:rsidRPr="003D1E07">
        <w:t>. Boethius přesně přeložil jeho definici individua.</w:t>
      </w:r>
      <w:r w:rsidR="08E979D4" w:rsidRPr="003D1E07">
        <w:t xml:space="preserve"> </w:t>
      </w:r>
      <w:r w:rsidR="08C96142" w:rsidRPr="003D1E07">
        <w:t>Jako celek významu (</w:t>
      </w:r>
      <w:r w:rsidR="08C96142" w:rsidRPr="003D1E07">
        <w:rPr>
          <w:i/>
        </w:rPr>
        <w:t>totum</w:t>
      </w:r>
      <w:r w:rsidR="08C96142" w:rsidRPr="003D1E07">
        <w:t xml:space="preserve">) funguje pouze </w:t>
      </w:r>
      <w:r w:rsidR="00F214C5" w:rsidRPr="003D1E07">
        <w:t>species</w:t>
      </w:r>
      <w:r w:rsidR="08C96142" w:rsidRPr="003D1E07">
        <w:t xml:space="preserve"> a vzhledem k ní je určena role individua</w:t>
      </w:r>
      <w:r w:rsidR="08BC47A0" w:rsidRPr="003D1E07">
        <w:t xml:space="preserve"> (</w:t>
      </w:r>
      <w:r w:rsidR="08BC47A0" w:rsidRPr="003D1E07">
        <w:rPr>
          <w:i/>
          <w:color w:val="000000"/>
        </w:rPr>
        <w:t>totum autem non alterius, sed aliis;</w:t>
      </w:r>
      <w:r w:rsidR="08BC47A0" w:rsidRPr="003D1E07">
        <w:rPr>
          <w:i/>
        </w:rPr>
        <w:t xml:space="preserve"> In Porph. Isag</w:t>
      </w:r>
      <w:r w:rsidR="08BC47A0" w:rsidRPr="003D1E07">
        <w:t>. 2.16</w:t>
      </w:r>
      <w:r w:rsidR="08BC47A0" w:rsidRPr="003D1E07">
        <w:rPr>
          <w:rStyle w:val="TextpoznpodarouChar"/>
        </w:rPr>
        <w:fldChar w:fldCharType="begin"/>
      </w:r>
      <w:r w:rsidR="08BC47A0" w:rsidRPr="003D1E07">
        <w:instrText xml:space="preserve"> XE "Boethius:</w:instrText>
      </w:r>
      <w:r w:rsidR="08BC47A0" w:rsidRPr="003D1E07">
        <w:rPr>
          <w:i/>
        </w:rPr>
        <w:instrText>In Porph. Isag</w:instrText>
      </w:r>
      <w:r w:rsidR="08BC47A0" w:rsidRPr="003D1E07">
        <w:instrText>.</w:instrText>
      </w:r>
      <w:r w:rsidR="08BC47A0" w:rsidRPr="003D1E07">
        <w:rPr>
          <w:rStyle w:val="TextpoznpodarouChar"/>
        </w:rPr>
        <w:instrText xml:space="preserve"> 2.16</w:instrText>
      </w:r>
      <w:r w:rsidR="08BC47A0" w:rsidRPr="003D1E07">
        <w:instrText xml:space="preserve">" </w:instrText>
      </w:r>
      <w:r w:rsidR="08BC47A0" w:rsidRPr="003D1E07">
        <w:rPr>
          <w:rStyle w:val="TextpoznpodarouChar"/>
        </w:rPr>
        <w:fldChar w:fldCharType="end"/>
      </w:r>
      <w:r w:rsidR="08BC47A0" w:rsidRPr="003D1E07">
        <w:t>)</w:t>
      </w:r>
      <w:r w:rsidR="08C96142" w:rsidRPr="003D1E07">
        <w:t xml:space="preserve">. </w:t>
      </w:r>
      <w:r w:rsidR="08E979D4" w:rsidRPr="003D1E07">
        <w:t>Moderní individuum se stalo atomárním a autonomním</w:t>
      </w:r>
      <w:r w:rsidR="082A1D2C" w:rsidRPr="003D1E07">
        <w:t xml:space="preserve"> </w:t>
      </w:r>
      <w:r w:rsidR="0007369F" w:rsidRPr="003D1E07">
        <w:t>cel</w:t>
      </w:r>
      <w:r w:rsidR="08E979D4" w:rsidRPr="003D1E07">
        <w:t>kem</w:t>
      </w:r>
      <w:r w:rsidR="0007369F" w:rsidRPr="003D1E07">
        <w:t xml:space="preserve"> </w:t>
      </w:r>
      <w:r w:rsidR="08090FDB" w:rsidRPr="003D1E07">
        <w:t>významu (</w:t>
      </w:r>
      <w:r w:rsidR="08090FDB" w:rsidRPr="003D1E07">
        <w:rPr>
          <w:i/>
        </w:rPr>
        <w:t>totum</w:t>
      </w:r>
      <w:r w:rsidR="08090FDB" w:rsidRPr="003D1E07">
        <w:t xml:space="preserve">). Tím se změnilo </w:t>
      </w:r>
      <w:r w:rsidR="088B7F40" w:rsidRPr="003D1E07">
        <w:t>původní postave</w:t>
      </w:r>
      <w:r w:rsidR="08090FDB" w:rsidRPr="003D1E07">
        <w:t xml:space="preserve">ní individua </w:t>
      </w:r>
      <w:r w:rsidR="088B7F40" w:rsidRPr="003D1E07">
        <w:t xml:space="preserve">dané u Porfýria </w:t>
      </w:r>
      <w:r w:rsidR="080226AF" w:rsidRPr="003D1E07">
        <w:t xml:space="preserve">a Boethia </w:t>
      </w:r>
      <w:r w:rsidR="08F77E38" w:rsidRPr="003D1E07">
        <w:t xml:space="preserve">pouze </w:t>
      </w:r>
      <w:r w:rsidR="08090FDB" w:rsidRPr="003D1E07">
        <w:t xml:space="preserve">v participativním modu na </w:t>
      </w:r>
      <w:r w:rsidR="00F214C5" w:rsidRPr="003D1E07">
        <w:t>species</w:t>
      </w:r>
      <w:r w:rsidR="08090FDB" w:rsidRPr="003D1E07">
        <w:t xml:space="preserve"> (</w:t>
      </w:r>
      <w:r w:rsidR="08090FDB" w:rsidRPr="003D1E07">
        <w:rPr>
          <w:i/>
        </w:rPr>
        <w:t>non alterius</w:t>
      </w:r>
      <w:r w:rsidR="088B7F40" w:rsidRPr="003D1E07">
        <w:t xml:space="preserve">). Moderna tuto participaci </w:t>
      </w:r>
      <w:r w:rsidR="08F77E38" w:rsidRPr="003D1E07">
        <w:t xml:space="preserve">individua na </w:t>
      </w:r>
      <w:r w:rsidR="00F214C5" w:rsidRPr="003D1E07">
        <w:t>species</w:t>
      </w:r>
      <w:r w:rsidR="08F77E38" w:rsidRPr="003D1E07">
        <w:t xml:space="preserve"> </w:t>
      </w:r>
      <w:r w:rsidR="088B7F40" w:rsidRPr="003D1E07">
        <w:t xml:space="preserve">zrušila a nahradila ji </w:t>
      </w:r>
      <w:r w:rsidR="08090FDB" w:rsidRPr="003D1E07">
        <w:t>kategoriálně pojatou alterit</w:t>
      </w:r>
      <w:r w:rsidR="088D6DC1" w:rsidRPr="003D1E07">
        <w:t>o</w:t>
      </w:r>
      <w:r w:rsidR="08090FDB" w:rsidRPr="003D1E07">
        <w:t xml:space="preserve">u </w:t>
      </w:r>
      <w:r w:rsidR="08D82C3A" w:rsidRPr="003D1E07">
        <w:t xml:space="preserve">individua </w:t>
      </w:r>
      <w:r w:rsidR="08090FDB" w:rsidRPr="003D1E07">
        <w:t xml:space="preserve">danou v modu mytopoetického </w:t>
      </w:r>
      <w:r w:rsidR="08B779FB" w:rsidRPr="003D1E07">
        <w:t xml:space="preserve">metafyzického </w:t>
      </w:r>
      <w:r w:rsidR="08090FDB" w:rsidRPr="003D1E07">
        <w:t>dativu</w:t>
      </w:r>
      <w:r w:rsidR="08090FDB" w:rsidRPr="003D1E07">
        <w:fldChar w:fldCharType="begin"/>
      </w:r>
      <w:r w:rsidR="08090FDB" w:rsidRPr="003D1E07">
        <w:instrText xml:space="preserve"> XE "</w:instrText>
      </w:r>
      <w:r w:rsidR="08090FDB" w:rsidRPr="003D1E07">
        <w:rPr>
          <w:i/>
        </w:rPr>
        <w:instrText xml:space="preserve">dativus </w:instrText>
      </w:r>
      <w:r w:rsidR="08B779FB" w:rsidRPr="003D1E07">
        <w:rPr>
          <w:i/>
        </w:rPr>
        <w:instrText>metaphysi</w:instrText>
      </w:r>
      <w:r w:rsidR="08090FDB" w:rsidRPr="003D1E07">
        <w:rPr>
          <w:i/>
        </w:rPr>
        <w:instrText>cus</w:instrText>
      </w:r>
      <w:r w:rsidR="08090FDB" w:rsidRPr="003D1E07">
        <w:instrText xml:space="preserve">" </w:instrText>
      </w:r>
      <w:r w:rsidR="08090FDB" w:rsidRPr="003D1E07">
        <w:fldChar w:fldCharType="end"/>
      </w:r>
      <w:r w:rsidR="00D30408" w:rsidRPr="003D1E07">
        <w:t xml:space="preserve">. Individuum se stalo substancí </w:t>
      </w:r>
      <w:r w:rsidR="088D6DC1" w:rsidRPr="003D1E07">
        <w:t>dříve danou na úro</w:t>
      </w:r>
      <w:r w:rsidR="00D30408" w:rsidRPr="003D1E07">
        <w:t>vni první a druhé substance a tím se dostalo do rovnocenné pozice s ostatními universáliemi (</w:t>
      </w:r>
      <w:r w:rsidR="00D30408" w:rsidRPr="003D1E07">
        <w:rPr>
          <w:i/>
        </w:rPr>
        <w:t>aliis</w:t>
      </w:r>
      <w:r w:rsidR="00D30408" w:rsidRPr="003D1E07">
        <w:t>)</w:t>
      </w:r>
      <w:r w:rsidR="08090FDB" w:rsidRPr="003D1E07">
        <w:t xml:space="preserve">. </w:t>
      </w:r>
      <w:r w:rsidR="006F5FA1" w:rsidRPr="003D1E07">
        <w:t xml:space="preserve">A stejně tak i rod se stal </w:t>
      </w:r>
      <w:r w:rsidR="00812BE4" w:rsidRPr="003D1E07">
        <w:t xml:space="preserve">novou </w:t>
      </w:r>
      <w:r w:rsidR="006F5FA1" w:rsidRPr="003D1E07">
        <w:t>autonomní druhou substancí</w:t>
      </w:r>
      <w:r w:rsidR="00AC4C96" w:rsidRPr="003D1E07">
        <w:t xml:space="preserve"> na úrovni hyparchického statutu species. </w:t>
      </w:r>
      <w:r w:rsidR="08ED153F" w:rsidRPr="003D1E07">
        <w:t>Archaická h</w:t>
      </w:r>
      <w:r w:rsidR="08353705" w:rsidRPr="003D1E07">
        <w:t xml:space="preserve">ermeneutika </w:t>
      </w:r>
      <w:r w:rsidR="08ED153F" w:rsidRPr="003D1E07">
        <w:t xml:space="preserve">sleduje </w:t>
      </w:r>
      <w:r w:rsidR="08F23F91" w:rsidRPr="003D1E07">
        <w:t xml:space="preserve">nevratnou </w:t>
      </w:r>
      <w:r w:rsidR="08ED153F" w:rsidRPr="003D1E07">
        <w:t xml:space="preserve">cestu reálného slunce </w:t>
      </w:r>
      <w:r w:rsidR="08F23F91" w:rsidRPr="003D1E07">
        <w:t xml:space="preserve">po obloze </w:t>
      </w:r>
      <w:r w:rsidR="08ED153F" w:rsidRPr="003D1E07">
        <w:t xml:space="preserve">a tím i </w:t>
      </w:r>
      <w:r w:rsidR="00AC6D38" w:rsidRPr="003D1E07">
        <w:t xml:space="preserve">reálnou </w:t>
      </w:r>
      <w:r w:rsidR="08F23F91" w:rsidRPr="003D1E07">
        <w:t xml:space="preserve">nutnost </w:t>
      </w:r>
      <w:r w:rsidR="08B779FB" w:rsidRPr="003D1E07">
        <w:lastRenderedPageBreak/>
        <w:t xml:space="preserve">metafyzického </w:t>
      </w:r>
      <w:r w:rsidR="08ED153F" w:rsidRPr="003D1E07">
        <w:t>dativu</w:t>
      </w:r>
      <w:r w:rsidR="08F23F91" w:rsidRPr="003D1E07">
        <w:t xml:space="preserve"> v myšlení</w:t>
      </w:r>
      <w:r w:rsidR="08ED153F" w:rsidRPr="003D1E07">
        <w:t xml:space="preserve">. Předložený výklad </w:t>
      </w:r>
      <w:r w:rsidR="08353705" w:rsidRPr="003D1E07">
        <w:t xml:space="preserve">nemůže jít manickou </w:t>
      </w:r>
      <w:r w:rsidR="08ED153F" w:rsidRPr="003D1E07">
        <w:t xml:space="preserve">a orgiastickou </w:t>
      </w:r>
      <w:r w:rsidR="08353705" w:rsidRPr="003D1E07">
        <w:t>cestou moderny</w:t>
      </w:r>
      <w:r w:rsidR="08ED153F" w:rsidRPr="003D1E07">
        <w:t xml:space="preserve">, proto musíme </w:t>
      </w:r>
      <w:r w:rsidR="08353705" w:rsidRPr="003D1E07">
        <w:t xml:space="preserve">kriticky rozlišovat mody zjevování substance. </w:t>
      </w:r>
      <w:r w:rsidR="006F5FA1" w:rsidRPr="003D1E07">
        <w:t>Vyložme jednotlivé verze kategoriálního dilematu</w:t>
      </w:r>
      <w:r w:rsidR="0004150A" w:rsidRPr="003D1E07">
        <w:t xml:space="preserve"> ohledně atomární substance v rámci budoucích rozvrhů metafyziky</w:t>
      </w:r>
      <w:r w:rsidR="000902E0" w:rsidRPr="003D1E07">
        <w:fldChar w:fldCharType="begin"/>
      </w:r>
      <w:r w:rsidR="000902E0" w:rsidRPr="003D1E07">
        <w:instrText xml:space="preserve"> XE "metafyzika:</w:instrText>
      </w:r>
      <w:r w:rsidR="00F40CCC" w:rsidRPr="003D1E07">
        <w:rPr>
          <w:i/>
        </w:rPr>
        <w:instrText>Modernorum</w:instrText>
      </w:r>
      <w:r w:rsidR="000902E0" w:rsidRPr="003D1E07">
        <w:instrText xml:space="preserve">" </w:instrText>
      </w:r>
      <w:r w:rsidR="000902E0" w:rsidRPr="003D1E07">
        <w:fldChar w:fldCharType="end"/>
      </w:r>
      <w:r w:rsidR="006F5FA1" w:rsidRPr="003D1E07">
        <w:t>.</w:t>
      </w:r>
    </w:p>
    <w:p w14:paraId="26627428" w14:textId="12C80747" w:rsidR="0092300D" w:rsidRDefault="00561964" w:rsidP="00202920">
      <w:pPr>
        <w:numPr>
          <w:ilvl w:val="0"/>
          <w:numId w:val="6"/>
        </w:numPr>
      </w:pPr>
      <w:r w:rsidRPr="003D1E07">
        <w:t>V první</w:t>
      </w:r>
      <w:r w:rsidR="009E63C2" w:rsidRPr="003D1E07">
        <w:t xml:space="preserve">, autenticky </w:t>
      </w:r>
      <w:r w:rsidR="083D5145" w:rsidRPr="003D1E07">
        <w:t xml:space="preserve">aristotelské verzi výkladu existuje </w:t>
      </w:r>
      <w:r w:rsidR="00CE30FD" w:rsidRPr="003D1E07">
        <w:t xml:space="preserve">nedělitelná </w:t>
      </w:r>
      <w:r w:rsidR="00BF5DC2" w:rsidRPr="003D1E07">
        <w:t xml:space="preserve">substance nezávisle na naší predikaci a </w:t>
      </w:r>
      <w:r w:rsidR="001F59D9" w:rsidRPr="003D1E07">
        <w:t xml:space="preserve">kauzálně </w:t>
      </w:r>
      <w:r w:rsidR="00BF5DC2" w:rsidRPr="003D1E07">
        <w:t xml:space="preserve">zakládá </w:t>
      </w:r>
      <w:r w:rsidR="001F59D9" w:rsidRPr="003D1E07">
        <w:t>univerzální</w:t>
      </w:r>
      <w:r w:rsidR="00A91582" w:rsidRPr="003D1E07">
        <w:t xml:space="preserve"> predika</w:t>
      </w:r>
      <w:r w:rsidR="00BF5DC2" w:rsidRPr="003D1E07">
        <w:t>bili</w:t>
      </w:r>
      <w:r w:rsidR="001F59D9" w:rsidRPr="003D1E07">
        <w:t>a</w:t>
      </w:r>
      <w:r w:rsidR="009B4ED1" w:rsidRPr="003D1E07">
        <w:t xml:space="preserve">. </w:t>
      </w:r>
      <w:r w:rsidR="00B63681" w:rsidRPr="003D1E07">
        <w:t xml:space="preserve">Univerzální koncept vzniká </w:t>
      </w:r>
      <w:r w:rsidR="00327621" w:rsidRPr="003D1E07">
        <w:t xml:space="preserve">podle spisu </w:t>
      </w:r>
      <w:r w:rsidR="00327621" w:rsidRPr="003D1E07">
        <w:rPr>
          <w:i/>
        </w:rPr>
        <w:t>De anima</w:t>
      </w:r>
      <w:r w:rsidR="00327621" w:rsidRPr="003D1E07">
        <w:t xml:space="preserve"> </w:t>
      </w:r>
      <w:r w:rsidR="00B63681" w:rsidRPr="003D1E07">
        <w:t>v mysli na základě smyslové zkušenosti</w:t>
      </w:r>
      <w:r w:rsidR="00B549A7" w:rsidRPr="003D1E07">
        <w:t xml:space="preserve">. Smysly jsou </w:t>
      </w:r>
      <w:r w:rsidR="00B63681" w:rsidRPr="003D1E07">
        <w:t xml:space="preserve"> kauzálně afikované reálně existující první substancí. </w:t>
      </w:r>
      <w:r w:rsidR="005D4C16" w:rsidRPr="003D1E07">
        <w:t xml:space="preserve">Predikábilia typu </w:t>
      </w:r>
      <w:r w:rsidR="00636BD4" w:rsidRPr="003D1E07">
        <w:rPr>
          <w:i/>
        </w:rPr>
        <w:t>genus</w:t>
      </w:r>
      <w:r w:rsidR="005D4C16" w:rsidRPr="003D1E07">
        <w:rPr>
          <w:i/>
        </w:rPr>
        <w:t xml:space="preserve">, </w:t>
      </w:r>
      <w:r w:rsidR="00F214C5" w:rsidRPr="003D1E07">
        <w:rPr>
          <w:i/>
        </w:rPr>
        <w:t>species</w:t>
      </w:r>
      <w:r w:rsidR="005D4C16" w:rsidRPr="003D1E07">
        <w:rPr>
          <w:i/>
        </w:rPr>
        <w:t xml:space="preserve">, </w:t>
      </w:r>
      <w:r w:rsidR="00B549A7" w:rsidRPr="003D1E07">
        <w:rPr>
          <w:i/>
        </w:rPr>
        <w:t xml:space="preserve">individuum </w:t>
      </w:r>
      <w:r w:rsidR="005D4C16" w:rsidRPr="003D1E07">
        <w:t xml:space="preserve">určují </w:t>
      </w:r>
      <w:r w:rsidR="08DA3CD8" w:rsidRPr="003D1E07">
        <w:t xml:space="preserve">supoziční </w:t>
      </w:r>
      <w:r w:rsidR="005D4C16" w:rsidRPr="003D1E07">
        <w:t>dělitel</w:t>
      </w:r>
      <w:r w:rsidR="00DB64AB" w:rsidRPr="003D1E07">
        <w:t xml:space="preserve">nost </w:t>
      </w:r>
      <w:r w:rsidR="00BC0A88" w:rsidRPr="003D1E07">
        <w:t xml:space="preserve">či nedělitelnost </w:t>
      </w:r>
      <w:r w:rsidR="08DA3CD8" w:rsidRPr="003D1E07">
        <w:t xml:space="preserve">univerzálních významů. Jejich </w:t>
      </w:r>
      <w:r w:rsidR="00E91972" w:rsidRPr="003D1E07">
        <w:t xml:space="preserve">metafyzická </w:t>
      </w:r>
      <w:r w:rsidR="08DA3CD8" w:rsidRPr="003D1E07">
        <w:t xml:space="preserve">univocita je odvozena od impozice </w:t>
      </w:r>
      <w:r w:rsidR="00DB64AB" w:rsidRPr="003D1E07">
        <w:t xml:space="preserve">druhé substance </w:t>
      </w:r>
      <w:r w:rsidR="00F25DCB">
        <w:t xml:space="preserve">(species) </w:t>
      </w:r>
      <w:r w:rsidR="00DB64AB" w:rsidRPr="003D1E07">
        <w:t xml:space="preserve">jako </w:t>
      </w:r>
      <w:r w:rsidR="00D24B99" w:rsidRPr="003D1E07">
        <w:t xml:space="preserve">první </w:t>
      </w:r>
      <w:r w:rsidR="005D4C16" w:rsidRPr="003D1E07">
        <w:t xml:space="preserve">kategorie </w:t>
      </w:r>
      <w:r w:rsidR="08D35E46" w:rsidRPr="003D1E07">
        <w:t xml:space="preserve">dané </w:t>
      </w:r>
      <w:r w:rsidR="005D4C16" w:rsidRPr="003D1E07">
        <w:rPr>
          <w:i/>
        </w:rPr>
        <w:t>per prius</w:t>
      </w:r>
      <w:r w:rsidR="00A9547B" w:rsidRPr="003D1E07">
        <w:t xml:space="preserve"> ve schématu deseti kategorií</w:t>
      </w:r>
      <w:r w:rsidR="00B109D2" w:rsidRPr="003D1E07">
        <w:fldChar w:fldCharType="begin"/>
      </w:r>
      <w:r w:rsidR="00B109D2" w:rsidRPr="003D1E07">
        <w:instrText xml:space="preserve"> XE "predikace:</w:instrText>
      </w:r>
      <w:r w:rsidR="00B109D2" w:rsidRPr="003D1E07">
        <w:rPr>
          <w:i/>
        </w:rPr>
        <w:instrText>per prius</w:instrText>
      </w:r>
      <w:r w:rsidR="00B109D2" w:rsidRPr="003D1E07">
        <w:instrText xml:space="preserve">" </w:instrText>
      </w:r>
      <w:r w:rsidR="00B109D2" w:rsidRPr="003D1E07">
        <w:fldChar w:fldCharType="end"/>
      </w:r>
      <w:r w:rsidR="00A9547B" w:rsidRPr="003D1E07">
        <w:t>.</w:t>
      </w:r>
      <w:r w:rsidR="005E6318" w:rsidRPr="003D1E07">
        <w:t xml:space="preserve"> </w:t>
      </w:r>
      <w:r w:rsidR="00356CBE" w:rsidRPr="003D1E07">
        <w:t xml:space="preserve">Na rozdíl od nedělitelnosti univerzální druhé substance v tabulce kategorií je </w:t>
      </w:r>
      <w:r w:rsidR="005E6318" w:rsidRPr="003D1E07">
        <w:t xml:space="preserve">první substance </w:t>
      </w:r>
      <w:r w:rsidR="00356CBE" w:rsidRPr="003D1E07">
        <w:t>nedělitelná tí</w:t>
      </w:r>
      <w:r w:rsidR="003F2DC4" w:rsidRPr="003D1E07">
        <w:t>m</w:t>
      </w:r>
      <w:r w:rsidR="087D199E" w:rsidRPr="003D1E07">
        <w:t xml:space="preserve">, že bytuje </w:t>
      </w:r>
      <w:r w:rsidR="00356CBE" w:rsidRPr="003D1E07">
        <w:t xml:space="preserve">v realitě, kde </w:t>
      </w:r>
      <w:r w:rsidR="005E6318" w:rsidRPr="003D1E07">
        <w:t xml:space="preserve">existuje </w:t>
      </w:r>
      <w:r w:rsidR="005E6318" w:rsidRPr="003D1E07">
        <w:rPr>
          <w:i/>
        </w:rPr>
        <w:t>per se</w:t>
      </w:r>
      <w:r w:rsidR="005E6318" w:rsidRPr="003D1E07">
        <w:t xml:space="preserve"> v modu aktuální jednoduchost</w:t>
      </w:r>
      <w:r w:rsidR="000A25C2" w:rsidRPr="003D1E07">
        <w:t>i</w:t>
      </w:r>
      <w:r w:rsidR="002D5390" w:rsidRPr="003D1E07">
        <w:t xml:space="preserve"> dané mimo jakoukoliv univerzalitu a objektivitu</w:t>
      </w:r>
      <w:r w:rsidR="005E6318" w:rsidRPr="003D1E07">
        <w:t xml:space="preserve">. </w:t>
      </w:r>
      <w:r w:rsidR="00BD5641" w:rsidRPr="003D1E07">
        <w:t>Toto je p</w:t>
      </w:r>
      <w:r w:rsidR="00A91582" w:rsidRPr="003D1E07">
        <w:t>ojetí Boethia, Abelarda, Averroe</w:t>
      </w:r>
      <w:r w:rsidR="080E34DC" w:rsidRPr="003D1E07">
        <w:t>se a školy prvního aver</w:t>
      </w:r>
      <w:r w:rsidR="00BD5641" w:rsidRPr="003D1E07">
        <w:t>r</w:t>
      </w:r>
      <w:r w:rsidR="080E34DC" w:rsidRPr="003D1E07">
        <w:t>o</w:t>
      </w:r>
      <w:r w:rsidR="00BD5641" w:rsidRPr="003D1E07">
        <w:t>ismu</w:t>
      </w:r>
      <w:r w:rsidR="00F042B9" w:rsidRPr="003D1E07">
        <w:fldChar w:fldCharType="begin"/>
      </w:r>
      <w:r w:rsidR="00F042B9" w:rsidRPr="003D1E07">
        <w:instrText xml:space="preserve"> XE "první averroismus:substance" </w:instrText>
      </w:r>
      <w:r w:rsidR="00F042B9" w:rsidRPr="003D1E07">
        <w:fldChar w:fldCharType="end"/>
      </w:r>
      <w:r w:rsidR="00BD5641" w:rsidRPr="003D1E07">
        <w:t>.</w:t>
      </w:r>
      <w:r w:rsidR="08C8118B" w:rsidRPr="003D1E07">
        <w:t xml:space="preserve"> V</w:t>
      </w:r>
      <w:r w:rsidR="08FA0773" w:rsidRPr="003D1E07">
        <w:t xml:space="preserve"> tomto poje</w:t>
      </w:r>
      <w:r w:rsidR="08C8118B" w:rsidRPr="003D1E07">
        <w:t>tí žádný spor o univerzália neexistuje, p</w:t>
      </w:r>
      <w:r w:rsidR="00B858ED">
        <w:t>rotože jsou dána pouze v mysli.</w:t>
      </w:r>
    </w:p>
    <w:p w14:paraId="1ECBEAE3" w14:textId="77777777" w:rsidR="00B858ED" w:rsidRPr="003D1E07" w:rsidRDefault="00B858ED" w:rsidP="00B858ED">
      <w:pPr>
        <w:ind w:left="720"/>
      </w:pPr>
    </w:p>
    <w:p w14:paraId="2A0EDBBE" w14:textId="2BF5E6E8" w:rsidR="00CD0AC7" w:rsidRDefault="005C3451" w:rsidP="00202920">
      <w:pPr>
        <w:numPr>
          <w:ilvl w:val="0"/>
          <w:numId w:val="6"/>
        </w:numPr>
      </w:pPr>
      <w:r w:rsidRPr="003D1E07">
        <w:t xml:space="preserve">V </w:t>
      </w:r>
      <w:r w:rsidR="00A91582" w:rsidRPr="003D1E07">
        <w:t>neoplato</w:t>
      </w:r>
      <w:r w:rsidR="005B7AA7" w:rsidRPr="003D1E07">
        <w:t>nské verzi výkladu</w:t>
      </w:r>
      <w:r w:rsidRPr="003D1E07">
        <w:t xml:space="preserve"> atomární substance</w:t>
      </w:r>
      <w:r w:rsidR="005B7AA7" w:rsidRPr="003D1E07">
        <w:t xml:space="preserve"> </w:t>
      </w:r>
      <w:r w:rsidR="00AA0336" w:rsidRPr="003D1E07">
        <w:t xml:space="preserve">patří nedělitelnost substance do </w:t>
      </w:r>
      <w:r w:rsidR="00265DAE" w:rsidRPr="003D1E07">
        <w:t xml:space="preserve">formální </w:t>
      </w:r>
      <w:r w:rsidR="00803673" w:rsidRPr="003D1E07">
        <w:t xml:space="preserve">a </w:t>
      </w:r>
      <w:r w:rsidR="089E395A" w:rsidRPr="003D1E07">
        <w:t>metafyzické</w:t>
      </w:r>
      <w:r w:rsidR="089E395A" w:rsidRPr="003D1E07">
        <w:rPr>
          <w:i/>
        </w:rPr>
        <w:t xml:space="preserve"> </w:t>
      </w:r>
      <w:r w:rsidR="00AA0336" w:rsidRPr="003D1E07">
        <w:t>koherence</w:t>
      </w:r>
      <w:r w:rsidR="00681631" w:rsidRPr="003D1E07">
        <w:t xml:space="preserve">. Ta je nakonec henologicky </w:t>
      </w:r>
      <w:r w:rsidR="00AA0336" w:rsidRPr="003D1E07">
        <w:t>vztažen</w:t>
      </w:r>
      <w:r w:rsidR="00681631" w:rsidRPr="003D1E07">
        <w:t>a</w:t>
      </w:r>
      <w:r w:rsidR="00AA0336" w:rsidRPr="003D1E07">
        <w:t xml:space="preserve"> k poslední univerzální jednotě </w:t>
      </w:r>
      <w:r w:rsidR="00681631" w:rsidRPr="003D1E07">
        <w:t>na úrovni transcendentálně postaveného Jednoho</w:t>
      </w:r>
      <w:r w:rsidR="003F2DC4" w:rsidRPr="003D1E07">
        <w:t xml:space="preserve">. Tím se přenesl význam </w:t>
      </w:r>
      <w:r w:rsidR="08424D16" w:rsidRPr="003D1E07">
        <w:t xml:space="preserve">hyparchické první </w:t>
      </w:r>
      <w:r w:rsidR="003F2DC4" w:rsidRPr="003D1E07">
        <w:t>substance v rámci univoční predikace</w:t>
      </w:r>
      <w:r w:rsidR="009A100D" w:rsidRPr="003D1E07">
        <w:t xml:space="preserve"> na </w:t>
      </w:r>
      <w:r w:rsidR="08B35963" w:rsidRPr="003D1E07">
        <w:t xml:space="preserve">univerzální </w:t>
      </w:r>
      <w:r w:rsidR="00681631" w:rsidRPr="003D1E07">
        <w:t xml:space="preserve">a reálně jsoucí </w:t>
      </w:r>
      <w:r w:rsidR="08424D16" w:rsidRPr="003D1E07">
        <w:t xml:space="preserve">rod, </w:t>
      </w:r>
      <w:r w:rsidR="00B55651" w:rsidRPr="003D1E07">
        <w:t>druh</w:t>
      </w:r>
      <w:r w:rsidR="08424D16" w:rsidRPr="003D1E07">
        <w:t xml:space="preserve"> a individuum</w:t>
      </w:r>
      <w:r w:rsidR="00C65F69" w:rsidRPr="003D1E07">
        <w:t>.</w:t>
      </w:r>
      <w:r w:rsidR="00FF4F8A" w:rsidRPr="003D1E07">
        <w:t xml:space="preserve"> </w:t>
      </w:r>
      <w:r w:rsidR="08433581" w:rsidRPr="003D1E07">
        <w:t xml:space="preserve">Druhá substance splynula s první substancí. </w:t>
      </w:r>
      <w:r w:rsidR="00831A16" w:rsidRPr="003D1E07">
        <w:t xml:space="preserve">Dělení v rámci </w:t>
      </w:r>
      <w:r w:rsidR="00831A16" w:rsidRPr="003D1E07">
        <w:rPr>
          <w:i/>
        </w:rPr>
        <w:t>Arbor Porphyriana</w:t>
      </w:r>
      <w:r w:rsidR="00831A16" w:rsidRPr="003D1E07">
        <w:t xml:space="preserve"> vytvoří koncept nedělitelné </w:t>
      </w:r>
      <w:r w:rsidR="00681631" w:rsidRPr="003D1E07">
        <w:t xml:space="preserve">a zmatené </w:t>
      </w:r>
      <w:r w:rsidR="00831A16" w:rsidRPr="003D1E07">
        <w:t>substance</w:t>
      </w:r>
      <w:r w:rsidR="00681631" w:rsidRPr="003D1E07">
        <w:t xml:space="preserve"> (</w:t>
      </w:r>
      <w:r w:rsidR="00681631" w:rsidRPr="003D1E07">
        <w:rPr>
          <w:i/>
        </w:rPr>
        <w:t>tertium ens</w:t>
      </w:r>
      <w:r w:rsidR="00681631" w:rsidRPr="003D1E07">
        <w:t>)</w:t>
      </w:r>
      <w:r w:rsidR="00831A16" w:rsidRPr="003D1E07">
        <w:t xml:space="preserve"> jako posledního členu třídění rodů a druhů (</w:t>
      </w:r>
      <w:r w:rsidR="00831A16" w:rsidRPr="003D1E07">
        <w:rPr>
          <w:i/>
        </w:rPr>
        <w:t>individuum</w:t>
      </w:r>
      <w:r w:rsidR="00F042B9" w:rsidRPr="003D1E07">
        <w:fldChar w:fldCharType="begin"/>
      </w:r>
      <w:r w:rsidR="00F042B9" w:rsidRPr="003D1E07">
        <w:instrText xml:space="preserve"> XE "substance:</w:instrText>
      </w:r>
      <w:r w:rsidR="00F042B9" w:rsidRPr="003D1E07">
        <w:rPr>
          <w:i/>
        </w:rPr>
        <w:instrText>individuum</w:instrText>
      </w:r>
      <w:r w:rsidR="00F042B9" w:rsidRPr="003D1E07">
        <w:instrText xml:space="preserve">" </w:instrText>
      </w:r>
      <w:r w:rsidR="00F042B9" w:rsidRPr="003D1E07">
        <w:fldChar w:fldCharType="end"/>
      </w:r>
      <w:r w:rsidR="00831A16" w:rsidRPr="003D1E07">
        <w:t xml:space="preserve">). </w:t>
      </w:r>
      <w:r w:rsidR="00BD7E32" w:rsidRPr="003D1E07">
        <w:t xml:space="preserve">Klíčovou roli pak hraje </w:t>
      </w:r>
      <w:r w:rsidR="08210A23" w:rsidRPr="003D1E07">
        <w:t>věčná</w:t>
      </w:r>
      <w:r w:rsidR="08555B10" w:rsidRPr="003D1E07">
        <w:t xml:space="preserve"> </w:t>
      </w:r>
      <w:r w:rsidR="00F214C5" w:rsidRPr="003D1E07">
        <w:t>species</w:t>
      </w:r>
      <w:r w:rsidR="00BD7E32" w:rsidRPr="003D1E07">
        <w:t xml:space="preserve">, protože tvoří křižovatku univerzální predikace </w:t>
      </w:r>
      <w:r w:rsidR="080E34DC" w:rsidRPr="003D1E07">
        <w:t xml:space="preserve">směrem k nadřazenému </w:t>
      </w:r>
      <w:r w:rsidR="00831A16" w:rsidRPr="003D1E07">
        <w:t>rodu</w:t>
      </w:r>
      <w:r w:rsidR="003D7820" w:rsidRPr="003D1E07">
        <w:t xml:space="preserve">. Species </w:t>
      </w:r>
      <w:r w:rsidR="080E34DC" w:rsidRPr="003D1E07">
        <w:t xml:space="preserve">tvoří celek pro individuum, které </w:t>
      </w:r>
      <w:r w:rsidR="002E4730" w:rsidRPr="003D1E07">
        <w:t xml:space="preserve">dostalo status celku a napojeno na nadřazenou atomární </w:t>
      </w:r>
      <w:r w:rsidR="00F214C5" w:rsidRPr="003D1E07">
        <w:t>species</w:t>
      </w:r>
      <w:r w:rsidR="00BD7E32" w:rsidRPr="003D1E07">
        <w:t xml:space="preserve">. </w:t>
      </w:r>
      <w:r w:rsidR="08536579" w:rsidRPr="003D1E07">
        <w:t>P</w:t>
      </w:r>
      <w:r w:rsidR="00FF4F8A" w:rsidRPr="003D1E07">
        <w:t xml:space="preserve">ovýšení </w:t>
      </w:r>
      <w:r w:rsidR="00727F46" w:rsidRPr="003D1E07">
        <w:t xml:space="preserve">rodu jako </w:t>
      </w:r>
      <w:r w:rsidR="00FF4F8A" w:rsidRPr="003D1E07">
        <w:t xml:space="preserve">druhé substance na úroveň </w:t>
      </w:r>
      <w:r w:rsidR="008543F0" w:rsidRPr="003D1E07">
        <w:t xml:space="preserve">první substance </w:t>
      </w:r>
      <w:r w:rsidR="00D14AD1" w:rsidRPr="003D1E07">
        <w:t>znamená návr</w:t>
      </w:r>
      <w:r w:rsidR="00A91582" w:rsidRPr="003D1E07">
        <w:t>at k Ploti</w:t>
      </w:r>
      <w:r w:rsidR="00D14AD1" w:rsidRPr="003D1E07">
        <w:t xml:space="preserve">novu pojetí nejvyšších rodů bytí. </w:t>
      </w:r>
      <w:r w:rsidR="00755571" w:rsidRPr="003D1E07">
        <w:t>Jsoucno</w:t>
      </w:r>
      <w:r w:rsidR="003E6C76" w:rsidRPr="003D1E07">
        <w:t xml:space="preserve"> </w:t>
      </w:r>
      <w:r w:rsidR="00C559FD" w:rsidRPr="003D1E07">
        <w:t xml:space="preserve">se </w:t>
      </w:r>
      <w:r w:rsidR="00870040" w:rsidRPr="003D1E07">
        <w:t>změnilo na univerzálně predikovaný rod</w:t>
      </w:r>
      <w:r w:rsidR="0029065C" w:rsidRPr="003D1E07">
        <w:t xml:space="preserve"> a </w:t>
      </w:r>
      <w:r w:rsidR="08536579" w:rsidRPr="003D1E07">
        <w:t xml:space="preserve">hyparchická funkce </w:t>
      </w:r>
      <w:r w:rsidR="0029065C" w:rsidRPr="003D1E07">
        <w:t>první substance se stala zbytečnou</w:t>
      </w:r>
      <w:r w:rsidR="00317E9F" w:rsidRPr="003D1E07">
        <w:t>.</w:t>
      </w:r>
      <w:r w:rsidR="00794598" w:rsidRPr="003D1E07">
        <w:t xml:space="preserve"> </w:t>
      </w:r>
      <w:r w:rsidR="001F7E82">
        <w:t>Neoplatonská</w:t>
      </w:r>
      <w:r w:rsidR="0820370A" w:rsidRPr="003D1E07">
        <w:t xml:space="preserve"> </w:t>
      </w:r>
      <w:r w:rsidR="00F214C5" w:rsidRPr="003D1E07">
        <w:t>species</w:t>
      </w:r>
      <w:r w:rsidR="001F7E82">
        <w:t xml:space="preserve"> se buď spojila</w:t>
      </w:r>
      <w:r w:rsidR="0092300D" w:rsidRPr="003D1E07">
        <w:t xml:space="preserve"> s první substancí, nebo funguje v kategoriální predikaci jako </w:t>
      </w:r>
      <w:r w:rsidR="00E87365" w:rsidRPr="003D1E07">
        <w:t xml:space="preserve">zcela autonomní </w:t>
      </w:r>
      <w:r w:rsidR="0092300D" w:rsidRPr="003D1E07">
        <w:t xml:space="preserve">substance, tedy mimo </w:t>
      </w:r>
      <w:r w:rsidR="0092300D" w:rsidRPr="003D1E07">
        <w:lastRenderedPageBreak/>
        <w:t xml:space="preserve">hyparchickou vazbu na první substanci. Tím vznikla nová kategoriální predikace </w:t>
      </w:r>
      <w:r w:rsidR="0092300D" w:rsidRPr="003D1E07">
        <w:rPr>
          <w:i/>
        </w:rPr>
        <w:t>per prius</w:t>
      </w:r>
      <w:r w:rsidR="005E3638" w:rsidRPr="003D1E07">
        <w:fldChar w:fldCharType="begin"/>
      </w:r>
      <w:r w:rsidR="005E3638" w:rsidRPr="003D1E07">
        <w:instrText xml:space="preserve"> XE "predikace:</w:instrText>
      </w:r>
      <w:r w:rsidR="005E3638" w:rsidRPr="003D1E07">
        <w:rPr>
          <w:i/>
        </w:rPr>
        <w:instrText>per prius</w:instrText>
      </w:r>
      <w:r w:rsidR="005E3638" w:rsidRPr="003D1E07">
        <w:instrText xml:space="preserve">" </w:instrText>
      </w:r>
      <w:r w:rsidR="005E3638" w:rsidRPr="003D1E07">
        <w:fldChar w:fldCharType="end"/>
      </w:r>
      <w:r w:rsidR="00A62CFF" w:rsidRPr="003D1E07">
        <w:t>. U</w:t>
      </w:r>
      <w:r w:rsidR="007A66CF" w:rsidRPr="003D1E07">
        <w:t xml:space="preserve">niverzální </w:t>
      </w:r>
      <w:r w:rsidR="00AD434B" w:rsidRPr="003D1E07">
        <w:t>rod</w:t>
      </w:r>
      <w:r w:rsidR="08DE3A3E" w:rsidRPr="003D1E07">
        <w:t xml:space="preserve">, </w:t>
      </w:r>
      <w:r w:rsidR="007A66CF" w:rsidRPr="003D1E07">
        <w:t xml:space="preserve">forma </w:t>
      </w:r>
      <w:r w:rsidR="08DE3A3E" w:rsidRPr="003D1E07">
        <w:t xml:space="preserve">nebo esence </w:t>
      </w:r>
      <w:r w:rsidR="086A6A86" w:rsidRPr="003D1E07">
        <w:t xml:space="preserve">je </w:t>
      </w:r>
      <w:r w:rsidR="00AD434B" w:rsidRPr="003D1E07">
        <w:t xml:space="preserve">daná jako subsistentní </w:t>
      </w:r>
      <w:r w:rsidR="007A66CF" w:rsidRPr="003D1E07">
        <w:t xml:space="preserve">hypostáze </w:t>
      </w:r>
      <w:r w:rsidR="086A6A86" w:rsidRPr="003D1E07">
        <w:t xml:space="preserve"> </w:t>
      </w:r>
      <w:r w:rsidR="005F5DB8">
        <w:t xml:space="preserve">v modu </w:t>
      </w:r>
      <w:r w:rsidR="005F5DB8" w:rsidRPr="005F5DB8">
        <w:rPr>
          <w:i/>
        </w:rPr>
        <w:t>ter</w:t>
      </w:r>
      <w:r w:rsidR="00A62CFF" w:rsidRPr="005F5DB8">
        <w:rPr>
          <w:i/>
        </w:rPr>
        <w:t>t</w:t>
      </w:r>
      <w:r w:rsidR="005F5DB8" w:rsidRPr="005F5DB8">
        <w:rPr>
          <w:i/>
        </w:rPr>
        <w:t>i</w:t>
      </w:r>
      <w:r w:rsidR="00A62CFF" w:rsidRPr="005F5DB8">
        <w:rPr>
          <w:i/>
        </w:rPr>
        <w:t>um ens</w:t>
      </w:r>
      <w:r w:rsidR="00A62CFF" w:rsidRPr="003D1E07">
        <w:t xml:space="preserve">. Tato pseudo-substance </w:t>
      </w:r>
      <w:r w:rsidR="007A66CF" w:rsidRPr="003D1E07">
        <w:t xml:space="preserve">určuje </w:t>
      </w:r>
      <w:r w:rsidR="086A6A86" w:rsidRPr="003D1E07">
        <w:t xml:space="preserve">v modu namixované impozice a supozice </w:t>
      </w:r>
      <w:r w:rsidR="007A66CF" w:rsidRPr="003D1E07">
        <w:t xml:space="preserve">podřazenou jednotlivinu. Příkladem je sestup hypostázovaných forem </w:t>
      </w:r>
      <w:r w:rsidR="00801247" w:rsidRPr="003D1E07">
        <w:t xml:space="preserve">do </w:t>
      </w:r>
      <w:r w:rsidR="00C44EDC" w:rsidRPr="003D1E07">
        <w:t xml:space="preserve">nižších </w:t>
      </w:r>
      <w:r w:rsidR="00801247" w:rsidRPr="003D1E07">
        <w:t xml:space="preserve">substancí </w:t>
      </w:r>
      <w:r w:rsidR="007A66CF" w:rsidRPr="003D1E07">
        <w:t xml:space="preserve">v díle </w:t>
      </w:r>
      <w:r w:rsidR="007A66CF" w:rsidRPr="003D1E07">
        <w:rPr>
          <w:i/>
        </w:rPr>
        <w:t>Liber de causis</w:t>
      </w:r>
      <w:r w:rsidR="00274A40" w:rsidRPr="003D1E07">
        <w:rPr>
          <w:i/>
        </w:rPr>
        <w:fldChar w:fldCharType="begin"/>
      </w:r>
      <w:r w:rsidR="00274A40" w:rsidRPr="003D1E07">
        <w:instrText xml:space="preserve"> XE "</w:instrText>
      </w:r>
      <w:r w:rsidR="00274A40" w:rsidRPr="003D1E07">
        <w:rPr>
          <w:i/>
        </w:rPr>
        <w:instrText>Liber de causis</w:instrText>
      </w:r>
      <w:r w:rsidR="00274A40" w:rsidRPr="003D1E07">
        <w:instrText xml:space="preserve">" </w:instrText>
      </w:r>
      <w:r w:rsidR="00274A40" w:rsidRPr="003D1E07">
        <w:rPr>
          <w:i/>
        </w:rPr>
        <w:fldChar w:fldCharType="end"/>
      </w:r>
      <w:r w:rsidR="007A66CF" w:rsidRPr="003D1E07">
        <w:t>.</w:t>
      </w:r>
      <w:r w:rsidR="005A722D" w:rsidRPr="003D1E07">
        <w:t xml:space="preserve"> Toto pojetí </w:t>
      </w:r>
      <w:r w:rsidR="00EE5C7F" w:rsidRPr="003D1E07">
        <w:t xml:space="preserve">drží </w:t>
      </w:r>
      <w:r w:rsidR="00BD5641" w:rsidRPr="003D1E07">
        <w:t xml:space="preserve">Avicenna, </w:t>
      </w:r>
      <w:r w:rsidR="003A4479" w:rsidRPr="003D1E07">
        <w:t>porretáni</w:t>
      </w:r>
      <w:r w:rsidR="00BD5641" w:rsidRPr="003D1E07">
        <w:t xml:space="preserve">, </w:t>
      </w:r>
      <w:r w:rsidR="003A4479" w:rsidRPr="003D1E07">
        <w:t xml:space="preserve">škola latinských </w:t>
      </w:r>
      <w:r w:rsidR="003A4479" w:rsidRPr="003D1E07">
        <w:rPr>
          <w:i/>
        </w:rPr>
        <w:t>Nominales</w:t>
      </w:r>
      <w:r w:rsidR="00274A40" w:rsidRPr="003D1E07">
        <w:t xml:space="preserve"> a druhý averroi</w:t>
      </w:r>
      <w:r w:rsidR="00BD5641" w:rsidRPr="003D1E07">
        <w:t>s</w:t>
      </w:r>
      <w:r w:rsidR="00274A40" w:rsidRPr="003D1E07">
        <w:t>m</w:t>
      </w:r>
      <w:r w:rsidR="00BD5641" w:rsidRPr="003D1E07">
        <w:t>us.</w:t>
      </w:r>
    </w:p>
    <w:p w14:paraId="0FFED3DE" w14:textId="77777777" w:rsidR="00B858ED" w:rsidRPr="003D1E07" w:rsidRDefault="00B858ED" w:rsidP="00B858ED"/>
    <w:p w14:paraId="1710C282" w14:textId="4256C852" w:rsidR="000D50A8" w:rsidRPr="003D1E07" w:rsidRDefault="00CD0AC7" w:rsidP="00930C0C">
      <w:pPr>
        <w:numPr>
          <w:ilvl w:val="0"/>
          <w:numId w:val="6"/>
        </w:numPr>
      </w:pPr>
      <w:r w:rsidRPr="003D1E07">
        <w:t xml:space="preserve">Třetí varianta ukazuje cestu k objektivnímu jsoucnu třetího druhu. </w:t>
      </w:r>
      <w:r w:rsidR="003A4479" w:rsidRPr="003D1E07">
        <w:t xml:space="preserve">Latinští </w:t>
      </w:r>
      <w:r w:rsidR="00134851" w:rsidRPr="003D1E07">
        <w:t xml:space="preserve">vykladači Aristotela po </w:t>
      </w:r>
      <w:r w:rsidR="003A4479" w:rsidRPr="003D1E07">
        <w:t xml:space="preserve">Avicennovi </w:t>
      </w:r>
      <w:r w:rsidR="00F32480" w:rsidRPr="003D1E07">
        <w:t>stáli před ja</w:t>
      </w:r>
      <w:r w:rsidR="002F374D" w:rsidRPr="003D1E07">
        <w:t>s</w:t>
      </w:r>
      <w:r w:rsidR="00F32480" w:rsidRPr="003D1E07">
        <w:t>ným dilematem</w:t>
      </w:r>
      <w:r w:rsidR="08EE2171" w:rsidRPr="003D1E07">
        <w:t xml:space="preserve"> ohledně atomární substance</w:t>
      </w:r>
      <w:r w:rsidR="08EE2171" w:rsidRPr="003D1E07">
        <w:fldChar w:fldCharType="begin"/>
      </w:r>
      <w:r w:rsidR="08EE2171" w:rsidRPr="003D1E07">
        <w:instrText xml:space="preserve"> XE "substance:objektivní" </w:instrText>
      </w:r>
      <w:r w:rsidR="08EE2171" w:rsidRPr="003D1E07">
        <w:fldChar w:fldCharType="end"/>
      </w:r>
      <w:r w:rsidR="00F32480" w:rsidRPr="003D1E07">
        <w:t xml:space="preserve">. </w:t>
      </w:r>
      <w:r w:rsidR="000D69EB" w:rsidRPr="003D1E07">
        <w:t>Avicenna ji definoval jako čistou jsoucnost (</w:t>
      </w:r>
      <w:r w:rsidR="000D69EB" w:rsidRPr="003D1E07">
        <w:rPr>
          <w:i/>
        </w:rPr>
        <w:t>ens inquantum ens</w:t>
      </w:r>
      <w:r w:rsidR="000D69EB" w:rsidRPr="003D1E07">
        <w:rPr>
          <w:i/>
        </w:rPr>
        <w:fldChar w:fldCharType="begin"/>
      </w:r>
      <w:r w:rsidR="000D69EB" w:rsidRPr="003D1E07">
        <w:instrText xml:space="preserve"> XE "</w:instrText>
      </w:r>
      <w:r w:rsidR="000D69EB" w:rsidRPr="003D1E07">
        <w:rPr>
          <w:i/>
        </w:rPr>
        <w:instrText>ens inquantum ens</w:instrText>
      </w:r>
      <w:r w:rsidR="000D69EB" w:rsidRPr="003D1E07">
        <w:instrText xml:space="preserve">" </w:instrText>
      </w:r>
      <w:r w:rsidR="000D69EB" w:rsidRPr="003D1E07">
        <w:rPr>
          <w:i/>
        </w:rPr>
        <w:fldChar w:fldCharType="end"/>
      </w:r>
      <w:r w:rsidR="000D69EB" w:rsidRPr="003D1E07">
        <w:t xml:space="preserve">) postavenou mimo jakoukoliv kategorální predikaci. </w:t>
      </w:r>
      <w:r w:rsidR="007D3E28" w:rsidRPr="003D1E07">
        <w:t>Buď</w:t>
      </w:r>
      <w:r w:rsidR="00AD0193" w:rsidRPr="003D1E07">
        <w:t xml:space="preserve"> v souladu s Aristotelem </w:t>
      </w:r>
      <w:r w:rsidR="0042231D" w:rsidRPr="003D1E07">
        <w:t xml:space="preserve">uchopili tuto </w:t>
      </w:r>
      <w:r w:rsidR="00AD0193" w:rsidRPr="003D1E07">
        <w:t xml:space="preserve"> </w:t>
      </w:r>
      <w:r w:rsidR="009D0A3F" w:rsidRPr="003D1E07">
        <w:t>neděliteln</w:t>
      </w:r>
      <w:r w:rsidR="00AD0193" w:rsidRPr="003D1E07">
        <w:t xml:space="preserve">ou </w:t>
      </w:r>
      <w:r w:rsidR="009D0A3F" w:rsidRPr="003D1E07">
        <w:t>substanc</w:t>
      </w:r>
      <w:r w:rsidR="00AD0193" w:rsidRPr="003D1E07">
        <w:t>i</w:t>
      </w:r>
      <w:r w:rsidR="009D0A3F" w:rsidRPr="003D1E07">
        <w:t xml:space="preserve"> </w:t>
      </w:r>
      <w:r w:rsidR="007D3E28" w:rsidRPr="003D1E07">
        <w:t xml:space="preserve">ve smyslu </w:t>
      </w:r>
      <w:r w:rsidR="0868533D" w:rsidRPr="003D1E07">
        <w:t xml:space="preserve">hyparchického </w:t>
      </w:r>
      <w:r w:rsidR="007D3E28" w:rsidRPr="003D1E07">
        <w:t xml:space="preserve">primátu </w:t>
      </w:r>
      <w:r w:rsidR="0006624B" w:rsidRPr="003D1E07">
        <w:t xml:space="preserve">reálně existující </w:t>
      </w:r>
      <w:r w:rsidR="007D3E28" w:rsidRPr="003D1E07">
        <w:t xml:space="preserve">jednotliviny </w:t>
      </w:r>
      <w:r w:rsidR="009049A0" w:rsidRPr="003D1E07">
        <w:t>(τόδε τι</w:t>
      </w:r>
      <w:r w:rsidR="00500B31" w:rsidRPr="003D1E07">
        <w:fldChar w:fldCharType="begin"/>
      </w:r>
      <w:r w:rsidR="00500B31" w:rsidRPr="003D1E07">
        <w:instrText xml:space="preserve"> XE "substance:τόδε τι" </w:instrText>
      </w:r>
      <w:r w:rsidR="00500B31" w:rsidRPr="003D1E07">
        <w:fldChar w:fldCharType="end"/>
      </w:r>
      <w:r w:rsidR="009049A0" w:rsidRPr="003D1E07">
        <w:t xml:space="preserve">) </w:t>
      </w:r>
      <w:r w:rsidR="007D3E28" w:rsidRPr="003D1E07">
        <w:t xml:space="preserve">dané </w:t>
      </w:r>
      <w:r w:rsidR="007D3E28" w:rsidRPr="003D1E07">
        <w:rPr>
          <w:i/>
        </w:rPr>
        <w:t>per prius</w:t>
      </w:r>
      <w:r w:rsidR="00B45C9A" w:rsidRPr="003D1E07">
        <w:t>. N</w:t>
      </w:r>
      <w:r w:rsidR="00E80456" w:rsidRPr="003D1E07">
        <w:t xml:space="preserve">ebo </w:t>
      </w:r>
      <w:r w:rsidR="0042231D" w:rsidRPr="003D1E07">
        <w:t xml:space="preserve">importovali </w:t>
      </w:r>
      <w:r w:rsidR="007425DB" w:rsidRPr="003D1E07">
        <w:t xml:space="preserve">tuto </w:t>
      </w:r>
      <w:r w:rsidR="00AD0193" w:rsidRPr="003D1E07">
        <w:t xml:space="preserve">nedělitelnost do </w:t>
      </w:r>
      <w:r w:rsidR="007D3E28" w:rsidRPr="003D1E07">
        <w:t>kategoriál</w:t>
      </w:r>
      <w:r w:rsidR="00572CA8" w:rsidRPr="003D1E07">
        <w:t>ní výpovědi</w:t>
      </w:r>
      <w:r w:rsidR="00BA1FBE" w:rsidRPr="003D1E07">
        <w:t xml:space="preserve"> opřené o ambivalentní statut </w:t>
      </w:r>
      <w:r w:rsidR="08867E35" w:rsidRPr="003D1E07">
        <w:t xml:space="preserve">individua predikovaného </w:t>
      </w:r>
      <w:r w:rsidR="086732BF" w:rsidRPr="003D1E07">
        <w:t>v rámci hypostázovaného</w:t>
      </w:r>
      <w:r w:rsidR="00EF5B1E" w:rsidRPr="003D1E07">
        <w:t xml:space="preserve"> </w:t>
      </w:r>
      <w:r w:rsidR="00636BD4" w:rsidRPr="003D1E07">
        <w:t>genus</w:t>
      </w:r>
      <w:r w:rsidR="00FB4B7C" w:rsidRPr="003D1E07">
        <w:t xml:space="preserve"> a </w:t>
      </w:r>
      <w:r w:rsidR="00F214C5" w:rsidRPr="003D1E07">
        <w:t>species</w:t>
      </w:r>
      <w:r w:rsidR="00BA1FBE" w:rsidRPr="003D1E07">
        <w:t>. T</w:t>
      </w:r>
      <w:r w:rsidR="00572CA8" w:rsidRPr="003D1E07">
        <w:t xml:space="preserve">ím </w:t>
      </w:r>
      <w:r w:rsidR="00677E14" w:rsidRPr="003D1E07">
        <w:t xml:space="preserve">ale </w:t>
      </w:r>
      <w:r w:rsidR="00AC22EF">
        <w:t>zrušili</w:t>
      </w:r>
      <w:r w:rsidR="00572CA8" w:rsidRPr="003D1E07">
        <w:t xml:space="preserve"> </w:t>
      </w:r>
      <w:r w:rsidR="00EC0298" w:rsidRPr="003D1E07">
        <w:t xml:space="preserve">absolutní </w:t>
      </w:r>
      <w:r w:rsidR="00572CA8" w:rsidRPr="003D1E07">
        <w:t>význam</w:t>
      </w:r>
      <w:r w:rsidR="00877B92" w:rsidRPr="003D1E07">
        <w:t xml:space="preserve"> první substance</w:t>
      </w:r>
      <w:r w:rsidR="08867E35" w:rsidRPr="003D1E07">
        <w:t xml:space="preserve"> a</w:t>
      </w:r>
      <w:r w:rsidR="086732BF" w:rsidRPr="003D1E07">
        <w:t xml:space="preserve"> predikují bytí jako </w:t>
      </w:r>
      <w:r w:rsidR="08142102" w:rsidRPr="003D1E07">
        <w:t xml:space="preserve">neoplatonský </w:t>
      </w:r>
      <w:r w:rsidR="00AC22EF">
        <w:t>nejvyšší rod, což zásadně odmítá</w:t>
      </w:r>
      <w:r w:rsidR="086732BF" w:rsidRPr="003D1E07">
        <w:t xml:space="preserve"> aristotelismus. </w:t>
      </w:r>
      <w:r w:rsidR="004A7B84" w:rsidRPr="003D1E07">
        <w:t>Řešení se našlo tím, že se zachoval</w:t>
      </w:r>
      <w:r w:rsidR="000361CA" w:rsidRPr="003D1E07">
        <w:t xml:space="preserve"> primát atomární substance jako univerzálie, </w:t>
      </w:r>
      <w:r w:rsidR="00217E29" w:rsidRPr="003D1E07">
        <w:t xml:space="preserve">viz druhý bod. </w:t>
      </w:r>
      <w:r w:rsidR="08A01C8B" w:rsidRPr="003D1E07">
        <w:t xml:space="preserve">Individuum je dáno v rámci zcela odděleného náhledu na objektivní jsoucnost danou jak mimo reálnou jsoucnost první substance tak mimo kategoriální význam druhé substance. </w:t>
      </w:r>
      <w:r w:rsidR="00217E29" w:rsidRPr="003D1E07">
        <w:t xml:space="preserve">Ale toto </w:t>
      </w:r>
      <w:r w:rsidR="085823FA" w:rsidRPr="003D1E07">
        <w:t xml:space="preserve">individuum se sofisticky spojilo s druhou substancí </w:t>
      </w:r>
      <w:r w:rsidR="00276D58">
        <w:t xml:space="preserve">a </w:t>
      </w:r>
      <w:r w:rsidR="00BD46FB" w:rsidRPr="003D1E07">
        <w:t>predikuje</w:t>
      </w:r>
      <w:r w:rsidR="004A7B84" w:rsidRPr="003D1E07">
        <w:t xml:space="preserve"> </w:t>
      </w:r>
      <w:r w:rsidR="085823FA" w:rsidRPr="003D1E07">
        <w:t xml:space="preserve">se </w:t>
      </w:r>
      <w:r w:rsidR="000361CA" w:rsidRPr="003D1E07">
        <w:t xml:space="preserve">v tabulce kategorií </w:t>
      </w:r>
      <w:r w:rsidR="00C80FEF" w:rsidRPr="003D1E07">
        <w:t>společně s reálnou první substa</w:t>
      </w:r>
      <w:r w:rsidR="08285524" w:rsidRPr="003D1E07">
        <w:t>nc</w:t>
      </w:r>
      <w:r w:rsidR="08733F8E" w:rsidRPr="003D1E07">
        <w:t>í</w:t>
      </w:r>
      <w:r w:rsidR="08285524" w:rsidRPr="003D1E07">
        <w:t xml:space="preserve">. </w:t>
      </w:r>
      <w:r w:rsidR="08D03E5F" w:rsidRPr="003D1E07">
        <w:t>N</w:t>
      </w:r>
      <w:r w:rsidR="08353536" w:rsidRPr="003D1E07">
        <w:t xml:space="preserve">ová </w:t>
      </w:r>
      <w:r w:rsidR="00C40F94">
        <w:t xml:space="preserve">transcendentální logika </w:t>
      </w:r>
      <w:r w:rsidR="08353536" w:rsidRPr="003D1E07">
        <w:t>se primárně vztahuje k první a ke druhé substanci</w:t>
      </w:r>
      <w:r w:rsidR="003E162E" w:rsidRPr="003D1E07">
        <w:t xml:space="preserve"> v aristotelském smyslu </w:t>
      </w:r>
      <w:r w:rsidR="08353536" w:rsidRPr="003D1E07">
        <w:t xml:space="preserve">a </w:t>
      </w:r>
      <w:r w:rsidR="003E162E" w:rsidRPr="003D1E07">
        <w:t xml:space="preserve">do predikace přibrala mytopoetický koncept objektivní </w:t>
      </w:r>
      <w:r w:rsidR="00F71272" w:rsidRPr="003D1E07">
        <w:t>„</w:t>
      </w:r>
      <w:r w:rsidR="003E162E" w:rsidRPr="003D1E07">
        <w:t>ex</w:t>
      </w:r>
      <w:r w:rsidR="00B858ED">
        <w:t>s</w:t>
      </w:r>
      <w:r w:rsidR="003E162E" w:rsidRPr="003D1E07">
        <w:t>istence</w:t>
      </w:r>
      <w:r w:rsidR="00F71272" w:rsidRPr="003D1E07">
        <w:t>“</w:t>
      </w:r>
      <w:r w:rsidR="003E162E" w:rsidRPr="003D1E07">
        <w:t xml:space="preserve">. Tím </w:t>
      </w:r>
      <w:r w:rsidR="00F71272" w:rsidRPr="003D1E07">
        <w:t xml:space="preserve">vzniklo moderní </w:t>
      </w:r>
      <w:r w:rsidR="00F71272" w:rsidRPr="003D1E07">
        <w:rPr>
          <w:i/>
        </w:rPr>
        <w:t>individuum</w:t>
      </w:r>
      <w:r w:rsidR="00F71272" w:rsidRPr="003D1E07">
        <w:t xml:space="preserve"> jako další jsoucno třetího druhu. Zavedením „</w:t>
      </w:r>
      <w:r w:rsidR="00B858ED">
        <w:t xml:space="preserve">objektivně </w:t>
      </w:r>
      <w:r w:rsidR="00F71272" w:rsidRPr="003D1E07">
        <w:t xml:space="preserve">existujícího individua“ </w:t>
      </w:r>
      <w:r w:rsidR="0061442B" w:rsidRPr="003D1E07">
        <w:t xml:space="preserve">se spojila </w:t>
      </w:r>
      <w:r w:rsidR="00930C0C" w:rsidRPr="003D1E07">
        <w:t xml:space="preserve">dvojí predikace jsoucna. Aristotelská substance (hyparchická impozice) dostává objektivní a esenciální existenci, aby završila jednotu moderního jsoucna (objektivní impozice). </w:t>
      </w:r>
      <w:r w:rsidR="086D1C54" w:rsidRPr="003D1E07">
        <w:t xml:space="preserve">Vazbou na nedělitelnou </w:t>
      </w:r>
      <w:r w:rsidR="08D91CEA" w:rsidRPr="003D1E07">
        <w:t xml:space="preserve">první </w:t>
      </w:r>
      <w:r w:rsidR="00014126">
        <w:t xml:space="preserve">a reálnou </w:t>
      </w:r>
      <w:r w:rsidR="083045B2" w:rsidRPr="003D1E07">
        <w:t xml:space="preserve">substanci </w:t>
      </w:r>
      <w:r w:rsidR="08D91CEA" w:rsidRPr="003D1E07">
        <w:t xml:space="preserve">oddělenou od individua </w:t>
      </w:r>
      <w:r w:rsidR="08733F8E" w:rsidRPr="003D1E07">
        <w:t xml:space="preserve">se tato predikace odlišila od neoplatonské </w:t>
      </w:r>
      <w:r w:rsidR="08733F8E" w:rsidRPr="003D1E07">
        <w:rPr>
          <w:i/>
        </w:rPr>
        <w:t>scientia transcendens</w:t>
      </w:r>
      <w:r w:rsidR="08733F8E" w:rsidRPr="003D1E07">
        <w:rPr>
          <w:i/>
        </w:rPr>
        <w:fldChar w:fldCharType="begin"/>
      </w:r>
      <w:r w:rsidR="08733F8E" w:rsidRPr="003D1E07">
        <w:instrText xml:space="preserve"> XE "</w:instrText>
      </w:r>
      <w:r w:rsidR="08733F8E" w:rsidRPr="003D1E07">
        <w:rPr>
          <w:i/>
        </w:rPr>
        <w:instrText>scientia transcendens</w:instrText>
      </w:r>
      <w:r w:rsidR="08733F8E" w:rsidRPr="003D1E07">
        <w:instrText xml:space="preserve">" </w:instrText>
      </w:r>
      <w:r w:rsidR="08733F8E" w:rsidRPr="003D1E07">
        <w:rPr>
          <w:i/>
        </w:rPr>
        <w:fldChar w:fldCharType="end"/>
      </w:r>
      <w:r w:rsidR="0045735E" w:rsidRPr="003D1E07">
        <w:t xml:space="preserve">. V ní je individuum přímo vztažené k věčnému species a nepřímo k </w:t>
      </w:r>
      <w:r w:rsidR="086D1C54" w:rsidRPr="003D1E07">
        <w:t xml:space="preserve">Jednomu. </w:t>
      </w:r>
      <w:r w:rsidR="083045B2" w:rsidRPr="003D1E07">
        <w:t xml:space="preserve">Kategoriální vazbou na přímo nazírané objektivní individuum </w:t>
      </w:r>
      <w:r w:rsidR="005962D0" w:rsidRPr="003D1E07">
        <w:t xml:space="preserve">jako novou první substanci </w:t>
      </w:r>
      <w:r w:rsidR="083045B2" w:rsidRPr="003D1E07">
        <w:t xml:space="preserve">se nová </w:t>
      </w:r>
      <w:r w:rsidR="08733F8E" w:rsidRPr="003D1E07">
        <w:rPr>
          <w:i/>
        </w:rPr>
        <w:t xml:space="preserve">scientia transcendens </w:t>
      </w:r>
      <w:r w:rsidR="08733F8E" w:rsidRPr="003D1E07">
        <w:t xml:space="preserve">se změnila na </w:t>
      </w:r>
      <w:r w:rsidR="088F3B04" w:rsidRPr="003D1E07">
        <w:t xml:space="preserve">objektivní </w:t>
      </w:r>
      <w:r w:rsidR="08733F8E" w:rsidRPr="003D1E07">
        <w:t xml:space="preserve">metafyziku. </w:t>
      </w:r>
      <w:r w:rsidR="001F166F" w:rsidRPr="003D1E07">
        <w:lastRenderedPageBreak/>
        <w:t xml:space="preserve">Duns Scotus vytvořil tuto </w:t>
      </w:r>
      <w:r w:rsidR="08733F8E" w:rsidRPr="003D1E07">
        <w:t xml:space="preserve">novou </w:t>
      </w:r>
      <w:r w:rsidR="001F166F" w:rsidRPr="003D1E07">
        <w:t xml:space="preserve">kategoriální </w:t>
      </w:r>
      <w:r w:rsidR="08733F8E" w:rsidRPr="003D1E07">
        <w:t xml:space="preserve">predikaci </w:t>
      </w:r>
      <w:r w:rsidR="001F166F" w:rsidRPr="003D1E07">
        <w:t xml:space="preserve">na základě </w:t>
      </w:r>
      <w:r w:rsidR="00BC4710" w:rsidRPr="003D1E07">
        <w:t xml:space="preserve">absolutně pojaté </w:t>
      </w:r>
      <w:r w:rsidR="08DD6B72" w:rsidRPr="003D1E07">
        <w:t xml:space="preserve">supozice </w:t>
      </w:r>
      <w:r w:rsidR="00BC4710" w:rsidRPr="003D1E07">
        <w:t>pro logicky pojaté</w:t>
      </w:r>
      <w:r w:rsidR="00D2580D" w:rsidRPr="003D1E07">
        <w:t xml:space="preserve"> </w:t>
      </w:r>
      <w:r w:rsidR="00BC4710" w:rsidRPr="003D1E07">
        <w:t>objektivní individuum</w:t>
      </w:r>
      <w:r w:rsidR="00176735" w:rsidRPr="003D1E07">
        <w:t>. Tento modernista t</w:t>
      </w:r>
      <w:r w:rsidR="088F3B04" w:rsidRPr="003D1E07">
        <w:t>ran</w:t>
      </w:r>
      <w:r w:rsidR="08AF62DF" w:rsidRPr="003D1E07">
        <w:t>s</w:t>
      </w:r>
      <w:r w:rsidR="00176735" w:rsidRPr="003D1E07">
        <w:t>formoval neoplatonskou</w:t>
      </w:r>
      <w:r w:rsidR="088F3B04" w:rsidRPr="003D1E07">
        <w:t xml:space="preserve"> </w:t>
      </w:r>
      <w:r w:rsidR="083045B2" w:rsidRPr="003D1E07">
        <w:rPr>
          <w:i/>
        </w:rPr>
        <w:t>scientia transcendens</w:t>
      </w:r>
      <w:r w:rsidR="083045B2" w:rsidRPr="003D1E07">
        <w:t xml:space="preserve"> </w:t>
      </w:r>
      <w:r w:rsidR="00176735" w:rsidRPr="003D1E07">
        <w:t xml:space="preserve">a </w:t>
      </w:r>
      <w:r w:rsidR="082F59B3" w:rsidRPr="003D1E07">
        <w:t xml:space="preserve">vytvořil </w:t>
      </w:r>
      <w:r w:rsidR="083045B2" w:rsidRPr="003D1E07">
        <w:t xml:space="preserve">objektivní </w:t>
      </w:r>
      <w:r w:rsidR="00CB4F84" w:rsidRPr="003D1E07">
        <w:t xml:space="preserve">a plně moderní </w:t>
      </w:r>
      <w:r w:rsidR="083045B2" w:rsidRPr="003D1E07">
        <w:t xml:space="preserve">verzi </w:t>
      </w:r>
      <w:r w:rsidR="083045B2" w:rsidRPr="003D1E07">
        <w:rPr>
          <w:i/>
        </w:rPr>
        <w:t>metaphysica transcendens</w:t>
      </w:r>
      <w:r w:rsidR="08733F8E" w:rsidRPr="003D1E07">
        <w:fldChar w:fldCharType="begin"/>
      </w:r>
      <w:r w:rsidR="08733F8E" w:rsidRPr="003D1E07">
        <w:instrText xml:space="preserve"> XE "</w:instrText>
      </w:r>
      <w:r w:rsidR="082E5AD2" w:rsidRPr="003D1E07">
        <w:rPr>
          <w:i/>
          <w:szCs w:val="24"/>
        </w:rPr>
        <w:instrText>metaphysica transcendens</w:instrText>
      </w:r>
      <w:r w:rsidR="08733F8E" w:rsidRPr="003D1E07">
        <w:instrText xml:space="preserve">" </w:instrText>
      </w:r>
      <w:r w:rsidR="08733F8E" w:rsidRPr="003D1E07">
        <w:fldChar w:fldCharType="end"/>
      </w:r>
      <w:r w:rsidR="00CB4F84" w:rsidRPr="003D1E07">
        <w:t xml:space="preserve">. </w:t>
      </w:r>
      <w:r w:rsidR="08733F8E" w:rsidRPr="003D1E07">
        <w:t xml:space="preserve">Suárez </w:t>
      </w:r>
      <w:r w:rsidR="00CB4F84" w:rsidRPr="003D1E07">
        <w:t xml:space="preserve">z ní </w:t>
      </w:r>
      <w:r w:rsidR="08733F8E" w:rsidRPr="003D1E07">
        <w:fldChar w:fldCharType="begin"/>
      </w:r>
      <w:r w:rsidR="08733F8E" w:rsidRPr="003D1E07">
        <w:instrText xml:space="preserve"> XE "Suárez, F." </w:instrText>
      </w:r>
      <w:r w:rsidR="08733F8E" w:rsidRPr="003D1E07">
        <w:fldChar w:fldCharType="end"/>
      </w:r>
      <w:r w:rsidR="08F92C51" w:rsidRPr="003D1E07">
        <w:t xml:space="preserve">udělal </w:t>
      </w:r>
      <w:r w:rsidR="00CB4F84" w:rsidRPr="003D1E07">
        <w:t xml:space="preserve">první </w:t>
      </w:r>
      <w:r w:rsidR="08733F8E" w:rsidRPr="003D1E07">
        <w:t xml:space="preserve">postmoderní systém </w:t>
      </w:r>
      <w:r w:rsidR="08733F8E" w:rsidRPr="003D1E07">
        <w:rPr>
          <w:i/>
        </w:rPr>
        <w:t>metaphysica generalis</w:t>
      </w:r>
      <w:r w:rsidR="08733F8E" w:rsidRPr="003D1E07">
        <w:fldChar w:fldCharType="begin"/>
      </w:r>
      <w:r w:rsidR="08733F8E" w:rsidRPr="003D1E07">
        <w:instrText xml:space="preserve"> XE "</w:instrText>
      </w:r>
      <w:r w:rsidR="082E5AD2" w:rsidRPr="003D1E07">
        <w:rPr>
          <w:i/>
          <w:szCs w:val="24"/>
        </w:rPr>
        <w:instrText xml:space="preserve"> metaphysica generalis</w:instrText>
      </w:r>
      <w:r w:rsidR="08733F8E" w:rsidRPr="003D1E07">
        <w:instrText xml:space="preserve">" </w:instrText>
      </w:r>
      <w:r w:rsidR="08733F8E" w:rsidRPr="003D1E07">
        <w:fldChar w:fldCharType="end"/>
      </w:r>
      <w:r w:rsidR="08733F8E" w:rsidRPr="003D1E07">
        <w:t>.</w:t>
      </w:r>
    </w:p>
    <w:p w14:paraId="03A231EF" w14:textId="77777777" w:rsidR="00141565" w:rsidRDefault="00D151B5" w:rsidP="00CB0B3F">
      <w:r w:rsidRPr="003D1E07">
        <w:t xml:space="preserve">Spor o </w:t>
      </w:r>
      <w:r w:rsidR="000B6F20" w:rsidRPr="003D1E07">
        <w:t xml:space="preserve">Aristotelovu první </w:t>
      </w:r>
      <w:r w:rsidR="00380CAC" w:rsidRPr="003D1E07">
        <w:t xml:space="preserve">substanci označenou </w:t>
      </w:r>
      <w:r w:rsidR="00A91582" w:rsidRPr="003D1E07">
        <w:t>Ploti</w:t>
      </w:r>
      <w:r w:rsidR="000B6F20" w:rsidRPr="003D1E07">
        <w:t>n</w:t>
      </w:r>
      <w:r w:rsidR="00380CAC" w:rsidRPr="003D1E07">
        <w:t xml:space="preserve">em jako </w:t>
      </w:r>
      <w:r w:rsidR="08A33A8E" w:rsidRPr="003D1E07">
        <w:t>pseudo-substanci</w:t>
      </w:r>
      <w:r w:rsidRPr="003D1E07">
        <w:t xml:space="preserve"> </w:t>
      </w:r>
      <w:r w:rsidR="00241F58" w:rsidRPr="003D1E07">
        <w:t xml:space="preserve">(ἐνθάδε οὐσία) </w:t>
      </w:r>
      <w:r w:rsidRPr="003D1E07">
        <w:t xml:space="preserve">dostal </w:t>
      </w:r>
      <w:r w:rsidR="00317E9F" w:rsidRPr="003D1E07">
        <w:t xml:space="preserve">od třetího století </w:t>
      </w:r>
      <w:r w:rsidRPr="003D1E07">
        <w:t xml:space="preserve">dramatický charakter. </w:t>
      </w:r>
      <w:r w:rsidR="00A91582" w:rsidRPr="003D1E07">
        <w:t>Už u samotného Porfy</w:t>
      </w:r>
      <w:r w:rsidR="000D060A" w:rsidRPr="003D1E07">
        <w:t>ria není jasné, jak je jednota nedělitelného významu dána vzhledem k reálně</w:t>
      </w:r>
      <w:r w:rsidR="00B408F9" w:rsidRPr="003D1E07">
        <w:t xml:space="preserve"> dané první substanci:</w:t>
      </w:r>
      <w:r w:rsidR="005F564C" w:rsidRPr="003D1E07">
        <w:t xml:space="preserve"> logicky</w:t>
      </w:r>
      <w:r w:rsidR="00B408F9" w:rsidRPr="003D1E07">
        <w:t xml:space="preserve">, </w:t>
      </w:r>
      <w:r w:rsidR="005F564C" w:rsidRPr="003D1E07">
        <w:t>metafyzicky</w:t>
      </w:r>
      <w:r w:rsidR="00B408F9" w:rsidRPr="003D1E07">
        <w:t>,</w:t>
      </w:r>
      <w:r w:rsidR="005F564C" w:rsidRPr="003D1E07">
        <w:t xml:space="preserve"> nebo jen séma</w:t>
      </w:r>
      <w:r w:rsidR="001635D9" w:rsidRPr="003D1E07">
        <w:t>n</w:t>
      </w:r>
      <w:r w:rsidR="005F564C" w:rsidRPr="003D1E07">
        <w:t>ticky</w:t>
      </w:r>
      <w:r w:rsidR="00920089" w:rsidRPr="003D1E07">
        <w:t>?</w:t>
      </w:r>
      <w:r w:rsidR="000D060A" w:rsidRPr="003D1E07">
        <w:t xml:space="preserve"> Tuto ambivalenci </w:t>
      </w:r>
      <w:r w:rsidR="00B10114" w:rsidRPr="003D1E07">
        <w:t xml:space="preserve">atomární </w:t>
      </w:r>
      <w:r w:rsidR="000D060A" w:rsidRPr="003D1E07">
        <w:t>substance ukáže pozdější spor o uni</w:t>
      </w:r>
      <w:r w:rsidR="080D5269" w:rsidRPr="003D1E07">
        <w:t>versália</w:t>
      </w:r>
      <w:r w:rsidR="00F60DFE" w:rsidRPr="003D1E07">
        <w:fldChar w:fldCharType="begin"/>
      </w:r>
      <w:r w:rsidR="00F60DFE" w:rsidRPr="003D1E07">
        <w:instrText xml:space="preserve"> XE "</w:instrText>
      </w:r>
      <w:r w:rsidR="00E07DA6" w:rsidRPr="003D1E07">
        <w:instrText xml:space="preserve">spor o </w:instrText>
      </w:r>
      <w:r w:rsidR="00F60DFE" w:rsidRPr="003D1E07">
        <w:instrText xml:space="preserve">univerzália" </w:instrText>
      </w:r>
      <w:r w:rsidR="00F60DFE" w:rsidRPr="003D1E07">
        <w:fldChar w:fldCharType="end"/>
      </w:r>
      <w:r w:rsidR="000D060A" w:rsidRPr="003D1E07">
        <w:t xml:space="preserve">. </w:t>
      </w:r>
      <w:r w:rsidR="007A5C7E" w:rsidRPr="003D1E07">
        <w:t>P</w:t>
      </w:r>
      <w:r w:rsidR="00533C78" w:rsidRPr="003D1E07">
        <w:t xml:space="preserve">o transformaci </w:t>
      </w:r>
      <w:r w:rsidR="00F931AA" w:rsidRPr="003D1E07">
        <w:t>substance na její ambivale</w:t>
      </w:r>
      <w:r w:rsidR="0080464C" w:rsidRPr="003D1E07">
        <w:t>n</w:t>
      </w:r>
      <w:r w:rsidR="00F931AA" w:rsidRPr="003D1E07">
        <w:t xml:space="preserve">tní podobu </w:t>
      </w:r>
      <w:r w:rsidR="007A5C7E" w:rsidRPr="003D1E07">
        <w:t xml:space="preserve">se nedělitelnost vztahuje </w:t>
      </w:r>
      <w:r w:rsidR="007B5833" w:rsidRPr="003D1E07">
        <w:t>k</w:t>
      </w:r>
      <w:r w:rsidR="08EB26C6" w:rsidRPr="003D1E07">
        <w:t xml:space="preserve">e </w:t>
      </w:r>
      <w:r w:rsidR="007A5C7E" w:rsidRPr="003D1E07">
        <w:t xml:space="preserve">konceptu jednotliviny </w:t>
      </w:r>
      <w:r w:rsidR="089B1AF8" w:rsidRPr="003D1E07">
        <w:t xml:space="preserve">jako </w:t>
      </w:r>
      <w:r w:rsidR="00B405E9" w:rsidRPr="003D1E07">
        <w:t>ně</w:t>
      </w:r>
      <w:r w:rsidR="001C2590" w:rsidRPr="003D1E07">
        <w:t>čeho</w:t>
      </w:r>
      <w:r w:rsidR="00B405E9" w:rsidRPr="003D1E07">
        <w:t xml:space="preserve"> určeného</w:t>
      </w:r>
      <w:r w:rsidR="007D3E28" w:rsidRPr="003D1E07">
        <w:t xml:space="preserve"> (τοιόνδε</w:t>
      </w:r>
      <w:r w:rsidR="00640BE5" w:rsidRPr="003D1E07">
        <w:fldChar w:fldCharType="begin"/>
      </w:r>
      <w:r w:rsidR="00640BE5" w:rsidRPr="003D1E07">
        <w:instrText xml:space="preserve"> XE "substance:τοιόνδε" </w:instrText>
      </w:r>
      <w:r w:rsidR="00640BE5" w:rsidRPr="003D1E07">
        <w:fldChar w:fldCharType="end"/>
      </w:r>
      <w:r w:rsidR="007D3E28" w:rsidRPr="003D1E07">
        <w:t>)</w:t>
      </w:r>
      <w:r w:rsidR="006A4B37" w:rsidRPr="003D1E07">
        <w:t>. T</w:t>
      </w:r>
      <w:r w:rsidR="00F5375B" w:rsidRPr="003D1E07">
        <w:t>uto ambivalenci</w:t>
      </w:r>
      <w:r w:rsidR="006A4B37" w:rsidRPr="003D1E07">
        <w:t xml:space="preserve"> </w:t>
      </w:r>
      <w:r w:rsidR="009170B2" w:rsidRPr="003D1E07">
        <w:t xml:space="preserve">ohledně atomární substance </w:t>
      </w:r>
      <w:r w:rsidR="08C72038" w:rsidRPr="003D1E07">
        <w:t xml:space="preserve">v modu τοιόνδε </w:t>
      </w:r>
      <w:r w:rsidR="006A4B37" w:rsidRPr="003D1E07">
        <w:t>přesně vystihl p</w:t>
      </w:r>
      <w:r w:rsidR="007D3E28" w:rsidRPr="003D1E07">
        <w:t>řeklad</w:t>
      </w:r>
      <w:r w:rsidR="08EB26C6" w:rsidRPr="003D1E07">
        <w:t xml:space="preserve"> </w:t>
      </w:r>
      <w:r w:rsidR="08EB26C6" w:rsidRPr="003D1E07">
        <w:rPr>
          <w:i/>
        </w:rPr>
        <w:t>un certain tel</w:t>
      </w:r>
      <w:r w:rsidR="08C72038" w:rsidRPr="003D1E07">
        <w:t xml:space="preserve"> (Taormina 1999, 25)</w:t>
      </w:r>
      <w:r w:rsidR="00F6656D" w:rsidRPr="003D1E07">
        <w:fldChar w:fldCharType="begin"/>
      </w:r>
      <w:r w:rsidR="00F6656D" w:rsidRPr="003D1E07">
        <w:instrText xml:space="preserve"> XE "Taormina, D. P." </w:instrText>
      </w:r>
      <w:r w:rsidR="00F6656D" w:rsidRPr="003D1E07">
        <w:fldChar w:fldCharType="end"/>
      </w:r>
      <w:r w:rsidR="08EB26C6" w:rsidRPr="003D1E07">
        <w:t xml:space="preserve">, kterým </w:t>
      </w:r>
      <w:r w:rsidR="08275ABC" w:rsidRPr="003D1E07">
        <w:t xml:space="preserve">citovaná </w:t>
      </w:r>
      <w:r w:rsidR="08EB26C6" w:rsidRPr="003D1E07">
        <w:t xml:space="preserve">znalkyně neoplatonismu </w:t>
      </w:r>
      <w:r w:rsidR="083723FB" w:rsidRPr="003D1E07">
        <w:t xml:space="preserve">okomentovala </w:t>
      </w:r>
      <w:r w:rsidR="08B14422" w:rsidRPr="003D1E07">
        <w:t xml:space="preserve">status substance </w:t>
      </w:r>
      <w:r w:rsidR="00A91582" w:rsidRPr="003D1E07">
        <w:t>v Porfy</w:t>
      </w:r>
      <w:r w:rsidR="002213E1" w:rsidRPr="003D1E07">
        <w:t xml:space="preserve">riově komentáři </w:t>
      </w:r>
      <w:r w:rsidR="002213E1" w:rsidRPr="003D1E07">
        <w:rPr>
          <w:i/>
        </w:rPr>
        <w:t>Kategorií</w:t>
      </w:r>
      <w:r w:rsidR="009170B2" w:rsidRPr="003D1E07">
        <w:t>.</w:t>
      </w:r>
      <w:r w:rsidR="00A91582" w:rsidRPr="003D1E07">
        <w:t xml:space="preserve"> Hermeneutika bere její výstižný překlad Porfyriova výroku (ὅπερ οὐκέτι τόδε τι νοοῦμεν ἀλλὰ τοιόνδε, </w:t>
      </w:r>
      <w:r w:rsidR="00A91582" w:rsidRPr="003D1E07">
        <w:rPr>
          <w:i/>
        </w:rPr>
        <w:t>Porph. in Cat.</w:t>
      </w:r>
      <w:r w:rsidR="00A91582" w:rsidRPr="003D1E07">
        <w:t xml:space="preserve"> 91.3–4</w:t>
      </w:r>
      <w:r w:rsidR="00A91582" w:rsidRPr="003D1E07">
        <w:fldChar w:fldCharType="begin"/>
      </w:r>
      <w:r w:rsidR="00A91582" w:rsidRPr="003D1E07">
        <w:instrText xml:space="preserve"> XE "</w:instrText>
      </w:r>
      <w:r w:rsidR="08CE5A60" w:rsidRPr="003D1E07">
        <w:instrText>Porfyrius:</w:instrText>
      </w:r>
      <w:r w:rsidR="00A91582" w:rsidRPr="003D1E07">
        <w:rPr>
          <w:i/>
        </w:rPr>
        <w:instrText>Porph. in Cat.</w:instrText>
      </w:r>
      <w:r w:rsidR="00A91582" w:rsidRPr="003D1E07">
        <w:instrText xml:space="preserve"> 91.3–4" </w:instrText>
      </w:r>
      <w:r w:rsidR="00A91582" w:rsidRPr="003D1E07">
        <w:fldChar w:fldCharType="end"/>
      </w:r>
      <w:r w:rsidR="00A91582" w:rsidRPr="003D1E07">
        <w:t>)</w:t>
      </w:r>
      <w:r w:rsidR="089B1AF8" w:rsidRPr="003D1E07">
        <w:t xml:space="preserve"> </w:t>
      </w:r>
      <w:r w:rsidR="08CD128C" w:rsidRPr="003D1E07">
        <w:t xml:space="preserve">a vztahuje tento překlad </w:t>
      </w:r>
      <w:r w:rsidR="089B1AF8" w:rsidRPr="003D1E07">
        <w:t xml:space="preserve">k </w:t>
      </w:r>
      <w:r w:rsidR="00A91582" w:rsidRPr="003D1E07">
        <w:t xml:space="preserve">výše </w:t>
      </w:r>
      <w:r w:rsidR="08CD128C" w:rsidRPr="003D1E07">
        <w:t xml:space="preserve">uvedené </w:t>
      </w:r>
      <w:r w:rsidR="00A91582" w:rsidRPr="003D1E07">
        <w:t xml:space="preserve">trojí ambivalenci </w:t>
      </w:r>
      <w:r w:rsidR="089B1AF8" w:rsidRPr="003D1E07">
        <w:t xml:space="preserve">nedělitelné substance. </w:t>
      </w:r>
      <w:r w:rsidR="00A91582" w:rsidRPr="003D1E07">
        <w:t>Porfy</w:t>
      </w:r>
      <w:r w:rsidR="001B3F24" w:rsidRPr="003D1E07">
        <w:t xml:space="preserve">rius </w:t>
      </w:r>
      <w:r w:rsidR="00260CDC" w:rsidRPr="003D1E07">
        <w:t xml:space="preserve">nakonec </w:t>
      </w:r>
      <w:r w:rsidR="001B3F24" w:rsidRPr="003D1E07">
        <w:t xml:space="preserve">zrušil duální charakter predikace </w:t>
      </w:r>
      <w:r w:rsidR="001B3F24" w:rsidRPr="003D1E07">
        <w:rPr>
          <w:i/>
        </w:rPr>
        <w:t>per prius</w:t>
      </w:r>
      <w:r w:rsidR="001B3F24" w:rsidRPr="003D1E07">
        <w:t xml:space="preserve"> dané v </w:t>
      </w:r>
      <w:r w:rsidR="001B3F24" w:rsidRPr="003D1E07">
        <w:rPr>
          <w:i/>
        </w:rPr>
        <w:t>Kategoriích</w:t>
      </w:r>
      <w:r w:rsidR="001B3F24" w:rsidRPr="003D1E07">
        <w:t xml:space="preserve"> </w:t>
      </w:r>
      <w:r w:rsidR="00050D0B" w:rsidRPr="003D1E07">
        <w:t>2a14‒16</w:t>
      </w:r>
      <w:r w:rsidR="00B33948" w:rsidRPr="003D1E07">
        <w:fldChar w:fldCharType="begin"/>
      </w:r>
      <w:r w:rsidR="00B33948" w:rsidRPr="003D1E07">
        <w:instrText xml:space="preserve"> XE "</w:instrText>
      </w:r>
      <w:r w:rsidR="008E02F5" w:rsidRPr="003D1E07">
        <w:instrText>Aristoteles</w:instrText>
      </w:r>
      <w:r w:rsidR="00B33948" w:rsidRPr="003D1E07">
        <w:instrText>:</w:instrText>
      </w:r>
      <w:r w:rsidR="00B33948" w:rsidRPr="003D1E07">
        <w:rPr>
          <w:i/>
        </w:rPr>
        <w:instrText>Cat</w:instrText>
      </w:r>
      <w:r w:rsidR="00B33948" w:rsidRPr="003D1E07">
        <w:instrText xml:space="preserve">. 2a14‒16" </w:instrText>
      </w:r>
      <w:r w:rsidR="00B33948" w:rsidRPr="003D1E07">
        <w:fldChar w:fldCharType="end"/>
      </w:r>
      <w:r w:rsidR="00050D0B" w:rsidRPr="003D1E07">
        <w:t xml:space="preserve">. První modernista vytvořil v </w:t>
      </w:r>
      <w:r w:rsidR="001B3F24" w:rsidRPr="003D1E07">
        <w:t xml:space="preserve">metafyzice kompromisní řešení tím, že vytvořil </w:t>
      </w:r>
      <w:r w:rsidR="08106C52" w:rsidRPr="003D1E07">
        <w:t xml:space="preserve">ambivalentní </w:t>
      </w:r>
      <w:r w:rsidR="001B3F24" w:rsidRPr="003D1E07">
        <w:t xml:space="preserve">koncept </w:t>
      </w:r>
      <w:r w:rsidR="00282E32" w:rsidRPr="003D1E07">
        <w:t>nedělitelné</w:t>
      </w:r>
      <w:r w:rsidR="088E1666" w:rsidRPr="003D1E07">
        <w:t xml:space="preserve"> </w:t>
      </w:r>
      <w:r w:rsidR="001B3F24" w:rsidRPr="003D1E07">
        <w:t xml:space="preserve">substance. </w:t>
      </w:r>
      <w:r w:rsidR="00140AD6" w:rsidRPr="003D1E07">
        <w:t>Přítomnost j</w:t>
      </w:r>
      <w:r w:rsidR="00B645FC" w:rsidRPr="003D1E07">
        <w:t xml:space="preserve">soucího dostala nový charakter tím, že </w:t>
      </w:r>
      <w:r w:rsidR="00A91582" w:rsidRPr="003D1E07">
        <w:t xml:space="preserve">spis </w:t>
      </w:r>
      <w:r w:rsidR="00A91582" w:rsidRPr="003D1E07">
        <w:rPr>
          <w:i/>
        </w:rPr>
        <w:t>Isagoge</w:t>
      </w:r>
      <w:r w:rsidR="00140AD6" w:rsidRPr="003D1E07">
        <w:t xml:space="preserve"> a komentář </w:t>
      </w:r>
      <w:r w:rsidR="00282E32" w:rsidRPr="003D1E07">
        <w:rPr>
          <w:i/>
        </w:rPr>
        <w:t>Kategorií</w:t>
      </w:r>
      <w:r w:rsidR="00282E32" w:rsidRPr="003D1E07">
        <w:t xml:space="preserve"> </w:t>
      </w:r>
      <w:r w:rsidR="00140AD6" w:rsidRPr="003D1E07">
        <w:t xml:space="preserve">posunuly výklad </w:t>
      </w:r>
      <w:r w:rsidR="004B635A" w:rsidRPr="003D1E07">
        <w:t xml:space="preserve">Aristotelova spisu </w:t>
      </w:r>
      <w:r w:rsidR="00140AD6" w:rsidRPr="003D1E07">
        <w:t>směrem k neoplatonismu.</w:t>
      </w:r>
      <w:r w:rsidR="00476893" w:rsidRPr="003D1E07">
        <w:t xml:space="preserve"> </w:t>
      </w:r>
      <w:r w:rsidR="0874761C" w:rsidRPr="003D1E07">
        <w:t xml:space="preserve">Porfyrius </w:t>
      </w:r>
      <w:r w:rsidR="08643E7E" w:rsidRPr="003D1E07">
        <w:t>zavedl</w:t>
      </w:r>
      <w:r w:rsidR="0874761C" w:rsidRPr="003D1E07">
        <w:t xml:space="preserve"> </w:t>
      </w:r>
      <w:r w:rsidR="08643E7E" w:rsidRPr="003D1E07">
        <w:t>mimo první a druhou substanci</w:t>
      </w:r>
      <w:r w:rsidR="0874761C" w:rsidRPr="003D1E07">
        <w:t xml:space="preserve"> nový status jsoucna třetího druhu</w:t>
      </w:r>
      <w:r w:rsidR="00141565">
        <w:t>.</w:t>
      </w:r>
    </w:p>
    <w:p w14:paraId="2B5A724B" w14:textId="00625234" w:rsidR="00CB0B3F" w:rsidRPr="003D1E07" w:rsidRDefault="08643E7E" w:rsidP="00141565">
      <w:pPr>
        <w:ind w:firstLine="397"/>
      </w:pPr>
      <w:r w:rsidRPr="003D1E07">
        <w:t xml:space="preserve">Nové </w:t>
      </w:r>
      <w:r w:rsidRPr="003D1E07">
        <w:rPr>
          <w:i/>
        </w:rPr>
        <w:t>tertium ens</w:t>
      </w:r>
      <w:r w:rsidRPr="003D1E07">
        <w:t xml:space="preserve"> vzniklo </w:t>
      </w:r>
      <w:r w:rsidR="0874761C" w:rsidRPr="003D1E07">
        <w:t xml:space="preserve">tím, že </w:t>
      </w:r>
      <w:r w:rsidRPr="003D1E07">
        <w:t xml:space="preserve">spis </w:t>
      </w:r>
      <w:r w:rsidRPr="003D1E07">
        <w:rPr>
          <w:i/>
        </w:rPr>
        <w:t>Isagoge</w:t>
      </w:r>
      <w:r w:rsidRPr="003D1E07">
        <w:t xml:space="preserve"> </w:t>
      </w:r>
      <w:r w:rsidR="0874761C" w:rsidRPr="003D1E07">
        <w:t xml:space="preserve">vytvořil individuum jako nový produkt </w:t>
      </w:r>
      <w:r w:rsidR="08620495" w:rsidRPr="003D1E07">
        <w:t xml:space="preserve">dialektického </w:t>
      </w:r>
      <w:r w:rsidR="0874761C" w:rsidRPr="003D1E07">
        <w:t xml:space="preserve">dělení univerzálií. Původní význam tohoto </w:t>
      </w:r>
      <w:r w:rsidR="0874761C" w:rsidRPr="003D1E07">
        <w:rPr>
          <w:i/>
        </w:rPr>
        <w:t>tertium ens</w:t>
      </w:r>
      <w:r w:rsidR="0874761C" w:rsidRPr="003D1E07">
        <w:t xml:space="preserve"> byl hlavně pedagogický</w:t>
      </w:r>
      <w:r w:rsidR="08DC15B1" w:rsidRPr="003D1E07">
        <w:t xml:space="preserve">. Porfyrius chtěl </w:t>
      </w:r>
      <w:r w:rsidR="0874761C" w:rsidRPr="003D1E07">
        <w:t xml:space="preserve">neoplatonikům z Plotinovy školy vysvětlit smysl </w:t>
      </w:r>
      <w:r w:rsidR="08DC15B1" w:rsidRPr="003D1E07">
        <w:t xml:space="preserve">kategoriální </w:t>
      </w:r>
      <w:r w:rsidR="0874761C" w:rsidRPr="003D1E07">
        <w:t>impozice a supozice na jim důvěrně známém dělení rodů a druhů</w:t>
      </w:r>
      <w:r w:rsidR="085541EC" w:rsidRPr="003D1E07">
        <w:t xml:space="preserve"> podle dialogu </w:t>
      </w:r>
      <w:r w:rsidR="085541EC" w:rsidRPr="003D1E07">
        <w:rPr>
          <w:i/>
        </w:rPr>
        <w:t>Sofistes</w:t>
      </w:r>
      <w:r w:rsidR="0874761C" w:rsidRPr="003D1E07">
        <w:t xml:space="preserve">. </w:t>
      </w:r>
      <w:r w:rsidR="00476893" w:rsidRPr="003D1E07">
        <w:t xml:space="preserve">Ambivalence mezi první a druhou substancí </w:t>
      </w:r>
      <w:r w:rsidR="08D71737" w:rsidRPr="003D1E07">
        <w:t xml:space="preserve">vznikla </w:t>
      </w:r>
      <w:r w:rsidR="00476893" w:rsidRPr="003D1E07">
        <w:t xml:space="preserve">tím, že u </w:t>
      </w:r>
      <w:r w:rsidR="00A91582" w:rsidRPr="003D1E07">
        <w:t>Porfy</w:t>
      </w:r>
      <w:r w:rsidR="00476893" w:rsidRPr="003D1E07">
        <w:t xml:space="preserve">ria vznikl nový druh </w:t>
      </w:r>
      <w:r w:rsidR="08AD5556" w:rsidRPr="003D1E07">
        <w:t xml:space="preserve">atomární </w:t>
      </w:r>
      <w:r w:rsidR="08874D2D" w:rsidRPr="003D1E07">
        <w:t>substance-individua</w:t>
      </w:r>
      <w:r w:rsidR="00F60DFE" w:rsidRPr="003D1E07">
        <w:fldChar w:fldCharType="begin"/>
      </w:r>
      <w:r w:rsidR="00F60DFE" w:rsidRPr="003D1E07">
        <w:instrText xml:space="preserve"> XE "substance:</w:instrText>
      </w:r>
      <w:r w:rsidR="088B254C" w:rsidRPr="003D1E07">
        <w:instrText>Porfyrius</w:instrText>
      </w:r>
      <w:r w:rsidR="00F60DFE" w:rsidRPr="003D1E07">
        <w:instrText xml:space="preserve">" </w:instrText>
      </w:r>
      <w:r w:rsidR="00F60DFE" w:rsidRPr="003D1E07">
        <w:fldChar w:fldCharType="end"/>
      </w:r>
      <w:r w:rsidR="08874D2D" w:rsidRPr="003D1E07">
        <w:t>, které</w:t>
      </w:r>
      <w:r w:rsidR="00476893" w:rsidRPr="003D1E07">
        <w:t xml:space="preserve"> v sobě slučuje oba typy nedělitelnosti:</w:t>
      </w:r>
      <w:r w:rsidR="082C7845" w:rsidRPr="003D1E07">
        <w:t xml:space="preserve"> reálné a univerzální</w:t>
      </w:r>
      <w:r w:rsidR="00476893" w:rsidRPr="003D1E07">
        <w:t xml:space="preserve">. </w:t>
      </w:r>
      <w:r w:rsidR="08571B94" w:rsidRPr="003D1E07">
        <w:t xml:space="preserve">Neoplatonští následovníci Porfyria změnili status substance </w:t>
      </w:r>
      <w:r w:rsidR="080001F2" w:rsidRPr="003D1E07">
        <w:t xml:space="preserve">tak, že zrušili impozici od reálné </w:t>
      </w:r>
      <w:r w:rsidR="08571B94" w:rsidRPr="003D1E07">
        <w:t>první substance</w:t>
      </w:r>
      <w:r w:rsidR="080001F2" w:rsidRPr="003D1E07">
        <w:t xml:space="preserve"> poznávané skrze smysly</w:t>
      </w:r>
      <w:r w:rsidR="08571B94" w:rsidRPr="003D1E07">
        <w:t xml:space="preserve">. </w:t>
      </w:r>
      <w:r w:rsidR="08F66569" w:rsidRPr="003D1E07">
        <w:t>Nová nedělitelná s</w:t>
      </w:r>
      <w:r w:rsidR="08571B94" w:rsidRPr="003D1E07">
        <w:t xml:space="preserve">ubstance </w:t>
      </w:r>
      <w:r w:rsidR="08F66569" w:rsidRPr="003D1E07">
        <w:t xml:space="preserve">supozičně </w:t>
      </w:r>
      <w:r w:rsidR="08AD5556" w:rsidRPr="003D1E07">
        <w:t xml:space="preserve">daná </w:t>
      </w:r>
      <w:r w:rsidR="08501C78" w:rsidRPr="003D1E07">
        <w:t xml:space="preserve">jako cokoliv </w:t>
      </w:r>
      <w:r w:rsidR="08571B94" w:rsidRPr="003D1E07">
        <w:t xml:space="preserve">určeného </w:t>
      </w:r>
      <w:r w:rsidR="08E40C03" w:rsidRPr="003D1E07">
        <w:t xml:space="preserve">(τοιόνδε, </w:t>
      </w:r>
      <w:r w:rsidR="08E40C03" w:rsidRPr="003D1E07">
        <w:rPr>
          <w:i/>
        </w:rPr>
        <w:t>hoc aliquid</w:t>
      </w:r>
      <w:r w:rsidR="08E40C03" w:rsidRPr="003D1E07">
        <w:t xml:space="preserve">) </w:t>
      </w:r>
      <w:r w:rsidR="08571B94" w:rsidRPr="003D1E07">
        <w:t xml:space="preserve">nahradila původní hyparchický vztah mezi první a druhou substancí daný v </w:t>
      </w:r>
      <w:r w:rsidR="08571B94" w:rsidRPr="003D1E07">
        <w:rPr>
          <w:i/>
        </w:rPr>
        <w:t>Kategoriích</w:t>
      </w:r>
      <w:r w:rsidR="08571B94" w:rsidRPr="003D1E07">
        <w:t xml:space="preserve">. </w:t>
      </w:r>
      <w:r w:rsidR="08F32EEE" w:rsidRPr="003D1E07">
        <w:t xml:space="preserve">Následníci Porfyria zrušili </w:t>
      </w:r>
      <w:r w:rsidR="08465710" w:rsidRPr="003D1E07">
        <w:t xml:space="preserve">jak </w:t>
      </w:r>
      <w:r w:rsidR="08F32EEE" w:rsidRPr="003D1E07">
        <w:t>oddělený status první substance</w:t>
      </w:r>
      <w:r w:rsidR="08465710" w:rsidRPr="003D1E07">
        <w:t xml:space="preserve"> </w:t>
      </w:r>
      <w:r w:rsidR="08465710" w:rsidRPr="003D1E07">
        <w:lastRenderedPageBreak/>
        <w:t xml:space="preserve">tak její primárně </w:t>
      </w:r>
      <w:r w:rsidR="08FB5F0F" w:rsidRPr="003D1E07">
        <w:t>determinuj</w:t>
      </w:r>
      <w:r w:rsidR="08465710" w:rsidRPr="003D1E07">
        <w:t>í</w:t>
      </w:r>
      <w:r w:rsidR="08FB5F0F" w:rsidRPr="003D1E07">
        <w:t>c</w:t>
      </w:r>
      <w:r w:rsidR="08465710" w:rsidRPr="003D1E07">
        <w:t xml:space="preserve">í funkci pro </w:t>
      </w:r>
      <w:r w:rsidR="00990919">
        <w:t xml:space="preserve">impoziční </w:t>
      </w:r>
      <w:r w:rsidR="08465710" w:rsidRPr="003D1E07">
        <w:t>predikaci a pro pravdivý vědecký soud</w:t>
      </w:r>
      <w:r w:rsidR="08F32EEE" w:rsidRPr="003D1E07">
        <w:t xml:space="preserve">. Spojení obou substancí </w:t>
      </w:r>
      <w:r w:rsidR="081D7207" w:rsidRPr="003D1E07">
        <w:t xml:space="preserve">do nové formy atomární substance </w:t>
      </w:r>
      <w:r w:rsidR="08F32EEE" w:rsidRPr="003D1E07">
        <w:t xml:space="preserve">založilo novou </w:t>
      </w:r>
      <w:r w:rsidR="08887A8A" w:rsidRPr="003D1E07">
        <w:t>metafyziku</w:t>
      </w:r>
      <w:r w:rsidR="088504A3" w:rsidRPr="003D1E07">
        <w:t xml:space="preserve"> mimo reálný charakter aktuální </w:t>
      </w:r>
      <w:r w:rsidR="0056098F">
        <w:t xml:space="preserve">první </w:t>
      </w:r>
      <w:r w:rsidR="088504A3" w:rsidRPr="003D1E07">
        <w:t xml:space="preserve">substance dané </w:t>
      </w:r>
      <w:r w:rsidR="08F32EEE" w:rsidRPr="003D1E07">
        <w:t xml:space="preserve">jako „toto zde“ (τόδε τι). </w:t>
      </w:r>
      <w:r w:rsidR="00476893" w:rsidRPr="003D1E07">
        <w:t xml:space="preserve">Řád bytí a řád predikace </w:t>
      </w:r>
      <w:r w:rsidR="08FF51D9" w:rsidRPr="003D1E07">
        <w:t xml:space="preserve">tvoří </w:t>
      </w:r>
      <w:r w:rsidR="082A3109" w:rsidRPr="003D1E07">
        <w:t xml:space="preserve">od 3. století </w:t>
      </w:r>
      <w:r w:rsidR="00B20B0B" w:rsidRPr="003D1E07">
        <w:t xml:space="preserve">ekvivoční </w:t>
      </w:r>
      <w:r w:rsidR="00476893" w:rsidRPr="003D1E07">
        <w:t xml:space="preserve">jednotu nové kvazi-substance dané </w:t>
      </w:r>
      <w:r w:rsidR="00476893" w:rsidRPr="003D1E07">
        <w:rPr>
          <w:i/>
        </w:rPr>
        <w:t>per prius</w:t>
      </w:r>
      <w:r w:rsidR="00476893" w:rsidRPr="003D1E07">
        <w:t xml:space="preserve">, jejíž </w:t>
      </w:r>
      <w:r w:rsidR="00476893" w:rsidRPr="00B5083B">
        <w:t>logos</w:t>
      </w:r>
      <w:r w:rsidR="082A3109" w:rsidRPr="003D1E07">
        <w:t xml:space="preserve"> determinuje </w:t>
      </w:r>
      <w:r w:rsidR="00B5083B">
        <w:t xml:space="preserve">osvícený </w:t>
      </w:r>
      <w:r w:rsidR="08C64C04" w:rsidRPr="003D1E07">
        <w:t xml:space="preserve">subjekt </w:t>
      </w:r>
      <w:r w:rsidR="00B5083B">
        <w:t xml:space="preserve">moderní </w:t>
      </w:r>
      <w:r w:rsidR="00476893" w:rsidRPr="003D1E07">
        <w:t>metafyziky</w:t>
      </w:r>
      <w:r w:rsidR="00B5083B">
        <w:t>, a ne realita</w:t>
      </w:r>
      <w:r w:rsidR="00476893" w:rsidRPr="003D1E07">
        <w:t>.</w:t>
      </w:r>
      <w:r w:rsidR="00B46C10" w:rsidRPr="003D1E07">
        <w:t xml:space="preserve"> Substance se poprvé stala jsoucnem třetího druhu</w:t>
      </w:r>
      <w:r w:rsidR="00B46C10" w:rsidRPr="003D1E07">
        <w:fldChar w:fldCharType="begin"/>
      </w:r>
      <w:r w:rsidR="00B46C10" w:rsidRPr="003D1E07">
        <w:instrText xml:space="preserve"> XE "</w:instrText>
      </w:r>
      <w:r w:rsidR="00B46C10" w:rsidRPr="003D1E07">
        <w:rPr>
          <w:i/>
        </w:rPr>
        <w:instrText>tertium ens</w:instrText>
      </w:r>
      <w:r w:rsidR="00B46C10" w:rsidRPr="003D1E07">
        <w:instrText>:</w:instrText>
      </w:r>
      <w:r w:rsidR="088B254C" w:rsidRPr="003D1E07">
        <w:instrText>Porfyrius</w:instrText>
      </w:r>
      <w:r w:rsidR="00B46C10" w:rsidRPr="003D1E07">
        <w:instrText xml:space="preserve">" </w:instrText>
      </w:r>
      <w:r w:rsidR="00B46C10" w:rsidRPr="003D1E07">
        <w:fldChar w:fldCharType="end"/>
      </w:r>
      <w:r w:rsidR="00B46C10" w:rsidRPr="003D1E07">
        <w:t xml:space="preserve">, který v sobě spojuje řád bytí jsoucna vlastní první a </w:t>
      </w:r>
      <w:r w:rsidR="00A91582" w:rsidRPr="003D1E07">
        <w:t>druhé substanci, což Aristoteles</w:t>
      </w:r>
      <w:r w:rsidR="00B46C10" w:rsidRPr="003D1E07">
        <w:t xml:space="preserve"> zásadně odmítl. </w:t>
      </w:r>
      <w:r w:rsidR="00476893" w:rsidRPr="003D1E07">
        <w:t xml:space="preserve">V ontoteologickém scénáři pozdního neoplatonismu přestala platit aristotelská logika </w:t>
      </w:r>
      <w:r w:rsidR="00073FE3" w:rsidRPr="003D1E07">
        <w:t xml:space="preserve">vyloučeného třetího </w:t>
      </w:r>
      <w:r w:rsidR="00476893" w:rsidRPr="003D1E07">
        <w:t xml:space="preserve">determinovaná </w:t>
      </w:r>
      <w:r w:rsidR="005E0B3B">
        <w:t xml:space="preserve">primárně </w:t>
      </w:r>
      <w:r w:rsidR="00476893" w:rsidRPr="003D1E07">
        <w:t>existující věcí a</w:t>
      </w:r>
      <w:r w:rsidR="08217F57" w:rsidRPr="003D1E07">
        <w:t xml:space="preserve"> </w:t>
      </w:r>
      <w:r w:rsidR="005E0B3B">
        <w:t xml:space="preserve">sekundárně </w:t>
      </w:r>
      <w:r w:rsidR="08217F57" w:rsidRPr="003D1E07">
        <w:t>univerzální signifikací</w:t>
      </w:r>
      <w:r w:rsidR="00476893" w:rsidRPr="003D1E07">
        <w:t xml:space="preserve">. </w:t>
      </w:r>
      <w:r w:rsidR="002E7D53" w:rsidRPr="003D1E07">
        <w:t xml:space="preserve">Substance se stala nedělitelnou </w:t>
      </w:r>
      <w:r w:rsidR="009F1441" w:rsidRPr="003D1E07">
        <w:t>skrze konjunkci neoplato</w:t>
      </w:r>
      <w:r w:rsidR="002E7D53" w:rsidRPr="003D1E07">
        <w:t xml:space="preserve">nské říše forem a Aristotelovy </w:t>
      </w:r>
      <w:r w:rsidR="002E7D53" w:rsidRPr="003D1E07">
        <w:rPr>
          <w:i/>
        </w:rPr>
        <w:t>Fyziky</w:t>
      </w:r>
      <w:r w:rsidR="002E7D53" w:rsidRPr="003D1E07">
        <w:t xml:space="preserve"> popisující svět nedělitelných a nemateriálních substancí.</w:t>
      </w:r>
      <w:r w:rsidR="00C01C94" w:rsidRPr="003D1E07">
        <w:t xml:space="preserve"> </w:t>
      </w:r>
      <w:r w:rsidR="08684123" w:rsidRPr="003D1E07">
        <w:t xml:space="preserve">Neoplatonici </w:t>
      </w:r>
      <w:r w:rsidR="08FF51D9" w:rsidRPr="003D1E07">
        <w:t xml:space="preserve">chtěli </w:t>
      </w:r>
      <w:r w:rsidR="08684123" w:rsidRPr="003D1E07">
        <w:t xml:space="preserve">zachránit emanační scénář </w:t>
      </w:r>
      <w:r w:rsidR="007C5995" w:rsidRPr="003D1E07">
        <w:t xml:space="preserve">jsoucnosti </w:t>
      </w:r>
      <w:r w:rsidR="08684123" w:rsidRPr="003D1E07">
        <w:t xml:space="preserve">od </w:t>
      </w:r>
      <w:r w:rsidR="08A66D85" w:rsidRPr="003D1E07">
        <w:t xml:space="preserve">transcendentního </w:t>
      </w:r>
      <w:r w:rsidR="08684123" w:rsidRPr="003D1E07">
        <w:t xml:space="preserve">bytí Jednoho, protože jinak by nesmířili Platona s Aristotelem. </w:t>
      </w:r>
      <w:r w:rsidR="00CB0B3F" w:rsidRPr="003D1E07">
        <w:t xml:space="preserve">Metafyzika umístěná za fyziku nakonec našla pochybnou jednotu jsoucího v mytopoetickém kosmu. Aristoteles tuto jednotu </w:t>
      </w:r>
      <w:r w:rsidR="00B85C25" w:rsidRPr="003D1E07">
        <w:t xml:space="preserve">hledal </w:t>
      </w:r>
      <w:r w:rsidR="00CB0B3F" w:rsidRPr="003D1E07">
        <w:t xml:space="preserve">v reálném </w:t>
      </w:r>
      <w:r w:rsidR="00B85C25" w:rsidRPr="003D1E07">
        <w:t>světě</w:t>
      </w:r>
      <w:r w:rsidR="00CB0B3F" w:rsidRPr="003D1E07">
        <w:t>.</w:t>
      </w:r>
    </w:p>
    <w:p w14:paraId="779CF126" w14:textId="47DF78D8" w:rsidR="00EB1010" w:rsidRPr="003D1E07" w:rsidRDefault="00BA706C" w:rsidP="00E70EC8">
      <w:pPr>
        <w:pStyle w:val="Nadpis3"/>
        <w:rPr>
          <w:lang w:val="cs-CZ"/>
        </w:rPr>
      </w:pPr>
      <w:r w:rsidRPr="003D1E07">
        <w:rPr>
          <w:lang w:val="cs-CZ"/>
        </w:rPr>
        <w:br w:type="page"/>
      </w:r>
      <w:bookmarkStart w:id="22" w:name="_Toc93747270"/>
      <w:bookmarkStart w:id="23" w:name="_Toc102906160"/>
      <w:r w:rsidR="08AF6B7D" w:rsidRPr="003D1E07">
        <w:rPr>
          <w:lang w:val="cs-CZ"/>
        </w:rPr>
        <w:lastRenderedPageBreak/>
        <w:t>1.3</w:t>
      </w:r>
      <w:r w:rsidR="007026DD" w:rsidRPr="003D1E07">
        <w:rPr>
          <w:lang w:val="cs-CZ"/>
        </w:rPr>
        <w:t xml:space="preserve">.1 </w:t>
      </w:r>
      <w:r w:rsidR="008C44FB" w:rsidRPr="003D1E07">
        <w:rPr>
          <w:lang w:val="cs-CZ"/>
        </w:rPr>
        <w:t>Z</w:t>
      </w:r>
      <w:r w:rsidR="08FA2929" w:rsidRPr="003D1E07">
        <w:rPr>
          <w:lang w:val="cs-CZ"/>
        </w:rPr>
        <w:t>ásvětí</w:t>
      </w:r>
      <w:r w:rsidR="08D23976" w:rsidRPr="003D1E07">
        <w:rPr>
          <w:lang w:val="cs-CZ"/>
        </w:rPr>
        <w:t xml:space="preserve"> </w:t>
      </w:r>
      <w:r w:rsidR="005A5982" w:rsidRPr="003D1E07">
        <w:rPr>
          <w:lang w:val="cs-CZ"/>
        </w:rPr>
        <w:t>objektivity</w:t>
      </w:r>
      <w:bookmarkEnd w:id="22"/>
      <w:bookmarkEnd w:id="23"/>
      <w:r w:rsidR="00EB1010" w:rsidRPr="003D1E07">
        <w:rPr>
          <w:lang w:val="cs-CZ"/>
        </w:rPr>
        <w:t xml:space="preserve"> </w:t>
      </w:r>
    </w:p>
    <w:p w14:paraId="3496B4AE" w14:textId="77777777" w:rsidR="00A6591F" w:rsidRDefault="002C67C9" w:rsidP="00872583">
      <w:r w:rsidRPr="003D1E07">
        <w:t xml:space="preserve">Hermeneutika našla v Porfyriově výkladu </w:t>
      </w:r>
      <w:r w:rsidRPr="003D1E07">
        <w:rPr>
          <w:i/>
        </w:rPr>
        <w:t>Kategorií</w:t>
      </w:r>
      <w:r w:rsidRPr="003D1E07">
        <w:t xml:space="preserve"> první případ zatmění první substance</w:t>
      </w:r>
      <w:r w:rsidRPr="003D1E07">
        <w:fldChar w:fldCharType="begin"/>
      </w:r>
      <w:r w:rsidRPr="003D1E07">
        <w:instrText xml:space="preserve"> XE "zatmění:substance" </w:instrText>
      </w:r>
      <w:r w:rsidRPr="003D1E07">
        <w:fldChar w:fldCharType="end"/>
      </w:r>
      <w:r w:rsidRPr="003D1E07">
        <w:t xml:space="preserve">, který dostal v následujících staletích epochální charakter. </w:t>
      </w:r>
      <w:r w:rsidR="0043186D" w:rsidRPr="003D1E07">
        <w:t>Z</w:t>
      </w:r>
      <w:r w:rsidR="08707A24" w:rsidRPr="003D1E07">
        <w:t xml:space="preserve">akládající událost objektivity je </w:t>
      </w:r>
      <w:r w:rsidR="001D0560" w:rsidRPr="003D1E07">
        <w:t xml:space="preserve">zkoumaná </w:t>
      </w:r>
      <w:r w:rsidR="08707A24" w:rsidRPr="003D1E07">
        <w:t>z hlediska původní donace bytí (</w:t>
      </w:r>
      <w:r w:rsidR="08707A24" w:rsidRPr="003D1E07">
        <w:rPr>
          <w:i/>
        </w:rPr>
        <w:t>Ereignis</w:t>
      </w:r>
      <w:r w:rsidR="007668E2" w:rsidRPr="003D1E07">
        <w:t xml:space="preserve">). </w:t>
      </w:r>
      <w:r w:rsidR="00163C88" w:rsidRPr="003D1E07">
        <w:t xml:space="preserve">Toto simulákrum vědy, substance a intelektu </w:t>
      </w:r>
      <w:r w:rsidR="00B24A1F" w:rsidRPr="003D1E07">
        <w:t>vzniklo v moderní metafyzice</w:t>
      </w:r>
      <w:r w:rsidR="00163C88" w:rsidRPr="003D1E07">
        <w:t xml:space="preserve"> </w:t>
      </w:r>
      <w:r w:rsidR="00B24A1F" w:rsidRPr="003D1E07">
        <w:t xml:space="preserve">po </w:t>
      </w:r>
      <w:r w:rsidR="00163C88" w:rsidRPr="003D1E07">
        <w:t>zániku mystérií od 4. století</w:t>
      </w:r>
      <w:r w:rsidR="00B24A1F" w:rsidRPr="003D1E07">
        <w:t xml:space="preserve"> jako </w:t>
      </w:r>
      <w:r w:rsidR="009B2E56" w:rsidRPr="003D1E07">
        <w:t xml:space="preserve">odpovídající </w:t>
      </w:r>
      <w:r w:rsidR="00B24A1F" w:rsidRPr="003D1E07">
        <w:t>božská pomsta za chybějící kritický rozum</w:t>
      </w:r>
      <w:r w:rsidR="00163C88" w:rsidRPr="003D1E07">
        <w:t>. Aischylos nechal v posledním dílu své trilogie vyvést Erínye</w:t>
      </w:r>
      <w:r w:rsidR="00163C88" w:rsidRPr="003D1E07">
        <w:fldChar w:fldCharType="begin"/>
      </w:r>
      <w:r w:rsidR="00163C88" w:rsidRPr="003D1E07">
        <w:instrText xml:space="preserve"> XE "Erínye" </w:instrText>
      </w:r>
      <w:r w:rsidR="00163C88" w:rsidRPr="003D1E07">
        <w:fldChar w:fldCharType="end"/>
      </w:r>
      <w:r w:rsidR="00163C88" w:rsidRPr="003D1E07">
        <w:t xml:space="preserve"> na soud moudrého athénského lidu a udělal z nich usmířené bohyně (</w:t>
      </w:r>
      <w:r w:rsidR="00163C88" w:rsidRPr="003D1E07">
        <w:rPr>
          <w:rStyle w:val="st"/>
        </w:rPr>
        <w:t>Εὐμενίδες</w:t>
      </w:r>
      <w:r w:rsidR="00163C88" w:rsidRPr="003D1E07">
        <w:t xml:space="preserve">). Toto usmíření s moudrostí na politické agoře bohužel řecká moderna odmítla provést, mimo jiné i proto, že zmizela archaická forma demokracie. </w:t>
      </w:r>
      <w:r w:rsidR="00C62063" w:rsidRPr="003D1E07">
        <w:t xml:space="preserve"> </w:t>
      </w:r>
      <w:r w:rsidR="007668E2" w:rsidRPr="003D1E07">
        <w:t>Výklad sleduje řeckou</w:t>
      </w:r>
      <w:r w:rsidR="08707A24" w:rsidRPr="003D1E07">
        <w:t xml:space="preserve"> </w:t>
      </w:r>
      <w:r w:rsidR="0043186D" w:rsidRPr="003D1E07">
        <w:rPr>
          <w:i/>
        </w:rPr>
        <w:t>epoché</w:t>
      </w:r>
      <w:r w:rsidR="0043186D" w:rsidRPr="003D1E07">
        <w:t xml:space="preserve"> </w:t>
      </w:r>
      <w:r w:rsidR="007668E2" w:rsidRPr="003D1E07">
        <w:t xml:space="preserve">podle jejího </w:t>
      </w:r>
      <w:r w:rsidR="08707A24" w:rsidRPr="003D1E07">
        <w:t>původní</w:t>
      </w:r>
      <w:r w:rsidR="007668E2" w:rsidRPr="003D1E07">
        <w:t>ho</w:t>
      </w:r>
      <w:r w:rsidR="08707A24" w:rsidRPr="003D1E07">
        <w:t xml:space="preserve"> význam</w:t>
      </w:r>
      <w:r w:rsidR="007668E2" w:rsidRPr="003D1E07">
        <w:t>u odvozeného</w:t>
      </w:r>
      <w:r w:rsidR="08707A24" w:rsidRPr="003D1E07">
        <w:t xml:space="preserve"> od astronomické události zatmění slunce. Objektivně věděno se zatmění slunce reálně konat nemusí, protože </w:t>
      </w:r>
      <w:r w:rsidR="00184E8B" w:rsidRPr="003D1E07">
        <w:t xml:space="preserve">pro moderní vědu </w:t>
      </w:r>
      <w:r w:rsidR="08707A24" w:rsidRPr="003D1E07">
        <w:t xml:space="preserve">není třeba. Intelekt-slunce svítí pořád a evidentně správně. Další </w:t>
      </w:r>
      <w:r w:rsidR="08F61EBC" w:rsidRPr="003D1E07">
        <w:t>etapy</w:t>
      </w:r>
      <w:r w:rsidR="08707A24" w:rsidRPr="003D1E07">
        <w:t xml:space="preserve"> budou rozebírat novou formou substance třetího druhu na základě </w:t>
      </w:r>
      <w:r w:rsidR="00B375A2" w:rsidRPr="003D1E07">
        <w:t xml:space="preserve">reálného </w:t>
      </w:r>
      <w:r w:rsidR="08707A24" w:rsidRPr="003D1E07">
        <w:t xml:space="preserve">zatmění slunce vyloženého ve </w:t>
      </w:r>
      <w:r w:rsidR="08707A24" w:rsidRPr="003D1E07">
        <w:rPr>
          <w:i/>
        </w:rPr>
        <w:t>Druhých analytikách</w:t>
      </w:r>
      <w:r w:rsidR="08707A24" w:rsidRPr="003D1E07">
        <w:t xml:space="preserve">. </w:t>
      </w:r>
      <w:r w:rsidR="00F73978" w:rsidRPr="003D1E07">
        <w:t>Archeologie objektivity</w:t>
      </w:r>
      <w:r w:rsidR="003F16A5" w:rsidRPr="003D1E07">
        <w:fldChar w:fldCharType="begin"/>
      </w:r>
      <w:r w:rsidR="003F16A5" w:rsidRPr="003D1E07">
        <w:instrText xml:space="preserve"> XE "</w:instrText>
      </w:r>
      <w:r w:rsidR="00FF0D9E" w:rsidRPr="003D1E07">
        <w:instrText>objektivita:archeologie</w:instrText>
      </w:r>
      <w:r w:rsidR="003F16A5" w:rsidRPr="003D1E07">
        <w:instrText xml:space="preserve">" </w:instrText>
      </w:r>
      <w:r w:rsidR="003F16A5" w:rsidRPr="003D1E07">
        <w:fldChar w:fldCharType="end"/>
      </w:r>
      <w:r w:rsidR="00F73978" w:rsidRPr="003D1E07">
        <w:t xml:space="preserve"> našla ve trojím scénáři </w:t>
      </w:r>
      <w:r w:rsidR="00BB45B1" w:rsidRPr="003D1E07">
        <w:t>Porfyri</w:t>
      </w:r>
      <w:r w:rsidR="00FF5CE1" w:rsidRPr="003D1E07">
        <w:t xml:space="preserve">ovy </w:t>
      </w:r>
      <w:r w:rsidR="00F73978" w:rsidRPr="003D1E07">
        <w:t>atomární substance p</w:t>
      </w:r>
      <w:r w:rsidR="00C323D5" w:rsidRPr="003D1E07">
        <w:t>ředchůdnou dráhu náhledu</w:t>
      </w:r>
      <w:r w:rsidR="083766EF" w:rsidRPr="003D1E07">
        <w:t xml:space="preserve"> (</w:t>
      </w:r>
      <w:r w:rsidR="083766EF" w:rsidRPr="003D1E07">
        <w:rPr>
          <w:i/>
        </w:rPr>
        <w:t>Vor-blickbahn</w:t>
      </w:r>
      <w:r w:rsidR="006B28CF" w:rsidRPr="003D1E07">
        <w:rPr>
          <w:i/>
        </w:rPr>
        <w:fldChar w:fldCharType="begin"/>
      </w:r>
      <w:r w:rsidR="006B28CF" w:rsidRPr="003D1E07">
        <w:instrText xml:space="preserve"> XE "</w:instrText>
      </w:r>
      <w:r w:rsidR="08106DC9" w:rsidRPr="003D1E07">
        <w:rPr>
          <w:i/>
        </w:rPr>
        <w:instrText>Vor-</w:instrText>
      </w:r>
      <w:r w:rsidR="006B28CF" w:rsidRPr="003D1E07">
        <w:rPr>
          <w:i/>
        </w:rPr>
        <w:instrText>b</w:instrText>
      </w:r>
      <w:r w:rsidR="006B28CF" w:rsidRPr="003D1E07">
        <w:rPr>
          <w:i/>
          <w:iCs/>
        </w:rPr>
        <w:instrText>lickbahn</w:instrText>
      </w:r>
      <w:r w:rsidR="006B28CF" w:rsidRPr="003D1E07">
        <w:rPr>
          <w:iCs/>
        </w:rPr>
        <w:instrText>:</w:instrText>
      </w:r>
      <w:r w:rsidR="088B254C" w:rsidRPr="003D1E07">
        <w:rPr>
          <w:iCs/>
        </w:rPr>
        <w:instrText>Porfyrius</w:instrText>
      </w:r>
      <w:r w:rsidR="006B28CF" w:rsidRPr="003D1E07">
        <w:instrText xml:space="preserve">" </w:instrText>
      </w:r>
      <w:r w:rsidR="006B28CF" w:rsidRPr="003D1E07">
        <w:rPr>
          <w:i/>
        </w:rPr>
        <w:fldChar w:fldCharType="end"/>
      </w:r>
      <w:r w:rsidR="083766EF" w:rsidRPr="003D1E07">
        <w:t>)</w:t>
      </w:r>
      <w:r w:rsidR="00F73978" w:rsidRPr="003D1E07">
        <w:t xml:space="preserve"> na </w:t>
      </w:r>
      <w:r w:rsidR="08727ED7" w:rsidRPr="003D1E07">
        <w:t xml:space="preserve">moderní </w:t>
      </w:r>
      <w:r w:rsidR="00F73978" w:rsidRPr="003D1E07">
        <w:t>jsoucno</w:t>
      </w:r>
      <w:r w:rsidR="00493993" w:rsidRPr="003D1E07">
        <w:t xml:space="preserve">, které poprvé dostalo charakter </w:t>
      </w:r>
      <w:r w:rsidR="00493993" w:rsidRPr="003D1E07">
        <w:rPr>
          <w:i/>
        </w:rPr>
        <w:t>tertium ens</w:t>
      </w:r>
      <w:r w:rsidR="003F16A5" w:rsidRPr="003D1E07">
        <w:rPr>
          <w:i/>
        </w:rPr>
        <w:fldChar w:fldCharType="begin"/>
      </w:r>
      <w:r w:rsidR="003F16A5" w:rsidRPr="003D1E07">
        <w:instrText xml:space="preserve"> XE "</w:instrText>
      </w:r>
      <w:r w:rsidR="003F16A5" w:rsidRPr="003D1E07">
        <w:rPr>
          <w:rStyle w:val="Zvraznn"/>
        </w:rPr>
        <w:instrText>tertium ens</w:instrText>
      </w:r>
      <w:r w:rsidR="00C37E31" w:rsidRPr="003D1E07">
        <w:rPr>
          <w:rStyle w:val="Zvraznn"/>
          <w:i w:val="0"/>
        </w:rPr>
        <w:instrText>:</w:instrText>
      </w:r>
      <w:r w:rsidR="088B254C" w:rsidRPr="003D1E07">
        <w:rPr>
          <w:rStyle w:val="Zvraznn"/>
          <w:i w:val="0"/>
        </w:rPr>
        <w:instrText>Porfyrius</w:instrText>
      </w:r>
      <w:r w:rsidR="003F16A5" w:rsidRPr="003D1E07">
        <w:instrText xml:space="preserve">" </w:instrText>
      </w:r>
      <w:r w:rsidR="003F16A5" w:rsidRPr="003D1E07">
        <w:rPr>
          <w:i/>
        </w:rPr>
        <w:fldChar w:fldCharType="end"/>
      </w:r>
      <w:r w:rsidR="00F500FD" w:rsidRPr="003D1E07">
        <w:t xml:space="preserve">. </w:t>
      </w:r>
      <w:r w:rsidR="00697130" w:rsidRPr="003D1E07">
        <w:t xml:space="preserve">Koncept substance třetího druhu je možný jen proto, že díky </w:t>
      </w:r>
      <w:r w:rsidR="00BB45B1" w:rsidRPr="003D1E07">
        <w:t>Porfyri</w:t>
      </w:r>
      <w:r w:rsidR="00AF1CC4" w:rsidRPr="003D1E07">
        <w:t xml:space="preserve">ovu </w:t>
      </w:r>
      <w:r w:rsidR="00697130" w:rsidRPr="003D1E07">
        <w:t xml:space="preserve">výkladu </w:t>
      </w:r>
      <w:r w:rsidR="00697130" w:rsidRPr="003D1E07">
        <w:rPr>
          <w:i/>
        </w:rPr>
        <w:t>Kategorií</w:t>
      </w:r>
      <w:r w:rsidR="00697130" w:rsidRPr="003D1E07">
        <w:t xml:space="preserve"> vznikl nový náhle</w:t>
      </w:r>
      <w:r w:rsidR="001C5D8D" w:rsidRPr="003D1E07">
        <w:t xml:space="preserve">d do pravdy a nepravdy jsoucího. </w:t>
      </w:r>
      <w:r w:rsidR="008B12D2" w:rsidRPr="003D1E07">
        <w:t>Neoplatonsk</w:t>
      </w:r>
      <w:r w:rsidR="00F912BC" w:rsidRPr="003D1E07">
        <w:t>é školy poz</w:t>
      </w:r>
      <w:r w:rsidR="00DE3494" w:rsidRPr="003D1E07">
        <w:t>d</w:t>
      </w:r>
      <w:r w:rsidR="00F912BC" w:rsidRPr="003D1E07">
        <w:t xml:space="preserve">ní antiky </w:t>
      </w:r>
      <w:r w:rsidR="004B0EF5" w:rsidRPr="003D1E07">
        <w:t xml:space="preserve">vedené synkretismem </w:t>
      </w:r>
      <w:r w:rsidR="00DE431F" w:rsidRPr="003D1E07">
        <w:t xml:space="preserve">upadlé filosofie a zanikajících mystérií </w:t>
      </w:r>
      <w:r w:rsidR="004B0EF5" w:rsidRPr="003D1E07">
        <w:t xml:space="preserve">usilovně </w:t>
      </w:r>
      <w:r w:rsidR="001F2082" w:rsidRPr="003D1E07">
        <w:t>hledal</w:t>
      </w:r>
      <w:r w:rsidR="00F912BC" w:rsidRPr="003D1E07">
        <w:t>y</w:t>
      </w:r>
      <w:r w:rsidR="001F2082" w:rsidRPr="003D1E07">
        <w:t xml:space="preserve"> oslí můstek, </w:t>
      </w:r>
      <w:r w:rsidR="08376A15" w:rsidRPr="003D1E07">
        <w:t>aby mohly</w:t>
      </w:r>
      <w:r w:rsidR="08E56E67" w:rsidRPr="003D1E07">
        <w:t xml:space="preserve"> </w:t>
      </w:r>
      <w:r w:rsidR="001F2082" w:rsidRPr="003D1E07">
        <w:t xml:space="preserve">přejít od </w:t>
      </w:r>
      <w:r w:rsidR="008E02F5" w:rsidRPr="003D1E07">
        <w:t>Platon</w:t>
      </w:r>
      <w:r w:rsidR="001F2082" w:rsidRPr="003D1E07">
        <w:t>a k Aristotelovi.</w:t>
      </w:r>
      <w:r w:rsidR="002E7D53" w:rsidRPr="003D1E07">
        <w:t xml:space="preserve"> </w:t>
      </w:r>
      <w:r w:rsidR="08EF4E8D" w:rsidRPr="003D1E07">
        <w:t xml:space="preserve">Predikace </w:t>
      </w:r>
      <w:r w:rsidR="08EF4E8D" w:rsidRPr="003D1E07">
        <w:rPr>
          <w:i/>
        </w:rPr>
        <w:t>ad unum</w:t>
      </w:r>
      <w:r w:rsidR="08EF4E8D" w:rsidRPr="003D1E07">
        <w:t xml:space="preserve"> daná vzhledem k Jednomu nebo vzhledem k aktuální první substanci </w:t>
      </w:r>
      <w:r w:rsidR="00E67F62" w:rsidRPr="003D1E07">
        <w:t>se stala hlavním úkolem</w:t>
      </w:r>
      <w:r w:rsidR="00B63D89" w:rsidRPr="003D1E07">
        <w:t xml:space="preserve"> modernistů</w:t>
      </w:r>
      <w:r w:rsidR="00E67F62" w:rsidRPr="003D1E07">
        <w:t xml:space="preserve">. </w:t>
      </w:r>
      <w:r w:rsidR="08EF4E8D" w:rsidRPr="003D1E07">
        <w:t>Aristoteles odmítl svět platonských idejí jako pouhou ekvivoční signifikaci</w:t>
      </w:r>
      <w:r w:rsidR="08EF53E1" w:rsidRPr="003D1E07">
        <w:t xml:space="preserve"> vzniklou nad univocitou kategoriální predikace</w:t>
      </w:r>
      <w:r w:rsidR="08EF4E8D" w:rsidRPr="003D1E07">
        <w:t>. Další genera</w:t>
      </w:r>
      <w:r w:rsidR="00FD7F6B">
        <w:t>ce myslitelů po Plotinovi musely</w:t>
      </w:r>
      <w:r w:rsidR="08EF4E8D" w:rsidRPr="003D1E07">
        <w:t xml:space="preserve"> změnit status kategoriální predikace tak, aby byl v souladu s neoplatonismem. </w:t>
      </w:r>
      <w:r w:rsidR="08F84E7D" w:rsidRPr="003D1E07">
        <w:rPr>
          <w:rStyle w:val="addmd"/>
        </w:rPr>
        <w:t>H</w:t>
      </w:r>
      <w:r w:rsidR="08F84E7D" w:rsidRPr="003D1E07">
        <w:t xml:space="preserve">ledání jednoty bytí jsoucna v pozdní antice si vypůjčilo z </w:t>
      </w:r>
      <w:r w:rsidR="08F84E7D" w:rsidRPr="003D1E07">
        <w:rPr>
          <w:i/>
        </w:rPr>
        <w:t>Metafyziky</w:t>
      </w:r>
      <w:r w:rsidR="08F84E7D" w:rsidRPr="003D1E07">
        <w:t xml:space="preserve"> </w:t>
      </w:r>
      <w:r w:rsidR="08F84E7D" w:rsidRPr="003D1E07">
        <w:rPr>
          <w:i/>
        </w:rPr>
        <w:t>Gamma</w:t>
      </w:r>
      <w:r w:rsidR="08F84E7D" w:rsidRPr="003D1E07">
        <w:t xml:space="preserve"> zaměření </w:t>
      </w:r>
      <w:r w:rsidR="08F84E7D" w:rsidRPr="003D1E07">
        <w:rPr>
          <w:i/>
          <w:lang w:eastAsia="en-US"/>
        </w:rPr>
        <w:t>pros hen</w:t>
      </w:r>
      <w:r w:rsidR="08F84E7D" w:rsidRPr="003D1E07">
        <w:rPr>
          <w:lang w:eastAsia="en-US"/>
        </w:rPr>
        <w:t xml:space="preserve"> </w:t>
      </w:r>
      <w:r w:rsidR="08F84E7D" w:rsidRPr="003D1E07">
        <w:t>první vědy k původní jednotě</w:t>
      </w:r>
      <w:r w:rsidR="08F84E7D" w:rsidRPr="003D1E07">
        <w:rPr>
          <w:lang w:eastAsia="en-US"/>
        </w:rPr>
        <w:t xml:space="preserve"> (</w:t>
      </w:r>
      <w:r w:rsidR="08F84E7D" w:rsidRPr="003D1E07">
        <w:t>πρὸς ἓν καὶ μίαν τινὰ φύσιν</w:t>
      </w:r>
      <w:r w:rsidR="08F84E7D" w:rsidRPr="003D1E07">
        <w:rPr>
          <w:i/>
          <w:lang w:eastAsia="en-US"/>
        </w:rPr>
        <w:t>, Met.</w:t>
      </w:r>
      <w:r w:rsidR="08F84E7D" w:rsidRPr="003D1E07">
        <w:rPr>
          <w:lang w:eastAsia="en-US"/>
        </w:rPr>
        <w:t xml:space="preserve"> 1003a33</w:t>
      </w:r>
      <w:r w:rsidR="08F84E7D" w:rsidRPr="003D1E07">
        <w:rPr>
          <w:lang w:eastAsia="en-US"/>
        </w:rPr>
        <w:fldChar w:fldCharType="begin"/>
      </w:r>
      <w:r w:rsidR="08F84E7D" w:rsidRPr="003D1E07">
        <w:instrText xml:space="preserve"> XE "Aristoteles:</w:instrText>
      </w:r>
      <w:r w:rsidR="08F84E7D" w:rsidRPr="003D1E07">
        <w:rPr>
          <w:i/>
        </w:rPr>
        <w:instrText>Met</w:instrText>
      </w:r>
      <w:r w:rsidR="08F84E7D" w:rsidRPr="003D1E07">
        <w:instrText xml:space="preserve">.1003a33" </w:instrText>
      </w:r>
      <w:r w:rsidR="08F84E7D" w:rsidRPr="003D1E07">
        <w:rPr>
          <w:lang w:eastAsia="en-US"/>
        </w:rPr>
        <w:fldChar w:fldCharType="end"/>
      </w:r>
      <w:r w:rsidR="08F84E7D" w:rsidRPr="003D1E07">
        <w:rPr>
          <w:lang w:eastAsia="en-US"/>
        </w:rPr>
        <w:t xml:space="preserve">). Ze </w:t>
      </w:r>
      <w:r w:rsidR="08F84E7D" w:rsidRPr="003D1E07">
        <w:t xml:space="preserve">spisu </w:t>
      </w:r>
      <w:r w:rsidR="08F84E7D" w:rsidRPr="003D1E07">
        <w:rPr>
          <w:i/>
        </w:rPr>
        <w:t>Kategorie</w:t>
      </w:r>
      <w:r w:rsidR="08F84E7D" w:rsidRPr="003D1E07">
        <w:t xml:space="preserve"> si neoplatonikové vzali formální znaky kategoriální </w:t>
      </w:r>
      <w:r w:rsidR="08B71F32" w:rsidRPr="003D1E07">
        <w:t>predikace</w:t>
      </w:r>
      <w:r w:rsidR="081E4307" w:rsidRPr="003D1E07">
        <w:t>, zejména primát nedělite</w:t>
      </w:r>
      <w:r w:rsidR="08D43013" w:rsidRPr="003D1E07">
        <w:t>l</w:t>
      </w:r>
      <w:r w:rsidR="081E4307" w:rsidRPr="003D1E07">
        <w:t xml:space="preserve">né substance dané </w:t>
      </w:r>
      <w:r w:rsidR="081E4307" w:rsidRPr="003D1E07">
        <w:rPr>
          <w:i/>
        </w:rPr>
        <w:t>simpliciter</w:t>
      </w:r>
      <w:r w:rsidR="08B71F32" w:rsidRPr="003D1E07">
        <w:t>. Aristotelskou univerzální j</w:t>
      </w:r>
      <w:r w:rsidR="08AE39E1" w:rsidRPr="003D1E07">
        <w:t>ednotu</w:t>
      </w:r>
      <w:r w:rsidR="08F84E7D" w:rsidRPr="003D1E07">
        <w:t xml:space="preserve"> jsoucna původně vztažen</w:t>
      </w:r>
      <w:r w:rsidR="08AE39E1" w:rsidRPr="003D1E07">
        <w:t>ou</w:t>
      </w:r>
      <w:r w:rsidR="08F84E7D" w:rsidRPr="003D1E07">
        <w:t xml:space="preserve"> ke druhé substanci </w:t>
      </w:r>
      <w:r w:rsidR="08B71F32" w:rsidRPr="003D1E07">
        <w:t xml:space="preserve">neoplatonikové </w:t>
      </w:r>
      <w:r w:rsidR="08AE39E1" w:rsidRPr="003D1E07">
        <w:t>přeložili</w:t>
      </w:r>
      <w:r w:rsidR="08F84E7D" w:rsidRPr="003D1E07">
        <w:t xml:space="preserve"> do scénáře subsistentních nejvyšších rodů bytí a z nich ema</w:t>
      </w:r>
      <w:r w:rsidR="00A6591F">
        <w:t>nujících hypostázovaných forem.</w:t>
      </w:r>
    </w:p>
    <w:p w14:paraId="67510D85" w14:textId="77777777" w:rsidR="007F5862" w:rsidRDefault="08667B2A" w:rsidP="00A6591F">
      <w:pPr>
        <w:ind w:firstLine="360"/>
      </w:pPr>
      <w:r w:rsidRPr="003D1E07">
        <w:t>Ploti</w:t>
      </w:r>
      <w:r w:rsidR="00A55F38">
        <w:t>nos vyloučil</w:t>
      </w:r>
      <w:r w:rsidR="083766EF" w:rsidRPr="003D1E07">
        <w:t xml:space="preserve"> jakékoliv přímé spojení mezi první a druhou hypostází, protože Jedno by přišlo o původní jednotu. Původní podoba intelektu je </w:t>
      </w:r>
      <w:r w:rsidR="00227D22" w:rsidRPr="003D1E07">
        <w:t xml:space="preserve">dána </w:t>
      </w:r>
      <w:r w:rsidR="083766EF" w:rsidRPr="003D1E07">
        <w:t xml:space="preserve">v první hypostázi </w:t>
      </w:r>
      <w:r w:rsidR="00227D22" w:rsidRPr="003D1E07">
        <w:t xml:space="preserve">mimo formu </w:t>
      </w:r>
      <w:r w:rsidR="083766EF" w:rsidRPr="003D1E07">
        <w:t xml:space="preserve">a </w:t>
      </w:r>
      <w:r w:rsidR="083766EF" w:rsidRPr="003D1E07">
        <w:lastRenderedPageBreak/>
        <w:t>mimo ideje</w:t>
      </w:r>
      <w:r w:rsidR="00EA39EC" w:rsidRPr="003D1E07">
        <w:t xml:space="preserve"> (ἐκεῖνος ἄμορφος καὶ ἀνείδεος) a t</w:t>
      </w:r>
      <w:r w:rsidR="083766EF" w:rsidRPr="003D1E07">
        <w:t xml:space="preserve">eprve ve druhé emanaci </w:t>
      </w:r>
      <w:r w:rsidR="00E64964" w:rsidRPr="003D1E07">
        <w:t xml:space="preserve">se </w:t>
      </w:r>
      <w:r w:rsidR="00EA39EC" w:rsidRPr="003D1E07">
        <w:t xml:space="preserve">Jedno stává </w:t>
      </w:r>
      <w:r w:rsidR="007075AE" w:rsidRPr="003D1E07">
        <w:t xml:space="preserve">ideově </w:t>
      </w:r>
      <w:r w:rsidR="00EA39EC" w:rsidRPr="003D1E07">
        <w:t>tvořivým</w:t>
      </w:r>
      <w:r w:rsidR="00E64964" w:rsidRPr="003D1E07">
        <w:t xml:space="preserve"> </w:t>
      </w:r>
      <w:r w:rsidR="083766EF" w:rsidRPr="003D1E07">
        <w:t xml:space="preserve">(οὕτω γὰρ εἰδοποιεῖ, </w:t>
      </w:r>
      <w:r w:rsidR="083766EF" w:rsidRPr="003D1E07">
        <w:rPr>
          <w:i/>
        </w:rPr>
        <w:t>Enn.</w:t>
      </w:r>
      <w:r w:rsidR="083766EF" w:rsidRPr="003D1E07">
        <w:t xml:space="preserve"> 6.7.17.41–42</w:t>
      </w:r>
      <w:r w:rsidR="00B33948" w:rsidRPr="003D1E07">
        <w:fldChar w:fldCharType="begin"/>
      </w:r>
      <w:r w:rsidR="00B33948" w:rsidRPr="003D1E07">
        <w:instrText xml:space="preserve"> XE "</w:instrText>
      </w:r>
      <w:r w:rsidR="08F72573" w:rsidRPr="003D1E07">
        <w:instrText>Plotinos</w:instrText>
      </w:r>
      <w:r w:rsidR="00B33948" w:rsidRPr="003D1E07">
        <w:instrText>:</w:instrText>
      </w:r>
      <w:r w:rsidR="00B33948" w:rsidRPr="003D1E07">
        <w:rPr>
          <w:i/>
        </w:rPr>
        <w:instrText>Enn.</w:instrText>
      </w:r>
      <w:r w:rsidR="00B33948" w:rsidRPr="003D1E07">
        <w:instrText xml:space="preserve"> 6.7.17.41–42" </w:instrText>
      </w:r>
      <w:r w:rsidR="00B33948" w:rsidRPr="003D1E07">
        <w:fldChar w:fldCharType="end"/>
      </w:r>
      <w:r w:rsidR="083766EF" w:rsidRPr="003D1E07">
        <w:t xml:space="preserve">). </w:t>
      </w:r>
      <w:r w:rsidR="00BB45B1" w:rsidRPr="003D1E07">
        <w:t>Porfyri</w:t>
      </w:r>
      <w:r w:rsidR="00E7521B" w:rsidRPr="003D1E07">
        <w:t xml:space="preserve">us poučený </w:t>
      </w:r>
      <w:r w:rsidR="08723620" w:rsidRPr="003D1E07">
        <w:rPr>
          <w:i/>
        </w:rPr>
        <w:t>Fyzikou</w:t>
      </w:r>
      <w:r w:rsidR="08723620" w:rsidRPr="003D1E07">
        <w:t xml:space="preserve"> VIII</w:t>
      </w:r>
      <w:r w:rsidR="00D57EA1">
        <w:t xml:space="preserve">, </w:t>
      </w:r>
      <w:r w:rsidR="08723620" w:rsidRPr="003D1E07">
        <w:rPr>
          <w:i/>
        </w:rPr>
        <w:t>Metafyzikou</w:t>
      </w:r>
      <w:r w:rsidR="08723620" w:rsidRPr="003D1E07">
        <w:t xml:space="preserve"> </w:t>
      </w:r>
      <w:r w:rsidR="00E7521B" w:rsidRPr="00C36AD4">
        <w:rPr>
          <w:i/>
        </w:rPr>
        <w:t>Lambda</w:t>
      </w:r>
      <w:r w:rsidR="00E7521B" w:rsidRPr="003D1E07">
        <w:t xml:space="preserve"> a </w:t>
      </w:r>
      <w:r w:rsidR="00C904BD" w:rsidRPr="003D1E07">
        <w:t xml:space="preserve">hyparchickou predikací z </w:t>
      </w:r>
      <w:r w:rsidR="00C904BD" w:rsidRPr="003D1E07">
        <w:rPr>
          <w:i/>
        </w:rPr>
        <w:t>Kategorií</w:t>
      </w:r>
      <w:r w:rsidR="00E7521B" w:rsidRPr="003D1E07">
        <w:t xml:space="preserve"> </w:t>
      </w:r>
      <w:r w:rsidR="00C904BD" w:rsidRPr="003D1E07">
        <w:t xml:space="preserve">dobře </w:t>
      </w:r>
      <w:r w:rsidR="086067AE" w:rsidRPr="003D1E07">
        <w:t>věděl</w:t>
      </w:r>
      <w:r w:rsidR="00E7521B" w:rsidRPr="003D1E07">
        <w:t>, že bytí Jednoho musí mít základní sub</w:t>
      </w:r>
      <w:r w:rsidR="00EC0837" w:rsidRPr="003D1E07">
        <w:t>stanční aktualitu samo v sobě. J</w:t>
      </w:r>
      <w:r w:rsidR="00E7521B" w:rsidRPr="003D1E07">
        <w:t xml:space="preserve">inak </w:t>
      </w:r>
      <w:r w:rsidR="08CE66EA" w:rsidRPr="003D1E07">
        <w:t xml:space="preserve">nedojde </w:t>
      </w:r>
      <w:r w:rsidR="00E7521B" w:rsidRPr="003D1E07">
        <w:t xml:space="preserve">k žádnému </w:t>
      </w:r>
      <w:r w:rsidR="08C751DD" w:rsidRPr="003D1E07">
        <w:t xml:space="preserve">pohybu ani ke </w:t>
      </w:r>
      <w:r w:rsidR="00E7521B" w:rsidRPr="003D1E07">
        <w:t>tvoření jsoucna</w:t>
      </w:r>
      <w:r w:rsidR="08CE66EA" w:rsidRPr="003D1E07">
        <w:t xml:space="preserve"> na úrovni Jednoho</w:t>
      </w:r>
      <w:r w:rsidR="08BE4DDC" w:rsidRPr="003D1E07">
        <w:t xml:space="preserve">, </w:t>
      </w:r>
      <w:r w:rsidR="08C751DD" w:rsidRPr="003D1E07">
        <w:t xml:space="preserve">ani </w:t>
      </w:r>
      <w:r w:rsidR="00EC0837" w:rsidRPr="003D1E07">
        <w:t>nevznikne kategoriální predikace</w:t>
      </w:r>
      <w:r w:rsidR="00CA2711" w:rsidRPr="003D1E07">
        <w:t xml:space="preserve">. </w:t>
      </w:r>
      <w:r w:rsidR="00C360B2">
        <w:t xml:space="preserve">Bytí </w:t>
      </w:r>
      <w:r w:rsidR="002532E0" w:rsidRPr="003D1E07">
        <w:t xml:space="preserve">u Platona </w:t>
      </w:r>
      <w:r w:rsidR="08F84BEE" w:rsidRPr="003D1E07">
        <w:t xml:space="preserve">patří podle dialogu </w:t>
      </w:r>
      <w:r w:rsidR="08F84BEE" w:rsidRPr="003D1E07">
        <w:rPr>
          <w:i/>
        </w:rPr>
        <w:t>Sofistes</w:t>
      </w:r>
      <w:r w:rsidR="08F84BEE" w:rsidRPr="003D1E07">
        <w:t xml:space="preserve"> a </w:t>
      </w:r>
      <w:r w:rsidR="08F84BEE" w:rsidRPr="003D1E07">
        <w:rPr>
          <w:i/>
        </w:rPr>
        <w:t>Parmenides</w:t>
      </w:r>
      <w:r w:rsidR="08F84BEE" w:rsidRPr="003D1E07">
        <w:t xml:space="preserve"> mezi pět největších rodů (</w:t>
      </w:r>
      <w:r w:rsidR="08F84BEE" w:rsidRPr="003D1E07">
        <w:rPr>
          <w:i/>
        </w:rPr>
        <w:t>Soph</w:t>
      </w:r>
      <w:r w:rsidR="08F84BEE" w:rsidRPr="003D1E07">
        <w:t>. 254a–259c</w:t>
      </w:r>
      <w:r w:rsidR="08F84BEE" w:rsidRPr="003D1E07">
        <w:fldChar w:fldCharType="begin"/>
      </w:r>
      <w:r w:rsidR="08F84BEE" w:rsidRPr="003D1E07">
        <w:instrText xml:space="preserve"> XE "Platon:</w:instrText>
      </w:r>
      <w:r w:rsidR="08F84BEE" w:rsidRPr="003D1E07">
        <w:rPr>
          <w:i/>
        </w:rPr>
        <w:instrText>Soph</w:instrText>
      </w:r>
      <w:r w:rsidR="08F84BEE" w:rsidRPr="003D1E07">
        <w:instrText xml:space="preserve">. 254a–259c" </w:instrText>
      </w:r>
      <w:r w:rsidR="08F84BEE" w:rsidRPr="003D1E07">
        <w:fldChar w:fldCharType="end"/>
      </w:r>
      <w:r w:rsidR="08F84BEE" w:rsidRPr="003D1E07">
        <w:t xml:space="preserve">; </w:t>
      </w:r>
      <w:r w:rsidR="08F84BEE" w:rsidRPr="003D1E07">
        <w:rPr>
          <w:i/>
        </w:rPr>
        <w:t>Parm</w:t>
      </w:r>
      <w:r w:rsidR="08F84BEE" w:rsidRPr="003D1E07">
        <w:t>. 143a</w:t>
      </w:r>
      <w:r w:rsidR="08F84BEE" w:rsidRPr="003D1E07">
        <w:fldChar w:fldCharType="begin"/>
      </w:r>
      <w:r w:rsidR="08F84BEE" w:rsidRPr="003D1E07">
        <w:instrText xml:space="preserve"> XE "Platon:</w:instrText>
      </w:r>
      <w:r w:rsidR="08F84BEE" w:rsidRPr="003D1E07">
        <w:rPr>
          <w:i/>
        </w:rPr>
        <w:instrText>Parm</w:instrText>
      </w:r>
      <w:r w:rsidR="08F84BEE" w:rsidRPr="003D1E07">
        <w:instrText xml:space="preserve">. 143a" </w:instrText>
      </w:r>
      <w:r w:rsidR="08F84BEE" w:rsidRPr="003D1E07">
        <w:fldChar w:fldCharType="end"/>
      </w:r>
      <w:r w:rsidR="001E2D5B" w:rsidRPr="003D1E07">
        <w:t xml:space="preserve">). </w:t>
      </w:r>
      <w:r w:rsidR="087C3B67" w:rsidRPr="003D1E07">
        <w:t xml:space="preserve">Plotinova </w:t>
      </w:r>
      <w:r w:rsidR="08F84BEE" w:rsidRPr="003D1E07">
        <w:t>henologie</w:t>
      </w:r>
      <w:r w:rsidR="08F84BEE" w:rsidRPr="003D1E07">
        <w:fldChar w:fldCharType="begin"/>
      </w:r>
      <w:r w:rsidR="08F84BEE" w:rsidRPr="003D1E07">
        <w:instrText xml:space="preserve"> XE "henologie" </w:instrText>
      </w:r>
      <w:r w:rsidR="08F84BEE" w:rsidRPr="003D1E07">
        <w:fldChar w:fldCharType="end"/>
      </w:r>
      <w:r w:rsidR="08F84BEE" w:rsidRPr="003D1E07">
        <w:t xml:space="preserve"> odděleného Jednoho</w:t>
      </w:r>
      <w:r w:rsidR="002532E0" w:rsidRPr="003D1E07">
        <w:t xml:space="preserve"> je nemožná podle obou hlavních filosofií</w:t>
      </w:r>
      <w:r w:rsidR="08F84BEE" w:rsidRPr="003D1E07">
        <w:t xml:space="preserve">. </w:t>
      </w:r>
      <w:r w:rsidR="08CD2D7F" w:rsidRPr="003D1E07">
        <w:t>Eminentní v</w:t>
      </w:r>
      <w:r w:rsidR="08FB19E0" w:rsidRPr="003D1E07">
        <w:t>ykladač Ploti</w:t>
      </w:r>
      <w:r w:rsidR="00EC0837" w:rsidRPr="003D1E07">
        <w:t>na proto z</w:t>
      </w:r>
      <w:r w:rsidR="00D56103" w:rsidRPr="003D1E07">
        <w:t xml:space="preserve">avedl </w:t>
      </w:r>
      <w:r w:rsidR="083766EF" w:rsidRPr="003D1E07">
        <w:t xml:space="preserve">vztah Jednoho a Mnohého hned do První sféry, </w:t>
      </w:r>
      <w:r w:rsidR="00C82542" w:rsidRPr="003D1E07">
        <w:t xml:space="preserve">protože </w:t>
      </w:r>
      <w:r w:rsidR="083766EF" w:rsidRPr="003D1E07">
        <w:t xml:space="preserve">jinak by nedošlo k žádnému dialektickému pohybu myšlení a bytí. </w:t>
      </w:r>
      <w:r w:rsidR="00BB45B1" w:rsidRPr="003D1E07">
        <w:t>Porfyri</w:t>
      </w:r>
      <w:r w:rsidR="00593695" w:rsidRPr="003D1E07">
        <w:t xml:space="preserve">ovo i Jamblichovo řešení aporie Jednoho a Mnohého spočívá v </w:t>
      </w:r>
      <w:r w:rsidR="08C26302" w:rsidRPr="003D1E07">
        <w:t xml:space="preserve">dialektickém </w:t>
      </w:r>
      <w:r w:rsidR="00593695" w:rsidRPr="003D1E07">
        <w:t xml:space="preserve">rozlišení mezi odděleným Jedním a jeho bytím. </w:t>
      </w:r>
      <w:r w:rsidR="08A632D4" w:rsidRPr="003D1E07">
        <w:t xml:space="preserve">Oddělené Jedno musí </w:t>
      </w:r>
      <w:r w:rsidR="00453B2B" w:rsidRPr="003D1E07">
        <w:t xml:space="preserve">být </w:t>
      </w:r>
      <w:r w:rsidR="08C96B45" w:rsidRPr="003D1E07">
        <w:t xml:space="preserve">absolutně bytujícím </w:t>
      </w:r>
      <w:r w:rsidR="00453B2B" w:rsidRPr="003D1E07">
        <w:t xml:space="preserve">Jedním, což postuluje první a </w:t>
      </w:r>
      <w:r w:rsidR="08A632D4" w:rsidRPr="003D1E07">
        <w:t xml:space="preserve">druhá hypotéza dialogu </w:t>
      </w:r>
      <w:r w:rsidR="08A632D4" w:rsidRPr="003D1E07">
        <w:rPr>
          <w:i/>
        </w:rPr>
        <w:t>Parmenide</w:t>
      </w:r>
      <w:r w:rsidR="00453B2B" w:rsidRPr="003D1E07">
        <w:rPr>
          <w:i/>
        </w:rPr>
        <w:t>s</w:t>
      </w:r>
      <w:r w:rsidR="00453B2B" w:rsidRPr="003D1E07">
        <w:t>. Neoplatonici</w:t>
      </w:r>
      <w:r w:rsidR="08A632D4" w:rsidRPr="003D1E07">
        <w:t xml:space="preserve"> </w:t>
      </w:r>
      <w:r w:rsidR="00453B2B" w:rsidRPr="003D1E07">
        <w:t xml:space="preserve">v souladu s </w:t>
      </w:r>
      <w:r w:rsidR="08356DC1" w:rsidRPr="003D1E07">
        <w:rPr>
          <w:i/>
        </w:rPr>
        <w:t>Metafyzikou</w:t>
      </w:r>
      <w:r w:rsidR="08356DC1" w:rsidRPr="003D1E07">
        <w:t xml:space="preserve"> </w:t>
      </w:r>
      <w:r w:rsidR="00453B2B" w:rsidRPr="008D268D">
        <w:rPr>
          <w:i/>
        </w:rPr>
        <w:t>Lambda</w:t>
      </w:r>
      <w:r w:rsidR="00453B2B" w:rsidRPr="003D1E07">
        <w:t xml:space="preserve"> </w:t>
      </w:r>
      <w:r w:rsidR="001F224A" w:rsidRPr="003D1E07">
        <w:t xml:space="preserve">ale </w:t>
      </w:r>
      <w:r w:rsidR="00453B2B" w:rsidRPr="003D1E07">
        <w:t xml:space="preserve">nechali v </w:t>
      </w:r>
      <w:r w:rsidR="000C326C" w:rsidRPr="003D1E07">
        <w:t xml:space="preserve">odděleném </w:t>
      </w:r>
      <w:r w:rsidR="00453B2B" w:rsidRPr="003D1E07">
        <w:t xml:space="preserve">Jednom základní aktivitu danou </w:t>
      </w:r>
      <w:r w:rsidR="000C326C" w:rsidRPr="003D1E07">
        <w:t xml:space="preserve">jeho </w:t>
      </w:r>
      <w:r w:rsidR="00453B2B" w:rsidRPr="003D1E07">
        <w:t>bytím.</w:t>
      </w:r>
      <w:r w:rsidR="00453B2B" w:rsidRPr="003D1E07">
        <w:rPr>
          <w:rStyle w:val="Znakapoznpodarou"/>
        </w:rPr>
        <w:footnoteReference w:id="50"/>
      </w:r>
      <w:r w:rsidR="00453B2B" w:rsidRPr="003D1E07">
        <w:t xml:space="preserve"> </w:t>
      </w:r>
      <w:r w:rsidR="00E15425" w:rsidRPr="003D1E07">
        <w:t xml:space="preserve">První princip se přidáním bytí stal manifestovatelným </w:t>
      </w:r>
      <w:r w:rsidR="00B1431B">
        <w:t xml:space="preserve">a účinným </w:t>
      </w:r>
      <w:r w:rsidR="00E15425" w:rsidRPr="003D1E07">
        <w:t xml:space="preserve">i mimo sebe, což předtím </w:t>
      </w:r>
      <w:r w:rsidR="08C217EE" w:rsidRPr="003D1E07">
        <w:t>nemělo Plotinovo zcela oddělené Jedno</w:t>
      </w:r>
      <w:r w:rsidR="00E15425" w:rsidRPr="003D1E07">
        <w:t xml:space="preserve">. </w:t>
      </w:r>
      <w:r w:rsidR="000945F2" w:rsidRPr="003D1E07">
        <w:t xml:space="preserve">Citovaný </w:t>
      </w:r>
      <w:r w:rsidR="00BB45B1" w:rsidRPr="003D1E07">
        <w:t>Porfyri</w:t>
      </w:r>
      <w:r w:rsidR="003A4940" w:rsidRPr="003D1E07">
        <w:t xml:space="preserve">ův </w:t>
      </w:r>
      <w:r w:rsidR="000945F2" w:rsidRPr="003D1E07">
        <w:t xml:space="preserve">komentář </w:t>
      </w:r>
      <w:r w:rsidR="088B01B3" w:rsidRPr="003D1E07">
        <w:t>k dialogu</w:t>
      </w:r>
      <w:r w:rsidR="08177BC6" w:rsidRPr="003D1E07">
        <w:t xml:space="preserve"> </w:t>
      </w:r>
      <w:r w:rsidR="08177BC6" w:rsidRPr="003D1E07">
        <w:rPr>
          <w:i/>
        </w:rPr>
        <w:t>Parmenides</w:t>
      </w:r>
      <w:r w:rsidR="08177BC6" w:rsidRPr="003D1E07">
        <w:t xml:space="preserve"> proto definuje </w:t>
      </w:r>
      <w:r w:rsidR="000945F2" w:rsidRPr="003D1E07">
        <w:t xml:space="preserve">uvnitř sféry Jednoho dva stavy bytí. Bytí </w:t>
      </w:r>
      <w:r w:rsidR="00FB064E" w:rsidRPr="003D1E07">
        <w:t xml:space="preserve">odděleného </w:t>
      </w:r>
      <w:r w:rsidR="000945F2" w:rsidRPr="003D1E07">
        <w:t xml:space="preserve">Jednoho (τοῦ εἶναι ὄντος τὸ ἀπόλυτον, </w:t>
      </w:r>
      <w:r w:rsidR="00F06B97" w:rsidRPr="003D1E07">
        <w:rPr>
          <w:i/>
        </w:rPr>
        <w:t>Porph. i</w:t>
      </w:r>
      <w:r w:rsidR="000945F2" w:rsidRPr="003D1E07">
        <w:rPr>
          <w:i/>
        </w:rPr>
        <w:t>n Parm.</w:t>
      </w:r>
      <w:r w:rsidR="000945F2" w:rsidRPr="003D1E07">
        <w:t xml:space="preserve"> 12.32</w:t>
      </w:r>
      <w:r w:rsidR="00B33948" w:rsidRPr="003D1E07">
        <w:fldChar w:fldCharType="begin"/>
      </w:r>
      <w:r w:rsidR="00B33948" w:rsidRPr="003D1E07">
        <w:instrText xml:space="preserve"> XE "</w:instrText>
      </w:r>
      <w:r w:rsidR="08CE5A60" w:rsidRPr="003D1E07">
        <w:instrText>Porfyrius:</w:instrText>
      </w:r>
      <w:r w:rsidR="00B33948" w:rsidRPr="003D1E07">
        <w:rPr>
          <w:i/>
        </w:rPr>
        <w:instrText>Porph. in Parm.</w:instrText>
      </w:r>
      <w:r w:rsidR="00B33948" w:rsidRPr="003D1E07">
        <w:instrText xml:space="preserve"> 12.32" </w:instrText>
      </w:r>
      <w:r w:rsidR="00B33948" w:rsidRPr="003D1E07">
        <w:fldChar w:fldCharType="end"/>
      </w:r>
      <w:r w:rsidR="000945F2" w:rsidRPr="003D1E07">
        <w:t xml:space="preserve">) se liší od interní ideje Jsoucího (καὶ ὥσπερ ἰδέα τοῦ ὄντος, </w:t>
      </w:r>
      <w:r w:rsidR="00F06B97" w:rsidRPr="003D1E07">
        <w:t xml:space="preserve">ibid. </w:t>
      </w:r>
      <w:r w:rsidR="000945F2" w:rsidRPr="003D1E07">
        <w:t>12.32–33</w:t>
      </w:r>
      <w:r w:rsidR="00B33948" w:rsidRPr="003D1E07">
        <w:fldChar w:fldCharType="begin"/>
      </w:r>
      <w:r w:rsidR="00B33948" w:rsidRPr="003D1E07">
        <w:instrText xml:space="preserve"> XE "</w:instrText>
      </w:r>
      <w:r w:rsidR="08CE5A60" w:rsidRPr="003D1E07">
        <w:instrText>Porfyrius:</w:instrText>
      </w:r>
      <w:r w:rsidR="00B33948" w:rsidRPr="003D1E07">
        <w:rPr>
          <w:i/>
        </w:rPr>
        <w:instrText>Porph. in Parm.</w:instrText>
      </w:r>
      <w:r w:rsidR="00B33948" w:rsidRPr="003D1E07">
        <w:instrText xml:space="preserve"> 12.32‒33" </w:instrText>
      </w:r>
      <w:r w:rsidR="00B33948" w:rsidRPr="003D1E07">
        <w:fldChar w:fldCharType="end"/>
      </w:r>
      <w:r w:rsidR="000945F2" w:rsidRPr="003D1E07">
        <w:t xml:space="preserve">). </w:t>
      </w:r>
      <w:r w:rsidR="088B01B3" w:rsidRPr="003D1E07">
        <w:t xml:space="preserve">Jedno bytuje v sobě </w:t>
      </w:r>
      <w:r w:rsidR="0868312F" w:rsidRPr="003D1E07">
        <w:t xml:space="preserve">samém </w:t>
      </w:r>
      <w:r w:rsidR="088B01B3" w:rsidRPr="003D1E07">
        <w:t xml:space="preserve">jako nejvyšší Idea. </w:t>
      </w:r>
      <w:r w:rsidR="008B12D2" w:rsidRPr="003D1E07">
        <w:t>Neoplatonsk</w:t>
      </w:r>
      <w:r w:rsidR="000945F2" w:rsidRPr="003D1E07">
        <w:t>é Jedno je a není samo sebou, odpovídá samo sobě z hlediska bytí a zároveň neodpovídá</w:t>
      </w:r>
      <w:bookmarkStart w:id="24" w:name="_Ref381104578"/>
      <w:r w:rsidR="002F4DF6">
        <w:t>, protože obsahuje i tvůrčí ideu</w:t>
      </w:r>
      <w:r w:rsidR="001F224A" w:rsidRPr="003D1E07">
        <w:t xml:space="preserve">. </w:t>
      </w:r>
      <w:r w:rsidR="007253B8" w:rsidRPr="003D1E07">
        <w:t xml:space="preserve">Moderní </w:t>
      </w:r>
      <w:r w:rsidR="001F224A" w:rsidRPr="003D1E07">
        <w:t xml:space="preserve">Jedno v sobě </w:t>
      </w:r>
      <w:r w:rsidR="000945F2" w:rsidRPr="003D1E07">
        <w:t xml:space="preserve">obsahuje </w:t>
      </w:r>
      <w:r w:rsidR="001F224A" w:rsidRPr="003D1E07">
        <w:t>t</w:t>
      </w:r>
      <w:r w:rsidR="000945F2" w:rsidRPr="003D1E07">
        <w:t xml:space="preserve">vořící ideje a </w:t>
      </w:r>
      <w:r w:rsidR="001F224A" w:rsidRPr="003D1E07">
        <w:t>přitom má být absolutně jednoduché</w:t>
      </w:r>
      <w:r w:rsidR="000945F2" w:rsidRPr="003D1E07">
        <w:t>.</w:t>
      </w:r>
      <w:r w:rsidR="000945F2" w:rsidRPr="003D1E07">
        <w:rPr>
          <w:rStyle w:val="Znakapoznpodarou"/>
        </w:rPr>
        <w:footnoteReference w:id="51"/>
      </w:r>
      <w:bookmarkEnd w:id="24"/>
      <w:r w:rsidR="000945F2" w:rsidRPr="003D1E07">
        <w:t xml:space="preserve"> Touto základní ambivalencí </w:t>
      </w:r>
      <w:r w:rsidR="00C5294D" w:rsidRPr="003D1E07">
        <w:t xml:space="preserve">schizofrenického Jednoho </w:t>
      </w:r>
      <w:r w:rsidR="000945F2" w:rsidRPr="003D1E07">
        <w:t xml:space="preserve">zakládá nově založená </w:t>
      </w:r>
      <w:r w:rsidR="00BB45B1" w:rsidRPr="003D1E07">
        <w:t>Porfyri</w:t>
      </w:r>
      <w:r w:rsidR="000945F2" w:rsidRPr="003D1E07">
        <w:t>ova henologie následnou ontickou určenost nižších sfér</w:t>
      </w:r>
      <w:r w:rsidR="00C5294D" w:rsidRPr="003D1E07">
        <w:t xml:space="preserve">. </w:t>
      </w:r>
      <w:r w:rsidR="08203FC0" w:rsidRPr="003D1E07">
        <w:t xml:space="preserve">Henologická identita bytí a Jednoho je dána primárně a odděleně. Porfyrius v souladu s první a s druhou hypotézou dialogu </w:t>
      </w:r>
      <w:r w:rsidR="08203FC0" w:rsidRPr="003D1E07">
        <w:rPr>
          <w:i/>
        </w:rPr>
        <w:t>Parmenides</w:t>
      </w:r>
      <w:r w:rsidR="08203FC0" w:rsidRPr="003D1E07">
        <w:t xml:space="preserve"> zdůrazňuje oddělené bytí Jednoho (ἐπέκεινα ἑνὸς, </w:t>
      </w:r>
      <w:r w:rsidR="08203FC0" w:rsidRPr="003D1E07">
        <w:rPr>
          <w:i/>
        </w:rPr>
        <w:t>Porph. in Parm.</w:t>
      </w:r>
      <w:r w:rsidR="08203FC0" w:rsidRPr="003D1E07">
        <w:t xml:space="preserve"> 12.31</w:t>
      </w:r>
      <w:r w:rsidR="08203FC0" w:rsidRPr="003D1E07">
        <w:fldChar w:fldCharType="begin"/>
      </w:r>
      <w:r w:rsidR="08203FC0" w:rsidRPr="003D1E07">
        <w:instrText xml:space="preserve"> XE "Porfyrius:</w:instrText>
      </w:r>
      <w:r w:rsidR="08203FC0" w:rsidRPr="003D1E07">
        <w:rPr>
          <w:i/>
        </w:rPr>
        <w:instrText>Porph. in Parm.</w:instrText>
      </w:r>
      <w:r w:rsidR="08203FC0" w:rsidRPr="003D1E07">
        <w:instrText xml:space="preserve"> 12.31" </w:instrText>
      </w:r>
      <w:r w:rsidR="08203FC0" w:rsidRPr="003D1E07">
        <w:fldChar w:fldCharType="end"/>
      </w:r>
      <w:r w:rsidR="08203FC0" w:rsidRPr="003D1E07">
        <w:t xml:space="preserve">). Bytí je pravzorem Jednoho uvnitř jeho samého a zároveň tvoří archontickou schopnost Jednoho umožňující zakládat celek jsoucna. </w:t>
      </w:r>
      <w:r w:rsidR="08F84BEE" w:rsidRPr="003D1E07">
        <w:t xml:space="preserve">Toto zdvojení bytí  dokládá fragment z </w:t>
      </w:r>
      <w:r w:rsidR="08F84BEE" w:rsidRPr="003D1E07">
        <w:lastRenderedPageBreak/>
        <w:t>Porfyriova dochovaného výkladu (διττὸν τὸ εἶναι</w:t>
      </w:r>
      <w:r w:rsidR="08F84BEE" w:rsidRPr="003D1E07">
        <w:fldChar w:fldCharType="begin"/>
      </w:r>
      <w:r w:rsidR="08F84BEE" w:rsidRPr="003D1E07">
        <w:instrText xml:space="preserve"> XE "zdvojení bytí" </w:instrText>
      </w:r>
      <w:r w:rsidR="08F84BEE" w:rsidRPr="003D1E07">
        <w:fldChar w:fldCharType="end"/>
      </w:r>
      <w:r w:rsidR="08F84BEE" w:rsidRPr="003D1E07">
        <w:t xml:space="preserve">, τὸ μὲν προϋπάρχει τοῦ ὄντος, </w:t>
      </w:r>
      <w:r w:rsidR="08F84BEE" w:rsidRPr="003D1E07">
        <w:rPr>
          <w:i/>
        </w:rPr>
        <w:t>Porph. in Parm.</w:t>
      </w:r>
      <w:r w:rsidR="08F84BEE" w:rsidRPr="003D1E07">
        <w:t xml:space="preserve"> 12.29–30</w:t>
      </w:r>
      <w:r w:rsidR="08F84BEE" w:rsidRPr="003D1E07">
        <w:fldChar w:fldCharType="begin"/>
      </w:r>
      <w:r w:rsidR="08F84BEE" w:rsidRPr="003D1E07">
        <w:instrText xml:space="preserve"> XE "Porfyrius:</w:instrText>
      </w:r>
      <w:r w:rsidR="08F84BEE" w:rsidRPr="003D1E07">
        <w:rPr>
          <w:i/>
        </w:rPr>
        <w:instrText>Porph. in Parm.</w:instrText>
      </w:r>
      <w:r w:rsidR="08F84BEE" w:rsidRPr="003D1E07">
        <w:instrText xml:space="preserve"> 12.19‒30" </w:instrText>
      </w:r>
      <w:r w:rsidR="08F84BEE" w:rsidRPr="003D1E07">
        <w:fldChar w:fldCharType="end"/>
      </w:r>
      <w:r w:rsidR="08F84BEE" w:rsidRPr="003D1E07">
        <w:t xml:space="preserve">). </w:t>
      </w:r>
      <w:r w:rsidR="08F745C8" w:rsidRPr="003D1E07">
        <w:t xml:space="preserve">Původní hyparchická predikace </w:t>
      </w:r>
      <w:r w:rsidR="08F745C8" w:rsidRPr="003D1E07">
        <w:rPr>
          <w:i/>
        </w:rPr>
        <w:t>Kategorií</w:t>
      </w:r>
      <w:r w:rsidR="08F745C8" w:rsidRPr="003D1E07">
        <w:t xml:space="preserve"> se tím změnila na „</w:t>
      </w:r>
      <w:r w:rsidR="0078785D" w:rsidRPr="003D1E07">
        <w:t>prohyparchi</w:t>
      </w:r>
      <w:r w:rsidR="08F745C8" w:rsidRPr="003D1E07">
        <w:t xml:space="preserve">ckou“ predikaci neoplatonismu. </w:t>
      </w:r>
      <w:r w:rsidR="08CC7505" w:rsidRPr="003D1E07">
        <w:t>C</w:t>
      </w:r>
      <w:r w:rsidR="003A7CA2" w:rsidRPr="003D1E07">
        <w:t xml:space="preserve">elek jsoucna daný v modu čistého bytí </w:t>
      </w:r>
      <w:r w:rsidR="08CC5053" w:rsidRPr="003D1E07">
        <w:t xml:space="preserve">předchůdně </w:t>
      </w:r>
      <w:r w:rsidR="081F22F2" w:rsidRPr="003D1E07">
        <w:t>existuje uvnitř vlastního aktu bytí (προϋπάρχει)</w:t>
      </w:r>
      <w:r w:rsidR="080F21C1" w:rsidRPr="003D1E07">
        <w:t xml:space="preserve"> a </w:t>
      </w:r>
      <w:r w:rsidR="08CC5053" w:rsidRPr="003D1E07">
        <w:t xml:space="preserve">v této původní danosti </w:t>
      </w:r>
      <w:r w:rsidR="08136D48" w:rsidRPr="003D1E07">
        <w:t>je totožný s</w:t>
      </w:r>
      <w:r w:rsidR="080F21C1" w:rsidRPr="003D1E07">
        <w:t xml:space="preserve"> Jedním</w:t>
      </w:r>
      <w:r w:rsidR="081F22F2" w:rsidRPr="003D1E07">
        <w:t xml:space="preserve">. </w:t>
      </w:r>
      <w:r w:rsidR="08CC7505" w:rsidRPr="003D1E07">
        <w:t>Porfyrios vyšel z</w:t>
      </w:r>
      <w:r w:rsidR="080F21C1" w:rsidRPr="003D1E07">
        <w:t xml:space="preserve"> Plotinovy kritiky </w:t>
      </w:r>
      <w:r w:rsidR="080F21C1" w:rsidRPr="003D1E07">
        <w:rPr>
          <w:i/>
        </w:rPr>
        <w:t>Kategorií</w:t>
      </w:r>
      <w:r w:rsidR="08474FE1" w:rsidRPr="003D1E07">
        <w:t>. P</w:t>
      </w:r>
      <w:r w:rsidR="080F21C1" w:rsidRPr="003D1E07">
        <w:t xml:space="preserve">ro rovnost dvou věcí platí, že kategorie kvality má vzhledem k jejich bytí </w:t>
      </w:r>
      <w:r w:rsidR="080F1B89" w:rsidRPr="003D1E07">
        <w:t xml:space="preserve">předchůdně danou </w:t>
      </w:r>
      <w:r w:rsidR="080F21C1" w:rsidRPr="003D1E07">
        <w:t>danou rodovu identitu (</w:t>
      </w:r>
      <w:r w:rsidR="080F21C1" w:rsidRPr="003D1E07">
        <w:rPr>
          <w:shd w:val="clear" w:color="auto" w:fill="FFFFFF"/>
        </w:rPr>
        <w:t>τὸ γὰρ ταὐτὸν ἐν τῷ ποσῷ προϋπάρχει πρὸ τῆς σχέσεως</w:t>
      </w:r>
      <w:r w:rsidR="083525C7" w:rsidRPr="003D1E07">
        <w:rPr>
          <w:shd w:val="clear" w:color="auto" w:fill="FFFFFF"/>
        </w:rPr>
        <w:t xml:space="preserve">, </w:t>
      </w:r>
      <w:r w:rsidR="083525C7" w:rsidRPr="003D1E07">
        <w:rPr>
          <w:i/>
          <w:shd w:val="clear" w:color="auto" w:fill="FFFFFF"/>
        </w:rPr>
        <w:t>Enn</w:t>
      </w:r>
      <w:r w:rsidR="08B35E5C" w:rsidRPr="003D1E07">
        <w:rPr>
          <w:shd w:val="clear" w:color="auto" w:fill="FFFFFF"/>
        </w:rPr>
        <w:t>. 6.1.6</w:t>
      </w:r>
      <w:r w:rsidR="083525C7" w:rsidRPr="003D1E07">
        <w:rPr>
          <w:shd w:val="clear" w:color="auto" w:fill="FFFFFF"/>
        </w:rPr>
        <w:t>.</w:t>
      </w:r>
      <w:r w:rsidR="08B35E5C" w:rsidRPr="003D1E07">
        <w:rPr>
          <w:shd w:val="clear" w:color="auto" w:fill="FFFFFF"/>
        </w:rPr>
        <w:t>20‒21</w:t>
      </w:r>
      <w:r w:rsidR="08B35E5C" w:rsidRPr="003D1E07">
        <w:rPr>
          <w:shd w:val="clear" w:color="auto" w:fill="FFFFFF"/>
        </w:rPr>
        <w:fldChar w:fldCharType="begin"/>
      </w:r>
      <w:r w:rsidR="08B35E5C" w:rsidRPr="003D1E07">
        <w:instrText xml:space="preserve"> XE "Plotin</w:instrText>
      </w:r>
      <w:r w:rsidR="08D27A1C" w:rsidRPr="003D1E07">
        <w:instrText>os</w:instrText>
      </w:r>
      <w:r w:rsidR="08B35E5C" w:rsidRPr="003D1E07">
        <w:instrText>:</w:instrText>
      </w:r>
      <w:r w:rsidR="08B35E5C" w:rsidRPr="003D1E07">
        <w:rPr>
          <w:i/>
          <w:shd w:val="clear" w:color="auto" w:fill="FFFFFF"/>
        </w:rPr>
        <w:instrText>Enn</w:instrText>
      </w:r>
      <w:r w:rsidR="08B35E5C" w:rsidRPr="003D1E07">
        <w:rPr>
          <w:shd w:val="clear" w:color="auto" w:fill="FFFFFF"/>
        </w:rPr>
        <w:instrText>. 6.1.6.20‒21</w:instrText>
      </w:r>
      <w:r w:rsidR="08B35E5C" w:rsidRPr="003D1E07">
        <w:instrText xml:space="preserve">" </w:instrText>
      </w:r>
      <w:r w:rsidR="08B35E5C" w:rsidRPr="003D1E07">
        <w:rPr>
          <w:shd w:val="clear" w:color="auto" w:fill="FFFFFF"/>
        </w:rPr>
        <w:fldChar w:fldCharType="end"/>
      </w:r>
      <w:r w:rsidR="080F21C1" w:rsidRPr="003D1E07">
        <w:t xml:space="preserve">). </w:t>
      </w:r>
      <w:r w:rsidR="0870765E" w:rsidRPr="003D1E07">
        <w:t>Pro</w:t>
      </w:r>
      <w:r w:rsidR="001F7CD9" w:rsidRPr="003D1E07">
        <w:t>hyp</w:t>
      </w:r>
      <w:r w:rsidR="0870765E" w:rsidRPr="003D1E07">
        <w:t xml:space="preserve">archická kvalita </w:t>
      </w:r>
      <w:r w:rsidR="08F30EBF" w:rsidRPr="003D1E07">
        <w:t xml:space="preserve">jako nejvyšší rod </w:t>
      </w:r>
      <w:r w:rsidR="08BB20F3" w:rsidRPr="003D1E07">
        <w:t xml:space="preserve">dostala hypostázovanou  existenci </w:t>
      </w:r>
      <w:r w:rsidR="08837D9A" w:rsidRPr="003D1E07">
        <w:t>(</w:t>
      </w:r>
      <w:r w:rsidR="08837D9A" w:rsidRPr="003D1E07">
        <w:rPr>
          <w:shd w:val="clear" w:color="auto" w:fill="FFFFFF"/>
        </w:rPr>
        <w:t>ἐν τῷ ποσῷ</w:t>
      </w:r>
      <w:r w:rsidR="08837D9A" w:rsidRPr="003D1E07">
        <w:t xml:space="preserve">) </w:t>
      </w:r>
      <w:r w:rsidR="08BB20F3" w:rsidRPr="003D1E07">
        <w:t>mimo reálné jsoucno</w:t>
      </w:r>
      <w:r w:rsidR="08837D9A" w:rsidRPr="003D1E07">
        <w:t>. I</w:t>
      </w:r>
      <w:r w:rsidR="08F30EBF" w:rsidRPr="003D1E07">
        <w:t xml:space="preserve">dentita se stala ideovým jsoucnem </w:t>
      </w:r>
      <w:r w:rsidR="08BB20F3" w:rsidRPr="003D1E07">
        <w:t>(</w:t>
      </w:r>
      <w:r w:rsidR="08BB20F3" w:rsidRPr="003D1E07">
        <w:rPr>
          <w:shd w:val="clear" w:color="auto" w:fill="FFFFFF"/>
        </w:rPr>
        <w:t>τὸ ταὐτὸν</w:t>
      </w:r>
      <w:r w:rsidR="08BB20F3" w:rsidRPr="003D1E07">
        <w:t xml:space="preserve">), jehož vlastnosti mají transcendentální charakter vzhledem k podřazeným substancím. </w:t>
      </w:r>
      <w:r w:rsidR="081004C4" w:rsidRPr="003D1E07">
        <w:t>Tento scénář použil Porfyrius a zavedl pro</w:t>
      </w:r>
      <w:r w:rsidR="007253B8" w:rsidRPr="003D1E07">
        <w:t>hyp</w:t>
      </w:r>
      <w:r w:rsidR="081004C4" w:rsidRPr="003D1E07">
        <w:t xml:space="preserve">archické </w:t>
      </w:r>
      <w:r w:rsidR="089006BC" w:rsidRPr="003D1E07">
        <w:t xml:space="preserve">bytí </w:t>
      </w:r>
      <w:r w:rsidR="08C83793" w:rsidRPr="003D1E07">
        <w:t>jako novou kvalitu Jednoho, která</w:t>
      </w:r>
      <w:r w:rsidR="08BB20F3" w:rsidRPr="003D1E07">
        <w:t xml:space="preserve"> </w:t>
      </w:r>
      <w:r w:rsidR="08D23083" w:rsidRPr="003D1E07">
        <w:t xml:space="preserve">produkuje </w:t>
      </w:r>
      <w:r w:rsidR="005623FA" w:rsidRPr="003D1E07">
        <w:t xml:space="preserve">následné </w:t>
      </w:r>
      <w:r w:rsidR="08F2583A" w:rsidRPr="003D1E07">
        <w:t xml:space="preserve">hyparchické bytí, </w:t>
      </w:r>
      <w:r w:rsidR="086218A7" w:rsidRPr="003D1E07">
        <w:t xml:space="preserve">identitu, jednotu a různost </w:t>
      </w:r>
      <w:r w:rsidR="00364E83">
        <w:t>jako původní aktivity</w:t>
      </w:r>
      <w:r w:rsidR="08D23083" w:rsidRPr="003D1E07">
        <w:t xml:space="preserve"> vycházející z primordiální jednoty bytí. </w:t>
      </w:r>
      <w:r w:rsidR="0003103D" w:rsidRPr="003D1E07">
        <w:t>S</w:t>
      </w:r>
      <w:r w:rsidR="089A0B6C" w:rsidRPr="003D1E07">
        <w:t>loves</w:t>
      </w:r>
      <w:r w:rsidR="082B1B59" w:rsidRPr="003D1E07">
        <w:t>o označující původní existenci j</w:t>
      </w:r>
      <w:r w:rsidR="089A0B6C" w:rsidRPr="003D1E07">
        <w:t>ednoty</w:t>
      </w:r>
      <w:r w:rsidR="083766EF" w:rsidRPr="003D1E07">
        <w:t xml:space="preserve"> připomíná výše uvedenou hyparchickou funkci první substance  u Aristotela (</w:t>
      </w:r>
      <w:r w:rsidR="083766EF" w:rsidRPr="003D1E07">
        <w:rPr>
          <w:i/>
        </w:rPr>
        <w:t>Cat</w:t>
      </w:r>
      <w:r w:rsidR="083766EF" w:rsidRPr="003D1E07">
        <w:t>. 2a14–15</w:t>
      </w:r>
      <w:r w:rsidR="00B33948" w:rsidRPr="003D1E07">
        <w:fldChar w:fldCharType="begin"/>
      </w:r>
      <w:r w:rsidR="00B33948" w:rsidRPr="003D1E07">
        <w:instrText xml:space="preserve"> XE "</w:instrText>
      </w:r>
      <w:r w:rsidR="008E02F5" w:rsidRPr="003D1E07">
        <w:instrText>Aristoteles</w:instrText>
      </w:r>
      <w:r w:rsidR="00B33948" w:rsidRPr="003D1E07">
        <w:instrText>:</w:instrText>
      </w:r>
      <w:r w:rsidR="00B33948" w:rsidRPr="003D1E07">
        <w:rPr>
          <w:i/>
        </w:rPr>
        <w:instrText>Cat</w:instrText>
      </w:r>
      <w:r w:rsidR="00B33948" w:rsidRPr="003D1E07">
        <w:instrText xml:space="preserve">. 2a14–15" </w:instrText>
      </w:r>
      <w:r w:rsidR="00B33948" w:rsidRPr="003D1E07">
        <w:fldChar w:fldCharType="end"/>
      </w:r>
      <w:r w:rsidR="083766EF" w:rsidRPr="003D1E07">
        <w:t xml:space="preserve">) s jedním důležitým rozdílem. Proklitická částice </w:t>
      </w:r>
      <w:r w:rsidR="089C7C50" w:rsidRPr="003D1E07">
        <w:t>(προ-)</w:t>
      </w:r>
      <w:r w:rsidR="005A68A7" w:rsidRPr="003D1E07">
        <w:fldChar w:fldCharType="begin"/>
      </w:r>
      <w:r w:rsidR="00E966D3" w:rsidRPr="003D1E07">
        <w:instrText xml:space="preserve"> XE "predikace:hyp</w:instrText>
      </w:r>
      <w:r w:rsidR="005A68A7" w:rsidRPr="003D1E07">
        <w:instrText xml:space="preserve">archická" </w:instrText>
      </w:r>
      <w:r w:rsidR="005A68A7" w:rsidRPr="003D1E07">
        <w:fldChar w:fldCharType="end"/>
      </w:r>
      <w:r w:rsidR="089C7C50" w:rsidRPr="003D1E07">
        <w:t xml:space="preserve"> uvozující sloveso </w:t>
      </w:r>
      <w:r w:rsidR="083766EF" w:rsidRPr="003D1E07">
        <w:t>ὑ</w:t>
      </w:r>
      <w:r w:rsidR="089C7C50" w:rsidRPr="003D1E07">
        <w:t>πάρχω</w:t>
      </w:r>
      <w:r w:rsidR="083766EF" w:rsidRPr="003D1E07">
        <w:t xml:space="preserve"> se vztahuje k </w:t>
      </w:r>
      <w:r w:rsidR="00541D32" w:rsidRPr="003D1E07">
        <w:t>neoplatonskému</w:t>
      </w:r>
      <w:r w:rsidR="00E119D8" w:rsidRPr="003D1E07">
        <w:t xml:space="preserve"> </w:t>
      </w:r>
      <w:r w:rsidR="083766EF" w:rsidRPr="003D1E07">
        <w:t>Jednomu, a ne k reá</w:t>
      </w:r>
      <w:r w:rsidR="007F5862">
        <w:t>lně existující první substanci.</w:t>
      </w:r>
    </w:p>
    <w:p w14:paraId="07358AE9" w14:textId="5032F8DF" w:rsidR="00A453E3" w:rsidRDefault="083525C7" w:rsidP="00A6591F">
      <w:pPr>
        <w:ind w:firstLine="360"/>
      </w:pPr>
      <w:r w:rsidRPr="003D1E07">
        <w:t xml:space="preserve">Odkaz na </w:t>
      </w:r>
      <w:r w:rsidRPr="003D1E07">
        <w:rPr>
          <w:i/>
        </w:rPr>
        <w:t>Enneády</w:t>
      </w:r>
      <w:r w:rsidRPr="003D1E07">
        <w:t xml:space="preserve"> ukazuje, že kategorie kvality stojí vzhledem k Jednomu nad hyparchickým bytím Aristotelovy </w:t>
      </w:r>
      <w:r w:rsidR="08AB1658" w:rsidRPr="003D1E07">
        <w:t xml:space="preserve">první </w:t>
      </w:r>
      <w:r w:rsidRPr="003D1E07">
        <w:t xml:space="preserve">substance. </w:t>
      </w:r>
      <w:r w:rsidR="08CB2B87" w:rsidRPr="003D1E07">
        <w:t>Pro</w:t>
      </w:r>
      <w:r w:rsidR="001F7CD9" w:rsidRPr="003D1E07">
        <w:t>hyp</w:t>
      </w:r>
      <w:r w:rsidR="08CB2B87" w:rsidRPr="003D1E07">
        <w:t xml:space="preserve">archicky daná kvalita </w:t>
      </w:r>
      <w:r w:rsidR="088A1E9A" w:rsidRPr="003D1E07">
        <w:t xml:space="preserve">primordiální </w:t>
      </w:r>
      <w:r w:rsidR="08CB2B87" w:rsidRPr="003D1E07">
        <w:t xml:space="preserve">Jednoty a Bytí zakládá </w:t>
      </w:r>
      <w:r w:rsidR="089661AD" w:rsidRPr="003D1E07">
        <w:t xml:space="preserve">novou predikaci </w:t>
      </w:r>
      <w:r w:rsidR="089661AD" w:rsidRPr="003D1E07">
        <w:rPr>
          <w:i/>
        </w:rPr>
        <w:t>per prius</w:t>
      </w:r>
      <w:r w:rsidR="089661AD" w:rsidRPr="003D1E07">
        <w:t xml:space="preserve">, </w:t>
      </w:r>
      <w:r w:rsidR="08CF5096" w:rsidRPr="003D1E07">
        <w:t xml:space="preserve">protože zjevuje bytí jako </w:t>
      </w:r>
      <w:r w:rsidR="088A1E9A" w:rsidRPr="003D1E07">
        <w:t xml:space="preserve">základní </w:t>
      </w:r>
      <w:r w:rsidR="08CF5096" w:rsidRPr="003D1E07">
        <w:t xml:space="preserve">aktivitu Jednoho směrem k Různosti. </w:t>
      </w:r>
      <w:r w:rsidR="08EF76AD" w:rsidRPr="003D1E07">
        <w:t xml:space="preserve">V novém scénáři emanací zakládá bytí Jednoho celek aktuálně jsoucího (τὸ δὲ ὃ ἐπάγεται ἐκ τοῦ ὄντος, </w:t>
      </w:r>
      <w:r w:rsidR="08EF76AD" w:rsidRPr="003D1E07">
        <w:rPr>
          <w:i/>
        </w:rPr>
        <w:t>Porph. in Parm.</w:t>
      </w:r>
      <w:r w:rsidR="08EF76AD" w:rsidRPr="003D1E07">
        <w:t xml:space="preserve"> 12.31</w:t>
      </w:r>
      <w:r w:rsidR="08EF76AD" w:rsidRPr="003D1E07">
        <w:fldChar w:fldCharType="begin"/>
      </w:r>
      <w:r w:rsidR="08EF76AD" w:rsidRPr="003D1E07">
        <w:instrText xml:space="preserve"> XE "Porfyrius:</w:instrText>
      </w:r>
      <w:r w:rsidR="08EF76AD" w:rsidRPr="003D1E07">
        <w:rPr>
          <w:i/>
        </w:rPr>
        <w:instrText>Porph. in Parm.</w:instrText>
      </w:r>
      <w:r w:rsidR="08EF76AD" w:rsidRPr="003D1E07">
        <w:instrText xml:space="preserve"> 12.31" </w:instrText>
      </w:r>
      <w:r w:rsidR="08EF76AD" w:rsidRPr="003D1E07">
        <w:fldChar w:fldCharType="end"/>
      </w:r>
      <w:r w:rsidR="08EF76AD" w:rsidRPr="003D1E07">
        <w:t xml:space="preserve">). </w:t>
      </w:r>
      <w:r w:rsidR="0822490A" w:rsidRPr="003D1E07">
        <w:t xml:space="preserve">Zdvojené bytí </w:t>
      </w:r>
      <w:r w:rsidR="08D32388" w:rsidRPr="003D1E07">
        <w:t xml:space="preserve">takto kvalitního </w:t>
      </w:r>
      <w:r w:rsidR="0822490A" w:rsidRPr="003D1E07">
        <w:t>Jednoho se vztahuje k</w:t>
      </w:r>
      <w:r w:rsidR="088E471F" w:rsidRPr="003D1E07">
        <w:t> pro</w:t>
      </w:r>
      <w:r w:rsidR="001F7CD9" w:rsidRPr="003D1E07">
        <w:t>hyp</w:t>
      </w:r>
      <w:r w:rsidR="088E471F" w:rsidRPr="003D1E07">
        <w:t xml:space="preserve">archické </w:t>
      </w:r>
      <w:r w:rsidR="0822490A" w:rsidRPr="003D1E07">
        <w:t>jednotě jsoucího</w:t>
      </w:r>
      <w:r w:rsidR="0094030A" w:rsidRPr="003D1E07">
        <w:t xml:space="preserve">. Ta </w:t>
      </w:r>
      <w:r w:rsidR="0822490A" w:rsidRPr="003D1E07">
        <w:t xml:space="preserve">je dána ještě před emanací bytí do nižších sfér. </w:t>
      </w:r>
      <w:r w:rsidR="0094030A" w:rsidRPr="003D1E07">
        <w:t xml:space="preserve">Zdvojené Jedno je vybaveno </w:t>
      </w:r>
      <w:r w:rsidR="0078785D" w:rsidRPr="003D1E07">
        <w:t>prohyparchi</w:t>
      </w:r>
      <w:r w:rsidR="0094030A" w:rsidRPr="003D1E07">
        <w:t xml:space="preserve">ckou kategorií transcendentálně určené kvality. </w:t>
      </w:r>
      <w:r w:rsidR="00BB45B1" w:rsidRPr="003D1E07">
        <w:t>Porfyri</w:t>
      </w:r>
      <w:r w:rsidR="00AD43B8" w:rsidRPr="003D1E07">
        <w:t xml:space="preserve">us </w:t>
      </w:r>
      <w:r w:rsidR="00705225" w:rsidRPr="003D1E07">
        <w:t>pomocí zdvojeného bytí</w:t>
      </w:r>
      <w:r w:rsidR="005A68A7" w:rsidRPr="003D1E07">
        <w:fldChar w:fldCharType="begin"/>
      </w:r>
      <w:r w:rsidR="005A68A7" w:rsidRPr="003D1E07">
        <w:instrText xml:space="preserve"> XE "zdvojení bytí" </w:instrText>
      </w:r>
      <w:r w:rsidR="005A68A7" w:rsidRPr="003D1E07">
        <w:fldChar w:fldCharType="end"/>
      </w:r>
      <w:r w:rsidR="00705225" w:rsidRPr="003D1E07">
        <w:t xml:space="preserve"> </w:t>
      </w:r>
      <w:r w:rsidR="00AD43B8" w:rsidRPr="003D1E07">
        <w:t xml:space="preserve">spojil </w:t>
      </w:r>
      <w:r w:rsidR="008E02F5" w:rsidRPr="003D1E07">
        <w:t>Platon</w:t>
      </w:r>
      <w:r w:rsidR="00AD43B8" w:rsidRPr="003D1E07">
        <w:t xml:space="preserve">ovu henologii a pojetí nehybného hybatele v </w:t>
      </w:r>
      <w:r w:rsidR="00AD43B8" w:rsidRPr="003D1E07">
        <w:rPr>
          <w:i/>
        </w:rPr>
        <w:t>Metafyzice</w:t>
      </w:r>
      <w:r w:rsidR="00AD43B8" w:rsidRPr="003D1E07">
        <w:t xml:space="preserve"> </w:t>
      </w:r>
      <w:r w:rsidR="00AD43B8" w:rsidRPr="00265DF1">
        <w:rPr>
          <w:i/>
        </w:rPr>
        <w:t>Lambda</w:t>
      </w:r>
      <w:r w:rsidR="0806108C" w:rsidRPr="003D1E07">
        <w:t xml:space="preserve"> jako první substance a p</w:t>
      </w:r>
      <w:r w:rsidR="006505DB" w:rsidRPr="003D1E07">
        <w:t>rvní příčiny</w:t>
      </w:r>
      <w:r w:rsidR="00AD43B8" w:rsidRPr="003D1E07">
        <w:t xml:space="preserve">. </w:t>
      </w:r>
      <w:r w:rsidR="00673A5A" w:rsidRPr="003D1E07">
        <w:t xml:space="preserve">Paradoxní jsoucnost schizoidního </w:t>
      </w:r>
      <w:r w:rsidR="00AD43B8" w:rsidRPr="003D1E07">
        <w:t xml:space="preserve">Jednoho </w:t>
      </w:r>
      <w:r w:rsidR="00673A5A" w:rsidRPr="003D1E07">
        <w:t xml:space="preserve">byla transplantována do </w:t>
      </w:r>
      <w:r w:rsidR="00AD43B8" w:rsidRPr="003D1E07">
        <w:t>Aristotel</w:t>
      </w:r>
      <w:r w:rsidR="00673A5A" w:rsidRPr="003D1E07">
        <w:t xml:space="preserve">ovy metafyziky. Zde si podržela </w:t>
      </w:r>
      <w:r w:rsidR="00AD43B8" w:rsidRPr="003D1E07">
        <w:t>archonti</w:t>
      </w:r>
      <w:r w:rsidR="00986E98" w:rsidRPr="003D1E07">
        <w:t xml:space="preserve">ckou schopnost </w:t>
      </w:r>
      <w:r w:rsidR="08E22BA9" w:rsidRPr="003D1E07">
        <w:t>zakládat metafyzickou jednotu</w:t>
      </w:r>
      <w:r w:rsidR="00986E98" w:rsidRPr="003D1E07">
        <w:t xml:space="preserve"> jsoucna, která</w:t>
      </w:r>
      <w:r w:rsidR="00AD43B8" w:rsidRPr="003D1E07">
        <w:t xml:space="preserve"> do sebe zahrnuje celek jsoucího. </w:t>
      </w:r>
      <w:r w:rsidR="005A337B" w:rsidRPr="003D1E07">
        <w:t xml:space="preserve">Jsoucno třetího druhu vzniklo v první moderní henologii po separaci prvního principu na platonské </w:t>
      </w:r>
      <w:r w:rsidR="00323307" w:rsidRPr="003D1E07">
        <w:t xml:space="preserve">eminentní </w:t>
      </w:r>
      <w:r w:rsidR="005A337B" w:rsidRPr="003D1E07">
        <w:t xml:space="preserve">Jedno a na jeho aristotelské bytí. </w:t>
      </w:r>
      <w:r w:rsidR="00AC7BCC" w:rsidRPr="003D1E07">
        <w:t xml:space="preserve">Citovaná pasáž </w:t>
      </w:r>
      <w:r w:rsidR="08B161D9" w:rsidRPr="003D1E07">
        <w:t xml:space="preserve">komentáře </w:t>
      </w:r>
      <w:r w:rsidR="00AC7BCC" w:rsidRPr="003D1E07">
        <w:t>(</w:t>
      </w:r>
      <w:r w:rsidR="006E3E86" w:rsidRPr="003D1E07">
        <w:rPr>
          <w:i/>
        </w:rPr>
        <w:t>Porph. in Parm.</w:t>
      </w:r>
      <w:r w:rsidR="006E3E86" w:rsidRPr="003D1E07">
        <w:t xml:space="preserve"> </w:t>
      </w:r>
      <w:r w:rsidR="00AC7BCC" w:rsidRPr="003D1E07">
        <w:t>12.25–33</w:t>
      </w:r>
      <w:r w:rsidR="00B33948" w:rsidRPr="003D1E07">
        <w:fldChar w:fldCharType="begin"/>
      </w:r>
      <w:r w:rsidR="00B33948" w:rsidRPr="003D1E07">
        <w:instrText xml:space="preserve"> XE "</w:instrText>
      </w:r>
      <w:r w:rsidR="08CE5A60" w:rsidRPr="003D1E07">
        <w:instrText>Porfyrius:</w:instrText>
      </w:r>
      <w:r w:rsidR="00B33948" w:rsidRPr="003D1E07">
        <w:rPr>
          <w:i/>
        </w:rPr>
        <w:instrText>Porph. in Parm.</w:instrText>
      </w:r>
      <w:r w:rsidR="00B33948" w:rsidRPr="003D1E07">
        <w:instrText xml:space="preserve"> 12.25‒33" </w:instrText>
      </w:r>
      <w:r w:rsidR="00B33948" w:rsidRPr="003D1E07">
        <w:fldChar w:fldCharType="end"/>
      </w:r>
      <w:r w:rsidR="00AC7BCC" w:rsidRPr="003D1E07">
        <w:t xml:space="preserve">) </w:t>
      </w:r>
      <w:r w:rsidR="08B161D9" w:rsidRPr="003D1E07">
        <w:t xml:space="preserve">zakládá </w:t>
      </w:r>
      <w:r w:rsidR="00AC7BCC" w:rsidRPr="003D1E07">
        <w:rPr>
          <w:i/>
        </w:rPr>
        <w:t>Lichtung</w:t>
      </w:r>
      <w:r w:rsidR="00595C59" w:rsidRPr="003D1E07">
        <w:rPr>
          <w:i/>
        </w:rPr>
        <w:fldChar w:fldCharType="begin"/>
      </w:r>
      <w:r w:rsidR="00595C59" w:rsidRPr="003D1E07">
        <w:instrText xml:space="preserve"> XE "</w:instrText>
      </w:r>
      <w:r w:rsidR="00595C59" w:rsidRPr="003D1E07">
        <w:rPr>
          <w:i/>
        </w:rPr>
        <w:instrText>Lichtung</w:instrText>
      </w:r>
      <w:r w:rsidR="088B254C" w:rsidRPr="003D1E07">
        <w:instrText>:Porfy</w:instrText>
      </w:r>
      <w:r w:rsidR="00595C59" w:rsidRPr="003D1E07">
        <w:instrText xml:space="preserve">rius" </w:instrText>
      </w:r>
      <w:r w:rsidR="00595C59" w:rsidRPr="003D1E07">
        <w:rPr>
          <w:i/>
        </w:rPr>
        <w:fldChar w:fldCharType="end"/>
      </w:r>
      <w:r w:rsidR="00AC7BCC" w:rsidRPr="003D1E07">
        <w:t xml:space="preserve"> určující první epochální formu objektivního jsoucna třetího druhu</w:t>
      </w:r>
      <w:r w:rsidR="08B161D9" w:rsidRPr="003D1E07">
        <w:t xml:space="preserve"> v nově pojaté ontoteologii Jednoho</w:t>
      </w:r>
      <w:r w:rsidR="00AC7BCC" w:rsidRPr="003D1E07">
        <w:t xml:space="preserve">. </w:t>
      </w:r>
      <w:r w:rsidR="00AC7BCC" w:rsidRPr="003D1E07">
        <w:lastRenderedPageBreak/>
        <w:t xml:space="preserve">Díky zdvojení prvního principu na Jedno a na jeho bytí vznikla přímo v henologické sféře </w:t>
      </w:r>
      <w:r w:rsidR="00036E73" w:rsidRPr="003D1E07">
        <w:t xml:space="preserve">Jednoho oblast </w:t>
      </w:r>
      <w:r w:rsidR="00AC7BCC" w:rsidRPr="003D1E07">
        <w:t>bytí jsoucna třetího druhu.</w:t>
      </w:r>
      <w:r w:rsidR="00036E73" w:rsidRPr="003D1E07">
        <w:t xml:space="preserve"> </w:t>
      </w:r>
      <w:r w:rsidR="00BE67BC" w:rsidRPr="003D1E07">
        <w:t>Nová transcendentální predikace je založena na hypostázovaném akcidentu kvality, který „e</w:t>
      </w:r>
      <w:r w:rsidR="00AA0384">
        <w:t>ks</w:t>
      </w:r>
      <w:r w:rsidR="00BE67BC" w:rsidRPr="003D1E07">
        <w:t xml:space="preserve">istuje“ </w:t>
      </w:r>
      <w:r w:rsidR="00AA0384">
        <w:rPr>
          <w:noProof w:val="0"/>
          <w:lang w:val="en-US" w:eastAsia="en-US"/>
        </w:rPr>
        <w:t>(</w:t>
      </w:r>
      <w:r w:rsidR="00AA0384">
        <w:rPr>
          <w:i/>
          <w:noProof w:val="0"/>
          <w:lang w:val="en-US" w:eastAsia="en-US"/>
        </w:rPr>
        <w:t>exsistit</w:t>
      </w:r>
      <w:r w:rsidR="00AA0384">
        <w:rPr>
          <w:noProof w:val="0"/>
          <w:lang w:val="en-US" w:eastAsia="en-US"/>
        </w:rPr>
        <w:t xml:space="preserve">) </w:t>
      </w:r>
      <w:r w:rsidR="00BE67BC" w:rsidRPr="003D1E07">
        <w:t xml:space="preserve">v modu </w:t>
      </w:r>
      <w:r w:rsidR="00B462FF" w:rsidRPr="00B462FF">
        <w:rPr>
          <w:i/>
        </w:rPr>
        <w:t>pro</w:t>
      </w:r>
      <w:r w:rsidR="00BE67BC" w:rsidRPr="00B462FF">
        <w:rPr>
          <w:i/>
        </w:rPr>
        <w:t>hypárchei</w:t>
      </w:r>
      <w:r w:rsidR="00BE67BC" w:rsidRPr="003D1E07">
        <w:t xml:space="preserve"> před </w:t>
      </w:r>
      <w:r w:rsidR="00641715" w:rsidRPr="003D1E07">
        <w:t xml:space="preserve">rodově určeným </w:t>
      </w:r>
      <w:r w:rsidR="00BE67BC" w:rsidRPr="003D1E07">
        <w:t xml:space="preserve">bytím druhé substance. </w:t>
      </w:r>
      <w:r w:rsidR="088E471F" w:rsidRPr="003D1E07">
        <w:t>A toto zdvojené bytí dostalo pro</w:t>
      </w:r>
      <w:r w:rsidR="001F7CD9" w:rsidRPr="003D1E07">
        <w:t>hyp</w:t>
      </w:r>
      <w:r w:rsidR="088E471F" w:rsidRPr="003D1E07">
        <w:t xml:space="preserve">archickou predikaci </w:t>
      </w:r>
      <w:r w:rsidR="08632FD7" w:rsidRPr="003D1E07">
        <w:t xml:space="preserve">podle </w:t>
      </w:r>
      <w:r w:rsidR="088E471F" w:rsidRPr="003D1E07">
        <w:rPr>
          <w:i/>
        </w:rPr>
        <w:t>Kategorií</w:t>
      </w:r>
      <w:r w:rsidR="088E471F" w:rsidRPr="003D1E07">
        <w:t xml:space="preserve"> skrze hypostázovaný akcident kvality daný v modu </w:t>
      </w:r>
      <w:r w:rsidR="088E471F" w:rsidRPr="003D1E07">
        <w:rPr>
          <w:i/>
        </w:rPr>
        <w:t>per prius</w:t>
      </w:r>
      <w:r w:rsidR="088E471F" w:rsidRPr="003D1E07">
        <w:t xml:space="preserve"> dokonce i před bytím druhé substance. </w:t>
      </w:r>
      <w:r w:rsidR="00036E73" w:rsidRPr="003D1E07">
        <w:t xml:space="preserve">Díky </w:t>
      </w:r>
      <w:r w:rsidR="086D14DE" w:rsidRPr="003D1E07">
        <w:t xml:space="preserve">Plotinovi a </w:t>
      </w:r>
      <w:r w:rsidR="00BB45B1" w:rsidRPr="003D1E07">
        <w:t>Porfyri</w:t>
      </w:r>
      <w:r w:rsidR="085F7923" w:rsidRPr="003D1E07">
        <w:t>ovi</w:t>
      </w:r>
      <w:r w:rsidR="00036E73" w:rsidRPr="003D1E07">
        <w:t xml:space="preserve"> dostalo jsoucno třetího druhu </w:t>
      </w:r>
      <w:r w:rsidR="086D14DE" w:rsidRPr="003D1E07">
        <w:t xml:space="preserve">první </w:t>
      </w:r>
      <w:r w:rsidR="00036E73" w:rsidRPr="003D1E07">
        <w:t>ontoteologický</w:t>
      </w:r>
      <w:r w:rsidR="008F3F8F" w:rsidRPr="003D1E07">
        <w:fldChar w:fldCharType="begin"/>
      </w:r>
      <w:r w:rsidR="008F3F8F" w:rsidRPr="003D1E07">
        <w:instrText xml:space="preserve"> XE "ontoteologie:</w:instrText>
      </w:r>
      <w:r w:rsidR="088B254C" w:rsidRPr="003D1E07">
        <w:instrText>Porfyrius</w:instrText>
      </w:r>
      <w:r w:rsidR="008F3F8F" w:rsidRPr="003D1E07">
        <w:instrText xml:space="preserve">" </w:instrText>
      </w:r>
      <w:r w:rsidR="008F3F8F" w:rsidRPr="003D1E07">
        <w:fldChar w:fldCharType="end"/>
      </w:r>
      <w:r w:rsidR="00036E73" w:rsidRPr="003D1E07">
        <w:t xml:space="preserve"> habitat, protože j</w:t>
      </w:r>
      <w:r w:rsidR="084C2FF8" w:rsidRPr="003D1E07">
        <w:t>e ubytováno přímo v primordiální</w:t>
      </w:r>
      <w:r w:rsidR="00036E73" w:rsidRPr="003D1E07">
        <w:t xml:space="preserve"> sféře bytí</w:t>
      </w:r>
      <w:r w:rsidR="08D82FD4" w:rsidRPr="003D1E07">
        <w:t xml:space="preserve"> Jednoho</w:t>
      </w:r>
      <w:r w:rsidR="00036E73" w:rsidRPr="003D1E07">
        <w:t xml:space="preserve">. </w:t>
      </w:r>
      <w:r w:rsidR="00BE5258" w:rsidRPr="003D1E07">
        <w:t xml:space="preserve">Toto rozdvojení opakuje moderna </w:t>
      </w:r>
      <w:r w:rsidR="0880224C" w:rsidRPr="003D1E07">
        <w:t xml:space="preserve">včetně </w:t>
      </w:r>
      <w:r w:rsidR="00BE5258" w:rsidRPr="003D1E07">
        <w:t>Leibnize tím, že umístí ideje a jejich matematické deriváty do boží mysli, kde vznikne primordiální a archetypální sféra objektivity (</w:t>
      </w:r>
      <w:r w:rsidR="00BE5258" w:rsidRPr="003D1E07">
        <w:rPr>
          <w:i/>
        </w:rPr>
        <w:t>la région des vérités éternelles</w:t>
      </w:r>
      <w:r w:rsidR="00BE5258" w:rsidRPr="003D1E07">
        <w:fldChar w:fldCharType="begin"/>
      </w:r>
      <w:r w:rsidR="00BE5258" w:rsidRPr="003D1E07">
        <w:instrText xml:space="preserve"> XE "objektivita:Leibniz" </w:instrText>
      </w:r>
      <w:r w:rsidR="00BE5258" w:rsidRPr="003D1E07">
        <w:fldChar w:fldCharType="end"/>
      </w:r>
      <w:r w:rsidR="08CF6FB4" w:rsidRPr="003D1E07">
        <w:t>;</w:t>
      </w:r>
      <w:r w:rsidR="00BE5258" w:rsidRPr="003D1E07">
        <w:t xml:space="preserve"> </w:t>
      </w:r>
      <w:r w:rsidR="08A85B38" w:rsidRPr="003D1E07">
        <w:t>OBJ III, kap. 5</w:t>
      </w:r>
      <w:r w:rsidR="00BE5258" w:rsidRPr="003D1E07">
        <w:t xml:space="preserve">.2.3). </w:t>
      </w:r>
      <w:r w:rsidR="00441882" w:rsidRPr="003D1E07">
        <w:t xml:space="preserve">Na úrovni </w:t>
      </w:r>
      <w:r w:rsidR="084947EC" w:rsidRPr="003D1E07">
        <w:t>pro</w:t>
      </w:r>
      <w:r w:rsidR="001F7CD9" w:rsidRPr="003D1E07">
        <w:t>hyp</w:t>
      </w:r>
      <w:r w:rsidR="084947EC" w:rsidRPr="003D1E07">
        <w:t xml:space="preserve">archického </w:t>
      </w:r>
      <w:r w:rsidR="00441882" w:rsidRPr="003D1E07">
        <w:t>J</w:t>
      </w:r>
      <w:r w:rsidR="00036E73" w:rsidRPr="003D1E07">
        <w:t>edno</w:t>
      </w:r>
      <w:r w:rsidR="00441882" w:rsidRPr="003D1E07">
        <w:t>ho</w:t>
      </w:r>
      <w:r w:rsidR="00036E73" w:rsidRPr="003D1E07">
        <w:t xml:space="preserve"> neplatí Aristotelův zákon o vyloučeném třetím, protože </w:t>
      </w:r>
      <w:r w:rsidR="08D32388" w:rsidRPr="003D1E07">
        <w:t xml:space="preserve">v Jednom </w:t>
      </w:r>
      <w:r w:rsidR="00036E73" w:rsidRPr="003D1E07">
        <w:t xml:space="preserve">není dáno </w:t>
      </w:r>
      <w:r w:rsidR="084947EC" w:rsidRPr="003D1E07">
        <w:t xml:space="preserve">hyparchické určení </w:t>
      </w:r>
      <w:r w:rsidR="0880224C" w:rsidRPr="003D1E07">
        <w:t xml:space="preserve">pro druhou </w:t>
      </w:r>
      <w:r w:rsidR="00B51D72" w:rsidRPr="003D1E07">
        <w:t>substanci</w:t>
      </w:r>
      <w:r w:rsidR="00B51D72">
        <w:t xml:space="preserve"> </w:t>
      </w:r>
      <w:r w:rsidR="0880224C" w:rsidRPr="003D1E07">
        <w:t xml:space="preserve">predikovanou </w:t>
      </w:r>
      <w:r w:rsidR="00B51D72">
        <w:t>podle principu vyloučeného třetího</w:t>
      </w:r>
      <w:r w:rsidR="00036E73" w:rsidRPr="003D1E07">
        <w:t>.</w:t>
      </w:r>
      <w:r w:rsidR="08787B78" w:rsidRPr="003D1E07">
        <w:t xml:space="preserve"> </w:t>
      </w:r>
      <w:r w:rsidR="08B779FB" w:rsidRPr="003D1E07">
        <w:t xml:space="preserve">Metafyzický </w:t>
      </w:r>
      <w:r w:rsidR="08787B78" w:rsidRPr="003D1E07">
        <w:t>dativ neoplatoniků funguje v plně odděleném modu (</w:t>
      </w:r>
      <w:r w:rsidR="08787B78" w:rsidRPr="003D1E07">
        <w:rPr>
          <w:i/>
        </w:rPr>
        <w:t>absolute</w:t>
      </w:r>
      <w:r w:rsidR="08787B78" w:rsidRPr="003D1E07">
        <w:t xml:space="preserve">), který je zcela paradoxní. </w:t>
      </w:r>
      <w:r w:rsidR="00C30387" w:rsidRPr="003D1E07">
        <w:t xml:space="preserve">Tento dativ nemá žádnou reálnou událost donace jsoucna, protože ta má pouze ideový charakter vytvořený v mysli neoplatonského ilumináta. </w:t>
      </w:r>
      <w:r w:rsidR="083242A4" w:rsidRPr="003D1E07">
        <w:t xml:space="preserve">Jedno je </w:t>
      </w:r>
      <w:r w:rsidR="00D35745" w:rsidRPr="003D1E07">
        <w:t>současně Mnohým</w:t>
      </w:r>
      <w:r w:rsidR="083242A4" w:rsidRPr="003D1E07">
        <w:t>, protože jeho bytí je dáno v pro</w:t>
      </w:r>
      <w:r w:rsidR="00B70B9F" w:rsidRPr="003D1E07">
        <w:t>hyp</w:t>
      </w:r>
      <w:r w:rsidR="083242A4" w:rsidRPr="003D1E07">
        <w:t>archické jednotě platonské Identity</w:t>
      </w:r>
      <w:r w:rsidR="00D35745" w:rsidRPr="003D1E07">
        <w:t xml:space="preserve">. Ta je zásadně odlišná od aristotelské identity </w:t>
      </w:r>
      <w:r w:rsidR="083242A4" w:rsidRPr="003D1E07">
        <w:t xml:space="preserve">dané skrze </w:t>
      </w:r>
      <w:r w:rsidR="083242A4" w:rsidRPr="003D1E07">
        <w:rPr>
          <w:i/>
        </w:rPr>
        <w:t>actus essendi</w:t>
      </w:r>
      <w:r w:rsidR="08E43823" w:rsidRPr="003D1E07">
        <w:t xml:space="preserve"> reálné první </w:t>
      </w:r>
      <w:r w:rsidR="083242A4" w:rsidRPr="003D1E07">
        <w:t xml:space="preserve">substance. </w:t>
      </w:r>
      <w:r w:rsidR="085171BA" w:rsidRPr="003D1E07">
        <w:t>Porfyriu</w:t>
      </w:r>
      <w:r w:rsidR="08B56010" w:rsidRPr="003D1E07">
        <w:t xml:space="preserve">s </w:t>
      </w:r>
      <w:r w:rsidR="00455172" w:rsidRPr="003D1E07">
        <w:t xml:space="preserve">vytvořil z Plotinova mystického vidění </w:t>
      </w:r>
      <w:r w:rsidR="08B56010" w:rsidRPr="003D1E07">
        <w:t xml:space="preserve">systém metafyzického vědění podaný v </w:t>
      </w:r>
      <w:r w:rsidR="08B56010" w:rsidRPr="003D1E07">
        <w:rPr>
          <w:i/>
        </w:rPr>
        <w:t>Enneádách</w:t>
      </w:r>
      <w:r w:rsidR="08B56010" w:rsidRPr="003D1E07">
        <w:t xml:space="preserve">. </w:t>
      </w:r>
      <w:r w:rsidR="086F7B2B" w:rsidRPr="003D1E07">
        <w:t xml:space="preserve">Múzy nemají rády, když z božského daru daného </w:t>
      </w:r>
      <w:r w:rsidR="08E43823" w:rsidRPr="003D1E07">
        <w:t xml:space="preserve">mystikovi </w:t>
      </w:r>
      <w:r w:rsidR="00F947E8" w:rsidRPr="003D1E07">
        <w:t>Plotinovi vznikla</w:t>
      </w:r>
      <w:r w:rsidR="086F7B2B" w:rsidRPr="003D1E07">
        <w:t xml:space="preserve"> metafyzická </w:t>
      </w:r>
      <w:r w:rsidR="086F7B2B" w:rsidRPr="003D1E07">
        <w:rPr>
          <w:i/>
        </w:rPr>
        <w:t>téchné</w:t>
      </w:r>
      <w:r w:rsidR="00A453E3">
        <w:t xml:space="preserve"> neoplatoniků. </w:t>
      </w:r>
      <w:r w:rsidR="00A453E3" w:rsidRPr="00A453E3">
        <w:t xml:space="preserve">Proto </w:t>
      </w:r>
      <w:r w:rsidR="00A453E3">
        <w:t xml:space="preserve">Múzy </w:t>
      </w:r>
      <w:r w:rsidR="00A453E3" w:rsidRPr="00A453E3">
        <w:t>vyslal</w:t>
      </w:r>
      <w:r w:rsidR="00A453E3">
        <w:t>y</w:t>
      </w:r>
      <w:r w:rsidR="00A453E3" w:rsidRPr="00A453E3">
        <w:t xml:space="preserve"> chaotické Fúrie, aby </w:t>
      </w:r>
      <w:r w:rsidR="00A453E3">
        <w:t xml:space="preserve">potrestaly </w:t>
      </w:r>
      <w:r w:rsidR="00A453E3" w:rsidRPr="00A453E3">
        <w:t>m</w:t>
      </w:r>
      <w:r w:rsidR="00A453E3">
        <w:t xml:space="preserve">oderní myslitele. Důsledkem je </w:t>
      </w:r>
      <w:r w:rsidR="00A453E3" w:rsidRPr="00A453E3">
        <w:t xml:space="preserve">tragická </w:t>
      </w:r>
      <w:r w:rsidR="00A453E3">
        <w:t xml:space="preserve">hýbris, která ovládá modernu a stala </w:t>
      </w:r>
      <w:r w:rsidR="00A453E3" w:rsidRPr="00A453E3">
        <w:t>se hlavní charakteristikou moderních a postmoderních intelektuálů.</w:t>
      </w:r>
    </w:p>
    <w:p w14:paraId="5ADC302B" w14:textId="286CA7FD" w:rsidR="00872583" w:rsidRPr="003D1E07" w:rsidRDefault="00B45DC8" w:rsidP="00A83E1C">
      <w:pPr>
        <w:ind w:firstLine="360"/>
      </w:pPr>
      <w:r w:rsidRPr="003D1E07">
        <w:t xml:space="preserve">Schizofrenická </w:t>
      </w:r>
      <w:r w:rsidR="08007475" w:rsidRPr="003D1E07">
        <w:t xml:space="preserve">definice </w:t>
      </w:r>
      <w:r w:rsidR="086F7B2B" w:rsidRPr="003D1E07">
        <w:t xml:space="preserve">mytopoeticky definovaného </w:t>
      </w:r>
      <w:r w:rsidR="08FE2AF4" w:rsidRPr="003D1E07">
        <w:t xml:space="preserve">Jednoho </w:t>
      </w:r>
      <w:r w:rsidR="08007475" w:rsidRPr="003D1E07">
        <w:t xml:space="preserve">jako </w:t>
      </w:r>
      <w:r w:rsidR="08007475" w:rsidRPr="003D1E07">
        <w:rPr>
          <w:i/>
        </w:rPr>
        <w:t>tertium ens</w:t>
      </w:r>
      <w:r w:rsidR="08007475" w:rsidRPr="003D1E07">
        <w:t xml:space="preserve"> potřebuje schizofrenický poznávací subje</w:t>
      </w:r>
      <w:r w:rsidR="08960FF6" w:rsidRPr="003D1E07">
        <w:t>kt</w:t>
      </w:r>
      <w:r w:rsidR="08014969" w:rsidRPr="003D1E07">
        <w:t xml:space="preserve">. </w:t>
      </w:r>
      <w:r w:rsidR="08787B78" w:rsidRPr="003D1E07">
        <w:t xml:space="preserve">To, co nikde a nikdy nemůže reálně existovat, to musí být alespoň konsekventně a logicky myšleno. </w:t>
      </w:r>
      <w:r w:rsidR="00192A20" w:rsidRPr="00192A20">
        <w:t xml:space="preserve">Nutnost daná božskou skutečností mystérií nemůže </w:t>
      </w:r>
      <w:r w:rsidR="00192A20">
        <w:t>unést takovou travestii</w:t>
      </w:r>
      <w:r w:rsidR="00192A20" w:rsidRPr="00192A20">
        <w:t xml:space="preserve">, proto </w:t>
      </w:r>
      <w:r w:rsidR="003E7364">
        <w:t>se tohoto úkolu</w:t>
      </w:r>
      <w:r w:rsidR="00192A20">
        <w:t xml:space="preserve"> ujala </w:t>
      </w:r>
      <w:r w:rsidR="00192A20" w:rsidRPr="00192A20">
        <w:t>deduktivní logika vytvořená neoplat</w:t>
      </w:r>
      <w:r w:rsidR="00B207F7">
        <w:t>ons</w:t>
      </w:r>
      <w:r w:rsidR="00192A20">
        <w:t>kým subjektem</w:t>
      </w:r>
      <w:r w:rsidR="00192A20" w:rsidRPr="00192A20">
        <w:t>.</w:t>
      </w:r>
      <w:r w:rsidR="00192A20">
        <w:t xml:space="preserve"> </w:t>
      </w:r>
      <w:r w:rsidR="00E902CF" w:rsidRPr="003D1E07">
        <w:t>Stejně zdvojený intelekt neoplatonského ilumináta vytváří n</w:t>
      </w:r>
      <w:r w:rsidR="084C2FF8" w:rsidRPr="003D1E07">
        <w:t xml:space="preserve">ovou </w:t>
      </w:r>
      <w:r w:rsidR="00E902CF" w:rsidRPr="003D1E07">
        <w:t>kategoriální predikaci</w:t>
      </w:r>
      <w:r w:rsidR="084C2FF8" w:rsidRPr="003D1E07">
        <w:t xml:space="preserve">. </w:t>
      </w:r>
      <w:r w:rsidR="08912548" w:rsidRPr="003D1E07">
        <w:t>Porfyri</w:t>
      </w:r>
      <w:r w:rsidR="08AA395D" w:rsidRPr="003D1E07">
        <w:t>ů</w:t>
      </w:r>
      <w:r w:rsidR="08912548" w:rsidRPr="003D1E07">
        <w:t>v m</w:t>
      </w:r>
      <w:r w:rsidR="00E4492B" w:rsidRPr="003D1E07">
        <w:t xml:space="preserve">odel sebereflexivního zdvojení intelektu </w:t>
      </w:r>
      <w:r w:rsidR="082211D1" w:rsidRPr="003D1E07">
        <w:t>na pro</w:t>
      </w:r>
      <w:r w:rsidR="001F7CD9" w:rsidRPr="003D1E07">
        <w:t>hyp</w:t>
      </w:r>
      <w:r w:rsidR="082211D1" w:rsidRPr="003D1E07">
        <w:t xml:space="preserve">archické úrovni Jednoho </w:t>
      </w:r>
      <w:r w:rsidR="08B5006E" w:rsidRPr="003D1E07">
        <w:t xml:space="preserve">pochází z </w:t>
      </w:r>
      <w:r w:rsidR="00E4492B" w:rsidRPr="003D1E07">
        <w:rPr>
          <w:i/>
        </w:rPr>
        <w:t>Enneád</w:t>
      </w:r>
      <w:r w:rsidR="00E4492B" w:rsidRPr="003D1E07">
        <w:t xml:space="preserve">, které analyzují výkon zdvojeného vidění (συνορώμενον, </w:t>
      </w:r>
      <w:r w:rsidR="00E4492B" w:rsidRPr="003D1E07">
        <w:rPr>
          <w:i/>
        </w:rPr>
        <w:t>Enn</w:t>
      </w:r>
      <w:r w:rsidR="00E4492B" w:rsidRPr="003D1E07">
        <w:t>. 5.5.7.5</w:t>
      </w:r>
      <w:r w:rsidR="00E4492B" w:rsidRPr="003D1E07">
        <w:fldChar w:fldCharType="begin"/>
      </w:r>
      <w:r w:rsidR="00E4492B" w:rsidRPr="003D1E07">
        <w:instrText xml:space="preserve"> XE "</w:instrText>
      </w:r>
      <w:r w:rsidR="08F72573" w:rsidRPr="003D1E07">
        <w:instrText>Plotinos</w:instrText>
      </w:r>
      <w:r w:rsidR="00E4492B" w:rsidRPr="003D1E07">
        <w:instrText>:</w:instrText>
      </w:r>
      <w:r w:rsidR="00E4492B" w:rsidRPr="003D1E07">
        <w:rPr>
          <w:i/>
          <w:iCs/>
        </w:rPr>
        <w:instrText>Enn.</w:instrText>
      </w:r>
      <w:r w:rsidR="00E4492B" w:rsidRPr="003D1E07">
        <w:rPr>
          <w:i/>
        </w:rPr>
        <w:instrText xml:space="preserve"> </w:instrText>
      </w:r>
      <w:r w:rsidR="00E4492B" w:rsidRPr="003D1E07">
        <w:instrText xml:space="preserve">5.5.7.5" </w:instrText>
      </w:r>
      <w:r w:rsidR="00E4492B" w:rsidRPr="003D1E07">
        <w:fldChar w:fldCharType="end"/>
      </w:r>
      <w:r w:rsidR="00E4492B" w:rsidRPr="003D1E07">
        <w:t xml:space="preserve">). Pátá </w:t>
      </w:r>
      <w:r w:rsidR="00E4492B" w:rsidRPr="003D1E07">
        <w:rPr>
          <w:i/>
        </w:rPr>
        <w:t>Enneáda</w:t>
      </w:r>
      <w:r w:rsidR="00E4492B" w:rsidRPr="003D1E07">
        <w:t xml:space="preserve"> ukazuje dvojitou strukturu každého aktu nazírání (διττὸν καὶ τὸ ἐνεργείᾳ βλέπειν, </w:t>
      </w:r>
      <w:r w:rsidR="00E4492B" w:rsidRPr="003D1E07">
        <w:rPr>
          <w:i/>
        </w:rPr>
        <w:t>Enn</w:t>
      </w:r>
      <w:r w:rsidR="00E4492B" w:rsidRPr="003D1E07">
        <w:t>. 5.5.7.1</w:t>
      </w:r>
      <w:r w:rsidR="00E4492B" w:rsidRPr="003D1E07">
        <w:fldChar w:fldCharType="begin"/>
      </w:r>
      <w:r w:rsidR="00E4492B" w:rsidRPr="003D1E07">
        <w:instrText xml:space="preserve"> XE "</w:instrText>
      </w:r>
      <w:r w:rsidR="08F72573" w:rsidRPr="003D1E07">
        <w:instrText>Plotinos</w:instrText>
      </w:r>
      <w:r w:rsidR="00E4492B" w:rsidRPr="003D1E07">
        <w:instrText>:</w:instrText>
      </w:r>
      <w:r w:rsidR="00E4492B" w:rsidRPr="003D1E07">
        <w:rPr>
          <w:i/>
          <w:iCs/>
        </w:rPr>
        <w:instrText>Enn.</w:instrText>
      </w:r>
      <w:r w:rsidR="00E4492B" w:rsidRPr="003D1E07">
        <w:rPr>
          <w:i/>
        </w:rPr>
        <w:instrText xml:space="preserve"> </w:instrText>
      </w:r>
      <w:r w:rsidR="00E4492B" w:rsidRPr="003D1E07">
        <w:instrText xml:space="preserve">5.5.7.1" </w:instrText>
      </w:r>
      <w:r w:rsidR="00E4492B" w:rsidRPr="003D1E07">
        <w:fldChar w:fldCharType="end"/>
      </w:r>
      <w:r w:rsidR="00E4492B" w:rsidRPr="003D1E07">
        <w:t xml:space="preserve">). Intelekt vnímá podstatu věci a vedle toho </w:t>
      </w:r>
      <w:r w:rsidR="00E4492B" w:rsidRPr="003D1E07">
        <w:lastRenderedPageBreak/>
        <w:t xml:space="preserve">vnímá i sám sebe jako jiného (ἕτερον ὂν τοῦ εἴδους, </w:t>
      </w:r>
      <w:r w:rsidR="00E4492B" w:rsidRPr="003D1E07">
        <w:rPr>
          <w:i/>
        </w:rPr>
        <w:t>Enn</w:t>
      </w:r>
      <w:r w:rsidR="00E4492B" w:rsidRPr="003D1E07">
        <w:t>. 5.5.7.4</w:t>
      </w:r>
      <w:r w:rsidR="00E4492B" w:rsidRPr="003D1E07">
        <w:fldChar w:fldCharType="begin"/>
      </w:r>
      <w:r w:rsidR="00E4492B" w:rsidRPr="003D1E07">
        <w:instrText xml:space="preserve"> XE "</w:instrText>
      </w:r>
      <w:r w:rsidR="08F72573" w:rsidRPr="003D1E07">
        <w:instrText>Plotinos</w:instrText>
      </w:r>
      <w:r w:rsidR="00E4492B" w:rsidRPr="003D1E07">
        <w:instrText>:</w:instrText>
      </w:r>
      <w:r w:rsidR="00E4492B" w:rsidRPr="003D1E07">
        <w:rPr>
          <w:i/>
          <w:iCs/>
        </w:rPr>
        <w:instrText xml:space="preserve">Enn. </w:instrText>
      </w:r>
      <w:r w:rsidR="00E4492B" w:rsidRPr="003D1E07">
        <w:instrText xml:space="preserve">5.5.7.4" </w:instrText>
      </w:r>
      <w:r w:rsidR="00E4492B" w:rsidRPr="003D1E07">
        <w:fldChar w:fldCharType="end"/>
      </w:r>
      <w:r w:rsidR="00E4492B" w:rsidRPr="003D1E07">
        <w:t xml:space="preserve">). Tuto </w:t>
      </w:r>
      <w:r w:rsidR="00E4492B" w:rsidRPr="003D1E07">
        <w:rPr>
          <w:i/>
        </w:rPr>
        <w:t>Enneádu</w:t>
      </w:r>
      <w:r w:rsidR="00E4492B" w:rsidRPr="003D1E07">
        <w:t xml:space="preserve"> znala falsafa skrze její parafrázi v díle </w:t>
      </w:r>
      <w:r w:rsidR="00E4492B" w:rsidRPr="003D1E07">
        <w:rPr>
          <w:i/>
        </w:rPr>
        <w:t>Theologia Aristotelis</w:t>
      </w:r>
      <w:r w:rsidR="00E4492B" w:rsidRPr="003D1E07">
        <w:t>, odku</w:t>
      </w:r>
      <w:r w:rsidR="006B22AE" w:rsidRPr="003D1E07">
        <w:t>d</w:t>
      </w:r>
      <w:r w:rsidR="00E4492B" w:rsidRPr="003D1E07">
        <w:t xml:space="preserve"> ji asi použil Ibn Ádí </w:t>
      </w:r>
      <w:r w:rsidR="006B22AE" w:rsidRPr="003D1E07">
        <w:t xml:space="preserve">pro konstrukci trinitární verze boží subjektivity </w:t>
      </w:r>
      <w:r w:rsidR="00E4492B" w:rsidRPr="003D1E07">
        <w:t xml:space="preserve">(kap. 2.2). </w:t>
      </w:r>
      <w:r w:rsidR="08C45FB8" w:rsidRPr="003D1E07">
        <w:t xml:space="preserve">Tím je náhled do primordiální sféry </w:t>
      </w:r>
      <w:r w:rsidR="084E5D57" w:rsidRPr="003D1E07">
        <w:t xml:space="preserve">Jednoho </w:t>
      </w:r>
      <w:r w:rsidR="08C45FB8" w:rsidRPr="003D1E07">
        <w:t xml:space="preserve">kompletní, protože </w:t>
      </w:r>
      <w:r w:rsidR="088F0098" w:rsidRPr="003D1E07">
        <w:t xml:space="preserve">je odvozen v kombinovaném modu kategoriální a transcendentální predikace. </w:t>
      </w:r>
      <w:r w:rsidR="084E5D57" w:rsidRPr="003D1E07">
        <w:t>Moderna vznikla tím, že m</w:t>
      </w:r>
      <w:r w:rsidR="088F0098" w:rsidRPr="003D1E07">
        <w:t xml:space="preserve">yšlení a bytí jsoucna třetího druhu si začalo odpovídat </w:t>
      </w:r>
      <w:r w:rsidR="00D807E3">
        <w:t>v modu nové mytopoetiky.</w:t>
      </w:r>
      <w:r w:rsidR="00A83E1C">
        <w:t xml:space="preserve"> </w:t>
      </w:r>
      <w:r w:rsidR="08DF3120" w:rsidRPr="003D1E07">
        <w:t xml:space="preserve">Porfyrius založil novou predikaci </w:t>
      </w:r>
      <w:r w:rsidR="08DF3120" w:rsidRPr="003D1E07">
        <w:rPr>
          <w:i/>
        </w:rPr>
        <w:t>per prius</w:t>
      </w:r>
      <w:r w:rsidR="08DF3120" w:rsidRPr="003D1E07">
        <w:t xml:space="preserve"> od neoplatonského Jednoho a nikoliv od reality první </w:t>
      </w:r>
      <w:r w:rsidR="00A74341" w:rsidRPr="003D1E07">
        <w:t xml:space="preserve">aristotelské </w:t>
      </w:r>
      <w:r w:rsidR="08DF3120" w:rsidRPr="003D1E07">
        <w:t xml:space="preserve">substance. </w:t>
      </w:r>
      <w:r w:rsidR="083C2A66" w:rsidRPr="003D1E07">
        <w:t xml:space="preserve">Ideové, neomezené a </w:t>
      </w:r>
      <w:r w:rsidR="00B6129B" w:rsidRPr="003D1E07">
        <w:t>pro</w:t>
      </w:r>
      <w:r w:rsidR="00A74341" w:rsidRPr="003D1E07">
        <w:t>hyp</w:t>
      </w:r>
      <w:r w:rsidR="00B6129B" w:rsidRPr="003D1E07">
        <w:t xml:space="preserve">archické bytí Jednoho </w:t>
      </w:r>
      <w:r w:rsidR="00A74341" w:rsidRPr="003D1E07">
        <w:t xml:space="preserve">v jeho transcendentální kvalitě </w:t>
      </w:r>
      <w:r w:rsidR="00B6129B" w:rsidRPr="003D1E07">
        <w:t>p</w:t>
      </w:r>
      <w:r w:rsidR="083766EF" w:rsidRPr="003D1E07">
        <w:t>ředchází</w:t>
      </w:r>
      <w:r w:rsidR="00CA666D" w:rsidRPr="003D1E07">
        <w:t xml:space="preserve"> </w:t>
      </w:r>
      <w:r w:rsidR="001F2591" w:rsidRPr="003D1E07">
        <w:t xml:space="preserve">na </w:t>
      </w:r>
      <w:r w:rsidR="00CA666D" w:rsidRPr="003D1E07">
        <w:t xml:space="preserve">omezené </w:t>
      </w:r>
      <w:r w:rsidR="082565C6" w:rsidRPr="003D1E07">
        <w:t xml:space="preserve">hyparchické </w:t>
      </w:r>
      <w:r w:rsidR="00CA666D" w:rsidRPr="003D1E07">
        <w:t>bytí</w:t>
      </w:r>
      <w:r w:rsidR="082565C6" w:rsidRPr="003D1E07">
        <w:t xml:space="preserve"> </w:t>
      </w:r>
      <w:r w:rsidR="00A74341" w:rsidRPr="003D1E07">
        <w:t xml:space="preserve">nižších </w:t>
      </w:r>
      <w:r w:rsidR="082565C6" w:rsidRPr="003D1E07">
        <w:t>jsouc</w:t>
      </w:r>
      <w:r w:rsidR="00A74341" w:rsidRPr="003D1E07">
        <w:t>en</w:t>
      </w:r>
      <w:r w:rsidR="001F2591" w:rsidRPr="003D1E07">
        <w:t xml:space="preserve">. </w:t>
      </w:r>
      <w:r w:rsidR="00BB3664" w:rsidRPr="003D1E07">
        <w:t xml:space="preserve">Jedno má samo sebe v aktu primárního Bytí, Vidění a Vědění. </w:t>
      </w:r>
      <w:r w:rsidR="083D3401" w:rsidRPr="003D1E07">
        <w:t xml:space="preserve">Sestup na úroveň </w:t>
      </w:r>
      <w:r w:rsidR="00636193" w:rsidRPr="003D1E07">
        <w:t>kosmických substancí</w:t>
      </w:r>
      <w:r w:rsidR="083D3401" w:rsidRPr="003D1E07">
        <w:t xml:space="preserve"> zakládá </w:t>
      </w:r>
      <w:r w:rsidR="001F2591" w:rsidRPr="003D1E07">
        <w:t xml:space="preserve">hyparchickou predikaci </w:t>
      </w:r>
      <w:r w:rsidR="009F1F8B" w:rsidRPr="003D1E07">
        <w:fldChar w:fldCharType="begin"/>
      </w:r>
      <w:r w:rsidR="009F1F8B" w:rsidRPr="003D1E07">
        <w:instrText xml:space="preserve"> XE "predikace:hyparchická" </w:instrText>
      </w:r>
      <w:r w:rsidR="009F1F8B" w:rsidRPr="003D1E07">
        <w:fldChar w:fldCharType="end"/>
      </w:r>
      <w:r w:rsidR="00B05DD4" w:rsidRPr="003D1E07">
        <w:t xml:space="preserve">v rámci Aristotelova spisu </w:t>
      </w:r>
      <w:r w:rsidR="00B05DD4" w:rsidRPr="003D1E07">
        <w:rPr>
          <w:i/>
        </w:rPr>
        <w:t>Kategorie</w:t>
      </w:r>
      <w:r w:rsidR="00F617C8" w:rsidRPr="003D1E07">
        <w:t>.</w:t>
      </w:r>
      <w:r w:rsidR="00B54757" w:rsidRPr="003D1E07">
        <w:t xml:space="preserve"> </w:t>
      </w:r>
      <w:r w:rsidR="008B12D2" w:rsidRPr="003D1E07">
        <w:t>Neoplatonsk</w:t>
      </w:r>
      <w:r w:rsidR="00346774" w:rsidRPr="003D1E07">
        <w:t xml:space="preserve">é Jedno v sobě obsahuje všechny ontologické možnosti jsoucna </w:t>
      </w:r>
      <w:r w:rsidR="000D3AC7" w:rsidRPr="003D1E07">
        <w:t xml:space="preserve">v modu </w:t>
      </w:r>
      <w:r w:rsidR="000D3AC7" w:rsidRPr="003D1E07">
        <w:rPr>
          <w:i/>
        </w:rPr>
        <w:t>per prius</w:t>
      </w:r>
      <w:r w:rsidR="00147A68" w:rsidRPr="003D1E07">
        <w:rPr>
          <w:i/>
        </w:rPr>
        <w:fldChar w:fldCharType="begin"/>
      </w:r>
      <w:r w:rsidR="00147A68" w:rsidRPr="003D1E07">
        <w:instrText xml:space="preserve"> XE "predikace:</w:instrText>
      </w:r>
      <w:r w:rsidR="00147A68" w:rsidRPr="003D1E07">
        <w:rPr>
          <w:i/>
        </w:rPr>
        <w:instrText>per prius</w:instrText>
      </w:r>
      <w:r w:rsidR="00147A68" w:rsidRPr="003D1E07">
        <w:instrText xml:space="preserve">" </w:instrText>
      </w:r>
      <w:r w:rsidR="00147A68" w:rsidRPr="003D1E07">
        <w:rPr>
          <w:i/>
        </w:rPr>
        <w:fldChar w:fldCharType="end"/>
      </w:r>
      <w:r w:rsidR="000D3AC7" w:rsidRPr="003D1E07">
        <w:t xml:space="preserve">, a to </w:t>
      </w:r>
      <w:r w:rsidR="00346774" w:rsidRPr="003D1E07">
        <w:t xml:space="preserve">díky aktu primární exemplarity, jednoduchosti a aktuality. </w:t>
      </w:r>
      <w:r w:rsidR="00F23D55" w:rsidRPr="003D1E07">
        <w:t>Jeho bytnost je dan</w:t>
      </w:r>
      <w:r w:rsidR="08F00AB2" w:rsidRPr="003D1E07">
        <w:t>á v řádu v řádu prototypického vlastnění</w:t>
      </w:r>
      <w:r w:rsidR="00147A68" w:rsidRPr="003D1E07">
        <w:t xml:space="preserve"> bytí</w:t>
      </w:r>
      <w:r w:rsidR="00F23D55" w:rsidRPr="003D1E07">
        <w:t>, které popisuj</w:t>
      </w:r>
      <w:r w:rsidR="08F17001" w:rsidRPr="003D1E07">
        <w:t>e aristotelská kategorie kvality a habitu</w:t>
      </w:r>
      <w:r w:rsidR="00F23D55" w:rsidRPr="003D1E07">
        <w:t>.</w:t>
      </w:r>
      <w:r w:rsidR="005A68A7" w:rsidRPr="003D1E07">
        <w:t xml:space="preserve"> </w:t>
      </w:r>
      <w:r w:rsidR="00F23D55" w:rsidRPr="003D1E07">
        <w:t xml:space="preserve">Habituální bytí Jednoho </w:t>
      </w:r>
      <w:r w:rsidR="08E06D87" w:rsidRPr="003D1E07">
        <w:t xml:space="preserve">a kvalita jeho Jednoty </w:t>
      </w:r>
      <w:r w:rsidR="00895D11" w:rsidRPr="003D1E07">
        <w:t xml:space="preserve">představuje </w:t>
      </w:r>
      <w:r w:rsidR="00F23D55" w:rsidRPr="003D1E07">
        <w:t>původní jednoduchost</w:t>
      </w:r>
      <w:r w:rsidR="00537ECB" w:rsidRPr="003D1E07">
        <w:t>,</w:t>
      </w:r>
      <w:r w:rsidR="00895D11" w:rsidRPr="003D1E07">
        <w:t xml:space="preserve"> a</w:t>
      </w:r>
      <w:r w:rsidR="00537ECB" w:rsidRPr="003D1E07">
        <w:t>le</w:t>
      </w:r>
      <w:r w:rsidR="00F8531E">
        <w:t xml:space="preserve"> už také </w:t>
      </w:r>
      <w:r w:rsidR="08BB068F" w:rsidRPr="003D1E07">
        <w:t>difer</w:t>
      </w:r>
      <w:r w:rsidR="00895D11" w:rsidRPr="003D1E07">
        <w:t>encované</w:t>
      </w:r>
      <w:r w:rsidR="00537ECB" w:rsidRPr="003D1E07">
        <w:t xml:space="preserve"> Jiné</w:t>
      </w:r>
      <w:r w:rsidR="00895D11" w:rsidRPr="003D1E07">
        <w:t xml:space="preserve"> vzniklé</w:t>
      </w:r>
      <w:r w:rsidR="00933E9D" w:rsidRPr="003D1E07">
        <w:t xml:space="preserve"> v řádu </w:t>
      </w:r>
      <w:r w:rsidR="00F23D55" w:rsidRPr="003D1E07">
        <w:t>proto</w:t>
      </w:r>
      <w:r w:rsidR="00F23D55" w:rsidRPr="003D1E07">
        <w:noBreakHyphen/>
      </w:r>
      <w:r w:rsidR="00933E9D" w:rsidRPr="003D1E07">
        <w:t>emanace</w:t>
      </w:r>
      <w:r w:rsidR="00F8531E">
        <w:t xml:space="preserve"> </w:t>
      </w:r>
      <w:r w:rsidR="007F6FC7" w:rsidRPr="003D1E07">
        <w:t xml:space="preserve">před první </w:t>
      </w:r>
      <w:r w:rsidR="00E44A5D">
        <w:t xml:space="preserve">substanční </w:t>
      </w:r>
      <w:r w:rsidR="007F6FC7" w:rsidRPr="003D1E07">
        <w:t xml:space="preserve">emanací. </w:t>
      </w:r>
      <w:r w:rsidR="00895D11" w:rsidRPr="003D1E07">
        <w:t xml:space="preserve">Tato původní diferenciace na úrovni Jednoho </w:t>
      </w:r>
      <w:r w:rsidR="00F617C8" w:rsidRPr="003D1E07">
        <w:t>se stala první sférou objektivity</w:t>
      </w:r>
      <w:r w:rsidR="00273D98" w:rsidRPr="003D1E07">
        <w:fldChar w:fldCharType="begin"/>
      </w:r>
      <w:r w:rsidR="00273D98" w:rsidRPr="003D1E07">
        <w:instrText xml:space="preserve"> XE "objektivita:</w:instrText>
      </w:r>
      <w:r w:rsidR="088B254C" w:rsidRPr="003D1E07">
        <w:instrText>Porfyrius</w:instrText>
      </w:r>
      <w:r w:rsidR="00273D98" w:rsidRPr="003D1E07">
        <w:instrText xml:space="preserve">" </w:instrText>
      </w:r>
      <w:r w:rsidR="00273D98" w:rsidRPr="003D1E07">
        <w:fldChar w:fldCharType="end"/>
      </w:r>
      <w:r w:rsidR="00F617C8" w:rsidRPr="003D1E07">
        <w:t xml:space="preserve">. </w:t>
      </w:r>
      <w:r w:rsidR="0847651D" w:rsidRPr="003D1E07">
        <w:t xml:space="preserve">Obě </w:t>
      </w:r>
      <w:r w:rsidR="0884527B" w:rsidRPr="003D1E07">
        <w:t xml:space="preserve">citovaná </w:t>
      </w:r>
      <w:r w:rsidR="0847651D" w:rsidRPr="003D1E07">
        <w:t>kategoriální určení mají zásadní význam pro tvorbu objektivity</w:t>
      </w:r>
      <w:r w:rsidR="004B03C9" w:rsidRPr="003D1E07">
        <w:t xml:space="preserve"> u </w:t>
      </w:r>
      <w:r w:rsidR="0847651D" w:rsidRPr="003D1E07">
        <w:t xml:space="preserve">neoplatonika Simplikia. </w:t>
      </w:r>
      <w:r w:rsidR="08C876B3" w:rsidRPr="003D1E07">
        <w:t>Z</w:t>
      </w:r>
      <w:r w:rsidR="00416F24" w:rsidRPr="003D1E07">
        <w:t xml:space="preserve">dvojené bytí Jednoho </w:t>
      </w:r>
      <w:r w:rsidR="08C876B3" w:rsidRPr="003D1E07">
        <w:t xml:space="preserve">pak </w:t>
      </w:r>
      <w:r w:rsidR="00416F24" w:rsidRPr="003D1E07">
        <w:t>zajišťuje pro</w:t>
      </w:r>
      <w:r w:rsidR="001F7CD9" w:rsidRPr="003D1E07">
        <w:t>hyp</w:t>
      </w:r>
      <w:r w:rsidR="00416F24" w:rsidRPr="003D1E07">
        <w:t xml:space="preserve">archické působení směrem </w:t>
      </w:r>
      <w:r w:rsidR="08C876B3" w:rsidRPr="003D1E07">
        <w:t xml:space="preserve">do </w:t>
      </w:r>
      <w:r w:rsidR="089E5DA8" w:rsidRPr="003D1E07">
        <w:t xml:space="preserve">hyparchické </w:t>
      </w:r>
      <w:r w:rsidR="08C876B3" w:rsidRPr="003D1E07">
        <w:t>substance</w:t>
      </w:r>
      <w:r w:rsidR="00416F24" w:rsidRPr="003D1E07">
        <w:t xml:space="preserve">. </w:t>
      </w:r>
      <w:r w:rsidR="00BB45B1" w:rsidRPr="003D1E07">
        <w:t>Porfyri</w:t>
      </w:r>
      <w:r w:rsidR="00416F24" w:rsidRPr="003D1E07">
        <w:t xml:space="preserve">ův neomezený </w:t>
      </w:r>
      <w:r w:rsidR="00416F24" w:rsidRPr="003D1E07">
        <w:rPr>
          <w:i/>
        </w:rPr>
        <w:t>actus essendi</w:t>
      </w:r>
      <w:r w:rsidR="000A2302" w:rsidRPr="003D1E07">
        <w:rPr>
          <w:i/>
        </w:rPr>
        <w:fldChar w:fldCharType="begin"/>
      </w:r>
      <w:r w:rsidR="000A2302" w:rsidRPr="003D1E07">
        <w:instrText xml:space="preserve"> XE "</w:instrText>
      </w:r>
      <w:r w:rsidR="000A2302" w:rsidRPr="003D1E07">
        <w:rPr>
          <w:i/>
        </w:rPr>
        <w:instrText>actus essendi</w:instrText>
      </w:r>
      <w:r w:rsidR="000A2302" w:rsidRPr="003D1E07">
        <w:instrText xml:space="preserve">" </w:instrText>
      </w:r>
      <w:r w:rsidR="000A2302" w:rsidRPr="003D1E07">
        <w:rPr>
          <w:i/>
        </w:rPr>
        <w:fldChar w:fldCharType="end"/>
      </w:r>
      <w:r w:rsidR="00416F24" w:rsidRPr="003D1E07">
        <w:t xml:space="preserve"> Jednoho inspirovaný </w:t>
      </w:r>
      <w:r w:rsidR="00416F24" w:rsidRPr="003D1E07">
        <w:rPr>
          <w:i/>
        </w:rPr>
        <w:t>Metafyzikou</w:t>
      </w:r>
      <w:r w:rsidR="00416F24" w:rsidRPr="003D1E07">
        <w:t xml:space="preserve"> </w:t>
      </w:r>
      <w:r w:rsidR="00416F24" w:rsidRPr="003D1E07">
        <w:rPr>
          <w:i/>
        </w:rPr>
        <w:t>Lambda</w:t>
      </w:r>
      <w:r w:rsidR="00416F24" w:rsidRPr="003D1E07">
        <w:t xml:space="preserve"> určuje omezené bytí první substance. </w:t>
      </w:r>
      <w:r w:rsidR="00823D06" w:rsidRPr="003D1E07">
        <w:t>E</w:t>
      </w:r>
      <w:r w:rsidR="00933E9D" w:rsidRPr="003D1E07">
        <w:t xml:space="preserve">manace </w:t>
      </w:r>
      <w:r w:rsidR="008B37C9" w:rsidRPr="003D1E07">
        <w:t xml:space="preserve">převádějí </w:t>
      </w:r>
      <w:r w:rsidR="08D12397" w:rsidRPr="003D1E07">
        <w:t xml:space="preserve">kvality a habitus </w:t>
      </w:r>
      <w:r w:rsidR="08D12397" w:rsidRPr="003D1E07">
        <w:rPr>
          <w:szCs w:val="24"/>
        </w:rPr>
        <w:fldChar w:fldCharType="begin"/>
      </w:r>
      <w:r w:rsidR="08D12397" w:rsidRPr="003D1E07">
        <w:rPr>
          <w:szCs w:val="24"/>
        </w:rPr>
        <w:instrText xml:space="preserve"> XE "habitus" </w:instrText>
      </w:r>
      <w:r w:rsidR="08D12397" w:rsidRPr="003D1E07">
        <w:rPr>
          <w:szCs w:val="24"/>
        </w:rPr>
        <w:fldChar w:fldCharType="end"/>
      </w:r>
      <w:r w:rsidR="08D12397" w:rsidRPr="003D1E07">
        <w:rPr>
          <w:szCs w:val="24"/>
        </w:rPr>
        <w:t xml:space="preserve"> </w:t>
      </w:r>
      <w:r w:rsidR="00823D06" w:rsidRPr="003D1E07">
        <w:t xml:space="preserve">Jednoho </w:t>
      </w:r>
      <w:r w:rsidR="00933E9D" w:rsidRPr="003D1E07">
        <w:t>do reálné různosti, kde už platí Aristotelova metafyzika a logika</w:t>
      </w:r>
      <w:r w:rsidR="085D451A" w:rsidRPr="003D1E07">
        <w:t>.</w:t>
      </w:r>
      <w:r w:rsidR="08A65A10" w:rsidRPr="003D1E07">
        <w:t xml:space="preserve"> Porfyriův komentář </w:t>
      </w:r>
      <w:r w:rsidR="005C13C0" w:rsidRPr="003D1E07">
        <w:t xml:space="preserve">k dialogu </w:t>
      </w:r>
      <w:r w:rsidR="005C13C0" w:rsidRPr="003D1E07">
        <w:rPr>
          <w:i/>
        </w:rPr>
        <w:t>Parmenides</w:t>
      </w:r>
      <w:r w:rsidR="005C13C0" w:rsidRPr="003D1E07">
        <w:t xml:space="preserve"> </w:t>
      </w:r>
      <w:r w:rsidR="08A65A10" w:rsidRPr="003D1E07">
        <w:t xml:space="preserve">založil základní scénář dedukce univerzálií směrem od původní jednoty jsoucna, který ve scholastice reprezentuje termín </w:t>
      </w:r>
      <w:r w:rsidR="08A65A10" w:rsidRPr="003D1E07">
        <w:rPr>
          <w:i/>
        </w:rPr>
        <w:t>resolutio</w:t>
      </w:r>
      <w:r w:rsidR="08A65A10" w:rsidRPr="003D1E07">
        <w:rPr>
          <w:i/>
        </w:rPr>
        <w:fldChar w:fldCharType="begin"/>
      </w:r>
      <w:r w:rsidR="08A65A10" w:rsidRPr="003D1E07">
        <w:instrText xml:space="preserve"> XE "</w:instrText>
      </w:r>
      <w:r w:rsidR="08A65A10" w:rsidRPr="003D1E07">
        <w:rPr>
          <w:i/>
        </w:rPr>
        <w:instrText>resolutio:</w:instrText>
      </w:r>
      <w:r w:rsidR="088B254C" w:rsidRPr="003D1E07">
        <w:instrText>Porfyrius</w:instrText>
      </w:r>
      <w:r w:rsidR="08A65A10" w:rsidRPr="003D1E07">
        <w:instrText xml:space="preserve">" </w:instrText>
      </w:r>
      <w:r w:rsidR="08A65A10" w:rsidRPr="003D1E07">
        <w:rPr>
          <w:i/>
        </w:rPr>
        <w:fldChar w:fldCharType="end"/>
      </w:r>
      <w:r w:rsidR="08A65A10" w:rsidRPr="003D1E07">
        <w:t xml:space="preserve"> (</w:t>
      </w:r>
      <w:r w:rsidR="08A85B38" w:rsidRPr="003D1E07">
        <w:t>OBJ II, kap. 2</w:t>
      </w:r>
      <w:r w:rsidR="08A65A10" w:rsidRPr="003D1E07">
        <w:t>.3.2).</w:t>
      </w:r>
      <w:r w:rsidR="0044760B" w:rsidRPr="003D1E07">
        <w:t xml:space="preserve"> </w:t>
      </w:r>
      <w:r w:rsidR="08A65A10" w:rsidRPr="003D1E07">
        <w:t>Termín „zdvojené bytí</w:t>
      </w:r>
      <w:r w:rsidR="08A65A10" w:rsidRPr="003D1E07">
        <w:fldChar w:fldCharType="begin"/>
      </w:r>
      <w:r w:rsidR="08A65A10" w:rsidRPr="003D1E07">
        <w:instrText xml:space="preserve"> XE "zdvojení bytí" </w:instrText>
      </w:r>
      <w:r w:rsidR="08A65A10" w:rsidRPr="003D1E07">
        <w:fldChar w:fldCharType="end"/>
      </w:r>
      <w:r w:rsidR="08A65A10" w:rsidRPr="003D1E07">
        <w:t>“ a na něj navázaný scénář dedukce</w:t>
      </w:r>
      <w:r w:rsidR="00DE74B2" w:rsidRPr="003D1E07">
        <w:t xml:space="preserve"> </w:t>
      </w:r>
      <w:r w:rsidR="0044760B" w:rsidRPr="003D1E07">
        <w:t xml:space="preserve">exportoval genericky pojaté bytí ze sféry Jednoho pomocí </w:t>
      </w:r>
      <w:r w:rsidR="08A65A10" w:rsidRPr="003D1E07">
        <w:t>kategoriáln</w:t>
      </w:r>
      <w:r w:rsidR="0044760B" w:rsidRPr="003D1E07">
        <w:t>í</w:t>
      </w:r>
      <w:r w:rsidR="00DE74B2" w:rsidRPr="003D1E07">
        <w:t xml:space="preserve"> predikace </w:t>
      </w:r>
      <w:r w:rsidR="0044760B" w:rsidRPr="003D1E07">
        <w:t>do nižších sfér</w:t>
      </w:r>
      <w:r w:rsidR="00DE74B2" w:rsidRPr="003D1E07">
        <w:t>.</w:t>
      </w:r>
      <w:r w:rsidR="0044760B" w:rsidRPr="003D1E07">
        <w:t xml:space="preserve"> Neoplatonismus přeměnil platonskou dialektiku Plotina na bizarní formu aristotelismu. </w:t>
      </w:r>
      <w:r w:rsidR="08106BB6" w:rsidRPr="003D1E07">
        <w:t>Zdvojení bytí v Porfyriově výkladu představuje první počátek západní objektivit</w:t>
      </w:r>
      <w:r w:rsidR="00A636DA" w:rsidRPr="003D1E07">
        <w:t>y z </w:t>
      </w:r>
      <w:r w:rsidR="004E0A6D" w:rsidRPr="003D1E07">
        <w:t xml:space="preserve">pěti </w:t>
      </w:r>
      <w:r w:rsidR="0802062C" w:rsidRPr="003D1E07">
        <w:t>důvodů.</w:t>
      </w:r>
    </w:p>
    <w:p w14:paraId="4C30DB14" w14:textId="37D0792F" w:rsidR="00872583" w:rsidRPr="003D1E07" w:rsidRDefault="08106BB6" w:rsidP="0013731C">
      <w:pPr>
        <w:numPr>
          <w:ilvl w:val="0"/>
          <w:numId w:val="10"/>
        </w:numPr>
        <w:ind w:left="794" w:hanging="434"/>
      </w:pPr>
      <w:r w:rsidRPr="003D1E07">
        <w:t xml:space="preserve">Původní bytí Jednoho je plně aktuální a je čistou aktivitou (τὸ ἐνεργεῖν καθαρόν, </w:t>
      </w:r>
      <w:r w:rsidRPr="003D1E07">
        <w:rPr>
          <w:i/>
        </w:rPr>
        <w:t>Porph. in Parm.</w:t>
      </w:r>
      <w:r w:rsidRPr="003D1E07">
        <w:t xml:space="preserve"> </w:t>
      </w:r>
      <w:r w:rsidR="08457236" w:rsidRPr="003D1E07">
        <w:t>12.</w:t>
      </w:r>
      <w:r w:rsidRPr="003D1E07">
        <w:t>26</w:t>
      </w:r>
      <w:r w:rsidRPr="003D1E07">
        <w:fldChar w:fldCharType="begin"/>
      </w:r>
      <w:r w:rsidRPr="003D1E07">
        <w:instrText xml:space="preserve"> XE "Porfyrius:</w:instrText>
      </w:r>
      <w:r w:rsidRPr="003D1E07">
        <w:rPr>
          <w:i/>
        </w:rPr>
        <w:instrText>Porph. in Parm.</w:instrText>
      </w:r>
      <w:r w:rsidR="08457236" w:rsidRPr="003D1E07">
        <w:instrText xml:space="preserve"> 12.</w:instrText>
      </w:r>
      <w:r w:rsidRPr="003D1E07">
        <w:instrText xml:space="preserve">26" </w:instrText>
      </w:r>
      <w:r w:rsidRPr="003D1E07">
        <w:fldChar w:fldCharType="end"/>
      </w:r>
      <w:r w:rsidRPr="003D1E07">
        <w:t xml:space="preserve">). Tato primordální aktivita </w:t>
      </w:r>
      <w:r w:rsidR="0013731C" w:rsidRPr="003D1E07">
        <w:t xml:space="preserve">mytopoetického Jednoho </w:t>
      </w:r>
      <w:r w:rsidRPr="003D1E07">
        <w:t xml:space="preserve">založila </w:t>
      </w:r>
      <w:r w:rsidRPr="003D1E07">
        <w:lastRenderedPageBreak/>
        <w:t>demiurgický subjekt Západu</w:t>
      </w:r>
      <w:r w:rsidR="0013731C" w:rsidRPr="003D1E07">
        <w:t xml:space="preserve">. Ten </w:t>
      </w:r>
      <w:r w:rsidRPr="003D1E07">
        <w:fldChar w:fldCharType="begin"/>
      </w:r>
      <w:r w:rsidRPr="003D1E07">
        <w:instrText xml:space="preserve"> XE "demiurg" </w:instrText>
      </w:r>
      <w:r w:rsidRPr="003D1E07">
        <w:fldChar w:fldCharType="end"/>
      </w:r>
      <w:r w:rsidRPr="003D1E07">
        <w:t>chápe sebe i svět jako souhrn energií</w:t>
      </w:r>
      <w:r w:rsidR="0802062C" w:rsidRPr="003D1E07">
        <w:t xml:space="preserve"> a forem určených k manipulaci.</w:t>
      </w:r>
    </w:p>
    <w:p w14:paraId="095178F8" w14:textId="40C9E39E" w:rsidR="00872583" w:rsidRPr="003D1E07" w:rsidRDefault="08106BB6" w:rsidP="00202920">
      <w:pPr>
        <w:numPr>
          <w:ilvl w:val="0"/>
          <w:numId w:val="10"/>
        </w:numPr>
      </w:pPr>
      <w:r w:rsidRPr="003D1E07">
        <w:t>Toto pro</w:t>
      </w:r>
      <w:r w:rsidR="00C63C71" w:rsidRPr="003D1E07">
        <w:t>hyp</w:t>
      </w:r>
      <w:r w:rsidRPr="003D1E07">
        <w:t>archické bytí Jednoho je odděleno svou jednoduchostí a neomezeností od tak či onak limitovaného bytí jsoucna. A první vymezení začíná hned na úrovni Jednoho v ideově založené sféře bytí (ἰδέα τοῦ ὄντος</w:t>
      </w:r>
      <w:r w:rsidR="08A65A10" w:rsidRPr="003D1E07">
        <w:t xml:space="preserve">, </w:t>
      </w:r>
      <w:r w:rsidR="08A65A10" w:rsidRPr="003D1E07">
        <w:rPr>
          <w:i/>
        </w:rPr>
        <w:t>Porph. in Parm</w:t>
      </w:r>
      <w:r w:rsidR="08A65A10" w:rsidRPr="003D1E07">
        <w:t>. 12.33</w:t>
      </w:r>
      <w:r w:rsidR="08A65A10" w:rsidRPr="003D1E07">
        <w:fldChar w:fldCharType="begin"/>
      </w:r>
      <w:r w:rsidR="08A65A10" w:rsidRPr="003D1E07">
        <w:instrText xml:space="preserve"> XE "Porfyrius:</w:instrText>
      </w:r>
      <w:r w:rsidR="08A65A10" w:rsidRPr="003D1E07">
        <w:rPr>
          <w:i/>
        </w:rPr>
        <w:instrText>Porph. in Parm</w:instrText>
      </w:r>
      <w:r w:rsidR="08A65A10" w:rsidRPr="003D1E07">
        <w:instrText xml:space="preserve">. 12.33" </w:instrText>
      </w:r>
      <w:r w:rsidR="08A65A10" w:rsidRPr="003D1E07">
        <w:fldChar w:fldCharType="end"/>
      </w:r>
      <w:r w:rsidR="08A65A10" w:rsidRPr="003D1E07">
        <w:t>)</w:t>
      </w:r>
      <w:r w:rsidR="004E4785" w:rsidRPr="003D1E07">
        <w:t xml:space="preserve">. Tímto bytím </w:t>
      </w:r>
      <w:r w:rsidRPr="003D1E07">
        <w:t xml:space="preserve">se </w:t>
      </w:r>
      <w:r w:rsidR="086C1D81" w:rsidRPr="003D1E07">
        <w:t xml:space="preserve">Jedno </w:t>
      </w:r>
      <w:r w:rsidRPr="003D1E07">
        <w:t xml:space="preserve">manifestuje světu. </w:t>
      </w:r>
      <w:r w:rsidR="08464E22" w:rsidRPr="003D1E07">
        <w:t xml:space="preserve">Tato ideová oddělenost bytí Jednoho ve falsafě a v křesťanství </w:t>
      </w:r>
      <w:r w:rsidR="00C411AF" w:rsidRPr="003D1E07">
        <w:t xml:space="preserve">vytvořila </w:t>
      </w:r>
      <w:r w:rsidR="00053565" w:rsidRPr="003D1E07">
        <w:t xml:space="preserve">ontoteologii </w:t>
      </w:r>
      <w:r w:rsidR="00C411AF" w:rsidRPr="003D1E07">
        <w:t xml:space="preserve">a odpovídající </w:t>
      </w:r>
      <w:r w:rsidR="00B17DB6" w:rsidRPr="003D1E07">
        <w:t>filosofi</w:t>
      </w:r>
      <w:r w:rsidR="00C411AF" w:rsidRPr="003D1E07">
        <w:t>i, která produkovala objektivního</w:t>
      </w:r>
      <w:r w:rsidR="085F113F" w:rsidRPr="003D1E07">
        <w:t xml:space="preserve"> </w:t>
      </w:r>
      <w:r w:rsidR="00C411AF" w:rsidRPr="003D1E07">
        <w:t>boha</w:t>
      </w:r>
      <w:r w:rsidR="085F113F" w:rsidRPr="003D1E07">
        <w:t xml:space="preserve"> </w:t>
      </w:r>
      <w:r w:rsidR="085F113F" w:rsidRPr="003D1E07">
        <w:rPr>
          <w:i/>
        </w:rPr>
        <w:t>Modernorum</w:t>
      </w:r>
      <w:r w:rsidR="08464E22" w:rsidRPr="003D1E07">
        <w:t xml:space="preserve">. </w:t>
      </w:r>
      <w:r w:rsidR="00DA18B5" w:rsidRPr="003D1E07">
        <w:t xml:space="preserve">Preservace </w:t>
      </w:r>
      <w:r w:rsidR="00D71B07" w:rsidRPr="003D1E07">
        <w:t xml:space="preserve">tohoto </w:t>
      </w:r>
      <w:r w:rsidR="00C12508" w:rsidRPr="003D1E07">
        <w:t xml:space="preserve">božského </w:t>
      </w:r>
      <w:r w:rsidR="00C12508" w:rsidRPr="003D1E07">
        <w:rPr>
          <w:i/>
        </w:rPr>
        <w:t>tertium ens</w:t>
      </w:r>
      <w:r w:rsidR="00C12508" w:rsidRPr="003D1E07">
        <w:t xml:space="preserve"> </w:t>
      </w:r>
      <w:r w:rsidR="00D069FC">
        <w:t xml:space="preserve">garantovala </w:t>
      </w:r>
      <w:r w:rsidR="00C12508" w:rsidRPr="003D1E07">
        <w:t xml:space="preserve">platnost </w:t>
      </w:r>
      <w:r w:rsidR="08464E22" w:rsidRPr="003D1E07">
        <w:t xml:space="preserve">objektivity </w:t>
      </w:r>
      <w:r w:rsidR="00DA18B5" w:rsidRPr="003D1E07">
        <w:t xml:space="preserve">až do smrti tohoto idolu. Legitimace objektivity běží </w:t>
      </w:r>
      <w:r w:rsidR="08464E22" w:rsidRPr="003D1E07">
        <w:rPr>
          <w:i/>
        </w:rPr>
        <w:t>ad intra</w:t>
      </w:r>
      <w:r w:rsidR="00DA18B5" w:rsidRPr="003D1E07">
        <w:t xml:space="preserve"> směrem k boží subjektivitě a</w:t>
      </w:r>
      <w:r w:rsidR="00C12508" w:rsidRPr="003D1E07">
        <w:t xml:space="preserve"> </w:t>
      </w:r>
      <w:r w:rsidR="006C2AD0" w:rsidRPr="003D1E07">
        <w:t xml:space="preserve">stejně tak </w:t>
      </w:r>
      <w:r w:rsidR="08464E22" w:rsidRPr="003D1E07">
        <w:rPr>
          <w:i/>
        </w:rPr>
        <w:t xml:space="preserve">ad extra </w:t>
      </w:r>
      <w:r w:rsidR="08464E22" w:rsidRPr="003D1E07">
        <w:t>směrem do stvoření</w:t>
      </w:r>
      <w:r w:rsidR="00C12508" w:rsidRPr="003D1E07">
        <w:t xml:space="preserve">. Tento scénář </w:t>
      </w:r>
      <w:r w:rsidR="001863CD" w:rsidRPr="003D1E07">
        <w:t>objektivní kosmog</w:t>
      </w:r>
      <w:r w:rsidR="00F674BB" w:rsidRPr="003D1E07">
        <w:t>onie</w:t>
      </w:r>
      <w:r w:rsidR="001863CD" w:rsidRPr="003D1E07">
        <w:t xml:space="preserve"> </w:t>
      </w:r>
      <w:r w:rsidR="00C12508" w:rsidRPr="003D1E07">
        <w:t>dokončil</w:t>
      </w:r>
      <w:r w:rsidR="00FE5406">
        <w:t>i</w:t>
      </w:r>
      <w:r w:rsidR="00C12508" w:rsidRPr="003D1E07">
        <w:t xml:space="preserve"> </w:t>
      </w:r>
      <w:r w:rsidR="0802062C" w:rsidRPr="003D1E07">
        <w:t>Henry z Gentu a Duns Scotus.</w:t>
      </w:r>
    </w:p>
    <w:p w14:paraId="159A6863" w14:textId="06958C8B" w:rsidR="00A636DA" w:rsidRPr="003D1E07" w:rsidRDefault="08106BB6" w:rsidP="00202920">
      <w:pPr>
        <w:numPr>
          <w:ilvl w:val="0"/>
          <w:numId w:val="10"/>
        </w:numPr>
      </w:pPr>
      <w:r w:rsidRPr="003D1E07">
        <w:t xml:space="preserve">Idea jsoucího </w:t>
      </w:r>
      <w:r w:rsidR="002F406D" w:rsidRPr="003D1E07">
        <w:t xml:space="preserve">vzniká </w:t>
      </w:r>
      <w:r w:rsidRPr="003D1E07">
        <w:t xml:space="preserve">prvním objektivním výměrem henologického bytí </w:t>
      </w:r>
      <w:r w:rsidR="00DE6BCE" w:rsidRPr="003D1E07">
        <w:t>Jednoho</w:t>
      </w:r>
      <w:r w:rsidR="002F406D" w:rsidRPr="003D1E07">
        <w:t xml:space="preserve">. Skrze </w:t>
      </w:r>
      <w:r w:rsidRPr="003D1E07">
        <w:t xml:space="preserve"> </w:t>
      </w:r>
      <w:r w:rsidR="004F360D" w:rsidRPr="003D1E07">
        <w:t xml:space="preserve">tuto </w:t>
      </w:r>
      <w:r w:rsidR="002F406D" w:rsidRPr="003D1E07">
        <w:t xml:space="preserve">exemplární ideovost a nejvyšší míru bytí </w:t>
      </w:r>
      <w:r w:rsidRPr="003D1E07">
        <w:t>emanačně</w:t>
      </w:r>
      <w:r w:rsidRPr="003D1E07">
        <w:fldChar w:fldCharType="begin"/>
      </w:r>
      <w:r w:rsidRPr="003D1E07">
        <w:instrText xml:space="preserve"> XE "emanace" </w:instrText>
      </w:r>
      <w:r w:rsidRPr="003D1E07">
        <w:fldChar w:fldCharType="end"/>
      </w:r>
      <w:r w:rsidRPr="003D1E07">
        <w:t xml:space="preserve"> </w:t>
      </w:r>
      <w:r w:rsidR="005B499F" w:rsidRPr="003D1E07">
        <w:t xml:space="preserve">pak Jedno </w:t>
      </w:r>
      <w:r w:rsidRPr="003D1E07">
        <w:t>tvoří ostatní jsouc</w:t>
      </w:r>
      <w:r w:rsidR="002F406D" w:rsidRPr="003D1E07">
        <w:t>na v rámci prohyparchické ideality</w:t>
      </w:r>
      <w:r w:rsidRPr="003D1E07">
        <w:t xml:space="preserve">. </w:t>
      </w:r>
      <w:r w:rsidR="002F406D" w:rsidRPr="003D1E07">
        <w:t>A</w:t>
      </w:r>
      <w:r w:rsidRPr="003D1E07">
        <w:t xml:space="preserve">kt </w:t>
      </w:r>
      <w:r w:rsidR="08F3501E" w:rsidRPr="003D1E07">
        <w:t xml:space="preserve">hyparchického </w:t>
      </w:r>
      <w:r w:rsidRPr="003D1E07">
        <w:t xml:space="preserve">bytí </w:t>
      </w:r>
      <w:r w:rsidR="002F406D" w:rsidRPr="003D1E07">
        <w:t xml:space="preserve">ostatních jsoucen </w:t>
      </w:r>
      <w:r w:rsidRPr="003D1E07">
        <w:t xml:space="preserve">je odvozen od </w:t>
      </w:r>
      <w:r w:rsidR="00961985" w:rsidRPr="003D1E07">
        <w:t xml:space="preserve">takto určeného primátu henologického </w:t>
      </w:r>
      <w:r w:rsidRPr="003D1E07">
        <w:t>bytí Jednoho (</w:t>
      </w:r>
      <w:r w:rsidR="08A65A10" w:rsidRPr="003D1E07">
        <w:t xml:space="preserve">ἑνὸς τοῦ εἶναι ὄντος, </w:t>
      </w:r>
      <w:r w:rsidR="08A65A10" w:rsidRPr="003D1E07">
        <w:rPr>
          <w:i/>
        </w:rPr>
        <w:t>Porph. in Parm</w:t>
      </w:r>
      <w:r w:rsidR="08A65A10" w:rsidRPr="003D1E07">
        <w:t>. 12.32</w:t>
      </w:r>
      <w:r w:rsidR="08A65A10" w:rsidRPr="003D1E07">
        <w:fldChar w:fldCharType="begin"/>
      </w:r>
      <w:r w:rsidR="08A65A10" w:rsidRPr="003D1E07">
        <w:instrText xml:space="preserve"> XE "Porfyrius:</w:instrText>
      </w:r>
      <w:r w:rsidR="08A65A10" w:rsidRPr="003D1E07">
        <w:rPr>
          <w:i/>
        </w:rPr>
        <w:instrText>Porph. in Parm</w:instrText>
      </w:r>
      <w:r w:rsidR="08A65A10" w:rsidRPr="003D1E07">
        <w:instrText xml:space="preserve">. 12.32" </w:instrText>
      </w:r>
      <w:r w:rsidR="08A65A10" w:rsidRPr="003D1E07">
        <w:fldChar w:fldCharType="end"/>
      </w:r>
      <w:r w:rsidR="08A65A10" w:rsidRPr="003D1E07">
        <w:t>)</w:t>
      </w:r>
      <w:r w:rsidRPr="003D1E07">
        <w:t>.</w:t>
      </w:r>
      <w:r w:rsidR="08A65A10" w:rsidRPr="003D1E07">
        <w:t xml:space="preserve"> </w:t>
      </w:r>
      <w:r w:rsidR="08794569" w:rsidRPr="003D1E07">
        <w:t xml:space="preserve">Možnost predikace </w:t>
      </w:r>
      <w:r w:rsidR="08794569" w:rsidRPr="003D1E07">
        <w:rPr>
          <w:i/>
        </w:rPr>
        <w:t>ad unum</w:t>
      </w:r>
      <w:r w:rsidR="08794569" w:rsidRPr="003D1E07">
        <w:t xml:space="preserve"> zakládají hypostázované akcidenty</w:t>
      </w:r>
      <w:r w:rsidR="08544513" w:rsidRPr="003D1E07">
        <w:t xml:space="preserve"> typu kvality a habitu</w:t>
      </w:r>
      <w:r w:rsidR="08794569" w:rsidRPr="003D1E07">
        <w:t xml:space="preserve">, které se v Jednom </w:t>
      </w:r>
      <w:r w:rsidR="00AE1F86" w:rsidRPr="003D1E07">
        <w:t xml:space="preserve">pre-existují </w:t>
      </w:r>
      <w:r w:rsidR="08794569" w:rsidRPr="003D1E07">
        <w:t>v</w:t>
      </w:r>
      <w:r w:rsidR="00F96B97" w:rsidRPr="003D1E07">
        <w:t xml:space="preserve"> exemplární </w:t>
      </w:r>
      <w:r w:rsidR="08794569" w:rsidRPr="003D1E07">
        <w:t xml:space="preserve">podobě. </w:t>
      </w:r>
      <w:r w:rsidRPr="003D1E07">
        <w:t xml:space="preserve">Tato </w:t>
      </w:r>
      <w:r w:rsidR="00F96B97" w:rsidRPr="003D1E07">
        <w:t xml:space="preserve">poměřitelnost </w:t>
      </w:r>
      <w:r w:rsidR="002301DA" w:rsidRPr="003D1E07">
        <w:t xml:space="preserve">Jednoho a Mnohého je </w:t>
      </w:r>
      <w:r w:rsidR="00F96B97" w:rsidRPr="003D1E07">
        <w:t xml:space="preserve">určená hypotázovanými akcidenty </w:t>
      </w:r>
      <w:r w:rsidR="002301DA" w:rsidRPr="003D1E07">
        <w:t xml:space="preserve">a </w:t>
      </w:r>
      <w:r w:rsidRPr="003D1E07">
        <w:t>má zásadní charakter pro další vývoj objektivity</w:t>
      </w:r>
      <w:r w:rsidR="002301DA" w:rsidRPr="003D1E07">
        <w:t xml:space="preserve">. Akcidentální vazba určená </w:t>
      </w:r>
      <w:r w:rsidR="002301DA" w:rsidRPr="003D1E07">
        <w:rPr>
          <w:i/>
        </w:rPr>
        <w:t>per prius</w:t>
      </w:r>
      <w:r w:rsidR="002301DA" w:rsidRPr="003D1E07">
        <w:t xml:space="preserve"> </w:t>
      </w:r>
      <w:r w:rsidRPr="003D1E07">
        <w:t>zakládá ontoteologickou</w:t>
      </w:r>
      <w:r w:rsidRPr="003D1E07">
        <w:fldChar w:fldCharType="begin"/>
      </w:r>
      <w:r w:rsidRPr="003D1E07">
        <w:instrText xml:space="preserve"> XE "ontoteologie:</w:instrText>
      </w:r>
      <w:r w:rsidR="088B254C" w:rsidRPr="003D1E07">
        <w:instrText>Porfyrius</w:instrText>
      </w:r>
      <w:r w:rsidRPr="003D1E07">
        <w:instrText xml:space="preserve">" </w:instrText>
      </w:r>
      <w:r w:rsidRPr="003D1E07">
        <w:fldChar w:fldCharType="end"/>
      </w:r>
      <w:r w:rsidRPr="003D1E07">
        <w:t xml:space="preserve"> konstrukci moderní metafyziky. </w:t>
      </w:r>
      <w:r w:rsidR="0802062C" w:rsidRPr="003D1E07">
        <w:t>Objektivní p</w:t>
      </w:r>
      <w:r w:rsidR="08A04F69" w:rsidRPr="003D1E07">
        <w:t>redikace za druhou substa</w:t>
      </w:r>
      <w:r w:rsidR="0802062C" w:rsidRPr="003D1E07">
        <w:t>ncí</w:t>
      </w:r>
      <w:r w:rsidR="08A04F69" w:rsidRPr="003D1E07">
        <w:t xml:space="preserve"> je možná</w:t>
      </w:r>
      <w:r w:rsidR="081C1AE8" w:rsidRPr="003D1E07">
        <w:t xml:space="preserve"> v modu </w:t>
      </w:r>
      <w:r w:rsidR="002301DA" w:rsidRPr="003D1E07">
        <w:t xml:space="preserve">falešné </w:t>
      </w:r>
      <w:r w:rsidR="081C1AE8" w:rsidRPr="003D1E07">
        <w:t>univocity</w:t>
      </w:r>
      <w:r w:rsidR="0802062C" w:rsidRPr="003D1E07">
        <w:t xml:space="preserve">, což klasický aristotelismus </w:t>
      </w:r>
      <w:r w:rsidR="002B5ACA" w:rsidRPr="003D1E07">
        <w:t xml:space="preserve">ve středověku </w:t>
      </w:r>
      <w:r w:rsidR="0802062C" w:rsidRPr="003D1E07">
        <w:t>zásadně odmítl</w:t>
      </w:r>
      <w:r w:rsidR="00A636DA" w:rsidRPr="003D1E07">
        <w:t>.</w:t>
      </w:r>
    </w:p>
    <w:p w14:paraId="12F25CF6" w14:textId="2DC22165" w:rsidR="003125CF" w:rsidRPr="003D1E07" w:rsidRDefault="00B51F7E" w:rsidP="00E7521B">
      <w:pPr>
        <w:numPr>
          <w:ilvl w:val="0"/>
          <w:numId w:val="10"/>
        </w:numPr>
      </w:pPr>
      <w:r w:rsidRPr="003D1E07">
        <w:t xml:space="preserve">Moderní Jedno nebo moderní Bůh přebývá prohyparchicky ve své dvojí bytnosti. Toto simulakrum šíří hyparchické bytí směrem dolů skrze </w:t>
      </w:r>
      <w:r w:rsidR="00E80AF2" w:rsidRPr="003D1E07">
        <w:t>řadu</w:t>
      </w:r>
      <w:r w:rsidR="003C454B" w:rsidRPr="003D1E07">
        <w:t xml:space="preserve"> emanací</w:t>
      </w:r>
      <w:r w:rsidRPr="003D1E07">
        <w:t>. Pak může predikace postupovat hierarchicky v kosmickém řádu shora dolů (</w:t>
      </w:r>
      <w:r w:rsidRPr="003D1E07">
        <w:rPr>
          <w:i/>
        </w:rPr>
        <w:t>per prius</w:t>
      </w:r>
      <w:r w:rsidRPr="003D1E07">
        <w:t>) a také rekapitulovat tuto hierarchii obráceně (</w:t>
      </w:r>
      <w:r w:rsidRPr="003D1E07">
        <w:rPr>
          <w:i/>
        </w:rPr>
        <w:t>per posterius</w:t>
      </w:r>
      <w:r w:rsidR="003125CF" w:rsidRPr="003D1E07">
        <w:t>).</w:t>
      </w:r>
    </w:p>
    <w:p w14:paraId="32E0CCD8" w14:textId="5C1D18AE" w:rsidR="003125CF" w:rsidRPr="003D1E07" w:rsidRDefault="00826F8E" w:rsidP="00E7521B">
      <w:pPr>
        <w:numPr>
          <w:ilvl w:val="0"/>
          <w:numId w:val="10"/>
        </w:numPr>
      </w:pPr>
      <w:r w:rsidRPr="003D1E07">
        <w:t xml:space="preserve">Proměna </w:t>
      </w:r>
      <w:r w:rsidR="00874074" w:rsidRPr="003D1E07">
        <w:t>neoplatonsk</w:t>
      </w:r>
      <w:r w:rsidR="08532BEE" w:rsidRPr="003D1E07">
        <w:t xml:space="preserve">ého schématu </w:t>
      </w:r>
      <w:r w:rsidRPr="003D1E07">
        <w:t xml:space="preserve">dialektiky a emanace Jednoho </w:t>
      </w:r>
      <w:r w:rsidR="08105D1B" w:rsidRPr="003D1E07">
        <w:t xml:space="preserve">do modelu kategoriální predikace </w:t>
      </w:r>
      <w:r w:rsidRPr="003D1E07">
        <w:t xml:space="preserve">jsoucna inspirovala </w:t>
      </w:r>
      <w:r w:rsidR="00BB45B1" w:rsidRPr="003D1E07">
        <w:t>Porfyri</w:t>
      </w:r>
      <w:r w:rsidRPr="003D1E07">
        <w:t>ovy následovníky</w:t>
      </w:r>
      <w:r w:rsidR="00B54757" w:rsidRPr="003D1E07">
        <w:t>. Původní dělení v rámci Aristotelových kategorií se vztahovalo k první substanci, která díky vlastní aktualitě determinovala univerzální určení daná pouze v intelektu.</w:t>
      </w:r>
      <w:r w:rsidR="00B565D8" w:rsidRPr="003D1E07">
        <w:t xml:space="preserve"> Toto určení nyní padlo, protože </w:t>
      </w:r>
      <w:r w:rsidR="00EA4657" w:rsidRPr="003D1E07">
        <w:t xml:space="preserve">moderna </w:t>
      </w:r>
      <w:r w:rsidR="00B565D8" w:rsidRPr="003D1E07">
        <w:t xml:space="preserve">našla </w:t>
      </w:r>
      <w:r w:rsidR="085B36B8" w:rsidRPr="003D1E07">
        <w:t>původněj</w:t>
      </w:r>
      <w:r w:rsidR="089E3E73" w:rsidRPr="003D1E07">
        <w:t>š</w:t>
      </w:r>
      <w:r w:rsidR="00EA4657" w:rsidRPr="003D1E07">
        <w:t>í jednotu</w:t>
      </w:r>
      <w:r w:rsidR="085B36B8" w:rsidRPr="003D1E07">
        <w:t xml:space="preserve"> jsoucna </w:t>
      </w:r>
      <w:r w:rsidR="00B565D8" w:rsidRPr="003D1E07">
        <w:t>za</w:t>
      </w:r>
      <w:r w:rsidR="089E3E73" w:rsidRPr="003D1E07">
        <w:t xml:space="preserve"> </w:t>
      </w:r>
      <w:r w:rsidR="00B565D8" w:rsidRPr="003D1E07">
        <w:t xml:space="preserve">kategoriální predikací. </w:t>
      </w:r>
      <w:r w:rsidR="00B565D8" w:rsidRPr="003D1E07">
        <w:lastRenderedPageBreak/>
        <w:t xml:space="preserve">Metafyzika se stala první a nejdůležitější vědou zajišťující mystický přechod do zásvětí </w:t>
      </w:r>
      <w:r w:rsidR="007E0B27" w:rsidRPr="003D1E07">
        <w:t xml:space="preserve">moderního </w:t>
      </w:r>
      <w:r w:rsidR="00B565D8" w:rsidRPr="003D1E07">
        <w:t>ducha (</w:t>
      </w:r>
      <w:r w:rsidR="00B565D8" w:rsidRPr="003D1E07">
        <w:rPr>
          <w:i/>
        </w:rPr>
        <w:t>scientia transcendens</w:t>
      </w:r>
      <w:r w:rsidR="00B565D8" w:rsidRPr="003D1E07">
        <w:rPr>
          <w:i/>
        </w:rPr>
        <w:fldChar w:fldCharType="begin"/>
      </w:r>
      <w:r w:rsidR="00B565D8" w:rsidRPr="003D1E07">
        <w:instrText xml:space="preserve"> XE "metafyzika:</w:instrText>
      </w:r>
      <w:r w:rsidR="00B565D8" w:rsidRPr="003D1E07">
        <w:rPr>
          <w:i/>
        </w:rPr>
        <w:instrText>scientia transcendens</w:instrText>
      </w:r>
      <w:r w:rsidR="00B565D8" w:rsidRPr="003D1E07">
        <w:instrText xml:space="preserve">" </w:instrText>
      </w:r>
      <w:r w:rsidR="00B565D8" w:rsidRPr="003D1E07">
        <w:rPr>
          <w:i/>
        </w:rPr>
        <w:fldChar w:fldCharType="end"/>
      </w:r>
      <w:r w:rsidR="00B565D8" w:rsidRPr="003D1E07">
        <w:t>).</w:t>
      </w:r>
    </w:p>
    <w:p w14:paraId="166CD9C1" w14:textId="751E07FD" w:rsidR="08E94DDC" w:rsidRPr="003D1E07" w:rsidRDefault="082E584D" w:rsidP="00803711">
      <w:r w:rsidRPr="003D1E07">
        <w:t>Prok</w:t>
      </w:r>
      <w:r w:rsidR="08F8154F" w:rsidRPr="003D1E07">
        <w:t xml:space="preserve">lus </w:t>
      </w:r>
      <w:r w:rsidR="00325CEA" w:rsidRPr="003D1E07">
        <w:t>(†485)</w:t>
      </w:r>
      <w:r w:rsidR="005A68A7" w:rsidRPr="003D1E07">
        <w:t xml:space="preserve"> </w:t>
      </w:r>
      <w:r w:rsidR="005A68A7" w:rsidRPr="003D1E07">
        <w:fldChar w:fldCharType="begin"/>
      </w:r>
      <w:r w:rsidR="005A68A7" w:rsidRPr="003D1E07">
        <w:instrText xml:space="preserve"> XE "Proklus</w:instrText>
      </w:r>
      <w:r w:rsidR="00617157" w:rsidRPr="003D1E07">
        <w:instrText xml:space="preserve">:viz </w:instrText>
      </w:r>
      <w:r w:rsidR="00617157" w:rsidRPr="003D1E07">
        <w:rPr>
          <w:i/>
        </w:rPr>
        <w:instrText>Index locorum</w:instrText>
      </w:r>
      <w:r w:rsidR="005A68A7" w:rsidRPr="003D1E07">
        <w:instrText xml:space="preserve">" </w:instrText>
      </w:r>
      <w:r w:rsidR="005A68A7" w:rsidRPr="003D1E07">
        <w:fldChar w:fldCharType="end"/>
      </w:r>
      <w:r w:rsidR="08F8154F" w:rsidRPr="003D1E07">
        <w:t>z</w:t>
      </w:r>
      <w:r w:rsidR="08E57654" w:rsidRPr="003D1E07">
        <w:t xml:space="preserve">měnil </w:t>
      </w:r>
      <w:r w:rsidR="08422F53" w:rsidRPr="003D1E07">
        <w:t xml:space="preserve">Aristotelovu </w:t>
      </w:r>
      <w:r w:rsidR="08E57654" w:rsidRPr="003D1E07">
        <w:t>perspektivu kategoriální predikace</w:t>
      </w:r>
      <w:r w:rsidR="08422F53" w:rsidRPr="003D1E07">
        <w:t xml:space="preserve"> podle </w:t>
      </w:r>
      <w:r w:rsidR="08F10B71" w:rsidRPr="003D1E07">
        <w:t xml:space="preserve">návodu </w:t>
      </w:r>
      <w:r w:rsidR="00BB45B1" w:rsidRPr="003D1E07">
        <w:t>Porfyri</w:t>
      </w:r>
      <w:r w:rsidR="08422F53" w:rsidRPr="003D1E07">
        <w:t xml:space="preserve">a. </w:t>
      </w:r>
      <w:r w:rsidR="00325CEA" w:rsidRPr="003D1E07">
        <w:t xml:space="preserve">Jeho komentář k dialogu </w:t>
      </w:r>
      <w:r w:rsidR="00325CEA" w:rsidRPr="003D1E07">
        <w:rPr>
          <w:i/>
        </w:rPr>
        <w:t>Parme</w:t>
      </w:r>
      <w:r w:rsidR="08144318" w:rsidRPr="003D1E07">
        <w:rPr>
          <w:i/>
        </w:rPr>
        <w:t>nide</w:t>
      </w:r>
      <w:r w:rsidR="00325CEA" w:rsidRPr="003D1E07">
        <w:rPr>
          <w:i/>
        </w:rPr>
        <w:t>s</w:t>
      </w:r>
      <w:r w:rsidR="00325CEA" w:rsidRPr="003D1E07">
        <w:t xml:space="preserve"> </w:t>
      </w:r>
      <w:r w:rsidR="00D82FD7" w:rsidRPr="003D1E07">
        <w:t xml:space="preserve">známe jen částečně, protože </w:t>
      </w:r>
      <w:r w:rsidR="007C5F25" w:rsidRPr="003D1E07">
        <w:t xml:space="preserve">končí </w:t>
      </w:r>
      <w:r w:rsidR="00D82FD7" w:rsidRPr="003D1E07">
        <w:t xml:space="preserve">výkladem </w:t>
      </w:r>
      <w:r w:rsidR="007C5F25" w:rsidRPr="003D1E07">
        <w:rPr>
          <w:i/>
        </w:rPr>
        <w:t>Parm</w:t>
      </w:r>
      <w:r w:rsidR="00D82FD7" w:rsidRPr="003D1E07">
        <w:t>. 142a</w:t>
      </w:r>
      <w:r w:rsidR="00B33948" w:rsidRPr="003D1E07">
        <w:fldChar w:fldCharType="begin"/>
      </w:r>
      <w:r w:rsidR="00B33948" w:rsidRPr="003D1E07">
        <w:instrText xml:space="preserve"> XE "</w:instrText>
      </w:r>
      <w:r w:rsidR="008E02F5" w:rsidRPr="003D1E07">
        <w:instrText>Platon</w:instrText>
      </w:r>
      <w:r w:rsidR="00B33948" w:rsidRPr="003D1E07">
        <w:instrText>:</w:instrText>
      </w:r>
      <w:r w:rsidR="00B33948" w:rsidRPr="003D1E07">
        <w:rPr>
          <w:i/>
        </w:rPr>
        <w:instrText>Parm.</w:instrText>
      </w:r>
      <w:r w:rsidR="00B33948" w:rsidRPr="003D1E07">
        <w:instrText xml:space="preserve"> 142a" </w:instrText>
      </w:r>
      <w:r w:rsidR="00B33948" w:rsidRPr="003D1E07">
        <w:fldChar w:fldCharType="end"/>
      </w:r>
      <w:r w:rsidR="00F765FE" w:rsidRPr="003D1E07">
        <w:t xml:space="preserve">. Ale dochovaná argumentace </w:t>
      </w:r>
      <w:r w:rsidR="00325CEA" w:rsidRPr="003D1E07">
        <w:t xml:space="preserve">dosvědčuje, že </w:t>
      </w:r>
      <w:r w:rsidR="00F765FE" w:rsidRPr="003D1E07">
        <w:t xml:space="preserve">Proklus </w:t>
      </w:r>
      <w:r w:rsidR="00325CEA" w:rsidRPr="003D1E07">
        <w:t xml:space="preserve">znal </w:t>
      </w:r>
      <w:r w:rsidR="00BB45B1" w:rsidRPr="003D1E07">
        <w:t>Porfyri</w:t>
      </w:r>
      <w:r w:rsidR="00325CEA" w:rsidRPr="003D1E07">
        <w:t xml:space="preserve">ův </w:t>
      </w:r>
      <w:r w:rsidR="003469E2" w:rsidRPr="003D1E07">
        <w:t>komentář</w:t>
      </w:r>
      <w:r w:rsidR="00F765FE" w:rsidRPr="003D1E07">
        <w:t xml:space="preserve"> k </w:t>
      </w:r>
      <w:r w:rsidR="00F765FE" w:rsidRPr="003D1E07">
        <w:rPr>
          <w:i/>
        </w:rPr>
        <w:t>Parmenidovi</w:t>
      </w:r>
      <w:r w:rsidR="007C5F25" w:rsidRPr="003D1E07">
        <w:t>, z něhož máme jen fragmenty</w:t>
      </w:r>
      <w:r w:rsidR="00325CEA" w:rsidRPr="003D1E07">
        <w:t>.</w:t>
      </w:r>
      <w:r w:rsidR="003469E2" w:rsidRPr="003D1E07">
        <w:t xml:space="preserve"> </w:t>
      </w:r>
      <w:r w:rsidR="08422F53" w:rsidRPr="003D1E07">
        <w:t>V</w:t>
      </w:r>
      <w:r w:rsidR="08E57654" w:rsidRPr="003D1E07">
        <w:t xml:space="preserve">ýměr reálně dané jednotliviny </w:t>
      </w:r>
      <w:r w:rsidR="00BC55EF" w:rsidRPr="003D1E07">
        <w:t xml:space="preserve">už </w:t>
      </w:r>
      <w:r w:rsidR="08E57654" w:rsidRPr="003D1E07">
        <w:t xml:space="preserve">pochází </w:t>
      </w:r>
      <w:r w:rsidR="00BC55EF" w:rsidRPr="003D1E07">
        <w:t xml:space="preserve">primárně pouze </w:t>
      </w:r>
      <w:r w:rsidR="08E57654" w:rsidRPr="003D1E07">
        <w:t xml:space="preserve">od nadřazené univerzální formy. </w:t>
      </w:r>
      <w:r w:rsidR="08532BEE" w:rsidRPr="003D1E07">
        <w:t>Z</w:t>
      </w:r>
      <w:r w:rsidR="08E94DDC" w:rsidRPr="003D1E07">
        <w:t xml:space="preserve">měnu v náhledu jsoucna </w:t>
      </w:r>
      <w:r w:rsidR="0827407F" w:rsidRPr="003D1E07">
        <w:t xml:space="preserve">Proklus </w:t>
      </w:r>
      <w:r w:rsidR="00F5558B" w:rsidRPr="003D1E07">
        <w:t xml:space="preserve">kodifikuje v </w:t>
      </w:r>
      <w:r w:rsidR="00863AB7" w:rsidRPr="003D1E07">
        <w:t>se</w:t>
      </w:r>
      <w:r w:rsidR="00414FE8" w:rsidRPr="003D1E07">
        <w:t>s</w:t>
      </w:r>
      <w:r w:rsidR="00863AB7" w:rsidRPr="003D1E07">
        <w:t>tu</w:t>
      </w:r>
      <w:r w:rsidR="00F5558B" w:rsidRPr="003D1E07">
        <w:t>pném modu univerzality</w:t>
      </w:r>
      <w:r w:rsidR="00414FE8" w:rsidRPr="003D1E07">
        <w:t xml:space="preserve">, kterou latinský Západ převzal skrze </w:t>
      </w:r>
      <w:r w:rsidR="08FA6FD7" w:rsidRPr="003D1E07">
        <w:t xml:space="preserve">jím inspirované </w:t>
      </w:r>
      <w:r w:rsidR="00414FE8" w:rsidRPr="003D1E07">
        <w:t xml:space="preserve">dílo </w:t>
      </w:r>
      <w:r w:rsidR="00414FE8" w:rsidRPr="003D1E07">
        <w:rPr>
          <w:i/>
        </w:rPr>
        <w:t>Liber de causis</w:t>
      </w:r>
      <w:r w:rsidR="00274A40" w:rsidRPr="003D1E07">
        <w:rPr>
          <w:i/>
        </w:rPr>
        <w:fldChar w:fldCharType="begin"/>
      </w:r>
      <w:r w:rsidR="00274A40" w:rsidRPr="003D1E07">
        <w:instrText xml:space="preserve"> XE "</w:instrText>
      </w:r>
      <w:r w:rsidR="00274A40" w:rsidRPr="003D1E07">
        <w:rPr>
          <w:i/>
        </w:rPr>
        <w:instrText>Liber de causis</w:instrText>
      </w:r>
      <w:r w:rsidR="00274A40" w:rsidRPr="003D1E07">
        <w:instrText xml:space="preserve">" </w:instrText>
      </w:r>
      <w:r w:rsidR="00274A40" w:rsidRPr="003D1E07">
        <w:rPr>
          <w:i/>
        </w:rPr>
        <w:fldChar w:fldCharType="end"/>
      </w:r>
      <w:r w:rsidR="00863AB7" w:rsidRPr="003D1E07">
        <w:t xml:space="preserve">. Určení jsoucna jde od </w:t>
      </w:r>
      <w:r w:rsidR="00F5558B" w:rsidRPr="003D1E07">
        <w:t xml:space="preserve">určující ideje k jejímu </w:t>
      </w:r>
      <w:r w:rsidR="00863AB7" w:rsidRPr="003D1E07">
        <w:t xml:space="preserve">univerzálnímu </w:t>
      </w:r>
      <w:r w:rsidR="00F5558B" w:rsidRPr="003D1E07">
        <w:t xml:space="preserve">výměru, a nakonec k esenci jednotliviny. </w:t>
      </w:r>
      <w:r w:rsidR="00AB41B3" w:rsidRPr="003D1E07">
        <w:t xml:space="preserve">Proklova argumentace </w:t>
      </w:r>
      <w:r w:rsidR="008C3B93">
        <w:t xml:space="preserve">generalizuje </w:t>
      </w:r>
      <w:r w:rsidR="08E658BA" w:rsidRPr="003D1E07">
        <w:t>pro</w:t>
      </w:r>
      <w:r w:rsidR="001F7CD9" w:rsidRPr="003D1E07">
        <w:t>hyp</w:t>
      </w:r>
      <w:r w:rsidR="08E658BA" w:rsidRPr="003D1E07">
        <w:t xml:space="preserve">archický scénář Porfyria. Jeho </w:t>
      </w:r>
      <w:r w:rsidR="00FB08D7">
        <w:t xml:space="preserve">nové </w:t>
      </w:r>
      <w:r w:rsidR="08E658BA" w:rsidRPr="003D1E07">
        <w:t xml:space="preserve">dělení jsoucna </w:t>
      </w:r>
      <w:r w:rsidR="00AB41B3" w:rsidRPr="003D1E07">
        <w:t>je postaven</w:t>
      </w:r>
      <w:r w:rsidR="08E658BA" w:rsidRPr="003D1E07">
        <w:t>o</w:t>
      </w:r>
      <w:r w:rsidR="00AB41B3" w:rsidRPr="003D1E07">
        <w:t xml:space="preserve"> </w:t>
      </w:r>
      <w:r w:rsidR="00FB08D7">
        <w:t xml:space="preserve">na obrácené perspektivě, než je aristotelská supozice od </w:t>
      </w:r>
      <w:r w:rsidR="00AB41B3" w:rsidRPr="003D1E07">
        <w:t xml:space="preserve">první </w:t>
      </w:r>
      <w:r w:rsidR="00C5552E">
        <w:t xml:space="preserve">reálné </w:t>
      </w:r>
      <w:r w:rsidR="00AB41B3" w:rsidRPr="003D1E07">
        <w:t>substance</w:t>
      </w:r>
      <w:r w:rsidR="00A70FA4" w:rsidRPr="003D1E07">
        <w:fldChar w:fldCharType="begin"/>
      </w:r>
      <w:r w:rsidR="00A70FA4" w:rsidRPr="003D1E07">
        <w:instrText xml:space="preserve"> XE "substance</w:instrText>
      </w:r>
      <w:r w:rsidR="00AF0359" w:rsidRPr="003D1E07">
        <w:instrText>:Proklus</w:instrText>
      </w:r>
      <w:r w:rsidR="00A70FA4" w:rsidRPr="003D1E07">
        <w:instrText xml:space="preserve">" </w:instrText>
      </w:r>
      <w:r w:rsidR="00A70FA4" w:rsidRPr="003D1E07">
        <w:fldChar w:fldCharType="end"/>
      </w:r>
      <w:r w:rsidR="00AB41B3" w:rsidRPr="003D1E07">
        <w:t>.</w:t>
      </w:r>
      <w:r w:rsidR="00FB08D7">
        <w:t xml:space="preserve"> </w:t>
      </w:r>
      <w:r w:rsidR="00FB08D7" w:rsidRPr="003D1E07">
        <w:t xml:space="preserve">Proklus </w:t>
      </w:r>
      <w:r w:rsidR="00FB08D7">
        <w:t xml:space="preserve">predikuje univerzální významy v modu </w:t>
      </w:r>
      <w:r w:rsidR="009E4918">
        <w:t xml:space="preserve">hyparchické </w:t>
      </w:r>
      <w:r w:rsidR="00FB08D7">
        <w:t>impozice</w:t>
      </w:r>
      <w:r w:rsidR="009E4918">
        <w:t>. V</w:t>
      </w:r>
      <w:r w:rsidR="00FB08D7">
        <w:t xml:space="preserve">yšší sféra </w:t>
      </w:r>
      <w:r w:rsidR="00AE63AF">
        <w:t xml:space="preserve">se chová </w:t>
      </w:r>
      <w:r w:rsidR="00FB08D7">
        <w:t xml:space="preserve">jako první </w:t>
      </w:r>
      <w:r w:rsidR="009E4918">
        <w:t xml:space="preserve">reálná </w:t>
      </w:r>
      <w:r w:rsidR="00FB08D7">
        <w:t xml:space="preserve">substance </w:t>
      </w:r>
      <w:r w:rsidR="009E4918">
        <w:t>a tím det</w:t>
      </w:r>
      <w:r w:rsidR="00AE63AF">
        <w:t>e</w:t>
      </w:r>
      <w:r w:rsidR="009E4918">
        <w:t>rminuje v mo</w:t>
      </w:r>
      <w:r w:rsidR="00AE63AF">
        <w:t>d</w:t>
      </w:r>
      <w:r w:rsidR="009E4918">
        <w:t xml:space="preserve">u impozice </w:t>
      </w:r>
      <w:r w:rsidR="00FB08D7">
        <w:t xml:space="preserve">nižší </w:t>
      </w:r>
      <w:r w:rsidR="009E4918">
        <w:t>sféru jako druhou substanci</w:t>
      </w:r>
      <w:r w:rsidR="00FB08D7">
        <w:t xml:space="preserve">. </w:t>
      </w:r>
    </w:p>
    <w:p w14:paraId="68EA73C3" w14:textId="4988F16D" w:rsidR="08136785" w:rsidRPr="003D1E07" w:rsidRDefault="08E94DDC" w:rsidP="08136785">
      <w:pPr>
        <w:pStyle w:val="Citace"/>
        <w:rPr>
          <w:noProof/>
          <w:lang w:val="cs-CZ"/>
        </w:rPr>
      </w:pPr>
      <w:r w:rsidRPr="003D1E07">
        <w:rPr>
          <w:noProof/>
          <w:lang w:val="cs-CZ"/>
        </w:rPr>
        <w:t>„</w:t>
      </w:r>
      <w:r w:rsidR="08136785" w:rsidRPr="003D1E07">
        <w:rPr>
          <w:noProof/>
          <w:lang w:val="cs-CZ"/>
        </w:rPr>
        <w:t>V důkazech a definicích musí být</w:t>
      </w:r>
      <w:r w:rsidR="000121E7" w:rsidRPr="003D1E07">
        <w:rPr>
          <w:noProof/>
          <w:lang w:val="cs-CZ"/>
        </w:rPr>
        <w:t xml:space="preserve"> jednotlivé podřízeno obecnému </w:t>
      </w:r>
      <w:r w:rsidR="08136785" w:rsidRPr="003D1E07">
        <w:rPr>
          <w:noProof/>
          <w:lang w:val="cs-CZ"/>
        </w:rPr>
        <w:t xml:space="preserve">a </w:t>
      </w:r>
      <w:r w:rsidR="00362DB5" w:rsidRPr="003D1E07">
        <w:rPr>
          <w:noProof/>
          <w:lang w:val="cs-CZ"/>
        </w:rPr>
        <w:t xml:space="preserve">jeho </w:t>
      </w:r>
      <w:r w:rsidR="08136785" w:rsidRPr="003D1E07">
        <w:rPr>
          <w:noProof/>
          <w:lang w:val="cs-CZ"/>
        </w:rPr>
        <w:t xml:space="preserve">výměru. </w:t>
      </w:r>
      <w:r w:rsidR="004B44A1" w:rsidRPr="003D1E07">
        <w:rPr>
          <w:noProof/>
          <w:lang w:val="cs-CZ"/>
        </w:rPr>
        <w:t>O</w:t>
      </w:r>
      <w:r w:rsidR="08136785" w:rsidRPr="003D1E07">
        <w:rPr>
          <w:noProof/>
          <w:lang w:val="cs-CZ"/>
        </w:rPr>
        <w:t>becn</w:t>
      </w:r>
      <w:r w:rsidR="004B44A1" w:rsidRPr="003D1E07">
        <w:rPr>
          <w:noProof/>
          <w:lang w:val="cs-CZ"/>
        </w:rPr>
        <w:t>á</w:t>
      </w:r>
      <w:r w:rsidR="08136785" w:rsidRPr="003D1E07">
        <w:rPr>
          <w:noProof/>
          <w:lang w:val="cs-CZ"/>
        </w:rPr>
        <w:t xml:space="preserve"> určení </w:t>
      </w:r>
      <w:r w:rsidR="087E5359" w:rsidRPr="003D1E07">
        <w:rPr>
          <w:noProof/>
          <w:lang w:val="cs-CZ"/>
        </w:rPr>
        <w:t xml:space="preserve">obsažená </w:t>
      </w:r>
      <w:r w:rsidR="08136785" w:rsidRPr="003D1E07">
        <w:rPr>
          <w:noProof/>
          <w:lang w:val="cs-CZ"/>
        </w:rPr>
        <w:t xml:space="preserve">v jednotlivině </w:t>
      </w:r>
      <w:r w:rsidR="004B44A1" w:rsidRPr="003D1E07">
        <w:rPr>
          <w:noProof/>
          <w:lang w:val="cs-CZ"/>
        </w:rPr>
        <w:t xml:space="preserve">se liší od bytí jednotliny </w:t>
      </w:r>
      <w:r w:rsidR="00B21540" w:rsidRPr="003D1E07">
        <w:rPr>
          <w:noProof/>
          <w:lang w:val="cs-CZ"/>
        </w:rPr>
        <w:t>jako celku</w:t>
      </w:r>
      <w:r w:rsidR="08136785" w:rsidRPr="003D1E07">
        <w:rPr>
          <w:noProof/>
          <w:lang w:val="cs-CZ"/>
        </w:rPr>
        <w:t xml:space="preserve">. (...) Určující </w:t>
      </w:r>
      <w:r w:rsidR="0072199F" w:rsidRPr="003D1E07">
        <w:rPr>
          <w:noProof/>
          <w:lang w:val="cs-CZ"/>
        </w:rPr>
        <w:t>logos-</w:t>
      </w:r>
      <w:r w:rsidR="08136785" w:rsidRPr="003D1E07">
        <w:rPr>
          <w:noProof/>
          <w:lang w:val="cs-CZ"/>
        </w:rPr>
        <w:t>princi</w:t>
      </w:r>
      <w:r w:rsidR="0072199F" w:rsidRPr="003D1E07">
        <w:rPr>
          <w:noProof/>
          <w:lang w:val="cs-CZ"/>
        </w:rPr>
        <w:t>p člověka v nás zahrnuje každého jednotlivého člověka v jeho celku</w:t>
      </w:r>
      <w:r w:rsidR="08136785" w:rsidRPr="003D1E07">
        <w:rPr>
          <w:noProof/>
          <w:lang w:val="cs-CZ"/>
        </w:rPr>
        <w:t xml:space="preserve">, protože jednotlivina </w:t>
      </w:r>
      <w:r w:rsidR="0023675D" w:rsidRPr="003D1E07">
        <w:rPr>
          <w:noProof/>
          <w:lang w:val="cs-CZ"/>
        </w:rPr>
        <w:t xml:space="preserve">v modu jedinečnosti </w:t>
      </w:r>
      <w:r w:rsidR="00066F0F" w:rsidRPr="003D1E07">
        <w:rPr>
          <w:noProof/>
          <w:lang w:val="cs-CZ"/>
        </w:rPr>
        <w:t xml:space="preserve">obsahuje </w:t>
      </w:r>
      <w:r w:rsidR="08136785" w:rsidRPr="003D1E07">
        <w:rPr>
          <w:noProof/>
          <w:lang w:val="cs-CZ"/>
        </w:rPr>
        <w:t>všech</w:t>
      </w:r>
      <w:r w:rsidR="0023675D" w:rsidRPr="003D1E07">
        <w:rPr>
          <w:noProof/>
          <w:lang w:val="cs-CZ"/>
        </w:rPr>
        <w:t>ny potence</w:t>
      </w:r>
      <w:r w:rsidR="00066F0F" w:rsidRPr="003D1E07">
        <w:rPr>
          <w:noProof/>
          <w:lang w:val="cs-CZ"/>
        </w:rPr>
        <w:t>, které jsou zahrnuty</w:t>
      </w:r>
      <w:r w:rsidR="08136785" w:rsidRPr="003D1E07">
        <w:rPr>
          <w:noProof/>
          <w:lang w:val="cs-CZ"/>
        </w:rPr>
        <w:t xml:space="preserve"> v lidských individuích.“</w:t>
      </w:r>
      <w:r w:rsidR="004E2087" w:rsidRPr="003D1E07">
        <w:rPr>
          <w:noProof/>
          <w:lang w:val="cs-CZ"/>
        </w:rPr>
        <w:t> </w:t>
      </w:r>
      <w:r w:rsidR="08136785" w:rsidRPr="003D1E07">
        <w:rPr>
          <w:rStyle w:val="Znakapoznpodarou"/>
          <w:noProof/>
          <w:lang w:val="cs-CZ"/>
        </w:rPr>
        <w:footnoteReference w:id="52"/>
      </w:r>
    </w:p>
    <w:p w14:paraId="59B4EF44" w14:textId="77777777" w:rsidR="00204DE1" w:rsidRDefault="00AB41B3" w:rsidP="08816509">
      <w:r w:rsidRPr="003D1E07">
        <w:t>V</w:t>
      </w:r>
      <w:r w:rsidR="086964BA" w:rsidRPr="003D1E07">
        <w:t xml:space="preserve">ýměr vztažený </w:t>
      </w:r>
      <w:r w:rsidR="008165F7" w:rsidRPr="003D1E07">
        <w:t xml:space="preserve">v modu </w:t>
      </w:r>
      <w:r w:rsidR="008165F7" w:rsidRPr="003D1E07">
        <w:rPr>
          <w:i/>
        </w:rPr>
        <w:t>per prius</w:t>
      </w:r>
      <w:r w:rsidR="008165F7" w:rsidRPr="003D1E07">
        <w:t xml:space="preserve"> </w:t>
      </w:r>
      <w:r w:rsidR="086964BA" w:rsidRPr="003D1E07">
        <w:t xml:space="preserve">k obecninám do sebe nezahrnuje singulární substanci v jejím </w:t>
      </w:r>
      <w:r w:rsidR="088E3032" w:rsidRPr="003D1E07">
        <w:t xml:space="preserve">hylemorfickém </w:t>
      </w:r>
      <w:r w:rsidR="086964BA" w:rsidRPr="003D1E07">
        <w:t xml:space="preserve">celku </w:t>
      </w:r>
      <w:r w:rsidR="083766EF" w:rsidRPr="003D1E07">
        <w:t xml:space="preserve">(κοινῶν ὁρισμοὶ οὐ περιλαμβάνουσιν ὅλα τὰ καθέκαστα, </w:t>
      </w:r>
      <w:r w:rsidR="00B33948" w:rsidRPr="003D1E07">
        <w:rPr>
          <w:i/>
        </w:rPr>
        <w:t>Procl. in</w:t>
      </w:r>
      <w:r w:rsidR="083766EF" w:rsidRPr="003D1E07">
        <w:rPr>
          <w:i/>
        </w:rPr>
        <w:t xml:space="preserve"> Parm</w:t>
      </w:r>
      <w:r w:rsidR="083766EF" w:rsidRPr="003D1E07">
        <w:t>. 981.8‒9</w:t>
      </w:r>
      <w:r w:rsidR="00B33948" w:rsidRPr="003D1E07">
        <w:fldChar w:fldCharType="begin"/>
      </w:r>
      <w:r w:rsidR="00B33948" w:rsidRPr="003D1E07">
        <w:instrText xml:space="preserve"> XE "Proklus:</w:instrText>
      </w:r>
      <w:r w:rsidR="00B33948" w:rsidRPr="003D1E07">
        <w:rPr>
          <w:i/>
        </w:rPr>
        <w:instrText>Procl. in</w:instrText>
      </w:r>
      <w:r w:rsidR="00B33948" w:rsidRPr="003D1E07">
        <w:instrText xml:space="preserve"> </w:instrText>
      </w:r>
      <w:r w:rsidR="00B33948" w:rsidRPr="003D1E07">
        <w:rPr>
          <w:i/>
        </w:rPr>
        <w:instrText>Parm</w:instrText>
      </w:r>
      <w:r w:rsidR="00B33948" w:rsidRPr="003D1E07">
        <w:instrText xml:space="preserve">. 981.8‒9" </w:instrText>
      </w:r>
      <w:r w:rsidR="00B33948" w:rsidRPr="003D1E07">
        <w:fldChar w:fldCharType="end"/>
      </w:r>
      <w:r w:rsidR="083766EF" w:rsidRPr="003D1E07">
        <w:t xml:space="preserve">). Výše uvedený rozbor Aristotelových </w:t>
      </w:r>
      <w:r w:rsidR="083766EF" w:rsidRPr="003D1E07">
        <w:rPr>
          <w:i/>
        </w:rPr>
        <w:t>Kategorií</w:t>
      </w:r>
      <w:r w:rsidR="083766EF" w:rsidRPr="003D1E07">
        <w:t xml:space="preserve"> tvrdí totéž, ale ze strany první substance, která </w:t>
      </w:r>
      <w:r w:rsidR="00844005" w:rsidRPr="003D1E07">
        <w:t xml:space="preserve">díky své jedinečné aktualitě </w:t>
      </w:r>
      <w:r w:rsidR="083766EF" w:rsidRPr="003D1E07">
        <w:t>nemůže být zahrnuta do kategoriální predikace (kap 1.2). Nyní platí stejná věta, a</w:t>
      </w:r>
      <w:r w:rsidR="08545CAF" w:rsidRPr="003D1E07">
        <w:t>le v opačné perspektivě</w:t>
      </w:r>
      <w:r w:rsidR="007D10AE" w:rsidRPr="003D1E07">
        <w:t xml:space="preserve">. </w:t>
      </w:r>
      <w:r w:rsidR="083766EF" w:rsidRPr="003D1E07">
        <w:t>Protože univerzální forma má všechny dokonalost</w:t>
      </w:r>
      <w:r w:rsidR="08B9297F" w:rsidRPr="003D1E07">
        <w:t xml:space="preserve">i a plnost výměru, pak </w:t>
      </w:r>
      <w:r w:rsidR="00D45710" w:rsidRPr="003D1E07">
        <w:t xml:space="preserve">stojí mimo </w:t>
      </w:r>
      <w:r w:rsidR="083766EF" w:rsidRPr="003D1E07">
        <w:t>singulární</w:t>
      </w:r>
      <w:r w:rsidR="00D45710" w:rsidRPr="003D1E07">
        <w:t xml:space="preserve"> jsoucno</w:t>
      </w:r>
      <w:r w:rsidR="008D2C6E" w:rsidRPr="003D1E07">
        <w:t xml:space="preserve">, které z </w:t>
      </w:r>
      <w:r w:rsidR="00E15D8B" w:rsidRPr="003D1E07">
        <w:t xml:space="preserve">původní svébytné a univerzální </w:t>
      </w:r>
      <w:r w:rsidR="008D2C6E" w:rsidRPr="003D1E07">
        <w:t xml:space="preserve">formy </w:t>
      </w:r>
      <w:r w:rsidR="00844005" w:rsidRPr="003D1E07">
        <w:t>realizuje jen část možností</w:t>
      </w:r>
      <w:r w:rsidR="008D2C6E" w:rsidRPr="003D1E07">
        <w:t xml:space="preserve"> (ἀνθρώπου λόγος ὅλον ἕκαστον περιέχει τὸ καθέκαστον, </w:t>
      </w:r>
      <w:r w:rsidR="08131487" w:rsidRPr="003D1E07">
        <w:rPr>
          <w:i/>
        </w:rPr>
        <w:t>Procl. i</w:t>
      </w:r>
      <w:r w:rsidR="008D2C6E" w:rsidRPr="003D1E07">
        <w:rPr>
          <w:i/>
        </w:rPr>
        <w:t>n Parm</w:t>
      </w:r>
      <w:r w:rsidR="008D2C6E" w:rsidRPr="003D1E07">
        <w:t>. 981.12‒13</w:t>
      </w:r>
      <w:r w:rsidR="00B33948" w:rsidRPr="003D1E07">
        <w:fldChar w:fldCharType="begin"/>
      </w:r>
      <w:r w:rsidR="00B33948" w:rsidRPr="003D1E07">
        <w:instrText xml:space="preserve"> XE "Proklus:</w:instrText>
      </w:r>
      <w:r w:rsidR="00B33948" w:rsidRPr="003D1E07">
        <w:rPr>
          <w:i/>
        </w:rPr>
        <w:instrText>Procl. in</w:instrText>
      </w:r>
      <w:r w:rsidR="00B33948" w:rsidRPr="003D1E07">
        <w:instrText xml:space="preserve"> </w:instrText>
      </w:r>
      <w:r w:rsidR="00B33948" w:rsidRPr="003D1E07">
        <w:rPr>
          <w:i/>
        </w:rPr>
        <w:instrText>Parm</w:instrText>
      </w:r>
      <w:r w:rsidR="00B33948" w:rsidRPr="003D1E07">
        <w:instrText xml:space="preserve">. 981.12‒13" </w:instrText>
      </w:r>
      <w:r w:rsidR="00B33948" w:rsidRPr="003D1E07">
        <w:fldChar w:fldCharType="end"/>
      </w:r>
      <w:r w:rsidR="008D2C6E" w:rsidRPr="003D1E07">
        <w:t xml:space="preserve">). </w:t>
      </w:r>
      <w:r w:rsidR="00EC0536" w:rsidRPr="003D1E07">
        <w:t>Ú</w:t>
      </w:r>
      <w:r w:rsidR="08C34A14" w:rsidRPr="003D1E07">
        <w:t xml:space="preserve">čast </w:t>
      </w:r>
      <w:r w:rsidR="00F3529F" w:rsidRPr="003D1E07">
        <w:t xml:space="preserve">reálné </w:t>
      </w:r>
      <w:r w:rsidR="00EC0536" w:rsidRPr="003D1E07">
        <w:t xml:space="preserve">první substance </w:t>
      </w:r>
      <w:r w:rsidR="08C34A14" w:rsidRPr="003D1E07">
        <w:t>na univerzálii</w:t>
      </w:r>
      <w:r w:rsidR="081036FC" w:rsidRPr="003D1E07">
        <w:t xml:space="preserve"> </w:t>
      </w:r>
      <w:r w:rsidR="00D45710" w:rsidRPr="003D1E07">
        <w:t xml:space="preserve">je </w:t>
      </w:r>
      <w:r w:rsidR="00EC0536" w:rsidRPr="003D1E07">
        <w:t xml:space="preserve">omezena </w:t>
      </w:r>
      <w:r w:rsidR="081036FC" w:rsidRPr="003D1E07">
        <w:t>proměnlivostí materie</w:t>
      </w:r>
      <w:r w:rsidR="08355332" w:rsidRPr="003D1E07">
        <w:t xml:space="preserve">. </w:t>
      </w:r>
      <w:r w:rsidR="00B41329" w:rsidRPr="003D1E07">
        <w:t xml:space="preserve">Obrácená perspektiva změnila lidskou osobu jako jedinečnou první aristotelskou substanci v moderní individuum. </w:t>
      </w:r>
      <w:r w:rsidR="004C36DC" w:rsidRPr="003D1E07">
        <w:t xml:space="preserve">Toto nihilistické </w:t>
      </w:r>
      <w:r w:rsidR="004C36DC" w:rsidRPr="003D1E07">
        <w:rPr>
          <w:i/>
        </w:rPr>
        <w:lastRenderedPageBreak/>
        <w:t>individuum</w:t>
      </w:r>
      <w:r w:rsidR="004C36DC" w:rsidRPr="003D1E07">
        <w:t xml:space="preserve"> </w:t>
      </w:r>
      <w:r w:rsidR="000E461F" w:rsidRPr="003D1E07">
        <w:t xml:space="preserve">dané </w:t>
      </w:r>
      <w:r w:rsidR="00B41329" w:rsidRPr="003D1E07">
        <w:t xml:space="preserve">jako objektivní </w:t>
      </w:r>
      <w:r w:rsidR="00B41329" w:rsidRPr="003D1E07">
        <w:rPr>
          <w:i/>
        </w:rPr>
        <w:t>factum</w:t>
      </w:r>
      <w:r w:rsidR="00B41329" w:rsidRPr="003D1E07">
        <w:t xml:space="preserve"> vznikl</w:t>
      </w:r>
      <w:r w:rsidR="004C36DC" w:rsidRPr="003D1E07">
        <w:t>o</w:t>
      </w:r>
      <w:r w:rsidR="00B41329" w:rsidRPr="003D1E07">
        <w:t xml:space="preserve"> dělením univerzálií v rámci </w:t>
      </w:r>
      <w:r w:rsidR="00B41329" w:rsidRPr="003D1E07">
        <w:rPr>
          <w:i/>
        </w:rPr>
        <w:t>Arbor Porphyriana</w:t>
      </w:r>
      <w:r w:rsidR="00724736" w:rsidRPr="003D1E07">
        <w:rPr>
          <w:i/>
        </w:rPr>
        <w:fldChar w:fldCharType="begin"/>
      </w:r>
      <w:r w:rsidR="00724736" w:rsidRPr="003D1E07">
        <w:instrText xml:space="preserve"> XE "</w:instrText>
      </w:r>
      <w:r w:rsidR="00724736" w:rsidRPr="003D1E07">
        <w:rPr>
          <w:i/>
        </w:rPr>
        <w:instrText>Arbor Porphyriana</w:instrText>
      </w:r>
      <w:r w:rsidR="00724736" w:rsidRPr="003D1E07">
        <w:instrText xml:space="preserve">" </w:instrText>
      </w:r>
      <w:r w:rsidR="00724736" w:rsidRPr="003D1E07">
        <w:rPr>
          <w:i/>
        </w:rPr>
        <w:fldChar w:fldCharType="end"/>
      </w:r>
      <w:r w:rsidR="00B41329" w:rsidRPr="003D1E07">
        <w:t xml:space="preserve">. </w:t>
      </w:r>
      <w:r w:rsidR="00F3529F" w:rsidRPr="003D1E07">
        <w:t>Opět je vidět vliv pro</w:t>
      </w:r>
      <w:r w:rsidR="00B842A4" w:rsidRPr="003D1E07">
        <w:t>hyp</w:t>
      </w:r>
      <w:r w:rsidR="00F3529F" w:rsidRPr="003D1E07">
        <w:t>arch</w:t>
      </w:r>
      <w:r w:rsidR="00B842A4" w:rsidRPr="003D1E07">
        <w:t xml:space="preserve">ického scénáře vyvádějícího eminentní generickou jsoucnost </w:t>
      </w:r>
      <w:r w:rsidR="087D204D" w:rsidRPr="003D1E07">
        <w:t>ze zdvojeného Jednoho</w:t>
      </w:r>
      <w:r w:rsidR="00F3529F" w:rsidRPr="003D1E07">
        <w:t xml:space="preserve">. </w:t>
      </w:r>
      <w:r w:rsidR="007E5CF2" w:rsidRPr="003D1E07">
        <w:t>Hylemorfická substance je proměnlivá a nedokonalá, proto její bytí nemůže založit obecný výměr</w:t>
      </w:r>
      <w:r w:rsidR="085120EA" w:rsidRPr="003D1E07">
        <w:t xml:space="preserve"> a kategoriální predikaci</w:t>
      </w:r>
      <w:r w:rsidR="007E5CF2" w:rsidRPr="003D1E07">
        <w:t xml:space="preserve">. </w:t>
      </w:r>
      <w:r w:rsidR="08CB6AEA" w:rsidRPr="003D1E07">
        <w:t xml:space="preserve">Proklova definice </w:t>
      </w:r>
      <w:r w:rsidR="083766EF" w:rsidRPr="003D1E07">
        <w:t xml:space="preserve">Sokrata </w:t>
      </w:r>
      <w:r w:rsidR="000427A8" w:rsidRPr="003D1E07">
        <w:t xml:space="preserve">jako jedinečného jsoucna </w:t>
      </w:r>
      <w:r w:rsidR="08CB6AEA" w:rsidRPr="003D1E07">
        <w:t xml:space="preserve">třetího druhu </w:t>
      </w:r>
      <w:r w:rsidR="004C6352" w:rsidRPr="003D1E07">
        <w:t xml:space="preserve">je zcela typická pro nový obraz světa. Univerzální definice Sokratovosti nyní </w:t>
      </w:r>
      <w:r w:rsidR="00D45710" w:rsidRPr="003D1E07">
        <w:t xml:space="preserve">determinuje </w:t>
      </w:r>
      <w:r w:rsidR="083766EF" w:rsidRPr="003D1E07">
        <w:t xml:space="preserve">bytí první substance </w:t>
      </w:r>
      <w:r w:rsidR="081849D9" w:rsidRPr="003D1E07">
        <w:t xml:space="preserve">původně </w:t>
      </w:r>
      <w:r w:rsidR="083766EF" w:rsidRPr="003D1E07">
        <w:t xml:space="preserve">dané v </w:t>
      </w:r>
      <w:r w:rsidR="083766EF" w:rsidRPr="003D1E07">
        <w:rPr>
          <w:i/>
        </w:rPr>
        <w:t>Kategoriích</w:t>
      </w:r>
      <w:r w:rsidR="083766EF" w:rsidRPr="003D1E07">
        <w:t xml:space="preserve"> </w:t>
      </w:r>
      <w:r w:rsidR="085120EA" w:rsidRPr="003D1E07">
        <w:t xml:space="preserve">hyparchicky a skrze sebe. Nová </w:t>
      </w:r>
      <w:r w:rsidR="00DB02EE" w:rsidRPr="003D1E07">
        <w:t>„</w:t>
      </w:r>
      <w:r w:rsidR="085120EA" w:rsidRPr="003D1E07">
        <w:t>první substance</w:t>
      </w:r>
      <w:r w:rsidR="00DB02EE" w:rsidRPr="003D1E07">
        <w:t>“</w:t>
      </w:r>
      <w:r w:rsidR="085120EA" w:rsidRPr="003D1E07">
        <w:t xml:space="preserve"> </w:t>
      </w:r>
      <w:r w:rsidR="089A7946" w:rsidRPr="003D1E07">
        <w:t xml:space="preserve">je dána </w:t>
      </w:r>
      <w:r w:rsidR="089A7946" w:rsidRPr="003D1E07">
        <w:rPr>
          <w:i/>
        </w:rPr>
        <w:t>absolute</w:t>
      </w:r>
      <w:r w:rsidR="089A7946" w:rsidRPr="003D1E07">
        <w:t xml:space="preserve">, protože </w:t>
      </w:r>
      <w:r w:rsidR="085120EA" w:rsidRPr="003D1E07">
        <w:t xml:space="preserve">vznikla zcela novým způsobem </w:t>
      </w:r>
      <w:r w:rsidR="083766EF" w:rsidRPr="003D1E07">
        <w:t xml:space="preserve">odděleným od </w:t>
      </w:r>
      <w:r w:rsidR="089A7946" w:rsidRPr="003D1E07">
        <w:t xml:space="preserve">aristotelské </w:t>
      </w:r>
      <w:r w:rsidR="083766EF" w:rsidRPr="003D1E07">
        <w:t>kategoriální</w:t>
      </w:r>
      <w:r w:rsidR="0859185D" w:rsidRPr="003D1E07">
        <w:t xml:space="preserve"> predikace</w:t>
      </w:r>
      <w:r w:rsidR="083766EF" w:rsidRPr="003D1E07">
        <w:t xml:space="preserve">. </w:t>
      </w:r>
      <w:r w:rsidR="007E5CF2" w:rsidRPr="003D1E07">
        <w:t xml:space="preserve">Sokratova individuální existence </w:t>
      </w:r>
      <w:r w:rsidR="00B57047" w:rsidRPr="003D1E07">
        <w:t xml:space="preserve">podle Prokla </w:t>
      </w:r>
      <w:r w:rsidR="007E5CF2" w:rsidRPr="003D1E07">
        <w:t>nemůže založit jeho obecný výměr (</w:t>
      </w:r>
      <w:r w:rsidR="08531569" w:rsidRPr="003D1E07">
        <w:t xml:space="preserve">ibid, </w:t>
      </w:r>
      <w:r w:rsidR="007E5CF2" w:rsidRPr="003D1E07">
        <w:t>981.9‒11</w:t>
      </w:r>
      <w:r w:rsidR="00B33948" w:rsidRPr="003D1E07">
        <w:fldChar w:fldCharType="begin"/>
      </w:r>
      <w:r w:rsidR="00B33948" w:rsidRPr="003D1E07">
        <w:instrText xml:space="preserve"> XE "Proklus:</w:instrText>
      </w:r>
      <w:r w:rsidR="00B33948" w:rsidRPr="003D1E07">
        <w:rPr>
          <w:i/>
        </w:rPr>
        <w:instrText xml:space="preserve"> Procl. in</w:instrText>
      </w:r>
      <w:r w:rsidR="00B33948" w:rsidRPr="003D1E07">
        <w:instrText xml:space="preserve"> </w:instrText>
      </w:r>
      <w:r w:rsidR="00B33948" w:rsidRPr="003D1E07">
        <w:rPr>
          <w:i/>
        </w:rPr>
        <w:instrText>Parm</w:instrText>
      </w:r>
      <w:r w:rsidR="00B33948" w:rsidRPr="003D1E07">
        <w:instrText xml:space="preserve">. 981.9‒11" </w:instrText>
      </w:r>
      <w:r w:rsidR="00B33948" w:rsidRPr="003D1E07">
        <w:fldChar w:fldCharType="end"/>
      </w:r>
      <w:r w:rsidR="007E5CF2" w:rsidRPr="003D1E07">
        <w:t xml:space="preserve">). </w:t>
      </w:r>
      <w:r w:rsidR="00D07259" w:rsidRPr="003D1E07">
        <w:t>Vyšší bytí univerzálie určuje nižší bytí individua</w:t>
      </w:r>
      <w:r w:rsidR="089B7B53" w:rsidRPr="003D1E07">
        <w:t xml:space="preserve"> (</w:t>
      </w:r>
      <w:r w:rsidR="089B7B53" w:rsidRPr="003D1E07">
        <w:rPr>
          <w:i/>
        </w:rPr>
        <w:t>imprimunt formas secundas</w:t>
      </w:r>
      <w:r w:rsidR="089B7B53" w:rsidRPr="003D1E07">
        <w:t>)</w:t>
      </w:r>
      <w:r w:rsidR="00D07259" w:rsidRPr="003D1E07">
        <w:t xml:space="preserve">, což rozvede dílo </w:t>
      </w:r>
      <w:r w:rsidR="00D07259" w:rsidRPr="003D1E07">
        <w:rPr>
          <w:i/>
        </w:rPr>
        <w:t>Liber de causis</w:t>
      </w:r>
      <w:r w:rsidR="00274A40" w:rsidRPr="003D1E07">
        <w:rPr>
          <w:i/>
        </w:rPr>
        <w:fldChar w:fldCharType="begin"/>
      </w:r>
      <w:r w:rsidR="00274A40" w:rsidRPr="003D1E07">
        <w:instrText xml:space="preserve"> XE "</w:instrText>
      </w:r>
      <w:r w:rsidR="00274A40" w:rsidRPr="003D1E07">
        <w:rPr>
          <w:i/>
        </w:rPr>
        <w:instrText>Liber de causis</w:instrText>
      </w:r>
      <w:r w:rsidR="00274A40" w:rsidRPr="003D1E07">
        <w:instrText xml:space="preserve">" </w:instrText>
      </w:r>
      <w:r w:rsidR="00274A40" w:rsidRPr="003D1E07">
        <w:rPr>
          <w:i/>
        </w:rPr>
        <w:fldChar w:fldCharType="end"/>
      </w:r>
      <w:r w:rsidR="00FC184E" w:rsidRPr="003D1E07">
        <w:t>.</w:t>
      </w:r>
      <w:r w:rsidR="005C54B0" w:rsidRPr="003D1E07">
        <w:rPr>
          <w:rStyle w:val="Znakapoznpodarou"/>
        </w:rPr>
        <w:footnoteReference w:id="53"/>
      </w:r>
      <w:r w:rsidR="00FC184E" w:rsidRPr="003D1E07">
        <w:t xml:space="preserve"> Toto dílo </w:t>
      </w:r>
      <w:r w:rsidR="00D07259" w:rsidRPr="003D1E07">
        <w:t>schola</w:t>
      </w:r>
      <w:r w:rsidR="00FF5922" w:rsidRPr="003D1E07">
        <w:t>s</w:t>
      </w:r>
      <w:r w:rsidR="00FC184E" w:rsidRPr="003D1E07">
        <w:t>tice předalo</w:t>
      </w:r>
      <w:r w:rsidR="00D07259" w:rsidRPr="003D1E07">
        <w:t xml:space="preserve"> základní prvky Proklovy dedukce forem směrem od Jednoho</w:t>
      </w:r>
      <w:r w:rsidR="004D2EB4" w:rsidRPr="003D1E07">
        <w:t>.</w:t>
      </w:r>
      <w:r w:rsidR="00FF5922" w:rsidRPr="003D1E07">
        <w:t xml:space="preserve"> </w:t>
      </w:r>
      <w:r w:rsidR="008165F7" w:rsidRPr="003D1E07">
        <w:t xml:space="preserve">Vyšší forma je kompletní, trvalá a subsistentní. Nižší forma, včetně první substance dané reálně, je jen částečná, pomíjivá a kontingentní. </w:t>
      </w:r>
      <w:r w:rsidR="00FF5922" w:rsidRPr="003D1E07">
        <w:t>Falsafa, židovská filosofická mystika</w:t>
      </w:r>
      <w:r w:rsidR="005B479E" w:rsidRPr="003D1E07">
        <w:fldChar w:fldCharType="begin"/>
      </w:r>
      <w:r w:rsidR="005B479E" w:rsidRPr="003D1E07">
        <w:instrText xml:space="preserve"> XE "</w:instrText>
      </w:r>
      <w:r w:rsidR="005B479E" w:rsidRPr="003D1E07">
        <w:rPr>
          <w:lang w:eastAsia="en-US"/>
        </w:rPr>
        <w:instrText>mystika</w:instrText>
      </w:r>
      <w:r w:rsidR="005B479E" w:rsidRPr="003D1E07">
        <w:instrText xml:space="preserve">" </w:instrText>
      </w:r>
      <w:r w:rsidR="005B479E" w:rsidRPr="003D1E07">
        <w:fldChar w:fldCharType="end"/>
      </w:r>
      <w:r w:rsidR="00FF5922" w:rsidRPr="003D1E07">
        <w:t xml:space="preserve"> a západní </w:t>
      </w:r>
      <w:r w:rsidR="00573DC7" w:rsidRPr="003D1E07">
        <w:t xml:space="preserve">moderna </w:t>
      </w:r>
      <w:r w:rsidR="00FF5922" w:rsidRPr="003D1E07">
        <w:t xml:space="preserve">se inspirovala </w:t>
      </w:r>
      <w:r w:rsidR="08B51B91" w:rsidRPr="003D1E07">
        <w:t xml:space="preserve">Proklovým </w:t>
      </w:r>
      <w:r w:rsidR="00FF5922" w:rsidRPr="003D1E07">
        <w:t>axiomatickým stylem dedukce</w:t>
      </w:r>
      <w:r w:rsidR="08E81101" w:rsidRPr="003D1E07">
        <w:t xml:space="preserve"> </w:t>
      </w:r>
      <w:r w:rsidR="08E81101" w:rsidRPr="003D1E07">
        <w:rPr>
          <w:i/>
        </w:rPr>
        <w:t>modo geometrico</w:t>
      </w:r>
      <w:r w:rsidR="08E81101" w:rsidRPr="003D1E07">
        <w:rPr>
          <w:i/>
        </w:rPr>
        <w:fldChar w:fldCharType="begin"/>
      </w:r>
      <w:r w:rsidR="08E81101" w:rsidRPr="003D1E07">
        <w:instrText xml:space="preserve"> XE "</w:instrText>
      </w:r>
      <w:r w:rsidR="08E81101" w:rsidRPr="003D1E07">
        <w:rPr>
          <w:i/>
        </w:rPr>
        <w:instrText>modo geometrico</w:instrText>
      </w:r>
      <w:r w:rsidR="08E81101" w:rsidRPr="003D1E07">
        <w:instrText xml:space="preserve">" </w:instrText>
      </w:r>
      <w:r w:rsidR="08E81101" w:rsidRPr="003D1E07">
        <w:rPr>
          <w:i/>
        </w:rPr>
        <w:fldChar w:fldCharType="end"/>
      </w:r>
      <w:r w:rsidR="009936B5" w:rsidRPr="003D1E07">
        <w:t xml:space="preserve">, </w:t>
      </w:r>
      <w:r w:rsidR="003C52F2" w:rsidRPr="003D1E07">
        <w:t xml:space="preserve">v níž </w:t>
      </w:r>
      <w:r w:rsidR="00073CC0" w:rsidRPr="003D1E07">
        <w:t xml:space="preserve">nadřazená univerzální forma determinuje </w:t>
      </w:r>
      <w:r w:rsidR="00960B56" w:rsidRPr="003D1E07">
        <w:t xml:space="preserve">v řádu kauzality </w:t>
      </w:r>
      <w:r w:rsidR="009936B5" w:rsidRPr="003D1E07">
        <w:t>r</w:t>
      </w:r>
      <w:r w:rsidR="00073CC0" w:rsidRPr="003D1E07">
        <w:t>eálné hylemorfické substance</w:t>
      </w:r>
      <w:r w:rsidR="00887EE8" w:rsidRPr="003D1E07">
        <w:t xml:space="preserve">. </w:t>
      </w:r>
      <w:r w:rsidR="00C50396" w:rsidRPr="003D1E07">
        <w:t>T</w:t>
      </w:r>
      <w:r w:rsidR="00D07259" w:rsidRPr="003D1E07">
        <w:t>rvalá esence</w:t>
      </w:r>
      <w:r w:rsidR="005A68A7" w:rsidRPr="003D1E07">
        <w:fldChar w:fldCharType="begin"/>
      </w:r>
      <w:r w:rsidR="005A68A7" w:rsidRPr="003D1E07">
        <w:instrText xml:space="preserve"> XE "esence:</w:instrText>
      </w:r>
      <w:r w:rsidR="00485643" w:rsidRPr="003D1E07">
        <w:instrText>neoplatonimus</w:instrText>
      </w:r>
      <w:r w:rsidR="005A68A7" w:rsidRPr="003D1E07">
        <w:instrText xml:space="preserve">" </w:instrText>
      </w:r>
      <w:r w:rsidR="005A68A7" w:rsidRPr="003D1E07">
        <w:fldChar w:fldCharType="end"/>
      </w:r>
      <w:r w:rsidR="08BA1539" w:rsidRPr="003D1E07">
        <w:t xml:space="preserve"> svým přesahem</w:t>
      </w:r>
      <w:r w:rsidR="00C50396" w:rsidRPr="003D1E07">
        <w:t xml:space="preserve"> do </w:t>
      </w:r>
      <w:r w:rsidR="00275676" w:rsidRPr="003D1E07">
        <w:t>nižší reality</w:t>
      </w:r>
      <w:r w:rsidR="00C50396" w:rsidRPr="003D1E07">
        <w:t xml:space="preserve"> zakládá</w:t>
      </w:r>
      <w:r w:rsidR="00D07259" w:rsidRPr="003D1E07">
        <w:t xml:space="preserve"> kontigentní výskyt hyleformické první substance. </w:t>
      </w:r>
      <w:r w:rsidR="008E1981" w:rsidRPr="003D1E07">
        <w:t>Tento argument převezme začínající modern</w:t>
      </w:r>
      <w:r w:rsidR="08BA1539" w:rsidRPr="003D1E07">
        <w:t xml:space="preserve">a u Rufuse z Cornwallu v pojmu </w:t>
      </w:r>
      <w:r w:rsidR="008E1981" w:rsidRPr="003D1E07">
        <w:rPr>
          <w:i/>
        </w:rPr>
        <w:t>exsistere</w:t>
      </w:r>
      <w:r w:rsidR="005A68A7" w:rsidRPr="003D1E07">
        <w:rPr>
          <w:i/>
        </w:rPr>
        <w:fldChar w:fldCharType="begin"/>
      </w:r>
      <w:r w:rsidR="005A68A7" w:rsidRPr="003D1E07">
        <w:instrText xml:space="preserve"> XE "</w:instrText>
      </w:r>
      <w:r w:rsidR="005A68A7" w:rsidRPr="003D1E07">
        <w:rPr>
          <w:i/>
        </w:rPr>
        <w:instrText>exsistere:</w:instrText>
      </w:r>
      <w:r w:rsidR="08081A9B" w:rsidRPr="003D1E07">
        <w:instrText>Proklus</w:instrText>
      </w:r>
      <w:r w:rsidR="005A68A7" w:rsidRPr="003D1E07">
        <w:instrText xml:space="preserve">" </w:instrText>
      </w:r>
      <w:r w:rsidR="005A68A7" w:rsidRPr="003D1E07">
        <w:rPr>
          <w:i/>
        </w:rPr>
        <w:fldChar w:fldCharType="end"/>
      </w:r>
      <w:r w:rsidR="08BA1539" w:rsidRPr="003D1E07">
        <w:t xml:space="preserve"> </w:t>
      </w:r>
      <w:r w:rsidR="008E1981" w:rsidRPr="003D1E07">
        <w:t>(</w:t>
      </w:r>
      <w:r w:rsidR="08A85B38" w:rsidRPr="003D1E07">
        <w:t xml:space="preserve">OBJ II, </w:t>
      </w:r>
      <w:r w:rsidR="08A85B38" w:rsidRPr="003D1E07">
        <w:rPr>
          <w:szCs w:val="22"/>
        </w:rPr>
        <w:t>kap. 3</w:t>
      </w:r>
      <w:r w:rsidR="008E1981" w:rsidRPr="003D1E07">
        <w:rPr>
          <w:szCs w:val="22"/>
        </w:rPr>
        <w:t>.3.2</w:t>
      </w:r>
      <w:r w:rsidR="008E1981" w:rsidRPr="003D1E07">
        <w:t xml:space="preserve">). </w:t>
      </w:r>
      <w:r w:rsidR="00D07259" w:rsidRPr="003D1E07">
        <w:t xml:space="preserve">Esence </w:t>
      </w:r>
      <w:r w:rsidR="00ED264B" w:rsidRPr="003D1E07">
        <w:t>je tr</w:t>
      </w:r>
      <w:r w:rsidR="00C94774" w:rsidRPr="003D1E07">
        <w:t xml:space="preserve">valá subsistentní forma, proto </w:t>
      </w:r>
      <w:r w:rsidR="00D07259" w:rsidRPr="003D1E07">
        <w:t>určuje existenci kontingentní věci</w:t>
      </w:r>
      <w:r w:rsidR="087B1A5A" w:rsidRPr="003D1E07">
        <w:t>.</w:t>
      </w:r>
      <w:r w:rsidR="08CE6F5C" w:rsidRPr="003D1E07">
        <w:t xml:space="preserve"> </w:t>
      </w:r>
      <w:r w:rsidR="00D07259" w:rsidRPr="003D1E07">
        <w:t xml:space="preserve">Singulární </w:t>
      </w:r>
      <w:r w:rsidR="08BC185A" w:rsidRPr="003D1E07">
        <w:t xml:space="preserve">reálné </w:t>
      </w:r>
      <w:r w:rsidR="00D07259" w:rsidRPr="003D1E07">
        <w:t>jsoucno se stalo objektivním tím,</w:t>
      </w:r>
      <w:r w:rsidR="000944E4" w:rsidRPr="003D1E07">
        <w:t xml:space="preserve"> že jeho „ex</w:t>
      </w:r>
      <w:r w:rsidR="00D07259" w:rsidRPr="003D1E07">
        <w:t xml:space="preserve">sistentní“ </w:t>
      </w:r>
      <w:r w:rsidR="000944E4" w:rsidRPr="003D1E07">
        <w:t>realita je závislá</w:t>
      </w:r>
      <w:r w:rsidR="00D07259" w:rsidRPr="003D1E07">
        <w:t xml:space="preserve"> na vztahu k nadřazenému bytí oddělené </w:t>
      </w:r>
      <w:r w:rsidR="006D3606">
        <w:t xml:space="preserve">hypostázované </w:t>
      </w:r>
      <w:r w:rsidR="00D07259" w:rsidRPr="003D1E07">
        <w:t xml:space="preserve">formy. </w:t>
      </w:r>
      <w:r w:rsidR="009C45F6" w:rsidRPr="003D1E07">
        <w:t xml:space="preserve">Jde o </w:t>
      </w:r>
      <w:r w:rsidR="00DC3946" w:rsidRPr="003D1E07">
        <w:t>zásadní změnu dráhy náhledu (</w:t>
      </w:r>
      <w:r w:rsidR="00DC3946" w:rsidRPr="003D1E07">
        <w:rPr>
          <w:i/>
        </w:rPr>
        <w:t>Vor</w:t>
      </w:r>
      <w:r w:rsidR="00DC3946" w:rsidRPr="003D1E07">
        <w:rPr>
          <w:i/>
        </w:rPr>
        <w:noBreakHyphen/>
        <w:t>blickbahn</w:t>
      </w:r>
      <w:r w:rsidR="006B28CF" w:rsidRPr="003D1E07">
        <w:rPr>
          <w:i/>
        </w:rPr>
        <w:fldChar w:fldCharType="begin"/>
      </w:r>
      <w:r w:rsidR="006B28CF" w:rsidRPr="003D1E07">
        <w:instrText xml:space="preserve"> XE "</w:instrText>
      </w:r>
      <w:r w:rsidR="08106DC9" w:rsidRPr="003D1E07">
        <w:rPr>
          <w:i/>
        </w:rPr>
        <w:instrText>Vor-</w:instrText>
      </w:r>
      <w:r w:rsidR="006B28CF" w:rsidRPr="003D1E07">
        <w:rPr>
          <w:i/>
        </w:rPr>
        <w:instrText>b</w:instrText>
      </w:r>
      <w:r w:rsidR="006B28CF" w:rsidRPr="003D1E07">
        <w:rPr>
          <w:i/>
          <w:iCs/>
        </w:rPr>
        <w:instrText>lickbahn</w:instrText>
      </w:r>
      <w:r w:rsidR="006B28CF" w:rsidRPr="003D1E07">
        <w:rPr>
          <w:iCs/>
        </w:rPr>
        <w:instrText>:Proklus</w:instrText>
      </w:r>
      <w:r w:rsidR="006B28CF" w:rsidRPr="003D1E07">
        <w:instrText xml:space="preserve">" </w:instrText>
      </w:r>
      <w:r w:rsidR="006B28CF" w:rsidRPr="003D1E07">
        <w:rPr>
          <w:i/>
        </w:rPr>
        <w:fldChar w:fldCharType="end"/>
      </w:r>
      <w:r w:rsidR="00DC3946" w:rsidRPr="003D1E07">
        <w:t xml:space="preserve">), odkud jsoucno dostává smysl. </w:t>
      </w:r>
      <w:r w:rsidR="00EC3B35" w:rsidRPr="003D1E07">
        <w:t>Bytí a myšlení si začalo odpovídat novým způsobem</w:t>
      </w:r>
      <w:r w:rsidR="00ED264B" w:rsidRPr="003D1E07">
        <w:t xml:space="preserve">, protože se </w:t>
      </w:r>
      <w:r w:rsidR="08BA1539" w:rsidRPr="003D1E07">
        <w:t>z</w:t>
      </w:r>
      <w:r w:rsidR="00EC3B35" w:rsidRPr="003D1E07">
        <w:t>m</w:t>
      </w:r>
      <w:r w:rsidR="08BA1539" w:rsidRPr="003D1E07">
        <w:t>ěnil</w:t>
      </w:r>
      <w:r w:rsidR="08A067E6" w:rsidRPr="003D1E07">
        <w:t>o</w:t>
      </w:r>
      <w:r w:rsidR="00ED264B" w:rsidRPr="003D1E07">
        <w:t xml:space="preserve"> </w:t>
      </w:r>
      <w:r w:rsidR="00DC3946" w:rsidRPr="003D1E07">
        <w:t xml:space="preserve">fundamentální </w:t>
      </w:r>
      <w:r w:rsidR="0059174F">
        <w:t xml:space="preserve">způsob, </w:t>
      </w:r>
      <w:r w:rsidR="00DC3946" w:rsidRPr="003D1E07">
        <w:t xml:space="preserve">„jak“ (hermeneutické </w:t>
      </w:r>
      <w:r w:rsidR="00DC3946" w:rsidRPr="003D1E07">
        <w:rPr>
          <w:i/>
        </w:rPr>
        <w:t>Wie</w:t>
      </w:r>
      <w:r w:rsidR="005A68A7" w:rsidRPr="003D1E07">
        <w:rPr>
          <w:i/>
        </w:rPr>
        <w:fldChar w:fldCharType="begin"/>
      </w:r>
      <w:r w:rsidR="005A68A7" w:rsidRPr="003D1E07">
        <w:instrText xml:space="preserve"> XE "hermeneutické </w:instrText>
      </w:r>
      <w:r w:rsidR="005A68A7" w:rsidRPr="003D1E07">
        <w:rPr>
          <w:i/>
        </w:rPr>
        <w:instrText>Wie:</w:instrText>
      </w:r>
      <w:r w:rsidR="005A68A7" w:rsidRPr="003D1E07">
        <w:instrText xml:space="preserve">neoplatonismus" </w:instrText>
      </w:r>
      <w:r w:rsidR="005A68A7" w:rsidRPr="003D1E07">
        <w:rPr>
          <w:i/>
        </w:rPr>
        <w:fldChar w:fldCharType="end"/>
      </w:r>
      <w:r w:rsidR="00DC3946" w:rsidRPr="003D1E07">
        <w:t>) se jsoucno zpřítomňuje pro poznávající intelekt.</w:t>
      </w:r>
    </w:p>
    <w:p w14:paraId="0567F7F4" w14:textId="6E568D38" w:rsidR="009D7426" w:rsidRPr="003D1E07" w:rsidRDefault="088A0A99" w:rsidP="00204DE1">
      <w:pPr>
        <w:ind w:firstLine="397"/>
      </w:pPr>
      <w:r w:rsidRPr="003D1E07">
        <w:t>Následovníci Porfyria prohlásili mytopoetickou donaci bytí za základní metafyzickou událost absolutně určující způsob bytí jsoucna (</w:t>
      </w:r>
      <w:r w:rsidRPr="003D1E07">
        <w:rPr>
          <w:i/>
        </w:rPr>
        <w:t>Ereignis</w:t>
      </w:r>
      <w:r w:rsidR="08DF52A3" w:rsidRPr="003D1E07">
        <w:rPr>
          <w:i/>
        </w:rPr>
        <w:t xml:space="preserve">, </w:t>
      </w:r>
      <w:r w:rsidR="08DF52A3" w:rsidRPr="003D1E07">
        <w:t>kap 1.2</w:t>
      </w:r>
      <w:r w:rsidRPr="003D1E07">
        <w:t xml:space="preserve">). </w:t>
      </w:r>
      <w:r w:rsidR="080F53EF" w:rsidRPr="003D1E07">
        <w:t>Pod akademickým vedením Fúrií</w:t>
      </w:r>
      <w:r w:rsidR="08FF1AD8" w:rsidRPr="003D1E07">
        <w:fldChar w:fldCharType="begin"/>
      </w:r>
      <w:r w:rsidR="08FF1AD8" w:rsidRPr="003D1E07">
        <w:instrText xml:space="preserve"> XE "</w:instrText>
      </w:r>
      <w:r w:rsidR="08926EF4" w:rsidRPr="003D1E07">
        <w:instrText>Erí</w:instrText>
      </w:r>
      <w:r w:rsidR="083B095D" w:rsidRPr="003D1E07">
        <w:instrText>n</w:instrText>
      </w:r>
      <w:r w:rsidR="08926EF4" w:rsidRPr="003D1E07">
        <w:instrText>y</w:instrText>
      </w:r>
      <w:r w:rsidR="08FF1AD8" w:rsidRPr="003D1E07">
        <w:instrText xml:space="preserve">e" </w:instrText>
      </w:r>
      <w:r w:rsidR="08FF1AD8" w:rsidRPr="003D1E07">
        <w:fldChar w:fldCharType="end"/>
      </w:r>
      <w:r w:rsidR="08AB5BD3" w:rsidRPr="003D1E07">
        <w:t xml:space="preserve"> </w:t>
      </w:r>
      <w:r w:rsidR="080F53EF" w:rsidRPr="003D1E07">
        <w:t>absolutizovali n</w:t>
      </w:r>
      <w:r w:rsidR="08A067E6" w:rsidRPr="003D1E07">
        <w:t xml:space="preserve">eoplatonikové </w:t>
      </w:r>
      <w:r w:rsidR="08865D91" w:rsidRPr="003D1E07">
        <w:t xml:space="preserve">výše </w:t>
      </w:r>
      <w:r w:rsidR="084664E8" w:rsidRPr="003D1E07">
        <w:t xml:space="preserve">vyložený </w:t>
      </w:r>
      <w:r w:rsidR="080F53EF" w:rsidRPr="003D1E07">
        <w:t xml:space="preserve">Porfyriův </w:t>
      </w:r>
      <w:r w:rsidR="08A067E6" w:rsidRPr="003D1E07">
        <w:rPr>
          <w:i/>
        </w:rPr>
        <w:t xml:space="preserve">dativus </w:t>
      </w:r>
      <w:r w:rsidR="08B779FB" w:rsidRPr="003D1E07">
        <w:rPr>
          <w:i/>
        </w:rPr>
        <w:t>metaphysi</w:t>
      </w:r>
      <w:r w:rsidR="08D3387B" w:rsidRPr="003D1E07">
        <w:rPr>
          <w:i/>
        </w:rPr>
        <w:t>cus</w:t>
      </w:r>
      <w:r w:rsidR="001A72E2" w:rsidRPr="003D1E07">
        <w:t xml:space="preserve">. Dílo </w:t>
      </w:r>
      <w:r w:rsidR="088E4A16" w:rsidRPr="003D1E07">
        <w:rPr>
          <w:i/>
        </w:rPr>
        <w:t>Isagoge</w:t>
      </w:r>
      <w:r w:rsidR="088E4A16" w:rsidRPr="003D1E07">
        <w:t xml:space="preserve"> </w:t>
      </w:r>
      <w:r w:rsidR="08053A30" w:rsidRPr="003D1E07">
        <w:t>tematizoval</w:t>
      </w:r>
      <w:r w:rsidR="001A72E2" w:rsidRPr="003D1E07">
        <w:t>o</w:t>
      </w:r>
      <w:r w:rsidR="08053A30" w:rsidRPr="003D1E07">
        <w:rPr>
          <w:i/>
        </w:rPr>
        <w:t xml:space="preserve"> </w:t>
      </w:r>
      <w:r w:rsidR="08A067E6" w:rsidRPr="003D1E07">
        <w:t xml:space="preserve">určení individua od univerzální signifikace </w:t>
      </w:r>
      <w:r w:rsidR="00F214C5" w:rsidRPr="003D1E07">
        <w:t>species</w:t>
      </w:r>
      <w:r w:rsidR="08053A30" w:rsidRPr="003D1E07">
        <w:t xml:space="preserve"> </w:t>
      </w:r>
      <w:r w:rsidR="001A72E2" w:rsidRPr="003D1E07">
        <w:t xml:space="preserve">a to </w:t>
      </w:r>
      <w:r w:rsidR="08CE6F5C" w:rsidRPr="003D1E07">
        <w:t xml:space="preserve">pouze v modu participace </w:t>
      </w:r>
      <w:r w:rsidR="008C52F7">
        <w:t>n</w:t>
      </w:r>
      <w:r w:rsidR="001A72E2" w:rsidRPr="003D1E07">
        <w:t xml:space="preserve">a specifickém významu </w:t>
      </w:r>
      <w:r w:rsidR="083C6846" w:rsidRPr="003D1E07">
        <w:t>(kap 1.3</w:t>
      </w:r>
      <w:r w:rsidR="08C64E76" w:rsidRPr="003D1E07">
        <w:t xml:space="preserve">). </w:t>
      </w:r>
      <w:r w:rsidR="002B43A2" w:rsidRPr="003D1E07">
        <w:t xml:space="preserve">Ilumináti převedli argumentaci </w:t>
      </w:r>
      <w:r w:rsidR="08CE6F5C" w:rsidRPr="003D1E07">
        <w:rPr>
          <w:i/>
        </w:rPr>
        <w:t>Isagoge</w:t>
      </w:r>
      <w:r w:rsidR="08CE6F5C" w:rsidRPr="003D1E07">
        <w:t xml:space="preserve"> z </w:t>
      </w:r>
      <w:r w:rsidR="08CE6F5C" w:rsidRPr="003D1E07">
        <w:lastRenderedPageBreak/>
        <w:t xml:space="preserve">primátu reálného bytí první substance na dialektické dělení univerzálií dané pouze v mysli. </w:t>
      </w:r>
      <w:r w:rsidR="085723E5" w:rsidRPr="003D1E07">
        <w:t xml:space="preserve">Donace abstrahovaného logického bytí jde u Prokla od </w:t>
      </w:r>
      <w:r w:rsidR="00F214C5" w:rsidRPr="003D1E07">
        <w:t>species</w:t>
      </w:r>
      <w:r w:rsidR="085723E5" w:rsidRPr="003D1E07">
        <w:t xml:space="preserve"> a k individuu. </w:t>
      </w:r>
      <w:r w:rsidR="089B3F23" w:rsidRPr="003D1E07">
        <w:t xml:space="preserve">Původní </w:t>
      </w:r>
      <w:r w:rsidR="08B779FB" w:rsidRPr="003D1E07">
        <w:t xml:space="preserve">metafyzický </w:t>
      </w:r>
      <w:r w:rsidR="089B3F23" w:rsidRPr="003D1E07">
        <w:t>dativ</w:t>
      </w:r>
      <w:r w:rsidR="08AF1399" w:rsidRPr="003D1E07">
        <w:fldChar w:fldCharType="begin"/>
      </w:r>
      <w:r w:rsidR="08AF1399" w:rsidRPr="003D1E07">
        <w:instrText xml:space="preserve"> XE "</w:instrText>
      </w:r>
      <w:r w:rsidR="08B779FB" w:rsidRPr="003D1E07">
        <w:rPr>
          <w:i/>
        </w:rPr>
        <w:instrText>dativus metaphysi</w:instrText>
      </w:r>
      <w:r w:rsidR="08AF1399" w:rsidRPr="003D1E07">
        <w:rPr>
          <w:i/>
        </w:rPr>
        <w:instrText>cus</w:instrText>
      </w:r>
      <w:r w:rsidR="08AF1399" w:rsidRPr="003D1E07">
        <w:instrText xml:space="preserve">" </w:instrText>
      </w:r>
      <w:r w:rsidR="08AF1399" w:rsidRPr="003D1E07">
        <w:fldChar w:fldCharType="end"/>
      </w:r>
      <w:r w:rsidR="089B3F23" w:rsidRPr="003D1E07">
        <w:t xml:space="preserve"> vázaný na Aristotelovu </w:t>
      </w:r>
      <w:r w:rsidR="089B3F23" w:rsidRPr="003D1E07">
        <w:rPr>
          <w:i/>
        </w:rPr>
        <w:t>quidditas</w:t>
      </w:r>
      <w:r w:rsidR="089B3F23" w:rsidRPr="003D1E07">
        <w:t xml:space="preserve"> v minulostním modu hyparchicky daného bytí </w:t>
      </w:r>
      <w:r w:rsidR="00B24AB7">
        <w:t xml:space="preserve">v </w:t>
      </w:r>
      <w:r w:rsidR="089B3F23" w:rsidRPr="003D1E07">
        <w:t xml:space="preserve">první </w:t>
      </w:r>
      <w:r w:rsidR="00B24AB7">
        <w:t>hylemo</w:t>
      </w:r>
      <w:r w:rsidR="007F161B">
        <w:t>r</w:t>
      </w:r>
      <w:r w:rsidR="00B24AB7">
        <w:t>fické substanci</w:t>
      </w:r>
      <w:r w:rsidR="089B3F23" w:rsidRPr="003D1E07">
        <w:t xml:space="preserve"> zmizel úplně (τό τί ἦν εἶναι, kap. 1.1</w:t>
      </w:r>
      <w:r w:rsidR="089B3F23" w:rsidRPr="003D1E07">
        <w:fldChar w:fldCharType="begin"/>
      </w:r>
      <w:r w:rsidR="089B3F23" w:rsidRPr="003D1E07">
        <w:instrText xml:space="preserve"> XE "</w:instrText>
      </w:r>
      <w:r w:rsidR="08AD2D2B" w:rsidRPr="003D1E07">
        <w:instrText>substance:</w:instrText>
      </w:r>
      <w:r w:rsidR="089B3F23" w:rsidRPr="003D1E07">
        <w:instrText xml:space="preserve">τό τί ἦν εἶναι" </w:instrText>
      </w:r>
      <w:r w:rsidR="089B3F23" w:rsidRPr="003D1E07">
        <w:fldChar w:fldCharType="end"/>
      </w:r>
      <w:r w:rsidR="089B3F23" w:rsidRPr="003D1E07">
        <w:t xml:space="preserve">). </w:t>
      </w:r>
      <w:r w:rsidR="089C5115" w:rsidRPr="003D1E07">
        <w:t xml:space="preserve">Nyní se dostal </w:t>
      </w:r>
      <w:r w:rsidR="08B779FB" w:rsidRPr="003D1E07">
        <w:t xml:space="preserve">metafyzický </w:t>
      </w:r>
      <w:r w:rsidR="089C5115" w:rsidRPr="003D1E07">
        <w:t xml:space="preserve">dativ do sféry </w:t>
      </w:r>
      <w:r w:rsidR="081D0DFB" w:rsidRPr="003D1E07">
        <w:t xml:space="preserve">Jednoho </w:t>
      </w:r>
      <w:r w:rsidR="089C5115" w:rsidRPr="003D1E07">
        <w:t xml:space="preserve">dané </w:t>
      </w:r>
      <w:r w:rsidR="08D75DDD" w:rsidRPr="003D1E07">
        <w:t>„</w:t>
      </w:r>
      <w:r w:rsidR="0078785D" w:rsidRPr="003D1E07">
        <w:t>prohyparchi</w:t>
      </w:r>
      <w:r w:rsidR="089C5115" w:rsidRPr="003D1E07">
        <w:t>cky</w:t>
      </w:r>
      <w:r w:rsidR="08D75DDD" w:rsidRPr="003D1E07">
        <w:t>“</w:t>
      </w:r>
      <w:r w:rsidR="089C5115" w:rsidRPr="003D1E07">
        <w:t xml:space="preserve"> mimo mysl ilumináta</w:t>
      </w:r>
      <w:r w:rsidR="08D75DDD" w:rsidRPr="003D1E07">
        <w:t>, což ukázal předešlý výklad Porfýria</w:t>
      </w:r>
      <w:r w:rsidR="085723E5" w:rsidRPr="003D1E07">
        <w:t>. S</w:t>
      </w:r>
      <w:r w:rsidR="089C5115" w:rsidRPr="003D1E07">
        <w:t>chizofrenické Jedno my</w:t>
      </w:r>
      <w:r w:rsidR="08455627" w:rsidRPr="003D1E07">
        <w:t>topoeticky zaklá</w:t>
      </w:r>
      <w:r w:rsidR="089C5115" w:rsidRPr="003D1E07">
        <w:t xml:space="preserve">dá </w:t>
      </w:r>
      <w:r w:rsidR="08455627" w:rsidRPr="003D1E07">
        <w:t xml:space="preserve">skrze sérii emanací hyparchicky danou </w:t>
      </w:r>
      <w:r w:rsidR="089C5115" w:rsidRPr="003D1E07">
        <w:t xml:space="preserve">realitu kosmu. </w:t>
      </w:r>
      <w:r w:rsidR="089B3F23" w:rsidRPr="003D1E07">
        <w:t xml:space="preserve">Neoplatonikové </w:t>
      </w:r>
      <w:r w:rsidR="08DB04A0" w:rsidRPr="003D1E07">
        <w:t xml:space="preserve">a jejich moderní nástupci </w:t>
      </w:r>
      <w:r w:rsidR="089B3F23" w:rsidRPr="003D1E07">
        <w:t xml:space="preserve">hledají </w:t>
      </w:r>
      <w:r w:rsidR="085723E5" w:rsidRPr="003D1E07">
        <w:t xml:space="preserve">v predikaci pod vlivem Fúrií </w:t>
      </w:r>
      <w:r w:rsidR="089B3F23" w:rsidRPr="003D1E07">
        <w:t xml:space="preserve">mystický grál minulého a pre-existujícího Jednoho, a ne pozemskou realitu první substance. </w:t>
      </w:r>
      <w:r w:rsidR="08C63F34" w:rsidRPr="003D1E07">
        <w:t xml:space="preserve">Toto </w:t>
      </w:r>
      <w:r w:rsidR="08604518" w:rsidRPr="003D1E07">
        <w:t xml:space="preserve">objektivně založené </w:t>
      </w:r>
      <w:r w:rsidR="08C63F34" w:rsidRPr="003D1E07">
        <w:t xml:space="preserve">hledání </w:t>
      </w:r>
      <w:r w:rsidR="08C86282" w:rsidRPr="003D1E07">
        <w:t xml:space="preserve">neexistujícího mytopoetického grálu </w:t>
      </w:r>
      <w:r w:rsidR="08C63F34" w:rsidRPr="003D1E07">
        <w:t>dne</w:t>
      </w:r>
      <w:r w:rsidR="085E2884" w:rsidRPr="003D1E07">
        <w:t>s platíme z našich daní</w:t>
      </w:r>
      <w:r w:rsidR="004438BA" w:rsidRPr="003D1E07">
        <w:t xml:space="preserve">. To je vskutku múzická </w:t>
      </w:r>
      <w:r w:rsidR="08C63F34" w:rsidRPr="003D1E07">
        <w:t>spravedlnost</w:t>
      </w:r>
      <w:r w:rsidR="004438BA" w:rsidRPr="003D1E07">
        <w:t xml:space="preserve"> hodná</w:t>
      </w:r>
      <w:r w:rsidR="08604518" w:rsidRPr="003D1E07">
        <w:t xml:space="preserve"> božských sil Pravdy</w:t>
      </w:r>
      <w:r w:rsidR="001700A4" w:rsidRPr="003D1E07">
        <w:t xml:space="preserve"> a Klamu</w:t>
      </w:r>
      <w:r w:rsidR="08C63F34" w:rsidRPr="003D1E07">
        <w:t xml:space="preserve">. </w:t>
      </w:r>
      <w:r w:rsidR="08B132C5" w:rsidRPr="003D1E07">
        <w:t xml:space="preserve">Nadřazená obecná forma </w:t>
      </w:r>
      <w:r w:rsidR="08512F89" w:rsidRPr="003D1E07">
        <w:t xml:space="preserve">určuje </w:t>
      </w:r>
      <w:r w:rsidR="083766EF" w:rsidRPr="003D1E07">
        <w:t>bytí věci</w:t>
      </w:r>
      <w:r w:rsidR="08512F89" w:rsidRPr="003D1E07">
        <w:t xml:space="preserve"> tím, že dává </w:t>
      </w:r>
      <w:r w:rsidR="001F60BF" w:rsidRPr="003D1E07">
        <w:t xml:space="preserve">reálné </w:t>
      </w:r>
      <w:r w:rsidR="088960D2" w:rsidRPr="003D1E07">
        <w:t xml:space="preserve">první substanci </w:t>
      </w:r>
      <w:r w:rsidR="08A46E8A" w:rsidRPr="003D1E07">
        <w:t xml:space="preserve">metafyzický </w:t>
      </w:r>
      <w:r w:rsidR="08512F89" w:rsidRPr="003D1E07">
        <w:t xml:space="preserve">výměr definující jsoucno jako </w:t>
      </w:r>
      <w:r w:rsidR="080F37C4" w:rsidRPr="003D1E07">
        <w:t xml:space="preserve">dále nedělitelné </w:t>
      </w:r>
      <w:r w:rsidR="08512F89" w:rsidRPr="003D1E07">
        <w:t>„toto zde“</w:t>
      </w:r>
      <w:r w:rsidR="080F37C4" w:rsidRPr="003D1E07">
        <w:t xml:space="preserve"> v jeho posledním univerzálním určení (</w:t>
      </w:r>
      <w:r w:rsidR="080C61CC" w:rsidRPr="003D1E07">
        <w:t xml:space="preserve">ἄτομος, </w:t>
      </w:r>
      <w:r w:rsidR="080F37C4" w:rsidRPr="003D1E07">
        <w:rPr>
          <w:i/>
        </w:rPr>
        <w:t>individuum</w:t>
      </w:r>
      <w:r w:rsidR="080F37C4" w:rsidRPr="003D1E07">
        <w:t>).</w:t>
      </w:r>
      <w:r w:rsidR="0003214F" w:rsidRPr="003D1E07">
        <w:t xml:space="preserve"> Viz předešlou definici tohoto </w:t>
      </w:r>
      <w:r w:rsidR="080F37C4" w:rsidRPr="003D1E07">
        <w:t>individua ve formě  „</w:t>
      </w:r>
      <w:r w:rsidR="00C0593C" w:rsidRPr="003D1E07">
        <w:t>něčeho určeného</w:t>
      </w:r>
      <w:r w:rsidR="080F37C4" w:rsidRPr="003D1E07">
        <w:t>“ (τοιόνδε</w:t>
      </w:r>
      <w:r w:rsidR="00640BE5" w:rsidRPr="003D1E07">
        <w:fldChar w:fldCharType="begin"/>
      </w:r>
      <w:r w:rsidR="00640BE5" w:rsidRPr="003D1E07">
        <w:instrText xml:space="preserve"> XE "substance:τοιόνδε" </w:instrText>
      </w:r>
      <w:r w:rsidR="00640BE5" w:rsidRPr="003D1E07">
        <w:fldChar w:fldCharType="end"/>
      </w:r>
      <w:r w:rsidR="080F37C4" w:rsidRPr="003D1E07">
        <w:t xml:space="preserve">) </w:t>
      </w:r>
      <w:r w:rsidR="08B2752E" w:rsidRPr="003D1E07">
        <w:t xml:space="preserve">danou </w:t>
      </w:r>
      <w:r w:rsidR="080F37C4" w:rsidRPr="003D1E07">
        <w:t xml:space="preserve">v </w:t>
      </w:r>
      <w:r w:rsidR="00BB45B1" w:rsidRPr="003D1E07">
        <w:t>Porfyri</w:t>
      </w:r>
      <w:r w:rsidR="080F37C4" w:rsidRPr="003D1E07">
        <w:t xml:space="preserve">ově komentáři </w:t>
      </w:r>
      <w:r w:rsidR="080F37C4" w:rsidRPr="003D1E07">
        <w:rPr>
          <w:i/>
        </w:rPr>
        <w:t>Kategorií</w:t>
      </w:r>
      <w:r w:rsidR="08AF6B7D" w:rsidRPr="003D1E07">
        <w:t xml:space="preserve"> (kap. 1.3</w:t>
      </w:r>
      <w:r w:rsidR="00E1040F" w:rsidRPr="003D1E07">
        <w:t>)</w:t>
      </w:r>
      <w:r w:rsidR="080F37C4" w:rsidRPr="003D1E07">
        <w:t>.</w:t>
      </w:r>
      <w:r w:rsidR="083766EF" w:rsidRPr="003D1E07">
        <w:t xml:space="preserve"> </w:t>
      </w:r>
      <w:r w:rsidR="08B2752E" w:rsidRPr="003D1E07">
        <w:t>Impozice kategoriálního významu druhé substance byla</w:t>
      </w:r>
      <w:r w:rsidR="00762BD3" w:rsidRPr="003D1E07">
        <w:t xml:space="preserve"> </w:t>
      </w:r>
      <w:r w:rsidR="08651475" w:rsidRPr="003D1E07">
        <w:t xml:space="preserve">u Aristotela </w:t>
      </w:r>
      <w:r w:rsidR="08B2752E" w:rsidRPr="003D1E07">
        <w:t xml:space="preserve">určena </w:t>
      </w:r>
      <w:r w:rsidR="00762BD3" w:rsidRPr="003D1E07">
        <w:t xml:space="preserve">nasvícením zepředu od reálně existující věci. </w:t>
      </w:r>
      <w:r w:rsidR="008B12D2" w:rsidRPr="003D1E07">
        <w:t>Neoplatonsk</w:t>
      </w:r>
      <w:r w:rsidR="00762BD3" w:rsidRPr="003D1E07">
        <w:t xml:space="preserve">ý výklad substance nasvítil smysl jsoucna zezadu, od nedělitelně a autonomně existující univerzálie. </w:t>
      </w:r>
      <w:r w:rsidR="00117476" w:rsidRPr="003D1E07">
        <w:t>O</w:t>
      </w:r>
      <w:r w:rsidR="08403111" w:rsidRPr="003D1E07">
        <w:t xml:space="preserve">svícený </w:t>
      </w:r>
      <w:r w:rsidR="00751E60" w:rsidRPr="003D1E07">
        <w:t xml:space="preserve">filosof se </w:t>
      </w:r>
      <w:r w:rsidR="08403111" w:rsidRPr="003D1E07">
        <w:t xml:space="preserve">pohybuje ve sféře myšlení Jednoho. Proto se </w:t>
      </w:r>
      <w:r w:rsidR="00751E60" w:rsidRPr="003D1E07">
        <w:t xml:space="preserve">zabývá vyššími úkoly myšlení, než </w:t>
      </w:r>
      <w:r w:rsidR="08403111" w:rsidRPr="003D1E07">
        <w:t xml:space="preserve">přemýšlením o jednotě </w:t>
      </w:r>
      <w:r w:rsidR="00751E60" w:rsidRPr="003D1E07">
        <w:t>hylemorfických substancí</w:t>
      </w:r>
      <w:r w:rsidR="00217484">
        <w:t>,</w:t>
      </w:r>
      <w:r w:rsidR="08161306" w:rsidRPr="003D1E07">
        <w:t xml:space="preserve"> jako to dělají omezení aristotelikové</w:t>
      </w:r>
      <w:r w:rsidR="00640BE5" w:rsidRPr="003D1E07">
        <w:fldChar w:fldCharType="begin"/>
      </w:r>
      <w:r w:rsidR="00640BE5" w:rsidRPr="003D1E07">
        <w:instrText xml:space="preserve"> XE "substance:hylemorfická" </w:instrText>
      </w:r>
      <w:r w:rsidR="00640BE5" w:rsidRPr="003D1E07">
        <w:fldChar w:fldCharType="end"/>
      </w:r>
      <w:r w:rsidR="00751E60" w:rsidRPr="003D1E07">
        <w:t xml:space="preserve">. </w:t>
      </w:r>
      <w:r w:rsidR="009D7426" w:rsidRPr="003D1E07">
        <w:t xml:space="preserve">Všichni následovníci </w:t>
      </w:r>
      <w:r w:rsidR="00BB45B1" w:rsidRPr="003D1E07">
        <w:t>Porfyri</w:t>
      </w:r>
      <w:r w:rsidR="009D7426" w:rsidRPr="003D1E07">
        <w:t xml:space="preserve">a měli před očima </w:t>
      </w:r>
      <w:r w:rsidR="084D50AC" w:rsidRPr="003D1E07">
        <w:t xml:space="preserve">jeho úvodní poznámku v </w:t>
      </w:r>
      <w:r w:rsidR="084D50AC" w:rsidRPr="003D1E07">
        <w:rPr>
          <w:i/>
        </w:rPr>
        <w:t>Isagoge</w:t>
      </w:r>
      <w:r w:rsidR="009D7426" w:rsidRPr="003D1E07">
        <w:t xml:space="preserve">, že </w:t>
      </w:r>
      <w:r w:rsidR="002D41B6" w:rsidRPr="003D1E07">
        <w:t xml:space="preserve">tato kniha nebude pojednávat </w:t>
      </w:r>
      <w:r w:rsidR="009D7426" w:rsidRPr="003D1E07">
        <w:t xml:space="preserve">o subsistenci rodů a </w:t>
      </w:r>
      <w:r w:rsidR="00F214C5" w:rsidRPr="003D1E07">
        <w:t>species</w:t>
      </w:r>
      <w:r w:rsidR="009D7426" w:rsidRPr="003D1E07">
        <w:t>, protože tyto věci jsou velmi hluboké a pro začátečníky nevhodné (</w:t>
      </w:r>
      <w:r w:rsidR="009D7426" w:rsidRPr="003D1E07">
        <w:rPr>
          <w:i/>
        </w:rPr>
        <w:t>Isag</w:t>
      </w:r>
      <w:r w:rsidR="00C33C24" w:rsidRPr="003D1E07">
        <w:t xml:space="preserve">. </w:t>
      </w:r>
      <w:r w:rsidR="009D7426" w:rsidRPr="003D1E07">
        <w:t>1.10–14</w:t>
      </w:r>
      <w:r w:rsidR="00B33948" w:rsidRPr="003D1E07">
        <w:fldChar w:fldCharType="begin"/>
      </w:r>
      <w:r w:rsidR="00B33948" w:rsidRPr="003D1E07">
        <w:instrText xml:space="preserve"> XE "</w:instrText>
      </w:r>
      <w:r w:rsidR="08CE5A60" w:rsidRPr="003D1E07">
        <w:instrText>Porfyrius:</w:instrText>
      </w:r>
      <w:r w:rsidR="00B33948" w:rsidRPr="003D1E07">
        <w:rPr>
          <w:i/>
        </w:rPr>
        <w:instrText>Isag</w:instrText>
      </w:r>
      <w:r w:rsidR="00C33C24" w:rsidRPr="003D1E07">
        <w:instrText xml:space="preserve">. </w:instrText>
      </w:r>
      <w:r w:rsidR="00B33948" w:rsidRPr="003D1E07">
        <w:instrText xml:space="preserve">1.10–14" </w:instrText>
      </w:r>
      <w:r w:rsidR="00B33948" w:rsidRPr="003D1E07">
        <w:fldChar w:fldCharType="end"/>
      </w:r>
      <w:r w:rsidR="009D7426" w:rsidRPr="003D1E07">
        <w:t xml:space="preserve">). Další generace neoplatoniků proto chápaly </w:t>
      </w:r>
      <w:r w:rsidR="009D7426" w:rsidRPr="003D1E07">
        <w:rPr>
          <w:i/>
        </w:rPr>
        <w:t>Isagog</w:t>
      </w:r>
      <w:r w:rsidR="084D50AC" w:rsidRPr="003D1E07">
        <w:rPr>
          <w:i/>
        </w:rPr>
        <w:t>e</w:t>
      </w:r>
      <w:r w:rsidR="009D7426" w:rsidRPr="003D1E07">
        <w:t xml:space="preserve"> jako analýzu predikace významů vztažených pouze ke smyslově vnímaným jsoucnům. </w:t>
      </w:r>
      <w:r w:rsidR="087078B3" w:rsidRPr="003D1E07">
        <w:t xml:space="preserve">Věci v reálu přestaly existovat samy pro sebe a dostaly v prostředí neoplatonských iluminátů relativní charakter vztažený k univerzálně pojatému bytí jako nejvyššímu rodu. </w:t>
      </w:r>
      <w:r w:rsidR="080034F7" w:rsidRPr="003D1E07">
        <w:t xml:space="preserve">Hyparchicky založená </w:t>
      </w:r>
      <w:r w:rsidR="087078B3" w:rsidRPr="003D1E07">
        <w:t xml:space="preserve">predikace kategoriálního významu se změnila na </w:t>
      </w:r>
      <w:r w:rsidR="08561195" w:rsidRPr="003D1E07">
        <w:t>„</w:t>
      </w:r>
      <w:r w:rsidR="0078785D" w:rsidRPr="003D1E07">
        <w:t>prohyparchi</w:t>
      </w:r>
      <w:r w:rsidR="087078B3" w:rsidRPr="003D1E07">
        <w:t>ckou</w:t>
      </w:r>
      <w:r w:rsidR="08561195" w:rsidRPr="003D1E07">
        <w:t>“</w:t>
      </w:r>
      <w:r w:rsidR="080034F7" w:rsidRPr="003D1E07">
        <w:t xml:space="preserve"> mytopoetiku</w:t>
      </w:r>
      <w:r w:rsidR="087078B3" w:rsidRPr="003D1E07">
        <w:fldChar w:fldCharType="begin"/>
      </w:r>
      <w:r w:rsidR="087078B3" w:rsidRPr="003D1E07">
        <w:instrText xml:space="preserve"> XE "</w:instrText>
      </w:r>
      <w:r w:rsidR="00503C55" w:rsidRPr="003D1E07">
        <w:instrText>predikace:prohyparchická</w:instrText>
      </w:r>
      <w:r w:rsidR="087078B3" w:rsidRPr="003D1E07">
        <w:instrText xml:space="preserve">" </w:instrText>
      </w:r>
      <w:r w:rsidR="087078B3" w:rsidRPr="003D1E07">
        <w:fldChar w:fldCharType="end"/>
      </w:r>
      <w:r w:rsidR="087078B3" w:rsidRPr="003D1E07">
        <w:t xml:space="preserve">. </w:t>
      </w:r>
      <w:r w:rsidR="086C0571" w:rsidRPr="003D1E07">
        <w:t xml:space="preserve">Hyparchická donace </w:t>
      </w:r>
      <w:r w:rsidR="086C0571" w:rsidRPr="003D1E07">
        <w:fldChar w:fldCharType="begin"/>
      </w:r>
      <w:r w:rsidR="086C0571" w:rsidRPr="003D1E07">
        <w:instrText xml:space="preserve"> XE "</w:instrText>
      </w:r>
      <w:r w:rsidR="08B779FB" w:rsidRPr="003D1E07">
        <w:rPr>
          <w:i/>
        </w:rPr>
        <w:instrText>dativus metaphysi</w:instrText>
      </w:r>
      <w:r w:rsidR="086C0571" w:rsidRPr="003D1E07">
        <w:rPr>
          <w:i/>
        </w:rPr>
        <w:instrText>cus</w:instrText>
      </w:r>
      <w:r w:rsidR="086C0571" w:rsidRPr="003D1E07">
        <w:instrText xml:space="preserve">" </w:instrText>
      </w:r>
      <w:r w:rsidR="086C0571" w:rsidRPr="003D1E07">
        <w:fldChar w:fldCharType="end"/>
      </w:r>
      <w:r w:rsidR="086C0571" w:rsidRPr="003D1E07">
        <w:t xml:space="preserve"> </w:t>
      </w:r>
      <w:r w:rsidR="00D0052E">
        <w:t xml:space="preserve">daná skrze impozici </w:t>
      </w:r>
      <w:r w:rsidR="00AA7DED" w:rsidRPr="003D1E07">
        <w:t xml:space="preserve">v </w:t>
      </w:r>
      <w:r w:rsidR="086C0571" w:rsidRPr="003D1E07">
        <w:rPr>
          <w:i/>
        </w:rPr>
        <w:t>Kategorií</w:t>
      </w:r>
      <w:r w:rsidR="00AA7DED" w:rsidRPr="003D1E07">
        <w:rPr>
          <w:i/>
        </w:rPr>
        <w:t>ch</w:t>
      </w:r>
      <w:r w:rsidR="086C0571" w:rsidRPr="003D1E07">
        <w:t xml:space="preserve"> byla změněna na pro</w:t>
      </w:r>
      <w:r w:rsidR="001F7CD9" w:rsidRPr="003D1E07">
        <w:t>hyp</w:t>
      </w:r>
      <w:r w:rsidR="086C0571" w:rsidRPr="003D1E07">
        <w:t xml:space="preserve">archickou donaci </w:t>
      </w:r>
      <w:r w:rsidR="086C0571" w:rsidRPr="003D1E07">
        <w:rPr>
          <w:i/>
        </w:rPr>
        <w:t>Enneád</w:t>
      </w:r>
      <w:r w:rsidR="086C0571" w:rsidRPr="003D1E07">
        <w:t xml:space="preserve">. </w:t>
      </w:r>
      <w:r w:rsidR="009D7426" w:rsidRPr="003D1E07">
        <w:t xml:space="preserve">Za Aristotelem kodifikovanou kategoriální predikací začíná </w:t>
      </w:r>
      <w:r w:rsidR="00874074" w:rsidRPr="003D1E07">
        <w:t>neoplatonsk</w:t>
      </w:r>
      <w:r w:rsidR="009D7426" w:rsidRPr="003D1E07">
        <w:t>ý výklad su</w:t>
      </w:r>
      <w:r w:rsidR="084D50AC" w:rsidRPr="003D1E07">
        <w:t>bstance traktované v rámci Ploti</w:t>
      </w:r>
      <w:r w:rsidR="009D7426" w:rsidRPr="003D1E07">
        <w:t>nových rodů bytí (</w:t>
      </w:r>
      <w:r w:rsidR="009D7426" w:rsidRPr="003D1E07">
        <w:rPr>
          <w:rStyle w:val="st"/>
        </w:rPr>
        <w:t xml:space="preserve">περὶ τῶν </w:t>
      </w:r>
      <w:r w:rsidR="009D7426" w:rsidRPr="003D1E07">
        <w:rPr>
          <w:rStyle w:val="st"/>
          <w:bCs/>
        </w:rPr>
        <w:t>γενῶν τοῦ ὄντος</w:t>
      </w:r>
      <w:r w:rsidR="009D7426" w:rsidRPr="003D1E07">
        <w:t xml:space="preserve">, </w:t>
      </w:r>
      <w:r w:rsidR="009D7426" w:rsidRPr="003D1E07">
        <w:rPr>
          <w:i/>
        </w:rPr>
        <w:t>Enn</w:t>
      </w:r>
      <w:r w:rsidR="009D7426" w:rsidRPr="003D1E07">
        <w:t>. VI.1–3</w:t>
      </w:r>
      <w:r w:rsidR="00B33948" w:rsidRPr="003D1E07">
        <w:fldChar w:fldCharType="begin"/>
      </w:r>
      <w:r w:rsidR="00B33948" w:rsidRPr="003D1E07">
        <w:instrText xml:space="preserve"> XE "</w:instrText>
      </w:r>
      <w:r w:rsidR="08F72573" w:rsidRPr="003D1E07">
        <w:instrText>Plotinos</w:instrText>
      </w:r>
      <w:r w:rsidR="00B33948" w:rsidRPr="003D1E07">
        <w:instrText>:</w:instrText>
      </w:r>
      <w:r w:rsidR="00B33948" w:rsidRPr="003D1E07">
        <w:rPr>
          <w:i/>
        </w:rPr>
        <w:instrText>Enn</w:instrText>
      </w:r>
      <w:r w:rsidR="00976C0C" w:rsidRPr="003D1E07">
        <w:instrText>. 6</w:instrText>
      </w:r>
      <w:r w:rsidR="00B33948" w:rsidRPr="003D1E07">
        <w:instrText xml:space="preserve">.1–3" </w:instrText>
      </w:r>
      <w:r w:rsidR="00B33948" w:rsidRPr="003D1E07">
        <w:fldChar w:fldCharType="end"/>
      </w:r>
      <w:r w:rsidR="009D7426" w:rsidRPr="003D1E07">
        <w:t>). Os</w:t>
      </w:r>
      <w:r w:rsidR="089C48B2" w:rsidRPr="003D1E07">
        <w:t xml:space="preserve">vícení myslitelé </w:t>
      </w:r>
      <w:r w:rsidR="08122B9F" w:rsidRPr="003D1E07">
        <w:t xml:space="preserve">antiky </w:t>
      </w:r>
      <w:r w:rsidR="089C48B2" w:rsidRPr="003D1E07">
        <w:t>proto hledali plný, vyšší</w:t>
      </w:r>
      <w:r w:rsidR="009D7426" w:rsidRPr="003D1E07">
        <w:t xml:space="preserve"> či </w:t>
      </w:r>
      <w:r w:rsidR="089C48B2" w:rsidRPr="003D1E07">
        <w:t>hlubší</w:t>
      </w:r>
      <w:r w:rsidR="009D7426" w:rsidRPr="003D1E07">
        <w:t xml:space="preserve"> výklad substance</w:t>
      </w:r>
      <w:r w:rsidR="00A02C4E" w:rsidRPr="003D1E07">
        <w:t xml:space="preserve"> v </w:t>
      </w:r>
      <w:r w:rsidR="08663C38" w:rsidRPr="003D1E07">
        <w:t>„</w:t>
      </w:r>
      <w:r w:rsidR="0078785D" w:rsidRPr="003D1E07">
        <w:t>prohyparchi</w:t>
      </w:r>
      <w:r w:rsidR="00A02C4E" w:rsidRPr="003D1E07">
        <w:t>ckém</w:t>
      </w:r>
      <w:r w:rsidR="08663C38" w:rsidRPr="003D1E07">
        <w:t>“</w:t>
      </w:r>
      <w:r w:rsidR="00A02C4E" w:rsidRPr="003D1E07">
        <w:t xml:space="preserve"> scénáři</w:t>
      </w:r>
      <w:r w:rsidR="002340B3" w:rsidRPr="003D1E07">
        <w:t xml:space="preserve"> vztaženém k Jednomu</w:t>
      </w:r>
      <w:r w:rsidR="009D7426" w:rsidRPr="003D1E07">
        <w:t xml:space="preserve">. Jsoucno nazírané z hlediska skrytých tajemství filosofie a </w:t>
      </w:r>
      <w:r w:rsidR="009D7426" w:rsidRPr="003D1E07">
        <w:lastRenderedPageBreak/>
        <w:t xml:space="preserve">mystérií celého světa </w:t>
      </w:r>
      <w:r w:rsidR="007E01C5" w:rsidRPr="003D1E07">
        <w:t xml:space="preserve">se zjevuje </w:t>
      </w:r>
      <w:r w:rsidR="009D7426" w:rsidRPr="003D1E07">
        <w:t xml:space="preserve">v rámci nové </w:t>
      </w:r>
      <w:r w:rsidR="00832F9C" w:rsidRPr="003D1E07">
        <w:t xml:space="preserve">odkrytosti </w:t>
      </w:r>
      <w:r w:rsidR="00786135" w:rsidRPr="003D1E07">
        <w:t>bytí, kterou zkoumá filosofie pozdně antických iluminátů</w:t>
      </w:r>
      <w:r w:rsidR="00640BE5" w:rsidRPr="003D1E07">
        <w:fldChar w:fldCharType="begin"/>
      </w:r>
      <w:r w:rsidR="00640BE5" w:rsidRPr="003D1E07">
        <w:instrText xml:space="preserve"> XE "ilumináti" </w:instrText>
      </w:r>
      <w:r w:rsidR="00640BE5" w:rsidRPr="003D1E07">
        <w:fldChar w:fldCharType="end"/>
      </w:r>
      <w:r w:rsidR="009D7426" w:rsidRPr="003D1E07">
        <w:t>.</w:t>
      </w:r>
      <w:r w:rsidR="00A02C4E" w:rsidRPr="003D1E07">
        <w:t xml:space="preserve"> V tomto </w:t>
      </w:r>
      <w:r w:rsidR="08D863A1" w:rsidRPr="003D1E07">
        <w:t xml:space="preserve">mytopoetickém </w:t>
      </w:r>
      <w:r w:rsidR="00A02C4E" w:rsidRPr="003D1E07">
        <w:t xml:space="preserve">prostředí </w:t>
      </w:r>
      <w:r w:rsidR="08D863A1" w:rsidRPr="003D1E07">
        <w:t>organizovaném pohyněmi Pomsty</w:t>
      </w:r>
      <w:r w:rsidR="08FF1AD8" w:rsidRPr="003D1E07">
        <w:fldChar w:fldCharType="begin"/>
      </w:r>
      <w:r w:rsidR="08FF1AD8" w:rsidRPr="003D1E07">
        <w:instrText xml:space="preserve"> XE "</w:instrText>
      </w:r>
      <w:r w:rsidR="08926EF4" w:rsidRPr="003D1E07">
        <w:instrText>Erí</w:instrText>
      </w:r>
      <w:r w:rsidR="083B095D" w:rsidRPr="003D1E07">
        <w:instrText>n</w:instrText>
      </w:r>
      <w:r w:rsidR="08926EF4" w:rsidRPr="003D1E07">
        <w:instrText>y</w:instrText>
      </w:r>
      <w:r w:rsidR="08FF1AD8" w:rsidRPr="003D1E07">
        <w:instrText xml:space="preserve">e" </w:instrText>
      </w:r>
      <w:r w:rsidR="08FF1AD8" w:rsidRPr="003D1E07">
        <w:fldChar w:fldCharType="end"/>
      </w:r>
      <w:r w:rsidR="08D863A1" w:rsidRPr="003D1E07">
        <w:t xml:space="preserve"> </w:t>
      </w:r>
      <w:r w:rsidR="00A02C4E" w:rsidRPr="003D1E07">
        <w:t xml:space="preserve">vzniká první pojetí </w:t>
      </w:r>
      <w:r w:rsidR="00A41EF8" w:rsidRPr="003D1E07">
        <w:t xml:space="preserve">západní </w:t>
      </w:r>
      <w:r w:rsidR="00A02C4E" w:rsidRPr="003D1E07">
        <w:t>objektivity</w:t>
      </w:r>
      <w:r w:rsidR="08407BB4" w:rsidRPr="003D1E07">
        <w:t xml:space="preserve">. Metafyzická </w:t>
      </w:r>
      <w:r w:rsidR="08407BB4" w:rsidRPr="003D1E07">
        <w:rPr>
          <w:i/>
        </w:rPr>
        <w:t>hýbris</w:t>
      </w:r>
      <w:r w:rsidR="08407BB4" w:rsidRPr="003D1E07">
        <w:t xml:space="preserve"> neoplatonských iluminátů daná v prostředí mystérijního synkretismu </w:t>
      </w:r>
      <w:r w:rsidR="08D44BE4" w:rsidRPr="003D1E07">
        <w:t xml:space="preserve">pozdní antiky </w:t>
      </w:r>
      <w:r w:rsidR="08407BB4" w:rsidRPr="003D1E07">
        <w:t xml:space="preserve">začala produkovat první tragickou formu </w:t>
      </w:r>
      <w:r w:rsidR="08D7241A" w:rsidRPr="003D1E07">
        <w:t xml:space="preserve">metafyzické </w:t>
      </w:r>
      <w:r w:rsidR="004D28FC">
        <w:t xml:space="preserve">paranoie (μανία). Ta se </w:t>
      </w:r>
      <w:r w:rsidR="08407BB4" w:rsidRPr="003D1E07">
        <w:t>předáv</w:t>
      </w:r>
      <w:r w:rsidR="004D28FC">
        <w:t>á</w:t>
      </w:r>
      <w:r w:rsidR="08407BB4" w:rsidRPr="003D1E07">
        <w:t xml:space="preserve"> z jedné generace </w:t>
      </w:r>
      <w:r w:rsidR="004D28FC">
        <w:t xml:space="preserve">modernistů </w:t>
      </w:r>
      <w:r w:rsidR="08407BB4" w:rsidRPr="003D1E07">
        <w:t>na druhou (ἄτη)</w:t>
      </w:r>
      <w:r w:rsidR="087D121B" w:rsidRPr="003D1E07">
        <w:t xml:space="preserve"> </w:t>
      </w:r>
      <w:r w:rsidR="08970575" w:rsidRPr="003D1E07">
        <w:t xml:space="preserve">skrze </w:t>
      </w:r>
      <w:r w:rsidR="087D121B" w:rsidRPr="003D1E07">
        <w:t xml:space="preserve">formu </w:t>
      </w:r>
      <w:r w:rsidR="08471AC8" w:rsidRPr="003D1E07">
        <w:t>původního p</w:t>
      </w:r>
      <w:r w:rsidR="087D121B" w:rsidRPr="003D1E07">
        <w:t xml:space="preserve">ochybení </w:t>
      </w:r>
      <w:r w:rsidR="08D7241A" w:rsidRPr="003D1E07">
        <w:t xml:space="preserve">daného kategoriálně </w:t>
      </w:r>
      <w:r w:rsidR="087D121B" w:rsidRPr="003D1E07">
        <w:t>(</w:t>
      </w:r>
      <w:r w:rsidR="087D121B" w:rsidRPr="003D1E07">
        <w:rPr>
          <w:i/>
        </w:rPr>
        <w:t>peccatum originale</w:t>
      </w:r>
      <w:r w:rsidR="087D121B" w:rsidRPr="003D1E07">
        <w:t xml:space="preserve">). </w:t>
      </w:r>
      <w:r w:rsidR="08970575" w:rsidRPr="003D1E07">
        <w:t xml:space="preserve">Po vyhnání z aristotelského ráje kritického myšlení začala </w:t>
      </w:r>
      <w:r w:rsidR="08A91599" w:rsidRPr="003D1E07">
        <w:t xml:space="preserve">tragická </w:t>
      </w:r>
      <w:r w:rsidR="08970575" w:rsidRPr="003D1E07">
        <w:t xml:space="preserve">historie moderny. </w:t>
      </w:r>
      <w:r w:rsidR="08D863A1" w:rsidRPr="003D1E07">
        <w:t>N</w:t>
      </w:r>
      <w:r w:rsidR="00A41EF8" w:rsidRPr="003D1E07">
        <w:t xml:space="preserve">ástupci </w:t>
      </w:r>
      <w:r w:rsidR="00BB45B1" w:rsidRPr="003D1E07">
        <w:t>Porfyri</w:t>
      </w:r>
      <w:r w:rsidR="00A41EF8" w:rsidRPr="003D1E07">
        <w:t xml:space="preserve">a produkují první sérii jsoucen třetího druhu daných </w:t>
      </w:r>
      <w:r w:rsidR="08567AAC" w:rsidRPr="003D1E07">
        <w:t xml:space="preserve">v </w:t>
      </w:r>
      <w:r w:rsidR="00A41EF8" w:rsidRPr="003D1E07">
        <w:t>systému ontoteologické metafyziky</w:t>
      </w:r>
      <w:r w:rsidR="00A02C4E" w:rsidRPr="003D1E07">
        <w:t>.</w:t>
      </w:r>
    </w:p>
    <w:p w14:paraId="71826447" w14:textId="77777777" w:rsidR="00832E51" w:rsidRDefault="008D3253" w:rsidP="008D3253">
      <w:pPr>
        <w:rPr>
          <w:rStyle w:val="addmd"/>
        </w:rPr>
      </w:pPr>
      <w:r w:rsidRPr="003D1E07">
        <w:tab/>
        <w:t>Jamblichos</w:t>
      </w:r>
      <w:r w:rsidR="00640BE5" w:rsidRPr="003D1E07">
        <w:fldChar w:fldCharType="begin"/>
      </w:r>
      <w:r w:rsidR="00640BE5" w:rsidRPr="003D1E07">
        <w:instrText xml:space="preserve"> XE "Jamblichos</w:instrText>
      </w:r>
      <w:r w:rsidR="00185D59" w:rsidRPr="003D1E07">
        <w:instrText xml:space="preserve">,viz </w:instrText>
      </w:r>
      <w:r w:rsidR="00185D59" w:rsidRPr="003D1E07">
        <w:rPr>
          <w:i/>
        </w:rPr>
        <w:instrText>Index Locorum</w:instrText>
      </w:r>
      <w:r w:rsidR="00640BE5" w:rsidRPr="003D1E07">
        <w:instrText xml:space="preserve">" </w:instrText>
      </w:r>
      <w:r w:rsidR="00640BE5" w:rsidRPr="003D1E07">
        <w:fldChar w:fldCharType="end"/>
      </w:r>
      <w:r w:rsidR="087868A6" w:rsidRPr="003D1E07">
        <w:t xml:space="preserve"> z Chalkidy (asi †</w:t>
      </w:r>
      <w:r w:rsidRPr="003D1E07">
        <w:t xml:space="preserve">330) byl </w:t>
      </w:r>
      <w:r w:rsidR="00BB45B1" w:rsidRPr="003D1E07">
        <w:t>Porfyri</w:t>
      </w:r>
      <w:r w:rsidRPr="003D1E07">
        <w:t>ův ž</w:t>
      </w:r>
      <w:r w:rsidR="00310989" w:rsidRPr="003D1E07">
        <w:t>ák a také jeho rozhodný kritik</w:t>
      </w:r>
      <w:r w:rsidR="08FB0270" w:rsidRPr="003D1E07">
        <w:t xml:space="preserve">. </w:t>
      </w:r>
      <w:r w:rsidR="006B23EB">
        <w:t xml:space="preserve">Přesto </w:t>
      </w:r>
      <w:r w:rsidR="00310989" w:rsidRPr="003D1E07">
        <w:t xml:space="preserve">přebral </w:t>
      </w:r>
      <w:r w:rsidR="00BB45B1" w:rsidRPr="003D1E07">
        <w:t>Porfyri</w:t>
      </w:r>
      <w:r w:rsidR="006B23EB">
        <w:t>ův neoplatonismus a zásadně jej přepracoval na nové vidění světa.</w:t>
      </w:r>
      <w:r w:rsidR="00310989" w:rsidRPr="003D1E07">
        <w:t xml:space="preserve"> </w:t>
      </w:r>
      <w:r w:rsidR="00C2741B" w:rsidRPr="003D1E07">
        <w:t xml:space="preserve">Jamblichovo </w:t>
      </w:r>
      <w:r w:rsidRPr="003D1E07">
        <w:t>dílo stojí na začátku ontoteologie zakládající systém jsoucna třetího druhu, které konceptuálně kodifikují jeho následníci Dexippus</w:t>
      </w:r>
      <w:r w:rsidR="00372E82" w:rsidRPr="003D1E07">
        <w:fldChar w:fldCharType="begin"/>
      </w:r>
      <w:r w:rsidR="00372E82" w:rsidRPr="003D1E07">
        <w:instrText xml:space="preserve"> XE "Dexippus</w:instrText>
      </w:r>
      <w:r w:rsidR="00185D59" w:rsidRPr="003D1E07">
        <w:instrText xml:space="preserve">, viz </w:instrText>
      </w:r>
      <w:r w:rsidR="00185D59" w:rsidRPr="003D1E07">
        <w:rPr>
          <w:i/>
        </w:rPr>
        <w:instrText>Index Locorum</w:instrText>
      </w:r>
      <w:r w:rsidR="00372E82" w:rsidRPr="003D1E07">
        <w:instrText xml:space="preserve">" </w:instrText>
      </w:r>
      <w:r w:rsidR="00372E82" w:rsidRPr="003D1E07">
        <w:fldChar w:fldCharType="end"/>
      </w:r>
      <w:r w:rsidRPr="003D1E07">
        <w:t xml:space="preserve"> a Simplikius. Velkou část </w:t>
      </w:r>
      <w:r w:rsidR="00336F85" w:rsidRPr="003D1E07">
        <w:t xml:space="preserve">této </w:t>
      </w:r>
      <w:r w:rsidRPr="003D1E07">
        <w:t xml:space="preserve">ontoteologie převezme Avicenna, který je </w:t>
      </w:r>
      <w:r w:rsidR="08E51CD0" w:rsidRPr="003D1E07">
        <w:t xml:space="preserve">přímým </w:t>
      </w:r>
      <w:r w:rsidRPr="003D1E07">
        <w:t>zakladatele</w:t>
      </w:r>
      <w:r w:rsidR="00576C49" w:rsidRPr="003D1E07">
        <w:t>m západní objektivity</w:t>
      </w:r>
      <w:r w:rsidRPr="003D1E07">
        <w:t xml:space="preserve">. </w:t>
      </w:r>
      <w:r w:rsidR="08705241" w:rsidRPr="003D1E07">
        <w:t>Výše c</w:t>
      </w:r>
      <w:r w:rsidRPr="003D1E07">
        <w:t xml:space="preserve">itovaná exegeze Jamblicha </w:t>
      </w:r>
      <w:r w:rsidRPr="003D1E07">
        <w:rPr>
          <w:rStyle w:val="addmd"/>
        </w:rPr>
        <w:t>obsahuje klíčové prvky nově založené ontote</w:t>
      </w:r>
      <w:r w:rsidR="00922BF1" w:rsidRPr="003D1E07">
        <w:rPr>
          <w:rStyle w:val="addmd"/>
        </w:rPr>
        <w:t>o</w:t>
      </w:r>
      <w:r w:rsidRPr="003D1E07">
        <w:rPr>
          <w:rStyle w:val="addmd"/>
        </w:rPr>
        <w:t xml:space="preserve">logie </w:t>
      </w:r>
      <w:r w:rsidRPr="003D1E07">
        <w:t>(</w:t>
      </w:r>
      <w:r w:rsidRPr="003D1E07">
        <w:rPr>
          <w:rStyle w:val="addmd"/>
        </w:rPr>
        <w:t xml:space="preserve">Taormina 1999, 15–56). Autorka </w:t>
      </w:r>
      <w:r w:rsidR="00333B8C" w:rsidRPr="003D1E07">
        <w:rPr>
          <w:rStyle w:val="addmd"/>
        </w:rPr>
        <w:fldChar w:fldCharType="begin"/>
      </w:r>
      <w:r w:rsidR="00333B8C" w:rsidRPr="003D1E07">
        <w:instrText xml:space="preserve"> XE "Taormina, D. P." </w:instrText>
      </w:r>
      <w:r w:rsidR="00333B8C" w:rsidRPr="003D1E07">
        <w:rPr>
          <w:rStyle w:val="addmd"/>
        </w:rPr>
        <w:fldChar w:fldCharType="end"/>
      </w:r>
      <w:r w:rsidRPr="003D1E07">
        <w:rPr>
          <w:rStyle w:val="addmd"/>
        </w:rPr>
        <w:t>shrnuje Jamblichovu ontoteologii</w:t>
      </w:r>
      <w:r w:rsidR="00640BE5" w:rsidRPr="003D1E07">
        <w:rPr>
          <w:rStyle w:val="addmd"/>
        </w:rPr>
        <w:fldChar w:fldCharType="begin"/>
      </w:r>
      <w:r w:rsidR="00640BE5" w:rsidRPr="003D1E07">
        <w:instrText xml:space="preserve"> XE "</w:instrText>
      </w:r>
      <w:r w:rsidR="00640BE5" w:rsidRPr="003D1E07">
        <w:rPr>
          <w:rStyle w:val="addmd"/>
        </w:rPr>
        <w:instrText>ontoteologie:</w:instrText>
      </w:r>
      <w:r w:rsidR="00640BE5" w:rsidRPr="003D1E07">
        <w:instrText xml:space="preserve">Jamblichos" </w:instrText>
      </w:r>
      <w:r w:rsidR="00640BE5" w:rsidRPr="003D1E07">
        <w:rPr>
          <w:rStyle w:val="addmd"/>
        </w:rPr>
        <w:fldChar w:fldCharType="end"/>
      </w:r>
      <w:r w:rsidR="08890CCB" w:rsidRPr="003D1E07">
        <w:rPr>
          <w:rStyle w:val="addmd"/>
        </w:rPr>
        <w:t xml:space="preserve"> v termínu </w:t>
      </w:r>
      <w:r w:rsidR="087605DB" w:rsidRPr="003D1E07">
        <w:rPr>
          <w:rStyle w:val="addmd"/>
          <w:i/>
        </w:rPr>
        <w:t>méta-</w:t>
      </w:r>
      <w:r w:rsidRPr="003D1E07">
        <w:rPr>
          <w:rStyle w:val="addmd"/>
          <w:i/>
        </w:rPr>
        <w:t>ontologie</w:t>
      </w:r>
      <w:r w:rsidR="08A71D1A" w:rsidRPr="003D1E07">
        <w:rPr>
          <w:rStyle w:val="addmd"/>
          <w:i/>
        </w:rPr>
        <w:fldChar w:fldCharType="begin"/>
      </w:r>
      <w:r w:rsidR="08A71D1A" w:rsidRPr="003D1E07">
        <w:instrText xml:space="preserve"> XE "</w:instrText>
      </w:r>
      <w:r w:rsidR="08A71D1A" w:rsidRPr="003D1E07">
        <w:rPr>
          <w:rStyle w:val="addmd"/>
          <w:i/>
        </w:rPr>
        <w:instrText>méta</w:instrText>
      </w:r>
      <w:r w:rsidR="08A71D1A" w:rsidRPr="003D1E07">
        <w:rPr>
          <w:rStyle w:val="addmd"/>
          <w:i/>
        </w:rPr>
        <w:noBreakHyphen/>
        <w:instrText>ontologie</w:instrText>
      </w:r>
      <w:r w:rsidR="08A71D1A" w:rsidRPr="003D1E07">
        <w:instrText xml:space="preserve">" </w:instrText>
      </w:r>
      <w:r w:rsidR="08A71D1A" w:rsidRPr="003D1E07">
        <w:rPr>
          <w:rStyle w:val="addmd"/>
          <w:i/>
        </w:rPr>
        <w:fldChar w:fldCharType="end"/>
      </w:r>
      <w:r w:rsidRPr="003D1E07">
        <w:rPr>
          <w:rStyle w:val="addmd"/>
        </w:rPr>
        <w:t xml:space="preserve"> a předkládá její rozvrh.</w:t>
      </w:r>
      <w:r w:rsidR="08DE767C" w:rsidRPr="003D1E07">
        <w:rPr>
          <w:rStyle w:val="addmd"/>
        </w:rPr>
        <w:t xml:space="preserve"> </w:t>
      </w:r>
      <w:r w:rsidR="08DE767C" w:rsidRPr="003D1E07">
        <w:t>Hermeneutika objektivity oceňuje zejména zásadní otázku o možnosti onto</w:t>
      </w:r>
      <w:r w:rsidR="08A71D1A" w:rsidRPr="003D1E07">
        <w:t>teo</w:t>
      </w:r>
      <w:r w:rsidR="08DE767C" w:rsidRPr="003D1E07">
        <w:t>logie.</w:t>
      </w:r>
      <w:r w:rsidRPr="003D1E07">
        <w:rPr>
          <w:rStyle w:val="Znakapoznpodarou"/>
        </w:rPr>
        <w:footnoteReference w:id="54"/>
      </w:r>
      <w:r w:rsidRPr="003D1E07">
        <w:rPr>
          <w:rStyle w:val="addmd"/>
        </w:rPr>
        <w:t xml:space="preserve"> </w:t>
      </w:r>
      <w:r w:rsidR="00CE7F5D" w:rsidRPr="003D1E07">
        <w:rPr>
          <w:rStyle w:val="addmd"/>
        </w:rPr>
        <w:t>O</w:t>
      </w:r>
      <w:r w:rsidR="009B01EE" w:rsidRPr="003D1E07">
        <w:rPr>
          <w:rStyle w:val="addmd"/>
        </w:rPr>
        <w:t>nto</w:t>
      </w:r>
      <w:r w:rsidR="00CE7F5D" w:rsidRPr="003D1E07">
        <w:rPr>
          <w:rStyle w:val="addmd"/>
        </w:rPr>
        <w:t>teo</w:t>
      </w:r>
      <w:r w:rsidR="009B01EE" w:rsidRPr="003D1E07">
        <w:rPr>
          <w:rStyle w:val="addmd"/>
        </w:rPr>
        <w:t xml:space="preserve">logie </w:t>
      </w:r>
      <w:r w:rsidR="000C0BE2" w:rsidRPr="003D1E07">
        <w:rPr>
          <w:rStyle w:val="addmd"/>
        </w:rPr>
        <w:t xml:space="preserve">Jamblicha </w:t>
      </w:r>
      <w:r w:rsidR="009B01EE" w:rsidRPr="003D1E07">
        <w:rPr>
          <w:rStyle w:val="addmd"/>
        </w:rPr>
        <w:t>zakládá novou podo</w:t>
      </w:r>
      <w:r w:rsidR="08F955CC" w:rsidRPr="003D1E07">
        <w:rPr>
          <w:rStyle w:val="addmd"/>
        </w:rPr>
        <w:t xml:space="preserve">bu diakosmu známého z dialogu </w:t>
      </w:r>
      <w:r w:rsidR="08F955CC" w:rsidRPr="003D1E07">
        <w:rPr>
          <w:rStyle w:val="addmd"/>
          <w:i/>
        </w:rPr>
        <w:t>Ti</w:t>
      </w:r>
      <w:r w:rsidR="009B01EE" w:rsidRPr="003D1E07">
        <w:rPr>
          <w:rStyle w:val="addmd"/>
          <w:i/>
        </w:rPr>
        <w:t>maios</w:t>
      </w:r>
      <w:r w:rsidR="00372E82" w:rsidRPr="003D1E07">
        <w:rPr>
          <w:rStyle w:val="addmd"/>
        </w:rPr>
        <w:fldChar w:fldCharType="begin"/>
      </w:r>
      <w:r w:rsidR="00372E82" w:rsidRPr="003D1E07">
        <w:instrText xml:space="preserve"> XE "</w:instrText>
      </w:r>
      <w:r w:rsidR="081325FA" w:rsidRPr="003D1E07">
        <w:instrText xml:space="preserve">dialog </w:instrText>
      </w:r>
      <w:r w:rsidR="081325FA" w:rsidRPr="003D1E07">
        <w:rPr>
          <w:i/>
        </w:rPr>
        <w:instrText>Timaios</w:instrText>
      </w:r>
      <w:r w:rsidR="00372E82" w:rsidRPr="003D1E07">
        <w:instrText xml:space="preserve">" </w:instrText>
      </w:r>
      <w:r w:rsidR="00372E82" w:rsidRPr="003D1E07">
        <w:rPr>
          <w:rStyle w:val="addmd"/>
        </w:rPr>
        <w:fldChar w:fldCharType="end"/>
      </w:r>
      <w:r w:rsidR="009B01EE" w:rsidRPr="003D1E07">
        <w:rPr>
          <w:rStyle w:val="addmd"/>
        </w:rPr>
        <w:t xml:space="preserve">. </w:t>
      </w:r>
      <w:r w:rsidR="006D3551" w:rsidRPr="003D1E07">
        <w:rPr>
          <w:rStyle w:val="addmd"/>
        </w:rPr>
        <w:t>Základem emanací</w:t>
      </w:r>
      <w:r w:rsidR="009C628A" w:rsidRPr="003D1E07">
        <w:rPr>
          <w:rStyle w:val="addmd"/>
        </w:rPr>
        <w:fldChar w:fldCharType="begin"/>
      </w:r>
      <w:r w:rsidR="009C628A" w:rsidRPr="003D1E07">
        <w:instrText xml:space="preserve"> XE "</w:instrText>
      </w:r>
      <w:r w:rsidR="009C628A" w:rsidRPr="003D1E07">
        <w:rPr>
          <w:rStyle w:val="addmd"/>
        </w:rPr>
        <w:instrText>emanace</w:instrText>
      </w:r>
      <w:r w:rsidR="009C628A" w:rsidRPr="003D1E07">
        <w:instrText xml:space="preserve">" </w:instrText>
      </w:r>
      <w:r w:rsidR="009C628A" w:rsidRPr="003D1E07">
        <w:rPr>
          <w:rStyle w:val="addmd"/>
        </w:rPr>
        <w:fldChar w:fldCharType="end"/>
      </w:r>
      <w:r w:rsidR="006D3551" w:rsidRPr="003D1E07">
        <w:rPr>
          <w:rStyle w:val="addmd"/>
        </w:rPr>
        <w:t xml:space="preserve"> je oddělení nevýslovného </w:t>
      </w:r>
      <w:r w:rsidR="000444FA">
        <w:rPr>
          <w:rStyle w:val="addmd"/>
        </w:rPr>
        <w:t xml:space="preserve">božského </w:t>
      </w:r>
      <w:r w:rsidR="006D3551" w:rsidRPr="003D1E07">
        <w:rPr>
          <w:rStyle w:val="addmd"/>
        </w:rPr>
        <w:t>Jednoho (</w:t>
      </w:r>
      <w:r w:rsidR="006D3551" w:rsidRPr="003D1E07">
        <w:t>θεός εἵς</w:t>
      </w:r>
      <w:r w:rsidR="006D3551" w:rsidRPr="003D1E07">
        <w:rPr>
          <w:rStyle w:val="addmd"/>
        </w:rPr>
        <w:t>) mimo ontologickou sféru Jednoho Bytí (</w:t>
      </w:r>
      <w:r w:rsidR="006D3551" w:rsidRPr="003D1E07">
        <w:t>τὸ ἕν ὄν</w:t>
      </w:r>
      <w:r w:rsidR="006D3551" w:rsidRPr="003D1E07">
        <w:rPr>
          <w:rStyle w:val="addmd"/>
        </w:rPr>
        <w:t xml:space="preserve">). Toto zdvojení zakládá možnost plurality stejně jako u </w:t>
      </w:r>
      <w:r w:rsidR="00BB45B1" w:rsidRPr="003D1E07">
        <w:rPr>
          <w:rStyle w:val="addmd"/>
        </w:rPr>
        <w:t>Porfyri</w:t>
      </w:r>
      <w:r w:rsidR="006D3551" w:rsidRPr="003D1E07">
        <w:rPr>
          <w:rStyle w:val="addmd"/>
        </w:rPr>
        <w:t xml:space="preserve">a, ale tentokrát na gnostickém základě. </w:t>
      </w:r>
      <w:r w:rsidRPr="003D1E07">
        <w:rPr>
          <w:rStyle w:val="addmd"/>
        </w:rPr>
        <w:t>Jamblichos inicioval vznik demiurgického kosmu (</w:t>
      </w:r>
      <w:r w:rsidRPr="003D1E07">
        <w:t>διάκοσμος</w:t>
      </w:r>
      <w:r w:rsidR="00640BE5" w:rsidRPr="003D1E07">
        <w:fldChar w:fldCharType="begin"/>
      </w:r>
      <w:r w:rsidR="00640BE5" w:rsidRPr="003D1E07">
        <w:instrText xml:space="preserve"> XE "diakosmos" </w:instrText>
      </w:r>
      <w:r w:rsidR="00640BE5" w:rsidRPr="003D1E07">
        <w:fldChar w:fldCharType="end"/>
      </w:r>
      <w:r w:rsidRPr="003D1E07">
        <w:rPr>
          <w:rStyle w:val="addmd"/>
        </w:rPr>
        <w:t xml:space="preserve">) jako </w:t>
      </w:r>
      <w:r w:rsidR="08695E6D" w:rsidRPr="003D1E07">
        <w:rPr>
          <w:rStyle w:val="addmd"/>
        </w:rPr>
        <w:t>mystického mezi</w:t>
      </w:r>
      <w:r w:rsidRPr="003D1E07">
        <w:rPr>
          <w:rStyle w:val="addmd"/>
        </w:rPr>
        <w:t>čl</w:t>
      </w:r>
      <w:r w:rsidR="08695E6D" w:rsidRPr="003D1E07">
        <w:rPr>
          <w:rStyle w:val="addmd"/>
        </w:rPr>
        <w:t>ánku</w:t>
      </w:r>
      <w:r w:rsidRPr="003D1E07">
        <w:rPr>
          <w:rStyle w:val="addmd"/>
        </w:rPr>
        <w:t xml:space="preserve"> zprostředkujícího mezi Monádou a mezi světem nižších stvořených forem a kosmických duší. </w:t>
      </w:r>
      <w:r w:rsidR="08803FEA" w:rsidRPr="003D1E07">
        <w:rPr>
          <w:rStyle w:val="addmd"/>
        </w:rPr>
        <w:t xml:space="preserve">Platonova filosofická pohádka pro </w:t>
      </w:r>
      <w:r w:rsidR="001F5C34">
        <w:rPr>
          <w:rStyle w:val="addmd"/>
        </w:rPr>
        <w:t xml:space="preserve">moderní pedagogy </w:t>
      </w:r>
      <w:r w:rsidR="08803FEA" w:rsidRPr="003D1E07">
        <w:rPr>
          <w:rStyle w:val="addmd"/>
        </w:rPr>
        <w:t>se změnila na první verzi moderní metafyziky</w:t>
      </w:r>
      <w:r w:rsidR="089D7186" w:rsidRPr="003D1E07">
        <w:rPr>
          <w:rStyle w:val="addmd"/>
        </w:rPr>
        <w:t xml:space="preserve">. Výklad stvoření diakosmu </w:t>
      </w:r>
      <w:r w:rsidR="08055302" w:rsidRPr="003D1E07">
        <w:rPr>
          <w:rStyle w:val="addmd"/>
        </w:rPr>
        <w:t>je určen</w:t>
      </w:r>
      <w:r w:rsidR="08773604" w:rsidRPr="003D1E07">
        <w:rPr>
          <w:rStyle w:val="addmd"/>
        </w:rPr>
        <w:t xml:space="preserve"> pro nejvyšší vrstvu filosofických iluminátů</w:t>
      </w:r>
      <w:r w:rsidR="089D7186" w:rsidRPr="003D1E07">
        <w:rPr>
          <w:rStyle w:val="addmd"/>
        </w:rPr>
        <w:t xml:space="preserve"> schopných nahlédnout do boží </w:t>
      </w:r>
      <w:r w:rsidR="089363FA" w:rsidRPr="003D1E07">
        <w:rPr>
          <w:rStyle w:val="addmd"/>
        </w:rPr>
        <w:t>mysli</w:t>
      </w:r>
      <w:r w:rsidR="08803FEA" w:rsidRPr="003D1E07">
        <w:rPr>
          <w:rStyle w:val="addmd"/>
        </w:rPr>
        <w:t xml:space="preserve">. </w:t>
      </w:r>
      <w:r w:rsidR="00887078" w:rsidRPr="003D1E07">
        <w:rPr>
          <w:rStyle w:val="addmd"/>
        </w:rPr>
        <w:t xml:space="preserve">Jamblichos chápe práci </w:t>
      </w:r>
      <w:r w:rsidR="008E02F5" w:rsidRPr="003D1E07">
        <w:rPr>
          <w:rStyle w:val="addmd"/>
        </w:rPr>
        <w:t>Platon</w:t>
      </w:r>
      <w:r w:rsidR="00887078" w:rsidRPr="003D1E07">
        <w:rPr>
          <w:rStyle w:val="addmd"/>
        </w:rPr>
        <w:t>ova demiurga</w:t>
      </w:r>
      <w:r w:rsidR="00640BE5" w:rsidRPr="003D1E07">
        <w:rPr>
          <w:rStyle w:val="addmd"/>
        </w:rPr>
        <w:fldChar w:fldCharType="begin"/>
      </w:r>
      <w:r w:rsidR="00640BE5" w:rsidRPr="003D1E07">
        <w:instrText xml:space="preserve"> XE "</w:instrText>
      </w:r>
      <w:r w:rsidR="00640BE5" w:rsidRPr="003D1E07">
        <w:rPr>
          <w:rStyle w:val="addmd"/>
        </w:rPr>
        <w:instrText>demiurg</w:instrText>
      </w:r>
      <w:r w:rsidR="00640BE5" w:rsidRPr="003D1E07">
        <w:instrText xml:space="preserve">" </w:instrText>
      </w:r>
      <w:r w:rsidR="00640BE5" w:rsidRPr="003D1E07">
        <w:rPr>
          <w:rStyle w:val="addmd"/>
        </w:rPr>
        <w:fldChar w:fldCharType="end"/>
      </w:r>
      <w:r w:rsidR="0872331C" w:rsidRPr="003D1E07">
        <w:rPr>
          <w:rStyle w:val="addmd"/>
        </w:rPr>
        <w:t xml:space="preserve"> jako th</w:t>
      </w:r>
      <w:r w:rsidR="00887078" w:rsidRPr="003D1E07">
        <w:rPr>
          <w:rStyle w:val="addmd"/>
        </w:rPr>
        <w:t xml:space="preserve">eurgické tvoření v rámci božstev první triády, které participují na práci božského Intelektu. Triadická struktura prvního, druhého a třetího intelektu </w:t>
      </w:r>
      <w:r w:rsidR="009C628A" w:rsidRPr="003D1E07">
        <w:rPr>
          <w:rStyle w:val="addmd"/>
        </w:rPr>
        <w:fldChar w:fldCharType="begin"/>
      </w:r>
      <w:r w:rsidR="009C628A" w:rsidRPr="003D1E07">
        <w:instrText xml:space="preserve"> XE "intelekt:Jamblichos" </w:instrText>
      </w:r>
      <w:r w:rsidR="009C628A" w:rsidRPr="003D1E07">
        <w:rPr>
          <w:rStyle w:val="addmd"/>
        </w:rPr>
        <w:fldChar w:fldCharType="end"/>
      </w:r>
      <w:r w:rsidR="00887078" w:rsidRPr="003D1E07">
        <w:rPr>
          <w:rStyle w:val="addmd"/>
        </w:rPr>
        <w:t>je hierarchicky diferencována směrem dolů.</w:t>
      </w:r>
      <w:r w:rsidR="00887078" w:rsidRPr="003D1E07">
        <w:rPr>
          <w:rStyle w:val="Znakapoznpodarou"/>
        </w:rPr>
        <w:footnoteReference w:id="55"/>
      </w:r>
      <w:r w:rsidR="00887078" w:rsidRPr="003D1E07">
        <w:rPr>
          <w:rStyle w:val="addmd"/>
        </w:rPr>
        <w:t xml:space="preserve"> </w:t>
      </w:r>
      <w:r w:rsidR="00813F6C" w:rsidRPr="003D1E07">
        <w:rPr>
          <w:rStyle w:val="addmd"/>
        </w:rPr>
        <w:t xml:space="preserve">Predikace </w:t>
      </w:r>
      <w:r w:rsidR="00813F6C" w:rsidRPr="003D1E07">
        <w:rPr>
          <w:rStyle w:val="addmd"/>
        </w:rPr>
        <w:lastRenderedPageBreak/>
        <w:t>bytí vzhledem k ontoteologicky založenému jsoucnu je vedena jak horizontálně na úrovni druhově identických jsoucen, tak i vertikálně po celé linii emanací (</w:t>
      </w:r>
      <w:r w:rsidR="00813F6C" w:rsidRPr="003D1E07">
        <w:t>κατά τε πλάτος καὶ βάθος</w:t>
      </w:r>
      <w:r w:rsidR="0059477C" w:rsidRPr="003D1E07">
        <w:t>; Taormina</w:t>
      </w:r>
      <w:r w:rsidR="00F23F1A" w:rsidRPr="003D1E07">
        <w:t xml:space="preserve"> </w:t>
      </w:r>
      <w:r w:rsidR="00F23F1A" w:rsidRPr="003D1E07">
        <w:rPr>
          <w:rStyle w:val="addmd"/>
        </w:rPr>
        <w:t>1999</w:t>
      </w:r>
      <w:r w:rsidR="0059477C" w:rsidRPr="003D1E07">
        <w:t>,</w:t>
      </w:r>
      <w:r w:rsidR="00F23F1A" w:rsidRPr="003D1E07">
        <w:t xml:space="preserve"> </w:t>
      </w:r>
      <w:r w:rsidR="0059477C" w:rsidRPr="003D1E07">
        <w:t>43</w:t>
      </w:r>
      <w:r w:rsidR="00813F6C" w:rsidRPr="003D1E07">
        <w:rPr>
          <w:rStyle w:val="addmd"/>
        </w:rPr>
        <w:t xml:space="preserve">). </w:t>
      </w:r>
      <w:r w:rsidR="00887078" w:rsidRPr="003D1E07">
        <w:rPr>
          <w:rStyle w:val="addmd"/>
        </w:rPr>
        <w:t xml:space="preserve">Tato trinitární inteligibilní struktura demiurgického mezisvěta zakládá první známou formu objektivní ontoteologie a v nové </w:t>
      </w:r>
      <w:r w:rsidR="007040D1" w:rsidRPr="003D1E07">
        <w:rPr>
          <w:rStyle w:val="addmd"/>
        </w:rPr>
        <w:t xml:space="preserve">aristotelské </w:t>
      </w:r>
      <w:r w:rsidR="00887078" w:rsidRPr="003D1E07">
        <w:rPr>
          <w:rStyle w:val="addmd"/>
        </w:rPr>
        <w:t>podobě ji najdeme u bagdádského filosofa Ibn Ádího (kap. 2.2). Původní jednotu všech významů a dělení</w:t>
      </w:r>
      <w:r w:rsidR="002D76DB">
        <w:rPr>
          <w:rStyle w:val="addmd"/>
        </w:rPr>
        <w:t xml:space="preserve"> sekundárního bytí </w:t>
      </w:r>
      <w:r w:rsidR="00887078" w:rsidRPr="003D1E07">
        <w:rPr>
          <w:rStyle w:val="addmd"/>
        </w:rPr>
        <w:t xml:space="preserve"> zajišťuje </w:t>
      </w:r>
      <w:r w:rsidR="08773604" w:rsidRPr="003D1E07">
        <w:rPr>
          <w:rStyle w:val="addmd"/>
        </w:rPr>
        <w:t>p</w:t>
      </w:r>
      <w:r w:rsidR="008E02F5" w:rsidRPr="003D1E07">
        <w:rPr>
          <w:rStyle w:val="addmd"/>
        </w:rPr>
        <w:t>laton</w:t>
      </w:r>
      <w:r w:rsidR="00887078" w:rsidRPr="003D1E07">
        <w:rPr>
          <w:rStyle w:val="addmd"/>
        </w:rPr>
        <w:t>ský princip „Omezené‒Neomezené</w:t>
      </w:r>
      <w:r w:rsidR="00640BE5" w:rsidRPr="003D1E07">
        <w:rPr>
          <w:rStyle w:val="addmd"/>
        </w:rPr>
        <w:fldChar w:fldCharType="begin"/>
      </w:r>
      <w:r w:rsidR="00640BE5" w:rsidRPr="003D1E07">
        <w:instrText xml:space="preserve"> XE "</w:instrText>
      </w:r>
      <w:r w:rsidR="00640BE5" w:rsidRPr="003D1E07">
        <w:rPr>
          <w:rStyle w:val="addmd"/>
        </w:rPr>
        <w:instrText>Omezené‒Neomezené</w:instrText>
      </w:r>
      <w:r w:rsidR="00640BE5" w:rsidRPr="003D1E07">
        <w:instrText xml:space="preserve">" </w:instrText>
      </w:r>
      <w:r w:rsidR="00640BE5" w:rsidRPr="003D1E07">
        <w:rPr>
          <w:rStyle w:val="addmd"/>
        </w:rPr>
        <w:fldChar w:fldCharType="end"/>
      </w:r>
      <w:r w:rsidR="00887078" w:rsidRPr="003D1E07">
        <w:rPr>
          <w:rStyle w:val="addmd"/>
        </w:rPr>
        <w:t>“ (</w:t>
      </w:r>
      <w:r w:rsidR="00887078" w:rsidRPr="003D1E07">
        <w:t>πέρας καὶ ἄπειρον</w:t>
      </w:r>
      <w:r w:rsidR="00F23F1A" w:rsidRPr="003D1E07">
        <w:t xml:space="preserve">; ibid, p. </w:t>
      </w:r>
      <w:r w:rsidR="0059477C" w:rsidRPr="003D1E07">
        <w:t>46</w:t>
      </w:r>
      <w:r w:rsidR="00887078" w:rsidRPr="003D1E07">
        <w:rPr>
          <w:rStyle w:val="addmd"/>
        </w:rPr>
        <w:t>). Dvojice „Omezené‒Neomezené“ zajišťuje emanaci Totožného a Různého</w:t>
      </w:r>
      <w:r w:rsidR="008B0AE1">
        <w:rPr>
          <w:rStyle w:val="addmd"/>
        </w:rPr>
        <w:t xml:space="preserve"> z první sféry</w:t>
      </w:r>
      <w:r w:rsidR="00933AEB">
        <w:rPr>
          <w:rStyle w:val="addmd"/>
        </w:rPr>
        <w:t xml:space="preserve"> intelektu</w:t>
      </w:r>
      <w:r w:rsidR="00887078" w:rsidRPr="003D1E07">
        <w:rPr>
          <w:rStyle w:val="addmd"/>
        </w:rPr>
        <w:t xml:space="preserve">. Proto </w:t>
      </w:r>
      <w:r w:rsidR="00385B83">
        <w:rPr>
          <w:rStyle w:val="addmd"/>
        </w:rPr>
        <w:t xml:space="preserve">tento dvojí princip </w:t>
      </w:r>
      <w:r w:rsidR="00887078" w:rsidRPr="003D1E07">
        <w:rPr>
          <w:rStyle w:val="addmd"/>
        </w:rPr>
        <w:t>existuje jako prostředník mezi absolutně odděleným Jedním (</w:t>
      </w:r>
      <w:r w:rsidR="00887078" w:rsidRPr="003D1E07">
        <w:t>τὸ ἁπλῶς ἕν</w:t>
      </w:r>
      <w:r w:rsidR="00887078" w:rsidRPr="003D1E07">
        <w:rPr>
          <w:rStyle w:val="addmd"/>
        </w:rPr>
        <w:t>) a mezi Jedním Bytím (</w:t>
      </w:r>
      <w:r w:rsidR="00887078" w:rsidRPr="003D1E07">
        <w:t>τὸ ἕν ὄν</w:t>
      </w:r>
      <w:r w:rsidR="00887078" w:rsidRPr="003D1E07">
        <w:rPr>
          <w:rStyle w:val="addmd"/>
        </w:rPr>
        <w:t xml:space="preserve">). Princip vymezování a dělení v této první emanaci je výslovně vztažen k matematickému popisu světa. </w:t>
      </w:r>
      <w:r w:rsidR="08B64304" w:rsidRPr="003D1E07">
        <w:rPr>
          <w:rStyle w:val="addmd"/>
        </w:rPr>
        <w:t xml:space="preserve">Jamblichos chápe v souladu s Plotinem ontoteologickou stavbu </w:t>
      </w:r>
      <w:r w:rsidR="00872641" w:rsidRPr="003D1E07">
        <w:rPr>
          <w:rStyle w:val="addmd"/>
        </w:rPr>
        <w:t xml:space="preserve">metafyziky </w:t>
      </w:r>
      <w:r w:rsidR="08B64304" w:rsidRPr="003D1E07">
        <w:rPr>
          <w:rStyle w:val="addmd"/>
        </w:rPr>
        <w:t xml:space="preserve">podle analogické predikace (ibid, 49–50). </w:t>
      </w:r>
      <w:r w:rsidR="00887078" w:rsidRPr="003D1E07">
        <w:rPr>
          <w:rStyle w:val="addmd"/>
        </w:rPr>
        <w:t>Spojením ontoteologie, matematiky a stvořitelské práce demiurga</w:t>
      </w:r>
      <w:r w:rsidR="00640BE5" w:rsidRPr="003D1E07">
        <w:rPr>
          <w:rStyle w:val="addmd"/>
        </w:rPr>
        <w:fldChar w:fldCharType="begin"/>
      </w:r>
      <w:r w:rsidR="00640BE5" w:rsidRPr="003D1E07">
        <w:instrText xml:space="preserve"> XE "</w:instrText>
      </w:r>
      <w:r w:rsidR="00640BE5" w:rsidRPr="003D1E07">
        <w:rPr>
          <w:rStyle w:val="addmd"/>
        </w:rPr>
        <w:instrText>demiurg</w:instrText>
      </w:r>
      <w:r w:rsidR="00640BE5" w:rsidRPr="003D1E07">
        <w:instrText xml:space="preserve">" </w:instrText>
      </w:r>
      <w:r w:rsidR="00640BE5" w:rsidRPr="003D1E07">
        <w:rPr>
          <w:rStyle w:val="addmd"/>
        </w:rPr>
        <w:fldChar w:fldCharType="end"/>
      </w:r>
      <w:r w:rsidR="00887078" w:rsidRPr="003D1E07">
        <w:rPr>
          <w:rStyle w:val="addmd"/>
        </w:rPr>
        <w:t xml:space="preserve"> dostala analogie nový char</w:t>
      </w:r>
      <w:r w:rsidR="00CE290E">
        <w:rPr>
          <w:rStyle w:val="addmd"/>
        </w:rPr>
        <w:t>akter vztažený k jednotě neoplatonského Bytí</w:t>
      </w:r>
      <w:r w:rsidR="00887078" w:rsidRPr="003D1E07">
        <w:rPr>
          <w:rStyle w:val="addmd"/>
        </w:rPr>
        <w:t xml:space="preserve">. </w:t>
      </w:r>
      <w:r w:rsidR="089B6AA5" w:rsidRPr="003D1E07">
        <w:t>Nižší jsoucno si na omezené úrovni podržuje podobnost s vyšším jsoucnem tím, že nese část jeho henologických a mystických určení</w:t>
      </w:r>
      <w:r w:rsidR="089B6AA5" w:rsidRPr="003D1E07">
        <w:rPr>
          <w:rStyle w:val="addmd"/>
        </w:rPr>
        <w:fldChar w:fldCharType="begin"/>
      </w:r>
      <w:r w:rsidR="089B6AA5" w:rsidRPr="003D1E07">
        <w:instrText xml:space="preserve"> XE "</w:instrText>
      </w:r>
      <w:r w:rsidR="089B6AA5" w:rsidRPr="003D1E07">
        <w:rPr>
          <w:rStyle w:val="addmd"/>
        </w:rPr>
        <w:instrText>henologie</w:instrText>
      </w:r>
      <w:r w:rsidR="089B6AA5" w:rsidRPr="003D1E07">
        <w:instrText xml:space="preserve">" </w:instrText>
      </w:r>
      <w:r w:rsidR="089B6AA5" w:rsidRPr="003D1E07">
        <w:rPr>
          <w:rStyle w:val="addmd"/>
        </w:rPr>
        <w:fldChar w:fldCharType="end"/>
      </w:r>
      <w:r w:rsidR="089B6AA5" w:rsidRPr="003D1E07">
        <w:t>. To platí ze</w:t>
      </w:r>
      <w:r w:rsidR="08B10BE8" w:rsidRPr="003D1E07">
        <w:t xml:space="preserve">jména pro oblast </w:t>
      </w:r>
      <w:r w:rsidR="00522047">
        <w:t xml:space="preserve">noetického </w:t>
      </w:r>
      <w:r w:rsidR="08B10BE8" w:rsidRPr="003D1E07">
        <w:t>diakosmu, který</w:t>
      </w:r>
      <w:r w:rsidR="089B6AA5" w:rsidRPr="003D1E07">
        <w:t xml:space="preserve"> spojuje vyšší a nižší svět forem. </w:t>
      </w:r>
      <w:r w:rsidR="00BB45B1" w:rsidRPr="003D1E07">
        <w:rPr>
          <w:rStyle w:val="addmd"/>
        </w:rPr>
        <w:t>Porfyri</w:t>
      </w:r>
      <w:r w:rsidR="0056613A" w:rsidRPr="003D1E07">
        <w:rPr>
          <w:rStyle w:val="addmd"/>
        </w:rPr>
        <w:t>ovo zdvojené bytí</w:t>
      </w:r>
      <w:r w:rsidR="00B40981" w:rsidRPr="003D1E07">
        <w:rPr>
          <w:rStyle w:val="addmd"/>
        </w:rPr>
        <w:fldChar w:fldCharType="begin"/>
      </w:r>
      <w:r w:rsidR="00B40981" w:rsidRPr="003D1E07">
        <w:instrText xml:space="preserve"> XE "zdvojení bytí" </w:instrText>
      </w:r>
      <w:r w:rsidR="00B40981" w:rsidRPr="003D1E07">
        <w:rPr>
          <w:rStyle w:val="addmd"/>
        </w:rPr>
        <w:fldChar w:fldCharType="end"/>
      </w:r>
      <w:r w:rsidR="0056613A" w:rsidRPr="003D1E07">
        <w:rPr>
          <w:rStyle w:val="addmd"/>
        </w:rPr>
        <w:t xml:space="preserve"> Jednoho dostalo zavedením </w:t>
      </w:r>
      <w:r w:rsidR="084D040E" w:rsidRPr="003D1E07">
        <w:rPr>
          <w:rStyle w:val="addmd"/>
        </w:rPr>
        <w:t xml:space="preserve">Jamblichova </w:t>
      </w:r>
      <w:r w:rsidR="0056613A" w:rsidRPr="003D1E07">
        <w:rPr>
          <w:rStyle w:val="addmd"/>
        </w:rPr>
        <w:t>mezisvěta</w:t>
      </w:r>
      <w:r w:rsidR="00D70494" w:rsidRPr="003D1E07">
        <w:rPr>
          <w:rStyle w:val="addmd"/>
        </w:rPr>
        <w:fldChar w:fldCharType="begin"/>
      </w:r>
      <w:r w:rsidR="00D70494" w:rsidRPr="003D1E07">
        <w:instrText xml:space="preserve"> XE "</w:instrText>
      </w:r>
      <w:r w:rsidR="08CE63C5" w:rsidRPr="003D1E07">
        <w:instrText>diakosmos</w:instrText>
      </w:r>
      <w:r w:rsidR="00D70494" w:rsidRPr="003D1E07">
        <w:instrText xml:space="preserve">" </w:instrText>
      </w:r>
      <w:r w:rsidR="00D70494" w:rsidRPr="003D1E07">
        <w:rPr>
          <w:rStyle w:val="addmd"/>
        </w:rPr>
        <w:fldChar w:fldCharType="end"/>
      </w:r>
      <w:r w:rsidR="0056613A" w:rsidRPr="003D1E07">
        <w:rPr>
          <w:rStyle w:val="addmd"/>
        </w:rPr>
        <w:t xml:space="preserve"> </w:t>
      </w:r>
      <w:r w:rsidR="081E17FD" w:rsidRPr="003D1E07">
        <w:rPr>
          <w:rStyle w:val="addmd"/>
        </w:rPr>
        <w:t>onto</w:t>
      </w:r>
      <w:r w:rsidR="0853549B" w:rsidRPr="003D1E07">
        <w:rPr>
          <w:rStyle w:val="addmd"/>
        </w:rPr>
        <w:t>teologický charakter</w:t>
      </w:r>
      <w:r w:rsidR="00777743" w:rsidRPr="003D1E07">
        <w:rPr>
          <w:rStyle w:val="addmd"/>
        </w:rPr>
        <w:t xml:space="preserve">. Jeho pozdější verze vytvořená Avicennou založila </w:t>
      </w:r>
      <w:r w:rsidR="0056613A" w:rsidRPr="003D1E07">
        <w:rPr>
          <w:rStyle w:val="addmd"/>
        </w:rPr>
        <w:t>objektivitu</w:t>
      </w:r>
      <w:r w:rsidR="084D040E" w:rsidRPr="003D1E07">
        <w:rPr>
          <w:rStyle w:val="addmd"/>
        </w:rPr>
        <w:t xml:space="preserve"> v latinské scholastice</w:t>
      </w:r>
      <w:r w:rsidR="00832E51">
        <w:rPr>
          <w:rStyle w:val="addmd"/>
        </w:rPr>
        <w:t>.</w:t>
      </w:r>
    </w:p>
    <w:p w14:paraId="00A005A4" w14:textId="5D1C76F7" w:rsidR="008D3253" w:rsidRPr="003D1E07" w:rsidRDefault="004F724A" w:rsidP="00832E51">
      <w:pPr>
        <w:ind w:firstLine="397"/>
        <w:rPr>
          <w:rStyle w:val="addmd"/>
        </w:rPr>
      </w:pPr>
      <w:r w:rsidRPr="003D1E07">
        <w:rPr>
          <w:rStyle w:val="addmd"/>
        </w:rPr>
        <w:t xml:space="preserve">Tento </w:t>
      </w:r>
      <w:r w:rsidR="008D3253" w:rsidRPr="003D1E07">
        <w:rPr>
          <w:rStyle w:val="addmd"/>
        </w:rPr>
        <w:t xml:space="preserve">kosmologický mezistupeň dostane u Simplikia a jeho následovníků </w:t>
      </w:r>
      <w:r w:rsidR="080F345A" w:rsidRPr="003D1E07">
        <w:rPr>
          <w:rStyle w:val="addmd"/>
        </w:rPr>
        <w:t xml:space="preserve">objektivní </w:t>
      </w:r>
      <w:r w:rsidR="008D3253" w:rsidRPr="003D1E07">
        <w:rPr>
          <w:rStyle w:val="addmd"/>
        </w:rPr>
        <w:t>funkci</w:t>
      </w:r>
      <w:r w:rsidR="00282ECE">
        <w:rPr>
          <w:rStyle w:val="addmd"/>
        </w:rPr>
        <w:t xml:space="preserve"> v rámci nově utvořeného </w:t>
      </w:r>
      <w:r w:rsidR="00282ECE" w:rsidRPr="00282ECE">
        <w:rPr>
          <w:rStyle w:val="addmd"/>
          <w:i/>
        </w:rPr>
        <w:t>tertium ens</w:t>
      </w:r>
      <w:r w:rsidR="00282ECE">
        <w:rPr>
          <w:rStyle w:val="addmd"/>
        </w:rPr>
        <w:t>. Diakosmos vytvořený Jamblichovými nástupci integruje do neoplatonského syst</w:t>
      </w:r>
      <w:r w:rsidR="000217E3">
        <w:rPr>
          <w:rStyle w:val="addmd"/>
        </w:rPr>
        <w:t xml:space="preserve">ému také fyzikální určení kosmu dané v Aristotelově </w:t>
      </w:r>
      <w:r w:rsidR="000217E3" w:rsidRPr="000217E3">
        <w:rPr>
          <w:rStyle w:val="addmd"/>
          <w:i/>
        </w:rPr>
        <w:t>Fyzice</w:t>
      </w:r>
      <w:r w:rsidR="000217E3">
        <w:rPr>
          <w:rStyle w:val="addmd"/>
        </w:rPr>
        <w:t xml:space="preserve">. Fyzikální těleso se stalo novým </w:t>
      </w:r>
      <w:r w:rsidR="00282ECE">
        <w:rPr>
          <w:rStyle w:val="addmd"/>
        </w:rPr>
        <w:t xml:space="preserve">species </w:t>
      </w:r>
      <w:r w:rsidR="000217E3">
        <w:rPr>
          <w:rStyle w:val="addmd"/>
        </w:rPr>
        <w:t>na úrovni hyparchické první substance</w:t>
      </w:r>
      <w:r w:rsidR="00282ECE">
        <w:rPr>
          <w:rStyle w:val="addmd"/>
        </w:rPr>
        <w:t xml:space="preserve">. Tím došlo ke spojení neoplatonské ontoteologie s aristotelskými kosmologickými spisy </w:t>
      </w:r>
      <w:r w:rsidRPr="003D1E07">
        <w:rPr>
          <w:rStyle w:val="addmd"/>
          <w:i/>
        </w:rPr>
        <w:t>Fyzi</w:t>
      </w:r>
      <w:r w:rsidR="00282ECE">
        <w:rPr>
          <w:rStyle w:val="addmd"/>
          <w:i/>
        </w:rPr>
        <w:t>ka</w:t>
      </w:r>
      <w:r w:rsidR="00282ECE">
        <w:rPr>
          <w:rStyle w:val="addmd"/>
        </w:rPr>
        <w:t xml:space="preserve"> a </w:t>
      </w:r>
      <w:r w:rsidR="00282ECE" w:rsidRPr="00282ECE">
        <w:rPr>
          <w:rStyle w:val="addmd"/>
          <w:i/>
        </w:rPr>
        <w:t>De caelo</w:t>
      </w:r>
      <w:r w:rsidR="00282ECE">
        <w:rPr>
          <w:rStyle w:val="addmd"/>
        </w:rPr>
        <w:t xml:space="preserve">. </w:t>
      </w:r>
      <w:r w:rsidR="00426D8A" w:rsidRPr="003D1E07">
        <w:rPr>
          <w:rStyle w:val="addmd"/>
        </w:rPr>
        <w:t xml:space="preserve">V diakosmu určeném demiurgickou činností intelektu se fyzika </w:t>
      </w:r>
      <w:r w:rsidR="00777743" w:rsidRPr="003D1E07">
        <w:rPr>
          <w:rStyle w:val="addmd"/>
        </w:rPr>
        <w:t xml:space="preserve">aristotelského </w:t>
      </w:r>
      <w:r w:rsidR="00426D8A" w:rsidRPr="003D1E07">
        <w:rPr>
          <w:rStyle w:val="addmd"/>
        </w:rPr>
        <w:t>tělesa změnila na objektivní metafyziku</w:t>
      </w:r>
      <w:r w:rsidR="00777743" w:rsidRPr="003D1E07">
        <w:rPr>
          <w:rStyle w:val="addmd"/>
        </w:rPr>
        <w:t xml:space="preserve"> hypostází</w:t>
      </w:r>
      <w:r w:rsidR="00426D8A" w:rsidRPr="003D1E07">
        <w:rPr>
          <w:rStyle w:val="addmd"/>
        </w:rPr>
        <w:t xml:space="preserve">. </w:t>
      </w:r>
      <w:r w:rsidR="00301218" w:rsidRPr="003D1E07">
        <w:rPr>
          <w:rStyle w:val="addmd"/>
        </w:rPr>
        <w:t>T</w:t>
      </w:r>
      <w:r w:rsidR="08447086" w:rsidRPr="003D1E07">
        <w:rPr>
          <w:rStyle w:val="addmd"/>
        </w:rPr>
        <w:t>řetí svět</w:t>
      </w:r>
      <w:r w:rsidR="00F57240" w:rsidRPr="003D1E07">
        <w:rPr>
          <w:rStyle w:val="addmd"/>
        </w:rPr>
        <w:t xml:space="preserve"> </w:t>
      </w:r>
      <w:r w:rsidR="080F3488" w:rsidRPr="003D1E07">
        <w:rPr>
          <w:rStyle w:val="addmd"/>
        </w:rPr>
        <w:t xml:space="preserve">daný v dialogu </w:t>
      </w:r>
      <w:r w:rsidR="080F3488" w:rsidRPr="003D1E07">
        <w:rPr>
          <w:rStyle w:val="addmd"/>
          <w:i/>
        </w:rPr>
        <w:t>Timaios</w:t>
      </w:r>
      <w:r w:rsidR="080F3488" w:rsidRPr="003D1E07">
        <w:rPr>
          <w:rStyle w:val="addmd"/>
        </w:rPr>
        <w:t xml:space="preserve"> </w:t>
      </w:r>
      <w:r w:rsidR="00F57240" w:rsidRPr="003D1E07">
        <w:rPr>
          <w:rStyle w:val="addmd"/>
        </w:rPr>
        <w:t xml:space="preserve">mezi materiálními tělesy a nemateriálními kosmickými inteligencemi </w:t>
      </w:r>
      <w:r w:rsidR="00301218" w:rsidRPr="003D1E07">
        <w:rPr>
          <w:rStyle w:val="addmd"/>
        </w:rPr>
        <w:t xml:space="preserve">založil </w:t>
      </w:r>
      <w:r w:rsidR="00F57240" w:rsidRPr="003D1E07">
        <w:rPr>
          <w:rStyle w:val="addmd"/>
        </w:rPr>
        <w:t xml:space="preserve">první model objektivity. </w:t>
      </w:r>
      <w:r w:rsidR="080B2DB3" w:rsidRPr="003D1E07">
        <w:rPr>
          <w:rStyle w:val="addmd"/>
        </w:rPr>
        <w:t xml:space="preserve">Fyzikální významy tělesa, </w:t>
      </w:r>
      <w:r w:rsidR="003B1A27" w:rsidRPr="003D1E07">
        <w:rPr>
          <w:rStyle w:val="addmd"/>
        </w:rPr>
        <w:t>rozsažnost</w:t>
      </w:r>
      <w:r w:rsidR="08447086" w:rsidRPr="003D1E07">
        <w:rPr>
          <w:rStyle w:val="addmd"/>
        </w:rPr>
        <w:t xml:space="preserve">i, času a pohybu </w:t>
      </w:r>
      <w:r w:rsidR="003B1A27" w:rsidRPr="003D1E07">
        <w:rPr>
          <w:rStyle w:val="addmd"/>
        </w:rPr>
        <w:t xml:space="preserve">jsou </w:t>
      </w:r>
      <w:r w:rsidR="080B2DB3" w:rsidRPr="003D1E07">
        <w:rPr>
          <w:rStyle w:val="addmd"/>
        </w:rPr>
        <w:t xml:space="preserve">v </w:t>
      </w:r>
      <w:r w:rsidR="08447086" w:rsidRPr="003D1E07">
        <w:rPr>
          <w:rStyle w:val="addmd"/>
        </w:rPr>
        <w:t xml:space="preserve">diakosmu </w:t>
      </w:r>
      <w:r w:rsidR="080B2DB3" w:rsidRPr="003D1E07">
        <w:rPr>
          <w:rStyle w:val="addmd"/>
        </w:rPr>
        <w:t xml:space="preserve"> </w:t>
      </w:r>
      <w:r w:rsidR="08447086" w:rsidRPr="003D1E07">
        <w:rPr>
          <w:rStyle w:val="addmd"/>
        </w:rPr>
        <w:t xml:space="preserve">odděleny </w:t>
      </w:r>
      <w:r w:rsidR="008D3253" w:rsidRPr="003D1E07">
        <w:rPr>
          <w:rStyle w:val="addmd"/>
        </w:rPr>
        <w:t xml:space="preserve">od </w:t>
      </w:r>
      <w:r w:rsidR="003B1A27" w:rsidRPr="003D1E07">
        <w:rPr>
          <w:rStyle w:val="addmd"/>
        </w:rPr>
        <w:t>pohybu a změn hy</w:t>
      </w:r>
      <w:r w:rsidR="000217E3">
        <w:rPr>
          <w:rStyle w:val="addmd"/>
        </w:rPr>
        <w:t xml:space="preserve">parchické </w:t>
      </w:r>
      <w:r w:rsidR="00A858F4" w:rsidRPr="003D1E07">
        <w:rPr>
          <w:rStyle w:val="addmd"/>
        </w:rPr>
        <w:t xml:space="preserve">první </w:t>
      </w:r>
      <w:r w:rsidR="003B1A27" w:rsidRPr="003D1E07">
        <w:rPr>
          <w:rStyle w:val="addmd"/>
        </w:rPr>
        <w:t xml:space="preserve">substance. </w:t>
      </w:r>
      <w:r w:rsidR="00283D31" w:rsidRPr="003D1E07">
        <w:rPr>
          <w:rStyle w:val="addmd"/>
        </w:rPr>
        <w:t xml:space="preserve">Formální vlastnost substance jako nositele různých určení </w:t>
      </w:r>
      <w:r w:rsidR="00283D31" w:rsidRPr="003D1E07">
        <w:t>(</w:t>
      </w:r>
      <w:r w:rsidR="00283D31" w:rsidRPr="003D1E07">
        <w:rPr>
          <w:rStyle w:val="st"/>
        </w:rPr>
        <w:t>ὑποκείμενον</w:t>
      </w:r>
      <w:r w:rsidR="00283D31" w:rsidRPr="003D1E07">
        <w:rPr>
          <w:i/>
        </w:rPr>
        <w:t>, subiectum</w:t>
      </w:r>
      <w:r w:rsidR="004C27BA" w:rsidRPr="003D1E07">
        <w:rPr>
          <w:i/>
        </w:rPr>
        <w:fldChar w:fldCharType="begin"/>
      </w:r>
      <w:r w:rsidR="004C27BA" w:rsidRPr="003D1E07">
        <w:instrText xml:space="preserve"> XE "</w:instrText>
      </w:r>
      <w:r w:rsidR="004C27BA" w:rsidRPr="003D1E07">
        <w:rPr>
          <w:i/>
        </w:rPr>
        <w:instrText>subiectum:</w:instrText>
      </w:r>
      <w:r w:rsidR="004C27BA" w:rsidRPr="003D1E07">
        <w:instrText xml:space="preserve">třetího druhu" </w:instrText>
      </w:r>
      <w:r w:rsidR="004C27BA" w:rsidRPr="003D1E07">
        <w:rPr>
          <w:i/>
        </w:rPr>
        <w:fldChar w:fldCharType="end"/>
      </w:r>
      <w:r w:rsidR="00283D31" w:rsidRPr="003D1E07">
        <w:t xml:space="preserve">) daná v Aristotelově </w:t>
      </w:r>
      <w:r w:rsidR="00D50475">
        <w:t xml:space="preserve">fyzice a kosmologii </w:t>
      </w:r>
      <w:r w:rsidR="00283D31" w:rsidRPr="003D1E07">
        <w:t xml:space="preserve">se stala univerzální </w:t>
      </w:r>
      <w:r w:rsidR="00283D31" w:rsidRPr="003D1E07">
        <w:lastRenderedPageBreak/>
        <w:t xml:space="preserve">vlastností určující </w:t>
      </w:r>
      <w:r w:rsidR="00A858F4" w:rsidRPr="003D1E07">
        <w:t xml:space="preserve">nedělitelnou </w:t>
      </w:r>
      <w:r w:rsidR="00283D31" w:rsidRPr="003D1E07">
        <w:t>substanci</w:t>
      </w:r>
      <w:r w:rsidR="08447086" w:rsidRPr="003D1E07">
        <w:t>-</w:t>
      </w:r>
      <w:r w:rsidR="00F214C5" w:rsidRPr="003D1E07">
        <w:t>species</w:t>
      </w:r>
      <w:r w:rsidR="08705145" w:rsidRPr="003D1E07">
        <w:t xml:space="preserve">. Původní podoba tohoto jsoucna třetího druhu existuje </w:t>
      </w:r>
      <w:r w:rsidR="00A858F4" w:rsidRPr="003D1E07">
        <w:t xml:space="preserve">v </w:t>
      </w:r>
      <w:r w:rsidR="08705145" w:rsidRPr="003D1E07">
        <w:t xml:space="preserve">Jamblichově ideálním </w:t>
      </w:r>
      <w:r w:rsidR="00A858F4" w:rsidRPr="003D1E07">
        <w:t>diakosmu</w:t>
      </w:r>
      <w:r w:rsidR="00CB4800" w:rsidRPr="003D1E07">
        <w:rPr>
          <w:rStyle w:val="addmd"/>
        </w:rPr>
        <w:fldChar w:fldCharType="begin"/>
      </w:r>
      <w:r w:rsidR="00CB4800" w:rsidRPr="003D1E07">
        <w:instrText xml:space="preserve"> XE "</w:instrText>
      </w:r>
      <w:r w:rsidR="00CB4800" w:rsidRPr="003D1E07">
        <w:rPr>
          <w:rStyle w:val="addmd"/>
        </w:rPr>
        <w:instrText>substance:neoplatonismus</w:instrText>
      </w:r>
      <w:r w:rsidR="00CB4800" w:rsidRPr="003D1E07">
        <w:instrText xml:space="preserve">" </w:instrText>
      </w:r>
      <w:r w:rsidR="00CB4800" w:rsidRPr="003D1E07">
        <w:rPr>
          <w:rStyle w:val="addmd"/>
        </w:rPr>
        <w:fldChar w:fldCharType="end"/>
      </w:r>
      <w:r w:rsidR="00283D31" w:rsidRPr="003D1E07">
        <w:t xml:space="preserve">. </w:t>
      </w:r>
      <w:r w:rsidR="00283D31" w:rsidRPr="003D1E07">
        <w:rPr>
          <w:rStyle w:val="addmd"/>
        </w:rPr>
        <w:t>Podobnost demiurgického a matematicky určeného celku jsoucna s odděleným Jedním existuje</w:t>
      </w:r>
      <w:r w:rsidR="08854CF2" w:rsidRPr="003D1E07">
        <w:rPr>
          <w:rStyle w:val="addmd"/>
        </w:rPr>
        <w:t xml:space="preserve"> v rámci theurgie</w:t>
      </w:r>
      <w:r w:rsidR="00283D31" w:rsidRPr="003D1E07">
        <w:rPr>
          <w:rStyle w:val="addmd"/>
        </w:rPr>
        <w:t xml:space="preserve">, proto je </w:t>
      </w:r>
      <w:r w:rsidR="004B43EA" w:rsidRPr="003D1E07">
        <w:rPr>
          <w:rStyle w:val="addmd"/>
        </w:rPr>
        <w:t xml:space="preserve">v nové metafyzice </w:t>
      </w:r>
      <w:r w:rsidR="00283D31" w:rsidRPr="003D1E07">
        <w:rPr>
          <w:rStyle w:val="addmd"/>
        </w:rPr>
        <w:t>možná</w:t>
      </w:r>
      <w:r w:rsidR="00283D31" w:rsidRPr="003D1E07">
        <w:t xml:space="preserve"> </w:t>
      </w:r>
      <w:r w:rsidR="00283D31" w:rsidRPr="003D1E07">
        <w:rPr>
          <w:rStyle w:val="addmd"/>
        </w:rPr>
        <w:t>analogická predikace</w:t>
      </w:r>
      <w:r w:rsidR="08854CF2" w:rsidRPr="003D1E07">
        <w:rPr>
          <w:rStyle w:val="addmd"/>
        </w:rPr>
        <w:t xml:space="preserve"> jsoucna</w:t>
      </w:r>
      <w:r w:rsidR="00283D31" w:rsidRPr="003D1E07">
        <w:rPr>
          <w:rStyle w:val="addmd"/>
        </w:rPr>
        <w:t xml:space="preserve">. </w:t>
      </w:r>
      <w:r w:rsidR="085B669C" w:rsidRPr="003D1E07">
        <w:rPr>
          <w:rStyle w:val="addmd"/>
        </w:rPr>
        <w:t>Jamblich</w:t>
      </w:r>
      <w:r w:rsidR="08854CF2" w:rsidRPr="003D1E07">
        <w:rPr>
          <w:rStyle w:val="addmd"/>
        </w:rPr>
        <w:t xml:space="preserve">os </w:t>
      </w:r>
      <w:r w:rsidR="00283D31" w:rsidRPr="003D1E07">
        <w:rPr>
          <w:rStyle w:val="addmd"/>
        </w:rPr>
        <w:t>spoj</w:t>
      </w:r>
      <w:r w:rsidR="08854CF2" w:rsidRPr="003D1E07">
        <w:rPr>
          <w:rStyle w:val="addmd"/>
        </w:rPr>
        <w:t>il první a druhou substanci</w:t>
      </w:r>
      <w:r w:rsidR="00283D31" w:rsidRPr="003D1E07">
        <w:rPr>
          <w:rStyle w:val="addmd"/>
        </w:rPr>
        <w:t xml:space="preserve"> do jednoho </w:t>
      </w:r>
      <w:r w:rsidR="08854CF2" w:rsidRPr="003D1E07">
        <w:rPr>
          <w:rStyle w:val="addmd"/>
        </w:rPr>
        <w:t xml:space="preserve">mytopoetického </w:t>
      </w:r>
      <w:r w:rsidR="00283D31" w:rsidRPr="003D1E07">
        <w:rPr>
          <w:rStyle w:val="addmd"/>
        </w:rPr>
        <w:t xml:space="preserve">celku. Význam tohoto </w:t>
      </w:r>
      <w:r w:rsidR="00283D31" w:rsidRPr="003D1E07">
        <w:rPr>
          <w:rStyle w:val="addmd"/>
          <w:i/>
        </w:rPr>
        <w:t>tertium ens</w:t>
      </w:r>
      <w:r w:rsidR="003F16A5" w:rsidRPr="003D1E07">
        <w:rPr>
          <w:rStyle w:val="addmd"/>
          <w:i/>
        </w:rPr>
        <w:fldChar w:fldCharType="begin"/>
      </w:r>
      <w:r w:rsidR="003F16A5" w:rsidRPr="003D1E07">
        <w:instrText xml:space="preserve"> XE "</w:instrText>
      </w:r>
      <w:r w:rsidR="003F16A5" w:rsidRPr="003D1E07">
        <w:rPr>
          <w:rStyle w:val="Zvraznn"/>
        </w:rPr>
        <w:instrText>tertium ens</w:instrText>
      </w:r>
      <w:r w:rsidR="00CB4800" w:rsidRPr="003D1E07">
        <w:rPr>
          <w:rStyle w:val="Zvraznn"/>
          <w:i w:val="0"/>
        </w:rPr>
        <w:instrText>:analogická jednota</w:instrText>
      </w:r>
      <w:r w:rsidR="003F16A5" w:rsidRPr="003D1E07">
        <w:instrText xml:space="preserve">" </w:instrText>
      </w:r>
      <w:r w:rsidR="003F16A5" w:rsidRPr="003D1E07">
        <w:rPr>
          <w:rStyle w:val="addmd"/>
          <w:i/>
        </w:rPr>
        <w:fldChar w:fldCharType="end"/>
      </w:r>
      <w:r w:rsidR="00283D31" w:rsidRPr="003D1E07">
        <w:rPr>
          <w:rStyle w:val="addmd"/>
        </w:rPr>
        <w:t xml:space="preserve"> se kryje s univerzálním rozsahem analogické podobnosti bytí jsoucna a bytí Jednoho</w:t>
      </w:r>
      <w:r w:rsidR="08C31A76" w:rsidRPr="003D1E07">
        <w:rPr>
          <w:rStyle w:val="addmd"/>
        </w:rPr>
        <w:t xml:space="preserve"> vzniklé v ontoteologické stavbě metafyziky</w:t>
      </w:r>
      <w:r w:rsidR="00283D31" w:rsidRPr="003D1E07">
        <w:rPr>
          <w:rStyle w:val="addmd"/>
        </w:rPr>
        <w:t xml:space="preserve">. </w:t>
      </w:r>
      <w:r w:rsidR="002113AD" w:rsidRPr="003D1E07">
        <w:rPr>
          <w:rStyle w:val="addmd"/>
        </w:rPr>
        <w:t xml:space="preserve">Zavedením analogie do systému kategorií </w:t>
      </w:r>
      <w:r w:rsidR="083A39CF" w:rsidRPr="003D1E07">
        <w:rPr>
          <w:rStyle w:val="addmd"/>
        </w:rPr>
        <w:t xml:space="preserve">vznikla první verze </w:t>
      </w:r>
      <w:r w:rsidR="081E17FD" w:rsidRPr="003D1E07">
        <w:rPr>
          <w:rStyle w:val="addmd"/>
        </w:rPr>
        <w:t xml:space="preserve">scholastického termínu </w:t>
      </w:r>
      <w:r w:rsidR="002113AD" w:rsidRPr="003D1E07">
        <w:rPr>
          <w:rStyle w:val="addmd"/>
          <w:i/>
        </w:rPr>
        <w:t>analogia entis</w:t>
      </w:r>
      <w:r w:rsidR="002113AD" w:rsidRPr="003D1E07">
        <w:rPr>
          <w:rStyle w:val="addmd"/>
          <w:i/>
        </w:rPr>
        <w:fldChar w:fldCharType="begin"/>
      </w:r>
      <w:r w:rsidR="002113AD" w:rsidRPr="003D1E07">
        <w:instrText xml:space="preserve"> XE "</w:instrText>
      </w:r>
      <w:r w:rsidR="002113AD" w:rsidRPr="003D1E07">
        <w:rPr>
          <w:rStyle w:val="addmd"/>
          <w:i/>
        </w:rPr>
        <w:instrText>analogia entis</w:instrText>
      </w:r>
      <w:r w:rsidR="002113AD" w:rsidRPr="003D1E07">
        <w:instrText xml:space="preserve">" </w:instrText>
      </w:r>
      <w:r w:rsidR="002113AD" w:rsidRPr="003D1E07">
        <w:rPr>
          <w:rStyle w:val="addmd"/>
          <w:i/>
        </w:rPr>
        <w:fldChar w:fldCharType="end"/>
      </w:r>
      <w:r w:rsidR="002113AD" w:rsidRPr="003D1E07">
        <w:rPr>
          <w:rStyle w:val="addmd"/>
        </w:rPr>
        <w:t xml:space="preserve">. </w:t>
      </w:r>
      <w:r w:rsidR="086E5CB0" w:rsidRPr="003D1E07">
        <w:t>P</w:t>
      </w:r>
      <w:r w:rsidR="086E5CB0" w:rsidRPr="003D1E07">
        <w:rPr>
          <w:rStyle w:val="addmd"/>
        </w:rPr>
        <w:t>redikace analogie</w:t>
      </w:r>
      <w:r w:rsidR="086E5CB0" w:rsidRPr="003D1E07">
        <w:rPr>
          <w:rStyle w:val="addmd"/>
        </w:rPr>
        <w:fldChar w:fldCharType="begin"/>
      </w:r>
      <w:r w:rsidR="086E5CB0" w:rsidRPr="003D1E07">
        <w:instrText xml:space="preserve"> XE "</w:instrText>
      </w:r>
      <w:r w:rsidR="086E5CB0" w:rsidRPr="003D1E07">
        <w:rPr>
          <w:rStyle w:val="addmd"/>
        </w:rPr>
        <w:instrText>analogie:</w:instrText>
      </w:r>
      <w:r w:rsidR="0879248B" w:rsidRPr="003D1E07">
        <w:rPr>
          <w:rStyle w:val="addmd"/>
        </w:rPr>
        <w:instrText>Jamblichos</w:instrText>
      </w:r>
      <w:r w:rsidR="086E5CB0" w:rsidRPr="003D1E07">
        <w:instrText xml:space="preserve">" </w:instrText>
      </w:r>
      <w:r w:rsidR="086E5CB0" w:rsidRPr="003D1E07">
        <w:rPr>
          <w:rStyle w:val="addmd"/>
        </w:rPr>
        <w:fldChar w:fldCharType="end"/>
      </w:r>
      <w:r w:rsidR="086E5CB0" w:rsidRPr="003D1E07">
        <w:rPr>
          <w:rStyle w:val="addmd"/>
        </w:rPr>
        <w:t xml:space="preserve"> je míněna také v aristotelském významu, nikoliv pouze v analogii Plotinových vyšších a nižších rodů bytí. Ale aristotelské pojetí analogie platí pouze méně osvícené duše, které nemají na to, aby poznaly mystickou jednotu světa v přímém náhledu. Aristotelova </w:t>
      </w:r>
      <w:r w:rsidR="086E5CB0" w:rsidRPr="003D1E07">
        <w:rPr>
          <w:i/>
          <w:lang w:eastAsia="en-US"/>
        </w:rPr>
        <w:t>Etika Nikomachova</w:t>
      </w:r>
      <w:r w:rsidR="086E5CB0" w:rsidRPr="003D1E07">
        <w:rPr>
          <w:lang w:eastAsia="en-US"/>
        </w:rPr>
        <w:t xml:space="preserve"> považuje analogii za náhodně danou shodu v rámci  homonymie (</w:t>
      </w:r>
      <w:r w:rsidR="086E5CB0" w:rsidRPr="003D1E07">
        <w:t xml:space="preserve">ἀπὸ τύχης ὁμωνύμοις... κατ' ἀναλογίαν, </w:t>
      </w:r>
      <w:r w:rsidR="086E5CB0" w:rsidRPr="003D1E07">
        <w:rPr>
          <w:lang w:eastAsia="en-US"/>
        </w:rPr>
        <w:t>E.N. 1096b27–28</w:t>
      </w:r>
      <w:r w:rsidR="086E5CB0" w:rsidRPr="003D1E07">
        <w:rPr>
          <w:lang w:eastAsia="en-US"/>
        </w:rPr>
        <w:fldChar w:fldCharType="begin"/>
      </w:r>
      <w:r w:rsidR="086E5CB0" w:rsidRPr="003D1E07">
        <w:instrText xml:space="preserve"> XE "Aristoteles:</w:instrText>
      </w:r>
      <w:r w:rsidR="086E5CB0" w:rsidRPr="003D1E07">
        <w:rPr>
          <w:lang w:eastAsia="en-US"/>
        </w:rPr>
        <w:instrText>E.N. 1096b27–28</w:instrText>
      </w:r>
      <w:r w:rsidR="086E5CB0" w:rsidRPr="003D1E07">
        <w:instrText xml:space="preserve">" </w:instrText>
      </w:r>
      <w:r w:rsidR="086E5CB0" w:rsidRPr="003D1E07">
        <w:rPr>
          <w:lang w:eastAsia="en-US"/>
        </w:rPr>
        <w:fldChar w:fldCharType="end"/>
      </w:r>
      <w:r w:rsidR="086E5CB0" w:rsidRPr="003D1E07">
        <w:rPr>
          <w:lang w:eastAsia="en-US"/>
        </w:rPr>
        <w:t xml:space="preserve">). Shoda sice existuje vzhledem k substanci („zdravý člověk“), ale určení podobnosti vzniká pouze v mysli poznávajícího („zdravá strava“). Do této homonymické analogie je možné zavést predikaci </w:t>
      </w:r>
      <w:r w:rsidR="086E5CB0" w:rsidRPr="003D1E07">
        <w:rPr>
          <w:i/>
          <w:lang w:eastAsia="en-US"/>
        </w:rPr>
        <w:t>per prius</w:t>
      </w:r>
      <w:r w:rsidR="086E5CB0" w:rsidRPr="003D1E07">
        <w:rPr>
          <w:lang w:eastAsia="en-US"/>
        </w:rPr>
        <w:t>, ale tato jednota je vytvořena pouze v mysli poznávajícího na úrovni pot</w:t>
      </w:r>
      <w:r w:rsidR="00992668">
        <w:rPr>
          <w:lang w:eastAsia="en-US"/>
        </w:rPr>
        <w:t>enciality a není dána aktuální kauzalitou substancí daných</w:t>
      </w:r>
      <w:r w:rsidR="086E5CB0" w:rsidRPr="003D1E07">
        <w:rPr>
          <w:lang w:eastAsia="en-US"/>
        </w:rPr>
        <w:t xml:space="preserve"> v realitě. Tím se plurivocita analogie liší od univoční predikace dané </w:t>
      </w:r>
      <w:r w:rsidR="00097C13">
        <w:rPr>
          <w:lang w:eastAsia="en-US"/>
        </w:rPr>
        <w:t xml:space="preserve">nejprve impozicí a pak supozicí </w:t>
      </w:r>
      <w:r w:rsidR="086E5CB0" w:rsidRPr="003D1E07">
        <w:rPr>
          <w:lang w:eastAsia="en-US"/>
        </w:rPr>
        <w:t>v kategoriální výpovědi. Gnostický Jamblichos ví, že všechno souvisí s pro</w:t>
      </w:r>
      <w:r w:rsidR="001F7CD9" w:rsidRPr="003D1E07">
        <w:rPr>
          <w:lang w:eastAsia="en-US"/>
        </w:rPr>
        <w:t>hyp</w:t>
      </w:r>
      <w:r w:rsidR="086E5CB0" w:rsidRPr="003D1E07">
        <w:rPr>
          <w:lang w:eastAsia="en-US"/>
        </w:rPr>
        <w:t>archicky daným bytím Jednoho</w:t>
      </w:r>
      <w:r w:rsidR="086E5CB0" w:rsidRPr="003D1E07">
        <w:rPr>
          <w:lang w:eastAsia="en-US"/>
        </w:rPr>
        <w:fldChar w:fldCharType="begin"/>
      </w:r>
      <w:r w:rsidR="086E5CB0" w:rsidRPr="003D1E07">
        <w:instrText xml:space="preserve"> XE "</w:instrText>
      </w:r>
      <w:r w:rsidR="00503C55" w:rsidRPr="003D1E07">
        <w:instrText>predikace:prohyparchická</w:instrText>
      </w:r>
      <w:r w:rsidR="086E5CB0" w:rsidRPr="003D1E07">
        <w:instrText xml:space="preserve">" </w:instrText>
      </w:r>
      <w:r w:rsidR="086E5CB0" w:rsidRPr="003D1E07">
        <w:rPr>
          <w:lang w:eastAsia="en-US"/>
        </w:rPr>
        <w:fldChar w:fldCharType="end"/>
      </w:r>
      <w:r w:rsidR="086E5CB0" w:rsidRPr="003D1E07">
        <w:rPr>
          <w:lang w:eastAsia="en-US"/>
        </w:rPr>
        <w:t xml:space="preserve">. Proto zrušil aristotelské omezení analogie a </w:t>
      </w:r>
      <w:r w:rsidR="086E5CB0" w:rsidRPr="003D1E07">
        <w:rPr>
          <w:rStyle w:val="addmd"/>
        </w:rPr>
        <w:t xml:space="preserve">vyložil  </w:t>
      </w:r>
      <w:r w:rsidR="086E5CB0" w:rsidRPr="003D1E07">
        <w:rPr>
          <w:lang w:eastAsia="en-US"/>
        </w:rPr>
        <w:t>k</w:t>
      </w:r>
      <w:r w:rsidR="086E5CB0" w:rsidRPr="003D1E07">
        <w:rPr>
          <w:rStyle w:val="addmd"/>
        </w:rPr>
        <w:t>ategoriální predikaci podle mytopoetické tradice neoplatonismu</w:t>
      </w:r>
      <w:r w:rsidR="086E5CB0" w:rsidRPr="003D1E07">
        <w:rPr>
          <w:rStyle w:val="addmd"/>
        </w:rPr>
        <w:fldChar w:fldCharType="begin"/>
      </w:r>
      <w:r w:rsidR="086E5CB0" w:rsidRPr="003D1E07">
        <w:instrText xml:space="preserve"> XE "</w:instrText>
      </w:r>
      <w:r w:rsidR="086E5CB0" w:rsidRPr="003D1E07">
        <w:rPr>
          <w:rStyle w:val="addmd"/>
        </w:rPr>
        <w:instrText>analogie:</w:instrText>
      </w:r>
      <w:r w:rsidR="086E5CB0" w:rsidRPr="003D1E07">
        <w:instrText xml:space="preserve">Jamblichos" </w:instrText>
      </w:r>
      <w:r w:rsidR="086E5CB0" w:rsidRPr="003D1E07">
        <w:rPr>
          <w:rStyle w:val="addmd"/>
        </w:rPr>
        <w:fldChar w:fldCharType="end"/>
      </w:r>
      <w:r w:rsidR="086E5CB0" w:rsidRPr="003D1E07">
        <w:rPr>
          <w:rStyle w:val="addmd"/>
        </w:rPr>
        <w:t xml:space="preserve">. </w:t>
      </w:r>
      <w:r w:rsidR="008C58AA" w:rsidRPr="003D1E07">
        <w:t xml:space="preserve">V Jamblichově prvním diakosmu je dyáda současně monádou, klid je pohybem a totožné je různé. Tato rovina smyslu bytí v sobě obsahuje všechna bytostná určení zatím nerozvinutého celku jsoucna, ale jinak než u výše citovaného </w:t>
      </w:r>
      <w:r w:rsidR="00BB45B1" w:rsidRPr="003D1E07">
        <w:t>Porfyri</w:t>
      </w:r>
      <w:r w:rsidR="008C58AA" w:rsidRPr="003D1E07">
        <w:t>o</w:t>
      </w:r>
      <w:r w:rsidR="088C12AE" w:rsidRPr="003D1E07">
        <w:t xml:space="preserve">va komentáře k dialogu </w:t>
      </w:r>
      <w:r w:rsidR="088C12AE" w:rsidRPr="003D1E07">
        <w:rPr>
          <w:i/>
        </w:rPr>
        <w:t>Parmenide</w:t>
      </w:r>
      <w:r w:rsidR="008C58AA" w:rsidRPr="003D1E07">
        <w:rPr>
          <w:i/>
        </w:rPr>
        <w:t>s</w:t>
      </w:r>
      <w:r w:rsidR="008C58AA" w:rsidRPr="003D1E07">
        <w:t xml:space="preserve">. </w:t>
      </w:r>
      <w:r w:rsidR="008D3253" w:rsidRPr="003D1E07">
        <w:rPr>
          <w:rStyle w:val="addmd"/>
        </w:rPr>
        <w:t>Božský muž (</w:t>
      </w:r>
      <w:r w:rsidR="008D3253" w:rsidRPr="003D1E07">
        <w:t>ὁ θεῖος Ἰάμβλιχος</w:t>
      </w:r>
      <w:r w:rsidR="008D3253" w:rsidRPr="003D1E07">
        <w:rPr>
          <w:rStyle w:val="addmd"/>
        </w:rPr>
        <w:t>), jak jej nazývá Simplikius, se suverénně staví na začátek stvoření, kde vě</w:t>
      </w:r>
      <w:r w:rsidR="00F840FB">
        <w:rPr>
          <w:rStyle w:val="addmd"/>
        </w:rPr>
        <w:t>ci současně jsou a nejsou. Tato božská</w:t>
      </w:r>
      <w:r w:rsidR="008D3253" w:rsidRPr="003D1E07">
        <w:rPr>
          <w:rStyle w:val="addmd"/>
        </w:rPr>
        <w:t xml:space="preserve"> pozic</w:t>
      </w:r>
      <w:r w:rsidR="00F840FB">
        <w:rPr>
          <w:rStyle w:val="addmd"/>
        </w:rPr>
        <w:t xml:space="preserve">e zakládá ontologickou dráhu předchůdného </w:t>
      </w:r>
      <w:r w:rsidR="08750498" w:rsidRPr="003D1E07">
        <w:rPr>
          <w:rStyle w:val="addmd"/>
        </w:rPr>
        <w:t xml:space="preserve">náhledu </w:t>
      </w:r>
      <w:r w:rsidR="00F840FB">
        <w:rPr>
          <w:rStyle w:val="addmd"/>
        </w:rPr>
        <w:t>(</w:t>
      </w:r>
      <w:r w:rsidR="00F840FB" w:rsidRPr="00F840FB">
        <w:rPr>
          <w:rStyle w:val="addmd"/>
          <w:i/>
        </w:rPr>
        <w:t>Vor-blickbahn</w:t>
      </w:r>
      <w:r w:rsidR="004E33B5">
        <w:rPr>
          <w:rStyle w:val="addmd"/>
          <w:i/>
        </w:rPr>
        <w:fldChar w:fldCharType="begin"/>
      </w:r>
      <w:r w:rsidR="004E33B5">
        <w:instrText xml:space="preserve"> XE "</w:instrText>
      </w:r>
      <w:r w:rsidR="004E33B5" w:rsidRPr="008A1FCE">
        <w:rPr>
          <w:rStyle w:val="addmd"/>
          <w:i/>
        </w:rPr>
        <w:instrText>Vor-blickbahn</w:instrText>
      </w:r>
      <w:r w:rsidR="004E33B5">
        <w:instrText xml:space="preserve">" </w:instrText>
      </w:r>
      <w:r w:rsidR="004E33B5">
        <w:rPr>
          <w:rStyle w:val="addmd"/>
          <w:i/>
        </w:rPr>
        <w:fldChar w:fldCharType="end"/>
      </w:r>
      <w:r w:rsidR="00F840FB">
        <w:rPr>
          <w:rStyle w:val="addmd"/>
        </w:rPr>
        <w:t xml:space="preserve">) </w:t>
      </w:r>
      <w:r w:rsidR="08750498" w:rsidRPr="003D1E07">
        <w:rPr>
          <w:rStyle w:val="addmd"/>
        </w:rPr>
        <w:t xml:space="preserve">do světa </w:t>
      </w:r>
      <w:r w:rsidR="08B551FB" w:rsidRPr="003D1E07">
        <w:rPr>
          <w:rStyle w:val="addmd"/>
        </w:rPr>
        <w:t xml:space="preserve">objektivní </w:t>
      </w:r>
      <w:r w:rsidR="08B551FB" w:rsidRPr="003D1E07">
        <w:rPr>
          <w:rStyle w:val="addmd"/>
          <w:i/>
        </w:rPr>
        <w:t>coincidentia oppositorum</w:t>
      </w:r>
      <w:r w:rsidR="083E6E6C" w:rsidRPr="003D1E07">
        <w:rPr>
          <w:rStyle w:val="addmd"/>
          <w:i/>
        </w:rPr>
        <w:fldChar w:fldCharType="begin"/>
      </w:r>
      <w:r w:rsidR="083E6E6C" w:rsidRPr="003D1E07">
        <w:instrText xml:space="preserve"> XE "</w:instrText>
      </w:r>
      <w:r w:rsidR="083E6E6C" w:rsidRPr="003D1E07">
        <w:rPr>
          <w:rStyle w:val="addmd"/>
          <w:i/>
        </w:rPr>
        <w:instrText>coincidentia oppositorum</w:instrText>
      </w:r>
      <w:r w:rsidR="083E6E6C" w:rsidRPr="003D1E07">
        <w:instrText xml:space="preserve">" </w:instrText>
      </w:r>
      <w:r w:rsidR="083E6E6C" w:rsidRPr="003D1E07">
        <w:rPr>
          <w:rStyle w:val="addmd"/>
          <w:i/>
        </w:rPr>
        <w:fldChar w:fldCharType="end"/>
      </w:r>
      <w:r w:rsidR="00F840FB">
        <w:rPr>
          <w:rStyle w:val="addmd"/>
        </w:rPr>
        <w:t xml:space="preserve">. Tuto perspektivu porozumění </w:t>
      </w:r>
      <w:r w:rsidR="008D3253" w:rsidRPr="003D1E07">
        <w:rPr>
          <w:rStyle w:val="addmd"/>
        </w:rPr>
        <w:t xml:space="preserve">postupně </w:t>
      </w:r>
      <w:r w:rsidR="00F840FB">
        <w:rPr>
          <w:rStyle w:val="addmd"/>
        </w:rPr>
        <w:t xml:space="preserve">přeberou </w:t>
      </w:r>
      <w:r w:rsidR="008D3253" w:rsidRPr="003D1E07">
        <w:rPr>
          <w:rStyle w:val="addmd"/>
        </w:rPr>
        <w:t xml:space="preserve">všichni další </w:t>
      </w:r>
      <w:r w:rsidR="00DF4E8E">
        <w:rPr>
          <w:rStyle w:val="addmd"/>
        </w:rPr>
        <w:t xml:space="preserve">ilumináti </w:t>
      </w:r>
      <w:r w:rsidR="00651ECA">
        <w:rPr>
          <w:rStyle w:val="addmd"/>
        </w:rPr>
        <w:t xml:space="preserve">tvořící systém </w:t>
      </w:r>
      <w:r w:rsidR="00363931" w:rsidRPr="003D1E07">
        <w:rPr>
          <w:rStyle w:val="addmd"/>
        </w:rPr>
        <w:t xml:space="preserve">západní </w:t>
      </w:r>
      <w:r w:rsidR="008D3253" w:rsidRPr="003D1E07">
        <w:rPr>
          <w:rStyle w:val="addmd"/>
        </w:rPr>
        <w:t>objektivity</w:t>
      </w:r>
      <w:r w:rsidR="00452B8D">
        <w:rPr>
          <w:rStyle w:val="addmd"/>
        </w:rPr>
        <w:t>. Proto je dobré citovat původní mytologické místo západní vědy (</w:t>
      </w:r>
      <w:r w:rsidR="00452B8D" w:rsidRPr="00452B8D">
        <w:rPr>
          <w:rStyle w:val="addmd"/>
          <w:i/>
        </w:rPr>
        <w:t>ortus scientiarum</w:t>
      </w:r>
      <w:r w:rsidR="00452B8D">
        <w:rPr>
          <w:rStyle w:val="addmd"/>
          <w:i/>
        </w:rPr>
        <w:fldChar w:fldCharType="begin"/>
      </w:r>
      <w:r w:rsidR="00452B8D">
        <w:instrText xml:space="preserve"> XE "</w:instrText>
      </w:r>
      <w:r w:rsidR="00452B8D" w:rsidRPr="00A3056D">
        <w:rPr>
          <w:rStyle w:val="addmd"/>
          <w:i/>
        </w:rPr>
        <w:instrText>ortus scientiarum</w:instrText>
      </w:r>
      <w:r w:rsidR="00452B8D">
        <w:instrText xml:space="preserve">" </w:instrText>
      </w:r>
      <w:r w:rsidR="00452B8D">
        <w:rPr>
          <w:rStyle w:val="addmd"/>
          <w:i/>
        </w:rPr>
        <w:fldChar w:fldCharType="end"/>
      </w:r>
      <w:r w:rsidR="00452B8D">
        <w:rPr>
          <w:rStyle w:val="addmd"/>
        </w:rPr>
        <w:t xml:space="preserve">) </w:t>
      </w:r>
      <w:r w:rsidR="008D3253" w:rsidRPr="003D1E07">
        <w:rPr>
          <w:rStyle w:val="addmd"/>
        </w:rPr>
        <w:t>v</w:t>
      </w:r>
      <w:r w:rsidR="00D02B33">
        <w:rPr>
          <w:rStyle w:val="addmd"/>
        </w:rPr>
        <w:t> </w:t>
      </w:r>
      <w:r w:rsidR="008D3253" w:rsidRPr="003D1E07">
        <w:rPr>
          <w:rStyle w:val="addmd"/>
        </w:rPr>
        <w:t>p</w:t>
      </w:r>
      <w:r w:rsidR="00D02B33">
        <w:rPr>
          <w:rStyle w:val="addmd"/>
        </w:rPr>
        <w:t xml:space="preserve">lném </w:t>
      </w:r>
      <w:r w:rsidR="008D3253" w:rsidRPr="003D1E07">
        <w:rPr>
          <w:rStyle w:val="addmd"/>
        </w:rPr>
        <w:t>znění.</w:t>
      </w:r>
    </w:p>
    <w:p w14:paraId="16050852" w14:textId="77777777" w:rsidR="008D3253" w:rsidRPr="003D1E07" w:rsidRDefault="008D3253" w:rsidP="008D3253">
      <w:pPr>
        <w:pStyle w:val="Citace"/>
        <w:rPr>
          <w:rStyle w:val="addmd"/>
          <w:noProof/>
          <w:lang w:val="cs-CZ"/>
        </w:rPr>
      </w:pPr>
      <w:r w:rsidRPr="003D1E07">
        <w:rPr>
          <w:rStyle w:val="addmd"/>
          <w:noProof/>
          <w:lang w:val="cs-CZ"/>
        </w:rPr>
        <w:t>„Damascius potvrzuje fakt, že velký Jamblichos 'shromažďuje všechny protiklady v jedné formě intelektuálního náhledu' (</w:t>
      </w:r>
      <w:r w:rsidRPr="003D1E07">
        <w:rPr>
          <w:noProof/>
          <w:lang w:val="cs-CZ"/>
        </w:rPr>
        <w:t xml:space="preserve">πᾶσαν ἀντίθεσιν </w:t>
      </w:r>
      <w:r w:rsidRPr="003D1E07">
        <w:rPr>
          <w:noProof/>
          <w:szCs w:val="24"/>
          <w:lang w:val="cs-CZ"/>
        </w:rPr>
        <w:t>εἰς μ</w:t>
      </w:r>
      <w:r w:rsidRPr="003D1E07">
        <w:rPr>
          <w:noProof/>
          <w:lang w:val="cs-CZ"/>
        </w:rPr>
        <w:t>ί</w:t>
      </w:r>
      <w:r w:rsidRPr="003D1E07">
        <w:rPr>
          <w:noProof/>
          <w:szCs w:val="24"/>
          <w:lang w:val="cs-CZ"/>
        </w:rPr>
        <w:t xml:space="preserve">αν </w:t>
      </w:r>
      <w:r w:rsidRPr="003D1E07">
        <w:rPr>
          <w:noProof/>
          <w:lang w:val="cs-CZ"/>
        </w:rPr>
        <w:t>συνάγει νόησιν</w:t>
      </w:r>
      <w:r w:rsidRPr="003D1E07">
        <w:rPr>
          <w:rStyle w:val="addmd"/>
          <w:noProof/>
          <w:lang w:val="cs-CZ"/>
        </w:rPr>
        <w:t xml:space="preserve">). Vychází totiž z toho, že výrazy </w:t>
      </w:r>
      <w:r w:rsidRPr="003D1E07">
        <w:rPr>
          <w:rStyle w:val="addmd"/>
          <w:noProof/>
          <w:lang w:val="cs-CZ"/>
        </w:rPr>
        <w:lastRenderedPageBreak/>
        <w:t>'v sobě samém' a 've druhém' znamenají sloučení obou protikladů</w:t>
      </w:r>
      <w:r w:rsidRPr="003D1E07">
        <w:rPr>
          <w:noProof/>
          <w:lang w:val="cs-CZ"/>
        </w:rPr>
        <w:t>, a proto nevyjadřují dvě rozdílné věci, ale pouze jednu věc.“</w:t>
      </w:r>
      <w:r w:rsidR="00684E7F" w:rsidRPr="003D1E07">
        <w:rPr>
          <w:noProof/>
          <w:lang w:val="cs-CZ"/>
        </w:rPr>
        <w:t> </w:t>
      </w:r>
      <w:r w:rsidRPr="003D1E07">
        <w:rPr>
          <w:rStyle w:val="Znakapoznpodarou"/>
          <w:noProof/>
          <w:lang w:val="cs-CZ"/>
        </w:rPr>
        <w:footnoteReference w:id="56"/>
      </w:r>
      <w:r w:rsidRPr="003D1E07">
        <w:rPr>
          <w:noProof/>
          <w:lang w:val="cs-CZ"/>
        </w:rPr>
        <w:t xml:space="preserve"> </w:t>
      </w:r>
    </w:p>
    <w:p w14:paraId="5A1CFDEB" w14:textId="6F48F9EB" w:rsidR="00DD52CB" w:rsidRPr="003D1E07" w:rsidRDefault="008C58AA" w:rsidP="08816509">
      <w:r w:rsidRPr="003D1E07">
        <w:rPr>
          <w:rStyle w:val="addmd"/>
        </w:rPr>
        <w:t>Tento model iluminace bude hrát rozhodující úlohu v persko-arabské filosofii a v křesťanském augustinianimu</w:t>
      </w:r>
      <w:r w:rsidR="087F7AB7" w:rsidRPr="003D1E07">
        <w:rPr>
          <w:rStyle w:val="addmd"/>
        </w:rPr>
        <w:t xml:space="preserve"> a neoplatonismu</w:t>
      </w:r>
      <w:r w:rsidRPr="003D1E07">
        <w:rPr>
          <w:rStyle w:val="addmd"/>
        </w:rPr>
        <w:t xml:space="preserve">. </w:t>
      </w:r>
      <w:r w:rsidR="008D3253" w:rsidRPr="003D1E07">
        <w:t xml:space="preserve">Co aristotelský </w:t>
      </w:r>
      <w:r w:rsidR="00BB45B1" w:rsidRPr="003D1E07">
        <w:t>Porfyri</w:t>
      </w:r>
      <w:r w:rsidR="008D3253" w:rsidRPr="003D1E07">
        <w:t>us</w:t>
      </w:r>
      <w:r w:rsidR="006D3721" w:rsidRPr="003D1E07">
        <w:fldChar w:fldCharType="begin"/>
      </w:r>
      <w:r w:rsidR="006D3721" w:rsidRPr="003D1E07">
        <w:instrText xml:space="preserve"> XE "</w:instrText>
      </w:r>
      <w:r w:rsidR="088B254C" w:rsidRPr="003D1E07">
        <w:instrText>Porfyrius</w:instrText>
      </w:r>
      <w:r w:rsidR="006D3721" w:rsidRPr="003D1E07">
        <w:instrText xml:space="preserve">" </w:instrText>
      </w:r>
      <w:r w:rsidR="006D3721" w:rsidRPr="003D1E07">
        <w:fldChar w:fldCharType="end"/>
      </w:r>
      <w:r w:rsidR="008D3253" w:rsidRPr="003D1E07">
        <w:t xml:space="preserve"> postuluje jako deduktivní závěr na základě hypotéz dialogu</w:t>
      </w:r>
      <w:r w:rsidR="08831DA1" w:rsidRPr="003D1E07">
        <w:t xml:space="preserve"> </w:t>
      </w:r>
      <w:r w:rsidR="08831DA1" w:rsidRPr="003D1E07">
        <w:rPr>
          <w:i/>
        </w:rPr>
        <w:t>Parmenides</w:t>
      </w:r>
      <w:r w:rsidR="008D3253" w:rsidRPr="003D1E07">
        <w:t>, to má gnostický Jamblichos</w:t>
      </w:r>
      <w:r w:rsidR="00640BE5" w:rsidRPr="003D1E07">
        <w:fldChar w:fldCharType="begin"/>
      </w:r>
      <w:r w:rsidR="00640BE5" w:rsidRPr="003D1E07">
        <w:instrText xml:space="preserve"> XE "Jamblichos" </w:instrText>
      </w:r>
      <w:r w:rsidR="00640BE5" w:rsidRPr="003D1E07">
        <w:fldChar w:fldCharType="end"/>
      </w:r>
      <w:r w:rsidR="008D3253" w:rsidRPr="003D1E07">
        <w:t xml:space="preserve"> jako přímý intuitivní náhled do původních tajemství kosmu</w:t>
      </w:r>
      <w:r w:rsidR="08831DA1" w:rsidRPr="003D1E07">
        <w:t xml:space="preserve"> zjevených v dialogu </w:t>
      </w:r>
      <w:r w:rsidR="08831DA1" w:rsidRPr="003D1E07">
        <w:rPr>
          <w:i/>
        </w:rPr>
        <w:t>Timaios</w:t>
      </w:r>
      <w:r w:rsidR="008D3253" w:rsidRPr="003D1E07">
        <w:t xml:space="preserve">. </w:t>
      </w:r>
      <w:r w:rsidR="08344C34" w:rsidRPr="003D1E07">
        <w:t xml:space="preserve">Na rozdíl od Týrského filosofa </w:t>
      </w:r>
      <w:r w:rsidR="008D3253" w:rsidRPr="003D1E07">
        <w:t>je Jamblichos božím mužem</w:t>
      </w:r>
      <w:r w:rsidR="081F324C" w:rsidRPr="003D1E07">
        <w:t>, protože vidí neexistující diakosmo</w:t>
      </w:r>
      <w:r w:rsidR="08344C34" w:rsidRPr="003D1E07">
        <w:t xml:space="preserve">s v přímém náhledu a nemusí </w:t>
      </w:r>
      <w:r w:rsidR="00496AD8">
        <w:t>jeho „ex</w:t>
      </w:r>
      <w:r w:rsidR="081F324C" w:rsidRPr="003D1E07">
        <w:t xml:space="preserve">sistenci“ z Jednoho </w:t>
      </w:r>
      <w:r w:rsidR="08344C34" w:rsidRPr="003D1E07">
        <w:t>pracně odvozovat systémem de</w:t>
      </w:r>
      <w:r w:rsidR="08067F71" w:rsidRPr="003D1E07">
        <w:t xml:space="preserve">dukce hypotéz podle </w:t>
      </w:r>
      <w:r w:rsidR="08344C34" w:rsidRPr="003D1E07">
        <w:t xml:space="preserve">dialogu </w:t>
      </w:r>
      <w:r w:rsidR="08344C34" w:rsidRPr="003D1E07">
        <w:rPr>
          <w:i/>
        </w:rPr>
        <w:t>Parmenides</w:t>
      </w:r>
      <w:r w:rsidR="008D3253" w:rsidRPr="003D1E07">
        <w:t xml:space="preserve">. Stejný </w:t>
      </w:r>
      <w:r w:rsidR="00BB6628" w:rsidRPr="003D1E07">
        <w:t xml:space="preserve">synoptický </w:t>
      </w:r>
      <w:r w:rsidR="008D3253" w:rsidRPr="003D1E07">
        <w:t xml:space="preserve">náhled </w:t>
      </w:r>
      <w:r w:rsidR="00BB6628" w:rsidRPr="003D1E07">
        <w:t xml:space="preserve">z </w:t>
      </w:r>
      <w:r w:rsidR="08067F71" w:rsidRPr="003D1E07">
        <w:t xml:space="preserve">mytopoetické </w:t>
      </w:r>
      <w:r w:rsidR="00BB6628" w:rsidRPr="003D1E07">
        <w:t xml:space="preserve">pozice božího oka </w:t>
      </w:r>
      <w:r w:rsidR="008D3253" w:rsidRPr="003D1E07">
        <w:t xml:space="preserve">řídí Jamblichův výklad aristotelových </w:t>
      </w:r>
      <w:r w:rsidR="008D3253" w:rsidRPr="003D1E07">
        <w:rPr>
          <w:i/>
        </w:rPr>
        <w:t>Kategorií</w:t>
      </w:r>
      <w:r w:rsidR="008D3253" w:rsidRPr="003D1E07">
        <w:t xml:space="preserve">. </w:t>
      </w:r>
      <w:r w:rsidR="002C6360" w:rsidRPr="003D1E07">
        <w:rPr>
          <w:rStyle w:val="addmd"/>
        </w:rPr>
        <w:t>Simplikius</w:t>
      </w:r>
      <w:r w:rsidR="0005535B" w:rsidRPr="003D1E07">
        <w:rPr>
          <w:rStyle w:val="addmd"/>
        </w:rPr>
        <w:fldChar w:fldCharType="begin"/>
      </w:r>
      <w:r w:rsidR="0005535B" w:rsidRPr="003D1E07">
        <w:instrText xml:space="preserve"> XE "Simplikius" </w:instrText>
      </w:r>
      <w:r w:rsidR="0005535B" w:rsidRPr="003D1E07">
        <w:rPr>
          <w:rStyle w:val="addmd"/>
        </w:rPr>
        <w:fldChar w:fldCharType="end"/>
      </w:r>
      <w:r w:rsidR="002C6360" w:rsidRPr="003D1E07">
        <w:rPr>
          <w:rStyle w:val="addmd"/>
        </w:rPr>
        <w:t xml:space="preserve"> v dále citovaném komentáři </w:t>
      </w:r>
      <w:r w:rsidR="002C6360" w:rsidRPr="003D1E07">
        <w:rPr>
          <w:rStyle w:val="addmd"/>
          <w:i/>
        </w:rPr>
        <w:t>Kategorií</w:t>
      </w:r>
      <w:r w:rsidR="002C6360" w:rsidRPr="003D1E07">
        <w:rPr>
          <w:rStyle w:val="addmd"/>
        </w:rPr>
        <w:t xml:space="preserve"> výslovně spojuje objev deseti kategorií s pythágorejci a s Jamblichem (</w:t>
      </w:r>
      <w:r w:rsidR="00091769" w:rsidRPr="003D1E07">
        <w:rPr>
          <w:rStyle w:val="addmd"/>
          <w:i/>
        </w:rPr>
        <w:t>Simpl</w:t>
      </w:r>
      <w:r w:rsidR="00091769" w:rsidRPr="003D1E07">
        <w:rPr>
          <w:rStyle w:val="addmd"/>
        </w:rPr>
        <w:t xml:space="preserve">. </w:t>
      </w:r>
      <w:r w:rsidR="00091769" w:rsidRPr="003D1E07">
        <w:rPr>
          <w:rStyle w:val="addmd"/>
          <w:i/>
        </w:rPr>
        <w:t>in</w:t>
      </w:r>
      <w:r w:rsidR="002C6360" w:rsidRPr="003D1E07">
        <w:rPr>
          <w:rStyle w:val="addmd"/>
          <w:i/>
        </w:rPr>
        <w:t xml:space="preserve"> Cat</w:t>
      </w:r>
      <w:r w:rsidR="002C6360" w:rsidRPr="003D1E07">
        <w:rPr>
          <w:rStyle w:val="addmd"/>
        </w:rPr>
        <w:t>. 116.25–26</w:t>
      </w:r>
      <w:r w:rsidR="00091769" w:rsidRPr="003D1E07">
        <w:rPr>
          <w:lang w:eastAsia="en-US"/>
        </w:rPr>
        <w:fldChar w:fldCharType="begin"/>
      </w:r>
      <w:r w:rsidR="00091769" w:rsidRPr="003D1E07">
        <w:instrText xml:space="preserve"> XE "Simplikius:</w:instrText>
      </w:r>
      <w:r w:rsidR="00091769" w:rsidRPr="003D1E07">
        <w:rPr>
          <w:rStyle w:val="addmd"/>
          <w:i/>
        </w:rPr>
        <w:instrText>Simpl</w:instrText>
      </w:r>
      <w:r w:rsidR="00091769" w:rsidRPr="003D1E07">
        <w:rPr>
          <w:rStyle w:val="addmd"/>
        </w:rPr>
        <w:instrText xml:space="preserve">. </w:instrText>
      </w:r>
      <w:r w:rsidR="00091769" w:rsidRPr="003D1E07">
        <w:rPr>
          <w:rStyle w:val="addmd"/>
          <w:i/>
        </w:rPr>
        <w:instrText>in Cat</w:instrText>
      </w:r>
      <w:r w:rsidR="00091769" w:rsidRPr="003D1E07">
        <w:rPr>
          <w:rStyle w:val="addmd"/>
        </w:rPr>
        <w:instrText>. 116.25–26</w:instrText>
      </w:r>
      <w:r w:rsidR="00091769" w:rsidRPr="003D1E07">
        <w:instrText xml:space="preserve">" </w:instrText>
      </w:r>
      <w:r w:rsidR="00091769" w:rsidRPr="003D1E07">
        <w:rPr>
          <w:lang w:eastAsia="en-US"/>
        </w:rPr>
        <w:fldChar w:fldCharType="end"/>
      </w:r>
      <w:r w:rsidR="002C6360" w:rsidRPr="003D1E07">
        <w:rPr>
          <w:rStyle w:val="addmd"/>
        </w:rPr>
        <w:t xml:space="preserve">). Jamblichos prý </w:t>
      </w:r>
      <w:r w:rsidR="088C4987" w:rsidRPr="003D1E07">
        <w:rPr>
          <w:rStyle w:val="addmd"/>
        </w:rPr>
        <w:t>definoval substanci na základě p</w:t>
      </w:r>
      <w:r w:rsidR="002C6360" w:rsidRPr="003D1E07">
        <w:rPr>
          <w:rStyle w:val="addmd"/>
        </w:rPr>
        <w:t>ythágorejci objevené schopnosti substrátu přijmout opačná určení (bílé‒černé) a tuto schopnost analogicky rozšířil na definici substance</w:t>
      </w:r>
      <w:r w:rsidR="00A70FA4" w:rsidRPr="003D1E07">
        <w:rPr>
          <w:rStyle w:val="addmd"/>
        </w:rPr>
        <w:fldChar w:fldCharType="begin"/>
      </w:r>
      <w:r w:rsidR="00A70FA4" w:rsidRPr="003D1E07">
        <w:instrText xml:space="preserve"> XE "substance</w:instrText>
      </w:r>
      <w:r w:rsidR="001D4E7C" w:rsidRPr="003D1E07">
        <w:instrText>:neoplatonismus</w:instrText>
      </w:r>
      <w:r w:rsidR="00A70FA4" w:rsidRPr="003D1E07">
        <w:instrText xml:space="preserve">" </w:instrText>
      </w:r>
      <w:r w:rsidR="00A70FA4" w:rsidRPr="003D1E07">
        <w:rPr>
          <w:rStyle w:val="addmd"/>
        </w:rPr>
        <w:fldChar w:fldCharType="end"/>
      </w:r>
      <w:r w:rsidR="002C6360" w:rsidRPr="003D1E07">
        <w:rPr>
          <w:rStyle w:val="addmd"/>
        </w:rPr>
        <w:t xml:space="preserve"> jako takové. </w:t>
      </w:r>
      <w:r w:rsidR="008D3253" w:rsidRPr="003D1E07">
        <w:t xml:space="preserve">Simplikiův komentář ke </w:t>
      </w:r>
      <w:r w:rsidR="008D3253" w:rsidRPr="003D1E07">
        <w:rPr>
          <w:i/>
        </w:rPr>
        <w:t>Kategoriím</w:t>
      </w:r>
      <w:r w:rsidR="008D3253" w:rsidRPr="003D1E07">
        <w:t xml:space="preserve"> </w:t>
      </w:r>
      <w:r w:rsidR="001742F0" w:rsidRPr="003D1E07">
        <w:t xml:space="preserve">také </w:t>
      </w:r>
      <w:r w:rsidR="008D3253" w:rsidRPr="003D1E07">
        <w:t xml:space="preserve">dosvědčuje, že Jamblichův ztracený komentář ke </w:t>
      </w:r>
      <w:r w:rsidR="008D3253" w:rsidRPr="003D1E07">
        <w:rPr>
          <w:i/>
        </w:rPr>
        <w:t>Kategoriím</w:t>
      </w:r>
      <w:r w:rsidR="008D3253" w:rsidRPr="003D1E07">
        <w:t xml:space="preserve"> byl učiněn se znalostí dnes ztraceného </w:t>
      </w:r>
      <w:r w:rsidR="00BB45B1" w:rsidRPr="003D1E07">
        <w:t>Porfyri</w:t>
      </w:r>
      <w:r w:rsidR="008D3253" w:rsidRPr="003D1E07">
        <w:t xml:space="preserve">ova komentáře </w:t>
      </w:r>
      <w:r w:rsidR="008D3253" w:rsidRPr="003D1E07">
        <w:rPr>
          <w:i/>
        </w:rPr>
        <w:t>Kategorií</w:t>
      </w:r>
      <w:r w:rsidR="008D3253" w:rsidRPr="003D1E07">
        <w:t xml:space="preserve"> věnovaného Gedaliovi. </w:t>
      </w:r>
      <w:r w:rsidR="08AA04F6" w:rsidRPr="003D1E07">
        <w:t xml:space="preserve">Možná, že tento ztracený </w:t>
      </w:r>
      <w:r w:rsidR="083E6E6C" w:rsidRPr="003D1E07">
        <w:t xml:space="preserve">Porfyriův </w:t>
      </w:r>
      <w:r w:rsidR="08AA04F6" w:rsidRPr="003D1E07">
        <w:t xml:space="preserve">komentář obsahuje první zásadní změnu v pojetí </w:t>
      </w:r>
      <w:r w:rsidR="08AA04F6" w:rsidRPr="003D1E07">
        <w:rPr>
          <w:i/>
        </w:rPr>
        <w:t>Kategorií</w:t>
      </w:r>
      <w:r w:rsidR="08AA04F6" w:rsidRPr="003D1E07">
        <w:t xml:space="preserve"> směrem k neoplatonismu. </w:t>
      </w:r>
      <w:r w:rsidR="08141ABF" w:rsidRPr="003D1E07">
        <w:t xml:space="preserve">Následovníci Porfyria vyložili neoplatonské tendence jeho nauky tak, že vybudovali novou verzi neoplatonismu, v níž vzniklo první objektivní vidění světa. </w:t>
      </w:r>
      <w:r w:rsidR="080B2EBC" w:rsidRPr="003D1E07">
        <w:t xml:space="preserve">Klíčovým termínem se stalo pojetí individua jako další nedělitelné substance. </w:t>
      </w:r>
      <w:r w:rsidR="008D3253" w:rsidRPr="003D1E07">
        <w:t xml:space="preserve">Hermeneutický výklad změněné perspektivy nasvícení smyslu jsoucna ukázal zásadní rozdíl mezi </w:t>
      </w:r>
      <w:r w:rsidR="080B2EBC" w:rsidRPr="003D1E07">
        <w:t xml:space="preserve">aristotelským </w:t>
      </w:r>
      <w:r w:rsidR="00BB45B1" w:rsidRPr="003D1E07">
        <w:t>Porfyri</w:t>
      </w:r>
      <w:r w:rsidR="008D3253" w:rsidRPr="003D1E07">
        <w:t xml:space="preserve">em </w:t>
      </w:r>
      <w:r w:rsidR="0830063D" w:rsidRPr="003D1E07">
        <w:t xml:space="preserve">v době jeho pobytu na Sicíli </w:t>
      </w:r>
      <w:r w:rsidR="008D3253" w:rsidRPr="003D1E07">
        <w:t xml:space="preserve">a jeho </w:t>
      </w:r>
      <w:r w:rsidR="00874074" w:rsidRPr="003D1E07">
        <w:t>neoplatonsk</w:t>
      </w:r>
      <w:r w:rsidR="008D3253" w:rsidRPr="003D1E07">
        <w:t xml:space="preserve">ými následovníky, zejména Simplikiem. Jamblichův </w:t>
      </w:r>
      <w:r w:rsidR="001742F0" w:rsidRPr="003D1E07">
        <w:t xml:space="preserve">náhled na celek jsoucna </w:t>
      </w:r>
      <w:r w:rsidR="008D3253" w:rsidRPr="003D1E07">
        <w:t xml:space="preserve">je </w:t>
      </w:r>
      <w:r w:rsidR="00C42D98" w:rsidRPr="003D1E07">
        <w:t xml:space="preserve">podle Simplikiova komentáře ke </w:t>
      </w:r>
      <w:r w:rsidR="00C42D98" w:rsidRPr="003D1E07">
        <w:rPr>
          <w:i/>
        </w:rPr>
        <w:t>K</w:t>
      </w:r>
      <w:r w:rsidR="000C2B3B" w:rsidRPr="003D1E07">
        <w:rPr>
          <w:i/>
        </w:rPr>
        <w:t>ateg</w:t>
      </w:r>
      <w:r w:rsidR="00C04C21" w:rsidRPr="003D1E07">
        <w:rPr>
          <w:i/>
        </w:rPr>
        <w:t>or</w:t>
      </w:r>
      <w:r w:rsidR="000C2B3B" w:rsidRPr="003D1E07">
        <w:rPr>
          <w:i/>
        </w:rPr>
        <w:t>iím</w:t>
      </w:r>
      <w:r w:rsidR="000C2B3B" w:rsidRPr="003D1E07">
        <w:t xml:space="preserve"> </w:t>
      </w:r>
      <w:r w:rsidR="08CF3496" w:rsidRPr="003D1E07">
        <w:t xml:space="preserve">veden z pozice božího oka, tedy </w:t>
      </w:r>
      <w:r w:rsidR="008D3253" w:rsidRPr="003D1E07">
        <w:t xml:space="preserve">z perpektivy čistého nazírání intelektu (τὴν νοερὰν θεωρίαν, </w:t>
      </w:r>
      <w:r w:rsidR="00CF315B" w:rsidRPr="003D1E07">
        <w:rPr>
          <w:i/>
        </w:rPr>
        <w:t>Simpl. i</w:t>
      </w:r>
      <w:r w:rsidR="008D3253" w:rsidRPr="003D1E07">
        <w:rPr>
          <w:i/>
        </w:rPr>
        <w:t>n Cat</w:t>
      </w:r>
      <w:r w:rsidR="008D3253" w:rsidRPr="003D1E07">
        <w:t>. 2.13</w:t>
      </w:r>
      <w:r w:rsidR="00091769" w:rsidRPr="003D1E07">
        <w:rPr>
          <w:lang w:eastAsia="en-US"/>
        </w:rPr>
        <w:fldChar w:fldCharType="begin"/>
      </w:r>
      <w:r w:rsidR="00091769" w:rsidRPr="003D1E07">
        <w:instrText xml:space="preserve"> XE "Simplikius:</w:instrText>
      </w:r>
      <w:r w:rsidR="00091769" w:rsidRPr="003D1E07">
        <w:rPr>
          <w:rStyle w:val="addmd"/>
          <w:i/>
        </w:rPr>
        <w:instrText>Simpl</w:instrText>
      </w:r>
      <w:r w:rsidR="00091769" w:rsidRPr="003D1E07">
        <w:rPr>
          <w:rStyle w:val="addmd"/>
        </w:rPr>
        <w:instrText xml:space="preserve">. </w:instrText>
      </w:r>
      <w:r w:rsidR="00091769" w:rsidRPr="003D1E07">
        <w:rPr>
          <w:rStyle w:val="addmd"/>
          <w:i/>
        </w:rPr>
        <w:instrText>in Cat</w:instrText>
      </w:r>
      <w:r w:rsidR="00091769" w:rsidRPr="003D1E07">
        <w:rPr>
          <w:rStyle w:val="addmd"/>
        </w:rPr>
        <w:instrText>. 2.13</w:instrText>
      </w:r>
      <w:r w:rsidR="00091769" w:rsidRPr="003D1E07">
        <w:instrText xml:space="preserve">" </w:instrText>
      </w:r>
      <w:r w:rsidR="00091769" w:rsidRPr="003D1E07">
        <w:rPr>
          <w:lang w:eastAsia="en-US"/>
        </w:rPr>
        <w:fldChar w:fldCharType="end"/>
      </w:r>
      <w:r w:rsidR="008D3253" w:rsidRPr="003D1E07">
        <w:t xml:space="preserve">). </w:t>
      </w:r>
      <w:r w:rsidR="008451C1" w:rsidRPr="003D1E07">
        <w:t xml:space="preserve">Nová </w:t>
      </w:r>
      <w:r w:rsidR="008451C1" w:rsidRPr="003D1E07">
        <w:rPr>
          <w:rStyle w:val="addmd"/>
        </w:rPr>
        <w:t>predikace definovala</w:t>
      </w:r>
      <w:r w:rsidR="008D3253" w:rsidRPr="003D1E07">
        <w:rPr>
          <w:rStyle w:val="addmd"/>
        </w:rPr>
        <w:t xml:space="preserve"> smysl jsouc</w:t>
      </w:r>
      <w:r w:rsidR="00DA02D3" w:rsidRPr="003D1E07">
        <w:rPr>
          <w:rStyle w:val="addmd"/>
        </w:rPr>
        <w:t xml:space="preserve">ího </w:t>
      </w:r>
      <w:r w:rsidR="008451C1" w:rsidRPr="003D1E07">
        <w:rPr>
          <w:rStyle w:val="addmd"/>
        </w:rPr>
        <w:t xml:space="preserve">ontoteologicky a </w:t>
      </w:r>
      <w:r w:rsidR="08BD18EE" w:rsidRPr="003D1E07">
        <w:rPr>
          <w:rStyle w:val="addmd"/>
        </w:rPr>
        <w:t>pseudo-</w:t>
      </w:r>
      <w:r w:rsidR="008451C1" w:rsidRPr="003D1E07">
        <w:rPr>
          <w:rStyle w:val="addmd"/>
        </w:rPr>
        <w:t>mysticky</w:t>
      </w:r>
      <w:r w:rsidR="001374AB" w:rsidRPr="003D1E07">
        <w:rPr>
          <w:rStyle w:val="addmd"/>
        </w:rPr>
        <w:t xml:space="preserve">, což </w:t>
      </w:r>
      <w:r w:rsidR="08BD18EE" w:rsidRPr="003D1E07">
        <w:rPr>
          <w:rStyle w:val="addmd"/>
        </w:rPr>
        <w:t>odpovídí n</w:t>
      </w:r>
      <w:r w:rsidR="001374AB" w:rsidRPr="003D1E07">
        <w:rPr>
          <w:rStyle w:val="addmd"/>
        </w:rPr>
        <w:t>asvícení smyslu jsoucna zezadu od demiurgického diakosmu</w:t>
      </w:r>
      <w:r w:rsidR="009721FC" w:rsidRPr="003D1E07">
        <w:rPr>
          <w:rStyle w:val="addmd"/>
        </w:rPr>
        <w:fldChar w:fldCharType="begin"/>
      </w:r>
      <w:r w:rsidR="009721FC" w:rsidRPr="003D1E07">
        <w:instrText xml:space="preserve"> XE "zjevování:nasvícení zezadu" </w:instrText>
      </w:r>
      <w:r w:rsidR="009721FC" w:rsidRPr="003D1E07">
        <w:rPr>
          <w:rStyle w:val="addmd"/>
        </w:rPr>
        <w:fldChar w:fldCharType="end"/>
      </w:r>
      <w:r w:rsidR="008451C1" w:rsidRPr="003D1E07">
        <w:rPr>
          <w:rStyle w:val="addmd"/>
        </w:rPr>
        <w:t xml:space="preserve">. </w:t>
      </w:r>
      <w:r w:rsidR="08F84E7D" w:rsidRPr="003D1E07">
        <w:rPr>
          <w:rStyle w:val="addmd"/>
        </w:rPr>
        <w:t>H</w:t>
      </w:r>
      <w:r w:rsidR="00071022" w:rsidRPr="003D1E07">
        <w:t xml:space="preserve">ypostázované formy a emanace </w:t>
      </w:r>
      <w:r w:rsidR="002D38B7" w:rsidRPr="003D1E07">
        <w:t>tvoří nižší diakosmos</w:t>
      </w:r>
      <w:r w:rsidR="08BD18EE" w:rsidRPr="003D1E07">
        <w:t xml:space="preserve">, který </w:t>
      </w:r>
      <w:r w:rsidR="00071022" w:rsidRPr="003D1E07">
        <w:t xml:space="preserve">funguje </w:t>
      </w:r>
      <w:r w:rsidR="007B7D7A" w:rsidRPr="003D1E07">
        <w:t xml:space="preserve">jako objektivní simulákrum </w:t>
      </w:r>
      <w:r w:rsidR="00071022" w:rsidRPr="003D1E07">
        <w:t xml:space="preserve">pro vznik </w:t>
      </w:r>
      <w:r w:rsidR="007B7D7A" w:rsidRPr="003D1E07">
        <w:t xml:space="preserve">reálného </w:t>
      </w:r>
      <w:r w:rsidR="00071022" w:rsidRPr="003D1E07">
        <w:t xml:space="preserve">hylemorfického </w:t>
      </w:r>
      <w:r w:rsidR="007B7D7A" w:rsidRPr="003D1E07">
        <w:t>světa</w:t>
      </w:r>
      <w:r w:rsidR="00372E82" w:rsidRPr="003D1E07">
        <w:rPr>
          <w:rStyle w:val="addmd"/>
        </w:rPr>
        <w:fldChar w:fldCharType="begin"/>
      </w:r>
      <w:r w:rsidR="00372E82" w:rsidRPr="003D1E07">
        <w:instrText xml:space="preserve"> XE "</w:instrText>
      </w:r>
      <w:r w:rsidR="00372E82" w:rsidRPr="003D1E07">
        <w:rPr>
          <w:rStyle w:val="addmd"/>
        </w:rPr>
        <w:instrText>objektivita:diakosmos</w:instrText>
      </w:r>
      <w:r w:rsidR="00372E82" w:rsidRPr="003D1E07">
        <w:instrText xml:space="preserve">" </w:instrText>
      </w:r>
      <w:r w:rsidR="00372E82" w:rsidRPr="003D1E07">
        <w:rPr>
          <w:rStyle w:val="addmd"/>
        </w:rPr>
        <w:fldChar w:fldCharType="end"/>
      </w:r>
      <w:r w:rsidR="002D38B7" w:rsidRPr="003D1E07">
        <w:t xml:space="preserve">. </w:t>
      </w:r>
      <w:r w:rsidR="008451C1" w:rsidRPr="003D1E07">
        <w:rPr>
          <w:rStyle w:val="addmd"/>
        </w:rPr>
        <w:t xml:space="preserve">Substance dostala nový charakter v modu analogické podobnosti </w:t>
      </w:r>
      <w:r w:rsidR="008451C1" w:rsidRPr="003D1E07">
        <w:rPr>
          <w:rStyle w:val="addmd"/>
        </w:rPr>
        <w:lastRenderedPageBreak/>
        <w:t xml:space="preserve">Mnohého a Jednoho. </w:t>
      </w:r>
      <w:r w:rsidR="00DD52CB" w:rsidRPr="003D1E07">
        <w:t xml:space="preserve">Původní hyparchický smysl hylemorfické substance zmizel, protože predikace </w:t>
      </w:r>
      <w:r w:rsidR="00DD52CB" w:rsidRPr="003D1E07">
        <w:rPr>
          <w:i/>
        </w:rPr>
        <w:t>per prius</w:t>
      </w:r>
      <w:r w:rsidR="00FB5562" w:rsidRPr="003D1E07">
        <w:rPr>
          <w:rStyle w:val="addmd"/>
        </w:rPr>
        <w:fldChar w:fldCharType="begin"/>
      </w:r>
      <w:r w:rsidR="00FB5562" w:rsidRPr="003D1E07">
        <w:instrText xml:space="preserve"> XE "</w:instrText>
      </w:r>
      <w:r w:rsidR="00FB5562" w:rsidRPr="003D1E07">
        <w:rPr>
          <w:rStyle w:val="addmd"/>
        </w:rPr>
        <w:instrText>predikace:</w:instrText>
      </w:r>
      <w:r w:rsidR="00FB5562" w:rsidRPr="003D1E07">
        <w:rPr>
          <w:i/>
        </w:rPr>
        <w:instrText>per prius</w:instrText>
      </w:r>
      <w:r w:rsidR="00FB5562" w:rsidRPr="003D1E07">
        <w:instrText xml:space="preserve"> " </w:instrText>
      </w:r>
      <w:r w:rsidR="00FB5562" w:rsidRPr="003D1E07">
        <w:rPr>
          <w:rStyle w:val="addmd"/>
        </w:rPr>
        <w:fldChar w:fldCharType="end"/>
      </w:r>
      <w:r w:rsidR="00FB5562" w:rsidRPr="003D1E07">
        <w:rPr>
          <w:rStyle w:val="addmd"/>
        </w:rPr>
        <w:t xml:space="preserve"> </w:t>
      </w:r>
      <w:r w:rsidR="00DD52CB" w:rsidRPr="003D1E07">
        <w:t xml:space="preserve">jde od obecné </w:t>
      </w:r>
      <w:r w:rsidR="00A16C9F">
        <w:t xml:space="preserve">hypostázované </w:t>
      </w:r>
      <w:r w:rsidR="00DD52CB" w:rsidRPr="003D1E07">
        <w:t>formy, a ne od materiální jednotliviny.</w:t>
      </w:r>
    </w:p>
    <w:p w14:paraId="2545F455" w14:textId="1C112E88" w:rsidR="08E11AD3" w:rsidRPr="003D1E07" w:rsidRDefault="00DD52CB" w:rsidP="08816509">
      <w:r w:rsidRPr="003D1E07">
        <w:tab/>
      </w:r>
      <w:r w:rsidR="00BB45B1" w:rsidRPr="003D1E07">
        <w:t>Porfyri</w:t>
      </w:r>
      <w:r w:rsidR="08ED365B" w:rsidRPr="003D1E07">
        <w:t xml:space="preserve">em </w:t>
      </w:r>
      <w:r w:rsidR="007A3867" w:rsidRPr="003D1E07">
        <w:t xml:space="preserve">a Jamblichem </w:t>
      </w:r>
      <w:r w:rsidR="08ED365B" w:rsidRPr="003D1E07">
        <w:t>z</w:t>
      </w:r>
      <w:r w:rsidR="00B879BE" w:rsidRPr="003D1E07">
        <w:t>ahájenou z</w:t>
      </w:r>
      <w:r w:rsidR="008C747B" w:rsidRPr="003D1E07">
        <w:t xml:space="preserve">měnu </w:t>
      </w:r>
      <w:r w:rsidR="009F2C72" w:rsidRPr="003D1E07">
        <w:t xml:space="preserve">uvnitř metafyziky </w:t>
      </w:r>
      <w:r w:rsidR="00B879BE" w:rsidRPr="003D1E07">
        <w:t xml:space="preserve">kodifikuje </w:t>
      </w:r>
      <w:r w:rsidR="00BD0913" w:rsidRPr="003D1E07">
        <w:t>Dexippus</w:t>
      </w:r>
      <w:r w:rsidR="00372E82" w:rsidRPr="003D1E07">
        <w:fldChar w:fldCharType="begin"/>
      </w:r>
      <w:r w:rsidR="00372E82" w:rsidRPr="003D1E07">
        <w:instrText xml:space="preserve"> XE "Dexippus</w:instrText>
      </w:r>
      <w:r w:rsidR="00552B20" w:rsidRPr="003D1E07">
        <w:instrText xml:space="preserve">, viz </w:instrText>
      </w:r>
      <w:r w:rsidR="00552B20" w:rsidRPr="003D1E07">
        <w:rPr>
          <w:i/>
        </w:rPr>
        <w:instrText>Index locorum</w:instrText>
      </w:r>
      <w:r w:rsidR="00372E82" w:rsidRPr="003D1E07">
        <w:instrText xml:space="preserve">" </w:instrText>
      </w:r>
      <w:r w:rsidR="00372E82" w:rsidRPr="003D1E07">
        <w:fldChar w:fldCharType="end"/>
      </w:r>
      <w:r w:rsidR="00BD0913" w:rsidRPr="003D1E07">
        <w:t xml:space="preserve"> </w:t>
      </w:r>
      <w:r w:rsidR="007A3867" w:rsidRPr="003D1E07">
        <w:t xml:space="preserve">ve druhé polovině 4. stol. </w:t>
      </w:r>
      <w:r w:rsidR="00A25331" w:rsidRPr="003D1E07">
        <w:t xml:space="preserve">ve výkladu </w:t>
      </w:r>
      <w:r w:rsidR="00A25331" w:rsidRPr="003D1E07">
        <w:rPr>
          <w:i/>
        </w:rPr>
        <w:t>Kategorií</w:t>
      </w:r>
      <w:r w:rsidR="007A3867" w:rsidRPr="003D1E07">
        <w:t xml:space="preserve"> </w:t>
      </w:r>
      <w:r w:rsidR="00CE08F6" w:rsidRPr="003D1E07">
        <w:t>(</w:t>
      </w:r>
      <w:r w:rsidR="00701B2C" w:rsidRPr="003D1E07">
        <w:rPr>
          <w:i/>
        </w:rPr>
        <w:t>Dex</w:t>
      </w:r>
      <w:r w:rsidR="0072709A" w:rsidRPr="003D1E07">
        <w:rPr>
          <w:i/>
        </w:rPr>
        <w:t>ip</w:t>
      </w:r>
      <w:r w:rsidR="00701B2C" w:rsidRPr="003D1E07">
        <w:rPr>
          <w:i/>
        </w:rPr>
        <w:t>.</w:t>
      </w:r>
      <w:r w:rsidR="00701B2C" w:rsidRPr="003D1E07">
        <w:t xml:space="preserve"> </w:t>
      </w:r>
      <w:r w:rsidR="00701B2C" w:rsidRPr="003D1E07">
        <w:rPr>
          <w:i/>
        </w:rPr>
        <w:t>in Cat.</w:t>
      </w:r>
      <w:r w:rsidR="00701B2C" w:rsidRPr="003D1E07">
        <w:t xml:space="preserve"> </w:t>
      </w:r>
      <w:r w:rsidR="00CE08F6" w:rsidRPr="003D1E07">
        <w:t>40</w:t>
      </w:r>
      <w:r w:rsidR="00F10AFA" w:rsidRPr="003D1E07">
        <w:t>.</w:t>
      </w:r>
      <w:r w:rsidR="00CE08F6" w:rsidRPr="003D1E07">
        <w:t>14</w:t>
      </w:r>
      <w:r w:rsidR="002E49B4" w:rsidRPr="003D1E07">
        <w:t>–</w:t>
      </w:r>
      <w:r w:rsidR="00CE08F6" w:rsidRPr="003D1E07">
        <w:t>18</w:t>
      </w:r>
      <w:r w:rsidR="004017F8" w:rsidRPr="003D1E07">
        <w:rPr>
          <w:lang w:eastAsia="en-US"/>
        </w:rPr>
        <w:fldChar w:fldCharType="begin"/>
      </w:r>
      <w:r w:rsidR="004017F8" w:rsidRPr="003D1E07">
        <w:instrText xml:space="preserve"> XE "Dexippus:</w:instrText>
      </w:r>
      <w:r w:rsidR="004017F8" w:rsidRPr="003D1E07">
        <w:rPr>
          <w:i/>
        </w:rPr>
        <w:instrText>Dex</w:instrText>
      </w:r>
      <w:r w:rsidR="0072709A" w:rsidRPr="003D1E07">
        <w:rPr>
          <w:i/>
        </w:rPr>
        <w:instrText>ip</w:instrText>
      </w:r>
      <w:r w:rsidR="004017F8" w:rsidRPr="003D1E07">
        <w:rPr>
          <w:i/>
        </w:rPr>
        <w:instrText>.</w:instrText>
      </w:r>
      <w:r w:rsidR="004017F8" w:rsidRPr="003D1E07">
        <w:instrText xml:space="preserve"> </w:instrText>
      </w:r>
      <w:r w:rsidR="004017F8" w:rsidRPr="003D1E07">
        <w:rPr>
          <w:i/>
        </w:rPr>
        <w:instrText>in Cat.</w:instrText>
      </w:r>
      <w:r w:rsidR="004017F8" w:rsidRPr="003D1E07">
        <w:instrText xml:space="preserve"> 40.14–18" </w:instrText>
      </w:r>
      <w:r w:rsidR="004017F8" w:rsidRPr="003D1E07">
        <w:rPr>
          <w:lang w:eastAsia="en-US"/>
        </w:rPr>
        <w:fldChar w:fldCharType="end"/>
      </w:r>
      <w:r w:rsidR="00CE08F6" w:rsidRPr="003D1E07">
        <w:t xml:space="preserve">). </w:t>
      </w:r>
      <w:r w:rsidR="008C747B" w:rsidRPr="003D1E07">
        <w:t>S</w:t>
      </w:r>
      <w:r w:rsidR="00C90049" w:rsidRPr="003D1E07">
        <w:t xml:space="preserve">ubstance </w:t>
      </w:r>
      <w:r w:rsidR="008C747B" w:rsidRPr="003D1E07">
        <w:t xml:space="preserve">dostává </w:t>
      </w:r>
      <w:r w:rsidR="00235163" w:rsidRPr="003D1E07">
        <w:t xml:space="preserve">dvojí hyparchický status </w:t>
      </w:r>
      <w:r w:rsidR="008C747B" w:rsidRPr="003D1E07">
        <w:t>daný</w:t>
      </w:r>
      <w:r w:rsidR="00384264" w:rsidRPr="003D1E07">
        <w:t xml:space="preserve"> buď v říši intel</w:t>
      </w:r>
      <w:r w:rsidR="00EC2400" w:rsidRPr="003D1E07">
        <w:t xml:space="preserve">igibilních nebo materiálních forem </w:t>
      </w:r>
      <w:r w:rsidR="00235163" w:rsidRPr="003D1E07">
        <w:t>(διττῆς οὐσίας ὑπαρχούσης</w:t>
      </w:r>
      <w:r w:rsidR="00BE5D64" w:rsidRPr="003D1E07">
        <w:t xml:space="preserve">, </w:t>
      </w:r>
      <w:r w:rsidR="00701B2C" w:rsidRPr="003D1E07">
        <w:t xml:space="preserve">ibid. </w:t>
      </w:r>
      <w:r w:rsidR="00BE5D64" w:rsidRPr="003D1E07">
        <w:t>40</w:t>
      </w:r>
      <w:r w:rsidR="00F10AFA" w:rsidRPr="003D1E07">
        <w:t>.</w:t>
      </w:r>
      <w:r w:rsidR="00BE5D64" w:rsidRPr="003D1E07">
        <w:t>14</w:t>
      </w:r>
      <w:r w:rsidR="00646C6E" w:rsidRPr="003D1E07">
        <w:rPr>
          <w:lang w:eastAsia="en-US"/>
        </w:rPr>
        <w:fldChar w:fldCharType="begin"/>
      </w:r>
      <w:r w:rsidR="00646C6E" w:rsidRPr="003D1E07">
        <w:instrText xml:space="preserve"> XE "Dexippus:</w:instrText>
      </w:r>
      <w:r w:rsidR="00646C6E" w:rsidRPr="003D1E07">
        <w:rPr>
          <w:i/>
        </w:rPr>
        <w:instrText>Dex</w:instrText>
      </w:r>
      <w:r w:rsidR="0072709A" w:rsidRPr="003D1E07">
        <w:rPr>
          <w:i/>
        </w:rPr>
        <w:instrText>ip</w:instrText>
      </w:r>
      <w:r w:rsidR="00646C6E" w:rsidRPr="003D1E07">
        <w:rPr>
          <w:i/>
        </w:rPr>
        <w:instrText>.</w:instrText>
      </w:r>
      <w:r w:rsidR="00646C6E" w:rsidRPr="003D1E07">
        <w:instrText xml:space="preserve"> </w:instrText>
      </w:r>
      <w:r w:rsidR="00646C6E" w:rsidRPr="003D1E07">
        <w:rPr>
          <w:i/>
        </w:rPr>
        <w:instrText>in Cat.</w:instrText>
      </w:r>
      <w:r w:rsidR="00646C6E" w:rsidRPr="003D1E07">
        <w:instrText xml:space="preserve"> 40.14" </w:instrText>
      </w:r>
      <w:r w:rsidR="00646C6E" w:rsidRPr="003D1E07">
        <w:rPr>
          <w:lang w:eastAsia="en-US"/>
        </w:rPr>
        <w:fldChar w:fldCharType="end"/>
      </w:r>
      <w:r w:rsidR="00235163" w:rsidRPr="003D1E07">
        <w:t>)</w:t>
      </w:r>
      <w:r w:rsidR="00C90049" w:rsidRPr="003D1E07">
        <w:t xml:space="preserve">. </w:t>
      </w:r>
      <w:r w:rsidR="00377244" w:rsidRPr="003D1E07">
        <w:t>Zdvojení první substance</w:t>
      </w:r>
      <w:r w:rsidR="00A70FA4" w:rsidRPr="003D1E07">
        <w:fldChar w:fldCharType="begin"/>
      </w:r>
      <w:r w:rsidR="00A70FA4" w:rsidRPr="003D1E07">
        <w:instrText xml:space="preserve"> XE "substance</w:instrText>
      </w:r>
      <w:r w:rsidR="00372E82" w:rsidRPr="003D1E07">
        <w:instrText>:Dexippus</w:instrText>
      </w:r>
      <w:r w:rsidR="00A70FA4" w:rsidRPr="003D1E07">
        <w:instrText xml:space="preserve">" </w:instrText>
      </w:r>
      <w:r w:rsidR="00A70FA4" w:rsidRPr="003D1E07">
        <w:fldChar w:fldCharType="end"/>
      </w:r>
      <w:r w:rsidR="00377244" w:rsidRPr="003D1E07">
        <w:t xml:space="preserve"> </w:t>
      </w:r>
      <w:r w:rsidR="08F126C0" w:rsidRPr="003D1E07">
        <w:t xml:space="preserve">navazuje na </w:t>
      </w:r>
      <w:r w:rsidR="00BB45B1" w:rsidRPr="003D1E07">
        <w:t>Porfyri</w:t>
      </w:r>
      <w:r w:rsidR="08B456FF" w:rsidRPr="003D1E07">
        <w:t>ů</w:t>
      </w:r>
      <w:r w:rsidR="00C90049" w:rsidRPr="003D1E07">
        <w:t>v</w:t>
      </w:r>
      <w:r w:rsidR="08B456FF" w:rsidRPr="003D1E07">
        <w:t xml:space="preserve"> výklad</w:t>
      </w:r>
      <w:r w:rsidR="00C90049" w:rsidRPr="003D1E07">
        <w:t xml:space="preserve"> </w:t>
      </w:r>
      <w:r w:rsidR="08B456FF" w:rsidRPr="003D1E07">
        <w:t>zdvojeného bytí Jednoho</w:t>
      </w:r>
      <w:r w:rsidR="003F5F36" w:rsidRPr="003D1E07">
        <w:t xml:space="preserve"> vyložený výše</w:t>
      </w:r>
      <w:r w:rsidR="08B456FF" w:rsidRPr="003D1E07">
        <w:t xml:space="preserve">. </w:t>
      </w:r>
      <w:r w:rsidR="0024168F" w:rsidRPr="003D1E07">
        <w:t xml:space="preserve">Dexippův výklad </w:t>
      </w:r>
      <w:r w:rsidR="0024168F" w:rsidRPr="003D1E07">
        <w:rPr>
          <w:i/>
        </w:rPr>
        <w:t>Kategorií</w:t>
      </w:r>
      <w:r w:rsidR="00235163" w:rsidRPr="003D1E07">
        <w:t xml:space="preserve"> chápe substanci </w:t>
      </w:r>
      <w:r w:rsidR="00384264" w:rsidRPr="003D1E07">
        <w:t>ve dvou modech</w:t>
      </w:r>
      <w:r w:rsidR="00B54D47" w:rsidRPr="003D1E07">
        <w:t>. J</w:t>
      </w:r>
      <w:r w:rsidR="00235163" w:rsidRPr="003D1E07">
        <w:t xml:space="preserve">ednak jako Aristotelovu první substanci a jednak jako obecninu (τί γὰρ κοινὸν ἐν ἀμφοτέροις τούτοις ἐν τῷ εἶναι ὑπάρχει, </w:t>
      </w:r>
      <w:r w:rsidR="00E61AD6" w:rsidRPr="003D1E07">
        <w:t>i</w:t>
      </w:r>
      <w:r w:rsidR="00701B2C" w:rsidRPr="003D1E07">
        <w:t>b</w:t>
      </w:r>
      <w:r w:rsidR="00E61AD6" w:rsidRPr="003D1E07">
        <w:t xml:space="preserve">id. </w:t>
      </w:r>
      <w:r w:rsidR="00235163" w:rsidRPr="003D1E07">
        <w:t>40.15</w:t>
      </w:r>
      <w:r w:rsidR="002E49B4" w:rsidRPr="003D1E07">
        <w:t>–</w:t>
      </w:r>
      <w:r w:rsidR="00235163" w:rsidRPr="003D1E07">
        <w:t>16</w:t>
      </w:r>
      <w:r w:rsidR="004017F8" w:rsidRPr="003D1E07">
        <w:rPr>
          <w:lang w:eastAsia="en-US"/>
        </w:rPr>
        <w:fldChar w:fldCharType="begin"/>
      </w:r>
      <w:r w:rsidR="004017F8" w:rsidRPr="003D1E07">
        <w:instrText xml:space="preserve"> XE "Dexippus:</w:instrText>
      </w:r>
      <w:r w:rsidR="004017F8" w:rsidRPr="003D1E07">
        <w:rPr>
          <w:i/>
        </w:rPr>
        <w:instrText>Dex</w:instrText>
      </w:r>
      <w:r w:rsidR="0072709A" w:rsidRPr="003D1E07">
        <w:rPr>
          <w:i/>
        </w:rPr>
        <w:instrText>ip</w:instrText>
      </w:r>
      <w:r w:rsidR="004017F8" w:rsidRPr="003D1E07">
        <w:rPr>
          <w:i/>
        </w:rPr>
        <w:instrText>.</w:instrText>
      </w:r>
      <w:r w:rsidR="004017F8" w:rsidRPr="003D1E07">
        <w:instrText xml:space="preserve"> </w:instrText>
      </w:r>
      <w:r w:rsidR="004017F8" w:rsidRPr="003D1E07">
        <w:rPr>
          <w:i/>
        </w:rPr>
        <w:instrText>in Cat.</w:instrText>
      </w:r>
      <w:r w:rsidR="004017F8" w:rsidRPr="003D1E07">
        <w:instrText xml:space="preserve"> 40.15–16" </w:instrText>
      </w:r>
      <w:r w:rsidR="004017F8" w:rsidRPr="003D1E07">
        <w:rPr>
          <w:lang w:eastAsia="en-US"/>
        </w:rPr>
        <w:fldChar w:fldCharType="end"/>
      </w:r>
      <w:r w:rsidR="00235163" w:rsidRPr="003D1E07">
        <w:t>)</w:t>
      </w:r>
      <w:r w:rsidR="00BB2DEC" w:rsidRPr="003D1E07">
        <w:t xml:space="preserve">. </w:t>
      </w:r>
      <w:r w:rsidR="08C348CF" w:rsidRPr="003D1E07">
        <w:t xml:space="preserve">Akt bytí jsoucna daný původně jen na </w:t>
      </w:r>
      <w:r w:rsidR="086F6C44" w:rsidRPr="003D1E07">
        <w:t xml:space="preserve">první </w:t>
      </w:r>
      <w:r w:rsidR="08C348CF" w:rsidRPr="003D1E07">
        <w:t xml:space="preserve">substanci se stává výsadou subsistentního bytí jako takového, které je pojato jako Plotinův nejvyšší rod (ἐν τῷ εἶναι). </w:t>
      </w:r>
      <w:r w:rsidR="080002AA" w:rsidRPr="003D1E07">
        <w:t xml:space="preserve">Hyparchické bytí, které spis </w:t>
      </w:r>
      <w:r w:rsidR="080002AA" w:rsidRPr="003D1E07">
        <w:rPr>
          <w:i/>
        </w:rPr>
        <w:t>Kategorie</w:t>
      </w:r>
      <w:r w:rsidR="080002AA" w:rsidRPr="003D1E07">
        <w:t xml:space="preserve"> dával pouze první substanci, se stalo univerzální vlastností jsoucna jako takového, protože do sebe zahrnuje i bytí univerzálie. </w:t>
      </w:r>
      <w:r w:rsidR="00D33026" w:rsidRPr="003D1E07">
        <w:t>T</w:t>
      </w:r>
      <w:r w:rsidR="00346AF7" w:rsidRPr="003D1E07">
        <w:t xml:space="preserve">ato </w:t>
      </w:r>
      <w:r w:rsidR="00D33026" w:rsidRPr="003D1E07">
        <w:t>nov</w:t>
      </w:r>
      <w:r w:rsidR="00346AF7" w:rsidRPr="003D1E07">
        <w:t>á</w:t>
      </w:r>
      <w:r w:rsidR="00D33026" w:rsidRPr="003D1E07">
        <w:t xml:space="preserve"> </w:t>
      </w:r>
      <w:r w:rsidR="083336D4" w:rsidRPr="003D1E07">
        <w:t xml:space="preserve">hyparchická </w:t>
      </w:r>
      <w:r w:rsidR="00841BEF" w:rsidRPr="003D1E07">
        <w:t>substance</w:t>
      </w:r>
      <w:r w:rsidR="00D33026" w:rsidRPr="003D1E07">
        <w:t xml:space="preserve"> třetího druhu </w:t>
      </w:r>
      <w:r w:rsidR="00346AF7" w:rsidRPr="003D1E07">
        <w:t xml:space="preserve">stojí mimo aristotelské určení tělesa (οὔτε σῶμά ἐστιν οὔτ' ἀσώματον), proto je </w:t>
      </w:r>
      <w:r w:rsidR="00841BEF" w:rsidRPr="003D1E07">
        <w:t xml:space="preserve">dána </w:t>
      </w:r>
      <w:r w:rsidR="00346AF7" w:rsidRPr="003D1E07">
        <w:t xml:space="preserve">v </w:t>
      </w:r>
      <w:r w:rsidR="08A26F57" w:rsidRPr="003D1E07">
        <w:t xml:space="preserve">řádu </w:t>
      </w:r>
      <w:r w:rsidR="08A26F57" w:rsidRPr="003D1E07">
        <w:rPr>
          <w:i/>
        </w:rPr>
        <w:t>per prius</w:t>
      </w:r>
      <w:r w:rsidR="08A26F57" w:rsidRPr="003D1E07">
        <w:t xml:space="preserve"> </w:t>
      </w:r>
      <w:r w:rsidR="00841BEF" w:rsidRPr="003D1E07">
        <w:t xml:space="preserve">vzhledem </w:t>
      </w:r>
      <w:r w:rsidR="00346AF7" w:rsidRPr="003D1E07">
        <w:t xml:space="preserve">k </w:t>
      </w:r>
      <w:r w:rsidR="004B3150" w:rsidRPr="003D1E07">
        <w:t xml:space="preserve">mnohosti reálných substancí </w:t>
      </w:r>
      <w:r w:rsidR="00346AF7" w:rsidRPr="003D1E07">
        <w:t>(πρότερον ἄλλο τούτων</w:t>
      </w:r>
      <w:r w:rsidR="08A26F57" w:rsidRPr="003D1E07">
        <w:t xml:space="preserve">, </w:t>
      </w:r>
      <w:r w:rsidR="00E61AD6" w:rsidRPr="003D1E07">
        <w:t xml:space="preserve">ibid. </w:t>
      </w:r>
      <w:r w:rsidR="08A26F57" w:rsidRPr="003D1E07">
        <w:t>40.17–18</w:t>
      </w:r>
      <w:r w:rsidR="004017F8" w:rsidRPr="003D1E07">
        <w:rPr>
          <w:lang w:eastAsia="en-US"/>
        </w:rPr>
        <w:fldChar w:fldCharType="begin"/>
      </w:r>
      <w:r w:rsidR="004017F8" w:rsidRPr="003D1E07">
        <w:instrText xml:space="preserve"> XE "Dexippus:</w:instrText>
      </w:r>
      <w:r w:rsidR="004017F8" w:rsidRPr="003D1E07">
        <w:rPr>
          <w:i/>
        </w:rPr>
        <w:instrText>Dex</w:instrText>
      </w:r>
      <w:r w:rsidR="00491832" w:rsidRPr="003D1E07">
        <w:rPr>
          <w:i/>
        </w:rPr>
        <w:instrText>ip</w:instrText>
      </w:r>
      <w:r w:rsidR="004017F8" w:rsidRPr="003D1E07">
        <w:rPr>
          <w:i/>
        </w:rPr>
        <w:instrText>.</w:instrText>
      </w:r>
      <w:r w:rsidR="004017F8" w:rsidRPr="003D1E07">
        <w:instrText xml:space="preserve"> </w:instrText>
      </w:r>
      <w:r w:rsidR="004017F8" w:rsidRPr="003D1E07">
        <w:rPr>
          <w:i/>
        </w:rPr>
        <w:instrText>in Cat.</w:instrText>
      </w:r>
      <w:r w:rsidR="004017F8" w:rsidRPr="003D1E07">
        <w:instrText xml:space="preserve"> 40.17–18" </w:instrText>
      </w:r>
      <w:r w:rsidR="004017F8" w:rsidRPr="003D1E07">
        <w:rPr>
          <w:lang w:eastAsia="en-US"/>
        </w:rPr>
        <w:fldChar w:fldCharType="end"/>
      </w:r>
      <w:r w:rsidR="08A26F57" w:rsidRPr="003D1E07">
        <w:t xml:space="preserve">). </w:t>
      </w:r>
      <w:r w:rsidR="0850786A" w:rsidRPr="003D1E07">
        <w:t xml:space="preserve">Tím vznikla v neoplatonismu nová forma </w:t>
      </w:r>
      <w:r w:rsidR="00BD0C86" w:rsidRPr="003D1E07">
        <w:t>pro</w:t>
      </w:r>
      <w:r w:rsidR="00F515E3" w:rsidRPr="003D1E07">
        <w:t>hyp</w:t>
      </w:r>
      <w:r w:rsidR="00BD0C86" w:rsidRPr="003D1E07">
        <w:t xml:space="preserve">archické </w:t>
      </w:r>
      <w:r w:rsidR="08DF3C64" w:rsidRPr="003D1E07">
        <w:t xml:space="preserve">predikace </w:t>
      </w:r>
      <w:r w:rsidR="0850786A" w:rsidRPr="003D1E07">
        <w:rPr>
          <w:i/>
        </w:rPr>
        <w:t>pros hen</w:t>
      </w:r>
      <w:r w:rsidR="00BD0C86" w:rsidRPr="003D1E07">
        <w:t xml:space="preserve">, která </w:t>
      </w:r>
      <w:r w:rsidR="005A0F3D" w:rsidRPr="003D1E07">
        <w:t xml:space="preserve">do sebe </w:t>
      </w:r>
      <w:r w:rsidR="00621FF2" w:rsidRPr="003D1E07">
        <w:t xml:space="preserve">integrovala </w:t>
      </w:r>
      <w:r w:rsidR="0066622E" w:rsidRPr="003D1E07">
        <w:t>hyparchickou predikaci</w:t>
      </w:r>
      <w:r w:rsidR="00621FF2" w:rsidRPr="003D1E07">
        <w:t xml:space="preserve"> spisu </w:t>
      </w:r>
      <w:r w:rsidR="00621FF2" w:rsidRPr="003D1E07">
        <w:rPr>
          <w:i/>
        </w:rPr>
        <w:t>Kategorie</w:t>
      </w:r>
      <w:r w:rsidR="0066622E" w:rsidRPr="003D1E07">
        <w:t xml:space="preserve">. </w:t>
      </w:r>
      <w:r w:rsidR="08186DED" w:rsidRPr="003D1E07">
        <w:t>Dexippus spojil hyparchickou a pro</w:t>
      </w:r>
      <w:r w:rsidR="00F515E3" w:rsidRPr="003D1E07">
        <w:t>hyp</w:t>
      </w:r>
      <w:r w:rsidR="08186DED" w:rsidRPr="003D1E07">
        <w:t xml:space="preserve">archickou predikaci i na úrovni reálné substance, což by Porfyrius jistě odmítl. </w:t>
      </w:r>
      <w:r w:rsidR="009A3D0D" w:rsidRPr="003D1E07">
        <w:t xml:space="preserve">Hyparchické postavení první substance se změnilo na </w:t>
      </w:r>
      <w:r w:rsidR="00874074" w:rsidRPr="003D1E07">
        <w:t>neoplatonsk</w:t>
      </w:r>
      <w:r w:rsidR="009A3D0D" w:rsidRPr="003D1E07">
        <w:t xml:space="preserve">é </w:t>
      </w:r>
      <w:r w:rsidR="00510F76" w:rsidRPr="003D1E07">
        <w:t xml:space="preserve">určení </w:t>
      </w:r>
      <w:r w:rsidR="007B2458" w:rsidRPr="003D1E07">
        <w:t xml:space="preserve">transcendentální </w:t>
      </w:r>
      <w:r w:rsidR="00510F76" w:rsidRPr="003D1E07">
        <w:t xml:space="preserve">jednoty predikované skrze </w:t>
      </w:r>
      <w:r w:rsidR="009A3D0D" w:rsidRPr="003D1E07">
        <w:t xml:space="preserve">nejvyšší </w:t>
      </w:r>
      <w:r w:rsidR="00510F76" w:rsidRPr="003D1E07">
        <w:t>rody</w:t>
      </w:r>
      <w:r w:rsidR="00372E82" w:rsidRPr="003D1E07">
        <w:rPr>
          <w:rStyle w:val="addmd"/>
        </w:rPr>
        <w:fldChar w:fldCharType="begin"/>
      </w:r>
      <w:r w:rsidR="00372E82" w:rsidRPr="003D1E07">
        <w:instrText xml:space="preserve"> XE "</w:instrText>
      </w:r>
      <w:r w:rsidR="00503C55" w:rsidRPr="003D1E07">
        <w:rPr>
          <w:rStyle w:val="addmd"/>
        </w:rPr>
        <w:instrText>predikace:prohyparchická</w:instrText>
      </w:r>
      <w:r w:rsidR="00372E82" w:rsidRPr="003D1E07">
        <w:instrText xml:space="preserve">" </w:instrText>
      </w:r>
      <w:r w:rsidR="00372E82" w:rsidRPr="003D1E07">
        <w:rPr>
          <w:rStyle w:val="addmd"/>
        </w:rPr>
        <w:fldChar w:fldCharType="end"/>
      </w:r>
      <w:r w:rsidR="009A3D0D" w:rsidRPr="003D1E07">
        <w:t xml:space="preserve">. </w:t>
      </w:r>
      <w:r w:rsidR="08310FFC" w:rsidRPr="003D1E07">
        <w:t xml:space="preserve">Mytopoetické </w:t>
      </w:r>
      <w:r w:rsidR="000670E2" w:rsidRPr="003D1E07">
        <w:t xml:space="preserve">Jedno </w:t>
      </w:r>
      <w:r w:rsidR="08310FFC" w:rsidRPr="003D1E07">
        <w:t xml:space="preserve">tvořící základ nového systému metafyziky </w:t>
      </w:r>
      <w:r w:rsidR="000670E2" w:rsidRPr="003D1E07">
        <w:t xml:space="preserve">nahradilo první substanci díky gnostickému a filosofickému náhledu jednoty chápané </w:t>
      </w:r>
      <w:r w:rsidR="088F1C8F" w:rsidRPr="003D1E07">
        <w:t>univerzálně-</w:t>
      </w:r>
      <w:r w:rsidR="000670E2" w:rsidRPr="003D1E07">
        <w:t xml:space="preserve">analogicky. </w:t>
      </w:r>
      <w:r w:rsidR="003163ED" w:rsidRPr="003D1E07">
        <w:t xml:space="preserve">Inteligibilní </w:t>
      </w:r>
      <w:r w:rsidR="08727343" w:rsidRPr="003D1E07">
        <w:t xml:space="preserve">kosmická </w:t>
      </w:r>
      <w:r w:rsidR="003163ED" w:rsidRPr="003D1E07">
        <w:t xml:space="preserve">substance známá z </w:t>
      </w:r>
      <w:r w:rsidR="003163ED" w:rsidRPr="003D1E07">
        <w:rPr>
          <w:i/>
        </w:rPr>
        <w:t>Metafyziky</w:t>
      </w:r>
      <w:r w:rsidR="003163ED" w:rsidRPr="003D1E07">
        <w:t xml:space="preserve"> </w:t>
      </w:r>
      <w:r w:rsidR="082B43CA" w:rsidRPr="003D1E07">
        <w:rPr>
          <w:i/>
        </w:rPr>
        <w:t>Lambda</w:t>
      </w:r>
      <w:r w:rsidR="003163ED" w:rsidRPr="003D1E07">
        <w:t xml:space="preserve"> (1069a34</w:t>
      </w:r>
      <w:r w:rsidR="004017F8" w:rsidRPr="003D1E07">
        <w:rPr>
          <w:lang w:eastAsia="en-US"/>
        </w:rPr>
        <w:fldChar w:fldCharType="begin"/>
      </w:r>
      <w:r w:rsidR="004017F8" w:rsidRPr="003D1E07">
        <w:instrText xml:space="preserve"> XE "</w:instrText>
      </w:r>
      <w:r w:rsidR="008E02F5" w:rsidRPr="003D1E07">
        <w:instrText>Aristoteles</w:instrText>
      </w:r>
      <w:r w:rsidR="004017F8" w:rsidRPr="003D1E07">
        <w:instrText>:</w:instrText>
      </w:r>
      <w:r w:rsidR="004017F8" w:rsidRPr="003D1E07">
        <w:rPr>
          <w:i/>
        </w:rPr>
        <w:instrText>Met</w:instrText>
      </w:r>
      <w:r w:rsidR="004017F8" w:rsidRPr="003D1E07">
        <w:instrText xml:space="preserve">. 1069a34" </w:instrText>
      </w:r>
      <w:r w:rsidR="004017F8" w:rsidRPr="003D1E07">
        <w:rPr>
          <w:lang w:eastAsia="en-US"/>
        </w:rPr>
        <w:fldChar w:fldCharType="end"/>
      </w:r>
      <w:r w:rsidR="003163ED" w:rsidRPr="003D1E07">
        <w:t>; 1071b4</w:t>
      </w:r>
      <w:r w:rsidR="004017F8" w:rsidRPr="003D1E07">
        <w:rPr>
          <w:lang w:eastAsia="en-US"/>
        </w:rPr>
        <w:fldChar w:fldCharType="begin"/>
      </w:r>
      <w:r w:rsidR="004017F8" w:rsidRPr="003D1E07">
        <w:instrText xml:space="preserve"> XE "</w:instrText>
      </w:r>
      <w:r w:rsidR="008E02F5" w:rsidRPr="003D1E07">
        <w:instrText>Aristoteles</w:instrText>
      </w:r>
      <w:r w:rsidR="004017F8" w:rsidRPr="003D1E07">
        <w:instrText>:</w:instrText>
      </w:r>
      <w:r w:rsidR="004017F8" w:rsidRPr="003D1E07">
        <w:rPr>
          <w:i/>
        </w:rPr>
        <w:instrText>Met</w:instrText>
      </w:r>
      <w:r w:rsidR="004017F8" w:rsidRPr="003D1E07">
        <w:instrText xml:space="preserve">. 1071b4" </w:instrText>
      </w:r>
      <w:r w:rsidR="004017F8" w:rsidRPr="003D1E07">
        <w:rPr>
          <w:lang w:eastAsia="en-US"/>
        </w:rPr>
        <w:fldChar w:fldCharType="end"/>
      </w:r>
      <w:r w:rsidR="003163ED" w:rsidRPr="003D1E07">
        <w:t xml:space="preserve">) je v pozdním neoplatonismu napojena na bytí Jednoho skrze koncept numerické jednoty jsoucna. </w:t>
      </w:r>
      <w:r w:rsidR="00E139AC" w:rsidRPr="003D1E07">
        <w:t xml:space="preserve">Díky nově zavedené analogii v modu matematické demiurgie je </w:t>
      </w:r>
      <w:r w:rsidR="007F0778" w:rsidRPr="003D1E07">
        <w:t xml:space="preserve">význam </w:t>
      </w:r>
      <w:r w:rsidR="00E139AC" w:rsidRPr="003D1E07">
        <w:t xml:space="preserve">první a druhé substance spojen do jednoho </w:t>
      </w:r>
      <w:r w:rsidR="007F0778" w:rsidRPr="003D1E07">
        <w:t xml:space="preserve">metafyzického </w:t>
      </w:r>
      <w:r w:rsidR="00E139AC" w:rsidRPr="003D1E07">
        <w:t xml:space="preserve">celku. </w:t>
      </w:r>
      <w:r w:rsidR="003163ED" w:rsidRPr="003D1E07">
        <w:t xml:space="preserve">Jednotu založenou numericky či analogicky </w:t>
      </w:r>
      <w:r w:rsidR="008E02F5" w:rsidRPr="003D1E07">
        <w:t>Aristoteles</w:t>
      </w:r>
      <w:r w:rsidR="003163ED" w:rsidRPr="003D1E07">
        <w:t xml:space="preserve"> </w:t>
      </w:r>
      <w:r w:rsidR="00E139AC" w:rsidRPr="003D1E07">
        <w:t xml:space="preserve">zásadně </w:t>
      </w:r>
      <w:r w:rsidR="003163ED" w:rsidRPr="003D1E07">
        <w:t xml:space="preserve">odmítl </w:t>
      </w:r>
      <w:r w:rsidR="00E139AC" w:rsidRPr="003D1E07">
        <w:t>pro metafyzickou jednotu</w:t>
      </w:r>
      <w:r w:rsidR="00DB4124">
        <w:t xml:space="preserve"> jsoucna</w:t>
      </w:r>
      <w:r w:rsidR="003163ED" w:rsidRPr="003D1E07">
        <w:t xml:space="preserve">, protože </w:t>
      </w:r>
      <w:r w:rsidR="00A53D2B" w:rsidRPr="003D1E07">
        <w:t xml:space="preserve">analogie </w:t>
      </w:r>
      <w:r w:rsidR="003163ED" w:rsidRPr="003D1E07">
        <w:t>signifikuje jednotu jsoucna pouze v modu homonymie</w:t>
      </w:r>
      <w:r w:rsidR="00447BAB" w:rsidRPr="003D1E07">
        <w:fldChar w:fldCharType="begin"/>
      </w:r>
      <w:r w:rsidR="00447BAB" w:rsidRPr="003D1E07">
        <w:instrText xml:space="preserve"> XE "homonymie" </w:instrText>
      </w:r>
      <w:r w:rsidR="00447BAB" w:rsidRPr="003D1E07">
        <w:fldChar w:fldCharType="end"/>
      </w:r>
      <w:r w:rsidR="003163ED" w:rsidRPr="003D1E07">
        <w:t xml:space="preserve">. </w:t>
      </w:r>
      <w:r w:rsidR="00BA4A71" w:rsidRPr="003D1E07">
        <w:t xml:space="preserve">Aristotelova </w:t>
      </w:r>
      <w:r w:rsidR="00BA4A71" w:rsidRPr="003D1E07">
        <w:rPr>
          <w:i/>
        </w:rPr>
        <w:t>Metafyzika</w:t>
      </w:r>
      <w:r w:rsidR="00BA4A71" w:rsidRPr="003D1E07">
        <w:t xml:space="preserve"> chápe číselné uchopení reálné substance </w:t>
      </w:r>
      <w:r w:rsidR="00591662" w:rsidRPr="003D1E07">
        <w:t>jako slabý smysl jednoty</w:t>
      </w:r>
      <w:r w:rsidR="00BA4A71" w:rsidRPr="003D1E07">
        <w:t xml:space="preserve">, protože tím není vyjádřena reálná bytnost substance (οὐδὲ ὁ ὁρισμὸς οὐδὲ τὸ τί ἦν εἶναι οὐκέτι ἔσται, </w:t>
      </w:r>
      <w:r w:rsidR="00BA4A71" w:rsidRPr="003D1E07">
        <w:rPr>
          <w:i/>
        </w:rPr>
        <w:t>Met</w:t>
      </w:r>
      <w:r w:rsidR="00BA4A71" w:rsidRPr="003D1E07">
        <w:t>. 1044a1</w:t>
      </w:r>
      <w:r w:rsidR="00BA4A71" w:rsidRPr="003D1E07">
        <w:rPr>
          <w:rFonts w:ascii="Georgia" w:hAnsi="Georgia"/>
        </w:rPr>
        <w:t>–</w:t>
      </w:r>
      <w:r w:rsidR="00BA4A71" w:rsidRPr="003D1E07">
        <w:t>2</w:t>
      </w:r>
      <w:r w:rsidR="004017F8" w:rsidRPr="003D1E07">
        <w:rPr>
          <w:lang w:eastAsia="en-US"/>
        </w:rPr>
        <w:fldChar w:fldCharType="begin"/>
      </w:r>
      <w:r w:rsidR="004017F8" w:rsidRPr="003D1E07">
        <w:instrText xml:space="preserve"> XE "</w:instrText>
      </w:r>
      <w:r w:rsidR="008E02F5" w:rsidRPr="003D1E07">
        <w:instrText>Aristoteles</w:instrText>
      </w:r>
      <w:r w:rsidR="004017F8" w:rsidRPr="003D1E07">
        <w:instrText>:</w:instrText>
      </w:r>
      <w:r w:rsidR="004017F8" w:rsidRPr="003D1E07">
        <w:rPr>
          <w:i/>
        </w:rPr>
        <w:instrText>Met</w:instrText>
      </w:r>
      <w:r w:rsidR="004017F8" w:rsidRPr="003D1E07">
        <w:instrText>. 1044a1</w:instrText>
      </w:r>
      <w:r w:rsidR="004017F8" w:rsidRPr="003D1E07">
        <w:rPr>
          <w:rFonts w:ascii="Georgia" w:hAnsi="Georgia"/>
        </w:rPr>
        <w:instrText>–</w:instrText>
      </w:r>
      <w:r w:rsidR="004017F8" w:rsidRPr="003D1E07">
        <w:instrText xml:space="preserve">2" </w:instrText>
      </w:r>
      <w:r w:rsidR="004017F8" w:rsidRPr="003D1E07">
        <w:rPr>
          <w:lang w:eastAsia="en-US"/>
        </w:rPr>
        <w:fldChar w:fldCharType="end"/>
      </w:r>
      <w:r w:rsidR="00BA4A71" w:rsidRPr="003D1E07">
        <w:t>).</w:t>
      </w:r>
      <w:r w:rsidR="0094621D" w:rsidRPr="003D1E07">
        <w:t xml:space="preserve"> </w:t>
      </w:r>
      <w:r w:rsidR="00591662" w:rsidRPr="003D1E07">
        <w:t xml:space="preserve">Analogická jednota daná matematicky nemůže nahradit metafyzickou jednotu jsoucna danou </w:t>
      </w:r>
      <w:r w:rsidR="00954BDB">
        <w:t xml:space="preserve">impozicí významu </w:t>
      </w:r>
      <w:r w:rsidR="00591662" w:rsidRPr="003D1E07">
        <w:t xml:space="preserve">směrem od reálných substancí. </w:t>
      </w:r>
      <w:r w:rsidR="001B050F" w:rsidRPr="003D1E07">
        <w:t xml:space="preserve">Predikace </w:t>
      </w:r>
      <w:r w:rsidR="001B050F" w:rsidRPr="003D1E07">
        <w:rPr>
          <w:i/>
        </w:rPr>
        <w:t>per prius</w:t>
      </w:r>
      <w:r w:rsidR="001B050F" w:rsidRPr="003D1E07">
        <w:t xml:space="preserve"> </w:t>
      </w:r>
      <w:r w:rsidR="008D4D03" w:rsidRPr="003D1E07">
        <w:t xml:space="preserve">daná </w:t>
      </w:r>
      <w:r w:rsidR="001B050F" w:rsidRPr="003D1E07">
        <w:t xml:space="preserve">u </w:t>
      </w:r>
      <w:r w:rsidR="001B050F" w:rsidRPr="003D1E07">
        <w:lastRenderedPageBreak/>
        <w:t xml:space="preserve">Aristotela </w:t>
      </w:r>
      <w:r w:rsidR="008D4D03" w:rsidRPr="003D1E07">
        <w:t xml:space="preserve">vzhledem </w:t>
      </w:r>
      <w:r w:rsidR="08657CC4" w:rsidRPr="003D1E07">
        <w:t xml:space="preserve">k první </w:t>
      </w:r>
      <w:r w:rsidR="001B050F" w:rsidRPr="003D1E07">
        <w:t xml:space="preserve">substanci, je </w:t>
      </w:r>
      <w:r w:rsidR="005759D4" w:rsidRPr="003D1E07">
        <w:t xml:space="preserve">v neoplatonismu </w:t>
      </w:r>
      <w:r w:rsidR="00564B8A" w:rsidRPr="003D1E07">
        <w:t xml:space="preserve">doplněna </w:t>
      </w:r>
      <w:r w:rsidR="001B050F" w:rsidRPr="003D1E07">
        <w:t xml:space="preserve">emanačním scénářem hierachicky daných </w:t>
      </w:r>
      <w:r w:rsidR="009B3E9D" w:rsidRPr="003D1E07">
        <w:t xml:space="preserve">hypostází a </w:t>
      </w:r>
      <w:r w:rsidR="001B050F" w:rsidRPr="003D1E07">
        <w:t xml:space="preserve">forem. </w:t>
      </w:r>
      <w:r w:rsidR="00C019EF" w:rsidRPr="003D1E07">
        <w:t xml:space="preserve">Dexippova forma analogie ukazuje, že </w:t>
      </w:r>
      <w:r w:rsidR="006A4B1C" w:rsidRPr="003D1E07">
        <w:t xml:space="preserve">mezi první a druhou substanci </w:t>
      </w:r>
      <w:r w:rsidR="00C019EF" w:rsidRPr="003D1E07">
        <w:t xml:space="preserve">se </w:t>
      </w:r>
      <w:r w:rsidR="006A4B1C" w:rsidRPr="003D1E07">
        <w:t xml:space="preserve">postupně vsunuje nový </w:t>
      </w:r>
      <w:r w:rsidR="00BA7805" w:rsidRPr="003D1E07">
        <w:t xml:space="preserve">ontologický </w:t>
      </w:r>
      <w:r w:rsidR="001D090D" w:rsidRPr="003D1E07">
        <w:t>hybrid</w:t>
      </w:r>
      <w:r w:rsidR="00C019EF" w:rsidRPr="003D1E07">
        <w:t xml:space="preserve"> daný jako substance třetího druhu</w:t>
      </w:r>
      <w:r w:rsidR="006A4B1C" w:rsidRPr="003D1E07">
        <w:t>.</w:t>
      </w:r>
      <w:r w:rsidR="00C019EF" w:rsidRPr="003D1E07">
        <w:rPr>
          <w:rStyle w:val="Znakapoznpodarou"/>
        </w:rPr>
        <w:footnoteReference w:id="57"/>
      </w:r>
      <w:r w:rsidR="006A4B1C" w:rsidRPr="003D1E07">
        <w:t xml:space="preserve"> </w:t>
      </w:r>
      <w:r w:rsidR="005A50B4" w:rsidRPr="003D1E07">
        <w:t>Dexippus integroval kategoriální predikaci</w:t>
      </w:r>
      <w:r w:rsidR="00347B80" w:rsidRPr="003D1E07">
        <w:t xml:space="preserve"> skrze analogii do </w:t>
      </w:r>
      <w:r w:rsidR="08E418F4" w:rsidRPr="003D1E07">
        <w:t>Ploti</w:t>
      </w:r>
      <w:r w:rsidR="005A50B4" w:rsidRPr="003D1E07">
        <w:t>nova systému emanací</w:t>
      </w:r>
      <w:r w:rsidR="00372E82" w:rsidRPr="003D1E07">
        <w:rPr>
          <w:rStyle w:val="addmd"/>
          <w:i/>
        </w:rPr>
        <w:fldChar w:fldCharType="begin"/>
      </w:r>
      <w:r w:rsidR="00372E82" w:rsidRPr="003D1E07">
        <w:instrText xml:space="preserve"> XE "</w:instrText>
      </w:r>
      <w:r w:rsidR="00372E82" w:rsidRPr="003D1E07">
        <w:rPr>
          <w:rStyle w:val="Zvraznn"/>
        </w:rPr>
        <w:instrText>tertium ens</w:instrText>
      </w:r>
      <w:r w:rsidR="00372E82" w:rsidRPr="003D1E07">
        <w:rPr>
          <w:rStyle w:val="Zvraznn"/>
          <w:i w:val="0"/>
        </w:rPr>
        <w:instrText>:analogická jednota</w:instrText>
      </w:r>
      <w:r w:rsidR="00372E82" w:rsidRPr="003D1E07">
        <w:instrText xml:space="preserve">" </w:instrText>
      </w:r>
      <w:r w:rsidR="00372E82" w:rsidRPr="003D1E07">
        <w:rPr>
          <w:rStyle w:val="addmd"/>
          <w:i/>
        </w:rPr>
        <w:fldChar w:fldCharType="end"/>
      </w:r>
      <w:r w:rsidR="005A50B4" w:rsidRPr="003D1E07">
        <w:t>. K</w:t>
      </w:r>
      <w:r w:rsidR="00347B80" w:rsidRPr="003D1E07">
        <w:t>ata</w:t>
      </w:r>
      <w:r w:rsidR="00384705" w:rsidRPr="003D1E07">
        <w:t>bazický</w:t>
      </w:r>
      <w:r w:rsidR="00347B80" w:rsidRPr="003D1E07">
        <w:t xml:space="preserve"> a anabazický vztah k Jednomu</w:t>
      </w:r>
      <w:r w:rsidR="005A50B4" w:rsidRPr="003D1E07">
        <w:t xml:space="preserve"> změnil hyparchickou predikaci na pro</w:t>
      </w:r>
      <w:r w:rsidR="001F7CD9" w:rsidRPr="003D1E07">
        <w:t>hyp</w:t>
      </w:r>
      <w:r w:rsidR="005A50B4" w:rsidRPr="003D1E07">
        <w:t>archickou</w:t>
      </w:r>
      <w:r w:rsidR="08BA1443" w:rsidRPr="003D1E07">
        <w:t>. T</w:t>
      </w:r>
      <w:r w:rsidR="005A50B4" w:rsidRPr="003D1E07">
        <w:t xml:space="preserve">abulka kategorií dostala statut deseti </w:t>
      </w:r>
      <w:r w:rsidR="006153E2" w:rsidRPr="003D1E07">
        <w:t>nejvyššíc</w:t>
      </w:r>
      <w:r w:rsidR="007B5B9E" w:rsidRPr="003D1E07">
        <w:t>h</w:t>
      </w:r>
      <w:r w:rsidR="006153E2" w:rsidRPr="003D1E07">
        <w:t xml:space="preserve"> </w:t>
      </w:r>
      <w:r w:rsidR="005A50B4" w:rsidRPr="003D1E07">
        <w:t xml:space="preserve">rodů </w:t>
      </w:r>
      <w:r w:rsidR="001A13EB" w:rsidRPr="003D1E07">
        <w:t xml:space="preserve">vztažených k celku </w:t>
      </w:r>
      <w:r w:rsidR="005A50B4" w:rsidRPr="003D1E07">
        <w:t xml:space="preserve">jsoucna (δέκα γὰρ ὄντων τῶν ὅλων γενῶν, </w:t>
      </w:r>
      <w:r w:rsidR="00E61AD6" w:rsidRPr="003D1E07">
        <w:rPr>
          <w:i/>
        </w:rPr>
        <w:t>Dex</w:t>
      </w:r>
      <w:r w:rsidR="00491832" w:rsidRPr="003D1E07">
        <w:rPr>
          <w:i/>
        </w:rPr>
        <w:t>ip</w:t>
      </w:r>
      <w:r w:rsidR="00E61AD6" w:rsidRPr="003D1E07">
        <w:rPr>
          <w:i/>
        </w:rPr>
        <w:t>. i</w:t>
      </w:r>
      <w:r w:rsidR="00605C2F" w:rsidRPr="003D1E07">
        <w:rPr>
          <w:i/>
        </w:rPr>
        <w:t>n C</w:t>
      </w:r>
      <w:r w:rsidR="005A50B4" w:rsidRPr="003D1E07">
        <w:rPr>
          <w:i/>
        </w:rPr>
        <w:t>at.</w:t>
      </w:r>
      <w:r w:rsidR="005A50B4" w:rsidRPr="003D1E07">
        <w:t xml:space="preserve"> 42.20</w:t>
      </w:r>
      <w:r w:rsidR="004017F8" w:rsidRPr="003D1E07">
        <w:rPr>
          <w:lang w:eastAsia="en-US"/>
        </w:rPr>
        <w:fldChar w:fldCharType="begin"/>
      </w:r>
      <w:r w:rsidR="004017F8" w:rsidRPr="003D1E07">
        <w:instrText xml:space="preserve"> XE "Dexippus:</w:instrText>
      </w:r>
      <w:r w:rsidR="004017F8" w:rsidRPr="003D1E07">
        <w:rPr>
          <w:i/>
        </w:rPr>
        <w:instrText>Dex</w:instrText>
      </w:r>
      <w:r w:rsidR="00491832" w:rsidRPr="003D1E07">
        <w:rPr>
          <w:i/>
        </w:rPr>
        <w:instrText>ip</w:instrText>
      </w:r>
      <w:r w:rsidR="004017F8" w:rsidRPr="003D1E07">
        <w:rPr>
          <w:i/>
        </w:rPr>
        <w:instrText>.</w:instrText>
      </w:r>
      <w:r w:rsidR="004017F8" w:rsidRPr="003D1E07">
        <w:instrText xml:space="preserve"> </w:instrText>
      </w:r>
      <w:r w:rsidR="004017F8" w:rsidRPr="003D1E07">
        <w:rPr>
          <w:i/>
        </w:rPr>
        <w:instrText>in Cat.</w:instrText>
      </w:r>
      <w:r w:rsidR="004017F8" w:rsidRPr="003D1E07">
        <w:instrText xml:space="preserve"> 42.20" </w:instrText>
      </w:r>
      <w:r w:rsidR="004017F8" w:rsidRPr="003D1E07">
        <w:rPr>
          <w:lang w:eastAsia="en-US"/>
        </w:rPr>
        <w:fldChar w:fldCharType="end"/>
      </w:r>
      <w:r w:rsidR="005A50B4" w:rsidRPr="003D1E07">
        <w:t>)</w:t>
      </w:r>
      <w:r w:rsidR="00347B80" w:rsidRPr="003D1E07">
        <w:t xml:space="preserve">. </w:t>
      </w:r>
      <w:r w:rsidR="08D14E06" w:rsidRPr="003D1E07">
        <w:t xml:space="preserve">Dexippus transformoval aristotelské kategorie do formy </w:t>
      </w:r>
      <w:r w:rsidR="0007092A" w:rsidRPr="003D1E07">
        <w:t xml:space="preserve">analogické </w:t>
      </w:r>
      <w:r w:rsidR="08D14E06" w:rsidRPr="003D1E07">
        <w:t xml:space="preserve">predikace založené na podobnosti nižší smyslové a vyšší inteligibilní substance. </w:t>
      </w:r>
      <w:r w:rsidR="08EE0613" w:rsidRPr="003D1E07">
        <w:t xml:space="preserve">Poslední kategorií je Jedno v jeho aktu genericky-aktuálního bytí, které je možno díky jeho univerzalitě predikovat směrem dolů. </w:t>
      </w:r>
      <w:r w:rsidR="0861054B" w:rsidRPr="003D1E07">
        <w:t xml:space="preserve">Tato integrace kategoriální predikace do systému </w:t>
      </w:r>
      <w:r w:rsidR="00874074" w:rsidRPr="003D1E07">
        <w:t>neoplatonsk</w:t>
      </w:r>
      <w:r w:rsidR="0861054B" w:rsidRPr="003D1E07">
        <w:t xml:space="preserve">ých emanací </w:t>
      </w:r>
      <w:r w:rsidR="08E418F4" w:rsidRPr="003D1E07">
        <w:t xml:space="preserve">v modu </w:t>
      </w:r>
      <w:r w:rsidR="08D92795" w:rsidRPr="003D1E07">
        <w:rPr>
          <w:i/>
        </w:rPr>
        <w:t>ad unum</w:t>
      </w:r>
      <w:r w:rsidR="08D92795" w:rsidRPr="003D1E07">
        <w:t xml:space="preserve"> </w:t>
      </w:r>
      <w:r w:rsidR="0861054B" w:rsidRPr="003D1E07">
        <w:t>bude hrát klíčovou roli v po</w:t>
      </w:r>
      <w:r w:rsidR="00F770E4" w:rsidRPr="003D1E07">
        <w:t xml:space="preserve">zdějších </w:t>
      </w:r>
      <w:r w:rsidR="08F61EBC" w:rsidRPr="003D1E07">
        <w:t xml:space="preserve">etapách </w:t>
      </w:r>
      <w:r w:rsidR="00F770E4" w:rsidRPr="003D1E07">
        <w:t>objektivity.</w:t>
      </w:r>
    </w:p>
    <w:p w14:paraId="07BB157B" w14:textId="37B7617F" w:rsidR="00C8396C" w:rsidRPr="003D1E07" w:rsidRDefault="00F30F70" w:rsidP="082403EF">
      <w:pPr>
        <w:pStyle w:val="Nadpis3"/>
        <w:rPr>
          <w:lang w:val="cs-CZ"/>
        </w:rPr>
      </w:pPr>
      <w:r w:rsidRPr="003D1E07">
        <w:rPr>
          <w:lang w:val="cs-CZ"/>
        </w:rPr>
        <w:br w:type="page"/>
      </w:r>
      <w:bookmarkStart w:id="25" w:name="_Toc93747271"/>
      <w:bookmarkStart w:id="26" w:name="_Toc102906161"/>
      <w:r w:rsidR="08AF6B7D" w:rsidRPr="003D1E07">
        <w:rPr>
          <w:lang w:val="cs-CZ"/>
        </w:rPr>
        <w:lastRenderedPageBreak/>
        <w:t>1.3</w:t>
      </w:r>
      <w:r w:rsidR="00A8239C" w:rsidRPr="003D1E07">
        <w:rPr>
          <w:lang w:val="cs-CZ"/>
        </w:rPr>
        <w:t xml:space="preserve">.2 </w:t>
      </w:r>
      <w:r w:rsidR="0068427A">
        <w:rPr>
          <w:lang w:val="cs-CZ"/>
        </w:rPr>
        <w:t>Kosmologická s</w:t>
      </w:r>
      <w:r w:rsidR="00C8396C" w:rsidRPr="003D1E07">
        <w:rPr>
          <w:lang w:val="cs-CZ"/>
        </w:rPr>
        <w:t>ubstance třetího druhu</w:t>
      </w:r>
      <w:bookmarkEnd w:id="25"/>
      <w:bookmarkEnd w:id="26"/>
    </w:p>
    <w:p w14:paraId="79AFBE91" w14:textId="77777777" w:rsidR="00766EE8" w:rsidRDefault="00060575" w:rsidP="00385E81">
      <w:r w:rsidRPr="003D1E07">
        <w:t xml:space="preserve">Gigantomachie o substanci </w:t>
      </w:r>
      <w:r w:rsidR="080049B2" w:rsidRPr="003D1E07">
        <w:t xml:space="preserve">v pozdní antice </w:t>
      </w:r>
      <w:r w:rsidRPr="003D1E07">
        <w:t xml:space="preserve">ukázala, že </w:t>
      </w:r>
      <w:r w:rsidR="00DD2247" w:rsidRPr="003D1E07">
        <w:t xml:space="preserve">následovníci </w:t>
      </w:r>
      <w:r w:rsidR="00BB45B1" w:rsidRPr="003D1E07">
        <w:t>Porfyri</w:t>
      </w:r>
      <w:r w:rsidR="00DD2247" w:rsidRPr="003D1E07">
        <w:t xml:space="preserve">a změnili </w:t>
      </w:r>
      <w:r w:rsidRPr="003D1E07">
        <w:t>první substanc</w:t>
      </w:r>
      <w:r w:rsidR="00DD2247" w:rsidRPr="003D1E07">
        <w:t xml:space="preserve">i na </w:t>
      </w:r>
      <w:r w:rsidRPr="003D1E07">
        <w:t xml:space="preserve">zvláštní </w:t>
      </w:r>
      <w:r w:rsidR="00F214C5" w:rsidRPr="003D1E07">
        <w:t>species</w:t>
      </w:r>
      <w:r w:rsidR="00DD2247" w:rsidRPr="003D1E07">
        <w:fldChar w:fldCharType="begin"/>
      </w:r>
      <w:r w:rsidR="00DD2247" w:rsidRPr="003D1E07">
        <w:instrText xml:space="preserve"> XE "substance:</w:instrText>
      </w:r>
      <w:r w:rsidR="00DD2247" w:rsidRPr="003D1E07">
        <w:rPr>
          <w:i/>
        </w:rPr>
        <w:instrText>species</w:instrText>
      </w:r>
      <w:r w:rsidR="00DD2247" w:rsidRPr="003D1E07">
        <w:instrText xml:space="preserve">" </w:instrText>
      </w:r>
      <w:r w:rsidR="00DD2247" w:rsidRPr="003D1E07">
        <w:fldChar w:fldCharType="end"/>
      </w:r>
      <w:r w:rsidR="083E1CCC" w:rsidRPr="003D1E07">
        <w:t xml:space="preserve"> a tato univerzálie </w:t>
      </w:r>
      <w:r w:rsidR="08D21F66" w:rsidRPr="003D1E07">
        <w:t>dostala</w:t>
      </w:r>
      <w:r w:rsidRPr="003D1E07">
        <w:t xml:space="preserve"> charakter</w:t>
      </w:r>
      <w:r w:rsidR="080049B2" w:rsidRPr="003D1E07">
        <w:t xml:space="preserve"> jsoucna třetího druhu</w:t>
      </w:r>
      <w:r w:rsidRPr="003D1E07">
        <w:t xml:space="preserve">. </w:t>
      </w:r>
      <w:r w:rsidR="004C13C7" w:rsidRPr="003D1E07">
        <w:t xml:space="preserve">Úvodní výklad </w:t>
      </w:r>
      <w:r w:rsidR="004C13C7" w:rsidRPr="003D1E07">
        <w:rPr>
          <w:i/>
        </w:rPr>
        <w:t>Kategorií</w:t>
      </w:r>
      <w:r w:rsidR="08D21F66" w:rsidRPr="003D1E07">
        <w:t xml:space="preserve"> ukázal, že pro Aristotela </w:t>
      </w:r>
      <w:r w:rsidR="00DF1592" w:rsidRPr="003D1E07">
        <w:t>ne</w:t>
      </w:r>
      <w:r w:rsidR="08D21F66" w:rsidRPr="003D1E07">
        <w:t>měla</w:t>
      </w:r>
      <w:r w:rsidR="004C13C7" w:rsidRPr="003D1E07">
        <w:t xml:space="preserve"> </w:t>
      </w:r>
      <w:r w:rsidR="00F214C5" w:rsidRPr="003D1E07">
        <w:t>species</w:t>
      </w:r>
      <w:r w:rsidR="004C13C7" w:rsidRPr="003D1E07">
        <w:t xml:space="preserve"> </w:t>
      </w:r>
      <w:r w:rsidR="00B678C5">
        <w:t xml:space="preserve">hyparchický </w:t>
      </w:r>
      <w:r w:rsidR="00DF1592" w:rsidRPr="003D1E07">
        <w:t xml:space="preserve">status, ale </w:t>
      </w:r>
      <w:r w:rsidR="004C13C7" w:rsidRPr="003D1E07">
        <w:t xml:space="preserve">jako univerzálie </w:t>
      </w:r>
      <w:r w:rsidR="00DF1592" w:rsidRPr="003D1E07">
        <w:t>měla nej</w:t>
      </w:r>
      <w:r w:rsidR="08D21F66" w:rsidRPr="003D1E07">
        <w:t>blíže</w:t>
      </w:r>
      <w:r w:rsidR="004C13C7" w:rsidRPr="003D1E07">
        <w:t xml:space="preserve"> k</w:t>
      </w:r>
      <w:r w:rsidR="000747D1">
        <w:t xml:space="preserve"> reálné </w:t>
      </w:r>
      <w:r w:rsidR="004C13C7" w:rsidRPr="003D1E07">
        <w:t>první substanci (</w:t>
      </w:r>
      <w:r w:rsidR="004C13C7" w:rsidRPr="003D1E07">
        <w:rPr>
          <w:i/>
        </w:rPr>
        <w:t>Cat</w:t>
      </w:r>
      <w:r w:rsidR="004C13C7" w:rsidRPr="003D1E07">
        <w:t>. 2b7–8</w:t>
      </w:r>
      <w:r w:rsidR="004017F8" w:rsidRPr="003D1E07">
        <w:rPr>
          <w:lang w:eastAsia="en-US"/>
        </w:rPr>
        <w:fldChar w:fldCharType="begin"/>
      </w:r>
      <w:r w:rsidR="004017F8" w:rsidRPr="003D1E07">
        <w:instrText xml:space="preserve"> XE "</w:instrText>
      </w:r>
      <w:r w:rsidR="008E02F5" w:rsidRPr="003D1E07">
        <w:instrText>Aristoteles</w:instrText>
      </w:r>
      <w:r w:rsidR="004017F8" w:rsidRPr="003D1E07">
        <w:instrText>:</w:instrText>
      </w:r>
      <w:r w:rsidR="004017F8" w:rsidRPr="003D1E07">
        <w:rPr>
          <w:i/>
        </w:rPr>
        <w:instrText>Cat.</w:instrText>
      </w:r>
      <w:r w:rsidR="004017F8" w:rsidRPr="003D1E07">
        <w:instrText xml:space="preserve"> 2b7–8" </w:instrText>
      </w:r>
      <w:r w:rsidR="004017F8" w:rsidRPr="003D1E07">
        <w:rPr>
          <w:lang w:eastAsia="en-US"/>
        </w:rPr>
        <w:fldChar w:fldCharType="end"/>
      </w:r>
      <w:r w:rsidR="004C13C7" w:rsidRPr="003D1E07">
        <w:t xml:space="preserve">). </w:t>
      </w:r>
      <w:r w:rsidR="00BB45B1" w:rsidRPr="003D1E07">
        <w:t>Porfyri</w:t>
      </w:r>
      <w:r w:rsidR="004C13C7" w:rsidRPr="003D1E07">
        <w:t>us</w:t>
      </w:r>
      <w:r w:rsidR="006D3721" w:rsidRPr="003D1E07">
        <w:fldChar w:fldCharType="begin"/>
      </w:r>
      <w:r w:rsidR="006D3721" w:rsidRPr="003D1E07">
        <w:instrText xml:space="preserve"> XE "</w:instrText>
      </w:r>
      <w:r w:rsidR="088B254C" w:rsidRPr="003D1E07">
        <w:instrText>Porfyrius</w:instrText>
      </w:r>
      <w:r w:rsidR="006D3721" w:rsidRPr="003D1E07">
        <w:instrText xml:space="preserve">" </w:instrText>
      </w:r>
      <w:r w:rsidR="006D3721" w:rsidRPr="003D1E07">
        <w:fldChar w:fldCharType="end"/>
      </w:r>
      <w:r w:rsidR="004C13C7" w:rsidRPr="003D1E07">
        <w:t xml:space="preserve"> také chápal druhou substanci </w:t>
      </w:r>
      <w:r w:rsidR="08C465C5" w:rsidRPr="003D1E07">
        <w:t xml:space="preserve">a </w:t>
      </w:r>
      <w:r w:rsidR="00F214C5" w:rsidRPr="003D1E07">
        <w:t>species</w:t>
      </w:r>
      <w:r w:rsidR="08C465C5" w:rsidRPr="003D1E07">
        <w:t xml:space="preserve"> </w:t>
      </w:r>
      <w:r w:rsidR="004C13C7" w:rsidRPr="003D1E07">
        <w:t xml:space="preserve">jen </w:t>
      </w:r>
      <w:r w:rsidR="08D21F66" w:rsidRPr="003D1E07">
        <w:t>v řádu jazyka</w:t>
      </w:r>
      <w:r w:rsidR="08C465C5" w:rsidRPr="003D1E07">
        <w:t xml:space="preserve">. </w:t>
      </w:r>
      <w:r w:rsidR="00B678C5" w:rsidRPr="00B678C5">
        <w:t xml:space="preserve">To znamená, že sekundární </w:t>
      </w:r>
      <w:r w:rsidR="00B678C5">
        <w:t xml:space="preserve">substance </w:t>
      </w:r>
      <w:r w:rsidR="00B678C5" w:rsidRPr="00B678C5">
        <w:t>potřebují jako substrát lidský intelekt a tělo, aby mohly být přítomny ve světě.</w:t>
      </w:r>
      <w:r w:rsidR="00B678C5">
        <w:t xml:space="preserve"> </w:t>
      </w:r>
      <w:r w:rsidR="08C465C5" w:rsidRPr="003D1E07">
        <w:t xml:space="preserve">Tyto atomární substance mají </w:t>
      </w:r>
      <w:r w:rsidR="004C13C7" w:rsidRPr="003D1E07">
        <w:t xml:space="preserve">univerzální </w:t>
      </w:r>
      <w:r w:rsidR="00E01DE6">
        <w:t xml:space="preserve">a univoční </w:t>
      </w:r>
      <w:r w:rsidR="004C13C7" w:rsidRPr="003D1E07">
        <w:t>charakter</w:t>
      </w:r>
      <w:r w:rsidR="08C465C5" w:rsidRPr="003D1E07">
        <w:t>,</w:t>
      </w:r>
      <w:r w:rsidR="004C13C7" w:rsidRPr="003D1E07">
        <w:t xml:space="preserve"> na rozdíl od reálného výskytu nedělitelné první substance. </w:t>
      </w:r>
      <w:r w:rsidR="000235AB">
        <w:t>N</w:t>
      </w:r>
      <w:r w:rsidR="000235AB" w:rsidRPr="003D1E07">
        <w:t>ová metafyzika</w:t>
      </w:r>
      <w:r w:rsidR="000235AB">
        <w:t xml:space="preserve"> </w:t>
      </w:r>
      <w:r w:rsidR="000235AB" w:rsidRPr="003D1E07">
        <w:t xml:space="preserve">vznikla </w:t>
      </w:r>
      <w:r w:rsidR="006F4F04">
        <w:t xml:space="preserve">v Jamblichově diakosmu </w:t>
      </w:r>
      <w:r w:rsidR="000235AB">
        <w:t>a</w:t>
      </w:r>
      <w:r w:rsidR="00AC5970" w:rsidRPr="003D1E07">
        <w:t xml:space="preserve">nalogickým sjednocením </w:t>
      </w:r>
      <w:r w:rsidR="00681A09">
        <w:t xml:space="preserve">neoplatonských </w:t>
      </w:r>
      <w:r w:rsidR="00AC5970" w:rsidRPr="003D1E07">
        <w:t xml:space="preserve">jsoucen a </w:t>
      </w:r>
      <w:r w:rsidR="00681A09">
        <w:t xml:space="preserve">hypostázovaných </w:t>
      </w:r>
      <w:r w:rsidR="00AC5970" w:rsidRPr="003D1E07">
        <w:t>vl</w:t>
      </w:r>
      <w:r w:rsidR="006F4F04">
        <w:t>astností</w:t>
      </w:r>
      <w:r w:rsidR="00AC5970" w:rsidRPr="003D1E07">
        <w:t xml:space="preserve">. </w:t>
      </w:r>
      <w:r w:rsidR="00AF6F10" w:rsidRPr="003D1E07">
        <w:t>Neoplatonici vědomě ignorovali základní Ar</w:t>
      </w:r>
      <w:r w:rsidR="009C12CA">
        <w:t xml:space="preserve">istotelovu tezi, která hledala jednotu první vědy na základě zkoumání </w:t>
      </w:r>
      <w:r w:rsidR="00AF6F10" w:rsidRPr="003D1E07">
        <w:t>první</w:t>
      </w:r>
      <w:r w:rsidR="009C12CA">
        <w:t>ch reálných substancí</w:t>
      </w:r>
      <w:r w:rsidR="00AF6F10" w:rsidRPr="003D1E07">
        <w:t xml:space="preserve">. </w:t>
      </w:r>
      <w:r w:rsidR="00053E9F" w:rsidRPr="003D1E07">
        <w:t xml:space="preserve">Nový směr neoplatonismu ukázal, že </w:t>
      </w:r>
      <w:r w:rsidR="08B63101" w:rsidRPr="003D1E07">
        <w:t xml:space="preserve">pravdivou </w:t>
      </w:r>
      <w:r w:rsidR="00053E9F" w:rsidRPr="003D1E07">
        <w:t xml:space="preserve">jednotu bytí lze najít mimo první substanci existující v realitě. Duch </w:t>
      </w:r>
      <w:r w:rsidR="00BB429B">
        <w:t xml:space="preserve">iluminátů </w:t>
      </w:r>
      <w:r w:rsidR="00053E9F" w:rsidRPr="003D1E07">
        <w:t>my</w:t>
      </w:r>
      <w:r w:rsidR="00BB429B">
        <w:t xml:space="preserve">sticky směřuje k Jednomu či k bohu, proto </w:t>
      </w:r>
      <w:r w:rsidR="00053E9F" w:rsidRPr="003D1E07">
        <w:t xml:space="preserve">nepotřebuje </w:t>
      </w:r>
      <w:r w:rsidR="089A451A" w:rsidRPr="003D1E07">
        <w:t xml:space="preserve">ke svému rozletu </w:t>
      </w:r>
      <w:r w:rsidR="00053E9F" w:rsidRPr="003D1E07">
        <w:t xml:space="preserve">realitu první </w:t>
      </w:r>
      <w:r w:rsidR="007214D1">
        <w:t xml:space="preserve">fyzické </w:t>
      </w:r>
      <w:r w:rsidR="00053E9F" w:rsidRPr="003D1E07">
        <w:t>substance</w:t>
      </w:r>
      <w:r w:rsidR="080A3CE4" w:rsidRPr="003D1E07">
        <w:t>. N</w:t>
      </w:r>
      <w:r w:rsidR="089A451A" w:rsidRPr="003D1E07">
        <w:t>eoplatonismu</w:t>
      </w:r>
      <w:r w:rsidR="080A3CE4" w:rsidRPr="003D1E07">
        <w:t>s zrušil</w:t>
      </w:r>
      <w:r w:rsidR="00053E9F" w:rsidRPr="003D1E07">
        <w:t xml:space="preserve"> původní hyparchické zaměření kategoriální predikace. </w:t>
      </w:r>
      <w:r w:rsidR="08D21F66" w:rsidRPr="003D1E07">
        <w:t xml:space="preserve">Důvodem změny byl mimo jiné i </w:t>
      </w:r>
      <w:r w:rsidR="085146E0" w:rsidRPr="003D1E07">
        <w:t>filosoficko-</w:t>
      </w:r>
      <w:r w:rsidR="08D21F66" w:rsidRPr="003D1E07">
        <w:t>nábože</w:t>
      </w:r>
      <w:r w:rsidR="081F1738" w:rsidRPr="003D1E07">
        <w:t>n</w:t>
      </w:r>
      <w:r w:rsidR="08D21F66" w:rsidRPr="003D1E07">
        <w:t>ský synkretismus pozdní antiky, která spojovala všechny proudy myšlení, mystérií a náboženství do mystické jednoty. Pro vznik objektivity je velká škoda, že neznáme obsah Porfyriova ztraceného spisu o jednotě záměru Platona a Aristotela.</w:t>
      </w:r>
      <w:r w:rsidR="08D21F66" w:rsidRPr="003D1E07">
        <w:rPr>
          <w:rStyle w:val="Znakapoznpodarou"/>
        </w:rPr>
        <w:footnoteReference w:id="58"/>
      </w:r>
      <w:r w:rsidR="003A0998" w:rsidRPr="003D1E07">
        <w:t xml:space="preserve"> </w:t>
      </w:r>
      <w:r w:rsidR="08D21F66" w:rsidRPr="003D1E07">
        <w:t>Tuto jednotu obou velikánů nově pojal Al</w:t>
      </w:r>
      <w:r w:rsidR="08D21F66" w:rsidRPr="003D1E07">
        <w:noBreakHyphen/>
        <w:t xml:space="preserve">Fárábí ve falsafě a </w:t>
      </w:r>
      <w:r w:rsidR="08634644" w:rsidRPr="003D1E07">
        <w:t xml:space="preserve">tím </w:t>
      </w:r>
      <w:r w:rsidR="08D21F66" w:rsidRPr="003D1E07">
        <w:t xml:space="preserve">ustavil první </w:t>
      </w:r>
      <w:r w:rsidR="08D21F66" w:rsidRPr="003D1E07">
        <w:rPr>
          <w:i/>
        </w:rPr>
        <w:t>Lichtung</w:t>
      </w:r>
      <w:r w:rsidR="08D21F66" w:rsidRPr="003D1E07">
        <w:t xml:space="preserve"> západní objektivity. </w:t>
      </w:r>
      <w:r w:rsidR="08185BA0" w:rsidRPr="003D1E07">
        <w:t xml:space="preserve">Predikace nové formy atomární substance zásadně změnila tabulku deseti kategorií, což </w:t>
      </w:r>
      <w:r w:rsidR="083340E0" w:rsidRPr="003D1E07">
        <w:t>doložil Dexippův</w:t>
      </w:r>
      <w:r w:rsidR="08185BA0" w:rsidRPr="003D1E07">
        <w:t xml:space="preserve"> komentář ke </w:t>
      </w:r>
      <w:r w:rsidR="08185BA0" w:rsidRPr="003D1E07">
        <w:rPr>
          <w:i/>
        </w:rPr>
        <w:t>Kategoriím</w:t>
      </w:r>
      <w:r w:rsidR="08185BA0" w:rsidRPr="003D1E07">
        <w:t xml:space="preserve"> psan</w:t>
      </w:r>
      <w:r w:rsidR="083340E0" w:rsidRPr="003D1E07">
        <w:t>ý</w:t>
      </w:r>
      <w:r w:rsidR="08185BA0" w:rsidRPr="003D1E07">
        <w:t xml:space="preserve"> </w:t>
      </w:r>
      <w:r w:rsidR="08AA5AED" w:rsidRPr="003D1E07">
        <w:t xml:space="preserve">někdy </w:t>
      </w:r>
      <w:r w:rsidR="08185BA0" w:rsidRPr="003D1E07">
        <w:t xml:space="preserve">roku 350. </w:t>
      </w:r>
      <w:r w:rsidR="00CE3926" w:rsidRPr="003D1E07">
        <w:t>Po Dexippovi pokračoval v debatě o nedělitelné substanci Simplikius</w:t>
      </w:r>
      <w:r w:rsidR="0005535B" w:rsidRPr="003D1E07">
        <w:fldChar w:fldCharType="begin"/>
      </w:r>
      <w:r w:rsidR="0005535B" w:rsidRPr="003D1E07">
        <w:instrText xml:space="preserve"> XE "</w:instrText>
      </w:r>
      <w:r w:rsidR="00372E82" w:rsidRPr="003D1E07">
        <w:instrText>substance:</w:instrText>
      </w:r>
      <w:r w:rsidR="0005535B" w:rsidRPr="003D1E07">
        <w:instrText xml:space="preserve">Simplikius" </w:instrText>
      </w:r>
      <w:r w:rsidR="0005535B" w:rsidRPr="003D1E07">
        <w:fldChar w:fldCharType="end"/>
      </w:r>
      <w:r w:rsidR="00CE3926" w:rsidRPr="003D1E07">
        <w:t xml:space="preserve">. </w:t>
      </w:r>
      <w:r w:rsidR="00E80085" w:rsidRPr="003D1E07">
        <w:t xml:space="preserve">Jeho </w:t>
      </w:r>
      <w:r w:rsidR="003573F1" w:rsidRPr="003D1E07">
        <w:t xml:space="preserve">komentář ke </w:t>
      </w:r>
      <w:r w:rsidR="003573F1" w:rsidRPr="003D1E07">
        <w:rPr>
          <w:i/>
        </w:rPr>
        <w:t>Kategoriím</w:t>
      </w:r>
      <w:r w:rsidR="08070BF3" w:rsidRPr="003D1E07">
        <w:t xml:space="preserve"> psaný okolo roku </w:t>
      </w:r>
      <w:r w:rsidR="003573F1" w:rsidRPr="003D1E07">
        <w:t xml:space="preserve">532 dostane klíčový význam v poslední </w:t>
      </w:r>
      <w:r w:rsidR="086A54C0" w:rsidRPr="003D1E07">
        <w:t xml:space="preserve">fázi </w:t>
      </w:r>
      <w:r w:rsidR="003573F1" w:rsidRPr="003D1E07">
        <w:t>objektivity. William Moerbeke</w:t>
      </w:r>
      <w:r w:rsidR="00372E82" w:rsidRPr="003D1E07">
        <w:fldChar w:fldCharType="begin"/>
      </w:r>
      <w:r w:rsidR="00372E82" w:rsidRPr="003D1E07">
        <w:instrText xml:space="preserve"> XE "Moerbeke, W." </w:instrText>
      </w:r>
      <w:r w:rsidR="00372E82" w:rsidRPr="003D1E07">
        <w:fldChar w:fldCharType="end"/>
      </w:r>
      <w:r w:rsidR="003573F1" w:rsidRPr="003D1E07">
        <w:t xml:space="preserve"> jej přeloží do latiny kolem </w:t>
      </w:r>
      <w:r w:rsidR="08C852D6" w:rsidRPr="003D1E07">
        <w:t xml:space="preserve">roku </w:t>
      </w:r>
      <w:r w:rsidR="003573F1" w:rsidRPr="003D1E07">
        <w:t xml:space="preserve">1266 a následující generace </w:t>
      </w:r>
      <w:r w:rsidR="003573F1" w:rsidRPr="003D1E07">
        <w:rPr>
          <w:i/>
        </w:rPr>
        <w:t>Modernorum</w:t>
      </w:r>
      <w:r w:rsidR="003573F1" w:rsidRPr="003D1E07">
        <w:t xml:space="preserve"> jej začne využívat pro konstrukci objektivní metafyziky </w:t>
      </w:r>
      <w:r w:rsidR="00E80085" w:rsidRPr="003D1E07">
        <w:t xml:space="preserve">zhruba </w:t>
      </w:r>
      <w:r w:rsidR="003573F1" w:rsidRPr="003D1E07">
        <w:t xml:space="preserve">od </w:t>
      </w:r>
      <w:r w:rsidR="08C852D6" w:rsidRPr="003D1E07">
        <w:t xml:space="preserve">roku </w:t>
      </w:r>
      <w:r w:rsidR="00766EE8">
        <w:t>1280.</w:t>
      </w:r>
    </w:p>
    <w:p w14:paraId="4421592A" w14:textId="77777777" w:rsidR="002E113F" w:rsidRDefault="001B0139" w:rsidP="00766EE8">
      <w:pPr>
        <w:ind w:firstLine="397"/>
      </w:pPr>
      <w:r w:rsidRPr="003D1E07">
        <w:lastRenderedPageBreak/>
        <w:t>Simplikius shrnuje všechny tři základní pozice komentátorů Aristotelova klíčového spisu a provádí zásadní interpretační volbu určující vývoj dalšího milénia.</w:t>
      </w:r>
      <w:r w:rsidRPr="003D1E07">
        <w:rPr>
          <w:rStyle w:val="Znakapoznpodarou"/>
        </w:rPr>
        <w:footnoteReference w:id="59"/>
      </w:r>
      <w:r w:rsidRPr="003D1E07">
        <w:t xml:space="preserve"> První proud </w:t>
      </w:r>
      <w:r w:rsidR="08F8126D" w:rsidRPr="003D1E07">
        <w:t xml:space="preserve">vykladačů </w:t>
      </w:r>
      <w:r w:rsidRPr="003D1E07">
        <w:t>tvrdí, že kategorie se vztahují k samotným jsoucnům</w:t>
      </w:r>
      <w:r w:rsidR="00965B63">
        <w:t xml:space="preserve"> v realitě</w:t>
      </w:r>
      <w:r w:rsidRPr="003D1E07">
        <w:t>. Druhá skupina vztahuje kategorie jen k nominálnímu významu danému homonymicky na úrovni pouhého slova. Třetí skupina je chápe na úrovni univerzálního konceptu</w:t>
      </w:r>
      <w:r w:rsidR="00CA2CEC">
        <w:t xml:space="preserve"> určeného kategoriálně</w:t>
      </w:r>
      <w:r w:rsidR="000E0193">
        <w:t>, který ale dostal velmi specifické hypostatické vlastnosti</w:t>
      </w:r>
      <w:r w:rsidRPr="003D1E07">
        <w:t>. Tuto poslední pozici podle Simplikiova komentáře zastával zejména Alexander Afrodisias</w:t>
      </w:r>
      <w:r w:rsidRPr="003D1E07">
        <w:fldChar w:fldCharType="begin"/>
      </w:r>
      <w:r w:rsidRPr="003D1E07">
        <w:instrText xml:space="preserve"> XE "Alexander Afrodisias" </w:instrText>
      </w:r>
      <w:r w:rsidRPr="003D1E07">
        <w:fldChar w:fldCharType="end"/>
      </w:r>
      <w:r w:rsidRPr="003D1E07">
        <w:t xml:space="preserve">, který chápe kategorie jako slova signifikující deset rodů bytí pomocí odpovídajících </w:t>
      </w:r>
      <w:r w:rsidR="087A3697" w:rsidRPr="003D1E07">
        <w:t xml:space="preserve">univerzálních </w:t>
      </w:r>
      <w:r w:rsidRPr="003D1E07">
        <w:t xml:space="preserve">konceptů. </w:t>
      </w:r>
      <w:r w:rsidR="00CB1CF4" w:rsidRPr="003D1E07">
        <w:t xml:space="preserve">Simplikius </w:t>
      </w:r>
      <w:r w:rsidR="003573F1" w:rsidRPr="003D1E07">
        <w:t xml:space="preserve">definoval novou substanci třetího druhu jako nedělitelné </w:t>
      </w:r>
      <w:r w:rsidR="00F214C5" w:rsidRPr="003D1E07">
        <w:t>species</w:t>
      </w:r>
      <w:r w:rsidR="003573F1" w:rsidRPr="003D1E07">
        <w:t xml:space="preserve"> podle kosmologického rozvrhu Aristotelovy </w:t>
      </w:r>
      <w:r w:rsidR="003573F1" w:rsidRPr="003D1E07">
        <w:rPr>
          <w:i/>
        </w:rPr>
        <w:t>Fyziky</w:t>
      </w:r>
      <w:r w:rsidR="003573F1" w:rsidRPr="003D1E07">
        <w:t xml:space="preserve"> a </w:t>
      </w:r>
      <w:r w:rsidR="003573F1" w:rsidRPr="003D1E07">
        <w:rPr>
          <w:i/>
        </w:rPr>
        <w:t>Metafyziky</w:t>
      </w:r>
      <w:r w:rsidR="003573F1" w:rsidRPr="003D1E07">
        <w:t xml:space="preserve">. </w:t>
      </w:r>
      <w:r w:rsidRPr="003D1E07">
        <w:t xml:space="preserve">Nová definice první substance v rámci </w:t>
      </w:r>
      <w:r w:rsidR="00F214C5" w:rsidRPr="003D1E07">
        <w:t>species</w:t>
      </w:r>
      <w:r w:rsidRPr="003D1E07">
        <w:t xml:space="preserve"> provedla translaci aristotelské substance do neoplatonismu, a tím založila objektivní pojetí vědy. </w:t>
      </w:r>
      <w:r w:rsidR="084F299D" w:rsidRPr="003D1E07">
        <w:t>S</w:t>
      </w:r>
      <w:r w:rsidR="003573F1" w:rsidRPr="003D1E07">
        <w:t>ubstanci-</w:t>
      </w:r>
      <w:r w:rsidR="00F214C5" w:rsidRPr="003D1E07">
        <w:t>species</w:t>
      </w:r>
      <w:r w:rsidR="003573F1" w:rsidRPr="003D1E07">
        <w:t xml:space="preserve"> </w:t>
      </w:r>
      <w:r w:rsidRPr="003D1E07">
        <w:t xml:space="preserve">Simplikius </w:t>
      </w:r>
      <w:r w:rsidR="003573F1" w:rsidRPr="003D1E07">
        <w:t xml:space="preserve">predikoval v rámci kategoriální predikace dané </w:t>
      </w:r>
      <w:r w:rsidR="003573F1" w:rsidRPr="003D1E07">
        <w:rPr>
          <w:i/>
        </w:rPr>
        <w:t>per prius</w:t>
      </w:r>
      <w:r w:rsidR="003573F1" w:rsidRPr="003D1E07">
        <w:t xml:space="preserve">, v níž smísil význam první a druhé substance. </w:t>
      </w:r>
      <w:r w:rsidR="00BB45B1" w:rsidRPr="003D1E07">
        <w:t>Porfyri</w:t>
      </w:r>
      <w:r w:rsidR="08A1615D" w:rsidRPr="003D1E07">
        <w:t xml:space="preserve">ova ambivalentní </w:t>
      </w:r>
      <w:r w:rsidR="00E80085" w:rsidRPr="003D1E07">
        <w:t>nedělitelná subst</w:t>
      </w:r>
      <w:r w:rsidR="08A1615D" w:rsidRPr="003D1E07">
        <w:t>ance</w:t>
      </w:r>
      <w:r w:rsidR="00E80085" w:rsidRPr="003D1E07">
        <w:t xml:space="preserve"> (ἄτομος οὐσία</w:t>
      </w:r>
      <w:r w:rsidR="00372E82" w:rsidRPr="003D1E07">
        <w:fldChar w:fldCharType="begin"/>
      </w:r>
      <w:r w:rsidR="00372E82" w:rsidRPr="003D1E07">
        <w:instrText xml:space="preserve"> XE "substance:atomární" </w:instrText>
      </w:r>
      <w:r w:rsidR="00372E82" w:rsidRPr="003D1E07">
        <w:fldChar w:fldCharType="end"/>
      </w:r>
      <w:r w:rsidR="00E80085" w:rsidRPr="003D1E07">
        <w:t>) dostal</w:t>
      </w:r>
      <w:r w:rsidR="08A1615D" w:rsidRPr="003D1E07">
        <w:t>a</w:t>
      </w:r>
      <w:r w:rsidR="00E80085" w:rsidRPr="003D1E07">
        <w:t xml:space="preserve"> nový status na úrovni </w:t>
      </w:r>
      <w:r w:rsidR="00F214C5" w:rsidRPr="003D1E07">
        <w:t>species</w:t>
      </w:r>
      <w:r w:rsidR="08A1615D" w:rsidRPr="003D1E07">
        <w:t xml:space="preserve"> skrze </w:t>
      </w:r>
      <w:r w:rsidR="00E80085" w:rsidRPr="003D1E07">
        <w:t xml:space="preserve">argumentaci </w:t>
      </w:r>
      <w:r w:rsidR="00E80085" w:rsidRPr="003D1E07">
        <w:rPr>
          <w:i/>
        </w:rPr>
        <w:t>modus tollens</w:t>
      </w:r>
      <w:r w:rsidR="00372E82" w:rsidRPr="003D1E07">
        <w:rPr>
          <w:rStyle w:val="addmd"/>
          <w:i/>
        </w:rPr>
        <w:fldChar w:fldCharType="begin"/>
      </w:r>
      <w:r w:rsidR="00372E82" w:rsidRPr="003D1E07">
        <w:instrText xml:space="preserve"> XE "predikace:</w:instrText>
      </w:r>
      <w:r w:rsidR="00372E82" w:rsidRPr="003D1E07">
        <w:rPr>
          <w:i/>
        </w:rPr>
        <w:instrText>modus tollens</w:instrText>
      </w:r>
      <w:r w:rsidR="00372E82" w:rsidRPr="003D1E07">
        <w:instrText xml:space="preserve">" </w:instrText>
      </w:r>
      <w:r w:rsidR="00372E82" w:rsidRPr="003D1E07">
        <w:rPr>
          <w:rStyle w:val="addmd"/>
          <w:i/>
        </w:rPr>
        <w:fldChar w:fldCharType="end"/>
      </w:r>
      <w:r w:rsidR="00372E82" w:rsidRPr="003D1E07">
        <w:t xml:space="preserve"> </w:t>
      </w:r>
      <w:r w:rsidR="08AF6B7D" w:rsidRPr="003D1E07">
        <w:t>(</w:t>
      </w:r>
      <w:r w:rsidR="084E7952" w:rsidRPr="003D1E07">
        <w:t>kap. 1.3</w:t>
      </w:r>
      <w:r w:rsidR="00E80085" w:rsidRPr="003D1E07">
        <w:t>).</w:t>
      </w:r>
      <w:r w:rsidR="00C40CAD" w:rsidRPr="003D1E07">
        <w:t xml:space="preserve"> </w:t>
      </w:r>
      <w:r w:rsidR="08851165" w:rsidRPr="003D1E07">
        <w:t>Vraťme se k původní  definici primátu první substance</w:t>
      </w:r>
      <w:r w:rsidR="08851165" w:rsidRPr="003D1E07">
        <w:fldChar w:fldCharType="begin"/>
      </w:r>
      <w:r w:rsidR="08851165" w:rsidRPr="003D1E07">
        <w:instrText xml:space="preserve"> XE "substance:první" </w:instrText>
      </w:r>
      <w:r w:rsidR="08851165" w:rsidRPr="003D1E07">
        <w:fldChar w:fldCharType="end"/>
      </w:r>
      <w:r w:rsidR="08851165" w:rsidRPr="003D1E07">
        <w:t xml:space="preserve"> ve spisu </w:t>
      </w:r>
      <w:r w:rsidR="08851165" w:rsidRPr="003D1E07">
        <w:rPr>
          <w:i/>
        </w:rPr>
        <w:t>Kategorie</w:t>
      </w:r>
      <w:r w:rsidR="08851165" w:rsidRPr="003D1E07">
        <w:t>, která má prvenství řádu aktuální jednoduchosti a určuje kategoriální predikaci (</w:t>
      </w:r>
      <w:r w:rsidR="08851165" w:rsidRPr="003D1E07">
        <w:rPr>
          <w:i/>
        </w:rPr>
        <w:t>Cat</w:t>
      </w:r>
      <w:r w:rsidR="08851165" w:rsidRPr="003D1E07">
        <w:t>. 2a11–12</w:t>
      </w:r>
      <w:r w:rsidR="08851165" w:rsidRPr="003D1E07">
        <w:rPr>
          <w:lang w:eastAsia="en-US"/>
        </w:rPr>
        <w:fldChar w:fldCharType="begin"/>
      </w:r>
      <w:r w:rsidR="08851165" w:rsidRPr="003D1E07">
        <w:instrText xml:space="preserve"> XE "Aristoteles:</w:instrText>
      </w:r>
      <w:r w:rsidR="08851165" w:rsidRPr="003D1E07">
        <w:rPr>
          <w:i/>
        </w:rPr>
        <w:instrText>Cat.</w:instrText>
      </w:r>
      <w:r w:rsidR="08851165" w:rsidRPr="003D1E07">
        <w:instrText xml:space="preserve"> 2a11–12" </w:instrText>
      </w:r>
      <w:r w:rsidR="08851165" w:rsidRPr="003D1E07">
        <w:rPr>
          <w:lang w:eastAsia="en-US"/>
        </w:rPr>
        <w:fldChar w:fldCharType="end"/>
      </w:r>
      <w:r w:rsidR="08851165" w:rsidRPr="003D1E07">
        <w:t xml:space="preserve">). Nasvícení smyslu jsoucna jde zepředu od </w:t>
      </w:r>
      <w:r w:rsidR="00CE10BE">
        <w:t xml:space="preserve">kauzality </w:t>
      </w:r>
      <w:r w:rsidR="08851165" w:rsidRPr="003D1E07">
        <w:t xml:space="preserve">reálné první substance. Směr predikace dané </w:t>
      </w:r>
      <w:r w:rsidR="08851165" w:rsidRPr="003D1E07">
        <w:rPr>
          <w:i/>
        </w:rPr>
        <w:t>per prius</w:t>
      </w:r>
      <w:r w:rsidR="08851165" w:rsidRPr="003D1E07">
        <w:t xml:space="preserve"> je </w:t>
      </w:r>
      <w:r w:rsidR="086E14A4" w:rsidRPr="003D1E07">
        <w:t xml:space="preserve">impozičně </w:t>
      </w:r>
      <w:r w:rsidR="08851165" w:rsidRPr="003D1E07">
        <w:t xml:space="preserve">dán vzhledem k primární jednoduchosti aktuální věci, kterou v řádu univerzální predikace reprezentuje </w:t>
      </w:r>
      <w:r w:rsidR="009D7547">
        <w:t xml:space="preserve">species jako </w:t>
      </w:r>
      <w:r w:rsidR="08851165" w:rsidRPr="003D1E07">
        <w:t>druhá substance. Nový rozvrh metafyziky naopak začíná hledat smysl jsoucna nasvícením zezadu</w:t>
      </w:r>
      <w:r w:rsidR="08851165" w:rsidRPr="003D1E07">
        <w:fldChar w:fldCharType="begin"/>
      </w:r>
      <w:r w:rsidR="08851165" w:rsidRPr="003D1E07">
        <w:instrText xml:space="preserve"> XE "zjevování:nasvícení zezadu" </w:instrText>
      </w:r>
      <w:r w:rsidR="08851165" w:rsidRPr="003D1E07">
        <w:fldChar w:fldCharType="end"/>
      </w:r>
      <w:r w:rsidR="08851165" w:rsidRPr="003D1E07">
        <w:t xml:space="preserve"> od aktuálních autonomních forem. </w:t>
      </w:r>
      <w:r w:rsidR="084F299D" w:rsidRPr="003D1E07">
        <w:t xml:space="preserve">Koncept první substance u Simplikia představuje neoplatonské </w:t>
      </w:r>
      <w:r w:rsidR="084F299D" w:rsidRPr="003D1E07">
        <w:rPr>
          <w:i/>
        </w:rPr>
        <w:t>Aufhebung</w:t>
      </w:r>
      <w:r w:rsidR="084F299D" w:rsidRPr="003D1E07">
        <w:rPr>
          <w:i/>
        </w:rPr>
        <w:fldChar w:fldCharType="begin"/>
      </w:r>
      <w:r w:rsidR="084F299D" w:rsidRPr="003D1E07">
        <w:instrText xml:space="preserve"> XE "</w:instrText>
      </w:r>
      <w:r w:rsidR="084F299D" w:rsidRPr="003D1E07">
        <w:rPr>
          <w:i/>
        </w:rPr>
        <w:instrText>Aufhebung</w:instrText>
      </w:r>
      <w:r w:rsidR="084F299D" w:rsidRPr="003D1E07">
        <w:instrText xml:space="preserve">" </w:instrText>
      </w:r>
      <w:r w:rsidR="084F299D" w:rsidRPr="003D1E07">
        <w:rPr>
          <w:i/>
        </w:rPr>
        <w:fldChar w:fldCharType="end"/>
      </w:r>
      <w:r w:rsidR="084F299D" w:rsidRPr="003D1E07">
        <w:t xml:space="preserve"> ambivalentního statutu kategorií, který se skrýval v Porfyriově konceptu atomární substance. </w:t>
      </w:r>
      <w:r w:rsidR="080D54C1" w:rsidRPr="003D1E07">
        <w:t>Simplik</w:t>
      </w:r>
      <w:r w:rsidR="004A6FF7" w:rsidRPr="003D1E07">
        <w:t>ius</w:t>
      </w:r>
      <w:r w:rsidR="08875C82" w:rsidRPr="003D1E07">
        <w:t xml:space="preserve"> </w:t>
      </w:r>
      <w:r w:rsidR="00C40CAD" w:rsidRPr="003D1E07">
        <w:t xml:space="preserve">chápe </w:t>
      </w:r>
      <w:r w:rsidR="08206E3D" w:rsidRPr="003D1E07">
        <w:t xml:space="preserve">tabulku deseti kategorií jako </w:t>
      </w:r>
      <w:r w:rsidR="00F0259E" w:rsidRPr="003D1E07">
        <w:t>rodová</w:t>
      </w:r>
      <w:r w:rsidR="08206E3D" w:rsidRPr="003D1E07">
        <w:t xml:space="preserve"> </w:t>
      </w:r>
      <w:r w:rsidR="00F0259E" w:rsidRPr="003D1E07">
        <w:t xml:space="preserve">určení jsoucna </w:t>
      </w:r>
      <w:r w:rsidR="084A43A8" w:rsidRPr="003D1E07">
        <w:t xml:space="preserve">v </w:t>
      </w:r>
      <w:r w:rsidR="00874074" w:rsidRPr="003D1E07">
        <w:t>neoplatonsk</w:t>
      </w:r>
      <w:r w:rsidR="08C30B79" w:rsidRPr="003D1E07">
        <w:t>ém scénáři</w:t>
      </w:r>
      <w:r w:rsidR="00F0259E" w:rsidRPr="003D1E07">
        <w:t xml:space="preserve"> daném podle </w:t>
      </w:r>
      <w:r w:rsidR="00BB45B1" w:rsidRPr="003D1E07">
        <w:t>Porfyri</w:t>
      </w:r>
      <w:r w:rsidR="00F0259E" w:rsidRPr="003D1E07">
        <w:t xml:space="preserve">ovy druhé alternativy ve výkladu </w:t>
      </w:r>
      <w:r w:rsidR="00F0259E" w:rsidRPr="003D1E07">
        <w:rPr>
          <w:i/>
        </w:rPr>
        <w:t>Kategorií</w:t>
      </w:r>
      <w:r w:rsidR="08AF6B7D" w:rsidRPr="003D1E07">
        <w:t xml:space="preserve"> (kap. 1.3</w:t>
      </w:r>
      <w:r w:rsidR="00F0259E" w:rsidRPr="003D1E07">
        <w:t>)</w:t>
      </w:r>
      <w:r w:rsidR="00AB2C6D" w:rsidRPr="003D1E07">
        <w:t xml:space="preserve">. </w:t>
      </w:r>
      <w:r w:rsidR="00317407" w:rsidRPr="003D1E07">
        <w:t>Nově upravená forma</w:t>
      </w:r>
      <w:r w:rsidR="00AB2C6D" w:rsidRPr="003D1E07">
        <w:t xml:space="preserve"> Aristotelovy </w:t>
      </w:r>
      <w:r w:rsidR="00AB2C6D" w:rsidRPr="003D1E07">
        <w:rPr>
          <w:i/>
        </w:rPr>
        <w:t>Fyziky</w:t>
      </w:r>
      <w:r w:rsidR="00AB2C6D" w:rsidRPr="003D1E07">
        <w:t xml:space="preserve"> </w:t>
      </w:r>
      <w:r w:rsidR="00317407" w:rsidRPr="003D1E07">
        <w:t xml:space="preserve">obsahuje </w:t>
      </w:r>
      <w:r w:rsidR="00AB2C6D" w:rsidRPr="003D1E07">
        <w:t xml:space="preserve">nedělitelnost první substance </w:t>
      </w:r>
      <w:r w:rsidR="00317407" w:rsidRPr="003D1E07">
        <w:t xml:space="preserve">v rámci </w:t>
      </w:r>
      <w:r w:rsidR="00AB2C6D" w:rsidRPr="003D1E07">
        <w:t>kategoriální výpovědi</w:t>
      </w:r>
      <w:r w:rsidR="00007725" w:rsidRPr="003D1E07">
        <w:t>. N</w:t>
      </w:r>
      <w:r w:rsidR="00874074" w:rsidRPr="003D1E07">
        <w:t>eoplatonsk</w:t>
      </w:r>
      <w:r w:rsidR="00AB2C6D" w:rsidRPr="003D1E07">
        <w:t>ý systém hypostáz</w:t>
      </w:r>
      <w:r w:rsidR="00007725" w:rsidRPr="003D1E07">
        <w:t>í z</w:t>
      </w:r>
      <w:r w:rsidR="00AB2C6D" w:rsidRPr="003D1E07">
        <w:t xml:space="preserve">rušil </w:t>
      </w:r>
      <w:r w:rsidR="00C40CAD" w:rsidRPr="003D1E07">
        <w:t xml:space="preserve">hyparchický </w:t>
      </w:r>
      <w:r w:rsidR="00AB2C6D" w:rsidRPr="003D1E07">
        <w:t>význam první substance, protože z ní udělal zvláštní druh nedělitelné jednotliviny (</w:t>
      </w:r>
      <w:r w:rsidR="00AB2C6D" w:rsidRPr="003D1E07">
        <w:rPr>
          <w:i/>
        </w:rPr>
        <w:t>individuum</w:t>
      </w:r>
      <w:r w:rsidR="00372E82" w:rsidRPr="003D1E07">
        <w:fldChar w:fldCharType="begin"/>
      </w:r>
      <w:r w:rsidR="00372E82" w:rsidRPr="003D1E07">
        <w:instrText xml:space="preserve"> XE "substance:individuum" </w:instrText>
      </w:r>
      <w:r w:rsidR="00372E82" w:rsidRPr="003D1E07">
        <w:fldChar w:fldCharType="end"/>
      </w:r>
      <w:r w:rsidR="00AB2C6D" w:rsidRPr="003D1E07">
        <w:t xml:space="preserve">) určené v modu </w:t>
      </w:r>
      <w:r w:rsidR="00AB2C6D" w:rsidRPr="003D1E07">
        <w:rPr>
          <w:i/>
        </w:rPr>
        <w:t>per prius</w:t>
      </w:r>
      <w:r w:rsidR="00AB2C6D" w:rsidRPr="003D1E07">
        <w:t xml:space="preserve"> vzhledem ke </w:t>
      </w:r>
      <w:r w:rsidR="082431D8" w:rsidRPr="003D1E07">
        <w:t xml:space="preserve">druhu </w:t>
      </w:r>
      <w:r w:rsidR="00AB2C6D" w:rsidRPr="003D1E07">
        <w:t xml:space="preserve">a k rodu. </w:t>
      </w:r>
      <w:r w:rsidR="00F160AE" w:rsidRPr="003D1E07">
        <w:t xml:space="preserve">Možnosti výkladu vzhledem k nedělitelné substanci se tím rozšířily o třetí </w:t>
      </w:r>
      <w:r w:rsidR="00AB2C6D" w:rsidRPr="003D1E07">
        <w:t>alter</w:t>
      </w:r>
      <w:r w:rsidR="00F160AE" w:rsidRPr="003D1E07">
        <w:t>nativu</w:t>
      </w:r>
      <w:r w:rsidR="080B5676" w:rsidRPr="003D1E07">
        <w:t>, která založila objektivní určení jsoucna ve scholastice</w:t>
      </w:r>
      <w:r w:rsidR="00A143B6" w:rsidRPr="003D1E07">
        <w:t xml:space="preserve">. Nové jsoucno třetího </w:t>
      </w:r>
      <w:r w:rsidR="00A143B6" w:rsidRPr="003D1E07">
        <w:lastRenderedPageBreak/>
        <w:t xml:space="preserve">druhu vzniklo </w:t>
      </w:r>
      <w:r w:rsidR="00AB2C6D" w:rsidRPr="003D1E07">
        <w:t>mix</w:t>
      </w:r>
      <w:r w:rsidR="00A143B6" w:rsidRPr="003D1E07">
        <w:t>em</w:t>
      </w:r>
      <w:r w:rsidR="00AB2C6D" w:rsidRPr="003D1E07">
        <w:t xml:space="preserve"> první a druhé substance</w:t>
      </w:r>
      <w:r w:rsidR="007B40F7" w:rsidRPr="003D1E07">
        <w:t>,</w:t>
      </w:r>
      <w:r w:rsidR="00AB2C6D" w:rsidRPr="003D1E07">
        <w:t xml:space="preserve"> </w:t>
      </w:r>
      <w:r w:rsidR="00A143B6" w:rsidRPr="003D1E07">
        <w:t xml:space="preserve">a </w:t>
      </w:r>
      <w:r w:rsidR="007B40F7" w:rsidRPr="003D1E07">
        <w:t xml:space="preserve">navíc </w:t>
      </w:r>
      <w:r w:rsidR="00A143B6" w:rsidRPr="003D1E07">
        <w:t xml:space="preserve">je predikované </w:t>
      </w:r>
      <w:r w:rsidR="00F160AE" w:rsidRPr="003D1E07">
        <w:t xml:space="preserve">v rámci tabulky </w:t>
      </w:r>
      <w:r w:rsidR="00A143B6" w:rsidRPr="003D1E07">
        <w:t xml:space="preserve">aristotelských </w:t>
      </w:r>
      <w:r w:rsidR="00F160AE" w:rsidRPr="003D1E07">
        <w:t>kategorií</w:t>
      </w:r>
      <w:r w:rsidR="002E113F">
        <w:t>.</w:t>
      </w:r>
    </w:p>
    <w:p w14:paraId="2CDF0E1C" w14:textId="7CB8DD09" w:rsidR="00D43582" w:rsidRDefault="08456D66" w:rsidP="00766EE8">
      <w:pPr>
        <w:ind w:firstLine="397"/>
      </w:pPr>
      <w:r w:rsidRPr="003D1E07">
        <w:t xml:space="preserve">Simplikiovo </w:t>
      </w:r>
      <w:r w:rsidRPr="003D1E07">
        <w:rPr>
          <w:i/>
        </w:rPr>
        <w:t>Aufhebung</w:t>
      </w:r>
      <w:r w:rsidRPr="003D1E07">
        <w:t xml:space="preserve"> klasické nauky</w:t>
      </w:r>
      <w:r w:rsidR="00CE57D9" w:rsidRPr="003D1E07">
        <w:t xml:space="preserve"> kategorií dané u Alexandra</w:t>
      </w:r>
      <w:r w:rsidR="00955903" w:rsidRPr="003D1E07">
        <w:fldChar w:fldCharType="begin"/>
      </w:r>
      <w:r w:rsidR="00955903" w:rsidRPr="003D1E07">
        <w:instrText xml:space="preserve"> XE "Alexander Afrodisias" </w:instrText>
      </w:r>
      <w:r w:rsidR="00955903" w:rsidRPr="003D1E07">
        <w:fldChar w:fldCharType="end"/>
      </w:r>
      <w:r w:rsidR="00CE57D9" w:rsidRPr="003D1E07">
        <w:t xml:space="preserve"> a </w:t>
      </w:r>
      <w:r w:rsidR="00BB45B1" w:rsidRPr="003D1E07">
        <w:t>Porfyri</w:t>
      </w:r>
      <w:r w:rsidR="00CE57D9" w:rsidRPr="003D1E07">
        <w:t xml:space="preserve">a vyniká </w:t>
      </w:r>
      <w:r w:rsidR="00BF309A" w:rsidRPr="003D1E07">
        <w:t xml:space="preserve">logickou </w:t>
      </w:r>
      <w:r w:rsidR="00CE57D9" w:rsidRPr="003D1E07">
        <w:t xml:space="preserve">jednoduchostí. Kosmická tělesa mají charakter věčných a nedělitelných těles daných bytím </w:t>
      </w:r>
      <w:r w:rsidR="087A549D" w:rsidRPr="003D1E07">
        <w:t xml:space="preserve">kosmického intelektu jako </w:t>
      </w:r>
      <w:r w:rsidR="00CE57D9" w:rsidRPr="003D1E07">
        <w:t xml:space="preserve">čisté </w:t>
      </w:r>
      <w:r w:rsidR="087A549D" w:rsidRPr="003D1E07">
        <w:t xml:space="preserve">nemateriální a oddělené </w:t>
      </w:r>
      <w:r w:rsidR="00CE57D9" w:rsidRPr="003D1E07">
        <w:t xml:space="preserve">formy. Kosmická </w:t>
      </w:r>
      <w:r w:rsidR="00F214C5" w:rsidRPr="003D1E07">
        <w:t>species</w:t>
      </w:r>
      <w:r w:rsidR="00CE57D9" w:rsidRPr="003D1E07">
        <w:t xml:space="preserve"> jsou oddělená od smyslového vnímání, proto zakládají nový druh jedinečnosti dané kauzálně-materiálně a specificky-formálně. Tyto první substance nelze zrušit, protože j</w:t>
      </w:r>
      <w:r w:rsidR="00A37A65" w:rsidRPr="003D1E07">
        <w:t>sou věčné jako Slunce, Měsíc a K</w:t>
      </w:r>
      <w:r w:rsidR="00CE57D9" w:rsidRPr="003D1E07">
        <w:t xml:space="preserve">osmos. </w:t>
      </w:r>
      <w:r w:rsidR="009561E8" w:rsidRPr="003D1E07">
        <w:t>Kosmické intelig</w:t>
      </w:r>
      <w:r w:rsidR="004D6CF7" w:rsidRPr="003D1E07">
        <w:t xml:space="preserve">ence a formy </w:t>
      </w:r>
      <w:r w:rsidR="00CE57D9" w:rsidRPr="003D1E07">
        <w:t xml:space="preserve">tvoří jak první substanci, tak i </w:t>
      </w:r>
      <w:r w:rsidR="08794CF7" w:rsidRPr="003D1E07">
        <w:t>věčná</w:t>
      </w:r>
      <w:r w:rsidR="00CE57D9" w:rsidRPr="003D1E07">
        <w:t xml:space="preserve"> a nemateriální </w:t>
      </w:r>
      <w:r w:rsidR="00F214C5" w:rsidRPr="003D1E07">
        <w:t>species</w:t>
      </w:r>
      <w:r w:rsidR="08794CF7" w:rsidRPr="003D1E07">
        <w:t xml:space="preserve"> daná</w:t>
      </w:r>
      <w:r w:rsidR="00CE57D9" w:rsidRPr="003D1E07">
        <w:t xml:space="preserve"> v jednom exempláři. </w:t>
      </w:r>
      <w:r w:rsidR="00BB45B1" w:rsidRPr="003D1E07">
        <w:t>Porfyri</w:t>
      </w:r>
      <w:r w:rsidR="00CE57D9" w:rsidRPr="003D1E07">
        <w:t xml:space="preserve">ův příklad </w:t>
      </w:r>
      <w:r w:rsidR="00CE57D9" w:rsidRPr="003D1E07">
        <w:rPr>
          <w:i/>
        </w:rPr>
        <w:t>modus tollens</w:t>
      </w:r>
      <w:r w:rsidR="007109A6" w:rsidRPr="003D1E07">
        <w:rPr>
          <w:i/>
        </w:rPr>
        <w:fldChar w:fldCharType="begin"/>
      </w:r>
      <w:r w:rsidR="007109A6" w:rsidRPr="003D1E07">
        <w:instrText xml:space="preserve"> XE "</w:instrText>
      </w:r>
      <w:r w:rsidR="007109A6" w:rsidRPr="003D1E07">
        <w:rPr>
          <w:i/>
        </w:rPr>
        <w:instrText>modus tollens</w:instrText>
      </w:r>
      <w:r w:rsidR="007109A6" w:rsidRPr="003D1E07">
        <w:instrText xml:space="preserve">" </w:instrText>
      </w:r>
      <w:r w:rsidR="007109A6" w:rsidRPr="003D1E07">
        <w:rPr>
          <w:i/>
        </w:rPr>
        <w:fldChar w:fldCharType="end"/>
      </w:r>
      <w:r w:rsidR="00CE57D9" w:rsidRPr="003D1E07">
        <w:t xml:space="preserve"> zakládajícího predikaci </w:t>
      </w:r>
      <w:r w:rsidR="00CE57D9" w:rsidRPr="003D1E07">
        <w:rPr>
          <w:i/>
        </w:rPr>
        <w:t>per prius</w:t>
      </w:r>
      <w:r w:rsidR="00CE57D9" w:rsidRPr="003D1E07">
        <w:t xml:space="preserve"> proto neplatí pro nemateriální kosmické substance </w:t>
      </w:r>
      <w:r w:rsidR="005E1105" w:rsidRPr="003D1E07">
        <w:rPr>
          <w:rStyle w:val="addmd"/>
          <w:i/>
        </w:rPr>
        <w:fldChar w:fldCharType="begin"/>
      </w:r>
      <w:r w:rsidR="005E1105" w:rsidRPr="003D1E07">
        <w:instrText xml:space="preserve"> XE "predikace:</w:instrText>
      </w:r>
      <w:r w:rsidR="005E1105" w:rsidRPr="003D1E07">
        <w:rPr>
          <w:i/>
        </w:rPr>
        <w:instrText>modus tollens</w:instrText>
      </w:r>
      <w:r w:rsidR="005E1105" w:rsidRPr="003D1E07">
        <w:instrText xml:space="preserve">" </w:instrText>
      </w:r>
      <w:r w:rsidR="005E1105" w:rsidRPr="003D1E07">
        <w:rPr>
          <w:rStyle w:val="addmd"/>
          <w:i/>
        </w:rPr>
        <w:fldChar w:fldCharType="end"/>
      </w:r>
      <w:r w:rsidR="005E1105" w:rsidRPr="003D1E07">
        <w:t xml:space="preserve"> </w:t>
      </w:r>
      <w:r w:rsidR="08AF6B7D" w:rsidRPr="003D1E07">
        <w:t>(kap. 1.3</w:t>
      </w:r>
      <w:r w:rsidR="00CE57D9" w:rsidRPr="003D1E07">
        <w:t xml:space="preserve">). Simplikiova kritika </w:t>
      </w:r>
      <w:r w:rsidR="00BB45B1" w:rsidRPr="003D1E07">
        <w:t>Porfyri</w:t>
      </w:r>
      <w:r w:rsidR="00CE57D9" w:rsidRPr="003D1E07">
        <w:t xml:space="preserve">a uznává pouze afirmativní </w:t>
      </w:r>
      <w:r w:rsidR="00CE57D9" w:rsidRPr="003D1E07">
        <w:rPr>
          <w:i/>
        </w:rPr>
        <w:t>modus ponens</w:t>
      </w:r>
      <w:r w:rsidR="007109A6" w:rsidRPr="003D1E07">
        <w:rPr>
          <w:i/>
        </w:rPr>
        <w:fldChar w:fldCharType="begin"/>
      </w:r>
      <w:r w:rsidR="007109A6" w:rsidRPr="003D1E07">
        <w:instrText xml:space="preserve"> XE "</w:instrText>
      </w:r>
      <w:r w:rsidR="007109A6" w:rsidRPr="003D1E07">
        <w:rPr>
          <w:i/>
        </w:rPr>
        <w:instrText>modus ponens</w:instrText>
      </w:r>
      <w:r w:rsidR="007109A6" w:rsidRPr="003D1E07">
        <w:instrText xml:space="preserve">" </w:instrText>
      </w:r>
      <w:r w:rsidR="007109A6" w:rsidRPr="003D1E07">
        <w:rPr>
          <w:i/>
        </w:rPr>
        <w:fldChar w:fldCharType="end"/>
      </w:r>
      <w:r w:rsidR="00CE57D9" w:rsidRPr="003D1E07">
        <w:t xml:space="preserve">, který klade bytí </w:t>
      </w:r>
      <w:r w:rsidR="08B3081B" w:rsidRPr="003D1E07">
        <w:t xml:space="preserve">věčné </w:t>
      </w:r>
      <w:r w:rsidR="00CE57D9" w:rsidRPr="003D1E07">
        <w:t xml:space="preserve">kosmické </w:t>
      </w:r>
      <w:r w:rsidR="001A4566">
        <w:t>„</w:t>
      </w:r>
      <w:r w:rsidR="00CE57D9" w:rsidRPr="003D1E07">
        <w:t>substance</w:t>
      </w:r>
      <w:r w:rsidR="001A4566">
        <w:t>–</w:t>
      </w:r>
      <w:r w:rsidR="00F214C5" w:rsidRPr="003D1E07">
        <w:t>species</w:t>
      </w:r>
      <w:r w:rsidR="001A4566">
        <w:t>“</w:t>
      </w:r>
      <w:r w:rsidR="00780D55" w:rsidRPr="003D1E07">
        <w:t xml:space="preserve"> úplně dogmatickým </w:t>
      </w:r>
      <w:r w:rsidR="00CE57D9" w:rsidRPr="003D1E07">
        <w:t>způsobem. Afirmace potvrzuje nedělitelnost kosmických a čistě intelektuálních substancí, která jsou univerzálními formami</w:t>
      </w:r>
      <w:r w:rsidR="00C90BA9" w:rsidRPr="003D1E07">
        <w:t xml:space="preserve"> a současně jim lze přičítat fyzikální</w:t>
      </w:r>
      <w:r w:rsidR="00CE57D9" w:rsidRPr="003D1E07">
        <w:t xml:space="preserve"> realitu prvních substancí. </w:t>
      </w:r>
      <w:r w:rsidR="00C90BA9" w:rsidRPr="003D1E07">
        <w:t xml:space="preserve">Reálná </w:t>
      </w:r>
      <w:r w:rsidR="00CE57D9" w:rsidRPr="003D1E07">
        <w:t>danost kosmických substancí-</w:t>
      </w:r>
      <w:r w:rsidR="00F214C5" w:rsidRPr="003D1E07">
        <w:t>species</w:t>
      </w:r>
      <w:r w:rsidR="00CE57D9" w:rsidRPr="003D1E07">
        <w:t xml:space="preserve"> se kryje s jejich nemateriálním a čistě formálním určením. </w:t>
      </w:r>
      <w:r w:rsidR="080B3175" w:rsidRPr="003D1E07">
        <w:t>Tímto mytopoetickým smíšením existence</w:t>
      </w:r>
      <w:r w:rsidR="00BD442B" w:rsidRPr="003D1E07">
        <w:t>, esence</w:t>
      </w:r>
      <w:r w:rsidR="080B3175" w:rsidRPr="003D1E07">
        <w:t xml:space="preserve"> a </w:t>
      </w:r>
      <w:r w:rsidR="00BD442B" w:rsidRPr="003D1E07">
        <w:t xml:space="preserve">kategoriální </w:t>
      </w:r>
      <w:r w:rsidR="080B3175" w:rsidRPr="003D1E07">
        <w:t xml:space="preserve">predikace </w:t>
      </w:r>
      <w:r w:rsidR="08C01473" w:rsidRPr="003D1E07">
        <w:t xml:space="preserve">vzniklo první </w:t>
      </w:r>
      <w:r w:rsidR="08C01473" w:rsidRPr="003D1E07">
        <w:rPr>
          <w:i/>
        </w:rPr>
        <w:t>Lichtung</w:t>
      </w:r>
      <w:r w:rsidR="08C01473" w:rsidRPr="003D1E07">
        <w:t xml:space="preserve"> západní objektivity</w:t>
      </w:r>
      <w:r w:rsidR="08C01473" w:rsidRPr="003D1E07">
        <w:fldChar w:fldCharType="begin"/>
      </w:r>
      <w:r w:rsidR="08C01473" w:rsidRPr="003D1E07">
        <w:instrText xml:space="preserve"> XE "</w:instrText>
      </w:r>
      <w:r w:rsidR="08C01473" w:rsidRPr="003D1E07">
        <w:rPr>
          <w:i/>
        </w:rPr>
        <w:instrText>Lichtung</w:instrText>
      </w:r>
      <w:r w:rsidR="08C01473" w:rsidRPr="003D1E07">
        <w:instrText xml:space="preserve">:objektivita" </w:instrText>
      </w:r>
      <w:r w:rsidR="08C01473" w:rsidRPr="003D1E07">
        <w:fldChar w:fldCharType="end"/>
      </w:r>
      <w:r w:rsidR="08C01473" w:rsidRPr="003D1E07">
        <w:t xml:space="preserve">. </w:t>
      </w:r>
      <w:r w:rsidR="08794CF7" w:rsidRPr="003D1E07">
        <w:t xml:space="preserve">Není vyloučeno, že konjunkce ontologické a kategoriální predikace vzhledem k odděleným kosmickým substancím existovala nějakým způsobem už u Porfyria. Jeho komentář k dialogu </w:t>
      </w:r>
      <w:r w:rsidR="08794CF7" w:rsidRPr="003D1E07">
        <w:rPr>
          <w:i/>
        </w:rPr>
        <w:t>Timaios</w:t>
      </w:r>
      <w:r w:rsidR="08794CF7" w:rsidRPr="003D1E07">
        <w:rPr>
          <w:i/>
        </w:rPr>
        <w:fldChar w:fldCharType="begin"/>
      </w:r>
      <w:r w:rsidR="08794CF7" w:rsidRPr="003D1E07">
        <w:rPr>
          <w:i/>
        </w:rPr>
        <w:instrText xml:space="preserve"> XE "</w:instrText>
      </w:r>
      <w:r w:rsidR="081325FA" w:rsidRPr="003D1E07">
        <w:instrText>dialog</w:instrText>
      </w:r>
      <w:r w:rsidR="081325FA" w:rsidRPr="003D1E07">
        <w:rPr>
          <w:i/>
        </w:rPr>
        <w:instrText xml:space="preserve"> Timaios</w:instrText>
      </w:r>
      <w:r w:rsidR="08794CF7" w:rsidRPr="003D1E07">
        <w:rPr>
          <w:i/>
        </w:rPr>
        <w:instrText xml:space="preserve">" </w:instrText>
      </w:r>
      <w:r w:rsidR="08794CF7" w:rsidRPr="003D1E07">
        <w:rPr>
          <w:i/>
        </w:rPr>
        <w:fldChar w:fldCharType="end"/>
      </w:r>
      <w:r w:rsidR="08794CF7" w:rsidRPr="003D1E07">
        <w:t xml:space="preserve"> známe jen zlomkovitě, ale najdeme v něm zmíněné pořadí pro dvojí typ existence predikované vzhledem k nadřazenému světu idejí. Proklův komentář </w:t>
      </w:r>
      <w:r w:rsidR="08794CF7" w:rsidRPr="003D1E07">
        <w:rPr>
          <w:i/>
        </w:rPr>
        <w:t>Timaia</w:t>
      </w:r>
      <w:r w:rsidR="08794CF7" w:rsidRPr="003D1E07">
        <w:t xml:space="preserve"> cituje Porfyriův komentář s tím, že celek </w:t>
      </w:r>
      <w:r w:rsidR="08794CF7" w:rsidRPr="003D1E07">
        <w:rPr>
          <w:i/>
        </w:rPr>
        <w:t>fýsis</w:t>
      </w:r>
      <w:r w:rsidR="08794CF7" w:rsidRPr="003D1E07">
        <w:t xml:space="preserve"> u něj existuje v rámci demiurgické predikace </w:t>
      </w:r>
      <w:r w:rsidR="08794CF7" w:rsidRPr="003D1E07">
        <w:rPr>
          <w:i/>
        </w:rPr>
        <w:t>per prius</w:t>
      </w:r>
      <w:r w:rsidR="08794CF7" w:rsidRPr="003D1E07">
        <w:t xml:space="preserve"> a </w:t>
      </w:r>
      <w:r w:rsidR="08794CF7" w:rsidRPr="003D1E07">
        <w:rPr>
          <w:i/>
        </w:rPr>
        <w:t>per posterius</w:t>
      </w:r>
      <w:r w:rsidR="08794CF7" w:rsidRPr="003D1E07">
        <w:t xml:space="preserve">. Celek </w:t>
      </w:r>
      <w:r w:rsidR="005C3D77" w:rsidRPr="003D1E07">
        <w:rPr>
          <w:i/>
        </w:rPr>
        <w:t>fýsis</w:t>
      </w:r>
      <w:r w:rsidR="005C3D77" w:rsidRPr="003D1E07">
        <w:t xml:space="preserve"> </w:t>
      </w:r>
      <w:r w:rsidR="08794CF7" w:rsidRPr="003D1E07">
        <w:t xml:space="preserve">je daný </w:t>
      </w:r>
      <w:r w:rsidR="08794CF7" w:rsidRPr="003D1E07">
        <w:rPr>
          <w:i/>
        </w:rPr>
        <w:t>per prius</w:t>
      </w:r>
      <w:r w:rsidR="005C3D77" w:rsidRPr="003D1E07">
        <w:t xml:space="preserve">, protože oživuje celý kosmos </w:t>
      </w:r>
      <w:r w:rsidR="08794CF7" w:rsidRPr="003D1E07">
        <w:t xml:space="preserve">(ἡ τοῦ παντὸς φύσις ἡ ζῳοποιοῦσα τὸ πᾶν; </w:t>
      </w:r>
      <w:r w:rsidR="08794CF7" w:rsidRPr="003D1E07">
        <w:rPr>
          <w:i/>
        </w:rPr>
        <w:t>Procl</w:t>
      </w:r>
      <w:r w:rsidR="08794CF7" w:rsidRPr="003D1E07">
        <w:t xml:space="preserve">. </w:t>
      </w:r>
      <w:r w:rsidR="08794CF7" w:rsidRPr="003D1E07">
        <w:rPr>
          <w:i/>
        </w:rPr>
        <w:t>in Tim</w:t>
      </w:r>
      <w:r w:rsidR="08794CF7" w:rsidRPr="003D1E07">
        <w:t>. 257.8–9</w:t>
      </w:r>
      <w:r w:rsidR="08794CF7" w:rsidRPr="003D1E07">
        <w:rPr>
          <w:lang w:eastAsia="en-US"/>
        </w:rPr>
        <w:fldChar w:fldCharType="begin"/>
      </w:r>
      <w:r w:rsidR="08794CF7" w:rsidRPr="003D1E07">
        <w:instrText xml:space="preserve"> XE "Proklus:</w:instrText>
      </w:r>
      <w:r w:rsidR="08794CF7" w:rsidRPr="003D1E07">
        <w:rPr>
          <w:i/>
        </w:rPr>
        <w:instrText>Procl</w:instrText>
      </w:r>
      <w:r w:rsidR="08794CF7" w:rsidRPr="003D1E07">
        <w:instrText xml:space="preserve">. </w:instrText>
      </w:r>
      <w:r w:rsidR="08794CF7" w:rsidRPr="003D1E07">
        <w:rPr>
          <w:i/>
        </w:rPr>
        <w:instrText>in Tim</w:instrText>
      </w:r>
      <w:r w:rsidR="08794CF7" w:rsidRPr="003D1E07">
        <w:instrText xml:space="preserve">. 257.8–9" </w:instrText>
      </w:r>
      <w:r w:rsidR="08794CF7" w:rsidRPr="003D1E07">
        <w:rPr>
          <w:lang w:eastAsia="en-US"/>
        </w:rPr>
        <w:fldChar w:fldCharType="end"/>
      </w:r>
      <w:r w:rsidR="08AD211F" w:rsidRPr="003D1E07">
        <w:t xml:space="preserve">) </w:t>
      </w:r>
      <w:r w:rsidR="08794CF7" w:rsidRPr="003D1E07">
        <w:t xml:space="preserve">skrze zprostředkující charakter platonských forem. Proklus dosvědčuje, že u Porfyria je </w:t>
      </w:r>
      <w:r w:rsidR="08794CF7" w:rsidRPr="002A4A97">
        <w:rPr>
          <w:i/>
        </w:rPr>
        <w:t>fýsis</w:t>
      </w:r>
      <w:r w:rsidR="08794CF7" w:rsidRPr="003D1E07">
        <w:t xml:space="preserve"> určena jak dělitelností těles v říši </w:t>
      </w:r>
      <w:r w:rsidR="00573FB9">
        <w:t xml:space="preserve">vznikání </w:t>
      </w:r>
      <w:r w:rsidR="08794CF7" w:rsidRPr="003D1E07">
        <w:t xml:space="preserve">(ὡς μὲν μεριστὴ περὶ τοῖς σώμασι γενητή ἐστιν), tak i nedělitelností netělesných entit v říši věčného trvání (ὡς δὲ παντελῶς ἀσώματος ἀγένητος, </w:t>
      </w:r>
      <w:r w:rsidR="08794CF7" w:rsidRPr="003D1E07">
        <w:rPr>
          <w:i/>
        </w:rPr>
        <w:t>Procl</w:t>
      </w:r>
      <w:r w:rsidR="08794CF7" w:rsidRPr="003D1E07">
        <w:t xml:space="preserve">. </w:t>
      </w:r>
      <w:r w:rsidR="08794CF7" w:rsidRPr="003D1E07">
        <w:rPr>
          <w:i/>
        </w:rPr>
        <w:t>in Tim</w:t>
      </w:r>
      <w:r w:rsidR="08794CF7" w:rsidRPr="003D1E07">
        <w:t>. 257.9–11</w:t>
      </w:r>
      <w:r w:rsidR="08794CF7" w:rsidRPr="003D1E07">
        <w:rPr>
          <w:lang w:eastAsia="en-US"/>
        </w:rPr>
        <w:fldChar w:fldCharType="begin"/>
      </w:r>
      <w:r w:rsidR="08794CF7" w:rsidRPr="003D1E07">
        <w:instrText xml:space="preserve"> XE "Proklus:</w:instrText>
      </w:r>
      <w:r w:rsidR="08794CF7" w:rsidRPr="003D1E07">
        <w:rPr>
          <w:i/>
        </w:rPr>
        <w:instrText>Procl</w:instrText>
      </w:r>
      <w:r w:rsidR="08794CF7" w:rsidRPr="003D1E07">
        <w:instrText xml:space="preserve">. </w:instrText>
      </w:r>
      <w:r w:rsidR="08794CF7" w:rsidRPr="003D1E07">
        <w:rPr>
          <w:i/>
        </w:rPr>
        <w:instrText>in Tim</w:instrText>
      </w:r>
      <w:r w:rsidR="08794CF7" w:rsidRPr="003D1E07">
        <w:instrText xml:space="preserve">. 257.9–11" </w:instrText>
      </w:r>
      <w:r w:rsidR="08794CF7" w:rsidRPr="003D1E07">
        <w:rPr>
          <w:lang w:eastAsia="en-US"/>
        </w:rPr>
        <w:fldChar w:fldCharType="end"/>
      </w:r>
      <w:r w:rsidR="08794CF7" w:rsidRPr="003D1E07">
        <w:t xml:space="preserve">). </w:t>
      </w:r>
      <w:r w:rsidR="00F27D55" w:rsidRPr="003D1E07">
        <w:t xml:space="preserve">Porfyrios vytvořil </w:t>
      </w:r>
      <w:r w:rsidR="08794CF7" w:rsidRPr="003D1E07">
        <w:t>dvojí status aktuálních substancí (ἀσώματος, ἀγένητος)</w:t>
      </w:r>
      <w:r w:rsidR="00F27D55" w:rsidRPr="003D1E07">
        <w:t xml:space="preserve">, které jsou definovány skrze </w:t>
      </w:r>
      <w:r w:rsidR="08794CF7" w:rsidRPr="003D1E07">
        <w:t xml:space="preserve">mediaci </w:t>
      </w:r>
      <w:r w:rsidR="08665D7E" w:rsidRPr="003D1E07">
        <w:t>pro</w:t>
      </w:r>
      <w:r w:rsidR="00915173" w:rsidRPr="003D1E07">
        <w:t>hyp</w:t>
      </w:r>
      <w:r w:rsidR="08665D7E" w:rsidRPr="003D1E07">
        <w:t xml:space="preserve">archických </w:t>
      </w:r>
      <w:r w:rsidR="08794CF7" w:rsidRPr="003D1E07">
        <w:t>forem</w:t>
      </w:r>
      <w:r w:rsidR="00F27D55" w:rsidRPr="003D1E07">
        <w:t xml:space="preserve">. Tato mediace </w:t>
      </w:r>
      <w:r w:rsidR="08794CF7" w:rsidRPr="003D1E07">
        <w:t>dosta</w:t>
      </w:r>
      <w:r w:rsidR="00F27D55" w:rsidRPr="003D1E07">
        <w:t xml:space="preserve">la </w:t>
      </w:r>
      <w:r w:rsidR="08794CF7" w:rsidRPr="003D1E07">
        <w:t xml:space="preserve">u Simplikia klíčovou roli. </w:t>
      </w:r>
      <w:r w:rsidR="00F27D55" w:rsidRPr="003D1E07">
        <w:t>V</w:t>
      </w:r>
      <w:r w:rsidR="08794CF7" w:rsidRPr="003D1E07">
        <w:t>ytvořil novou obdobu</w:t>
      </w:r>
      <w:r w:rsidR="08D20A81" w:rsidRPr="003D1E07">
        <w:t xml:space="preserve"> Ploti</w:t>
      </w:r>
      <w:r w:rsidR="00CE57D9" w:rsidRPr="003D1E07">
        <w:t xml:space="preserve">nova kladného pojetí </w:t>
      </w:r>
      <w:r w:rsidR="00CE57D9" w:rsidRPr="003D1E07">
        <w:rPr>
          <w:i/>
        </w:rPr>
        <w:t>modus ponens</w:t>
      </w:r>
      <w:r w:rsidR="00DE3E03" w:rsidRPr="003D1E07">
        <w:rPr>
          <w:rStyle w:val="addmd"/>
          <w:i/>
        </w:rPr>
        <w:fldChar w:fldCharType="begin"/>
      </w:r>
      <w:r w:rsidR="00DE3E03" w:rsidRPr="003D1E07">
        <w:instrText xml:space="preserve"> XE "predikace:</w:instrText>
      </w:r>
      <w:r w:rsidR="00DE3E03" w:rsidRPr="003D1E07">
        <w:rPr>
          <w:i/>
        </w:rPr>
        <w:instrText>modus ponens</w:instrText>
      </w:r>
      <w:r w:rsidR="00DE3E03" w:rsidRPr="003D1E07">
        <w:instrText xml:space="preserve">" </w:instrText>
      </w:r>
      <w:r w:rsidR="00DE3E03" w:rsidRPr="003D1E07">
        <w:rPr>
          <w:rStyle w:val="addmd"/>
          <w:i/>
        </w:rPr>
        <w:fldChar w:fldCharType="end"/>
      </w:r>
      <w:r w:rsidR="00CE57D9" w:rsidRPr="003D1E07">
        <w:t xml:space="preserve">, daného tentokrát pro univerzální </w:t>
      </w:r>
      <w:r w:rsidR="00F214C5" w:rsidRPr="003D1E07">
        <w:t>species</w:t>
      </w:r>
      <w:r w:rsidR="00F728A5" w:rsidRPr="003D1E07">
        <w:t xml:space="preserve"> daná fyzikálně</w:t>
      </w:r>
      <w:r w:rsidR="00CE57D9" w:rsidRPr="003D1E07">
        <w:t xml:space="preserve">, nikoliv pro autonomní rod jako v </w:t>
      </w:r>
      <w:r w:rsidR="00CE57D9" w:rsidRPr="003D1E07">
        <w:rPr>
          <w:i/>
        </w:rPr>
        <w:t>Enneádách</w:t>
      </w:r>
      <w:r w:rsidR="08AF6B7D" w:rsidRPr="003D1E07">
        <w:t xml:space="preserve"> (kap. 1.3</w:t>
      </w:r>
      <w:r w:rsidR="00CE57D9" w:rsidRPr="003D1E07">
        <w:t xml:space="preserve">). </w:t>
      </w:r>
      <w:r w:rsidR="08794CF7" w:rsidRPr="003D1E07">
        <w:t xml:space="preserve">Abstraktní individuum </w:t>
      </w:r>
      <w:r w:rsidR="083D3BD7" w:rsidRPr="003D1E07">
        <w:t xml:space="preserve">dané jako specifické těleso ve formě nemateriální kosmické </w:t>
      </w:r>
      <w:r w:rsidR="083D3BD7" w:rsidRPr="003D1E07">
        <w:lastRenderedPageBreak/>
        <w:t xml:space="preserve">inteligence </w:t>
      </w:r>
      <w:r w:rsidR="00790774" w:rsidRPr="003D1E07">
        <w:t>provedlo zatmění reálné</w:t>
      </w:r>
      <w:r w:rsidR="08794CF7" w:rsidRPr="003D1E07">
        <w:t xml:space="preserve"> </w:t>
      </w:r>
      <w:r w:rsidR="00790774" w:rsidRPr="003D1E07">
        <w:t>hylemorfické</w:t>
      </w:r>
      <w:r w:rsidR="08206FCD" w:rsidRPr="003D1E07">
        <w:t xml:space="preserve"> </w:t>
      </w:r>
      <w:r w:rsidR="00790774" w:rsidRPr="003D1E07">
        <w:t>první substance</w:t>
      </w:r>
      <w:r w:rsidR="08794CF7" w:rsidRPr="003D1E07">
        <w:t xml:space="preserve">. </w:t>
      </w:r>
      <w:r w:rsidR="08206FCD" w:rsidRPr="003D1E07">
        <w:t xml:space="preserve">Ilumináti po Simplikiovi přestali svět vnímat smysly, protože jej přímo nazírají svým osvíceným intelektem. </w:t>
      </w:r>
      <w:r w:rsidR="002C7D63" w:rsidRPr="003D1E07">
        <w:t xml:space="preserve">Zavedení </w:t>
      </w:r>
      <w:r w:rsidR="00172308">
        <w:t xml:space="preserve">hypostázovaného </w:t>
      </w:r>
      <w:r w:rsidR="00F214C5" w:rsidRPr="003D1E07">
        <w:t>species</w:t>
      </w:r>
      <w:r w:rsidR="002C7D63" w:rsidRPr="003D1E07">
        <w:t xml:space="preserve"> místo </w:t>
      </w:r>
      <w:r w:rsidR="08C01515" w:rsidRPr="003D1E07">
        <w:t>p</w:t>
      </w:r>
      <w:r w:rsidR="008E02F5" w:rsidRPr="003D1E07">
        <w:t>laton</w:t>
      </w:r>
      <w:r w:rsidR="002C7D63" w:rsidRPr="003D1E07">
        <w:t xml:space="preserve">ského </w:t>
      </w:r>
      <w:r w:rsidR="00AA63C8" w:rsidRPr="003D1E07">
        <w:t xml:space="preserve">nejvyššího </w:t>
      </w:r>
      <w:r w:rsidR="002C7D63" w:rsidRPr="003D1E07">
        <w:t xml:space="preserve">rodu </w:t>
      </w:r>
      <w:r w:rsidR="00E52E2B" w:rsidRPr="003D1E07">
        <w:t>založila</w:t>
      </w:r>
      <w:r w:rsidR="002C7D63" w:rsidRPr="003D1E07">
        <w:t xml:space="preserve"> </w:t>
      </w:r>
      <w:r w:rsidR="00CE57D9" w:rsidRPr="003D1E07">
        <w:t xml:space="preserve">nový typ </w:t>
      </w:r>
      <w:r w:rsidR="002C7D63" w:rsidRPr="003D1E07">
        <w:t xml:space="preserve">kategoriální predikace. </w:t>
      </w:r>
      <w:r w:rsidR="08794CF7" w:rsidRPr="003D1E07">
        <w:t>Syntéza</w:t>
      </w:r>
      <w:r w:rsidR="000D611C" w:rsidRPr="003D1E07">
        <w:t xml:space="preserve"> první a druhé substance vytvořil</w:t>
      </w:r>
      <w:r w:rsidR="08794CF7" w:rsidRPr="003D1E07">
        <w:t>a</w:t>
      </w:r>
      <w:r w:rsidR="000D611C" w:rsidRPr="003D1E07">
        <w:t xml:space="preserve"> </w:t>
      </w:r>
      <w:r w:rsidR="00CE57D9" w:rsidRPr="003D1E07">
        <w:t xml:space="preserve">primární postavení </w:t>
      </w:r>
      <w:r w:rsidR="0075350A">
        <w:t>species–</w:t>
      </w:r>
      <w:r w:rsidR="00CE57D9" w:rsidRPr="003D1E07">
        <w:t xml:space="preserve">substance dané v rámci jedné formálně-ontologické nedělitelnosti predikované </w:t>
      </w:r>
      <w:r w:rsidR="08401CE2" w:rsidRPr="003D1E07">
        <w:t xml:space="preserve">v predikaci dané </w:t>
      </w:r>
      <w:r w:rsidR="00CE57D9" w:rsidRPr="003D1E07">
        <w:rPr>
          <w:i/>
        </w:rPr>
        <w:t>per prius</w:t>
      </w:r>
      <w:r w:rsidR="00DE3E03" w:rsidRPr="003D1E07">
        <w:rPr>
          <w:rStyle w:val="addmd"/>
          <w:i/>
        </w:rPr>
        <w:fldChar w:fldCharType="begin"/>
      </w:r>
      <w:r w:rsidR="00DE3E03" w:rsidRPr="003D1E07">
        <w:instrText xml:space="preserve"> XE "substance:třetího druhu" </w:instrText>
      </w:r>
      <w:r w:rsidR="00DE3E03" w:rsidRPr="003D1E07">
        <w:rPr>
          <w:rStyle w:val="addmd"/>
          <w:i/>
        </w:rPr>
        <w:fldChar w:fldCharType="end"/>
      </w:r>
      <w:r w:rsidR="00CE57D9" w:rsidRPr="003D1E07">
        <w:t>.</w:t>
      </w:r>
      <w:r w:rsidR="00876055" w:rsidRPr="003D1E07">
        <w:t xml:space="preserve"> </w:t>
      </w:r>
      <w:r w:rsidR="00E52E2B" w:rsidRPr="003D1E07">
        <w:t xml:space="preserve">Nová „první substance“ je hypostázované species, které se predikuje v modu </w:t>
      </w:r>
      <w:r w:rsidR="00E52E2B" w:rsidRPr="003D1E07">
        <w:rPr>
          <w:i/>
        </w:rPr>
        <w:t>per prius</w:t>
      </w:r>
      <w:r w:rsidR="00E52E2B" w:rsidRPr="003D1E07">
        <w:t xml:space="preserve">. </w:t>
      </w:r>
      <w:r w:rsidR="00876055" w:rsidRPr="003D1E07">
        <w:t xml:space="preserve">Nedělitelnost se vztahuje k primárním kosmickým </w:t>
      </w:r>
      <w:r w:rsidR="00F214C5" w:rsidRPr="003D1E07">
        <w:t>species</w:t>
      </w:r>
      <w:r w:rsidR="08794CF7" w:rsidRPr="003D1E07">
        <w:t>, která</w:t>
      </w:r>
      <w:r w:rsidR="00876055" w:rsidRPr="003D1E07">
        <w:t xml:space="preserve"> drží ontologický primát nad prvními </w:t>
      </w:r>
      <w:r w:rsidR="002C3FC7">
        <w:t xml:space="preserve">hyparchickými </w:t>
      </w:r>
      <w:r w:rsidR="00876055" w:rsidRPr="003D1E07">
        <w:t xml:space="preserve">substancemi </w:t>
      </w:r>
      <w:r w:rsidR="0052123A">
        <w:t xml:space="preserve">Aristotela </w:t>
      </w:r>
      <w:r w:rsidR="00876055" w:rsidRPr="003D1E07">
        <w:t xml:space="preserve">(καὶ οὕτως κυριώτερόν ἐστι τῶν ἀτόμων κατὰ τὸν τῆς φύσεως λόγον, </w:t>
      </w:r>
      <w:r w:rsidR="00E61AD6" w:rsidRPr="003D1E07">
        <w:t xml:space="preserve"> </w:t>
      </w:r>
      <w:r w:rsidR="00E61AD6" w:rsidRPr="003D1E07">
        <w:rPr>
          <w:i/>
        </w:rPr>
        <w:t>Simpl.</w:t>
      </w:r>
      <w:r w:rsidR="00E61AD6" w:rsidRPr="003D1E07">
        <w:t xml:space="preserve"> </w:t>
      </w:r>
      <w:r w:rsidR="00E61AD6" w:rsidRPr="003D1E07">
        <w:rPr>
          <w:i/>
        </w:rPr>
        <w:t>in Cat</w:t>
      </w:r>
      <w:r w:rsidR="00E61AD6" w:rsidRPr="003D1E07">
        <w:t xml:space="preserve">. </w:t>
      </w:r>
      <w:r w:rsidR="00876055" w:rsidRPr="003D1E07">
        <w:t>85.12–13</w:t>
      </w:r>
      <w:r w:rsidR="004017F8" w:rsidRPr="003D1E07">
        <w:rPr>
          <w:lang w:eastAsia="en-US"/>
        </w:rPr>
        <w:fldChar w:fldCharType="begin"/>
      </w:r>
      <w:r w:rsidR="004017F8" w:rsidRPr="003D1E07">
        <w:instrText xml:space="preserve"> XE "Simplikius:</w:instrText>
      </w:r>
      <w:r w:rsidR="004017F8" w:rsidRPr="003D1E07">
        <w:rPr>
          <w:i/>
        </w:rPr>
        <w:instrText>Simpl.</w:instrText>
      </w:r>
      <w:r w:rsidR="004017F8" w:rsidRPr="003D1E07">
        <w:instrText xml:space="preserve"> </w:instrText>
      </w:r>
      <w:r w:rsidR="004017F8" w:rsidRPr="003D1E07">
        <w:rPr>
          <w:i/>
        </w:rPr>
        <w:instrText>in Cat</w:instrText>
      </w:r>
      <w:r w:rsidR="004017F8" w:rsidRPr="003D1E07">
        <w:instrText xml:space="preserve">. 85.12–13" </w:instrText>
      </w:r>
      <w:r w:rsidR="004017F8" w:rsidRPr="003D1E07">
        <w:rPr>
          <w:lang w:eastAsia="en-US"/>
        </w:rPr>
        <w:fldChar w:fldCharType="end"/>
      </w:r>
      <w:r w:rsidR="00876055" w:rsidRPr="003D1E07">
        <w:t>). Výrok obsahuje dva důležité momenty vztažené k celku nedělitelných substancí (τῶν ἀτόμων). V predikaci hraje n</w:t>
      </w:r>
      <w:r w:rsidR="08112BBF" w:rsidRPr="003D1E07">
        <w:t xml:space="preserve">ově utvořená </w:t>
      </w:r>
      <w:r w:rsidR="00876055" w:rsidRPr="003D1E07">
        <w:t>substance-</w:t>
      </w:r>
      <w:r w:rsidR="00F214C5" w:rsidRPr="003D1E07">
        <w:t>species</w:t>
      </w:r>
      <w:r w:rsidR="00876055" w:rsidRPr="003D1E07">
        <w:t xml:space="preserve"> roli prvního a nedělitelného jsoucna kategoriálně determinujícího </w:t>
      </w:r>
      <w:r w:rsidR="00876055" w:rsidRPr="003D1E07">
        <w:rPr>
          <w:i/>
        </w:rPr>
        <w:t>per prius</w:t>
      </w:r>
      <w:r w:rsidR="08112BBF" w:rsidRPr="003D1E07">
        <w:rPr>
          <w:i/>
        </w:rPr>
        <w:t xml:space="preserve"> </w:t>
      </w:r>
      <w:r w:rsidR="00DE3E03" w:rsidRPr="003D1E07">
        <w:rPr>
          <w:rStyle w:val="addmd"/>
          <w:i/>
        </w:rPr>
        <w:fldChar w:fldCharType="begin"/>
      </w:r>
      <w:r w:rsidR="00DE3E03" w:rsidRPr="003D1E07">
        <w:instrText xml:space="preserve"> XE "predikace:</w:instrText>
      </w:r>
      <w:r w:rsidR="00DE3E03" w:rsidRPr="003D1E07">
        <w:rPr>
          <w:i/>
        </w:rPr>
        <w:instrText>per prius</w:instrText>
      </w:r>
      <w:r w:rsidR="00DE3E03" w:rsidRPr="003D1E07">
        <w:instrText xml:space="preserve">" </w:instrText>
      </w:r>
      <w:r w:rsidR="00DE3E03" w:rsidRPr="003D1E07">
        <w:rPr>
          <w:rStyle w:val="addmd"/>
          <w:i/>
        </w:rPr>
        <w:fldChar w:fldCharType="end"/>
      </w:r>
      <w:r w:rsidR="00876055" w:rsidRPr="003D1E07">
        <w:t>všechny ostatní a podřízené první substance</w:t>
      </w:r>
      <w:r w:rsidR="00776B23" w:rsidRPr="003D1E07">
        <w:t xml:space="preserve"> (κυριώτερόν ἐστι)</w:t>
      </w:r>
      <w:r w:rsidR="00876055" w:rsidRPr="003D1E07">
        <w:t>. Její ontologický primát je dán faktem ontologické nedělitelnosti spirituálních a intelektuálních substancí obývající</w:t>
      </w:r>
      <w:r w:rsidR="0858205E" w:rsidRPr="003D1E07">
        <w:t>ch hvězdné sféry. V</w:t>
      </w:r>
      <w:r w:rsidR="08112BBF" w:rsidRPr="003D1E07">
        <w:t xml:space="preserve">ýměr </w:t>
      </w:r>
      <w:r w:rsidR="000A5766" w:rsidRPr="003D1E07">
        <w:t xml:space="preserve">jejich </w:t>
      </w:r>
      <w:r w:rsidR="08112BBF" w:rsidRPr="003D1E07">
        <w:t>p</w:t>
      </w:r>
      <w:r w:rsidR="0858205E" w:rsidRPr="003D1E07">
        <w:t>řirozenosti</w:t>
      </w:r>
      <w:r w:rsidR="08112BBF" w:rsidRPr="003D1E07">
        <w:t xml:space="preserve"> (</w:t>
      </w:r>
      <w:r w:rsidR="00876055" w:rsidRPr="003D1E07">
        <w:t>κατὰ τὸν τῆ</w:t>
      </w:r>
      <w:r w:rsidR="08112BBF" w:rsidRPr="003D1E07">
        <w:t>ς φύσεως λόγον)</w:t>
      </w:r>
      <w:r w:rsidR="00876055" w:rsidRPr="003D1E07">
        <w:t xml:space="preserve"> připomíná, že </w:t>
      </w:r>
      <w:r w:rsidR="0858205E" w:rsidRPr="003D1E07">
        <w:t xml:space="preserve">nová </w:t>
      </w:r>
      <w:r w:rsidR="00876055" w:rsidRPr="003D1E07">
        <w:t xml:space="preserve">predikace se děje také v rámci Aristotelovy </w:t>
      </w:r>
      <w:r w:rsidR="00876055" w:rsidRPr="003D1E07">
        <w:rPr>
          <w:i/>
        </w:rPr>
        <w:t>Fyziky</w:t>
      </w:r>
      <w:r w:rsidR="00876055" w:rsidRPr="003D1E07">
        <w:t xml:space="preserve"> popisující pohyb </w:t>
      </w:r>
      <w:r w:rsidR="08E00DB4" w:rsidRPr="003D1E07">
        <w:t xml:space="preserve">hylemorfických těles i </w:t>
      </w:r>
      <w:r w:rsidR="008C5603" w:rsidRPr="003D1E07">
        <w:t xml:space="preserve">kosmických </w:t>
      </w:r>
      <w:r w:rsidR="08E00DB4" w:rsidRPr="003D1E07">
        <w:t>substancí</w:t>
      </w:r>
      <w:r w:rsidR="08EE32B4" w:rsidRPr="003D1E07">
        <w:t xml:space="preserve">. </w:t>
      </w:r>
      <w:r w:rsidR="08F86C58" w:rsidRPr="003D1E07">
        <w:t xml:space="preserve">Roli atomární substance pro predikaci </w:t>
      </w:r>
      <w:r w:rsidR="08F86C58" w:rsidRPr="003D1E07">
        <w:rPr>
          <w:i/>
        </w:rPr>
        <w:t>per prius</w:t>
      </w:r>
      <w:r w:rsidR="08F86C58" w:rsidRPr="003D1E07">
        <w:t xml:space="preserve"> převezme univerzálně daná </w:t>
      </w:r>
      <w:r w:rsidR="00F214C5" w:rsidRPr="003D1E07">
        <w:t>species</w:t>
      </w:r>
      <w:r w:rsidR="0052123A">
        <w:t>. Ta objektivně „ek</w:t>
      </w:r>
      <w:r w:rsidR="00FD7F63" w:rsidRPr="003D1E07">
        <w:t>sistuje</w:t>
      </w:r>
      <w:r w:rsidR="08F86C58" w:rsidRPr="003D1E07">
        <w:t xml:space="preserve">“ jako věčná a nemateriální kosmická inteligence-forma-substance. </w:t>
      </w:r>
      <w:r w:rsidR="08EE32B4" w:rsidRPr="003D1E07">
        <w:t xml:space="preserve">Nově pojatá univerzalita </w:t>
      </w:r>
      <w:r w:rsidR="084E0A69" w:rsidRPr="003D1E07">
        <w:t xml:space="preserve">Simplikiovy „substance“ </w:t>
      </w:r>
      <w:r w:rsidR="08EE32B4" w:rsidRPr="003D1E07">
        <w:t xml:space="preserve">transcendovala pozici </w:t>
      </w:r>
      <w:r w:rsidR="00876055" w:rsidRPr="003D1E07">
        <w:t>Alexandr</w:t>
      </w:r>
      <w:r w:rsidR="08EE32B4" w:rsidRPr="003D1E07">
        <w:t>a</w:t>
      </w:r>
      <w:r w:rsidR="00876055" w:rsidRPr="003D1E07">
        <w:t xml:space="preserve"> a </w:t>
      </w:r>
      <w:r w:rsidR="00BB45B1" w:rsidRPr="003D1E07">
        <w:t>Porfyri</w:t>
      </w:r>
      <w:r w:rsidR="08EE32B4" w:rsidRPr="003D1E07">
        <w:t>a</w:t>
      </w:r>
      <w:r w:rsidR="001772B6" w:rsidRPr="003D1E07">
        <w:t xml:space="preserve">. Ti </w:t>
      </w:r>
      <w:r w:rsidR="00876055" w:rsidRPr="003D1E07">
        <w:t xml:space="preserve">hlásali </w:t>
      </w:r>
      <w:r w:rsidR="08A5237E" w:rsidRPr="003D1E07">
        <w:t>aristotel</w:t>
      </w:r>
      <w:r w:rsidR="08B006F3" w:rsidRPr="003D1E07">
        <w:t>ský primát</w:t>
      </w:r>
      <w:r w:rsidR="00876055" w:rsidRPr="003D1E07">
        <w:t xml:space="preserve"> první substance, ať již materiální věci, nebo oddělené inteligentní kosmické formy. Obě formy první substance existují </w:t>
      </w:r>
      <w:r w:rsidR="00876055" w:rsidRPr="003D1E07">
        <w:rPr>
          <w:i/>
        </w:rPr>
        <w:t>per se</w:t>
      </w:r>
      <w:r w:rsidR="00876055" w:rsidRPr="003D1E07">
        <w:t xml:space="preserve">, aktuálně a </w:t>
      </w:r>
      <w:r w:rsidR="00876055" w:rsidRPr="003D1E07">
        <w:rPr>
          <w:i/>
        </w:rPr>
        <w:t>simpliciter</w:t>
      </w:r>
      <w:r w:rsidR="00876055" w:rsidRPr="003D1E07">
        <w:t xml:space="preserve">, proto jsou odděleny od kategoriální predikace. </w:t>
      </w:r>
      <w:r w:rsidR="00DA292D" w:rsidRPr="003D1E07">
        <w:t xml:space="preserve">Simplikiův </w:t>
      </w:r>
      <w:r w:rsidR="08B006F3" w:rsidRPr="003D1E07">
        <w:t xml:space="preserve">hybrid </w:t>
      </w:r>
      <w:r w:rsidR="080468DA" w:rsidRPr="003D1E07">
        <w:t>„</w:t>
      </w:r>
      <w:r w:rsidR="00876055" w:rsidRPr="003D1E07">
        <w:t>substance-</w:t>
      </w:r>
      <w:r w:rsidR="00F214C5" w:rsidRPr="003D1E07">
        <w:t>species</w:t>
      </w:r>
      <w:r w:rsidR="080468DA" w:rsidRPr="003D1E07">
        <w:rPr>
          <w:i/>
        </w:rPr>
        <w:t>“</w:t>
      </w:r>
      <w:r w:rsidR="00DE3E03" w:rsidRPr="003D1E07">
        <w:rPr>
          <w:rStyle w:val="addmd"/>
          <w:i/>
        </w:rPr>
        <w:fldChar w:fldCharType="begin"/>
      </w:r>
      <w:r w:rsidR="00DE3E03" w:rsidRPr="003D1E07">
        <w:instrText xml:space="preserve"> XE "substance:Simplikius" </w:instrText>
      </w:r>
      <w:r w:rsidR="00DE3E03" w:rsidRPr="003D1E07">
        <w:rPr>
          <w:rStyle w:val="addmd"/>
          <w:i/>
        </w:rPr>
        <w:fldChar w:fldCharType="end"/>
      </w:r>
      <w:r w:rsidR="08AF5DA0" w:rsidRPr="003D1E07">
        <w:rPr>
          <w:rStyle w:val="addmd"/>
          <w:i/>
        </w:rPr>
        <w:t xml:space="preserve"> </w:t>
      </w:r>
      <w:r w:rsidR="00AD439A" w:rsidRPr="003D1E07">
        <w:t xml:space="preserve">zaujal místo </w:t>
      </w:r>
      <w:r w:rsidR="00876055" w:rsidRPr="003D1E07">
        <w:t>první substance</w:t>
      </w:r>
      <w:r w:rsidR="08910D0C" w:rsidRPr="003D1E07">
        <w:t xml:space="preserve">, kterou Aristoteles chápal </w:t>
      </w:r>
      <w:r w:rsidR="00876055" w:rsidRPr="003D1E07">
        <w:t xml:space="preserve">zcela odděleně od sémantických </w:t>
      </w:r>
      <w:r w:rsidR="00D80FC9">
        <w:t xml:space="preserve">a kategoriálních </w:t>
      </w:r>
      <w:r w:rsidR="00876055" w:rsidRPr="003D1E07">
        <w:t xml:space="preserve">významů. </w:t>
      </w:r>
      <w:r w:rsidR="08B006F3" w:rsidRPr="003D1E07">
        <w:t xml:space="preserve">V nové kategoriální predikaci </w:t>
      </w:r>
      <w:r w:rsidR="00310652" w:rsidRPr="003D1E07">
        <w:t xml:space="preserve">hraje </w:t>
      </w:r>
      <w:r w:rsidR="00F214C5" w:rsidRPr="003D1E07">
        <w:t>species</w:t>
      </w:r>
      <w:r w:rsidR="08D53882" w:rsidRPr="003D1E07">
        <w:t xml:space="preserve"> </w:t>
      </w:r>
      <w:r w:rsidR="08B006F3" w:rsidRPr="003D1E07">
        <w:t>roli hyparchick</w:t>
      </w:r>
      <w:r w:rsidR="00566BD8" w:rsidRPr="003D1E07">
        <w:t xml:space="preserve">é </w:t>
      </w:r>
      <w:r w:rsidR="08B006F3" w:rsidRPr="003D1E07">
        <w:t>prvn</w:t>
      </w:r>
      <w:r w:rsidR="08D53882" w:rsidRPr="003D1E07">
        <w:t>í substance</w:t>
      </w:r>
      <w:r w:rsidR="08B006F3" w:rsidRPr="003D1E07">
        <w:t xml:space="preserve">, kterou reprezentují věčné kosmické formy a inteligence. </w:t>
      </w:r>
      <w:r w:rsidR="08B12493" w:rsidRPr="003D1E07">
        <w:t xml:space="preserve">Analogickým použitím nedělitelnosti pro první i pro druhou substanci povýšil neoplatonismus druhou substanci na úroveň první substance, jejíž oddělený status naopak zrušil. Simplikius harmonizuje oba oddělené řády reality do nové jednoty. Tím se zcela změnil statut hyparchické nedělitelné </w:t>
      </w:r>
      <w:r w:rsidR="08B9769A" w:rsidRPr="003D1E07">
        <w:t xml:space="preserve">první </w:t>
      </w:r>
      <w:r w:rsidR="08B12493" w:rsidRPr="003D1E07">
        <w:t xml:space="preserve">substance, který definoval spis </w:t>
      </w:r>
      <w:r w:rsidR="08B12493" w:rsidRPr="003D1E07">
        <w:rPr>
          <w:i/>
        </w:rPr>
        <w:t>Kategorie</w:t>
      </w:r>
      <w:r w:rsidR="08B12493" w:rsidRPr="003D1E07">
        <w:t xml:space="preserve">. </w:t>
      </w:r>
      <w:r w:rsidR="00876055" w:rsidRPr="003D1E07">
        <w:t>Absolutní postavení první substance</w:t>
      </w:r>
      <w:r w:rsidR="00AD439A" w:rsidRPr="003D1E07">
        <w:fldChar w:fldCharType="begin"/>
      </w:r>
      <w:r w:rsidR="00AD439A" w:rsidRPr="003D1E07">
        <w:instrText xml:space="preserve"> XE "substance:první" </w:instrText>
      </w:r>
      <w:r w:rsidR="00AD439A" w:rsidRPr="003D1E07">
        <w:fldChar w:fldCharType="end"/>
      </w:r>
      <w:r w:rsidR="00876055" w:rsidRPr="003D1E07">
        <w:t xml:space="preserve"> </w:t>
      </w:r>
      <w:r w:rsidR="00900CE4" w:rsidRPr="003D1E07">
        <w:t xml:space="preserve">zmizelo, protože </w:t>
      </w:r>
      <w:r w:rsidR="089623E3" w:rsidRPr="003D1E07">
        <w:t>se stala současně nedělitelným a věčným individuem</w:t>
      </w:r>
      <w:r w:rsidR="006A0DBE" w:rsidRPr="003D1E07">
        <w:t>. Indiviuduum bylo</w:t>
      </w:r>
      <w:r w:rsidR="00900CE4" w:rsidRPr="003D1E07">
        <w:t xml:space="preserve"> </w:t>
      </w:r>
      <w:r w:rsidR="085F7AFA" w:rsidRPr="003D1E07">
        <w:t>podle Porfyriovy</w:t>
      </w:r>
      <w:r w:rsidR="08EF3C6A" w:rsidRPr="003D1E07">
        <w:t xml:space="preserve"> věty v </w:t>
      </w:r>
      <w:r w:rsidR="08EF3C6A" w:rsidRPr="003D1E07">
        <w:rPr>
          <w:i/>
        </w:rPr>
        <w:t>Isagoge</w:t>
      </w:r>
      <w:r w:rsidR="08EF3C6A" w:rsidRPr="003D1E07">
        <w:t xml:space="preserve"> </w:t>
      </w:r>
      <w:r w:rsidR="006A0DBE" w:rsidRPr="003D1E07">
        <w:t>nerozlišeně spojeno</w:t>
      </w:r>
      <w:r w:rsidR="00900CE4" w:rsidRPr="003D1E07">
        <w:t xml:space="preserve"> </w:t>
      </w:r>
      <w:r w:rsidR="08EF3C6A" w:rsidRPr="003D1E07">
        <w:t xml:space="preserve">se </w:t>
      </w:r>
      <w:r w:rsidR="00F214C5" w:rsidRPr="003D1E07">
        <w:t>species</w:t>
      </w:r>
      <w:r w:rsidR="08EF3C6A" w:rsidRPr="003D1E07">
        <w:t xml:space="preserve"> v</w:t>
      </w:r>
      <w:r w:rsidR="089A116D" w:rsidRPr="003D1E07">
        <w:t xml:space="preserve"> holistickém </w:t>
      </w:r>
      <w:r w:rsidR="08EF3C6A" w:rsidRPr="003D1E07">
        <w:t xml:space="preserve">modu </w:t>
      </w:r>
      <w:r w:rsidR="089A116D" w:rsidRPr="003D1E07">
        <w:t>(</w:t>
      </w:r>
      <w:r w:rsidR="089A116D" w:rsidRPr="003D1E07">
        <w:rPr>
          <w:i/>
        </w:rPr>
        <w:t>totum autem non alterius</w:t>
      </w:r>
      <w:r w:rsidR="089A116D" w:rsidRPr="003D1E07">
        <w:t>, ὅλον δὲ οὐκ ἄλλου</w:t>
      </w:r>
      <w:r w:rsidR="08AF6B7D" w:rsidRPr="003D1E07">
        <w:t>; kap. 1.3</w:t>
      </w:r>
      <w:r w:rsidR="0093438C" w:rsidRPr="003D1E07">
        <w:t xml:space="preserve">). </w:t>
      </w:r>
      <w:r w:rsidR="08CB4FB7" w:rsidRPr="003D1E07">
        <w:t xml:space="preserve">Protože </w:t>
      </w:r>
      <w:r w:rsidR="00F214C5" w:rsidRPr="003D1E07">
        <w:lastRenderedPageBreak/>
        <w:t>species</w:t>
      </w:r>
      <w:r w:rsidR="08CB4FB7" w:rsidRPr="003D1E07">
        <w:t xml:space="preserve"> třetího druhu je také univerzálií, pak nutně dostalo kategoriální určení podle supoziční predikace dané vyšší univerzalitou rodu (</w:t>
      </w:r>
      <w:r w:rsidR="08CB4FB7" w:rsidRPr="003D1E07">
        <w:rPr>
          <w:i/>
        </w:rPr>
        <w:t>Cat</w:t>
      </w:r>
      <w:r w:rsidR="08CB4FB7" w:rsidRPr="003D1E07">
        <w:t>. 2a15‒16</w:t>
      </w:r>
      <w:r w:rsidR="08CB4FB7" w:rsidRPr="003D1E07">
        <w:rPr>
          <w:lang w:eastAsia="en-US"/>
        </w:rPr>
        <w:fldChar w:fldCharType="begin"/>
      </w:r>
      <w:r w:rsidR="08CB4FB7" w:rsidRPr="003D1E07">
        <w:instrText xml:space="preserve"> XE "Aristoteles:</w:instrText>
      </w:r>
      <w:r w:rsidR="08CB4FB7" w:rsidRPr="003D1E07">
        <w:rPr>
          <w:i/>
        </w:rPr>
        <w:instrText>Cat</w:instrText>
      </w:r>
      <w:r w:rsidR="08CB4FB7" w:rsidRPr="003D1E07">
        <w:instrText xml:space="preserve">. 2a15–16" </w:instrText>
      </w:r>
      <w:r w:rsidR="08CB4FB7" w:rsidRPr="003D1E07">
        <w:rPr>
          <w:lang w:eastAsia="en-US"/>
        </w:rPr>
        <w:fldChar w:fldCharType="end"/>
      </w:r>
      <w:r w:rsidR="08CB4FB7" w:rsidRPr="003D1E07">
        <w:t xml:space="preserve">). Vazba mezi </w:t>
      </w:r>
      <w:r w:rsidR="00F214C5" w:rsidRPr="003D1E07">
        <w:t>species</w:t>
      </w:r>
      <w:r w:rsidR="08CB4FB7" w:rsidRPr="003D1E07">
        <w:t xml:space="preserve"> a poslední nedělitelnou částí významu (</w:t>
      </w:r>
      <w:r w:rsidR="08CB4FB7" w:rsidRPr="003D1E07">
        <w:rPr>
          <w:i/>
        </w:rPr>
        <w:t>individuum</w:t>
      </w:r>
      <w:r w:rsidR="08CB4FB7" w:rsidRPr="003D1E07">
        <w:t>) dostala nový hyparchický statut</w:t>
      </w:r>
      <w:r w:rsidR="000968FF">
        <w:t xml:space="preserve">. Individuum nyní zakládá </w:t>
      </w:r>
      <w:r w:rsidR="000968FF" w:rsidRPr="000968FF">
        <w:t>moderní kategorickou predikaci, která se týká</w:t>
      </w:r>
      <w:r w:rsidR="000968FF">
        <w:t xml:space="preserve"> „</w:t>
      </w:r>
      <w:r w:rsidR="000968FF" w:rsidRPr="000968FF">
        <w:t>atom</w:t>
      </w:r>
      <w:r w:rsidR="000968FF">
        <w:t>ární substance“</w:t>
      </w:r>
      <w:r w:rsidR="000968FF" w:rsidRPr="000968FF">
        <w:t xml:space="preserve"> </w:t>
      </w:r>
      <w:r w:rsidR="000968FF">
        <w:t xml:space="preserve">zcela </w:t>
      </w:r>
      <w:r w:rsidR="000968FF" w:rsidRPr="000968FF">
        <w:t>mytologického druhu</w:t>
      </w:r>
      <w:r w:rsidR="000968FF">
        <w:t xml:space="preserve">. </w:t>
      </w:r>
      <w:r w:rsidR="08CB4FB7" w:rsidRPr="003D1E07">
        <w:t xml:space="preserve">Dřívější forma hyparchické predikace určovala druhou substanci pouze v modu impozice dané </w:t>
      </w:r>
      <w:r w:rsidR="00734DBA">
        <w:t>od první substance</w:t>
      </w:r>
      <w:r w:rsidR="08CB4FB7" w:rsidRPr="003D1E07">
        <w:t xml:space="preserve"> (</w:t>
      </w:r>
      <w:r w:rsidR="08CB4FB7" w:rsidRPr="003D1E07">
        <w:rPr>
          <w:i/>
        </w:rPr>
        <w:t>Cat</w:t>
      </w:r>
      <w:r w:rsidR="08CB4FB7" w:rsidRPr="003D1E07">
        <w:t>. 2a14‒15</w:t>
      </w:r>
      <w:r w:rsidR="08CB4FB7" w:rsidRPr="003D1E07">
        <w:rPr>
          <w:lang w:eastAsia="en-US"/>
        </w:rPr>
        <w:fldChar w:fldCharType="begin"/>
      </w:r>
      <w:r w:rsidR="08CB4FB7" w:rsidRPr="003D1E07">
        <w:instrText xml:space="preserve"> XE "Aristoteles:</w:instrText>
      </w:r>
      <w:r w:rsidR="08CB4FB7" w:rsidRPr="003D1E07">
        <w:rPr>
          <w:i/>
        </w:rPr>
        <w:instrText>Cat</w:instrText>
      </w:r>
      <w:r w:rsidR="08CB4FB7" w:rsidRPr="003D1E07">
        <w:instrText xml:space="preserve">. 2a14–15" </w:instrText>
      </w:r>
      <w:r w:rsidR="08CB4FB7" w:rsidRPr="003D1E07">
        <w:rPr>
          <w:lang w:eastAsia="en-US"/>
        </w:rPr>
        <w:fldChar w:fldCharType="end"/>
      </w:r>
      <w:r w:rsidR="08CB4FB7" w:rsidRPr="003D1E07">
        <w:t>). Nové atomární jsoucno třetího druhu vzniklo na základě nové kategorizace dané Porfyriovým dělením rodů na druhy a na poslední nedělitelnou jednotku významu. Porfyriova nedělitelná substance (ἄτομος οὐσία</w:t>
      </w:r>
      <w:r w:rsidR="08CB4FB7" w:rsidRPr="003D1E07">
        <w:fldChar w:fldCharType="begin"/>
      </w:r>
      <w:r w:rsidR="08CB4FB7" w:rsidRPr="003D1E07">
        <w:instrText xml:space="preserve"> XE "substance:atomární" </w:instrText>
      </w:r>
      <w:r w:rsidR="08CB4FB7" w:rsidRPr="003D1E07">
        <w:fldChar w:fldCharType="end"/>
      </w:r>
      <w:r w:rsidR="08CB4FB7" w:rsidRPr="003D1E07">
        <w:t>) dostala u Simplikia nový status skrze dělení univerzálií v rámci rodu, druhu, až k dále nedělitelnému individuu. Tato proměna substance spojená s nasvícením smyslu jsoucna zezadu tvoří základní krok na cestě k moderní objektivitě</w:t>
      </w:r>
      <w:r w:rsidR="08CB4FB7" w:rsidRPr="003D1E07">
        <w:rPr>
          <w:rStyle w:val="addmd"/>
          <w:i/>
        </w:rPr>
        <w:fldChar w:fldCharType="begin"/>
      </w:r>
      <w:r w:rsidR="08CB4FB7" w:rsidRPr="003D1E07">
        <w:instrText xml:space="preserve"> XE "objektivita:nasvícení zezadu" </w:instrText>
      </w:r>
      <w:r w:rsidR="08CB4FB7" w:rsidRPr="003D1E07">
        <w:rPr>
          <w:rStyle w:val="addmd"/>
          <w:i/>
        </w:rPr>
        <w:fldChar w:fldCharType="end"/>
      </w:r>
      <w:r w:rsidR="08CB4FB7" w:rsidRPr="003D1E07">
        <w:t xml:space="preserve">. </w:t>
      </w:r>
      <w:r w:rsidR="08D24A69" w:rsidRPr="003D1E07">
        <w:t xml:space="preserve">První </w:t>
      </w:r>
      <w:r w:rsidR="00581E28">
        <w:t xml:space="preserve">aristotelská </w:t>
      </w:r>
      <w:r w:rsidR="08D24A69" w:rsidRPr="003D1E07">
        <w:t>substance s</w:t>
      </w:r>
      <w:r w:rsidR="08014F77" w:rsidRPr="003D1E07">
        <w:t>e</w:t>
      </w:r>
      <w:r w:rsidR="08D24A69" w:rsidRPr="003D1E07">
        <w:t xml:space="preserve"> </w:t>
      </w:r>
      <w:r w:rsidR="0829241C" w:rsidRPr="003D1E07">
        <w:t xml:space="preserve">přeměnila na </w:t>
      </w:r>
      <w:r w:rsidR="00A33371">
        <w:t xml:space="preserve">hyparchické </w:t>
      </w:r>
      <w:r w:rsidR="089B2E65" w:rsidRPr="003D1E07">
        <w:t xml:space="preserve">individuum, protože kosmické formy a inteligence jsou substance a mají vlastnosti popsané ve </w:t>
      </w:r>
      <w:r w:rsidR="089B2E65" w:rsidRPr="003D1E07">
        <w:rPr>
          <w:i/>
        </w:rPr>
        <w:t>Fyzice</w:t>
      </w:r>
      <w:r w:rsidR="089B2E65" w:rsidRPr="003D1E07">
        <w:t xml:space="preserve">. Toto </w:t>
      </w:r>
      <w:r w:rsidR="08E33D37" w:rsidRPr="003D1E07">
        <w:t>„</w:t>
      </w:r>
      <w:r w:rsidR="089B2E65" w:rsidRPr="003D1E07">
        <w:t>i</w:t>
      </w:r>
      <w:r w:rsidR="08CB4FB7" w:rsidRPr="003D1E07">
        <w:t>ndivi</w:t>
      </w:r>
      <w:r w:rsidR="00767473">
        <w:t>duum–substance–</w:t>
      </w:r>
      <w:r w:rsidR="089B2E65" w:rsidRPr="003D1E07">
        <w:t>těleso</w:t>
      </w:r>
      <w:r w:rsidR="08E33D37" w:rsidRPr="003D1E07">
        <w:t>“</w:t>
      </w:r>
      <w:r w:rsidR="089B2E65" w:rsidRPr="003D1E07">
        <w:t xml:space="preserve"> se sloučilo</w:t>
      </w:r>
      <w:r w:rsidR="08014F77" w:rsidRPr="003D1E07">
        <w:t xml:space="preserve"> </w:t>
      </w:r>
      <w:r w:rsidR="00900CE4" w:rsidRPr="003D1E07">
        <w:t>s univerzální druhou substancí</w:t>
      </w:r>
      <w:r w:rsidR="00642959">
        <w:t xml:space="preserve"> danou jako kosmická</w:t>
      </w:r>
      <w:r w:rsidR="089B2E65" w:rsidRPr="003D1E07">
        <w:t xml:space="preserve"> </w:t>
      </w:r>
      <w:r w:rsidR="00F214C5" w:rsidRPr="003D1E07">
        <w:t>species</w:t>
      </w:r>
      <w:r w:rsidR="009310D8">
        <w:t>–</w:t>
      </w:r>
      <w:r w:rsidR="089B2E65" w:rsidRPr="003D1E07">
        <w:t>forma</w:t>
      </w:r>
      <w:r w:rsidR="00876055" w:rsidRPr="003D1E07">
        <w:t xml:space="preserve">. </w:t>
      </w:r>
      <w:r w:rsidR="089B2E65" w:rsidRPr="003D1E07">
        <w:t xml:space="preserve">Tímto mnohonásobným smíšením </w:t>
      </w:r>
      <w:r w:rsidR="08823481" w:rsidRPr="003D1E07">
        <w:t xml:space="preserve">různorodé </w:t>
      </w:r>
      <w:r w:rsidR="089B2E65" w:rsidRPr="003D1E07">
        <w:t xml:space="preserve">predikace a hyparchického bytí </w:t>
      </w:r>
      <w:r w:rsidR="08823481" w:rsidRPr="003D1E07">
        <w:t xml:space="preserve">první </w:t>
      </w:r>
      <w:r w:rsidR="089B2E65" w:rsidRPr="003D1E07">
        <w:t xml:space="preserve">substance vzniklo první </w:t>
      </w:r>
      <w:r w:rsidR="089066AD" w:rsidRPr="003D1E07">
        <w:t xml:space="preserve">pseudo-fyzikální těleso </w:t>
      </w:r>
      <w:r w:rsidR="089B2E65" w:rsidRPr="003D1E07">
        <w:t xml:space="preserve">třetího druhu. </w:t>
      </w:r>
      <w:r w:rsidR="080677EB" w:rsidRPr="003D1E07">
        <w:t xml:space="preserve">Spojením první a druhé substance do věčné nemateriální </w:t>
      </w:r>
      <w:r w:rsidR="00F214C5" w:rsidRPr="003D1E07">
        <w:t>species</w:t>
      </w:r>
      <w:r w:rsidR="080677EB" w:rsidRPr="003D1E07">
        <w:t xml:space="preserve"> typu Slunce, Měsíce nebo celého Kosmu vzniká první archetyp </w:t>
      </w:r>
      <w:r w:rsidR="00D43582">
        <w:t>budoucího objektivního jsoucna.</w:t>
      </w:r>
    </w:p>
    <w:p w14:paraId="34933A3E" w14:textId="77777777" w:rsidR="007041CA" w:rsidRDefault="08A37366" w:rsidP="00D43582">
      <w:pPr>
        <w:ind w:firstLine="397"/>
      </w:pPr>
      <w:r w:rsidRPr="003D1E07">
        <w:t xml:space="preserve">Simplikius dokonal </w:t>
      </w:r>
      <w:r w:rsidR="08867E76" w:rsidRPr="003D1E07">
        <w:t xml:space="preserve">neoplatonské </w:t>
      </w:r>
      <w:r w:rsidR="00876055" w:rsidRPr="003D1E07">
        <w:t>zatmění první substance</w:t>
      </w:r>
      <w:r w:rsidR="00E27ABC" w:rsidRPr="003D1E07">
        <w:fldChar w:fldCharType="begin"/>
      </w:r>
      <w:r w:rsidR="00E27ABC" w:rsidRPr="003D1E07">
        <w:instrText xml:space="preserve"> XE "zatmění</w:instrText>
      </w:r>
      <w:r w:rsidR="009745F5" w:rsidRPr="003D1E07">
        <w:instrText>:s</w:instrText>
      </w:r>
      <w:r w:rsidR="00E27ABC" w:rsidRPr="003D1E07">
        <w:instrText xml:space="preserve">ubstance" </w:instrText>
      </w:r>
      <w:r w:rsidR="00E27ABC" w:rsidRPr="003D1E07">
        <w:fldChar w:fldCharType="end"/>
      </w:r>
      <w:r w:rsidR="00876055" w:rsidRPr="003D1E07">
        <w:t xml:space="preserve">, které zahájil </w:t>
      </w:r>
      <w:r w:rsidR="00BB45B1" w:rsidRPr="003D1E07">
        <w:t>Porfyri</w:t>
      </w:r>
      <w:r w:rsidR="00876055" w:rsidRPr="003D1E07">
        <w:t xml:space="preserve">ův výklad </w:t>
      </w:r>
      <w:r w:rsidR="00876055" w:rsidRPr="003D1E07">
        <w:rPr>
          <w:i/>
        </w:rPr>
        <w:t>Kategorií</w:t>
      </w:r>
      <w:r w:rsidR="00BB1361">
        <w:t xml:space="preserve">. </w:t>
      </w:r>
      <w:r w:rsidR="00BB1361" w:rsidRPr="00BB1361">
        <w:t xml:space="preserve">Podle Aristotelovy </w:t>
      </w:r>
      <w:r w:rsidR="00BB1361" w:rsidRPr="00BB1361">
        <w:rPr>
          <w:i/>
        </w:rPr>
        <w:t>Fyziky</w:t>
      </w:r>
      <w:r w:rsidR="00BB1361" w:rsidRPr="00BB1361">
        <w:t xml:space="preserve"> je nedělitelnost a jednoduchost první substance dána v reálném světě fyzických těles a nedělitelnost a jednoduchost predikované druhé substance vyplývá z reálné první substance.</w:t>
      </w:r>
      <w:r w:rsidR="00BB1361">
        <w:t xml:space="preserve"> </w:t>
      </w:r>
      <w:r w:rsidR="000C6F23" w:rsidRPr="003D1E07">
        <w:t xml:space="preserve">Nová „první substance“ mystické fyziky neoplatoniků </w:t>
      </w:r>
      <w:r w:rsidR="00074879" w:rsidRPr="003D1E07">
        <w:t>byla spojena pomocí Jamblichovy analogie</w:t>
      </w:r>
      <w:r w:rsidR="08F64E86" w:rsidRPr="003D1E07">
        <w:t xml:space="preserve"> s demiurgickým</w:t>
      </w:r>
      <w:r w:rsidR="001B5E9C" w:rsidRPr="003D1E07">
        <w:t xml:space="preserve"> </w:t>
      </w:r>
      <w:r w:rsidR="08F64E86" w:rsidRPr="003D1E07">
        <w:t xml:space="preserve">diakosmem dialogu </w:t>
      </w:r>
      <w:r w:rsidR="08F64E86" w:rsidRPr="003D1E07">
        <w:rPr>
          <w:i/>
        </w:rPr>
        <w:t>Timaios</w:t>
      </w:r>
      <w:r w:rsidR="00074879" w:rsidRPr="003D1E07">
        <w:t xml:space="preserve">. </w:t>
      </w:r>
      <w:r w:rsidR="086437DE" w:rsidRPr="003D1E07">
        <w:t xml:space="preserve">V pozdním neoplatonismu </w:t>
      </w:r>
      <w:r w:rsidR="00602186" w:rsidRPr="003D1E07">
        <w:t xml:space="preserve">vznikl nový druh </w:t>
      </w:r>
      <w:r w:rsidR="00602186" w:rsidRPr="003D1E07">
        <w:rPr>
          <w:i/>
        </w:rPr>
        <w:t>tertium ens</w:t>
      </w:r>
      <w:r w:rsidR="003F16A5" w:rsidRPr="003D1E07">
        <w:rPr>
          <w:i/>
        </w:rPr>
        <w:fldChar w:fldCharType="begin"/>
      </w:r>
      <w:r w:rsidR="003F16A5" w:rsidRPr="003D1E07">
        <w:instrText xml:space="preserve"> XE "</w:instrText>
      </w:r>
      <w:r w:rsidR="003F16A5" w:rsidRPr="003D1E07">
        <w:rPr>
          <w:rStyle w:val="Zvraznn"/>
        </w:rPr>
        <w:instrText>tertium ens</w:instrText>
      </w:r>
      <w:r w:rsidR="00DE3E03" w:rsidRPr="003D1E07">
        <w:rPr>
          <w:rStyle w:val="Zvraznn"/>
          <w:i w:val="0"/>
        </w:rPr>
        <w:instrText>:Simplikius</w:instrText>
      </w:r>
      <w:r w:rsidR="003F16A5" w:rsidRPr="003D1E07">
        <w:instrText xml:space="preserve">" </w:instrText>
      </w:r>
      <w:r w:rsidR="003F16A5" w:rsidRPr="003D1E07">
        <w:rPr>
          <w:i/>
        </w:rPr>
        <w:fldChar w:fldCharType="end"/>
      </w:r>
      <w:r w:rsidR="004D4383" w:rsidRPr="003D1E07">
        <w:t xml:space="preserve"> napojený na Aristotelův spis </w:t>
      </w:r>
      <w:r w:rsidR="004D4383" w:rsidRPr="003D1E07">
        <w:rPr>
          <w:i/>
        </w:rPr>
        <w:t>Fyzika</w:t>
      </w:r>
      <w:r w:rsidR="004D4383" w:rsidRPr="003D1E07">
        <w:t>.</w:t>
      </w:r>
      <w:r w:rsidR="00602186" w:rsidRPr="003D1E07">
        <w:t xml:space="preserve"> </w:t>
      </w:r>
      <w:r w:rsidR="00CE57D9" w:rsidRPr="003D1E07">
        <w:t xml:space="preserve">Důležitá část Simplikiova komentáře </w:t>
      </w:r>
      <w:r w:rsidR="00CE57D9" w:rsidRPr="003D1E07">
        <w:rPr>
          <w:i/>
        </w:rPr>
        <w:t>Kategorií</w:t>
      </w:r>
      <w:r w:rsidR="00CE57D9" w:rsidRPr="003D1E07">
        <w:t xml:space="preserve"> říká, že univerzalita nedělitelných kosmických těles se predikuje do dalších jednotlivin přenesením původně daného univerzálního významu (μεταδίδωσι καὶ τοῖς καθ' ἕκαστα ἑαυτό, </w:t>
      </w:r>
      <w:r w:rsidR="00E61AD6" w:rsidRPr="003D1E07">
        <w:rPr>
          <w:i/>
        </w:rPr>
        <w:t>Simpl.</w:t>
      </w:r>
      <w:r w:rsidR="00E61AD6" w:rsidRPr="003D1E07">
        <w:t xml:space="preserve"> </w:t>
      </w:r>
      <w:r w:rsidR="00E61AD6" w:rsidRPr="003D1E07">
        <w:rPr>
          <w:i/>
        </w:rPr>
        <w:t>in Cat</w:t>
      </w:r>
      <w:r w:rsidR="00E61AD6" w:rsidRPr="003D1E07">
        <w:t xml:space="preserve">. </w:t>
      </w:r>
      <w:r w:rsidR="00CE57D9" w:rsidRPr="003D1E07">
        <w:t>85.11–12</w:t>
      </w:r>
      <w:r w:rsidR="086A54C0" w:rsidRPr="003D1E07">
        <w:rPr>
          <w:lang w:eastAsia="en-US"/>
        </w:rPr>
        <w:fldChar w:fldCharType="begin"/>
      </w:r>
      <w:r w:rsidR="086A54C0" w:rsidRPr="003D1E07">
        <w:instrText xml:space="preserve"> XE "Simplikius:</w:instrText>
      </w:r>
      <w:r w:rsidR="086A54C0" w:rsidRPr="003D1E07">
        <w:rPr>
          <w:i/>
        </w:rPr>
        <w:instrText>Simpl.</w:instrText>
      </w:r>
      <w:r w:rsidR="086A54C0" w:rsidRPr="003D1E07">
        <w:instrText xml:space="preserve"> </w:instrText>
      </w:r>
      <w:r w:rsidR="086A54C0" w:rsidRPr="003D1E07">
        <w:rPr>
          <w:i/>
        </w:rPr>
        <w:instrText>in Cat</w:instrText>
      </w:r>
      <w:r w:rsidR="086A54C0" w:rsidRPr="003D1E07">
        <w:instrText>. 85.11</w:instrText>
      </w:r>
      <w:r w:rsidR="086A54C0" w:rsidRPr="003D1E07">
        <w:rPr>
          <w:rFonts w:cs="Calibri"/>
        </w:rPr>
        <w:instrText>−</w:instrText>
      </w:r>
      <w:r w:rsidR="086A54C0" w:rsidRPr="003D1E07">
        <w:instrText xml:space="preserve">12" </w:instrText>
      </w:r>
      <w:r w:rsidR="086A54C0" w:rsidRPr="003D1E07">
        <w:rPr>
          <w:lang w:eastAsia="en-US"/>
        </w:rPr>
        <w:fldChar w:fldCharType="end"/>
      </w:r>
      <w:r w:rsidR="00CE57D9" w:rsidRPr="003D1E07">
        <w:t xml:space="preserve">). </w:t>
      </w:r>
      <w:r w:rsidR="003B229D" w:rsidRPr="003B229D">
        <w:t xml:space="preserve">Sloveso μεταδίδω označuje jasné </w:t>
      </w:r>
      <w:r w:rsidR="003B229D">
        <w:t xml:space="preserve">zrušení </w:t>
      </w:r>
      <w:r w:rsidR="003B229D" w:rsidRPr="003B229D">
        <w:t>aristotelské kategoriální nauky. Simplicius nově postavil aristotelské kategorie jako nejvyšší platónské rody jsoucna, které považuje za nejvyšší rod.</w:t>
      </w:r>
      <w:r w:rsidR="003B229D">
        <w:t xml:space="preserve"> </w:t>
      </w:r>
      <w:r w:rsidR="00373F67" w:rsidRPr="003D1E07">
        <w:t xml:space="preserve">Toto </w:t>
      </w:r>
      <w:r w:rsidR="00373F67" w:rsidRPr="003D1E07">
        <w:rPr>
          <w:i/>
        </w:rPr>
        <w:t>translatio</w:t>
      </w:r>
      <w:r w:rsidR="00373F67" w:rsidRPr="003D1E07">
        <w:t xml:space="preserve"> </w:t>
      </w:r>
      <w:r w:rsidR="00373F67" w:rsidRPr="003D1E07">
        <w:rPr>
          <w:i/>
        </w:rPr>
        <w:t>studiorum</w:t>
      </w:r>
      <w:r w:rsidR="00373F67" w:rsidRPr="003D1E07">
        <w:rPr>
          <w:i/>
        </w:rPr>
        <w:fldChar w:fldCharType="begin"/>
      </w:r>
      <w:r w:rsidR="00373F67" w:rsidRPr="003D1E07">
        <w:instrText xml:space="preserve"> XE "</w:instrText>
      </w:r>
      <w:r w:rsidR="00373F67" w:rsidRPr="003D1E07">
        <w:rPr>
          <w:i/>
        </w:rPr>
        <w:instrText>translatio</w:instrText>
      </w:r>
      <w:r w:rsidR="00373F67" w:rsidRPr="003D1E07">
        <w:instrText xml:space="preserve"> </w:instrText>
      </w:r>
      <w:r w:rsidR="00373F67" w:rsidRPr="003D1E07">
        <w:rPr>
          <w:i/>
        </w:rPr>
        <w:instrText>studiorum</w:instrText>
      </w:r>
      <w:r w:rsidR="00373F67" w:rsidRPr="003D1E07">
        <w:instrText xml:space="preserve">" </w:instrText>
      </w:r>
      <w:r w:rsidR="00373F67" w:rsidRPr="003D1E07">
        <w:rPr>
          <w:i/>
        </w:rPr>
        <w:fldChar w:fldCharType="end"/>
      </w:r>
      <w:r w:rsidR="00373F67" w:rsidRPr="003D1E07">
        <w:rPr>
          <w:i/>
        </w:rPr>
        <w:t xml:space="preserve"> </w:t>
      </w:r>
      <w:r w:rsidR="001E237C" w:rsidRPr="003D1E07">
        <w:t xml:space="preserve">v otázce </w:t>
      </w:r>
      <w:r w:rsidR="00373F67" w:rsidRPr="003D1E07">
        <w:t xml:space="preserve">kategoriální predikace ukazuje zásadní obrat v nauce o kategoriiích a v metafyzice. </w:t>
      </w:r>
      <w:r w:rsidR="00920062">
        <w:t>P</w:t>
      </w:r>
      <w:r w:rsidR="08C07276" w:rsidRPr="003D1E07">
        <w:t>ůvodn</w:t>
      </w:r>
      <w:r w:rsidR="087257CC" w:rsidRPr="003D1E07">
        <w:t>í predikace</w:t>
      </w:r>
      <w:r w:rsidR="08C07276" w:rsidRPr="003D1E07">
        <w:t xml:space="preserve"> </w:t>
      </w:r>
      <w:r w:rsidR="00920062">
        <w:t>byla vztažena k jednotě reálných</w:t>
      </w:r>
      <w:r w:rsidR="08C07276" w:rsidRPr="003D1E07">
        <w:t xml:space="preserve"> první</w:t>
      </w:r>
      <w:r w:rsidR="00920062">
        <w:t xml:space="preserve">ch </w:t>
      </w:r>
      <w:r w:rsidR="00920062">
        <w:lastRenderedPageBreak/>
        <w:t>substancí</w:t>
      </w:r>
      <w:r w:rsidR="08C07276" w:rsidRPr="003D1E07">
        <w:t xml:space="preserve"> existují</w:t>
      </w:r>
      <w:r w:rsidR="087257CC" w:rsidRPr="003D1E07">
        <w:t>cí</w:t>
      </w:r>
      <w:r w:rsidR="00920062">
        <w:t>ch hylemorficky a vnímaných</w:t>
      </w:r>
      <w:r w:rsidR="08C07276" w:rsidRPr="003D1E07">
        <w:t xml:space="preserve"> nejprve smysly</w:t>
      </w:r>
      <w:r w:rsidR="00920062">
        <w:t xml:space="preserve">. Pak se změnila na </w:t>
      </w:r>
      <w:r w:rsidR="00874074" w:rsidRPr="003D1E07">
        <w:t>neoplatonsk</w:t>
      </w:r>
      <w:r w:rsidR="00CE57D9" w:rsidRPr="003D1E07">
        <w:t xml:space="preserve">é určení vztažené k bytí celku jsoucna jako univočně pojatého nejvyššího rodu. </w:t>
      </w:r>
      <w:r w:rsidR="00920062" w:rsidRPr="00920062">
        <w:t xml:space="preserve">Nový typ predikace </w:t>
      </w:r>
      <w:r w:rsidR="00920062" w:rsidRPr="00920062">
        <w:rPr>
          <w:i/>
        </w:rPr>
        <w:t>per prius</w:t>
      </w:r>
      <w:r w:rsidR="00920062" w:rsidRPr="00920062">
        <w:t>, vycházející z univerzálního druhu substance, se tváří jako pravdivá verze aristotelské metafyziky.</w:t>
      </w:r>
      <w:r w:rsidR="00920062">
        <w:t xml:space="preserve"> Nová </w:t>
      </w:r>
      <w:r w:rsidR="00CE57D9" w:rsidRPr="003D1E07">
        <w:t xml:space="preserve">predikace </w:t>
      </w:r>
      <w:r w:rsidR="00CE57D9" w:rsidRPr="003D1E07">
        <w:rPr>
          <w:i/>
        </w:rPr>
        <w:t>per prius</w:t>
      </w:r>
      <w:r w:rsidR="00CE57D9" w:rsidRPr="003D1E07">
        <w:t xml:space="preserve"> od univerzá</w:t>
      </w:r>
      <w:r w:rsidR="087257CC" w:rsidRPr="003D1E07">
        <w:t>lní</w:t>
      </w:r>
      <w:r w:rsidR="00CE57D9" w:rsidRPr="003D1E07">
        <w:t xml:space="preserve"> </w:t>
      </w:r>
      <w:r w:rsidR="0075350A">
        <w:t>species–</w:t>
      </w:r>
      <w:r w:rsidR="00684C07" w:rsidRPr="003D1E07">
        <w:t>substance</w:t>
      </w:r>
      <w:r w:rsidR="00920062">
        <w:t xml:space="preserve"> je možná </w:t>
      </w:r>
      <w:r w:rsidR="00CE57D9" w:rsidRPr="003D1E07">
        <w:t xml:space="preserve">proto, že druhá substance je podle Simplikia daná také aktuálně jako nejvyšší </w:t>
      </w:r>
      <w:r w:rsidR="00E26E8D" w:rsidRPr="003D1E07">
        <w:t xml:space="preserve">kosmická </w:t>
      </w:r>
      <w:r w:rsidR="00CE57D9" w:rsidRPr="003D1E07">
        <w:t>substance (τὴν κυριωτάτην οὐσίαν ἔ</w:t>
      </w:r>
      <w:r w:rsidR="087501CD" w:rsidRPr="003D1E07">
        <w:t xml:space="preserve">χον, </w:t>
      </w:r>
      <w:r w:rsidR="003B0516" w:rsidRPr="003D1E07">
        <w:rPr>
          <w:i/>
        </w:rPr>
        <w:t>Simpl. i</w:t>
      </w:r>
      <w:r w:rsidR="00CE57D9" w:rsidRPr="003D1E07">
        <w:rPr>
          <w:i/>
        </w:rPr>
        <w:t>n Cat</w:t>
      </w:r>
      <w:r w:rsidR="00CE57D9" w:rsidRPr="003D1E07">
        <w:t>. 85.11</w:t>
      </w:r>
      <w:r w:rsidR="003B0516" w:rsidRPr="003D1E07">
        <w:rPr>
          <w:lang w:eastAsia="en-US"/>
        </w:rPr>
        <w:fldChar w:fldCharType="begin"/>
      </w:r>
      <w:r w:rsidR="003B0516" w:rsidRPr="003D1E07">
        <w:instrText xml:space="preserve"> XE "Simplikius:</w:instrText>
      </w:r>
      <w:r w:rsidR="003B0516" w:rsidRPr="003D1E07">
        <w:rPr>
          <w:i/>
        </w:rPr>
        <w:instrText>Simpl.</w:instrText>
      </w:r>
      <w:r w:rsidR="003B0516" w:rsidRPr="003D1E07">
        <w:instrText xml:space="preserve"> </w:instrText>
      </w:r>
      <w:r w:rsidR="003B0516" w:rsidRPr="003D1E07">
        <w:rPr>
          <w:i/>
        </w:rPr>
        <w:instrText>in Cat</w:instrText>
      </w:r>
      <w:r w:rsidR="003B0516" w:rsidRPr="003D1E07">
        <w:instrText xml:space="preserve">. 85.11" </w:instrText>
      </w:r>
      <w:r w:rsidR="003B0516" w:rsidRPr="003D1E07">
        <w:rPr>
          <w:lang w:eastAsia="en-US"/>
        </w:rPr>
        <w:fldChar w:fldCharType="end"/>
      </w:r>
      <w:r w:rsidR="00CE57D9" w:rsidRPr="003D1E07">
        <w:t xml:space="preserve">). </w:t>
      </w:r>
      <w:r w:rsidR="08071BB7" w:rsidRPr="003D1E07">
        <w:t xml:space="preserve">Neoplatonismus vidí determinaci </w:t>
      </w:r>
      <w:r w:rsidR="08071BB7" w:rsidRPr="003D1E07">
        <w:rPr>
          <w:i/>
        </w:rPr>
        <w:t>per prius</w:t>
      </w:r>
      <w:r w:rsidR="08071BB7" w:rsidRPr="003D1E07">
        <w:t xml:space="preserve"> </w:t>
      </w:r>
      <w:r w:rsidR="08071BB7" w:rsidRPr="003D1E07">
        <w:rPr>
          <w:rStyle w:val="addmd"/>
          <w:i/>
        </w:rPr>
        <w:fldChar w:fldCharType="begin"/>
      </w:r>
      <w:r w:rsidR="08071BB7" w:rsidRPr="003D1E07">
        <w:instrText xml:space="preserve"> XE "predikace:</w:instrText>
      </w:r>
      <w:r w:rsidR="08071BB7" w:rsidRPr="003D1E07">
        <w:rPr>
          <w:i/>
        </w:rPr>
        <w:instrText>per prius</w:instrText>
      </w:r>
      <w:r w:rsidR="08071BB7" w:rsidRPr="003D1E07">
        <w:instrText xml:space="preserve">" </w:instrText>
      </w:r>
      <w:r w:rsidR="08071BB7" w:rsidRPr="003D1E07">
        <w:rPr>
          <w:rStyle w:val="addmd"/>
          <w:i/>
        </w:rPr>
        <w:fldChar w:fldCharType="end"/>
      </w:r>
      <w:r w:rsidR="08071BB7" w:rsidRPr="003D1E07">
        <w:t>vzhledem k substanci dané v řádu autonomních platonských forem, které podle Ari</w:t>
      </w:r>
      <w:r w:rsidR="007041CA">
        <w:t>stotela existují pouze v mysli.</w:t>
      </w:r>
    </w:p>
    <w:p w14:paraId="2F33D6CB" w14:textId="03318C73" w:rsidR="08DC53C7" w:rsidRPr="003D1E07" w:rsidRDefault="00D5742A" w:rsidP="00CD10EA">
      <w:pPr>
        <w:ind w:firstLine="397"/>
      </w:pPr>
      <w:r w:rsidRPr="003D1E07">
        <w:t xml:space="preserve">Nová </w:t>
      </w:r>
      <w:r w:rsidR="007041CA">
        <w:t xml:space="preserve">univerzální a přitom </w:t>
      </w:r>
      <w:r w:rsidR="08062311" w:rsidRPr="003D1E07">
        <w:t xml:space="preserve">aktuální </w:t>
      </w:r>
      <w:r w:rsidR="007041CA">
        <w:t>„</w:t>
      </w:r>
      <w:r w:rsidRPr="003D1E07">
        <w:t>substance</w:t>
      </w:r>
      <w:r w:rsidR="007041CA">
        <w:t>–</w:t>
      </w:r>
      <w:r w:rsidR="00F214C5" w:rsidRPr="003D1E07">
        <w:t>species</w:t>
      </w:r>
      <w:r w:rsidR="007041CA">
        <w:t>“</w:t>
      </w:r>
      <w:r w:rsidRPr="003D1E07">
        <w:t xml:space="preserve"> </w:t>
      </w:r>
      <w:r w:rsidR="08062311" w:rsidRPr="003D1E07">
        <w:t xml:space="preserve">zásadně změnila </w:t>
      </w:r>
      <w:r w:rsidR="007041CA">
        <w:t>tabulku k</w:t>
      </w:r>
      <w:r w:rsidR="00CE57D9" w:rsidRPr="007041CA">
        <w:t>ategorií</w:t>
      </w:r>
      <w:r w:rsidRPr="003D1E07">
        <w:t xml:space="preserve">. </w:t>
      </w:r>
      <w:r w:rsidR="08062311" w:rsidRPr="003D1E07">
        <w:t>Problém nebyl v </w:t>
      </w:r>
      <w:r w:rsidR="08E67985" w:rsidRPr="003D1E07">
        <w:t>aktuál</w:t>
      </w:r>
      <w:r w:rsidR="08A152FC" w:rsidRPr="003D1E07">
        <w:t xml:space="preserve">ním bytí nemateriálních </w:t>
      </w:r>
      <w:r w:rsidR="08062311" w:rsidRPr="003D1E07">
        <w:t>kosmických forem a inteligencí</w:t>
      </w:r>
      <w:r w:rsidR="08A152FC" w:rsidRPr="003D1E07">
        <w:t xml:space="preserve">, protože to byla první substance i pro Aristotela. Změna byla v tom, že </w:t>
      </w:r>
      <w:r w:rsidR="08062311" w:rsidRPr="003D1E07">
        <w:t xml:space="preserve">predikace </w:t>
      </w:r>
      <w:r w:rsidR="08224958" w:rsidRPr="003D1E07">
        <w:t xml:space="preserve">těchto kosmických forem </w:t>
      </w:r>
      <w:r w:rsidR="08E67985" w:rsidRPr="003D1E07">
        <w:t>v</w:t>
      </w:r>
      <w:r w:rsidR="00955C93" w:rsidRPr="003D1E07">
        <w:t xml:space="preserve"> jazyce </w:t>
      </w:r>
      <w:r w:rsidR="00C201F6" w:rsidRPr="003D1E07">
        <w:t>se dostala na stejnou rovinu</w:t>
      </w:r>
      <w:r w:rsidR="08A152FC" w:rsidRPr="003D1E07">
        <w:t xml:space="preserve"> bytí jako jejich </w:t>
      </w:r>
      <w:r w:rsidR="084A3C82" w:rsidRPr="003D1E07">
        <w:t xml:space="preserve">aktuální a nemateriální </w:t>
      </w:r>
      <w:r w:rsidR="08A152FC" w:rsidRPr="003D1E07">
        <w:t xml:space="preserve">existence </w:t>
      </w:r>
      <w:r w:rsidR="08E67985" w:rsidRPr="003D1E07">
        <w:t>v realitě</w:t>
      </w:r>
      <w:r w:rsidR="08062311" w:rsidRPr="003D1E07">
        <w:t xml:space="preserve">. </w:t>
      </w:r>
      <w:r w:rsidR="08A152FC" w:rsidRPr="003D1E07">
        <w:t xml:space="preserve">Na kosmické úrovni přestal platit </w:t>
      </w:r>
      <w:r w:rsidR="08B779FB" w:rsidRPr="003D1E07">
        <w:t xml:space="preserve">metafyzický </w:t>
      </w:r>
      <w:r w:rsidR="08A152FC" w:rsidRPr="003D1E07">
        <w:t>dativ</w:t>
      </w:r>
      <w:r w:rsidR="08E915B3" w:rsidRPr="003D1E07">
        <w:rPr>
          <w:szCs w:val="24"/>
        </w:rPr>
        <w:fldChar w:fldCharType="begin"/>
      </w:r>
      <w:r w:rsidR="08E915B3" w:rsidRPr="003D1E07">
        <w:instrText xml:space="preserve"> XE "</w:instrText>
      </w:r>
      <w:r w:rsidR="08B779FB" w:rsidRPr="003D1E07">
        <w:rPr>
          <w:i/>
        </w:rPr>
        <w:instrText>dativus metaphysi</w:instrText>
      </w:r>
      <w:r w:rsidR="08E915B3" w:rsidRPr="003D1E07">
        <w:rPr>
          <w:i/>
        </w:rPr>
        <w:instrText>cus</w:instrText>
      </w:r>
      <w:r w:rsidR="08E915B3" w:rsidRPr="003D1E07">
        <w:instrText xml:space="preserve">" </w:instrText>
      </w:r>
      <w:r w:rsidR="08E915B3" w:rsidRPr="003D1E07">
        <w:rPr>
          <w:szCs w:val="24"/>
        </w:rPr>
        <w:fldChar w:fldCharType="end"/>
      </w:r>
      <w:r w:rsidR="00DC77F3" w:rsidRPr="003D1E07">
        <w:rPr>
          <w:szCs w:val="24"/>
        </w:rPr>
        <w:t xml:space="preserve">. </w:t>
      </w:r>
      <w:r w:rsidR="00DC77F3" w:rsidRPr="003D1E07">
        <w:t xml:space="preserve">Ten určuje pořadí hyparchické predikace vztažené ke </w:t>
      </w:r>
      <w:r w:rsidR="00DC77F3" w:rsidRPr="003D1E07">
        <w:rPr>
          <w:i/>
        </w:rPr>
        <w:t>quidditas</w:t>
      </w:r>
      <w:r w:rsidR="0027522B" w:rsidRPr="003D1E07">
        <w:rPr>
          <w:i/>
        </w:rPr>
        <w:fldChar w:fldCharType="begin"/>
      </w:r>
      <w:r w:rsidR="0027522B" w:rsidRPr="003D1E07">
        <w:instrText xml:space="preserve"> XE "</w:instrText>
      </w:r>
      <w:r w:rsidR="0027522B" w:rsidRPr="003D1E07">
        <w:rPr>
          <w:i/>
        </w:rPr>
        <w:instrText>quidditas</w:instrText>
      </w:r>
      <w:r w:rsidR="0027522B" w:rsidRPr="003D1E07">
        <w:instrText xml:space="preserve">" </w:instrText>
      </w:r>
      <w:r w:rsidR="0027522B" w:rsidRPr="003D1E07">
        <w:rPr>
          <w:i/>
        </w:rPr>
        <w:fldChar w:fldCharType="end"/>
      </w:r>
      <w:r w:rsidR="00DC77F3" w:rsidRPr="003D1E07">
        <w:t xml:space="preserve">, která generuje </w:t>
      </w:r>
      <w:r w:rsidR="005328DF" w:rsidRPr="003D1E07">
        <w:t xml:space="preserve">metafyzický </w:t>
      </w:r>
      <w:r w:rsidR="00DC77F3" w:rsidRPr="003D1E07">
        <w:t xml:space="preserve">význam skrze </w:t>
      </w:r>
      <w:r w:rsidR="00584481" w:rsidRPr="003D1E07">
        <w:t>kategoriá</w:t>
      </w:r>
      <w:r w:rsidR="001F66D4">
        <w:t>l</w:t>
      </w:r>
      <w:r w:rsidR="00584481" w:rsidRPr="003D1E07">
        <w:t xml:space="preserve">ní </w:t>
      </w:r>
      <w:r w:rsidR="00DC77F3" w:rsidRPr="003D1E07">
        <w:t xml:space="preserve">impozici. </w:t>
      </w:r>
      <w:r w:rsidR="00DD75E8" w:rsidRPr="003D1E07">
        <w:t>Jednoduchost bytí kosmických inteligencí a forem je na nejvyšší úrovni shodná se samotným myšlením</w:t>
      </w:r>
      <w:r w:rsidR="08A152FC" w:rsidRPr="003D1E07">
        <w:t xml:space="preserve">, což představuje totální </w:t>
      </w:r>
      <w:r w:rsidR="08A152FC" w:rsidRPr="003D1E07">
        <w:rPr>
          <w:i/>
        </w:rPr>
        <w:t>hýbris</w:t>
      </w:r>
      <w:r w:rsidR="00DA60D0">
        <w:t xml:space="preserve"> neoplatonských iluminátů. Ti vzali sami sebe jako subjekt my</w:t>
      </w:r>
      <w:r w:rsidR="00DA60D0" w:rsidRPr="00DA60D0">
        <w:t>topoetického poznání</w:t>
      </w:r>
      <w:r w:rsidR="00DA60D0">
        <w:t>, p</w:t>
      </w:r>
      <w:r w:rsidR="00DA60D0" w:rsidRPr="00DA60D0">
        <w:t xml:space="preserve">ovýšili </w:t>
      </w:r>
      <w:r w:rsidR="00DA60D0">
        <w:t xml:space="preserve">jej </w:t>
      </w:r>
      <w:r w:rsidR="00DA60D0" w:rsidRPr="00DA60D0">
        <w:t xml:space="preserve">na úroveň božské kosmologie a </w:t>
      </w:r>
      <w:r w:rsidR="00DA60D0">
        <w:t xml:space="preserve">tím z něj </w:t>
      </w:r>
      <w:r w:rsidR="00DA60D0" w:rsidRPr="00DA60D0">
        <w:t>učinili věčný a kvazi</w:t>
      </w:r>
      <w:r w:rsidR="00DA60D0">
        <w:t>-</w:t>
      </w:r>
      <w:r w:rsidR="00DA60D0" w:rsidRPr="00DA60D0">
        <w:t>božský substrát.</w:t>
      </w:r>
      <w:r w:rsidR="00DA60D0">
        <w:t xml:space="preserve"> </w:t>
      </w:r>
      <w:r w:rsidR="003E6CE2" w:rsidRPr="003E6CE2">
        <w:t xml:space="preserve">Tak </w:t>
      </w:r>
      <w:r w:rsidR="003E6CE2">
        <w:t xml:space="preserve">se zrodila první </w:t>
      </w:r>
      <w:r w:rsidR="00DA7C02">
        <w:t xml:space="preserve">forma transcendentálního </w:t>
      </w:r>
      <w:r w:rsidR="003E6CE2">
        <w:t>vztahu „subjekt–objekt“</w:t>
      </w:r>
      <w:r w:rsidR="003D4107">
        <w:t>, která určila</w:t>
      </w:r>
      <w:r w:rsidR="003E6CE2">
        <w:t xml:space="preserve"> </w:t>
      </w:r>
      <w:r w:rsidR="003D4107">
        <w:t xml:space="preserve">fatální </w:t>
      </w:r>
      <w:r w:rsidR="003E6CE2">
        <w:t xml:space="preserve">osud </w:t>
      </w:r>
      <w:r w:rsidR="003E6CE2" w:rsidRPr="003E6CE2">
        <w:t>ontoteologie</w:t>
      </w:r>
      <w:r w:rsidR="003E6CE2">
        <w:t xml:space="preserve"> Západu</w:t>
      </w:r>
      <w:r w:rsidR="003E6CE2" w:rsidRPr="003E6CE2">
        <w:t>.</w:t>
      </w:r>
      <w:r w:rsidR="003E6CE2">
        <w:t xml:space="preserve"> </w:t>
      </w:r>
      <w:r w:rsidR="00022FDD" w:rsidRPr="003D1E07">
        <w:t xml:space="preserve">Proto je </w:t>
      </w:r>
      <w:r w:rsidR="00F229B5" w:rsidRPr="003D1E07">
        <w:t xml:space="preserve">význam </w:t>
      </w:r>
      <w:r w:rsidR="00B049B1" w:rsidRPr="003D1E07">
        <w:t xml:space="preserve">genericky pojatého </w:t>
      </w:r>
      <w:r w:rsidR="00DB3A6D" w:rsidRPr="003D1E07">
        <w:t xml:space="preserve">jsoucna </w:t>
      </w:r>
      <w:r w:rsidR="00022FDD" w:rsidRPr="003D1E07">
        <w:t xml:space="preserve">na rovině nejvyšších rodů </w:t>
      </w:r>
      <w:r w:rsidR="006933FF" w:rsidRPr="003D1E07">
        <w:t>vzájemně k</w:t>
      </w:r>
      <w:r w:rsidR="00DB3A6D" w:rsidRPr="003D1E07">
        <w:t>onvertibilní a není rozložitelný</w:t>
      </w:r>
      <w:r w:rsidR="006933FF" w:rsidRPr="003D1E07">
        <w:t xml:space="preserve"> na další kategoriální určení.</w:t>
      </w:r>
      <w:r w:rsidR="087257CC" w:rsidRPr="003D1E07">
        <w:t xml:space="preserve"> </w:t>
      </w:r>
      <w:r w:rsidR="08EC0518" w:rsidRPr="003D1E07">
        <w:t>Substance-</w:t>
      </w:r>
      <w:r w:rsidR="00F214C5" w:rsidRPr="003D1E07">
        <w:t>species</w:t>
      </w:r>
      <w:r w:rsidR="08EC0518" w:rsidRPr="003D1E07">
        <w:t xml:space="preserve"> stojí na vrcholu nové kategoriální predikace. Druhová identita a význam dostal kategoriální postavení v modu </w:t>
      </w:r>
      <w:r w:rsidR="08EC0518" w:rsidRPr="003D1E07">
        <w:rPr>
          <w:i/>
        </w:rPr>
        <w:t>per prius</w:t>
      </w:r>
      <w:r w:rsidR="08EC0518" w:rsidRPr="003D1E07">
        <w:t xml:space="preserve">, které je vztaženo k metafyzickému prvenství rodů a druhů (κατὰ τὰ αὐτὰ προηγουμένως, </w:t>
      </w:r>
      <w:r w:rsidR="08EC0518" w:rsidRPr="003D1E07">
        <w:rPr>
          <w:i/>
        </w:rPr>
        <w:t>Simpl.</w:t>
      </w:r>
      <w:r w:rsidR="08EC0518" w:rsidRPr="003D1E07">
        <w:t xml:space="preserve"> </w:t>
      </w:r>
      <w:r w:rsidR="08EC0518" w:rsidRPr="003D1E07">
        <w:rPr>
          <w:i/>
        </w:rPr>
        <w:t>in Cat</w:t>
      </w:r>
      <w:r w:rsidR="08EC0518" w:rsidRPr="003D1E07">
        <w:t>. 73.25</w:t>
      </w:r>
      <w:r w:rsidR="08EC0518" w:rsidRPr="003D1E07">
        <w:rPr>
          <w:lang w:eastAsia="en-US"/>
        </w:rPr>
        <w:fldChar w:fldCharType="begin"/>
      </w:r>
      <w:r w:rsidR="08EC0518" w:rsidRPr="003D1E07">
        <w:instrText xml:space="preserve"> XE "Simplikius:</w:instrText>
      </w:r>
      <w:r w:rsidR="08EC0518" w:rsidRPr="003D1E07">
        <w:rPr>
          <w:i/>
        </w:rPr>
        <w:instrText>Simpl.</w:instrText>
      </w:r>
      <w:r w:rsidR="08EC0518" w:rsidRPr="003D1E07">
        <w:instrText xml:space="preserve"> </w:instrText>
      </w:r>
      <w:r w:rsidR="08EC0518" w:rsidRPr="003D1E07">
        <w:rPr>
          <w:i/>
        </w:rPr>
        <w:instrText>in Cat</w:instrText>
      </w:r>
      <w:r w:rsidR="08EC0518" w:rsidRPr="003D1E07">
        <w:instrText xml:space="preserve">. 73.25" </w:instrText>
      </w:r>
      <w:r w:rsidR="08EC0518" w:rsidRPr="003D1E07">
        <w:rPr>
          <w:lang w:eastAsia="en-US"/>
        </w:rPr>
        <w:fldChar w:fldCharType="end"/>
      </w:r>
      <w:r w:rsidR="08EC0518" w:rsidRPr="003D1E07">
        <w:t xml:space="preserve">). V této tezi </w:t>
      </w:r>
      <w:r w:rsidR="087257CC" w:rsidRPr="003D1E07">
        <w:t xml:space="preserve">leží zdroj scholastického </w:t>
      </w:r>
      <w:r w:rsidR="006933FF" w:rsidRPr="003D1E07">
        <w:rPr>
          <w:i/>
        </w:rPr>
        <w:t>resolutio</w:t>
      </w:r>
      <w:r w:rsidR="005A68A7" w:rsidRPr="003D1E07">
        <w:rPr>
          <w:i/>
        </w:rPr>
        <w:fldChar w:fldCharType="begin"/>
      </w:r>
      <w:r w:rsidR="005A68A7" w:rsidRPr="003D1E07">
        <w:instrText xml:space="preserve"> XE "</w:instrText>
      </w:r>
      <w:r w:rsidR="005A68A7" w:rsidRPr="003D1E07">
        <w:rPr>
          <w:i/>
        </w:rPr>
        <w:instrText>resolutio</w:instrText>
      </w:r>
      <w:r w:rsidR="00B40981" w:rsidRPr="003D1E07">
        <w:rPr>
          <w:i/>
        </w:rPr>
        <w:instrText>:</w:instrText>
      </w:r>
      <w:r w:rsidR="00B40981" w:rsidRPr="003D1E07">
        <w:instrText>Simplikius</w:instrText>
      </w:r>
      <w:r w:rsidR="005A68A7" w:rsidRPr="003D1E07">
        <w:instrText xml:space="preserve">" </w:instrText>
      </w:r>
      <w:r w:rsidR="005A68A7" w:rsidRPr="003D1E07">
        <w:rPr>
          <w:i/>
        </w:rPr>
        <w:fldChar w:fldCharType="end"/>
      </w:r>
      <w:r w:rsidR="006933FF" w:rsidRPr="003D1E07">
        <w:t xml:space="preserve">, které najdeme u </w:t>
      </w:r>
      <w:r w:rsidR="007E2DAC" w:rsidRPr="003D1E07">
        <w:t xml:space="preserve">Filipa </w:t>
      </w:r>
      <w:r w:rsidR="006933FF" w:rsidRPr="003D1E07">
        <w:t>Kancléře a jeho nauce o transcendentáliích (</w:t>
      </w:r>
      <w:r w:rsidR="08A85B38" w:rsidRPr="003D1E07">
        <w:t>OBJ II, kap. 2</w:t>
      </w:r>
      <w:r w:rsidR="006933FF" w:rsidRPr="003D1E07">
        <w:t>.3</w:t>
      </w:r>
      <w:r w:rsidR="00D548D9" w:rsidRPr="003D1E07">
        <w:t>.2</w:t>
      </w:r>
      <w:r w:rsidR="006933FF" w:rsidRPr="003D1E07">
        <w:t xml:space="preserve">). </w:t>
      </w:r>
      <w:r w:rsidR="082757E7" w:rsidRPr="003D1E07">
        <w:t xml:space="preserve">Druhá substance pohltila první substanci </w:t>
      </w:r>
      <w:r w:rsidR="08EC1AB5" w:rsidRPr="003D1E07">
        <w:t xml:space="preserve">v modu </w:t>
      </w:r>
      <w:r w:rsidR="08234488" w:rsidRPr="003D1E07">
        <w:t>mytopoetického kosmického tělesa</w:t>
      </w:r>
      <w:r w:rsidR="08234488" w:rsidRPr="003D1E07">
        <w:rPr>
          <w:i/>
        </w:rPr>
        <w:t>-</w:t>
      </w:r>
      <w:r w:rsidR="00F214C5" w:rsidRPr="003D1E07">
        <w:t>species</w:t>
      </w:r>
      <w:r w:rsidR="08EC1AB5" w:rsidRPr="003D1E07">
        <w:t>. Toto jsoucno třetího druhu se</w:t>
      </w:r>
      <w:r w:rsidR="088F2738" w:rsidRPr="003D1E07">
        <w:t xml:space="preserve"> </w:t>
      </w:r>
      <w:r w:rsidR="08EC1AB5" w:rsidRPr="003D1E07">
        <w:t xml:space="preserve">stalo </w:t>
      </w:r>
      <w:r w:rsidR="088F2738" w:rsidRPr="003D1E07">
        <w:t>metafyzickým hegemonem za</w:t>
      </w:r>
      <w:r w:rsidR="082757E7" w:rsidRPr="003D1E07">
        <w:t>kládajícím jednotu kategoriální pr</w:t>
      </w:r>
      <w:r w:rsidR="088F2738" w:rsidRPr="003D1E07">
        <w:t>edi</w:t>
      </w:r>
      <w:r w:rsidR="082757E7" w:rsidRPr="003D1E07">
        <w:t>k</w:t>
      </w:r>
      <w:r w:rsidR="088F2738" w:rsidRPr="003D1E07">
        <w:t>a</w:t>
      </w:r>
      <w:r w:rsidR="082757E7" w:rsidRPr="003D1E07">
        <w:t xml:space="preserve">ce. </w:t>
      </w:r>
      <w:r w:rsidR="008C3607" w:rsidRPr="003D1E07">
        <w:t xml:space="preserve">Smíšením </w:t>
      </w:r>
      <w:r w:rsidR="00F214C5" w:rsidRPr="003D1E07">
        <w:t>species</w:t>
      </w:r>
      <w:r w:rsidR="008C3607" w:rsidRPr="003D1E07">
        <w:t xml:space="preserve"> a první substance vznikla nová </w:t>
      </w:r>
      <w:r w:rsidR="00CE57D9" w:rsidRPr="003D1E07">
        <w:t xml:space="preserve">predikace </w:t>
      </w:r>
      <w:r w:rsidR="00CE57D9" w:rsidRPr="003D1E07">
        <w:rPr>
          <w:i/>
        </w:rPr>
        <w:t xml:space="preserve">per prius </w:t>
      </w:r>
      <w:r w:rsidRPr="003D1E07">
        <w:t xml:space="preserve">a </w:t>
      </w:r>
      <w:r w:rsidRPr="003D1E07">
        <w:rPr>
          <w:i/>
        </w:rPr>
        <w:t>per posterius</w:t>
      </w:r>
      <w:r w:rsidR="008E18BB" w:rsidRPr="003D1E07">
        <w:rPr>
          <w:i/>
        </w:rPr>
        <w:fldChar w:fldCharType="begin"/>
      </w:r>
      <w:r w:rsidR="008E18BB" w:rsidRPr="003D1E07">
        <w:instrText xml:space="preserve"> XE "predikace:</w:instrText>
      </w:r>
      <w:r w:rsidR="008E18BB" w:rsidRPr="003D1E07">
        <w:rPr>
          <w:i/>
        </w:rPr>
        <w:instrText>per posterius</w:instrText>
      </w:r>
      <w:r w:rsidR="008E18BB" w:rsidRPr="003D1E07">
        <w:instrText xml:space="preserve">" </w:instrText>
      </w:r>
      <w:r w:rsidR="008E18BB" w:rsidRPr="003D1E07">
        <w:rPr>
          <w:i/>
        </w:rPr>
        <w:fldChar w:fldCharType="end"/>
      </w:r>
      <w:r w:rsidRPr="003D1E07">
        <w:t xml:space="preserve"> </w:t>
      </w:r>
      <w:r w:rsidR="00CE57D9" w:rsidRPr="003D1E07">
        <w:t>(τὸ πρότερον ἔστιν καὶ τὸ ὕ</w:t>
      </w:r>
      <w:r w:rsidR="00E61AD6" w:rsidRPr="003D1E07">
        <w:t xml:space="preserve">στερον; ibid, </w:t>
      </w:r>
      <w:r w:rsidR="00CE57D9" w:rsidRPr="003D1E07">
        <w:t>73.20</w:t>
      </w:r>
      <w:r w:rsidR="003B0516" w:rsidRPr="003D1E07">
        <w:rPr>
          <w:lang w:eastAsia="en-US"/>
        </w:rPr>
        <w:fldChar w:fldCharType="begin"/>
      </w:r>
      <w:r w:rsidR="003B0516" w:rsidRPr="003D1E07">
        <w:instrText xml:space="preserve"> XE "Simplikius:</w:instrText>
      </w:r>
      <w:r w:rsidR="003B0516" w:rsidRPr="003D1E07">
        <w:rPr>
          <w:i/>
        </w:rPr>
        <w:instrText xml:space="preserve"> Simpl.</w:instrText>
      </w:r>
      <w:r w:rsidR="003B0516" w:rsidRPr="003D1E07">
        <w:instrText xml:space="preserve"> </w:instrText>
      </w:r>
      <w:r w:rsidR="003B0516" w:rsidRPr="003D1E07">
        <w:rPr>
          <w:i/>
        </w:rPr>
        <w:instrText>in Cat</w:instrText>
      </w:r>
      <w:r w:rsidR="003B0516" w:rsidRPr="003D1E07">
        <w:instrText xml:space="preserve">. 73.20" </w:instrText>
      </w:r>
      <w:r w:rsidR="003B0516" w:rsidRPr="003D1E07">
        <w:rPr>
          <w:lang w:eastAsia="en-US"/>
        </w:rPr>
        <w:fldChar w:fldCharType="end"/>
      </w:r>
      <w:r w:rsidR="00CE57D9" w:rsidRPr="003D1E07">
        <w:t xml:space="preserve">). Simplikius navázal </w:t>
      </w:r>
      <w:r w:rsidR="08755F69" w:rsidRPr="003D1E07">
        <w:t>ne</w:t>
      </w:r>
      <w:r w:rsidR="08F76212" w:rsidRPr="003D1E07">
        <w:t xml:space="preserve">oplatonskou predikaci </w:t>
      </w:r>
      <w:r w:rsidR="00CE57D9" w:rsidRPr="003D1E07">
        <w:t xml:space="preserve">na nové vidění jsoucího, které podal </w:t>
      </w:r>
      <w:r w:rsidR="00BB45B1" w:rsidRPr="003D1E07">
        <w:t>Porfyri</w:t>
      </w:r>
      <w:r w:rsidR="00CE57D9" w:rsidRPr="003D1E07">
        <w:t xml:space="preserve">ův komentář k </w:t>
      </w:r>
      <w:r w:rsidR="08F76212" w:rsidRPr="003D1E07">
        <w:t xml:space="preserve">dialogu </w:t>
      </w:r>
      <w:r w:rsidR="08F76212" w:rsidRPr="003D1E07">
        <w:rPr>
          <w:i/>
        </w:rPr>
        <w:t>Parmenide</w:t>
      </w:r>
      <w:r w:rsidR="00CE57D9" w:rsidRPr="003D1E07">
        <w:rPr>
          <w:i/>
        </w:rPr>
        <w:t>s</w:t>
      </w:r>
      <w:r w:rsidR="00CE57D9" w:rsidRPr="003D1E07">
        <w:t xml:space="preserve"> </w:t>
      </w:r>
      <w:r w:rsidR="08F76212" w:rsidRPr="003D1E07">
        <w:t xml:space="preserve">skrze </w:t>
      </w:r>
      <w:r w:rsidR="00CE57D9" w:rsidRPr="003D1E07">
        <w:t>zdvojené bytí</w:t>
      </w:r>
      <w:r w:rsidR="00B40981" w:rsidRPr="003D1E07">
        <w:fldChar w:fldCharType="begin"/>
      </w:r>
      <w:r w:rsidR="00B40981" w:rsidRPr="003D1E07">
        <w:instrText xml:space="preserve"> XE "zdvojení bytí" </w:instrText>
      </w:r>
      <w:r w:rsidR="00B40981" w:rsidRPr="003D1E07">
        <w:fldChar w:fldCharType="end"/>
      </w:r>
      <w:r w:rsidR="08AF6B7D" w:rsidRPr="003D1E07">
        <w:t xml:space="preserve"> Jednoho (kap. 1.3</w:t>
      </w:r>
      <w:r w:rsidR="08F76212" w:rsidRPr="003D1E07">
        <w:t>.1)</w:t>
      </w:r>
      <w:r w:rsidR="08755F69" w:rsidRPr="003D1E07">
        <w:t xml:space="preserve">. Mytopoetický jazyk iluminátů se dostal na božskou </w:t>
      </w:r>
      <w:r w:rsidR="08755F69" w:rsidRPr="003D1E07">
        <w:lastRenderedPageBreak/>
        <w:t>úroveň s kosmickými formami</w:t>
      </w:r>
      <w:r w:rsidR="00B51880" w:rsidRPr="003D1E07">
        <w:t>. U</w:t>
      </w:r>
      <w:r w:rsidR="00AE5C5E" w:rsidRPr="003D1E07">
        <w:t xml:space="preserve">čené </w:t>
      </w:r>
      <w:r w:rsidR="08755F69" w:rsidRPr="003D1E07">
        <w:t>slovo těchto božsky vidoucích akademiků se stalo kosmickým těle</w:t>
      </w:r>
      <w:r w:rsidR="08F45931" w:rsidRPr="003D1E07">
        <w:t>m a začalo přebývat mezi námi</w:t>
      </w:r>
      <w:r w:rsidR="00DA70BE" w:rsidRPr="003D1E07">
        <w:t xml:space="preserve"> v takto dané objektivní slávě</w:t>
      </w:r>
      <w:r w:rsidR="08755F69" w:rsidRPr="003D1E07">
        <w:t xml:space="preserve">. </w:t>
      </w:r>
      <w:r w:rsidR="00EC2D98">
        <w:t>T</w:t>
      </w:r>
      <w:r w:rsidR="0033189F">
        <w:t xml:space="preserve">oto </w:t>
      </w:r>
      <w:r w:rsidR="00970489">
        <w:t xml:space="preserve">zcela paranoické </w:t>
      </w:r>
      <w:r w:rsidR="00EC2D98">
        <w:t>metaforické porozumění začalo</w:t>
      </w:r>
      <w:r w:rsidR="08755F69" w:rsidRPr="003D1E07">
        <w:t xml:space="preserve"> v </w:t>
      </w:r>
      <w:r w:rsidR="083E79D7" w:rsidRPr="003D1E07">
        <w:t xml:space="preserve">první </w:t>
      </w:r>
      <w:r w:rsidR="08755F69" w:rsidRPr="003D1E07">
        <w:t>moderní božské komedii určovat metafyziku</w:t>
      </w:r>
      <w:r w:rsidR="00EC2506">
        <w:t>. Nová forma už jen tragikomedie i</w:t>
      </w:r>
      <w:r w:rsidR="00707E06">
        <w:t>n</w:t>
      </w:r>
      <w:r w:rsidR="00EC2506">
        <w:t xml:space="preserve">scenovaná </w:t>
      </w:r>
      <w:r w:rsidR="08755F69" w:rsidRPr="003D1E07">
        <w:t xml:space="preserve">pod vedením pomstychtivých </w:t>
      </w:r>
      <w:r w:rsidR="08DA142E" w:rsidRPr="003D1E07">
        <w:t>Erí</w:t>
      </w:r>
      <w:r w:rsidR="083B095D" w:rsidRPr="003D1E07">
        <w:t>n</w:t>
      </w:r>
      <w:r w:rsidR="08DA142E" w:rsidRPr="003D1E07">
        <w:t>y</w:t>
      </w:r>
      <w:r w:rsidR="08755F69" w:rsidRPr="003D1E07">
        <w:t xml:space="preserve">í </w:t>
      </w:r>
      <w:r w:rsidR="08FF1AD8" w:rsidRPr="003D1E07">
        <w:fldChar w:fldCharType="begin"/>
      </w:r>
      <w:r w:rsidR="08FF1AD8" w:rsidRPr="003D1E07">
        <w:instrText xml:space="preserve"> XE "</w:instrText>
      </w:r>
      <w:r w:rsidR="08DA142E" w:rsidRPr="003D1E07">
        <w:instrText>Erí</w:instrText>
      </w:r>
      <w:r w:rsidR="083B095D" w:rsidRPr="003D1E07">
        <w:instrText>n</w:instrText>
      </w:r>
      <w:r w:rsidR="08DA142E" w:rsidRPr="003D1E07">
        <w:instrText>y</w:instrText>
      </w:r>
      <w:r w:rsidR="08FF1AD8" w:rsidRPr="003D1E07">
        <w:instrText xml:space="preserve">e" </w:instrText>
      </w:r>
      <w:r w:rsidR="08FF1AD8" w:rsidRPr="003D1E07">
        <w:fldChar w:fldCharType="end"/>
      </w:r>
      <w:r w:rsidR="08755F69" w:rsidRPr="003D1E07">
        <w:t xml:space="preserve">trvá v </w:t>
      </w:r>
      <w:r w:rsidR="00DB3688" w:rsidRPr="003D1E07">
        <w:t xml:space="preserve">nihilistickém stádiu </w:t>
      </w:r>
      <w:r w:rsidR="00EC2506">
        <w:t xml:space="preserve">metafyziky </w:t>
      </w:r>
      <w:r w:rsidR="00DB3688" w:rsidRPr="003D1E07">
        <w:t>až dodnes</w:t>
      </w:r>
      <w:r w:rsidR="08755F69" w:rsidRPr="003D1E07">
        <w:t xml:space="preserve">. </w:t>
      </w:r>
      <w:r w:rsidR="00FE2A81" w:rsidRPr="003D1E07">
        <w:t xml:space="preserve">V novém diakosmu predikovaném kategoriálně </w:t>
      </w:r>
      <w:r w:rsidR="00CE57D9" w:rsidRPr="003D1E07">
        <w:t xml:space="preserve">splývá </w:t>
      </w:r>
      <w:r w:rsidR="084D75A4" w:rsidRPr="003D1E07">
        <w:t xml:space="preserve">realita a </w:t>
      </w:r>
      <w:r w:rsidR="00CE57D9" w:rsidRPr="003D1E07">
        <w:t>myšlení</w:t>
      </w:r>
      <w:r w:rsidR="084D75A4" w:rsidRPr="003D1E07">
        <w:t xml:space="preserve">, </w:t>
      </w:r>
      <w:r w:rsidR="00CE57D9" w:rsidRPr="003D1E07">
        <w:t xml:space="preserve">první a druhá </w:t>
      </w:r>
      <w:r w:rsidR="084D75A4" w:rsidRPr="003D1E07">
        <w:t>substance</w:t>
      </w:r>
      <w:r w:rsidR="00CE57D9" w:rsidRPr="003D1E07">
        <w:t>, univocita a ekvivocita</w:t>
      </w:r>
      <w:r w:rsidR="00EF716D" w:rsidRPr="003D1E07">
        <w:t xml:space="preserve">. Jednota je </w:t>
      </w:r>
      <w:r w:rsidR="00CE57D9" w:rsidRPr="003D1E07">
        <w:t>vybudován</w:t>
      </w:r>
      <w:r w:rsidR="00EF716D" w:rsidRPr="003D1E07">
        <w:t>a</w:t>
      </w:r>
      <w:r w:rsidR="00CE57D9" w:rsidRPr="003D1E07">
        <w:t xml:space="preserve"> na </w:t>
      </w:r>
      <w:r w:rsidR="00FE2A81" w:rsidRPr="003D1E07">
        <w:t xml:space="preserve">analogické </w:t>
      </w:r>
      <w:r w:rsidR="00CE57D9" w:rsidRPr="003D1E07">
        <w:t xml:space="preserve">predikaci </w:t>
      </w:r>
      <w:r w:rsidR="00CE57D9" w:rsidRPr="003D1E07">
        <w:rPr>
          <w:i/>
        </w:rPr>
        <w:t>per prius</w:t>
      </w:r>
      <w:r w:rsidR="00CE57D9" w:rsidRPr="003D1E07">
        <w:t xml:space="preserve"> dané vzhledem k epochálně novému druhu </w:t>
      </w:r>
      <w:r w:rsidR="00CE57D9" w:rsidRPr="003D1E07">
        <w:rPr>
          <w:i/>
        </w:rPr>
        <w:t>tertium ens</w:t>
      </w:r>
      <w:r w:rsidR="002D426A" w:rsidRPr="003D1E07">
        <w:t>. Smysl kosmu je nasvícen zezadu a jeho řád je postaven na hlavu. Věčná species zajišťují j</w:t>
      </w:r>
      <w:r w:rsidR="00CE57D9" w:rsidRPr="003D1E07">
        <w:t xml:space="preserve">edinečnost a aktuálnost </w:t>
      </w:r>
      <w:r w:rsidR="00C7683B" w:rsidRPr="003D1E07">
        <w:t xml:space="preserve">reálných </w:t>
      </w:r>
      <w:r w:rsidR="084C1C99" w:rsidRPr="003D1E07">
        <w:t xml:space="preserve">hylemorfických </w:t>
      </w:r>
      <w:r w:rsidR="002D426A" w:rsidRPr="003D1E07">
        <w:t>substancí</w:t>
      </w:r>
      <w:r w:rsidR="08F027DA" w:rsidRPr="003D1E07">
        <w:t xml:space="preserve">. </w:t>
      </w:r>
      <w:r w:rsidR="002D426A" w:rsidRPr="003D1E07">
        <w:t xml:space="preserve">Neoplatonská species dostala </w:t>
      </w:r>
      <w:r w:rsidR="00CE57D9" w:rsidRPr="003D1E07">
        <w:t xml:space="preserve">hyparchickou roli první substance </w:t>
      </w:r>
      <w:r w:rsidR="08C806E3" w:rsidRPr="003D1E07">
        <w:t xml:space="preserve">a umožňují nové vědě </w:t>
      </w:r>
      <w:r w:rsidR="08F027DA" w:rsidRPr="003D1E07">
        <w:t xml:space="preserve">univoční kategoriální predikaci </w:t>
      </w:r>
      <w:r w:rsidR="08C806E3" w:rsidRPr="003D1E07">
        <w:t>o objektivním diakosmu</w:t>
      </w:r>
      <w:r w:rsidR="08DC53C7" w:rsidRPr="003D1E07">
        <w:t xml:space="preserve">. </w:t>
      </w:r>
      <w:r w:rsidR="08807EB1" w:rsidRPr="003D1E07">
        <w:t xml:space="preserve">Přenesení predikace od prvních substancí k nově pojatým kosmických </w:t>
      </w:r>
      <w:r w:rsidR="00F214C5" w:rsidRPr="003D1E07">
        <w:t>species</w:t>
      </w:r>
      <w:r w:rsidR="08807EB1" w:rsidRPr="003D1E07">
        <w:t xml:space="preserve"> </w:t>
      </w:r>
      <w:r w:rsidR="084C181F" w:rsidRPr="003D1E07">
        <w:t>v</w:t>
      </w:r>
      <w:r w:rsidR="08B26885" w:rsidRPr="003D1E07">
        <w:t xml:space="preserve"> sofistikovaném </w:t>
      </w:r>
      <w:r w:rsidR="084C181F" w:rsidRPr="003D1E07">
        <w:t xml:space="preserve">modu Aristotela </w:t>
      </w:r>
      <w:r w:rsidR="08807EB1" w:rsidRPr="003D1E07">
        <w:t xml:space="preserve">zrušilo </w:t>
      </w:r>
      <w:r w:rsidR="08115E2D" w:rsidRPr="003D1E07">
        <w:t xml:space="preserve">Plotinovy </w:t>
      </w:r>
      <w:r w:rsidR="08807EB1" w:rsidRPr="003D1E07">
        <w:t xml:space="preserve">nejvyšší rody jsoucna a </w:t>
      </w:r>
      <w:r w:rsidR="08115E2D" w:rsidRPr="003D1E07">
        <w:t xml:space="preserve">Platonovy </w:t>
      </w:r>
      <w:r w:rsidR="08807EB1" w:rsidRPr="003D1E07">
        <w:t xml:space="preserve">ideje. </w:t>
      </w:r>
      <w:r w:rsidR="00877508">
        <w:t>Tato n</w:t>
      </w:r>
      <w:r w:rsidR="00877508" w:rsidRPr="00877508">
        <w:t>ová podo</w:t>
      </w:r>
      <w:r w:rsidR="00877508">
        <w:t xml:space="preserve">ba </w:t>
      </w:r>
      <w:r w:rsidR="00CD10EA">
        <w:t>při</w:t>
      </w:r>
      <w:r w:rsidR="00877508">
        <w:t>su</w:t>
      </w:r>
      <w:r w:rsidR="00CD10EA">
        <w:t>nu</w:t>
      </w:r>
      <w:r w:rsidR="00877508">
        <w:t>tí jsoucna (</w:t>
      </w:r>
      <w:r w:rsidR="00877508" w:rsidRPr="00877508">
        <w:rPr>
          <w:i/>
        </w:rPr>
        <w:t>Ge-Stell</w:t>
      </w:r>
      <w:r w:rsidR="00877508">
        <w:rPr>
          <w:i/>
        </w:rPr>
        <w:fldChar w:fldCharType="begin"/>
      </w:r>
      <w:r w:rsidR="00877508">
        <w:instrText xml:space="preserve"> XE "</w:instrText>
      </w:r>
      <w:r w:rsidR="00877508" w:rsidRPr="00972996">
        <w:rPr>
          <w:i/>
        </w:rPr>
        <w:instrText>Ge-Stell</w:instrText>
      </w:r>
      <w:r w:rsidR="00877508">
        <w:instrText xml:space="preserve">" </w:instrText>
      </w:r>
      <w:r w:rsidR="00877508">
        <w:rPr>
          <w:i/>
        </w:rPr>
        <w:fldChar w:fldCharType="end"/>
      </w:r>
      <w:r w:rsidR="00877508">
        <w:t>)</w:t>
      </w:r>
      <w:r w:rsidR="00877508" w:rsidRPr="00877508">
        <w:t xml:space="preserve"> se objevila, když byla obecná a hypostatická entita mytologicky vyslána do reálného světa. </w:t>
      </w:r>
      <w:r w:rsidR="00B43821">
        <w:t>Genericky určená objek</w:t>
      </w:r>
      <w:r w:rsidR="00CD10EA">
        <w:t>tivita byla „při-sunuta“</w:t>
      </w:r>
      <w:r w:rsidR="00877508" w:rsidRPr="00877508">
        <w:t xml:space="preserve"> na reálnou věc jako je</w:t>
      </w:r>
      <w:r w:rsidR="00CD10EA">
        <w:t>jí druhá přirozenost, tj. jako její „substance–species“</w:t>
      </w:r>
      <w:r w:rsidR="00C81CFA">
        <w:t xml:space="preserve">. </w:t>
      </w:r>
      <w:r w:rsidR="00877508" w:rsidRPr="00877508">
        <w:t xml:space="preserve">Garantem </w:t>
      </w:r>
      <w:r w:rsidR="00CD10EA">
        <w:t xml:space="preserve">této zcela specifické donace </w:t>
      </w:r>
      <w:r w:rsidR="00877508" w:rsidRPr="00877508">
        <w:t>mytologického bytí je moderní,</w:t>
      </w:r>
      <w:r w:rsidR="00CD10EA">
        <w:t xml:space="preserve"> tedy </w:t>
      </w:r>
      <w:r w:rsidR="00C81CFA">
        <w:t xml:space="preserve">zcela </w:t>
      </w:r>
      <w:r w:rsidR="00877508" w:rsidRPr="00877508">
        <w:t>paranoidní subjekt.</w:t>
      </w:r>
      <w:r w:rsidR="00CD10EA">
        <w:t xml:space="preserve"> </w:t>
      </w:r>
      <w:r w:rsidR="00CE57D9" w:rsidRPr="003D1E07">
        <w:t>Citované s</w:t>
      </w:r>
      <w:r w:rsidR="08807EB1" w:rsidRPr="003D1E07">
        <w:t xml:space="preserve">loveso </w:t>
      </w:r>
      <w:r w:rsidR="00385E81">
        <w:rPr>
          <w:i/>
        </w:rPr>
        <w:t>metadí</w:t>
      </w:r>
      <w:r w:rsidR="003C053E" w:rsidRPr="003D1E07">
        <w:rPr>
          <w:i/>
        </w:rPr>
        <w:t>d</w:t>
      </w:r>
      <w:r w:rsidR="00385E81">
        <w:rPr>
          <w:rFonts w:cs="Calibri"/>
          <w:i/>
        </w:rPr>
        <w:t>ō</w:t>
      </w:r>
      <w:r w:rsidR="003C053E" w:rsidRPr="003D1E07">
        <w:t xml:space="preserve"> </w:t>
      </w:r>
      <w:r w:rsidR="00CE57D9" w:rsidRPr="003D1E07">
        <w:t xml:space="preserve">ukazuje na nové </w:t>
      </w:r>
      <w:r w:rsidR="00CE57D9" w:rsidRPr="003D1E07">
        <w:rPr>
          <w:i/>
        </w:rPr>
        <w:t>translatio entis</w:t>
      </w:r>
      <w:r w:rsidR="08D22D9B" w:rsidRPr="003D1E07">
        <w:rPr>
          <w:i/>
        </w:rPr>
        <w:fldChar w:fldCharType="begin"/>
      </w:r>
      <w:r w:rsidR="08D22D9B" w:rsidRPr="003D1E07">
        <w:instrText xml:space="preserve"> XE "</w:instrText>
      </w:r>
      <w:r w:rsidR="08D22D9B" w:rsidRPr="003D1E07">
        <w:rPr>
          <w:i/>
        </w:rPr>
        <w:instrText>translatio entis</w:instrText>
      </w:r>
      <w:r w:rsidR="08D22D9B" w:rsidRPr="003D1E07">
        <w:instrText xml:space="preserve">" </w:instrText>
      </w:r>
      <w:r w:rsidR="08D22D9B" w:rsidRPr="003D1E07">
        <w:rPr>
          <w:i/>
        </w:rPr>
        <w:fldChar w:fldCharType="end"/>
      </w:r>
      <w:r w:rsidR="08120817" w:rsidRPr="003D1E07">
        <w:t xml:space="preserve"> </w:t>
      </w:r>
      <w:r w:rsidR="006C0141" w:rsidRPr="003D1E07">
        <w:t xml:space="preserve">moderny </w:t>
      </w:r>
      <w:r w:rsidR="08120817" w:rsidRPr="003D1E07">
        <w:t>dané kompletně metaforicky a mytopoeticky. P</w:t>
      </w:r>
      <w:r w:rsidR="00CE57D9" w:rsidRPr="003D1E07">
        <w:t xml:space="preserve">ůvodním zdrojem </w:t>
      </w:r>
      <w:r w:rsidR="08120817" w:rsidRPr="003D1E07">
        <w:t xml:space="preserve">translace </w:t>
      </w:r>
      <w:r w:rsidR="00CE57D9" w:rsidRPr="003D1E07">
        <w:t xml:space="preserve">jsou </w:t>
      </w:r>
      <w:r w:rsidR="080C7FDB" w:rsidRPr="003D1E07">
        <w:t>věčná a neměnná</w:t>
      </w:r>
      <w:r w:rsidR="00642788" w:rsidRPr="003D1E07">
        <w:t xml:space="preserve"> </w:t>
      </w:r>
      <w:r w:rsidR="00CE57D9" w:rsidRPr="003D1E07">
        <w:t>kosm</w:t>
      </w:r>
      <w:r w:rsidR="080C7FDB" w:rsidRPr="003D1E07">
        <w:t>ická</w:t>
      </w:r>
      <w:r w:rsidR="00CE57D9" w:rsidRPr="003D1E07">
        <w:t xml:space="preserve"> </w:t>
      </w:r>
      <w:r w:rsidR="00F214C5" w:rsidRPr="003D1E07">
        <w:t>species</w:t>
      </w:r>
      <w:r w:rsidR="080C7FDB" w:rsidRPr="003D1E07">
        <w:t xml:space="preserve"> oddělená</w:t>
      </w:r>
      <w:r w:rsidR="00CE57D9" w:rsidRPr="003D1E07">
        <w:t xml:space="preserve"> </w:t>
      </w:r>
      <w:r w:rsidR="0011615F" w:rsidRPr="003D1E07">
        <w:t>nemateriální „ex</w:t>
      </w:r>
      <w:r w:rsidR="009527B6">
        <w:t>s</w:t>
      </w:r>
      <w:r w:rsidR="0011615F" w:rsidRPr="003D1E07">
        <w:t xml:space="preserve">istencí“ </w:t>
      </w:r>
      <w:r w:rsidR="00CE57D9" w:rsidRPr="003D1E07">
        <w:t>od hylemorfické první substance. Přenesení významu z</w:t>
      </w:r>
      <w:r w:rsidR="00FD25FF" w:rsidRPr="003D1E07">
        <w:t>e</w:t>
      </w:r>
      <w:r w:rsidR="00CE57D9" w:rsidRPr="003D1E07">
        <w:t xml:space="preserve"> </w:t>
      </w:r>
      <w:r w:rsidR="00FD25FF" w:rsidRPr="003D1E07">
        <w:t xml:space="preserve">druhé </w:t>
      </w:r>
      <w:r w:rsidR="00CE57D9" w:rsidRPr="003D1E07">
        <w:t xml:space="preserve">substance na </w:t>
      </w:r>
      <w:r w:rsidR="00FD25FF" w:rsidRPr="003D1E07">
        <w:t xml:space="preserve">první </w:t>
      </w:r>
      <w:r w:rsidR="00CE57D9" w:rsidRPr="003D1E07">
        <w:t xml:space="preserve">a její proměna na jsoucno třetího druhu v rámci </w:t>
      </w:r>
      <w:r w:rsidR="00F47915" w:rsidRPr="003D1E07">
        <w:t xml:space="preserve">neoplatonské </w:t>
      </w:r>
      <w:r w:rsidR="00F214C5" w:rsidRPr="003D1E07">
        <w:t>species</w:t>
      </w:r>
      <w:r w:rsidR="00CE57D9" w:rsidRPr="003D1E07">
        <w:t xml:space="preserve"> zakládá dobrodružství západní objektivity</w:t>
      </w:r>
      <w:r w:rsidR="089D1EC4" w:rsidRPr="003D1E07">
        <w:t xml:space="preserve"> v modu epochální </w:t>
      </w:r>
      <w:r w:rsidR="089D1EC4" w:rsidRPr="003D1E07">
        <w:rPr>
          <w:i/>
        </w:rPr>
        <w:t>Irre</w:t>
      </w:r>
      <w:r w:rsidR="089D1EC4" w:rsidRPr="003D1E07">
        <w:rPr>
          <w:i/>
        </w:rPr>
        <w:fldChar w:fldCharType="begin"/>
      </w:r>
      <w:r w:rsidR="089D1EC4" w:rsidRPr="003D1E07">
        <w:instrText xml:space="preserve"> XE "</w:instrText>
      </w:r>
      <w:r w:rsidR="089D1EC4" w:rsidRPr="003D1E07">
        <w:rPr>
          <w:i/>
        </w:rPr>
        <w:instrText>Irre</w:instrText>
      </w:r>
      <w:r w:rsidR="089D1EC4" w:rsidRPr="003D1E07">
        <w:instrText xml:space="preserve">" </w:instrText>
      </w:r>
      <w:r w:rsidR="089D1EC4" w:rsidRPr="003D1E07">
        <w:rPr>
          <w:i/>
        </w:rPr>
        <w:fldChar w:fldCharType="end"/>
      </w:r>
      <w:r w:rsidR="004B4DEE" w:rsidRPr="003D1E07">
        <w:t>.</w:t>
      </w:r>
      <w:r w:rsidR="08120817" w:rsidRPr="003D1E07">
        <w:t xml:space="preserve"> </w:t>
      </w:r>
      <w:r w:rsidR="08151F34" w:rsidRPr="003D1E07">
        <w:t xml:space="preserve">Myslitel </w:t>
      </w:r>
      <w:r w:rsidR="088A77D6" w:rsidRPr="003D1E07">
        <w:t xml:space="preserve">z Kylíkie </w:t>
      </w:r>
      <w:r w:rsidR="009E33B0" w:rsidRPr="003D1E07">
        <w:t xml:space="preserve">obdivující božského muže Jamblicha </w:t>
      </w:r>
      <w:r w:rsidR="08934C64" w:rsidRPr="003D1E07">
        <w:t xml:space="preserve">jde </w:t>
      </w:r>
      <w:r w:rsidR="009E33B0" w:rsidRPr="003D1E07">
        <w:t xml:space="preserve">v jeho stopách </w:t>
      </w:r>
      <w:r w:rsidR="08934C64" w:rsidRPr="003D1E07">
        <w:t xml:space="preserve">a vytváří </w:t>
      </w:r>
      <w:r w:rsidR="009E33B0" w:rsidRPr="003D1E07">
        <w:t xml:space="preserve">novou kosmologii a nový metafyzický rozvrh celku jsoucna. Jamblichův mystický náhled </w:t>
      </w:r>
      <w:r w:rsidR="00E51638" w:rsidRPr="003D1E07">
        <w:t>na Jedno</w:t>
      </w:r>
      <w:r w:rsidR="00B27222" w:rsidRPr="003D1E07">
        <w:t xml:space="preserve"> </w:t>
      </w:r>
      <w:r w:rsidR="08672D0A" w:rsidRPr="003D1E07">
        <w:t xml:space="preserve">zamění Simplikius </w:t>
      </w:r>
      <w:r w:rsidR="009E33B0" w:rsidRPr="003D1E07">
        <w:t>na kategoriální predikaci</w:t>
      </w:r>
      <w:r w:rsidR="00B27222" w:rsidRPr="003D1E07">
        <w:t xml:space="preserve"> směrem k</w:t>
      </w:r>
      <w:r w:rsidR="005A7E11">
        <w:t> </w:t>
      </w:r>
      <w:r w:rsidR="00B27222" w:rsidRPr="003D1E07">
        <w:t>Jednomu</w:t>
      </w:r>
      <w:r w:rsidR="005A7E11">
        <w:t xml:space="preserve">. Stejnou operaci </w:t>
      </w:r>
      <w:r w:rsidR="08AE1133" w:rsidRPr="003D1E07">
        <w:t>znovu provedou</w:t>
      </w:r>
      <w:r w:rsidR="009E33B0" w:rsidRPr="003D1E07">
        <w:t xml:space="preserve"> </w:t>
      </w:r>
      <w:r w:rsidR="08AE1133" w:rsidRPr="003D1E07">
        <w:t xml:space="preserve">Gandavus a </w:t>
      </w:r>
      <w:r w:rsidR="009E33B0" w:rsidRPr="003D1E07">
        <w:t>Scotus ve škole moderních iluminátů</w:t>
      </w:r>
      <w:r w:rsidR="00990F40" w:rsidRPr="003D1E07">
        <w:fldChar w:fldCharType="begin"/>
      </w:r>
      <w:r w:rsidR="00990F40" w:rsidRPr="003D1E07">
        <w:instrText xml:space="preserve"> XE "ilumináti" </w:instrText>
      </w:r>
      <w:r w:rsidR="00990F40" w:rsidRPr="003D1E07">
        <w:fldChar w:fldCharType="end"/>
      </w:r>
      <w:r w:rsidR="009E33B0" w:rsidRPr="003D1E07">
        <w:t xml:space="preserve"> inspirovaných augustini</w:t>
      </w:r>
      <w:r w:rsidR="08AE1133" w:rsidRPr="003D1E07">
        <w:t>ánským avicennismem</w:t>
      </w:r>
      <w:r w:rsidR="0891163F" w:rsidRPr="003D1E07">
        <w:t>.</w:t>
      </w:r>
      <w:r w:rsidR="0056575A">
        <w:t xml:space="preserve"> </w:t>
      </w:r>
      <w:r w:rsidR="00D72491">
        <w:t>Modernisté jsou neukojitelní</w:t>
      </w:r>
      <w:r w:rsidR="0056575A" w:rsidRPr="004A203F">
        <w:t xml:space="preserve"> a nenasytní mystikové</w:t>
      </w:r>
      <w:r w:rsidR="0056575A">
        <w:t xml:space="preserve"> </w:t>
      </w:r>
      <w:r w:rsidR="0056575A" w:rsidRPr="00C627DA">
        <w:rPr>
          <w:i/>
        </w:rPr>
        <w:t>sui generis</w:t>
      </w:r>
      <w:r w:rsidR="0056575A" w:rsidRPr="004A203F">
        <w:t>.</w:t>
      </w:r>
      <w:r w:rsidR="0056575A">
        <w:t xml:space="preserve"> </w:t>
      </w:r>
    </w:p>
    <w:p w14:paraId="72C3EBAE" w14:textId="18F9F0E5" w:rsidR="005060EE" w:rsidRPr="003D1E07" w:rsidRDefault="08DC53C7" w:rsidP="08AA0FDF">
      <w:r w:rsidRPr="003D1E07">
        <w:tab/>
        <w:t>Simplikiova substance-těleso-</w:t>
      </w:r>
      <w:r w:rsidR="00F214C5" w:rsidRPr="003D1E07">
        <w:t>species</w:t>
      </w:r>
      <w:r w:rsidRPr="003D1E07">
        <w:t xml:space="preserve"> vytlačila Platonovu ideu z nové formy metafyziky a založila novou metafyzickou dráhu náhledu na celek jsoucna (</w:t>
      </w:r>
      <w:r w:rsidRPr="003D1E07">
        <w:rPr>
          <w:i/>
        </w:rPr>
        <w:t>Vor-blickbahn</w:t>
      </w:r>
      <w:r w:rsidRPr="003D1E07">
        <w:rPr>
          <w:i/>
        </w:rPr>
        <w:fldChar w:fldCharType="begin"/>
      </w:r>
      <w:r w:rsidRPr="003D1E07">
        <w:instrText xml:space="preserve"> XE "</w:instrText>
      </w:r>
      <w:r w:rsidRPr="003D1E07">
        <w:rPr>
          <w:i/>
        </w:rPr>
        <w:instrText>Vor-b</w:instrText>
      </w:r>
      <w:r w:rsidRPr="003D1E07">
        <w:rPr>
          <w:i/>
          <w:iCs/>
        </w:rPr>
        <w:instrText>lickbahn</w:instrText>
      </w:r>
      <w:r w:rsidRPr="003D1E07">
        <w:rPr>
          <w:iCs/>
        </w:rPr>
        <w:instrText>:Simplikius</w:instrText>
      </w:r>
      <w:r w:rsidRPr="003D1E07">
        <w:instrText xml:space="preserve">" </w:instrText>
      </w:r>
      <w:r w:rsidRPr="003D1E07">
        <w:rPr>
          <w:i/>
        </w:rPr>
        <w:fldChar w:fldCharType="end"/>
      </w:r>
      <w:r w:rsidRPr="003D1E07">
        <w:t xml:space="preserve">). </w:t>
      </w:r>
      <w:r w:rsidR="08DA7393" w:rsidRPr="003D1E07">
        <w:t xml:space="preserve">Nová predikace mění schéma poznání a provádí epochální </w:t>
      </w:r>
      <w:r w:rsidR="08DA7393" w:rsidRPr="003D1E07">
        <w:rPr>
          <w:i/>
        </w:rPr>
        <w:t>translatio studiorum</w:t>
      </w:r>
      <w:r w:rsidR="08DA7393" w:rsidRPr="003D1E07">
        <w:rPr>
          <w:i/>
        </w:rPr>
        <w:fldChar w:fldCharType="begin"/>
      </w:r>
      <w:r w:rsidR="08DA7393" w:rsidRPr="003D1E07">
        <w:instrText xml:space="preserve"> XE "</w:instrText>
      </w:r>
      <w:r w:rsidR="08DA7393" w:rsidRPr="003D1E07">
        <w:rPr>
          <w:i/>
        </w:rPr>
        <w:instrText>translatio studiorum</w:instrText>
      </w:r>
      <w:r w:rsidR="08DA7393" w:rsidRPr="003D1E07">
        <w:instrText xml:space="preserve">" </w:instrText>
      </w:r>
      <w:r w:rsidR="08DA7393" w:rsidRPr="003D1E07">
        <w:rPr>
          <w:i/>
        </w:rPr>
        <w:fldChar w:fldCharType="end"/>
      </w:r>
      <w:r w:rsidR="08DA7393" w:rsidRPr="003D1E07">
        <w:t xml:space="preserve">. </w:t>
      </w:r>
      <w:r w:rsidR="0053658B" w:rsidRPr="003D1E07">
        <w:t xml:space="preserve">Simplikiovo pojetí intelektu přebírá pojetí intelektu z komentáře k </w:t>
      </w:r>
      <w:r w:rsidR="0053658B" w:rsidRPr="003D1E07">
        <w:rPr>
          <w:i/>
        </w:rPr>
        <w:t>De anima</w:t>
      </w:r>
      <w:r w:rsidR="0053658B" w:rsidRPr="003D1E07">
        <w:t xml:space="preserve"> od Alexandra</w:t>
      </w:r>
      <w:r w:rsidR="00955903" w:rsidRPr="003D1E07">
        <w:fldChar w:fldCharType="begin"/>
      </w:r>
      <w:r w:rsidR="00955903" w:rsidRPr="003D1E07">
        <w:instrText xml:space="preserve"> XE "Alexander Afrodisias" </w:instrText>
      </w:r>
      <w:r w:rsidR="00955903" w:rsidRPr="003D1E07">
        <w:fldChar w:fldCharType="end"/>
      </w:r>
      <w:r w:rsidR="0053658B" w:rsidRPr="003D1E07">
        <w:t xml:space="preserve"> Afrodisia. </w:t>
      </w:r>
      <w:r w:rsidR="08757B68" w:rsidRPr="003D1E07">
        <w:t xml:space="preserve">Smysl jsoucna jde </w:t>
      </w:r>
      <w:r w:rsidR="08757B68" w:rsidRPr="003D1E07">
        <w:lastRenderedPageBreak/>
        <w:t xml:space="preserve">od </w:t>
      </w:r>
      <w:r w:rsidR="005060EE" w:rsidRPr="003D1E07">
        <w:t xml:space="preserve">aktivního a odděleného intelektu, na němž </w:t>
      </w:r>
      <w:r w:rsidR="086A367A" w:rsidRPr="003D1E07">
        <w:t xml:space="preserve">participuje </w:t>
      </w:r>
      <w:r w:rsidR="00C01E5C" w:rsidRPr="003D1E07">
        <w:t>lidská duše.</w:t>
      </w:r>
      <w:r w:rsidR="00BF2D33" w:rsidRPr="003D1E07">
        <w:t xml:space="preserve"> </w:t>
      </w:r>
      <w:r w:rsidR="00B426EB" w:rsidRPr="003D1E07">
        <w:t xml:space="preserve">Simplikius má </w:t>
      </w:r>
      <w:r w:rsidR="00874074" w:rsidRPr="003D1E07">
        <w:t>neoplatonsk</w:t>
      </w:r>
      <w:r w:rsidR="00B426EB" w:rsidRPr="003D1E07">
        <w:t>ý a gnostický scénář poznání</w:t>
      </w:r>
      <w:r w:rsidR="000E4302" w:rsidRPr="003D1E07">
        <w:t xml:space="preserve">. Jsoucno je nasvíceno </w:t>
      </w:r>
      <w:r w:rsidR="00B426EB" w:rsidRPr="003D1E07">
        <w:t xml:space="preserve">zezadu, od subsistentních </w:t>
      </w:r>
      <w:r w:rsidR="000E4302" w:rsidRPr="003D1E07">
        <w:t xml:space="preserve">a věčných </w:t>
      </w:r>
      <w:r w:rsidR="00B426EB" w:rsidRPr="003D1E07">
        <w:t xml:space="preserve">forem. Duše upadá do materiálního světa a její hylické poznání se snaží dosáhnout alespoň částečné jednoty s </w:t>
      </w:r>
      <w:r w:rsidR="00054222" w:rsidRPr="003D1E07">
        <w:t xml:space="preserve">odděleným </w:t>
      </w:r>
      <w:r w:rsidR="00B426EB" w:rsidRPr="003D1E07">
        <w:t>Jedním. Intelekt osvícený vyšším světem diakosmu projektuje inteligibilní obsahy směrem k </w:t>
      </w:r>
      <w:r w:rsidR="083B7189" w:rsidRPr="003D1E07">
        <w:t>mate</w:t>
      </w:r>
      <w:r w:rsidR="08402D01" w:rsidRPr="003D1E07">
        <w:t>r</w:t>
      </w:r>
      <w:r w:rsidR="083B7189" w:rsidRPr="003D1E07">
        <w:t>i</w:t>
      </w:r>
      <w:r w:rsidR="08402D01" w:rsidRPr="003D1E07">
        <w:t xml:space="preserve">álním </w:t>
      </w:r>
      <w:r w:rsidR="00B426EB" w:rsidRPr="003D1E07">
        <w:t>věcem. Poznání první substance</w:t>
      </w:r>
      <w:r w:rsidR="00A70FA4" w:rsidRPr="003D1E07">
        <w:fldChar w:fldCharType="begin"/>
      </w:r>
      <w:r w:rsidR="00A70FA4" w:rsidRPr="003D1E07">
        <w:instrText xml:space="preserve"> XE "substance</w:instrText>
      </w:r>
      <w:r w:rsidR="00B40981" w:rsidRPr="003D1E07">
        <w:instrText>:zatmění</w:instrText>
      </w:r>
      <w:r w:rsidR="00A70FA4" w:rsidRPr="003D1E07">
        <w:instrText xml:space="preserve">" </w:instrText>
      </w:r>
      <w:r w:rsidR="00A70FA4" w:rsidRPr="003D1E07">
        <w:fldChar w:fldCharType="end"/>
      </w:r>
      <w:r w:rsidR="00B426EB" w:rsidRPr="003D1E07">
        <w:t xml:space="preserve"> v realitě se stalo pouhou projekcí a sekundární vlastností původního spojení</w:t>
      </w:r>
      <w:r w:rsidR="08DA672A" w:rsidRPr="003D1E07">
        <w:t xml:space="preserve"> inte</w:t>
      </w:r>
      <w:r w:rsidR="00DF135F" w:rsidRPr="003D1E07">
        <w:t>l</w:t>
      </w:r>
      <w:r w:rsidR="08DA672A" w:rsidRPr="003D1E07">
        <w:t>e</w:t>
      </w:r>
      <w:r w:rsidR="00DF135F" w:rsidRPr="003D1E07">
        <w:t>ktu se světem oddělených kosmických forem a inteligencí</w:t>
      </w:r>
      <w:r w:rsidR="00B426EB" w:rsidRPr="003D1E07">
        <w:t>.</w:t>
      </w:r>
      <w:r w:rsidR="00DF135F" w:rsidRPr="003D1E07">
        <w:t xml:space="preserve"> Systém </w:t>
      </w:r>
      <w:r w:rsidR="00874074" w:rsidRPr="003D1E07">
        <w:t>neoplatonsk</w:t>
      </w:r>
      <w:r w:rsidR="00DF135F" w:rsidRPr="003D1E07">
        <w:t>ého nasvícení jsoucna zezadu ukazuje,</w:t>
      </w:r>
      <w:r w:rsidR="00226293" w:rsidRPr="003D1E07">
        <w:t xml:space="preserve"> </w:t>
      </w:r>
      <w:r w:rsidR="00DF135F" w:rsidRPr="003D1E07">
        <w:t>že m</w:t>
      </w:r>
      <w:r w:rsidR="00E51638" w:rsidRPr="003D1E07">
        <w:t xml:space="preserve">ysl a </w:t>
      </w:r>
      <w:r w:rsidR="00226293" w:rsidRPr="003D1E07">
        <w:t>poznaný předmět j</w:t>
      </w:r>
      <w:r w:rsidR="00E51638" w:rsidRPr="003D1E07">
        <w:t xml:space="preserve">sou </w:t>
      </w:r>
      <w:r w:rsidR="08884EE1" w:rsidRPr="003D1E07">
        <w:t xml:space="preserve">spojeny </w:t>
      </w:r>
      <w:r w:rsidR="00226293" w:rsidRPr="003D1E07">
        <w:t>přímo</w:t>
      </w:r>
      <w:r w:rsidR="08884EE1" w:rsidRPr="003D1E07">
        <w:t>. Pak je jasné, že te</w:t>
      </w:r>
      <w:r w:rsidR="08C46640" w:rsidRPr="003D1E07">
        <w:t>nto model poznání daný nasvícení</w:t>
      </w:r>
      <w:r w:rsidR="08884EE1" w:rsidRPr="003D1E07">
        <w:t>m sm</w:t>
      </w:r>
      <w:r w:rsidR="08C46640" w:rsidRPr="003D1E07">
        <w:t>yslu jso</w:t>
      </w:r>
      <w:r w:rsidR="08884EE1" w:rsidRPr="003D1E07">
        <w:t>u</w:t>
      </w:r>
      <w:r w:rsidR="08C46640" w:rsidRPr="003D1E07">
        <w:t>c</w:t>
      </w:r>
      <w:r w:rsidR="08884EE1" w:rsidRPr="003D1E07">
        <w:t>na zezadu nepotřebuje žádnou mediaci, ani smyslovou ani rozumovou</w:t>
      </w:r>
      <w:r w:rsidR="00DF135F" w:rsidRPr="003D1E07">
        <w:t xml:space="preserve">. </w:t>
      </w:r>
      <w:r w:rsidR="08333067" w:rsidRPr="003D1E07">
        <w:t xml:space="preserve">Afrodisiovo a tím i Simplikiovo </w:t>
      </w:r>
      <w:r w:rsidR="08515538" w:rsidRPr="003D1E07">
        <w:t xml:space="preserve">pojetí hypostázovaného </w:t>
      </w:r>
      <w:r w:rsidR="08333067" w:rsidRPr="003D1E07">
        <w:t xml:space="preserve">a odděleného </w:t>
      </w:r>
      <w:r w:rsidR="08333067" w:rsidRPr="003D1E07">
        <w:rPr>
          <w:i/>
        </w:rPr>
        <w:t>intellectus agens</w:t>
      </w:r>
      <w:r w:rsidR="08333067" w:rsidRPr="003D1E07">
        <w:t xml:space="preserve"> </w:t>
      </w:r>
      <w:r w:rsidR="082260D4" w:rsidRPr="003D1E07">
        <w:t>působíc</w:t>
      </w:r>
      <w:r w:rsidR="08333067" w:rsidRPr="003D1E07">
        <w:t>ího zvějšku na naše poznání o</w:t>
      </w:r>
      <w:r w:rsidR="08515538" w:rsidRPr="003D1E07">
        <w:t xml:space="preserve">dmítne </w:t>
      </w:r>
      <w:r w:rsidR="08EF4110" w:rsidRPr="003D1E07">
        <w:t xml:space="preserve">částečně Al-Fárábí a kompletně </w:t>
      </w:r>
      <w:r w:rsidR="08515538" w:rsidRPr="003D1E07">
        <w:t xml:space="preserve">až Averroesův velký komentář k </w:t>
      </w:r>
      <w:r w:rsidR="08515538" w:rsidRPr="003D1E07">
        <w:rPr>
          <w:i/>
        </w:rPr>
        <w:t>De anima</w:t>
      </w:r>
      <w:r w:rsidR="00C84A9E" w:rsidRPr="003D1E07">
        <w:rPr>
          <w:i/>
        </w:rPr>
        <w:t xml:space="preserve"> </w:t>
      </w:r>
      <w:r w:rsidR="00C84A9E" w:rsidRPr="003D1E07">
        <w:t>(CMDA)</w:t>
      </w:r>
      <w:r w:rsidR="08515538" w:rsidRPr="003D1E07">
        <w:t xml:space="preserve">. </w:t>
      </w:r>
      <w:r w:rsidR="00CA612E" w:rsidRPr="003D1E07">
        <w:t>O</w:t>
      </w:r>
      <w:r w:rsidR="00226293" w:rsidRPr="003D1E07">
        <w:t xml:space="preserve">svícená mysl ilumináta </w:t>
      </w:r>
      <w:r w:rsidR="00DF135F" w:rsidRPr="003D1E07">
        <w:t>bezprostředně participuje na oddělené subsistentní formě</w:t>
      </w:r>
      <w:r w:rsidR="00226293" w:rsidRPr="003D1E07">
        <w:t xml:space="preserve"> díky mystickému náhledu </w:t>
      </w:r>
      <w:r w:rsidR="00CA612E" w:rsidRPr="003D1E07">
        <w:t>na substanci-</w:t>
      </w:r>
      <w:r w:rsidR="00F214C5" w:rsidRPr="003D1E07">
        <w:t>species</w:t>
      </w:r>
      <w:r w:rsidR="00CA612E" w:rsidRPr="003D1E07">
        <w:fldChar w:fldCharType="begin"/>
      </w:r>
      <w:r w:rsidR="00CA612E" w:rsidRPr="003D1E07">
        <w:instrText xml:space="preserve"> XE "náhled:eidetický" </w:instrText>
      </w:r>
      <w:r w:rsidR="00CA612E" w:rsidRPr="003D1E07">
        <w:fldChar w:fldCharType="end"/>
      </w:r>
      <w:r w:rsidR="00E51638" w:rsidRPr="003D1E07">
        <w:t xml:space="preserve">. </w:t>
      </w:r>
      <w:r w:rsidR="081E2677" w:rsidRPr="003D1E07">
        <w:t>Poznání reality probíhá skrze nezávislý výkon intelektu, který jde z pravé vlasti do materiální reality světa.</w:t>
      </w:r>
      <w:r w:rsidR="08883F8D" w:rsidRPr="003D1E07">
        <w:t xml:space="preserve"> Simplikiu</w:t>
      </w:r>
      <w:r w:rsidR="083037A7" w:rsidRPr="003D1E07">
        <w:t xml:space="preserve">s odmítl pro poznání </w:t>
      </w:r>
      <w:r w:rsidR="083037A7" w:rsidRPr="003D1E07">
        <w:rPr>
          <w:i/>
        </w:rPr>
        <w:t>per prius</w:t>
      </w:r>
      <w:r w:rsidR="083037A7" w:rsidRPr="003D1E07">
        <w:t xml:space="preserve"> aristotelskou determinaci intelektu skrze smysly a zrušil impozici významu od aktuálních prvních substancí. Základem poznávací intence je </w:t>
      </w:r>
      <w:r w:rsidR="08175ED7" w:rsidRPr="003D1E07">
        <w:t xml:space="preserve">mytopoetické osvícení mysli </w:t>
      </w:r>
      <w:r w:rsidR="083037A7" w:rsidRPr="003D1E07">
        <w:t>od vyšších forem intelektu, které existují jako plně subsistentní jsoucna.</w:t>
      </w:r>
      <w:r w:rsidR="08175ED7" w:rsidRPr="003D1E07">
        <w:t xml:space="preserve"> Následující citát ukazuje první objektivní vidění světa v modu </w:t>
      </w:r>
      <w:r w:rsidR="0870780D" w:rsidRPr="003D1E07">
        <w:t xml:space="preserve">moderního existenciálního </w:t>
      </w:r>
      <w:r w:rsidR="08175ED7" w:rsidRPr="003D1E07">
        <w:t xml:space="preserve">odcizení. </w:t>
      </w:r>
      <w:r w:rsidR="081C17C2" w:rsidRPr="003D1E07">
        <w:t xml:space="preserve">Elegicky </w:t>
      </w:r>
      <w:r w:rsidR="08175ED7" w:rsidRPr="003D1E07">
        <w:t xml:space="preserve">naladěná duše moderního ilumináta nazírá univoční a objektivně homogenní celek jsoucen z perspektivy </w:t>
      </w:r>
      <w:r w:rsidR="08F45086" w:rsidRPr="003D1E07">
        <w:t>neexistují</w:t>
      </w:r>
      <w:r w:rsidR="08024BFD" w:rsidRPr="003D1E07">
        <w:t>cí</w:t>
      </w:r>
      <w:r w:rsidR="08F45086" w:rsidRPr="003D1E07">
        <w:t xml:space="preserve">ch </w:t>
      </w:r>
      <w:r w:rsidR="08175ED7" w:rsidRPr="003D1E07">
        <w:t>kosmických inteligibilních forem-</w:t>
      </w:r>
      <w:r w:rsidR="00F214C5" w:rsidRPr="003D1E07">
        <w:t>species</w:t>
      </w:r>
      <w:r w:rsidR="08175ED7" w:rsidRPr="003D1E07">
        <w:t>.</w:t>
      </w:r>
      <w:r w:rsidR="08F45086" w:rsidRPr="003D1E07">
        <w:t xml:space="preserve"> </w:t>
      </w:r>
      <w:r w:rsidR="08633377" w:rsidRPr="003D1E07">
        <w:t>Tím vzniká nová forma</w:t>
      </w:r>
      <w:r w:rsidR="08511FB4" w:rsidRPr="003D1E07">
        <w:t xml:space="preserve"> akademického mýtu o tragické odyseji </w:t>
      </w:r>
      <w:r w:rsidR="08633377" w:rsidRPr="003D1E07">
        <w:t xml:space="preserve">moderního </w:t>
      </w:r>
      <w:r w:rsidR="08511FB4" w:rsidRPr="003D1E07">
        <w:t>ducha</w:t>
      </w:r>
      <w:r w:rsidR="08041F84" w:rsidRPr="003D1E07">
        <w:t>, kterou zopakuje Bonave</w:t>
      </w:r>
      <w:r w:rsidR="0806312E" w:rsidRPr="003D1E07">
        <w:t>n</w:t>
      </w:r>
      <w:r w:rsidR="08041F84" w:rsidRPr="003D1E07">
        <w:t>tura</w:t>
      </w:r>
      <w:r w:rsidR="00022B3D" w:rsidRPr="003D1E07">
        <w:t xml:space="preserve"> a pak </w:t>
      </w:r>
      <w:r w:rsidR="00B40374" w:rsidRPr="003D1E07">
        <w:t>H</w:t>
      </w:r>
      <w:r w:rsidR="08041F84" w:rsidRPr="003D1E07">
        <w:t>egel</w:t>
      </w:r>
      <w:r w:rsidR="08511FB4" w:rsidRPr="003D1E07">
        <w:t>.</w:t>
      </w:r>
      <w:r w:rsidR="081C17C2" w:rsidRPr="003D1E07">
        <w:t xml:space="preserve"> Není divu, že toto </w:t>
      </w:r>
      <w:r w:rsidR="08BA095C" w:rsidRPr="003D1E07">
        <w:t xml:space="preserve">nejvyšší </w:t>
      </w:r>
      <w:r w:rsidR="081C17C2" w:rsidRPr="003D1E07">
        <w:t xml:space="preserve">spojení </w:t>
      </w:r>
      <w:r w:rsidR="08BA095C" w:rsidRPr="003D1E07">
        <w:t xml:space="preserve">těla s duchem </w:t>
      </w:r>
      <w:r w:rsidR="081C17C2" w:rsidRPr="003D1E07">
        <w:t xml:space="preserve">nemůže schizofrenická mysl </w:t>
      </w:r>
      <w:r w:rsidR="081C17C2" w:rsidRPr="003D1E07">
        <w:rPr>
          <w:i/>
        </w:rPr>
        <w:t>Modernorum</w:t>
      </w:r>
      <w:r w:rsidR="081C17C2" w:rsidRPr="003D1E07">
        <w:t xml:space="preserve"> nikdy uskutečnit.</w:t>
      </w:r>
    </w:p>
    <w:p w14:paraId="61356C6B" w14:textId="795D3FA3" w:rsidR="080E0BBF" w:rsidRPr="003D1E07" w:rsidRDefault="005060EE" w:rsidP="080E0BBF">
      <w:pPr>
        <w:pStyle w:val="Citace"/>
        <w:rPr>
          <w:rFonts w:ascii="Times New Roman" w:hAnsi="Times New Roman"/>
          <w:noProof/>
          <w:szCs w:val="24"/>
          <w:lang w:val="cs-CZ"/>
        </w:rPr>
      </w:pPr>
      <w:r w:rsidRPr="003D1E07">
        <w:rPr>
          <w:noProof/>
          <w:lang w:val="cs-CZ"/>
        </w:rPr>
        <w:t>„</w:t>
      </w:r>
      <w:r w:rsidR="002D4EA8" w:rsidRPr="003D1E07">
        <w:rPr>
          <w:noProof/>
          <w:lang w:val="cs-CZ"/>
        </w:rPr>
        <w:t xml:space="preserve">Jakmile duše odtamtud </w:t>
      </w:r>
      <w:r w:rsidR="000D2562" w:rsidRPr="009A6AF5">
        <w:rPr>
          <w:lang w:val="en-US"/>
        </w:rPr>
        <w:t>[</w:t>
      </w:r>
      <w:r w:rsidR="000D2562">
        <w:rPr>
          <w:lang w:val="en-US"/>
        </w:rPr>
        <w:t>tj. z inteligibilního světa</w:t>
      </w:r>
      <w:r w:rsidR="000D2562" w:rsidRPr="009A6AF5">
        <w:rPr>
          <w:lang w:val="en-US"/>
        </w:rPr>
        <w:t>]</w:t>
      </w:r>
      <w:r w:rsidR="000D2562">
        <w:rPr>
          <w:lang w:val="en-US"/>
        </w:rPr>
        <w:t xml:space="preserve"> </w:t>
      </w:r>
      <w:r w:rsidR="002D4EA8" w:rsidRPr="003D1E07">
        <w:rPr>
          <w:noProof/>
          <w:lang w:val="cs-CZ"/>
        </w:rPr>
        <w:t>odešla</w:t>
      </w:r>
      <w:r w:rsidR="08975125" w:rsidRPr="003D1E07">
        <w:rPr>
          <w:noProof/>
          <w:lang w:val="cs-CZ"/>
        </w:rPr>
        <w:t xml:space="preserve">, </w:t>
      </w:r>
      <w:r w:rsidR="080E0BBF" w:rsidRPr="003D1E07">
        <w:rPr>
          <w:noProof/>
          <w:lang w:val="cs-CZ"/>
        </w:rPr>
        <w:t xml:space="preserve">tím se také oddělily obecné </w:t>
      </w:r>
      <w:r w:rsidR="089D5A33" w:rsidRPr="003D1E07">
        <w:rPr>
          <w:noProof/>
          <w:lang w:val="cs-CZ"/>
        </w:rPr>
        <w:t xml:space="preserve">významy </w:t>
      </w:r>
      <w:r w:rsidR="080E0BBF" w:rsidRPr="003D1E07">
        <w:rPr>
          <w:noProof/>
          <w:lang w:val="cs-CZ"/>
        </w:rPr>
        <w:t xml:space="preserve">v duši (τοὺς ἐν αὐτῇ λόγους) </w:t>
      </w:r>
      <w:r w:rsidR="089D5A33" w:rsidRPr="003D1E07">
        <w:rPr>
          <w:noProof/>
          <w:lang w:val="cs-CZ"/>
        </w:rPr>
        <w:t>od jejich původního bytí (τῶν ὄντων χωρίσασα)</w:t>
      </w:r>
      <w:r w:rsidR="080E0BBF" w:rsidRPr="003D1E07">
        <w:rPr>
          <w:noProof/>
          <w:lang w:val="cs-CZ"/>
        </w:rPr>
        <w:t xml:space="preserve">. Duše je proměnila v imaga místo původních prototypů (εἰκόνας αὐτοὺς ἀντὶ τῶν πρωτοτύπων), a tím zavedla </w:t>
      </w:r>
      <w:r w:rsidR="00DC1AAB" w:rsidRPr="003D1E07">
        <w:rPr>
          <w:noProof/>
          <w:lang w:val="cs-CZ"/>
        </w:rPr>
        <w:t xml:space="preserve">odstup </w:t>
      </w:r>
      <w:r w:rsidR="080E0BBF" w:rsidRPr="003D1E07">
        <w:rPr>
          <w:noProof/>
          <w:lang w:val="cs-CZ"/>
        </w:rPr>
        <w:t xml:space="preserve">intelektu </w:t>
      </w:r>
      <w:r w:rsidR="00DC1AAB" w:rsidRPr="003D1E07">
        <w:rPr>
          <w:noProof/>
          <w:lang w:val="cs-CZ"/>
        </w:rPr>
        <w:t xml:space="preserve">od </w:t>
      </w:r>
      <w:r w:rsidR="080E0BBF" w:rsidRPr="003D1E07">
        <w:rPr>
          <w:noProof/>
          <w:lang w:val="cs-CZ"/>
        </w:rPr>
        <w:t>reálný</w:t>
      </w:r>
      <w:r w:rsidR="00DC1AAB" w:rsidRPr="003D1E07">
        <w:rPr>
          <w:noProof/>
          <w:lang w:val="cs-CZ"/>
        </w:rPr>
        <w:t>ch</w:t>
      </w:r>
      <w:r w:rsidR="080E0BBF" w:rsidRPr="003D1E07">
        <w:rPr>
          <w:noProof/>
          <w:lang w:val="cs-CZ"/>
        </w:rPr>
        <w:t xml:space="preserve"> věc</w:t>
      </w:r>
      <w:r w:rsidR="00DC1AAB" w:rsidRPr="003D1E07">
        <w:rPr>
          <w:noProof/>
          <w:lang w:val="cs-CZ"/>
        </w:rPr>
        <w:t>í</w:t>
      </w:r>
      <w:r w:rsidR="080E0BBF" w:rsidRPr="003D1E07">
        <w:rPr>
          <w:noProof/>
          <w:lang w:val="cs-CZ"/>
        </w:rPr>
        <w:t xml:space="preserve"> (διέστησεν τὴν νόησιν ἀπὸ τῶν πραγμάτων). </w:t>
      </w:r>
      <w:r w:rsidR="00D33788" w:rsidRPr="003D1E07">
        <w:rPr>
          <w:noProof/>
          <w:lang w:val="cs-CZ"/>
        </w:rPr>
        <w:t xml:space="preserve">Toto platí tím více, čím více </w:t>
      </w:r>
      <w:r w:rsidR="080E0BBF" w:rsidRPr="003D1E07">
        <w:rPr>
          <w:noProof/>
          <w:lang w:val="cs-CZ"/>
        </w:rPr>
        <w:t xml:space="preserve">se duše vzdaluje od původní podobnosti s </w:t>
      </w:r>
      <w:r w:rsidR="08EB4D88" w:rsidRPr="003D1E07">
        <w:rPr>
          <w:noProof/>
          <w:lang w:val="cs-CZ"/>
        </w:rPr>
        <w:t>i</w:t>
      </w:r>
      <w:r w:rsidR="080E0BBF" w:rsidRPr="003D1E07">
        <w:rPr>
          <w:noProof/>
          <w:lang w:val="cs-CZ"/>
        </w:rPr>
        <w:t xml:space="preserve">ntelektem (τῆς πρὸς τὸν νοῦν ὁμοιότητος ἀπέστη). Pak je </w:t>
      </w:r>
      <w:r w:rsidR="005803D7" w:rsidRPr="003D1E07">
        <w:rPr>
          <w:noProof/>
          <w:lang w:val="cs-CZ"/>
        </w:rPr>
        <w:t xml:space="preserve">duše </w:t>
      </w:r>
      <w:r w:rsidR="080E0BBF" w:rsidRPr="003D1E07">
        <w:rPr>
          <w:noProof/>
          <w:lang w:val="cs-CZ"/>
        </w:rPr>
        <w:lastRenderedPageBreak/>
        <w:t>ráda, že může aspoň předkládat myšlenkové obsahy (προβάλλεσθαι τὰ νοήματα), které směřují k</w:t>
      </w:r>
      <w:r w:rsidR="000E45D4">
        <w:rPr>
          <w:noProof/>
          <w:lang w:val="cs-CZ"/>
        </w:rPr>
        <w:t xml:space="preserve"> normálním </w:t>
      </w:r>
      <w:r w:rsidR="080E0BBF" w:rsidRPr="003D1E07">
        <w:rPr>
          <w:noProof/>
          <w:lang w:val="cs-CZ"/>
        </w:rPr>
        <w:t>věcem (τοῖς πράγμασιν).</w:t>
      </w:r>
      <w:r w:rsidR="005819F9" w:rsidRPr="003D1E07">
        <w:rPr>
          <w:noProof/>
          <w:lang w:val="cs-CZ"/>
        </w:rPr>
        <w:t>“ </w:t>
      </w:r>
      <w:r w:rsidR="080E0BBF" w:rsidRPr="003D1E07">
        <w:rPr>
          <w:rStyle w:val="Znakapoznpodarou"/>
          <w:noProof/>
          <w:lang w:val="cs-CZ"/>
        </w:rPr>
        <w:footnoteReference w:id="60"/>
      </w:r>
      <w:r w:rsidR="080E0BBF" w:rsidRPr="003D1E07">
        <w:rPr>
          <w:noProof/>
          <w:lang w:val="cs-CZ"/>
        </w:rPr>
        <w:t xml:space="preserve"> </w:t>
      </w:r>
    </w:p>
    <w:p w14:paraId="598D2899" w14:textId="36C3F20E" w:rsidR="004B1B1E" w:rsidRPr="00C67A3F" w:rsidRDefault="085D50B1" w:rsidP="00684365">
      <w:pPr>
        <w:rPr>
          <w:rStyle w:val="addmd"/>
        </w:rPr>
      </w:pPr>
      <w:r w:rsidRPr="003D1E07">
        <w:t xml:space="preserve">Citace </w:t>
      </w:r>
      <w:r w:rsidRPr="003D1E07">
        <w:rPr>
          <w:iCs/>
        </w:rPr>
        <w:t xml:space="preserve">ukazuje </w:t>
      </w:r>
      <w:r w:rsidR="08BE3FD7" w:rsidRPr="003D1E07">
        <w:rPr>
          <w:iCs/>
        </w:rPr>
        <w:t xml:space="preserve">předchůdnou </w:t>
      </w:r>
      <w:r w:rsidRPr="003D1E07">
        <w:rPr>
          <w:iCs/>
        </w:rPr>
        <w:t>dráhu náhledu na smysl jsoucna</w:t>
      </w:r>
      <w:r w:rsidR="00344970">
        <w:rPr>
          <w:iCs/>
        </w:rPr>
        <w:t xml:space="preserve"> (</w:t>
      </w:r>
      <w:r w:rsidR="00344970" w:rsidRPr="00344970">
        <w:rPr>
          <w:i/>
          <w:iCs/>
        </w:rPr>
        <w:t>Bezugssinn</w:t>
      </w:r>
      <w:r w:rsidR="00344970">
        <w:rPr>
          <w:i/>
          <w:iCs/>
        </w:rPr>
        <w:fldChar w:fldCharType="begin"/>
      </w:r>
      <w:r w:rsidR="00344970">
        <w:instrText xml:space="preserve"> XE "</w:instrText>
      </w:r>
      <w:r w:rsidR="00344970" w:rsidRPr="00723241">
        <w:rPr>
          <w:i/>
          <w:iCs/>
        </w:rPr>
        <w:instrText>Bezugssinn</w:instrText>
      </w:r>
      <w:r w:rsidR="00344970">
        <w:instrText xml:space="preserve">" </w:instrText>
      </w:r>
      <w:r w:rsidR="00344970">
        <w:rPr>
          <w:i/>
          <w:iCs/>
        </w:rPr>
        <w:fldChar w:fldCharType="end"/>
      </w:r>
      <w:r w:rsidR="00344970">
        <w:rPr>
          <w:iCs/>
        </w:rPr>
        <w:t>)</w:t>
      </w:r>
      <w:r w:rsidRPr="003D1E07">
        <w:rPr>
          <w:iCs/>
        </w:rPr>
        <w:t xml:space="preserve">, která </w:t>
      </w:r>
      <w:r w:rsidR="001552B0">
        <w:rPr>
          <w:iCs/>
        </w:rPr>
        <w:t>začíná ve světě a</w:t>
      </w:r>
      <w:r w:rsidRPr="003D1E07">
        <w:rPr>
          <w:iCs/>
        </w:rPr>
        <w:t>uto</w:t>
      </w:r>
      <w:r w:rsidR="08BE3FD7" w:rsidRPr="003D1E07">
        <w:rPr>
          <w:iCs/>
        </w:rPr>
        <w:t>no</w:t>
      </w:r>
      <w:r w:rsidRPr="003D1E07">
        <w:rPr>
          <w:iCs/>
        </w:rPr>
        <w:t xml:space="preserve">mních intelektuálních forem. </w:t>
      </w:r>
      <w:r w:rsidR="083B1842" w:rsidRPr="003D1E07">
        <w:t xml:space="preserve">Duše primárně existuje v modu odcizení vzhledem k materiálnímu světu (διέστησεν τὴν νόησιν ἀπὸ τῶν πραγμάτων). </w:t>
      </w:r>
      <w:r w:rsidR="00D77E6F">
        <w:t>Tato „diastáze“</w:t>
      </w:r>
      <w:r w:rsidR="00D77E6F" w:rsidRPr="00D77E6F">
        <w:t xml:space="preserve"> mezi my</w:t>
      </w:r>
      <w:r w:rsidR="00D77E6F">
        <w:t>šlením a realitou definuje epochu</w:t>
      </w:r>
      <w:r w:rsidR="00D77E6F" w:rsidRPr="00D77E6F">
        <w:t xml:space="preserve"> současného antropocénu.</w:t>
      </w:r>
      <w:r w:rsidR="00D77E6F">
        <w:t xml:space="preserve"> </w:t>
      </w:r>
      <w:r w:rsidR="00BF2679" w:rsidRPr="003D1E07">
        <w:t>Noemata</w:t>
      </w:r>
      <w:r w:rsidR="003B4FA7" w:rsidRPr="003D1E07">
        <w:fldChar w:fldCharType="begin"/>
      </w:r>
      <w:r w:rsidR="003B4FA7" w:rsidRPr="003D1E07">
        <w:instrText xml:space="preserve"> XE "</w:instrText>
      </w:r>
      <w:r w:rsidR="003B4FA7" w:rsidRPr="003D1E07">
        <w:rPr>
          <w:iCs/>
        </w:rPr>
        <w:instrText>noemata</w:instrText>
      </w:r>
      <w:r w:rsidR="003B4FA7" w:rsidRPr="003D1E07">
        <w:instrText xml:space="preserve">" </w:instrText>
      </w:r>
      <w:r w:rsidR="003B4FA7" w:rsidRPr="003D1E07">
        <w:fldChar w:fldCharType="end"/>
      </w:r>
      <w:r w:rsidR="00BF2679" w:rsidRPr="003D1E07">
        <w:t xml:space="preserve"> nejsou determinována aktuálními věcmi</w:t>
      </w:r>
      <w:r w:rsidR="00A4789E" w:rsidRPr="003D1E07">
        <w:t xml:space="preserve"> v realitě</w:t>
      </w:r>
      <w:r w:rsidR="00BF2679" w:rsidRPr="003D1E07">
        <w:t xml:space="preserve">, ale jsou </w:t>
      </w:r>
      <w:r w:rsidR="0849643A" w:rsidRPr="003D1E07">
        <w:t>vrhána</w:t>
      </w:r>
      <w:r w:rsidR="00BF2679" w:rsidRPr="003D1E07">
        <w:t xml:space="preserve"> </w:t>
      </w:r>
      <w:r w:rsidR="0815402C" w:rsidRPr="003D1E07">
        <w:t xml:space="preserve">od intelektu </w:t>
      </w:r>
      <w:r w:rsidR="00BF2679" w:rsidRPr="003D1E07">
        <w:t xml:space="preserve">k věcem (τοῖς πράγμασιν προβάλλεσθαι τὰ νοήματα). </w:t>
      </w:r>
      <w:r w:rsidR="00686CED" w:rsidRPr="003D1E07">
        <w:t>Sloveso</w:t>
      </w:r>
      <w:r w:rsidR="005854F7" w:rsidRPr="003D1E07">
        <w:t xml:space="preserve"> </w:t>
      </w:r>
      <w:r w:rsidR="005854F7" w:rsidRPr="003D1E07">
        <w:rPr>
          <w:i/>
        </w:rPr>
        <w:t>proball</w:t>
      </w:r>
      <w:r w:rsidR="0020389F">
        <w:rPr>
          <w:rFonts w:cs="Calibri"/>
          <w:i/>
        </w:rPr>
        <w:t>ō</w:t>
      </w:r>
      <w:r w:rsidR="005854F7" w:rsidRPr="003D1E07">
        <w:t xml:space="preserve"> určuje novou „probalistickou“ dráhu předchůdného porozumění </w:t>
      </w:r>
      <w:r w:rsidR="00B6681C">
        <w:t>(</w:t>
      </w:r>
      <w:r w:rsidR="00B6681C" w:rsidRPr="00B6681C">
        <w:rPr>
          <w:i/>
        </w:rPr>
        <w:t>Vor-blickbahn</w:t>
      </w:r>
      <w:r w:rsidR="00B6681C">
        <w:rPr>
          <w:i/>
        </w:rPr>
        <w:fldChar w:fldCharType="begin"/>
      </w:r>
      <w:r w:rsidR="00B6681C">
        <w:instrText xml:space="preserve"> XE "</w:instrText>
      </w:r>
      <w:r w:rsidR="00B6681C" w:rsidRPr="00F247D9">
        <w:rPr>
          <w:i/>
        </w:rPr>
        <w:instrText>Vor-blickbahn</w:instrText>
      </w:r>
      <w:r w:rsidR="00B6681C">
        <w:instrText xml:space="preserve">" </w:instrText>
      </w:r>
      <w:r w:rsidR="00B6681C">
        <w:rPr>
          <w:i/>
        </w:rPr>
        <w:fldChar w:fldCharType="end"/>
      </w:r>
      <w:r w:rsidR="00B6681C">
        <w:t xml:space="preserve">) </w:t>
      </w:r>
      <w:r w:rsidR="005854F7" w:rsidRPr="003D1E07">
        <w:t xml:space="preserve">na </w:t>
      </w:r>
      <w:r w:rsidR="00B6681C">
        <w:t xml:space="preserve">metafyzický </w:t>
      </w:r>
      <w:r w:rsidR="005854F7" w:rsidRPr="003D1E07">
        <w:t xml:space="preserve">smysl </w:t>
      </w:r>
      <w:r w:rsidR="002366E1">
        <w:t xml:space="preserve">každého </w:t>
      </w:r>
      <w:r w:rsidR="00B6681C">
        <w:t xml:space="preserve">moderního </w:t>
      </w:r>
      <w:r w:rsidR="005854F7" w:rsidRPr="003D1E07">
        <w:t xml:space="preserve">jsoucna. </w:t>
      </w:r>
      <w:r w:rsidR="08051941" w:rsidRPr="003D1E07">
        <w:t xml:space="preserve">Simplikiův </w:t>
      </w:r>
      <w:r w:rsidR="08B779FB" w:rsidRPr="003D1E07">
        <w:t xml:space="preserve">metafyzický </w:t>
      </w:r>
      <w:r w:rsidR="08051941" w:rsidRPr="003D1E07">
        <w:t>dativ (τοῖς πράγμασιν)</w:t>
      </w:r>
      <w:r w:rsidR="08B74B23" w:rsidRPr="003D1E07">
        <w:rPr>
          <w:szCs w:val="24"/>
        </w:rPr>
        <w:t xml:space="preserve"> </w:t>
      </w:r>
      <w:r w:rsidR="08B74B23" w:rsidRPr="003D1E07">
        <w:rPr>
          <w:szCs w:val="24"/>
        </w:rPr>
        <w:fldChar w:fldCharType="begin"/>
      </w:r>
      <w:r w:rsidR="08B74B23" w:rsidRPr="003D1E07">
        <w:instrText xml:space="preserve"> XE "</w:instrText>
      </w:r>
      <w:r w:rsidR="08B779FB" w:rsidRPr="003D1E07">
        <w:rPr>
          <w:i/>
        </w:rPr>
        <w:instrText>dativus metaphysi</w:instrText>
      </w:r>
      <w:r w:rsidR="08B74B23" w:rsidRPr="003D1E07">
        <w:rPr>
          <w:i/>
        </w:rPr>
        <w:instrText>cus</w:instrText>
      </w:r>
      <w:r w:rsidR="08B74B23" w:rsidRPr="003D1E07">
        <w:instrText xml:space="preserve">" </w:instrText>
      </w:r>
      <w:r w:rsidR="08B74B23" w:rsidRPr="003D1E07">
        <w:rPr>
          <w:szCs w:val="24"/>
        </w:rPr>
        <w:fldChar w:fldCharType="end"/>
      </w:r>
      <w:r w:rsidR="08051941" w:rsidRPr="003D1E07">
        <w:t xml:space="preserve">potvrzuje, že schéma poznání je otočeno od reality prvních substancí k realitě </w:t>
      </w:r>
      <w:r w:rsidR="007E41C1">
        <w:t xml:space="preserve">esencí, které </w:t>
      </w:r>
      <w:r w:rsidR="007E41C1" w:rsidRPr="003D1E07">
        <w:t>přímo</w:t>
      </w:r>
      <w:r w:rsidR="007E41C1">
        <w:t xml:space="preserve"> </w:t>
      </w:r>
      <w:r w:rsidR="08DD3DC3" w:rsidRPr="003D1E07">
        <w:t>o</w:t>
      </w:r>
      <w:r w:rsidR="08051941" w:rsidRPr="003D1E07">
        <w:t xml:space="preserve">svěcují intelekt. </w:t>
      </w:r>
      <w:r w:rsidR="0062177C" w:rsidRPr="003D1E07">
        <w:t>Donace smyslu jde od subjektu k</w:t>
      </w:r>
      <w:r w:rsidR="00FA1911" w:rsidRPr="003D1E07">
        <w:t> </w:t>
      </w:r>
      <w:r w:rsidR="0062177C" w:rsidRPr="003D1E07">
        <w:t>věcem</w:t>
      </w:r>
      <w:r w:rsidR="00FA1911" w:rsidRPr="003D1E07">
        <w:t xml:space="preserve">, což znamená nové postavení moderního subjektu, který si přivlastňuje svět </w:t>
      </w:r>
      <w:r w:rsidR="007E41C1">
        <w:t xml:space="preserve">směrem od sebe sama </w:t>
      </w:r>
      <w:r w:rsidR="00D4341C" w:rsidRPr="003D1E07">
        <w:t>(</w:t>
      </w:r>
      <w:r w:rsidR="00D4341C" w:rsidRPr="003D1E07">
        <w:rPr>
          <w:i/>
        </w:rPr>
        <w:t>Ge-Stell</w:t>
      </w:r>
      <w:r w:rsidR="00D4341C" w:rsidRPr="003D1E07">
        <w:rPr>
          <w:i/>
        </w:rPr>
        <w:fldChar w:fldCharType="begin"/>
      </w:r>
      <w:r w:rsidR="00D4341C" w:rsidRPr="003D1E07">
        <w:instrText xml:space="preserve"> XE "</w:instrText>
      </w:r>
      <w:r w:rsidR="00D4341C" w:rsidRPr="003D1E07">
        <w:rPr>
          <w:i/>
        </w:rPr>
        <w:instrText>Ge-Stell</w:instrText>
      </w:r>
      <w:r w:rsidR="00D4341C" w:rsidRPr="003D1E07">
        <w:instrText xml:space="preserve">" </w:instrText>
      </w:r>
      <w:r w:rsidR="00D4341C" w:rsidRPr="003D1E07">
        <w:rPr>
          <w:i/>
        </w:rPr>
        <w:fldChar w:fldCharType="end"/>
      </w:r>
      <w:r w:rsidR="00D4341C" w:rsidRPr="003D1E07">
        <w:t>, kap. 1.2)</w:t>
      </w:r>
      <w:r w:rsidR="0062177C" w:rsidRPr="003D1E07">
        <w:t xml:space="preserve">. </w:t>
      </w:r>
      <w:r w:rsidR="003C3439" w:rsidRPr="003C3439">
        <w:t>Moderní subjekt jako původní zdroj intelektuálního poznání vytváří noemata, která přecházejí ke skutečným věcem až ve druhém kroku.</w:t>
      </w:r>
      <w:r w:rsidR="003C3439">
        <w:t xml:space="preserve"> </w:t>
      </w:r>
      <w:r w:rsidR="08A72C21" w:rsidRPr="003D1E07">
        <w:rPr>
          <w:iCs/>
        </w:rPr>
        <w:t>Hyparchická vazba je dána mimo první substanci danou reálně</w:t>
      </w:r>
      <w:r w:rsidR="00B4690C">
        <w:rPr>
          <w:iCs/>
        </w:rPr>
        <w:t>. N</w:t>
      </w:r>
      <w:r w:rsidR="08D372BC" w:rsidRPr="003D1E07">
        <w:rPr>
          <w:iCs/>
        </w:rPr>
        <w:t>oetický svět existuje nezávisle na hylickém světě</w:t>
      </w:r>
      <w:r w:rsidR="08E3002B" w:rsidRPr="003D1E07">
        <w:rPr>
          <w:iCs/>
        </w:rPr>
        <w:t>, protože je nemateriální a věčný</w:t>
      </w:r>
      <w:r w:rsidR="08A72C21" w:rsidRPr="003D1E07">
        <w:fldChar w:fldCharType="begin"/>
      </w:r>
      <w:r w:rsidR="08A72C21" w:rsidRPr="003D1E07">
        <w:instrText xml:space="preserve"> XE "zjevování:nasvícení zezadu" </w:instrText>
      </w:r>
      <w:r w:rsidR="08A72C21" w:rsidRPr="003D1E07">
        <w:fldChar w:fldCharType="end"/>
      </w:r>
      <w:r w:rsidR="08A72C21" w:rsidRPr="003D1E07">
        <w:rPr>
          <w:iCs/>
        </w:rPr>
        <w:t xml:space="preserve">. </w:t>
      </w:r>
      <w:r w:rsidR="08B779FB" w:rsidRPr="003D1E07">
        <w:t xml:space="preserve">Metafyzický </w:t>
      </w:r>
      <w:r w:rsidR="08D1696E" w:rsidRPr="003D1E07">
        <w:rPr>
          <w:iCs/>
        </w:rPr>
        <w:t>d</w:t>
      </w:r>
      <w:r w:rsidR="08051941" w:rsidRPr="003D1E07">
        <w:t>ativ</w:t>
      </w:r>
      <w:r w:rsidR="08D1696E" w:rsidRPr="003D1E07">
        <w:fldChar w:fldCharType="begin"/>
      </w:r>
      <w:r w:rsidR="08D1696E" w:rsidRPr="003D1E07">
        <w:instrText xml:space="preserve"> XE "</w:instrText>
      </w:r>
      <w:r w:rsidR="08B779FB" w:rsidRPr="003D1E07">
        <w:rPr>
          <w:i/>
        </w:rPr>
        <w:instrText>dativus metaphysi</w:instrText>
      </w:r>
      <w:r w:rsidR="08D1696E" w:rsidRPr="003D1E07">
        <w:rPr>
          <w:i/>
        </w:rPr>
        <w:instrText>cus</w:instrText>
      </w:r>
      <w:r w:rsidR="08D1696E" w:rsidRPr="003D1E07">
        <w:instrText xml:space="preserve">" </w:instrText>
      </w:r>
      <w:r w:rsidR="08D1696E" w:rsidRPr="003D1E07">
        <w:fldChar w:fldCharType="end"/>
      </w:r>
      <w:r w:rsidR="08051941" w:rsidRPr="003D1E07">
        <w:t xml:space="preserve"> vztažený k </w:t>
      </w:r>
      <w:r w:rsidR="08D1696E" w:rsidRPr="003D1E07">
        <w:t xml:space="preserve">jsoucnu třetího druhu </w:t>
      </w:r>
      <w:r w:rsidR="08051941" w:rsidRPr="003D1E07">
        <w:t xml:space="preserve">ukazuje nový způsob, jak objektivní poznání určuje </w:t>
      </w:r>
      <w:r w:rsidR="08D1696E" w:rsidRPr="003D1E07">
        <w:t xml:space="preserve">jsoucnost. </w:t>
      </w:r>
      <w:r w:rsidR="08D61091" w:rsidRPr="003D1E07">
        <w:t>Citát ukazuje rozchod s aristotelským pojetím kategoriální predikace determinované smyslovým  poznáním první substance</w:t>
      </w:r>
      <w:r w:rsidR="08D61091" w:rsidRPr="003D1E07">
        <w:fldChar w:fldCharType="begin"/>
      </w:r>
      <w:r w:rsidR="08D61091" w:rsidRPr="003D1E07">
        <w:instrText xml:space="preserve"> XE "substance:první" </w:instrText>
      </w:r>
      <w:r w:rsidR="08D61091" w:rsidRPr="003D1E07">
        <w:fldChar w:fldCharType="end"/>
      </w:r>
      <w:r w:rsidR="08D61091" w:rsidRPr="003D1E07">
        <w:t>. Duše poznává noemata v přímém náhledu a v jejich inteligibilním světle poznává iluminát také reálný svět materiálně a smyslově určených věcí. Náhled ilumináta vidí reálné hylemorfické substance v modu fundamentálního odcizení</w:t>
      </w:r>
      <w:r w:rsidR="005F60EB" w:rsidRPr="003D1E07">
        <w:t xml:space="preserve">. Tato </w:t>
      </w:r>
      <w:r w:rsidR="00E24885" w:rsidRPr="003D1E07">
        <w:t xml:space="preserve">mylná </w:t>
      </w:r>
      <w:r w:rsidR="005F60EB" w:rsidRPr="003D1E07">
        <w:t xml:space="preserve">dráha náhledu </w:t>
      </w:r>
      <w:r w:rsidR="00E24885" w:rsidRPr="003D1E07">
        <w:t>(</w:t>
      </w:r>
      <w:r w:rsidR="00E24885" w:rsidRPr="003D1E07">
        <w:rPr>
          <w:i/>
        </w:rPr>
        <w:t>Irrtum</w:t>
      </w:r>
      <w:r w:rsidR="00E24885" w:rsidRPr="003D1E07">
        <w:t xml:space="preserve">) </w:t>
      </w:r>
      <w:r w:rsidR="00313768" w:rsidRPr="003D1E07">
        <w:t xml:space="preserve">představuje </w:t>
      </w:r>
      <w:r w:rsidR="08D61091" w:rsidRPr="003D1E07">
        <w:t xml:space="preserve">základní mytopoetický rys moderny </w:t>
      </w:r>
      <w:r w:rsidR="005F60EB" w:rsidRPr="003D1E07">
        <w:t xml:space="preserve">a </w:t>
      </w:r>
      <w:r w:rsidR="08D61091" w:rsidRPr="003D1E07">
        <w:t>zaklád</w:t>
      </w:r>
      <w:r w:rsidR="005F60EB" w:rsidRPr="003D1E07">
        <w:t xml:space="preserve">á </w:t>
      </w:r>
      <w:r w:rsidR="00CF23FD" w:rsidRPr="003D1E07">
        <w:t>specifickou formu akademické mánie</w:t>
      </w:r>
      <w:r w:rsidR="00E24885" w:rsidRPr="003D1E07">
        <w:t xml:space="preserve"> (</w:t>
      </w:r>
      <w:r w:rsidR="00E24885" w:rsidRPr="003D1E07">
        <w:rPr>
          <w:i/>
        </w:rPr>
        <w:t>Irre</w:t>
      </w:r>
      <w:r w:rsidR="00E24885" w:rsidRPr="003D1E07">
        <w:t>)</w:t>
      </w:r>
      <w:r w:rsidR="08D61091" w:rsidRPr="003D1E07">
        <w:t xml:space="preserve">. </w:t>
      </w:r>
      <w:r w:rsidR="00C67A3F" w:rsidRPr="00C67A3F">
        <w:t>Kar</w:t>
      </w:r>
      <w:r w:rsidR="00C67A3F">
        <w:t>e</w:t>
      </w:r>
      <w:r w:rsidR="00C67A3F" w:rsidRPr="00C67A3F">
        <w:t>l Marx</w:t>
      </w:r>
      <w:r w:rsidR="00C67A3F">
        <w:fldChar w:fldCharType="begin"/>
      </w:r>
      <w:r w:rsidR="00C67A3F">
        <w:instrText xml:space="preserve"> XE "</w:instrText>
      </w:r>
      <w:r w:rsidR="00C67A3F" w:rsidRPr="00F1388A">
        <w:instrText>Marx, K.</w:instrText>
      </w:r>
      <w:r w:rsidR="00C67A3F">
        <w:instrText xml:space="preserve">" </w:instrText>
      </w:r>
      <w:r w:rsidR="00C67A3F">
        <w:fldChar w:fldCharType="end"/>
      </w:r>
      <w:r w:rsidR="00C67A3F" w:rsidRPr="00C67A3F">
        <w:t xml:space="preserve"> </w:t>
      </w:r>
      <w:r w:rsidR="00C67A3F">
        <w:t xml:space="preserve">velmi moudře definoval tento typ </w:t>
      </w:r>
      <w:r w:rsidR="00C67A3F" w:rsidRPr="00C67A3F">
        <w:rPr>
          <w:i/>
        </w:rPr>
        <w:t>Entfremdung</w:t>
      </w:r>
      <w:r w:rsidR="00C67A3F" w:rsidRPr="00C67A3F">
        <w:t xml:space="preserve"> </w:t>
      </w:r>
      <w:r w:rsidR="00C67A3F">
        <w:t>jako základ postmoderního kapitalismu</w:t>
      </w:r>
      <w:r w:rsidR="00C67A3F" w:rsidRPr="00C67A3F">
        <w:t>.</w:t>
      </w:r>
      <w:r w:rsidR="00C67A3F">
        <w:t xml:space="preserve"> </w:t>
      </w:r>
      <w:r w:rsidR="08D1696E" w:rsidRPr="003D1E07">
        <w:t xml:space="preserve">Nasvícení reálné první substance od </w:t>
      </w:r>
      <w:r w:rsidR="0078785D" w:rsidRPr="003D1E07">
        <w:t>prohyparchi</w:t>
      </w:r>
      <w:r w:rsidR="08D1696E" w:rsidRPr="003D1E07">
        <w:t xml:space="preserve">cky existujícího diakosmu </w:t>
      </w:r>
      <w:r w:rsidR="082D2193" w:rsidRPr="003D1E07">
        <w:t xml:space="preserve">založilo mytopoetickou </w:t>
      </w:r>
      <w:r w:rsidR="082D2193" w:rsidRPr="003D1E07">
        <w:rPr>
          <w:iCs/>
        </w:rPr>
        <w:t>odhalenost</w:t>
      </w:r>
      <w:r w:rsidR="08291278" w:rsidRPr="003D1E07">
        <w:rPr>
          <w:iCs/>
        </w:rPr>
        <w:t xml:space="preserve"> </w:t>
      </w:r>
      <w:r w:rsidR="082D2193" w:rsidRPr="003D1E07">
        <w:rPr>
          <w:iCs/>
        </w:rPr>
        <w:t>substance</w:t>
      </w:r>
      <w:r w:rsidR="08291278" w:rsidRPr="003D1E07">
        <w:rPr>
          <w:iCs/>
        </w:rPr>
        <w:t xml:space="preserve"> </w:t>
      </w:r>
      <w:r w:rsidR="006408EB" w:rsidRPr="003D1E07">
        <w:rPr>
          <w:iCs/>
        </w:rPr>
        <w:t>(</w:t>
      </w:r>
      <w:r w:rsidR="006408EB" w:rsidRPr="003D1E07">
        <w:rPr>
          <w:i/>
          <w:iCs/>
        </w:rPr>
        <w:t>alétheia</w:t>
      </w:r>
      <w:r w:rsidR="006408EB" w:rsidRPr="003D1E07">
        <w:rPr>
          <w:iCs/>
        </w:rPr>
        <w:t xml:space="preserve">) </w:t>
      </w:r>
      <w:r w:rsidR="08291278" w:rsidRPr="003D1E07">
        <w:rPr>
          <w:iCs/>
        </w:rPr>
        <w:t xml:space="preserve">v modu objektivní </w:t>
      </w:r>
      <w:r w:rsidR="006408EB" w:rsidRPr="003D1E07">
        <w:rPr>
          <w:i/>
          <w:iCs/>
        </w:rPr>
        <w:t>veritas</w:t>
      </w:r>
      <w:r w:rsidR="08634867" w:rsidRPr="003D1E07">
        <w:rPr>
          <w:iCs/>
        </w:rPr>
        <w:t xml:space="preserve">. </w:t>
      </w:r>
      <w:r w:rsidR="08291278" w:rsidRPr="003D1E07">
        <w:rPr>
          <w:iCs/>
        </w:rPr>
        <w:t>T</w:t>
      </w:r>
      <w:r w:rsidR="082D2193" w:rsidRPr="003D1E07">
        <w:rPr>
          <w:iCs/>
        </w:rPr>
        <w:t xml:space="preserve">ento náhled neoplatonských iluminátů </w:t>
      </w:r>
      <w:r w:rsidR="082D2193" w:rsidRPr="003D1E07">
        <w:t xml:space="preserve">epochálně nově </w:t>
      </w:r>
      <w:r w:rsidR="082D2193" w:rsidRPr="003D1E07">
        <w:rPr>
          <w:iCs/>
        </w:rPr>
        <w:t xml:space="preserve">manifestuje celek </w:t>
      </w:r>
      <w:r w:rsidR="08051941" w:rsidRPr="003D1E07">
        <w:rPr>
          <w:iCs/>
        </w:rPr>
        <w:t>bytí jsoucího</w:t>
      </w:r>
      <w:r w:rsidR="08291278" w:rsidRPr="003D1E07">
        <w:rPr>
          <w:iCs/>
        </w:rPr>
        <w:t xml:space="preserve"> z pozi</w:t>
      </w:r>
      <w:r w:rsidR="08634867" w:rsidRPr="003D1E07">
        <w:rPr>
          <w:iCs/>
        </w:rPr>
        <w:t xml:space="preserve">ce </w:t>
      </w:r>
      <w:r w:rsidR="08D56600" w:rsidRPr="003D1E07">
        <w:rPr>
          <w:iCs/>
        </w:rPr>
        <w:lastRenderedPageBreak/>
        <w:t xml:space="preserve">objektivně daného </w:t>
      </w:r>
      <w:r w:rsidR="08634867" w:rsidRPr="003D1E07">
        <w:rPr>
          <w:iCs/>
        </w:rPr>
        <w:t>dia</w:t>
      </w:r>
      <w:r w:rsidR="08291278" w:rsidRPr="003D1E07">
        <w:rPr>
          <w:iCs/>
        </w:rPr>
        <w:t>kos</w:t>
      </w:r>
      <w:r w:rsidR="08634867" w:rsidRPr="003D1E07">
        <w:rPr>
          <w:iCs/>
        </w:rPr>
        <w:t>m</w:t>
      </w:r>
      <w:r w:rsidR="08291278" w:rsidRPr="003D1E07">
        <w:rPr>
          <w:iCs/>
        </w:rPr>
        <w:t xml:space="preserve">u nebo dokonce </w:t>
      </w:r>
      <w:r w:rsidR="08634867" w:rsidRPr="003D1E07">
        <w:rPr>
          <w:iCs/>
        </w:rPr>
        <w:t>přímo od pro</w:t>
      </w:r>
      <w:r w:rsidR="00BF0A3D" w:rsidRPr="003D1E07">
        <w:rPr>
          <w:iCs/>
        </w:rPr>
        <w:t>hyp</w:t>
      </w:r>
      <w:r w:rsidR="08634867" w:rsidRPr="003D1E07">
        <w:rPr>
          <w:iCs/>
        </w:rPr>
        <w:t xml:space="preserve">archického </w:t>
      </w:r>
      <w:r w:rsidR="08291278" w:rsidRPr="003D1E07">
        <w:rPr>
          <w:iCs/>
        </w:rPr>
        <w:t>bytí Jednoho</w:t>
      </w:r>
      <w:r w:rsidR="08051941" w:rsidRPr="003D1E07">
        <w:rPr>
          <w:iCs/>
        </w:rPr>
        <w:t xml:space="preserve">. </w:t>
      </w:r>
      <w:r w:rsidR="08C30B0C" w:rsidRPr="003D1E07">
        <w:rPr>
          <w:iCs/>
        </w:rPr>
        <w:t xml:space="preserve">Novou </w:t>
      </w:r>
      <w:r w:rsidR="08A72C21" w:rsidRPr="003D1E07">
        <w:t xml:space="preserve">formu </w:t>
      </w:r>
      <w:r w:rsidR="08C30B0C" w:rsidRPr="003D1E07">
        <w:t xml:space="preserve">Simplikiem objevené </w:t>
      </w:r>
      <w:r w:rsidR="08A72C21" w:rsidRPr="003D1E07">
        <w:t xml:space="preserve">objektivní danosti jsoucna ukazují </w:t>
      </w:r>
      <w:r w:rsidR="08847054" w:rsidRPr="003D1E07">
        <w:t xml:space="preserve">moderní </w:t>
      </w:r>
      <w:r w:rsidR="08A72C21" w:rsidRPr="003D1E07">
        <w:t xml:space="preserve">kategorie v modu </w:t>
      </w:r>
      <w:r w:rsidR="08A72C21" w:rsidRPr="003D1E07">
        <w:rPr>
          <w:i/>
        </w:rPr>
        <w:t>dativus obiectivus</w:t>
      </w:r>
      <w:r w:rsidR="08A72C21" w:rsidRPr="003D1E07">
        <w:rPr>
          <w:i/>
        </w:rPr>
        <w:fldChar w:fldCharType="begin"/>
      </w:r>
      <w:r w:rsidR="08A72C21" w:rsidRPr="003D1E07">
        <w:instrText xml:space="preserve"> XE "</w:instrText>
      </w:r>
      <w:r w:rsidR="08A72C21" w:rsidRPr="003D1E07">
        <w:rPr>
          <w:i/>
        </w:rPr>
        <w:instrText>dativus obiectivus</w:instrText>
      </w:r>
      <w:r w:rsidR="08A72C21" w:rsidRPr="003D1E07">
        <w:instrText xml:space="preserve">" </w:instrText>
      </w:r>
      <w:r w:rsidR="08A72C21" w:rsidRPr="003D1E07">
        <w:rPr>
          <w:i/>
        </w:rPr>
        <w:fldChar w:fldCharType="end"/>
      </w:r>
      <w:r w:rsidR="08A72C21" w:rsidRPr="003D1E07">
        <w:t xml:space="preserve"> (</w:t>
      </w:r>
      <w:r w:rsidR="08A85B38" w:rsidRPr="003D1E07">
        <w:t>OBJ III, kap. 4</w:t>
      </w:r>
      <w:r w:rsidR="08A72C21" w:rsidRPr="003D1E07">
        <w:t xml:space="preserve">). </w:t>
      </w:r>
      <w:r w:rsidR="00325201" w:rsidRPr="003D1E07">
        <w:t>Kauzalitu poznán</w:t>
      </w:r>
      <w:r w:rsidR="007D79ED" w:rsidRPr="003D1E07">
        <w:t xml:space="preserve">í zajišťuje </w:t>
      </w:r>
      <w:r w:rsidR="00CE6194" w:rsidRPr="003D1E07">
        <w:t>neoplatonská species, a ne reálně existující věc</w:t>
      </w:r>
      <w:r w:rsidR="007D79ED" w:rsidRPr="003D1E07">
        <w:t xml:space="preserve">. </w:t>
      </w:r>
      <w:r w:rsidR="00F3304F" w:rsidRPr="003D1E07">
        <w:t xml:space="preserve">Duše </w:t>
      </w:r>
      <w:r w:rsidR="08447332" w:rsidRPr="003D1E07">
        <w:t>vyhnaná nepřízní platonského osudu na cestu intelektuální odyseje potkává falešný a pomíjivý svět</w:t>
      </w:r>
      <w:r w:rsidR="00F70555" w:rsidRPr="003D1E07">
        <w:t xml:space="preserve"> </w:t>
      </w:r>
      <w:r w:rsidR="00F3304F" w:rsidRPr="003D1E07">
        <w:t>reálných prvních substancí jen proto, aby se mohla vrátit do p</w:t>
      </w:r>
      <w:r w:rsidR="00F137BF" w:rsidRPr="003D1E07">
        <w:t>ůvo</w:t>
      </w:r>
      <w:r w:rsidR="00F3304F" w:rsidRPr="003D1E07">
        <w:t>dního diakosmu.</w:t>
      </w:r>
      <w:r w:rsidR="007D5FC5" w:rsidRPr="003D1E07">
        <w:t xml:space="preserve"> </w:t>
      </w:r>
      <w:r w:rsidR="08B65126" w:rsidRPr="003D1E07">
        <w:t xml:space="preserve">Moderní </w:t>
      </w:r>
      <w:r w:rsidR="002F3641" w:rsidRPr="003D1E07">
        <w:t xml:space="preserve">iluminát zažívá vůči realitě zásadní odcizení v podobě </w:t>
      </w:r>
      <w:r w:rsidR="00874074" w:rsidRPr="003D1E07">
        <w:t>neoplatonsk</w:t>
      </w:r>
      <w:r w:rsidR="002F3641" w:rsidRPr="003D1E07">
        <w:t>é diastáze</w:t>
      </w:r>
      <w:r w:rsidR="082D6973" w:rsidRPr="003D1E07">
        <w:t xml:space="preserve"> dané odstupem intelektu od reálných věcí (διέστησεν τὴν νόησιν ἀπὸ τῶν πραγμάτων). Toto </w:t>
      </w:r>
      <w:r w:rsidR="08E41427" w:rsidRPr="003D1E07">
        <w:t xml:space="preserve">mytopoetické </w:t>
      </w:r>
      <w:r w:rsidR="082D6973" w:rsidRPr="003D1E07">
        <w:t xml:space="preserve">odcizení </w:t>
      </w:r>
      <w:r w:rsidR="08E41427" w:rsidRPr="003D1E07">
        <w:t xml:space="preserve">ducha </w:t>
      </w:r>
      <w:r w:rsidR="08165F40" w:rsidRPr="003D1E07">
        <w:t xml:space="preserve">od pravé vlasti </w:t>
      </w:r>
      <w:r w:rsidR="08112104" w:rsidRPr="003D1E07">
        <w:t xml:space="preserve">spojené s </w:t>
      </w:r>
      <w:r w:rsidR="0842562B" w:rsidRPr="003D1E07">
        <w:t xml:space="preserve">akademickou odyseou </w:t>
      </w:r>
      <w:r w:rsidR="08C044D3" w:rsidRPr="003D1E07">
        <w:t xml:space="preserve">objektivity </w:t>
      </w:r>
      <w:r w:rsidR="0842562B" w:rsidRPr="003D1E07">
        <w:t xml:space="preserve">pak </w:t>
      </w:r>
      <w:r w:rsidR="002F3641" w:rsidRPr="003D1E07">
        <w:t xml:space="preserve">zopakuje scholastická moderna a </w:t>
      </w:r>
      <w:r w:rsidR="08165F40" w:rsidRPr="003D1E07">
        <w:t xml:space="preserve">po ní karteziánská, </w:t>
      </w:r>
      <w:r w:rsidR="002F3641" w:rsidRPr="003D1E07">
        <w:t xml:space="preserve">hegelovská </w:t>
      </w:r>
      <w:r w:rsidR="0035644D" w:rsidRPr="003D1E07">
        <w:t>postmoderna</w:t>
      </w:r>
      <w:r w:rsidR="0035644D">
        <w:t xml:space="preserve">, včetně současného </w:t>
      </w:r>
      <w:r w:rsidR="0035644D" w:rsidRPr="0035644D">
        <w:rPr>
          <w:i/>
        </w:rPr>
        <w:t>Great Reset</w:t>
      </w:r>
      <w:r w:rsidR="0035644D">
        <w:t xml:space="preserve"> nihilistických korporací</w:t>
      </w:r>
      <w:r w:rsidR="002F3641" w:rsidRPr="003D1E07">
        <w:t xml:space="preserve">. </w:t>
      </w:r>
      <w:r w:rsidR="08112104" w:rsidRPr="003D1E07">
        <w:t xml:space="preserve">Průběh první moderní dedukce </w:t>
      </w:r>
      <w:r w:rsidR="08B27AAA" w:rsidRPr="003D1E07">
        <w:t xml:space="preserve">poznání dané </w:t>
      </w:r>
      <w:r w:rsidR="08B27AAA" w:rsidRPr="003D1E07">
        <w:rPr>
          <w:i/>
        </w:rPr>
        <w:t>ex nihilo</w:t>
      </w:r>
      <w:r w:rsidR="08B27AAA" w:rsidRPr="003D1E07">
        <w:rPr>
          <w:i/>
        </w:rPr>
        <w:fldChar w:fldCharType="begin"/>
      </w:r>
      <w:r w:rsidR="08B27AAA" w:rsidRPr="003D1E07">
        <w:instrText xml:space="preserve"> XE "</w:instrText>
      </w:r>
      <w:r w:rsidR="08B27AAA" w:rsidRPr="003D1E07">
        <w:rPr>
          <w:i/>
        </w:rPr>
        <w:instrText>cr</w:instrText>
      </w:r>
      <w:r w:rsidR="08D83329" w:rsidRPr="003D1E07">
        <w:rPr>
          <w:i/>
        </w:rPr>
        <w:instrText>e</w:instrText>
      </w:r>
      <w:r w:rsidR="08B27AAA" w:rsidRPr="003D1E07">
        <w:rPr>
          <w:i/>
        </w:rPr>
        <w:instrText>atio ex nihilo</w:instrText>
      </w:r>
      <w:r w:rsidR="08B27AAA" w:rsidRPr="003D1E07">
        <w:instrText xml:space="preserve">" </w:instrText>
      </w:r>
      <w:r w:rsidR="08B27AAA" w:rsidRPr="003D1E07">
        <w:rPr>
          <w:i/>
        </w:rPr>
        <w:fldChar w:fldCharType="end"/>
      </w:r>
      <w:r w:rsidR="08B27AAA" w:rsidRPr="003D1E07">
        <w:t xml:space="preserve"> od neexistujícího diakosmu </w:t>
      </w:r>
      <w:r w:rsidR="002F3641" w:rsidRPr="003D1E07">
        <w:t>ukazuje původ Hegelova odcizení (</w:t>
      </w:r>
      <w:r w:rsidR="002F3641" w:rsidRPr="003D1E07">
        <w:rPr>
          <w:i/>
        </w:rPr>
        <w:t>Entfremdung</w:t>
      </w:r>
      <w:r w:rsidR="08C747B6" w:rsidRPr="003D1E07">
        <w:rPr>
          <w:i/>
        </w:rPr>
        <w:fldChar w:fldCharType="begin"/>
      </w:r>
      <w:r w:rsidR="08C747B6" w:rsidRPr="003D1E07">
        <w:instrText xml:space="preserve"> XE "</w:instrText>
      </w:r>
      <w:r w:rsidR="08C747B6" w:rsidRPr="003D1E07">
        <w:rPr>
          <w:i/>
        </w:rPr>
        <w:instrText>Entfremdung</w:instrText>
      </w:r>
      <w:r w:rsidR="08C747B6" w:rsidRPr="003D1E07">
        <w:instrText xml:space="preserve">" </w:instrText>
      </w:r>
      <w:r w:rsidR="08C747B6" w:rsidRPr="003D1E07">
        <w:rPr>
          <w:i/>
        </w:rPr>
        <w:fldChar w:fldCharType="end"/>
      </w:r>
      <w:r w:rsidR="002F3641" w:rsidRPr="003D1E07">
        <w:t xml:space="preserve">) a také původní </w:t>
      </w:r>
      <w:r w:rsidR="002F3641" w:rsidRPr="003D1E07">
        <w:rPr>
          <w:i/>
        </w:rPr>
        <w:t>Lichtung</w:t>
      </w:r>
      <w:r w:rsidR="002F3641" w:rsidRPr="003D1E07">
        <w:t xml:space="preserve"> mediálních</w:t>
      </w:r>
      <w:r w:rsidR="08E55CE0" w:rsidRPr="003D1E07">
        <w:t xml:space="preserve"> manipulací a matrixového světa. </w:t>
      </w:r>
      <w:r w:rsidR="0823079A" w:rsidRPr="003D1E07">
        <w:t xml:space="preserve">Teprve po překonání tohoto odcizení dospívá osvícený intelekt k vyšší pravdě skrze nazírání světa čistých forem. Simplikiovo </w:t>
      </w:r>
      <w:r w:rsidR="0823079A" w:rsidRPr="003D1E07">
        <w:rPr>
          <w:i/>
        </w:rPr>
        <w:t>translatio studiorum</w:t>
      </w:r>
      <w:r w:rsidR="0823079A" w:rsidRPr="003D1E07">
        <w:t xml:space="preserve"> změnilo zkoumání první substance dané ve </w:t>
      </w:r>
      <w:r w:rsidR="0823079A" w:rsidRPr="003D1E07">
        <w:rPr>
          <w:i/>
        </w:rPr>
        <w:t>Fyzice</w:t>
      </w:r>
      <w:r w:rsidR="0823079A" w:rsidRPr="003D1E07">
        <w:t xml:space="preserve"> a v </w:t>
      </w:r>
      <w:r w:rsidR="0823079A" w:rsidRPr="003D1E07">
        <w:rPr>
          <w:i/>
        </w:rPr>
        <w:t>Metafyzice</w:t>
      </w:r>
      <w:r w:rsidR="0823079A" w:rsidRPr="003D1E07">
        <w:t xml:space="preserve"> za Jamblichův </w:t>
      </w:r>
      <w:r w:rsidR="087B5A8F" w:rsidRPr="003D1E07">
        <w:t xml:space="preserve">theurgický </w:t>
      </w:r>
      <w:r w:rsidR="0823079A" w:rsidRPr="003D1E07">
        <w:t xml:space="preserve">náhled do tajemství kosmických inteligencí a jejich následnou predikaci </w:t>
      </w:r>
      <w:r w:rsidR="082B3B6C" w:rsidRPr="003D1E07">
        <w:t xml:space="preserve">do </w:t>
      </w:r>
      <w:r w:rsidR="0823079A" w:rsidRPr="003D1E07">
        <w:t xml:space="preserve">objektivního diakosmu. </w:t>
      </w:r>
      <w:r w:rsidR="08702B9F" w:rsidRPr="003D1E07">
        <w:t>Univerzální noemata jsou k reálným věcem přiřazována</w:t>
      </w:r>
      <w:r w:rsidR="00D55343">
        <w:t xml:space="preserve"> v „pro-balistickém“ modelu poznání</w:t>
      </w:r>
      <w:r w:rsidR="08702B9F" w:rsidRPr="003D1E07">
        <w:t xml:space="preserve">, místo aby byla od reálných věcí abstrahována. Noemata daná participací intelektu na světě subsistentních forem a inteligencí nasvěcují v modu </w:t>
      </w:r>
      <w:r w:rsidR="08702B9F" w:rsidRPr="003D1E07">
        <w:rPr>
          <w:i/>
        </w:rPr>
        <w:t>per posterius</w:t>
      </w:r>
      <w:r w:rsidR="08702B9F" w:rsidRPr="003D1E07">
        <w:rPr>
          <w:i/>
        </w:rPr>
        <w:fldChar w:fldCharType="begin"/>
      </w:r>
      <w:r w:rsidR="08702B9F" w:rsidRPr="003D1E07">
        <w:instrText xml:space="preserve"> XE "predikace:</w:instrText>
      </w:r>
      <w:r w:rsidR="08702B9F" w:rsidRPr="003D1E07">
        <w:rPr>
          <w:i/>
        </w:rPr>
        <w:instrText>per posterius</w:instrText>
      </w:r>
      <w:r w:rsidR="08702B9F" w:rsidRPr="003D1E07">
        <w:instrText xml:space="preserve">" </w:instrText>
      </w:r>
      <w:r w:rsidR="08702B9F" w:rsidRPr="003D1E07">
        <w:rPr>
          <w:i/>
        </w:rPr>
        <w:fldChar w:fldCharType="end"/>
      </w:r>
      <w:r w:rsidR="08702B9F" w:rsidRPr="003D1E07">
        <w:t xml:space="preserve"> i reálné věci, a tak jim dávají novou jsoucnost. </w:t>
      </w:r>
      <w:r w:rsidR="0823079A" w:rsidRPr="003D1E07">
        <w:t>Aristotelův scénář poznání a pravdy je postavený úplně na hlavu. Proto neoplatonik</w:t>
      </w:r>
      <w:r w:rsidR="004E1A45">
        <w:t>ov</w:t>
      </w:r>
      <w:r w:rsidR="0823079A" w:rsidRPr="003D1E07">
        <w:t>é považují Stagiritu za pouhého imitátora a klasifikátora božích m</w:t>
      </w:r>
      <w:r w:rsidR="08561D8F" w:rsidRPr="003D1E07">
        <w:t>užů jako byl například Pythagora</w:t>
      </w:r>
      <w:r w:rsidR="0823079A" w:rsidRPr="003D1E07">
        <w:t xml:space="preserve">s. </w:t>
      </w:r>
      <w:r w:rsidR="087F5582" w:rsidRPr="003D1E07">
        <w:t xml:space="preserve">První forma </w:t>
      </w:r>
      <w:r w:rsidR="087F5582" w:rsidRPr="003D1E07">
        <w:rPr>
          <w:i/>
        </w:rPr>
        <w:t>dativus obiectivus</w:t>
      </w:r>
      <w:r w:rsidR="087F5582" w:rsidRPr="003D1E07">
        <w:t xml:space="preserve"> ukazuje, že </w:t>
      </w:r>
      <w:r w:rsidR="00F2449D" w:rsidRPr="003D1E07">
        <w:t>„</w:t>
      </w:r>
      <w:r w:rsidR="087F5582" w:rsidRPr="003D1E07">
        <w:t>probali</w:t>
      </w:r>
      <w:r w:rsidR="00D03E36" w:rsidRPr="003D1E07">
        <w:t>sti</w:t>
      </w:r>
      <w:r w:rsidR="087F5582" w:rsidRPr="003D1E07">
        <w:t>cká</w:t>
      </w:r>
      <w:r w:rsidR="00F2449D" w:rsidRPr="003D1E07">
        <w:t>“</w:t>
      </w:r>
      <w:r w:rsidR="087F5582" w:rsidRPr="003D1E07">
        <w:t xml:space="preserve"> predikace</w:t>
      </w:r>
      <w:r w:rsidR="087F5582" w:rsidRPr="003D1E07">
        <w:fldChar w:fldCharType="begin"/>
      </w:r>
      <w:r w:rsidR="087F5582" w:rsidRPr="003D1E07">
        <w:instrText xml:space="preserve"> XE "predikace:</w:instrText>
      </w:r>
      <w:r w:rsidR="087C0E69" w:rsidRPr="003D1E07">
        <w:instrText>proba</w:instrText>
      </w:r>
      <w:r w:rsidR="087F5582" w:rsidRPr="003D1E07">
        <w:instrText xml:space="preserve">lická" </w:instrText>
      </w:r>
      <w:r w:rsidR="087F5582" w:rsidRPr="003D1E07">
        <w:fldChar w:fldCharType="end"/>
      </w:r>
      <w:r w:rsidR="087F5582" w:rsidRPr="003D1E07">
        <w:t xml:space="preserve"> </w:t>
      </w:r>
      <w:r w:rsidR="08576722" w:rsidRPr="003D1E07">
        <w:t xml:space="preserve">Simplikia </w:t>
      </w:r>
      <w:r w:rsidR="087F5582" w:rsidRPr="003D1E07">
        <w:t xml:space="preserve">dala věcem další důvod k jejich </w:t>
      </w:r>
      <w:r w:rsidR="00FC2204">
        <w:t>„</w:t>
      </w:r>
      <w:r w:rsidR="087F5582" w:rsidRPr="003D1E07">
        <w:t>e</w:t>
      </w:r>
      <w:r w:rsidR="00FC2204">
        <w:t>ks</w:t>
      </w:r>
      <w:r w:rsidR="087F5582" w:rsidRPr="003D1E07">
        <w:t>istenci</w:t>
      </w:r>
      <w:r w:rsidR="00FC2204">
        <w:t>“</w:t>
      </w:r>
      <w:r w:rsidR="087F5582" w:rsidRPr="003D1E07">
        <w:t xml:space="preserve">, protože změnila kontinentní jsoucno na objektivní věc. </w:t>
      </w:r>
      <w:r w:rsidR="00BC0D4D" w:rsidRPr="003D1E07">
        <w:t>Primární noematické obsahy (προβάλλεσθαι τὰ νοήματα) směřují k samotným věcem (τοῖς πράγμασιν) a tím jim dávají dodatečný dů</w:t>
      </w:r>
      <w:r w:rsidR="00830103" w:rsidRPr="003D1E07">
        <w:t xml:space="preserve">vod ke specifické </w:t>
      </w:r>
      <w:r w:rsidR="00BC0D4D" w:rsidRPr="003D1E07">
        <w:t>„ex</w:t>
      </w:r>
      <w:r w:rsidR="00F8120D">
        <w:t>s</w:t>
      </w:r>
      <w:r w:rsidR="00BC0D4D" w:rsidRPr="003D1E07">
        <w:t xml:space="preserve">istenci“ z hlediska objektivního diakosmu. </w:t>
      </w:r>
      <w:r w:rsidR="00583085" w:rsidRPr="003D1E07">
        <w:t xml:space="preserve">Donace smyslu jsoucna začíná u moderního subjektu. </w:t>
      </w:r>
      <w:r w:rsidR="08E0319A" w:rsidRPr="003D1E07">
        <w:t>Tato „p</w:t>
      </w:r>
      <w:r w:rsidR="08FA64CF" w:rsidRPr="003D1E07">
        <w:t>robali</w:t>
      </w:r>
      <w:r w:rsidR="00D03E36" w:rsidRPr="003D1E07">
        <w:t>sti</w:t>
      </w:r>
      <w:r w:rsidR="08FA64CF" w:rsidRPr="003D1E07">
        <w:t>cká</w:t>
      </w:r>
      <w:r w:rsidR="08E0319A" w:rsidRPr="003D1E07">
        <w:t xml:space="preserve">“ </w:t>
      </w:r>
      <w:r w:rsidR="08FA64CF" w:rsidRPr="003D1E07">
        <w:t xml:space="preserve">činnost ilumináta vytvořila pod vedením Fúrií novou formu </w:t>
      </w:r>
      <w:r w:rsidR="08B779FB" w:rsidRPr="003D1E07">
        <w:t xml:space="preserve">metafyzického </w:t>
      </w:r>
      <w:r w:rsidR="08FA64CF" w:rsidRPr="003D1E07">
        <w:t xml:space="preserve">dativu. </w:t>
      </w:r>
      <w:r w:rsidR="08F4250D" w:rsidRPr="003D1E07">
        <w:t>Hylemorfická věc existuje sama o sobě a iluminát k její ex</w:t>
      </w:r>
      <w:r w:rsidR="08286160" w:rsidRPr="003D1E07">
        <w:t>istenci</w:t>
      </w:r>
      <w:r w:rsidR="08F4250D" w:rsidRPr="003D1E07">
        <w:t xml:space="preserve"> přidal další mytopoetické </w:t>
      </w:r>
      <w:r w:rsidR="08F4250D" w:rsidRPr="003D1E07">
        <w:rPr>
          <w:i/>
        </w:rPr>
        <w:t>ratio</w:t>
      </w:r>
      <w:r w:rsidR="08286160" w:rsidRPr="003D1E07">
        <w:t xml:space="preserve"> symbolizující v modu analogie tajemnou sounáležitost materiálního jsoucna k vyššímu světu forem-</w:t>
      </w:r>
      <w:r w:rsidR="00F214C5" w:rsidRPr="003D1E07">
        <w:t>species</w:t>
      </w:r>
      <w:r w:rsidR="08286160" w:rsidRPr="003D1E07">
        <w:t xml:space="preserve">. </w:t>
      </w:r>
      <w:r w:rsidR="00356CC2" w:rsidRPr="003D1E07">
        <w:t xml:space="preserve">Simplikiovo </w:t>
      </w:r>
      <w:r w:rsidR="08286160" w:rsidRPr="003D1E07">
        <w:t>myt</w:t>
      </w:r>
      <w:r w:rsidR="08924B7B" w:rsidRPr="003D1E07">
        <w:t>opoet</w:t>
      </w:r>
      <w:r w:rsidR="08286160" w:rsidRPr="003D1E07">
        <w:t xml:space="preserve">ické </w:t>
      </w:r>
      <w:r w:rsidR="00356CC2" w:rsidRPr="003D1E07">
        <w:rPr>
          <w:i/>
        </w:rPr>
        <w:t>ratio sufficiens</w:t>
      </w:r>
      <w:r w:rsidR="00356CC2" w:rsidRPr="003D1E07">
        <w:t xml:space="preserve"> </w:t>
      </w:r>
      <w:r w:rsidR="00020712" w:rsidRPr="003D1E07">
        <w:t xml:space="preserve">pro reálné první substance </w:t>
      </w:r>
      <w:r w:rsidR="08F4250D" w:rsidRPr="003D1E07">
        <w:t xml:space="preserve">znovu </w:t>
      </w:r>
      <w:r w:rsidR="00356CC2" w:rsidRPr="003D1E07">
        <w:t>tematizuje novověký Leibniz</w:t>
      </w:r>
      <w:r w:rsidR="00356CC2" w:rsidRPr="003D1E07">
        <w:fldChar w:fldCharType="begin"/>
      </w:r>
      <w:r w:rsidR="00356CC2" w:rsidRPr="003D1E07">
        <w:instrText xml:space="preserve"> XE "Leibniz, G. W." </w:instrText>
      </w:r>
      <w:r w:rsidR="00356CC2" w:rsidRPr="003D1E07">
        <w:fldChar w:fldCharType="end"/>
      </w:r>
      <w:r w:rsidR="00356CC2" w:rsidRPr="003D1E07">
        <w:t xml:space="preserve"> v</w:t>
      </w:r>
      <w:r w:rsidR="00A95BCF" w:rsidRPr="003D1E07">
        <w:t xml:space="preserve"> principu </w:t>
      </w:r>
      <w:r w:rsidR="00356CC2" w:rsidRPr="003D1E07">
        <w:t>dostatečného důvodu</w:t>
      </w:r>
      <w:r w:rsidR="00356CC2" w:rsidRPr="003D1E07">
        <w:fldChar w:fldCharType="begin"/>
      </w:r>
      <w:r w:rsidR="00356CC2" w:rsidRPr="003D1E07">
        <w:instrText xml:space="preserve"> XE "princip dostatečného důvodu" </w:instrText>
      </w:r>
      <w:r w:rsidR="00356CC2" w:rsidRPr="003D1E07">
        <w:fldChar w:fldCharType="end"/>
      </w:r>
      <w:r w:rsidR="00356CC2" w:rsidRPr="003D1E07">
        <w:t xml:space="preserve"> (</w:t>
      </w:r>
      <w:r w:rsidR="08A85B38" w:rsidRPr="003D1E07">
        <w:t xml:space="preserve">OBJ II, </w:t>
      </w:r>
      <w:r w:rsidR="08A85B38" w:rsidRPr="003D1E07">
        <w:rPr>
          <w:rStyle w:val="st"/>
          <w:bCs/>
        </w:rPr>
        <w:lastRenderedPageBreak/>
        <w:t>kap. 3</w:t>
      </w:r>
      <w:r w:rsidR="00356CC2" w:rsidRPr="003D1E07">
        <w:rPr>
          <w:rStyle w:val="st"/>
          <w:bCs/>
        </w:rPr>
        <w:t>.5</w:t>
      </w:r>
      <w:r w:rsidR="00356CC2" w:rsidRPr="003D1E07">
        <w:t xml:space="preserve">). </w:t>
      </w:r>
      <w:r w:rsidR="00C91E3A" w:rsidRPr="003D1E07">
        <w:rPr>
          <w:rStyle w:val="st"/>
        </w:rPr>
        <w:t xml:space="preserve">Simplikiův </w:t>
      </w:r>
      <w:r w:rsidR="00C91E3A" w:rsidRPr="003D1E07">
        <w:t xml:space="preserve">výklad </w:t>
      </w:r>
      <w:r w:rsidR="00C91E3A" w:rsidRPr="003D1E07">
        <w:rPr>
          <w:i/>
        </w:rPr>
        <w:t>Kategorií</w:t>
      </w:r>
      <w:r w:rsidR="00C91E3A" w:rsidRPr="003D1E07">
        <w:t xml:space="preserve"> připravil pro západní scholastiku nové </w:t>
      </w:r>
      <w:r w:rsidR="00C91E3A" w:rsidRPr="003D1E07">
        <w:rPr>
          <w:i/>
        </w:rPr>
        <w:t>Lichtung</w:t>
      </w:r>
      <w:r w:rsidR="00C91E3A" w:rsidRPr="003D1E07">
        <w:t xml:space="preserve">, v němž se mění nasvícení smyslu jsoucna. </w:t>
      </w:r>
      <w:r w:rsidR="006F0F34" w:rsidRPr="003D1E07">
        <w:t>Pragmatiku poznání nezakládá realita prvních substancí, ale výkon samotné duše</w:t>
      </w:r>
      <w:r w:rsidR="002908F2" w:rsidRPr="003D1E07">
        <w:t xml:space="preserve"> nazírající objektivní diakosmos</w:t>
      </w:r>
      <w:r w:rsidR="006F0F34" w:rsidRPr="003D1E07">
        <w:t xml:space="preserve">. </w:t>
      </w:r>
      <w:r w:rsidR="08726E55" w:rsidRPr="003D1E07">
        <w:rPr>
          <w:rStyle w:val="st"/>
        </w:rPr>
        <w:t xml:space="preserve">Akademický mýtus </w:t>
      </w:r>
      <w:r w:rsidR="08726E55" w:rsidRPr="003D1E07">
        <w:t xml:space="preserve">moderního intelektu-slunce </w:t>
      </w:r>
      <w:r w:rsidR="00B84929" w:rsidRPr="003D1E07">
        <w:t>post</w:t>
      </w:r>
      <w:r w:rsidR="0046114B" w:rsidRPr="003D1E07">
        <w:t>a</w:t>
      </w:r>
      <w:r w:rsidR="00B84929" w:rsidRPr="003D1E07">
        <w:t>veného mimo reál</w:t>
      </w:r>
      <w:r w:rsidR="0046114B" w:rsidRPr="003D1E07">
        <w:t>ně existující</w:t>
      </w:r>
      <w:r w:rsidR="00B84929" w:rsidRPr="003D1E07">
        <w:t xml:space="preserve"> věci zakládá </w:t>
      </w:r>
      <w:r w:rsidR="08726E55" w:rsidRPr="003D1E07">
        <w:rPr>
          <w:i/>
        </w:rPr>
        <w:t>epoché</w:t>
      </w:r>
      <w:r w:rsidR="08726E55" w:rsidRPr="003D1E07">
        <w:rPr>
          <w:i/>
        </w:rPr>
        <w:fldChar w:fldCharType="begin"/>
      </w:r>
      <w:r w:rsidR="08726E55" w:rsidRPr="003D1E07">
        <w:rPr>
          <w:i/>
        </w:rPr>
        <w:instrText xml:space="preserve"> XE "epoché" </w:instrText>
      </w:r>
      <w:r w:rsidR="08726E55" w:rsidRPr="003D1E07">
        <w:rPr>
          <w:i/>
        </w:rPr>
        <w:fldChar w:fldCharType="end"/>
      </w:r>
      <w:r w:rsidR="08726E55" w:rsidRPr="003D1E07">
        <w:t xml:space="preserve"> </w:t>
      </w:r>
      <w:r w:rsidR="0046114B" w:rsidRPr="003D1E07">
        <w:t>od první substance v</w:t>
      </w:r>
      <w:r w:rsidR="00FF4F05" w:rsidRPr="003D1E07">
        <w:t> západním myšlení</w:t>
      </w:r>
      <w:r w:rsidR="08726E55" w:rsidRPr="003D1E07">
        <w:t xml:space="preserve">. </w:t>
      </w:r>
      <w:r w:rsidR="08C756B6" w:rsidRPr="003D1E07">
        <w:t>A</w:t>
      </w:r>
      <w:r w:rsidR="006F0F34" w:rsidRPr="003D1E07">
        <w:rPr>
          <w:rStyle w:val="st"/>
        </w:rPr>
        <w:t xml:space="preserve">ktualita </w:t>
      </w:r>
      <w:r w:rsidR="08C756B6" w:rsidRPr="003D1E07">
        <w:rPr>
          <w:rStyle w:val="st"/>
        </w:rPr>
        <w:t xml:space="preserve">kosmického </w:t>
      </w:r>
      <w:r w:rsidR="08C756B6" w:rsidRPr="003D1E07">
        <w:rPr>
          <w:rStyle w:val="st"/>
          <w:i/>
        </w:rPr>
        <w:t>intellectus agens</w:t>
      </w:r>
      <w:r w:rsidR="08C756B6" w:rsidRPr="003D1E07">
        <w:rPr>
          <w:rStyle w:val="st"/>
        </w:rPr>
        <w:t xml:space="preserve"> </w:t>
      </w:r>
      <w:r w:rsidR="083F2108" w:rsidRPr="003D1E07">
        <w:rPr>
          <w:rStyle w:val="st"/>
        </w:rPr>
        <w:t>umožňuje probali</w:t>
      </w:r>
      <w:r w:rsidR="00D03E36" w:rsidRPr="003D1E07">
        <w:rPr>
          <w:rStyle w:val="st"/>
        </w:rPr>
        <w:t>sti</w:t>
      </w:r>
      <w:r w:rsidR="083F2108" w:rsidRPr="003D1E07">
        <w:rPr>
          <w:rStyle w:val="st"/>
        </w:rPr>
        <w:t>ckou činnost ilumináta ve vezdejším světě</w:t>
      </w:r>
      <w:r w:rsidR="084749D4" w:rsidRPr="003D1E07">
        <w:rPr>
          <w:rStyle w:val="st"/>
        </w:rPr>
        <w:t xml:space="preserve">, v němž modernista </w:t>
      </w:r>
      <w:r w:rsidR="083F2108" w:rsidRPr="003D1E07">
        <w:rPr>
          <w:rStyle w:val="st"/>
        </w:rPr>
        <w:t>existuje v modu intelektuálního odcizení. Ve druhém kroku se neoplatonik odebírá d</w:t>
      </w:r>
      <w:r w:rsidR="00BB009A" w:rsidRPr="003D1E07">
        <w:rPr>
          <w:rStyle w:val="st"/>
        </w:rPr>
        <w:t>o světa</w:t>
      </w:r>
      <w:r w:rsidR="08901C7B" w:rsidRPr="003D1E07">
        <w:rPr>
          <w:rStyle w:val="st"/>
        </w:rPr>
        <w:t xml:space="preserve"> </w:t>
      </w:r>
      <w:r w:rsidR="087338F8" w:rsidRPr="003D1E07">
        <w:rPr>
          <w:rStyle w:val="st"/>
        </w:rPr>
        <w:t>smyslových první</w:t>
      </w:r>
      <w:r w:rsidR="08AE595B" w:rsidRPr="003D1E07">
        <w:rPr>
          <w:rStyle w:val="st"/>
        </w:rPr>
        <w:t>ch</w:t>
      </w:r>
      <w:r w:rsidR="087338F8" w:rsidRPr="003D1E07">
        <w:rPr>
          <w:rStyle w:val="st"/>
        </w:rPr>
        <w:t xml:space="preserve"> substancí. </w:t>
      </w:r>
      <w:r w:rsidR="084B59F1" w:rsidRPr="003D1E07">
        <w:rPr>
          <w:rStyle w:val="st"/>
        </w:rPr>
        <w:t xml:space="preserve">Simplikiův noematický </w:t>
      </w:r>
      <w:r w:rsidR="001514E9" w:rsidRPr="003D1E07">
        <w:rPr>
          <w:rStyle w:val="st"/>
        </w:rPr>
        <w:t xml:space="preserve">náhled jsoucna </w:t>
      </w:r>
      <w:r w:rsidR="007A2013" w:rsidRPr="003D1E07">
        <w:t>p</w:t>
      </w:r>
      <w:r w:rsidR="001514E9" w:rsidRPr="003D1E07">
        <w:t xml:space="preserve">řebírá </w:t>
      </w:r>
      <w:r w:rsidR="084B59F1" w:rsidRPr="003D1E07">
        <w:t xml:space="preserve">první modernista </w:t>
      </w:r>
      <w:r w:rsidR="007A2013" w:rsidRPr="003D1E07">
        <w:t xml:space="preserve">Rufus z Cornwallu </w:t>
      </w:r>
      <w:r w:rsidR="084B59F1" w:rsidRPr="003D1E07">
        <w:t xml:space="preserve">v termínu </w:t>
      </w:r>
      <w:r w:rsidR="001514E9" w:rsidRPr="003D1E07">
        <w:rPr>
          <w:i/>
        </w:rPr>
        <w:t>scibile</w:t>
      </w:r>
      <w:r w:rsidR="001514E9" w:rsidRPr="003D1E07">
        <w:rPr>
          <w:i/>
        </w:rPr>
        <w:fldChar w:fldCharType="begin"/>
      </w:r>
      <w:r w:rsidR="001514E9" w:rsidRPr="003D1E07">
        <w:instrText xml:space="preserve"> XE "</w:instrText>
      </w:r>
      <w:r w:rsidR="001514E9" w:rsidRPr="003D1E07">
        <w:rPr>
          <w:i/>
        </w:rPr>
        <w:instrText>scibile</w:instrText>
      </w:r>
      <w:r w:rsidR="001514E9" w:rsidRPr="003D1E07">
        <w:instrText xml:space="preserve">" </w:instrText>
      </w:r>
      <w:r w:rsidR="001514E9" w:rsidRPr="003D1E07">
        <w:rPr>
          <w:i/>
        </w:rPr>
        <w:fldChar w:fldCharType="end"/>
      </w:r>
      <w:r w:rsidR="001514E9" w:rsidRPr="003D1E07">
        <w:t xml:space="preserve"> </w:t>
      </w:r>
      <w:r w:rsidR="007A2013" w:rsidRPr="003D1E07">
        <w:t>(</w:t>
      </w:r>
      <w:r w:rsidR="08A85B38" w:rsidRPr="003D1E07">
        <w:t xml:space="preserve">OBJ II, </w:t>
      </w:r>
      <w:r w:rsidR="08A85B38" w:rsidRPr="003D1E07">
        <w:rPr>
          <w:rStyle w:val="st"/>
        </w:rPr>
        <w:t>kap. 3</w:t>
      </w:r>
      <w:r w:rsidR="007A2013" w:rsidRPr="003D1E07">
        <w:rPr>
          <w:rStyle w:val="st"/>
        </w:rPr>
        <w:t>.3.2</w:t>
      </w:r>
      <w:r w:rsidR="084B59F1" w:rsidRPr="003D1E07">
        <w:t xml:space="preserve">) a po něm postmoderní </w:t>
      </w:r>
      <w:r w:rsidR="001514E9" w:rsidRPr="003D1E07">
        <w:t>Husserl</w:t>
      </w:r>
      <w:r w:rsidR="088A1EC0" w:rsidRPr="003D1E07">
        <w:t xml:space="preserve">. Oba ilumináti </w:t>
      </w:r>
      <w:r w:rsidR="084B59F1" w:rsidRPr="003D1E07">
        <w:t>latinského Západu tvrdí, že jdou v poznání k tzv. „k věcem samým“ (</w:t>
      </w:r>
      <w:r w:rsidR="084B59F1" w:rsidRPr="003D1E07">
        <w:rPr>
          <w:rStyle w:val="st"/>
          <w:i/>
        </w:rPr>
        <w:t xml:space="preserve">zu den </w:t>
      </w:r>
      <w:r w:rsidR="084B59F1" w:rsidRPr="003D1E07">
        <w:rPr>
          <w:rStyle w:val="st"/>
          <w:bCs/>
          <w:i/>
        </w:rPr>
        <w:t>Sachen</w:t>
      </w:r>
      <w:r w:rsidR="084B59F1" w:rsidRPr="003D1E07">
        <w:rPr>
          <w:rStyle w:val="st"/>
          <w:i/>
        </w:rPr>
        <w:t xml:space="preserve"> selbst</w:t>
      </w:r>
      <w:r w:rsidR="084B59F1" w:rsidRPr="003D1E07">
        <w:rPr>
          <w:rStyle w:val="st"/>
        </w:rPr>
        <w:t>)</w:t>
      </w:r>
      <w:r w:rsidR="084B59F1" w:rsidRPr="003D1E07">
        <w:t xml:space="preserve">. </w:t>
      </w:r>
      <w:r w:rsidR="08B245E9" w:rsidRPr="003D1E07">
        <w:rPr>
          <w:rStyle w:val="st"/>
        </w:rPr>
        <w:t xml:space="preserve">Oba zmínění modernisté tvrdí po vzoru Simplikia, ona původní „věc“ filosofie je dána v aktu ideové </w:t>
      </w:r>
      <w:r w:rsidR="08B245E9" w:rsidRPr="003D1E07">
        <w:rPr>
          <w:rStyle w:val="st"/>
          <w:i/>
        </w:rPr>
        <w:t>Wesensschau</w:t>
      </w:r>
      <w:r w:rsidR="08B245E9" w:rsidRPr="003D1E07">
        <w:rPr>
          <w:rStyle w:val="st"/>
          <w:i/>
        </w:rPr>
        <w:fldChar w:fldCharType="begin"/>
      </w:r>
      <w:r w:rsidR="08B245E9" w:rsidRPr="003D1E07">
        <w:instrText xml:space="preserve"> XE "</w:instrText>
      </w:r>
      <w:r w:rsidR="08B245E9" w:rsidRPr="003D1E07">
        <w:rPr>
          <w:i/>
        </w:rPr>
        <w:instrText>Wesensschau</w:instrText>
      </w:r>
      <w:r w:rsidR="08B245E9" w:rsidRPr="003D1E07">
        <w:instrText xml:space="preserve">" </w:instrText>
      </w:r>
      <w:r w:rsidR="08B245E9" w:rsidRPr="003D1E07">
        <w:rPr>
          <w:rStyle w:val="st"/>
          <w:i/>
        </w:rPr>
        <w:fldChar w:fldCharType="end"/>
      </w:r>
      <w:r w:rsidR="08B245E9" w:rsidRPr="003D1E07">
        <w:rPr>
          <w:rStyle w:val="st"/>
        </w:rPr>
        <w:t xml:space="preserve">, kterou má intelekt sám v sobě a ze sebe. </w:t>
      </w:r>
      <w:r w:rsidR="084B59F1" w:rsidRPr="003D1E07">
        <w:t xml:space="preserve">Hermeneutika ukázala výkladem pozdně antického </w:t>
      </w:r>
      <w:r w:rsidR="084B59F1" w:rsidRPr="003D1E07">
        <w:rPr>
          <w:i/>
        </w:rPr>
        <w:t>translatio studiorum</w:t>
      </w:r>
      <w:r w:rsidR="084B59F1" w:rsidRPr="003D1E07">
        <w:rPr>
          <w:i/>
        </w:rPr>
        <w:fldChar w:fldCharType="begin"/>
      </w:r>
      <w:r w:rsidR="084B59F1" w:rsidRPr="003D1E07">
        <w:instrText xml:space="preserve"> XE "</w:instrText>
      </w:r>
      <w:r w:rsidR="084B59F1" w:rsidRPr="003D1E07">
        <w:rPr>
          <w:i/>
        </w:rPr>
        <w:instrText>translatio studiorum</w:instrText>
      </w:r>
      <w:r w:rsidR="084B59F1" w:rsidRPr="003D1E07">
        <w:instrText xml:space="preserve">" </w:instrText>
      </w:r>
      <w:r w:rsidR="084B59F1" w:rsidRPr="003D1E07">
        <w:rPr>
          <w:i/>
        </w:rPr>
        <w:fldChar w:fldCharType="end"/>
      </w:r>
      <w:r w:rsidR="084B59F1" w:rsidRPr="003D1E07">
        <w:rPr>
          <w:i/>
        </w:rPr>
        <w:t xml:space="preserve"> </w:t>
      </w:r>
      <w:r w:rsidR="084B59F1" w:rsidRPr="003D1E07">
        <w:t xml:space="preserve">od Porfyria k Simplikiovi, že moderna a postmoderna </w:t>
      </w:r>
      <w:r w:rsidR="088A1EC0" w:rsidRPr="003D1E07">
        <w:t xml:space="preserve">skrze termín „věc“ </w:t>
      </w:r>
      <w:r w:rsidR="084B59F1" w:rsidRPr="003D1E07">
        <w:t xml:space="preserve">ve skutečnosti myslí Simplikiovu nedělitelnou substanci podanou jako jsoucno třetího druhu. </w:t>
      </w:r>
      <w:r w:rsidR="08895F68" w:rsidRPr="003D1E07">
        <w:t xml:space="preserve">O nové substanci třetího druhu již lze vypovídat </w:t>
      </w:r>
      <w:r w:rsidR="08895F68" w:rsidRPr="003D1E07">
        <w:rPr>
          <w:i/>
        </w:rPr>
        <w:t>absolute</w:t>
      </w:r>
      <w:r w:rsidR="08895F68" w:rsidRPr="003D1E07">
        <w:t>, tj. odděleně od bývalé hylemorfické první substance</w:t>
      </w:r>
      <w:r w:rsidR="004B1B1E" w:rsidRPr="003D1E07">
        <w:t xml:space="preserve">. Moderna ztratila základní význam spisu </w:t>
      </w:r>
      <w:r w:rsidR="004B1B1E" w:rsidRPr="003D1E07">
        <w:rPr>
          <w:i/>
        </w:rPr>
        <w:t>Kategorie</w:t>
      </w:r>
      <w:r w:rsidR="004B1B1E" w:rsidRPr="003D1E07">
        <w:t xml:space="preserve">, který spojoval </w:t>
      </w:r>
      <w:r w:rsidR="00D1756B" w:rsidRPr="003D1E07">
        <w:t xml:space="preserve">kritické </w:t>
      </w:r>
      <w:r w:rsidR="004B1B1E" w:rsidRPr="003D1E07">
        <w:t>myšlení a realitu.</w:t>
      </w:r>
      <w:r w:rsidR="08895F68" w:rsidRPr="003D1E07">
        <w:rPr>
          <w:rStyle w:val="addmd"/>
          <w:i/>
        </w:rPr>
        <w:fldChar w:fldCharType="begin"/>
      </w:r>
      <w:r w:rsidR="08895F68" w:rsidRPr="003D1E07">
        <w:instrText xml:space="preserve"> XE "signifikace:modus </w:instrText>
      </w:r>
      <w:r w:rsidR="08895F68" w:rsidRPr="003D1E07">
        <w:rPr>
          <w:i/>
        </w:rPr>
        <w:instrText>absolute</w:instrText>
      </w:r>
      <w:r w:rsidR="08895F68" w:rsidRPr="003D1E07">
        <w:instrText xml:space="preserve">" </w:instrText>
      </w:r>
      <w:r w:rsidR="08895F68" w:rsidRPr="003D1E07">
        <w:rPr>
          <w:rStyle w:val="addmd"/>
          <w:i/>
        </w:rPr>
        <w:fldChar w:fldCharType="end"/>
      </w:r>
    </w:p>
    <w:p w14:paraId="06A6FD88" w14:textId="77777777" w:rsidR="0049313D" w:rsidRDefault="08B245E9" w:rsidP="00684365">
      <w:r w:rsidRPr="003D1E07">
        <w:rPr>
          <w:rStyle w:val="st"/>
        </w:rPr>
        <w:tab/>
      </w:r>
      <w:r w:rsidR="08507327" w:rsidRPr="003D1E07">
        <w:rPr>
          <w:rStyle w:val="st"/>
        </w:rPr>
        <w:t xml:space="preserve">Klíčovou roli </w:t>
      </w:r>
      <w:r w:rsidR="089C15BC" w:rsidRPr="003D1E07">
        <w:rPr>
          <w:rStyle w:val="st"/>
        </w:rPr>
        <w:t xml:space="preserve">v utváření objektivity </w:t>
      </w:r>
      <w:r w:rsidR="08507327" w:rsidRPr="003D1E07">
        <w:rPr>
          <w:rStyle w:val="st"/>
        </w:rPr>
        <w:t>hraje kategorie vztahu</w:t>
      </w:r>
      <w:r w:rsidR="08FA3893" w:rsidRPr="003D1E07">
        <w:rPr>
          <w:rStyle w:val="st"/>
        </w:rPr>
        <w:t xml:space="preserve"> již zmíněná u Porfyriova výkladu dialogu </w:t>
      </w:r>
      <w:r w:rsidR="08FA3893" w:rsidRPr="003D1E07">
        <w:rPr>
          <w:rStyle w:val="st"/>
          <w:i/>
        </w:rPr>
        <w:t>Parmenides</w:t>
      </w:r>
      <w:r w:rsidR="08FA3893" w:rsidRPr="003D1E07">
        <w:rPr>
          <w:rStyle w:val="st"/>
        </w:rPr>
        <w:t xml:space="preserve"> </w:t>
      </w:r>
      <w:r w:rsidR="08AF6B7D" w:rsidRPr="003D1E07">
        <w:t>(kap. 1.3</w:t>
      </w:r>
      <w:r w:rsidR="08FA3893" w:rsidRPr="003D1E07">
        <w:t>.1)</w:t>
      </w:r>
      <w:r w:rsidR="08FA3893" w:rsidRPr="003D1E07">
        <w:rPr>
          <w:rStyle w:val="st"/>
        </w:rPr>
        <w:t>. T</w:t>
      </w:r>
      <w:r w:rsidR="0848409D" w:rsidRPr="003D1E07">
        <w:rPr>
          <w:rStyle w:val="st"/>
        </w:rPr>
        <w:t>ento akcident začal</w:t>
      </w:r>
      <w:r w:rsidR="08507327" w:rsidRPr="003D1E07">
        <w:rPr>
          <w:rStyle w:val="st"/>
        </w:rPr>
        <w:t xml:space="preserve"> fungovat jako samostatná hypostáze</w:t>
      </w:r>
      <w:r w:rsidR="0848409D" w:rsidRPr="003D1E07">
        <w:rPr>
          <w:rStyle w:val="st"/>
        </w:rPr>
        <w:t>-substance</w:t>
      </w:r>
      <w:r w:rsidR="08507327" w:rsidRPr="003D1E07">
        <w:rPr>
          <w:rStyle w:val="st"/>
        </w:rPr>
        <w:t xml:space="preserve">. </w:t>
      </w:r>
      <w:r w:rsidR="08EC5B73" w:rsidRPr="003D1E07">
        <w:t>Původní Aristotelův význam spojoval kategorii vztahu (</w:t>
      </w:r>
      <w:r w:rsidR="08EC5B73" w:rsidRPr="003D1E07">
        <w:rPr>
          <w:i/>
        </w:rPr>
        <w:t>relatio</w:t>
      </w:r>
      <w:r w:rsidR="08EC5B73" w:rsidRPr="003D1E07">
        <w:t xml:space="preserve">) se stavem reálných substancí. </w:t>
      </w:r>
      <w:r w:rsidR="08507327" w:rsidRPr="003D1E07">
        <w:t>Simplikius odkazem na pseudo-Archytáse</w:t>
      </w:r>
      <w:r w:rsidR="08507327" w:rsidRPr="003D1E07">
        <w:fldChar w:fldCharType="begin"/>
      </w:r>
      <w:r w:rsidR="08507327" w:rsidRPr="003D1E07">
        <w:instrText xml:space="preserve"> XE "Archytás" </w:instrText>
      </w:r>
      <w:r w:rsidR="08507327" w:rsidRPr="003D1E07">
        <w:fldChar w:fldCharType="end"/>
      </w:r>
      <w:r w:rsidR="08507327" w:rsidRPr="003D1E07">
        <w:t xml:space="preserve"> zavádí nový kategoriální význam </w:t>
      </w:r>
      <w:r w:rsidR="08507327" w:rsidRPr="003D1E07">
        <w:rPr>
          <w:rStyle w:val="TextpoznpodarouChar"/>
          <w:i/>
        </w:rPr>
        <w:t>esse ad</w:t>
      </w:r>
      <w:r w:rsidR="08507327" w:rsidRPr="003D1E07">
        <w:rPr>
          <w:rStyle w:val="TextpoznpodarouChar"/>
        </w:rPr>
        <w:t xml:space="preserve"> </w:t>
      </w:r>
      <w:r w:rsidR="08507327" w:rsidRPr="003D1E07">
        <w:t xml:space="preserve">v modu </w:t>
      </w:r>
      <w:r w:rsidR="08507327" w:rsidRPr="003D1E07">
        <w:rPr>
          <w:i/>
        </w:rPr>
        <w:t xml:space="preserve">simpliciter </w:t>
      </w:r>
      <w:r w:rsidR="08507327" w:rsidRPr="003D1E07">
        <w:t>(πρός τι τὸ ἁπλῶς).</w:t>
      </w:r>
      <w:r w:rsidR="08507327" w:rsidRPr="003D1E07">
        <w:rPr>
          <w:rStyle w:val="Znakapoznpodarou"/>
        </w:rPr>
        <w:footnoteReference w:id="61"/>
      </w:r>
      <w:r w:rsidR="08507327" w:rsidRPr="003D1E07">
        <w:t xml:space="preserve"> Simplikius vzal pythagorejskou </w:t>
      </w:r>
      <w:r w:rsidR="08093C0A" w:rsidRPr="003D1E07">
        <w:t xml:space="preserve">múzickou formu aritmetického </w:t>
      </w:r>
      <w:r w:rsidR="08507327" w:rsidRPr="003D1E07">
        <w:t>vztahu jako základ objektivní signifikace (</w:t>
      </w:r>
      <w:r w:rsidR="08507327" w:rsidRPr="003D1E07">
        <w:rPr>
          <w:rStyle w:val="TextpoznpodarouChar"/>
        </w:rPr>
        <w:t>περὶ ἀριθμὸν ἢ κατὰ ἀριθμόν τι σημαίνει</w:t>
      </w:r>
      <w:r w:rsidR="081F45B0" w:rsidRPr="003D1E07">
        <w:rPr>
          <w:rStyle w:val="TextpoznpodarouChar"/>
        </w:rPr>
        <w:t>,</w:t>
      </w:r>
      <w:r w:rsidR="083F27BA" w:rsidRPr="003D1E07">
        <w:rPr>
          <w:rStyle w:val="TextpoznpodarouChar"/>
        </w:rPr>
        <w:t xml:space="preserve"> </w:t>
      </w:r>
      <w:r w:rsidR="083F27BA" w:rsidRPr="003D1E07">
        <w:rPr>
          <w:rStyle w:val="TextpoznpodarouChar"/>
          <w:i/>
        </w:rPr>
        <w:t xml:space="preserve">Simpl. </w:t>
      </w:r>
      <w:r w:rsidR="08180FA8" w:rsidRPr="003D1E07">
        <w:rPr>
          <w:rStyle w:val="TextpoznpodarouChar"/>
          <w:i/>
        </w:rPr>
        <w:t xml:space="preserve">in </w:t>
      </w:r>
      <w:r w:rsidR="083F27BA" w:rsidRPr="003D1E07">
        <w:rPr>
          <w:rStyle w:val="TextpoznpodarouChar"/>
          <w:i/>
        </w:rPr>
        <w:t>Cat</w:t>
      </w:r>
      <w:r w:rsidR="083F27BA" w:rsidRPr="003D1E07">
        <w:rPr>
          <w:rStyle w:val="TextpoznpodarouChar"/>
        </w:rPr>
        <w:t>. 61.9</w:t>
      </w:r>
      <w:r w:rsidR="083F27BA" w:rsidRPr="003D1E07">
        <w:rPr>
          <w:rStyle w:val="TextpoznpodarouChar"/>
        </w:rPr>
        <w:fldChar w:fldCharType="begin"/>
      </w:r>
      <w:r w:rsidR="083F27BA" w:rsidRPr="003D1E07">
        <w:instrText xml:space="preserve"> XE "Simplikius:</w:instrText>
      </w:r>
      <w:r w:rsidR="083F27BA" w:rsidRPr="003D1E07">
        <w:rPr>
          <w:rStyle w:val="TextpoznpodarouChar"/>
          <w:i/>
        </w:rPr>
        <w:instrText xml:space="preserve">Simpl. </w:instrText>
      </w:r>
      <w:r w:rsidR="08180FA8" w:rsidRPr="003D1E07">
        <w:rPr>
          <w:rStyle w:val="TextpoznpodarouChar"/>
          <w:i/>
        </w:rPr>
        <w:instrText xml:space="preserve">in </w:instrText>
      </w:r>
      <w:r w:rsidR="083F27BA" w:rsidRPr="003D1E07">
        <w:rPr>
          <w:rStyle w:val="TextpoznpodarouChar"/>
          <w:i/>
        </w:rPr>
        <w:instrText>Cat</w:instrText>
      </w:r>
      <w:r w:rsidR="083F27BA" w:rsidRPr="003D1E07">
        <w:rPr>
          <w:rStyle w:val="TextpoznpodarouChar"/>
        </w:rPr>
        <w:instrText>. 61.9</w:instrText>
      </w:r>
      <w:r w:rsidR="083F27BA" w:rsidRPr="003D1E07">
        <w:instrText xml:space="preserve">" </w:instrText>
      </w:r>
      <w:r w:rsidR="083F27BA" w:rsidRPr="003D1E07">
        <w:rPr>
          <w:rStyle w:val="TextpoznpodarouChar"/>
        </w:rPr>
        <w:fldChar w:fldCharType="end"/>
      </w:r>
      <w:r w:rsidR="08507327" w:rsidRPr="003D1E07">
        <w:t>)</w:t>
      </w:r>
      <w:r w:rsidR="089C15BC" w:rsidRPr="003D1E07">
        <w:t xml:space="preserve">. </w:t>
      </w:r>
      <w:r w:rsidR="082D6873" w:rsidRPr="003D1E07">
        <w:t xml:space="preserve">Aristotelova akcidentální kategorie vztahu se změnila na substanci třetího druhu. Její význam je odvozován od aritmetického počtu, který zakládá kategoriální signifikaci v modu </w:t>
      </w:r>
      <w:r w:rsidR="082D6873" w:rsidRPr="003D1E07">
        <w:rPr>
          <w:i/>
        </w:rPr>
        <w:t>per prius</w:t>
      </w:r>
      <w:r w:rsidR="082D6873" w:rsidRPr="003D1E07">
        <w:t xml:space="preserve"> podle neoplatonismu. </w:t>
      </w:r>
      <w:r w:rsidR="08937376" w:rsidRPr="003D1E07">
        <w:t xml:space="preserve">Vlastnost původně daná pouze vztahem k reálné substanci začala fungovat v modu </w:t>
      </w:r>
      <w:r w:rsidR="08937376" w:rsidRPr="003D1E07">
        <w:rPr>
          <w:i/>
        </w:rPr>
        <w:t>simpliciter</w:t>
      </w:r>
      <w:r w:rsidR="08937376" w:rsidRPr="003D1E07">
        <w:t xml:space="preserve"> jako samostatná hypostáze, protože dostala matematickou definici</w:t>
      </w:r>
      <w:r w:rsidR="08AE0FB7" w:rsidRPr="003D1E07">
        <w:t xml:space="preserve"> odkazem na pythágorejce</w:t>
      </w:r>
      <w:r w:rsidR="08937376" w:rsidRPr="003D1E07">
        <w:t xml:space="preserve">. </w:t>
      </w:r>
      <w:r w:rsidR="08937376" w:rsidRPr="003D1E07">
        <w:lastRenderedPageBreak/>
        <w:t xml:space="preserve">Díky matematické analogii vznikl nový </w:t>
      </w:r>
      <w:r w:rsidR="08507327" w:rsidRPr="003D1E07">
        <w:t>hypostázovaný vztah mezi substancí a akcidenty (</w:t>
      </w:r>
      <w:r w:rsidR="08507327" w:rsidRPr="003D1E07">
        <w:rPr>
          <w:rStyle w:val="TextpoznpodarouChar"/>
        </w:rPr>
        <w:t xml:space="preserve">τῷ δὲ πρός τι τὸ ἁπλῶς πρὸς ἄλληλα λέγεσθαι, </w:t>
      </w:r>
      <w:r w:rsidR="08507327" w:rsidRPr="003D1E07">
        <w:rPr>
          <w:rStyle w:val="TextpoznpodarouChar"/>
          <w:i/>
        </w:rPr>
        <w:t xml:space="preserve">Simpl. </w:t>
      </w:r>
      <w:r w:rsidR="08180FA8" w:rsidRPr="003D1E07">
        <w:rPr>
          <w:rStyle w:val="TextpoznpodarouChar"/>
          <w:i/>
        </w:rPr>
        <w:t xml:space="preserve">in </w:t>
      </w:r>
      <w:r w:rsidR="08507327" w:rsidRPr="003D1E07">
        <w:rPr>
          <w:rStyle w:val="TextpoznpodarouChar"/>
          <w:i/>
        </w:rPr>
        <w:t>Cat</w:t>
      </w:r>
      <w:r w:rsidR="083F27BA" w:rsidRPr="003D1E07">
        <w:rPr>
          <w:rStyle w:val="TextpoznpodarouChar"/>
        </w:rPr>
        <w:t>. 61.</w:t>
      </w:r>
      <w:r w:rsidR="08507327" w:rsidRPr="003D1E07">
        <w:rPr>
          <w:rStyle w:val="TextpoznpodarouChar"/>
        </w:rPr>
        <w:t>10</w:t>
      </w:r>
      <w:r w:rsidR="083F27BA" w:rsidRPr="003D1E07">
        <w:rPr>
          <w:rStyle w:val="TextpoznpodarouChar"/>
        </w:rPr>
        <w:fldChar w:fldCharType="begin"/>
      </w:r>
      <w:r w:rsidR="083F27BA" w:rsidRPr="003D1E07">
        <w:instrText xml:space="preserve"> XE "Simplikius:</w:instrText>
      </w:r>
      <w:r w:rsidR="083F27BA" w:rsidRPr="003D1E07">
        <w:rPr>
          <w:rStyle w:val="TextpoznpodarouChar"/>
          <w:i/>
        </w:rPr>
        <w:instrText xml:space="preserve">Simpl. </w:instrText>
      </w:r>
      <w:r w:rsidR="08180FA8" w:rsidRPr="003D1E07">
        <w:rPr>
          <w:rStyle w:val="TextpoznpodarouChar"/>
          <w:i/>
        </w:rPr>
        <w:instrText xml:space="preserve">in </w:instrText>
      </w:r>
      <w:r w:rsidR="083F27BA" w:rsidRPr="003D1E07">
        <w:rPr>
          <w:rStyle w:val="TextpoznpodarouChar"/>
          <w:i/>
        </w:rPr>
        <w:instrText>Cat</w:instrText>
      </w:r>
      <w:r w:rsidR="083F27BA" w:rsidRPr="003D1E07">
        <w:rPr>
          <w:rStyle w:val="TextpoznpodarouChar"/>
        </w:rPr>
        <w:instrText>. 61.10</w:instrText>
      </w:r>
      <w:r w:rsidR="083F27BA" w:rsidRPr="003D1E07">
        <w:instrText xml:space="preserve">" </w:instrText>
      </w:r>
      <w:r w:rsidR="083F27BA" w:rsidRPr="003D1E07">
        <w:rPr>
          <w:rStyle w:val="TextpoznpodarouChar"/>
        </w:rPr>
        <w:fldChar w:fldCharType="end"/>
      </w:r>
      <w:r w:rsidR="08507327" w:rsidRPr="003D1E07">
        <w:rPr>
          <w:rStyle w:val="TextpoznpodarouChar"/>
        </w:rPr>
        <w:t>). Použitím matematické analogie se odlišil nadřazený vztah jako takový (ἁπλῶς</w:t>
      </w:r>
      <w:r w:rsidR="08507327" w:rsidRPr="003D1E07">
        <w:rPr>
          <w:rStyle w:val="addmd"/>
          <w:i/>
        </w:rPr>
        <w:fldChar w:fldCharType="begin"/>
      </w:r>
      <w:r w:rsidR="08507327" w:rsidRPr="003D1E07">
        <w:instrText xml:space="preserve"> XE "predikace:modus </w:instrText>
      </w:r>
      <w:r w:rsidR="08507327" w:rsidRPr="003D1E07">
        <w:rPr>
          <w:i/>
        </w:rPr>
        <w:instrText>absolute</w:instrText>
      </w:r>
      <w:r w:rsidR="08507327" w:rsidRPr="003D1E07">
        <w:instrText xml:space="preserve">" </w:instrText>
      </w:r>
      <w:r w:rsidR="08507327" w:rsidRPr="003D1E07">
        <w:rPr>
          <w:rStyle w:val="addmd"/>
          <w:i/>
        </w:rPr>
        <w:fldChar w:fldCharType="end"/>
      </w:r>
      <w:r w:rsidR="08507327" w:rsidRPr="003D1E07">
        <w:rPr>
          <w:rStyle w:val="TextpoznpodarouChar"/>
        </w:rPr>
        <w:t xml:space="preserve">) od aristotelského vztahu „substance‒akcident“ v modu </w:t>
      </w:r>
      <w:r w:rsidR="08507327" w:rsidRPr="003D1E07">
        <w:t>πρός τι</w:t>
      </w:r>
      <w:r w:rsidR="08507327" w:rsidRPr="003D1E07">
        <w:rPr>
          <w:rStyle w:val="TextpoznpodarouChar"/>
        </w:rPr>
        <w:t xml:space="preserve"> („člověk“ ve vztahu „malý“, velký“, „pán“, „otrok“).</w:t>
      </w:r>
      <w:r w:rsidR="08507327" w:rsidRPr="003D1E07">
        <w:t xml:space="preserve"> </w:t>
      </w:r>
      <w:r w:rsidR="08A85B6F" w:rsidRPr="003D1E07">
        <w:t>Další z</w:t>
      </w:r>
      <w:r w:rsidR="00486933" w:rsidRPr="003D1E07">
        <w:t xml:space="preserve">měnu </w:t>
      </w:r>
      <w:r w:rsidR="006E4C4D" w:rsidRPr="003D1E07">
        <w:t xml:space="preserve">predikace a celé tabulky deseti kategorií </w:t>
      </w:r>
      <w:r w:rsidR="08A85B6F" w:rsidRPr="003D1E07">
        <w:t xml:space="preserve">pro vývoj objektivity </w:t>
      </w:r>
      <w:r w:rsidR="00486933" w:rsidRPr="003D1E07">
        <w:t xml:space="preserve">dokumentuje </w:t>
      </w:r>
      <w:r w:rsidR="08252219" w:rsidRPr="003D1E07">
        <w:t xml:space="preserve">důležitá </w:t>
      </w:r>
      <w:r w:rsidR="00486933" w:rsidRPr="003D1E07">
        <w:t>pasáž Simplikiova komentáře, kde se nachází kategoriální určení akcidentu zvané</w:t>
      </w:r>
      <w:r w:rsidR="00BA7CBC" w:rsidRPr="003D1E07">
        <w:t>ho</w:t>
      </w:r>
      <w:r w:rsidR="08E418CA" w:rsidRPr="003D1E07">
        <w:t xml:space="preserve"> </w:t>
      </w:r>
      <w:r w:rsidR="00486933" w:rsidRPr="003D1E07">
        <w:rPr>
          <w:i/>
        </w:rPr>
        <w:t>habitus</w:t>
      </w:r>
      <w:r w:rsidR="00486933" w:rsidRPr="003D1E07">
        <w:t xml:space="preserve"> (</w:t>
      </w:r>
      <w:r w:rsidR="00E61AD6" w:rsidRPr="003D1E07">
        <w:rPr>
          <w:i/>
        </w:rPr>
        <w:t>Simpl.</w:t>
      </w:r>
      <w:r w:rsidR="00E61AD6" w:rsidRPr="003D1E07">
        <w:t xml:space="preserve"> </w:t>
      </w:r>
      <w:r w:rsidR="00E61AD6" w:rsidRPr="003D1E07">
        <w:rPr>
          <w:i/>
        </w:rPr>
        <w:t>in Cat</w:t>
      </w:r>
      <w:r w:rsidR="00E61AD6" w:rsidRPr="003D1E07">
        <w:t xml:space="preserve">. </w:t>
      </w:r>
      <w:r w:rsidR="00486933" w:rsidRPr="003D1E07">
        <w:t xml:space="preserve"> 164.13‒21</w:t>
      </w:r>
      <w:r w:rsidR="00285B0C" w:rsidRPr="003D1E07">
        <w:rPr>
          <w:iCs/>
        </w:rPr>
        <w:fldChar w:fldCharType="begin"/>
      </w:r>
      <w:r w:rsidR="00285B0C" w:rsidRPr="003D1E07">
        <w:instrText xml:space="preserve"> XE "</w:instrText>
      </w:r>
      <w:r w:rsidR="00285B0C" w:rsidRPr="003D1E07">
        <w:rPr>
          <w:iCs/>
        </w:rPr>
        <w:instrText>Simplikius:</w:instrText>
      </w:r>
      <w:r w:rsidR="00285B0C" w:rsidRPr="003D1E07">
        <w:rPr>
          <w:i/>
        </w:rPr>
        <w:instrText xml:space="preserve">Simpl. in Cat. </w:instrText>
      </w:r>
      <w:r w:rsidR="002F0BAA" w:rsidRPr="003D1E07">
        <w:instrText>164</w:instrText>
      </w:r>
      <w:r w:rsidR="00285B0C" w:rsidRPr="003D1E07">
        <w:instrText xml:space="preserve">.13‒21" </w:instrText>
      </w:r>
      <w:r w:rsidR="00285B0C" w:rsidRPr="003D1E07">
        <w:rPr>
          <w:iCs/>
        </w:rPr>
        <w:fldChar w:fldCharType="end"/>
      </w:r>
      <w:r w:rsidR="00486933" w:rsidRPr="003D1E07">
        <w:t>). Původní aristotelské určení této</w:t>
      </w:r>
      <w:r w:rsidR="00575AA9" w:rsidRPr="003D1E07">
        <w:t xml:space="preserve"> kategorie </w:t>
      </w:r>
      <w:r w:rsidR="00B04BF2" w:rsidRPr="003D1E07">
        <w:t xml:space="preserve">(τὸ ἔχειν) </w:t>
      </w:r>
      <w:r w:rsidR="00575AA9" w:rsidRPr="003D1E07">
        <w:t>je o</w:t>
      </w:r>
      <w:r w:rsidR="002F0BAA" w:rsidRPr="003D1E07">
        <w:t xml:space="preserve">dvozeno ze dvou míst v </w:t>
      </w:r>
      <w:r w:rsidR="002F0BAA" w:rsidRPr="003D1E07">
        <w:rPr>
          <w:i/>
        </w:rPr>
        <w:t>Kategori</w:t>
      </w:r>
      <w:r w:rsidR="00575AA9" w:rsidRPr="003D1E07">
        <w:rPr>
          <w:i/>
        </w:rPr>
        <w:t>ích</w:t>
      </w:r>
      <w:r w:rsidR="00575AA9" w:rsidRPr="003D1E07">
        <w:t xml:space="preserve"> (</w:t>
      </w:r>
      <w:r w:rsidR="00575AA9" w:rsidRPr="003D1E07">
        <w:rPr>
          <w:i/>
        </w:rPr>
        <w:t>Cat</w:t>
      </w:r>
      <w:r w:rsidR="00575AA9" w:rsidRPr="003D1E07">
        <w:t>. 2a3</w:t>
      </w:r>
      <w:r w:rsidR="00285B0C" w:rsidRPr="003D1E07">
        <w:rPr>
          <w:iCs/>
        </w:rPr>
        <w:fldChar w:fldCharType="begin"/>
      </w:r>
      <w:r w:rsidR="00285B0C" w:rsidRPr="003D1E07">
        <w:instrText xml:space="preserve"> XE "</w:instrText>
      </w:r>
      <w:r w:rsidR="008E02F5" w:rsidRPr="003D1E07">
        <w:instrText>Aristoteles</w:instrText>
      </w:r>
      <w:r w:rsidR="00285B0C" w:rsidRPr="003D1E07">
        <w:rPr>
          <w:iCs/>
        </w:rPr>
        <w:instrText>:</w:instrText>
      </w:r>
      <w:r w:rsidR="000377BE" w:rsidRPr="003D1E07">
        <w:rPr>
          <w:i/>
        </w:rPr>
        <w:instrText xml:space="preserve">Cat. </w:instrText>
      </w:r>
      <w:r w:rsidR="00285B0C" w:rsidRPr="003D1E07">
        <w:instrText xml:space="preserve">2a3" </w:instrText>
      </w:r>
      <w:r w:rsidR="00285B0C" w:rsidRPr="003D1E07">
        <w:rPr>
          <w:iCs/>
        </w:rPr>
        <w:fldChar w:fldCharType="end"/>
      </w:r>
      <w:r w:rsidR="00575AA9" w:rsidRPr="003D1E07">
        <w:t>; 11b13</w:t>
      </w:r>
      <w:r w:rsidR="000A43EF" w:rsidRPr="003D1E07">
        <w:rPr>
          <w:iCs/>
        </w:rPr>
        <w:fldChar w:fldCharType="begin"/>
      </w:r>
      <w:r w:rsidR="000A43EF" w:rsidRPr="003D1E07">
        <w:instrText xml:space="preserve"> XE "</w:instrText>
      </w:r>
      <w:r w:rsidR="008E02F5" w:rsidRPr="003D1E07">
        <w:instrText>Aristoteles</w:instrText>
      </w:r>
      <w:r w:rsidR="000A43EF" w:rsidRPr="003D1E07">
        <w:rPr>
          <w:iCs/>
        </w:rPr>
        <w:instrText>:</w:instrText>
      </w:r>
      <w:r w:rsidR="000A43EF" w:rsidRPr="003D1E07">
        <w:rPr>
          <w:i/>
        </w:rPr>
        <w:instrText xml:space="preserve">Cat. </w:instrText>
      </w:r>
      <w:r w:rsidR="000A43EF" w:rsidRPr="003D1E07">
        <w:instrText xml:space="preserve">11b13" </w:instrText>
      </w:r>
      <w:r w:rsidR="000A43EF" w:rsidRPr="003D1E07">
        <w:rPr>
          <w:iCs/>
        </w:rPr>
        <w:fldChar w:fldCharType="end"/>
      </w:r>
      <w:r w:rsidR="00575AA9" w:rsidRPr="003D1E07">
        <w:t xml:space="preserve">) a v </w:t>
      </w:r>
      <w:r w:rsidR="00575AA9" w:rsidRPr="003D1E07">
        <w:rPr>
          <w:i/>
        </w:rPr>
        <w:t>Metafyzice</w:t>
      </w:r>
      <w:r w:rsidR="00575AA9" w:rsidRPr="003D1E07">
        <w:t xml:space="preserve"> (</w:t>
      </w:r>
      <w:r w:rsidR="00575AA9" w:rsidRPr="003D1E07">
        <w:rPr>
          <w:i/>
        </w:rPr>
        <w:t>Met</w:t>
      </w:r>
      <w:r w:rsidR="00575AA9" w:rsidRPr="003D1E07">
        <w:t>. 1022b4‒6</w:t>
      </w:r>
      <w:r w:rsidR="00285B0C" w:rsidRPr="003D1E07">
        <w:rPr>
          <w:iCs/>
        </w:rPr>
        <w:fldChar w:fldCharType="begin"/>
      </w:r>
      <w:r w:rsidR="00285B0C" w:rsidRPr="003D1E07">
        <w:instrText xml:space="preserve"> XE "</w:instrText>
      </w:r>
      <w:r w:rsidR="008E02F5" w:rsidRPr="003D1E07">
        <w:instrText>Aristoteles</w:instrText>
      </w:r>
      <w:r w:rsidR="00285B0C" w:rsidRPr="003D1E07">
        <w:rPr>
          <w:iCs/>
        </w:rPr>
        <w:instrText>:</w:instrText>
      </w:r>
      <w:r w:rsidR="00285B0C" w:rsidRPr="003D1E07">
        <w:rPr>
          <w:i/>
        </w:rPr>
        <w:instrText>Met</w:instrText>
      </w:r>
      <w:r w:rsidR="00285B0C" w:rsidRPr="003D1E07">
        <w:instrText xml:space="preserve">. 1022b4‒6" </w:instrText>
      </w:r>
      <w:r w:rsidR="00285B0C" w:rsidRPr="003D1E07">
        <w:rPr>
          <w:iCs/>
        </w:rPr>
        <w:fldChar w:fldCharType="end"/>
      </w:r>
      <w:r w:rsidR="00575AA9" w:rsidRPr="003D1E07">
        <w:t xml:space="preserve">). Spis </w:t>
      </w:r>
      <w:r w:rsidR="00575AA9" w:rsidRPr="003D1E07">
        <w:rPr>
          <w:i/>
        </w:rPr>
        <w:t>Kategorie</w:t>
      </w:r>
      <w:r w:rsidR="00575AA9" w:rsidRPr="003D1E07">
        <w:t xml:space="preserve"> </w:t>
      </w:r>
      <w:r w:rsidR="00486933" w:rsidRPr="003D1E07">
        <w:t>ob</w:t>
      </w:r>
      <w:r w:rsidR="00B16903" w:rsidRPr="003D1E07">
        <w:t>sahuje klíčovou pasáž</w:t>
      </w:r>
      <w:r w:rsidR="009A428A" w:rsidRPr="003D1E07">
        <w:t xml:space="preserve"> (11b13</w:t>
      </w:r>
      <w:r w:rsidR="00285B0C" w:rsidRPr="003D1E07">
        <w:rPr>
          <w:iCs/>
        </w:rPr>
        <w:fldChar w:fldCharType="begin"/>
      </w:r>
      <w:r w:rsidR="00285B0C" w:rsidRPr="003D1E07">
        <w:instrText xml:space="preserve"> XE "</w:instrText>
      </w:r>
      <w:r w:rsidR="008E02F5" w:rsidRPr="003D1E07">
        <w:instrText>Aristoteles</w:instrText>
      </w:r>
      <w:r w:rsidR="00285B0C" w:rsidRPr="003D1E07">
        <w:rPr>
          <w:iCs/>
        </w:rPr>
        <w:instrText>:</w:instrText>
      </w:r>
      <w:r w:rsidR="00285B0C" w:rsidRPr="003D1E07">
        <w:rPr>
          <w:i/>
        </w:rPr>
        <w:instrText xml:space="preserve">Cat. </w:instrText>
      </w:r>
      <w:r w:rsidR="00285B0C" w:rsidRPr="003D1E07">
        <w:instrText xml:space="preserve">11b13" </w:instrText>
      </w:r>
      <w:r w:rsidR="00285B0C" w:rsidRPr="003D1E07">
        <w:rPr>
          <w:iCs/>
        </w:rPr>
        <w:fldChar w:fldCharType="end"/>
      </w:r>
      <w:r w:rsidR="009A428A" w:rsidRPr="003D1E07">
        <w:t>)</w:t>
      </w:r>
      <w:r w:rsidR="00B16903" w:rsidRPr="003D1E07">
        <w:t>, kde je vypočítána</w:t>
      </w:r>
      <w:r w:rsidR="00EC51EE" w:rsidRPr="003D1E07">
        <w:t xml:space="preserve"> šestice principů, které určují </w:t>
      </w:r>
      <w:r w:rsidR="00B16903" w:rsidRPr="003D1E07">
        <w:t>akciden</w:t>
      </w:r>
      <w:r w:rsidR="00EC51EE" w:rsidRPr="003D1E07">
        <w:t>t</w:t>
      </w:r>
      <w:r w:rsidR="00B16903" w:rsidRPr="003D1E07">
        <w:t>ální predikaci vzhledem ke druhé substanci</w:t>
      </w:r>
      <w:r w:rsidR="003B4FA7" w:rsidRPr="003D1E07">
        <w:rPr>
          <w:i/>
        </w:rPr>
        <w:fldChar w:fldCharType="begin"/>
      </w:r>
      <w:r w:rsidR="003B4FA7" w:rsidRPr="003D1E07">
        <w:instrText xml:space="preserve"> XE "predikace:akcidenciální" </w:instrText>
      </w:r>
      <w:r w:rsidR="003B4FA7" w:rsidRPr="003D1E07">
        <w:rPr>
          <w:i/>
        </w:rPr>
        <w:fldChar w:fldCharType="end"/>
      </w:r>
      <w:r w:rsidR="00B16903" w:rsidRPr="003D1E07">
        <w:t xml:space="preserve"> </w:t>
      </w:r>
      <w:r w:rsidR="00486933" w:rsidRPr="003D1E07">
        <w:t>(</w:t>
      </w:r>
      <w:r w:rsidR="00486933" w:rsidRPr="003D1E07">
        <w:rPr>
          <w:i/>
        </w:rPr>
        <w:t>actio</w:t>
      </w:r>
      <w:r w:rsidR="00486933" w:rsidRPr="003D1E07">
        <w:t xml:space="preserve">, </w:t>
      </w:r>
      <w:r w:rsidR="00486933" w:rsidRPr="003D1E07">
        <w:rPr>
          <w:i/>
        </w:rPr>
        <w:t>passio</w:t>
      </w:r>
      <w:r w:rsidR="00486933" w:rsidRPr="003D1E07">
        <w:t xml:space="preserve">, </w:t>
      </w:r>
      <w:r w:rsidR="00486933" w:rsidRPr="003D1E07">
        <w:rPr>
          <w:i/>
        </w:rPr>
        <w:t>ubi</w:t>
      </w:r>
      <w:r w:rsidR="00486933" w:rsidRPr="003D1E07">
        <w:t xml:space="preserve">, </w:t>
      </w:r>
      <w:r w:rsidR="00486933" w:rsidRPr="003D1E07">
        <w:rPr>
          <w:i/>
        </w:rPr>
        <w:t>quando</w:t>
      </w:r>
      <w:r w:rsidR="00486933" w:rsidRPr="003D1E07">
        <w:t xml:space="preserve">, </w:t>
      </w:r>
      <w:r w:rsidR="00486933" w:rsidRPr="003D1E07">
        <w:rPr>
          <w:i/>
        </w:rPr>
        <w:t>situs</w:t>
      </w:r>
      <w:r w:rsidR="00486933" w:rsidRPr="003D1E07">
        <w:t xml:space="preserve">, </w:t>
      </w:r>
      <w:r w:rsidR="00486933" w:rsidRPr="003D1E07">
        <w:rPr>
          <w:i/>
        </w:rPr>
        <w:t>habitus</w:t>
      </w:r>
      <w:r w:rsidR="00486933" w:rsidRPr="003D1E07">
        <w:t xml:space="preserve">). </w:t>
      </w:r>
      <w:r w:rsidR="007E068A" w:rsidRPr="003D1E07">
        <w:t xml:space="preserve">Tyto principy </w:t>
      </w:r>
      <w:r w:rsidR="082E143E" w:rsidRPr="003D1E07">
        <w:t xml:space="preserve">znala </w:t>
      </w:r>
      <w:r w:rsidR="007E068A" w:rsidRPr="003D1E07">
        <w:t xml:space="preserve">scholastika od </w:t>
      </w:r>
      <w:r w:rsidR="082E143E" w:rsidRPr="003D1E07">
        <w:t xml:space="preserve">druhé poloviny </w:t>
      </w:r>
      <w:r w:rsidR="007E068A" w:rsidRPr="003D1E07">
        <w:t xml:space="preserve">11. století skrze dílo </w:t>
      </w:r>
      <w:r w:rsidR="007E068A" w:rsidRPr="003D1E07">
        <w:rPr>
          <w:rStyle w:val="st"/>
          <w:i/>
        </w:rPr>
        <w:t>De sex rerum principiis</w:t>
      </w:r>
      <w:r w:rsidR="007E068A" w:rsidRPr="003D1E07">
        <w:t xml:space="preserve"> jako klíčová predikamenta. </w:t>
      </w:r>
      <w:r w:rsidR="00486933" w:rsidRPr="003D1E07">
        <w:t xml:space="preserve">Habitus </w:t>
      </w:r>
      <w:r w:rsidR="003B5F41" w:rsidRPr="003D1E07">
        <w:fldChar w:fldCharType="begin"/>
      </w:r>
      <w:r w:rsidR="003B5F41" w:rsidRPr="003D1E07">
        <w:instrText xml:space="preserve"> XE "habitus" </w:instrText>
      </w:r>
      <w:r w:rsidR="003B5F41" w:rsidRPr="003D1E07">
        <w:fldChar w:fldCharType="end"/>
      </w:r>
      <w:r w:rsidR="00486933" w:rsidRPr="003D1E07">
        <w:t>patří k akcidentálním určením substance, která generuje specifickou činnost ne</w:t>
      </w:r>
      <w:r w:rsidR="089730FE" w:rsidRPr="003D1E07">
        <w:t>bo schopnost autonomního pohybu</w:t>
      </w:r>
      <w:r w:rsidR="081B7677" w:rsidRPr="003D1E07">
        <w:t xml:space="preserve"> jako pozorovaný a predikovaný případek druhé substance</w:t>
      </w:r>
      <w:r w:rsidR="089730FE" w:rsidRPr="003D1E07">
        <w:t>.</w:t>
      </w:r>
      <w:r w:rsidR="00486933" w:rsidRPr="003D1E07">
        <w:t xml:space="preserve"> Původní význam akcidentálního habitu v </w:t>
      </w:r>
      <w:r w:rsidR="00486933" w:rsidRPr="003D1E07">
        <w:rPr>
          <w:i/>
        </w:rPr>
        <w:t>Metafyzice</w:t>
      </w:r>
      <w:r w:rsidR="00486933" w:rsidRPr="003D1E07">
        <w:t xml:space="preserve"> je vztažen k substancí vlastněné činnosti, která k ní patří jak</w:t>
      </w:r>
      <w:r w:rsidR="00A52F8C" w:rsidRPr="003D1E07">
        <w:t>o</w:t>
      </w:r>
      <w:r w:rsidR="00486933" w:rsidRPr="003D1E07">
        <w:t xml:space="preserve"> akcident</w:t>
      </w:r>
      <w:r w:rsidR="002823A7" w:rsidRPr="003D1E07">
        <w:t>, protože z ní vychází</w:t>
      </w:r>
      <w:r w:rsidR="00567589">
        <w:t xml:space="preserve"> (být obut</w:t>
      </w:r>
      <w:r w:rsidR="003B5F41" w:rsidRPr="003D1E07">
        <w:t>, vyzbrojen, oblečen)</w:t>
      </w:r>
      <w:r w:rsidR="089730FE" w:rsidRPr="003D1E07">
        <w:t>. Vlastnění</w:t>
      </w:r>
      <w:r w:rsidR="00486933" w:rsidRPr="003D1E07">
        <w:t xml:space="preserve"> </w:t>
      </w:r>
      <w:r w:rsidR="00AA47C6" w:rsidRPr="003D1E07">
        <w:t xml:space="preserve">činnosti </w:t>
      </w:r>
      <w:r w:rsidR="000F7406" w:rsidRPr="003D1E07">
        <w:t xml:space="preserve">nebo stavu </w:t>
      </w:r>
      <w:r w:rsidR="089730FE" w:rsidRPr="003D1E07">
        <w:t xml:space="preserve">nazvané </w:t>
      </w:r>
      <w:r w:rsidR="00486933" w:rsidRPr="003D1E07">
        <w:rPr>
          <w:i/>
        </w:rPr>
        <w:t>hexis</w:t>
      </w:r>
      <w:r w:rsidR="089730FE" w:rsidRPr="003D1E07">
        <w:t xml:space="preserve"> bylo přeloženo do latiny jako </w:t>
      </w:r>
      <w:r w:rsidR="00486933" w:rsidRPr="003D1E07">
        <w:rPr>
          <w:i/>
        </w:rPr>
        <w:t>habitus</w:t>
      </w:r>
      <w:r w:rsidR="00486933" w:rsidRPr="003D1E07">
        <w:t xml:space="preserve">. </w:t>
      </w:r>
      <w:r w:rsidR="08FC42B4" w:rsidRPr="003D1E07">
        <w:t>Aristoteles tvrdí, že první substance („člověk“) má aktuálně dané stavy („být oblečen“), které je možno predikovat od druhé substance</w:t>
      </w:r>
      <w:r w:rsidR="08907C8E" w:rsidRPr="003D1E07">
        <w:t xml:space="preserve"> k jejím akcidentálním významům.</w:t>
      </w:r>
      <w:r w:rsidR="08FC42B4" w:rsidRPr="003D1E07">
        <w:t xml:space="preserve"> </w:t>
      </w:r>
      <w:r w:rsidR="087B05E9" w:rsidRPr="003D1E07">
        <w:t xml:space="preserve">Simplikius změnil aristotelský vztah k realitě na neoplatonský vztah mezi čistým inteligibilním pojmem vlastnění a jeho univerzálním předmětem. To odpovídá Simplikiově výše uvedené noematické exegezi spisu </w:t>
      </w:r>
      <w:r w:rsidR="087B05E9" w:rsidRPr="003D1E07">
        <w:rPr>
          <w:i/>
        </w:rPr>
        <w:t>Kategorie</w:t>
      </w:r>
      <w:r w:rsidR="087B05E9" w:rsidRPr="003D1E07">
        <w:t xml:space="preserve">. </w:t>
      </w:r>
      <w:r w:rsidR="083E41F7" w:rsidRPr="003D1E07">
        <w:t>Simplikiův komentář k definici habitu</w:t>
      </w:r>
      <w:r w:rsidR="083E41F7" w:rsidRPr="003D1E07">
        <w:fldChar w:fldCharType="begin"/>
      </w:r>
      <w:r w:rsidR="083E41F7" w:rsidRPr="003D1E07">
        <w:instrText xml:space="preserve"> XE "habitus" </w:instrText>
      </w:r>
      <w:r w:rsidR="083E41F7" w:rsidRPr="003D1E07">
        <w:fldChar w:fldCharType="end"/>
      </w:r>
      <w:r w:rsidR="083E41F7" w:rsidRPr="003D1E07">
        <w:t xml:space="preserve"> v </w:t>
      </w:r>
      <w:r w:rsidR="083E41F7" w:rsidRPr="003D1E07">
        <w:rPr>
          <w:i/>
        </w:rPr>
        <w:t>Kategoriích</w:t>
      </w:r>
      <w:r w:rsidR="083E41F7" w:rsidRPr="003D1E07">
        <w:t xml:space="preserve"> a v </w:t>
      </w:r>
      <w:r w:rsidR="083E41F7" w:rsidRPr="003D1E07">
        <w:rPr>
          <w:i/>
        </w:rPr>
        <w:t>Metafyzice</w:t>
      </w:r>
      <w:r w:rsidR="083E41F7" w:rsidRPr="003D1E07">
        <w:t xml:space="preserve"> nejprve vyjme tento akcident z jeho určení vzhledem ke druhé substanci a vztáhne jej pouze k substantivně pojaté</w:t>
      </w:r>
      <w:r w:rsidR="003321B9">
        <w:t xml:space="preserve">mu </w:t>
      </w:r>
      <w:r w:rsidR="083E41F7" w:rsidRPr="003D1E07">
        <w:t>„</w:t>
      </w:r>
      <w:r w:rsidR="003321B9">
        <w:t xml:space="preserve">habitu </w:t>
      </w:r>
      <w:r w:rsidR="00936C69">
        <w:t>o sobě</w:t>
      </w:r>
      <w:r w:rsidR="083E41F7" w:rsidRPr="003D1E07">
        <w:t xml:space="preserve">“ (ἡ ἕξις πρὸς τὸ ἑκτὸν, </w:t>
      </w:r>
      <w:r w:rsidR="083E41F7" w:rsidRPr="003D1E07">
        <w:rPr>
          <w:i/>
        </w:rPr>
        <w:t>Simpl.</w:t>
      </w:r>
      <w:r w:rsidR="083E41F7" w:rsidRPr="003D1E07">
        <w:t xml:space="preserve"> </w:t>
      </w:r>
      <w:r w:rsidR="083E41F7" w:rsidRPr="003D1E07">
        <w:rPr>
          <w:i/>
        </w:rPr>
        <w:t>in Cat</w:t>
      </w:r>
      <w:r w:rsidR="083E41F7" w:rsidRPr="003D1E07">
        <w:t>. 164.15</w:t>
      </w:r>
      <w:r w:rsidR="083E41F7" w:rsidRPr="003D1E07">
        <w:rPr>
          <w:iCs/>
        </w:rPr>
        <w:fldChar w:fldCharType="begin"/>
      </w:r>
      <w:r w:rsidR="083E41F7" w:rsidRPr="003D1E07">
        <w:instrText xml:space="preserve"> XE "Simplikius:</w:instrText>
      </w:r>
      <w:r w:rsidR="083E41F7" w:rsidRPr="003D1E07">
        <w:rPr>
          <w:i/>
        </w:rPr>
        <w:instrText>Simpl.</w:instrText>
      </w:r>
      <w:r w:rsidR="083E41F7" w:rsidRPr="003D1E07">
        <w:instrText xml:space="preserve"> </w:instrText>
      </w:r>
      <w:r w:rsidR="083E41F7" w:rsidRPr="003D1E07">
        <w:rPr>
          <w:i/>
        </w:rPr>
        <w:instrText>in Cat</w:instrText>
      </w:r>
      <w:r w:rsidR="083E41F7" w:rsidRPr="003D1E07">
        <w:instrText xml:space="preserve">. 164.15" </w:instrText>
      </w:r>
      <w:r w:rsidR="083E41F7" w:rsidRPr="003D1E07">
        <w:rPr>
          <w:iCs/>
        </w:rPr>
        <w:fldChar w:fldCharType="end"/>
      </w:r>
      <w:r w:rsidR="083E41F7" w:rsidRPr="003D1E07">
        <w:t>). Hypostázovaní habitu se provedlo skrze již změněnou kategorii vztahu (</w:t>
      </w:r>
      <w:r w:rsidR="083E41F7" w:rsidRPr="003D1E07">
        <w:rPr>
          <w:rStyle w:val="TextpoznpodarouChar"/>
        </w:rPr>
        <w:t>πρός τι</w:t>
      </w:r>
      <w:r w:rsidR="083E41F7" w:rsidRPr="003D1E07">
        <w:t>), která se stala novou substancí. Habitus jako akcident se změnil na neoplatonsky pojatou habitus-esenci (τὸ ἑκτὸν) a pak se kategoriálně predikuje na úrovni Aristotelovy druhé substance (πρὸς τὸ ἑκτὸν καὶ ἐχόμενον λέγεται ἡ ἕ</w:t>
      </w:r>
      <w:r w:rsidR="08180FA8" w:rsidRPr="003D1E07">
        <w:t xml:space="preserve">ξις, </w:t>
      </w:r>
      <w:r w:rsidR="083E41F7" w:rsidRPr="003D1E07">
        <w:rPr>
          <w:i/>
        </w:rPr>
        <w:t>Simpl.</w:t>
      </w:r>
      <w:r w:rsidR="08180FA8" w:rsidRPr="003D1E07">
        <w:rPr>
          <w:i/>
        </w:rPr>
        <w:t xml:space="preserve"> in</w:t>
      </w:r>
      <w:r w:rsidR="083E41F7" w:rsidRPr="003D1E07">
        <w:rPr>
          <w:i/>
        </w:rPr>
        <w:t xml:space="preserve"> Cat</w:t>
      </w:r>
      <w:r w:rsidR="083E41F7" w:rsidRPr="003D1E07">
        <w:t>. 163.31</w:t>
      </w:r>
      <w:r w:rsidR="083E41F7" w:rsidRPr="003D1E07">
        <w:rPr>
          <w:rStyle w:val="TextpoznpodarouChar"/>
        </w:rPr>
        <w:fldChar w:fldCharType="begin"/>
      </w:r>
      <w:r w:rsidR="083E41F7" w:rsidRPr="003D1E07">
        <w:instrText xml:space="preserve"> XE "Simplikius:</w:instrText>
      </w:r>
      <w:r w:rsidR="083E41F7" w:rsidRPr="003D1E07">
        <w:rPr>
          <w:rStyle w:val="TextpoznpodarouChar"/>
          <w:i/>
        </w:rPr>
        <w:instrText xml:space="preserve">Simpl. </w:instrText>
      </w:r>
      <w:r w:rsidR="08180FA8" w:rsidRPr="003D1E07">
        <w:rPr>
          <w:rStyle w:val="TextpoznpodarouChar"/>
          <w:i/>
        </w:rPr>
        <w:instrText xml:space="preserve">in </w:instrText>
      </w:r>
      <w:r w:rsidR="083E41F7" w:rsidRPr="003D1E07">
        <w:rPr>
          <w:rStyle w:val="TextpoznpodarouChar"/>
          <w:i/>
        </w:rPr>
        <w:instrText>Cat</w:instrText>
      </w:r>
      <w:r w:rsidR="083E41F7" w:rsidRPr="003D1E07">
        <w:rPr>
          <w:rStyle w:val="TextpoznpodarouChar"/>
        </w:rPr>
        <w:instrText>. 163.31</w:instrText>
      </w:r>
      <w:r w:rsidR="083E41F7" w:rsidRPr="003D1E07">
        <w:instrText xml:space="preserve">" </w:instrText>
      </w:r>
      <w:r w:rsidR="083E41F7" w:rsidRPr="003D1E07">
        <w:rPr>
          <w:rStyle w:val="TextpoznpodarouChar"/>
        </w:rPr>
        <w:fldChar w:fldCharType="end"/>
      </w:r>
      <w:r w:rsidR="083E41F7" w:rsidRPr="003D1E07">
        <w:t xml:space="preserve">). Klíčovou roli při ustavení habitu jako nové substance třetího druhu hraje </w:t>
      </w:r>
      <w:r w:rsidR="0812294A" w:rsidRPr="003D1E07">
        <w:t xml:space="preserve">výše uvedený </w:t>
      </w:r>
      <w:r w:rsidR="083E41F7" w:rsidRPr="003D1E07">
        <w:t>hypostázovaný akcident vztahu, který umožňuje hypostázovat jakýkoliv jiný akcident. Tím vznikla nová identita hexis oddělená od původního bytí první substance (οὐ γὰρ ἔχεται ἡ ἕξις; ibid. 164.20</w:t>
      </w:r>
      <w:r w:rsidR="083E41F7" w:rsidRPr="003D1E07">
        <w:rPr>
          <w:iCs/>
        </w:rPr>
        <w:fldChar w:fldCharType="begin"/>
      </w:r>
      <w:r w:rsidR="083E41F7" w:rsidRPr="003D1E07">
        <w:instrText xml:space="preserve"> XE "Simplikius:</w:instrText>
      </w:r>
      <w:r w:rsidR="083E41F7" w:rsidRPr="003D1E07">
        <w:rPr>
          <w:i/>
        </w:rPr>
        <w:instrText>Simpl.</w:instrText>
      </w:r>
      <w:r w:rsidR="083E41F7" w:rsidRPr="003D1E07">
        <w:instrText xml:space="preserve"> </w:instrText>
      </w:r>
      <w:r w:rsidR="083E41F7" w:rsidRPr="003D1E07">
        <w:rPr>
          <w:i/>
        </w:rPr>
        <w:instrText>in Cat</w:instrText>
      </w:r>
      <w:r w:rsidR="083E41F7" w:rsidRPr="003D1E07">
        <w:instrText xml:space="preserve">. 164.20" </w:instrText>
      </w:r>
      <w:r w:rsidR="083E41F7" w:rsidRPr="003D1E07">
        <w:rPr>
          <w:iCs/>
        </w:rPr>
        <w:fldChar w:fldCharType="end"/>
      </w:r>
      <w:r w:rsidR="083E41F7" w:rsidRPr="003D1E07">
        <w:t xml:space="preserve">). </w:t>
      </w:r>
      <w:r w:rsidR="083B0CBA" w:rsidRPr="003D1E07">
        <w:t xml:space="preserve">Pro další vývoj objektivity bude hrát rozhodující roli zejména vymezení habitu </w:t>
      </w:r>
      <w:r w:rsidR="083B0CBA" w:rsidRPr="003D1E07">
        <w:lastRenderedPageBreak/>
        <w:t xml:space="preserve">vzhledem k činnosti subjektu, kterou uvádí </w:t>
      </w:r>
      <w:r w:rsidR="083B0CBA" w:rsidRPr="003D1E07">
        <w:rPr>
          <w:i/>
        </w:rPr>
        <w:t>Metafyzika</w:t>
      </w:r>
      <w:r w:rsidR="083B0CBA" w:rsidRPr="003D1E07">
        <w:t xml:space="preserve"> </w:t>
      </w:r>
      <w:r w:rsidR="083B0CBA" w:rsidRPr="003D1E07">
        <w:rPr>
          <w:i/>
        </w:rPr>
        <w:t>Lambda</w:t>
      </w:r>
      <w:r w:rsidR="083B0CBA" w:rsidRPr="003D1E07">
        <w:t>.</w:t>
      </w:r>
      <w:r w:rsidR="083B0CBA" w:rsidRPr="003D1E07">
        <w:rPr>
          <w:rStyle w:val="Znakapoznpodarou"/>
        </w:rPr>
        <w:footnoteReference w:id="62"/>
      </w:r>
      <w:r w:rsidR="083B0CBA" w:rsidRPr="003D1E07">
        <w:t xml:space="preserve"> </w:t>
      </w:r>
      <w:r w:rsidR="08743287" w:rsidRPr="003D1E07">
        <w:t xml:space="preserve">Habitus </w:t>
      </w:r>
      <w:r w:rsidR="0812294A" w:rsidRPr="003D1E07">
        <w:t xml:space="preserve">činnosti </w:t>
      </w:r>
      <w:r w:rsidR="08743287" w:rsidRPr="003D1E07">
        <w:t xml:space="preserve">se </w:t>
      </w:r>
      <w:r w:rsidR="00F17A1A" w:rsidRPr="003D1E07">
        <w:t xml:space="preserve">definuje </w:t>
      </w:r>
      <w:r w:rsidR="08743287" w:rsidRPr="003D1E07">
        <w:t>jako středová pozice</w:t>
      </w:r>
      <w:r w:rsidR="00F17A1A" w:rsidRPr="003D1E07">
        <w:t xml:space="preserve"> </w:t>
      </w:r>
      <w:r w:rsidR="08B213A9" w:rsidRPr="003D1E07">
        <w:t>mezi aktivní</w:t>
      </w:r>
      <w:r w:rsidR="08517951" w:rsidRPr="003D1E07">
        <w:t>m</w:t>
      </w:r>
      <w:r w:rsidR="08B213A9" w:rsidRPr="003D1E07">
        <w:t xml:space="preserve"> a pasivním děním </w:t>
      </w:r>
      <w:r w:rsidR="00F17A1A" w:rsidRPr="003D1E07">
        <w:t>(</w:t>
      </w:r>
      <w:r w:rsidR="08B213A9" w:rsidRPr="003D1E07">
        <w:t>τὸ μὲν ποιῇ τὸ δὲ ποιῆται, ἔστι ποίησις μεταξύ</w:t>
      </w:r>
      <w:r w:rsidR="00F17A1A" w:rsidRPr="003D1E07">
        <w:t xml:space="preserve">, </w:t>
      </w:r>
      <w:r w:rsidR="00F17A1A" w:rsidRPr="003D1E07">
        <w:rPr>
          <w:i/>
        </w:rPr>
        <w:t>Met</w:t>
      </w:r>
      <w:r w:rsidR="00F17A1A" w:rsidRPr="003D1E07">
        <w:t>. 1022b6</w:t>
      </w:r>
      <w:r w:rsidR="00285B0C" w:rsidRPr="003D1E07">
        <w:rPr>
          <w:iCs/>
        </w:rPr>
        <w:fldChar w:fldCharType="begin"/>
      </w:r>
      <w:r w:rsidR="00285B0C" w:rsidRPr="003D1E07">
        <w:instrText xml:space="preserve"> XE "</w:instrText>
      </w:r>
      <w:r w:rsidR="008E02F5" w:rsidRPr="003D1E07">
        <w:instrText>Aristoteles</w:instrText>
      </w:r>
      <w:r w:rsidR="00285B0C" w:rsidRPr="003D1E07">
        <w:rPr>
          <w:iCs/>
        </w:rPr>
        <w:instrText>:</w:instrText>
      </w:r>
      <w:r w:rsidR="00285B0C" w:rsidRPr="003D1E07">
        <w:rPr>
          <w:i/>
        </w:rPr>
        <w:instrText>Met</w:instrText>
      </w:r>
      <w:r w:rsidR="00285B0C" w:rsidRPr="003D1E07">
        <w:instrText xml:space="preserve">. 1022b6" </w:instrText>
      </w:r>
      <w:r w:rsidR="00285B0C" w:rsidRPr="003D1E07">
        <w:rPr>
          <w:iCs/>
        </w:rPr>
        <w:fldChar w:fldCharType="end"/>
      </w:r>
      <w:r w:rsidR="00F17A1A" w:rsidRPr="003D1E07">
        <w:t xml:space="preserve">). </w:t>
      </w:r>
      <w:r w:rsidR="081F4F13" w:rsidRPr="003D1E07">
        <w:t xml:space="preserve">Substance vlastní tuto schopnost vzhledem k aktivně nebo pasivně vykonávané činnosti. </w:t>
      </w:r>
      <w:r w:rsidR="081F45B0" w:rsidRPr="003D1E07">
        <w:t xml:space="preserve">První substance predikovaná ve druhé substanci může něco mít pasivně, ale také může něčím být nebo něco vykonávat aktivně. </w:t>
      </w:r>
      <w:r w:rsidR="08517951" w:rsidRPr="003D1E07">
        <w:t>Neoplatonismus vzal habituální určení substance a tuto vlastnost jednoduše hypostázoval</w:t>
      </w:r>
      <w:r w:rsidR="08A400AA" w:rsidRPr="003D1E07">
        <w:t xml:space="preserve"> jako neutrum</w:t>
      </w:r>
      <w:r w:rsidR="00E01EEB" w:rsidRPr="003D1E07">
        <w:t xml:space="preserve"> (τὸ ποίησις)</w:t>
      </w:r>
      <w:r w:rsidR="08517951" w:rsidRPr="003D1E07">
        <w:t xml:space="preserve">. </w:t>
      </w:r>
      <w:r w:rsidR="08A400AA" w:rsidRPr="003D1E07">
        <w:t xml:space="preserve">Další klíčový prvek je dán v </w:t>
      </w:r>
      <w:r w:rsidR="00363EC8" w:rsidRPr="003D1E07">
        <w:t xml:space="preserve">určení habitu jako </w:t>
      </w:r>
      <w:r w:rsidR="008B2F9C" w:rsidRPr="003D1E07">
        <w:t xml:space="preserve">aktuálně daného </w:t>
      </w:r>
      <w:r w:rsidR="08A3462C" w:rsidRPr="003D1E07">
        <w:t>vlastnění</w:t>
      </w:r>
      <w:r w:rsidR="08C167EB" w:rsidRPr="003D1E07">
        <w:t>, které</w:t>
      </w:r>
      <w:r w:rsidR="081F4F13" w:rsidRPr="003D1E07">
        <w:t xml:space="preserve"> v modu akcidentu podržuje význam dané činnosti </w:t>
      </w:r>
      <w:r w:rsidR="008B2F9C" w:rsidRPr="003D1E07">
        <w:t>(</w:t>
      </w:r>
      <w:r w:rsidR="08A400AA" w:rsidRPr="003D1E07">
        <w:t>ἐνέργειά τις τοῦ ἔχοντος καὶ ἐχομένου</w:t>
      </w:r>
      <w:r w:rsidR="008B2F9C" w:rsidRPr="003D1E07">
        <w:t xml:space="preserve">, </w:t>
      </w:r>
      <w:r w:rsidR="008B2F9C" w:rsidRPr="003D1E07">
        <w:rPr>
          <w:i/>
        </w:rPr>
        <w:t>Met</w:t>
      </w:r>
      <w:r w:rsidR="0813193C" w:rsidRPr="003D1E07">
        <w:t>. 1022b4‒5</w:t>
      </w:r>
      <w:r w:rsidR="008B2F9C" w:rsidRPr="003D1E07">
        <w:fldChar w:fldCharType="begin"/>
      </w:r>
      <w:r w:rsidR="008B2F9C" w:rsidRPr="003D1E07">
        <w:instrText xml:space="preserve"> XE "</w:instrText>
      </w:r>
      <w:r w:rsidR="008E02F5" w:rsidRPr="003D1E07">
        <w:instrText>Aristoteles</w:instrText>
      </w:r>
      <w:r w:rsidR="008B2F9C" w:rsidRPr="003D1E07">
        <w:instrText>:</w:instrText>
      </w:r>
      <w:r w:rsidR="008B2F9C" w:rsidRPr="003D1E07">
        <w:rPr>
          <w:i/>
        </w:rPr>
        <w:instrText>Met</w:instrText>
      </w:r>
      <w:r w:rsidR="008B2F9C" w:rsidRPr="003D1E07">
        <w:instrText>. 1022b</w:instrText>
      </w:r>
      <w:r w:rsidR="0813193C" w:rsidRPr="003D1E07">
        <w:instrText>4‒5</w:instrText>
      </w:r>
      <w:r w:rsidR="008B2F9C" w:rsidRPr="003D1E07">
        <w:instrText xml:space="preserve">" </w:instrText>
      </w:r>
      <w:r w:rsidR="008B2F9C" w:rsidRPr="003D1E07">
        <w:fldChar w:fldCharType="end"/>
      </w:r>
      <w:r w:rsidR="008B2F9C" w:rsidRPr="003D1E07">
        <w:t>)</w:t>
      </w:r>
      <w:r w:rsidR="00363EC8" w:rsidRPr="003D1E07">
        <w:t xml:space="preserve">. </w:t>
      </w:r>
      <w:r w:rsidR="08517951" w:rsidRPr="003D1E07">
        <w:t xml:space="preserve">Spojením </w:t>
      </w:r>
      <w:r w:rsidR="08A400AA" w:rsidRPr="003D1E07">
        <w:t xml:space="preserve">hypostáze </w:t>
      </w:r>
      <w:r w:rsidR="004C4077">
        <w:t xml:space="preserve">činnosti </w:t>
      </w:r>
      <w:r w:rsidR="08A400AA" w:rsidRPr="003D1E07">
        <w:t xml:space="preserve">(τὸ ποίησις) a </w:t>
      </w:r>
      <w:r w:rsidR="08517951" w:rsidRPr="003D1E07">
        <w:t xml:space="preserve">aktuality </w:t>
      </w:r>
      <w:r w:rsidR="08A400AA" w:rsidRPr="003D1E07">
        <w:t xml:space="preserve">(ἐνέργειά τις) </w:t>
      </w:r>
      <w:r w:rsidR="08517951" w:rsidRPr="003D1E07">
        <w:t xml:space="preserve">je dána přeměna habitu na novou </w:t>
      </w:r>
      <w:r w:rsidR="00931BEB">
        <w:t xml:space="preserve">fyzikální </w:t>
      </w:r>
      <w:r w:rsidR="08517951" w:rsidRPr="003D1E07">
        <w:t xml:space="preserve">substanci třetího druhu. </w:t>
      </w:r>
      <w:r w:rsidR="083C476D" w:rsidRPr="003D1E07">
        <w:t>N</w:t>
      </w:r>
      <w:r w:rsidR="08327CC3" w:rsidRPr="003D1E07">
        <w:t xml:space="preserve">ové určení habitu primárně nedeterminuje </w:t>
      </w:r>
      <w:r w:rsidR="083C476D" w:rsidRPr="003D1E07">
        <w:t xml:space="preserve">první </w:t>
      </w:r>
      <w:r w:rsidR="08327CC3" w:rsidRPr="003D1E07">
        <w:t>substance vnímaná smysly</w:t>
      </w:r>
      <w:r w:rsidR="083C476D" w:rsidRPr="003D1E07">
        <w:t xml:space="preserve"> a predikovaná vzhledem ke druhé substanci</w:t>
      </w:r>
      <w:r w:rsidR="08327CC3" w:rsidRPr="003D1E07">
        <w:t>, ale intelektuální náhled</w:t>
      </w:r>
      <w:r w:rsidR="083C476D" w:rsidRPr="003D1E07">
        <w:t xml:space="preserve"> na hypostázi</w:t>
      </w:r>
      <w:r w:rsidR="08D41B20" w:rsidRPr="003D1E07">
        <w:t>-</w:t>
      </w:r>
      <w:r w:rsidR="00F214C5" w:rsidRPr="003D1E07">
        <w:t>species</w:t>
      </w:r>
      <w:r w:rsidR="083C476D" w:rsidRPr="003D1E07">
        <w:t xml:space="preserve"> vybavenou vlastní aktualitou</w:t>
      </w:r>
      <w:r w:rsidR="08327CC3" w:rsidRPr="003D1E07">
        <w:t xml:space="preserve">. </w:t>
      </w:r>
      <w:r w:rsidR="08A629D7" w:rsidRPr="003D1E07">
        <w:t>Určení habitu se přesunulo od aktuality první substance (ἐνέργειά τις) na středovou pozici mezi aktivním subjektem vlastnění a pasivně vlastněným předmětem (ἕξις ὡς μεταξὺ τοῦ ἔχοντος καὶ ἐχομένου, ibid. 164.19‒20</w:t>
      </w:r>
      <w:r w:rsidR="08A629D7" w:rsidRPr="003D1E07">
        <w:rPr>
          <w:iCs/>
        </w:rPr>
        <w:fldChar w:fldCharType="begin"/>
      </w:r>
      <w:r w:rsidR="08A629D7" w:rsidRPr="003D1E07">
        <w:instrText xml:space="preserve"> XE "Simplikius:</w:instrText>
      </w:r>
      <w:r w:rsidR="08A629D7" w:rsidRPr="003D1E07">
        <w:rPr>
          <w:i/>
        </w:rPr>
        <w:instrText>Simpl.</w:instrText>
      </w:r>
      <w:r w:rsidR="08A629D7" w:rsidRPr="003D1E07">
        <w:instrText xml:space="preserve"> </w:instrText>
      </w:r>
      <w:r w:rsidR="08A629D7" w:rsidRPr="003D1E07">
        <w:rPr>
          <w:i/>
        </w:rPr>
        <w:instrText>in Cat</w:instrText>
      </w:r>
      <w:r w:rsidR="08A629D7" w:rsidRPr="003D1E07">
        <w:instrText xml:space="preserve">. 164.19‒20" </w:instrText>
      </w:r>
      <w:r w:rsidR="08A629D7" w:rsidRPr="003D1E07">
        <w:rPr>
          <w:iCs/>
        </w:rPr>
        <w:fldChar w:fldCharType="end"/>
      </w:r>
      <w:r w:rsidR="08A629D7" w:rsidRPr="003D1E07">
        <w:t>).</w:t>
      </w:r>
      <w:r w:rsidR="00A54BF2">
        <w:t xml:space="preserve"> Z habitu se stala nová</w:t>
      </w:r>
      <w:r w:rsidR="08A629D7" w:rsidRPr="003D1E07">
        <w:t xml:space="preserve"> </w:t>
      </w:r>
      <w:r w:rsidR="00F214C5" w:rsidRPr="003D1E07">
        <w:t>species</w:t>
      </w:r>
      <w:r w:rsidR="00A54BF2">
        <w:t>, která</w:t>
      </w:r>
      <w:r w:rsidR="08A629D7" w:rsidRPr="003D1E07">
        <w:t xml:space="preserve"> fu</w:t>
      </w:r>
      <w:r w:rsidR="00A54BF2">
        <w:t>nguje jako hypostáze a nahradila</w:t>
      </w:r>
      <w:r w:rsidR="08A629D7" w:rsidRPr="003D1E07">
        <w:t xml:space="preserve"> v tabulce kategorií druhou substanci. Habitus se stal novou hypostázovanou druhou substancí a přestal být původním aristotelským akcidentem. </w:t>
      </w:r>
      <w:r w:rsidR="08607BC4" w:rsidRPr="003D1E07">
        <w:t xml:space="preserve">Spis </w:t>
      </w:r>
      <w:r w:rsidR="08607BC4" w:rsidRPr="003D1E07">
        <w:rPr>
          <w:i/>
        </w:rPr>
        <w:t>Kategorie</w:t>
      </w:r>
      <w:r w:rsidR="08607BC4" w:rsidRPr="003D1E07">
        <w:t xml:space="preserve"> určil smysl celé tabulky kategorií primátem druhé substance jako nejvyššího univočně predikovaného významu hyparchicky daného vzhledem k realitě prvních substancí. </w:t>
      </w:r>
      <w:r w:rsidR="00C13354" w:rsidRPr="003D1E07">
        <w:t xml:space="preserve">Habitus představuje podle Simplikiova komentáře hypostázovaný význam, v němž je </w:t>
      </w:r>
      <w:r w:rsidR="005F271A">
        <w:t xml:space="preserve">aktivní </w:t>
      </w:r>
      <w:r w:rsidR="00C13354" w:rsidRPr="003D1E07">
        <w:t>vlastnění určen</w:t>
      </w:r>
      <w:r w:rsidR="08B32491" w:rsidRPr="003D1E07">
        <w:t>o</w:t>
      </w:r>
      <w:r w:rsidR="00C13354" w:rsidRPr="003D1E07">
        <w:t xml:space="preserve"> </w:t>
      </w:r>
      <w:r w:rsidR="085E19D0" w:rsidRPr="003D1E07">
        <w:t xml:space="preserve">nasvícením </w:t>
      </w:r>
      <w:r w:rsidR="08B32491" w:rsidRPr="003D1E07">
        <w:t xml:space="preserve">habitu </w:t>
      </w:r>
      <w:r w:rsidR="085E19D0" w:rsidRPr="003D1E07">
        <w:t xml:space="preserve">od světa čistých forem. </w:t>
      </w:r>
      <w:r w:rsidR="08304D3D" w:rsidRPr="003D1E07">
        <w:t>Význam hab</w:t>
      </w:r>
      <w:r w:rsidR="085E19D0" w:rsidRPr="003D1E07">
        <w:t xml:space="preserve">itu v kategoriálním modu </w:t>
      </w:r>
      <w:r w:rsidR="085E19D0" w:rsidRPr="003D1E07">
        <w:rPr>
          <w:i/>
        </w:rPr>
        <w:t>per prius</w:t>
      </w:r>
      <w:r w:rsidR="085E19D0" w:rsidRPr="003D1E07">
        <w:t xml:space="preserve"> </w:t>
      </w:r>
      <w:r w:rsidR="087143E4" w:rsidRPr="003D1E07">
        <w:t xml:space="preserve">už </w:t>
      </w:r>
      <w:r w:rsidR="085E19D0" w:rsidRPr="003D1E07">
        <w:t>neurčuje hyparchický vztah mezi první a druhou substancí</w:t>
      </w:r>
      <w:r w:rsidR="08304D3D" w:rsidRPr="003D1E07">
        <w:t xml:space="preserve">. </w:t>
      </w:r>
      <w:r w:rsidR="008B12D2" w:rsidRPr="003D1E07">
        <w:t>Neoplatonsk</w:t>
      </w:r>
      <w:r w:rsidR="00553F8C" w:rsidRPr="003D1E07">
        <w:t>á definice habitu našla v intelektu základní a trvalé měřítko přikládané k neome</w:t>
      </w:r>
      <w:r w:rsidR="0049313D">
        <w:t>zené kontingenci vnějších věcí.</w:t>
      </w:r>
    </w:p>
    <w:p w14:paraId="175B6CB9" w14:textId="4F58ED19" w:rsidR="08DC3ABD" w:rsidRPr="003D1E07" w:rsidRDefault="084B79C0" w:rsidP="0049313D">
      <w:pPr>
        <w:ind w:firstLine="397"/>
      </w:pPr>
      <w:r w:rsidRPr="003D1E07">
        <w:t xml:space="preserve">Iluminát Simplikius konečně může </w:t>
      </w:r>
      <w:r w:rsidR="08CD0D8D" w:rsidRPr="003D1E07">
        <w:t xml:space="preserve">„správně“ </w:t>
      </w:r>
      <w:r w:rsidRPr="003D1E07">
        <w:t xml:space="preserve">vyložit </w:t>
      </w:r>
      <w:r w:rsidR="088D05CC" w:rsidRPr="003D1E07">
        <w:t>„</w:t>
      </w:r>
      <w:r w:rsidRPr="003D1E07">
        <w:t>orákulum</w:t>
      </w:r>
      <w:r w:rsidR="088D05CC" w:rsidRPr="003D1E07">
        <w:t>“</w:t>
      </w:r>
      <w:r w:rsidRPr="003D1E07">
        <w:t xml:space="preserve"> pythického Aristotela</w:t>
      </w:r>
      <w:r w:rsidR="00B22B90">
        <w:t xml:space="preserve">. Ten </w:t>
      </w:r>
      <w:r w:rsidRPr="003D1E07">
        <w:t xml:space="preserve">nevěděl, </w:t>
      </w:r>
      <w:r w:rsidR="00EA470B">
        <w:t xml:space="preserve">o čem </w:t>
      </w:r>
      <w:r w:rsidRPr="003D1E07">
        <w:t>ve s</w:t>
      </w:r>
      <w:r w:rsidR="00B22B90">
        <w:t>kutečnosti mluví, když predikoval</w:t>
      </w:r>
      <w:r w:rsidRPr="003D1E07">
        <w:t xml:space="preserve"> akcidenty. Akademické šílenství není hned vidět, protože pod vlivem lstivých Fúrií je dané jako </w:t>
      </w:r>
      <w:r w:rsidR="003D2BD0" w:rsidRPr="003D1E07">
        <w:t xml:space="preserve">gnostický </w:t>
      </w:r>
      <w:r w:rsidRPr="003D1E07">
        <w:rPr>
          <w:i/>
        </w:rPr>
        <w:t>furor interpretandi</w:t>
      </w:r>
      <w:r w:rsidRPr="003D1E07">
        <w:t xml:space="preserve">. </w:t>
      </w:r>
      <w:r w:rsidR="08843105" w:rsidRPr="003D1E07">
        <w:t xml:space="preserve">Simplikiova kategorie </w:t>
      </w:r>
      <w:r w:rsidR="08843105" w:rsidRPr="003D1E07">
        <w:rPr>
          <w:i/>
        </w:rPr>
        <w:t>hexis</w:t>
      </w:r>
      <w:r w:rsidR="08843105" w:rsidRPr="003D1E07">
        <w:t xml:space="preserve"> oddělí hypostázovaný vztah jako substativum (τὸ ἑκτὸν) od </w:t>
      </w:r>
      <w:r w:rsidR="08843105" w:rsidRPr="003D1E07">
        <w:lastRenderedPageBreak/>
        <w:t>nekonečného regresu určování vztaženého k empiricky dané a poznané věci (ἵνα μὴ ᾖ ἐπ' ἄ</w:t>
      </w:r>
      <w:r w:rsidR="08CC7291" w:rsidRPr="003D1E07">
        <w:t>πειρον;</w:t>
      </w:r>
      <w:r w:rsidR="08843105" w:rsidRPr="003D1E07">
        <w:t xml:space="preserve"> </w:t>
      </w:r>
      <w:r w:rsidR="08CC7291" w:rsidRPr="003D1E07">
        <w:t xml:space="preserve">ibid, </w:t>
      </w:r>
      <w:r w:rsidR="08843105" w:rsidRPr="003D1E07">
        <w:t>164.21</w:t>
      </w:r>
      <w:r w:rsidR="08843105" w:rsidRPr="003D1E07">
        <w:rPr>
          <w:iCs/>
        </w:rPr>
        <w:fldChar w:fldCharType="begin"/>
      </w:r>
      <w:r w:rsidR="08843105" w:rsidRPr="003D1E07">
        <w:instrText xml:space="preserve"> XE "Simplikius:</w:instrText>
      </w:r>
      <w:r w:rsidR="08843105" w:rsidRPr="003D1E07">
        <w:rPr>
          <w:i/>
        </w:rPr>
        <w:instrText>Simpl.</w:instrText>
      </w:r>
      <w:r w:rsidR="08843105" w:rsidRPr="003D1E07">
        <w:instrText xml:space="preserve"> </w:instrText>
      </w:r>
      <w:r w:rsidR="08843105" w:rsidRPr="003D1E07">
        <w:rPr>
          <w:i/>
        </w:rPr>
        <w:instrText>in Cat</w:instrText>
      </w:r>
      <w:r w:rsidR="08843105" w:rsidRPr="003D1E07">
        <w:instrText xml:space="preserve">. 164.21" </w:instrText>
      </w:r>
      <w:r w:rsidR="08843105" w:rsidRPr="003D1E07">
        <w:rPr>
          <w:iCs/>
        </w:rPr>
        <w:fldChar w:fldCharType="end"/>
      </w:r>
      <w:r w:rsidR="08843105" w:rsidRPr="003D1E07">
        <w:t xml:space="preserve">). </w:t>
      </w:r>
      <w:r w:rsidR="08F65D03" w:rsidRPr="003D1E07">
        <w:t xml:space="preserve">Z </w:t>
      </w:r>
      <w:r w:rsidR="08843105" w:rsidRPr="003D1E07">
        <w:t xml:space="preserve">habitu jako </w:t>
      </w:r>
      <w:r w:rsidR="087D0825" w:rsidRPr="003D1E07">
        <w:t xml:space="preserve">aristotelského </w:t>
      </w:r>
      <w:r w:rsidR="08843105" w:rsidRPr="003D1E07">
        <w:t>akcidentu stala nová druhá substance, která dostala formální výměr a je zasazena do Ja</w:t>
      </w:r>
      <w:r w:rsidR="08F65D03" w:rsidRPr="003D1E07">
        <w:t>mblichovy dialektiky</w:t>
      </w:r>
      <w:r w:rsidR="087D0825" w:rsidRPr="003D1E07">
        <w:t xml:space="preserve">. </w:t>
      </w:r>
      <w:r w:rsidR="081C1F9D" w:rsidRPr="003D1E07">
        <w:t xml:space="preserve">Intelektuální definice věcí </w:t>
      </w:r>
      <w:r w:rsidR="000A7CB0" w:rsidRPr="003D1E07">
        <w:t xml:space="preserve">o sobě </w:t>
      </w:r>
      <w:r w:rsidR="081C1F9D" w:rsidRPr="003D1E07">
        <w:t>(ἐστὶν ὡρισμένα τὰ ἐφετά, ibid. 164.9</w:t>
      </w:r>
      <w:r w:rsidR="081C1F9D" w:rsidRPr="003D1E07">
        <w:rPr>
          <w:iCs/>
        </w:rPr>
        <w:fldChar w:fldCharType="begin"/>
      </w:r>
      <w:r w:rsidR="081C1F9D" w:rsidRPr="003D1E07">
        <w:instrText xml:space="preserve"> XE "Simplikius:</w:instrText>
      </w:r>
      <w:r w:rsidR="081C1F9D" w:rsidRPr="003D1E07">
        <w:rPr>
          <w:i/>
        </w:rPr>
        <w:instrText>Simpl.</w:instrText>
      </w:r>
      <w:r w:rsidR="081C1F9D" w:rsidRPr="003D1E07">
        <w:instrText xml:space="preserve"> </w:instrText>
      </w:r>
      <w:r w:rsidR="081C1F9D" w:rsidRPr="003D1E07">
        <w:rPr>
          <w:i/>
        </w:rPr>
        <w:instrText>in Cat</w:instrText>
      </w:r>
      <w:r w:rsidR="081C1F9D" w:rsidRPr="003D1E07">
        <w:instrText xml:space="preserve">. 164.9" </w:instrText>
      </w:r>
      <w:r w:rsidR="081C1F9D" w:rsidRPr="003D1E07">
        <w:rPr>
          <w:iCs/>
        </w:rPr>
        <w:fldChar w:fldCharType="end"/>
      </w:r>
      <w:r w:rsidR="081C1F9D" w:rsidRPr="003D1E07">
        <w:t>) se odlišuje od aristotelského habitu smyslové substance, která je daná v neomezeném modu vinou své proměnlivosti a nestálosti (τὸ δὲ ἑκτὸν καὶ διαθετὸν ἀόριστά ἐστιν; ibid, 164.10</w:t>
      </w:r>
      <w:r w:rsidR="081C1F9D" w:rsidRPr="003D1E07">
        <w:rPr>
          <w:iCs/>
        </w:rPr>
        <w:fldChar w:fldCharType="begin"/>
      </w:r>
      <w:r w:rsidR="081C1F9D" w:rsidRPr="003D1E07">
        <w:instrText xml:space="preserve"> XE "Simplikius:</w:instrText>
      </w:r>
      <w:r w:rsidR="081C1F9D" w:rsidRPr="003D1E07">
        <w:rPr>
          <w:i/>
        </w:rPr>
        <w:instrText>Simpl.</w:instrText>
      </w:r>
      <w:r w:rsidR="081C1F9D" w:rsidRPr="003D1E07">
        <w:instrText xml:space="preserve"> </w:instrText>
      </w:r>
      <w:r w:rsidR="081C1F9D" w:rsidRPr="003D1E07">
        <w:rPr>
          <w:i/>
        </w:rPr>
        <w:instrText>in Cat</w:instrText>
      </w:r>
      <w:r w:rsidR="081C1F9D" w:rsidRPr="003D1E07">
        <w:instrText xml:space="preserve">. 164.10" </w:instrText>
      </w:r>
      <w:r w:rsidR="081C1F9D" w:rsidRPr="003D1E07">
        <w:rPr>
          <w:iCs/>
        </w:rPr>
        <w:fldChar w:fldCharType="end"/>
      </w:r>
      <w:r w:rsidR="081C1F9D" w:rsidRPr="003D1E07">
        <w:t>). Rozdíl mezi neomezeným výskytem v realitě a omezenou definicí danou formálně zakládá středovou kategoriální pozici habitu daného v mysli (ἕξις καὶ ἡ διάθεσις ὡς τῆς ψυχῆς λέγηται; ibid, 164.16</w:t>
      </w:r>
      <w:r w:rsidR="081C1F9D" w:rsidRPr="003D1E07">
        <w:rPr>
          <w:iCs/>
        </w:rPr>
        <w:fldChar w:fldCharType="begin"/>
      </w:r>
      <w:r w:rsidR="081C1F9D" w:rsidRPr="003D1E07">
        <w:instrText xml:space="preserve"> XE "Simplikius:</w:instrText>
      </w:r>
      <w:r w:rsidR="081C1F9D" w:rsidRPr="003D1E07">
        <w:rPr>
          <w:i/>
        </w:rPr>
        <w:instrText>Simpl.</w:instrText>
      </w:r>
      <w:r w:rsidR="081C1F9D" w:rsidRPr="003D1E07">
        <w:instrText xml:space="preserve"> </w:instrText>
      </w:r>
      <w:r w:rsidR="081C1F9D" w:rsidRPr="003D1E07">
        <w:rPr>
          <w:i/>
        </w:rPr>
        <w:instrText>in Cat</w:instrText>
      </w:r>
      <w:r w:rsidR="081C1F9D" w:rsidRPr="003D1E07">
        <w:instrText xml:space="preserve">. 164.16" </w:instrText>
      </w:r>
      <w:r w:rsidR="081C1F9D" w:rsidRPr="003D1E07">
        <w:rPr>
          <w:iCs/>
        </w:rPr>
        <w:fldChar w:fldCharType="end"/>
      </w:r>
      <w:r w:rsidR="00EA470B">
        <w:t>). E</w:t>
      </w:r>
      <w:r w:rsidR="087D0825" w:rsidRPr="003D1E07">
        <w:t xml:space="preserve">idetický výměr nyní určuje </w:t>
      </w:r>
      <w:r w:rsidR="08F6606A" w:rsidRPr="003D1E07">
        <w:t>skrze svou nadřazenou t</w:t>
      </w:r>
      <w:r w:rsidR="08A33DB4" w:rsidRPr="003D1E07">
        <w:t>h</w:t>
      </w:r>
      <w:r w:rsidR="08F6606A" w:rsidRPr="003D1E07">
        <w:t>e</w:t>
      </w:r>
      <w:r w:rsidR="08A33DB4" w:rsidRPr="003D1E07">
        <w:t xml:space="preserve">urgickou formu jakékoliv </w:t>
      </w:r>
      <w:r w:rsidR="009D38AA">
        <w:t xml:space="preserve">fyzikální </w:t>
      </w:r>
      <w:r w:rsidR="08A33DB4" w:rsidRPr="003D1E07">
        <w:t>kontinuu</w:t>
      </w:r>
      <w:r w:rsidR="087D0825" w:rsidRPr="003D1E07">
        <w:t xml:space="preserve">m </w:t>
      </w:r>
      <w:r w:rsidR="009D38AA">
        <w:t xml:space="preserve">dané jako </w:t>
      </w:r>
      <w:r w:rsidR="087D0825" w:rsidRPr="003D1E07">
        <w:t>materie</w:t>
      </w:r>
      <w:r w:rsidR="009D38AA">
        <w:t>, těleso, pohyb, čas</w:t>
      </w:r>
      <w:r w:rsidR="08A33DB4" w:rsidRPr="003D1E07">
        <w:t xml:space="preserve"> atd</w:t>
      </w:r>
      <w:r w:rsidR="08843105" w:rsidRPr="003D1E07">
        <w:t>.</w:t>
      </w:r>
      <w:r w:rsidR="08F65D03" w:rsidRPr="003D1E07">
        <w:t xml:space="preserve"> </w:t>
      </w:r>
      <w:r w:rsidR="009D38AA">
        <w:t>Místo vztahu první a druhé substance vznikl nový vztah „</w:t>
      </w:r>
      <w:r w:rsidR="009D38AA" w:rsidRPr="009D38AA">
        <w:rPr>
          <w:i/>
        </w:rPr>
        <w:t>defi</w:t>
      </w:r>
      <w:r w:rsidR="009D38AA">
        <w:rPr>
          <w:i/>
        </w:rPr>
        <w:t>ni</w:t>
      </w:r>
      <w:r w:rsidR="009D38AA" w:rsidRPr="009D38AA">
        <w:rPr>
          <w:i/>
        </w:rPr>
        <w:t>ens–definitum</w:t>
      </w:r>
      <w:r w:rsidR="009D38AA">
        <w:t>“</w:t>
      </w:r>
      <w:r w:rsidR="00C70405">
        <w:t xml:space="preserve">. </w:t>
      </w:r>
      <w:r w:rsidR="083B1B6B" w:rsidRPr="003D1E07">
        <w:t>Určující náhled jde od jasně vymezené formy směrem do neomezeného kontinua objektivní materie dané původně v Platonově neomezené Dyádě. Kategoriální určení dané</w:t>
      </w:r>
      <w:r w:rsidR="08FC2DF5" w:rsidRPr="003D1E07">
        <w:t xml:space="preserve"> náhledem </w:t>
      </w:r>
      <w:r w:rsidR="00D91F2D">
        <w:t xml:space="preserve">hypostatické </w:t>
      </w:r>
      <w:r w:rsidR="08FC2DF5" w:rsidRPr="003D1E07">
        <w:t xml:space="preserve">formy </w:t>
      </w:r>
      <w:r w:rsidR="00A4495E">
        <w:t xml:space="preserve">(Husserlova </w:t>
      </w:r>
      <w:r w:rsidR="00A4495E" w:rsidRPr="00A4495E">
        <w:rPr>
          <w:i/>
        </w:rPr>
        <w:t>Wesensschau</w:t>
      </w:r>
      <w:r w:rsidR="00A4495E">
        <w:t xml:space="preserve">) </w:t>
      </w:r>
      <w:r w:rsidR="00BE71B3">
        <w:t xml:space="preserve">nyní určuje nejisté </w:t>
      </w:r>
      <w:r w:rsidR="08FC2DF5" w:rsidRPr="003D1E07">
        <w:t>smyslové poznání</w:t>
      </w:r>
      <w:r w:rsidR="00D91F2D">
        <w:t xml:space="preserve">. </w:t>
      </w:r>
      <w:r w:rsidR="083B1B6B" w:rsidRPr="003D1E07">
        <w:t>Nové dělení kategorií řídí Jamblichův princip „Omezené‒Neomezené</w:t>
      </w:r>
      <w:r w:rsidR="083B1B6B" w:rsidRPr="003D1E07">
        <w:fldChar w:fldCharType="begin"/>
      </w:r>
      <w:r w:rsidR="083B1B6B" w:rsidRPr="003D1E07">
        <w:instrText xml:space="preserve"> XE "</w:instrText>
      </w:r>
      <w:r w:rsidR="083B1B6B" w:rsidRPr="003D1E07">
        <w:rPr>
          <w:rStyle w:val="addmd"/>
        </w:rPr>
        <w:instrText>Omezené‒Neomezené</w:instrText>
      </w:r>
      <w:r w:rsidR="083B1B6B" w:rsidRPr="003D1E07">
        <w:instrText xml:space="preserve">" </w:instrText>
      </w:r>
      <w:r w:rsidR="083B1B6B" w:rsidRPr="003D1E07">
        <w:fldChar w:fldCharType="end"/>
      </w:r>
      <w:r w:rsidR="00C2713E">
        <w:t xml:space="preserve">“, </w:t>
      </w:r>
      <w:r w:rsidR="083B1B6B" w:rsidRPr="003D1E07">
        <w:t>a ne Aristotelova kategoriální predikace. Změna v p</w:t>
      </w:r>
      <w:r w:rsidR="087D7700" w:rsidRPr="003D1E07">
        <w:t xml:space="preserve">ojetí </w:t>
      </w:r>
      <w:r w:rsidR="083B1B6B" w:rsidRPr="003D1E07">
        <w:t xml:space="preserve">kategorií </w:t>
      </w:r>
      <w:r w:rsidR="08F65D03" w:rsidRPr="003D1E07">
        <w:t xml:space="preserve">ukazuje, že </w:t>
      </w:r>
      <w:r w:rsidR="08843105" w:rsidRPr="003D1E07">
        <w:t xml:space="preserve">vznikla nová predikace </w:t>
      </w:r>
      <w:r w:rsidR="083B1B6B" w:rsidRPr="003D1E07">
        <w:t xml:space="preserve">jsoucna </w:t>
      </w:r>
      <w:r w:rsidR="08843105" w:rsidRPr="003D1E07">
        <w:t>v modu objektivní spekulace</w:t>
      </w:r>
      <w:r w:rsidR="083B1B6B" w:rsidRPr="003D1E07">
        <w:t xml:space="preserve">. </w:t>
      </w:r>
      <w:r w:rsidR="08D51D2D" w:rsidRPr="003D1E07">
        <w:t>U</w:t>
      </w:r>
      <w:r w:rsidR="08F65D03" w:rsidRPr="003D1E07">
        <w:t>r</w:t>
      </w:r>
      <w:r w:rsidR="08843105" w:rsidRPr="003D1E07">
        <w:t xml:space="preserve">čující noematický náhled v modu </w:t>
      </w:r>
      <w:r w:rsidR="08843105" w:rsidRPr="003D1E07">
        <w:rPr>
          <w:i/>
        </w:rPr>
        <w:t>per prius</w:t>
      </w:r>
      <w:r w:rsidR="08843105" w:rsidRPr="003D1E07">
        <w:t xml:space="preserve"> determinuje neurčitou </w:t>
      </w:r>
      <w:r w:rsidR="00ED1DA1" w:rsidRPr="003D1E07">
        <w:t>materii</w:t>
      </w:r>
      <w:r w:rsidR="08843105" w:rsidRPr="003D1E07">
        <w:t xml:space="preserve">, která má potenci </w:t>
      </w:r>
      <w:r w:rsidR="08F65D03" w:rsidRPr="003D1E07">
        <w:t>být určena pomoc</w:t>
      </w:r>
      <w:r w:rsidR="08843105" w:rsidRPr="003D1E07">
        <w:t xml:space="preserve">í inteligibilních forem. Predikaci už nezakládá aktuálně určená první substance v realitě, ale </w:t>
      </w:r>
      <w:r w:rsidR="08F80FB7" w:rsidRPr="003D1E07">
        <w:t xml:space="preserve">hypostázovaná </w:t>
      </w:r>
      <w:r w:rsidR="08843105" w:rsidRPr="003D1E07">
        <w:t>forma-</w:t>
      </w:r>
      <w:r w:rsidR="00F214C5" w:rsidRPr="003D1E07">
        <w:t>species</w:t>
      </w:r>
      <w:r w:rsidR="08843105" w:rsidRPr="003D1E07">
        <w:t xml:space="preserve">. </w:t>
      </w:r>
      <w:r w:rsidR="001310C1" w:rsidRPr="003D1E07">
        <w:t xml:space="preserve">Habitus má </w:t>
      </w:r>
      <w:r w:rsidR="00273BE4" w:rsidRPr="003D1E07">
        <w:t xml:space="preserve">v neoplatonismu a </w:t>
      </w:r>
      <w:r w:rsidR="00281CDD" w:rsidRPr="003D1E07">
        <w:t xml:space="preserve">v </w:t>
      </w:r>
      <w:r w:rsidR="00273BE4" w:rsidRPr="003D1E07">
        <w:t>pozdější scholastice privilegovanou pozici</w:t>
      </w:r>
      <w:r w:rsidR="001310C1" w:rsidRPr="003D1E07">
        <w:t xml:space="preserve">, </w:t>
      </w:r>
      <w:r w:rsidR="00C533AB" w:rsidRPr="003D1E07">
        <w:t xml:space="preserve">protože dělí tabulku kategorií na dvě části. </w:t>
      </w:r>
      <w:r w:rsidR="0042128A" w:rsidRPr="003D1E07">
        <w:rPr>
          <w:lang w:eastAsia="en-US"/>
        </w:rPr>
        <w:t xml:space="preserve">Druhá substance jako první kategorie je nyní nerozlišeně </w:t>
      </w:r>
      <w:r w:rsidR="00ED1DA1" w:rsidRPr="003D1E07">
        <w:rPr>
          <w:lang w:eastAsia="en-US"/>
        </w:rPr>
        <w:t xml:space="preserve">spojena s </w:t>
      </w:r>
      <w:r w:rsidR="0042128A" w:rsidRPr="003D1E07">
        <w:rPr>
          <w:lang w:eastAsia="en-US"/>
        </w:rPr>
        <w:t>první substanc</w:t>
      </w:r>
      <w:r w:rsidR="00ED1DA1" w:rsidRPr="003D1E07">
        <w:rPr>
          <w:lang w:eastAsia="en-US"/>
        </w:rPr>
        <w:t>í</w:t>
      </w:r>
      <w:r w:rsidR="0042128A" w:rsidRPr="003D1E07">
        <w:rPr>
          <w:lang w:eastAsia="en-US"/>
        </w:rPr>
        <w:t xml:space="preserve">, a navíc je vybavena </w:t>
      </w:r>
      <w:r w:rsidR="008D6449" w:rsidRPr="003D1E07">
        <w:rPr>
          <w:lang w:eastAsia="en-US"/>
        </w:rPr>
        <w:t xml:space="preserve">hypostázemi </w:t>
      </w:r>
      <w:r w:rsidR="0042128A" w:rsidRPr="003D1E07">
        <w:rPr>
          <w:lang w:eastAsia="en-US"/>
        </w:rPr>
        <w:t xml:space="preserve">kvality a kvantity, které </w:t>
      </w:r>
      <w:r w:rsidR="008D6449" w:rsidRPr="003D1E07">
        <w:rPr>
          <w:lang w:eastAsia="en-US"/>
        </w:rPr>
        <w:t xml:space="preserve">jsou </w:t>
      </w:r>
      <w:r w:rsidR="0042128A" w:rsidRPr="003D1E07">
        <w:rPr>
          <w:lang w:eastAsia="en-US"/>
        </w:rPr>
        <w:t xml:space="preserve">na úrovni </w:t>
      </w:r>
      <w:r w:rsidR="08A72F3A" w:rsidRPr="003D1E07">
        <w:rPr>
          <w:lang w:eastAsia="en-US"/>
        </w:rPr>
        <w:t xml:space="preserve">první </w:t>
      </w:r>
      <w:r w:rsidR="0042128A" w:rsidRPr="003D1E07">
        <w:rPr>
          <w:lang w:eastAsia="en-US"/>
        </w:rPr>
        <w:t xml:space="preserve">substance. </w:t>
      </w:r>
      <w:r w:rsidR="08C355A1" w:rsidRPr="003D1E07">
        <w:t>Habitus začne hrát významnou roli v dalších určeních objektivity</w:t>
      </w:r>
      <w:r w:rsidR="00061A7D" w:rsidRPr="003D1E07">
        <w:t xml:space="preserve">. Je </w:t>
      </w:r>
      <w:r w:rsidR="08C355A1" w:rsidRPr="003D1E07">
        <w:t xml:space="preserve">odlišen jak od primárních určení substance třetího druhu daných v modu </w:t>
      </w:r>
      <w:r w:rsidR="08C355A1" w:rsidRPr="003D1E07">
        <w:rPr>
          <w:i/>
        </w:rPr>
        <w:t>per prius</w:t>
      </w:r>
      <w:r w:rsidR="08C355A1" w:rsidRPr="003D1E07">
        <w:t xml:space="preserve">, tak od sekundárních postpredikament daných v modu </w:t>
      </w:r>
      <w:r w:rsidR="08C355A1" w:rsidRPr="003D1E07">
        <w:rPr>
          <w:i/>
        </w:rPr>
        <w:t>per posterius</w:t>
      </w:r>
      <w:r w:rsidR="08C355A1" w:rsidRPr="003D1E07">
        <w:fldChar w:fldCharType="begin"/>
      </w:r>
      <w:r w:rsidR="08C355A1" w:rsidRPr="003D1E07">
        <w:instrText xml:space="preserve"> XE "predikace:</w:instrText>
      </w:r>
      <w:r w:rsidR="08C355A1" w:rsidRPr="003D1E07">
        <w:rPr>
          <w:i/>
        </w:rPr>
        <w:instrText>per posterius</w:instrText>
      </w:r>
      <w:r w:rsidR="08C355A1" w:rsidRPr="003D1E07">
        <w:instrText xml:space="preserve">" </w:instrText>
      </w:r>
      <w:r w:rsidR="08C355A1" w:rsidRPr="003D1E07">
        <w:fldChar w:fldCharType="end"/>
      </w:r>
      <w:r w:rsidR="08C355A1" w:rsidRPr="003D1E07">
        <w:t xml:space="preserve">. </w:t>
      </w:r>
      <w:r w:rsidR="089864BF" w:rsidRPr="003D1E07">
        <w:t>Novému určení habitu se věnuje</w:t>
      </w:r>
      <w:r w:rsidR="08F61EBC" w:rsidRPr="003D1E07">
        <w:t xml:space="preserve"> další díl</w:t>
      </w:r>
      <w:r w:rsidR="089864BF" w:rsidRPr="003D1E07">
        <w:t xml:space="preserve">, protože Simplikiovo a Avicennovo hypostázované pojetí tvoří základ </w:t>
      </w:r>
      <w:r w:rsidR="007B4EB0">
        <w:t xml:space="preserve">habitu </w:t>
      </w:r>
      <w:r w:rsidR="089864BF" w:rsidRPr="003D1E07">
        <w:t>v latinské scholastice</w:t>
      </w:r>
      <w:r w:rsidR="089864BF" w:rsidRPr="003D1E07">
        <w:fldChar w:fldCharType="begin"/>
      </w:r>
      <w:r w:rsidR="089864BF" w:rsidRPr="003D1E07">
        <w:instrText xml:space="preserve"> XE "habitus" </w:instrText>
      </w:r>
      <w:r w:rsidR="089864BF" w:rsidRPr="003D1E07">
        <w:fldChar w:fldCharType="end"/>
      </w:r>
      <w:r w:rsidR="089864BF" w:rsidRPr="003D1E07">
        <w:t xml:space="preserve"> (</w:t>
      </w:r>
      <w:r w:rsidR="08A85B38" w:rsidRPr="003D1E07">
        <w:t xml:space="preserve">OBJ II, </w:t>
      </w:r>
      <w:r w:rsidR="089864BF" w:rsidRPr="003D1E07">
        <w:t xml:space="preserve">kap. </w:t>
      </w:r>
      <w:r w:rsidR="08A85B38" w:rsidRPr="003D1E07">
        <w:t>2</w:t>
      </w:r>
      <w:r w:rsidR="089864BF" w:rsidRPr="003D1E07">
        <w:t xml:space="preserve">.4.1). </w:t>
      </w:r>
      <w:r w:rsidR="08C355A1" w:rsidRPr="003D1E07">
        <w:rPr>
          <w:lang w:eastAsia="en-US"/>
        </w:rPr>
        <w:t>Habitus s</w:t>
      </w:r>
      <w:r w:rsidR="08C355A1" w:rsidRPr="003D1E07">
        <w:t xml:space="preserve">tojí v podřazené pozici vůči prvnímu triu predikábilií </w:t>
      </w:r>
      <w:r w:rsidR="08C355A1" w:rsidRPr="003D1E07">
        <w:rPr>
          <w:lang w:eastAsia="en-US"/>
        </w:rPr>
        <w:t xml:space="preserve">(substance, kvalita, kvantita), kterým patří formální určení a atributy přímo a nezprostředkovaně z titulu smíšení první a druhé substance v novém modu atomární substance. </w:t>
      </w:r>
      <w:r w:rsidR="00C533AB" w:rsidRPr="003D1E07">
        <w:rPr>
          <w:lang w:eastAsia="en-US"/>
        </w:rPr>
        <w:t xml:space="preserve">Tabulka kategorií změnila smysl z „1 + 9“ na </w:t>
      </w:r>
      <w:r w:rsidR="005C5990" w:rsidRPr="003D1E07">
        <w:rPr>
          <w:lang w:eastAsia="en-US"/>
        </w:rPr>
        <w:t>nový</w:t>
      </w:r>
      <w:r w:rsidR="00C533AB" w:rsidRPr="003D1E07">
        <w:rPr>
          <w:lang w:eastAsia="en-US"/>
        </w:rPr>
        <w:t xml:space="preserve"> systém „3 + 1 (habitus) + 6“. </w:t>
      </w:r>
      <w:r w:rsidR="08396655" w:rsidRPr="003D1E07">
        <w:t xml:space="preserve">Habitus odlišuje toto primární trio od ostatních určení. Pozdější scholastika inspirovaná Simplikiovým komentářem nazvala druhou sérii akcidentů </w:t>
      </w:r>
      <w:r w:rsidR="08396655" w:rsidRPr="003D1E07">
        <w:rPr>
          <w:lang w:eastAsia="en-US"/>
        </w:rPr>
        <w:lastRenderedPageBreak/>
        <w:t xml:space="preserve">termínem </w:t>
      </w:r>
      <w:r w:rsidR="08396655" w:rsidRPr="003D1E07">
        <w:rPr>
          <w:i/>
        </w:rPr>
        <w:t>postpraedicamenta</w:t>
      </w:r>
      <w:r w:rsidR="08396655" w:rsidRPr="003D1E07">
        <w:rPr>
          <w:i/>
        </w:rPr>
        <w:fldChar w:fldCharType="begin"/>
      </w:r>
      <w:r w:rsidR="08396655" w:rsidRPr="003D1E07">
        <w:instrText xml:space="preserve"> XE "</w:instrText>
      </w:r>
      <w:r w:rsidR="08396655" w:rsidRPr="003D1E07">
        <w:rPr>
          <w:i/>
        </w:rPr>
        <w:instrText>postpraedicamenta</w:instrText>
      </w:r>
      <w:r w:rsidR="08396655" w:rsidRPr="003D1E07">
        <w:instrText xml:space="preserve">" </w:instrText>
      </w:r>
      <w:r w:rsidR="08396655" w:rsidRPr="003D1E07">
        <w:rPr>
          <w:i/>
        </w:rPr>
        <w:fldChar w:fldCharType="end"/>
      </w:r>
      <w:r w:rsidR="08396655" w:rsidRPr="003D1E07">
        <w:t xml:space="preserve"> (</w:t>
      </w:r>
      <w:r w:rsidR="08A85B38" w:rsidRPr="003D1E07">
        <w:t>OBJ III, kap. 5</w:t>
      </w:r>
      <w:r w:rsidR="08396655" w:rsidRPr="003D1E07">
        <w:t xml:space="preserve">.3.1). Středová pozice habitu v novém systému predikace ukazuje, že převzal význam druhé substance, protože jeho hypostázovaná podoba stojí v modu </w:t>
      </w:r>
      <w:r w:rsidR="08396655" w:rsidRPr="003D1E07">
        <w:rPr>
          <w:i/>
        </w:rPr>
        <w:t>per prius</w:t>
      </w:r>
      <w:r w:rsidR="08396655" w:rsidRPr="003D1E07">
        <w:t xml:space="preserve"> vůči zbylým akcidentálním určením. </w:t>
      </w:r>
      <w:r w:rsidR="089D2412" w:rsidRPr="003D1E07">
        <w:t>První tři kategoriální určení se stala univerzálními určeními jsoucna a v postmoderně dostala charakter tzv. „primárních kvalit</w:t>
      </w:r>
      <w:r w:rsidR="089D2412" w:rsidRPr="003D1E07">
        <w:fldChar w:fldCharType="begin"/>
      </w:r>
      <w:r w:rsidR="089D2412" w:rsidRPr="003D1E07">
        <w:instrText xml:space="preserve"> XE "primární kvality" </w:instrText>
      </w:r>
      <w:r w:rsidR="089D2412" w:rsidRPr="003D1E07">
        <w:fldChar w:fldCharType="end"/>
      </w:r>
      <w:r w:rsidR="089D2412" w:rsidRPr="003D1E07">
        <w:t>“ hypostázovaných jako substance třetího druhu</w:t>
      </w:r>
      <w:r w:rsidR="08396655" w:rsidRPr="003D1E07">
        <w:t xml:space="preserve"> (J. Locke</w:t>
      </w:r>
      <w:r w:rsidR="081B59FD" w:rsidRPr="003D1E07">
        <w:fldChar w:fldCharType="begin"/>
      </w:r>
      <w:r w:rsidR="081B59FD" w:rsidRPr="003D1E07">
        <w:instrText xml:space="preserve"> XE "Locke, J," </w:instrText>
      </w:r>
      <w:r w:rsidR="081B59FD" w:rsidRPr="003D1E07">
        <w:fldChar w:fldCharType="end"/>
      </w:r>
      <w:r w:rsidR="08396655" w:rsidRPr="003D1E07">
        <w:t>)</w:t>
      </w:r>
      <w:r w:rsidR="089D2412" w:rsidRPr="003D1E07">
        <w:t xml:space="preserve">. </w:t>
      </w:r>
      <w:r w:rsidR="00486933" w:rsidRPr="003D1E07">
        <w:t xml:space="preserve">První trio kategoriálních určení </w:t>
      </w:r>
      <w:r w:rsidR="087242D1" w:rsidRPr="003D1E07">
        <w:t xml:space="preserve">nyní </w:t>
      </w:r>
      <w:r w:rsidR="08BD00BC" w:rsidRPr="003D1E07">
        <w:t xml:space="preserve">vztažených k neoplatonské atomární substanci </w:t>
      </w:r>
      <w:r w:rsidR="00486933" w:rsidRPr="003D1E07">
        <w:t xml:space="preserve">se </w:t>
      </w:r>
      <w:r w:rsidR="087242D1" w:rsidRPr="003D1E07">
        <w:t xml:space="preserve">později </w:t>
      </w:r>
      <w:r w:rsidR="00486933" w:rsidRPr="003D1E07">
        <w:t xml:space="preserve">začalo volně zaměňovat s významem </w:t>
      </w:r>
      <w:r w:rsidR="00F214C5" w:rsidRPr="003D1E07">
        <w:t>species</w:t>
      </w:r>
      <w:r w:rsidR="08727B2D" w:rsidRPr="003D1E07">
        <w:t xml:space="preserve"> podle popsaného Porfyriova modelu ambivalentní predikace dané v </w:t>
      </w:r>
      <w:r w:rsidR="08727B2D" w:rsidRPr="003D1E07">
        <w:rPr>
          <w:i/>
        </w:rPr>
        <w:t>Isagoge</w:t>
      </w:r>
      <w:r w:rsidR="08DC3ABD" w:rsidRPr="003D1E07">
        <w:t>.</w:t>
      </w:r>
    </w:p>
    <w:p w14:paraId="3CAF4AA0" w14:textId="6C20378D" w:rsidR="003C6073" w:rsidRDefault="08DC3ABD" w:rsidP="00684365">
      <w:pPr>
        <w:rPr>
          <w:iCs/>
        </w:rPr>
      </w:pPr>
      <w:r w:rsidRPr="003D1E07">
        <w:tab/>
      </w:r>
      <w:r w:rsidR="000511B9" w:rsidRPr="003D1E07">
        <w:t xml:space="preserve">Uveďme </w:t>
      </w:r>
      <w:r w:rsidR="00402F4C" w:rsidRPr="003D1E07">
        <w:t xml:space="preserve">ještě </w:t>
      </w:r>
      <w:r w:rsidR="000511B9" w:rsidRPr="003D1E07">
        <w:t xml:space="preserve">jeden příklad transformace </w:t>
      </w:r>
      <w:r w:rsidR="00753BB6">
        <w:t xml:space="preserve">kategorií, který je </w:t>
      </w:r>
      <w:r w:rsidR="000511B9" w:rsidRPr="003D1E07">
        <w:t xml:space="preserve">důležitý pro budoucí vývoj objektivity. Úvodní pasáž </w:t>
      </w:r>
      <w:r w:rsidR="000511B9" w:rsidRPr="003D1E07">
        <w:rPr>
          <w:i/>
        </w:rPr>
        <w:t>Kategorií</w:t>
      </w:r>
      <w:r w:rsidR="000511B9" w:rsidRPr="003D1E07">
        <w:t xml:space="preserve"> chápe bělobu člověka a koně pouze jako nominální rozdíl mezi slovy, který neumožňuje kvůli odlišné substanci žádnou společnou predikaci (παρώνυμα δὲ λέγεται, </w:t>
      </w:r>
      <w:r w:rsidR="000511B9" w:rsidRPr="003D1E07">
        <w:rPr>
          <w:i/>
        </w:rPr>
        <w:t>Cat</w:t>
      </w:r>
      <w:r w:rsidR="009024AC" w:rsidRPr="003D1E07">
        <w:t>. 1a12</w:t>
      </w:r>
      <w:r w:rsidR="00285B0C" w:rsidRPr="003D1E07">
        <w:rPr>
          <w:iCs/>
        </w:rPr>
        <w:fldChar w:fldCharType="begin"/>
      </w:r>
      <w:r w:rsidR="00285B0C" w:rsidRPr="003D1E07">
        <w:instrText xml:space="preserve"> XE "</w:instrText>
      </w:r>
      <w:r w:rsidR="008E02F5" w:rsidRPr="003D1E07">
        <w:instrText>Aristoteles</w:instrText>
      </w:r>
      <w:r w:rsidR="00285B0C" w:rsidRPr="003D1E07">
        <w:instrText>:</w:instrText>
      </w:r>
      <w:r w:rsidR="00285B0C" w:rsidRPr="003D1E07">
        <w:rPr>
          <w:i/>
        </w:rPr>
        <w:instrText>Cat</w:instrText>
      </w:r>
      <w:r w:rsidR="00285B0C" w:rsidRPr="003D1E07">
        <w:instrText>. 1a1</w:instrText>
      </w:r>
      <w:r w:rsidR="009024AC" w:rsidRPr="003D1E07">
        <w:instrText>2</w:instrText>
      </w:r>
      <w:r w:rsidR="00285B0C" w:rsidRPr="003D1E07">
        <w:instrText xml:space="preserve">" </w:instrText>
      </w:r>
      <w:r w:rsidR="00285B0C" w:rsidRPr="003D1E07">
        <w:rPr>
          <w:iCs/>
        </w:rPr>
        <w:fldChar w:fldCharType="end"/>
      </w:r>
      <w:r w:rsidR="000511B9" w:rsidRPr="003D1E07">
        <w:t xml:space="preserve">). </w:t>
      </w:r>
      <w:r w:rsidR="00753BB6">
        <w:t>Neoplatonské školy vyložily</w:t>
      </w:r>
      <w:r w:rsidR="000511B9" w:rsidRPr="003D1E07">
        <w:t xml:space="preserve"> </w:t>
      </w:r>
      <w:r w:rsidR="00753BB6">
        <w:t xml:space="preserve">tuto </w:t>
      </w:r>
      <w:r w:rsidR="000511B9" w:rsidRPr="003D1E07">
        <w:t xml:space="preserve">paronymii </w:t>
      </w:r>
      <w:r w:rsidR="00753BB6">
        <w:t xml:space="preserve">jako kategoriální predikaci. </w:t>
      </w:r>
      <w:r w:rsidR="00443673" w:rsidRPr="003D1E07">
        <w:t>Běloba je hypostázována a přímo participuje jako univerzálie na bytí obou substancí</w:t>
      </w:r>
      <w:r w:rsidR="00443673">
        <w:t xml:space="preserve">. </w:t>
      </w:r>
      <w:r w:rsidR="000511B9" w:rsidRPr="003D1E07">
        <w:t>Pouhá homonymie</w:t>
      </w:r>
      <w:r w:rsidR="00447BAB" w:rsidRPr="003D1E07">
        <w:fldChar w:fldCharType="begin"/>
      </w:r>
      <w:r w:rsidR="00447BAB" w:rsidRPr="003D1E07">
        <w:instrText xml:space="preserve"> XE "homonymie" </w:instrText>
      </w:r>
      <w:r w:rsidR="00447BAB" w:rsidRPr="003D1E07">
        <w:fldChar w:fldCharType="end"/>
      </w:r>
      <w:r w:rsidR="000511B9" w:rsidRPr="003D1E07">
        <w:t xml:space="preserve"> na úrovni podobnosti slova byla povýšena na ontologickou kategorii postavenou na úroveň kategoriálních určení substance.</w:t>
      </w:r>
      <w:r w:rsidR="000511B9" w:rsidRPr="003D1E07">
        <w:rPr>
          <w:rStyle w:val="Znakapoznpodarou"/>
          <w:lang w:eastAsia="en-US"/>
        </w:rPr>
        <w:footnoteReference w:id="63"/>
      </w:r>
      <w:r w:rsidR="000511B9" w:rsidRPr="003D1E07">
        <w:t xml:space="preserve"> </w:t>
      </w:r>
      <w:r w:rsidR="00746D7E">
        <w:t xml:space="preserve"> </w:t>
      </w:r>
      <w:r w:rsidR="00910392" w:rsidRPr="003D1E07">
        <w:t xml:space="preserve">Hypostázování kvality jako substance umožnila </w:t>
      </w:r>
      <w:r w:rsidR="08EF1FAC" w:rsidRPr="003D1E07">
        <w:rPr>
          <w:iCs/>
        </w:rPr>
        <w:t>zmínka o třetím rodu</w:t>
      </w:r>
      <w:r w:rsidR="00910392" w:rsidRPr="003D1E07">
        <w:rPr>
          <w:iCs/>
        </w:rPr>
        <w:t xml:space="preserve"> </w:t>
      </w:r>
      <w:r w:rsidR="08BF298D" w:rsidRPr="003D1E07">
        <w:rPr>
          <w:iCs/>
        </w:rPr>
        <w:t>(</w:t>
      </w:r>
      <w:r w:rsidR="08BF298D" w:rsidRPr="003D1E07">
        <w:t xml:space="preserve">τρίτον δὲ γένος, </w:t>
      </w:r>
      <w:r w:rsidR="08BF298D" w:rsidRPr="003D1E07">
        <w:rPr>
          <w:i/>
        </w:rPr>
        <w:t>Cat</w:t>
      </w:r>
      <w:r w:rsidR="08BF298D" w:rsidRPr="003D1E07">
        <w:t>. 9a28</w:t>
      </w:r>
      <w:r w:rsidR="08BF298D" w:rsidRPr="003D1E07">
        <w:rPr>
          <w:iCs/>
        </w:rPr>
        <w:fldChar w:fldCharType="begin"/>
      </w:r>
      <w:r w:rsidR="08BF298D" w:rsidRPr="003D1E07">
        <w:instrText xml:space="preserve"> XE "Aristoteles:</w:instrText>
      </w:r>
      <w:r w:rsidR="08BF298D" w:rsidRPr="003D1E07">
        <w:rPr>
          <w:i/>
        </w:rPr>
        <w:instrText>Cat</w:instrText>
      </w:r>
      <w:r w:rsidR="08BF298D" w:rsidRPr="003D1E07">
        <w:instrText xml:space="preserve">. 9a28" </w:instrText>
      </w:r>
      <w:r w:rsidR="08BF298D" w:rsidRPr="003D1E07">
        <w:rPr>
          <w:iCs/>
        </w:rPr>
        <w:fldChar w:fldCharType="end"/>
      </w:r>
      <w:r w:rsidR="08BF298D" w:rsidRPr="003D1E07">
        <w:t xml:space="preserve">) </w:t>
      </w:r>
      <w:r w:rsidR="00910392" w:rsidRPr="003D1E07">
        <w:rPr>
          <w:iCs/>
        </w:rPr>
        <w:t xml:space="preserve">přímo v </w:t>
      </w:r>
      <w:r w:rsidR="00910392" w:rsidRPr="003D1E07">
        <w:rPr>
          <w:i/>
          <w:iCs/>
        </w:rPr>
        <w:t>Kategoriích</w:t>
      </w:r>
      <w:r w:rsidR="00910392" w:rsidRPr="003D1E07">
        <w:rPr>
          <w:iCs/>
        </w:rPr>
        <w:t>, která je vztažena k analýze akcidentu typu „běloba</w:t>
      </w:r>
      <w:r w:rsidR="00447BAB" w:rsidRPr="003D1E07">
        <w:rPr>
          <w:iCs/>
        </w:rPr>
        <w:fldChar w:fldCharType="begin"/>
      </w:r>
      <w:r w:rsidR="00447BAB" w:rsidRPr="003D1E07">
        <w:instrText xml:space="preserve"> XE "predikace:běloba" </w:instrText>
      </w:r>
      <w:r w:rsidR="00447BAB" w:rsidRPr="003D1E07">
        <w:rPr>
          <w:iCs/>
        </w:rPr>
        <w:fldChar w:fldCharType="end"/>
      </w:r>
      <w:r w:rsidR="00910392" w:rsidRPr="003D1E07">
        <w:rPr>
          <w:iCs/>
        </w:rPr>
        <w:t>“</w:t>
      </w:r>
      <w:r w:rsidR="08BF298D" w:rsidRPr="003D1E07">
        <w:rPr>
          <w:iCs/>
        </w:rPr>
        <w:t>, který prodělává různé změny na substančním substrátu</w:t>
      </w:r>
      <w:r w:rsidR="00910392" w:rsidRPr="003D1E07">
        <w:t xml:space="preserve">. </w:t>
      </w:r>
      <w:r w:rsidR="008B12D2" w:rsidRPr="003D1E07">
        <w:t>Neoplatonsk</w:t>
      </w:r>
      <w:r w:rsidR="00910392" w:rsidRPr="003D1E07">
        <w:t>ý komentář Ammonia</w:t>
      </w:r>
      <w:r w:rsidR="00447BAB" w:rsidRPr="003D1E07">
        <w:fldChar w:fldCharType="begin"/>
      </w:r>
      <w:r w:rsidR="00447BAB" w:rsidRPr="003D1E07">
        <w:instrText xml:space="preserve"> XE "Ammonius" </w:instrText>
      </w:r>
      <w:r w:rsidR="00447BAB" w:rsidRPr="003D1E07">
        <w:fldChar w:fldCharType="end"/>
      </w:r>
      <w:r w:rsidR="00910392" w:rsidRPr="003D1E07">
        <w:t xml:space="preserve"> ze Sakky (†242) poprvé zrušil Aristotelovu hyparchickou vazbu </w:t>
      </w:r>
      <w:r w:rsidR="00106CBE" w:rsidRPr="003D1E07">
        <w:t xml:space="preserve">kategoriálních </w:t>
      </w:r>
      <w:r w:rsidR="00910392" w:rsidRPr="003D1E07">
        <w:t xml:space="preserve">určení na první </w:t>
      </w:r>
      <w:r w:rsidR="00106CBE" w:rsidRPr="003D1E07">
        <w:t xml:space="preserve">substanci. Ammonius </w:t>
      </w:r>
      <w:r w:rsidR="00910392" w:rsidRPr="003D1E07">
        <w:t>vyložil kvalitu jako kategoriální pseudo-substanci</w:t>
      </w:r>
      <w:r w:rsidR="00106CBE" w:rsidRPr="003D1E07">
        <w:t xml:space="preserve"> a dal jí samostatný statut</w:t>
      </w:r>
      <w:r w:rsidR="00910392" w:rsidRPr="003D1E07">
        <w:t xml:space="preserve">. </w:t>
      </w:r>
      <w:r w:rsidR="003E1E47" w:rsidRPr="003D1E07">
        <w:t>K</w:t>
      </w:r>
      <w:r w:rsidR="00106CBE" w:rsidRPr="003D1E07">
        <w:t xml:space="preserve">valita </w:t>
      </w:r>
      <w:r w:rsidR="003E1E47" w:rsidRPr="003D1E07">
        <w:t>ne</w:t>
      </w:r>
      <w:r w:rsidR="00DA570A" w:rsidRPr="003D1E07">
        <w:t xml:space="preserve">má původní </w:t>
      </w:r>
      <w:r w:rsidR="003E1E47" w:rsidRPr="003D1E07">
        <w:t>bytí</w:t>
      </w:r>
      <w:r w:rsidR="00106CBE" w:rsidRPr="003D1E07">
        <w:t xml:space="preserve"> v realitě </w:t>
      </w:r>
      <w:r w:rsidR="0059333C" w:rsidRPr="003D1E07">
        <w:t xml:space="preserve">na věci </w:t>
      </w:r>
      <w:r w:rsidR="00106CBE" w:rsidRPr="003D1E07">
        <w:t xml:space="preserve">(ταῦτα οὐ μόνον περὶ τὸ σῶμα θεωρεῖται), ale </w:t>
      </w:r>
      <w:r w:rsidR="009B6538" w:rsidRPr="003D1E07">
        <w:t xml:space="preserve">má hypostázovanou existenci </w:t>
      </w:r>
      <w:r w:rsidR="00106CBE" w:rsidRPr="003D1E07">
        <w:t xml:space="preserve">v samotné duši (ἀλλὰ καὶ περὶ τὴν ψυχήν, </w:t>
      </w:r>
      <w:r w:rsidR="00285B0C" w:rsidRPr="003D1E07">
        <w:rPr>
          <w:i/>
        </w:rPr>
        <w:t>Amonii i</w:t>
      </w:r>
      <w:r w:rsidR="00106CBE" w:rsidRPr="003D1E07">
        <w:rPr>
          <w:i/>
        </w:rPr>
        <w:t>n Cat</w:t>
      </w:r>
      <w:r w:rsidR="00106CBE" w:rsidRPr="003D1E07">
        <w:t>. 86.11‒12</w:t>
      </w:r>
      <w:r w:rsidR="00285B0C" w:rsidRPr="003D1E07">
        <w:fldChar w:fldCharType="begin"/>
      </w:r>
      <w:r w:rsidR="00285B0C" w:rsidRPr="003D1E07">
        <w:instrText xml:space="preserve"> XE "Ammonius:</w:instrText>
      </w:r>
      <w:r w:rsidR="00285B0C" w:rsidRPr="003D1E07">
        <w:rPr>
          <w:i/>
        </w:rPr>
        <w:instrText>Amonii in Cat</w:instrText>
      </w:r>
      <w:r w:rsidR="00285B0C" w:rsidRPr="003D1E07">
        <w:instrText xml:space="preserve">. 86.11‒12" </w:instrText>
      </w:r>
      <w:r w:rsidR="00285B0C" w:rsidRPr="003D1E07">
        <w:fldChar w:fldCharType="end"/>
      </w:r>
      <w:r w:rsidR="00106CBE" w:rsidRPr="003D1E07">
        <w:t xml:space="preserve">). </w:t>
      </w:r>
      <w:r w:rsidR="00910392" w:rsidRPr="003D1E07">
        <w:t>Ammonius</w:t>
      </w:r>
      <w:r w:rsidR="00447BAB" w:rsidRPr="003D1E07">
        <w:rPr>
          <w:i/>
        </w:rPr>
        <w:fldChar w:fldCharType="begin"/>
      </w:r>
      <w:r w:rsidR="00447BAB" w:rsidRPr="003D1E07">
        <w:instrText xml:space="preserve"> XE "predikace:Ammonius" </w:instrText>
      </w:r>
      <w:r w:rsidR="00447BAB" w:rsidRPr="003D1E07">
        <w:rPr>
          <w:i/>
        </w:rPr>
        <w:fldChar w:fldCharType="end"/>
      </w:r>
      <w:r w:rsidR="00910392" w:rsidRPr="003D1E07">
        <w:t xml:space="preserve"> nedbal varování v </w:t>
      </w:r>
      <w:r w:rsidR="00910392" w:rsidRPr="003D1E07">
        <w:rPr>
          <w:i/>
        </w:rPr>
        <w:t>Kategoriích</w:t>
      </w:r>
      <w:r w:rsidR="00910392" w:rsidRPr="003D1E07">
        <w:t>, že predikované k</w:t>
      </w:r>
      <w:r w:rsidR="0004564A" w:rsidRPr="003D1E07">
        <w:t>vality nemají nic společného s aktuálním bytím první substance</w:t>
      </w:r>
      <w:r w:rsidR="00910392" w:rsidRPr="003D1E07">
        <w:t xml:space="preserve"> (</w:t>
      </w:r>
      <w:r w:rsidR="00910392" w:rsidRPr="003D1E07">
        <w:rPr>
          <w:i/>
        </w:rPr>
        <w:t>Cat</w:t>
      </w:r>
      <w:r w:rsidR="08AC72FB" w:rsidRPr="003D1E07">
        <w:t>. 9b</w:t>
      </w:r>
      <w:r w:rsidR="08C0359F" w:rsidRPr="003D1E07">
        <w:t>2‒</w:t>
      </w:r>
      <w:r w:rsidR="08AC72FB" w:rsidRPr="003D1E07">
        <w:t>3</w:t>
      </w:r>
      <w:r w:rsidR="00285B0C" w:rsidRPr="003D1E07">
        <w:rPr>
          <w:iCs/>
        </w:rPr>
        <w:fldChar w:fldCharType="begin"/>
      </w:r>
      <w:r w:rsidR="00285B0C" w:rsidRPr="003D1E07">
        <w:instrText xml:space="preserve"> XE "</w:instrText>
      </w:r>
      <w:r w:rsidR="008E02F5" w:rsidRPr="003D1E07">
        <w:instrText>Aristoteles</w:instrText>
      </w:r>
      <w:r w:rsidR="00285B0C" w:rsidRPr="003D1E07">
        <w:instrText>:</w:instrText>
      </w:r>
      <w:r w:rsidR="00285B0C" w:rsidRPr="003D1E07">
        <w:rPr>
          <w:i/>
        </w:rPr>
        <w:instrText>Cat</w:instrText>
      </w:r>
      <w:r w:rsidR="08AC72FB" w:rsidRPr="003D1E07">
        <w:instrText>. 9b</w:instrText>
      </w:r>
      <w:r w:rsidR="08C0359F" w:rsidRPr="003D1E07">
        <w:instrText>2‒</w:instrText>
      </w:r>
      <w:r w:rsidR="08AC72FB" w:rsidRPr="003D1E07">
        <w:instrText>3</w:instrText>
      </w:r>
      <w:r w:rsidR="00285B0C" w:rsidRPr="003D1E07">
        <w:instrText xml:space="preserve">" </w:instrText>
      </w:r>
      <w:r w:rsidR="00285B0C" w:rsidRPr="003D1E07">
        <w:rPr>
          <w:iCs/>
        </w:rPr>
        <w:fldChar w:fldCharType="end"/>
      </w:r>
      <w:r w:rsidR="00910392" w:rsidRPr="003D1E07">
        <w:t>). Tento neoplatonik predikuje kvality v modu j</w:t>
      </w:r>
      <w:r w:rsidR="08DF1524" w:rsidRPr="003D1E07">
        <w:t>soucna třetího druhu podle Ploti</w:t>
      </w:r>
      <w:r w:rsidR="00910392" w:rsidRPr="003D1E07">
        <w:t>novy predikace hypostázovaných rodů.</w:t>
      </w:r>
      <w:r w:rsidR="00424DFE" w:rsidRPr="003D1E07">
        <w:rPr>
          <w:rStyle w:val="Znakapoznpodarou"/>
        </w:rPr>
        <w:footnoteReference w:id="64"/>
      </w:r>
      <w:r w:rsidR="00910392" w:rsidRPr="003D1E07">
        <w:t xml:space="preserve"> </w:t>
      </w:r>
      <w:r w:rsidR="08DF1524" w:rsidRPr="003D1E07">
        <w:t xml:space="preserve">Filoponův komentář ke Kategoriím přebírá tento </w:t>
      </w:r>
      <w:r w:rsidR="007122D6" w:rsidRPr="003D1E07">
        <w:t xml:space="preserve">Ammoniův </w:t>
      </w:r>
      <w:r w:rsidR="00D33F1F" w:rsidRPr="003D1E07">
        <w:t>výklad</w:t>
      </w:r>
      <w:r w:rsidR="08DF1524" w:rsidRPr="003D1E07">
        <w:t>. Filoponus chápe „bílé těl</w:t>
      </w:r>
      <w:r w:rsidR="089F7483" w:rsidRPr="003D1E07">
        <w:t>es</w:t>
      </w:r>
      <w:r w:rsidR="08DF1524" w:rsidRPr="003D1E07">
        <w:t>o</w:t>
      </w:r>
      <w:r w:rsidR="00910392" w:rsidRPr="003D1E07">
        <w:t xml:space="preserve">“ vzhledem k zakoušení běloby </w:t>
      </w:r>
      <w:r w:rsidR="08DF1524" w:rsidRPr="003D1E07">
        <w:t>jako substanci</w:t>
      </w:r>
      <w:r w:rsidR="00910392" w:rsidRPr="003D1E07">
        <w:t xml:space="preserve"> třetího druhu kombinující </w:t>
      </w:r>
      <w:r w:rsidR="08B00838" w:rsidRPr="003D1E07">
        <w:t xml:space="preserve">nedělitelnou </w:t>
      </w:r>
      <w:r w:rsidR="08DF1524" w:rsidRPr="003D1E07">
        <w:lastRenderedPageBreak/>
        <w:t xml:space="preserve">substanci „tělesa“ a </w:t>
      </w:r>
      <w:r w:rsidR="08B00838" w:rsidRPr="003D1E07">
        <w:t xml:space="preserve">stejně nedělitelnou </w:t>
      </w:r>
      <w:r w:rsidR="08DF1524" w:rsidRPr="003D1E07">
        <w:t xml:space="preserve">substanci „běloby“ </w:t>
      </w:r>
      <w:r w:rsidR="00910392" w:rsidRPr="003D1E07">
        <w:t xml:space="preserve">(λευκὴ σὰρξ ἀπὸ πάθους τὴν λευκότητα ἔχει, </w:t>
      </w:r>
      <w:r w:rsidR="008F5FBB" w:rsidRPr="003D1E07">
        <w:rPr>
          <w:i/>
        </w:rPr>
        <w:t>Philoponi i</w:t>
      </w:r>
      <w:r w:rsidR="00910392" w:rsidRPr="003D1E07">
        <w:rPr>
          <w:i/>
        </w:rPr>
        <w:t>n Cat</w:t>
      </w:r>
      <w:r w:rsidR="00910392" w:rsidRPr="003D1E07">
        <w:t>. 149.19</w:t>
      </w:r>
      <w:r w:rsidR="00285B0C" w:rsidRPr="003D1E07">
        <w:fldChar w:fldCharType="begin"/>
      </w:r>
      <w:r w:rsidR="00285B0C" w:rsidRPr="003D1E07">
        <w:instrText xml:space="preserve"> XE "Filoponus:</w:instrText>
      </w:r>
      <w:r w:rsidR="00285B0C" w:rsidRPr="003D1E07">
        <w:rPr>
          <w:i/>
        </w:rPr>
        <w:instrText>Philoponi in Cat</w:instrText>
      </w:r>
      <w:r w:rsidR="00285B0C" w:rsidRPr="003D1E07">
        <w:instrText xml:space="preserve">. 149.19" </w:instrText>
      </w:r>
      <w:r w:rsidR="00285B0C" w:rsidRPr="003D1E07">
        <w:fldChar w:fldCharType="end"/>
      </w:r>
      <w:r w:rsidR="00910392" w:rsidRPr="003D1E07">
        <w:t>). Běloba už vystupuje vůči tělesu jako nová pseudo-substance (συμβέβηκε γὰρ τὸ λευκὸν αὐτῇ</w:t>
      </w:r>
      <w:r w:rsidR="08FB6811" w:rsidRPr="003D1E07">
        <w:t xml:space="preserve">; </w:t>
      </w:r>
      <w:r w:rsidR="00910392" w:rsidRPr="003D1E07">
        <w:t>ibid</w:t>
      </w:r>
      <w:r w:rsidR="08FB6811" w:rsidRPr="003D1E07">
        <w:t>,</w:t>
      </w:r>
      <w:r w:rsidR="00910392" w:rsidRPr="003D1E07">
        <w:t xml:space="preserve"> 149.20</w:t>
      </w:r>
      <w:r w:rsidR="0057200B" w:rsidRPr="003D1E07">
        <w:fldChar w:fldCharType="begin"/>
      </w:r>
      <w:r w:rsidR="0057200B" w:rsidRPr="003D1E07">
        <w:instrText xml:space="preserve"> XE "Filoponus:</w:instrText>
      </w:r>
      <w:r w:rsidR="0057200B" w:rsidRPr="003D1E07">
        <w:rPr>
          <w:i/>
        </w:rPr>
        <w:instrText>Philoponi in Cat</w:instrText>
      </w:r>
      <w:r w:rsidR="0057200B" w:rsidRPr="003D1E07">
        <w:instrText xml:space="preserve">. 149.20" </w:instrText>
      </w:r>
      <w:r w:rsidR="0057200B" w:rsidRPr="003D1E07">
        <w:fldChar w:fldCharType="end"/>
      </w:r>
      <w:r w:rsidR="00910392" w:rsidRPr="003D1E07">
        <w:t xml:space="preserve">). </w:t>
      </w:r>
      <w:r w:rsidR="00CF1B18" w:rsidRPr="003D1E07">
        <w:t xml:space="preserve">Hypostázování kvalit jako jsoucen třetího druhu je založeno na </w:t>
      </w:r>
      <w:r w:rsidR="00874074" w:rsidRPr="003D1E07">
        <w:t>neoplatonsk</w:t>
      </w:r>
      <w:r w:rsidR="00CF1B18" w:rsidRPr="003D1E07">
        <w:t xml:space="preserve">é interpretaci predikace akcidentů v modu </w:t>
      </w:r>
      <w:r w:rsidR="00CF1B18" w:rsidRPr="003D1E07">
        <w:rPr>
          <w:i/>
        </w:rPr>
        <w:t>per se</w:t>
      </w:r>
      <w:r w:rsidR="00CF1B18" w:rsidRPr="003D1E07">
        <w:t xml:space="preserve"> vzaté z </w:t>
      </w:r>
      <w:r w:rsidR="00CF1B18" w:rsidRPr="003D1E07">
        <w:rPr>
          <w:i/>
        </w:rPr>
        <w:t>Kategorií</w:t>
      </w:r>
      <w:r w:rsidR="00CF1B18" w:rsidRPr="003D1E07">
        <w:t xml:space="preserve"> (λέγεται κατ' αὐτάς,</w:t>
      </w:r>
      <w:r w:rsidR="00CF1B18" w:rsidRPr="003D1E07">
        <w:rPr>
          <w:i/>
        </w:rPr>
        <w:t xml:space="preserve"> Cat</w:t>
      </w:r>
      <w:r w:rsidR="00CF1B18" w:rsidRPr="003D1E07">
        <w:t>. 9a33</w:t>
      </w:r>
      <w:r w:rsidR="00CF1B18" w:rsidRPr="003D1E07">
        <w:rPr>
          <w:iCs/>
        </w:rPr>
        <w:fldChar w:fldCharType="begin"/>
      </w:r>
      <w:r w:rsidR="00CF1B18" w:rsidRPr="003D1E07">
        <w:instrText xml:space="preserve"> XE "</w:instrText>
      </w:r>
      <w:r w:rsidR="008E02F5" w:rsidRPr="003D1E07">
        <w:instrText>Aristoteles</w:instrText>
      </w:r>
      <w:r w:rsidR="00CF1B18" w:rsidRPr="003D1E07">
        <w:instrText>:</w:instrText>
      </w:r>
      <w:r w:rsidR="00CF1B18" w:rsidRPr="003D1E07">
        <w:rPr>
          <w:i/>
        </w:rPr>
        <w:instrText>Cat</w:instrText>
      </w:r>
      <w:r w:rsidR="00CF1B18" w:rsidRPr="003D1E07">
        <w:instrText xml:space="preserve">. 9a33" </w:instrText>
      </w:r>
      <w:r w:rsidR="00CF1B18" w:rsidRPr="003D1E07">
        <w:rPr>
          <w:iCs/>
        </w:rPr>
        <w:fldChar w:fldCharType="end"/>
      </w:r>
      <w:r w:rsidR="00CF1B18" w:rsidRPr="003D1E07">
        <w:t>).</w:t>
      </w:r>
      <w:r w:rsidR="00CF1B18" w:rsidRPr="003D1E07">
        <w:rPr>
          <w:rStyle w:val="Znakapoznpodarou"/>
        </w:rPr>
        <w:footnoteReference w:id="65"/>
      </w:r>
      <w:r w:rsidR="00CF1B18" w:rsidRPr="003D1E07">
        <w:t xml:space="preserve"> </w:t>
      </w:r>
      <w:r w:rsidR="08DD351F" w:rsidRPr="003D1E07">
        <w:t>Nejstarší překlady do syrsko-aramejštiny</w:t>
      </w:r>
      <w:r w:rsidR="00CF1B18" w:rsidRPr="003D1E07">
        <w:t xml:space="preserve"> </w:t>
      </w:r>
      <w:r w:rsidR="08DE118F" w:rsidRPr="003D1E07">
        <w:t xml:space="preserve">už </w:t>
      </w:r>
      <w:r w:rsidR="00CF1B18" w:rsidRPr="003D1E07">
        <w:t>interpret</w:t>
      </w:r>
      <w:r w:rsidR="08DE118F" w:rsidRPr="003D1E07">
        <w:t xml:space="preserve">ují toto místo v neoplatonském </w:t>
      </w:r>
      <w:r w:rsidR="00CF1B18" w:rsidRPr="003D1E07">
        <w:t>smyslu κατ' ἑαὐτάς</w:t>
      </w:r>
      <w:r w:rsidR="00CF1B18" w:rsidRPr="003D1E07">
        <w:rPr>
          <w:i/>
        </w:rPr>
        <w:t xml:space="preserve"> </w:t>
      </w:r>
      <w:r w:rsidR="00CF1B18" w:rsidRPr="003D1E07">
        <w:t xml:space="preserve">(King 2010, 227). </w:t>
      </w:r>
      <w:r w:rsidR="08980903" w:rsidRPr="003D1E07">
        <w:t xml:space="preserve">Status běloby dané jako hypostáze v modu </w:t>
      </w:r>
      <w:r w:rsidR="08980903" w:rsidRPr="003D1E07">
        <w:rPr>
          <w:i/>
        </w:rPr>
        <w:t>per se</w:t>
      </w:r>
      <w:r w:rsidR="08980903" w:rsidRPr="003D1E07">
        <w:t xml:space="preserve"> </w:t>
      </w:r>
      <w:r w:rsidR="00CF1B18" w:rsidRPr="003D1E07">
        <w:t>ukazuje linii další inte</w:t>
      </w:r>
      <w:r w:rsidR="00CD7957" w:rsidRPr="003D1E07">
        <w:t>r</w:t>
      </w:r>
      <w:r w:rsidR="00CF1B18" w:rsidRPr="003D1E07">
        <w:t xml:space="preserve">pretace ve falsafě dané hypostázováním akcidentů jako nových substancí třetího druhu. </w:t>
      </w:r>
      <w:r w:rsidR="00910392" w:rsidRPr="003D1E07">
        <w:t xml:space="preserve">Podrobnější analýza by ukázala návaznost </w:t>
      </w:r>
      <w:r w:rsidR="001E241B" w:rsidRPr="003D1E07">
        <w:t xml:space="preserve">této hypostázované </w:t>
      </w:r>
      <w:r w:rsidR="00910392" w:rsidRPr="003D1E07">
        <w:t xml:space="preserve">formy </w:t>
      </w:r>
      <w:r w:rsidR="0891456B" w:rsidRPr="003D1E07">
        <w:t xml:space="preserve">na </w:t>
      </w:r>
      <w:r w:rsidR="086C2391" w:rsidRPr="003D1E07">
        <w:t>raně středověký výklad Kategorií</w:t>
      </w:r>
      <w:r w:rsidR="00B25130" w:rsidRPr="003D1E07">
        <w:t xml:space="preserve"> </w:t>
      </w:r>
      <w:r w:rsidR="086B3597" w:rsidRPr="003D1E07">
        <w:t xml:space="preserve">ve spise </w:t>
      </w:r>
      <w:r w:rsidR="00910392" w:rsidRPr="003D1E07">
        <w:rPr>
          <w:bCs/>
          <w:i/>
          <w:iCs/>
        </w:rPr>
        <w:t>Categoriae decem</w:t>
      </w:r>
      <w:r w:rsidR="086B3597" w:rsidRPr="003D1E07">
        <w:rPr>
          <w:bCs/>
          <w:iCs/>
        </w:rPr>
        <w:t xml:space="preserve"> vzniklý v 8. století</w:t>
      </w:r>
      <w:r w:rsidR="08B319B4" w:rsidRPr="003D1E07">
        <w:rPr>
          <w:iCs/>
        </w:rPr>
        <w:t>, odkud toto pojetí</w:t>
      </w:r>
      <w:r w:rsidR="00910392" w:rsidRPr="003D1E07">
        <w:rPr>
          <w:iCs/>
        </w:rPr>
        <w:t xml:space="preserve"> přebírá </w:t>
      </w:r>
      <w:r w:rsidR="00E005B9" w:rsidRPr="003D1E07">
        <w:rPr>
          <w:iCs/>
        </w:rPr>
        <w:t>škola</w:t>
      </w:r>
      <w:r w:rsidR="00910392" w:rsidRPr="003D1E07">
        <w:rPr>
          <w:iCs/>
        </w:rPr>
        <w:t xml:space="preserve"> porretánů (</w:t>
      </w:r>
      <w:r w:rsidR="08A85B38" w:rsidRPr="003D1E07">
        <w:rPr>
          <w:iCs/>
        </w:rPr>
        <w:t>OBJ II, kap. 1</w:t>
      </w:r>
      <w:r w:rsidR="00910392" w:rsidRPr="003D1E07">
        <w:rPr>
          <w:iCs/>
        </w:rPr>
        <w:t xml:space="preserve">.4). </w:t>
      </w:r>
      <w:r w:rsidR="0069216F" w:rsidRPr="003D1E07">
        <w:rPr>
          <w:iCs/>
        </w:rPr>
        <w:t xml:space="preserve">Hypostázováním akcidentů </w:t>
      </w:r>
      <w:r w:rsidR="00910392" w:rsidRPr="003D1E07">
        <w:rPr>
          <w:iCs/>
        </w:rPr>
        <w:t xml:space="preserve">vzniklo moderní vidění světa, v němž akcidenty fungují jako nová jsoucna třetího druhu. </w:t>
      </w:r>
      <w:r w:rsidR="086C51C3" w:rsidRPr="003D1E07">
        <w:rPr>
          <w:iCs/>
        </w:rPr>
        <w:t xml:space="preserve">Manické vidění světa theurgických iluminátů se stalo kategoriální pravdou díky nově vyloženému významu Aristotela. Tento </w:t>
      </w:r>
      <w:r w:rsidR="08561D8F" w:rsidRPr="003D1E07">
        <w:rPr>
          <w:iCs/>
        </w:rPr>
        <w:t>pythický vykladač božského Pytha</w:t>
      </w:r>
      <w:r w:rsidR="086C51C3" w:rsidRPr="003D1E07">
        <w:rPr>
          <w:iCs/>
        </w:rPr>
        <w:t xml:space="preserve">gory </w:t>
      </w:r>
      <w:r w:rsidR="083C5FAE" w:rsidRPr="003D1E07">
        <w:rPr>
          <w:iCs/>
        </w:rPr>
        <w:t xml:space="preserve">ve skutečnosti </w:t>
      </w:r>
      <w:r w:rsidR="086C51C3" w:rsidRPr="003D1E07">
        <w:rPr>
          <w:iCs/>
        </w:rPr>
        <w:t>nevěděl</w:t>
      </w:r>
      <w:r w:rsidR="083C5FAE" w:rsidRPr="003D1E07">
        <w:rPr>
          <w:iCs/>
        </w:rPr>
        <w:t xml:space="preserve"> </w:t>
      </w:r>
      <w:r w:rsidR="086C51C3" w:rsidRPr="003D1E07">
        <w:rPr>
          <w:iCs/>
        </w:rPr>
        <w:t xml:space="preserve">co </w:t>
      </w:r>
      <w:r w:rsidR="083C5FAE" w:rsidRPr="003D1E07">
        <w:rPr>
          <w:iCs/>
        </w:rPr>
        <w:t>říká</w:t>
      </w:r>
      <w:r w:rsidR="086C51C3" w:rsidRPr="003D1E07">
        <w:rPr>
          <w:iCs/>
        </w:rPr>
        <w:t>, když predikoval</w:t>
      </w:r>
      <w:r w:rsidR="08EA5F64" w:rsidRPr="003D1E07">
        <w:rPr>
          <w:iCs/>
        </w:rPr>
        <w:t xml:space="preserve"> akcidenty směrem k substanci.</w:t>
      </w:r>
      <w:r w:rsidR="083C5FAE" w:rsidRPr="003D1E07">
        <w:rPr>
          <w:iCs/>
        </w:rPr>
        <w:t xml:space="preserve"> Ale jeho chybu lze napravit správným výkladem </w:t>
      </w:r>
      <w:r w:rsidR="084F5EDA" w:rsidRPr="003D1E07">
        <w:rPr>
          <w:iCs/>
        </w:rPr>
        <w:t xml:space="preserve">vedeným theurgickým náhledem do </w:t>
      </w:r>
      <w:r w:rsidR="00747AB3">
        <w:rPr>
          <w:iCs/>
        </w:rPr>
        <w:t xml:space="preserve">gnostických </w:t>
      </w:r>
      <w:r w:rsidR="083C5FAE" w:rsidRPr="003D1E07">
        <w:rPr>
          <w:iCs/>
        </w:rPr>
        <w:t>tajemství kosmu. Neoplatonikové proměnili akadem</w:t>
      </w:r>
      <w:r w:rsidR="085F5B34" w:rsidRPr="003D1E07">
        <w:rPr>
          <w:iCs/>
        </w:rPr>
        <w:t>ické insti</w:t>
      </w:r>
      <w:r w:rsidR="083C5FAE" w:rsidRPr="003D1E07">
        <w:rPr>
          <w:iCs/>
        </w:rPr>
        <w:t>t</w:t>
      </w:r>
      <w:r w:rsidR="085F5B34" w:rsidRPr="003D1E07">
        <w:rPr>
          <w:iCs/>
        </w:rPr>
        <w:t>u</w:t>
      </w:r>
      <w:r w:rsidR="083C5FAE" w:rsidRPr="003D1E07">
        <w:rPr>
          <w:iCs/>
        </w:rPr>
        <w:t xml:space="preserve">ce po zániku Delf </w:t>
      </w:r>
      <w:r w:rsidR="088A1238" w:rsidRPr="003D1E07">
        <w:rPr>
          <w:iCs/>
        </w:rPr>
        <w:t xml:space="preserve">roku 381 </w:t>
      </w:r>
      <w:r w:rsidR="083C5FAE" w:rsidRPr="003D1E07">
        <w:rPr>
          <w:iCs/>
        </w:rPr>
        <w:t>na nov</w:t>
      </w:r>
      <w:r w:rsidR="085F5B34" w:rsidRPr="003D1E07">
        <w:rPr>
          <w:iCs/>
        </w:rPr>
        <w:t xml:space="preserve">ý </w:t>
      </w:r>
      <w:r w:rsidR="083C5FAE" w:rsidRPr="003D1E07">
        <w:rPr>
          <w:iCs/>
        </w:rPr>
        <w:t xml:space="preserve">typ </w:t>
      </w:r>
      <w:r w:rsidR="085F5B34" w:rsidRPr="003D1E07">
        <w:rPr>
          <w:iCs/>
        </w:rPr>
        <w:t xml:space="preserve">objektivně dané </w:t>
      </w:r>
      <w:r w:rsidR="083C5FAE" w:rsidRPr="003D1E07">
        <w:rPr>
          <w:iCs/>
        </w:rPr>
        <w:t>věštírny</w:t>
      </w:r>
      <w:r w:rsidR="004533A1">
        <w:rPr>
          <w:iCs/>
        </w:rPr>
        <w:t xml:space="preserve">. </w:t>
      </w:r>
      <w:r w:rsidR="00C146A4" w:rsidRPr="00C146A4">
        <w:rPr>
          <w:iCs/>
        </w:rPr>
        <w:t xml:space="preserve">Konečným garantem indexované pravdy těchto věšteb jsou </w:t>
      </w:r>
      <w:r w:rsidR="00B231CE">
        <w:rPr>
          <w:iCs/>
        </w:rPr>
        <w:t xml:space="preserve">dnes </w:t>
      </w:r>
      <w:r w:rsidR="00C146A4" w:rsidRPr="00C146A4">
        <w:rPr>
          <w:iCs/>
        </w:rPr>
        <w:t>velké korporace</w:t>
      </w:r>
      <w:r w:rsidR="00EE43A3">
        <w:rPr>
          <w:iCs/>
        </w:rPr>
        <w:t xml:space="preserve">. Ty kontrolují jimi vlastněné </w:t>
      </w:r>
      <w:r w:rsidR="00C146A4">
        <w:rPr>
          <w:iCs/>
        </w:rPr>
        <w:t>citační zdroje stejn</w:t>
      </w:r>
      <w:r w:rsidR="00EE43A3">
        <w:rPr>
          <w:iCs/>
        </w:rPr>
        <w:t xml:space="preserve">ě efektivním </w:t>
      </w:r>
      <w:r w:rsidR="00C146A4">
        <w:rPr>
          <w:iCs/>
        </w:rPr>
        <w:t>způsobem</w:t>
      </w:r>
      <w:r w:rsidR="00C146A4" w:rsidRPr="00C146A4">
        <w:rPr>
          <w:iCs/>
        </w:rPr>
        <w:t>, jako tyranské město Athény ovládalo svatyně v Delfách a Eleusíně.</w:t>
      </w:r>
    </w:p>
    <w:p w14:paraId="2966A157" w14:textId="4EED7391" w:rsidR="08627468" w:rsidRPr="004533A1" w:rsidRDefault="08CB0E63" w:rsidP="003C6073">
      <w:pPr>
        <w:ind w:firstLine="397"/>
        <w:rPr>
          <w:iCs/>
        </w:rPr>
      </w:pPr>
      <w:r w:rsidRPr="003D1E07">
        <w:t xml:space="preserve">Převedením neoplatonských akcidentů jako hypostází do Aristotelovy </w:t>
      </w:r>
      <w:r w:rsidRPr="003D1E07">
        <w:rPr>
          <w:i/>
        </w:rPr>
        <w:t>Fyziky</w:t>
      </w:r>
      <w:r w:rsidRPr="003D1E07">
        <w:t xml:space="preserve"> začal vývoj k novým formám </w:t>
      </w:r>
      <w:r w:rsidRPr="003D1E07">
        <w:rPr>
          <w:i/>
        </w:rPr>
        <w:t>tertium ens</w:t>
      </w:r>
      <w:r w:rsidR="00D25A83" w:rsidRPr="003D1E07">
        <w:t xml:space="preserve">. Ty </w:t>
      </w:r>
      <w:r w:rsidRPr="003D1E07">
        <w:t xml:space="preserve">spojily do kategoriální predikace první a druhou substanci (Dexippus, Simplikios, Filoponus). </w:t>
      </w:r>
      <w:r w:rsidR="00910392" w:rsidRPr="003D1E07">
        <w:t xml:space="preserve">Nově ustavené </w:t>
      </w:r>
      <w:r w:rsidR="00910392" w:rsidRPr="003D1E07">
        <w:rPr>
          <w:i/>
        </w:rPr>
        <w:t>tertium ens</w:t>
      </w:r>
      <w:r w:rsidR="003F16A5" w:rsidRPr="003D1E07">
        <w:rPr>
          <w:i/>
        </w:rPr>
        <w:fldChar w:fldCharType="begin"/>
      </w:r>
      <w:r w:rsidR="003F16A5" w:rsidRPr="003D1E07">
        <w:instrText xml:space="preserve"> XE "</w:instrText>
      </w:r>
      <w:r w:rsidR="003F16A5" w:rsidRPr="003D1E07">
        <w:rPr>
          <w:rStyle w:val="Zvraznn"/>
        </w:rPr>
        <w:instrText>tertium ens</w:instrText>
      </w:r>
      <w:r w:rsidR="00447BAB" w:rsidRPr="003D1E07">
        <w:rPr>
          <w:rStyle w:val="Zvraznn"/>
          <w:i w:val="0"/>
        </w:rPr>
        <w:instrText>:</w:instrText>
      </w:r>
      <w:r w:rsidR="00382C7D" w:rsidRPr="003D1E07">
        <w:rPr>
          <w:rStyle w:val="Zvraznn"/>
          <w:i w:val="0"/>
        </w:rPr>
        <w:instrText>neoplatonismus</w:instrText>
      </w:r>
      <w:r w:rsidR="003F16A5" w:rsidRPr="003D1E07">
        <w:instrText xml:space="preserve">" </w:instrText>
      </w:r>
      <w:r w:rsidR="003F16A5" w:rsidRPr="003D1E07">
        <w:rPr>
          <w:i/>
        </w:rPr>
        <w:fldChar w:fldCharType="end"/>
      </w:r>
      <w:r w:rsidR="00910392" w:rsidRPr="003D1E07">
        <w:t xml:space="preserve"> ve formě pseudo-substance a hypostázovaných akcidentů typu </w:t>
      </w:r>
      <w:r w:rsidR="00910392" w:rsidRPr="003D1E07">
        <w:rPr>
          <w:i/>
        </w:rPr>
        <w:t>qualitas</w:t>
      </w:r>
      <w:r w:rsidR="003E3684" w:rsidRPr="003D1E07">
        <w:t xml:space="preserve"> </w:t>
      </w:r>
      <w:r w:rsidR="00910392" w:rsidRPr="003D1E07">
        <w:t>existuje</w:t>
      </w:r>
      <w:r w:rsidR="00AA076A" w:rsidRPr="003D1E07">
        <w:t xml:space="preserve"> ve zvláštním diakosmu</w:t>
      </w:r>
      <w:r w:rsidR="00AA076A" w:rsidRPr="003D1E07">
        <w:fldChar w:fldCharType="begin"/>
      </w:r>
      <w:r w:rsidR="00AA076A" w:rsidRPr="003D1E07">
        <w:instrText xml:space="preserve"> XE "diakosmos" </w:instrText>
      </w:r>
      <w:r w:rsidR="00AA076A" w:rsidRPr="003D1E07">
        <w:fldChar w:fldCharType="end"/>
      </w:r>
      <w:r w:rsidR="00AA076A" w:rsidRPr="003D1E07">
        <w:t xml:space="preserve"> </w:t>
      </w:r>
      <w:r w:rsidR="08C415DE" w:rsidRPr="003D1E07">
        <w:t xml:space="preserve">vytvořeném </w:t>
      </w:r>
      <w:r w:rsidR="004753D1" w:rsidRPr="003D1E07">
        <w:t>the</w:t>
      </w:r>
      <w:r w:rsidR="00910392" w:rsidRPr="003D1E07">
        <w:t>urg</w:t>
      </w:r>
      <w:r w:rsidR="08C415DE" w:rsidRPr="003D1E07">
        <w:t>ickou</w:t>
      </w:r>
      <w:r w:rsidR="00910392" w:rsidRPr="003D1E07">
        <w:t xml:space="preserve"> aktivit</w:t>
      </w:r>
      <w:r w:rsidR="08C415DE" w:rsidRPr="003D1E07">
        <w:t>ou kosmických forem</w:t>
      </w:r>
      <w:r w:rsidR="00AA076A" w:rsidRPr="003D1E07">
        <w:t xml:space="preserve">. V něm </w:t>
      </w:r>
      <w:r w:rsidR="00910392" w:rsidRPr="003D1E07">
        <w:t xml:space="preserve">ještě neexistují hylemorfické substance s jejich omezenou rozsažností, ale již zde působí demiurgická schopnost </w:t>
      </w:r>
      <w:r w:rsidR="00874074" w:rsidRPr="003D1E07">
        <w:t>neoplatonsk</w:t>
      </w:r>
      <w:r w:rsidR="00A84D77" w:rsidRPr="003D1E07">
        <w:t>ého I</w:t>
      </w:r>
      <w:r w:rsidR="00910392" w:rsidRPr="003D1E07">
        <w:t>ntelektu tvořícího věčné kosmické substance-</w:t>
      </w:r>
      <w:r w:rsidR="00F214C5" w:rsidRPr="003D1E07">
        <w:t>species</w:t>
      </w:r>
      <w:r w:rsidR="08576C74" w:rsidRPr="003D1E07">
        <w:t xml:space="preserve"> (Měsíc, Slunce, Země, Kosmos</w:t>
      </w:r>
      <w:r w:rsidR="00910392" w:rsidRPr="003D1E07">
        <w:t xml:space="preserve">). </w:t>
      </w:r>
      <w:r w:rsidR="000511B9" w:rsidRPr="003D1E07">
        <w:t xml:space="preserve">Nedělitelnost substance dostala nový význam, protože se týká hyparchického postavení </w:t>
      </w:r>
      <w:r w:rsidR="084B4701" w:rsidRPr="003D1E07">
        <w:t xml:space="preserve">jakékoliv </w:t>
      </w:r>
      <w:r w:rsidR="000511B9" w:rsidRPr="003D1E07">
        <w:t>obecniny</w:t>
      </w:r>
      <w:r w:rsidR="084B4701" w:rsidRPr="003D1E07">
        <w:t>, viz uvedený Ammoniův příklad běloby</w:t>
      </w:r>
      <w:r w:rsidR="000511B9" w:rsidRPr="003D1E07">
        <w:t>. Smysl jsoucna nasvícen zezadu, směrem od diakosmu autonomních inteligibilních forem. První a základní pro</w:t>
      </w:r>
      <w:r w:rsidR="001F7CD9" w:rsidRPr="003D1E07">
        <w:t>hyp</w:t>
      </w:r>
      <w:r w:rsidR="000511B9" w:rsidRPr="003D1E07">
        <w:t xml:space="preserve">archické </w:t>
      </w:r>
      <w:r w:rsidR="000511B9" w:rsidRPr="003D1E07">
        <w:lastRenderedPageBreak/>
        <w:t xml:space="preserve">bytí je dáno směrem od Jednoho jako prvního principu, který v modu nové hyparchické predikace nahradil první substanci. </w:t>
      </w:r>
      <w:r w:rsidR="08660349" w:rsidRPr="003D1E07">
        <w:t>Nový smysl numerické jednoty směrem k Jednomu</w:t>
      </w:r>
      <w:r w:rsidR="000511B9" w:rsidRPr="003D1E07">
        <w:t xml:space="preserve"> napojený na hyparchické postavení esence či subsistentních univerzálií změnily smysl kategoriální predikace.</w:t>
      </w:r>
      <w:r w:rsidR="00AE7EBD" w:rsidRPr="003D1E07">
        <w:t xml:space="preserve"> </w:t>
      </w:r>
      <w:r w:rsidR="00C647A1" w:rsidRPr="003D1E07">
        <w:t xml:space="preserve">Změna v kategoriální predikaci </w:t>
      </w:r>
      <w:r w:rsidR="00486933" w:rsidRPr="003D1E07">
        <w:t xml:space="preserve">byla usnadněna tím, že </w:t>
      </w:r>
      <w:r w:rsidR="00BB45B1" w:rsidRPr="003D1E07">
        <w:t>Porfyri</w:t>
      </w:r>
      <w:r w:rsidR="005B683E" w:rsidRPr="003D1E07">
        <w:t xml:space="preserve">us </w:t>
      </w:r>
      <w:r w:rsidR="00486933" w:rsidRPr="003D1E07">
        <w:t>zavedl zvláštní druh určení substance, bez něhož nemohou substance existovat (</w:t>
      </w:r>
      <w:r w:rsidR="00E37204" w:rsidRPr="003D1E07">
        <w:rPr>
          <w:i/>
        </w:rPr>
        <w:t>Porph</w:t>
      </w:r>
      <w:r w:rsidR="00E37204" w:rsidRPr="003D1E07">
        <w:t xml:space="preserve">. </w:t>
      </w:r>
      <w:r w:rsidR="00E37204" w:rsidRPr="003D1E07">
        <w:rPr>
          <w:i/>
        </w:rPr>
        <w:t>i</w:t>
      </w:r>
      <w:r w:rsidR="00486933" w:rsidRPr="003D1E07">
        <w:rPr>
          <w:i/>
        </w:rPr>
        <w:t>n Cat</w:t>
      </w:r>
      <w:r w:rsidR="00486933" w:rsidRPr="003D1E07">
        <w:t>. 95.19–20</w:t>
      </w:r>
      <w:r w:rsidR="002F05F4" w:rsidRPr="003D1E07">
        <w:fldChar w:fldCharType="begin"/>
      </w:r>
      <w:r w:rsidR="002F05F4" w:rsidRPr="003D1E07">
        <w:instrText xml:space="preserve"> XE "</w:instrText>
      </w:r>
      <w:r w:rsidR="08CE5A60" w:rsidRPr="003D1E07">
        <w:instrText>Porfyrius:</w:instrText>
      </w:r>
      <w:r w:rsidR="002F05F4" w:rsidRPr="003D1E07">
        <w:rPr>
          <w:i/>
        </w:rPr>
        <w:instrText>Porph</w:instrText>
      </w:r>
      <w:r w:rsidR="002F05F4" w:rsidRPr="003D1E07">
        <w:instrText xml:space="preserve">. </w:instrText>
      </w:r>
      <w:r w:rsidR="002F05F4" w:rsidRPr="003D1E07">
        <w:rPr>
          <w:i/>
        </w:rPr>
        <w:instrText>in Cat</w:instrText>
      </w:r>
      <w:r w:rsidR="002F05F4" w:rsidRPr="003D1E07">
        <w:instrText xml:space="preserve">. 95.19–20" </w:instrText>
      </w:r>
      <w:r w:rsidR="002F05F4" w:rsidRPr="003D1E07">
        <w:fldChar w:fldCharType="end"/>
      </w:r>
      <w:r w:rsidR="00486933" w:rsidRPr="003D1E07">
        <w:t>). Tím se něk</w:t>
      </w:r>
      <w:r w:rsidR="087C3580" w:rsidRPr="003D1E07">
        <w:t xml:space="preserve">teré kvality substance, později </w:t>
      </w:r>
      <w:r w:rsidR="0018146C" w:rsidRPr="003D1E07">
        <w:t xml:space="preserve">v </w:t>
      </w:r>
      <w:r w:rsidR="08DA5E16" w:rsidRPr="003D1E07">
        <w:t xml:space="preserve">karteziánské </w:t>
      </w:r>
      <w:r w:rsidR="0018146C" w:rsidRPr="003D1E07">
        <w:t xml:space="preserve">postmoderně </w:t>
      </w:r>
      <w:r w:rsidR="00486933" w:rsidRPr="003D1E07">
        <w:t>nazvané „primární</w:t>
      </w:r>
      <w:r w:rsidR="088D4530" w:rsidRPr="003D1E07">
        <w:t xml:space="preserve"> kvality</w:t>
      </w:r>
      <w:r w:rsidR="00486933" w:rsidRPr="003D1E07">
        <w:t>“</w:t>
      </w:r>
      <w:r w:rsidR="087C3580" w:rsidRPr="003D1E07">
        <w:t>,</w:t>
      </w:r>
      <w:r w:rsidR="00A64860" w:rsidRPr="003D1E07">
        <w:rPr>
          <w:i/>
        </w:rPr>
        <w:t xml:space="preserve"> </w:t>
      </w:r>
      <w:r w:rsidR="00A64860" w:rsidRPr="003D1E07">
        <w:rPr>
          <w:i/>
        </w:rPr>
        <w:fldChar w:fldCharType="begin"/>
      </w:r>
      <w:r w:rsidR="00A64860" w:rsidRPr="003D1E07">
        <w:instrText xml:space="preserve"> XE "</w:instrText>
      </w:r>
      <w:r w:rsidR="00A64860" w:rsidRPr="003D1E07">
        <w:rPr>
          <w:rStyle w:val="Zvraznn"/>
          <w:i w:val="0"/>
        </w:rPr>
        <w:instrText>primární kvality</w:instrText>
      </w:r>
      <w:r w:rsidR="00A64860" w:rsidRPr="003D1E07">
        <w:instrText xml:space="preserve">" </w:instrText>
      </w:r>
      <w:r w:rsidR="00A64860" w:rsidRPr="003D1E07">
        <w:rPr>
          <w:i/>
        </w:rPr>
        <w:fldChar w:fldCharType="end"/>
      </w:r>
      <w:r w:rsidR="00486933" w:rsidRPr="003D1E07">
        <w:t xml:space="preserve">dostaly na úroveň kategoriálního určení </w:t>
      </w:r>
      <w:r w:rsidR="00486933" w:rsidRPr="003D1E07">
        <w:rPr>
          <w:i/>
        </w:rPr>
        <w:t>per prius</w:t>
      </w:r>
      <w:r w:rsidR="00486933" w:rsidRPr="003D1E07">
        <w:t xml:space="preserve"> dříve platného pouze pro </w:t>
      </w:r>
      <w:r w:rsidR="00683F8D" w:rsidRPr="003D1E07">
        <w:t xml:space="preserve">druhou </w:t>
      </w:r>
      <w:r w:rsidR="00486933" w:rsidRPr="003D1E07">
        <w:t xml:space="preserve">substanci jako nejvyšší kategorii. Primární kvality přestaly být čistým akcidentem substance, jak to postuloval </w:t>
      </w:r>
      <w:r w:rsidR="008E02F5" w:rsidRPr="003D1E07">
        <w:t>Aristoteles</w:t>
      </w:r>
      <w:r w:rsidR="087171FD" w:rsidRPr="003D1E07">
        <w:t xml:space="preserve"> a začaly hrát novou roli v </w:t>
      </w:r>
      <w:r w:rsidR="00486933" w:rsidRPr="003D1E07">
        <w:t xml:space="preserve">určení jsoucna. </w:t>
      </w:r>
      <w:r w:rsidR="00BB45B1" w:rsidRPr="003D1E07">
        <w:t>Porfyri</w:t>
      </w:r>
      <w:r w:rsidR="00486933" w:rsidRPr="003D1E07">
        <w:t xml:space="preserve">ovi následovníci postupovali dále na cestě substancializace akcidentů a postupně rozšířili tato formálně-kategoriální určení na </w:t>
      </w:r>
      <w:r w:rsidR="00742D2D" w:rsidRPr="003D1E07">
        <w:t xml:space="preserve">fyzikální </w:t>
      </w:r>
      <w:r w:rsidR="00486933" w:rsidRPr="003D1E07">
        <w:t>těles</w:t>
      </w:r>
      <w:r w:rsidR="00742D2D" w:rsidRPr="003D1E07">
        <w:t>o</w:t>
      </w:r>
      <w:r w:rsidR="00486933" w:rsidRPr="003D1E07">
        <w:t>.</w:t>
      </w:r>
      <w:r w:rsidR="000F453B" w:rsidRPr="003D1E07">
        <w:t xml:space="preserve"> </w:t>
      </w:r>
      <w:r w:rsidR="005135FE" w:rsidRPr="003D1E07">
        <w:t xml:space="preserve">Habituální určení </w:t>
      </w:r>
      <w:r w:rsidR="007930F3" w:rsidRPr="003D1E07">
        <w:t xml:space="preserve">jako pseudo-substance </w:t>
      </w:r>
      <w:r w:rsidR="005135FE" w:rsidRPr="003D1E07">
        <w:t>bude hrát v tomto posunu důležitou roli</w:t>
      </w:r>
      <w:r w:rsidR="001B12BF" w:rsidRPr="003D1E07">
        <w:t xml:space="preserve"> </w:t>
      </w:r>
      <w:r w:rsidR="087171FD" w:rsidRPr="003D1E07">
        <w:t>díky aktivitě</w:t>
      </w:r>
      <w:r w:rsidR="000F453B" w:rsidRPr="003D1E07">
        <w:t xml:space="preserve"> subjektu </w:t>
      </w:r>
      <w:r w:rsidR="00E67C42" w:rsidRPr="003D1E07">
        <w:rPr>
          <w:i/>
        </w:rPr>
        <w:fldChar w:fldCharType="begin"/>
      </w:r>
      <w:r w:rsidR="00E67C42" w:rsidRPr="003D1E07">
        <w:instrText xml:space="preserve"> XE "</w:instrText>
      </w:r>
      <w:r w:rsidR="00E67C42" w:rsidRPr="003D1E07">
        <w:rPr>
          <w:rStyle w:val="Zvraznn"/>
        </w:rPr>
        <w:instrText>Lichtung</w:instrText>
      </w:r>
      <w:r w:rsidR="00E67C42" w:rsidRPr="003D1E07">
        <w:rPr>
          <w:rStyle w:val="Zvraznn"/>
          <w:i w:val="0"/>
        </w:rPr>
        <w:instrText>:moderní subjekt</w:instrText>
      </w:r>
      <w:r w:rsidR="00E67C42" w:rsidRPr="003D1E07">
        <w:instrText xml:space="preserve">" </w:instrText>
      </w:r>
      <w:r w:rsidR="00E67C42" w:rsidRPr="003D1E07">
        <w:rPr>
          <w:i/>
        </w:rPr>
        <w:fldChar w:fldCharType="end"/>
      </w:r>
      <w:r w:rsidR="001B12BF" w:rsidRPr="003D1E07">
        <w:t xml:space="preserve">zmíněné v </w:t>
      </w:r>
      <w:r w:rsidR="00FB4827" w:rsidRPr="003D1E07">
        <w:t xml:space="preserve">Aristotelově </w:t>
      </w:r>
      <w:r w:rsidR="001B12BF" w:rsidRPr="003D1E07">
        <w:t xml:space="preserve">definici </w:t>
      </w:r>
      <w:r w:rsidR="00B628C1" w:rsidRPr="003D1E07">
        <w:t xml:space="preserve">habitu </w:t>
      </w:r>
      <w:r w:rsidR="00943834" w:rsidRPr="003D1E07">
        <w:t xml:space="preserve">(ἐνέργειά τις, </w:t>
      </w:r>
      <w:r w:rsidR="00943834" w:rsidRPr="003D1E07">
        <w:rPr>
          <w:i/>
        </w:rPr>
        <w:t>Met</w:t>
      </w:r>
      <w:r w:rsidR="00943834" w:rsidRPr="003D1E07">
        <w:t>. 1022b4</w:t>
      </w:r>
      <w:r w:rsidR="002F05F4" w:rsidRPr="003D1E07">
        <w:fldChar w:fldCharType="begin"/>
      </w:r>
      <w:r w:rsidR="002F05F4" w:rsidRPr="003D1E07">
        <w:instrText xml:space="preserve"> XE "</w:instrText>
      </w:r>
      <w:r w:rsidR="008E02F5" w:rsidRPr="003D1E07">
        <w:instrText>Aristoteles</w:instrText>
      </w:r>
      <w:r w:rsidR="002F05F4" w:rsidRPr="003D1E07">
        <w:instrText>:</w:instrText>
      </w:r>
      <w:r w:rsidR="002F05F4" w:rsidRPr="003D1E07">
        <w:rPr>
          <w:i/>
        </w:rPr>
        <w:instrText>Met</w:instrText>
      </w:r>
      <w:r w:rsidR="002F05F4" w:rsidRPr="003D1E07">
        <w:instrText xml:space="preserve">. 1022b4" </w:instrText>
      </w:r>
      <w:r w:rsidR="002F05F4" w:rsidRPr="003D1E07">
        <w:fldChar w:fldCharType="end"/>
      </w:r>
      <w:r w:rsidR="00943834" w:rsidRPr="003D1E07">
        <w:t>)</w:t>
      </w:r>
      <w:r w:rsidR="000F453B" w:rsidRPr="003D1E07">
        <w:t xml:space="preserve">. Neurčité zájmeno vázané na </w:t>
      </w:r>
      <w:r w:rsidR="005414D8" w:rsidRPr="003D1E07">
        <w:t xml:space="preserve">činnost první substance </w:t>
      </w:r>
      <w:r w:rsidR="000F453B" w:rsidRPr="003D1E07">
        <w:t xml:space="preserve">změní </w:t>
      </w:r>
      <w:r w:rsidR="00201F5F" w:rsidRPr="003D1E07">
        <w:t xml:space="preserve">moderna </w:t>
      </w:r>
      <w:r w:rsidR="000F453B" w:rsidRPr="003D1E07">
        <w:t xml:space="preserve">na </w:t>
      </w:r>
      <w:r w:rsidR="0099499A" w:rsidRPr="003D1E07">
        <w:t>objektivně určenou substanci</w:t>
      </w:r>
      <w:r w:rsidR="000F453B" w:rsidRPr="003D1E07">
        <w:t xml:space="preserve">. </w:t>
      </w:r>
      <w:r w:rsidR="001B0EE9" w:rsidRPr="003D1E07">
        <w:t xml:space="preserve">Tato energie zakládá hypostázovanou reflexi jako intelektuální substanci, kterou Descartes nazývá </w:t>
      </w:r>
      <w:r w:rsidR="001B0EE9" w:rsidRPr="003D1E07">
        <w:rPr>
          <w:i/>
        </w:rPr>
        <w:t>res cogitans</w:t>
      </w:r>
      <w:r w:rsidR="001B0EE9" w:rsidRPr="003D1E07">
        <w:rPr>
          <w:i/>
        </w:rPr>
        <w:fldChar w:fldCharType="begin"/>
      </w:r>
      <w:r w:rsidR="001B0EE9" w:rsidRPr="003D1E07">
        <w:instrText xml:space="preserve"> XE "</w:instrText>
      </w:r>
      <w:r w:rsidR="001B0EE9" w:rsidRPr="003D1E07">
        <w:rPr>
          <w:i/>
        </w:rPr>
        <w:instrText>res cogitans</w:instrText>
      </w:r>
      <w:r w:rsidR="001B0EE9" w:rsidRPr="003D1E07">
        <w:instrText xml:space="preserve">" </w:instrText>
      </w:r>
      <w:r w:rsidR="001B0EE9" w:rsidRPr="003D1E07">
        <w:rPr>
          <w:i/>
        </w:rPr>
        <w:fldChar w:fldCharType="end"/>
      </w:r>
      <w:r w:rsidR="001B0EE9" w:rsidRPr="003D1E07">
        <w:t xml:space="preserve">. </w:t>
      </w:r>
      <w:r w:rsidR="00B64EC6" w:rsidRPr="003D1E07">
        <w:t xml:space="preserve">Intelekt </w:t>
      </w:r>
      <w:r w:rsidR="001145AB" w:rsidRPr="003D1E07">
        <w:t xml:space="preserve">nebo vůle </w:t>
      </w:r>
      <w:r w:rsidR="00B64EC6" w:rsidRPr="003D1E07">
        <w:t xml:space="preserve">vlastní sám sebe </w:t>
      </w:r>
      <w:r w:rsidR="000063E8" w:rsidRPr="003D1E07">
        <w:t xml:space="preserve">skrze hypostázovaný habitus, aby ze sebe jako moderní substance založil aktuální </w:t>
      </w:r>
      <w:r w:rsidR="00B64EC6" w:rsidRPr="003D1E07">
        <w:t>poznání</w:t>
      </w:r>
      <w:r w:rsidR="000063E8" w:rsidRPr="003D1E07">
        <w:t xml:space="preserve">, viz </w:t>
      </w:r>
      <w:r w:rsidR="00B64EC6" w:rsidRPr="003D1E07">
        <w:t xml:space="preserve">karteziánské </w:t>
      </w:r>
      <w:r w:rsidR="00B64EC6" w:rsidRPr="003D1E07">
        <w:rPr>
          <w:i/>
        </w:rPr>
        <w:t>cogito</w:t>
      </w:r>
      <w:r w:rsidR="00303907" w:rsidRPr="003D1E07">
        <w:rPr>
          <w:i/>
        </w:rPr>
        <w:fldChar w:fldCharType="begin"/>
      </w:r>
      <w:r w:rsidR="00303907" w:rsidRPr="003D1E07">
        <w:instrText xml:space="preserve"> XE "</w:instrText>
      </w:r>
      <w:r w:rsidR="00303907" w:rsidRPr="003D1E07">
        <w:rPr>
          <w:i/>
        </w:rPr>
        <w:instrText>cogito</w:instrText>
      </w:r>
      <w:r w:rsidR="00303907" w:rsidRPr="003D1E07">
        <w:instrText xml:space="preserve">" </w:instrText>
      </w:r>
      <w:r w:rsidR="00303907" w:rsidRPr="003D1E07">
        <w:rPr>
          <w:i/>
        </w:rPr>
        <w:fldChar w:fldCharType="end"/>
      </w:r>
      <w:r w:rsidR="00B64EC6" w:rsidRPr="003D1E07">
        <w:t xml:space="preserve">. </w:t>
      </w:r>
      <w:r w:rsidR="0089468A" w:rsidRPr="003D1E07">
        <w:t xml:space="preserve">Bonaventura </w:t>
      </w:r>
      <w:r w:rsidR="00F202FD" w:rsidRPr="003D1E07">
        <w:t xml:space="preserve">nejprve </w:t>
      </w:r>
      <w:r w:rsidR="0089468A" w:rsidRPr="003D1E07">
        <w:t>převede hypostázovaný habitus (</w:t>
      </w:r>
      <w:r w:rsidR="0089468A" w:rsidRPr="003D1E07">
        <w:rPr>
          <w:i/>
        </w:rPr>
        <w:t>habitus innatus</w:t>
      </w:r>
      <w:r w:rsidR="009A1BD1" w:rsidRPr="003D1E07">
        <w:rPr>
          <w:i/>
        </w:rPr>
        <w:fldChar w:fldCharType="begin"/>
      </w:r>
      <w:r w:rsidR="009A1BD1" w:rsidRPr="003D1E07">
        <w:instrText xml:space="preserve"> XE "</w:instrText>
      </w:r>
      <w:r w:rsidR="009A1BD1" w:rsidRPr="003D1E07">
        <w:rPr>
          <w:i/>
        </w:rPr>
        <w:instrText>habitus innatus</w:instrText>
      </w:r>
      <w:r w:rsidR="009A1BD1" w:rsidRPr="003D1E07">
        <w:instrText xml:space="preserve">" </w:instrText>
      </w:r>
      <w:r w:rsidR="009A1BD1" w:rsidRPr="003D1E07">
        <w:rPr>
          <w:i/>
        </w:rPr>
        <w:fldChar w:fldCharType="end"/>
      </w:r>
      <w:r w:rsidR="0089468A" w:rsidRPr="003D1E07">
        <w:t>) do demiurgického subjektu obdařeného primární stvořitelskou regulí a sekundární tvořitelskou praxí (</w:t>
      </w:r>
      <w:r w:rsidR="08A85B38" w:rsidRPr="003D1E07">
        <w:t>OBJ III, kap. 4</w:t>
      </w:r>
      <w:r w:rsidR="0089468A" w:rsidRPr="003D1E07">
        <w:t>.1.2). Substanciálně pojatý habitus nakonec dostane společně s kategorií vztahu (</w:t>
      </w:r>
      <w:r w:rsidR="0089468A" w:rsidRPr="003D1E07">
        <w:rPr>
          <w:i/>
        </w:rPr>
        <w:t>relatio</w:t>
      </w:r>
      <w:r w:rsidR="009A1BD1" w:rsidRPr="003D1E07">
        <w:rPr>
          <w:i/>
        </w:rPr>
        <w:fldChar w:fldCharType="begin"/>
      </w:r>
      <w:r w:rsidR="009A1BD1" w:rsidRPr="003D1E07">
        <w:instrText xml:space="preserve"> XE "</w:instrText>
      </w:r>
      <w:r w:rsidR="009A1BD1" w:rsidRPr="003D1E07">
        <w:rPr>
          <w:i/>
        </w:rPr>
        <w:instrText>relatio</w:instrText>
      </w:r>
      <w:r w:rsidR="009A1BD1" w:rsidRPr="003D1E07">
        <w:instrText xml:space="preserve">" </w:instrText>
      </w:r>
      <w:r w:rsidR="009A1BD1" w:rsidRPr="003D1E07">
        <w:rPr>
          <w:i/>
        </w:rPr>
        <w:fldChar w:fldCharType="end"/>
      </w:r>
      <w:r w:rsidR="0089468A" w:rsidRPr="003D1E07">
        <w:t>) v myšlení Petra Oliviho a Henryho Gentu již plný kategoriální statut a nahradí aristotelský primát první substance (</w:t>
      </w:r>
      <w:r w:rsidR="0089468A" w:rsidRPr="003D1E07">
        <w:rPr>
          <w:i/>
        </w:rPr>
        <w:t>esse ad</w:t>
      </w:r>
      <w:r w:rsidR="009A1BD1" w:rsidRPr="003D1E07">
        <w:rPr>
          <w:i/>
        </w:rPr>
        <w:fldChar w:fldCharType="begin"/>
      </w:r>
      <w:r w:rsidR="009A1BD1" w:rsidRPr="003D1E07">
        <w:instrText xml:space="preserve"> XE "</w:instrText>
      </w:r>
      <w:r w:rsidR="009A1BD1" w:rsidRPr="003D1E07">
        <w:rPr>
          <w:i/>
        </w:rPr>
        <w:instrText>esse ad:</w:instrText>
      </w:r>
      <w:r w:rsidR="009A1BD1" w:rsidRPr="003D1E07">
        <w:instrText xml:space="preserve">Simplikius" </w:instrText>
      </w:r>
      <w:r w:rsidR="009A1BD1" w:rsidRPr="003D1E07">
        <w:rPr>
          <w:i/>
        </w:rPr>
        <w:fldChar w:fldCharType="end"/>
      </w:r>
      <w:r w:rsidR="08CF6FB4" w:rsidRPr="003D1E07">
        <w:t>;</w:t>
      </w:r>
      <w:r w:rsidR="0089468A" w:rsidRPr="003D1E07">
        <w:t xml:space="preserve"> </w:t>
      </w:r>
      <w:r w:rsidR="08A85B38" w:rsidRPr="003D1E07">
        <w:t>OBJ III, kap. 5</w:t>
      </w:r>
      <w:r w:rsidR="0089468A" w:rsidRPr="003D1E07">
        <w:t xml:space="preserve">.1.2). </w:t>
      </w:r>
      <w:r w:rsidR="00111552">
        <w:t xml:space="preserve">Postmoderna vyměnila kategoriální </w:t>
      </w:r>
      <w:r w:rsidR="000F453B" w:rsidRPr="003D1E07">
        <w:t xml:space="preserve">určení </w:t>
      </w:r>
      <w:r w:rsidR="084B74FB" w:rsidRPr="003D1E07">
        <w:t xml:space="preserve">habitu </w:t>
      </w:r>
      <w:r w:rsidR="00AB422A" w:rsidRPr="003D1E07">
        <w:t xml:space="preserve">za </w:t>
      </w:r>
      <w:r w:rsidR="00111552">
        <w:t>transcendentální a hypostatický status</w:t>
      </w:r>
      <w:r w:rsidR="00AB422A" w:rsidRPr="003D1E07">
        <w:t xml:space="preserve">. </w:t>
      </w:r>
      <w:r w:rsidR="000F453B" w:rsidRPr="003D1E07">
        <w:t xml:space="preserve"> </w:t>
      </w:r>
      <w:r w:rsidR="08576C74" w:rsidRPr="003D1E07">
        <w:t xml:space="preserve">Původní nasvícení smyslu jsoucna u Aristotela je dáno zepředu, tedy od aktuální první substance, která aktivuje smysly a skrze smyslová fantasmata. Univerzální pojem vzniká až pomocí abstrakce od individuálního smyslového </w:t>
      </w:r>
      <w:r w:rsidR="00F214C5" w:rsidRPr="003D1E07">
        <w:t>species</w:t>
      </w:r>
      <w:r w:rsidR="00D965F7" w:rsidRPr="003D1E07">
        <w:t xml:space="preserve"> (</w:t>
      </w:r>
      <w:r w:rsidR="00D965F7" w:rsidRPr="003D1E07">
        <w:rPr>
          <w:i/>
        </w:rPr>
        <w:t>species sensibilis</w:t>
      </w:r>
      <w:r w:rsidR="00D965F7" w:rsidRPr="003D1E07">
        <w:t>)</w:t>
      </w:r>
      <w:r w:rsidR="00106A91" w:rsidRPr="003D1E07">
        <w:t xml:space="preserve">. Toto nasvícení jsoucna </w:t>
      </w:r>
      <w:r w:rsidR="08576C74" w:rsidRPr="003D1E07">
        <w:t xml:space="preserve">postuluje Aristotelova </w:t>
      </w:r>
      <w:r w:rsidR="08576C74" w:rsidRPr="003D1E07">
        <w:rPr>
          <w:i/>
        </w:rPr>
        <w:t>De anima</w:t>
      </w:r>
      <w:r w:rsidR="08576C74" w:rsidRPr="003D1E07">
        <w:t xml:space="preserve"> (kap. 1.</w:t>
      </w:r>
      <w:r w:rsidR="08AF6B7D" w:rsidRPr="003D1E07">
        <w:t>3</w:t>
      </w:r>
      <w:r w:rsidR="08576C74" w:rsidRPr="003D1E07">
        <w:t xml:space="preserve">) a úvodní pasáž </w:t>
      </w:r>
      <w:r w:rsidR="08576C74" w:rsidRPr="003D1E07">
        <w:rPr>
          <w:i/>
        </w:rPr>
        <w:t>De Interpretatione</w:t>
      </w:r>
      <w:r w:rsidR="08576C74" w:rsidRPr="003D1E07">
        <w:t xml:space="preserve">, na kterou navázal latinský </w:t>
      </w:r>
      <w:r w:rsidR="00854018">
        <w:t xml:space="preserve">překlad </w:t>
      </w:r>
      <w:r w:rsidR="08576C74" w:rsidRPr="003D1E07">
        <w:t>Boethia (</w:t>
      </w:r>
      <w:r w:rsidR="08A85B38" w:rsidRPr="003D1E07">
        <w:t>OBJ II, kap. 1</w:t>
      </w:r>
      <w:r w:rsidR="08576C74" w:rsidRPr="003D1E07">
        <w:t xml:space="preserve">.1). </w:t>
      </w:r>
      <w:r w:rsidR="00F4779B" w:rsidRPr="003D1E07">
        <w:t xml:space="preserve">Simplikius změnil definici habitu a strukturu </w:t>
      </w:r>
      <w:r w:rsidR="00A03B4A" w:rsidRPr="003D1E07">
        <w:t>deseti kategorií</w:t>
      </w:r>
      <w:r w:rsidR="00F4779B" w:rsidRPr="003D1E07">
        <w:t xml:space="preserve">, což vyvolalo </w:t>
      </w:r>
      <w:r w:rsidR="00754824" w:rsidRPr="003D1E07">
        <w:t xml:space="preserve">zásadní změnu v </w:t>
      </w:r>
      <w:r w:rsidR="00A03B4A" w:rsidRPr="003D1E07">
        <w:t>pojetí substance</w:t>
      </w:r>
      <w:r w:rsidR="00382C7D" w:rsidRPr="003D1E07">
        <w:rPr>
          <w:i/>
        </w:rPr>
        <w:fldChar w:fldCharType="begin"/>
      </w:r>
      <w:r w:rsidR="00382C7D" w:rsidRPr="003D1E07">
        <w:instrText xml:space="preserve"> XE "substance:Simplikius" </w:instrText>
      </w:r>
      <w:r w:rsidR="00382C7D" w:rsidRPr="003D1E07">
        <w:rPr>
          <w:i/>
        </w:rPr>
        <w:fldChar w:fldCharType="end"/>
      </w:r>
      <w:r w:rsidR="00A03B4A" w:rsidRPr="003D1E07">
        <w:t xml:space="preserve">. Nasvícení jsoucna </w:t>
      </w:r>
      <w:r w:rsidR="082A3F01" w:rsidRPr="003D1E07">
        <w:t>zezadu zrušilo hyparchickou funkci první substance, bez níž je aristotelská kategoriální predikace nemyslite</w:t>
      </w:r>
      <w:r w:rsidR="003D22EC" w:rsidRPr="003D1E07">
        <w:t>l</w:t>
      </w:r>
      <w:r w:rsidR="082A3F01" w:rsidRPr="003D1E07">
        <w:t xml:space="preserve">ná. </w:t>
      </w:r>
      <w:r w:rsidR="00465823" w:rsidRPr="003D1E07">
        <w:t>Reálná</w:t>
      </w:r>
      <w:r w:rsidR="081A21F9" w:rsidRPr="003D1E07">
        <w:t xml:space="preserve"> p</w:t>
      </w:r>
      <w:r w:rsidR="084827BA" w:rsidRPr="003D1E07">
        <w:t>rvní substance</w:t>
      </w:r>
      <w:r w:rsidR="08C12D89" w:rsidRPr="003D1E07">
        <w:t xml:space="preserve"> </w:t>
      </w:r>
      <w:r w:rsidR="08691163" w:rsidRPr="003D1E07">
        <w:t xml:space="preserve">přestala mít determinující roli a její existence jen </w:t>
      </w:r>
      <w:r w:rsidR="087A5CEB" w:rsidRPr="003D1E07">
        <w:t xml:space="preserve">dodatečně, smyslově a nahodile </w:t>
      </w:r>
      <w:r w:rsidR="00465823" w:rsidRPr="003D1E07">
        <w:t>potvrzuje</w:t>
      </w:r>
      <w:r w:rsidR="08C12D89" w:rsidRPr="003D1E07">
        <w:t xml:space="preserve"> </w:t>
      </w:r>
      <w:r w:rsidR="08963A8F" w:rsidRPr="003D1E07">
        <w:t xml:space="preserve">vyšší typ </w:t>
      </w:r>
      <w:r w:rsidR="087A5CEB" w:rsidRPr="003D1E07">
        <w:lastRenderedPageBreak/>
        <w:t xml:space="preserve">nutného a věčného </w:t>
      </w:r>
      <w:r w:rsidR="08C12D89" w:rsidRPr="003D1E07">
        <w:t>poznání</w:t>
      </w:r>
      <w:r w:rsidR="08963A8F" w:rsidRPr="003D1E07">
        <w:t xml:space="preserve"> daný ve světě autonomních forem</w:t>
      </w:r>
      <w:r w:rsidR="08ED27C7" w:rsidRPr="003D1E07">
        <w:t>.</w:t>
      </w:r>
      <w:r w:rsidR="08B20477" w:rsidRPr="003D1E07">
        <w:t xml:space="preserve"> </w:t>
      </w:r>
      <w:r w:rsidR="00CB0751" w:rsidRPr="003D1E07">
        <w:t>V metafyzice se definitivně změnila předchůdná dráha náhledu (</w:t>
      </w:r>
      <w:r w:rsidR="00CB0751" w:rsidRPr="003D1E07">
        <w:rPr>
          <w:i/>
        </w:rPr>
        <w:t>Vor-blickbahn</w:t>
      </w:r>
      <w:r w:rsidR="00454A81" w:rsidRPr="003D1E07">
        <w:rPr>
          <w:i/>
        </w:rPr>
        <w:fldChar w:fldCharType="begin"/>
      </w:r>
      <w:r w:rsidR="00454A81" w:rsidRPr="003D1E07">
        <w:instrText xml:space="preserve"> XE "</w:instrText>
      </w:r>
      <w:r w:rsidR="00454A81" w:rsidRPr="003D1E07">
        <w:rPr>
          <w:i/>
        </w:rPr>
        <w:instrText>Vor-blickbahn</w:instrText>
      </w:r>
      <w:r w:rsidR="00454A81" w:rsidRPr="003D1E07">
        <w:instrText xml:space="preserve">" </w:instrText>
      </w:r>
      <w:r w:rsidR="00454A81" w:rsidRPr="003D1E07">
        <w:rPr>
          <w:i/>
        </w:rPr>
        <w:fldChar w:fldCharType="end"/>
      </w:r>
      <w:r w:rsidR="00CB0751" w:rsidRPr="003D1E07">
        <w:t xml:space="preserve">) daná jako </w:t>
      </w:r>
      <w:r w:rsidR="088B042C" w:rsidRPr="003D1E07">
        <w:t xml:space="preserve">nasvícení smyslu jsoucna </w:t>
      </w:r>
      <w:r w:rsidR="00CB0751" w:rsidRPr="003D1E07">
        <w:t>zepředu</w:t>
      </w:r>
      <w:r w:rsidR="088B042C" w:rsidRPr="003D1E07">
        <w:t>. N</w:t>
      </w:r>
      <w:r w:rsidR="00465323" w:rsidRPr="003D1E07">
        <w:t xml:space="preserve">asvícení </w:t>
      </w:r>
      <w:r w:rsidR="08A36212" w:rsidRPr="003D1E07">
        <w:t>zezadu je zavedeno přímo do kategoriální predikace</w:t>
      </w:r>
      <w:r w:rsidR="00AA73AA" w:rsidRPr="003D1E07">
        <w:t>, v níž byla hyparchická funce vyměněna za pro</w:t>
      </w:r>
      <w:r w:rsidR="006602CD" w:rsidRPr="003D1E07">
        <w:t>hyp</w:t>
      </w:r>
      <w:r w:rsidR="00AA73AA" w:rsidRPr="003D1E07">
        <w:t>archickou</w:t>
      </w:r>
      <w:r w:rsidR="00382C7D" w:rsidRPr="003D1E07">
        <w:rPr>
          <w:i/>
        </w:rPr>
        <w:fldChar w:fldCharType="begin"/>
      </w:r>
      <w:r w:rsidR="00382C7D" w:rsidRPr="003D1E07">
        <w:instrText xml:space="preserve"> XE "</w:instrText>
      </w:r>
      <w:r w:rsidR="00503C55" w:rsidRPr="003D1E07">
        <w:rPr>
          <w:rStyle w:val="Zvraznn"/>
          <w:i w:val="0"/>
        </w:rPr>
        <w:instrText>predikace:prohyparchická</w:instrText>
      </w:r>
      <w:r w:rsidR="00382C7D" w:rsidRPr="003D1E07">
        <w:instrText xml:space="preserve">" </w:instrText>
      </w:r>
      <w:r w:rsidR="00382C7D" w:rsidRPr="003D1E07">
        <w:rPr>
          <w:i/>
        </w:rPr>
        <w:fldChar w:fldCharType="end"/>
      </w:r>
      <w:r w:rsidR="08A36212" w:rsidRPr="003D1E07">
        <w:t xml:space="preserve">. </w:t>
      </w:r>
      <w:r w:rsidR="00BA0D79" w:rsidRPr="003D1E07">
        <w:t>Int</w:t>
      </w:r>
      <w:r w:rsidR="00826187" w:rsidRPr="003D1E07">
        <w:t>elekt vytvá</w:t>
      </w:r>
      <w:r w:rsidR="00BA0D79" w:rsidRPr="003D1E07">
        <w:t xml:space="preserve">ří paralelní realitu sám </w:t>
      </w:r>
      <w:r w:rsidR="08BD65DA" w:rsidRPr="003D1E07">
        <w:t xml:space="preserve">v sobě, protože má stejné schopnosti jako </w:t>
      </w:r>
      <w:r w:rsidR="085177DD" w:rsidRPr="003D1E07">
        <w:t xml:space="preserve">božský </w:t>
      </w:r>
      <w:r w:rsidR="08BD65DA" w:rsidRPr="003D1E07">
        <w:t xml:space="preserve">demiurg v dialogu </w:t>
      </w:r>
      <w:r w:rsidR="08D93698" w:rsidRPr="003D1E07">
        <w:rPr>
          <w:i/>
        </w:rPr>
        <w:t>Ti</w:t>
      </w:r>
      <w:r w:rsidR="08BD65DA" w:rsidRPr="003D1E07">
        <w:rPr>
          <w:i/>
        </w:rPr>
        <w:t>maios</w:t>
      </w:r>
      <w:r w:rsidR="00372E82" w:rsidRPr="003D1E07">
        <w:fldChar w:fldCharType="begin"/>
      </w:r>
      <w:r w:rsidR="00372E82" w:rsidRPr="003D1E07">
        <w:instrText xml:space="preserve"> XE "</w:instrText>
      </w:r>
      <w:r w:rsidR="081325FA" w:rsidRPr="003D1E07">
        <w:instrText xml:space="preserve">dialog </w:instrText>
      </w:r>
      <w:r w:rsidR="081325FA" w:rsidRPr="003D1E07">
        <w:rPr>
          <w:i/>
        </w:rPr>
        <w:instrText>Timaios</w:instrText>
      </w:r>
      <w:r w:rsidR="00372E82" w:rsidRPr="003D1E07">
        <w:instrText xml:space="preserve">" </w:instrText>
      </w:r>
      <w:r w:rsidR="00372E82" w:rsidRPr="003D1E07">
        <w:fldChar w:fldCharType="end"/>
      </w:r>
      <w:r w:rsidR="08BD65DA" w:rsidRPr="003D1E07">
        <w:t xml:space="preserve">. </w:t>
      </w:r>
      <w:r w:rsidR="00F414E5" w:rsidRPr="003D1E07">
        <w:t>Simplikiem definovaná d</w:t>
      </w:r>
      <w:r w:rsidR="087E2EDB" w:rsidRPr="003D1E07">
        <w:t xml:space="preserve">uše </w:t>
      </w:r>
      <w:r w:rsidR="08086122" w:rsidRPr="003D1E07">
        <w:t>aktivně vytváří nápodobu</w:t>
      </w:r>
      <w:r w:rsidR="00C319C6" w:rsidRPr="003D1E07">
        <w:t xml:space="preserve"> původní inteligibilní říše, </w:t>
      </w:r>
      <w:r w:rsidR="08086122" w:rsidRPr="003D1E07">
        <w:t xml:space="preserve">protože </w:t>
      </w:r>
      <w:r w:rsidR="0081198C" w:rsidRPr="003D1E07">
        <w:t xml:space="preserve">vinou </w:t>
      </w:r>
      <w:r w:rsidR="08B92DF1" w:rsidRPr="003D1E07">
        <w:t xml:space="preserve">úpadku do smyslové materie už </w:t>
      </w:r>
      <w:r w:rsidR="08086122" w:rsidRPr="003D1E07">
        <w:t xml:space="preserve">nemohla </w:t>
      </w:r>
      <w:r w:rsidR="00C319C6" w:rsidRPr="003D1E07">
        <w:t>zůsta</w:t>
      </w:r>
      <w:r w:rsidR="08086122" w:rsidRPr="003D1E07">
        <w:t>t</w:t>
      </w:r>
      <w:r w:rsidR="00C319C6" w:rsidRPr="003D1E07">
        <w:t xml:space="preserve"> </w:t>
      </w:r>
      <w:r w:rsidR="08086122" w:rsidRPr="003D1E07">
        <w:t xml:space="preserve">ve světě </w:t>
      </w:r>
      <w:r w:rsidR="00C319C6" w:rsidRPr="003D1E07">
        <w:t xml:space="preserve">původních </w:t>
      </w:r>
      <w:r w:rsidR="08D93698" w:rsidRPr="003D1E07">
        <w:t>prototypických</w:t>
      </w:r>
      <w:r w:rsidR="08086122" w:rsidRPr="003D1E07">
        <w:t xml:space="preserve"> podob </w:t>
      </w:r>
      <w:r w:rsidR="00C319C6" w:rsidRPr="003D1E07">
        <w:t>bytí (τοῦτο εἰκόνας αὐτοὺς ἀντὶ τῶν πρωτοτύπων ποιήσασα;</w:t>
      </w:r>
      <w:r w:rsidR="08E070F9" w:rsidRPr="003D1E07">
        <w:t xml:space="preserve"> </w:t>
      </w:r>
      <w:r w:rsidR="00CF714E" w:rsidRPr="003D1E07">
        <w:rPr>
          <w:i/>
        </w:rPr>
        <w:t>Simpl</w:t>
      </w:r>
      <w:r w:rsidR="00CF714E" w:rsidRPr="003D1E07">
        <w:t xml:space="preserve">. </w:t>
      </w:r>
      <w:r w:rsidR="00CF714E" w:rsidRPr="003D1E07">
        <w:rPr>
          <w:i/>
        </w:rPr>
        <w:t>i</w:t>
      </w:r>
      <w:r w:rsidR="08E070F9" w:rsidRPr="003D1E07">
        <w:rPr>
          <w:i/>
        </w:rPr>
        <w:t>n Cat</w:t>
      </w:r>
      <w:r w:rsidR="08E070F9" w:rsidRPr="003D1E07">
        <w:t xml:space="preserve">. </w:t>
      </w:r>
      <w:r w:rsidR="002A1AB3" w:rsidRPr="003D1E07">
        <w:t>12.23</w:t>
      </w:r>
      <w:r w:rsidR="002F05F4" w:rsidRPr="003D1E07">
        <w:fldChar w:fldCharType="begin"/>
      </w:r>
      <w:r w:rsidR="0097218C" w:rsidRPr="003D1E07">
        <w:instrText xml:space="preserve"> XE "Simplikiu</w:instrText>
      </w:r>
      <w:r w:rsidR="002F05F4" w:rsidRPr="003D1E07">
        <w:instrText>s:</w:instrText>
      </w:r>
      <w:r w:rsidR="002F05F4" w:rsidRPr="003D1E07">
        <w:rPr>
          <w:i/>
        </w:rPr>
        <w:instrText>Simpl</w:instrText>
      </w:r>
      <w:r w:rsidR="002F05F4" w:rsidRPr="003D1E07">
        <w:instrText xml:space="preserve">. </w:instrText>
      </w:r>
      <w:r w:rsidR="002F05F4" w:rsidRPr="003D1E07">
        <w:rPr>
          <w:i/>
        </w:rPr>
        <w:instrText>in Cat</w:instrText>
      </w:r>
      <w:r w:rsidR="002A1AB3" w:rsidRPr="003D1E07">
        <w:instrText>. 12.23</w:instrText>
      </w:r>
      <w:r w:rsidR="002F05F4" w:rsidRPr="003D1E07">
        <w:instrText xml:space="preserve">" </w:instrText>
      </w:r>
      <w:r w:rsidR="002F05F4" w:rsidRPr="003D1E07">
        <w:fldChar w:fldCharType="end"/>
      </w:r>
      <w:r w:rsidR="00C319C6" w:rsidRPr="003D1E07">
        <w:t xml:space="preserve">). </w:t>
      </w:r>
      <w:r w:rsidR="08501726" w:rsidRPr="003D1E07">
        <w:t xml:space="preserve">Objektivní formu těchto </w:t>
      </w:r>
      <w:r w:rsidR="00D324E4" w:rsidRPr="003D1E07">
        <w:t>p</w:t>
      </w:r>
      <w:r w:rsidR="08501726" w:rsidRPr="003D1E07">
        <w:t>rototypů</w:t>
      </w:r>
      <w:r w:rsidR="00C319C6" w:rsidRPr="003D1E07">
        <w:t xml:space="preserve"> </w:t>
      </w:r>
      <w:r w:rsidR="089E0B3C" w:rsidRPr="003D1E07">
        <w:t xml:space="preserve">Jednoho </w:t>
      </w:r>
      <w:r w:rsidR="00C319C6" w:rsidRPr="003D1E07">
        <w:t xml:space="preserve">najdeme u Bonaventury ve formě </w:t>
      </w:r>
      <w:r w:rsidR="087A2A9D" w:rsidRPr="003D1E07">
        <w:t xml:space="preserve">božích </w:t>
      </w:r>
      <w:r w:rsidR="08B20477" w:rsidRPr="003D1E07">
        <w:t>exemplarů</w:t>
      </w:r>
      <w:r w:rsidR="08911FC6" w:rsidRPr="003D1E07">
        <w:t xml:space="preserve"> tradovaných od neoplatonika Augustina</w:t>
      </w:r>
      <w:r w:rsidR="08B20477" w:rsidRPr="003D1E07">
        <w:t>. Duše poznáv</w:t>
      </w:r>
      <w:r w:rsidR="08AA20AE" w:rsidRPr="003D1E07">
        <w:t>á j</w:t>
      </w:r>
      <w:r w:rsidR="00C319C6" w:rsidRPr="003D1E07">
        <w:t xml:space="preserve">ejich </w:t>
      </w:r>
      <w:r w:rsidR="089E0B3C" w:rsidRPr="003D1E07">
        <w:t xml:space="preserve">světskou nápodobu v </w:t>
      </w:r>
      <w:r w:rsidR="00C319C6" w:rsidRPr="003D1E07">
        <w:t xml:space="preserve">objektivně daných </w:t>
      </w:r>
      <w:r w:rsidR="00C319C6" w:rsidRPr="003D1E07">
        <w:rPr>
          <w:i/>
        </w:rPr>
        <w:t>rationes seminales</w:t>
      </w:r>
      <w:r w:rsidR="009A1BD1" w:rsidRPr="003D1E07">
        <w:rPr>
          <w:i/>
        </w:rPr>
        <w:fldChar w:fldCharType="begin"/>
      </w:r>
      <w:r w:rsidR="009A1BD1" w:rsidRPr="003D1E07">
        <w:instrText xml:space="preserve"> XE "</w:instrText>
      </w:r>
      <w:r w:rsidR="009A1BD1" w:rsidRPr="003D1E07">
        <w:rPr>
          <w:i/>
        </w:rPr>
        <w:instrText>rationes seminales</w:instrText>
      </w:r>
      <w:r w:rsidR="009A1BD1" w:rsidRPr="003D1E07">
        <w:instrText xml:space="preserve">" </w:instrText>
      </w:r>
      <w:r w:rsidR="009A1BD1" w:rsidRPr="003D1E07">
        <w:rPr>
          <w:i/>
        </w:rPr>
        <w:fldChar w:fldCharType="end"/>
      </w:r>
      <w:r w:rsidR="00C319C6" w:rsidRPr="003D1E07">
        <w:t xml:space="preserve"> (</w:t>
      </w:r>
      <w:r w:rsidR="08A85B38" w:rsidRPr="003D1E07">
        <w:t>OBJ III, kap. 4</w:t>
      </w:r>
      <w:r w:rsidR="00C319C6" w:rsidRPr="003D1E07">
        <w:t xml:space="preserve">.1.1). </w:t>
      </w:r>
      <w:r w:rsidR="00B47BF2" w:rsidRPr="003D1E07">
        <w:t>P</w:t>
      </w:r>
      <w:r w:rsidR="00C319C6" w:rsidRPr="003D1E07">
        <w:t xml:space="preserve">oznání </w:t>
      </w:r>
      <w:r w:rsidR="00B47BF2" w:rsidRPr="003D1E07">
        <w:t xml:space="preserve">reálných věcí </w:t>
      </w:r>
      <w:r w:rsidR="0081198C" w:rsidRPr="003D1E07">
        <w:t xml:space="preserve">skrze </w:t>
      </w:r>
      <w:r w:rsidR="08D93698" w:rsidRPr="003D1E07">
        <w:t>p</w:t>
      </w:r>
      <w:r w:rsidR="00210CD1" w:rsidRPr="003D1E07">
        <w:t>latonské</w:t>
      </w:r>
      <w:r w:rsidR="00BF07BF" w:rsidRPr="003D1E07">
        <w:t xml:space="preserve"> </w:t>
      </w:r>
      <w:r w:rsidR="0081198C" w:rsidRPr="003D1E07">
        <w:t>ideje přeměn</w:t>
      </w:r>
      <w:r w:rsidR="003E20AA" w:rsidRPr="003D1E07">
        <w:t>ěn</w:t>
      </w:r>
      <w:r w:rsidR="08D93698" w:rsidRPr="003D1E07">
        <w:t>é na hypostázované kategorie-</w:t>
      </w:r>
      <w:r w:rsidR="00F214C5" w:rsidRPr="003D1E07">
        <w:t>species</w:t>
      </w:r>
      <w:r w:rsidR="08D93698" w:rsidRPr="003D1E07">
        <w:t xml:space="preserve"> </w:t>
      </w:r>
      <w:r w:rsidR="00C05199" w:rsidRPr="003D1E07">
        <w:t>bylo pro Aristolela nepřijatelné</w:t>
      </w:r>
      <w:r w:rsidR="0824520E" w:rsidRPr="003D1E07">
        <w:t>. I</w:t>
      </w:r>
      <w:r w:rsidR="00C05199" w:rsidRPr="003D1E07">
        <w:t>ntelekt</w:t>
      </w:r>
      <w:r w:rsidR="08DE0996" w:rsidRPr="003D1E07">
        <w:t xml:space="preserve">uální </w:t>
      </w:r>
      <w:r w:rsidR="00C05199" w:rsidRPr="003D1E07">
        <w:t xml:space="preserve"> </w:t>
      </w:r>
      <w:r w:rsidR="08DE0996" w:rsidRPr="003D1E07">
        <w:t xml:space="preserve">poznání </w:t>
      </w:r>
      <w:r w:rsidR="00C05199" w:rsidRPr="003D1E07">
        <w:t xml:space="preserve">je </w:t>
      </w:r>
      <w:r w:rsidR="08DE0996" w:rsidRPr="003D1E07">
        <w:t xml:space="preserve">primárně </w:t>
      </w:r>
      <w:r w:rsidR="00C05199" w:rsidRPr="003D1E07">
        <w:t>v pasivním modu</w:t>
      </w:r>
      <w:r w:rsidR="08FA7EA0" w:rsidRPr="003D1E07">
        <w:t xml:space="preserve"> vzhledem k aktuální první substanci </w:t>
      </w:r>
      <w:r w:rsidR="08D8175A" w:rsidRPr="003D1E07">
        <w:t xml:space="preserve">nejprve </w:t>
      </w:r>
      <w:r w:rsidR="08FA7EA0" w:rsidRPr="003D1E07">
        <w:t>poznané smysly</w:t>
      </w:r>
      <w:r w:rsidR="004C3D3E" w:rsidRPr="003D1E07">
        <w:t>.</w:t>
      </w:r>
      <w:r w:rsidR="003C2570" w:rsidRPr="003D1E07">
        <w:t xml:space="preserve"> </w:t>
      </w:r>
      <w:r w:rsidR="00BA1A2B">
        <w:t xml:space="preserve">Ty podržují </w:t>
      </w:r>
      <w:r w:rsidR="00BA1A2B" w:rsidRPr="00BA1A2B">
        <w:t>účinky kauzality působící ve světě.</w:t>
      </w:r>
      <w:r w:rsidR="00BA1A2B">
        <w:t xml:space="preserve"> </w:t>
      </w:r>
      <w:r w:rsidR="003E20AA" w:rsidRPr="003D1E07">
        <w:t xml:space="preserve">Pokud by se bytí stalo univerzálním rodem, tak by znemožnilo kategoriální predikaci </w:t>
      </w:r>
      <w:r w:rsidR="08AF6B7D" w:rsidRPr="003D1E07">
        <w:t>(kap. 1.3</w:t>
      </w:r>
      <w:r w:rsidR="003E20AA" w:rsidRPr="003D1E07">
        <w:t xml:space="preserve">). </w:t>
      </w:r>
      <w:r w:rsidR="08A76A34" w:rsidRPr="003D1E07">
        <w:t>Alexander Afrodisias</w:t>
      </w:r>
      <w:r w:rsidR="00571550" w:rsidRPr="003D1E07">
        <w:fldChar w:fldCharType="begin"/>
      </w:r>
      <w:r w:rsidR="00571550" w:rsidRPr="003D1E07">
        <w:instrText xml:space="preserve"> XE "Alexander Afrodisias" </w:instrText>
      </w:r>
      <w:r w:rsidR="00571550" w:rsidRPr="003D1E07">
        <w:fldChar w:fldCharType="end"/>
      </w:r>
      <w:r w:rsidR="08A76A34" w:rsidRPr="003D1E07">
        <w:t xml:space="preserve"> a po něm </w:t>
      </w:r>
      <w:r w:rsidR="00BB45B1" w:rsidRPr="003D1E07">
        <w:t>Porfyri</w:t>
      </w:r>
      <w:r w:rsidR="08A76A34" w:rsidRPr="003D1E07">
        <w:t xml:space="preserve">us si ještě byli vědomi zásadní diference mezi první a druhou substancí a nepřipustili </w:t>
      </w:r>
      <w:r w:rsidR="00874074" w:rsidRPr="003D1E07">
        <w:t>neoplatonsk</w:t>
      </w:r>
      <w:r w:rsidR="08A76A34" w:rsidRPr="003D1E07">
        <w:t xml:space="preserve">ou analogii jako základ </w:t>
      </w:r>
      <w:r w:rsidR="08AC4F57" w:rsidRPr="003D1E07">
        <w:t xml:space="preserve">metafyziky. Hledaná jednota bytí </w:t>
      </w:r>
      <w:r w:rsidR="08A76A34" w:rsidRPr="003D1E07">
        <w:rPr>
          <w:i/>
        </w:rPr>
        <w:t>pros hen</w:t>
      </w:r>
      <w:r w:rsidR="08A76A34" w:rsidRPr="003D1E07">
        <w:t xml:space="preserve">, kterou sledovala </w:t>
      </w:r>
      <w:r w:rsidR="08A76A34" w:rsidRPr="003D1E07">
        <w:rPr>
          <w:i/>
        </w:rPr>
        <w:t>Metafyzika</w:t>
      </w:r>
      <w:r w:rsidR="08A76A34" w:rsidRPr="003D1E07">
        <w:t>, nemůže podle těchto znalců Aristotela stát na pouhé homonymii</w:t>
      </w:r>
      <w:r w:rsidR="009A1BD1" w:rsidRPr="003D1E07">
        <w:rPr>
          <w:i/>
        </w:rPr>
        <w:fldChar w:fldCharType="begin"/>
      </w:r>
      <w:r w:rsidR="009A1BD1" w:rsidRPr="003D1E07">
        <w:instrText xml:space="preserve"> XE "</w:instrText>
      </w:r>
      <w:r w:rsidR="009A1BD1" w:rsidRPr="003D1E07">
        <w:rPr>
          <w:rStyle w:val="Zvraznn"/>
          <w:i w:val="0"/>
        </w:rPr>
        <w:instrText>metafyzika:homonymie bytí</w:instrText>
      </w:r>
      <w:r w:rsidR="009A1BD1" w:rsidRPr="003D1E07">
        <w:instrText xml:space="preserve">" </w:instrText>
      </w:r>
      <w:r w:rsidR="009A1BD1" w:rsidRPr="003D1E07">
        <w:rPr>
          <w:i/>
        </w:rPr>
        <w:fldChar w:fldCharType="end"/>
      </w:r>
      <w:r w:rsidR="08A76A34" w:rsidRPr="003D1E07">
        <w:t xml:space="preserve">. </w:t>
      </w:r>
      <w:r w:rsidR="004D2791" w:rsidRPr="003D1E07">
        <w:t xml:space="preserve">Metafyzika není logika. </w:t>
      </w:r>
      <w:r w:rsidR="08A76A34" w:rsidRPr="003D1E07">
        <w:t xml:space="preserve">Proto aristotelská škola komentátorů oddělila v rámci dvou zásadně odlišných statutů </w:t>
      </w:r>
      <w:r w:rsidR="08A76A34" w:rsidRPr="003D1E07">
        <w:rPr>
          <w:i/>
        </w:rPr>
        <w:t>per prius</w:t>
      </w:r>
      <w:r w:rsidR="08A76A34" w:rsidRPr="003D1E07">
        <w:t xml:space="preserve"> </w:t>
      </w:r>
      <w:r w:rsidR="009521A3">
        <w:t>dva typy</w:t>
      </w:r>
      <w:r w:rsidR="00F066D9" w:rsidRPr="003D1E07">
        <w:t xml:space="preserve"> predikace. M</w:t>
      </w:r>
      <w:r w:rsidR="08734CEF" w:rsidRPr="003D1E07">
        <w:t xml:space="preserve">etafyzický </w:t>
      </w:r>
      <w:r w:rsidR="08A76A34" w:rsidRPr="003D1E07">
        <w:t xml:space="preserve">primát </w:t>
      </w:r>
      <w:r w:rsidR="0058643D" w:rsidRPr="003D1E07">
        <w:t xml:space="preserve">reálné </w:t>
      </w:r>
      <w:r w:rsidR="08A76A34" w:rsidRPr="003D1E07">
        <w:t xml:space="preserve">první substance </w:t>
      </w:r>
      <w:r w:rsidR="00C43F95" w:rsidRPr="003D1E07">
        <w:t xml:space="preserve">dané </w:t>
      </w:r>
      <w:r w:rsidR="00F066D9" w:rsidRPr="003D1E07">
        <w:t xml:space="preserve">singulárně a </w:t>
      </w:r>
      <w:r w:rsidR="00C43F95" w:rsidRPr="003D1E07">
        <w:rPr>
          <w:i/>
        </w:rPr>
        <w:t>sim</w:t>
      </w:r>
      <w:r w:rsidR="007B4720" w:rsidRPr="003D1E07">
        <w:rPr>
          <w:i/>
        </w:rPr>
        <w:t>p</w:t>
      </w:r>
      <w:r w:rsidR="00C43F95" w:rsidRPr="003D1E07">
        <w:rPr>
          <w:i/>
        </w:rPr>
        <w:t>liciter</w:t>
      </w:r>
      <w:r w:rsidR="087D3C22" w:rsidRPr="003D1E07">
        <w:t xml:space="preserve"> </w:t>
      </w:r>
      <w:r w:rsidR="0058643D" w:rsidRPr="003D1E07">
        <w:t xml:space="preserve">(modus </w:t>
      </w:r>
      <w:r w:rsidR="0058643D" w:rsidRPr="003D1E07">
        <w:rPr>
          <w:i/>
        </w:rPr>
        <w:t>ipse</w:t>
      </w:r>
      <w:r w:rsidR="00A63254" w:rsidRPr="003D1E07">
        <w:rPr>
          <w:i/>
        </w:rPr>
        <w:fldChar w:fldCharType="begin"/>
      </w:r>
      <w:r w:rsidR="00A63254" w:rsidRPr="003D1E07">
        <w:instrText xml:space="preserve"> XE "</w:instrText>
      </w:r>
      <w:r w:rsidR="00A63254" w:rsidRPr="003D1E07">
        <w:rPr>
          <w:i/>
        </w:rPr>
        <w:instrText>ipse/idem</w:instrText>
      </w:r>
      <w:r w:rsidR="00A63254" w:rsidRPr="003D1E07">
        <w:instrText xml:space="preserve">" </w:instrText>
      </w:r>
      <w:r w:rsidR="00A63254" w:rsidRPr="003D1E07">
        <w:rPr>
          <w:i/>
        </w:rPr>
        <w:fldChar w:fldCharType="end"/>
      </w:r>
      <w:r w:rsidR="0058643D" w:rsidRPr="003D1E07">
        <w:t xml:space="preserve">) </w:t>
      </w:r>
      <w:r w:rsidR="00F066D9" w:rsidRPr="003D1E07">
        <w:t xml:space="preserve">byl oddělen </w:t>
      </w:r>
      <w:r w:rsidR="08A76A34" w:rsidRPr="003D1E07">
        <w:t xml:space="preserve">od kategoriálního </w:t>
      </w:r>
      <w:r w:rsidR="00901A41" w:rsidRPr="003D1E07">
        <w:t xml:space="preserve">významu </w:t>
      </w:r>
      <w:r w:rsidR="08A76A34" w:rsidRPr="003D1E07">
        <w:t>druhé substance</w:t>
      </w:r>
      <w:r w:rsidR="00C43F95" w:rsidRPr="003D1E07">
        <w:t xml:space="preserve"> dané </w:t>
      </w:r>
      <w:r w:rsidR="087D3C22" w:rsidRPr="003D1E07">
        <w:t>univerzálně</w:t>
      </w:r>
      <w:r w:rsidR="00F066D9" w:rsidRPr="003D1E07">
        <w:t xml:space="preserve"> a </w:t>
      </w:r>
      <w:r w:rsidR="00C43F95" w:rsidRPr="003D1E07">
        <w:rPr>
          <w:i/>
        </w:rPr>
        <w:t>simpliciter</w:t>
      </w:r>
      <w:r w:rsidR="0058643D" w:rsidRPr="003D1E07">
        <w:t xml:space="preserve"> (modus </w:t>
      </w:r>
      <w:r w:rsidR="0058643D" w:rsidRPr="003D1E07">
        <w:rPr>
          <w:i/>
        </w:rPr>
        <w:t>idem</w:t>
      </w:r>
      <w:r w:rsidR="0058643D" w:rsidRPr="003D1E07">
        <w:t xml:space="preserve">). </w:t>
      </w:r>
      <w:r w:rsidR="08A76A34" w:rsidRPr="003D1E07">
        <w:t xml:space="preserve">Od 6. století toto rozlišení </w:t>
      </w:r>
      <w:r w:rsidR="087D3C22" w:rsidRPr="003D1E07">
        <w:t xml:space="preserve">definitivně </w:t>
      </w:r>
      <w:r w:rsidR="08A76A34" w:rsidRPr="003D1E07">
        <w:t>padlo a realita první substance přestala určovat myšlení jsoucího</w:t>
      </w:r>
      <w:r w:rsidR="008274A3" w:rsidRPr="003D1E07">
        <w:t xml:space="preserve"> v hyparchickém modu </w:t>
      </w:r>
      <w:r w:rsidR="00BD0215">
        <w:t xml:space="preserve">impozice </w:t>
      </w:r>
      <w:r w:rsidR="008274A3" w:rsidRPr="003D1E07">
        <w:t xml:space="preserve">podle spisu </w:t>
      </w:r>
      <w:r w:rsidR="008274A3" w:rsidRPr="003D1E07">
        <w:rPr>
          <w:i/>
        </w:rPr>
        <w:t>Kategorie</w:t>
      </w:r>
      <w:r w:rsidR="00C05BBB" w:rsidRPr="003D1E07">
        <w:t>.</w:t>
      </w:r>
      <w:r w:rsidR="08D93698" w:rsidRPr="003D1E07">
        <w:t xml:space="preserve"> </w:t>
      </w:r>
      <w:r w:rsidR="003C2570" w:rsidRPr="003D1E07">
        <w:t xml:space="preserve">Nové postavení intelektu spojeného s klasickou naukou o kategoriích umožnilo nástupcům </w:t>
      </w:r>
      <w:r w:rsidR="00F066D9" w:rsidRPr="003D1E07">
        <w:t xml:space="preserve">Dexippa a Simplikia mísit </w:t>
      </w:r>
      <w:r w:rsidR="003C2570" w:rsidRPr="003D1E07">
        <w:t>status první a druhé substance</w:t>
      </w:r>
      <w:r w:rsidR="00A70FA4" w:rsidRPr="003D1E07">
        <w:fldChar w:fldCharType="begin"/>
      </w:r>
      <w:r w:rsidR="00A70FA4" w:rsidRPr="003D1E07">
        <w:instrText xml:space="preserve"> XE "substance</w:instrText>
      </w:r>
      <w:r w:rsidR="0097218C" w:rsidRPr="003D1E07">
        <w:instrText>:neoplatonismus</w:instrText>
      </w:r>
      <w:r w:rsidR="00A70FA4" w:rsidRPr="003D1E07">
        <w:instrText xml:space="preserve">" </w:instrText>
      </w:r>
      <w:r w:rsidR="00A70FA4" w:rsidRPr="003D1E07">
        <w:fldChar w:fldCharType="end"/>
      </w:r>
      <w:r w:rsidR="003C2570" w:rsidRPr="003D1E07">
        <w:t xml:space="preserve">. </w:t>
      </w:r>
      <w:r w:rsidR="00F066D9" w:rsidRPr="003D1E07">
        <w:t>Tento mix pochopitelně nemohl mít univoční význam, ale je</w:t>
      </w:r>
      <w:r w:rsidR="00905322" w:rsidRPr="003D1E07">
        <w:t>n</w:t>
      </w:r>
      <w:r w:rsidR="00F066D9" w:rsidRPr="003D1E07">
        <w:t xml:space="preserve"> analogický, protože jednota vznikla mentální podobností </w:t>
      </w:r>
      <w:r w:rsidR="00F066D9" w:rsidRPr="003D1E07">
        <w:rPr>
          <w:i/>
        </w:rPr>
        <w:t>tertium ens</w:t>
      </w:r>
      <w:r w:rsidR="00F066D9" w:rsidRPr="003D1E07">
        <w:t>. Tak vznikla nová kategoriální predikace</w:t>
      </w:r>
      <w:r w:rsidR="003C2570" w:rsidRPr="003D1E07">
        <w:t xml:space="preserve"> dan</w:t>
      </w:r>
      <w:r w:rsidR="00F066D9" w:rsidRPr="003D1E07">
        <w:t xml:space="preserve">á </w:t>
      </w:r>
      <w:r w:rsidR="003C2570" w:rsidRPr="003D1E07">
        <w:rPr>
          <w:i/>
        </w:rPr>
        <w:t>per prius.</w:t>
      </w:r>
      <w:r w:rsidR="003C2570" w:rsidRPr="003D1E07">
        <w:t xml:space="preserve"> </w:t>
      </w:r>
      <w:r w:rsidR="009059DB" w:rsidRPr="003D1E07">
        <w:t>Tento základní r</w:t>
      </w:r>
      <w:r w:rsidR="080E1226" w:rsidRPr="003D1E07">
        <w:t xml:space="preserve">ozpor mezi </w:t>
      </w:r>
      <w:r w:rsidR="08BD1C51" w:rsidRPr="003D1E07">
        <w:t xml:space="preserve">aristotelským </w:t>
      </w:r>
      <w:r w:rsidR="080E1226" w:rsidRPr="003D1E07">
        <w:t xml:space="preserve">a </w:t>
      </w:r>
      <w:r w:rsidR="00874074" w:rsidRPr="003D1E07">
        <w:t>neoplatonsk</w:t>
      </w:r>
      <w:r w:rsidR="080E1226" w:rsidRPr="003D1E07">
        <w:t xml:space="preserve">ým výkladem </w:t>
      </w:r>
      <w:r w:rsidR="080E1226" w:rsidRPr="003D1E07">
        <w:rPr>
          <w:i/>
        </w:rPr>
        <w:t>Kategorií</w:t>
      </w:r>
      <w:r w:rsidR="080E1226" w:rsidRPr="003D1E07">
        <w:t xml:space="preserve"> budou </w:t>
      </w:r>
      <w:r w:rsidR="08047A13" w:rsidRPr="003D1E07">
        <w:t>v následných kolech západní gigantomachie</w:t>
      </w:r>
      <w:r w:rsidR="000A060A" w:rsidRPr="003D1E07">
        <w:fldChar w:fldCharType="begin"/>
      </w:r>
      <w:r w:rsidR="000A060A" w:rsidRPr="003D1E07">
        <w:instrText xml:space="preserve"> XE "substance:gigantomachie" </w:instrText>
      </w:r>
      <w:r w:rsidR="000A060A" w:rsidRPr="003D1E07">
        <w:fldChar w:fldCharType="end"/>
      </w:r>
      <w:r w:rsidR="08047A13" w:rsidRPr="003D1E07">
        <w:t xml:space="preserve"> o substanci </w:t>
      </w:r>
      <w:r w:rsidR="080E1226" w:rsidRPr="003D1E07">
        <w:t xml:space="preserve">postupně tematizovat všechny </w:t>
      </w:r>
      <w:r w:rsidR="08F61EBC" w:rsidRPr="003D1E07">
        <w:t xml:space="preserve">fáze </w:t>
      </w:r>
      <w:r w:rsidR="080E1226" w:rsidRPr="003D1E07">
        <w:t>objektivity.</w:t>
      </w:r>
    </w:p>
    <w:p w14:paraId="4B5A9672" w14:textId="24564EBD" w:rsidR="00283389" w:rsidRDefault="08627468" w:rsidP="00684365">
      <w:r w:rsidRPr="003D1E07">
        <w:lastRenderedPageBreak/>
        <w:tab/>
      </w:r>
      <w:r w:rsidR="002E32DA" w:rsidRPr="003D1E07">
        <w:t>Simplikiův výklad ukázal zásadní rozdíl mezi dvěma pojetími substance, které implikují dva různé mody poznání. Na prvním patře se nacházejí klasické Aristotelovy kategoriální významy složených substancí (λόγοι, ἔννοια). Ty jsou odlišné od vyššího intelektuálního poznání (νοήσεις) nemateriálních a oddělených forem bytí.</w:t>
      </w:r>
      <w:r w:rsidR="083441A5" w:rsidRPr="003D1E07">
        <w:t xml:space="preserve"> </w:t>
      </w:r>
      <w:r w:rsidR="00A62FB7" w:rsidRPr="003D1E07">
        <w:t xml:space="preserve">Signifikace na úrovni jazyka </w:t>
      </w:r>
      <w:r w:rsidR="083441A5" w:rsidRPr="003D1E07">
        <w:t>u Simplikia určuje nejzazší hranici aktuální smyslové duše a současně nejspodnější hranici oddělených forem</w:t>
      </w:r>
      <w:r w:rsidR="08BB1D66" w:rsidRPr="003D1E07">
        <w:t xml:space="preserve"> (ἔστιν ἡ φωνὴ πέρας τῆς ψυχικῆς ἐνεργείας, </w:t>
      </w:r>
      <w:r w:rsidR="08BB1D66" w:rsidRPr="003D1E07">
        <w:rPr>
          <w:i/>
        </w:rPr>
        <w:t>Simpl. in Cat.</w:t>
      </w:r>
      <w:r w:rsidR="08BB1D66" w:rsidRPr="003D1E07">
        <w:t xml:space="preserve"> 13.4</w:t>
      </w:r>
      <w:r w:rsidR="00126127" w:rsidRPr="003D1E07">
        <w:t>–5</w:t>
      </w:r>
      <w:r w:rsidR="08BB1D66" w:rsidRPr="003D1E07">
        <w:fldChar w:fldCharType="begin"/>
      </w:r>
      <w:r w:rsidR="08BB1D66" w:rsidRPr="003D1E07">
        <w:instrText xml:space="preserve"> XE "Simplikius:</w:instrText>
      </w:r>
      <w:r w:rsidR="08BB1D66" w:rsidRPr="003D1E07">
        <w:rPr>
          <w:i/>
        </w:rPr>
        <w:instrText>Simpl</w:instrText>
      </w:r>
      <w:r w:rsidR="08BB1D66" w:rsidRPr="003D1E07">
        <w:instrText xml:space="preserve">. </w:instrText>
      </w:r>
      <w:r w:rsidR="08BB1D66" w:rsidRPr="003D1E07">
        <w:rPr>
          <w:i/>
        </w:rPr>
        <w:instrText>in Cat</w:instrText>
      </w:r>
      <w:r w:rsidR="08BB1D66" w:rsidRPr="003D1E07">
        <w:instrText xml:space="preserve">. 13.4‒5" </w:instrText>
      </w:r>
      <w:r w:rsidR="08BB1D66" w:rsidRPr="003D1E07">
        <w:fldChar w:fldCharType="end"/>
      </w:r>
      <w:r w:rsidR="08BB1D66" w:rsidRPr="003D1E07">
        <w:t>)</w:t>
      </w:r>
      <w:r w:rsidR="083441A5" w:rsidRPr="003D1E07">
        <w:t xml:space="preserve">. Tato hranice se musí překročit a duše zaměří své poznání k vyšším příčinám bytí (ἐπιστρέφειν εἰς τὰς ἀρχάς, </w:t>
      </w:r>
      <w:r w:rsidR="083441A5" w:rsidRPr="003D1E07">
        <w:rPr>
          <w:i/>
        </w:rPr>
        <w:t>Simpl. in Cat.</w:t>
      </w:r>
      <w:r w:rsidR="08BB1D66" w:rsidRPr="003D1E07">
        <w:t xml:space="preserve"> 13.5</w:t>
      </w:r>
      <w:r w:rsidR="083441A5" w:rsidRPr="003D1E07">
        <w:t>–6</w:t>
      </w:r>
      <w:r w:rsidR="083441A5" w:rsidRPr="003D1E07">
        <w:fldChar w:fldCharType="begin"/>
      </w:r>
      <w:r w:rsidR="083441A5" w:rsidRPr="003D1E07">
        <w:instrText xml:space="preserve"> XE "Simplikius:</w:instrText>
      </w:r>
      <w:r w:rsidR="083441A5" w:rsidRPr="003D1E07">
        <w:rPr>
          <w:i/>
        </w:rPr>
        <w:instrText>Simpl</w:instrText>
      </w:r>
      <w:r w:rsidR="083441A5" w:rsidRPr="003D1E07">
        <w:instrText xml:space="preserve">. </w:instrText>
      </w:r>
      <w:r w:rsidR="083441A5" w:rsidRPr="003D1E07">
        <w:rPr>
          <w:i/>
        </w:rPr>
        <w:instrText>in Cat</w:instrText>
      </w:r>
      <w:r w:rsidR="083441A5" w:rsidRPr="003D1E07">
        <w:instrText>. 13.</w:instrText>
      </w:r>
      <w:r w:rsidR="08BB1D66" w:rsidRPr="003D1E07">
        <w:instrText>5</w:instrText>
      </w:r>
      <w:r w:rsidR="083441A5" w:rsidRPr="003D1E07">
        <w:instrText xml:space="preserve">‒6" </w:instrText>
      </w:r>
      <w:r w:rsidR="083441A5" w:rsidRPr="003D1E07">
        <w:fldChar w:fldCharType="end"/>
      </w:r>
      <w:r w:rsidR="083441A5" w:rsidRPr="003D1E07">
        <w:t xml:space="preserve">). </w:t>
      </w:r>
      <w:r w:rsidR="002E32DA" w:rsidRPr="003D1E07">
        <w:t xml:space="preserve">Simplikius </w:t>
      </w:r>
      <w:r w:rsidR="08AC4332" w:rsidRPr="003D1E07">
        <w:t xml:space="preserve">v </w:t>
      </w:r>
      <w:r w:rsidR="00893D1A" w:rsidRPr="003D1E07">
        <w:t>komen</w:t>
      </w:r>
      <w:r w:rsidR="00D36CA4" w:rsidRPr="003D1E07">
        <w:t xml:space="preserve">táři ke </w:t>
      </w:r>
      <w:r w:rsidR="00D36CA4" w:rsidRPr="003D1E07">
        <w:rPr>
          <w:i/>
        </w:rPr>
        <w:t>Kategoriím</w:t>
      </w:r>
      <w:r w:rsidR="00D36CA4" w:rsidRPr="003D1E07">
        <w:t xml:space="preserve"> </w:t>
      </w:r>
      <w:r w:rsidR="08AC4332" w:rsidRPr="003D1E07">
        <w:t xml:space="preserve">znal </w:t>
      </w:r>
      <w:r w:rsidR="00893D1A" w:rsidRPr="003D1E07">
        <w:t xml:space="preserve">aristotelský výklad </w:t>
      </w:r>
      <w:r w:rsidR="002E32DA" w:rsidRPr="003D1E07">
        <w:t xml:space="preserve">charakterizující </w:t>
      </w:r>
      <w:r w:rsidR="0008124A" w:rsidRPr="003D1E07">
        <w:t>eminentní pozici prv</w:t>
      </w:r>
      <w:r w:rsidR="002E32DA" w:rsidRPr="003D1E07">
        <w:t>ní substance</w:t>
      </w:r>
      <w:r w:rsidR="0053067C" w:rsidRPr="003D1E07">
        <w:t xml:space="preserve"> determinující signifikaci</w:t>
      </w:r>
      <w:r w:rsidR="00A005C3">
        <w:t xml:space="preserve"> skrze impozici</w:t>
      </w:r>
      <w:r w:rsidR="0044593E" w:rsidRPr="003D1E07">
        <w:rPr>
          <w:i/>
        </w:rPr>
        <w:fldChar w:fldCharType="begin"/>
      </w:r>
      <w:r w:rsidR="0044593E" w:rsidRPr="003D1E07">
        <w:instrText xml:space="preserve"> XE "</w:instrText>
      </w:r>
      <w:r w:rsidR="0044593E" w:rsidRPr="003D1E07">
        <w:rPr>
          <w:rStyle w:val="Zvraznn"/>
          <w:i w:val="0"/>
        </w:rPr>
        <w:instrText>signifikace</w:instrText>
      </w:r>
      <w:r w:rsidR="0044593E" w:rsidRPr="003D1E07">
        <w:instrText>:</w:instrText>
      </w:r>
      <w:r w:rsidR="008E02F5" w:rsidRPr="003D1E07">
        <w:instrText>Aristoteles</w:instrText>
      </w:r>
      <w:r w:rsidR="0044593E" w:rsidRPr="003D1E07">
        <w:instrText xml:space="preserve">" </w:instrText>
      </w:r>
      <w:r w:rsidR="0044593E" w:rsidRPr="003D1E07">
        <w:rPr>
          <w:i/>
        </w:rPr>
        <w:fldChar w:fldCharType="end"/>
      </w:r>
      <w:r w:rsidR="08B23ACC" w:rsidRPr="003D1E07">
        <w:t xml:space="preserve">. Ale patřil ke </w:t>
      </w:r>
      <w:r w:rsidR="00893D1A" w:rsidRPr="003D1E07">
        <w:t>skupině vykladačů</w:t>
      </w:r>
      <w:r w:rsidR="004600CF" w:rsidRPr="003D1E07">
        <w:t xml:space="preserve"> orientovaných na </w:t>
      </w:r>
      <w:r w:rsidR="08B23ACC" w:rsidRPr="003D1E07">
        <w:t xml:space="preserve">primát </w:t>
      </w:r>
      <w:r w:rsidR="004600CF" w:rsidRPr="003D1E07">
        <w:t>pro</w:t>
      </w:r>
      <w:r w:rsidR="00564606" w:rsidRPr="003D1E07">
        <w:t>hyp</w:t>
      </w:r>
      <w:r w:rsidR="004600CF" w:rsidRPr="003D1E07">
        <w:t>archické</w:t>
      </w:r>
      <w:r w:rsidR="08B23ACC" w:rsidRPr="003D1E07">
        <w:t>ho</w:t>
      </w:r>
      <w:r w:rsidR="004600CF" w:rsidRPr="003D1E07">
        <w:t xml:space="preserve"> určení jsoucna</w:t>
      </w:r>
      <w:r w:rsidR="00893D1A" w:rsidRPr="003D1E07">
        <w:t xml:space="preserve">, proto </w:t>
      </w:r>
      <w:r w:rsidR="002E32DA" w:rsidRPr="003D1E07">
        <w:t>zásadně změnil význam</w:t>
      </w:r>
      <w:r w:rsidR="004600CF" w:rsidRPr="003D1E07">
        <w:t xml:space="preserve"> kategorií</w:t>
      </w:r>
      <w:r w:rsidR="002E32DA" w:rsidRPr="003D1E07">
        <w:t xml:space="preserve">. Univerzalita daná v rámci deseti kategorií </w:t>
      </w:r>
      <w:r w:rsidR="00564606" w:rsidRPr="003D1E07">
        <w:t xml:space="preserve">původně </w:t>
      </w:r>
      <w:r w:rsidR="002E32DA" w:rsidRPr="003D1E07">
        <w:t>urč</w:t>
      </w:r>
      <w:r w:rsidR="00564606" w:rsidRPr="003D1E07">
        <w:t xml:space="preserve">ovala </w:t>
      </w:r>
      <w:r w:rsidR="002E32DA" w:rsidRPr="003D1E07">
        <w:t>materiální a smyslově poznávanou první substanci</w:t>
      </w:r>
      <w:r w:rsidR="00564606" w:rsidRPr="003D1E07">
        <w:t xml:space="preserve">. Taková predikace </w:t>
      </w:r>
      <w:r w:rsidR="002E32DA" w:rsidRPr="003D1E07">
        <w:t>je pro Simplikia pouze homonymická</w:t>
      </w:r>
      <w:r w:rsidR="001F1C9D" w:rsidRPr="003D1E07">
        <w:t>,</w:t>
      </w:r>
      <w:r w:rsidR="002E32DA" w:rsidRPr="003D1E07">
        <w:t xml:space="preserve"> protože jednota predikátů je daná pouze nominálně.</w:t>
      </w:r>
      <w:r w:rsidR="002E32DA" w:rsidRPr="003D1E07">
        <w:rPr>
          <w:rStyle w:val="Znakapoznpodarou"/>
        </w:rPr>
        <w:footnoteReference w:id="66"/>
      </w:r>
      <w:r w:rsidR="002E32DA" w:rsidRPr="003D1E07">
        <w:t xml:space="preserve"> Skutečná jednota jsoucna nastává až na úrovni </w:t>
      </w:r>
      <w:r w:rsidR="00F611CA" w:rsidRPr="003D1E07">
        <w:t xml:space="preserve">univoční </w:t>
      </w:r>
      <w:r w:rsidR="082B7688" w:rsidRPr="003D1E07">
        <w:t>predikace podle Ploti</w:t>
      </w:r>
      <w:r w:rsidR="002E32DA" w:rsidRPr="003D1E07">
        <w:t>nových rodů</w:t>
      </w:r>
      <w:r w:rsidR="00F8002C" w:rsidRPr="003D1E07">
        <w:t xml:space="preserve">. </w:t>
      </w:r>
      <w:r w:rsidR="082B7688" w:rsidRPr="003D1E07">
        <w:t xml:space="preserve">Simplikius </w:t>
      </w:r>
      <w:r w:rsidR="00F8002C" w:rsidRPr="003D1E07">
        <w:t>považoval tuto predikac</w:t>
      </w:r>
      <w:r w:rsidR="001954BA" w:rsidRPr="003D1E07">
        <w:t>i</w:t>
      </w:r>
      <w:r w:rsidR="00F8002C" w:rsidRPr="003D1E07">
        <w:t xml:space="preserve"> za skutečné a pravdivé naplnění „a</w:t>
      </w:r>
      <w:r w:rsidR="082B7688" w:rsidRPr="003D1E07">
        <w:t>ristotelské</w:t>
      </w:r>
      <w:r w:rsidR="00F8002C" w:rsidRPr="003D1E07">
        <w:t>“</w:t>
      </w:r>
      <w:r w:rsidR="082B7688" w:rsidRPr="003D1E07">
        <w:t xml:space="preserve"> kategoriální predikace</w:t>
      </w:r>
      <w:r w:rsidR="002E32DA" w:rsidRPr="003D1E07">
        <w:t xml:space="preserve">. </w:t>
      </w:r>
      <w:r w:rsidR="08AC4332" w:rsidRPr="003D1E07">
        <w:t xml:space="preserve">Tuto mesalianci mezi první a druhou substancí Aristoteles vyloučil odkazem na potenciální charakter signifikace daný pouze </w:t>
      </w:r>
      <w:r w:rsidRPr="003D1E07">
        <w:t>vzhledem k aktuální první substanci</w:t>
      </w:r>
      <w:r w:rsidR="08AC4332" w:rsidRPr="003D1E07">
        <w:t>. Signifikaci determinuje akcidentální a receptivní charakter lidského poznání vztažený k aktuální realitě první substance skrze univerzální poznání ve smyslově-intelektuální duši a skrze jazyk daný úmluvou (</w:t>
      </w:r>
      <w:r w:rsidR="08AC4332" w:rsidRPr="003D1E07">
        <w:rPr>
          <w:i/>
        </w:rPr>
        <w:t xml:space="preserve">De Int. </w:t>
      </w:r>
      <w:r w:rsidR="08AC4332" w:rsidRPr="003D1E07">
        <w:t>16a3–8</w:t>
      </w:r>
      <w:r w:rsidR="08AC4332" w:rsidRPr="003D1E07">
        <w:fldChar w:fldCharType="begin"/>
      </w:r>
      <w:r w:rsidR="08AC4332" w:rsidRPr="003D1E07">
        <w:instrText xml:space="preserve"> XE "Aristoteles:</w:instrText>
      </w:r>
      <w:r w:rsidR="08AC4332" w:rsidRPr="003D1E07">
        <w:rPr>
          <w:i/>
        </w:rPr>
        <w:instrText xml:space="preserve"> De Int. </w:instrText>
      </w:r>
      <w:r w:rsidR="08AC4332" w:rsidRPr="003D1E07">
        <w:instrText xml:space="preserve">16a3–8" </w:instrText>
      </w:r>
      <w:r w:rsidR="08AC4332" w:rsidRPr="003D1E07">
        <w:fldChar w:fldCharType="end"/>
      </w:r>
      <w:r w:rsidR="08AC4332" w:rsidRPr="003D1E07">
        <w:t>). Simplikius zrušil p</w:t>
      </w:r>
      <w:r w:rsidR="002E32DA" w:rsidRPr="003D1E07">
        <w:t xml:space="preserve">ůvodní smysl univoční predikace, který </w:t>
      </w:r>
      <w:r w:rsidR="08996D40" w:rsidRPr="003D1E07">
        <w:t xml:space="preserve">ještě </w:t>
      </w:r>
      <w:r w:rsidR="002E32DA" w:rsidRPr="003D1E07">
        <w:t>bránil</w:t>
      </w:r>
      <w:r w:rsidR="005D725E" w:rsidRPr="003D1E07">
        <w:t>y</w:t>
      </w:r>
      <w:r w:rsidR="002E32DA" w:rsidRPr="003D1E07">
        <w:t xml:space="preserve"> </w:t>
      </w:r>
      <w:r w:rsidR="005D725E" w:rsidRPr="003D1E07">
        <w:t xml:space="preserve">oba </w:t>
      </w:r>
      <w:r w:rsidR="08B5005B" w:rsidRPr="003D1E07">
        <w:t xml:space="preserve">dochované </w:t>
      </w:r>
      <w:r w:rsidR="00BB45B1" w:rsidRPr="003D1E07">
        <w:t>Porfyri</w:t>
      </w:r>
      <w:r w:rsidR="005D0279" w:rsidRPr="003D1E07">
        <w:t xml:space="preserve">ovy </w:t>
      </w:r>
      <w:r w:rsidR="002E32DA" w:rsidRPr="003D1E07">
        <w:t>komentář</w:t>
      </w:r>
      <w:r w:rsidR="005D725E" w:rsidRPr="003D1E07">
        <w:t>e</w:t>
      </w:r>
      <w:r w:rsidR="002E32DA" w:rsidRPr="003D1E07">
        <w:t xml:space="preserve"> </w:t>
      </w:r>
      <w:r w:rsidR="005D0279" w:rsidRPr="003D1E07">
        <w:rPr>
          <w:i/>
        </w:rPr>
        <w:t>Kategorií</w:t>
      </w:r>
      <w:r w:rsidR="002E32DA" w:rsidRPr="003D1E07">
        <w:t xml:space="preserve">. </w:t>
      </w:r>
      <w:r w:rsidR="00731F51" w:rsidRPr="003D1E07">
        <w:t xml:space="preserve">V </w:t>
      </w:r>
      <w:r w:rsidR="00874074" w:rsidRPr="003D1E07">
        <w:t>neoplatonsk</w:t>
      </w:r>
      <w:r w:rsidR="00731F51" w:rsidRPr="003D1E07">
        <w:t>é škole už p</w:t>
      </w:r>
      <w:r w:rsidR="002E32DA" w:rsidRPr="003D1E07">
        <w:t xml:space="preserve">oznání </w:t>
      </w:r>
      <w:r w:rsidR="00731F51" w:rsidRPr="003D1E07">
        <w:t xml:space="preserve">není </w:t>
      </w:r>
      <w:r w:rsidR="002E32DA" w:rsidRPr="003D1E07">
        <w:t>kauzálně determinován</w:t>
      </w:r>
      <w:r w:rsidR="007B6A41" w:rsidRPr="003D1E07">
        <w:t>o</w:t>
      </w:r>
      <w:r w:rsidR="002E32DA" w:rsidRPr="003D1E07">
        <w:t xml:space="preserve"> reálnou první substancí. </w:t>
      </w:r>
      <w:r w:rsidR="007D22F9" w:rsidRPr="003D1E07">
        <w:t>Simplikiovy substance-species</w:t>
      </w:r>
      <w:r w:rsidR="0069566A">
        <w:t xml:space="preserve"> se změnila na universálii</w:t>
      </w:r>
      <w:r w:rsidR="007D22F9" w:rsidRPr="003D1E07">
        <w:t xml:space="preserve">. </w:t>
      </w:r>
      <w:r w:rsidR="009866C2" w:rsidRPr="003D1E07">
        <w:t>Pozdější spor o univerzália představuje němého s</w:t>
      </w:r>
      <w:r w:rsidR="002E32DA" w:rsidRPr="003D1E07">
        <w:t>vědk</w:t>
      </w:r>
      <w:r w:rsidR="00B2621B" w:rsidRPr="003D1E07">
        <w:t>a</w:t>
      </w:r>
      <w:r w:rsidR="002E32DA" w:rsidRPr="003D1E07">
        <w:t xml:space="preserve"> </w:t>
      </w:r>
      <w:r w:rsidR="002E32DA" w:rsidRPr="003D1E07">
        <w:rPr>
          <w:i/>
        </w:rPr>
        <w:t>Seinsvergessenheit</w:t>
      </w:r>
      <w:r w:rsidR="00C73EF0" w:rsidRPr="003D1E07">
        <w:rPr>
          <w:i/>
        </w:rPr>
        <w:fldChar w:fldCharType="begin"/>
      </w:r>
      <w:r w:rsidR="00C73EF0" w:rsidRPr="003D1E07">
        <w:instrText xml:space="preserve"> XE "</w:instrText>
      </w:r>
      <w:r w:rsidR="00C73EF0" w:rsidRPr="003D1E07">
        <w:rPr>
          <w:i/>
        </w:rPr>
        <w:instrText>Seinsvergessenheit</w:instrText>
      </w:r>
      <w:r w:rsidR="00C73EF0" w:rsidRPr="003D1E07">
        <w:instrText xml:space="preserve">" </w:instrText>
      </w:r>
      <w:r w:rsidR="00C73EF0" w:rsidRPr="003D1E07">
        <w:rPr>
          <w:i/>
        </w:rPr>
        <w:fldChar w:fldCharType="end"/>
      </w:r>
      <w:r w:rsidR="002E32DA" w:rsidRPr="003D1E07">
        <w:t xml:space="preserve"> uvnitř </w:t>
      </w:r>
      <w:r w:rsidR="086036ED" w:rsidRPr="003D1E07">
        <w:t xml:space="preserve">neoplatonské </w:t>
      </w:r>
      <w:r w:rsidR="002E32DA" w:rsidRPr="003D1E07">
        <w:t>metafyziky</w:t>
      </w:r>
      <w:r w:rsidR="00557174" w:rsidRPr="003D1E07">
        <w:t xml:space="preserve">. </w:t>
      </w:r>
      <w:r w:rsidR="086036ED" w:rsidRPr="003D1E07">
        <w:t xml:space="preserve">Spor o univerzália </w:t>
      </w:r>
      <w:r w:rsidR="002E32DA" w:rsidRPr="003D1E07">
        <w:t>vy</w:t>
      </w:r>
      <w:r w:rsidR="007B6A41" w:rsidRPr="003D1E07">
        <w:t xml:space="preserve">těsnil v západní metafyzice </w:t>
      </w:r>
      <w:r w:rsidR="007D22F9" w:rsidRPr="003D1E07">
        <w:t xml:space="preserve">způsob, jak probíhá donace </w:t>
      </w:r>
      <w:r w:rsidR="00350FCA" w:rsidRPr="003D1E07">
        <w:t xml:space="preserve">metafyzické </w:t>
      </w:r>
      <w:r w:rsidR="007D22F9" w:rsidRPr="003D1E07">
        <w:t>jsoucnosti skrze první substanci</w:t>
      </w:r>
      <w:r w:rsidR="002E32DA" w:rsidRPr="003D1E07">
        <w:t xml:space="preserve">. </w:t>
      </w:r>
      <w:r w:rsidR="007D22F9" w:rsidRPr="003D1E07">
        <w:t xml:space="preserve">Změna donace z první substance na </w:t>
      </w:r>
      <w:r w:rsidR="007D22F9" w:rsidRPr="003D1E07">
        <w:rPr>
          <w:i/>
        </w:rPr>
        <w:t>tertium ens</w:t>
      </w:r>
      <w:r w:rsidR="007D22F9" w:rsidRPr="003D1E07">
        <w:t xml:space="preserve"> provedla transformaci </w:t>
      </w:r>
      <w:r w:rsidR="00557174" w:rsidRPr="003D1E07">
        <w:rPr>
          <w:i/>
        </w:rPr>
        <w:t>dativus metaphysicus</w:t>
      </w:r>
      <w:r w:rsidR="00CC0379" w:rsidRPr="003D1E07">
        <w:rPr>
          <w:i/>
        </w:rPr>
        <w:fldChar w:fldCharType="begin"/>
      </w:r>
      <w:r w:rsidR="00CC0379" w:rsidRPr="003D1E07">
        <w:instrText xml:space="preserve"> XE "</w:instrText>
      </w:r>
      <w:r w:rsidR="00CC0379" w:rsidRPr="003D1E07">
        <w:rPr>
          <w:i/>
        </w:rPr>
        <w:instrText>dativus metaphysicus</w:instrText>
      </w:r>
      <w:r w:rsidR="00CC0379" w:rsidRPr="003D1E07">
        <w:instrText xml:space="preserve">" </w:instrText>
      </w:r>
      <w:r w:rsidR="00CC0379" w:rsidRPr="003D1E07">
        <w:rPr>
          <w:i/>
        </w:rPr>
        <w:fldChar w:fldCharType="end"/>
      </w:r>
      <w:r w:rsidR="00557174" w:rsidRPr="003D1E07">
        <w:t xml:space="preserve"> na jeho novou podobu. </w:t>
      </w:r>
      <w:r w:rsidR="002E32DA" w:rsidRPr="003D1E07">
        <w:t xml:space="preserve">Souběhem myšlení Jamblicha a Simplikia ohledně substance třetího druhu vzniká v první polovině 6. století nový koncept jsoucna. V tomto náhledu se sbíhá dvojí predikace </w:t>
      </w:r>
      <w:r w:rsidR="002E32DA" w:rsidRPr="003D1E07">
        <w:rPr>
          <w:i/>
        </w:rPr>
        <w:t>per prius</w:t>
      </w:r>
      <w:r w:rsidR="002E32DA" w:rsidRPr="003D1E07">
        <w:t>, která představuj</w:t>
      </w:r>
      <w:r w:rsidR="08174940" w:rsidRPr="003D1E07">
        <w:t xml:space="preserve">e dvojí pojetí jednoty </w:t>
      </w:r>
      <w:r w:rsidR="08174940" w:rsidRPr="003D1E07">
        <w:lastRenderedPageBreak/>
        <w:t xml:space="preserve">jsoucna </w:t>
      </w:r>
      <w:r w:rsidR="002E32DA" w:rsidRPr="003D1E07">
        <w:rPr>
          <w:i/>
        </w:rPr>
        <w:t>ad unum</w:t>
      </w:r>
      <w:r w:rsidR="08174940" w:rsidRPr="003D1E07">
        <w:t xml:space="preserve">. První predikace je </w:t>
      </w:r>
      <w:r w:rsidR="002E32DA" w:rsidRPr="003D1E07">
        <w:t>substančně-kategoriální (</w:t>
      </w:r>
      <w:r w:rsidR="008E02F5" w:rsidRPr="003D1E07">
        <w:t>Aristoteles</w:t>
      </w:r>
      <w:r w:rsidR="002E32DA" w:rsidRPr="003D1E07">
        <w:rPr>
          <w:caps/>
        </w:rPr>
        <w:t xml:space="preserve">) </w:t>
      </w:r>
      <w:r w:rsidR="002E32DA" w:rsidRPr="003D1E07">
        <w:t xml:space="preserve">a </w:t>
      </w:r>
      <w:r w:rsidR="08174940" w:rsidRPr="003D1E07">
        <w:t xml:space="preserve">druhá predikace je </w:t>
      </w:r>
      <w:r w:rsidR="002E32DA" w:rsidRPr="003D1E07">
        <w:t>genericky-transcendentální (</w:t>
      </w:r>
      <w:r w:rsidR="008E02F5" w:rsidRPr="003D1E07">
        <w:t>Platon</w:t>
      </w:r>
      <w:r w:rsidR="086D20B3" w:rsidRPr="003D1E07">
        <w:t>, Plotin</w:t>
      </w:r>
      <w:r w:rsidR="002E32DA" w:rsidRPr="003D1E07">
        <w:t>)</w:t>
      </w:r>
      <w:r w:rsidR="086D20B3" w:rsidRPr="003D1E07">
        <w:t xml:space="preserve">. </w:t>
      </w:r>
      <w:r w:rsidR="00D51810" w:rsidRPr="003D1E07">
        <w:t xml:space="preserve">Celý vývoj rozbíhá </w:t>
      </w:r>
      <w:r w:rsidR="08525C9B" w:rsidRPr="003D1E07">
        <w:t>Porfyrius</w:t>
      </w:r>
      <w:r w:rsidR="08E34268" w:rsidRPr="003D1E07">
        <w:t xml:space="preserve"> a jeho ambivalentní koncept nedělitelné substance</w:t>
      </w:r>
      <w:r w:rsidR="00D51810" w:rsidRPr="003D1E07">
        <w:t xml:space="preserve"> </w:t>
      </w:r>
      <w:r w:rsidR="00E71D11" w:rsidRPr="003D1E07">
        <w:fldChar w:fldCharType="begin"/>
      </w:r>
      <w:r w:rsidR="00E71D11" w:rsidRPr="003D1E07">
        <w:instrText xml:space="preserve"> XE "substance:atomární" </w:instrText>
      </w:r>
      <w:r w:rsidR="00E71D11" w:rsidRPr="003D1E07">
        <w:fldChar w:fldCharType="end"/>
      </w:r>
      <w:r w:rsidR="08E34268" w:rsidRPr="003D1E07">
        <w:t xml:space="preserve">analyzované v </w:t>
      </w:r>
      <w:r w:rsidR="08E34268" w:rsidRPr="003D1E07">
        <w:rPr>
          <w:i/>
        </w:rPr>
        <w:t>Isagoge</w:t>
      </w:r>
      <w:r w:rsidR="00D51810" w:rsidRPr="003D1E07">
        <w:t xml:space="preserve"> (kap. 1.</w:t>
      </w:r>
      <w:r w:rsidR="08AF6B7D" w:rsidRPr="003D1E07">
        <w:t>3</w:t>
      </w:r>
      <w:r w:rsidR="00D51810" w:rsidRPr="003D1E07">
        <w:t xml:space="preserve">). Tento koncept dostane v další generaci neoplatoniků charakter dvojího druhu. Substance je navázána na </w:t>
      </w:r>
      <w:r w:rsidR="08E34268" w:rsidRPr="003D1E07">
        <w:t xml:space="preserve">svět trvale existujících nemateriálních kosmických forem, což dává vyšší mystické </w:t>
      </w:r>
      <w:r w:rsidR="00D51810" w:rsidRPr="003D1E07">
        <w:t xml:space="preserve">určení </w:t>
      </w:r>
      <w:r w:rsidR="08E34268" w:rsidRPr="003D1E07">
        <w:t xml:space="preserve">metafyziky </w:t>
      </w:r>
      <w:r w:rsidR="00D51810" w:rsidRPr="003D1E07">
        <w:t xml:space="preserve">na úrovni </w:t>
      </w:r>
      <w:r w:rsidR="08E34268" w:rsidRPr="003D1E07">
        <w:t>predikace substancí-</w:t>
      </w:r>
      <w:r w:rsidR="00F214C5" w:rsidRPr="003D1E07">
        <w:t>species</w:t>
      </w:r>
      <w:r w:rsidR="0044593E" w:rsidRPr="003D1E07">
        <w:rPr>
          <w:i/>
        </w:rPr>
        <w:fldChar w:fldCharType="begin"/>
      </w:r>
      <w:r w:rsidR="0044593E" w:rsidRPr="003D1E07">
        <w:instrText xml:space="preserve"> XE "substance:</w:instrText>
      </w:r>
      <w:r w:rsidR="0044593E" w:rsidRPr="003D1E07">
        <w:rPr>
          <w:i/>
        </w:rPr>
        <w:instrText>species</w:instrText>
      </w:r>
      <w:r w:rsidR="0044593E" w:rsidRPr="003D1E07">
        <w:instrText xml:space="preserve">" </w:instrText>
      </w:r>
      <w:r w:rsidR="0044593E" w:rsidRPr="003D1E07">
        <w:rPr>
          <w:i/>
        </w:rPr>
        <w:fldChar w:fldCharType="end"/>
      </w:r>
      <w:r w:rsidR="08E34268" w:rsidRPr="003D1E07">
        <w:t xml:space="preserve"> pro objektivně vidoucí ilumináty. Nedělitelná substance ale současně existuje jako </w:t>
      </w:r>
      <w:r w:rsidR="00D51810" w:rsidRPr="003D1E07">
        <w:t xml:space="preserve">materiální těleso </w:t>
      </w:r>
      <w:r w:rsidR="08E34268" w:rsidRPr="003D1E07">
        <w:t>na smyslově dané rovině po</w:t>
      </w:r>
      <w:r w:rsidR="086D1D27" w:rsidRPr="003D1E07">
        <w:t xml:space="preserve">znání, což zakládá </w:t>
      </w:r>
      <w:r w:rsidR="00493DF9">
        <w:t>„</w:t>
      </w:r>
      <w:r w:rsidR="086D1D27" w:rsidRPr="003D1E07">
        <w:t>nižší</w:t>
      </w:r>
      <w:r w:rsidR="00493DF9">
        <w:t>“</w:t>
      </w:r>
      <w:r w:rsidR="086D1D27" w:rsidRPr="003D1E07">
        <w:t xml:space="preserve"> aristotelské</w:t>
      </w:r>
      <w:r w:rsidR="08E34268" w:rsidRPr="003D1E07">
        <w:t xml:space="preserve"> určení metafyziky</w:t>
      </w:r>
      <w:r w:rsidR="00492DEE" w:rsidRPr="003D1E07">
        <w:t xml:space="preserve"> </w:t>
      </w:r>
      <w:r w:rsidR="08E34268" w:rsidRPr="003D1E07">
        <w:t xml:space="preserve">na úrovni </w:t>
      </w:r>
      <w:r w:rsidR="00493DF9">
        <w:t xml:space="preserve">reálné </w:t>
      </w:r>
      <w:r w:rsidR="08E34268" w:rsidRPr="003D1E07">
        <w:t>první substance</w:t>
      </w:r>
      <w:r w:rsidR="00D51810" w:rsidRPr="003D1E07">
        <w:t xml:space="preserve">. </w:t>
      </w:r>
      <w:r w:rsidR="08E10AED" w:rsidRPr="003D1E07">
        <w:t>Pohrdání realitou a Aristotelem jde ve škole akademických ilu</w:t>
      </w:r>
      <w:r w:rsidR="087C6E83" w:rsidRPr="003D1E07">
        <w:t xml:space="preserve">minátů ruku v ruce, což ukáže </w:t>
      </w:r>
      <w:r w:rsidR="08E10AED" w:rsidRPr="003D1E07">
        <w:t xml:space="preserve">další vývoj </w:t>
      </w:r>
      <w:r w:rsidR="089504FD" w:rsidRPr="003D1E07">
        <w:t xml:space="preserve">moderní </w:t>
      </w:r>
      <w:r w:rsidR="087C6E83" w:rsidRPr="003D1E07">
        <w:t xml:space="preserve">metafyziky </w:t>
      </w:r>
      <w:r w:rsidR="08E10AED" w:rsidRPr="003D1E07">
        <w:t xml:space="preserve">na latinském Západě. </w:t>
      </w:r>
      <w:r w:rsidR="002E32DA" w:rsidRPr="003D1E07">
        <w:t>Hyparchická funkce přešla z první a</w:t>
      </w:r>
      <w:r w:rsidR="081637CB" w:rsidRPr="003D1E07">
        <w:t xml:space="preserve"> nakonec i ze</w:t>
      </w:r>
      <w:r w:rsidR="002E32DA" w:rsidRPr="003D1E07">
        <w:t xml:space="preserve"> druhé substance na </w:t>
      </w:r>
      <w:r w:rsidR="001B02A6" w:rsidRPr="003D1E07">
        <w:t>univerzální určení jsoucn</w:t>
      </w:r>
      <w:r w:rsidR="00175420" w:rsidRPr="003D1E07">
        <w:t>a</w:t>
      </w:r>
      <w:r w:rsidR="080B0294" w:rsidRPr="003D1E07">
        <w:t xml:space="preserve"> v rámci </w:t>
      </w:r>
      <w:r w:rsidR="00F214C5" w:rsidRPr="003D1E07">
        <w:t>species</w:t>
      </w:r>
      <w:r w:rsidR="080B0294" w:rsidRPr="003D1E07">
        <w:t xml:space="preserve"> a </w:t>
      </w:r>
      <w:r w:rsidR="080B0294" w:rsidRPr="003D1E07">
        <w:rPr>
          <w:i/>
        </w:rPr>
        <w:t>individuum</w:t>
      </w:r>
      <w:r w:rsidR="00175420" w:rsidRPr="003D1E07">
        <w:t xml:space="preserve">. Tyto nové hypostáze </w:t>
      </w:r>
      <w:r w:rsidR="08C43FB3" w:rsidRPr="003D1E07">
        <w:t xml:space="preserve">se predikují ve škole </w:t>
      </w:r>
      <w:r w:rsidR="086C5CE1" w:rsidRPr="003D1E07">
        <w:t xml:space="preserve">antických </w:t>
      </w:r>
      <w:r w:rsidR="086C5CE1" w:rsidRPr="003D1E07">
        <w:rPr>
          <w:i/>
        </w:rPr>
        <w:t>Modernorum</w:t>
      </w:r>
      <w:r w:rsidR="086C5CE1" w:rsidRPr="003D1E07">
        <w:t xml:space="preserve"> </w:t>
      </w:r>
      <w:r w:rsidR="002E32DA" w:rsidRPr="003D1E07">
        <w:t xml:space="preserve">jako </w:t>
      </w:r>
      <w:r w:rsidR="001B02A6" w:rsidRPr="003D1E07">
        <w:t xml:space="preserve">reálné první </w:t>
      </w:r>
      <w:r w:rsidR="002E32DA" w:rsidRPr="003D1E07">
        <w:t xml:space="preserve">substance. Pohyb diference </w:t>
      </w:r>
      <w:r w:rsidR="00E56D6B" w:rsidRPr="003D1E07">
        <w:t xml:space="preserve">z rodu na druh nakonec zakládá již </w:t>
      </w:r>
      <w:r w:rsidR="002E32DA" w:rsidRPr="003D1E07">
        <w:t>nedělitelný význam atomární substance jako univerzálního individua (ἄτομος οὐσία</w:t>
      </w:r>
      <w:r w:rsidR="00372E82" w:rsidRPr="003D1E07">
        <w:fldChar w:fldCharType="begin"/>
      </w:r>
      <w:r w:rsidR="00372E82" w:rsidRPr="003D1E07">
        <w:instrText xml:space="preserve"> XE "substance:atomární" </w:instrText>
      </w:r>
      <w:r w:rsidR="00372E82" w:rsidRPr="003D1E07">
        <w:fldChar w:fldCharType="end"/>
      </w:r>
      <w:r w:rsidR="002E32DA" w:rsidRPr="003D1E07">
        <w:t xml:space="preserve">, </w:t>
      </w:r>
      <w:r w:rsidR="002E32DA" w:rsidRPr="003D1E07">
        <w:rPr>
          <w:i/>
        </w:rPr>
        <w:t>individuum</w:t>
      </w:r>
      <w:r w:rsidR="002E32DA" w:rsidRPr="003D1E07">
        <w:t xml:space="preserve">). </w:t>
      </w:r>
      <w:r w:rsidR="08345228" w:rsidRPr="003D1E07">
        <w:t xml:space="preserve">Tato analogicky daná konjunkce první a druhé substance je u Aristotela vyloučena. </w:t>
      </w:r>
      <w:r w:rsidR="089C6784" w:rsidRPr="003D1E07">
        <w:t xml:space="preserve">Liberův úvod ke kritickému vydání </w:t>
      </w:r>
      <w:r w:rsidR="089C6784" w:rsidRPr="003D1E07">
        <w:rPr>
          <w:i/>
        </w:rPr>
        <w:t>Isagoge</w:t>
      </w:r>
      <w:r w:rsidR="089C6784" w:rsidRPr="003D1E07">
        <w:t xml:space="preserve"> připomíná, že tuto druhou variantu substance jako super-rodu postaveného nad bytí dotáhnul do ontoteologické jednoty neoplatonik Jan Scotus Eurigena</w:t>
      </w:r>
      <w:r w:rsidR="089C6784" w:rsidRPr="003D1E07">
        <w:fldChar w:fldCharType="begin"/>
      </w:r>
      <w:r w:rsidR="089C6784" w:rsidRPr="003D1E07">
        <w:instrText xml:space="preserve"> XE "Eurigena, Scotus" </w:instrText>
      </w:r>
      <w:r w:rsidR="089C6784" w:rsidRPr="003D1E07">
        <w:fldChar w:fldCharType="end"/>
      </w:r>
      <w:r w:rsidR="089C6784" w:rsidRPr="003D1E07">
        <w:t xml:space="preserve"> (†877). Tento irský mnich dal první substanci (</w:t>
      </w:r>
      <w:r w:rsidR="089C6784" w:rsidRPr="003D1E07">
        <w:rPr>
          <w:i/>
        </w:rPr>
        <w:t>essentia</w:t>
      </w:r>
      <w:r w:rsidR="089C6784" w:rsidRPr="003D1E07">
        <w:t>) na vrchol pyramidy jsoucna jako nejvyšší rod, jehož postupným dělením lze sestoupit až na úroveň poslední, dále nedělitelné esence</w:t>
      </w:r>
      <w:r w:rsidR="089C6784" w:rsidRPr="003D1E07">
        <w:rPr>
          <w:i/>
          <w:iCs/>
        </w:rPr>
        <w:fldChar w:fldCharType="begin"/>
      </w:r>
      <w:r w:rsidR="089C6784" w:rsidRPr="003D1E07">
        <w:instrText xml:space="preserve"> XE "esence:neoplatonimus" </w:instrText>
      </w:r>
      <w:r w:rsidR="089C6784" w:rsidRPr="003D1E07">
        <w:rPr>
          <w:i/>
          <w:iCs/>
        </w:rPr>
        <w:fldChar w:fldCharType="end"/>
      </w:r>
      <w:r w:rsidR="089C6784" w:rsidRPr="003D1E07">
        <w:t xml:space="preserve"> (</w:t>
      </w:r>
      <w:r w:rsidR="089C6784" w:rsidRPr="003D1E07">
        <w:rPr>
          <w:i/>
        </w:rPr>
        <w:t>atomos</w:t>
      </w:r>
      <w:r w:rsidR="089C6784" w:rsidRPr="003D1E07">
        <w:t>).</w:t>
      </w:r>
      <w:r w:rsidR="089C6784" w:rsidRPr="003D1E07">
        <w:rPr>
          <w:rStyle w:val="Znakapoznpodarou"/>
        </w:rPr>
        <w:footnoteReference w:id="67"/>
      </w:r>
      <w:r w:rsidR="089C6784" w:rsidRPr="003D1E07">
        <w:t xml:space="preserve"> </w:t>
      </w:r>
      <w:r w:rsidR="002E32DA" w:rsidRPr="003D1E07">
        <w:t xml:space="preserve">Díky změněné </w:t>
      </w:r>
      <w:r w:rsidR="00C462D7" w:rsidRPr="003D1E07">
        <w:t xml:space="preserve">tabulce kategorií </w:t>
      </w:r>
      <w:r w:rsidR="002E32DA" w:rsidRPr="003D1E07">
        <w:t xml:space="preserve">vznikl nový logos jsoucna, který predikuje nový druh nedělitelnosti </w:t>
      </w:r>
      <w:r w:rsidR="00FF2889">
        <w:t xml:space="preserve">henologicky </w:t>
      </w:r>
      <w:r w:rsidR="002E32DA" w:rsidRPr="003D1E07">
        <w:t xml:space="preserve">směrem </w:t>
      </w:r>
      <w:r w:rsidR="0065251B" w:rsidRPr="003D1E07">
        <w:t>dolů (</w:t>
      </w:r>
      <w:r w:rsidR="0065251B" w:rsidRPr="003D1E07">
        <w:rPr>
          <w:i/>
        </w:rPr>
        <w:t>per prius</w:t>
      </w:r>
      <w:r w:rsidR="0065251B" w:rsidRPr="003D1E07">
        <w:t xml:space="preserve">) </w:t>
      </w:r>
      <w:r w:rsidR="0065251B">
        <w:t>i nahoru</w:t>
      </w:r>
      <w:r w:rsidR="002E32DA" w:rsidRPr="003D1E07">
        <w:t xml:space="preserve"> (</w:t>
      </w:r>
      <w:r w:rsidR="002E32DA" w:rsidRPr="003D1E07">
        <w:rPr>
          <w:i/>
        </w:rPr>
        <w:t>per posterius</w:t>
      </w:r>
      <w:r w:rsidR="002E32DA" w:rsidRPr="003D1E07">
        <w:t xml:space="preserve">). </w:t>
      </w:r>
      <w:r w:rsidR="088E0650" w:rsidRPr="003D1E07">
        <w:t xml:space="preserve">Původní minimální význam individua v aristotelském výkladu </w:t>
      </w:r>
      <w:r w:rsidR="088E0650" w:rsidRPr="003D1E07">
        <w:rPr>
          <w:i/>
        </w:rPr>
        <w:t>Isagoge</w:t>
      </w:r>
      <w:r w:rsidR="088E0650" w:rsidRPr="003D1E07">
        <w:t xml:space="preserve"> je kompletně vytěsněn a zapomenut</w:t>
      </w:r>
      <w:r w:rsidR="003E5A32" w:rsidRPr="003D1E07">
        <w:t xml:space="preserve"> v jeho neoplatonské verzi</w:t>
      </w:r>
      <w:r w:rsidR="088E0650" w:rsidRPr="003D1E07">
        <w:t xml:space="preserve">. </w:t>
      </w:r>
      <w:r w:rsidR="083B095D" w:rsidRPr="003D1E07">
        <w:t>Erín</w:t>
      </w:r>
      <w:r w:rsidR="081B59FD" w:rsidRPr="003D1E07">
        <w:t>y</w:t>
      </w:r>
      <w:r w:rsidR="085E2755" w:rsidRPr="003D1E07">
        <w:t>e</w:t>
      </w:r>
      <w:r w:rsidR="08FF1AD8" w:rsidRPr="003D1E07">
        <w:fldChar w:fldCharType="begin"/>
      </w:r>
      <w:r w:rsidR="08FF1AD8" w:rsidRPr="003D1E07">
        <w:instrText xml:space="preserve"> XE "</w:instrText>
      </w:r>
      <w:r w:rsidR="083B095D" w:rsidRPr="003D1E07">
        <w:instrText>Erín</w:instrText>
      </w:r>
      <w:r w:rsidR="081B59FD" w:rsidRPr="003D1E07">
        <w:instrText>y</w:instrText>
      </w:r>
      <w:r w:rsidR="08FF1AD8" w:rsidRPr="003D1E07">
        <w:instrText xml:space="preserve">e" </w:instrText>
      </w:r>
      <w:r w:rsidR="08FF1AD8" w:rsidRPr="003D1E07">
        <w:fldChar w:fldCharType="end"/>
      </w:r>
      <w:r w:rsidR="085E2755" w:rsidRPr="003D1E07">
        <w:t xml:space="preserve"> dokončily první etapu metafyzické pomsty zcela poeticky a mysticky. Individuum, které nemělo vůbec žádný vlastní univerzální význam a jen minimální bytí v mysli, se nyní nafouklo do kosmických rozměrů a stalo se principem nové metafyziky a nejdůležitější první substancí. </w:t>
      </w:r>
      <w:r w:rsidR="00EC1541" w:rsidRPr="003D1E07">
        <w:t xml:space="preserve">Událost změny vidění na poznání v rámci </w:t>
      </w:r>
      <w:r w:rsidR="00874074" w:rsidRPr="003D1E07">
        <w:t>neoplatonsk</w:t>
      </w:r>
      <w:r w:rsidR="00EC1541" w:rsidRPr="003D1E07">
        <w:t>é iluminace dala vznik nové formě metafyziky (</w:t>
      </w:r>
      <w:r w:rsidR="0044593E" w:rsidRPr="003D1E07">
        <w:rPr>
          <w:i/>
        </w:rPr>
        <w:fldChar w:fldCharType="begin"/>
      </w:r>
      <w:r w:rsidR="0044593E" w:rsidRPr="003D1E07">
        <w:instrText xml:space="preserve"> XE "</w:instrText>
      </w:r>
      <w:r w:rsidR="0044593E" w:rsidRPr="003D1E07">
        <w:rPr>
          <w:rStyle w:val="Zvraznn"/>
          <w:i w:val="0"/>
        </w:rPr>
        <w:instrText>metafyzika</w:instrText>
      </w:r>
      <w:r w:rsidR="0044593E" w:rsidRPr="003D1E07">
        <w:instrText>:</w:instrText>
      </w:r>
      <w:r w:rsidR="0044593E" w:rsidRPr="003D1E07">
        <w:rPr>
          <w:i/>
        </w:rPr>
        <w:instrText>Ereignis</w:instrText>
      </w:r>
      <w:r w:rsidR="0044593E" w:rsidRPr="003D1E07">
        <w:instrText xml:space="preserve">" </w:instrText>
      </w:r>
      <w:r w:rsidR="0044593E" w:rsidRPr="003D1E07">
        <w:rPr>
          <w:i/>
        </w:rPr>
        <w:fldChar w:fldCharType="end"/>
      </w:r>
      <w:r w:rsidR="00EC1541" w:rsidRPr="003D1E07">
        <w:rPr>
          <w:i/>
        </w:rPr>
        <w:t>Ereignis</w:t>
      </w:r>
      <w:r w:rsidR="00EC1541" w:rsidRPr="003D1E07">
        <w:t xml:space="preserve">). </w:t>
      </w:r>
      <w:r w:rsidR="08DA5A7C" w:rsidRPr="003D1E07">
        <w:t>Perspektiva</w:t>
      </w:r>
      <w:r w:rsidR="002E32DA" w:rsidRPr="003D1E07">
        <w:t xml:space="preserve"> náhledu na </w:t>
      </w:r>
      <w:r w:rsidR="002E32DA" w:rsidRPr="003D1E07">
        <w:lastRenderedPageBreak/>
        <w:t xml:space="preserve">celek jsoucího </w:t>
      </w:r>
      <w:r w:rsidR="08DA5A7C" w:rsidRPr="003D1E07">
        <w:t>(</w:t>
      </w:r>
      <w:r w:rsidR="08DA5A7C" w:rsidRPr="003D1E07">
        <w:rPr>
          <w:i/>
        </w:rPr>
        <w:t>Vor</w:t>
      </w:r>
      <w:r w:rsidR="08DA5A7C" w:rsidRPr="003D1E07">
        <w:rPr>
          <w:i/>
        </w:rPr>
        <w:noBreakHyphen/>
        <w:t>blickbahn</w:t>
      </w:r>
      <w:r w:rsidR="08DA5A7C" w:rsidRPr="003D1E07">
        <w:rPr>
          <w:i/>
        </w:rPr>
        <w:fldChar w:fldCharType="begin"/>
      </w:r>
      <w:r w:rsidR="08DA5A7C" w:rsidRPr="003D1E07">
        <w:instrText xml:space="preserve"> XE "</w:instrText>
      </w:r>
      <w:r w:rsidR="08DA5A7C" w:rsidRPr="003D1E07">
        <w:rPr>
          <w:i/>
        </w:rPr>
        <w:instrText>Vor</w:instrText>
      </w:r>
      <w:r w:rsidR="08106DC9" w:rsidRPr="003D1E07">
        <w:rPr>
          <w:i/>
        </w:rPr>
        <w:instrText>-</w:instrText>
      </w:r>
      <w:r w:rsidR="08DA5A7C" w:rsidRPr="003D1E07">
        <w:rPr>
          <w:i/>
        </w:rPr>
        <w:instrText>b</w:instrText>
      </w:r>
      <w:r w:rsidR="08DA5A7C" w:rsidRPr="003D1E07">
        <w:rPr>
          <w:i/>
          <w:iCs/>
        </w:rPr>
        <w:instrText>lickbahn</w:instrText>
      </w:r>
      <w:r w:rsidR="08DA5A7C" w:rsidRPr="003D1E07">
        <w:rPr>
          <w:iCs/>
        </w:rPr>
        <w:instrText>:objektivní</w:instrText>
      </w:r>
      <w:r w:rsidR="08DA5A7C" w:rsidRPr="003D1E07">
        <w:instrText xml:space="preserve">" </w:instrText>
      </w:r>
      <w:r w:rsidR="08DA5A7C" w:rsidRPr="003D1E07">
        <w:rPr>
          <w:i/>
        </w:rPr>
        <w:fldChar w:fldCharType="end"/>
      </w:r>
      <w:r w:rsidR="08DA5A7C" w:rsidRPr="003D1E07">
        <w:t xml:space="preserve">) se otočila od reálné první substance k jejímu simulákru třetího druhu daného v mysli </w:t>
      </w:r>
      <w:r w:rsidR="00FF2889">
        <w:t xml:space="preserve">moderních </w:t>
      </w:r>
      <w:r w:rsidR="08DA5A7C" w:rsidRPr="003D1E07">
        <w:t xml:space="preserve">iluminátů. Tato událost </w:t>
      </w:r>
      <w:r w:rsidR="08DA5A7C" w:rsidRPr="003D1E07">
        <w:rPr>
          <w:i/>
        </w:rPr>
        <w:t>translatio studiorum</w:t>
      </w:r>
      <w:r w:rsidR="08DA5A7C" w:rsidRPr="003D1E07">
        <w:rPr>
          <w:i/>
        </w:rPr>
        <w:fldChar w:fldCharType="begin"/>
      </w:r>
      <w:r w:rsidR="08DA5A7C" w:rsidRPr="003D1E07">
        <w:instrText xml:space="preserve"> XE "</w:instrText>
      </w:r>
      <w:r w:rsidR="08DA5A7C" w:rsidRPr="003D1E07">
        <w:rPr>
          <w:i/>
        </w:rPr>
        <w:instrText>translatio studiorum</w:instrText>
      </w:r>
      <w:r w:rsidR="08DA5A7C" w:rsidRPr="003D1E07">
        <w:instrText xml:space="preserve">" </w:instrText>
      </w:r>
      <w:r w:rsidR="08DA5A7C" w:rsidRPr="003D1E07">
        <w:rPr>
          <w:i/>
        </w:rPr>
        <w:fldChar w:fldCharType="end"/>
      </w:r>
      <w:r w:rsidR="08DA5A7C" w:rsidRPr="003D1E07">
        <w:t xml:space="preserve"> založila</w:t>
      </w:r>
      <w:r w:rsidR="00A01128" w:rsidRPr="003D1E07">
        <w:t xml:space="preserve"> novou f</w:t>
      </w:r>
      <w:r w:rsidR="00616AF5" w:rsidRPr="003D1E07">
        <w:t>ormu</w:t>
      </w:r>
      <w:r w:rsidR="087962EC" w:rsidRPr="003D1E07">
        <w:t xml:space="preserve"> osmyslnění jsoucna.</w:t>
      </w:r>
    </w:p>
    <w:p w14:paraId="4215CA2B" w14:textId="5B76CA90" w:rsidR="00D82D1D" w:rsidRDefault="00A01128" w:rsidP="00283389">
      <w:pPr>
        <w:ind w:firstLine="397"/>
      </w:pPr>
      <w:r w:rsidRPr="003D1E07">
        <w:t xml:space="preserve">Změna ve vidění jsoucna </w:t>
      </w:r>
      <w:r w:rsidR="002E32DA" w:rsidRPr="003D1E07">
        <w:t xml:space="preserve">nutně </w:t>
      </w:r>
      <w:r w:rsidRPr="003D1E07">
        <w:t>mění i aristotelské p</w:t>
      </w:r>
      <w:r w:rsidR="002E32DA" w:rsidRPr="003D1E07">
        <w:t>ojetí pravdy</w:t>
      </w:r>
      <w:r w:rsidRPr="003D1E07">
        <w:t xml:space="preserve"> jako adekvace intelektu </w:t>
      </w:r>
      <w:r w:rsidR="083C022D" w:rsidRPr="003D1E07">
        <w:t xml:space="preserve">a </w:t>
      </w:r>
      <w:r w:rsidRPr="003D1E07">
        <w:t>reálné věci</w:t>
      </w:r>
      <w:r w:rsidR="002E32DA" w:rsidRPr="003D1E07">
        <w:t xml:space="preserve">. </w:t>
      </w:r>
      <w:r w:rsidR="00174994" w:rsidRPr="003D1E07">
        <w:t xml:space="preserve">Aristotelské pojetí pravdivosti zakládá věta o identitě </w:t>
      </w:r>
      <w:r w:rsidR="08F67C6F" w:rsidRPr="003D1E07">
        <w:t xml:space="preserve">potenciálního </w:t>
      </w:r>
      <w:r w:rsidR="00174994" w:rsidRPr="003D1E07">
        <w:t xml:space="preserve">konceptu </w:t>
      </w:r>
      <w:r w:rsidR="001A7F45" w:rsidRPr="003D1E07">
        <w:t xml:space="preserve">(univerzalita </w:t>
      </w:r>
      <w:r w:rsidR="001A7F45" w:rsidRPr="003D1E07">
        <w:rPr>
          <w:i/>
        </w:rPr>
        <w:t>idem</w:t>
      </w:r>
      <w:r w:rsidR="001A7F45" w:rsidRPr="003D1E07">
        <w:t xml:space="preserve">) </w:t>
      </w:r>
      <w:r w:rsidR="00174994" w:rsidRPr="003D1E07">
        <w:t xml:space="preserve">s tím, co existuje </w:t>
      </w:r>
      <w:r w:rsidR="08F67C6F" w:rsidRPr="003D1E07">
        <w:t xml:space="preserve">aktuálně </w:t>
      </w:r>
      <w:r w:rsidR="00174994" w:rsidRPr="003D1E07">
        <w:t>v</w:t>
      </w:r>
      <w:r w:rsidR="001A7F45" w:rsidRPr="003D1E07">
        <w:t> </w:t>
      </w:r>
      <w:r w:rsidR="00174994" w:rsidRPr="003D1E07">
        <w:t>realitě</w:t>
      </w:r>
      <w:r w:rsidR="001A7F45" w:rsidRPr="003D1E07">
        <w:t xml:space="preserve"> (jedinečnost </w:t>
      </w:r>
      <w:r w:rsidR="001A7F45" w:rsidRPr="003D1E07">
        <w:rPr>
          <w:i/>
        </w:rPr>
        <w:t>ipse</w:t>
      </w:r>
      <w:r w:rsidR="001A7F45" w:rsidRPr="003D1E07">
        <w:t>)</w:t>
      </w:r>
      <w:r w:rsidR="00174994" w:rsidRPr="003D1E07">
        <w:t xml:space="preserve">. Pravdivá adekvace </w:t>
      </w:r>
      <w:r w:rsidR="08F67C6F" w:rsidRPr="003D1E07">
        <w:t xml:space="preserve">v modelu aristotelské vědy </w:t>
      </w:r>
      <w:r w:rsidR="00174994" w:rsidRPr="003D1E07">
        <w:t>nemůže být pouze s tím, co existuje v mysli jako obecný význam. V</w:t>
      </w:r>
      <w:r w:rsidR="0892100C" w:rsidRPr="003D1E07">
        <w:t>ědecká v</w:t>
      </w:r>
      <w:r w:rsidR="00174994" w:rsidRPr="003D1E07">
        <w:t xml:space="preserve">ýpověď je primárně determinována existencí jsoucna, které kauzálně působí na naše smysly. </w:t>
      </w:r>
      <w:r w:rsidR="08312DE6" w:rsidRPr="003D1E07">
        <w:t xml:space="preserve">Kauzalita daná od smyslově poznané první substance v reálu zajišťuje univocitu a pravdivost poznání. </w:t>
      </w:r>
      <w:r w:rsidR="081C43BB" w:rsidRPr="003D1E07">
        <w:t>Dále platí, že p</w:t>
      </w:r>
      <w:r w:rsidR="00174994" w:rsidRPr="003D1E07">
        <w:t>rvní substance daná v realitě nemůže být integrována do řádu kategoriální predikace</w:t>
      </w:r>
      <w:r w:rsidR="081C43BB" w:rsidRPr="003D1E07">
        <w:t>, protože e</w:t>
      </w:r>
      <w:r w:rsidR="00174994" w:rsidRPr="003D1E07">
        <w:t>xistuje v původní atomá</w:t>
      </w:r>
      <w:r w:rsidR="081C43BB" w:rsidRPr="003D1E07">
        <w:t>rní i</w:t>
      </w:r>
      <w:r w:rsidR="00EC26AB" w:rsidRPr="003D1E07">
        <w:t>pseitě</w:t>
      </w:r>
      <w:r w:rsidR="081C43BB" w:rsidRPr="003D1E07">
        <w:t xml:space="preserve"> sama v sobě. První substance </w:t>
      </w:r>
      <w:r w:rsidR="00174994" w:rsidRPr="003D1E07">
        <w:t xml:space="preserve">není sama od  sebe schopna signifikujícího vztahu, který vzniká až v poznávající a obecně predikující mysli. Až slovo signifikuje vzhledem k existující věci, a to různým způsobem (τὸ καθ' αὑτὸ πολλαχῶς ἀνάγκη λέγεσθαι, </w:t>
      </w:r>
      <w:r w:rsidR="00174994" w:rsidRPr="003D1E07">
        <w:rPr>
          <w:i/>
        </w:rPr>
        <w:t>Met</w:t>
      </w:r>
      <w:r w:rsidR="00174994" w:rsidRPr="003D1E07">
        <w:t>. 1022a25</w:t>
      </w:r>
      <w:r w:rsidR="0097218C" w:rsidRPr="003D1E07">
        <w:fldChar w:fldCharType="begin"/>
      </w:r>
      <w:r w:rsidR="0097218C" w:rsidRPr="003D1E07">
        <w:instrText xml:space="preserve"> XE "</w:instrText>
      </w:r>
      <w:r w:rsidR="008E02F5" w:rsidRPr="003D1E07">
        <w:instrText>Aristoteles</w:instrText>
      </w:r>
      <w:r w:rsidR="0097218C" w:rsidRPr="003D1E07">
        <w:instrText>:</w:instrText>
      </w:r>
      <w:r w:rsidR="0097218C" w:rsidRPr="003D1E07">
        <w:rPr>
          <w:i/>
        </w:rPr>
        <w:instrText>Met</w:instrText>
      </w:r>
      <w:r w:rsidR="0097218C" w:rsidRPr="003D1E07">
        <w:instrText xml:space="preserve">. 1022a25" </w:instrText>
      </w:r>
      <w:r w:rsidR="0097218C" w:rsidRPr="003D1E07">
        <w:fldChar w:fldCharType="end"/>
      </w:r>
      <w:r w:rsidR="00174994" w:rsidRPr="003D1E07">
        <w:t xml:space="preserve">). Koncept pak sekundárně, tj. v řádu univoční kategoriální signifikace, nezastřeně vypovídá o </w:t>
      </w:r>
      <w:r w:rsidR="002A7F53">
        <w:t xml:space="preserve">pravdivém </w:t>
      </w:r>
      <w:r w:rsidR="00174994" w:rsidRPr="003D1E07">
        <w:t xml:space="preserve">bytí nebo nebytí (τὸ ὂν εἶναι καὶ τὸ μὴ ὂν μὴ εἶναι ἀληθές, </w:t>
      </w:r>
      <w:r w:rsidR="00174994" w:rsidRPr="003D1E07">
        <w:rPr>
          <w:i/>
        </w:rPr>
        <w:t>Met.</w:t>
      </w:r>
      <w:r w:rsidR="00174994" w:rsidRPr="003D1E07">
        <w:t xml:space="preserve"> </w:t>
      </w:r>
      <w:r w:rsidR="00174994" w:rsidRPr="003D1E07">
        <w:rPr>
          <w:rStyle w:val="st"/>
        </w:rPr>
        <w:t>1011b27</w:t>
      </w:r>
      <w:r w:rsidR="0097218C" w:rsidRPr="003D1E07">
        <w:fldChar w:fldCharType="begin"/>
      </w:r>
      <w:r w:rsidR="0097218C" w:rsidRPr="003D1E07">
        <w:instrText xml:space="preserve"> XE "</w:instrText>
      </w:r>
      <w:r w:rsidR="008E02F5" w:rsidRPr="003D1E07">
        <w:instrText>Aristoteles</w:instrText>
      </w:r>
      <w:r w:rsidR="0097218C" w:rsidRPr="003D1E07">
        <w:instrText>:</w:instrText>
      </w:r>
      <w:r w:rsidR="0097218C" w:rsidRPr="003D1E07">
        <w:rPr>
          <w:i/>
        </w:rPr>
        <w:instrText>Met</w:instrText>
      </w:r>
      <w:r w:rsidR="0097218C" w:rsidRPr="003D1E07">
        <w:instrText xml:space="preserve">. 1011b27" </w:instrText>
      </w:r>
      <w:r w:rsidR="0097218C" w:rsidRPr="003D1E07">
        <w:fldChar w:fldCharType="end"/>
      </w:r>
      <w:r w:rsidR="00174994" w:rsidRPr="003D1E07">
        <w:t xml:space="preserve">). Adekvace v pojetí neoplatonismu naopak vytváří </w:t>
      </w:r>
      <w:r w:rsidR="009A3009" w:rsidRPr="003D1E07">
        <w:t xml:space="preserve">spekulativní </w:t>
      </w:r>
      <w:r w:rsidR="00174994" w:rsidRPr="003D1E07">
        <w:t>sho</w:t>
      </w:r>
      <w:r w:rsidR="006E5F78" w:rsidRPr="003D1E07">
        <w:t>du rozumu se sebou samým. F</w:t>
      </w:r>
      <w:r w:rsidR="00E85843" w:rsidRPr="003D1E07">
        <w:t xml:space="preserve">ormální univerzálie </w:t>
      </w:r>
      <w:r w:rsidR="08E37013" w:rsidRPr="003D1E07">
        <w:t xml:space="preserve">existující </w:t>
      </w:r>
      <w:r w:rsidR="00E85843" w:rsidRPr="003D1E07">
        <w:t xml:space="preserve">v diakosmu </w:t>
      </w:r>
      <w:r w:rsidR="006E5F78" w:rsidRPr="003D1E07">
        <w:t>se zrcadlí (</w:t>
      </w:r>
      <w:r w:rsidR="006E5F78" w:rsidRPr="003D1E07">
        <w:rPr>
          <w:i/>
        </w:rPr>
        <w:t>speculum</w:t>
      </w:r>
      <w:r w:rsidR="00631197" w:rsidRPr="003D1E07">
        <w:rPr>
          <w:i/>
        </w:rPr>
        <w:fldChar w:fldCharType="begin"/>
      </w:r>
      <w:r w:rsidR="00631197" w:rsidRPr="003D1E07">
        <w:instrText xml:space="preserve"> XE "vidění:</w:instrText>
      </w:r>
      <w:r w:rsidR="00631197" w:rsidRPr="003D1E07">
        <w:rPr>
          <w:i/>
        </w:rPr>
        <w:instrText>speculum</w:instrText>
      </w:r>
      <w:r w:rsidR="00631197" w:rsidRPr="003D1E07">
        <w:instrText xml:space="preserve">" </w:instrText>
      </w:r>
      <w:r w:rsidR="00631197" w:rsidRPr="003D1E07">
        <w:rPr>
          <w:i/>
        </w:rPr>
        <w:fldChar w:fldCharType="end"/>
      </w:r>
      <w:r w:rsidR="006E5F78" w:rsidRPr="003D1E07">
        <w:t>) v noematickém</w:t>
      </w:r>
      <w:r w:rsidR="00174994" w:rsidRPr="003D1E07">
        <w:t xml:space="preserve"> koncept</w:t>
      </w:r>
      <w:r w:rsidR="006E5F78" w:rsidRPr="003D1E07">
        <w:t>u</w:t>
      </w:r>
      <w:r w:rsidR="00174994" w:rsidRPr="003D1E07">
        <w:t xml:space="preserve"> </w:t>
      </w:r>
      <w:r w:rsidR="006E5F78" w:rsidRPr="003D1E07">
        <w:t xml:space="preserve">daném </w:t>
      </w:r>
      <w:r w:rsidR="00174994" w:rsidRPr="003D1E07">
        <w:t>v mysli</w:t>
      </w:r>
      <w:r w:rsidR="08E37013" w:rsidRPr="003D1E07">
        <w:t xml:space="preserve"> ilumináta</w:t>
      </w:r>
      <w:r w:rsidR="00174994" w:rsidRPr="003D1E07">
        <w:t xml:space="preserve">. </w:t>
      </w:r>
      <w:r w:rsidR="006E5F78" w:rsidRPr="003D1E07">
        <w:t>Spekulativní s</w:t>
      </w:r>
      <w:r w:rsidR="00174994" w:rsidRPr="003D1E07">
        <w:t xml:space="preserve">hoda dvou obecnin </w:t>
      </w:r>
      <w:r w:rsidR="00AF4B3F" w:rsidRPr="003D1E07">
        <w:t xml:space="preserve">v zrcadle mysli </w:t>
      </w:r>
      <w:r w:rsidR="08293D6A" w:rsidRPr="003D1E07">
        <w:t xml:space="preserve">stojí </w:t>
      </w:r>
      <w:r w:rsidR="00174994" w:rsidRPr="003D1E07">
        <w:t>mimo kauzalitu a mimo hyparchické postavení první substance dané</w:t>
      </w:r>
      <w:r w:rsidR="08293D6A" w:rsidRPr="003D1E07">
        <w:t xml:space="preserve"> v rámci kategoriální predikace. </w:t>
      </w:r>
      <w:r w:rsidR="08EB503E" w:rsidRPr="003D1E07">
        <w:t>P</w:t>
      </w:r>
      <w:r w:rsidR="08293D6A" w:rsidRPr="003D1E07">
        <w:t xml:space="preserve">ojetí pravdy </w:t>
      </w:r>
      <w:r w:rsidR="08EB503E" w:rsidRPr="003D1E07">
        <w:t xml:space="preserve">jako shoda osvíceného intelektu s objektivní realitou </w:t>
      </w:r>
      <w:r w:rsidR="08CB0F6D" w:rsidRPr="003D1E07">
        <w:t>představu</w:t>
      </w:r>
      <w:r w:rsidR="00174994" w:rsidRPr="003D1E07">
        <w:t xml:space="preserve">je z hlediska aristotelismu </w:t>
      </w:r>
      <w:r w:rsidR="08CB0F6D" w:rsidRPr="003D1E07">
        <w:t>čistou paranoiu</w:t>
      </w:r>
      <w:r w:rsidR="00174994" w:rsidRPr="003D1E07">
        <w:t xml:space="preserve"> rozumu</w:t>
      </w:r>
      <w:r w:rsidR="00631197" w:rsidRPr="003D1E07">
        <w:fldChar w:fldCharType="begin"/>
      </w:r>
      <w:r w:rsidR="00631197" w:rsidRPr="003D1E07">
        <w:instrText xml:space="preserve"> XE "vidění:paranoické" </w:instrText>
      </w:r>
      <w:r w:rsidR="00631197" w:rsidRPr="003D1E07">
        <w:fldChar w:fldCharType="end"/>
      </w:r>
      <w:r w:rsidR="00C07D53" w:rsidRPr="003D1E07">
        <w:t xml:space="preserve">, </w:t>
      </w:r>
      <w:r w:rsidR="08473279" w:rsidRPr="003D1E07">
        <w:t xml:space="preserve">protože </w:t>
      </w:r>
      <w:r w:rsidR="08BB6FBA" w:rsidRPr="003D1E07">
        <w:t>poznání není determinováno</w:t>
      </w:r>
      <w:r w:rsidR="00C07D53" w:rsidRPr="003D1E07">
        <w:t xml:space="preserve"> kauzálně působící realitou. </w:t>
      </w:r>
      <w:r w:rsidR="00174994" w:rsidRPr="003D1E07">
        <w:t xml:space="preserve">Posunem pravdy od adekvaci intelektu a reálné věci směrem k formální identitě hypostázovaných noemat a </w:t>
      </w:r>
      <w:r w:rsidR="00F214C5" w:rsidRPr="003D1E07">
        <w:t>species</w:t>
      </w:r>
      <w:r w:rsidR="00174994" w:rsidRPr="003D1E07">
        <w:t xml:space="preserve"> došlo k </w:t>
      </w:r>
      <w:r w:rsidR="08C3358D" w:rsidRPr="003D1E07">
        <w:t xml:space="preserve">zásadnímu </w:t>
      </w:r>
      <w:r w:rsidR="00174994" w:rsidRPr="003D1E07">
        <w:t xml:space="preserve">rozkolu mezi rozumem a smyslově vnímanou realitou. </w:t>
      </w:r>
      <w:r w:rsidR="00684365" w:rsidRPr="003D1E07">
        <w:t xml:space="preserve">Simplikius </w:t>
      </w:r>
      <w:r w:rsidR="004E0B3A" w:rsidRPr="003D1E07">
        <w:t xml:space="preserve">uzavřel tvorbu nové </w:t>
      </w:r>
      <w:r w:rsidR="00684365" w:rsidRPr="003D1E07">
        <w:t xml:space="preserve">první substance </w:t>
      </w:r>
      <w:r w:rsidR="004E0B3A" w:rsidRPr="003D1E07">
        <w:t xml:space="preserve">v pozdní antice </w:t>
      </w:r>
      <w:r w:rsidR="00684365" w:rsidRPr="003D1E07">
        <w:t xml:space="preserve">tím, že </w:t>
      </w:r>
      <w:r w:rsidR="004E0B3A" w:rsidRPr="003D1E07">
        <w:t xml:space="preserve">kategoriální </w:t>
      </w:r>
      <w:r w:rsidR="00684365" w:rsidRPr="003D1E07">
        <w:t>smysl jsoucna nasvítil zezadu</w:t>
      </w:r>
      <w:r w:rsidR="00DC5E79" w:rsidRPr="003D1E07">
        <w:fldChar w:fldCharType="begin"/>
      </w:r>
      <w:r w:rsidR="00DC5E79" w:rsidRPr="003D1E07">
        <w:instrText xml:space="preserve"> XE "zjevování:nasvícení zezadu" </w:instrText>
      </w:r>
      <w:r w:rsidR="00DC5E79" w:rsidRPr="003D1E07">
        <w:fldChar w:fldCharType="end"/>
      </w:r>
      <w:r w:rsidR="00684365" w:rsidRPr="003D1E07">
        <w:t xml:space="preserve">, od světa čistých inteligibilních a aktuálních forem. Dřívější aristotelská pravda jako shoda rozumu a hyparchické první substance se stává částečnou nepravdou, protože </w:t>
      </w:r>
      <w:r w:rsidR="00250D36">
        <w:t xml:space="preserve">neobsahuje </w:t>
      </w:r>
      <w:r w:rsidR="087828C3" w:rsidRPr="003D1E07">
        <w:t xml:space="preserve">neoplatonský </w:t>
      </w:r>
      <w:r w:rsidR="00684365" w:rsidRPr="003D1E07">
        <w:t xml:space="preserve">průběh poznání. </w:t>
      </w:r>
      <w:r w:rsidR="088033BD" w:rsidRPr="003D1E07">
        <w:t xml:space="preserve">Noematické a eidetické poznání paranoického ilumináta jde k reálným a kontingentním věcem pouze proto, aby si dodatečně ověřilo svou již předem danou ideovou správnost. </w:t>
      </w:r>
      <w:r w:rsidR="08267D4E" w:rsidRPr="003D1E07">
        <w:t xml:space="preserve">Pravda je daná podle výše uvedeného Simplikiova výroku </w:t>
      </w:r>
      <w:r w:rsidR="00CD3026" w:rsidRPr="003D1E07">
        <w:t>„</w:t>
      </w:r>
      <w:r w:rsidR="08267D4E" w:rsidRPr="003D1E07">
        <w:t>probali</w:t>
      </w:r>
      <w:r w:rsidR="00CD3026" w:rsidRPr="003D1E07">
        <w:t>sti</w:t>
      </w:r>
      <w:r w:rsidR="08267D4E" w:rsidRPr="003D1E07">
        <w:t>cky</w:t>
      </w:r>
      <w:r w:rsidR="00CD3026" w:rsidRPr="003D1E07">
        <w:t>“</w:t>
      </w:r>
      <w:r w:rsidR="08267D4E" w:rsidRPr="003D1E07">
        <w:t xml:space="preserve">, protože iluminát aktivně vrhá </w:t>
      </w:r>
      <w:r w:rsidR="08267D4E" w:rsidRPr="003D1E07">
        <w:lastRenderedPageBreak/>
        <w:t xml:space="preserve">mytopoetická noemata směrem k reálným věcem. </w:t>
      </w:r>
      <w:r w:rsidR="088033BD" w:rsidRPr="003D1E07">
        <w:t xml:space="preserve">Původním objektem poznání je univerzální noema, nikoliv reálná první substance. </w:t>
      </w:r>
      <w:r w:rsidR="08337F75" w:rsidRPr="003D1E07">
        <w:t xml:space="preserve">Simplikiův výklad </w:t>
      </w:r>
      <w:r w:rsidR="08337F75" w:rsidRPr="003D1E07">
        <w:rPr>
          <w:i/>
        </w:rPr>
        <w:t>Kategorií</w:t>
      </w:r>
      <w:r w:rsidR="08337F75" w:rsidRPr="003D1E07">
        <w:t xml:space="preserve"> potvrdil, že eidetický náhled </w:t>
      </w:r>
      <w:r w:rsidR="08C2085D" w:rsidRPr="003D1E07">
        <w:t xml:space="preserve">intelektu </w:t>
      </w:r>
      <w:r w:rsidR="08337F75" w:rsidRPr="003D1E07">
        <w:t xml:space="preserve">má zcela evidentní charakter, na rozdíl od nejistých věcí v reálu. </w:t>
      </w:r>
      <w:r w:rsidR="00684365" w:rsidRPr="003D1E07">
        <w:t xml:space="preserve">Transcendentální určení pravdy </w:t>
      </w:r>
      <w:r w:rsidR="0896034E" w:rsidRPr="003D1E07">
        <w:t xml:space="preserve">dané za kategoriemi nemůže </w:t>
      </w:r>
      <w:r w:rsidR="00684365" w:rsidRPr="003D1E07">
        <w:t xml:space="preserve">odpovídat Aristotelově pojetí pravdy jako adekvace </w:t>
      </w:r>
      <w:r w:rsidR="00F87D33" w:rsidRPr="003D1E07">
        <w:t>intelektu a první substance</w:t>
      </w:r>
      <w:r w:rsidR="00684365" w:rsidRPr="003D1E07">
        <w:t xml:space="preserve">. </w:t>
      </w:r>
      <w:r w:rsidR="08E9625E" w:rsidRPr="003D1E07">
        <w:t>Druhá</w:t>
      </w:r>
      <w:r w:rsidR="0896034E" w:rsidRPr="003D1E07">
        <w:t xml:space="preserve"> kategorie daná hyparchickou predik</w:t>
      </w:r>
      <w:r w:rsidR="08B60634" w:rsidRPr="003D1E07">
        <w:t>a</w:t>
      </w:r>
      <w:r w:rsidR="0896034E" w:rsidRPr="003D1E07">
        <w:t>cí směrem k první substanci tvoří po</w:t>
      </w:r>
      <w:r w:rsidR="08E9625E" w:rsidRPr="003D1E07">
        <w:t>s</w:t>
      </w:r>
      <w:r w:rsidR="0896034E" w:rsidRPr="003D1E07">
        <w:t>l</w:t>
      </w:r>
      <w:r w:rsidR="08E9625E" w:rsidRPr="003D1E07">
        <w:t>ední ro</w:t>
      </w:r>
      <w:r w:rsidR="0896034E" w:rsidRPr="003D1E07">
        <w:t>vinu univočního významu</w:t>
      </w:r>
      <w:r w:rsidR="08655E98" w:rsidRPr="003D1E07">
        <w:t xml:space="preserve">, </w:t>
      </w:r>
      <w:r w:rsidR="0896034E" w:rsidRPr="003D1E07">
        <w:t>za ní</w:t>
      </w:r>
      <w:r w:rsidR="08655E98" w:rsidRPr="003D1E07">
        <w:t>ž</w:t>
      </w:r>
      <w:r w:rsidR="0896034E" w:rsidRPr="003D1E07">
        <w:t xml:space="preserve"> vzniká pouze analogický nebo ekvivoční význam. </w:t>
      </w:r>
      <w:r w:rsidR="08BD43C2" w:rsidRPr="003D1E07">
        <w:t xml:space="preserve">Kritická </w:t>
      </w:r>
      <w:r w:rsidR="081A06C7" w:rsidRPr="003D1E07">
        <w:t xml:space="preserve">aristotelská </w:t>
      </w:r>
      <w:r w:rsidR="08BD43C2" w:rsidRPr="003D1E07">
        <w:t>v</w:t>
      </w:r>
      <w:r w:rsidR="08655E98" w:rsidRPr="003D1E07">
        <w:t xml:space="preserve">ěda nemůže stát na </w:t>
      </w:r>
      <w:r w:rsidR="08473279" w:rsidRPr="003D1E07">
        <w:t>Platonově</w:t>
      </w:r>
      <w:r w:rsidR="08B80813" w:rsidRPr="003D1E07">
        <w:t xml:space="preserve"> filosofické </w:t>
      </w:r>
      <w:r w:rsidR="08473279" w:rsidRPr="003D1E07">
        <w:t>pohádce</w:t>
      </w:r>
      <w:r w:rsidR="08C22E21" w:rsidRPr="003D1E07">
        <w:t xml:space="preserve"> </w:t>
      </w:r>
      <w:r w:rsidR="08473279" w:rsidRPr="003D1E07">
        <w:t xml:space="preserve">určené </w:t>
      </w:r>
      <w:r w:rsidR="08C22E21" w:rsidRPr="003D1E07">
        <w:t xml:space="preserve">pro </w:t>
      </w:r>
      <w:r w:rsidR="08473279" w:rsidRPr="003D1E07">
        <w:t>strážce ideální polis</w:t>
      </w:r>
      <w:r w:rsidR="0896034E" w:rsidRPr="003D1E07">
        <w:t xml:space="preserve">. </w:t>
      </w:r>
      <w:r w:rsidR="08473279" w:rsidRPr="003D1E07">
        <w:t xml:space="preserve">Dialog </w:t>
      </w:r>
      <w:r w:rsidR="08473279" w:rsidRPr="003D1E07">
        <w:rPr>
          <w:i/>
        </w:rPr>
        <w:t>Timaios</w:t>
      </w:r>
      <w:r w:rsidR="08473279" w:rsidRPr="003D1E07">
        <w:t xml:space="preserve"> interpretovaný skrze podání šalebných Múz</w:t>
      </w:r>
      <w:r w:rsidR="08B23E67" w:rsidRPr="003D1E07">
        <w:fldChar w:fldCharType="begin"/>
      </w:r>
      <w:r w:rsidR="08B23E67" w:rsidRPr="003D1E07">
        <w:instrText xml:space="preserve"> XE "Múzy" </w:instrText>
      </w:r>
      <w:r w:rsidR="08B23E67" w:rsidRPr="003D1E07">
        <w:fldChar w:fldCharType="end"/>
      </w:r>
      <w:r w:rsidR="08473279" w:rsidRPr="003D1E07">
        <w:t xml:space="preserve"> se stal základním kosmogo</w:t>
      </w:r>
      <w:r w:rsidR="003B4202" w:rsidRPr="003D1E07">
        <w:t xml:space="preserve">nickým mýtem pro obec akademiků. Ti ustavili sami </w:t>
      </w:r>
      <w:r w:rsidR="007E4079" w:rsidRPr="003D1E07">
        <w:t xml:space="preserve">sebe </w:t>
      </w:r>
      <w:r w:rsidR="08473279" w:rsidRPr="003D1E07">
        <w:t xml:space="preserve">od pozdní antiky jako </w:t>
      </w:r>
      <w:r w:rsidR="007E4079" w:rsidRPr="003D1E07">
        <w:t>strážce</w:t>
      </w:r>
      <w:r w:rsidR="08473279" w:rsidRPr="003D1E07">
        <w:t xml:space="preserve"> ideálního vědění</w:t>
      </w:r>
      <w:r w:rsidR="081D58F2" w:rsidRPr="003D1E07">
        <w:t xml:space="preserve"> nové </w:t>
      </w:r>
      <w:r w:rsidR="081D58F2" w:rsidRPr="003D1E07">
        <w:rPr>
          <w:i/>
        </w:rPr>
        <w:t>res</w:t>
      </w:r>
      <w:r w:rsidR="0052064F">
        <w:rPr>
          <w:i/>
        </w:rPr>
        <w:t xml:space="preserve"> </w:t>
      </w:r>
      <w:r w:rsidR="081D58F2" w:rsidRPr="003D1E07">
        <w:rPr>
          <w:i/>
        </w:rPr>
        <w:t>publica</w:t>
      </w:r>
      <w:r w:rsidR="081D58F2" w:rsidRPr="003D1E07">
        <w:t xml:space="preserve"> </w:t>
      </w:r>
      <w:r w:rsidR="08C27DB0" w:rsidRPr="003D1E07">
        <w:t xml:space="preserve">objektivně </w:t>
      </w:r>
      <w:r w:rsidR="081D58F2" w:rsidRPr="003D1E07">
        <w:t xml:space="preserve">slepých vědců. </w:t>
      </w:r>
      <w:r w:rsidR="00215EA3" w:rsidRPr="003D1E07">
        <w:t xml:space="preserve">Simplikius vytvořil </w:t>
      </w:r>
      <w:r w:rsidR="08337F75" w:rsidRPr="003D1E07">
        <w:t xml:space="preserve">aktivní intelekt </w:t>
      </w:r>
      <w:r w:rsidR="00E53303" w:rsidRPr="003D1E07">
        <w:t>(</w:t>
      </w:r>
      <w:r w:rsidR="00E53303" w:rsidRPr="003D1E07">
        <w:rPr>
          <w:i/>
        </w:rPr>
        <w:t>intellectus agens</w:t>
      </w:r>
      <w:r w:rsidR="00602B3E" w:rsidRPr="003D1E07">
        <w:rPr>
          <w:i/>
        </w:rPr>
        <w:fldChar w:fldCharType="begin"/>
      </w:r>
      <w:r w:rsidR="00602B3E" w:rsidRPr="003D1E07">
        <w:instrText xml:space="preserve"> XE "</w:instrText>
      </w:r>
      <w:r w:rsidR="00602B3E" w:rsidRPr="003D1E07">
        <w:rPr>
          <w:i/>
        </w:rPr>
        <w:instrText>intellectus agens</w:instrText>
      </w:r>
      <w:r w:rsidR="00602B3E" w:rsidRPr="003D1E07">
        <w:instrText xml:space="preserve">" </w:instrText>
      </w:r>
      <w:r w:rsidR="00602B3E" w:rsidRPr="003D1E07">
        <w:rPr>
          <w:i/>
        </w:rPr>
        <w:fldChar w:fldCharType="end"/>
      </w:r>
      <w:r w:rsidR="00E53303" w:rsidRPr="003D1E07">
        <w:t>)</w:t>
      </w:r>
      <w:r w:rsidR="00215EA3" w:rsidRPr="003D1E07">
        <w:t>, který reprodukuje</w:t>
      </w:r>
      <w:r w:rsidR="08337F75" w:rsidRPr="003D1E07">
        <w:t xml:space="preserve"> a tím i re</w:t>
      </w:r>
      <w:r w:rsidR="00215EA3" w:rsidRPr="003D1E07">
        <w:t>prezentuje</w:t>
      </w:r>
      <w:r w:rsidR="08337F75" w:rsidRPr="003D1E07">
        <w:t xml:space="preserve"> prototypické bytí Jednoho</w:t>
      </w:r>
      <w:r w:rsidR="00215EA3" w:rsidRPr="003D1E07">
        <w:t xml:space="preserve">. Tím se </w:t>
      </w:r>
      <w:r w:rsidR="08337F75" w:rsidRPr="003D1E07">
        <w:t>etabl</w:t>
      </w:r>
      <w:r w:rsidR="00215EA3" w:rsidRPr="003D1E07">
        <w:t xml:space="preserve">ovala </w:t>
      </w:r>
      <w:r w:rsidR="08337F75" w:rsidRPr="003D1E07">
        <w:t>i nov</w:t>
      </w:r>
      <w:r w:rsidR="00215EA3" w:rsidRPr="003D1E07">
        <w:t xml:space="preserve">á </w:t>
      </w:r>
      <w:r w:rsidR="08337F75" w:rsidRPr="003D1E07">
        <w:t>form</w:t>
      </w:r>
      <w:r w:rsidR="00215EA3" w:rsidRPr="003D1E07">
        <w:t>a</w:t>
      </w:r>
      <w:r w:rsidR="08337F75" w:rsidRPr="003D1E07">
        <w:t xml:space="preserve"> pravdivosti, kterou neoplatonik Anselm z Canterbury</w:t>
      </w:r>
      <w:r w:rsidR="08337F75" w:rsidRPr="003D1E07">
        <w:fldChar w:fldCharType="begin"/>
      </w:r>
      <w:r w:rsidR="08337F75" w:rsidRPr="003D1E07">
        <w:instrText xml:space="preserve"> XE "Anselm z Canterbury" </w:instrText>
      </w:r>
      <w:r w:rsidR="08337F75" w:rsidRPr="003D1E07">
        <w:fldChar w:fldCharType="end"/>
      </w:r>
      <w:r w:rsidR="08337F75" w:rsidRPr="003D1E07">
        <w:t xml:space="preserve"> dá do pojmu </w:t>
      </w:r>
      <w:r w:rsidR="08337F75" w:rsidRPr="003D1E07">
        <w:rPr>
          <w:i/>
        </w:rPr>
        <w:t>rectitudo</w:t>
      </w:r>
      <w:r w:rsidR="08337F75" w:rsidRPr="003D1E07">
        <w:t xml:space="preserve"> </w:t>
      </w:r>
      <w:r w:rsidR="08337F75" w:rsidRPr="003D1E07">
        <w:fldChar w:fldCharType="begin"/>
      </w:r>
      <w:r w:rsidR="08337F75" w:rsidRPr="003D1E07">
        <w:instrText xml:space="preserve"> XE "pravda:</w:instrText>
      </w:r>
      <w:r w:rsidR="08337F75" w:rsidRPr="003D1E07">
        <w:rPr>
          <w:i/>
        </w:rPr>
        <w:instrText>rectitudo</w:instrText>
      </w:r>
      <w:r w:rsidR="08337F75" w:rsidRPr="003D1E07">
        <w:instrText xml:space="preserve">" </w:instrText>
      </w:r>
      <w:r w:rsidR="08337F75" w:rsidRPr="003D1E07">
        <w:fldChar w:fldCharType="end"/>
      </w:r>
      <w:r w:rsidR="08337F75" w:rsidRPr="003D1E07">
        <w:t xml:space="preserve"> (</w:t>
      </w:r>
      <w:r w:rsidR="08CB71B2" w:rsidRPr="003D1E07">
        <w:t>OBJ II, kap. 1</w:t>
      </w:r>
      <w:r w:rsidR="08337F75" w:rsidRPr="003D1E07">
        <w:t xml:space="preserve">.2). Ilumináti osvícení vyšším smyslem </w:t>
      </w:r>
      <w:r w:rsidR="08337F75" w:rsidRPr="003D1E07">
        <w:rPr>
          <w:i/>
        </w:rPr>
        <w:t>Isagoge</w:t>
      </w:r>
      <w:r w:rsidR="0871172A" w:rsidRPr="003D1E07">
        <w:t xml:space="preserve"> vidí </w:t>
      </w:r>
      <w:r w:rsidR="006433B0" w:rsidRPr="003D1E07">
        <w:t xml:space="preserve">nový </w:t>
      </w:r>
      <w:r w:rsidR="00B755CE">
        <w:t>sv</w:t>
      </w:r>
      <w:r w:rsidR="006433B0" w:rsidRPr="003D1E07">
        <w:t xml:space="preserve">ět ducha daný </w:t>
      </w:r>
      <w:r w:rsidR="0871172A" w:rsidRPr="003D1E07">
        <w:t>za</w:t>
      </w:r>
      <w:r w:rsidR="08337F75" w:rsidRPr="003D1E07">
        <w:t xml:space="preserve"> jednot</w:t>
      </w:r>
      <w:r w:rsidR="00B755CE">
        <w:t>o</w:t>
      </w:r>
      <w:r w:rsidR="08337F75" w:rsidRPr="003D1E07">
        <w:t xml:space="preserve">u </w:t>
      </w:r>
      <w:r w:rsidR="006433B0" w:rsidRPr="003D1E07">
        <w:t xml:space="preserve">určenou </w:t>
      </w:r>
      <w:r w:rsidR="08337F75" w:rsidRPr="003D1E07">
        <w:t>kategoriální predikací reálné první substance.</w:t>
      </w:r>
      <w:r w:rsidR="08473279" w:rsidRPr="003D1E07">
        <w:t xml:space="preserve"> </w:t>
      </w:r>
      <w:r w:rsidR="00684365" w:rsidRPr="003D1E07">
        <w:t xml:space="preserve">Vzniklý obrat </w:t>
      </w:r>
      <w:r w:rsidR="003F17E3" w:rsidRPr="003D1E07">
        <w:t>metafyziky umožnil</w:t>
      </w:r>
      <w:r w:rsidR="00684365" w:rsidRPr="003D1E07">
        <w:t xml:space="preserve"> lépe pochopit průkopnickou roli Jamblicha</w:t>
      </w:r>
      <w:r w:rsidR="00E31267" w:rsidRPr="003D1E07">
        <w:fldChar w:fldCharType="begin"/>
      </w:r>
      <w:r w:rsidR="00E31267" w:rsidRPr="003D1E07">
        <w:instrText xml:space="preserve"> XE "Jamblichos" </w:instrText>
      </w:r>
      <w:r w:rsidR="00E31267" w:rsidRPr="003D1E07">
        <w:fldChar w:fldCharType="end"/>
      </w:r>
      <w:r w:rsidR="00684365" w:rsidRPr="003D1E07">
        <w:t xml:space="preserve">, který </w:t>
      </w:r>
      <w:r w:rsidR="006433B0" w:rsidRPr="003D1E07">
        <w:t>tento vývoj odstartoval</w:t>
      </w:r>
      <w:r w:rsidR="00684365" w:rsidRPr="003D1E07">
        <w:t>.</w:t>
      </w:r>
      <w:r w:rsidR="0066388C" w:rsidRPr="003D1E07">
        <w:t xml:space="preserve"> </w:t>
      </w:r>
      <w:r w:rsidR="006433B0" w:rsidRPr="003D1E07">
        <w:t xml:space="preserve">Tento boží muž </w:t>
      </w:r>
      <w:r w:rsidR="00C24578" w:rsidRPr="003D1E07">
        <w:t xml:space="preserve">vedený akademicky vzdělanými Fúriemi </w:t>
      </w:r>
      <w:r w:rsidR="006433B0" w:rsidRPr="003D1E07">
        <w:t>s</w:t>
      </w:r>
      <w:r w:rsidR="0066388C" w:rsidRPr="003D1E07">
        <w:t xml:space="preserve">yntetizoval aristotelskou </w:t>
      </w:r>
      <w:r w:rsidR="00684365" w:rsidRPr="003D1E07">
        <w:t>první a</w:t>
      </w:r>
      <w:r w:rsidR="0066388C" w:rsidRPr="003D1E07">
        <w:t xml:space="preserve"> druhou</w:t>
      </w:r>
      <w:r w:rsidR="00684365" w:rsidRPr="003D1E07">
        <w:t xml:space="preserve"> </w:t>
      </w:r>
      <w:r w:rsidR="0066388C" w:rsidRPr="003D1E07">
        <w:t>substanci dí</w:t>
      </w:r>
      <w:r w:rsidR="08BD43C2" w:rsidRPr="003D1E07">
        <w:t xml:space="preserve">ky mystickému výkladu dialogu </w:t>
      </w:r>
      <w:r w:rsidR="08BD43C2" w:rsidRPr="003D1E07">
        <w:rPr>
          <w:i/>
        </w:rPr>
        <w:t>Ti</w:t>
      </w:r>
      <w:r w:rsidR="0066388C" w:rsidRPr="003D1E07">
        <w:rPr>
          <w:i/>
        </w:rPr>
        <w:t>maios</w:t>
      </w:r>
      <w:r w:rsidR="00372E82" w:rsidRPr="003D1E07">
        <w:fldChar w:fldCharType="begin"/>
      </w:r>
      <w:r w:rsidR="00372E82" w:rsidRPr="003D1E07">
        <w:instrText xml:space="preserve"> XE "</w:instrText>
      </w:r>
      <w:r w:rsidR="081325FA" w:rsidRPr="003D1E07">
        <w:instrText xml:space="preserve">dialog </w:instrText>
      </w:r>
      <w:r w:rsidR="081325FA" w:rsidRPr="003D1E07">
        <w:rPr>
          <w:i/>
        </w:rPr>
        <w:instrText>Timaios</w:instrText>
      </w:r>
      <w:r w:rsidR="00372E82" w:rsidRPr="003D1E07">
        <w:instrText xml:space="preserve">" </w:instrText>
      </w:r>
      <w:r w:rsidR="00372E82" w:rsidRPr="003D1E07">
        <w:fldChar w:fldCharType="end"/>
      </w:r>
      <w:r w:rsidR="0066388C" w:rsidRPr="003D1E07">
        <w:t xml:space="preserve">, čímž </w:t>
      </w:r>
      <w:r w:rsidR="00684365" w:rsidRPr="003D1E07">
        <w:t xml:space="preserve">vytvořil </w:t>
      </w:r>
      <w:r w:rsidR="0066388C" w:rsidRPr="003D1E07">
        <w:t>nové zásvětí ducha</w:t>
      </w:r>
      <w:r w:rsidR="00684365" w:rsidRPr="003D1E07">
        <w:t>. Následné výklady založily nov</w:t>
      </w:r>
      <w:r w:rsidR="00327C99" w:rsidRPr="003D1E07">
        <w:t>ou gigantomachii</w:t>
      </w:r>
      <w:r w:rsidR="00684365" w:rsidRPr="003D1E07">
        <w:t xml:space="preserve"> o substanci tím, že </w:t>
      </w:r>
      <w:r w:rsidR="0066388C" w:rsidRPr="003D1E07">
        <w:t>Jamblichův diakosmos daly</w:t>
      </w:r>
      <w:r w:rsidR="00684365" w:rsidRPr="003D1E07">
        <w:t xml:space="preserve"> do sofistického soula</w:t>
      </w:r>
      <w:r w:rsidR="00327C99" w:rsidRPr="003D1E07">
        <w:t>du s aristotelskou metafyzikou.</w:t>
      </w:r>
      <w:r w:rsidR="00B21F2F" w:rsidRPr="003D1E07">
        <w:t xml:space="preserve"> </w:t>
      </w:r>
      <w:r w:rsidR="00684365" w:rsidRPr="003D1E07">
        <w:t xml:space="preserve">Klíčový vývoj </w:t>
      </w:r>
      <w:r w:rsidR="0871172A" w:rsidRPr="003D1E07">
        <w:t xml:space="preserve">objektivity </w:t>
      </w:r>
      <w:r w:rsidR="00684365" w:rsidRPr="003D1E07">
        <w:t>nastává mezi 4. a 6. stoletím</w:t>
      </w:r>
      <w:r w:rsidR="00D20E0C" w:rsidRPr="003D1E07">
        <w:t xml:space="preserve">. Jamblichos a </w:t>
      </w:r>
      <w:r w:rsidR="004F2612" w:rsidRPr="003D1E07">
        <w:t>Simplikius se stal</w:t>
      </w:r>
      <w:r w:rsidR="00D20E0C" w:rsidRPr="003D1E07">
        <w:t>i</w:t>
      </w:r>
      <w:r w:rsidR="004F2612" w:rsidRPr="003D1E07">
        <w:t xml:space="preserve"> </w:t>
      </w:r>
      <w:r w:rsidR="00D20E0C" w:rsidRPr="003D1E07">
        <w:t xml:space="preserve">zakladateli </w:t>
      </w:r>
      <w:r w:rsidR="004F2612" w:rsidRPr="003D1E07">
        <w:t>nové epochy</w:t>
      </w:r>
      <w:r w:rsidR="00D20E0C" w:rsidRPr="003D1E07">
        <w:t xml:space="preserve"> metafyziky</w:t>
      </w:r>
      <w:r w:rsidR="004F2612" w:rsidRPr="003D1E07">
        <w:t xml:space="preserve">. </w:t>
      </w:r>
      <w:r w:rsidR="00833224" w:rsidRPr="003D1E07">
        <w:t>Reálné j</w:t>
      </w:r>
      <w:r w:rsidR="00684365" w:rsidRPr="003D1E07">
        <w:t>soucno dezertovalo z první substance</w:t>
      </w:r>
      <w:r w:rsidR="00A70FA4" w:rsidRPr="003D1E07">
        <w:fldChar w:fldCharType="begin"/>
      </w:r>
      <w:r w:rsidR="00A70FA4" w:rsidRPr="003D1E07">
        <w:instrText xml:space="preserve"> XE "substance</w:instrText>
      </w:r>
      <w:r w:rsidR="006B6782" w:rsidRPr="003D1E07">
        <w:instrText>:zatmění</w:instrText>
      </w:r>
      <w:r w:rsidR="00A70FA4" w:rsidRPr="003D1E07">
        <w:instrText xml:space="preserve">" </w:instrText>
      </w:r>
      <w:r w:rsidR="00A70FA4" w:rsidRPr="003D1E07">
        <w:fldChar w:fldCharType="end"/>
      </w:r>
      <w:r w:rsidR="00684365" w:rsidRPr="003D1E07">
        <w:t xml:space="preserve"> do nového druhu substance-</w:t>
      </w:r>
      <w:r w:rsidR="00F214C5" w:rsidRPr="003D1E07">
        <w:t>species</w:t>
      </w:r>
      <w:r w:rsidR="007A4902" w:rsidRPr="003D1E07">
        <w:t xml:space="preserve">. Tím </w:t>
      </w:r>
      <w:r w:rsidR="00684365" w:rsidRPr="003D1E07">
        <w:t xml:space="preserve">se kompletně změnila predikace </w:t>
      </w:r>
      <w:r w:rsidR="00684365" w:rsidRPr="003D1E07">
        <w:rPr>
          <w:i/>
        </w:rPr>
        <w:t>per prius</w:t>
      </w:r>
      <w:r w:rsidR="00684365" w:rsidRPr="003D1E07">
        <w:t xml:space="preserve"> daná v </w:t>
      </w:r>
      <w:r w:rsidR="00684365" w:rsidRPr="003D1E07">
        <w:rPr>
          <w:i/>
        </w:rPr>
        <w:t>Kategoriích</w:t>
      </w:r>
      <w:r w:rsidR="00684365" w:rsidRPr="003D1E07">
        <w:t xml:space="preserve">. </w:t>
      </w:r>
      <w:r w:rsidR="00D20E0C" w:rsidRPr="003D1E07">
        <w:t xml:space="preserve">Hyparchická predikace </w:t>
      </w:r>
      <w:r w:rsidR="00B24DF3" w:rsidRPr="003D1E07">
        <w:t xml:space="preserve">byla nahrazena </w:t>
      </w:r>
      <w:r w:rsidR="00D20E0C" w:rsidRPr="003D1E07">
        <w:t>pro</w:t>
      </w:r>
      <w:r w:rsidR="00B24DF3" w:rsidRPr="003D1E07">
        <w:t>hyp</w:t>
      </w:r>
      <w:r w:rsidR="00D20E0C" w:rsidRPr="003D1E07">
        <w:t>archickou</w:t>
      </w:r>
      <w:r w:rsidR="00B24DF3" w:rsidRPr="003D1E07">
        <w:t xml:space="preserve"> transcendentální jednotou jsoucna</w:t>
      </w:r>
      <w:r w:rsidR="00D20E0C" w:rsidRPr="003D1E07">
        <w:t xml:space="preserve">. </w:t>
      </w:r>
      <w:r w:rsidR="00333794" w:rsidRPr="003D1E07">
        <w:t xml:space="preserve">Změnu dosvědčuje </w:t>
      </w:r>
      <w:r w:rsidR="00684365" w:rsidRPr="003D1E07">
        <w:t>ambivalentní status nedě</w:t>
      </w:r>
      <w:r w:rsidR="00333794" w:rsidRPr="003D1E07">
        <w:t>litelné substance a její exegeze</w:t>
      </w:r>
      <w:r w:rsidR="00684365" w:rsidRPr="003D1E07">
        <w:t xml:space="preserve"> </w:t>
      </w:r>
      <w:r w:rsidR="00333794" w:rsidRPr="003D1E07">
        <w:t xml:space="preserve">navázaná na </w:t>
      </w:r>
      <w:r w:rsidR="00874074" w:rsidRPr="003D1E07">
        <w:t>neoplatonsk</w:t>
      </w:r>
      <w:r w:rsidR="00333794" w:rsidRPr="003D1E07">
        <w:t>ou</w:t>
      </w:r>
      <w:r w:rsidR="00684365" w:rsidRPr="003D1E07">
        <w:t xml:space="preserve"> analogickou formu pre</w:t>
      </w:r>
      <w:r w:rsidR="089927E7" w:rsidRPr="003D1E07">
        <w:t>dikace směrem k Jednomu a od Jednoho</w:t>
      </w:r>
      <w:r w:rsidR="00684365" w:rsidRPr="003D1E07">
        <w:t xml:space="preserve">. </w:t>
      </w:r>
      <w:r w:rsidR="001906DC" w:rsidRPr="003D1E07">
        <w:t xml:space="preserve">Neoplatonikové </w:t>
      </w:r>
      <w:r w:rsidR="00640BE5" w:rsidRPr="003D1E07">
        <w:fldChar w:fldCharType="begin"/>
      </w:r>
      <w:r w:rsidR="00640BE5" w:rsidRPr="003D1E07">
        <w:instrText xml:space="preserve"> XE "Jamblichos" </w:instrText>
      </w:r>
      <w:r w:rsidR="00640BE5" w:rsidRPr="003D1E07">
        <w:fldChar w:fldCharType="end"/>
      </w:r>
      <w:r w:rsidR="00AA13BE" w:rsidRPr="003D1E07">
        <w:t xml:space="preserve">provádí vědomé vytěsnění </w:t>
      </w:r>
      <w:r w:rsidR="00684365" w:rsidRPr="003D1E07">
        <w:t>aktuálního jsoucna z</w:t>
      </w:r>
      <w:r w:rsidR="00AA13BE" w:rsidRPr="003D1E07">
        <w:t> </w:t>
      </w:r>
      <w:r w:rsidR="00684365" w:rsidRPr="003D1E07">
        <w:t>met</w:t>
      </w:r>
      <w:r w:rsidR="0067765E" w:rsidRPr="003D1E07">
        <w:t>afyziky</w:t>
      </w:r>
      <w:r w:rsidR="00AA13BE" w:rsidRPr="003D1E07">
        <w:t xml:space="preserve"> tím, že o</w:t>
      </w:r>
      <w:r w:rsidR="0067765E" w:rsidRPr="003D1E07">
        <w:t>dmítnou</w:t>
      </w:r>
      <w:r w:rsidR="00684365" w:rsidRPr="003D1E07">
        <w:t xml:space="preserve"> </w:t>
      </w:r>
      <w:r w:rsidR="00BB45B1" w:rsidRPr="003D1E07">
        <w:t>Porfyri</w:t>
      </w:r>
      <w:r w:rsidR="089927E7" w:rsidRPr="003D1E07">
        <w:t xml:space="preserve">ův výklad </w:t>
      </w:r>
      <w:r w:rsidR="089927E7" w:rsidRPr="003D1E07">
        <w:rPr>
          <w:i/>
        </w:rPr>
        <w:t>K</w:t>
      </w:r>
      <w:r w:rsidR="00684365" w:rsidRPr="003D1E07">
        <w:rPr>
          <w:i/>
        </w:rPr>
        <w:t>ategorií</w:t>
      </w:r>
      <w:r w:rsidR="089927E7" w:rsidRPr="003D1E07">
        <w:t xml:space="preserve">. Antičtí akademičtí ilumináti typu Jamblicha a Simplikia jej chápou </w:t>
      </w:r>
      <w:r w:rsidR="000245DF" w:rsidRPr="003D1E07">
        <w:t xml:space="preserve">jako nauku pro filosofické začátečníky, k níž se </w:t>
      </w:r>
      <w:r w:rsidR="08464DF7" w:rsidRPr="003D1E07">
        <w:t xml:space="preserve">vzdělanci </w:t>
      </w:r>
      <w:r w:rsidR="000245DF" w:rsidRPr="003D1E07">
        <w:t>jejich typu už nemusí vracet</w:t>
      </w:r>
      <w:r w:rsidR="00AA13BE" w:rsidRPr="003D1E07">
        <w:t xml:space="preserve">. </w:t>
      </w:r>
      <w:r w:rsidR="08464DF7" w:rsidRPr="003D1E07">
        <w:t>Aristo</w:t>
      </w:r>
      <w:r w:rsidR="082E7330" w:rsidRPr="003D1E07">
        <w:t>te</w:t>
      </w:r>
      <w:r w:rsidR="08464DF7" w:rsidRPr="003D1E07">
        <w:t>les není hoden skutečného myšlení božského muže Jamblicha. Ten vezme</w:t>
      </w:r>
      <w:r w:rsidR="00AA13BE" w:rsidRPr="003D1E07">
        <w:t xml:space="preserve"> </w:t>
      </w:r>
      <w:r w:rsidR="08464DF7" w:rsidRPr="003D1E07">
        <w:t xml:space="preserve">za základ nové metafyziky </w:t>
      </w:r>
      <w:r w:rsidR="00BB45B1" w:rsidRPr="003D1E07">
        <w:t>Porfyri</w:t>
      </w:r>
      <w:r w:rsidR="000245DF" w:rsidRPr="003D1E07">
        <w:t xml:space="preserve">ovy </w:t>
      </w:r>
      <w:r w:rsidR="00AA13BE" w:rsidRPr="003D1E07">
        <w:t xml:space="preserve">pozdní výklady </w:t>
      </w:r>
      <w:r w:rsidR="08464DF7" w:rsidRPr="003D1E07">
        <w:t>p</w:t>
      </w:r>
      <w:r w:rsidR="008E02F5" w:rsidRPr="003D1E07">
        <w:t>laton</w:t>
      </w:r>
      <w:r w:rsidR="00AA13BE" w:rsidRPr="003D1E07">
        <w:t xml:space="preserve">ských </w:t>
      </w:r>
      <w:r w:rsidR="08464DF7" w:rsidRPr="003D1E07">
        <w:t xml:space="preserve">dialogů, například dialogu </w:t>
      </w:r>
      <w:r w:rsidR="08464DF7" w:rsidRPr="003D1E07">
        <w:rPr>
          <w:i/>
        </w:rPr>
        <w:t>Parmenide</w:t>
      </w:r>
      <w:r w:rsidR="00AA13BE" w:rsidRPr="003D1E07">
        <w:rPr>
          <w:i/>
        </w:rPr>
        <w:t>s</w:t>
      </w:r>
      <w:r w:rsidR="08B37BDA" w:rsidRPr="003D1E07">
        <w:t>. I</w:t>
      </w:r>
      <w:r w:rsidR="00285A59" w:rsidRPr="003D1E07">
        <w:t xml:space="preserve">lumináti se </w:t>
      </w:r>
      <w:r w:rsidR="00285A59" w:rsidRPr="003D1E07">
        <w:lastRenderedPageBreak/>
        <w:t xml:space="preserve">inspirují </w:t>
      </w:r>
      <w:r w:rsidR="00BB45B1" w:rsidRPr="003D1E07">
        <w:t>Porfyri</w:t>
      </w:r>
      <w:r w:rsidR="08464DF7" w:rsidRPr="003D1E07">
        <w:t>ovým zdvojeným</w:t>
      </w:r>
      <w:r w:rsidR="00AA13BE" w:rsidRPr="003D1E07">
        <w:t xml:space="preserve"> bytí Jednoho </w:t>
      </w:r>
      <w:r w:rsidR="009C06EB" w:rsidRPr="003D1E07">
        <w:t>(διττὸν τὸ εἶναι</w:t>
      </w:r>
      <w:r w:rsidR="009C06EB" w:rsidRPr="003D1E07">
        <w:fldChar w:fldCharType="begin"/>
      </w:r>
      <w:r w:rsidR="009C06EB" w:rsidRPr="003D1E07">
        <w:instrText xml:space="preserve"> XE "zdvojení bytí" </w:instrText>
      </w:r>
      <w:r w:rsidR="009C06EB" w:rsidRPr="003D1E07">
        <w:fldChar w:fldCharType="end"/>
      </w:r>
      <w:r w:rsidR="009C06EB" w:rsidRPr="003D1E07">
        <w:t xml:space="preserve">) </w:t>
      </w:r>
      <w:r w:rsidR="08464DF7" w:rsidRPr="003D1E07">
        <w:t xml:space="preserve">nejprve daného v něm samém a </w:t>
      </w:r>
      <w:r w:rsidR="08570734" w:rsidRPr="003D1E07">
        <w:t xml:space="preserve">pak </w:t>
      </w:r>
      <w:r w:rsidR="08464DF7" w:rsidRPr="003D1E07">
        <w:t xml:space="preserve">vzhledem k jím zakládanému nižšímu světu vzniklém skrze ideální emanace. </w:t>
      </w:r>
      <w:r w:rsidR="08E2041D" w:rsidRPr="003D1E07">
        <w:t xml:space="preserve">Tento pohled Jednoho do sebe a ze sebe do světa pak opakuje v dalším miléniu celá moderna a </w:t>
      </w:r>
      <w:r w:rsidR="08256B25" w:rsidRPr="003D1E07">
        <w:t xml:space="preserve">po ní celá </w:t>
      </w:r>
      <w:r w:rsidR="08E2041D" w:rsidRPr="003D1E07">
        <w:t xml:space="preserve">postmoderna </w:t>
      </w:r>
      <w:r w:rsidR="08256B25" w:rsidRPr="003D1E07">
        <w:t xml:space="preserve">od Descarta </w:t>
      </w:r>
      <w:r w:rsidR="08E2041D" w:rsidRPr="003D1E07">
        <w:t xml:space="preserve">až po Husserla. </w:t>
      </w:r>
      <w:r w:rsidR="08464DF7" w:rsidRPr="003D1E07">
        <w:t>N</w:t>
      </w:r>
      <w:r w:rsidR="08E13F93" w:rsidRPr="003D1E07">
        <w:t xml:space="preserve">a základě </w:t>
      </w:r>
      <w:r w:rsidR="00285A59" w:rsidRPr="003D1E07">
        <w:t>pro</w:t>
      </w:r>
      <w:r w:rsidR="001F7CD9" w:rsidRPr="003D1E07">
        <w:t>hyp</w:t>
      </w:r>
      <w:r w:rsidR="00285A59" w:rsidRPr="003D1E07">
        <w:t>archické</w:t>
      </w:r>
      <w:r w:rsidR="08E13F93" w:rsidRPr="003D1E07">
        <w:t xml:space="preserve">ho vidění jsoucna </w:t>
      </w:r>
      <w:r w:rsidR="00751989" w:rsidRPr="003D1E07">
        <w:t>p</w:t>
      </w:r>
      <w:r w:rsidR="00AA13BE" w:rsidRPr="003D1E07">
        <w:t>os</w:t>
      </w:r>
      <w:r w:rsidR="006333DE" w:rsidRPr="003D1E07">
        <w:t xml:space="preserve">taví </w:t>
      </w:r>
      <w:r w:rsidR="08872C81" w:rsidRPr="003D1E07">
        <w:t xml:space="preserve">moderna </w:t>
      </w:r>
      <w:r w:rsidR="006333DE" w:rsidRPr="003D1E07">
        <w:t xml:space="preserve">dvojí stavbu </w:t>
      </w:r>
      <w:r w:rsidR="08E13F93" w:rsidRPr="003D1E07">
        <w:t xml:space="preserve">celku </w:t>
      </w:r>
      <w:r w:rsidR="006333DE" w:rsidRPr="003D1E07">
        <w:t>jsoucna, jehož bytí je predikováno</w:t>
      </w:r>
      <w:r w:rsidR="00AA13BE" w:rsidRPr="003D1E07">
        <w:t xml:space="preserve"> prototypicky a reálně. </w:t>
      </w:r>
      <w:r w:rsidR="006333DE" w:rsidRPr="003D1E07">
        <w:t>Od poloviny šestého století se zásadně rozšířila</w:t>
      </w:r>
      <w:r w:rsidR="00751989" w:rsidRPr="003D1E07">
        <w:t xml:space="preserve"> oblast </w:t>
      </w:r>
      <w:r w:rsidR="088B2201" w:rsidRPr="003D1E07">
        <w:t xml:space="preserve">Porfýriova </w:t>
      </w:r>
      <w:r w:rsidR="00751989" w:rsidRPr="003D1E07">
        <w:t xml:space="preserve">zdvojeného bytí z původní </w:t>
      </w:r>
      <w:r w:rsidR="008979BB" w:rsidRPr="003D1E07">
        <w:t>heno</w:t>
      </w:r>
      <w:r w:rsidR="00751989" w:rsidRPr="003D1E07">
        <w:t>logie na celou oblast demiurgické metafyziky</w:t>
      </w:r>
      <w:r w:rsidR="008979BB" w:rsidRPr="003D1E07">
        <w:t>. Predikace</w:t>
      </w:r>
      <w:r w:rsidR="008979BB" w:rsidRPr="003D1E07">
        <w:fldChar w:fldCharType="begin"/>
      </w:r>
      <w:r w:rsidR="008979BB" w:rsidRPr="003D1E07">
        <w:instrText xml:space="preserve"> XE "</w:instrText>
      </w:r>
      <w:r w:rsidR="00503C55" w:rsidRPr="003D1E07">
        <w:instrText>predikace:prohyparchická</w:instrText>
      </w:r>
      <w:r w:rsidR="008979BB" w:rsidRPr="003D1E07">
        <w:instrText xml:space="preserve">" </w:instrText>
      </w:r>
      <w:r w:rsidR="008979BB" w:rsidRPr="003D1E07">
        <w:fldChar w:fldCharType="end"/>
      </w:r>
      <w:r w:rsidR="008979BB" w:rsidRPr="003D1E07">
        <w:t xml:space="preserve"> přešla z henologie</w:t>
      </w:r>
      <w:r w:rsidR="008979BB" w:rsidRPr="003D1E07">
        <w:fldChar w:fldCharType="begin"/>
      </w:r>
      <w:r w:rsidR="008979BB" w:rsidRPr="003D1E07">
        <w:instrText xml:space="preserve"> XE "henologie" </w:instrText>
      </w:r>
      <w:r w:rsidR="008979BB" w:rsidRPr="003D1E07">
        <w:fldChar w:fldCharType="end"/>
      </w:r>
      <w:r w:rsidR="008979BB" w:rsidRPr="003D1E07">
        <w:t xml:space="preserve"> na diakosmos</w:t>
      </w:r>
      <w:r w:rsidR="00751989" w:rsidRPr="003D1E07">
        <w:t xml:space="preserve"> ko</w:t>
      </w:r>
      <w:r w:rsidR="008979BB" w:rsidRPr="003D1E07">
        <w:t>sm</w:t>
      </w:r>
      <w:r w:rsidR="00751989" w:rsidRPr="003D1E07">
        <w:t>ických inteligencí a forem</w:t>
      </w:r>
      <w:r w:rsidR="009C06EB" w:rsidRPr="003D1E07">
        <w:t xml:space="preserve"> predikovaných </w:t>
      </w:r>
      <w:r w:rsidR="0858539E" w:rsidRPr="003D1E07">
        <w:t>kategoriálně</w:t>
      </w:r>
      <w:r w:rsidR="00751989" w:rsidRPr="003D1E07">
        <w:t xml:space="preserve">. </w:t>
      </w:r>
      <w:r w:rsidR="080D5B9E" w:rsidRPr="003D1E07">
        <w:t xml:space="preserve">V nově </w:t>
      </w:r>
      <w:r w:rsidR="00684365" w:rsidRPr="003D1E07">
        <w:t>ustave</w:t>
      </w:r>
      <w:r w:rsidR="0067765E" w:rsidRPr="003D1E07">
        <w:t xml:space="preserve">ném smyslu jsoucího </w:t>
      </w:r>
      <w:r w:rsidR="080D5B9E" w:rsidRPr="003D1E07">
        <w:t>skrze pro</w:t>
      </w:r>
      <w:r w:rsidR="009C06EB" w:rsidRPr="003D1E07">
        <w:t>hyp</w:t>
      </w:r>
      <w:r w:rsidR="080D5B9E" w:rsidRPr="003D1E07">
        <w:t>archickou</w:t>
      </w:r>
      <w:r w:rsidR="003006B2" w:rsidRPr="003D1E07">
        <w:t xml:space="preserve"> predikaci vznikl </w:t>
      </w:r>
      <w:r w:rsidR="008C4FAB" w:rsidRPr="003D1E07">
        <w:t xml:space="preserve">první objektivní </w:t>
      </w:r>
      <w:r w:rsidR="00684365" w:rsidRPr="003D1E07">
        <w:t xml:space="preserve">systém mystické </w:t>
      </w:r>
      <w:r w:rsidR="0067765E" w:rsidRPr="003D1E07">
        <w:t xml:space="preserve">či metafyzické </w:t>
      </w:r>
      <w:r w:rsidR="00684365" w:rsidRPr="003D1E07">
        <w:t xml:space="preserve">ontoteologie. Nová </w:t>
      </w:r>
      <w:r w:rsidR="00E41491" w:rsidRPr="003D1E07">
        <w:t xml:space="preserve">atomární </w:t>
      </w:r>
      <w:r w:rsidR="00684365" w:rsidRPr="003D1E07">
        <w:t>substance</w:t>
      </w:r>
      <w:r w:rsidR="00E31267" w:rsidRPr="003D1E07">
        <w:fldChar w:fldCharType="begin"/>
      </w:r>
      <w:r w:rsidR="00E31267" w:rsidRPr="003D1E07">
        <w:instrText xml:space="preserve"> XE "substance:atomární" </w:instrText>
      </w:r>
      <w:r w:rsidR="00E31267" w:rsidRPr="003D1E07">
        <w:fldChar w:fldCharType="end"/>
      </w:r>
      <w:r w:rsidR="00684365" w:rsidRPr="003D1E07">
        <w:t xml:space="preserve"> se manifestuje ve formě intelektuálního náhledu moderního gnostika. Vzniká </w:t>
      </w:r>
      <w:r w:rsidR="00E656D4" w:rsidRPr="003D1E07">
        <w:t xml:space="preserve">nový synkretismus </w:t>
      </w:r>
      <w:r w:rsidR="08561D8F" w:rsidRPr="003D1E07">
        <w:t>božského Pytha</w:t>
      </w:r>
      <w:r w:rsidR="0876313D" w:rsidRPr="003D1E07">
        <w:t>gory</w:t>
      </w:r>
      <w:r w:rsidR="00684365" w:rsidRPr="003D1E07">
        <w:t xml:space="preserve">, </w:t>
      </w:r>
      <w:r w:rsidR="008E02F5" w:rsidRPr="003D1E07">
        <w:t>Platon</w:t>
      </w:r>
      <w:r w:rsidR="00684365" w:rsidRPr="003D1E07">
        <w:t xml:space="preserve">a a jejich </w:t>
      </w:r>
      <w:r w:rsidR="00E656D4" w:rsidRPr="003D1E07">
        <w:t>pilného</w:t>
      </w:r>
      <w:r w:rsidR="0876313D" w:rsidRPr="003D1E07">
        <w:t xml:space="preserve">, leč trochu omezeného </w:t>
      </w:r>
      <w:r w:rsidR="007825A4" w:rsidRPr="003D1E07">
        <w:t>exegeta Aristotela</w:t>
      </w:r>
      <w:r w:rsidR="0876313D" w:rsidRPr="003D1E07">
        <w:t>. J</w:t>
      </w:r>
      <w:r w:rsidR="007825A4" w:rsidRPr="003D1E07">
        <w:t xml:space="preserve">eho kategoriální </w:t>
      </w:r>
      <w:r w:rsidR="0876313D" w:rsidRPr="003D1E07">
        <w:t xml:space="preserve">predikace se redukuje na </w:t>
      </w:r>
      <w:r w:rsidR="08A33558" w:rsidRPr="003D1E07">
        <w:t xml:space="preserve">materiální a smyslově vnímanou </w:t>
      </w:r>
      <w:r w:rsidR="0876313D" w:rsidRPr="003D1E07">
        <w:t>první substanci</w:t>
      </w:r>
      <w:r w:rsidR="00684365" w:rsidRPr="003D1E07">
        <w:t xml:space="preserve">. </w:t>
      </w:r>
      <w:r w:rsidR="00FF13D7" w:rsidRPr="003D1E07">
        <w:t>Ale nedostatek aristotelského myšlení lze celkem rychle napravit</w:t>
      </w:r>
      <w:r w:rsidR="08BA7A50" w:rsidRPr="003D1E07">
        <w:t xml:space="preserve">, protože </w:t>
      </w:r>
      <w:r w:rsidR="008E02F5" w:rsidRPr="003D1E07">
        <w:t>Aristoteles</w:t>
      </w:r>
      <w:r w:rsidR="007D3A74" w:rsidRPr="003D1E07">
        <w:t xml:space="preserve"> nev</w:t>
      </w:r>
      <w:r w:rsidR="08561D8F" w:rsidRPr="003D1E07">
        <w:t>iděl do tajemství božského Pytha</w:t>
      </w:r>
      <w:r w:rsidR="007D3A74" w:rsidRPr="003D1E07">
        <w:t xml:space="preserve">gory dostatečně hluboko. </w:t>
      </w:r>
      <w:r w:rsidR="005769B2" w:rsidRPr="003D1E07">
        <w:t xml:space="preserve">V prostředí gnostického subjektu nadaného božským myšlením není třeba tematizovat </w:t>
      </w:r>
      <w:r w:rsidR="008A17DE">
        <w:t xml:space="preserve">impozici smyslu od hyparchické </w:t>
      </w:r>
      <w:r w:rsidR="005769B2" w:rsidRPr="003D1E07">
        <w:t>první substance</w:t>
      </w:r>
      <w:r w:rsidR="005769B2" w:rsidRPr="003D1E07">
        <w:fldChar w:fldCharType="begin"/>
      </w:r>
      <w:r w:rsidR="005769B2" w:rsidRPr="003D1E07">
        <w:instrText xml:space="preserve"> XE "substance:hyparchická" </w:instrText>
      </w:r>
      <w:r w:rsidR="005769B2" w:rsidRPr="003D1E07">
        <w:fldChar w:fldCharType="end"/>
      </w:r>
      <w:r w:rsidR="005769B2" w:rsidRPr="003D1E07">
        <w:t xml:space="preserve">. </w:t>
      </w:r>
      <w:r w:rsidR="00684365" w:rsidRPr="003D1E07">
        <w:t>Toto intelektuální pohrdání aristotelismem najdeme v nové podobě u scholas</w:t>
      </w:r>
      <w:r w:rsidR="00553A29" w:rsidRPr="003D1E07">
        <w:t xml:space="preserve">tických iluminátů </w:t>
      </w:r>
      <w:r w:rsidR="00A3573B" w:rsidRPr="003D1E07">
        <w:t xml:space="preserve">na </w:t>
      </w:r>
      <w:r w:rsidR="000C07FE" w:rsidRPr="003D1E07">
        <w:t>univerzitě v</w:t>
      </w:r>
      <w:r w:rsidR="00B4638D" w:rsidRPr="003D1E07">
        <w:t> Oxfordu</w:t>
      </w:r>
      <w:r w:rsidR="08DD317C" w:rsidRPr="003D1E07">
        <w:t xml:space="preserve"> někdy roku 1235</w:t>
      </w:r>
      <w:r w:rsidR="00B4638D" w:rsidRPr="003D1E07">
        <w:t xml:space="preserve">, </w:t>
      </w:r>
      <w:r w:rsidR="00B47C10" w:rsidRPr="003D1E07">
        <w:t xml:space="preserve">když se první latinští modernisté stali akademiky </w:t>
      </w:r>
      <w:r w:rsidR="00A3573B" w:rsidRPr="003D1E07">
        <w:t>(</w:t>
      </w:r>
      <w:r w:rsidR="08CB71B2" w:rsidRPr="003D1E07">
        <w:t>OBJ II, kap. 3</w:t>
      </w:r>
      <w:r w:rsidR="00A3573B" w:rsidRPr="003D1E07">
        <w:t>.4.2)</w:t>
      </w:r>
      <w:r w:rsidR="00684365" w:rsidRPr="003D1E07">
        <w:t xml:space="preserve">. </w:t>
      </w:r>
      <w:r w:rsidR="08485D41" w:rsidRPr="003D1E07">
        <w:t xml:space="preserve">Filosofický </w:t>
      </w:r>
      <w:r w:rsidR="08FD6F2F" w:rsidRPr="003D1E07">
        <w:t xml:space="preserve">duch </w:t>
      </w:r>
      <w:r w:rsidR="08485D41" w:rsidRPr="003D1E07">
        <w:t>prvních moderních osvícenců přece nebude plýtvat čas</w:t>
      </w:r>
      <w:r w:rsidR="08A3251C" w:rsidRPr="003D1E07">
        <w:t>em a si</w:t>
      </w:r>
      <w:r w:rsidR="08485D41" w:rsidRPr="003D1E07">
        <w:t>l</w:t>
      </w:r>
      <w:r w:rsidR="08A3251C" w:rsidRPr="003D1E07">
        <w:t>ou</w:t>
      </w:r>
      <w:r w:rsidR="08485D41" w:rsidRPr="003D1E07">
        <w:t xml:space="preserve"> na zkoum</w:t>
      </w:r>
      <w:r w:rsidR="00D82D1D">
        <w:t>ání materiální první substance.</w:t>
      </w:r>
    </w:p>
    <w:p w14:paraId="3094A7FE" w14:textId="77777777" w:rsidR="00963052" w:rsidRPr="003D1E07" w:rsidRDefault="007C7E11" w:rsidP="086C1F19">
      <w:pPr>
        <w:pStyle w:val="Nadpis3"/>
        <w:rPr>
          <w:lang w:val="cs-CZ"/>
        </w:rPr>
      </w:pPr>
      <w:r w:rsidRPr="003D1E07">
        <w:rPr>
          <w:lang w:val="cs-CZ"/>
        </w:rPr>
        <w:br w:type="page"/>
      </w:r>
      <w:bookmarkStart w:id="27" w:name="_Toc93747272"/>
      <w:bookmarkStart w:id="28" w:name="_Toc102906162"/>
      <w:r w:rsidR="08AF6B7D" w:rsidRPr="003D1E07">
        <w:rPr>
          <w:lang w:val="cs-CZ"/>
        </w:rPr>
        <w:lastRenderedPageBreak/>
        <w:t>1.3</w:t>
      </w:r>
      <w:r w:rsidR="00963052" w:rsidRPr="003D1E07">
        <w:rPr>
          <w:lang w:val="cs-CZ"/>
        </w:rPr>
        <w:t>.3 Založení objektivní fyziky</w:t>
      </w:r>
      <w:bookmarkEnd w:id="27"/>
      <w:bookmarkEnd w:id="28"/>
    </w:p>
    <w:p w14:paraId="6C3976C2" w14:textId="1A560513" w:rsidR="0007184D" w:rsidRDefault="00726888" w:rsidP="08651280">
      <w:pPr>
        <w:rPr>
          <w:rStyle w:val="addmd"/>
        </w:rPr>
      </w:pPr>
      <w:r w:rsidRPr="003D1E07">
        <w:t xml:space="preserve">Od poloviny 6. století začíná nová událost zatmění první </w:t>
      </w:r>
      <w:r>
        <w:t xml:space="preserve">hyparchické </w:t>
      </w:r>
      <w:r w:rsidRPr="003D1E07">
        <w:t>substance</w:t>
      </w:r>
      <w:r w:rsidRPr="003D1E07">
        <w:fldChar w:fldCharType="begin"/>
      </w:r>
      <w:r w:rsidRPr="003D1E07">
        <w:instrText xml:space="preserve"> XE "zatmění:substance" </w:instrText>
      </w:r>
      <w:r w:rsidRPr="003D1E07">
        <w:fldChar w:fldCharType="end"/>
      </w:r>
      <w:r w:rsidRPr="003D1E07">
        <w:t xml:space="preserve"> (</w:t>
      </w:r>
      <w:r w:rsidRPr="003D1E07">
        <w:rPr>
          <w:i/>
        </w:rPr>
        <w:t>Seinsvergessenheit</w:t>
      </w:r>
      <w:r w:rsidRPr="003D1E07">
        <w:rPr>
          <w:i/>
        </w:rPr>
        <w:fldChar w:fldCharType="begin"/>
      </w:r>
      <w:r w:rsidRPr="003D1E07">
        <w:instrText xml:space="preserve"> XE "</w:instrText>
      </w:r>
      <w:r w:rsidRPr="003D1E07">
        <w:rPr>
          <w:i/>
        </w:rPr>
        <w:instrText>Seinsvergessenheit</w:instrText>
      </w:r>
      <w:r w:rsidRPr="003D1E07">
        <w:instrText xml:space="preserve">" </w:instrText>
      </w:r>
      <w:r w:rsidRPr="003D1E07">
        <w:rPr>
          <w:i/>
        </w:rPr>
        <w:fldChar w:fldCharType="end"/>
      </w:r>
      <w:r w:rsidRPr="003D1E07">
        <w:t>) daná vědomou úpravou aristotelské metafyziky. Zdrojem zapomenutí bytí již není osud metafyzicky určeného jsoucna skrze Platonovo podobenství o jeskyni (</w:t>
      </w:r>
      <w:r w:rsidRPr="003D1E07">
        <w:rPr>
          <w:i/>
        </w:rPr>
        <w:t>Seinsverlassenheit</w:t>
      </w:r>
      <w:r w:rsidRPr="003D1E07">
        <w:rPr>
          <w:i/>
        </w:rPr>
        <w:fldChar w:fldCharType="begin"/>
      </w:r>
      <w:r w:rsidRPr="003D1E07">
        <w:instrText xml:space="preserve"> XE "</w:instrText>
      </w:r>
      <w:r w:rsidRPr="003D1E07">
        <w:rPr>
          <w:i/>
        </w:rPr>
        <w:instrText>Seinsverlassenheit</w:instrText>
      </w:r>
      <w:r w:rsidRPr="003D1E07">
        <w:instrText xml:space="preserve">" </w:instrText>
      </w:r>
      <w:r w:rsidRPr="003D1E07">
        <w:rPr>
          <w:i/>
        </w:rPr>
        <w:fldChar w:fldCharType="end"/>
      </w:r>
      <w:r w:rsidRPr="003D1E07">
        <w:t xml:space="preserve">). Jejím aktérem je moderní iluminát typu božského Jamblicha, který vytvořil nový dějinný subjekt nadaný theurgickou vůlí k poznání a k moci. Tento </w:t>
      </w:r>
      <w:r>
        <w:t xml:space="preserve">energický </w:t>
      </w:r>
      <w:r w:rsidRPr="003D1E07">
        <w:t xml:space="preserve">habitus moderního subjektu </w:t>
      </w:r>
      <w:r w:rsidR="00F04002" w:rsidRPr="00FF3001">
        <w:t>(ἐνέργειά τις</w:t>
      </w:r>
      <w:r w:rsidR="00F04002" w:rsidRPr="002856D5">
        <w:t xml:space="preserve">) </w:t>
      </w:r>
      <w:r w:rsidRPr="003D1E07">
        <w:t xml:space="preserve">objektivně určuje epochální osud západního myšlení v modu metafyzického </w:t>
      </w:r>
      <w:r w:rsidRPr="003D1E07">
        <w:rPr>
          <w:i/>
        </w:rPr>
        <w:t>Irrtum</w:t>
      </w:r>
      <w:r w:rsidRPr="003D1E07">
        <w:rPr>
          <w:i/>
        </w:rPr>
        <w:fldChar w:fldCharType="begin"/>
      </w:r>
      <w:r w:rsidRPr="003D1E07">
        <w:instrText xml:space="preserve"> XE "</w:instrText>
      </w:r>
      <w:r w:rsidRPr="003D1E07">
        <w:rPr>
          <w:i/>
        </w:rPr>
        <w:instrText>Irrtum</w:instrText>
      </w:r>
      <w:r w:rsidRPr="003D1E07">
        <w:instrText xml:space="preserve">:neoplatonismus" </w:instrText>
      </w:r>
      <w:r w:rsidRPr="003D1E07">
        <w:rPr>
          <w:i/>
        </w:rPr>
        <w:fldChar w:fldCharType="end"/>
      </w:r>
      <w:r w:rsidRPr="003D1E07">
        <w:t>. Jeho novými protagonisty postupně budou Avicenna ve falsafě, Rufus z Cornwallu a Bonaventura na latinském Západě. Nová substance se chápe v rámci mystické theurgie</w:t>
      </w:r>
      <w:r w:rsidRPr="003D1E07">
        <w:fldChar w:fldCharType="begin"/>
      </w:r>
      <w:r w:rsidRPr="003D1E07">
        <w:instrText xml:space="preserve"> XE "theurgie" </w:instrText>
      </w:r>
      <w:r w:rsidRPr="003D1E07">
        <w:fldChar w:fldCharType="end"/>
      </w:r>
      <w:r w:rsidRPr="003D1E07">
        <w:t xml:space="preserve"> moderního subjektu, jenž mění bytí jsoucna na objektivní demiurgickou formu</w:t>
      </w:r>
      <w:r w:rsidR="00560ED4">
        <w:t xml:space="preserve"> (</w:t>
      </w:r>
      <w:r w:rsidR="00560ED4" w:rsidRPr="004A20FE">
        <w:rPr>
          <w:i/>
        </w:rPr>
        <w:t>Ge-Stell</w:t>
      </w:r>
      <w:r w:rsidR="007621AF">
        <w:rPr>
          <w:i/>
        </w:rPr>
        <w:fldChar w:fldCharType="begin"/>
      </w:r>
      <w:r w:rsidR="007621AF">
        <w:instrText xml:space="preserve"> XE "</w:instrText>
      </w:r>
      <w:r w:rsidR="007621AF" w:rsidRPr="00D46383">
        <w:rPr>
          <w:i/>
        </w:rPr>
        <w:instrText>Ge-Stell</w:instrText>
      </w:r>
      <w:r w:rsidR="007621AF">
        <w:instrText xml:space="preserve">" </w:instrText>
      </w:r>
      <w:r w:rsidR="007621AF">
        <w:rPr>
          <w:i/>
        </w:rPr>
        <w:fldChar w:fldCharType="end"/>
      </w:r>
      <w:r w:rsidR="00560ED4">
        <w:t>)</w:t>
      </w:r>
      <w:r w:rsidRPr="003D1E07">
        <w:t>. Není divu, že první souběh platonismu a původních aristotelských škol vytvořil ve 2.</w:t>
      </w:r>
      <w:r w:rsidRPr="003D1E07">
        <w:rPr>
          <w:rFonts w:cs="Calibri"/>
        </w:rPr>
        <w:t>–</w:t>
      </w:r>
      <w:r w:rsidRPr="003D1E07">
        <w:t>3. století př. Kr. koncept svobodné vůle (</w:t>
      </w:r>
      <w:r w:rsidRPr="003D1E07">
        <w:rPr>
          <w:i/>
        </w:rPr>
        <w:t>liberum arbitrium</w:t>
      </w:r>
      <w:r w:rsidRPr="003D1E07">
        <w:rPr>
          <w:i/>
        </w:rPr>
        <w:fldChar w:fldCharType="begin"/>
      </w:r>
      <w:r w:rsidRPr="003D1E07">
        <w:instrText xml:space="preserve"> XE "</w:instrText>
      </w:r>
      <w:r w:rsidRPr="003D1E07">
        <w:rPr>
          <w:i/>
        </w:rPr>
        <w:instrText>liberum arbitrium</w:instrText>
      </w:r>
      <w:r w:rsidRPr="003D1E07">
        <w:instrText xml:space="preserve">" </w:instrText>
      </w:r>
      <w:r w:rsidRPr="003D1E07">
        <w:rPr>
          <w:i/>
        </w:rPr>
        <w:fldChar w:fldCharType="end"/>
      </w:r>
      <w:r w:rsidRPr="003D1E07">
        <w:t xml:space="preserve">). Synkretisté pozdní antiky dali dohromady v podobném scénáři spojení Platona a Aristotela definici jednání a záměrné volby v </w:t>
      </w:r>
      <w:r w:rsidRPr="003D1E07">
        <w:rPr>
          <w:i/>
        </w:rPr>
        <w:t>Etice Nikomachově</w:t>
      </w:r>
      <w:r w:rsidRPr="003D1E07">
        <w:t xml:space="preserve"> a napojili ji na stoickou odpovědnost navázanou na morální jednání (Bobzien 1998). </w:t>
      </w:r>
      <w:r w:rsidR="00703661" w:rsidRPr="00703661">
        <w:t>Tento aristotelský a stoický subjekt je v době tyranie obdařen novým druhem čistě osobní a vnitřní svobody. Filosoficky i politi</w:t>
      </w:r>
      <w:r w:rsidR="00703661">
        <w:t>cky značně problematický pojem „svobodné vůle“</w:t>
      </w:r>
      <w:r w:rsidR="00703661" w:rsidRPr="00703661">
        <w:t xml:space="preserve"> </w:t>
      </w:r>
      <w:r w:rsidR="002950FF">
        <w:rPr>
          <w:noProof w:val="0"/>
          <w:lang w:val="fr-FR"/>
        </w:rPr>
        <w:t>(H. Arendt</w:t>
      </w:r>
      <w:r w:rsidR="002950FF">
        <w:rPr>
          <w:noProof w:val="0"/>
          <w:lang w:val="fr-FR"/>
        </w:rPr>
        <w:fldChar w:fldCharType="begin"/>
      </w:r>
      <w:r w:rsidR="002950FF">
        <w:instrText xml:space="preserve"> XE "</w:instrText>
      </w:r>
      <w:r w:rsidR="002950FF" w:rsidRPr="00D467B4">
        <w:rPr>
          <w:noProof w:val="0"/>
          <w:lang w:val="fr-FR"/>
        </w:rPr>
        <w:instrText>Arendt, H.</w:instrText>
      </w:r>
      <w:r w:rsidR="002950FF">
        <w:instrText xml:space="preserve">" </w:instrText>
      </w:r>
      <w:r w:rsidR="002950FF">
        <w:rPr>
          <w:noProof w:val="0"/>
          <w:lang w:val="fr-FR"/>
        </w:rPr>
        <w:fldChar w:fldCharType="end"/>
      </w:r>
      <w:r w:rsidR="002950FF">
        <w:rPr>
          <w:noProof w:val="0"/>
          <w:lang w:val="fr-FR"/>
        </w:rPr>
        <w:t xml:space="preserve">) </w:t>
      </w:r>
      <w:r w:rsidR="00703661" w:rsidRPr="00703661">
        <w:t>se objevuje v</w:t>
      </w:r>
      <w:r w:rsidR="00703661">
        <w:t xml:space="preserve"> okamžiku, kdy se objevuje nové </w:t>
      </w:r>
      <w:r w:rsidR="00703661" w:rsidRPr="00703661">
        <w:rPr>
          <w:i/>
        </w:rPr>
        <w:t>individuum</w:t>
      </w:r>
      <w:r w:rsidR="00703661">
        <w:t xml:space="preserve"> </w:t>
      </w:r>
      <w:r w:rsidR="00703661" w:rsidRPr="00703661">
        <w:t>a klasická řecká demokraci</w:t>
      </w:r>
      <w:r w:rsidR="00703661">
        <w:t>e odchází do Léthé</w:t>
      </w:r>
      <w:r w:rsidR="00703661" w:rsidRPr="00703661">
        <w:t>.</w:t>
      </w:r>
      <w:r w:rsidR="00703661">
        <w:t xml:space="preserve"> Pro </w:t>
      </w:r>
      <w:r w:rsidR="00703661" w:rsidRPr="003D1E07">
        <w:t>křesťanskou modernu</w:t>
      </w:r>
      <w:r w:rsidR="00703661">
        <w:t xml:space="preserve"> t</w:t>
      </w:r>
      <w:r w:rsidRPr="003D1E07">
        <w:t xml:space="preserve">uto syntézu svobodné vůle zopakuje Anselm, Bonaventura a Olivi. </w:t>
      </w:r>
      <w:r w:rsidR="08DA6AF7" w:rsidRPr="003D1E07">
        <w:rPr>
          <w:rStyle w:val="addmd"/>
        </w:rPr>
        <w:t>Demiurgie, theurgie</w:t>
      </w:r>
      <w:r w:rsidR="08DA6AF7" w:rsidRPr="003D1E07">
        <w:rPr>
          <w:rStyle w:val="addmd"/>
        </w:rPr>
        <w:fldChar w:fldCharType="begin"/>
      </w:r>
      <w:r w:rsidR="08DA6AF7" w:rsidRPr="003D1E07">
        <w:instrText xml:space="preserve"> XE "theurgie" </w:instrText>
      </w:r>
      <w:r w:rsidR="08DA6AF7" w:rsidRPr="003D1E07">
        <w:rPr>
          <w:rStyle w:val="addmd"/>
        </w:rPr>
        <w:fldChar w:fldCharType="end"/>
      </w:r>
      <w:r w:rsidR="08DA6AF7" w:rsidRPr="003D1E07">
        <w:rPr>
          <w:rStyle w:val="addmd"/>
        </w:rPr>
        <w:t>, gnóze a mystika</w:t>
      </w:r>
      <w:r w:rsidR="08DA6AF7" w:rsidRPr="003D1E07">
        <w:rPr>
          <w:rStyle w:val="addmd"/>
        </w:rPr>
        <w:fldChar w:fldCharType="begin"/>
      </w:r>
      <w:r w:rsidR="08DA6AF7" w:rsidRPr="003D1E07">
        <w:instrText xml:space="preserve"> XE "</w:instrText>
      </w:r>
      <w:r w:rsidR="08DA6AF7" w:rsidRPr="003D1E07">
        <w:rPr>
          <w:lang w:eastAsia="en-US"/>
        </w:rPr>
        <w:instrText>mystika</w:instrText>
      </w:r>
      <w:r w:rsidR="08DA6AF7" w:rsidRPr="003D1E07">
        <w:instrText xml:space="preserve">" </w:instrText>
      </w:r>
      <w:r w:rsidR="08DA6AF7" w:rsidRPr="003D1E07">
        <w:rPr>
          <w:rStyle w:val="addmd"/>
        </w:rPr>
        <w:fldChar w:fldCharType="end"/>
      </w:r>
      <w:r w:rsidR="08DA6AF7" w:rsidRPr="003D1E07">
        <w:rPr>
          <w:rStyle w:val="addmd"/>
        </w:rPr>
        <w:t xml:space="preserve"> stojí u zrodu objektivity, protože etablovaly první systém ontoteologie dan</w:t>
      </w:r>
      <w:r w:rsidR="0007184D">
        <w:rPr>
          <w:rStyle w:val="addmd"/>
        </w:rPr>
        <w:t>ý mimo reálnou první substanci.</w:t>
      </w:r>
      <w:r w:rsidR="00E32F26">
        <w:rPr>
          <w:rStyle w:val="addmd"/>
        </w:rPr>
        <w:t xml:space="preserve"> </w:t>
      </w:r>
      <w:r w:rsidR="00E32F26" w:rsidRPr="003D1E07">
        <w:t>Dějiny západní objektivity postavené mimo první substanci a tím i mimo princip reality ukáží, že cena za nalezení jednoty mezi Platonem a Aristotelem nebude malá.</w:t>
      </w:r>
      <w:r w:rsidR="00E32F26">
        <w:t xml:space="preserve"> </w:t>
      </w:r>
    </w:p>
    <w:p w14:paraId="6183C3A9" w14:textId="77777777" w:rsidR="000C123C" w:rsidRDefault="00963052" w:rsidP="0007184D">
      <w:pPr>
        <w:ind w:firstLine="397"/>
      </w:pPr>
      <w:r w:rsidRPr="003D1E07">
        <w:rPr>
          <w:rStyle w:val="addmd"/>
        </w:rPr>
        <w:t xml:space="preserve">Substance třetího druhu dostala nový řád bytí v rámci diakosmu tím, že Jamblichos </w:t>
      </w:r>
      <w:r w:rsidRPr="003D1E07">
        <w:t xml:space="preserve">převedl </w:t>
      </w:r>
      <w:r w:rsidR="087F15A1" w:rsidRPr="003D1E07">
        <w:t xml:space="preserve">akt tvoření </w:t>
      </w:r>
      <w:r w:rsidR="00203AFB" w:rsidRPr="003D1E07">
        <w:t xml:space="preserve">podle </w:t>
      </w:r>
      <w:r w:rsidR="087F15A1" w:rsidRPr="003D1E07">
        <w:t>dialogu</w:t>
      </w:r>
      <w:r w:rsidRPr="003D1E07">
        <w:t xml:space="preserve"> </w:t>
      </w:r>
      <w:r w:rsidR="086F7D25" w:rsidRPr="003D1E07">
        <w:rPr>
          <w:i/>
        </w:rPr>
        <w:t>Ti</w:t>
      </w:r>
      <w:r w:rsidRPr="003D1E07">
        <w:rPr>
          <w:i/>
        </w:rPr>
        <w:t>maios</w:t>
      </w:r>
      <w:r w:rsidRPr="003D1E07">
        <w:t xml:space="preserve"> do mystické henologie</w:t>
      </w:r>
      <w:r w:rsidRPr="003D1E07">
        <w:fldChar w:fldCharType="begin"/>
      </w:r>
      <w:r w:rsidRPr="003D1E07">
        <w:instrText xml:space="preserve"> XE "henologie" </w:instrText>
      </w:r>
      <w:r w:rsidRPr="003D1E07">
        <w:fldChar w:fldCharType="end"/>
      </w:r>
      <w:r w:rsidRPr="003D1E07">
        <w:t>. Nová jednota jsoucna je určena matematicky založenou tvorbou diakosmu, k</w:t>
      </w:r>
      <w:r w:rsidR="00FF7E11" w:rsidRPr="003D1E07">
        <w:t xml:space="preserve">terý spojuje svět kosmických a </w:t>
      </w:r>
      <w:r w:rsidRPr="003D1E07">
        <w:t>materiálních forem v modu univerzální analogie</w:t>
      </w:r>
      <w:r w:rsidRPr="003D1E07">
        <w:rPr>
          <w:rStyle w:val="addmd"/>
        </w:rPr>
        <w:t xml:space="preserve">. </w:t>
      </w:r>
      <w:r w:rsidRPr="003D1E07">
        <w:t xml:space="preserve">Exegeze tohoto dialogu byla jedním z důvodů, proč </w:t>
      </w:r>
      <w:r w:rsidR="00BB45B1" w:rsidRPr="003D1E07">
        <w:t>Porfyri</w:t>
      </w:r>
      <w:r w:rsidR="08D95C66" w:rsidRPr="003D1E07">
        <w:t>us a Jamblichus zavrhli Ploti</w:t>
      </w:r>
      <w:r w:rsidRPr="003D1E07">
        <w:t xml:space="preserve">novo učení o absolutním oddělení Jednoho. </w:t>
      </w:r>
      <w:r w:rsidR="08625A2B" w:rsidRPr="003D1E07">
        <w:t xml:space="preserve">Novou exegezí dialogu </w:t>
      </w:r>
      <w:r w:rsidR="08625A2B" w:rsidRPr="003D1E07">
        <w:rPr>
          <w:i/>
        </w:rPr>
        <w:t>Timaios</w:t>
      </w:r>
      <w:r w:rsidR="08625A2B" w:rsidRPr="003D1E07">
        <w:t xml:space="preserve"> odpovídají Plotinovi nástupci mimo jiné i na otázku po jednotě světa vytvořeného podle předem daného ideového </w:t>
      </w:r>
      <w:r w:rsidR="00ED736E" w:rsidRPr="003D1E07">
        <w:t xml:space="preserve">neoplatonského </w:t>
      </w:r>
      <w:r w:rsidR="08625A2B" w:rsidRPr="003D1E07">
        <w:t xml:space="preserve">paradigmatu. </w:t>
      </w:r>
      <w:r w:rsidRPr="003D1E07">
        <w:t xml:space="preserve">Svět byl stvořen jako živá bytost a v jednom exempláři skrze </w:t>
      </w:r>
      <w:r w:rsidR="08D95C66" w:rsidRPr="003D1E07">
        <w:t>práci d</w:t>
      </w:r>
      <w:r w:rsidRPr="003D1E07">
        <w:t xml:space="preserve">emiurga realizujícího v </w:t>
      </w:r>
      <w:r w:rsidRPr="003D1E07">
        <w:lastRenderedPageBreak/>
        <w:t>nižším světě odraz autonomního světa věčných forem a idejí</w:t>
      </w:r>
      <w:r w:rsidR="088B7B17" w:rsidRPr="003D1E07">
        <w:t xml:space="preserve"> (ἕνα, εἴπερ κατὰ τὸ παράδειγμα δεδημιουργημένος ἔσται, </w:t>
      </w:r>
      <w:r w:rsidR="088B7B17" w:rsidRPr="003D1E07">
        <w:rPr>
          <w:i/>
        </w:rPr>
        <w:t>Tim</w:t>
      </w:r>
      <w:r w:rsidR="088B7B17" w:rsidRPr="003D1E07">
        <w:t>. 31a3–4</w:t>
      </w:r>
      <w:r w:rsidR="088B7B17" w:rsidRPr="003D1E07">
        <w:fldChar w:fldCharType="begin"/>
      </w:r>
      <w:r w:rsidR="088B7B17" w:rsidRPr="003D1E07">
        <w:instrText xml:space="preserve"> XE "Platon:</w:instrText>
      </w:r>
      <w:r w:rsidR="088B7B17" w:rsidRPr="003D1E07">
        <w:rPr>
          <w:i/>
        </w:rPr>
        <w:instrText>Tim</w:instrText>
      </w:r>
      <w:r w:rsidR="088B7B17" w:rsidRPr="003D1E07">
        <w:instrText xml:space="preserve">. 31a3–4" </w:instrText>
      </w:r>
      <w:r w:rsidR="088B7B17" w:rsidRPr="003D1E07">
        <w:fldChar w:fldCharType="end"/>
      </w:r>
      <w:r w:rsidR="088B7B17" w:rsidRPr="003D1E07">
        <w:t>)</w:t>
      </w:r>
      <w:r w:rsidRPr="003D1E07">
        <w:t xml:space="preserve">. Determinace bytí podle </w:t>
      </w:r>
      <w:r w:rsidR="08971B7F" w:rsidRPr="003D1E07">
        <w:t xml:space="preserve">filosofické pohádky </w:t>
      </w:r>
      <w:r w:rsidR="08AC712C" w:rsidRPr="003D1E07">
        <w:t xml:space="preserve">Platona </w:t>
      </w:r>
      <w:r w:rsidRPr="003D1E07">
        <w:t xml:space="preserve">zakládá ontoteologickou konstrukci metafyziky, která je podmínkou </w:t>
      </w:r>
      <w:r w:rsidRPr="003D1E07">
        <w:rPr>
          <w:i/>
        </w:rPr>
        <w:t>sine qua non</w:t>
      </w:r>
      <w:r w:rsidRPr="003D1E07">
        <w:t xml:space="preserve"> pro zavedení jsoucna třetího druhu. </w:t>
      </w:r>
      <w:r w:rsidR="08EC31A8" w:rsidRPr="003D1E07">
        <w:t xml:space="preserve">Neoplatonikové museli vytvořit kompletní vědecký </w:t>
      </w:r>
      <w:r w:rsidRPr="003D1E07">
        <w:t xml:space="preserve">popis </w:t>
      </w:r>
      <w:r w:rsidR="00470C0A" w:rsidRPr="003D1E07">
        <w:t xml:space="preserve">diakosmu, který vytvořil první akademický demiurg jménem Timaios. Tuto záslužnou činnost dělají dodnes. </w:t>
      </w:r>
      <w:r w:rsidR="08EC31A8" w:rsidRPr="003D1E07">
        <w:t xml:space="preserve">Mytopoetika na druhou byla možná jen za tu cenu, že </w:t>
      </w:r>
      <w:r w:rsidRPr="003D1E07">
        <w:fldChar w:fldCharType="begin"/>
      </w:r>
      <w:r w:rsidRPr="003D1E07">
        <w:instrText xml:space="preserve"> XE "diakosmos" </w:instrText>
      </w:r>
      <w:r w:rsidRPr="003D1E07">
        <w:fldChar w:fldCharType="end"/>
      </w:r>
      <w:r w:rsidR="08EC31A8" w:rsidRPr="003D1E07">
        <w:t>platonský diskosmos do sebe integroval</w:t>
      </w:r>
      <w:r w:rsidRPr="003D1E07">
        <w:t xml:space="preserve"> základní </w:t>
      </w:r>
      <w:r w:rsidR="00313DDD" w:rsidRPr="003D1E07">
        <w:t>koncepty Aristotelova spisu</w:t>
      </w:r>
      <w:r w:rsidRPr="003D1E07">
        <w:t xml:space="preserve"> </w:t>
      </w:r>
      <w:r w:rsidRPr="003D1E07">
        <w:rPr>
          <w:i/>
        </w:rPr>
        <w:t>Fyzik</w:t>
      </w:r>
      <w:r w:rsidR="00313DDD" w:rsidRPr="003D1E07">
        <w:rPr>
          <w:i/>
        </w:rPr>
        <w:t>a</w:t>
      </w:r>
      <w:r w:rsidRPr="003D1E07">
        <w:t xml:space="preserve">. </w:t>
      </w:r>
      <w:r w:rsidRPr="003D1E07">
        <w:rPr>
          <w:rStyle w:val="addmd"/>
        </w:rPr>
        <w:t>Aristotel</w:t>
      </w:r>
      <w:r w:rsidR="08971B7F" w:rsidRPr="003D1E07">
        <w:rPr>
          <w:rStyle w:val="addmd"/>
        </w:rPr>
        <w:t xml:space="preserve">es </w:t>
      </w:r>
      <w:r w:rsidRPr="003D1E07">
        <w:rPr>
          <w:lang w:eastAsia="en-US"/>
        </w:rPr>
        <w:t xml:space="preserve">váže </w:t>
      </w:r>
      <w:r w:rsidRPr="003D1E07">
        <w:t xml:space="preserve">akcidentální pohyb a proměny pouze na první substanci danou jako reálné hylemorfické těleso (ἀεὶ τὸ μεταβάλλον ἢ κατ' οὐσίαν, </w:t>
      </w:r>
      <w:r w:rsidRPr="003D1E07">
        <w:rPr>
          <w:i/>
        </w:rPr>
        <w:t>Phys</w:t>
      </w:r>
      <w:r w:rsidRPr="003D1E07">
        <w:t>. 200b33–34</w:t>
      </w:r>
      <w:r w:rsidRPr="003D1E07">
        <w:fldChar w:fldCharType="begin"/>
      </w:r>
      <w:r w:rsidRPr="003D1E07">
        <w:instrText xml:space="preserve"> XE "</w:instrText>
      </w:r>
      <w:r w:rsidR="008E02F5" w:rsidRPr="003D1E07">
        <w:instrText>Aristoteles</w:instrText>
      </w:r>
      <w:r w:rsidRPr="003D1E07">
        <w:instrText>:</w:instrText>
      </w:r>
      <w:r w:rsidRPr="003D1E07">
        <w:rPr>
          <w:i/>
        </w:rPr>
        <w:instrText>Phys</w:instrText>
      </w:r>
      <w:r w:rsidRPr="003D1E07">
        <w:instrText xml:space="preserve">. 200b33–34" </w:instrText>
      </w:r>
      <w:r w:rsidRPr="003D1E07">
        <w:fldChar w:fldCharType="end"/>
      </w:r>
      <w:r w:rsidRPr="003D1E07">
        <w:t xml:space="preserve">). </w:t>
      </w:r>
      <w:r w:rsidR="08B861F4" w:rsidRPr="003D1E07">
        <w:t xml:space="preserve">První substance </w:t>
      </w:r>
      <w:r w:rsidR="006C63DF" w:rsidRPr="003D1E07">
        <w:t xml:space="preserve">existuje </w:t>
      </w:r>
      <w:r w:rsidR="08B861F4" w:rsidRPr="003D1E07">
        <w:t xml:space="preserve">aktuálně, </w:t>
      </w:r>
      <w:r w:rsidR="08B861F4" w:rsidRPr="003D1E07">
        <w:rPr>
          <w:i/>
        </w:rPr>
        <w:t>simpliciter</w:t>
      </w:r>
      <w:r w:rsidR="08B861F4" w:rsidRPr="003D1E07">
        <w:t xml:space="preserve"> a </w:t>
      </w:r>
      <w:r w:rsidR="08B861F4" w:rsidRPr="003D1E07">
        <w:rPr>
          <w:i/>
        </w:rPr>
        <w:t>per se</w:t>
      </w:r>
      <w:r w:rsidR="08B861F4" w:rsidRPr="003D1E07">
        <w:t xml:space="preserve">. K individuálnímu tělesu existujícímu mimo nás se musí poznané vlastnosti </w:t>
      </w:r>
      <w:r w:rsidR="009C2B5D" w:rsidRPr="003D1E07">
        <w:t xml:space="preserve">kategoriálně </w:t>
      </w:r>
      <w:r w:rsidR="08B861F4" w:rsidRPr="003D1E07">
        <w:t xml:space="preserve">predikovat. </w:t>
      </w:r>
      <w:r w:rsidR="085D58BE" w:rsidRPr="003D1E07">
        <w:t>Neoplatonici viděli, že nově založená substance</w:t>
      </w:r>
      <w:r w:rsidR="085D58BE" w:rsidRPr="003D1E07">
        <w:fldChar w:fldCharType="begin"/>
      </w:r>
      <w:r w:rsidR="085D58BE" w:rsidRPr="003D1E07">
        <w:instrText xml:space="preserve"> XE "substance:</w:instrText>
      </w:r>
      <w:r w:rsidR="085D58BE" w:rsidRPr="003D1E07">
        <w:rPr>
          <w:i/>
        </w:rPr>
        <w:instrText>species</w:instrText>
      </w:r>
      <w:r w:rsidR="085D58BE" w:rsidRPr="003D1E07">
        <w:instrText xml:space="preserve">" </w:instrText>
      </w:r>
      <w:r w:rsidR="085D58BE" w:rsidRPr="003D1E07">
        <w:fldChar w:fldCharType="end"/>
      </w:r>
      <w:r w:rsidR="085D58BE" w:rsidRPr="003D1E07">
        <w:t>-</w:t>
      </w:r>
      <w:r w:rsidR="00F214C5" w:rsidRPr="003D1E07">
        <w:t>species</w:t>
      </w:r>
      <w:r w:rsidR="085D58BE" w:rsidRPr="003D1E07">
        <w:t xml:space="preserve"> stojí v rozporu nejen s Aristotelovou naukou o kategoriích, ale především s jeho </w:t>
      </w:r>
      <w:r w:rsidR="085D58BE" w:rsidRPr="003D1E07">
        <w:rPr>
          <w:i/>
        </w:rPr>
        <w:t>Fyzikou</w:t>
      </w:r>
      <w:r w:rsidR="085D58BE" w:rsidRPr="003D1E07">
        <w:t xml:space="preserve">. Poslední neoplatonikové antiky museli navrhnout těleso, prostor a čas třetího druhu tak, aby naplnili v nově daném diakosmu i základní fyzikální požadavky ohledně objektivního tělesa a jeho vlastností. </w:t>
      </w:r>
      <w:r w:rsidR="004317D2" w:rsidRPr="003D1E07">
        <w:t xml:space="preserve">Největším nepřítelem prvních moderních akademiků byla fyzikální realita popsaná Aristotelem. </w:t>
      </w:r>
      <w:r w:rsidR="08B861F4" w:rsidRPr="003D1E07">
        <w:t>Č</w:t>
      </w:r>
      <w:r w:rsidRPr="003D1E07">
        <w:t xml:space="preserve">as je vázaný na kinetický či metabolický pohyb těles poznaný smyslově (τοῦ προτέρου καὶ ὑστέρου ἐν τῇ κινήσει αἴσθησιν λάβωμεν, </w:t>
      </w:r>
      <w:r w:rsidRPr="003D1E07">
        <w:rPr>
          <w:i/>
          <w:lang w:eastAsia="en-US"/>
        </w:rPr>
        <w:t>Phys</w:t>
      </w:r>
      <w:r w:rsidRPr="003D1E07">
        <w:rPr>
          <w:lang w:eastAsia="en-US"/>
        </w:rPr>
        <w:t xml:space="preserve">. </w:t>
      </w:r>
      <w:r w:rsidRPr="003D1E07">
        <w:t>219a24–25</w:t>
      </w:r>
      <w:r w:rsidRPr="003D1E07">
        <w:fldChar w:fldCharType="begin"/>
      </w:r>
      <w:r w:rsidRPr="003D1E07">
        <w:instrText xml:space="preserve"> XE "</w:instrText>
      </w:r>
      <w:r w:rsidR="008E02F5" w:rsidRPr="003D1E07">
        <w:instrText>Aristoteles</w:instrText>
      </w:r>
      <w:r w:rsidRPr="003D1E07">
        <w:instrText>:</w:instrText>
      </w:r>
      <w:r w:rsidRPr="003D1E07">
        <w:rPr>
          <w:i/>
        </w:rPr>
        <w:instrText>Phys</w:instrText>
      </w:r>
      <w:r w:rsidRPr="003D1E07">
        <w:instrText xml:space="preserve">. 219a24–25" </w:instrText>
      </w:r>
      <w:r w:rsidRPr="003D1E07">
        <w:fldChar w:fldCharType="end"/>
      </w:r>
      <w:r w:rsidRPr="003D1E07">
        <w:t xml:space="preserve">). </w:t>
      </w:r>
      <w:r w:rsidR="08854609" w:rsidRPr="003D1E07">
        <w:t>Č</w:t>
      </w:r>
      <w:r w:rsidRPr="003D1E07">
        <w:t xml:space="preserve">as je dán pouze v duši (δύο εἴπῃ ἡ ψυχὴ τὰ νῦν, τὸ μὲν πρότερον τὸ δ' ὕστερον, </w:t>
      </w:r>
      <w:r w:rsidRPr="003D1E07">
        <w:rPr>
          <w:i/>
          <w:lang w:eastAsia="en-US"/>
        </w:rPr>
        <w:t>Phys</w:t>
      </w:r>
      <w:r w:rsidRPr="003D1E07">
        <w:rPr>
          <w:lang w:eastAsia="en-US"/>
        </w:rPr>
        <w:t xml:space="preserve">. </w:t>
      </w:r>
      <w:r w:rsidRPr="003D1E07">
        <w:t>219a27–28</w:t>
      </w:r>
      <w:r w:rsidRPr="003D1E07">
        <w:fldChar w:fldCharType="begin"/>
      </w:r>
      <w:r w:rsidRPr="003D1E07">
        <w:instrText xml:space="preserve"> XE "</w:instrText>
      </w:r>
      <w:r w:rsidR="008E02F5" w:rsidRPr="003D1E07">
        <w:instrText>Aristoteles</w:instrText>
      </w:r>
      <w:r w:rsidRPr="003D1E07">
        <w:instrText>:</w:instrText>
      </w:r>
      <w:r w:rsidRPr="003D1E07">
        <w:rPr>
          <w:i/>
        </w:rPr>
        <w:instrText>Phys</w:instrText>
      </w:r>
      <w:r w:rsidRPr="003D1E07">
        <w:instrText xml:space="preserve">. 219a27‒28" </w:instrText>
      </w:r>
      <w:r w:rsidRPr="003D1E07">
        <w:fldChar w:fldCharType="end"/>
      </w:r>
      <w:r w:rsidRPr="003D1E07">
        <w:t>)</w:t>
      </w:r>
      <w:r w:rsidR="08854609" w:rsidRPr="003D1E07">
        <w:t xml:space="preserve">, protože </w:t>
      </w:r>
      <w:r w:rsidRPr="003D1E07">
        <w:t xml:space="preserve"> </w:t>
      </w:r>
      <w:r w:rsidR="08854609" w:rsidRPr="003D1E07">
        <w:rPr>
          <w:lang w:eastAsia="en-US"/>
        </w:rPr>
        <w:t>u</w:t>
      </w:r>
      <w:r w:rsidRPr="003D1E07">
        <w:rPr>
          <w:lang w:eastAsia="en-US"/>
        </w:rPr>
        <w:t xml:space="preserve">rčení změny a času je pouze potenciální a akcidentální danost mysli vztažená </w:t>
      </w:r>
      <w:r w:rsidR="08F36149" w:rsidRPr="003D1E07">
        <w:rPr>
          <w:lang w:eastAsia="en-US"/>
        </w:rPr>
        <w:t xml:space="preserve">skrze predikaci </w:t>
      </w:r>
      <w:r w:rsidRPr="003D1E07">
        <w:rPr>
          <w:lang w:eastAsia="en-US"/>
        </w:rPr>
        <w:t xml:space="preserve">k reálné existenci tělesa. </w:t>
      </w:r>
      <w:r w:rsidR="08291838" w:rsidRPr="003D1E07">
        <w:rPr>
          <w:lang w:eastAsia="en-US"/>
        </w:rPr>
        <w:t xml:space="preserve">Teprve </w:t>
      </w:r>
      <w:r w:rsidR="08291838" w:rsidRPr="003D1E07">
        <w:t>etablování oddělených momentů pohybu tělesa jako „dříve“ a „potom“ (</w:t>
      </w:r>
      <w:r w:rsidR="08291838" w:rsidRPr="003D1E07">
        <w:rPr>
          <w:i/>
          <w:lang w:eastAsia="en-US"/>
        </w:rPr>
        <w:t>Phys</w:t>
      </w:r>
      <w:r w:rsidR="08291838" w:rsidRPr="003D1E07">
        <w:rPr>
          <w:lang w:eastAsia="en-US"/>
        </w:rPr>
        <w:t xml:space="preserve">. </w:t>
      </w:r>
      <w:r w:rsidR="08291838" w:rsidRPr="003D1E07">
        <w:t>219a33‒34</w:t>
      </w:r>
      <w:r w:rsidR="08291838" w:rsidRPr="003D1E07">
        <w:fldChar w:fldCharType="begin"/>
      </w:r>
      <w:r w:rsidR="08291838" w:rsidRPr="003D1E07">
        <w:instrText xml:space="preserve"> XE "Aristoteles:</w:instrText>
      </w:r>
      <w:r w:rsidR="08291838" w:rsidRPr="003D1E07">
        <w:rPr>
          <w:i/>
        </w:rPr>
        <w:instrText>Phys</w:instrText>
      </w:r>
      <w:r w:rsidR="08291838" w:rsidRPr="003D1E07">
        <w:instrText xml:space="preserve">. 219a33‒34" </w:instrText>
      </w:r>
      <w:r w:rsidR="08291838" w:rsidRPr="003D1E07">
        <w:fldChar w:fldCharType="end"/>
      </w:r>
      <w:r w:rsidR="08291838" w:rsidRPr="003D1E07">
        <w:t xml:space="preserve">) </w:t>
      </w:r>
      <w:r w:rsidR="08291838" w:rsidRPr="003D1E07">
        <w:fldChar w:fldCharType="begin"/>
      </w:r>
      <w:r w:rsidR="08291838" w:rsidRPr="003D1E07">
        <w:instrText xml:space="preserve"> XE "těleso:Aristoteles" </w:instrText>
      </w:r>
      <w:r w:rsidR="08291838" w:rsidRPr="003D1E07">
        <w:fldChar w:fldCharType="end"/>
      </w:r>
      <w:r w:rsidR="08291838" w:rsidRPr="003D1E07">
        <w:t xml:space="preserve">zakládá koncept času (τοῦτο γάρ ἐστιν ὁ χρόνος, </w:t>
      </w:r>
      <w:r w:rsidR="08291838" w:rsidRPr="003D1E07">
        <w:rPr>
          <w:i/>
          <w:lang w:eastAsia="en-US"/>
        </w:rPr>
        <w:t>Phys</w:t>
      </w:r>
      <w:r w:rsidR="08291838" w:rsidRPr="003D1E07">
        <w:rPr>
          <w:lang w:eastAsia="en-US"/>
        </w:rPr>
        <w:t xml:space="preserve">. </w:t>
      </w:r>
      <w:r w:rsidR="08291838" w:rsidRPr="003D1E07">
        <w:t>219b1</w:t>
      </w:r>
      <w:r w:rsidR="08DA4899" w:rsidRPr="003D1E07">
        <w:fldChar w:fldCharType="begin"/>
      </w:r>
      <w:r w:rsidR="08DA4899" w:rsidRPr="003D1E07">
        <w:instrText xml:space="preserve"> XE "Aristoteles:</w:instrText>
      </w:r>
      <w:r w:rsidR="08DA4899" w:rsidRPr="003D1E07">
        <w:rPr>
          <w:i/>
        </w:rPr>
        <w:instrText>Phys</w:instrText>
      </w:r>
      <w:r w:rsidR="08DA4899" w:rsidRPr="003D1E07">
        <w:instrText xml:space="preserve">. 219b1" </w:instrText>
      </w:r>
      <w:r w:rsidR="08DA4899" w:rsidRPr="003D1E07">
        <w:fldChar w:fldCharType="end"/>
      </w:r>
      <w:r w:rsidR="08291838" w:rsidRPr="003D1E07">
        <w:t xml:space="preserve">). </w:t>
      </w:r>
      <w:r w:rsidR="08160522" w:rsidRPr="003D1E07">
        <w:t xml:space="preserve">Simplikius ve výše uvedeném modelu myšlení podle Porfyria zrušil </w:t>
      </w:r>
      <w:r w:rsidR="08160522" w:rsidRPr="003D1E07">
        <w:rPr>
          <w:i/>
        </w:rPr>
        <w:t>modus tollens</w:t>
      </w:r>
      <w:r w:rsidR="08160522" w:rsidRPr="003D1E07">
        <w:rPr>
          <w:i/>
        </w:rPr>
        <w:fldChar w:fldCharType="begin"/>
      </w:r>
      <w:r w:rsidR="08160522" w:rsidRPr="003D1E07">
        <w:rPr>
          <w:i/>
        </w:rPr>
        <w:instrText xml:space="preserve"> XE "modus tollens" </w:instrText>
      </w:r>
      <w:r w:rsidR="08160522" w:rsidRPr="003D1E07">
        <w:rPr>
          <w:i/>
        </w:rPr>
        <w:fldChar w:fldCharType="end"/>
      </w:r>
      <w:r w:rsidR="08160522" w:rsidRPr="003D1E07">
        <w:t xml:space="preserve"> platný pro kvantitativní určení </w:t>
      </w:r>
      <w:r w:rsidR="08AF6B7D" w:rsidRPr="003D1E07">
        <w:t>reálného tělesa (kap. 1.3</w:t>
      </w:r>
      <w:r w:rsidR="08160522" w:rsidRPr="003D1E07">
        <w:t>.2) a nechal fyzikální určení tělesa existovat samostatně</w:t>
      </w:r>
      <w:r w:rsidR="001B69D2" w:rsidRPr="003D1E07">
        <w:t xml:space="preserve"> a mimo existující tělesa</w:t>
      </w:r>
      <w:r w:rsidR="00F62259" w:rsidRPr="003D1E07">
        <w:t xml:space="preserve">. To bylo možné </w:t>
      </w:r>
      <w:r w:rsidR="08AC5E00" w:rsidRPr="003D1E07">
        <w:t xml:space="preserve">proto, že akcidentální kategorie </w:t>
      </w:r>
      <w:r w:rsidR="08160522" w:rsidRPr="003D1E07">
        <w:t xml:space="preserve">jako </w:t>
      </w:r>
      <w:r w:rsidR="08086CA4" w:rsidRPr="003D1E07">
        <w:t xml:space="preserve">vztah a </w:t>
      </w:r>
      <w:r w:rsidR="08160522" w:rsidRPr="003D1E07">
        <w:t xml:space="preserve">habitus </w:t>
      </w:r>
      <w:r w:rsidR="00DA0CC8" w:rsidRPr="003D1E07">
        <w:t xml:space="preserve">se </w:t>
      </w:r>
      <w:r w:rsidR="08160522" w:rsidRPr="003D1E07">
        <w:t>stal</w:t>
      </w:r>
      <w:r w:rsidR="08086CA4" w:rsidRPr="003D1E07">
        <w:t>y</w:t>
      </w:r>
      <w:r w:rsidR="00DA0CC8" w:rsidRPr="003D1E07">
        <w:t xml:space="preserve"> samostatnými hypostázemi</w:t>
      </w:r>
      <w:r w:rsidR="08160522" w:rsidRPr="003D1E07">
        <w:t xml:space="preserve">. Kosmická </w:t>
      </w:r>
      <w:r w:rsidR="00F214C5" w:rsidRPr="003D1E07">
        <w:t>species</w:t>
      </w:r>
      <w:r w:rsidR="08160522" w:rsidRPr="003D1E07">
        <w:t xml:space="preserve"> existují věčně, proto musí být na úrovni kosmologie také věčně dána univerzální a formální určení </w:t>
      </w:r>
      <w:r w:rsidR="00692CCB" w:rsidRPr="003D1E07">
        <w:t xml:space="preserve">neoplatonského </w:t>
      </w:r>
      <w:r w:rsidR="08160522" w:rsidRPr="003D1E07">
        <w:t>tělesa</w:t>
      </w:r>
      <w:r w:rsidR="08160522" w:rsidRPr="003D1E07">
        <w:fldChar w:fldCharType="begin"/>
      </w:r>
      <w:r w:rsidR="08160522" w:rsidRPr="003D1E07">
        <w:instrText xml:space="preserve"> XE "těleso:objektivní" </w:instrText>
      </w:r>
      <w:r w:rsidR="08160522" w:rsidRPr="003D1E07">
        <w:fldChar w:fldCharType="end"/>
      </w:r>
      <w:r w:rsidR="08160522" w:rsidRPr="003D1E07">
        <w:t>.</w:t>
      </w:r>
    </w:p>
    <w:p w14:paraId="51FD8B25" w14:textId="28AADD21" w:rsidR="0056195A" w:rsidRPr="003D1E07" w:rsidRDefault="08160522" w:rsidP="0007184D">
      <w:pPr>
        <w:ind w:firstLine="397"/>
        <w:rPr>
          <w:rStyle w:val="addmd"/>
        </w:rPr>
      </w:pPr>
      <w:r w:rsidRPr="003D1E07">
        <w:rPr>
          <w:rStyle w:val="addmd"/>
        </w:rPr>
        <w:t xml:space="preserve">Těleso je definováno mimo </w:t>
      </w:r>
      <w:r w:rsidRPr="003D1E07">
        <w:t>první substanci ve dvou krocích. Díky formálnímu učení Jamblicha „Omezené‒Neomezené“</w:t>
      </w:r>
      <w:r w:rsidRPr="003D1E07">
        <w:fldChar w:fldCharType="begin"/>
      </w:r>
      <w:r w:rsidRPr="003D1E07">
        <w:instrText xml:space="preserve"> XE "</w:instrText>
      </w:r>
      <w:r w:rsidRPr="003D1E07">
        <w:rPr>
          <w:rStyle w:val="addmd"/>
        </w:rPr>
        <w:instrText>Omezené‒Neomezené</w:instrText>
      </w:r>
      <w:r w:rsidRPr="003D1E07">
        <w:instrText xml:space="preserve">" </w:instrText>
      </w:r>
      <w:r w:rsidRPr="003D1E07">
        <w:fldChar w:fldCharType="end"/>
      </w:r>
      <w:r w:rsidRPr="003D1E07">
        <w:t xml:space="preserve"> byla vytvořena subsistentní forma fyzikálního určení tělesa (čas, rozsažnost, materie), která dostala ideální výměr daný </w:t>
      </w:r>
      <w:r w:rsidR="08AE36D2" w:rsidRPr="003D1E07">
        <w:t xml:space="preserve">čistě </w:t>
      </w:r>
      <w:r w:rsidRPr="003D1E07">
        <w:t xml:space="preserve">formálně. Tato určení třetího druhu pak Simplikius ve svém komentáři k </w:t>
      </w:r>
      <w:r w:rsidRPr="003D1E07">
        <w:rPr>
          <w:i/>
        </w:rPr>
        <w:t>Fyzice</w:t>
      </w:r>
      <w:r w:rsidRPr="003D1E07">
        <w:t xml:space="preserve"> spojil s definicí neomezené </w:t>
      </w:r>
      <w:r w:rsidRPr="003D1E07">
        <w:lastRenderedPageBreak/>
        <w:t xml:space="preserve">primární materie (τὸ σῶμα ἂν εἴη ἡ πρώτη ὕλη, </w:t>
      </w:r>
      <w:r w:rsidRPr="003D1E07">
        <w:rPr>
          <w:i/>
        </w:rPr>
        <w:t>Simpl. in Phys</w:t>
      </w:r>
      <w:r w:rsidRPr="003D1E07">
        <w:t>. 227.30</w:t>
      </w:r>
      <w:r w:rsidRPr="003D1E07">
        <w:fldChar w:fldCharType="begin"/>
      </w:r>
      <w:r w:rsidRPr="003D1E07">
        <w:instrText xml:space="preserve"> XE "Simplikius:</w:instrText>
      </w:r>
      <w:r w:rsidRPr="003D1E07">
        <w:rPr>
          <w:i/>
        </w:rPr>
        <w:instrText>Simpl. in Phys</w:instrText>
      </w:r>
      <w:r w:rsidRPr="003D1E07">
        <w:instrText xml:space="preserve">. 227.30" </w:instrText>
      </w:r>
      <w:r w:rsidRPr="003D1E07">
        <w:fldChar w:fldCharType="end"/>
      </w:r>
      <w:r w:rsidRPr="003D1E07">
        <w:t xml:space="preserve">). Nový výklad materie </w:t>
      </w:r>
      <w:r w:rsidR="08235C5F" w:rsidRPr="003D1E07">
        <w:t xml:space="preserve">třetího druhu </w:t>
      </w:r>
      <w:r w:rsidRPr="003D1E07">
        <w:t xml:space="preserve">vytvořil neexistující substrát pro abstraktní určení odtržená od první substance. Materie a těleso třetího druhu nesou </w:t>
      </w:r>
      <w:r w:rsidR="089313E4" w:rsidRPr="003D1E07">
        <w:t xml:space="preserve">hypostázovaná </w:t>
      </w:r>
      <w:r w:rsidRPr="003D1E07">
        <w:t xml:space="preserve">akcidentální určení </w:t>
      </w:r>
      <w:r w:rsidR="08AE36D2" w:rsidRPr="003D1E07">
        <w:t xml:space="preserve">a tím vytvářejí kompletní fyzikální jsoucno </w:t>
      </w:r>
      <w:r w:rsidRPr="003D1E07">
        <w:t>třetího druhu</w:t>
      </w:r>
      <w:r w:rsidRPr="003D1E07">
        <w:fldChar w:fldCharType="begin"/>
      </w:r>
      <w:r w:rsidRPr="003D1E07">
        <w:instrText xml:space="preserve"> XE "těleso:třetího druhu" </w:instrText>
      </w:r>
      <w:r w:rsidRPr="003D1E07">
        <w:fldChar w:fldCharType="end"/>
      </w:r>
      <w:r w:rsidRPr="003D1E07">
        <w:t xml:space="preserve">. Inspirací pro tento typ určování se stal dialog </w:t>
      </w:r>
      <w:r w:rsidRPr="003D1E07">
        <w:rPr>
          <w:i/>
        </w:rPr>
        <w:t>Timaios</w:t>
      </w:r>
      <w:r w:rsidRPr="003D1E07">
        <w:fldChar w:fldCharType="begin"/>
      </w:r>
      <w:r w:rsidRPr="003D1E07">
        <w:instrText xml:space="preserve"> XE "dialog </w:instrText>
      </w:r>
      <w:r w:rsidRPr="003D1E07">
        <w:rPr>
          <w:i/>
        </w:rPr>
        <w:instrText>Timaios</w:instrText>
      </w:r>
      <w:r w:rsidRPr="003D1E07">
        <w:instrText xml:space="preserve">" </w:instrText>
      </w:r>
      <w:r w:rsidRPr="003D1E07">
        <w:fldChar w:fldCharType="end"/>
      </w:r>
      <w:r w:rsidRPr="003D1E07">
        <w:t xml:space="preserve">, v němž první akt tvoření běží na úrovni čistých forem. Simplikius aplikuje Jamblichův scénář </w:t>
      </w:r>
      <w:r w:rsidRPr="003D1E07">
        <w:rPr>
          <w:rStyle w:val="addmd"/>
        </w:rPr>
        <w:t xml:space="preserve">„Omezené‒Neomezené“ </w:t>
      </w:r>
      <w:r w:rsidR="00AF2A3A" w:rsidRPr="003D1E07">
        <w:rPr>
          <w:rStyle w:val="addmd"/>
        </w:rPr>
        <w:t xml:space="preserve">pro formální popisy aristotelské </w:t>
      </w:r>
      <w:r w:rsidR="00AF2A3A" w:rsidRPr="003D1E07">
        <w:rPr>
          <w:rStyle w:val="addmd"/>
          <w:i/>
        </w:rPr>
        <w:t>Fyziky</w:t>
      </w:r>
      <w:r w:rsidR="00AF2A3A" w:rsidRPr="003D1E07">
        <w:rPr>
          <w:rStyle w:val="addmd"/>
        </w:rPr>
        <w:t xml:space="preserve">. </w:t>
      </w:r>
      <w:r w:rsidRPr="003D1E07">
        <w:rPr>
          <w:rStyle w:val="addmd"/>
        </w:rPr>
        <w:t xml:space="preserve">Původní nevymezenost, beztvarost a neurčitost primární materie jako nositele abstraktních určení byla dána </w:t>
      </w:r>
      <w:r w:rsidR="08A90418" w:rsidRPr="003D1E07">
        <w:rPr>
          <w:rStyle w:val="addmd"/>
        </w:rPr>
        <w:t xml:space="preserve">v dialogu </w:t>
      </w:r>
      <w:r w:rsidR="08A90418" w:rsidRPr="003D1E07">
        <w:rPr>
          <w:rStyle w:val="addmd"/>
          <w:i/>
        </w:rPr>
        <w:t>Timaios</w:t>
      </w:r>
      <w:r w:rsidR="08A90418" w:rsidRPr="003D1E07">
        <w:rPr>
          <w:rStyle w:val="addmd"/>
        </w:rPr>
        <w:t xml:space="preserve"> </w:t>
      </w:r>
      <w:r w:rsidRPr="003D1E07">
        <w:rPr>
          <w:rStyle w:val="addmd"/>
        </w:rPr>
        <w:t xml:space="preserve">pojmy typu </w:t>
      </w:r>
      <w:r w:rsidRPr="003D1E07">
        <w:rPr>
          <w:rStyle w:val="addmd"/>
          <w:i/>
        </w:rPr>
        <w:t>hypodoché</w:t>
      </w:r>
      <w:r w:rsidRPr="003D1E07">
        <w:rPr>
          <w:rStyle w:val="addmd"/>
          <w:i/>
        </w:rPr>
        <w:fldChar w:fldCharType="begin"/>
      </w:r>
      <w:r w:rsidRPr="003D1E07">
        <w:instrText xml:space="preserve"> XE "</w:instrText>
      </w:r>
      <w:r w:rsidRPr="003D1E07">
        <w:rPr>
          <w:i/>
        </w:rPr>
        <w:instrText>hypodoché</w:instrText>
      </w:r>
      <w:r w:rsidRPr="003D1E07">
        <w:instrText xml:space="preserve">" </w:instrText>
      </w:r>
      <w:r w:rsidRPr="003D1E07">
        <w:rPr>
          <w:rStyle w:val="addmd"/>
          <w:i/>
        </w:rPr>
        <w:fldChar w:fldCharType="end"/>
      </w:r>
      <w:r w:rsidRPr="003D1E07">
        <w:rPr>
          <w:rStyle w:val="addmd"/>
        </w:rPr>
        <w:t xml:space="preserve"> a </w:t>
      </w:r>
      <w:r w:rsidRPr="003D1E07">
        <w:rPr>
          <w:rStyle w:val="addmd"/>
          <w:i/>
        </w:rPr>
        <w:t>tithén</w:t>
      </w:r>
      <w:r w:rsidR="000B4466" w:rsidRPr="003D1E07">
        <w:rPr>
          <w:rStyle w:val="addmd"/>
          <w:i/>
        </w:rPr>
        <w:t>e</w:t>
      </w:r>
      <w:r w:rsidRPr="003D1E07">
        <w:rPr>
          <w:rStyle w:val="addmd"/>
        </w:rPr>
        <w:t xml:space="preserve"> a </w:t>
      </w:r>
      <w:r w:rsidRPr="003D1E07">
        <w:rPr>
          <w:rStyle w:val="addmd"/>
          <w:i/>
        </w:rPr>
        <w:t>chóra</w:t>
      </w:r>
      <w:r w:rsidRPr="003D1E07">
        <w:rPr>
          <w:rStyle w:val="addmd"/>
        </w:rPr>
        <w:t xml:space="preserve">. </w:t>
      </w:r>
      <w:r w:rsidRPr="003D1E07">
        <w:t xml:space="preserve">Paradigmatické ideje matematiky a geometrie působí </w:t>
      </w:r>
      <w:r w:rsidR="08B74BE7" w:rsidRPr="003D1E07">
        <w:t xml:space="preserve">na tyto recipienty </w:t>
      </w:r>
      <w:r w:rsidRPr="003D1E07">
        <w:t xml:space="preserve">skrze </w:t>
      </w:r>
      <w:r w:rsidR="08096797" w:rsidRPr="003D1E07">
        <w:t xml:space="preserve">trojí </w:t>
      </w:r>
      <w:r w:rsidR="00636BD4" w:rsidRPr="003D1E07">
        <w:t>genus</w:t>
      </w:r>
      <w:r w:rsidRPr="003D1E07">
        <w:t xml:space="preserve"> </w:t>
      </w:r>
      <w:r w:rsidR="08096797" w:rsidRPr="003D1E07">
        <w:t xml:space="preserve"> </w:t>
      </w:r>
      <w:r w:rsidRPr="003D1E07">
        <w:t xml:space="preserve">(χρὴ γένη διανοηθῆναι τριττά, </w:t>
      </w:r>
      <w:r w:rsidRPr="003D1E07">
        <w:rPr>
          <w:i/>
          <w:szCs w:val="24"/>
        </w:rPr>
        <w:t>Tim.</w:t>
      </w:r>
      <w:r w:rsidRPr="003D1E07">
        <w:rPr>
          <w:szCs w:val="24"/>
        </w:rPr>
        <w:t xml:space="preserve"> </w:t>
      </w:r>
      <w:r w:rsidRPr="003D1E07">
        <w:t>50</w:t>
      </w:r>
      <w:r w:rsidRPr="003D1E07">
        <w:rPr>
          <w:szCs w:val="24"/>
        </w:rPr>
        <w:t>c7</w:t>
      </w:r>
      <w:r w:rsidRPr="003D1E07">
        <w:fldChar w:fldCharType="begin"/>
      </w:r>
      <w:r w:rsidRPr="003D1E07">
        <w:instrText xml:space="preserve"> XE "Platon:</w:instrText>
      </w:r>
      <w:r w:rsidRPr="003D1E07">
        <w:rPr>
          <w:i/>
          <w:szCs w:val="24"/>
        </w:rPr>
        <w:instrText>Tim</w:instrText>
      </w:r>
      <w:r w:rsidRPr="003D1E07">
        <w:rPr>
          <w:szCs w:val="24"/>
        </w:rPr>
        <w:instrText xml:space="preserve">. </w:instrText>
      </w:r>
      <w:r w:rsidRPr="003D1E07">
        <w:instrText>50</w:instrText>
      </w:r>
      <w:r w:rsidRPr="003D1E07">
        <w:rPr>
          <w:szCs w:val="24"/>
        </w:rPr>
        <w:instrText>c7</w:instrText>
      </w:r>
      <w:r w:rsidRPr="003D1E07">
        <w:instrText xml:space="preserve">" </w:instrText>
      </w:r>
      <w:r w:rsidRPr="003D1E07">
        <w:fldChar w:fldCharType="end"/>
      </w:r>
      <w:r w:rsidRPr="003D1E07">
        <w:t xml:space="preserve">). </w:t>
      </w:r>
      <w:r w:rsidR="08096797" w:rsidRPr="003D1E07">
        <w:t xml:space="preserve">První rod je daný </w:t>
      </w:r>
      <w:r w:rsidR="08935F8D" w:rsidRPr="003D1E07">
        <w:t xml:space="preserve">reálnými fyzikálními </w:t>
      </w:r>
      <w:r w:rsidR="08096797" w:rsidRPr="003D1E07">
        <w:t>substancemi podléhajícími změně</w:t>
      </w:r>
      <w:r w:rsidR="00377053" w:rsidRPr="003D1E07">
        <w:t>. D</w:t>
      </w:r>
      <w:r w:rsidR="08096797" w:rsidRPr="003D1E07">
        <w:t xml:space="preserve">ruhý rod </w:t>
      </w:r>
      <w:r w:rsidR="08935F8D" w:rsidRPr="003D1E07">
        <w:t xml:space="preserve">tvoří </w:t>
      </w:r>
      <w:r w:rsidR="00560015">
        <w:t xml:space="preserve">věčné </w:t>
      </w:r>
      <w:r w:rsidR="009279BA">
        <w:t xml:space="preserve">hypostázované </w:t>
      </w:r>
      <w:r w:rsidR="08935F8D" w:rsidRPr="003D1E07">
        <w:t>formy dané v</w:t>
      </w:r>
      <w:r w:rsidR="009279BA">
        <w:t xml:space="preserve"> demiurgickém </w:t>
      </w:r>
      <w:r w:rsidR="08935F8D" w:rsidRPr="003D1E07">
        <w:t>intelektu</w:t>
      </w:r>
      <w:r w:rsidR="00377053" w:rsidRPr="003D1E07">
        <w:t>. T</w:t>
      </w:r>
      <w:r w:rsidR="08096797" w:rsidRPr="003D1E07">
        <w:t>řetí rod ustavuje paradigmatický svět matematických a geometrických forem</w:t>
      </w:r>
      <w:r w:rsidR="009279BA">
        <w:t>. Ty</w:t>
      </w:r>
      <w:r w:rsidR="00560015">
        <w:t xml:space="preserve">to objektivně dané substance </w:t>
      </w:r>
      <w:r w:rsidR="009279BA">
        <w:t xml:space="preserve">vznikají tím, že kosmický intelekt </w:t>
      </w:r>
      <w:r w:rsidR="003A1BA3">
        <w:t xml:space="preserve">vtiskne aktualitu forem daných v kosmickém intelektu do hypostázovaných </w:t>
      </w:r>
      <w:r w:rsidR="00F734D1">
        <w:t>reci</w:t>
      </w:r>
      <w:r w:rsidR="003A1BA3">
        <w:t>pentů</w:t>
      </w:r>
      <w:r w:rsidR="009279BA">
        <w:t xml:space="preserve"> jako je </w:t>
      </w:r>
      <w:r w:rsidR="009279BA" w:rsidRPr="003D1E07">
        <w:rPr>
          <w:rStyle w:val="addmd"/>
          <w:i/>
        </w:rPr>
        <w:t>hypodoché</w:t>
      </w:r>
      <w:r w:rsidR="009279BA" w:rsidRPr="003D1E07">
        <w:rPr>
          <w:rStyle w:val="addmd"/>
          <w:i/>
        </w:rPr>
        <w:fldChar w:fldCharType="begin"/>
      </w:r>
      <w:r w:rsidR="009279BA" w:rsidRPr="003D1E07">
        <w:instrText xml:space="preserve"> XE "</w:instrText>
      </w:r>
      <w:r w:rsidR="009279BA" w:rsidRPr="003D1E07">
        <w:rPr>
          <w:i/>
        </w:rPr>
        <w:instrText>hypodoché</w:instrText>
      </w:r>
      <w:r w:rsidR="009279BA" w:rsidRPr="003D1E07">
        <w:instrText xml:space="preserve">" </w:instrText>
      </w:r>
      <w:r w:rsidR="009279BA" w:rsidRPr="003D1E07">
        <w:rPr>
          <w:rStyle w:val="addmd"/>
          <w:i/>
        </w:rPr>
        <w:fldChar w:fldCharType="end"/>
      </w:r>
      <w:r w:rsidR="08096797" w:rsidRPr="003D1E07">
        <w:t xml:space="preserve">. </w:t>
      </w:r>
      <w:r w:rsidRPr="003D1E07">
        <w:rPr>
          <w:szCs w:val="24"/>
        </w:rPr>
        <w:t>D</w:t>
      </w:r>
      <w:r w:rsidRPr="003D1E07">
        <w:t xml:space="preserve">ialog </w:t>
      </w:r>
      <w:r w:rsidRPr="003D1E07">
        <w:rPr>
          <w:i/>
        </w:rPr>
        <w:t>Timaios</w:t>
      </w:r>
      <w:r w:rsidRPr="003D1E07">
        <w:t xml:space="preserve"> představuje základní </w:t>
      </w:r>
      <w:r w:rsidRPr="003D1E07">
        <w:rPr>
          <w:i/>
        </w:rPr>
        <w:t>Lichtung</w:t>
      </w:r>
      <w:r w:rsidRPr="003D1E07">
        <w:t xml:space="preserve"> pro koncept objektivní materie </w:t>
      </w:r>
      <w:r w:rsidR="0803358D" w:rsidRPr="003D1E07">
        <w:t xml:space="preserve">a tělesa </w:t>
      </w:r>
      <w:r w:rsidRPr="003D1E07">
        <w:t xml:space="preserve">skrze </w:t>
      </w:r>
      <w:r w:rsidR="08A70E9C" w:rsidRPr="003D1E07">
        <w:t>fůzi citovaného</w:t>
      </w:r>
      <w:r w:rsidRPr="003D1E07">
        <w:t xml:space="preserve"> </w:t>
      </w:r>
      <w:r w:rsidR="08A70E9C" w:rsidRPr="003D1E07">
        <w:t>druhého</w:t>
      </w:r>
      <w:r w:rsidR="0803358D" w:rsidRPr="003D1E07">
        <w:t xml:space="preserve"> </w:t>
      </w:r>
      <w:r w:rsidR="08A70E9C" w:rsidRPr="003D1E07">
        <w:t xml:space="preserve">(aristotelská abstrakce) </w:t>
      </w:r>
      <w:r w:rsidR="0803358D" w:rsidRPr="003D1E07">
        <w:t xml:space="preserve">a </w:t>
      </w:r>
      <w:r w:rsidRPr="003D1E07">
        <w:t>třetí</w:t>
      </w:r>
      <w:r w:rsidR="08A70E9C" w:rsidRPr="003D1E07">
        <w:t>ho</w:t>
      </w:r>
      <w:r w:rsidRPr="003D1E07">
        <w:t xml:space="preserve"> rod</w:t>
      </w:r>
      <w:r w:rsidR="08A70E9C" w:rsidRPr="003D1E07">
        <w:t>u (neoplatonská hypostáze)</w:t>
      </w:r>
      <w:r w:rsidRPr="003D1E07">
        <w:t xml:space="preserve">. </w:t>
      </w:r>
      <w:r w:rsidR="088E74B0" w:rsidRPr="003D1E07">
        <w:t xml:space="preserve">Tento nový </w:t>
      </w:r>
      <w:r w:rsidRPr="003D1E07">
        <w:t xml:space="preserve">substrát </w:t>
      </w:r>
      <w:r w:rsidR="088E74B0" w:rsidRPr="003D1E07">
        <w:t xml:space="preserve">třetího druhu </w:t>
      </w:r>
      <w:r w:rsidRPr="003D1E07">
        <w:t xml:space="preserve">daný na rovině neomezeného a beztvarého určování umožňuje demiurgickou nápodobu původních </w:t>
      </w:r>
      <w:r w:rsidR="083C344B" w:rsidRPr="003D1E07">
        <w:t xml:space="preserve">platonských </w:t>
      </w:r>
      <w:r w:rsidRPr="003D1E07">
        <w:t>forem</w:t>
      </w:r>
      <w:r w:rsidR="083C344B" w:rsidRPr="003D1E07">
        <w:t xml:space="preserve"> v objektivním diakosmu</w:t>
      </w:r>
      <w:r w:rsidRPr="003D1E07">
        <w:t xml:space="preserve">. Ideální proces vznikání (τὸ μὲν γιγνόμενον) </w:t>
      </w:r>
      <w:r w:rsidR="00AE045D" w:rsidRPr="003D1E07">
        <w:t>je určený skrze aktualit</w:t>
      </w:r>
      <w:r w:rsidRPr="003D1E07">
        <w:t>u forem</w:t>
      </w:r>
      <w:r w:rsidR="00AE045D" w:rsidRPr="003D1E07">
        <w:t>. V</w:t>
      </w:r>
      <w:r w:rsidRPr="003D1E07">
        <w:t xml:space="preserve">tisknutí těchto forem do </w:t>
      </w:r>
      <w:r w:rsidR="00AE045D" w:rsidRPr="003D1E07">
        <w:t xml:space="preserve">amorfní primární </w:t>
      </w:r>
      <w:r w:rsidRPr="003D1E07">
        <w:t xml:space="preserve">materie </w:t>
      </w:r>
      <w:r w:rsidR="002278B4">
        <w:t xml:space="preserve">jyko </w:t>
      </w:r>
      <w:r w:rsidRPr="003D1E07">
        <w:t xml:space="preserve">původní neomezenosti </w:t>
      </w:r>
      <w:r w:rsidR="00AE045D" w:rsidRPr="003D1E07">
        <w:t>zakládá m</w:t>
      </w:r>
      <w:r w:rsidRPr="003D1E07">
        <w:t xml:space="preserve">ožnost přijetí </w:t>
      </w:r>
      <w:r w:rsidR="00AE045D" w:rsidRPr="003D1E07">
        <w:t xml:space="preserve">nižších </w:t>
      </w:r>
      <w:r w:rsidRPr="003D1E07">
        <w:t xml:space="preserve">forem </w:t>
      </w:r>
      <w:r w:rsidR="00AE045D" w:rsidRPr="003D1E07">
        <w:t xml:space="preserve">na úrovni diakosmu </w:t>
      </w:r>
      <w:r w:rsidRPr="003D1E07">
        <w:t>(τὸ δ' ἐν ᾧ γίγνεται</w:t>
      </w:r>
      <w:r w:rsidRPr="003D1E07">
        <w:rPr>
          <w:szCs w:val="24"/>
        </w:rPr>
        <w:t xml:space="preserve">, </w:t>
      </w:r>
      <w:r w:rsidRPr="003D1E07">
        <w:rPr>
          <w:i/>
          <w:szCs w:val="24"/>
        </w:rPr>
        <w:t>Tim</w:t>
      </w:r>
      <w:r w:rsidRPr="003D1E07">
        <w:rPr>
          <w:szCs w:val="24"/>
        </w:rPr>
        <w:t xml:space="preserve">. </w:t>
      </w:r>
      <w:r w:rsidRPr="003D1E07">
        <w:t>50</w:t>
      </w:r>
      <w:r w:rsidRPr="003D1E07">
        <w:rPr>
          <w:szCs w:val="24"/>
        </w:rPr>
        <w:t>d1</w:t>
      </w:r>
      <w:r w:rsidRPr="003D1E07">
        <w:fldChar w:fldCharType="begin"/>
      </w:r>
      <w:r w:rsidRPr="003D1E07">
        <w:instrText xml:space="preserve"> XE "Platon:</w:instrText>
      </w:r>
      <w:r w:rsidRPr="003D1E07">
        <w:rPr>
          <w:i/>
          <w:szCs w:val="24"/>
        </w:rPr>
        <w:instrText>Tim</w:instrText>
      </w:r>
      <w:r w:rsidRPr="003D1E07">
        <w:rPr>
          <w:szCs w:val="24"/>
        </w:rPr>
        <w:instrText xml:space="preserve">. </w:instrText>
      </w:r>
      <w:r w:rsidRPr="003D1E07">
        <w:instrText>50</w:instrText>
      </w:r>
      <w:r w:rsidRPr="003D1E07">
        <w:rPr>
          <w:szCs w:val="24"/>
        </w:rPr>
        <w:instrText>d1</w:instrText>
      </w:r>
      <w:r w:rsidRPr="003D1E07">
        <w:instrText xml:space="preserve">" </w:instrText>
      </w:r>
      <w:r w:rsidRPr="003D1E07">
        <w:fldChar w:fldCharType="end"/>
      </w:r>
      <w:r w:rsidRPr="003D1E07">
        <w:rPr>
          <w:szCs w:val="24"/>
        </w:rPr>
        <w:t>).</w:t>
      </w:r>
      <w:r w:rsidRPr="003D1E07">
        <w:t xml:space="preserve"> Další i</w:t>
      </w:r>
      <w:r w:rsidRPr="003D1E07">
        <w:rPr>
          <w:rStyle w:val="addmd"/>
        </w:rPr>
        <w:t xml:space="preserve">nspirací pro objektivní fyziku byla </w:t>
      </w:r>
      <w:r w:rsidRPr="003D1E07">
        <w:t xml:space="preserve">Jamblichova doktrína o struktuře diakosmu, v němž platonský určující člen (πέρας) vymezuje kontinuum neurčitého činitele (ἄπειρον). </w:t>
      </w:r>
      <w:r w:rsidRPr="003D1E07">
        <w:rPr>
          <w:rStyle w:val="addmd"/>
        </w:rPr>
        <w:t xml:space="preserve">Aristotelova hypotetická první materie, která byla čistou potencí, dostala skrze </w:t>
      </w:r>
      <w:r w:rsidR="081200EF" w:rsidRPr="003D1E07">
        <w:rPr>
          <w:rStyle w:val="addmd"/>
        </w:rPr>
        <w:t xml:space="preserve">smíšení </w:t>
      </w:r>
      <w:r w:rsidR="08A4449F" w:rsidRPr="003D1E07">
        <w:rPr>
          <w:rStyle w:val="addmd"/>
        </w:rPr>
        <w:t xml:space="preserve">druhého </w:t>
      </w:r>
      <w:r w:rsidR="081200EF" w:rsidRPr="003D1E07">
        <w:rPr>
          <w:rStyle w:val="addmd"/>
        </w:rPr>
        <w:t xml:space="preserve">a třetího </w:t>
      </w:r>
      <w:r w:rsidRPr="003D1E07">
        <w:rPr>
          <w:rStyle w:val="addmd"/>
        </w:rPr>
        <w:t xml:space="preserve">rodu v dialogu </w:t>
      </w:r>
      <w:r w:rsidRPr="003D1E07">
        <w:rPr>
          <w:rStyle w:val="addmd"/>
          <w:i/>
        </w:rPr>
        <w:t>Timaios</w:t>
      </w:r>
      <w:r w:rsidRPr="003D1E07">
        <w:rPr>
          <w:rStyle w:val="addmd"/>
        </w:rPr>
        <w:t xml:space="preserve"> substanciální určení a stala se novým jsoucnem třetího druhu. </w:t>
      </w:r>
      <w:r w:rsidRPr="003D1E07">
        <w:t>Neoplaton</w:t>
      </w:r>
      <w:r w:rsidR="08521475" w:rsidRPr="003D1E07">
        <w:t xml:space="preserve">ici </w:t>
      </w:r>
      <w:r w:rsidR="08521475" w:rsidRPr="003D1E07">
        <w:rPr>
          <w:rStyle w:val="addmd"/>
        </w:rPr>
        <w:t>predikovali</w:t>
      </w:r>
      <w:r w:rsidRPr="003D1E07">
        <w:rPr>
          <w:rStyle w:val="addmd"/>
        </w:rPr>
        <w:t xml:space="preserve"> fyzikální vlastnosti </w:t>
      </w:r>
      <w:r w:rsidR="08F43A00" w:rsidRPr="003D1E07">
        <w:rPr>
          <w:rStyle w:val="addmd"/>
        </w:rPr>
        <w:t xml:space="preserve">nejen </w:t>
      </w:r>
      <w:r w:rsidRPr="003D1E07">
        <w:rPr>
          <w:rStyle w:val="addmd"/>
        </w:rPr>
        <w:t xml:space="preserve">vzhledem k reálné hylemorfické substanci, ale </w:t>
      </w:r>
      <w:r w:rsidR="08F43A00" w:rsidRPr="003D1E07">
        <w:rPr>
          <w:rStyle w:val="addmd"/>
        </w:rPr>
        <w:t xml:space="preserve">také a především </w:t>
      </w:r>
      <w:r w:rsidRPr="003D1E07">
        <w:rPr>
          <w:rStyle w:val="addmd"/>
        </w:rPr>
        <w:t xml:space="preserve">vzhledem k tělesu </w:t>
      </w:r>
      <w:r w:rsidR="08521475" w:rsidRPr="003D1E07">
        <w:rPr>
          <w:rStyle w:val="addmd"/>
        </w:rPr>
        <w:t xml:space="preserve">a materii </w:t>
      </w:r>
      <w:r w:rsidRPr="003D1E07">
        <w:rPr>
          <w:rStyle w:val="addmd"/>
        </w:rPr>
        <w:t xml:space="preserve">třetího druhu. </w:t>
      </w:r>
      <w:r w:rsidR="08521475" w:rsidRPr="003D1E07">
        <w:t xml:space="preserve">Simplikiův komentář k </w:t>
      </w:r>
      <w:r w:rsidR="08521475" w:rsidRPr="003D1E07">
        <w:rPr>
          <w:i/>
        </w:rPr>
        <w:t>Fyzice</w:t>
      </w:r>
      <w:r w:rsidR="08521475" w:rsidRPr="003D1E07">
        <w:t xml:space="preserve"> změnil pojetí materie z reálného určení na objektivní, což zopakuje scholastická moderna na Oxfordu skrze univerzální hylemorfismus</w:t>
      </w:r>
      <w:r w:rsidR="08521475" w:rsidRPr="003D1E07">
        <w:fldChar w:fldCharType="begin"/>
      </w:r>
      <w:r w:rsidR="08521475" w:rsidRPr="003D1E07">
        <w:instrText xml:space="preserve"> XE "univerzální hylemorfismus" </w:instrText>
      </w:r>
      <w:r w:rsidR="08521475" w:rsidRPr="003D1E07">
        <w:fldChar w:fldCharType="end"/>
      </w:r>
      <w:r w:rsidR="08521475" w:rsidRPr="003D1E07">
        <w:t xml:space="preserve"> (</w:t>
      </w:r>
      <w:r w:rsidR="087261C2" w:rsidRPr="003D1E07">
        <w:t>OBJ II</w:t>
      </w:r>
      <w:r w:rsidR="08CB71B2" w:rsidRPr="003D1E07">
        <w:t>, kap. 3</w:t>
      </w:r>
      <w:r w:rsidR="08521475" w:rsidRPr="003D1E07">
        <w:t xml:space="preserve">.2). </w:t>
      </w:r>
      <w:r w:rsidRPr="003D1E07">
        <w:rPr>
          <w:rStyle w:val="addmd"/>
        </w:rPr>
        <w:t>Na úrovni ideálního diakosmu vzniká n</w:t>
      </w:r>
      <w:r w:rsidRPr="003D1E07">
        <w:t xml:space="preserve">ový vztah „specificky určující“ versus „specificky určované“ vytvářený pomocí objektivních forem třetího druhu daných demiurgickou aktivitou kosmického intelektu. </w:t>
      </w:r>
      <w:r w:rsidR="088C1C56" w:rsidRPr="003D1E07">
        <w:rPr>
          <w:rStyle w:val="addmd"/>
        </w:rPr>
        <w:t xml:space="preserve">Určující a omezené </w:t>
      </w:r>
      <w:r w:rsidR="088C1C56" w:rsidRPr="003D1E07">
        <w:rPr>
          <w:rStyle w:val="addmd"/>
          <w:i/>
        </w:rPr>
        <w:t>definiens</w:t>
      </w:r>
      <w:r w:rsidR="088C1C56" w:rsidRPr="003D1E07">
        <w:rPr>
          <w:rStyle w:val="addmd"/>
        </w:rPr>
        <w:t xml:space="preserve"> (eidetická </w:t>
      </w:r>
      <w:r w:rsidR="088C1C56" w:rsidRPr="003D1E07">
        <w:rPr>
          <w:rStyle w:val="addmd"/>
        </w:rPr>
        <w:lastRenderedPageBreak/>
        <w:t xml:space="preserve">forma) určuje neomezené a určované </w:t>
      </w:r>
      <w:r w:rsidR="088C1C56" w:rsidRPr="003D1E07">
        <w:rPr>
          <w:rStyle w:val="addmd"/>
          <w:i/>
        </w:rPr>
        <w:t>definitum</w:t>
      </w:r>
      <w:r w:rsidR="088C1C56" w:rsidRPr="003D1E07">
        <w:rPr>
          <w:rStyle w:val="addmd"/>
        </w:rPr>
        <w:t xml:space="preserve"> (potenciální substrát). </w:t>
      </w:r>
      <w:r w:rsidRPr="003D1E07">
        <w:rPr>
          <w:rStyle w:val="addmd"/>
        </w:rPr>
        <w:t xml:space="preserve">Nové těleso dané </w:t>
      </w:r>
      <w:r w:rsidR="08FD1E95" w:rsidRPr="003D1E07">
        <w:rPr>
          <w:rStyle w:val="addmd"/>
        </w:rPr>
        <w:t xml:space="preserve">konjuncí druhého a třetího rodu </w:t>
      </w:r>
      <w:r w:rsidRPr="003D1E07">
        <w:rPr>
          <w:rStyle w:val="addmd"/>
        </w:rPr>
        <w:t>existuje buď v diakosmu (Jamblichos), nebo má status kosmických substancí-</w:t>
      </w:r>
      <w:r w:rsidR="00F214C5" w:rsidRPr="003D1E07">
        <w:rPr>
          <w:rStyle w:val="addmd"/>
        </w:rPr>
        <w:t>species</w:t>
      </w:r>
      <w:r w:rsidRPr="003D1E07">
        <w:rPr>
          <w:rStyle w:val="addmd"/>
        </w:rPr>
        <w:t xml:space="preserve"> (Simplikios). </w:t>
      </w:r>
      <w:r w:rsidR="085109FF" w:rsidRPr="003D1E07">
        <w:rPr>
          <w:rStyle w:val="addmd"/>
        </w:rPr>
        <w:t xml:space="preserve">Čas, </w:t>
      </w:r>
      <w:r w:rsidR="085109FF" w:rsidRPr="003D1E07">
        <w:t>pr</w:t>
      </w:r>
      <w:r w:rsidRPr="003D1E07">
        <w:t>ostor a materie vytváří první formu objektivně daného jsoucna, v němž běží proces vznikání v diakosmu</w:t>
      </w:r>
      <w:r w:rsidRPr="003D1E07">
        <w:fldChar w:fldCharType="begin"/>
      </w:r>
      <w:r w:rsidRPr="003D1E07">
        <w:instrText xml:space="preserve"> XE "diakosmos" </w:instrText>
      </w:r>
      <w:r w:rsidRPr="003D1E07">
        <w:fldChar w:fldCharType="end"/>
      </w:r>
      <w:r w:rsidRPr="003D1E07">
        <w:t xml:space="preserve">. </w:t>
      </w:r>
      <w:r w:rsidR="08C67533" w:rsidRPr="003D1E07">
        <w:t>Pasivní, věční a neomezení r</w:t>
      </w:r>
      <w:r w:rsidR="080A191E" w:rsidRPr="003D1E07">
        <w:t>ecipienti daní v rámci druhé</w:t>
      </w:r>
      <w:r w:rsidR="08C67533" w:rsidRPr="003D1E07">
        <w:t>ho</w:t>
      </w:r>
      <w:r w:rsidR="080A191E" w:rsidRPr="003D1E07">
        <w:t xml:space="preserve"> rodu </w:t>
      </w:r>
      <w:r w:rsidR="08C67533" w:rsidRPr="003D1E07">
        <w:t xml:space="preserve">dialogu </w:t>
      </w:r>
      <w:r w:rsidR="08C67533" w:rsidRPr="003D1E07">
        <w:rPr>
          <w:i/>
        </w:rPr>
        <w:t>Timaios</w:t>
      </w:r>
      <w:r w:rsidR="08C67533" w:rsidRPr="003D1E07">
        <w:t xml:space="preserve"> </w:t>
      </w:r>
      <w:r w:rsidR="080A191E" w:rsidRPr="003D1E07">
        <w:t xml:space="preserve">představují </w:t>
      </w:r>
      <w:r w:rsidR="08C67533" w:rsidRPr="003D1E07">
        <w:t xml:space="preserve">pro neoplatoniky </w:t>
      </w:r>
      <w:r w:rsidR="08BE04C5" w:rsidRPr="003D1E07">
        <w:t>jsoucna</w:t>
      </w:r>
      <w:r w:rsidRPr="003D1E07">
        <w:t xml:space="preserve"> třetího druhu</w:t>
      </w:r>
      <w:r w:rsidR="08C67533" w:rsidRPr="003D1E07">
        <w:t xml:space="preserve">. </w:t>
      </w:r>
      <w:r w:rsidR="08EE789D" w:rsidRPr="003D1E07">
        <w:t>Nová mytopoetika je vzala jako základní substrát, který může demiurg tvarovat podle předem daných idejí</w:t>
      </w:r>
      <w:r w:rsidR="08E813C1" w:rsidRPr="003D1E07">
        <w:t>. Ty</w:t>
      </w:r>
      <w:r w:rsidR="089F442E" w:rsidRPr="003D1E07">
        <w:t>to ideje</w:t>
      </w:r>
      <w:r w:rsidR="08E813C1" w:rsidRPr="003D1E07">
        <w:t xml:space="preserve"> pak </w:t>
      </w:r>
      <w:r w:rsidR="08EE789D" w:rsidRPr="003D1E07">
        <w:t xml:space="preserve">tvoří </w:t>
      </w:r>
      <w:r w:rsidR="086D5779" w:rsidRPr="003D1E07">
        <w:t>skrze formaci</w:t>
      </w:r>
      <w:r w:rsidR="08E813C1" w:rsidRPr="003D1E07">
        <w:t xml:space="preserve"> neomezeného substrátu nové </w:t>
      </w:r>
      <w:r w:rsidR="089F442E" w:rsidRPr="003D1E07">
        <w:t xml:space="preserve">těleso </w:t>
      </w:r>
      <w:r w:rsidR="08E813C1" w:rsidRPr="003D1E07">
        <w:t>třetího druhu</w:t>
      </w:r>
      <w:r w:rsidR="08EE789D" w:rsidRPr="003D1E07">
        <w:t xml:space="preserve">. </w:t>
      </w:r>
      <w:r w:rsidRPr="003D1E07">
        <w:t xml:space="preserve">Platon </w:t>
      </w:r>
      <w:r w:rsidR="08325745" w:rsidRPr="003D1E07">
        <w:t xml:space="preserve">a po něm neoplatonikové </w:t>
      </w:r>
      <w:r w:rsidRPr="003D1E07">
        <w:t>potřeboval</w:t>
      </w:r>
      <w:r w:rsidR="08325745" w:rsidRPr="003D1E07">
        <w:t>i</w:t>
      </w:r>
      <w:r w:rsidRPr="003D1E07">
        <w:t xml:space="preserve"> nějaký původní substrát nesoucí primární kosmologické změny dané čistě noeticky</w:t>
      </w:r>
      <w:r w:rsidR="00B74A6D" w:rsidRPr="003D1E07">
        <w:t>.</w:t>
      </w:r>
      <w:r w:rsidR="008F2478" w:rsidRPr="003D1E07">
        <w:t xml:space="preserve"> </w:t>
      </w:r>
      <w:r w:rsidR="00A2421D" w:rsidRPr="00A2421D">
        <w:t xml:space="preserve">Jinak by žádný moderní </w:t>
      </w:r>
      <w:r w:rsidR="00A2421D" w:rsidRPr="00A2421D">
        <w:rPr>
          <w:i/>
        </w:rPr>
        <w:t>Big Bang</w:t>
      </w:r>
      <w:r w:rsidR="00A2421D">
        <w:t xml:space="preserve"> </w:t>
      </w:r>
      <w:r w:rsidR="00A2421D" w:rsidRPr="00A2421D">
        <w:t>nebyl možný.</w:t>
      </w:r>
      <w:r w:rsidR="00A2421D">
        <w:t xml:space="preserve"> </w:t>
      </w:r>
      <w:r w:rsidR="00B74A6D" w:rsidRPr="003D1E07">
        <w:t>P</w:t>
      </w:r>
      <w:r w:rsidRPr="003D1E07">
        <w:t xml:space="preserve">roces aktivního určování demiurgického diakosmu </w:t>
      </w:r>
      <w:r w:rsidR="00B74A6D" w:rsidRPr="003D1E07">
        <w:t xml:space="preserve">jde </w:t>
      </w:r>
      <w:r w:rsidRPr="003D1E07">
        <w:t xml:space="preserve">směrem od aktuální </w:t>
      </w:r>
      <w:r w:rsidR="00B74A6D" w:rsidRPr="003D1E07">
        <w:t xml:space="preserve">vyšší </w:t>
      </w:r>
      <w:r w:rsidRPr="003D1E07">
        <w:t xml:space="preserve">formy k pasivní látce </w:t>
      </w:r>
      <w:r w:rsidR="00B74A6D" w:rsidRPr="003D1E07">
        <w:t>třetího</w:t>
      </w:r>
      <w:r w:rsidR="006F4426">
        <w:t xml:space="preserve"> druhu, aby se tím zajistila ema</w:t>
      </w:r>
      <w:r w:rsidR="00B74A6D" w:rsidRPr="003D1E07">
        <w:t xml:space="preserve">nace vyšších inteligibilních forem do </w:t>
      </w:r>
      <w:r w:rsidRPr="003D1E07">
        <w:t xml:space="preserve">nižších hylických sfér. </w:t>
      </w:r>
      <w:r w:rsidRPr="003D1E07">
        <w:rPr>
          <w:szCs w:val="24"/>
        </w:rPr>
        <w:t>Také v neoplatonském diakosmu musí existovat nějaká univerzální substance třetího druhu, ab</w:t>
      </w:r>
      <w:r w:rsidR="08BA1BF5" w:rsidRPr="003D1E07">
        <w:rPr>
          <w:szCs w:val="24"/>
        </w:rPr>
        <w:t>y bylo možno rozběhnout proces ante</w:t>
      </w:r>
      <w:r w:rsidR="08BA1BF5" w:rsidRPr="003D1E07">
        <w:rPr>
          <w:szCs w:val="24"/>
        </w:rPr>
        <w:noBreakHyphen/>
        <w:t>fyzikálních změn</w:t>
      </w:r>
      <w:r w:rsidRPr="003D1E07">
        <w:rPr>
          <w:szCs w:val="24"/>
        </w:rPr>
        <w:t xml:space="preserve">. </w:t>
      </w:r>
      <w:r w:rsidR="008F2478" w:rsidRPr="003D1E07">
        <w:rPr>
          <w:szCs w:val="24"/>
        </w:rPr>
        <w:t xml:space="preserve">Pečetidlo pořebuje vosk, aby </w:t>
      </w:r>
      <w:r w:rsidR="0048661F">
        <w:rPr>
          <w:szCs w:val="24"/>
        </w:rPr>
        <w:t xml:space="preserve">se </w:t>
      </w:r>
      <w:r w:rsidR="008F2478" w:rsidRPr="003D1E07">
        <w:rPr>
          <w:szCs w:val="24"/>
        </w:rPr>
        <w:t>mohl vyrobit otisk původní formy</w:t>
      </w:r>
      <w:r w:rsidR="00A46F26" w:rsidRPr="003D1E07">
        <w:rPr>
          <w:szCs w:val="24"/>
        </w:rPr>
        <w:t xml:space="preserve">. </w:t>
      </w:r>
      <w:r w:rsidRPr="003D1E07">
        <w:rPr>
          <w:szCs w:val="24"/>
        </w:rPr>
        <w:t>Neoplatonikové pochopili, že substrát fyzikálních změn musí existovat nezávisle na věčných formách, které nemají fyzikální</w:t>
      </w:r>
      <w:r w:rsidR="00325CCE" w:rsidRPr="003D1E07">
        <w:rPr>
          <w:szCs w:val="24"/>
        </w:rPr>
        <w:t xml:space="preserve"> pohyb, ale jen čistě intelektuální</w:t>
      </w:r>
      <w:r w:rsidRPr="003D1E07">
        <w:rPr>
          <w:szCs w:val="24"/>
        </w:rPr>
        <w:t xml:space="preserve">. Subjekt </w:t>
      </w:r>
      <w:r w:rsidR="08D07D35" w:rsidRPr="003D1E07">
        <w:rPr>
          <w:szCs w:val="24"/>
        </w:rPr>
        <w:t>ante-</w:t>
      </w:r>
      <w:r w:rsidRPr="003D1E07">
        <w:rPr>
          <w:szCs w:val="24"/>
        </w:rPr>
        <w:t xml:space="preserve">fyzikálních změn </w:t>
      </w:r>
      <w:r w:rsidR="08D07D35" w:rsidRPr="003D1E07">
        <w:rPr>
          <w:szCs w:val="24"/>
        </w:rPr>
        <w:t xml:space="preserve">v diakosmu </w:t>
      </w:r>
      <w:r w:rsidRPr="003D1E07">
        <w:rPr>
          <w:szCs w:val="24"/>
        </w:rPr>
        <w:t xml:space="preserve">proto musí mít jiný charakter než </w:t>
      </w:r>
      <w:r w:rsidR="08AB093B" w:rsidRPr="003D1E07">
        <w:rPr>
          <w:szCs w:val="24"/>
        </w:rPr>
        <w:t xml:space="preserve">nehybné </w:t>
      </w:r>
      <w:r w:rsidRPr="003D1E07">
        <w:rPr>
          <w:szCs w:val="24"/>
        </w:rPr>
        <w:t>kosmické inteligibilní formy. P</w:t>
      </w:r>
      <w:r w:rsidR="00CC05D9" w:rsidRPr="003D1E07">
        <w:rPr>
          <w:szCs w:val="24"/>
        </w:rPr>
        <w:t>rvní ema</w:t>
      </w:r>
      <w:r w:rsidR="006B2027" w:rsidRPr="003D1E07">
        <w:rPr>
          <w:szCs w:val="24"/>
        </w:rPr>
        <w:t xml:space="preserve">nace </w:t>
      </w:r>
      <w:r w:rsidRPr="003D1E07">
        <w:rPr>
          <w:szCs w:val="24"/>
        </w:rPr>
        <w:t xml:space="preserve">Jednoho nejsou tělesem, ale stanou se jím v procesu pseudo-fyzikální objektivace myticky popsané v dialogu </w:t>
      </w:r>
      <w:r w:rsidRPr="003D1E07">
        <w:rPr>
          <w:i/>
          <w:szCs w:val="24"/>
        </w:rPr>
        <w:t>Timaios</w:t>
      </w:r>
      <w:r w:rsidRPr="003D1E07">
        <w:rPr>
          <w:szCs w:val="24"/>
        </w:rPr>
        <w:t xml:space="preserve">. </w:t>
      </w:r>
      <w:r w:rsidR="00C94BB1" w:rsidRPr="003D1E07">
        <w:t xml:space="preserve">Čas a prostor vázaný na nové </w:t>
      </w:r>
      <w:r w:rsidR="08A12A60" w:rsidRPr="003D1E07">
        <w:t xml:space="preserve">těleso </w:t>
      </w:r>
      <w:r w:rsidR="00C94BB1" w:rsidRPr="003D1E07">
        <w:t xml:space="preserve">třetího druhu dostal ideálně-formální charakter korespondující se změněným postavením první substance u Jamblicha a Simplikia. </w:t>
      </w:r>
      <w:r w:rsidR="089F6B51" w:rsidRPr="003D1E07">
        <w:rPr>
          <w:rStyle w:val="addmd"/>
        </w:rPr>
        <w:t xml:space="preserve">Dialog </w:t>
      </w:r>
      <w:r w:rsidR="089F6B51" w:rsidRPr="003D1E07">
        <w:rPr>
          <w:rStyle w:val="addmd"/>
          <w:i/>
        </w:rPr>
        <w:t>Timaios</w:t>
      </w:r>
      <w:r w:rsidR="089F6B51" w:rsidRPr="003D1E07">
        <w:rPr>
          <w:rStyle w:val="addmd"/>
        </w:rPr>
        <w:t xml:space="preserve"> inspiroval vznik neoplatonského </w:t>
      </w:r>
      <w:r w:rsidR="00C94BB1" w:rsidRPr="003D1E07">
        <w:rPr>
          <w:rStyle w:val="addmd"/>
        </w:rPr>
        <w:t xml:space="preserve">diakosmu </w:t>
      </w:r>
      <w:r w:rsidR="089F6B51" w:rsidRPr="003D1E07">
        <w:rPr>
          <w:rStyle w:val="addmd"/>
        </w:rPr>
        <w:t xml:space="preserve">skrze </w:t>
      </w:r>
      <w:r w:rsidR="0859348E" w:rsidRPr="003D1E07">
        <w:rPr>
          <w:rStyle w:val="addmd"/>
        </w:rPr>
        <w:t xml:space="preserve">matematické dělení a tvoření </w:t>
      </w:r>
      <w:r w:rsidR="089F6B51" w:rsidRPr="003D1E07">
        <w:rPr>
          <w:rStyle w:val="addmd"/>
        </w:rPr>
        <w:t xml:space="preserve">založené na pojmu </w:t>
      </w:r>
      <w:r w:rsidR="00C94BB1" w:rsidRPr="003D1E07">
        <w:rPr>
          <w:rStyle w:val="addmd"/>
        </w:rPr>
        <w:t>rozsažnosti oddělené od reálných těles (</w:t>
      </w:r>
      <w:r w:rsidR="00C94BB1" w:rsidRPr="003D1E07">
        <w:t>κατὰ μῆκος σχίσας</w:t>
      </w:r>
      <w:r w:rsidR="00C94BB1" w:rsidRPr="003D1E07">
        <w:rPr>
          <w:rStyle w:val="addmd"/>
        </w:rPr>
        <w:t xml:space="preserve">, </w:t>
      </w:r>
      <w:r w:rsidR="00C94BB1" w:rsidRPr="003D1E07">
        <w:rPr>
          <w:rStyle w:val="addmd"/>
          <w:i/>
        </w:rPr>
        <w:t>Tim</w:t>
      </w:r>
      <w:r w:rsidR="00C94BB1" w:rsidRPr="003D1E07">
        <w:rPr>
          <w:rStyle w:val="addmd"/>
        </w:rPr>
        <w:t>. 36b7</w:t>
      </w:r>
      <w:r w:rsidR="00C94BB1" w:rsidRPr="003D1E07">
        <w:fldChar w:fldCharType="begin"/>
      </w:r>
      <w:r w:rsidR="00C94BB1" w:rsidRPr="003D1E07">
        <w:instrText xml:space="preserve"> XE "</w:instrText>
      </w:r>
      <w:r w:rsidR="008E02F5" w:rsidRPr="003D1E07">
        <w:instrText>Platon</w:instrText>
      </w:r>
      <w:r w:rsidR="00C94BB1" w:rsidRPr="003D1E07">
        <w:instrText>:</w:instrText>
      </w:r>
      <w:r w:rsidR="00C94BB1" w:rsidRPr="003D1E07">
        <w:rPr>
          <w:rStyle w:val="addmd"/>
          <w:i/>
        </w:rPr>
        <w:instrText>Tim</w:instrText>
      </w:r>
      <w:r w:rsidR="00C94BB1" w:rsidRPr="003D1E07">
        <w:rPr>
          <w:rStyle w:val="addmd"/>
        </w:rPr>
        <w:instrText>. 36b7</w:instrText>
      </w:r>
      <w:r w:rsidR="00C94BB1" w:rsidRPr="003D1E07">
        <w:instrText xml:space="preserve">" </w:instrText>
      </w:r>
      <w:r w:rsidR="00C94BB1" w:rsidRPr="003D1E07">
        <w:fldChar w:fldCharType="end"/>
      </w:r>
      <w:r w:rsidR="00C94BB1" w:rsidRPr="003D1E07">
        <w:rPr>
          <w:rStyle w:val="addmd"/>
        </w:rPr>
        <w:t xml:space="preserve">). Schizoidní pojetí tělesa, času a prostoru představuje </w:t>
      </w:r>
      <w:r w:rsidR="085B2247" w:rsidRPr="003D1E07">
        <w:rPr>
          <w:rStyle w:val="addmd"/>
        </w:rPr>
        <w:t xml:space="preserve">zásadní </w:t>
      </w:r>
      <w:r w:rsidR="00C94BB1" w:rsidRPr="003D1E07">
        <w:rPr>
          <w:rStyle w:val="addmd"/>
        </w:rPr>
        <w:t xml:space="preserve">vklad </w:t>
      </w:r>
      <w:r w:rsidR="08F02C37" w:rsidRPr="003D1E07">
        <w:rPr>
          <w:rStyle w:val="addmd"/>
        </w:rPr>
        <w:t xml:space="preserve">božských Fúrií </w:t>
      </w:r>
      <w:r w:rsidR="00C94BB1" w:rsidRPr="003D1E07">
        <w:rPr>
          <w:rStyle w:val="addmd"/>
        </w:rPr>
        <w:t xml:space="preserve">do nově utvořené </w:t>
      </w:r>
      <w:r w:rsidR="080F0A5C" w:rsidRPr="003D1E07">
        <w:rPr>
          <w:rStyle w:val="addmd"/>
        </w:rPr>
        <w:t xml:space="preserve">diakosmické </w:t>
      </w:r>
      <w:r w:rsidR="00C94BB1" w:rsidRPr="003D1E07">
        <w:rPr>
          <w:rStyle w:val="addmd"/>
        </w:rPr>
        <w:t xml:space="preserve">sféry </w:t>
      </w:r>
      <w:r w:rsidR="080F0A5C" w:rsidRPr="003D1E07">
        <w:rPr>
          <w:rStyle w:val="addmd"/>
        </w:rPr>
        <w:t xml:space="preserve">produkující </w:t>
      </w:r>
      <w:r w:rsidR="00C94BB1" w:rsidRPr="003D1E07">
        <w:rPr>
          <w:rStyle w:val="addmd"/>
        </w:rPr>
        <w:t xml:space="preserve">jsoucna třetího druhu. </w:t>
      </w:r>
      <w:r w:rsidR="081164D4" w:rsidRPr="003D1E07">
        <w:rPr>
          <w:rStyle w:val="addmd"/>
        </w:rPr>
        <w:t xml:space="preserve">Po zavedení </w:t>
      </w:r>
      <w:r w:rsidR="003D481D" w:rsidRPr="003D1E07">
        <w:rPr>
          <w:rStyle w:val="addmd"/>
        </w:rPr>
        <w:t>kvazi-</w:t>
      </w:r>
      <w:r w:rsidR="081164D4" w:rsidRPr="003D1E07">
        <w:rPr>
          <w:rStyle w:val="addmd"/>
        </w:rPr>
        <w:t xml:space="preserve">fyzikálních vlastností tělesa oddělených od aktuální první substance v modu </w:t>
      </w:r>
      <w:r w:rsidR="081164D4" w:rsidRPr="003D1E07">
        <w:rPr>
          <w:rStyle w:val="addmd"/>
          <w:i/>
        </w:rPr>
        <w:t>abso</w:t>
      </w:r>
      <w:r w:rsidR="00C94BB1" w:rsidRPr="003D1E07">
        <w:rPr>
          <w:rStyle w:val="addmd"/>
          <w:i/>
        </w:rPr>
        <w:t>lute</w:t>
      </w:r>
      <w:r w:rsidR="08DA4899" w:rsidRPr="003D1E07">
        <w:rPr>
          <w:i/>
        </w:rPr>
        <w:fldChar w:fldCharType="begin"/>
      </w:r>
      <w:r w:rsidR="08DA4899" w:rsidRPr="003D1E07">
        <w:rPr>
          <w:i/>
        </w:rPr>
        <w:instrText xml:space="preserve"> XE "</w:instrText>
      </w:r>
      <w:r w:rsidR="08DA4899" w:rsidRPr="003D1E07">
        <w:instrText>těleso</w:instrText>
      </w:r>
      <w:r w:rsidR="08DA4899" w:rsidRPr="003D1E07">
        <w:rPr>
          <w:i/>
        </w:rPr>
        <w:instrText>:</w:instrText>
      </w:r>
      <w:r w:rsidR="08DA4899" w:rsidRPr="003D1E07">
        <w:instrText>neoplatonismus</w:instrText>
      </w:r>
      <w:r w:rsidR="08DA4899" w:rsidRPr="003D1E07">
        <w:rPr>
          <w:i/>
        </w:rPr>
        <w:instrText xml:space="preserve">" </w:instrText>
      </w:r>
      <w:r w:rsidR="08DA4899" w:rsidRPr="003D1E07">
        <w:rPr>
          <w:i/>
        </w:rPr>
        <w:fldChar w:fldCharType="end"/>
      </w:r>
      <w:r w:rsidR="081164D4" w:rsidRPr="003D1E07">
        <w:rPr>
          <w:rStyle w:val="addmd"/>
        </w:rPr>
        <w:t xml:space="preserve"> začala éra moderní objektivní fyziky.</w:t>
      </w:r>
    </w:p>
    <w:p w14:paraId="3458D48C" w14:textId="77777777" w:rsidR="006E2784" w:rsidRDefault="08581B8C" w:rsidP="0051291F">
      <w:pPr>
        <w:ind w:firstLine="397"/>
      </w:pPr>
      <w:r w:rsidRPr="003D1E07">
        <w:t xml:space="preserve">Projděme stručně vznik základních objektivních kategorií </w:t>
      </w:r>
      <w:r w:rsidR="081B2FD7" w:rsidRPr="003D1E07">
        <w:t xml:space="preserve">určujících nový status </w:t>
      </w:r>
      <w:r w:rsidRPr="003D1E07">
        <w:t xml:space="preserve">tělesa třetího druhu. </w:t>
      </w:r>
      <w:r w:rsidR="08EA0494" w:rsidRPr="003D1E07">
        <w:t>Citovaná studie</w:t>
      </w:r>
      <w:r w:rsidR="08B93141" w:rsidRPr="003D1E07">
        <w:fldChar w:fldCharType="begin"/>
      </w:r>
      <w:r w:rsidR="08B93141" w:rsidRPr="003D1E07">
        <w:instrText xml:space="preserve"> XE "Taormina, D. P." </w:instrText>
      </w:r>
      <w:r w:rsidR="08B93141" w:rsidRPr="003D1E07">
        <w:fldChar w:fldCharType="end"/>
      </w:r>
      <w:r w:rsidR="08B93141" w:rsidRPr="003D1E07">
        <w:t xml:space="preserve"> zdůrazňuje změnu v časovém schématu Jamblicha, kterou dosvědčuje Simplikius ve svém komentáři ke </w:t>
      </w:r>
      <w:r w:rsidR="08B93141" w:rsidRPr="003D1E07">
        <w:rPr>
          <w:i/>
        </w:rPr>
        <w:t>Kategoriím</w:t>
      </w:r>
      <w:r w:rsidR="08B93141" w:rsidRPr="003D1E07">
        <w:t xml:space="preserve"> (Taormina 1999, 60). </w:t>
      </w:r>
      <w:r w:rsidR="080B2431" w:rsidRPr="003D1E07">
        <w:t xml:space="preserve">Neoplatonici vytvořili objektivní čas třetího druhu daný jako čistý kosmogonický pohyb diakosmu, kde </w:t>
      </w:r>
      <w:r w:rsidR="080B2431" w:rsidRPr="003D1E07">
        <w:lastRenderedPageBreak/>
        <w:t xml:space="preserve">zatím neexistuje smyslově založená duše, jen pohyb čistých forem a intelektů. </w:t>
      </w:r>
      <w:r w:rsidR="088434A5" w:rsidRPr="003D1E07">
        <w:t xml:space="preserve">Definice času v aristotelské </w:t>
      </w:r>
      <w:r w:rsidR="08B76BCB" w:rsidRPr="003D1E07">
        <w:rPr>
          <w:i/>
        </w:rPr>
        <w:t>Fyzice</w:t>
      </w:r>
      <w:r w:rsidR="08B35B31" w:rsidRPr="003D1E07">
        <w:t xml:space="preserve"> dostala</w:t>
      </w:r>
      <w:r w:rsidR="08B76BCB" w:rsidRPr="003D1E07">
        <w:t xml:space="preserve"> ideální hypostázi v Jamblichově gnostickém diakosmu, který kategorizoval Simplikius. </w:t>
      </w:r>
      <w:r w:rsidR="08846CFD" w:rsidRPr="003D1E07">
        <w:t>Čas je zrušen vzhledem k poznanému pohybu tělesa a dostal nový charakter v rámci Jamblichem navržené ontoteologie</w:t>
      </w:r>
      <w:r w:rsidR="08846CFD" w:rsidRPr="003D1E07">
        <w:fldChar w:fldCharType="begin"/>
      </w:r>
      <w:r w:rsidR="08846CFD" w:rsidRPr="003D1E07">
        <w:instrText xml:space="preserve"> XE "těleso:Jamblichos" </w:instrText>
      </w:r>
      <w:r w:rsidR="08846CFD" w:rsidRPr="003D1E07">
        <w:fldChar w:fldCharType="end"/>
      </w:r>
      <w:r w:rsidR="08846CFD" w:rsidRPr="003D1E07">
        <w:t xml:space="preserve">. </w:t>
      </w:r>
      <w:r w:rsidR="089D2211" w:rsidRPr="003D1E07">
        <w:t xml:space="preserve">Simplikiův komentář ke </w:t>
      </w:r>
      <w:r w:rsidR="089D2211" w:rsidRPr="003D1E07">
        <w:rPr>
          <w:i/>
        </w:rPr>
        <w:t>Kategoriím</w:t>
      </w:r>
      <w:r w:rsidR="089D2211" w:rsidRPr="003D1E07">
        <w:t xml:space="preserve"> potvrzuje, že k</w:t>
      </w:r>
      <w:r w:rsidR="08954C34" w:rsidRPr="003D1E07">
        <w:t>osmogonický čas je vázán na pohyb monády údajně popsané pythagorejcem Archytásem</w:t>
      </w:r>
      <w:r w:rsidR="08954C34" w:rsidRPr="003D1E07">
        <w:fldChar w:fldCharType="begin"/>
      </w:r>
      <w:r w:rsidR="08954C34" w:rsidRPr="003D1E07">
        <w:instrText xml:space="preserve"> XE "Archytás" </w:instrText>
      </w:r>
      <w:r w:rsidR="08954C34" w:rsidRPr="003D1E07">
        <w:fldChar w:fldCharType="end"/>
      </w:r>
      <w:r w:rsidR="08954C34" w:rsidRPr="003D1E07">
        <w:t xml:space="preserve"> (</w:t>
      </w:r>
      <w:r w:rsidR="08954C34" w:rsidRPr="003D1E07">
        <w:rPr>
          <w:i/>
        </w:rPr>
        <w:t>Simpl. in Cat</w:t>
      </w:r>
      <w:r w:rsidR="08954C34" w:rsidRPr="003D1E07">
        <w:t>. 351.13</w:t>
      </w:r>
      <w:r w:rsidR="08954C34" w:rsidRPr="003D1E07">
        <w:fldChar w:fldCharType="begin"/>
      </w:r>
      <w:r w:rsidR="08954C34" w:rsidRPr="003D1E07">
        <w:instrText xml:space="preserve"> XE "Simplikius:</w:instrText>
      </w:r>
      <w:r w:rsidR="08954C34" w:rsidRPr="003D1E07">
        <w:rPr>
          <w:i/>
        </w:rPr>
        <w:instrText>Simpl. in Cat</w:instrText>
      </w:r>
      <w:r w:rsidR="08954C34" w:rsidRPr="003D1E07">
        <w:instrText xml:space="preserve">. 351.13" </w:instrText>
      </w:r>
      <w:r w:rsidR="08954C34" w:rsidRPr="003D1E07">
        <w:fldChar w:fldCharType="end"/>
      </w:r>
      <w:r w:rsidR="08954C34" w:rsidRPr="003D1E07">
        <w:t xml:space="preserve">). </w:t>
      </w:r>
      <w:r w:rsidR="089D2211" w:rsidRPr="003D1E07">
        <w:t>Kosmologický čas traktující změny na tělese třetího druhu</w:t>
      </w:r>
      <w:r w:rsidR="00963052" w:rsidRPr="003D1E07">
        <w:fldChar w:fldCharType="begin"/>
      </w:r>
      <w:r w:rsidR="00963052" w:rsidRPr="003D1E07">
        <w:instrText xml:space="preserve"> XE "čas:Jamblichos" </w:instrText>
      </w:r>
      <w:r w:rsidR="00963052" w:rsidRPr="003D1E07">
        <w:fldChar w:fldCharType="end"/>
      </w:r>
      <w:r w:rsidR="00963052" w:rsidRPr="003D1E07">
        <w:t xml:space="preserve"> je u Jamblicha vztažen k pohybu eidetické substance </w:t>
      </w:r>
      <w:r w:rsidR="08744DAF" w:rsidRPr="003D1E07">
        <w:t xml:space="preserve">a tvoří její </w:t>
      </w:r>
      <w:r w:rsidR="00963052" w:rsidRPr="003D1E07">
        <w:t xml:space="preserve">primární formální určení (ἀρχοειδὴς ἔσται ὁ χρόνος, </w:t>
      </w:r>
      <w:r w:rsidR="00963052" w:rsidRPr="003D1E07">
        <w:rPr>
          <w:i/>
        </w:rPr>
        <w:t>Simpl. in Cat</w:t>
      </w:r>
      <w:r w:rsidR="00963052" w:rsidRPr="003D1E07">
        <w:t>. 350.22</w:t>
      </w:r>
      <w:r w:rsidR="00963052" w:rsidRPr="003D1E07">
        <w:fldChar w:fldCharType="begin"/>
      </w:r>
      <w:r w:rsidR="00963052" w:rsidRPr="003D1E07">
        <w:instrText xml:space="preserve"> XE "Simplikius:</w:instrText>
      </w:r>
      <w:r w:rsidR="00963052" w:rsidRPr="003D1E07">
        <w:rPr>
          <w:i/>
        </w:rPr>
        <w:instrText>Simpl. in Cat</w:instrText>
      </w:r>
      <w:r w:rsidR="00963052" w:rsidRPr="003D1E07">
        <w:instrText xml:space="preserve">. 350.22" </w:instrText>
      </w:r>
      <w:r w:rsidR="00963052" w:rsidRPr="003D1E07">
        <w:fldChar w:fldCharType="end"/>
      </w:r>
      <w:r w:rsidR="00963052" w:rsidRPr="003D1E07">
        <w:t xml:space="preserve">). </w:t>
      </w:r>
      <w:r w:rsidR="00F75211" w:rsidRPr="003D1E07">
        <w:t xml:space="preserve">Ilumináti se nacházejí v mytopoetickém čase a zabývají se mytopoetickou změnou danou sestupem demiurgických forem do první, ergo mytopoetické materie. Tímto způsobem se zrodil paralelní vesmír paranoické moderny. </w:t>
      </w:r>
      <w:r w:rsidR="08C8037A" w:rsidRPr="003D1E07">
        <w:t xml:space="preserve">Jamblichův diakosmos dostal skrze Simplikia pseudo-fyzikální čas, který traktuje změnu danou jako sestupování demiurgických forem do hmoty. Emanace forem v diakosmu zakládá </w:t>
      </w:r>
      <w:r w:rsidR="080015F3" w:rsidRPr="003D1E07">
        <w:t xml:space="preserve">Jamblichův </w:t>
      </w:r>
      <w:r w:rsidR="08C8037A" w:rsidRPr="003D1E07">
        <w:t>archonticko-eidetický čas</w:t>
      </w:r>
      <w:r w:rsidR="08C8037A" w:rsidRPr="003D1E07">
        <w:fldChar w:fldCharType="begin"/>
      </w:r>
      <w:r w:rsidR="08C8037A" w:rsidRPr="003D1E07">
        <w:instrText xml:space="preserve"> XE "čas:Simplikius" </w:instrText>
      </w:r>
      <w:r w:rsidR="08C8037A" w:rsidRPr="003D1E07">
        <w:fldChar w:fldCharType="end"/>
      </w:r>
      <w:r w:rsidR="08C8037A" w:rsidRPr="003D1E07">
        <w:t xml:space="preserve">. Jeho formálně-ideální „předtím“ a „potom“ není vázáno na poznávající </w:t>
      </w:r>
      <w:r w:rsidR="08586C37" w:rsidRPr="003D1E07">
        <w:t xml:space="preserve">lidskou </w:t>
      </w:r>
      <w:r w:rsidR="08C8037A" w:rsidRPr="003D1E07">
        <w:t xml:space="preserve">duši a na kinetický či metabolický pohyb těles. </w:t>
      </w:r>
      <w:r w:rsidR="08744DAF" w:rsidRPr="003D1E07">
        <w:t>E</w:t>
      </w:r>
      <w:r w:rsidR="00963052" w:rsidRPr="003D1E07">
        <w:t xml:space="preserve">idetická a archontická forma času není dána v </w:t>
      </w:r>
      <w:r w:rsidR="089E36F2" w:rsidRPr="003D1E07">
        <w:t xml:space="preserve">lidské </w:t>
      </w:r>
      <w:r w:rsidR="00963052" w:rsidRPr="003D1E07">
        <w:t>duši poznávají</w:t>
      </w:r>
      <w:r w:rsidR="08744DAF" w:rsidRPr="003D1E07">
        <w:t xml:space="preserve">cí fyzikální těleso, protože </w:t>
      </w:r>
      <w:r w:rsidR="00963052" w:rsidRPr="003D1E07">
        <w:t xml:space="preserve">v </w:t>
      </w:r>
      <w:r w:rsidR="08954C34" w:rsidRPr="003D1E07">
        <w:t xml:space="preserve">původním </w:t>
      </w:r>
      <w:r w:rsidR="00963052" w:rsidRPr="003D1E07">
        <w:t xml:space="preserve">diakosmu </w:t>
      </w:r>
      <w:r w:rsidR="08AD0618" w:rsidRPr="003D1E07">
        <w:t xml:space="preserve">neexistuje ani hylemorfické </w:t>
      </w:r>
      <w:r w:rsidR="08744DAF" w:rsidRPr="003D1E07">
        <w:t xml:space="preserve">těleso ani </w:t>
      </w:r>
      <w:r w:rsidR="08AD0618" w:rsidRPr="003D1E07">
        <w:t xml:space="preserve">smyslově poznávající </w:t>
      </w:r>
      <w:r w:rsidR="08744DAF" w:rsidRPr="003D1E07">
        <w:t>duše</w:t>
      </w:r>
      <w:r w:rsidR="00963052" w:rsidRPr="003D1E07">
        <w:t xml:space="preserve">. </w:t>
      </w:r>
      <w:r w:rsidR="089078D0" w:rsidRPr="003D1E07">
        <w:t xml:space="preserve">Primární </w:t>
      </w:r>
      <w:r w:rsidR="00963052" w:rsidRPr="003D1E07">
        <w:t>proto</w:t>
      </w:r>
      <w:r w:rsidR="00963052" w:rsidRPr="003D1E07">
        <w:noBreakHyphen/>
        <w:t>čas původní monády je dán ve sférách nemateriálních věčných substancí a existuje před vznikem fyzikálního času substance (τὸν προϊόντα ἀπὸ τῆς ψυχικῆς κινήσεως ὡ</w:t>
      </w:r>
      <w:r w:rsidR="08F90304" w:rsidRPr="003D1E07">
        <w:t>ς μονάδος;</w:t>
      </w:r>
      <w:r w:rsidR="00963052" w:rsidRPr="003D1E07">
        <w:t xml:space="preserve"> </w:t>
      </w:r>
      <w:r w:rsidR="08F90304" w:rsidRPr="003D1E07">
        <w:t>ibid,</w:t>
      </w:r>
      <w:r w:rsidR="00963052" w:rsidRPr="003D1E07">
        <w:t xml:space="preserve"> 351.14</w:t>
      </w:r>
      <w:r w:rsidR="00963052" w:rsidRPr="003D1E07">
        <w:fldChar w:fldCharType="begin"/>
      </w:r>
      <w:r w:rsidR="00963052" w:rsidRPr="003D1E07">
        <w:instrText xml:space="preserve"> XE "Simplikius:</w:instrText>
      </w:r>
      <w:r w:rsidR="00963052" w:rsidRPr="003D1E07">
        <w:rPr>
          <w:i/>
        </w:rPr>
        <w:instrText>Simpl. in Cat</w:instrText>
      </w:r>
      <w:r w:rsidR="00963052" w:rsidRPr="003D1E07">
        <w:instrText xml:space="preserve">. 351.14" </w:instrText>
      </w:r>
      <w:r w:rsidR="00963052" w:rsidRPr="003D1E07">
        <w:fldChar w:fldCharType="end"/>
      </w:r>
      <w:r w:rsidR="00963052" w:rsidRPr="003D1E07">
        <w:t>). Definice času dostala objektivní určení vázané na věčné substance-</w:t>
      </w:r>
      <w:r w:rsidR="00F214C5" w:rsidRPr="003D1E07">
        <w:t>species</w:t>
      </w:r>
      <w:r w:rsidR="081171A4" w:rsidRPr="003D1E07">
        <w:t xml:space="preserve">. </w:t>
      </w:r>
      <w:r w:rsidR="00963052" w:rsidRPr="003D1E07">
        <w:t>Čas už není vlastno</w:t>
      </w:r>
      <w:r w:rsidR="08A80957" w:rsidRPr="003D1E07">
        <w:t>stí poznávajícího subjektu</w:t>
      </w:r>
      <w:r w:rsidR="088B48EA" w:rsidRPr="003D1E07">
        <w:t xml:space="preserve">, ale </w:t>
      </w:r>
      <w:r w:rsidR="08A80957" w:rsidRPr="003D1E07">
        <w:t xml:space="preserve">stal </w:t>
      </w:r>
      <w:r w:rsidR="088B48EA" w:rsidRPr="003D1E07">
        <w:t xml:space="preserve">se </w:t>
      </w:r>
      <w:r w:rsidR="00963052" w:rsidRPr="003D1E07">
        <w:t xml:space="preserve">vnitřním </w:t>
      </w:r>
      <w:r w:rsidR="004E066F" w:rsidRPr="003D1E07">
        <w:t xml:space="preserve">a integrálním </w:t>
      </w:r>
      <w:r w:rsidR="00963052" w:rsidRPr="003D1E07">
        <w:t xml:space="preserve">určením </w:t>
      </w:r>
      <w:r w:rsidR="087866CD" w:rsidRPr="003D1E07">
        <w:t xml:space="preserve">hypostázované </w:t>
      </w:r>
      <w:r w:rsidR="00963052" w:rsidRPr="003D1E07">
        <w:t xml:space="preserve">formy </w:t>
      </w:r>
      <w:r w:rsidR="08A80957" w:rsidRPr="003D1E07">
        <w:t xml:space="preserve">a není určen zvějšku </w:t>
      </w:r>
      <w:r w:rsidR="00963052" w:rsidRPr="003D1E07">
        <w:t>(μέτρον αὐτῆς ποιεῖται τῆς κινήσεως αὐτοφυὲς καὶ οὐκ ἔ</w:t>
      </w:r>
      <w:r w:rsidR="00946A1C" w:rsidRPr="003D1E07">
        <w:t>ξωθεν;</w:t>
      </w:r>
      <w:r w:rsidR="00963052" w:rsidRPr="003D1E07">
        <w:t xml:space="preserve"> ibid</w:t>
      </w:r>
      <w:r w:rsidR="08F90304" w:rsidRPr="003D1E07">
        <w:t>,</w:t>
      </w:r>
      <w:r w:rsidR="00963052" w:rsidRPr="003D1E07">
        <w:t xml:space="preserve"> 351.3</w:t>
      </w:r>
      <w:r w:rsidR="00963052" w:rsidRPr="003D1E07">
        <w:fldChar w:fldCharType="begin"/>
      </w:r>
      <w:r w:rsidR="00963052" w:rsidRPr="003D1E07">
        <w:instrText xml:space="preserve"> XE "Simplikius:</w:instrText>
      </w:r>
      <w:r w:rsidR="00963052" w:rsidRPr="003D1E07">
        <w:rPr>
          <w:i/>
        </w:rPr>
        <w:instrText>Simpl. in Cat.</w:instrText>
      </w:r>
      <w:r w:rsidR="00963052" w:rsidRPr="003D1E07">
        <w:instrText xml:space="preserve"> 351.3" </w:instrText>
      </w:r>
      <w:r w:rsidR="00963052" w:rsidRPr="003D1E07">
        <w:fldChar w:fldCharType="end"/>
      </w:r>
      <w:r w:rsidR="00963052" w:rsidRPr="003D1E07">
        <w:t xml:space="preserve">). </w:t>
      </w:r>
      <w:r w:rsidR="081171A4" w:rsidRPr="003D1E07">
        <w:t xml:space="preserve">Tím se čas stal novou objektivní hypostází dnes zásadně nutnou pro výstavbu postmoderní kosmologie. </w:t>
      </w:r>
      <w:r w:rsidR="08CA4E6F" w:rsidRPr="003D1E07">
        <w:t xml:space="preserve">Čas definovaný ve </w:t>
      </w:r>
      <w:r w:rsidR="00963052" w:rsidRPr="003D1E07">
        <w:rPr>
          <w:i/>
        </w:rPr>
        <w:t>Fyzice</w:t>
      </w:r>
      <w:r w:rsidR="00963052" w:rsidRPr="003D1E07">
        <w:t xml:space="preserve"> patří </w:t>
      </w:r>
      <w:r w:rsidR="08F50D8B" w:rsidRPr="003D1E07">
        <w:t xml:space="preserve">podle Simplikia </w:t>
      </w:r>
      <w:r w:rsidR="00963052" w:rsidRPr="003D1E07">
        <w:t xml:space="preserve">do sféry nižších schopností poznání daných smyslově a pouze vzhledem k materiálním substancím. </w:t>
      </w:r>
      <w:r w:rsidR="087909E6" w:rsidRPr="003D1E07">
        <w:t>Pojetí času, jehož příčinou je lidská duše, prý  vzniklo d</w:t>
      </w:r>
      <w:r w:rsidR="00963052" w:rsidRPr="003D1E07">
        <w:t>íky Arist</w:t>
      </w:r>
      <w:r w:rsidR="08E931FB" w:rsidRPr="003D1E07">
        <w:t xml:space="preserve">otelově schopnosti interpretovat tajemné učení </w:t>
      </w:r>
      <w:r w:rsidR="08B35A8F" w:rsidRPr="003D1E07">
        <w:t>dávných p</w:t>
      </w:r>
      <w:r w:rsidR="087909E6" w:rsidRPr="003D1E07">
        <w:t xml:space="preserve">ythagorejců </w:t>
      </w:r>
      <w:r w:rsidR="00963052" w:rsidRPr="003D1E07">
        <w:t>(ibid</w:t>
      </w:r>
      <w:r w:rsidR="08F90304" w:rsidRPr="003D1E07">
        <w:t>,</w:t>
      </w:r>
      <w:r w:rsidR="00963052" w:rsidRPr="003D1E07">
        <w:t xml:space="preserve"> 351.8–9</w:t>
      </w:r>
      <w:r w:rsidR="00963052" w:rsidRPr="003D1E07">
        <w:fldChar w:fldCharType="begin"/>
      </w:r>
      <w:r w:rsidR="00963052" w:rsidRPr="003D1E07">
        <w:instrText xml:space="preserve"> XE "Simplikius:</w:instrText>
      </w:r>
      <w:r w:rsidR="00963052" w:rsidRPr="003D1E07">
        <w:rPr>
          <w:i/>
        </w:rPr>
        <w:instrText>Simpl. in Cat</w:instrText>
      </w:r>
      <w:r w:rsidR="00963052" w:rsidRPr="003D1E07">
        <w:instrText xml:space="preserve">. 351.8‒9" </w:instrText>
      </w:r>
      <w:r w:rsidR="00963052" w:rsidRPr="003D1E07">
        <w:fldChar w:fldCharType="end"/>
      </w:r>
      <w:r w:rsidR="00963052" w:rsidRPr="003D1E07">
        <w:t xml:space="preserve">). Čas dostává v gnostické filosofii neoplatoniků stejně ambivalentní charakter jako nově vzniklá substance. Vedle již popsaných substančních určení vzniklo další jsoucno třetího druhu, které je nezbytné pro výstavbu objektivní vědy. Těleso a čas třetího druhu </w:t>
      </w:r>
      <w:r w:rsidR="0853774C" w:rsidRPr="003D1E07">
        <w:t xml:space="preserve">proto-existují </w:t>
      </w:r>
      <w:r w:rsidR="00963052" w:rsidRPr="003D1E07">
        <w:t xml:space="preserve">v původním diakosmu </w:t>
      </w:r>
      <w:r w:rsidR="0853774C" w:rsidRPr="003D1E07">
        <w:t xml:space="preserve">a </w:t>
      </w:r>
      <w:r w:rsidR="00963052" w:rsidRPr="003D1E07">
        <w:t xml:space="preserve">následně </w:t>
      </w:r>
      <w:r w:rsidR="08B35A8F" w:rsidRPr="003D1E07">
        <w:t xml:space="preserve">určují </w:t>
      </w:r>
      <w:r w:rsidR="00963052" w:rsidRPr="003D1E07">
        <w:t xml:space="preserve">nižší </w:t>
      </w:r>
      <w:r w:rsidR="082E554B" w:rsidRPr="003D1E07">
        <w:t>formy</w:t>
      </w:r>
      <w:r w:rsidR="080D42B4" w:rsidRPr="003D1E07">
        <w:t xml:space="preserve"> skrze emanaci do fyzikálního světa</w:t>
      </w:r>
      <w:r w:rsidR="00963052" w:rsidRPr="003D1E07">
        <w:t xml:space="preserve">. K tomuto kroku potřebují </w:t>
      </w:r>
      <w:r w:rsidR="00152547" w:rsidRPr="003D1E07">
        <w:t xml:space="preserve">neoplatonikové </w:t>
      </w:r>
      <w:r w:rsidR="00963052" w:rsidRPr="003D1E07">
        <w:t xml:space="preserve">odpovídající koncept rozsažnosti a materie </w:t>
      </w:r>
      <w:r w:rsidR="00963052" w:rsidRPr="003D1E07">
        <w:lastRenderedPageBreak/>
        <w:t xml:space="preserve">jako dalšího kategoriálního určení tělesa. Simplikius </w:t>
      </w:r>
      <w:r w:rsidR="00963052" w:rsidRPr="003D1E07">
        <w:rPr>
          <w:rStyle w:val="addmd"/>
        </w:rPr>
        <w:t>zakládá vedle objektivní rozsažnosti také koncept materie třetího druhu, který bude mít velkou budoucnost v</w:t>
      </w:r>
      <w:r w:rsidR="007B110A" w:rsidRPr="003D1E07">
        <w:rPr>
          <w:rStyle w:val="addmd"/>
        </w:rPr>
        <w:t xml:space="preserve"> latinském </w:t>
      </w:r>
      <w:r w:rsidR="00963052" w:rsidRPr="003D1E07">
        <w:rPr>
          <w:rStyle w:val="addmd"/>
        </w:rPr>
        <w:t xml:space="preserve">avicennismu a v moderní objektivitě. </w:t>
      </w:r>
      <w:r w:rsidR="00963052" w:rsidRPr="003D1E07">
        <w:t xml:space="preserve">Koncept materie se přizpůsobil nově vzniklému jsoucnu třetího druhu. </w:t>
      </w:r>
      <w:r w:rsidR="00292C9B" w:rsidRPr="003D1E07">
        <w:t>P</w:t>
      </w:r>
      <w:r w:rsidR="00963052" w:rsidRPr="003D1E07">
        <w:t xml:space="preserve">odle Aristotelovy </w:t>
      </w:r>
      <w:r w:rsidR="00963052" w:rsidRPr="003D1E07">
        <w:rPr>
          <w:i/>
        </w:rPr>
        <w:t>Fyziky</w:t>
      </w:r>
      <w:r w:rsidR="00963052" w:rsidRPr="003D1E07">
        <w:t xml:space="preserve"> </w:t>
      </w:r>
      <w:r w:rsidR="083F4AC9" w:rsidRPr="003D1E07">
        <w:t xml:space="preserve">je materie </w:t>
      </w:r>
      <w:r w:rsidR="00963052" w:rsidRPr="003D1E07">
        <w:t xml:space="preserve">prozatím neurčená potence rozsažnosti (ἡ ὕλη καὶ τὸ ἀόριστον, </w:t>
      </w:r>
      <w:r w:rsidR="00963052" w:rsidRPr="003D1E07">
        <w:rPr>
          <w:i/>
        </w:rPr>
        <w:t>Phys</w:t>
      </w:r>
      <w:r w:rsidR="00963052" w:rsidRPr="003D1E07">
        <w:t>. 209b9</w:t>
      </w:r>
      <w:r w:rsidR="00963052" w:rsidRPr="003D1E07">
        <w:fldChar w:fldCharType="begin"/>
      </w:r>
      <w:r w:rsidR="00963052" w:rsidRPr="003D1E07">
        <w:instrText xml:space="preserve"> XE "</w:instrText>
      </w:r>
      <w:r w:rsidR="008E02F5" w:rsidRPr="003D1E07">
        <w:instrText>Aristoteles</w:instrText>
      </w:r>
      <w:r w:rsidR="00963052" w:rsidRPr="003D1E07">
        <w:instrText>:</w:instrText>
      </w:r>
      <w:r w:rsidR="00963052" w:rsidRPr="003D1E07">
        <w:rPr>
          <w:i/>
        </w:rPr>
        <w:instrText>Phys</w:instrText>
      </w:r>
      <w:r w:rsidR="00963052" w:rsidRPr="003D1E07">
        <w:instrText xml:space="preserve">. 209b9" </w:instrText>
      </w:r>
      <w:r w:rsidR="00963052" w:rsidRPr="003D1E07">
        <w:fldChar w:fldCharType="end"/>
      </w:r>
      <w:r w:rsidR="00963052" w:rsidRPr="003D1E07">
        <w:t xml:space="preserve">), která je dána vzhledem k určující formě (ὑπὸ τοῦ εἴδους καὶ ὡρισμένον, </w:t>
      </w:r>
      <w:r w:rsidR="00963052" w:rsidRPr="003D1E07">
        <w:rPr>
          <w:i/>
        </w:rPr>
        <w:t>Phys</w:t>
      </w:r>
      <w:r w:rsidR="00963052" w:rsidRPr="003D1E07">
        <w:t>. 209b8</w:t>
      </w:r>
      <w:r w:rsidR="00963052" w:rsidRPr="003D1E07">
        <w:fldChar w:fldCharType="begin"/>
      </w:r>
      <w:r w:rsidR="00963052" w:rsidRPr="003D1E07">
        <w:instrText xml:space="preserve"> XE "</w:instrText>
      </w:r>
      <w:r w:rsidR="008E02F5" w:rsidRPr="003D1E07">
        <w:instrText>Aristoteles</w:instrText>
      </w:r>
      <w:r w:rsidR="00963052" w:rsidRPr="003D1E07">
        <w:instrText>:</w:instrText>
      </w:r>
      <w:r w:rsidR="00963052" w:rsidRPr="003D1E07">
        <w:rPr>
          <w:i/>
        </w:rPr>
        <w:instrText>Phys</w:instrText>
      </w:r>
      <w:r w:rsidR="00963052" w:rsidRPr="003D1E07">
        <w:instrText xml:space="preserve">. 209b8" </w:instrText>
      </w:r>
      <w:r w:rsidR="00963052" w:rsidRPr="003D1E07">
        <w:fldChar w:fldCharType="end"/>
      </w:r>
      <w:r w:rsidR="00963052" w:rsidRPr="003D1E07">
        <w:t xml:space="preserve">). Pokud si odmyslíme všechna kvantitativní určení tělesa, pak musí zůstat alespoň základní </w:t>
      </w:r>
      <w:r w:rsidR="08EC5CFC" w:rsidRPr="003D1E07">
        <w:t xml:space="preserve">teoreticky postulovaný </w:t>
      </w:r>
      <w:r w:rsidR="00963052" w:rsidRPr="003D1E07">
        <w:t>substrát těchto určení</w:t>
      </w:r>
      <w:r w:rsidR="08EC5CFC" w:rsidRPr="003D1E07">
        <w:t xml:space="preserve">. </w:t>
      </w:r>
      <w:r w:rsidR="000D7F66" w:rsidRPr="003D1E07">
        <w:t>Podle Aristotela existuje p</w:t>
      </w:r>
      <w:r w:rsidR="08214ABA" w:rsidRPr="003D1E07">
        <w:t>rimární m</w:t>
      </w:r>
      <w:r w:rsidR="00963052" w:rsidRPr="003D1E07">
        <w:t xml:space="preserve">aterie ve své obecně určené podstatě pouze jako </w:t>
      </w:r>
      <w:r w:rsidR="08F121E1" w:rsidRPr="003D1E07">
        <w:t xml:space="preserve">čistě potenciální </w:t>
      </w:r>
      <w:r w:rsidR="00963052" w:rsidRPr="003D1E07">
        <w:t>koncept</w:t>
      </w:r>
      <w:r w:rsidR="08EC5CFC" w:rsidRPr="003D1E07">
        <w:t xml:space="preserve"> v mysli</w:t>
      </w:r>
      <w:r w:rsidR="00292C9B" w:rsidRPr="003D1E07">
        <w:t xml:space="preserve">, </w:t>
      </w:r>
      <w:r w:rsidR="08EC5CFC" w:rsidRPr="003D1E07">
        <w:t xml:space="preserve">kde je postulována </w:t>
      </w:r>
      <w:r w:rsidR="00963052" w:rsidRPr="003D1E07">
        <w:t xml:space="preserve">z hlediska logické nutnosti (τὴν ὕλην ἀνάγκη φαίνεσθαι μόνην οὐσίαν, </w:t>
      </w:r>
      <w:r w:rsidR="00963052" w:rsidRPr="003D1E07">
        <w:rPr>
          <w:i/>
        </w:rPr>
        <w:t>Met</w:t>
      </w:r>
      <w:r w:rsidR="00963052" w:rsidRPr="003D1E07">
        <w:t>. 1029a18–19</w:t>
      </w:r>
      <w:r w:rsidR="00963052" w:rsidRPr="003D1E07">
        <w:fldChar w:fldCharType="begin"/>
      </w:r>
      <w:r w:rsidR="00963052" w:rsidRPr="003D1E07">
        <w:instrText xml:space="preserve"> XE "</w:instrText>
      </w:r>
      <w:r w:rsidR="008E02F5" w:rsidRPr="003D1E07">
        <w:instrText>Aristoteles</w:instrText>
      </w:r>
      <w:r w:rsidR="00963052" w:rsidRPr="003D1E07">
        <w:instrText>:</w:instrText>
      </w:r>
      <w:r w:rsidR="00963052" w:rsidRPr="003D1E07">
        <w:rPr>
          <w:i/>
        </w:rPr>
        <w:instrText>Met</w:instrText>
      </w:r>
      <w:r w:rsidR="00963052" w:rsidRPr="003D1E07">
        <w:instrText xml:space="preserve">. 1029a18–19" </w:instrText>
      </w:r>
      <w:r w:rsidR="00963052" w:rsidRPr="003D1E07">
        <w:fldChar w:fldCharType="end"/>
      </w:r>
      <w:r w:rsidR="00963052" w:rsidRPr="003D1E07">
        <w:t xml:space="preserve">). </w:t>
      </w:r>
      <w:r w:rsidR="08287351" w:rsidRPr="003D1E07">
        <w:t xml:space="preserve">Takto definovaná </w:t>
      </w:r>
      <w:r w:rsidR="08CA764C" w:rsidRPr="003D1E07">
        <w:t xml:space="preserve">Aristotelova </w:t>
      </w:r>
      <w:r w:rsidR="08CA764C" w:rsidRPr="003D1E07">
        <w:rPr>
          <w:i/>
        </w:rPr>
        <w:t>hylé</w:t>
      </w:r>
      <w:r w:rsidR="08CA764C" w:rsidRPr="003D1E07">
        <w:t xml:space="preserve"> </w:t>
      </w:r>
      <w:r w:rsidR="08287351" w:rsidRPr="003D1E07">
        <w:t>v realitě neex</w:t>
      </w:r>
      <w:r w:rsidR="08CA764C" w:rsidRPr="003D1E07">
        <w:t>i</w:t>
      </w:r>
      <w:r w:rsidR="08287351" w:rsidRPr="003D1E07">
        <w:t>s</w:t>
      </w:r>
      <w:r w:rsidR="08CA764C" w:rsidRPr="003D1E07">
        <w:t>tuje</w:t>
      </w:r>
      <w:r w:rsidR="009F6D05" w:rsidRPr="003D1E07">
        <w:t xml:space="preserve">. Nemá žádnou možnost, jak by mohla aktuálně existovat, protože je čistý teoretický koncept. </w:t>
      </w:r>
      <w:r w:rsidR="08F121E1" w:rsidRPr="003D1E07">
        <w:t xml:space="preserve">Všechno, co existuje, musí být nějak aktuální, což je vždy už zformovaná materie. </w:t>
      </w:r>
      <w:r w:rsidR="00963052" w:rsidRPr="003D1E07">
        <w:t xml:space="preserve">Aktuální hylemorfická složenina tělesa zabírá prostor jako materiálně danou extenzi aktualizované rozsažnosti (ὁ τόπος εἶναι τὸ διάστημα τοῦ μεγέθους, </w:t>
      </w:r>
      <w:r w:rsidR="00963052" w:rsidRPr="003D1E07">
        <w:rPr>
          <w:i/>
        </w:rPr>
        <w:t>Phys</w:t>
      </w:r>
      <w:r w:rsidR="00963052" w:rsidRPr="003D1E07">
        <w:t>. 209b6–7</w:t>
      </w:r>
      <w:r w:rsidR="00963052" w:rsidRPr="003D1E07">
        <w:fldChar w:fldCharType="begin"/>
      </w:r>
      <w:r w:rsidR="00963052" w:rsidRPr="003D1E07">
        <w:instrText xml:space="preserve"> XE "</w:instrText>
      </w:r>
      <w:r w:rsidR="008E02F5" w:rsidRPr="003D1E07">
        <w:instrText>Aristoteles</w:instrText>
      </w:r>
      <w:r w:rsidR="00963052" w:rsidRPr="003D1E07">
        <w:instrText>:</w:instrText>
      </w:r>
      <w:r w:rsidR="00963052" w:rsidRPr="003D1E07">
        <w:rPr>
          <w:i/>
        </w:rPr>
        <w:instrText>Phys</w:instrText>
      </w:r>
      <w:r w:rsidR="00963052" w:rsidRPr="003D1E07">
        <w:instrText xml:space="preserve">. 209b6‒7" </w:instrText>
      </w:r>
      <w:r w:rsidR="00963052" w:rsidRPr="003D1E07">
        <w:fldChar w:fldCharType="end"/>
      </w:r>
      <w:r w:rsidR="00963052" w:rsidRPr="003D1E07">
        <w:t xml:space="preserve">). </w:t>
      </w:r>
      <w:r w:rsidR="008E02F5" w:rsidRPr="003D1E07">
        <w:t>Aristoteles</w:t>
      </w:r>
      <w:r w:rsidR="00963052" w:rsidRPr="003D1E07">
        <w:t xml:space="preserve"> vidí zásadní rozdíl mezi dvě</w:t>
      </w:r>
      <w:r w:rsidR="004A1393" w:rsidRPr="003D1E07">
        <w:t>ma faktory, které neoplatonimus spletl dohromady</w:t>
      </w:r>
      <w:r w:rsidR="00963052" w:rsidRPr="003D1E07">
        <w:t xml:space="preserve">. Definující forma dává prostorovost a </w:t>
      </w:r>
      <w:r w:rsidR="08E63D42" w:rsidRPr="003D1E07">
        <w:t xml:space="preserve">kvantitativní </w:t>
      </w:r>
      <w:r w:rsidR="00963052" w:rsidRPr="003D1E07">
        <w:t xml:space="preserve">rozsažnost (μέγεθος, </w:t>
      </w:r>
      <w:r w:rsidR="00963052" w:rsidRPr="003D1E07">
        <w:rPr>
          <w:i/>
        </w:rPr>
        <w:t>magnitudo</w:t>
      </w:r>
      <w:r w:rsidR="00963052" w:rsidRPr="003D1E07">
        <w:fldChar w:fldCharType="begin"/>
      </w:r>
      <w:r w:rsidR="00963052" w:rsidRPr="003D1E07">
        <w:instrText xml:space="preserve"> XE "rozsažnost" </w:instrText>
      </w:r>
      <w:r w:rsidR="00963052" w:rsidRPr="003D1E07">
        <w:fldChar w:fldCharType="end"/>
      </w:r>
      <w:r w:rsidR="00963052" w:rsidRPr="003D1E07">
        <w:t xml:space="preserve">) tělesa tím, že aktualizuje látku jako potenci. Díky aktualizaci této potence vznikne prostorové těleso jako materializace a aktualizace rozsažnosti dané </w:t>
      </w:r>
      <w:r w:rsidR="08165CF5" w:rsidRPr="003D1E07">
        <w:t>exten</w:t>
      </w:r>
      <w:r w:rsidR="08015E61" w:rsidRPr="003D1E07">
        <w:t>z</w:t>
      </w:r>
      <w:r w:rsidR="08165CF5" w:rsidRPr="003D1E07">
        <w:t xml:space="preserve">ivně </w:t>
      </w:r>
      <w:r w:rsidR="00963052" w:rsidRPr="003D1E07">
        <w:t xml:space="preserve">(διάστημα, </w:t>
      </w:r>
      <w:r w:rsidR="00963052" w:rsidRPr="003D1E07">
        <w:rPr>
          <w:i/>
        </w:rPr>
        <w:t>extensio</w:t>
      </w:r>
      <w:r w:rsidR="00963052" w:rsidRPr="003D1E07">
        <w:t xml:space="preserve">). </w:t>
      </w:r>
      <w:r w:rsidR="00C42628" w:rsidRPr="003D1E07">
        <w:t xml:space="preserve">Formální pojem rozsažnosti </w:t>
      </w:r>
      <w:r w:rsidR="00963052" w:rsidRPr="003D1E07">
        <w:t xml:space="preserve">není </w:t>
      </w:r>
      <w:r w:rsidR="00C42628" w:rsidRPr="003D1E07">
        <w:t xml:space="preserve">pro Aristotela </w:t>
      </w:r>
      <w:r w:rsidR="00963052" w:rsidRPr="003D1E07">
        <w:t xml:space="preserve">důležitý, protože extenzi má díky formované látce pouze </w:t>
      </w:r>
      <w:r w:rsidR="08CD2FEF" w:rsidRPr="003D1E07">
        <w:t xml:space="preserve">rozsažná </w:t>
      </w:r>
      <w:r w:rsidR="00963052" w:rsidRPr="003D1E07">
        <w:t>první substance</w:t>
      </w:r>
      <w:r w:rsidR="00963052" w:rsidRPr="003D1E07">
        <w:fldChar w:fldCharType="begin"/>
      </w:r>
      <w:r w:rsidR="00963052" w:rsidRPr="003D1E07">
        <w:instrText xml:space="preserve"> XE "substance:rozsažnost" </w:instrText>
      </w:r>
      <w:r w:rsidR="00963052" w:rsidRPr="003D1E07">
        <w:fldChar w:fldCharType="end"/>
      </w:r>
      <w:r w:rsidR="08CA49F3" w:rsidRPr="003D1E07">
        <w:t xml:space="preserve">. Její </w:t>
      </w:r>
      <w:r w:rsidR="0866079B" w:rsidRPr="003D1E07">
        <w:t xml:space="preserve">reálné a aktuální </w:t>
      </w:r>
      <w:r w:rsidR="08CA49F3" w:rsidRPr="003D1E07">
        <w:t>hylemorf</w:t>
      </w:r>
      <w:r w:rsidR="00963052" w:rsidRPr="003D1E07">
        <w:t>ické bytí má různá akcidentální určení</w:t>
      </w:r>
      <w:r w:rsidR="0866079B" w:rsidRPr="003D1E07">
        <w:t xml:space="preserve"> zkoumaná </w:t>
      </w:r>
      <w:r w:rsidR="0866079B" w:rsidRPr="003D1E07">
        <w:rPr>
          <w:i/>
        </w:rPr>
        <w:t>Fyzikou</w:t>
      </w:r>
      <w:r w:rsidR="00963052" w:rsidRPr="003D1E07">
        <w:t xml:space="preserve">, mezi něž patří i měřitelná kvantita. </w:t>
      </w:r>
      <w:r w:rsidR="002B3B85" w:rsidRPr="003D1E07">
        <w:t>Z hlediska aristotelské fyziky reálných těles jsou k</w:t>
      </w:r>
      <w:r w:rsidR="00963052" w:rsidRPr="003D1E07">
        <w:t xml:space="preserve">vantitativní určení postavená mimo fyzikální těleso </w:t>
      </w:r>
      <w:r w:rsidR="08265F88" w:rsidRPr="003D1E07">
        <w:t xml:space="preserve">naprostý </w:t>
      </w:r>
      <w:r w:rsidR="00963052" w:rsidRPr="003D1E07">
        <w:t>nesmysl</w:t>
      </w:r>
      <w:r w:rsidR="08E479F3" w:rsidRPr="003D1E07">
        <w:t xml:space="preserve">. </w:t>
      </w:r>
      <w:r w:rsidR="08A238E8" w:rsidRPr="003D1E07">
        <w:t xml:space="preserve">Rozsažnost ve smyslu substance nemůže existovat mimo hylemorfickou jednotlivinu, protože v realitě neexistuje obecné abstraktní těleso (σῶμα γὰρ κοινὸν οὐδέν, </w:t>
      </w:r>
      <w:r w:rsidR="08A238E8" w:rsidRPr="003D1E07">
        <w:rPr>
          <w:i/>
        </w:rPr>
        <w:t>De gen. et corr</w:t>
      </w:r>
      <w:r w:rsidR="08A238E8" w:rsidRPr="003D1E07">
        <w:t>. 320b23</w:t>
      </w:r>
      <w:r w:rsidR="08A238E8" w:rsidRPr="003D1E07">
        <w:fldChar w:fldCharType="begin"/>
      </w:r>
      <w:r w:rsidR="08A238E8" w:rsidRPr="003D1E07">
        <w:instrText xml:space="preserve"> XE "Aristoteles:</w:instrText>
      </w:r>
      <w:r w:rsidR="08A238E8" w:rsidRPr="003D1E07">
        <w:rPr>
          <w:i/>
        </w:rPr>
        <w:instrText>De gen. et corr</w:instrText>
      </w:r>
      <w:r w:rsidR="08A238E8" w:rsidRPr="003D1E07">
        <w:instrText xml:space="preserve">. 320b23" </w:instrText>
      </w:r>
      <w:r w:rsidR="08A238E8" w:rsidRPr="003D1E07">
        <w:fldChar w:fldCharType="end"/>
      </w:r>
      <w:r w:rsidR="08A238E8" w:rsidRPr="003D1E07">
        <w:t xml:space="preserve">). Každé univerzální určení tělesa existuje pouze v duši jako potenciální koncept poznání. </w:t>
      </w:r>
      <w:r w:rsidR="088D0035" w:rsidRPr="003D1E07">
        <w:t>Fyzika je pravdivá tím, je adekvátně poznává vlastnosti těles jako aktuálních prvních substancí</w:t>
      </w:r>
      <w:r w:rsidR="088B7857" w:rsidRPr="003D1E07">
        <w:t>, materiálních i nemateriálních</w:t>
      </w:r>
      <w:r w:rsidR="088D0035" w:rsidRPr="003D1E07">
        <w:t xml:space="preserve">. </w:t>
      </w:r>
      <w:r w:rsidR="08D94A00" w:rsidRPr="003D1E07">
        <w:t>V</w:t>
      </w:r>
      <w:r w:rsidR="00963052" w:rsidRPr="003D1E07">
        <w:t xml:space="preserve">ýpovědi o rozsažnosti </w:t>
      </w:r>
      <w:r w:rsidR="08D94A00" w:rsidRPr="003D1E07">
        <w:t xml:space="preserve">jako esenci, hypostázi atd. </w:t>
      </w:r>
      <w:r w:rsidR="00963052" w:rsidRPr="003D1E07">
        <w:t>spadají do pouhých pote</w:t>
      </w:r>
      <w:r w:rsidR="00F55135">
        <w:t>n</w:t>
      </w:r>
      <w:r w:rsidR="00963052" w:rsidRPr="003D1E07">
        <w:t>ciálních určení jsoucna daných v mysli</w:t>
      </w:r>
      <w:r w:rsidR="081C48E0" w:rsidRPr="003D1E07">
        <w:t>, proto nemohou nahradit fyzikální určení první substance</w:t>
      </w:r>
      <w:r w:rsidR="00963052" w:rsidRPr="003D1E07">
        <w:t xml:space="preserve">. </w:t>
      </w:r>
      <w:r w:rsidR="085C1365" w:rsidRPr="003D1E07">
        <w:t xml:space="preserve">Fyzika jako vědění o pohyblivých substancích a jejich změnách musí mít základ v reálném světě prvních substancí. </w:t>
      </w:r>
      <w:r w:rsidR="00963052" w:rsidRPr="003D1E07">
        <w:t xml:space="preserve">Rozsažnost jako univerzální určení </w:t>
      </w:r>
      <w:r w:rsidR="0800585C" w:rsidRPr="003D1E07">
        <w:t>je hyparchicky a tedy adekvátně-</w:t>
      </w:r>
      <w:r w:rsidR="00963052" w:rsidRPr="003D1E07">
        <w:t xml:space="preserve">fyzikálně predikována pouze vzhledem k </w:t>
      </w:r>
      <w:r w:rsidR="0800585C" w:rsidRPr="003D1E07">
        <w:t xml:space="preserve">tělesu jako </w:t>
      </w:r>
      <w:r w:rsidR="00963052" w:rsidRPr="003D1E07">
        <w:t xml:space="preserve">reálné </w:t>
      </w:r>
      <w:r w:rsidR="00963052" w:rsidRPr="003D1E07">
        <w:lastRenderedPageBreak/>
        <w:t>hylemorfické jednotlivině</w:t>
      </w:r>
      <w:r w:rsidR="00C04105" w:rsidRPr="003D1E07">
        <w:t xml:space="preserve">. </w:t>
      </w:r>
      <w:r w:rsidR="000813BD" w:rsidRPr="003D1E07">
        <w:t>Bez reálného substrátu nemohou existovat</w:t>
      </w:r>
      <w:r w:rsidR="00B0674E" w:rsidRPr="003D1E07">
        <w:t xml:space="preserve"> ve vědě </w:t>
      </w:r>
      <w:r w:rsidR="000813BD" w:rsidRPr="003D1E07">
        <w:t>akcidentální určení typu fyzikálních vlastností. A</w:t>
      </w:r>
      <w:r w:rsidR="00963052" w:rsidRPr="003D1E07">
        <w:t xml:space="preserve">kcidentální určení druhé substance </w:t>
      </w:r>
      <w:r w:rsidR="000813BD" w:rsidRPr="003D1E07">
        <w:t xml:space="preserve">platí </w:t>
      </w:r>
      <w:r w:rsidR="00963052" w:rsidRPr="003D1E07">
        <w:t>v rámci kategoriální univocity</w:t>
      </w:r>
      <w:r w:rsidR="000813BD" w:rsidRPr="003D1E07">
        <w:t xml:space="preserve"> pouze tehdy, pok</w:t>
      </w:r>
      <w:r w:rsidR="08DE11EB" w:rsidRPr="003D1E07">
        <w:t xml:space="preserve">ud vypovídají v modu impozice </w:t>
      </w:r>
      <w:r w:rsidR="000813BD" w:rsidRPr="003D1E07">
        <w:t>o první substanci</w:t>
      </w:r>
      <w:r w:rsidR="08DE11EB" w:rsidRPr="003D1E07">
        <w:t xml:space="preserve"> a pokud predikují ve středním členu vědeckého soudu </w:t>
      </w:r>
      <w:r w:rsidR="00B776BD" w:rsidRPr="003D1E07">
        <w:t>(</w:t>
      </w:r>
      <w:r w:rsidR="00B776BD" w:rsidRPr="003D1E07">
        <w:rPr>
          <w:i/>
        </w:rPr>
        <w:t>medium</w:t>
      </w:r>
      <w:r w:rsidR="00B776BD" w:rsidRPr="003D1E07">
        <w:t xml:space="preserve">) </w:t>
      </w:r>
      <w:r w:rsidR="08DE11EB" w:rsidRPr="003D1E07">
        <w:t>kauzalitu reálných prvních substancí</w:t>
      </w:r>
      <w:r w:rsidR="006E2784">
        <w:t>.</w:t>
      </w:r>
    </w:p>
    <w:p w14:paraId="655F1960" w14:textId="4EDEBD93" w:rsidR="00587888" w:rsidRDefault="087E1B04" w:rsidP="0051291F">
      <w:pPr>
        <w:ind w:firstLine="397"/>
      </w:pPr>
      <w:r w:rsidRPr="003D1E07">
        <w:t>Pozdně-antičtí i</w:t>
      </w:r>
      <w:r w:rsidR="08461303" w:rsidRPr="003D1E07">
        <w:rPr>
          <w:szCs w:val="24"/>
        </w:rPr>
        <w:t xml:space="preserve">lumináti </w:t>
      </w:r>
      <w:r w:rsidR="088B29BE" w:rsidRPr="003D1E07">
        <w:rPr>
          <w:szCs w:val="24"/>
        </w:rPr>
        <w:t xml:space="preserve">intelektuálně </w:t>
      </w:r>
      <w:r w:rsidR="00B776BD" w:rsidRPr="003D1E07">
        <w:rPr>
          <w:szCs w:val="24"/>
        </w:rPr>
        <w:t>pohrdali</w:t>
      </w:r>
      <w:r w:rsidR="08461303" w:rsidRPr="003D1E07">
        <w:rPr>
          <w:szCs w:val="24"/>
        </w:rPr>
        <w:t xml:space="preserve"> Aristotelem</w:t>
      </w:r>
      <w:r w:rsidR="00B776BD" w:rsidRPr="003D1E07">
        <w:rPr>
          <w:szCs w:val="24"/>
        </w:rPr>
        <w:t>. V</w:t>
      </w:r>
      <w:r w:rsidR="08461303" w:rsidRPr="003D1E07">
        <w:rPr>
          <w:szCs w:val="24"/>
        </w:rPr>
        <w:t>ytvo</w:t>
      </w:r>
      <w:r w:rsidR="08AF173D" w:rsidRPr="003D1E07">
        <w:rPr>
          <w:szCs w:val="24"/>
        </w:rPr>
        <w:t>řili z</w:t>
      </w:r>
      <w:r w:rsidR="08461303" w:rsidRPr="003D1E07">
        <w:rPr>
          <w:szCs w:val="24"/>
        </w:rPr>
        <w:t xml:space="preserve"> Platonovy filo</w:t>
      </w:r>
      <w:r w:rsidR="00B776BD" w:rsidRPr="003D1E07">
        <w:rPr>
          <w:szCs w:val="24"/>
        </w:rPr>
        <w:t>sofické pohádky nový objektivně pseudo-</w:t>
      </w:r>
      <w:r w:rsidR="08461303" w:rsidRPr="003D1E07">
        <w:rPr>
          <w:szCs w:val="24"/>
        </w:rPr>
        <w:t xml:space="preserve">vědecký obraz světa. </w:t>
      </w:r>
      <w:r w:rsidR="082D2675" w:rsidRPr="003D1E07">
        <w:t>Simplikius filosoficky konceptualizuje mytickou tvorbu demiurga</w:t>
      </w:r>
      <w:r w:rsidR="082D2675" w:rsidRPr="003D1E07">
        <w:fldChar w:fldCharType="begin"/>
      </w:r>
      <w:r w:rsidR="082D2675" w:rsidRPr="003D1E07">
        <w:instrText xml:space="preserve"> XE "</w:instrText>
      </w:r>
      <w:r w:rsidR="082D2675" w:rsidRPr="003D1E07">
        <w:rPr>
          <w:rStyle w:val="addmd"/>
        </w:rPr>
        <w:instrText>demiurg</w:instrText>
      </w:r>
      <w:r w:rsidR="082D2675" w:rsidRPr="003D1E07">
        <w:instrText xml:space="preserve">" </w:instrText>
      </w:r>
      <w:r w:rsidR="082D2675" w:rsidRPr="003D1E07">
        <w:fldChar w:fldCharType="end"/>
      </w:r>
      <w:r w:rsidR="082D2675" w:rsidRPr="003D1E07">
        <w:t xml:space="preserve"> v</w:t>
      </w:r>
      <w:r w:rsidR="00526C24" w:rsidRPr="003D1E07">
        <w:t> </w:t>
      </w:r>
      <w:r w:rsidR="082D2675" w:rsidRPr="003D1E07">
        <w:t>diakosmu</w:t>
      </w:r>
      <w:r w:rsidR="00526C24" w:rsidRPr="003D1E07">
        <w:t xml:space="preserve"> vytvořeném Jamblichem a Platonem</w:t>
      </w:r>
      <w:r w:rsidR="082D2675" w:rsidRPr="003D1E07">
        <w:t xml:space="preserve">. </w:t>
      </w:r>
      <w:r w:rsidR="08882E13" w:rsidRPr="003D1E07">
        <w:rPr>
          <w:szCs w:val="24"/>
        </w:rPr>
        <w:t xml:space="preserve">Objektivní materie </w:t>
      </w:r>
      <w:r w:rsidR="00963052" w:rsidRPr="003D1E07">
        <w:rPr>
          <w:szCs w:val="24"/>
        </w:rPr>
        <w:t xml:space="preserve">musí stejně jako věčné formy existovat v proto-eidetickém čase mytického </w:t>
      </w:r>
      <w:r w:rsidR="00963052" w:rsidRPr="003D1E07">
        <w:rPr>
          <w:i/>
          <w:szCs w:val="24"/>
        </w:rPr>
        <w:t>in illo tempore</w:t>
      </w:r>
      <w:r w:rsidR="00963052" w:rsidRPr="003D1E07">
        <w:rPr>
          <w:szCs w:val="24"/>
        </w:rPr>
        <w:t xml:space="preserve">, tedy před tvorbou demiurga. </w:t>
      </w:r>
      <w:r w:rsidR="00963052" w:rsidRPr="003D1E07">
        <w:t xml:space="preserve">Jamblichův archonticko-eidetický čas </w:t>
      </w:r>
      <w:r w:rsidR="0883717E" w:rsidRPr="003D1E07">
        <w:t xml:space="preserve">dostává </w:t>
      </w:r>
      <w:r w:rsidR="08493388" w:rsidRPr="003D1E07">
        <w:t xml:space="preserve">také </w:t>
      </w:r>
      <w:r w:rsidR="00963052" w:rsidRPr="003D1E07">
        <w:t xml:space="preserve">objektivně danou rozsažnost. Kvalitativní rozsažnost tělesa (διάστημα, </w:t>
      </w:r>
      <w:r w:rsidR="00963052" w:rsidRPr="003D1E07">
        <w:rPr>
          <w:i/>
        </w:rPr>
        <w:t>extensio</w:t>
      </w:r>
      <w:r w:rsidR="00963052" w:rsidRPr="003D1E07">
        <w:t xml:space="preserve">) je neomezené </w:t>
      </w:r>
      <w:r w:rsidR="00592CAD" w:rsidRPr="003D1E07">
        <w:rPr>
          <w:i/>
        </w:rPr>
        <w:t>á</w:t>
      </w:r>
      <w:r w:rsidR="00963052" w:rsidRPr="003D1E07">
        <w:rPr>
          <w:i/>
        </w:rPr>
        <w:t>peiron</w:t>
      </w:r>
      <w:r w:rsidR="00963052" w:rsidRPr="003D1E07">
        <w:t xml:space="preserve"> dané jako základní vlastnost neu</w:t>
      </w:r>
      <w:r w:rsidR="00A43627">
        <w:t>r</w:t>
      </w:r>
      <w:r w:rsidR="00963052" w:rsidRPr="003D1E07">
        <w:t xml:space="preserve">čité </w:t>
      </w:r>
      <w:r w:rsidR="00A43627">
        <w:t xml:space="preserve">a hypostatické </w:t>
      </w:r>
      <w:r w:rsidR="00963052" w:rsidRPr="003D1E07">
        <w:t xml:space="preserve">materie vzaté </w:t>
      </w:r>
      <w:r w:rsidR="00A43627">
        <w:t>o sobě</w:t>
      </w:r>
      <w:r w:rsidR="00963052" w:rsidRPr="003D1E07">
        <w:t xml:space="preserve">. </w:t>
      </w:r>
      <w:r w:rsidR="081C0154" w:rsidRPr="003D1E07">
        <w:t>U</w:t>
      </w:r>
      <w:r w:rsidR="00963052" w:rsidRPr="003D1E07">
        <w:t>rčen</w:t>
      </w:r>
      <w:r w:rsidR="081C0154" w:rsidRPr="003D1E07">
        <w:t xml:space="preserve">í tělesa </w:t>
      </w:r>
      <w:r w:rsidR="00963052" w:rsidRPr="003D1E07">
        <w:t>není</w:t>
      </w:r>
      <w:r w:rsidR="081C0154" w:rsidRPr="003D1E07">
        <w:t xml:space="preserve"> dáno skrze konkrétní formu</w:t>
      </w:r>
      <w:r w:rsidR="00963052" w:rsidRPr="003D1E07">
        <w:t xml:space="preserve"> v rámci </w:t>
      </w:r>
      <w:r w:rsidR="081C0154" w:rsidRPr="003D1E07">
        <w:t xml:space="preserve">první </w:t>
      </w:r>
      <w:r w:rsidR="00963052" w:rsidRPr="003D1E07">
        <w:t xml:space="preserve">substance jako u Aristotela, nýbrž čistá rozsažnost (μέγεθος, </w:t>
      </w:r>
      <w:r w:rsidR="00963052" w:rsidRPr="003D1E07">
        <w:rPr>
          <w:i/>
        </w:rPr>
        <w:t>magnitudo</w:t>
      </w:r>
      <w:r w:rsidR="00963052" w:rsidRPr="003D1E07">
        <w:fldChar w:fldCharType="begin"/>
      </w:r>
      <w:r w:rsidR="00963052" w:rsidRPr="003D1E07">
        <w:instrText xml:space="preserve"> XE "rozsažnost" </w:instrText>
      </w:r>
      <w:r w:rsidR="00963052" w:rsidRPr="003D1E07">
        <w:fldChar w:fldCharType="end"/>
      </w:r>
      <w:r w:rsidR="00963052" w:rsidRPr="003D1E07">
        <w:t>) jako taková. Rozsažnost se stala hypostázovanou pseudo-formou a představuje určující a čistě formální činitel, který determinuje prozatím neurčitou kvantitativní extenzi materie.</w:t>
      </w:r>
      <w:r w:rsidR="00963052" w:rsidRPr="003D1E07">
        <w:rPr>
          <w:szCs w:val="24"/>
        </w:rPr>
        <w:t xml:space="preserve"> </w:t>
      </w:r>
      <w:r w:rsidR="00963052" w:rsidRPr="003D1E07">
        <w:t xml:space="preserve">Simplikius už nedefinuje prostor vzhledem k rozsažnosti první substance, ale chápe jej vzhledem k </w:t>
      </w:r>
      <w:r w:rsidR="08BC33CA" w:rsidRPr="003D1E07">
        <w:t>ideální</w:t>
      </w:r>
      <w:r w:rsidR="08494E33" w:rsidRPr="003D1E07">
        <w:t xml:space="preserve"> </w:t>
      </w:r>
      <w:r w:rsidR="08E0628C" w:rsidRPr="003D1E07">
        <w:t xml:space="preserve">eidetické </w:t>
      </w:r>
      <w:r w:rsidR="08D02B99" w:rsidRPr="003D1E07">
        <w:t xml:space="preserve">formě </w:t>
      </w:r>
      <w:r w:rsidR="08BC33CA" w:rsidRPr="003D1E07">
        <w:t>dané</w:t>
      </w:r>
      <w:r w:rsidR="08E0628C" w:rsidRPr="003D1E07">
        <w:t xml:space="preserve"> mimo reálná fyzikální určení místa a materie </w:t>
      </w:r>
      <w:r w:rsidR="081C0154" w:rsidRPr="003D1E07">
        <w:t xml:space="preserve">původně </w:t>
      </w:r>
      <w:r w:rsidR="08E0628C" w:rsidRPr="003D1E07">
        <w:t xml:space="preserve">definované Aristotelem </w:t>
      </w:r>
      <w:r w:rsidR="00963052" w:rsidRPr="003D1E07">
        <w:t xml:space="preserve">(οὐκέτι τὸ εἶδος ἔσται ὁ τόπος ἀλλ' ἡ ὕλη, </w:t>
      </w:r>
      <w:r w:rsidR="00963052" w:rsidRPr="003D1E07">
        <w:rPr>
          <w:i/>
        </w:rPr>
        <w:t>Simpl. in Phys</w:t>
      </w:r>
      <w:r w:rsidR="00963052" w:rsidRPr="003D1E07">
        <w:t>. 537.10–11</w:t>
      </w:r>
      <w:r w:rsidR="00963052" w:rsidRPr="003D1E07">
        <w:fldChar w:fldCharType="begin"/>
      </w:r>
      <w:r w:rsidR="00963052" w:rsidRPr="003D1E07">
        <w:instrText xml:space="preserve"> XE "Simplikius:</w:instrText>
      </w:r>
      <w:r w:rsidR="00963052" w:rsidRPr="003D1E07">
        <w:rPr>
          <w:i/>
        </w:rPr>
        <w:instrText>Simpl. in Phys</w:instrText>
      </w:r>
      <w:r w:rsidR="00963052" w:rsidRPr="003D1E07">
        <w:instrText xml:space="preserve">. 537.10–11" </w:instrText>
      </w:r>
      <w:r w:rsidR="00963052" w:rsidRPr="003D1E07">
        <w:fldChar w:fldCharType="end"/>
      </w:r>
      <w:r w:rsidR="00963052" w:rsidRPr="003D1E07">
        <w:t xml:space="preserve">). </w:t>
      </w:r>
      <w:r w:rsidR="082027D0" w:rsidRPr="003D1E07">
        <w:t xml:space="preserve">Simplikiův </w:t>
      </w:r>
      <w:r w:rsidR="00963052" w:rsidRPr="003D1E07">
        <w:t xml:space="preserve">komentář </w:t>
      </w:r>
      <w:r w:rsidR="00963052" w:rsidRPr="003D1E07">
        <w:rPr>
          <w:i/>
        </w:rPr>
        <w:t>Fyziky</w:t>
      </w:r>
      <w:r w:rsidR="00963052" w:rsidRPr="003D1E07">
        <w:t xml:space="preserve"> zásadně </w:t>
      </w:r>
      <w:r w:rsidR="08E42C5D" w:rsidRPr="003D1E07">
        <w:t xml:space="preserve">změnil </w:t>
      </w:r>
      <w:r w:rsidR="00963052" w:rsidRPr="003D1E07">
        <w:t xml:space="preserve">Aristotelovu koncepci materie. </w:t>
      </w:r>
      <w:r w:rsidR="08285BA7" w:rsidRPr="003D1E07">
        <w:t>Čas, p</w:t>
      </w:r>
      <w:r w:rsidR="00963052" w:rsidRPr="003D1E07">
        <w:t>rostor a materie jsou definovány mimo aktuální hylemorfické těleso a stal</w:t>
      </w:r>
      <w:r w:rsidR="08285BA7" w:rsidRPr="003D1E07">
        <w:t xml:space="preserve">y se určením druhu </w:t>
      </w:r>
      <w:r w:rsidR="08C64FD8" w:rsidRPr="003D1E07">
        <w:t>jako univerzálního tělesa-substance</w:t>
      </w:r>
      <w:r w:rsidR="006C39C5" w:rsidRPr="003D1E07">
        <w:t xml:space="preserve"> (τὸ εἶδος)</w:t>
      </w:r>
      <w:r w:rsidR="00963052" w:rsidRPr="003D1E07">
        <w:fldChar w:fldCharType="begin"/>
      </w:r>
      <w:r w:rsidR="00963052" w:rsidRPr="003D1E07">
        <w:instrText xml:space="preserve"> XE "objektivita:času a prostoru" </w:instrText>
      </w:r>
      <w:r w:rsidR="00963052" w:rsidRPr="003D1E07">
        <w:fldChar w:fldCharType="end"/>
      </w:r>
      <w:r w:rsidR="00963052" w:rsidRPr="003D1E07">
        <w:t xml:space="preserve">. </w:t>
      </w:r>
      <w:r w:rsidR="08285BA7" w:rsidRPr="003D1E07">
        <w:t xml:space="preserve">Eidetické určení tělesa </w:t>
      </w:r>
      <w:r w:rsidR="0055010B">
        <w:t xml:space="preserve">jako species </w:t>
      </w:r>
      <w:r w:rsidR="00963052" w:rsidRPr="003D1E07">
        <w:t xml:space="preserve">by </w:t>
      </w:r>
      <w:r w:rsidR="008E02F5" w:rsidRPr="003D1E07">
        <w:t>Aristoteles</w:t>
      </w:r>
      <w:r w:rsidR="00963052" w:rsidRPr="003D1E07">
        <w:t xml:space="preserve"> nikdy nepřipustil pro kategoriální predikaci vzhledem k fyzikálnímu tělesu</w:t>
      </w:r>
      <w:r w:rsidR="00592CAD" w:rsidRPr="003D1E07">
        <w:t>. A</w:t>
      </w:r>
      <w:r w:rsidR="00963052" w:rsidRPr="003D1E07">
        <w:t xml:space="preserve">ktualita </w:t>
      </w:r>
      <w:r w:rsidR="086D2A04" w:rsidRPr="003D1E07">
        <w:t xml:space="preserve">zakládající poznání fyziky </w:t>
      </w:r>
      <w:r w:rsidR="00963052" w:rsidRPr="003D1E07">
        <w:t xml:space="preserve">je dána pouze v </w:t>
      </w:r>
      <w:r w:rsidR="085012B8" w:rsidRPr="003D1E07">
        <w:t xml:space="preserve">hyparchické </w:t>
      </w:r>
      <w:r w:rsidR="00963052" w:rsidRPr="003D1E07">
        <w:t xml:space="preserve">první substanci. Protože existuje reálné těleso, tak můžeme predikovat jeho </w:t>
      </w:r>
      <w:r w:rsidR="085012B8" w:rsidRPr="003D1E07">
        <w:t xml:space="preserve">obecně určené </w:t>
      </w:r>
      <w:r w:rsidR="00963052" w:rsidRPr="003D1E07">
        <w:t>vlastnosti</w:t>
      </w:r>
      <w:r w:rsidR="08F0598F" w:rsidRPr="003D1E07">
        <w:t xml:space="preserve"> v našem poznání</w:t>
      </w:r>
      <w:r w:rsidR="00963052" w:rsidRPr="003D1E07">
        <w:t xml:space="preserve">. </w:t>
      </w:r>
      <w:r w:rsidR="08AC7B5E" w:rsidRPr="003D1E07">
        <w:t xml:space="preserve">Opačně </w:t>
      </w:r>
      <w:r w:rsidR="00963052" w:rsidRPr="003D1E07">
        <w:t xml:space="preserve">to nejde, protože v hyparchické predikaci </w:t>
      </w:r>
      <w:r w:rsidR="08AC7B5E" w:rsidRPr="003D1E07">
        <w:t xml:space="preserve">determinující vědecké poznání </w:t>
      </w:r>
      <w:r w:rsidR="00963052" w:rsidRPr="003D1E07">
        <w:t>fyzikální</w:t>
      </w:r>
      <w:r w:rsidR="08AC7B5E" w:rsidRPr="003D1E07">
        <w:t>ho</w:t>
      </w:r>
      <w:r w:rsidR="08692D81" w:rsidRPr="003D1E07">
        <w:t xml:space="preserve"> tělesa</w:t>
      </w:r>
      <w:r w:rsidR="00963052" w:rsidRPr="003D1E07">
        <w:t xml:space="preserve"> </w:t>
      </w:r>
      <w:r w:rsidR="08AC7B5E" w:rsidRPr="003D1E07">
        <w:t xml:space="preserve">striktně </w:t>
      </w:r>
      <w:r w:rsidR="00963052" w:rsidRPr="003D1E07">
        <w:t xml:space="preserve">platí </w:t>
      </w:r>
      <w:r w:rsidR="00963052" w:rsidRPr="003D1E07">
        <w:rPr>
          <w:i/>
        </w:rPr>
        <w:t>modus tollens</w:t>
      </w:r>
      <w:r w:rsidR="00963052" w:rsidRPr="003D1E07">
        <w:fldChar w:fldCharType="begin"/>
      </w:r>
      <w:r w:rsidR="00963052" w:rsidRPr="003D1E07">
        <w:instrText xml:space="preserve"> XE "predikace:</w:instrText>
      </w:r>
      <w:r w:rsidR="00963052" w:rsidRPr="003D1E07">
        <w:rPr>
          <w:i/>
        </w:rPr>
        <w:instrText>modus tollens</w:instrText>
      </w:r>
      <w:r w:rsidR="00963052" w:rsidRPr="003D1E07">
        <w:instrText xml:space="preserve">" </w:instrText>
      </w:r>
      <w:r w:rsidR="00963052" w:rsidRPr="003D1E07">
        <w:fldChar w:fldCharType="end"/>
      </w:r>
      <w:r w:rsidR="003B5AEE" w:rsidRPr="003D1E07">
        <w:t xml:space="preserve"> ve formě </w:t>
      </w:r>
      <w:r w:rsidR="003B5AEE" w:rsidRPr="003D1E07">
        <w:rPr>
          <w:i/>
        </w:rPr>
        <w:t>destructio primis</w:t>
      </w:r>
      <w:r w:rsidR="003B5AEE" w:rsidRPr="003D1E07">
        <w:rPr>
          <w:i/>
        </w:rPr>
        <w:fldChar w:fldCharType="begin"/>
      </w:r>
      <w:r w:rsidR="003B5AEE" w:rsidRPr="003D1E07">
        <w:instrText xml:space="preserve"> XE "</w:instrText>
      </w:r>
      <w:r w:rsidR="003B5AEE" w:rsidRPr="003D1E07">
        <w:rPr>
          <w:i/>
        </w:rPr>
        <w:instrText>destructio primis</w:instrText>
      </w:r>
      <w:r w:rsidR="003B5AEE" w:rsidRPr="003D1E07">
        <w:instrText xml:space="preserve">" </w:instrText>
      </w:r>
      <w:r w:rsidR="003B5AEE" w:rsidRPr="003D1E07">
        <w:rPr>
          <w:i/>
        </w:rPr>
        <w:fldChar w:fldCharType="end"/>
      </w:r>
      <w:r w:rsidR="003B5AEE" w:rsidRPr="003D1E07">
        <w:t xml:space="preserve"> (kap. 1.3).</w:t>
      </w:r>
      <w:r w:rsidR="00963052" w:rsidRPr="003D1E07">
        <w:t xml:space="preserve"> Zmizí-li </w:t>
      </w:r>
      <w:r w:rsidR="0866498F" w:rsidRPr="003D1E07">
        <w:t xml:space="preserve">aktuální </w:t>
      </w:r>
      <w:r w:rsidR="00963052" w:rsidRPr="003D1E07">
        <w:t>první substance</w:t>
      </w:r>
      <w:r w:rsidR="00963052" w:rsidRPr="003D1E07">
        <w:fldChar w:fldCharType="begin"/>
      </w:r>
      <w:r w:rsidR="00963052" w:rsidRPr="003D1E07">
        <w:instrText xml:space="preserve"> XE "substance:fyzikální" </w:instrText>
      </w:r>
      <w:r w:rsidR="00963052" w:rsidRPr="003D1E07">
        <w:fldChar w:fldCharType="end"/>
      </w:r>
      <w:r w:rsidR="00963052" w:rsidRPr="003D1E07">
        <w:t xml:space="preserve">, pak nejsou ani fyzikální změny a akcidentální určení. </w:t>
      </w:r>
      <w:r w:rsidR="08BC33CA" w:rsidRPr="003D1E07">
        <w:t xml:space="preserve">Aristotelská </w:t>
      </w:r>
      <w:r w:rsidR="08BC33CA" w:rsidRPr="003D1E07">
        <w:rPr>
          <w:i/>
        </w:rPr>
        <w:t>F</w:t>
      </w:r>
      <w:r w:rsidR="00963052" w:rsidRPr="003D1E07">
        <w:rPr>
          <w:i/>
        </w:rPr>
        <w:t>yzika</w:t>
      </w:r>
      <w:r w:rsidR="00963052" w:rsidRPr="003D1E07">
        <w:t xml:space="preserve"> jako věda abstrahuje obecná určení od fyzikálního tělesa daného jako reálná první substance, což magistrálně potvrdily </w:t>
      </w:r>
      <w:r w:rsidR="00963052" w:rsidRPr="003D1E07">
        <w:rPr>
          <w:i/>
        </w:rPr>
        <w:t>Druhé analytiky</w:t>
      </w:r>
      <w:r w:rsidR="00963052" w:rsidRPr="003D1E07">
        <w:t xml:space="preserve"> příkladem zatmění slunce nebo měsíce. Totéž platí i pro materii, která na úrovni konceptu nemůže </w:t>
      </w:r>
      <w:r w:rsidR="08B00ACA" w:rsidRPr="003D1E07">
        <w:t xml:space="preserve">nahradit </w:t>
      </w:r>
      <w:r w:rsidR="00963052" w:rsidRPr="003D1E07">
        <w:t>reálnou složeninu, protože jen ta má vlastní kauzalitu</w:t>
      </w:r>
      <w:r w:rsidR="08B00ACA" w:rsidRPr="003D1E07">
        <w:t xml:space="preserve"> danou </w:t>
      </w:r>
      <w:r w:rsidR="08B00ACA" w:rsidRPr="003D1E07">
        <w:lastRenderedPageBreak/>
        <w:t>aktuálně</w:t>
      </w:r>
      <w:r w:rsidR="082A6196" w:rsidRPr="003D1E07">
        <w:t xml:space="preserve">. </w:t>
      </w:r>
      <w:r w:rsidR="08B00ACA" w:rsidRPr="003D1E07">
        <w:t xml:space="preserve">Aristotelská fyzika je nemyslitelná bez působení </w:t>
      </w:r>
      <w:r w:rsidR="08B779FB" w:rsidRPr="003D1E07">
        <w:t xml:space="preserve">metafyzického </w:t>
      </w:r>
      <w:r w:rsidR="08B00ACA" w:rsidRPr="003D1E07">
        <w:t>dativu</w:t>
      </w:r>
      <w:r w:rsidR="08B00ACA" w:rsidRPr="003D1E07">
        <w:fldChar w:fldCharType="begin"/>
      </w:r>
      <w:r w:rsidR="08B00ACA" w:rsidRPr="003D1E07">
        <w:instrText xml:space="preserve"> XE "</w:instrText>
      </w:r>
      <w:r w:rsidR="08B779FB" w:rsidRPr="003D1E07">
        <w:rPr>
          <w:i/>
        </w:rPr>
        <w:instrText>dativus metaphysi</w:instrText>
      </w:r>
      <w:r w:rsidR="08B00ACA" w:rsidRPr="003D1E07">
        <w:rPr>
          <w:i/>
        </w:rPr>
        <w:instrText>cus</w:instrText>
      </w:r>
      <w:r w:rsidR="08B00ACA" w:rsidRPr="003D1E07">
        <w:instrText xml:space="preserve">" </w:instrText>
      </w:r>
      <w:r w:rsidR="08B00ACA" w:rsidRPr="003D1E07">
        <w:fldChar w:fldCharType="end"/>
      </w:r>
      <w:r w:rsidR="08B00ACA" w:rsidRPr="003D1E07">
        <w:t>, protože reálně existující těleso představuje základ teoretických a obecných určení</w:t>
      </w:r>
      <w:r w:rsidR="08CA4195" w:rsidRPr="003D1E07">
        <w:t xml:space="preserve"> </w:t>
      </w:r>
      <w:r w:rsidR="08332002" w:rsidRPr="003D1E07">
        <w:t>při</w:t>
      </w:r>
      <w:r w:rsidR="08CA4195" w:rsidRPr="003D1E07">
        <w:t>daných až sekundárně</w:t>
      </w:r>
      <w:r w:rsidR="08B00ACA" w:rsidRPr="003D1E07">
        <w:t xml:space="preserve">. </w:t>
      </w:r>
      <w:r w:rsidR="00963052" w:rsidRPr="003D1E07">
        <w:t xml:space="preserve">Aktuální hylemorfické těleso je vždy dáno jako aktuální kompozice čtyřech kosmických elementů, nebo étheru jako pátého nebeského elementu. Simplikiův komentář k </w:t>
      </w:r>
      <w:r w:rsidR="00963052" w:rsidRPr="003D1E07">
        <w:rPr>
          <w:i/>
        </w:rPr>
        <w:t>Fyzice</w:t>
      </w:r>
      <w:r w:rsidR="00963052" w:rsidRPr="003D1E07">
        <w:t xml:space="preserve"> našel nová určení materie, rozs</w:t>
      </w:r>
      <w:r w:rsidR="08AD3748" w:rsidRPr="003D1E07">
        <w:t xml:space="preserve">ažnosti a prostoru. </w:t>
      </w:r>
      <w:r w:rsidR="08692D81" w:rsidRPr="003D1E07">
        <w:t xml:space="preserve">Simplikiova fyzika zůstala v Alenčině říši </w:t>
      </w:r>
      <w:r w:rsidR="088A09D4" w:rsidRPr="003D1E07">
        <w:t>my</w:t>
      </w:r>
      <w:r w:rsidR="08CE76ED" w:rsidRPr="003D1E07">
        <w:t>topoeticky</w:t>
      </w:r>
      <w:r w:rsidR="088A09D4" w:rsidRPr="003D1E07">
        <w:t xml:space="preserve"> </w:t>
      </w:r>
      <w:r w:rsidR="08692D81" w:rsidRPr="003D1E07">
        <w:t>definovaných divů</w:t>
      </w:r>
      <w:r w:rsidR="088A09D4" w:rsidRPr="003D1E07">
        <w:t xml:space="preserve"> dialogu </w:t>
      </w:r>
      <w:r w:rsidR="088A09D4" w:rsidRPr="003D1E07">
        <w:rPr>
          <w:i/>
        </w:rPr>
        <w:t>Timaios</w:t>
      </w:r>
      <w:r w:rsidR="08692D81" w:rsidRPr="003D1E07">
        <w:t xml:space="preserve">, kde zmizela </w:t>
      </w:r>
      <w:r w:rsidR="088A09D4" w:rsidRPr="003D1E07">
        <w:t xml:space="preserve">hylemorfická </w:t>
      </w:r>
      <w:r w:rsidR="08692D81" w:rsidRPr="003D1E07">
        <w:t xml:space="preserve">kočka a </w:t>
      </w:r>
      <w:r w:rsidR="087B5434" w:rsidRPr="003D1E07">
        <w:t xml:space="preserve">věčně </w:t>
      </w:r>
      <w:r w:rsidR="08692D81" w:rsidRPr="003D1E07">
        <w:t xml:space="preserve">zůstal její </w:t>
      </w:r>
      <w:r w:rsidR="08C347CC" w:rsidRPr="003D1E07">
        <w:t>objektivně-</w:t>
      </w:r>
      <w:r w:rsidR="088A09D4" w:rsidRPr="003D1E07">
        <w:t xml:space="preserve">eidetický </w:t>
      </w:r>
      <w:r w:rsidR="08692D81" w:rsidRPr="003D1E07">
        <w:t>úšklebek</w:t>
      </w:r>
      <w:r w:rsidR="00504041">
        <w:t xml:space="preserve"> jako </w:t>
      </w:r>
      <w:r w:rsidR="00876B38" w:rsidRPr="003D1E07">
        <w:t>základ moderní vědy</w:t>
      </w:r>
      <w:r w:rsidR="08692D81" w:rsidRPr="003D1E07">
        <w:t xml:space="preserve">. Hypostázovaná určení fyziky zůstala v diakosmu i bez existence tělesa </w:t>
      </w:r>
      <w:r w:rsidR="00876B38" w:rsidRPr="003D1E07">
        <w:t>a tvoří mytopoetickou „první substanci“ modernistů</w:t>
      </w:r>
      <w:r w:rsidR="08692D81" w:rsidRPr="003D1E07">
        <w:t xml:space="preserve">. </w:t>
      </w:r>
      <w:r w:rsidR="080550F6" w:rsidRPr="003D1E07">
        <w:t xml:space="preserve">Simplikios inspirovaný neoplatonským modelem hypostází a emanací vytvořil první definici tělesa, které má pouze eideticko-logický charakter (τὸ σῶμα τὸ μὲν ὡς κατὰ εἶδος καὶ κατὰ λόγον, </w:t>
      </w:r>
      <w:r w:rsidR="080550F6" w:rsidRPr="003D1E07">
        <w:rPr>
          <w:i/>
        </w:rPr>
        <w:t>Simpl. in Phys</w:t>
      </w:r>
      <w:r w:rsidR="080550F6" w:rsidRPr="003D1E07">
        <w:t>. 230.23</w:t>
      </w:r>
      <w:r w:rsidR="08C81945" w:rsidRPr="003D1E07">
        <w:fldChar w:fldCharType="begin"/>
      </w:r>
      <w:r w:rsidR="08C81945" w:rsidRPr="003D1E07">
        <w:instrText xml:space="preserve"> XE "Simplikius:</w:instrText>
      </w:r>
      <w:r w:rsidR="08C81945" w:rsidRPr="003D1E07">
        <w:rPr>
          <w:i/>
        </w:rPr>
        <w:instrText>Simpl. in Phys</w:instrText>
      </w:r>
      <w:r w:rsidR="08C81945" w:rsidRPr="003D1E07">
        <w:instrText xml:space="preserve">. 230.23" </w:instrText>
      </w:r>
      <w:r w:rsidR="08C81945" w:rsidRPr="003D1E07">
        <w:fldChar w:fldCharType="end"/>
      </w:r>
      <w:r w:rsidR="080550F6" w:rsidRPr="003D1E07">
        <w:t xml:space="preserve">). Definice objektivního tělesa daného mimo Platonovy ideje a mimo Aristotelovo určení tělesa ve </w:t>
      </w:r>
      <w:r w:rsidR="080550F6" w:rsidRPr="003D1E07">
        <w:rPr>
          <w:i/>
        </w:rPr>
        <w:t>Fyzice</w:t>
      </w:r>
      <w:r w:rsidR="080550F6" w:rsidRPr="003D1E07">
        <w:t xml:space="preserve"> má charakter univerzálního určení jsoucna, protože zahrnuje nerozlišeně všechno jsoucí mezi bytím a nebytím (πανταχόθεν ἀπὸ τοῦ ὄντος ἀπορρέον εἰς τὸ μὴ ὄ</w:t>
      </w:r>
      <w:r w:rsidR="08F90304" w:rsidRPr="003D1E07">
        <w:t>ν;</w:t>
      </w:r>
      <w:r w:rsidR="080550F6" w:rsidRPr="003D1E07">
        <w:t xml:space="preserve"> ibid</w:t>
      </w:r>
      <w:r w:rsidR="08F90304" w:rsidRPr="003D1E07">
        <w:t>,</w:t>
      </w:r>
      <w:r w:rsidR="080550F6" w:rsidRPr="003D1E07">
        <w:t xml:space="preserve"> 230.25–26</w:t>
      </w:r>
      <w:r w:rsidR="080550F6" w:rsidRPr="003D1E07">
        <w:fldChar w:fldCharType="begin"/>
      </w:r>
      <w:r w:rsidR="080550F6" w:rsidRPr="003D1E07">
        <w:instrText xml:space="preserve"> XE "Simplikius:</w:instrText>
      </w:r>
      <w:r w:rsidR="080550F6" w:rsidRPr="003D1E07">
        <w:rPr>
          <w:i/>
        </w:rPr>
        <w:instrText>Simpl. in Phys</w:instrText>
      </w:r>
      <w:r w:rsidR="080550F6" w:rsidRPr="003D1E07">
        <w:instrText xml:space="preserve">. 230.25‒26" </w:instrText>
      </w:r>
      <w:r w:rsidR="080550F6" w:rsidRPr="003D1E07">
        <w:fldChar w:fldCharType="end"/>
      </w:r>
      <w:r w:rsidR="080550F6" w:rsidRPr="003D1E07">
        <w:t>)</w:t>
      </w:r>
      <w:r w:rsidR="080550F6" w:rsidRPr="003D1E07">
        <w:rPr>
          <w:rFonts w:ascii="Times New Roman" w:eastAsia="Times New Roman" w:hAnsi="Times New Roman"/>
          <w:szCs w:val="24"/>
        </w:rPr>
        <w:t xml:space="preserve">. </w:t>
      </w:r>
      <w:r w:rsidR="08C82B75" w:rsidRPr="003D1E07">
        <w:t>Materie a rozsažnost jsou vyvázány z determinace dané reálným tělesem a jsou určeny mate</w:t>
      </w:r>
      <w:r w:rsidR="00587888">
        <w:t>matickou a geometrickou úměrou.</w:t>
      </w:r>
    </w:p>
    <w:p w14:paraId="06CFFC69" w14:textId="6688F2AE" w:rsidR="00963052" w:rsidRPr="003D1E07" w:rsidRDefault="08C82B75" w:rsidP="0051291F">
      <w:pPr>
        <w:ind w:firstLine="397"/>
      </w:pPr>
      <w:r w:rsidRPr="003D1E07">
        <w:t>Nová definice rozsažnosti platí mimo kvantitativní extenzi danou hylemorfickým tělesem</w:t>
      </w:r>
      <w:r w:rsidRPr="003D1E07">
        <w:fldChar w:fldCharType="begin"/>
      </w:r>
      <w:r w:rsidRPr="003D1E07">
        <w:instrText xml:space="preserve"> XE "těleso:hylemorfické" </w:instrText>
      </w:r>
      <w:r w:rsidRPr="003D1E07">
        <w:fldChar w:fldCharType="end"/>
      </w:r>
      <w:r w:rsidRPr="003D1E07">
        <w:t xml:space="preserve">. </w:t>
      </w:r>
      <w:r w:rsidR="08AD3748" w:rsidRPr="003D1E07">
        <w:t xml:space="preserve">Rozsažnost </w:t>
      </w:r>
      <w:r w:rsidR="00963052" w:rsidRPr="003D1E07">
        <w:t>proto</w:t>
      </w:r>
      <w:r w:rsidR="00963052" w:rsidRPr="003D1E07">
        <w:noBreakHyphen/>
      </w:r>
      <w:r w:rsidR="08AD3748" w:rsidRPr="003D1E07">
        <w:t>materie</w:t>
      </w:r>
      <w:r w:rsidR="00963052" w:rsidRPr="003D1E07">
        <w:t xml:space="preserve"> působí v Simplikiově modelu nižší theurgie</w:t>
      </w:r>
      <w:r w:rsidR="00963052" w:rsidRPr="003D1E07">
        <w:fldChar w:fldCharType="begin"/>
      </w:r>
      <w:r w:rsidR="00963052" w:rsidRPr="003D1E07">
        <w:instrText xml:space="preserve"> XE "theurgie" </w:instrText>
      </w:r>
      <w:r w:rsidR="00963052" w:rsidRPr="003D1E07">
        <w:fldChar w:fldCharType="end"/>
      </w:r>
      <w:r w:rsidR="00963052" w:rsidRPr="003D1E07">
        <w:t xml:space="preserve"> jako určující činitel ještě před extenzí skutečné materie, což ukazuje komentář k </w:t>
      </w:r>
      <w:r w:rsidR="00963052" w:rsidRPr="003D1E07">
        <w:rPr>
          <w:i/>
        </w:rPr>
        <w:t>Fyzice</w:t>
      </w:r>
      <w:r w:rsidR="00963052" w:rsidRPr="003D1E07">
        <w:t xml:space="preserve"> (ἐν τόπῳ εἶναι μέγεθος τὸ εἰδοπεποιημένον ἤδη, </w:t>
      </w:r>
      <w:r w:rsidR="00963052" w:rsidRPr="003D1E07">
        <w:rPr>
          <w:i/>
        </w:rPr>
        <w:t>Simpl. in Phys</w:t>
      </w:r>
      <w:r w:rsidR="00963052" w:rsidRPr="003D1E07">
        <w:t>. 537.12–13</w:t>
      </w:r>
      <w:r w:rsidR="00963052" w:rsidRPr="003D1E07">
        <w:fldChar w:fldCharType="begin"/>
      </w:r>
      <w:r w:rsidR="00963052" w:rsidRPr="003D1E07">
        <w:instrText xml:space="preserve"> XE "Simplikius:</w:instrText>
      </w:r>
      <w:r w:rsidR="00963052" w:rsidRPr="003D1E07">
        <w:rPr>
          <w:i/>
        </w:rPr>
        <w:instrText>Simpl. in Phys</w:instrText>
      </w:r>
      <w:r w:rsidR="00963052" w:rsidRPr="003D1E07">
        <w:instrText xml:space="preserve">. 537.12–13" </w:instrText>
      </w:r>
      <w:r w:rsidR="00963052" w:rsidRPr="003D1E07">
        <w:fldChar w:fldCharType="end"/>
      </w:r>
      <w:r w:rsidR="00963052" w:rsidRPr="003D1E07">
        <w:t xml:space="preserve">). Tato ideální určení determinují demiurgovu činnost v prostoru diakosmu, kde intelekt formuje tělesa mimo hmotnou materii. </w:t>
      </w:r>
      <w:r w:rsidR="089266F9" w:rsidRPr="003D1E07">
        <w:t xml:space="preserve">Forma hraje roli </w:t>
      </w:r>
      <w:r w:rsidR="00F214C5" w:rsidRPr="003D1E07">
        <w:t>species</w:t>
      </w:r>
      <w:r w:rsidR="089266F9" w:rsidRPr="003D1E07">
        <w:t xml:space="preserve"> a zastupuje bývalou první substanci jako původního nositele fyzikálních určení</w:t>
      </w:r>
      <w:r w:rsidR="089266F9" w:rsidRPr="003D1E07">
        <w:fldChar w:fldCharType="begin"/>
      </w:r>
      <w:r w:rsidR="089266F9" w:rsidRPr="003D1E07">
        <w:instrText xml:space="preserve"> XE "substance:fyzikální" </w:instrText>
      </w:r>
      <w:r w:rsidR="089266F9" w:rsidRPr="003D1E07">
        <w:fldChar w:fldCharType="end"/>
      </w:r>
      <w:r w:rsidR="089266F9" w:rsidRPr="003D1E07">
        <w:t xml:space="preserve">. </w:t>
      </w:r>
      <w:r w:rsidR="00963052" w:rsidRPr="003D1E07">
        <w:t>Komentář</w:t>
      </w:r>
      <w:r w:rsidR="00CE5364">
        <w:t xml:space="preserve"> zrušil</w:t>
      </w:r>
      <w:r w:rsidR="00963052" w:rsidRPr="003D1E07">
        <w:t xml:space="preserve"> Aristotelovo pojetí rozsažnosti dané na první substanci („výška </w:t>
      </w:r>
      <w:r w:rsidR="001F6FB4" w:rsidRPr="003D1E07">
        <w:t xml:space="preserve">domu je </w:t>
      </w:r>
      <w:r w:rsidR="0869234F" w:rsidRPr="003D1E07">
        <w:t>10</w:t>
      </w:r>
      <w:r w:rsidR="00963052" w:rsidRPr="003D1E07">
        <w:t xml:space="preserve"> metr</w:t>
      </w:r>
      <w:r w:rsidR="0869234F" w:rsidRPr="003D1E07">
        <w:t>ů</w:t>
      </w:r>
      <w:r w:rsidR="00963052" w:rsidRPr="003D1E07">
        <w:t>“)</w:t>
      </w:r>
      <w:r w:rsidR="080D4A74" w:rsidRPr="003D1E07">
        <w:t xml:space="preserve">. </w:t>
      </w:r>
      <w:r w:rsidR="00963052" w:rsidRPr="003D1E07">
        <w:t xml:space="preserve"> </w:t>
      </w:r>
      <w:r w:rsidR="080D4A74" w:rsidRPr="003D1E07">
        <w:t>Zcela moderní a objektivní Simplikius n</w:t>
      </w:r>
      <w:r w:rsidR="00963052" w:rsidRPr="003D1E07">
        <w:t xml:space="preserve">echá pro výměr substance platit </w:t>
      </w:r>
      <w:r w:rsidR="00963052" w:rsidRPr="003D1E07">
        <w:rPr>
          <w:i/>
        </w:rPr>
        <w:t>modus ponens</w:t>
      </w:r>
      <w:r w:rsidR="00963052" w:rsidRPr="003D1E07">
        <w:fldChar w:fldCharType="begin"/>
      </w:r>
      <w:r w:rsidR="00963052" w:rsidRPr="003D1E07">
        <w:instrText xml:space="preserve"> XE "</w:instrText>
      </w:r>
      <w:r w:rsidR="00963052" w:rsidRPr="003D1E07">
        <w:rPr>
          <w:i/>
        </w:rPr>
        <w:instrText>modus ponens</w:instrText>
      </w:r>
      <w:r w:rsidR="00963052" w:rsidRPr="003D1E07">
        <w:instrText xml:space="preserve">" </w:instrText>
      </w:r>
      <w:r w:rsidR="00963052" w:rsidRPr="003D1E07">
        <w:fldChar w:fldCharType="end"/>
      </w:r>
      <w:r w:rsidR="00963052" w:rsidRPr="003D1E07">
        <w:t xml:space="preserve"> </w:t>
      </w:r>
      <w:r w:rsidR="08EA0163" w:rsidRPr="003D1E07">
        <w:t>predikující čistě formální kvantitu</w:t>
      </w:r>
      <w:r w:rsidR="00963052" w:rsidRPr="003D1E07">
        <w:t xml:space="preserve"> („</w:t>
      </w:r>
      <w:r w:rsidR="083065CC" w:rsidRPr="003D1E07">
        <w:t xml:space="preserve">objektivní </w:t>
      </w:r>
      <w:r w:rsidR="00963052" w:rsidRPr="003D1E07">
        <w:t>rozsažnost</w:t>
      </w:r>
      <w:r w:rsidR="0869234F" w:rsidRPr="003D1E07">
        <w:t xml:space="preserve"> </w:t>
      </w:r>
      <w:r w:rsidR="002C0400" w:rsidRPr="003D1E07">
        <w:t>domu je určena</w:t>
      </w:r>
      <w:r w:rsidR="0869234F" w:rsidRPr="003D1E07">
        <w:t xml:space="preserve"> číslem 10</w:t>
      </w:r>
      <w:r w:rsidR="00963052" w:rsidRPr="003D1E07">
        <w:t xml:space="preserve">“). </w:t>
      </w:r>
      <w:r w:rsidR="007205E2">
        <w:t>Reference smyslu (</w:t>
      </w:r>
      <w:r w:rsidR="007205E2" w:rsidRPr="007205E2">
        <w:rPr>
          <w:i/>
        </w:rPr>
        <w:t>Bezugssinn</w:t>
      </w:r>
      <w:r w:rsidR="007205E2">
        <w:t xml:space="preserve">) je v obou výpovědích zcela odlišná, protože je daná buď nasvícením smyslu zepředu nebo zezadu. </w:t>
      </w:r>
      <w:r w:rsidR="00CE5093">
        <w:t>Ale m</w:t>
      </w:r>
      <w:r w:rsidR="007205E2">
        <w:t xml:space="preserve">oderní ilumináti se o takové detaily nezajímají. </w:t>
      </w:r>
      <w:r w:rsidR="00963052" w:rsidRPr="003D1E07">
        <w:t xml:space="preserve">Rozsažnost je nyní predikována objektivně, mimo reálnou substanci a dostala subsistentní charakter jsoucna třetího druhu. </w:t>
      </w:r>
      <w:r w:rsidR="08A03BA1" w:rsidRPr="003D1E07">
        <w:t>Prostor je definován formálně identicky podle citované Aristotelovy definice (</w:t>
      </w:r>
      <w:r w:rsidR="08A03BA1" w:rsidRPr="003D1E07">
        <w:rPr>
          <w:i/>
        </w:rPr>
        <w:t>Phys</w:t>
      </w:r>
      <w:r w:rsidR="08A03BA1" w:rsidRPr="003D1E07">
        <w:t>. 209b6–7</w:t>
      </w:r>
      <w:r w:rsidR="08A03BA1" w:rsidRPr="003D1E07">
        <w:fldChar w:fldCharType="begin"/>
      </w:r>
      <w:r w:rsidR="08A03BA1" w:rsidRPr="003D1E07">
        <w:instrText xml:space="preserve"> XE "Aristoteles:</w:instrText>
      </w:r>
      <w:r w:rsidR="08A03BA1" w:rsidRPr="003D1E07">
        <w:rPr>
          <w:i/>
        </w:rPr>
        <w:instrText>Phys</w:instrText>
      </w:r>
      <w:r w:rsidR="08A03BA1" w:rsidRPr="003D1E07">
        <w:instrText xml:space="preserve">. 209b6–7" </w:instrText>
      </w:r>
      <w:r w:rsidR="08A03BA1" w:rsidRPr="003D1E07">
        <w:fldChar w:fldCharType="end"/>
      </w:r>
      <w:r w:rsidR="08A03BA1" w:rsidRPr="003D1E07">
        <w:t xml:space="preserve">) jako extenze rozsažnosti (ὁ τόπος εἶναι τὸ διάστημα τὸ τοῦ μεγέθους, </w:t>
      </w:r>
      <w:r w:rsidR="08A03BA1" w:rsidRPr="003D1E07">
        <w:rPr>
          <w:i/>
        </w:rPr>
        <w:t>Simpl. in Phys</w:t>
      </w:r>
      <w:r w:rsidR="08A03BA1" w:rsidRPr="003D1E07">
        <w:t>. 537.10</w:t>
      </w:r>
      <w:r w:rsidR="08A03BA1" w:rsidRPr="003D1E07">
        <w:fldChar w:fldCharType="begin"/>
      </w:r>
      <w:r w:rsidR="08A03BA1" w:rsidRPr="003D1E07">
        <w:instrText xml:space="preserve"> XE "Simplikius:</w:instrText>
      </w:r>
      <w:r w:rsidR="08A03BA1" w:rsidRPr="003D1E07">
        <w:rPr>
          <w:i/>
        </w:rPr>
        <w:instrText>Simpl. in Phys</w:instrText>
      </w:r>
      <w:r w:rsidR="08A03BA1" w:rsidRPr="003D1E07">
        <w:instrText xml:space="preserve">. 537.10" </w:instrText>
      </w:r>
      <w:r w:rsidR="08A03BA1" w:rsidRPr="003D1E07">
        <w:fldChar w:fldCharType="end"/>
      </w:r>
      <w:r w:rsidR="08507DD9" w:rsidRPr="003D1E07">
        <w:t>). S</w:t>
      </w:r>
      <w:r w:rsidR="08A03BA1" w:rsidRPr="003D1E07">
        <w:t xml:space="preserve">ofistická </w:t>
      </w:r>
      <w:r w:rsidR="08A03BA1" w:rsidRPr="003D1E07">
        <w:lastRenderedPageBreak/>
        <w:t>záměna aristotelské rozsažnosti jako ak</w:t>
      </w:r>
      <w:r w:rsidR="08EF7F4C" w:rsidRPr="003D1E07">
        <w:t>cidentu druhé substance za objek</w:t>
      </w:r>
      <w:r w:rsidR="08A03BA1" w:rsidRPr="003D1E07">
        <w:t xml:space="preserve">tivní hypostázi </w:t>
      </w:r>
      <w:r w:rsidR="08EF7F4C" w:rsidRPr="003D1E07">
        <w:t xml:space="preserve">určenou matematicky </w:t>
      </w:r>
      <w:r w:rsidR="08A03BA1" w:rsidRPr="003D1E07">
        <w:t xml:space="preserve">způsobila zásadní změnu ve výkladu </w:t>
      </w:r>
      <w:r w:rsidR="08A03BA1" w:rsidRPr="003D1E07">
        <w:rPr>
          <w:i/>
        </w:rPr>
        <w:t>Fyziky</w:t>
      </w:r>
      <w:r w:rsidR="08A03BA1" w:rsidRPr="003D1E07">
        <w:t xml:space="preserve"> a </w:t>
      </w:r>
      <w:r w:rsidR="08A03BA1" w:rsidRPr="003D1E07">
        <w:rPr>
          <w:i/>
        </w:rPr>
        <w:t>Metafyziky</w:t>
      </w:r>
      <w:r w:rsidR="08A03BA1" w:rsidRPr="003D1E07">
        <w:t xml:space="preserve">. </w:t>
      </w:r>
      <w:r w:rsidR="08EA5760" w:rsidRPr="003D1E07">
        <w:t>Simplikiův k</w:t>
      </w:r>
      <w:r w:rsidR="00963052" w:rsidRPr="003D1E07">
        <w:t xml:space="preserve">omentář k </w:t>
      </w:r>
      <w:r w:rsidR="00963052" w:rsidRPr="003D1E07">
        <w:rPr>
          <w:i/>
        </w:rPr>
        <w:t>Fyzice</w:t>
      </w:r>
      <w:r w:rsidR="08394D23" w:rsidRPr="003D1E07">
        <w:t xml:space="preserve"> sleduje argumentaci Ploti</w:t>
      </w:r>
      <w:r w:rsidR="00963052" w:rsidRPr="003D1E07">
        <w:t>na, který jako první oddělil kvantitativní rozsažnost</w:t>
      </w:r>
      <w:r w:rsidR="00963052" w:rsidRPr="003D1E07">
        <w:fldChar w:fldCharType="begin"/>
      </w:r>
      <w:r w:rsidR="00963052" w:rsidRPr="003D1E07">
        <w:instrText xml:space="preserve"> XE "rozsažnost" </w:instrText>
      </w:r>
      <w:r w:rsidR="00963052" w:rsidRPr="003D1E07">
        <w:fldChar w:fldCharType="end"/>
      </w:r>
      <w:r w:rsidR="00963052" w:rsidRPr="003D1E07">
        <w:t xml:space="preserve"> danou materiálním tělesem od čistě formální definice tělesa (σῶμα φανερῶς ἂν εἴη καὶ οὐχ ὕλη μόνον, </w:t>
      </w:r>
      <w:r w:rsidR="00963052" w:rsidRPr="003D1E07">
        <w:rPr>
          <w:i/>
        </w:rPr>
        <w:t>Enn</w:t>
      </w:r>
      <w:r w:rsidR="00963052" w:rsidRPr="003D1E07">
        <w:t>. 2.4.12.36–37</w:t>
      </w:r>
      <w:r w:rsidR="00963052" w:rsidRPr="003D1E07">
        <w:fldChar w:fldCharType="begin"/>
      </w:r>
      <w:r w:rsidR="08C91E81" w:rsidRPr="003D1E07">
        <w:instrText xml:space="preserve"> XE "Ploti</w:instrText>
      </w:r>
      <w:r w:rsidR="00963052" w:rsidRPr="003D1E07">
        <w:instrText>nos:</w:instrText>
      </w:r>
      <w:r w:rsidR="00963052" w:rsidRPr="003D1E07">
        <w:rPr>
          <w:i/>
        </w:rPr>
        <w:instrText>Enn</w:instrText>
      </w:r>
      <w:r w:rsidR="00963052" w:rsidRPr="003D1E07">
        <w:instrText xml:space="preserve">. 2.4.12.36–37" </w:instrText>
      </w:r>
      <w:r w:rsidR="00963052" w:rsidRPr="003D1E07">
        <w:fldChar w:fldCharType="end"/>
      </w:r>
      <w:r w:rsidR="00963052" w:rsidRPr="003D1E07">
        <w:t xml:space="preserve">). Simplikiova substance třetího druhu se stala skrze formalizaci času a prostoru novým </w:t>
      </w:r>
      <w:r w:rsidR="00963052" w:rsidRPr="003D1E07">
        <w:rPr>
          <w:i/>
        </w:rPr>
        <w:t>tertium ens</w:t>
      </w:r>
      <w:r w:rsidR="00963052" w:rsidRPr="003D1E07">
        <w:fldChar w:fldCharType="begin"/>
      </w:r>
      <w:r w:rsidR="00963052" w:rsidRPr="003D1E07">
        <w:instrText xml:space="preserve"> XE "</w:instrText>
      </w:r>
      <w:r w:rsidR="00963052" w:rsidRPr="003D1E07">
        <w:rPr>
          <w:rStyle w:val="Zvraznn"/>
        </w:rPr>
        <w:instrText>tertium ens</w:instrText>
      </w:r>
      <w:r w:rsidR="00963052" w:rsidRPr="003D1E07">
        <w:rPr>
          <w:rStyle w:val="Zvraznn"/>
          <w:i w:val="0"/>
        </w:rPr>
        <w:instrText>:čas a prostor</w:instrText>
      </w:r>
      <w:r w:rsidR="00963052" w:rsidRPr="003D1E07">
        <w:instrText xml:space="preserve">" </w:instrText>
      </w:r>
      <w:r w:rsidR="00963052" w:rsidRPr="003D1E07">
        <w:fldChar w:fldCharType="end"/>
      </w:r>
      <w:r w:rsidR="00963052" w:rsidRPr="003D1E07">
        <w:t>, které pokrývá všechny významy jsoucna</w:t>
      </w:r>
      <w:r w:rsidR="082B72C9" w:rsidRPr="003D1E07">
        <w:t xml:space="preserve"> v modu univerzální analogie</w:t>
      </w:r>
      <w:r w:rsidR="00963052" w:rsidRPr="003D1E07">
        <w:t>. Těleso dostalo na rovině diakosmu formálně-ontologická určení</w:t>
      </w:r>
      <w:r w:rsidR="08837B25" w:rsidRPr="003D1E07">
        <w:t>,</w:t>
      </w:r>
      <w:r w:rsidR="0857760F" w:rsidRPr="003D1E07">
        <w:t xml:space="preserve"> </w:t>
      </w:r>
      <w:r w:rsidR="08837B25" w:rsidRPr="003D1E07">
        <w:t xml:space="preserve">a navíc </w:t>
      </w:r>
      <w:r w:rsidR="0857760F" w:rsidRPr="003D1E07">
        <w:t xml:space="preserve">daná </w:t>
      </w:r>
      <w:r w:rsidR="08837B25" w:rsidRPr="003D1E07">
        <w:t xml:space="preserve">i </w:t>
      </w:r>
      <w:r w:rsidR="00963052" w:rsidRPr="003D1E07">
        <w:t xml:space="preserve">substanciálně. Určení tělesa bylo ve </w:t>
      </w:r>
      <w:r w:rsidR="00963052" w:rsidRPr="003D1E07">
        <w:rPr>
          <w:i/>
        </w:rPr>
        <w:t>Fyzice</w:t>
      </w:r>
      <w:r w:rsidR="00963052" w:rsidRPr="003D1E07">
        <w:t xml:space="preserve"> vázané pouze k aktuálně-kauzálnímu působení materiálních a nemateriálních prvních substancí a kosmických těles. </w:t>
      </w:r>
      <w:r w:rsidR="0857760F" w:rsidRPr="003D1E07">
        <w:t xml:space="preserve">Jamblichos a Simplikius vytvořili </w:t>
      </w:r>
      <w:r w:rsidR="00963052" w:rsidRPr="003D1E07">
        <w:t xml:space="preserve">eidetické těleso třetího druhu charakterizované zvláštním časem, prostorem a rozsažností určených v modu </w:t>
      </w:r>
      <w:r w:rsidR="00963052" w:rsidRPr="003D1E07">
        <w:rPr>
          <w:i/>
        </w:rPr>
        <w:t>per prius</w:t>
      </w:r>
      <w:r w:rsidR="00963052" w:rsidRPr="003D1E07">
        <w:t xml:space="preserve">. Simplikius při určení objektivního tělesa třetího druhu </w:t>
      </w:r>
      <w:r w:rsidR="086E0A53" w:rsidRPr="003D1E07">
        <w:t xml:space="preserve">a jeho objektivních </w:t>
      </w:r>
      <w:r w:rsidR="00963052" w:rsidRPr="003D1E07">
        <w:t xml:space="preserve">fyzikálních vlastností z velké části opakuje </w:t>
      </w:r>
      <w:r w:rsidR="00874074" w:rsidRPr="003D1E07">
        <w:t>neoplatonsk</w:t>
      </w:r>
      <w:r w:rsidR="00963052" w:rsidRPr="003D1E07">
        <w:t>ý scénář vzniku ideového času (χρόνος ἀρχοειδὴς), který do ontoteologické formy metafyziky zavedl výše citovaný Jamblichos</w:t>
      </w:r>
      <w:r w:rsidR="00963052" w:rsidRPr="003D1E07">
        <w:fldChar w:fldCharType="begin"/>
      </w:r>
      <w:r w:rsidR="00963052" w:rsidRPr="003D1E07">
        <w:instrText xml:space="preserve"> XE "čas:Jamblichos" </w:instrText>
      </w:r>
      <w:r w:rsidR="00963052" w:rsidRPr="003D1E07">
        <w:fldChar w:fldCharType="end"/>
      </w:r>
      <w:r w:rsidR="00963052" w:rsidRPr="003D1E07">
        <w:t xml:space="preserve">. Geneze nové transcendentální kvantity potvrdila vznik nové pseudo-substance, která se stala </w:t>
      </w:r>
      <w:r w:rsidR="08894BA7" w:rsidRPr="003D1E07">
        <w:t xml:space="preserve">novým </w:t>
      </w:r>
      <w:r w:rsidR="00963052" w:rsidRPr="003D1E07">
        <w:t xml:space="preserve">rozsažným tělesem </w:t>
      </w:r>
      <w:r w:rsidR="00963052" w:rsidRPr="003D1E07">
        <w:rPr>
          <w:i/>
        </w:rPr>
        <w:t>per se</w:t>
      </w:r>
      <w:r w:rsidR="00963052" w:rsidRPr="003D1E07">
        <w:t>, aniž by měla reálnou materii a formu.</w:t>
      </w:r>
      <w:r w:rsidR="0051291F" w:rsidRPr="003D1E07">
        <w:t xml:space="preserve"> Simplikius jako p</w:t>
      </w:r>
      <w:r w:rsidR="00963052" w:rsidRPr="003D1E07">
        <w:t>oslední inovátor antiky konceptualituje formálně-ontologické určení kvantity v </w:t>
      </w:r>
      <w:r w:rsidR="00874074" w:rsidRPr="003D1E07">
        <w:t>neoplatonsk</w:t>
      </w:r>
      <w:r w:rsidR="00963052" w:rsidRPr="003D1E07">
        <w:t>ém diakosmu</w:t>
      </w:r>
      <w:r w:rsidR="0051291F" w:rsidRPr="003D1E07">
        <w:t>. Jeho předchůdce J</w:t>
      </w:r>
      <w:r w:rsidR="00963052" w:rsidRPr="003D1E07">
        <w:t xml:space="preserve">amblichos </w:t>
      </w:r>
      <w:r w:rsidR="0051291F" w:rsidRPr="003D1E07">
        <w:t xml:space="preserve">v něm </w:t>
      </w:r>
      <w:r w:rsidR="00963052" w:rsidRPr="003D1E07">
        <w:t xml:space="preserve">provedl demiurgické dělení podle geometrické a matematické úměry. </w:t>
      </w:r>
      <w:r w:rsidR="08FB45CE" w:rsidRPr="003D1E07">
        <w:t xml:space="preserve">Také materie se definuje vzhledem k nově nalezenému statutu formální rozsažnosti postavené mimo existující reálnou substanci. </w:t>
      </w:r>
      <w:r w:rsidR="00963052" w:rsidRPr="003D1E07">
        <w:t xml:space="preserve">Primární </w:t>
      </w:r>
      <w:r w:rsidR="08A81DCE" w:rsidRPr="003D1E07">
        <w:t xml:space="preserve">rozsažnost </w:t>
      </w:r>
      <w:r w:rsidR="00963052" w:rsidRPr="003D1E07">
        <w:t xml:space="preserve">materie (ὑλικὴ διάστασις, </w:t>
      </w:r>
      <w:r w:rsidR="00963052" w:rsidRPr="003D1E07">
        <w:rPr>
          <w:i/>
        </w:rPr>
        <w:t>Simpl. in Phys</w:t>
      </w:r>
      <w:r w:rsidR="00963052" w:rsidRPr="003D1E07">
        <w:t>. 623.18</w:t>
      </w:r>
      <w:r w:rsidR="00963052" w:rsidRPr="003D1E07">
        <w:fldChar w:fldCharType="begin"/>
      </w:r>
      <w:r w:rsidR="00963052" w:rsidRPr="003D1E07">
        <w:instrText xml:space="preserve"> XE "Simplikius:</w:instrText>
      </w:r>
      <w:r w:rsidR="00963052" w:rsidRPr="003D1E07">
        <w:rPr>
          <w:i/>
        </w:rPr>
        <w:instrText>Simpl. in Phys</w:instrText>
      </w:r>
      <w:r w:rsidR="00963052" w:rsidRPr="003D1E07">
        <w:instrText xml:space="preserve">. 623.18" </w:instrText>
      </w:r>
      <w:r w:rsidR="00963052" w:rsidRPr="003D1E07">
        <w:fldChar w:fldCharType="end"/>
      </w:r>
      <w:r w:rsidR="00963052" w:rsidRPr="003D1E07">
        <w:t>) lze chápat jako jednoduchou a věčnou substanci-</w:t>
      </w:r>
      <w:r w:rsidR="00F214C5" w:rsidRPr="003D1E07">
        <w:t>species</w:t>
      </w:r>
      <w:r w:rsidR="08651280" w:rsidRPr="003D1E07">
        <w:t xml:space="preserve"> da</w:t>
      </w:r>
      <w:r w:rsidR="00963052" w:rsidRPr="003D1E07">
        <w:t>no</w:t>
      </w:r>
      <w:r w:rsidR="088727EA" w:rsidRPr="003D1E07">
        <w:t>u</w:t>
      </w:r>
      <w:r w:rsidR="00963052" w:rsidRPr="003D1E07">
        <w:t xml:space="preserve"> pouze na ú</w:t>
      </w:r>
      <w:r w:rsidR="08A81DCE" w:rsidRPr="003D1E07">
        <w:t xml:space="preserve">rovni čistě formálního diakosmu. Objektivní rozsažnost proto netvoří součást hylemorfického tělesa, protože by neměla původní čistě eidetický charakter </w:t>
      </w:r>
      <w:r w:rsidR="00963052" w:rsidRPr="003D1E07">
        <w:t>(οὐ γὰρ διάστασις ἁπλῶς ἐ</w:t>
      </w:r>
      <w:r w:rsidR="08F90304" w:rsidRPr="003D1E07">
        <w:t>στιν;</w:t>
      </w:r>
      <w:r w:rsidR="00963052" w:rsidRPr="003D1E07">
        <w:t xml:space="preserve"> </w:t>
      </w:r>
      <w:r w:rsidR="08F90304" w:rsidRPr="003D1E07">
        <w:t>ibid,</w:t>
      </w:r>
      <w:r w:rsidR="00963052" w:rsidRPr="003D1E07">
        <w:t xml:space="preserve"> 623.20</w:t>
      </w:r>
      <w:r w:rsidR="00963052" w:rsidRPr="003D1E07">
        <w:fldChar w:fldCharType="begin"/>
      </w:r>
      <w:r w:rsidR="00963052" w:rsidRPr="003D1E07">
        <w:instrText xml:space="preserve"> XE "Simplikius:</w:instrText>
      </w:r>
      <w:r w:rsidR="00963052" w:rsidRPr="003D1E07">
        <w:rPr>
          <w:i/>
        </w:rPr>
        <w:instrText>Simpl. in Phys</w:instrText>
      </w:r>
      <w:r w:rsidR="00963052" w:rsidRPr="003D1E07">
        <w:instrText xml:space="preserve">. 623.20" </w:instrText>
      </w:r>
      <w:r w:rsidR="00963052" w:rsidRPr="003D1E07">
        <w:fldChar w:fldCharType="end"/>
      </w:r>
      <w:r w:rsidR="00963052" w:rsidRPr="003D1E07">
        <w:t>). Fyzikálně daná rozsažnost na reálném tělese patří až do nižší theurgie kvantitativně určených těles (ἀλλὰ διαστῶ</w:t>
      </w:r>
      <w:r w:rsidR="08F90304" w:rsidRPr="003D1E07">
        <w:t>σα χώρα;</w:t>
      </w:r>
      <w:r w:rsidR="00963052" w:rsidRPr="003D1E07">
        <w:t xml:space="preserve"> ibid</w:t>
      </w:r>
      <w:r w:rsidR="08F90304" w:rsidRPr="003D1E07">
        <w:t>,</w:t>
      </w:r>
      <w:r w:rsidR="00963052" w:rsidRPr="003D1E07">
        <w:t xml:space="preserve"> 623.20</w:t>
      </w:r>
      <w:r w:rsidR="08DA4899" w:rsidRPr="003D1E07">
        <w:fldChar w:fldCharType="begin"/>
      </w:r>
      <w:r w:rsidR="08DA4899" w:rsidRPr="003D1E07">
        <w:instrText xml:space="preserve"> XE "Simplikius:</w:instrText>
      </w:r>
      <w:r w:rsidR="08DA4899" w:rsidRPr="003D1E07">
        <w:rPr>
          <w:i/>
        </w:rPr>
        <w:instrText>Simpl. in Phys</w:instrText>
      </w:r>
      <w:r w:rsidR="08DA4899" w:rsidRPr="003D1E07">
        <w:instrText xml:space="preserve">. 623.20" </w:instrText>
      </w:r>
      <w:r w:rsidR="08DA4899" w:rsidRPr="003D1E07">
        <w:fldChar w:fldCharType="end"/>
      </w:r>
      <w:r w:rsidR="00963052" w:rsidRPr="003D1E07">
        <w:t xml:space="preserve">). Na rovině diakosmu stačí k určení tělesa teoretický pohled na způsob božského Jamblicha. </w:t>
      </w:r>
      <w:r w:rsidR="008B12D2" w:rsidRPr="003D1E07">
        <w:t>Neoplatonsk</w:t>
      </w:r>
      <w:r w:rsidR="00963052" w:rsidRPr="003D1E07">
        <w:t xml:space="preserve">ý a současný fyzik a matematik </w:t>
      </w:r>
      <w:r w:rsidR="08310195" w:rsidRPr="003D1E07">
        <w:t xml:space="preserve">objektivně </w:t>
      </w:r>
      <w:r w:rsidR="00963052" w:rsidRPr="003D1E07">
        <w:t>určí reálnou rozsažnost</w:t>
      </w:r>
      <w:r w:rsidR="08106E75" w:rsidRPr="003D1E07">
        <w:t xml:space="preserve"> materiálního tělesa tím, že </w:t>
      </w:r>
      <w:r w:rsidR="082D3DF6" w:rsidRPr="003D1E07">
        <w:t xml:space="preserve">v modu </w:t>
      </w:r>
      <w:r w:rsidR="082D3DF6" w:rsidRPr="003D1E07">
        <w:rPr>
          <w:i/>
        </w:rPr>
        <w:t>per prius</w:t>
      </w:r>
      <w:r w:rsidR="082D3DF6" w:rsidRPr="003D1E07">
        <w:t xml:space="preserve"> </w:t>
      </w:r>
      <w:r w:rsidR="08106E75" w:rsidRPr="003D1E07">
        <w:t xml:space="preserve">„vidí“ zrakem duše objektivní těleso </w:t>
      </w:r>
      <w:r w:rsidR="00963052" w:rsidRPr="003D1E07">
        <w:t>teoretickým zrak</w:t>
      </w:r>
      <w:r w:rsidR="005A25D9" w:rsidRPr="003D1E07">
        <w:t xml:space="preserve">em </w:t>
      </w:r>
      <w:r w:rsidR="08106E75" w:rsidRPr="003D1E07">
        <w:t xml:space="preserve">formovaným </w:t>
      </w:r>
      <w:r w:rsidR="08C86622" w:rsidRPr="003D1E07">
        <w:t xml:space="preserve">v </w:t>
      </w:r>
      <w:r w:rsidR="08B6362B" w:rsidRPr="003D1E07">
        <w:t xml:space="preserve">diakosmu čistých forem. </w:t>
      </w:r>
      <w:r w:rsidR="00963052" w:rsidRPr="003D1E07">
        <w:t xml:space="preserve">Tento konceptuální náhled </w:t>
      </w:r>
      <w:r w:rsidR="003344F9">
        <w:t xml:space="preserve">definuje skrze ideový a formální výměr </w:t>
      </w:r>
      <w:r w:rsidR="00963052" w:rsidRPr="003D1E07">
        <w:t>původní neomezenost nižší sféry (κατὰ τὸν διασπασμὸν καὶ τὸ ἀόριστον θεωρουμένη</w:t>
      </w:r>
      <w:r w:rsidR="08F90304" w:rsidRPr="003D1E07">
        <w:t>;</w:t>
      </w:r>
      <w:r w:rsidR="00963052" w:rsidRPr="003D1E07">
        <w:t xml:space="preserve"> ibid</w:t>
      </w:r>
      <w:r w:rsidR="08F90304" w:rsidRPr="003D1E07">
        <w:t>,</w:t>
      </w:r>
      <w:r w:rsidR="00963052" w:rsidRPr="003D1E07">
        <w:t xml:space="preserve"> 623.18–19</w:t>
      </w:r>
      <w:r w:rsidR="00963052" w:rsidRPr="003D1E07">
        <w:fldChar w:fldCharType="begin"/>
      </w:r>
      <w:r w:rsidR="00963052" w:rsidRPr="003D1E07">
        <w:instrText xml:space="preserve"> XE "Simplikius:</w:instrText>
      </w:r>
      <w:r w:rsidR="00963052" w:rsidRPr="003D1E07">
        <w:rPr>
          <w:i/>
        </w:rPr>
        <w:instrText>Simpl. in Phys</w:instrText>
      </w:r>
      <w:r w:rsidR="00963052" w:rsidRPr="003D1E07">
        <w:instrText xml:space="preserve">. 623.18‒19" </w:instrText>
      </w:r>
      <w:r w:rsidR="00963052" w:rsidRPr="003D1E07">
        <w:fldChar w:fldCharType="end"/>
      </w:r>
      <w:r w:rsidR="00963052" w:rsidRPr="003D1E07">
        <w:t xml:space="preserve">). </w:t>
      </w:r>
      <w:r w:rsidR="08651280" w:rsidRPr="003D1E07">
        <w:t xml:space="preserve">Reálné těleso je neomezené </w:t>
      </w:r>
      <w:r w:rsidR="00963052" w:rsidRPr="003D1E07">
        <w:t>svým kontingentním výskytem</w:t>
      </w:r>
      <w:r w:rsidR="08651280" w:rsidRPr="003D1E07">
        <w:t xml:space="preserve"> </w:t>
      </w:r>
      <w:r w:rsidR="08651280" w:rsidRPr="003D1E07">
        <w:lastRenderedPageBreak/>
        <w:t>(τὸ ἀόριστον)</w:t>
      </w:r>
      <w:r w:rsidR="00963052" w:rsidRPr="003D1E07">
        <w:t xml:space="preserve">, ale omezuje jej univerzální definice, která obsahuje </w:t>
      </w:r>
      <w:r w:rsidR="08651280" w:rsidRPr="003D1E07">
        <w:t xml:space="preserve">hypostázovaná </w:t>
      </w:r>
      <w:r w:rsidR="00963052" w:rsidRPr="003D1E07">
        <w:t xml:space="preserve">specifická určení </w:t>
      </w:r>
      <w:r w:rsidR="08651280" w:rsidRPr="003D1E07">
        <w:t xml:space="preserve">tělesa </w:t>
      </w:r>
      <w:r w:rsidR="00963052" w:rsidRPr="003D1E07">
        <w:t xml:space="preserve">v demiurgickém diakosmu. </w:t>
      </w:r>
      <w:r w:rsidR="08CF5684" w:rsidRPr="003D1E07">
        <w:t xml:space="preserve">Simplikiův </w:t>
      </w:r>
      <w:r w:rsidR="00963052" w:rsidRPr="003D1E07">
        <w:t>komentář</w:t>
      </w:r>
      <w:r w:rsidR="08CF5684" w:rsidRPr="003D1E07">
        <w:t xml:space="preserve"> </w:t>
      </w:r>
      <w:r w:rsidR="08CF5684" w:rsidRPr="003D1E07">
        <w:rPr>
          <w:i/>
        </w:rPr>
        <w:t>Fyziky</w:t>
      </w:r>
      <w:r w:rsidR="08CF5684" w:rsidRPr="003D1E07">
        <w:t xml:space="preserve"> </w:t>
      </w:r>
      <w:r w:rsidR="00963052" w:rsidRPr="003D1E07">
        <w:t>definující rozsažnost zdůrazňuje, že nejde o akcidentální určení substance. Formální určení prostorovosti tvoří podstatu první substance jako tělesa (οὐδὲ συμβεβηκὸς ὁ τόπος, ἀλλ' οὐσία καὶ οὗτος, ibid. 623.19–20</w:t>
      </w:r>
      <w:r w:rsidR="00963052" w:rsidRPr="003D1E07">
        <w:fldChar w:fldCharType="begin"/>
      </w:r>
      <w:r w:rsidR="00963052" w:rsidRPr="003D1E07">
        <w:instrText xml:space="preserve"> XE "Simplikius:</w:instrText>
      </w:r>
      <w:r w:rsidR="00963052" w:rsidRPr="003D1E07">
        <w:rPr>
          <w:i/>
        </w:rPr>
        <w:instrText>Simpl. in Phys</w:instrText>
      </w:r>
      <w:r w:rsidR="00963052" w:rsidRPr="003D1E07">
        <w:instrText xml:space="preserve">. 623.19‒20" </w:instrText>
      </w:r>
      <w:r w:rsidR="00963052" w:rsidRPr="003D1E07">
        <w:fldChar w:fldCharType="end"/>
      </w:r>
      <w:r w:rsidR="00963052" w:rsidRPr="003D1E07">
        <w:t xml:space="preserve">). Objektivní určení fyziky nazírané v původním diakosmu, kde ještě neexistují fyzikální tělesa, má dvě roviny. Hypostázované akcidenty a vlastnosti (kvatita, rozsažnost, čas) představují objektivní </w:t>
      </w:r>
      <w:r w:rsidR="00F214C5" w:rsidRPr="003D1E07">
        <w:t>species</w:t>
      </w:r>
      <w:r w:rsidR="00BF7EA7" w:rsidRPr="003D1E07">
        <w:t>, která jsou určena</w:t>
      </w:r>
      <w:r w:rsidR="003D2620" w:rsidRPr="003D1E07">
        <w:t xml:space="preserve"> kategoriálním výměrem. </w:t>
      </w:r>
      <w:r w:rsidR="00963052" w:rsidRPr="003D1E07">
        <w:t xml:space="preserve">Díky výměru existují tyto formy samy o sobě již v diakosmu, protože jsou vymezené demiurgickým myšlením. </w:t>
      </w:r>
      <w:r w:rsidR="08287A58" w:rsidRPr="003D1E07">
        <w:t xml:space="preserve">Protože tato ideálně-objektivní určení jsou dána v modu </w:t>
      </w:r>
      <w:r w:rsidR="08287A58" w:rsidRPr="003D1E07">
        <w:rPr>
          <w:i/>
        </w:rPr>
        <w:t>per prius</w:t>
      </w:r>
      <w:r w:rsidR="08287A58" w:rsidRPr="003D1E07">
        <w:t xml:space="preserve">, tak jsou mnohem reálnější než </w:t>
      </w:r>
      <w:r w:rsidR="08784BD5" w:rsidRPr="003D1E07">
        <w:t xml:space="preserve">proměnlivá </w:t>
      </w:r>
      <w:r w:rsidR="08287A58" w:rsidRPr="003D1E07">
        <w:t>realita fyzikálního tělesa. Opačně platí, že</w:t>
      </w:r>
      <w:r w:rsidR="08784BD5" w:rsidRPr="003D1E07">
        <w:t xml:space="preserve"> nestálá</w:t>
      </w:r>
      <w:r w:rsidR="08287A58" w:rsidRPr="003D1E07">
        <w:t xml:space="preserve"> hylemorfická realita dostala zavedením diakosmické objektivity dodatečný </w:t>
      </w:r>
      <w:r w:rsidR="08784BD5" w:rsidRPr="003D1E07">
        <w:t xml:space="preserve">a proto věčně platný </w:t>
      </w:r>
      <w:r w:rsidR="08287A58" w:rsidRPr="003D1E07">
        <w:t>důvod ke své existenci, což pozděj</w:t>
      </w:r>
      <w:r w:rsidR="08335760" w:rsidRPr="003D1E07">
        <w:t xml:space="preserve">i Leibniz formuluje v principu </w:t>
      </w:r>
      <w:r w:rsidR="08287A58" w:rsidRPr="003D1E07">
        <w:rPr>
          <w:bCs/>
          <w:i/>
        </w:rPr>
        <w:t>ratio sufficiens</w:t>
      </w:r>
      <w:r w:rsidR="08287A58" w:rsidRPr="003D1E07">
        <w:rPr>
          <w:bCs/>
          <w:i/>
        </w:rPr>
        <w:fldChar w:fldCharType="begin"/>
      </w:r>
      <w:r w:rsidR="08287A58" w:rsidRPr="003D1E07">
        <w:instrText xml:space="preserve"> XE "</w:instrText>
      </w:r>
      <w:r w:rsidR="08287A58" w:rsidRPr="003D1E07">
        <w:rPr>
          <w:bCs/>
          <w:i/>
        </w:rPr>
        <w:instrText>ratio sufficiens</w:instrText>
      </w:r>
      <w:r w:rsidR="08287A58" w:rsidRPr="003D1E07">
        <w:instrText xml:space="preserve">" </w:instrText>
      </w:r>
      <w:r w:rsidR="08287A58" w:rsidRPr="003D1E07">
        <w:rPr>
          <w:bCs/>
          <w:i/>
        </w:rPr>
        <w:fldChar w:fldCharType="end"/>
      </w:r>
      <w:r w:rsidR="08287A58" w:rsidRPr="003D1E07">
        <w:rPr>
          <w:bCs/>
        </w:rPr>
        <w:t xml:space="preserve">. </w:t>
      </w:r>
      <w:r w:rsidR="00963052" w:rsidRPr="003D1E07">
        <w:t xml:space="preserve">Směrem k nižším emanacím </w:t>
      </w:r>
      <w:r w:rsidR="0896353E" w:rsidRPr="003D1E07">
        <w:t xml:space="preserve">dostávají tato objektivní určení kauzální účinnost a </w:t>
      </w:r>
      <w:r w:rsidR="08DE4DD2" w:rsidRPr="003D1E07">
        <w:t xml:space="preserve">sestupem do </w:t>
      </w:r>
      <w:r w:rsidR="00963052" w:rsidRPr="003D1E07">
        <w:t>neomezené</w:t>
      </w:r>
      <w:r w:rsidR="08920CEA" w:rsidRPr="003D1E07">
        <w:t xml:space="preserve"> </w:t>
      </w:r>
      <w:r w:rsidR="00A2523E">
        <w:t xml:space="preserve">první </w:t>
      </w:r>
      <w:r w:rsidR="08920CEA" w:rsidRPr="003D1E07">
        <w:t>materie vytvá</w:t>
      </w:r>
      <w:r w:rsidR="08DE4DD2" w:rsidRPr="003D1E07">
        <w:t>řejí kvantitativně vymezenou f</w:t>
      </w:r>
      <w:r w:rsidR="00963052" w:rsidRPr="003D1E07">
        <w:t>yzikální materi</w:t>
      </w:r>
      <w:r w:rsidR="08DE4DD2" w:rsidRPr="003D1E07">
        <w:t>i a</w:t>
      </w:r>
      <w:r w:rsidR="00963052" w:rsidRPr="003D1E07">
        <w:t xml:space="preserve"> </w:t>
      </w:r>
      <w:r w:rsidR="08920CEA" w:rsidRPr="003D1E07">
        <w:t xml:space="preserve">tím i hylemorfické </w:t>
      </w:r>
      <w:r w:rsidR="00963052" w:rsidRPr="003D1E07">
        <w:t>těleso</w:t>
      </w:r>
      <w:r w:rsidR="08920CEA" w:rsidRPr="003D1E07">
        <w:t xml:space="preserve"> Aristotelovy </w:t>
      </w:r>
      <w:r w:rsidR="08920CEA" w:rsidRPr="003D1E07">
        <w:rPr>
          <w:i/>
        </w:rPr>
        <w:t>Fyziky</w:t>
      </w:r>
      <w:r w:rsidR="00963052" w:rsidRPr="003D1E07">
        <w:t xml:space="preserve">. Jamblichem ustavená predikace </w:t>
      </w:r>
      <w:r w:rsidR="08322C15" w:rsidRPr="003D1E07">
        <w:t>pomocí determ</w:t>
      </w:r>
      <w:r w:rsidR="0065019B">
        <w:t>in</w:t>
      </w:r>
      <w:r w:rsidR="08322C15" w:rsidRPr="003D1E07">
        <w:t xml:space="preserve">ující určitosti </w:t>
      </w:r>
      <w:r w:rsidR="00963052" w:rsidRPr="003D1E07">
        <w:t>umožnila Simplikiovi determinovat nové pojetí rozsažnosti</w:t>
      </w:r>
      <w:r w:rsidR="08511903" w:rsidRPr="003D1E07">
        <w:t xml:space="preserve">. </w:t>
      </w:r>
      <w:r w:rsidR="00537296">
        <w:t>O</w:t>
      </w:r>
      <w:r w:rsidR="08511903" w:rsidRPr="003D1E07">
        <w:t>bjekt</w:t>
      </w:r>
      <w:r w:rsidR="00537296">
        <w:t>ivní určení těle</w:t>
      </w:r>
      <w:r w:rsidR="08511903" w:rsidRPr="003D1E07">
        <w:t xml:space="preserve">sa jsou predikována </w:t>
      </w:r>
      <w:r w:rsidR="00963052" w:rsidRPr="003D1E07">
        <w:t xml:space="preserve">v rámci signifikace </w:t>
      </w:r>
      <w:r w:rsidR="00963052" w:rsidRPr="003D1E07">
        <w:rPr>
          <w:i/>
        </w:rPr>
        <w:t>per prius</w:t>
      </w:r>
      <w:r w:rsidR="00963052" w:rsidRPr="003D1E07">
        <w:t xml:space="preserve"> vztažené k substanci třetího druhu. K novému určení </w:t>
      </w:r>
      <w:r w:rsidR="080168FD" w:rsidRPr="003D1E07">
        <w:t>obje</w:t>
      </w:r>
      <w:r w:rsidR="087718D7" w:rsidRPr="003D1E07">
        <w:t>k</w:t>
      </w:r>
      <w:r w:rsidR="080168FD" w:rsidRPr="003D1E07">
        <w:t xml:space="preserve">tivní fyzikální </w:t>
      </w:r>
      <w:r w:rsidR="00963052" w:rsidRPr="003D1E07">
        <w:t>reality stačí pouze matematika</w:t>
      </w:r>
      <w:r w:rsidR="00963052" w:rsidRPr="003D1E07">
        <w:fldChar w:fldCharType="begin"/>
      </w:r>
      <w:r w:rsidR="00963052" w:rsidRPr="003D1E07">
        <w:instrText xml:space="preserve"> XE "matematika" </w:instrText>
      </w:r>
      <w:r w:rsidR="00963052" w:rsidRPr="003D1E07">
        <w:fldChar w:fldCharType="end"/>
      </w:r>
      <w:r w:rsidR="00963052" w:rsidRPr="003D1E07">
        <w:t xml:space="preserve"> a božský náhled osvíceného demiurga</w:t>
      </w:r>
      <w:r w:rsidR="00963052" w:rsidRPr="003D1E07">
        <w:fldChar w:fldCharType="begin"/>
      </w:r>
      <w:r w:rsidR="00963052" w:rsidRPr="003D1E07">
        <w:instrText xml:space="preserve"> XE "</w:instrText>
      </w:r>
      <w:r w:rsidR="00963052" w:rsidRPr="003D1E07">
        <w:rPr>
          <w:rStyle w:val="addmd"/>
        </w:rPr>
        <w:instrText>demiurg</w:instrText>
      </w:r>
      <w:r w:rsidR="00963052" w:rsidRPr="003D1E07">
        <w:instrText xml:space="preserve">" </w:instrText>
      </w:r>
      <w:r w:rsidR="00963052" w:rsidRPr="003D1E07">
        <w:fldChar w:fldCharType="end"/>
      </w:r>
      <w:r w:rsidR="00963052" w:rsidRPr="003D1E07">
        <w:t>.</w:t>
      </w:r>
      <w:r w:rsidR="08F068C9" w:rsidRPr="003D1E07">
        <w:t xml:space="preserve"> Tím vzniknou dvě vědy</w:t>
      </w:r>
      <w:r w:rsidR="00005AC5">
        <w:t xml:space="preserve"> o tělese a dvě formy fyziky: th</w:t>
      </w:r>
      <w:r w:rsidR="08F068C9" w:rsidRPr="003D1E07">
        <w:t xml:space="preserve">eurgická a aristotelská. </w:t>
      </w:r>
      <w:r w:rsidR="08AC4B95" w:rsidRPr="003D1E07">
        <w:t xml:space="preserve">Objektivní </w:t>
      </w:r>
      <w:r w:rsidR="08F068C9" w:rsidRPr="003D1E07">
        <w:t xml:space="preserve">forma vědy založená </w:t>
      </w:r>
      <w:r w:rsidR="08AC4B95" w:rsidRPr="003D1E07">
        <w:t xml:space="preserve">theurgickém výkladu </w:t>
      </w:r>
      <w:r w:rsidR="08F068C9" w:rsidRPr="003D1E07">
        <w:t xml:space="preserve">filosofické pohádky </w:t>
      </w:r>
      <w:r w:rsidR="08603B03" w:rsidRPr="003D1E07">
        <w:t xml:space="preserve">jménem </w:t>
      </w:r>
      <w:r w:rsidR="08603B03" w:rsidRPr="003D1E07">
        <w:rPr>
          <w:i/>
        </w:rPr>
        <w:t>Timaios</w:t>
      </w:r>
      <w:r w:rsidR="08603B03" w:rsidRPr="003D1E07">
        <w:t xml:space="preserve"> </w:t>
      </w:r>
      <w:r w:rsidR="08F068C9" w:rsidRPr="003D1E07">
        <w:t xml:space="preserve">obsahuje eidetická určení tělesa, která tvoří samostatné hypostáze věčně bytující v demiurgickém diakosmu. </w:t>
      </w:r>
      <w:r w:rsidR="0824219D" w:rsidRPr="003D1E07">
        <w:t>Co je věčně správné (</w:t>
      </w:r>
      <w:r w:rsidR="0824219D" w:rsidRPr="003D1E07">
        <w:rPr>
          <w:i/>
        </w:rPr>
        <w:t>semper</w:t>
      </w:r>
      <w:r w:rsidR="0824219D" w:rsidRPr="003D1E07">
        <w:t>) a jednou demiurgem provedené v tvůrčím modu (</w:t>
      </w:r>
      <w:r w:rsidR="0824219D" w:rsidRPr="003D1E07">
        <w:rPr>
          <w:i/>
        </w:rPr>
        <w:t>semel</w:t>
      </w:r>
      <w:r w:rsidR="0824219D" w:rsidRPr="003D1E07">
        <w:t xml:space="preserve">), to platí </w:t>
      </w:r>
      <w:r w:rsidR="0824219D" w:rsidRPr="003D1E07">
        <w:rPr>
          <w:i/>
        </w:rPr>
        <w:t>absolute</w:t>
      </w:r>
      <w:r w:rsidR="0824219D" w:rsidRPr="003D1E07">
        <w:t xml:space="preserve">, tedy odděleně od Aristotelovy </w:t>
      </w:r>
      <w:r w:rsidR="08623571" w:rsidRPr="003D1E07">
        <w:t xml:space="preserve">materiálně dané </w:t>
      </w:r>
      <w:r w:rsidR="0824219D" w:rsidRPr="003D1E07">
        <w:rPr>
          <w:i/>
        </w:rPr>
        <w:t>Fyziky</w:t>
      </w:r>
      <w:r w:rsidR="0824219D" w:rsidRPr="003D1E07">
        <w:t xml:space="preserve">. </w:t>
      </w:r>
      <w:r w:rsidR="08F068C9" w:rsidRPr="003D1E07">
        <w:t xml:space="preserve">V tomto paralelním vesmíru podle neoplatonské verze Alenčiny říše divů je pravdivost nové formy jsoucna třetího druhu dána v modu </w:t>
      </w:r>
      <w:r w:rsidR="08F068C9" w:rsidRPr="003D1E07">
        <w:rPr>
          <w:i/>
        </w:rPr>
        <w:t>semel</w:t>
      </w:r>
      <w:r w:rsidR="08F068C9" w:rsidRPr="003D1E07">
        <w:t>‒</w:t>
      </w:r>
      <w:r w:rsidR="08F068C9" w:rsidRPr="003D1E07">
        <w:rPr>
          <w:i/>
        </w:rPr>
        <w:t>semper</w:t>
      </w:r>
      <w:r w:rsidR="08F068C9" w:rsidRPr="003D1E07">
        <w:rPr>
          <w:i/>
        </w:rPr>
        <w:fldChar w:fldCharType="begin"/>
      </w:r>
      <w:r w:rsidR="08F068C9" w:rsidRPr="003D1E07">
        <w:instrText xml:space="preserve"> XE "predikace:</w:instrText>
      </w:r>
      <w:r w:rsidR="08F068C9" w:rsidRPr="003D1E07">
        <w:rPr>
          <w:i/>
        </w:rPr>
        <w:instrText>semel</w:instrText>
      </w:r>
      <w:r w:rsidR="08F068C9" w:rsidRPr="003D1E07">
        <w:instrText>‒</w:instrText>
      </w:r>
      <w:r w:rsidR="08F068C9" w:rsidRPr="003D1E07">
        <w:rPr>
          <w:i/>
        </w:rPr>
        <w:instrText>semper</w:instrText>
      </w:r>
      <w:r w:rsidR="08F068C9" w:rsidRPr="003D1E07">
        <w:instrText xml:space="preserve">" </w:instrText>
      </w:r>
      <w:r w:rsidR="08F068C9" w:rsidRPr="003D1E07">
        <w:rPr>
          <w:i/>
        </w:rPr>
        <w:fldChar w:fldCharType="end"/>
      </w:r>
      <w:r w:rsidR="08F068C9" w:rsidRPr="003D1E07">
        <w:t xml:space="preserve">, který převezmou porretáni a škola </w:t>
      </w:r>
      <w:r w:rsidR="08F068C9" w:rsidRPr="003D1E07">
        <w:rPr>
          <w:i/>
        </w:rPr>
        <w:t>Nominales</w:t>
      </w:r>
      <w:r w:rsidR="08F068C9" w:rsidRPr="003D1E07">
        <w:t xml:space="preserve"> (</w:t>
      </w:r>
      <w:r w:rsidR="08CB71B2" w:rsidRPr="003D1E07">
        <w:t>OBJ II, kap. 1</w:t>
      </w:r>
      <w:r w:rsidR="08F068C9" w:rsidRPr="003D1E07">
        <w:t xml:space="preserve">.5). Empirické poznání později dané jako Grossetesteho </w:t>
      </w:r>
      <w:r w:rsidR="08F068C9" w:rsidRPr="003D1E07">
        <w:rPr>
          <w:i/>
        </w:rPr>
        <w:t>scientia cogitabilis</w:t>
      </w:r>
      <w:r w:rsidR="08F068C9" w:rsidRPr="003D1E07">
        <w:rPr>
          <w:i/>
        </w:rPr>
        <w:fldChar w:fldCharType="begin"/>
      </w:r>
      <w:r w:rsidR="08F068C9" w:rsidRPr="003D1E07">
        <w:instrText xml:space="preserve"> XE "</w:instrText>
      </w:r>
      <w:r w:rsidR="08F068C9" w:rsidRPr="003D1E07">
        <w:rPr>
          <w:i/>
        </w:rPr>
        <w:instrText>scientia cogitabilis</w:instrText>
      </w:r>
      <w:r w:rsidR="08F068C9" w:rsidRPr="003D1E07">
        <w:instrText xml:space="preserve">" </w:instrText>
      </w:r>
      <w:r w:rsidR="08F068C9" w:rsidRPr="003D1E07">
        <w:rPr>
          <w:i/>
        </w:rPr>
        <w:fldChar w:fldCharType="end"/>
      </w:r>
      <w:r w:rsidR="08F068C9" w:rsidRPr="003D1E07">
        <w:t xml:space="preserve"> (</w:t>
      </w:r>
      <w:r w:rsidR="08CB71B2" w:rsidRPr="003D1E07">
        <w:t>OBJ II, kap. 3</w:t>
      </w:r>
      <w:r w:rsidR="08F068C9" w:rsidRPr="003D1E07">
        <w:t>.1.1) existuje na nižším patře hylemorfické fyziky determinované kauzalitou reálných fyzikálních těles.</w:t>
      </w:r>
    </w:p>
    <w:p w14:paraId="7413062F" w14:textId="53DF74B7" w:rsidR="08BE7D19" w:rsidRPr="003D1E07" w:rsidRDefault="00963052" w:rsidP="00963052">
      <w:r w:rsidRPr="003D1E07">
        <w:tab/>
        <w:t>Simplikův současník Jan Filoponus</w:t>
      </w:r>
      <w:r w:rsidRPr="003D1E07">
        <w:fldChar w:fldCharType="begin"/>
      </w:r>
      <w:r w:rsidRPr="003D1E07">
        <w:instrText xml:space="preserve"> XE "Filoponus" </w:instrText>
      </w:r>
      <w:r w:rsidRPr="003D1E07">
        <w:fldChar w:fldCharType="end"/>
      </w:r>
      <w:r w:rsidRPr="003D1E07">
        <w:t xml:space="preserve"> (asi †570) završil formaci nového pojetí materie a tělesa. Tento myslitel vychází z </w:t>
      </w:r>
      <w:r w:rsidR="00874074" w:rsidRPr="003D1E07">
        <w:t>neoplatonsk</w:t>
      </w:r>
      <w:r w:rsidRPr="003D1E07">
        <w:t xml:space="preserve">é exegeze Aristotelovy </w:t>
      </w:r>
      <w:r w:rsidRPr="003D1E07">
        <w:rPr>
          <w:i/>
        </w:rPr>
        <w:t>Fyziky</w:t>
      </w:r>
      <w:r w:rsidRPr="003D1E07">
        <w:t xml:space="preserve">, která zahájila proces objektivizace materie. Filoponus </w:t>
      </w:r>
      <w:r w:rsidRPr="003D1E07">
        <w:rPr>
          <w:rStyle w:val="addmd"/>
        </w:rPr>
        <w:t xml:space="preserve">definoval stejným způsobem jako Simplikius rozdíl </w:t>
      </w:r>
      <w:r w:rsidRPr="003D1E07">
        <w:rPr>
          <w:rStyle w:val="addmd"/>
        </w:rPr>
        <w:lastRenderedPageBreak/>
        <w:t xml:space="preserve">mezi dvěma abstraktními veličinami, které v </w:t>
      </w:r>
      <w:r w:rsidR="00874074" w:rsidRPr="003D1E07">
        <w:rPr>
          <w:rStyle w:val="addmd"/>
        </w:rPr>
        <w:t>neoplatonsk</w:t>
      </w:r>
      <w:r w:rsidRPr="003D1E07">
        <w:rPr>
          <w:rStyle w:val="addmd"/>
        </w:rPr>
        <w:t xml:space="preserve">ém aristotelismu určují těleso. </w:t>
      </w:r>
      <w:r w:rsidR="08AB62DB" w:rsidRPr="003D1E07">
        <w:rPr>
          <w:rStyle w:val="addmd"/>
        </w:rPr>
        <w:t xml:space="preserve">Na vymezení nové fyziky postavené mimo realitu úplně stačí pohyb </w:t>
      </w:r>
      <w:r w:rsidR="08BB48D9" w:rsidRPr="003D1E07">
        <w:rPr>
          <w:rStyle w:val="addmd"/>
        </w:rPr>
        <w:t xml:space="preserve">dvou principů. </w:t>
      </w:r>
      <w:r w:rsidR="086D3C5E" w:rsidRPr="003D1E07">
        <w:rPr>
          <w:rStyle w:val="addmd"/>
        </w:rPr>
        <w:t>Opět platí, že u</w:t>
      </w:r>
      <w:r w:rsidR="08AB62DB" w:rsidRPr="003D1E07">
        <w:rPr>
          <w:rStyle w:val="addmd"/>
        </w:rPr>
        <w:t xml:space="preserve">rčující </w:t>
      </w:r>
      <w:r w:rsidR="08BB48D9" w:rsidRPr="003D1E07">
        <w:rPr>
          <w:rStyle w:val="addmd"/>
        </w:rPr>
        <w:t xml:space="preserve">a omezené </w:t>
      </w:r>
      <w:r w:rsidR="08BB48D9" w:rsidRPr="003D1E07">
        <w:rPr>
          <w:rStyle w:val="addmd"/>
          <w:i/>
        </w:rPr>
        <w:t>definiens</w:t>
      </w:r>
      <w:r w:rsidR="08BB48D9" w:rsidRPr="003D1E07">
        <w:rPr>
          <w:rStyle w:val="addmd"/>
        </w:rPr>
        <w:t xml:space="preserve"> </w:t>
      </w:r>
      <w:r w:rsidR="08AB62DB" w:rsidRPr="003D1E07">
        <w:rPr>
          <w:rStyle w:val="addmd"/>
        </w:rPr>
        <w:t xml:space="preserve">(eidetická forma) </w:t>
      </w:r>
      <w:r w:rsidR="08BB48D9" w:rsidRPr="003D1E07">
        <w:rPr>
          <w:rStyle w:val="addmd"/>
        </w:rPr>
        <w:t xml:space="preserve">určuje </w:t>
      </w:r>
      <w:r w:rsidR="08AB62DB" w:rsidRPr="003D1E07">
        <w:rPr>
          <w:rStyle w:val="addmd"/>
        </w:rPr>
        <w:t>neomezené</w:t>
      </w:r>
      <w:r w:rsidR="0880462E" w:rsidRPr="003D1E07">
        <w:rPr>
          <w:rStyle w:val="addmd"/>
        </w:rPr>
        <w:t xml:space="preserve"> a určo</w:t>
      </w:r>
      <w:r w:rsidR="08BB48D9" w:rsidRPr="003D1E07">
        <w:rPr>
          <w:rStyle w:val="addmd"/>
        </w:rPr>
        <w:t xml:space="preserve">vané </w:t>
      </w:r>
      <w:r w:rsidR="08BB48D9" w:rsidRPr="003D1E07">
        <w:rPr>
          <w:rStyle w:val="addmd"/>
          <w:i/>
        </w:rPr>
        <w:t>definitum</w:t>
      </w:r>
      <w:r w:rsidR="08BB48D9" w:rsidRPr="003D1E07">
        <w:rPr>
          <w:rStyle w:val="addmd"/>
        </w:rPr>
        <w:t xml:space="preserve"> </w:t>
      </w:r>
      <w:r w:rsidR="08AB62DB" w:rsidRPr="003D1E07">
        <w:rPr>
          <w:rStyle w:val="addmd"/>
        </w:rPr>
        <w:t xml:space="preserve">(potenciální substrát). </w:t>
      </w:r>
      <w:r w:rsidR="084B362D" w:rsidRPr="003D1E07">
        <w:t xml:space="preserve">Předchozí pasáž ukázala, že tuto formu neoplatonského určování prostoru a materie zavedl do filosofie Simplikius inspirovaný Jamblichem. </w:t>
      </w:r>
      <w:r w:rsidRPr="003D1E07">
        <w:rPr>
          <w:rStyle w:val="addmd"/>
        </w:rPr>
        <w:t xml:space="preserve">Modus „určující forma“ versus „určená materie“ platí </w:t>
      </w:r>
      <w:r w:rsidR="08444B77" w:rsidRPr="003D1E07">
        <w:rPr>
          <w:rStyle w:val="addmd"/>
        </w:rPr>
        <w:t>pro rozsažnost stejným způsobem jako to měl výše uvedený Jamblichos a Simplikius</w:t>
      </w:r>
      <w:r w:rsidRPr="003D1E07">
        <w:rPr>
          <w:rStyle w:val="addmd"/>
        </w:rPr>
        <w:t xml:space="preserve">. </w:t>
      </w:r>
      <w:r w:rsidR="087718D7" w:rsidRPr="003D1E07">
        <w:rPr>
          <w:rStyle w:val="addmd"/>
        </w:rPr>
        <w:t>Nová definice objemu</w:t>
      </w:r>
      <w:r w:rsidRPr="003D1E07">
        <w:rPr>
          <w:rStyle w:val="addmd"/>
        </w:rPr>
        <w:t xml:space="preserve"> (</w:t>
      </w:r>
      <w:r w:rsidRPr="003D1E07">
        <w:t>ὄγκος</w:t>
      </w:r>
      <w:r w:rsidRPr="003D1E07">
        <w:rPr>
          <w:rStyle w:val="addmd"/>
        </w:rPr>
        <w:t xml:space="preserve">) je </w:t>
      </w:r>
      <w:r w:rsidR="087D5465" w:rsidRPr="003D1E07">
        <w:rPr>
          <w:rStyle w:val="addmd"/>
        </w:rPr>
        <w:t xml:space="preserve">u Filopona </w:t>
      </w:r>
      <w:r w:rsidRPr="003D1E07">
        <w:rPr>
          <w:rStyle w:val="addmd"/>
        </w:rPr>
        <w:t>dána jako činnost čisté určující formy a</w:t>
      </w:r>
      <w:r w:rsidR="087718D7" w:rsidRPr="003D1E07">
        <w:rPr>
          <w:rStyle w:val="addmd"/>
        </w:rPr>
        <w:t xml:space="preserve"> jí odpovídá stejně abstraktní </w:t>
      </w:r>
      <w:r w:rsidRPr="003D1E07">
        <w:rPr>
          <w:rStyle w:val="addmd"/>
        </w:rPr>
        <w:t>rozsažnos</w:t>
      </w:r>
      <w:r w:rsidR="087718D7" w:rsidRPr="003D1E07">
        <w:rPr>
          <w:rStyle w:val="addmd"/>
        </w:rPr>
        <w:t>t</w:t>
      </w:r>
      <w:r w:rsidRPr="003D1E07">
        <w:rPr>
          <w:rStyle w:val="addmd"/>
        </w:rPr>
        <w:t xml:space="preserve"> (</w:t>
      </w:r>
      <w:r w:rsidRPr="003D1E07">
        <w:t>διάστημα</w:t>
      </w:r>
      <w:r w:rsidRPr="003D1E07">
        <w:rPr>
          <w:rStyle w:val="addmd"/>
        </w:rPr>
        <w:t>) daná v abstraktní materii.</w:t>
      </w:r>
      <w:r w:rsidR="00991CEB" w:rsidRPr="003D1E07">
        <w:rPr>
          <w:rStyle w:val="Znakapoznpodarou"/>
        </w:rPr>
        <w:footnoteReference w:id="68"/>
      </w:r>
      <w:r w:rsidRPr="003D1E07">
        <w:t xml:space="preserve"> </w:t>
      </w:r>
      <w:r w:rsidR="00865529" w:rsidRPr="003D1E07">
        <w:t xml:space="preserve">Tato určující mez (πέρας) daná </w:t>
      </w:r>
      <w:r w:rsidR="08732493" w:rsidRPr="003D1E07">
        <w:t xml:space="preserve">nadřazenou </w:t>
      </w:r>
      <w:r w:rsidR="00865529" w:rsidRPr="003D1E07">
        <w:t xml:space="preserve">formou tvoří vymezující hranici původně nevymezeného substrátu (ἄπειρον). Inspirací pro toto určování tělesa je citovaný Jamblichův model </w:t>
      </w:r>
      <w:r w:rsidR="00865529" w:rsidRPr="003D1E07">
        <w:rPr>
          <w:rStyle w:val="addmd"/>
        </w:rPr>
        <w:t>„Omezené‒Neomezené</w:t>
      </w:r>
      <w:r w:rsidR="00865529" w:rsidRPr="003D1E07">
        <w:rPr>
          <w:rStyle w:val="addmd"/>
        </w:rPr>
        <w:fldChar w:fldCharType="begin"/>
      </w:r>
      <w:r w:rsidR="00865529" w:rsidRPr="003D1E07">
        <w:instrText xml:space="preserve"> XE "</w:instrText>
      </w:r>
      <w:r w:rsidR="00865529" w:rsidRPr="003D1E07">
        <w:rPr>
          <w:rStyle w:val="addmd"/>
        </w:rPr>
        <w:instrText>Omezené‒Neomezené</w:instrText>
      </w:r>
      <w:r w:rsidR="00865529" w:rsidRPr="003D1E07">
        <w:instrText xml:space="preserve">" </w:instrText>
      </w:r>
      <w:r w:rsidR="00865529" w:rsidRPr="003D1E07">
        <w:rPr>
          <w:rStyle w:val="addmd"/>
        </w:rPr>
        <w:fldChar w:fldCharType="end"/>
      </w:r>
      <w:r w:rsidR="00865529" w:rsidRPr="003D1E07">
        <w:rPr>
          <w:rStyle w:val="addmd"/>
        </w:rPr>
        <w:t>“</w:t>
      </w:r>
      <w:r w:rsidR="00865529" w:rsidRPr="003D1E07">
        <w:t xml:space="preserve">. </w:t>
      </w:r>
      <w:r w:rsidR="08A81E2B" w:rsidRPr="003D1E07">
        <w:t xml:space="preserve">Filoponovi vadí možnost, že věci nemusí vůbec existovat, což by u základních kosmických elementů nešlo. Protože </w:t>
      </w:r>
      <w:r w:rsidR="08E8399B" w:rsidRPr="003D1E07">
        <w:t xml:space="preserve">kosmické prvky </w:t>
      </w:r>
      <w:r w:rsidR="08A81E2B" w:rsidRPr="003D1E07">
        <w:t xml:space="preserve">jsou trvalé a materiální, pak nemohou existovat bez náležitého ideového základu, který je věčný a nepodléhá změně. </w:t>
      </w:r>
      <w:r w:rsidR="08513797" w:rsidRPr="003D1E07">
        <w:t>D</w:t>
      </w:r>
      <w:r w:rsidR="08513797" w:rsidRPr="003D1E07">
        <w:rPr>
          <w:rStyle w:val="addmd"/>
        </w:rPr>
        <w:t xml:space="preserve">ílo </w:t>
      </w:r>
      <w:r w:rsidR="08513797" w:rsidRPr="003D1E07">
        <w:rPr>
          <w:rStyle w:val="addmd"/>
          <w:i/>
        </w:rPr>
        <w:t>De aeternitate mundi</w:t>
      </w:r>
      <w:r w:rsidR="08513797" w:rsidRPr="003D1E07">
        <w:rPr>
          <w:rStyle w:val="addmd"/>
        </w:rPr>
        <w:t xml:space="preserve"> obsahuje konceptuální určení tělesa a kvantity vyvázané z aristotelského scénáře (</w:t>
      </w:r>
      <w:r w:rsidR="08513797" w:rsidRPr="003D1E07">
        <w:rPr>
          <w:rStyle w:val="addmd"/>
          <w:i/>
        </w:rPr>
        <w:t>De aeter</w:t>
      </w:r>
      <w:r w:rsidR="08513797" w:rsidRPr="003D1E07">
        <w:rPr>
          <w:rStyle w:val="addmd"/>
        </w:rPr>
        <w:t>. 424.9–11</w:t>
      </w:r>
      <w:r w:rsidR="08513797" w:rsidRPr="003D1E07">
        <w:fldChar w:fldCharType="begin"/>
      </w:r>
      <w:r w:rsidR="08513797" w:rsidRPr="003D1E07">
        <w:instrText xml:space="preserve"> XE "Filoponus:</w:instrText>
      </w:r>
      <w:r w:rsidR="08513797" w:rsidRPr="003D1E07">
        <w:rPr>
          <w:rStyle w:val="addmd"/>
          <w:i/>
        </w:rPr>
        <w:instrText>De aeter</w:instrText>
      </w:r>
      <w:r w:rsidR="08513797" w:rsidRPr="003D1E07">
        <w:rPr>
          <w:rStyle w:val="addmd"/>
        </w:rPr>
        <w:instrText>. 424.9–11</w:instrText>
      </w:r>
      <w:r w:rsidR="08513797" w:rsidRPr="003D1E07">
        <w:instrText xml:space="preserve">" </w:instrText>
      </w:r>
      <w:r w:rsidR="08513797" w:rsidRPr="003D1E07">
        <w:fldChar w:fldCharType="end"/>
      </w:r>
      <w:r w:rsidR="08513797" w:rsidRPr="003D1E07">
        <w:rPr>
          <w:rStyle w:val="addmd"/>
        </w:rPr>
        <w:t xml:space="preserve">). </w:t>
      </w:r>
      <w:r w:rsidR="08A81E2B" w:rsidRPr="003D1E07">
        <w:t xml:space="preserve">Filoponus dal materii formální a esenciální určení a tak z ní udělal novou substanci a nový nejvyšší rod. </w:t>
      </w:r>
      <w:r w:rsidR="08B6223F" w:rsidRPr="003D1E07">
        <w:rPr>
          <w:rStyle w:val="addmd"/>
        </w:rPr>
        <w:t>T</w:t>
      </w:r>
      <w:r w:rsidR="08B6223F" w:rsidRPr="003D1E07">
        <w:t xml:space="preserve">ěleso určené u Aristotela čistě fyzikálně a v rámci první substance se stalo novým druhem substance třetího druhu </w:t>
      </w:r>
      <w:r w:rsidR="086525E4" w:rsidRPr="003D1E07">
        <w:rPr>
          <w:rStyle w:val="addmd"/>
        </w:rPr>
        <w:t>(</w:t>
      </w:r>
      <w:r w:rsidR="086525E4" w:rsidRPr="003D1E07">
        <w:t xml:space="preserve">τὸ αὐθυπόστατον καὶ ἡ ἁπλῶς τοῦ σώματος οὐσία, </w:t>
      </w:r>
      <w:r w:rsidR="086525E4" w:rsidRPr="003D1E07">
        <w:rPr>
          <w:rStyle w:val="addmd"/>
          <w:i/>
        </w:rPr>
        <w:t>De aeter</w:t>
      </w:r>
      <w:r w:rsidR="086525E4" w:rsidRPr="003D1E07">
        <w:rPr>
          <w:rStyle w:val="addmd"/>
        </w:rPr>
        <w:t xml:space="preserve">. </w:t>
      </w:r>
      <w:r w:rsidR="086525E4" w:rsidRPr="003D1E07">
        <w:t>424.9</w:t>
      </w:r>
      <w:r w:rsidR="086525E4" w:rsidRPr="003D1E07">
        <w:fldChar w:fldCharType="begin"/>
      </w:r>
      <w:r w:rsidR="086525E4" w:rsidRPr="003D1E07">
        <w:instrText xml:space="preserve"> XE "Filoponus:</w:instrText>
      </w:r>
      <w:r w:rsidR="086525E4" w:rsidRPr="003D1E07">
        <w:rPr>
          <w:rStyle w:val="addmd"/>
          <w:i/>
        </w:rPr>
        <w:instrText>De aeter</w:instrText>
      </w:r>
      <w:r w:rsidR="086525E4" w:rsidRPr="003D1E07">
        <w:rPr>
          <w:rStyle w:val="addmd"/>
        </w:rPr>
        <w:instrText>. 424.9</w:instrText>
      </w:r>
      <w:r w:rsidR="086525E4" w:rsidRPr="003D1E07">
        <w:instrText xml:space="preserve">" </w:instrText>
      </w:r>
      <w:r w:rsidR="086525E4" w:rsidRPr="003D1E07">
        <w:fldChar w:fldCharType="end"/>
      </w:r>
      <w:r w:rsidR="086525E4" w:rsidRPr="003D1E07">
        <w:rPr>
          <w:rStyle w:val="addmd"/>
        </w:rPr>
        <w:t xml:space="preserve">). </w:t>
      </w:r>
      <w:r w:rsidR="00CC4187" w:rsidRPr="003D1E07">
        <w:t>Objektivně vymezené těleso má rozsažnost ve třech proto</w:t>
      </w:r>
      <w:r w:rsidR="00CC4187" w:rsidRPr="003D1E07">
        <w:noBreakHyphen/>
        <w:t xml:space="preserve">dimenzích daných mimo kvantitativní omezení materie (ὅπερ ἐστὶν τριχῇ διαστατὸς ἀόριστος, </w:t>
      </w:r>
      <w:r w:rsidR="00CC4187" w:rsidRPr="003D1E07">
        <w:rPr>
          <w:rStyle w:val="addmd"/>
          <w:i/>
        </w:rPr>
        <w:t>De aeter</w:t>
      </w:r>
      <w:r w:rsidR="00CC4187" w:rsidRPr="003D1E07">
        <w:rPr>
          <w:rStyle w:val="addmd"/>
        </w:rPr>
        <w:t>.</w:t>
      </w:r>
      <w:r w:rsidR="00CC4187" w:rsidRPr="003D1E07">
        <w:t xml:space="preserve"> 424.10</w:t>
      </w:r>
      <w:r w:rsidR="00CC4187" w:rsidRPr="003D1E07">
        <w:fldChar w:fldCharType="begin"/>
      </w:r>
      <w:r w:rsidR="00CC4187" w:rsidRPr="003D1E07">
        <w:instrText xml:space="preserve"> XE "Filoponus:</w:instrText>
      </w:r>
      <w:r w:rsidR="00CC4187" w:rsidRPr="003D1E07">
        <w:rPr>
          <w:rStyle w:val="addmd"/>
          <w:i/>
        </w:rPr>
        <w:instrText>De aeter</w:instrText>
      </w:r>
      <w:r w:rsidR="00CC4187" w:rsidRPr="003D1E07">
        <w:rPr>
          <w:rStyle w:val="addmd"/>
        </w:rPr>
        <w:instrText>. 424.10</w:instrText>
      </w:r>
      <w:r w:rsidR="00CC4187" w:rsidRPr="003D1E07">
        <w:instrText xml:space="preserve">" </w:instrText>
      </w:r>
      <w:r w:rsidR="00CC4187" w:rsidRPr="003D1E07">
        <w:fldChar w:fldCharType="end"/>
      </w:r>
      <w:r w:rsidR="00CC4187" w:rsidRPr="003D1E07">
        <w:t xml:space="preserve">). </w:t>
      </w:r>
      <w:r w:rsidR="00CC4187" w:rsidRPr="003D1E07">
        <w:rPr>
          <w:rStyle w:val="addmd"/>
        </w:rPr>
        <w:t xml:space="preserve">Kvantitativní jednoduchost hmotné či nehmotné substance-tělesa je </w:t>
      </w:r>
      <w:r w:rsidR="00CC4187" w:rsidRPr="003D1E07">
        <w:t>definována „objemovou“ či „obalující“ činností nějaké určující formy (ὄγκος τις,</w:t>
      </w:r>
      <w:r w:rsidR="00CC4187" w:rsidRPr="003D1E07">
        <w:rPr>
          <w:rStyle w:val="addmd"/>
          <w:i/>
        </w:rPr>
        <w:t xml:space="preserve"> De aeter</w:t>
      </w:r>
      <w:r w:rsidR="00CC4187" w:rsidRPr="003D1E07">
        <w:rPr>
          <w:rStyle w:val="addmd"/>
        </w:rPr>
        <w:t>.</w:t>
      </w:r>
      <w:r w:rsidR="00CC4187" w:rsidRPr="003D1E07">
        <w:t xml:space="preserve"> 424.10</w:t>
      </w:r>
      <w:r w:rsidR="00CC4187" w:rsidRPr="003D1E07">
        <w:fldChar w:fldCharType="begin"/>
      </w:r>
      <w:r w:rsidR="00CC4187" w:rsidRPr="003D1E07">
        <w:instrText xml:space="preserve"> XE "Filoponus:</w:instrText>
      </w:r>
      <w:r w:rsidR="00CC4187" w:rsidRPr="003D1E07">
        <w:rPr>
          <w:rStyle w:val="addmd"/>
          <w:i/>
        </w:rPr>
        <w:instrText>De aeter</w:instrText>
      </w:r>
      <w:r w:rsidR="00CC4187" w:rsidRPr="003D1E07">
        <w:rPr>
          <w:rStyle w:val="addmd"/>
        </w:rPr>
        <w:instrText>. 424.10</w:instrText>
      </w:r>
      <w:r w:rsidR="00CC4187" w:rsidRPr="003D1E07">
        <w:instrText xml:space="preserve">" </w:instrText>
      </w:r>
      <w:r w:rsidR="00CC4187" w:rsidRPr="003D1E07">
        <w:fldChar w:fldCharType="end"/>
      </w:r>
      <w:r w:rsidR="00CC4187" w:rsidRPr="003D1E07">
        <w:t xml:space="preserve">). </w:t>
      </w:r>
      <w:r w:rsidRPr="003D1E07">
        <w:rPr>
          <w:rStyle w:val="addmd"/>
        </w:rPr>
        <w:t>Filoponův v</w:t>
      </w:r>
      <w:r w:rsidRPr="003D1E07">
        <w:t>ýměr se týká substance-</w:t>
      </w:r>
      <w:r w:rsidR="00F214C5" w:rsidRPr="003D1E07">
        <w:t>species</w:t>
      </w:r>
      <w:r w:rsidRPr="003D1E07">
        <w:t xml:space="preserve">, k níž přidává další formální určení determinující těleso z hlediska proto-kvantity dané ve třech dimenzích. Tato trojí proto-kvantita (τριχῇ διαστατὸς) se následně vztahuje na numericky počitatelnou kvantitu těles danou smyslově jako „velké“ a „malé“ (μεγέθει τε καὶ σμικρότητι, </w:t>
      </w:r>
      <w:r w:rsidRPr="003D1E07">
        <w:rPr>
          <w:rStyle w:val="addmd"/>
          <w:i/>
        </w:rPr>
        <w:t>De aeter</w:t>
      </w:r>
      <w:r w:rsidRPr="003D1E07">
        <w:rPr>
          <w:rStyle w:val="addmd"/>
        </w:rPr>
        <w:t>.</w:t>
      </w:r>
      <w:r w:rsidRPr="003D1E07">
        <w:t xml:space="preserve"> 424.10–11</w:t>
      </w:r>
      <w:r w:rsidRPr="003D1E07">
        <w:fldChar w:fldCharType="begin"/>
      </w:r>
      <w:r w:rsidRPr="003D1E07">
        <w:instrText xml:space="preserve"> XE "Filoponus:</w:instrText>
      </w:r>
      <w:r w:rsidRPr="003D1E07">
        <w:rPr>
          <w:rStyle w:val="addmd"/>
          <w:i/>
        </w:rPr>
        <w:instrText>De aeter</w:instrText>
      </w:r>
      <w:r w:rsidRPr="003D1E07">
        <w:rPr>
          <w:rStyle w:val="addmd"/>
        </w:rPr>
        <w:instrText>. 424.10–11</w:instrText>
      </w:r>
      <w:r w:rsidRPr="003D1E07">
        <w:instrText xml:space="preserve">" </w:instrText>
      </w:r>
      <w:r w:rsidRPr="003D1E07">
        <w:fldChar w:fldCharType="end"/>
      </w:r>
      <w:r w:rsidRPr="003D1E07">
        <w:t xml:space="preserve">). </w:t>
      </w:r>
      <w:r w:rsidR="08D97F72" w:rsidRPr="003D1E07">
        <w:t xml:space="preserve">Simplikiovu a Filoponovu proměnu materie na </w:t>
      </w:r>
      <w:r w:rsidR="08D97F72" w:rsidRPr="003D1E07">
        <w:rPr>
          <w:i/>
        </w:rPr>
        <w:t>tertium ens</w:t>
      </w:r>
      <w:r w:rsidR="08D97F72" w:rsidRPr="003D1E07">
        <w:rPr>
          <w:i/>
        </w:rPr>
        <w:fldChar w:fldCharType="begin"/>
      </w:r>
      <w:r w:rsidR="08D97F72" w:rsidRPr="003D1E07">
        <w:instrText xml:space="preserve"> XE "</w:instrText>
      </w:r>
      <w:r w:rsidR="08D97F72" w:rsidRPr="003D1E07">
        <w:rPr>
          <w:rStyle w:val="Zvraznn"/>
        </w:rPr>
        <w:instrText>tertium ens</w:instrText>
      </w:r>
      <w:r w:rsidR="08D97F72" w:rsidRPr="003D1E07">
        <w:rPr>
          <w:rStyle w:val="Zvraznn"/>
          <w:i w:val="0"/>
        </w:rPr>
        <w:instrText>:těleso</w:instrText>
      </w:r>
      <w:r w:rsidR="08D97F72" w:rsidRPr="003D1E07">
        <w:instrText xml:space="preserve">" </w:instrText>
      </w:r>
      <w:r w:rsidR="08D97F72" w:rsidRPr="003D1E07">
        <w:rPr>
          <w:i/>
        </w:rPr>
        <w:fldChar w:fldCharType="end"/>
      </w:r>
      <w:r w:rsidR="08D97F72" w:rsidRPr="003D1E07">
        <w:t xml:space="preserve"> možná inspirovalo Aristotelovo dílo </w:t>
      </w:r>
      <w:r w:rsidR="08D97F72" w:rsidRPr="003D1E07">
        <w:rPr>
          <w:i/>
        </w:rPr>
        <w:t xml:space="preserve">De </w:t>
      </w:r>
      <w:r w:rsidR="08D97F72" w:rsidRPr="003D1E07">
        <w:rPr>
          <w:i/>
        </w:rPr>
        <w:lastRenderedPageBreak/>
        <w:t>generatione et corruptione</w:t>
      </w:r>
      <w:r w:rsidR="08D97F72" w:rsidRPr="003D1E07">
        <w:t>, které zmiňuje společný materiální základ protikladných entit.</w:t>
      </w:r>
      <w:r w:rsidR="08D97F72" w:rsidRPr="003D1E07">
        <w:rPr>
          <w:rStyle w:val="Znakapoznpodarou"/>
        </w:rPr>
        <w:footnoteReference w:id="69"/>
      </w:r>
      <w:r w:rsidR="08D97F72" w:rsidRPr="003D1E07">
        <w:t xml:space="preserve"> </w:t>
      </w:r>
      <w:r w:rsidR="08830DE8" w:rsidRPr="003D1E07">
        <w:t xml:space="preserve">Citát definuje materii jako hypotetický substrát daný logickým vyloučením třetího (τὸ αὐτό...οὐ τὸ αὐτό). </w:t>
      </w:r>
      <w:r w:rsidR="08D97F72" w:rsidRPr="003D1E07">
        <w:t xml:space="preserve">Pasáž končí spekulativní poznámkou o možném společném základě obou substancí (ὂν ὑπόκειται τὸ αὐτό), který ale není dán v jejich aktuální existenci. Použití logické formy úsudku pro </w:t>
      </w:r>
      <w:r w:rsidR="08D97F72" w:rsidRPr="003D1E07">
        <w:rPr>
          <w:i/>
        </w:rPr>
        <w:t>materia prima</w:t>
      </w:r>
      <w:r w:rsidR="08D97F72" w:rsidRPr="003D1E07">
        <w:t xml:space="preserve"> je z hlediska aristotelské metafyziky naprosto v pořádku, protože primární materie je čistý univerzální koncept daný pouze v mysli. Formální logická operace identity odlišná pouze od nicoty vytvoří ve Filoponově a Simplikiově systému nový substrát (</w:t>
      </w:r>
      <w:r w:rsidR="08D97F72" w:rsidRPr="003D1E07">
        <w:rPr>
          <w:rStyle w:val="st"/>
        </w:rPr>
        <w:t>ὑποκείμενον</w:t>
      </w:r>
      <w:r w:rsidR="08D97F72" w:rsidRPr="003D1E07">
        <w:rPr>
          <w:i/>
        </w:rPr>
        <w:t>, subiectum</w:t>
      </w:r>
      <w:r w:rsidR="08D97F72" w:rsidRPr="003D1E07">
        <w:rPr>
          <w:i/>
        </w:rPr>
        <w:fldChar w:fldCharType="begin"/>
      </w:r>
      <w:r w:rsidR="08D97F72" w:rsidRPr="003D1E07">
        <w:instrText xml:space="preserve"> XE "</w:instrText>
      </w:r>
      <w:r w:rsidR="08D97F72" w:rsidRPr="003D1E07">
        <w:rPr>
          <w:i/>
        </w:rPr>
        <w:instrText>subiectum:</w:instrText>
      </w:r>
      <w:r w:rsidR="08D97F72" w:rsidRPr="003D1E07">
        <w:instrText xml:space="preserve">třetího druhu" </w:instrText>
      </w:r>
      <w:r w:rsidR="08D97F72" w:rsidRPr="003D1E07">
        <w:rPr>
          <w:i/>
        </w:rPr>
        <w:fldChar w:fldCharType="end"/>
      </w:r>
      <w:r w:rsidR="08D97F72" w:rsidRPr="003D1E07">
        <w:t>)</w:t>
      </w:r>
      <w:r w:rsidR="003D47F5" w:rsidRPr="003D1E07">
        <w:t>. Nový subjekt vědy je</w:t>
      </w:r>
      <w:r w:rsidR="08D97F72" w:rsidRPr="003D1E07">
        <w:t xml:space="preserve"> pojatý v čisté identitě se sebou a tím odlišný od čehokoliv jiného. Poslední etapa vzniku objektivity ve škole latinských sofistů</w:t>
      </w:r>
      <w:r w:rsidR="008501F1" w:rsidRPr="003D1E07">
        <w:t xml:space="preserve"> (</w:t>
      </w:r>
      <w:r w:rsidR="008501F1" w:rsidRPr="003D1E07">
        <w:rPr>
          <w:i/>
        </w:rPr>
        <w:t>sophistae Latini</w:t>
      </w:r>
      <w:r w:rsidR="008501F1" w:rsidRPr="003D1E07">
        <w:t xml:space="preserve">; </w:t>
      </w:r>
      <w:r w:rsidR="008501F1" w:rsidRPr="003D1E07">
        <w:rPr>
          <w:lang w:eastAsia="en-US"/>
        </w:rPr>
        <w:t>OBJ II, ch. 2.3.1</w:t>
      </w:r>
      <w:r w:rsidR="008501F1" w:rsidRPr="003D1E07">
        <w:t>)</w:t>
      </w:r>
      <w:r w:rsidR="08D97F72" w:rsidRPr="003D1E07">
        <w:t xml:space="preserve"> stejným způsobem založí identitu objektivně existující </w:t>
      </w:r>
      <w:r w:rsidR="003D47F5" w:rsidRPr="003D1E07">
        <w:t>„</w:t>
      </w:r>
      <w:r w:rsidR="08D97F72" w:rsidRPr="003D1E07">
        <w:t>první substance</w:t>
      </w:r>
      <w:r w:rsidR="003D47F5" w:rsidRPr="003D1E07">
        <w:t>“</w:t>
      </w:r>
      <w:r w:rsidR="08D97F72" w:rsidRPr="003D1E07">
        <w:t xml:space="preserve"> jako teoretického substrátu definovaného pouze vůči nebytí. Toto určení jsoucna dostane klíčový význam v moderní objektivitě, protože vytvoří těleso pouze záporem nicoty (</w:t>
      </w:r>
      <w:r w:rsidR="08D97F72" w:rsidRPr="003D1E07">
        <w:rPr>
          <w:i/>
        </w:rPr>
        <w:t>non repugnat esse</w:t>
      </w:r>
      <w:r w:rsidR="08D97F72" w:rsidRPr="003D1E07">
        <w:rPr>
          <w:i/>
        </w:rPr>
        <w:fldChar w:fldCharType="begin"/>
      </w:r>
      <w:r w:rsidR="08D97F72" w:rsidRPr="003D1E07">
        <w:instrText xml:space="preserve"> XE "</w:instrText>
      </w:r>
      <w:r w:rsidR="08D97F72" w:rsidRPr="003D1E07">
        <w:rPr>
          <w:i/>
        </w:rPr>
        <w:instrText>non repugnat esse</w:instrText>
      </w:r>
      <w:r w:rsidR="08D97F72" w:rsidRPr="003D1E07">
        <w:instrText xml:space="preserve">" </w:instrText>
      </w:r>
      <w:r w:rsidR="08D97F72" w:rsidRPr="003D1E07">
        <w:rPr>
          <w:i/>
        </w:rPr>
        <w:fldChar w:fldCharType="end"/>
      </w:r>
      <w:r w:rsidR="08CF6FB4" w:rsidRPr="003D1E07">
        <w:t>;</w:t>
      </w:r>
      <w:r w:rsidR="08D97F72" w:rsidRPr="003D1E07">
        <w:t xml:space="preserve"> </w:t>
      </w:r>
      <w:r w:rsidR="08CB71B2" w:rsidRPr="003D1E07">
        <w:t>OBJ III, kap. 5</w:t>
      </w:r>
      <w:r w:rsidR="08D97F72" w:rsidRPr="003D1E07">
        <w:t xml:space="preserve">.1.2). První nedělitelnou substanci danou u Aristotela pouze reálně bude vytvářet v epoše nihilistické formy metafyziky pouze logická věta o vyloučeném třetím. Toto nihilistické určení tělesa vypracovávali ve stejné době jak Simplikius tak Filoponos. Filoponův komentář k citované pasáži </w:t>
      </w:r>
      <w:r w:rsidR="08D97F72" w:rsidRPr="003D1E07">
        <w:rPr>
          <w:i/>
        </w:rPr>
        <w:t>De generatione et corruptione</w:t>
      </w:r>
      <w:r w:rsidR="08D97F72" w:rsidRPr="003D1E07">
        <w:t xml:space="preserve">  absolutizoval formální určení společné ohni a zemi a z této hypotetické materie udělal substanci třetího druhu. Komentář udělal z fyzikálních akcidentů tělesa (zde je to metabolický pohyb) novou substanci třetího druhu, kterou navázal na objektivně daný substrát metabolických změn (ὑποκείμενον ὅπερ σημαίνει τὴν οὐσίαν</w:t>
      </w:r>
      <w:r w:rsidR="08D97F72" w:rsidRPr="003D1E07">
        <w:rPr>
          <w:rFonts w:ascii="Times New Roman" w:hAnsi="Times New Roman"/>
          <w:szCs w:val="24"/>
        </w:rPr>
        <w:t xml:space="preserve">, </w:t>
      </w:r>
      <w:r w:rsidR="08D97F72" w:rsidRPr="003D1E07">
        <w:rPr>
          <w:i/>
        </w:rPr>
        <w:t xml:space="preserve">Phil. in De gen. et corr. </w:t>
      </w:r>
      <w:r w:rsidR="08D97F72" w:rsidRPr="003D1E07">
        <w:t>63.11</w:t>
      </w:r>
      <w:r w:rsidR="08D97F72" w:rsidRPr="003D1E07">
        <w:fldChar w:fldCharType="begin"/>
      </w:r>
      <w:r w:rsidR="08D97F72" w:rsidRPr="003D1E07">
        <w:instrText xml:space="preserve"> XE "Filoponus:</w:instrText>
      </w:r>
      <w:r w:rsidR="08D97F72" w:rsidRPr="003D1E07">
        <w:rPr>
          <w:i/>
        </w:rPr>
        <w:instrText xml:space="preserve">Phil. in De gen. et corr. </w:instrText>
      </w:r>
      <w:r w:rsidR="08D97F72" w:rsidRPr="003D1E07">
        <w:instrText xml:space="preserve">63.11" </w:instrText>
      </w:r>
      <w:r w:rsidR="08D97F72" w:rsidRPr="003D1E07">
        <w:fldChar w:fldCharType="end"/>
      </w:r>
      <w:r w:rsidR="08D97F72" w:rsidRPr="003D1E07">
        <w:t xml:space="preserve">). Nová </w:t>
      </w:r>
      <w:r w:rsidR="08D97F72" w:rsidRPr="003D1E07">
        <w:rPr>
          <w:i/>
        </w:rPr>
        <w:t>materia prima</w:t>
      </w:r>
      <w:r w:rsidR="08D704BF" w:rsidRPr="003D1E07">
        <w:rPr>
          <w:i/>
        </w:rPr>
        <w:fldChar w:fldCharType="begin"/>
      </w:r>
      <w:r w:rsidR="08D704BF" w:rsidRPr="003D1E07">
        <w:instrText xml:space="preserve"> XE "materie</w:instrText>
      </w:r>
      <w:r w:rsidR="08D704BF" w:rsidRPr="003D1E07">
        <w:rPr>
          <w:i/>
        </w:rPr>
        <w:instrText>:materia prima</w:instrText>
      </w:r>
      <w:r w:rsidR="08D704BF" w:rsidRPr="003D1E07">
        <w:instrText xml:space="preserve">" </w:instrText>
      </w:r>
      <w:r w:rsidR="08D704BF" w:rsidRPr="003D1E07">
        <w:rPr>
          <w:i/>
        </w:rPr>
        <w:fldChar w:fldCharType="end"/>
      </w:r>
      <w:r w:rsidR="08D97F72" w:rsidRPr="003D1E07">
        <w:t xml:space="preserve"> se stala podle Filopona a Simplikia neoplatonským rodem a dostala určení substance.</w:t>
      </w:r>
      <w:r w:rsidR="081C3AB6" w:rsidRPr="003D1E07">
        <w:t xml:space="preserve"> Současný komentář k citované pasáži (</w:t>
      </w:r>
      <w:r w:rsidR="081C3AB6" w:rsidRPr="003D1E07">
        <w:rPr>
          <w:i/>
        </w:rPr>
        <w:t xml:space="preserve">Phil. in De gen. et corr. </w:t>
      </w:r>
      <w:r w:rsidR="081C3AB6" w:rsidRPr="003D1E07">
        <w:t>63.11) jasně vidí jedinečnost tohoto konceptu materie.</w:t>
      </w:r>
      <w:r w:rsidR="08D97F72" w:rsidRPr="003D1E07">
        <w:rPr>
          <w:rStyle w:val="Znakapoznpodarou"/>
        </w:rPr>
        <w:footnoteReference w:id="70"/>
      </w:r>
      <w:r w:rsidR="08D97F72" w:rsidRPr="003D1E07">
        <w:t xml:space="preserve"> Myšlenku zduchovnělé a substanciální materie najdeme v nové formě na latinském Záp</w:t>
      </w:r>
      <w:r w:rsidR="08DF3383" w:rsidRPr="003D1E07">
        <w:t xml:space="preserve">adě </w:t>
      </w:r>
      <w:r w:rsidR="08D97F72" w:rsidRPr="003D1E07">
        <w:t xml:space="preserve">skrze </w:t>
      </w:r>
      <w:r w:rsidR="08DF3383" w:rsidRPr="003D1E07">
        <w:t xml:space="preserve">univerzální hylemorfismus v Avicebronově </w:t>
      </w:r>
      <w:r w:rsidR="08D97F72" w:rsidRPr="003D1E07">
        <w:fldChar w:fldCharType="begin"/>
      </w:r>
      <w:r w:rsidR="08D97F72" w:rsidRPr="003D1E07">
        <w:instrText xml:space="preserve"> XE "Avicebron" </w:instrText>
      </w:r>
      <w:r w:rsidR="08D97F72" w:rsidRPr="003D1E07">
        <w:fldChar w:fldCharType="end"/>
      </w:r>
      <w:r w:rsidR="08DF3383" w:rsidRPr="003D1E07">
        <w:t>díle</w:t>
      </w:r>
      <w:r w:rsidR="08D97F72" w:rsidRPr="003D1E07">
        <w:t xml:space="preserve"> </w:t>
      </w:r>
      <w:r w:rsidR="08D97F72" w:rsidRPr="003D1E07">
        <w:rPr>
          <w:i/>
        </w:rPr>
        <w:t>Fons vitae</w:t>
      </w:r>
      <w:r w:rsidR="08D97F72" w:rsidRPr="003D1E07">
        <w:t xml:space="preserve"> (</w:t>
      </w:r>
      <w:r w:rsidR="081E41BA" w:rsidRPr="003D1E07">
        <w:t>OBJ II, kap. 3</w:t>
      </w:r>
      <w:r w:rsidR="08D97F72" w:rsidRPr="003D1E07">
        <w:t xml:space="preserve">.2). Neoplatonská materie bude tvořit základní součást </w:t>
      </w:r>
      <w:r w:rsidR="08F61EBC" w:rsidRPr="003D1E07">
        <w:t xml:space="preserve">forem </w:t>
      </w:r>
      <w:r w:rsidR="08D97F72" w:rsidRPr="003D1E07">
        <w:t>objektivního určení jsoucna v rámci druhého averroismu.</w:t>
      </w:r>
      <w:r w:rsidR="082D6A22" w:rsidRPr="003D1E07">
        <w:t xml:space="preserve"> </w:t>
      </w:r>
      <w:r w:rsidR="08D97F72" w:rsidRPr="003D1E07">
        <w:t xml:space="preserve">Objektivní fyzika nemohla určení tělesa definovat v původní formě vázané na hyleformickou </w:t>
      </w:r>
      <w:r w:rsidR="08D97F72" w:rsidRPr="003D1E07">
        <w:lastRenderedPageBreak/>
        <w:t xml:space="preserve">substanci, protože diakosmos existuje </w:t>
      </w:r>
      <w:r w:rsidR="08377250" w:rsidRPr="003D1E07">
        <w:t>věčně</w:t>
      </w:r>
      <w:r w:rsidR="085C2B1E" w:rsidRPr="003D1E07">
        <w:t xml:space="preserve"> a proto nezávisle na proměnlivé realitě hylemorfických těles podrobených vzniku a zániku</w:t>
      </w:r>
      <w:r w:rsidR="08D97F72" w:rsidRPr="003D1E07">
        <w:t xml:space="preserve">. Materie determinující aktuální rozsažnost tělesa je u Aristotela vázaná na hylemorfickou první substanci v modelu „potence‒aktualita“. Nová substance třetího druhu se stala mixem obojího, což v aristotelské fyzice nebylo možné. Těleso buď reálně </w:t>
      </w:r>
      <w:r w:rsidR="003A1099">
        <w:t xml:space="preserve">a aktuálně </w:t>
      </w:r>
      <w:r w:rsidR="08D97F72" w:rsidRPr="003D1E07">
        <w:t>existuje nebo neexistuje</w:t>
      </w:r>
      <w:r w:rsidR="003A1099">
        <w:t xml:space="preserve">; </w:t>
      </w:r>
      <w:r w:rsidR="08D97F72" w:rsidRPr="003D1E07">
        <w:t>všechna univerzální určení jsou dána jen v mysli poznávajícího</w:t>
      </w:r>
      <w:r w:rsidR="003A1099">
        <w:t xml:space="preserve"> a jsou to čisté potence</w:t>
      </w:r>
      <w:r w:rsidR="08D97F72" w:rsidRPr="003D1E07">
        <w:t xml:space="preserve">. </w:t>
      </w:r>
      <w:r w:rsidR="08B57BF8" w:rsidRPr="003D1E07">
        <w:t>Nová atomární a objektivní první substance na sebe postupně přebrala základní a</w:t>
      </w:r>
      <w:r w:rsidR="08FC70A6" w:rsidRPr="003D1E07">
        <w:t xml:space="preserve">ristotelská určení daná ve </w:t>
      </w:r>
      <w:r w:rsidR="08FC70A6" w:rsidRPr="003D1E07">
        <w:rPr>
          <w:i/>
        </w:rPr>
        <w:t>Fyzice</w:t>
      </w:r>
      <w:r w:rsidR="08FC70A6" w:rsidRPr="003D1E07">
        <w:t>. J</w:t>
      </w:r>
      <w:r w:rsidR="08D97F72" w:rsidRPr="003D1E07">
        <w:t xml:space="preserve">ejí případky tvoří objektivní varianty tělesa, materie, času a rozsažnosti určené matematicky. Nové postavení matematiky, které zavedl Simplikiův komentář k </w:t>
      </w:r>
      <w:r w:rsidR="08D97F72" w:rsidRPr="003D1E07">
        <w:rPr>
          <w:i/>
        </w:rPr>
        <w:t>Fyzice</w:t>
      </w:r>
      <w:r w:rsidR="08D97F72" w:rsidRPr="003D1E07">
        <w:t>, umožnilo analogickou predikaci čisté rozsažnosti ve světě nemateriálních těles. Matematika</w:t>
      </w:r>
      <w:r w:rsidR="08D97F72" w:rsidRPr="003D1E07">
        <w:rPr>
          <w:rStyle w:val="addmd"/>
        </w:rPr>
        <w:fldChar w:fldCharType="begin"/>
      </w:r>
      <w:r w:rsidR="08D97F72" w:rsidRPr="003D1E07">
        <w:instrText xml:space="preserve"> XE "analogie:matematická" </w:instrText>
      </w:r>
      <w:r w:rsidR="08D97F72" w:rsidRPr="003D1E07">
        <w:rPr>
          <w:rStyle w:val="addmd"/>
        </w:rPr>
        <w:fldChar w:fldCharType="end"/>
      </w:r>
      <w:r w:rsidR="08D97F72" w:rsidRPr="003D1E07">
        <w:t xml:space="preserve"> definuje v rámci pythagorejsko-platonské formalizace nemateriální jsoucno dané demiurgickou tvorbou v diakosmu (τὸ μαθηματικόν, τὸ δὲ ἔνυλον μετὰ ποιοτήτων καὶ ἀντιτυπιῶν φυσικῶν, </w:t>
      </w:r>
      <w:r w:rsidR="08D97F72" w:rsidRPr="003D1E07">
        <w:rPr>
          <w:i/>
        </w:rPr>
        <w:t>Simpl. in Phys</w:t>
      </w:r>
      <w:r w:rsidR="08D97F72" w:rsidRPr="003D1E07">
        <w:t>. 623.16</w:t>
      </w:r>
      <w:r w:rsidR="08D97F72" w:rsidRPr="003D1E07">
        <w:rPr>
          <w:rStyle w:val="addmd"/>
        </w:rPr>
        <w:fldChar w:fldCharType="begin"/>
      </w:r>
      <w:r w:rsidR="08D97F72" w:rsidRPr="003D1E07">
        <w:instrText xml:space="preserve"> XE "Simplikius:</w:instrText>
      </w:r>
      <w:r w:rsidR="08D97F72" w:rsidRPr="003D1E07">
        <w:rPr>
          <w:i/>
        </w:rPr>
        <w:instrText>Simpl. in Phys</w:instrText>
      </w:r>
      <w:r w:rsidR="08D97F72" w:rsidRPr="003D1E07">
        <w:instrText xml:space="preserve">. 623.16" </w:instrText>
      </w:r>
      <w:r w:rsidR="08D97F72" w:rsidRPr="003D1E07">
        <w:rPr>
          <w:rStyle w:val="addmd"/>
        </w:rPr>
        <w:fldChar w:fldCharType="end"/>
      </w:r>
      <w:r w:rsidR="08D97F72" w:rsidRPr="003D1E07">
        <w:t>). Toto jsoucno třetího druhu určené matematicky je v nižším kosmu dané jako materiální těleso (οἷον τὸ σῶμά ἐστι; ibid, v. 17</w:t>
      </w:r>
      <w:r w:rsidR="08D97F72" w:rsidRPr="003D1E07">
        <w:rPr>
          <w:rStyle w:val="addmd"/>
        </w:rPr>
        <w:fldChar w:fldCharType="begin"/>
      </w:r>
      <w:r w:rsidR="08D97F72" w:rsidRPr="003D1E07">
        <w:instrText xml:space="preserve"> XE "Simplikius:</w:instrText>
      </w:r>
      <w:r w:rsidR="08D97F72" w:rsidRPr="003D1E07">
        <w:rPr>
          <w:i/>
        </w:rPr>
        <w:instrText>Simpl. in Phys</w:instrText>
      </w:r>
      <w:r w:rsidR="08D97F72" w:rsidRPr="003D1E07">
        <w:instrText xml:space="preserve">. 623.17" </w:instrText>
      </w:r>
      <w:r w:rsidR="08D97F72" w:rsidRPr="003D1E07">
        <w:rPr>
          <w:rStyle w:val="addmd"/>
        </w:rPr>
        <w:fldChar w:fldCharType="end"/>
      </w:r>
      <w:r w:rsidR="08D97F72" w:rsidRPr="003D1E07">
        <w:t xml:space="preserve">). Nová pseudo-materie a koncept </w:t>
      </w:r>
      <w:r w:rsidR="08D97F72" w:rsidRPr="003D1E07">
        <w:rPr>
          <w:i/>
        </w:rPr>
        <w:t>materia prima</w:t>
      </w:r>
      <w:r w:rsidR="08D704BF" w:rsidRPr="003D1E07">
        <w:rPr>
          <w:i/>
        </w:rPr>
        <w:fldChar w:fldCharType="begin"/>
      </w:r>
      <w:r w:rsidR="08D704BF" w:rsidRPr="003D1E07">
        <w:instrText xml:space="preserve"> XE "materie</w:instrText>
      </w:r>
      <w:r w:rsidR="08D704BF" w:rsidRPr="003D1E07">
        <w:rPr>
          <w:i/>
        </w:rPr>
        <w:instrText>:materia prima</w:instrText>
      </w:r>
      <w:r w:rsidR="08D704BF" w:rsidRPr="003D1E07">
        <w:instrText xml:space="preserve">" </w:instrText>
      </w:r>
      <w:r w:rsidR="08D704BF" w:rsidRPr="003D1E07">
        <w:rPr>
          <w:i/>
        </w:rPr>
        <w:fldChar w:fldCharType="end"/>
      </w:r>
      <w:r w:rsidR="08D97F72" w:rsidRPr="003D1E07">
        <w:t xml:space="preserve"> rozšiřují demiurgická určení substance popsaná v předchozí kapitole.</w:t>
      </w:r>
      <w:r w:rsidR="088A0EB5" w:rsidRPr="003D1E07">
        <w:t xml:space="preserve"> </w:t>
      </w:r>
      <w:r w:rsidR="08096065" w:rsidRPr="003D1E07">
        <w:t>Forma</w:t>
      </w:r>
      <w:r w:rsidR="087657AD" w:rsidRPr="003D1E07">
        <w:t>, těleso a rozsažnost</w:t>
      </w:r>
      <w:r w:rsidR="08096065" w:rsidRPr="003D1E07">
        <w:t xml:space="preserve"> </w:t>
      </w:r>
      <w:r w:rsidR="087657AD" w:rsidRPr="003D1E07">
        <w:t>oddělené od reálného tělesa jako první substance byly umístěny do neoplatonského diakosmu a zde dostaly účinnou kauzalitu podle matematických a eidetických forem. Fyzikální pohádky neoplaton</w:t>
      </w:r>
      <w:r w:rsidR="08BD2F97" w:rsidRPr="003D1E07">
        <w:t>ských iluminátů</w:t>
      </w:r>
      <w:r w:rsidR="082A57C8" w:rsidRPr="003D1E07">
        <w:t xml:space="preserve">, kteří metafyzicky a mysticky převyprávěli dialog </w:t>
      </w:r>
      <w:r w:rsidR="082A57C8" w:rsidRPr="003D1E07">
        <w:rPr>
          <w:i/>
        </w:rPr>
        <w:t>Timaios</w:t>
      </w:r>
      <w:r w:rsidR="080E268C" w:rsidRPr="003D1E07">
        <w:t xml:space="preserve">, </w:t>
      </w:r>
      <w:r w:rsidR="087657AD" w:rsidRPr="003D1E07">
        <w:t xml:space="preserve">přestaly být pouhé </w:t>
      </w:r>
      <w:r w:rsidR="08096065" w:rsidRPr="003D1E07">
        <w:t>potenciální koncepty dané v mysli</w:t>
      </w:r>
      <w:r w:rsidR="00E73B39" w:rsidRPr="003D1E07">
        <w:t>. Prostřednictvím objektivní theurgie božských iluminátů byla nastolena možnost objektivní kauzality</w:t>
      </w:r>
      <w:r w:rsidR="00A04D32">
        <w:t xml:space="preserve">. Věda podle </w:t>
      </w:r>
      <w:r w:rsidR="00E73B39" w:rsidRPr="003D1E07">
        <w:rPr>
          <w:i/>
        </w:rPr>
        <w:t>Druhých analytik</w:t>
      </w:r>
      <w:r w:rsidR="00E73B39" w:rsidRPr="003D1E07">
        <w:t xml:space="preserve"> p</w:t>
      </w:r>
      <w:r w:rsidR="00A04D32">
        <w:t xml:space="preserve">ostuluje </w:t>
      </w:r>
      <w:r w:rsidR="00E73B39" w:rsidRPr="003D1E07">
        <w:t>ve střední části (</w:t>
      </w:r>
      <w:r w:rsidR="00E73B39" w:rsidRPr="003D1E07">
        <w:rPr>
          <w:i/>
        </w:rPr>
        <w:t>medium</w:t>
      </w:r>
      <w:r w:rsidR="00E73B39" w:rsidRPr="003D1E07">
        <w:t xml:space="preserve">) deduktivního vědeckého </w:t>
      </w:r>
      <w:r w:rsidR="000A4DBA">
        <w:t xml:space="preserve">sylogismu </w:t>
      </w:r>
      <w:r w:rsidR="00E73B39" w:rsidRPr="003D1E07">
        <w:t>pouze účinnou kauzalitu</w:t>
      </w:r>
      <w:r w:rsidR="00FD5398">
        <w:t xml:space="preserve"> reálných substancí</w:t>
      </w:r>
      <w:r w:rsidR="00E73B39" w:rsidRPr="003D1E07">
        <w:t xml:space="preserve">. </w:t>
      </w:r>
      <w:r w:rsidR="007B56F5">
        <w:t>Nové</w:t>
      </w:r>
      <w:r w:rsidR="080E268C" w:rsidRPr="003D1E07">
        <w:t xml:space="preserve"> určení tělesa </w:t>
      </w:r>
      <w:r w:rsidR="08427280" w:rsidRPr="003D1E07">
        <w:t xml:space="preserve">vzniklá v Jamblichově diakosmu a skrze </w:t>
      </w:r>
      <w:r w:rsidR="08CA1C56" w:rsidRPr="003D1E07">
        <w:t xml:space="preserve">objektivní </w:t>
      </w:r>
      <w:r w:rsidR="08427280" w:rsidRPr="003D1E07">
        <w:t xml:space="preserve">theurgii těchto božských iluminátů </w:t>
      </w:r>
      <w:r w:rsidR="080E268C" w:rsidRPr="003D1E07">
        <w:t xml:space="preserve">založila možnost </w:t>
      </w:r>
      <w:r w:rsidR="08096065" w:rsidRPr="003D1E07">
        <w:t xml:space="preserve">účinné kauzality </w:t>
      </w:r>
      <w:r w:rsidR="080E268C" w:rsidRPr="003D1E07">
        <w:t xml:space="preserve">predikované </w:t>
      </w:r>
      <w:r w:rsidR="08096065" w:rsidRPr="003D1E07">
        <w:t>ve středním členu vědeckého soudu (</w:t>
      </w:r>
      <w:r w:rsidR="08096065" w:rsidRPr="003D1E07">
        <w:rPr>
          <w:i/>
        </w:rPr>
        <w:t>medium</w:t>
      </w:r>
      <w:r w:rsidR="08096065" w:rsidRPr="003D1E07">
        <w:t xml:space="preserve">) podle </w:t>
      </w:r>
      <w:r w:rsidR="08096065" w:rsidRPr="003D1E07">
        <w:rPr>
          <w:i/>
        </w:rPr>
        <w:t>Druhých analytik</w:t>
      </w:r>
      <w:r w:rsidR="08096065" w:rsidRPr="003D1E07">
        <w:t xml:space="preserve">. </w:t>
      </w:r>
      <w:r w:rsidR="08372BE7" w:rsidRPr="003D1E07">
        <w:t xml:space="preserve">Aristoteles by se jistě podivil svéráznému výkladu </w:t>
      </w:r>
      <w:r w:rsidR="08372BE7" w:rsidRPr="003D1E07">
        <w:rPr>
          <w:i/>
        </w:rPr>
        <w:t>Fyziky</w:t>
      </w:r>
      <w:r w:rsidR="08372BE7" w:rsidRPr="003D1E07">
        <w:t xml:space="preserve"> podané na Platonův alegorický způsob. Z filosofické bajky o pilném kosmickém řemeslníku Timaiovi se stal objektivní koncept fyziky dané čistě teoreticky, tedy skrze osvícený náhled neoplatonského ilumináta. Transformace náhledu na jsoucno provedená gnostickým a demiurgickým subjektem</w:t>
      </w:r>
      <w:r w:rsidR="08372BE7" w:rsidRPr="003D1E07">
        <w:rPr>
          <w:rStyle w:val="addmd"/>
        </w:rPr>
        <w:fldChar w:fldCharType="begin"/>
      </w:r>
      <w:r w:rsidR="08372BE7" w:rsidRPr="003D1E07">
        <w:instrText xml:space="preserve"> XE "demiurg" </w:instrText>
      </w:r>
      <w:r w:rsidR="08372BE7" w:rsidRPr="003D1E07">
        <w:rPr>
          <w:rStyle w:val="addmd"/>
        </w:rPr>
        <w:fldChar w:fldCharType="end"/>
      </w:r>
      <w:r w:rsidR="08372BE7" w:rsidRPr="003D1E07">
        <w:t xml:space="preserve"> založila novou podobu onto</w:t>
      </w:r>
      <w:r w:rsidR="009F6DFE">
        <w:t>t</w:t>
      </w:r>
      <w:r w:rsidR="001A1669">
        <w:t>eo</w:t>
      </w:r>
      <w:r w:rsidR="08372BE7" w:rsidRPr="003D1E07">
        <w:t xml:space="preserve">logie, která do sebe integrovala základní Aristotelovy spisy věnované určení substance a tělesa. </w:t>
      </w:r>
      <w:r w:rsidR="086A03A0" w:rsidRPr="003D1E07">
        <w:t>F</w:t>
      </w:r>
      <w:r w:rsidRPr="003D1E07">
        <w:t>yzikální určení tělesa existují podle Aristotela pouze v modu nedělitelné jednotliviny (τόδε τι</w:t>
      </w:r>
      <w:r w:rsidRPr="003D1E07">
        <w:fldChar w:fldCharType="begin"/>
      </w:r>
      <w:r w:rsidRPr="003D1E07">
        <w:instrText xml:space="preserve"> XE "substance:τόδε τι" </w:instrText>
      </w:r>
      <w:r w:rsidRPr="003D1E07">
        <w:fldChar w:fldCharType="end"/>
      </w:r>
      <w:r w:rsidRPr="003D1E07">
        <w:t xml:space="preserve">), která primárně existuje </w:t>
      </w:r>
      <w:r w:rsidRPr="003D1E07">
        <w:lastRenderedPageBreak/>
        <w:t xml:space="preserve">mimo signifikaci. </w:t>
      </w:r>
      <w:r w:rsidR="00F61913" w:rsidRPr="003D1E07">
        <w:t xml:space="preserve">Hyparchická funkce první substance omezuje kategoriální predikace na deset způsobů, které nemohou být analogické, protože o druhé substanci vypovídají v modu univocity </w:t>
      </w:r>
      <w:r w:rsidR="082F5DE7" w:rsidRPr="003D1E07">
        <w:t xml:space="preserve">dané </w:t>
      </w:r>
      <w:r w:rsidR="00F61913" w:rsidRPr="003D1E07">
        <w:t xml:space="preserve">primárně </w:t>
      </w:r>
      <w:r w:rsidR="08154B3D" w:rsidRPr="003D1E07">
        <w:t xml:space="preserve">skrze druhou substanci </w:t>
      </w:r>
      <w:r w:rsidR="00F61913" w:rsidRPr="003D1E07">
        <w:t>a sekundárně</w:t>
      </w:r>
      <w:r w:rsidR="08154B3D" w:rsidRPr="003D1E07">
        <w:t xml:space="preserve"> skrze její akcidenty</w:t>
      </w:r>
      <w:r w:rsidR="00F61913" w:rsidRPr="003D1E07">
        <w:t xml:space="preserve">. </w:t>
      </w:r>
      <w:r w:rsidRPr="003D1E07">
        <w:t xml:space="preserve">Pro synkretiky typu Jamblicha a Simplikia platilo, že pilný </w:t>
      </w:r>
      <w:r w:rsidR="008E02F5" w:rsidRPr="003D1E07">
        <w:t>Aristoteles</w:t>
      </w:r>
      <w:r w:rsidRPr="003D1E07">
        <w:t xml:space="preserve"> sprá</w:t>
      </w:r>
      <w:r w:rsidR="08561D8F" w:rsidRPr="003D1E07">
        <w:t>vně vyložil spisy božského Pytha</w:t>
      </w:r>
      <w:r w:rsidRPr="003D1E07">
        <w:t>gory</w:t>
      </w:r>
      <w:r w:rsidRPr="003D1E07">
        <w:fldChar w:fldCharType="begin"/>
      </w:r>
      <w:r w:rsidRPr="003D1E07">
        <w:instrText xml:space="preserve"> XE "Py</w:instrText>
      </w:r>
      <w:r w:rsidR="08561D8F" w:rsidRPr="003D1E07">
        <w:instrText>thago</w:instrText>
      </w:r>
      <w:r w:rsidRPr="003D1E07">
        <w:instrText xml:space="preserve">ras" </w:instrText>
      </w:r>
      <w:r w:rsidRPr="003D1E07">
        <w:fldChar w:fldCharType="end"/>
      </w:r>
      <w:r w:rsidRPr="003D1E07">
        <w:t xml:space="preserve"> a Archytáse</w:t>
      </w:r>
      <w:r w:rsidR="08BA2F10" w:rsidRPr="003D1E07">
        <w:t xml:space="preserve"> na </w:t>
      </w:r>
      <w:r w:rsidR="08AE3B5B" w:rsidRPr="003D1E07">
        <w:t>nižší úrovni hmotných substancí</w:t>
      </w:r>
      <w:r w:rsidRPr="003D1E07">
        <w:fldChar w:fldCharType="begin"/>
      </w:r>
      <w:r w:rsidRPr="003D1E07">
        <w:instrText xml:space="preserve"> XE "Archytás" </w:instrText>
      </w:r>
      <w:r w:rsidRPr="003D1E07">
        <w:fldChar w:fldCharType="end"/>
      </w:r>
      <w:r w:rsidRPr="003D1E07">
        <w:t xml:space="preserve">. Ale iluminát musí své myšlení zaměřit výše a dále, než jen k poznání světa prvních materiálních substancí. </w:t>
      </w:r>
      <w:r w:rsidR="08583078" w:rsidRPr="003D1E07">
        <w:t>Působení skrytých Múz je zřejmé, protože v modu nepravdy došlo k zásadnímu posunu původní mystiky „božího muže</w:t>
      </w:r>
      <w:r w:rsidR="08583078" w:rsidRPr="003D1E07">
        <w:fldChar w:fldCharType="begin"/>
      </w:r>
      <w:r w:rsidR="08583078" w:rsidRPr="003D1E07">
        <w:instrText xml:space="preserve"> XE "boží muž" </w:instrText>
      </w:r>
      <w:r w:rsidR="08583078" w:rsidRPr="003D1E07">
        <w:fldChar w:fldCharType="end"/>
      </w:r>
      <w:r w:rsidR="0806082F" w:rsidRPr="003D1E07">
        <w:t xml:space="preserve">“, jak byl nazvaný Pythagoras, </w:t>
      </w:r>
      <w:r w:rsidR="08583078" w:rsidRPr="003D1E07">
        <w:t>do iluminátské filosofie</w:t>
      </w:r>
      <w:r w:rsidR="08997E52" w:rsidRPr="003D1E07">
        <w:t xml:space="preserve"> neoplatoniků</w:t>
      </w:r>
      <w:r w:rsidR="08583078" w:rsidRPr="003D1E07">
        <w:t xml:space="preserve">. </w:t>
      </w:r>
      <w:r w:rsidR="08997E52" w:rsidRPr="003D1E07">
        <w:t xml:space="preserve">První moderní </w:t>
      </w:r>
      <w:r w:rsidR="08C10B46" w:rsidRPr="003D1E07">
        <w:t>akademik</w:t>
      </w:r>
      <w:r w:rsidR="08997E52" w:rsidRPr="003D1E07">
        <w:t>ové</w:t>
      </w:r>
      <w:r w:rsidR="08C10B46" w:rsidRPr="003D1E07">
        <w:t xml:space="preserve"> </w:t>
      </w:r>
      <w:r w:rsidR="08997E52" w:rsidRPr="003D1E07">
        <w:t xml:space="preserve">si přivlastnili na způsob věštců a šamanů </w:t>
      </w:r>
      <w:r w:rsidR="08C10B46" w:rsidRPr="003D1E07">
        <w:t xml:space="preserve">pravdu </w:t>
      </w:r>
      <w:r w:rsidR="08583078" w:rsidRPr="003D1E07">
        <w:t>božského světa a začal</w:t>
      </w:r>
      <w:r w:rsidR="08997E52" w:rsidRPr="003D1E07">
        <w:t>i</w:t>
      </w:r>
      <w:r w:rsidR="08583078" w:rsidRPr="003D1E07">
        <w:t xml:space="preserve"> ji spravovat vlastním osvíceným rozumem. Z tohoto pokroku falše v nově založené božské komedii</w:t>
      </w:r>
      <w:r w:rsidR="08583078" w:rsidRPr="003D1E07">
        <w:fldChar w:fldCharType="begin"/>
      </w:r>
      <w:r w:rsidR="08583078" w:rsidRPr="003D1E07">
        <w:instrText xml:space="preserve"> XE "božská komedie" </w:instrText>
      </w:r>
      <w:r w:rsidR="08583078" w:rsidRPr="003D1E07">
        <w:fldChar w:fldCharType="end"/>
      </w:r>
      <w:r w:rsidR="08583078" w:rsidRPr="003D1E07">
        <w:t xml:space="preserve"> zvané „objektivita“ se </w:t>
      </w:r>
      <w:r w:rsidR="08F403AA" w:rsidRPr="003D1E07">
        <w:t xml:space="preserve">akademicky a gnosticky pilné Fúrie </w:t>
      </w:r>
      <w:r w:rsidR="08583078" w:rsidRPr="003D1E07">
        <w:t>jistě za</w:t>
      </w:r>
      <w:r w:rsidR="08BE7D19" w:rsidRPr="003D1E07">
        <w:t>radovaly.</w:t>
      </w:r>
    </w:p>
    <w:p w14:paraId="4F468967" w14:textId="77777777" w:rsidR="00396AD0" w:rsidRDefault="08BE7D19" w:rsidP="007F7D4E">
      <w:r w:rsidRPr="003D1E07">
        <w:tab/>
      </w:r>
      <w:r w:rsidR="088F26BA" w:rsidRPr="003D1E07">
        <w:t>Archaická hermeneutika ukazuje v epoše po Parmenidovi a po vzniku metafyziky u Platona skrytý múzický způsob, jak metafyzika pod vlivem Múz začala říkat tragickou nepravdu (ψεύδεα πολλὰ λέγειν</w:t>
      </w:r>
      <w:r w:rsidR="00760127">
        <w:t>, k</w:t>
      </w:r>
      <w:r w:rsidR="088F26BA" w:rsidRPr="003D1E07">
        <w:t>ap. 1)</w:t>
      </w:r>
      <w:r w:rsidR="00BC378F">
        <w:t xml:space="preserve">, </w:t>
      </w:r>
      <w:r w:rsidR="088F26BA" w:rsidRPr="003D1E07">
        <w:t>a to v ontologickém modu epochálního pochybení (</w:t>
      </w:r>
      <w:r w:rsidR="088F26BA" w:rsidRPr="003D1E07">
        <w:rPr>
          <w:i/>
        </w:rPr>
        <w:t>Irrtum</w:t>
      </w:r>
      <w:r w:rsidR="088F26BA" w:rsidRPr="003D1E07">
        <w:rPr>
          <w:i/>
        </w:rPr>
        <w:fldChar w:fldCharType="begin"/>
      </w:r>
      <w:r w:rsidR="088F26BA" w:rsidRPr="003D1E07">
        <w:instrText xml:space="preserve"> XE "</w:instrText>
      </w:r>
      <w:r w:rsidR="088F26BA" w:rsidRPr="003D1E07">
        <w:rPr>
          <w:i/>
        </w:rPr>
        <w:instrText>Irrtum</w:instrText>
      </w:r>
      <w:r w:rsidR="088F26BA" w:rsidRPr="003D1E07">
        <w:instrText xml:space="preserve">" </w:instrText>
      </w:r>
      <w:r w:rsidR="088F26BA" w:rsidRPr="003D1E07">
        <w:rPr>
          <w:i/>
        </w:rPr>
        <w:fldChar w:fldCharType="end"/>
      </w:r>
      <w:r w:rsidR="088F26BA" w:rsidRPr="003D1E07">
        <w:t xml:space="preserve">). Neoplatonský výklad </w:t>
      </w:r>
      <w:r w:rsidR="088F26BA" w:rsidRPr="003D1E07">
        <w:rPr>
          <w:i/>
        </w:rPr>
        <w:t>Isagoge</w:t>
      </w:r>
      <w:r w:rsidR="088F26BA" w:rsidRPr="003D1E07">
        <w:t xml:space="preserve"> otevřel cestu epochálního bloudění západního myšlení (</w:t>
      </w:r>
      <w:r w:rsidR="088F26BA" w:rsidRPr="003D1E07">
        <w:rPr>
          <w:i/>
        </w:rPr>
        <w:t>Irre</w:t>
      </w:r>
      <w:r w:rsidR="088F26BA" w:rsidRPr="003D1E07">
        <w:rPr>
          <w:i/>
        </w:rPr>
        <w:fldChar w:fldCharType="begin"/>
      </w:r>
      <w:r w:rsidR="088F26BA" w:rsidRPr="003D1E07">
        <w:instrText xml:space="preserve"> XE "</w:instrText>
      </w:r>
      <w:r w:rsidR="088F26BA" w:rsidRPr="003D1E07">
        <w:rPr>
          <w:i/>
        </w:rPr>
        <w:instrText>Irre</w:instrText>
      </w:r>
      <w:r w:rsidR="088F26BA" w:rsidRPr="003D1E07">
        <w:instrText xml:space="preserve">" </w:instrText>
      </w:r>
      <w:r w:rsidR="088F26BA" w:rsidRPr="003D1E07">
        <w:rPr>
          <w:i/>
        </w:rPr>
        <w:fldChar w:fldCharType="end"/>
      </w:r>
      <w:r w:rsidR="088F26BA" w:rsidRPr="003D1E07">
        <w:t>). Božské Múzy svou skrytou iniciativou danou v modu archaického počátku (</w:t>
      </w:r>
      <w:r w:rsidR="088F26BA" w:rsidRPr="003D1E07">
        <w:rPr>
          <w:i/>
        </w:rPr>
        <w:t>Anfang</w:t>
      </w:r>
      <w:r w:rsidR="088F26BA" w:rsidRPr="003D1E07">
        <w:rPr>
          <w:i/>
        </w:rPr>
        <w:fldChar w:fldCharType="begin"/>
      </w:r>
      <w:r w:rsidR="088F26BA" w:rsidRPr="003D1E07">
        <w:rPr>
          <w:i/>
        </w:rPr>
        <w:instrText xml:space="preserve"> XE "Anfang" </w:instrText>
      </w:r>
      <w:r w:rsidR="088F26BA" w:rsidRPr="003D1E07">
        <w:rPr>
          <w:i/>
        </w:rPr>
        <w:fldChar w:fldCharType="end"/>
      </w:r>
      <w:r w:rsidR="088F26BA" w:rsidRPr="003D1E07">
        <w:t>) vedly západní myšlení skrze mytopoetickou pohádku pro akademiky až k dějinně zjevnému počátku objektivity (</w:t>
      </w:r>
      <w:r w:rsidR="088F26BA" w:rsidRPr="003D1E07">
        <w:rPr>
          <w:i/>
        </w:rPr>
        <w:t>Beginn</w:t>
      </w:r>
      <w:r w:rsidR="088F26BA" w:rsidRPr="003D1E07">
        <w:rPr>
          <w:i/>
        </w:rPr>
        <w:fldChar w:fldCharType="begin"/>
      </w:r>
      <w:r w:rsidR="088F26BA" w:rsidRPr="003D1E07">
        <w:rPr>
          <w:i/>
        </w:rPr>
        <w:instrText xml:space="preserve"> XE "Beginn" </w:instrText>
      </w:r>
      <w:r w:rsidR="088F26BA" w:rsidRPr="003D1E07">
        <w:rPr>
          <w:i/>
        </w:rPr>
        <w:fldChar w:fldCharType="end"/>
      </w:r>
      <w:r w:rsidR="088F26BA" w:rsidRPr="003D1E07">
        <w:t>)</w:t>
      </w:r>
      <w:r w:rsidR="08824329" w:rsidRPr="003D1E07">
        <w:t xml:space="preserve">. </w:t>
      </w:r>
      <w:r w:rsidR="08EB27DC" w:rsidRPr="003D1E07">
        <w:t xml:space="preserve">Archaické Múzy tragikomicky a iniciativně-autoritativně promluvily skrze dialog </w:t>
      </w:r>
      <w:r w:rsidR="08EB27DC" w:rsidRPr="003D1E07">
        <w:rPr>
          <w:i/>
        </w:rPr>
        <w:t>Timaios</w:t>
      </w:r>
      <w:r w:rsidR="08EB27DC" w:rsidRPr="003D1E07">
        <w:t xml:space="preserve"> v modu odkrytého </w:t>
      </w:r>
      <w:r w:rsidR="08EB27DC" w:rsidRPr="003D1E07">
        <w:rPr>
          <w:i/>
        </w:rPr>
        <w:t>Irrtum</w:t>
      </w:r>
      <w:r w:rsidR="08EB27DC" w:rsidRPr="003D1E07">
        <w:t xml:space="preserve">. Pravda jako archaická </w:t>
      </w:r>
      <w:r w:rsidR="08EB27DC" w:rsidRPr="003D1E07">
        <w:rPr>
          <w:i/>
        </w:rPr>
        <w:t>alétheia</w:t>
      </w:r>
      <w:r w:rsidR="08EB27DC" w:rsidRPr="003D1E07">
        <w:t xml:space="preserve"> bytí jsoucna přešla do tragické podoby po-odkrytosti dané ve skryté </w:t>
      </w:r>
      <w:r w:rsidR="00381EBA" w:rsidRPr="003D1E07">
        <w:rPr>
          <w:i/>
        </w:rPr>
        <w:t>léthe</w:t>
      </w:r>
      <w:r w:rsidR="08EB27DC" w:rsidRPr="003D1E07">
        <w:t xml:space="preserve">. </w:t>
      </w:r>
      <w:r w:rsidR="08CF5353" w:rsidRPr="003D1E07">
        <w:t>Po zapomenutosti bytí (</w:t>
      </w:r>
      <w:r w:rsidR="08CF5353" w:rsidRPr="003D1E07">
        <w:rPr>
          <w:i/>
        </w:rPr>
        <w:t>Seinsverlassenheit</w:t>
      </w:r>
      <w:r w:rsidR="08CF5353" w:rsidRPr="003D1E07">
        <w:rPr>
          <w:i/>
        </w:rPr>
        <w:fldChar w:fldCharType="begin"/>
      </w:r>
      <w:r w:rsidR="08CF5353" w:rsidRPr="003D1E07">
        <w:instrText xml:space="preserve"> XE "</w:instrText>
      </w:r>
      <w:r w:rsidR="08CF5353" w:rsidRPr="003D1E07">
        <w:rPr>
          <w:i/>
        </w:rPr>
        <w:instrText>Seinsverlassenheit</w:instrText>
      </w:r>
      <w:r w:rsidR="08CF5353" w:rsidRPr="003D1E07">
        <w:instrText xml:space="preserve">" </w:instrText>
      </w:r>
      <w:r w:rsidR="08CF5353" w:rsidRPr="003D1E07">
        <w:rPr>
          <w:i/>
        </w:rPr>
        <w:fldChar w:fldCharType="end"/>
      </w:r>
      <w:r w:rsidR="08CF5353" w:rsidRPr="003D1E07">
        <w:t>) dané Platonovým podobenstvím o jeskyni (kap. 1). nastupuje od druhé poloviny 6. století do plné dějinné působnosti epocha zapomnění jsoucna na úrovni první substance (</w:t>
      </w:r>
      <w:r w:rsidR="08CF5353" w:rsidRPr="003D1E07">
        <w:rPr>
          <w:i/>
        </w:rPr>
        <w:t>Seinsvergessenheit</w:t>
      </w:r>
      <w:r w:rsidR="08CF5353" w:rsidRPr="003D1E07">
        <w:rPr>
          <w:i/>
        </w:rPr>
        <w:fldChar w:fldCharType="begin"/>
      </w:r>
      <w:r w:rsidR="08CF5353" w:rsidRPr="003D1E07">
        <w:instrText xml:space="preserve"> XE "</w:instrText>
      </w:r>
      <w:r w:rsidR="08CF5353" w:rsidRPr="003D1E07">
        <w:rPr>
          <w:i/>
        </w:rPr>
        <w:instrText>Seinsvergessenheit</w:instrText>
      </w:r>
      <w:r w:rsidR="08CF5353" w:rsidRPr="003D1E07">
        <w:instrText xml:space="preserve">" </w:instrText>
      </w:r>
      <w:r w:rsidR="08CF5353" w:rsidRPr="003D1E07">
        <w:rPr>
          <w:i/>
        </w:rPr>
        <w:fldChar w:fldCharType="end"/>
      </w:r>
      <w:r w:rsidR="08CF5353" w:rsidRPr="003D1E07">
        <w:t xml:space="preserve">). Objektivita opustila původní </w:t>
      </w:r>
      <w:r w:rsidR="08CF5353" w:rsidRPr="003D1E07">
        <w:rPr>
          <w:i/>
        </w:rPr>
        <w:t>Lichtung</w:t>
      </w:r>
      <w:r w:rsidR="08CF5353" w:rsidRPr="003D1E07">
        <w:t xml:space="preserve"> dané Porfyriovým výkladem </w:t>
      </w:r>
      <w:r w:rsidR="08CF5353" w:rsidRPr="003D1E07">
        <w:rPr>
          <w:i/>
        </w:rPr>
        <w:t>Kategorií</w:t>
      </w:r>
      <w:r w:rsidR="08CF5353" w:rsidRPr="003D1E07">
        <w:t xml:space="preserve"> v modu </w:t>
      </w:r>
      <w:r w:rsidR="08CF5353" w:rsidRPr="003D1E07">
        <w:rPr>
          <w:i/>
        </w:rPr>
        <w:t>a/létheia</w:t>
      </w:r>
      <w:r w:rsidR="08CF5353" w:rsidRPr="003D1E07">
        <w:rPr>
          <w:i/>
        </w:rPr>
        <w:fldChar w:fldCharType="begin"/>
      </w:r>
      <w:r w:rsidR="08CF5353" w:rsidRPr="003D1E07">
        <w:instrText xml:space="preserve"> XE "</w:instrText>
      </w:r>
      <w:r w:rsidR="08CF5353" w:rsidRPr="003D1E07">
        <w:rPr>
          <w:i/>
          <w:lang w:eastAsia="en-US"/>
        </w:rPr>
        <w:instrText>a/létheia</w:instrText>
      </w:r>
      <w:r w:rsidR="08CF5353" w:rsidRPr="003D1E07">
        <w:instrText xml:space="preserve">" </w:instrText>
      </w:r>
      <w:r w:rsidR="08CF5353" w:rsidRPr="003D1E07">
        <w:rPr>
          <w:i/>
        </w:rPr>
        <w:fldChar w:fldCharType="end"/>
      </w:r>
      <w:r w:rsidR="08CF5353" w:rsidRPr="003D1E07">
        <w:t xml:space="preserve">, kde význam moderní substance </w:t>
      </w:r>
      <w:r w:rsidR="08335FCB" w:rsidRPr="003D1E07">
        <w:t xml:space="preserve">ještě </w:t>
      </w:r>
      <w:r w:rsidR="08CF5353" w:rsidRPr="003D1E07">
        <w:t xml:space="preserve">koexistoval v archaické múzické formě pravdy a nepravdy pronášené skrze výklad </w:t>
      </w:r>
      <w:r w:rsidR="08CF5353" w:rsidRPr="003D1E07">
        <w:rPr>
          <w:i/>
        </w:rPr>
        <w:t>Isagoge</w:t>
      </w:r>
      <w:r w:rsidR="08335FCB" w:rsidRPr="003D1E07">
        <w:t xml:space="preserve"> (kap. 1.</w:t>
      </w:r>
      <w:r w:rsidR="08AF6B7D" w:rsidRPr="003D1E07">
        <w:t>3</w:t>
      </w:r>
      <w:r w:rsidR="08335FCB" w:rsidRPr="003D1E07">
        <w:t>)</w:t>
      </w:r>
      <w:r w:rsidR="08767F02" w:rsidRPr="003D1E07">
        <w:rPr>
          <w:rStyle w:val="TextpoznpodarouChar"/>
        </w:rPr>
        <w:fldChar w:fldCharType="begin"/>
      </w:r>
      <w:r w:rsidR="08767F02" w:rsidRPr="003D1E07">
        <w:instrText xml:space="preserve"> XE "Boethius:</w:instrText>
      </w:r>
      <w:r w:rsidR="08767F02" w:rsidRPr="003D1E07">
        <w:rPr>
          <w:i/>
        </w:rPr>
        <w:instrText>In Porph. Isag</w:instrText>
      </w:r>
      <w:r w:rsidR="08767F02" w:rsidRPr="003D1E07">
        <w:instrText>.</w:instrText>
      </w:r>
      <w:r w:rsidR="08767F02" w:rsidRPr="003D1E07">
        <w:rPr>
          <w:rStyle w:val="TextpoznpodarouChar"/>
        </w:rPr>
        <w:instrText xml:space="preserve"> 2.16</w:instrText>
      </w:r>
      <w:r w:rsidR="08767F02" w:rsidRPr="003D1E07">
        <w:instrText xml:space="preserve">" </w:instrText>
      </w:r>
      <w:r w:rsidR="08767F02" w:rsidRPr="003D1E07">
        <w:rPr>
          <w:rStyle w:val="TextpoznpodarouChar"/>
        </w:rPr>
        <w:fldChar w:fldCharType="end"/>
      </w:r>
      <w:r w:rsidR="08CF5353" w:rsidRPr="003D1E07">
        <w:t xml:space="preserve">. </w:t>
      </w:r>
      <w:r w:rsidR="00963052" w:rsidRPr="003D1E07">
        <w:t xml:space="preserve">Vůle k moci provázející toto specifické zapomenutí </w:t>
      </w:r>
      <w:r w:rsidR="084E2C1E" w:rsidRPr="003D1E07">
        <w:t xml:space="preserve">první substance </w:t>
      </w:r>
      <w:r w:rsidR="00963052" w:rsidRPr="003D1E07">
        <w:t>se ukazuje skrze figuru mytického demiurga</w:t>
      </w:r>
      <w:r w:rsidR="08EF4415" w:rsidRPr="003D1E07">
        <w:t xml:space="preserve"> </w:t>
      </w:r>
      <w:r w:rsidR="08193900" w:rsidRPr="003D1E07">
        <w:t xml:space="preserve">Timaia </w:t>
      </w:r>
      <w:r w:rsidR="08EF4415" w:rsidRPr="003D1E07">
        <w:t xml:space="preserve">a </w:t>
      </w:r>
      <w:r w:rsidR="08193900" w:rsidRPr="003D1E07">
        <w:t xml:space="preserve">skrze výklad </w:t>
      </w:r>
      <w:r w:rsidR="08EF4415" w:rsidRPr="003D1E07">
        <w:t xml:space="preserve">neoplatonských iluminátů. Demiurg </w:t>
      </w:r>
      <w:r w:rsidR="080B49BC" w:rsidRPr="003D1E07">
        <w:t xml:space="preserve">je </w:t>
      </w:r>
      <w:r w:rsidR="087A3A74" w:rsidRPr="003D1E07">
        <w:t xml:space="preserve">nadaný </w:t>
      </w:r>
      <w:r w:rsidR="08343455" w:rsidRPr="003D1E07">
        <w:t>instrumentálním rozumem</w:t>
      </w:r>
      <w:r w:rsidR="08343455" w:rsidRPr="003D1E07">
        <w:fldChar w:fldCharType="begin"/>
      </w:r>
      <w:r w:rsidR="08343455" w:rsidRPr="003D1E07">
        <w:instrText xml:space="preserve"> XE "instrumentální rozum" </w:instrText>
      </w:r>
      <w:r w:rsidR="08343455" w:rsidRPr="003D1E07">
        <w:fldChar w:fldCharType="end"/>
      </w:r>
      <w:r w:rsidR="08343455" w:rsidRPr="003D1E07">
        <w:t xml:space="preserve"> determinovaným</w:t>
      </w:r>
      <w:r w:rsidR="087A3A74" w:rsidRPr="003D1E07">
        <w:t xml:space="preserve"> eidetickým rozvrhem světa </w:t>
      </w:r>
      <w:r w:rsidR="080B49BC" w:rsidRPr="003D1E07">
        <w:t xml:space="preserve">a </w:t>
      </w:r>
      <w:r w:rsidR="087A3A74" w:rsidRPr="003D1E07">
        <w:t>mate</w:t>
      </w:r>
      <w:r w:rsidR="080B49BC" w:rsidRPr="003D1E07">
        <w:t xml:space="preserve">matickou analogií všeho se vším. </w:t>
      </w:r>
      <w:r w:rsidR="08BE6790" w:rsidRPr="003D1E07">
        <w:t xml:space="preserve">Neoplatonské </w:t>
      </w:r>
      <w:r w:rsidR="00963052" w:rsidRPr="003D1E07">
        <w:t xml:space="preserve">Jedno </w:t>
      </w:r>
      <w:r w:rsidR="08BE6790" w:rsidRPr="003D1E07">
        <w:t xml:space="preserve">zakládající tuto analogii </w:t>
      </w:r>
      <w:r w:rsidR="00963052" w:rsidRPr="003D1E07">
        <w:t>je primárně schizofrenické</w:t>
      </w:r>
      <w:r w:rsidR="08C23A5F" w:rsidRPr="003D1E07">
        <w:t xml:space="preserve"> </w:t>
      </w:r>
      <w:r w:rsidR="08896BB5" w:rsidRPr="003D1E07">
        <w:t>v původním modu počátku (</w:t>
      </w:r>
      <w:r w:rsidR="08896BB5" w:rsidRPr="003D1E07">
        <w:rPr>
          <w:i/>
        </w:rPr>
        <w:t>Anfang</w:t>
      </w:r>
      <w:r w:rsidR="08896BB5" w:rsidRPr="003D1E07">
        <w:t>)</w:t>
      </w:r>
      <w:r w:rsidR="00963052" w:rsidRPr="003D1E07">
        <w:t xml:space="preserve">, protože je v rámci </w:t>
      </w:r>
      <w:r w:rsidR="00BB45B1" w:rsidRPr="003D1E07">
        <w:t>Porfyri</w:t>
      </w:r>
      <w:r w:rsidR="00963052" w:rsidRPr="003D1E07">
        <w:t xml:space="preserve">ova </w:t>
      </w:r>
      <w:r w:rsidR="00963052" w:rsidRPr="003D1E07">
        <w:lastRenderedPageBreak/>
        <w:t>zdvojení bytí rozděleno dv</w:t>
      </w:r>
      <w:r w:rsidR="08AF6B7D" w:rsidRPr="003D1E07">
        <w:t>ě sféry (kap. 1.3</w:t>
      </w:r>
      <w:r w:rsidR="00963052" w:rsidRPr="003D1E07">
        <w:t xml:space="preserve">.1). </w:t>
      </w:r>
      <w:r w:rsidR="082C4E4F" w:rsidRPr="003D1E07">
        <w:t xml:space="preserve">Toto moderní a proto zcela paranoické </w:t>
      </w:r>
      <w:r w:rsidR="00963052" w:rsidRPr="003D1E07">
        <w:t xml:space="preserve">určení bytí </w:t>
      </w:r>
      <w:r w:rsidR="006944F0" w:rsidRPr="003D1E07">
        <w:t xml:space="preserve">Jednoho </w:t>
      </w:r>
      <w:r w:rsidR="00963052" w:rsidRPr="003D1E07">
        <w:t xml:space="preserve">vybavuje </w:t>
      </w:r>
      <w:r w:rsidR="08B85AE7" w:rsidRPr="003D1E07">
        <w:t xml:space="preserve">nihilistického </w:t>
      </w:r>
      <w:r w:rsidR="00963052" w:rsidRPr="003D1E07">
        <w:t xml:space="preserve">demiurga ničím </w:t>
      </w:r>
      <w:r w:rsidR="08B85AE7" w:rsidRPr="003D1E07">
        <w:t>(</w:t>
      </w:r>
      <w:r w:rsidR="08B85AE7" w:rsidRPr="003D1E07">
        <w:rPr>
          <w:i/>
        </w:rPr>
        <w:t>nihil</w:t>
      </w:r>
      <w:r w:rsidR="08B85AE7" w:rsidRPr="003D1E07">
        <w:t xml:space="preserve">) </w:t>
      </w:r>
      <w:r w:rsidR="00963052" w:rsidRPr="003D1E07">
        <w:t xml:space="preserve">neomezenou aktivitou (τὸ ἐνεργεῖν καθαρόν, </w:t>
      </w:r>
      <w:r w:rsidR="00963052" w:rsidRPr="003D1E07">
        <w:rPr>
          <w:i/>
        </w:rPr>
        <w:t>Porph. in Parm.</w:t>
      </w:r>
      <w:r w:rsidR="00963052" w:rsidRPr="003D1E07">
        <w:t xml:space="preserve"> 12.25–26</w:t>
      </w:r>
      <w:r w:rsidR="00963052" w:rsidRPr="003D1E07">
        <w:fldChar w:fldCharType="begin"/>
      </w:r>
      <w:r w:rsidR="00963052" w:rsidRPr="003D1E07">
        <w:instrText xml:space="preserve"> XE "</w:instrText>
      </w:r>
      <w:r w:rsidR="08CE5A60" w:rsidRPr="003D1E07">
        <w:instrText>Porfyrius:</w:instrText>
      </w:r>
      <w:r w:rsidR="00963052" w:rsidRPr="003D1E07">
        <w:rPr>
          <w:i/>
        </w:rPr>
        <w:instrText>Porph. in Parm.</w:instrText>
      </w:r>
      <w:r w:rsidR="00963052" w:rsidRPr="003D1E07">
        <w:instrText xml:space="preserve"> 12.25‒26" </w:instrText>
      </w:r>
      <w:r w:rsidR="00963052" w:rsidRPr="003D1E07">
        <w:fldChar w:fldCharType="end"/>
      </w:r>
      <w:r w:rsidR="00963052" w:rsidRPr="003D1E07">
        <w:t xml:space="preserve">). Druhé určení bytí Jednoho dané </w:t>
      </w:r>
      <w:r w:rsidR="00963052" w:rsidRPr="003D1E07">
        <w:rPr>
          <w:i/>
        </w:rPr>
        <w:t>ad extra</w:t>
      </w:r>
      <w:r w:rsidR="00963052" w:rsidRPr="003D1E07">
        <w:t xml:space="preserve"> jako záření ideje (ἰδέα τοῦ ὄντος</w:t>
      </w:r>
      <w:r w:rsidR="08AF6B7D" w:rsidRPr="003D1E07">
        <w:t>, kap. 1.3</w:t>
      </w:r>
      <w:r w:rsidR="08AF7D07" w:rsidRPr="003D1E07">
        <w:t>.1</w:t>
      </w:r>
      <w:r w:rsidR="006944F0" w:rsidRPr="003D1E07">
        <w:t>) dává d</w:t>
      </w:r>
      <w:r w:rsidR="00963052" w:rsidRPr="003D1E07">
        <w:t>emiurgovi ideový návod, jak zavést do beztvarého světa vlastní objektivní pořádek</w:t>
      </w:r>
      <w:r w:rsidR="08D01084" w:rsidRPr="003D1E07">
        <w:t xml:space="preserve"> v modu matematické analogie</w:t>
      </w:r>
      <w:r w:rsidR="00963052" w:rsidRPr="003D1E07">
        <w:t xml:space="preserve">. </w:t>
      </w:r>
      <w:r w:rsidR="084F3D4B" w:rsidRPr="003D1E07">
        <w:t xml:space="preserve">Iluminát </w:t>
      </w:r>
      <w:r w:rsidR="0828637D" w:rsidRPr="003D1E07">
        <w:t>v</w:t>
      </w:r>
      <w:r w:rsidR="084F3D4B" w:rsidRPr="003D1E07">
        <w:t>e své osvícené</w:t>
      </w:r>
      <w:r w:rsidR="0828637D" w:rsidRPr="003D1E07">
        <w:t xml:space="preserve"> mysli tvoří objektivní diakosmos, který podle </w:t>
      </w:r>
      <w:r w:rsidR="084F3D4B" w:rsidRPr="003D1E07">
        <w:t xml:space="preserve">jeho </w:t>
      </w:r>
      <w:r w:rsidR="0828637D" w:rsidRPr="003D1E07">
        <w:t>eidetického vidění určuje reálný svět</w:t>
      </w:r>
      <w:r w:rsidR="00B00A09">
        <w:t xml:space="preserve"> (</w:t>
      </w:r>
      <w:r w:rsidR="00B00A09" w:rsidRPr="00123FDD">
        <w:rPr>
          <w:i/>
        </w:rPr>
        <w:t>liberum arbitrium</w:t>
      </w:r>
      <w:r w:rsidR="00B00A09">
        <w:rPr>
          <w:i/>
        </w:rPr>
        <w:fldChar w:fldCharType="begin"/>
      </w:r>
      <w:r w:rsidR="00B00A09">
        <w:instrText xml:space="preserve"> XE "</w:instrText>
      </w:r>
      <w:r w:rsidR="00B00A09" w:rsidRPr="00E6341C">
        <w:rPr>
          <w:i/>
        </w:rPr>
        <w:instrText>liberum arbitrium</w:instrText>
      </w:r>
      <w:r w:rsidR="00B00A09">
        <w:instrText xml:space="preserve">" </w:instrText>
      </w:r>
      <w:r w:rsidR="00B00A09">
        <w:rPr>
          <w:i/>
        </w:rPr>
        <w:fldChar w:fldCharType="end"/>
      </w:r>
      <w:r w:rsidR="00B00A09">
        <w:t>)</w:t>
      </w:r>
      <w:r w:rsidR="0828637D" w:rsidRPr="003D1E07">
        <w:t xml:space="preserve">. Tímto </w:t>
      </w:r>
      <w:r w:rsidR="08027A03" w:rsidRPr="003D1E07">
        <w:t xml:space="preserve">epochálním </w:t>
      </w:r>
      <w:r w:rsidR="08BE6790" w:rsidRPr="003D1E07">
        <w:t xml:space="preserve">obratem </w:t>
      </w:r>
      <w:r w:rsidR="082640D7" w:rsidRPr="003D1E07">
        <w:t>bytí jsoucna</w:t>
      </w:r>
      <w:r w:rsidR="08027A03" w:rsidRPr="003D1E07">
        <w:fldChar w:fldCharType="begin"/>
      </w:r>
      <w:r w:rsidR="08027A03" w:rsidRPr="003D1E07">
        <w:instrText xml:space="preserve"> XE "</w:instrText>
      </w:r>
      <w:r w:rsidR="08027A03" w:rsidRPr="003D1E07">
        <w:rPr>
          <w:i/>
        </w:rPr>
        <w:instrText>epoché</w:instrText>
      </w:r>
      <w:r w:rsidR="08027A03" w:rsidRPr="003D1E07">
        <w:instrText xml:space="preserve">" </w:instrText>
      </w:r>
      <w:r w:rsidR="08027A03" w:rsidRPr="003D1E07">
        <w:fldChar w:fldCharType="end"/>
      </w:r>
      <w:r w:rsidR="08291CD0" w:rsidRPr="003D1E07">
        <w:t>, dvojnásobně skrytého</w:t>
      </w:r>
      <w:r w:rsidR="08A54938" w:rsidRPr="003D1E07">
        <w:t xml:space="preserve"> v nově utvořeném objektivním jsoucnu</w:t>
      </w:r>
      <w:r w:rsidR="08291CD0" w:rsidRPr="003D1E07">
        <w:t>,</w:t>
      </w:r>
      <w:r w:rsidR="08A54938" w:rsidRPr="003D1E07">
        <w:t xml:space="preserve"> </w:t>
      </w:r>
      <w:r w:rsidR="08CC248C" w:rsidRPr="003D1E07">
        <w:t xml:space="preserve">se zásadně změnil </w:t>
      </w:r>
      <w:r w:rsidR="08A54938" w:rsidRPr="003D1E07">
        <w:t xml:space="preserve">metafyzický </w:t>
      </w:r>
      <w:r w:rsidR="08CC248C" w:rsidRPr="003D1E07">
        <w:t>smysl jsoucího. R</w:t>
      </w:r>
      <w:r w:rsidR="08BE6790" w:rsidRPr="003D1E07">
        <w:t>eáln</w:t>
      </w:r>
      <w:r w:rsidR="08CC248C" w:rsidRPr="003D1E07">
        <w:t>á</w:t>
      </w:r>
      <w:r w:rsidR="08BE6790" w:rsidRPr="003D1E07">
        <w:t xml:space="preserve"> substance </w:t>
      </w:r>
      <w:r w:rsidR="08CC248C" w:rsidRPr="003D1E07">
        <w:t>př</w:t>
      </w:r>
      <w:r w:rsidR="08E12564" w:rsidRPr="003D1E07">
        <w:t>e</w:t>
      </w:r>
      <w:r w:rsidR="08CC248C" w:rsidRPr="003D1E07">
        <w:t>stala determinovat poznání, proto</w:t>
      </w:r>
      <w:r w:rsidR="08E12564" w:rsidRPr="003D1E07">
        <w:t xml:space="preserve">že první vědu </w:t>
      </w:r>
      <w:r w:rsidR="08CC248C" w:rsidRPr="003D1E07">
        <w:t xml:space="preserve">určuje </w:t>
      </w:r>
      <w:r w:rsidR="08E12564" w:rsidRPr="003D1E07">
        <w:t xml:space="preserve">pouze poznávající a činný subjekt </w:t>
      </w:r>
      <w:r w:rsidR="080734B7" w:rsidRPr="003D1E07">
        <w:t xml:space="preserve">dějinně angažovaný </w:t>
      </w:r>
      <w:r w:rsidR="08CC248C" w:rsidRPr="003D1E07">
        <w:t xml:space="preserve">v modu moderní </w:t>
      </w:r>
      <w:r w:rsidR="08CC248C" w:rsidRPr="003D1E07">
        <w:rPr>
          <w:i/>
        </w:rPr>
        <w:t>Irre</w:t>
      </w:r>
      <w:r w:rsidR="08CC248C" w:rsidRPr="003D1E07">
        <w:t xml:space="preserve">. </w:t>
      </w:r>
      <w:r w:rsidR="080734B7" w:rsidRPr="003D1E07">
        <w:t>T</w:t>
      </w:r>
      <w:r w:rsidR="08CC248C" w:rsidRPr="003D1E07">
        <w:t xml:space="preserve">heurgický demiurg </w:t>
      </w:r>
      <w:r w:rsidR="080734B7" w:rsidRPr="003D1E07">
        <w:t xml:space="preserve">tvoří ve svém osvíceném intelektu </w:t>
      </w:r>
      <w:r w:rsidR="08CC248C" w:rsidRPr="003D1E07">
        <w:t>kopii reá</w:t>
      </w:r>
      <w:r w:rsidR="00D95E79" w:rsidRPr="003D1E07">
        <w:t xml:space="preserve">lného světa skrze demiurgickou </w:t>
      </w:r>
      <w:r w:rsidR="08CC248C" w:rsidRPr="003D1E07">
        <w:t>aktivitu</w:t>
      </w:r>
      <w:r w:rsidR="080734B7" w:rsidRPr="003D1E07">
        <w:t xml:space="preserve"> danou pouze v jeho myšlení. Podle diktátu </w:t>
      </w:r>
      <w:r w:rsidR="087227C2" w:rsidRPr="003D1E07">
        <w:t xml:space="preserve">Fúrií </w:t>
      </w:r>
      <w:r w:rsidR="080734B7" w:rsidRPr="003D1E07">
        <w:t xml:space="preserve">převlečených do metafyzického hávu vzniká v neoplatonismu </w:t>
      </w:r>
      <w:r w:rsidR="08CC248C" w:rsidRPr="003D1E07">
        <w:t>paranoické poznání dané nasvícením jsou</w:t>
      </w:r>
      <w:r w:rsidR="08211D51" w:rsidRPr="003D1E07">
        <w:t>cna zezadu</w:t>
      </w:r>
      <w:r w:rsidR="08750A77" w:rsidRPr="003D1E07">
        <w:t xml:space="preserve">. Nové </w:t>
      </w:r>
      <w:r w:rsidR="08750A77" w:rsidRPr="003D1E07">
        <w:rPr>
          <w:i/>
        </w:rPr>
        <w:t>Weltanschauung</w:t>
      </w:r>
      <w:r w:rsidR="08750A77" w:rsidRPr="003D1E07">
        <w:t xml:space="preserve"> moderny </w:t>
      </w:r>
      <w:r w:rsidR="08211D51" w:rsidRPr="003D1E07">
        <w:t xml:space="preserve">je založeno na </w:t>
      </w:r>
      <w:r w:rsidR="08CC248C" w:rsidRPr="003D1E07">
        <w:t>schizofrenické</w:t>
      </w:r>
      <w:r w:rsidR="08211D51" w:rsidRPr="003D1E07">
        <w:t>m</w:t>
      </w:r>
      <w:r w:rsidR="08CC248C" w:rsidRPr="003D1E07">
        <w:t xml:space="preserve"> pojetí fyziky a metafyziky určené mytopoetickým výkladem dialogu </w:t>
      </w:r>
      <w:r w:rsidR="08CC248C" w:rsidRPr="003D1E07">
        <w:rPr>
          <w:i/>
        </w:rPr>
        <w:t>Timaios</w:t>
      </w:r>
      <w:r w:rsidR="08616081" w:rsidRPr="003D1E07">
        <w:fldChar w:fldCharType="begin"/>
      </w:r>
      <w:r w:rsidR="08616081" w:rsidRPr="003D1E07">
        <w:instrText xml:space="preserve"> XE "</w:instrText>
      </w:r>
      <w:r w:rsidR="000F4400" w:rsidRPr="003D1E07">
        <w:instrText>mytopoiesis</w:instrText>
      </w:r>
      <w:r w:rsidR="08616081" w:rsidRPr="003D1E07">
        <w:instrText xml:space="preserve">" </w:instrText>
      </w:r>
      <w:r w:rsidR="08616081" w:rsidRPr="003D1E07">
        <w:fldChar w:fldCharType="end"/>
      </w:r>
      <w:r w:rsidR="08CC248C" w:rsidRPr="003D1E07">
        <w:t xml:space="preserve">. </w:t>
      </w:r>
      <w:r w:rsidR="082640D7" w:rsidRPr="003D1E07">
        <w:t xml:space="preserve">Tuto událost poprvé </w:t>
      </w:r>
      <w:r w:rsidR="08BE6790" w:rsidRPr="003D1E07">
        <w:t>ukázalo Heideggerovo pojetí epochy jako obratu v samotném bytí jsoucna (ἐποχή</w:t>
      </w:r>
      <w:r w:rsidR="08BE6790" w:rsidRPr="003D1E07">
        <w:rPr>
          <w:i/>
        </w:rPr>
        <w:t xml:space="preserve"> des Seins</w:t>
      </w:r>
      <w:r w:rsidR="08BE6790" w:rsidRPr="003D1E07">
        <w:rPr>
          <w:rStyle w:val="addmd"/>
        </w:rPr>
        <w:t xml:space="preserve"> </w:t>
      </w:r>
      <w:r w:rsidR="08BE6790" w:rsidRPr="003D1E07">
        <w:rPr>
          <w:rStyle w:val="addmd"/>
        </w:rPr>
        <w:fldChar w:fldCharType="begin"/>
      </w:r>
      <w:r w:rsidR="08BE6790" w:rsidRPr="003D1E07">
        <w:instrText xml:space="preserve"> XE "</w:instrText>
      </w:r>
      <w:r w:rsidR="08BE6790" w:rsidRPr="003D1E07">
        <w:rPr>
          <w:i/>
        </w:rPr>
        <w:instrText>epoché</w:instrText>
      </w:r>
      <w:r w:rsidR="08BE6790" w:rsidRPr="003D1E07">
        <w:instrText xml:space="preserve">" </w:instrText>
      </w:r>
      <w:r w:rsidR="08BE6790" w:rsidRPr="003D1E07">
        <w:rPr>
          <w:rStyle w:val="addmd"/>
        </w:rPr>
        <w:fldChar w:fldCharType="end"/>
      </w:r>
      <w:r w:rsidR="084E7952" w:rsidRPr="003D1E07">
        <w:t>kap. 1.2</w:t>
      </w:r>
      <w:r w:rsidR="08BE6790" w:rsidRPr="003D1E07">
        <w:t xml:space="preserve">). </w:t>
      </w:r>
      <w:r w:rsidR="08E30B94" w:rsidRPr="003D1E07">
        <w:t xml:space="preserve">Ve druhé fázi metafyzické objektivity nastolené od 6. století </w:t>
      </w:r>
      <w:r w:rsidR="00963052" w:rsidRPr="003D1E07">
        <w:t xml:space="preserve">je smysl první hylemorfické substance </w:t>
      </w:r>
      <w:r w:rsidR="007D65D0">
        <w:t xml:space="preserve">už </w:t>
      </w:r>
      <w:r w:rsidR="00963052" w:rsidRPr="003D1E07">
        <w:t xml:space="preserve">daný </w:t>
      </w:r>
      <w:r w:rsidR="08E30B94" w:rsidRPr="003D1E07">
        <w:t>zcela moderně</w:t>
      </w:r>
      <w:r w:rsidR="00963052" w:rsidRPr="003D1E07">
        <w:t>, tedy vzhledem k intelektu matematizujícího demiurga</w:t>
      </w:r>
      <w:r w:rsidR="00963052" w:rsidRPr="003D1E07">
        <w:fldChar w:fldCharType="begin"/>
      </w:r>
      <w:r w:rsidR="00963052" w:rsidRPr="003D1E07">
        <w:instrText xml:space="preserve"> XE "</w:instrText>
      </w:r>
      <w:r w:rsidR="00963052" w:rsidRPr="003D1E07">
        <w:rPr>
          <w:rStyle w:val="addmd"/>
        </w:rPr>
        <w:instrText>demiurg</w:instrText>
      </w:r>
      <w:r w:rsidR="00963052" w:rsidRPr="003D1E07">
        <w:instrText xml:space="preserve">" </w:instrText>
      </w:r>
      <w:r w:rsidR="00963052" w:rsidRPr="003D1E07">
        <w:fldChar w:fldCharType="end"/>
      </w:r>
      <w:r w:rsidR="00963052" w:rsidRPr="003D1E07">
        <w:t xml:space="preserve"> a vzhledem k jeho tvořivé vůli</w:t>
      </w:r>
      <w:r w:rsidR="088D43B3" w:rsidRPr="003D1E07">
        <w:t xml:space="preserve"> určené </w:t>
      </w:r>
      <w:r w:rsidR="08EC1ADD" w:rsidRPr="003D1E07">
        <w:t xml:space="preserve">objektivním </w:t>
      </w:r>
      <w:r w:rsidR="088D43B3" w:rsidRPr="003D1E07">
        <w:t>výkladem světa</w:t>
      </w:r>
      <w:r w:rsidR="00963052" w:rsidRPr="003D1E07">
        <w:t>.</w:t>
      </w:r>
      <w:r w:rsidR="08A22B6B" w:rsidRPr="003D1E07">
        <w:t xml:space="preserve"> </w:t>
      </w:r>
      <w:r w:rsidR="08EF235C" w:rsidRPr="003D1E07">
        <w:t xml:space="preserve">Moudrost metafyziky </w:t>
      </w:r>
      <w:r w:rsidR="089B739E" w:rsidRPr="003D1E07">
        <w:t xml:space="preserve">zmizela a </w:t>
      </w:r>
      <w:r w:rsidR="08343455" w:rsidRPr="003D1E07">
        <w:t>nahradil</w:t>
      </w:r>
      <w:r w:rsidR="08EF235C" w:rsidRPr="003D1E07">
        <w:t xml:space="preserve"> </w:t>
      </w:r>
      <w:r w:rsidR="089B739E" w:rsidRPr="003D1E07">
        <w:t xml:space="preserve">ji </w:t>
      </w:r>
      <w:r w:rsidR="08EF235C" w:rsidRPr="003D1E07">
        <w:t>instrumentální r</w:t>
      </w:r>
      <w:r w:rsidR="08343455" w:rsidRPr="003D1E07">
        <w:t>ozum</w:t>
      </w:r>
      <w:r w:rsidR="08EF235C" w:rsidRPr="003D1E07">
        <w:fldChar w:fldCharType="begin"/>
      </w:r>
      <w:r w:rsidR="08EF235C" w:rsidRPr="003D1E07">
        <w:instrText xml:space="preserve"> XE "instrumentální </w:instrText>
      </w:r>
      <w:r w:rsidR="08343455" w:rsidRPr="003D1E07">
        <w:instrText>rozum</w:instrText>
      </w:r>
      <w:r w:rsidR="08EF235C" w:rsidRPr="003D1E07">
        <w:instrText xml:space="preserve">" </w:instrText>
      </w:r>
      <w:r w:rsidR="08EF235C" w:rsidRPr="003D1E07">
        <w:fldChar w:fldCharType="end"/>
      </w:r>
      <w:r w:rsidR="08EF235C" w:rsidRPr="003D1E07">
        <w:t xml:space="preserve"> </w:t>
      </w:r>
      <w:r w:rsidR="08BD014A" w:rsidRPr="003D1E07">
        <w:t xml:space="preserve">moderního </w:t>
      </w:r>
      <w:r w:rsidR="08EF235C" w:rsidRPr="003D1E07">
        <w:t>demiurga</w:t>
      </w:r>
      <w:r w:rsidR="00FF3695">
        <w:t xml:space="preserve"> determinovaný</w:t>
      </w:r>
      <w:r w:rsidR="089B739E" w:rsidRPr="003D1E07">
        <w:t xml:space="preserve"> skrze dějinnou nutnost určenou osvícensky-subjektivně, tedy pouze skrze </w:t>
      </w:r>
      <w:r w:rsidR="080C1141" w:rsidRPr="003D1E07">
        <w:t xml:space="preserve">vlastní </w:t>
      </w:r>
      <w:r w:rsidR="089B739E" w:rsidRPr="003D1E07">
        <w:t>pud</w:t>
      </w:r>
      <w:r w:rsidR="08BD014A" w:rsidRPr="003D1E07">
        <w:t xml:space="preserve"> sebezáchovy. </w:t>
      </w:r>
      <w:r w:rsidR="088B02A5" w:rsidRPr="003D1E07">
        <w:t xml:space="preserve">Z hlediska </w:t>
      </w:r>
      <w:r w:rsidR="0881768B" w:rsidRPr="003D1E07">
        <w:t xml:space="preserve">archaické </w:t>
      </w:r>
      <w:r w:rsidR="088B02A5" w:rsidRPr="003D1E07">
        <w:t xml:space="preserve">hermeneutiky byl moderní </w:t>
      </w:r>
      <w:r w:rsidR="08334BEC" w:rsidRPr="003D1E07">
        <w:t xml:space="preserve">a tragicky nemoudrý </w:t>
      </w:r>
      <w:r w:rsidR="088B02A5" w:rsidRPr="003D1E07">
        <w:t>č</w:t>
      </w:r>
      <w:r w:rsidR="085D2D56" w:rsidRPr="003D1E07">
        <w:t xml:space="preserve">lověk </w:t>
      </w:r>
      <w:r w:rsidR="082D489A" w:rsidRPr="003D1E07">
        <w:t>po</w:t>
      </w:r>
      <w:r w:rsidR="085D2D56" w:rsidRPr="003D1E07">
        <w:t xml:space="preserve">nížen </w:t>
      </w:r>
      <w:r w:rsidR="08B91836" w:rsidRPr="003D1E07">
        <w:t xml:space="preserve">na </w:t>
      </w:r>
      <w:r w:rsidR="088B02A5" w:rsidRPr="003D1E07">
        <w:t xml:space="preserve">pouhé </w:t>
      </w:r>
      <w:r w:rsidR="08B91836" w:rsidRPr="003D1E07">
        <w:rPr>
          <w:i/>
        </w:rPr>
        <w:t>animal sociale</w:t>
      </w:r>
      <w:r w:rsidR="08D15AD7" w:rsidRPr="003D1E07">
        <w:rPr>
          <w:i/>
        </w:rPr>
        <w:t xml:space="preserve"> et rationale</w:t>
      </w:r>
      <w:r w:rsidR="08B91836" w:rsidRPr="003D1E07">
        <w:t xml:space="preserve">. </w:t>
      </w:r>
      <w:r w:rsidR="08334BEC" w:rsidRPr="003D1E07">
        <w:t>Aristotelská substance a kritický logos si držely n</w:t>
      </w:r>
      <w:r w:rsidR="087B4096" w:rsidRPr="003D1E07">
        <w:t xml:space="preserve">oetický primát v </w:t>
      </w:r>
      <w:r w:rsidR="087B4096" w:rsidRPr="003D1E07">
        <w:rPr>
          <w:i/>
        </w:rPr>
        <w:t>Kategoriích</w:t>
      </w:r>
      <w:r w:rsidR="087B4096" w:rsidRPr="003D1E07">
        <w:t xml:space="preserve"> </w:t>
      </w:r>
      <w:r w:rsidR="08334BEC" w:rsidRPr="003D1E07">
        <w:t>skrze přesné rozlišení</w:t>
      </w:r>
      <w:r w:rsidR="082151D8" w:rsidRPr="003D1E07">
        <w:t xml:space="preserve"> predikace </w:t>
      </w:r>
      <w:r w:rsidR="087B4096" w:rsidRPr="003D1E07">
        <w:t xml:space="preserve">jak vzhledem k oddělené </w:t>
      </w:r>
      <w:r w:rsidR="080D6E1F" w:rsidRPr="003D1E07">
        <w:t xml:space="preserve">reálné </w:t>
      </w:r>
      <w:r w:rsidR="087B4096" w:rsidRPr="003D1E07">
        <w:t>substanci, tak vzhledem k její</w:t>
      </w:r>
      <w:r w:rsidR="00396AD0">
        <w:t>mu kategoriálně danému významu.</w:t>
      </w:r>
    </w:p>
    <w:p w14:paraId="24CB4377" w14:textId="679801E4" w:rsidR="007F7D4E" w:rsidRDefault="0821531B" w:rsidP="00396AD0">
      <w:pPr>
        <w:ind w:firstLine="397"/>
      </w:pPr>
      <w:r w:rsidRPr="003D1E07">
        <w:t xml:space="preserve">Aristotelovým následovníkům už tento kritický duch chyběl, a naopak byli vybaveni slušnou dávkou intelektuální </w:t>
      </w:r>
      <w:r w:rsidRPr="003D1E07">
        <w:rPr>
          <w:i/>
        </w:rPr>
        <w:t>hýbris</w:t>
      </w:r>
      <w:r w:rsidR="087C63FF" w:rsidRPr="003D1E07">
        <w:rPr>
          <w:i/>
        </w:rPr>
        <w:fldChar w:fldCharType="begin"/>
      </w:r>
      <w:r w:rsidR="087C63FF" w:rsidRPr="003D1E07">
        <w:instrText xml:space="preserve"> XE "</w:instrText>
      </w:r>
      <w:r w:rsidR="087C63FF" w:rsidRPr="003D1E07">
        <w:rPr>
          <w:i/>
        </w:rPr>
        <w:instrText>hýbris</w:instrText>
      </w:r>
      <w:r w:rsidR="087C63FF" w:rsidRPr="003D1E07">
        <w:instrText xml:space="preserve">" </w:instrText>
      </w:r>
      <w:r w:rsidR="087C63FF" w:rsidRPr="003D1E07">
        <w:rPr>
          <w:i/>
        </w:rPr>
        <w:fldChar w:fldCharType="end"/>
      </w:r>
      <w:r w:rsidR="080A64AC" w:rsidRPr="003D1E07">
        <w:t xml:space="preserve"> determinovanou mysticky a múzicky</w:t>
      </w:r>
      <w:r w:rsidR="08561D8F" w:rsidRPr="003D1E07">
        <w:t xml:space="preserve"> podle </w:t>
      </w:r>
      <w:r w:rsidR="00512327" w:rsidRPr="003D1E07">
        <w:t xml:space="preserve">jejich výkladu </w:t>
      </w:r>
      <w:r w:rsidR="00E35DEA">
        <w:t>Pythagorá</w:t>
      </w:r>
      <w:r w:rsidR="08562799" w:rsidRPr="003D1E07">
        <w:t>se</w:t>
      </w:r>
      <w:r w:rsidR="08B93D87" w:rsidRPr="003D1E07">
        <w:t xml:space="preserve">. </w:t>
      </w:r>
      <w:r w:rsidR="00963052" w:rsidRPr="003D1E07">
        <w:t xml:space="preserve">Původní aristotelskou linii bránil </w:t>
      </w:r>
      <w:r w:rsidR="00BB45B1" w:rsidRPr="003D1E07">
        <w:t>Porfyri</w:t>
      </w:r>
      <w:r w:rsidR="00963052" w:rsidRPr="003D1E07">
        <w:t xml:space="preserve">us během akademického </w:t>
      </w:r>
      <w:r w:rsidR="08A22B6B" w:rsidRPr="003D1E07">
        <w:t>exilu na Sicílii. Po smrti Ploti</w:t>
      </w:r>
      <w:r w:rsidR="00963052" w:rsidRPr="003D1E07">
        <w:t xml:space="preserve">na roku 270 se vrací do Říma, kde </w:t>
      </w:r>
      <w:r w:rsidR="08E13C51" w:rsidRPr="003D1E07">
        <w:t xml:space="preserve">okolo </w:t>
      </w:r>
      <w:r w:rsidR="00963052" w:rsidRPr="003D1E07">
        <w:t xml:space="preserve">roku 298 završuje neoplatonismus redakcí </w:t>
      </w:r>
      <w:r w:rsidR="00963052" w:rsidRPr="003D1E07">
        <w:rPr>
          <w:i/>
        </w:rPr>
        <w:t>Enneád</w:t>
      </w:r>
      <w:r w:rsidR="00963052" w:rsidRPr="003D1E07">
        <w:t>. Druhá linie me</w:t>
      </w:r>
      <w:r w:rsidR="08A22B6B" w:rsidRPr="003D1E07">
        <w:t>tafyziky navazuje přímo na Ploti</w:t>
      </w:r>
      <w:r w:rsidR="00963052" w:rsidRPr="003D1E07">
        <w:t xml:space="preserve">na (částečně </w:t>
      </w:r>
      <w:r w:rsidR="00BB45B1" w:rsidRPr="003D1E07">
        <w:t>Porfyri</w:t>
      </w:r>
      <w:r w:rsidR="08D01FD7" w:rsidRPr="003D1E07">
        <w:t xml:space="preserve">us a </w:t>
      </w:r>
      <w:r w:rsidR="00963052" w:rsidRPr="003D1E07">
        <w:t xml:space="preserve">plně </w:t>
      </w:r>
      <w:r w:rsidR="00963052" w:rsidRPr="003D1E07">
        <w:rPr>
          <w:lang w:eastAsia="en-US"/>
        </w:rPr>
        <w:t xml:space="preserve">Jamblichos, Simplikius, Proklus, Filoponus). </w:t>
      </w:r>
      <w:r w:rsidR="00963052" w:rsidRPr="003D1E07">
        <w:t xml:space="preserve">Ve středu nové gigantomachie </w:t>
      </w:r>
      <w:r w:rsidR="080D6F76" w:rsidRPr="003D1E07">
        <w:t>o substanci</w:t>
      </w:r>
      <w:r w:rsidR="08A42A81" w:rsidRPr="003D1E07">
        <w:rPr>
          <w:i/>
        </w:rPr>
        <w:fldChar w:fldCharType="begin"/>
      </w:r>
      <w:r w:rsidR="08A42A81" w:rsidRPr="003D1E07">
        <w:instrText xml:space="preserve"> XE "metafyzika:gigantomachie" </w:instrText>
      </w:r>
      <w:r w:rsidR="08A42A81" w:rsidRPr="003D1E07">
        <w:rPr>
          <w:i/>
        </w:rPr>
        <w:fldChar w:fldCharType="end"/>
      </w:r>
      <w:r w:rsidR="080D6F76" w:rsidRPr="003D1E07">
        <w:t xml:space="preserve"> </w:t>
      </w:r>
      <w:r w:rsidR="00963052" w:rsidRPr="003D1E07">
        <w:t>stoj</w:t>
      </w:r>
      <w:r w:rsidR="08A22B6B" w:rsidRPr="003D1E07">
        <w:t xml:space="preserve">í </w:t>
      </w:r>
      <w:r w:rsidR="08A22B6B" w:rsidRPr="003D1E07">
        <w:lastRenderedPageBreak/>
        <w:t>obdivovaný a kritizovaný Ploti</w:t>
      </w:r>
      <w:r w:rsidR="00963052" w:rsidRPr="003D1E07">
        <w:t xml:space="preserve">nos, onen </w:t>
      </w:r>
      <w:r w:rsidR="00963052" w:rsidRPr="003D1E07">
        <w:rPr>
          <w:i/>
        </w:rPr>
        <w:t>Plato redivivus</w:t>
      </w:r>
      <w:r w:rsidR="08512AB0" w:rsidRPr="003D1E07">
        <w:t xml:space="preserve"> vykládající tajemný smysl kosmu </w:t>
      </w:r>
      <w:r w:rsidR="08AE0480" w:rsidRPr="003D1E07">
        <w:t>poprvé nahlédnutý</w:t>
      </w:r>
      <w:r w:rsidR="08561D8F" w:rsidRPr="003D1E07">
        <w:t xml:space="preserve"> v učení božského Pytha</w:t>
      </w:r>
      <w:r w:rsidR="08794974" w:rsidRPr="003D1E07">
        <w:t>go</w:t>
      </w:r>
      <w:r w:rsidR="080D6F76" w:rsidRPr="003D1E07">
        <w:t>r</w:t>
      </w:r>
      <w:r w:rsidR="08162494" w:rsidRPr="003D1E07">
        <w:t>ase</w:t>
      </w:r>
      <w:r w:rsidR="08512AB0" w:rsidRPr="003D1E07">
        <w:t xml:space="preserve">. </w:t>
      </w:r>
      <w:r w:rsidR="087D7BA1" w:rsidRPr="003D1E07">
        <w:t xml:space="preserve">Tuto mystagogickou </w:t>
      </w:r>
      <w:r w:rsidR="00963052" w:rsidRPr="003D1E07">
        <w:t>roli převezme ve falsafě a ve scholastice Avicenna</w:t>
      </w:r>
      <w:r w:rsidR="08A22B6B" w:rsidRPr="003D1E07">
        <w:t xml:space="preserve"> a na něj navázaná škola </w:t>
      </w:r>
      <w:r w:rsidR="00963052" w:rsidRPr="003D1E07">
        <w:t>druhého averroismu</w:t>
      </w:r>
      <w:r w:rsidR="00963052" w:rsidRPr="003D1E07">
        <w:rPr>
          <w:rStyle w:val="addmd"/>
        </w:rPr>
        <w:fldChar w:fldCharType="begin"/>
      </w:r>
      <w:r w:rsidR="00963052" w:rsidRPr="003D1E07">
        <w:instrText xml:space="preserve"> XE "druhý averroismus:původ" </w:instrText>
      </w:r>
      <w:r w:rsidR="00963052" w:rsidRPr="003D1E07">
        <w:rPr>
          <w:rStyle w:val="addmd"/>
        </w:rPr>
        <w:fldChar w:fldCharType="end"/>
      </w:r>
      <w:r w:rsidR="00963052" w:rsidRPr="003D1E07">
        <w:t xml:space="preserve">. Tito myslitelé založí modernu a objektivní vidění světa. Další aristotelský výklad </w:t>
      </w:r>
      <w:r w:rsidR="00963052" w:rsidRPr="003D1E07">
        <w:rPr>
          <w:i/>
        </w:rPr>
        <w:t>Kategorií</w:t>
      </w:r>
      <w:r w:rsidR="00963052" w:rsidRPr="003D1E07">
        <w:t xml:space="preserve"> vytvořil </w:t>
      </w:r>
      <w:r w:rsidR="00B31625" w:rsidRPr="003D1E07">
        <w:t>pro falsafu Al-</w:t>
      </w:r>
      <w:r w:rsidR="008E02F5" w:rsidRPr="003D1E07">
        <w:t>Fárábí</w:t>
      </w:r>
      <w:r w:rsidR="00B31625" w:rsidRPr="003D1E07">
        <w:t xml:space="preserve"> </w:t>
      </w:r>
      <w:r w:rsidR="08182A80" w:rsidRPr="003D1E07">
        <w:t xml:space="preserve">jako </w:t>
      </w:r>
      <w:r w:rsidR="08182A80" w:rsidRPr="003D1E07">
        <w:rPr>
          <w:i/>
        </w:rPr>
        <w:t>Aristoteles redivivus</w:t>
      </w:r>
      <w:r w:rsidR="08182A80" w:rsidRPr="003D1E07">
        <w:t xml:space="preserve"> </w:t>
      </w:r>
      <w:r w:rsidR="083A79E8" w:rsidRPr="003D1E07">
        <w:t>na</w:t>
      </w:r>
      <w:r w:rsidR="08A87A93" w:rsidRPr="003D1E07">
        <w:t xml:space="preserve">zvaný </w:t>
      </w:r>
      <w:r w:rsidR="08182A80" w:rsidRPr="003D1E07">
        <w:t xml:space="preserve">čestným titulem </w:t>
      </w:r>
      <w:r w:rsidR="08AE2751" w:rsidRPr="003D1E07">
        <w:t>„</w:t>
      </w:r>
      <w:r w:rsidR="08A87A93" w:rsidRPr="003D1E07">
        <w:t>Druhý mistr</w:t>
      </w:r>
      <w:r w:rsidR="08AE2751" w:rsidRPr="003D1E07">
        <w:t>“</w:t>
      </w:r>
      <w:r w:rsidR="08A87A93" w:rsidRPr="003D1E07">
        <w:t>. P</w:t>
      </w:r>
      <w:r w:rsidR="00B31625" w:rsidRPr="003D1E07">
        <w:t xml:space="preserve">ro latinskou scholastiku </w:t>
      </w:r>
      <w:r w:rsidR="08A87A93" w:rsidRPr="003D1E07">
        <w:t xml:space="preserve">provedl </w:t>
      </w:r>
      <w:r w:rsidR="083C5AEF" w:rsidRPr="003D1E07">
        <w:t xml:space="preserve">aristotelskou </w:t>
      </w:r>
      <w:r w:rsidR="08A87A93" w:rsidRPr="003D1E07">
        <w:t xml:space="preserve">rektifikaci </w:t>
      </w:r>
      <w:r w:rsidR="083C5AEF" w:rsidRPr="003D1E07">
        <w:rPr>
          <w:i/>
        </w:rPr>
        <w:t>Kategorií</w:t>
      </w:r>
      <w:r w:rsidR="083C5AEF" w:rsidRPr="003D1E07">
        <w:t xml:space="preserve"> </w:t>
      </w:r>
      <w:r w:rsidR="08A87A93" w:rsidRPr="003D1E07">
        <w:t xml:space="preserve">poslední znalec filosofické antiky </w:t>
      </w:r>
      <w:r w:rsidR="00963052" w:rsidRPr="003D1E07">
        <w:t>Boethius</w:t>
      </w:r>
      <w:r w:rsidR="00963052" w:rsidRPr="003D1E07">
        <w:fldChar w:fldCharType="begin"/>
      </w:r>
      <w:r w:rsidR="00963052" w:rsidRPr="003D1E07">
        <w:instrText xml:space="preserve"> XE "</w:instrText>
      </w:r>
      <w:r w:rsidR="00963052" w:rsidRPr="003D1E07">
        <w:rPr>
          <w:lang w:eastAsia="en-US"/>
        </w:rPr>
        <w:instrText>Boethius, Anicius</w:instrText>
      </w:r>
      <w:r w:rsidR="00963052" w:rsidRPr="003D1E07">
        <w:instrText xml:space="preserve">" </w:instrText>
      </w:r>
      <w:r w:rsidR="00963052" w:rsidRPr="003D1E07">
        <w:fldChar w:fldCharType="end"/>
      </w:r>
      <w:r w:rsidR="00963052" w:rsidRPr="003D1E07">
        <w:t>, což uka</w:t>
      </w:r>
      <w:r w:rsidR="080E184C" w:rsidRPr="003D1E07">
        <w:t xml:space="preserve">zuje jeho přesný překlad </w:t>
      </w:r>
      <w:r w:rsidR="080E184C" w:rsidRPr="003D1E07">
        <w:rPr>
          <w:i/>
        </w:rPr>
        <w:t>Isagoge</w:t>
      </w:r>
      <w:r w:rsidR="00963052" w:rsidRPr="003D1E07">
        <w:t xml:space="preserve"> do latiny (</w:t>
      </w:r>
      <w:r w:rsidR="00963052" w:rsidRPr="003D1E07">
        <w:rPr>
          <w:i/>
        </w:rPr>
        <w:t>Porphyrii Isagoge translatio</w:t>
      </w:r>
      <w:r w:rsidR="00963052" w:rsidRPr="003D1E07">
        <w:t>). Translací problé</w:t>
      </w:r>
      <w:r w:rsidR="080E184C" w:rsidRPr="003D1E07">
        <w:t xml:space="preserve">mů a nejasností daných v </w:t>
      </w:r>
      <w:r w:rsidR="080E184C" w:rsidRPr="003D1E07">
        <w:rPr>
          <w:i/>
        </w:rPr>
        <w:t>Isagoge</w:t>
      </w:r>
      <w:r w:rsidR="00963052" w:rsidRPr="003D1E07">
        <w:t xml:space="preserve"> začala </w:t>
      </w:r>
      <w:r w:rsidR="00931637" w:rsidRPr="003D1E07">
        <w:t xml:space="preserve">nová </w:t>
      </w:r>
      <w:r w:rsidR="00963052" w:rsidRPr="003D1E07">
        <w:t xml:space="preserve">gigantomachie o substanci </w:t>
      </w:r>
      <w:r w:rsidR="00931637" w:rsidRPr="003D1E07">
        <w:t xml:space="preserve">ve falsafě a pak </w:t>
      </w:r>
      <w:r w:rsidR="00963052" w:rsidRPr="003D1E07">
        <w:t xml:space="preserve">na latinském Západě. </w:t>
      </w:r>
      <w:r w:rsidR="08B467C3" w:rsidRPr="003D1E07">
        <w:t>Aristotelovu r</w:t>
      </w:r>
      <w:r w:rsidR="00963052" w:rsidRPr="003D1E07">
        <w:t>ealistickou pozici</w:t>
      </w:r>
      <w:r w:rsidR="087F3CBB" w:rsidRPr="003D1E07">
        <w:t xml:space="preserve"> hájí </w:t>
      </w:r>
      <w:r w:rsidR="00963052" w:rsidRPr="003D1E07">
        <w:fldChar w:fldCharType="begin"/>
      </w:r>
      <w:r w:rsidR="00963052" w:rsidRPr="003D1E07">
        <w:instrText xml:space="preserve"> XE "Alexander Afrodisias" </w:instrText>
      </w:r>
      <w:r w:rsidR="00963052" w:rsidRPr="003D1E07">
        <w:fldChar w:fldCharType="end"/>
      </w:r>
      <w:r w:rsidR="00963052" w:rsidRPr="003D1E07">
        <w:rPr>
          <w:lang w:eastAsia="en-US"/>
        </w:rPr>
        <w:t>Boethius</w:t>
      </w:r>
      <w:r w:rsidR="00963052" w:rsidRPr="003D1E07">
        <w:rPr>
          <w:lang w:eastAsia="en-US"/>
        </w:rPr>
        <w:fldChar w:fldCharType="begin"/>
      </w:r>
      <w:r w:rsidR="00963052" w:rsidRPr="003D1E07">
        <w:instrText xml:space="preserve"> XE "</w:instrText>
      </w:r>
      <w:r w:rsidR="00963052" w:rsidRPr="003D1E07">
        <w:rPr>
          <w:lang w:eastAsia="en-US"/>
        </w:rPr>
        <w:instrText>Boethius, Anicius</w:instrText>
      </w:r>
      <w:r w:rsidR="00963052" w:rsidRPr="003D1E07">
        <w:instrText xml:space="preserve">" </w:instrText>
      </w:r>
      <w:r w:rsidR="00963052" w:rsidRPr="003D1E07">
        <w:rPr>
          <w:lang w:eastAsia="en-US"/>
        </w:rPr>
        <w:fldChar w:fldCharType="end"/>
      </w:r>
      <w:r w:rsidR="00963052" w:rsidRPr="003D1E07">
        <w:rPr>
          <w:lang w:eastAsia="en-US"/>
        </w:rPr>
        <w:t xml:space="preserve">, </w:t>
      </w:r>
      <w:r w:rsidR="002E3B62" w:rsidRPr="003D1E07">
        <w:rPr>
          <w:lang w:eastAsia="en-US"/>
        </w:rPr>
        <w:t>Averroes</w:t>
      </w:r>
      <w:r w:rsidR="00963052" w:rsidRPr="003D1E07">
        <w:rPr>
          <w:lang w:eastAsia="en-US"/>
        </w:rPr>
        <w:t xml:space="preserve"> a jimi i</w:t>
      </w:r>
      <w:r w:rsidR="087B4096" w:rsidRPr="003D1E07">
        <w:rPr>
          <w:lang w:eastAsia="en-US"/>
        </w:rPr>
        <w:t xml:space="preserve">nspirovaná latinská škola </w:t>
      </w:r>
      <w:r w:rsidR="00963052" w:rsidRPr="003D1E07">
        <w:rPr>
          <w:lang w:eastAsia="en-US"/>
        </w:rPr>
        <w:t>prvního averroismu</w:t>
      </w:r>
      <w:r w:rsidR="00963052" w:rsidRPr="003D1E07">
        <w:rPr>
          <w:rStyle w:val="addmd"/>
        </w:rPr>
        <w:fldChar w:fldCharType="begin"/>
      </w:r>
      <w:r w:rsidR="00963052" w:rsidRPr="003D1E07">
        <w:instrText xml:space="preserve"> XE "první averroismus:původ" </w:instrText>
      </w:r>
      <w:r w:rsidR="00963052" w:rsidRPr="003D1E07">
        <w:rPr>
          <w:rStyle w:val="addmd"/>
        </w:rPr>
        <w:fldChar w:fldCharType="end"/>
      </w:r>
      <w:r w:rsidR="00963052" w:rsidRPr="003D1E07">
        <w:rPr>
          <w:lang w:eastAsia="en-US"/>
        </w:rPr>
        <w:t xml:space="preserve">. Tito filosofové brání primát aktuální první substance dané Aristotelovou </w:t>
      </w:r>
      <w:r w:rsidR="00963052" w:rsidRPr="003D1E07">
        <w:rPr>
          <w:i/>
          <w:lang w:eastAsia="en-US"/>
        </w:rPr>
        <w:t>Fyzikou</w:t>
      </w:r>
      <w:r w:rsidR="00963052" w:rsidRPr="003D1E07">
        <w:rPr>
          <w:lang w:eastAsia="en-US"/>
        </w:rPr>
        <w:t xml:space="preserve"> a na ní navazující </w:t>
      </w:r>
      <w:r w:rsidR="00963052" w:rsidRPr="003D1E07">
        <w:rPr>
          <w:i/>
          <w:lang w:eastAsia="en-US"/>
        </w:rPr>
        <w:t>Metafyzikou</w:t>
      </w:r>
      <w:r w:rsidR="00963052" w:rsidRPr="003D1E07">
        <w:rPr>
          <w:lang w:eastAsia="en-US"/>
        </w:rPr>
        <w:t xml:space="preserve">. </w:t>
      </w:r>
      <w:r w:rsidR="00963052" w:rsidRPr="003D1E07">
        <w:t xml:space="preserve">Obhájci </w:t>
      </w:r>
      <w:r w:rsidR="0808399D" w:rsidRPr="003D1E07">
        <w:rPr>
          <w:lang w:eastAsia="en-US"/>
        </w:rPr>
        <w:t>„meta-</w:t>
      </w:r>
      <w:r w:rsidR="00963052" w:rsidRPr="003D1E07">
        <w:rPr>
          <w:lang w:eastAsia="en-US"/>
        </w:rPr>
        <w:t>fy</w:t>
      </w:r>
      <w:r w:rsidR="08CE6D15" w:rsidRPr="003D1E07">
        <w:rPr>
          <w:lang w:eastAsia="en-US"/>
        </w:rPr>
        <w:t>ziky“, čili jednoty vybudované za fyzikou</w:t>
      </w:r>
      <w:r w:rsidR="00963052" w:rsidRPr="003D1E07">
        <w:rPr>
          <w:lang w:eastAsia="en-US"/>
        </w:rPr>
        <w:t xml:space="preserve"> reálné první substance, obhajují jako </w:t>
      </w:r>
      <w:r w:rsidR="002E3B62" w:rsidRPr="003D1E07">
        <w:rPr>
          <w:lang w:eastAsia="en-US"/>
        </w:rPr>
        <w:t>Averroes</w:t>
      </w:r>
      <w:r w:rsidR="00963052" w:rsidRPr="003D1E07">
        <w:rPr>
          <w:lang w:eastAsia="en-US"/>
        </w:rPr>
        <w:t xml:space="preserve"> </w:t>
      </w:r>
      <w:r w:rsidR="00963052" w:rsidRPr="003D1E07">
        <w:t xml:space="preserve">učení </w:t>
      </w:r>
      <w:r w:rsidR="00963052" w:rsidRPr="003D1E07">
        <w:rPr>
          <w:i/>
        </w:rPr>
        <w:t>Kategorií</w:t>
      </w:r>
      <w:r w:rsidR="00963052" w:rsidRPr="003D1E07">
        <w:t xml:space="preserve"> o odlišné predikaci </w:t>
      </w:r>
      <w:r w:rsidR="00963052" w:rsidRPr="003D1E07">
        <w:rPr>
          <w:i/>
        </w:rPr>
        <w:t>per prius</w:t>
      </w:r>
      <w:r w:rsidR="00963052" w:rsidRPr="003D1E07">
        <w:t xml:space="preserve"> dané v rámci sekundární a proto univerzální substance</w:t>
      </w:r>
      <w:r w:rsidR="00963052" w:rsidRPr="003D1E07">
        <w:rPr>
          <w:rStyle w:val="addmd"/>
        </w:rPr>
        <w:fldChar w:fldCharType="begin"/>
      </w:r>
      <w:r w:rsidR="00963052" w:rsidRPr="003D1E07">
        <w:instrText xml:space="preserve"> XE "metafyzika:aristotelismus" </w:instrText>
      </w:r>
      <w:r w:rsidR="00963052" w:rsidRPr="003D1E07">
        <w:rPr>
          <w:rStyle w:val="addmd"/>
        </w:rPr>
        <w:fldChar w:fldCharType="end"/>
      </w:r>
      <w:r w:rsidR="00963052" w:rsidRPr="003D1E07">
        <w:t xml:space="preserve">. Trvají na zásadním oddělení reálné substance, ať už materiální nebo nemateriální, od našeho </w:t>
      </w:r>
      <w:r w:rsidR="08982E9E" w:rsidRPr="003D1E07">
        <w:t xml:space="preserve">obecného </w:t>
      </w:r>
      <w:r w:rsidR="00963052" w:rsidRPr="003D1E07">
        <w:t>poznání a predikace</w:t>
      </w:r>
      <w:r w:rsidR="00963052" w:rsidRPr="003D1E07">
        <w:rPr>
          <w:rStyle w:val="addmd"/>
        </w:rPr>
        <w:fldChar w:fldCharType="begin"/>
      </w:r>
      <w:r w:rsidR="00963052" w:rsidRPr="003D1E07">
        <w:instrText xml:space="preserve"> XE "substance:první" </w:instrText>
      </w:r>
      <w:r w:rsidR="00963052" w:rsidRPr="003D1E07">
        <w:rPr>
          <w:rStyle w:val="addmd"/>
        </w:rPr>
        <w:fldChar w:fldCharType="end"/>
      </w:r>
      <w:r w:rsidR="00963052" w:rsidRPr="003D1E07">
        <w:t xml:space="preserve">. Obě určení </w:t>
      </w:r>
      <w:r w:rsidR="08982E9E" w:rsidRPr="003D1E07">
        <w:t>substance ne</w:t>
      </w:r>
      <w:r w:rsidR="00963052" w:rsidRPr="003D1E07">
        <w:t xml:space="preserve">jsou </w:t>
      </w:r>
      <w:r w:rsidR="08982E9E" w:rsidRPr="003D1E07">
        <w:t xml:space="preserve">vzájemně </w:t>
      </w:r>
      <w:r w:rsidR="00963052" w:rsidRPr="003D1E07">
        <w:t xml:space="preserve">převoditelná, ale jsou komplementární v systému pravdivosti světa jako shody rozumu a věci, který je </w:t>
      </w:r>
      <w:r w:rsidR="084520DE" w:rsidRPr="003D1E07">
        <w:t xml:space="preserve">vědecky </w:t>
      </w:r>
      <w:r w:rsidR="00963052" w:rsidRPr="003D1E07">
        <w:t xml:space="preserve">poznán </w:t>
      </w:r>
      <w:r w:rsidR="084520DE" w:rsidRPr="003D1E07">
        <w:t xml:space="preserve">skrze predikaci </w:t>
      </w:r>
      <w:r w:rsidR="00963052" w:rsidRPr="003D1E07">
        <w:t>reálné kauzality</w:t>
      </w:r>
      <w:r w:rsidR="08CB20D2" w:rsidRPr="003D1E07">
        <w:t xml:space="preserve"> prvních substancí</w:t>
      </w:r>
      <w:r w:rsidR="00963052" w:rsidRPr="003D1E07">
        <w:t>. Všechny tyto vlastnosti původní Aristotelovy metafyziky shrnula hermeneutika objektivity v konceptu nasvícení smyslu jsoucna zepředu</w:t>
      </w:r>
      <w:r w:rsidR="00963052" w:rsidRPr="003D1E07">
        <w:fldChar w:fldCharType="begin"/>
      </w:r>
      <w:r w:rsidR="00963052" w:rsidRPr="003D1E07">
        <w:instrText xml:space="preserve"> XE "zjevování:nasvícení zepředu" </w:instrText>
      </w:r>
      <w:r w:rsidR="00963052" w:rsidRPr="003D1E07">
        <w:fldChar w:fldCharType="end"/>
      </w:r>
      <w:r w:rsidR="00963052" w:rsidRPr="003D1E07">
        <w:t xml:space="preserve"> od reálné první substance. V tomto systému fundamentálně oddělených určení první a druhé substance není možné vybudovat unitární ontoteologii</w:t>
      </w:r>
      <w:r w:rsidR="00963052" w:rsidRPr="003D1E07">
        <w:fldChar w:fldCharType="begin"/>
      </w:r>
      <w:r w:rsidR="00963052" w:rsidRPr="003D1E07">
        <w:instrText xml:space="preserve"> XE "</w:instrText>
      </w:r>
      <w:r w:rsidR="00963052" w:rsidRPr="003D1E07">
        <w:rPr>
          <w:rStyle w:val="addmd"/>
        </w:rPr>
        <w:instrText>ontoteologie</w:instrText>
      </w:r>
      <w:r w:rsidR="00963052" w:rsidRPr="003D1E07">
        <w:instrText xml:space="preserve">" </w:instrText>
      </w:r>
      <w:r w:rsidR="00963052" w:rsidRPr="003D1E07">
        <w:fldChar w:fldCharType="end"/>
      </w:r>
      <w:r w:rsidR="00963052" w:rsidRPr="003D1E07">
        <w:t xml:space="preserve"> neoplatoniků a modernistů</w:t>
      </w:r>
      <w:r w:rsidR="08900156" w:rsidRPr="003D1E07">
        <w:t xml:space="preserve"> v modu postmoderní </w:t>
      </w:r>
      <w:r w:rsidR="08900156" w:rsidRPr="003D1E07">
        <w:rPr>
          <w:i/>
        </w:rPr>
        <w:t>Unified Science</w:t>
      </w:r>
      <w:r w:rsidR="08900156" w:rsidRPr="003D1E07">
        <w:rPr>
          <w:i/>
        </w:rPr>
        <w:fldChar w:fldCharType="begin"/>
      </w:r>
      <w:r w:rsidR="08900156" w:rsidRPr="003D1E07">
        <w:instrText xml:space="preserve"> XE "</w:instrText>
      </w:r>
      <w:r w:rsidR="08900156" w:rsidRPr="003D1E07">
        <w:rPr>
          <w:i/>
        </w:rPr>
        <w:instrText>Unified Science</w:instrText>
      </w:r>
      <w:r w:rsidR="08900156" w:rsidRPr="003D1E07">
        <w:instrText xml:space="preserve">" </w:instrText>
      </w:r>
      <w:r w:rsidR="08900156" w:rsidRPr="003D1E07">
        <w:rPr>
          <w:i/>
        </w:rPr>
        <w:fldChar w:fldCharType="end"/>
      </w:r>
      <w:r w:rsidR="00963052" w:rsidRPr="003D1E07">
        <w:t xml:space="preserve">. </w:t>
      </w:r>
    </w:p>
    <w:p w14:paraId="3AEBD69B" w14:textId="77777777" w:rsidR="00ED2C95" w:rsidRDefault="007F7D4E" w:rsidP="007F7D4E">
      <w:r>
        <w:tab/>
      </w:r>
      <w:r w:rsidRPr="003D1E07">
        <w:t xml:space="preserve">Připomeňme, že v době zániku mystérií a nastalé temnotě rozumu dané skrze první moderní formu </w:t>
      </w:r>
      <w:r w:rsidRPr="003D1E07">
        <w:rPr>
          <w:i/>
        </w:rPr>
        <w:t>Seinsvergessenheit</w:t>
      </w:r>
      <w:r w:rsidRPr="003D1E07">
        <w:rPr>
          <w:i/>
        </w:rPr>
        <w:fldChar w:fldCharType="begin"/>
      </w:r>
      <w:r w:rsidRPr="003D1E07">
        <w:instrText xml:space="preserve"> XE "</w:instrText>
      </w:r>
      <w:r w:rsidRPr="003D1E07">
        <w:rPr>
          <w:i/>
        </w:rPr>
        <w:instrText>Seinsvergessenheit</w:instrText>
      </w:r>
      <w:r w:rsidRPr="003D1E07">
        <w:instrText xml:space="preserve">" </w:instrText>
      </w:r>
      <w:r w:rsidRPr="003D1E07">
        <w:rPr>
          <w:i/>
        </w:rPr>
        <w:fldChar w:fldCharType="end"/>
      </w:r>
      <w:r w:rsidRPr="003D1E07">
        <w:t xml:space="preserve"> vzniká poslední filosoficky důležité poselství mystérií a Múz. Plutarchos</w:t>
      </w:r>
      <w:r w:rsidRPr="003D1E07">
        <w:fldChar w:fldCharType="begin"/>
      </w:r>
      <w:r w:rsidRPr="003D1E07">
        <w:instrText xml:space="preserve"> XE "Plutarchos" </w:instrText>
      </w:r>
      <w:r w:rsidRPr="003D1E07">
        <w:fldChar w:fldCharType="end"/>
      </w:r>
      <w:r w:rsidRPr="003D1E07">
        <w:t xml:space="preserve"> jako jeden z posledních kněží v Delfách předává moderně poselství zanikajících mystérií velící zachránit fenomény (τὰ φαινόμενα σῴζειν, </w:t>
      </w:r>
      <w:r w:rsidRPr="003D1E07">
        <w:rPr>
          <w:i/>
        </w:rPr>
        <w:t xml:space="preserve">De facie in orbe lunae </w:t>
      </w:r>
      <w:r w:rsidRPr="003D1E07">
        <w:t>6; 923A3‒4</w:t>
      </w:r>
      <w:r w:rsidRPr="003D1E07">
        <w:fldChar w:fldCharType="begin"/>
      </w:r>
      <w:r w:rsidRPr="003D1E07">
        <w:instrText xml:space="preserve"> XE "Plutarchos:</w:instrText>
      </w:r>
      <w:r w:rsidRPr="003D1E07">
        <w:rPr>
          <w:i/>
        </w:rPr>
        <w:instrText xml:space="preserve">De facie in orbe lunae </w:instrText>
      </w:r>
      <w:r w:rsidRPr="003D1E07">
        <w:instrText xml:space="preserve">923A3‒4" </w:instrText>
      </w:r>
      <w:r w:rsidRPr="003D1E07">
        <w:fldChar w:fldCharType="end"/>
      </w:r>
      <w:r w:rsidRPr="003D1E07">
        <w:t xml:space="preserve">). Moderna bohužel zachraňuje </w:t>
      </w:r>
      <w:r w:rsidRPr="003D1E07">
        <w:rPr>
          <w:i/>
        </w:rPr>
        <w:t>prima facie</w:t>
      </w:r>
      <w:r w:rsidRPr="003D1E07">
        <w:t xml:space="preserve"> vlastní výplody ducha, pro</w:t>
      </w:r>
      <w:r>
        <w:t>to</w:t>
      </w:r>
      <w:r w:rsidRPr="003D1E07">
        <w:t xml:space="preserve"> šla komediální cestou epochální </w:t>
      </w:r>
      <w:r w:rsidRPr="003D1E07">
        <w:rPr>
          <w:i/>
        </w:rPr>
        <w:t>Irre</w:t>
      </w:r>
      <w:r w:rsidRPr="003D1E07">
        <w:rPr>
          <w:i/>
        </w:rPr>
        <w:fldChar w:fldCharType="begin"/>
      </w:r>
      <w:r w:rsidRPr="003D1E07">
        <w:instrText xml:space="preserve"> XE "</w:instrText>
      </w:r>
      <w:r w:rsidRPr="003D1E07">
        <w:rPr>
          <w:i/>
        </w:rPr>
        <w:instrText>Irre</w:instrText>
      </w:r>
      <w:r w:rsidRPr="003D1E07">
        <w:instrText xml:space="preserve">" </w:instrText>
      </w:r>
      <w:r w:rsidRPr="003D1E07">
        <w:rPr>
          <w:i/>
        </w:rPr>
        <w:fldChar w:fldCharType="end"/>
      </w:r>
      <w:r w:rsidRPr="003D1E07">
        <w:t xml:space="preserve"> (kap. 2.4.4). Spojení tělesa, materie a rozsažnosti třetího druhu má  klíčový význam pro určení vědecké definice v modu </w:t>
      </w:r>
      <w:r w:rsidRPr="003D1E07">
        <w:rPr>
          <w:i/>
        </w:rPr>
        <w:t>Oxfordian Fallacy</w:t>
      </w:r>
      <w:r w:rsidRPr="003D1E07">
        <w:t xml:space="preserve"> u Grossetesteho a Rufuse z Cornwallu. </w:t>
      </w:r>
      <w:r w:rsidRPr="003D1E07">
        <w:rPr>
          <w:rStyle w:val="addmd"/>
        </w:rPr>
        <w:t xml:space="preserve">V novém pojetí tělesa zmizel rozdíl mezi první a druhou substancí, který je naprosto klíčový pro Aristotelovu </w:t>
      </w:r>
      <w:r w:rsidRPr="003D1E07">
        <w:rPr>
          <w:rStyle w:val="addmd"/>
          <w:i/>
        </w:rPr>
        <w:t>Fyziku</w:t>
      </w:r>
      <w:r w:rsidRPr="003D1E07">
        <w:rPr>
          <w:rStyle w:val="addmd"/>
        </w:rPr>
        <w:t xml:space="preserve">, </w:t>
      </w:r>
      <w:r w:rsidRPr="003D1E07">
        <w:rPr>
          <w:rStyle w:val="addmd"/>
          <w:i/>
        </w:rPr>
        <w:t>Metafyziku</w:t>
      </w:r>
      <w:r w:rsidRPr="003D1E07">
        <w:rPr>
          <w:rStyle w:val="addmd"/>
        </w:rPr>
        <w:t xml:space="preserve"> a pro </w:t>
      </w:r>
      <w:r w:rsidRPr="003D1E07">
        <w:rPr>
          <w:rStyle w:val="addmd"/>
          <w:i/>
        </w:rPr>
        <w:t>Kategorie</w:t>
      </w:r>
      <w:r w:rsidRPr="003D1E07">
        <w:rPr>
          <w:rStyle w:val="addmd"/>
        </w:rPr>
        <w:t xml:space="preserve">. </w:t>
      </w:r>
      <w:r w:rsidRPr="003D1E07">
        <w:t xml:space="preserve">Objektivní určení tělesa, materie a extenze způsobilo, že nová substance daná ve formě </w:t>
      </w:r>
      <w:r w:rsidRPr="003D1E07">
        <w:lastRenderedPageBreak/>
        <w:t>kvazi-fyzikálního tělesa může přibírat jakákoliv další formální určení, protože analogická podobnost nemá žádná omezení daná z reality. Dění bytí po</w:t>
      </w:r>
      <w:r w:rsidRPr="003D1E07">
        <w:noBreakHyphen/>
        <w:t xml:space="preserve">odhalené skrze modus pythické pravdy </w:t>
      </w:r>
      <w:r w:rsidRPr="003D1E07">
        <w:rPr>
          <w:i/>
        </w:rPr>
        <w:t>a/létheia</w:t>
      </w:r>
      <w:r w:rsidRPr="003D1E07">
        <w:t xml:space="preserve"> a moderně dané skrze Porfyriovo zatmění první substance</w:t>
      </w:r>
      <w:r w:rsidRPr="003D1E07">
        <w:fldChar w:fldCharType="begin"/>
      </w:r>
      <w:r w:rsidRPr="003D1E07">
        <w:instrText xml:space="preserve"> XE "zatmění:substance" </w:instrText>
      </w:r>
      <w:r w:rsidRPr="003D1E07">
        <w:fldChar w:fldCharType="end"/>
      </w:r>
      <w:r w:rsidRPr="003D1E07">
        <w:t xml:space="preserve"> vytvořilo novou formu náhledu na substanci. Na tuto „teoretickou“ formu myšlení praktikovanou v rámci synkretistické frenezie upadajícího myšlení pozdní antiky naváží filosofičtí ilumináti </w:t>
      </w:r>
      <w:r w:rsidRPr="003D1E07">
        <w:rPr>
          <w:rStyle w:val="addmd"/>
        </w:rPr>
        <w:fldChar w:fldCharType="begin"/>
      </w:r>
      <w:r w:rsidRPr="003D1E07">
        <w:instrText xml:space="preserve"> XE "ilumináti" </w:instrText>
      </w:r>
      <w:r w:rsidRPr="003D1E07">
        <w:rPr>
          <w:rStyle w:val="addmd"/>
        </w:rPr>
        <w:fldChar w:fldCharType="end"/>
      </w:r>
      <w:r w:rsidRPr="003D1E07">
        <w:t xml:space="preserve">vrcholné scholastiky (Rufus, Kilwardby, Bonaventura). Škola editující </w:t>
      </w:r>
      <w:r w:rsidRPr="003D1E07">
        <w:rPr>
          <w:i/>
        </w:rPr>
        <w:t>Summa Halensis</w:t>
      </w:r>
      <w:r w:rsidRPr="003D1E07">
        <w:rPr>
          <w:i/>
        </w:rPr>
        <w:fldChar w:fldCharType="begin"/>
      </w:r>
      <w:r w:rsidRPr="003D1E07">
        <w:instrText xml:space="preserve"> XE "</w:instrText>
      </w:r>
      <w:r w:rsidRPr="003D1E07">
        <w:rPr>
          <w:i/>
        </w:rPr>
        <w:instrText>Summa Halensis</w:instrText>
      </w:r>
      <w:r w:rsidRPr="003D1E07">
        <w:instrText xml:space="preserve">" </w:instrText>
      </w:r>
      <w:r w:rsidRPr="003D1E07">
        <w:rPr>
          <w:i/>
        </w:rPr>
        <w:fldChar w:fldCharType="end"/>
      </w:r>
      <w:r w:rsidRPr="003D1E07">
        <w:t xml:space="preserve"> převede kolem 1240‒50 v Paříži demiurgický mýtus neoplatoniků do objektivního diakosmu daného v rámci křesťanské ontoteologie. Simplikiův komentář ke </w:t>
      </w:r>
      <w:r w:rsidRPr="003D1E07">
        <w:rPr>
          <w:i/>
        </w:rPr>
        <w:t>Kategoriím</w:t>
      </w:r>
      <w:r w:rsidRPr="003D1E07">
        <w:t xml:space="preserve"> bude hrát klíčovou úlohu ve druhé vlně objektivity dané od roku 1280. Objektivní určení jsoucna byla v karteziánské postmoderně rozšířena o primární kvality jako je konečnost, nekonečnost, odpor, neprostupnost, hmotnost atd. Epochálním obratem k fyzice postavené mimo realitu první substance je ukončeno další kolo gigantomachie</w:t>
      </w:r>
      <w:r w:rsidRPr="003D1E07">
        <w:fldChar w:fldCharType="begin"/>
      </w:r>
      <w:r w:rsidRPr="003D1E07">
        <w:instrText xml:space="preserve"> XE "substance:gigantomachie" </w:instrText>
      </w:r>
      <w:r w:rsidRPr="003D1E07">
        <w:fldChar w:fldCharType="end"/>
      </w:r>
      <w:r w:rsidRPr="003D1E07">
        <w:t xml:space="preserve"> o substanci (kap. 1.3) a začíná specifické bloudění a paranoia západní metafyziky (</w:t>
      </w:r>
      <w:r w:rsidRPr="003D1E07">
        <w:rPr>
          <w:i/>
        </w:rPr>
        <w:t>Irre</w:t>
      </w:r>
      <w:r w:rsidRPr="003D1E07">
        <w:rPr>
          <w:i/>
        </w:rPr>
        <w:fldChar w:fldCharType="begin"/>
      </w:r>
      <w:r w:rsidRPr="003D1E07">
        <w:instrText xml:space="preserve"> XE "</w:instrText>
      </w:r>
      <w:r w:rsidRPr="003D1E07">
        <w:rPr>
          <w:i/>
        </w:rPr>
        <w:instrText>Irre</w:instrText>
      </w:r>
      <w:r w:rsidRPr="003D1E07">
        <w:instrText xml:space="preserve">" </w:instrText>
      </w:r>
      <w:r w:rsidRPr="003D1E07">
        <w:rPr>
          <w:i/>
        </w:rPr>
        <w:fldChar w:fldCharType="end"/>
      </w:r>
      <w:r w:rsidRPr="003D1E07">
        <w:t>). Epochálně danou dráhu pohledu na jsoucno (</w:t>
      </w:r>
      <w:r w:rsidRPr="003D1E07">
        <w:rPr>
          <w:i/>
        </w:rPr>
        <w:t>Vor-blickbahn</w:t>
      </w:r>
      <w:r w:rsidRPr="003D1E07">
        <w:rPr>
          <w:i/>
        </w:rPr>
        <w:fldChar w:fldCharType="begin"/>
      </w:r>
      <w:r w:rsidRPr="003D1E07">
        <w:instrText xml:space="preserve"> XE "</w:instrText>
      </w:r>
      <w:r w:rsidRPr="003D1E07">
        <w:rPr>
          <w:i/>
        </w:rPr>
        <w:instrText>Vor-b</w:instrText>
      </w:r>
      <w:r w:rsidRPr="003D1E07">
        <w:rPr>
          <w:i/>
          <w:iCs/>
        </w:rPr>
        <w:instrText>lickbahn</w:instrText>
      </w:r>
      <w:r w:rsidRPr="003D1E07">
        <w:rPr>
          <w:iCs/>
        </w:rPr>
        <w:instrText>:Aristoteles</w:instrText>
      </w:r>
      <w:r w:rsidRPr="003D1E07">
        <w:instrText xml:space="preserve">" </w:instrText>
      </w:r>
      <w:r w:rsidRPr="003D1E07">
        <w:rPr>
          <w:i/>
        </w:rPr>
        <w:fldChar w:fldCharType="end"/>
      </w:r>
      <w:r w:rsidRPr="003D1E07">
        <w:t xml:space="preserve">) předtím určoval Aristotelem hledaný význam bytí </w:t>
      </w:r>
      <w:r>
        <w:t xml:space="preserve">jsoucna </w:t>
      </w:r>
      <w:r w:rsidRPr="003D1E07">
        <w:t xml:space="preserve">daný v původním hledání jednoty všeho jsoucího za fyzikou. Metafyzika je fundamentálně determinovaná fyzikou první substance </w:t>
      </w:r>
      <w:r w:rsidRPr="003D1E07">
        <w:rPr>
          <w:i/>
        </w:rPr>
        <w:t>qua</w:t>
      </w:r>
      <w:r w:rsidRPr="003D1E07">
        <w:t xml:space="preserve"> substance</w:t>
      </w:r>
      <w:r w:rsidRPr="003D1E07">
        <w:fldChar w:fldCharType="begin"/>
      </w:r>
      <w:r w:rsidRPr="003D1E07">
        <w:instrText xml:space="preserve"> XE "substance:</w:instrText>
      </w:r>
      <w:r w:rsidRPr="003D1E07">
        <w:rPr>
          <w:i/>
        </w:rPr>
        <w:instrText>qua</w:instrText>
      </w:r>
      <w:r w:rsidRPr="003D1E07">
        <w:instrText xml:space="preserve"> substance" </w:instrText>
      </w:r>
      <w:r w:rsidRPr="003D1E07">
        <w:fldChar w:fldCharType="end"/>
      </w:r>
      <w:r w:rsidRPr="003D1E07">
        <w:t xml:space="preserve">. Protože existuje reálné těleso dané jako první substance s vlastní kauzalitou, tak máme fyziku těles. A protože máme vědecké poznání o reálné kauzalitě těles, pak může poslední část spisu </w:t>
      </w:r>
      <w:r w:rsidRPr="003D1E07">
        <w:rPr>
          <w:i/>
        </w:rPr>
        <w:t>Fyzika</w:t>
      </w:r>
      <w:r w:rsidRPr="003D1E07">
        <w:t xml:space="preserve"> přejít do metafyziky. Závěrečná  osmá kniha </w:t>
      </w:r>
      <w:r w:rsidRPr="003D1E07">
        <w:rPr>
          <w:i/>
        </w:rPr>
        <w:t>Fyziky</w:t>
      </w:r>
      <w:r w:rsidRPr="003D1E07">
        <w:t xml:space="preserve"> řeší problém věčného pohybu spojeného s metafyzickou otázkou </w:t>
      </w:r>
      <w:r w:rsidRPr="003D1E07">
        <w:rPr>
          <w:i/>
        </w:rPr>
        <w:t>Primum Mobile</w:t>
      </w:r>
      <w:r w:rsidRPr="003D1E07">
        <w:rPr>
          <w:i/>
        </w:rPr>
        <w:fldChar w:fldCharType="begin"/>
      </w:r>
      <w:r w:rsidRPr="003D1E07">
        <w:instrText xml:space="preserve"> XE "</w:instrText>
      </w:r>
      <w:r w:rsidRPr="003D1E07">
        <w:rPr>
          <w:i/>
        </w:rPr>
        <w:instrText>Primum Mobile</w:instrText>
      </w:r>
      <w:r w:rsidRPr="003D1E07">
        <w:instrText xml:space="preserve">" </w:instrText>
      </w:r>
      <w:r w:rsidRPr="003D1E07">
        <w:rPr>
          <w:i/>
        </w:rPr>
        <w:fldChar w:fldCharType="end"/>
      </w:r>
      <w:r w:rsidRPr="003D1E07">
        <w:t xml:space="preserve">. Jedině tento postup daný nasvícením </w:t>
      </w:r>
      <w:r w:rsidRPr="003D1E07">
        <w:rPr>
          <w:i/>
        </w:rPr>
        <w:t>Metafyziky</w:t>
      </w:r>
      <w:r w:rsidRPr="003D1E07">
        <w:t xml:space="preserve"> od fyzikálních vlastností první substance zkoumané </w:t>
      </w:r>
      <w:r w:rsidRPr="003D1E07">
        <w:rPr>
          <w:i/>
        </w:rPr>
        <w:t>Fyzikou</w:t>
      </w:r>
      <w:r w:rsidRPr="003D1E07">
        <w:t xml:space="preserve"> je podle Aristotela vědecký a zakládá jednotu hledané první vědy. Neoplatonské opuštění reálné první substance ustavilo novou první vědu o jsoucnu, která si vytvořila objektivní fyziku danou podle filosofické pohá</w:t>
      </w:r>
      <w:r w:rsidR="00ED2C95">
        <w:t>dky.</w:t>
      </w:r>
    </w:p>
    <w:p w14:paraId="6777471C" w14:textId="2B1B7864" w:rsidR="00CA0DB7" w:rsidRPr="003D1E07" w:rsidRDefault="007F7D4E" w:rsidP="00DC10D6">
      <w:pPr>
        <w:ind w:firstLine="397"/>
      </w:pPr>
      <w:r w:rsidRPr="003D1E07">
        <w:t>Výklad aristotelského Korpusu podle Jamblicha a Simplikia dal moderní substanci první formu dějinně účinného vědění objektivity. Neoplatonští ilumináti udělali z Porfyriovy substance nové jsoucno třetího druhu, k němuž vytvořili příslušnou fyziku a metafyziku podle mytopoetické</w:t>
      </w:r>
      <w:r w:rsidRPr="003D1E07">
        <w:fldChar w:fldCharType="begin"/>
      </w:r>
      <w:r w:rsidRPr="003D1E07">
        <w:instrText xml:space="preserve"> XE "mytopoiesis" </w:instrText>
      </w:r>
      <w:r w:rsidRPr="003D1E07">
        <w:fldChar w:fldCharType="end"/>
      </w:r>
      <w:r w:rsidRPr="003D1E07">
        <w:t xml:space="preserve"> fabulace dialogu </w:t>
      </w:r>
      <w:r w:rsidRPr="003D1E07">
        <w:rPr>
          <w:i/>
        </w:rPr>
        <w:t>Timaios</w:t>
      </w:r>
      <w:r>
        <w:t xml:space="preserve">. </w:t>
      </w:r>
      <w:r w:rsidR="00963052" w:rsidRPr="003D1E07">
        <w:t xml:space="preserve">V pozdním neoplatonismu přestal platit aristotelský princip reality založený na dvojím určení predikace </w:t>
      </w:r>
      <w:r w:rsidR="00963052" w:rsidRPr="003D1E07">
        <w:rPr>
          <w:i/>
        </w:rPr>
        <w:t>per prius</w:t>
      </w:r>
      <w:r w:rsidR="00963052" w:rsidRPr="003D1E07">
        <w:t xml:space="preserve"> vztažené jinak k první a jinak ke druhé substanci. Místo hyparchického postavení první substance začíná fungovat model unive</w:t>
      </w:r>
      <w:r w:rsidR="081068F0" w:rsidRPr="003D1E07">
        <w:t>r</w:t>
      </w:r>
      <w:r w:rsidR="00963052" w:rsidRPr="003D1E07">
        <w:t xml:space="preserve">zální matematické analogie napojené na mystické počátky myšlení u pythágorejců. </w:t>
      </w:r>
      <w:r w:rsidR="00FE73DD" w:rsidRPr="003D1E07">
        <w:t xml:space="preserve">V tomto objektivně daném diakosmu vládne univerzální </w:t>
      </w:r>
      <w:r w:rsidR="00FE73DD" w:rsidRPr="003D1E07">
        <w:rPr>
          <w:i/>
        </w:rPr>
        <w:t>intellectus agens</w:t>
      </w:r>
      <w:r w:rsidR="00FE73DD" w:rsidRPr="003D1E07">
        <w:rPr>
          <w:i/>
        </w:rPr>
        <w:fldChar w:fldCharType="begin"/>
      </w:r>
      <w:r w:rsidR="00FE73DD" w:rsidRPr="003D1E07">
        <w:instrText xml:space="preserve"> XE "</w:instrText>
      </w:r>
      <w:r w:rsidR="00FE73DD" w:rsidRPr="003D1E07">
        <w:rPr>
          <w:i/>
        </w:rPr>
        <w:instrText>intellectus agens:</w:instrText>
      </w:r>
      <w:r w:rsidR="00FE73DD" w:rsidRPr="003D1E07">
        <w:instrText xml:space="preserve">neoplatonismus" </w:instrText>
      </w:r>
      <w:r w:rsidR="00FE73DD" w:rsidRPr="003D1E07">
        <w:rPr>
          <w:i/>
        </w:rPr>
        <w:fldChar w:fldCharType="end"/>
      </w:r>
      <w:r w:rsidR="00FE73DD" w:rsidRPr="003D1E07">
        <w:t xml:space="preserve">, který je aktuálně </w:t>
      </w:r>
      <w:r w:rsidR="00FE73DD" w:rsidRPr="003D1E07">
        <w:lastRenderedPageBreak/>
        <w:t xml:space="preserve">určující formou vzhledem k čemukoliv jinému, potenciálně určitelnému. </w:t>
      </w:r>
      <w:r w:rsidR="00963052" w:rsidRPr="003D1E07">
        <w:t xml:space="preserve">V </w:t>
      </w:r>
      <w:r w:rsidR="08E40992" w:rsidRPr="003D1E07">
        <w:t xml:space="preserve">objektivním </w:t>
      </w:r>
      <w:r w:rsidR="087B291B" w:rsidRPr="003D1E07">
        <w:t>dia</w:t>
      </w:r>
      <w:r w:rsidR="00963052" w:rsidRPr="003D1E07">
        <w:t xml:space="preserve">kosmu </w:t>
      </w:r>
      <w:r w:rsidR="08E40992" w:rsidRPr="003D1E07">
        <w:t xml:space="preserve">neoplatonských iluminátů </w:t>
      </w:r>
      <w:r w:rsidR="00963052" w:rsidRPr="003D1E07">
        <w:t xml:space="preserve">vládne univerzální sympatie a analogie všeho se vším, které předsedá osvícený a pilný gnostik nadaný nevšedními demiurgickými vlastnostmi téměř božského charakteru. </w:t>
      </w:r>
      <w:r w:rsidR="0078509B" w:rsidRPr="003D1E07">
        <w:t>I</w:t>
      </w:r>
      <w:r w:rsidR="00963052" w:rsidRPr="003D1E07">
        <w:t xml:space="preserve">ntelekt božího muže není Jedním, ale spekulativně se </w:t>
      </w:r>
      <w:r w:rsidR="0808034C" w:rsidRPr="003D1E07">
        <w:t>v Jednom</w:t>
      </w:r>
      <w:r w:rsidR="00963052" w:rsidRPr="003D1E07">
        <w:t xml:space="preserve"> shlíží. </w:t>
      </w:r>
      <w:r w:rsidR="087B291B" w:rsidRPr="003D1E07">
        <w:t>U</w:t>
      </w:r>
      <w:r w:rsidR="00963052" w:rsidRPr="003D1E07">
        <w:t xml:space="preserve">nivoční intelektuální zrcadlení </w:t>
      </w:r>
      <w:r w:rsidR="087B291B" w:rsidRPr="003D1E07">
        <w:t xml:space="preserve">Jednoho a Mnohého </w:t>
      </w:r>
      <w:r w:rsidR="00963052" w:rsidRPr="003D1E07">
        <w:t>produkuje zdvojené bytí</w:t>
      </w:r>
      <w:r w:rsidR="00963052" w:rsidRPr="003D1E07">
        <w:fldChar w:fldCharType="begin"/>
      </w:r>
      <w:r w:rsidR="00963052" w:rsidRPr="003D1E07">
        <w:instrText xml:space="preserve"> XE "zdvojení bytí" </w:instrText>
      </w:r>
      <w:r w:rsidR="00963052" w:rsidRPr="003D1E07">
        <w:fldChar w:fldCharType="end"/>
      </w:r>
      <w:r w:rsidR="00963052" w:rsidRPr="003D1E07">
        <w:t xml:space="preserve"> v modu sofistického simulákra</w:t>
      </w:r>
      <w:r w:rsidR="00963052" w:rsidRPr="003D1E07">
        <w:fldChar w:fldCharType="begin"/>
      </w:r>
      <w:r w:rsidR="00963052" w:rsidRPr="003D1E07">
        <w:instrText xml:space="preserve"> XE "simulákrum" </w:instrText>
      </w:r>
      <w:r w:rsidR="00963052" w:rsidRPr="003D1E07">
        <w:fldChar w:fldCharType="end"/>
      </w:r>
      <w:r w:rsidR="00963052" w:rsidRPr="003D1E07">
        <w:t xml:space="preserve">, které již v primárním henologickém stavu </w:t>
      </w:r>
      <w:r w:rsidR="0855769A" w:rsidRPr="003D1E07">
        <w:t xml:space="preserve">Jednoho </w:t>
      </w:r>
      <w:r w:rsidR="00963052" w:rsidRPr="003D1E07">
        <w:t>obsahuje jednotu a mnohost</w:t>
      </w:r>
      <w:r w:rsidR="00963052" w:rsidRPr="003D1E07">
        <w:rPr>
          <w:rStyle w:val="addmd"/>
        </w:rPr>
        <w:fldChar w:fldCharType="begin"/>
      </w:r>
      <w:r w:rsidR="00963052" w:rsidRPr="003D1E07">
        <w:instrText xml:space="preserve"> XE "henologie" </w:instrText>
      </w:r>
      <w:r w:rsidR="00963052" w:rsidRPr="003D1E07">
        <w:rPr>
          <w:rStyle w:val="addmd"/>
        </w:rPr>
        <w:fldChar w:fldCharType="end"/>
      </w:r>
      <w:r w:rsidR="00963052" w:rsidRPr="003D1E07">
        <w:t xml:space="preserve">. </w:t>
      </w:r>
      <w:r w:rsidR="00963052" w:rsidRPr="003D1E07">
        <w:rPr>
          <w:lang w:eastAsia="en-US"/>
        </w:rPr>
        <w:t xml:space="preserve">Ontoteologická struktura predikace </w:t>
      </w:r>
      <w:r w:rsidR="00963052" w:rsidRPr="003D1E07">
        <w:rPr>
          <w:rStyle w:val="addmd"/>
        </w:rPr>
        <w:fldChar w:fldCharType="begin"/>
      </w:r>
      <w:r w:rsidR="00963052" w:rsidRPr="003D1E07">
        <w:instrText xml:space="preserve"> XE "predikace:ontoteologická" </w:instrText>
      </w:r>
      <w:r w:rsidR="00963052" w:rsidRPr="003D1E07">
        <w:rPr>
          <w:rStyle w:val="addmd"/>
        </w:rPr>
        <w:fldChar w:fldCharType="end"/>
      </w:r>
      <w:r w:rsidR="00963052" w:rsidRPr="003D1E07">
        <w:rPr>
          <w:lang w:eastAsia="en-US"/>
        </w:rPr>
        <w:t>je umožněna tím, že paradoxní spojení Mnohého a Jednoho je dáno přímo do boží a pak do lidské mysli. Ze světa původních forem lze henologickou</w:t>
      </w:r>
      <w:r w:rsidR="00963052" w:rsidRPr="003D1E07">
        <w:rPr>
          <w:lang w:eastAsia="en-US"/>
        </w:rPr>
        <w:fldChar w:fldCharType="begin"/>
      </w:r>
      <w:r w:rsidR="00963052" w:rsidRPr="003D1E07">
        <w:instrText xml:space="preserve"> XE "</w:instrText>
      </w:r>
      <w:r w:rsidR="00963052" w:rsidRPr="003D1E07">
        <w:rPr>
          <w:lang w:eastAsia="en-US"/>
        </w:rPr>
        <w:instrText>henologie</w:instrText>
      </w:r>
      <w:r w:rsidR="00963052" w:rsidRPr="003D1E07">
        <w:instrText xml:space="preserve">" </w:instrText>
      </w:r>
      <w:r w:rsidR="00963052" w:rsidRPr="003D1E07">
        <w:rPr>
          <w:lang w:eastAsia="en-US"/>
        </w:rPr>
        <w:fldChar w:fldCharType="end"/>
      </w:r>
      <w:r w:rsidR="00963052" w:rsidRPr="003D1E07">
        <w:rPr>
          <w:lang w:eastAsia="en-US"/>
        </w:rPr>
        <w:t xml:space="preserve"> jednotu vyčíst díky analogicky sdílenému aktu </w:t>
      </w:r>
      <w:r w:rsidR="081C7C80" w:rsidRPr="003D1E07">
        <w:rPr>
          <w:lang w:eastAsia="en-US"/>
        </w:rPr>
        <w:t xml:space="preserve">prvního objektivního </w:t>
      </w:r>
      <w:r w:rsidR="00963052" w:rsidRPr="003D1E07">
        <w:rPr>
          <w:lang w:eastAsia="en-US"/>
        </w:rPr>
        <w:t xml:space="preserve">poznání založeného </w:t>
      </w:r>
      <w:r w:rsidR="080E161D" w:rsidRPr="003D1E07">
        <w:rPr>
          <w:lang w:eastAsia="en-US"/>
        </w:rPr>
        <w:t>theurgicky, mytopoeticky</w:t>
      </w:r>
      <w:r w:rsidR="08616081" w:rsidRPr="003D1E07">
        <w:fldChar w:fldCharType="begin"/>
      </w:r>
      <w:r w:rsidR="08616081" w:rsidRPr="003D1E07">
        <w:instrText xml:space="preserve"> XE "mytopoiesis" </w:instrText>
      </w:r>
      <w:r w:rsidR="08616081" w:rsidRPr="003D1E07">
        <w:fldChar w:fldCharType="end"/>
      </w:r>
      <w:r w:rsidR="08513BF4" w:rsidRPr="003D1E07">
        <w:rPr>
          <w:lang w:eastAsia="en-US"/>
        </w:rPr>
        <w:t xml:space="preserve"> </w:t>
      </w:r>
      <w:r w:rsidR="00963052" w:rsidRPr="003D1E07">
        <w:rPr>
          <w:lang w:eastAsia="en-US"/>
        </w:rPr>
        <w:t xml:space="preserve">a matematicky. Ontoteologické určení jsoucna v </w:t>
      </w:r>
      <w:r w:rsidR="00874074" w:rsidRPr="003D1E07">
        <w:rPr>
          <w:lang w:eastAsia="en-US"/>
        </w:rPr>
        <w:t>neoplatonsk</w:t>
      </w:r>
      <w:r w:rsidR="00963052" w:rsidRPr="003D1E07">
        <w:rPr>
          <w:lang w:eastAsia="en-US"/>
        </w:rPr>
        <w:t xml:space="preserve">ém projektu </w:t>
      </w:r>
      <w:r w:rsidR="08F5610A" w:rsidRPr="003D1E07">
        <w:rPr>
          <w:lang w:eastAsia="en-US"/>
        </w:rPr>
        <w:t xml:space="preserve">objektivní </w:t>
      </w:r>
      <w:r w:rsidR="00963052" w:rsidRPr="003D1E07">
        <w:rPr>
          <w:lang w:eastAsia="en-US"/>
        </w:rPr>
        <w:t xml:space="preserve">metafyziky </w:t>
      </w:r>
      <w:r w:rsidR="08F5610A" w:rsidRPr="003D1E07">
        <w:rPr>
          <w:lang w:eastAsia="en-US"/>
        </w:rPr>
        <w:t xml:space="preserve">vzniká tím, že </w:t>
      </w:r>
      <w:r w:rsidR="00963052" w:rsidRPr="003D1E07">
        <w:rPr>
          <w:lang w:eastAsia="en-US"/>
        </w:rPr>
        <w:t xml:space="preserve">jsoucno </w:t>
      </w:r>
      <w:r w:rsidR="08F5610A" w:rsidRPr="003D1E07">
        <w:rPr>
          <w:lang w:eastAsia="en-US"/>
        </w:rPr>
        <w:t xml:space="preserve">je determinováno archetypicky a formálně. Nová fyzika a metafyzika vznikla mytopoeticky </w:t>
      </w:r>
      <w:r w:rsidR="08F5610A" w:rsidRPr="003D1E07">
        <w:rPr>
          <w:i/>
          <w:lang w:eastAsia="en-US"/>
        </w:rPr>
        <w:t>ex nihilo</w:t>
      </w:r>
      <w:r w:rsidR="08F5610A" w:rsidRPr="003D1E07">
        <w:rPr>
          <w:i/>
          <w:lang w:eastAsia="en-US"/>
        </w:rPr>
        <w:fldChar w:fldCharType="begin"/>
      </w:r>
      <w:r w:rsidR="08F5610A" w:rsidRPr="003D1E07">
        <w:instrText xml:space="preserve"> XE "</w:instrText>
      </w:r>
      <w:r w:rsidR="08F5610A" w:rsidRPr="003D1E07">
        <w:rPr>
          <w:i/>
          <w:lang w:eastAsia="en-US"/>
        </w:rPr>
        <w:instrText>creatio ex nihilo</w:instrText>
      </w:r>
      <w:r w:rsidR="08F5610A" w:rsidRPr="003D1E07">
        <w:instrText xml:space="preserve">" </w:instrText>
      </w:r>
      <w:r w:rsidR="08F5610A" w:rsidRPr="003D1E07">
        <w:rPr>
          <w:i/>
          <w:lang w:eastAsia="en-US"/>
        </w:rPr>
        <w:fldChar w:fldCharType="end"/>
      </w:r>
      <w:r w:rsidR="08F5610A" w:rsidRPr="003D1E07">
        <w:rPr>
          <w:lang w:eastAsia="en-US"/>
        </w:rPr>
        <w:t xml:space="preserve"> </w:t>
      </w:r>
      <w:r w:rsidR="00963052" w:rsidRPr="003D1E07">
        <w:rPr>
          <w:lang w:eastAsia="en-US"/>
        </w:rPr>
        <w:t xml:space="preserve">mimo jakýkoliv pohyb, vznik a zánik </w:t>
      </w:r>
      <w:r w:rsidR="086B71D7" w:rsidRPr="003D1E07">
        <w:rPr>
          <w:lang w:eastAsia="en-US"/>
        </w:rPr>
        <w:t xml:space="preserve">první </w:t>
      </w:r>
      <w:r w:rsidR="00963052" w:rsidRPr="003D1E07">
        <w:rPr>
          <w:lang w:eastAsia="en-US"/>
        </w:rPr>
        <w:t xml:space="preserve">substance </w:t>
      </w:r>
      <w:r w:rsidR="086B71D7" w:rsidRPr="003D1E07">
        <w:rPr>
          <w:lang w:eastAsia="en-US"/>
        </w:rPr>
        <w:t xml:space="preserve">a </w:t>
      </w:r>
      <w:r w:rsidR="00963052" w:rsidRPr="003D1E07">
        <w:rPr>
          <w:lang w:eastAsia="en-US"/>
        </w:rPr>
        <w:t>kauzálně daného dění</w:t>
      </w:r>
      <w:r w:rsidR="086B71D7" w:rsidRPr="003D1E07">
        <w:rPr>
          <w:lang w:eastAsia="en-US"/>
        </w:rPr>
        <w:t xml:space="preserve"> fyzikálních těles</w:t>
      </w:r>
      <w:r w:rsidR="00963052" w:rsidRPr="003D1E07">
        <w:rPr>
          <w:lang w:eastAsia="en-US"/>
        </w:rPr>
        <w:t>. Diakosmos představuje božský limbus reality a objektivity</w:t>
      </w:r>
      <w:r w:rsidR="00963052" w:rsidRPr="003D1E07">
        <w:rPr>
          <w:rStyle w:val="addmd"/>
        </w:rPr>
        <w:fldChar w:fldCharType="begin"/>
      </w:r>
      <w:r w:rsidR="00963052" w:rsidRPr="003D1E07">
        <w:instrText xml:space="preserve"> XE "diakosmos" </w:instrText>
      </w:r>
      <w:r w:rsidR="00963052" w:rsidRPr="003D1E07">
        <w:rPr>
          <w:rStyle w:val="addmd"/>
        </w:rPr>
        <w:fldChar w:fldCharType="end"/>
      </w:r>
      <w:r w:rsidR="00963052" w:rsidRPr="003D1E07">
        <w:rPr>
          <w:lang w:eastAsia="en-US"/>
        </w:rPr>
        <w:t xml:space="preserve">, v němž jsoucno je a současně není. Lidský intelekt identifikovaný s touto říší ducha v modu analogie </w:t>
      </w:r>
      <w:r w:rsidR="00963052" w:rsidRPr="003D1E07">
        <w:t xml:space="preserve">zkoumá vlastnosti první substance z mystické </w:t>
      </w:r>
      <w:r w:rsidR="08B3219A" w:rsidRPr="003D1E07">
        <w:t>pozice božího oka</w:t>
      </w:r>
      <w:r w:rsidR="00963052" w:rsidRPr="003D1E07">
        <w:t>. I</w:t>
      </w:r>
      <w:r w:rsidR="00963052" w:rsidRPr="003D1E07">
        <w:rPr>
          <w:lang w:eastAsia="en-US"/>
        </w:rPr>
        <w:t xml:space="preserve">luminát se </w:t>
      </w:r>
      <w:r w:rsidR="085057C8" w:rsidRPr="003D1E07">
        <w:rPr>
          <w:lang w:eastAsia="en-US"/>
        </w:rPr>
        <w:t xml:space="preserve">pohybuje pod vlivem </w:t>
      </w:r>
      <w:r w:rsidR="006F3E94">
        <w:rPr>
          <w:lang w:eastAsia="en-US"/>
        </w:rPr>
        <w:t xml:space="preserve">objektivně schopných </w:t>
      </w:r>
      <w:r w:rsidR="08CE4DB5" w:rsidRPr="003D1E07">
        <w:rPr>
          <w:lang w:eastAsia="en-US"/>
        </w:rPr>
        <w:t>Fúrií</w:t>
      </w:r>
      <w:r w:rsidR="087F4AEA" w:rsidRPr="003D1E07">
        <w:rPr>
          <w:lang w:eastAsia="en-US"/>
        </w:rPr>
        <w:fldChar w:fldCharType="begin"/>
      </w:r>
      <w:r w:rsidR="087F4AEA" w:rsidRPr="003D1E07">
        <w:instrText xml:space="preserve"> XE "</w:instrText>
      </w:r>
      <w:r w:rsidR="08636E05" w:rsidRPr="003D1E07">
        <w:instrText>Eríny</w:instrText>
      </w:r>
      <w:r w:rsidR="087F4AEA" w:rsidRPr="003D1E07">
        <w:instrText xml:space="preserve">e" </w:instrText>
      </w:r>
      <w:r w:rsidR="087F4AEA" w:rsidRPr="003D1E07">
        <w:rPr>
          <w:lang w:eastAsia="en-US"/>
        </w:rPr>
        <w:fldChar w:fldCharType="end"/>
      </w:r>
      <w:r w:rsidR="08CE4DB5" w:rsidRPr="003D1E07">
        <w:rPr>
          <w:lang w:eastAsia="en-US"/>
        </w:rPr>
        <w:t xml:space="preserve"> </w:t>
      </w:r>
      <w:r w:rsidR="00963052" w:rsidRPr="003D1E07">
        <w:rPr>
          <w:lang w:eastAsia="en-US"/>
        </w:rPr>
        <w:t xml:space="preserve">ve světě ideální analogie, kde může po </w:t>
      </w:r>
      <w:r w:rsidR="080D7C7D" w:rsidRPr="003D1E07">
        <w:rPr>
          <w:lang w:eastAsia="en-US"/>
        </w:rPr>
        <w:t xml:space="preserve">mystickém </w:t>
      </w:r>
      <w:r w:rsidR="00963052" w:rsidRPr="003D1E07">
        <w:rPr>
          <w:lang w:eastAsia="en-US"/>
        </w:rPr>
        <w:t xml:space="preserve">žebříku forem vystupovat </w:t>
      </w:r>
      <w:r w:rsidR="080D7C7D" w:rsidRPr="003D1E07">
        <w:rPr>
          <w:lang w:eastAsia="en-US"/>
        </w:rPr>
        <w:t xml:space="preserve">jako boží posel </w:t>
      </w:r>
      <w:r w:rsidR="00963052" w:rsidRPr="003D1E07">
        <w:rPr>
          <w:lang w:eastAsia="en-US"/>
        </w:rPr>
        <w:t>nahoru a dolů</w:t>
      </w:r>
      <w:r w:rsidR="00963052" w:rsidRPr="003D1E07">
        <w:rPr>
          <w:rStyle w:val="addmd"/>
        </w:rPr>
        <w:fldChar w:fldCharType="begin"/>
      </w:r>
      <w:r w:rsidR="00963052" w:rsidRPr="003D1E07">
        <w:instrText xml:space="preserve"> XE "vidění:ilumináti" </w:instrText>
      </w:r>
      <w:r w:rsidR="00963052" w:rsidRPr="003D1E07">
        <w:rPr>
          <w:rStyle w:val="addmd"/>
        </w:rPr>
        <w:fldChar w:fldCharType="end"/>
      </w:r>
      <w:r w:rsidR="00963052" w:rsidRPr="003D1E07">
        <w:rPr>
          <w:lang w:eastAsia="en-US"/>
        </w:rPr>
        <w:t xml:space="preserve">. Pro modernu najde tuto cestovní mapu křesťanským diakosmem Bonaventurovo dílo </w:t>
      </w:r>
      <w:r w:rsidR="00963052" w:rsidRPr="003D1E07">
        <w:rPr>
          <w:i/>
          <w:lang w:eastAsia="en-US"/>
        </w:rPr>
        <w:t>Itinerarium mentis</w:t>
      </w:r>
      <w:r w:rsidR="00963052" w:rsidRPr="003D1E07">
        <w:rPr>
          <w:lang w:eastAsia="en-US"/>
        </w:rPr>
        <w:t xml:space="preserve"> (</w:t>
      </w:r>
      <w:r w:rsidR="081E41BA" w:rsidRPr="003D1E07">
        <w:rPr>
          <w:lang w:eastAsia="en-US"/>
        </w:rPr>
        <w:t>OBJ III, kap. 4</w:t>
      </w:r>
      <w:r w:rsidR="00963052" w:rsidRPr="003D1E07">
        <w:rPr>
          <w:lang w:eastAsia="en-US"/>
        </w:rPr>
        <w:t xml:space="preserve">.1.4). </w:t>
      </w:r>
      <w:r w:rsidR="00540453">
        <w:rPr>
          <w:lang w:eastAsia="en-US"/>
        </w:rPr>
        <w:t>P</w:t>
      </w:r>
      <w:r w:rsidR="00963052" w:rsidRPr="003D1E07">
        <w:rPr>
          <w:lang w:eastAsia="en-US"/>
        </w:rPr>
        <w:t>ostmoderna cestuje podle Hegelovy</w:t>
      </w:r>
      <w:r w:rsidR="00E157E5" w:rsidRPr="003D1E07">
        <w:rPr>
          <w:lang w:eastAsia="en-US"/>
        </w:rPr>
        <w:fldChar w:fldCharType="begin"/>
      </w:r>
      <w:r w:rsidR="00E157E5" w:rsidRPr="003D1E07">
        <w:instrText xml:space="preserve"> XE "</w:instrText>
      </w:r>
      <w:r w:rsidR="00E157E5" w:rsidRPr="003D1E07">
        <w:rPr>
          <w:lang w:eastAsia="en-US"/>
        </w:rPr>
        <w:instrText>Hegel, G. W.</w:instrText>
      </w:r>
      <w:r w:rsidR="00E157E5" w:rsidRPr="003D1E07">
        <w:instrText xml:space="preserve">" </w:instrText>
      </w:r>
      <w:r w:rsidR="00E157E5" w:rsidRPr="003D1E07">
        <w:rPr>
          <w:lang w:eastAsia="en-US"/>
        </w:rPr>
        <w:fldChar w:fldCharType="end"/>
      </w:r>
      <w:r w:rsidR="00963052" w:rsidRPr="003D1E07">
        <w:rPr>
          <w:lang w:eastAsia="en-US"/>
        </w:rPr>
        <w:t xml:space="preserve"> </w:t>
      </w:r>
      <w:r w:rsidR="00963052" w:rsidRPr="003D1E07">
        <w:rPr>
          <w:i/>
          <w:lang w:eastAsia="en-US"/>
        </w:rPr>
        <w:t>Fenomenologie ducha</w:t>
      </w:r>
      <w:r w:rsidR="08912B9F" w:rsidRPr="003D1E07">
        <w:fldChar w:fldCharType="begin"/>
      </w:r>
      <w:r w:rsidR="08912B9F" w:rsidRPr="003D1E07">
        <w:instrText xml:space="preserve"> XE "fenomenologie " </w:instrText>
      </w:r>
      <w:r w:rsidR="08912B9F" w:rsidRPr="003D1E07">
        <w:fldChar w:fldCharType="end"/>
      </w:r>
      <w:r w:rsidR="00963052" w:rsidRPr="003D1E07">
        <w:rPr>
          <w:lang w:eastAsia="en-US"/>
        </w:rPr>
        <w:t>, kterou v duchu prvního averroismu kriticky revidoval Marxův</w:t>
      </w:r>
      <w:r w:rsidR="00E157E5" w:rsidRPr="003D1E07">
        <w:rPr>
          <w:lang w:eastAsia="en-US"/>
        </w:rPr>
        <w:fldChar w:fldCharType="begin"/>
      </w:r>
      <w:r w:rsidR="00E157E5" w:rsidRPr="003D1E07">
        <w:instrText xml:space="preserve"> XE "</w:instrText>
      </w:r>
      <w:r w:rsidR="00E157E5" w:rsidRPr="003D1E07">
        <w:rPr>
          <w:lang w:eastAsia="en-US"/>
        </w:rPr>
        <w:instrText>Marx, K.</w:instrText>
      </w:r>
      <w:r w:rsidR="00E157E5" w:rsidRPr="003D1E07">
        <w:instrText xml:space="preserve">" </w:instrText>
      </w:r>
      <w:r w:rsidR="00E157E5" w:rsidRPr="003D1E07">
        <w:rPr>
          <w:lang w:eastAsia="en-US"/>
        </w:rPr>
        <w:fldChar w:fldCharType="end"/>
      </w:r>
      <w:r w:rsidR="00963052" w:rsidRPr="003D1E07">
        <w:rPr>
          <w:lang w:eastAsia="en-US"/>
        </w:rPr>
        <w:t xml:space="preserve"> </w:t>
      </w:r>
      <w:r w:rsidR="00963052" w:rsidRPr="003D1E07">
        <w:rPr>
          <w:i/>
          <w:lang w:eastAsia="en-US"/>
        </w:rPr>
        <w:t>Kapitál</w:t>
      </w:r>
      <w:r w:rsidR="00963052" w:rsidRPr="003D1E07">
        <w:rPr>
          <w:lang w:eastAsia="en-US"/>
        </w:rPr>
        <w:t xml:space="preserve">. </w:t>
      </w:r>
      <w:r w:rsidR="008B12D2" w:rsidRPr="003D1E07">
        <w:rPr>
          <w:lang w:eastAsia="en-US"/>
        </w:rPr>
        <w:t>Neoplatonsk</w:t>
      </w:r>
      <w:r w:rsidR="00963052" w:rsidRPr="003D1E07">
        <w:rPr>
          <w:lang w:eastAsia="en-US"/>
        </w:rPr>
        <w:t>ý i</w:t>
      </w:r>
      <w:r w:rsidR="00963052" w:rsidRPr="003D1E07">
        <w:t xml:space="preserve">luminát se usadil ve sféře primární jednoty jsoucího postavené mimo čas a mimo změnu. Demiurgická tvořivost subjektu přestala být omezována zvnějšku, protože </w:t>
      </w:r>
      <w:r w:rsidR="08282ED8" w:rsidRPr="003D1E07">
        <w:t xml:space="preserve">moderní paranoia </w:t>
      </w:r>
      <w:r w:rsidR="086B3E11" w:rsidRPr="003D1E07">
        <w:t xml:space="preserve">intelektu </w:t>
      </w:r>
      <w:r w:rsidR="08282ED8" w:rsidRPr="003D1E07">
        <w:t xml:space="preserve">a schizofrenie </w:t>
      </w:r>
      <w:r w:rsidR="086B3E11" w:rsidRPr="003D1E07">
        <w:t xml:space="preserve">demiurga </w:t>
      </w:r>
      <w:r w:rsidR="00963052" w:rsidRPr="003D1E07">
        <w:t xml:space="preserve">vytvořila paralelní noetický kosmos omezený pouze logikou, geometrií a matematikou. </w:t>
      </w:r>
      <w:r w:rsidR="0849497F" w:rsidRPr="003D1E07">
        <w:t xml:space="preserve">Jak je dobře známo, paranoik je tvor přísně logický. Moderní </w:t>
      </w:r>
      <w:r w:rsidR="00963052" w:rsidRPr="003D1E07">
        <w:t xml:space="preserve">diakosmos má vlastní substanci, těleso, látku, čas a prostor. </w:t>
      </w:r>
      <w:r w:rsidR="00963052" w:rsidRPr="003D1E07">
        <w:rPr>
          <w:lang w:eastAsia="en-US"/>
        </w:rPr>
        <w:t xml:space="preserve">Co nešlo udělat na zemi kvůli aristotelskému primátu první substance, to lze </w:t>
      </w:r>
      <w:r w:rsidR="08034E30" w:rsidRPr="003D1E07">
        <w:rPr>
          <w:lang w:eastAsia="en-US"/>
        </w:rPr>
        <w:t xml:space="preserve">umístit </w:t>
      </w:r>
      <w:r w:rsidR="00963052" w:rsidRPr="003D1E07">
        <w:rPr>
          <w:lang w:eastAsia="en-US"/>
        </w:rPr>
        <w:t xml:space="preserve">před stvoření světa do ideálního diakosmu. </w:t>
      </w:r>
      <w:r w:rsidR="007577FC" w:rsidRPr="003D1E07">
        <w:rPr>
          <w:lang w:eastAsia="en-US"/>
        </w:rPr>
        <w:t xml:space="preserve">Postmoderní </w:t>
      </w:r>
      <w:r w:rsidR="003D6172" w:rsidRPr="003D1E07">
        <w:rPr>
          <w:lang w:eastAsia="en-US"/>
        </w:rPr>
        <w:t>stoupenci</w:t>
      </w:r>
      <w:r w:rsidR="007577FC" w:rsidRPr="003D1E07">
        <w:rPr>
          <w:lang w:eastAsia="en-US"/>
        </w:rPr>
        <w:t xml:space="preserve"> neoplatonis</w:t>
      </w:r>
      <w:r w:rsidR="003D6172" w:rsidRPr="003D1E07">
        <w:rPr>
          <w:lang w:eastAsia="en-US"/>
        </w:rPr>
        <w:t>m</w:t>
      </w:r>
      <w:r w:rsidR="007577FC" w:rsidRPr="003D1E07">
        <w:rPr>
          <w:lang w:eastAsia="en-US"/>
        </w:rPr>
        <w:t xml:space="preserve">u pozdní antiky následují </w:t>
      </w:r>
      <w:r w:rsidR="008E02F5" w:rsidRPr="003D1E07">
        <w:rPr>
          <w:lang w:eastAsia="en-US"/>
        </w:rPr>
        <w:t>Platon</w:t>
      </w:r>
      <w:r w:rsidR="00963052" w:rsidRPr="003D1E07">
        <w:rPr>
          <w:lang w:eastAsia="en-US"/>
        </w:rPr>
        <w:t>a</w:t>
      </w:r>
      <w:r w:rsidR="007577FC" w:rsidRPr="003D1E07">
        <w:rPr>
          <w:lang w:eastAsia="en-US"/>
        </w:rPr>
        <w:t xml:space="preserve"> místo Pythágoráse. Platon jako ú</w:t>
      </w:r>
      <w:r w:rsidR="00963052" w:rsidRPr="003D1E07">
        <w:rPr>
          <w:lang w:eastAsia="en-US"/>
        </w:rPr>
        <w:t>dajn</w:t>
      </w:r>
      <w:r w:rsidR="007577FC" w:rsidRPr="003D1E07">
        <w:rPr>
          <w:lang w:eastAsia="en-US"/>
        </w:rPr>
        <w:t xml:space="preserve">ý </w:t>
      </w:r>
      <w:r w:rsidR="00963052" w:rsidRPr="003D1E07">
        <w:rPr>
          <w:lang w:eastAsia="en-US"/>
        </w:rPr>
        <w:t>zasvěcen</w:t>
      </w:r>
      <w:r w:rsidR="007577FC" w:rsidRPr="003D1E07">
        <w:rPr>
          <w:lang w:eastAsia="en-US"/>
        </w:rPr>
        <w:t>ec</w:t>
      </w:r>
      <w:r w:rsidR="00963052" w:rsidRPr="003D1E07">
        <w:rPr>
          <w:lang w:eastAsia="en-US"/>
        </w:rPr>
        <w:t xml:space="preserve"> mystérií bohyně Isis se </w:t>
      </w:r>
      <w:r w:rsidR="00015942">
        <w:rPr>
          <w:lang w:eastAsia="en-US"/>
        </w:rPr>
        <w:t xml:space="preserve">skrze svět idejí </w:t>
      </w:r>
      <w:r w:rsidR="00963052" w:rsidRPr="003D1E07">
        <w:rPr>
          <w:lang w:eastAsia="en-US"/>
        </w:rPr>
        <w:t xml:space="preserve">vrací do prostoru Homérovy </w:t>
      </w:r>
      <w:r w:rsidR="00963052" w:rsidRPr="003D1E07">
        <w:rPr>
          <w:i/>
          <w:lang w:eastAsia="en-US"/>
        </w:rPr>
        <w:t>Iliady</w:t>
      </w:r>
      <w:r w:rsidR="00963052" w:rsidRPr="003D1E07">
        <w:rPr>
          <w:lang w:eastAsia="en-US"/>
        </w:rPr>
        <w:t>, kdy věštec Kalchás vidí synopt</w:t>
      </w:r>
      <w:r w:rsidR="087E45E2" w:rsidRPr="003D1E07">
        <w:rPr>
          <w:lang w:eastAsia="en-US"/>
        </w:rPr>
        <w:t>ickým vizionářským pohledem to</w:t>
      </w:r>
      <w:r w:rsidR="086B6F80" w:rsidRPr="003D1E07">
        <w:rPr>
          <w:lang w:eastAsia="en-US"/>
        </w:rPr>
        <w:t>,</w:t>
      </w:r>
      <w:r w:rsidR="087E45E2" w:rsidRPr="003D1E07">
        <w:rPr>
          <w:lang w:eastAsia="en-US"/>
        </w:rPr>
        <w:t xml:space="preserve"> </w:t>
      </w:r>
      <w:r w:rsidR="086B6F80" w:rsidRPr="003D1E07">
        <w:t>co je</w:t>
      </w:r>
      <w:r w:rsidR="00963052" w:rsidRPr="003D1E07">
        <w:t xml:space="preserve">, co bude a co </w:t>
      </w:r>
      <w:r w:rsidR="087E45E2" w:rsidRPr="003D1E07">
        <w:t>bylo</w:t>
      </w:r>
      <w:r w:rsidR="00963052" w:rsidRPr="003D1E07">
        <w:rPr>
          <w:sz w:val="27"/>
          <w:szCs w:val="27"/>
        </w:rPr>
        <w:t xml:space="preserve"> </w:t>
      </w:r>
      <w:r w:rsidR="00963052" w:rsidRPr="003D1E07">
        <w:rPr>
          <w:lang w:eastAsia="en-US"/>
        </w:rPr>
        <w:t>(</w:t>
      </w:r>
      <w:r w:rsidR="00963052" w:rsidRPr="003D1E07">
        <w:rPr>
          <w:i/>
        </w:rPr>
        <w:t>Il</w:t>
      </w:r>
      <w:r w:rsidR="00F35715" w:rsidRPr="003D1E07">
        <w:rPr>
          <w:i/>
        </w:rPr>
        <w:t>lias</w:t>
      </w:r>
      <w:r w:rsidR="00963052" w:rsidRPr="003D1E07">
        <w:t xml:space="preserve"> 1.70</w:t>
      </w:r>
      <w:r w:rsidR="00F35715" w:rsidRPr="003D1E07">
        <w:fldChar w:fldCharType="begin"/>
      </w:r>
      <w:r w:rsidR="00F35715" w:rsidRPr="003D1E07">
        <w:instrText xml:space="preserve"> XE "Homér:</w:instrText>
      </w:r>
      <w:r w:rsidR="00F35715" w:rsidRPr="003D1E07">
        <w:rPr>
          <w:i/>
        </w:rPr>
        <w:instrText>Ilias</w:instrText>
      </w:r>
      <w:r w:rsidR="00F35715" w:rsidRPr="003D1E07">
        <w:instrText xml:space="preserve"> 1.70" </w:instrText>
      </w:r>
      <w:r w:rsidR="00F35715" w:rsidRPr="003D1E07">
        <w:fldChar w:fldCharType="end"/>
      </w:r>
      <w:r w:rsidR="00963052" w:rsidRPr="003D1E07">
        <w:rPr>
          <w:lang w:eastAsia="en-US"/>
        </w:rPr>
        <w:t xml:space="preserve">). Filosofické poznání iluminátů </w:t>
      </w:r>
      <w:r w:rsidR="00963052" w:rsidRPr="003D1E07">
        <w:t xml:space="preserve">pozdní antiky se stalo paranoickým, protože </w:t>
      </w:r>
      <w:r w:rsidR="087119F3" w:rsidRPr="003D1E07">
        <w:t>tito moderní vizionáři postuluj</w:t>
      </w:r>
      <w:r w:rsidR="08A71355" w:rsidRPr="003D1E07">
        <w:t xml:space="preserve">í </w:t>
      </w:r>
      <w:r w:rsidR="00963052" w:rsidRPr="003D1E07">
        <w:t xml:space="preserve">shodu rozumu a </w:t>
      </w:r>
      <w:r w:rsidR="00963052" w:rsidRPr="003D1E07">
        <w:lastRenderedPageBreak/>
        <w:t>věci v paralelním světě</w:t>
      </w:r>
      <w:r w:rsidR="08A71355" w:rsidRPr="003D1E07">
        <w:t xml:space="preserve"> intelektu</w:t>
      </w:r>
      <w:r w:rsidR="000E5695">
        <w:t xml:space="preserve">. To </w:t>
      </w:r>
      <w:r w:rsidR="08A71355" w:rsidRPr="003D1E07">
        <w:t>pochopitelně nebyl případ archaických věštců</w:t>
      </w:r>
      <w:r w:rsidR="087353D2" w:rsidRPr="003D1E07">
        <w:t xml:space="preserve"> a rapsódů. </w:t>
      </w:r>
      <w:r w:rsidR="084255D8" w:rsidRPr="003D1E07">
        <w:t xml:space="preserve">Věštci </w:t>
      </w:r>
      <w:r w:rsidR="087353D2" w:rsidRPr="003D1E07">
        <w:t xml:space="preserve">znali působení </w:t>
      </w:r>
      <w:r w:rsidR="084255D8" w:rsidRPr="003D1E07">
        <w:t xml:space="preserve">šalebné </w:t>
      </w:r>
      <w:r w:rsidR="087353D2" w:rsidRPr="003D1E07">
        <w:t xml:space="preserve">bohyně Apaté </w:t>
      </w:r>
      <w:r w:rsidR="082E0694" w:rsidRPr="003D1E07">
        <w:t>v prostoru vizionářské říše Paměti dané titánkou Mnémosýné</w:t>
      </w:r>
      <w:r w:rsidR="08A93C70" w:rsidRPr="003D1E07">
        <w:t>. R</w:t>
      </w:r>
      <w:r w:rsidR="084255D8" w:rsidRPr="003D1E07">
        <w:t xml:space="preserve">apsódi jako </w:t>
      </w:r>
      <w:r w:rsidR="08A61516" w:rsidRPr="003D1E07">
        <w:t>He</w:t>
      </w:r>
      <w:r w:rsidR="084255D8" w:rsidRPr="003D1E07">
        <w:t xml:space="preserve">siod </w:t>
      </w:r>
      <w:r w:rsidR="089D4F7D" w:rsidRPr="003D1E07">
        <w:t xml:space="preserve">kriticky rozlišovali </w:t>
      </w:r>
      <w:r w:rsidR="0896270C" w:rsidRPr="003D1E07">
        <w:t>odhalenost p</w:t>
      </w:r>
      <w:r w:rsidR="08675FCE" w:rsidRPr="003D1E07">
        <w:t xml:space="preserve">ythické </w:t>
      </w:r>
      <w:r w:rsidR="087353D2" w:rsidRPr="003D1E07">
        <w:rPr>
          <w:i/>
        </w:rPr>
        <w:t>a</w:t>
      </w:r>
      <w:r w:rsidR="08675FCE" w:rsidRPr="003D1E07">
        <w:rPr>
          <w:i/>
        </w:rPr>
        <w:t>/l</w:t>
      </w:r>
      <w:r w:rsidR="087353D2" w:rsidRPr="003D1E07">
        <w:rPr>
          <w:i/>
        </w:rPr>
        <w:t>é</w:t>
      </w:r>
      <w:r w:rsidR="089317F8" w:rsidRPr="003D1E07">
        <w:rPr>
          <w:i/>
        </w:rPr>
        <w:t>t</w:t>
      </w:r>
      <w:r w:rsidR="087353D2" w:rsidRPr="003D1E07">
        <w:rPr>
          <w:i/>
        </w:rPr>
        <w:t>h</w:t>
      </w:r>
      <w:r w:rsidR="08675FCE" w:rsidRPr="003D1E07">
        <w:rPr>
          <w:i/>
        </w:rPr>
        <w:t>e</w:t>
      </w:r>
      <w:r w:rsidR="087353D2" w:rsidRPr="003D1E07">
        <w:rPr>
          <w:i/>
        </w:rPr>
        <w:t>ia</w:t>
      </w:r>
      <w:r w:rsidR="087353D2" w:rsidRPr="003D1E07">
        <w:t xml:space="preserve"> zvěstované Múzami.</w:t>
      </w:r>
      <w:r w:rsidR="08A71355" w:rsidRPr="003D1E07">
        <w:t xml:space="preserve"> </w:t>
      </w:r>
      <w:r w:rsidR="08A1042C" w:rsidRPr="003D1E07">
        <w:t>Moderní i</w:t>
      </w:r>
      <w:r w:rsidR="002C3D01" w:rsidRPr="003D1E07">
        <w:t xml:space="preserve">ntelekt </w:t>
      </w:r>
      <w:r w:rsidR="08A1042C" w:rsidRPr="003D1E07">
        <w:t xml:space="preserve">neoplatonských iluminátů byl </w:t>
      </w:r>
      <w:r w:rsidR="002C3D01" w:rsidRPr="003D1E07">
        <w:t>sv</w:t>
      </w:r>
      <w:r w:rsidR="00115125" w:rsidRPr="003D1E07">
        <w:t>edený</w:t>
      </w:r>
      <w:r w:rsidR="00883BA6" w:rsidRPr="003D1E07">
        <w:t xml:space="preserve"> na </w:t>
      </w:r>
      <w:r w:rsidR="08A1042C" w:rsidRPr="003D1E07">
        <w:t xml:space="preserve">objektivní </w:t>
      </w:r>
      <w:r w:rsidR="00883BA6" w:rsidRPr="003D1E07">
        <w:t>cestu rozumu</w:t>
      </w:r>
      <w:r w:rsidR="002C3D01" w:rsidRPr="003D1E07">
        <w:t xml:space="preserve"> </w:t>
      </w:r>
      <w:r w:rsidR="00115125" w:rsidRPr="003D1E07">
        <w:t>(παράνους)</w:t>
      </w:r>
      <w:r w:rsidR="00EC6A1B" w:rsidRPr="003D1E07">
        <w:rPr>
          <w:lang w:eastAsia="en-US"/>
        </w:rPr>
        <w:t xml:space="preserve"> </w:t>
      </w:r>
      <w:r w:rsidR="00EC6A1B" w:rsidRPr="003D1E07">
        <w:rPr>
          <w:lang w:eastAsia="en-US"/>
        </w:rPr>
        <w:fldChar w:fldCharType="begin"/>
      </w:r>
      <w:r w:rsidR="00EC6A1B" w:rsidRPr="003D1E07">
        <w:instrText xml:space="preserve"> XE "intelekt:paranoický" </w:instrText>
      </w:r>
      <w:r w:rsidR="00EC6A1B" w:rsidRPr="003D1E07">
        <w:rPr>
          <w:lang w:eastAsia="en-US"/>
        </w:rPr>
        <w:fldChar w:fldCharType="end"/>
      </w:r>
      <w:r w:rsidR="002C3D01" w:rsidRPr="003D1E07">
        <w:t xml:space="preserve">ideovým věděním </w:t>
      </w:r>
      <w:r w:rsidR="08172BCF" w:rsidRPr="003D1E07">
        <w:t>neexistujícíh</w:t>
      </w:r>
      <w:r w:rsidR="005C64FD">
        <w:t>o demiurgického mezisvěta, který</w:t>
      </w:r>
      <w:r w:rsidR="08172BCF" w:rsidRPr="003D1E07">
        <w:t xml:space="preserve"> </w:t>
      </w:r>
      <w:r w:rsidR="005C64FD" w:rsidRPr="003D1E07">
        <w:t>zr</w:t>
      </w:r>
      <w:r w:rsidR="005C64FD">
        <w:t>cadlil</w:t>
      </w:r>
      <w:r w:rsidR="005C64FD" w:rsidRPr="003D1E07">
        <w:t xml:space="preserve"> intelekt božího muže Jamblicha</w:t>
      </w:r>
      <w:r w:rsidR="005C64FD">
        <w:t xml:space="preserve"> </w:t>
      </w:r>
      <w:r w:rsidR="08172BCF" w:rsidRPr="003D1E07">
        <w:t>v para</w:t>
      </w:r>
      <w:r w:rsidR="005C64FD">
        <w:t>noickém modu moderní metafyziky</w:t>
      </w:r>
      <w:r w:rsidR="002C3D01" w:rsidRPr="003D1E07">
        <w:t xml:space="preserve">. </w:t>
      </w:r>
      <w:r w:rsidR="08172BCF" w:rsidRPr="003D1E07">
        <w:t>Iluminát</w:t>
      </w:r>
      <w:r w:rsidR="00DC10D6">
        <w:t>i</w:t>
      </w:r>
      <w:r w:rsidR="08172BCF" w:rsidRPr="003D1E07">
        <w:t xml:space="preserve"> se </w:t>
      </w:r>
      <w:r w:rsidR="00DC10D6">
        <w:t xml:space="preserve">pohybují </w:t>
      </w:r>
      <w:r w:rsidR="08172BCF" w:rsidRPr="003D1E07">
        <w:t xml:space="preserve">ve vyšším světě </w:t>
      </w:r>
      <w:r w:rsidR="08B83879" w:rsidRPr="003D1E07">
        <w:t xml:space="preserve">absolutně objektivního </w:t>
      </w:r>
      <w:r w:rsidR="08172BCF" w:rsidRPr="003D1E07">
        <w:t>ducha</w:t>
      </w:r>
      <w:r w:rsidR="00DC10D6">
        <w:t xml:space="preserve">. </w:t>
      </w:r>
      <w:r w:rsidR="00DC10D6" w:rsidRPr="00DC10D6">
        <w:t>Čas od času sestupují do hylického světa, aby sloužili tyranům, kteří</w:t>
      </w:r>
      <w:r w:rsidR="00DC10D6">
        <w:t xml:space="preserve"> jim poskytují nezbytné zaopatření</w:t>
      </w:r>
      <w:r w:rsidR="00DC10D6" w:rsidRPr="00DC10D6">
        <w:t>.</w:t>
      </w:r>
      <w:r w:rsidR="00DC10D6">
        <w:t xml:space="preserve"> </w:t>
      </w:r>
      <w:r w:rsidR="08B83879" w:rsidRPr="003D1E07">
        <w:t>Nemateriální a eidetický d</w:t>
      </w:r>
      <w:r w:rsidR="00963052" w:rsidRPr="003D1E07">
        <w:t xml:space="preserve">iakosmos </w:t>
      </w:r>
      <w:r w:rsidR="08B83879" w:rsidRPr="003D1E07">
        <w:t xml:space="preserve">je v modu </w:t>
      </w:r>
      <w:r w:rsidR="08B83879" w:rsidRPr="003D1E07">
        <w:rPr>
          <w:i/>
        </w:rPr>
        <w:t>absolute</w:t>
      </w:r>
      <w:r w:rsidR="08B83879" w:rsidRPr="003D1E07">
        <w:t xml:space="preserve"> oddělen od aktuální hylemorfické první substance</w:t>
      </w:r>
      <w:r w:rsidR="00963052" w:rsidRPr="003D1E07">
        <w:t>, protože ta určuje pouze nižší úroveň poznání. Umístěním jsoucna do boží mysli ve formě stvořitelské ideje vzniká nová dráha ontologick</w:t>
      </w:r>
      <w:r w:rsidR="08906094" w:rsidRPr="003D1E07">
        <w:t xml:space="preserve">ého náhledu určující základní </w:t>
      </w:r>
      <w:r w:rsidR="007E3CC5">
        <w:t xml:space="preserve">způsob, </w:t>
      </w:r>
      <w:r w:rsidR="08906094" w:rsidRPr="003D1E07">
        <w:t>„j</w:t>
      </w:r>
      <w:r w:rsidR="00963052" w:rsidRPr="003D1E07">
        <w:t>ak“ (</w:t>
      </w:r>
      <w:r w:rsidR="00963052" w:rsidRPr="003D1E07">
        <w:rPr>
          <w:i/>
        </w:rPr>
        <w:t>Wie</w:t>
      </w:r>
      <w:r w:rsidR="00963052" w:rsidRPr="003D1E07">
        <w:t xml:space="preserve">) je </w:t>
      </w:r>
      <w:r w:rsidR="007E3CC5">
        <w:t xml:space="preserve">hermeneuticky </w:t>
      </w:r>
      <w:r w:rsidR="00963052" w:rsidRPr="003D1E07">
        <w:t>ustaven nový výměr jsoucna</w:t>
      </w:r>
      <w:r w:rsidR="00963052" w:rsidRPr="003D1E07">
        <w:rPr>
          <w:rStyle w:val="addmd"/>
        </w:rPr>
        <w:fldChar w:fldCharType="begin"/>
      </w:r>
      <w:r w:rsidR="00963052" w:rsidRPr="003D1E07">
        <w:instrText xml:space="preserve"> XE "hermeneutické </w:instrText>
      </w:r>
      <w:r w:rsidR="00963052" w:rsidRPr="003D1E07">
        <w:rPr>
          <w:i/>
        </w:rPr>
        <w:instrText>Wie</w:instrText>
      </w:r>
      <w:r w:rsidR="00963052" w:rsidRPr="003D1E07">
        <w:instrText xml:space="preserve">:neoplatonismus" </w:instrText>
      </w:r>
      <w:r w:rsidR="00963052" w:rsidRPr="003D1E07">
        <w:rPr>
          <w:rStyle w:val="addmd"/>
        </w:rPr>
        <w:fldChar w:fldCharType="end"/>
      </w:r>
      <w:r w:rsidR="00963052" w:rsidRPr="003D1E07">
        <w:t xml:space="preserve">. Nové kolo demiurgické aktivity tvoření a poznání tohoto objektivního diakosmu zahájí Avicenna </w:t>
      </w:r>
      <w:r w:rsidR="00003B1A" w:rsidRPr="003D1E07">
        <w:t xml:space="preserve">ve falsafě. </w:t>
      </w:r>
      <w:r w:rsidR="00963052" w:rsidRPr="003D1E07">
        <w:t>Descartes</w:t>
      </w:r>
      <w:r w:rsidR="00BE617A" w:rsidRPr="003D1E07">
        <w:fldChar w:fldCharType="begin"/>
      </w:r>
      <w:r w:rsidR="00BE617A" w:rsidRPr="003D1E07">
        <w:instrText xml:space="preserve"> XE "Descartes, R." </w:instrText>
      </w:r>
      <w:r w:rsidR="00BE617A" w:rsidRPr="003D1E07">
        <w:fldChar w:fldCharType="end"/>
      </w:r>
      <w:r w:rsidR="00963052" w:rsidRPr="003D1E07">
        <w:t xml:space="preserve"> </w:t>
      </w:r>
      <w:r w:rsidR="00003B1A" w:rsidRPr="003D1E07">
        <w:t xml:space="preserve">a Husserl </w:t>
      </w:r>
      <w:r w:rsidR="00963052" w:rsidRPr="003D1E07">
        <w:t xml:space="preserve">jej dokončí na latinském Západě. </w:t>
      </w:r>
      <w:r w:rsidR="08626D82" w:rsidRPr="003D1E07">
        <w:t xml:space="preserve">Pro působení těchto postmoderních božích mužů prozatím </w:t>
      </w:r>
      <w:r w:rsidR="00963052" w:rsidRPr="003D1E07">
        <w:t xml:space="preserve">chybí </w:t>
      </w:r>
      <w:r w:rsidR="00003B1A" w:rsidRPr="003D1E07">
        <w:t xml:space="preserve">kompletní </w:t>
      </w:r>
      <w:r w:rsidR="00963052" w:rsidRPr="003D1E07">
        <w:t>scéna</w:t>
      </w:r>
      <w:r w:rsidR="08626D82" w:rsidRPr="003D1E07">
        <w:t xml:space="preserve"> intelektuálního poznání</w:t>
      </w:r>
      <w:r w:rsidR="00CA0DB7" w:rsidRPr="003D1E07">
        <w:t xml:space="preserve"> Západu</w:t>
      </w:r>
      <w:r w:rsidR="08267507" w:rsidRPr="003D1E07">
        <w:t xml:space="preserve">. </w:t>
      </w:r>
      <w:r w:rsidR="00CA0DB7" w:rsidRPr="003D1E07">
        <w:t xml:space="preserve">Neoplatonismus byl nezbytný pro konstituování objektivity v západním myšlení. Objektivita vznikla v důsledku prolínání neoplatonismu a aristotelismu v pozdní antice. Myslitelé islámské falsafy vytvořili novou formu </w:t>
      </w:r>
      <w:r w:rsidR="00CA0DB7" w:rsidRPr="003D1E07">
        <w:rPr>
          <w:i/>
        </w:rPr>
        <w:t>Lichtung</w:t>
      </w:r>
      <w:r w:rsidR="00CA0DB7" w:rsidRPr="003D1E07">
        <w:t xml:space="preserve">, v níž se novým způsobem odhalila pravda a nepravda objektivity. </w:t>
      </w:r>
    </w:p>
    <w:p w14:paraId="0FE9D260" w14:textId="51E0D8CD" w:rsidR="00963052" w:rsidRPr="003D1E07" w:rsidRDefault="00963052" w:rsidP="00D27585">
      <w:pPr>
        <w:pStyle w:val="Nadpis1"/>
        <w:rPr>
          <w:lang w:val="cs-CZ"/>
        </w:rPr>
      </w:pPr>
      <w:r w:rsidRPr="003D1E07">
        <w:rPr>
          <w:lang w:val="cs-CZ"/>
        </w:rPr>
        <w:br w:type="page"/>
      </w:r>
      <w:bookmarkStart w:id="29" w:name="_Toc93747273"/>
      <w:bookmarkStart w:id="30" w:name="_Toc102906163"/>
      <w:r w:rsidRPr="003D1E07">
        <w:rPr>
          <w:lang w:val="cs-CZ"/>
        </w:rPr>
        <w:lastRenderedPageBreak/>
        <w:t xml:space="preserve">2. </w:t>
      </w:r>
      <w:r w:rsidR="00A41B24">
        <w:rPr>
          <w:lang w:val="cs-CZ"/>
        </w:rPr>
        <w:t xml:space="preserve">Falsafa a osud </w:t>
      </w:r>
      <w:r w:rsidRPr="003D1E07">
        <w:rPr>
          <w:lang w:val="cs-CZ"/>
        </w:rPr>
        <w:t>metafyziky</w:t>
      </w:r>
      <w:bookmarkEnd w:id="29"/>
      <w:bookmarkEnd w:id="30"/>
    </w:p>
    <w:p w14:paraId="1999FAE6" w14:textId="77777777" w:rsidR="00C00B94" w:rsidRDefault="00963052" w:rsidP="00D27585">
      <w:pPr>
        <w:rPr>
          <w:rFonts w:cs="Brill-Roman"/>
        </w:rPr>
      </w:pPr>
      <w:r w:rsidRPr="003D1E07">
        <w:rPr>
          <w:rFonts w:cs="Brill-Roman"/>
        </w:rPr>
        <w:t>Heideggerův rozbor podobenství o jeskyni ukázal, že vznik metafyziky souvisí s</w:t>
      </w:r>
      <w:r w:rsidR="0098123F">
        <w:rPr>
          <w:rFonts w:cs="Brill-Roman"/>
        </w:rPr>
        <w:t xml:space="preserve"> obratem samotného bytí. Tato </w:t>
      </w:r>
      <w:r w:rsidRPr="003D1E07">
        <w:rPr>
          <w:rFonts w:cs="Brill-Roman"/>
        </w:rPr>
        <w:t>epochální událost</w:t>
      </w:r>
      <w:r w:rsidR="0098123F">
        <w:rPr>
          <w:rFonts w:cs="Brill-Roman"/>
        </w:rPr>
        <w:t xml:space="preserve"> vytvořila </w:t>
      </w:r>
      <w:r w:rsidRPr="003D1E07">
        <w:rPr>
          <w:rFonts w:cs="Brill-Roman"/>
        </w:rPr>
        <w:t>nov</w:t>
      </w:r>
      <w:r w:rsidR="0098123F">
        <w:rPr>
          <w:rFonts w:cs="Brill-Roman"/>
        </w:rPr>
        <w:t xml:space="preserve">ý </w:t>
      </w:r>
      <w:r w:rsidR="08BD7D11" w:rsidRPr="003D1E07">
        <w:rPr>
          <w:rFonts w:cs="Brill-Roman"/>
        </w:rPr>
        <w:t xml:space="preserve">západní </w:t>
      </w:r>
      <w:r w:rsidRPr="003D1E07">
        <w:rPr>
          <w:rFonts w:cs="Brill-Roman"/>
        </w:rPr>
        <w:t>subjekt</w:t>
      </w:r>
      <w:r w:rsidR="0098123F">
        <w:rPr>
          <w:rFonts w:cs="Brill-Roman"/>
        </w:rPr>
        <w:t xml:space="preserve"> a nový smysl jsoucna</w:t>
      </w:r>
      <w:r w:rsidRPr="003D1E07">
        <w:rPr>
          <w:rFonts w:cs="Brill-Roman"/>
        </w:rPr>
        <w:t xml:space="preserve"> (kap.</w:t>
      </w:r>
      <w:r w:rsidR="00737E67">
        <w:rPr>
          <w:rFonts w:cs="Brill-Roman"/>
        </w:rPr>
        <w:t xml:space="preserve"> 1.1). Ze skrytého bytí se stala</w:t>
      </w:r>
      <w:r w:rsidRPr="003D1E07">
        <w:rPr>
          <w:rFonts w:cs="Brill-Roman"/>
        </w:rPr>
        <w:t xml:space="preserve"> plně odkrytá a plně zářící idea Dobra, jež postupně nasvěcuje vzdálenější regiony jsoucna. </w:t>
      </w:r>
      <w:r w:rsidR="007B42E8" w:rsidRPr="003D1E07">
        <w:rPr>
          <w:rFonts w:cs="Brill-Roman"/>
        </w:rPr>
        <w:t>Za</w:t>
      </w:r>
      <w:r w:rsidR="08EA3727" w:rsidRPr="003D1E07">
        <w:rPr>
          <w:rFonts w:cs="Brill-Roman"/>
        </w:rPr>
        <w:t>halenost bytí (</w:t>
      </w:r>
      <w:r w:rsidR="08EA3727" w:rsidRPr="003D1E07">
        <w:rPr>
          <w:rFonts w:cs="Brill-Roman"/>
          <w:i/>
        </w:rPr>
        <w:t>a/léheia</w:t>
      </w:r>
      <w:r w:rsidR="08EA3727" w:rsidRPr="003D1E07">
        <w:rPr>
          <w:rFonts w:cs="Brill-Roman"/>
        </w:rPr>
        <w:t xml:space="preserve">) se děje v prostoru epochálně změněného </w:t>
      </w:r>
      <w:r w:rsidR="08EA3727" w:rsidRPr="003D1E07">
        <w:rPr>
          <w:rFonts w:cs="Brill-Roman"/>
          <w:i/>
        </w:rPr>
        <w:t>Lichtung</w:t>
      </w:r>
      <w:r w:rsidR="00335A91" w:rsidRPr="003D1E07">
        <w:rPr>
          <w:rFonts w:cs="Brill-Roman"/>
        </w:rPr>
        <w:t xml:space="preserve">, kde je hra pravdy a nepravdy určena skrze metafyzický smysl </w:t>
      </w:r>
      <w:r w:rsidR="08EA3727" w:rsidRPr="003D1E07">
        <w:rPr>
          <w:rFonts w:cs="Brill-Roman"/>
        </w:rPr>
        <w:t>jsoucna</w:t>
      </w:r>
      <w:r w:rsidR="00E0789B">
        <w:rPr>
          <w:rFonts w:cs="Brill-Roman"/>
        </w:rPr>
        <w:t xml:space="preserve"> </w:t>
      </w:r>
      <w:r w:rsidR="00E0789B">
        <w:rPr>
          <w:noProof w:val="0"/>
          <w:lang w:val="en-US" w:eastAsia="en-US"/>
        </w:rPr>
        <w:t>(</w:t>
      </w:r>
      <w:r w:rsidR="00E0789B" w:rsidRPr="00E74BD4">
        <w:rPr>
          <w:i/>
          <w:noProof w:val="0"/>
          <w:lang w:val="en-US" w:eastAsia="en-US"/>
        </w:rPr>
        <w:t>eídos</w:t>
      </w:r>
      <w:r w:rsidR="00E0789B">
        <w:rPr>
          <w:i/>
          <w:noProof w:val="0"/>
          <w:lang w:val="en-US" w:eastAsia="en-US"/>
        </w:rPr>
        <w:fldChar w:fldCharType="begin"/>
      </w:r>
      <w:r w:rsidR="00E0789B">
        <w:instrText xml:space="preserve"> XE "</w:instrText>
      </w:r>
      <w:r w:rsidR="00E0789B" w:rsidRPr="002518E8">
        <w:rPr>
          <w:i/>
          <w:noProof w:val="0"/>
          <w:lang w:val="en-US" w:eastAsia="en-US"/>
        </w:rPr>
        <w:instrText>eídos</w:instrText>
      </w:r>
      <w:r w:rsidR="00E0789B">
        <w:instrText xml:space="preserve">" </w:instrText>
      </w:r>
      <w:r w:rsidR="00E0789B">
        <w:rPr>
          <w:i/>
          <w:noProof w:val="0"/>
          <w:lang w:val="en-US" w:eastAsia="en-US"/>
        </w:rPr>
        <w:fldChar w:fldCharType="end"/>
      </w:r>
      <w:r w:rsidR="00E0789B">
        <w:rPr>
          <w:noProof w:val="0"/>
          <w:lang w:val="en-US" w:eastAsia="en-US"/>
        </w:rPr>
        <w:t>)</w:t>
      </w:r>
      <w:r w:rsidR="08EA3727" w:rsidRPr="003D1E07">
        <w:rPr>
          <w:i/>
        </w:rPr>
        <w:fldChar w:fldCharType="begin"/>
      </w:r>
      <w:r w:rsidR="08EA3727" w:rsidRPr="003D1E07">
        <w:instrText xml:space="preserve"> XE "</w:instrText>
      </w:r>
      <w:r w:rsidR="08EA3727" w:rsidRPr="003D1E07">
        <w:rPr>
          <w:i/>
        </w:rPr>
        <w:instrText>Lichtung</w:instrText>
      </w:r>
      <w:r w:rsidR="08EA3727" w:rsidRPr="003D1E07">
        <w:instrText xml:space="preserve">:neoplatonismus" </w:instrText>
      </w:r>
      <w:r w:rsidR="08EA3727" w:rsidRPr="003D1E07">
        <w:rPr>
          <w:i/>
        </w:rPr>
        <w:fldChar w:fldCharType="end"/>
      </w:r>
      <w:r w:rsidR="08EA3727" w:rsidRPr="003D1E07">
        <w:rPr>
          <w:rFonts w:cs="Brill-Roman"/>
        </w:rPr>
        <w:t xml:space="preserve">. </w:t>
      </w:r>
      <w:r w:rsidRPr="003D1E07">
        <w:rPr>
          <w:rFonts w:cs="Brill-Roman"/>
        </w:rPr>
        <w:t xml:space="preserve">Záření ideje vytěsnilo původní dění bytí, které </w:t>
      </w:r>
      <w:r w:rsidR="00C8061D" w:rsidRPr="003D1E07">
        <w:rPr>
          <w:rFonts w:cs="Brill-Roman"/>
        </w:rPr>
        <w:t xml:space="preserve">šlo do </w:t>
      </w:r>
      <w:r w:rsidR="00381EBA" w:rsidRPr="003D1E07">
        <w:rPr>
          <w:rFonts w:cs="Brill-Roman"/>
          <w:i/>
        </w:rPr>
        <w:t>léthe</w:t>
      </w:r>
      <w:r w:rsidR="00C8061D" w:rsidRPr="003D1E07">
        <w:rPr>
          <w:rFonts w:cs="Brill-Roman"/>
        </w:rPr>
        <w:t xml:space="preserve"> </w:t>
      </w:r>
      <w:r w:rsidRPr="003D1E07">
        <w:rPr>
          <w:rFonts w:cs="Brill-Roman"/>
        </w:rPr>
        <w:t>skrze metafyzik</w:t>
      </w:r>
      <w:r w:rsidR="007429A7" w:rsidRPr="003D1E07">
        <w:rPr>
          <w:rFonts w:cs="Brill-Roman"/>
        </w:rPr>
        <w:t xml:space="preserve">u </w:t>
      </w:r>
      <w:r w:rsidRPr="003D1E07">
        <w:rPr>
          <w:rFonts w:cs="Brill-Roman"/>
        </w:rPr>
        <w:t>(</w:t>
      </w:r>
      <w:r w:rsidRPr="003D1E07">
        <w:rPr>
          <w:i/>
        </w:rPr>
        <w:t>Seinsverlassenheit</w:t>
      </w:r>
      <w:r w:rsidRPr="003D1E07">
        <w:rPr>
          <w:i/>
        </w:rPr>
        <w:fldChar w:fldCharType="begin"/>
      </w:r>
      <w:r w:rsidRPr="003D1E07">
        <w:instrText xml:space="preserve"> XE "</w:instrText>
      </w:r>
      <w:r w:rsidRPr="003D1E07">
        <w:rPr>
          <w:i/>
        </w:rPr>
        <w:instrText>Seinsverlassenheit</w:instrText>
      </w:r>
      <w:r w:rsidRPr="003D1E07">
        <w:instrText xml:space="preserve">" </w:instrText>
      </w:r>
      <w:r w:rsidRPr="003D1E07">
        <w:rPr>
          <w:i/>
        </w:rPr>
        <w:fldChar w:fldCharType="end"/>
      </w:r>
      <w:r w:rsidRPr="003D1E07">
        <w:rPr>
          <w:rFonts w:cs="Brill-Roman"/>
        </w:rPr>
        <w:t xml:space="preserve">). </w:t>
      </w:r>
      <w:r w:rsidR="00C8061D" w:rsidRPr="003D1E07">
        <w:rPr>
          <w:rFonts w:cs="Brill-Roman"/>
        </w:rPr>
        <w:t>N</w:t>
      </w:r>
      <w:r w:rsidR="0880169C" w:rsidRPr="003D1E07">
        <w:rPr>
          <w:rFonts w:cs="Brill-Roman"/>
        </w:rPr>
        <w:t xml:space="preserve">azírání celku přítomného jsoucna </w:t>
      </w:r>
      <w:r w:rsidR="00C8061D" w:rsidRPr="003D1E07">
        <w:rPr>
          <w:rFonts w:cs="Brill-Roman"/>
        </w:rPr>
        <w:t xml:space="preserve">přešlo </w:t>
      </w:r>
      <w:r w:rsidR="0880169C" w:rsidRPr="003D1E07">
        <w:rPr>
          <w:rFonts w:cs="Brill-Roman"/>
        </w:rPr>
        <w:t>na Platonovu ideu danou j</w:t>
      </w:r>
      <w:r w:rsidR="00C8061D" w:rsidRPr="003D1E07">
        <w:rPr>
          <w:rFonts w:cs="Brill-Roman"/>
        </w:rPr>
        <w:t>ako věčná substance. Aristotelův metafyzický dativ dal primát reálné první substanci</w:t>
      </w:r>
      <w:r w:rsidR="0880169C" w:rsidRPr="003D1E07">
        <w:rPr>
          <w:rFonts w:cs="Brill-Roman"/>
        </w:rPr>
        <w:t xml:space="preserve"> </w:t>
      </w:r>
      <w:r w:rsidR="00C8061D" w:rsidRPr="003D1E07">
        <w:rPr>
          <w:rFonts w:cs="Brill-Roman"/>
        </w:rPr>
        <w:t xml:space="preserve">a v poznání nechal predikovat její </w:t>
      </w:r>
      <w:r w:rsidR="0880169C" w:rsidRPr="003D1E07">
        <w:rPr>
          <w:rFonts w:cs="Brill-Roman"/>
          <w:i/>
        </w:rPr>
        <w:t>quidditas</w:t>
      </w:r>
      <w:r w:rsidR="082E7221" w:rsidRPr="003D1E07">
        <w:rPr>
          <w:rFonts w:cs="Brill-Roman"/>
          <w:i/>
        </w:rPr>
        <w:fldChar w:fldCharType="begin"/>
      </w:r>
      <w:r w:rsidR="082E7221" w:rsidRPr="003D1E07">
        <w:instrText xml:space="preserve"> XE "</w:instrText>
      </w:r>
      <w:r w:rsidR="082E7221" w:rsidRPr="003D1E07">
        <w:rPr>
          <w:rFonts w:cs="Brill-Roman"/>
          <w:i/>
        </w:rPr>
        <w:instrText>quidditas</w:instrText>
      </w:r>
      <w:r w:rsidR="082E7221" w:rsidRPr="003D1E07">
        <w:instrText xml:space="preserve">" </w:instrText>
      </w:r>
      <w:r w:rsidR="082E7221" w:rsidRPr="003D1E07">
        <w:rPr>
          <w:rFonts w:cs="Brill-Roman"/>
          <w:i/>
        </w:rPr>
        <w:fldChar w:fldCharType="end"/>
      </w:r>
      <w:r w:rsidR="00A14A50" w:rsidRPr="003D1E07">
        <w:rPr>
          <w:rFonts w:cs="Brill-Roman"/>
        </w:rPr>
        <w:t xml:space="preserve"> jako vědu o druhé substanci. </w:t>
      </w:r>
      <w:r w:rsidR="080427D2" w:rsidRPr="003D1E07">
        <w:rPr>
          <w:rFonts w:cs="Brill-Roman"/>
        </w:rPr>
        <w:t>K</w:t>
      </w:r>
      <w:r w:rsidR="0880169C" w:rsidRPr="003D1E07">
        <w:rPr>
          <w:rFonts w:cs="Brill-Roman"/>
        </w:rPr>
        <w:t xml:space="preserve">auzalita první substance způsobila </w:t>
      </w:r>
      <w:r w:rsidR="080427D2" w:rsidRPr="003D1E07">
        <w:rPr>
          <w:rFonts w:cs="Brill-Roman"/>
        </w:rPr>
        <w:t xml:space="preserve">novou přítomnost univerzálního významu </w:t>
      </w:r>
      <w:r w:rsidR="08731478" w:rsidRPr="003D1E07">
        <w:rPr>
          <w:rFonts w:cs="Brill-Roman"/>
        </w:rPr>
        <w:t>skrze mysl poznávající</w:t>
      </w:r>
      <w:r w:rsidR="080427D2" w:rsidRPr="003D1E07">
        <w:rPr>
          <w:rFonts w:cs="Brill-Roman"/>
        </w:rPr>
        <w:t xml:space="preserve">ho, a to </w:t>
      </w:r>
      <w:r w:rsidR="0880169C" w:rsidRPr="003D1E07">
        <w:rPr>
          <w:rFonts w:cs="Brill-Roman"/>
        </w:rPr>
        <w:t>v kategoriál</w:t>
      </w:r>
      <w:r w:rsidR="00C00B94">
        <w:rPr>
          <w:rFonts w:cs="Brill-Roman"/>
        </w:rPr>
        <w:t>ně predikované druhé substanci.</w:t>
      </w:r>
    </w:p>
    <w:p w14:paraId="197EECDB" w14:textId="433B0247" w:rsidR="000662EF" w:rsidRDefault="00963052" w:rsidP="00C00B94">
      <w:pPr>
        <w:ind w:firstLine="397"/>
      </w:pPr>
      <w:r w:rsidRPr="003D1E07">
        <w:rPr>
          <w:rFonts w:cs="Brill-Roman"/>
        </w:rPr>
        <w:t xml:space="preserve">Zmizení původní otázky po bytí </w:t>
      </w:r>
      <w:r w:rsidR="08DB3C96" w:rsidRPr="003D1E07">
        <w:rPr>
          <w:rFonts w:cs="Brill-Roman"/>
        </w:rPr>
        <w:t>skrze ideovou</w:t>
      </w:r>
      <w:r w:rsidRPr="003D1E07">
        <w:rPr>
          <w:rFonts w:cs="Brill-Roman"/>
        </w:rPr>
        <w:t xml:space="preserve"> </w:t>
      </w:r>
      <w:r w:rsidR="08DB3C96" w:rsidRPr="003D1E07">
        <w:rPr>
          <w:rFonts w:cs="Brill-Roman"/>
        </w:rPr>
        <w:t>či apofantickou</w:t>
      </w:r>
      <w:r w:rsidR="08525BC5" w:rsidRPr="003D1E07">
        <w:rPr>
          <w:rFonts w:cs="Brill-Roman"/>
        </w:rPr>
        <w:t xml:space="preserve"> </w:t>
      </w:r>
      <w:r w:rsidR="08DB3C96" w:rsidRPr="003D1E07">
        <w:rPr>
          <w:rFonts w:cs="Brill-Roman"/>
        </w:rPr>
        <w:t xml:space="preserve">zjevnost </w:t>
      </w:r>
      <w:r w:rsidR="006622F9">
        <w:rPr>
          <w:rFonts w:cs="Brill-Roman"/>
        </w:rPr>
        <w:t xml:space="preserve">substance </w:t>
      </w:r>
      <w:r w:rsidRPr="003D1E07">
        <w:rPr>
          <w:rFonts w:cs="Brill-Roman"/>
        </w:rPr>
        <w:t xml:space="preserve">zakládá odlišnou hru skrývání a odkrývání pravdy, než v předešlém </w:t>
      </w:r>
      <w:r w:rsidR="00F36206" w:rsidRPr="003D1E07">
        <w:rPr>
          <w:rFonts w:cs="Brill-Roman"/>
        </w:rPr>
        <w:t>období první filosofie</w:t>
      </w:r>
      <w:r w:rsidRPr="003D1E07">
        <w:rPr>
          <w:rFonts w:cs="Brill-Roman"/>
        </w:rPr>
        <w:t xml:space="preserve">. Gigantomachie o substanci daná pozdní antikou dokládá, že </w:t>
      </w:r>
      <w:r w:rsidRPr="003D1E07">
        <w:t xml:space="preserve">dějiny moderny začínají v pozdní antice od </w:t>
      </w:r>
      <w:r w:rsidR="00BB45B1" w:rsidRPr="003D1E07">
        <w:t>Porfyri</w:t>
      </w:r>
      <w:r w:rsidRPr="003D1E07">
        <w:t>a</w:t>
      </w:r>
      <w:r w:rsidR="00AC2442" w:rsidRPr="003D1E07">
        <w:t>. J</w:t>
      </w:r>
      <w:r w:rsidRPr="003D1E07">
        <w:t xml:space="preserve">eho výklad </w:t>
      </w:r>
      <w:r w:rsidRPr="003D1E07">
        <w:rPr>
          <w:i/>
        </w:rPr>
        <w:t>Kategorií</w:t>
      </w:r>
      <w:r w:rsidR="089D35BA" w:rsidRPr="003D1E07">
        <w:t xml:space="preserve"> změnil hermeneutickou triádu </w:t>
      </w:r>
      <w:r w:rsidRPr="003D1E07">
        <w:t>dějinnost</w:t>
      </w:r>
      <w:r w:rsidR="089D35BA" w:rsidRPr="003D1E07">
        <w:t xml:space="preserve">i, </w:t>
      </w:r>
      <w:r w:rsidRPr="003D1E07">
        <w:t>dějin</w:t>
      </w:r>
      <w:r w:rsidR="089D35BA" w:rsidRPr="003D1E07">
        <w:t xml:space="preserve"> a</w:t>
      </w:r>
      <w:r w:rsidRPr="003D1E07">
        <w:t xml:space="preserve"> historie</w:t>
      </w:r>
      <w:r w:rsidRPr="003D1E07">
        <w:rPr>
          <w:i/>
        </w:rPr>
        <w:fldChar w:fldCharType="begin"/>
      </w:r>
      <w:r w:rsidRPr="003D1E07">
        <w:instrText xml:space="preserve"> XE "hermeneutická triáda" </w:instrText>
      </w:r>
      <w:r w:rsidRPr="003D1E07">
        <w:rPr>
          <w:i/>
        </w:rPr>
        <w:fldChar w:fldCharType="end"/>
      </w:r>
      <w:r w:rsidRPr="003D1E07">
        <w:t xml:space="preserve">. </w:t>
      </w:r>
      <w:r w:rsidR="00E33714" w:rsidRPr="003D1E07">
        <w:t xml:space="preserve">Bytí se stáhlo do skrytosti při objevení platonské ideje </w:t>
      </w:r>
      <w:r w:rsidR="00E33714" w:rsidRPr="003D1E07">
        <w:rPr>
          <w:rFonts w:cs="Brill-Roman"/>
        </w:rPr>
        <w:t>(</w:t>
      </w:r>
      <w:r w:rsidR="00E33714" w:rsidRPr="003D1E07">
        <w:rPr>
          <w:i/>
        </w:rPr>
        <w:t>Seinsverlassenheit</w:t>
      </w:r>
      <w:r w:rsidR="00E33714" w:rsidRPr="003D1E07">
        <w:rPr>
          <w:rFonts w:cs="Brill-Roman"/>
        </w:rPr>
        <w:t xml:space="preserve">) a nyní vytěsnil jeho přítomnost </w:t>
      </w:r>
      <w:r w:rsidR="00E33714" w:rsidRPr="003D1E07">
        <w:t xml:space="preserve">poznávající subjekt theurgického ilumináta. </w:t>
      </w:r>
      <w:r w:rsidR="005E5321" w:rsidRPr="003D1E07">
        <w:t xml:space="preserve">Ten se stal první zdrojem poznání místo reality první substance. </w:t>
      </w:r>
      <w:r w:rsidR="00E33714" w:rsidRPr="003D1E07">
        <w:t xml:space="preserve">Dějinnost bytí přešla v období pozdního neoplatonismu do modu aktivní zapomenutosti </w:t>
      </w:r>
      <w:r w:rsidR="00C46E6E">
        <w:t xml:space="preserve">aristotelské první substance </w:t>
      </w:r>
      <w:r w:rsidR="00E33714" w:rsidRPr="003D1E07">
        <w:t>(</w:t>
      </w:r>
      <w:r w:rsidR="00E33714" w:rsidRPr="003D1E07">
        <w:rPr>
          <w:i/>
        </w:rPr>
        <w:t>Seinsvergessenheit</w:t>
      </w:r>
      <w:r w:rsidR="00E33714" w:rsidRPr="003D1E07">
        <w:rPr>
          <w:i/>
        </w:rPr>
        <w:fldChar w:fldCharType="begin"/>
      </w:r>
      <w:r w:rsidR="00E33714" w:rsidRPr="003D1E07">
        <w:instrText xml:space="preserve"> XE "</w:instrText>
      </w:r>
      <w:r w:rsidR="00E33714" w:rsidRPr="003D1E07">
        <w:rPr>
          <w:i/>
        </w:rPr>
        <w:instrText>Seinsvergessenheit</w:instrText>
      </w:r>
      <w:r w:rsidR="00E33714" w:rsidRPr="003D1E07">
        <w:instrText xml:space="preserve">" </w:instrText>
      </w:r>
      <w:r w:rsidR="00E33714" w:rsidRPr="003D1E07">
        <w:rPr>
          <w:i/>
        </w:rPr>
        <w:fldChar w:fldCharType="end"/>
      </w:r>
      <w:r w:rsidR="00E6709B" w:rsidRPr="003D1E07">
        <w:t xml:space="preserve">). </w:t>
      </w:r>
      <w:r w:rsidR="00AE1B64">
        <w:t xml:space="preserve">Tím se původní otázka po bytí daná v první filosofii stala dokonce dvojnásobně nepřístupnou. </w:t>
      </w:r>
      <w:r w:rsidR="08031EEA" w:rsidRPr="003D1E07">
        <w:t xml:space="preserve">Moderní objektivita vznikla v dějinném obratu bytí daném přechodem od theurgického neoplatonismu k formálně pojatému aristotelismu. </w:t>
      </w:r>
      <w:r w:rsidR="08BB7CBA" w:rsidRPr="003D1E07">
        <w:t xml:space="preserve">Jamblichos, Simplikius a další neoplatonikové zahájili </w:t>
      </w:r>
      <w:r w:rsidR="08336A7F" w:rsidRPr="003D1E07">
        <w:t xml:space="preserve">v modu </w:t>
      </w:r>
      <w:r w:rsidR="08324D3B" w:rsidRPr="003D1E07">
        <w:t>my</w:t>
      </w:r>
      <w:r w:rsidR="082579FF" w:rsidRPr="003D1E07">
        <w:t>topoetické</w:t>
      </w:r>
      <w:r w:rsidR="009F3FC0" w:rsidRPr="003D1E07">
        <w:t>ho bloudění (</w:t>
      </w:r>
      <w:r w:rsidR="08336A7F" w:rsidRPr="003D1E07">
        <w:rPr>
          <w:i/>
        </w:rPr>
        <w:t>Irre</w:t>
      </w:r>
      <w:r w:rsidR="08870348" w:rsidRPr="003D1E07">
        <w:rPr>
          <w:i/>
        </w:rPr>
        <w:fldChar w:fldCharType="begin"/>
      </w:r>
      <w:r w:rsidR="08870348" w:rsidRPr="003D1E07">
        <w:instrText xml:space="preserve"> XE "</w:instrText>
      </w:r>
      <w:r w:rsidR="08870348" w:rsidRPr="003D1E07">
        <w:rPr>
          <w:i/>
        </w:rPr>
        <w:instrText>Irre</w:instrText>
      </w:r>
      <w:r w:rsidR="08870348" w:rsidRPr="003D1E07">
        <w:instrText xml:space="preserve">" </w:instrText>
      </w:r>
      <w:r w:rsidR="08870348" w:rsidRPr="003D1E07">
        <w:rPr>
          <w:i/>
        </w:rPr>
        <w:fldChar w:fldCharType="end"/>
      </w:r>
      <w:r w:rsidR="009F3FC0" w:rsidRPr="003D1E07">
        <w:t xml:space="preserve">) </w:t>
      </w:r>
      <w:r w:rsidR="08336A7F" w:rsidRPr="003D1E07">
        <w:t xml:space="preserve">novou </w:t>
      </w:r>
      <w:r w:rsidR="08BB7CBA" w:rsidRPr="003D1E07">
        <w:t>etapu dějin m</w:t>
      </w:r>
      <w:r w:rsidR="08324D3B" w:rsidRPr="003D1E07">
        <w:t xml:space="preserve">oderního subjektu. Dialektika </w:t>
      </w:r>
      <w:r w:rsidR="00FC0649" w:rsidRPr="003D1E07">
        <w:t>sledovala proměnu</w:t>
      </w:r>
      <w:r w:rsidR="08324D3B" w:rsidRPr="003D1E07">
        <w:t xml:space="preserve"> v</w:t>
      </w:r>
      <w:r w:rsidR="08BB7CBA" w:rsidRPr="003D1E07">
        <w:t xml:space="preserve">idění </w:t>
      </w:r>
      <w:r w:rsidR="08324D3B" w:rsidRPr="003D1E07">
        <w:t>n</w:t>
      </w:r>
      <w:r w:rsidR="08BB7CBA" w:rsidRPr="003D1E07">
        <w:t>a vědění</w:t>
      </w:r>
      <w:r w:rsidR="00FC0649" w:rsidRPr="003D1E07">
        <w:t xml:space="preserve"> danou</w:t>
      </w:r>
      <w:r w:rsidR="08324D3B" w:rsidRPr="003D1E07">
        <w:t xml:space="preserve"> v podobenství o jeskyni</w:t>
      </w:r>
      <w:r w:rsidR="00FC0649" w:rsidRPr="003D1E07">
        <w:t xml:space="preserve">. Metafyzika </w:t>
      </w:r>
      <w:r w:rsidR="08324D3B" w:rsidRPr="003D1E07">
        <w:t>se dostala do nové fáze</w:t>
      </w:r>
      <w:r w:rsidR="00FC0649" w:rsidRPr="003D1E07">
        <w:t xml:space="preserve"> </w:t>
      </w:r>
      <w:r w:rsidR="086B002A" w:rsidRPr="003D1E07">
        <w:t xml:space="preserve">objektivního </w:t>
      </w:r>
      <w:r w:rsidR="00FC0649" w:rsidRPr="003D1E07">
        <w:t>klamu (</w:t>
      </w:r>
      <w:r w:rsidR="086B002A" w:rsidRPr="003D1E07">
        <w:rPr>
          <w:i/>
        </w:rPr>
        <w:t>Irrtum</w:t>
      </w:r>
      <w:r w:rsidR="009F3FC0" w:rsidRPr="003D1E07">
        <w:rPr>
          <w:i/>
        </w:rPr>
        <w:fldChar w:fldCharType="begin"/>
      </w:r>
      <w:r w:rsidR="009F3FC0" w:rsidRPr="003D1E07">
        <w:instrText xml:space="preserve"> XE "</w:instrText>
      </w:r>
      <w:r w:rsidR="009F3FC0" w:rsidRPr="003D1E07">
        <w:rPr>
          <w:i/>
        </w:rPr>
        <w:instrText>Irrtum</w:instrText>
      </w:r>
      <w:r w:rsidR="009F3FC0" w:rsidRPr="003D1E07">
        <w:instrText xml:space="preserve">" </w:instrText>
      </w:r>
      <w:r w:rsidR="009F3FC0" w:rsidRPr="003D1E07">
        <w:rPr>
          <w:i/>
        </w:rPr>
        <w:fldChar w:fldCharType="end"/>
      </w:r>
      <w:r w:rsidR="00FC0649" w:rsidRPr="003D1E07">
        <w:t xml:space="preserve">) </w:t>
      </w:r>
      <w:r w:rsidR="08707D3E" w:rsidRPr="003D1E07">
        <w:t xml:space="preserve">formovaného </w:t>
      </w:r>
      <w:r w:rsidR="00FC0649" w:rsidRPr="003D1E07">
        <w:t>simulákrem pythágorejské</w:t>
      </w:r>
      <w:r w:rsidR="08707D3E" w:rsidRPr="003D1E07">
        <w:t xml:space="preserve"> </w:t>
      </w:r>
      <w:r w:rsidR="00FC0649" w:rsidRPr="003D1E07">
        <w:t>matematické</w:t>
      </w:r>
      <w:r w:rsidR="08D47D69" w:rsidRPr="003D1E07">
        <w:t xml:space="preserve"> </w:t>
      </w:r>
      <w:r w:rsidR="00FC0649" w:rsidRPr="003D1E07">
        <w:t>harmonie</w:t>
      </w:r>
      <w:r w:rsidR="08707D3E" w:rsidRPr="003D1E07">
        <w:t xml:space="preserve">. </w:t>
      </w:r>
      <w:r w:rsidRPr="003D1E07">
        <w:t>Význam první substance</w:t>
      </w:r>
      <w:r w:rsidRPr="003D1E07">
        <w:fldChar w:fldCharType="begin"/>
      </w:r>
      <w:r w:rsidRPr="003D1E07">
        <w:instrText xml:space="preserve"> XE "substance:zatmění" </w:instrText>
      </w:r>
      <w:r w:rsidRPr="003D1E07">
        <w:fldChar w:fldCharType="end"/>
      </w:r>
      <w:r w:rsidRPr="003D1E07">
        <w:t xml:space="preserve"> pro hyparchickou predikaci zmizel a impozi</w:t>
      </w:r>
      <w:r w:rsidR="0075686F">
        <w:t>ci z reality nahradila supozice, kterou produkuje moderní subjekt</w:t>
      </w:r>
      <w:r w:rsidR="00773684">
        <w:t xml:space="preserve"> z</w:t>
      </w:r>
      <w:r w:rsidR="00A835A3">
        <w:t>e sebe jako prvního zdroje smyslu</w:t>
      </w:r>
      <w:r w:rsidRPr="003D1E07">
        <w:t xml:space="preserve">. </w:t>
      </w:r>
      <w:r w:rsidR="00BA5A78" w:rsidRPr="003D1E07">
        <w:t>Nová předchůdná dráha náhledu na smysl jsoucna (</w:t>
      </w:r>
      <w:r w:rsidR="00BA5A78" w:rsidRPr="003D1E07">
        <w:rPr>
          <w:i/>
        </w:rPr>
        <w:t>Vor-blickbahn</w:t>
      </w:r>
      <w:r w:rsidR="00BA5A78" w:rsidRPr="003D1E07">
        <w:t>) přinesla nový náhled na svět skrze vůli moderního demiurga (</w:t>
      </w:r>
      <w:r w:rsidR="00BA5A78" w:rsidRPr="003D1E07">
        <w:rPr>
          <w:i/>
        </w:rPr>
        <w:t>aspectus</w:t>
      </w:r>
      <w:r w:rsidR="00BA5A78" w:rsidRPr="003D1E07">
        <w:t xml:space="preserve">) a tím zavedla dějiny typicky západního myšlení. </w:t>
      </w:r>
      <w:r w:rsidR="00513BA8" w:rsidRPr="003D1E07">
        <w:t xml:space="preserve">Metafyzické jsoucno </w:t>
      </w:r>
      <w:r w:rsidR="00AF025C" w:rsidRPr="003D1E07">
        <w:t xml:space="preserve">dostalo </w:t>
      </w:r>
      <w:r w:rsidR="00513BA8" w:rsidRPr="003D1E07">
        <w:t xml:space="preserve">velmi </w:t>
      </w:r>
      <w:r w:rsidR="00513BA8" w:rsidRPr="003D1E07">
        <w:lastRenderedPageBreak/>
        <w:t xml:space="preserve">důležitý </w:t>
      </w:r>
      <w:r w:rsidR="00AF025C" w:rsidRPr="003D1E07">
        <w:t xml:space="preserve">aspekt </w:t>
      </w:r>
      <w:r w:rsidR="00513BA8" w:rsidRPr="003D1E07">
        <w:t>své jsoucnosti přímo od subjektu (</w:t>
      </w:r>
      <w:r w:rsidR="00513BA8" w:rsidRPr="003D1E07">
        <w:rPr>
          <w:i/>
        </w:rPr>
        <w:t>ratio sufficiens</w:t>
      </w:r>
      <w:r w:rsidR="00513BA8" w:rsidRPr="003D1E07">
        <w:rPr>
          <w:i/>
        </w:rPr>
        <w:fldChar w:fldCharType="begin"/>
      </w:r>
      <w:r w:rsidR="00513BA8" w:rsidRPr="003D1E07">
        <w:instrText xml:space="preserve"> XE "</w:instrText>
      </w:r>
      <w:r w:rsidR="00513BA8" w:rsidRPr="003D1E07">
        <w:rPr>
          <w:i/>
        </w:rPr>
        <w:instrText>ratio sufficiens</w:instrText>
      </w:r>
      <w:r w:rsidR="00513BA8" w:rsidRPr="003D1E07">
        <w:instrText xml:space="preserve">" </w:instrText>
      </w:r>
      <w:r w:rsidR="00513BA8" w:rsidRPr="003D1E07">
        <w:rPr>
          <w:i/>
        </w:rPr>
        <w:fldChar w:fldCharType="end"/>
      </w:r>
      <w:r w:rsidR="00513BA8" w:rsidRPr="003D1E07">
        <w:t xml:space="preserve">) a </w:t>
      </w:r>
      <w:r w:rsidR="00AF025C" w:rsidRPr="003D1E07">
        <w:t>tato proměna založila</w:t>
      </w:r>
      <w:r w:rsidR="0836794F" w:rsidRPr="003D1E07">
        <w:t xml:space="preserve"> </w:t>
      </w:r>
      <w:r w:rsidRPr="003D1E07">
        <w:t xml:space="preserve">novou historii Západu. </w:t>
      </w:r>
      <w:r w:rsidR="08D956C3" w:rsidRPr="003D1E07">
        <w:t xml:space="preserve">Aristotelský </w:t>
      </w:r>
      <w:r w:rsidRPr="003D1E07">
        <w:t xml:space="preserve">smysl první a druhé substance dané v </w:t>
      </w:r>
      <w:r w:rsidRPr="003D1E07">
        <w:rPr>
          <w:i/>
        </w:rPr>
        <w:t>Kategoriích</w:t>
      </w:r>
      <w:r w:rsidRPr="003D1E07">
        <w:t xml:space="preserve"> přešel </w:t>
      </w:r>
      <w:r w:rsidR="00381EBA" w:rsidRPr="003D1E07">
        <w:t>do říše zapomnění (</w:t>
      </w:r>
      <w:r w:rsidR="00381EBA" w:rsidRPr="003D1E07">
        <w:rPr>
          <w:i/>
        </w:rPr>
        <w:t>léthe</w:t>
      </w:r>
      <w:r w:rsidR="00381EBA" w:rsidRPr="003D1E07">
        <w:t>)</w:t>
      </w:r>
      <w:r w:rsidRPr="003D1E07">
        <w:t>.</w:t>
      </w:r>
    </w:p>
    <w:p w14:paraId="18386A2B" w14:textId="7994892A" w:rsidR="00963052" w:rsidRPr="003D1E07" w:rsidRDefault="00963052" w:rsidP="000662EF">
      <w:pPr>
        <w:ind w:firstLine="397"/>
      </w:pPr>
      <w:r w:rsidRPr="003D1E07">
        <w:t xml:space="preserve">První gigantomachie zakládající objektivitu vznikla mezi </w:t>
      </w:r>
      <w:r w:rsidR="002E3B62" w:rsidRPr="003D1E07">
        <w:t>Averroes</w:t>
      </w:r>
      <w:r w:rsidRPr="003D1E07">
        <w:t>em a Avicennou v prostředí perské falsafy</w:t>
      </w:r>
      <w:r w:rsidRPr="003D1E07">
        <w:rPr>
          <w:rStyle w:val="addmd"/>
        </w:rPr>
        <w:fldChar w:fldCharType="begin"/>
      </w:r>
      <w:r w:rsidRPr="003D1E07">
        <w:instrText xml:space="preserve"> XE "substance:gigantomachie" </w:instrText>
      </w:r>
      <w:r w:rsidRPr="003D1E07">
        <w:rPr>
          <w:rStyle w:val="addmd"/>
        </w:rPr>
        <w:fldChar w:fldCharType="end"/>
      </w:r>
      <w:r w:rsidRPr="003D1E07">
        <w:t xml:space="preserve">. Spor mezi oběma mysliteli zopakuje v nové dějinné konstelaci škola prvního </w:t>
      </w:r>
      <w:r w:rsidR="00E92A35" w:rsidRPr="003D1E07">
        <w:t>a druhé</w:t>
      </w:r>
      <w:r w:rsidR="004B66F4" w:rsidRPr="003D1E07">
        <w:t>ho</w:t>
      </w:r>
      <w:r w:rsidR="00E92A35" w:rsidRPr="003D1E07">
        <w:t xml:space="preserve"> </w:t>
      </w:r>
      <w:r w:rsidRPr="003D1E07">
        <w:t>averroismu</w:t>
      </w:r>
      <w:r w:rsidR="00E92A35" w:rsidRPr="003D1E07">
        <w:t xml:space="preserve"> po roce 1220</w:t>
      </w:r>
      <w:r w:rsidR="003D021B" w:rsidRPr="003D1E07">
        <w:t xml:space="preserve">. </w:t>
      </w:r>
      <w:r w:rsidR="00E92A35" w:rsidRPr="003D1E07">
        <w:t>L</w:t>
      </w:r>
      <w:r w:rsidR="003D021B" w:rsidRPr="003D1E07">
        <w:t xml:space="preserve">atinští myslitelé </w:t>
      </w:r>
      <w:r w:rsidR="00E92A35" w:rsidRPr="003D1E07">
        <w:t xml:space="preserve">z první školy </w:t>
      </w:r>
      <w:r w:rsidR="003D021B" w:rsidRPr="003D1E07">
        <w:t xml:space="preserve">studovali </w:t>
      </w:r>
      <w:r w:rsidRPr="003D1E07">
        <w:rPr>
          <w:rStyle w:val="addmd"/>
        </w:rPr>
        <w:fldChar w:fldCharType="begin"/>
      </w:r>
      <w:r w:rsidRPr="003D1E07">
        <w:instrText xml:space="preserve"> XE "první averroismus:původ" </w:instrText>
      </w:r>
      <w:r w:rsidRPr="003D1E07">
        <w:rPr>
          <w:rStyle w:val="addmd"/>
        </w:rPr>
        <w:fldChar w:fldCharType="end"/>
      </w:r>
      <w:r w:rsidR="002E3B62" w:rsidRPr="003D1E07">
        <w:t>Averroes</w:t>
      </w:r>
      <w:r w:rsidRPr="003D1E07">
        <w:t xml:space="preserve">ovy spisy v modu autentického aristotelismu daného v linii Boethia a Abelarda. Škola druhého averroismu ovlivněná Avicennou četla </w:t>
      </w:r>
      <w:r w:rsidR="002E3B62" w:rsidRPr="003D1E07">
        <w:t>Averroes</w:t>
      </w:r>
      <w:r w:rsidRPr="003D1E07">
        <w:t xml:space="preserve">ovy spisy skrze </w:t>
      </w:r>
      <w:r w:rsidR="00874074" w:rsidRPr="003D1E07">
        <w:t>neoplatonsk</w:t>
      </w:r>
      <w:r w:rsidRPr="003D1E07">
        <w:t>ý augustinianismus</w:t>
      </w:r>
      <w:r w:rsidR="082033C6" w:rsidRPr="003D1E07">
        <w:t>, skrze překlady neoplatonské Toledské školy</w:t>
      </w:r>
      <w:r w:rsidR="082033C6" w:rsidRPr="003D1E07">
        <w:fldChar w:fldCharType="begin"/>
      </w:r>
      <w:r w:rsidR="082033C6" w:rsidRPr="003D1E07">
        <w:instrText xml:space="preserve"> XE "Toledská škola" </w:instrText>
      </w:r>
      <w:r w:rsidR="082033C6" w:rsidRPr="003D1E07">
        <w:fldChar w:fldCharType="end"/>
      </w:r>
      <w:r w:rsidR="082033C6" w:rsidRPr="003D1E07">
        <w:t xml:space="preserve"> </w:t>
      </w:r>
      <w:r w:rsidR="080459BB" w:rsidRPr="003D1E07">
        <w:t xml:space="preserve">a později </w:t>
      </w:r>
      <w:r w:rsidRPr="003D1E07">
        <w:t xml:space="preserve">skrze Simplikiův komentář ke </w:t>
      </w:r>
      <w:r w:rsidRPr="003D1E07">
        <w:rPr>
          <w:i/>
        </w:rPr>
        <w:t>Kategoriím</w:t>
      </w:r>
      <w:r w:rsidRPr="003D1E07">
        <w:t xml:space="preserve">. Myšlení kráčející po </w:t>
      </w:r>
      <w:r w:rsidRPr="003D1E07">
        <w:rPr>
          <w:i/>
        </w:rPr>
        <w:t>via Modernorum</w:t>
      </w:r>
      <w:r w:rsidRPr="003D1E07">
        <w:t xml:space="preserve"> nalezlo novou podobu </w:t>
      </w:r>
      <w:r w:rsidRPr="003D1E07">
        <w:rPr>
          <w:i/>
        </w:rPr>
        <w:t>mathesis universalis</w:t>
      </w:r>
      <w:r w:rsidRPr="003D1E07">
        <w:rPr>
          <w:i/>
        </w:rPr>
        <w:fldChar w:fldCharType="begin"/>
      </w:r>
      <w:r w:rsidRPr="003D1E07">
        <w:instrText xml:space="preserve"> XE "</w:instrText>
      </w:r>
      <w:r w:rsidRPr="003D1E07">
        <w:rPr>
          <w:i/>
        </w:rPr>
        <w:instrText>mathesis universalis</w:instrText>
      </w:r>
      <w:r w:rsidRPr="003D1E07">
        <w:instrText xml:space="preserve">" </w:instrText>
      </w:r>
      <w:r w:rsidRPr="003D1E07">
        <w:rPr>
          <w:i/>
        </w:rPr>
        <w:fldChar w:fldCharType="end"/>
      </w:r>
      <w:r w:rsidRPr="003D1E07">
        <w:t xml:space="preserve"> skrze revidovaný neoplatonimus</w:t>
      </w:r>
      <w:r w:rsidRPr="003D1E07">
        <w:rPr>
          <w:rStyle w:val="addmd"/>
        </w:rPr>
        <w:fldChar w:fldCharType="begin"/>
      </w:r>
      <w:r w:rsidRPr="003D1E07">
        <w:instrText xml:space="preserve"> XE "druhý averroismus:původ" </w:instrText>
      </w:r>
      <w:r w:rsidRPr="003D1E07">
        <w:rPr>
          <w:rStyle w:val="addmd"/>
        </w:rPr>
        <w:fldChar w:fldCharType="end"/>
      </w:r>
      <w:r w:rsidRPr="003D1E07">
        <w:t xml:space="preserve">. Zásadní spor o substanci začal na latinském Západě v momentu, kdy věda začala zkoumat objektivní simulákrum místo první substance. </w:t>
      </w:r>
      <w:r w:rsidR="08474175" w:rsidRPr="003D1E07">
        <w:t xml:space="preserve">Nejprve došlo </w:t>
      </w:r>
      <w:r w:rsidRPr="003D1E07">
        <w:t>o</w:t>
      </w:r>
      <w:r w:rsidR="08474175" w:rsidRPr="003D1E07">
        <w:t>ko</w:t>
      </w:r>
      <w:r w:rsidRPr="003D1E07">
        <w:t>l</w:t>
      </w:r>
      <w:r w:rsidR="08474175" w:rsidRPr="003D1E07">
        <w:t>o</w:t>
      </w:r>
      <w:r w:rsidRPr="003D1E07">
        <w:t xml:space="preserve"> </w:t>
      </w:r>
      <w:r w:rsidR="08474175" w:rsidRPr="003D1E07">
        <w:t xml:space="preserve">roku </w:t>
      </w:r>
      <w:r w:rsidRPr="003D1E07">
        <w:t xml:space="preserve">1230 ke změně v pojetí vědy dané </w:t>
      </w:r>
      <w:r w:rsidR="08D12FDA" w:rsidRPr="003D1E07">
        <w:t xml:space="preserve">neoplatonským </w:t>
      </w:r>
      <w:r w:rsidRPr="003D1E07">
        <w:t xml:space="preserve">výkladem </w:t>
      </w:r>
      <w:r w:rsidR="08D12FDA" w:rsidRPr="003D1E07">
        <w:rPr>
          <w:i/>
        </w:rPr>
        <w:t>Kategorií</w:t>
      </w:r>
      <w:r w:rsidR="08D12FDA" w:rsidRPr="003D1E07">
        <w:t xml:space="preserve"> a </w:t>
      </w:r>
      <w:r w:rsidRPr="003D1E07">
        <w:rPr>
          <w:i/>
        </w:rPr>
        <w:t>Druhých analytik</w:t>
      </w:r>
      <w:r w:rsidRPr="003D1E07">
        <w:t xml:space="preserve">. Poznání první substance se změnilo ve škole </w:t>
      </w:r>
      <w:r w:rsidRPr="003D1E07">
        <w:rPr>
          <w:i/>
        </w:rPr>
        <w:t>Modernorum</w:t>
      </w:r>
      <w:r w:rsidRPr="003D1E07">
        <w:t xml:space="preserve"> na přímý náhled jsoucna třetího druhu pojatého jako nazírání objektivně dané podstaty. Proměna vědy v </w:t>
      </w:r>
      <w:r w:rsidR="00874074" w:rsidRPr="003D1E07">
        <w:t>neoplatonsk</w:t>
      </w:r>
      <w:r w:rsidRPr="003D1E07">
        <w:t xml:space="preserve">ou spekulaci etablovala kompletní školu myslitelů propagující i nové pojetí osoby dané v rámci plurality substancí. </w:t>
      </w:r>
      <w:r w:rsidR="085A7964" w:rsidRPr="003D1E07">
        <w:t xml:space="preserve">Tím vznikl objektivně schizofrenický subjekt latinského Západu, jehož poslední dějinnou epochu </w:t>
      </w:r>
      <w:r w:rsidR="08503A67" w:rsidRPr="003D1E07">
        <w:t xml:space="preserve">globálně </w:t>
      </w:r>
      <w:r w:rsidR="08BC6749" w:rsidRPr="003D1E07">
        <w:t xml:space="preserve">prožíváme </w:t>
      </w:r>
      <w:r w:rsidR="08503A67" w:rsidRPr="003D1E07">
        <w:t xml:space="preserve">v epoše </w:t>
      </w:r>
      <w:r w:rsidR="005700C5">
        <w:t xml:space="preserve">ironicky </w:t>
      </w:r>
      <w:r w:rsidR="08503A67" w:rsidRPr="003D1E07">
        <w:t xml:space="preserve">zvané </w:t>
      </w:r>
      <w:r w:rsidR="005700C5">
        <w:t>„</w:t>
      </w:r>
      <w:r w:rsidR="08503A67" w:rsidRPr="003D1E07">
        <w:t>antropocén</w:t>
      </w:r>
      <w:r w:rsidR="005700C5">
        <w:t>“</w:t>
      </w:r>
      <w:r w:rsidR="08503A67" w:rsidRPr="003D1E07">
        <w:fldChar w:fldCharType="begin"/>
      </w:r>
      <w:r w:rsidR="08503A67" w:rsidRPr="003D1E07">
        <w:instrText xml:space="preserve"> XE "antropocén" </w:instrText>
      </w:r>
      <w:r w:rsidR="08503A67" w:rsidRPr="003D1E07">
        <w:fldChar w:fldCharType="end"/>
      </w:r>
      <w:r w:rsidR="085A7964" w:rsidRPr="003D1E07">
        <w:t xml:space="preserve">. </w:t>
      </w:r>
      <w:r w:rsidRPr="003D1E07">
        <w:t xml:space="preserve">Proměna aristotelismu vedla k přímému útoku na filosofii </w:t>
      </w:r>
      <w:r w:rsidR="002E3B62" w:rsidRPr="003D1E07">
        <w:t>Averroes</w:t>
      </w:r>
      <w:r w:rsidRPr="003D1E07">
        <w:t xml:space="preserve">e, který po </w:t>
      </w:r>
      <w:r w:rsidR="089A6009" w:rsidRPr="003D1E07">
        <w:t xml:space="preserve">roce </w:t>
      </w:r>
      <w:r w:rsidRPr="003D1E07">
        <w:t xml:space="preserve">1250 vyústil v otevřený zápas obou škol. Pravda prvního averroismu opřená o komentáře </w:t>
      </w:r>
      <w:r w:rsidR="002E3B62" w:rsidRPr="003D1E07">
        <w:t>Averroes</w:t>
      </w:r>
      <w:r w:rsidRPr="003D1E07">
        <w:t xml:space="preserve">e se v dalším kole sporu stala nepravdou tzv. „averroismu“. Po mocenském vytěsnění autentického aristotelismu odsuzujícími dekrety z března 1277 vzniklo nové pojetí objektivity. Druhý averroismus </w:t>
      </w:r>
      <w:r w:rsidR="0821601C" w:rsidRPr="003D1E07">
        <w:t>založený na objek</w:t>
      </w:r>
      <w:r w:rsidR="08C72EA1" w:rsidRPr="003D1E07">
        <w:t xml:space="preserve">tivním vidění Avicenny </w:t>
      </w:r>
      <w:r w:rsidRPr="003D1E07">
        <w:t xml:space="preserve">se stal </w:t>
      </w:r>
      <w:r w:rsidR="086531E8" w:rsidRPr="003D1E07">
        <w:t xml:space="preserve">globálním </w:t>
      </w:r>
      <w:r w:rsidR="0821601C" w:rsidRPr="003D1E07">
        <w:t xml:space="preserve">věděním </w:t>
      </w:r>
      <w:r w:rsidRPr="003D1E07">
        <w:t xml:space="preserve">Západu tím, že změnil poznání první substance na objektivně pojatou vědu. </w:t>
      </w:r>
      <w:r w:rsidR="08872280" w:rsidRPr="003D1E07">
        <w:t xml:space="preserve">Tyto dosud skryté dějiny filosofie je třeba </w:t>
      </w:r>
      <w:r w:rsidR="08F70B5A" w:rsidRPr="003D1E07">
        <w:t xml:space="preserve">pravdivě </w:t>
      </w:r>
      <w:r w:rsidR="08872280" w:rsidRPr="003D1E07">
        <w:t xml:space="preserve">vyložit, protože zakládají </w:t>
      </w:r>
      <w:r w:rsidR="08205295" w:rsidRPr="003D1E07">
        <w:t xml:space="preserve">osudový vývoj </w:t>
      </w:r>
      <w:r w:rsidR="08872280" w:rsidRPr="003D1E07">
        <w:t>a</w:t>
      </w:r>
      <w:r w:rsidR="08205295" w:rsidRPr="003D1E07">
        <w:t>ra</w:t>
      </w:r>
      <w:r w:rsidR="08872280" w:rsidRPr="003D1E07">
        <w:t>bského a latinského Západu</w:t>
      </w:r>
      <w:r w:rsidR="08205295" w:rsidRPr="003D1E07">
        <w:t xml:space="preserve">. Skutečně tragické dění bytí a myšlení je třeba odlišit  od </w:t>
      </w:r>
      <w:r w:rsidR="08D70457" w:rsidRPr="003D1E07">
        <w:t xml:space="preserve">objektivní </w:t>
      </w:r>
      <w:r w:rsidR="08205295" w:rsidRPr="003D1E07">
        <w:t>tragikomedie</w:t>
      </w:r>
      <w:r w:rsidR="08B05946" w:rsidRPr="003D1E07">
        <w:fldChar w:fldCharType="begin"/>
      </w:r>
      <w:r w:rsidR="08B05946" w:rsidRPr="003D1E07">
        <w:instrText xml:space="preserve"> XE "božská komedie" </w:instrText>
      </w:r>
      <w:r w:rsidR="08B05946" w:rsidRPr="003D1E07">
        <w:fldChar w:fldCharType="end"/>
      </w:r>
      <w:r w:rsidR="08872280" w:rsidRPr="003D1E07">
        <w:t xml:space="preserve">. </w:t>
      </w:r>
      <w:r w:rsidR="001638B6" w:rsidRPr="003D1E07">
        <w:t>N</w:t>
      </w:r>
      <w:r w:rsidR="08BA64E2" w:rsidRPr="003D1E07">
        <w:t xml:space="preserve">a konci 13. století </w:t>
      </w:r>
      <w:r w:rsidR="001638B6" w:rsidRPr="003D1E07">
        <w:t>vznik</w:t>
      </w:r>
      <w:r w:rsidR="08BA64E2" w:rsidRPr="003D1E07">
        <w:t>l</w:t>
      </w:r>
      <w:r w:rsidR="001638B6" w:rsidRPr="003D1E07">
        <w:t xml:space="preserve"> kompletní metafyzický výměr objektivně determinovaného jsoucna. </w:t>
      </w:r>
      <w:r w:rsidRPr="003D1E07">
        <w:t xml:space="preserve">Druhý averroismus se nakonec změnil na objektivní metafyziku, která dostala první ucelenou podobu ve filosofii Dunse Scota. </w:t>
      </w:r>
      <w:r w:rsidR="08A62BE1" w:rsidRPr="003D1E07">
        <w:t xml:space="preserve">Jeho </w:t>
      </w:r>
      <w:r w:rsidRPr="003D1E07">
        <w:t xml:space="preserve">reformovaný avicennismus se stal v následujících staletích planetárně vládnoucím věděním, zatímco z </w:t>
      </w:r>
      <w:r w:rsidR="002E3B62" w:rsidRPr="003D1E07">
        <w:t>Averroes</w:t>
      </w:r>
      <w:r w:rsidRPr="003D1E07">
        <w:t xml:space="preserve">e se </w:t>
      </w:r>
      <w:r w:rsidR="0893561F" w:rsidRPr="003D1E07">
        <w:t xml:space="preserve">stal </w:t>
      </w:r>
      <w:r w:rsidRPr="003D1E07">
        <w:t>averroista.</w:t>
      </w:r>
      <w:r w:rsidRPr="003D1E07">
        <w:rPr>
          <w:iCs/>
        </w:rPr>
        <w:t xml:space="preserve"> </w:t>
      </w:r>
      <w:r w:rsidRPr="003D1E07">
        <w:t xml:space="preserve">Výše uvedené transformace dějinnosti </w:t>
      </w:r>
      <w:r w:rsidR="00061BD9">
        <w:t xml:space="preserve">vytvořené ve </w:t>
      </w:r>
      <w:r w:rsidR="00061BD9">
        <w:lastRenderedPageBreak/>
        <w:t xml:space="preserve">falsafě jsou </w:t>
      </w:r>
      <w:r w:rsidRPr="003D1E07">
        <w:t xml:space="preserve">popsané v následujících </w:t>
      </w:r>
      <w:r w:rsidR="08F61EBC" w:rsidRPr="003D1E07">
        <w:t xml:space="preserve">analýzách </w:t>
      </w:r>
      <w:r w:rsidRPr="003D1E07">
        <w:t>objektivity</w:t>
      </w:r>
      <w:r w:rsidR="00061BD9">
        <w:t xml:space="preserve">. Dějinné působení falsafy </w:t>
      </w:r>
      <w:r w:rsidRPr="003D1E07">
        <w:t>založil</w:t>
      </w:r>
      <w:r w:rsidR="00061BD9">
        <w:t>o</w:t>
      </w:r>
      <w:r w:rsidRPr="003D1E07">
        <w:t xml:space="preserve"> novou epochu </w:t>
      </w:r>
      <w:r w:rsidR="00061BD9">
        <w:t>latinského Západu</w:t>
      </w:r>
      <w:r w:rsidRPr="003D1E07">
        <w:t xml:space="preserve">, kterou </w:t>
      </w:r>
      <w:r w:rsidR="00AC0300">
        <w:t xml:space="preserve">etnocentričtí </w:t>
      </w:r>
      <w:r w:rsidRPr="003D1E07">
        <w:t xml:space="preserve">filosofové a historikové </w:t>
      </w:r>
      <w:r w:rsidR="001E427F" w:rsidRPr="003D1E07">
        <w:t xml:space="preserve">idejí </w:t>
      </w:r>
      <w:r w:rsidRPr="003D1E07">
        <w:t xml:space="preserve">nazývají </w:t>
      </w:r>
      <w:r w:rsidR="00061BD9">
        <w:t>„</w:t>
      </w:r>
      <w:r w:rsidR="08A62BE1" w:rsidRPr="003D1E07">
        <w:t>druhý počátek metafyziky</w:t>
      </w:r>
      <w:r w:rsidR="00061BD9">
        <w:t>“</w:t>
      </w:r>
      <w:r w:rsidRPr="003D1E07">
        <w:t>.</w:t>
      </w:r>
      <w:r w:rsidRPr="003D1E07">
        <w:rPr>
          <w:iCs/>
        </w:rPr>
        <w:t xml:space="preserve"> </w:t>
      </w:r>
      <w:r w:rsidR="08A62BE1" w:rsidRPr="003D1E07">
        <w:rPr>
          <w:iCs/>
        </w:rPr>
        <w:t>Moderní s</w:t>
      </w:r>
      <w:r w:rsidRPr="003D1E07">
        <w:rPr>
          <w:iCs/>
        </w:rPr>
        <w:t xml:space="preserve">por Západu o pojetí metafyziky otevírá zápas </w:t>
      </w:r>
      <w:r w:rsidR="08A62BE1" w:rsidRPr="003D1E07">
        <w:rPr>
          <w:iCs/>
        </w:rPr>
        <w:t>dvou škol islámské falsafy, jeji</w:t>
      </w:r>
      <w:r w:rsidRPr="003D1E07">
        <w:rPr>
          <w:iCs/>
        </w:rPr>
        <w:t xml:space="preserve">chž výklad Aristotela určil následující epochy myšlení. </w:t>
      </w:r>
    </w:p>
    <w:p w14:paraId="474DBD6D" w14:textId="77777777" w:rsidR="003A0879" w:rsidRPr="003D1E07" w:rsidRDefault="08CD7B7D" w:rsidP="003A0879">
      <w:pPr>
        <w:pStyle w:val="Nadpis2"/>
        <w:rPr>
          <w:lang w:val="cs-CZ"/>
        </w:rPr>
      </w:pPr>
      <w:r w:rsidRPr="003D1E07">
        <w:rPr>
          <w:lang w:val="cs-CZ"/>
        </w:rPr>
        <w:br w:type="page"/>
      </w:r>
      <w:bookmarkStart w:id="31" w:name="_Toc93747274"/>
      <w:bookmarkStart w:id="32" w:name="_Toc102906164"/>
      <w:r w:rsidR="003A0879" w:rsidRPr="003D1E07">
        <w:rPr>
          <w:lang w:val="cs-CZ"/>
        </w:rPr>
        <w:lastRenderedPageBreak/>
        <w:t>2.1 Ambivalentní konce</w:t>
      </w:r>
      <w:r w:rsidR="00111255" w:rsidRPr="003D1E07">
        <w:rPr>
          <w:lang w:val="cs-CZ"/>
        </w:rPr>
        <w:t>pt substance a metafyziky (Al-Fá</w:t>
      </w:r>
      <w:r w:rsidR="003A0879" w:rsidRPr="003D1E07">
        <w:rPr>
          <w:lang w:val="cs-CZ"/>
        </w:rPr>
        <w:t>rábí)</w:t>
      </w:r>
      <w:bookmarkEnd w:id="31"/>
      <w:bookmarkEnd w:id="32"/>
    </w:p>
    <w:p w14:paraId="34FDCF64" w14:textId="77777777" w:rsidR="00787445" w:rsidRDefault="007F04AA" w:rsidP="00691CD0">
      <w:pPr>
        <w:rPr>
          <w:lang w:eastAsia="en-US"/>
        </w:rPr>
      </w:pPr>
      <w:r w:rsidRPr="003D1E07">
        <w:t xml:space="preserve">První </w:t>
      </w:r>
      <w:r w:rsidR="00627D42" w:rsidRPr="003D1E07">
        <w:t>neoplatonš</w:t>
      </w:r>
      <w:r w:rsidRPr="003D1E07">
        <w:t xml:space="preserve">tí komentátoři </w:t>
      </w:r>
      <w:r w:rsidRPr="003D1E07">
        <w:rPr>
          <w:i/>
        </w:rPr>
        <w:t>Organonu</w:t>
      </w:r>
      <w:r w:rsidRPr="003D1E07">
        <w:t xml:space="preserve"> se pokusili smířit </w:t>
      </w:r>
      <w:r w:rsidR="008E02F5" w:rsidRPr="003D1E07">
        <w:t>Platon</w:t>
      </w:r>
      <w:r w:rsidRPr="003D1E07">
        <w:t xml:space="preserve">ovo učení o idejích s Aristotelovým primátem existující substance. </w:t>
      </w:r>
      <w:r w:rsidR="00BB45B1" w:rsidRPr="003D1E07">
        <w:t>Porfyri</w:t>
      </w:r>
      <w:r w:rsidR="001E3488" w:rsidRPr="003D1E07">
        <w:t xml:space="preserve">us, Simplikius a další </w:t>
      </w:r>
      <w:r w:rsidR="00627D42" w:rsidRPr="003D1E07">
        <w:t>neoplatonš</w:t>
      </w:r>
      <w:r w:rsidR="001E3488" w:rsidRPr="003D1E07">
        <w:t xml:space="preserve">tí myslitelé spojili Aristotelovu první a druhou </w:t>
      </w:r>
      <w:r w:rsidR="001E3488" w:rsidRPr="003D1E07">
        <w:rPr>
          <w:lang w:eastAsia="en-US"/>
        </w:rPr>
        <w:t>substanci</w:t>
      </w:r>
      <w:r w:rsidR="00AC2F0B" w:rsidRPr="003D1E07">
        <w:rPr>
          <w:lang w:eastAsia="en-US"/>
        </w:rPr>
        <w:t xml:space="preserve"> do nové</w:t>
      </w:r>
      <w:r w:rsidR="00E6005F" w:rsidRPr="003D1E07">
        <w:rPr>
          <w:lang w:eastAsia="en-US"/>
        </w:rPr>
        <w:t>ho</w:t>
      </w:r>
      <w:r w:rsidR="00AC2F0B" w:rsidRPr="003D1E07">
        <w:rPr>
          <w:lang w:eastAsia="en-US"/>
        </w:rPr>
        <w:t xml:space="preserve"> pojetí </w:t>
      </w:r>
      <w:r w:rsidR="00F214C5" w:rsidRPr="003D1E07">
        <w:rPr>
          <w:lang w:eastAsia="en-US"/>
        </w:rPr>
        <w:t>species</w:t>
      </w:r>
      <w:r w:rsidR="00D36F64" w:rsidRPr="003D1E07">
        <w:rPr>
          <w:lang w:eastAsia="en-US"/>
        </w:rPr>
        <w:t xml:space="preserve"> a toto n</w:t>
      </w:r>
      <w:r w:rsidR="00AC2F0B" w:rsidRPr="003D1E07">
        <w:rPr>
          <w:lang w:eastAsia="en-US"/>
        </w:rPr>
        <w:t>ové eidetické poznání založilo</w:t>
      </w:r>
      <w:r w:rsidR="001E3488" w:rsidRPr="003D1E07">
        <w:rPr>
          <w:lang w:eastAsia="en-US"/>
        </w:rPr>
        <w:t xml:space="preserve"> koncept substance </w:t>
      </w:r>
      <w:r w:rsidR="00083229" w:rsidRPr="003D1E07">
        <w:rPr>
          <w:lang w:eastAsia="en-US"/>
        </w:rPr>
        <w:t>třetího druhu</w:t>
      </w:r>
      <w:r w:rsidR="001E3488" w:rsidRPr="003D1E07">
        <w:rPr>
          <w:lang w:eastAsia="en-US"/>
        </w:rPr>
        <w:t>. Jamblich</w:t>
      </w:r>
      <w:r w:rsidR="00A86556" w:rsidRPr="003D1E07">
        <w:rPr>
          <w:lang w:eastAsia="en-US"/>
        </w:rPr>
        <w:t>os</w:t>
      </w:r>
      <w:r w:rsidR="001E3488" w:rsidRPr="003D1E07">
        <w:rPr>
          <w:lang w:eastAsia="en-US"/>
        </w:rPr>
        <w:t xml:space="preserve"> a jeho následovníci založili demiurgický diakosmos, v němž se jsoucno třetího druhu stalo fyzikálním tělesem s objektivním určením</w:t>
      </w:r>
      <w:r w:rsidR="0830150B" w:rsidRPr="003D1E07">
        <w:rPr>
          <w:lang w:eastAsia="en-US"/>
        </w:rPr>
        <w:t xml:space="preserve"> času a prostoru</w:t>
      </w:r>
      <w:r w:rsidR="001E3488" w:rsidRPr="003D1E07">
        <w:rPr>
          <w:lang w:eastAsia="en-US"/>
        </w:rPr>
        <w:t xml:space="preserve">. </w:t>
      </w:r>
      <w:r w:rsidR="00DB435D" w:rsidRPr="003D1E07">
        <w:t>Synkretistický n</w:t>
      </w:r>
      <w:r w:rsidR="00DB435D" w:rsidRPr="003D1E07">
        <w:rPr>
          <w:lang w:eastAsia="en-US"/>
        </w:rPr>
        <w:t>eoplatonismus vytvořil od 6. století epochální výzvu adresovanou každému mysliteli, který měl na to, aby se zúčastnil nového kola gigantomachie o substanci</w:t>
      </w:r>
      <w:r w:rsidR="08A42A81" w:rsidRPr="003D1E07">
        <w:rPr>
          <w:i/>
        </w:rPr>
        <w:fldChar w:fldCharType="begin"/>
      </w:r>
      <w:r w:rsidR="08A42A81" w:rsidRPr="003D1E07">
        <w:instrText xml:space="preserve"> XE "metafyzika:gigantomachie" </w:instrText>
      </w:r>
      <w:r w:rsidR="08A42A81" w:rsidRPr="003D1E07">
        <w:rPr>
          <w:i/>
        </w:rPr>
        <w:fldChar w:fldCharType="end"/>
      </w:r>
      <w:r w:rsidR="08496233" w:rsidRPr="003D1E07">
        <w:rPr>
          <w:lang w:eastAsia="en-US"/>
        </w:rPr>
        <w:t xml:space="preserve">. Její pozdně antická podoba </w:t>
      </w:r>
      <w:r w:rsidR="00DB435D" w:rsidRPr="003D1E07">
        <w:rPr>
          <w:lang w:eastAsia="en-US"/>
        </w:rPr>
        <w:t xml:space="preserve">smířila platonismus a aristotelismus zavedením nových forem </w:t>
      </w:r>
      <w:r w:rsidR="00DB435D" w:rsidRPr="003D1E07">
        <w:rPr>
          <w:i/>
          <w:lang w:eastAsia="en-US"/>
        </w:rPr>
        <w:t>tertium ens</w:t>
      </w:r>
      <w:r w:rsidR="00DB435D" w:rsidRPr="003D1E07">
        <w:rPr>
          <w:lang w:eastAsia="en-US"/>
        </w:rPr>
        <w:t xml:space="preserve">. </w:t>
      </w:r>
      <w:r w:rsidR="00714D85" w:rsidRPr="003D1E07">
        <w:t>Hermeneutika připomíná dosud neprozkoum</w:t>
      </w:r>
      <w:r w:rsidR="00C319BC">
        <w:t xml:space="preserve">aný vklad do této gigantomachievytvořený </w:t>
      </w:r>
      <w:r w:rsidR="00714D85" w:rsidRPr="003D1E07">
        <w:t>v</w:t>
      </w:r>
      <w:r w:rsidR="00714D85">
        <w:t> byzanstkých centrech vědění</w:t>
      </w:r>
      <w:r w:rsidR="00714D85" w:rsidRPr="003D1E07">
        <w:t xml:space="preserve">, kde se vyučovala filosofie od 5. století. </w:t>
      </w:r>
      <w:r w:rsidR="00714D85">
        <w:t xml:space="preserve">Syrské překlady Aristotelského korpusu byly nezbytné pro vznik samostatné islámské filosofie. </w:t>
      </w:r>
      <w:r w:rsidR="00A32DC7" w:rsidRPr="003D1E07">
        <w:rPr>
          <w:lang w:eastAsia="en-US"/>
        </w:rPr>
        <w:t>Falsafa přebrala zápas antických aristokratů ducha pokračovala v něm</w:t>
      </w:r>
      <w:r w:rsidR="00787445">
        <w:rPr>
          <w:lang w:eastAsia="en-US"/>
        </w:rPr>
        <w:t xml:space="preserve"> po zániku antiky.</w:t>
      </w:r>
    </w:p>
    <w:p w14:paraId="476C4271" w14:textId="77777777" w:rsidR="00361938" w:rsidRDefault="001E3488" w:rsidP="00787445">
      <w:pPr>
        <w:ind w:firstLine="397"/>
        <w:rPr>
          <w:lang w:eastAsia="en-US"/>
        </w:rPr>
      </w:pPr>
      <w:r w:rsidRPr="003D1E07">
        <w:rPr>
          <w:lang w:eastAsia="en-US"/>
        </w:rPr>
        <w:t xml:space="preserve">Arabským průkopníkem nového typu predikace spojující </w:t>
      </w:r>
      <w:r w:rsidR="008E02F5" w:rsidRPr="003D1E07">
        <w:rPr>
          <w:lang w:eastAsia="en-US"/>
        </w:rPr>
        <w:t>Platon</w:t>
      </w:r>
      <w:r w:rsidRPr="003D1E07">
        <w:rPr>
          <w:lang w:eastAsia="en-US"/>
        </w:rPr>
        <w:t>a a Aristotela byl neoplatonik Al-Kindí</w:t>
      </w:r>
      <w:r w:rsidR="00991FC8" w:rsidRPr="003D1E07">
        <w:rPr>
          <w:lang w:eastAsia="en-US"/>
        </w:rPr>
        <w:fldChar w:fldCharType="begin"/>
      </w:r>
      <w:r w:rsidR="00991FC8" w:rsidRPr="003D1E07">
        <w:instrText xml:space="preserve"> XE "</w:instrText>
      </w:r>
      <w:r w:rsidR="00991FC8" w:rsidRPr="003D1E07">
        <w:rPr>
          <w:lang w:eastAsia="en-US"/>
        </w:rPr>
        <w:instrText>Al-Kindí</w:instrText>
      </w:r>
      <w:r w:rsidR="00991FC8" w:rsidRPr="003D1E07">
        <w:instrText xml:space="preserve">" </w:instrText>
      </w:r>
      <w:r w:rsidR="00991FC8" w:rsidRPr="003D1E07">
        <w:rPr>
          <w:lang w:eastAsia="en-US"/>
        </w:rPr>
        <w:fldChar w:fldCharType="end"/>
      </w:r>
      <w:r w:rsidRPr="003D1E07">
        <w:rPr>
          <w:lang w:eastAsia="en-US"/>
        </w:rPr>
        <w:t xml:space="preserve"> (asi †873). O</w:t>
      </w:r>
      <w:r w:rsidRPr="003D1E07">
        <w:t xml:space="preserve">vlivnila jej Aristotelova nauka o primátu první příčiny, proto považuje kauzalitu za jeden ze zdrojů predikace </w:t>
      </w:r>
      <w:r w:rsidRPr="003D1E07">
        <w:rPr>
          <w:i/>
        </w:rPr>
        <w:t>per prius</w:t>
      </w:r>
      <w:r w:rsidR="08242770" w:rsidRPr="003D1E07">
        <w:t xml:space="preserve">. Al-Kindí </w:t>
      </w:r>
      <w:r w:rsidR="08242770" w:rsidRPr="003D1E07">
        <w:rPr>
          <w:lang w:eastAsia="en-US"/>
        </w:rPr>
        <w:t>chápe jsoucnost stvořených věcí pouze v odvozeném či nevlastním smyslu (</w:t>
      </w:r>
      <w:r w:rsidR="08242770" w:rsidRPr="003D1E07">
        <w:rPr>
          <w:i/>
          <w:lang w:eastAsia="en-US"/>
        </w:rPr>
        <w:t>bi</w:t>
      </w:r>
      <w:r w:rsidR="08242770" w:rsidRPr="003D1E07">
        <w:rPr>
          <w:i/>
        </w:rPr>
        <w:t>’</w:t>
      </w:r>
      <w:r w:rsidR="08242770" w:rsidRPr="003D1E07">
        <w:rPr>
          <w:i/>
          <w:lang w:eastAsia="en-US"/>
        </w:rPr>
        <w:t>l-mağāz</w:t>
      </w:r>
      <w:r w:rsidR="08242770" w:rsidRPr="003D1E07">
        <w:rPr>
          <w:lang w:eastAsia="en-US"/>
        </w:rPr>
        <w:t>), tj. jako participaci (</w:t>
      </w:r>
      <w:r w:rsidR="08242770" w:rsidRPr="003D1E07">
        <w:rPr>
          <w:i/>
          <w:lang w:eastAsia="en-US"/>
        </w:rPr>
        <w:t>ifāda</w:t>
      </w:r>
      <w:r w:rsidR="08242770" w:rsidRPr="003D1E07">
        <w:rPr>
          <w:i/>
          <w:lang w:eastAsia="en-US"/>
        </w:rPr>
        <w:fldChar w:fldCharType="begin"/>
      </w:r>
      <w:r w:rsidR="08242770" w:rsidRPr="003D1E07">
        <w:instrText xml:space="preserve"> XE "</w:instrText>
      </w:r>
      <w:r w:rsidR="08242770" w:rsidRPr="003D1E07">
        <w:rPr>
          <w:i/>
          <w:lang w:eastAsia="en-US"/>
        </w:rPr>
        <w:instrText>ifāda</w:instrText>
      </w:r>
      <w:r w:rsidR="08242770" w:rsidRPr="003D1E07">
        <w:instrText xml:space="preserve">" </w:instrText>
      </w:r>
      <w:r w:rsidR="08242770" w:rsidRPr="003D1E07">
        <w:rPr>
          <w:i/>
          <w:lang w:eastAsia="en-US"/>
        </w:rPr>
        <w:fldChar w:fldCharType="end"/>
      </w:r>
      <w:r w:rsidR="08242770" w:rsidRPr="003D1E07">
        <w:rPr>
          <w:lang w:eastAsia="en-US"/>
        </w:rPr>
        <w:t>) nevlastních jsoucen na bytí Jednoho (Menn 2012, 91). Škola Al-Kindího chápe k</w:t>
      </w:r>
      <w:r w:rsidR="08242770" w:rsidRPr="003D1E07">
        <w:t>auzalitu</w:t>
      </w:r>
      <w:r w:rsidRPr="003D1E07">
        <w:t xml:space="preserve"> </w:t>
      </w:r>
      <w:r w:rsidR="08242770" w:rsidRPr="003D1E07">
        <w:t xml:space="preserve">první substance </w:t>
      </w:r>
      <w:r w:rsidRPr="003D1E07">
        <w:t xml:space="preserve">v </w:t>
      </w:r>
      <w:r w:rsidR="00874074" w:rsidRPr="003D1E07">
        <w:t>neoplatonsk</w:t>
      </w:r>
      <w:r w:rsidRPr="003D1E07">
        <w:t>ém scénáři finální kauzy, což dosvědčuje</w:t>
      </w:r>
      <w:r w:rsidRPr="003D1E07">
        <w:rPr>
          <w:i/>
        </w:rPr>
        <w:t xml:space="preserve"> </w:t>
      </w:r>
      <w:r w:rsidRPr="003D1E07">
        <w:t xml:space="preserve">citát z díla </w:t>
      </w:r>
      <w:r w:rsidRPr="003D1E07">
        <w:rPr>
          <w:i/>
        </w:rPr>
        <w:t>Falsafa al-ūlā</w:t>
      </w:r>
      <w:r w:rsidRPr="003D1E07">
        <w:t>.</w:t>
      </w:r>
      <w:r w:rsidRPr="003D1E07">
        <w:rPr>
          <w:rStyle w:val="Znakapoznpodarou"/>
        </w:rPr>
        <w:footnoteReference w:id="71"/>
      </w:r>
      <w:r w:rsidRPr="003D1E07">
        <w:t xml:space="preserve"> První pravda (</w:t>
      </w:r>
      <w:r w:rsidRPr="003D1E07">
        <w:rPr>
          <w:i/>
        </w:rPr>
        <w:t>al-ḥaqq al-awwal</w:t>
      </w:r>
      <w:r w:rsidRPr="003D1E07">
        <w:t xml:space="preserve">) je bytím o sobě a predikace </w:t>
      </w:r>
      <w:r w:rsidRPr="003D1E07">
        <w:rPr>
          <w:i/>
        </w:rPr>
        <w:t>per prius</w:t>
      </w:r>
      <w:r w:rsidRPr="003D1E07">
        <w:t xml:space="preserve"> je postavená mimo primát reálné substance a mimo kategoriální určení dané v rámci Aristotelovy druhé substance. </w:t>
      </w:r>
      <w:r w:rsidRPr="003D1E07">
        <w:rPr>
          <w:lang w:eastAsia="en-US"/>
        </w:rPr>
        <w:t xml:space="preserve">Tento </w:t>
      </w:r>
      <w:r w:rsidR="08544B8D" w:rsidRPr="003D1E07">
        <w:rPr>
          <w:lang w:eastAsia="en-US"/>
        </w:rPr>
        <w:t>neo</w:t>
      </w:r>
      <w:r w:rsidRPr="003D1E07">
        <w:rPr>
          <w:lang w:eastAsia="en-US"/>
        </w:rPr>
        <w:t>platonismus upravila následující generace myslitelů</w:t>
      </w:r>
      <w:r w:rsidR="00A14D77" w:rsidRPr="003D1E07">
        <w:rPr>
          <w:lang w:eastAsia="en-US"/>
        </w:rPr>
        <w:t xml:space="preserve"> falsafy</w:t>
      </w:r>
      <w:r w:rsidR="00030356" w:rsidRPr="003D1E07">
        <w:rPr>
          <w:lang w:eastAsia="en-US"/>
        </w:rPr>
        <w:t xml:space="preserve">. </w:t>
      </w:r>
      <w:r w:rsidR="08955F59" w:rsidRPr="003D1E07">
        <w:rPr>
          <w:lang w:eastAsia="en-US"/>
        </w:rPr>
        <w:t xml:space="preserve">Muslimští </w:t>
      </w:r>
      <w:r w:rsidR="08FD20CB" w:rsidRPr="003D1E07">
        <w:rPr>
          <w:lang w:eastAsia="en-US"/>
        </w:rPr>
        <w:t>a křesťanští k</w:t>
      </w:r>
      <w:r w:rsidR="005303F3" w:rsidRPr="003D1E07">
        <w:rPr>
          <w:lang w:eastAsia="en-US"/>
        </w:rPr>
        <w:t xml:space="preserve">ritikové </w:t>
      </w:r>
      <w:r w:rsidR="005303F3" w:rsidRPr="003D1E07">
        <w:t xml:space="preserve">Al-Kindího </w:t>
      </w:r>
      <w:r w:rsidR="00A14D77" w:rsidRPr="003D1E07">
        <w:rPr>
          <w:lang w:eastAsia="en-US"/>
        </w:rPr>
        <w:t xml:space="preserve">školy </w:t>
      </w:r>
      <w:r w:rsidR="08FD20CB" w:rsidRPr="003D1E07">
        <w:rPr>
          <w:lang w:eastAsia="en-US"/>
        </w:rPr>
        <w:t xml:space="preserve">v Bagdádu </w:t>
      </w:r>
      <w:r w:rsidR="005303F3" w:rsidRPr="003D1E07">
        <w:t>b</w:t>
      </w:r>
      <w:r w:rsidR="00030356" w:rsidRPr="003D1E07">
        <w:rPr>
          <w:lang w:eastAsia="en-US"/>
        </w:rPr>
        <w:t>yli inspirovaní</w:t>
      </w:r>
      <w:r w:rsidRPr="003D1E07">
        <w:rPr>
          <w:lang w:eastAsia="en-US"/>
        </w:rPr>
        <w:t xml:space="preserve"> skutečným aristotelismem, </w:t>
      </w:r>
      <w:r w:rsidR="00081CDC" w:rsidRPr="003D1E07">
        <w:rPr>
          <w:lang w:eastAsia="en-US"/>
        </w:rPr>
        <w:t>proto</w:t>
      </w:r>
      <w:r w:rsidR="00A14D77" w:rsidRPr="003D1E07">
        <w:rPr>
          <w:lang w:eastAsia="en-US"/>
        </w:rPr>
        <w:t>že</w:t>
      </w:r>
      <w:r w:rsidR="00081CDC" w:rsidRPr="003D1E07">
        <w:rPr>
          <w:lang w:eastAsia="en-US"/>
        </w:rPr>
        <w:t xml:space="preserve"> </w:t>
      </w:r>
      <w:r w:rsidR="00030356" w:rsidRPr="003D1E07">
        <w:rPr>
          <w:lang w:eastAsia="en-US"/>
        </w:rPr>
        <w:t>vyšli</w:t>
      </w:r>
      <w:r w:rsidRPr="003D1E07">
        <w:rPr>
          <w:lang w:eastAsia="en-US"/>
        </w:rPr>
        <w:t xml:space="preserve"> z poznání existující první substance.</w:t>
      </w:r>
      <w:r w:rsidR="08B0069E" w:rsidRPr="003D1E07">
        <w:rPr>
          <w:lang w:eastAsia="en-US"/>
        </w:rPr>
        <w:t xml:space="preserve"> </w:t>
      </w:r>
      <w:r w:rsidR="08F334E4" w:rsidRPr="003D1E07">
        <w:rPr>
          <w:lang w:eastAsia="en-US"/>
        </w:rPr>
        <w:t xml:space="preserve">Epochální </w:t>
      </w:r>
      <w:r w:rsidR="08985578" w:rsidRPr="003D1E07">
        <w:rPr>
          <w:lang w:eastAsia="en-US"/>
        </w:rPr>
        <w:t>v</w:t>
      </w:r>
      <w:r w:rsidR="088E29E2" w:rsidRPr="003D1E07">
        <w:rPr>
          <w:lang w:eastAsia="en-US"/>
        </w:rPr>
        <w:t>ýznam Al-</w:t>
      </w:r>
      <w:r w:rsidR="00111255" w:rsidRPr="003D1E07">
        <w:rPr>
          <w:lang w:eastAsia="en-US"/>
        </w:rPr>
        <w:t>Fá</w:t>
      </w:r>
      <w:r w:rsidR="00376053" w:rsidRPr="003D1E07">
        <w:rPr>
          <w:lang w:eastAsia="en-US"/>
        </w:rPr>
        <w:t>rábího</w:t>
      </w:r>
      <w:r w:rsidR="000D54AE" w:rsidRPr="003D1E07">
        <w:fldChar w:fldCharType="begin"/>
      </w:r>
      <w:r w:rsidR="00000F40" w:rsidRPr="003D1E07">
        <w:instrText xml:space="preserve"> XE "Al-</w:instrText>
      </w:r>
      <w:r w:rsidR="008E02F5" w:rsidRPr="003D1E07">
        <w:instrText>Fárábí</w:instrText>
      </w:r>
      <w:r w:rsidR="000D54AE" w:rsidRPr="003D1E07">
        <w:instrText xml:space="preserve">:viz </w:instrText>
      </w:r>
      <w:r w:rsidR="000D54AE" w:rsidRPr="003D1E07">
        <w:rPr>
          <w:i/>
        </w:rPr>
        <w:instrText>Index locorum</w:instrText>
      </w:r>
      <w:r w:rsidR="000D54AE" w:rsidRPr="003D1E07">
        <w:instrText xml:space="preserve">" </w:instrText>
      </w:r>
      <w:r w:rsidR="000D54AE" w:rsidRPr="003D1E07">
        <w:fldChar w:fldCharType="end"/>
      </w:r>
      <w:r w:rsidR="00376053" w:rsidRPr="003D1E07">
        <w:rPr>
          <w:lang w:eastAsia="en-US"/>
        </w:rPr>
        <w:t xml:space="preserve"> </w:t>
      </w:r>
      <w:r w:rsidR="00BD4A4B" w:rsidRPr="003D1E07">
        <w:rPr>
          <w:lang w:eastAsia="en-US"/>
        </w:rPr>
        <w:t xml:space="preserve">(asi †950) </w:t>
      </w:r>
      <w:r w:rsidR="0086157F" w:rsidRPr="003D1E07">
        <w:rPr>
          <w:lang w:eastAsia="en-US"/>
        </w:rPr>
        <w:t xml:space="preserve">v evropském myšlení </w:t>
      </w:r>
      <w:r w:rsidR="00376053" w:rsidRPr="003D1E07">
        <w:rPr>
          <w:lang w:eastAsia="en-US"/>
        </w:rPr>
        <w:t xml:space="preserve">nejlépe ukazuje spor jeho dvou </w:t>
      </w:r>
      <w:r w:rsidR="00F779ED" w:rsidRPr="003D1E07">
        <w:rPr>
          <w:lang w:eastAsia="en-US"/>
        </w:rPr>
        <w:t xml:space="preserve">geniálních </w:t>
      </w:r>
      <w:r w:rsidR="00376053" w:rsidRPr="003D1E07">
        <w:rPr>
          <w:lang w:eastAsia="en-US"/>
        </w:rPr>
        <w:t xml:space="preserve">žáků, kteří </w:t>
      </w:r>
      <w:r w:rsidR="00C24142" w:rsidRPr="003D1E07">
        <w:rPr>
          <w:lang w:eastAsia="en-US"/>
        </w:rPr>
        <w:t xml:space="preserve">zásadním způsobem </w:t>
      </w:r>
      <w:r w:rsidR="00376053" w:rsidRPr="003D1E07">
        <w:rPr>
          <w:lang w:eastAsia="en-US"/>
        </w:rPr>
        <w:t xml:space="preserve">určili myšlení </w:t>
      </w:r>
      <w:r w:rsidR="009657D8" w:rsidRPr="003D1E07">
        <w:rPr>
          <w:lang w:eastAsia="en-US"/>
        </w:rPr>
        <w:t xml:space="preserve">latinského Západu </w:t>
      </w:r>
      <w:r w:rsidR="006372C5" w:rsidRPr="003D1E07">
        <w:rPr>
          <w:lang w:eastAsia="en-US"/>
        </w:rPr>
        <w:t>skrze dva odlišné projekty metafyziky</w:t>
      </w:r>
      <w:r w:rsidR="00376053" w:rsidRPr="003D1E07">
        <w:rPr>
          <w:lang w:eastAsia="en-US"/>
        </w:rPr>
        <w:t xml:space="preserve">. </w:t>
      </w:r>
      <w:r w:rsidR="08935E82" w:rsidRPr="003D1E07">
        <w:rPr>
          <w:lang w:eastAsia="en-US"/>
        </w:rPr>
        <w:t>O</w:t>
      </w:r>
      <w:r w:rsidR="00F779ED" w:rsidRPr="003D1E07">
        <w:rPr>
          <w:lang w:eastAsia="en-US"/>
        </w:rPr>
        <w:t xml:space="preserve">riginální </w:t>
      </w:r>
      <w:r w:rsidR="00AB2655" w:rsidRPr="003D1E07">
        <w:rPr>
          <w:lang w:eastAsia="en-US"/>
        </w:rPr>
        <w:t xml:space="preserve">syntéza aristotelismu a neoplatonismu </w:t>
      </w:r>
      <w:r w:rsidR="08390C01" w:rsidRPr="003D1E07">
        <w:rPr>
          <w:lang w:eastAsia="en-US"/>
        </w:rPr>
        <w:t xml:space="preserve">v pojetí Druhého mistra, </w:t>
      </w:r>
      <w:r w:rsidR="084602D6" w:rsidRPr="003D1E07">
        <w:t xml:space="preserve">jak byl po Aristotelovi </w:t>
      </w:r>
      <w:r w:rsidR="00303BDC" w:rsidRPr="003D1E07">
        <w:t>ve falsaf</w:t>
      </w:r>
      <w:r w:rsidR="084602D6" w:rsidRPr="003D1E07">
        <w:t>ě Alfarabius uctivě nazýván</w:t>
      </w:r>
      <w:r w:rsidR="08390C01" w:rsidRPr="003D1E07">
        <w:rPr>
          <w:lang w:eastAsia="en-US"/>
        </w:rPr>
        <w:t xml:space="preserve">, </w:t>
      </w:r>
      <w:r w:rsidR="000814BC" w:rsidRPr="003D1E07">
        <w:rPr>
          <w:lang w:eastAsia="en-US"/>
        </w:rPr>
        <w:t xml:space="preserve">založila </w:t>
      </w:r>
      <w:r w:rsidR="00F779ED" w:rsidRPr="003D1E07">
        <w:rPr>
          <w:lang w:eastAsia="en-US"/>
        </w:rPr>
        <w:t xml:space="preserve">první </w:t>
      </w:r>
      <w:r w:rsidR="00AB2655" w:rsidRPr="003D1E07">
        <w:rPr>
          <w:lang w:eastAsia="en-US"/>
        </w:rPr>
        <w:t xml:space="preserve">projekt </w:t>
      </w:r>
      <w:r w:rsidR="00874074" w:rsidRPr="003D1E07">
        <w:rPr>
          <w:lang w:eastAsia="en-US"/>
        </w:rPr>
        <w:lastRenderedPageBreak/>
        <w:t>neoplatonsk</w:t>
      </w:r>
      <w:r w:rsidR="00AB2655" w:rsidRPr="003D1E07">
        <w:rPr>
          <w:lang w:eastAsia="en-US"/>
        </w:rPr>
        <w:t xml:space="preserve">é objektivity </w:t>
      </w:r>
      <w:r w:rsidR="00400239" w:rsidRPr="003D1E07">
        <w:rPr>
          <w:lang w:eastAsia="en-US"/>
        </w:rPr>
        <w:t>skrze Avicennu</w:t>
      </w:r>
      <w:r w:rsidR="000D54AE" w:rsidRPr="003D1E07">
        <w:fldChar w:fldCharType="begin"/>
      </w:r>
      <w:r w:rsidR="000D54AE" w:rsidRPr="003D1E07">
        <w:instrText xml:space="preserve"> XE "Avicenna:viz </w:instrText>
      </w:r>
      <w:r w:rsidR="000D54AE" w:rsidRPr="003D1E07">
        <w:rPr>
          <w:i/>
        </w:rPr>
        <w:instrText>Index locorum</w:instrText>
      </w:r>
      <w:r w:rsidR="000D54AE" w:rsidRPr="003D1E07">
        <w:instrText xml:space="preserve">" </w:instrText>
      </w:r>
      <w:r w:rsidR="000D54AE" w:rsidRPr="003D1E07">
        <w:fldChar w:fldCharType="end"/>
      </w:r>
      <w:r w:rsidR="00AB2655" w:rsidRPr="003D1E07">
        <w:rPr>
          <w:lang w:eastAsia="en-US"/>
        </w:rPr>
        <w:t xml:space="preserve"> a zároveň založila</w:t>
      </w:r>
      <w:r w:rsidR="00F779ED" w:rsidRPr="003D1E07">
        <w:rPr>
          <w:lang w:eastAsia="en-US"/>
        </w:rPr>
        <w:t xml:space="preserve"> zásadní kritiku </w:t>
      </w:r>
      <w:r w:rsidR="00652299" w:rsidRPr="003D1E07">
        <w:rPr>
          <w:lang w:eastAsia="en-US"/>
        </w:rPr>
        <w:t xml:space="preserve">Alfarabia i Avicenny </w:t>
      </w:r>
      <w:r w:rsidR="00F779ED" w:rsidRPr="003D1E07">
        <w:rPr>
          <w:lang w:eastAsia="en-US"/>
        </w:rPr>
        <w:t xml:space="preserve">v projektu </w:t>
      </w:r>
      <w:r w:rsidR="00311882" w:rsidRPr="003D1E07">
        <w:rPr>
          <w:lang w:eastAsia="en-US"/>
        </w:rPr>
        <w:t xml:space="preserve">aristotelské </w:t>
      </w:r>
      <w:r w:rsidR="00400239" w:rsidRPr="003D1E07">
        <w:rPr>
          <w:lang w:eastAsia="en-US"/>
        </w:rPr>
        <w:t xml:space="preserve">metafyziky </w:t>
      </w:r>
      <w:r w:rsidR="00111255" w:rsidRPr="003D1E07">
        <w:rPr>
          <w:lang w:eastAsia="en-US"/>
        </w:rPr>
        <w:t>Averroe</w:t>
      </w:r>
      <w:r w:rsidR="00F779ED" w:rsidRPr="003D1E07">
        <w:rPr>
          <w:lang w:eastAsia="en-US"/>
        </w:rPr>
        <w:t>s</w:t>
      </w:r>
      <w:r w:rsidR="00400239" w:rsidRPr="003D1E07">
        <w:rPr>
          <w:lang w:eastAsia="en-US"/>
        </w:rPr>
        <w:t>e</w:t>
      </w:r>
      <w:r w:rsidR="000D54AE" w:rsidRPr="003D1E07">
        <w:fldChar w:fldCharType="begin"/>
      </w:r>
      <w:r w:rsidR="000D54AE" w:rsidRPr="003D1E07">
        <w:instrText xml:space="preserve"> XE "</w:instrText>
      </w:r>
      <w:r w:rsidR="002E3B62" w:rsidRPr="003D1E07">
        <w:instrText>Averroes</w:instrText>
      </w:r>
      <w:r w:rsidR="000D54AE" w:rsidRPr="003D1E07">
        <w:instrText xml:space="preserve">:viz </w:instrText>
      </w:r>
      <w:r w:rsidR="000D54AE" w:rsidRPr="003D1E07">
        <w:rPr>
          <w:i/>
        </w:rPr>
        <w:instrText>Index locorum</w:instrText>
      </w:r>
      <w:r w:rsidR="000D54AE" w:rsidRPr="003D1E07">
        <w:instrText xml:space="preserve">" </w:instrText>
      </w:r>
      <w:r w:rsidR="000D54AE" w:rsidRPr="003D1E07">
        <w:fldChar w:fldCharType="end"/>
      </w:r>
      <w:r w:rsidR="00F779ED" w:rsidRPr="003D1E07">
        <w:rPr>
          <w:lang w:eastAsia="en-US"/>
        </w:rPr>
        <w:t xml:space="preserve">. </w:t>
      </w:r>
      <w:r w:rsidR="00DE3B37" w:rsidRPr="003D1E07">
        <w:rPr>
          <w:lang w:eastAsia="en-US"/>
        </w:rPr>
        <w:t xml:space="preserve">Kritická edice </w:t>
      </w:r>
      <w:r w:rsidR="003650BB" w:rsidRPr="003D1E07">
        <w:rPr>
          <w:lang w:eastAsia="en-US"/>
        </w:rPr>
        <w:t xml:space="preserve">Avicennovy </w:t>
      </w:r>
      <w:r w:rsidR="003650BB" w:rsidRPr="003D1E07">
        <w:rPr>
          <w:i/>
          <w:lang w:eastAsia="en-US"/>
        </w:rPr>
        <w:t>Scientia divina</w:t>
      </w:r>
      <w:r w:rsidR="003650BB" w:rsidRPr="003D1E07">
        <w:rPr>
          <w:lang w:eastAsia="en-US"/>
        </w:rPr>
        <w:t xml:space="preserve"> začíná citací </w:t>
      </w:r>
      <w:r w:rsidR="00697197" w:rsidRPr="003D1E07">
        <w:rPr>
          <w:lang w:eastAsia="en-US"/>
        </w:rPr>
        <w:t xml:space="preserve">z </w:t>
      </w:r>
      <w:r w:rsidR="00C5759A" w:rsidRPr="003D1E07">
        <w:rPr>
          <w:lang w:eastAsia="en-US"/>
        </w:rPr>
        <w:t xml:space="preserve">jeho </w:t>
      </w:r>
      <w:r w:rsidR="003650BB" w:rsidRPr="003D1E07">
        <w:rPr>
          <w:lang w:eastAsia="en-US"/>
        </w:rPr>
        <w:t xml:space="preserve">autobiografie. </w:t>
      </w:r>
      <w:r w:rsidR="003C2DE9" w:rsidRPr="003D1E07">
        <w:rPr>
          <w:lang w:eastAsia="en-US"/>
        </w:rPr>
        <w:t xml:space="preserve">Perský myslitel četl </w:t>
      </w:r>
      <w:r w:rsidR="00F32238" w:rsidRPr="003D1E07">
        <w:rPr>
          <w:lang w:eastAsia="en-US"/>
        </w:rPr>
        <w:t xml:space="preserve">Aristotelův spis </w:t>
      </w:r>
      <w:r w:rsidR="00F32238" w:rsidRPr="003D1E07">
        <w:rPr>
          <w:i/>
          <w:lang w:eastAsia="en-US"/>
        </w:rPr>
        <w:t>Metafyzika</w:t>
      </w:r>
      <w:r w:rsidR="003C2DE9" w:rsidRPr="003D1E07">
        <w:rPr>
          <w:lang w:eastAsia="en-US"/>
        </w:rPr>
        <w:t xml:space="preserve"> snad čtyřicetkrát, aniž by pochopil její smysl. Ten se mu</w:t>
      </w:r>
      <w:r w:rsidR="00111255" w:rsidRPr="003D1E07">
        <w:rPr>
          <w:lang w:eastAsia="en-US"/>
        </w:rPr>
        <w:t xml:space="preserve"> otevřel až po čtení Al-Fá</w:t>
      </w:r>
      <w:r w:rsidR="003C2DE9" w:rsidRPr="003D1E07">
        <w:rPr>
          <w:lang w:eastAsia="en-US"/>
        </w:rPr>
        <w:t>rábího</w:t>
      </w:r>
      <w:r w:rsidR="00C80DA9" w:rsidRPr="003D1E07">
        <w:rPr>
          <w:lang w:eastAsia="en-US"/>
        </w:rPr>
        <w:t xml:space="preserve"> </w:t>
      </w:r>
      <w:r w:rsidR="00350787" w:rsidRPr="003D1E07">
        <w:rPr>
          <w:lang w:eastAsia="en-US"/>
        </w:rPr>
        <w:t>komentářů k</w:t>
      </w:r>
      <w:r w:rsidR="005A64CD" w:rsidRPr="003D1E07">
        <w:rPr>
          <w:lang w:eastAsia="en-US"/>
        </w:rPr>
        <w:t xml:space="preserve"> </w:t>
      </w:r>
      <w:r w:rsidR="003E3348" w:rsidRPr="003D1E07">
        <w:rPr>
          <w:lang w:eastAsia="en-US"/>
        </w:rPr>
        <w:t xml:space="preserve">Aristotelově </w:t>
      </w:r>
      <w:r w:rsidR="00350787" w:rsidRPr="003D1E07">
        <w:rPr>
          <w:i/>
          <w:lang w:eastAsia="en-US"/>
        </w:rPr>
        <w:t>Metafyzice</w:t>
      </w:r>
      <w:r w:rsidR="003C2DE9" w:rsidRPr="003D1E07">
        <w:rPr>
          <w:lang w:eastAsia="en-US"/>
        </w:rPr>
        <w:t>.</w:t>
      </w:r>
      <w:r w:rsidR="00CF65FC" w:rsidRPr="003D1E07">
        <w:rPr>
          <w:rStyle w:val="Znakapoznpodarou"/>
          <w:lang w:eastAsia="en-US"/>
        </w:rPr>
        <w:footnoteReference w:id="72"/>
      </w:r>
      <w:r w:rsidRPr="003D1E07">
        <w:rPr>
          <w:lang w:eastAsia="en-US"/>
        </w:rPr>
        <w:t xml:space="preserve"> </w:t>
      </w:r>
      <w:r w:rsidR="009F5806" w:rsidRPr="003D1E07">
        <w:rPr>
          <w:lang w:eastAsia="en-US"/>
        </w:rPr>
        <w:t xml:space="preserve">Projekt </w:t>
      </w:r>
      <w:r w:rsidR="088E29E2" w:rsidRPr="003D1E07">
        <w:rPr>
          <w:lang w:eastAsia="en-US"/>
        </w:rPr>
        <w:t>Avicennovy metafyziky napadl Al-</w:t>
      </w:r>
      <w:r w:rsidR="009F5806" w:rsidRPr="003D1E07">
        <w:rPr>
          <w:lang w:eastAsia="en-US"/>
        </w:rPr>
        <w:t>Ghazálí</w:t>
      </w:r>
      <w:r w:rsidR="001507D0" w:rsidRPr="003D1E07">
        <w:rPr>
          <w:lang w:eastAsia="en-US"/>
        </w:rPr>
        <w:fldChar w:fldCharType="begin"/>
      </w:r>
      <w:r w:rsidR="001507D0" w:rsidRPr="003D1E07">
        <w:instrText xml:space="preserve"> XE "</w:instrText>
      </w:r>
      <w:r w:rsidR="001507D0" w:rsidRPr="003D1E07">
        <w:rPr>
          <w:rStyle w:val="FontStyle129"/>
          <w:rFonts w:ascii="Calibri" w:hAnsi="Calibri"/>
          <w:sz w:val="24"/>
        </w:rPr>
        <w:instrText>Al-Ghazálí</w:instrText>
      </w:r>
      <w:r w:rsidR="001507D0" w:rsidRPr="003D1E07">
        <w:instrText xml:space="preserve">" </w:instrText>
      </w:r>
      <w:r w:rsidR="001507D0" w:rsidRPr="003D1E07">
        <w:rPr>
          <w:lang w:eastAsia="en-US"/>
        </w:rPr>
        <w:fldChar w:fldCharType="end"/>
      </w:r>
      <w:r w:rsidR="009F5806" w:rsidRPr="003D1E07">
        <w:rPr>
          <w:lang w:eastAsia="en-US"/>
        </w:rPr>
        <w:t xml:space="preserve"> a po něm </w:t>
      </w:r>
      <w:r w:rsidR="002E3B62" w:rsidRPr="003D1E07">
        <w:rPr>
          <w:lang w:eastAsia="en-US"/>
        </w:rPr>
        <w:t>Averroes</w:t>
      </w:r>
      <w:r w:rsidR="009F5806" w:rsidRPr="003D1E07">
        <w:rPr>
          <w:lang w:eastAsia="en-US"/>
        </w:rPr>
        <w:t xml:space="preserve">, který odpověděl z filosofické pozice i na Al-Ghazálího </w:t>
      </w:r>
      <w:r w:rsidR="000948C2" w:rsidRPr="003D1E07">
        <w:rPr>
          <w:lang w:eastAsia="en-US"/>
        </w:rPr>
        <w:t xml:space="preserve">teologickou </w:t>
      </w:r>
      <w:r w:rsidR="009F5806" w:rsidRPr="003D1E07">
        <w:rPr>
          <w:lang w:eastAsia="en-US"/>
        </w:rPr>
        <w:t>kritiku</w:t>
      </w:r>
      <w:r w:rsidR="001173B4" w:rsidRPr="003D1E07">
        <w:rPr>
          <w:lang w:eastAsia="en-US"/>
        </w:rPr>
        <w:t xml:space="preserve"> </w:t>
      </w:r>
      <w:r w:rsidR="005F769D" w:rsidRPr="003D1E07">
        <w:rPr>
          <w:lang w:eastAsia="en-US"/>
        </w:rPr>
        <w:t xml:space="preserve">tehdejších </w:t>
      </w:r>
      <w:r w:rsidR="001173B4" w:rsidRPr="003D1E07">
        <w:rPr>
          <w:lang w:eastAsia="en-US"/>
        </w:rPr>
        <w:t xml:space="preserve">modernistů </w:t>
      </w:r>
      <w:r w:rsidR="0033649C" w:rsidRPr="003D1E07">
        <w:rPr>
          <w:lang w:eastAsia="en-US"/>
        </w:rPr>
        <w:t xml:space="preserve">jako </w:t>
      </w:r>
      <w:r w:rsidR="001173B4" w:rsidRPr="003D1E07">
        <w:rPr>
          <w:lang w:eastAsia="en-US"/>
        </w:rPr>
        <w:t xml:space="preserve">byl </w:t>
      </w:r>
      <w:r w:rsidR="0033649C" w:rsidRPr="003D1E07">
        <w:rPr>
          <w:lang w:eastAsia="en-US"/>
        </w:rPr>
        <w:t>Avicenna</w:t>
      </w:r>
      <w:r w:rsidR="009F5806" w:rsidRPr="003D1E07">
        <w:rPr>
          <w:lang w:eastAsia="en-US"/>
        </w:rPr>
        <w:t xml:space="preserve">. </w:t>
      </w:r>
      <w:r w:rsidR="08AB44EE" w:rsidRPr="003D1E07">
        <w:rPr>
          <w:lang w:eastAsia="en-US"/>
        </w:rPr>
        <w:t xml:space="preserve">Averroes </w:t>
      </w:r>
      <w:r w:rsidR="001173B4" w:rsidRPr="003D1E07">
        <w:rPr>
          <w:lang w:eastAsia="en-US"/>
        </w:rPr>
        <w:t xml:space="preserve">kritizuje </w:t>
      </w:r>
      <w:r w:rsidR="001173B4" w:rsidRPr="003D1E07">
        <w:rPr>
          <w:rStyle w:val="Zvraznn"/>
          <w:i w:val="0"/>
        </w:rPr>
        <w:t xml:space="preserve">Avicennovy omyly, které údajně odmítl už </w:t>
      </w:r>
      <w:r w:rsidR="00111255" w:rsidRPr="003D1E07">
        <w:rPr>
          <w:lang w:eastAsia="en-US"/>
        </w:rPr>
        <w:t>Al-Fá</w:t>
      </w:r>
      <w:r w:rsidR="001173B4" w:rsidRPr="003D1E07">
        <w:rPr>
          <w:lang w:eastAsia="en-US"/>
        </w:rPr>
        <w:t>r</w:t>
      </w:r>
      <w:r w:rsidR="001C3CFA" w:rsidRPr="003D1E07">
        <w:rPr>
          <w:lang w:eastAsia="en-US"/>
        </w:rPr>
        <w:t>ábí</w:t>
      </w:r>
      <w:r w:rsidR="001173B4" w:rsidRPr="003D1E07">
        <w:rPr>
          <w:lang w:eastAsia="en-US"/>
        </w:rPr>
        <w:t>.</w:t>
      </w:r>
    </w:p>
    <w:p w14:paraId="0C68D538" w14:textId="1F3DB6D4" w:rsidR="002D2210" w:rsidRPr="003D1E07" w:rsidRDefault="00B22130" w:rsidP="00787445">
      <w:pPr>
        <w:ind w:firstLine="397"/>
        <w:rPr>
          <w:rStyle w:val="TextpoznpodarouChar"/>
        </w:rPr>
      </w:pPr>
      <w:r w:rsidRPr="003D1E07">
        <w:rPr>
          <w:lang w:eastAsia="en-US"/>
        </w:rPr>
        <w:t>M</w:t>
      </w:r>
      <w:r w:rsidR="001E3488" w:rsidRPr="003D1E07">
        <w:rPr>
          <w:lang w:eastAsia="en-US"/>
        </w:rPr>
        <w:t>yšlení</w:t>
      </w:r>
      <w:r w:rsidR="087A18DB" w:rsidRPr="003D1E07">
        <w:rPr>
          <w:lang w:eastAsia="en-US"/>
        </w:rPr>
        <w:t xml:space="preserve"> Druhého mistra</w:t>
      </w:r>
      <w:r w:rsidR="083866DA" w:rsidRPr="003D1E07">
        <w:rPr>
          <w:lang w:eastAsia="en-US"/>
        </w:rPr>
        <w:t xml:space="preserve"> </w:t>
      </w:r>
      <w:r w:rsidRPr="003D1E07">
        <w:rPr>
          <w:lang w:eastAsia="en-US"/>
        </w:rPr>
        <w:t xml:space="preserve">kriticky </w:t>
      </w:r>
      <w:r w:rsidR="00865CF1" w:rsidRPr="003D1E07">
        <w:rPr>
          <w:lang w:eastAsia="en-US"/>
        </w:rPr>
        <w:t xml:space="preserve">navazuje na </w:t>
      </w:r>
      <w:r w:rsidR="00874074" w:rsidRPr="003D1E07">
        <w:rPr>
          <w:lang w:eastAsia="en-US"/>
        </w:rPr>
        <w:t>neoplatonsk</w:t>
      </w:r>
      <w:r w:rsidR="002E7408" w:rsidRPr="003D1E07">
        <w:rPr>
          <w:lang w:eastAsia="en-US"/>
        </w:rPr>
        <w:t>é zaměření metafyziky dané předešlo</w:t>
      </w:r>
      <w:r w:rsidR="087D3B8F" w:rsidRPr="003D1E07">
        <w:rPr>
          <w:lang w:eastAsia="en-US"/>
        </w:rPr>
        <w:t>u syrsko-arabskou tradicí</w:t>
      </w:r>
      <w:r w:rsidR="00865CF1" w:rsidRPr="003D1E07">
        <w:rPr>
          <w:lang w:eastAsia="en-US"/>
        </w:rPr>
        <w:t xml:space="preserve"> školy Al-Kindího</w:t>
      </w:r>
      <w:r w:rsidR="087D3B8F" w:rsidRPr="003D1E07">
        <w:rPr>
          <w:lang w:eastAsia="en-US"/>
        </w:rPr>
        <w:t xml:space="preserve">. </w:t>
      </w:r>
      <w:r w:rsidR="00752175" w:rsidRPr="003D1E07">
        <w:t xml:space="preserve">Klíčovou citaci </w:t>
      </w:r>
      <w:r w:rsidR="00D8141F" w:rsidRPr="003D1E07">
        <w:t xml:space="preserve">zahajující debatu o objektivitě </w:t>
      </w:r>
      <w:r w:rsidR="00C80F26" w:rsidRPr="003D1E07">
        <w:t>najdeme</w:t>
      </w:r>
      <w:r w:rsidR="0087796C" w:rsidRPr="003D1E07">
        <w:t xml:space="preserve"> v komentáři k Aristotelově filosofii, </w:t>
      </w:r>
      <w:r w:rsidR="00C80F26" w:rsidRPr="003D1E07">
        <w:t xml:space="preserve">v němž </w:t>
      </w:r>
      <w:r w:rsidR="00B76C9A" w:rsidRPr="003D1E07">
        <w:t xml:space="preserve">se exponují </w:t>
      </w:r>
      <w:r w:rsidR="00C80F26" w:rsidRPr="003D1E07">
        <w:t>formou otázek a odpovědí základní filosofické termíny a některé klíčové problémy</w:t>
      </w:r>
      <w:r w:rsidR="00897F53" w:rsidRPr="003D1E07">
        <w:t>.</w:t>
      </w:r>
      <w:r w:rsidR="00C80F26" w:rsidRPr="003D1E07">
        <w:rPr>
          <w:rStyle w:val="TextpoznpodarouChar"/>
        </w:rPr>
        <w:t xml:space="preserve"> </w:t>
      </w:r>
      <w:r w:rsidR="08B72826" w:rsidRPr="003D1E07">
        <w:rPr>
          <w:rStyle w:val="TextpoznpodarouChar"/>
        </w:rPr>
        <w:t xml:space="preserve">Hermeneutika </w:t>
      </w:r>
      <w:r w:rsidR="08E5318D" w:rsidRPr="003D1E07">
        <w:rPr>
          <w:rStyle w:val="TextpoznpodarouChar"/>
        </w:rPr>
        <w:t xml:space="preserve">vidí </w:t>
      </w:r>
      <w:r w:rsidR="08B72826" w:rsidRPr="003D1E07">
        <w:rPr>
          <w:rStyle w:val="TextpoznpodarouChar"/>
        </w:rPr>
        <w:t xml:space="preserve">další </w:t>
      </w:r>
      <w:r w:rsidR="08E5318D" w:rsidRPr="003D1E07">
        <w:rPr>
          <w:rStyle w:val="TextpoznpodarouChar"/>
        </w:rPr>
        <w:t xml:space="preserve">určení objektivity dané skrze </w:t>
      </w:r>
      <w:r w:rsidR="00114CFB" w:rsidRPr="003D1E07">
        <w:t>brilantní shrnu</w:t>
      </w:r>
      <w:r w:rsidR="00037737" w:rsidRPr="003D1E07">
        <w:t xml:space="preserve">tí smyslu kategoriální predikace podle výše komentované pasáže </w:t>
      </w:r>
      <w:r w:rsidR="08424F39" w:rsidRPr="003D1E07">
        <w:rPr>
          <w:i/>
        </w:rPr>
        <w:t>Kategorií</w:t>
      </w:r>
      <w:r w:rsidR="08424F39" w:rsidRPr="003D1E07">
        <w:t xml:space="preserve"> 2a11–16</w:t>
      </w:r>
      <w:r w:rsidR="00D66B38" w:rsidRPr="003D1E07">
        <w:rPr>
          <w:szCs w:val="15"/>
        </w:rPr>
        <w:fldChar w:fldCharType="begin"/>
      </w:r>
      <w:r w:rsidR="00D66B38" w:rsidRPr="003D1E07">
        <w:instrText xml:space="preserve"> XE "</w:instrText>
      </w:r>
      <w:r w:rsidR="008E02F5" w:rsidRPr="003D1E07">
        <w:instrText>Aristoteles</w:instrText>
      </w:r>
      <w:r w:rsidR="00D66B38" w:rsidRPr="003D1E07">
        <w:instrText>:</w:instrText>
      </w:r>
      <w:r w:rsidR="00D66B38" w:rsidRPr="003D1E07">
        <w:rPr>
          <w:i/>
        </w:rPr>
        <w:instrText>Cat</w:instrText>
      </w:r>
      <w:r w:rsidR="00D66B38" w:rsidRPr="003D1E07">
        <w:instrText xml:space="preserve">. 2a11–16" </w:instrText>
      </w:r>
      <w:r w:rsidR="00D66B38" w:rsidRPr="003D1E07">
        <w:rPr>
          <w:szCs w:val="15"/>
        </w:rPr>
        <w:fldChar w:fldCharType="end"/>
      </w:r>
      <w:r w:rsidR="08424F39" w:rsidRPr="003D1E07">
        <w:t>.</w:t>
      </w:r>
      <w:r w:rsidR="00591154" w:rsidRPr="003D1E07">
        <w:rPr>
          <w:lang w:eastAsia="en-US"/>
        </w:rPr>
        <w:t xml:space="preserve"> </w:t>
      </w:r>
      <w:r w:rsidR="085D7E26" w:rsidRPr="003D1E07">
        <w:rPr>
          <w:lang w:eastAsia="en-US"/>
        </w:rPr>
        <w:t>Výkladem této pasáže se určuje na</w:t>
      </w:r>
      <w:r w:rsidR="08E5318D" w:rsidRPr="003D1E07">
        <w:rPr>
          <w:lang w:eastAsia="en-US"/>
        </w:rPr>
        <w:t>s</w:t>
      </w:r>
      <w:r w:rsidR="085D7E26" w:rsidRPr="003D1E07">
        <w:rPr>
          <w:lang w:eastAsia="en-US"/>
        </w:rPr>
        <w:t xml:space="preserve">vícení jsoucna zepředu nebo zezadu. </w:t>
      </w:r>
      <w:r w:rsidR="00591154" w:rsidRPr="003D1E07">
        <w:rPr>
          <w:lang w:eastAsia="en-US"/>
        </w:rPr>
        <w:t xml:space="preserve">Abunaser řeší </w:t>
      </w:r>
      <w:r w:rsidR="00591154" w:rsidRPr="003D1E07">
        <w:rPr>
          <w:szCs w:val="15"/>
        </w:rPr>
        <w:t>postavení substance</w:t>
      </w:r>
      <w:r w:rsidR="00591154" w:rsidRPr="003D1E07">
        <w:rPr>
          <w:szCs w:val="15"/>
        </w:rPr>
        <w:fldChar w:fldCharType="begin"/>
      </w:r>
      <w:r w:rsidR="00591154" w:rsidRPr="003D1E07">
        <w:instrText xml:space="preserve"> XE "substance:Al-</w:instrText>
      </w:r>
      <w:r w:rsidR="008E02F5" w:rsidRPr="003D1E07">
        <w:instrText>Fárábí</w:instrText>
      </w:r>
      <w:r w:rsidR="00591154" w:rsidRPr="003D1E07">
        <w:instrText xml:space="preserve">" </w:instrText>
      </w:r>
      <w:r w:rsidR="00591154" w:rsidRPr="003D1E07">
        <w:rPr>
          <w:szCs w:val="15"/>
        </w:rPr>
        <w:fldChar w:fldCharType="end"/>
      </w:r>
      <w:r w:rsidR="00591154" w:rsidRPr="003D1E07">
        <w:rPr>
          <w:szCs w:val="15"/>
        </w:rPr>
        <w:t xml:space="preserve"> dané ve dvojím modu predikace </w:t>
      </w:r>
      <w:r w:rsidR="00591154" w:rsidRPr="003D1E07">
        <w:rPr>
          <w:i/>
          <w:szCs w:val="15"/>
        </w:rPr>
        <w:t>per prius</w:t>
      </w:r>
      <w:r w:rsidR="00591154" w:rsidRPr="003D1E07">
        <w:rPr>
          <w:szCs w:val="15"/>
        </w:rPr>
        <w:t xml:space="preserve"> podle</w:t>
      </w:r>
      <w:r w:rsidR="00111255" w:rsidRPr="003D1E07">
        <w:rPr>
          <w:szCs w:val="15"/>
        </w:rPr>
        <w:t xml:space="preserve"> autentického Aristotela a Porfy</w:t>
      </w:r>
      <w:r w:rsidR="00591154" w:rsidRPr="003D1E07">
        <w:rPr>
          <w:szCs w:val="15"/>
        </w:rPr>
        <w:t>ria</w:t>
      </w:r>
      <w:r w:rsidR="08B72826" w:rsidRPr="003D1E07">
        <w:rPr>
          <w:szCs w:val="15"/>
        </w:rPr>
        <w:t xml:space="preserve"> </w:t>
      </w:r>
      <w:r w:rsidR="08AF6B7D" w:rsidRPr="003D1E07">
        <w:rPr>
          <w:szCs w:val="15"/>
        </w:rPr>
        <w:t>(</w:t>
      </w:r>
      <w:r w:rsidR="084E7952" w:rsidRPr="003D1E07">
        <w:rPr>
          <w:szCs w:val="15"/>
        </w:rPr>
        <w:t>kap. 1.3</w:t>
      </w:r>
      <w:r w:rsidR="08B72826" w:rsidRPr="003D1E07">
        <w:rPr>
          <w:szCs w:val="15"/>
        </w:rPr>
        <w:t>)</w:t>
      </w:r>
      <w:r w:rsidR="00591154" w:rsidRPr="003D1E07">
        <w:rPr>
          <w:szCs w:val="15"/>
        </w:rPr>
        <w:t xml:space="preserve">. </w:t>
      </w:r>
      <w:r w:rsidR="08672F89" w:rsidRPr="003D1E07">
        <w:rPr>
          <w:szCs w:val="15"/>
        </w:rPr>
        <w:t xml:space="preserve">Epochální </w:t>
      </w:r>
      <w:r w:rsidR="08E5318D" w:rsidRPr="003D1E07">
        <w:rPr>
          <w:szCs w:val="15"/>
        </w:rPr>
        <w:t xml:space="preserve">rozchod s neoplatonismem </w:t>
      </w:r>
      <w:r w:rsidR="08E5318D" w:rsidRPr="003D1E07">
        <w:t xml:space="preserve">Al-Kindího </w:t>
      </w:r>
      <w:r w:rsidR="08E5318D" w:rsidRPr="003D1E07">
        <w:rPr>
          <w:szCs w:val="15"/>
        </w:rPr>
        <w:t>je daný tím, že Druhý mistr r</w:t>
      </w:r>
      <w:r w:rsidR="00591154" w:rsidRPr="003D1E07">
        <w:rPr>
          <w:szCs w:val="15"/>
        </w:rPr>
        <w:t xml:space="preserve">ozlišuje v modu </w:t>
      </w:r>
      <w:r w:rsidR="00591154" w:rsidRPr="003D1E07">
        <w:rPr>
          <w:i/>
          <w:szCs w:val="15"/>
        </w:rPr>
        <w:t>per prius</w:t>
      </w:r>
      <w:r w:rsidR="00591154" w:rsidRPr="003D1E07">
        <w:rPr>
          <w:szCs w:val="15"/>
        </w:rPr>
        <w:t xml:space="preserve"> hyparchické postavení první substance a pouze obecnou predikaci druhé substance</w:t>
      </w:r>
      <w:r w:rsidR="00591154" w:rsidRPr="003D1E07">
        <w:rPr>
          <w:szCs w:val="15"/>
        </w:rPr>
        <w:fldChar w:fldCharType="begin"/>
      </w:r>
      <w:r w:rsidR="00591154" w:rsidRPr="003D1E07">
        <w:instrText xml:space="preserve"> XE "predikace:Al-</w:instrText>
      </w:r>
      <w:r w:rsidR="008E02F5" w:rsidRPr="003D1E07">
        <w:instrText>Fárábí</w:instrText>
      </w:r>
      <w:r w:rsidR="00591154" w:rsidRPr="003D1E07">
        <w:instrText xml:space="preserve">" </w:instrText>
      </w:r>
      <w:r w:rsidR="00591154" w:rsidRPr="003D1E07">
        <w:rPr>
          <w:szCs w:val="15"/>
        </w:rPr>
        <w:fldChar w:fldCharType="end"/>
      </w:r>
      <w:r w:rsidR="00591154" w:rsidRPr="003D1E07">
        <w:rPr>
          <w:szCs w:val="15"/>
        </w:rPr>
        <w:t>.</w:t>
      </w:r>
    </w:p>
    <w:p w14:paraId="2CC877EC" w14:textId="1881D7B7" w:rsidR="089C7971" w:rsidRPr="003D1E07" w:rsidRDefault="00C55625" w:rsidP="00691CD0">
      <w:pPr>
        <w:pStyle w:val="Citace"/>
        <w:rPr>
          <w:noProof/>
          <w:lang w:val="cs-CZ"/>
        </w:rPr>
      </w:pPr>
      <w:r w:rsidRPr="003D1E07">
        <w:rPr>
          <w:noProof/>
          <w:lang w:val="cs-CZ"/>
        </w:rPr>
        <w:t>„</w:t>
      </w:r>
      <w:r w:rsidR="089C7971" w:rsidRPr="003D1E07">
        <w:rPr>
          <w:noProof/>
          <w:lang w:val="cs-CZ"/>
        </w:rPr>
        <w:t>První substance, tedy individuálně existují</w:t>
      </w:r>
      <w:r w:rsidR="085C05FB" w:rsidRPr="003D1E07">
        <w:rPr>
          <w:noProof/>
          <w:lang w:val="cs-CZ"/>
        </w:rPr>
        <w:t>cí</w:t>
      </w:r>
      <w:r w:rsidR="089C7971" w:rsidRPr="003D1E07">
        <w:rPr>
          <w:noProof/>
          <w:lang w:val="cs-CZ"/>
        </w:rPr>
        <w:t xml:space="preserve"> jednotliviny, nepotřebují ke svému bytí nic kromě sebe sama. Ale druhé substance, tedy druhy a rody, potřebují ke svému bytí existenci jednotlivin. Z toho důvodu připadá pojem 'substance' nejprve jednotlivinám a pro ně je termín 'substance' vhodnější</w:t>
      </w:r>
      <w:r w:rsidR="00AC166E" w:rsidRPr="003D1E07">
        <w:rPr>
          <w:noProof/>
          <w:lang w:val="cs-CZ"/>
        </w:rPr>
        <w:t>,</w:t>
      </w:r>
      <w:r w:rsidR="089C7971" w:rsidRPr="003D1E07">
        <w:rPr>
          <w:noProof/>
          <w:lang w:val="cs-CZ"/>
        </w:rPr>
        <w:t xml:space="preserve"> než </w:t>
      </w:r>
      <w:r w:rsidR="085C05FB" w:rsidRPr="003D1E07">
        <w:rPr>
          <w:noProof/>
          <w:lang w:val="cs-CZ"/>
        </w:rPr>
        <w:t xml:space="preserve">pro </w:t>
      </w:r>
      <w:r w:rsidR="089C7971" w:rsidRPr="003D1E07">
        <w:rPr>
          <w:noProof/>
          <w:lang w:val="cs-CZ"/>
        </w:rPr>
        <w:t xml:space="preserve">univerzália. Jiný způsob uvažování je ale následující. Všeobecné pojmy jsou více substance než individua, protože trvají a nemění se, zatímco jednotliviny se mění a zanikají. Pro obě teorie je jasné, že obě pojetí substance </w:t>
      </w:r>
      <w:r w:rsidR="082B540A" w:rsidRPr="003D1E07">
        <w:rPr>
          <w:noProof/>
          <w:lang w:val="cs-CZ"/>
        </w:rPr>
        <w:t xml:space="preserve">jsou </w:t>
      </w:r>
      <w:r w:rsidR="085033D8" w:rsidRPr="003D1E07">
        <w:rPr>
          <w:noProof/>
          <w:lang w:val="cs-CZ"/>
        </w:rPr>
        <w:t xml:space="preserve">odlišně </w:t>
      </w:r>
      <w:r w:rsidR="082B540A" w:rsidRPr="003D1E07">
        <w:rPr>
          <w:noProof/>
          <w:lang w:val="cs-CZ"/>
        </w:rPr>
        <w:t xml:space="preserve">predikovány </w:t>
      </w:r>
      <w:r w:rsidR="089C7971" w:rsidRPr="003D1E07">
        <w:rPr>
          <w:noProof/>
          <w:lang w:val="cs-CZ"/>
        </w:rPr>
        <w:t xml:space="preserve">v modu </w:t>
      </w:r>
      <w:r w:rsidR="089C7971" w:rsidRPr="003D1E07">
        <w:rPr>
          <w:i/>
          <w:noProof/>
          <w:lang w:val="cs-CZ"/>
        </w:rPr>
        <w:t>per prius</w:t>
      </w:r>
      <w:r w:rsidR="089C7971" w:rsidRPr="003D1E07">
        <w:rPr>
          <w:noProof/>
          <w:lang w:val="cs-CZ"/>
        </w:rPr>
        <w:t xml:space="preserve"> a </w:t>
      </w:r>
      <w:r w:rsidR="089C7971" w:rsidRPr="003D1E07">
        <w:rPr>
          <w:i/>
          <w:noProof/>
          <w:lang w:val="cs-CZ"/>
        </w:rPr>
        <w:t>per posterius</w:t>
      </w:r>
      <w:r w:rsidR="000174A1">
        <w:rPr>
          <w:noProof/>
          <w:lang w:val="cs-CZ"/>
        </w:rPr>
        <w:t xml:space="preserve"> vzhledem k tomu,</w:t>
      </w:r>
      <w:r w:rsidR="00BA1E48">
        <w:rPr>
          <w:noProof/>
          <w:lang w:val="cs-CZ"/>
        </w:rPr>
        <w:t xml:space="preserve"> co je míněno</w:t>
      </w:r>
      <w:r w:rsidR="000174A1">
        <w:rPr>
          <w:noProof/>
          <w:lang w:val="cs-CZ"/>
        </w:rPr>
        <w:t xml:space="preserve">. </w:t>
      </w:r>
      <w:r w:rsidR="089C7971" w:rsidRPr="003D1E07">
        <w:rPr>
          <w:noProof/>
          <w:lang w:val="cs-CZ"/>
        </w:rPr>
        <w:t>Proto nese termín 'substance' dvojí význam.“</w:t>
      </w:r>
      <w:r w:rsidR="00934CDA" w:rsidRPr="003D1E07">
        <w:rPr>
          <w:noProof/>
          <w:lang w:val="cs-CZ"/>
        </w:rPr>
        <w:t> </w:t>
      </w:r>
      <w:r w:rsidR="084953AC" w:rsidRPr="003D1E07">
        <w:rPr>
          <w:rStyle w:val="Znakapoznpodarou"/>
          <w:noProof/>
          <w:lang w:val="cs-CZ"/>
        </w:rPr>
        <w:footnoteReference w:id="73"/>
      </w:r>
    </w:p>
    <w:p w14:paraId="21AD6384" w14:textId="4E070925" w:rsidR="00032BB0" w:rsidRPr="003D1E07" w:rsidRDefault="00D30414" w:rsidP="00691CD0">
      <w:r w:rsidRPr="003D1E07">
        <w:lastRenderedPageBreak/>
        <w:t>Al-</w:t>
      </w:r>
      <w:r w:rsidR="00111255" w:rsidRPr="003D1E07">
        <w:t>Fá</w:t>
      </w:r>
      <w:r w:rsidR="00CD7B89" w:rsidRPr="003D1E07">
        <w:t xml:space="preserve">rábí </w:t>
      </w:r>
      <w:r w:rsidRPr="003D1E07">
        <w:t xml:space="preserve">nejprve zdůrazňuje klasické pojetí </w:t>
      </w:r>
      <w:r w:rsidR="00C60AD3" w:rsidRPr="003D1E07">
        <w:rPr>
          <w:i/>
        </w:rPr>
        <w:t>per se</w:t>
      </w:r>
      <w:r w:rsidR="00C60AD3" w:rsidRPr="003D1E07">
        <w:t xml:space="preserve"> pro </w:t>
      </w:r>
      <w:r w:rsidRPr="003D1E07">
        <w:t xml:space="preserve">existující </w:t>
      </w:r>
      <w:r w:rsidR="00C60AD3" w:rsidRPr="003D1E07">
        <w:t>první substanci</w:t>
      </w:r>
      <w:r w:rsidRPr="003D1E07">
        <w:t xml:space="preserve">, která </w:t>
      </w:r>
      <w:r w:rsidR="001C4E53" w:rsidRPr="003D1E07">
        <w:t xml:space="preserve">sama od sebe </w:t>
      </w:r>
      <w:r w:rsidRPr="003D1E07">
        <w:t xml:space="preserve">není v žádném vztahu k </w:t>
      </w:r>
      <w:r w:rsidR="001C4E53" w:rsidRPr="003D1E07">
        <w:t>predikaci</w:t>
      </w:r>
      <w:r w:rsidRPr="003D1E07">
        <w:t xml:space="preserve">. </w:t>
      </w:r>
      <w:r w:rsidR="002965A8" w:rsidRPr="003D1E07">
        <w:t>P</w:t>
      </w:r>
      <w:r w:rsidR="088E72CD" w:rsidRPr="003D1E07">
        <w:t xml:space="preserve">rimát </w:t>
      </w:r>
      <w:r w:rsidR="00243497" w:rsidRPr="003D1E07">
        <w:t xml:space="preserve">poznání </w:t>
      </w:r>
      <w:r w:rsidR="002965A8" w:rsidRPr="003D1E07">
        <w:t xml:space="preserve">drží </w:t>
      </w:r>
      <w:r w:rsidR="088E72CD" w:rsidRPr="003D1E07">
        <w:t>reálně existující substance</w:t>
      </w:r>
      <w:r w:rsidR="00A70FA4" w:rsidRPr="003D1E07">
        <w:fldChar w:fldCharType="begin"/>
      </w:r>
      <w:r w:rsidR="00A70FA4" w:rsidRPr="003D1E07">
        <w:instrText xml:space="preserve"> XE "substance</w:instrText>
      </w:r>
      <w:r w:rsidR="00D66B38" w:rsidRPr="003D1E07">
        <w:instrText>:první</w:instrText>
      </w:r>
      <w:r w:rsidR="00A70FA4" w:rsidRPr="003D1E07">
        <w:instrText xml:space="preserve">" </w:instrText>
      </w:r>
      <w:r w:rsidR="00A70FA4" w:rsidRPr="003D1E07">
        <w:fldChar w:fldCharType="end"/>
      </w:r>
      <w:r w:rsidR="088E72CD" w:rsidRPr="003D1E07">
        <w:t>, která tvoří základ kategoriálních určení druhé substance (</w:t>
      </w:r>
      <w:r w:rsidR="088E72CD" w:rsidRPr="003D1E07">
        <w:rPr>
          <w:i/>
        </w:rPr>
        <w:t>die zweiten Substanzen aber, wie die Arten und die Gattungen, bedürfen zu ihrem Sein der Individuen</w:t>
      </w:r>
      <w:r w:rsidR="088E72CD" w:rsidRPr="003D1E07">
        <w:t xml:space="preserve">). </w:t>
      </w:r>
      <w:r w:rsidR="005F769D" w:rsidRPr="003D1E07">
        <w:t>Al-</w:t>
      </w:r>
      <w:r w:rsidR="008E02F5" w:rsidRPr="003D1E07">
        <w:t>Fárábí</w:t>
      </w:r>
      <w:r w:rsidR="005F769D" w:rsidRPr="003D1E07">
        <w:t xml:space="preserve"> jasně potvrzuje hyparchické postavení první substance, která zakládá kategoriální predikaci. </w:t>
      </w:r>
      <w:r w:rsidR="00AB0729" w:rsidRPr="003D1E07">
        <w:t xml:space="preserve">Existence druhé substance závisí na první substanci. </w:t>
      </w:r>
      <w:r w:rsidR="00850746" w:rsidRPr="003D1E07">
        <w:t xml:space="preserve">Opět platí, že první impozici významu determinuje </w:t>
      </w:r>
      <w:r w:rsidR="08AB44EE" w:rsidRPr="003D1E07">
        <w:t xml:space="preserve">hyparchická </w:t>
      </w:r>
      <w:r w:rsidR="00850746" w:rsidRPr="003D1E07">
        <w:t xml:space="preserve">první substance (πρώτως οὐσίαι λεγόμεναι ὑπάρχουσιν, </w:t>
      </w:r>
      <w:r w:rsidR="00850746" w:rsidRPr="003D1E07">
        <w:rPr>
          <w:i/>
        </w:rPr>
        <w:t>Cat</w:t>
      </w:r>
      <w:r w:rsidR="00850746" w:rsidRPr="003D1E07">
        <w:t>. 2a14–15</w:t>
      </w:r>
      <w:r w:rsidR="00D66B38" w:rsidRPr="003D1E07">
        <w:rPr>
          <w:szCs w:val="15"/>
        </w:rPr>
        <w:fldChar w:fldCharType="begin"/>
      </w:r>
      <w:r w:rsidR="00D66B38" w:rsidRPr="003D1E07">
        <w:instrText xml:space="preserve"> XE "</w:instrText>
      </w:r>
      <w:r w:rsidR="008E02F5" w:rsidRPr="003D1E07">
        <w:instrText>Aristoteles</w:instrText>
      </w:r>
      <w:r w:rsidR="00D66B38" w:rsidRPr="003D1E07">
        <w:instrText>:</w:instrText>
      </w:r>
      <w:r w:rsidR="00D66B38" w:rsidRPr="003D1E07">
        <w:rPr>
          <w:i/>
        </w:rPr>
        <w:instrText>Cat</w:instrText>
      </w:r>
      <w:r w:rsidR="00D66B38" w:rsidRPr="003D1E07">
        <w:instrText xml:space="preserve">. 2a14–15" </w:instrText>
      </w:r>
      <w:r w:rsidR="00D66B38" w:rsidRPr="003D1E07">
        <w:rPr>
          <w:szCs w:val="15"/>
        </w:rPr>
        <w:fldChar w:fldCharType="end"/>
      </w:r>
      <w:r w:rsidR="00850746" w:rsidRPr="003D1E07">
        <w:t xml:space="preserve">). </w:t>
      </w:r>
      <w:r w:rsidR="00AB0729" w:rsidRPr="003D1E07">
        <w:t>Významy v rámci kategorií, rodu a druh</w:t>
      </w:r>
      <w:r w:rsidR="00602B6C" w:rsidRPr="003D1E07">
        <w:t xml:space="preserve">u </w:t>
      </w:r>
      <w:r w:rsidR="009F0806" w:rsidRPr="003D1E07">
        <w:t xml:space="preserve">mají univoční signifikaci </w:t>
      </w:r>
      <w:r w:rsidR="00602B6C" w:rsidRPr="003D1E07">
        <w:t>proto, že univerz</w:t>
      </w:r>
      <w:r w:rsidR="00AB0729" w:rsidRPr="003D1E07">
        <w:t xml:space="preserve">ální určení jsou </w:t>
      </w:r>
      <w:r w:rsidR="004A5A59" w:rsidRPr="003D1E07">
        <w:t>predikována</w:t>
      </w:r>
      <w:r w:rsidR="00602B6C" w:rsidRPr="003D1E07">
        <w:t xml:space="preserve"> </w:t>
      </w:r>
      <w:r w:rsidR="08613BCF" w:rsidRPr="003D1E07">
        <w:t xml:space="preserve">skrze impozici významu od </w:t>
      </w:r>
      <w:r w:rsidR="00AB0729" w:rsidRPr="003D1E07">
        <w:t>aktuální</w:t>
      </w:r>
      <w:r w:rsidR="08613BCF" w:rsidRPr="003D1E07">
        <w:t>ho</w:t>
      </w:r>
      <w:r w:rsidR="00AB0729" w:rsidRPr="003D1E07">
        <w:t xml:space="preserve"> bytí jednotlivin. </w:t>
      </w:r>
      <w:r w:rsidR="004A5A59" w:rsidRPr="003D1E07">
        <w:t>Impozice významu je dána nasvícením zepředu</w:t>
      </w:r>
      <w:r w:rsidR="004A5A59" w:rsidRPr="003D1E07">
        <w:fldChar w:fldCharType="begin"/>
      </w:r>
      <w:r w:rsidR="004A5A59" w:rsidRPr="003D1E07">
        <w:instrText xml:space="preserve"> XE "zjevování:nasvícení zepředu" </w:instrText>
      </w:r>
      <w:r w:rsidR="004A5A59" w:rsidRPr="003D1E07">
        <w:fldChar w:fldCharType="end"/>
      </w:r>
      <w:r w:rsidR="004A5A59" w:rsidRPr="003D1E07">
        <w:t xml:space="preserve"> od reálné první substance. </w:t>
      </w:r>
      <w:r w:rsidR="00FD0D3F" w:rsidRPr="003D1E07">
        <w:t xml:space="preserve">Pak </w:t>
      </w:r>
      <w:r w:rsidR="00850746" w:rsidRPr="003D1E07">
        <w:t>je třeba obhájit</w:t>
      </w:r>
      <w:r w:rsidR="00FD0D3F" w:rsidRPr="003D1E07">
        <w:t xml:space="preserve"> i</w:t>
      </w:r>
      <w:r w:rsidR="00850746" w:rsidRPr="003D1E07">
        <w:t xml:space="preserve"> další část výklad</w:t>
      </w:r>
      <w:r w:rsidR="00FD0D3F" w:rsidRPr="003D1E07">
        <w:t>u</w:t>
      </w:r>
      <w:r w:rsidR="00850746" w:rsidRPr="003D1E07">
        <w:t xml:space="preserve"> </w:t>
      </w:r>
      <w:r w:rsidR="00850746" w:rsidRPr="003D1E07">
        <w:rPr>
          <w:i/>
        </w:rPr>
        <w:t>Kategorií</w:t>
      </w:r>
      <w:r w:rsidR="00850746" w:rsidRPr="003D1E07">
        <w:t xml:space="preserve">, </w:t>
      </w:r>
      <w:r w:rsidR="004A5A59" w:rsidRPr="003D1E07">
        <w:t xml:space="preserve">která řídí predikaci </w:t>
      </w:r>
      <w:r w:rsidR="004A5A59" w:rsidRPr="003D1E07">
        <w:rPr>
          <w:i/>
        </w:rPr>
        <w:t>per prius</w:t>
      </w:r>
      <w:r w:rsidR="004A5A59" w:rsidRPr="003D1E07">
        <w:t xml:space="preserve"> a </w:t>
      </w:r>
      <w:r w:rsidR="004A5A59" w:rsidRPr="003D1E07">
        <w:rPr>
          <w:i/>
        </w:rPr>
        <w:t>per posterius</w:t>
      </w:r>
      <w:r w:rsidR="004A5A59" w:rsidRPr="003D1E07">
        <w:t xml:space="preserve"> směrem od supozice univerzálních významů</w:t>
      </w:r>
      <w:r w:rsidR="08112E83" w:rsidRPr="003D1E07">
        <w:t>. R</w:t>
      </w:r>
      <w:r w:rsidR="00850746" w:rsidRPr="003D1E07">
        <w:t xml:space="preserve">ody a druhy </w:t>
      </w:r>
      <w:r w:rsidR="082909E6" w:rsidRPr="003D1E07">
        <w:t xml:space="preserve">také </w:t>
      </w:r>
      <w:r w:rsidR="00850746" w:rsidRPr="003D1E07">
        <w:t xml:space="preserve">vypovídají o substanci kategoriálním způsobem (τὰ μὲν γὰρ γένη κατὰ τῶν εἰδῶν κατηγορεῖται, </w:t>
      </w:r>
      <w:r w:rsidR="00850746" w:rsidRPr="003D1E07">
        <w:rPr>
          <w:i/>
        </w:rPr>
        <w:t>Cat</w:t>
      </w:r>
      <w:r w:rsidR="00850746" w:rsidRPr="003D1E07">
        <w:t>. 2b20</w:t>
      </w:r>
      <w:r w:rsidR="00D66B38" w:rsidRPr="003D1E07">
        <w:rPr>
          <w:szCs w:val="15"/>
        </w:rPr>
        <w:fldChar w:fldCharType="begin"/>
      </w:r>
      <w:r w:rsidR="00D66B38" w:rsidRPr="003D1E07">
        <w:instrText xml:space="preserve"> XE "</w:instrText>
      </w:r>
      <w:r w:rsidR="008E02F5" w:rsidRPr="003D1E07">
        <w:instrText>Aristoteles</w:instrText>
      </w:r>
      <w:r w:rsidR="00D66B38" w:rsidRPr="003D1E07">
        <w:instrText>:</w:instrText>
      </w:r>
      <w:r w:rsidR="00D66B38" w:rsidRPr="003D1E07">
        <w:rPr>
          <w:i/>
        </w:rPr>
        <w:instrText>Cat</w:instrText>
      </w:r>
      <w:r w:rsidR="00D66B38" w:rsidRPr="003D1E07">
        <w:instrText xml:space="preserve">. 2b20" </w:instrText>
      </w:r>
      <w:r w:rsidR="00D66B38" w:rsidRPr="003D1E07">
        <w:rPr>
          <w:szCs w:val="15"/>
        </w:rPr>
        <w:fldChar w:fldCharType="end"/>
      </w:r>
      <w:r w:rsidR="00850746" w:rsidRPr="003D1E07">
        <w:t xml:space="preserve">). Komentář </w:t>
      </w:r>
      <w:r w:rsidR="00FB335B" w:rsidRPr="003D1E07">
        <w:t xml:space="preserve">proto </w:t>
      </w:r>
      <w:r w:rsidR="00850746" w:rsidRPr="003D1E07">
        <w:t xml:space="preserve">pokračuje rozborem </w:t>
      </w:r>
      <w:r w:rsidR="00FB335B" w:rsidRPr="003D1E07">
        <w:t>univerzální predikace, ny</w:t>
      </w:r>
      <w:r w:rsidR="00850746" w:rsidRPr="003D1E07">
        <w:t>n</w:t>
      </w:r>
      <w:r w:rsidR="00FB335B" w:rsidRPr="003D1E07">
        <w:t xml:space="preserve">í dané </w:t>
      </w:r>
      <w:r w:rsidR="08F32D22" w:rsidRPr="003D1E07">
        <w:t xml:space="preserve">sekundárním </w:t>
      </w:r>
      <w:r w:rsidR="00FB335B" w:rsidRPr="003D1E07">
        <w:t xml:space="preserve">nasvícením jsoucna </w:t>
      </w:r>
      <w:r w:rsidR="00200A30" w:rsidRPr="003D1E07">
        <w:t>zezadu</w:t>
      </w:r>
      <w:r w:rsidR="00200A30" w:rsidRPr="003D1E07">
        <w:fldChar w:fldCharType="begin"/>
      </w:r>
      <w:r w:rsidR="00200A30" w:rsidRPr="003D1E07">
        <w:instrText xml:space="preserve"> XE "zjevování:nasvícení zezadu" </w:instrText>
      </w:r>
      <w:r w:rsidR="00200A30" w:rsidRPr="003D1E07">
        <w:fldChar w:fldCharType="end"/>
      </w:r>
      <w:r w:rsidR="00200A30" w:rsidRPr="003D1E07">
        <w:t xml:space="preserve"> </w:t>
      </w:r>
      <w:r w:rsidR="00FB335B" w:rsidRPr="003D1E07">
        <w:t>od un</w:t>
      </w:r>
      <w:r w:rsidR="00850746" w:rsidRPr="003D1E07">
        <w:t>i</w:t>
      </w:r>
      <w:r w:rsidR="00FB335B" w:rsidRPr="003D1E07">
        <w:t>v</w:t>
      </w:r>
      <w:r w:rsidR="00850746" w:rsidRPr="003D1E07">
        <w:t xml:space="preserve">erzálního významu. Z </w:t>
      </w:r>
      <w:r w:rsidR="00376A03" w:rsidRPr="003D1E07">
        <w:t xml:space="preserve">hlediska </w:t>
      </w:r>
      <w:r w:rsidR="08613BCF" w:rsidRPr="003D1E07">
        <w:t xml:space="preserve">supoziční </w:t>
      </w:r>
      <w:r w:rsidR="00384BBD" w:rsidRPr="003D1E07">
        <w:t xml:space="preserve">predikace </w:t>
      </w:r>
      <w:r w:rsidR="00376A03" w:rsidRPr="003D1E07">
        <w:t>dané na úrovni univerzality</w:t>
      </w:r>
      <w:r w:rsidR="00745A9C" w:rsidRPr="003D1E07">
        <w:t xml:space="preserve"> </w:t>
      </w:r>
      <w:r w:rsidR="00B165F9" w:rsidRPr="003D1E07">
        <w:t xml:space="preserve">platí opačné řazení významu v modu </w:t>
      </w:r>
      <w:r w:rsidR="00376A03" w:rsidRPr="003D1E07">
        <w:rPr>
          <w:i/>
        </w:rPr>
        <w:t>per prius</w:t>
      </w:r>
      <w:r w:rsidR="00376A03" w:rsidRPr="003D1E07">
        <w:t xml:space="preserve"> a </w:t>
      </w:r>
      <w:r w:rsidR="00376A03" w:rsidRPr="003D1E07">
        <w:rPr>
          <w:i/>
        </w:rPr>
        <w:t>per posterius</w:t>
      </w:r>
      <w:r w:rsidR="00376A03" w:rsidRPr="003D1E07">
        <w:t xml:space="preserve">, </w:t>
      </w:r>
      <w:r w:rsidR="00D66B38" w:rsidRPr="003D1E07">
        <w:rPr>
          <w:szCs w:val="15"/>
        </w:rPr>
        <w:fldChar w:fldCharType="begin"/>
      </w:r>
      <w:r w:rsidR="00D66B38" w:rsidRPr="003D1E07">
        <w:instrText xml:space="preserve"> XE "predikace:</w:instrText>
      </w:r>
      <w:r w:rsidR="00D66B38" w:rsidRPr="003D1E07">
        <w:rPr>
          <w:i/>
        </w:rPr>
        <w:instrText>per prius</w:instrText>
      </w:r>
      <w:r w:rsidR="00D66B38" w:rsidRPr="003D1E07">
        <w:instrText xml:space="preserve">" </w:instrText>
      </w:r>
      <w:r w:rsidR="00D66B38" w:rsidRPr="003D1E07">
        <w:rPr>
          <w:szCs w:val="15"/>
        </w:rPr>
        <w:fldChar w:fldCharType="end"/>
      </w:r>
      <w:r w:rsidR="00376A03" w:rsidRPr="003D1E07">
        <w:t>než vzhledem k existující primární substanci</w:t>
      </w:r>
      <w:r w:rsidR="00FD0D3F" w:rsidRPr="003D1E07">
        <w:t xml:space="preserve"> (</w:t>
      </w:r>
      <w:r w:rsidR="00FD0D3F" w:rsidRPr="003D1E07">
        <w:rPr>
          <w:i/>
        </w:rPr>
        <w:t>eine and</w:t>
      </w:r>
      <w:r w:rsidR="00FD75F7" w:rsidRPr="003D1E07">
        <w:rPr>
          <w:i/>
        </w:rPr>
        <w:t>e</w:t>
      </w:r>
      <w:r w:rsidR="00FD0D3F" w:rsidRPr="003D1E07">
        <w:rPr>
          <w:i/>
        </w:rPr>
        <w:t>re Weise der Betrachtung</w:t>
      </w:r>
      <w:r w:rsidR="00FD0D3F" w:rsidRPr="003D1E07">
        <w:t>)</w:t>
      </w:r>
      <w:r w:rsidR="00376A03" w:rsidRPr="003D1E07">
        <w:t>. Druhá část citátu považuje obecné pojmy za vyšší stupeň bytí kvůli jejich obecnosti a nepomíjivosti (</w:t>
      </w:r>
      <w:r w:rsidR="08974A79" w:rsidRPr="003D1E07">
        <w:rPr>
          <w:i/>
        </w:rPr>
        <w:t>d</w:t>
      </w:r>
      <w:r w:rsidR="00376A03" w:rsidRPr="003D1E07">
        <w:rPr>
          <w:i/>
        </w:rPr>
        <w:t xml:space="preserve">ie allgemeinen Begriffe der Substanzen sind... </w:t>
      </w:r>
      <w:r w:rsidR="00376A03" w:rsidRPr="003D1E07">
        <w:rPr>
          <w:i/>
          <w:szCs w:val="26"/>
        </w:rPr>
        <w:t>des Namens „Substanz“ würdiger als die Individuen</w:t>
      </w:r>
      <w:r w:rsidR="00376A03" w:rsidRPr="003D1E07">
        <w:rPr>
          <w:szCs w:val="26"/>
        </w:rPr>
        <w:t xml:space="preserve">). </w:t>
      </w:r>
      <w:r w:rsidR="00B92DC0" w:rsidRPr="003D1E07">
        <w:rPr>
          <w:szCs w:val="26"/>
        </w:rPr>
        <w:t>Tím je dána kompletní struktura kategor</w:t>
      </w:r>
      <w:r w:rsidR="00600091" w:rsidRPr="003D1E07">
        <w:rPr>
          <w:szCs w:val="26"/>
        </w:rPr>
        <w:t>i</w:t>
      </w:r>
      <w:r w:rsidR="00B92DC0" w:rsidRPr="003D1E07">
        <w:rPr>
          <w:szCs w:val="26"/>
        </w:rPr>
        <w:t>ální predikace oběma směry</w:t>
      </w:r>
      <w:r w:rsidR="08F91405" w:rsidRPr="003D1E07">
        <w:rPr>
          <w:szCs w:val="26"/>
        </w:rPr>
        <w:t>:</w:t>
      </w:r>
      <w:r w:rsidR="00B92DC0" w:rsidRPr="003D1E07">
        <w:rPr>
          <w:szCs w:val="26"/>
        </w:rPr>
        <w:t xml:space="preserve"> jak od hyparchické impozice</w:t>
      </w:r>
      <w:r w:rsidR="00574E76" w:rsidRPr="003D1E07">
        <w:rPr>
          <w:szCs w:val="26"/>
        </w:rPr>
        <w:t xml:space="preserve"> významu</w:t>
      </w:r>
      <w:r w:rsidR="08F91405" w:rsidRPr="003D1E07">
        <w:rPr>
          <w:szCs w:val="26"/>
        </w:rPr>
        <w:t>,</w:t>
      </w:r>
      <w:r w:rsidR="00B92DC0" w:rsidRPr="003D1E07">
        <w:rPr>
          <w:szCs w:val="26"/>
        </w:rPr>
        <w:t xml:space="preserve"> tak od univer</w:t>
      </w:r>
      <w:r w:rsidR="00574E76" w:rsidRPr="003D1E07">
        <w:rPr>
          <w:szCs w:val="26"/>
        </w:rPr>
        <w:t>z</w:t>
      </w:r>
      <w:r w:rsidR="00B92DC0" w:rsidRPr="003D1E07">
        <w:rPr>
          <w:szCs w:val="26"/>
        </w:rPr>
        <w:t>ální supozice</w:t>
      </w:r>
      <w:r w:rsidR="00574E76" w:rsidRPr="003D1E07">
        <w:rPr>
          <w:szCs w:val="26"/>
        </w:rPr>
        <w:t xml:space="preserve"> významu</w:t>
      </w:r>
      <w:r w:rsidR="00B92DC0" w:rsidRPr="003D1E07">
        <w:rPr>
          <w:szCs w:val="26"/>
        </w:rPr>
        <w:t xml:space="preserve">. </w:t>
      </w:r>
      <w:r w:rsidR="000B6E38" w:rsidRPr="003D1E07">
        <w:t xml:space="preserve">Ontologický primát </w:t>
      </w:r>
      <w:r w:rsidR="00130ACD" w:rsidRPr="003D1E07">
        <w:t xml:space="preserve">první </w:t>
      </w:r>
      <w:r w:rsidR="000B6E38" w:rsidRPr="003D1E07">
        <w:t>substance jako přirozeně</w:t>
      </w:r>
      <w:r w:rsidR="00111255" w:rsidRPr="003D1E07">
        <w:t xml:space="preserve"> existující věci potvrzuje Al-Fá</w:t>
      </w:r>
      <w:r w:rsidR="000B6E38" w:rsidRPr="003D1E07">
        <w:t xml:space="preserve">rábí na mnoha dalších místech, </w:t>
      </w:r>
      <w:r w:rsidR="00FF338A" w:rsidRPr="003D1E07">
        <w:t xml:space="preserve">například </w:t>
      </w:r>
      <w:r w:rsidR="000B6E38" w:rsidRPr="003D1E07">
        <w:t xml:space="preserve">v rozboru </w:t>
      </w:r>
      <w:r w:rsidR="009A507F" w:rsidRPr="003D1E07">
        <w:t xml:space="preserve">Aristotelových </w:t>
      </w:r>
      <w:r w:rsidR="00FF338A" w:rsidRPr="003D1E07">
        <w:rPr>
          <w:i/>
        </w:rPr>
        <w:t>Kategorií</w:t>
      </w:r>
      <w:r w:rsidR="00FF338A" w:rsidRPr="003D1E07">
        <w:t xml:space="preserve"> </w:t>
      </w:r>
      <w:r w:rsidR="00292E9D" w:rsidRPr="003D1E07">
        <w:t>(</w:t>
      </w:r>
      <w:r w:rsidR="00292E9D" w:rsidRPr="003D1E07">
        <w:rPr>
          <w:i/>
        </w:rPr>
        <w:t>Qātiguriās</w:t>
      </w:r>
      <w:r w:rsidR="00292E9D" w:rsidRPr="003D1E07">
        <w:t>)</w:t>
      </w:r>
      <w:r w:rsidR="00E82580" w:rsidRPr="003D1E07">
        <w:rPr>
          <w:rStyle w:val="TextpoznpodarouChar"/>
        </w:rPr>
        <w:t>.</w:t>
      </w:r>
      <w:r w:rsidR="00111255" w:rsidRPr="003D1E07">
        <w:rPr>
          <w:rStyle w:val="TextpoznpodarouChar"/>
        </w:rPr>
        <w:t xml:space="preserve"> Z hlediska Averroe</w:t>
      </w:r>
      <w:r w:rsidR="00AA6AB5" w:rsidRPr="003D1E07">
        <w:rPr>
          <w:rStyle w:val="TextpoznpodarouChar"/>
        </w:rPr>
        <w:t>sovy „meta</w:t>
      </w:r>
      <w:r w:rsidR="00AA6AB5" w:rsidRPr="003D1E07">
        <w:rPr>
          <w:rStyle w:val="TextpoznpodarouChar"/>
        </w:rPr>
        <w:noBreakHyphen/>
        <w:t>fyziky“ je kl</w:t>
      </w:r>
      <w:r w:rsidR="006F5064" w:rsidRPr="003D1E07">
        <w:rPr>
          <w:rStyle w:val="TextpoznpodarouChar"/>
        </w:rPr>
        <w:t xml:space="preserve">íčový zejména závěr </w:t>
      </w:r>
      <w:r w:rsidR="009E7EEA" w:rsidRPr="003D1E07">
        <w:rPr>
          <w:rStyle w:val="TextpoznpodarouChar"/>
        </w:rPr>
        <w:t xml:space="preserve">tohoto </w:t>
      </w:r>
      <w:r w:rsidR="006F5064" w:rsidRPr="003D1E07">
        <w:rPr>
          <w:rStyle w:val="TextpoznpodarouChar"/>
        </w:rPr>
        <w:t>spisu</w:t>
      </w:r>
      <w:r w:rsidR="00AA6AB5" w:rsidRPr="003D1E07">
        <w:rPr>
          <w:rStyle w:val="TextpoznpodarouChar"/>
        </w:rPr>
        <w:t>, který shrnuje celé zaměření Aristotelovy filosofie</w:t>
      </w:r>
      <w:r w:rsidR="009E7EEA" w:rsidRPr="003D1E07">
        <w:rPr>
          <w:rStyle w:val="TextpoznpodarouChar"/>
        </w:rPr>
        <w:t xml:space="preserve"> skrze nasví</w:t>
      </w:r>
      <w:r w:rsidR="00FA2FEC" w:rsidRPr="003D1E07">
        <w:rPr>
          <w:rStyle w:val="TextpoznpodarouChar"/>
        </w:rPr>
        <w:t>c</w:t>
      </w:r>
      <w:r w:rsidR="009E7EEA" w:rsidRPr="003D1E07">
        <w:rPr>
          <w:rStyle w:val="TextpoznpodarouChar"/>
        </w:rPr>
        <w:t>ení zepředu</w:t>
      </w:r>
      <w:r w:rsidR="08072B40" w:rsidRPr="003D1E07">
        <w:rPr>
          <w:rStyle w:val="TextpoznpodarouChar"/>
        </w:rPr>
        <w:t xml:space="preserve"> daném skrze </w:t>
      </w:r>
      <w:r w:rsidR="00116BAC" w:rsidRPr="003D1E07">
        <w:rPr>
          <w:rStyle w:val="TextpoznpodarouChar"/>
        </w:rPr>
        <w:t xml:space="preserve">zkoumání </w:t>
      </w:r>
      <w:r w:rsidR="009E7EEA" w:rsidRPr="003D1E07">
        <w:rPr>
          <w:rStyle w:val="TextpoznpodarouChar"/>
        </w:rPr>
        <w:t>reálné substance</w:t>
      </w:r>
      <w:r w:rsidR="00AA6AB5" w:rsidRPr="003D1E07">
        <w:rPr>
          <w:rStyle w:val="TextpoznpodarouChar"/>
        </w:rPr>
        <w:t>.</w:t>
      </w:r>
      <w:r w:rsidR="00AA6AB5" w:rsidRPr="003D1E07">
        <w:rPr>
          <w:rStyle w:val="Znakapoznpodarou"/>
        </w:rPr>
        <w:footnoteReference w:id="74"/>
      </w:r>
      <w:r w:rsidR="00E82580" w:rsidRPr="003D1E07">
        <w:rPr>
          <w:rStyle w:val="TextpoznpodarouChar"/>
        </w:rPr>
        <w:t xml:space="preserve"> </w:t>
      </w:r>
      <w:r w:rsidR="08F17D6C" w:rsidRPr="003D1E07">
        <w:t xml:space="preserve">Realismus opřený o první substanci je jasně vidět zejména z první kapitoly spisu </w:t>
      </w:r>
      <w:r w:rsidR="08F17D6C" w:rsidRPr="003D1E07">
        <w:rPr>
          <w:rStyle w:val="Zvraznn"/>
        </w:rPr>
        <w:t>Kit</w:t>
      </w:r>
      <w:r w:rsidR="08F17D6C" w:rsidRPr="003D1E07">
        <w:rPr>
          <w:rStyle w:val="TextpoznpodarouChar"/>
          <w:i/>
        </w:rPr>
        <w:t>āb</w:t>
      </w:r>
      <w:r w:rsidR="08F17D6C" w:rsidRPr="003D1E07">
        <w:rPr>
          <w:rStyle w:val="Zvraznn"/>
        </w:rPr>
        <w:t xml:space="preserve"> Al</w:t>
      </w:r>
      <w:r w:rsidR="08F17D6C" w:rsidRPr="003D1E07">
        <w:rPr>
          <w:rStyle w:val="Zvraznn"/>
        </w:rPr>
        <w:noBreakHyphen/>
        <w:t>Ḥurūf</w:t>
      </w:r>
      <w:r w:rsidR="08F17D6C" w:rsidRPr="003D1E07">
        <w:rPr>
          <w:rStyle w:val="Zvraznn"/>
          <w:i w:val="0"/>
        </w:rPr>
        <w:t xml:space="preserve"> analyzující pojem „bytí“ (</w:t>
      </w:r>
      <w:r w:rsidR="08F17D6C" w:rsidRPr="003D1E07">
        <w:rPr>
          <w:rStyle w:val="Zvraznn"/>
        </w:rPr>
        <w:t>wuğūd</w:t>
      </w:r>
      <w:r w:rsidR="08F17D6C" w:rsidRPr="003D1E07">
        <w:rPr>
          <w:rStyle w:val="Zvraznn"/>
          <w:i w:val="0"/>
        </w:rPr>
        <w:t xml:space="preserve">). Bytí je primárně dané určením existující substance. </w:t>
      </w:r>
      <w:r w:rsidR="08F17D6C" w:rsidRPr="003D1E07">
        <w:t xml:space="preserve">Metafyzickou abstrakci zakládající </w:t>
      </w:r>
      <w:r w:rsidR="08F17D6C" w:rsidRPr="003D1E07">
        <w:lastRenderedPageBreak/>
        <w:t xml:space="preserve">jednotu jsoucna pro první vědu tvoří druhá substance v rámci kategoriální predikace </w:t>
      </w:r>
      <w:r w:rsidR="08F17D6C" w:rsidRPr="003D1E07">
        <w:rPr>
          <w:i/>
        </w:rPr>
        <w:t>per prius</w:t>
      </w:r>
      <w:r w:rsidR="08F17D6C" w:rsidRPr="003D1E07">
        <w:t xml:space="preserve">, k níž jsou vztažena akcidentální určení </w:t>
      </w:r>
      <w:r w:rsidR="08F17D6C" w:rsidRPr="003D1E07">
        <w:rPr>
          <w:i/>
        </w:rPr>
        <w:t>per posterius</w:t>
      </w:r>
      <w:r w:rsidR="08F17D6C" w:rsidRPr="003D1E07">
        <w:rPr>
          <w:i/>
        </w:rPr>
        <w:fldChar w:fldCharType="begin"/>
      </w:r>
      <w:r w:rsidR="08F17D6C" w:rsidRPr="003D1E07">
        <w:instrText xml:space="preserve"> XE "predikace:</w:instrText>
      </w:r>
      <w:r w:rsidR="08F17D6C" w:rsidRPr="003D1E07">
        <w:rPr>
          <w:i/>
        </w:rPr>
        <w:instrText>per posterius</w:instrText>
      </w:r>
      <w:r w:rsidR="08F17D6C" w:rsidRPr="003D1E07">
        <w:instrText xml:space="preserve">" </w:instrText>
      </w:r>
      <w:r w:rsidR="08F17D6C" w:rsidRPr="003D1E07">
        <w:rPr>
          <w:i/>
        </w:rPr>
        <w:fldChar w:fldCharType="end"/>
      </w:r>
      <w:r w:rsidR="08F17D6C" w:rsidRPr="003D1E07">
        <w:t>. Význam lze vztáhnout k bytí druhé substance a</w:t>
      </w:r>
      <w:r w:rsidR="08F17D6C" w:rsidRPr="003D1E07">
        <w:rPr>
          <w:rStyle w:val="Zvraznn"/>
          <w:i w:val="0"/>
        </w:rPr>
        <w:t xml:space="preserve">ž sekundárně. Esencialita věci se predikuje </w:t>
      </w:r>
      <w:r w:rsidR="08370FDB" w:rsidRPr="003D1E07">
        <w:rPr>
          <w:rStyle w:val="Zvraznn"/>
          <w:i w:val="0"/>
        </w:rPr>
        <w:t xml:space="preserve">pomocí </w:t>
      </w:r>
      <w:r w:rsidR="08F17D6C" w:rsidRPr="003D1E07">
        <w:rPr>
          <w:rStyle w:val="Zvraznn"/>
          <w:i w:val="0"/>
        </w:rPr>
        <w:t>druhé intence</w:t>
      </w:r>
      <w:r w:rsidR="08F17D6C" w:rsidRPr="003D1E07">
        <w:rPr>
          <w:szCs w:val="15"/>
        </w:rPr>
        <w:fldChar w:fldCharType="begin"/>
      </w:r>
      <w:r w:rsidR="08F17D6C" w:rsidRPr="003D1E07">
        <w:instrText xml:space="preserve"> XE "intencionalita:Al-Fárábí" </w:instrText>
      </w:r>
      <w:r w:rsidR="08F17D6C" w:rsidRPr="003D1E07">
        <w:rPr>
          <w:szCs w:val="15"/>
        </w:rPr>
        <w:fldChar w:fldCharType="end"/>
      </w:r>
      <w:r w:rsidR="08F17D6C" w:rsidRPr="003D1E07">
        <w:rPr>
          <w:rStyle w:val="Zvraznn"/>
          <w:i w:val="0"/>
        </w:rPr>
        <w:t xml:space="preserve"> (</w:t>
      </w:r>
      <w:r w:rsidR="08F17D6C" w:rsidRPr="003D1E07">
        <w:rPr>
          <w:rStyle w:val="Zvraznn"/>
        </w:rPr>
        <w:t xml:space="preserve">ma'qūl </w:t>
      </w:r>
      <w:r w:rsidR="08F17D6C" w:rsidRPr="003D1E07">
        <w:rPr>
          <w:i/>
        </w:rPr>
        <w:t>ṭh</w:t>
      </w:r>
      <w:r w:rsidR="08F17D6C" w:rsidRPr="003D1E07">
        <w:rPr>
          <w:rStyle w:val="Zvraznn"/>
        </w:rPr>
        <w:t>ānī</w:t>
      </w:r>
      <w:r w:rsidR="08F17D6C" w:rsidRPr="003D1E07">
        <w:rPr>
          <w:rStyle w:val="Zvraznn"/>
          <w:i w:val="0"/>
        </w:rPr>
        <w:t xml:space="preserve">, </w:t>
      </w:r>
      <w:r w:rsidR="08F17D6C" w:rsidRPr="003D1E07">
        <w:rPr>
          <w:rStyle w:val="Zvraznn"/>
        </w:rPr>
        <w:t>second intelligibile</w:t>
      </w:r>
      <w:r w:rsidR="08F17D6C" w:rsidRPr="003D1E07">
        <w:rPr>
          <w:rStyle w:val="Zvraznn"/>
        </w:rPr>
        <w:fldChar w:fldCharType="begin"/>
      </w:r>
      <w:r w:rsidR="08F17D6C" w:rsidRPr="003D1E07">
        <w:instrText xml:space="preserve"> XE "</w:instrText>
      </w:r>
      <w:r w:rsidR="08F17D6C" w:rsidRPr="003D1E07">
        <w:rPr>
          <w:rStyle w:val="Zvraznn"/>
        </w:rPr>
        <w:instrText>second intelligibile</w:instrText>
      </w:r>
      <w:r w:rsidR="08F17D6C" w:rsidRPr="003D1E07">
        <w:instrText xml:space="preserve">" </w:instrText>
      </w:r>
      <w:r w:rsidR="08F17D6C" w:rsidRPr="003D1E07">
        <w:rPr>
          <w:rStyle w:val="Zvraznn"/>
        </w:rPr>
        <w:fldChar w:fldCharType="end"/>
      </w:r>
      <w:r w:rsidR="08F17D6C" w:rsidRPr="003D1E07">
        <w:rPr>
          <w:rStyle w:val="Zvraznn"/>
          <w:i w:val="0"/>
        </w:rPr>
        <w:t xml:space="preserve">) a je dána pouze v mysli (Menn 2012, 60). </w:t>
      </w:r>
      <w:r w:rsidR="08F17D6C" w:rsidRPr="003D1E07">
        <w:t xml:space="preserve">Citovaný komentátor se domnívá, že důraz na prioritu existující substance </w:t>
      </w:r>
      <w:r w:rsidR="08F17D6C" w:rsidRPr="003D1E07">
        <w:rPr>
          <w:rStyle w:val="Zvraznn"/>
          <w:i w:val="0"/>
        </w:rPr>
        <w:t>souvisí s</w:t>
      </w:r>
      <w:r w:rsidR="08595107" w:rsidRPr="003D1E07">
        <w:rPr>
          <w:rStyle w:val="Zvraznn"/>
          <w:i w:val="0"/>
        </w:rPr>
        <w:t> </w:t>
      </w:r>
      <w:r w:rsidR="08595107" w:rsidRPr="003D1E07">
        <w:t>Al-</w:t>
      </w:r>
      <w:r w:rsidR="08F17D6C" w:rsidRPr="003D1E07">
        <w:t xml:space="preserve">Fárábího </w:t>
      </w:r>
      <w:r w:rsidR="08F17D6C" w:rsidRPr="003D1E07">
        <w:rPr>
          <w:rStyle w:val="Zvraznn"/>
          <w:i w:val="0"/>
        </w:rPr>
        <w:t xml:space="preserve">kritikou arabských myslitelů </w:t>
      </w:r>
      <w:r w:rsidR="08595107" w:rsidRPr="003D1E07">
        <w:rPr>
          <w:rStyle w:val="Zvraznn"/>
          <w:i w:val="0"/>
        </w:rPr>
        <w:t>kolem Al-</w:t>
      </w:r>
      <w:r w:rsidR="08F17D6C" w:rsidRPr="003D1E07">
        <w:rPr>
          <w:rStyle w:val="Zvraznn"/>
          <w:i w:val="0"/>
        </w:rPr>
        <w:t xml:space="preserve">Kindího ovlivněných neoplatonskou interpretací Aristotela. Abunaser v nové podobě opakuje spor Porfyria s neoplatoniky, který vedl Týrského filosofa k nepředpojaté četbě spisu </w:t>
      </w:r>
      <w:r w:rsidR="08F17D6C" w:rsidRPr="003D1E07">
        <w:rPr>
          <w:rStyle w:val="Zvraznn"/>
        </w:rPr>
        <w:t>Kategorie</w:t>
      </w:r>
      <w:r w:rsidR="08F17D6C" w:rsidRPr="003D1E07">
        <w:rPr>
          <w:rStyle w:val="Zvraznn"/>
          <w:i w:val="0"/>
        </w:rPr>
        <w:t xml:space="preserve"> (kap. 1.</w:t>
      </w:r>
      <w:r w:rsidR="08AF6B7D" w:rsidRPr="003D1E07">
        <w:rPr>
          <w:rStyle w:val="Zvraznn"/>
          <w:i w:val="0"/>
        </w:rPr>
        <w:t>3</w:t>
      </w:r>
      <w:r w:rsidR="08F17D6C" w:rsidRPr="003D1E07">
        <w:rPr>
          <w:rStyle w:val="Zvraznn"/>
          <w:i w:val="0"/>
        </w:rPr>
        <w:t xml:space="preserve">). Podobnou četbu původního významu </w:t>
      </w:r>
      <w:r w:rsidR="08595107" w:rsidRPr="003D1E07">
        <w:rPr>
          <w:rStyle w:val="Zvraznn"/>
          <w:i w:val="0"/>
        </w:rPr>
        <w:t>Aristotelových spisů provedl Al-</w:t>
      </w:r>
      <w:r w:rsidR="08F17D6C" w:rsidRPr="003D1E07">
        <w:rPr>
          <w:rStyle w:val="Zvraznn"/>
          <w:i w:val="0"/>
        </w:rPr>
        <w:t xml:space="preserve">Fárábí pro tehdejší neoplatonskou falsafu. </w:t>
      </w:r>
      <w:r w:rsidR="00111255" w:rsidRPr="003D1E07">
        <w:t>Al-Fá</w:t>
      </w:r>
      <w:r w:rsidR="00BF00CA" w:rsidRPr="003D1E07">
        <w:t>rábího s</w:t>
      </w:r>
      <w:r w:rsidR="00AB0729" w:rsidRPr="003D1E07">
        <w:rPr>
          <w:lang w:eastAsia="en-US"/>
        </w:rPr>
        <w:t xml:space="preserve">pisy systematicky rozebírající Aristotelovu filosofii </w:t>
      </w:r>
      <w:r w:rsidR="00AB0729" w:rsidRPr="003D1E07">
        <w:t>jasně naznačují celkový postup zkoumání od fyziky</w:t>
      </w:r>
      <w:r w:rsidR="00CF7873" w:rsidRPr="003D1E07">
        <w:t>,</w:t>
      </w:r>
      <w:r w:rsidR="00AB0729" w:rsidRPr="003D1E07">
        <w:t xml:space="preserve"> přes meteorologii</w:t>
      </w:r>
      <w:r w:rsidR="00CF7873" w:rsidRPr="003D1E07">
        <w:t>,</w:t>
      </w:r>
      <w:r w:rsidR="087E52BE" w:rsidRPr="003D1E07">
        <w:t xml:space="preserve"> až k božské vědě</w:t>
      </w:r>
      <w:r w:rsidR="00AB0729" w:rsidRPr="003D1E07">
        <w:t xml:space="preserve"> zvané metafyzika. </w:t>
      </w:r>
      <w:r w:rsidR="000C0336" w:rsidRPr="003D1E07">
        <w:t>Druhý mistr</w:t>
      </w:r>
      <w:r w:rsidR="000C0336" w:rsidRPr="003D1E07">
        <w:rPr>
          <w:rStyle w:val="Zvraznn"/>
          <w:i w:val="0"/>
        </w:rPr>
        <w:t xml:space="preserve"> odmítal emanační</w:t>
      </w:r>
      <w:r w:rsidR="00A53862" w:rsidRPr="003D1E07">
        <w:rPr>
          <w:rStyle w:val="Zvraznn"/>
          <w:i w:val="0"/>
        </w:rPr>
        <w:fldChar w:fldCharType="begin"/>
      </w:r>
      <w:r w:rsidR="00A53862" w:rsidRPr="003D1E07">
        <w:instrText xml:space="preserve"> XE "</w:instrText>
      </w:r>
      <w:r w:rsidR="00A53862" w:rsidRPr="003D1E07">
        <w:rPr>
          <w:rStyle w:val="Zvraznn"/>
          <w:i w:val="0"/>
        </w:rPr>
        <w:instrText>emanace</w:instrText>
      </w:r>
      <w:r w:rsidR="00A53862" w:rsidRPr="003D1E07">
        <w:instrText xml:space="preserve">" </w:instrText>
      </w:r>
      <w:r w:rsidR="00A53862" w:rsidRPr="003D1E07">
        <w:rPr>
          <w:rStyle w:val="Zvraznn"/>
          <w:i w:val="0"/>
        </w:rPr>
        <w:fldChar w:fldCharType="end"/>
      </w:r>
      <w:r w:rsidR="000C0336" w:rsidRPr="003D1E07">
        <w:rPr>
          <w:rStyle w:val="Zvraznn"/>
          <w:i w:val="0"/>
        </w:rPr>
        <w:t xml:space="preserve"> tezi knihy </w:t>
      </w:r>
      <w:r w:rsidR="000C0336" w:rsidRPr="003D1E07">
        <w:rPr>
          <w:rStyle w:val="Zvraznn"/>
        </w:rPr>
        <w:t>Liber de causis</w:t>
      </w:r>
      <w:r w:rsidR="00274A40" w:rsidRPr="003D1E07">
        <w:rPr>
          <w:rStyle w:val="Zvraznn"/>
        </w:rPr>
        <w:fldChar w:fldCharType="begin"/>
      </w:r>
      <w:r w:rsidR="00274A40" w:rsidRPr="003D1E07">
        <w:instrText xml:space="preserve"> XE "</w:instrText>
      </w:r>
      <w:r w:rsidR="00274A40" w:rsidRPr="003D1E07">
        <w:rPr>
          <w:i/>
        </w:rPr>
        <w:instrText>Liber de causis</w:instrText>
      </w:r>
      <w:r w:rsidR="00274A40" w:rsidRPr="003D1E07">
        <w:instrText xml:space="preserve">" </w:instrText>
      </w:r>
      <w:r w:rsidR="00274A40" w:rsidRPr="003D1E07">
        <w:rPr>
          <w:rStyle w:val="Zvraznn"/>
        </w:rPr>
        <w:fldChar w:fldCharType="end"/>
      </w:r>
      <w:r w:rsidR="000C0336" w:rsidRPr="003D1E07">
        <w:rPr>
          <w:rStyle w:val="Zvraznn"/>
          <w:i w:val="0"/>
        </w:rPr>
        <w:t xml:space="preserve">, podle níž věci existují jen do té míry, nakolik </w:t>
      </w:r>
      <w:r w:rsidR="000D3B1B">
        <w:rPr>
          <w:rStyle w:val="Zvraznn"/>
          <w:i w:val="0"/>
        </w:rPr>
        <w:t xml:space="preserve">trvale dostávají </w:t>
      </w:r>
      <w:r w:rsidR="000C0336" w:rsidRPr="003D1E07">
        <w:rPr>
          <w:rStyle w:val="Zvraznn"/>
          <w:i w:val="0"/>
        </w:rPr>
        <w:t>existenci od Prvního Bytí.</w:t>
      </w:r>
      <w:r w:rsidR="000C0336" w:rsidRPr="003D1E07">
        <w:rPr>
          <w:rStyle w:val="Znakapoznpodarou"/>
          <w:lang w:eastAsia="en-US"/>
        </w:rPr>
        <w:footnoteReference w:id="75"/>
      </w:r>
      <w:r w:rsidR="000C0336" w:rsidRPr="003D1E07">
        <w:rPr>
          <w:rStyle w:val="Zvraznn"/>
          <w:i w:val="0"/>
        </w:rPr>
        <w:t xml:space="preserve"> </w:t>
      </w:r>
      <w:r w:rsidR="000C0336" w:rsidRPr="003D1E07">
        <w:t xml:space="preserve">První filosofii dělí na tři základní části podle Aristotelova spisu </w:t>
      </w:r>
      <w:r w:rsidR="000C0336" w:rsidRPr="003D1E07">
        <w:rPr>
          <w:i/>
        </w:rPr>
        <w:t>Metafyzika</w:t>
      </w:r>
      <w:r w:rsidR="009A20C8" w:rsidRPr="003D1E07">
        <w:rPr>
          <w:szCs w:val="15"/>
        </w:rPr>
        <w:fldChar w:fldCharType="begin"/>
      </w:r>
      <w:r w:rsidR="009A20C8" w:rsidRPr="003D1E07">
        <w:instrText xml:space="preserve"> XE "metafyzika:Al-</w:instrText>
      </w:r>
      <w:r w:rsidR="008E02F5" w:rsidRPr="003D1E07">
        <w:instrText>Fárábí</w:instrText>
      </w:r>
      <w:r w:rsidR="009A20C8" w:rsidRPr="003D1E07">
        <w:instrText xml:space="preserve">" </w:instrText>
      </w:r>
      <w:r w:rsidR="009A20C8" w:rsidRPr="003D1E07">
        <w:rPr>
          <w:szCs w:val="15"/>
        </w:rPr>
        <w:fldChar w:fldCharType="end"/>
      </w:r>
      <w:r w:rsidR="000C0336" w:rsidRPr="003D1E07">
        <w:t xml:space="preserve">: existující substance vnímané smysly; první principy myšlení a postup vědeckého dokazování; rozbor nemateriálních entit v rámci první filosofie vztažené k Prvnímu Bytí (Fakhry </w:t>
      </w:r>
      <w:r w:rsidR="000C0336" w:rsidRPr="003D1E07">
        <w:rPr>
          <w:szCs w:val="28"/>
        </w:rPr>
        <w:t xml:space="preserve">2002, </w:t>
      </w:r>
      <w:r w:rsidR="000C0336" w:rsidRPr="003D1E07">
        <w:t xml:space="preserve">46–47). </w:t>
      </w:r>
      <w:r w:rsidR="0075728C" w:rsidRPr="003D1E07">
        <w:rPr>
          <w:rStyle w:val="Zvraznn"/>
          <w:i w:val="0"/>
        </w:rPr>
        <w:t>P</w:t>
      </w:r>
      <w:r w:rsidR="0075728C" w:rsidRPr="003D1E07">
        <w:t xml:space="preserve">rvní substance </w:t>
      </w:r>
      <w:r w:rsidR="0075728C" w:rsidRPr="003D1E07">
        <w:rPr>
          <w:rStyle w:val="Zvraznn"/>
          <w:i w:val="0"/>
        </w:rPr>
        <w:t xml:space="preserve">stojí v řádu aktuálního bytí výš než univerzália, která vystihují pouze esenciální určení věci dané v mysli. </w:t>
      </w:r>
      <w:r w:rsidR="0075728C" w:rsidRPr="003D1E07">
        <w:t xml:space="preserve">První filosofii tvoří vědění oddělených, nemateriálních prvních substancí existujících za sublunární fyzikou materiálních substancí. Tuto základní formu substanční a kosmologické predikace </w:t>
      </w:r>
      <w:r w:rsidR="0075728C" w:rsidRPr="003D1E07">
        <w:rPr>
          <w:i/>
        </w:rPr>
        <w:t>per prius</w:t>
      </w:r>
      <w:r w:rsidR="0075728C" w:rsidRPr="003D1E07">
        <w:t xml:space="preserve"> vázanou na první substanci převzala latinská scholastika od údajného </w:t>
      </w:r>
      <w:r w:rsidR="00111255" w:rsidRPr="003D1E07">
        <w:t>Al-Fá</w:t>
      </w:r>
      <w:r w:rsidR="0075728C" w:rsidRPr="003D1E07">
        <w:t xml:space="preserve">rábího spisu </w:t>
      </w:r>
      <w:r w:rsidR="0075728C" w:rsidRPr="003D1E07">
        <w:rPr>
          <w:i/>
        </w:rPr>
        <w:t>De ortu scientiarum</w:t>
      </w:r>
      <w:r w:rsidR="001E061D" w:rsidRPr="003D1E07">
        <w:fldChar w:fldCharType="begin"/>
      </w:r>
      <w:r w:rsidR="001E061D" w:rsidRPr="003D1E07">
        <w:instrText xml:space="preserve"> XE "</w:instrText>
      </w:r>
      <w:r w:rsidR="001E061D" w:rsidRPr="003D1E07">
        <w:rPr>
          <w:i/>
        </w:rPr>
        <w:instrText>resolutio</w:instrText>
      </w:r>
      <w:r w:rsidR="001E061D" w:rsidRPr="003D1E07">
        <w:instrText>:Al-</w:instrText>
      </w:r>
      <w:r w:rsidR="008E02F5" w:rsidRPr="003D1E07">
        <w:instrText>Fárábí</w:instrText>
      </w:r>
      <w:r w:rsidR="001E061D" w:rsidRPr="003D1E07">
        <w:instrText xml:space="preserve">" </w:instrText>
      </w:r>
      <w:r w:rsidR="001E061D" w:rsidRPr="003D1E07">
        <w:fldChar w:fldCharType="end"/>
      </w:r>
      <w:r w:rsidR="0075728C" w:rsidRPr="003D1E07">
        <w:t xml:space="preserve">. </w:t>
      </w:r>
      <w:r w:rsidR="00C80FB1" w:rsidRPr="003D1E07">
        <w:t>Superiorita substance je vázána na bytnost (</w:t>
      </w:r>
      <w:r w:rsidR="00C80FB1" w:rsidRPr="003D1E07">
        <w:rPr>
          <w:i/>
        </w:rPr>
        <w:t>massa</w:t>
      </w:r>
      <w:r w:rsidR="00C80FB1" w:rsidRPr="003D1E07">
        <w:t>) supralunárních kosmických sfér, které existují v nejbližší blízkosti Stvořitele.</w:t>
      </w:r>
      <w:r w:rsidR="00C80FB1" w:rsidRPr="003D1E07">
        <w:rPr>
          <w:rStyle w:val="Znakapoznpodarou"/>
        </w:rPr>
        <w:footnoteReference w:id="76"/>
      </w:r>
      <w:r w:rsidR="00C80FB1" w:rsidRPr="003D1E07">
        <w:t xml:space="preserve"> Tyto hvězdné substance mají nepomíjivý charakter dík</w:t>
      </w:r>
      <w:r w:rsidR="000352CD" w:rsidRPr="003D1E07">
        <w:t>y intelektuálně založenému bytí. To je kauzálně dáno</w:t>
      </w:r>
      <w:r w:rsidR="00C80FB1" w:rsidRPr="003D1E07">
        <w:t xml:space="preserve"> od zcela oddělené První příčiny existující nutně a tím i </w:t>
      </w:r>
      <w:r w:rsidR="00C80FB1" w:rsidRPr="003D1E07">
        <w:rPr>
          <w:i/>
        </w:rPr>
        <w:t>per se</w:t>
      </w:r>
      <w:r w:rsidR="00C80FB1" w:rsidRPr="003D1E07">
        <w:t>.</w:t>
      </w:r>
      <w:r w:rsidR="009A20C8" w:rsidRPr="003D1E07">
        <w:rPr>
          <w:szCs w:val="15"/>
        </w:rPr>
        <w:t xml:space="preserve"> </w:t>
      </w:r>
      <w:r w:rsidR="009A20C8" w:rsidRPr="003D1E07">
        <w:rPr>
          <w:szCs w:val="15"/>
        </w:rPr>
        <w:fldChar w:fldCharType="begin"/>
      </w:r>
      <w:r w:rsidR="009A20C8" w:rsidRPr="003D1E07">
        <w:instrText xml:space="preserve"> XE "substance:</w:instrText>
      </w:r>
      <w:r w:rsidR="009A20C8" w:rsidRPr="003D1E07">
        <w:rPr>
          <w:i/>
        </w:rPr>
        <w:instrText>per se</w:instrText>
      </w:r>
      <w:r w:rsidR="009A20C8" w:rsidRPr="003D1E07">
        <w:instrText xml:space="preserve">" </w:instrText>
      </w:r>
      <w:r w:rsidR="009A20C8" w:rsidRPr="003D1E07">
        <w:rPr>
          <w:szCs w:val="15"/>
        </w:rPr>
        <w:fldChar w:fldCharType="end"/>
      </w:r>
      <w:r w:rsidR="00C80FB1" w:rsidRPr="003D1E07">
        <w:t xml:space="preserve"> </w:t>
      </w:r>
      <w:r w:rsidR="0075728C" w:rsidRPr="003D1E07">
        <w:t>Kanonická teze ztotožňuje primát substance se studiem první filosofie jako poznání hvězdné sféry určené „pátým elementem“ (</w:t>
      </w:r>
      <w:r w:rsidR="0075728C" w:rsidRPr="003D1E07">
        <w:rPr>
          <w:i/>
        </w:rPr>
        <w:t>caelum est materia quinta</w:t>
      </w:r>
      <w:r w:rsidR="009B49F8" w:rsidRPr="003D1E07">
        <w:rPr>
          <w:i/>
        </w:rPr>
        <w:t>; De ortu scientiarum</w:t>
      </w:r>
      <w:r w:rsidR="00B15D2C" w:rsidRPr="003D1E07">
        <w:t xml:space="preserve"> IV</w:t>
      </w:r>
      <w:r w:rsidR="009B49F8" w:rsidRPr="003D1E07">
        <w:t>, p. 23.33</w:t>
      </w:r>
      <w:r w:rsidR="009B49F8" w:rsidRPr="003D1E07">
        <w:rPr>
          <w:rStyle w:val="TextpoznpodarouChar"/>
        </w:rPr>
        <w:fldChar w:fldCharType="begin"/>
      </w:r>
      <w:r w:rsidR="009B49F8" w:rsidRPr="003D1E07">
        <w:instrText xml:space="preserve"> XE "Al-</w:instrText>
      </w:r>
      <w:r w:rsidR="008E02F5" w:rsidRPr="003D1E07">
        <w:instrText>Fárábí</w:instrText>
      </w:r>
      <w:r w:rsidR="009B49F8" w:rsidRPr="003D1E07">
        <w:instrText>:</w:instrText>
      </w:r>
      <w:r w:rsidR="009B49F8" w:rsidRPr="003D1E07">
        <w:rPr>
          <w:rStyle w:val="TextpoznpodarouChar"/>
          <w:i/>
        </w:rPr>
        <w:instrText>De ortu</w:instrText>
      </w:r>
      <w:r w:rsidR="009B49F8" w:rsidRPr="003D1E07">
        <w:rPr>
          <w:rStyle w:val="TextpoznpodarouChar"/>
        </w:rPr>
        <w:instrText xml:space="preserve"> </w:instrText>
      </w:r>
      <w:r w:rsidR="009B49F8" w:rsidRPr="003D1E07">
        <w:rPr>
          <w:rStyle w:val="TextpoznpodarouChar"/>
          <w:i/>
        </w:rPr>
        <w:instrText>scientiarum</w:instrText>
      </w:r>
      <w:r w:rsidR="009B49F8" w:rsidRPr="003D1E07">
        <w:rPr>
          <w:rStyle w:val="TextpoznpodarouChar"/>
        </w:rPr>
        <w:instrText xml:space="preserve"> 23.33</w:instrText>
      </w:r>
      <w:r w:rsidR="009B49F8" w:rsidRPr="003D1E07">
        <w:instrText xml:space="preserve">" </w:instrText>
      </w:r>
      <w:r w:rsidR="009B49F8" w:rsidRPr="003D1E07">
        <w:rPr>
          <w:rStyle w:val="TextpoznpodarouChar"/>
        </w:rPr>
        <w:fldChar w:fldCharType="end"/>
      </w:r>
      <w:r w:rsidR="0075728C" w:rsidRPr="003D1E07">
        <w:t>), tj. inteligentní látkou kosmických sfér</w:t>
      </w:r>
      <w:r w:rsidR="00FC45BC" w:rsidRPr="003D1E07">
        <w:rPr>
          <w:szCs w:val="15"/>
        </w:rPr>
        <w:fldChar w:fldCharType="begin"/>
      </w:r>
      <w:r w:rsidR="00FC45BC" w:rsidRPr="003D1E07">
        <w:instrText xml:space="preserve"> XE "materie:hvězdných sfér" </w:instrText>
      </w:r>
      <w:r w:rsidR="00FC45BC" w:rsidRPr="003D1E07">
        <w:rPr>
          <w:szCs w:val="15"/>
        </w:rPr>
        <w:fldChar w:fldCharType="end"/>
      </w:r>
      <w:r w:rsidR="0075728C" w:rsidRPr="003D1E07">
        <w:t>. Klíč k poznání Prvního hybatele</w:t>
      </w:r>
      <w:r w:rsidR="00300DB0" w:rsidRPr="003D1E07">
        <w:fldChar w:fldCharType="begin"/>
      </w:r>
      <w:r w:rsidR="00300DB0" w:rsidRPr="003D1E07">
        <w:instrText xml:space="preserve"> XE "První hybatel" </w:instrText>
      </w:r>
      <w:r w:rsidR="00300DB0" w:rsidRPr="003D1E07">
        <w:fldChar w:fldCharType="end"/>
      </w:r>
      <w:r w:rsidR="0075728C" w:rsidRPr="003D1E07">
        <w:t xml:space="preserve"> představuje fyzické a metafyzické studium reálně existující substance </w:t>
      </w:r>
      <w:r w:rsidR="0075728C" w:rsidRPr="003D1E07">
        <w:lastRenderedPageBreak/>
        <w:t>(materiální</w:t>
      </w:r>
      <w:r w:rsidR="087253EF" w:rsidRPr="003D1E07">
        <w:t xml:space="preserve"> nebo</w:t>
      </w:r>
      <w:r w:rsidR="0075728C" w:rsidRPr="003D1E07">
        <w:t xml:space="preserve"> kosmické) jako primárního zdroje poznání, kauzality a na ně navázané kategoriální predi</w:t>
      </w:r>
      <w:r w:rsidR="00DB1800" w:rsidRPr="003D1E07">
        <w:t xml:space="preserve">kace. Tento projekt metafyziky </w:t>
      </w:r>
      <w:r w:rsidR="00111255" w:rsidRPr="003D1E07">
        <w:t>později obhajuje Averroe</w:t>
      </w:r>
      <w:r w:rsidR="0075728C" w:rsidRPr="003D1E07">
        <w:t>s</w:t>
      </w:r>
      <w:r w:rsidR="00111255" w:rsidRPr="003D1E07">
        <w:t>. Al-Fá</w:t>
      </w:r>
      <w:r w:rsidR="00DB1800" w:rsidRPr="003D1E07">
        <w:t xml:space="preserve">rábí </w:t>
      </w:r>
      <w:r w:rsidR="0075728C" w:rsidRPr="003D1E07">
        <w:t>zdůrazňuje zásadní oddělení všech ostatních sfér včetně činného intelektu (</w:t>
      </w:r>
      <w:r w:rsidR="0075728C" w:rsidRPr="003D1E07">
        <w:rPr>
          <w:i/>
        </w:rPr>
        <w:t>intellectus agens</w:t>
      </w:r>
      <w:r w:rsidR="00DF1F0F" w:rsidRPr="003D1E07">
        <w:rPr>
          <w:i/>
        </w:rPr>
        <w:fldChar w:fldCharType="begin"/>
      </w:r>
      <w:r w:rsidR="00DF1F0F" w:rsidRPr="003D1E07">
        <w:instrText xml:space="preserve"> XE "</w:instrText>
      </w:r>
      <w:r w:rsidR="00DF1F0F" w:rsidRPr="003D1E07">
        <w:rPr>
          <w:i/>
        </w:rPr>
        <w:instrText>intellectus agens</w:instrText>
      </w:r>
      <w:r w:rsidR="00DF1F0F" w:rsidRPr="003D1E07">
        <w:instrText>:</w:instrText>
      </w:r>
      <w:r w:rsidR="009A20C8" w:rsidRPr="003D1E07">
        <w:instrText>Al-</w:instrText>
      </w:r>
      <w:r w:rsidR="008E02F5" w:rsidRPr="003D1E07">
        <w:instrText>Fárábí</w:instrText>
      </w:r>
      <w:r w:rsidR="00DF1F0F" w:rsidRPr="003D1E07">
        <w:instrText xml:space="preserve">" </w:instrText>
      </w:r>
      <w:r w:rsidR="00DF1F0F" w:rsidRPr="003D1E07">
        <w:rPr>
          <w:i/>
        </w:rPr>
        <w:fldChar w:fldCharType="end"/>
      </w:r>
      <w:r w:rsidR="0075728C" w:rsidRPr="003D1E07">
        <w:t xml:space="preserve">) od </w:t>
      </w:r>
      <w:r w:rsidR="00D72C40" w:rsidRPr="003D1E07">
        <w:t>Prvního H</w:t>
      </w:r>
      <w:r w:rsidR="0075728C" w:rsidRPr="003D1E07">
        <w:t>ybatele</w:t>
      </w:r>
      <w:r w:rsidR="00300DB0" w:rsidRPr="003D1E07">
        <w:fldChar w:fldCharType="begin"/>
      </w:r>
      <w:r w:rsidR="00300DB0" w:rsidRPr="003D1E07">
        <w:instrText xml:space="preserve"> XE "První hybatel" </w:instrText>
      </w:r>
      <w:r w:rsidR="00300DB0" w:rsidRPr="003D1E07">
        <w:fldChar w:fldCharType="end"/>
      </w:r>
      <w:r w:rsidR="0075728C" w:rsidRPr="003D1E07">
        <w:t xml:space="preserve">. </w:t>
      </w:r>
      <w:r w:rsidR="00632212" w:rsidRPr="003D1E07">
        <w:t>Rozbor školy prvního averroismu ukáže</w:t>
      </w:r>
      <w:r w:rsidR="0075728C" w:rsidRPr="003D1E07">
        <w:t xml:space="preserve">, </w:t>
      </w:r>
      <w:r w:rsidR="00632212" w:rsidRPr="003D1E07">
        <w:t xml:space="preserve">že </w:t>
      </w:r>
      <w:r w:rsidR="0075728C" w:rsidRPr="003D1E07">
        <w:t xml:space="preserve">v této linii první filosofie je nemožná jak objektivita, tak i spekulativní ontoteologie. </w:t>
      </w:r>
      <w:r w:rsidR="00F46A44" w:rsidRPr="003D1E07">
        <w:rPr>
          <w:rStyle w:val="Zvraznn"/>
          <w:i w:val="0"/>
        </w:rPr>
        <w:t>Nová forma ar</w:t>
      </w:r>
      <w:r w:rsidR="0009780C" w:rsidRPr="003D1E07">
        <w:rPr>
          <w:rStyle w:val="Zvraznn"/>
          <w:i w:val="0"/>
        </w:rPr>
        <w:t>i</w:t>
      </w:r>
      <w:r w:rsidR="00F46A44" w:rsidRPr="003D1E07">
        <w:rPr>
          <w:rStyle w:val="Zvraznn"/>
          <w:i w:val="0"/>
        </w:rPr>
        <w:t>s</w:t>
      </w:r>
      <w:r w:rsidR="0009780C" w:rsidRPr="003D1E07">
        <w:rPr>
          <w:rStyle w:val="Zvraznn"/>
          <w:i w:val="0"/>
        </w:rPr>
        <w:t>totelismu odmítla demiurgický diakosmos</w:t>
      </w:r>
      <w:r w:rsidR="00072B19" w:rsidRPr="003D1E07">
        <w:rPr>
          <w:rStyle w:val="Zvraznn"/>
          <w:i w:val="0"/>
        </w:rPr>
        <w:t>, protože m</w:t>
      </w:r>
      <w:r w:rsidR="08EF70AA" w:rsidRPr="003D1E07">
        <w:t>ezi první a</w:t>
      </w:r>
      <w:r w:rsidR="00072B19" w:rsidRPr="003D1E07">
        <w:t xml:space="preserve"> druhou substancí nemůže být žádný mezistupeň typu </w:t>
      </w:r>
      <w:r w:rsidR="00874074" w:rsidRPr="003D1E07">
        <w:t>neoplatonsk</w:t>
      </w:r>
      <w:r w:rsidR="00072B19" w:rsidRPr="003D1E07">
        <w:t>ého diakosmu</w:t>
      </w:r>
      <w:r w:rsidR="004E5356" w:rsidRPr="003D1E07">
        <w:t xml:space="preserve">, v němž hypostázované </w:t>
      </w:r>
      <w:r w:rsidR="08B338DC" w:rsidRPr="003D1E07">
        <w:t>vlastnosti prvních substancí ex</w:t>
      </w:r>
      <w:r w:rsidR="004E5356" w:rsidRPr="003D1E07">
        <w:t>istují před vznikem reálných těles</w:t>
      </w:r>
      <w:r w:rsidR="08D007A3" w:rsidRPr="003D1E07">
        <w:t xml:space="preserve">. Jsoucno třetího druhu </w:t>
      </w:r>
      <w:r w:rsidR="08753B24" w:rsidRPr="003D1E07">
        <w:t>by zničilo celou stavbu opřenou o „m</w:t>
      </w:r>
      <w:r w:rsidR="08D007A3" w:rsidRPr="003D1E07">
        <w:t>eta</w:t>
      </w:r>
      <w:r w:rsidR="08D007A3" w:rsidRPr="003D1E07">
        <w:noBreakHyphen/>
      </w:r>
      <w:r w:rsidR="08753B24" w:rsidRPr="003D1E07">
        <w:t xml:space="preserve">fyzickou“ realitu </w:t>
      </w:r>
      <w:r w:rsidR="00490CE5" w:rsidRPr="003D1E07">
        <w:t xml:space="preserve">materiálních a </w:t>
      </w:r>
      <w:r w:rsidR="08753B24" w:rsidRPr="003D1E07">
        <w:t>nemateriálních</w:t>
      </w:r>
      <w:r w:rsidR="00490CE5" w:rsidRPr="003D1E07">
        <w:t xml:space="preserve"> </w:t>
      </w:r>
      <w:r w:rsidR="08753B24" w:rsidRPr="003D1E07">
        <w:t>prvních substancí</w:t>
      </w:r>
      <w:r w:rsidR="084760BC" w:rsidRPr="003D1E07">
        <w:t xml:space="preserve"> existujících </w:t>
      </w:r>
      <w:r w:rsidR="08D007A3" w:rsidRPr="003D1E07">
        <w:t>aktuálně</w:t>
      </w:r>
      <w:r w:rsidR="08D007A3" w:rsidRPr="003D1E07">
        <w:rPr>
          <w:i/>
        </w:rPr>
        <w:t xml:space="preserve"> </w:t>
      </w:r>
      <w:r w:rsidR="08D007A3" w:rsidRPr="003D1E07">
        <w:t xml:space="preserve">a </w:t>
      </w:r>
      <w:r w:rsidR="084760BC" w:rsidRPr="003D1E07">
        <w:rPr>
          <w:i/>
        </w:rPr>
        <w:t>per se</w:t>
      </w:r>
      <w:r w:rsidR="08753B24" w:rsidRPr="003D1E07">
        <w:t>.</w:t>
      </w:r>
      <w:r w:rsidR="008F7D22" w:rsidRPr="003D1E07">
        <w:t xml:space="preserve"> Metafyzika autentického aristotelismu nemůže vytvořit </w:t>
      </w:r>
      <w:r w:rsidR="008F7D22" w:rsidRPr="003D1E07">
        <w:rPr>
          <w:i/>
        </w:rPr>
        <w:t>tertium ens</w:t>
      </w:r>
      <w:r w:rsidR="003F16A5" w:rsidRPr="003D1E07">
        <w:rPr>
          <w:i/>
        </w:rPr>
        <w:fldChar w:fldCharType="begin"/>
      </w:r>
      <w:r w:rsidR="003F16A5" w:rsidRPr="003D1E07">
        <w:instrText xml:space="preserve"> XE "</w:instrText>
      </w:r>
      <w:r w:rsidR="003F16A5" w:rsidRPr="003D1E07">
        <w:rPr>
          <w:rStyle w:val="Zvraznn"/>
        </w:rPr>
        <w:instrText>tertium ens</w:instrText>
      </w:r>
      <w:r w:rsidR="009A20C8" w:rsidRPr="003D1E07">
        <w:instrText>:Al-</w:instrText>
      </w:r>
      <w:r w:rsidR="008E02F5" w:rsidRPr="003D1E07">
        <w:instrText>Fárábí</w:instrText>
      </w:r>
      <w:r w:rsidR="003F16A5" w:rsidRPr="003D1E07">
        <w:instrText xml:space="preserve">" </w:instrText>
      </w:r>
      <w:r w:rsidR="003F16A5" w:rsidRPr="003D1E07">
        <w:rPr>
          <w:i/>
        </w:rPr>
        <w:fldChar w:fldCharType="end"/>
      </w:r>
      <w:r w:rsidR="008F7D22" w:rsidRPr="003D1E07">
        <w:t>, protože má buď první substance, nebo jejich obecnou predikaci ve formě druhých substancí daných kategoriálně</w:t>
      </w:r>
      <w:r w:rsidR="00F46A44" w:rsidRPr="003D1E07">
        <w:t xml:space="preserve"> v intelektu</w:t>
      </w:r>
      <w:r w:rsidR="008F7D22" w:rsidRPr="003D1E07">
        <w:t>.</w:t>
      </w:r>
      <w:r w:rsidR="00FF6C2B" w:rsidRPr="003D1E07">
        <w:t xml:space="preserve"> </w:t>
      </w:r>
      <w:r w:rsidR="0021410D" w:rsidRPr="003D1E07">
        <w:t>Aristotelismus tvrdí, že pravda je určena kategoriálně a je dána pouze v mysli (</w:t>
      </w:r>
      <w:r w:rsidR="08AF6B7D" w:rsidRPr="003D1E07">
        <w:t>kap. 1.3</w:t>
      </w:r>
      <w:r w:rsidR="00993652" w:rsidRPr="003D1E07">
        <w:t>). Poznávací soud</w:t>
      </w:r>
      <w:r w:rsidR="0021410D" w:rsidRPr="003D1E07">
        <w:t xml:space="preserve"> zakládá univerzální podobnost mysli s reálnou a individuální první substancí</w:t>
      </w:r>
      <w:r w:rsidR="00993652" w:rsidRPr="003D1E07">
        <w:t xml:space="preserve">. Žádný univerzální význam se nemůže vyskytovat ve světě prvních substancí, například na způsob </w:t>
      </w:r>
      <w:r w:rsidR="00874074" w:rsidRPr="003D1E07">
        <w:t>neoplatonsk</w:t>
      </w:r>
      <w:r w:rsidR="00993652" w:rsidRPr="003D1E07">
        <w:t>ého diakosmu</w:t>
      </w:r>
      <w:r w:rsidR="0021410D" w:rsidRPr="003D1E07">
        <w:t xml:space="preserve">. Protože aktualita jednotliviny patří první substanci dané reálně a </w:t>
      </w:r>
      <w:r w:rsidR="0021410D" w:rsidRPr="003D1E07">
        <w:rPr>
          <w:i/>
        </w:rPr>
        <w:t>per se</w:t>
      </w:r>
      <w:r w:rsidR="0021410D" w:rsidRPr="003D1E07">
        <w:t xml:space="preserve">, pak se musí odlišit bytí jsoucna od reprezentace v mysli. Druhá substance </w:t>
      </w:r>
      <w:r w:rsidR="08747897" w:rsidRPr="003D1E07">
        <w:t xml:space="preserve">také </w:t>
      </w:r>
      <w:r w:rsidR="0021410D" w:rsidRPr="003D1E07">
        <w:t xml:space="preserve">existuje v modu </w:t>
      </w:r>
      <w:r w:rsidR="0021410D" w:rsidRPr="003D1E07">
        <w:rPr>
          <w:i/>
        </w:rPr>
        <w:t>simpliciter</w:t>
      </w:r>
      <w:r w:rsidR="009A20C8" w:rsidRPr="003D1E07">
        <w:rPr>
          <w:szCs w:val="15"/>
        </w:rPr>
        <w:fldChar w:fldCharType="begin"/>
      </w:r>
      <w:r w:rsidR="009A20C8" w:rsidRPr="003D1E07">
        <w:instrText xml:space="preserve"> XE "substance:Al-</w:instrText>
      </w:r>
      <w:r w:rsidR="008E02F5" w:rsidRPr="003D1E07">
        <w:instrText>Fárábí</w:instrText>
      </w:r>
      <w:r w:rsidR="009A20C8" w:rsidRPr="003D1E07">
        <w:instrText xml:space="preserve">" </w:instrText>
      </w:r>
      <w:r w:rsidR="009A20C8" w:rsidRPr="003D1E07">
        <w:rPr>
          <w:szCs w:val="15"/>
        </w:rPr>
        <w:fldChar w:fldCharType="end"/>
      </w:r>
      <w:r w:rsidR="0021410D" w:rsidRPr="003D1E07">
        <w:t xml:space="preserve">, </w:t>
      </w:r>
      <w:r w:rsidR="08747897" w:rsidRPr="003D1E07">
        <w:t xml:space="preserve">protože </w:t>
      </w:r>
      <w:r w:rsidR="0021410D" w:rsidRPr="003D1E07">
        <w:t xml:space="preserve">je vzata v univerzálním významu. Kategorie predikují jednotu jsoucna v modu </w:t>
      </w:r>
      <w:r w:rsidR="0021410D" w:rsidRPr="003D1E07">
        <w:rPr>
          <w:i/>
        </w:rPr>
        <w:t>per prius</w:t>
      </w:r>
      <w:r w:rsidR="0021410D" w:rsidRPr="003D1E07">
        <w:t xml:space="preserve"> vzhledem k univerzální druhé substanci</w:t>
      </w:r>
      <w:r w:rsidR="081716BF" w:rsidRPr="003D1E07">
        <w:t>. H</w:t>
      </w:r>
      <w:r w:rsidR="00E74E3B" w:rsidRPr="003D1E07">
        <w:t>ledanou u</w:t>
      </w:r>
      <w:r w:rsidR="0021410D" w:rsidRPr="003D1E07">
        <w:t xml:space="preserve">nivocitu kategoriální výpovědi </w:t>
      </w:r>
      <w:r w:rsidR="00E74E3B" w:rsidRPr="003D1E07">
        <w:t xml:space="preserve">a první vědy </w:t>
      </w:r>
      <w:r w:rsidR="081716BF" w:rsidRPr="003D1E07">
        <w:t xml:space="preserve">ale </w:t>
      </w:r>
      <w:r w:rsidR="0021410D" w:rsidRPr="003D1E07">
        <w:t>zajišťuje hyparchický vztah k první substanci</w:t>
      </w:r>
      <w:r w:rsidR="08381FF4" w:rsidRPr="003D1E07">
        <w:t>, který druhá substance zrcadlí na úrovni kategoriální signifikace a predikace</w:t>
      </w:r>
      <w:r w:rsidR="0021410D" w:rsidRPr="003D1E07">
        <w:t>.</w:t>
      </w:r>
    </w:p>
    <w:p w14:paraId="47EE5B25" w14:textId="77777777" w:rsidR="00907E81" w:rsidRDefault="00032BB0" w:rsidP="00A228B9">
      <w:pPr>
        <w:rPr>
          <w:lang w:eastAsia="en-US"/>
        </w:rPr>
      </w:pPr>
      <w:r w:rsidRPr="003D1E07">
        <w:tab/>
      </w:r>
      <w:r w:rsidR="00111255" w:rsidRPr="003D1E07">
        <w:rPr>
          <w:rStyle w:val="Zvraznn"/>
          <w:i w:val="0"/>
        </w:rPr>
        <w:t>S neoplatoniky však Al-Fá</w:t>
      </w:r>
      <w:r w:rsidR="00FF6C2B" w:rsidRPr="003D1E07">
        <w:rPr>
          <w:rStyle w:val="Zvraznn"/>
          <w:i w:val="0"/>
        </w:rPr>
        <w:t xml:space="preserve">rábího spojovalo jedno místo </w:t>
      </w:r>
      <w:r w:rsidR="00FF6C2B" w:rsidRPr="003D1E07">
        <w:rPr>
          <w:lang w:eastAsia="en-US"/>
        </w:rPr>
        <w:t xml:space="preserve">Aristotelovy </w:t>
      </w:r>
      <w:r w:rsidR="00FF6C2B" w:rsidRPr="003D1E07">
        <w:rPr>
          <w:i/>
          <w:lang w:eastAsia="en-US"/>
        </w:rPr>
        <w:t>Metafyziky</w:t>
      </w:r>
      <w:r w:rsidR="08AF1592" w:rsidRPr="003D1E07">
        <w:rPr>
          <w:i/>
          <w:lang w:eastAsia="en-US"/>
        </w:rPr>
        <w:t xml:space="preserve"> </w:t>
      </w:r>
      <w:r w:rsidR="08AF1592" w:rsidRPr="003D1E07">
        <w:rPr>
          <w:lang w:eastAsia="en-US"/>
        </w:rPr>
        <w:t>VI.2</w:t>
      </w:r>
      <w:r w:rsidR="00E25EBF" w:rsidRPr="003D1E07">
        <w:rPr>
          <w:szCs w:val="15"/>
        </w:rPr>
        <w:fldChar w:fldCharType="begin"/>
      </w:r>
      <w:r w:rsidR="00E47BA8" w:rsidRPr="003D1E07">
        <w:instrText xml:space="preserve"> XE "pravda:transcendentália</w:instrText>
      </w:r>
      <w:r w:rsidR="00E25EBF" w:rsidRPr="003D1E07">
        <w:instrText xml:space="preserve">" </w:instrText>
      </w:r>
      <w:r w:rsidR="00E25EBF" w:rsidRPr="003D1E07">
        <w:rPr>
          <w:szCs w:val="15"/>
        </w:rPr>
        <w:fldChar w:fldCharType="end"/>
      </w:r>
      <w:r w:rsidR="00FF6C2B" w:rsidRPr="003D1E07">
        <w:rPr>
          <w:lang w:eastAsia="en-US"/>
        </w:rPr>
        <w:t xml:space="preserve">, kde se nacházejí pohromadě obě určení </w:t>
      </w:r>
      <w:r w:rsidR="001F3291">
        <w:rPr>
          <w:lang w:eastAsia="en-US"/>
        </w:rPr>
        <w:t xml:space="preserve">pravdivosti </w:t>
      </w:r>
      <w:r w:rsidR="00FF6C2B" w:rsidRPr="003D1E07">
        <w:rPr>
          <w:lang w:eastAsia="en-US"/>
        </w:rPr>
        <w:t xml:space="preserve">jsoucna: kategoriální i transcendentální. </w:t>
      </w:r>
      <w:r w:rsidR="081679EF" w:rsidRPr="003D1E07">
        <w:rPr>
          <w:lang w:eastAsia="en-US"/>
        </w:rPr>
        <w:t xml:space="preserve">Kniha </w:t>
      </w:r>
      <w:r w:rsidR="08242D16" w:rsidRPr="003D1E07">
        <w:rPr>
          <w:i/>
          <w:lang w:eastAsia="en-US"/>
        </w:rPr>
        <w:t>Epsilon</w:t>
      </w:r>
      <w:r w:rsidR="08242D16" w:rsidRPr="003D1E07">
        <w:rPr>
          <w:lang w:eastAsia="en-US"/>
        </w:rPr>
        <w:t xml:space="preserve"> </w:t>
      </w:r>
      <w:r w:rsidR="00282208" w:rsidRPr="003D1E07">
        <w:rPr>
          <w:lang w:eastAsia="en-US"/>
        </w:rPr>
        <w:t xml:space="preserve">vyjmenovává </w:t>
      </w:r>
      <w:r w:rsidR="006B51A6" w:rsidRPr="003D1E07">
        <w:rPr>
          <w:lang w:eastAsia="en-US"/>
        </w:rPr>
        <w:t xml:space="preserve">ve druhé kapitole </w:t>
      </w:r>
      <w:r w:rsidR="00282208" w:rsidRPr="003D1E07">
        <w:rPr>
          <w:lang w:eastAsia="en-US"/>
        </w:rPr>
        <w:t>různé způsoby, v nichž se bytí predikuje, s výslovným odkazem na vztah bytí k pravdě a nebytí k nepravdě (</w:t>
      </w:r>
      <w:r w:rsidR="00282208" w:rsidRPr="003D1E07">
        <w:t>τὸ ὡς ἀληθές, καὶ τὸ μὴ ὂν ὡς τὸ ψεῦδος</w:t>
      </w:r>
      <w:r w:rsidR="00282208" w:rsidRPr="003D1E07">
        <w:rPr>
          <w:lang w:eastAsia="en-US"/>
        </w:rPr>
        <w:t>) a na vztah ke kategoriím (</w:t>
      </w:r>
      <w:r w:rsidR="00282208" w:rsidRPr="003D1E07">
        <w:t>τὰ σχήματα τῆς κατηγορίας</w:t>
      </w:r>
      <w:r w:rsidR="00282208" w:rsidRPr="003D1E07">
        <w:rPr>
          <w:lang w:eastAsia="en-US"/>
        </w:rPr>
        <w:t>), včetně dalších způsobů jako je substance a akcident, aktualita a potence (</w:t>
      </w:r>
      <w:r w:rsidR="00282208" w:rsidRPr="003D1E07">
        <w:rPr>
          <w:i/>
          <w:lang w:eastAsia="en-US"/>
        </w:rPr>
        <w:t>Met</w:t>
      </w:r>
      <w:r w:rsidR="00282208" w:rsidRPr="003D1E07">
        <w:rPr>
          <w:lang w:eastAsia="en-US"/>
        </w:rPr>
        <w:t>.</w:t>
      </w:r>
      <w:r w:rsidR="08B42194" w:rsidRPr="003D1E07">
        <w:rPr>
          <w:lang w:eastAsia="en-US"/>
        </w:rPr>
        <w:t xml:space="preserve"> </w:t>
      </w:r>
      <w:r w:rsidR="00282208" w:rsidRPr="003D1E07">
        <w:rPr>
          <w:lang w:eastAsia="en-US"/>
        </w:rPr>
        <w:t>1026a33–b2</w:t>
      </w:r>
      <w:r w:rsidR="009A20C8" w:rsidRPr="003D1E07">
        <w:rPr>
          <w:szCs w:val="15"/>
        </w:rPr>
        <w:fldChar w:fldCharType="begin"/>
      </w:r>
      <w:r w:rsidR="009A20C8" w:rsidRPr="003D1E07">
        <w:instrText xml:space="preserve"> XE "</w:instrText>
      </w:r>
      <w:r w:rsidR="008E02F5" w:rsidRPr="003D1E07">
        <w:instrText>Aristoteles</w:instrText>
      </w:r>
      <w:r w:rsidR="009A20C8" w:rsidRPr="003D1E07">
        <w:instrText>:</w:instrText>
      </w:r>
      <w:r w:rsidR="009A20C8" w:rsidRPr="003D1E07">
        <w:rPr>
          <w:i/>
          <w:lang w:eastAsia="en-US"/>
        </w:rPr>
        <w:instrText>Met</w:instrText>
      </w:r>
      <w:r w:rsidR="009A20C8" w:rsidRPr="003D1E07">
        <w:rPr>
          <w:lang w:eastAsia="en-US"/>
        </w:rPr>
        <w:instrText>. 1026a33–b2</w:instrText>
      </w:r>
      <w:r w:rsidR="009A20C8" w:rsidRPr="003D1E07">
        <w:instrText xml:space="preserve">" </w:instrText>
      </w:r>
      <w:r w:rsidR="009A20C8" w:rsidRPr="003D1E07">
        <w:rPr>
          <w:szCs w:val="15"/>
        </w:rPr>
        <w:fldChar w:fldCharType="end"/>
      </w:r>
      <w:r w:rsidR="00282208" w:rsidRPr="003D1E07">
        <w:rPr>
          <w:lang w:eastAsia="en-US"/>
        </w:rPr>
        <w:t xml:space="preserve">). Pravda patří podle tohoto výkladu </w:t>
      </w:r>
      <w:r w:rsidR="00282208" w:rsidRPr="003D1E07">
        <w:rPr>
          <w:i/>
          <w:lang w:eastAsia="en-US"/>
        </w:rPr>
        <w:t>Metafyziky</w:t>
      </w:r>
      <w:r w:rsidR="00282208" w:rsidRPr="003D1E07">
        <w:rPr>
          <w:lang w:eastAsia="en-US"/>
        </w:rPr>
        <w:t xml:space="preserve"> k primárním určením jsoucna</w:t>
      </w:r>
      <w:r w:rsidR="009C5188" w:rsidRPr="003D1E07">
        <w:rPr>
          <w:lang w:eastAsia="en-US"/>
        </w:rPr>
        <w:t xml:space="preserve"> přímo a bez zprostředkování skrze </w:t>
      </w:r>
      <w:r w:rsidR="00CC32B0" w:rsidRPr="003D1E07">
        <w:rPr>
          <w:lang w:eastAsia="en-US"/>
        </w:rPr>
        <w:t xml:space="preserve">konceptuální </w:t>
      </w:r>
      <w:r w:rsidR="009C5188" w:rsidRPr="003D1E07">
        <w:rPr>
          <w:lang w:eastAsia="en-US"/>
        </w:rPr>
        <w:t>poznání</w:t>
      </w:r>
      <w:r w:rsidR="00282208" w:rsidRPr="003D1E07">
        <w:rPr>
          <w:lang w:eastAsia="en-US"/>
        </w:rPr>
        <w:t xml:space="preserve">. </w:t>
      </w:r>
      <w:r w:rsidR="00474BC5" w:rsidRPr="003D1E07">
        <w:rPr>
          <w:lang w:eastAsia="en-US"/>
        </w:rPr>
        <w:t>P</w:t>
      </w:r>
      <w:r w:rsidR="000A2765" w:rsidRPr="003D1E07">
        <w:rPr>
          <w:lang w:eastAsia="en-US"/>
        </w:rPr>
        <w:t xml:space="preserve">ravda </w:t>
      </w:r>
      <w:r w:rsidR="00474BC5" w:rsidRPr="003D1E07">
        <w:rPr>
          <w:lang w:eastAsia="en-US"/>
        </w:rPr>
        <w:t xml:space="preserve">má charakter hypostázované jsoucnosti a je </w:t>
      </w:r>
      <w:r w:rsidR="000A2765" w:rsidRPr="003D1E07">
        <w:rPr>
          <w:lang w:eastAsia="en-US"/>
        </w:rPr>
        <w:t xml:space="preserve">vyvázána ze schématu predikace </w:t>
      </w:r>
      <w:r w:rsidR="000755C3" w:rsidRPr="003D1E07">
        <w:rPr>
          <w:lang w:eastAsia="en-US"/>
        </w:rPr>
        <w:t xml:space="preserve">prováděné </w:t>
      </w:r>
      <w:r w:rsidR="00474BC5" w:rsidRPr="003D1E07">
        <w:rPr>
          <w:lang w:eastAsia="en-US"/>
        </w:rPr>
        <w:t>skrze logický a vědecký soud</w:t>
      </w:r>
      <w:r w:rsidR="000A2765" w:rsidRPr="003D1E07">
        <w:rPr>
          <w:lang w:eastAsia="en-US"/>
        </w:rPr>
        <w:t xml:space="preserve">. Předchozí kapitoly ukázaly, že toto </w:t>
      </w:r>
      <w:r w:rsidR="003F46A5" w:rsidRPr="003D1E07">
        <w:rPr>
          <w:lang w:eastAsia="en-US"/>
        </w:rPr>
        <w:t xml:space="preserve">imanentní </w:t>
      </w:r>
      <w:r w:rsidR="000A2765" w:rsidRPr="003D1E07">
        <w:rPr>
          <w:lang w:eastAsia="en-US"/>
        </w:rPr>
        <w:t xml:space="preserve">určení pravdy </w:t>
      </w:r>
      <w:r w:rsidR="003F46A5" w:rsidRPr="003D1E07">
        <w:rPr>
          <w:lang w:eastAsia="en-US"/>
        </w:rPr>
        <w:t xml:space="preserve">jako </w:t>
      </w:r>
      <w:r w:rsidR="00A407F5" w:rsidRPr="003D1E07">
        <w:rPr>
          <w:lang w:eastAsia="en-US"/>
        </w:rPr>
        <w:t xml:space="preserve">analogické podobnosti s bytím Jednoho </w:t>
      </w:r>
      <w:r w:rsidR="000A2765" w:rsidRPr="003D1E07">
        <w:rPr>
          <w:lang w:eastAsia="en-US"/>
        </w:rPr>
        <w:t xml:space="preserve">rozvinul </w:t>
      </w:r>
      <w:r w:rsidR="000A2765" w:rsidRPr="003D1E07">
        <w:rPr>
          <w:lang w:eastAsia="en-US"/>
        </w:rPr>
        <w:lastRenderedPageBreak/>
        <w:t>neopl</w:t>
      </w:r>
      <w:r w:rsidR="00A407F5" w:rsidRPr="003D1E07">
        <w:rPr>
          <w:lang w:eastAsia="en-US"/>
        </w:rPr>
        <w:t>a</w:t>
      </w:r>
      <w:r w:rsidR="000A2765" w:rsidRPr="003D1E07">
        <w:rPr>
          <w:lang w:eastAsia="en-US"/>
        </w:rPr>
        <w:t xml:space="preserve">tonismus pozdní antiky. </w:t>
      </w:r>
      <w:r w:rsidR="08370FDB" w:rsidRPr="003D1E07">
        <w:rPr>
          <w:lang w:eastAsia="en-US"/>
        </w:rPr>
        <w:t xml:space="preserve">Alfarabius pokračuje i v této linii, která se snažila smířit celkovou linii </w:t>
      </w:r>
      <w:r w:rsidR="08370FDB" w:rsidRPr="003D1E07">
        <w:t>Aristotelovy a Platonovy filosof</w:t>
      </w:r>
      <w:r w:rsidR="008C78BF">
        <w:t>ie, což ukazují mnohá jeho díla</w:t>
      </w:r>
      <w:r w:rsidR="08370FDB" w:rsidRPr="003D1E07">
        <w:t xml:space="preserve">. </w:t>
      </w:r>
      <w:r w:rsidR="008C78BF">
        <w:t xml:space="preserve">Spis </w:t>
      </w:r>
      <w:r w:rsidR="08F94CA9" w:rsidRPr="003D1E07">
        <w:rPr>
          <w:i/>
        </w:rPr>
        <w:t>Kitāb al-</w:t>
      </w:r>
      <w:r w:rsidR="00282208" w:rsidRPr="003D1E07">
        <w:rPr>
          <w:i/>
        </w:rPr>
        <w:t>Ḥurūf</w:t>
      </w:r>
      <w:r w:rsidR="00282208" w:rsidRPr="003D1E07">
        <w:t xml:space="preserve"> </w:t>
      </w:r>
      <w:r w:rsidR="002A01CE" w:rsidRPr="003D1E07">
        <w:t xml:space="preserve">sleduje v otázce pravdy </w:t>
      </w:r>
      <w:r w:rsidR="08370FDB" w:rsidRPr="003D1E07">
        <w:t xml:space="preserve">také </w:t>
      </w:r>
      <w:r w:rsidR="00874074" w:rsidRPr="003D1E07">
        <w:t>neoplatonsk</w:t>
      </w:r>
      <w:r w:rsidR="002A01CE" w:rsidRPr="003D1E07">
        <w:t>ou linii</w:t>
      </w:r>
      <w:r w:rsidR="0021410D" w:rsidRPr="003D1E07">
        <w:t xml:space="preserve"> aristotelismu</w:t>
      </w:r>
      <w:r w:rsidR="002A01CE" w:rsidRPr="003D1E07">
        <w:t xml:space="preserve"> a </w:t>
      </w:r>
      <w:r w:rsidR="00282208" w:rsidRPr="003D1E07">
        <w:t>potvrzuje dvojí určení jsoucna (</w:t>
      </w:r>
      <w:r w:rsidR="00282208" w:rsidRPr="003D1E07">
        <w:rPr>
          <w:i/>
          <w:lang w:eastAsia="en-US"/>
        </w:rPr>
        <w:t>mawj</w:t>
      </w:r>
      <w:r w:rsidR="00282208" w:rsidRPr="003D1E07">
        <w:rPr>
          <w:rStyle w:val="Zvraznn"/>
        </w:rPr>
        <w:t>ūd</w:t>
      </w:r>
      <w:r w:rsidR="00282208" w:rsidRPr="003D1E07">
        <w:t xml:space="preserve">) jako aktuálního a </w:t>
      </w:r>
      <w:r w:rsidR="08DC6045" w:rsidRPr="003D1E07">
        <w:t xml:space="preserve">jako </w:t>
      </w:r>
      <w:r w:rsidR="00282208" w:rsidRPr="003D1E07">
        <w:t>pravdivého.</w:t>
      </w:r>
      <w:r w:rsidR="00282208" w:rsidRPr="003D1E07">
        <w:rPr>
          <w:rStyle w:val="Znakapoznpodarou"/>
        </w:rPr>
        <w:footnoteReference w:id="77"/>
      </w:r>
      <w:r w:rsidR="00282208" w:rsidRPr="003D1E07">
        <w:t xml:space="preserve"> </w:t>
      </w:r>
      <w:r w:rsidR="0021410D" w:rsidRPr="003D1E07">
        <w:t>P</w:t>
      </w:r>
      <w:r w:rsidR="08E241D8" w:rsidRPr="003D1E07">
        <w:t xml:space="preserve">ravdivost </w:t>
      </w:r>
      <w:r w:rsidR="0090451E" w:rsidRPr="003D1E07">
        <w:t xml:space="preserve">podle </w:t>
      </w:r>
      <w:r w:rsidR="002F0819" w:rsidRPr="003D1E07">
        <w:t xml:space="preserve">citovaného místa </w:t>
      </w:r>
      <w:r w:rsidR="000C3672" w:rsidRPr="003D1E07">
        <w:rPr>
          <w:i/>
        </w:rPr>
        <w:t>Metafyziky</w:t>
      </w:r>
      <w:r w:rsidR="000C3672" w:rsidRPr="003D1E07">
        <w:t xml:space="preserve"> VI</w:t>
      </w:r>
      <w:r w:rsidR="0090451E" w:rsidRPr="003D1E07">
        <w:t xml:space="preserve">.2 </w:t>
      </w:r>
      <w:r w:rsidR="00887B63" w:rsidRPr="003D1E07">
        <w:t xml:space="preserve">se </w:t>
      </w:r>
      <w:r w:rsidR="0090451E" w:rsidRPr="003D1E07">
        <w:t xml:space="preserve">nějak </w:t>
      </w:r>
      <w:r w:rsidR="00FF6C2B" w:rsidRPr="003D1E07">
        <w:t xml:space="preserve">přímo </w:t>
      </w:r>
      <w:r w:rsidR="00D63E70" w:rsidRPr="003D1E07">
        <w:t>dává i v </w:t>
      </w:r>
      <w:r w:rsidR="08E241D8" w:rsidRPr="003D1E07">
        <w:t xml:space="preserve">první </w:t>
      </w:r>
      <w:r w:rsidR="00132CD9" w:rsidRPr="003D1E07">
        <w:t xml:space="preserve">substanci. </w:t>
      </w:r>
      <w:r w:rsidR="008B12D2" w:rsidRPr="003D1E07">
        <w:t>Neoplatonsk</w:t>
      </w:r>
      <w:r w:rsidR="00887B63" w:rsidRPr="003D1E07">
        <w:t xml:space="preserve">é pojetí pravdy ji chápe jako </w:t>
      </w:r>
      <w:r w:rsidR="006C43D0" w:rsidRPr="003D1E07">
        <w:t xml:space="preserve">univerzální </w:t>
      </w:r>
      <w:r w:rsidR="00EA7758">
        <w:t xml:space="preserve">hypostatickou </w:t>
      </w:r>
      <w:r w:rsidR="006C43D0" w:rsidRPr="003D1E07">
        <w:t xml:space="preserve">formu v rámci </w:t>
      </w:r>
      <w:r w:rsidR="00A04C36" w:rsidRPr="003D1E07">
        <w:t xml:space="preserve">analogické jednoty </w:t>
      </w:r>
      <w:r w:rsidR="00AB2DB0" w:rsidRPr="003D1E07">
        <w:t xml:space="preserve">diakosmu. Pak </w:t>
      </w:r>
      <w:r w:rsidR="006C43D0" w:rsidRPr="003D1E07">
        <w:t xml:space="preserve">predikuje </w:t>
      </w:r>
      <w:r w:rsidR="00AB2DB0" w:rsidRPr="003D1E07">
        <w:t xml:space="preserve">toto </w:t>
      </w:r>
      <w:r w:rsidR="006C43D0" w:rsidRPr="003D1E07">
        <w:t>univerzální bytí k nižším demiurgickým formám daným taktéž univerzálně</w:t>
      </w:r>
      <w:r w:rsidR="00A04C36" w:rsidRPr="003D1E07">
        <w:t xml:space="preserve"> a analogicky</w:t>
      </w:r>
      <w:r w:rsidR="006C43D0" w:rsidRPr="003D1E07">
        <w:t xml:space="preserve">. </w:t>
      </w:r>
      <w:r w:rsidR="00CC32B0" w:rsidRPr="003D1E07">
        <w:t>R</w:t>
      </w:r>
      <w:r w:rsidR="00654007" w:rsidRPr="003D1E07">
        <w:t>ozbo</w:t>
      </w:r>
      <w:r w:rsidR="08F30521" w:rsidRPr="003D1E07">
        <w:t>r</w:t>
      </w:r>
      <w:r w:rsidR="00520758" w:rsidRPr="003D1E07">
        <w:t xml:space="preserve"> Aristotelovy</w:t>
      </w:r>
      <w:r w:rsidR="00654007" w:rsidRPr="003D1E07">
        <w:t xml:space="preserve"> filosofie </w:t>
      </w:r>
      <w:r w:rsidR="00946A5B" w:rsidRPr="003D1E07">
        <w:t xml:space="preserve">v </w:t>
      </w:r>
      <w:r w:rsidR="00C64EDB" w:rsidRPr="003D1E07">
        <w:t xml:space="preserve">díle </w:t>
      </w:r>
      <w:r w:rsidR="08F94CA9" w:rsidRPr="003D1E07">
        <w:rPr>
          <w:i/>
        </w:rPr>
        <w:t>Kitāb al-</w:t>
      </w:r>
      <w:r w:rsidR="00946A5B" w:rsidRPr="003D1E07">
        <w:rPr>
          <w:i/>
        </w:rPr>
        <w:t>Ḥurūf</w:t>
      </w:r>
      <w:r w:rsidR="00946A5B" w:rsidRPr="003D1E07">
        <w:t xml:space="preserve"> </w:t>
      </w:r>
      <w:r w:rsidR="081F3F5A" w:rsidRPr="003D1E07">
        <w:t xml:space="preserve">integruje do určení jsoucna jako pravdivého i </w:t>
      </w:r>
      <w:r w:rsidR="00804593" w:rsidRPr="003D1E07">
        <w:t>druhou</w:t>
      </w:r>
      <w:r w:rsidR="004D2B43" w:rsidRPr="003D1E07">
        <w:t xml:space="preserve"> </w:t>
      </w:r>
      <w:r w:rsidR="08CD0B02" w:rsidRPr="003D1E07">
        <w:t xml:space="preserve">definici pravdy </w:t>
      </w:r>
      <w:r w:rsidR="08AC0FCF" w:rsidRPr="003D1E07">
        <w:t xml:space="preserve">podle citované </w:t>
      </w:r>
      <w:r w:rsidR="08AC0FCF" w:rsidRPr="003D1E07">
        <w:rPr>
          <w:i/>
        </w:rPr>
        <w:t>Met</w:t>
      </w:r>
      <w:r w:rsidR="08AC0FCF" w:rsidRPr="003D1E07">
        <w:t xml:space="preserve">. </w:t>
      </w:r>
      <w:r w:rsidR="089A31FF" w:rsidRPr="003D1E07">
        <w:t>V</w:t>
      </w:r>
      <w:r w:rsidR="08AC0FCF" w:rsidRPr="003D1E07">
        <w:t>I</w:t>
      </w:r>
      <w:r w:rsidR="089A31FF" w:rsidRPr="003D1E07">
        <w:t xml:space="preserve">.2, která </w:t>
      </w:r>
      <w:r w:rsidR="00FE189D" w:rsidRPr="003D1E07">
        <w:t xml:space="preserve">je založena na </w:t>
      </w:r>
      <w:r w:rsidR="00874074" w:rsidRPr="003D1E07">
        <w:t>neoplatonsk</w:t>
      </w:r>
      <w:r w:rsidR="080F2712" w:rsidRPr="003D1E07">
        <w:t xml:space="preserve">ém </w:t>
      </w:r>
      <w:r w:rsidR="00FE189D" w:rsidRPr="003D1E07">
        <w:t xml:space="preserve">pojetí predikace </w:t>
      </w:r>
      <w:r w:rsidR="00FE189D" w:rsidRPr="003D1E07">
        <w:rPr>
          <w:i/>
        </w:rPr>
        <w:t>per prius</w:t>
      </w:r>
      <w:r w:rsidR="00654007" w:rsidRPr="003D1E07">
        <w:t xml:space="preserve">. </w:t>
      </w:r>
      <w:r w:rsidR="08F94CA9" w:rsidRPr="003D1E07">
        <w:t>Al-</w:t>
      </w:r>
      <w:r w:rsidR="00B55EF1" w:rsidRPr="003D1E07">
        <w:t>F</w:t>
      </w:r>
      <w:r w:rsidR="00111255" w:rsidRPr="003D1E07">
        <w:t>á</w:t>
      </w:r>
      <w:r w:rsidR="00B55EF1" w:rsidRPr="003D1E07">
        <w:t xml:space="preserve">rábí považoval ve shodě s tehdejší tradicí za autentické dílo Stagirity i oba pseudo-aristotelské spisy kompilující </w:t>
      </w:r>
      <w:r w:rsidR="00B55EF1" w:rsidRPr="003D1E07">
        <w:rPr>
          <w:i/>
        </w:rPr>
        <w:t>Enneády</w:t>
      </w:r>
      <w:r w:rsidR="00B55EF1" w:rsidRPr="003D1E07">
        <w:t xml:space="preserve"> (Fakhry </w:t>
      </w:r>
      <w:r w:rsidR="00B55EF1" w:rsidRPr="003D1E07">
        <w:rPr>
          <w:szCs w:val="28"/>
        </w:rPr>
        <w:t>2002, 77</w:t>
      </w:r>
      <w:r w:rsidR="00B55EF1" w:rsidRPr="003D1E07">
        <w:t xml:space="preserve">). </w:t>
      </w:r>
      <w:r w:rsidR="00CC32B0" w:rsidRPr="003D1E07">
        <w:t>Obě pojetí pravdy jsou neslučitelné</w:t>
      </w:r>
      <w:r w:rsidR="005C4C24">
        <w:t xml:space="preserve">. První je dáno </w:t>
      </w:r>
      <w:r w:rsidR="00CC32B0" w:rsidRPr="003D1E07">
        <w:t xml:space="preserve">nasvícením </w:t>
      </w:r>
      <w:r w:rsidR="005C4C24">
        <w:t xml:space="preserve">smyslu </w:t>
      </w:r>
      <w:r w:rsidR="00CC32B0" w:rsidRPr="003D1E07">
        <w:t>jsoucna zepř</w:t>
      </w:r>
      <w:r w:rsidR="005C4C24">
        <w:t xml:space="preserve">edu od poznání první substance; druhé je dáno nasvícením </w:t>
      </w:r>
      <w:r w:rsidR="00CC32B0" w:rsidRPr="003D1E07">
        <w:t>zezadu od bytí autonomních forem sdílených ve formě přímého eidetického náhledu</w:t>
      </w:r>
      <w:r w:rsidR="00CC32B0" w:rsidRPr="003D1E07">
        <w:fldChar w:fldCharType="begin"/>
      </w:r>
      <w:r w:rsidR="00CC32B0" w:rsidRPr="003D1E07">
        <w:instrText xml:space="preserve"> XE "vidění:eidetické" </w:instrText>
      </w:r>
      <w:r w:rsidR="00CC32B0" w:rsidRPr="003D1E07">
        <w:fldChar w:fldCharType="end"/>
      </w:r>
      <w:r w:rsidR="00CC32B0" w:rsidRPr="003D1E07">
        <w:t xml:space="preserve">. </w:t>
      </w:r>
      <w:r w:rsidR="007C12AF" w:rsidRPr="003D1E07">
        <w:t xml:space="preserve">Pravda </w:t>
      </w:r>
      <w:r w:rsidR="00111255" w:rsidRPr="003D1E07">
        <w:t>v neoplato</w:t>
      </w:r>
      <w:r w:rsidR="00952733" w:rsidRPr="003D1E07">
        <w:t xml:space="preserve">nském schématu </w:t>
      </w:r>
      <w:r w:rsidR="007C12AF" w:rsidRPr="003D1E07">
        <w:t xml:space="preserve">není adekvace mysli a reality daná kategoriálně, ale je dána jako přímá iluminace intelektu od světa vyšších forem. </w:t>
      </w:r>
      <w:r w:rsidR="0859643F" w:rsidRPr="003D1E07">
        <w:t xml:space="preserve">Primární postavení první substance a hyparchické kategoriální predikace druhé substance stálo v rozporu s aristotelskými výklady podle korpusu </w:t>
      </w:r>
      <w:r w:rsidR="0859643F" w:rsidRPr="003D1E07">
        <w:rPr>
          <w:i/>
        </w:rPr>
        <w:t>Plotiniana Arabica</w:t>
      </w:r>
      <w:r w:rsidR="0859643F" w:rsidRPr="003D1E07">
        <w:t>.</w:t>
      </w:r>
      <w:bookmarkStart w:id="34" w:name="_Ref369518555"/>
      <w:r w:rsidR="0859643F" w:rsidRPr="003D1E07">
        <w:rPr>
          <w:rStyle w:val="Znakapoznpodarou"/>
        </w:rPr>
        <w:footnoteReference w:id="78"/>
      </w:r>
      <w:bookmarkEnd w:id="34"/>
      <w:r w:rsidR="0859643F" w:rsidRPr="003D1E07">
        <w:t xml:space="preserve"> </w:t>
      </w:r>
      <w:r w:rsidR="088A6368" w:rsidRPr="003D1E07">
        <w:t>D</w:t>
      </w:r>
      <w:r w:rsidR="080F2712" w:rsidRPr="003D1E07">
        <w:t xml:space="preserve">ílo </w:t>
      </w:r>
      <w:r w:rsidR="08520195" w:rsidRPr="003D1E07">
        <w:rPr>
          <w:i/>
        </w:rPr>
        <w:t>Kitāb al-</w:t>
      </w:r>
      <w:r w:rsidR="087755DE" w:rsidRPr="003D1E07">
        <w:rPr>
          <w:i/>
        </w:rPr>
        <w:t>Ḥurūf</w:t>
      </w:r>
      <w:r w:rsidR="087755DE" w:rsidRPr="003D1E07">
        <w:t xml:space="preserve"> </w:t>
      </w:r>
      <w:r w:rsidR="088A6368" w:rsidRPr="003D1E07">
        <w:t xml:space="preserve">proto </w:t>
      </w:r>
      <w:r w:rsidR="080F2712" w:rsidRPr="003D1E07">
        <w:t xml:space="preserve">hraje </w:t>
      </w:r>
      <w:r w:rsidR="082E25E4" w:rsidRPr="003D1E07">
        <w:t xml:space="preserve">v dějinách Západu </w:t>
      </w:r>
      <w:r w:rsidR="080F2712" w:rsidRPr="003D1E07">
        <w:t xml:space="preserve">podobnou roli jako Simplikiův </w:t>
      </w:r>
      <w:r w:rsidR="00131802" w:rsidRPr="003D1E07">
        <w:t xml:space="preserve">komentář </w:t>
      </w:r>
      <w:r w:rsidR="00131802" w:rsidRPr="003D1E07">
        <w:rPr>
          <w:i/>
        </w:rPr>
        <w:t>K</w:t>
      </w:r>
      <w:r w:rsidR="080F2712" w:rsidRPr="003D1E07">
        <w:rPr>
          <w:i/>
        </w:rPr>
        <w:t>ategori</w:t>
      </w:r>
      <w:r w:rsidR="00131802" w:rsidRPr="003D1E07">
        <w:rPr>
          <w:i/>
        </w:rPr>
        <w:t>í</w:t>
      </w:r>
      <w:r w:rsidR="080F2712" w:rsidRPr="003D1E07">
        <w:t xml:space="preserve"> (kap. 1.</w:t>
      </w:r>
      <w:r w:rsidR="08AF6B7D" w:rsidRPr="003D1E07">
        <w:t>3</w:t>
      </w:r>
      <w:r w:rsidR="080F2712" w:rsidRPr="003D1E07">
        <w:t xml:space="preserve">.1). </w:t>
      </w:r>
      <w:r w:rsidR="00111255" w:rsidRPr="003D1E07">
        <w:rPr>
          <w:lang w:eastAsia="en-US"/>
        </w:rPr>
        <w:t>Al-Fá</w:t>
      </w:r>
      <w:r w:rsidR="00676A4A" w:rsidRPr="003D1E07">
        <w:rPr>
          <w:lang w:eastAsia="en-US"/>
        </w:rPr>
        <w:t xml:space="preserve">rábí tvrdil, že aristotelská predikace směrem k </w:t>
      </w:r>
      <w:r w:rsidR="00655505" w:rsidRPr="003D1E07">
        <w:rPr>
          <w:lang w:eastAsia="en-US"/>
        </w:rPr>
        <w:t xml:space="preserve">první </w:t>
      </w:r>
      <w:r w:rsidR="00676A4A" w:rsidRPr="003D1E07">
        <w:rPr>
          <w:lang w:eastAsia="en-US"/>
        </w:rPr>
        <w:t xml:space="preserve">substanci je slučitelná s </w:t>
      </w:r>
      <w:r w:rsidR="00874074" w:rsidRPr="003D1E07">
        <w:rPr>
          <w:lang w:eastAsia="en-US"/>
        </w:rPr>
        <w:t>neoplatonsk</w:t>
      </w:r>
      <w:r w:rsidR="00676A4A" w:rsidRPr="003D1E07">
        <w:rPr>
          <w:lang w:eastAsia="en-US"/>
        </w:rPr>
        <w:t xml:space="preserve">ou participací směrem k Jednomu. </w:t>
      </w:r>
      <w:r w:rsidR="002D37B0" w:rsidRPr="002D37B0">
        <w:rPr>
          <w:lang w:eastAsia="en-US"/>
        </w:rPr>
        <w:t>Tento druh pravdy je však třeba vyloučit z úrovně nejvy</w:t>
      </w:r>
      <w:r w:rsidR="00907E81">
        <w:rPr>
          <w:lang w:eastAsia="en-US"/>
        </w:rPr>
        <w:t>ššího rodu bytí u neoplatoniků.</w:t>
      </w:r>
    </w:p>
    <w:p w14:paraId="03A52813" w14:textId="1E2B8837" w:rsidR="0059005B" w:rsidRDefault="002D37B0" w:rsidP="00907E81">
      <w:pPr>
        <w:ind w:firstLine="397"/>
      </w:pPr>
      <w:r w:rsidRPr="002D37B0">
        <w:rPr>
          <w:lang w:eastAsia="en-US"/>
        </w:rPr>
        <w:t xml:space="preserve">Aristotelský univerzální význam je dán v predikativní formě </w:t>
      </w:r>
      <w:r w:rsidRPr="002D37B0">
        <w:rPr>
          <w:i/>
          <w:lang w:eastAsia="en-US"/>
        </w:rPr>
        <w:t>per prius</w:t>
      </w:r>
      <w:r w:rsidRPr="002D37B0">
        <w:rPr>
          <w:lang w:eastAsia="en-US"/>
        </w:rPr>
        <w:t>, tedy</w:t>
      </w:r>
      <w:r>
        <w:rPr>
          <w:lang w:eastAsia="en-US"/>
        </w:rPr>
        <w:t xml:space="preserve"> jako produkt lidského myšlení. </w:t>
      </w:r>
      <w:r w:rsidR="00123001">
        <w:rPr>
          <w:lang w:eastAsia="en-US"/>
        </w:rPr>
        <w:t xml:space="preserve">Impozice významu v </w:t>
      </w:r>
      <w:r>
        <w:rPr>
          <w:lang w:eastAsia="en-US"/>
        </w:rPr>
        <w:t>univerzálií</w:t>
      </w:r>
      <w:r w:rsidR="00123001">
        <w:rPr>
          <w:lang w:eastAsia="en-US"/>
        </w:rPr>
        <w:t>ch</w:t>
      </w:r>
      <w:r w:rsidRPr="003D1E07">
        <w:rPr>
          <w:lang w:eastAsia="en-US"/>
        </w:rPr>
        <w:t xml:space="preserve"> </w:t>
      </w:r>
      <w:r w:rsidR="00123001">
        <w:rPr>
          <w:lang w:eastAsia="en-US"/>
        </w:rPr>
        <w:t>je druhotná</w:t>
      </w:r>
      <w:r w:rsidR="0814060D" w:rsidRPr="003D1E07">
        <w:rPr>
          <w:lang w:eastAsia="en-US"/>
        </w:rPr>
        <w:t xml:space="preserve"> vzhledem k bytí první substance</w:t>
      </w:r>
      <w:r w:rsidR="00E25EBF" w:rsidRPr="003D1E07">
        <w:rPr>
          <w:szCs w:val="15"/>
        </w:rPr>
        <w:fldChar w:fldCharType="begin"/>
      </w:r>
      <w:r w:rsidR="00E25EBF" w:rsidRPr="003D1E07">
        <w:instrText xml:space="preserve"> XE "predikace:hyparchická" </w:instrText>
      </w:r>
      <w:r w:rsidR="00E25EBF" w:rsidRPr="003D1E07">
        <w:rPr>
          <w:szCs w:val="15"/>
        </w:rPr>
        <w:fldChar w:fldCharType="end"/>
      </w:r>
      <w:r w:rsidR="00676A4A" w:rsidRPr="003D1E07">
        <w:rPr>
          <w:lang w:eastAsia="en-US"/>
        </w:rPr>
        <w:t>.</w:t>
      </w:r>
      <w:r w:rsidR="00131802" w:rsidRPr="003D1E07">
        <w:rPr>
          <w:lang w:eastAsia="en-US"/>
        </w:rPr>
        <w:t xml:space="preserve"> </w:t>
      </w:r>
      <w:r w:rsidR="008221A2" w:rsidRPr="003D1E07">
        <w:rPr>
          <w:lang w:eastAsia="en-US"/>
        </w:rPr>
        <w:t>Aristotelské d</w:t>
      </w:r>
      <w:r w:rsidR="00111255" w:rsidRPr="003D1E07">
        <w:rPr>
          <w:lang w:eastAsia="en-US"/>
        </w:rPr>
        <w:t xml:space="preserve">ílo </w:t>
      </w:r>
      <w:r w:rsidR="00131802" w:rsidRPr="003D1E07">
        <w:rPr>
          <w:i/>
        </w:rPr>
        <w:t>První analytiky</w:t>
      </w:r>
      <w:r w:rsidR="00111255" w:rsidRPr="003D1E07">
        <w:t xml:space="preserve"> tuto tezi podává</w:t>
      </w:r>
      <w:r w:rsidR="00131802" w:rsidRPr="003D1E07">
        <w:t xml:space="preserve"> vylučovacím výrokem</w:t>
      </w:r>
      <w:r w:rsidR="00224BEE" w:rsidRPr="003D1E07">
        <w:t>. B</w:t>
      </w:r>
      <w:r w:rsidR="00131802" w:rsidRPr="003D1E07">
        <w:t xml:space="preserve">uď jsou univerzália v modu </w:t>
      </w:r>
      <w:r w:rsidR="00131802" w:rsidRPr="003D1E07">
        <w:rPr>
          <w:i/>
        </w:rPr>
        <w:t>per posterius</w:t>
      </w:r>
      <w:r w:rsidR="00131802" w:rsidRPr="003D1E07">
        <w:t xml:space="preserve">, nebo vůbec neexistují (τὸ καθόλου ἤτοι οὐθέν ἐστιν ἢ ὕστερον, </w:t>
      </w:r>
      <w:r w:rsidR="00131802" w:rsidRPr="003D1E07">
        <w:rPr>
          <w:i/>
        </w:rPr>
        <w:t>Anal. prior.</w:t>
      </w:r>
      <w:r w:rsidR="00131802" w:rsidRPr="003D1E07">
        <w:t xml:space="preserve"> 402b7‒8</w:t>
      </w:r>
      <w:r w:rsidR="00E25EBF" w:rsidRPr="003D1E07">
        <w:rPr>
          <w:szCs w:val="15"/>
        </w:rPr>
        <w:fldChar w:fldCharType="begin"/>
      </w:r>
      <w:r w:rsidR="00E25EBF" w:rsidRPr="003D1E07">
        <w:instrText xml:space="preserve"> XE "</w:instrText>
      </w:r>
      <w:r w:rsidR="008E02F5" w:rsidRPr="003D1E07">
        <w:instrText>Aristoteles</w:instrText>
      </w:r>
      <w:r w:rsidR="00E25EBF" w:rsidRPr="003D1E07">
        <w:instrText>:</w:instrText>
      </w:r>
      <w:r w:rsidR="00E25EBF" w:rsidRPr="003D1E07">
        <w:rPr>
          <w:i/>
        </w:rPr>
        <w:instrText>Anal. prior.</w:instrText>
      </w:r>
      <w:r w:rsidR="00E25EBF" w:rsidRPr="003D1E07">
        <w:instrText xml:space="preserve"> 402b7‒8" </w:instrText>
      </w:r>
      <w:r w:rsidR="00E25EBF" w:rsidRPr="003D1E07">
        <w:rPr>
          <w:szCs w:val="15"/>
        </w:rPr>
        <w:fldChar w:fldCharType="end"/>
      </w:r>
      <w:r w:rsidR="00131802" w:rsidRPr="003D1E07">
        <w:t xml:space="preserve">). </w:t>
      </w:r>
      <w:r w:rsidR="006F6B46" w:rsidRPr="003D1E07">
        <w:rPr>
          <w:szCs w:val="15"/>
        </w:rPr>
        <w:t xml:space="preserve">Abunaser </w:t>
      </w:r>
      <w:r w:rsidR="009A0679" w:rsidRPr="003D1E07">
        <w:rPr>
          <w:szCs w:val="15"/>
        </w:rPr>
        <w:t xml:space="preserve">proto </w:t>
      </w:r>
      <w:r w:rsidR="006F6B46" w:rsidRPr="003D1E07">
        <w:rPr>
          <w:szCs w:val="15"/>
        </w:rPr>
        <w:t xml:space="preserve">odmítl nárok neoplatonismu na novou </w:t>
      </w:r>
      <w:r w:rsidR="006F6B46" w:rsidRPr="003D1E07">
        <w:rPr>
          <w:szCs w:val="15"/>
        </w:rPr>
        <w:lastRenderedPageBreak/>
        <w:t>formu kategoriá</w:t>
      </w:r>
      <w:r w:rsidR="007D4BC5" w:rsidRPr="003D1E07">
        <w:rPr>
          <w:szCs w:val="15"/>
        </w:rPr>
        <w:t>l</w:t>
      </w:r>
      <w:r w:rsidR="006F6B46" w:rsidRPr="003D1E07">
        <w:rPr>
          <w:szCs w:val="15"/>
        </w:rPr>
        <w:t xml:space="preserve">ní predikace. </w:t>
      </w:r>
      <w:r w:rsidR="001E416A" w:rsidRPr="003D1E07">
        <w:rPr>
          <w:szCs w:val="15"/>
        </w:rPr>
        <w:t xml:space="preserve">Důvod </w:t>
      </w:r>
      <w:r w:rsidR="00111255" w:rsidRPr="003D1E07">
        <w:rPr>
          <w:szCs w:val="15"/>
        </w:rPr>
        <w:t>Abunaserova rozchodu s neoplato</w:t>
      </w:r>
      <w:r w:rsidR="009B49A0" w:rsidRPr="003D1E07">
        <w:rPr>
          <w:szCs w:val="15"/>
        </w:rPr>
        <w:t xml:space="preserve">nskou školou Al-Kindího </w:t>
      </w:r>
      <w:r w:rsidR="001E416A" w:rsidRPr="003D1E07">
        <w:rPr>
          <w:szCs w:val="15"/>
        </w:rPr>
        <w:t xml:space="preserve">ukázal výše uvedený citát přesně rozlišující významy </w:t>
      </w:r>
      <w:r w:rsidR="007D4BC5" w:rsidRPr="003D1E07">
        <w:rPr>
          <w:szCs w:val="15"/>
        </w:rPr>
        <w:t xml:space="preserve">toho či onoho směru predikace podle spisu </w:t>
      </w:r>
      <w:r w:rsidR="007D4BC5" w:rsidRPr="003D1E07">
        <w:rPr>
          <w:i/>
          <w:szCs w:val="15"/>
        </w:rPr>
        <w:t>Kategorie</w:t>
      </w:r>
      <w:r w:rsidR="007D4BC5" w:rsidRPr="003D1E07">
        <w:rPr>
          <w:szCs w:val="15"/>
        </w:rPr>
        <w:t xml:space="preserve"> </w:t>
      </w:r>
      <w:r w:rsidR="001E416A" w:rsidRPr="003D1E07">
        <w:rPr>
          <w:szCs w:val="15"/>
        </w:rPr>
        <w:t>(</w:t>
      </w:r>
      <w:r w:rsidR="001E416A" w:rsidRPr="003D1E07">
        <w:rPr>
          <w:i/>
          <w:szCs w:val="15"/>
        </w:rPr>
        <w:t>Cat</w:t>
      </w:r>
      <w:r w:rsidR="001E416A" w:rsidRPr="003D1E07">
        <w:rPr>
          <w:szCs w:val="15"/>
        </w:rPr>
        <w:t xml:space="preserve">. </w:t>
      </w:r>
      <w:r w:rsidR="001E416A" w:rsidRPr="003D1E07">
        <w:t>2a11–16</w:t>
      </w:r>
      <w:r w:rsidR="00E25EBF" w:rsidRPr="003D1E07">
        <w:rPr>
          <w:szCs w:val="15"/>
        </w:rPr>
        <w:fldChar w:fldCharType="begin"/>
      </w:r>
      <w:r w:rsidR="00E25EBF" w:rsidRPr="003D1E07">
        <w:instrText xml:space="preserve"> XE "</w:instrText>
      </w:r>
      <w:r w:rsidR="008E02F5" w:rsidRPr="003D1E07">
        <w:instrText>Aristoteles</w:instrText>
      </w:r>
      <w:r w:rsidR="00E25EBF" w:rsidRPr="003D1E07">
        <w:instrText>:</w:instrText>
      </w:r>
      <w:r w:rsidR="00E25EBF" w:rsidRPr="003D1E07">
        <w:rPr>
          <w:i/>
        </w:rPr>
        <w:instrText>Cat</w:instrText>
      </w:r>
      <w:r w:rsidR="00E25EBF" w:rsidRPr="003D1E07">
        <w:instrText xml:space="preserve">. 2a11–16" </w:instrText>
      </w:r>
      <w:r w:rsidR="00E25EBF" w:rsidRPr="003D1E07">
        <w:rPr>
          <w:szCs w:val="15"/>
        </w:rPr>
        <w:fldChar w:fldCharType="end"/>
      </w:r>
      <w:r w:rsidR="001E416A" w:rsidRPr="003D1E07">
        <w:rPr>
          <w:szCs w:val="15"/>
        </w:rPr>
        <w:t xml:space="preserve">). </w:t>
      </w:r>
      <w:r w:rsidR="00111255" w:rsidRPr="003D1E07">
        <w:t>Abunaser stejně jako Porfy</w:t>
      </w:r>
      <w:r w:rsidR="088B1D75" w:rsidRPr="003D1E07">
        <w:t xml:space="preserve">rius přesně odlišuje rozdílnou predikaci </w:t>
      </w:r>
      <w:r w:rsidR="088B1D75" w:rsidRPr="003D1E07">
        <w:rPr>
          <w:i/>
        </w:rPr>
        <w:t>per prius</w:t>
      </w:r>
      <w:r w:rsidR="088B1D75" w:rsidRPr="003D1E07">
        <w:t xml:space="preserve"> a </w:t>
      </w:r>
      <w:r w:rsidR="088B1D75" w:rsidRPr="003D1E07">
        <w:rPr>
          <w:i/>
        </w:rPr>
        <w:t>per posterius</w:t>
      </w:r>
      <w:r w:rsidR="088B1D75" w:rsidRPr="003D1E07">
        <w:t xml:space="preserve"> </w:t>
      </w:r>
      <w:r w:rsidR="00C34FC5" w:rsidRPr="003D1E07">
        <w:t xml:space="preserve">v modu impozice </w:t>
      </w:r>
      <w:r w:rsidR="08D813A1" w:rsidRPr="003D1E07">
        <w:t xml:space="preserve">kategoriálního </w:t>
      </w:r>
      <w:r w:rsidR="00C34FC5" w:rsidRPr="003D1E07">
        <w:t xml:space="preserve">významu buď od </w:t>
      </w:r>
      <w:r w:rsidR="088B1D75" w:rsidRPr="003D1E07">
        <w:t>první</w:t>
      </w:r>
      <w:r w:rsidR="00C34FC5" w:rsidRPr="003D1E07">
        <w:t>, nebo od druhé substance</w:t>
      </w:r>
      <w:r w:rsidR="088B1D75" w:rsidRPr="003D1E07">
        <w:t xml:space="preserve">. </w:t>
      </w:r>
      <w:r w:rsidR="00700475" w:rsidRPr="003D1E07">
        <w:rPr>
          <w:szCs w:val="15"/>
        </w:rPr>
        <w:t xml:space="preserve">Buď </w:t>
      </w:r>
      <w:r w:rsidR="08D813A1" w:rsidRPr="003D1E07">
        <w:rPr>
          <w:szCs w:val="15"/>
        </w:rPr>
        <w:t xml:space="preserve">provádíme </w:t>
      </w:r>
      <w:r w:rsidR="00287589">
        <w:rPr>
          <w:szCs w:val="15"/>
        </w:rPr>
        <w:t xml:space="preserve">impozici významu </w:t>
      </w:r>
      <w:r w:rsidR="00700475" w:rsidRPr="003D1E07">
        <w:rPr>
          <w:szCs w:val="15"/>
        </w:rPr>
        <w:t>od p</w:t>
      </w:r>
      <w:r w:rsidR="08D813A1" w:rsidRPr="003D1E07">
        <w:rPr>
          <w:szCs w:val="15"/>
        </w:rPr>
        <w:t xml:space="preserve">rvní </w:t>
      </w:r>
      <w:r w:rsidR="00DE69BB">
        <w:rPr>
          <w:szCs w:val="15"/>
        </w:rPr>
        <w:t xml:space="preserve">hyparchické </w:t>
      </w:r>
      <w:r w:rsidR="08D813A1" w:rsidRPr="003D1E07">
        <w:rPr>
          <w:szCs w:val="15"/>
        </w:rPr>
        <w:t>substance nebo provádíme supozici univerzálního významu od druhé substance. A</w:t>
      </w:r>
      <w:r w:rsidR="00700475" w:rsidRPr="003D1E07">
        <w:rPr>
          <w:szCs w:val="15"/>
        </w:rPr>
        <w:t xml:space="preserve">le pak se </w:t>
      </w:r>
      <w:r w:rsidR="00BA3919">
        <w:rPr>
          <w:szCs w:val="15"/>
        </w:rPr>
        <w:t xml:space="preserve">zásadně </w:t>
      </w:r>
      <w:r w:rsidR="00700475" w:rsidRPr="003D1E07">
        <w:rPr>
          <w:szCs w:val="15"/>
        </w:rPr>
        <w:t xml:space="preserve">změní pořadí predikace </w:t>
      </w:r>
      <w:r w:rsidR="00700475" w:rsidRPr="003D1E07">
        <w:rPr>
          <w:i/>
          <w:szCs w:val="15"/>
        </w:rPr>
        <w:t>per prius</w:t>
      </w:r>
      <w:r w:rsidR="00700475" w:rsidRPr="003D1E07">
        <w:rPr>
          <w:szCs w:val="15"/>
        </w:rPr>
        <w:t xml:space="preserve"> a </w:t>
      </w:r>
      <w:r w:rsidR="00700475" w:rsidRPr="003D1E07">
        <w:rPr>
          <w:i/>
          <w:szCs w:val="15"/>
        </w:rPr>
        <w:t>per posterius</w:t>
      </w:r>
      <w:r w:rsidR="00E25EBF" w:rsidRPr="003D1E07">
        <w:rPr>
          <w:szCs w:val="15"/>
        </w:rPr>
        <w:fldChar w:fldCharType="begin"/>
      </w:r>
      <w:r w:rsidR="00E25EBF" w:rsidRPr="003D1E07">
        <w:instrText xml:space="preserve"> XE "predikace:Al-</w:instrText>
      </w:r>
      <w:r w:rsidR="008E02F5" w:rsidRPr="003D1E07">
        <w:instrText>Fárábí</w:instrText>
      </w:r>
      <w:r w:rsidR="00E25EBF" w:rsidRPr="003D1E07">
        <w:instrText xml:space="preserve">" </w:instrText>
      </w:r>
      <w:r w:rsidR="00E25EBF" w:rsidRPr="003D1E07">
        <w:rPr>
          <w:szCs w:val="15"/>
        </w:rPr>
        <w:fldChar w:fldCharType="end"/>
      </w:r>
      <w:r w:rsidR="00700475" w:rsidRPr="003D1E07">
        <w:rPr>
          <w:szCs w:val="15"/>
        </w:rPr>
        <w:t xml:space="preserve">. </w:t>
      </w:r>
      <w:r w:rsidR="003600D9" w:rsidRPr="003D1E07">
        <w:t xml:space="preserve">Substance jako obecný pojem stojí výše než pomíjivé individuum, a to z důvodu trvalosti nemateriální formy. </w:t>
      </w:r>
      <w:r w:rsidR="00BA3919">
        <w:t xml:space="preserve">Supozice může naplnit smysl neoplatonské predikace </w:t>
      </w:r>
      <w:r w:rsidR="003600D9" w:rsidRPr="003D1E07">
        <w:t xml:space="preserve">v univerzálním modu </w:t>
      </w:r>
      <w:r w:rsidR="003600D9" w:rsidRPr="003D1E07">
        <w:rPr>
          <w:i/>
        </w:rPr>
        <w:t>per prius</w:t>
      </w:r>
      <w:r w:rsidR="003600D9" w:rsidRPr="003D1E07">
        <w:t xml:space="preserve">. </w:t>
      </w:r>
      <w:r w:rsidR="08434BDF" w:rsidRPr="003D1E07">
        <w:t xml:space="preserve">V supozici rodových a specifických významů je možné provést dělení univerzálních významů podle </w:t>
      </w:r>
      <w:r w:rsidR="08434BDF" w:rsidRPr="003D1E07">
        <w:rPr>
          <w:i/>
        </w:rPr>
        <w:t>Isagoge</w:t>
      </w:r>
      <w:r w:rsidR="08434BDF" w:rsidRPr="003D1E07">
        <w:t xml:space="preserve"> a tím porovnávat univerzálie mezi sebou v modu adekvace. </w:t>
      </w:r>
      <w:r w:rsidR="000B5BDC" w:rsidRPr="003D1E07">
        <w:t>Ale z hlediska impozice významu od první substance platí, že u</w:t>
      </w:r>
      <w:r w:rsidR="000B5BDC" w:rsidRPr="003D1E07">
        <w:rPr>
          <w:szCs w:val="15"/>
        </w:rPr>
        <w:t>niverzální forma kategoriální predikace vyhovuje základnímu po</w:t>
      </w:r>
      <w:r w:rsidR="00A9318B" w:rsidRPr="003D1E07">
        <w:rPr>
          <w:szCs w:val="15"/>
        </w:rPr>
        <w:t xml:space="preserve">žadavku </w:t>
      </w:r>
      <w:r w:rsidR="00874074" w:rsidRPr="003D1E07">
        <w:rPr>
          <w:szCs w:val="15"/>
        </w:rPr>
        <w:t>neoplatonsk</w:t>
      </w:r>
      <w:r w:rsidR="00A9318B" w:rsidRPr="003D1E07">
        <w:rPr>
          <w:szCs w:val="15"/>
        </w:rPr>
        <w:t xml:space="preserve">é predikace </w:t>
      </w:r>
      <w:r w:rsidR="000B5BDC" w:rsidRPr="003D1E07">
        <w:rPr>
          <w:i/>
          <w:szCs w:val="15"/>
        </w:rPr>
        <w:t>pros hen</w:t>
      </w:r>
      <w:r w:rsidR="000B5BDC" w:rsidRPr="003D1E07">
        <w:rPr>
          <w:szCs w:val="15"/>
        </w:rPr>
        <w:t xml:space="preserve"> pouze v modu </w:t>
      </w:r>
      <w:r w:rsidR="08400B37" w:rsidRPr="003D1E07">
        <w:rPr>
          <w:szCs w:val="15"/>
        </w:rPr>
        <w:t xml:space="preserve">aristotelské </w:t>
      </w:r>
      <w:r w:rsidR="000B5BDC" w:rsidRPr="003D1E07">
        <w:rPr>
          <w:szCs w:val="15"/>
        </w:rPr>
        <w:t xml:space="preserve">predikace univerzálií daných </w:t>
      </w:r>
      <w:r w:rsidR="000B5BDC" w:rsidRPr="003D1E07">
        <w:rPr>
          <w:i/>
          <w:szCs w:val="15"/>
        </w:rPr>
        <w:t>per posterius</w:t>
      </w:r>
      <w:r w:rsidR="000B5BDC" w:rsidRPr="003D1E07">
        <w:rPr>
          <w:szCs w:val="15"/>
        </w:rPr>
        <w:t>.</w:t>
      </w:r>
      <w:r w:rsidR="00A228B9" w:rsidRPr="003D1E07">
        <w:rPr>
          <w:szCs w:val="15"/>
        </w:rPr>
        <w:t xml:space="preserve"> Hypostázovaná neoplatonská substance se predikuje podle náhledu </w:t>
      </w:r>
      <w:r w:rsidR="007C71E2" w:rsidRPr="003D1E07">
        <w:rPr>
          <w:szCs w:val="15"/>
        </w:rPr>
        <w:t>zez</w:t>
      </w:r>
      <w:r w:rsidR="00A228B9" w:rsidRPr="003D1E07">
        <w:rPr>
          <w:szCs w:val="15"/>
        </w:rPr>
        <w:t xml:space="preserve">adu, tedy skrze supoziční predikaci. </w:t>
      </w:r>
      <w:r w:rsidR="003600D9" w:rsidRPr="003D1E07">
        <w:t xml:space="preserve">V modu druhé substance dané univerzálně a </w:t>
      </w:r>
      <w:r w:rsidR="003600D9" w:rsidRPr="003D1E07">
        <w:rPr>
          <w:i/>
        </w:rPr>
        <w:t>per prius</w:t>
      </w:r>
      <w:r w:rsidR="003600D9" w:rsidRPr="003D1E07">
        <w:t xml:space="preserve"> je </w:t>
      </w:r>
      <w:r w:rsidR="000B6CE3" w:rsidRPr="003D1E07">
        <w:t xml:space="preserve">proto </w:t>
      </w:r>
      <w:r w:rsidR="00F9423E" w:rsidRPr="003D1E07">
        <w:t xml:space="preserve">možná a pravdivá i </w:t>
      </w:r>
      <w:r w:rsidR="003600D9" w:rsidRPr="003D1E07">
        <w:t>univerzální signifikace</w:t>
      </w:r>
      <w:r w:rsidR="00A9318B" w:rsidRPr="003D1E07">
        <w:t xml:space="preserve"> </w:t>
      </w:r>
      <w:r w:rsidR="003600D9" w:rsidRPr="003D1E07">
        <w:rPr>
          <w:i/>
        </w:rPr>
        <w:t>ad unum</w:t>
      </w:r>
      <w:r w:rsidR="0017414C" w:rsidRPr="003D1E07">
        <w:rPr>
          <w:szCs w:val="15"/>
        </w:rPr>
        <w:t xml:space="preserve"> </w:t>
      </w:r>
      <w:r w:rsidR="0017414C" w:rsidRPr="003D1E07">
        <w:rPr>
          <w:szCs w:val="15"/>
        </w:rPr>
        <w:fldChar w:fldCharType="begin"/>
      </w:r>
      <w:r w:rsidR="0017414C" w:rsidRPr="003D1E07">
        <w:instrText xml:space="preserve"> XE "henologie" </w:instrText>
      </w:r>
      <w:r w:rsidR="0017414C" w:rsidRPr="003D1E07">
        <w:rPr>
          <w:szCs w:val="15"/>
        </w:rPr>
        <w:fldChar w:fldCharType="end"/>
      </w:r>
      <w:r w:rsidR="003600D9" w:rsidRPr="003D1E07">
        <w:t xml:space="preserve">daná v rámci neoplatonismu. </w:t>
      </w:r>
      <w:r w:rsidR="00700475" w:rsidRPr="003D1E07">
        <w:rPr>
          <w:szCs w:val="15"/>
        </w:rPr>
        <w:t>S</w:t>
      </w:r>
      <w:r w:rsidR="00700475" w:rsidRPr="003D1E07">
        <w:t>ubstance je nahlížena z hlediska univerzálního určení jsoucna daného vzhledem k jednotě forem vztažených k Jednomu a k</w:t>
      </w:r>
      <w:r w:rsidR="00001B64">
        <w:t> </w:t>
      </w:r>
      <w:r w:rsidR="00700475" w:rsidRPr="003D1E07">
        <w:t>Dobru</w:t>
      </w:r>
      <w:r w:rsidR="00001B64">
        <w:t>. Ale tyto formy nemají ontologické priority „</w:t>
      </w:r>
      <w:r w:rsidR="00700475" w:rsidRPr="003D1E07">
        <w:t>reálně</w:t>
      </w:r>
      <w:r w:rsidR="00001B64">
        <w:t>“</w:t>
      </w:r>
      <w:r w:rsidR="00700475" w:rsidRPr="003D1E07">
        <w:t xml:space="preserve"> existujících substancí</w:t>
      </w:r>
      <w:r w:rsidR="00001B64">
        <w:t xml:space="preserve"> jako v neoplatonismu</w:t>
      </w:r>
      <w:r w:rsidR="00700475" w:rsidRPr="003D1E07">
        <w:t xml:space="preserve">. </w:t>
      </w:r>
      <w:r w:rsidR="001B6617" w:rsidRPr="003D1E07">
        <w:t xml:space="preserve">Existují dva odlišné </w:t>
      </w:r>
      <w:r w:rsidR="009F0EFE">
        <w:t>náhledy smyslu (</w:t>
      </w:r>
      <w:r w:rsidR="009F0EFE" w:rsidRPr="009F0EFE">
        <w:rPr>
          <w:i/>
        </w:rPr>
        <w:t>Bezugssinn</w:t>
      </w:r>
      <w:r w:rsidR="009F0EFE">
        <w:rPr>
          <w:i/>
        </w:rPr>
        <w:fldChar w:fldCharType="begin"/>
      </w:r>
      <w:r w:rsidR="009F0EFE">
        <w:instrText xml:space="preserve"> XE "</w:instrText>
      </w:r>
      <w:r w:rsidR="009F0EFE" w:rsidRPr="008D3924">
        <w:rPr>
          <w:i/>
        </w:rPr>
        <w:instrText>Bezugssinn</w:instrText>
      </w:r>
      <w:r w:rsidR="009F0EFE">
        <w:instrText xml:space="preserve">" </w:instrText>
      </w:r>
      <w:r w:rsidR="009F0EFE">
        <w:rPr>
          <w:i/>
        </w:rPr>
        <w:fldChar w:fldCharType="end"/>
      </w:r>
      <w:r w:rsidR="009F0EFE">
        <w:t xml:space="preserve">) </w:t>
      </w:r>
      <w:r w:rsidR="001B6617" w:rsidRPr="003D1E07">
        <w:t>dané kategoriální predikací, která je určena buď impozicí nebo supozicí. P</w:t>
      </w:r>
      <w:r w:rsidR="083322EA" w:rsidRPr="003D1E07">
        <w:t xml:space="preserve">rimární </w:t>
      </w:r>
      <w:r w:rsidR="08C66BCE" w:rsidRPr="003D1E07">
        <w:t xml:space="preserve">postavení reálně existující první substance jako nehybného hybatele </w:t>
      </w:r>
      <w:r w:rsidR="001B6617" w:rsidRPr="003D1E07">
        <w:t xml:space="preserve">je dáno </w:t>
      </w:r>
      <w:r w:rsidR="08C66BCE" w:rsidRPr="003D1E07">
        <w:t xml:space="preserve">podle </w:t>
      </w:r>
      <w:r w:rsidR="08C66BCE" w:rsidRPr="003D1E07">
        <w:rPr>
          <w:i/>
        </w:rPr>
        <w:t>Metafyziky</w:t>
      </w:r>
      <w:r w:rsidR="08C66BCE" w:rsidRPr="003D1E07">
        <w:t xml:space="preserve"> </w:t>
      </w:r>
      <w:r w:rsidR="08C66BCE" w:rsidRPr="003D1E07">
        <w:rPr>
          <w:i/>
        </w:rPr>
        <w:t>Lambda</w:t>
      </w:r>
      <w:r w:rsidR="08C66BCE" w:rsidRPr="003D1E07">
        <w:t xml:space="preserve">. </w:t>
      </w:r>
      <w:r w:rsidR="08EA6BDD" w:rsidRPr="003D1E07">
        <w:t xml:space="preserve">Jeho modus </w:t>
      </w:r>
      <w:r w:rsidR="08EA6BDD" w:rsidRPr="003D1E07">
        <w:rPr>
          <w:i/>
        </w:rPr>
        <w:t>per prius</w:t>
      </w:r>
      <w:r w:rsidR="08EA6BDD" w:rsidRPr="003D1E07">
        <w:t xml:space="preserve"> není dán v řádu univerzální predikace, ale jedinečné a aktuální reality. </w:t>
      </w:r>
      <w:r w:rsidR="00266138" w:rsidRPr="003D1E07">
        <w:t xml:space="preserve">Abunaser importoval důrazem na oddělené bytí Jednoho pod Aristotela do islámského aristotelismu teologickou otázku </w:t>
      </w:r>
      <w:r w:rsidR="00266138" w:rsidRPr="003D1E07">
        <w:rPr>
          <w:i/>
        </w:rPr>
        <w:t>creatio ex nihilo</w:t>
      </w:r>
      <w:r w:rsidR="00266138" w:rsidRPr="003D1E07">
        <w:rPr>
          <w:i/>
        </w:rPr>
        <w:fldChar w:fldCharType="begin"/>
      </w:r>
      <w:r w:rsidR="00266138" w:rsidRPr="003D1E07">
        <w:instrText xml:space="preserve"> XE "</w:instrText>
      </w:r>
      <w:r w:rsidR="00266138" w:rsidRPr="003D1E07">
        <w:rPr>
          <w:i/>
        </w:rPr>
        <w:instrText>creatio ex nihilo</w:instrText>
      </w:r>
      <w:r w:rsidR="00266138" w:rsidRPr="003D1E07">
        <w:instrText xml:space="preserve">" </w:instrText>
      </w:r>
      <w:r w:rsidR="00266138" w:rsidRPr="003D1E07">
        <w:rPr>
          <w:i/>
        </w:rPr>
        <w:fldChar w:fldCharType="end"/>
      </w:r>
      <w:r w:rsidR="00266138" w:rsidRPr="003D1E07">
        <w:t xml:space="preserve"> známou od byzantského myslitele Jana Filopona</w:t>
      </w:r>
      <w:r w:rsidR="00266138" w:rsidRPr="003D1E07">
        <w:rPr>
          <w:szCs w:val="15"/>
        </w:rPr>
        <w:fldChar w:fldCharType="begin"/>
      </w:r>
      <w:r w:rsidR="00266138" w:rsidRPr="003D1E07">
        <w:instrText xml:space="preserve"> XE "Filoponus" </w:instrText>
      </w:r>
      <w:r w:rsidR="00266138" w:rsidRPr="003D1E07">
        <w:rPr>
          <w:szCs w:val="15"/>
        </w:rPr>
        <w:fldChar w:fldCharType="end"/>
      </w:r>
      <w:r w:rsidR="00CF2B71" w:rsidRPr="003D1E07">
        <w:rPr>
          <w:szCs w:val="15"/>
        </w:rPr>
        <w:t xml:space="preserve">. Alfarabi </w:t>
      </w:r>
      <w:r w:rsidR="08EA1A5C" w:rsidRPr="003D1E07">
        <w:rPr>
          <w:szCs w:val="15"/>
        </w:rPr>
        <w:t>u</w:t>
      </w:r>
      <w:r w:rsidR="00EA1CA6" w:rsidRPr="003D1E07">
        <w:t xml:space="preserve">pravil </w:t>
      </w:r>
      <w:r w:rsidR="00104B27" w:rsidRPr="003D1E07">
        <w:t xml:space="preserve">kategoriální </w:t>
      </w:r>
      <w:r w:rsidR="0052062B" w:rsidRPr="003D1E07">
        <w:t xml:space="preserve">predikaci </w:t>
      </w:r>
      <w:r w:rsidR="00666DA8" w:rsidRPr="003D1E07">
        <w:t>vzhled</w:t>
      </w:r>
      <w:r w:rsidR="00FE75C3" w:rsidRPr="003D1E07">
        <w:t>e</w:t>
      </w:r>
      <w:r w:rsidR="00666DA8" w:rsidRPr="003D1E07">
        <w:t>m</w:t>
      </w:r>
      <w:r w:rsidR="00FE75C3" w:rsidRPr="003D1E07">
        <w:t xml:space="preserve"> k </w:t>
      </w:r>
      <w:r w:rsidR="08EA1A5C" w:rsidRPr="003D1E07">
        <w:t>primátu první substance.</w:t>
      </w:r>
      <w:r w:rsidR="00FE75C3" w:rsidRPr="003D1E07">
        <w:t xml:space="preserve"> </w:t>
      </w:r>
      <w:r w:rsidR="00666DA8" w:rsidRPr="003D1E07">
        <w:t>Zaměření na aktuální substanci podložené komentářem hlavních pasáží z</w:t>
      </w:r>
      <w:r w:rsidR="00CF2B71" w:rsidRPr="003D1E07">
        <w:t xml:space="preserve"> Aristotelova korpusu </w:t>
      </w:r>
      <w:r w:rsidR="00666DA8" w:rsidRPr="003D1E07">
        <w:t xml:space="preserve">tvoří základ Abunaserovy filosofie. </w:t>
      </w:r>
      <w:r w:rsidR="00F66E3B" w:rsidRPr="003D1E07">
        <w:t xml:space="preserve">Jeho </w:t>
      </w:r>
      <w:r w:rsidR="00666DA8" w:rsidRPr="003D1E07">
        <w:t>anti-</w:t>
      </w:r>
      <w:r w:rsidR="08F50DFA" w:rsidRPr="003D1E07">
        <w:t>p</w:t>
      </w:r>
      <w:r w:rsidR="00210CD1" w:rsidRPr="003D1E07">
        <w:t>latonské</w:t>
      </w:r>
      <w:r w:rsidR="00666DA8" w:rsidRPr="003D1E07">
        <w:t xml:space="preserve"> zaměření potvrzuje rozbor </w:t>
      </w:r>
      <w:r w:rsidR="00666DA8" w:rsidRPr="003D1E07">
        <w:rPr>
          <w:i/>
        </w:rPr>
        <w:t>Met</w:t>
      </w:r>
      <w:r w:rsidR="00666DA8" w:rsidRPr="003D1E07">
        <w:t xml:space="preserve">. IV.7 a </w:t>
      </w:r>
      <w:r w:rsidR="00666DA8" w:rsidRPr="003D1E07">
        <w:rPr>
          <w:i/>
        </w:rPr>
        <w:t>Anal. Post</w:t>
      </w:r>
      <w:r w:rsidR="00666DA8" w:rsidRPr="003D1E07">
        <w:t xml:space="preserve">. II v díle </w:t>
      </w:r>
      <w:r w:rsidR="00666DA8" w:rsidRPr="003D1E07">
        <w:rPr>
          <w:rStyle w:val="Zvraznn"/>
        </w:rPr>
        <w:t>Kit</w:t>
      </w:r>
      <w:r w:rsidR="00666DA8" w:rsidRPr="003D1E07">
        <w:rPr>
          <w:rStyle w:val="TextpoznpodarouChar"/>
          <w:i/>
        </w:rPr>
        <w:t>āb</w:t>
      </w:r>
      <w:r w:rsidR="08880663" w:rsidRPr="003D1E07">
        <w:rPr>
          <w:rStyle w:val="Zvraznn"/>
        </w:rPr>
        <w:t xml:space="preserve"> a</w:t>
      </w:r>
      <w:r w:rsidR="00666DA8" w:rsidRPr="003D1E07">
        <w:rPr>
          <w:rStyle w:val="Zvraznn"/>
        </w:rPr>
        <w:t>l-Ḥurūf</w:t>
      </w:r>
      <w:r w:rsidR="00666DA8" w:rsidRPr="003D1E07">
        <w:rPr>
          <w:rStyle w:val="Zvraznn"/>
          <w:i w:val="0"/>
        </w:rPr>
        <w:t xml:space="preserve"> (Menn 2008, 91). </w:t>
      </w:r>
      <w:r w:rsidR="00FE75C3" w:rsidRPr="003D1E07">
        <w:t xml:space="preserve">Druhý mistr </w:t>
      </w:r>
      <w:r w:rsidR="00F66E3B" w:rsidRPr="003D1E07">
        <w:t xml:space="preserve">použil </w:t>
      </w:r>
      <w:r w:rsidR="00FE75C3" w:rsidRPr="003D1E07">
        <w:t>o</w:t>
      </w:r>
      <w:r w:rsidR="00EA1CA6" w:rsidRPr="003D1E07">
        <w:t>dlišn</w:t>
      </w:r>
      <w:r w:rsidR="00FE75C3" w:rsidRPr="003D1E07">
        <w:t xml:space="preserve">é </w:t>
      </w:r>
      <w:r w:rsidR="00EA1CA6" w:rsidRPr="003D1E07">
        <w:t xml:space="preserve">postavení predikace </w:t>
      </w:r>
      <w:r w:rsidR="00EA1CA6" w:rsidRPr="003D1E07">
        <w:rPr>
          <w:i/>
        </w:rPr>
        <w:t>per prius</w:t>
      </w:r>
      <w:r w:rsidR="00EA1CA6" w:rsidRPr="003D1E07">
        <w:t xml:space="preserve"> a </w:t>
      </w:r>
      <w:r w:rsidR="00EA1CA6" w:rsidRPr="003D1E07">
        <w:rPr>
          <w:i/>
        </w:rPr>
        <w:t>per posterius</w:t>
      </w:r>
      <w:r w:rsidR="00EA1CA6" w:rsidRPr="003D1E07">
        <w:t xml:space="preserve"> </w:t>
      </w:r>
      <w:r w:rsidR="00EF564D" w:rsidRPr="003D1E07">
        <w:t xml:space="preserve">v modu </w:t>
      </w:r>
      <w:r w:rsidR="00024621" w:rsidRPr="003D1E07">
        <w:t xml:space="preserve">hyparchické </w:t>
      </w:r>
      <w:r w:rsidR="00EF564D" w:rsidRPr="003D1E07">
        <w:t>impozice</w:t>
      </w:r>
      <w:r w:rsidR="00C008D4" w:rsidRPr="003D1E07">
        <w:fldChar w:fldCharType="begin"/>
      </w:r>
      <w:r w:rsidR="00C008D4" w:rsidRPr="003D1E07">
        <w:instrText xml:space="preserve"> XE "impozice:Al-</w:instrText>
      </w:r>
      <w:r w:rsidR="008E02F5" w:rsidRPr="003D1E07">
        <w:instrText>Fárábí</w:instrText>
      </w:r>
      <w:r w:rsidR="00C008D4" w:rsidRPr="003D1E07">
        <w:instrText xml:space="preserve">" </w:instrText>
      </w:r>
      <w:r w:rsidR="00C008D4" w:rsidRPr="003D1E07">
        <w:fldChar w:fldCharType="end"/>
      </w:r>
      <w:r w:rsidR="00EF564D" w:rsidRPr="003D1E07">
        <w:t xml:space="preserve"> a </w:t>
      </w:r>
      <w:r w:rsidR="00024621" w:rsidRPr="003D1E07">
        <w:t xml:space="preserve">univerzální </w:t>
      </w:r>
      <w:r w:rsidR="00EF564D" w:rsidRPr="003D1E07">
        <w:t>supozice</w:t>
      </w:r>
      <w:r w:rsidR="00F66E3B" w:rsidRPr="003D1E07">
        <w:t xml:space="preserve">, k tomu aby spojil </w:t>
      </w:r>
      <w:r w:rsidR="00EA1CA6" w:rsidRPr="003D1E07">
        <w:t xml:space="preserve">aristotelské a </w:t>
      </w:r>
      <w:r w:rsidR="00874074" w:rsidRPr="003D1E07">
        <w:t>neoplatonsk</w:t>
      </w:r>
      <w:r w:rsidR="00EA1CA6" w:rsidRPr="003D1E07">
        <w:t xml:space="preserve">é </w:t>
      </w:r>
      <w:r w:rsidR="000B5F42" w:rsidRPr="003D1E07">
        <w:t>určení substance</w:t>
      </w:r>
      <w:r w:rsidR="00C27C39" w:rsidRPr="003D1E07">
        <w:t xml:space="preserve">. </w:t>
      </w:r>
      <w:r w:rsidR="00464C07" w:rsidRPr="003D1E07">
        <w:t xml:space="preserve">To je geniální výkon srovnatelný v myšlením Porfýria a Boethia. </w:t>
      </w:r>
      <w:r w:rsidR="00C27C39" w:rsidRPr="003D1E07">
        <w:t xml:space="preserve">Metafyzické pojetí pravdy řídí predikace </w:t>
      </w:r>
      <w:r w:rsidR="00C27C39" w:rsidRPr="003D1E07">
        <w:rPr>
          <w:i/>
        </w:rPr>
        <w:lastRenderedPageBreak/>
        <w:t>per prius</w:t>
      </w:r>
      <w:r w:rsidR="00C27C39" w:rsidRPr="003D1E07">
        <w:t xml:space="preserve"> daná od reálné první substance až k nehybnému Hybateli. Pokud se ovšem podíváme na svět okem my</w:t>
      </w:r>
      <w:r w:rsidR="00AB0D70" w:rsidRPr="003D1E07">
        <w:t>stického ilumináta, pak neoplato</w:t>
      </w:r>
      <w:r w:rsidR="00C27C39" w:rsidRPr="003D1E07">
        <w:t xml:space="preserve">nsky predikujeme sestupný nebo vzestupný řád forem daných v </w:t>
      </w:r>
      <w:r w:rsidR="08946601" w:rsidRPr="003D1E07">
        <w:t xml:space="preserve">kategoriálním </w:t>
      </w:r>
      <w:r w:rsidR="00C27C39" w:rsidRPr="003D1E07">
        <w:t xml:space="preserve">modu </w:t>
      </w:r>
      <w:r w:rsidR="08946601" w:rsidRPr="003D1E07">
        <w:t>Aristotelovy predikace platné pro univerzální významy</w:t>
      </w:r>
      <w:r w:rsidR="08767CF0" w:rsidRPr="003D1E07">
        <w:t xml:space="preserve"> (</w:t>
      </w:r>
      <w:r w:rsidR="08767CF0" w:rsidRPr="003D1E07">
        <w:rPr>
          <w:i/>
        </w:rPr>
        <w:t>Cat</w:t>
      </w:r>
      <w:r w:rsidR="08767CF0" w:rsidRPr="003D1E07">
        <w:t>. 2a15–16</w:t>
      </w:r>
      <w:r w:rsidR="08C74A11" w:rsidRPr="003D1E07">
        <w:fldChar w:fldCharType="begin"/>
      </w:r>
      <w:r w:rsidR="08C74A11" w:rsidRPr="003D1E07">
        <w:instrText xml:space="preserve"> XE "Aristoteles:</w:instrText>
      </w:r>
      <w:r w:rsidR="08C74A11" w:rsidRPr="003D1E07">
        <w:rPr>
          <w:i/>
        </w:rPr>
        <w:instrText>Cat</w:instrText>
      </w:r>
      <w:r w:rsidR="08C74A11" w:rsidRPr="003D1E07">
        <w:instrText xml:space="preserve">. 2a15–16" </w:instrText>
      </w:r>
      <w:r w:rsidR="08C74A11" w:rsidRPr="003D1E07">
        <w:fldChar w:fldCharType="end"/>
      </w:r>
      <w:r w:rsidR="08767CF0" w:rsidRPr="003D1E07">
        <w:t>)</w:t>
      </w:r>
      <w:r w:rsidR="00C27C39" w:rsidRPr="003D1E07">
        <w:t xml:space="preserve">. </w:t>
      </w:r>
      <w:r w:rsidR="08767CF0" w:rsidRPr="003D1E07">
        <w:t xml:space="preserve">Pak platí, že neoplatonsky definované nejvyšší rody jsoucna do sebe zahrnují i eideticky poznané univerzální významy a pravdivost. Ale do </w:t>
      </w:r>
      <w:r w:rsidR="081F6820" w:rsidRPr="003D1E07">
        <w:t xml:space="preserve">neoplatonské </w:t>
      </w:r>
      <w:r w:rsidR="08767CF0" w:rsidRPr="003D1E07">
        <w:t>supozice</w:t>
      </w:r>
      <w:r w:rsidR="08C74A11" w:rsidRPr="003D1E07">
        <w:fldChar w:fldCharType="begin"/>
      </w:r>
      <w:r w:rsidR="08C74A11" w:rsidRPr="003D1E07">
        <w:instrText xml:space="preserve"> XE "supozice:Al-Fárábí" </w:instrText>
      </w:r>
      <w:r w:rsidR="08C74A11" w:rsidRPr="003D1E07">
        <w:fldChar w:fldCharType="end"/>
      </w:r>
      <w:r w:rsidR="08767CF0" w:rsidRPr="003D1E07">
        <w:t xml:space="preserve"> určující pořadí </w:t>
      </w:r>
      <w:r w:rsidR="08FE1009" w:rsidRPr="003D1E07">
        <w:t xml:space="preserve">kategoriální </w:t>
      </w:r>
      <w:r w:rsidR="08767CF0" w:rsidRPr="003D1E07">
        <w:t xml:space="preserve">predikace </w:t>
      </w:r>
      <w:r w:rsidR="08FE1009" w:rsidRPr="003D1E07">
        <w:t xml:space="preserve">od obecných významů </w:t>
      </w:r>
      <w:r w:rsidR="08767CF0" w:rsidRPr="003D1E07">
        <w:t xml:space="preserve">není dosazena aktuální první substance, ale potenciální univerzální význam daný pouze v mysli. </w:t>
      </w:r>
      <w:r w:rsidR="00532015" w:rsidRPr="003D1E07">
        <w:t>Řád reality a ř</w:t>
      </w:r>
      <w:r w:rsidR="08B963FC" w:rsidRPr="003D1E07">
        <w:t>ád predikace je ve filosofii Al-</w:t>
      </w:r>
      <w:r w:rsidR="00532015" w:rsidRPr="003D1E07">
        <w:t>F</w:t>
      </w:r>
      <w:r w:rsidR="00AB0D70" w:rsidRPr="003D1E07">
        <w:t>á</w:t>
      </w:r>
      <w:r w:rsidR="00532015" w:rsidRPr="003D1E07">
        <w:t xml:space="preserve">rábího jasně odlišen, což zrušil neoplatonik Avicenna a obnovil aristotelik </w:t>
      </w:r>
      <w:r w:rsidR="002E3B62" w:rsidRPr="003D1E07">
        <w:t>Averroes</w:t>
      </w:r>
      <w:r w:rsidR="00532015" w:rsidRPr="003D1E07">
        <w:t xml:space="preserve">. Oba filosofové se považovali za autentické žáky Druhého mistra. </w:t>
      </w:r>
      <w:r w:rsidR="00666DA8" w:rsidRPr="003D1E07">
        <w:t xml:space="preserve">Tuto </w:t>
      </w:r>
      <w:r w:rsidR="00AB0D70" w:rsidRPr="003D1E07">
        <w:t>gigantomachii Avicenny a Averroese o dědictví Al-Fá</w:t>
      </w:r>
      <w:r w:rsidR="00666DA8" w:rsidRPr="003D1E07">
        <w:t>rábího metafyziky převezme latinská scholastika.</w:t>
      </w:r>
    </w:p>
    <w:p w14:paraId="13CF7D12" w14:textId="3436E2EC" w:rsidR="00F5353A" w:rsidRPr="003D1E07" w:rsidRDefault="00666DA8" w:rsidP="0059005B">
      <w:pPr>
        <w:ind w:firstLine="397"/>
        <w:rPr>
          <w:lang w:eastAsia="en-US"/>
        </w:rPr>
      </w:pPr>
      <w:r w:rsidRPr="003D1E07">
        <w:rPr>
          <w:rStyle w:val="Zvraznn"/>
          <w:i w:val="0"/>
        </w:rPr>
        <w:t xml:space="preserve">Nasvícení od první substance má zásadní charakter, který ukazuje na </w:t>
      </w:r>
      <w:r w:rsidR="001D53D0">
        <w:rPr>
          <w:rStyle w:val="Zvraznn"/>
          <w:i w:val="0"/>
        </w:rPr>
        <w:t>budoucí interpretaci metafyziky, která se začala ubírat dvěma nesmiřitelnými</w:t>
      </w:r>
      <w:r w:rsidRPr="003D1E07">
        <w:rPr>
          <w:rStyle w:val="Zvraznn"/>
          <w:i w:val="0"/>
        </w:rPr>
        <w:t xml:space="preserve"> směry.</w:t>
      </w:r>
      <w:r w:rsidRPr="003D1E07">
        <w:rPr>
          <w:rStyle w:val="Znakapoznpodarou"/>
          <w:iCs/>
        </w:rPr>
        <w:footnoteReference w:id="79"/>
      </w:r>
      <w:r w:rsidRPr="003D1E07">
        <w:t xml:space="preserve"> </w:t>
      </w:r>
      <w:r w:rsidR="00844821" w:rsidRPr="003D1E07">
        <w:t>Al-Fá</w:t>
      </w:r>
      <w:r w:rsidR="00C54957" w:rsidRPr="003D1E07">
        <w:t xml:space="preserve">rábí </w:t>
      </w:r>
      <w:r w:rsidR="08B13E19" w:rsidRPr="003D1E07">
        <w:t xml:space="preserve">zavedl </w:t>
      </w:r>
      <w:r w:rsidR="08316E10" w:rsidRPr="003D1E07">
        <w:t xml:space="preserve">ve falsafě </w:t>
      </w:r>
      <w:r w:rsidR="00C54957" w:rsidRPr="003D1E07">
        <w:t xml:space="preserve">novou dráhu předchůdného náhledu </w:t>
      </w:r>
      <w:r w:rsidR="006B65A3" w:rsidRPr="003D1E07">
        <w:t>(</w:t>
      </w:r>
      <w:r w:rsidR="00020266" w:rsidRPr="003D1E07">
        <w:rPr>
          <w:i/>
        </w:rPr>
        <w:t>Vor</w:t>
      </w:r>
      <w:r w:rsidR="00020266" w:rsidRPr="003D1E07">
        <w:rPr>
          <w:i/>
        </w:rPr>
        <w:noBreakHyphen/>
      </w:r>
      <w:r w:rsidR="006B65A3" w:rsidRPr="003D1E07">
        <w:rPr>
          <w:i/>
        </w:rPr>
        <w:t>blickbahn</w:t>
      </w:r>
      <w:r w:rsidR="006B28CF" w:rsidRPr="003D1E07">
        <w:rPr>
          <w:i/>
        </w:rPr>
        <w:fldChar w:fldCharType="begin"/>
      </w:r>
      <w:r w:rsidR="006B28CF" w:rsidRPr="003D1E07">
        <w:instrText xml:space="preserve"> XE "</w:instrText>
      </w:r>
      <w:r w:rsidR="08106DC9" w:rsidRPr="003D1E07">
        <w:rPr>
          <w:i/>
        </w:rPr>
        <w:instrText>Vor-</w:instrText>
      </w:r>
      <w:r w:rsidR="006B28CF" w:rsidRPr="003D1E07">
        <w:rPr>
          <w:i/>
        </w:rPr>
        <w:instrText>b</w:instrText>
      </w:r>
      <w:r w:rsidR="006B28CF" w:rsidRPr="003D1E07">
        <w:rPr>
          <w:i/>
          <w:iCs/>
        </w:rPr>
        <w:instrText>lickbahn</w:instrText>
      </w:r>
      <w:r w:rsidR="006B28CF" w:rsidRPr="003D1E07">
        <w:rPr>
          <w:iCs/>
        </w:rPr>
        <w:instrText>:Al-</w:instrText>
      </w:r>
      <w:r w:rsidR="008E02F5" w:rsidRPr="003D1E07">
        <w:rPr>
          <w:iCs/>
        </w:rPr>
        <w:instrText>Fárábí</w:instrText>
      </w:r>
      <w:r w:rsidR="006B28CF" w:rsidRPr="003D1E07">
        <w:instrText xml:space="preserve">" </w:instrText>
      </w:r>
      <w:r w:rsidR="006B28CF" w:rsidRPr="003D1E07">
        <w:rPr>
          <w:i/>
        </w:rPr>
        <w:fldChar w:fldCharType="end"/>
      </w:r>
      <w:r w:rsidR="006B65A3" w:rsidRPr="003D1E07">
        <w:t>)</w:t>
      </w:r>
      <w:r w:rsidR="00684FE7" w:rsidRPr="003D1E07">
        <w:t>. Dvojí vztah ke smyslu jsoucna (</w:t>
      </w:r>
      <w:r w:rsidR="00684FE7" w:rsidRPr="003D1E07">
        <w:rPr>
          <w:i/>
        </w:rPr>
        <w:t>Bezugssinn</w:t>
      </w:r>
      <w:r w:rsidR="00684FE7" w:rsidRPr="003D1E07">
        <w:rPr>
          <w:i/>
        </w:rPr>
        <w:fldChar w:fldCharType="begin"/>
      </w:r>
      <w:r w:rsidR="00684FE7" w:rsidRPr="003D1E07">
        <w:instrText xml:space="preserve"> XE "</w:instrText>
      </w:r>
      <w:r w:rsidR="00684FE7" w:rsidRPr="003D1E07">
        <w:rPr>
          <w:i/>
        </w:rPr>
        <w:instrText>Bezugssinn</w:instrText>
      </w:r>
      <w:r w:rsidR="00684FE7" w:rsidRPr="003D1E07">
        <w:instrText xml:space="preserve">" </w:instrText>
      </w:r>
      <w:r w:rsidR="00684FE7" w:rsidRPr="003D1E07">
        <w:rPr>
          <w:i/>
        </w:rPr>
        <w:fldChar w:fldCharType="end"/>
      </w:r>
      <w:r w:rsidR="00684FE7" w:rsidRPr="003D1E07">
        <w:t>)</w:t>
      </w:r>
      <w:r w:rsidR="006B65A3" w:rsidRPr="003D1E07">
        <w:t xml:space="preserve"> </w:t>
      </w:r>
      <w:r w:rsidR="00684FE7" w:rsidRPr="003D1E07">
        <w:t>určuje</w:t>
      </w:r>
      <w:r w:rsidR="003A12F5" w:rsidRPr="003D1E07">
        <w:t xml:space="preserve"> základní hermeneutický způsob, „j</w:t>
      </w:r>
      <w:r w:rsidR="00C54957" w:rsidRPr="003D1E07">
        <w:t xml:space="preserve">ak“ </w:t>
      </w:r>
      <w:r w:rsidR="08B13E19" w:rsidRPr="003D1E07">
        <w:t>(</w:t>
      </w:r>
      <w:r w:rsidR="08B13E19" w:rsidRPr="003D1E07">
        <w:rPr>
          <w:i/>
        </w:rPr>
        <w:t>Wie</w:t>
      </w:r>
      <w:r w:rsidR="08B13E19" w:rsidRPr="003D1E07">
        <w:t>)</w:t>
      </w:r>
      <w:r w:rsidR="08D7530C" w:rsidRPr="003D1E07">
        <w:t xml:space="preserve"> </w:t>
      </w:r>
      <w:r w:rsidR="00565E87" w:rsidRPr="003D1E07">
        <w:t xml:space="preserve">vzniká </w:t>
      </w:r>
      <w:r w:rsidR="00C54957" w:rsidRPr="003D1E07">
        <w:t>n</w:t>
      </w:r>
      <w:r w:rsidR="00A07AB5" w:rsidRPr="003D1E07">
        <w:t xml:space="preserve">áhled na celek </w:t>
      </w:r>
      <w:r w:rsidR="00565E87" w:rsidRPr="003D1E07">
        <w:t>jsoucna</w:t>
      </w:r>
      <w:r w:rsidR="00D27DCB" w:rsidRPr="003D1E07">
        <w:t xml:space="preserve"> (kap. 1)</w:t>
      </w:r>
      <w:r w:rsidR="00C54957" w:rsidRPr="003D1E07">
        <w:t xml:space="preserve">. </w:t>
      </w:r>
      <w:r w:rsidR="08316E10" w:rsidRPr="003D1E07">
        <w:t xml:space="preserve">Bytí substance dostává smysl z hlediska </w:t>
      </w:r>
      <w:r w:rsidR="001D53D0">
        <w:t xml:space="preserve">kategoriálního </w:t>
      </w:r>
      <w:r w:rsidR="08316E10" w:rsidRPr="003D1E07">
        <w:t xml:space="preserve">určení </w:t>
      </w:r>
      <w:r w:rsidR="08316E10" w:rsidRPr="003D1E07">
        <w:rPr>
          <w:i/>
        </w:rPr>
        <w:t>per prius</w:t>
      </w:r>
      <w:r w:rsidR="08316E10" w:rsidRPr="003D1E07">
        <w:t xml:space="preserve"> daného dvojím způsobem: aristotelsky-subst</w:t>
      </w:r>
      <w:r w:rsidR="00844821" w:rsidRPr="003D1E07">
        <w:t>anciálně a neoplato</w:t>
      </w:r>
      <w:r w:rsidR="08316E10" w:rsidRPr="003D1E07">
        <w:t>nsky-formálně. Ob</w:t>
      </w:r>
      <w:r w:rsidR="08B963FC" w:rsidRPr="003D1E07">
        <w:t>ě formy predikace jsou pro Al-</w:t>
      </w:r>
      <w:r w:rsidR="00844821" w:rsidRPr="003D1E07">
        <w:t>Fá</w:t>
      </w:r>
      <w:r w:rsidR="08316E10" w:rsidRPr="003D1E07">
        <w:t>rábího rovn</w:t>
      </w:r>
      <w:r w:rsidR="005D582D" w:rsidRPr="003D1E07">
        <w:t xml:space="preserve">ocenné </w:t>
      </w:r>
      <w:r w:rsidR="08316E10" w:rsidRPr="003D1E07">
        <w:t>vzh</w:t>
      </w:r>
      <w:r w:rsidR="0081397A" w:rsidRPr="003D1E07">
        <w:t>ledem k</w:t>
      </w:r>
      <w:r w:rsidR="00D8059E" w:rsidRPr="003D1E07">
        <w:t xml:space="preserve">e dvojímu </w:t>
      </w:r>
      <w:r w:rsidR="0081397A" w:rsidRPr="003D1E07">
        <w:t>určení pravdy</w:t>
      </w:r>
      <w:r w:rsidR="00D8059E" w:rsidRPr="003D1E07">
        <w:t xml:space="preserve"> daného v </w:t>
      </w:r>
      <w:r w:rsidR="00D8059E" w:rsidRPr="003D1E07">
        <w:rPr>
          <w:i/>
        </w:rPr>
        <w:t>Metafyzice</w:t>
      </w:r>
      <w:r w:rsidR="00D8059E" w:rsidRPr="003D1E07">
        <w:t xml:space="preserve"> </w:t>
      </w:r>
      <w:r w:rsidR="00D8059E" w:rsidRPr="003D1E07">
        <w:rPr>
          <w:lang w:eastAsia="en-US"/>
        </w:rPr>
        <w:t>VI.2</w:t>
      </w:r>
      <w:r w:rsidR="00A72087" w:rsidRPr="003D1E07">
        <w:t xml:space="preserve">. </w:t>
      </w:r>
      <w:r w:rsidR="005D582D" w:rsidRPr="003D1E07">
        <w:t xml:space="preserve">Ale v žádném případě nejsou ani totožné, ani zaměnitelné, dokonce ani v modu nějaké analogie. </w:t>
      </w:r>
      <w:r w:rsidR="00A72087" w:rsidRPr="003D1E07">
        <w:t>O</w:t>
      </w:r>
      <w:r w:rsidR="08316E10" w:rsidRPr="003D1E07">
        <w:t>bo</w:t>
      </w:r>
      <w:r w:rsidR="00B570F8" w:rsidRPr="003D1E07">
        <w:t>jí pojetí pravdivosti legitimují spisy</w:t>
      </w:r>
      <w:r w:rsidR="08316E10" w:rsidRPr="003D1E07">
        <w:t xml:space="preserve"> </w:t>
      </w:r>
      <w:r w:rsidR="08316E10" w:rsidRPr="003D1E07">
        <w:rPr>
          <w:i/>
        </w:rPr>
        <w:t>Metafyzika</w:t>
      </w:r>
      <w:r w:rsidR="00A72087" w:rsidRPr="003D1E07">
        <w:t xml:space="preserve"> a </w:t>
      </w:r>
      <w:r w:rsidR="00A72087" w:rsidRPr="003D1E07">
        <w:rPr>
          <w:i/>
        </w:rPr>
        <w:t>Kategorie</w:t>
      </w:r>
      <w:r w:rsidR="00D17AB1" w:rsidRPr="003D1E07">
        <w:t>, ale pokaždé v jiném řádu myšlení</w:t>
      </w:r>
      <w:r w:rsidR="00A72087" w:rsidRPr="003D1E07">
        <w:t xml:space="preserve"> </w:t>
      </w:r>
      <w:r w:rsidR="00907CA4" w:rsidRPr="003D1E07">
        <w:t>determinovaném buď kauzalitou reálné věci nebo obecnou signifikací druhé substance.</w:t>
      </w:r>
      <w:r w:rsidR="0043754A" w:rsidRPr="003D1E07">
        <w:t xml:space="preserve"> </w:t>
      </w:r>
      <w:r w:rsidR="00631A1A" w:rsidRPr="003D1E07">
        <w:t>Modus impozice a sup</w:t>
      </w:r>
      <w:r w:rsidR="00F47568" w:rsidRPr="003D1E07">
        <w:t>o</w:t>
      </w:r>
      <w:r w:rsidR="00631A1A" w:rsidRPr="003D1E07">
        <w:t xml:space="preserve">zice vytváří tu či onu formu predikace </w:t>
      </w:r>
      <w:r w:rsidR="00631A1A" w:rsidRPr="003D1E07">
        <w:rPr>
          <w:i/>
        </w:rPr>
        <w:t>per prius</w:t>
      </w:r>
      <w:r w:rsidR="00631A1A" w:rsidRPr="003D1E07">
        <w:t xml:space="preserve"> a </w:t>
      </w:r>
      <w:r w:rsidR="00631A1A" w:rsidRPr="003D1E07">
        <w:rPr>
          <w:i/>
        </w:rPr>
        <w:t>per posterius</w:t>
      </w:r>
      <w:r w:rsidR="08EA6507" w:rsidRPr="003D1E07">
        <w:t xml:space="preserve">. </w:t>
      </w:r>
      <w:r w:rsidR="08EF2296" w:rsidRPr="003D1E07">
        <w:t xml:space="preserve">Následovníci Druhého mistra postupovali stejně rozporuplně jako následovníci Porfyria, kteří nepochopili přesná rozlišení </w:t>
      </w:r>
      <w:r w:rsidR="08735579" w:rsidRPr="003D1E07">
        <w:t>jeho vý</w:t>
      </w:r>
      <w:r w:rsidR="08EF2296" w:rsidRPr="003D1E07">
        <w:t xml:space="preserve">kladu </w:t>
      </w:r>
      <w:r w:rsidR="08EF2296" w:rsidRPr="003D1E07">
        <w:rPr>
          <w:i/>
        </w:rPr>
        <w:t>Kategorií</w:t>
      </w:r>
      <w:r w:rsidR="08EF2296" w:rsidRPr="003D1E07">
        <w:t xml:space="preserve">. </w:t>
      </w:r>
      <w:r w:rsidR="08872BB9" w:rsidRPr="003D1E07">
        <w:t xml:space="preserve">V prostředí perské falsafy </w:t>
      </w:r>
      <w:r w:rsidR="08B963FC" w:rsidRPr="003D1E07">
        <w:t>formované školou Al-</w:t>
      </w:r>
      <w:r w:rsidR="08872BB9" w:rsidRPr="003D1E07">
        <w:t>Fárábího vznikla nová ambivalence substance</w:t>
      </w:r>
      <w:r w:rsidR="08872BB9" w:rsidRPr="003D1E07">
        <w:fldChar w:fldCharType="begin"/>
      </w:r>
      <w:r w:rsidR="08872BB9" w:rsidRPr="003D1E07">
        <w:instrText xml:space="preserve"> XE "substance:třetího druhu" </w:instrText>
      </w:r>
      <w:r w:rsidR="08872BB9" w:rsidRPr="003D1E07">
        <w:fldChar w:fldCharType="end"/>
      </w:r>
      <w:r w:rsidR="08872BB9" w:rsidRPr="003D1E07">
        <w:t xml:space="preserve">, kterou završí Avicennův model metafyziky směrem k neoplatonismu a Averroes směrem k aristotelismu. </w:t>
      </w:r>
      <w:r w:rsidR="08EA6507" w:rsidRPr="003D1E07">
        <w:t xml:space="preserve">Avicenna vzal univerzální pojetí predikace v modu </w:t>
      </w:r>
      <w:r w:rsidR="08EA6507" w:rsidRPr="003D1E07">
        <w:rPr>
          <w:i/>
        </w:rPr>
        <w:t>per prius</w:t>
      </w:r>
      <w:r w:rsidR="08EA6507" w:rsidRPr="003D1E07">
        <w:t xml:space="preserve"> a po vzoru </w:t>
      </w:r>
      <w:r w:rsidR="08EA6507" w:rsidRPr="003D1E07">
        <w:lastRenderedPageBreak/>
        <w:t xml:space="preserve">neoplatonismu zrušil oddělený charakter první substance. Avicenna, latinský avicennismus a pozdější objektivita vytvořila nový model Jamblichovy analogie spojující první a druhou substanci do nového jsoucna třetího druhu. Na latinském Západě vytvořil tento synkretismus pravdy a hyparchického postavení první substance nový směr, pro něž volíme termín „druhý averroismus“. Druhý směr scholastiky inspirovaný Averroesem definuje pravdivost jako vztah podobnosti univerzálního myšlení vzhledem k individuální první substanci. První substance je pravdivá až v modu lidského poznání, protože </w:t>
      </w:r>
      <w:r w:rsidR="00DD774B" w:rsidRPr="003D1E07">
        <w:t xml:space="preserve">to sice </w:t>
      </w:r>
      <w:r w:rsidR="08EA6507" w:rsidRPr="003D1E07">
        <w:t xml:space="preserve">existuje </w:t>
      </w:r>
      <w:r w:rsidR="08EA6507" w:rsidRPr="003D1E07">
        <w:rPr>
          <w:i/>
        </w:rPr>
        <w:t>simpliciter</w:t>
      </w:r>
      <w:r w:rsidR="00CD3A7B">
        <w:rPr>
          <w:i/>
        </w:rPr>
        <w:t xml:space="preserve"> </w:t>
      </w:r>
      <w:r w:rsidR="00CD3A7B">
        <w:t>v mysli</w:t>
      </w:r>
      <w:r w:rsidR="00DD774B" w:rsidRPr="003D1E07">
        <w:rPr>
          <w:i/>
        </w:rPr>
        <w:t xml:space="preserve">, </w:t>
      </w:r>
      <w:r w:rsidR="00DD774B" w:rsidRPr="003D1E07">
        <w:t>ale ne</w:t>
      </w:r>
      <w:r w:rsidR="00DD774B" w:rsidRPr="003D1E07">
        <w:rPr>
          <w:i/>
        </w:rPr>
        <w:t xml:space="preserve"> </w:t>
      </w:r>
      <w:r w:rsidR="08EA6507" w:rsidRPr="003D1E07">
        <w:rPr>
          <w:i/>
        </w:rPr>
        <w:t>per se</w:t>
      </w:r>
      <w:r w:rsidR="08EA6507" w:rsidRPr="003D1E07">
        <w:rPr>
          <w:szCs w:val="15"/>
        </w:rPr>
        <w:fldChar w:fldCharType="begin"/>
      </w:r>
      <w:r w:rsidR="08EA6507" w:rsidRPr="003D1E07">
        <w:instrText xml:space="preserve"> XE "substance:</w:instrText>
      </w:r>
      <w:r w:rsidR="08EA6507" w:rsidRPr="003D1E07">
        <w:rPr>
          <w:i/>
        </w:rPr>
        <w:instrText>per se</w:instrText>
      </w:r>
      <w:r w:rsidR="08EA6507" w:rsidRPr="003D1E07">
        <w:instrText xml:space="preserve">" </w:instrText>
      </w:r>
      <w:r w:rsidR="08EA6507" w:rsidRPr="003D1E07">
        <w:rPr>
          <w:szCs w:val="15"/>
        </w:rPr>
        <w:fldChar w:fldCharType="end"/>
      </w:r>
      <w:r w:rsidR="00DD774B" w:rsidRPr="003D1E07">
        <w:t xml:space="preserve"> jako první substance</w:t>
      </w:r>
      <w:r w:rsidR="00CD3A7B">
        <w:t xml:space="preserve"> v realitě</w:t>
      </w:r>
      <w:r w:rsidR="00DD774B" w:rsidRPr="003D1E07">
        <w:t xml:space="preserve">. </w:t>
      </w:r>
      <w:r w:rsidR="08EA6507" w:rsidRPr="003D1E07">
        <w:t>Tento směr Abunaserovy filosofie obhájil Averroes proti Avicennovi a na lati</w:t>
      </w:r>
      <w:r w:rsidR="08AD59EC" w:rsidRPr="003D1E07">
        <w:t xml:space="preserve">nském Západě jej </w:t>
      </w:r>
      <w:r w:rsidR="00C65298" w:rsidRPr="003D1E07">
        <w:t xml:space="preserve">aktualizoval </w:t>
      </w:r>
      <w:r w:rsidR="08AD59EC" w:rsidRPr="003D1E07">
        <w:t xml:space="preserve">tzv. </w:t>
      </w:r>
      <w:r w:rsidR="08EA6507" w:rsidRPr="003D1E07">
        <w:t xml:space="preserve">„první averroismus“. </w:t>
      </w:r>
      <w:r w:rsidR="004B34C6" w:rsidRPr="003D1E07">
        <w:t xml:space="preserve">Ambivalence pravdy napojená na dvojí impozici významu </w:t>
      </w:r>
      <w:r w:rsidR="004B34C6" w:rsidRPr="003D1E07">
        <w:rPr>
          <w:i/>
        </w:rPr>
        <w:t>per prius</w:t>
      </w:r>
      <w:r w:rsidR="004B34C6" w:rsidRPr="003D1E07">
        <w:t xml:space="preserve"> a </w:t>
      </w:r>
      <w:r w:rsidR="004B34C6" w:rsidRPr="003D1E07">
        <w:rPr>
          <w:i/>
        </w:rPr>
        <w:t>per posterius</w:t>
      </w:r>
      <w:r w:rsidR="004B34C6" w:rsidRPr="003D1E07">
        <w:t xml:space="preserve"> pro první a pro druhou substanci vytvořila nové </w:t>
      </w:r>
      <w:r w:rsidR="004B34C6" w:rsidRPr="003D1E07">
        <w:rPr>
          <w:i/>
        </w:rPr>
        <w:t>Lichtung</w:t>
      </w:r>
      <w:r w:rsidR="004B34C6" w:rsidRPr="003D1E07">
        <w:t xml:space="preserve"> </w:t>
      </w:r>
      <w:r w:rsidR="004B34C6" w:rsidRPr="003D1E07">
        <w:rPr>
          <w:i/>
        </w:rPr>
        <w:fldChar w:fldCharType="begin"/>
      </w:r>
      <w:r w:rsidR="004B34C6" w:rsidRPr="003D1E07">
        <w:instrText xml:space="preserve"> XE "</w:instrText>
      </w:r>
      <w:r w:rsidR="004B34C6" w:rsidRPr="003D1E07">
        <w:rPr>
          <w:i/>
        </w:rPr>
        <w:instrText>Lichtung</w:instrText>
      </w:r>
      <w:r w:rsidR="004B34C6" w:rsidRPr="003D1E07">
        <w:rPr>
          <w:iCs/>
        </w:rPr>
        <w:instrText>:Al-</w:instrText>
      </w:r>
      <w:r w:rsidR="008E02F5" w:rsidRPr="003D1E07">
        <w:rPr>
          <w:iCs/>
        </w:rPr>
        <w:instrText>Fárábí</w:instrText>
      </w:r>
      <w:r w:rsidR="004B34C6" w:rsidRPr="003D1E07">
        <w:instrText xml:space="preserve">" </w:instrText>
      </w:r>
      <w:r w:rsidR="004B34C6" w:rsidRPr="003D1E07">
        <w:rPr>
          <w:i/>
        </w:rPr>
        <w:fldChar w:fldCharType="end"/>
      </w:r>
      <w:r w:rsidR="004B34C6" w:rsidRPr="003D1E07">
        <w:t xml:space="preserve">pro další směřování západní metafyziky. </w:t>
      </w:r>
      <w:r w:rsidR="00083671" w:rsidRPr="003D1E07">
        <w:t>Aristotelik Averroes</w:t>
      </w:r>
      <w:r w:rsidR="08872BB9" w:rsidRPr="003D1E07">
        <w:t xml:space="preserve"> zásadně nemůže přijmout Avicennovu metafyziku v univočním a sofistickém modu </w:t>
      </w:r>
      <w:r w:rsidR="08872BB9" w:rsidRPr="003D1E07">
        <w:rPr>
          <w:i/>
        </w:rPr>
        <w:t>ens inquantum ens</w:t>
      </w:r>
      <w:r w:rsidR="08872BB9" w:rsidRPr="003D1E07">
        <w:t xml:space="preserve">, protože jí chybí hyparchická predikace </w:t>
      </w:r>
      <w:r w:rsidR="00FF082B">
        <w:t xml:space="preserve">vzhledem </w:t>
      </w:r>
      <w:r w:rsidR="08872BB9" w:rsidRPr="003D1E07">
        <w:t xml:space="preserve">k první substanci. Abstraktní </w:t>
      </w:r>
      <w:r w:rsidR="005746F7">
        <w:t xml:space="preserve">význam </w:t>
      </w:r>
      <w:r w:rsidR="08872BB9" w:rsidRPr="003D1E07">
        <w:t xml:space="preserve">daný v pouze v mysli nemůže založit první vědu vztaženou k jednotě reálného jsoucna. </w:t>
      </w:r>
      <w:r w:rsidR="080533AE" w:rsidRPr="003D1E07">
        <w:t>A</w:t>
      </w:r>
      <w:r w:rsidR="08872BB9" w:rsidRPr="003D1E07">
        <w:t xml:space="preserve">ristotelik Siger </w:t>
      </w:r>
      <w:r w:rsidR="080533AE" w:rsidRPr="003D1E07">
        <w:t xml:space="preserve">z Brabantu </w:t>
      </w:r>
      <w:r w:rsidR="08872BB9" w:rsidRPr="003D1E07">
        <w:t xml:space="preserve">viděl základní omyl avicennistické metafyziky postavené na objektivní abstrakci, protože byl a je nejlepší komentátor Averroese na latinském Západě. </w:t>
      </w:r>
      <w:r w:rsidR="080533AE" w:rsidRPr="003D1E07">
        <w:t>Oba příklady dalšího kola gigantomachie o substanci ukazují, že u</w:t>
      </w:r>
      <w:r w:rsidR="08900970" w:rsidRPr="003D1E07">
        <w:t>rčení substance a celé metafyziky se dostalo na zásadní dějinnou křižovatku hned na samém počátku samostatné západní filosofie, kterou ve falsafě založil Druhý mistr.</w:t>
      </w:r>
    </w:p>
    <w:p w14:paraId="19FDE545" w14:textId="77777777" w:rsidR="008B621F" w:rsidRPr="003D1E07" w:rsidRDefault="00083671" w:rsidP="086C1F19">
      <w:pPr>
        <w:pStyle w:val="Nadpis3"/>
        <w:rPr>
          <w:lang w:val="cs-CZ"/>
        </w:rPr>
      </w:pPr>
      <w:r w:rsidRPr="003D1E07">
        <w:rPr>
          <w:lang w:val="cs-CZ"/>
        </w:rPr>
        <w:br w:type="page"/>
      </w:r>
      <w:bookmarkStart w:id="35" w:name="_Toc93747275"/>
      <w:bookmarkStart w:id="36" w:name="_Toc102906165"/>
      <w:r w:rsidR="008B621F" w:rsidRPr="003D1E07">
        <w:rPr>
          <w:lang w:val="cs-CZ"/>
        </w:rPr>
        <w:lastRenderedPageBreak/>
        <w:t xml:space="preserve">2.1.1 </w:t>
      </w:r>
      <w:r w:rsidR="004770C8" w:rsidRPr="003D1E07">
        <w:rPr>
          <w:lang w:val="cs-CZ"/>
        </w:rPr>
        <w:t xml:space="preserve">Vznik </w:t>
      </w:r>
      <w:r w:rsidR="008B621F" w:rsidRPr="003D1E07">
        <w:rPr>
          <w:lang w:val="cs-CZ"/>
        </w:rPr>
        <w:t xml:space="preserve">nového </w:t>
      </w:r>
      <w:r w:rsidR="00FB350E" w:rsidRPr="003D1E07">
        <w:rPr>
          <w:lang w:val="cs-CZ"/>
        </w:rPr>
        <w:t>vidění světa</w:t>
      </w:r>
      <w:bookmarkEnd w:id="35"/>
      <w:bookmarkEnd w:id="36"/>
    </w:p>
    <w:p w14:paraId="3C5157B7" w14:textId="10502942" w:rsidR="003C395F" w:rsidRPr="003D1E07" w:rsidRDefault="08575781" w:rsidP="003C395F">
      <w:pPr>
        <w:rPr>
          <w:rStyle w:val="TextpoznpodarouChar"/>
        </w:rPr>
      </w:pPr>
      <w:r w:rsidRPr="003D1E07">
        <w:t>Z</w:t>
      </w:r>
      <w:r w:rsidR="0001240C" w:rsidRPr="003D1E07">
        <w:t xml:space="preserve">ásadní rozlišení </w:t>
      </w:r>
      <w:r w:rsidR="007A0AB6" w:rsidRPr="003D1E07">
        <w:t xml:space="preserve">dvojí </w:t>
      </w:r>
      <w:r w:rsidRPr="003D1E07">
        <w:t xml:space="preserve">dráhy metafyzického náhledu </w:t>
      </w:r>
      <w:r w:rsidR="0001240C" w:rsidRPr="003D1E07">
        <w:t xml:space="preserve">později zvané </w:t>
      </w:r>
      <w:r w:rsidR="0001240C" w:rsidRPr="003D1E07">
        <w:rPr>
          <w:i/>
        </w:rPr>
        <w:t>resolutio</w:t>
      </w:r>
      <w:r w:rsidR="0001240C" w:rsidRPr="003D1E07">
        <w:fldChar w:fldCharType="begin"/>
      </w:r>
      <w:r w:rsidR="0001240C" w:rsidRPr="003D1E07">
        <w:instrText xml:space="preserve"> XE "</w:instrText>
      </w:r>
      <w:r w:rsidR="0001240C" w:rsidRPr="003D1E07">
        <w:rPr>
          <w:i/>
        </w:rPr>
        <w:instrText>resolutio</w:instrText>
      </w:r>
      <w:r w:rsidR="0001240C" w:rsidRPr="003D1E07">
        <w:instrText>:Al-</w:instrText>
      </w:r>
      <w:r w:rsidR="008E02F5" w:rsidRPr="003D1E07">
        <w:instrText>Fárábí</w:instrText>
      </w:r>
      <w:r w:rsidR="0001240C" w:rsidRPr="003D1E07">
        <w:instrText xml:space="preserve">" </w:instrText>
      </w:r>
      <w:r w:rsidR="0001240C" w:rsidRPr="003D1E07">
        <w:fldChar w:fldCharType="end"/>
      </w:r>
      <w:r w:rsidR="0001240C" w:rsidRPr="003D1E07">
        <w:t xml:space="preserve"> </w:t>
      </w:r>
      <w:r w:rsidR="007A0AB6" w:rsidRPr="003D1E07">
        <w:t xml:space="preserve">produkovalo </w:t>
      </w:r>
      <w:r w:rsidR="08B651CC" w:rsidRPr="003D1E07">
        <w:t xml:space="preserve">nové </w:t>
      </w:r>
      <w:r w:rsidR="007A0AB6" w:rsidRPr="003D1E07">
        <w:rPr>
          <w:i/>
        </w:rPr>
        <w:t>Lichtung</w:t>
      </w:r>
      <w:r w:rsidR="007A0AB6" w:rsidRPr="003D1E07">
        <w:t xml:space="preserve"> </w:t>
      </w:r>
      <w:r w:rsidRPr="003D1E07">
        <w:t xml:space="preserve">pravdy a nepravdy </w:t>
      </w:r>
      <w:r w:rsidR="08B651CC" w:rsidRPr="003D1E07">
        <w:t xml:space="preserve">dané </w:t>
      </w:r>
      <w:r w:rsidR="086110D9" w:rsidRPr="003D1E07">
        <w:t xml:space="preserve">v dějinách </w:t>
      </w:r>
      <w:r w:rsidR="007A0AB6" w:rsidRPr="003D1E07">
        <w:t>západní metafyzik</w:t>
      </w:r>
      <w:r w:rsidR="00A10D2C" w:rsidRPr="003D1E07">
        <w:t xml:space="preserve">y. </w:t>
      </w:r>
      <w:r w:rsidR="001976F3" w:rsidRPr="001976F3">
        <w:t xml:space="preserve">Základní událost nové metafyziky je založena na subjektivním </w:t>
      </w:r>
      <w:r w:rsidR="001976F3" w:rsidRPr="001976F3">
        <w:rPr>
          <w:i/>
        </w:rPr>
        <w:t>factum</w:t>
      </w:r>
      <w:r w:rsidR="001976F3" w:rsidRPr="001976F3">
        <w:t xml:space="preserve">. </w:t>
      </w:r>
      <w:r w:rsidR="001976F3">
        <w:t>Reálná p</w:t>
      </w:r>
      <w:r w:rsidR="001976F3" w:rsidRPr="001976F3">
        <w:t>rvní substance zanikla, aby uvolnila místo metafyzickému myšlení, které vytvořil moderní subjekt</w:t>
      </w:r>
      <w:r w:rsidR="001976F3">
        <w:t xml:space="preserve">. </w:t>
      </w:r>
      <w:r w:rsidR="00C96499">
        <w:t xml:space="preserve">Dvojnásobně </w:t>
      </w:r>
      <w:r w:rsidR="084A25C3" w:rsidRPr="003D1E07">
        <w:t xml:space="preserve">skryté bytí </w:t>
      </w:r>
      <w:r w:rsidR="003617C9" w:rsidRPr="003D1E07">
        <w:t xml:space="preserve">přisunuje </w:t>
      </w:r>
      <w:r w:rsidR="00C96499">
        <w:t xml:space="preserve">subjektivně určené </w:t>
      </w:r>
      <w:r w:rsidR="003617C9" w:rsidRPr="003D1E07">
        <w:t xml:space="preserve">jsoucno </w:t>
      </w:r>
      <w:r w:rsidR="00C413EE" w:rsidRPr="003D1E07">
        <w:t xml:space="preserve">jako </w:t>
      </w:r>
      <w:r w:rsidR="00991FBE">
        <w:t>„reálnou“ (tj. objektivní</w:t>
      </w:r>
      <w:r w:rsidR="00C96499">
        <w:t xml:space="preserve">) </w:t>
      </w:r>
      <w:r w:rsidR="00991FBE">
        <w:t xml:space="preserve">substanci </w:t>
      </w:r>
      <w:r w:rsidR="00C96499">
        <w:t xml:space="preserve">do </w:t>
      </w:r>
      <w:r w:rsidRPr="003D1E07">
        <w:t>metafyzického myšlení (</w:t>
      </w:r>
      <w:r w:rsidR="08A349CC" w:rsidRPr="003D1E07">
        <w:rPr>
          <w:i/>
        </w:rPr>
        <w:t>Ge-Stell</w:t>
      </w:r>
      <w:r w:rsidRPr="003D1E07">
        <w:rPr>
          <w:i/>
        </w:rPr>
        <w:fldChar w:fldCharType="begin"/>
      </w:r>
      <w:r w:rsidRPr="003D1E07">
        <w:instrText xml:space="preserve"> XE "metafyzika:</w:instrText>
      </w:r>
      <w:r w:rsidR="08A349CC" w:rsidRPr="003D1E07">
        <w:rPr>
          <w:i/>
        </w:rPr>
        <w:instrText>Ge-Stell</w:instrText>
      </w:r>
      <w:r w:rsidRPr="003D1E07">
        <w:instrText xml:space="preserve">" </w:instrText>
      </w:r>
      <w:r w:rsidRPr="003D1E07">
        <w:rPr>
          <w:i/>
        </w:rPr>
        <w:fldChar w:fldCharType="end"/>
      </w:r>
      <w:r w:rsidRPr="003D1E07">
        <w:t xml:space="preserve">, </w:t>
      </w:r>
      <w:r w:rsidR="00C1579B" w:rsidRPr="003D1E07">
        <w:t>kap</w:t>
      </w:r>
      <w:r w:rsidR="084E7952" w:rsidRPr="003D1E07">
        <w:t>. 1.2</w:t>
      </w:r>
      <w:r w:rsidR="00C1579B" w:rsidRPr="003D1E07">
        <w:t>)</w:t>
      </w:r>
      <w:r w:rsidR="00681A6E" w:rsidRPr="003D1E07">
        <w:t xml:space="preserve">. Pole zjevování </w:t>
      </w:r>
      <w:r w:rsidR="00C1579B" w:rsidRPr="003D1E07">
        <w:t xml:space="preserve">jsoucna </w:t>
      </w:r>
      <w:r w:rsidR="00681A6E" w:rsidRPr="003D1E07">
        <w:t>vznik</w:t>
      </w:r>
      <w:r w:rsidR="00C1579B" w:rsidRPr="003D1E07">
        <w:t>lo</w:t>
      </w:r>
      <w:r w:rsidR="00681A6E" w:rsidRPr="003D1E07">
        <w:t xml:space="preserve"> v poznávajícím subjektu Západu díky události bytí (</w:t>
      </w:r>
      <w:r w:rsidR="00681A6E" w:rsidRPr="003D1E07">
        <w:rPr>
          <w:i/>
        </w:rPr>
        <w:t>Ereignis</w:t>
      </w:r>
      <w:r w:rsidR="00681A6E" w:rsidRPr="003D1E07">
        <w:t xml:space="preserve">) </w:t>
      </w:r>
      <w:r w:rsidR="00C1579B" w:rsidRPr="003D1E07">
        <w:t>spojené s</w:t>
      </w:r>
      <w:r w:rsidR="00681A6E" w:rsidRPr="003D1E07">
        <w:t xml:space="preserve"> myšlením </w:t>
      </w:r>
      <w:r w:rsidR="00C1579B" w:rsidRPr="003D1E07">
        <w:t xml:space="preserve">autentického aristotelského proudu </w:t>
      </w:r>
      <w:r w:rsidR="00681A6E" w:rsidRPr="003D1E07">
        <w:t xml:space="preserve">falsafy. </w:t>
      </w:r>
      <w:r w:rsidR="0811719F" w:rsidRPr="003D1E07">
        <w:t>Ale m</w:t>
      </w:r>
      <w:r w:rsidR="009A119C" w:rsidRPr="003D1E07">
        <w:t xml:space="preserve">yšlení falsafy je determinováno novou podobou pravdy a nepravdy zakotvenou </w:t>
      </w:r>
      <w:r w:rsidR="08195222" w:rsidRPr="003D1E07">
        <w:t xml:space="preserve">skrze antické neoplatoniky </w:t>
      </w:r>
      <w:r w:rsidR="009A119C" w:rsidRPr="003D1E07">
        <w:t>(</w:t>
      </w:r>
      <w:r w:rsidR="009A119C" w:rsidRPr="003D1E07">
        <w:rPr>
          <w:i/>
        </w:rPr>
        <w:t>Irrtum</w:t>
      </w:r>
      <w:r w:rsidR="009A119C" w:rsidRPr="003D1E07">
        <w:rPr>
          <w:i/>
        </w:rPr>
        <w:fldChar w:fldCharType="begin"/>
      </w:r>
      <w:r w:rsidR="009A119C" w:rsidRPr="003D1E07">
        <w:instrText xml:space="preserve"> XE "</w:instrText>
      </w:r>
      <w:r w:rsidR="009A119C" w:rsidRPr="003D1E07">
        <w:rPr>
          <w:i/>
        </w:rPr>
        <w:instrText>Irrtum</w:instrText>
      </w:r>
      <w:r w:rsidR="009A119C" w:rsidRPr="003D1E07">
        <w:instrText xml:space="preserve">" </w:instrText>
      </w:r>
      <w:r w:rsidR="009A119C" w:rsidRPr="003D1E07">
        <w:rPr>
          <w:i/>
        </w:rPr>
        <w:fldChar w:fldCharType="end"/>
      </w:r>
      <w:r w:rsidR="009A119C" w:rsidRPr="003D1E07">
        <w:t xml:space="preserve">). </w:t>
      </w:r>
      <w:r w:rsidR="0811719F" w:rsidRPr="003D1E07">
        <w:t>Nová podoba myšlení odpovídajícího na výzvu bytí jsoucna je dána zapomenutím bytí (</w:t>
      </w:r>
      <w:r w:rsidR="0811719F" w:rsidRPr="003D1E07">
        <w:rPr>
          <w:i/>
        </w:rPr>
        <w:t>Seinsvergessenheit</w:t>
      </w:r>
      <w:r w:rsidR="0811719F" w:rsidRPr="003D1E07">
        <w:t>) již v poz</w:t>
      </w:r>
      <w:r w:rsidR="08AF6B7D" w:rsidRPr="003D1E07">
        <w:t>dní antice (kap. 1.3</w:t>
      </w:r>
      <w:r w:rsidR="0811719F" w:rsidRPr="003D1E07">
        <w:t xml:space="preserve">.2). Tato cesta ke jsoucnu byla kodifikována ve falsafě, která nasměrovala Západ na cestu objektivní formy pochybení </w:t>
      </w:r>
      <w:r w:rsidR="00AF1160" w:rsidRPr="003D1E07">
        <w:t xml:space="preserve">a iracionality </w:t>
      </w:r>
      <w:r w:rsidR="0811719F" w:rsidRPr="003D1E07">
        <w:t>(</w:t>
      </w:r>
      <w:r w:rsidR="0811719F" w:rsidRPr="003D1E07">
        <w:rPr>
          <w:i/>
        </w:rPr>
        <w:t>Irre</w:t>
      </w:r>
      <w:r w:rsidR="0811719F" w:rsidRPr="003D1E07">
        <w:rPr>
          <w:i/>
        </w:rPr>
        <w:fldChar w:fldCharType="begin"/>
      </w:r>
      <w:r w:rsidR="0811719F" w:rsidRPr="003D1E07">
        <w:instrText xml:space="preserve"> XE "</w:instrText>
      </w:r>
      <w:r w:rsidR="0811719F" w:rsidRPr="003D1E07">
        <w:rPr>
          <w:i/>
        </w:rPr>
        <w:instrText>Irre</w:instrText>
      </w:r>
      <w:r w:rsidR="0811719F" w:rsidRPr="003D1E07">
        <w:instrText xml:space="preserve">" </w:instrText>
      </w:r>
      <w:r w:rsidR="0811719F" w:rsidRPr="003D1E07">
        <w:rPr>
          <w:i/>
        </w:rPr>
        <w:fldChar w:fldCharType="end"/>
      </w:r>
      <w:r w:rsidR="0811719F" w:rsidRPr="003D1E07">
        <w:t xml:space="preserve">). Hermeneutika musí v díle Druhého mistra najít místo a událost, kde se </w:t>
      </w:r>
      <w:r w:rsidR="0811719F" w:rsidRPr="003D1E07">
        <w:rPr>
          <w:i/>
        </w:rPr>
        <w:t>Lichtung</w:t>
      </w:r>
      <w:r w:rsidR="0811719F" w:rsidRPr="003D1E07">
        <w:t xml:space="preserve"> objektivity dalo v nové podobě. </w:t>
      </w:r>
      <w:r w:rsidR="083B3EF4" w:rsidRPr="003D1E07">
        <w:t>T</w:t>
      </w:r>
      <w:r w:rsidR="007542D2" w:rsidRPr="003D1E07">
        <w:t>ran</w:t>
      </w:r>
      <w:r w:rsidR="0811719F" w:rsidRPr="003D1E07">
        <w:t>s</w:t>
      </w:r>
      <w:r w:rsidR="007542D2" w:rsidRPr="003D1E07">
        <w:t xml:space="preserve">formace </w:t>
      </w:r>
      <w:r w:rsidR="00117794">
        <w:t xml:space="preserve">poznání </w:t>
      </w:r>
      <w:r w:rsidR="007542D2" w:rsidRPr="003D1E07">
        <w:t xml:space="preserve">se týká </w:t>
      </w:r>
      <w:r w:rsidR="00117794">
        <w:t xml:space="preserve">definice intelektu v Aristelově </w:t>
      </w:r>
      <w:r w:rsidR="007542D2" w:rsidRPr="003D1E07">
        <w:t xml:space="preserve"> díl</w:t>
      </w:r>
      <w:r w:rsidR="00117794">
        <w:t>e</w:t>
      </w:r>
      <w:r w:rsidR="007542D2" w:rsidRPr="003D1E07">
        <w:t xml:space="preserve"> </w:t>
      </w:r>
      <w:r w:rsidR="007542D2" w:rsidRPr="003D1E07">
        <w:rPr>
          <w:i/>
        </w:rPr>
        <w:t>De anima</w:t>
      </w:r>
      <w:r w:rsidR="007542D2" w:rsidRPr="003D1E07">
        <w:t xml:space="preserve">. </w:t>
      </w:r>
      <w:r w:rsidR="08B963FC" w:rsidRPr="003D1E07">
        <w:t>Al-</w:t>
      </w:r>
      <w:r w:rsidR="00B568C5" w:rsidRPr="003D1E07">
        <w:t>Fá</w:t>
      </w:r>
      <w:r w:rsidR="001707C3" w:rsidRPr="003D1E07">
        <w:t>rábí</w:t>
      </w:r>
      <w:r w:rsidR="00270D97" w:rsidRPr="003D1E07">
        <w:t>ho spis je zásadně ovlivněn pojednáním o intelektu (</w:t>
      </w:r>
      <w:r w:rsidR="001707C3" w:rsidRPr="003D1E07">
        <w:rPr>
          <w:i/>
        </w:rPr>
        <w:t>De intelellectu</w:t>
      </w:r>
      <w:r w:rsidR="00270D97" w:rsidRPr="003D1E07">
        <w:t xml:space="preserve">) od </w:t>
      </w:r>
      <w:r w:rsidR="00990CA5" w:rsidRPr="003D1E07">
        <w:t xml:space="preserve">aristotelika </w:t>
      </w:r>
      <w:r w:rsidR="00270D97" w:rsidRPr="003D1E07">
        <w:t>Alexand</w:t>
      </w:r>
      <w:r w:rsidR="001707C3" w:rsidRPr="003D1E07">
        <w:t>r</w:t>
      </w:r>
      <w:r w:rsidR="00270D97" w:rsidRPr="003D1E07">
        <w:t>a</w:t>
      </w:r>
      <w:r w:rsidR="001707C3" w:rsidRPr="003D1E07">
        <w:t xml:space="preserve"> Afrodisias</w:t>
      </w:r>
      <w:r w:rsidR="00270D97" w:rsidRPr="003D1E07">
        <w:t>e</w:t>
      </w:r>
      <w:r w:rsidR="00571550" w:rsidRPr="003D1E07">
        <w:fldChar w:fldCharType="begin"/>
      </w:r>
      <w:r w:rsidR="00571550" w:rsidRPr="003D1E07">
        <w:instrText xml:space="preserve"> XE "Alexander Afrodisias" </w:instrText>
      </w:r>
      <w:r w:rsidR="00571550" w:rsidRPr="003D1E07">
        <w:fldChar w:fldCharType="end"/>
      </w:r>
      <w:r w:rsidR="00990CA5" w:rsidRPr="003D1E07">
        <w:t xml:space="preserve">. </w:t>
      </w:r>
      <w:r w:rsidR="008D1F71">
        <w:t xml:space="preserve">Toto pojednání navazuje na jeho </w:t>
      </w:r>
      <w:r w:rsidR="00451AF7" w:rsidRPr="003D1E07">
        <w:t>s</w:t>
      </w:r>
      <w:r w:rsidR="007639E6" w:rsidRPr="003D1E07">
        <w:t xml:space="preserve">pis </w:t>
      </w:r>
      <w:r w:rsidR="007639E6" w:rsidRPr="003D1E07">
        <w:rPr>
          <w:rStyle w:val="TextpoznpodarouChar"/>
          <w:i/>
        </w:rPr>
        <w:t>De anima liber cum Mantissa</w:t>
      </w:r>
      <w:r w:rsidR="008D1F71">
        <w:rPr>
          <w:rStyle w:val="TextpoznpodarouChar"/>
          <w:i/>
        </w:rPr>
        <w:t xml:space="preserve">, </w:t>
      </w:r>
      <w:r w:rsidR="008D1F71">
        <w:t xml:space="preserve">v němž </w:t>
      </w:r>
      <w:r w:rsidR="008D1F71" w:rsidRPr="003D1E07">
        <w:t>Afrodisias</w:t>
      </w:r>
      <w:r w:rsidR="008D1F71">
        <w:t xml:space="preserve"> </w:t>
      </w:r>
      <w:r w:rsidR="00E17E89" w:rsidRPr="003D1E07">
        <w:t xml:space="preserve">oddělil smyslové poznání od </w:t>
      </w:r>
      <w:r w:rsidR="00421AA3" w:rsidRPr="003D1E07">
        <w:t>intelektuálního poznání</w:t>
      </w:r>
      <w:r w:rsidR="00FA00F1" w:rsidRPr="003D1E07">
        <w:t xml:space="preserve">. </w:t>
      </w:r>
      <w:r w:rsidR="089D0F17" w:rsidRPr="003D1E07">
        <w:t xml:space="preserve">Výklad intelektu je zasazen do hierarchie kosmických oddělených inteligencí. </w:t>
      </w:r>
      <w:r w:rsidR="00A42A0F" w:rsidRPr="003D1E07">
        <w:t>Primární kauzalitu zajišťuje nikoliv materiální věc poznaná smysly, ale celkov</w:t>
      </w:r>
      <w:r w:rsidR="00494667" w:rsidRPr="003D1E07">
        <w:t>á archi</w:t>
      </w:r>
      <w:r w:rsidR="008A41C6">
        <w:t xml:space="preserve">tektura kosmických inteligencí. </w:t>
      </w:r>
      <w:r w:rsidR="006E02D5" w:rsidRPr="003D1E07">
        <w:t>Alexandr dal primát aktivní složce intelektu angažovaného ve výkonu lidského myšlení zvnějšku.</w:t>
      </w:r>
      <w:r w:rsidR="006E02D5" w:rsidRPr="003D1E07">
        <w:rPr>
          <w:rStyle w:val="Znakapoznpodarou"/>
        </w:rPr>
        <w:footnoteReference w:id="80"/>
      </w:r>
      <w:r w:rsidR="006E02D5" w:rsidRPr="003D1E07">
        <w:t xml:space="preserve"> </w:t>
      </w:r>
      <w:r w:rsidR="008A41C6">
        <w:t>N</w:t>
      </w:r>
      <w:r w:rsidR="008A41C6" w:rsidRPr="003D1E07">
        <w:t xml:space="preserve">a prvním místě stojí kosmický činný intelekt. </w:t>
      </w:r>
      <w:r w:rsidR="00591F5A" w:rsidRPr="003D1E07">
        <w:t>Materiální intelekt (</w:t>
      </w:r>
      <w:r w:rsidR="00591F5A" w:rsidRPr="003D1E07">
        <w:rPr>
          <w:rStyle w:val="st"/>
          <w:bCs/>
        </w:rPr>
        <w:t>νοῦς ὑλικός</w:t>
      </w:r>
      <w:r w:rsidR="00591F5A" w:rsidRPr="003D1E07">
        <w:rPr>
          <w:szCs w:val="15"/>
        </w:rPr>
        <w:fldChar w:fldCharType="begin"/>
      </w:r>
      <w:r w:rsidR="00591F5A" w:rsidRPr="003D1E07">
        <w:instrText xml:space="preserve"> XE "</w:instrText>
      </w:r>
      <w:r w:rsidR="00591F5A" w:rsidRPr="003D1E07">
        <w:rPr>
          <w:i/>
        </w:rPr>
        <w:instrText>intellectus materialis</w:instrText>
      </w:r>
      <w:r w:rsidR="00591F5A" w:rsidRPr="003D1E07">
        <w:instrText xml:space="preserve">:Afrodisias" </w:instrText>
      </w:r>
      <w:r w:rsidR="00591F5A" w:rsidRPr="003D1E07">
        <w:rPr>
          <w:szCs w:val="15"/>
        </w:rPr>
        <w:fldChar w:fldCharType="end"/>
      </w:r>
      <w:r w:rsidR="00591F5A" w:rsidRPr="003D1E07">
        <w:t>) je oddělený od smyslového poznání. Tento individuální intelekt je aktualizován skrze oddělený činný intelekt kosmických sfér (νοῦς ποιητικός</w:t>
      </w:r>
      <w:r w:rsidR="00591F5A" w:rsidRPr="003D1E07">
        <w:rPr>
          <w:szCs w:val="15"/>
        </w:rPr>
        <w:fldChar w:fldCharType="begin"/>
      </w:r>
      <w:r w:rsidR="00591F5A" w:rsidRPr="003D1E07">
        <w:instrText xml:space="preserve"> XE "</w:instrText>
      </w:r>
      <w:r w:rsidR="00591F5A" w:rsidRPr="003D1E07">
        <w:rPr>
          <w:i/>
        </w:rPr>
        <w:instrText>intellectus agens</w:instrText>
      </w:r>
      <w:r w:rsidR="00591F5A" w:rsidRPr="003D1E07">
        <w:instrText xml:space="preserve">:Afrodisias" </w:instrText>
      </w:r>
      <w:r w:rsidR="00591F5A" w:rsidRPr="003D1E07">
        <w:rPr>
          <w:szCs w:val="15"/>
        </w:rPr>
        <w:fldChar w:fldCharType="end"/>
      </w:r>
      <w:r w:rsidR="00591F5A" w:rsidRPr="003D1E07">
        <w:t xml:space="preserve">), který v nás působí skrze individuální poznání </w:t>
      </w:r>
      <w:r w:rsidR="08D42D42" w:rsidRPr="003D1E07">
        <w:t xml:space="preserve">takto </w:t>
      </w:r>
      <w:r w:rsidR="08E9747E" w:rsidRPr="003D1E07">
        <w:t xml:space="preserve">získaného </w:t>
      </w:r>
      <w:r w:rsidR="08D42D42" w:rsidRPr="003D1E07">
        <w:t xml:space="preserve">intelektu </w:t>
      </w:r>
      <w:r w:rsidR="00591F5A" w:rsidRPr="003D1E07">
        <w:t>(</w:t>
      </w:r>
      <w:r w:rsidR="00591F5A" w:rsidRPr="003D1E07">
        <w:rPr>
          <w:rStyle w:val="st"/>
          <w:bCs/>
        </w:rPr>
        <w:t>νοῦς</w:t>
      </w:r>
      <w:r w:rsidR="00591F5A" w:rsidRPr="003D1E07">
        <w:rPr>
          <w:b/>
          <w:bCs/>
        </w:rPr>
        <w:t xml:space="preserve"> </w:t>
      </w:r>
      <w:r w:rsidR="00591F5A" w:rsidRPr="003D1E07">
        <w:rPr>
          <w:bCs/>
        </w:rPr>
        <w:t>ἐπίκτητος)</w:t>
      </w:r>
      <w:r w:rsidR="00591F5A" w:rsidRPr="003D1E07">
        <w:t xml:space="preserve">. </w:t>
      </w:r>
      <w:r w:rsidR="007B41DA" w:rsidRPr="003D1E07">
        <w:t xml:space="preserve">Struktura porozumění má </w:t>
      </w:r>
      <w:r w:rsidR="00874074" w:rsidRPr="003D1E07">
        <w:t>neoplatonsk</w:t>
      </w:r>
      <w:r w:rsidR="007B41DA" w:rsidRPr="003D1E07">
        <w:t xml:space="preserve">ý charakter a odděluje </w:t>
      </w:r>
      <w:r w:rsidR="08A41378" w:rsidRPr="003D1E07">
        <w:t xml:space="preserve">smyslovou a </w:t>
      </w:r>
      <w:r w:rsidR="007B41DA" w:rsidRPr="003D1E07">
        <w:t>intelektuální složku poznání v duši skrze centrální postavení materiálního intelektu</w:t>
      </w:r>
      <w:r w:rsidR="00EC00C0" w:rsidRPr="003D1E07">
        <w:t>. J</w:t>
      </w:r>
      <w:r w:rsidR="00BC5172" w:rsidRPr="003D1E07">
        <w:t xml:space="preserve">eho </w:t>
      </w:r>
      <w:r w:rsidR="00EC00C0" w:rsidRPr="003D1E07">
        <w:t xml:space="preserve">receptivní charakter je v modu intelektuální iluminace primárně </w:t>
      </w:r>
      <w:r w:rsidR="00EE75CB">
        <w:t xml:space="preserve">nasměrován </w:t>
      </w:r>
      <w:r w:rsidR="00BC5172" w:rsidRPr="003D1E07">
        <w:t xml:space="preserve">k trvale </w:t>
      </w:r>
      <w:r w:rsidR="00BC5172" w:rsidRPr="003D1E07">
        <w:lastRenderedPageBreak/>
        <w:t xml:space="preserve">aktuálnímu </w:t>
      </w:r>
      <w:r w:rsidR="00BC5172" w:rsidRPr="003D1E07">
        <w:rPr>
          <w:i/>
        </w:rPr>
        <w:t>intellectus agens</w:t>
      </w:r>
      <w:r w:rsidR="00BC5172" w:rsidRPr="003D1E07">
        <w:t xml:space="preserve"> ko</w:t>
      </w:r>
      <w:r w:rsidR="00EC00C0" w:rsidRPr="003D1E07">
        <w:t>sm</w:t>
      </w:r>
      <w:r w:rsidR="00BC5172" w:rsidRPr="003D1E07">
        <w:t>ických sfér</w:t>
      </w:r>
      <w:r w:rsidR="007B41DA" w:rsidRPr="003D1E07">
        <w:t xml:space="preserve">. </w:t>
      </w:r>
      <w:r w:rsidR="00D34A66" w:rsidRPr="003D1E07">
        <w:t xml:space="preserve">Proto je Alexandrův hylický intelekt zásadně oddělen od smyslového poznání. </w:t>
      </w:r>
      <w:r w:rsidR="00086F62" w:rsidRPr="003D1E07">
        <w:t xml:space="preserve">Citujme </w:t>
      </w:r>
      <w:r w:rsidR="00086F62" w:rsidRPr="003D1E07">
        <w:rPr>
          <w:rStyle w:val="TextpoznpodarouChar"/>
        </w:rPr>
        <w:t>Afrodisiovu definici odděleného materiálního intelektu, která tvoří jádro dalších sporů.</w:t>
      </w:r>
    </w:p>
    <w:p w14:paraId="179EE48B" w14:textId="614D5D07" w:rsidR="003C395F" w:rsidRPr="003D1E07" w:rsidRDefault="003C395F" w:rsidP="003C395F">
      <w:pPr>
        <w:pStyle w:val="Citace"/>
        <w:rPr>
          <w:lang w:val="cs-CZ"/>
        </w:rPr>
      </w:pPr>
      <w:r w:rsidRPr="003D1E07">
        <w:rPr>
          <w:rStyle w:val="TextpoznpodarouChar"/>
          <w:lang w:val="cs-CZ"/>
        </w:rPr>
        <w:t>„Materiální intelekt nepoznává věci, které existují skrze tělo</w:t>
      </w:r>
      <w:r w:rsidR="08455C15" w:rsidRPr="003D1E07">
        <w:rPr>
          <w:rStyle w:val="TextpoznpodarouChar"/>
          <w:lang w:val="cs-CZ"/>
        </w:rPr>
        <w:t xml:space="preserve"> (νοῦς οὔτε διὰ σώματος ἀντιλαμβανόμενος τῶν ὄντων)</w:t>
      </w:r>
      <w:r w:rsidR="00E94843">
        <w:rPr>
          <w:rStyle w:val="TextpoznpodarouChar"/>
          <w:lang w:val="cs-CZ"/>
        </w:rPr>
        <w:t xml:space="preserve">, protože </w:t>
      </w:r>
      <w:r w:rsidRPr="003D1E07">
        <w:rPr>
          <w:rStyle w:val="TextpoznpodarouChar"/>
          <w:lang w:val="cs-CZ"/>
        </w:rPr>
        <w:t>není ani schopnost těla</w:t>
      </w:r>
      <w:r w:rsidR="08455C15" w:rsidRPr="003D1E07">
        <w:rPr>
          <w:rStyle w:val="TextpoznpodarouChar"/>
          <w:lang w:val="cs-CZ"/>
        </w:rPr>
        <w:t xml:space="preserve"> (οὔτε σώματος δύναμις ὤν)</w:t>
      </w:r>
      <w:r w:rsidRPr="003D1E07">
        <w:rPr>
          <w:rStyle w:val="TextpoznpodarouChar"/>
          <w:lang w:val="cs-CZ"/>
        </w:rPr>
        <w:t>, ani na něj nelze materiálně působit</w:t>
      </w:r>
      <w:r w:rsidR="081C3AB6" w:rsidRPr="003D1E07">
        <w:rPr>
          <w:rStyle w:val="TextpoznpodarouChar"/>
          <w:lang w:val="cs-CZ"/>
        </w:rPr>
        <w:t xml:space="preserve"> skrze tělo</w:t>
      </w:r>
      <w:r w:rsidRPr="003D1E07">
        <w:rPr>
          <w:rStyle w:val="TextpoznpodarouChar"/>
          <w:lang w:val="cs-CZ"/>
        </w:rPr>
        <w:t>, ani není nějaká věc exis</w:t>
      </w:r>
      <w:r w:rsidR="000B7E87">
        <w:rPr>
          <w:rStyle w:val="TextpoznpodarouChar"/>
          <w:lang w:val="cs-CZ"/>
        </w:rPr>
        <w:t xml:space="preserve">tující </w:t>
      </w:r>
      <w:r w:rsidRPr="003D1E07">
        <w:rPr>
          <w:rStyle w:val="TextpoznpodarouChar"/>
          <w:lang w:val="cs-CZ"/>
        </w:rPr>
        <w:t>v aktualitě, ani nemá potencialitu danou v rámci jednotliviny (</w:t>
      </w:r>
      <w:r w:rsidRPr="003D1E07">
        <w:rPr>
          <w:lang w:val="cs-CZ"/>
        </w:rPr>
        <w:t>οὐδέ ἐστι τόδε τι τὸ δυνάμνον</w:t>
      </w:r>
      <w:r w:rsidRPr="003D1E07">
        <w:rPr>
          <w:rStyle w:val="TextpoznpodarouChar"/>
          <w:lang w:val="cs-CZ"/>
        </w:rPr>
        <w:t xml:space="preserve">). Je sám o sobě pouze čistá potence </w:t>
      </w:r>
      <w:r w:rsidRPr="003D1E07">
        <w:rPr>
          <w:lang w:val="cs-CZ"/>
        </w:rPr>
        <w:t xml:space="preserve">(ἔστιν δύναμίς τις ἁπλῶς) pro </w:t>
      </w:r>
      <w:r w:rsidR="006C2514" w:rsidRPr="003D1E07">
        <w:rPr>
          <w:lang w:val="cs-CZ"/>
        </w:rPr>
        <w:t xml:space="preserve">entelechické </w:t>
      </w:r>
      <w:r w:rsidRPr="003D1E07">
        <w:rPr>
          <w:lang w:val="cs-CZ"/>
        </w:rPr>
        <w:t xml:space="preserve">zaměření života a duše dané schopností </w:t>
      </w:r>
      <w:r w:rsidR="08315842" w:rsidRPr="003D1E07">
        <w:rPr>
          <w:lang w:val="cs-CZ"/>
        </w:rPr>
        <w:t>přijmout</w:t>
      </w:r>
      <w:r w:rsidRPr="003D1E07">
        <w:rPr>
          <w:lang w:val="cs-CZ"/>
        </w:rPr>
        <w:t xml:space="preserve"> formy a myšlenky.“</w:t>
      </w:r>
      <w:r w:rsidRPr="003D1E07">
        <w:rPr>
          <w:rStyle w:val="TextpoznpodarouChar"/>
          <w:lang w:val="cs-CZ"/>
        </w:rPr>
        <w:t> </w:t>
      </w:r>
      <w:r w:rsidRPr="003D1E07">
        <w:rPr>
          <w:rStyle w:val="Znakapoznpodarou"/>
          <w:lang w:val="cs-CZ"/>
        </w:rPr>
        <w:footnoteReference w:id="81"/>
      </w:r>
    </w:p>
    <w:p w14:paraId="49E3D18B" w14:textId="77777777" w:rsidR="003C1892" w:rsidRDefault="007B41DA" w:rsidP="003C1892">
      <w:r w:rsidRPr="003D1E07">
        <w:t xml:space="preserve">Alexandrovu definici materiálního intelektu jako oddělené </w:t>
      </w:r>
      <w:r w:rsidR="003B08F3" w:rsidRPr="003D1E07">
        <w:t xml:space="preserve">intelektuální potence </w:t>
      </w:r>
      <w:r w:rsidR="08931123" w:rsidRPr="003D1E07">
        <w:t xml:space="preserve">dané v podobě hypostáze nebo substance </w:t>
      </w:r>
      <w:r w:rsidRPr="003D1E07">
        <w:fldChar w:fldCharType="begin"/>
      </w:r>
      <w:r w:rsidRPr="003D1E07">
        <w:instrText xml:space="preserve"> XE "substance:τόδε τι" </w:instrText>
      </w:r>
      <w:r w:rsidRPr="003D1E07">
        <w:fldChar w:fldCharType="end"/>
      </w:r>
      <w:r w:rsidR="08931123" w:rsidRPr="003D1E07">
        <w:t xml:space="preserve">převezmou </w:t>
      </w:r>
      <w:r w:rsidR="08B00F55" w:rsidRPr="003D1E07">
        <w:t>všechny verze averrois</w:t>
      </w:r>
      <w:r w:rsidR="08814542" w:rsidRPr="003D1E07">
        <w:t xml:space="preserve">mu. </w:t>
      </w:r>
      <w:r w:rsidR="00141938" w:rsidRPr="003D1E07">
        <w:t>Averroe</w:t>
      </w:r>
      <w:r w:rsidR="003C395F" w:rsidRPr="003D1E07">
        <w:t xml:space="preserve">s ji </w:t>
      </w:r>
      <w:r w:rsidR="08814542" w:rsidRPr="003D1E07">
        <w:t xml:space="preserve">naopak </w:t>
      </w:r>
      <w:r w:rsidR="003C395F" w:rsidRPr="003D1E07">
        <w:t>odm</w:t>
      </w:r>
      <w:r w:rsidR="0881764E" w:rsidRPr="003D1E07">
        <w:t xml:space="preserve">ítl z naprosto zásadních důvodů, které vycházejí z výkladu Druhého mistra </w:t>
      </w:r>
      <w:r w:rsidR="003C395F" w:rsidRPr="003D1E07">
        <w:t xml:space="preserve">(kap. 2.4.2). </w:t>
      </w:r>
      <w:r w:rsidR="005767AB" w:rsidRPr="003D1E07">
        <w:rPr>
          <w:rStyle w:val="TextpoznpodarouChar"/>
        </w:rPr>
        <w:t xml:space="preserve">Nasvícení materiálního intelektu zezadu od hypostázovaných inteligibilních forem </w:t>
      </w:r>
      <w:r w:rsidR="00546102">
        <w:rPr>
          <w:rStyle w:val="TextpoznpodarouChar"/>
        </w:rPr>
        <w:t>pro něj bylo</w:t>
      </w:r>
      <w:r w:rsidR="005767AB">
        <w:rPr>
          <w:rStyle w:val="TextpoznpodarouChar"/>
        </w:rPr>
        <w:t xml:space="preserve"> nepřijatelné</w:t>
      </w:r>
      <w:r w:rsidR="005767AB" w:rsidRPr="003D1E07">
        <w:rPr>
          <w:rStyle w:val="TextpoznpodarouChar"/>
        </w:rPr>
        <w:t>.</w:t>
      </w:r>
      <w:r w:rsidR="005767AB" w:rsidRPr="003D1E07">
        <w:t xml:space="preserve"> </w:t>
      </w:r>
      <w:r w:rsidR="08B00F55" w:rsidRPr="003D1E07">
        <w:t>A</w:t>
      </w:r>
      <w:r w:rsidR="08C65F8F" w:rsidRPr="003D1E07">
        <w:t xml:space="preserve">ristotelik </w:t>
      </w:r>
      <w:r w:rsidR="08B963FC" w:rsidRPr="003D1E07">
        <w:t>Al-</w:t>
      </w:r>
      <w:r w:rsidR="00141938" w:rsidRPr="003D1E07">
        <w:t>Fá</w:t>
      </w:r>
      <w:r w:rsidR="005767AB">
        <w:t>rábí nemohl</w:t>
      </w:r>
      <w:r w:rsidRPr="003D1E07">
        <w:t xml:space="preserve"> přijmout Alexandrovu definici materiálního intelektu jako </w:t>
      </w:r>
      <w:r w:rsidR="00816A76" w:rsidRPr="003D1E07">
        <w:t xml:space="preserve">intelektuální potence </w:t>
      </w:r>
      <w:r w:rsidRPr="003D1E07">
        <w:t>oddělené</w:t>
      </w:r>
      <w:r w:rsidR="00816A76" w:rsidRPr="003D1E07">
        <w:t xml:space="preserve"> od smyslového poznání</w:t>
      </w:r>
      <w:r w:rsidRPr="003D1E07">
        <w:t xml:space="preserve">. </w:t>
      </w:r>
      <w:r w:rsidR="00A707A2" w:rsidRPr="003D1E07">
        <w:t>Alexandrův model poznání je zásadně dualistický</w:t>
      </w:r>
      <w:r w:rsidR="004C0B9D" w:rsidRPr="003D1E07">
        <w:t>. M</w:t>
      </w:r>
      <w:r w:rsidR="00A707A2" w:rsidRPr="003D1E07">
        <w:t xml:space="preserve">ateriální intelekt </w:t>
      </w:r>
      <w:r w:rsidR="00763F28" w:rsidRPr="003D1E07">
        <w:t>produkuje</w:t>
      </w:r>
      <w:r w:rsidR="00A707A2" w:rsidRPr="003D1E07">
        <w:t xml:space="preserve"> </w:t>
      </w:r>
      <w:r w:rsidR="00763F28" w:rsidRPr="003D1E07">
        <w:t>nemateriální univerzální poznání</w:t>
      </w:r>
      <w:r w:rsidR="00950448" w:rsidRPr="003D1E07">
        <w:t xml:space="preserve"> tím, že je oddělený od smyslů</w:t>
      </w:r>
      <w:r w:rsidR="00D531C8">
        <w:t>, aby tím zajistil nemateriální poznání</w:t>
      </w:r>
      <w:r w:rsidR="00A46B4D" w:rsidRPr="003D1E07">
        <w:t xml:space="preserve">. </w:t>
      </w:r>
      <w:r w:rsidR="005B7117" w:rsidRPr="003D1E07">
        <w:t>Alexander není neoplatonik</w:t>
      </w:r>
      <w:r w:rsidR="001A27C1" w:rsidRPr="003D1E07">
        <w:t>, proto neoddělí intelekt v člověku jako samosta</w:t>
      </w:r>
      <w:r w:rsidR="00014914" w:rsidRPr="003D1E07">
        <w:t>t</w:t>
      </w:r>
      <w:r w:rsidR="001A27C1" w:rsidRPr="003D1E07">
        <w:t xml:space="preserve">nou substanci. Tento </w:t>
      </w:r>
      <w:r w:rsidR="005B7117" w:rsidRPr="003D1E07">
        <w:t>aristoteli</w:t>
      </w:r>
      <w:r w:rsidR="005D0583" w:rsidRPr="003D1E07">
        <w:t xml:space="preserve">k uznává podle </w:t>
      </w:r>
      <w:r w:rsidR="005D0583" w:rsidRPr="003D1E07">
        <w:rPr>
          <w:i/>
        </w:rPr>
        <w:t>De anima</w:t>
      </w:r>
      <w:r w:rsidR="005D0583" w:rsidRPr="003D1E07">
        <w:t>, že k</w:t>
      </w:r>
      <w:r w:rsidR="00A46B4D" w:rsidRPr="003D1E07">
        <w:t xml:space="preserve">oncepty </w:t>
      </w:r>
      <w:r w:rsidR="00A707A2" w:rsidRPr="003D1E07">
        <w:t xml:space="preserve">existují </w:t>
      </w:r>
      <w:r w:rsidRPr="003D1E07">
        <w:t>pouze v potenci</w:t>
      </w:r>
      <w:r w:rsidR="00A707A2" w:rsidRPr="003D1E07">
        <w:t xml:space="preserve"> a jsou čisté nemateriální</w:t>
      </w:r>
      <w:r w:rsidRPr="003D1E07">
        <w:t xml:space="preserve"> </w:t>
      </w:r>
      <w:r w:rsidR="00A707A2" w:rsidRPr="003D1E07">
        <w:t xml:space="preserve">a potenciální stavy mysli (δύναμίς τις ἁπλῶς) dané mimo substanci </w:t>
      </w:r>
      <w:r w:rsidRPr="003D1E07">
        <w:rPr>
          <w:rStyle w:val="TextpoznpodarouChar"/>
        </w:rPr>
        <w:t>(</w:t>
      </w:r>
      <w:r w:rsidRPr="003D1E07">
        <w:t xml:space="preserve">οὐδέ ἐστι τόδε τι τὸ δυνάμενον; </w:t>
      </w:r>
      <w:r w:rsidRPr="003D1E07">
        <w:rPr>
          <w:i/>
        </w:rPr>
        <w:t>De intellectu</w:t>
      </w:r>
      <w:r w:rsidR="088E3906" w:rsidRPr="003D1E07">
        <w:t xml:space="preserve"> </w:t>
      </w:r>
      <w:r w:rsidRPr="003D1E07">
        <w:t>107.17</w:t>
      </w:r>
      <w:r w:rsidR="08EB49C9" w:rsidRPr="003D1E07">
        <w:rPr>
          <w:szCs w:val="15"/>
        </w:rPr>
        <w:fldChar w:fldCharType="begin"/>
      </w:r>
      <w:r w:rsidR="08EB49C9" w:rsidRPr="003D1E07">
        <w:instrText xml:space="preserve"> XE "Alexander Afrodisias:</w:instrText>
      </w:r>
      <w:r w:rsidR="08EB49C9" w:rsidRPr="003D1E07">
        <w:rPr>
          <w:rStyle w:val="TextpoznpodarouChar"/>
          <w:i/>
        </w:rPr>
        <w:instrText>De anima liber cum Mantissa</w:instrText>
      </w:r>
      <w:r w:rsidR="08EB49C9" w:rsidRPr="003D1E07">
        <w:rPr>
          <w:i/>
          <w:color w:val="000000"/>
        </w:rPr>
        <w:instrText xml:space="preserve"> </w:instrText>
      </w:r>
      <w:r w:rsidR="08EB49C9" w:rsidRPr="003D1E07">
        <w:rPr>
          <w:color w:val="000000"/>
        </w:rPr>
        <w:instrText>107.17</w:instrText>
      </w:r>
      <w:r w:rsidR="08EB49C9" w:rsidRPr="003D1E07">
        <w:instrText xml:space="preserve">" </w:instrText>
      </w:r>
      <w:r w:rsidR="08EB49C9" w:rsidRPr="003D1E07">
        <w:rPr>
          <w:szCs w:val="15"/>
        </w:rPr>
        <w:fldChar w:fldCharType="end"/>
      </w:r>
      <w:r w:rsidRPr="003D1E07">
        <w:rPr>
          <w:rStyle w:val="TextpoznpodarouChar"/>
        </w:rPr>
        <w:t xml:space="preserve">). </w:t>
      </w:r>
      <w:r w:rsidR="080E560A" w:rsidRPr="003D1E07">
        <w:rPr>
          <w:rStyle w:val="TextpoznpodarouChar"/>
        </w:rPr>
        <w:t>To má Alexander v podobě čistě potenciálního intelektu, ale ud</w:t>
      </w:r>
      <w:r w:rsidR="002F50A8">
        <w:rPr>
          <w:rStyle w:val="TextpoznpodarouChar"/>
        </w:rPr>
        <w:t>ělal z něj oddělenou substanci.</w:t>
      </w:r>
      <w:r w:rsidR="003C1892">
        <w:rPr>
          <w:rStyle w:val="TextpoznpodarouChar"/>
        </w:rPr>
        <w:t xml:space="preserve"> </w:t>
      </w:r>
      <w:r w:rsidR="00EC7538" w:rsidRPr="003D1E07">
        <w:rPr>
          <w:rStyle w:val="TextpoznpodarouChar"/>
        </w:rPr>
        <w:t>Alexandrův částečný n</w:t>
      </w:r>
      <w:r w:rsidR="00811E6F" w:rsidRPr="003D1E07">
        <w:t xml:space="preserve">ávrat k Aristotelovi vytvořil pro Západ novou figuru </w:t>
      </w:r>
      <w:r w:rsidR="00EC7538" w:rsidRPr="003D1E07">
        <w:rPr>
          <w:i/>
        </w:rPr>
        <w:t>intellectus materialis</w:t>
      </w:r>
      <w:r w:rsidR="00041F59" w:rsidRPr="003D1E07">
        <w:rPr>
          <w:i/>
        </w:rPr>
        <w:fldChar w:fldCharType="begin"/>
      </w:r>
      <w:r w:rsidR="00041F59" w:rsidRPr="003D1E07">
        <w:instrText xml:space="preserve"> XE "</w:instrText>
      </w:r>
      <w:r w:rsidR="00041F59" w:rsidRPr="003D1E07">
        <w:rPr>
          <w:i/>
        </w:rPr>
        <w:instrText>intellectus materialis</w:instrText>
      </w:r>
      <w:r w:rsidR="00041F59" w:rsidRPr="003D1E07">
        <w:instrText xml:space="preserve">:Alexander" </w:instrText>
      </w:r>
      <w:r w:rsidR="00041F59" w:rsidRPr="003D1E07">
        <w:rPr>
          <w:i/>
        </w:rPr>
        <w:fldChar w:fldCharType="end"/>
      </w:r>
      <w:r w:rsidR="00811E6F" w:rsidRPr="003D1E07">
        <w:t>, která zásadně ovlivní dalš</w:t>
      </w:r>
      <w:r w:rsidR="003C1892">
        <w:t>í vývoj sporu o průběh poznání.</w:t>
      </w:r>
    </w:p>
    <w:p w14:paraId="45B272E6" w14:textId="7BFA37AB" w:rsidR="00860816" w:rsidRPr="003D1E07" w:rsidRDefault="003A7AE8" w:rsidP="003C1892">
      <w:pPr>
        <w:ind w:firstLine="397"/>
      </w:pPr>
      <w:r w:rsidRPr="003D1E07">
        <w:t xml:space="preserve">Podívejme se na nové </w:t>
      </w:r>
      <w:r w:rsidRPr="003D1E07">
        <w:rPr>
          <w:i/>
        </w:rPr>
        <w:t>Lichtung</w:t>
      </w:r>
      <w:r w:rsidRPr="003D1E07">
        <w:rPr>
          <w:i/>
        </w:rPr>
        <w:fldChar w:fldCharType="begin"/>
      </w:r>
      <w:r w:rsidRPr="003D1E07">
        <w:instrText xml:space="preserve"> XE "objektivita:</w:instrText>
      </w:r>
      <w:r w:rsidRPr="003D1E07">
        <w:rPr>
          <w:i/>
        </w:rPr>
        <w:instrText>Lichtung</w:instrText>
      </w:r>
      <w:r w:rsidRPr="003D1E07">
        <w:instrText xml:space="preserve">" </w:instrText>
      </w:r>
      <w:r w:rsidRPr="003D1E07">
        <w:rPr>
          <w:i/>
        </w:rPr>
        <w:fldChar w:fldCharType="end"/>
      </w:r>
      <w:r w:rsidRPr="003D1E07">
        <w:t xml:space="preserve"> západní metafyziky</w:t>
      </w:r>
      <w:r w:rsidR="004C48C7" w:rsidRPr="003D1E07">
        <w:t>, které formuje spor o bud</w:t>
      </w:r>
      <w:r w:rsidRPr="003D1E07">
        <w:t xml:space="preserve">oucí objektivitu. </w:t>
      </w:r>
      <w:r w:rsidR="00045452" w:rsidRPr="003D1E07">
        <w:t>Alfarabius</w:t>
      </w:r>
      <w:r w:rsidR="00AF52FD" w:rsidRPr="003D1E07">
        <w:t xml:space="preserve"> sleduje </w:t>
      </w:r>
      <w:r w:rsidR="08F07695" w:rsidRPr="003D1E07">
        <w:t xml:space="preserve">ve svém komentáři </w:t>
      </w:r>
      <w:r w:rsidR="08F07695" w:rsidRPr="003D1E07">
        <w:rPr>
          <w:i/>
        </w:rPr>
        <w:t xml:space="preserve">De anima </w:t>
      </w:r>
      <w:r w:rsidR="08F07695" w:rsidRPr="003D1E07">
        <w:t>aristotelský</w:t>
      </w:r>
      <w:r w:rsidR="08F07695" w:rsidRPr="003D1E07">
        <w:rPr>
          <w:i/>
        </w:rPr>
        <w:t xml:space="preserve"> </w:t>
      </w:r>
      <w:r w:rsidR="00AF52FD" w:rsidRPr="003D1E07">
        <w:t xml:space="preserve">scénář </w:t>
      </w:r>
      <w:r w:rsidR="00045452" w:rsidRPr="003D1E07">
        <w:t xml:space="preserve">poznání podle </w:t>
      </w:r>
      <w:r w:rsidR="00AF52FD" w:rsidRPr="003D1E07">
        <w:rPr>
          <w:i/>
        </w:rPr>
        <w:t>De anima</w:t>
      </w:r>
      <w:r w:rsidR="00FD4E55" w:rsidRPr="003D1E07">
        <w:rPr>
          <w:i/>
        </w:rPr>
        <w:t xml:space="preserve"> </w:t>
      </w:r>
      <w:r w:rsidR="003F05F8" w:rsidRPr="003D1E07">
        <w:t>III</w:t>
      </w:r>
      <w:r w:rsidR="00FD4E55" w:rsidRPr="003D1E07">
        <w:t>.4‒8</w:t>
      </w:r>
      <w:r w:rsidR="08F07695" w:rsidRPr="003D1E07">
        <w:t xml:space="preserve"> daný nasvícením jsoucna zepředu od smyslově poznané první substance. Jeho komentář proto odmítne </w:t>
      </w:r>
      <w:r w:rsidR="00E74AD5" w:rsidRPr="003D1E07">
        <w:rPr>
          <w:i/>
        </w:rPr>
        <w:fldChar w:fldCharType="begin"/>
      </w:r>
      <w:r w:rsidR="00E74AD5" w:rsidRPr="003D1E07">
        <w:instrText xml:space="preserve"> XE "</w:instrText>
      </w:r>
      <w:r w:rsidR="008E02F5" w:rsidRPr="003D1E07">
        <w:instrText>Aristoteles</w:instrText>
      </w:r>
      <w:r w:rsidR="00E74AD5" w:rsidRPr="003D1E07">
        <w:instrText>:</w:instrText>
      </w:r>
      <w:r w:rsidR="00E74AD5" w:rsidRPr="003D1E07">
        <w:rPr>
          <w:i/>
        </w:rPr>
        <w:instrText xml:space="preserve">De anima </w:instrText>
      </w:r>
      <w:r w:rsidR="00E74AD5" w:rsidRPr="003D1E07">
        <w:instrText xml:space="preserve">III.4‒8" </w:instrText>
      </w:r>
      <w:r w:rsidR="00E74AD5" w:rsidRPr="003D1E07">
        <w:rPr>
          <w:i/>
        </w:rPr>
        <w:fldChar w:fldCharType="end"/>
      </w:r>
      <w:r w:rsidR="00176A97" w:rsidRPr="003D1E07">
        <w:t xml:space="preserve">Alexandrův </w:t>
      </w:r>
      <w:r w:rsidR="00FA1F82" w:rsidRPr="003D1E07">
        <w:t xml:space="preserve">dualistický </w:t>
      </w:r>
      <w:r w:rsidR="00176A97" w:rsidRPr="003D1E07">
        <w:t>výklad</w:t>
      </w:r>
      <w:r w:rsidR="00FA1F82" w:rsidRPr="003D1E07">
        <w:t xml:space="preserve"> daný v </w:t>
      </w:r>
      <w:r w:rsidR="00874074" w:rsidRPr="003D1E07">
        <w:lastRenderedPageBreak/>
        <w:t>neoplatonsk</w:t>
      </w:r>
      <w:r w:rsidR="00FA1F82" w:rsidRPr="003D1E07">
        <w:t>ém schématu</w:t>
      </w:r>
      <w:r w:rsidR="00AF52FD" w:rsidRPr="003D1E07">
        <w:t xml:space="preserve">. </w:t>
      </w:r>
      <w:r w:rsidR="08F07695" w:rsidRPr="003D1E07">
        <w:t>Kr</w:t>
      </w:r>
      <w:r w:rsidR="003A330C" w:rsidRPr="003D1E07">
        <w:t>itický a</w:t>
      </w:r>
      <w:r w:rsidR="00586580" w:rsidRPr="003D1E07">
        <w:t xml:space="preserve">ristotelik </w:t>
      </w:r>
      <w:r w:rsidR="005D6D6D" w:rsidRPr="003D1E07">
        <w:t xml:space="preserve">se ptá na </w:t>
      </w:r>
      <w:r w:rsidR="00B10161" w:rsidRPr="003D1E07">
        <w:t xml:space="preserve">hermeneutický způsob, </w:t>
      </w:r>
      <w:r w:rsidR="009F43DF" w:rsidRPr="003D1E07">
        <w:t>„</w:t>
      </w:r>
      <w:r w:rsidR="006D38D4" w:rsidRPr="003D1E07">
        <w:t>jak</w:t>
      </w:r>
      <w:r w:rsidR="009F43DF" w:rsidRPr="003D1E07">
        <w:t>“</w:t>
      </w:r>
      <w:r w:rsidR="005D6D6D" w:rsidRPr="003D1E07">
        <w:t xml:space="preserve"> </w:t>
      </w:r>
      <w:r w:rsidR="00586580" w:rsidRPr="003D1E07">
        <w:t>(</w:t>
      </w:r>
      <w:r w:rsidR="00586580" w:rsidRPr="003D1E07">
        <w:rPr>
          <w:i/>
        </w:rPr>
        <w:t>Wie</w:t>
      </w:r>
      <w:r w:rsidR="005F22E0" w:rsidRPr="003D1E07">
        <w:rPr>
          <w:i/>
        </w:rPr>
        <w:fldChar w:fldCharType="begin"/>
      </w:r>
      <w:r w:rsidR="005F22E0" w:rsidRPr="003D1E07">
        <w:instrText xml:space="preserve"> XE "hermeneutické </w:instrText>
      </w:r>
      <w:r w:rsidR="005F22E0" w:rsidRPr="003D1E07">
        <w:rPr>
          <w:i/>
        </w:rPr>
        <w:instrText>Wie</w:instrText>
      </w:r>
      <w:r w:rsidR="0090520B" w:rsidRPr="003D1E07">
        <w:instrText>:Al-</w:instrText>
      </w:r>
      <w:r w:rsidR="008E02F5" w:rsidRPr="003D1E07">
        <w:instrText>Fárábí</w:instrText>
      </w:r>
      <w:r w:rsidR="005F22E0" w:rsidRPr="003D1E07">
        <w:instrText xml:space="preserve">" </w:instrText>
      </w:r>
      <w:r w:rsidR="005F22E0" w:rsidRPr="003D1E07">
        <w:rPr>
          <w:i/>
        </w:rPr>
        <w:fldChar w:fldCharType="end"/>
      </w:r>
      <w:r w:rsidR="00586580" w:rsidRPr="003D1E07">
        <w:t xml:space="preserve">) </w:t>
      </w:r>
      <w:r w:rsidR="005D6D6D" w:rsidRPr="003D1E07">
        <w:t xml:space="preserve">jsou v receptivní složce intelektu </w:t>
      </w:r>
      <w:r w:rsidR="006D38D4" w:rsidRPr="003D1E07">
        <w:t xml:space="preserve">aktualizovány nemateriální </w:t>
      </w:r>
      <w:r w:rsidR="00393A1F" w:rsidRPr="003D1E07">
        <w:t xml:space="preserve">poznané </w:t>
      </w:r>
      <w:r w:rsidR="006D38D4" w:rsidRPr="003D1E07">
        <w:t xml:space="preserve">formy. </w:t>
      </w:r>
      <w:r w:rsidR="00141938" w:rsidRPr="003D1E07">
        <w:t>Al-Fá</w:t>
      </w:r>
      <w:r w:rsidR="00537283" w:rsidRPr="003D1E07">
        <w:t>rábí</w:t>
      </w:r>
      <w:r w:rsidR="005C146B">
        <w:t xml:space="preserve"> </w:t>
      </w:r>
      <w:r w:rsidR="00537283" w:rsidRPr="003D1E07">
        <w:t xml:space="preserve">klade sobě a nástupcům tuto zásadní </w:t>
      </w:r>
      <w:r w:rsidR="00B10161" w:rsidRPr="003D1E07">
        <w:t>výzvu</w:t>
      </w:r>
      <w:r w:rsidR="00537283" w:rsidRPr="003D1E07">
        <w:t>.</w:t>
      </w:r>
    </w:p>
    <w:p w14:paraId="69EEC98E" w14:textId="7D45176E" w:rsidR="00047C76" w:rsidRPr="003D1E07" w:rsidRDefault="00047C76" w:rsidP="00860816">
      <w:pPr>
        <w:pStyle w:val="Citace"/>
        <w:rPr>
          <w:noProof/>
          <w:lang w:val="cs-CZ"/>
        </w:rPr>
      </w:pPr>
      <w:r w:rsidRPr="003D1E07">
        <w:rPr>
          <w:noProof/>
          <w:lang w:val="cs-CZ"/>
        </w:rPr>
        <w:t>„</w:t>
      </w:r>
      <w:r w:rsidR="08F91075" w:rsidRPr="003D1E07">
        <w:rPr>
          <w:noProof/>
          <w:lang w:val="cs-CZ"/>
        </w:rPr>
        <w:t xml:space="preserve">Vzhledem k tomuto způsobu je třeba si ujasnit, jak se formy existujících věcí dostanou do toho intelektu, který </w:t>
      </w:r>
      <w:r w:rsidR="008E02F5" w:rsidRPr="003D1E07">
        <w:rPr>
          <w:noProof/>
          <w:lang w:val="cs-CZ"/>
        </w:rPr>
        <w:t>Aristoteles</w:t>
      </w:r>
      <w:r w:rsidR="084003CC" w:rsidRPr="003D1E07">
        <w:rPr>
          <w:noProof/>
          <w:lang w:val="cs-CZ"/>
        </w:rPr>
        <w:t xml:space="preserve"> v </w:t>
      </w:r>
      <w:r w:rsidR="08F91075" w:rsidRPr="003D1E07">
        <w:rPr>
          <w:noProof/>
          <w:lang w:val="cs-CZ"/>
        </w:rPr>
        <w:t xml:space="preserve">knize </w:t>
      </w:r>
      <w:r w:rsidR="08F91075" w:rsidRPr="003D1E07">
        <w:rPr>
          <w:i/>
          <w:noProof/>
          <w:lang w:val="cs-CZ"/>
        </w:rPr>
        <w:t>O duši</w:t>
      </w:r>
      <w:r w:rsidR="08F91075" w:rsidRPr="003D1E07">
        <w:rPr>
          <w:noProof/>
          <w:lang w:val="cs-CZ"/>
        </w:rPr>
        <w:t xml:space="preserve"> nazývá «možný intelekt»</w:t>
      </w:r>
      <w:r w:rsidR="00FB7DAD">
        <w:rPr>
          <w:noProof/>
          <w:lang w:val="cs-CZ"/>
        </w:rPr>
        <w:t>.</w:t>
      </w:r>
      <w:r w:rsidR="08F91075" w:rsidRPr="003D1E07">
        <w:rPr>
          <w:noProof/>
          <w:lang w:val="cs-CZ"/>
        </w:rPr>
        <w:t>“</w:t>
      </w:r>
      <w:r w:rsidR="00FB7DAD">
        <w:rPr>
          <w:noProof/>
          <w:lang w:val="cs-CZ"/>
        </w:rPr>
        <w:t xml:space="preserve"> </w:t>
      </w:r>
      <w:r w:rsidRPr="003D1E07">
        <w:rPr>
          <w:rStyle w:val="Znakapoznpodarou"/>
          <w:noProof/>
          <w:lang w:val="cs-CZ"/>
        </w:rPr>
        <w:footnoteReference w:id="82"/>
      </w:r>
    </w:p>
    <w:p w14:paraId="578E3068" w14:textId="77777777" w:rsidR="002A1488" w:rsidRDefault="001F4B1B" w:rsidP="004F33F8">
      <w:r w:rsidRPr="003D1E07">
        <w:t xml:space="preserve">Nová forma pasivního intelektu u Alfarábího se liší od Alexandrova materiálního intelektu odděleného od smyslů tím, že nasvícení poznání jde zepředu, od reálných věcí ve světě. Na rozdíl od Alexandra integroval Al-Fárábí celkové zaměření Aristotelovy metafyziky do procesu poznání. </w:t>
      </w:r>
      <w:r w:rsidR="00990DA6" w:rsidRPr="003D1E07">
        <w:t xml:space="preserve">Alexandrův materiální intelekt se </w:t>
      </w:r>
      <w:r w:rsidR="0842616A" w:rsidRPr="003D1E07">
        <w:t xml:space="preserve">v učení Druhého mistra </w:t>
      </w:r>
      <w:r w:rsidR="00B92848">
        <w:t xml:space="preserve">zásadně </w:t>
      </w:r>
      <w:r w:rsidR="00990DA6" w:rsidRPr="003D1E07">
        <w:t>proměnil</w:t>
      </w:r>
      <w:r w:rsidR="00B92848">
        <w:t>. D</w:t>
      </w:r>
      <w:r w:rsidR="085A2B68" w:rsidRPr="003D1E07">
        <w:t xml:space="preserve">efinice poznání přešla </w:t>
      </w:r>
      <w:r w:rsidR="00990DA6" w:rsidRPr="003D1E07">
        <w:t xml:space="preserve">od </w:t>
      </w:r>
      <w:r w:rsidR="085A2B68" w:rsidRPr="003D1E07">
        <w:t xml:space="preserve">popisu </w:t>
      </w:r>
      <w:r w:rsidR="00874074" w:rsidRPr="003D1E07">
        <w:t>neoplatonsk</w:t>
      </w:r>
      <w:r w:rsidR="00990DA6" w:rsidRPr="003D1E07">
        <w:t xml:space="preserve">é architektury inteligencí k aristotelské </w:t>
      </w:r>
      <w:r w:rsidR="085A2B68" w:rsidRPr="003D1E07">
        <w:t xml:space="preserve">fenomenologické pozici zkoumající </w:t>
      </w:r>
      <w:r w:rsidR="0842616A" w:rsidRPr="003D1E07">
        <w:t xml:space="preserve">vznik </w:t>
      </w:r>
      <w:r w:rsidR="00990DA6" w:rsidRPr="003D1E07">
        <w:t xml:space="preserve">nemateriálních forem v lidském intelektu. </w:t>
      </w:r>
      <w:r w:rsidR="00B92848">
        <w:t xml:space="preserve">Bez poznání reálného světa by nevznikla kategoriální impozice významu. </w:t>
      </w:r>
      <w:r w:rsidR="00C66DBE" w:rsidRPr="003D1E07">
        <w:t xml:space="preserve">Díky nasvícení </w:t>
      </w:r>
      <w:r w:rsidR="087C7B9A" w:rsidRPr="003D1E07">
        <w:t xml:space="preserve">receptivního intelektu </w:t>
      </w:r>
      <w:r w:rsidR="00C66DBE" w:rsidRPr="003D1E07">
        <w:t>od smyslové zkušenosti v</w:t>
      </w:r>
      <w:r w:rsidR="08570380" w:rsidRPr="003D1E07">
        <w:t xml:space="preserve">zniká nová definice </w:t>
      </w:r>
      <w:r w:rsidR="00C66DBE" w:rsidRPr="003D1E07">
        <w:t xml:space="preserve">poznání, které je oddělené od smyslů a je aktualizováno </w:t>
      </w:r>
      <w:r w:rsidR="006743B4" w:rsidRPr="003D1E07">
        <w:t xml:space="preserve">pomocí abstrakce. Postup nasvícení </w:t>
      </w:r>
      <w:r w:rsidR="087C7B9A" w:rsidRPr="003D1E07">
        <w:t xml:space="preserve">v Aristotelově spise </w:t>
      </w:r>
      <w:r w:rsidR="087C7B9A" w:rsidRPr="003D1E07">
        <w:rPr>
          <w:i/>
        </w:rPr>
        <w:t>De anima</w:t>
      </w:r>
      <w:r w:rsidR="087C7B9A" w:rsidRPr="003D1E07">
        <w:t xml:space="preserve"> </w:t>
      </w:r>
      <w:r w:rsidR="006743B4" w:rsidRPr="003D1E07">
        <w:t>ukazuje, že nemateriální formy intelektu vznikají na základě smyslových forem</w:t>
      </w:r>
      <w:r w:rsidR="00C66DBE" w:rsidRPr="003D1E07">
        <w:t xml:space="preserve">. </w:t>
      </w:r>
      <w:r w:rsidR="00E15AEF" w:rsidRPr="003D1E07">
        <w:t>S</w:t>
      </w:r>
      <w:r w:rsidR="00D57130" w:rsidRPr="003D1E07">
        <w:t>myslov</w:t>
      </w:r>
      <w:r w:rsidR="00E15AEF" w:rsidRPr="003D1E07">
        <w:t xml:space="preserve">ě </w:t>
      </w:r>
      <w:r w:rsidR="00D57130" w:rsidRPr="003D1E07">
        <w:t xml:space="preserve">založené poznání </w:t>
      </w:r>
      <w:r w:rsidR="00D44C1D" w:rsidRPr="003D1E07">
        <w:t xml:space="preserve">jde </w:t>
      </w:r>
      <w:r w:rsidR="00C66DBE" w:rsidRPr="003D1E07">
        <w:t xml:space="preserve">cestou aristotelské abstrakce </w:t>
      </w:r>
      <w:r w:rsidR="00D44C1D" w:rsidRPr="003D1E07">
        <w:t xml:space="preserve">produkované </w:t>
      </w:r>
      <w:r w:rsidR="00C66DBE" w:rsidRPr="003D1E07">
        <w:t xml:space="preserve">v rámci druhé intence </w:t>
      </w:r>
      <w:r w:rsidR="00C66DBE" w:rsidRPr="003D1E07">
        <w:rPr>
          <w:rStyle w:val="Zvraznn"/>
          <w:i w:val="0"/>
        </w:rPr>
        <w:t>(</w:t>
      </w:r>
      <w:r w:rsidR="00C66DBE" w:rsidRPr="003D1E07">
        <w:rPr>
          <w:rStyle w:val="Zvraznn"/>
        </w:rPr>
        <w:t xml:space="preserve">ma'qūl </w:t>
      </w:r>
      <w:r w:rsidR="00C66DBE" w:rsidRPr="003D1E07">
        <w:rPr>
          <w:i/>
        </w:rPr>
        <w:t>ṭh</w:t>
      </w:r>
      <w:r w:rsidR="00C66DBE" w:rsidRPr="003D1E07">
        <w:rPr>
          <w:rStyle w:val="Zvraznn"/>
        </w:rPr>
        <w:t>ānī</w:t>
      </w:r>
      <w:r w:rsidR="00C66DBE" w:rsidRPr="003D1E07">
        <w:rPr>
          <w:rStyle w:val="Zvraznn"/>
          <w:i w:val="0"/>
        </w:rPr>
        <w:t xml:space="preserve">, </w:t>
      </w:r>
      <w:r w:rsidR="00C66DBE" w:rsidRPr="003D1E07">
        <w:rPr>
          <w:i/>
        </w:rPr>
        <w:t>intellectum secundum</w:t>
      </w:r>
      <w:r w:rsidR="000949F0" w:rsidRPr="003D1E07">
        <w:rPr>
          <w:rStyle w:val="Zvraznn"/>
        </w:rPr>
        <w:fldChar w:fldCharType="begin"/>
      </w:r>
      <w:r w:rsidR="000949F0" w:rsidRPr="003D1E07">
        <w:instrText xml:space="preserve"> XE "druhá intence" </w:instrText>
      </w:r>
      <w:r w:rsidR="000949F0" w:rsidRPr="003D1E07">
        <w:rPr>
          <w:rStyle w:val="Zvraznn"/>
        </w:rPr>
        <w:fldChar w:fldCharType="end"/>
      </w:r>
      <w:r w:rsidR="00D57130" w:rsidRPr="003D1E07">
        <w:t>)</w:t>
      </w:r>
      <w:r w:rsidR="00D44C1D" w:rsidRPr="003D1E07">
        <w:t xml:space="preserve">. Tato forma recepce svou </w:t>
      </w:r>
      <w:r w:rsidR="0049222E" w:rsidRPr="003D1E07">
        <w:t xml:space="preserve">potencialitou </w:t>
      </w:r>
      <w:r w:rsidR="00D57130" w:rsidRPr="003D1E07">
        <w:t>zakládá proces abstrakce</w:t>
      </w:r>
      <w:r w:rsidR="00C66DBE" w:rsidRPr="003D1E07">
        <w:rPr>
          <w:i/>
        </w:rPr>
        <w:fldChar w:fldCharType="begin"/>
      </w:r>
      <w:r w:rsidR="00C66DBE" w:rsidRPr="003D1E07">
        <w:instrText xml:space="preserve"> XE "intencionalita:Al-</w:instrText>
      </w:r>
      <w:r w:rsidR="008E02F5" w:rsidRPr="003D1E07">
        <w:instrText>Fárábí</w:instrText>
      </w:r>
      <w:r w:rsidR="00C66DBE" w:rsidRPr="003D1E07">
        <w:instrText xml:space="preserve">" </w:instrText>
      </w:r>
      <w:r w:rsidR="00C66DBE" w:rsidRPr="003D1E07">
        <w:rPr>
          <w:i/>
        </w:rPr>
        <w:fldChar w:fldCharType="end"/>
      </w:r>
      <w:r w:rsidR="00C66DBE" w:rsidRPr="003D1E07">
        <w:t xml:space="preserve">. Poznané formy v intelektu se díky abstrakci zásadně liší od </w:t>
      </w:r>
      <w:r w:rsidR="00B701CC" w:rsidRPr="003D1E07">
        <w:t xml:space="preserve">vyššího typu </w:t>
      </w:r>
      <w:r w:rsidR="00D51A6A" w:rsidRPr="003D1E07">
        <w:t>poznání</w:t>
      </w:r>
      <w:r w:rsidR="00B701CC" w:rsidRPr="003D1E07">
        <w:t>, které substanční</w:t>
      </w:r>
      <w:r w:rsidR="00D51A6A" w:rsidRPr="003D1E07">
        <w:t xml:space="preserve"> </w:t>
      </w:r>
      <w:r w:rsidR="00B701CC" w:rsidRPr="003D1E07">
        <w:rPr>
          <w:i/>
        </w:rPr>
        <w:t>intellectus agens</w:t>
      </w:r>
      <w:r w:rsidR="00B701CC" w:rsidRPr="003D1E07">
        <w:t xml:space="preserve"> </w:t>
      </w:r>
      <w:r w:rsidR="00D51A6A" w:rsidRPr="003D1E07">
        <w:t>provád</w:t>
      </w:r>
      <w:r w:rsidR="00B701CC" w:rsidRPr="003D1E07">
        <w:t xml:space="preserve">í </w:t>
      </w:r>
      <w:r w:rsidR="00D51A6A" w:rsidRPr="003D1E07">
        <w:t xml:space="preserve">na úrovni </w:t>
      </w:r>
      <w:r w:rsidR="00C66DBE" w:rsidRPr="003D1E07">
        <w:t>nemateriálních kosmických inteligencí</w:t>
      </w:r>
      <w:r w:rsidR="00C77EC0" w:rsidRPr="003D1E07">
        <w:t xml:space="preserve"> a forem</w:t>
      </w:r>
      <w:r w:rsidR="00C66DBE" w:rsidRPr="003D1E07">
        <w:t xml:space="preserve">. </w:t>
      </w:r>
      <w:r w:rsidR="083D0014" w:rsidRPr="003D1E07">
        <w:t xml:space="preserve">Receptivní poznání nejde primárně k aktuálním kosmickým formám v modu přímého náhledu skrze iluminaci. </w:t>
      </w:r>
      <w:r w:rsidR="087C7B9A" w:rsidRPr="003D1E07">
        <w:t>Poznání je podle Aristotela determinováno smysly a na intelektuální úrovni probíhá skrze abstrakci</w:t>
      </w:r>
      <w:r w:rsidR="002A1488">
        <w:t xml:space="preserve"> danou v receptivním intelektu.</w:t>
      </w:r>
    </w:p>
    <w:p w14:paraId="31B5F301" w14:textId="77777777" w:rsidR="00B142A6" w:rsidRDefault="00470A50" w:rsidP="002A1488">
      <w:pPr>
        <w:ind w:firstLine="397"/>
      </w:pPr>
      <w:r w:rsidRPr="003D1E07">
        <w:t>L</w:t>
      </w:r>
      <w:r w:rsidR="001374E8" w:rsidRPr="003D1E07">
        <w:t xml:space="preserve">atinský překlad výše uvedené </w:t>
      </w:r>
      <w:r w:rsidRPr="003D1E07">
        <w:t xml:space="preserve">pasáže od Dominica Gundissalina </w:t>
      </w:r>
      <w:r w:rsidR="00EF185F">
        <w:rPr>
          <w:noProof w:val="0"/>
          <w:lang w:val="en-US" w:eastAsia="x-none"/>
        </w:rPr>
        <w:t xml:space="preserve">(asi </w:t>
      </w:r>
      <w:r w:rsidR="00EF185F">
        <w:rPr>
          <w:rFonts w:cs="Calibri"/>
          <w:noProof w:val="0"/>
          <w:lang w:val="en-US" w:eastAsia="x-none"/>
        </w:rPr>
        <w:t>†</w:t>
      </w:r>
      <w:r w:rsidR="00EF185F">
        <w:rPr>
          <w:noProof w:val="0"/>
          <w:lang w:val="en-US" w:eastAsia="x-none"/>
        </w:rPr>
        <w:t xml:space="preserve">1190) </w:t>
      </w:r>
      <w:r w:rsidRPr="003D1E07">
        <w:t xml:space="preserve">z Toledské překladatelské školy nazývá tuto receptivní složku intelektu termínem </w:t>
      </w:r>
      <w:r w:rsidRPr="003D1E07">
        <w:rPr>
          <w:i/>
        </w:rPr>
        <w:t>intellectus in potencia</w:t>
      </w:r>
      <w:r w:rsidRPr="003D1E07">
        <w:t>.</w:t>
      </w:r>
      <w:r w:rsidRPr="003D1E07">
        <w:rPr>
          <w:rStyle w:val="Znakapoznpodarou"/>
        </w:rPr>
        <w:footnoteReference w:id="83"/>
      </w:r>
      <w:r w:rsidRPr="003D1E07">
        <w:t xml:space="preserve"> </w:t>
      </w:r>
      <w:r w:rsidR="00F74982" w:rsidRPr="003D1E07">
        <w:t xml:space="preserve">Výklad </w:t>
      </w:r>
      <w:r w:rsidR="087C7B9A" w:rsidRPr="003D1E07">
        <w:t xml:space="preserve">Druhého mistra </w:t>
      </w:r>
      <w:r w:rsidR="00F74982" w:rsidRPr="003D1E07">
        <w:t xml:space="preserve">se </w:t>
      </w:r>
      <w:r w:rsidR="087C7B9A" w:rsidRPr="003D1E07">
        <w:t xml:space="preserve">proto </w:t>
      </w:r>
      <w:r w:rsidR="00F74982" w:rsidRPr="003D1E07">
        <w:t xml:space="preserve">ptá po podstatě Aristotelova pasivního intelektu </w:t>
      </w:r>
      <w:r w:rsidR="00F74982" w:rsidRPr="003D1E07">
        <w:lastRenderedPageBreak/>
        <w:t>(</w:t>
      </w:r>
      <w:r w:rsidR="00F74982" w:rsidRPr="003D1E07">
        <w:rPr>
          <w:i/>
        </w:rPr>
        <w:t xml:space="preserve">intellectus </w:t>
      </w:r>
      <w:r w:rsidR="087C7B9A" w:rsidRPr="003D1E07">
        <w:rPr>
          <w:i/>
        </w:rPr>
        <w:t>in potencia</w:t>
      </w:r>
      <w:r w:rsidR="00F74982" w:rsidRPr="003D1E07">
        <w:rPr>
          <w:i/>
        </w:rPr>
        <w:fldChar w:fldCharType="begin"/>
      </w:r>
      <w:r w:rsidR="00F74982" w:rsidRPr="003D1E07">
        <w:instrText xml:space="preserve"> XE "</w:instrText>
      </w:r>
      <w:r w:rsidR="00F74982" w:rsidRPr="003D1E07">
        <w:rPr>
          <w:i/>
        </w:rPr>
        <w:instrText>intellectus possibilis</w:instrText>
      </w:r>
      <w:r w:rsidR="00F74982" w:rsidRPr="003D1E07">
        <w:instrText>:Al-</w:instrText>
      </w:r>
      <w:r w:rsidR="008E02F5" w:rsidRPr="003D1E07">
        <w:instrText>Fárábí</w:instrText>
      </w:r>
      <w:r w:rsidR="00F74982" w:rsidRPr="003D1E07">
        <w:instrText xml:space="preserve">" </w:instrText>
      </w:r>
      <w:r w:rsidR="00F74982" w:rsidRPr="003D1E07">
        <w:rPr>
          <w:i/>
        </w:rPr>
        <w:fldChar w:fldCharType="end"/>
      </w:r>
      <w:r w:rsidR="000E2697">
        <w:t>), a</w:t>
      </w:r>
      <w:r w:rsidR="00E53938" w:rsidRPr="003D1E07">
        <w:t>le neurču</w:t>
      </w:r>
      <w:r w:rsidR="08612C60" w:rsidRPr="003D1E07">
        <w:t xml:space="preserve">je tuto podstatu jako neoplatonskou esenci. Druhý mistr ve shodě s logikou výkladu tří částí </w:t>
      </w:r>
      <w:r w:rsidR="08612C60" w:rsidRPr="003D1E07">
        <w:rPr>
          <w:i/>
        </w:rPr>
        <w:t>O duši</w:t>
      </w:r>
      <w:r w:rsidR="08612C60" w:rsidRPr="003D1E07">
        <w:t xml:space="preserve"> postupující od smyslového poznání k inteligibilnímu (</w:t>
      </w:r>
      <w:r w:rsidR="08612C60" w:rsidRPr="003D1E07">
        <w:rPr>
          <w:i/>
        </w:rPr>
        <w:t>De anima</w:t>
      </w:r>
      <w:r w:rsidR="08612C60" w:rsidRPr="003D1E07">
        <w:t xml:space="preserve"> II a III) se ptá, jak intelekt pracuje, když poznává. </w:t>
      </w:r>
      <w:r w:rsidR="08B963FC" w:rsidRPr="003D1E07">
        <w:t>Al-</w:t>
      </w:r>
      <w:r w:rsidR="00141938" w:rsidRPr="003D1E07">
        <w:t>Fá</w:t>
      </w:r>
      <w:r w:rsidR="00F74982" w:rsidRPr="003D1E07">
        <w:t xml:space="preserve">rábího verze </w:t>
      </w:r>
      <w:r w:rsidR="00F74982" w:rsidRPr="003D1E07">
        <w:rPr>
          <w:i/>
        </w:rPr>
        <w:t>De intellectu</w:t>
      </w:r>
      <w:r w:rsidR="00F74982" w:rsidRPr="003D1E07">
        <w:t xml:space="preserve"> zakládá nové pole zjevování jsoucna vázané na definici </w:t>
      </w:r>
      <w:r w:rsidR="00F74982" w:rsidRPr="003D1E07">
        <w:rPr>
          <w:i/>
        </w:rPr>
        <w:t>intellectus possibilis</w:t>
      </w:r>
      <w:r w:rsidR="00F74982" w:rsidRPr="003D1E07">
        <w:rPr>
          <w:i/>
        </w:rPr>
        <w:fldChar w:fldCharType="begin"/>
      </w:r>
      <w:r w:rsidR="00F74982" w:rsidRPr="003D1E07">
        <w:instrText xml:space="preserve"> XE "</w:instrText>
      </w:r>
      <w:r w:rsidR="00F74982" w:rsidRPr="003D1E07">
        <w:rPr>
          <w:i/>
        </w:rPr>
        <w:instrText>intellectus possibilis</w:instrText>
      </w:r>
      <w:r w:rsidR="00F74982" w:rsidRPr="003D1E07">
        <w:instrText>:Al-</w:instrText>
      </w:r>
      <w:r w:rsidR="008E02F5" w:rsidRPr="003D1E07">
        <w:instrText>Fárábí</w:instrText>
      </w:r>
      <w:r w:rsidR="00F74982" w:rsidRPr="003D1E07">
        <w:instrText xml:space="preserve">" </w:instrText>
      </w:r>
      <w:r w:rsidR="00F74982" w:rsidRPr="003D1E07">
        <w:rPr>
          <w:i/>
        </w:rPr>
        <w:fldChar w:fldCharType="end"/>
      </w:r>
      <w:r w:rsidR="00F74982" w:rsidRPr="003D1E07">
        <w:t xml:space="preserve"> definovaném v rozporu s Alexandrem. Receptivní intelekt se stal potenciálním přímo v jednotlivém člověku, což citovaný Alexander </w:t>
      </w:r>
      <w:r w:rsidR="08836D36" w:rsidRPr="003D1E07">
        <w:t xml:space="preserve">výslovně </w:t>
      </w:r>
      <w:r w:rsidR="00F74982" w:rsidRPr="003D1E07">
        <w:t>odmítl (</w:t>
      </w:r>
      <w:r w:rsidR="00F74982" w:rsidRPr="003D1E07">
        <w:rPr>
          <w:rStyle w:val="TextpoznpodarouChar"/>
        </w:rPr>
        <w:t>νοῦς οὔτε διὰ σώματος</w:t>
      </w:r>
      <w:r w:rsidR="08836D36" w:rsidRPr="003D1E07">
        <w:t xml:space="preserve">). Abunaserova definice receptivního intelektu </w:t>
      </w:r>
      <w:r w:rsidR="00F74982" w:rsidRPr="003D1E07">
        <w:t xml:space="preserve">jej chápe v souladu s </w:t>
      </w:r>
      <w:r w:rsidR="00F74982" w:rsidRPr="003D1E07">
        <w:rPr>
          <w:i/>
        </w:rPr>
        <w:t>De anima</w:t>
      </w:r>
      <w:r w:rsidR="00F74982" w:rsidRPr="003D1E07">
        <w:t xml:space="preserve"> jako schopnost abstrakce esencí a forem z materiálních věcí (</w:t>
      </w:r>
      <w:r w:rsidR="00F74982" w:rsidRPr="003D1E07">
        <w:rPr>
          <w:i/>
        </w:rPr>
        <w:t>abstrahere quiditates omnium que sunt, et formas eorum a suis materiis</w:t>
      </w:r>
      <w:r w:rsidR="08F97324" w:rsidRPr="003D1E07">
        <w:rPr>
          <w:i/>
        </w:rPr>
        <w:t xml:space="preserve">, </w:t>
      </w:r>
      <w:r w:rsidR="08F97324" w:rsidRPr="003D1E07">
        <w:t>ed. Gilson, p. 117.86‒87</w:t>
      </w:r>
      <w:r w:rsidR="0859480C" w:rsidRPr="003D1E07">
        <w:rPr>
          <w:i/>
        </w:rPr>
        <w:fldChar w:fldCharType="begin"/>
      </w:r>
      <w:r w:rsidR="0859480C" w:rsidRPr="003D1E07">
        <w:instrText xml:space="preserve"> XE "Al-Fárábí:</w:instrText>
      </w:r>
      <w:r w:rsidR="0859480C" w:rsidRPr="003D1E07">
        <w:rPr>
          <w:i/>
        </w:rPr>
        <w:instrText>De intellectu</w:instrText>
      </w:r>
      <w:r w:rsidR="0859480C" w:rsidRPr="003D1E07">
        <w:instrText xml:space="preserve"> 117.86–87" </w:instrText>
      </w:r>
      <w:r w:rsidR="0859480C" w:rsidRPr="003D1E07">
        <w:rPr>
          <w:i/>
        </w:rPr>
        <w:fldChar w:fldCharType="end"/>
      </w:r>
      <w:r w:rsidR="00F74982" w:rsidRPr="003D1E07">
        <w:t>)</w:t>
      </w:r>
      <w:r w:rsidR="08F97324" w:rsidRPr="003D1E07">
        <w:t>. Abstrahované formy jsou nejprve receptivně přijaty do možného intelektu (</w:t>
      </w:r>
      <w:r w:rsidR="08F97324" w:rsidRPr="003D1E07">
        <w:rPr>
          <w:i/>
        </w:rPr>
        <w:t>ponere omnes illas formam sibi ipsi</w:t>
      </w:r>
      <w:r w:rsidR="08F97324" w:rsidRPr="003D1E07">
        <w:t>)</w:t>
      </w:r>
      <w:r w:rsidR="089A6B93" w:rsidRPr="003D1E07">
        <w:t xml:space="preserve"> a násled</w:t>
      </w:r>
      <w:r w:rsidR="08F97324" w:rsidRPr="003D1E07">
        <w:t>n</w:t>
      </w:r>
      <w:r w:rsidR="089A6B93" w:rsidRPr="003D1E07">
        <w:t xml:space="preserve">ě v aktivní části intelektu </w:t>
      </w:r>
      <w:r w:rsidR="08F97324" w:rsidRPr="003D1E07">
        <w:t xml:space="preserve"> </w:t>
      </w:r>
      <w:r w:rsidR="089A6B93" w:rsidRPr="003D1E07">
        <w:t xml:space="preserve">jsou </w:t>
      </w:r>
      <w:r w:rsidR="08F97324" w:rsidRPr="003D1E07">
        <w:t>form</w:t>
      </w:r>
      <w:r w:rsidR="08AB3E4A" w:rsidRPr="003D1E07">
        <w:t>ov</w:t>
      </w:r>
      <w:r w:rsidR="0859480C" w:rsidRPr="003D1E07">
        <w:t>ány do inteligibilní formy pozná</w:t>
      </w:r>
      <w:r w:rsidR="08F97324" w:rsidRPr="003D1E07">
        <w:t xml:space="preserve">ní </w:t>
      </w:r>
      <w:r w:rsidR="00F74982" w:rsidRPr="003D1E07">
        <w:t>(</w:t>
      </w:r>
      <w:r w:rsidR="00F74982" w:rsidRPr="003D1E07">
        <w:rPr>
          <w:i/>
        </w:rPr>
        <w:t>vel formas sibi ipsi</w:t>
      </w:r>
      <w:r w:rsidR="00F74982" w:rsidRPr="003D1E07">
        <w:t>; ed. Gilson</w:t>
      </w:r>
      <w:r w:rsidR="08F97324" w:rsidRPr="003D1E07">
        <w:t>, p. 117.87</w:t>
      </w:r>
      <w:r w:rsidR="00F74982" w:rsidRPr="003D1E07">
        <w:t>–88</w:t>
      </w:r>
      <w:r w:rsidR="00F74982" w:rsidRPr="003D1E07">
        <w:rPr>
          <w:i/>
        </w:rPr>
        <w:fldChar w:fldCharType="begin"/>
      </w:r>
      <w:r w:rsidR="00F74982" w:rsidRPr="003D1E07">
        <w:instrText xml:space="preserve"> XE "Al-</w:instrText>
      </w:r>
      <w:r w:rsidR="008E02F5" w:rsidRPr="003D1E07">
        <w:instrText>Fárábí</w:instrText>
      </w:r>
      <w:r w:rsidR="00F74982" w:rsidRPr="003D1E07">
        <w:instrText>:</w:instrText>
      </w:r>
      <w:r w:rsidR="00F74982" w:rsidRPr="003D1E07">
        <w:rPr>
          <w:i/>
        </w:rPr>
        <w:instrText>De intellectu</w:instrText>
      </w:r>
      <w:r w:rsidR="0859480C" w:rsidRPr="003D1E07">
        <w:instrText xml:space="preserve"> 117.87</w:instrText>
      </w:r>
      <w:r w:rsidR="00F74982" w:rsidRPr="003D1E07">
        <w:instrText xml:space="preserve">–88" </w:instrText>
      </w:r>
      <w:r w:rsidR="00F74982" w:rsidRPr="003D1E07">
        <w:rPr>
          <w:i/>
        </w:rPr>
        <w:fldChar w:fldCharType="end"/>
      </w:r>
      <w:r w:rsidR="00F74982" w:rsidRPr="003D1E07">
        <w:t xml:space="preserve">). </w:t>
      </w:r>
      <w:r w:rsidR="089A6B93" w:rsidRPr="003D1E07">
        <w:t xml:space="preserve">Smyslové formy přešly do intelektu skrze </w:t>
      </w:r>
      <w:r w:rsidR="0859480C" w:rsidRPr="003D1E07">
        <w:t>odpovídající recepci nemateriálních forem</w:t>
      </w:r>
      <w:r w:rsidR="089A6B93" w:rsidRPr="003D1E07">
        <w:t xml:space="preserve">. </w:t>
      </w:r>
      <w:r w:rsidR="00F74982" w:rsidRPr="003D1E07">
        <w:t>Definice receptivní schopnosti duše určuje novou hermeneutickou perspektivu náhledu (</w:t>
      </w:r>
      <w:r w:rsidR="00F74982" w:rsidRPr="003D1E07">
        <w:rPr>
          <w:i/>
        </w:rPr>
        <w:t>Vor</w:t>
      </w:r>
      <w:r w:rsidR="00F74982" w:rsidRPr="003D1E07">
        <w:rPr>
          <w:i/>
        </w:rPr>
        <w:noBreakHyphen/>
        <w:t>blickbahn</w:t>
      </w:r>
      <w:r w:rsidR="00F74982" w:rsidRPr="003D1E07">
        <w:rPr>
          <w:i/>
        </w:rPr>
        <w:fldChar w:fldCharType="begin"/>
      </w:r>
      <w:r w:rsidR="00F74982" w:rsidRPr="003D1E07">
        <w:instrText xml:space="preserve"> XE "</w:instrText>
      </w:r>
      <w:r w:rsidR="08106DC9" w:rsidRPr="003D1E07">
        <w:rPr>
          <w:i/>
        </w:rPr>
        <w:instrText>Vor-</w:instrText>
      </w:r>
      <w:r w:rsidR="00F74982" w:rsidRPr="003D1E07">
        <w:rPr>
          <w:i/>
        </w:rPr>
        <w:instrText>blickbahn</w:instrText>
      </w:r>
      <w:r w:rsidR="00F74982" w:rsidRPr="003D1E07">
        <w:instrText>:Al-</w:instrText>
      </w:r>
      <w:r w:rsidR="008E02F5" w:rsidRPr="003D1E07">
        <w:instrText>Fárábí</w:instrText>
      </w:r>
      <w:r w:rsidR="00F74982" w:rsidRPr="003D1E07">
        <w:instrText xml:space="preserve">" </w:instrText>
      </w:r>
      <w:r w:rsidR="00F74982" w:rsidRPr="003D1E07">
        <w:rPr>
          <w:i/>
        </w:rPr>
        <w:fldChar w:fldCharType="end"/>
      </w:r>
      <w:r w:rsidR="00F74982" w:rsidRPr="003D1E07">
        <w:t xml:space="preserve">) </w:t>
      </w:r>
      <w:r w:rsidR="005A25C7">
        <w:t xml:space="preserve">podle </w:t>
      </w:r>
      <w:r w:rsidR="00F74982" w:rsidRPr="003D1E07">
        <w:t xml:space="preserve">poznání daného nasvícením zepředu, od </w:t>
      </w:r>
      <w:r w:rsidR="005A25C7">
        <w:t xml:space="preserve">reálné věci vnímané </w:t>
      </w:r>
      <w:r w:rsidR="00F74982" w:rsidRPr="003D1E07">
        <w:t>smy</w:t>
      </w:r>
      <w:r w:rsidR="005A25C7">
        <w:t>sly</w:t>
      </w:r>
      <w:r w:rsidR="00F74982" w:rsidRPr="003D1E07">
        <w:t>. Lidský intelekt se liší od aktivního intelektu hvězdných sfér (</w:t>
      </w:r>
      <w:r w:rsidR="00F74982" w:rsidRPr="003D1E07">
        <w:rPr>
          <w:i/>
        </w:rPr>
        <w:t>intellectus agens</w:t>
      </w:r>
      <w:r w:rsidR="00F74982" w:rsidRPr="003D1E07">
        <w:rPr>
          <w:i/>
        </w:rPr>
        <w:fldChar w:fldCharType="begin"/>
      </w:r>
      <w:r w:rsidR="00F74982" w:rsidRPr="003D1E07">
        <w:instrText xml:space="preserve"> XE "</w:instrText>
      </w:r>
      <w:r w:rsidR="00F74982" w:rsidRPr="003D1E07">
        <w:rPr>
          <w:i/>
        </w:rPr>
        <w:instrText>intellectus agens:</w:instrText>
      </w:r>
      <w:r w:rsidR="00F74982" w:rsidRPr="003D1E07">
        <w:instrText>Al-</w:instrText>
      </w:r>
      <w:r w:rsidR="008E02F5" w:rsidRPr="003D1E07">
        <w:instrText>Fárábí</w:instrText>
      </w:r>
      <w:r w:rsidR="00F74982" w:rsidRPr="003D1E07">
        <w:instrText xml:space="preserve">" </w:instrText>
      </w:r>
      <w:r w:rsidR="00F74982" w:rsidRPr="003D1E07">
        <w:rPr>
          <w:i/>
        </w:rPr>
        <w:fldChar w:fldCharType="end"/>
      </w:r>
      <w:r w:rsidR="00F74982" w:rsidRPr="003D1E07">
        <w:t>) tím, že je vázaný na proces abstrakce</w:t>
      </w:r>
      <w:r w:rsidR="080B3E33" w:rsidRPr="003D1E07">
        <w:t xml:space="preserve"> a na recepci </w:t>
      </w:r>
      <w:r w:rsidR="08AA297B" w:rsidRPr="003D1E07">
        <w:t xml:space="preserve">smyslových forem </w:t>
      </w:r>
      <w:r w:rsidR="080B3E33" w:rsidRPr="003D1E07">
        <w:t xml:space="preserve">skrze </w:t>
      </w:r>
      <w:r w:rsidR="080B3E33" w:rsidRPr="003D1E07">
        <w:rPr>
          <w:i/>
        </w:rPr>
        <w:t>intellectus in potencia</w:t>
      </w:r>
      <w:r w:rsidR="00F74982" w:rsidRPr="003D1E07">
        <w:t xml:space="preserve">. Hlavní roli v definici </w:t>
      </w:r>
      <w:r w:rsidR="08E40959" w:rsidRPr="003D1E07">
        <w:t xml:space="preserve">receptivního intelektu </w:t>
      </w:r>
      <w:r w:rsidR="00F74982" w:rsidRPr="003D1E07">
        <w:t xml:space="preserve">už nehraje dedukce forem podle </w:t>
      </w:r>
      <w:r w:rsidR="00F74982" w:rsidRPr="003D1E07">
        <w:rPr>
          <w:i/>
        </w:rPr>
        <w:t>Liber de causis</w:t>
      </w:r>
      <w:r w:rsidR="00F74982" w:rsidRPr="003D1E07">
        <w:rPr>
          <w:i/>
        </w:rPr>
        <w:fldChar w:fldCharType="begin"/>
      </w:r>
      <w:r w:rsidR="00F74982" w:rsidRPr="003D1E07">
        <w:instrText xml:space="preserve"> XE "</w:instrText>
      </w:r>
      <w:r w:rsidR="00F74982" w:rsidRPr="003D1E07">
        <w:rPr>
          <w:i/>
        </w:rPr>
        <w:instrText>Liber de causis</w:instrText>
      </w:r>
      <w:r w:rsidR="00F74982" w:rsidRPr="003D1E07">
        <w:instrText xml:space="preserve">" </w:instrText>
      </w:r>
      <w:r w:rsidR="00F74982" w:rsidRPr="003D1E07">
        <w:rPr>
          <w:i/>
        </w:rPr>
        <w:fldChar w:fldCharType="end"/>
      </w:r>
      <w:r w:rsidR="00F74982" w:rsidRPr="003D1E07">
        <w:t xml:space="preserve">, ale reálný průběh poznání podle Aristotelovy </w:t>
      </w:r>
      <w:r w:rsidR="00F74982" w:rsidRPr="003D1E07">
        <w:rPr>
          <w:i/>
        </w:rPr>
        <w:t>De anima</w:t>
      </w:r>
      <w:r w:rsidR="00F74982" w:rsidRPr="003D1E07">
        <w:t xml:space="preserve">. </w:t>
      </w:r>
      <w:r w:rsidR="00E1689A" w:rsidRPr="003D1E07">
        <w:t>Abunaserovo p</w:t>
      </w:r>
      <w:r w:rsidR="00620E42" w:rsidRPr="003D1E07">
        <w:t xml:space="preserve">ojednání o intelektu </w:t>
      </w:r>
      <w:r w:rsidR="006C443B" w:rsidRPr="003D1E07">
        <w:t xml:space="preserve">zdůrazňuje </w:t>
      </w:r>
      <w:r w:rsidR="00620E42" w:rsidRPr="003D1E07">
        <w:t xml:space="preserve">podle </w:t>
      </w:r>
      <w:r w:rsidR="00620E42" w:rsidRPr="003D1E07">
        <w:rPr>
          <w:i/>
        </w:rPr>
        <w:t>De anima</w:t>
      </w:r>
      <w:r w:rsidR="00620E42" w:rsidRPr="003D1E07">
        <w:t xml:space="preserve"> </w:t>
      </w:r>
      <w:r w:rsidR="00F669BF" w:rsidRPr="003D1E07">
        <w:t xml:space="preserve">zásadní </w:t>
      </w:r>
      <w:r w:rsidR="006C443B" w:rsidRPr="003D1E07">
        <w:t xml:space="preserve">úlohu </w:t>
      </w:r>
      <w:r w:rsidR="00703DCA" w:rsidRPr="003D1E07">
        <w:t xml:space="preserve">pasivního intelektu v procesu abstrakce. </w:t>
      </w:r>
      <w:r w:rsidR="00B35F6F" w:rsidRPr="003D1E07">
        <w:t xml:space="preserve">Smyslové poznání je </w:t>
      </w:r>
      <w:r w:rsidR="08E40959" w:rsidRPr="003D1E07">
        <w:t xml:space="preserve">nejprve </w:t>
      </w:r>
      <w:r w:rsidR="00B35F6F" w:rsidRPr="003D1E07">
        <w:t xml:space="preserve">recipováno v nemateriálním lidském intelektu a tato syntéza umožňuje poznání. Středovou pozici </w:t>
      </w:r>
      <w:r w:rsidR="00CE0AC9" w:rsidRPr="003D1E07">
        <w:rPr>
          <w:lang w:eastAsia="x-none"/>
        </w:rPr>
        <w:t>(</w:t>
      </w:r>
      <w:r w:rsidR="00CE0AC9" w:rsidRPr="003D1E07">
        <w:rPr>
          <w:i/>
          <w:lang w:eastAsia="x-none"/>
        </w:rPr>
        <w:t>medium</w:t>
      </w:r>
      <w:r w:rsidR="00CE0AC9" w:rsidRPr="003D1E07">
        <w:rPr>
          <w:lang w:eastAsia="x-none"/>
        </w:rPr>
        <w:t xml:space="preserve">) v procesu poznání </w:t>
      </w:r>
      <w:r w:rsidR="00B35F6F" w:rsidRPr="003D1E07">
        <w:t>získal lidský intelekt aktivizací zepředu, od existující materiální substance</w:t>
      </w:r>
      <w:r w:rsidR="00B35F6F" w:rsidRPr="003D1E07">
        <w:fldChar w:fldCharType="begin"/>
      </w:r>
      <w:r w:rsidR="00B35F6F" w:rsidRPr="003D1E07">
        <w:instrText xml:space="preserve"> XE "substance:hylemorfická" </w:instrText>
      </w:r>
      <w:r w:rsidR="00B35F6F" w:rsidRPr="003D1E07">
        <w:fldChar w:fldCharType="end"/>
      </w:r>
      <w:r w:rsidR="00B35F6F" w:rsidRPr="003D1E07">
        <w:t xml:space="preserve"> poznané skrze novou formu potenciálního intelektu. </w:t>
      </w:r>
      <w:r w:rsidR="00F669BF" w:rsidRPr="003D1E07">
        <w:t>Jedině pasivní, pote</w:t>
      </w:r>
      <w:r w:rsidR="006419F5" w:rsidRPr="003D1E07">
        <w:t>n</w:t>
      </w:r>
      <w:r w:rsidR="00F669BF" w:rsidRPr="003D1E07">
        <w:t xml:space="preserve">ciální a tím i plně receptivní schopnost intelektuální duše </w:t>
      </w:r>
      <w:r w:rsidR="006419F5" w:rsidRPr="003D1E07">
        <w:t>v</w:t>
      </w:r>
      <w:r w:rsidR="00DF74C1" w:rsidRPr="003D1E07">
        <w:t xml:space="preserve"> existující </w:t>
      </w:r>
      <w:r w:rsidR="006419F5" w:rsidRPr="003D1E07">
        <w:t xml:space="preserve">osobě jako </w:t>
      </w:r>
      <w:r w:rsidR="00DF74C1" w:rsidRPr="003D1E07">
        <w:t xml:space="preserve">aktuální </w:t>
      </w:r>
      <w:r w:rsidR="006419F5" w:rsidRPr="003D1E07">
        <w:t xml:space="preserve">první substanci </w:t>
      </w:r>
      <w:r w:rsidR="08763947" w:rsidRPr="003D1E07">
        <w:t>zajistí, že duše se stane</w:t>
      </w:r>
      <w:r w:rsidR="00F669BF" w:rsidRPr="003D1E07">
        <w:t xml:space="preserve"> plně otevřenou pro veškeré poznání. Latinsk</w:t>
      </w:r>
      <w:r w:rsidR="00FE5112" w:rsidRPr="003D1E07">
        <w:t xml:space="preserve">á scholastika </w:t>
      </w:r>
      <w:r w:rsidR="00F669BF" w:rsidRPr="003D1E07">
        <w:t xml:space="preserve">tuto tezi zná v termínu </w:t>
      </w:r>
      <w:r w:rsidR="08085A70" w:rsidRPr="003D1E07">
        <w:rPr>
          <w:rStyle w:val="FontStyle129"/>
          <w:rFonts w:ascii="Calibri" w:hAnsi="Calibri"/>
          <w:sz w:val="24"/>
        </w:rPr>
        <w:t>„duše je nějak vším“ (</w:t>
      </w:r>
      <w:r w:rsidR="00F669BF" w:rsidRPr="003D1E07">
        <w:rPr>
          <w:rStyle w:val="st"/>
          <w:bCs/>
          <w:i/>
        </w:rPr>
        <w:t>anima</w:t>
      </w:r>
      <w:r w:rsidR="00F669BF" w:rsidRPr="003D1E07">
        <w:rPr>
          <w:rStyle w:val="st"/>
          <w:i/>
        </w:rPr>
        <w:t xml:space="preserve"> est </w:t>
      </w:r>
      <w:r w:rsidR="00F669BF" w:rsidRPr="003D1E07">
        <w:rPr>
          <w:rStyle w:val="st"/>
          <w:bCs/>
          <w:i/>
        </w:rPr>
        <w:t>quodammodo omnia</w:t>
      </w:r>
      <w:r w:rsidR="08085A70" w:rsidRPr="003D1E07">
        <w:rPr>
          <w:rStyle w:val="FontStyle129"/>
          <w:rFonts w:ascii="Calibri" w:hAnsi="Calibri"/>
          <w:sz w:val="24"/>
        </w:rPr>
        <w:t>)</w:t>
      </w:r>
      <w:r w:rsidR="00F669BF" w:rsidRPr="003D1E07">
        <w:rPr>
          <w:rStyle w:val="FontStyle129"/>
          <w:rFonts w:ascii="Calibri" w:hAnsi="Calibri"/>
          <w:sz w:val="24"/>
        </w:rPr>
        <w:t xml:space="preserve"> </w:t>
      </w:r>
      <w:r w:rsidR="002F14EB" w:rsidRPr="003D1E07">
        <w:rPr>
          <w:rStyle w:val="FontStyle129"/>
          <w:rFonts w:ascii="Calibri" w:hAnsi="Calibri"/>
          <w:sz w:val="24"/>
        </w:rPr>
        <w:t>podle originální</w:t>
      </w:r>
      <w:r w:rsidR="08085A70" w:rsidRPr="003D1E07">
        <w:rPr>
          <w:rStyle w:val="FontStyle129"/>
          <w:rFonts w:ascii="Calibri" w:hAnsi="Calibri"/>
          <w:sz w:val="24"/>
        </w:rPr>
        <w:t>ho</w:t>
      </w:r>
      <w:r w:rsidR="002F14EB" w:rsidRPr="003D1E07">
        <w:rPr>
          <w:rStyle w:val="FontStyle129"/>
          <w:rFonts w:ascii="Calibri" w:hAnsi="Calibri"/>
          <w:sz w:val="24"/>
        </w:rPr>
        <w:t xml:space="preserve"> </w:t>
      </w:r>
      <w:r w:rsidR="08085A70" w:rsidRPr="003D1E07">
        <w:rPr>
          <w:rStyle w:val="FontStyle129"/>
          <w:rFonts w:ascii="Calibri" w:hAnsi="Calibri"/>
          <w:sz w:val="24"/>
        </w:rPr>
        <w:t xml:space="preserve">tázání Aristotela </w:t>
      </w:r>
      <w:r w:rsidR="00F669BF" w:rsidRPr="003D1E07">
        <w:rPr>
          <w:rStyle w:val="FontStyle129"/>
          <w:rFonts w:ascii="Calibri" w:hAnsi="Calibri"/>
          <w:sz w:val="24"/>
        </w:rPr>
        <w:t>(</w:t>
      </w:r>
      <w:r w:rsidR="00F669BF" w:rsidRPr="003D1E07">
        <w:t>ψυχὴ τὰ ὄντα πώς ἐστι πάντα</w:t>
      </w:r>
      <w:r w:rsidR="00F669BF" w:rsidRPr="003D1E07">
        <w:rPr>
          <w:rStyle w:val="FontStyle129"/>
          <w:rFonts w:ascii="Calibri" w:hAnsi="Calibri"/>
          <w:sz w:val="24"/>
        </w:rPr>
        <w:t xml:space="preserve">, </w:t>
      </w:r>
      <w:r w:rsidR="00B713C5" w:rsidRPr="003D1E07">
        <w:rPr>
          <w:rStyle w:val="FontStyle129"/>
          <w:rFonts w:ascii="Calibri" w:hAnsi="Calibri"/>
          <w:i/>
          <w:sz w:val="24"/>
        </w:rPr>
        <w:t>De anima</w:t>
      </w:r>
      <w:r w:rsidR="00F669BF" w:rsidRPr="003D1E07">
        <w:rPr>
          <w:rStyle w:val="FontStyle129"/>
          <w:rFonts w:ascii="Calibri" w:hAnsi="Calibri"/>
          <w:sz w:val="24"/>
        </w:rPr>
        <w:t xml:space="preserve"> 431b21</w:t>
      </w:r>
      <w:r w:rsidR="00CC4EF9" w:rsidRPr="003D1E07">
        <w:rPr>
          <w:i/>
        </w:rPr>
        <w:fldChar w:fldCharType="begin"/>
      </w:r>
      <w:r w:rsidR="00CC4EF9" w:rsidRPr="003D1E07">
        <w:instrText xml:space="preserve"> XE "</w:instrText>
      </w:r>
      <w:r w:rsidR="008E02F5" w:rsidRPr="003D1E07">
        <w:instrText>Aristoteles</w:instrText>
      </w:r>
      <w:r w:rsidR="00CC4EF9" w:rsidRPr="003D1E07">
        <w:instrText>:</w:instrText>
      </w:r>
      <w:r w:rsidR="00CC4EF9" w:rsidRPr="003D1E07">
        <w:rPr>
          <w:i/>
        </w:rPr>
        <w:instrText>De anima</w:instrText>
      </w:r>
      <w:r w:rsidR="00CC4EF9" w:rsidRPr="003D1E07">
        <w:instrText xml:space="preserve"> </w:instrText>
      </w:r>
      <w:r w:rsidR="00CC4EF9" w:rsidRPr="003D1E07">
        <w:rPr>
          <w:rStyle w:val="FontStyle129"/>
          <w:rFonts w:ascii="Calibri" w:hAnsi="Calibri"/>
          <w:sz w:val="24"/>
        </w:rPr>
        <w:instrText>431b21</w:instrText>
      </w:r>
      <w:r w:rsidR="00CC4EF9" w:rsidRPr="003D1E07">
        <w:instrText xml:space="preserve">" </w:instrText>
      </w:r>
      <w:r w:rsidR="00CC4EF9" w:rsidRPr="003D1E07">
        <w:rPr>
          <w:i/>
        </w:rPr>
        <w:fldChar w:fldCharType="end"/>
      </w:r>
      <w:r w:rsidR="00F669BF" w:rsidRPr="003D1E07">
        <w:rPr>
          <w:rStyle w:val="FontStyle129"/>
          <w:rFonts w:ascii="Calibri" w:hAnsi="Calibri"/>
          <w:sz w:val="24"/>
        </w:rPr>
        <w:t xml:space="preserve">). </w:t>
      </w:r>
      <w:r w:rsidR="08085A70" w:rsidRPr="003D1E07">
        <w:rPr>
          <w:rStyle w:val="FontStyle129"/>
          <w:rFonts w:ascii="Calibri" w:hAnsi="Calibri"/>
          <w:sz w:val="24"/>
        </w:rPr>
        <w:t xml:space="preserve">Druhý mistr postupuje v případě výkladu </w:t>
      </w:r>
      <w:r w:rsidR="08085A70" w:rsidRPr="003D1E07">
        <w:rPr>
          <w:rStyle w:val="FontStyle129"/>
          <w:rFonts w:ascii="Calibri" w:hAnsi="Calibri"/>
          <w:i/>
          <w:sz w:val="24"/>
        </w:rPr>
        <w:t>De anima</w:t>
      </w:r>
      <w:r w:rsidR="08085A70" w:rsidRPr="003D1E07">
        <w:rPr>
          <w:rStyle w:val="FontStyle129"/>
          <w:rFonts w:ascii="Calibri" w:hAnsi="Calibri"/>
          <w:sz w:val="24"/>
        </w:rPr>
        <w:t xml:space="preserve"> stejně prozíravě a pečlivě jako v případě výkladu </w:t>
      </w:r>
      <w:r w:rsidR="08085A70" w:rsidRPr="003D1E07">
        <w:rPr>
          <w:rStyle w:val="FontStyle129"/>
          <w:rFonts w:ascii="Calibri" w:hAnsi="Calibri"/>
          <w:i/>
          <w:sz w:val="24"/>
        </w:rPr>
        <w:t>Kategorií</w:t>
      </w:r>
      <w:r w:rsidR="08085A70" w:rsidRPr="003D1E07">
        <w:rPr>
          <w:rStyle w:val="FontStyle129"/>
          <w:rFonts w:ascii="Calibri" w:hAnsi="Calibri"/>
          <w:sz w:val="24"/>
        </w:rPr>
        <w:t>. Nejprve etabl</w:t>
      </w:r>
      <w:r w:rsidR="08BD03A2" w:rsidRPr="003D1E07">
        <w:rPr>
          <w:rStyle w:val="FontStyle129"/>
          <w:rFonts w:ascii="Calibri" w:hAnsi="Calibri"/>
          <w:sz w:val="24"/>
        </w:rPr>
        <w:t xml:space="preserve">uje původní aristotelský výklad poznání, který vezme za svůj a pak se tento postoj </w:t>
      </w:r>
      <w:r w:rsidR="08085A70" w:rsidRPr="003D1E07">
        <w:rPr>
          <w:rStyle w:val="FontStyle129"/>
          <w:rFonts w:ascii="Calibri" w:hAnsi="Calibri"/>
          <w:sz w:val="24"/>
        </w:rPr>
        <w:t xml:space="preserve">snaží smířit s neoplatonskou školou. </w:t>
      </w:r>
      <w:r w:rsidR="00097CCE" w:rsidRPr="00097CCE">
        <w:rPr>
          <w:rStyle w:val="FontStyle129"/>
          <w:rFonts w:ascii="Calibri" w:hAnsi="Calibri"/>
          <w:sz w:val="24"/>
        </w:rPr>
        <w:t xml:space="preserve">Aristotelská definice sleduje expozici poznávacího procesu prostřednictvím </w:t>
      </w:r>
      <w:r w:rsidR="00097CCE">
        <w:rPr>
          <w:rStyle w:val="FontStyle129"/>
          <w:rFonts w:ascii="Calibri" w:hAnsi="Calibri"/>
          <w:sz w:val="24"/>
        </w:rPr>
        <w:t xml:space="preserve">nasvícení </w:t>
      </w:r>
      <w:r w:rsidR="00097CCE" w:rsidRPr="00097CCE">
        <w:rPr>
          <w:rStyle w:val="FontStyle129"/>
          <w:rFonts w:ascii="Calibri" w:hAnsi="Calibri"/>
          <w:sz w:val="24"/>
        </w:rPr>
        <w:t>zepředu. První krok poznání musí být proved</w:t>
      </w:r>
      <w:r w:rsidR="00097CCE">
        <w:rPr>
          <w:rStyle w:val="FontStyle129"/>
          <w:rFonts w:ascii="Calibri" w:hAnsi="Calibri"/>
          <w:sz w:val="24"/>
        </w:rPr>
        <w:t xml:space="preserve">en formou </w:t>
      </w:r>
      <w:r w:rsidR="00097CCE">
        <w:rPr>
          <w:rStyle w:val="FontStyle129"/>
          <w:rFonts w:ascii="Calibri" w:hAnsi="Calibri"/>
          <w:sz w:val="24"/>
        </w:rPr>
        <w:lastRenderedPageBreak/>
        <w:t>kategoriální impozice</w:t>
      </w:r>
      <w:r w:rsidR="00CD0CA8">
        <w:rPr>
          <w:rStyle w:val="FontStyle129"/>
          <w:rFonts w:ascii="Calibri" w:hAnsi="Calibri"/>
          <w:sz w:val="24"/>
        </w:rPr>
        <w:t>, jinak není korespondence intelektu a reality</w:t>
      </w:r>
      <w:r w:rsidR="00097CCE" w:rsidRPr="00097CCE">
        <w:rPr>
          <w:rStyle w:val="FontStyle129"/>
          <w:rFonts w:ascii="Calibri" w:hAnsi="Calibri"/>
          <w:sz w:val="24"/>
        </w:rPr>
        <w:t xml:space="preserve">. První krok poznání musí být proveden formou </w:t>
      </w:r>
      <w:r w:rsidR="00C31AEE">
        <w:rPr>
          <w:rStyle w:val="FontStyle129"/>
          <w:rFonts w:ascii="Calibri" w:hAnsi="Calibri"/>
          <w:sz w:val="24"/>
        </w:rPr>
        <w:t>kategoriální impozice</w:t>
      </w:r>
      <w:r w:rsidR="00097CCE" w:rsidRPr="00097CCE">
        <w:rPr>
          <w:rStyle w:val="FontStyle129"/>
          <w:rFonts w:ascii="Calibri" w:hAnsi="Calibri"/>
          <w:sz w:val="24"/>
        </w:rPr>
        <w:t xml:space="preserve">. Následně Alfarabi nastiňuje dovršení poznání v podobě </w:t>
      </w:r>
      <w:r w:rsidR="00C31AEE">
        <w:rPr>
          <w:rStyle w:val="FontStyle129"/>
          <w:rFonts w:ascii="Calibri" w:hAnsi="Calibri"/>
          <w:sz w:val="24"/>
        </w:rPr>
        <w:t>supozice</w:t>
      </w:r>
      <w:r w:rsidR="00097CCE" w:rsidRPr="00097CCE">
        <w:rPr>
          <w:rStyle w:val="FontStyle129"/>
          <w:rFonts w:ascii="Calibri" w:hAnsi="Calibri"/>
          <w:sz w:val="24"/>
        </w:rPr>
        <w:t xml:space="preserve">, </w:t>
      </w:r>
      <w:r w:rsidR="00C31AEE">
        <w:rPr>
          <w:rStyle w:val="FontStyle129"/>
          <w:rFonts w:ascii="Calibri" w:hAnsi="Calibri"/>
          <w:sz w:val="24"/>
        </w:rPr>
        <w:t xml:space="preserve">kdy platí neoplatonský scénář nasvícení </w:t>
      </w:r>
      <w:r w:rsidR="003D74B4">
        <w:rPr>
          <w:rStyle w:val="FontStyle129"/>
          <w:rFonts w:ascii="Calibri" w:hAnsi="Calibri"/>
          <w:sz w:val="24"/>
        </w:rPr>
        <w:t xml:space="preserve">intelektu </w:t>
      </w:r>
      <w:r w:rsidR="00C31AEE">
        <w:rPr>
          <w:rStyle w:val="FontStyle129"/>
          <w:rFonts w:ascii="Calibri" w:hAnsi="Calibri"/>
          <w:sz w:val="24"/>
        </w:rPr>
        <w:t>od kosmických forem</w:t>
      </w:r>
      <w:r w:rsidR="00097CCE" w:rsidRPr="00097CCE">
        <w:rPr>
          <w:rStyle w:val="FontStyle129"/>
          <w:rFonts w:ascii="Calibri" w:hAnsi="Calibri"/>
          <w:sz w:val="24"/>
        </w:rPr>
        <w:t>.</w:t>
      </w:r>
      <w:r w:rsidR="00C31AEE">
        <w:rPr>
          <w:rStyle w:val="FontStyle129"/>
          <w:rFonts w:ascii="Calibri" w:hAnsi="Calibri"/>
          <w:sz w:val="24"/>
        </w:rPr>
        <w:t xml:space="preserve"> A</w:t>
      </w:r>
      <w:r w:rsidR="00F9726A" w:rsidRPr="003D1E07">
        <w:t xml:space="preserve">ristotelská </w:t>
      </w:r>
      <w:r w:rsidR="08085A70" w:rsidRPr="003D1E07">
        <w:t xml:space="preserve">definice poznání daná nasvícením zepředu </w:t>
      </w:r>
      <w:r w:rsidR="00F9726A" w:rsidRPr="003D1E07">
        <w:t xml:space="preserve">byla </w:t>
      </w:r>
      <w:r w:rsidR="0842339D" w:rsidRPr="003D1E07">
        <w:t xml:space="preserve">ve druhém kroku </w:t>
      </w:r>
      <w:r w:rsidR="00F9726A" w:rsidRPr="003D1E07">
        <w:t xml:space="preserve">doplněna </w:t>
      </w:r>
      <w:r w:rsidR="00874074" w:rsidRPr="003D1E07">
        <w:t>neoplatonsk</w:t>
      </w:r>
      <w:r w:rsidR="00F9726A" w:rsidRPr="003D1E07">
        <w:t>ým scénářem nasvícení smyslu jsoucna zezadu</w:t>
      </w:r>
      <w:r w:rsidR="00E04FD5" w:rsidRPr="003D1E07">
        <w:t>. P</w:t>
      </w:r>
      <w:r w:rsidR="00960D11" w:rsidRPr="003D1E07">
        <w:t xml:space="preserve">roces poznání běží </w:t>
      </w:r>
      <w:r w:rsidR="00F1720A" w:rsidRPr="003D1E07">
        <w:t xml:space="preserve">v tomto případě </w:t>
      </w:r>
      <w:r w:rsidR="00F76B11" w:rsidRPr="003D1E07">
        <w:t xml:space="preserve">skrze efektivní působení vyšších nemateriálních forem daných jako plně aktivní </w:t>
      </w:r>
      <w:r w:rsidR="00F9726A" w:rsidRPr="003D1E07">
        <w:t xml:space="preserve">kosmický </w:t>
      </w:r>
      <w:r w:rsidR="00F76B11" w:rsidRPr="003D1E07">
        <w:t>intelekt (</w:t>
      </w:r>
      <w:r w:rsidR="00F76B11" w:rsidRPr="003D1E07">
        <w:rPr>
          <w:i/>
        </w:rPr>
        <w:t>intellectus agens</w:t>
      </w:r>
      <w:r w:rsidR="00DF1F0F" w:rsidRPr="003D1E07">
        <w:rPr>
          <w:i/>
        </w:rPr>
        <w:fldChar w:fldCharType="begin"/>
      </w:r>
      <w:r w:rsidR="00DF1F0F" w:rsidRPr="003D1E07">
        <w:instrText xml:space="preserve"> XE "</w:instrText>
      </w:r>
      <w:r w:rsidR="00DF1F0F" w:rsidRPr="003D1E07">
        <w:rPr>
          <w:i/>
        </w:rPr>
        <w:instrText>intellectus agens:</w:instrText>
      </w:r>
      <w:r w:rsidR="00DF1F0F" w:rsidRPr="003D1E07">
        <w:instrText xml:space="preserve">neoplatonismus" </w:instrText>
      </w:r>
      <w:r w:rsidR="00DF1F0F" w:rsidRPr="003D1E07">
        <w:rPr>
          <w:i/>
        </w:rPr>
        <w:fldChar w:fldCharType="end"/>
      </w:r>
      <w:r w:rsidR="00F76B11" w:rsidRPr="003D1E07">
        <w:t xml:space="preserve">). </w:t>
      </w:r>
      <w:r w:rsidR="00F153AE" w:rsidRPr="003D1E07">
        <w:t xml:space="preserve">Alfarabius </w:t>
      </w:r>
      <w:r w:rsidR="008B5089" w:rsidRPr="003D1E07">
        <w:t xml:space="preserve">s neoplatoniky </w:t>
      </w:r>
      <w:r w:rsidR="00F153AE" w:rsidRPr="003D1E07">
        <w:t xml:space="preserve">tvrdí, že </w:t>
      </w:r>
      <w:r w:rsidR="00D051E2" w:rsidRPr="003D1E07">
        <w:t xml:space="preserve">obecné formy </w:t>
      </w:r>
      <w:r w:rsidR="00243111" w:rsidRPr="003D1E07">
        <w:t>existují</w:t>
      </w:r>
      <w:r w:rsidR="00DD3584" w:rsidRPr="003D1E07">
        <w:t xml:space="preserve"> potenciálně už v materiálních věcech</w:t>
      </w:r>
      <w:r w:rsidR="007D1E2A">
        <w:t>. A</w:t>
      </w:r>
      <w:r w:rsidR="006C443B" w:rsidRPr="003D1E07">
        <w:t xml:space="preserve">le </w:t>
      </w:r>
      <w:r w:rsidR="004D544E" w:rsidRPr="003D1E07">
        <w:t xml:space="preserve">jako aristotelik prohlašuje, že </w:t>
      </w:r>
      <w:r w:rsidR="006C443B" w:rsidRPr="003D1E07">
        <w:t xml:space="preserve">bez </w:t>
      </w:r>
      <w:r w:rsidR="00265C79">
        <w:t xml:space="preserve">činnosti </w:t>
      </w:r>
      <w:r w:rsidR="006C443B" w:rsidRPr="003D1E07">
        <w:t xml:space="preserve">abstrahujícího intelektu </w:t>
      </w:r>
      <w:r w:rsidR="00CB1BC9" w:rsidRPr="003D1E07">
        <w:t xml:space="preserve">založeného smyslově </w:t>
      </w:r>
      <w:r w:rsidR="006C443B" w:rsidRPr="003D1E07">
        <w:t xml:space="preserve">by </w:t>
      </w:r>
      <w:r w:rsidR="00F153AE" w:rsidRPr="003D1E07">
        <w:t xml:space="preserve">tyto formy </w:t>
      </w:r>
      <w:r w:rsidR="006C443B" w:rsidRPr="003D1E07">
        <w:t>nebyly aktualizová</w:t>
      </w:r>
      <w:r w:rsidR="00B142A6">
        <w:t>ny.</w:t>
      </w:r>
    </w:p>
    <w:p w14:paraId="4235EC75" w14:textId="2C382B7B" w:rsidR="00E720FD" w:rsidRDefault="00562EAE" w:rsidP="002A1488">
      <w:pPr>
        <w:ind w:firstLine="397"/>
      </w:pPr>
      <w:r w:rsidRPr="003D1E07">
        <w:t>Nauka o intelektu sleduje logiku výš</w:t>
      </w:r>
      <w:r w:rsidR="00EA5BDF" w:rsidRPr="003D1E07">
        <w:t>e uvedené dvojí impozice a dvojího poznání</w:t>
      </w:r>
      <w:r w:rsidRPr="003D1E07">
        <w:t>, která smiřu</w:t>
      </w:r>
      <w:r w:rsidR="00141938" w:rsidRPr="003D1E07">
        <w:t>je metafyziku Aristotela a Plato</w:t>
      </w:r>
      <w:r w:rsidRPr="003D1E07">
        <w:t>na. Ale spojení obou me</w:t>
      </w:r>
      <w:r w:rsidR="001C65E7" w:rsidRPr="003D1E07">
        <w:t>tafyzik je možné jen tehdy, pok</w:t>
      </w:r>
      <w:r w:rsidRPr="003D1E07">
        <w:t>u</w:t>
      </w:r>
      <w:r w:rsidR="001C65E7" w:rsidRPr="003D1E07">
        <w:t>d</w:t>
      </w:r>
      <w:r w:rsidRPr="003D1E07">
        <w:t xml:space="preserve"> se najde střední člen poznávacího soudu, který propojí materiální smyslové a nemateriální intelektuální poznání.</w:t>
      </w:r>
      <w:r w:rsidR="00AE5D12" w:rsidRPr="003D1E07">
        <w:t xml:space="preserve"> Alexandrův výklad v tomto zásadně bodě selhal, což Al</w:t>
      </w:r>
      <w:r w:rsidR="08B963FC" w:rsidRPr="003D1E07">
        <w:t>-</w:t>
      </w:r>
      <w:r w:rsidR="008E02F5" w:rsidRPr="003D1E07">
        <w:t>Fárábí</w:t>
      </w:r>
      <w:r w:rsidR="00AE5D12" w:rsidRPr="003D1E07">
        <w:t xml:space="preserve"> jasně viděl a opravil</w:t>
      </w:r>
      <w:r w:rsidR="0842339D" w:rsidRPr="003D1E07">
        <w:t xml:space="preserve"> v nově zavedeném pojmu </w:t>
      </w:r>
      <w:r w:rsidR="0842339D" w:rsidRPr="003D1E07">
        <w:rPr>
          <w:i/>
        </w:rPr>
        <w:t>intellectus in potenc</w:t>
      </w:r>
      <w:r w:rsidR="00162DCE" w:rsidRPr="003D1E07">
        <w:rPr>
          <w:i/>
        </w:rPr>
        <w:t>ia</w:t>
      </w:r>
      <w:r w:rsidR="001C6E24" w:rsidRPr="003D1E07">
        <w:rPr>
          <w:i/>
        </w:rPr>
        <w:fldChar w:fldCharType="begin"/>
      </w:r>
      <w:r w:rsidR="001C6E24" w:rsidRPr="003D1E07">
        <w:instrText xml:space="preserve"> XE "</w:instrText>
      </w:r>
      <w:r w:rsidR="001C6E24" w:rsidRPr="003D1E07">
        <w:rPr>
          <w:i/>
        </w:rPr>
        <w:instrText>intellectus possibilis</w:instrText>
      </w:r>
      <w:r w:rsidR="001C6E24" w:rsidRPr="003D1E07">
        <w:instrText>:Al-</w:instrText>
      </w:r>
      <w:r w:rsidR="008E02F5" w:rsidRPr="003D1E07">
        <w:instrText>Fárábí</w:instrText>
      </w:r>
      <w:r w:rsidR="001C6E24" w:rsidRPr="003D1E07">
        <w:instrText xml:space="preserve">" </w:instrText>
      </w:r>
      <w:r w:rsidR="001C6E24" w:rsidRPr="003D1E07">
        <w:rPr>
          <w:i/>
        </w:rPr>
        <w:fldChar w:fldCharType="end"/>
      </w:r>
      <w:r w:rsidR="00AE5D12" w:rsidRPr="003D1E07">
        <w:t>.</w:t>
      </w:r>
      <w:r w:rsidR="00332BD9" w:rsidRPr="003D1E07">
        <w:t xml:space="preserve"> </w:t>
      </w:r>
      <w:r w:rsidR="003A330C" w:rsidRPr="003D1E07">
        <w:t>V tomto klíčovém bodě pro vývoj objektivity se Alfarabius odděluje od platonizujícího Alexandra</w:t>
      </w:r>
      <w:r w:rsidR="001F15DF" w:rsidRPr="003D1E07">
        <w:t xml:space="preserve">. Alfarabia správně </w:t>
      </w:r>
      <w:r w:rsidR="003A330C" w:rsidRPr="003D1E07">
        <w:fldChar w:fldCharType="begin"/>
      </w:r>
      <w:r w:rsidR="003A330C" w:rsidRPr="003D1E07">
        <w:instrText xml:space="preserve"> XE "Alexander Afrodisias" </w:instrText>
      </w:r>
      <w:r w:rsidR="003A330C" w:rsidRPr="003D1E07">
        <w:fldChar w:fldCharType="end"/>
      </w:r>
      <w:r w:rsidR="003A330C" w:rsidRPr="003D1E07">
        <w:t xml:space="preserve">pochopil </w:t>
      </w:r>
      <w:r w:rsidR="001F15DF" w:rsidRPr="003D1E07">
        <w:t xml:space="preserve">jeho nejlepší žák </w:t>
      </w:r>
      <w:r w:rsidR="003A330C" w:rsidRPr="003D1E07">
        <w:t xml:space="preserve">a brilantně rozvedl </w:t>
      </w:r>
      <w:r w:rsidR="001F15DF" w:rsidRPr="003D1E07">
        <w:t>mistrovu teorii</w:t>
      </w:r>
      <w:r w:rsidR="003A330C" w:rsidRPr="003D1E07">
        <w:t xml:space="preserve">. </w:t>
      </w:r>
      <w:r w:rsidR="00141938" w:rsidRPr="003D1E07">
        <w:t>Averroe</w:t>
      </w:r>
      <w:r w:rsidR="003A330C" w:rsidRPr="003D1E07">
        <w:t xml:space="preserve">s poznal epochální význam druhé části </w:t>
      </w:r>
      <w:r w:rsidR="00D40AFF" w:rsidRPr="003D1E07">
        <w:t xml:space="preserve">citované </w:t>
      </w:r>
      <w:r w:rsidR="003A330C" w:rsidRPr="003D1E07">
        <w:t>Afrodisiovy definice materiálního intelektu, totiž jeho čistou potencialitu danou nemateriálně (ἔστιν δύναμίς τις ἁπλῶς)</w:t>
      </w:r>
      <w:r w:rsidR="00F00C55" w:rsidRPr="003D1E07">
        <w:t xml:space="preserve">. </w:t>
      </w:r>
      <w:r w:rsidR="08E00FF9" w:rsidRPr="003D1E07">
        <w:t>Nové určení receptivního intelektu daného nemateriálně zavedl</w:t>
      </w:r>
      <w:r w:rsidR="00F00C55" w:rsidRPr="003D1E07">
        <w:t xml:space="preserve"> Alexandr</w:t>
      </w:r>
      <w:r w:rsidR="08E00FF9" w:rsidRPr="003D1E07">
        <w:t xml:space="preserve">, ale oddělil jej od těla. Jeho objev </w:t>
      </w:r>
      <w:r w:rsidR="08B963FC" w:rsidRPr="003D1E07">
        <w:t>viděl Al-</w:t>
      </w:r>
      <w:r w:rsidR="00141938" w:rsidRPr="003D1E07">
        <w:t>Fá</w:t>
      </w:r>
      <w:r w:rsidR="008612E0" w:rsidRPr="003D1E07">
        <w:t>rábí jako klíčovou složku</w:t>
      </w:r>
      <w:r w:rsidR="08E00FF9" w:rsidRPr="003D1E07">
        <w:t xml:space="preserve"> specificky lidského poznání, ale v souladu s Aristotelem tento nemateriální intelekt napojil na </w:t>
      </w:r>
      <w:r w:rsidR="08C065EB" w:rsidRPr="003D1E07">
        <w:t xml:space="preserve">tělesné </w:t>
      </w:r>
      <w:r w:rsidR="008612E0" w:rsidRPr="003D1E07">
        <w:t>poznání</w:t>
      </w:r>
      <w:r w:rsidR="003A330C" w:rsidRPr="003D1E07">
        <w:t xml:space="preserve">. </w:t>
      </w:r>
      <w:r w:rsidR="00FE4388" w:rsidRPr="003D1E07">
        <w:t>Druhá</w:t>
      </w:r>
      <w:r w:rsidR="002C411A" w:rsidRPr="003D1E07">
        <w:t xml:space="preserve"> intence </w:t>
      </w:r>
      <w:r w:rsidR="00FE4388" w:rsidRPr="003D1E07">
        <w:rPr>
          <w:lang w:eastAsia="x-none"/>
        </w:rPr>
        <w:t>(</w:t>
      </w:r>
      <w:r w:rsidR="00FE4388" w:rsidRPr="003D1E07">
        <w:rPr>
          <w:i/>
          <w:lang w:eastAsia="x-none"/>
        </w:rPr>
        <w:t>ma’qūl ṭhānī</w:t>
      </w:r>
      <w:r w:rsidR="00FE4388" w:rsidRPr="003D1E07">
        <w:rPr>
          <w:lang w:eastAsia="x-none"/>
        </w:rPr>
        <w:t xml:space="preserve">, </w:t>
      </w:r>
      <w:r w:rsidR="00FE4388" w:rsidRPr="003D1E07">
        <w:rPr>
          <w:i/>
          <w:lang w:eastAsia="x-none"/>
        </w:rPr>
        <w:t>intellectum secundum</w:t>
      </w:r>
      <w:r w:rsidR="00FE4388" w:rsidRPr="003D1E07">
        <w:rPr>
          <w:lang w:eastAsia="x-none"/>
        </w:rPr>
        <w:t xml:space="preserve">) </w:t>
      </w:r>
      <w:r w:rsidR="00E32852" w:rsidRPr="003D1E07">
        <w:t>aktualiz</w:t>
      </w:r>
      <w:r w:rsidR="00FE4388" w:rsidRPr="003D1E07">
        <w:t xml:space="preserve">uje </w:t>
      </w:r>
      <w:r w:rsidR="00CC08DE" w:rsidRPr="003D1E07">
        <w:t xml:space="preserve">tuto </w:t>
      </w:r>
      <w:r w:rsidR="002C411A" w:rsidRPr="003D1E07">
        <w:t>recept</w:t>
      </w:r>
      <w:r w:rsidR="00E32852" w:rsidRPr="003D1E07">
        <w:t>ivní sl</w:t>
      </w:r>
      <w:r w:rsidR="08B963FC" w:rsidRPr="003D1E07">
        <w:t>ožku intelektu</w:t>
      </w:r>
      <w:r w:rsidR="00FE4388" w:rsidRPr="003D1E07">
        <w:t xml:space="preserve">. Nové pojetí receptivního intelektu </w:t>
      </w:r>
      <w:r w:rsidR="08B963FC" w:rsidRPr="003D1E07">
        <w:t>odděluje Al-</w:t>
      </w:r>
      <w:r w:rsidR="00141938" w:rsidRPr="003D1E07">
        <w:t>Fárábího a Averroese od neoplato</w:t>
      </w:r>
      <w:r w:rsidR="002C411A" w:rsidRPr="003D1E07">
        <w:t>nského schématu poznání, kte</w:t>
      </w:r>
      <w:r w:rsidR="00D9787A" w:rsidRPr="003D1E07">
        <w:t>ré charakterizuje a</w:t>
      </w:r>
      <w:r w:rsidR="008612E0" w:rsidRPr="003D1E07">
        <w:t>vicennovskou</w:t>
      </w:r>
      <w:r w:rsidR="002C411A" w:rsidRPr="003D1E07">
        <w:t xml:space="preserve"> modernu</w:t>
      </w:r>
      <w:r w:rsidR="00DF52B7" w:rsidRPr="003D1E07">
        <w:t xml:space="preserve"> a současnou západní postmodernu</w:t>
      </w:r>
      <w:r w:rsidR="002C411A" w:rsidRPr="003D1E07">
        <w:t>.</w:t>
      </w:r>
      <w:r w:rsidR="08DD0084" w:rsidRPr="003D1E07">
        <w:t xml:space="preserve"> </w:t>
      </w:r>
      <w:r w:rsidR="000B3254" w:rsidRPr="003D1E07">
        <w:t xml:space="preserve">Exegeze </w:t>
      </w:r>
      <w:r w:rsidR="000B3254" w:rsidRPr="003D1E07">
        <w:rPr>
          <w:i/>
          <w:lang w:eastAsia="x-none"/>
        </w:rPr>
        <w:t xml:space="preserve">De anima </w:t>
      </w:r>
      <w:r w:rsidR="000B3254" w:rsidRPr="003D1E07">
        <w:rPr>
          <w:lang w:eastAsia="x-none"/>
        </w:rPr>
        <w:t xml:space="preserve">sleduje reálný a aktuální akt vidění místo neoplatonské mytopoetiky. </w:t>
      </w:r>
      <w:r w:rsidR="00EB54BA" w:rsidRPr="003D1E07">
        <w:t>P</w:t>
      </w:r>
      <w:r w:rsidR="0048368A">
        <w:t xml:space="preserve">opis reálného aktu </w:t>
      </w:r>
      <w:r w:rsidR="00EB54BA" w:rsidRPr="003D1E07">
        <w:t>vidění oddělil Alfarabiovu exegezi</w:t>
      </w:r>
      <w:r w:rsidR="08D34B63" w:rsidRPr="003D1E07">
        <w:t xml:space="preserve"> </w:t>
      </w:r>
      <w:r w:rsidR="00EB54BA" w:rsidRPr="003D1E07">
        <w:t xml:space="preserve">spisu </w:t>
      </w:r>
      <w:r w:rsidR="08D34B63" w:rsidRPr="003D1E07">
        <w:rPr>
          <w:i/>
        </w:rPr>
        <w:t>De anima</w:t>
      </w:r>
      <w:r w:rsidR="08D34B63" w:rsidRPr="003D1E07">
        <w:t xml:space="preserve"> </w:t>
      </w:r>
      <w:r w:rsidR="00726ECD" w:rsidRPr="003D1E07">
        <w:t xml:space="preserve">od Alexandrova </w:t>
      </w:r>
      <w:r w:rsidR="00726ECD" w:rsidRPr="003D1E07">
        <w:rPr>
          <w:i/>
        </w:rPr>
        <w:t>De intellectu</w:t>
      </w:r>
      <w:r w:rsidR="00726ECD" w:rsidRPr="003D1E07">
        <w:t xml:space="preserve">. </w:t>
      </w:r>
      <w:r w:rsidR="00210C6A" w:rsidRPr="003D1E07">
        <w:t xml:space="preserve">Spojení pasivního intelektu jak se smysly tak s aktivním intelektem popisuje klíčová část traktátu skrze analogii s procesem vnímání osvětlené barvy, kterou najdeme i v jiných Al-Fárábího traktátech (Geoffroy&amp;Steel 2001, 39). </w:t>
      </w:r>
      <w:r w:rsidR="00726ECD" w:rsidRPr="003D1E07">
        <w:t xml:space="preserve">Afrodisias oddělil materiální </w:t>
      </w:r>
      <w:r w:rsidR="00726ECD" w:rsidRPr="003D1E07">
        <w:lastRenderedPageBreak/>
        <w:t xml:space="preserve">intelekt </w:t>
      </w:r>
      <w:r w:rsidR="00880014" w:rsidRPr="003D1E07">
        <w:t xml:space="preserve">jako čistou potenci intelektu </w:t>
      </w:r>
      <w:r w:rsidR="00726ECD" w:rsidRPr="003D1E07">
        <w:t>od smyslového poznání</w:t>
      </w:r>
      <w:r w:rsidR="000D6640" w:rsidRPr="003D1E07">
        <w:t>.</w:t>
      </w:r>
      <w:r w:rsidR="000D6640" w:rsidRPr="003D1E07">
        <w:rPr>
          <w:rStyle w:val="Znakapoznpodarou"/>
        </w:rPr>
        <w:footnoteReference w:id="84"/>
      </w:r>
      <w:r w:rsidR="000D6640" w:rsidRPr="003D1E07">
        <w:t xml:space="preserve"> P</w:t>
      </w:r>
      <w:r w:rsidR="00726ECD" w:rsidRPr="003D1E07">
        <w:t>roto nepotřebuje žádnou mediaci mezi slunečním paprskem a ozářenými věcmi.</w:t>
      </w:r>
      <w:r w:rsidR="00593004" w:rsidRPr="003D1E07">
        <w:t xml:space="preserve"> Sluneční paprsek způsobuje poznání přímo a tím způsobuje i poznání barev. </w:t>
      </w:r>
      <w:r w:rsidR="005917F2" w:rsidRPr="003D1E07">
        <w:t>Ten</w:t>
      </w:r>
      <w:r w:rsidR="00C355D4" w:rsidRPr="003D1E07">
        <w:t>to způsob</w:t>
      </w:r>
      <w:r w:rsidR="005917F2" w:rsidRPr="003D1E07">
        <w:t xml:space="preserve"> je </w:t>
      </w:r>
      <w:r w:rsidR="008C122A" w:rsidRPr="003D1E07">
        <w:t xml:space="preserve">vyjádřený v </w:t>
      </w:r>
      <w:r w:rsidR="002B49EA" w:rsidRPr="003D1E07">
        <w:t xml:space="preserve">uvedené </w:t>
      </w:r>
      <w:r w:rsidR="008C122A" w:rsidRPr="003D1E07">
        <w:t xml:space="preserve">citaci </w:t>
      </w:r>
      <w:r w:rsidR="005A09BE" w:rsidRPr="003D1E07">
        <w:t xml:space="preserve">Alexandrova </w:t>
      </w:r>
      <w:r w:rsidR="005A09BE" w:rsidRPr="003D1E07">
        <w:rPr>
          <w:i/>
        </w:rPr>
        <w:t>De intellectu</w:t>
      </w:r>
      <w:r w:rsidR="006C32B6" w:rsidRPr="003D1E07">
        <w:t xml:space="preserve">. Citát </w:t>
      </w:r>
      <w:r w:rsidR="005917F2" w:rsidRPr="003D1E07">
        <w:t>vyjadřuj</w:t>
      </w:r>
      <w:r w:rsidR="006C32B6" w:rsidRPr="003D1E07">
        <w:t xml:space="preserve">e </w:t>
      </w:r>
      <w:r w:rsidR="005917F2" w:rsidRPr="003D1E07">
        <w:t xml:space="preserve">plnou soběstačnost </w:t>
      </w:r>
      <w:r w:rsidR="006C32B6" w:rsidRPr="003D1E07">
        <w:t xml:space="preserve">a nadřazenost </w:t>
      </w:r>
      <w:r w:rsidR="005917F2" w:rsidRPr="003D1E07">
        <w:t>světla dávajícího sebe i viděné barvy (αὐτὸ ὁρᾶται καὶ τὰ σὺν αὐτῷ</w:t>
      </w:r>
      <w:r w:rsidR="00D0730D" w:rsidRPr="003D1E07">
        <w:t xml:space="preserve">; </w:t>
      </w:r>
      <w:r w:rsidR="08CC1F5A" w:rsidRPr="003D1E07">
        <w:rPr>
          <w:rStyle w:val="TextpoznpodarouChar"/>
          <w:i/>
        </w:rPr>
        <w:t>De anima liber cum Mantissa</w:t>
      </w:r>
      <w:r w:rsidR="08CC1F5A" w:rsidRPr="003D1E07">
        <w:t xml:space="preserve">, p. </w:t>
      </w:r>
      <w:r w:rsidR="00D0730D" w:rsidRPr="003D1E07">
        <w:t>111.32</w:t>
      </w:r>
      <w:r w:rsidR="08EB49C9" w:rsidRPr="003D1E07">
        <w:rPr>
          <w:szCs w:val="15"/>
        </w:rPr>
        <w:fldChar w:fldCharType="begin"/>
      </w:r>
      <w:r w:rsidR="08EB49C9" w:rsidRPr="003D1E07">
        <w:instrText xml:space="preserve"> XE "Alexander Afrodisias:</w:instrText>
      </w:r>
      <w:r w:rsidR="08EB49C9" w:rsidRPr="003D1E07">
        <w:rPr>
          <w:rStyle w:val="TextpoznpodarouChar"/>
          <w:i/>
        </w:rPr>
        <w:instrText>De anima liber cum Mantissa</w:instrText>
      </w:r>
      <w:r w:rsidR="08EB49C9" w:rsidRPr="003D1E07">
        <w:rPr>
          <w:i/>
          <w:color w:val="000000"/>
        </w:rPr>
        <w:instrText xml:space="preserve"> </w:instrText>
      </w:r>
      <w:r w:rsidR="08EB49C9" w:rsidRPr="003D1E07">
        <w:rPr>
          <w:color w:val="000000"/>
        </w:rPr>
        <w:instrText>111.32</w:instrText>
      </w:r>
      <w:r w:rsidR="08EB49C9" w:rsidRPr="003D1E07">
        <w:instrText xml:space="preserve">" </w:instrText>
      </w:r>
      <w:r w:rsidR="08EB49C9" w:rsidRPr="003D1E07">
        <w:rPr>
          <w:szCs w:val="15"/>
        </w:rPr>
        <w:fldChar w:fldCharType="end"/>
      </w:r>
      <w:r w:rsidR="005917F2" w:rsidRPr="003D1E07">
        <w:t>)</w:t>
      </w:r>
      <w:r w:rsidR="008C122A" w:rsidRPr="003D1E07">
        <w:t xml:space="preserve">. </w:t>
      </w:r>
      <w:r w:rsidR="08EB7A2A" w:rsidRPr="003D1E07">
        <w:t xml:space="preserve">Věci </w:t>
      </w:r>
      <w:r w:rsidR="00933F68" w:rsidRPr="003D1E07">
        <w:t xml:space="preserve">vidíme pouze skrze sluneční paprsek a </w:t>
      </w:r>
      <w:r w:rsidR="08EB7A2A" w:rsidRPr="003D1E07">
        <w:t xml:space="preserve">přímo </w:t>
      </w:r>
      <w:r w:rsidR="00C95365" w:rsidRPr="003D1E07">
        <w:t>p</w:t>
      </w:r>
      <w:r w:rsidR="00933F68" w:rsidRPr="003D1E07">
        <w:t xml:space="preserve">oznáváme v duši </w:t>
      </w:r>
      <w:r w:rsidR="00C95365" w:rsidRPr="003D1E07">
        <w:t>skrze hypostázovaný intelekt</w:t>
      </w:r>
      <w:r w:rsidR="00933F68" w:rsidRPr="003D1E07">
        <w:t xml:space="preserve">. </w:t>
      </w:r>
      <w:r w:rsidR="00E01AB9" w:rsidRPr="003D1E07">
        <w:t xml:space="preserve">Moderní poznání je dáno skrze intelekt, </w:t>
      </w:r>
      <w:r w:rsidR="004816AF" w:rsidRPr="003D1E07">
        <w:t>který</w:t>
      </w:r>
      <w:r w:rsidR="00E01AB9" w:rsidRPr="003D1E07">
        <w:t xml:space="preserve"> v nás kauzálně produkuje poznání tím, že je odděl</w:t>
      </w:r>
      <w:r w:rsidR="004816AF" w:rsidRPr="003D1E07">
        <w:t>e</w:t>
      </w:r>
      <w:r w:rsidR="00E01AB9" w:rsidRPr="003D1E07">
        <w:t>ný od těla (αἴτιος γίνεται τοῦ νοεῖν ἡμῖν; ibid, 111.34</w:t>
      </w:r>
      <w:r w:rsidR="00AB1A36" w:rsidRPr="003D1E07">
        <w:rPr>
          <w:szCs w:val="15"/>
        </w:rPr>
        <w:fldChar w:fldCharType="begin"/>
      </w:r>
      <w:r w:rsidR="00AB1A36" w:rsidRPr="003D1E07">
        <w:instrText xml:space="preserve"> XE "Alexander Afrodisias:</w:instrText>
      </w:r>
      <w:r w:rsidR="00AB1A36" w:rsidRPr="003D1E07">
        <w:rPr>
          <w:rStyle w:val="TextpoznpodarouChar"/>
          <w:i/>
        </w:rPr>
        <w:instrText>De anima liber cum Mantissa</w:instrText>
      </w:r>
      <w:r w:rsidR="00AB1A36" w:rsidRPr="003D1E07">
        <w:rPr>
          <w:i/>
          <w:color w:val="000000"/>
        </w:rPr>
        <w:instrText xml:space="preserve"> </w:instrText>
      </w:r>
      <w:r w:rsidR="00AB1A36" w:rsidRPr="003D1E07">
        <w:rPr>
          <w:color w:val="000000"/>
        </w:rPr>
        <w:instrText>111.34</w:instrText>
      </w:r>
      <w:r w:rsidR="00AB1A36" w:rsidRPr="003D1E07">
        <w:instrText xml:space="preserve">" </w:instrText>
      </w:r>
      <w:r w:rsidR="00AB1A36" w:rsidRPr="003D1E07">
        <w:rPr>
          <w:szCs w:val="15"/>
        </w:rPr>
        <w:fldChar w:fldCharType="end"/>
      </w:r>
      <w:r w:rsidR="00E01AB9" w:rsidRPr="003D1E07">
        <w:t xml:space="preserve">). Tento </w:t>
      </w:r>
      <w:r w:rsidR="004816AF" w:rsidRPr="003D1E07">
        <w:t xml:space="preserve">externí </w:t>
      </w:r>
      <w:r w:rsidR="00E01AB9" w:rsidRPr="003D1E07">
        <w:t xml:space="preserve">intelekt </w:t>
      </w:r>
      <w:r w:rsidR="004816AF" w:rsidRPr="003D1E07">
        <w:t xml:space="preserve">v těle pracuje </w:t>
      </w:r>
      <w:r w:rsidR="001D65A4" w:rsidRPr="003D1E07">
        <w:t xml:space="preserve">na </w:t>
      </w:r>
      <w:r w:rsidR="004816AF" w:rsidRPr="003D1E07">
        <w:t>kartesiánsk</w:t>
      </w:r>
      <w:r w:rsidR="00E01AB9" w:rsidRPr="003D1E07">
        <w:t xml:space="preserve">ý způsob (ὁ θύραθεν νοῦς, ibid). </w:t>
      </w:r>
      <w:r w:rsidR="00933F68" w:rsidRPr="003D1E07">
        <w:t>Poznání dává intelekt darovaný zvnějšku či karteziánsky oddělený od těla, který tvoří základní příčinu našeho poznání (αἴτιος γίνεται τοῦ νοεῖν ἡμῖν; ibid. 111.34</w:t>
      </w:r>
      <w:r w:rsidR="08EB49C9" w:rsidRPr="003D1E07">
        <w:rPr>
          <w:szCs w:val="15"/>
        </w:rPr>
        <w:fldChar w:fldCharType="begin"/>
      </w:r>
      <w:r w:rsidR="08EB49C9" w:rsidRPr="003D1E07">
        <w:instrText xml:space="preserve"> XE "Alexander Afrodisias:</w:instrText>
      </w:r>
      <w:r w:rsidR="08EB49C9" w:rsidRPr="003D1E07">
        <w:rPr>
          <w:rStyle w:val="TextpoznpodarouChar"/>
          <w:i/>
        </w:rPr>
        <w:instrText>De anima liber cum Mantissa</w:instrText>
      </w:r>
      <w:r w:rsidR="08EB49C9" w:rsidRPr="003D1E07">
        <w:rPr>
          <w:i/>
          <w:color w:val="000000"/>
        </w:rPr>
        <w:instrText xml:space="preserve"> </w:instrText>
      </w:r>
      <w:r w:rsidR="08EB49C9" w:rsidRPr="003D1E07">
        <w:rPr>
          <w:color w:val="000000"/>
        </w:rPr>
        <w:instrText>111.34</w:instrText>
      </w:r>
      <w:r w:rsidR="08EB49C9" w:rsidRPr="003D1E07">
        <w:instrText xml:space="preserve">" </w:instrText>
      </w:r>
      <w:r w:rsidR="08EB49C9" w:rsidRPr="003D1E07">
        <w:rPr>
          <w:szCs w:val="15"/>
        </w:rPr>
        <w:fldChar w:fldCharType="end"/>
      </w:r>
      <w:r w:rsidR="00933F68" w:rsidRPr="003D1E07">
        <w:t>). Nasvícení smyslu jsoucna jde zezadu od darovaného intelektu (</w:t>
      </w:r>
      <w:r w:rsidR="00933F68" w:rsidRPr="003D1E07">
        <w:rPr>
          <w:i/>
        </w:rPr>
        <w:t>intellectus adeptus</w:t>
      </w:r>
      <w:r w:rsidR="00332701" w:rsidRPr="003D1E07">
        <w:rPr>
          <w:i/>
        </w:rPr>
        <w:fldChar w:fldCharType="begin"/>
      </w:r>
      <w:r w:rsidR="00332701" w:rsidRPr="003D1E07">
        <w:instrText xml:space="preserve"> XE "</w:instrText>
      </w:r>
      <w:r w:rsidR="00332701" w:rsidRPr="003D1E07">
        <w:rPr>
          <w:i/>
        </w:rPr>
        <w:instrText>intellectus adeptus</w:instrText>
      </w:r>
      <w:r w:rsidR="00CB4A93" w:rsidRPr="003D1E07">
        <w:rPr>
          <w:i/>
        </w:rPr>
        <w:instrText>:</w:instrText>
      </w:r>
      <w:r w:rsidR="00CB4A93" w:rsidRPr="003D1E07">
        <w:instrText>Alexander</w:instrText>
      </w:r>
      <w:r w:rsidR="00332701" w:rsidRPr="003D1E07">
        <w:instrText xml:space="preserve">" </w:instrText>
      </w:r>
      <w:r w:rsidR="00332701" w:rsidRPr="003D1E07">
        <w:rPr>
          <w:i/>
        </w:rPr>
        <w:fldChar w:fldCharType="end"/>
      </w:r>
      <w:r w:rsidR="00933F68" w:rsidRPr="003D1E07">
        <w:t xml:space="preserve">), proto nepotřebuje </w:t>
      </w:r>
      <w:r w:rsidR="08EB7A2A" w:rsidRPr="003D1E07">
        <w:t>smysly poznanou v</w:t>
      </w:r>
      <w:r w:rsidR="00933F68" w:rsidRPr="003D1E07">
        <w:t>ěc</w:t>
      </w:r>
      <w:r w:rsidR="08B15CFE" w:rsidRPr="003D1E07">
        <w:t xml:space="preserve"> k aktualizaci receptivního intelektu</w:t>
      </w:r>
      <w:r w:rsidR="002A591C">
        <w:t xml:space="preserve">. </w:t>
      </w:r>
      <w:r w:rsidR="004F79B5" w:rsidRPr="003D1E07">
        <w:t xml:space="preserve">Alexander zakládá epochální </w:t>
      </w:r>
      <w:r w:rsidR="00841EF3" w:rsidRPr="003D1E07">
        <w:t>slepotu</w:t>
      </w:r>
      <w:r w:rsidR="004F79B5" w:rsidRPr="003D1E07">
        <w:t xml:space="preserve"> nové formy metafyziky způsobující zatmění </w:t>
      </w:r>
      <w:r w:rsidR="00D256B7">
        <w:t>první substance</w:t>
      </w:r>
      <w:r w:rsidR="00D153A7" w:rsidRPr="003D1E07">
        <w:fldChar w:fldCharType="begin"/>
      </w:r>
      <w:r w:rsidR="00D153A7" w:rsidRPr="003D1E07">
        <w:instrText xml:space="preserve"> XE "zatmění:jsoucna" </w:instrText>
      </w:r>
      <w:r w:rsidR="00D153A7" w:rsidRPr="003D1E07">
        <w:fldChar w:fldCharType="end"/>
      </w:r>
      <w:r w:rsidR="00841EF3" w:rsidRPr="003D1E07">
        <w:t>, kterou</w:t>
      </w:r>
      <w:r w:rsidR="004F79B5" w:rsidRPr="003D1E07">
        <w:t xml:space="preserve"> </w:t>
      </w:r>
      <w:r w:rsidR="00841EF3" w:rsidRPr="003D1E07">
        <w:t>plně rozvine</w:t>
      </w:r>
      <w:r w:rsidR="004F79B5" w:rsidRPr="003D1E07">
        <w:t xml:space="preserve"> </w:t>
      </w:r>
      <w:r w:rsidR="00841EF3" w:rsidRPr="003D1E07">
        <w:t xml:space="preserve">avicennistická škola </w:t>
      </w:r>
      <w:r w:rsidR="004F79B5" w:rsidRPr="003D1E07">
        <w:t xml:space="preserve">latinských </w:t>
      </w:r>
      <w:r w:rsidR="004F79B5" w:rsidRPr="003D1E07">
        <w:rPr>
          <w:i/>
        </w:rPr>
        <w:t>Modernorum</w:t>
      </w:r>
      <w:r w:rsidR="004F79B5" w:rsidRPr="003D1E07">
        <w:t xml:space="preserve">. </w:t>
      </w:r>
      <w:r w:rsidR="00933F68" w:rsidRPr="003D1E07">
        <w:t xml:space="preserve">Alfarabius má </w:t>
      </w:r>
      <w:r w:rsidR="00761F1C" w:rsidRPr="003D1E07">
        <w:t xml:space="preserve">aristotelské pojetí abstrakce zakládající </w:t>
      </w:r>
      <w:r w:rsidR="00933F68" w:rsidRPr="003D1E07">
        <w:t>intelektuální poznání</w:t>
      </w:r>
      <w:r w:rsidR="00761F1C" w:rsidRPr="003D1E07">
        <w:t xml:space="preserve"> skrze mediaci smyslového poznání. Pro</w:t>
      </w:r>
      <w:r w:rsidR="00B248C4" w:rsidRPr="003D1E07">
        <w:t>to</w:t>
      </w:r>
      <w:r w:rsidR="00761F1C" w:rsidRPr="003D1E07">
        <w:t xml:space="preserve"> </w:t>
      </w:r>
      <w:r w:rsidR="00141938" w:rsidRPr="003D1E07">
        <w:t xml:space="preserve">nemůže přijmout </w:t>
      </w:r>
      <w:r w:rsidR="007E1673" w:rsidRPr="003D1E07">
        <w:t xml:space="preserve">mytopoetický </w:t>
      </w:r>
      <w:r w:rsidR="00933F68" w:rsidRPr="003D1E07">
        <w:t xml:space="preserve">model </w:t>
      </w:r>
      <w:r w:rsidR="00761F1C" w:rsidRPr="003D1E07">
        <w:t>intelektu</w:t>
      </w:r>
      <w:r w:rsidR="007A56A3" w:rsidRPr="003D1E07">
        <w:t xml:space="preserve"> jako neoplatonského slunce</w:t>
      </w:r>
      <w:r w:rsidR="006E5172" w:rsidRPr="003D1E07">
        <w:fldChar w:fldCharType="begin"/>
      </w:r>
      <w:r w:rsidR="006E5172" w:rsidRPr="003D1E07">
        <w:instrText xml:space="preserve"> XE "intelekt-slunce" </w:instrText>
      </w:r>
      <w:r w:rsidR="006E5172" w:rsidRPr="003D1E07">
        <w:fldChar w:fldCharType="end"/>
      </w:r>
      <w:r w:rsidR="00761F1C" w:rsidRPr="003D1E07">
        <w:t xml:space="preserve">, které </w:t>
      </w:r>
      <w:r w:rsidR="00933F68" w:rsidRPr="003D1E07">
        <w:t>přím</w:t>
      </w:r>
      <w:r w:rsidR="00761F1C" w:rsidRPr="003D1E07">
        <w:t xml:space="preserve">o nasvěcuje materiální věci a nemateriální </w:t>
      </w:r>
      <w:r w:rsidR="00933F68" w:rsidRPr="003D1E07">
        <w:t xml:space="preserve">intelekt. </w:t>
      </w:r>
      <w:r w:rsidR="086712F0" w:rsidRPr="003D1E07">
        <w:t xml:space="preserve">Alfarabius </w:t>
      </w:r>
      <w:r w:rsidR="006836F0" w:rsidRPr="003D1E07">
        <w:t xml:space="preserve">vidí Alexandrův omyl </w:t>
      </w:r>
      <w:r w:rsidR="00B012BA" w:rsidRPr="003D1E07">
        <w:t>jako typickou</w:t>
      </w:r>
      <w:r w:rsidR="006836F0" w:rsidRPr="003D1E07">
        <w:t xml:space="preserve"> </w:t>
      </w:r>
      <w:r w:rsidR="00B012BA" w:rsidRPr="003D1E07">
        <w:t>n</w:t>
      </w:r>
      <w:r w:rsidR="00874074" w:rsidRPr="003D1E07">
        <w:t>eoplatonsk</w:t>
      </w:r>
      <w:r w:rsidR="006836F0" w:rsidRPr="003D1E07">
        <w:t>ou zaslepenost intelektem-sluncem</w:t>
      </w:r>
      <w:r w:rsidR="006836F0" w:rsidRPr="003D1E07">
        <w:fldChar w:fldCharType="begin"/>
      </w:r>
      <w:r w:rsidR="006836F0" w:rsidRPr="003D1E07">
        <w:instrText xml:space="preserve"> XE "intelekt-slunce" </w:instrText>
      </w:r>
      <w:r w:rsidR="006836F0" w:rsidRPr="003D1E07">
        <w:fldChar w:fldCharType="end"/>
      </w:r>
      <w:r w:rsidR="006836F0" w:rsidRPr="003D1E07">
        <w:t xml:space="preserve">. Jeho žák </w:t>
      </w:r>
      <w:r w:rsidR="002E3B62" w:rsidRPr="003D1E07">
        <w:t>Averroes</w:t>
      </w:r>
      <w:r w:rsidR="00B012BA" w:rsidRPr="003D1E07">
        <w:t xml:space="preserve"> kritizuje </w:t>
      </w:r>
      <w:r w:rsidR="006E7411" w:rsidRPr="003D1E07">
        <w:t xml:space="preserve">Avicenovu metafyziku kvůli tomuto </w:t>
      </w:r>
      <w:r w:rsidR="00B012BA" w:rsidRPr="003D1E07">
        <w:t>zásadní</w:t>
      </w:r>
      <w:r w:rsidR="006E7411" w:rsidRPr="003D1E07">
        <w:t>mu</w:t>
      </w:r>
      <w:r w:rsidR="00B012BA" w:rsidRPr="003D1E07">
        <w:t xml:space="preserve"> omyl</w:t>
      </w:r>
      <w:r w:rsidR="006E7411" w:rsidRPr="003D1E07">
        <w:t>u</w:t>
      </w:r>
      <w:r w:rsidR="00B012BA" w:rsidRPr="003D1E07">
        <w:t xml:space="preserve"> (</w:t>
      </w:r>
      <w:r w:rsidR="006836F0" w:rsidRPr="003D1E07">
        <w:rPr>
          <w:i/>
        </w:rPr>
        <w:t>obscurity</w:t>
      </w:r>
      <w:r w:rsidR="006836F0" w:rsidRPr="003D1E07">
        <w:rPr>
          <w:i/>
        </w:rPr>
        <w:fldChar w:fldCharType="begin"/>
      </w:r>
      <w:r w:rsidR="006836F0" w:rsidRPr="003D1E07">
        <w:instrText xml:space="preserve"> XE "zatmění:substance" </w:instrText>
      </w:r>
      <w:r w:rsidR="006836F0" w:rsidRPr="003D1E07">
        <w:rPr>
          <w:i/>
        </w:rPr>
        <w:fldChar w:fldCharType="end"/>
      </w:r>
      <w:r w:rsidR="006E7411" w:rsidRPr="003D1E07">
        <w:t xml:space="preserve">). Averroes </w:t>
      </w:r>
      <w:r w:rsidR="006836F0" w:rsidRPr="003D1E07">
        <w:t xml:space="preserve">považuje projekt první filosofie </w:t>
      </w:r>
      <w:r w:rsidR="006E7411" w:rsidRPr="003D1E07">
        <w:t xml:space="preserve">Avicenny </w:t>
      </w:r>
      <w:r w:rsidR="006836F0" w:rsidRPr="003D1E07">
        <w:t xml:space="preserve">za zásadně chybný (kap. 2.4.1). </w:t>
      </w:r>
      <w:r w:rsidR="00933F68" w:rsidRPr="003D1E07">
        <w:t>Abunaser je první myslitel Západu, který pochopil, že Alexandrovo pojetí poznání je fundamentálně slepé</w:t>
      </w:r>
      <w:r w:rsidR="00B248C4" w:rsidRPr="003D1E07">
        <w:t xml:space="preserve"> k výsk</w:t>
      </w:r>
      <w:r w:rsidR="003734DD" w:rsidRPr="003D1E07">
        <w:t xml:space="preserve">ytu reálné </w:t>
      </w:r>
      <w:r w:rsidR="002E3AA6">
        <w:t xml:space="preserve">hylemorfické </w:t>
      </w:r>
      <w:r w:rsidR="003734DD" w:rsidRPr="003D1E07">
        <w:t>substance</w:t>
      </w:r>
      <w:r w:rsidR="085307FD" w:rsidRPr="003D1E07">
        <w:t>, protože ji nemá jak poznat</w:t>
      </w:r>
      <w:r w:rsidR="00D070A8" w:rsidRPr="003D1E07">
        <w:t xml:space="preserve"> v jí vlastním způsobu</w:t>
      </w:r>
      <w:r w:rsidR="002E3AA6">
        <w:t xml:space="preserve"> hyparchické </w:t>
      </w:r>
      <w:r w:rsidR="00D070A8" w:rsidRPr="003D1E07">
        <w:t xml:space="preserve"> existence</w:t>
      </w:r>
      <w:r w:rsidR="00933F68" w:rsidRPr="003D1E07">
        <w:t xml:space="preserve">. </w:t>
      </w:r>
      <w:r w:rsidR="007E4CDA" w:rsidRPr="003D1E07">
        <w:t>Mysl iluminátů</w:t>
      </w:r>
      <w:r w:rsidR="00640BE5" w:rsidRPr="003D1E07">
        <w:fldChar w:fldCharType="begin"/>
      </w:r>
      <w:r w:rsidR="00640BE5" w:rsidRPr="003D1E07">
        <w:instrText xml:space="preserve"> XE "ilumináti" </w:instrText>
      </w:r>
      <w:r w:rsidR="00640BE5" w:rsidRPr="003D1E07">
        <w:fldChar w:fldCharType="end"/>
      </w:r>
      <w:r w:rsidR="007E4CDA" w:rsidRPr="003D1E07">
        <w:t xml:space="preserve"> je o</w:t>
      </w:r>
      <w:r w:rsidR="007B1C6F" w:rsidRPr="003D1E07">
        <w:t>slepena zářením ideje</w:t>
      </w:r>
      <w:r w:rsidR="00C43EF2" w:rsidRPr="003D1E07">
        <w:t xml:space="preserve"> a </w:t>
      </w:r>
      <w:r w:rsidR="00A31E6E" w:rsidRPr="003D1E07">
        <w:t xml:space="preserve">akademicky vzdělané Fúrie je vedou </w:t>
      </w:r>
      <w:r w:rsidR="00C43EF2" w:rsidRPr="003D1E07">
        <w:t xml:space="preserve">do </w:t>
      </w:r>
      <w:r w:rsidR="00CE02A3" w:rsidRPr="003D1E07">
        <w:t xml:space="preserve">intelektuální </w:t>
      </w:r>
      <w:r w:rsidR="00C43EF2" w:rsidRPr="003D1E07">
        <w:t>temnoty</w:t>
      </w:r>
      <w:r w:rsidR="00A31E6E" w:rsidRPr="003D1E07">
        <w:t>. V</w:t>
      </w:r>
      <w:r w:rsidR="00F612C6" w:rsidRPr="003D1E07">
        <w:t>iz pohyby zajatce v Platonově mytopoetické jeskyni (kap. 1)</w:t>
      </w:r>
      <w:r w:rsidR="005D3905" w:rsidRPr="003D1E07">
        <w:t>.</w:t>
      </w:r>
      <w:r w:rsidR="00F67895" w:rsidRPr="003D1E07">
        <w:t xml:space="preserve"> </w:t>
      </w:r>
      <w:r w:rsidR="005D3905" w:rsidRPr="003D1E07">
        <w:t xml:space="preserve">Adaptovaný intelekt neoplatoniků </w:t>
      </w:r>
      <w:r w:rsidR="005C3A90" w:rsidRPr="003D1E07">
        <w:t xml:space="preserve">falsafy </w:t>
      </w:r>
      <w:r w:rsidR="005D3905" w:rsidRPr="003D1E07">
        <w:rPr>
          <w:szCs w:val="24"/>
        </w:rPr>
        <w:t>(</w:t>
      </w:r>
      <w:r w:rsidR="005D3905" w:rsidRPr="003D1E07">
        <w:rPr>
          <w:i/>
          <w:szCs w:val="24"/>
        </w:rPr>
        <w:t>intellectus adeptus</w:t>
      </w:r>
      <w:r w:rsidR="005D3905" w:rsidRPr="003D1E07">
        <w:rPr>
          <w:i/>
          <w:szCs w:val="24"/>
        </w:rPr>
        <w:fldChar w:fldCharType="begin"/>
      </w:r>
      <w:r w:rsidR="005D3905" w:rsidRPr="003D1E07">
        <w:instrText xml:space="preserve"> XE "</w:instrText>
      </w:r>
      <w:r w:rsidR="005D3905" w:rsidRPr="003D1E07">
        <w:rPr>
          <w:i/>
          <w:szCs w:val="24"/>
        </w:rPr>
        <w:instrText>intellectus adeptus</w:instrText>
      </w:r>
      <w:r w:rsidR="005D3905" w:rsidRPr="003D1E07">
        <w:instrText xml:space="preserve">" </w:instrText>
      </w:r>
      <w:r w:rsidR="005D3905" w:rsidRPr="003D1E07">
        <w:rPr>
          <w:i/>
          <w:szCs w:val="24"/>
        </w:rPr>
        <w:fldChar w:fldCharType="end"/>
      </w:r>
      <w:r w:rsidR="005D3905" w:rsidRPr="003D1E07">
        <w:rPr>
          <w:szCs w:val="24"/>
        </w:rPr>
        <w:t>) je spo</w:t>
      </w:r>
      <w:r w:rsidR="005C3A90" w:rsidRPr="003D1E07">
        <w:rPr>
          <w:szCs w:val="24"/>
        </w:rPr>
        <w:t>j</w:t>
      </w:r>
      <w:r w:rsidR="005D3905" w:rsidRPr="003D1E07">
        <w:rPr>
          <w:szCs w:val="24"/>
        </w:rPr>
        <w:t>e</w:t>
      </w:r>
      <w:r w:rsidR="005C3A90" w:rsidRPr="003D1E07">
        <w:rPr>
          <w:szCs w:val="24"/>
        </w:rPr>
        <w:t>n</w:t>
      </w:r>
      <w:r w:rsidR="005D3905" w:rsidRPr="003D1E07">
        <w:rPr>
          <w:szCs w:val="24"/>
        </w:rPr>
        <w:t xml:space="preserve"> s mytopoetickým diakosmem skrze analogický modus nemateriality a skrze subsistentní formy</w:t>
      </w:r>
      <w:r w:rsidR="007E4CDA" w:rsidRPr="003D1E07">
        <w:t xml:space="preserve">. </w:t>
      </w:r>
      <w:r w:rsidR="00A01816" w:rsidRPr="003D1E07">
        <w:t xml:space="preserve">Komentář </w:t>
      </w:r>
      <w:r w:rsidR="08FA28D8" w:rsidRPr="003D1E07">
        <w:t xml:space="preserve">Druhého mistra </w:t>
      </w:r>
      <w:r w:rsidR="00A01816" w:rsidRPr="003D1E07">
        <w:t xml:space="preserve">staví proti Alexandrovi </w:t>
      </w:r>
      <w:r w:rsidR="00F204AD" w:rsidRPr="003D1E07">
        <w:lastRenderedPageBreak/>
        <w:t xml:space="preserve">aristotelský </w:t>
      </w:r>
      <w:r w:rsidR="00A01816" w:rsidRPr="003D1E07">
        <w:t xml:space="preserve">výklad </w:t>
      </w:r>
      <w:r w:rsidR="00A01816" w:rsidRPr="003D1E07">
        <w:rPr>
          <w:i/>
        </w:rPr>
        <w:t>De anima</w:t>
      </w:r>
      <w:r w:rsidR="00F204AD" w:rsidRPr="003D1E07">
        <w:t>. Ten je založen</w:t>
      </w:r>
      <w:r w:rsidR="00A01816" w:rsidRPr="003D1E07">
        <w:t xml:space="preserve"> na mediaci pomocí středního členu</w:t>
      </w:r>
      <w:r w:rsidR="00F52559" w:rsidRPr="003D1E07">
        <w:t xml:space="preserve"> soudu</w:t>
      </w:r>
      <w:r w:rsidR="00A01816" w:rsidRPr="003D1E07">
        <w:t xml:space="preserve">, stejně jako to mají </w:t>
      </w:r>
      <w:r w:rsidR="00A01816" w:rsidRPr="003D1E07">
        <w:rPr>
          <w:i/>
        </w:rPr>
        <w:t>Druhé analytiky</w:t>
      </w:r>
      <w:r w:rsidR="00A01816" w:rsidRPr="003D1E07">
        <w:t xml:space="preserve"> pro vědecké poznání skrze deduktivní soud. </w:t>
      </w:r>
      <w:r w:rsidR="00B8297A" w:rsidRPr="003D1E07">
        <w:t xml:space="preserve">Nové schéma sleduje působení reálné kauzality na process poznání. </w:t>
      </w:r>
      <w:r w:rsidR="001E3AF3" w:rsidRPr="003D1E07">
        <w:t xml:space="preserve">Alfarábí </w:t>
      </w:r>
      <w:r w:rsidR="00640B5B" w:rsidRPr="003D1E07">
        <w:t xml:space="preserve">zavedl </w:t>
      </w:r>
      <w:r w:rsidR="00282836" w:rsidRPr="003D1E07">
        <w:t xml:space="preserve">do schématu poznání nutný </w:t>
      </w:r>
      <w:r w:rsidR="009B1D56" w:rsidRPr="003D1E07">
        <w:t>střední člen</w:t>
      </w:r>
      <w:r w:rsidR="00282836" w:rsidRPr="003D1E07">
        <w:t xml:space="preserve"> </w:t>
      </w:r>
      <w:r w:rsidR="00B8297A" w:rsidRPr="003D1E07">
        <w:t>(</w:t>
      </w:r>
      <w:r w:rsidR="00B8297A" w:rsidRPr="003D1E07">
        <w:rPr>
          <w:i/>
        </w:rPr>
        <w:t>medium</w:t>
      </w:r>
      <w:r w:rsidR="00B8297A" w:rsidRPr="003D1E07">
        <w:t xml:space="preserve">) </w:t>
      </w:r>
      <w:r w:rsidR="00282836" w:rsidRPr="003D1E07">
        <w:t xml:space="preserve">zajišťující mediaci mezi smysly a intelektem, aby poznání </w:t>
      </w:r>
      <w:r w:rsidR="00640B5B" w:rsidRPr="003D1E07">
        <w:t>mohlo proběhnout</w:t>
      </w:r>
      <w:r w:rsidR="00860AC7" w:rsidRPr="003D1E07">
        <w:t xml:space="preserve"> z materiálního do nemateriálního modu</w:t>
      </w:r>
      <w:r w:rsidR="00437D14">
        <w:t>.</w:t>
      </w:r>
      <w:r w:rsidR="00E720FD">
        <w:t xml:space="preserve"> </w:t>
      </w:r>
      <w:r w:rsidR="00E720FD" w:rsidRPr="00E720FD">
        <w:t>T</w:t>
      </w:r>
      <w:r w:rsidR="00E720FD">
        <w:t xml:space="preserve">akto provedená impozice zajišťuje </w:t>
      </w:r>
      <w:r w:rsidR="00E720FD" w:rsidRPr="00E720FD">
        <w:t xml:space="preserve">zprostředkování mezi smysly a intelektem </w:t>
      </w:r>
      <w:r w:rsidR="00E720FD">
        <w:t xml:space="preserve">a tím </w:t>
      </w:r>
      <w:r w:rsidR="00E720FD" w:rsidRPr="00E720FD">
        <w:t xml:space="preserve">umožňuje přechod poznání z hmotného do nehmotného modu. Toto spojení sleduje skutečnou kauzalitu, která aktualizuje duši k získání </w:t>
      </w:r>
      <w:r w:rsidR="00E720FD">
        <w:t xml:space="preserve">adekvátního </w:t>
      </w:r>
      <w:r w:rsidR="00E720FD" w:rsidRPr="00E720FD">
        <w:t>poznání skutečného světa.</w:t>
      </w:r>
    </w:p>
    <w:p w14:paraId="08B72AED" w14:textId="1E6387DD" w:rsidR="0023090E" w:rsidRPr="003D1E07" w:rsidRDefault="00AE405D" w:rsidP="00437D14">
      <w:pPr>
        <w:ind w:firstLine="397"/>
      </w:pPr>
      <w:r w:rsidRPr="003D1E07">
        <w:t xml:space="preserve">První západní </w:t>
      </w:r>
      <w:r w:rsidR="08302C4E" w:rsidRPr="003D1E07">
        <w:t xml:space="preserve">definice </w:t>
      </w:r>
      <w:r w:rsidRPr="003D1E07">
        <w:rPr>
          <w:i/>
        </w:rPr>
        <w:t>intellectus possibilis</w:t>
      </w:r>
      <w:r w:rsidRPr="003D1E07">
        <w:t xml:space="preserve"> vzniká díky </w:t>
      </w:r>
      <w:r w:rsidR="00675EC8" w:rsidRPr="003D1E07">
        <w:t xml:space="preserve">aristotelskému přechodu </w:t>
      </w:r>
      <w:r w:rsidRPr="003D1E07">
        <w:t xml:space="preserve">mezi smyslovým a intelektuálním procesem poznání. Protože se oba způsoby zásadně liší (individuálně-materiální, univerzálně-nemateriální) pak musí být mezi nimi nějaký prostředník, který tuto mediaci provede pomocí kauzálně daného </w:t>
      </w:r>
      <w:r w:rsidR="08302C4E" w:rsidRPr="003D1E07">
        <w:t>působení</w:t>
      </w:r>
      <w:r w:rsidRPr="003D1E07">
        <w:t xml:space="preserve">. </w:t>
      </w:r>
      <w:r w:rsidR="08850790" w:rsidRPr="003D1E07">
        <w:t xml:space="preserve">Spis </w:t>
      </w:r>
      <w:r w:rsidR="08850790" w:rsidRPr="003D1E07">
        <w:rPr>
          <w:i/>
        </w:rPr>
        <w:t xml:space="preserve">Druhé analytiky </w:t>
      </w:r>
      <w:r w:rsidR="08850790" w:rsidRPr="003D1E07">
        <w:t>postuluje pro pravdivé poznání mediaci pomocí středního členu soudu. Kauzalita existuje mezi věcmi v reálu a současně ji univočně vyjadřuje střední člen demonstrativního soudu (τὸ μέσον,</w:t>
      </w:r>
      <w:r w:rsidR="08850790" w:rsidRPr="003D1E07">
        <w:rPr>
          <w:i/>
        </w:rPr>
        <w:t xml:space="preserve"> medium</w:t>
      </w:r>
      <w:r w:rsidR="08850790" w:rsidRPr="003D1E07">
        <w:rPr>
          <w:i/>
        </w:rPr>
        <w:fldChar w:fldCharType="begin"/>
      </w:r>
      <w:r w:rsidR="08850790" w:rsidRPr="003D1E07">
        <w:instrText xml:space="preserve"> XE "</w:instrText>
      </w:r>
      <w:r w:rsidR="08850790" w:rsidRPr="003D1E07">
        <w:rPr>
          <w:i/>
        </w:rPr>
        <w:instrText>medium:</w:instrText>
      </w:r>
      <w:r w:rsidR="08850790" w:rsidRPr="003D1E07">
        <w:instrText xml:space="preserve">Albert" </w:instrText>
      </w:r>
      <w:r w:rsidR="08850790" w:rsidRPr="003D1E07">
        <w:rPr>
          <w:i/>
        </w:rPr>
        <w:fldChar w:fldCharType="end"/>
      </w:r>
      <w:r w:rsidR="08850790" w:rsidRPr="003D1E07">
        <w:t>).</w:t>
      </w:r>
      <w:r w:rsidR="08850790" w:rsidRPr="003D1E07">
        <w:rPr>
          <w:rStyle w:val="Znakapoznpodarou"/>
        </w:rPr>
        <w:footnoteReference w:id="85"/>
      </w:r>
      <w:r w:rsidR="08850790" w:rsidRPr="003D1E07">
        <w:t xml:space="preserve"> </w:t>
      </w:r>
      <w:r w:rsidRPr="003D1E07">
        <w:t xml:space="preserve">Možný </w:t>
      </w:r>
      <w:r w:rsidR="00481AEE" w:rsidRPr="003D1E07">
        <w:t xml:space="preserve">(a tedy pasivní) </w:t>
      </w:r>
      <w:r w:rsidRPr="003D1E07">
        <w:t xml:space="preserve">intelekt </w:t>
      </w:r>
      <w:r w:rsidR="08850790" w:rsidRPr="003D1E07">
        <w:t xml:space="preserve">stojí ve středové pozici tím, že </w:t>
      </w:r>
      <w:r w:rsidRPr="003D1E07">
        <w:t xml:space="preserve">medializuje poznání </w:t>
      </w:r>
      <w:r w:rsidR="08D01985" w:rsidRPr="003D1E07">
        <w:t>mate</w:t>
      </w:r>
      <w:r w:rsidR="08302C4E" w:rsidRPr="003D1E07">
        <w:t xml:space="preserve">riálních věcí </w:t>
      </w:r>
      <w:r w:rsidR="00D256B7">
        <w:t>pozn</w:t>
      </w:r>
      <w:r w:rsidR="08302C4E" w:rsidRPr="003D1E07">
        <w:t xml:space="preserve">aných </w:t>
      </w:r>
      <w:r w:rsidR="00D256B7">
        <w:t>smysly</w:t>
      </w:r>
      <w:r w:rsidR="004F33F8" w:rsidRPr="003D1E07">
        <w:t xml:space="preserve">. Stejnou </w:t>
      </w:r>
      <w:r w:rsidR="000E4778" w:rsidRPr="003D1E07">
        <w:t>zprostředkovatelskou roli hraje</w:t>
      </w:r>
      <w:r w:rsidR="004F33F8" w:rsidRPr="003D1E07">
        <w:t xml:space="preserve"> v kosmu diafanum, které přenáší sluneční paprsek prostorem až k aktu vidění. </w:t>
      </w:r>
      <w:r w:rsidR="005B0A2E" w:rsidRPr="003D1E07">
        <w:t xml:space="preserve">Oko pasivně vnímá barvy, které jsou </w:t>
      </w:r>
      <w:r w:rsidR="0036079F" w:rsidRPr="003D1E07">
        <w:t xml:space="preserve">aktualizované </w:t>
      </w:r>
      <w:r w:rsidR="08E916D9" w:rsidRPr="003D1E07">
        <w:t>na</w:t>
      </w:r>
      <w:r w:rsidR="005B0A2E" w:rsidRPr="003D1E07">
        <w:t xml:space="preserve"> </w:t>
      </w:r>
      <w:r w:rsidR="08E916D9" w:rsidRPr="003D1E07">
        <w:t xml:space="preserve">ploše </w:t>
      </w:r>
      <w:r w:rsidR="00B24E47" w:rsidRPr="003D1E07">
        <w:t>těles</w:t>
      </w:r>
      <w:r w:rsidR="08E916D9" w:rsidRPr="003D1E07">
        <w:t>. Poznání barvy tělesa je dané proto, že plochu</w:t>
      </w:r>
      <w:r w:rsidR="005B0A2E" w:rsidRPr="003D1E07">
        <w:t xml:space="preserve"> osvítí slunce</w:t>
      </w:r>
      <w:r w:rsidR="006B3B50" w:rsidRPr="003D1E07">
        <w:t>, jehož paprsek putuje průsvitným prostředím (</w:t>
      </w:r>
      <w:r w:rsidR="006B3B50" w:rsidRPr="003D1E07">
        <w:rPr>
          <w:i/>
        </w:rPr>
        <w:t>diaphanum</w:t>
      </w:r>
      <w:r w:rsidR="00D5332E" w:rsidRPr="003D1E07">
        <w:rPr>
          <w:i/>
        </w:rPr>
        <w:fldChar w:fldCharType="begin"/>
      </w:r>
      <w:r w:rsidR="00D5332E" w:rsidRPr="003D1E07">
        <w:instrText xml:space="preserve"> XE "</w:instrText>
      </w:r>
      <w:r w:rsidR="00A40F9F" w:rsidRPr="003D1E07">
        <w:instrText>diaf</w:instrText>
      </w:r>
      <w:r w:rsidR="00D5332E" w:rsidRPr="003D1E07">
        <w:instrText>anum:Al-</w:instrText>
      </w:r>
      <w:r w:rsidR="008E02F5" w:rsidRPr="003D1E07">
        <w:instrText>Fárábí</w:instrText>
      </w:r>
      <w:r w:rsidR="00D5332E" w:rsidRPr="003D1E07">
        <w:instrText xml:space="preserve">" </w:instrText>
      </w:r>
      <w:r w:rsidR="00D5332E" w:rsidRPr="003D1E07">
        <w:rPr>
          <w:i/>
        </w:rPr>
        <w:fldChar w:fldCharType="end"/>
      </w:r>
      <w:r w:rsidR="000E6D80" w:rsidRPr="003D1E07">
        <w:t xml:space="preserve">). </w:t>
      </w:r>
      <w:r w:rsidR="08B03844" w:rsidRPr="003D1E07">
        <w:t xml:space="preserve">Barva má potenciální charakter, </w:t>
      </w:r>
      <w:r w:rsidR="08E8189B" w:rsidRPr="003D1E07">
        <w:t>protože s</w:t>
      </w:r>
      <w:r w:rsidR="08B03844" w:rsidRPr="003D1E07">
        <w:t xml:space="preserve">luneční paprsek </w:t>
      </w:r>
      <w:r w:rsidR="08E8189B" w:rsidRPr="003D1E07">
        <w:t xml:space="preserve">aktualizuje potenci barvy na tělese </w:t>
      </w:r>
      <w:r w:rsidR="08B03844" w:rsidRPr="003D1E07">
        <w:t xml:space="preserve">skrze </w:t>
      </w:r>
      <w:r w:rsidR="00344801">
        <w:t>mediaci</w:t>
      </w:r>
      <w:r w:rsidR="08B03844" w:rsidRPr="003D1E07">
        <w:t xml:space="preserve">. </w:t>
      </w:r>
      <w:r w:rsidR="08E8189B" w:rsidRPr="003D1E07">
        <w:t xml:space="preserve">Těleso samo od sebe existuje a my je poznáváme jako barevné. </w:t>
      </w:r>
      <w:r w:rsidR="08B03844" w:rsidRPr="003D1E07">
        <w:t xml:space="preserve">Spis </w:t>
      </w:r>
      <w:r w:rsidR="00B713C5" w:rsidRPr="003D1E07">
        <w:rPr>
          <w:i/>
        </w:rPr>
        <w:t>De anima</w:t>
      </w:r>
      <w:r w:rsidR="08C45376" w:rsidRPr="003D1E07">
        <w:t xml:space="preserve"> </w:t>
      </w:r>
      <w:r w:rsidR="08B03844" w:rsidRPr="003D1E07">
        <w:t xml:space="preserve">toto schéma zakládající smyslové poznání uplatňuje na nemateriální poznání prováděné skrze </w:t>
      </w:r>
      <w:r w:rsidR="08C45376" w:rsidRPr="003D1E07">
        <w:t xml:space="preserve">pasivní </w:t>
      </w:r>
      <w:r w:rsidR="08B03844" w:rsidRPr="003D1E07">
        <w:t xml:space="preserve">a aktivní </w:t>
      </w:r>
      <w:r w:rsidR="08F30B96" w:rsidRPr="003D1E07">
        <w:t xml:space="preserve">schopnost </w:t>
      </w:r>
      <w:r w:rsidR="08C45376" w:rsidRPr="003D1E07">
        <w:t>in</w:t>
      </w:r>
      <w:r w:rsidR="08B03844" w:rsidRPr="003D1E07">
        <w:t>telektu v duši</w:t>
      </w:r>
      <w:r w:rsidR="08C45376" w:rsidRPr="003D1E07">
        <w:t>.</w:t>
      </w:r>
      <w:bookmarkStart w:id="37" w:name="_Ref379215627"/>
      <w:r w:rsidR="08C45376" w:rsidRPr="003D1E07">
        <w:rPr>
          <w:rStyle w:val="Znakapoznpodarou"/>
        </w:rPr>
        <w:footnoteReference w:id="86"/>
      </w:r>
      <w:bookmarkEnd w:id="37"/>
      <w:r w:rsidR="08C45376" w:rsidRPr="003D1E07">
        <w:t xml:space="preserve"> </w:t>
      </w:r>
      <w:r w:rsidR="003977EE" w:rsidRPr="003D1E07">
        <w:t xml:space="preserve">Citovaná pasáž </w:t>
      </w:r>
      <w:r w:rsidR="003977EE" w:rsidRPr="003D1E07">
        <w:rPr>
          <w:i/>
        </w:rPr>
        <w:t>De anima</w:t>
      </w:r>
      <w:r w:rsidR="089B5BA4" w:rsidRPr="003D1E07">
        <w:t xml:space="preserve"> o dvou složkách intelektu</w:t>
      </w:r>
      <w:r w:rsidR="08824E9F" w:rsidRPr="003D1E07">
        <w:t xml:space="preserve"> (νοῦς τῷ πάντα γίνεσθαι, ὁ δὲ τῷ πάντα ποιεῖν, </w:t>
      </w:r>
      <w:r w:rsidR="08824E9F" w:rsidRPr="003D1E07">
        <w:rPr>
          <w:i/>
        </w:rPr>
        <w:t>De anima</w:t>
      </w:r>
      <w:r w:rsidR="08824E9F" w:rsidRPr="003D1E07">
        <w:t xml:space="preserve"> 430a14‒15</w:t>
      </w:r>
      <w:r w:rsidR="08824E9F" w:rsidRPr="003D1E07">
        <w:fldChar w:fldCharType="begin"/>
      </w:r>
      <w:r w:rsidR="08824E9F" w:rsidRPr="003D1E07">
        <w:instrText xml:space="preserve"> XE "Aristoteles:</w:instrText>
      </w:r>
      <w:r w:rsidR="08824E9F" w:rsidRPr="003D1E07">
        <w:rPr>
          <w:i/>
        </w:rPr>
        <w:instrText>De anima</w:instrText>
      </w:r>
      <w:r w:rsidR="08824E9F" w:rsidRPr="003D1E07">
        <w:instrText xml:space="preserve"> 430a14‒15" </w:instrText>
      </w:r>
      <w:r w:rsidR="08824E9F" w:rsidRPr="003D1E07">
        <w:fldChar w:fldCharType="end"/>
      </w:r>
      <w:r w:rsidR="08824E9F" w:rsidRPr="003D1E07">
        <w:t>) bude hrát zásadní roli v Averroesově díle CMDA. P</w:t>
      </w:r>
      <w:r w:rsidR="089B5BA4" w:rsidRPr="003D1E07">
        <w:t xml:space="preserve">oznání </w:t>
      </w:r>
      <w:r w:rsidR="08824E9F" w:rsidRPr="003D1E07">
        <w:t xml:space="preserve">duše </w:t>
      </w:r>
      <w:r w:rsidR="089B5BA4" w:rsidRPr="003D1E07">
        <w:t>pasivně vnímá vnější věc</w:t>
      </w:r>
      <w:r w:rsidR="08824E9F" w:rsidRPr="003D1E07">
        <w:t xml:space="preserve"> a </w:t>
      </w:r>
      <w:r w:rsidR="089B5BA4" w:rsidRPr="003D1E07">
        <w:t>aktivně produkuje n</w:t>
      </w:r>
      <w:r w:rsidR="08824E9F" w:rsidRPr="003D1E07">
        <w:t>emateriální koncept</w:t>
      </w:r>
      <w:r w:rsidR="003977EE" w:rsidRPr="003D1E07">
        <w:t xml:space="preserve">. </w:t>
      </w:r>
      <w:r w:rsidR="087A18F5" w:rsidRPr="003D1E07">
        <w:t xml:space="preserve">Zavedení diafanum do schématu poznání má zásadní </w:t>
      </w:r>
      <w:r w:rsidR="087A18F5" w:rsidRPr="003D1E07">
        <w:lastRenderedPageBreak/>
        <w:t>charakter</w:t>
      </w:r>
      <w:r w:rsidR="08FD7806" w:rsidRPr="003D1E07">
        <w:t>, protože spojuje smysly a intelekt</w:t>
      </w:r>
      <w:r w:rsidR="085F3155" w:rsidRPr="003D1E07">
        <w:t>. J</w:t>
      </w:r>
      <w:r w:rsidR="08FD7806" w:rsidRPr="003D1E07">
        <w:t>edině za této podmínky je možná předešlá Aristotelova definice duše</w:t>
      </w:r>
      <w:r w:rsidR="087A18F5" w:rsidRPr="003D1E07">
        <w:t>.</w:t>
      </w:r>
      <w:r w:rsidR="08AD09FD" w:rsidRPr="003D1E07">
        <w:t xml:space="preserve"> Citujme brilantní výklad </w:t>
      </w:r>
      <w:r w:rsidR="08AD09FD" w:rsidRPr="003D1E07">
        <w:rPr>
          <w:i/>
        </w:rPr>
        <w:t>De anima</w:t>
      </w:r>
      <w:r w:rsidR="08AD09FD" w:rsidRPr="003D1E07">
        <w:t>, který ve falsafě plně rozvine Averroesův spis CMDA a na latinském Západě až Blundova škola</w:t>
      </w:r>
      <w:r w:rsidR="08DA142E" w:rsidRPr="003D1E07">
        <w:fldChar w:fldCharType="begin"/>
      </w:r>
      <w:r w:rsidR="08DA142E" w:rsidRPr="003D1E07">
        <w:instrText xml:space="preserve"> XE "Blund, J." </w:instrText>
      </w:r>
      <w:r w:rsidR="08DA142E" w:rsidRPr="003D1E07">
        <w:fldChar w:fldCharType="end"/>
      </w:r>
      <w:r w:rsidR="08AD09FD" w:rsidRPr="003D1E07">
        <w:t>.</w:t>
      </w:r>
      <w:r w:rsidR="082A2FB4" w:rsidRPr="003D1E07">
        <w:t xml:space="preserve"> Al-Fárábí čte spis </w:t>
      </w:r>
      <w:r w:rsidR="082A2FB4" w:rsidRPr="003D1E07">
        <w:rPr>
          <w:i/>
        </w:rPr>
        <w:t>De anima</w:t>
      </w:r>
      <w:r w:rsidR="082A2FB4" w:rsidRPr="003D1E07">
        <w:t xml:space="preserve"> podle intence Aristotela, ted</w:t>
      </w:r>
      <w:r w:rsidR="08E40658" w:rsidRPr="003D1E07">
        <w:t xml:space="preserve">y od druhé knihy ke třetí. </w:t>
      </w:r>
      <w:r w:rsidR="08FD0C52" w:rsidRPr="003D1E07">
        <w:t>M</w:t>
      </w:r>
      <w:r w:rsidR="08E40658" w:rsidRPr="003D1E07">
        <w:t xml:space="preserve">oderna jej čte </w:t>
      </w:r>
      <w:r w:rsidR="08FD0C52" w:rsidRPr="003D1E07">
        <w:t xml:space="preserve">zcela nekriticky, tedy </w:t>
      </w:r>
      <w:r w:rsidR="08E40658" w:rsidRPr="003D1E07">
        <w:t xml:space="preserve">od </w:t>
      </w:r>
      <w:r w:rsidR="08CA7C61" w:rsidRPr="003D1E07">
        <w:t xml:space="preserve">konce </w:t>
      </w:r>
      <w:r w:rsidR="082A2FB4" w:rsidRPr="003D1E07">
        <w:t xml:space="preserve">k začátku. </w:t>
      </w:r>
      <w:r w:rsidR="085F3155" w:rsidRPr="003D1E07">
        <w:t xml:space="preserve">Druhý mistr </w:t>
      </w:r>
      <w:r w:rsidR="082A2FB4" w:rsidRPr="003D1E07">
        <w:t xml:space="preserve">nepřeskočil </w:t>
      </w:r>
      <w:r w:rsidR="08A24BFE" w:rsidRPr="003D1E07">
        <w:t>analýzu s</w:t>
      </w:r>
      <w:r w:rsidR="082A2FB4" w:rsidRPr="003D1E07">
        <w:t>myslového poznání</w:t>
      </w:r>
      <w:r w:rsidR="085F3155" w:rsidRPr="003D1E07">
        <w:t xml:space="preserve"> </w:t>
      </w:r>
      <w:r w:rsidR="08A24BFE" w:rsidRPr="003D1E07">
        <w:t xml:space="preserve">v </w:t>
      </w:r>
      <w:r w:rsidR="08A24BFE" w:rsidRPr="003D1E07">
        <w:rPr>
          <w:i/>
        </w:rPr>
        <w:t>De anima</w:t>
      </w:r>
      <w:r w:rsidR="08A24BFE" w:rsidRPr="003D1E07">
        <w:t xml:space="preserve"> </w:t>
      </w:r>
      <w:r w:rsidR="085F3155" w:rsidRPr="003D1E07">
        <w:t xml:space="preserve">jako </w:t>
      </w:r>
      <w:r w:rsidR="08A24BFE" w:rsidRPr="003D1E07">
        <w:t xml:space="preserve">mytopoetičtí </w:t>
      </w:r>
      <w:r w:rsidR="08E20A83" w:rsidRPr="003D1E07">
        <w:t>neoplatonikové</w:t>
      </w:r>
      <w:r w:rsidR="002B6676" w:rsidRPr="003D1E07">
        <w:t xml:space="preserve"> a postmoderna. P</w:t>
      </w:r>
      <w:r w:rsidR="085F3155" w:rsidRPr="003D1E07">
        <w:t xml:space="preserve">roto </w:t>
      </w:r>
      <w:r w:rsidR="082A2FB4" w:rsidRPr="003D1E07">
        <w:t>př</w:t>
      </w:r>
      <w:r w:rsidR="08FF5D73" w:rsidRPr="003D1E07">
        <w:t>esně vidí roli diafanum v proce</w:t>
      </w:r>
      <w:r w:rsidR="082A2FB4" w:rsidRPr="003D1E07">
        <w:t>su poznání</w:t>
      </w:r>
      <w:r w:rsidR="08785550" w:rsidRPr="003D1E07">
        <w:t xml:space="preserve"> </w:t>
      </w:r>
      <w:r w:rsidR="082E3A22" w:rsidRPr="003D1E07">
        <w:t xml:space="preserve">smyslů a </w:t>
      </w:r>
      <w:r w:rsidR="08785550" w:rsidRPr="003D1E07">
        <w:t>intelektu</w:t>
      </w:r>
      <w:r w:rsidR="082A2FB4" w:rsidRPr="003D1E07">
        <w:t xml:space="preserve">. </w:t>
      </w:r>
    </w:p>
    <w:p w14:paraId="75F66D82" w14:textId="77777777" w:rsidR="0023090E" w:rsidRPr="003D1E07" w:rsidRDefault="0023090E" w:rsidP="0023090E">
      <w:pPr>
        <w:pStyle w:val="Citace"/>
        <w:rPr>
          <w:noProof/>
          <w:lang w:val="cs-CZ"/>
        </w:rPr>
      </w:pPr>
      <w:r w:rsidRPr="003D1E07">
        <w:rPr>
          <w:noProof/>
          <w:lang w:val="cs-CZ"/>
        </w:rPr>
        <w:t xml:space="preserve">„Principem se stává ona schopnost vidění (průzračnost), která pochází od slunce. Skrze diafanum se pohled </w:t>
      </w:r>
      <w:r w:rsidR="082E3A22" w:rsidRPr="003D1E07">
        <w:rPr>
          <w:noProof/>
          <w:lang w:val="cs-CZ"/>
        </w:rPr>
        <w:t xml:space="preserve">oka </w:t>
      </w:r>
      <w:r w:rsidRPr="003D1E07">
        <w:rPr>
          <w:noProof/>
          <w:lang w:val="cs-CZ"/>
        </w:rPr>
        <w:t xml:space="preserve">stává aktuálně vidícím, zatímco předtím se vidělo jen potenciálně; a skrze diafanum se také viděné, které předtím bylo viděno jen potenciálně, stává skutečně viděným. Tímto způsobem se entitě nazývané „možný intelekt“ dostává podobné vlastnosti, jako má aktualizovaná schopnost </w:t>
      </w:r>
      <w:r w:rsidR="006D00CB" w:rsidRPr="003D1E07">
        <w:rPr>
          <w:noProof/>
          <w:lang w:val="cs-CZ"/>
        </w:rPr>
        <w:t>vidění vzhledem k potenciálnímu vidění jako takovému</w:t>
      </w:r>
      <w:r w:rsidRPr="003D1E07">
        <w:rPr>
          <w:noProof/>
          <w:lang w:val="cs-CZ"/>
        </w:rPr>
        <w:t>.“ </w:t>
      </w:r>
      <w:r w:rsidRPr="003D1E07">
        <w:rPr>
          <w:rStyle w:val="Znakapoznpodarou"/>
          <w:noProof/>
          <w:lang w:val="cs-CZ"/>
        </w:rPr>
        <w:footnoteReference w:id="87"/>
      </w:r>
    </w:p>
    <w:p w14:paraId="19D8F6B6" w14:textId="77777777" w:rsidR="00792C96" w:rsidRDefault="0023090E" w:rsidP="002D2E9B">
      <w:r w:rsidRPr="003D1E07">
        <w:t>Poznání je přirovnáno k procesu vidění, v němž se aktualizuje individuální schopnost vidět. Abunaser aristotelsky konstatuje, že kauzalita vidění je dána skrze vnější působení světla na oko (</w:t>
      </w:r>
      <w:r w:rsidRPr="003D1E07">
        <w:rPr>
          <w:i/>
          <w:szCs w:val="26"/>
        </w:rPr>
        <w:t>wodurch der Blick actuell sehend</w:t>
      </w:r>
      <w:r w:rsidRPr="003D1E07">
        <w:rPr>
          <w:i/>
        </w:rPr>
        <w:t xml:space="preserve"> </w:t>
      </w:r>
      <w:r w:rsidRPr="003D1E07">
        <w:rPr>
          <w:i/>
          <w:szCs w:val="26"/>
        </w:rPr>
        <w:t>ward</w:t>
      </w:r>
      <w:r w:rsidRPr="003D1E07">
        <w:t xml:space="preserve">). Podobným způsobem dochází k aktualizaci poznání v intelektu. </w:t>
      </w:r>
      <w:r w:rsidR="0872172F" w:rsidRPr="003D1E07">
        <w:t xml:space="preserve">Ale intelekt je </w:t>
      </w:r>
      <w:r w:rsidR="083D59AD" w:rsidRPr="003D1E07">
        <w:t xml:space="preserve">primárně </w:t>
      </w:r>
      <w:r w:rsidR="0872172F" w:rsidRPr="003D1E07">
        <w:t xml:space="preserve">nemateriální </w:t>
      </w:r>
      <w:r w:rsidR="087B59DE" w:rsidRPr="003D1E07">
        <w:t xml:space="preserve">a pasivní </w:t>
      </w:r>
      <w:r w:rsidR="0872172F" w:rsidRPr="003D1E07">
        <w:t xml:space="preserve">schopnost duše a proto musí být poznání od smyslů nějak zprostředkováno. </w:t>
      </w:r>
      <w:r w:rsidRPr="003D1E07">
        <w:t>Abu</w:t>
      </w:r>
      <w:r w:rsidR="001B30E8">
        <w:t>ž</w:t>
      </w:r>
      <w:r w:rsidRPr="003D1E07">
        <w:t>naser definuje proces abstrakce dané v receptivním intelektu na základě aktu vidění, kde běží dva procesy mediatizované skrze zvláštní formu této průzračnosti (</w:t>
      </w:r>
      <w:r w:rsidRPr="003D1E07">
        <w:rPr>
          <w:i/>
          <w:szCs w:val="26"/>
        </w:rPr>
        <w:t>Durchsichtigkeit</w:t>
      </w:r>
      <w:r w:rsidRPr="003D1E07">
        <w:rPr>
          <w:szCs w:val="26"/>
        </w:rPr>
        <w:t xml:space="preserve">, </w:t>
      </w:r>
      <w:r w:rsidRPr="003D1E07">
        <w:rPr>
          <w:i/>
        </w:rPr>
        <w:t>diaphanum</w:t>
      </w:r>
      <w:r w:rsidRPr="003D1E07">
        <w:rPr>
          <w:i/>
        </w:rPr>
        <w:fldChar w:fldCharType="begin"/>
      </w:r>
      <w:r w:rsidRPr="003D1E07">
        <w:instrText xml:space="preserve"> XE "diafanum</w:instrText>
      </w:r>
      <w:r w:rsidR="008E02F5" w:rsidRPr="003D1E07">
        <w:instrText>:Al-Fá</w:instrText>
      </w:r>
      <w:r w:rsidRPr="003D1E07">
        <w:instrText xml:space="preserve">rábí" </w:instrText>
      </w:r>
      <w:r w:rsidRPr="003D1E07">
        <w:rPr>
          <w:i/>
        </w:rPr>
        <w:fldChar w:fldCharType="end"/>
      </w:r>
      <w:r w:rsidRPr="003D1E07">
        <w:t>). Jednak je nasvícena plocha tělesa směrem od kauzálně působícího slunce a jednak běží proces vidění barevné plochy v lidském oku a jeho obecné poznání v intelektu. Diafanum zprostředkuje aktua</w:t>
      </w:r>
      <w:r w:rsidR="089204AB" w:rsidRPr="003D1E07">
        <w:t xml:space="preserve">litu paprsku na </w:t>
      </w:r>
      <w:r w:rsidR="00F95495" w:rsidRPr="003D1E07">
        <w:t>plochu tělesa. Tím se stává z potenciálně barevné plochy aktuálně barevná věc. V</w:t>
      </w:r>
      <w:r w:rsidR="089204AB" w:rsidRPr="003D1E07">
        <w:t xml:space="preserve">e druhém kroku </w:t>
      </w:r>
      <w:r w:rsidRPr="003D1E07">
        <w:t xml:space="preserve">umožňuje naše </w:t>
      </w:r>
      <w:r w:rsidR="089204AB" w:rsidRPr="003D1E07">
        <w:t xml:space="preserve">smyslové poznání </w:t>
      </w:r>
      <w:r w:rsidRPr="003D1E07">
        <w:t>této plochy jako nasvícené</w:t>
      </w:r>
      <w:r w:rsidR="089204AB" w:rsidRPr="003D1E07">
        <w:t xml:space="preserve"> a barevné</w:t>
      </w:r>
      <w:r w:rsidRPr="003D1E07">
        <w:t xml:space="preserve">. Aktualizace vidění v oku má vzhledem k původnímu aktu ozáření pouze akcidentální charakter, protože je daná mimo </w:t>
      </w:r>
      <w:r w:rsidR="000D2B37" w:rsidRPr="003D1E07">
        <w:t xml:space="preserve">nás na </w:t>
      </w:r>
      <w:r w:rsidRPr="003D1E07">
        <w:t>nasvícené</w:t>
      </w:r>
      <w:r w:rsidR="000D2B37" w:rsidRPr="003D1E07">
        <w:t>m</w:t>
      </w:r>
      <w:r w:rsidRPr="003D1E07">
        <w:t xml:space="preserve"> těles</w:t>
      </w:r>
      <w:r w:rsidR="000D2B37" w:rsidRPr="003D1E07">
        <w:t>e</w:t>
      </w:r>
      <w:r w:rsidRPr="003D1E07">
        <w:t xml:space="preserve">. Následná signifikace barvy skrze mentální koncept vybaví tuto smyslovou akcidencialitu potřebnou univerzalitou. Tím je průběh poznání úplný, protože </w:t>
      </w:r>
      <w:r w:rsidR="087A025D" w:rsidRPr="003D1E07">
        <w:t xml:space="preserve">poznání plynule </w:t>
      </w:r>
      <w:r w:rsidRPr="003D1E07">
        <w:t>přejde od věci ke smyslům a pak k intelektu</w:t>
      </w:r>
      <w:r w:rsidR="087A025D" w:rsidRPr="003D1E07">
        <w:t xml:space="preserve"> v modu aktuality a potence</w:t>
      </w:r>
      <w:r w:rsidRPr="003D1E07">
        <w:t xml:space="preserve">. Citát ukazuje nasvícení smyslu jsoucna v intelektu od reálné věci, </w:t>
      </w:r>
      <w:r w:rsidRPr="003D1E07">
        <w:lastRenderedPageBreak/>
        <w:t>což poch</w:t>
      </w:r>
      <w:r w:rsidR="004524F6" w:rsidRPr="003D1E07">
        <w:t>opil a brilantně obhájil Averroe</w:t>
      </w:r>
      <w:r w:rsidR="08A105AE" w:rsidRPr="003D1E07">
        <w:t>s</w:t>
      </w:r>
      <w:r w:rsidR="0836280B" w:rsidRPr="003D1E07">
        <w:t xml:space="preserve"> proti Avicennovi</w:t>
      </w:r>
      <w:r w:rsidRPr="003D1E07">
        <w:t xml:space="preserve">. </w:t>
      </w:r>
      <w:r w:rsidR="004524F6" w:rsidRPr="003D1E07">
        <w:t>Latins</w:t>
      </w:r>
      <w:r w:rsidR="08816D38" w:rsidRPr="003D1E07">
        <w:t xml:space="preserve">ký termín </w:t>
      </w:r>
      <w:r w:rsidR="004524F6" w:rsidRPr="003D1E07">
        <w:rPr>
          <w:i/>
        </w:rPr>
        <w:t>diaph</w:t>
      </w:r>
      <w:r w:rsidR="002A551A" w:rsidRPr="003D1E07">
        <w:rPr>
          <w:i/>
        </w:rPr>
        <w:t>anum</w:t>
      </w:r>
      <w:r w:rsidR="002A551A" w:rsidRPr="003D1E07">
        <w:t xml:space="preserve"> označuje průsvitné prostředí, které</w:t>
      </w:r>
      <w:r w:rsidR="08816D38" w:rsidRPr="003D1E07">
        <w:t xml:space="preserve"> zprostředkovává aktualitu paprsku do </w:t>
      </w:r>
      <w:r w:rsidR="082664A5" w:rsidRPr="003D1E07">
        <w:t>plochy</w:t>
      </w:r>
      <w:r w:rsidR="08816D38" w:rsidRPr="003D1E07">
        <w:t xml:space="preserve"> aktuálního tělesa. </w:t>
      </w:r>
      <w:r w:rsidR="08FD24B5" w:rsidRPr="003D1E07">
        <w:t xml:space="preserve">Přechod je nutný, protože světlo je aktuální substance a </w:t>
      </w:r>
      <w:r w:rsidR="08074A21" w:rsidRPr="003D1E07">
        <w:t xml:space="preserve">barva </w:t>
      </w:r>
      <w:r w:rsidR="08FD24B5" w:rsidRPr="003D1E07">
        <w:t xml:space="preserve">je potenciální akcident daný na tělese jako aktuální první substanci. </w:t>
      </w:r>
      <w:r w:rsidR="08816D38" w:rsidRPr="003D1E07">
        <w:t>Diafanum také přenáší tuto aktualitu světla do našeho smyslového receptivního orgánu</w:t>
      </w:r>
      <w:r w:rsidR="002A551A" w:rsidRPr="003D1E07">
        <w:t xml:space="preserve">. </w:t>
      </w:r>
      <w:r w:rsidR="08816D38" w:rsidRPr="003D1E07">
        <w:t>Oko není světlem, ale vnímá světlo</w:t>
      </w:r>
      <w:r w:rsidR="0897155D" w:rsidRPr="003D1E07">
        <w:t xml:space="preserve"> stejně jako plocha tělesa se stává barevnou, když je ozářena světlem. </w:t>
      </w:r>
      <w:r w:rsidR="004524F6" w:rsidRPr="003D1E07">
        <w:t xml:space="preserve">Abunaser objevil zásadní roli diafanum pro lidské poznání, které nesmí být slepé na způsob neoplatonismu oslepeného </w:t>
      </w:r>
      <w:r w:rsidR="082B1E9F" w:rsidRPr="003D1E07">
        <w:t xml:space="preserve">platonským </w:t>
      </w:r>
      <w:r w:rsidR="004524F6" w:rsidRPr="003D1E07">
        <w:t>intelektem</w:t>
      </w:r>
      <w:r w:rsidR="082B1E9F" w:rsidRPr="003D1E07">
        <w:t>-sluncem</w:t>
      </w:r>
      <w:r w:rsidR="004524F6" w:rsidRPr="003D1E07">
        <w:t>. Al-Fá</w:t>
      </w:r>
      <w:r w:rsidR="0045520F" w:rsidRPr="003D1E07">
        <w:t xml:space="preserve">rábí </w:t>
      </w:r>
      <w:r w:rsidR="00BB050B" w:rsidRPr="003D1E07">
        <w:t xml:space="preserve">provedl vzhledem Alexandrovi zásadně nový výklad pasáže </w:t>
      </w:r>
      <w:r w:rsidR="00F724B3" w:rsidRPr="003D1E07">
        <w:rPr>
          <w:i/>
        </w:rPr>
        <w:t>De anima</w:t>
      </w:r>
      <w:r w:rsidR="009778EF" w:rsidRPr="003D1E07">
        <w:t xml:space="preserve"> 430a16–17</w:t>
      </w:r>
      <w:r w:rsidR="009778EF" w:rsidRPr="003D1E07">
        <w:fldChar w:fldCharType="begin"/>
      </w:r>
      <w:r w:rsidR="009778EF" w:rsidRPr="003D1E07">
        <w:instrText xml:space="preserve"> XE "Aristoteles:De anima 430a16–17" </w:instrText>
      </w:r>
      <w:r w:rsidR="009778EF" w:rsidRPr="003D1E07">
        <w:fldChar w:fldCharType="end"/>
      </w:r>
      <w:r w:rsidR="009778EF" w:rsidRPr="003D1E07">
        <w:t xml:space="preserve">. Tato pasáž </w:t>
      </w:r>
      <w:r w:rsidR="00F724B3" w:rsidRPr="003D1E07">
        <w:t>popisuje</w:t>
      </w:r>
      <w:r w:rsidR="00BB050B" w:rsidRPr="003D1E07">
        <w:t>, jak světlo způsobuje</w:t>
      </w:r>
      <w:r w:rsidR="00946EB7" w:rsidRPr="003D1E07">
        <w:t xml:space="preserve"> (τὸ φῶς ποιεῖ)</w:t>
      </w:r>
      <w:r w:rsidR="00BB050B" w:rsidRPr="003D1E07">
        <w:t xml:space="preserve">, že barevné věci dané v potenci se stávají aktuálně barevnými (τὰ δυνάμει ὄντα χρώματα ἐνεργείᾳ χρώματα). Světlo působí na potenciálně dané prostředí, v němž jsou </w:t>
      </w:r>
      <w:r w:rsidR="00276216" w:rsidRPr="003D1E07">
        <w:t>vlastnosti reálných věcí</w:t>
      </w:r>
      <w:r w:rsidR="00BB050B" w:rsidRPr="003D1E07">
        <w:t xml:space="preserve"> </w:t>
      </w:r>
      <w:r w:rsidR="00850F07" w:rsidRPr="003D1E07">
        <w:t xml:space="preserve">prozatím </w:t>
      </w:r>
      <w:r w:rsidR="00BB050B" w:rsidRPr="003D1E07">
        <w:t>dány v čisté potencialitě</w:t>
      </w:r>
      <w:r w:rsidR="006C062F" w:rsidRPr="003D1E07">
        <w:t xml:space="preserve"> (τὰ δυνάμει ὄντα)</w:t>
      </w:r>
      <w:r w:rsidR="00BB050B" w:rsidRPr="003D1E07">
        <w:t xml:space="preserve">. </w:t>
      </w:r>
      <w:r w:rsidR="008A0EF1" w:rsidRPr="003D1E07">
        <w:t xml:space="preserve">Plně potenciální diafanum nemůže vytvořit hypostázovanou formu </w:t>
      </w:r>
      <w:r w:rsidR="008A0EF1" w:rsidRPr="003D1E07">
        <w:rPr>
          <w:i/>
        </w:rPr>
        <w:t>hypodoché</w:t>
      </w:r>
      <w:r w:rsidR="00646443" w:rsidRPr="003D1E07">
        <w:rPr>
          <w:i/>
        </w:rPr>
        <w:fldChar w:fldCharType="begin"/>
      </w:r>
      <w:r w:rsidR="00646443" w:rsidRPr="003D1E07">
        <w:instrText xml:space="preserve"> XE "</w:instrText>
      </w:r>
      <w:r w:rsidR="00646443" w:rsidRPr="003D1E07">
        <w:rPr>
          <w:i/>
        </w:rPr>
        <w:instrText>hypodoché</w:instrText>
      </w:r>
      <w:r w:rsidR="00646443" w:rsidRPr="003D1E07">
        <w:instrText xml:space="preserve">" </w:instrText>
      </w:r>
      <w:r w:rsidR="00646443" w:rsidRPr="003D1E07">
        <w:rPr>
          <w:i/>
        </w:rPr>
        <w:fldChar w:fldCharType="end"/>
      </w:r>
      <w:r w:rsidR="008A0EF1" w:rsidRPr="003D1E07">
        <w:t xml:space="preserve"> jako jsoucna třetího</w:t>
      </w:r>
      <w:r w:rsidR="0882344E" w:rsidRPr="003D1E07">
        <w:t xml:space="preserve"> druhu, což měl dialog </w:t>
      </w:r>
      <w:r w:rsidR="0882344E" w:rsidRPr="003D1E07">
        <w:rPr>
          <w:i/>
        </w:rPr>
        <w:t>Ti</w:t>
      </w:r>
      <w:r w:rsidR="008A0EF1" w:rsidRPr="003D1E07">
        <w:rPr>
          <w:i/>
        </w:rPr>
        <w:t>maios</w:t>
      </w:r>
      <w:r w:rsidR="00372E82" w:rsidRPr="003D1E07">
        <w:rPr>
          <w:i/>
        </w:rPr>
        <w:fldChar w:fldCharType="begin"/>
      </w:r>
      <w:r w:rsidR="00372E82" w:rsidRPr="003D1E07">
        <w:rPr>
          <w:i/>
        </w:rPr>
        <w:instrText xml:space="preserve"> XE "</w:instrText>
      </w:r>
      <w:r w:rsidR="081325FA" w:rsidRPr="003D1E07">
        <w:instrText>dialog</w:instrText>
      </w:r>
      <w:r w:rsidR="081325FA" w:rsidRPr="003D1E07">
        <w:rPr>
          <w:i/>
        </w:rPr>
        <w:instrText xml:space="preserve"> Timaios</w:instrText>
      </w:r>
      <w:r w:rsidR="00372E82" w:rsidRPr="003D1E07">
        <w:rPr>
          <w:i/>
        </w:rPr>
        <w:instrText xml:space="preserve">" </w:instrText>
      </w:r>
      <w:r w:rsidR="00372E82" w:rsidRPr="003D1E07">
        <w:rPr>
          <w:i/>
        </w:rPr>
        <w:fldChar w:fldCharType="end"/>
      </w:r>
      <w:r w:rsidR="008A0EF1" w:rsidRPr="003D1E07">
        <w:t xml:space="preserve"> a po něm neo</w:t>
      </w:r>
      <w:r w:rsidR="08AF6B7D" w:rsidRPr="003D1E07">
        <w:t>platonismus (kap. 1.3</w:t>
      </w:r>
      <w:r w:rsidR="008A0EF1" w:rsidRPr="003D1E07">
        <w:t xml:space="preserve">.3). </w:t>
      </w:r>
      <w:r w:rsidR="086C0E3E" w:rsidRPr="003D1E07">
        <w:t>Pravý a falešný v</w:t>
      </w:r>
      <w:r w:rsidR="00AE405D" w:rsidRPr="003D1E07">
        <w:t xml:space="preserve">ýznam </w:t>
      </w:r>
      <w:r w:rsidR="0882344E" w:rsidRPr="003D1E07">
        <w:t xml:space="preserve">diafanum </w:t>
      </w:r>
      <w:r w:rsidR="00AE405D" w:rsidRPr="003D1E07">
        <w:t xml:space="preserve">v procesu poznání zakládá původní </w:t>
      </w:r>
      <w:r w:rsidR="00AE405D" w:rsidRPr="003D1E07">
        <w:rPr>
          <w:i/>
        </w:rPr>
        <w:t>Lichtung</w:t>
      </w:r>
      <w:r w:rsidR="00AE405D" w:rsidRPr="003D1E07">
        <w:rPr>
          <w:i/>
        </w:rPr>
        <w:fldChar w:fldCharType="begin"/>
      </w:r>
      <w:r w:rsidR="00AE405D" w:rsidRPr="003D1E07">
        <w:instrText xml:space="preserve"> XE "</w:instrText>
      </w:r>
      <w:r w:rsidR="00AE405D" w:rsidRPr="003D1E07">
        <w:rPr>
          <w:i/>
        </w:rPr>
        <w:instrText>Lichtung</w:instrText>
      </w:r>
      <w:r w:rsidR="00AE405D" w:rsidRPr="003D1E07">
        <w:instrText xml:space="preserve">:diafanum" </w:instrText>
      </w:r>
      <w:r w:rsidR="00AE405D" w:rsidRPr="003D1E07">
        <w:rPr>
          <w:i/>
        </w:rPr>
        <w:fldChar w:fldCharType="end"/>
      </w:r>
      <w:r w:rsidR="00AE405D" w:rsidRPr="003D1E07">
        <w:t xml:space="preserve"> západní objektivity v modu po</w:t>
      </w:r>
      <w:r w:rsidR="00AE405D" w:rsidRPr="003D1E07">
        <w:noBreakHyphen/>
        <w:t xml:space="preserve">odhalenosti </w:t>
      </w:r>
      <w:r w:rsidR="08D14510" w:rsidRPr="003D1E07">
        <w:t xml:space="preserve">múzické </w:t>
      </w:r>
      <w:r w:rsidR="00AE405D" w:rsidRPr="003D1E07">
        <w:t>pravdy (</w:t>
      </w:r>
      <w:r w:rsidR="00AE405D" w:rsidRPr="003D1E07">
        <w:rPr>
          <w:i/>
        </w:rPr>
        <w:t>a/létheia</w:t>
      </w:r>
      <w:r w:rsidR="085A313E" w:rsidRPr="003D1E07">
        <w:rPr>
          <w:i/>
        </w:rPr>
        <w:fldChar w:fldCharType="begin"/>
      </w:r>
      <w:r w:rsidR="085A313E" w:rsidRPr="003D1E07">
        <w:instrText xml:space="preserve"> XE "</w:instrText>
      </w:r>
      <w:r w:rsidR="085A313E" w:rsidRPr="003D1E07">
        <w:rPr>
          <w:i/>
          <w:lang w:eastAsia="en-US"/>
        </w:rPr>
        <w:instrText>a/létheia</w:instrText>
      </w:r>
      <w:r w:rsidR="085A313E" w:rsidRPr="003D1E07">
        <w:instrText xml:space="preserve">" </w:instrText>
      </w:r>
      <w:r w:rsidR="085A313E" w:rsidRPr="003D1E07">
        <w:rPr>
          <w:i/>
        </w:rPr>
        <w:fldChar w:fldCharType="end"/>
      </w:r>
      <w:r w:rsidR="00AE405D" w:rsidRPr="003D1E07">
        <w:t xml:space="preserve">). </w:t>
      </w:r>
      <w:r w:rsidR="082664A5" w:rsidRPr="003D1E07">
        <w:t xml:space="preserve">Archaická hermeneutika musí jít s Pýthií do </w:t>
      </w:r>
      <w:r w:rsidR="08342D8B" w:rsidRPr="003D1E07">
        <w:t xml:space="preserve">temné </w:t>
      </w:r>
      <w:r w:rsidR="082664A5" w:rsidRPr="003D1E07">
        <w:t xml:space="preserve">jeskyně, aby správně viděla </w:t>
      </w:r>
      <w:r w:rsidR="00AD7E08" w:rsidRPr="003D1E07">
        <w:t>reálné dění (</w:t>
      </w:r>
      <w:r w:rsidR="00AD7E08" w:rsidRPr="003D1E07">
        <w:rPr>
          <w:i/>
        </w:rPr>
        <w:t>Ereignis</w:t>
      </w:r>
      <w:r w:rsidR="00AD7E08" w:rsidRPr="003D1E07">
        <w:t xml:space="preserve">) </w:t>
      </w:r>
      <w:r w:rsidR="082664A5" w:rsidRPr="003D1E07">
        <w:t>slunečního pap</w:t>
      </w:r>
      <w:r w:rsidR="002D52CC" w:rsidRPr="003D1E07">
        <w:t>rsku. Tato epochální událost byla vytěsněna zapomenoutou mediací moderny (</w:t>
      </w:r>
      <w:r w:rsidR="002D52CC" w:rsidRPr="003D1E07">
        <w:rPr>
          <w:i/>
        </w:rPr>
        <w:t>Seinsvergessenheit</w:t>
      </w:r>
      <w:r w:rsidR="002D52CC" w:rsidRPr="003D1E07">
        <w:t xml:space="preserve">) a chybějící mediace byla nahrazena mytopoetickým simulákrem. </w:t>
      </w:r>
      <w:r w:rsidR="001B30E8">
        <w:t>Zavedení p</w:t>
      </w:r>
      <w:r w:rsidR="089761B0" w:rsidRPr="003D1E07">
        <w:t xml:space="preserve">ůvodní </w:t>
      </w:r>
      <w:r w:rsidR="089761B0" w:rsidRPr="003D1E07">
        <w:rPr>
          <w:i/>
        </w:rPr>
        <w:t>epoché</w:t>
      </w:r>
      <w:r w:rsidR="089761B0" w:rsidRPr="003D1E07">
        <w:t xml:space="preserve"> </w:t>
      </w:r>
      <w:r w:rsidR="001B30E8">
        <w:t>zrušilo</w:t>
      </w:r>
      <w:r w:rsidR="089761B0" w:rsidRPr="003D1E07">
        <w:t xml:space="preserve"> epochální omyl mod</w:t>
      </w:r>
      <w:r w:rsidR="00B4490B" w:rsidRPr="003D1E07">
        <w:t>erny. A</w:t>
      </w:r>
      <w:r w:rsidR="08182C8B" w:rsidRPr="003D1E07">
        <w:t xml:space="preserve">rchaický </w:t>
      </w:r>
      <w:r w:rsidR="089761B0" w:rsidRPr="003D1E07">
        <w:t xml:space="preserve">výklad </w:t>
      </w:r>
      <w:r w:rsidR="089761B0" w:rsidRPr="003D1E07">
        <w:rPr>
          <w:i/>
        </w:rPr>
        <w:t>De anima</w:t>
      </w:r>
      <w:r w:rsidR="087201D8" w:rsidRPr="003D1E07">
        <w:t xml:space="preserve"> </w:t>
      </w:r>
      <w:r w:rsidR="00B4490B" w:rsidRPr="003D1E07">
        <w:t>sleduje odkryté p</w:t>
      </w:r>
      <w:r w:rsidR="087201D8" w:rsidRPr="003D1E07">
        <w:t xml:space="preserve">oznání dané jako </w:t>
      </w:r>
      <w:r w:rsidR="08D519B1" w:rsidRPr="003D1E07">
        <w:t xml:space="preserve">metafyzická </w:t>
      </w:r>
      <w:r w:rsidR="087201D8" w:rsidRPr="003D1E07">
        <w:rPr>
          <w:i/>
        </w:rPr>
        <w:t>alétheia</w:t>
      </w:r>
      <w:r w:rsidR="087201D8" w:rsidRPr="003D1E07">
        <w:t xml:space="preserve"> podle </w:t>
      </w:r>
      <w:r w:rsidR="08182C8B" w:rsidRPr="003D1E07">
        <w:t>Aristotela. V</w:t>
      </w:r>
      <w:r w:rsidR="08B15157" w:rsidRPr="003D1E07">
        <w:t xml:space="preserve">ýklad diafanum </w:t>
      </w:r>
      <w:r w:rsidR="00AE405D" w:rsidRPr="003D1E07">
        <w:t xml:space="preserve">určuje průběh poznání podle </w:t>
      </w:r>
      <w:r w:rsidR="00AE405D" w:rsidRPr="003D1E07">
        <w:rPr>
          <w:i/>
        </w:rPr>
        <w:t>De anima</w:t>
      </w:r>
      <w:r w:rsidR="00AE405D" w:rsidRPr="003D1E07">
        <w:t xml:space="preserve"> </w:t>
      </w:r>
      <w:r w:rsidR="004B2518">
        <w:t xml:space="preserve">jinak </w:t>
      </w:r>
      <w:r w:rsidR="00E54144" w:rsidRPr="003D1E07">
        <w:t xml:space="preserve">podle </w:t>
      </w:r>
      <w:r w:rsidR="08585375" w:rsidRPr="003D1E07">
        <w:t>Al-</w:t>
      </w:r>
      <w:r w:rsidR="008E02F5" w:rsidRPr="003D1E07">
        <w:t>Fárábí</w:t>
      </w:r>
      <w:r w:rsidR="00E54144" w:rsidRPr="003D1E07">
        <w:t xml:space="preserve">ho a </w:t>
      </w:r>
      <w:r w:rsidR="004B2518">
        <w:t xml:space="preserve">jinak </w:t>
      </w:r>
      <w:r w:rsidR="00E54144" w:rsidRPr="003D1E07">
        <w:t>podle</w:t>
      </w:r>
      <w:r w:rsidR="00AE405D" w:rsidRPr="003D1E07">
        <w:t xml:space="preserve"> </w:t>
      </w:r>
      <w:r w:rsidR="002E3B62" w:rsidRPr="003D1E07">
        <w:t>Averroes</w:t>
      </w:r>
      <w:r w:rsidR="00AE405D" w:rsidRPr="003D1E07">
        <w:t xml:space="preserve">e. A </w:t>
      </w:r>
      <w:r w:rsidR="00AB5205" w:rsidRPr="003D1E07">
        <w:t xml:space="preserve">nutně tím </w:t>
      </w:r>
      <w:r w:rsidR="00AE405D" w:rsidRPr="003D1E07">
        <w:t>zjevuje epochálně manifestovanou nepravdu danou vytěsněním této mediace v Avicennově neoplatonismu a v budoucích f</w:t>
      </w:r>
      <w:r w:rsidR="08B15157" w:rsidRPr="003D1E07">
        <w:t>ormách objektivity.</w:t>
      </w:r>
      <w:r w:rsidR="00AE405D" w:rsidRPr="003D1E07">
        <w:t xml:space="preserve"> Definice možného intelektu napojená na diafanum nově zakládá poznání z hlediska </w:t>
      </w:r>
      <w:r w:rsidR="00703983" w:rsidRPr="003D1E07">
        <w:t xml:space="preserve">fenomenologického </w:t>
      </w:r>
      <w:r w:rsidR="00E81880" w:rsidRPr="003D1E07">
        <w:t xml:space="preserve">způsobu, </w:t>
      </w:r>
      <w:r w:rsidR="00AE405D" w:rsidRPr="003D1E07">
        <w:t>„jak“ (</w:t>
      </w:r>
      <w:r w:rsidR="008449EB" w:rsidRPr="003D1E07">
        <w:t xml:space="preserve">viz </w:t>
      </w:r>
      <w:r w:rsidR="00AE405D" w:rsidRPr="003D1E07">
        <w:rPr>
          <w:i/>
        </w:rPr>
        <w:t>Wie</w:t>
      </w:r>
      <w:r w:rsidR="008449EB" w:rsidRPr="003D1E07">
        <w:rPr>
          <w:i/>
        </w:rPr>
        <w:t xml:space="preserve"> </w:t>
      </w:r>
      <w:r w:rsidR="008449EB" w:rsidRPr="003D1E07">
        <w:t>Heideggera</w:t>
      </w:r>
      <w:r w:rsidR="004B2518">
        <w:t xml:space="preserve">) vzniká nasvícení smyslu </w:t>
      </w:r>
      <w:r w:rsidR="00AE405D" w:rsidRPr="003D1E07">
        <w:t>jsoucna</w:t>
      </w:r>
      <w:r w:rsidR="00AE405D" w:rsidRPr="003D1E07">
        <w:rPr>
          <w:i/>
        </w:rPr>
        <w:fldChar w:fldCharType="begin"/>
      </w:r>
      <w:r w:rsidR="00AE405D" w:rsidRPr="003D1E07">
        <w:instrText xml:space="preserve"> XE "zjevování:role diafanum" </w:instrText>
      </w:r>
      <w:r w:rsidR="00AE405D" w:rsidRPr="003D1E07">
        <w:rPr>
          <w:i/>
        </w:rPr>
        <w:fldChar w:fldCharType="end"/>
      </w:r>
      <w:r w:rsidR="00AE405D" w:rsidRPr="003D1E07">
        <w:t>.</w:t>
      </w:r>
      <w:r w:rsidR="08E776A5" w:rsidRPr="003D1E07">
        <w:t xml:space="preserve"> </w:t>
      </w:r>
      <w:r w:rsidR="08BF62F5" w:rsidRPr="003D1E07">
        <w:t>Po zhasnutí mýtu o intelektu-slunci je možné vidět z</w:t>
      </w:r>
      <w:r w:rsidR="00BB4A8B" w:rsidRPr="003D1E07">
        <w:t xml:space="preserve">ačátek metafyzického </w:t>
      </w:r>
      <w:r w:rsidR="003F29A2" w:rsidRPr="003D1E07">
        <w:t>pochybení (</w:t>
      </w:r>
      <w:r w:rsidR="00BB4A8B" w:rsidRPr="003D1E07">
        <w:rPr>
          <w:i/>
        </w:rPr>
        <w:t>Irrtum</w:t>
      </w:r>
      <w:r w:rsidR="003F29A2" w:rsidRPr="003D1E07">
        <w:t>)</w:t>
      </w:r>
      <w:r w:rsidR="00BC0DC9" w:rsidRPr="003D1E07">
        <w:rPr>
          <w:i/>
        </w:rPr>
        <w:fldChar w:fldCharType="begin"/>
      </w:r>
      <w:r w:rsidR="00BC0DC9" w:rsidRPr="003D1E07">
        <w:instrText xml:space="preserve"> XE "</w:instrText>
      </w:r>
      <w:r w:rsidR="00BC0DC9" w:rsidRPr="003D1E07">
        <w:rPr>
          <w:i/>
        </w:rPr>
        <w:instrText>Irrtum</w:instrText>
      </w:r>
      <w:r w:rsidR="00D01690" w:rsidRPr="003D1E07">
        <w:instrText>:Toledská škola</w:instrText>
      </w:r>
      <w:r w:rsidR="00BC0DC9" w:rsidRPr="003D1E07">
        <w:instrText xml:space="preserve">" </w:instrText>
      </w:r>
      <w:r w:rsidR="00BC0DC9" w:rsidRPr="003D1E07">
        <w:rPr>
          <w:i/>
        </w:rPr>
        <w:fldChar w:fldCharType="end"/>
      </w:r>
      <w:r w:rsidR="00BB4A8B" w:rsidRPr="003D1E07">
        <w:t xml:space="preserve">, které charakterizuje modernu </w:t>
      </w:r>
      <w:r w:rsidR="00F346F1" w:rsidRPr="003D1E07">
        <w:t xml:space="preserve">a postmodernu </w:t>
      </w:r>
      <w:r w:rsidR="00792C96">
        <w:t>na latinském Západě.</w:t>
      </w:r>
    </w:p>
    <w:p w14:paraId="4F6A853F" w14:textId="337D5CEA" w:rsidR="002D2E9B" w:rsidRDefault="08E3222C" w:rsidP="00792C96">
      <w:pPr>
        <w:ind w:firstLine="360"/>
      </w:pPr>
      <w:r w:rsidRPr="003D1E07">
        <w:lastRenderedPageBreak/>
        <w:t>Novou interpretaci zjevování jsoucna v intelektu pře</w:t>
      </w:r>
      <w:r w:rsidR="084B01C3" w:rsidRPr="003D1E07">
        <w:t>vzal</w:t>
      </w:r>
      <w:r w:rsidRPr="003D1E07">
        <w:t xml:space="preserve"> latinský Západ v postupných překladech spisu </w:t>
      </w:r>
      <w:r w:rsidRPr="003D1E07">
        <w:rPr>
          <w:i/>
        </w:rPr>
        <w:t>De anima</w:t>
      </w:r>
      <w:r w:rsidRPr="003D1E07">
        <w:t>.</w:t>
      </w:r>
      <w:r w:rsidRPr="003D1E07">
        <w:rPr>
          <w:rStyle w:val="Znakapoznpodarou"/>
        </w:rPr>
        <w:footnoteReference w:id="88"/>
      </w:r>
      <w:r w:rsidRPr="003D1E07">
        <w:t xml:space="preserve"> Al-Fárábího komentář k </w:t>
      </w:r>
      <w:r w:rsidRPr="003D1E07">
        <w:rPr>
          <w:i/>
        </w:rPr>
        <w:t>De anima</w:t>
      </w:r>
      <w:r w:rsidRPr="003D1E07">
        <w:t xml:space="preserve"> spojený s pojednáním o intelektu přeložil do latiny nejspíše Dominik Gundissalinus</w:t>
      </w:r>
      <w:r w:rsidRPr="003D1E07">
        <w:fldChar w:fldCharType="begin"/>
      </w:r>
      <w:r w:rsidRPr="003D1E07">
        <w:instrText xml:space="preserve"> XE "Gundissalinus, D." </w:instrText>
      </w:r>
      <w:r w:rsidRPr="003D1E07">
        <w:fldChar w:fldCharType="end"/>
      </w:r>
      <w:r w:rsidRPr="003D1E07">
        <w:t xml:space="preserve"> z Toledské překladatelské školy</w:t>
      </w:r>
      <w:r w:rsidRPr="003D1E07">
        <w:fldChar w:fldCharType="begin"/>
      </w:r>
      <w:r w:rsidRPr="003D1E07">
        <w:instrText xml:space="preserve"> XE "Toledská škola" </w:instrText>
      </w:r>
      <w:r w:rsidRPr="003D1E07">
        <w:fldChar w:fldCharType="end"/>
      </w:r>
      <w:r w:rsidRPr="003D1E07">
        <w:t xml:space="preserve"> ve druhé polovině 12. stol</w:t>
      </w:r>
      <w:r w:rsidR="08F12CAF" w:rsidRPr="003D1E07">
        <w:t>etí</w:t>
      </w:r>
      <w:r w:rsidRPr="003D1E07">
        <w:t xml:space="preserve"> pod názvem </w:t>
      </w:r>
      <w:r w:rsidRPr="003D1E07">
        <w:rPr>
          <w:i/>
        </w:rPr>
        <w:t>De intellectu et intellecto</w:t>
      </w:r>
      <w:r w:rsidRPr="003D1E07">
        <w:t xml:space="preserve">. </w:t>
      </w:r>
      <w:r w:rsidR="00BB4A8B" w:rsidRPr="003D1E07">
        <w:t>T</w:t>
      </w:r>
      <w:r w:rsidR="00286943" w:rsidRPr="003D1E07">
        <w:t xml:space="preserve">oledská škola při překladu </w:t>
      </w:r>
      <w:r w:rsidR="00BA1FC0" w:rsidRPr="003D1E07">
        <w:t xml:space="preserve">uvedené pasáže na rozdíl od </w:t>
      </w:r>
      <w:r w:rsidR="00381BA3" w:rsidRPr="003D1E07">
        <w:t xml:space="preserve">přeloženého </w:t>
      </w:r>
      <w:r w:rsidR="00BA1FC0" w:rsidRPr="003D1E07">
        <w:t xml:space="preserve">originálu </w:t>
      </w:r>
      <w:r w:rsidR="00381BA3" w:rsidRPr="003D1E07">
        <w:t>(</w:t>
      </w:r>
      <w:r w:rsidR="00A260B9" w:rsidRPr="003D1E07">
        <w:t xml:space="preserve">ed. </w:t>
      </w:r>
      <w:r w:rsidR="004A7B70" w:rsidRPr="003D1E07">
        <w:t>Dieteric</w:t>
      </w:r>
      <w:r w:rsidR="00381BA3" w:rsidRPr="003D1E07">
        <w:t xml:space="preserve">i) </w:t>
      </w:r>
      <w:r w:rsidR="00BA1FC0" w:rsidRPr="003D1E07">
        <w:t>vůbec nezmiňuje prostředí, kterým aktualizovaný paprsek prochází.</w:t>
      </w:r>
      <w:r w:rsidR="00BA1FC0" w:rsidRPr="003D1E07">
        <w:rPr>
          <w:rStyle w:val="Znakapoznpodarou"/>
        </w:rPr>
        <w:footnoteReference w:id="89"/>
      </w:r>
      <w:r w:rsidR="00BA1FC0" w:rsidRPr="003D1E07">
        <w:t xml:space="preserve"> </w:t>
      </w:r>
      <w:r w:rsidR="084C1217" w:rsidRPr="003D1E07">
        <w:t>Aktivní intelekt zajišťuje k</w:t>
      </w:r>
      <w:r w:rsidR="08121D81" w:rsidRPr="003D1E07">
        <w:t xml:space="preserve">ompletní </w:t>
      </w:r>
      <w:r w:rsidR="084C1217" w:rsidRPr="003D1E07">
        <w:t xml:space="preserve">průběh </w:t>
      </w:r>
      <w:r w:rsidR="08121D81" w:rsidRPr="003D1E07">
        <w:t xml:space="preserve">poznání </w:t>
      </w:r>
      <w:r w:rsidR="084C1217" w:rsidRPr="003D1E07">
        <w:t>svo</w:t>
      </w:r>
      <w:r w:rsidR="08121D81" w:rsidRPr="003D1E07">
        <w:t xml:space="preserve">u </w:t>
      </w:r>
      <w:r w:rsidR="084C1217" w:rsidRPr="003D1E07">
        <w:t xml:space="preserve">vlastní </w:t>
      </w:r>
      <w:r w:rsidR="08121D81" w:rsidRPr="003D1E07">
        <w:t>aktualitou</w:t>
      </w:r>
      <w:r w:rsidR="084C1217" w:rsidRPr="003D1E07">
        <w:t xml:space="preserve"> a proto představuje </w:t>
      </w:r>
      <w:r w:rsidR="08121D81" w:rsidRPr="003D1E07">
        <w:t>pro neoplatonské toletány jediný princip poznání (</w:t>
      </w:r>
      <w:r w:rsidR="08121D81" w:rsidRPr="003D1E07">
        <w:rPr>
          <w:i/>
        </w:rPr>
        <w:t>ipsa est principium quod ea que sunt intellecta in potencia, facit esse intellecta in effectu</w:t>
      </w:r>
      <w:r w:rsidR="08121D81" w:rsidRPr="003D1E07">
        <w:t xml:space="preserve">). </w:t>
      </w:r>
      <w:r w:rsidR="00BF7A49" w:rsidRPr="003D1E07">
        <w:t>Latinský překlad tvrdí</w:t>
      </w:r>
      <w:r w:rsidR="005E4E60" w:rsidRPr="003D1E07">
        <w:t>, že Al-Fá</w:t>
      </w:r>
      <w:r w:rsidR="00BF7A49" w:rsidRPr="003D1E07">
        <w:t>rábí dává primát aktivnímu intelektu, který aktualizuje potencialitu poznávacích forem. Tato věta je správná</w:t>
      </w:r>
      <w:r w:rsidR="00A65048" w:rsidRPr="003D1E07">
        <w:t xml:space="preserve"> jen do jisté míry, protože je neúplná. Z</w:t>
      </w:r>
      <w:r w:rsidR="00BF7A49" w:rsidRPr="003D1E07">
        <w:t>e schématu poznání zmizela jakákoliv forma mediace</w:t>
      </w:r>
      <w:r w:rsidR="08686E6E" w:rsidRPr="003D1E07">
        <w:t>, a dokonce z ní principiálně vypadla i poznávaná externí věc</w:t>
      </w:r>
      <w:r w:rsidR="00BF7A49" w:rsidRPr="003D1E07">
        <w:t xml:space="preserve">. </w:t>
      </w:r>
      <w:r w:rsidR="08FD77DD" w:rsidRPr="003D1E07">
        <w:t>V originále není účinný s</w:t>
      </w:r>
      <w:r w:rsidR="08D828FB" w:rsidRPr="003D1E07">
        <w:t>luneční mýtus neoplatoni</w:t>
      </w:r>
      <w:r w:rsidR="08710188" w:rsidRPr="003D1E07">
        <w:t>ků</w:t>
      </w:r>
      <w:r w:rsidR="08FD77DD" w:rsidRPr="003D1E07">
        <w:t xml:space="preserve">, protože </w:t>
      </w:r>
      <w:r w:rsidR="085A34A7" w:rsidRPr="003D1E07">
        <w:t xml:space="preserve">poznání vzniká skrze působení </w:t>
      </w:r>
      <w:r w:rsidR="08FD77DD" w:rsidRPr="003D1E07">
        <w:t>diafanum</w:t>
      </w:r>
      <w:r w:rsidR="002D2E9B" w:rsidRPr="003D1E07">
        <w:fldChar w:fldCharType="begin"/>
      </w:r>
      <w:r w:rsidR="002D2E9B" w:rsidRPr="003D1E07">
        <w:instrText xml:space="preserve"> XE "diafanum:Al-Fárábí" </w:instrText>
      </w:r>
      <w:r w:rsidR="002D2E9B" w:rsidRPr="003D1E07">
        <w:fldChar w:fldCharType="end"/>
      </w:r>
      <w:r w:rsidR="08D828FB" w:rsidRPr="003D1E07">
        <w:t xml:space="preserve">. </w:t>
      </w:r>
      <w:r w:rsidR="002D2E9B" w:rsidRPr="003D1E07">
        <w:t xml:space="preserve">Al-Farábí </w:t>
      </w:r>
      <w:r w:rsidR="002D2E9B">
        <w:t>sleduje zprostředkování dané pořadím následujících dublet, které přenášejí hmotné a nehmotné poznání.</w:t>
      </w:r>
    </w:p>
    <w:p w14:paraId="533A28BC" w14:textId="4AB4F8A8" w:rsidR="002D2E9B" w:rsidRDefault="002D2E9B" w:rsidP="002D2E9B">
      <w:pPr>
        <w:numPr>
          <w:ilvl w:val="0"/>
          <w:numId w:val="5"/>
        </w:numPr>
      </w:pPr>
      <w:r>
        <w:t xml:space="preserve">Slunce působí v kosmu </w:t>
      </w:r>
      <w:r w:rsidR="004B2518">
        <w:t xml:space="preserve">stejně </w:t>
      </w:r>
      <w:r>
        <w:t xml:space="preserve">jako božská </w:t>
      </w:r>
      <w:r w:rsidRPr="002D2E9B">
        <w:rPr>
          <w:i/>
        </w:rPr>
        <w:t>causa prima</w:t>
      </w:r>
      <w:r>
        <w:t xml:space="preserve"> </w:t>
      </w:r>
      <w:r w:rsidR="004B2518">
        <w:t xml:space="preserve">působí </w:t>
      </w:r>
      <w:r>
        <w:t>na úrovni poznání</w:t>
      </w:r>
      <w:r w:rsidR="00865EBE">
        <w:t xml:space="preserve"> v intelligibilní části kosmu</w:t>
      </w:r>
      <w:r>
        <w:t>.</w:t>
      </w:r>
    </w:p>
    <w:p w14:paraId="63B13A80" w14:textId="17ADC0FB" w:rsidR="002D2E9B" w:rsidRDefault="005E3221" w:rsidP="002D2E9B">
      <w:pPr>
        <w:numPr>
          <w:ilvl w:val="0"/>
          <w:numId w:val="5"/>
        </w:numPr>
      </w:pPr>
      <w:r>
        <w:t xml:space="preserve">Sluneční paprsek v materiálním světě </w:t>
      </w:r>
      <w:r w:rsidR="002D2E9B">
        <w:t xml:space="preserve">působí </w:t>
      </w:r>
      <w:r w:rsidR="004B2518">
        <w:t xml:space="preserve">stejně </w:t>
      </w:r>
      <w:r w:rsidR="002D2E9B">
        <w:t xml:space="preserve">jako kosmický hypostázovaný a plně aktuální </w:t>
      </w:r>
      <w:r w:rsidR="002D2E9B" w:rsidRPr="002D2E9B">
        <w:rPr>
          <w:i/>
        </w:rPr>
        <w:t>intellectus agen</w:t>
      </w:r>
      <w:r w:rsidR="004B2518">
        <w:rPr>
          <w:i/>
        </w:rPr>
        <w:t xml:space="preserve">s </w:t>
      </w:r>
      <w:r w:rsidR="004B2518">
        <w:t>v</w:t>
      </w:r>
      <w:r w:rsidR="00F767E4">
        <w:t xml:space="preserve"> lidské </w:t>
      </w:r>
      <w:r w:rsidR="004B2518">
        <w:t xml:space="preserve">duši. </w:t>
      </w:r>
    </w:p>
    <w:p w14:paraId="4A60064E" w14:textId="77777777" w:rsidR="002D2E9B" w:rsidRDefault="002D2E9B" w:rsidP="002D2E9B">
      <w:pPr>
        <w:numPr>
          <w:ilvl w:val="0"/>
          <w:numId w:val="5"/>
        </w:numPr>
      </w:pPr>
      <w:r>
        <w:t>Fyzické diafanum</w:t>
      </w:r>
      <w:r w:rsidRPr="002D2E9B">
        <w:rPr>
          <w:vertAlign w:val="superscript"/>
        </w:rPr>
        <w:t>1</w:t>
      </w:r>
      <w:r>
        <w:t xml:space="preserve"> působí ve světě jako </w:t>
      </w:r>
      <w:r w:rsidRPr="002D2E9B">
        <w:rPr>
          <w:i/>
        </w:rPr>
        <w:t>perspicuum</w:t>
      </w:r>
      <w:r>
        <w:t xml:space="preserve">, které přenáší aktuální paprsek skrze prostor na tělesa. Kauzálním účinkem přenášeným skrze </w:t>
      </w:r>
      <w:r>
        <w:rPr>
          <w:i/>
        </w:rPr>
        <w:t>perspicuu</w:t>
      </w:r>
      <w:r w:rsidRPr="002D2E9B">
        <w:rPr>
          <w:i/>
        </w:rPr>
        <w:t>m</w:t>
      </w:r>
      <w:r>
        <w:t xml:space="preserve"> je barva osvětleného tělesa.</w:t>
      </w:r>
    </w:p>
    <w:p w14:paraId="3ABF0218" w14:textId="77777777" w:rsidR="002D2E9B" w:rsidRDefault="002D2E9B" w:rsidP="002D2E9B">
      <w:pPr>
        <w:numPr>
          <w:ilvl w:val="0"/>
          <w:numId w:val="5"/>
        </w:numPr>
      </w:pPr>
      <w:r>
        <w:t>Sekundární proces probíhá na úrovni kognitivního diafanum</w:t>
      </w:r>
      <w:r w:rsidRPr="002D2E9B">
        <w:rPr>
          <w:vertAlign w:val="superscript"/>
        </w:rPr>
        <w:t>2</w:t>
      </w:r>
      <w:r>
        <w:t>, které vnímá barevné těleso smysly a přenáší toto poznání na intelekt. Smyslově poznaná barva tělesa se mění v obecný pojem intelektuálně poznané barvy.</w:t>
      </w:r>
    </w:p>
    <w:p w14:paraId="6F3BFD50" w14:textId="40E8FE1B" w:rsidR="002D2E9B" w:rsidRDefault="002D2E9B" w:rsidP="002D2E9B">
      <w:pPr>
        <w:numPr>
          <w:ilvl w:val="0"/>
          <w:numId w:val="5"/>
        </w:numPr>
      </w:pPr>
      <w:r>
        <w:lastRenderedPageBreak/>
        <w:t xml:space="preserve">Druhé zprostředkování probíhá v řadě: receptivní oko (smyslový orgán) – smyslová představivost – receptivní </w:t>
      </w:r>
      <w:r w:rsidRPr="002D2E9B">
        <w:rPr>
          <w:i/>
        </w:rPr>
        <w:t>intellectus in potencia</w:t>
      </w:r>
      <w:r w:rsidRPr="003D1E07">
        <w:rPr>
          <w:i/>
        </w:rPr>
        <w:fldChar w:fldCharType="begin"/>
      </w:r>
      <w:r w:rsidRPr="003D1E07">
        <w:instrText xml:space="preserve"> XE "</w:instrText>
      </w:r>
      <w:r w:rsidRPr="003D1E07">
        <w:rPr>
          <w:i/>
        </w:rPr>
        <w:instrText>intellectus possibilis</w:instrText>
      </w:r>
      <w:r w:rsidRPr="003D1E07">
        <w:instrText xml:space="preserve">:Al-Fárábí" </w:instrText>
      </w:r>
      <w:r w:rsidRPr="003D1E07">
        <w:rPr>
          <w:i/>
        </w:rPr>
        <w:fldChar w:fldCharType="end"/>
      </w:r>
      <w:r>
        <w:t xml:space="preserve"> – lidský </w:t>
      </w:r>
      <w:r w:rsidRPr="002D2E9B">
        <w:rPr>
          <w:i/>
        </w:rPr>
        <w:t>intellectus agens</w:t>
      </w:r>
      <w:r>
        <w:t xml:space="preserve">. </w:t>
      </w:r>
    </w:p>
    <w:p w14:paraId="6A780951" w14:textId="77777777" w:rsidR="000548F0" w:rsidRDefault="002D2E9B" w:rsidP="002D52CC">
      <w:r>
        <w:t xml:space="preserve">Latinský překlad </w:t>
      </w:r>
      <w:r w:rsidR="00B66D5D" w:rsidRPr="009A6AF5">
        <w:rPr>
          <w:i/>
          <w:noProof w:val="0"/>
          <w:lang w:val="en-US"/>
        </w:rPr>
        <w:t>De intellectu et intellecto</w:t>
      </w:r>
      <w:r w:rsidR="00B66D5D">
        <w:rPr>
          <w:i/>
          <w:noProof w:val="0"/>
          <w:lang w:val="en-US"/>
        </w:rPr>
        <w:t xml:space="preserve"> </w:t>
      </w:r>
      <w:r>
        <w:t>z Toledské školy byl ovlivněn avicenismem. P</w:t>
      </w:r>
      <w:r w:rsidR="00BF7A49" w:rsidRPr="003D1E07">
        <w:t>řeklad jen obecně konstatuje, že potencialita vidění je orientována na aktualitu slunce (</w:t>
      </w:r>
      <w:r w:rsidR="00BF7A49" w:rsidRPr="003D1E07">
        <w:rPr>
          <w:i/>
        </w:rPr>
        <w:t>quod tribuit illi ab illo principio</w:t>
      </w:r>
      <w:r w:rsidR="00BF7A49" w:rsidRPr="003D1E07">
        <w:t xml:space="preserve">). </w:t>
      </w:r>
      <w:r w:rsidR="085C4333" w:rsidRPr="003D1E07">
        <w:t xml:space="preserve">To není fenomenologický popis poznání, ale </w:t>
      </w:r>
      <w:r w:rsidR="08096236" w:rsidRPr="003D1E07">
        <w:t xml:space="preserve">pouhé </w:t>
      </w:r>
      <w:r w:rsidR="085C4333" w:rsidRPr="003D1E07">
        <w:t>konstatování faktu, že poznáme</w:t>
      </w:r>
      <w:r w:rsidR="086D00FB" w:rsidRPr="003D1E07">
        <w:t xml:space="preserve"> věci, protože na ně svítí slunce</w:t>
      </w:r>
      <w:r w:rsidR="001C3B0C">
        <w:t xml:space="preserve">. Klíčové hermeneutický způsob, </w:t>
      </w:r>
      <w:r w:rsidR="085C4333" w:rsidRPr="003D1E07">
        <w:t xml:space="preserve">„jak“ poznáváme, nahradil v překladu </w:t>
      </w:r>
      <w:r w:rsidR="08173D4D" w:rsidRPr="003D1E07">
        <w:t xml:space="preserve">neoplatonských </w:t>
      </w:r>
      <w:r w:rsidR="085C4333" w:rsidRPr="003D1E07">
        <w:t xml:space="preserve">toletánů sluneční mýtus moderny. </w:t>
      </w:r>
      <w:r w:rsidR="08201FA3" w:rsidRPr="003D1E07">
        <w:t xml:space="preserve">Atribuce světla jako jsoucna třetího druhu </w:t>
      </w:r>
      <w:r w:rsidR="08FF7296" w:rsidRPr="003D1E07">
        <w:t>pře</w:t>
      </w:r>
      <w:r w:rsidR="085808F5" w:rsidRPr="003D1E07">
        <w:t>dstavuje zásadní omyl</w:t>
      </w:r>
      <w:r w:rsidR="08DA2CC7" w:rsidRPr="003D1E07">
        <w:t xml:space="preserve"> postavený mimo vědecký důkaz </w:t>
      </w:r>
      <w:r w:rsidR="08DA2CC7" w:rsidRPr="003D1E07">
        <w:rPr>
          <w:i/>
        </w:rPr>
        <w:t>Druhých analytik</w:t>
      </w:r>
      <w:r w:rsidR="085808F5" w:rsidRPr="003D1E07">
        <w:t>. S</w:t>
      </w:r>
      <w:r w:rsidR="08FF7296" w:rsidRPr="003D1E07">
        <w:t>větlo není univerzální pojem</w:t>
      </w:r>
      <w:r w:rsidR="080933F9" w:rsidRPr="003D1E07">
        <w:t xml:space="preserve"> a nemůže </w:t>
      </w:r>
      <w:r w:rsidR="08314BAD" w:rsidRPr="003D1E07">
        <w:t>přímo působit na intelekt</w:t>
      </w:r>
      <w:r w:rsidR="08272266" w:rsidRPr="003D1E07">
        <w:t xml:space="preserve">, protože chybí </w:t>
      </w:r>
      <w:r w:rsidR="08FB134E" w:rsidRPr="003D1E07">
        <w:t xml:space="preserve">reálná a aktuálně daná </w:t>
      </w:r>
      <w:r w:rsidR="08272266" w:rsidRPr="003D1E07">
        <w:t xml:space="preserve">kauzalita, která by to mohla způsobit. </w:t>
      </w:r>
      <w:r w:rsidR="08B74E96" w:rsidRPr="003D1E07">
        <w:t>A intelekt-slunce neexistuje, to je mytický nesmysl</w:t>
      </w:r>
      <w:r w:rsidR="085D7E62" w:rsidRPr="003D1E07">
        <w:t xml:space="preserve"> </w:t>
      </w:r>
      <w:r w:rsidR="085D7E62" w:rsidRPr="003D1E07">
        <w:rPr>
          <w:i/>
        </w:rPr>
        <w:t>Modernorum</w:t>
      </w:r>
      <w:r w:rsidR="08B74E96" w:rsidRPr="003D1E07">
        <w:t xml:space="preserve">. </w:t>
      </w:r>
      <w:r w:rsidR="08314BAD" w:rsidRPr="003D1E07">
        <w:t xml:space="preserve">Světlo je fyzikální </w:t>
      </w:r>
      <w:r w:rsidR="0870568D" w:rsidRPr="003D1E07">
        <w:t>substance daná</w:t>
      </w:r>
      <w:r w:rsidR="08314BAD" w:rsidRPr="003D1E07">
        <w:t xml:space="preserve"> materiálně a </w:t>
      </w:r>
      <w:r w:rsidR="0870568D" w:rsidRPr="003D1E07">
        <w:t>poznán</w:t>
      </w:r>
      <w:r w:rsidR="08314BAD" w:rsidRPr="003D1E07">
        <w:t xml:space="preserve">í je univerzální </w:t>
      </w:r>
      <w:r w:rsidR="0870568D" w:rsidRPr="003D1E07">
        <w:t>forma daná</w:t>
      </w:r>
      <w:r w:rsidR="08314BAD" w:rsidRPr="003D1E07">
        <w:t xml:space="preserve"> nemateriálně</w:t>
      </w:r>
      <w:r w:rsidR="00BC7892" w:rsidRPr="003D1E07">
        <w:t>, proto je třeba výše uvedený řetěz mediace</w:t>
      </w:r>
      <w:r w:rsidR="08314BAD" w:rsidRPr="003D1E07">
        <w:t xml:space="preserve">. </w:t>
      </w:r>
      <w:r w:rsidR="00A02D6A">
        <w:t>Přirozené děje hrají</w:t>
      </w:r>
      <w:r w:rsidR="00A02D6A" w:rsidRPr="00A02D6A">
        <w:t xml:space="preserve"> roli první </w:t>
      </w:r>
      <w:r w:rsidR="00A02D6A">
        <w:t xml:space="preserve">substance </w:t>
      </w:r>
      <w:r w:rsidR="00A02D6A" w:rsidRPr="00A02D6A">
        <w:t>a</w:t>
      </w:r>
      <w:r w:rsidR="00A02D6A">
        <w:t xml:space="preserve"> lidské p</w:t>
      </w:r>
      <w:r w:rsidR="004D0882">
        <w:t xml:space="preserve">oznání roli druhé substance. </w:t>
      </w:r>
      <w:r w:rsidR="085D7E62" w:rsidRPr="003D1E07">
        <w:t xml:space="preserve">Kritické myšlení </w:t>
      </w:r>
      <w:r w:rsidR="08AE4A51" w:rsidRPr="003D1E07">
        <w:t xml:space="preserve">Druhého mistra </w:t>
      </w:r>
      <w:r w:rsidR="089048B6" w:rsidRPr="003D1E07">
        <w:t>vid</w:t>
      </w:r>
      <w:r w:rsidR="08AE4A51" w:rsidRPr="003D1E07">
        <w:t xml:space="preserve">í </w:t>
      </w:r>
      <w:r w:rsidR="08FF7296" w:rsidRPr="003D1E07">
        <w:t xml:space="preserve">reálnou kauzalitu </w:t>
      </w:r>
      <w:r w:rsidR="08AE4A51" w:rsidRPr="003D1E07">
        <w:t xml:space="preserve">působení světla na poznání. Tuto kauzalitu danou slunečním paprskem a mediatizovanou skrze různorodé diafanum pak </w:t>
      </w:r>
      <w:r w:rsidR="08D63F66" w:rsidRPr="003D1E07">
        <w:t xml:space="preserve">Al-Fárábí </w:t>
      </w:r>
      <w:r w:rsidR="085D7E62" w:rsidRPr="003D1E07">
        <w:t>vezme</w:t>
      </w:r>
      <w:r w:rsidR="08D6524C" w:rsidRPr="003D1E07">
        <w:t xml:space="preserve"> </w:t>
      </w:r>
      <w:r w:rsidR="08FF7296" w:rsidRPr="003D1E07">
        <w:t>do pojmové predikace s</w:t>
      </w:r>
      <w:r w:rsidR="000548F0">
        <w:t>tředního členu vědeckého soudu.</w:t>
      </w:r>
    </w:p>
    <w:p w14:paraId="6E7FF7D4" w14:textId="77777777" w:rsidR="00772AF4" w:rsidRDefault="08FF7296" w:rsidP="00491C17">
      <w:pPr>
        <w:ind w:firstLine="397"/>
      </w:pPr>
      <w:r w:rsidRPr="003D1E07">
        <w:t xml:space="preserve">Toledská škola vytěsnila diafanum z procesu poznání a </w:t>
      </w:r>
      <w:r w:rsidR="08EB0633" w:rsidRPr="003D1E07">
        <w:t>z</w:t>
      </w:r>
      <w:r w:rsidRPr="003D1E07">
        <w:t xml:space="preserve">měnila </w:t>
      </w:r>
      <w:r w:rsidR="08EB0633" w:rsidRPr="003D1E07">
        <w:t xml:space="preserve">světlo </w:t>
      </w:r>
      <w:r w:rsidRPr="003D1E07">
        <w:t>na jsoucno třetího druhu</w:t>
      </w:r>
      <w:r w:rsidR="08F367F9" w:rsidRPr="003D1E07">
        <w:t>. Světlo způsobují</w:t>
      </w:r>
      <w:r w:rsidR="08915E15" w:rsidRPr="003D1E07">
        <w:t>cí</w:t>
      </w:r>
      <w:r w:rsidR="08F367F9" w:rsidRPr="003D1E07">
        <w:t xml:space="preserve"> nemateriální poznání a intelekt-slunce fungují </w:t>
      </w:r>
      <w:r w:rsidR="08915E15" w:rsidRPr="003D1E07">
        <w:t xml:space="preserve">v toletánské moderně </w:t>
      </w:r>
      <w:r w:rsidR="08F367F9" w:rsidRPr="003D1E07">
        <w:t xml:space="preserve">jako dvě jsoucna třetího druhu. Těmto dvěma neexistujícím entitám dala moderna </w:t>
      </w:r>
      <w:r w:rsidR="08BB12D7" w:rsidRPr="003D1E07">
        <w:t>eficie</w:t>
      </w:r>
      <w:r w:rsidR="08EB0633" w:rsidRPr="003D1E07">
        <w:t>n</w:t>
      </w:r>
      <w:r w:rsidR="08BB12D7" w:rsidRPr="003D1E07">
        <w:t>tn</w:t>
      </w:r>
      <w:r w:rsidR="08EB0633" w:rsidRPr="003D1E07">
        <w:t xml:space="preserve">í </w:t>
      </w:r>
      <w:r w:rsidR="087C3C80" w:rsidRPr="003D1E07">
        <w:t xml:space="preserve">kauzalitu v </w:t>
      </w:r>
      <w:r w:rsidR="08872747" w:rsidRPr="003D1E07">
        <w:t xml:space="preserve">mytopoetickém </w:t>
      </w:r>
      <w:r w:rsidR="087C3C80" w:rsidRPr="003D1E07">
        <w:t>poznávacím procesu a tak vytvořila d</w:t>
      </w:r>
      <w:r w:rsidR="08EB0633" w:rsidRPr="003D1E07">
        <w:t xml:space="preserve">vojí </w:t>
      </w:r>
      <w:r w:rsidR="089048B6" w:rsidRPr="003D1E07">
        <w:t xml:space="preserve">zásadní omyl v modu epochálního </w:t>
      </w:r>
      <w:r w:rsidR="08CC1CC3" w:rsidRPr="003D1E07">
        <w:rPr>
          <w:i/>
        </w:rPr>
        <w:t>Irr</w:t>
      </w:r>
      <w:r w:rsidR="089048B6" w:rsidRPr="003D1E07">
        <w:rPr>
          <w:i/>
        </w:rPr>
        <w:t>tum</w:t>
      </w:r>
      <w:r w:rsidR="087C3C80" w:rsidRPr="003D1E07">
        <w:rPr>
          <w:i/>
        </w:rPr>
        <w:fldChar w:fldCharType="begin"/>
      </w:r>
      <w:r w:rsidR="087C3C80" w:rsidRPr="003D1E07">
        <w:instrText xml:space="preserve"> XE "</w:instrText>
      </w:r>
      <w:r w:rsidR="087C3C80" w:rsidRPr="003D1E07">
        <w:rPr>
          <w:i/>
        </w:rPr>
        <w:instrText>Irrtum</w:instrText>
      </w:r>
      <w:r w:rsidR="087C3C80" w:rsidRPr="003D1E07">
        <w:instrText xml:space="preserve">" </w:instrText>
      </w:r>
      <w:r w:rsidR="087C3C80" w:rsidRPr="003D1E07">
        <w:rPr>
          <w:i/>
        </w:rPr>
        <w:fldChar w:fldCharType="end"/>
      </w:r>
      <w:r w:rsidR="087C3C80" w:rsidRPr="003D1E07">
        <w:t>. V moderním výkladu poznání k</w:t>
      </w:r>
      <w:r w:rsidR="089048B6" w:rsidRPr="003D1E07">
        <w:t xml:space="preserve">ompletně zmizela mediace </w:t>
      </w:r>
      <w:r w:rsidR="081A062A" w:rsidRPr="003D1E07">
        <w:t xml:space="preserve">daná v </w:t>
      </w:r>
      <w:r w:rsidRPr="003D1E07">
        <w:t>originální</w:t>
      </w:r>
      <w:r w:rsidR="081A062A" w:rsidRPr="003D1E07">
        <w:t>m</w:t>
      </w:r>
      <w:r w:rsidRPr="003D1E07">
        <w:t xml:space="preserve"> schématu poznání </w:t>
      </w:r>
      <w:r w:rsidR="086A730B" w:rsidRPr="003D1E07">
        <w:t xml:space="preserve">Aristotela a </w:t>
      </w:r>
      <w:r w:rsidRPr="003D1E07">
        <w:t>Druhého mistra</w:t>
      </w:r>
      <w:r w:rsidR="089048B6" w:rsidRPr="003D1E07">
        <w:t xml:space="preserve">. </w:t>
      </w:r>
      <w:r w:rsidR="08A846B3" w:rsidRPr="003D1E07">
        <w:t xml:space="preserve">Zásadní zprostředkující úloha diafanum v latinském překladu </w:t>
      </w:r>
      <w:r w:rsidR="00776118" w:rsidRPr="003D1E07">
        <w:t xml:space="preserve">byla </w:t>
      </w:r>
      <w:r w:rsidR="08A846B3" w:rsidRPr="003D1E07">
        <w:t>nahra</w:t>
      </w:r>
      <w:r w:rsidR="00776118" w:rsidRPr="003D1E07">
        <w:t xml:space="preserve">zena </w:t>
      </w:r>
      <w:r w:rsidR="08A846B3" w:rsidRPr="003D1E07">
        <w:t>vyzařování</w:t>
      </w:r>
      <w:r w:rsidR="00776118" w:rsidRPr="003D1E07">
        <w:t>m</w:t>
      </w:r>
      <w:r w:rsidR="08A846B3" w:rsidRPr="003D1E07">
        <w:t xml:space="preserve"> paprsků od slunce (</w:t>
      </w:r>
      <w:r w:rsidR="08A846B3" w:rsidRPr="003D1E07">
        <w:rPr>
          <w:i/>
        </w:rPr>
        <w:t>comparacio irradiacionis</w:t>
      </w:r>
      <w:r w:rsidR="08A846B3" w:rsidRPr="003D1E07">
        <w:t xml:space="preserve">). </w:t>
      </w:r>
      <w:r w:rsidR="08226A5F" w:rsidRPr="003D1E07">
        <w:t>Teorie poznání jako komparace daná v Toledské škole neobsahuje mediaci skrze diafanum</w:t>
      </w:r>
      <w:r w:rsidR="08895B61" w:rsidRPr="003D1E07">
        <w:fldChar w:fldCharType="begin"/>
      </w:r>
      <w:r w:rsidR="08895B61" w:rsidRPr="003D1E07">
        <w:instrText xml:space="preserve"> XE "diafanum:Toledská škola" </w:instrText>
      </w:r>
      <w:r w:rsidR="08895B61" w:rsidRPr="003D1E07">
        <w:fldChar w:fldCharType="end"/>
      </w:r>
      <w:r w:rsidR="08226A5F" w:rsidRPr="003D1E07">
        <w:t xml:space="preserve">, která má v originále Druhého mistra naprosto klíčový význam. </w:t>
      </w:r>
      <w:r w:rsidR="008B12D2" w:rsidRPr="003D1E07">
        <w:t>Neoplatonsk</w:t>
      </w:r>
      <w:r w:rsidR="007F5C30" w:rsidRPr="003D1E07">
        <w:t>é schéma poznání dané přímým nasvícením celku jsoucna nepotřebuje ž</w:t>
      </w:r>
      <w:r w:rsidR="08753140" w:rsidRPr="003D1E07">
        <w:t>ádného prostředníka</w:t>
      </w:r>
      <w:r w:rsidR="004D4638" w:rsidRPr="003D1E07">
        <w:t>. S</w:t>
      </w:r>
      <w:r w:rsidR="08753140" w:rsidRPr="003D1E07">
        <w:t xml:space="preserve">luneční korpuskule </w:t>
      </w:r>
      <w:r w:rsidR="004D4638" w:rsidRPr="003D1E07">
        <w:t>jsou dané</w:t>
      </w:r>
      <w:r w:rsidR="08753140" w:rsidRPr="003D1E07">
        <w:t xml:space="preserve"> ve formě substance třetího druhu </w:t>
      </w:r>
      <w:r w:rsidR="004D4638" w:rsidRPr="003D1E07">
        <w:t xml:space="preserve">a díky jejich </w:t>
      </w:r>
      <w:r w:rsidR="007F5C30" w:rsidRPr="003D1E07">
        <w:t>jasno</w:t>
      </w:r>
      <w:r w:rsidR="08753140" w:rsidRPr="003D1E07">
        <w:t xml:space="preserve">sti a aktualitě </w:t>
      </w:r>
      <w:r w:rsidR="004D4638" w:rsidRPr="003D1E07">
        <w:t>přímo působní na intelekt</w:t>
      </w:r>
      <w:r w:rsidR="007F5C30" w:rsidRPr="003D1E07">
        <w:t xml:space="preserve">. </w:t>
      </w:r>
      <w:r w:rsidR="08226A5F" w:rsidRPr="003D1E07">
        <w:t>Paprsek je aktuální první substance a ta v nás způsobuje potenciální poznání dané univerz</w:t>
      </w:r>
      <w:r w:rsidR="080B08DB" w:rsidRPr="003D1E07">
        <w:t>álně</w:t>
      </w:r>
      <w:r w:rsidR="08226A5F" w:rsidRPr="003D1E07">
        <w:t xml:space="preserve">. </w:t>
      </w:r>
      <w:r w:rsidR="080B08DB" w:rsidRPr="003D1E07">
        <w:t xml:space="preserve">To je </w:t>
      </w:r>
      <w:r w:rsidR="08E5109D" w:rsidRPr="003D1E07">
        <w:t xml:space="preserve">z hlediska aristotelismu naprostý </w:t>
      </w:r>
      <w:r w:rsidR="080B08DB" w:rsidRPr="003D1E07">
        <w:t>nesmysl, pro</w:t>
      </w:r>
      <w:r w:rsidR="08AA549A" w:rsidRPr="003D1E07">
        <w:t>tože nemateriální inte</w:t>
      </w:r>
      <w:r w:rsidR="080B08DB" w:rsidRPr="003D1E07">
        <w:t xml:space="preserve">lekt nemá </w:t>
      </w:r>
      <w:r w:rsidR="08AA549A" w:rsidRPr="003D1E07">
        <w:t xml:space="preserve">jak </w:t>
      </w:r>
      <w:r w:rsidR="080B08DB" w:rsidRPr="003D1E07">
        <w:t xml:space="preserve">přijmout fyzikální paprsek slunce. </w:t>
      </w:r>
      <w:r w:rsidR="088D5C88" w:rsidRPr="003D1E07">
        <w:t>S</w:t>
      </w:r>
      <w:r w:rsidR="00BA1FC0" w:rsidRPr="003D1E07">
        <w:t xml:space="preserve">chéma </w:t>
      </w:r>
      <w:r w:rsidR="088D5C88" w:rsidRPr="003D1E07">
        <w:t xml:space="preserve">přímého </w:t>
      </w:r>
      <w:r w:rsidR="00BA1FC0" w:rsidRPr="003D1E07">
        <w:t xml:space="preserve">nasvícení intelektu </w:t>
      </w:r>
      <w:r w:rsidR="08BF5F86" w:rsidRPr="003D1E07">
        <w:t xml:space="preserve">v chybném překladu Toletánů </w:t>
      </w:r>
      <w:r w:rsidR="00BA1FC0" w:rsidRPr="003D1E07">
        <w:t xml:space="preserve">patří </w:t>
      </w:r>
      <w:r w:rsidR="00541D32" w:rsidRPr="003D1E07">
        <w:t>neoplatonskému</w:t>
      </w:r>
      <w:r w:rsidR="00AB0F91" w:rsidRPr="003D1E07">
        <w:t xml:space="preserve"> </w:t>
      </w:r>
      <w:r w:rsidR="00BA1FC0" w:rsidRPr="003D1E07">
        <w:t xml:space="preserve">Avicennovi, ale ne </w:t>
      </w:r>
      <w:r w:rsidR="00AB0F91" w:rsidRPr="003D1E07">
        <w:lastRenderedPageBreak/>
        <w:t xml:space="preserve">aristotelskému </w:t>
      </w:r>
      <w:r w:rsidR="08247EA1" w:rsidRPr="003D1E07">
        <w:t>Al-</w:t>
      </w:r>
      <w:r w:rsidR="005E4E60" w:rsidRPr="003D1E07">
        <w:t>Fá</w:t>
      </w:r>
      <w:r w:rsidR="00BA1FC0" w:rsidRPr="003D1E07">
        <w:t xml:space="preserve">rábímu. </w:t>
      </w:r>
      <w:r w:rsidR="080F624E" w:rsidRPr="003D1E07">
        <w:t xml:space="preserve">Tímto způsobem vznikla v Toledu nová figura latinského Alfarabia. </w:t>
      </w:r>
      <w:r w:rsidR="0890098F" w:rsidRPr="003D1E07">
        <w:t>Pro hermeneutiku sledující tragick</w:t>
      </w:r>
      <w:r w:rsidR="08101737" w:rsidRPr="003D1E07">
        <w:t xml:space="preserve">é dějiny </w:t>
      </w:r>
      <w:r w:rsidR="0890098F" w:rsidRPr="003D1E07">
        <w:t xml:space="preserve">objektivně slepé moderny je zřejmé, že </w:t>
      </w:r>
      <w:r w:rsidR="08571102" w:rsidRPr="003D1E07">
        <w:t xml:space="preserve">mytické </w:t>
      </w:r>
      <w:r w:rsidR="0890098F" w:rsidRPr="003D1E07">
        <w:t>schéma poznání Toledské školy skrytě vedou bohyně Pomsty</w:t>
      </w:r>
      <w:r w:rsidR="008F450B" w:rsidRPr="003D1E07">
        <w:fldChar w:fldCharType="begin"/>
      </w:r>
      <w:r w:rsidR="008F450B" w:rsidRPr="003D1E07">
        <w:instrText xml:space="preserve"> XE "Erínye" </w:instrText>
      </w:r>
      <w:r w:rsidR="008F450B" w:rsidRPr="003D1E07">
        <w:fldChar w:fldCharType="end"/>
      </w:r>
      <w:r w:rsidR="008F450B" w:rsidRPr="003D1E07">
        <w:t xml:space="preserve"> </w:t>
      </w:r>
      <w:r w:rsidR="008F450B">
        <w:t>. S</w:t>
      </w:r>
      <w:r w:rsidR="0890098F" w:rsidRPr="003D1E07">
        <w:t xml:space="preserve">luneční </w:t>
      </w:r>
      <w:r w:rsidR="008F450B">
        <w:t>mytopoetika</w:t>
      </w:r>
      <w:r w:rsidR="088F1176" w:rsidRPr="003D1E07">
        <w:t xml:space="preserve"> </w:t>
      </w:r>
      <w:r w:rsidR="0890098F" w:rsidRPr="003D1E07">
        <w:t>platonské jeskyně</w:t>
      </w:r>
      <w:r w:rsidR="088F1176" w:rsidRPr="003D1E07">
        <w:t xml:space="preserve"> </w:t>
      </w:r>
      <w:r w:rsidR="008F450B">
        <w:t xml:space="preserve">a intelektu přešla </w:t>
      </w:r>
      <w:r w:rsidR="0890098F" w:rsidRPr="003D1E07">
        <w:t xml:space="preserve">na latinský Západ skrze Avicennu. </w:t>
      </w:r>
      <w:r w:rsidR="08DE3D42" w:rsidRPr="003D1E07">
        <w:t>Připomeňme původ řeckého slovesa „vědět“ jako dokonaného aktu vidění</w:t>
      </w:r>
      <w:r w:rsidR="08DE3D42" w:rsidRPr="003D1E07">
        <w:fldChar w:fldCharType="begin"/>
      </w:r>
      <w:r w:rsidR="08DE3D42" w:rsidRPr="003D1E07">
        <w:instrText xml:space="preserve"> XE "zjevování:vidění/vědění" </w:instrText>
      </w:r>
      <w:r w:rsidR="08DE3D42" w:rsidRPr="003D1E07">
        <w:fldChar w:fldCharType="end"/>
      </w:r>
      <w:r w:rsidR="08DE3D42" w:rsidRPr="003D1E07">
        <w:t xml:space="preserve">, což zakládá původní </w:t>
      </w:r>
      <w:r w:rsidR="08DE3D42" w:rsidRPr="003D1E07">
        <w:rPr>
          <w:i/>
        </w:rPr>
        <w:t>Ereignis</w:t>
      </w:r>
      <w:r w:rsidR="08DE3D42" w:rsidRPr="003D1E07">
        <w:rPr>
          <w:i/>
        </w:rPr>
        <w:fldChar w:fldCharType="begin"/>
      </w:r>
      <w:r w:rsidR="08DE3D42" w:rsidRPr="003D1E07">
        <w:instrText xml:space="preserve"> XE "</w:instrText>
      </w:r>
      <w:r w:rsidR="08DE3D42" w:rsidRPr="003D1E07">
        <w:rPr>
          <w:i/>
        </w:rPr>
        <w:instrText>Ereignis</w:instrText>
      </w:r>
      <w:r w:rsidR="08DE3D42" w:rsidRPr="003D1E07">
        <w:instrText xml:space="preserve">" </w:instrText>
      </w:r>
      <w:r w:rsidR="08DE3D42" w:rsidRPr="003D1E07">
        <w:rPr>
          <w:i/>
        </w:rPr>
        <w:fldChar w:fldCharType="end"/>
      </w:r>
      <w:r w:rsidR="08DE3D42" w:rsidRPr="003D1E07">
        <w:t xml:space="preserve"> západní metafyziky v Platonově podobenství o jeskyni (kap. 1). Moderní ilumináti se vůbec nes</w:t>
      </w:r>
      <w:r w:rsidR="08830090" w:rsidRPr="003D1E07">
        <w:t>tarají o to, jak vidí. Te</w:t>
      </w:r>
      <w:r w:rsidR="08650BCE" w:rsidRPr="003D1E07">
        <w:t xml:space="preserve">oreticky </w:t>
      </w:r>
      <w:r w:rsidR="08830090" w:rsidRPr="003D1E07">
        <w:t>zdatní troglodyté z platonské jeskyně j</w:t>
      </w:r>
      <w:r w:rsidR="08DE3D42" w:rsidRPr="003D1E07">
        <w:t>sou oslepeni intelektem-sluncem, který přímo manifestuje inteligibilia</w:t>
      </w:r>
      <w:r w:rsidR="08855C57" w:rsidRPr="003D1E07">
        <w:t xml:space="preserve">. </w:t>
      </w:r>
      <w:r w:rsidR="083A6279" w:rsidRPr="003D1E07">
        <w:t>O</w:t>
      </w:r>
      <w:r w:rsidR="0858150D" w:rsidRPr="003D1E07">
        <w:t xml:space="preserve">bjektivní </w:t>
      </w:r>
      <w:r w:rsidR="083A6279" w:rsidRPr="003D1E07">
        <w:t>intelektuál-</w:t>
      </w:r>
      <w:r w:rsidR="0858150D" w:rsidRPr="003D1E07">
        <w:t xml:space="preserve">paranoik </w:t>
      </w:r>
      <w:r w:rsidR="08485665" w:rsidRPr="003D1E07">
        <w:t>„vidí“</w:t>
      </w:r>
      <w:r w:rsidR="08855C57" w:rsidRPr="003D1E07">
        <w:t xml:space="preserve"> ve světě </w:t>
      </w:r>
      <w:r w:rsidR="081A246B" w:rsidRPr="003D1E07">
        <w:t xml:space="preserve">osvětleném intelektem-sluncem všechny </w:t>
      </w:r>
      <w:r w:rsidR="08855C57" w:rsidRPr="003D1E07">
        <w:t xml:space="preserve">nemateriální poznatky </w:t>
      </w:r>
      <w:r w:rsidR="08485665" w:rsidRPr="003D1E07">
        <w:t>stejně jako reálné věci</w:t>
      </w:r>
      <w:r w:rsidR="081A246B" w:rsidRPr="003D1E07">
        <w:t xml:space="preserve">. </w:t>
      </w:r>
      <w:r w:rsidR="08EB4F4A" w:rsidRPr="003D1E07">
        <w:t>Intelektuálně v</w:t>
      </w:r>
      <w:r w:rsidR="08E73DF6" w:rsidRPr="003D1E07">
        <w:t xml:space="preserve">ědoucí a </w:t>
      </w:r>
      <w:r w:rsidR="08A429A6" w:rsidRPr="003D1E07">
        <w:t xml:space="preserve">proto </w:t>
      </w:r>
      <w:r w:rsidR="08EB4F4A" w:rsidRPr="003D1E07">
        <w:t xml:space="preserve">platonicky </w:t>
      </w:r>
      <w:r w:rsidR="08E73DF6" w:rsidRPr="003D1E07">
        <w:t>oslepený i</w:t>
      </w:r>
      <w:r w:rsidR="081A246B" w:rsidRPr="003D1E07">
        <w:t xml:space="preserve">luminát </w:t>
      </w:r>
      <w:r w:rsidR="08855C57" w:rsidRPr="003D1E07">
        <w:t xml:space="preserve">pak sestoupí do jeskyně a skrze akademické </w:t>
      </w:r>
      <w:r w:rsidR="081A246B" w:rsidRPr="003D1E07">
        <w:t>insti</w:t>
      </w:r>
      <w:r w:rsidR="08855C57" w:rsidRPr="003D1E07">
        <w:t xml:space="preserve">tuce zvěstuje tuto </w:t>
      </w:r>
      <w:r w:rsidR="081A246B" w:rsidRPr="003D1E07">
        <w:t xml:space="preserve">objektivní </w:t>
      </w:r>
      <w:r w:rsidR="08855C57" w:rsidRPr="003D1E07">
        <w:t xml:space="preserve">pravdu instrumentálně myslícím </w:t>
      </w:r>
      <w:r w:rsidR="08650BCE" w:rsidRPr="003D1E07">
        <w:t xml:space="preserve">a technicky zdatným </w:t>
      </w:r>
      <w:r w:rsidR="08855C57" w:rsidRPr="003D1E07">
        <w:t>obyvatelům jeskyně</w:t>
      </w:r>
      <w:r w:rsidR="08DE3D42" w:rsidRPr="003D1E07">
        <w:t xml:space="preserve">. </w:t>
      </w:r>
      <w:r w:rsidR="00806D81">
        <w:t>Ti i</w:t>
      </w:r>
      <w:r w:rsidR="00806D81" w:rsidRPr="00806D81">
        <w:t>nstrumentalizují všechny nesmysly, které mají k dispozici (</w:t>
      </w:r>
      <w:r w:rsidR="00806D81" w:rsidRPr="00806D81">
        <w:rPr>
          <w:i/>
        </w:rPr>
        <w:t>Ge-Stell</w:t>
      </w:r>
      <w:r w:rsidR="00806D81">
        <w:rPr>
          <w:i/>
        </w:rPr>
        <w:fldChar w:fldCharType="begin"/>
      </w:r>
      <w:r w:rsidR="00806D81">
        <w:instrText xml:space="preserve"> XE "</w:instrText>
      </w:r>
      <w:r w:rsidR="00806D81" w:rsidRPr="00B93811">
        <w:rPr>
          <w:i/>
        </w:rPr>
        <w:instrText>Ge-Stell</w:instrText>
      </w:r>
      <w:r w:rsidR="00806D81">
        <w:instrText xml:space="preserve">" </w:instrText>
      </w:r>
      <w:r w:rsidR="00806D81">
        <w:rPr>
          <w:i/>
        </w:rPr>
        <w:fldChar w:fldCharType="end"/>
      </w:r>
      <w:r w:rsidR="00806D81" w:rsidRPr="00806D81">
        <w:t xml:space="preserve">), protože jsou </w:t>
      </w:r>
      <w:r w:rsidR="00806D81">
        <w:t xml:space="preserve">k tomu </w:t>
      </w:r>
      <w:r w:rsidR="00806D81" w:rsidRPr="00806D81">
        <w:t>technicky naprosto kompetentní.</w:t>
      </w:r>
      <w:r w:rsidR="00806D81">
        <w:t xml:space="preserve"> </w:t>
      </w:r>
      <w:r w:rsidR="08A429A6" w:rsidRPr="003D1E07">
        <w:t xml:space="preserve">Věda podle </w:t>
      </w:r>
      <w:r w:rsidR="007814DB">
        <w:t xml:space="preserve">výše citovaného </w:t>
      </w:r>
      <w:r w:rsidR="08A429A6" w:rsidRPr="003D1E07">
        <w:t>Heideggera nemyslí, pr</w:t>
      </w:r>
      <w:r w:rsidR="084B17CC" w:rsidRPr="003D1E07">
        <w:t>o</w:t>
      </w:r>
      <w:r w:rsidR="08A429A6" w:rsidRPr="003D1E07">
        <w:t xml:space="preserve">tože </w:t>
      </w:r>
      <w:r w:rsidR="084B17CC" w:rsidRPr="003D1E07">
        <w:t xml:space="preserve">už </w:t>
      </w:r>
      <w:r w:rsidR="08A429A6" w:rsidRPr="003D1E07">
        <w:t>nemusí nic vidět</w:t>
      </w:r>
      <w:r w:rsidR="00D91942" w:rsidRPr="003D1E07">
        <w:t xml:space="preserve"> z reálného dění bytí</w:t>
      </w:r>
      <w:r w:rsidR="007814DB">
        <w:t xml:space="preserve"> (ch. 1.2)</w:t>
      </w:r>
      <w:r w:rsidR="08A429A6" w:rsidRPr="003D1E07">
        <w:t xml:space="preserve">. Tímto způsobem vznikla objektivní </w:t>
      </w:r>
      <w:r w:rsidR="08A429A6" w:rsidRPr="003D1E07">
        <w:rPr>
          <w:i/>
        </w:rPr>
        <w:t>Irre</w:t>
      </w:r>
      <w:r w:rsidR="08A429A6" w:rsidRPr="003D1E07">
        <w:t xml:space="preserve"> západní civilizace v modu metafyzického </w:t>
      </w:r>
      <w:r w:rsidR="08A429A6" w:rsidRPr="003D1E07">
        <w:rPr>
          <w:i/>
        </w:rPr>
        <w:t>Bildung</w:t>
      </w:r>
      <w:r w:rsidR="08A429A6" w:rsidRPr="003D1E07">
        <w:t xml:space="preserve"> </w:t>
      </w:r>
      <w:r w:rsidR="08A429A6" w:rsidRPr="003D1E07">
        <w:rPr>
          <w:i/>
        </w:rPr>
        <w:fldChar w:fldCharType="begin"/>
      </w:r>
      <w:r w:rsidR="08A429A6" w:rsidRPr="003D1E07">
        <w:instrText xml:space="preserve"> XE "pravda:</w:instrText>
      </w:r>
      <w:r w:rsidR="08A429A6" w:rsidRPr="003D1E07">
        <w:rPr>
          <w:i/>
        </w:rPr>
        <w:instrText>Bildung</w:instrText>
      </w:r>
      <w:r w:rsidR="08A429A6" w:rsidRPr="003D1E07">
        <w:instrText xml:space="preserve">" </w:instrText>
      </w:r>
      <w:r w:rsidR="08A429A6" w:rsidRPr="003D1E07">
        <w:rPr>
          <w:i/>
        </w:rPr>
        <w:fldChar w:fldCharType="end"/>
      </w:r>
      <w:r w:rsidR="08A429A6" w:rsidRPr="003D1E07">
        <w:t>v návaznosti na řecký výraz παιδεία podaný v Heideggerově výkladu plat</w:t>
      </w:r>
      <w:r w:rsidR="08121FDA" w:rsidRPr="003D1E07">
        <w:t>o</w:t>
      </w:r>
      <w:r w:rsidR="08A429A6" w:rsidRPr="003D1E07">
        <w:t>nského mýtu o jes</w:t>
      </w:r>
      <w:r w:rsidR="08121FDA" w:rsidRPr="003D1E07">
        <w:t>k</w:t>
      </w:r>
      <w:r w:rsidR="08A429A6" w:rsidRPr="003D1E07">
        <w:t>y</w:t>
      </w:r>
      <w:r w:rsidR="08121FDA" w:rsidRPr="003D1E07">
        <w:t>n</w:t>
      </w:r>
      <w:r w:rsidR="08A429A6" w:rsidRPr="003D1E07">
        <w:t xml:space="preserve">i (kap. 1). </w:t>
      </w:r>
      <w:r w:rsidR="088D5C88" w:rsidRPr="003D1E07">
        <w:t xml:space="preserve">Descartes a Arnauld potvrdí toto </w:t>
      </w:r>
      <w:r w:rsidR="08FB0B44" w:rsidRPr="003D1E07">
        <w:t xml:space="preserve">mytopoetické </w:t>
      </w:r>
      <w:r w:rsidR="088D5C88" w:rsidRPr="003D1E07">
        <w:t xml:space="preserve">schéma </w:t>
      </w:r>
      <w:r w:rsidR="08BF31F5" w:rsidRPr="003D1E07">
        <w:t xml:space="preserve">toletánské moderny </w:t>
      </w:r>
      <w:r w:rsidR="088D5C88" w:rsidRPr="003D1E07">
        <w:t xml:space="preserve">pro postmodernu (kap. 2.4.4). </w:t>
      </w:r>
      <w:r w:rsidR="00C066C4" w:rsidRPr="003D1E07">
        <w:t>Tímto způsobem se začala předávat od druhé poloviny 12. století z falsafy do scholastiky nauka vedoucí k zatmění reálné první substance</w:t>
      </w:r>
      <w:r w:rsidR="00C066C4" w:rsidRPr="003D1E07">
        <w:fldChar w:fldCharType="begin"/>
      </w:r>
      <w:r w:rsidR="00C066C4" w:rsidRPr="003D1E07">
        <w:instrText xml:space="preserve"> XE "substance:zatmění" </w:instrText>
      </w:r>
      <w:r w:rsidR="00C066C4" w:rsidRPr="003D1E07">
        <w:fldChar w:fldCharType="end"/>
      </w:r>
      <w:r w:rsidR="00C066C4" w:rsidRPr="003D1E07">
        <w:t xml:space="preserve">. </w:t>
      </w:r>
      <w:r w:rsidR="0035095C" w:rsidRPr="003D1E07">
        <w:t>Překlad Al-</w:t>
      </w:r>
      <w:r w:rsidR="008E02F5" w:rsidRPr="003D1E07">
        <w:t>Fárábí</w:t>
      </w:r>
      <w:r w:rsidR="0035095C" w:rsidRPr="003D1E07">
        <w:t xml:space="preserve">ho </w:t>
      </w:r>
      <w:r w:rsidR="0035095C" w:rsidRPr="003D1E07">
        <w:rPr>
          <w:i/>
        </w:rPr>
        <w:t>De intellectu</w:t>
      </w:r>
      <w:r w:rsidR="0035095C" w:rsidRPr="003D1E07">
        <w:t xml:space="preserve"> skrze Toledské scholastiky pokračuje v Alexandrově zatemnění procesu poznání skrze vytěsněné diafanum</w:t>
      </w:r>
      <w:r w:rsidR="08895B61" w:rsidRPr="003D1E07">
        <w:fldChar w:fldCharType="begin"/>
      </w:r>
      <w:r w:rsidR="08895B61" w:rsidRPr="003D1E07">
        <w:instrText xml:space="preserve"> XE "diafanum:Al-Fárábí" </w:instrText>
      </w:r>
      <w:r w:rsidR="08895B61" w:rsidRPr="003D1E07">
        <w:fldChar w:fldCharType="end"/>
      </w:r>
      <w:r w:rsidR="0035095C" w:rsidRPr="003D1E07">
        <w:t xml:space="preserve">. </w:t>
      </w:r>
      <w:r w:rsidR="000E5893" w:rsidRPr="003D1E07">
        <w:t xml:space="preserve">Škola autentických komentátorů </w:t>
      </w:r>
      <w:r w:rsidR="000E5893" w:rsidRPr="003D1E07">
        <w:rPr>
          <w:i/>
        </w:rPr>
        <w:t>De anima</w:t>
      </w:r>
      <w:r w:rsidR="000E5893" w:rsidRPr="003D1E07">
        <w:t xml:space="preserve"> založená </w:t>
      </w:r>
      <w:r w:rsidR="0894558A" w:rsidRPr="003D1E07">
        <w:t xml:space="preserve">Janem </w:t>
      </w:r>
      <w:r w:rsidR="000E5893" w:rsidRPr="003D1E07">
        <w:t>Blundem</w:t>
      </w:r>
      <w:r w:rsidR="08DA142E" w:rsidRPr="003D1E07">
        <w:fldChar w:fldCharType="begin"/>
      </w:r>
      <w:r w:rsidR="08DA142E" w:rsidRPr="003D1E07">
        <w:instrText xml:space="preserve"> XE "Blund, J." </w:instrText>
      </w:r>
      <w:r w:rsidR="08DA142E" w:rsidRPr="003D1E07">
        <w:fldChar w:fldCharType="end"/>
      </w:r>
      <w:r w:rsidR="000E5893" w:rsidRPr="003D1E07">
        <w:t xml:space="preserve"> vrátila </w:t>
      </w:r>
      <w:r w:rsidR="087E49E1" w:rsidRPr="003D1E07">
        <w:t xml:space="preserve">okolo roku </w:t>
      </w:r>
      <w:r w:rsidR="00981FD1" w:rsidRPr="003D1E07">
        <w:t xml:space="preserve">1200 </w:t>
      </w:r>
      <w:r w:rsidR="000E5893" w:rsidRPr="003D1E07">
        <w:t>diafanum do gigantomachie</w:t>
      </w:r>
      <w:r w:rsidR="001E1E24" w:rsidRPr="003D1E07">
        <w:fldChar w:fldCharType="begin"/>
      </w:r>
      <w:r w:rsidR="001E1E24" w:rsidRPr="003D1E07">
        <w:instrText xml:space="preserve"> XE "substance:gigantomachie" </w:instrText>
      </w:r>
      <w:r w:rsidR="001E1E24" w:rsidRPr="003D1E07">
        <w:fldChar w:fldCharType="end"/>
      </w:r>
      <w:r w:rsidR="000E5893" w:rsidRPr="003D1E07">
        <w:t xml:space="preserve"> o substanci a učinila z něj základní prvek poznání</w:t>
      </w:r>
      <w:r w:rsidR="08314AF8" w:rsidRPr="003D1E07">
        <w:t xml:space="preserve">. Tato škola po pečlivé četbě </w:t>
      </w:r>
      <w:r w:rsidR="08314AF8" w:rsidRPr="003D1E07">
        <w:rPr>
          <w:i/>
        </w:rPr>
        <w:t>De anima</w:t>
      </w:r>
      <w:r w:rsidR="08314AF8" w:rsidRPr="003D1E07">
        <w:t xml:space="preserve"> obnovila mediaci skrze Al-Fárábího </w:t>
      </w:r>
      <w:r w:rsidR="00085B6D" w:rsidRPr="003D1E07">
        <w:t>poj</w:t>
      </w:r>
      <w:r w:rsidR="08314AF8" w:rsidRPr="003D1E07">
        <w:t>em</w:t>
      </w:r>
      <w:r w:rsidR="00085B6D" w:rsidRPr="003D1E07">
        <w:t xml:space="preserve"> </w:t>
      </w:r>
      <w:r w:rsidR="000E5893" w:rsidRPr="003D1E07">
        <w:rPr>
          <w:i/>
        </w:rPr>
        <w:t>intellectus possibilis</w:t>
      </w:r>
      <w:r w:rsidR="00062C4E" w:rsidRPr="003D1E07">
        <w:rPr>
          <w:i/>
        </w:rPr>
        <w:fldChar w:fldCharType="begin"/>
      </w:r>
      <w:r w:rsidR="00062C4E" w:rsidRPr="003D1E07">
        <w:instrText xml:space="preserve"> XE "</w:instrText>
      </w:r>
      <w:r w:rsidR="08895B61" w:rsidRPr="003D1E07">
        <w:instrText>diafanum</w:instrText>
      </w:r>
      <w:r w:rsidR="00062C4E" w:rsidRPr="003D1E07">
        <w:instrText xml:space="preserve">:Blund" </w:instrText>
      </w:r>
      <w:r w:rsidR="00062C4E" w:rsidRPr="003D1E07">
        <w:rPr>
          <w:i/>
        </w:rPr>
        <w:fldChar w:fldCharType="end"/>
      </w:r>
      <w:r w:rsidR="085A6D18" w:rsidRPr="003D1E07">
        <w:t xml:space="preserve">, k němuž přidali </w:t>
      </w:r>
      <w:r w:rsidR="08710CCD" w:rsidRPr="003D1E07">
        <w:rPr>
          <w:i/>
        </w:rPr>
        <w:t>intellectus formalis</w:t>
      </w:r>
      <w:r w:rsidR="08893AA5" w:rsidRPr="003D1E07">
        <w:t xml:space="preserve">. </w:t>
      </w:r>
      <w:r w:rsidR="08061A00" w:rsidRPr="003D1E07">
        <w:t>Blundova škola přesněji odlišila v Abunaserově originálním výkladu abstrakce dva odlišné procesy, které Druhý mistr nerozlišeně připsal receptivnímu intelektu, tedy proces recepce a proces abstrakce</w:t>
      </w:r>
      <w:r w:rsidR="0822149B" w:rsidRPr="003D1E07">
        <w:t xml:space="preserve"> (</w:t>
      </w:r>
      <w:r w:rsidR="081E41BA" w:rsidRPr="003D1E07">
        <w:t>OBJ II, kap. 2</w:t>
      </w:r>
      <w:r w:rsidR="0822149B" w:rsidRPr="003D1E07">
        <w:t>.1.1)</w:t>
      </w:r>
      <w:r w:rsidR="08061A00" w:rsidRPr="003D1E07">
        <w:t>.</w:t>
      </w:r>
      <w:r w:rsidR="08893AA5" w:rsidRPr="003D1E07">
        <w:t xml:space="preserve"> </w:t>
      </w:r>
      <w:r w:rsidR="007A408D" w:rsidRPr="003D1E07">
        <w:t xml:space="preserve">Následující kapitoly ukáží, že tento spor o </w:t>
      </w:r>
      <w:r w:rsidR="00D57166" w:rsidRPr="003D1E07">
        <w:t xml:space="preserve">dvojí </w:t>
      </w:r>
      <w:r w:rsidR="007A408D" w:rsidRPr="003D1E07">
        <w:t xml:space="preserve">výklad </w:t>
      </w:r>
      <w:r w:rsidR="081632CE" w:rsidRPr="003D1E07">
        <w:t xml:space="preserve">Al-Fárábího </w:t>
      </w:r>
      <w:r w:rsidR="081632CE" w:rsidRPr="003D1E07">
        <w:rPr>
          <w:i/>
        </w:rPr>
        <w:t>De intellectu</w:t>
      </w:r>
      <w:r w:rsidR="081632CE" w:rsidRPr="003D1E07">
        <w:t xml:space="preserve"> </w:t>
      </w:r>
      <w:r w:rsidR="007A408D" w:rsidRPr="003D1E07">
        <w:t xml:space="preserve">pokračuje zásadním sporem o výklad Averroesova korpusu mezi Toledskou </w:t>
      </w:r>
      <w:r w:rsidR="08142A0D" w:rsidRPr="003D1E07">
        <w:t xml:space="preserve">školou </w:t>
      </w:r>
      <w:r w:rsidR="007A408D" w:rsidRPr="003D1E07">
        <w:t>avicennistů</w:t>
      </w:r>
      <w:r w:rsidR="08872688" w:rsidRPr="003D1E07">
        <w:fldChar w:fldCharType="begin"/>
      </w:r>
      <w:r w:rsidR="08872688" w:rsidRPr="003D1E07">
        <w:instrText xml:space="preserve"> XE "Toledská škola" </w:instrText>
      </w:r>
      <w:r w:rsidR="08872688" w:rsidRPr="003D1E07">
        <w:fldChar w:fldCharType="end"/>
      </w:r>
      <w:r w:rsidR="007A408D" w:rsidRPr="003D1E07">
        <w:t xml:space="preserve"> a Sicilskou školou aristoteliků</w:t>
      </w:r>
      <w:r w:rsidR="08872688" w:rsidRPr="003D1E07">
        <w:fldChar w:fldCharType="begin"/>
      </w:r>
      <w:r w:rsidR="08872688" w:rsidRPr="003D1E07">
        <w:instrText xml:space="preserve"> XE "Sicilská škola" </w:instrText>
      </w:r>
      <w:r w:rsidR="08872688" w:rsidRPr="003D1E07">
        <w:fldChar w:fldCharType="end"/>
      </w:r>
      <w:r w:rsidR="007A408D" w:rsidRPr="003D1E07">
        <w:t xml:space="preserve">. </w:t>
      </w:r>
      <w:r w:rsidR="00042206" w:rsidRPr="003D1E07">
        <w:t xml:space="preserve">Pochybení ohledně chybějícího mediátora poznání smyslů a intelektu </w:t>
      </w:r>
      <w:r w:rsidR="00F04680" w:rsidRPr="003D1E07">
        <w:t xml:space="preserve">plně </w:t>
      </w:r>
      <w:r w:rsidR="005E4E60" w:rsidRPr="003D1E07">
        <w:t xml:space="preserve">napravil až příchod </w:t>
      </w:r>
      <w:r w:rsidR="086B740B" w:rsidRPr="003D1E07">
        <w:t xml:space="preserve">autentického </w:t>
      </w:r>
      <w:r w:rsidR="005E4E60" w:rsidRPr="003D1E07">
        <w:t>Averroe</w:t>
      </w:r>
      <w:r w:rsidR="00042206" w:rsidRPr="003D1E07">
        <w:t>se na latinský Západ</w:t>
      </w:r>
      <w:r w:rsidR="083F6B50" w:rsidRPr="003D1E07">
        <w:t xml:space="preserve">. </w:t>
      </w:r>
      <w:r w:rsidR="086B740B" w:rsidRPr="003D1E07">
        <w:t>N</w:t>
      </w:r>
      <w:r w:rsidR="00A45A3C" w:rsidRPr="003D1E07">
        <w:t xml:space="preserve">eoplatonskou </w:t>
      </w:r>
      <w:r w:rsidR="00D57166" w:rsidRPr="003D1E07">
        <w:t xml:space="preserve">interpretaci Toledské školy </w:t>
      </w:r>
      <w:r w:rsidR="002E13BF">
        <w:t xml:space="preserve">podanou </w:t>
      </w:r>
      <w:r w:rsidR="08393A9F" w:rsidRPr="003D1E07">
        <w:t xml:space="preserve">avicennovskými </w:t>
      </w:r>
      <w:r w:rsidR="086B740B" w:rsidRPr="003D1E07">
        <w:lastRenderedPageBreak/>
        <w:t xml:space="preserve">překlady Averroese </w:t>
      </w:r>
      <w:r w:rsidR="086B043E" w:rsidRPr="003D1E07">
        <w:t xml:space="preserve">asi </w:t>
      </w:r>
      <w:r w:rsidR="086B740B" w:rsidRPr="003D1E07">
        <w:t xml:space="preserve">od roku 1220 </w:t>
      </w:r>
      <w:r w:rsidR="00D57166" w:rsidRPr="003D1E07">
        <w:t xml:space="preserve">změnil </w:t>
      </w:r>
      <w:r w:rsidR="002E13BF">
        <w:t xml:space="preserve">až </w:t>
      </w:r>
      <w:r w:rsidR="00D57166" w:rsidRPr="003D1E07">
        <w:t xml:space="preserve">Michael Scotus </w:t>
      </w:r>
      <w:r w:rsidR="085E0CBF" w:rsidRPr="003D1E07">
        <w:t xml:space="preserve">roku 1230 </w:t>
      </w:r>
      <w:r w:rsidR="00A45A3C" w:rsidRPr="003D1E07">
        <w:t xml:space="preserve">ve prospěch autentického aristotelismu </w:t>
      </w:r>
      <w:r w:rsidR="083F6B50" w:rsidRPr="003D1E07">
        <w:t xml:space="preserve">Sicilské školy </w:t>
      </w:r>
      <w:r w:rsidR="00D57166" w:rsidRPr="003D1E07">
        <w:t>(</w:t>
      </w:r>
      <w:r w:rsidR="081E41BA" w:rsidRPr="003D1E07">
        <w:t xml:space="preserve">OBJ II, </w:t>
      </w:r>
      <w:r w:rsidR="00D57166" w:rsidRPr="003D1E07">
        <w:t xml:space="preserve">kap. </w:t>
      </w:r>
      <w:r w:rsidR="081E41BA" w:rsidRPr="003D1E07">
        <w:t>2</w:t>
      </w:r>
      <w:r w:rsidR="00D57166" w:rsidRPr="003D1E07">
        <w:t>.1.3)</w:t>
      </w:r>
      <w:r w:rsidR="00042206" w:rsidRPr="003D1E07">
        <w:t xml:space="preserve">. </w:t>
      </w:r>
      <w:r w:rsidR="000E5893" w:rsidRPr="003D1E07">
        <w:t>Přítomnost či nepřítomnost diafanum a jeho pojetí obsahuje jádro všech pozdějších sporů o statut poznání.</w:t>
      </w:r>
    </w:p>
    <w:p w14:paraId="6E969C50" w14:textId="3E5380AB" w:rsidR="00491C17" w:rsidRDefault="00BA1FC0" w:rsidP="00491C17">
      <w:pPr>
        <w:ind w:firstLine="397"/>
      </w:pPr>
      <w:r w:rsidRPr="003D1E07">
        <w:t xml:space="preserve">Díky zavedení </w:t>
      </w:r>
      <w:r w:rsidRPr="003D1E07">
        <w:rPr>
          <w:i/>
        </w:rPr>
        <w:t>int</w:t>
      </w:r>
      <w:r w:rsidR="08294485" w:rsidRPr="003D1E07">
        <w:rPr>
          <w:i/>
        </w:rPr>
        <w:t>ellectus in potencia</w:t>
      </w:r>
      <w:r w:rsidR="08294485" w:rsidRPr="003D1E07">
        <w:t xml:space="preserve"> </w:t>
      </w:r>
      <w:r w:rsidR="005E4E60" w:rsidRPr="003D1E07">
        <w:t>do neoplato</w:t>
      </w:r>
      <w:r w:rsidRPr="003D1E07">
        <w:t>nského schématu poz</w:t>
      </w:r>
      <w:r w:rsidR="08DE2CC0" w:rsidRPr="003D1E07">
        <w:t xml:space="preserve">nání dochází k nové události </w:t>
      </w:r>
      <w:r w:rsidRPr="003D1E07">
        <w:t>odkrytosti (</w:t>
      </w:r>
      <w:r w:rsidR="08DE2CC0" w:rsidRPr="003D1E07">
        <w:rPr>
          <w:i/>
        </w:rPr>
        <w:t>a</w:t>
      </w:r>
      <w:r w:rsidRPr="003D1E07">
        <w:rPr>
          <w:i/>
        </w:rPr>
        <w:t>létheia</w:t>
      </w:r>
      <w:r w:rsidRPr="003D1E07">
        <w:t xml:space="preserve">) bytí jsoucna v západní metafyzice. </w:t>
      </w:r>
      <w:r w:rsidR="08622263" w:rsidRPr="003D1E07">
        <w:t>Duše má vlastní schopnost poznání</w:t>
      </w:r>
      <w:r w:rsidR="08FD1B59" w:rsidRPr="003D1E07">
        <w:t>, která je ale vůči reálně existující věci jen druhotným případkem</w:t>
      </w:r>
      <w:r w:rsidR="08622263" w:rsidRPr="003D1E07">
        <w:t xml:space="preserve">. </w:t>
      </w:r>
      <w:r w:rsidR="08FD1B59" w:rsidRPr="003D1E07">
        <w:t xml:space="preserve">Poznání </w:t>
      </w:r>
      <w:r w:rsidR="08622263" w:rsidRPr="003D1E07">
        <w:t xml:space="preserve">je pasivně </w:t>
      </w:r>
      <w:r w:rsidR="08FD1B59" w:rsidRPr="003D1E07">
        <w:t>determinováno</w:t>
      </w:r>
      <w:r w:rsidR="08622263" w:rsidRPr="003D1E07">
        <w:t xml:space="preserve"> skrze aktuálně danou reálnou věc</w:t>
      </w:r>
      <w:r w:rsidR="00845B00">
        <w:t xml:space="preserve">. Tu nejprve vnímáme skrze smysly, které přímo </w:t>
      </w:r>
      <w:r w:rsidR="08622263" w:rsidRPr="003D1E07">
        <w:t>aktualiz</w:t>
      </w:r>
      <w:r w:rsidR="00845B00">
        <w:t xml:space="preserve">uje </w:t>
      </w:r>
      <w:r w:rsidR="08FD1B59" w:rsidRPr="003D1E07">
        <w:t>první substance</w:t>
      </w:r>
      <w:r w:rsidR="08622263" w:rsidRPr="003D1E07">
        <w:t xml:space="preserve">. Tímto </w:t>
      </w:r>
      <w:r w:rsidR="08C015F7" w:rsidRPr="003D1E07">
        <w:t xml:space="preserve">sekundárním vztahem k reálné věci se </w:t>
      </w:r>
      <w:r w:rsidR="08622263" w:rsidRPr="003D1E07">
        <w:t xml:space="preserve">duše stává vším </w:t>
      </w:r>
      <w:r w:rsidR="08925FBD" w:rsidRPr="003D1E07">
        <w:t xml:space="preserve">(νοῦς τῷ πάντα γίνεσθαι, </w:t>
      </w:r>
      <w:r w:rsidR="08925FBD" w:rsidRPr="003D1E07">
        <w:rPr>
          <w:i/>
        </w:rPr>
        <w:t>De anima</w:t>
      </w:r>
      <w:r w:rsidR="08925FBD" w:rsidRPr="003D1E07">
        <w:t xml:space="preserve"> 430a14</w:t>
      </w:r>
      <w:r w:rsidR="08925FBD" w:rsidRPr="003D1E07">
        <w:fldChar w:fldCharType="begin"/>
      </w:r>
      <w:r w:rsidR="08925FBD" w:rsidRPr="003D1E07">
        <w:instrText xml:space="preserve"> XE "Aristoteles:</w:instrText>
      </w:r>
      <w:r w:rsidR="08925FBD" w:rsidRPr="003D1E07">
        <w:rPr>
          <w:i/>
        </w:rPr>
        <w:instrText>De anima</w:instrText>
      </w:r>
      <w:r w:rsidR="08925FBD" w:rsidRPr="003D1E07">
        <w:instrText xml:space="preserve"> 430a14" </w:instrText>
      </w:r>
      <w:r w:rsidR="08925FBD" w:rsidRPr="003D1E07">
        <w:fldChar w:fldCharType="end"/>
      </w:r>
      <w:r w:rsidR="08925FBD" w:rsidRPr="003D1E07">
        <w:t>).</w:t>
      </w:r>
      <w:r w:rsidR="08C015F7" w:rsidRPr="003D1E07">
        <w:t xml:space="preserve"> P</w:t>
      </w:r>
      <w:r w:rsidR="08925FBD" w:rsidRPr="003D1E07">
        <w:t>oznání</w:t>
      </w:r>
      <w:r w:rsidR="08C015F7" w:rsidRPr="003D1E07">
        <w:t xml:space="preserve"> se </w:t>
      </w:r>
      <w:r w:rsidR="08925FBD" w:rsidRPr="003D1E07">
        <w:t xml:space="preserve">aktualizuje </w:t>
      </w:r>
      <w:r w:rsidR="08C015F7" w:rsidRPr="003D1E07">
        <w:t xml:space="preserve">skrze aristotelsky formulovaný </w:t>
      </w:r>
      <w:r w:rsidR="08B779FB" w:rsidRPr="003D1E07">
        <w:t xml:space="preserve">metafyzický </w:t>
      </w:r>
      <w:r w:rsidR="08C015F7" w:rsidRPr="003D1E07">
        <w:t>dativ</w:t>
      </w:r>
      <w:r w:rsidR="00F7614D">
        <w:t xml:space="preserve"> a je vypovídáno skrze categoriální impozici</w:t>
      </w:r>
      <w:r w:rsidR="08C015F7" w:rsidRPr="003D1E07">
        <w:fldChar w:fldCharType="begin"/>
      </w:r>
      <w:r w:rsidR="08C015F7" w:rsidRPr="003D1E07">
        <w:instrText xml:space="preserve"> XE "</w:instrText>
      </w:r>
      <w:r w:rsidR="08B779FB" w:rsidRPr="003D1E07">
        <w:rPr>
          <w:i/>
        </w:rPr>
        <w:instrText>dativus metaphysi</w:instrText>
      </w:r>
      <w:r w:rsidR="08C015F7" w:rsidRPr="003D1E07">
        <w:rPr>
          <w:i/>
        </w:rPr>
        <w:instrText>cus</w:instrText>
      </w:r>
      <w:r w:rsidR="08C015F7" w:rsidRPr="003D1E07">
        <w:instrText xml:space="preserve">" </w:instrText>
      </w:r>
      <w:r w:rsidR="08C015F7" w:rsidRPr="003D1E07">
        <w:fldChar w:fldCharType="end"/>
      </w:r>
      <w:r w:rsidR="087F7342" w:rsidRPr="003D1E07">
        <w:t>.</w:t>
      </w:r>
      <w:r w:rsidR="08C015F7" w:rsidRPr="003D1E07">
        <w:t xml:space="preserve"> </w:t>
      </w:r>
      <w:r w:rsidR="00F7614D">
        <w:t>Věc  je daná</w:t>
      </w:r>
      <w:r w:rsidR="08C015F7" w:rsidRPr="003D1E07">
        <w:t xml:space="preserve"> v minulostním modu bytí reálného jsoucna vůči poznanému pojmu </w:t>
      </w:r>
      <w:r w:rsidR="08925FBD" w:rsidRPr="003D1E07">
        <w:t xml:space="preserve">(τῷ τί ἦν, </w:t>
      </w:r>
      <w:r w:rsidR="08925FBD" w:rsidRPr="003D1E07">
        <w:rPr>
          <w:i/>
        </w:rPr>
        <w:t>quo est</w:t>
      </w:r>
      <w:r w:rsidR="00A0156A" w:rsidRPr="003D1E07">
        <w:t>;</w:t>
      </w:r>
      <w:r w:rsidR="08925FBD" w:rsidRPr="003D1E07">
        <w:t xml:space="preserve"> kap. 1.1). Poznání vzniká skrze </w:t>
      </w:r>
      <w:r w:rsidR="081C6A7F" w:rsidRPr="003D1E07">
        <w:t xml:space="preserve">individuální </w:t>
      </w:r>
      <w:r w:rsidR="082C4B51" w:rsidRPr="003D1E07">
        <w:t>smyslovou představivost</w:t>
      </w:r>
      <w:r w:rsidR="00D25E0A" w:rsidRPr="003D1E07">
        <w:t xml:space="preserve"> a skrze </w:t>
      </w:r>
      <w:r w:rsidRPr="003D1E07">
        <w:t>individuá</w:t>
      </w:r>
      <w:r w:rsidR="08A95A5C" w:rsidRPr="003D1E07">
        <w:t xml:space="preserve">lní </w:t>
      </w:r>
      <w:r w:rsidRPr="003D1E07">
        <w:rPr>
          <w:i/>
        </w:rPr>
        <w:t>intellectus possibilis</w:t>
      </w:r>
      <w:r w:rsidR="087B083B" w:rsidRPr="003D1E07">
        <w:t>, které představují</w:t>
      </w:r>
      <w:r w:rsidR="08925FBD" w:rsidRPr="003D1E07">
        <w:t xml:space="preserve"> </w:t>
      </w:r>
      <w:r w:rsidR="080D6B53" w:rsidRPr="003D1E07">
        <w:t xml:space="preserve">dvojí formu mediace </w:t>
      </w:r>
      <w:r w:rsidR="081C6A7F" w:rsidRPr="003D1E07">
        <w:t>smy</w:t>
      </w:r>
      <w:r w:rsidR="08FE5DEE" w:rsidRPr="003D1E07">
        <w:t>s</w:t>
      </w:r>
      <w:r w:rsidR="081C6A7F" w:rsidRPr="003D1E07">
        <w:t xml:space="preserve">lově-intelektuálního </w:t>
      </w:r>
      <w:r w:rsidR="080D6B53" w:rsidRPr="003D1E07">
        <w:t xml:space="preserve">poznání skrze </w:t>
      </w:r>
      <w:r w:rsidR="089307F9" w:rsidRPr="003D1E07">
        <w:t xml:space="preserve">dvojí </w:t>
      </w:r>
      <w:r w:rsidR="080D6B53" w:rsidRPr="003D1E07">
        <w:t>diafanum dané v duši</w:t>
      </w:r>
      <w:r w:rsidR="087B083B" w:rsidRPr="003D1E07">
        <w:t xml:space="preserve">. </w:t>
      </w:r>
      <w:r w:rsidR="084E5102" w:rsidRPr="003D1E07">
        <w:t>Tato dvojí m</w:t>
      </w:r>
      <w:r w:rsidR="087B083B" w:rsidRPr="003D1E07">
        <w:t xml:space="preserve">ediace </w:t>
      </w:r>
      <w:r w:rsidR="08925FBD" w:rsidRPr="003D1E07">
        <w:t xml:space="preserve">přinese </w:t>
      </w:r>
      <w:r w:rsidR="087B083B" w:rsidRPr="003D1E07">
        <w:t xml:space="preserve">do intelektu </w:t>
      </w:r>
      <w:r w:rsidR="008A6B5A">
        <w:t xml:space="preserve">první substanci </w:t>
      </w:r>
      <w:r w:rsidR="008A6B5A" w:rsidRPr="003D1E07">
        <w:t>v minulostním rázu</w:t>
      </w:r>
      <w:r w:rsidR="008A6B5A">
        <w:t>, protože jedinečná</w:t>
      </w:r>
      <w:r w:rsidR="08766F22" w:rsidRPr="003D1E07">
        <w:t xml:space="preserve"> věc aktuálně</w:t>
      </w:r>
      <w:r w:rsidR="08925FBD" w:rsidRPr="003D1E07">
        <w:t xml:space="preserve"> </w:t>
      </w:r>
      <w:r w:rsidR="008A6B5A">
        <w:t xml:space="preserve">existuje jen </w:t>
      </w:r>
      <w:r w:rsidR="087B083B" w:rsidRPr="003D1E07">
        <w:t>v realitě</w:t>
      </w:r>
      <w:r w:rsidR="00D25E0A" w:rsidRPr="003D1E07">
        <w:t xml:space="preserve">. </w:t>
      </w:r>
      <w:r w:rsidR="08766F22" w:rsidRPr="003D1E07">
        <w:t>Slepá moderna tragicky myslící pod vlivem pomstychtivých Fúrií vidí skrze objektivní sluneční mýtus parousii eidetického významu</w:t>
      </w:r>
      <w:r w:rsidR="00A0156A" w:rsidRPr="003D1E07">
        <w:t>.</w:t>
      </w:r>
      <w:r w:rsidR="00B7740B" w:rsidRPr="003D1E07">
        <w:t xml:space="preserve"> Tato vize </w:t>
      </w:r>
      <w:r w:rsidR="00A0156A" w:rsidRPr="003D1E07">
        <w:t xml:space="preserve">vytváří mytopoetickou realitu, které nahradila Aristotelův vědecký deduktivní důkaz </w:t>
      </w:r>
      <w:r w:rsidR="00806DBF">
        <w:t>a kritické poznání světa. N</w:t>
      </w:r>
      <w:r w:rsidR="00A0156A" w:rsidRPr="003D1E07">
        <w:t xml:space="preserve">ová simulákra se promítají na zeď platonké jeskyně. </w:t>
      </w:r>
      <w:r w:rsidR="00473754">
        <w:t>R</w:t>
      </w:r>
      <w:r w:rsidR="00A0156A" w:rsidRPr="003D1E07">
        <w:t xml:space="preserve">ole „vědoucích“ stážců západní civilizace usazených v akademických institucích je </w:t>
      </w:r>
      <w:r w:rsidR="00473754">
        <w:t xml:space="preserve">v </w:t>
      </w:r>
      <w:r w:rsidR="00A0156A" w:rsidRPr="003D1E07">
        <w:t xml:space="preserve">této božské komedii naprosto nepostradatelná. </w:t>
      </w:r>
      <w:r w:rsidR="087E585C" w:rsidRPr="003D1E07">
        <w:t xml:space="preserve">Hra simuláker nahradila diafanum a mediálně </w:t>
      </w:r>
      <w:r w:rsidR="083D2265" w:rsidRPr="003D1E07">
        <w:t xml:space="preserve">i </w:t>
      </w:r>
      <w:r w:rsidR="08766F22" w:rsidRPr="003D1E07">
        <w:t xml:space="preserve">poeticky </w:t>
      </w:r>
      <w:r w:rsidR="083D2265" w:rsidRPr="003D1E07">
        <w:t xml:space="preserve">zakládá </w:t>
      </w:r>
      <w:r w:rsidR="08766F22" w:rsidRPr="003D1E07">
        <w:t xml:space="preserve">globálně potřebný platonismus pro </w:t>
      </w:r>
      <w:r w:rsidR="08904FFE" w:rsidRPr="003D1E07">
        <w:t xml:space="preserve">objektivně formovavý </w:t>
      </w:r>
      <w:r w:rsidR="08766F22" w:rsidRPr="003D1E07">
        <w:t xml:space="preserve">lid. </w:t>
      </w:r>
      <w:r w:rsidR="08786C15" w:rsidRPr="003D1E07">
        <w:t>Averroes si plně uvědomí e</w:t>
      </w:r>
      <w:r w:rsidRPr="003D1E07">
        <w:t xml:space="preserve">pochální význam </w:t>
      </w:r>
      <w:r w:rsidR="08786C15" w:rsidRPr="003D1E07">
        <w:t xml:space="preserve">Abunaserova </w:t>
      </w:r>
      <w:r w:rsidRPr="003D1E07">
        <w:t>zásadního posunu v chápání i</w:t>
      </w:r>
      <w:r w:rsidR="005E4E60" w:rsidRPr="003D1E07">
        <w:t xml:space="preserve">ntelektu </w:t>
      </w:r>
      <w:r w:rsidRPr="003D1E07">
        <w:t>a završí tuto tradici výkladu poznání v CMDA.</w:t>
      </w:r>
      <w:r w:rsidR="000E5893" w:rsidRPr="003D1E07">
        <w:t xml:space="preserve"> </w:t>
      </w:r>
      <w:r w:rsidR="00913295" w:rsidRPr="003D1E07">
        <w:t>Nasvícení jsoucna v intelektu jinak upraví Avicenn</w:t>
      </w:r>
      <w:r w:rsidR="005E4E60" w:rsidRPr="003D1E07">
        <w:t>a a jinak Averroe</w:t>
      </w:r>
      <w:r w:rsidR="00913295" w:rsidRPr="003D1E07">
        <w:t>s</w:t>
      </w:r>
      <w:r w:rsidR="08836C43" w:rsidRPr="003D1E07">
        <w:t xml:space="preserve"> a </w:t>
      </w:r>
      <w:r w:rsidR="08EC346B" w:rsidRPr="003D1E07">
        <w:t xml:space="preserve">skrze </w:t>
      </w:r>
      <w:r w:rsidR="08836C43" w:rsidRPr="003D1E07">
        <w:t xml:space="preserve">tuto dvojí manifestací smyslu jsoucna </w:t>
      </w:r>
      <w:r w:rsidR="00913295" w:rsidRPr="003D1E07">
        <w:t>v</w:t>
      </w:r>
      <w:r w:rsidR="08DE6A34" w:rsidRPr="003D1E07">
        <w:t>z</w:t>
      </w:r>
      <w:r w:rsidR="00913295" w:rsidRPr="003D1E07">
        <w:t>niknou dvě epochální formy metafyziky. Latinský Západ obě verze přebírá skrze spor p</w:t>
      </w:r>
      <w:r w:rsidR="00B16F7B" w:rsidRPr="003D1E07">
        <w:t>rvního nebo druhého averroismu.</w:t>
      </w:r>
      <w:r w:rsidR="00491C17">
        <w:t xml:space="preserve"> </w:t>
      </w:r>
      <w:r w:rsidR="00083BE5" w:rsidRPr="003D1E07">
        <w:t xml:space="preserve">Aristotelská forma je z materie abstrahována </w:t>
      </w:r>
      <w:r w:rsidR="00F4417E">
        <w:t xml:space="preserve">skrze </w:t>
      </w:r>
      <w:r w:rsidR="00083BE5" w:rsidRPr="003D1E07">
        <w:rPr>
          <w:i/>
        </w:rPr>
        <w:t>intellectus possibilis</w:t>
      </w:r>
      <w:r w:rsidR="00083BE5" w:rsidRPr="003D1E07">
        <w:rPr>
          <w:i/>
        </w:rPr>
        <w:fldChar w:fldCharType="begin"/>
      </w:r>
      <w:r w:rsidR="00083BE5" w:rsidRPr="003D1E07">
        <w:instrText xml:space="preserve"> XE "</w:instrText>
      </w:r>
      <w:r w:rsidR="00083BE5" w:rsidRPr="003D1E07">
        <w:rPr>
          <w:i/>
        </w:rPr>
        <w:instrText>intellectus possibilis</w:instrText>
      </w:r>
      <w:r w:rsidR="00083BE5" w:rsidRPr="003D1E07">
        <w:instrText xml:space="preserve">:první averroismus" </w:instrText>
      </w:r>
      <w:r w:rsidR="00083BE5" w:rsidRPr="003D1E07">
        <w:rPr>
          <w:i/>
        </w:rPr>
        <w:fldChar w:fldCharType="end"/>
      </w:r>
      <w:r w:rsidR="00083BE5" w:rsidRPr="003D1E07">
        <w:t xml:space="preserve">, který se díky smyslové receptivitě liší od kosmických inteligencí. </w:t>
      </w:r>
      <w:r w:rsidR="00336211">
        <w:t xml:space="preserve">Podle </w:t>
      </w:r>
      <w:r w:rsidR="00083BE5" w:rsidRPr="003D1E07">
        <w:t>h</w:t>
      </w:r>
      <w:r w:rsidR="00336211">
        <w:t>yparchického</w:t>
      </w:r>
      <w:r w:rsidR="00083BE5" w:rsidRPr="003D1E07">
        <w:t xml:space="preserve"> primátu první substance</w:t>
      </w:r>
      <w:r w:rsidR="00083BE5" w:rsidRPr="003D1E07">
        <w:fldChar w:fldCharType="begin"/>
      </w:r>
      <w:r w:rsidR="00083BE5" w:rsidRPr="003D1E07">
        <w:instrText xml:space="preserve"> XE "substance:první" </w:instrText>
      </w:r>
      <w:r w:rsidR="00083BE5" w:rsidRPr="003D1E07">
        <w:fldChar w:fldCharType="end"/>
      </w:r>
      <w:r w:rsidR="00083BE5" w:rsidRPr="003D1E07">
        <w:t xml:space="preserve"> jsou univerzální poznávací formy v materii obsaženy pouze potenciálně. </w:t>
      </w:r>
      <w:r w:rsidR="001F333C" w:rsidRPr="003D1E07">
        <w:t>P</w:t>
      </w:r>
      <w:r w:rsidR="00A54694" w:rsidRPr="003D1E07">
        <w:t>roto je pojetí pravdy dáno až v intelektu</w:t>
      </w:r>
      <w:r w:rsidR="001F333C" w:rsidRPr="003D1E07">
        <w:t>,</w:t>
      </w:r>
      <w:r w:rsidR="00A54694" w:rsidRPr="003D1E07">
        <w:t xml:space="preserve"> </w:t>
      </w:r>
      <w:r w:rsidR="001F333C" w:rsidRPr="003D1E07">
        <w:t>díky procesu abstrakce poznaných forem z hylemorfické substance</w:t>
      </w:r>
      <w:r w:rsidR="00A54694" w:rsidRPr="003D1E07">
        <w:t xml:space="preserve">. </w:t>
      </w:r>
      <w:r w:rsidR="08E46A93" w:rsidRPr="003D1E07">
        <w:t xml:space="preserve">Blundova škola </w:t>
      </w:r>
      <w:r w:rsidR="0824610E" w:rsidRPr="003D1E07">
        <w:t>pocho</w:t>
      </w:r>
      <w:r w:rsidR="08E46A93" w:rsidRPr="003D1E07">
        <w:t xml:space="preserve">pila, že tato aktivní činnost intelektu má jiný charakter než pasivní intencionální recepce. </w:t>
      </w:r>
      <w:r w:rsidR="00083BE5" w:rsidRPr="003D1E07">
        <w:t xml:space="preserve">Hermeneutika </w:t>
      </w:r>
      <w:r w:rsidR="08B25108" w:rsidRPr="003D1E07">
        <w:lastRenderedPageBreak/>
        <w:t xml:space="preserve">nové formy </w:t>
      </w:r>
      <w:r w:rsidR="08B25108" w:rsidRPr="003D1E07">
        <w:rPr>
          <w:i/>
        </w:rPr>
        <w:t>Lichtung</w:t>
      </w:r>
      <w:r w:rsidR="08B25108" w:rsidRPr="003D1E07">
        <w:t xml:space="preserve"> </w:t>
      </w:r>
      <w:r w:rsidR="00083BE5" w:rsidRPr="003D1E07">
        <w:t>musí stanovit</w:t>
      </w:r>
      <w:r w:rsidR="00A354D4">
        <w:t xml:space="preserve"> určit dvojí dráhu náhledu na smysl jsoucna </w:t>
      </w:r>
      <w:r w:rsidR="00A354D4">
        <w:rPr>
          <w:noProof w:val="0"/>
          <w:lang w:val="fr-FR" w:eastAsia="x-none"/>
        </w:rPr>
        <w:t>(</w:t>
      </w:r>
      <w:r w:rsidR="00A354D4" w:rsidRPr="005F7848">
        <w:rPr>
          <w:i/>
          <w:noProof w:val="0"/>
          <w:lang w:val="fr-FR" w:eastAsia="x-none"/>
        </w:rPr>
        <w:t>Bezugssinn</w:t>
      </w:r>
      <w:r w:rsidR="00A354D4">
        <w:rPr>
          <w:i/>
          <w:noProof w:val="0"/>
          <w:lang w:val="fr-FR" w:eastAsia="x-none"/>
        </w:rPr>
        <w:fldChar w:fldCharType="begin"/>
      </w:r>
      <w:r w:rsidR="00A354D4">
        <w:instrText xml:space="preserve"> XE "</w:instrText>
      </w:r>
      <w:r w:rsidR="00A354D4" w:rsidRPr="00DF4146">
        <w:rPr>
          <w:i/>
          <w:noProof w:val="0"/>
          <w:lang w:val="fr-FR" w:eastAsia="x-none"/>
        </w:rPr>
        <w:instrText>Bezugssinn</w:instrText>
      </w:r>
      <w:r w:rsidR="00A354D4">
        <w:instrText xml:space="preserve">" </w:instrText>
      </w:r>
      <w:r w:rsidR="00A354D4">
        <w:rPr>
          <w:i/>
          <w:noProof w:val="0"/>
          <w:lang w:val="fr-FR" w:eastAsia="x-none"/>
        </w:rPr>
        <w:fldChar w:fldCharType="end"/>
      </w:r>
      <w:r w:rsidR="00A354D4">
        <w:rPr>
          <w:noProof w:val="0"/>
          <w:lang w:val="fr-FR" w:eastAsia="x-none"/>
        </w:rPr>
        <w:t xml:space="preserve">), aby určila ontologický způsob, </w:t>
      </w:r>
      <w:r w:rsidR="00083BE5" w:rsidRPr="003D1E07">
        <w:t>„jak“ (</w:t>
      </w:r>
      <w:r w:rsidR="08B8549D" w:rsidRPr="003D1E07">
        <w:t xml:space="preserve">Heideggerovo </w:t>
      </w:r>
      <w:r w:rsidR="00083BE5" w:rsidRPr="003D1E07">
        <w:rPr>
          <w:i/>
        </w:rPr>
        <w:t>Wie</w:t>
      </w:r>
      <w:r w:rsidR="00083BE5" w:rsidRPr="003D1E07">
        <w:t>) ta či ona škola chápala nasvícení jsoucna v možném intelektu</w:t>
      </w:r>
      <w:r w:rsidR="00A354D4">
        <w:t xml:space="preserve">. Ten je místem, kde </w:t>
      </w:r>
      <w:r w:rsidR="00083BE5" w:rsidRPr="003D1E07">
        <w:t xml:space="preserve">se mění potenciální obsahy poznání na poznané </w:t>
      </w:r>
      <w:r w:rsidR="004F1364" w:rsidRPr="003D1E07">
        <w:t xml:space="preserve">inteligibilní </w:t>
      </w:r>
      <w:r w:rsidR="00083BE5" w:rsidRPr="003D1E07">
        <w:t xml:space="preserve">formy. </w:t>
      </w:r>
      <w:r w:rsidR="00C120F3" w:rsidRPr="003D1E07">
        <w:t>Receptivní složka duše</w:t>
      </w:r>
      <w:r w:rsidR="00C120F3" w:rsidRPr="003D1E07">
        <w:rPr>
          <w:i/>
        </w:rPr>
        <w:t xml:space="preserve"> </w:t>
      </w:r>
      <w:r w:rsidR="00C120F3" w:rsidRPr="003D1E07">
        <w:t>umožňuje primárně pasivní poznání ne</w:t>
      </w:r>
      <w:r w:rsidR="004565CF">
        <w:t>materiálních forem, které završuje</w:t>
      </w:r>
      <w:r w:rsidR="00C120F3" w:rsidRPr="003D1E07">
        <w:t xml:space="preserve"> aktivní intelekt. Druhá substance je vázaná na hyparchické postavení hylemorfické první substanc</w:t>
      </w:r>
      <w:r w:rsidR="082332EB" w:rsidRPr="003D1E07">
        <w:t xml:space="preserve">e poznané skrze smysly a skrze </w:t>
      </w:r>
      <w:r w:rsidR="08E14E92" w:rsidRPr="003D1E07">
        <w:t xml:space="preserve">Alfarabiův </w:t>
      </w:r>
      <w:r w:rsidR="082332EB" w:rsidRPr="003D1E07">
        <w:rPr>
          <w:i/>
        </w:rPr>
        <w:t>intellectus in potenc</w:t>
      </w:r>
      <w:r w:rsidR="00C120F3" w:rsidRPr="003D1E07">
        <w:rPr>
          <w:i/>
        </w:rPr>
        <w:t>ia</w:t>
      </w:r>
      <w:r w:rsidR="00C120F3" w:rsidRPr="003D1E07">
        <w:t xml:space="preserve">. </w:t>
      </w:r>
      <w:r w:rsidR="003D7AEE" w:rsidRPr="003D1E07">
        <w:t xml:space="preserve">Druhá intence </w:t>
      </w:r>
      <w:r w:rsidR="00652603" w:rsidRPr="003D1E07">
        <w:t>(</w:t>
      </w:r>
      <w:r w:rsidR="00652603" w:rsidRPr="003D1E07">
        <w:rPr>
          <w:rStyle w:val="Zvraznn"/>
        </w:rPr>
        <w:t xml:space="preserve">ma'qūl </w:t>
      </w:r>
      <w:r w:rsidR="00652603" w:rsidRPr="003D1E07">
        <w:rPr>
          <w:i/>
        </w:rPr>
        <w:t>ṭh</w:t>
      </w:r>
      <w:r w:rsidR="00652603" w:rsidRPr="003D1E07">
        <w:rPr>
          <w:rStyle w:val="Zvraznn"/>
        </w:rPr>
        <w:t>ānī</w:t>
      </w:r>
      <w:r w:rsidR="00652603" w:rsidRPr="003D1E07">
        <w:t xml:space="preserve">, </w:t>
      </w:r>
      <w:r w:rsidR="00652603" w:rsidRPr="003D1E07">
        <w:rPr>
          <w:i/>
        </w:rPr>
        <w:t>intellectum secundum</w:t>
      </w:r>
      <w:r w:rsidR="000949F0" w:rsidRPr="003D1E07">
        <w:rPr>
          <w:rStyle w:val="Zvraznn"/>
        </w:rPr>
        <w:fldChar w:fldCharType="begin"/>
      </w:r>
      <w:r w:rsidR="000949F0" w:rsidRPr="003D1E07">
        <w:instrText xml:space="preserve"> XE "druhá intence" </w:instrText>
      </w:r>
      <w:r w:rsidR="000949F0" w:rsidRPr="003D1E07">
        <w:rPr>
          <w:rStyle w:val="Zvraznn"/>
        </w:rPr>
        <w:fldChar w:fldCharType="end"/>
      </w:r>
      <w:r w:rsidR="00E83C8F" w:rsidRPr="003D1E07">
        <w:t xml:space="preserve">) </w:t>
      </w:r>
      <w:r w:rsidR="003D7AEE" w:rsidRPr="003D1E07">
        <w:t xml:space="preserve">se díky </w:t>
      </w:r>
      <w:r w:rsidR="008F24C9" w:rsidRPr="003D1E07">
        <w:t xml:space="preserve">této </w:t>
      </w:r>
      <w:r w:rsidR="00FD709C" w:rsidRPr="003D1E07">
        <w:t>specifické formě</w:t>
      </w:r>
      <w:r w:rsidR="00E37CCA" w:rsidRPr="003D1E07">
        <w:t xml:space="preserve"> </w:t>
      </w:r>
      <w:r w:rsidR="003D7AEE" w:rsidRPr="003D1E07">
        <w:t>uni</w:t>
      </w:r>
      <w:r w:rsidR="00E37CCA" w:rsidRPr="003D1E07">
        <w:t>verzál</w:t>
      </w:r>
      <w:r w:rsidR="0814067B" w:rsidRPr="003D1E07">
        <w:t>n</w:t>
      </w:r>
      <w:r w:rsidR="00E37CCA" w:rsidRPr="003D1E07">
        <w:t>osti a potenciality</w:t>
      </w:r>
      <w:r w:rsidR="003D7AEE" w:rsidRPr="003D1E07">
        <w:t xml:space="preserve"> liší jak od </w:t>
      </w:r>
      <w:r w:rsidR="002F18C0" w:rsidRPr="003D1E07">
        <w:t xml:space="preserve">aktuální </w:t>
      </w:r>
      <w:r w:rsidR="003D7AEE" w:rsidRPr="003D1E07">
        <w:t>formy v hylemorfické první substanci, tak i od nemateriá</w:t>
      </w:r>
      <w:r w:rsidR="002F18C0" w:rsidRPr="003D1E07">
        <w:t>l</w:t>
      </w:r>
      <w:r w:rsidR="003D7AEE" w:rsidRPr="003D1E07">
        <w:t>ní a aktuální ko</w:t>
      </w:r>
      <w:r w:rsidR="002F18C0" w:rsidRPr="003D1E07">
        <w:t>sm</w:t>
      </w:r>
      <w:r w:rsidR="003D7AEE" w:rsidRPr="003D1E07">
        <w:t>ické formy</w:t>
      </w:r>
      <w:r w:rsidR="08666024" w:rsidRPr="003D1E07">
        <w:t xml:space="preserve"> jako </w:t>
      </w:r>
      <w:r w:rsidR="00367BAB">
        <w:t xml:space="preserve">reálné </w:t>
      </w:r>
      <w:r w:rsidR="08666024" w:rsidRPr="003D1E07">
        <w:t>první substance</w:t>
      </w:r>
      <w:r w:rsidR="003D7AEE" w:rsidRPr="003D1E07">
        <w:t xml:space="preserve">. </w:t>
      </w:r>
      <w:r w:rsidR="001F333C" w:rsidRPr="003D1E07">
        <w:t xml:space="preserve">Vzhledem k hylemorfické struktuře reality </w:t>
      </w:r>
      <w:r w:rsidR="08242A41" w:rsidRPr="003D1E07">
        <w:t xml:space="preserve">a také vzhledem k působení </w:t>
      </w:r>
      <w:r w:rsidR="08B779FB" w:rsidRPr="003D1E07">
        <w:t xml:space="preserve">metafyzického </w:t>
      </w:r>
      <w:r w:rsidR="08242A41" w:rsidRPr="003D1E07">
        <w:t xml:space="preserve">dativu </w:t>
      </w:r>
      <w:r w:rsidR="001F333C" w:rsidRPr="003D1E07">
        <w:t xml:space="preserve">je lidský </w:t>
      </w:r>
      <w:r w:rsidR="001F333C" w:rsidRPr="003D1E07">
        <w:rPr>
          <w:i/>
        </w:rPr>
        <w:t>intellectus agens</w:t>
      </w:r>
      <w:r w:rsidR="00DF1F0F" w:rsidRPr="003D1E07">
        <w:rPr>
          <w:i/>
        </w:rPr>
        <w:fldChar w:fldCharType="begin"/>
      </w:r>
      <w:r w:rsidR="00DF1F0F" w:rsidRPr="003D1E07">
        <w:instrText xml:space="preserve"> XE "</w:instrText>
      </w:r>
      <w:r w:rsidR="00DF1F0F" w:rsidRPr="003D1E07">
        <w:rPr>
          <w:i/>
        </w:rPr>
        <w:instrText>intellectus agens:</w:instrText>
      </w:r>
      <w:r w:rsidR="00332701" w:rsidRPr="003D1E07">
        <w:instrText>Al-</w:instrText>
      </w:r>
      <w:r w:rsidR="008E02F5" w:rsidRPr="003D1E07">
        <w:instrText>Fárábí</w:instrText>
      </w:r>
      <w:r w:rsidR="00DF1F0F" w:rsidRPr="003D1E07">
        <w:instrText xml:space="preserve">" </w:instrText>
      </w:r>
      <w:r w:rsidR="00DF1F0F" w:rsidRPr="003D1E07">
        <w:rPr>
          <w:i/>
        </w:rPr>
        <w:fldChar w:fldCharType="end"/>
      </w:r>
      <w:r w:rsidR="001F333C" w:rsidRPr="003D1E07">
        <w:t xml:space="preserve"> činný skrze </w:t>
      </w:r>
      <w:r w:rsidR="001F333C" w:rsidRPr="003D1E07">
        <w:rPr>
          <w:i/>
        </w:rPr>
        <w:t>intellectus possibilis</w:t>
      </w:r>
      <w:r w:rsidR="00491C17">
        <w:t>.</w:t>
      </w:r>
    </w:p>
    <w:p w14:paraId="2458D17C" w14:textId="77777777" w:rsidR="00322927" w:rsidRDefault="08247EA1" w:rsidP="00491C17">
      <w:pPr>
        <w:ind w:firstLine="397"/>
      </w:pPr>
      <w:r w:rsidRPr="003D1E07">
        <w:t>Al-</w:t>
      </w:r>
      <w:r w:rsidR="00DB338B" w:rsidRPr="003D1E07">
        <w:t>Fá</w:t>
      </w:r>
      <w:r w:rsidR="0038485B" w:rsidRPr="003D1E07">
        <w:t>rábí však sledu</w:t>
      </w:r>
      <w:r w:rsidR="00DB338B" w:rsidRPr="003D1E07">
        <w:t>je ve výkladu poznání i neoplato</w:t>
      </w:r>
      <w:r w:rsidR="0038485B" w:rsidRPr="003D1E07">
        <w:t>nskou linii</w:t>
      </w:r>
      <w:r w:rsidR="082332EB" w:rsidRPr="003D1E07">
        <w:t xml:space="preserve"> uvedenou výše</w:t>
      </w:r>
      <w:r w:rsidR="0814067B" w:rsidRPr="003D1E07">
        <w:t xml:space="preserve"> (kap. 2.1)</w:t>
      </w:r>
      <w:r w:rsidR="0038485B" w:rsidRPr="003D1E07">
        <w:t xml:space="preserve">. </w:t>
      </w:r>
      <w:r w:rsidR="001B6212" w:rsidRPr="003D1E07">
        <w:t xml:space="preserve">Pojetí pravdy dané </w:t>
      </w:r>
      <w:r w:rsidR="009C5D8F" w:rsidRPr="003D1E07">
        <w:t xml:space="preserve">v citované pasáži </w:t>
      </w:r>
      <w:r w:rsidR="009C5D8F" w:rsidRPr="003D1E07">
        <w:rPr>
          <w:i/>
        </w:rPr>
        <w:t>Met</w:t>
      </w:r>
      <w:r w:rsidR="004A5873" w:rsidRPr="003D1E07">
        <w:t>. VI</w:t>
      </w:r>
      <w:r w:rsidR="009C5D8F" w:rsidRPr="003D1E07">
        <w:t xml:space="preserve">.2 </w:t>
      </w:r>
      <w:r w:rsidR="00124F0B" w:rsidRPr="003D1E07">
        <w:t xml:space="preserve">je určeno </w:t>
      </w:r>
      <w:r w:rsidR="001B6212" w:rsidRPr="003D1E07">
        <w:t xml:space="preserve">přímo vzhledem k bytí a </w:t>
      </w:r>
      <w:r w:rsidR="00C90729" w:rsidRPr="003D1E07">
        <w:t xml:space="preserve">nachází se na </w:t>
      </w:r>
      <w:r w:rsidR="001B6212" w:rsidRPr="003D1E07">
        <w:t>stejn</w:t>
      </w:r>
      <w:r w:rsidR="00C90729" w:rsidRPr="003D1E07">
        <w:t>é úrovni</w:t>
      </w:r>
      <w:r w:rsidR="001B6212" w:rsidRPr="003D1E07">
        <w:t xml:space="preserve"> jako kategoriální predikace. </w:t>
      </w:r>
      <w:r w:rsidR="080413EF" w:rsidRPr="003D1E07">
        <w:t xml:space="preserve">Pravdivé poznání </w:t>
      </w:r>
      <w:r w:rsidR="08697DB6" w:rsidRPr="003D1E07">
        <w:t xml:space="preserve">proto </w:t>
      </w:r>
      <w:r w:rsidR="00483B58" w:rsidRPr="003D1E07">
        <w:t xml:space="preserve">musí provádět adekvaci </w:t>
      </w:r>
      <w:r w:rsidR="08697DB6" w:rsidRPr="003D1E07">
        <w:t xml:space="preserve">také </w:t>
      </w:r>
      <w:r w:rsidR="00483B58" w:rsidRPr="003D1E07">
        <w:t xml:space="preserve">vzhledem k věčným </w:t>
      </w:r>
      <w:r w:rsidR="080413EF" w:rsidRPr="003D1E07">
        <w:t xml:space="preserve">kosmickým nemateriálním </w:t>
      </w:r>
      <w:r w:rsidR="00483B58" w:rsidRPr="003D1E07">
        <w:t>formám</w:t>
      </w:r>
      <w:r w:rsidR="080413EF" w:rsidRPr="003D1E07">
        <w:t xml:space="preserve"> a inteligencím</w:t>
      </w:r>
      <w:r w:rsidR="00483B58" w:rsidRPr="003D1E07">
        <w:t xml:space="preserve">. </w:t>
      </w:r>
      <w:r w:rsidR="080413EF" w:rsidRPr="003D1E07">
        <w:t xml:space="preserve">Toto poznání podle dialogu </w:t>
      </w:r>
      <w:r w:rsidR="080413EF" w:rsidRPr="003D1E07">
        <w:rPr>
          <w:i/>
        </w:rPr>
        <w:t>Theaitetos</w:t>
      </w:r>
      <w:r w:rsidR="080413EF" w:rsidRPr="003D1E07">
        <w:t xml:space="preserve"> připodobňuje člověka k božskému </w:t>
      </w:r>
      <w:r w:rsidR="00F17800">
        <w:t xml:space="preserve">světu </w:t>
      </w:r>
      <w:r w:rsidR="080413EF" w:rsidRPr="003D1E07">
        <w:t xml:space="preserve">(ὁμοίωσις θεῷ κατὰ τὸ δυνατόν, </w:t>
      </w:r>
      <w:r w:rsidR="080413EF" w:rsidRPr="003D1E07">
        <w:rPr>
          <w:i/>
        </w:rPr>
        <w:t>Theait</w:t>
      </w:r>
      <w:r w:rsidR="080413EF" w:rsidRPr="003D1E07">
        <w:t>. 176b1‒2</w:t>
      </w:r>
      <w:r w:rsidR="080413EF" w:rsidRPr="003D1E07">
        <w:fldChar w:fldCharType="begin"/>
      </w:r>
      <w:r w:rsidR="080413EF" w:rsidRPr="003D1E07">
        <w:instrText xml:space="preserve"> XE "Platon:</w:instrText>
      </w:r>
      <w:r w:rsidR="080413EF" w:rsidRPr="003D1E07">
        <w:rPr>
          <w:i/>
        </w:rPr>
        <w:instrText>Theait</w:instrText>
      </w:r>
      <w:r w:rsidR="080413EF" w:rsidRPr="003D1E07">
        <w:instrText xml:space="preserve">. 176b1‒2" </w:instrText>
      </w:r>
      <w:r w:rsidR="080413EF" w:rsidRPr="003D1E07">
        <w:fldChar w:fldCharType="end"/>
      </w:r>
      <w:r w:rsidR="00957EFB" w:rsidRPr="003D1E07">
        <w:t>). P</w:t>
      </w:r>
      <w:r w:rsidR="080413EF" w:rsidRPr="003D1E07">
        <w:t xml:space="preserve">odle </w:t>
      </w:r>
      <w:r w:rsidR="080413EF" w:rsidRPr="003D1E07">
        <w:rPr>
          <w:i/>
        </w:rPr>
        <w:t>Etiky Nikomachovy</w:t>
      </w:r>
      <w:r w:rsidR="080413EF" w:rsidRPr="003D1E07">
        <w:t xml:space="preserve"> završuje nesmrtelný božský potenciál v člověku to nej</w:t>
      </w:r>
      <w:r w:rsidR="000F59E1">
        <w:t xml:space="preserve">lepší </w:t>
      </w:r>
      <w:r w:rsidR="080413EF" w:rsidRPr="003D1E07">
        <w:t>co v něm bytuje (ἀθανατίζειν...πρὸς τὸ ζῆν κατὰ τὸ κράτιστον τῶν ἐν αὑτῷ, E.N. 1177b33‒34</w:t>
      </w:r>
      <w:r w:rsidR="080413EF" w:rsidRPr="003D1E07">
        <w:fldChar w:fldCharType="begin"/>
      </w:r>
      <w:r w:rsidR="080413EF" w:rsidRPr="003D1E07">
        <w:instrText xml:space="preserve"> XE "Aristoteles:E.N. 1177b33‒34" </w:instrText>
      </w:r>
      <w:r w:rsidR="080413EF" w:rsidRPr="003D1E07">
        <w:fldChar w:fldCharType="end"/>
      </w:r>
      <w:r w:rsidR="080413EF" w:rsidRPr="003D1E07">
        <w:t xml:space="preserve">). </w:t>
      </w:r>
      <w:r w:rsidR="082D7791" w:rsidRPr="003D1E07">
        <w:t>V tomto modelu poznání jsou p</w:t>
      </w:r>
      <w:r w:rsidR="00051FE3" w:rsidRPr="003D1E07">
        <w:t xml:space="preserve">oznávací formy dány ve schématu univoční či analogické </w:t>
      </w:r>
      <w:r w:rsidR="0008479E" w:rsidRPr="003D1E07">
        <w:t xml:space="preserve">podobnosti </w:t>
      </w:r>
      <w:r w:rsidR="00880439" w:rsidRPr="003D1E07">
        <w:t>nižších forem</w:t>
      </w:r>
      <w:r w:rsidR="0008479E" w:rsidRPr="003D1E07">
        <w:t>, kt</w:t>
      </w:r>
      <w:r w:rsidR="00880439" w:rsidRPr="003D1E07">
        <w:t>eré participují na světě</w:t>
      </w:r>
      <w:r w:rsidR="00051FE3" w:rsidRPr="003D1E07">
        <w:t xml:space="preserve"> vyšších forem. </w:t>
      </w:r>
      <w:r w:rsidR="002A6CA4">
        <w:t>A</w:t>
      </w:r>
      <w:r w:rsidR="00F50916" w:rsidRPr="003D1E07">
        <w:t xml:space="preserve">ktuální </w:t>
      </w:r>
      <w:r w:rsidR="00051FE3" w:rsidRPr="003D1E07">
        <w:t xml:space="preserve">forma </w:t>
      </w:r>
      <w:r w:rsidR="002A6CA4">
        <w:t>p</w:t>
      </w:r>
      <w:r w:rsidR="002A6CA4" w:rsidRPr="003D1E07">
        <w:t xml:space="preserve">ůsobící </w:t>
      </w:r>
      <w:r w:rsidR="002A6CA4">
        <w:t xml:space="preserve">na poznání </w:t>
      </w:r>
      <w:r w:rsidR="00051FE3" w:rsidRPr="003D1E07">
        <w:t xml:space="preserve">je </w:t>
      </w:r>
      <w:r w:rsidR="008F24C9" w:rsidRPr="003D1E07">
        <w:t xml:space="preserve">v neoplatonismu </w:t>
      </w:r>
      <w:r w:rsidR="00051FE3" w:rsidRPr="003D1E07">
        <w:t xml:space="preserve">dána </w:t>
      </w:r>
      <w:r w:rsidR="002A6CA4">
        <w:t>skrze emanace</w:t>
      </w:r>
      <w:r w:rsidR="00081145" w:rsidRPr="003D1E07">
        <w:t>. V</w:t>
      </w:r>
      <w:r w:rsidR="00051FE3" w:rsidRPr="003D1E07">
        <w:t xml:space="preserve">yšší forma </w:t>
      </w:r>
      <w:r w:rsidR="00081145" w:rsidRPr="003D1E07">
        <w:t xml:space="preserve">klesá </w:t>
      </w:r>
      <w:r w:rsidR="0008479E" w:rsidRPr="003D1E07">
        <w:t xml:space="preserve">v procesu katabáze </w:t>
      </w:r>
      <w:r w:rsidR="00A513B2" w:rsidRPr="003D1E07">
        <w:t>na n</w:t>
      </w:r>
      <w:r w:rsidR="00051FE3" w:rsidRPr="003D1E07">
        <w:t xml:space="preserve">ižší </w:t>
      </w:r>
      <w:r w:rsidR="00A513B2" w:rsidRPr="003D1E07">
        <w:t xml:space="preserve">stupeň bytí </w:t>
      </w:r>
      <w:r w:rsidR="00081145" w:rsidRPr="003D1E07">
        <w:t xml:space="preserve">a tím je degradována </w:t>
      </w:r>
      <w:r w:rsidR="00A513B2" w:rsidRPr="003D1E07">
        <w:t xml:space="preserve">v </w:t>
      </w:r>
      <w:r w:rsidR="00051FE3" w:rsidRPr="003D1E07">
        <w:t xml:space="preserve">kontingentní materii. </w:t>
      </w:r>
      <w:r w:rsidR="00AD07B7" w:rsidRPr="003D1E07">
        <w:t>Pak musí být a</w:t>
      </w:r>
      <w:r w:rsidR="08CD6CE7" w:rsidRPr="003D1E07">
        <w:t xml:space="preserve">dekvace intelektu a věci dána </w:t>
      </w:r>
      <w:r w:rsidR="00AD07B7" w:rsidRPr="003D1E07">
        <w:t xml:space="preserve">přímo a bez kateroriální predikace založené na abstrakci ze smyslů. </w:t>
      </w:r>
      <w:r w:rsidR="0058565E" w:rsidRPr="003D1E07">
        <w:t xml:space="preserve">Proces poznání </w:t>
      </w:r>
      <w:r w:rsidR="008F24C9" w:rsidRPr="003D1E07">
        <w:t xml:space="preserve">subsistentních a oddělených </w:t>
      </w:r>
      <w:r w:rsidR="0058565E" w:rsidRPr="003D1E07">
        <w:t xml:space="preserve">intelligibilních forem v lidské duši zajišťuje </w:t>
      </w:r>
      <w:r w:rsidR="08B812B2" w:rsidRPr="003D1E07">
        <w:t xml:space="preserve">Alexandrův </w:t>
      </w:r>
      <w:r w:rsidR="08D052FB" w:rsidRPr="003D1E07">
        <w:t xml:space="preserve">darovaný </w:t>
      </w:r>
      <w:r w:rsidR="0058565E" w:rsidRPr="003D1E07">
        <w:t>intelekt (</w:t>
      </w:r>
      <w:r w:rsidR="0058565E" w:rsidRPr="003D1E07">
        <w:rPr>
          <w:i/>
        </w:rPr>
        <w:t>intellectus adeptus</w:t>
      </w:r>
      <w:r w:rsidR="00332701" w:rsidRPr="003D1E07">
        <w:rPr>
          <w:i/>
        </w:rPr>
        <w:fldChar w:fldCharType="begin"/>
      </w:r>
      <w:r w:rsidR="00332701" w:rsidRPr="003D1E07">
        <w:instrText xml:space="preserve"> XE "</w:instrText>
      </w:r>
      <w:r w:rsidR="00332701" w:rsidRPr="003D1E07">
        <w:rPr>
          <w:i/>
        </w:rPr>
        <w:instrText>intellectus adeptus</w:instrText>
      </w:r>
      <w:r w:rsidR="00332701" w:rsidRPr="003D1E07">
        <w:instrText>:Al-</w:instrText>
      </w:r>
      <w:r w:rsidR="008E02F5" w:rsidRPr="003D1E07">
        <w:instrText>Fárábí</w:instrText>
      </w:r>
      <w:r w:rsidR="00332701" w:rsidRPr="003D1E07">
        <w:instrText xml:space="preserve">" </w:instrText>
      </w:r>
      <w:r w:rsidR="00332701" w:rsidRPr="003D1E07">
        <w:rPr>
          <w:i/>
        </w:rPr>
        <w:fldChar w:fldCharType="end"/>
      </w:r>
      <w:r w:rsidR="0058565E" w:rsidRPr="003D1E07">
        <w:t xml:space="preserve">). Historie tohoto typu intelektu v arabštině se váže na překlad Alexandrova komentáře k </w:t>
      </w:r>
      <w:r w:rsidR="00B713C5" w:rsidRPr="003D1E07">
        <w:rPr>
          <w:i/>
        </w:rPr>
        <w:t>De anima</w:t>
      </w:r>
      <w:r w:rsidR="0058565E" w:rsidRPr="003D1E07">
        <w:t xml:space="preserve">. </w:t>
      </w:r>
      <w:r w:rsidR="00671125" w:rsidRPr="003D1E07">
        <w:t xml:space="preserve">Výše citovaný </w:t>
      </w:r>
      <w:r w:rsidR="084B7EDC" w:rsidRPr="003D1E07">
        <w:t xml:space="preserve">oddíl </w:t>
      </w:r>
      <w:r w:rsidR="00671125" w:rsidRPr="003D1E07">
        <w:t>popisuje aktivní intelekt působící zvnějšku na lidské poznání (ὁ θύραθεν νοῦς,</w:t>
      </w:r>
      <w:r w:rsidR="08592BB6" w:rsidRPr="003D1E07">
        <w:t xml:space="preserve"> </w:t>
      </w:r>
      <w:r w:rsidR="08592BB6" w:rsidRPr="003D1E07">
        <w:rPr>
          <w:rStyle w:val="TextpoznpodarouChar"/>
          <w:i/>
        </w:rPr>
        <w:t>De anima liber cum Mantissa</w:t>
      </w:r>
      <w:r w:rsidR="00671125" w:rsidRPr="003D1E07">
        <w:t xml:space="preserve"> 110.4</w:t>
      </w:r>
      <w:r w:rsidR="08AD5A4D" w:rsidRPr="003D1E07">
        <w:rPr>
          <w:szCs w:val="15"/>
        </w:rPr>
        <w:fldChar w:fldCharType="begin"/>
      </w:r>
      <w:r w:rsidR="08AD5A4D" w:rsidRPr="003D1E07">
        <w:instrText xml:space="preserve"> XE "Alexander Afrodisias:</w:instrText>
      </w:r>
      <w:r w:rsidR="08AD5A4D" w:rsidRPr="003D1E07">
        <w:rPr>
          <w:rStyle w:val="TextpoznpodarouChar"/>
          <w:i/>
        </w:rPr>
        <w:instrText>De anima liber cum Mantissa</w:instrText>
      </w:r>
      <w:r w:rsidR="08AD5A4D" w:rsidRPr="003D1E07">
        <w:rPr>
          <w:i/>
          <w:color w:val="000000"/>
        </w:rPr>
        <w:instrText xml:space="preserve"> </w:instrText>
      </w:r>
      <w:r w:rsidR="08AD5A4D" w:rsidRPr="003D1E07">
        <w:rPr>
          <w:color w:val="000000"/>
        </w:rPr>
        <w:instrText>110.4</w:instrText>
      </w:r>
      <w:r w:rsidR="08AD5A4D" w:rsidRPr="003D1E07">
        <w:instrText xml:space="preserve">" </w:instrText>
      </w:r>
      <w:r w:rsidR="08AD5A4D" w:rsidRPr="003D1E07">
        <w:rPr>
          <w:szCs w:val="15"/>
        </w:rPr>
        <w:fldChar w:fldCharType="end"/>
      </w:r>
      <w:r w:rsidR="00671125" w:rsidRPr="003D1E07">
        <w:t>). Tento termín byl přeložen do arabštiny jako „přijatý intelekt“ (</w:t>
      </w:r>
      <w:r w:rsidR="00671125" w:rsidRPr="003D1E07">
        <w:rPr>
          <w:i/>
        </w:rPr>
        <w:t>ʿagl mustafād</w:t>
      </w:r>
      <w:r w:rsidR="00671125" w:rsidRPr="003D1E07">
        <w:t xml:space="preserve">) a posunul výklad intelektuálního poznání směrem k neoplatonismu (Geoffroy 2002). </w:t>
      </w:r>
      <w:r w:rsidR="00DB338B" w:rsidRPr="003D1E07">
        <w:t>Al</w:t>
      </w:r>
      <w:r w:rsidR="00DB338B" w:rsidRPr="003D1E07">
        <w:noBreakHyphen/>
        <w:t>Fá</w:t>
      </w:r>
      <w:r w:rsidR="0058565E" w:rsidRPr="003D1E07">
        <w:t xml:space="preserve">rábí považuje </w:t>
      </w:r>
      <w:r w:rsidR="00DB338B" w:rsidRPr="003D1E07">
        <w:t>darovaný intelekt</w:t>
      </w:r>
      <w:r w:rsidR="0058565E" w:rsidRPr="003D1E07">
        <w:t xml:space="preserve"> </w:t>
      </w:r>
      <w:r w:rsidR="00DB338B" w:rsidRPr="003D1E07">
        <w:t>(</w:t>
      </w:r>
      <w:r w:rsidR="00DB338B" w:rsidRPr="003D1E07">
        <w:rPr>
          <w:i/>
        </w:rPr>
        <w:t>intellectus adeptus</w:t>
      </w:r>
      <w:r w:rsidR="00DB338B" w:rsidRPr="003D1E07">
        <w:t xml:space="preserve">) </w:t>
      </w:r>
      <w:r w:rsidR="0058565E" w:rsidRPr="003D1E07">
        <w:t xml:space="preserve">za poslední </w:t>
      </w:r>
      <w:r w:rsidR="00514E45" w:rsidRPr="003D1E07">
        <w:t xml:space="preserve">a </w:t>
      </w:r>
      <w:r w:rsidR="08210670" w:rsidRPr="003D1E07">
        <w:t>n</w:t>
      </w:r>
      <w:r w:rsidR="00514E45" w:rsidRPr="003D1E07">
        <w:t xml:space="preserve">ejvyšší </w:t>
      </w:r>
      <w:r w:rsidR="0058565E" w:rsidRPr="003D1E07">
        <w:t>sféru lidské intelektuální aktivity</w:t>
      </w:r>
      <w:r w:rsidR="00514E45" w:rsidRPr="003D1E07">
        <w:t xml:space="preserve">, jež hraničí s </w:t>
      </w:r>
      <w:r w:rsidR="0058565E" w:rsidRPr="003D1E07">
        <w:t>působení</w:t>
      </w:r>
      <w:r w:rsidR="08210670" w:rsidRPr="003D1E07">
        <w:t>m</w:t>
      </w:r>
      <w:r w:rsidR="0058565E" w:rsidRPr="003D1E07">
        <w:t xml:space="preserve"> oddělených kosmických </w:t>
      </w:r>
      <w:r w:rsidR="0058565E" w:rsidRPr="003D1E07">
        <w:lastRenderedPageBreak/>
        <w:t xml:space="preserve">inteligencí. </w:t>
      </w:r>
      <w:r w:rsidR="00EE4E1B" w:rsidRPr="003D1E07">
        <w:t>Spojením receptivního intelektu s darovaným intelek</w:t>
      </w:r>
      <w:r w:rsidR="00F4722C">
        <w:t>tem vzniká figura aktualizovaného</w:t>
      </w:r>
      <w:r w:rsidR="00EE4E1B" w:rsidRPr="003D1E07">
        <w:t xml:space="preserve"> intelektu (</w:t>
      </w:r>
      <w:r w:rsidR="00EE4E1B" w:rsidRPr="003D1E07">
        <w:rPr>
          <w:i/>
        </w:rPr>
        <w:t>intellectus in effectu</w:t>
      </w:r>
      <w:r w:rsidR="00D44795" w:rsidRPr="003D1E07">
        <w:rPr>
          <w:i/>
        </w:rPr>
        <w:fldChar w:fldCharType="begin"/>
      </w:r>
      <w:r w:rsidR="00D44795" w:rsidRPr="003D1E07">
        <w:instrText xml:space="preserve"> XE "</w:instrText>
      </w:r>
      <w:r w:rsidR="00D44795" w:rsidRPr="003D1E07">
        <w:rPr>
          <w:i/>
        </w:rPr>
        <w:instrText>intellectus in effectu</w:instrText>
      </w:r>
      <w:r w:rsidR="00D44795" w:rsidRPr="003D1E07">
        <w:instrText xml:space="preserve">" </w:instrText>
      </w:r>
      <w:r w:rsidR="00D44795" w:rsidRPr="003D1E07">
        <w:rPr>
          <w:i/>
        </w:rPr>
        <w:fldChar w:fldCharType="end"/>
      </w:r>
      <w:r w:rsidR="00EE4E1B" w:rsidRPr="003D1E07">
        <w:t>). Tím je poznání oddělených inteligibilních kosmických forem dáno na lidský způsob</w:t>
      </w:r>
      <w:r w:rsidR="00CA1099" w:rsidRPr="003D1E07">
        <w:t xml:space="preserve"> </w:t>
      </w:r>
      <w:r w:rsidR="0036546D" w:rsidRPr="003D1E07">
        <w:t xml:space="preserve">i </w:t>
      </w:r>
      <w:r w:rsidR="00CA1099" w:rsidRPr="003D1E07">
        <w:t xml:space="preserve">v přímém </w:t>
      </w:r>
      <w:r w:rsidR="00874074" w:rsidRPr="003D1E07">
        <w:t>neoplatonsk</w:t>
      </w:r>
      <w:r w:rsidR="00141DD2" w:rsidRPr="003D1E07">
        <w:t xml:space="preserve">ém </w:t>
      </w:r>
      <w:r w:rsidR="00CA1099" w:rsidRPr="003D1E07">
        <w:t>náhledu</w:t>
      </w:r>
      <w:r w:rsidR="0036546D" w:rsidRPr="003D1E07">
        <w:t xml:space="preserve">, který existuje paralelně s </w:t>
      </w:r>
      <w:r w:rsidR="00141DD2" w:rsidRPr="003D1E07">
        <w:t xml:space="preserve">aristotelským </w:t>
      </w:r>
      <w:r w:rsidR="0036546D" w:rsidRPr="003D1E07">
        <w:t>poznáním skrze abstrakci</w:t>
      </w:r>
      <w:r w:rsidR="00EE4E1B" w:rsidRPr="003D1E07">
        <w:t xml:space="preserve">. </w:t>
      </w:r>
      <w:r w:rsidR="00853761" w:rsidRPr="003D1E07">
        <w:t xml:space="preserve">Lidský </w:t>
      </w:r>
      <w:r w:rsidR="00853761" w:rsidRPr="003D1E07">
        <w:rPr>
          <w:i/>
        </w:rPr>
        <w:t>intellectus adeptus</w:t>
      </w:r>
      <w:r w:rsidR="00853761" w:rsidRPr="003D1E07">
        <w:t xml:space="preserve"> se liší od </w:t>
      </w:r>
      <w:r w:rsidR="00853761" w:rsidRPr="003D1E07">
        <w:rPr>
          <w:i/>
        </w:rPr>
        <w:t>intellectus agens</w:t>
      </w:r>
      <w:r w:rsidR="00DF1F0F" w:rsidRPr="003D1E07">
        <w:rPr>
          <w:i/>
        </w:rPr>
        <w:fldChar w:fldCharType="begin"/>
      </w:r>
      <w:r w:rsidR="00DF1F0F" w:rsidRPr="003D1E07">
        <w:instrText xml:space="preserve"> XE "</w:instrText>
      </w:r>
      <w:r w:rsidR="00DF1F0F" w:rsidRPr="003D1E07">
        <w:rPr>
          <w:i/>
        </w:rPr>
        <w:instrText>intellectus a</w:instrText>
      </w:r>
      <w:r w:rsidR="00332701" w:rsidRPr="003D1E07">
        <w:rPr>
          <w:i/>
        </w:rPr>
        <w:instrText>deptus</w:instrText>
      </w:r>
      <w:r w:rsidR="00DF1F0F" w:rsidRPr="003D1E07">
        <w:instrText>:</w:instrText>
      </w:r>
      <w:r w:rsidR="00332701" w:rsidRPr="003D1E07">
        <w:instrText>Al-</w:instrText>
      </w:r>
      <w:r w:rsidR="008E02F5" w:rsidRPr="003D1E07">
        <w:instrText>Fárábí</w:instrText>
      </w:r>
      <w:r w:rsidR="00DF1F0F" w:rsidRPr="003D1E07">
        <w:instrText xml:space="preserve">" </w:instrText>
      </w:r>
      <w:r w:rsidR="00DF1F0F" w:rsidRPr="003D1E07">
        <w:rPr>
          <w:i/>
        </w:rPr>
        <w:fldChar w:fldCharType="end"/>
      </w:r>
      <w:r w:rsidR="00853761" w:rsidRPr="003D1E07">
        <w:t xml:space="preserve"> hvězdných sfér</w:t>
      </w:r>
      <w:r w:rsidR="008B2CA8" w:rsidRPr="003D1E07">
        <w:t xml:space="preserve"> tím, že je receptivní a poznává pouze v potenci.</w:t>
      </w:r>
      <w:r w:rsidR="00853761" w:rsidRPr="003D1E07">
        <w:t xml:space="preserve"> </w:t>
      </w:r>
      <w:r w:rsidR="00EE4E1B" w:rsidRPr="003D1E07">
        <w:t xml:space="preserve">Kosmické inteligence </w:t>
      </w:r>
      <w:r w:rsidR="0024788B" w:rsidRPr="003D1E07">
        <w:t>nemají</w:t>
      </w:r>
      <w:r w:rsidR="0024788B">
        <w:t xml:space="preserve"> receptivní intelekt</w:t>
      </w:r>
      <w:r w:rsidR="00EE4E1B" w:rsidRPr="003D1E07">
        <w:t xml:space="preserve">, protože jsou nemateriální a plně aktuální. </w:t>
      </w:r>
      <w:r w:rsidR="00BA182B" w:rsidRPr="003D1E07">
        <w:t>Kosmický č</w:t>
      </w:r>
      <w:r w:rsidR="001E03BF" w:rsidRPr="003D1E07">
        <w:t>inný intelekt</w:t>
      </w:r>
      <w:r w:rsidR="08635B7B" w:rsidRPr="003D1E07">
        <w:t xml:space="preserve"> působí přímo, protože díky své aktualitě</w:t>
      </w:r>
      <w:r w:rsidR="001E03BF" w:rsidRPr="003D1E07">
        <w:t xml:space="preserve"> vtiskuje </w:t>
      </w:r>
      <w:r w:rsidR="00BA182B" w:rsidRPr="003D1E07">
        <w:t xml:space="preserve">poznávané </w:t>
      </w:r>
      <w:r w:rsidR="001E03BF" w:rsidRPr="003D1E07">
        <w:t xml:space="preserve">formy do </w:t>
      </w:r>
      <w:r w:rsidR="00BA182B" w:rsidRPr="003D1E07">
        <w:t xml:space="preserve">lidského </w:t>
      </w:r>
      <w:r w:rsidR="001E03BF" w:rsidRPr="003D1E07">
        <w:t>darovaného intelektu</w:t>
      </w:r>
      <w:r w:rsidR="00DB2B47" w:rsidRPr="003D1E07">
        <w:t>. Stejným způsobem ře</w:t>
      </w:r>
      <w:r w:rsidR="001E03BF" w:rsidRPr="003D1E07">
        <w:t xml:space="preserve">meslník aktivně formuje pasivní materii skrze vlastní ideu. </w:t>
      </w:r>
      <w:r w:rsidR="084D4C08" w:rsidRPr="003D1E07">
        <w:t xml:space="preserve">Toto schéma poznání sleduje aktivní obtisk inteligibilní formy do duše skrze predikaci </w:t>
      </w:r>
      <w:r w:rsidR="084D4C08" w:rsidRPr="003D1E07">
        <w:rPr>
          <w:i/>
        </w:rPr>
        <w:t>in artificialibus</w:t>
      </w:r>
      <w:r w:rsidR="084D4C08" w:rsidRPr="003D1E07">
        <w:rPr>
          <w:i/>
        </w:rPr>
        <w:fldChar w:fldCharType="begin"/>
      </w:r>
      <w:r w:rsidR="084D4C08" w:rsidRPr="003D1E07">
        <w:instrText xml:space="preserve"> XE "predikace:</w:instrText>
      </w:r>
      <w:r w:rsidR="084D4C08" w:rsidRPr="003D1E07">
        <w:rPr>
          <w:i/>
        </w:rPr>
        <w:instrText>in artificialibus</w:instrText>
      </w:r>
      <w:r w:rsidR="084D4C08" w:rsidRPr="003D1E07">
        <w:instrText xml:space="preserve">" </w:instrText>
      </w:r>
      <w:r w:rsidR="084D4C08" w:rsidRPr="003D1E07">
        <w:rPr>
          <w:i/>
        </w:rPr>
        <w:fldChar w:fldCharType="end"/>
      </w:r>
      <w:r w:rsidR="084D4C08" w:rsidRPr="003D1E07">
        <w:t>. Iluminační schéma se zásadně liší od procesu aristotelské abstrakce dané aktivací potenciálního intelektu směrem od akt</w:t>
      </w:r>
      <w:r w:rsidR="08300D1C" w:rsidRPr="003D1E07">
        <w:t>u</w:t>
      </w:r>
      <w:r w:rsidR="084D4C08" w:rsidRPr="003D1E07">
        <w:t xml:space="preserve">álního smyslového poznatku. </w:t>
      </w:r>
      <w:r w:rsidR="00C7799C" w:rsidRPr="003D1E07">
        <w:t xml:space="preserve">Ve druhém patře poznání </w:t>
      </w:r>
      <w:r w:rsidR="081A2B1C" w:rsidRPr="003D1E07">
        <w:t xml:space="preserve">daném iluminací od odděleného kosmického </w:t>
      </w:r>
      <w:r w:rsidR="081A2B1C" w:rsidRPr="003D1E07">
        <w:rPr>
          <w:i/>
        </w:rPr>
        <w:t xml:space="preserve">intellectus agens </w:t>
      </w:r>
      <w:r w:rsidR="00C7799C" w:rsidRPr="003D1E07">
        <w:t>hraje darovaný intelekt roli receptivního intelekt</w:t>
      </w:r>
      <w:r w:rsidR="08300D1C" w:rsidRPr="003D1E07">
        <w:t xml:space="preserve">u. Toto schéma </w:t>
      </w:r>
      <w:r w:rsidR="00EC1453" w:rsidRPr="003D1E07">
        <w:t xml:space="preserve">tematizuje Avicennův výklad </w:t>
      </w:r>
      <w:r w:rsidR="00EC1453" w:rsidRPr="003D1E07">
        <w:rPr>
          <w:i/>
        </w:rPr>
        <w:t>De anima</w:t>
      </w:r>
      <w:r w:rsidR="0827378C" w:rsidRPr="003D1E07">
        <w:t xml:space="preserve"> a j</w:t>
      </w:r>
      <w:r w:rsidR="009A3148" w:rsidRPr="003D1E07">
        <w:t xml:space="preserve">eho výklad sleduje </w:t>
      </w:r>
      <w:r w:rsidR="00874074" w:rsidRPr="003D1E07">
        <w:t>neoplatonsk</w:t>
      </w:r>
      <w:r w:rsidR="009A3148" w:rsidRPr="003D1E07">
        <w:t>ou</w:t>
      </w:r>
      <w:r w:rsidR="004E568C" w:rsidRPr="003D1E07">
        <w:t xml:space="preserve"> linii Al</w:t>
      </w:r>
      <w:r w:rsidR="00DB338B" w:rsidRPr="003D1E07">
        <w:t>-Fá</w:t>
      </w:r>
      <w:r w:rsidR="004E568C" w:rsidRPr="003D1E07">
        <w:t>rábího</w:t>
      </w:r>
      <w:r w:rsidR="009A3148" w:rsidRPr="003D1E07">
        <w:t xml:space="preserve"> danou</w:t>
      </w:r>
      <w:r w:rsidR="001B5070" w:rsidRPr="003D1E07">
        <w:t xml:space="preserve"> nasvícením smyslu jsoucna zezadu</w:t>
      </w:r>
      <w:r w:rsidR="005F5EE4" w:rsidRPr="003D1E07">
        <w:fldChar w:fldCharType="begin"/>
      </w:r>
      <w:r w:rsidR="005F5EE4" w:rsidRPr="003D1E07">
        <w:instrText xml:space="preserve"> XE "zjevování:nasvícení zezadu" </w:instrText>
      </w:r>
      <w:r w:rsidR="005F5EE4" w:rsidRPr="003D1E07">
        <w:fldChar w:fldCharType="end"/>
      </w:r>
      <w:r w:rsidR="004E568C" w:rsidRPr="003D1E07">
        <w:t xml:space="preserve">. </w:t>
      </w:r>
      <w:r w:rsidR="00C3432C" w:rsidRPr="003D1E07">
        <w:t>F</w:t>
      </w:r>
      <w:r w:rsidR="001E03BF" w:rsidRPr="003D1E07">
        <w:t xml:space="preserve">orma </w:t>
      </w:r>
      <w:r w:rsidR="00D734C0" w:rsidRPr="003D1E07">
        <w:t xml:space="preserve">se nazírá </w:t>
      </w:r>
      <w:r w:rsidR="001E03BF" w:rsidRPr="003D1E07">
        <w:t xml:space="preserve">přímo díky výkonu </w:t>
      </w:r>
      <w:r w:rsidR="001E03BF" w:rsidRPr="003D1E07">
        <w:rPr>
          <w:i/>
        </w:rPr>
        <w:t>intellectus adeptus</w:t>
      </w:r>
      <w:r w:rsidR="001E03BF" w:rsidRPr="003D1E07">
        <w:t xml:space="preserve"> soupodstatnému s </w:t>
      </w:r>
      <w:r w:rsidR="0827378C" w:rsidRPr="003D1E07">
        <w:t xml:space="preserve">odděleným </w:t>
      </w:r>
      <w:r w:rsidR="001E03BF" w:rsidRPr="003D1E07">
        <w:t xml:space="preserve">kosmickým </w:t>
      </w:r>
      <w:r w:rsidR="001E03BF" w:rsidRPr="003D1E07">
        <w:rPr>
          <w:i/>
        </w:rPr>
        <w:t>intellectus agens</w:t>
      </w:r>
      <w:r w:rsidR="001E03BF" w:rsidRPr="003D1E07">
        <w:t xml:space="preserve">. </w:t>
      </w:r>
      <w:r w:rsidR="009C5D8F" w:rsidRPr="003D1E07">
        <w:t>K</w:t>
      </w:r>
      <w:r w:rsidR="082A1F5D" w:rsidRPr="003D1E07">
        <w:t xml:space="preserve">oncept </w:t>
      </w:r>
      <w:r w:rsidR="00DE753F" w:rsidRPr="003D1E07">
        <w:t xml:space="preserve">pravdivého </w:t>
      </w:r>
      <w:r w:rsidR="00E15A2B" w:rsidRPr="003D1E07">
        <w:t xml:space="preserve">poznání vázaný na </w:t>
      </w:r>
      <w:r w:rsidR="082A1F5D" w:rsidRPr="003D1E07">
        <w:rPr>
          <w:i/>
        </w:rPr>
        <w:t>intellectus adeptus</w:t>
      </w:r>
      <w:r w:rsidR="082A1F5D" w:rsidRPr="003D1E07">
        <w:t xml:space="preserve"> tvrdí</w:t>
      </w:r>
      <w:r w:rsidR="08490555" w:rsidRPr="003D1E07">
        <w:t xml:space="preserve"> v duchu neoplatonismu</w:t>
      </w:r>
      <w:r w:rsidR="082A1F5D" w:rsidRPr="003D1E07">
        <w:t xml:space="preserve">, že </w:t>
      </w:r>
      <w:r w:rsidR="084E3A80" w:rsidRPr="003D1E07">
        <w:t xml:space="preserve">darovaný intelekt </w:t>
      </w:r>
      <w:r w:rsidR="004B325F" w:rsidRPr="003D1E07">
        <w:t xml:space="preserve">může </w:t>
      </w:r>
      <w:r w:rsidR="00992DDD" w:rsidRPr="003D1E07">
        <w:t xml:space="preserve">abstrahovat </w:t>
      </w:r>
      <w:r w:rsidR="002A6C67" w:rsidRPr="003D1E07">
        <w:t xml:space="preserve">tyto potenciální </w:t>
      </w:r>
      <w:r w:rsidR="00992DDD" w:rsidRPr="003D1E07">
        <w:t xml:space="preserve">formy </w:t>
      </w:r>
      <w:r w:rsidR="004B325F" w:rsidRPr="003D1E07">
        <w:t>prot</w:t>
      </w:r>
      <w:r w:rsidR="00992DDD" w:rsidRPr="003D1E07">
        <w:t>o</w:t>
      </w:r>
      <w:r w:rsidR="004B325F" w:rsidRPr="003D1E07">
        <w:t xml:space="preserve">, že jej </w:t>
      </w:r>
      <w:r w:rsidR="00992DDD" w:rsidRPr="003D1E07">
        <w:t>uschopní</w:t>
      </w:r>
      <w:r w:rsidR="00D94093" w:rsidRPr="003D1E07">
        <w:t xml:space="preserve"> oddělený </w:t>
      </w:r>
      <w:r w:rsidR="00992DDD" w:rsidRPr="003D1E07">
        <w:t>činný intelekt</w:t>
      </w:r>
      <w:r w:rsidR="00AB05D9" w:rsidRPr="003D1E07">
        <w:t xml:space="preserve">. </w:t>
      </w:r>
      <w:r w:rsidR="0827378C" w:rsidRPr="003D1E07">
        <w:t xml:space="preserve">Nasvícením od autonomních kosmických forem </w:t>
      </w:r>
      <w:r w:rsidR="003425D1" w:rsidRPr="003D1E07">
        <w:t xml:space="preserve">se aktivizuje </w:t>
      </w:r>
      <w:r w:rsidR="0827378C" w:rsidRPr="003D1E07">
        <w:t xml:space="preserve">darovaný </w:t>
      </w:r>
      <w:r w:rsidR="003425D1" w:rsidRPr="003D1E07">
        <w:t xml:space="preserve">intelekt </w:t>
      </w:r>
      <w:r w:rsidR="0827378C" w:rsidRPr="003D1E07">
        <w:t xml:space="preserve">na vyšší stupeň </w:t>
      </w:r>
      <w:r w:rsidR="003425D1" w:rsidRPr="003D1E07">
        <w:t>(</w:t>
      </w:r>
      <w:r w:rsidR="003425D1" w:rsidRPr="003D1E07">
        <w:rPr>
          <w:i/>
        </w:rPr>
        <w:t>intellectus in effectu</w:t>
      </w:r>
      <w:r w:rsidR="003425D1" w:rsidRPr="003D1E07">
        <w:t xml:space="preserve">). V případě přímého náhledu </w:t>
      </w:r>
      <w:r w:rsidR="00874074" w:rsidRPr="003D1E07">
        <w:t>neoplatonsk</w:t>
      </w:r>
      <w:r w:rsidR="00F44D56" w:rsidRPr="003D1E07">
        <w:t xml:space="preserve">ých </w:t>
      </w:r>
      <w:r w:rsidR="003425D1" w:rsidRPr="003D1E07">
        <w:t>forem (</w:t>
      </w:r>
      <w:r w:rsidR="003425D1" w:rsidRPr="003D1E07">
        <w:rPr>
          <w:i/>
        </w:rPr>
        <w:t>intellectum primum</w:t>
      </w:r>
      <w:r w:rsidR="003425D1" w:rsidRPr="003D1E07">
        <w:t>) není intelekt aktualizovaný skrze proces abstrakce od reálné věci, ale skrze osví</w:t>
      </w:r>
      <w:r w:rsidR="00F7570F" w:rsidRPr="003D1E07">
        <w:t xml:space="preserve">cení odděleným </w:t>
      </w:r>
      <w:r w:rsidR="009375D5" w:rsidRPr="003D1E07">
        <w:t xml:space="preserve">kosmickým </w:t>
      </w:r>
      <w:r w:rsidR="00F7570F" w:rsidRPr="003D1E07">
        <w:rPr>
          <w:i/>
        </w:rPr>
        <w:t>intellectus agens</w:t>
      </w:r>
      <w:r w:rsidR="00DF1F0F" w:rsidRPr="003D1E07">
        <w:rPr>
          <w:i/>
        </w:rPr>
        <w:fldChar w:fldCharType="begin"/>
      </w:r>
      <w:r w:rsidR="00DF1F0F" w:rsidRPr="003D1E07">
        <w:instrText xml:space="preserve"> XE "</w:instrText>
      </w:r>
      <w:r w:rsidR="00DF1F0F" w:rsidRPr="003D1E07">
        <w:rPr>
          <w:i/>
        </w:rPr>
        <w:instrText>intellectus agens:</w:instrText>
      </w:r>
      <w:r w:rsidR="00992CA0" w:rsidRPr="003D1E07">
        <w:rPr>
          <w:i/>
        </w:rPr>
        <w:instrText>falsafa</w:instrText>
      </w:r>
      <w:r w:rsidR="00DF1F0F" w:rsidRPr="003D1E07">
        <w:instrText xml:space="preserve">" </w:instrText>
      </w:r>
      <w:r w:rsidR="00DF1F0F" w:rsidRPr="003D1E07">
        <w:rPr>
          <w:i/>
        </w:rPr>
        <w:fldChar w:fldCharType="end"/>
      </w:r>
      <w:r w:rsidR="003425D1" w:rsidRPr="003D1E07">
        <w:t xml:space="preserve">. </w:t>
      </w:r>
      <w:r w:rsidR="00DB338B" w:rsidRPr="003D1E07">
        <w:t>Al-Fá</w:t>
      </w:r>
      <w:r w:rsidR="00C14194" w:rsidRPr="003D1E07">
        <w:t xml:space="preserve">rábí zdůrazňuje, že </w:t>
      </w:r>
      <w:r w:rsidR="08DB00D0" w:rsidRPr="003D1E07">
        <w:t xml:space="preserve">ani </w:t>
      </w:r>
      <w:r w:rsidR="00C14194" w:rsidRPr="003D1E07">
        <w:t>kosmický č</w:t>
      </w:r>
      <w:r w:rsidR="004B325F" w:rsidRPr="003D1E07">
        <w:t xml:space="preserve">inný </w:t>
      </w:r>
      <w:r w:rsidR="00E67F37" w:rsidRPr="003D1E07">
        <w:t>intelekt</w:t>
      </w:r>
      <w:r w:rsidR="004B325F" w:rsidRPr="003D1E07">
        <w:t xml:space="preserve"> </w:t>
      </w:r>
      <w:r w:rsidR="00D22057" w:rsidRPr="003D1E07">
        <w:t>není nepřetr</w:t>
      </w:r>
      <w:r w:rsidR="00E961D0" w:rsidRPr="003D1E07">
        <w:t xml:space="preserve">žitě </w:t>
      </w:r>
      <w:r w:rsidR="00CE7D5E" w:rsidRPr="003D1E07">
        <w:t>ve výkonu, protože není</w:t>
      </w:r>
      <w:r w:rsidR="00E961D0" w:rsidRPr="003D1E07">
        <w:t xml:space="preserve"> </w:t>
      </w:r>
      <w:r w:rsidR="00330944" w:rsidRPr="003D1E07">
        <w:t xml:space="preserve">absolutně </w:t>
      </w:r>
      <w:r w:rsidR="00E961D0" w:rsidRPr="003D1E07">
        <w:t xml:space="preserve">čisté bytí </w:t>
      </w:r>
      <w:r w:rsidR="00330944" w:rsidRPr="003D1E07">
        <w:t xml:space="preserve">dané </w:t>
      </w:r>
      <w:r w:rsidR="00E961D0" w:rsidRPr="003D1E07">
        <w:t>v aktualitě</w:t>
      </w:r>
      <w:r w:rsidR="00CE7D5E" w:rsidRPr="003D1E07">
        <w:t>, což je pouze boží vlastnost</w:t>
      </w:r>
      <w:r w:rsidR="00E961D0" w:rsidRPr="003D1E07">
        <w:t>.</w:t>
      </w:r>
      <w:bookmarkStart w:id="38" w:name="_Ref378526521"/>
      <w:r w:rsidR="00E961D0" w:rsidRPr="003D1E07">
        <w:rPr>
          <w:rStyle w:val="Znakapoznpodarou"/>
        </w:rPr>
        <w:footnoteReference w:id="90"/>
      </w:r>
      <w:bookmarkEnd w:id="38"/>
      <w:r w:rsidR="00E961D0" w:rsidRPr="003D1E07">
        <w:t xml:space="preserve"> V návaznosti na kontingenci </w:t>
      </w:r>
      <w:r w:rsidR="009D5905" w:rsidRPr="003D1E07">
        <w:t xml:space="preserve">kosmického </w:t>
      </w:r>
      <w:r w:rsidR="00E961D0" w:rsidRPr="003D1E07">
        <w:t xml:space="preserve">činného intelektu i darovaný intelekt </w:t>
      </w:r>
      <w:r w:rsidR="00C14194" w:rsidRPr="003D1E07">
        <w:t xml:space="preserve">v člověku </w:t>
      </w:r>
      <w:r w:rsidR="00E961D0" w:rsidRPr="003D1E07">
        <w:t>někdy aktualizuje myšlen</w:t>
      </w:r>
      <w:r w:rsidR="00992DDD" w:rsidRPr="003D1E07">
        <w:t>k</w:t>
      </w:r>
      <w:r w:rsidR="00E961D0" w:rsidRPr="003D1E07">
        <w:t>ové obsahy a jindy ne</w:t>
      </w:r>
      <w:r w:rsidR="0057564C" w:rsidRPr="003D1E07">
        <w:t xml:space="preserve">. </w:t>
      </w:r>
      <w:r w:rsidR="00FD74E4" w:rsidRPr="003D1E07">
        <w:t xml:space="preserve">Tuto </w:t>
      </w:r>
      <w:r w:rsidR="00E42644">
        <w:t xml:space="preserve">naprosto klíčovou </w:t>
      </w:r>
      <w:r w:rsidR="00FD74E4" w:rsidRPr="003D1E07">
        <w:t xml:space="preserve">vlastnost Averroes </w:t>
      </w:r>
      <w:r w:rsidR="00E42644">
        <w:t xml:space="preserve">aktualizuje </w:t>
      </w:r>
      <w:r w:rsidR="00FD74E4" w:rsidRPr="003D1E07">
        <w:t xml:space="preserve">v návaznosti na Themistiovo voluntaristické pojetí smyslově poznávajícího </w:t>
      </w:r>
      <w:r w:rsidR="00FD74E4" w:rsidRPr="003D1E07">
        <w:rPr>
          <w:i/>
        </w:rPr>
        <w:t xml:space="preserve">intellectus materialis </w:t>
      </w:r>
      <w:r w:rsidR="00E42644" w:rsidRPr="00E42644">
        <w:t xml:space="preserve">a </w:t>
      </w:r>
      <w:r w:rsidR="00FD74E4" w:rsidRPr="003D1E07">
        <w:t xml:space="preserve">vezme </w:t>
      </w:r>
      <w:r w:rsidR="00E42644">
        <w:t xml:space="preserve">ji </w:t>
      </w:r>
      <w:r w:rsidR="00FD74E4" w:rsidRPr="003D1E07">
        <w:t>jako důkaz pro volní vlastnosti individuální lidské duše. Proto úplně zrušil darovaný neoplatónský intelekt (kap. 2.4.2).</w:t>
      </w:r>
      <w:r w:rsidR="00FD74E4">
        <w:t xml:space="preserve"> </w:t>
      </w:r>
      <w:r w:rsidR="00E42644">
        <w:t xml:space="preserve">Toot ale není </w:t>
      </w:r>
      <w:r w:rsidR="00E42644">
        <w:lastRenderedPageBreak/>
        <w:t xml:space="preserve">pozice Abunasera. </w:t>
      </w:r>
      <w:r w:rsidR="08375416" w:rsidRPr="003D1E07">
        <w:t>V</w:t>
      </w:r>
      <w:r w:rsidR="00E42644">
        <w:t xml:space="preserve"> jeho </w:t>
      </w:r>
      <w:r w:rsidR="08372E3C" w:rsidRPr="003D1E07">
        <w:t>iluminační teorii rozbíhá</w:t>
      </w:r>
      <w:r w:rsidR="002674BD" w:rsidRPr="003D1E07">
        <w:t xml:space="preserve"> úkon </w:t>
      </w:r>
      <w:r w:rsidR="00E42644">
        <w:t xml:space="preserve">vyššího </w:t>
      </w:r>
      <w:r w:rsidR="002674BD" w:rsidRPr="003D1E07">
        <w:t>poznání</w:t>
      </w:r>
      <w:r w:rsidR="001A2C0E" w:rsidRPr="003D1E07">
        <w:t xml:space="preserve"> </w:t>
      </w:r>
      <w:r w:rsidR="00BE6B92" w:rsidRPr="003D1E07">
        <w:t xml:space="preserve">nikoliv proces abstrakce, ale </w:t>
      </w:r>
      <w:r w:rsidR="007F75B4" w:rsidRPr="003D1E07">
        <w:t>aktuální</w:t>
      </w:r>
      <w:r w:rsidR="00BE6B92" w:rsidRPr="003D1E07">
        <w:t xml:space="preserve"> a zcela oddělený</w:t>
      </w:r>
      <w:r w:rsidR="007F75B4" w:rsidRPr="003D1E07">
        <w:t xml:space="preserve"> </w:t>
      </w:r>
      <w:r w:rsidR="007F75B4" w:rsidRPr="003D1E07">
        <w:rPr>
          <w:i/>
        </w:rPr>
        <w:t>intellectus agens</w:t>
      </w:r>
      <w:r w:rsidR="00BE6B92" w:rsidRPr="003D1E07">
        <w:t xml:space="preserve">. Kosmický intelekt působí </w:t>
      </w:r>
      <w:r w:rsidR="007F75B4" w:rsidRPr="003D1E07">
        <w:t xml:space="preserve">skrze formu </w:t>
      </w:r>
      <w:r w:rsidR="000122BA" w:rsidRPr="003D1E07">
        <w:t xml:space="preserve">individuální </w:t>
      </w:r>
      <w:r w:rsidR="007F75B4" w:rsidRPr="003D1E07">
        <w:t xml:space="preserve">abstrakce, tj. jako </w:t>
      </w:r>
      <w:r w:rsidR="00FE6F93" w:rsidRPr="003D1E07">
        <w:t>darovaný intelekt (</w:t>
      </w:r>
      <w:r w:rsidR="007F75B4" w:rsidRPr="003D1E07">
        <w:rPr>
          <w:i/>
        </w:rPr>
        <w:t>intellectus adeptus</w:t>
      </w:r>
      <w:r w:rsidR="08112FF3" w:rsidRPr="003D1E07">
        <w:rPr>
          <w:i/>
        </w:rPr>
        <w:fldChar w:fldCharType="begin"/>
      </w:r>
      <w:r w:rsidR="08112FF3" w:rsidRPr="003D1E07">
        <w:instrText xml:space="preserve"> XE "</w:instrText>
      </w:r>
      <w:r w:rsidR="08112FF3" w:rsidRPr="003D1E07">
        <w:rPr>
          <w:i/>
        </w:rPr>
        <w:instrText>intellectus adeptus</w:instrText>
      </w:r>
      <w:r w:rsidR="08112FF3" w:rsidRPr="003D1E07">
        <w:instrText xml:space="preserve">:Al-Fárábí" </w:instrText>
      </w:r>
      <w:r w:rsidR="08112FF3" w:rsidRPr="003D1E07">
        <w:rPr>
          <w:i/>
        </w:rPr>
        <w:fldChar w:fldCharType="end"/>
      </w:r>
      <w:r w:rsidR="00FE6F93" w:rsidRPr="003D1E07">
        <w:t>)</w:t>
      </w:r>
      <w:r w:rsidR="00443054" w:rsidRPr="003D1E07">
        <w:t xml:space="preserve">. </w:t>
      </w:r>
      <w:r w:rsidR="0036057D" w:rsidRPr="003D1E07">
        <w:t xml:space="preserve">Vědění </w:t>
      </w:r>
      <w:r w:rsidR="081118A4" w:rsidRPr="003D1E07">
        <w:t xml:space="preserve">dané zhůry tedy </w:t>
      </w:r>
      <w:r w:rsidR="0036057D" w:rsidRPr="003D1E07">
        <w:t xml:space="preserve">probíhá díky </w:t>
      </w:r>
      <w:r w:rsidR="00524599" w:rsidRPr="003D1E07">
        <w:t xml:space="preserve">čtveré </w:t>
      </w:r>
      <w:r w:rsidR="0036057D" w:rsidRPr="003D1E07">
        <w:t xml:space="preserve">formě intelektu </w:t>
      </w:r>
      <w:r w:rsidR="08375416" w:rsidRPr="003D1E07">
        <w:t xml:space="preserve">dané nejprve skrze aristotelskou abstrakcí ze smyslů </w:t>
      </w:r>
      <w:r w:rsidR="0036057D" w:rsidRPr="003D1E07">
        <w:t>(</w:t>
      </w:r>
      <w:r w:rsidR="00336F35" w:rsidRPr="003D1E07">
        <w:rPr>
          <w:i/>
        </w:rPr>
        <w:t>intellectus</w:t>
      </w:r>
      <w:r w:rsidR="00336F35" w:rsidRPr="003D1E07">
        <w:t xml:space="preserve"> </w:t>
      </w:r>
      <w:r w:rsidR="0036057D" w:rsidRPr="003D1E07">
        <w:rPr>
          <w:i/>
        </w:rPr>
        <w:t>possibilis</w:t>
      </w:r>
      <w:r w:rsidR="0036057D" w:rsidRPr="003D1E07">
        <w:t xml:space="preserve"> – </w:t>
      </w:r>
      <w:r w:rsidR="0036057D" w:rsidRPr="003D1E07">
        <w:rPr>
          <w:i/>
        </w:rPr>
        <w:t>in effectu</w:t>
      </w:r>
      <w:r w:rsidR="0036057D" w:rsidRPr="003D1E07">
        <w:t>/</w:t>
      </w:r>
      <w:r w:rsidR="0036057D" w:rsidRPr="003D1E07">
        <w:rPr>
          <w:i/>
        </w:rPr>
        <w:t>adeptus</w:t>
      </w:r>
      <w:r w:rsidR="0036057D" w:rsidRPr="003D1E07">
        <w:t xml:space="preserve"> – </w:t>
      </w:r>
      <w:r w:rsidR="0036057D" w:rsidRPr="003D1E07">
        <w:rPr>
          <w:i/>
        </w:rPr>
        <w:t>agens</w:t>
      </w:r>
      <w:r w:rsidR="002A06BE" w:rsidRPr="003D1E07">
        <w:t>)</w:t>
      </w:r>
      <w:r w:rsidR="0036057D" w:rsidRPr="003D1E07">
        <w:t xml:space="preserve">. </w:t>
      </w:r>
      <w:r w:rsidR="008201FC">
        <w:t>A</w:t>
      </w:r>
      <w:r w:rsidR="08B42CE5" w:rsidRPr="003D1E07">
        <w:t xml:space="preserve">ristotelská </w:t>
      </w:r>
      <w:r w:rsidR="008201FC">
        <w:t xml:space="preserve">definice </w:t>
      </w:r>
      <w:r w:rsidR="08B42CE5" w:rsidRPr="003D1E07">
        <w:t>poznání znamená, že intelekt je aktualizovaný skrze smysly a abstrakci (</w:t>
      </w:r>
      <w:r w:rsidR="08B42CE5" w:rsidRPr="003D1E07">
        <w:rPr>
          <w:i/>
        </w:rPr>
        <w:t>in effectu</w:t>
      </w:r>
      <w:r w:rsidR="00365628">
        <w:rPr>
          <w:i/>
        </w:rPr>
        <w:t xml:space="preserve">, </w:t>
      </w:r>
      <w:r w:rsidR="00365628">
        <w:rPr>
          <w:noProof w:val="0"/>
          <w:lang w:val="en-US" w:eastAsia="x-none"/>
        </w:rPr>
        <w:t>νοῦς τῷ πάντα γίνεσθαι</w:t>
      </w:r>
      <w:r w:rsidR="08AD5A4D" w:rsidRPr="003D1E07">
        <w:rPr>
          <w:i/>
        </w:rPr>
        <w:fldChar w:fldCharType="begin"/>
      </w:r>
      <w:r w:rsidR="08AD5A4D" w:rsidRPr="003D1E07">
        <w:instrText xml:space="preserve"> XE "</w:instrText>
      </w:r>
      <w:r w:rsidR="08AD5A4D" w:rsidRPr="003D1E07">
        <w:rPr>
          <w:i/>
        </w:rPr>
        <w:instrText>intellectus in effectu</w:instrText>
      </w:r>
      <w:r w:rsidR="08AD5A4D" w:rsidRPr="003D1E07">
        <w:instrText xml:space="preserve">" </w:instrText>
      </w:r>
      <w:r w:rsidR="08AD5A4D" w:rsidRPr="003D1E07">
        <w:rPr>
          <w:i/>
        </w:rPr>
        <w:fldChar w:fldCharType="end"/>
      </w:r>
      <w:r w:rsidR="08B42CE5" w:rsidRPr="003D1E07">
        <w:t>). K tomuto přirozeně aktualizovanému poznání pak externě přistupuje dodatečně přidaný darovaný intelekt (</w:t>
      </w:r>
      <w:r w:rsidR="08B42CE5" w:rsidRPr="003D1E07">
        <w:rPr>
          <w:i/>
        </w:rPr>
        <w:t>adeptus</w:t>
      </w:r>
      <w:r w:rsidR="08B42CE5" w:rsidRPr="003D1E07">
        <w:t xml:space="preserve">), který je aktualizovaný ze světa kosmických inteligencí. </w:t>
      </w:r>
      <w:r w:rsidR="08095E51" w:rsidRPr="003D1E07">
        <w:t>Pasivní intelekt (</w:t>
      </w:r>
      <w:r w:rsidR="08095E51" w:rsidRPr="003D1E07">
        <w:rPr>
          <w:i/>
        </w:rPr>
        <w:t>intellectus in potentia</w:t>
      </w:r>
      <w:r w:rsidR="08095E51" w:rsidRPr="003D1E07">
        <w:t xml:space="preserve">) díky svému spojení s aktivním intelektem produkuje ambivalentní charakter poznání. </w:t>
      </w:r>
      <w:r w:rsidR="08B42CE5" w:rsidRPr="003D1E07">
        <w:t>Druhý mistr integroval neoplatonské schéma intelektu-slunce do aristotelského schématu tím, že zaměnil pořadí aktualizace (</w:t>
      </w:r>
      <w:r w:rsidR="08B42CE5" w:rsidRPr="003D1E07">
        <w:rPr>
          <w:i/>
        </w:rPr>
        <w:t>possibilis</w:t>
      </w:r>
      <w:r w:rsidR="08B42CE5" w:rsidRPr="003D1E07">
        <w:t xml:space="preserve"> – </w:t>
      </w:r>
      <w:r w:rsidR="08B42CE5" w:rsidRPr="003D1E07">
        <w:rPr>
          <w:i/>
        </w:rPr>
        <w:t>adeptus</w:t>
      </w:r>
      <w:r w:rsidR="08B42CE5" w:rsidRPr="003D1E07">
        <w:t>/</w:t>
      </w:r>
      <w:r w:rsidR="08B42CE5" w:rsidRPr="003D1E07">
        <w:rPr>
          <w:i/>
        </w:rPr>
        <w:t xml:space="preserve">in effectu </w:t>
      </w:r>
      <w:r w:rsidR="08B42CE5" w:rsidRPr="003D1E07">
        <w:t xml:space="preserve">– </w:t>
      </w:r>
      <w:r w:rsidR="08B42CE5" w:rsidRPr="003D1E07">
        <w:rPr>
          <w:i/>
        </w:rPr>
        <w:t>agens</w:t>
      </w:r>
      <w:r w:rsidR="08B42CE5" w:rsidRPr="003D1E07">
        <w:t xml:space="preserve">). </w:t>
      </w:r>
      <w:r w:rsidR="001522C0">
        <w:t xml:space="preserve">Nyní </w:t>
      </w:r>
      <w:r w:rsidR="08B42CE5" w:rsidRPr="003D1E07">
        <w:t>je schéma aktualizace dano nasvícením zezadu, protože darovaný intelekt je aktivovaný skrze kosmický intelekt</w:t>
      </w:r>
      <w:r w:rsidR="08AD0817" w:rsidRPr="003D1E07">
        <w:t>,</w:t>
      </w:r>
      <w:r w:rsidR="08B42CE5" w:rsidRPr="003D1E07">
        <w:t xml:space="preserve"> a </w:t>
      </w:r>
      <w:r w:rsidR="08AD0817" w:rsidRPr="003D1E07">
        <w:t xml:space="preserve">tím </w:t>
      </w:r>
      <w:r w:rsidR="08B42CE5" w:rsidRPr="003D1E07">
        <w:t>aktivuje i možný intelekt. Toto schéma převezme neoplatonský Avicenna</w:t>
      </w:r>
      <w:r w:rsidR="00E155D0">
        <w:t xml:space="preserve">. Středové postavení aktualizovaného </w:t>
      </w:r>
      <w:r w:rsidR="08B42CE5" w:rsidRPr="003D1E07">
        <w:t xml:space="preserve">intelektu </w:t>
      </w:r>
      <w:r w:rsidR="00E155D0">
        <w:t>(</w:t>
      </w:r>
      <w:r w:rsidR="00E155D0" w:rsidRPr="00E155D0">
        <w:rPr>
          <w:i/>
        </w:rPr>
        <w:t>in effectu</w:t>
      </w:r>
      <w:r w:rsidR="00E155D0">
        <w:t xml:space="preserve">) </w:t>
      </w:r>
      <w:r w:rsidR="08B42CE5" w:rsidRPr="003D1E07">
        <w:t>nasvícením ze</w:t>
      </w:r>
      <w:r w:rsidR="08E76397" w:rsidRPr="003D1E07">
        <w:t>p</w:t>
      </w:r>
      <w:r w:rsidR="08B42CE5" w:rsidRPr="003D1E07">
        <w:t>ředu nebo zezadu hraje klíčovou roli. Buď je poznatek aristotelskou druhou substancí v rámci kategoriální predikace vzniklé abstrakcí (</w:t>
      </w:r>
      <w:r w:rsidR="08B42CE5" w:rsidRPr="003D1E07">
        <w:rPr>
          <w:i/>
        </w:rPr>
        <w:t>abstractio</w:t>
      </w:r>
      <w:r w:rsidR="08B42CE5" w:rsidRPr="003D1E07">
        <w:t>), nebo je substancí třetího druhu</w:t>
      </w:r>
      <w:r w:rsidR="08B42CE5" w:rsidRPr="003D1E07">
        <w:fldChar w:fldCharType="begin"/>
      </w:r>
      <w:r w:rsidR="08B42CE5" w:rsidRPr="003D1E07">
        <w:instrText xml:space="preserve"> XE "substance:třetího druhu" </w:instrText>
      </w:r>
      <w:r w:rsidR="08B42CE5" w:rsidRPr="003D1E07">
        <w:fldChar w:fldCharType="end"/>
      </w:r>
      <w:r w:rsidR="08B42CE5" w:rsidRPr="003D1E07">
        <w:t xml:space="preserve"> v rámci demiurgického diakosmu, kdy poznání je přímým nazíráním kosmických forem (</w:t>
      </w:r>
      <w:r w:rsidR="08B42CE5" w:rsidRPr="003D1E07">
        <w:rPr>
          <w:i/>
        </w:rPr>
        <w:t>illuminatio</w:t>
      </w:r>
      <w:r w:rsidR="08B42CE5" w:rsidRPr="003D1E07">
        <w:t>). Darovaná forma intelektu hraje zásadní roli v procesu poznání-iluminace, protože aktualizuje darovaný intelekt směrem od kosmických inteligencí.</w:t>
      </w:r>
      <w:r w:rsidR="08E76397" w:rsidRPr="003D1E07">
        <w:t xml:space="preserve"> </w:t>
      </w:r>
      <w:r w:rsidR="08DB00D0" w:rsidRPr="003D1E07">
        <w:t xml:space="preserve">Druhý mistr </w:t>
      </w:r>
      <w:r w:rsidR="08972106" w:rsidRPr="003D1E07">
        <w:t xml:space="preserve">i ve druhé variantě </w:t>
      </w:r>
      <w:r w:rsidR="08DB00D0" w:rsidRPr="003D1E07">
        <w:t xml:space="preserve">pořád drží tezi </w:t>
      </w:r>
      <w:r w:rsidR="08DB00D0" w:rsidRPr="003D1E07">
        <w:rPr>
          <w:i/>
        </w:rPr>
        <w:t>De anima</w:t>
      </w:r>
      <w:r w:rsidR="08DB00D0" w:rsidRPr="003D1E07">
        <w:t>, že lidský intelekt provádí pasivně-aktivní abstrakci nemateriálních forem z materiálních věcí</w:t>
      </w:r>
      <w:r w:rsidR="08DB00D0" w:rsidRPr="003D1E07">
        <w:rPr>
          <w:i/>
        </w:rPr>
        <w:fldChar w:fldCharType="begin"/>
      </w:r>
      <w:r w:rsidR="08DB00D0" w:rsidRPr="003D1E07">
        <w:instrText xml:space="preserve"> XE "</w:instrText>
      </w:r>
      <w:r w:rsidR="08DB00D0" w:rsidRPr="003D1E07">
        <w:rPr>
          <w:i/>
        </w:rPr>
        <w:instrText>intellectus possibilis</w:instrText>
      </w:r>
      <w:r w:rsidR="08DB00D0" w:rsidRPr="003D1E07">
        <w:instrText xml:space="preserve">:Al-Fárábí" </w:instrText>
      </w:r>
      <w:r w:rsidR="08DB00D0" w:rsidRPr="003D1E07">
        <w:rPr>
          <w:i/>
        </w:rPr>
        <w:fldChar w:fldCharType="end"/>
      </w:r>
      <w:r w:rsidR="08DB00D0" w:rsidRPr="003D1E07">
        <w:t xml:space="preserve">. Pak iluminace daná nasvícením darovaného intelektu od kosmického činného intelektu </w:t>
      </w:r>
      <w:r w:rsidR="001C6DFC" w:rsidRPr="003D1E07">
        <w:t xml:space="preserve">završuje </w:t>
      </w:r>
      <w:r w:rsidR="00045A0B" w:rsidRPr="003D1E07">
        <w:t>proces aristotel</w:t>
      </w:r>
      <w:r w:rsidR="00833F97" w:rsidRPr="003D1E07">
        <w:t>ské abst</w:t>
      </w:r>
      <w:r w:rsidR="00045A0B" w:rsidRPr="003D1E07">
        <w:t xml:space="preserve">rakce </w:t>
      </w:r>
      <w:r w:rsidR="001C6DFC" w:rsidRPr="003D1E07">
        <w:t xml:space="preserve">od smyslově poznané první substance skrze možný intelekt. </w:t>
      </w:r>
      <w:r w:rsidR="08190793" w:rsidRPr="003D1E07">
        <w:t>Tuto tezi Avicenna zrušil a odděl</w:t>
      </w:r>
      <w:r w:rsidR="005D6B4B">
        <w:t xml:space="preserve">il </w:t>
      </w:r>
      <w:r w:rsidR="08190793" w:rsidRPr="003D1E07">
        <w:t>intelekt od smyslů</w:t>
      </w:r>
      <w:r w:rsidR="005D6B4B">
        <w:t xml:space="preserve">. Tím </w:t>
      </w:r>
      <w:r w:rsidR="08190793" w:rsidRPr="003D1E07">
        <w:t>vytvořil nový proces abstrakce, kdy inte</w:t>
      </w:r>
      <w:r w:rsidR="088D0740" w:rsidRPr="003D1E07">
        <w:t>le</w:t>
      </w:r>
      <w:r w:rsidR="08190793" w:rsidRPr="003D1E07">
        <w:t>kt vnímá univerzální formy přímo i ve věcech (</w:t>
      </w:r>
      <w:r w:rsidR="08190793" w:rsidRPr="003D1E07">
        <w:rPr>
          <w:i/>
        </w:rPr>
        <w:t>denudatio</w:t>
      </w:r>
      <w:r w:rsidR="08FB39FE" w:rsidRPr="003D1E07">
        <w:rPr>
          <w:i/>
        </w:rPr>
        <w:fldChar w:fldCharType="begin"/>
      </w:r>
      <w:r w:rsidR="08FB39FE" w:rsidRPr="003D1E07">
        <w:instrText xml:space="preserve"> XE "</w:instrText>
      </w:r>
      <w:r w:rsidR="08FB39FE" w:rsidRPr="003D1E07">
        <w:rPr>
          <w:i/>
        </w:rPr>
        <w:instrText>denudatio</w:instrText>
      </w:r>
      <w:r w:rsidR="08FB39FE" w:rsidRPr="003D1E07">
        <w:instrText xml:space="preserve">" </w:instrText>
      </w:r>
      <w:r w:rsidR="08FB39FE" w:rsidRPr="003D1E07">
        <w:rPr>
          <w:i/>
        </w:rPr>
        <w:fldChar w:fldCharType="end"/>
      </w:r>
      <w:r w:rsidR="08190793" w:rsidRPr="003D1E07">
        <w:t xml:space="preserve">). </w:t>
      </w:r>
      <w:r w:rsidR="085F42DF" w:rsidRPr="003D1E07">
        <w:t xml:space="preserve">V tomto případě </w:t>
      </w:r>
      <w:r w:rsidR="00EA7466">
        <w:t xml:space="preserve">vznikl </w:t>
      </w:r>
      <w:r w:rsidR="009A0A54" w:rsidRPr="003D1E07">
        <w:t>intuitivní náhled substance třetího druhu, kterou konceptualizovala linie neoplaton</w:t>
      </w:r>
      <w:r w:rsidR="00DB338B" w:rsidRPr="003D1E07">
        <w:t>iků po Porfy</w:t>
      </w:r>
      <w:r w:rsidR="00422560" w:rsidRPr="003D1E07">
        <w:t>riovi (kap. 1.</w:t>
      </w:r>
      <w:r w:rsidR="08AF6B7D" w:rsidRPr="003D1E07">
        <w:t>3</w:t>
      </w:r>
      <w:r w:rsidR="00422560" w:rsidRPr="003D1E07">
        <w:t>.1).</w:t>
      </w:r>
      <w:r w:rsidR="00E0094B" w:rsidRPr="003D1E07">
        <w:t xml:space="preserve"> </w:t>
      </w:r>
      <w:r w:rsidR="006E1EEB" w:rsidRPr="003D1E07">
        <w:t xml:space="preserve">Abunaser je aristotelik a proti Al-Kindího škole tvrdí, že </w:t>
      </w:r>
      <w:r w:rsidR="00F10B20" w:rsidRPr="003D1E07">
        <w:t xml:space="preserve">první substance </w:t>
      </w:r>
      <w:r w:rsidR="006E1EEB" w:rsidRPr="003D1E07">
        <w:t xml:space="preserve">se nevtělují do materie v procesu </w:t>
      </w:r>
      <w:r w:rsidR="00874074" w:rsidRPr="003D1E07">
        <w:t>neoplatonsk</w:t>
      </w:r>
      <w:r w:rsidR="006E1EEB" w:rsidRPr="003D1E07">
        <w:t xml:space="preserve">é emanace, ale jsou v ní hylemorficky </w:t>
      </w:r>
      <w:r w:rsidR="08462D91" w:rsidRPr="003D1E07">
        <w:t xml:space="preserve">aktualizovány </w:t>
      </w:r>
      <w:r w:rsidR="006E1EEB" w:rsidRPr="003D1E07">
        <w:t xml:space="preserve">díky existenci </w:t>
      </w:r>
      <w:r w:rsidR="00F10B20" w:rsidRPr="003D1E07">
        <w:t xml:space="preserve">jiných </w:t>
      </w:r>
      <w:r w:rsidR="006E1EEB" w:rsidRPr="003D1E07">
        <w:t xml:space="preserve">prvních substancí, materiálních a nemateriálních. </w:t>
      </w:r>
      <w:r w:rsidR="08046CBC" w:rsidRPr="003D1E07">
        <w:t>Ú</w:t>
      </w:r>
      <w:r w:rsidR="00C30748" w:rsidRPr="003D1E07">
        <w:t xml:space="preserve">kon abstrakce je </w:t>
      </w:r>
      <w:r w:rsidR="08046CBC" w:rsidRPr="003D1E07">
        <w:t xml:space="preserve">proto </w:t>
      </w:r>
      <w:r w:rsidR="00C30748" w:rsidRPr="003D1E07">
        <w:t xml:space="preserve">výslovně vztažen k </w:t>
      </w:r>
      <w:r w:rsidR="00C30748" w:rsidRPr="003D1E07">
        <w:rPr>
          <w:rStyle w:val="st"/>
        </w:rPr>
        <w:t xml:space="preserve">aktuální věci složené z formy a látky. </w:t>
      </w:r>
      <w:r w:rsidR="08046CBC" w:rsidRPr="003D1E07">
        <w:rPr>
          <w:rStyle w:val="st"/>
        </w:rPr>
        <w:t xml:space="preserve">Iluminace představuje druhý stupeň poznání, kdy je duše jako </w:t>
      </w:r>
      <w:r w:rsidR="08046CBC" w:rsidRPr="003D1E07">
        <w:rPr>
          <w:rStyle w:val="st"/>
          <w:i/>
        </w:rPr>
        <w:t>tabula rasa</w:t>
      </w:r>
      <w:r w:rsidR="08046CBC" w:rsidRPr="003D1E07">
        <w:rPr>
          <w:rStyle w:val="st"/>
        </w:rPr>
        <w:t xml:space="preserve"> již aktualizovaná díky aristotelskému schématu </w:t>
      </w:r>
      <w:r w:rsidR="08046CBC" w:rsidRPr="003D1E07">
        <w:rPr>
          <w:rStyle w:val="st"/>
        </w:rPr>
        <w:lastRenderedPageBreak/>
        <w:t xml:space="preserve">poznání. </w:t>
      </w:r>
      <w:r w:rsidR="00C30748" w:rsidRPr="003D1E07">
        <w:t>P</w:t>
      </w:r>
      <w:r w:rsidR="08C57D3C" w:rsidRPr="003D1E07">
        <w:t xml:space="preserve">oznání </w:t>
      </w:r>
      <w:r w:rsidR="00C30748" w:rsidRPr="003D1E07">
        <w:t>je d</w:t>
      </w:r>
      <w:r w:rsidR="08C57D3C" w:rsidRPr="003D1E07">
        <w:t>ané</w:t>
      </w:r>
      <w:r w:rsidR="00C30748" w:rsidRPr="003D1E07">
        <w:t xml:space="preserve"> abstrakcí od reálné první substance </w:t>
      </w:r>
      <w:r w:rsidR="08C57D3C" w:rsidRPr="003D1E07">
        <w:t xml:space="preserve">směrem k formální esenci dané </w:t>
      </w:r>
      <w:r w:rsidR="00C30748" w:rsidRPr="003D1E07">
        <w:t>aktualiz</w:t>
      </w:r>
      <w:r w:rsidR="08C57D3C" w:rsidRPr="003D1E07">
        <w:t xml:space="preserve">ací </w:t>
      </w:r>
      <w:r w:rsidR="00236179" w:rsidRPr="003D1E07">
        <w:t>poznání</w:t>
      </w:r>
      <w:r w:rsidR="08C57D3C" w:rsidRPr="003D1E07">
        <w:t xml:space="preserve"> od smyslů</w:t>
      </w:r>
      <w:r w:rsidR="00C30748" w:rsidRPr="003D1E07">
        <w:t xml:space="preserve">. </w:t>
      </w:r>
      <w:r w:rsidR="086736B2" w:rsidRPr="003D1E07">
        <w:t xml:space="preserve">Hylemorfická substance dostává skrze lidské poznání završení v univerzálním poznání podle Aristotelovy verze pravdy dané v </w:t>
      </w:r>
      <w:r w:rsidR="086736B2" w:rsidRPr="003D1E07">
        <w:rPr>
          <w:i/>
        </w:rPr>
        <w:t>Metafyzice</w:t>
      </w:r>
      <w:r w:rsidR="082530AD" w:rsidRPr="003D1E07">
        <w:t xml:space="preserve"> VI.2</w:t>
      </w:r>
      <w:r w:rsidR="086736B2" w:rsidRPr="003D1E07">
        <w:rPr>
          <w:i/>
        </w:rPr>
        <w:fldChar w:fldCharType="begin"/>
      </w:r>
      <w:r w:rsidR="086736B2" w:rsidRPr="003D1E07">
        <w:instrText xml:space="preserve"> XE "pravda:Aristoteles" </w:instrText>
      </w:r>
      <w:r w:rsidR="086736B2" w:rsidRPr="003D1E07">
        <w:rPr>
          <w:i/>
        </w:rPr>
        <w:fldChar w:fldCharType="end"/>
      </w:r>
      <w:r w:rsidR="086736B2" w:rsidRPr="003D1E07">
        <w:t xml:space="preserve">. </w:t>
      </w:r>
      <w:r w:rsidR="087A583E" w:rsidRPr="003D1E07">
        <w:t xml:space="preserve">Ve druhém stupni poznání skrze </w:t>
      </w:r>
      <w:r w:rsidR="08E85934" w:rsidRPr="003D1E07">
        <w:t>iluminaci</w:t>
      </w:r>
      <w:r w:rsidR="087A583E" w:rsidRPr="003D1E07">
        <w:rPr>
          <w:i/>
        </w:rPr>
        <w:fldChar w:fldCharType="begin"/>
      </w:r>
      <w:r w:rsidR="087A583E" w:rsidRPr="003D1E07">
        <w:instrText xml:space="preserve"> XE "</w:instrText>
      </w:r>
      <w:r w:rsidR="08112FF3" w:rsidRPr="003D1E07">
        <w:instrText>abstrakce</w:instrText>
      </w:r>
      <w:r w:rsidR="087A583E" w:rsidRPr="003D1E07">
        <w:instrText xml:space="preserve">:Al-Fárábí" </w:instrText>
      </w:r>
      <w:r w:rsidR="087A583E" w:rsidRPr="003D1E07">
        <w:rPr>
          <w:i/>
        </w:rPr>
        <w:fldChar w:fldCharType="end"/>
      </w:r>
      <w:r w:rsidR="087A583E" w:rsidRPr="003D1E07">
        <w:t xml:space="preserve"> </w:t>
      </w:r>
      <w:r w:rsidR="08E85934" w:rsidRPr="003D1E07">
        <w:t xml:space="preserve">je </w:t>
      </w:r>
      <w:r w:rsidR="087A583E" w:rsidRPr="003D1E07">
        <w:t>intelekt aktualizován přímo ze světa oddělených a subsi</w:t>
      </w:r>
      <w:r w:rsidR="00322927">
        <w:t>stentních neoplatonských forem.</w:t>
      </w:r>
    </w:p>
    <w:p w14:paraId="257FEFF9" w14:textId="7E693CDD" w:rsidR="00C30748" w:rsidRPr="003D1E07" w:rsidRDefault="087A583E" w:rsidP="00491C17">
      <w:pPr>
        <w:ind w:firstLine="397"/>
      </w:pPr>
      <w:r w:rsidRPr="003D1E07">
        <w:t>Tato zvláštní forma abstrakce (</w:t>
      </w:r>
      <w:r w:rsidRPr="003D1E07">
        <w:rPr>
          <w:i/>
        </w:rPr>
        <w:t>al-muğarrad</w:t>
      </w:r>
      <w:r w:rsidRPr="003D1E07">
        <w:t xml:space="preserve">), kterou latinské překlady Avicenny a pozdější tradice označují termínem </w:t>
      </w:r>
      <w:r w:rsidRPr="003D1E07">
        <w:rPr>
          <w:i/>
        </w:rPr>
        <w:t>denudatio</w:t>
      </w:r>
      <w:r w:rsidR="08FB39FE" w:rsidRPr="003D1E07">
        <w:rPr>
          <w:i/>
        </w:rPr>
        <w:fldChar w:fldCharType="begin"/>
      </w:r>
      <w:r w:rsidR="08FB39FE" w:rsidRPr="003D1E07">
        <w:instrText xml:space="preserve"> XE "</w:instrText>
      </w:r>
      <w:r w:rsidR="08FB39FE" w:rsidRPr="003D1E07">
        <w:rPr>
          <w:i/>
        </w:rPr>
        <w:instrText>denudatio</w:instrText>
      </w:r>
      <w:r w:rsidR="08FB39FE" w:rsidRPr="003D1E07">
        <w:instrText xml:space="preserve">" </w:instrText>
      </w:r>
      <w:r w:rsidR="08FB39FE" w:rsidRPr="003D1E07">
        <w:rPr>
          <w:i/>
        </w:rPr>
        <w:fldChar w:fldCharType="end"/>
      </w:r>
      <w:r w:rsidRPr="003D1E07">
        <w:rPr>
          <w:i/>
        </w:rPr>
        <w:t xml:space="preserve"> </w:t>
      </w:r>
      <w:r w:rsidRPr="003D1E07">
        <w:t>nebo</w:t>
      </w:r>
      <w:r w:rsidRPr="003D1E07">
        <w:rPr>
          <w:i/>
        </w:rPr>
        <w:t xml:space="preserve"> spoliatio</w:t>
      </w:r>
      <w:r w:rsidRPr="003D1E07">
        <w:t xml:space="preserve">, sehraje klíčovou roli při vzniku objektivity. </w:t>
      </w:r>
      <w:r w:rsidR="082530AD" w:rsidRPr="003D1E07">
        <w:t>Pak je pravda definována nikoliv jako adekvace intel</w:t>
      </w:r>
      <w:r w:rsidR="08020505" w:rsidRPr="003D1E07">
        <w:t>e</w:t>
      </w:r>
      <w:r w:rsidR="082530AD" w:rsidRPr="003D1E07">
        <w:t xml:space="preserve">ktu a reálné věci, ale jako transcendentální rod jsoucna </w:t>
      </w:r>
      <w:r w:rsidR="08B72C36" w:rsidRPr="003D1E07">
        <w:t xml:space="preserve">podle </w:t>
      </w:r>
      <w:r w:rsidR="08B72C36" w:rsidRPr="003D1E07">
        <w:rPr>
          <w:i/>
        </w:rPr>
        <w:t>Metafyziky</w:t>
      </w:r>
      <w:r w:rsidR="08B72C36" w:rsidRPr="003D1E07">
        <w:t xml:space="preserve"> VI.2 </w:t>
      </w:r>
      <w:r w:rsidR="08F72C6D" w:rsidRPr="003D1E07">
        <w:t xml:space="preserve">postavený </w:t>
      </w:r>
      <w:r w:rsidR="082530AD" w:rsidRPr="003D1E07">
        <w:t xml:space="preserve">mimo kategoriální predikaci. </w:t>
      </w:r>
      <w:r w:rsidRPr="003D1E07">
        <w:t xml:space="preserve">Druhou variantu </w:t>
      </w:r>
      <w:r w:rsidR="08973150" w:rsidRPr="003D1E07">
        <w:t xml:space="preserve">přímého </w:t>
      </w:r>
      <w:r w:rsidR="08F72C6D" w:rsidRPr="003D1E07">
        <w:t xml:space="preserve">poznání jako iluminace </w:t>
      </w:r>
      <w:r w:rsidRPr="003D1E07">
        <w:t xml:space="preserve">vezme </w:t>
      </w:r>
      <w:r w:rsidR="08EE044A" w:rsidRPr="003D1E07">
        <w:t xml:space="preserve">Avicenna </w:t>
      </w:r>
      <w:r w:rsidRPr="003D1E07">
        <w:t>za základ poznání a vytvoří koncept objektivity</w:t>
      </w:r>
      <w:r w:rsidR="08F72C6D" w:rsidRPr="003D1E07">
        <w:t xml:space="preserve"> skrze novou formu abstrakce</w:t>
      </w:r>
      <w:r w:rsidRPr="003D1E07">
        <w:t xml:space="preserve">. </w:t>
      </w:r>
      <w:r w:rsidR="086736B2" w:rsidRPr="003D1E07">
        <w:t xml:space="preserve">Tím je možné </w:t>
      </w:r>
      <w:r w:rsidR="08EE044A" w:rsidRPr="003D1E07">
        <w:t xml:space="preserve">dvojí </w:t>
      </w:r>
      <w:r w:rsidR="086736B2" w:rsidRPr="003D1E07">
        <w:t>smíření Platona a Aristotela.</w:t>
      </w:r>
      <w:r w:rsidR="08622214" w:rsidRPr="003D1E07">
        <w:t xml:space="preserve"> Abunaserovo </w:t>
      </w:r>
      <w:r w:rsidR="085E6394" w:rsidRPr="003D1E07">
        <w:t xml:space="preserve">pojetí </w:t>
      </w:r>
      <w:r w:rsidR="08EE044A" w:rsidRPr="003D1E07">
        <w:t xml:space="preserve">poznání </w:t>
      </w:r>
      <w:r w:rsidR="08622214" w:rsidRPr="003D1E07">
        <w:t>se vyznačuje zásadní ambivalencí, stejně jako již zmíněný status nedělitelné substance</w:t>
      </w:r>
      <w:r w:rsidR="08622214" w:rsidRPr="003D1E07">
        <w:fldChar w:fldCharType="begin"/>
      </w:r>
      <w:r w:rsidR="08622214" w:rsidRPr="003D1E07">
        <w:instrText xml:space="preserve"> XE "substance:atomární" </w:instrText>
      </w:r>
      <w:r w:rsidR="08622214" w:rsidRPr="003D1E07">
        <w:fldChar w:fldCharType="end"/>
      </w:r>
      <w:r w:rsidR="08622214" w:rsidRPr="003D1E07">
        <w:t xml:space="preserve"> v neoplatonismu.</w:t>
      </w:r>
    </w:p>
    <w:p w14:paraId="3825E2B3" w14:textId="77777777" w:rsidR="004B2EE1" w:rsidRPr="003D1E07" w:rsidRDefault="009B7E35" w:rsidP="004B2EE1">
      <w:pPr>
        <w:pStyle w:val="Citace"/>
        <w:rPr>
          <w:lang w:val="cs-CZ"/>
        </w:rPr>
      </w:pPr>
      <w:r w:rsidRPr="003D1E07">
        <w:rPr>
          <w:lang w:val="cs-CZ"/>
        </w:rPr>
        <w:t>„</w:t>
      </w:r>
      <w:r w:rsidR="004B2EE1" w:rsidRPr="003D1E07">
        <w:rPr>
          <w:lang w:val="cs-CZ"/>
        </w:rPr>
        <w:t>Pokud se myšlený obsah stane aktuálně poznaným</w:t>
      </w:r>
      <w:r w:rsidR="00846D5A" w:rsidRPr="003D1E07">
        <w:rPr>
          <w:lang w:val="cs-CZ"/>
        </w:rPr>
        <w:t xml:space="preserve"> (</w:t>
      </w:r>
      <w:r w:rsidR="00846D5A" w:rsidRPr="003D1E07">
        <w:rPr>
          <w:i/>
          <w:lang w:val="cs-CZ"/>
        </w:rPr>
        <w:t>intellecta in effectu</w:t>
      </w:r>
      <w:r w:rsidR="00846D5A" w:rsidRPr="003D1E07">
        <w:rPr>
          <w:lang w:val="cs-CZ"/>
        </w:rPr>
        <w:t>)</w:t>
      </w:r>
      <w:r w:rsidR="004B2EE1" w:rsidRPr="003D1E07">
        <w:rPr>
          <w:lang w:val="cs-CZ"/>
        </w:rPr>
        <w:t xml:space="preserve">, pak se od něho odloučí mnoho jiných kategoriálních určení, takže se z něj stane jiné jsoucno </w:t>
      </w:r>
      <w:r w:rsidR="004B2EE1" w:rsidRPr="003D1E07">
        <w:rPr>
          <w:rStyle w:val="st"/>
          <w:lang w:val="cs-CZ"/>
        </w:rPr>
        <w:t>(</w:t>
      </w:r>
      <w:r w:rsidR="00846D5A" w:rsidRPr="003D1E07">
        <w:rPr>
          <w:i/>
          <w:lang w:val="cs-CZ"/>
        </w:rPr>
        <w:t>esse igitur illorum fit aliud esse</w:t>
      </w:r>
      <w:r w:rsidR="004B2EE1" w:rsidRPr="003D1E07">
        <w:rPr>
          <w:rStyle w:val="st"/>
          <w:lang w:val="cs-CZ"/>
        </w:rPr>
        <w:t>)</w:t>
      </w:r>
      <w:r w:rsidR="004B2EE1" w:rsidRPr="003D1E07">
        <w:rPr>
          <w:lang w:val="cs-CZ"/>
        </w:rPr>
        <w:t>, které se liší od onoho původního.“ </w:t>
      </w:r>
      <w:r w:rsidR="084D6A79" w:rsidRPr="003D1E07">
        <w:rPr>
          <w:rStyle w:val="Znakapoznpodarou"/>
          <w:lang w:val="cs-CZ"/>
        </w:rPr>
        <w:footnoteReference w:id="91"/>
      </w:r>
    </w:p>
    <w:p w14:paraId="7480291E" w14:textId="679792DD" w:rsidR="00690F15" w:rsidRDefault="008618F6" w:rsidP="003A0193">
      <w:r w:rsidRPr="003D1E07">
        <w:t>Latinská verze citátu říká, že v proces</w:t>
      </w:r>
      <w:r w:rsidR="0888633D" w:rsidRPr="003D1E07">
        <w:t xml:space="preserve">u abstrakce vznikne </w:t>
      </w:r>
      <w:r w:rsidRPr="003D1E07">
        <w:t xml:space="preserve">jiné </w:t>
      </w:r>
      <w:r w:rsidR="00397358">
        <w:t xml:space="preserve">jsoucno </w:t>
      </w:r>
      <w:r w:rsidRPr="003D1E07">
        <w:rPr>
          <w:rStyle w:val="st"/>
        </w:rPr>
        <w:t>(</w:t>
      </w:r>
      <w:r w:rsidRPr="003D1E07">
        <w:rPr>
          <w:rStyle w:val="st"/>
          <w:i/>
        </w:rPr>
        <w:t>aliud esse</w:t>
      </w:r>
      <w:r w:rsidR="08B201E5" w:rsidRPr="003D1E07">
        <w:rPr>
          <w:rStyle w:val="st"/>
          <w:i/>
        </w:rPr>
        <w:fldChar w:fldCharType="begin"/>
      </w:r>
      <w:r w:rsidR="08B201E5" w:rsidRPr="003D1E07">
        <w:instrText xml:space="preserve"> XE "substance:</w:instrText>
      </w:r>
      <w:r w:rsidR="08B201E5" w:rsidRPr="003D1E07">
        <w:rPr>
          <w:rStyle w:val="st"/>
          <w:i/>
        </w:rPr>
        <w:instrText>aliud esse</w:instrText>
      </w:r>
      <w:r w:rsidR="08B201E5" w:rsidRPr="003D1E07">
        <w:instrText xml:space="preserve">" </w:instrText>
      </w:r>
      <w:r w:rsidR="08B201E5" w:rsidRPr="003D1E07">
        <w:rPr>
          <w:rStyle w:val="st"/>
          <w:i/>
        </w:rPr>
        <w:fldChar w:fldCharType="end"/>
      </w:r>
      <w:r w:rsidRPr="003D1E07">
        <w:rPr>
          <w:rStyle w:val="st"/>
        </w:rPr>
        <w:t>)</w:t>
      </w:r>
      <w:r w:rsidRPr="003D1E07">
        <w:t xml:space="preserve">. </w:t>
      </w:r>
      <w:r w:rsidR="0888633D" w:rsidRPr="003D1E07">
        <w:t xml:space="preserve">Toto nové bytí jsoucna </w:t>
      </w:r>
      <w:r w:rsidR="00EC5E5A" w:rsidRPr="003D1E07">
        <w:rPr>
          <w:rStyle w:val="st"/>
        </w:rPr>
        <w:t xml:space="preserve">dané abstrakcí </w:t>
      </w:r>
      <w:r w:rsidR="00EC5E5A" w:rsidRPr="003D1E07">
        <w:t>tvoří jednotu jsoucna</w:t>
      </w:r>
      <w:r w:rsidR="0888633D" w:rsidRPr="003D1E07">
        <w:t xml:space="preserve"> na úrovni intelektuálního poznání</w:t>
      </w:r>
      <w:r w:rsidR="00EC5E5A" w:rsidRPr="003D1E07">
        <w:t xml:space="preserve">. </w:t>
      </w:r>
      <w:r w:rsidR="006C7691" w:rsidRPr="003D1E07">
        <w:t>Otázka je st</w:t>
      </w:r>
      <w:r w:rsidR="00DD436F" w:rsidRPr="003D1E07">
        <w:t>ejná jako v případě Porfy</w:t>
      </w:r>
      <w:r w:rsidR="006C7691" w:rsidRPr="003D1E07">
        <w:t>ri</w:t>
      </w:r>
      <w:r w:rsidR="00ED38D2" w:rsidRPr="003D1E07">
        <w:t>ov</w:t>
      </w:r>
      <w:r w:rsidR="006C7691" w:rsidRPr="003D1E07">
        <w:t xml:space="preserve">a výkladu </w:t>
      </w:r>
      <w:r w:rsidR="006C7691" w:rsidRPr="003D1E07">
        <w:rPr>
          <w:i/>
        </w:rPr>
        <w:t>Kategorií</w:t>
      </w:r>
      <w:r w:rsidR="006C7691" w:rsidRPr="003D1E07">
        <w:t xml:space="preserve"> (kap. 1.</w:t>
      </w:r>
      <w:r w:rsidR="08AF6B7D" w:rsidRPr="003D1E07">
        <w:t>3</w:t>
      </w:r>
      <w:r w:rsidR="006C7691" w:rsidRPr="003D1E07">
        <w:t xml:space="preserve">). </w:t>
      </w:r>
      <w:r w:rsidR="00946B70" w:rsidRPr="003D1E07">
        <w:t xml:space="preserve">Čím je toto </w:t>
      </w:r>
      <w:r w:rsidR="00946B70" w:rsidRPr="003D1E07">
        <w:rPr>
          <w:i/>
        </w:rPr>
        <w:t>aliud esse</w:t>
      </w:r>
      <w:r w:rsidR="003016E4" w:rsidRPr="003D1E07">
        <w:rPr>
          <w:i/>
        </w:rPr>
        <w:t xml:space="preserve"> </w:t>
      </w:r>
      <w:r w:rsidR="003016E4" w:rsidRPr="003D1E07">
        <w:rPr>
          <w:i/>
        </w:rPr>
        <w:fldChar w:fldCharType="begin"/>
      </w:r>
      <w:r w:rsidR="003016E4" w:rsidRPr="003D1E07">
        <w:instrText xml:space="preserve"> XE "</w:instrText>
      </w:r>
      <w:r w:rsidR="003016E4" w:rsidRPr="003D1E07">
        <w:rPr>
          <w:i/>
        </w:rPr>
        <w:instrText>tertium ens</w:instrText>
      </w:r>
      <w:r w:rsidR="003016E4" w:rsidRPr="003D1E07">
        <w:instrText>:Al-</w:instrText>
      </w:r>
      <w:r w:rsidR="008E02F5" w:rsidRPr="003D1E07">
        <w:instrText>Fárábí</w:instrText>
      </w:r>
      <w:r w:rsidR="003016E4" w:rsidRPr="003D1E07">
        <w:instrText xml:space="preserve">" </w:instrText>
      </w:r>
      <w:r w:rsidR="003016E4" w:rsidRPr="003D1E07">
        <w:rPr>
          <w:i/>
        </w:rPr>
        <w:fldChar w:fldCharType="end"/>
      </w:r>
      <w:r w:rsidR="00DD67A2" w:rsidRPr="003D1E07">
        <w:t xml:space="preserve"> v procesu signifikace a kategoriální predikace</w:t>
      </w:r>
      <w:r w:rsidR="00DC10C9" w:rsidRPr="003D1E07">
        <w:t xml:space="preserve">? </w:t>
      </w:r>
      <w:r w:rsidR="00946B70" w:rsidRPr="003D1E07">
        <w:t xml:space="preserve">Zakládá </w:t>
      </w:r>
      <w:r w:rsidR="00DD436F" w:rsidRPr="003D1E07">
        <w:t>Al-Fá</w:t>
      </w:r>
      <w:r w:rsidR="008C0F6A" w:rsidRPr="003D1E07">
        <w:t xml:space="preserve">rábí </w:t>
      </w:r>
      <w:r w:rsidR="00946B70" w:rsidRPr="003D1E07">
        <w:t xml:space="preserve">první </w:t>
      </w:r>
      <w:r w:rsidR="008C0F6A" w:rsidRPr="003D1E07">
        <w:t>abstrakci</w:t>
      </w:r>
      <w:r w:rsidR="00946B70" w:rsidRPr="003D1E07">
        <w:t xml:space="preserve"> v </w:t>
      </w:r>
      <w:r w:rsidR="002A1DA9" w:rsidRPr="003D1E07">
        <w:t xml:space="preserve">klasickém aristotelském </w:t>
      </w:r>
      <w:r w:rsidR="00946B70" w:rsidRPr="003D1E07">
        <w:t>modu kategoriální</w:t>
      </w:r>
      <w:r w:rsidR="00781AF5" w:rsidRPr="003D1E07">
        <w:t xml:space="preserve"> predikace</w:t>
      </w:r>
      <w:r w:rsidR="08EF2F28" w:rsidRPr="003D1E07">
        <w:t xml:space="preserve"> dané </w:t>
      </w:r>
      <w:r w:rsidR="00397358">
        <w:t>impozicí o</w:t>
      </w:r>
      <w:r w:rsidR="00FC5F2F" w:rsidRPr="003D1E07">
        <w:t>d reálné první substance</w:t>
      </w:r>
      <w:r w:rsidR="00946B70" w:rsidRPr="003D1E07">
        <w:t xml:space="preserve">? Nebo je tato abstrakce vzata </w:t>
      </w:r>
      <w:r w:rsidR="083E6214" w:rsidRPr="003D1E07">
        <w:t xml:space="preserve">v </w:t>
      </w:r>
      <w:r w:rsidR="00481C76" w:rsidRPr="003D1E07">
        <w:t xml:space="preserve">transcendentálním </w:t>
      </w:r>
      <w:r w:rsidR="00A3240F" w:rsidRPr="003D1E07">
        <w:t xml:space="preserve">modu </w:t>
      </w:r>
      <w:r w:rsidR="00747466" w:rsidRPr="003D1E07">
        <w:t>pravdy</w:t>
      </w:r>
      <w:r w:rsidR="08DF604D" w:rsidRPr="003D1E07">
        <w:t xml:space="preserve"> </w:t>
      </w:r>
      <w:r w:rsidR="00A3240F" w:rsidRPr="003D1E07">
        <w:t xml:space="preserve">jako hypostatického </w:t>
      </w:r>
      <w:r w:rsidR="007F7AEB" w:rsidRPr="003D1E07">
        <w:t xml:space="preserve">platonského </w:t>
      </w:r>
      <w:r w:rsidR="00A3240F" w:rsidRPr="003D1E07">
        <w:t xml:space="preserve">jsoucna </w:t>
      </w:r>
      <w:r w:rsidR="08DF604D" w:rsidRPr="003D1E07">
        <w:t xml:space="preserve">podle </w:t>
      </w:r>
      <w:r w:rsidR="08547FBC" w:rsidRPr="003D1E07">
        <w:t xml:space="preserve">výše uvedené pasáže </w:t>
      </w:r>
      <w:r w:rsidR="08DF604D" w:rsidRPr="003D1E07">
        <w:rPr>
          <w:i/>
        </w:rPr>
        <w:t>Met</w:t>
      </w:r>
      <w:r w:rsidR="08686FBA" w:rsidRPr="003D1E07">
        <w:rPr>
          <w:i/>
        </w:rPr>
        <w:t>afy</w:t>
      </w:r>
      <w:r w:rsidR="08482BA1" w:rsidRPr="003D1E07">
        <w:rPr>
          <w:i/>
        </w:rPr>
        <w:t>ziky</w:t>
      </w:r>
      <w:r w:rsidR="003E3213" w:rsidRPr="003D1E07">
        <w:t xml:space="preserve"> VI</w:t>
      </w:r>
      <w:r w:rsidR="08DF604D" w:rsidRPr="003D1E07">
        <w:t xml:space="preserve">.2? </w:t>
      </w:r>
      <w:r w:rsidR="00285E28" w:rsidRPr="003D1E07">
        <w:t>Nebo je to něco mezitím, ve stylu Jam</w:t>
      </w:r>
      <w:r w:rsidR="00854602" w:rsidRPr="003D1E07">
        <w:t>b</w:t>
      </w:r>
      <w:r w:rsidR="00285E28" w:rsidRPr="003D1E07">
        <w:t xml:space="preserve">lichova a Simplikiova </w:t>
      </w:r>
      <w:r w:rsidR="00994DAA" w:rsidRPr="003D1E07">
        <w:t xml:space="preserve">demiurgického </w:t>
      </w:r>
      <w:r w:rsidR="00285E28" w:rsidRPr="003D1E07">
        <w:t>diakosmu</w:t>
      </w:r>
      <w:r w:rsidR="00DD436F" w:rsidRPr="003D1E07">
        <w:t xml:space="preserve"> podle dialogu </w:t>
      </w:r>
      <w:r w:rsidR="00DD436F" w:rsidRPr="003D1E07">
        <w:rPr>
          <w:i/>
        </w:rPr>
        <w:t>Ti</w:t>
      </w:r>
      <w:r w:rsidR="00994DAA" w:rsidRPr="003D1E07">
        <w:rPr>
          <w:i/>
        </w:rPr>
        <w:t>maios</w:t>
      </w:r>
      <w:r w:rsidR="00372E82" w:rsidRPr="003D1E07">
        <w:fldChar w:fldCharType="begin"/>
      </w:r>
      <w:r w:rsidR="00372E82" w:rsidRPr="003D1E07">
        <w:instrText xml:space="preserve"> XE "</w:instrText>
      </w:r>
      <w:r w:rsidR="081325FA" w:rsidRPr="003D1E07">
        <w:instrText xml:space="preserve">dialog </w:instrText>
      </w:r>
      <w:r w:rsidR="081325FA" w:rsidRPr="003D1E07">
        <w:rPr>
          <w:i/>
        </w:rPr>
        <w:instrText>Timaios</w:instrText>
      </w:r>
      <w:r w:rsidR="00372E82" w:rsidRPr="003D1E07">
        <w:instrText xml:space="preserve">" </w:instrText>
      </w:r>
      <w:r w:rsidR="00372E82" w:rsidRPr="003D1E07">
        <w:fldChar w:fldCharType="end"/>
      </w:r>
      <w:r w:rsidR="00994DAA" w:rsidRPr="003D1E07">
        <w:t>, v němž se predikují významy a substance v modu jsouc</w:t>
      </w:r>
      <w:r w:rsidR="00D8325F" w:rsidRPr="003D1E07">
        <w:t>en</w:t>
      </w:r>
      <w:r w:rsidR="00994DAA" w:rsidRPr="003D1E07">
        <w:t xml:space="preserve"> třetího druhu</w:t>
      </w:r>
      <w:r w:rsidR="00285E28" w:rsidRPr="003D1E07">
        <w:t xml:space="preserve">? </w:t>
      </w:r>
      <w:r w:rsidR="009B7E35" w:rsidRPr="003D1E07">
        <w:t>Následující řádky hned po výše uvedené citaci tuto nejasnost ohledně nové substance ještě prohlubují</w:t>
      </w:r>
      <w:r w:rsidR="0024535B">
        <w:t>, viz přidaný překlad T</w:t>
      </w:r>
      <w:r w:rsidR="08501327" w:rsidRPr="003D1E07">
        <w:t>ole</w:t>
      </w:r>
      <w:r w:rsidR="0024535B">
        <w:t>dské školy</w:t>
      </w:r>
      <w:r w:rsidR="009B7E35" w:rsidRPr="003D1E07">
        <w:t>.</w:t>
      </w:r>
      <w:r w:rsidR="00C6075B" w:rsidRPr="003D1E07">
        <w:rPr>
          <w:rStyle w:val="Znakapoznpodarou"/>
        </w:rPr>
        <w:footnoteReference w:id="92"/>
      </w:r>
      <w:r w:rsidR="08EF64E0" w:rsidRPr="003D1E07">
        <w:t xml:space="preserve"> Univerzália</w:t>
      </w:r>
      <w:r w:rsidR="00C6075B" w:rsidRPr="003D1E07">
        <w:t xml:space="preserve"> m</w:t>
      </w:r>
      <w:r w:rsidR="007C28DD" w:rsidRPr="003D1E07">
        <w:t xml:space="preserve">ají ve světě nějaký způsob </w:t>
      </w:r>
      <w:r w:rsidR="00217DC2" w:rsidRPr="003D1E07">
        <w:t xml:space="preserve">hypostázovaného </w:t>
      </w:r>
      <w:r w:rsidR="007C28DD" w:rsidRPr="003D1E07">
        <w:t xml:space="preserve">bytí, což </w:t>
      </w:r>
      <w:r w:rsidR="007C28DD" w:rsidRPr="003D1E07">
        <w:lastRenderedPageBreak/>
        <w:t xml:space="preserve">zdůrazňuje avicennistický překlad </w:t>
      </w:r>
      <w:r w:rsidR="009D36EA">
        <w:t>toletánů</w:t>
      </w:r>
      <w:r w:rsidR="007C28DD" w:rsidRPr="003D1E07">
        <w:t xml:space="preserve"> </w:t>
      </w:r>
      <w:r w:rsidR="00C6075B" w:rsidRPr="003D1E07">
        <w:t>(</w:t>
      </w:r>
      <w:r w:rsidR="00C6075B" w:rsidRPr="003D1E07">
        <w:rPr>
          <w:i/>
          <w:szCs w:val="24"/>
        </w:rPr>
        <w:t>habent esse in mundo</w:t>
      </w:r>
      <w:r w:rsidR="00C6075B" w:rsidRPr="003D1E07">
        <w:t>)</w:t>
      </w:r>
      <w:r w:rsidR="007C28DD" w:rsidRPr="003D1E07">
        <w:t xml:space="preserve">. </w:t>
      </w:r>
      <w:r w:rsidR="00D24A6C" w:rsidRPr="003D1E07">
        <w:t xml:space="preserve">Toto místo zakládá původní </w:t>
      </w:r>
      <w:r w:rsidR="00D24A6C" w:rsidRPr="003D1E07">
        <w:rPr>
          <w:i/>
        </w:rPr>
        <w:t>Lichtung</w:t>
      </w:r>
      <w:r w:rsidR="00D24A6C" w:rsidRPr="003D1E07">
        <w:t xml:space="preserve"> objektivity </w:t>
      </w:r>
      <w:r w:rsidR="00A21338" w:rsidRPr="003D1E07">
        <w:t>v</w:t>
      </w:r>
      <w:r w:rsidR="00CC6E5C" w:rsidRPr="003D1E07">
        <w:t xml:space="preserve"> epochálním </w:t>
      </w:r>
      <w:r w:rsidR="00A21338" w:rsidRPr="003D1E07">
        <w:t xml:space="preserve">modu </w:t>
      </w:r>
      <w:r w:rsidR="00A21338" w:rsidRPr="003D1E07">
        <w:rPr>
          <w:i/>
        </w:rPr>
        <w:t>Irrtum</w:t>
      </w:r>
      <w:r w:rsidR="00A21338" w:rsidRPr="003D1E07">
        <w:rPr>
          <w:i/>
        </w:rPr>
        <w:fldChar w:fldCharType="begin"/>
      </w:r>
      <w:r w:rsidR="00A21338" w:rsidRPr="003D1E07">
        <w:instrText xml:space="preserve"> XE "</w:instrText>
      </w:r>
      <w:r w:rsidR="00A21338" w:rsidRPr="003D1E07">
        <w:rPr>
          <w:i/>
        </w:rPr>
        <w:instrText>Irrtum</w:instrText>
      </w:r>
      <w:r w:rsidR="00A21338" w:rsidRPr="003D1E07">
        <w:instrText xml:space="preserve">" </w:instrText>
      </w:r>
      <w:r w:rsidR="00A21338" w:rsidRPr="003D1E07">
        <w:rPr>
          <w:i/>
        </w:rPr>
        <w:fldChar w:fldCharType="end"/>
      </w:r>
      <w:r w:rsidR="00CC6E5C" w:rsidRPr="003D1E07">
        <w:t xml:space="preserve">. </w:t>
      </w:r>
      <w:r w:rsidR="00BC1483" w:rsidRPr="003D1E07">
        <w:t>Objektivita ne</w:t>
      </w:r>
      <w:r w:rsidR="00CC6E5C" w:rsidRPr="003D1E07">
        <w:t>vznikl</w:t>
      </w:r>
      <w:r w:rsidR="00BC1483" w:rsidRPr="003D1E07">
        <w:t>a</w:t>
      </w:r>
      <w:r w:rsidR="00CC6E5C" w:rsidRPr="003D1E07">
        <w:t xml:space="preserve"> až </w:t>
      </w:r>
      <w:r w:rsidR="00BC1483" w:rsidRPr="003D1E07">
        <w:t xml:space="preserve">u </w:t>
      </w:r>
      <w:r w:rsidR="00CC6E5C" w:rsidRPr="003D1E07">
        <w:t>Avicenny</w:t>
      </w:r>
      <w:r w:rsidR="00DD436F" w:rsidRPr="003D1E07">
        <w:t xml:space="preserve">, ale </w:t>
      </w:r>
      <w:r w:rsidR="00CC6E5C" w:rsidRPr="003D1E07">
        <w:t xml:space="preserve">u </w:t>
      </w:r>
      <w:r w:rsidR="00DD436F" w:rsidRPr="003D1E07">
        <w:t>Al-Fá</w:t>
      </w:r>
      <w:r w:rsidR="00D24A6C" w:rsidRPr="003D1E07">
        <w:t>rábího</w:t>
      </w:r>
      <w:r w:rsidR="00A05E09" w:rsidRPr="003D1E07">
        <w:t xml:space="preserve">, kterého Toledská škola četla </w:t>
      </w:r>
      <w:r w:rsidR="08346FDF" w:rsidRPr="003D1E07">
        <w:t xml:space="preserve">a tradovala </w:t>
      </w:r>
      <w:r w:rsidR="00A46EF5" w:rsidRPr="003D1E07">
        <w:t>v paradigmatu A</w:t>
      </w:r>
      <w:r w:rsidR="00A05E09" w:rsidRPr="003D1E07">
        <w:t>vicenn</w:t>
      </w:r>
      <w:r w:rsidR="00A46EF5" w:rsidRPr="003D1E07">
        <w:t>ov</w:t>
      </w:r>
      <w:r w:rsidR="00A05E09" w:rsidRPr="003D1E07">
        <w:t>y</w:t>
      </w:r>
      <w:r w:rsidR="00A46EF5" w:rsidRPr="003D1E07">
        <w:t xml:space="preserve"> metafyziky</w:t>
      </w:r>
      <w:r w:rsidR="00D24A6C" w:rsidRPr="003D1E07">
        <w:t xml:space="preserve">. </w:t>
      </w:r>
      <w:r w:rsidR="083D50BE" w:rsidRPr="003D1E07">
        <w:t>Toletáni zavedli avicennistickou denudaci tam, kde měl Alfarabius iluminační schéma naroubov</w:t>
      </w:r>
      <w:r w:rsidR="00F82F53" w:rsidRPr="003D1E07">
        <w:t xml:space="preserve">ané na aristotelskou abstrakci. </w:t>
      </w:r>
      <w:r w:rsidR="080F20BD" w:rsidRPr="003D1E07">
        <w:t>Denudace vytvoří při iluminaci jsoucno třetího druhu</w:t>
      </w:r>
      <w:r w:rsidR="00F82F53" w:rsidRPr="003D1E07">
        <w:t xml:space="preserve"> v darovaném intelektu. </w:t>
      </w:r>
      <w:r w:rsidR="080F20BD" w:rsidRPr="003D1E07">
        <w:t xml:space="preserve">Alfarabius </w:t>
      </w:r>
      <w:r w:rsidR="00F82F53" w:rsidRPr="003D1E07">
        <w:t xml:space="preserve">má </w:t>
      </w:r>
      <w:r w:rsidR="080F20BD" w:rsidRPr="003D1E07">
        <w:t xml:space="preserve">iluminaci </w:t>
      </w:r>
      <w:r w:rsidR="08FD3DC8" w:rsidRPr="003D1E07">
        <w:t xml:space="preserve">pouze </w:t>
      </w:r>
      <w:r w:rsidR="000B7FAB" w:rsidRPr="003D1E07">
        <w:t>v rámci aristotelské</w:t>
      </w:r>
      <w:r w:rsidR="00F82F53" w:rsidRPr="003D1E07">
        <w:t xml:space="preserve"> </w:t>
      </w:r>
      <w:r w:rsidR="08827E7E" w:rsidRPr="003D1E07">
        <w:t>koncept</w:t>
      </w:r>
      <w:r w:rsidR="000B7FAB" w:rsidRPr="003D1E07">
        <w:t xml:space="preserve">ualizace. To </w:t>
      </w:r>
      <w:r w:rsidR="08827E7E" w:rsidRPr="003D1E07">
        <w:t xml:space="preserve">odpovídá abstrakci </w:t>
      </w:r>
      <w:r w:rsidR="00694700" w:rsidRPr="003D1E07">
        <w:t xml:space="preserve">podle </w:t>
      </w:r>
      <w:r w:rsidR="00694700" w:rsidRPr="003D1E07">
        <w:rPr>
          <w:i/>
        </w:rPr>
        <w:t>De anima</w:t>
      </w:r>
      <w:r w:rsidR="000B7FAB" w:rsidRPr="003D1E07">
        <w:t xml:space="preserve"> a predikaci podle </w:t>
      </w:r>
      <w:r w:rsidR="000B7FAB" w:rsidRPr="003D1E07">
        <w:rPr>
          <w:i/>
        </w:rPr>
        <w:t>Kategorií</w:t>
      </w:r>
      <w:r w:rsidR="000B7FAB" w:rsidRPr="003D1E07">
        <w:t xml:space="preserve">, které </w:t>
      </w:r>
      <w:r w:rsidR="08827E7E" w:rsidRPr="003D1E07">
        <w:t>vylučuj</w:t>
      </w:r>
      <w:r w:rsidR="000B7FAB" w:rsidRPr="003D1E07">
        <w:t>í</w:t>
      </w:r>
      <w:r w:rsidR="08827E7E" w:rsidRPr="003D1E07">
        <w:t xml:space="preserve"> jsouc</w:t>
      </w:r>
      <w:r w:rsidR="00F82F53" w:rsidRPr="003D1E07">
        <w:t xml:space="preserve">no třetího druhu. Neoplatonské intepretace </w:t>
      </w:r>
      <w:r w:rsidR="00223B06" w:rsidRPr="003D1E07">
        <w:t xml:space="preserve">spisu </w:t>
      </w:r>
      <w:r w:rsidR="00223B06" w:rsidRPr="003D1E07">
        <w:rPr>
          <w:i/>
        </w:rPr>
        <w:t>De anima</w:t>
      </w:r>
      <w:r w:rsidR="00223B06" w:rsidRPr="003D1E07">
        <w:t xml:space="preserve"> </w:t>
      </w:r>
      <w:r w:rsidR="00F82F53" w:rsidRPr="003D1E07">
        <w:t xml:space="preserve">vytvořily další zmatek ve výkladu poznání podle Druhého mistra. </w:t>
      </w:r>
      <w:r w:rsidR="08A7594D" w:rsidRPr="003D1E07">
        <w:t xml:space="preserve">Podle Aristotela se v </w:t>
      </w:r>
      <w:r w:rsidR="08DE2CBA" w:rsidRPr="003D1E07">
        <w:t>duši</w:t>
      </w:r>
      <w:r w:rsidR="080F20BD" w:rsidRPr="003D1E07">
        <w:t xml:space="preserve"> </w:t>
      </w:r>
      <w:r w:rsidR="08A7594D" w:rsidRPr="003D1E07">
        <w:t>poznává</w:t>
      </w:r>
      <w:r w:rsidR="080F20BD" w:rsidRPr="003D1E07">
        <w:t xml:space="preserve"> pouze mentální koncept v modu potence</w:t>
      </w:r>
      <w:r w:rsidR="08A12D86" w:rsidRPr="003D1E07">
        <w:t>,</w:t>
      </w:r>
      <w:r w:rsidR="080F20BD" w:rsidRPr="003D1E07">
        <w:t xml:space="preserve"> a ne aktuáln</w:t>
      </w:r>
      <w:r w:rsidR="08827E7E" w:rsidRPr="003D1E07">
        <w:t>í kosmická forma v modu objektivní pseudo-aktuality</w:t>
      </w:r>
      <w:r w:rsidR="080262A2" w:rsidRPr="003D1E07">
        <w:t xml:space="preserve"> </w:t>
      </w:r>
      <w:r w:rsidR="08705B0A" w:rsidRPr="003D1E07">
        <w:t>vytvořené</w:t>
      </w:r>
      <w:r w:rsidR="080262A2" w:rsidRPr="003D1E07">
        <w:t xml:space="preserve"> neoplatoniky</w:t>
      </w:r>
      <w:r w:rsidR="08827E7E" w:rsidRPr="003D1E07">
        <w:t xml:space="preserve">. </w:t>
      </w:r>
      <w:r w:rsidR="008E4F76">
        <w:t xml:space="preserve">Scholastikové </w:t>
      </w:r>
      <w:r w:rsidR="00CD683F" w:rsidRPr="003D1E07">
        <w:t xml:space="preserve">William z Auvergne (Alvernus) a Albert Veliký přijali Alfarabiovu formu konceptuální iluminace. </w:t>
      </w:r>
      <w:r w:rsidR="001B3142" w:rsidRPr="003D1E07">
        <w:t xml:space="preserve">Oba aristotelikové </w:t>
      </w:r>
      <w:r w:rsidR="00CD683F" w:rsidRPr="003D1E07">
        <w:t xml:space="preserve">hájili koncept nadpřirozené iluminace, ale </w:t>
      </w:r>
      <w:r w:rsidR="001B3142" w:rsidRPr="003D1E07">
        <w:t xml:space="preserve">odmítli </w:t>
      </w:r>
      <w:r w:rsidR="08827E7E" w:rsidRPr="003D1E07">
        <w:t>avi</w:t>
      </w:r>
      <w:r w:rsidR="00CD683F" w:rsidRPr="003D1E07">
        <w:t xml:space="preserve">cennovské </w:t>
      </w:r>
      <w:r w:rsidR="001B3142" w:rsidRPr="003D1E07">
        <w:t xml:space="preserve">objektivní </w:t>
      </w:r>
      <w:r w:rsidR="00CD683F" w:rsidRPr="003D1E07">
        <w:t xml:space="preserve">jsoucno třetího druhu. </w:t>
      </w:r>
      <w:r w:rsidR="083B197C" w:rsidRPr="003D1E07">
        <w:t>Tit</w:t>
      </w:r>
      <w:r w:rsidR="081100F9" w:rsidRPr="003D1E07">
        <w:t>o</w:t>
      </w:r>
      <w:r w:rsidR="083B197C" w:rsidRPr="003D1E07">
        <w:t xml:space="preserve"> zástupci prvního averroismu </w:t>
      </w:r>
      <w:r w:rsidR="007E15C4">
        <w:t xml:space="preserve">kritizovali </w:t>
      </w:r>
      <w:r w:rsidR="086A2ADB" w:rsidRPr="003D1E07">
        <w:t xml:space="preserve">avicennistickou formu objektivní iluminace danou jako </w:t>
      </w:r>
      <w:r w:rsidR="088110AC" w:rsidRPr="003D1E07">
        <w:t>intelektuální obtisk jso</w:t>
      </w:r>
      <w:r w:rsidR="08094212" w:rsidRPr="003D1E07">
        <w:t>ucna třetího druhu v duši.</w:t>
      </w:r>
      <w:r w:rsidR="08F374DD" w:rsidRPr="003D1E07">
        <w:t xml:space="preserve"> </w:t>
      </w:r>
      <w:r w:rsidR="00FA739F">
        <w:t xml:space="preserve">Alfarabiovo </w:t>
      </w:r>
      <w:r w:rsidR="00FA739F" w:rsidRPr="00FA739F">
        <w:rPr>
          <w:i/>
        </w:rPr>
        <w:t>aliud esse</w:t>
      </w:r>
      <w:r w:rsidR="00FA739F">
        <w:t xml:space="preserve"> se stalo jsoucnem třetího druhu tím, že že </w:t>
      </w:r>
      <w:r w:rsidR="08F374DD" w:rsidRPr="003D1E07">
        <w:t>přeš</w:t>
      </w:r>
      <w:r w:rsidR="088110AC" w:rsidRPr="003D1E07">
        <w:t>l</w:t>
      </w:r>
      <w:r w:rsidR="08F374DD" w:rsidRPr="003D1E07">
        <w:t>o</w:t>
      </w:r>
      <w:r w:rsidR="088110AC" w:rsidRPr="003D1E07">
        <w:t xml:space="preserve"> o</w:t>
      </w:r>
      <w:r w:rsidR="080E7508" w:rsidRPr="003D1E07">
        <w:t xml:space="preserve">d kosmického </w:t>
      </w:r>
      <w:r w:rsidR="080E7508" w:rsidRPr="003D1E07">
        <w:rPr>
          <w:i/>
        </w:rPr>
        <w:t>intellectus agens</w:t>
      </w:r>
      <w:r w:rsidR="080E7508" w:rsidRPr="003D1E07">
        <w:t xml:space="preserve"> do darovaného intelektu. </w:t>
      </w:r>
      <w:r w:rsidR="002E2370" w:rsidRPr="003D1E07">
        <w:t xml:space="preserve">Nové </w:t>
      </w:r>
      <w:r w:rsidR="007C28DD" w:rsidRPr="003D1E07">
        <w:t xml:space="preserve">bytí jsoucna </w:t>
      </w:r>
      <w:r w:rsidR="00AF426B" w:rsidRPr="003D1E07">
        <w:t xml:space="preserve">vytvořené </w:t>
      </w:r>
      <w:r w:rsidR="081100F9" w:rsidRPr="003D1E07">
        <w:t xml:space="preserve">v iluminaci </w:t>
      </w:r>
      <w:r w:rsidR="00C6075B" w:rsidRPr="003D1E07">
        <w:t xml:space="preserve">se </w:t>
      </w:r>
      <w:r w:rsidR="088816CC" w:rsidRPr="003D1E07">
        <w:t xml:space="preserve">zásadně </w:t>
      </w:r>
      <w:r w:rsidR="08BC004A" w:rsidRPr="003D1E07">
        <w:t xml:space="preserve">liší </w:t>
      </w:r>
      <w:r w:rsidR="003F483E" w:rsidRPr="003D1E07">
        <w:t xml:space="preserve">jak </w:t>
      </w:r>
      <w:r w:rsidR="00C6075B" w:rsidRPr="003D1E07">
        <w:t>od reálných první</w:t>
      </w:r>
      <w:r w:rsidR="000C64E7" w:rsidRPr="003D1E07">
        <w:t>ch</w:t>
      </w:r>
      <w:r w:rsidR="00C6075B" w:rsidRPr="003D1E07">
        <w:t xml:space="preserve"> substancí</w:t>
      </w:r>
      <w:r w:rsidR="003F483E" w:rsidRPr="003D1E07">
        <w:t xml:space="preserve">, tak </w:t>
      </w:r>
      <w:r w:rsidR="00C6075B" w:rsidRPr="003D1E07">
        <w:t xml:space="preserve">od druhých intencí daných </w:t>
      </w:r>
      <w:r w:rsidR="083B2E7B" w:rsidRPr="003D1E07">
        <w:t xml:space="preserve">pouze </w:t>
      </w:r>
      <w:r w:rsidR="00C6075B" w:rsidRPr="003D1E07">
        <w:t>v mysli</w:t>
      </w:r>
      <w:r w:rsidR="083B2E7B" w:rsidRPr="003D1E07">
        <w:t xml:space="preserve"> </w:t>
      </w:r>
      <w:r w:rsidR="08F438CB" w:rsidRPr="003D1E07">
        <w:t xml:space="preserve">a pouze </w:t>
      </w:r>
      <w:r w:rsidR="083B2E7B" w:rsidRPr="003D1E07">
        <w:t xml:space="preserve">jako </w:t>
      </w:r>
      <w:r w:rsidR="00D7290F" w:rsidRPr="003D1E07">
        <w:t xml:space="preserve">konceptuální </w:t>
      </w:r>
      <w:r w:rsidR="083B2E7B" w:rsidRPr="003D1E07">
        <w:t>potence</w:t>
      </w:r>
      <w:r w:rsidR="00C6075B" w:rsidRPr="003D1E07">
        <w:t xml:space="preserve">. </w:t>
      </w:r>
      <w:r w:rsidR="08A7184C" w:rsidRPr="003D1E07">
        <w:t xml:space="preserve">Darovaný intelekt </w:t>
      </w:r>
      <w:r w:rsidR="007A186C" w:rsidRPr="003D1E07">
        <w:t xml:space="preserve">modernistů </w:t>
      </w:r>
      <w:r w:rsidR="08A7184C" w:rsidRPr="003D1E07">
        <w:t>je přímo aktualizován</w:t>
      </w:r>
      <w:r w:rsidR="080945AA" w:rsidRPr="003D1E07">
        <w:t xml:space="preserve"> od odděleného kosmického </w:t>
      </w:r>
      <w:r w:rsidR="080945AA" w:rsidRPr="003D1E07">
        <w:rPr>
          <w:i/>
        </w:rPr>
        <w:t>intel</w:t>
      </w:r>
      <w:r w:rsidR="08A7184C" w:rsidRPr="003D1E07">
        <w:rPr>
          <w:i/>
        </w:rPr>
        <w:t>l</w:t>
      </w:r>
      <w:r w:rsidR="080945AA" w:rsidRPr="003D1E07">
        <w:rPr>
          <w:i/>
        </w:rPr>
        <w:t>e</w:t>
      </w:r>
      <w:r w:rsidR="08A7184C" w:rsidRPr="003D1E07">
        <w:rPr>
          <w:i/>
        </w:rPr>
        <w:t>ctus agens</w:t>
      </w:r>
      <w:r w:rsidR="080945AA" w:rsidRPr="003D1E07">
        <w:t xml:space="preserve">, </w:t>
      </w:r>
      <w:r w:rsidR="08A7184C" w:rsidRPr="003D1E07">
        <w:t xml:space="preserve">protože tvoří </w:t>
      </w:r>
      <w:r w:rsidR="08762F9D" w:rsidRPr="003D1E07">
        <w:t xml:space="preserve">plnou jednotu poznaného </w:t>
      </w:r>
      <w:r w:rsidR="00D57089" w:rsidRPr="003D1E07">
        <w:t>o</w:t>
      </w:r>
      <w:r w:rsidR="00A000F9" w:rsidRPr="003D1E07">
        <w:t>b</w:t>
      </w:r>
      <w:r w:rsidR="00D57089" w:rsidRPr="003D1E07">
        <w:t xml:space="preserve">sahu </w:t>
      </w:r>
      <w:r w:rsidR="08762F9D" w:rsidRPr="003D1E07">
        <w:t xml:space="preserve">a poznávajícího </w:t>
      </w:r>
      <w:r w:rsidR="00D57089" w:rsidRPr="003D1E07">
        <w:t>subjektu. Modernista přímo dostává nemateriální</w:t>
      </w:r>
      <w:r w:rsidR="00220B92" w:rsidRPr="003D1E07">
        <w:t xml:space="preserve"> a </w:t>
      </w:r>
      <w:r w:rsidR="00D57089" w:rsidRPr="003D1E07">
        <w:t>aktuální</w:t>
      </w:r>
      <w:r w:rsidR="08A7184C" w:rsidRPr="003D1E07">
        <w:t xml:space="preserve"> </w:t>
      </w:r>
      <w:r w:rsidR="00D57089" w:rsidRPr="003D1E07">
        <w:t xml:space="preserve">substance jako neoplatonská a později objektivní </w:t>
      </w:r>
      <w:r w:rsidR="00F214C5" w:rsidRPr="003D1E07">
        <w:t>species</w:t>
      </w:r>
      <w:r w:rsidR="08E02614" w:rsidRPr="003D1E07">
        <w:t xml:space="preserve">. Tato nová specifická jednota poznání vzniká </w:t>
      </w:r>
      <w:r w:rsidR="089465CA" w:rsidRPr="003D1E07">
        <w:t>na úrovni lidského darovaného a kosmického činného intelektu</w:t>
      </w:r>
      <w:r w:rsidR="000C64E7" w:rsidRPr="003D1E07">
        <w:t>.</w:t>
      </w:r>
      <w:r w:rsidR="006D17E0" w:rsidRPr="003D1E07">
        <w:t xml:space="preserve"> </w:t>
      </w:r>
      <w:r w:rsidR="08901200" w:rsidRPr="003D1E07">
        <w:t>Darovaný intelekt je nasvícen zezadu od odděleného činného intelekt</w:t>
      </w:r>
      <w:r w:rsidR="08C238B2" w:rsidRPr="003D1E07">
        <w:t>u</w:t>
      </w:r>
      <w:r w:rsidR="08901200" w:rsidRPr="003D1E07">
        <w:t xml:space="preserve"> a tím se stává aktuálním (</w:t>
      </w:r>
      <w:r w:rsidR="08901200" w:rsidRPr="003D1E07">
        <w:rPr>
          <w:i/>
        </w:rPr>
        <w:t>intellectus in effectu</w:t>
      </w:r>
      <w:r w:rsidR="08901200" w:rsidRPr="003D1E07">
        <w:t xml:space="preserve">). </w:t>
      </w:r>
      <w:r w:rsidR="006D17E0" w:rsidRPr="003D1E07">
        <w:t>V aktu pr</w:t>
      </w:r>
      <w:r w:rsidR="08BD4440" w:rsidRPr="003D1E07">
        <w:t>vní pre-</w:t>
      </w:r>
      <w:r w:rsidR="00994FCB" w:rsidRPr="003D1E07">
        <w:t xml:space="preserve">karteziánské reflexe </w:t>
      </w:r>
      <w:r w:rsidR="006D17E0" w:rsidRPr="003D1E07">
        <w:t>poz</w:t>
      </w:r>
      <w:r w:rsidR="00C01F6B" w:rsidRPr="003D1E07">
        <w:t xml:space="preserve">nává </w:t>
      </w:r>
      <w:r w:rsidR="002E2370" w:rsidRPr="003D1E07">
        <w:t xml:space="preserve">darovaný intelekt </w:t>
      </w:r>
      <w:r w:rsidR="00994FCB" w:rsidRPr="003D1E07">
        <w:t xml:space="preserve">aktualizované noema v jeho </w:t>
      </w:r>
      <w:r w:rsidR="006D17E0" w:rsidRPr="003D1E07">
        <w:t>esenciální povaze (</w:t>
      </w:r>
      <w:r w:rsidR="006D17E0" w:rsidRPr="003D1E07">
        <w:rPr>
          <w:i/>
        </w:rPr>
        <w:t>sunt intellecta in effectu et ipsa essencia</w:t>
      </w:r>
      <w:r w:rsidR="002E2370" w:rsidRPr="003D1E07">
        <w:t>). D</w:t>
      </w:r>
      <w:r w:rsidR="006D17E0" w:rsidRPr="003D1E07">
        <w:t xml:space="preserve">íky </w:t>
      </w:r>
      <w:r w:rsidR="00C01F6B" w:rsidRPr="003D1E07">
        <w:t xml:space="preserve">takto uchopené </w:t>
      </w:r>
      <w:r w:rsidR="08BF493B" w:rsidRPr="003D1E07">
        <w:t xml:space="preserve">univerzální </w:t>
      </w:r>
      <w:r w:rsidR="00C01F6B" w:rsidRPr="003D1E07">
        <w:t xml:space="preserve">esenci </w:t>
      </w:r>
      <w:r w:rsidR="002E2370" w:rsidRPr="003D1E07">
        <w:t xml:space="preserve">se následně </w:t>
      </w:r>
      <w:r w:rsidR="00C01F6B" w:rsidRPr="003D1E07">
        <w:t xml:space="preserve">poznává </w:t>
      </w:r>
      <w:r w:rsidR="006D17E0" w:rsidRPr="003D1E07">
        <w:t>intelekt ve své aktualitě (</w:t>
      </w:r>
      <w:r w:rsidR="006D17E0" w:rsidRPr="003D1E07">
        <w:rPr>
          <w:i/>
        </w:rPr>
        <w:t>sit intellectus in effectu et intelligat eciam</w:t>
      </w:r>
      <w:r w:rsidR="006D17E0" w:rsidRPr="003D1E07">
        <w:t>).</w:t>
      </w:r>
      <w:r w:rsidR="00687C84" w:rsidRPr="003D1E07">
        <w:rPr>
          <w:rStyle w:val="Znakapoznpodarou"/>
        </w:rPr>
        <w:footnoteReference w:id="93"/>
      </w:r>
      <w:r w:rsidR="000C64E7" w:rsidRPr="003D1E07">
        <w:t xml:space="preserve"> </w:t>
      </w:r>
      <w:r w:rsidR="003F4928" w:rsidRPr="003D1E07">
        <w:t xml:space="preserve">Toledský </w:t>
      </w:r>
      <w:r w:rsidR="003F4928" w:rsidRPr="003D1E07">
        <w:lastRenderedPageBreak/>
        <w:t xml:space="preserve">překlad </w:t>
      </w:r>
      <w:r w:rsidR="08BF493B" w:rsidRPr="003D1E07">
        <w:t xml:space="preserve">vidí jen </w:t>
      </w:r>
      <w:r w:rsidR="000C64E7" w:rsidRPr="003D1E07">
        <w:t xml:space="preserve">aktuální poznání nemateriálních forem, které tvoří jednotu </w:t>
      </w:r>
      <w:r w:rsidR="08A95961" w:rsidRPr="003D1E07">
        <w:t xml:space="preserve">darovaného a nyní aktzualizovaného lidského intelektu ozářeného od aktuálního a odděleného </w:t>
      </w:r>
      <w:r w:rsidR="000C64E7" w:rsidRPr="003D1E07">
        <w:t>činn</w:t>
      </w:r>
      <w:r w:rsidR="08A95961" w:rsidRPr="003D1E07">
        <w:t>ého intelektu</w:t>
      </w:r>
      <w:r w:rsidR="00B66433" w:rsidRPr="003D1E07">
        <w:rPr>
          <w:i/>
        </w:rPr>
        <w:fldChar w:fldCharType="begin"/>
      </w:r>
      <w:r w:rsidR="00B66433" w:rsidRPr="003D1E07">
        <w:instrText xml:space="preserve"> XE "</w:instrText>
      </w:r>
      <w:r w:rsidR="00B66433" w:rsidRPr="003D1E07">
        <w:rPr>
          <w:i/>
        </w:rPr>
        <w:instrText>intellectus in effectu</w:instrText>
      </w:r>
      <w:r w:rsidR="00B66433" w:rsidRPr="003D1E07">
        <w:instrText xml:space="preserve">" </w:instrText>
      </w:r>
      <w:r w:rsidR="00B66433" w:rsidRPr="003D1E07">
        <w:rPr>
          <w:i/>
        </w:rPr>
        <w:fldChar w:fldCharType="end"/>
      </w:r>
      <w:r w:rsidR="000C64E7" w:rsidRPr="003D1E07">
        <w:t xml:space="preserve">. </w:t>
      </w:r>
      <w:r w:rsidR="08990213" w:rsidRPr="003D1E07">
        <w:t xml:space="preserve">Tento nový druh </w:t>
      </w:r>
      <w:r w:rsidR="00F214C5" w:rsidRPr="003D1E07">
        <w:t>species</w:t>
      </w:r>
      <w:r w:rsidR="08990213" w:rsidRPr="003D1E07">
        <w:t xml:space="preserve"> (</w:t>
      </w:r>
      <w:r w:rsidR="08990213" w:rsidRPr="003D1E07">
        <w:rPr>
          <w:i/>
        </w:rPr>
        <w:t>ipsa essencia</w:t>
      </w:r>
      <w:r w:rsidR="08990213" w:rsidRPr="003D1E07">
        <w:t xml:space="preserve">) je pro Avicennu dán aktuálně, protože lidský </w:t>
      </w:r>
      <w:r w:rsidR="08990213" w:rsidRPr="003D1E07">
        <w:rPr>
          <w:i/>
        </w:rPr>
        <w:t xml:space="preserve">intellectus adeptus </w:t>
      </w:r>
      <w:r w:rsidR="08990213" w:rsidRPr="003D1E07">
        <w:t xml:space="preserve">nazírá tyto objektivní esence přímo a bezprostředně. </w:t>
      </w:r>
      <w:r w:rsidR="08D03719" w:rsidRPr="003D1E07">
        <w:t xml:space="preserve">Kosmické formy produkované skrze </w:t>
      </w:r>
      <w:r w:rsidR="08D03719" w:rsidRPr="003D1E07">
        <w:rPr>
          <w:i/>
        </w:rPr>
        <w:t>intellectus agens</w:t>
      </w:r>
      <w:r w:rsidR="08D03719" w:rsidRPr="003D1E07">
        <w:rPr>
          <w:i/>
        </w:rPr>
        <w:fldChar w:fldCharType="begin"/>
      </w:r>
      <w:r w:rsidR="08D03719" w:rsidRPr="003D1E07">
        <w:instrText xml:space="preserve"> XE "</w:instrText>
      </w:r>
      <w:r w:rsidR="08D03719" w:rsidRPr="003D1E07">
        <w:rPr>
          <w:i/>
        </w:rPr>
        <w:instrText>intellectus agens:</w:instrText>
      </w:r>
      <w:r w:rsidR="08D03719" w:rsidRPr="003D1E07">
        <w:instrText xml:space="preserve">falsafa" </w:instrText>
      </w:r>
      <w:r w:rsidR="08D03719" w:rsidRPr="003D1E07">
        <w:rPr>
          <w:i/>
        </w:rPr>
        <w:fldChar w:fldCharType="end"/>
      </w:r>
      <w:r w:rsidR="08D03719" w:rsidRPr="003D1E07">
        <w:t xml:space="preserve"> jsou dány pro intelekt-slunce přímo jako </w:t>
      </w:r>
      <w:r w:rsidR="08D03719" w:rsidRPr="003D1E07">
        <w:rPr>
          <w:i/>
        </w:rPr>
        <w:t>intellectum primum</w:t>
      </w:r>
      <w:r w:rsidR="08D03719" w:rsidRPr="003D1E07">
        <w:t xml:space="preserve">, a navíc je iluminát poznává v jejich vlastní aktualitě. </w:t>
      </w:r>
      <w:r w:rsidR="000C64E7" w:rsidRPr="003D1E07">
        <w:t xml:space="preserve">Avicenna </w:t>
      </w:r>
      <w:r w:rsidR="00841D8F" w:rsidRPr="003D1E07">
        <w:t xml:space="preserve">etabluje tuto sféru </w:t>
      </w:r>
      <w:r w:rsidR="000C64E7" w:rsidRPr="003D1E07">
        <w:t xml:space="preserve">jako základní model </w:t>
      </w:r>
      <w:r w:rsidR="003B6740" w:rsidRPr="003D1E07">
        <w:t xml:space="preserve">nové </w:t>
      </w:r>
      <w:r w:rsidR="000C64E7" w:rsidRPr="003D1E07">
        <w:t>metafyziky</w:t>
      </w:r>
      <w:r w:rsidR="00841D8F" w:rsidRPr="003D1E07">
        <w:t xml:space="preserve"> </w:t>
      </w:r>
      <w:r w:rsidR="00F32460" w:rsidRPr="003D1E07">
        <w:t>a p</w:t>
      </w:r>
      <w:r w:rsidR="00DD6958" w:rsidRPr="003D1E07">
        <w:t>o něm ji převezme latinská moderna a postmoderna</w:t>
      </w:r>
      <w:r w:rsidR="00780137" w:rsidRPr="003D1E07">
        <w:t xml:space="preserve">. </w:t>
      </w:r>
      <w:r w:rsidR="08BD4440" w:rsidRPr="003D1E07">
        <w:t>Al-</w:t>
      </w:r>
      <w:r w:rsidR="00DD436F" w:rsidRPr="003D1E07">
        <w:t>Fá</w:t>
      </w:r>
      <w:r w:rsidR="000C64E7" w:rsidRPr="003D1E07">
        <w:t xml:space="preserve">rábí </w:t>
      </w:r>
      <w:r w:rsidR="009057B9" w:rsidRPr="003D1E07">
        <w:t xml:space="preserve">ale </w:t>
      </w:r>
      <w:r w:rsidR="00EE03A2" w:rsidRPr="003D1E07">
        <w:t>není modernista na způsob Avicenny</w:t>
      </w:r>
      <w:r w:rsidR="00DD436F" w:rsidRPr="003D1E07">
        <w:t>, což správně viděl Averroe</w:t>
      </w:r>
      <w:r w:rsidR="00015352" w:rsidRPr="003D1E07">
        <w:t>s</w:t>
      </w:r>
      <w:r w:rsidR="00EE03A2" w:rsidRPr="003D1E07">
        <w:t xml:space="preserve">. </w:t>
      </w:r>
      <w:r w:rsidR="084C7135" w:rsidRPr="003D1E07">
        <w:t xml:space="preserve">Druhý mistr </w:t>
      </w:r>
      <w:r w:rsidR="00EE03A2" w:rsidRPr="003D1E07">
        <w:t xml:space="preserve">určuje </w:t>
      </w:r>
      <w:r w:rsidR="084C7135" w:rsidRPr="003D1E07">
        <w:t xml:space="preserve">poznání podle </w:t>
      </w:r>
      <w:r w:rsidR="000C64E7" w:rsidRPr="003D1E07">
        <w:t>klasické</w:t>
      </w:r>
      <w:r w:rsidR="08793634" w:rsidRPr="003D1E07">
        <w:t>ho</w:t>
      </w:r>
      <w:r w:rsidR="000C64E7" w:rsidRPr="003D1E07">
        <w:t xml:space="preserve"> </w:t>
      </w:r>
      <w:r w:rsidR="00780137" w:rsidRPr="003D1E07">
        <w:t>schéma</w:t>
      </w:r>
      <w:r w:rsidR="084C7135" w:rsidRPr="003D1E07">
        <w:t xml:space="preserve">tu </w:t>
      </w:r>
      <w:r w:rsidR="000C64E7" w:rsidRPr="003D1E07">
        <w:t xml:space="preserve">Aristotelovy </w:t>
      </w:r>
      <w:r w:rsidR="000C64E7" w:rsidRPr="003D1E07">
        <w:rPr>
          <w:i/>
        </w:rPr>
        <w:t>De anima</w:t>
      </w:r>
      <w:r w:rsidR="00780137" w:rsidRPr="003D1E07">
        <w:t xml:space="preserve">, v němž </w:t>
      </w:r>
      <w:r w:rsidR="000C64E7" w:rsidRPr="003D1E07">
        <w:t xml:space="preserve">je </w:t>
      </w:r>
      <w:r w:rsidR="08793634" w:rsidRPr="003D1E07">
        <w:rPr>
          <w:i/>
        </w:rPr>
        <w:t>intellectus in potencia</w:t>
      </w:r>
      <w:r w:rsidR="08793634" w:rsidRPr="003D1E07">
        <w:t xml:space="preserve"> </w:t>
      </w:r>
      <w:r w:rsidR="000C64E7" w:rsidRPr="003D1E07">
        <w:t>aktualizován ve své potenci</w:t>
      </w:r>
      <w:r w:rsidR="08733454" w:rsidRPr="003D1E07">
        <w:t xml:space="preserve"> skrze iluminaci</w:t>
      </w:r>
      <w:r w:rsidR="08BC7D14" w:rsidRPr="003D1E07">
        <w:t xml:space="preserve"> až úplně nakonec</w:t>
      </w:r>
      <w:r w:rsidR="000C64E7" w:rsidRPr="003D1E07">
        <w:t xml:space="preserve">. </w:t>
      </w:r>
      <w:r w:rsidR="08BC7D14" w:rsidRPr="003D1E07">
        <w:t xml:space="preserve">Moudrý člověk není přirozeně božský hned, ale až po kompletně završeném poznání. Tento drobný detail zásadně obhajovaný v teorii poznání Druhého mistra unikl </w:t>
      </w:r>
      <w:r w:rsidR="007034A2" w:rsidRPr="003D1E07">
        <w:t xml:space="preserve">nekritické </w:t>
      </w:r>
      <w:r w:rsidR="08BC7D14" w:rsidRPr="003D1E07">
        <w:t xml:space="preserve">moderně, která pod metodickým vedením Fúrií nazírá objektivní moudrost hned a přímo. </w:t>
      </w:r>
      <w:r w:rsidR="08192A30" w:rsidRPr="003D1E07">
        <w:t>Originální s</w:t>
      </w:r>
      <w:r w:rsidR="008D2177" w:rsidRPr="003D1E07">
        <w:t xml:space="preserve">pis </w:t>
      </w:r>
      <w:r w:rsidR="008D2177" w:rsidRPr="003D1E07">
        <w:rPr>
          <w:i/>
        </w:rPr>
        <w:t>De anima</w:t>
      </w:r>
      <w:r w:rsidR="008D2177" w:rsidRPr="003D1E07">
        <w:t xml:space="preserve"> má jiný typ poznání, než přímý náhled </w:t>
      </w:r>
      <w:r w:rsidR="008F60FF" w:rsidRPr="003D1E07">
        <w:t>samostatně existujících f</w:t>
      </w:r>
      <w:r w:rsidR="008D2177" w:rsidRPr="003D1E07">
        <w:t>orem</w:t>
      </w:r>
      <w:r w:rsidR="008F60FF" w:rsidRPr="003D1E07">
        <w:t xml:space="preserve"> a i</w:t>
      </w:r>
      <w:r w:rsidR="002B6CDC" w:rsidRPr="003D1E07">
        <w:t xml:space="preserve">nteligencí v </w:t>
      </w:r>
      <w:r w:rsidR="00874074" w:rsidRPr="003D1E07">
        <w:t>neoplatonsk</w:t>
      </w:r>
      <w:r w:rsidR="00F51CD3" w:rsidRPr="003D1E07">
        <w:t xml:space="preserve">ém </w:t>
      </w:r>
      <w:r w:rsidR="002B6CDC" w:rsidRPr="003D1E07">
        <w:t>diakosmu</w:t>
      </w:r>
      <w:r w:rsidR="008D2177" w:rsidRPr="003D1E07">
        <w:t xml:space="preserve">. </w:t>
      </w:r>
      <w:r w:rsidR="005937DA" w:rsidRPr="003D1E07">
        <w:t>Možný intel</w:t>
      </w:r>
      <w:r w:rsidR="007C460E" w:rsidRPr="003D1E07">
        <w:t>ekt vnímá poznávací formy pouze v jejich potenci</w:t>
      </w:r>
      <w:r w:rsidR="00F51CD3" w:rsidRPr="003D1E07">
        <w:t>, protože aktuálně jsou dány v reálné první substanci</w:t>
      </w:r>
      <w:r w:rsidR="007C460E" w:rsidRPr="003D1E07">
        <w:t>.</w:t>
      </w:r>
      <w:r w:rsidR="007C460E" w:rsidRPr="003D1E07">
        <w:rPr>
          <w:rStyle w:val="Znakapoznpodarou"/>
        </w:rPr>
        <w:footnoteReference w:id="94"/>
      </w:r>
      <w:r w:rsidR="00F51CD3" w:rsidRPr="003D1E07">
        <w:t xml:space="preserve"> Aktualizace poznání</w:t>
      </w:r>
      <w:r w:rsidR="007C460E" w:rsidRPr="003D1E07">
        <w:t xml:space="preserve"> se děje skrze proces abstrakce</w:t>
      </w:r>
      <w:r w:rsidR="00282FAE" w:rsidRPr="003D1E07">
        <w:t xml:space="preserve"> daný </w:t>
      </w:r>
      <w:r w:rsidR="00EC14EA" w:rsidRPr="003D1E07">
        <w:t>recepcí</w:t>
      </w:r>
      <w:r w:rsidR="005937DA" w:rsidRPr="003D1E07">
        <w:t xml:space="preserve"> abstrahovaných forem do potenciálního </w:t>
      </w:r>
      <w:r w:rsidR="007C460E" w:rsidRPr="003D1E07">
        <w:t>intelekt</w:t>
      </w:r>
      <w:r w:rsidR="005937DA" w:rsidRPr="003D1E07">
        <w:t>u</w:t>
      </w:r>
      <w:r w:rsidR="085B16D2" w:rsidRPr="003D1E07">
        <w:t xml:space="preserve">, který po materiálním smyslovém poznání </w:t>
      </w:r>
      <w:r w:rsidR="0840370F" w:rsidRPr="003D1E07">
        <w:t xml:space="preserve">produkuje druhý typ </w:t>
      </w:r>
      <w:r w:rsidR="085B16D2" w:rsidRPr="003D1E07">
        <w:t xml:space="preserve">nemateriálního </w:t>
      </w:r>
      <w:r w:rsidR="0840370F" w:rsidRPr="003D1E07">
        <w:t xml:space="preserve">poznání </w:t>
      </w:r>
      <w:r w:rsidR="00282FAE" w:rsidRPr="003D1E07">
        <w:t>(</w:t>
      </w:r>
      <w:r w:rsidR="00282FAE" w:rsidRPr="003D1E07">
        <w:rPr>
          <w:i/>
        </w:rPr>
        <w:t>intellectum secundum</w:t>
      </w:r>
      <w:r w:rsidR="00282FAE" w:rsidRPr="003D1E07">
        <w:t>)</w:t>
      </w:r>
      <w:r w:rsidR="007C460E" w:rsidRPr="003D1E07">
        <w:t xml:space="preserve">. </w:t>
      </w:r>
      <w:r w:rsidR="08921FE8" w:rsidRPr="003D1E07">
        <w:t>Tento způsob aktualizace formy v intelektu se liší od přímého náhledu již aktuální poznané formy, která je dána jako jsoucno třetího druhu</w:t>
      </w:r>
      <w:r w:rsidR="008305FD">
        <w:t xml:space="preserve"> </w:t>
      </w:r>
      <w:r w:rsidR="008305FD" w:rsidRPr="003D1E07">
        <w:t>(</w:t>
      </w:r>
      <w:r w:rsidR="008305FD" w:rsidRPr="003D1E07">
        <w:rPr>
          <w:i/>
        </w:rPr>
        <w:t xml:space="preserve">intellectum </w:t>
      </w:r>
      <w:r w:rsidR="008305FD">
        <w:rPr>
          <w:i/>
        </w:rPr>
        <w:t>primum</w:t>
      </w:r>
      <w:r w:rsidR="008305FD" w:rsidRPr="003D1E07">
        <w:t>)</w:t>
      </w:r>
      <w:r w:rsidR="08921FE8" w:rsidRPr="003D1E07">
        <w:t xml:space="preserve">. </w:t>
      </w:r>
      <w:r w:rsidR="08B9770B" w:rsidRPr="003D1E07">
        <w:t xml:space="preserve">Al-Farábí modifikoval Alexandrův neoplatonský výklad poznání podle </w:t>
      </w:r>
      <w:r w:rsidR="08B9770B" w:rsidRPr="003D1E07">
        <w:rPr>
          <w:i/>
        </w:rPr>
        <w:t>De anima</w:t>
      </w:r>
      <w:r w:rsidR="08B9770B" w:rsidRPr="003D1E07">
        <w:t xml:space="preserve"> tím, že jej aplikoval na transcendentální pojetí pravdy podle </w:t>
      </w:r>
      <w:r w:rsidR="08B9770B" w:rsidRPr="003D1E07">
        <w:rPr>
          <w:i/>
        </w:rPr>
        <w:t>Met</w:t>
      </w:r>
      <w:r w:rsidR="08B9770B" w:rsidRPr="003D1E07">
        <w:t xml:space="preserve">. VII.2. Protože tato pravda je dána na úrovni aktuálních nemateriálních </w:t>
      </w:r>
      <w:r w:rsidR="08545D2D" w:rsidRPr="003D1E07">
        <w:t xml:space="preserve">prvních </w:t>
      </w:r>
      <w:r w:rsidR="08B9770B" w:rsidRPr="003D1E07">
        <w:t>substancí</w:t>
      </w:r>
      <w:r w:rsidR="08AE2C93" w:rsidRPr="003D1E07">
        <w:t xml:space="preserve">, pak musí </w:t>
      </w:r>
      <w:r w:rsidR="08545D2D" w:rsidRPr="003D1E07">
        <w:t xml:space="preserve">aktualizovat </w:t>
      </w:r>
      <w:r w:rsidR="08545D2D" w:rsidRPr="003D1E07">
        <w:rPr>
          <w:i/>
        </w:rPr>
        <w:t>intellectus in potencia</w:t>
      </w:r>
      <w:r w:rsidR="08AE2C93" w:rsidRPr="003D1E07">
        <w:t xml:space="preserve"> mediací přes darovaný intelekt, který je přímo aktualizovaný kosmickými formami. </w:t>
      </w:r>
      <w:r w:rsidR="08545D2D" w:rsidRPr="003D1E07">
        <w:t xml:space="preserve">Receptivní intelekt je nemateriální a potenciální, pravda </w:t>
      </w:r>
      <w:r w:rsidR="08550932" w:rsidRPr="003D1E07">
        <w:t xml:space="preserve">jako přímé určení jsoucna </w:t>
      </w:r>
      <w:r w:rsidR="089A2CE5" w:rsidRPr="003D1E07">
        <w:t xml:space="preserve">podle </w:t>
      </w:r>
      <w:r w:rsidR="089A2CE5" w:rsidRPr="003D1E07">
        <w:rPr>
          <w:i/>
        </w:rPr>
        <w:t>Met</w:t>
      </w:r>
      <w:r w:rsidR="089A2CE5" w:rsidRPr="003D1E07">
        <w:t xml:space="preserve">. VII.2 </w:t>
      </w:r>
      <w:r w:rsidR="08545D2D" w:rsidRPr="003D1E07">
        <w:t xml:space="preserve">je nemateriální a aktuální, takže je možné vytvořit schéma poznání jako přechodu od potence k aktualitě. </w:t>
      </w:r>
      <w:r w:rsidR="08550932" w:rsidRPr="003D1E07">
        <w:t xml:space="preserve">Tím je vysvětleno, proč Al-Fárábí zavedl vedle aristotelské abstrakce </w:t>
      </w:r>
      <w:r w:rsidR="08550932" w:rsidRPr="003D1E07">
        <w:lastRenderedPageBreak/>
        <w:t>také vlastní formu neoplatonského náhledu na poznávací formu (</w:t>
      </w:r>
      <w:r w:rsidR="08A35513" w:rsidRPr="003D1E07">
        <w:rPr>
          <w:i/>
        </w:rPr>
        <w:t>illuminatio</w:t>
      </w:r>
      <w:r w:rsidR="081C0813" w:rsidRPr="003D1E07">
        <w:rPr>
          <w:i/>
        </w:rPr>
        <w:fldChar w:fldCharType="begin"/>
      </w:r>
      <w:r w:rsidR="081C0813" w:rsidRPr="003D1E07">
        <w:instrText xml:space="preserve"> XE "</w:instrText>
      </w:r>
      <w:r w:rsidR="08112FF3" w:rsidRPr="003D1E07">
        <w:instrText>iluminace</w:instrText>
      </w:r>
      <w:r w:rsidR="081C0813" w:rsidRPr="003D1E07">
        <w:instrText xml:space="preserve">:Al-Fárábí" </w:instrText>
      </w:r>
      <w:r w:rsidR="081C0813" w:rsidRPr="003D1E07">
        <w:rPr>
          <w:i/>
        </w:rPr>
        <w:fldChar w:fldCharType="end"/>
      </w:r>
      <w:r w:rsidR="08550932" w:rsidRPr="003D1E07">
        <w:t xml:space="preserve">). Tuto formu </w:t>
      </w:r>
      <w:r w:rsidR="08A35513" w:rsidRPr="003D1E07">
        <w:t xml:space="preserve">náhledu na poznanou formu </w:t>
      </w:r>
      <w:r w:rsidR="08CE2363" w:rsidRPr="003D1E07">
        <w:t>ne</w:t>
      </w:r>
      <w:r w:rsidR="08550932" w:rsidRPr="003D1E07">
        <w:t xml:space="preserve">umístil </w:t>
      </w:r>
      <w:r w:rsidR="08B36B61" w:rsidRPr="003D1E07">
        <w:t xml:space="preserve">podle Aristotela </w:t>
      </w:r>
      <w:r w:rsidR="08550932" w:rsidRPr="003D1E07">
        <w:t xml:space="preserve">do čistě receptivního </w:t>
      </w:r>
      <w:r w:rsidR="08550932" w:rsidRPr="003D1E07">
        <w:rPr>
          <w:i/>
        </w:rPr>
        <w:t>intellectus in potencia</w:t>
      </w:r>
      <w:r w:rsidR="08A35513" w:rsidRPr="003D1E07">
        <w:t xml:space="preserve">, </w:t>
      </w:r>
      <w:r w:rsidR="08CE2363" w:rsidRPr="003D1E07">
        <w:t>protože ten je aktivovaný skrze abstrakci od smyslů. Iluminace působí na možný intelekt skrze mediaci darovaného intelektu, protože ten aktualizuje nasvícení poznání zezadu</w:t>
      </w:r>
      <w:r w:rsidR="08A35513" w:rsidRPr="003D1E07">
        <w:t>. A</w:t>
      </w:r>
      <w:r w:rsidR="08766BB9" w:rsidRPr="003D1E07">
        <w:t>ktualiz</w:t>
      </w:r>
      <w:r w:rsidR="08DE6A12" w:rsidRPr="003D1E07">
        <w:t xml:space="preserve">ace </w:t>
      </w:r>
      <w:r w:rsidR="08A35513" w:rsidRPr="003D1E07">
        <w:t xml:space="preserve">darovaného intelektu </w:t>
      </w:r>
      <w:r w:rsidR="08DE6A12" w:rsidRPr="003D1E07">
        <w:t>je pak dvojí</w:t>
      </w:r>
      <w:r w:rsidR="00825F3D">
        <w:t>:</w:t>
      </w:r>
      <w:r w:rsidR="08DE6A12" w:rsidRPr="003D1E07">
        <w:t xml:space="preserve"> od kosmické formy a od smyslové představy</w:t>
      </w:r>
      <w:r w:rsidR="0869590C" w:rsidRPr="003D1E07">
        <w:t xml:space="preserve"> předané skrze </w:t>
      </w:r>
      <w:r w:rsidR="0869590C" w:rsidRPr="003D1E07">
        <w:rPr>
          <w:i/>
        </w:rPr>
        <w:t>intellectus in potencia</w:t>
      </w:r>
      <w:r w:rsidR="08DE6A12" w:rsidRPr="003D1E07">
        <w:t xml:space="preserve">. </w:t>
      </w:r>
      <w:r w:rsidR="00B863C0" w:rsidRPr="003D1E07">
        <w:t>J</w:t>
      </w:r>
      <w:r w:rsidR="009C735E" w:rsidRPr="003D1E07">
        <w:t>ak</w:t>
      </w:r>
      <w:r w:rsidR="08766BB9" w:rsidRPr="003D1E07">
        <w:t xml:space="preserve"> první</w:t>
      </w:r>
      <w:r w:rsidR="006B3E05" w:rsidRPr="003D1E07">
        <w:t xml:space="preserve"> tak i druhá intence </w:t>
      </w:r>
      <w:r w:rsidR="009C735E" w:rsidRPr="003D1E07">
        <w:t>je schop</w:t>
      </w:r>
      <w:r w:rsidR="006B3E05" w:rsidRPr="003D1E07">
        <w:t>na</w:t>
      </w:r>
      <w:r w:rsidR="009C735E" w:rsidRPr="003D1E07">
        <w:t xml:space="preserve"> </w:t>
      </w:r>
      <w:r w:rsidR="00B863C0" w:rsidRPr="003D1E07">
        <w:t xml:space="preserve">podle uvedené citace </w:t>
      </w:r>
      <w:r w:rsidR="009C735E" w:rsidRPr="003D1E07">
        <w:t>aktualizovat intelekt a vytvořit aktuální poznanou formu</w:t>
      </w:r>
      <w:r w:rsidR="00052B1E" w:rsidRPr="003D1E07">
        <w:t xml:space="preserve"> (</w:t>
      </w:r>
      <w:r w:rsidR="00052B1E" w:rsidRPr="003D1E07">
        <w:rPr>
          <w:i/>
        </w:rPr>
        <w:t>fiet intellectus in effectu propter intellectum primum et intellectum secundum</w:t>
      </w:r>
      <w:r w:rsidR="00052B1E" w:rsidRPr="003D1E07">
        <w:t>)</w:t>
      </w:r>
      <w:r w:rsidR="009C735E" w:rsidRPr="003D1E07">
        <w:t>.</w:t>
      </w:r>
      <w:r w:rsidR="00052B1E" w:rsidRPr="003D1E07">
        <w:t xml:space="preserve"> </w:t>
      </w:r>
      <w:r w:rsidR="005B783D" w:rsidRPr="003D1E07">
        <w:t>R</w:t>
      </w:r>
      <w:r w:rsidR="00052B1E" w:rsidRPr="003D1E07">
        <w:t>ozdíl mezi oběma druhy pozná</w:t>
      </w:r>
      <w:r w:rsidR="007E2795" w:rsidRPr="003D1E07">
        <w:t xml:space="preserve">ní </w:t>
      </w:r>
      <w:r w:rsidR="08D7277F" w:rsidRPr="003D1E07">
        <w:t xml:space="preserve">v modu </w:t>
      </w:r>
      <w:r w:rsidR="08D7277F" w:rsidRPr="003D1E07">
        <w:rPr>
          <w:i/>
        </w:rPr>
        <w:t>intellectum primum</w:t>
      </w:r>
      <w:r w:rsidR="08D7277F" w:rsidRPr="003D1E07">
        <w:t xml:space="preserve"> a </w:t>
      </w:r>
      <w:r w:rsidR="08D7277F" w:rsidRPr="003D1E07">
        <w:rPr>
          <w:i/>
        </w:rPr>
        <w:t>secundum</w:t>
      </w:r>
      <w:r w:rsidR="08D7277F" w:rsidRPr="003D1E07">
        <w:t xml:space="preserve"> </w:t>
      </w:r>
      <w:r w:rsidR="007E2795" w:rsidRPr="003D1E07">
        <w:t>je zásadní</w:t>
      </w:r>
      <w:r w:rsidR="08CF2CE1" w:rsidRPr="003D1E07">
        <w:t xml:space="preserve"> a odpovídá uvedenému výkladu </w:t>
      </w:r>
      <w:r w:rsidR="08CF2CE1" w:rsidRPr="003D1E07">
        <w:rPr>
          <w:i/>
        </w:rPr>
        <w:t>Kategorií</w:t>
      </w:r>
      <w:r w:rsidR="08CF2CE1" w:rsidRPr="003D1E07">
        <w:t xml:space="preserve"> 2a11–16</w:t>
      </w:r>
      <w:r w:rsidR="08CF2CE1" w:rsidRPr="003D1E07">
        <w:rPr>
          <w:szCs w:val="15"/>
        </w:rPr>
        <w:fldChar w:fldCharType="begin"/>
      </w:r>
      <w:r w:rsidR="08CF2CE1" w:rsidRPr="003D1E07">
        <w:instrText xml:space="preserve"> XE "Aristoteles:</w:instrText>
      </w:r>
      <w:r w:rsidR="08CF2CE1" w:rsidRPr="003D1E07">
        <w:rPr>
          <w:i/>
        </w:rPr>
        <w:instrText>Cat</w:instrText>
      </w:r>
      <w:r w:rsidR="08CF2CE1" w:rsidRPr="003D1E07">
        <w:instrText xml:space="preserve">. 2a11–16" </w:instrText>
      </w:r>
      <w:r w:rsidR="08CF2CE1" w:rsidRPr="003D1E07">
        <w:rPr>
          <w:szCs w:val="15"/>
        </w:rPr>
        <w:fldChar w:fldCharType="end"/>
      </w:r>
      <w:r w:rsidR="08CF2CE1" w:rsidRPr="003D1E07">
        <w:t xml:space="preserve"> (kap. 2.1)</w:t>
      </w:r>
      <w:r w:rsidR="007E2795" w:rsidRPr="003D1E07">
        <w:t xml:space="preserve">. </w:t>
      </w:r>
      <w:r w:rsidR="08427B70" w:rsidRPr="003D1E07">
        <w:t xml:space="preserve">Začněme nasvícením poznání zezadu </w:t>
      </w:r>
      <w:r w:rsidR="08B72BD3" w:rsidRPr="003D1E07">
        <w:t xml:space="preserve">v modu iluminace </w:t>
      </w:r>
      <w:r w:rsidR="08427B70" w:rsidRPr="003D1E07">
        <w:t>od unive</w:t>
      </w:r>
      <w:r w:rsidR="08B72BD3" w:rsidRPr="003D1E07">
        <w:t>rzáln</w:t>
      </w:r>
      <w:r w:rsidR="08427B70" w:rsidRPr="003D1E07">
        <w:t>í</w:t>
      </w:r>
      <w:r w:rsidR="08B72BD3" w:rsidRPr="003D1E07">
        <w:t>c</w:t>
      </w:r>
      <w:r w:rsidR="08427B70" w:rsidRPr="003D1E07">
        <w:t xml:space="preserve">h kosmických forem. </w:t>
      </w:r>
      <w:r w:rsidR="007E2795" w:rsidRPr="003D1E07">
        <w:t>P</w:t>
      </w:r>
      <w:r w:rsidR="00E0094B" w:rsidRPr="003D1E07">
        <w:t xml:space="preserve">rvní </w:t>
      </w:r>
      <w:r w:rsidR="004734E9" w:rsidRPr="003D1E07">
        <w:t xml:space="preserve">intence </w:t>
      </w:r>
      <w:r w:rsidR="003016E4" w:rsidRPr="003D1E07">
        <w:rPr>
          <w:i/>
        </w:rPr>
        <w:fldChar w:fldCharType="begin"/>
      </w:r>
      <w:r w:rsidR="003016E4" w:rsidRPr="003D1E07">
        <w:instrText xml:space="preserve"> XE "intencionalita:Al-</w:instrText>
      </w:r>
      <w:r w:rsidR="008E02F5" w:rsidRPr="003D1E07">
        <w:instrText>Fárábí</w:instrText>
      </w:r>
      <w:r w:rsidR="003016E4" w:rsidRPr="003D1E07">
        <w:instrText xml:space="preserve">" </w:instrText>
      </w:r>
      <w:r w:rsidR="003016E4" w:rsidRPr="003D1E07">
        <w:rPr>
          <w:i/>
        </w:rPr>
        <w:fldChar w:fldCharType="end"/>
      </w:r>
      <w:r w:rsidR="00E0094B" w:rsidRPr="003D1E07">
        <w:t xml:space="preserve">je </w:t>
      </w:r>
      <w:r w:rsidR="007E2795" w:rsidRPr="003D1E07">
        <w:t>dán</w:t>
      </w:r>
      <w:r w:rsidR="004734E9" w:rsidRPr="003D1E07">
        <w:t>a</w:t>
      </w:r>
      <w:r w:rsidR="007E2795" w:rsidRPr="003D1E07">
        <w:t xml:space="preserve"> </w:t>
      </w:r>
      <w:r w:rsidR="00E0094B" w:rsidRPr="003D1E07">
        <w:t xml:space="preserve">přímým </w:t>
      </w:r>
      <w:r w:rsidR="00052B1E" w:rsidRPr="003D1E07">
        <w:t>n</w:t>
      </w:r>
      <w:r w:rsidR="00E0094B" w:rsidRPr="003D1E07">
        <w:t>a</w:t>
      </w:r>
      <w:r w:rsidR="00052B1E" w:rsidRPr="003D1E07">
        <w:t xml:space="preserve">zíráním aktuální formy v </w:t>
      </w:r>
      <w:r w:rsidR="00080D1E">
        <w:t>darovaném intelekt</w:t>
      </w:r>
      <w:r w:rsidR="00E26DF6">
        <w:t>u</w:t>
      </w:r>
      <w:r w:rsidR="00080D1E">
        <w:t>. Ten je aktualizová</w:t>
      </w:r>
      <w:r w:rsidR="08766BB9" w:rsidRPr="003D1E07">
        <w:t>n</w:t>
      </w:r>
      <w:r w:rsidR="00052B1E" w:rsidRPr="003D1E07">
        <w:t xml:space="preserve"> jako </w:t>
      </w:r>
      <w:r w:rsidR="00052B1E" w:rsidRPr="003D1E07">
        <w:rPr>
          <w:i/>
        </w:rPr>
        <w:t>intell</w:t>
      </w:r>
      <w:r w:rsidR="00E0094B" w:rsidRPr="003D1E07">
        <w:rPr>
          <w:i/>
        </w:rPr>
        <w:t>e</w:t>
      </w:r>
      <w:r w:rsidR="00907D46" w:rsidRPr="003D1E07">
        <w:rPr>
          <w:i/>
        </w:rPr>
        <w:t>c</w:t>
      </w:r>
      <w:r w:rsidR="00052B1E" w:rsidRPr="003D1E07">
        <w:rPr>
          <w:i/>
        </w:rPr>
        <w:t>tus adeptus</w:t>
      </w:r>
      <w:r w:rsidR="00052B1E" w:rsidRPr="003D1E07">
        <w:t xml:space="preserve"> </w:t>
      </w:r>
      <w:r w:rsidR="007E2795" w:rsidRPr="003D1E07">
        <w:t>od odděl</w:t>
      </w:r>
      <w:r w:rsidR="00E0094B" w:rsidRPr="003D1E07">
        <w:t xml:space="preserve">eného kosmického </w:t>
      </w:r>
      <w:r w:rsidR="00E0094B" w:rsidRPr="003D1E07">
        <w:rPr>
          <w:i/>
        </w:rPr>
        <w:t>intel</w:t>
      </w:r>
      <w:r w:rsidR="00052B1E" w:rsidRPr="003D1E07">
        <w:rPr>
          <w:i/>
        </w:rPr>
        <w:t>l</w:t>
      </w:r>
      <w:r w:rsidR="00E0094B" w:rsidRPr="003D1E07">
        <w:rPr>
          <w:i/>
        </w:rPr>
        <w:t>ec</w:t>
      </w:r>
      <w:r w:rsidR="00052B1E" w:rsidRPr="003D1E07">
        <w:rPr>
          <w:i/>
        </w:rPr>
        <w:t>tus agens</w:t>
      </w:r>
      <w:r w:rsidR="00DF1F0F" w:rsidRPr="003D1E07">
        <w:rPr>
          <w:i/>
        </w:rPr>
        <w:fldChar w:fldCharType="begin"/>
      </w:r>
      <w:r w:rsidR="00DF1F0F" w:rsidRPr="003D1E07">
        <w:instrText xml:space="preserve"> XE "</w:instrText>
      </w:r>
      <w:r w:rsidR="00DF1F0F" w:rsidRPr="003D1E07">
        <w:rPr>
          <w:i/>
        </w:rPr>
        <w:instrText xml:space="preserve">intellectus </w:instrText>
      </w:r>
      <w:r w:rsidR="008A3131" w:rsidRPr="003D1E07">
        <w:rPr>
          <w:i/>
        </w:rPr>
        <w:instrText>adeptus:</w:instrText>
      </w:r>
      <w:r w:rsidR="008A3131" w:rsidRPr="003D1E07">
        <w:instrText>Al-</w:instrText>
      </w:r>
      <w:r w:rsidR="008E02F5" w:rsidRPr="003D1E07">
        <w:instrText>Fárábí</w:instrText>
      </w:r>
      <w:r w:rsidR="00DF1F0F" w:rsidRPr="003D1E07">
        <w:instrText xml:space="preserve">" </w:instrText>
      </w:r>
      <w:r w:rsidR="00DF1F0F" w:rsidRPr="003D1E07">
        <w:rPr>
          <w:i/>
        </w:rPr>
        <w:fldChar w:fldCharType="end"/>
      </w:r>
      <w:r w:rsidR="00052B1E" w:rsidRPr="003D1E07">
        <w:t xml:space="preserve">. </w:t>
      </w:r>
      <w:r w:rsidR="08B402CF" w:rsidRPr="003D1E07">
        <w:t xml:space="preserve">V tomto pořadí založeném na mystickém a nadpřirozeném osvícení skrze inteligibilní formu je poznání dané abstrakcí ze smyslů až na druhém místě. </w:t>
      </w:r>
      <w:r w:rsidR="08021059" w:rsidRPr="003D1E07">
        <w:t xml:space="preserve">Ale přirozený průběh poznání je primární a musí odpovídat </w:t>
      </w:r>
      <w:r w:rsidR="089108A9" w:rsidRPr="003D1E07">
        <w:t xml:space="preserve">metafyzickému </w:t>
      </w:r>
      <w:r w:rsidR="08021059" w:rsidRPr="003D1E07">
        <w:t>dativu</w:t>
      </w:r>
      <w:r w:rsidR="08021059" w:rsidRPr="003D1E07">
        <w:fldChar w:fldCharType="begin"/>
      </w:r>
      <w:r w:rsidR="08021059" w:rsidRPr="003D1E07">
        <w:instrText xml:space="preserve"> XE "</w:instrText>
      </w:r>
      <w:r w:rsidR="089108A9" w:rsidRPr="003D1E07">
        <w:rPr>
          <w:i/>
        </w:rPr>
        <w:instrText>dativus metaphysi</w:instrText>
      </w:r>
      <w:r w:rsidR="08021059" w:rsidRPr="003D1E07">
        <w:rPr>
          <w:i/>
        </w:rPr>
        <w:instrText>cus</w:instrText>
      </w:r>
      <w:r w:rsidR="08021059" w:rsidRPr="003D1E07">
        <w:instrText xml:space="preserve">" </w:instrText>
      </w:r>
      <w:r w:rsidR="08021059" w:rsidRPr="003D1E07">
        <w:fldChar w:fldCharType="end"/>
      </w:r>
      <w:r w:rsidR="08021059" w:rsidRPr="003D1E07">
        <w:t xml:space="preserve"> danému impozicí významu z hyparchicky dané první substance. Pak </w:t>
      </w:r>
      <w:r w:rsidR="08C906DC" w:rsidRPr="003D1E07">
        <w:t>je pořadí obou intencí přesně opačné. P</w:t>
      </w:r>
      <w:r w:rsidR="08021059" w:rsidRPr="003D1E07">
        <w:t xml:space="preserve">rvní intence </w:t>
      </w:r>
      <w:r w:rsidR="004734E9" w:rsidRPr="003D1E07">
        <w:t xml:space="preserve">zakládá </w:t>
      </w:r>
      <w:r w:rsidR="0818058B" w:rsidRPr="003D1E07">
        <w:t xml:space="preserve">smyslové </w:t>
      </w:r>
      <w:r w:rsidR="004734E9" w:rsidRPr="003D1E07">
        <w:t>p</w:t>
      </w:r>
      <w:r w:rsidR="00052B1E" w:rsidRPr="003D1E07">
        <w:t xml:space="preserve">oznání </w:t>
      </w:r>
      <w:r w:rsidR="004734E9" w:rsidRPr="003D1E07">
        <w:t xml:space="preserve">podle </w:t>
      </w:r>
      <w:r w:rsidR="007E2795" w:rsidRPr="003D1E07">
        <w:t>scénář</w:t>
      </w:r>
      <w:r w:rsidR="004734E9" w:rsidRPr="003D1E07">
        <w:t>e</w:t>
      </w:r>
      <w:r w:rsidR="007E2795" w:rsidRPr="003D1E07">
        <w:t xml:space="preserve"> </w:t>
      </w:r>
      <w:r w:rsidR="00052B1E" w:rsidRPr="003D1E07">
        <w:rPr>
          <w:i/>
        </w:rPr>
        <w:t>De anima</w:t>
      </w:r>
      <w:r w:rsidR="00052B1E" w:rsidRPr="003D1E07">
        <w:t xml:space="preserve"> </w:t>
      </w:r>
      <w:r w:rsidR="004734E9" w:rsidRPr="003D1E07">
        <w:t xml:space="preserve">daného </w:t>
      </w:r>
      <w:r w:rsidR="00457C9C" w:rsidRPr="003D1E07">
        <w:t>nasvícením zepředu</w:t>
      </w:r>
      <w:r w:rsidR="001F2639" w:rsidRPr="003D1E07">
        <w:t>, od reálné hylemorfické substance</w:t>
      </w:r>
      <w:r w:rsidR="004734E9" w:rsidRPr="003D1E07">
        <w:t>. P</w:t>
      </w:r>
      <w:r w:rsidR="00A848F6" w:rsidRPr="003D1E07">
        <w:t xml:space="preserve">oznání </w:t>
      </w:r>
      <w:r w:rsidR="007E2795" w:rsidRPr="003D1E07">
        <w:t xml:space="preserve">jde </w:t>
      </w:r>
      <w:r w:rsidR="00052B1E" w:rsidRPr="003D1E07">
        <w:t>klasickým p</w:t>
      </w:r>
      <w:r w:rsidR="00A848F6" w:rsidRPr="003D1E07">
        <w:t xml:space="preserve">rocesem abstrakce skrze pasivní </w:t>
      </w:r>
      <w:r w:rsidR="00052B1E" w:rsidRPr="003D1E07">
        <w:t>a receptivní funkci intelektu</w:t>
      </w:r>
      <w:r w:rsidR="008B3F0E" w:rsidRPr="003D1E07">
        <w:t>. Možný intelekt přijm</w:t>
      </w:r>
      <w:r w:rsidR="00052B1E" w:rsidRPr="003D1E07">
        <w:t xml:space="preserve">e inteligibilní formu </w:t>
      </w:r>
      <w:r w:rsidR="080B0266" w:rsidRPr="003D1E07">
        <w:t>ze smyslů</w:t>
      </w:r>
      <w:r w:rsidR="003B2D3E" w:rsidRPr="003D1E07">
        <w:t xml:space="preserve">. </w:t>
      </w:r>
      <w:r w:rsidR="00766945" w:rsidRPr="003D1E07">
        <w:t xml:space="preserve">Možný intelekt skrze tuto formu </w:t>
      </w:r>
      <w:r w:rsidR="00052B1E" w:rsidRPr="003D1E07">
        <w:t>aktivuje poznán</w:t>
      </w:r>
      <w:r w:rsidR="008B3F0E" w:rsidRPr="003D1E07">
        <w:t>í</w:t>
      </w:r>
      <w:r w:rsidR="00052B1E" w:rsidRPr="003D1E07">
        <w:t xml:space="preserve"> tak, že se intelekt stává aktuálním (</w:t>
      </w:r>
      <w:r w:rsidR="00052B1E" w:rsidRPr="003D1E07">
        <w:rPr>
          <w:i/>
        </w:rPr>
        <w:t>intellectus in effectu</w:t>
      </w:r>
      <w:r w:rsidR="00052B1E" w:rsidRPr="003D1E07">
        <w:t xml:space="preserve">). </w:t>
      </w:r>
      <w:r w:rsidR="08A6683A" w:rsidRPr="003D1E07">
        <w:t>Pak je iluminace dá</w:t>
      </w:r>
      <w:r w:rsidR="0818058B" w:rsidRPr="003D1E07">
        <w:t>n</w:t>
      </w:r>
      <w:r w:rsidR="08A6683A" w:rsidRPr="003D1E07">
        <w:t>a</w:t>
      </w:r>
      <w:r w:rsidR="0818058B" w:rsidRPr="003D1E07">
        <w:t xml:space="preserve"> až v modu </w:t>
      </w:r>
      <w:r w:rsidR="0818058B" w:rsidRPr="003D1E07">
        <w:rPr>
          <w:i/>
        </w:rPr>
        <w:t>intellectum secundum</w:t>
      </w:r>
      <w:r w:rsidR="08145BB4" w:rsidRPr="003D1E07">
        <w:t>, protože završ</w:t>
      </w:r>
      <w:r w:rsidR="0818058B" w:rsidRPr="003D1E07">
        <w:t xml:space="preserve">uje lidskou přirozenost do božské podoby podle výše uvedených textů Platona a Aristotela. </w:t>
      </w:r>
      <w:r w:rsidR="08D477EE" w:rsidRPr="003D1E07">
        <w:t xml:space="preserve">Aristotelova polemika proti odpůrcům </w:t>
      </w:r>
      <w:r w:rsidR="0855554A" w:rsidRPr="003D1E07">
        <w:t>principu non-</w:t>
      </w:r>
      <w:r w:rsidR="08D477EE" w:rsidRPr="003D1E07">
        <w:t>kontradikce a principu vyloučeného třetího mluví o přímém apodiktickém náhledu prvních principů pomocí ryzího výkonu intelektu (</w:t>
      </w:r>
      <w:r w:rsidR="08D477EE" w:rsidRPr="003D1E07">
        <w:rPr>
          <w:i/>
        </w:rPr>
        <w:t>Anal. Post</w:t>
      </w:r>
      <w:r w:rsidR="08D477EE" w:rsidRPr="003D1E07">
        <w:t>. 100b11–12</w:t>
      </w:r>
      <w:r w:rsidR="08D477EE" w:rsidRPr="003D1E07">
        <w:fldChar w:fldCharType="begin"/>
      </w:r>
      <w:r w:rsidR="08D477EE" w:rsidRPr="003D1E07">
        <w:instrText xml:space="preserve"> XE "Aristoteles:</w:instrText>
      </w:r>
      <w:r w:rsidR="08D477EE" w:rsidRPr="003D1E07">
        <w:rPr>
          <w:i/>
        </w:rPr>
        <w:instrText>Anal. Post</w:instrText>
      </w:r>
      <w:r w:rsidR="08D477EE" w:rsidRPr="003D1E07">
        <w:instrText xml:space="preserve">. 100b11–12" </w:instrText>
      </w:r>
      <w:r w:rsidR="08D477EE" w:rsidRPr="003D1E07">
        <w:fldChar w:fldCharType="end"/>
      </w:r>
      <w:r w:rsidR="08D477EE" w:rsidRPr="003D1E07">
        <w:t xml:space="preserve">). Tento intuitivní výkon intelektu navíc dokazuje, že první principy jsou posledními důvody </w:t>
      </w:r>
      <w:r w:rsidR="08B022A0" w:rsidRPr="003D1E07">
        <w:t xml:space="preserve">poznání </w:t>
      </w:r>
      <w:r w:rsidR="08D477EE" w:rsidRPr="003D1E07">
        <w:t xml:space="preserve">(ἀνυπόθετον, </w:t>
      </w:r>
      <w:r w:rsidR="08D477EE" w:rsidRPr="003D1E07">
        <w:rPr>
          <w:i/>
        </w:rPr>
        <w:t>Met</w:t>
      </w:r>
      <w:r w:rsidR="08D477EE" w:rsidRPr="003D1E07">
        <w:t>. 1005b14–16</w:t>
      </w:r>
      <w:r w:rsidR="08D477EE" w:rsidRPr="003D1E07">
        <w:fldChar w:fldCharType="begin"/>
      </w:r>
      <w:r w:rsidR="08D477EE" w:rsidRPr="003D1E07">
        <w:instrText xml:space="preserve"> XE "Aristoteles:</w:instrText>
      </w:r>
      <w:r w:rsidR="08D477EE" w:rsidRPr="003D1E07">
        <w:rPr>
          <w:i/>
        </w:rPr>
        <w:instrText>Met</w:instrText>
      </w:r>
      <w:r w:rsidR="08D477EE" w:rsidRPr="003D1E07">
        <w:instrText xml:space="preserve">. 1005b14–16" </w:instrText>
      </w:r>
      <w:r w:rsidR="08D477EE" w:rsidRPr="003D1E07">
        <w:fldChar w:fldCharType="end"/>
      </w:r>
      <w:r w:rsidR="08D477EE" w:rsidRPr="003D1E07">
        <w:t>)</w:t>
      </w:r>
      <w:r w:rsidR="08B022A0" w:rsidRPr="003D1E07">
        <w:t xml:space="preserve">. Z tohoto </w:t>
      </w:r>
      <w:r w:rsidR="08D477EE" w:rsidRPr="003D1E07">
        <w:t xml:space="preserve">zásadního důvodu </w:t>
      </w:r>
      <w:r w:rsidR="08B022A0" w:rsidRPr="003D1E07">
        <w:t xml:space="preserve">nejsou první principy poznání </w:t>
      </w:r>
      <w:r w:rsidR="08D477EE" w:rsidRPr="003D1E07">
        <w:t>logicky dokazatelné</w:t>
      </w:r>
      <w:r w:rsidR="080539E2" w:rsidRPr="003D1E07">
        <w:t xml:space="preserve"> a dají se hájit </w:t>
      </w:r>
      <w:r w:rsidR="08D477EE" w:rsidRPr="003D1E07">
        <w:t>pouze dialekticky.</w:t>
      </w:r>
      <w:r w:rsidR="08B022A0" w:rsidRPr="003D1E07">
        <w:t xml:space="preserve"> </w:t>
      </w:r>
      <w:r w:rsidR="00AA6543" w:rsidRPr="003D1E07">
        <w:t>Al</w:t>
      </w:r>
      <w:r w:rsidR="0855554A" w:rsidRPr="003D1E07">
        <w:t>-</w:t>
      </w:r>
      <w:r w:rsidR="002F52DA" w:rsidRPr="003D1E07">
        <w:t>Fá</w:t>
      </w:r>
      <w:r w:rsidR="00AA6543" w:rsidRPr="003D1E07">
        <w:t xml:space="preserve">rábí a po něm Avicenna </w:t>
      </w:r>
      <w:r w:rsidR="00B466B4" w:rsidRPr="003D1E07">
        <w:t xml:space="preserve">zakládají </w:t>
      </w:r>
      <w:r w:rsidR="08D477EE" w:rsidRPr="003D1E07">
        <w:t xml:space="preserve">na tomto přímém náhledu prvních principů </w:t>
      </w:r>
      <w:r w:rsidR="00AA6543" w:rsidRPr="003D1E07">
        <w:t xml:space="preserve">zvláštní formu abstrakce a intuice, která vychází z dvojí predikace </w:t>
      </w:r>
      <w:r w:rsidR="00AA6543" w:rsidRPr="003D1E07">
        <w:rPr>
          <w:i/>
        </w:rPr>
        <w:t>per prius</w:t>
      </w:r>
      <w:r w:rsidR="00AA6543" w:rsidRPr="003D1E07">
        <w:t xml:space="preserve"> vztažené jak k Aristotelově</w:t>
      </w:r>
      <w:r w:rsidR="002F52DA" w:rsidRPr="003D1E07">
        <w:t xml:space="preserve"> substanci tak k Plato</w:t>
      </w:r>
      <w:r w:rsidR="00AA6543" w:rsidRPr="003D1E07">
        <w:t>novu Jednomu. Tato abstrakce se vyznačuje zásadní ambivalencí, stejně jako již zmíněný status nedělitelné substance</w:t>
      </w:r>
      <w:r w:rsidR="00AA6543" w:rsidRPr="003D1E07">
        <w:fldChar w:fldCharType="begin"/>
      </w:r>
      <w:r w:rsidR="00AA6543" w:rsidRPr="003D1E07">
        <w:instrText xml:space="preserve"> XE "substance:atomární" </w:instrText>
      </w:r>
      <w:r w:rsidR="00AA6543" w:rsidRPr="003D1E07">
        <w:fldChar w:fldCharType="end"/>
      </w:r>
      <w:r w:rsidR="00690F15">
        <w:t xml:space="preserve"> v neoplatonismu.</w:t>
      </w:r>
      <w:r w:rsidR="003A0193">
        <w:t xml:space="preserve"> </w:t>
      </w:r>
      <w:r w:rsidR="003A0193" w:rsidRPr="003D1E07">
        <w:lastRenderedPageBreak/>
        <w:t xml:space="preserve">Vyložené pasáže ukazují, že Abunaser se snaží harmonizovat neoplatonskou i aristotelskou variantu poznání do jednoho celku. Tuto snahu zásadně odmítne Averroes, který ji považuje za destrukci </w:t>
      </w:r>
      <w:r w:rsidR="003A0193" w:rsidRPr="003D1E07">
        <w:rPr>
          <w:i/>
        </w:rPr>
        <w:t>Metafyziky</w:t>
      </w:r>
      <w:r w:rsidR="003A0193" w:rsidRPr="003D1E07">
        <w:t xml:space="preserve"> a způsobu poznání podle </w:t>
      </w:r>
      <w:r w:rsidR="003A0193" w:rsidRPr="003D1E07">
        <w:rPr>
          <w:i/>
        </w:rPr>
        <w:t>De anima</w:t>
      </w:r>
      <w:r w:rsidR="003A0193" w:rsidRPr="003D1E07">
        <w:t xml:space="preserve">. Druhý mistr ale v každém případě přišel k iluminaci nikoliv od neoplatonismu jako jeho žák Avicenna, ale </w:t>
      </w:r>
      <w:r w:rsidR="003A0193">
        <w:t xml:space="preserve">aristotelským </w:t>
      </w:r>
      <w:r w:rsidR="003A0193" w:rsidRPr="003D1E07">
        <w:t xml:space="preserve">výkladem </w:t>
      </w:r>
      <w:r w:rsidR="003A0193" w:rsidRPr="003D1E07">
        <w:rPr>
          <w:i/>
        </w:rPr>
        <w:t>Druhých analytik</w:t>
      </w:r>
      <w:r w:rsidR="003A0193" w:rsidRPr="003D1E07">
        <w:t xml:space="preserve"> a </w:t>
      </w:r>
      <w:r w:rsidR="003A0193" w:rsidRPr="003D1E07">
        <w:rPr>
          <w:i/>
        </w:rPr>
        <w:t>Metafyziky</w:t>
      </w:r>
      <w:r w:rsidR="003A0193">
        <w:t>.</w:t>
      </w:r>
    </w:p>
    <w:p w14:paraId="2076AC32" w14:textId="0FDD5CB0" w:rsidR="00D8051B" w:rsidRPr="003D1E07" w:rsidRDefault="00054E6A" w:rsidP="00587CD4">
      <w:pPr>
        <w:ind w:firstLine="397"/>
      </w:pPr>
      <w:r w:rsidRPr="003D1E07">
        <w:t>Vznik nového druhu náhledu na celek jsoucna (</w:t>
      </w:r>
      <w:r w:rsidRPr="003D1E07">
        <w:rPr>
          <w:i/>
        </w:rPr>
        <w:t>Vor-blickbahn</w:t>
      </w:r>
      <w:r w:rsidR="006B28CF" w:rsidRPr="003D1E07">
        <w:rPr>
          <w:i/>
        </w:rPr>
        <w:fldChar w:fldCharType="begin"/>
      </w:r>
      <w:r w:rsidR="006B28CF" w:rsidRPr="003D1E07">
        <w:instrText xml:space="preserve"> XE "</w:instrText>
      </w:r>
      <w:r w:rsidR="08106DC9" w:rsidRPr="003D1E07">
        <w:rPr>
          <w:i/>
        </w:rPr>
        <w:instrText>Vor-</w:instrText>
      </w:r>
      <w:r w:rsidR="006B28CF" w:rsidRPr="003D1E07">
        <w:rPr>
          <w:i/>
        </w:rPr>
        <w:instrText>b</w:instrText>
      </w:r>
      <w:r w:rsidR="006B28CF" w:rsidRPr="003D1E07">
        <w:rPr>
          <w:i/>
          <w:iCs/>
        </w:rPr>
        <w:instrText>lickbahn</w:instrText>
      </w:r>
      <w:r w:rsidR="00D572ED" w:rsidRPr="003D1E07">
        <w:rPr>
          <w:iCs/>
        </w:rPr>
        <w:instrText>:Al-</w:instrText>
      </w:r>
      <w:r w:rsidR="008E02F5" w:rsidRPr="003D1E07">
        <w:rPr>
          <w:iCs/>
        </w:rPr>
        <w:instrText>Fárábí</w:instrText>
      </w:r>
      <w:r w:rsidR="006B28CF" w:rsidRPr="003D1E07">
        <w:instrText xml:space="preserve">" </w:instrText>
      </w:r>
      <w:r w:rsidR="006B28CF" w:rsidRPr="003D1E07">
        <w:rPr>
          <w:i/>
        </w:rPr>
        <w:fldChar w:fldCharType="end"/>
      </w:r>
      <w:r w:rsidRPr="003D1E07">
        <w:t xml:space="preserve">) skrze </w:t>
      </w:r>
      <w:r w:rsidRPr="003D1E07">
        <w:rPr>
          <w:i/>
        </w:rPr>
        <w:t>intellectum primum</w:t>
      </w:r>
      <w:r w:rsidRPr="003D1E07">
        <w:t xml:space="preserve"> a </w:t>
      </w:r>
      <w:r w:rsidRPr="003D1E07">
        <w:rPr>
          <w:i/>
        </w:rPr>
        <w:t>secundum</w:t>
      </w:r>
      <w:r w:rsidRPr="003D1E07">
        <w:t xml:space="preserve"> zakládá místo pravdy a nepravdy charakterizující novou epochální </w:t>
      </w:r>
      <w:r w:rsidR="00541F35" w:rsidRPr="003D1E07">
        <w:t xml:space="preserve">po-odkrytost </w:t>
      </w:r>
      <w:r w:rsidRPr="003D1E07">
        <w:t xml:space="preserve">metafyziky. </w:t>
      </w:r>
      <w:r w:rsidR="00052B1E" w:rsidRPr="003D1E07">
        <w:t xml:space="preserve">Avicenna vezme model poznání </w:t>
      </w:r>
      <w:r w:rsidR="08707C98" w:rsidRPr="003D1E07">
        <w:t xml:space="preserve">skrze iluminaci </w:t>
      </w:r>
      <w:r w:rsidR="00052B1E" w:rsidRPr="003D1E07">
        <w:t xml:space="preserve">daný nasvícením smyslu jsoucna zezadu od </w:t>
      </w:r>
      <w:r w:rsidR="080D7916" w:rsidRPr="003D1E07">
        <w:t xml:space="preserve">první substance jako kosmické </w:t>
      </w:r>
      <w:r w:rsidR="00052B1E" w:rsidRPr="003D1E07">
        <w:t xml:space="preserve">formy. Tím založí </w:t>
      </w:r>
      <w:r w:rsidR="0097420E" w:rsidRPr="003D1E07">
        <w:t xml:space="preserve">první vědu </w:t>
      </w:r>
      <w:r w:rsidR="00052B1E" w:rsidRPr="003D1E07">
        <w:t xml:space="preserve">na </w:t>
      </w:r>
      <w:r w:rsidR="0097420E" w:rsidRPr="003D1E07">
        <w:t xml:space="preserve">manifestaci </w:t>
      </w:r>
      <w:r w:rsidR="00A271A6">
        <w:t>aktuální nemateriální formy (</w:t>
      </w:r>
      <w:r w:rsidR="00052B1E" w:rsidRPr="003D1E07">
        <w:rPr>
          <w:i/>
        </w:rPr>
        <w:t>primum intelligibile</w:t>
      </w:r>
      <w:r w:rsidR="007B6532">
        <w:t xml:space="preserve">). Ta </w:t>
      </w:r>
      <w:r w:rsidR="00A271A6">
        <w:t>je daná</w:t>
      </w:r>
      <w:r w:rsidR="00052B1E" w:rsidRPr="003D1E07">
        <w:t xml:space="preserve"> nasvícením</w:t>
      </w:r>
      <w:r w:rsidR="00A271A6">
        <w:t xml:space="preserve"> zez</w:t>
      </w:r>
      <w:r w:rsidR="00827282" w:rsidRPr="003D1E07">
        <w:t xml:space="preserve">adu a </w:t>
      </w:r>
      <w:r w:rsidR="007B6532">
        <w:t xml:space="preserve">jde </w:t>
      </w:r>
      <w:r w:rsidR="00052B1E" w:rsidRPr="003D1E07">
        <w:t xml:space="preserve">v </w:t>
      </w:r>
      <w:r w:rsidR="00252AB9" w:rsidRPr="003D1E07">
        <w:t xml:space="preserve">sestupné </w:t>
      </w:r>
      <w:r w:rsidR="08740737" w:rsidRPr="003D1E07">
        <w:t xml:space="preserve">řadě </w:t>
      </w:r>
      <w:r w:rsidR="00FE2907" w:rsidRPr="003D1E07">
        <w:t xml:space="preserve">poznání </w:t>
      </w:r>
      <w:r w:rsidR="00052B1E" w:rsidRPr="003D1E07">
        <w:rPr>
          <w:i/>
        </w:rPr>
        <w:t>intellectus agens</w:t>
      </w:r>
      <w:r w:rsidR="00DF1F0F" w:rsidRPr="003D1E07">
        <w:rPr>
          <w:i/>
        </w:rPr>
        <w:fldChar w:fldCharType="begin"/>
      </w:r>
      <w:r w:rsidR="00DF1F0F" w:rsidRPr="003D1E07">
        <w:instrText xml:space="preserve"> XE "</w:instrText>
      </w:r>
      <w:r w:rsidR="00DF1F0F" w:rsidRPr="003D1E07">
        <w:rPr>
          <w:i/>
        </w:rPr>
        <w:instrText>intellectus agens:</w:instrText>
      </w:r>
      <w:r w:rsidR="00C81F4D" w:rsidRPr="003D1E07">
        <w:instrText>Avicenna</w:instrText>
      </w:r>
      <w:r w:rsidR="00DF1F0F" w:rsidRPr="003D1E07">
        <w:instrText xml:space="preserve">" </w:instrText>
      </w:r>
      <w:r w:rsidR="00DF1F0F" w:rsidRPr="003D1E07">
        <w:rPr>
          <w:i/>
        </w:rPr>
        <w:fldChar w:fldCharType="end"/>
      </w:r>
      <w:r w:rsidR="00052B1E" w:rsidRPr="003D1E07">
        <w:t xml:space="preserve"> ‒ </w:t>
      </w:r>
      <w:r w:rsidR="00052B1E" w:rsidRPr="003D1E07">
        <w:rPr>
          <w:i/>
        </w:rPr>
        <w:t>intellectus adeptus</w:t>
      </w:r>
      <w:r w:rsidR="00CB4A93" w:rsidRPr="003D1E07">
        <w:rPr>
          <w:i/>
        </w:rPr>
        <w:fldChar w:fldCharType="begin"/>
      </w:r>
      <w:r w:rsidR="00CB4A93" w:rsidRPr="003D1E07">
        <w:instrText xml:space="preserve"> XE "</w:instrText>
      </w:r>
      <w:r w:rsidR="00CB4A93" w:rsidRPr="003D1E07">
        <w:rPr>
          <w:i/>
        </w:rPr>
        <w:instrText>intellectus adeptus</w:instrText>
      </w:r>
      <w:r w:rsidR="00CB4A93" w:rsidRPr="003D1E07">
        <w:instrText xml:space="preserve">:Avicenna" </w:instrText>
      </w:r>
      <w:r w:rsidR="00CB4A93" w:rsidRPr="003D1E07">
        <w:rPr>
          <w:i/>
        </w:rPr>
        <w:fldChar w:fldCharType="end"/>
      </w:r>
      <w:r w:rsidR="002F52DA" w:rsidRPr="003D1E07">
        <w:t xml:space="preserve">. </w:t>
      </w:r>
      <w:r w:rsidR="081B017A" w:rsidRPr="003D1E07">
        <w:t xml:space="preserve">Toto pojetí vzala Toledská škola </w:t>
      </w:r>
      <w:r w:rsidR="08F26916" w:rsidRPr="003D1E07">
        <w:t xml:space="preserve">z Avicenny </w:t>
      </w:r>
      <w:r w:rsidR="081B017A" w:rsidRPr="003D1E07">
        <w:t>a použila je jako univerz</w:t>
      </w:r>
      <w:r w:rsidR="08680458" w:rsidRPr="003D1E07">
        <w:t>ální</w:t>
      </w:r>
      <w:r w:rsidR="081B017A" w:rsidRPr="003D1E07">
        <w:t xml:space="preserve"> schéma poznání</w:t>
      </w:r>
      <w:r w:rsidR="00303582" w:rsidRPr="003D1E07">
        <w:t xml:space="preserve">. Škola druhého averroismu požívá tuto perspektivu </w:t>
      </w:r>
      <w:r w:rsidR="081B017A" w:rsidRPr="003D1E07">
        <w:t xml:space="preserve">pro </w:t>
      </w:r>
      <w:r w:rsidR="00303582" w:rsidRPr="003D1E07">
        <w:t xml:space="preserve">chybný </w:t>
      </w:r>
      <w:r w:rsidR="081B017A" w:rsidRPr="003D1E07">
        <w:t>výkl</w:t>
      </w:r>
      <w:r w:rsidR="08680458" w:rsidRPr="003D1E07">
        <w:t>a</w:t>
      </w:r>
      <w:r w:rsidR="081B017A" w:rsidRPr="003D1E07">
        <w:t>d Averroe</w:t>
      </w:r>
      <w:r w:rsidR="08680458" w:rsidRPr="003D1E07">
        <w:t>sova spisu CMDA</w:t>
      </w:r>
      <w:r w:rsidR="081B017A" w:rsidRPr="003D1E07">
        <w:t xml:space="preserve">. Tento žák Druhého mistra </w:t>
      </w:r>
      <w:r w:rsidR="08B823B3" w:rsidRPr="003D1E07">
        <w:t xml:space="preserve">zásadně odmítl </w:t>
      </w:r>
      <w:r w:rsidR="00874074" w:rsidRPr="003D1E07">
        <w:t>neoplatonsk</w:t>
      </w:r>
      <w:r w:rsidR="00052B1E" w:rsidRPr="003D1E07">
        <w:t>é řeše</w:t>
      </w:r>
      <w:r w:rsidR="0076694B" w:rsidRPr="003D1E07">
        <w:t xml:space="preserve">ní </w:t>
      </w:r>
      <w:r w:rsidR="08B823B3" w:rsidRPr="003D1E07">
        <w:t>dané mytopoeticky</w:t>
      </w:r>
      <w:r w:rsidR="08F26916" w:rsidRPr="003D1E07">
        <w:t>, protože Avicennovu metafyzik</w:t>
      </w:r>
      <w:r w:rsidR="082F0980" w:rsidRPr="003D1E07">
        <w:t>u</w:t>
      </w:r>
      <w:r w:rsidR="08F26916" w:rsidRPr="003D1E07">
        <w:t xml:space="preserve"> považoval za chybně postavenou přímo v jejím základu</w:t>
      </w:r>
      <w:r w:rsidR="0076694B" w:rsidRPr="003D1E07">
        <w:t xml:space="preserve">. </w:t>
      </w:r>
      <w:r w:rsidR="08D525C7" w:rsidRPr="003D1E07">
        <w:t xml:space="preserve">Averroes </w:t>
      </w:r>
      <w:r w:rsidR="08BD4440" w:rsidRPr="003D1E07">
        <w:t>vezme z Al-</w:t>
      </w:r>
      <w:r w:rsidR="08D525C7" w:rsidRPr="003D1E07">
        <w:t xml:space="preserve">Fárábího </w:t>
      </w:r>
      <w:r w:rsidR="082243C2" w:rsidRPr="003D1E07">
        <w:t xml:space="preserve">schématu poznání </w:t>
      </w:r>
      <w:r w:rsidR="08D525C7" w:rsidRPr="003D1E07">
        <w:t>p</w:t>
      </w:r>
      <w:r w:rsidR="0076694B" w:rsidRPr="003D1E07">
        <w:t xml:space="preserve">ro založení metafyziky </w:t>
      </w:r>
      <w:r w:rsidR="082243C2" w:rsidRPr="003D1E07">
        <w:t>pouze první patro</w:t>
      </w:r>
      <w:r w:rsidR="084919FD" w:rsidRPr="003D1E07">
        <w:t xml:space="preserve"> dané přirozeně</w:t>
      </w:r>
      <w:r w:rsidR="001973F6" w:rsidRPr="003D1E07">
        <w:t xml:space="preserve">, tedy </w:t>
      </w:r>
      <w:r w:rsidR="00252AB9" w:rsidRPr="003D1E07">
        <w:t xml:space="preserve">proces klasické </w:t>
      </w:r>
      <w:r w:rsidR="080467ED" w:rsidRPr="003D1E07">
        <w:t xml:space="preserve">aristotelské </w:t>
      </w:r>
      <w:r w:rsidR="00252AB9" w:rsidRPr="003D1E07">
        <w:t>abstrakce</w:t>
      </w:r>
      <w:r w:rsidR="080467ED" w:rsidRPr="003D1E07">
        <w:t xml:space="preserve"> od smyslů</w:t>
      </w:r>
      <w:r w:rsidR="001973F6" w:rsidRPr="003D1E07">
        <w:t xml:space="preserve">. </w:t>
      </w:r>
      <w:r w:rsidR="002F52DA" w:rsidRPr="003D1E07">
        <w:t>Averroe</w:t>
      </w:r>
      <w:r w:rsidR="003B3C81" w:rsidRPr="003D1E07">
        <w:t>s s</w:t>
      </w:r>
      <w:r w:rsidR="001973F6" w:rsidRPr="003D1E07">
        <w:t xml:space="preserve">leduje proces </w:t>
      </w:r>
      <w:r w:rsidR="00252AB9" w:rsidRPr="003D1E07">
        <w:t xml:space="preserve">vzestupné </w:t>
      </w:r>
      <w:r w:rsidR="00857C3E" w:rsidRPr="003D1E07">
        <w:t>obecnosti formy, která vzniká v proces</w:t>
      </w:r>
      <w:r w:rsidR="0076694B" w:rsidRPr="003D1E07">
        <w:t>u</w:t>
      </w:r>
      <w:r w:rsidR="00857C3E" w:rsidRPr="003D1E07">
        <w:t xml:space="preserve"> poznání až sekundárně </w:t>
      </w:r>
      <w:r w:rsidR="00252AB9" w:rsidRPr="003D1E07">
        <w:t>(</w:t>
      </w:r>
      <w:r w:rsidR="00052B1E" w:rsidRPr="003D1E07">
        <w:rPr>
          <w:i/>
        </w:rPr>
        <w:t>secundum intelligibile</w:t>
      </w:r>
      <w:r w:rsidR="00252AB9" w:rsidRPr="003D1E07">
        <w:t xml:space="preserve">). Obecný význam vzniká </w:t>
      </w:r>
      <w:r w:rsidR="00052B1E" w:rsidRPr="003D1E07">
        <w:t xml:space="preserve">hyparchickou predikací </w:t>
      </w:r>
      <w:r w:rsidR="00252AB9" w:rsidRPr="003D1E07">
        <w:t>založenou na p</w:t>
      </w:r>
      <w:r w:rsidR="00052B1E" w:rsidRPr="003D1E07">
        <w:t xml:space="preserve">oznání skrze smysly a </w:t>
      </w:r>
      <w:r w:rsidR="00B475D8" w:rsidRPr="003D1E07">
        <w:t xml:space="preserve">skrze </w:t>
      </w:r>
      <w:r w:rsidR="00052B1E" w:rsidRPr="003D1E07">
        <w:t>intelekt</w:t>
      </w:r>
      <w:r w:rsidR="00813D78" w:rsidRPr="003D1E07">
        <w:t xml:space="preserve"> daný v potenci</w:t>
      </w:r>
      <w:r w:rsidR="00052B1E" w:rsidRPr="003D1E07">
        <w:t xml:space="preserve">. </w:t>
      </w:r>
      <w:r w:rsidR="001E4C46" w:rsidRPr="003D1E07">
        <w:t xml:space="preserve">Tato aktualizace intelektu </w:t>
      </w:r>
      <w:r w:rsidR="0037095A" w:rsidRPr="003D1E07">
        <w:t xml:space="preserve">vzniká </w:t>
      </w:r>
      <w:r w:rsidR="00052B1E" w:rsidRPr="003D1E07">
        <w:t>nasvícení</w:t>
      </w:r>
      <w:r w:rsidR="001E4C46" w:rsidRPr="003D1E07">
        <w:t>m</w:t>
      </w:r>
      <w:r w:rsidR="00052B1E" w:rsidRPr="003D1E07">
        <w:t xml:space="preserve"> jsoucna zepředu </w:t>
      </w:r>
      <w:r w:rsidR="0037095A" w:rsidRPr="003D1E07">
        <w:t xml:space="preserve">podle </w:t>
      </w:r>
      <w:r w:rsidR="00FE2907" w:rsidRPr="003D1E07">
        <w:t xml:space="preserve">vzestupné řady poznání </w:t>
      </w:r>
      <w:r w:rsidR="00052B1E" w:rsidRPr="003D1E07">
        <w:rPr>
          <w:i/>
        </w:rPr>
        <w:t>intellectus in potentia</w:t>
      </w:r>
      <w:r w:rsidR="00052B1E" w:rsidRPr="003D1E07">
        <w:t xml:space="preserve"> ‒ </w:t>
      </w:r>
      <w:r w:rsidR="00052B1E" w:rsidRPr="003D1E07">
        <w:rPr>
          <w:i/>
        </w:rPr>
        <w:t>intellectus in effectu</w:t>
      </w:r>
      <w:r w:rsidR="00D44795" w:rsidRPr="003D1E07">
        <w:rPr>
          <w:i/>
        </w:rPr>
        <w:fldChar w:fldCharType="begin"/>
      </w:r>
      <w:r w:rsidR="00D44795" w:rsidRPr="003D1E07">
        <w:instrText xml:space="preserve"> XE "</w:instrText>
      </w:r>
      <w:r w:rsidR="00D44795" w:rsidRPr="003D1E07">
        <w:rPr>
          <w:i/>
        </w:rPr>
        <w:instrText>intellectus in effectu</w:instrText>
      </w:r>
      <w:r w:rsidR="00D44795" w:rsidRPr="003D1E07">
        <w:instrText xml:space="preserve">" </w:instrText>
      </w:r>
      <w:r w:rsidR="00D44795" w:rsidRPr="003D1E07">
        <w:rPr>
          <w:i/>
        </w:rPr>
        <w:fldChar w:fldCharType="end"/>
      </w:r>
      <w:r w:rsidR="00052B1E" w:rsidRPr="003D1E07">
        <w:t>.</w:t>
      </w:r>
      <w:r w:rsidR="00A16CDF" w:rsidRPr="003D1E07">
        <w:t xml:space="preserve"> </w:t>
      </w:r>
      <w:r w:rsidR="00587CD4" w:rsidRPr="00587CD4">
        <w:t xml:space="preserve">Tento postup vylučuje jakoukoli kognitivní formu </w:t>
      </w:r>
      <w:r w:rsidR="00587CD4">
        <w:t xml:space="preserve">definovanou </w:t>
      </w:r>
      <w:r w:rsidR="00587CD4" w:rsidRPr="00587CD4">
        <w:t xml:space="preserve">jako hypostatické </w:t>
      </w:r>
      <w:r w:rsidR="00587CD4" w:rsidRPr="00587CD4">
        <w:rPr>
          <w:i/>
        </w:rPr>
        <w:t>tertium ens</w:t>
      </w:r>
      <w:r w:rsidR="00587CD4" w:rsidRPr="00587CD4">
        <w:t>.</w:t>
      </w:r>
      <w:r w:rsidR="00587CD4">
        <w:t xml:space="preserve"> </w:t>
      </w:r>
      <w:r w:rsidR="002F52DA" w:rsidRPr="003D1E07">
        <w:t xml:space="preserve">Neoplatonismus Druhého mistra </w:t>
      </w:r>
      <w:r w:rsidR="00273F42">
        <w:t xml:space="preserve">však </w:t>
      </w:r>
      <w:r w:rsidR="002F52DA" w:rsidRPr="003D1E07">
        <w:t>způsobil, že aktualizace formy v prostředí pasivního a aktivního intelektu vytvořila novou sféru bytí (</w:t>
      </w:r>
      <w:r w:rsidR="002F52DA" w:rsidRPr="003D1E07">
        <w:rPr>
          <w:rStyle w:val="st"/>
          <w:i/>
        </w:rPr>
        <w:t>aliud esse</w:t>
      </w:r>
      <w:r w:rsidR="08B201E5" w:rsidRPr="003D1E07">
        <w:rPr>
          <w:rStyle w:val="st"/>
          <w:i/>
        </w:rPr>
        <w:fldChar w:fldCharType="begin"/>
      </w:r>
      <w:r w:rsidR="08B201E5" w:rsidRPr="003D1E07">
        <w:instrText xml:space="preserve"> XE "substance:</w:instrText>
      </w:r>
      <w:r w:rsidR="08B201E5" w:rsidRPr="003D1E07">
        <w:rPr>
          <w:rStyle w:val="st"/>
          <w:i/>
        </w:rPr>
        <w:instrText>aliud esse</w:instrText>
      </w:r>
      <w:r w:rsidR="08B201E5" w:rsidRPr="003D1E07">
        <w:instrText xml:space="preserve">" </w:instrText>
      </w:r>
      <w:r w:rsidR="08B201E5" w:rsidRPr="003D1E07">
        <w:rPr>
          <w:rStyle w:val="st"/>
          <w:i/>
        </w:rPr>
        <w:fldChar w:fldCharType="end"/>
      </w:r>
      <w:r w:rsidR="08B037B2" w:rsidRPr="003D1E07">
        <w:t xml:space="preserve">). Toto nové </w:t>
      </w:r>
      <w:r w:rsidR="00DD49FD">
        <w:t>„</w:t>
      </w:r>
      <w:r w:rsidR="08B037B2" w:rsidRPr="003D1E07">
        <w:t>bytí</w:t>
      </w:r>
      <w:r w:rsidR="00DD49FD">
        <w:t>“</w:t>
      </w:r>
      <w:r w:rsidR="08B037B2" w:rsidRPr="003D1E07">
        <w:t xml:space="preserve"> jsoucna </w:t>
      </w:r>
      <w:r w:rsidR="002F52DA" w:rsidRPr="003D1E07">
        <w:t xml:space="preserve">není </w:t>
      </w:r>
      <w:r w:rsidR="00FC05A3">
        <w:t xml:space="preserve">aristotelskou </w:t>
      </w:r>
      <w:r w:rsidR="002F52DA" w:rsidRPr="003D1E07">
        <w:t>abstrakcí</w:t>
      </w:r>
      <w:r w:rsidR="00DD49FD">
        <w:t xml:space="preserve"> podle </w:t>
      </w:r>
      <w:r w:rsidR="00DD49FD" w:rsidRPr="00DD49FD">
        <w:rPr>
          <w:i/>
        </w:rPr>
        <w:t>De anima</w:t>
      </w:r>
      <w:r w:rsidR="00DD49FD">
        <w:t xml:space="preserve">. Ve schématu poznání podle impozice platí, že </w:t>
      </w:r>
      <w:r w:rsidR="086C5C35" w:rsidRPr="003D1E07">
        <w:t xml:space="preserve">poznaná </w:t>
      </w:r>
      <w:r w:rsidR="002F52DA" w:rsidRPr="003D1E07">
        <w:t xml:space="preserve">forma </w:t>
      </w:r>
      <w:r w:rsidR="086C5C35" w:rsidRPr="003D1E07">
        <w:t xml:space="preserve">reálné věci </w:t>
      </w:r>
      <w:r w:rsidR="002F52DA" w:rsidRPr="003D1E07">
        <w:t xml:space="preserve">přechází od smyslů k představivosti a pak do pasivního intelektu. Ambivalentní poznání </w:t>
      </w:r>
      <w:r w:rsidR="00DD49FD">
        <w:t xml:space="preserve">je </w:t>
      </w:r>
      <w:r w:rsidR="002F52DA" w:rsidRPr="003D1E07">
        <w:t>založené na dvojím pojetí abstrakce a intencionality</w:t>
      </w:r>
      <w:r w:rsidR="00DD49FD">
        <w:t xml:space="preserve">. Pak bere </w:t>
      </w:r>
      <w:r w:rsidR="002F52DA" w:rsidRPr="003D1E07">
        <w:t>aktualitu jak od smyslově poznané první sustance recipované v potenciálním intelektu, tak od světa autonomních forem vnímaných v darovaném intelektu. Al-Fá</w:t>
      </w:r>
      <w:r w:rsidR="00F83FEA" w:rsidRPr="003D1E07">
        <w:t>rábí se ocitl před zák</w:t>
      </w:r>
      <w:r w:rsidR="002F52DA" w:rsidRPr="003D1E07">
        <w:t>ladní otázkou Porfy</w:t>
      </w:r>
      <w:r w:rsidR="00F83FEA" w:rsidRPr="003D1E07">
        <w:t>ria, Simplikia a dalších danou ambivalentním statutem třetí substance</w:t>
      </w:r>
      <w:r w:rsidR="08AF6B7D" w:rsidRPr="003D1E07">
        <w:t xml:space="preserve"> (kap. 1.3</w:t>
      </w:r>
      <w:r w:rsidR="00F83FEA" w:rsidRPr="003D1E07">
        <w:t xml:space="preserve">). </w:t>
      </w:r>
      <w:r w:rsidR="00DA64A3" w:rsidRPr="003D1E07">
        <w:t xml:space="preserve">Hermeneutika konstatuje, že Alfarabius </w:t>
      </w:r>
      <w:r w:rsidR="081C5615" w:rsidRPr="003D1E07">
        <w:rPr>
          <w:rStyle w:val="Zvraznn"/>
          <w:i w:val="0"/>
        </w:rPr>
        <w:t xml:space="preserve">ve výkladu intelektu </w:t>
      </w:r>
      <w:r w:rsidR="086E541A" w:rsidRPr="003D1E07">
        <w:rPr>
          <w:rStyle w:val="Zvraznn"/>
          <w:i w:val="0"/>
        </w:rPr>
        <w:t xml:space="preserve">explicitně zavádí i druhý </w:t>
      </w:r>
      <w:r w:rsidR="086E541A" w:rsidRPr="003D1E07">
        <w:rPr>
          <w:rStyle w:val="Zvraznn"/>
          <w:i w:val="0"/>
        </w:rPr>
        <w:lastRenderedPageBreak/>
        <w:t>náhled</w:t>
      </w:r>
      <w:r w:rsidR="083D3224" w:rsidRPr="003D1E07">
        <w:rPr>
          <w:rStyle w:val="Zvraznn"/>
          <w:i w:val="0"/>
        </w:rPr>
        <w:t xml:space="preserve"> na zjevování jsoucího</w:t>
      </w:r>
      <w:r w:rsidR="000B3050" w:rsidRPr="003D1E07">
        <w:rPr>
          <w:rStyle w:val="Zvraznn"/>
          <w:i w:val="0"/>
        </w:rPr>
        <w:t xml:space="preserve"> daný nasvícením zezadu</w:t>
      </w:r>
      <w:r w:rsidR="086E541A" w:rsidRPr="003D1E07">
        <w:rPr>
          <w:rStyle w:val="Zvraznn"/>
          <w:i w:val="0"/>
        </w:rPr>
        <w:t xml:space="preserve">. </w:t>
      </w:r>
      <w:r w:rsidR="000E7CBB">
        <w:rPr>
          <w:rStyle w:val="Zvraznn"/>
          <w:i w:val="0"/>
        </w:rPr>
        <w:t>N</w:t>
      </w:r>
      <w:r w:rsidR="000E7CBB">
        <w:t xml:space="preserve">ové poznání jsoucna </w:t>
      </w:r>
      <w:r w:rsidR="00F22E0C" w:rsidRPr="003D1E07">
        <w:t xml:space="preserve">odpovídá </w:t>
      </w:r>
      <w:r w:rsidR="00030FA5" w:rsidRPr="003D1E07">
        <w:t xml:space="preserve">primární </w:t>
      </w:r>
      <w:r w:rsidR="00133C59" w:rsidRPr="003D1E07">
        <w:t xml:space="preserve">aktualitě </w:t>
      </w:r>
      <w:r w:rsidR="002A663C" w:rsidRPr="003D1E07">
        <w:t xml:space="preserve">odděleného činného </w:t>
      </w:r>
      <w:r w:rsidR="088771A8" w:rsidRPr="003D1E07">
        <w:t xml:space="preserve">kosmického </w:t>
      </w:r>
      <w:r w:rsidR="00133C59" w:rsidRPr="003D1E07">
        <w:t>intelektu</w:t>
      </w:r>
      <w:r w:rsidR="002A663C" w:rsidRPr="003D1E07">
        <w:t xml:space="preserve"> (</w:t>
      </w:r>
      <w:r w:rsidR="002A663C" w:rsidRPr="003D1E07">
        <w:rPr>
          <w:i/>
        </w:rPr>
        <w:t>intellectus agens</w:t>
      </w:r>
      <w:r w:rsidR="00DF1F0F" w:rsidRPr="003D1E07">
        <w:rPr>
          <w:i/>
        </w:rPr>
        <w:fldChar w:fldCharType="begin"/>
      </w:r>
      <w:r w:rsidR="00DF1F0F" w:rsidRPr="003D1E07">
        <w:instrText xml:space="preserve"> XE "</w:instrText>
      </w:r>
      <w:r w:rsidR="00DF1F0F" w:rsidRPr="003D1E07">
        <w:rPr>
          <w:i/>
        </w:rPr>
        <w:instrText>intellectus agens</w:instrText>
      </w:r>
      <w:r w:rsidR="00DF1F0F" w:rsidRPr="003D1E07">
        <w:instrText>:</w:instrText>
      </w:r>
      <w:r w:rsidR="00D44795" w:rsidRPr="003D1E07">
        <w:instrText>Al-</w:instrText>
      </w:r>
      <w:r w:rsidR="008E02F5" w:rsidRPr="003D1E07">
        <w:instrText>Fárábí</w:instrText>
      </w:r>
      <w:r w:rsidR="00DF1F0F" w:rsidRPr="003D1E07">
        <w:instrText xml:space="preserve">" </w:instrText>
      </w:r>
      <w:r w:rsidR="00DF1F0F" w:rsidRPr="003D1E07">
        <w:rPr>
          <w:i/>
        </w:rPr>
        <w:fldChar w:fldCharType="end"/>
      </w:r>
      <w:r w:rsidR="002A663C" w:rsidRPr="003D1E07">
        <w:t>)</w:t>
      </w:r>
      <w:r w:rsidR="084B3201" w:rsidRPr="003D1E07">
        <w:t xml:space="preserve">. Ten povolal </w:t>
      </w:r>
      <w:r w:rsidR="009B111E" w:rsidRPr="003D1E07">
        <w:t xml:space="preserve">intelektuální formy </w:t>
      </w:r>
      <w:r w:rsidR="00F22E0C" w:rsidRPr="003D1E07">
        <w:t xml:space="preserve">do </w:t>
      </w:r>
      <w:r w:rsidR="086A0687" w:rsidRPr="003D1E07">
        <w:t xml:space="preserve">nového </w:t>
      </w:r>
      <w:r w:rsidR="00F22E0C" w:rsidRPr="003D1E07">
        <w:t>bytí</w:t>
      </w:r>
      <w:r w:rsidR="000B3050" w:rsidRPr="003D1E07">
        <w:t xml:space="preserve"> </w:t>
      </w:r>
      <w:r w:rsidR="08743F9B" w:rsidRPr="003D1E07">
        <w:t xml:space="preserve">v lidském intelektu </w:t>
      </w:r>
      <w:r w:rsidR="000B3050" w:rsidRPr="003D1E07">
        <w:t xml:space="preserve">skrze přímý náhled </w:t>
      </w:r>
      <w:r w:rsidR="084B3201" w:rsidRPr="003D1E07">
        <w:t xml:space="preserve">daný v získaném </w:t>
      </w:r>
      <w:r w:rsidR="000B3050" w:rsidRPr="003D1E07">
        <w:t>intelektu</w:t>
      </w:r>
      <w:r w:rsidR="084B3201" w:rsidRPr="003D1E07">
        <w:t xml:space="preserve"> (</w:t>
      </w:r>
      <w:r w:rsidR="084B3201" w:rsidRPr="003D1E07">
        <w:rPr>
          <w:i/>
        </w:rPr>
        <w:t>intellectus adeptus</w:t>
      </w:r>
      <w:r w:rsidR="084B3201" w:rsidRPr="003D1E07">
        <w:t>)</w:t>
      </w:r>
      <w:r w:rsidR="00F22E0C" w:rsidRPr="003D1E07">
        <w:t xml:space="preserve">. </w:t>
      </w:r>
      <w:r w:rsidR="003245A3" w:rsidRPr="003D1E07">
        <w:t>Činný intele</w:t>
      </w:r>
      <w:r w:rsidR="00EF4020" w:rsidRPr="003D1E07">
        <w:t>k</w:t>
      </w:r>
      <w:r w:rsidR="003245A3" w:rsidRPr="003D1E07">
        <w:t>t hraje roli aktivního řemeslníka, který vtiskuje formy jak do mate</w:t>
      </w:r>
      <w:r w:rsidR="001107BB" w:rsidRPr="003D1E07">
        <w:t>rie tak do darovaného intelektu</w:t>
      </w:r>
      <w:r w:rsidR="0092686A" w:rsidRPr="003D1E07">
        <w:t>.</w:t>
      </w:r>
      <w:r w:rsidR="00613BAD" w:rsidRPr="003D1E07">
        <w:t xml:space="preserve"> </w:t>
      </w:r>
      <w:r w:rsidR="080F386C" w:rsidRPr="003D1E07">
        <w:t xml:space="preserve">Toto pojetí </w:t>
      </w:r>
      <w:r w:rsidR="0845489A" w:rsidRPr="003D1E07">
        <w:t>iluminace dané v neoplatonské formě abstrakce (</w:t>
      </w:r>
      <w:r w:rsidR="0845489A" w:rsidRPr="003D1E07">
        <w:rPr>
          <w:i/>
        </w:rPr>
        <w:t>denudatio</w:t>
      </w:r>
      <w:r w:rsidR="08FB39FE" w:rsidRPr="003D1E07">
        <w:rPr>
          <w:i/>
        </w:rPr>
        <w:fldChar w:fldCharType="begin"/>
      </w:r>
      <w:r w:rsidR="08FB39FE" w:rsidRPr="003D1E07">
        <w:instrText xml:space="preserve"> XE "</w:instrText>
      </w:r>
      <w:r w:rsidR="08FB39FE" w:rsidRPr="003D1E07">
        <w:rPr>
          <w:i/>
        </w:rPr>
        <w:instrText>denudatio</w:instrText>
      </w:r>
      <w:r w:rsidR="08FB39FE" w:rsidRPr="003D1E07">
        <w:instrText xml:space="preserve">" </w:instrText>
      </w:r>
      <w:r w:rsidR="08FB39FE" w:rsidRPr="003D1E07">
        <w:rPr>
          <w:i/>
        </w:rPr>
        <w:fldChar w:fldCharType="end"/>
      </w:r>
      <w:r w:rsidR="0845489A" w:rsidRPr="003D1E07">
        <w:t xml:space="preserve">) </w:t>
      </w:r>
      <w:r w:rsidR="080F386C" w:rsidRPr="003D1E07">
        <w:t xml:space="preserve">budeme potkávat </w:t>
      </w:r>
      <w:r w:rsidR="08F61EBC" w:rsidRPr="003D1E07">
        <w:t>ve schola</w:t>
      </w:r>
      <w:r w:rsidR="00D16551">
        <w:t>s</w:t>
      </w:r>
      <w:r w:rsidR="08F61EBC" w:rsidRPr="003D1E07">
        <w:t xml:space="preserve">tice jako formu </w:t>
      </w:r>
      <w:r w:rsidR="0830457C" w:rsidRPr="003D1E07">
        <w:t xml:space="preserve">objektivní </w:t>
      </w:r>
      <w:r w:rsidR="080F386C" w:rsidRPr="003D1E07">
        <w:t xml:space="preserve">predikace </w:t>
      </w:r>
      <w:r w:rsidR="080F386C" w:rsidRPr="003D1E07">
        <w:rPr>
          <w:i/>
        </w:rPr>
        <w:t>in artificialibus</w:t>
      </w:r>
      <w:r w:rsidR="080F386C" w:rsidRPr="003D1E07">
        <w:rPr>
          <w:i/>
        </w:rPr>
        <w:fldChar w:fldCharType="begin"/>
      </w:r>
      <w:r w:rsidR="080F386C" w:rsidRPr="003D1E07">
        <w:instrText xml:space="preserve"> XE "predikace:</w:instrText>
      </w:r>
      <w:r w:rsidR="080F386C" w:rsidRPr="003D1E07">
        <w:rPr>
          <w:i/>
        </w:rPr>
        <w:instrText>in artificialibus</w:instrText>
      </w:r>
      <w:r w:rsidR="080F386C" w:rsidRPr="003D1E07">
        <w:instrText xml:space="preserve">" </w:instrText>
      </w:r>
      <w:r w:rsidR="080F386C" w:rsidRPr="003D1E07">
        <w:rPr>
          <w:i/>
        </w:rPr>
        <w:fldChar w:fldCharType="end"/>
      </w:r>
      <w:r w:rsidR="080F386C" w:rsidRPr="003D1E07">
        <w:t xml:space="preserve">. </w:t>
      </w:r>
      <w:r w:rsidR="00D8051B" w:rsidRPr="003D1E07">
        <w:t xml:space="preserve">Následující citát zakládá původní </w:t>
      </w:r>
      <w:r w:rsidR="00D8051B" w:rsidRPr="003D1E07">
        <w:rPr>
          <w:i/>
        </w:rPr>
        <w:t>Lichtung</w:t>
      </w:r>
      <w:r w:rsidR="00D8051B" w:rsidRPr="003D1E07">
        <w:t xml:space="preserve"> pro novou formu metafyziky latinských </w:t>
      </w:r>
      <w:r w:rsidR="00D8051B" w:rsidRPr="003D1E07">
        <w:rPr>
          <w:i/>
        </w:rPr>
        <w:t>Modernorum</w:t>
      </w:r>
      <w:r w:rsidR="00D8051B" w:rsidRPr="003D1E07">
        <w:t xml:space="preserve">, kterou dokončí </w:t>
      </w:r>
      <w:r w:rsidR="08BA5657" w:rsidRPr="003D1E07">
        <w:t xml:space="preserve">Duns </w:t>
      </w:r>
      <w:r w:rsidR="00D8051B" w:rsidRPr="003D1E07">
        <w:t>Scotus.</w:t>
      </w:r>
    </w:p>
    <w:p w14:paraId="03B8B25D" w14:textId="77777777" w:rsidR="00D8051B" w:rsidRPr="003D1E07" w:rsidRDefault="00D8051B" w:rsidP="00D8051B">
      <w:pPr>
        <w:pStyle w:val="Citace"/>
        <w:rPr>
          <w:noProof/>
          <w:lang w:val="cs-CZ"/>
        </w:rPr>
      </w:pPr>
      <w:r w:rsidRPr="003D1E07">
        <w:rPr>
          <w:noProof/>
          <w:lang w:val="cs-CZ"/>
        </w:rPr>
        <w:t>„Darovaný intelekt (</w:t>
      </w:r>
      <w:r w:rsidRPr="003D1E07">
        <w:rPr>
          <w:i/>
          <w:lang w:val="cs-CZ"/>
        </w:rPr>
        <w:t>intellectus adeptus</w:t>
      </w:r>
      <w:r w:rsidRPr="003D1E07">
        <w:rPr>
          <w:noProof/>
          <w:lang w:val="cs-CZ"/>
        </w:rPr>
        <w:t>) je současně substrátem pro poznané formy a tím se sám stane formou pro intelekt</w:t>
      </w:r>
      <w:r w:rsidR="082E3A22" w:rsidRPr="003D1E07">
        <w:rPr>
          <w:noProof/>
          <w:lang w:val="cs-CZ"/>
        </w:rPr>
        <w:t xml:space="preserve"> daný aktuálně</w:t>
      </w:r>
      <w:r w:rsidRPr="003D1E07">
        <w:rPr>
          <w:noProof/>
          <w:lang w:val="cs-CZ"/>
        </w:rPr>
        <w:t xml:space="preserve"> (</w:t>
      </w:r>
      <w:r w:rsidRPr="003D1E07">
        <w:rPr>
          <w:i/>
          <w:lang w:val="cs-CZ"/>
        </w:rPr>
        <w:t>intellectus adeptus est quasi forma intellectui in effectu</w:t>
      </w:r>
      <w:r w:rsidRPr="003D1E07">
        <w:rPr>
          <w:noProof/>
          <w:lang w:val="cs-CZ"/>
        </w:rPr>
        <w:t>)</w:t>
      </w:r>
      <w:r w:rsidR="082E3A22" w:rsidRPr="003D1E07">
        <w:rPr>
          <w:noProof/>
          <w:lang w:val="cs-CZ"/>
        </w:rPr>
        <w:t xml:space="preserve"> a </w:t>
      </w:r>
      <w:r w:rsidRPr="003D1E07">
        <w:rPr>
          <w:noProof/>
          <w:lang w:val="cs-CZ"/>
        </w:rPr>
        <w:t>ten je substrátem a materií pro darovaný intelekt. Aktualizovaný intelekt je formou pro zmíněný možný intelekt (</w:t>
      </w:r>
      <w:r w:rsidRPr="003D1E07">
        <w:rPr>
          <w:i/>
          <w:lang w:val="cs-CZ"/>
        </w:rPr>
        <w:t>intellectus uero in effectu est quasi materia et subiectum intellectui adepto</w:t>
      </w:r>
      <w:r w:rsidRPr="003D1E07">
        <w:rPr>
          <w:noProof/>
          <w:lang w:val="cs-CZ"/>
        </w:rPr>
        <w:t xml:space="preserve">) a ten je dán jako materie pro aktualizovaný intelekt. Na této úrovni začínají formy klesat do tělesných materiálních forem </w:t>
      </w:r>
      <w:r w:rsidRPr="003D1E07">
        <w:rPr>
          <w:lang w:val="cs-CZ"/>
        </w:rPr>
        <w:t>(</w:t>
      </w:r>
      <w:r w:rsidRPr="003D1E07">
        <w:rPr>
          <w:i/>
          <w:lang w:val="cs-CZ"/>
        </w:rPr>
        <w:t>incipiunt forme descendere usque at formam corporalem ylealem</w:t>
      </w:r>
      <w:r w:rsidRPr="003D1E07">
        <w:rPr>
          <w:lang w:val="cs-CZ"/>
        </w:rPr>
        <w:t>),</w:t>
      </w:r>
      <w:r w:rsidRPr="003D1E07">
        <w:rPr>
          <w:noProof/>
          <w:lang w:val="cs-CZ"/>
        </w:rPr>
        <w:t xml:space="preserve"> i když se předtím postupně zvedly až k tomu, že se oddělily od hmoty a tak zamířily až k nemateriálním formám.“</w:t>
      </w:r>
      <w:bookmarkStart w:id="39" w:name="_Ref379560216"/>
      <w:r w:rsidRPr="003D1E07">
        <w:rPr>
          <w:rStyle w:val="Znakapoznpodarou"/>
          <w:noProof/>
          <w:lang w:val="cs-CZ"/>
        </w:rPr>
        <w:footnoteReference w:id="95"/>
      </w:r>
      <w:bookmarkEnd w:id="39"/>
    </w:p>
    <w:p w14:paraId="5F9F561A" w14:textId="56CA71AF" w:rsidR="007C2852" w:rsidRPr="003D1E07" w:rsidRDefault="00D8051B" w:rsidP="00AD1941">
      <w:r w:rsidRPr="003D1E07">
        <w:t>Citát začíná náhledem na svět nemateriálních forem, které získávají v lid</w:t>
      </w:r>
      <w:r w:rsidR="083500CE" w:rsidRPr="003D1E07">
        <w:t xml:space="preserve">ské duši formu poznání  zvanou </w:t>
      </w:r>
      <w:r w:rsidR="08FE69EC" w:rsidRPr="003D1E07">
        <w:t>darovaný intelekt (</w:t>
      </w:r>
      <w:r w:rsidR="083500CE" w:rsidRPr="003D1E07">
        <w:rPr>
          <w:i/>
        </w:rPr>
        <w:t>der</w:t>
      </w:r>
      <w:r w:rsidR="083500CE" w:rsidRPr="003D1E07">
        <w:t xml:space="preserve"> </w:t>
      </w:r>
      <w:r w:rsidRPr="003D1E07">
        <w:rPr>
          <w:i/>
        </w:rPr>
        <w:t>erworbene Intellect</w:t>
      </w:r>
      <w:r w:rsidR="08FE69EC" w:rsidRPr="003D1E07">
        <w:t xml:space="preserve">, </w:t>
      </w:r>
      <w:r w:rsidRPr="003D1E07">
        <w:rPr>
          <w:i/>
        </w:rPr>
        <w:t>intellectus adeptus</w:t>
      </w:r>
      <w:r w:rsidR="00332701" w:rsidRPr="003D1E07">
        <w:rPr>
          <w:i/>
        </w:rPr>
        <w:fldChar w:fldCharType="begin"/>
      </w:r>
      <w:r w:rsidR="00332701" w:rsidRPr="003D1E07">
        <w:instrText xml:space="preserve"> XE "</w:instrText>
      </w:r>
      <w:r w:rsidR="00332701" w:rsidRPr="003D1E07">
        <w:rPr>
          <w:i/>
        </w:rPr>
        <w:instrText>intellectus adeptus</w:instrText>
      </w:r>
      <w:r w:rsidR="00CB4A93" w:rsidRPr="003D1E07">
        <w:rPr>
          <w:i/>
        </w:rPr>
        <w:instrText>:</w:instrText>
      </w:r>
      <w:r w:rsidR="00CB4A93" w:rsidRPr="003D1E07">
        <w:instrText>Al-</w:instrText>
      </w:r>
      <w:r w:rsidR="008E02F5" w:rsidRPr="003D1E07">
        <w:instrText>Fárábí</w:instrText>
      </w:r>
      <w:r w:rsidR="00332701" w:rsidRPr="003D1E07">
        <w:instrText xml:space="preserve">" </w:instrText>
      </w:r>
      <w:r w:rsidR="00332701" w:rsidRPr="003D1E07">
        <w:rPr>
          <w:i/>
        </w:rPr>
        <w:fldChar w:fldCharType="end"/>
      </w:r>
      <w:r w:rsidRPr="003D1E07">
        <w:t xml:space="preserve">). Predikace intelektuálních forem vztažená k tomuto substrátu myšlení tvoří svět </w:t>
      </w:r>
      <w:r w:rsidR="083500CE" w:rsidRPr="003D1E07">
        <w:t>jiného bytí</w:t>
      </w:r>
      <w:r w:rsidRPr="003D1E07">
        <w:t xml:space="preserve"> (</w:t>
      </w:r>
      <w:r w:rsidRPr="003D1E07">
        <w:rPr>
          <w:i/>
        </w:rPr>
        <w:t>aliud esse</w:t>
      </w:r>
      <w:r w:rsidRPr="003D1E07">
        <w:t xml:space="preserve">) </w:t>
      </w:r>
      <w:r w:rsidR="085F0E1C" w:rsidRPr="003D1E07">
        <w:t>za hylemorfickou první substancí</w:t>
      </w:r>
      <w:r w:rsidRPr="003D1E07">
        <w:t>. Citát pokračuje směrem dolů ke světu reálných materiálních substancí, protože v kategoriálním schématu aristotelismu je predikace možná jen vzhledem k aktuální první substanci</w:t>
      </w:r>
      <w:r w:rsidR="00EB7434">
        <w:t xml:space="preserve"> poznané smyslově</w:t>
      </w:r>
      <w:r w:rsidRPr="003D1E07">
        <w:t>. První část citát</w:t>
      </w:r>
      <w:r w:rsidR="08565979" w:rsidRPr="003D1E07">
        <w:t>u</w:t>
      </w:r>
      <w:r w:rsidRPr="003D1E07">
        <w:t xml:space="preserve"> ukazuje dedukci vyšších poznávacích forem z</w:t>
      </w:r>
      <w:r w:rsidR="08565979" w:rsidRPr="003D1E07">
        <w:t xml:space="preserve">e světa kosmických inteligencí a forem </w:t>
      </w:r>
      <w:r w:rsidRPr="003D1E07">
        <w:t xml:space="preserve">směrem dolů. Proto slouží darovaný intelekt díky své </w:t>
      </w:r>
      <w:r w:rsidR="08FD3B0D" w:rsidRPr="003D1E07">
        <w:t xml:space="preserve">již dané </w:t>
      </w:r>
      <w:r w:rsidRPr="003D1E07">
        <w:t xml:space="preserve">aktualitě jako forma i pro aktualizaci potenciálního intelektu. Ten je „materiální“ </w:t>
      </w:r>
      <w:r w:rsidR="086B5B54" w:rsidRPr="003D1E07">
        <w:t xml:space="preserve">či „receptivní“ </w:t>
      </w:r>
      <w:r w:rsidRPr="003D1E07">
        <w:t xml:space="preserve">díky své čisté potencialitě, viz Alexandrovu definici odděleného hylického intelektu. Tento materiální intelekt </w:t>
      </w:r>
      <w:r w:rsidR="00442636">
        <w:t xml:space="preserve">nyní </w:t>
      </w:r>
      <w:r w:rsidRPr="003D1E07">
        <w:t>tvoří kvazi-materii a subjekt pro aktuální formu darovaného intelektu (</w:t>
      </w:r>
      <w:r w:rsidRPr="003D1E07">
        <w:rPr>
          <w:i/>
        </w:rPr>
        <w:t>est quasi materia et subiectum intellectui adepto</w:t>
      </w:r>
      <w:r w:rsidRPr="003D1E07">
        <w:t xml:space="preserve">). </w:t>
      </w:r>
      <w:r w:rsidR="001A48B7">
        <w:t xml:space="preserve">Figura </w:t>
      </w:r>
      <w:r w:rsidR="003D7DEC" w:rsidRPr="003D7DEC">
        <w:rPr>
          <w:i/>
        </w:rPr>
        <w:t>intellectus in effectu</w:t>
      </w:r>
      <w:r w:rsidR="003D7DEC" w:rsidRPr="003D7DEC">
        <w:t xml:space="preserve"> si zachovává centrální postavení, protože je </w:t>
      </w:r>
      <w:r w:rsidR="003D7DEC" w:rsidRPr="003D7DEC">
        <w:lastRenderedPageBreak/>
        <w:t>aktualizován</w:t>
      </w:r>
      <w:r w:rsidR="001A48B7">
        <w:t>a</w:t>
      </w:r>
      <w:r w:rsidR="003D7DEC" w:rsidRPr="003D7DEC">
        <w:t xml:space="preserve"> shora (první nehmotná substance) i zdola (první hmotná substance).</w:t>
      </w:r>
      <w:r w:rsidR="003D7DEC">
        <w:t xml:space="preserve"> </w:t>
      </w:r>
      <w:r w:rsidR="00FB7059">
        <w:t>Tím vznikla</w:t>
      </w:r>
      <w:r w:rsidR="08D243FF" w:rsidRPr="003D1E07">
        <w:t xml:space="preserve"> nová figura </w:t>
      </w:r>
      <w:r w:rsidR="00AC32C8" w:rsidRPr="003D1E07">
        <w:rPr>
          <w:i/>
        </w:rPr>
        <w:t>intellectus in poten</w:t>
      </w:r>
      <w:r w:rsidR="08D243FF" w:rsidRPr="003D1E07">
        <w:rPr>
          <w:i/>
        </w:rPr>
        <w:t>c</w:t>
      </w:r>
      <w:r w:rsidR="00AC32C8" w:rsidRPr="003D1E07">
        <w:rPr>
          <w:i/>
        </w:rPr>
        <w:t>ia</w:t>
      </w:r>
      <w:r w:rsidR="00AC32C8" w:rsidRPr="003D1E07">
        <w:t>, která není dána v procesu abstrakce dané nasvícením intelektu od první substance</w:t>
      </w:r>
      <w:r w:rsidR="00301062" w:rsidRPr="003D1E07">
        <w:t xml:space="preserve">. </w:t>
      </w:r>
      <w:r w:rsidR="00DA032E">
        <w:t xml:space="preserve">Nyní platí </w:t>
      </w:r>
      <w:r w:rsidR="00301062" w:rsidRPr="003D1E07">
        <w:t xml:space="preserve">scénář </w:t>
      </w:r>
      <w:r w:rsidR="00AC32C8" w:rsidRPr="003D1E07">
        <w:t>aktualizace dané iluminací receptivní složky intelektu od oddělené aktuální formy</w:t>
      </w:r>
      <w:r w:rsidR="085354FD" w:rsidRPr="003D1E07">
        <w:t xml:space="preserve"> jako nemateriální první substance</w:t>
      </w:r>
      <w:r w:rsidR="00AC32C8" w:rsidRPr="003D1E07">
        <w:t xml:space="preserve">. </w:t>
      </w:r>
      <w:r w:rsidR="006F2E4B">
        <w:t>Moderní „r</w:t>
      </w:r>
      <w:r w:rsidR="001C4E4F">
        <w:t>eceptivní i</w:t>
      </w:r>
      <w:r w:rsidRPr="003D1E07">
        <w:t>ntelekt</w:t>
      </w:r>
      <w:r w:rsidR="006F2E4B">
        <w:t>“</w:t>
      </w:r>
      <w:r w:rsidRPr="003D1E07">
        <w:t xml:space="preserve"> (</w:t>
      </w:r>
      <w:r w:rsidRPr="003D1E07">
        <w:rPr>
          <w:i/>
        </w:rPr>
        <w:t>intellectus in potentia</w:t>
      </w:r>
      <w:r w:rsidRPr="003D1E07">
        <w:t xml:space="preserve">) </w:t>
      </w:r>
      <w:r w:rsidR="001C4E4F">
        <w:t xml:space="preserve">osvícený tímto způsobem pak </w:t>
      </w:r>
      <w:r w:rsidRPr="003D1E07">
        <w:t xml:space="preserve">funguje jako </w:t>
      </w:r>
      <w:r w:rsidR="00634303">
        <w:t>hypostatický substrát (</w:t>
      </w:r>
      <w:r w:rsidR="00634303" w:rsidRPr="00634303">
        <w:rPr>
          <w:i/>
        </w:rPr>
        <w:t>subiectum</w:t>
      </w:r>
      <w:r w:rsidR="00634303">
        <w:rPr>
          <w:i/>
        </w:rPr>
        <w:t>, hoc aliquid</w:t>
      </w:r>
      <w:r w:rsidR="00634303">
        <w:t>) schopný</w:t>
      </w:r>
      <w:r w:rsidRPr="003D1E07">
        <w:t xml:space="preserve"> </w:t>
      </w:r>
      <w:r w:rsidR="08315842" w:rsidRPr="003D1E07">
        <w:t>přijmout</w:t>
      </w:r>
      <w:r w:rsidR="00222AB4">
        <w:t xml:space="preserve"> aktuální formy</w:t>
      </w:r>
      <w:r w:rsidRPr="003D1E07">
        <w:t xml:space="preserve"> </w:t>
      </w:r>
      <w:r w:rsidR="00222AB4">
        <w:t xml:space="preserve">od již aktualizovaného </w:t>
      </w:r>
      <w:r w:rsidR="00222AB4" w:rsidRPr="00222AB4">
        <w:rPr>
          <w:i/>
        </w:rPr>
        <w:t>intellectus agens</w:t>
      </w:r>
      <w:r w:rsidRPr="003D1E07">
        <w:t xml:space="preserve">. </w:t>
      </w:r>
      <w:r w:rsidR="00222AB4">
        <w:t xml:space="preserve">Formálně viděno, jde o </w:t>
      </w:r>
      <w:r w:rsidRPr="003D1E07">
        <w:t xml:space="preserve">scénář </w:t>
      </w:r>
      <w:r w:rsidR="00222AB4">
        <w:t xml:space="preserve">poznání </w:t>
      </w:r>
      <w:r w:rsidRPr="003D1E07">
        <w:t xml:space="preserve">podle </w:t>
      </w:r>
      <w:r w:rsidRPr="003D1E07">
        <w:rPr>
          <w:i/>
        </w:rPr>
        <w:t>De anima</w:t>
      </w:r>
      <w:r w:rsidRPr="003D1E07">
        <w:t>, kdy aktuáln</w:t>
      </w:r>
      <w:r w:rsidR="08BD4440" w:rsidRPr="003D1E07">
        <w:t>í složka poznání v podobě kvazi-</w:t>
      </w:r>
      <w:r w:rsidRPr="003D1E07">
        <w:t xml:space="preserve">formy určuje receptivní složku danou </w:t>
      </w:r>
      <w:r w:rsidR="08BD4440" w:rsidRPr="003D1E07">
        <w:t>v podobě kvazi-</w:t>
      </w:r>
      <w:r w:rsidR="08072114" w:rsidRPr="003D1E07">
        <w:t xml:space="preserve">materie. Slůvko </w:t>
      </w:r>
      <w:r w:rsidRPr="003D1E07">
        <w:rPr>
          <w:i/>
        </w:rPr>
        <w:t>quasi</w:t>
      </w:r>
      <w:r w:rsidRPr="003D1E07">
        <w:t xml:space="preserve"> má v celém schématu určování intelektu centrální význam, který správně pochopil a vyložil </w:t>
      </w:r>
      <w:r w:rsidR="002E3B62" w:rsidRPr="003D1E07">
        <w:t>Averroes</w:t>
      </w:r>
      <w:r w:rsidRPr="003D1E07">
        <w:t xml:space="preserve"> jak proti Themistiovi, tak proti Alexandrovi (kap. 2.4.3). </w:t>
      </w:r>
      <w:r w:rsidR="08CE3188" w:rsidRPr="003D1E07">
        <w:t xml:space="preserve">Nové </w:t>
      </w:r>
      <w:r w:rsidRPr="003D1E07">
        <w:t xml:space="preserve">postavení </w:t>
      </w:r>
      <w:r w:rsidRPr="003D1E07">
        <w:rPr>
          <w:i/>
        </w:rPr>
        <w:t>intellectus in effectu</w:t>
      </w:r>
      <w:r w:rsidR="00D44795" w:rsidRPr="003D1E07">
        <w:rPr>
          <w:i/>
        </w:rPr>
        <w:fldChar w:fldCharType="begin"/>
      </w:r>
      <w:r w:rsidR="00D44795" w:rsidRPr="003D1E07">
        <w:instrText xml:space="preserve"> XE "</w:instrText>
      </w:r>
      <w:r w:rsidR="00D44795" w:rsidRPr="003D1E07">
        <w:rPr>
          <w:i/>
        </w:rPr>
        <w:instrText>intellectus in effectu</w:instrText>
      </w:r>
      <w:r w:rsidR="00D44795" w:rsidRPr="003D1E07">
        <w:instrText xml:space="preserve">" </w:instrText>
      </w:r>
      <w:r w:rsidR="00D44795" w:rsidRPr="003D1E07">
        <w:rPr>
          <w:i/>
        </w:rPr>
        <w:fldChar w:fldCharType="end"/>
      </w:r>
      <w:r w:rsidRPr="003D1E07">
        <w:t xml:space="preserve"> </w:t>
      </w:r>
      <w:r w:rsidR="08CE3188" w:rsidRPr="003D1E07">
        <w:t xml:space="preserve">aktualizovaného skrze iluminaci </w:t>
      </w:r>
      <w:r w:rsidRPr="003D1E07">
        <w:t xml:space="preserve">potvrzuje, že aktualizace </w:t>
      </w:r>
      <w:r w:rsidR="080462B5" w:rsidRPr="003D1E07">
        <w:rPr>
          <w:i/>
        </w:rPr>
        <w:t>intellectus possibilis</w:t>
      </w:r>
      <w:r w:rsidR="080462B5" w:rsidRPr="003D1E07">
        <w:t xml:space="preserve"> </w:t>
      </w:r>
      <w:r w:rsidRPr="003D1E07">
        <w:t>pochází od původního náhledu ze světa autonomní</w:t>
      </w:r>
      <w:r w:rsidR="084D0D96" w:rsidRPr="003D1E07">
        <w:t xml:space="preserve">ch forem. Tuto novou </w:t>
      </w:r>
      <w:r w:rsidR="001C4B01">
        <w:t xml:space="preserve">a přímou </w:t>
      </w:r>
      <w:r w:rsidR="084D0D96" w:rsidRPr="003D1E07">
        <w:t xml:space="preserve">aktualizaci </w:t>
      </w:r>
      <w:r w:rsidR="084D0D96" w:rsidRPr="003D1E07">
        <w:rPr>
          <w:i/>
        </w:rPr>
        <w:t>intellectus possibilis</w:t>
      </w:r>
      <w:r w:rsidR="084D0D96" w:rsidRPr="003D1E07">
        <w:t xml:space="preserve"> </w:t>
      </w:r>
      <w:r w:rsidRPr="003D1E07">
        <w:t xml:space="preserve">zprostředkovává </w:t>
      </w:r>
      <w:r w:rsidRPr="003D1E07">
        <w:rPr>
          <w:i/>
        </w:rPr>
        <w:t>intellectus adeptus</w:t>
      </w:r>
      <w:r w:rsidR="001C4B01">
        <w:t xml:space="preserve">. Pak platí, že </w:t>
      </w:r>
      <w:r w:rsidRPr="003D1E07">
        <w:t>individuální poznání duše</w:t>
      </w:r>
      <w:r w:rsidR="001C4B01">
        <w:t xml:space="preserve"> je</w:t>
      </w:r>
      <w:r w:rsidR="084D0D96" w:rsidRPr="003D1E07">
        <w:t xml:space="preserve"> osvícené světlem odděleného kosmického </w:t>
      </w:r>
      <w:r w:rsidR="084D0D96" w:rsidRPr="003D1E07">
        <w:rPr>
          <w:i/>
        </w:rPr>
        <w:t>intellectus agens</w:t>
      </w:r>
      <w:r w:rsidR="00F7662C">
        <w:t xml:space="preserve">, který působí skrze lidský </w:t>
      </w:r>
      <w:r w:rsidRPr="003D1E07">
        <w:rPr>
          <w:i/>
        </w:rPr>
        <w:t>intellectus adeptus</w:t>
      </w:r>
      <w:r w:rsidR="00721E16">
        <w:t xml:space="preserve">. Ten je aktualizovaný jako hypostatická forma přímo od kosmického činného intelektu. </w:t>
      </w:r>
      <w:r w:rsidR="00F7662C">
        <w:t>Inteligibilní f</w:t>
      </w:r>
      <w:r w:rsidRPr="003D1E07">
        <w:t>orma nejprve nazírána ve vyšších patrech lidského intelektu (</w:t>
      </w:r>
      <w:r w:rsidRPr="003D1E07">
        <w:rPr>
          <w:i/>
        </w:rPr>
        <w:t>intellectus adeptus</w:t>
      </w:r>
      <w:r w:rsidRPr="003D1E07">
        <w:t xml:space="preserve">) přímo napojeného na automní </w:t>
      </w:r>
      <w:r w:rsidRPr="003D1E07">
        <w:rPr>
          <w:i/>
        </w:rPr>
        <w:t>intellectus agens</w:t>
      </w:r>
      <w:r w:rsidRPr="003D1E07">
        <w:t xml:space="preserve">. Takto aktualizovaný </w:t>
      </w:r>
      <w:r w:rsidRPr="003D1E07">
        <w:rPr>
          <w:i/>
        </w:rPr>
        <w:t>intellectus adeptus</w:t>
      </w:r>
      <w:r w:rsidRPr="003D1E07">
        <w:t xml:space="preserve"> funguje jako aktivní forma vzhledem k pasivnímu </w:t>
      </w:r>
      <w:r w:rsidRPr="003D1E07">
        <w:rPr>
          <w:i/>
        </w:rPr>
        <w:t>intellectus possibilis</w:t>
      </w:r>
      <w:r w:rsidRPr="003D1E07">
        <w:t>, který nemateriální formy poznal pouze ze smyslů a z materie</w:t>
      </w:r>
      <w:r w:rsidR="08182869" w:rsidRPr="003D1E07">
        <w:t xml:space="preserve"> skrze abstrakci</w:t>
      </w:r>
      <w:r w:rsidRPr="003D1E07">
        <w:t xml:space="preserve">. </w:t>
      </w:r>
      <w:r w:rsidR="08635D71" w:rsidRPr="003D1E07">
        <w:t xml:space="preserve">Receptivní </w:t>
      </w:r>
      <w:r w:rsidR="08635D71" w:rsidRPr="003D1E07">
        <w:rPr>
          <w:i/>
        </w:rPr>
        <w:t>intellectus possibilis</w:t>
      </w:r>
      <w:r w:rsidR="08635D71" w:rsidRPr="003D1E07">
        <w:t xml:space="preserve"> v aktu osvícení poznává vyšší formy dané mimo materii a nasvícené primárně zezadu, tedy od světa autonomních forem. </w:t>
      </w:r>
      <w:r w:rsidR="001602C3" w:rsidRPr="003D1E07">
        <w:t>Al-Fá</w:t>
      </w:r>
      <w:r w:rsidR="0051550A" w:rsidRPr="003D1E07">
        <w:t xml:space="preserve">rábí ale současně brání </w:t>
      </w:r>
      <w:r w:rsidR="08BF15D9" w:rsidRPr="003D1E07">
        <w:t xml:space="preserve">v modelu poznání jako iluminace </w:t>
      </w:r>
      <w:r w:rsidR="0051550A" w:rsidRPr="003D1E07">
        <w:t xml:space="preserve">i </w:t>
      </w:r>
      <w:r w:rsidR="08BF15D9" w:rsidRPr="003D1E07">
        <w:t xml:space="preserve">aristotelskou </w:t>
      </w:r>
      <w:r w:rsidR="0051550A" w:rsidRPr="003D1E07">
        <w:t>abstrakc</w:t>
      </w:r>
      <w:r w:rsidR="08BF15D9" w:rsidRPr="003D1E07">
        <w:t>i</w:t>
      </w:r>
      <w:r w:rsidR="0051550A" w:rsidRPr="003D1E07">
        <w:t xml:space="preserve">. </w:t>
      </w:r>
      <w:r w:rsidRPr="003D1E07">
        <w:t xml:space="preserve">Oba směry poznání </w:t>
      </w:r>
      <w:r w:rsidR="0051550A" w:rsidRPr="003D1E07">
        <w:t xml:space="preserve">dané aristotelskou abstrakcí a </w:t>
      </w:r>
      <w:r w:rsidR="00874074" w:rsidRPr="003D1E07">
        <w:t>neoplatonsk</w:t>
      </w:r>
      <w:r w:rsidR="0051550A" w:rsidRPr="003D1E07">
        <w:t xml:space="preserve">ou </w:t>
      </w:r>
      <w:r w:rsidR="08127B3E" w:rsidRPr="003D1E07">
        <w:t xml:space="preserve">iluminací </w:t>
      </w:r>
      <w:r w:rsidRPr="003D1E07">
        <w:t>se setkají v jednom aktu aktualizace (</w:t>
      </w:r>
      <w:r w:rsidRPr="003D1E07">
        <w:rPr>
          <w:i/>
        </w:rPr>
        <w:t>intellectus in effectu</w:t>
      </w:r>
      <w:r w:rsidRPr="003D1E07">
        <w:t xml:space="preserve">). </w:t>
      </w:r>
      <w:r w:rsidR="08072114" w:rsidRPr="003D1E07">
        <w:t xml:space="preserve">Aktualizace intelektu v modu </w:t>
      </w:r>
      <w:r w:rsidR="08072114" w:rsidRPr="003D1E07">
        <w:rPr>
          <w:i/>
        </w:rPr>
        <w:t>intellectus in effectu</w:t>
      </w:r>
      <w:r w:rsidR="08072114" w:rsidRPr="003D1E07">
        <w:t xml:space="preserve"> může proběhnout dvojím způsobem. Jednak neoplatonskou </w:t>
      </w:r>
      <w:r w:rsidR="08CF2066" w:rsidRPr="003D1E07">
        <w:t>ilu</w:t>
      </w:r>
      <w:r w:rsidR="08F7374C" w:rsidRPr="003D1E07">
        <w:t xml:space="preserve">minací </w:t>
      </w:r>
      <w:r w:rsidR="08072114" w:rsidRPr="003D1E07">
        <w:t>danou skrze darovaný</w:t>
      </w:r>
      <w:r w:rsidR="083E4ACA" w:rsidRPr="003D1E07">
        <w:t xml:space="preserve"> intelekt, který je aktualizov</w:t>
      </w:r>
      <w:r w:rsidR="08072114" w:rsidRPr="003D1E07">
        <w:t>án kosmickým intelektem</w:t>
      </w:r>
      <w:r w:rsidR="08505564" w:rsidRPr="003D1E07">
        <w:t xml:space="preserve"> a </w:t>
      </w:r>
      <w:r w:rsidR="08072114" w:rsidRPr="003D1E07">
        <w:t xml:space="preserve">přímo nazírá inteligibilní formy. Nebo je </w:t>
      </w:r>
      <w:r w:rsidR="08072114" w:rsidRPr="003D1E07">
        <w:rPr>
          <w:i/>
        </w:rPr>
        <w:t xml:space="preserve">intellectus in effectu </w:t>
      </w:r>
      <w:r w:rsidR="08072114" w:rsidRPr="003D1E07">
        <w:t xml:space="preserve">aktualizovaný skrze aristotelskou abstrakci vzniklou nasvícením zepředu od smyslově poznané aktuální první substance, kterou recipuje pasivní a prázdný </w:t>
      </w:r>
      <w:r w:rsidR="08072114" w:rsidRPr="003D1E07">
        <w:rPr>
          <w:i/>
        </w:rPr>
        <w:t>intellectus in potencia</w:t>
      </w:r>
      <w:r w:rsidR="08072114" w:rsidRPr="003D1E07">
        <w:t xml:space="preserve">. </w:t>
      </w:r>
      <w:r w:rsidR="08936B4C" w:rsidRPr="003D1E07">
        <w:t xml:space="preserve">Aristotelik </w:t>
      </w:r>
      <w:r w:rsidR="001602C3" w:rsidRPr="003D1E07">
        <w:t>Al-Fá</w:t>
      </w:r>
      <w:r w:rsidRPr="003D1E07">
        <w:t xml:space="preserve">rábí drží </w:t>
      </w:r>
      <w:r w:rsidR="08315CA8" w:rsidRPr="003D1E07">
        <w:t xml:space="preserve">primární </w:t>
      </w:r>
      <w:r w:rsidRPr="003D1E07">
        <w:t xml:space="preserve">nasvícení smyslu jsoucna zepředu, od aktuální první </w:t>
      </w:r>
      <w:r w:rsidR="085A4B8D" w:rsidRPr="003D1E07">
        <w:t xml:space="preserve">hylemorfické </w:t>
      </w:r>
      <w:r w:rsidRPr="003D1E07">
        <w:t>substance</w:t>
      </w:r>
      <w:r w:rsidR="00A70FA4" w:rsidRPr="003D1E07">
        <w:fldChar w:fldCharType="begin"/>
      </w:r>
      <w:r w:rsidR="00A70FA4" w:rsidRPr="003D1E07">
        <w:instrText xml:space="preserve"> XE "</w:instrText>
      </w:r>
      <w:r w:rsidR="00D44795" w:rsidRPr="003D1E07">
        <w:instrText>zjevování:nasvícení zepředu</w:instrText>
      </w:r>
      <w:r w:rsidR="00A70FA4" w:rsidRPr="003D1E07">
        <w:instrText xml:space="preserve">" </w:instrText>
      </w:r>
      <w:r w:rsidR="00A70FA4" w:rsidRPr="003D1E07">
        <w:fldChar w:fldCharType="end"/>
      </w:r>
      <w:r w:rsidRPr="003D1E07">
        <w:t xml:space="preserve"> poznávané smyslově. Ale toto poznání existuje jen na nižší úrovni a má jen pomocný charakter. </w:t>
      </w:r>
      <w:r w:rsidR="08936B4C" w:rsidRPr="003D1E07">
        <w:t xml:space="preserve">Jeho završení dává </w:t>
      </w:r>
      <w:r w:rsidRPr="003D1E07">
        <w:t xml:space="preserve">působení darovaného </w:t>
      </w:r>
      <w:r w:rsidRPr="003D1E07">
        <w:lastRenderedPageBreak/>
        <w:t>intelektu (</w:t>
      </w:r>
      <w:r w:rsidRPr="003D1E07">
        <w:rPr>
          <w:i/>
        </w:rPr>
        <w:t>intellectus adeptus</w:t>
      </w:r>
      <w:r w:rsidRPr="003D1E07">
        <w:t xml:space="preserve">) napojeného na oddělený </w:t>
      </w:r>
      <w:r w:rsidRPr="003D1E07">
        <w:rPr>
          <w:i/>
        </w:rPr>
        <w:t>intellectus agens</w:t>
      </w:r>
      <w:r w:rsidRPr="003D1E07">
        <w:t xml:space="preserve">. </w:t>
      </w:r>
      <w:r w:rsidR="083263C2" w:rsidRPr="003D1E07">
        <w:t>Ve druhém stupni poznání je intelekt aktualizován přímo ze světa oddělených a subsistentních neoplatonských forem. Tento akt poznání vyžaduje z</w:t>
      </w:r>
      <w:r w:rsidR="08B02EA3" w:rsidRPr="003D1E07">
        <w:t>vláštní formu</w:t>
      </w:r>
      <w:r w:rsidR="083263C2" w:rsidRPr="003D1E07">
        <w:t xml:space="preserve"> </w:t>
      </w:r>
      <w:r w:rsidR="08315CA8" w:rsidRPr="003D1E07">
        <w:t>náhledu na jsoucno</w:t>
      </w:r>
      <w:r w:rsidR="083263C2" w:rsidRPr="003D1E07">
        <w:t xml:space="preserve">, kterou latinské překlady Avicenny a pozdější tradice označují </w:t>
      </w:r>
      <w:r w:rsidR="08B02EA3" w:rsidRPr="003D1E07">
        <w:t xml:space="preserve">citovaným </w:t>
      </w:r>
      <w:r w:rsidR="083263C2" w:rsidRPr="003D1E07">
        <w:t xml:space="preserve">termínem </w:t>
      </w:r>
      <w:r w:rsidR="083263C2" w:rsidRPr="003D1E07">
        <w:rPr>
          <w:i/>
        </w:rPr>
        <w:t>denudatio</w:t>
      </w:r>
      <w:r w:rsidR="08FB39FE" w:rsidRPr="003D1E07">
        <w:rPr>
          <w:i/>
        </w:rPr>
        <w:fldChar w:fldCharType="begin"/>
      </w:r>
      <w:r w:rsidR="08FB39FE" w:rsidRPr="003D1E07">
        <w:instrText xml:space="preserve"> XE "</w:instrText>
      </w:r>
      <w:r w:rsidR="08FB39FE" w:rsidRPr="003D1E07">
        <w:rPr>
          <w:i/>
        </w:rPr>
        <w:instrText>denudatio</w:instrText>
      </w:r>
      <w:r w:rsidR="08FB39FE" w:rsidRPr="003D1E07">
        <w:instrText xml:space="preserve">" </w:instrText>
      </w:r>
      <w:r w:rsidR="08FB39FE" w:rsidRPr="003D1E07">
        <w:rPr>
          <w:i/>
        </w:rPr>
        <w:fldChar w:fldCharType="end"/>
      </w:r>
      <w:r w:rsidR="083263C2" w:rsidRPr="003D1E07">
        <w:rPr>
          <w:i/>
        </w:rPr>
        <w:t xml:space="preserve"> </w:t>
      </w:r>
      <w:r w:rsidR="083263C2" w:rsidRPr="003D1E07">
        <w:t>nebo</w:t>
      </w:r>
      <w:r w:rsidR="083263C2" w:rsidRPr="003D1E07">
        <w:rPr>
          <w:i/>
        </w:rPr>
        <w:t xml:space="preserve"> spoliatio</w:t>
      </w:r>
      <w:r w:rsidR="083263C2" w:rsidRPr="003D1E07">
        <w:t xml:space="preserve">. </w:t>
      </w:r>
      <w:r w:rsidR="001602C3" w:rsidRPr="003D1E07">
        <w:t>Neoplato</w:t>
      </w:r>
      <w:r w:rsidRPr="003D1E07">
        <w:t>nská jednota intelektuální formy se vztahuje k substrátu myšlení čistě intelektuálních forem,</w:t>
      </w:r>
      <w:r w:rsidR="08C73891" w:rsidRPr="003D1E07">
        <w:t xml:space="preserve"> který latinský překlad </w:t>
      </w:r>
      <w:r w:rsidR="083A7BDF" w:rsidRPr="003D1E07">
        <w:t xml:space="preserve">uvedené Alfarabiovy pasáže </w:t>
      </w:r>
      <w:r w:rsidR="08C73891" w:rsidRPr="003D1E07">
        <w:t xml:space="preserve">nazývá </w:t>
      </w:r>
      <w:r w:rsidRPr="003D1E07">
        <w:rPr>
          <w:i/>
        </w:rPr>
        <w:t>quasi subiectum</w:t>
      </w:r>
      <w:r w:rsidR="004C27BA" w:rsidRPr="003D1E07">
        <w:rPr>
          <w:i/>
        </w:rPr>
        <w:fldChar w:fldCharType="begin"/>
      </w:r>
      <w:r w:rsidR="004C27BA" w:rsidRPr="003D1E07">
        <w:instrText xml:space="preserve"> XE "</w:instrText>
      </w:r>
      <w:r w:rsidR="004C27BA" w:rsidRPr="003D1E07">
        <w:rPr>
          <w:i/>
        </w:rPr>
        <w:instrText>subiectum:</w:instrText>
      </w:r>
      <w:r w:rsidR="00D44795" w:rsidRPr="003D1E07">
        <w:instrText>Al-</w:instrText>
      </w:r>
      <w:r w:rsidR="008E02F5" w:rsidRPr="003D1E07">
        <w:instrText>Fárábí</w:instrText>
      </w:r>
      <w:r w:rsidR="004C27BA" w:rsidRPr="003D1E07">
        <w:instrText xml:space="preserve">" </w:instrText>
      </w:r>
      <w:r w:rsidR="004C27BA" w:rsidRPr="003D1E07">
        <w:rPr>
          <w:i/>
        </w:rPr>
        <w:fldChar w:fldCharType="end"/>
      </w:r>
      <w:r w:rsidRPr="003D1E07">
        <w:t xml:space="preserve">. </w:t>
      </w:r>
      <w:r w:rsidR="001A29BF" w:rsidRPr="003D1E07">
        <w:t xml:space="preserve">Tento substrát, neboli </w:t>
      </w:r>
      <w:r w:rsidR="08476B34" w:rsidRPr="003D1E07">
        <w:t>nositel</w:t>
      </w:r>
      <w:r w:rsidR="001A29BF" w:rsidRPr="003D1E07">
        <w:t xml:space="preserve"> nového typu poznání, </w:t>
      </w:r>
      <w:r w:rsidR="08DF6C89" w:rsidRPr="003D1E07">
        <w:t xml:space="preserve">představuje </w:t>
      </w:r>
      <w:r w:rsidR="08DF6C89" w:rsidRPr="003D1E07">
        <w:rPr>
          <w:i/>
        </w:rPr>
        <w:t>Lichtung</w:t>
      </w:r>
      <w:r w:rsidR="08DF6C89" w:rsidRPr="003D1E07">
        <w:t xml:space="preserve"> pravdy a nepravdy pro</w:t>
      </w:r>
      <w:r w:rsidR="08A833FD" w:rsidRPr="003D1E07">
        <w:t xml:space="preserve"> </w:t>
      </w:r>
      <w:r w:rsidR="001A29BF" w:rsidRPr="003D1E07">
        <w:t>objektivní určení osoby</w:t>
      </w:r>
      <w:r w:rsidR="001A29BF" w:rsidRPr="003D1E07">
        <w:fldChar w:fldCharType="begin"/>
      </w:r>
      <w:r w:rsidR="001A29BF" w:rsidRPr="003D1E07">
        <w:instrText xml:space="preserve"> XE "osoba:objektivní" </w:instrText>
      </w:r>
      <w:r w:rsidR="001A29BF" w:rsidRPr="003D1E07">
        <w:fldChar w:fldCharType="end"/>
      </w:r>
      <w:r w:rsidR="001A29BF" w:rsidRPr="003D1E07">
        <w:t xml:space="preserve"> na latinském Západě.</w:t>
      </w:r>
      <w:r w:rsidR="08FC52AA" w:rsidRPr="003D1E07">
        <w:t xml:space="preserve"> Pokud tento subjekt moderně pochopíme jako substanci, p</w:t>
      </w:r>
      <w:r w:rsidRPr="003D1E07">
        <w:t xml:space="preserve">ak </w:t>
      </w:r>
      <w:r w:rsidR="08C73891" w:rsidRPr="003D1E07">
        <w:t xml:space="preserve">slouží </w:t>
      </w:r>
      <w:r w:rsidRPr="003D1E07">
        <w:rPr>
          <w:i/>
        </w:rPr>
        <w:t>intellectus in effectu</w:t>
      </w:r>
      <w:r w:rsidR="001A29BF" w:rsidRPr="003D1E07">
        <w:rPr>
          <w:i/>
        </w:rPr>
        <w:fldChar w:fldCharType="begin"/>
      </w:r>
      <w:r w:rsidR="001A29BF" w:rsidRPr="003D1E07">
        <w:instrText xml:space="preserve"> XE "</w:instrText>
      </w:r>
      <w:r w:rsidR="001A29BF" w:rsidRPr="003D1E07">
        <w:rPr>
          <w:i/>
        </w:rPr>
        <w:instrText>intellectus in effectu</w:instrText>
      </w:r>
      <w:r w:rsidR="001A29BF" w:rsidRPr="003D1E07">
        <w:instrText xml:space="preserve">" </w:instrText>
      </w:r>
      <w:r w:rsidR="001A29BF" w:rsidRPr="003D1E07">
        <w:rPr>
          <w:i/>
        </w:rPr>
        <w:fldChar w:fldCharType="end"/>
      </w:r>
      <w:r w:rsidRPr="003D1E07">
        <w:t xml:space="preserve"> jako základ pro výkon po</w:t>
      </w:r>
      <w:r w:rsidR="085D0D49" w:rsidRPr="003D1E07">
        <w:t>znání daného nasvícením zezadu.</w:t>
      </w:r>
      <w:r w:rsidR="00096483">
        <w:t xml:space="preserve"> Nositel takového poznání vytváří v lidské osobě novou mytologickou „</w:t>
      </w:r>
      <w:r w:rsidR="00096483" w:rsidRPr="00096483">
        <w:t>substanci</w:t>
      </w:r>
      <w:r w:rsidR="00096483">
        <w:t>–species“, která</w:t>
      </w:r>
      <w:r w:rsidR="00096483" w:rsidRPr="00096483">
        <w:t xml:space="preserve"> </w:t>
      </w:r>
      <w:r w:rsidR="00060F6F">
        <w:t xml:space="preserve">multiplikuje </w:t>
      </w:r>
      <w:r w:rsidR="00096483" w:rsidRPr="00096483">
        <w:t>substance v</w:t>
      </w:r>
      <w:r w:rsidR="00060F6F">
        <w:t> </w:t>
      </w:r>
      <w:r w:rsidR="00096483" w:rsidRPr="00096483">
        <w:t>moderním</w:t>
      </w:r>
      <w:r w:rsidR="00060F6F">
        <w:t>,</w:t>
      </w:r>
      <w:r w:rsidR="00096483" w:rsidRPr="00096483">
        <w:t xml:space="preserve"> a </w:t>
      </w:r>
      <w:r w:rsidR="00060F6F">
        <w:t xml:space="preserve">proto </w:t>
      </w:r>
      <w:r w:rsidR="00096483" w:rsidRPr="00096483">
        <w:t>zcela schizofrenním subjektu.</w:t>
      </w:r>
      <w:r w:rsidR="00096483">
        <w:t xml:space="preserve"> </w:t>
      </w:r>
      <w:r w:rsidR="001B50AB" w:rsidRPr="003D1E07">
        <w:t xml:space="preserve">Druhý mistr </w:t>
      </w:r>
      <w:r w:rsidR="007C2852" w:rsidRPr="003D1E07">
        <w:t xml:space="preserve">nepřipustil </w:t>
      </w:r>
      <w:r w:rsidR="08607607" w:rsidRPr="003D1E07">
        <w:t>pluralit</w:t>
      </w:r>
      <w:r w:rsidR="08E2378D" w:rsidRPr="003D1E07">
        <w:t xml:space="preserve">u substancí </w:t>
      </w:r>
      <w:r w:rsidR="001B50AB" w:rsidRPr="003D1E07">
        <w:t xml:space="preserve">v člověku, </w:t>
      </w:r>
      <w:r w:rsidR="083B1979" w:rsidRPr="003D1E07">
        <w:t xml:space="preserve">díky zavedení </w:t>
      </w:r>
      <w:r w:rsidR="086F7431" w:rsidRPr="003D1E07">
        <w:t xml:space="preserve">termínu </w:t>
      </w:r>
      <w:r w:rsidR="086F7431" w:rsidRPr="003D1E07">
        <w:rPr>
          <w:i/>
        </w:rPr>
        <w:t>quasi</w:t>
      </w:r>
      <w:r w:rsidR="086F7431" w:rsidRPr="003D1E07">
        <w:t xml:space="preserve"> pro defini</w:t>
      </w:r>
      <w:r w:rsidR="083B1979" w:rsidRPr="003D1E07">
        <w:t>ci</w:t>
      </w:r>
      <w:r w:rsidR="086F7431" w:rsidRPr="003D1E07">
        <w:t xml:space="preserve"> intelektu jako materie a formy</w:t>
      </w:r>
      <w:r w:rsidR="08E2378D" w:rsidRPr="003D1E07">
        <w:t xml:space="preserve">. </w:t>
      </w:r>
      <w:r w:rsidR="086F7431" w:rsidRPr="003D1E07">
        <w:t xml:space="preserve">Pluralita </w:t>
      </w:r>
      <w:r w:rsidR="0095276D" w:rsidRPr="003D1E07">
        <w:t>hyp</w:t>
      </w:r>
      <w:r w:rsidR="001B50AB" w:rsidRPr="003D1E07">
        <w:t xml:space="preserve">ostázovaných </w:t>
      </w:r>
      <w:r w:rsidR="086F7431" w:rsidRPr="003D1E07">
        <w:t xml:space="preserve">substancí </w:t>
      </w:r>
      <w:r w:rsidR="001B50AB" w:rsidRPr="003D1E07">
        <w:t xml:space="preserve">v aktuální první substanci </w:t>
      </w:r>
      <w:r w:rsidR="08C97856" w:rsidRPr="003D1E07">
        <w:t xml:space="preserve">je filosoficky směšná, proto </w:t>
      </w:r>
      <w:r w:rsidR="08A67D20" w:rsidRPr="003D1E07">
        <w:t xml:space="preserve">je </w:t>
      </w:r>
      <w:r w:rsidR="08607607" w:rsidRPr="003D1E07">
        <w:t>nehumánní</w:t>
      </w:r>
      <w:r w:rsidR="08C97856" w:rsidRPr="003D1E07">
        <w:t xml:space="preserve"> </w:t>
      </w:r>
      <w:r w:rsidR="082476D7" w:rsidRPr="003D1E07">
        <w:t xml:space="preserve">a </w:t>
      </w:r>
      <w:r w:rsidR="007D28F9" w:rsidRPr="003D1E07">
        <w:t>stupidní</w:t>
      </w:r>
      <w:r w:rsidR="08607607" w:rsidRPr="003D1E07">
        <w:t>.</w:t>
      </w:r>
      <w:r w:rsidR="08EE20A5" w:rsidRPr="003D1E07">
        <w:t xml:space="preserve"> </w:t>
      </w:r>
    </w:p>
    <w:p w14:paraId="592D865B" w14:textId="77777777" w:rsidR="001A649B" w:rsidRDefault="007D28F9" w:rsidP="00270D21">
      <w:pPr>
        <w:ind w:firstLine="397"/>
      </w:pPr>
      <w:r w:rsidRPr="003D1E07">
        <w:t>M</w:t>
      </w:r>
      <w:r w:rsidR="007C2852" w:rsidRPr="003D1E07">
        <w:t xml:space="preserve">oderna založená Avicennou </w:t>
      </w:r>
      <w:r w:rsidRPr="003D1E07">
        <w:t>dala jako základ</w:t>
      </w:r>
      <w:r w:rsidR="007C2852" w:rsidRPr="003D1E07">
        <w:t xml:space="preserve"> tezi, že č</w:t>
      </w:r>
      <w:r w:rsidR="08EE20A5" w:rsidRPr="003D1E07">
        <w:t>innou formou a kauzou intelektuálního poznání se stává přijatý intelekt (</w:t>
      </w:r>
      <w:r w:rsidR="08EE20A5" w:rsidRPr="003D1E07">
        <w:rPr>
          <w:i/>
        </w:rPr>
        <w:t>intellectus adeptus est quasi forma intellectui in effectu</w:t>
      </w:r>
      <w:r w:rsidR="08EE20A5" w:rsidRPr="003D1E07">
        <w:t xml:space="preserve">). </w:t>
      </w:r>
      <w:r w:rsidR="002D1018" w:rsidRPr="002D1018">
        <w:t>Metafyzický dativ skrytý v této formulaci označuje nové darování bytí, které určuje nový druh aktualizace intelektu (</w:t>
      </w:r>
      <w:r w:rsidR="002D1018" w:rsidRPr="002D1018">
        <w:rPr>
          <w:i/>
        </w:rPr>
        <w:t>intellectui in effectu</w:t>
      </w:r>
      <w:r w:rsidR="002D1018">
        <w:t>). Tento zcela moderní „intelekt“</w:t>
      </w:r>
      <w:r w:rsidR="002D1018" w:rsidRPr="002D1018">
        <w:t xml:space="preserve"> se stal novým </w:t>
      </w:r>
      <w:r w:rsidR="002D1018" w:rsidRPr="002D1018">
        <w:rPr>
          <w:i/>
        </w:rPr>
        <w:t>tertium ens</w:t>
      </w:r>
      <w:r w:rsidR="002D1018" w:rsidRPr="002D1018">
        <w:t xml:space="preserve"> jak</w:t>
      </w:r>
      <w:r w:rsidR="002D1018">
        <w:t>o kvazi-substance v člověku</w:t>
      </w:r>
      <w:r w:rsidR="002D1018" w:rsidRPr="002D1018">
        <w:t xml:space="preserve">. </w:t>
      </w:r>
      <w:r w:rsidR="004F6009">
        <w:t xml:space="preserve">Nový </w:t>
      </w:r>
      <w:r w:rsidR="002D1018">
        <w:t xml:space="preserve">způsob donace jsoucna </w:t>
      </w:r>
      <w:r w:rsidR="004F6009">
        <w:t>vytvořil</w:t>
      </w:r>
      <w:r w:rsidR="002D1018" w:rsidRPr="002D1018">
        <w:t xml:space="preserve"> novou formu aristotelské </w:t>
      </w:r>
      <w:r w:rsidR="002D1018" w:rsidRPr="002D1018">
        <w:rPr>
          <w:i/>
        </w:rPr>
        <w:t>quidditas</w:t>
      </w:r>
      <w:r w:rsidR="002D1018">
        <w:rPr>
          <w:i/>
        </w:rPr>
        <w:fldChar w:fldCharType="begin"/>
      </w:r>
      <w:r w:rsidR="002D1018">
        <w:instrText xml:space="preserve"> XE "</w:instrText>
      </w:r>
      <w:r w:rsidR="002D1018" w:rsidRPr="005F1249">
        <w:rPr>
          <w:i/>
        </w:rPr>
        <w:instrText>quidditas</w:instrText>
      </w:r>
      <w:r w:rsidR="002D1018">
        <w:instrText xml:space="preserve">" </w:instrText>
      </w:r>
      <w:r w:rsidR="002D1018">
        <w:rPr>
          <w:i/>
        </w:rPr>
        <w:fldChar w:fldCharType="end"/>
      </w:r>
      <w:r w:rsidR="004F6009">
        <w:t xml:space="preserve"> a vedl</w:t>
      </w:r>
      <w:r w:rsidR="002D1018" w:rsidRPr="002D1018">
        <w:t xml:space="preserve"> k první formě </w:t>
      </w:r>
      <w:r w:rsidR="002D1018" w:rsidRPr="002D1018">
        <w:rPr>
          <w:i/>
        </w:rPr>
        <w:t>dativus obiectivus</w:t>
      </w:r>
      <w:r w:rsidR="002D1018" w:rsidRPr="003D1E07">
        <w:rPr>
          <w:i/>
        </w:rPr>
        <w:fldChar w:fldCharType="begin"/>
      </w:r>
      <w:r w:rsidR="002D1018" w:rsidRPr="003D1E07">
        <w:instrText xml:space="preserve"> XE "</w:instrText>
      </w:r>
      <w:r w:rsidR="002D1018" w:rsidRPr="003D1E07">
        <w:rPr>
          <w:i/>
        </w:rPr>
        <w:instrText>dativus obiectivus</w:instrText>
      </w:r>
      <w:r w:rsidR="002D1018" w:rsidRPr="003D1E07">
        <w:instrText xml:space="preserve">" </w:instrText>
      </w:r>
      <w:r w:rsidR="002D1018" w:rsidRPr="003D1E07">
        <w:rPr>
          <w:i/>
        </w:rPr>
        <w:fldChar w:fldCharType="end"/>
      </w:r>
      <w:r w:rsidR="002D1018" w:rsidRPr="002D1018">
        <w:t xml:space="preserve"> (OBJ III, kap. 4).</w:t>
      </w:r>
      <w:r w:rsidR="002D1018">
        <w:t xml:space="preserve"> </w:t>
      </w:r>
      <w:r w:rsidR="00D8051B" w:rsidRPr="003D1E07">
        <w:t xml:space="preserve">Díky aktualizaci náhledu daného odděleným kosmickým intelektem je </w:t>
      </w:r>
      <w:r w:rsidR="00D8051B" w:rsidRPr="003D1E07">
        <w:rPr>
          <w:i/>
        </w:rPr>
        <w:t xml:space="preserve">intellectus adeptus </w:t>
      </w:r>
      <w:r w:rsidR="00D8051B" w:rsidRPr="003D1E07">
        <w:t>kvazi-substancí pro formy produkované kosmickým intelektem (</w:t>
      </w:r>
      <w:r w:rsidR="00D8051B" w:rsidRPr="003D1E07">
        <w:rPr>
          <w:i/>
        </w:rPr>
        <w:t>intellectus adeptus est quasi subiectum illis</w:t>
      </w:r>
      <w:r w:rsidR="00D8051B" w:rsidRPr="003D1E07">
        <w:t xml:space="preserve">). A současně je </w:t>
      </w:r>
      <w:r w:rsidR="00D8051B" w:rsidRPr="003D1E07">
        <w:rPr>
          <w:i/>
        </w:rPr>
        <w:t xml:space="preserve">intellectus adeptus </w:t>
      </w:r>
      <w:r w:rsidR="00D8051B" w:rsidRPr="003D1E07">
        <w:t>účinnou kvazi-formou pro nižší intelekt aktualizovaný v procesu aristotelské abstrakce určené od materiální substance (</w:t>
      </w:r>
      <w:r w:rsidR="00D8051B" w:rsidRPr="003D1E07">
        <w:rPr>
          <w:i/>
        </w:rPr>
        <w:t>est quasi forma intellectui in effectu</w:t>
      </w:r>
      <w:r w:rsidR="00D8051B" w:rsidRPr="003D1E07">
        <w:t xml:space="preserve">). Tento </w:t>
      </w:r>
      <w:r w:rsidR="08C73891" w:rsidRPr="003D1E07">
        <w:t xml:space="preserve">nižší </w:t>
      </w:r>
      <w:r w:rsidR="00D8051B" w:rsidRPr="003D1E07">
        <w:t>materiální intelekt</w:t>
      </w:r>
      <w:r w:rsidR="00ED073A" w:rsidRPr="003D1E07">
        <w:fldChar w:fldCharType="begin"/>
      </w:r>
      <w:r w:rsidR="00ED073A" w:rsidRPr="003D1E07">
        <w:instrText xml:space="preserve"> XE "</w:instrText>
      </w:r>
      <w:r w:rsidR="002B6DF7" w:rsidRPr="003D1E07">
        <w:rPr>
          <w:i/>
        </w:rPr>
        <w:instrText>intellectus materialis</w:instrText>
      </w:r>
      <w:r w:rsidR="00ED073A" w:rsidRPr="003D1E07">
        <w:instrText>:Al-</w:instrText>
      </w:r>
      <w:r w:rsidR="008E02F5" w:rsidRPr="003D1E07">
        <w:instrText>Fárábí</w:instrText>
      </w:r>
      <w:r w:rsidR="00ED073A" w:rsidRPr="003D1E07">
        <w:instrText xml:space="preserve">" </w:instrText>
      </w:r>
      <w:r w:rsidR="00ED073A" w:rsidRPr="003D1E07">
        <w:fldChar w:fldCharType="end"/>
      </w:r>
      <w:r w:rsidR="00D8051B" w:rsidRPr="003D1E07">
        <w:t xml:space="preserve"> aktualizuje potenciální formy ve věcech skrze </w:t>
      </w:r>
      <w:r w:rsidR="00D8051B" w:rsidRPr="003D1E07">
        <w:rPr>
          <w:i/>
        </w:rPr>
        <w:t>abstractio</w:t>
      </w:r>
      <w:r w:rsidR="08857537" w:rsidRPr="003D1E07">
        <w:t xml:space="preserve">, ale může se stát aktuálním také </w:t>
      </w:r>
      <w:r w:rsidR="08C73891" w:rsidRPr="003D1E07">
        <w:t>n</w:t>
      </w:r>
      <w:r w:rsidR="00D8051B" w:rsidRPr="003D1E07">
        <w:t>asvícením od darovaného intelektu (</w:t>
      </w:r>
      <w:r w:rsidR="00D8051B" w:rsidRPr="003D1E07">
        <w:rPr>
          <w:i/>
          <w:lang w:eastAsia="en-US"/>
        </w:rPr>
        <w:t>intellectus in effectu</w:t>
      </w:r>
      <w:r w:rsidR="00437969" w:rsidRPr="003D1E07">
        <w:rPr>
          <w:i/>
        </w:rPr>
        <w:fldChar w:fldCharType="begin"/>
      </w:r>
      <w:r w:rsidR="00437969" w:rsidRPr="003D1E07">
        <w:instrText xml:space="preserve"> XE "</w:instrText>
      </w:r>
      <w:r w:rsidR="00437969" w:rsidRPr="003D1E07">
        <w:rPr>
          <w:i/>
        </w:rPr>
        <w:instrText>intellectus in effectu</w:instrText>
      </w:r>
      <w:r w:rsidR="00437969" w:rsidRPr="003D1E07">
        <w:instrText xml:space="preserve">" </w:instrText>
      </w:r>
      <w:r w:rsidR="00437969" w:rsidRPr="003D1E07">
        <w:rPr>
          <w:i/>
        </w:rPr>
        <w:fldChar w:fldCharType="end"/>
      </w:r>
      <w:r w:rsidR="00D8051B" w:rsidRPr="003D1E07">
        <w:t xml:space="preserve">). </w:t>
      </w:r>
      <w:r w:rsidR="08C73891" w:rsidRPr="003D1E07">
        <w:t xml:space="preserve">Pak tvoří receptivní intelekt </w:t>
      </w:r>
      <w:r w:rsidR="082029B1" w:rsidRPr="003D1E07">
        <w:t>kvazi-</w:t>
      </w:r>
      <w:r w:rsidR="00D8051B" w:rsidRPr="003D1E07">
        <w:t>materii pro nadřazenou aktuální formu darovaného intelektu</w:t>
      </w:r>
      <w:r w:rsidR="08FD3E3A" w:rsidRPr="003D1E07">
        <w:t xml:space="preserve"> v aktu abstrakce jako </w:t>
      </w:r>
      <w:r w:rsidR="08FD3E3A" w:rsidRPr="003D1E07">
        <w:rPr>
          <w:i/>
        </w:rPr>
        <w:t>denudatio</w:t>
      </w:r>
      <w:r w:rsidR="08FB39FE" w:rsidRPr="003D1E07">
        <w:rPr>
          <w:i/>
        </w:rPr>
        <w:fldChar w:fldCharType="begin"/>
      </w:r>
      <w:r w:rsidR="08FB39FE" w:rsidRPr="003D1E07">
        <w:instrText xml:space="preserve"> XE "</w:instrText>
      </w:r>
      <w:r w:rsidR="08FB39FE" w:rsidRPr="003D1E07">
        <w:rPr>
          <w:i/>
        </w:rPr>
        <w:instrText>denudatio</w:instrText>
      </w:r>
      <w:r w:rsidR="08FB39FE" w:rsidRPr="003D1E07">
        <w:instrText xml:space="preserve">" </w:instrText>
      </w:r>
      <w:r w:rsidR="08FB39FE" w:rsidRPr="003D1E07">
        <w:rPr>
          <w:i/>
        </w:rPr>
        <w:fldChar w:fldCharType="end"/>
      </w:r>
      <w:r w:rsidR="00D8051B" w:rsidRPr="003D1E07">
        <w:t xml:space="preserve">. Abstrahovaná forma </w:t>
      </w:r>
      <w:r w:rsidR="006D42C6">
        <w:t xml:space="preserve">byla předtím aktualizovaná </w:t>
      </w:r>
      <w:r w:rsidR="00D8051B" w:rsidRPr="003D1E07">
        <w:t>od hylemorfické substance (</w:t>
      </w:r>
      <w:r w:rsidR="00D8051B" w:rsidRPr="003D1E07">
        <w:rPr>
          <w:i/>
        </w:rPr>
        <w:t>intellectum secundum</w:t>
      </w:r>
      <w:r w:rsidR="000726AC">
        <w:rPr>
          <w:i/>
        </w:rPr>
        <w:fldChar w:fldCharType="begin"/>
      </w:r>
      <w:r w:rsidR="000726AC">
        <w:instrText xml:space="preserve"> XE "</w:instrText>
      </w:r>
      <w:r w:rsidR="000726AC" w:rsidRPr="00521782">
        <w:rPr>
          <w:i/>
        </w:rPr>
        <w:instrText>intellectum secundum</w:instrText>
      </w:r>
      <w:r w:rsidR="000726AC">
        <w:instrText xml:space="preserve">" </w:instrText>
      </w:r>
      <w:r w:rsidR="000726AC">
        <w:rPr>
          <w:i/>
        </w:rPr>
        <w:fldChar w:fldCharType="end"/>
      </w:r>
      <w:r w:rsidR="006D42C6">
        <w:t xml:space="preserve">); nyní se </w:t>
      </w:r>
      <w:r w:rsidR="006D42C6" w:rsidRPr="006D42C6">
        <w:t>vysk</w:t>
      </w:r>
      <w:r w:rsidR="006D42C6">
        <w:t xml:space="preserve">ytuje </w:t>
      </w:r>
      <w:r w:rsidR="006D42C6" w:rsidRPr="006D42C6">
        <w:t xml:space="preserve">jako </w:t>
      </w:r>
      <w:r w:rsidR="006D42C6">
        <w:t xml:space="preserve">bezprostřední </w:t>
      </w:r>
      <w:r w:rsidR="006D42C6" w:rsidRPr="006D42C6">
        <w:t>předmět eidetické vize hypostatického intelektu, kterým disponují blažení ilumináti.</w:t>
      </w:r>
      <w:r w:rsidR="006D42C6">
        <w:t xml:space="preserve"> S</w:t>
      </w:r>
      <w:r w:rsidR="00D8051B" w:rsidRPr="003D1E07">
        <w:t xml:space="preserve">mysl </w:t>
      </w:r>
      <w:r w:rsidR="006D42C6">
        <w:t xml:space="preserve">„takto“ (tj. objektivně) </w:t>
      </w:r>
      <w:r w:rsidR="006D42C6">
        <w:lastRenderedPageBreak/>
        <w:t xml:space="preserve">určeného jsoucna </w:t>
      </w:r>
      <w:r w:rsidR="00EF7909" w:rsidRPr="003D1E07">
        <w:t>(</w:t>
      </w:r>
      <w:r w:rsidR="00EF7909" w:rsidRPr="003D1E07">
        <w:rPr>
          <w:i/>
        </w:rPr>
        <w:t>intellectum primum</w:t>
      </w:r>
      <w:r w:rsidR="000726AC">
        <w:rPr>
          <w:i/>
        </w:rPr>
        <w:fldChar w:fldCharType="begin"/>
      </w:r>
      <w:r w:rsidR="000726AC">
        <w:instrText xml:space="preserve"> XE "</w:instrText>
      </w:r>
      <w:r w:rsidR="000726AC" w:rsidRPr="00103625">
        <w:rPr>
          <w:i/>
        </w:rPr>
        <w:instrText>intellectum primum</w:instrText>
      </w:r>
      <w:r w:rsidR="000726AC">
        <w:instrText xml:space="preserve">" </w:instrText>
      </w:r>
      <w:r w:rsidR="000726AC">
        <w:rPr>
          <w:i/>
        </w:rPr>
        <w:fldChar w:fldCharType="end"/>
      </w:r>
      <w:r w:rsidR="00EF7909" w:rsidRPr="003D1E07">
        <w:t>)</w:t>
      </w:r>
      <w:r w:rsidR="00EF7909">
        <w:t xml:space="preserve"> je vytvořen donací </w:t>
      </w:r>
      <w:r w:rsidR="00D8051B" w:rsidRPr="003D1E07">
        <w:t xml:space="preserve">od konjunkce darovaného </w:t>
      </w:r>
      <w:r w:rsidR="08C73891" w:rsidRPr="003D1E07">
        <w:t xml:space="preserve">a aktivního </w:t>
      </w:r>
      <w:r w:rsidR="00D8051B" w:rsidRPr="003D1E07">
        <w:t>intelektu</w:t>
      </w:r>
      <w:r w:rsidR="00EF7909">
        <w:t xml:space="preserve"> (</w:t>
      </w:r>
      <w:r w:rsidR="00EF7909" w:rsidRPr="00EF7909">
        <w:rPr>
          <w:i/>
        </w:rPr>
        <w:t>Es gibt, Ereignis</w:t>
      </w:r>
      <w:r w:rsidR="00EF7909">
        <w:t>)</w:t>
      </w:r>
      <w:r w:rsidR="00D8051B" w:rsidRPr="003D1E07">
        <w:t>.</w:t>
      </w:r>
      <w:r w:rsidR="08CC731D" w:rsidRPr="003D1E07">
        <w:t xml:space="preserve"> </w:t>
      </w:r>
      <w:r w:rsidR="000726AC">
        <w:t>Ta</w:t>
      </w:r>
      <w:r w:rsidR="000726AC" w:rsidRPr="000726AC">
        <w:t xml:space="preserve">to </w:t>
      </w:r>
      <w:r w:rsidR="000726AC">
        <w:t xml:space="preserve">donace jsoucna </w:t>
      </w:r>
      <w:r w:rsidR="000726AC" w:rsidRPr="000726AC">
        <w:t xml:space="preserve">nahradilo klasický metafyzický </w:t>
      </w:r>
      <w:r w:rsidR="000726AC">
        <w:t xml:space="preserve">dativ, protože </w:t>
      </w:r>
      <w:r w:rsidR="000726AC" w:rsidRPr="000726AC">
        <w:rPr>
          <w:i/>
        </w:rPr>
        <w:t>quidditas</w:t>
      </w:r>
      <w:r w:rsidR="000726AC">
        <w:rPr>
          <w:i/>
        </w:rPr>
        <w:fldChar w:fldCharType="begin"/>
      </w:r>
      <w:r w:rsidR="000726AC">
        <w:instrText xml:space="preserve"> XE "</w:instrText>
      </w:r>
      <w:r w:rsidR="000726AC" w:rsidRPr="007B601E">
        <w:rPr>
          <w:i/>
        </w:rPr>
        <w:instrText>quidditas</w:instrText>
      </w:r>
      <w:r w:rsidR="000726AC">
        <w:instrText xml:space="preserve">" </w:instrText>
      </w:r>
      <w:r w:rsidR="000726AC">
        <w:rPr>
          <w:i/>
        </w:rPr>
        <w:fldChar w:fldCharType="end"/>
      </w:r>
      <w:r w:rsidR="000726AC">
        <w:t xml:space="preserve"> není stejná jako u Aristotela</w:t>
      </w:r>
      <w:r w:rsidR="000726AC" w:rsidRPr="000726AC">
        <w:t>.</w:t>
      </w:r>
      <w:r w:rsidR="0083244D">
        <w:t xml:space="preserve"> </w:t>
      </w:r>
      <w:r w:rsidR="08CC731D" w:rsidRPr="003D1E07">
        <w:t xml:space="preserve">První patro aristotelského poznání v rámci </w:t>
      </w:r>
      <w:r w:rsidR="08CC731D" w:rsidRPr="003D1E07">
        <w:rPr>
          <w:i/>
        </w:rPr>
        <w:t>abstractio</w:t>
      </w:r>
      <w:r w:rsidR="08CC731D" w:rsidRPr="003D1E07">
        <w:t xml:space="preserve"> dodá abstrahovanou formu od reálné věci</w:t>
      </w:r>
      <w:r w:rsidR="08495D5C" w:rsidRPr="003D1E07">
        <w:t xml:space="preserve"> poznané smyslově</w:t>
      </w:r>
      <w:r w:rsidR="08CC731D" w:rsidRPr="003D1E07">
        <w:t xml:space="preserve">. Druhé patro poznání v rámci </w:t>
      </w:r>
      <w:r w:rsidR="08A97374" w:rsidRPr="003D1E07">
        <w:t xml:space="preserve">iluminace </w:t>
      </w:r>
      <w:r w:rsidR="08CC731D" w:rsidRPr="003D1E07">
        <w:t xml:space="preserve">tuto formu poznává v přímém náhledu darovaného intelektu, který je osvícený </w:t>
      </w:r>
      <w:r w:rsidR="08495D5C" w:rsidRPr="003D1E07">
        <w:t xml:space="preserve">a tím i aktualizovaný </w:t>
      </w:r>
      <w:r w:rsidR="08CC731D" w:rsidRPr="003D1E07">
        <w:t xml:space="preserve">skrze kosmický </w:t>
      </w:r>
      <w:r w:rsidR="08CC731D" w:rsidRPr="003D1E07">
        <w:rPr>
          <w:i/>
        </w:rPr>
        <w:t>intellectus agens</w:t>
      </w:r>
      <w:r w:rsidR="08495D5C" w:rsidRPr="003D1E07">
        <w:t xml:space="preserve"> </w:t>
      </w:r>
      <w:r w:rsidR="00910506">
        <w:t xml:space="preserve">fungující </w:t>
      </w:r>
      <w:r w:rsidR="08495D5C" w:rsidRPr="003D1E07">
        <w:t>mimo smysly</w:t>
      </w:r>
      <w:r w:rsidR="08171214" w:rsidRPr="003D1E07">
        <w:t xml:space="preserve"> (</w:t>
      </w:r>
      <w:r w:rsidR="08171214" w:rsidRPr="003D1E07">
        <w:rPr>
          <w:i/>
        </w:rPr>
        <w:t>denudatio</w:t>
      </w:r>
      <w:r w:rsidR="08171214" w:rsidRPr="003D1E07">
        <w:t>)</w:t>
      </w:r>
      <w:r w:rsidR="08495D5C" w:rsidRPr="003D1E07">
        <w:t>.</w:t>
      </w:r>
      <w:r w:rsidR="086F5C40" w:rsidRPr="003D1E07">
        <w:t xml:space="preserve"> </w:t>
      </w:r>
      <w:r w:rsidR="009B588B" w:rsidRPr="003D1E07">
        <w:rPr>
          <w:rStyle w:val="Zvraznn"/>
          <w:i w:val="0"/>
        </w:rPr>
        <w:t xml:space="preserve">Stejnou </w:t>
      </w:r>
      <w:r w:rsidR="008271C4" w:rsidRPr="003D1E07">
        <w:rPr>
          <w:rStyle w:val="Zvraznn"/>
          <w:i w:val="0"/>
        </w:rPr>
        <w:t xml:space="preserve">formu </w:t>
      </w:r>
      <w:r w:rsidR="001602C3" w:rsidRPr="003D1E07">
        <w:rPr>
          <w:rStyle w:val="Zvraznn"/>
          <w:i w:val="0"/>
        </w:rPr>
        <w:t>intelektu najdeme v Al-Fá</w:t>
      </w:r>
      <w:r w:rsidR="008271C4" w:rsidRPr="003D1E07">
        <w:rPr>
          <w:rStyle w:val="Zvraznn"/>
          <w:i w:val="0"/>
        </w:rPr>
        <w:t>rábího spise, který komentuje</w:t>
      </w:r>
      <w:r w:rsidR="009B588B" w:rsidRPr="003D1E07">
        <w:rPr>
          <w:rStyle w:val="Zvraznn"/>
          <w:i w:val="0"/>
        </w:rPr>
        <w:t xml:space="preserve"> Aristotelovu </w:t>
      </w:r>
      <w:r w:rsidR="009B588B" w:rsidRPr="003D1E07">
        <w:rPr>
          <w:rStyle w:val="Zvraznn"/>
        </w:rPr>
        <w:t>Etiku Nikomachovu</w:t>
      </w:r>
      <w:r w:rsidR="009B588B" w:rsidRPr="003D1E07">
        <w:rPr>
          <w:rStyle w:val="Zvraznn"/>
          <w:i w:val="0"/>
        </w:rPr>
        <w:t xml:space="preserve"> a </w:t>
      </w:r>
      <w:r w:rsidR="009B588B" w:rsidRPr="003D1E07">
        <w:rPr>
          <w:rStyle w:val="Zvraznn"/>
        </w:rPr>
        <w:t>Politiku</w:t>
      </w:r>
      <w:r w:rsidR="009B588B" w:rsidRPr="003D1E07">
        <w:rPr>
          <w:rStyle w:val="Zvraznn"/>
          <w:i w:val="0"/>
        </w:rPr>
        <w:t>.</w:t>
      </w:r>
      <w:r w:rsidR="009B588B" w:rsidRPr="003D1E07">
        <w:rPr>
          <w:rStyle w:val="Znakapoznpodarou"/>
          <w:iCs/>
        </w:rPr>
        <w:footnoteReference w:id="96"/>
      </w:r>
      <w:r w:rsidR="009B588B" w:rsidRPr="003D1E07">
        <w:rPr>
          <w:rStyle w:val="Zvraznn"/>
          <w:i w:val="0"/>
        </w:rPr>
        <w:t xml:space="preserve"> </w:t>
      </w:r>
      <w:r w:rsidR="08C74816" w:rsidRPr="003D1E07">
        <w:t>Abstrakce daná nasvícením poznání zezadu</w:t>
      </w:r>
      <w:r w:rsidR="00D8051B" w:rsidRPr="003D1E07">
        <w:t xml:space="preserve"> nese úplně jiný význam</w:t>
      </w:r>
      <w:r w:rsidR="08C74816" w:rsidRPr="003D1E07">
        <w:t xml:space="preserve"> než u Aristotela</w:t>
      </w:r>
      <w:r w:rsidR="00D8051B" w:rsidRPr="003D1E07">
        <w:t>, což ukáže Avic</w:t>
      </w:r>
      <w:r w:rsidR="08C74816" w:rsidRPr="003D1E07">
        <w:t xml:space="preserve">ennovo pojetí abstrakce v modu </w:t>
      </w:r>
      <w:r w:rsidR="00D8051B" w:rsidRPr="003D1E07">
        <w:rPr>
          <w:i/>
        </w:rPr>
        <w:t>denudatio</w:t>
      </w:r>
      <w:r w:rsidR="08FB39FE" w:rsidRPr="003D1E07">
        <w:rPr>
          <w:i/>
        </w:rPr>
        <w:fldChar w:fldCharType="begin"/>
      </w:r>
      <w:r w:rsidR="08FB39FE" w:rsidRPr="003D1E07">
        <w:instrText xml:space="preserve"> XE "</w:instrText>
      </w:r>
      <w:r w:rsidR="08FB39FE" w:rsidRPr="003D1E07">
        <w:rPr>
          <w:i/>
        </w:rPr>
        <w:instrText>denudatio</w:instrText>
      </w:r>
      <w:r w:rsidR="08FB39FE" w:rsidRPr="003D1E07">
        <w:instrText xml:space="preserve">" </w:instrText>
      </w:r>
      <w:r w:rsidR="08FB39FE" w:rsidRPr="003D1E07">
        <w:rPr>
          <w:i/>
        </w:rPr>
        <w:fldChar w:fldCharType="end"/>
      </w:r>
      <w:r w:rsidR="00D8051B" w:rsidRPr="003D1E07">
        <w:t>. Buď je aktivita intelektu chápána aristotelsky jako determinace pasivního intelektu reálnou věcí (</w:t>
      </w:r>
      <w:r w:rsidR="00D8051B" w:rsidRPr="003D1E07">
        <w:rPr>
          <w:i/>
        </w:rPr>
        <w:t>abstrahere</w:t>
      </w:r>
      <w:r w:rsidR="00D8051B" w:rsidRPr="003D1E07">
        <w:t>)</w:t>
      </w:r>
      <w:r w:rsidR="00D30AEA" w:rsidRPr="003D1E07">
        <w:rPr>
          <w:i/>
        </w:rPr>
        <w:fldChar w:fldCharType="begin"/>
      </w:r>
      <w:r w:rsidR="00D30AEA" w:rsidRPr="003D1E07">
        <w:instrText xml:space="preserve"> XE "abstrakce:</w:instrText>
      </w:r>
      <w:r w:rsidR="08B201E5" w:rsidRPr="003D1E07">
        <w:instrText>Al-Fárábí</w:instrText>
      </w:r>
      <w:r w:rsidR="00D30AEA" w:rsidRPr="003D1E07">
        <w:instrText xml:space="preserve">" </w:instrText>
      </w:r>
      <w:r w:rsidR="00D30AEA" w:rsidRPr="003D1E07">
        <w:rPr>
          <w:i/>
        </w:rPr>
        <w:fldChar w:fldCharType="end"/>
      </w:r>
      <w:r w:rsidR="00D8051B" w:rsidRPr="003D1E07">
        <w:t xml:space="preserve">. Pak jde o klasickou adekvační teorii pravdy v řádu aristotelské signifikace dané hyparchickým vztahem první a druhé substance. Nebo intelekt suverénním způsobem nazírá určitou formu esenciality, která </w:t>
      </w:r>
      <w:r w:rsidR="08DE383A" w:rsidRPr="003D1E07">
        <w:t xml:space="preserve">existuje </w:t>
      </w:r>
      <w:r w:rsidR="00D8051B" w:rsidRPr="003D1E07">
        <w:t xml:space="preserve">jako </w:t>
      </w:r>
      <w:r w:rsidR="00D8051B" w:rsidRPr="003D1E07">
        <w:rPr>
          <w:i/>
        </w:rPr>
        <w:t>tertium ens</w:t>
      </w:r>
      <w:r w:rsidR="00D8051B" w:rsidRPr="003D1E07">
        <w:t xml:space="preserve">. </w:t>
      </w:r>
      <w:r w:rsidR="08267F9C" w:rsidRPr="003D1E07">
        <w:t xml:space="preserve">Pak </w:t>
      </w:r>
      <w:r w:rsidR="00461BCF" w:rsidRPr="003D1E07">
        <w:t xml:space="preserve">je </w:t>
      </w:r>
      <w:r w:rsidR="00EA626F" w:rsidRPr="003D1E07">
        <w:t xml:space="preserve">kognitivní </w:t>
      </w:r>
      <w:r w:rsidR="00461BCF" w:rsidRPr="003D1E07">
        <w:t xml:space="preserve">náhled </w:t>
      </w:r>
      <w:r w:rsidR="00EE2063" w:rsidRPr="003D1E07">
        <w:t xml:space="preserve">tvořený v </w:t>
      </w:r>
      <w:r w:rsidR="00461BCF" w:rsidRPr="003D1E07">
        <w:rPr>
          <w:i/>
        </w:rPr>
        <w:t>intellectus adeptus</w:t>
      </w:r>
      <w:r w:rsidR="00461BCF" w:rsidRPr="003D1E07">
        <w:t xml:space="preserve"> </w:t>
      </w:r>
      <w:r w:rsidR="00EE2063" w:rsidRPr="003D1E07">
        <w:t xml:space="preserve">a je </w:t>
      </w:r>
      <w:r w:rsidR="00461BCF" w:rsidRPr="003D1E07">
        <w:t xml:space="preserve">daný </w:t>
      </w:r>
      <w:r w:rsidR="0049510F" w:rsidRPr="003D1E07">
        <w:t xml:space="preserve">nasvícením </w:t>
      </w:r>
      <w:r w:rsidR="00461BCF" w:rsidRPr="003D1E07">
        <w:t xml:space="preserve">zezadu, </w:t>
      </w:r>
      <w:r w:rsidR="00EE2063" w:rsidRPr="003D1E07">
        <w:t xml:space="preserve">protože tento </w:t>
      </w:r>
      <w:r w:rsidR="0049510F" w:rsidRPr="003D1E07">
        <w:t xml:space="preserve">získaný </w:t>
      </w:r>
      <w:r w:rsidR="00EE2063" w:rsidRPr="003D1E07">
        <w:t xml:space="preserve">intelekt aktualizuje vnější </w:t>
      </w:r>
      <w:r w:rsidR="00461BCF" w:rsidRPr="003D1E07">
        <w:rPr>
          <w:i/>
        </w:rPr>
        <w:t>intellectus agens</w:t>
      </w:r>
      <w:r w:rsidR="00DF1F0F" w:rsidRPr="003D1E07">
        <w:rPr>
          <w:i/>
        </w:rPr>
        <w:fldChar w:fldCharType="begin"/>
      </w:r>
      <w:r w:rsidR="00DF1F0F" w:rsidRPr="003D1E07">
        <w:instrText xml:space="preserve"> XE "</w:instrText>
      </w:r>
      <w:r w:rsidR="00D30AEA" w:rsidRPr="003D1E07">
        <w:instrText>zjevování:nasvícení zezadu</w:instrText>
      </w:r>
      <w:r w:rsidR="00DF1F0F" w:rsidRPr="003D1E07">
        <w:instrText xml:space="preserve">" </w:instrText>
      </w:r>
      <w:r w:rsidR="00DF1F0F" w:rsidRPr="003D1E07">
        <w:rPr>
          <w:i/>
        </w:rPr>
        <w:fldChar w:fldCharType="end"/>
      </w:r>
      <w:r w:rsidR="004B0986">
        <w:t xml:space="preserve">. </w:t>
      </w:r>
      <w:r w:rsidR="005F43FF" w:rsidRPr="005F43FF">
        <w:t xml:space="preserve">Modernisté </w:t>
      </w:r>
      <w:r w:rsidR="005F43FF" w:rsidRPr="003D1E07">
        <w:t>přímo nazírají neexistující subsistentní a nemateriální kosmi</w:t>
      </w:r>
      <w:r w:rsidR="005F43FF">
        <w:t xml:space="preserve">cké formy ve formě </w:t>
      </w:r>
      <w:r w:rsidR="005F43FF" w:rsidRPr="005F43FF">
        <w:rPr>
          <w:i/>
        </w:rPr>
        <w:t>tertium ens</w:t>
      </w:r>
      <w:r w:rsidR="005F43FF" w:rsidRPr="005F43FF">
        <w:t>,</w:t>
      </w:r>
      <w:r w:rsidR="005F43FF">
        <w:t xml:space="preserve"> které ve skutečnosti neexistují</w:t>
      </w:r>
      <w:r w:rsidR="005F43FF" w:rsidRPr="005F43FF">
        <w:t xml:space="preserve">. </w:t>
      </w:r>
      <w:r w:rsidR="005F43FF">
        <w:t xml:space="preserve">Tím založili </w:t>
      </w:r>
      <w:r w:rsidR="005F43FF" w:rsidRPr="005F43FF">
        <w:t xml:space="preserve">paranoickou predikaci </w:t>
      </w:r>
      <w:r w:rsidR="005F43FF" w:rsidRPr="005F43FF">
        <w:rPr>
          <w:i/>
        </w:rPr>
        <w:t>per prius</w:t>
      </w:r>
      <w:r w:rsidR="005F43FF" w:rsidRPr="005F43FF">
        <w:t xml:space="preserve">, která </w:t>
      </w:r>
      <w:r w:rsidR="005F43FF">
        <w:t>má jako základní impozici neexistující svět</w:t>
      </w:r>
      <w:r w:rsidR="005F43FF" w:rsidRPr="005F43FF">
        <w:t>.</w:t>
      </w:r>
      <w:r w:rsidR="005F43FF">
        <w:t xml:space="preserve"> </w:t>
      </w:r>
      <w:r w:rsidR="00067AB7" w:rsidRPr="00067AB7">
        <w:t xml:space="preserve">Toto poznání prostřednictvím osvícení vzniká působením </w:t>
      </w:r>
      <w:r w:rsidR="00067AB7" w:rsidRPr="00067AB7">
        <w:rPr>
          <w:i/>
        </w:rPr>
        <w:t>intellectus adeptus</w:t>
      </w:r>
      <w:r w:rsidR="00067AB7" w:rsidRPr="00067AB7">
        <w:t>.</w:t>
      </w:r>
      <w:r w:rsidR="00270D21">
        <w:t xml:space="preserve"> </w:t>
      </w:r>
      <w:r w:rsidR="00461BCF" w:rsidRPr="003D1E07">
        <w:t>D</w:t>
      </w:r>
      <w:r w:rsidR="00D8051B" w:rsidRPr="003D1E07">
        <w:t xml:space="preserve">arovaný intelekt nasvícený </w:t>
      </w:r>
      <w:r w:rsidR="08232C53" w:rsidRPr="003D1E07">
        <w:t xml:space="preserve">činným intelektem poznává věci skrze novou formu abstrakce </w:t>
      </w:r>
      <w:r w:rsidR="00D8051B" w:rsidRPr="003D1E07">
        <w:t>bez oh</w:t>
      </w:r>
      <w:r w:rsidR="08232C53" w:rsidRPr="003D1E07">
        <w:t>ledu na aktuální první substanci vnímanou smysly</w:t>
      </w:r>
      <w:r w:rsidR="00D8051B" w:rsidRPr="003D1E07">
        <w:t xml:space="preserve">. </w:t>
      </w:r>
      <w:r w:rsidR="083D3FEE" w:rsidRPr="003D1E07">
        <w:t xml:space="preserve">Pak ale mysl není </w:t>
      </w:r>
      <w:r w:rsidR="083D3FEE" w:rsidRPr="003D1E07">
        <w:rPr>
          <w:i/>
        </w:rPr>
        <w:t>tabula rasa</w:t>
      </w:r>
      <w:r w:rsidR="083D3FEE" w:rsidRPr="003D1E07">
        <w:t xml:space="preserve">, protože takto činný intelekt </w:t>
      </w:r>
      <w:r w:rsidR="083D3FEE" w:rsidRPr="003D1E07">
        <w:rPr>
          <w:i/>
        </w:rPr>
        <w:t>Modernorum</w:t>
      </w:r>
      <w:r w:rsidR="083D3FEE" w:rsidRPr="003D1E07">
        <w:t xml:space="preserve"> si v sobě nese nějakou formu aktuality. </w:t>
      </w:r>
      <w:r w:rsidR="08270C0B" w:rsidRPr="003D1E07">
        <w:rPr>
          <w:rStyle w:val="Zvraznn"/>
          <w:i w:val="0"/>
        </w:rPr>
        <w:t>Intelekt darovaný z vyšší sféry aktualizuje lidský intelekt tak, že vzniká nový subjekt poznání a nový objekt v modu jsoucna třetího druhu (</w:t>
      </w:r>
      <w:r w:rsidR="08270C0B" w:rsidRPr="003D1E07">
        <w:rPr>
          <w:rStyle w:val="Zvraznn"/>
        </w:rPr>
        <w:t>aliud esse</w:t>
      </w:r>
      <w:r w:rsidR="08B201E5" w:rsidRPr="003D1E07">
        <w:rPr>
          <w:rStyle w:val="Zvraznn"/>
        </w:rPr>
        <w:fldChar w:fldCharType="begin"/>
      </w:r>
      <w:r w:rsidR="08B201E5" w:rsidRPr="003D1E07">
        <w:instrText xml:space="preserve"> XE "substance:</w:instrText>
      </w:r>
      <w:r w:rsidR="08B201E5" w:rsidRPr="003D1E07">
        <w:rPr>
          <w:rStyle w:val="Zvraznn"/>
        </w:rPr>
        <w:instrText>aliud esse</w:instrText>
      </w:r>
      <w:r w:rsidR="08B201E5" w:rsidRPr="003D1E07">
        <w:instrText xml:space="preserve">" </w:instrText>
      </w:r>
      <w:r w:rsidR="08B201E5" w:rsidRPr="003D1E07">
        <w:rPr>
          <w:rStyle w:val="Zvraznn"/>
        </w:rPr>
        <w:fldChar w:fldCharType="end"/>
      </w:r>
      <w:r w:rsidR="08270C0B" w:rsidRPr="003D1E07">
        <w:rPr>
          <w:rStyle w:val="Zvraznn"/>
          <w:i w:val="0"/>
        </w:rPr>
        <w:t>).</w:t>
      </w:r>
      <w:r w:rsidR="000F5E94" w:rsidRPr="003D1E07">
        <w:rPr>
          <w:rStyle w:val="Zvraznn"/>
          <w:i w:val="0"/>
        </w:rPr>
        <w:t xml:space="preserve"> Tím vzniká pojetí </w:t>
      </w:r>
      <w:r w:rsidR="000E44AD" w:rsidRPr="003D1E07">
        <w:t>lidského intelektu aktualizovaného nikoliv od existující hylemorfické substance, ale ze světa oddělených nemateriálních kosmických forem</w:t>
      </w:r>
      <w:r w:rsidR="000F5E94" w:rsidRPr="003D1E07">
        <w:t xml:space="preserve">. Pak </w:t>
      </w:r>
      <w:r w:rsidR="000E44AD" w:rsidRPr="003D1E07">
        <w:t xml:space="preserve">dostane citovaný termín </w:t>
      </w:r>
      <w:r w:rsidR="000E44AD" w:rsidRPr="003D1E07">
        <w:rPr>
          <w:rStyle w:val="st"/>
          <w:i/>
        </w:rPr>
        <w:t>aliud esse</w:t>
      </w:r>
      <w:r w:rsidR="000E44AD" w:rsidRPr="003D1E07">
        <w:rPr>
          <w:i/>
        </w:rPr>
        <w:fldChar w:fldCharType="begin"/>
      </w:r>
      <w:r w:rsidR="000E44AD" w:rsidRPr="003D1E07">
        <w:instrText xml:space="preserve"> XE "</w:instrText>
      </w:r>
      <w:r w:rsidR="000E44AD" w:rsidRPr="003D1E07">
        <w:rPr>
          <w:i/>
        </w:rPr>
        <w:instrText>tertium ens</w:instrText>
      </w:r>
      <w:r w:rsidR="000E44AD" w:rsidRPr="003D1E07">
        <w:instrText>:Al-</w:instrText>
      </w:r>
      <w:r w:rsidR="008E02F5" w:rsidRPr="003D1E07">
        <w:instrText>Fárábí</w:instrText>
      </w:r>
      <w:r w:rsidR="000E44AD" w:rsidRPr="003D1E07">
        <w:instrText xml:space="preserve">" </w:instrText>
      </w:r>
      <w:r w:rsidR="000E44AD" w:rsidRPr="003D1E07">
        <w:rPr>
          <w:i/>
        </w:rPr>
        <w:fldChar w:fldCharType="end"/>
      </w:r>
      <w:r w:rsidR="08270C0B" w:rsidRPr="003D1E07">
        <w:t xml:space="preserve"> </w:t>
      </w:r>
      <w:r w:rsidR="000E44AD" w:rsidRPr="003D1E07">
        <w:t xml:space="preserve">jiný význam než Aristotelova formální abstrakce daná jako čistá univerzálie v intelektu. </w:t>
      </w:r>
      <w:r w:rsidR="08AE5E2C" w:rsidRPr="003D1E07">
        <w:t>V procesu poznání dochází k manifestaci nové substance (</w:t>
      </w:r>
      <w:r w:rsidR="08AE5E2C" w:rsidRPr="003D1E07">
        <w:rPr>
          <w:i/>
        </w:rPr>
        <w:t>aliud esse</w:t>
      </w:r>
      <w:r w:rsidR="08AE5E2C" w:rsidRPr="003D1E07">
        <w:rPr>
          <w:i/>
        </w:rPr>
        <w:fldChar w:fldCharType="begin"/>
      </w:r>
      <w:r w:rsidR="08AE5E2C" w:rsidRPr="003D1E07">
        <w:instrText xml:space="preserve"> XE "substance:</w:instrText>
      </w:r>
      <w:r w:rsidR="08AE5E2C" w:rsidRPr="003D1E07">
        <w:rPr>
          <w:i/>
        </w:rPr>
        <w:instrText>aliud esse</w:instrText>
      </w:r>
      <w:r w:rsidR="08AE5E2C" w:rsidRPr="003D1E07">
        <w:instrText xml:space="preserve">" </w:instrText>
      </w:r>
      <w:r w:rsidR="08AE5E2C" w:rsidRPr="003D1E07">
        <w:rPr>
          <w:i/>
        </w:rPr>
        <w:fldChar w:fldCharType="end"/>
      </w:r>
      <w:r w:rsidR="08AE5E2C" w:rsidRPr="003D1E07">
        <w:t xml:space="preserve">), která je nahlížena přímo a je viděna jako </w:t>
      </w:r>
      <w:r w:rsidR="08AE5E2C" w:rsidRPr="003D1E07">
        <w:lastRenderedPageBreak/>
        <w:t xml:space="preserve">čistá </w:t>
      </w:r>
      <w:r w:rsidR="000F5E94" w:rsidRPr="003D1E07">
        <w:t xml:space="preserve">aktuální </w:t>
      </w:r>
      <w:r w:rsidR="08AE5E2C" w:rsidRPr="003D1E07">
        <w:t xml:space="preserve">forma. </w:t>
      </w:r>
      <w:r w:rsidR="000F5E94" w:rsidRPr="003D1E07">
        <w:t>Tato f</w:t>
      </w:r>
      <w:r w:rsidR="007645EE" w:rsidRPr="003D1E07">
        <w:t xml:space="preserve">orma </w:t>
      </w:r>
      <w:r w:rsidR="00C26941" w:rsidRPr="003D1E07">
        <w:t>aktu</w:t>
      </w:r>
      <w:r w:rsidR="08AE5E2C" w:rsidRPr="003D1E07">
        <w:t>a</w:t>
      </w:r>
      <w:r w:rsidR="00C26941" w:rsidRPr="003D1E07">
        <w:t>lizuje poznání (</w:t>
      </w:r>
      <w:r w:rsidR="007645EE" w:rsidRPr="003D1E07">
        <w:rPr>
          <w:i/>
        </w:rPr>
        <w:t>intellectus in effectu</w:t>
      </w:r>
      <w:r w:rsidR="00C26941" w:rsidRPr="003D1E07">
        <w:t xml:space="preserve">) </w:t>
      </w:r>
      <w:r w:rsidR="000F5E94" w:rsidRPr="003D1E07">
        <w:t xml:space="preserve">a to </w:t>
      </w:r>
      <w:r w:rsidR="00C26941" w:rsidRPr="003D1E07">
        <w:t xml:space="preserve">skrze </w:t>
      </w:r>
      <w:r w:rsidR="007D11B5" w:rsidRPr="003D1E07">
        <w:t xml:space="preserve">přímý náhled </w:t>
      </w:r>
      <w:r w:rsidR="00ED33C9">
        <w:t xml:space="preserve">aktální kosmické </w:t>
      </w:r>
      <w:r w:rsidR="007D11B5" w:rsidRPr="003D1E07">
        <w:t>formy (</w:t>
      </w:r>
      <w:r w:rsidR="007D11B5" w:rsidRPr="003D1E07">
        <w:rPr>
          <w:i/>
        </w:rPr>
        <w:t>intellectum primum</w:t>
      </w:r>
      <w:r w:rsidR="007D11B5" w:rsidRPr="003D1E07">
        <w:t>)</w:t>
      </w:r>
      <w:r w:rsidR="007645EE" w:rsidRPr="003D1E07">
        <w:t xml:space="preserve">, kterou kontempluje </w:t>
      </w:r>
      <w:r w:rsidR="007D11B5" w:rsidRPr="003D1E07">
        <w:rPr>
          <w:i/>
        </w:rPr>
        <w:t>intellectus adeptus</w:t>
      </w:r>
      <w:r w:rsidR="007D11B5" w:rsidRPr="003D1E07">
        <w:t xml:space="preserve">. </w:t>
      </w:r>
      <w:r w:rsidR="08AE5E2C" w:rsidRPr="003D1E07">
        <w:t>A</w:t>
      </w:r>
      <w:r w:rsidR="007645EE" w:rsidRPr="003D1E07">
        <w:t xml:space="preserve">ktualizace </w:t>
      </w:r>
      <w:r w:rsidR="08AE5E2C" w:rsidRPr="003D1E07">
        <w:t xml:space="preserve">poznání </w:t>
      </w:r>
      <w:r w:rsidR="007645EE" w:rsidRPr="003D1E07">
        <w:t xml:space="preserve">nejde od reality první substance, ale od odděleného kosmického </w:t>
      </w:r>
      <w:r w:rsidR="007645EE" w:rsidRPr="003D1E07">
        <w:rPr>
          <w:i/>
        </w:rPr>
        <w:t>intellectus agens</w:t>
      </w:r>
      <w:r w:rsidR="00DF1F0F" w:rsidRPr="003D1E07">
        <w:rPr>
          <w:i/>
        </w:rPr>
        <w:fldChar w:fldCharType="begin"/>
      </w:r>
      <w:r w:rsidR="00DF1F0F" w:rsidRPr="003D1E07">
        <w:instrText xml:space="preserve"> XE "</w:instrText>
      </w:r>
      <w:r w:rsidR="00DF1F0F" w:rsidRPr="003D1E07">
        <w:rPr>
          <w:i/>
        </w:rPr>
        <w:instrText>intellectus agens:</w:instrText>
      </w:r>
      <w:r w:rsidR="00DF1F0F" w:rsidRPr="003D1E07">
        <w:instrText xml:space="preserve">neoplatonismus" </w:instrText>
      </w:r>
      <w:r w:rsidR="00DF1F0F" w:rsidRPr="003D1E07">
        <w:rPr>
          <w:i/>
        </w:rPr>
        <w:fldChar w:fldCharType="end"/>
      </w:r>
      <w:r w:rsidR="007645EE" w:rsidRPr="003D1E07">
        <w:t xml:space="preserve">. </w:t>
      </w:r>
      <w:r w:rsidR="08AE5E2C" w:rsidRPr="003D1E07">
        <w:t>T</w:t>
      </w:r>
      <w:r w:rsidR="000A72C0" w:rsidRPr="003D1E07">
        <w:t xml:space="preserve">ato kvazi-substance daná na úrovni druhé abstrakce </w:t>
      </w:r>
      <w:r w:rsidR="000C0D5E" w:rsidRPr="003D1E07">
        <w:t xml:space="preserve">skrze </w:t>
      </w:r>
      <w:r w:rsidR="000C0D5E" w:rsidRPr="003D1E07">
        <w:rPr>
          <w:i/>
        </w:rPr>
        <w:t xml:space="preserve">intellectus adeptus </w:t>
      </w:r>
      <w:r w:rsidR="000A72C0" w:rsidRPr="003D1E07">
        <w:t xml:space="preserve">je odlišná od Aristotelovy abstrakce formy ze smyslových jednotlivin. </w:t>
      </w:r>
      <w:r w:rsidR="002341A4" w:rsidRPr="003D1E07">
        <w:t xml:space="preserve">Objektivně </w:t>
      </w:r>
      <w:r w:rsidR="00FE5CFD" w:rsidRPr="003D1E07">
        <w:t xml:space="preserve">manifestované </w:t>
      </w:r>
      <w:r w:rsidR="08462D85" w:rsidRPr="003D1E07">
        <w:t xml:space="preserve">a přímo nazírané </w:t>
      </w:r>
      <w:r w:rsidR="00F4243B" w:rsidRPr="003D1E07">
        <w:rPr>
          <w:i/>
        </w:rPr>
        <w:t>primum intel</w:t>
      </w:r>
      <w:r w:rsidR="00B357D9" w:rsidRPr="003D1E07">
        <w:rPr>
          <w:i/>
        </w:rPr>
        <w:t>l</w:t>
      </w:r>
      <w:r w:rsidR="00F4243B" w:rsidRPr="003D1E07">
        <w:rPr>
          <w:i/>
        </w:rPr>
        <w:t>ectum</w:t>
      </w:r>
      <w:r w:rsidR="00F4243B" w:rsidRPr="003D1E07">
        <w:t xml:space="preserve"> </w:t>
      </w:r>
      <w:r w:rsidR="08AE5E2C" w:rsidRPr="003D1E07">
        <w:t>se liší o</w:t>
      </w:r>
      <w:r w:rsidR="00FE5CFD" w:rsidRPr="003D1E07">
        <w:t>d aristotelské abstrakce</w:t>
      </w:r>
      <w:r w:rsidR="00E07706">
        <w:t xml:space="preserve">. </w:t>
      </w:r>
      <w:r w:rsidR="00EF166C">
        <w:t xml:space="preserve">Nový typ </w:t>
      </w:r>
      <w:r w:rsidR="00EF166C" w:rsidRPr="003D1E07">
        <w:t>intelektu</w:t>
      </w:r>
      <w:r w:rsidR="00EF166C">
        <w:t xml:space="preserve"> poznává </w:t>
      </w:r>
      <w:r w:rsidR="087A611D" w:rsidRPr="003D1E07">
        <w:t>objektivní formu vybavenou novým typem kvazi-aktuality (</w:t>
      </w:r>
      <w:r w:rsidR="087A611D" w:rsidRPr="003D1E07">
        <w:rPr>
          <w:i/>
        </w:rPr>
        <w:t>aliud esse</w:t>
      </w:r>
      <w:r w:rsidR="00EF166C">
        <w:t>)</w:t>
      </w:r>
      <w:r w:rsidR="00E07706">
        <w:t>.</w:t>
      </w:r>
    </w:p>
    <w:p w14:paraId="7EB705BF" w14:textId="50D19FB1" w:rsidR="003E18F4" w:rsidRPr="003D1E07" w:rsidRDefault="08FD5BB2" w:rsidP="00270D21">
      <w:pPr>
        <w:ind w:firstLine="397"/>
      </w:pPr>
      <w:r w:rsidRPr="003D1E07">
        <w:t>Al-Fárábí stojí na počátku dvojího pojetí poznání</w:t>
      </w:r>
      <w:r w:rsidRPr="003D1E07">
        <w:rPr>
          <w:i/>
        </w:rPr>
        <w:fldChar w:fldCharType="begin"/>
      </w:r>
      <w:r w:rsidRPr="003D1E07">
        <w:instrText xml:space="preserve"> XE "abstrakce:Al-Fárábí" </w:instrText>
      </w:r>
      <w:r w:rsidRPr="003D1E07">
        <w:rPr>
          <w:i/>
        </w:rPr>
        <w:fldChar w:fldCharType="end"/>
      </w:r>
      <w:r w:rsidR="0856491C" w:rsidRPr="003D1E07">
        <w:t xml:space="preserve">, protože novým způsobem překročil metafyzický Rubikon aristotelismu. </w:t>
      </w:r>
      <w:r w:rsidRPr="003D1E07">
        <w:t>Aristotelská abstrakce se nedostane sama od sebe na úroveň myšlení kosmického činného intelektu, protože ten existuje na nižší úrovni hylemorfických forem pouze ve formě intelektuálního poznání jako potence (</w:t>
      </w:r>
      <w:r w:rsidRPr="003D1E07">
        <w:rPr>
          <w:i/>
        </w:rPr>
        <w:t>intellectus possibilis</w:t>
      </w:r>
      <w:r w:rsidRPr="003D1E07">
        <w:t xml:space="preserve">). V aristotelském scénáři abstrakce </w:t>
      </w:r>
      <w:r w:rsidR="00E255A3">
        <w:t xml:space="preserve">není </w:t>
      </w:r>
      <w:r w:rsidRPr="003D1E07">
        <w:t xml:space="preserve">možné poznat pravdu jako </w:t>
      </w:r>
      <w:r w:rsidR="083403F3" w:rsidRPr="003D1E07">
        <w:t xml:space="preserve">přímé </w:t>
      </w:r>
      <w:r w:rsidRPr="003D1E07">
        <w:t>určení jsoucna</w:t>
      </w:r>
      <w:r w:rsidR="083403F3" w:rsidRPr="003D1E07">
        <w:t xml:space="preserve"> podle citované </w:t>
      </w:r>
      <w:r w:rsidR="00E255A3">
        <w:t xml:space="preserve">pasáže </w:t>
      </w:r>
      <w:r w:rsidR="083403F3" w:rsidRPr="003D1E07">
        <w:rPr>
          <w:i/>
        </w:rPr>
        <w:t>Metafyziky</w:t>
      </w:r>
      <w:r w:rsidRPr="003D1E07">
        <w:t xml:space="preserve">. Neoplatonské </w:t>
      </w:r>
      <w:r w:rsidRPr="003D1E07">
        <w:rPr>
          <w:i/>
        </w:rPr>
        <w:t>illuminatio</w:t>
      </w:r>
      <w:r w:rsidRPr="003D1E07">
        <w:t xml:space="preserve"> skončí v emanačním scénáři forem, kde materie a hylemorfická substance hrají pouze druhé housle v primárním procesu autodeterminace oddělené formy. Emanace </w:t>
      </w:r>
      <w:r w:rsidR="00CA11D0" w:rsidRPr="003D1E07">
        <w:t xml:space="preserve">forem přímo </w:t>
      </w:r>
      <w:r w:rsidRPr="003D1E07">
        <w:t xml:space="preserve">od boha </w:t>
      </w:r>
      <w:r w:rsidR="00CA11D0" w:rsidRPr="003D1E07">
        <w:t xml:space="preserve">a spojené </w:t>
      </w:r>
      <w:r w:rsidRPr="003D1E07">
        <w:t>se stvořením je pro Druhého mistra jako věřícího muslima naprosto nepřijatelná. Al-Fárábí zrušil neoplatonismus zavedením dvojí kategoriální predikace do průběhu poznání. Jeho pojetí iluminace není neoplatonské, ale aristotelské, protože predikace kauzality jde skrze univerzální supozici významů (</w:t>
      </w:r>
      <w:r w:rsidRPr="003D1E07">
        <w:rPr>
          <w:i/>
        </w:rPr>
        <w:t>Cat</w:t>
      </w:r>
      <w:r w:rsidRPr="003D1E07">
        <w:t>. 2a15–16</w:t>
      </w:r>
      <w:r w:rsidRPr="003D1E07">
        <w:fldChar w:fldCharType="begin"/>
      </w:r>
      <w:r w:rsidRPr="003D1E07">
        <w:instrText xml:space="preserve"> XE "supozice:Al-Fárábí" </w:instrText>
      </w:r>
      <w:r w:rsidRPr="003D1E07">
        <w:fldChar w:fldCharType="end"/>
      </w:r>
      <w:r w:rsidRPr="003D1E07">
        <w:t>). Emanací a jejím přímým eidetickým poznáním by padlo pojetí pravdy jako aristotelské adekvace</w:t>
      </w:r>
      <w:r w:rsidR="002B2D3D" w:rsidRPr="003D1E07">
        <w:t>. I</w:t>
      </w:r>
      <w:r w:rsidRPr="003D1E07">
        <w:t xml:space="preserve">ntelekt jako </w:t>
      </w:r>
      <w:r w:rsidRPr="003D1E07">
        <w:rPr>
          <w:i/>
        </w:rPr>
        <w:t>tabula rasa</w:t>
      </w:r>
      <w:r w:rsidR="08D43D55" w:rsidRPr="003D1E07">
        <w:rPr>
          <w:i/>
        </w:rPr>
        <w:fldChar w:fldCharType="begin"/>
      </w:r>
      <w:r w:rsidR="08D43D55" w:rsidRPr="003D1E07">
        <w:instrText xml:space="preserve"> XE "</w:instrText>
      </w:r>
      <w:r w:rsidR="08D43D55" w:rsidRPr="003D1E07">
        <w:rPr>
          <w:i/>
        </w:rPr>
        <w:instrText>tabula rasa</w:instrText>
      </w:r>
      <w:r w:rsidR="08D43D55" w:rsidRPr="003D1E07">
        <w:instrText xml:space="preserve">" </w:instrText>
      </w:r>
      <w:r w:rsidR="08D43D55" w:rsidRPr="003D1E07">
        <w:rPr>
          <w:i/>
        </w:rPr>
        <w:fldChar w:fldCharType="end"/>
      </w:r>
      <w:r w:rsidRPr="003D1E07">
        <w:t xml:space="preserve"> </w:t>
      </w:r>
      <w:r w:rsidR="002B2D3D" w:rsidRPr="003D1E07">
        <w:t xml:space="preserve">je </w:t>
      </w:r>
      <w:r w:rsidRPr="003D1E07">
        <w:t>aktualizován od smyslů a od hylemorfických prvních substancí. Abunaser dá nakonec gnoseologický primát božské iluminaci a v nižším patře poznání ubytuje aristotelskou formu empirického poznání. Tuto syntézu Platona a Aristotela převezme Avicenna, Grosseteste a Scotus, čímž vznikl objektivní náhled do autonomní formy vyšších substancí. Aktualizovaný intelekt (</w:t>
      </w:r>
      <w:r w:rsidRPr="003D1E07">
        <w:rPr>
          <w:i/>
        </w:rPr>
        <w:t>intellectus in effectu</w:t>
      </w:r>
      <w:r w:rsidRPr="003D1E07">
        <w:t>) se adaptuje novým způsobem na svět nemateriálních substancí jako čistých forem, protože jeho poznávací úkon je darován shůry (</w:t>
      </w:r>
      <w:r w:rsidRPr="003D1E07">
        <w:rPr>
          <w:i/>
        </w:rPr>
        <w:t>intellectus adeptus</w:t>
      </w:r>
      <w:r w:rsidRPr="003D1E07">
        <w:t xml:space="preserve">). </w:t>
      </w:r>
      <w:r w:rsidR="00E21A5D" w:rsidRPr="003D1E07">
        <w:t xml:space="preserve">Darovaný intelekt </w:t>
      </w:r>
      <w:r w:rsidR="00CC04B3">
        <w:t xml:space="preserve">se stal hypostázovanou entitou a tím </w:t>
      </w:r>
      <w:r w:rsidR="007600CD" w:rsidRPr="003D1E07">
        <w:t xml:space="preserve">tvoří nový </w:t>
      </w:r>
      <w:r w:rsidR="008F3DE2" w:rsidRPr="003D1E07">
        <w:t>subjekt poznání</w:t>
      </w:r>
      <w:r w:rsidR="005672D9" w:rsidRPr="003D1E07">
        <w:t>. J</w:t>
      </w:r>
      <w:r w:rsidR="007600CD" w:rsidRPr="003D1E07">
        <w:t xml:space="preserve">ím determinovaná </w:t>
      </w:r>
      <w:r w:rsidR="008F3DE2" w:rsidRPr="003D1E07">
        <w:t xml:space="preserve">poznávací forma </w:t>
      </w:r>
      <w:r w:rsidR="000A72C0" w:rsidRPr="003D1E07">
        <w:t xml:space="preserve">existuje v jiném </w:t>
      </w:r>
      <w:r w:rsidR="00CB7A26">
        <w:t xml:space="preserve">ontologickém </w:t>
      </w:r>
      <w:r w:rsidR="000A72C0" w:rsidRPr="003D1E07">
        <w:t xml:space="preserve">modu </w:t>
      </w:r>
      <w:r w:rsidR="00F9427F" w:rsidRPr="003D1E07">
        <w:t>než předešlá forma abstrahovaná ze smyslů</w:t>
      </w:r>
      <w:r w:rsidR="086C6782" w:rsidRPr="003D1E07">
        <w:t>.</w:t>
      </w:r>
      <w:r w:rsidR="080D02C6" w:rsidRPr="003D1E07">
        <w:t xml:space="preserve"> Moderní intelekt </w:t>
      </w:r>
      <w:r w:rsidR="0848417C" w:rsidRPr="003D1E07">
        <w:t xml:space="preserve">poznává jsoucno </w:t>
      </w:r>
      <w:r w:rsidR="080D02C6" w:rsidRPr="003D1E07">
        <w:t xml:space="preserve">na způsob Alexandrova odděleného intelektu a nepotřebuje nejistou smyslovou realitu k pravdivému poznání. Avicenna pochopí revoluční </w:t>
      </w:r>
      <w:r w:rsidR="080D02C6" w:rsidRPr="003D1E07">
        <w:lastRenderedPageBreak/>
        <w:t xml:space="preserve">význam tohoto vidění a založí na něm novou metafyziku, kterou převezme latinská moderna. Tyto moderní alexandrovce zásadně odmítne Averroes a po něm </w:t>
      </w:r>
      <w:r w:rsidR="08287638" w:rsidRPr="003D1E07">
        <w:t xml:space="preserve">latinská </w:t>
      </w:r>
      <w:r w:rsidR="080D02C6" w:rsidRPr="003D1E07">
        <w:t>škola prvního averroismu.</w:t>
      </w:r>
      <w:r w:rsidR="008C75B7" w:rsidRPr="003D1E07">
        <w:t xml:space="preserve"> </w:t>
      </w:r>
      <w:r w:rsidR="00391ACC" w:rsidRPr="003D1E07">
        <w:t xml:space="preserve">Objektivně </w:t>
      </w:r>
      <w:r w:rsidR="00391ACC" w:rsidRPr="003D1E07">
        <w:rPr>
          <w:rStyle w:val="Zvraznn"/>
          <w:i w:val="0"/>
        </w:rPr>
        <w:t xml:space="preserve">poznané formy dané v přímém náhledu a skrze predikaci </w:t>
      </w:r>
      <w:r w:rsidR="00391ACC" w:rsidRPr="003D1E07">
        <w:rPr>
          <w:rStyle w:val="Zvraznn"/>
        </w:rPr>
        <w:t>per prius</w:t>
      </w:r>
      <w:r w:rsidR="00391ACC" w:rsidRPr="003D1E07">
        <w:rPr>
          <w:rStyle w:val="Zvraznn"/>
          <w:i w:val="0"/>
        </w:rPr>
        <w:t xml:space="preserve"> vytvoří po roce 1230 novou verzi scholastického diakosmu daného v modu </w:t>
      </w:r>
      <w:r w:rsidR="00391ACC" w:rsidRPr="003D1E07">
        <w:rPr>
          <w:rStyle w:val="Zvraznn"/>
        </w:rPr>
        <w:t>intellectum primum</w:t>
      </w:r>
      <w:r w:rsidR="00391ACC" w:rsidRPr="003D1E07">
        <w:rPr>
          <w:rStyle w:val="Zvraznn"/>
          <w:i w:val="0"/>
        </w:rPr>
        <w:t xml:space="preserve">, které etablovala škola druhého averroismu. </w:t>
      </w:r>
      <w:r w:rsidR="00101CC8" w:rsidRPr="003D1E07">
        <w:t xml:space="preserve">Filip Kancléř převezme neoplatonský náhled denudace od Avicenny a vytvoří první moderní náhled Latiníků na přímá transcendentální určení jsoucna a pravdy v pojmu </w:t>
      </w:r>
      <w:r w:rsidR="00101CC8" w:rsidRPr="003D1E07">
        <w:rPr>
          <w:i/>
        </w:rPr>
        <w:t>resolutio</w:t>
      </w:r>
      <w:r w:rsidR="00101CC8" w:rsidRPr="003D1E07">
        <w:rPr>
          <w:i/>
        </w:rPr>
        <w:fldChar w:fldCharType="begin"/>
      </w:r>
      <w:r w:rsidR="00101CC8" w:rsidRPr="003D1E07">
        <w:instrText xml:space="preserve"> XE "</w:instrText>
      </w:r>
      <w:r w:rsidR="00101CC8" w:rsidRPr="003D1E07">
        <w:rPr>
          <w:i/>
        </w:rPr>
        <w:instrText>resolutio</w:instrText>
      </w:r>
      <w:r w:rsidR="00101CC8" w:rsidRPr="003D1E07">
        <w:instrText xml:space="preserve">:falsafa" </w:instrText>
      </w:r>
      <w:r w:rsidR="00101CC8" w:rsidRPr="003D1E07">
        <w:rPr>
          <w:i/>
        </w:rPr>
        <w:fldChar w:fldCharType="end"/>
      </w:r>
      <w:r w:rsidR="00101CC8" w:rsidRPr="003D1E07">
        <w:t xml:space="preserve"> (OBJ II, kap. 2.3.2). </w:t>
      </w:r>
      <w:r w:rsidR="003E18F4" w:rsidRPr="003D1E07">
        <w:t>Moderní dědictví Druhého mistra bylo na latinském Západě skrze filosofii Dunse Scota. Ten adaptoval filosofii Avicenny na školu druhého averroismu, která byla v úpadku a nutně potřebovala další modernizaci.</w:t>
      </w:r>
    </w:p>
    <w:p w14:paraId="4C5A696C" w14:textId="77777777" w:rsidR="001F4949" w:rsidRDefault="00BF4659" w:rsidP="001F4949">
      <w:pPr>
        <w:ind w:firstLine="397"/>
      </w:pPr>
      <w:r w:rsidRPr="003D1E07">
        <w:t>Zavedení nové form</w:t>
      </w:r>
      <w:r w:rsidR="086C6782" w:rsidRPr="003D1E07">
        <w:t xml:space="preserve">y jsoucna třetího druhu v modu </w:t>
      </w:r>
      <w:r w:rsidRPr="003D1E07">
        <w:rPr>
          <w:i/>
        </w:rPr>
        <w:t>aliud esse</w:t>
      </w:r>
      <w:r w:rsidRPr="003D1E07">
        <w:t xml:space="preserve"> mělo klíčový význam pro vývoj objektivity. </w:t>
      </w:r>
      <w:r w:rsidR="08D43D55" w:rsidRPr="003D1E07">
        <w:t>Al-</w:t>
      </w:r>
      <w:r w:rsidR="08B217CA" w:rsidRPr="003D1E07">
        <w:t xml:space="preserve">Fárábím popsaný intelekt abstrahuje od kategoriálních určení existující substance (Aristoteles, Porfyrius) a dívá se skrze esencialitu čistých forem směrem k transcendentálním vlastnostem Jednoho (Platon, Plotin). Druhý mistr </w:t>
      </w:r>
      <w:r w:rsidR="08923E5E" w:rsidRPr="003D1E07">
        <w:t xml:space="preserve">ale </w:t>
      </w:r>
      <w:r w:rsidR="08697281" w:rsidRPr="003D1E07">
        <w:t xml:space="preserve">odmítl </w:t>
      </w:r>
      <w:r w:rsidR="08923E5E" w:rsidRPr="003D1E07">
        <w:t xml:space="preserve">neoplatónskou </w:t>
      </w:r>
      <w:r w:rsidR="08697281" w:rsidRPr="003D1E07">
        <w:t>emanaci</w:t>
      </w:r>
      <w:r w:rsidR="08923E5E" w:rsidRPr="003D1E07">
        <w:t xml:space="preserve">, čímž také zrušil univoční </w:t>
      </w:r>
      <w:r w:rsidR="08697281" w:rsidRPr="003D1E07">
        <w:t xml:space="preserve">neoplatonismus </w:t>
      </w:r>
      <w:r w:rsidR="08122A90" w:rsidRPr="003D1E07">
        <w:t>z</w:t>
      </w:r>
      <w:r w:rsidR="087E2303" w:rsidRPr="003D1E07">
        <w:t xml:space="preserve">dvojeného Jednoho a Mnohého, který Porfýrius a další prosadili </w:t>
      </w:r>
      <w:r w:rsidR="08697281" w:rsidRPr="003D1E07">
        <w:t xml:space="preserve">skrze aristotelskou kategoriální predikaci. </w:t>
      </w:r>
      <w:r w:rsidR="00F811DA" w:rsidRPr="003D1E07">
        <w:t xml:space="preserve">Poprvé v západní filosofii vzniká kompletní náhled intelektu na celek jsoucna v unifikovaném modu poznání podle aristotelismu a neoplatonismu. Predikace </w:t>
      </w:r>
      <w:r w:rsidR="00F811DA" w:rsidRPr="003D1E07">
        <w:rPr>
          <w:i/>
        </w:rPr>
        <w:t>per prius</w:t>
      </w:r>
      <w:r w:rsidR="00F811DA" w:rsidRPr="003D1E07">
        <w:t xml:space="preserve"> směrem k původní jednotě je vzata podle neoplatonismu. </w:t>
      </w:r>
      <w:r w:rsidR="08FA49E6" w:rsidRPr="003D1E07">
        <w:t xml:space="preserve">Darovaný intelekt provádí novou formu poznání skrze novou formu abstrakce, kterou </w:t>
      </w:r>
      <w:r w:rsidR="00493425">
        <w:t xml:space="preserve">Étienne </w:t>
      </w:r>
      <w:r w:rsidR="08FA49E6" w:rsidRPr="003D1E07">
        <w:t>Gilson</w:t>
      </w:r>
      <w:r w:rsidR="08FA49E6" w:rsidRPr="003D1E07">
        <w:fldChar w:fldCharType="begin"/>
      </w:r>
      <w:r w:rsidR="08FA49E6" w:rsidRPr="003D1E07">
        <w:instrText xml:space="preserve"> XE "Gilson, E." </w:instrText>
      </w:r>
      <w:r w:rsidR="08FA49E6" w:rsidRPr="003D1E07">
        <w:fldChar w:fldCharType="end"/>
      </w:r>
      <w:r w:rsidR="08FA49E6" w:rsidRPr="003D1E07">
        <w:t xml:space="preserve"> </w:t>
      </w:r>
      <w:r w:rsidR="00C43453">
        <w:t xml:space="preserve">a </w:t>
      </w:r>
      <w:r w:rsidR="00493425">
        <w:t xml:space="preserve">Jean </w:t>
      </w:r>
      <w:r w:rsidR="00C43453">
        <w:t xml:space="preserve">Rohmer </w:t>
      </w:r>
      <w:r w:rsidR="08FA49E6" w:rsidRPr="003D1E07">
        <w:t>popsal</w:t>
      </w:r>
      <w:r w:rsidR="00C43453">
        <w:t>i</w:t>
      </w:r>
      <w:r w:rsidR="08FA49E6" w:rsidRPr="003D1E07">
        <w:t xml:space="preserve"> jako avicennovské </w:t>
      </w:r>
      <w:r w:rsidR="08FA49E6" w:rsidRPr="003D1E07">
        <w:rPr>
          <w:i/>
        </w:rPr>
        <w:t>denudatio</w:t>
      </w:r>
      <w:r w:rsidR="08FB39FE" w:rsidRPr="003D1E07">
        <w:rPr>
          <w:i/>
        </w:rPr>
        <w:fldChar w:fldCharType="begin"/>
      </w:r>
      <w:r w:rsidR="08FB39FE" w:rsidRPr="003D1E07">
        <w:instrText xml:space="preserve"> XE "</w:instrText>
      </w:r>
      <w:r w:rsidR="08FB39FE" w:rsidRPr="003D1E07">
        <w:rPr>
          <w:i/>
        </w:rPr>
        <w:instrText>denudatio</w:instrText>
      </w:r>
      <w:r w:rsidR="08FB39FE" w:rsidRPr="003D1E07">
        <w:instrText xml:space="preserve">" </w:instrText>
      </w:r>
      <w:r w:rsidR="08FB39FE" w:rsidRPr="003D1E07">
        <w:rPr>
          <w:i/>
        </w:rPr>
        <w:fldChar w:fldCharType="end"/>
      </w:r>
      <w:r w:rsidR="00C43453">
        <w:t xml:space="preserve"> </w:t>
      </w:r>
      <w:r w:rsidR="00C43453">
        <w:rPr>
          <w:noProof w:val="0"/>
          <w:lang w:val="en-US" w:eastAsia="x-none"/>
        </w:rPr>
        <w:t xml:space="preserve">(OBJ II, ch. </w:t>
      </w:r>
      <w:r w:rsidR="00C43453" w:rsidRPr="00F04019">
        <w:rPr>
          <w:noProof w:val="0"/>
          <w:lang w:eastAsia="x-none"/>
        </w:rPr>
        <w:t>2.3.1).</w:t>
      </w:r>
      <w:r w:rsidR="08FA49E6" w:rsidRPr="003D1E07">
        <w:t xml:space="preserve"> </w:t>
      </w:r>
      <w:r w:rsidR="00AF4F7C" w:rsidRPr="003D1E07">
        <w:rPr>
          <w:rStyle w:val="Zvraznn"/>
          <w:i w:val="0"/>
        </w:rPr>
        <w:t xml:space="preserve">Tato ambivalentní forma náhledu </w:t>
      </w:r>
      <w:r w:rsidR="00B43625">
        <w:rPr>
          <w:rStyle w:val="Zvraznn"/>
          <w:i w:val="0"/>
        </w:rPr>
        <w:t>na smysl substance založila</w:t>
      </w:r>
      <w:r w:rsidR="00D61A03" w:rsidRPr="003D1E07">
        <w:rPr>
          <w:rStyle w:val="Zvraznn"/>
          <w:i w:val="0"/>
        </w:rPr>
        <w:t xml:space="preserve"> novou predikaci </w:t>
      </w:r>
      <w:r w:rsidR="00D61A03" w:rsidRPr="003D1E07">
        <w:rPr>
          <w:rStyle w:val="Zvraznn"/>
        </w:rPr>
        <w:t>per prius</w:t>
      </w:r>
      <w:r w:rsidR="00D62314" w:rsidRPr="003D1E07">
        <w:rPr>
          <w:rStyle w:val="Zvraznn"/>
        </w:rPr>
        <w:fldChar w:fldCharType="begin"/>
      </w:r>
      <w:r w:rsidR="00D62314" w:rsidRPr="003D1E07">
        <w:instrText xml:space="preserve"> XE "</w:instrText>
      </w:r>
      <w:r w:rsidR="00D62314" w:rsidRPr="003D1E07">
        <w:rPr>
          <w:rStyle w:val="Zvraznn"/>
          <w:i w:val="0"/>
        </w:rPr>
        <w:instrText>predikace:</w:instrText>
      </w:r>
      <w:r w:rsidR="00D62314" w:rsidRPr="003D1E07">
        <w:rPr>
          <w:rStyle w:val="Zvraznn"/>
        </w:rPr>
        <w:instrText>per prius</w:instrText>
      </w:r>
      <w:r w:rsidR="00D62314" w:rsidRPr="003D1E07">
        <w:instrText xml:space="preserve">" </w:instrText>
      </w:r>
      <w:r w:rsidR="00D62314" w:rsidRPr="003D1E07">
        <w:rPr>
          <w:rStyle w:val="Zvraznn"/>
        </w:rPr>
        <w:fldChar w:fldCharType="end"/>
      </w:r>
      <w:r w:rsidR="00D61A03" w:rsidRPr="003D1E07">
        <w:rPr>
          <w:rStyle w:val="Zvraznn"/>
          <w:i w:val="0"/>
        </w:rPr>
        <w:t xml:space="preserve">, která </w:t>
      </w:r>
      <w:r w:rsidR="00B43625">
        <w:rPr>
          <w:rStyle w:val="Zvraznn"/>
          <w:i w:val="0"/>
        </w:rPr>
        <w:t>vytvořila novou s</w:t>
      </w:r>
      <w:r w:rsidR="00D61A03" w:rsidRPr="003D1E07">
        <w:rPr>
          <w:rStyle w:val="Zvraznn"/>
          <w:i w:val="0"/>
        </w:rPr>
        <w:t>érii transcendentálních určení</w:t>
      </w:r>
      <w:r w:rsidR="00CA692E">
        <w:rPr>
          <w:rStyle w:val="Zvraznn"/>
          <w:i w:val="0"/>
        </w:rPr>
        <w:t xml:space="preserve"> substance</w:t>
      </w:r>
      <w:r w:rsidR="00441399">
        <w:rPr>
          <w:rStyle w:val="Zvraznn"/>
          <w:i w:val="0"/>
        </w:rPr>
        <w:t xml:space="preserve">. </w:t>
      </w:r>
      <w:r w:rsidR="00DC28FF" w:rsidRPr="003D1E07">
        <w:rPr>
          <w:rStyle w:val="Zvraznn"/>
          <w:i w:val="0"/>
        </w:rPr>
        <w:t>Intelekt darovaný zhůry se tak stává substrátem pro čistě nemateriální formy</w:t>
      </w:r>
      <w:r w:rsidR="0074190E" w:rsidRPr="003D1E07">
        <w:rPr>
          <w:rStyle w:val="Zvraznn"/>
          <w:i w:val="0"/>
        </w:rPr>
        <w:t xml:space="preserve"> (</w:t>
      </w:r>
      <w:r w:rsidR="0074190E" w:rsidRPr="003D1E07">
        <w:rPr>
          <w:i/>
        </w:rPr>
        <w:t>intellectus adeptus est quasi subiectum</w:t>
      </w:r>
      <w:r w:rsidR="085D15A4" w:rsidRPr="003D1E07">
        <w:rPr>
          <w:i/>
        </w:rPr>
        <w:t xml:space="preserve"> illis</w:t>
      </w:r>
      <w:r w:rsidR="0074190E" w:rsidRPr="003D1E07">
        <w:rPr>
          <w:rStyle w:val="Zvraznn"/>
          <w:i w:val="0"/>
        </w:rPr>
        <w:t>)</w:t>
      </w:r>
      <w:r w:rsidR="00DC28FF" w:rsidRPr="003D1E07">
        <w:rPr>
          <w:rStyle w:val="Zvraznn"/>
          <w:i w:val="0"/>
        </w:rPr>
        <w:t>.</w:t>
      </w:r>
      <w:r w:rsidR="00876A84" w:rsidRPr="003D1E07">
        <w:rPr>
          <w:rStyle w:val="Zvraznn"/>
          <w:i w:val="0"/>
        </w:rPr>
        <w:t xml:space="preserve"> </w:t>
      </w:r>
      <w:r w:rsidR="00DE3A20" w:rsidRPr="003D1E07">
        <w:t>Tomuto intelektu, kt</w:t>
      </w:r>
      <w:r w:rsidR="081C2C53" w:rsidRPr="003D1E07">
        <w:t xml:space="preserve">erý plně etabloval Avicenna, se </w:t>
      </w:r>
      <w:r w:rsidR="00DE3A20" w:rsidRPr="003D1E07">
        <w:t>již zjevuje jsoucno třetího druhu v objektivně dané formě (</w:t>
      </w:r>
      <w:r w:rsidR="00DE3A20" w:rsidRPr="003D1E07">
        <w:rPr>
          <w:i/>
        </w:rPr>
        <w:t>equinitas tantum</w:t>
      </w:r>
      <w:r w:rsidR="00794A4B">
        <w:t>, kap. 2.3.2</w:t>
      </w:r>
      <w:r w:rsidR="00D868A9" w:rsidRPr="003D1E07">
        <w:rPr>
          <w:i/>
        </w:rPr>
        <w:fldChar w:fldCharType="begin"/>
      </w:r>
      <w:r w:rsidR="00D868A9" w:rsidRPr="003D1E07">
        <w:instrText xml:space="preserve"> XE "objektivita:Avicenna" </w:instrText>
      </w:r>
      <w:r w:rsidR="00D868A9" w:rsidRPr="003D1E07">
        <w:rPr>
          <w:i/>
        </w:rPr>
        <w:fldChar w:fldCharType="end"/>
      </w:r>
      <w:r w:rsidR="00DE3A20" w:rsidRPr="003D1E07">
        <w:t>).</w:t>
      </w:r>
      <w:r w:rsidR="003760FC" w:rsidRPr="003D1E07">
        <w:t xml:space="preserve"> </w:t>
      </w:r>
      <w:r w:rsidR="086C6782" w:rsidRPr="003D1E07">
        <w:rPr>
          <w:rStyle w:val="Zvraznn"/>
          <w:i w:val="0"/>
        </w:rPr>
        <w:t>Druhý mistr dal j</w:t>
      </w:r>
      <w:r w:rsidR="00E50449" w:rsidRPr="003D1E07">
        <w:rPr>
          <w:rStyle w:val="Zvraznn"/>
          <w:i w:val="0"/>
        </w:rPr>
        <w:t>soucn</w:t>
      </w:r>
      <w:r w:rsidR="086C6782" w:rsidRPr="003D1E07">
        <w:rPr>
          <w:rStyle w:val="Zvraznn"/>
          <w:i w:val="0"/>
        </w:rPr>
        <w:t>u</w:t>
      </w:r>
      <w:r w:rsidR="00E50449" w:rsidRPr="003D1E07">
        <w:rPr>
          <w:rStyle w:val="Zvraznn"/>
          <w:i w:val="0"/>
        </w:rPr>
        <w:t xml:space="preserve"> v modu </w:t>
      </w:r>
      <w:r w:rsidR="00E50449" w:rsidRPr="003D1E07">
        <w:rPr>
          <w:rStyle w:val="Zvraznn"/>
        </w:rPr>
        <w:t>aliud esse</w:t>
      </w:r>
      <w:r w:rsidR="00E50449" w:rsidRPr="003D1E07">
        <w:rPr>
          <w:i/>
        </w:rPr>
        <w:t xml:space="preserve"> </w:t>
      </w:r>
      <w:r w:rsidR="00E50449" w:rsidRPr="003D1E07">
        <w:rPr>
          <w:i/>
        </w:rPr>
        <w:fldChar w:fldCharType="begin"/>
      </w:r>
      <w:r w:rsidR="00E50449" w:rsidRPr="003D1E07">
        <w:instrText xml:space="preserve"> XE "substance:</w:instrText>
      </w:r>
      <w:r w:rsidR="00E50449" w:rsidRPr="003D1E07">
        <w:rPr>
          <w:i/>
        </w:rPr>
        <w:instrText>aliud esse</w:instrText>
      </w:r>
      <w:r w:rsidR="00E50449" w:rsidRPr="003D1E07">
        <w:instrText xml:space="preserve">" </w:instrText>
      </w:r>
      <w:r w:rsidR="00E50449" w:rsidRPr="003D1E07">
        <w:rPr>
          <w:i/>
        </w:rPr>
        <w:fldChar w:fldCharType="end"/>
      </w:r>
      <w:r w:rsidR="00E50449" w:rsidRPr="003D1E07">
        <w:rPr>
          <w:rStyle w:val="Zvraznn"/>
          <w:i w:val="0"/>
        </w:rPr>
        <w:t xml:space="preserve">první </w:t>
      </w:r>
      <w:r w:rsidR="005C40C2" w:rsidRPr="003D1E07">
        <w:rPr>
          <w:rStyle w:val="Zvraznn"/>
          <w:i w:val="0"/>
        </w:rPr>
        <w:t>obj</w:t>
      </w:r>
      <w:r w:rsidR="00E635D5" w:rsidRPr="003D1E07">
        <w:rPr>
          <w:rStyle w:val="Zvraznn"/>
          <w:i w:val="0"/>
        </w:rPr>
        <w:t>ektivní</w:t>
      </w:r>
      <w:r w:rsidR="006557BC" w:rsidRPr="003D1E07">
        <w:rPr>
          <w:rStyle w:val="Zvraznn"/>
          <w:i w:val="0"/>
        </w:rPr>
        <w:t xml:space="preserve"> význam</w:t>
      </w:r>
      <w:r w:rsidR="086C6782" w:rsidRPr="003D1E07">
        <w:rPr>
          <w:rStyle w:val="Zvraznn"/>
          <w:i w:val="0"/>
        </w:rPr>
        <w:t>, protože vytvořil nové bytí jsoucna v modu třetího druhu</w:t>
      </w:r>
      <w:r w:rsidR="006557BC" w:rsidRPr="003D1E07">
        <w:rPr>
          <w:rStyle w:val="Zvraznn"/>
          <w:i w:val="0"/>
        </w:rPr>
        <w:t xml:space="preserve">. Kategoriální predikace dostala díky novému náhledu na smysl jsoucna nový </w:t>
      </w:r>
      <w:r w:rsidR="004755A1">
        <w:rPr>
          <w:rStyle w:val="Zvraznn"/>
          <w:i w:val="0"/>
        </w:rPr>
        <w:t xml:space="preserve">metafyzický </w:t>
      </w:r>
      <w:r w:rsidR="006557BC" w:rsidRPr="003D1E07">
        <w:rPr>
          <w:rStyle w:val="Zvraznn"/>
          <w:i w:val="0"/>
        </w:rPr>
        <w:t xml:space="preserve">statut. </w:t>
      </w:r>
      <w:r w:rsidR="0882266D" w:rsidRPr="003D1E07">
        <w:rPr>
          <w:rStyle w:val="Zvraznn"/>
          <w:i w:val="0"/>
        </w:rPr>
        <w:t>Syntéza denudace a abstrakce ukazuje, že intelektuální obsahy už nejsou abstrahované z reálných věcí vnímaných smysly</w:t>
      </w:r>
      <w:r w:rsidR="0882266D" w:rsidRPr="003D1E07">
        <w:rPr>
          <w:i/>
        </w:rPr>
        <w:fldChar w:fldCharType="begin"/>
      </w:r>
      <w:r w:rsidR="0882266D" w:rsidRPr="003D1E07">
        <w:instrText xml:space="preserve"> XE "objektivita:intelektuálních forem" </w:instrText>
      </w:r>
      <w:r w:rsidR="0882266D" w:rsidRPr="003D1E07">
        <w:rPr>
          <w:i/>
        </w:rPr>
        <w:fldChar w:fldCharType="end"/>
      </w:r>
      <w:r w:rsidR="08044FD2" w:rsidRPr="003D1E07">
        <w:rPr>
          <w:rStyle w:val="Zvraznn"/>
          <w:i w:val="0"/>
        </w:rPr>
        <w:t xml:space="preserve">. </w:t>
      </w:r>
      <w:r w:rsidR="08A75AE0" w:rsidRPr="003D1E07">
        <w:rPr>
          <w:rStyle w:val="Zvraznn"/>
          <w:i w:val="0"/>
        </w:rPr>
        <w:t>Moderní p</w:t>
      </w:r>
      <w:r w:rsidR="08044FD2" w:rsidRPr="003D1E07">
        <w:rPr>
          <w:rStyle w:val="Zvraznn"/>
          <w:i w:val="0"/>
        </w:rPr>
        <w:t>oznání se aktualizuje díky novému typu intelektu chápanému jako aktuální a substančně pojatý substrát (</w:t>
      </w:r>
      <w:r w:rsidR="08044FD2" w:rsidRPr="003D1E07">
        <w:rPr>
          <w:i/>
        </w:rPr>
        <w:t>quasi materia et subiectum</w:t>
      </w:r>
      <w:r w:rsidR="08044FD2" w:rsidRPr="003D1E07">
        <w:rPr>
          <w:rStyle w:val="Zvraznn"/>
          <w:i w:val="0"/>
        </w:rPr>
        <w:t xml:space="preserve">). Tento nový subjekt poznání </w:t>
      </w:r>
      <w:r w:rsidR="000038BB" w:rsidRPr="003D1E07">
        <w:rPr>
          <w:rStyle w:val="Zvraznn"/>
          <w:i w:val="0"/>
        </w:rPr>
        <w:t>pohrdá externí</w:t>
      </w:r>
      <w:r w:rsidR="08044FD2" w:rsidRPr="003D1E07">
        <w:rPr>
          <w:rStyle w:val="Zvraznn"/>
          <w:i w:val="0"/>
        </w:rPr>
        <w:t xml:space="preserve"> </w:t>
      </w:r>
      <w:r w:rsidR="000038BB" w:rsidRPr="003D1E07">
        <w:rPr>
          <w:rStyle w:val="Zvraznn"/>
          <w:i w:val="0"/>
        </w:rPr>
        <w:t xml:space="preserve">aktualitou a substancialitou a </w:t>
      </w:r>
      <w:r w:rsidR="000038BB" w:rsidRPr="003D1E07">
        <w:rPr>
          <w:rStyle w:val="Zvraznn"/>
          <w:i w:val="0"/>
        </w:rPr>
        <w:lastRenderedPageBreak/>
        <w:t>proces poznání je</w:t>
      </w:r>
      <w:r w:rsidR="08044FD2" w:rsidRPr="003D1E07">
        <w:rPr>
          <w:rStyle w:val="Zvraznn"/>
          <w:i w:val="0"/>
        </w:rPr>
        <w:t xml:space="preserve"> </w:t>
      </w:r>
      <w:r w:rsidR="08A05929" w:rsidRPr="003D1E07">
        <w:rPr>
          <w:rStyle w:val="Zvraznn"/>
          <w:i w:val="0"/>
        </w:rPr>
        <w:t xml:space="preserve">částečně </w:t>
      </w:r>
      <w:r w:rsidR="08044FD2" w:rsidRPr="003D1E07">
        <w:rPr>
          <w:rStyle w:val="Zvraznn"/>
          <w:i w:val="0"/>
        </w:rPr>
        <w:t>definovaný mimo aristotelskou intelektuální duši</w:t>
      </w:r>
      <w:r w:rsidR="002D13AF" w:rsidRPr="003D1E07">
        <w:rPr>
          <w:rStyle w:val="Zvraznn"/>
          <w:i w:val="0"/>
        </w:rPr>
        <w:t>. V</w:t>
      </w:r>
      <w:r w:rsidR="009C4172" w:rsidRPr="003D1E07">
        <w:rPr>
          <w:rStyle w:val="Zvraznn"/>
          <w:i w:val="0"/>
        </w:rPr>
        <w:t> aristotelismu tvoří</w:t>
      </w:r>
      <w:r w:rsidR="000038BB" w:rsidRPr="003D1E07">
        <w:rPr>
          <w:rStyle w:val="Zvraznn"/>
          <w:i w:val="0"/>
        </w:rPr>
        <w:t xml:space="preserve"> </w:t>
      </w:r>
      <w:r w:rsidR="002D13AF" w:rsidRPr="003D1E07">
        <w:rPr>
          <w:rStyle w:val="Zvraznn"/>
          <w:i w:val="0"/>
        </w:rPr>
        <w:t xml:space="preserve">duše </w:t>
      </w:r>
      <w:r w:rsidR="08044FD2" w:rsidRPr="003D1E07">
        <w:rPr>
          <w:rStyle w:val="Zvraznn"/>
          <w:i w:val="0"/>
        </w:rPr>
        <w:t xml:space="preserve">jedinou a výlučnou entelechickou </w:t>
      </w:r>
      <w:r w:rsidR="08A75AE0" w:rsidRPr="003D1E07">
        <w:rPr>
          <w:rStyle w:val="Zvraznn"/>
          <w:i w:val="0"/>
        </w:rPr>
        <w:t>(</w:t>
      </w:r>
      <w:r w:rsidR="08A05929" w:rsidRPr="003D1E07">
        <w:rPr>
          <w:rStyle w:val="Zvraznn"/>
          <w:i w:val="0"/>
        </w:rPr>
        <w:t xml:space="preserve">a tím i </w:t>
      </w:r>
      <w:r w:rsidR="08635EF1" w:rsidRPr="003D1E07">
        <w:rPr>
          <w:rStyle w:val="Zvraznn"/>
          <w:i w:val="0"/>
        </w:rPr>
        <w:t xml:space="preserve">jedinou </w:t>
      </w:r>
      <w:r w:rsidR="08A05929" w:rsidRPr="003D1E07">
        <w:rPr>
          <w:rStyle w:val="Zvraznn"/>
          <w:i w:val="0"/>
        </w:rPr>
        <w:t>aktuální</w:t>
      </w:r>
      <w:r w:rsidR="08A75AE0" w:rsidRPr="003D1E07">
        <w:rPr>
          <w:rStyle w:val="Zvraznn"/>
          <w:i w:val="0"/>
        </w:rPr>
        <w:t>)</w:t>
      </w:r>
      <w:r w:rsidR="08A05929" w:rsidRPr="003D1E07">
        <w:rPr>
          <w:rStyle w:val="Zvraznn"/>
          <w:i w:val="0"/>
        </w:rPr>
        <w:t xml:space="preserve"> </w:t>
      </w:r>
      <w:r w:rsidR="08044FD2" w:rsidRPr="003D1E07">
        <w:rPr>
          <w:rStyle w:val="Zvraznn"/>
          <w:i w:val="0"/>
        </w:rPr>
        <w:t xml:space="preserve">formu těla. </w:t>
      </w:r>
      <w:r w:rsidR="006557BC" w:rsidRPr="003D1E07">
        <w:rPr>
          <w:rStyle w:val="Zvraznn"/>
          <w:i w:val="0"/>
        </w:rPr>
        <w:t>I</w:t>
      </w:r>
      <w:r w:rsidR="00DE3A20" w:rsidRPr="003D1E07">
        <w:rPr>
          <w:rStyle w:val="Zvraznn"/>
          <w:i w:val="0"/>
        </w:rPr>
        <w:t>mpozice</w:t>
      </w:r>
      <w:r w:rsidR="000F763C" w:rsidRPr="003D1E07">
        <w:rPr>
          <w:rStyle w:val="Zvraznn"/>
          <w:i w:val="0"/>
        </w:rPr>
        <w:fldChar w:fldCharType="begin"/>
      </w:r>
      <w:r w:rsidR="000F763C" w:rsidRPr="003D1E07">
        <w:instrText xml:space="preserve"> XE "</w:instrText>
      </w:r>
      <w:r w:rsidR="000F763C" w:rsidRPr="003D1E07">
        <w:rPr>
          <w:rStyle w:val="Zvraznn"/>
          <w:i w:val="0"/>
        </w:rPr>
        <w:instrText>impozice:Al-</w:instrText>
      </w:r>
      <w:r w:rsidR="008E02F5" w:rsidRPr="003D1E07">
        <w:rPr>
          <w:rStyle w:val="Zvraznn"/>
          <w:i w:val="0"/>
        </w:rPr>
        <w:instrText>Fárábí</w:instrText>
      </w:r>
      <w:r w:rsidR="000F763C" w:rsidRPr="003D1E07">
        <w:instrText xml:space="preserve">" </w:instrText>
      </w:r>
      <w:r w:rsidR="000F763C" w:rsidRPr="003D1E07">
        <w:rPr>
          <w:rStyle w:val="Zvraznn"/>
          <w:i w:val="0"/>
        </w:rPr>
        <w:fldChar w:fldCharType="end"/>
      </w:r>
      <w:r w:rsidR="00DE3A20" w:rsidRPr="003D1E07">
        <w:rPr>
          <w:rStyle w:val="Zvraznn"/>
          <w:i w:val="0"/>
        </w:rPr>
        <w:t xml:space="preserve"> </w:t>
      </w:r>
      <w:r w:rsidR="00B6291C" w:rsidRPr="003D1E07">
        <w:rPr>
          <w:rStyle w:val="Zvraznn"/>
          <w:i w:val="0"/>
        </w:rPr>
        <w:t xml:space="preserve">významu od kosmických substancí jako intelektálních </w:t>
      </w:r>
      <w:r w:rsidR="08DF2505" w:rsidRPr="003D1E07">
        <w:rPr>
          <w:rStyle w:val="Zvraznn"/>
          <w:i w:val="0"/>
        </w:rPr>
        <w:t xml:space="preserve">forem </w:t>
      </w:r>
      <w:r w:rsidR="08B62709" w:rsidRPr="003D1E07">
        <w:t xml:space="preserve">existujících </w:t>
      </w:r>
      <w:r w:rsidR="08B62709" w:rsidRPr="003D1E07">
        <w:rPr>
          <w:i/>
        </w:rPr>
        <w:t>per se</w:t>
      </w:r>
      <w:r w:rsidR="08B62709" w:rsidRPr="003D1E07">
        <w:rPr>
          <w:rStyle w:val="Zvraznn"/>
          <w:i w:val="0"/>
        </w:rPr>
        <w:t xml:space="preserve"> </w:t>
      </w:r>
      <w:r w:rsidR="00DE3A20" w:rsidRPr="003D1E07">
        <w:rPr>
          <w:rStyle w:val="Zvraznn"/>
          <w:i w:val="0"/>
        </w:rPr>
        <w:t>vzniká o jedno patro výše než je běžná realita</w:t>
      </w:r>
      <w:r w:rsidR="006557BC" w:rsidRPr="003D1E07">
        <w:rPr>
          <w:rStyle w:val="Zvraznn"/>
          <w:i w:val="0"/>
        </w:rPr>
        <w:t xml:space="preserve"> </w:t>
      </w:r>
      <w:r w:rsidR="08982845" w:rsidRPr="003D1E07">
        <w:rPr>
          <w:rStyle w:val="Zvraznn"/>
          <w:i w:val="0"/>
        </w:rPr>
        <w:t xml:space="preserve">smyslově vnímané </w:t>
      </w:r>
      <w:r w:rsidR="006557BC" w:rsidRPr="003D1E07">
        <w:rPr>
          <w:rStyle w:val="Zvraznn"/>
          <w:i w:val="0"/>
        </w:rPr>
        <w:t>první substance</w:t>
      </w:r>
      <w:r w:rsidR="005C40C2" w:rsidRPr="003D1E07">
        <w:rPr>
          <w:rStyle w:val="Zvraznn"/>
          <w:i w:val="0"/>
        </w:rPr>
        <w:t xml:space="preserve">. </w:t>
      </w:r>
      <w:r w:rsidR="0072082F" w:rsidRPr="003D1E07">
        <w:rPr>
          <w:rStyle w:val="Zvraznn"/>
          <w:i w:val="0"/>
        </w:rPr>
        <w:t>Darovaný intelekt se stává autonomním substrátem abstrahovaných obsahů myšlení (</w:t>
      </w:r>
      <w:r w:rsidR="0072082F" w:rsidRPr="003D1E07">
        <w:rPr>
          <w:i/>
        </w:rPr>
        <w:t>intellectus adeptus est quasi subiectum illis</w:t>
      </w:r>
      <w:r w:rsidR="0004610D" w:rsidRPr="003D1E07">
        <w:rPr>
          <w:i/>
        </w:rPr>
        <w:fldChar w:fldCharType="begin"/>
      </w:r>
      <w:r w:rsidR="0004610D" w:rsidRPr="003D1E07">
        <w:instrText xml:space="preserve"> XE "</w:instrText>
      </w:r>
      <w:r w:rsidR="0004610D" w:rsidRPr="003D1E07">
        <w:rPr>
          <w:i/>
        </w:rPr>
        <w:instrText>intellectus adeptus:</w:instrText>
      </w:r>
      <w:r w:rsidR="0004610D" w:rsidRPr="003D1E07">
        <w:instrText>Al-</w:instrText>
      </w:r>
      <w:r w:rsidR="008E02F5" w:rsidRPr="003D1E07">
        <w:instrText>Fárábí</w:instrText>
      </w:r>
      <w:r w:rsidR="0004610D" w:rsidRPr="003D1E07">
        <w:instrText xml:space="preserve">" </w:instrText>
      </w:r>
      <w:r w:rsidR="0004610D" w:rsidRPr="003D1E07">
        <w:rPr>
          <w:i/>
        </w:rPr>
        <w:fldChar w:fldCharType="end"/>
      </w:r>
      <w:r w:rsidR="00221B9F" w:rsidRPr="003D1E07">
        <w:rPr>
          <w:rStyle w:val="Zvraznn"/>
          <w:i w:val="0"/>
        </w:rPr>
        <w:t xml:space="preserve">). </w:t>
      </w:r>
      <w:r w:rsidR="00D05578" w:rsidRPr="003D1E07">
        <w:rPr>
          <w:rStyle w:val="Zvraznn"/>
          <w:i w:val="0"/>
        </w:rPr>
        <w:t xml:space="preserve">Toto epochálně nové </w:t>
      </w:r>
      <w:r w:rsidR="008D7A37" w:rsidRPr="003D1E07">
        <w:rPr>
          <w:i/>
          <w:lang w:eastAsia="x-none"/>
        </w:rPr>
        <w:t>quasi subiectum</w:t>
      </w:r>
      <w:r w:rsidR="008D7A37" w:rsidRPr="003D1E07">
        <w:rPr>
          <w:lang w:eastAsia="x-none"/>
        </w:rPr>
        <w:t xml:space="preserve"> </w:t>
      </w:r>
      <w:r w:rsidR="00D05578" w:rsidRPr="003D1E07">
        <w:rPr>
          <w:rStyle w:val="Zvraznn"/>
          <w:i w:val="0"/>
        </w:rPr>
        <w:t xml:space="preserve">Západu </w:t>
      </w:r>
      <w:r w:rsidR="009437D6" w:rsidRPr="003D1E07">
        <w:rPr>
          <w:rStyle w:val="Zvraznn"/>
          <w:i w:val="0"/>
        </w:rPr>
        <w:t>funguje jako kvazi-substance</w:t>
      </w:r>
      <w:r w:rsidR="08076AB4" w:rsidRPr="003D1E07">
        <w:rPr>
          <w:rStyle w:val="Zvraznn"/>
          <w:i w:val="0"/>
        </w:rPr>
        <w:t xml:space="preserve"> vedle duše a paralelně s ní</w:t>
      </w:r>
      <w:r w:rsidR="00275C4B" w:rsidRPr="003D1E07">
        <w:rPr>
          <w:rStyle w:val="Zvraznn"/>
          <w:i w:val="0"/>
        </w:rPr>
        <w:t>, prot</w:t>
      </w:r>
      <w:r w:rsidR="0008342D" w:rsidRPr="003D1E07">
        <w:rPr>
          <w:rStyle w:val="Zvraznn"/>
          <w:i w:val="0"/>
        </w:rPr>
        <w:t xml:space="preserve">ože </w:t>
      </w:r>
      <w:r w:rsidR="08076AB4" w:rsidRPr="003D1E07">
        <w:rPr>
          <w:rStyle w:val="Zvraznn"/>
          <w:i w:val="0"/>
        </w:rPr>
        <w:t xml:space="preserve">získaný intelekt a jeho poznání </w:t>
      </w:r>
      <w:r w:rsidR="0008342D" w:rsidRPr="003D1E07">
        <w:rPr>
          <w:rStyle w:val="Zvraznn"/>
          <w:i w:val="0"/>
        </w:rPr>
        <w:t>má vlastní aktualitu danou s</w:t>
      </w:r>
      <w:r w:rsidR="00275C4B" w:rsidRPr="003D1E07">
        <w:rPr>
          <w:rStyle w:val="Zvraznn"/>
          <w:i w:val="0"/>
        </w:rPr>
        <w:t>hůry</w:t>
      </w:r>
      <w:r w:rsidR="00B92E57" w:rsidRPr="003D1E07">
        <w:rPr>
          <w:rStyle w:val="Zvraznn"/>
          <w:i w:val="0"/>
        </w:rPr>
        <w:t>.</w:t>
      </w:r>
      <w:r w:rsidR="0072082F" w:rsidRPr="003D1E07">
        <w:rPr>
          <w:rStyle w:val="Zvraznn"/>
          <w:i w:val="0"/>
        </w:rPr>
        <w:t xml:space="preserve"> </w:t>
      </w:r>
      <w:r w:rsidR="00034F26" w:rsidRPr="003D1E07">
        <w:t>Následný vývoj scholasti</w:t>
      </w:r>
      <w:r w:rsidR="0073065C">
        <w:t>ky ovlivněné Avicennou nasměřoval</w:t>
      </w:r>
      <w:r w:rsidR="00034F26" w:rsidRPr="003D1E07">
        <w:t xml:space="preserve"> vývoj intelektu jako </w:t>
      </w:r>
      <w:r w:rsidR="00035C32">
        <w:t>substance třetího druhu</w:t>
      </w:r>
      <w:r w:rsidR="00034F26" w:rsidRPr="003D1E07">
        <w:rPr>
          <w:i/>
        </w:rPr>
        <w:t xml:space="preserve"> </w:t>
      </w:r>
      <w:r w:rsidR="00034F26" w:rsidRPr="003D1E07">
        <w:t>k</w:t>
      </w:r>
      <w:r w:rsidR="0093702F" w:rsidRPr="003D1E07">
        <w:t xml:space="preserve"> </w:t>
      </w:r>
      <w:r w:rsidR="08640D0C" w:rsidRPr="003D1E07">
        <w:t xml:space="preserve">modernímu </w:t>
      </w:r>
      <w:r w:rsidR="0093702F" w:rsidRPr="003D1E07">
        <w:t>dualismu</w:t>
      </w:r>
      <w:r w:rsidR="08053F99" w:rsidRPr="003D1E07">
        <w:t xml:space="preserve">, v němž se osoba rozpadla na dvě </w:t>
      </w:r>
      <w:r w:rsidR="08640D0C" w:rsidRPr="003D1E07">
        <w:t>a více substancí</w:t>
      </w:r>
      <w:r w:rsidR="00034F26" w:rsidRPr="003D1E07">
        <w:t>.</w:t>
      </w:r>
      <w:r w:rsidR="0093702F" w:rsidRPr="003D1E07">
        <w:t xml:space="preserve"> Novou podobu tohoto intelektuálního subjektu třetího druhu</w:t>
      </w:r>
      <w:r w:rsidR="0075606E" w:rsidRPr="003D1E07">
        <w:t xml:space="preserve"> </w:t>
      </w:r>
      <w:r w:rsidR="0093702F" w:rsidRPr="003D1E07">
        <w:t xml:space="preserve">vytvoří </w:t>
      </w:r>
      <w:r w:rsidR="00BC6502" w:rsidRPr="003D1E07">
        <w:t>post</w:t>
      </w:r>
      <w:r w:rsidR="003B083F" w:rsidRPr="003D1E07">
        <w:t xml:space="preserve">moderní </w:t>
      </w:r>
      <w:r w:rsidR="0093702F" w:rsidRPr="003D1E07">
        <w:t>Descartes</w:t>
      </w:r>
      <w:r w:rsidR="003B083F" w:rsidRPr="003D1E07">
        <w:fldChar w:fldCharType="begin"/>
      </w:r>
      <w:r w:rsidR="003B083F" w:rsidRPr="003D1E07">
        <w:instrText xml:space="preserve"> XE "Descartes, R." </w:instrText>
      </w:r>
      <w:r w:rsidR="003B083F" w:rsidRPr="003D1E07">
        <w:fldChar w:fldCharType="end"/>
      </w:r>
      <w:r w:rsidR="003B083F" w:rsidRPr="003D1E07">
        <w:t xml:space="preserve"> působící již v epoše metafyzického nihilismu</w:t>
      </w:r>
      <w:r w:rsidR="0075606E" w:rsidRPr="003D1E07">
        <w:t>. Jeho obnovený neoplatonismus</w:t>
      </w:r>
      <w:r w:rsidR="0093702F" w:rsidRPr="003D1E07">
        <w:t xml:space="preserve"> založí nový subjekt západního poznání a vědy (</w:t>
      </w:r>
      <w:r w:rsidR="0093702F" w:rsidRPr="003D1E07">
        <w:rPr>
          <w:i/>
        </w:rPr>
        <w:t>res cogitans</w:t>
      </w:r>
      <w:r w:rsidR="0093702F" w:rsidRPr="003D1E07">
        <w:rPr>
          <w:i/>
        </w:rPr>
        <w:fldChar w:fldCharType="begin"/>
      </w:r>
      <w:r w:rsidR="0093702F" w:rsidRPr="003D1E07">
        <w:instrText xml:space="preserve"> XE "</w:instrText>
      </w:r>
      <w:r w:rsidR="0093702F" w:rsidRPr="003D1E07">
        <w:rPr>
          <w:i/>
        </w:rPr>
        <w:instrText>res cogitans</w:instrText>
      </w:r>
      <w:r w:rsidR="0093702F" w:rsidRPr="003D1E07">
        <w:instrText xml:space="preserve">" </w:instrText>
      </w:r>
      <w:r w:rsidR="0093702F" w:rsidRPr="003D1E07">
        <w:rPr>
          <w:i/>
        </w:rPr>
        <w:fldChar w:fldCharType="end"/>
      </w:r>
      <w:r w:rsidR="0093702F" w:rsidRPr="003D1E07">
        <w:t>), která je díky procesu reflexivní denudace vybavená vlastním typ</w:t>
      </w:r>
      <w:r w:rsidR="00201DD6">
        <w:t>em aktuality dané mimo tělo (</w:t>
      </w:r>
      <w:r w:rsidR="0093702F" w:rsidRPr="003D1E07">
        <w:rPr>
          <w:i/>
        </w:rPr>
        <w:t>res extensa</w:t>
      </w:r>
      <w:r w:rsidR="0093702F" w:rsidRPr="003D1E07">
        <w:rPr>
          <w:i/>
        </w:rPr>
        <w:fldChar w:fldCharType="begin"/>
      </w:r>
      <w:r w:rsidR="0093702F" w:rsidRPr="003D1E07">
        <w:instrText xml:space="preserve"> XE "</w:instrText>
      </w:r>
      <w:r w:rsidR="0093702F" w:rsidRPr="003D1E07">
        <w:rPr>
          <w:i/>
        </w:rPr>
        <w:instrText>res extensa</w:instrText>
      </w:r>
      <w:r w:rsidR="0093702F" w:rsidRPr="003D1E07">
        <w:instrText xml:space="preserve">" </w:instrText>
      </w:r>
      <w:r w:rsidR="0093702F" w:rsidRPr="003D1E07">
        <w:rPr>
          <w:i/>
        </w:rPr>
        <w:fldChar w:fldCharType="end"/>
      </w:r>
      <w:r w:rsidR="00201DD6">
        <w:t>).</w:t>
      </w:r>
      <w:r w:rsidR="0075606E" w:rsidRPr="003D1E07">
        <w:t xml:space="preserve"> </w:t>
      </w:r>
      <w:r w:rsidR="00034F26" w:rsidRPr="003D1E07">
        <w:rPr>
          <w:rStyle w:val="Zvraznn"/>
          <w:i w:val="0"/>
        </w:rPr>
        <w:t xml:space="preserve">Tím vznikl </w:t>
      </w:r>
      <w:r w:rsidR="087A0A5C" w:rsidRPr="003D1E07">
        <w:rPr>
          <w:rStyle w:val="Zvraznn"/>
          <w:i w:val="0"/>
        </w:rPr>
        <w:t xml:space="preserve">současný </w:t>
      </w:r>
      <w:r w:rsidR="00034F26" w:rsidRPr="003D1E07">
        <w:rPr>
          <w:rStyle w:val="Zvraznn"/>
          <w:i w:val="0"/>
        </w:rPr>
        <w:t xml:space="preserve">dualismus mezi dvěma oddělenými substancemi, tělesnou a intelektuální. </w:t>
      </w:r>
      <w:r w:rsidR="001F4949" w:rsidRPr="003D1E07">
        <w:t>D</w:t>
      </w:r>
      <w:r w:rsidR="001F4949" w:rsidRPr="003D1E07">
        <w:rPr>
          <w:rStyle w:val="Zvraznn"/>
          <w:i w:val="0"/>
        </w:rPr>
        <w:t>arovaný intelekt jako substance třetího druhu začíná fungovat jako aktuální substrát abstrahovaných obsahů myšlení (</w:t>
      </w:r>
      <w:r w:rsidR="001F4949" w:rsidRPr="003D1E07">
        <w:rPr>
          <w:i/>
        </w:rPr>
        <w:t>intellectus adeptus est quasi subiectum illis</w:t>
      </w:r>
      <w:r w:rsidR="001F4949" w:rsidRPr="003D1E07">
        <w:rPr>
          <w:i/>
        </w:rPr>
        <w:fldChar w:fldCharType="begin"/>
      </w:r>
      <w:r w:rsidR="001F4949" w:rsidRPr="003D1E07">
        <w:instrText xml:space="preserve"> XE "</w:instrText>
      </w:r>
      <w:r w:rsidR="001F4949" w:rsidRPr="003D1E07">
        <w:rPr>
          <w:i/>
        </w:rPr>
        <w:instrText>intellectus adeptus:</w:instrText>
      </w:r>
      <w:r w:rsidR="001F4949" w:rsidRPr="003D1E07">
        <w:instrText xml:space="preserve">Al-Fárábí" </w:instrText>
      </w:r>
      <w:r w:rsidR="001F4949" w:rsidRPr="003D1E07">
        <w:rPr>
          <w:i/>
        </w:rPr>
        <w:fldChar w:fldCharType="end"/>
      </w:r>
      <w:r w:rsidR="001F4949" w:rsidRPr="003D1E07">
        <w:rPr>
          <w:rStyle w:val="Zvraznn"/>
          <w:i w:val="0"/>
        </w:rPr>
        <w:t>).</w:t>
      </w:r>
      <w:r w:rsidR="001F4949">
        <w:rPr>
          <w:rStyle w:val="Zvraznn"/>
          <w:i w:val="0"/>
        </w:rPr>
        <w:t xml:space="preserve"> </w:t>
      </w:r>
      <w:r w:rsidR="00CF3FB3" w:rsidRPr="003D1E07">
        <w:t xml:space="preserve">Rozdělení člověka na několik substancí završí </w:t>
      </w:r>
      <w:r w:rsidR="08A61037" w:rsidRPr="003D1E07">
        <w:t xml:space="preserve">v epoše metafyzického nihilismu původní </w:t>
      </w:r>
      <w:r w:rsidR="003F29A2" w:rsidRPr="003D1E07">
        <w:t>pochybení (</w:t>
      </w:r>
      <w:r w:rsidR="00CF3FB3" w:rsidRPr="003D1E07">
        <w:rPr>
          <w:i/>
        </w:rPr>
        <w:t>Irrtum</w:t>
      </w:r>
      <w:r w:rsidR="003F29A2" w:rsidRPr="003D1E07">
        <w:t xml:space="preserve">) </w:t>
      </w:r>
      <w:r w:rsidR="08A61037" w:rsidRPr="003D1E07">
        <w:t>západní metafyziky, které po vzoru avicennistické falsafy aktualizovala s</w:t>
      </w:r>
      <w:r w:rsidR="00CF3FB3" w:rsidRPr="003D1E07">
        <w:t>cholastická moderna na Oxfordu kolem 1240 (</w:t>
      </w:r>
      <w:r w:rsidR="081E41BA" w:rsidRPr="003D1E07">
        <w:t>OBJ II, kap. 3</w:t>
      </w:r>
      <w:r w:rsidR="00CF3FB3" w:rsidRPr="003D1E07">
        <w:t xml:space="preserve">.2). </w:t>
      </w:r>
      <w:r w:rsidR="001F4949">
        <w:t>M</w:t>
      </w:r>
      <w:r w:rsidR="001F4949" w:rsidRPr="003D1E07">
        <w:t xml:space="preserve">oderní, postmoderní a nihilistické určení </w:t>
      </w:r>
      <w:r w:rsidR="001F4949">
        <w:t xml:space="preserve">lidské osoby </w:t>
      </w:r>
      <w:r w:rsidR="001F4949" w:rsidRPr="003D1E07">
        <w:t xml:space="preserve">se rozpadlo na nesourodou sbírku substancí.  </w:t>
      </w:r>
      <w:r w:rsidR="00CF3FB3" w:rsidRPr="003D1E07">
        <w:t xml:space="preserve">Alfarabius </w:t>
      </w:r>
      <w:r w:rsidR="08D21944" w:rsidRPr="003D1E07">
        <w:t xml:space="preserve">ustavuje základní </w:t>
      </w:r>
      <w:r w:rsidR="085268F2" w:rsidRPr="003D1E07">
        <w:rPr>
          <w:i/>
        </w:rPr>
        <w:t>Lichtung</w:t>
      </w:r>
      <w:r w:rsidR="085268F2" w:rsidRPr="003D1E07">
        <w:t xml:space="preserve"> </w:t>
      </w:r>
      <w:r w:rsidR="08D21944" w:rsidRPr="003D1E07">
        <w:t>dějinnosti</w:t>
      </w:r>
      <w:r w:rsidR="084337BD" w:rsidRPr="003D1E07">
        <w:fldChar w:fldCharType="begin"/>
      </w:r>
      <w:r w:rsidR="084337BD" w:rsidRPr="003D1E07">
        <w:instrText xml:space="preserve"> XE "dějinnost" </w:instrText>
      </w:r>
      <w:r w:rsidR="084337BD" w:rsidRPr="003D1E07">
        <w:fldChar w:fldCharType="end"/>
      </w:r>
      <w:r w:rsidR="08B8534D" w:rsidRPr="003D1E07">
        <w:t xml:space="preserve"> známé </w:t>
      </w:r>
      <w:r w:rsidR="08105525" w:rsidRPr="003D1E07">
        <w:t xml:space="preserve">skrze historickou figuru </w:t>
      </w:r>
      <w:r w:rsidR="08B8534D" w:rsidRPr="003D1E07">
        <w:rPr>
          <w:i/>
        </w:rPr>
        <w:t>via Modernorum</w:t>
      </w:r>
      <w:r w:rsidR="08B8534D" w:rsidRPr="003D1E07">
        <w:rPr>
          <w:i/>
        </w:rPr>
        <w:fldChar w:fldCharType="begin"/>
      </w:r>
      <w:r w:rsidR="08B8534D" w:rsidRPr="003D1E07">
        <w:instrText xml:space="preserve"> XE "</w:instrText>
      </w:r>
      <w:r w:rsidR="08B8534D" w:rsidRPr="003D1E07">
        <w:rPr>
          <w:i/>
        </w:rPr>
        <w:instrText>via Modernorum</w:instrText>
      </w:r>
      <w:r w:rsidR="08B8534D" w:rsidRPr="003D1E07">
        <w:instrText xml:space="preserve">" </w:instrText>
      </w:r>
      <w:r w:rsidR="08B8534D" w:rsidRPr="003D1E07">
        <w:rPr>
          <w:i/>
        </w:rPr>
        <w:fldChar w:fldCharType="end"/>
      </w:r>
      <w:r w:rsidR="08D21944" w:rsidRPr="003D1E07">
        <w:t>, která vede k m</w:t>
      </w:r>
      <w:r w:rsidR="00CF3FB3" w:rsidRPr="003D1E07">
        <w:t>oderní dehumanizaci člověka</w:t>
      </w:r>
      <w:r w:rsidR="00721544">
        <w:t>.</w:t>
      </w:r>
    </w:p>
    <w:p w14:paraId="128413F2" w14:textId="77777777" w:rsidR="008D7340" w:rsidRDefault="008F569A" w:rsidP="001F4949">
      <w:pPr>
        <w:ind w:firstLine="397"/>
      </w:pPr>
      <w:r w:rsidRPr="003D1E07">
        <w:t xml:space="preserve">Ale </w:t>
      </w:r>
      <w:r w:rsidR="08AC373A" w:rsidRPr="003D1E07">
        <w:t xml:space="preserve">aristotelská </w:t>
      </w:r>
      <w:r w:rsidRPr="003D1E07">
        <w:t xml:space="preserve">filosofie </w:t>
      </w:r>
      <w:r w:rsidR="089157D6" w:rsidRPr="003D1E07">
        <w:t xml:space="preserve">Abunasera </w:t>
      </w:r>
      <w:r w:rsidRPr="003D1E07">
        <w:t xml:space="preserve">našla </w:t>
      </w:r>
      <w:r w:rsidR="00422504" w:rsidRPr="003D1E07">
        <w:t xml:space="preserve">v modu </w:t>
      </w:r>
      <w:r w:rsidR="00422504" w:rsidRPr="003D1E07">
        <w:rPr>
          <w:i/>
        </w:rPr>
        <w:t>alétheia</w:t>
      </w:r>
      <w:r w:rsidR="00422504" w:rsidRPr="003D1E07">
        <w:t xml:space="preserve"> </w:t>
      </w:r>
      <w:r w:rsidR="085268F2" w:rsidRPr="003D1E07">
        <w:t xml:space="preserve">také </w:t>
      </w:r>
      <w:r w:rsidR="00422504" w:rsidRPr="003D1E07">
        <w:t>u</w:t>
      </w:r>
      <w:r w:rsidR="00FB62B6" w:rsidRPr="003D1E07">
        <w:rPr>
          <w:rStyle w:val="Zvraznn"/>
          <w:i w:val="0"/>
        </w:rPr>
        <w:t>niverzální lidsk</w:t>
      </w:r>
      <w:r w:rsidR="00422504" w:rsidRPr="003D1E07">
        <w:rPr>
          <w:rStyle w:val="Zvraznn"/>
          <w:i w:val="0"/>
        </w:rPr>
        <w:t>ou</w:t>
      </w:r>
      <w:r w:rsidR="009273FB" w:rsidRPr="003D1E07">
        <w:rPr>
          <w:rStyle w:val="Zvraznn"/>
          <w:i w:val="0"/>
        </w:rPr>
        <w:t xml:space="preserve"> přirozenost</w:t>
      </w:r>
      <w:r w:rsidR="08711F01" w:rsidRPr="003D1E07">
        <w:rPr>
          <w:i/>
        </w:rPr>
        <w:fldChar w:fldCharType="begin"/>
      </w:r>
      <w:r w:rsidR="08711F01" w:rsidRPr="003D1E07">
        <w:instrText xml:space="preserve"> XE "lidská přirozenost" </w:instrText>
      </w:r>
      <w:r w:rsidR="08711F01" w:rsidRPr="003D1E07">
        <w:rPr>
          <w:i/>
        </w:rPr>
        <w:fldChar w:fldCharType="end"/>
      </w:r>
      <w:r w:rsidR="00FB62B6" w:rsidRPr="003D1E07">
        <w:rPr>
          <w:rStyle w:val="Zvraznn"/>
          <w:i w:val="0"/>
        </w:rPr>
        <w:t xml:space="preserve"> </w:t>
      </w:r>
      <w:r w:rsidR="00422504" w:rsidRPr="003D1E07">
        <w:rPr>
          <w:rStyle w:val="Zvraznn"/>
          <w:i w:val="0"/>
        </w:rPr>
        <w:t>danou</w:t>
      </w:r>
      <w:r w:rsidR="009273FB" w:rsidRPr="003D1E07">
        <w:rPr>
          <w:rStyle w:val="Zvraznn"/>
          <w:i w:val="0"/>
        </w:rPr>
        <w:t xml:space="preserve"> </w:t>
      </w:r>
      <w:r w:rsidR="08AC373A" w:rsidRPr="003D1E07">
        <w:rPr>
          <w:rStyle w:val="Zvraznn"/>
          <w:i w:val="0"/>
        </w:rPr>
        <w:t xml:space="preserve">všem lidem </w:t>
      </w:r>
      <w:r w:rsidR="009273FB" w:rsidRPr="003D1E07">
        <w:rPr>
          <w:rStyle w:val="Zvraznn"/>
          <w:i w:val="0"/>
        </w:rPr>
        <w:t xml:space="preserve">skrze </w:t>
      </w:r>
      <w:r w:rsidR="08AC373A" w:rsidRPr="003D1E07">
        <w:rPr>
          <w:rStyle w:val="Zvraznn"/>
        </w:rPr>
        <w:t>intellectus in potenc</w:t>
      </w:r>
      <w:r w:rsidR="009273FB" w:rsidRPr="003D1E07">
        <w:rPr>
          <w:rStyle w:val="Zvraznn"/>
        </w:rPr>
        <w:t>ia</w:t>
      </w:r>
      <w:r w:rsidR="00422504" w:rsidRPr="003D1E07">
        <w:rPr>
          <w:rStyle w:val="Zvraznn"/>
          <w:i w:val="0"/>
        </w:rPr>
        <w:t>.</w:t>
      </w:r>
      <w:r w:rsidR="00422504" w:rsidRPr="003D1E07">
        <w:rPr>
          <w:rStyle w:val="Znakapoznpodarou"/>
        </w:rPr>
        <w:footnoteReference w:id="97"/>
      </w:r>
      <w:r w:rsidR="00422504" w:rsidRPr="003D1E07">
        <w:rPr>
          <w:rStyle w:val="Zvraznn"/>
          <w:i w:val="0"/>
        </w:rPr>
        <w:t xml:space="preserve"> </w:t>
      </w:r>
      <w:r w:rsidR="08616D11" w:rsidRPr="003D1E07">
        <w:rPr>
          <w:rStyle w:val="Zvraznn"/>
          <w:i w:val="0"/>
        </w:rPr>
        <w:t>Tento te</w:t>
      </w:r>
      <w:r w:rsidR="08CD5AF0" w:rsidRPr="003D1E07">
        <w:rPr>
          <w:rStyle w:val="Zvraznn"/>
          <w:i w:val="0"/>
        </w:rPr>
        <w:t>rm</w:t>
      </w:r>
      <w:r w:rsidR="08616D11" w:rsidRPr="003D1E07">
        <w:rPr>
          <w:rStyle w:val="Zvraznn"/>
          <w:i w:val="0"/>
        </w:rPr>
        <w:t>í</w:t>
      </w:r>
      <w:r w:rsidR="08CD5AF0" w:rsidRPr="003D1E07">
        <w:rPr>
          <w:rStyle w:val="Zvraznn"/>
          <w:i w:val="0"/>
        </w:rPr>
        <w:t>n</w:t>
      </w:r>
      <w:r w:rsidR="08CC595B" w:rsidRPr="003D1E07">
        <w:rPr>
          <w:rStyle w:val="Zvraznn"/>
          <w:i w:val="0"/>
        </w:rPr>
        <w:t xml:space="preserve"> je klíčový pro nové určení člověka</w:t>
      </w:r>
      <w:r w:rsidR="08616D11" w:rsidRPr="003D1E07">
        <w:rPr>
          <w:rStyle w:val="Zvraznn"/>
          <w:i w:val="0"/>
        </w:rPr>
        <w:t xml:space="preserve">, </w:t>
      </w:r>
      <w:r w:rsidR="08CC595B" w:rsidRPr="003D1E07">
        <w:rPr>
          <w:rStyle w:val="Zvraznn"/>
          <w:i w:val="0"/>
        </w:rPr>
        <w:t>proto</w:t>
      </w:r>
      <w:r w:rsidR="08616D11" w:rsidRPr="003D1E07">
        <w:rPr>
          <w:rStyle w:val="Zvraznn"/>
          <w:i w:val="0"/>
        </w:rPr>
        <w:t>že popisuje univerzální specifikum lidského poznání odděl</w:t>
      </w:r>
      <w:r w:rsidR="08CD5AF0" w:rsidRPr="003D1E07">
        <w:rPr>
          <w:rStyle w:val="Zvraznn"/>
          <w:i w:val="0"/>
        </w:rPr>
        <w:t>en</w:t>
      </w:r>
      <w:r w:rsidR="08616D11" w:rsidRPr="003D1E07">
        <w:rPr>
          <w:rStyle w:val="Zvraznn"/>
          <w:i w:val="0"/>
        </w:rPr>
        <w:t xml:space="preserve">ého od smyslového poznání zvířat a od čistě intelektuálního poznání nemateriálních kosmických inteligencí. Lidstvo se stalo jedním </w:t>
      </w:r>
      <w:r w:rsidR="00F214C5" w:rsidRPr="003D1E07">
        <w:rPr>
          <w:rStyle w:val="Zvraznn"/>
          <w:i w:val="0"/>
        </w:rPr>
        <w:t>species</w:t>
      </w:r>
      <w:r w:rsidR="08616D11" w:rsidRPr="003D1E07">
        <w:rPr>
          <w:rStyle w:val="Zvraznn"/>
          <w:i w:val="0"/>
        </w:rPr>
        <w:t xml:space="preserve"> </w:t>
      </w:r>
      <w:r w:rsidR="08616D11" w:rsidRPr="003D1E07">
        <w:rPr>
          <w:rStyle w:val="Zvraznn"/>
        </w:rPr>
        <w:t>humana</w:t>
      </w:r>
      <w:r w:rsidR="08616D11" w:rsidRPr="003D1E07">
        <w:rPr>
          <w:rStyle w:val="Zvraznn"/>
          <w:i w:val="0"/>
        </w:rPr>
        <w:t xml:space="preserve">, protože všichni lidé používají tuto </w:t>
      </w:r>
      <w:r w:rsidR="08616D11" w:rsidRPr="003D1E07">
        <w:rPr>
          <w:rStyle w:val="Zvraznn"/>
          <w:i w:val="0"/>
        </w:rPr>
        <w:lastRenderedPageBreak/>
        <w:t xml:space="preserve">specifickou formu intelektu. </w:t>
      </w:r>
      <w:r w:rsidR="08CD5AF0" w:rsidRPr="003D1E07">
        <w:t>Dante</w:t>
      </w:r>
      <w:r w:rsidR="08CD5AF0" w:rsidRPr="003D1E07">
        <w:fldChar w:fldCharType="begin"/>
      </w:r>
      <w:r w:rsidR="08CD5AF0" w:rsidRPr="003D1E07">
        <w:instrText xml:space="preserve"> XE "Dante, A." </w:instrText>
      </w:r>
      <w:r w:rsidR="08CD5AF0" w:rsidRPr="003D1E07">
        <w:fldChar w:fldCharType="end"/>
      </w:r>
      <w:r w:rsidR="08CD5AF0" w:rsidRPr="003D1E07">
        <w:t xml:space="preserve"> v termínu </w:t>
      </w:r>
      <w:r w:rsidR="08CD5AF0" w:rsidRPr="003D1E07">
        <w:rPr>
          <w:i/>
        </w:rPr>
        <w:t>universitas humana</w:t>
      </w:r>
      <w:r w:rsidR="08CD5AF0" w:rsidRPr="003D1E07">
        <w:rPr>
          <w:i/>
        </w:rPr>
        <w:fldChar w:fldCharType="begin"/>
      </w:r>
      <w:r w:rsidR="08CD5AF0" w:rsidRPr="003D1E07">
        <w:instrText xml:space="preserve"> XE "</w:instrText>
      </w:r>
      <w:r w:rsidR="08CD5AF0" w:rsidRPr="003D1E07">
        <w:rPr>
          <w:i/>
        </w:rPr>
        <w:instrText>universitas humana</w:instrText>
      </w:r>
      <w:r w:rsidR="08CD5AF0" w:rsidRPr="003D1E07">
        <w:instrText xml:space="preserve">" </w:instrText>
      </w:r>
      <w:r w:rsidR="08CD5AF0" w:rsidRPr="003D1E07">
        <w:rPr>
          <w:i/>
        </w:rPr>
        <w:fldChar w:fldCharType="end"/>
      </w:r>
      <w:r w:rsidR="08CD5AF0" w:rsidRPr="003D1E07">
        <w:t xml:space="preserve"> znovu najde pro latinský Západ tuto Al-Fárábím založenou jednotu lidstva skrze </w:t>
      </w:r>
      <w:r w:rsidR="002F2BAE">
        <w:t xml:space="preserve">pravdivou </w:t>
      </w:r>
      <w:r w:rsidR="08CD5AF0" w:rsidRPr="003D1E07">
        <w:t xml:space="preserve">formu </w:t>
      </w:r>
      <w:r w:rsidR="08CD5AF0" w:rsidRPr="003D1E07">
        <w:rPr>
          <w:i/>
        </w:rPr>
        <w:t>intellectus possibilis</w:t>
      </w:r>
      <w:r w:rsidR="08CD5AF0" w:rsidRPr="003D1E07">
        <w:t xml:space="preserve"> (</w:t>
      </w:r>
      <w:r w:rsidR="081E41BA" w:rsidRPr="003D1E07">
        <w:t>OBJ III, kap. 4</w:t>
      </w:r>
      <w:r w:rsidR="08CD5AF0" w:rsidRPr="003D1E07">
        <w:t xml:space="preserve">.4.3). </w:t>
      </w:r>
      <w:r w:rsidR="00422504" w:rsidRPr="003D1E07">
        <w:rPr>
          <w:rStyle w:val="Zvraznn"/>
          <w:i w:val="0"/>
        </w:rPr>
        <w:t xml:space="preserve">Tato společná schopnost </w:t>
      </w:r>
      <w:r w:rsidR="08A66ECF" w:rsidRPr="003D1E07">
        <w:rPr>
          <w:rStyle w:val="Zvraznn"/>
          <w:i w:val="0"/>
        </w:rPr>
        <w:t xml:space="preserve">lidského rodu umožňuje </w:t>
      </w:r>
      <w:r w:rsidR="00422504" w:rsidRPr="003D1E07">
        <w:rPr>
          <w:rStyle w:val="Zvraznn"/>
          <w:i w:val="0"/>
        </w:rPr>
        <w:t xml:space="preserve">recipovat inteligibilní formy </w:t>
      </w:r>
      <w:r w:rsidR="08A66ECF" w:rsidRPr="003D1E07">
        <w:rPr>
          <w:rStyle w:val="Zvraznn"/>
          <w:i w:val="0"/>
        </w:rPr>
        <w:t xml:space="preserve">a </w:t>
      </w:r>
      <w:r w:rsidR="009273FB" w:rsidRPr="003D1E07">
        <w:rPr>
          <w:rStyle w:val="Zvraznn"/>
          <w:i w:val="0"/>
        </w:rPr>
        <w:t xml:space="preserve">představuje první stupeň </w:t>
      </w:r>
      <w:r w:rsidR="089320CE" w:rsidRPr="003D1E07">
        <w:rPr>
          <w:rStyle w:val="Zvraznn"/>
          <w:i w:val="0"/>
        </w:rPr>
        <w:t xml:space="preserve">přirozeně dané </w:t>
      </w:r>
      <w:r w:rsidR="009273FB" w:rsidRPr="003D1E07">
        <w:rPr>
          <w:rStyle w:val="Zvraznn"/>
          <w:i w:val="0"/>
        </w:rPr>
        <w:t>aktualizace inteligibilních forem</w:t>
      </w:r>
      <w:r w:rsidR="00B92E57" w:rsidRPr="003D1E07">
        <w:rPr>
          <w:rStyle w:val="Zvraznn"/>
          <w:i w:val="0"/>
        </w:rPr>
        <w:t>.</w:t>
      </w:r>
      <w:r w:rsidR="008E05A2" w:rsidRPr="003D1E07">
        <w:rPr>
          <w:rStyle w:val="Zvraznn"/>
          <w:i w:val="0"/>
        </w:rPr>
        <w:t xml:space="preserve"> </w:t>
      </w:r>
      <w:r w:rsidR="08A66ECF" w:rsidRPr="003D1E07">
        <w:rPr>
          <w:rStyle w:val="Zvraznn"/>
          <w:i w:val="0"/>
        </w:rPr>
        <w:t>Tím je tematizována ve falsafě p</w:t>
      </w:r>
      <w:r w:rsidR="00DF03B6" w:rsidRPr="003D1E07">
        <w:t>řirozená lidská schopnost (</w:t>
      </w:r>
      <w:r w:rsidR="00DF03B6" w:rsidRPr="003D1E07">
        <w:rPr>
          <w:i/>
        </w:rPr>
        <w:t>fiṭra mushtarika</w:t>
      </w:r>
      <w:r w:rsidR="08F61EC6" w:rsidRPr="003D1E07">
        <w:rPr>
          <w:i/>
        </w:rPr>
        <w:fldChar w:fldCharType="begin"/>
      </w:r>
      <w:r w:rsidR="08F61EC6" w:rsidRPr="003D1E07">
        <w:instrText xml:space="preserve"> XE "</w:instrText>
      </w:r>
      <w:r w:rsidR="08F61EC6" w:rsidRPr="003D1E07">
        <w:rPr>
          <w:i/>
        </w:rPr>
        <w:instrText>fiṭra mushtarika</w:instrText>
      </w:r>
      <w:r w:rsidR="08F61EC6" w:rsidRPr="003D1E07">
        <w:instrText xml:space="preserve">" </w:instrText>
      </w:r>
      <w:r w:rsidR="08F61EC6" w:rsidRPr="003D1E07">
        <w:rPr>
          <w:i/>
        </w:rPr>
        <w:fldChar w:fldCharType="end"/>
      </w:r>
      <w:r w:rsidR="00DF03B6" w:rsidRPr="003D1E07">
        <w:t xml:space="preserve">) </w:t>
      </w:r>
      <w:r w:rsidR="08097154" w:rsidRPr="003D1E07">
        <w:t>společná pro všechny zdravé</w:t>
      </w:r>
      <w:r w:rsidR="00DF03B6" w:rsidRPr="003D1E07">
        <w:t xml:space="preserve"> lidské bytosti, </w:t>
      </w:r>
      <w:r w:rsidR="08B65995" w:rsidRPr="003D1E07">
        <w:t xml:space="preserve">které jsou </w:t>
      </w:r>
      <w:r w:rsidR="00DF03B6" w:rsidRPr="003D1E07">
        <w:t>schopné normálního užívání rozumu.</w:t>
      </w:r>
      <w:r w:rsidR="00DF03B6" w:rsidRPr="003D1E07">
        <w:rPr>
          <w:rStyle w:val="Znakapoznpodarou"/>
        </w:rPr>
        <w:footnoteReference w:id="98"/>
      </w:r>
      <w:r w:rsidR="00DF03B6" w:rsidRPr="003D1E07">
        <w:t xml:space="preserve"> Obranou termínu </w:t>
      </w:r>
      <w:r w:rsidR="00DF03B6" w:rsidRPr="003D1E07">
        <w:rPr>
          <w:i/>
        </w:rPr>
        <w:t>fiṭra</w:t>
      </w:r>
      <w:r w:rsidR="00F25AFD" w:rsidRPr="003D1E07">
        <w:t xml:space="preserve">, tedy </w:t>
      </w:r>
      <w:r w:rsidR="00DF03B6" w:rsidRPr="003D1E07">
        <w:t xml:space="preserve">přirozené </w:t>
      </w:r>
      <w:r w:rsidR="00F25AFD" w:rsidRPr="003D1E07">
        <w:t xml:space="preserve">poznávací </w:t>
      </w:r>
      <w:r w:rsidR="00DF03B6" w:rsidRPr="003D1E07">
        <w:t>vlohy</w:t>
      </w:r>
      <w:r w:rsidR="00F25AFD" w:rsidRPr="003D1E07">
        <w:t xml:space="preserve"> receptivního charakteru,</w:t>
      </w:r>
      <w:r w:rsidR="00AA2D94" w:rsidRPr="003D1E07">
        <w:t xml:space="preserve"> Al-Fá</w:t>
      </w:r>
      <w:r w:rsidR="00DF03B6" w:rsidRPr="003D1E07">
        <w:t>rábí kr</w:t>
      </w:r>
      <w:r w:rsidR="00F25AFD" w:rsidRPr="003D1E07">
        <w:t xml:space="preserve">itizuje </w:t>
      </w:r>
      <w:r w:rsidR="007E4D67" w:rsidRPr="003D1E07">
        <w:t xml:space="preserve">tehdejší </w:t>
      </w:r>
      <w:r w:rsidR="00F25AFD" w:rsidRPr="003D1E07">
        <w:t>islámské teology</w:t>
      </w:r>
      <w:r w:rsidR="08EE1558" w:rsidRPr="003D1E07">
        <w:t xml:space="preserve">. Ti </w:t>
      </w:r>
      <w:r w:rsidR="007E4D67" w:rsidRPr="003D1E07">
        <w:t>ži</w:t>
      </w:r>
      <w:r w:rsidR="08EE1558" w:rsidRPr="003D1E07">
        <w:t xml:space="preserve">li </w:t>
      </w:r>
      <w:r w:rsidR="007E4D67" w:rsidRPr="003D1E07">
        <w:t xml:space="preserve">ve věku tehdejší jedné pravdy </w:t>
      </w:r>
      <w:r w:rsidR="007E4D67" w:rsidRPr="003D1E07">
        <w:fldChar w:fldCharType="begin"/>
      </w:r>
      <w:r w:rsidR="007E4D67" w:rsidRPr="003D1E07">
        <w:instrText xml:space="preserve"> XE "teorie dvojí pravdy" </w:instrText>
      </w:r>
      <w:r w:rsidR="007E4D67" w:rsidRPr="003D1E07">
        <w:fldChar w:fldCharType="end"/>
      </w:r>
      <w:r w:rsidR="007E4D67" w:rsidRPr="003D1E07">
        <w:t>dané nikoliv Biblí</w:t>
      </w:r>
      <w:r w:rsidR="00AA2D94" w:rsidRPr="003D1E07">
        <w:t>,</w:t>
      </w:r>
      <w:r w:rsidR="007E4D67" w:rsidRPr="003D1E07">
        <w:t xml:space="preserve"> jako </w:t>
      </w:r>
      <w:r w:rsidR="00491DBC" w:rsidRPr="003D1E07">
        <w:t>to postulovalo pař</w:t>
      </w:r>
      <w:r w:rsidR="007E4D67" w:rsidRPr="003D1E07">
        <w:t>ížské odsouzení 1277</w:t>
      </w:r>
      <w:r w:rsidR="007E4D67" w:rsidRPr="003D1E07">
        <w:fldChar w:fldCharType="begin"/>
      </w:r>
      <w:r w:rsidR="007E4D67" w:rsidRPr="003D1E07">
        <w:instrText xml:space="preserve"> XE "odsouzení 1277" </w:instrText>
      </w:r>
      <w:r w:rsidR="007E4D67" w:rsidRPr="003D1E07">
        <w:fldChar w:fldCharType="end"/>
      </w:r>
      <w:r w:rsidR="007E4D67" w:rsidRPr="003D1E07">
        <w:t xml:space="preserve">, ale </w:t>
      </w:r>
      <w:r w:rsidR="08EE1558" w:rsidRPr="003D1E07">
        <w:t xml:space="preserve">postulované </w:t>
      </w:r>
      <w:r w:rsidR="007E4D67" w:rsidRPr="003D1E07">
        <w:t>Koránem</w:t>
      </w:r>
      <w:r w:rsidR="00F25AFD" w:rsidRPr="003D1E07">
        <w:t xml:space="preserve">. </w:t>
      </w:r>
      <w:r w:rsidR="08995360" w:rsidRPr="003D1E07">
        <w:t>Fundamentalističtí t</w:t>
      </w:r>
      <w:r w:rsidR="00491DBC" w:rsidRPr="003D1E07">
        <w:t xml:space="preserve">eologové </w:t>
      </w:r>
      <w:r w:rsidR="00DF03B6" w:rsidRPr="003D1E07">
        <w:t>popírali jakýkoliv význam termínu „přirozenost“</w:t>
      </w:r>
      <w:r w:rsidR="08C54DE3" w:rsidRPr="003D1E07">
        <w:t xml:space="preserve"> nebo „přirozené určení“ </w:t>
      </w:r>
      <w:r w:rsidR="00DF03B6" w:rsidRPr="003D1E07">
        <w:t>(</w:t>
      </w:r>
      <w:r w:rsidR="00DF03B6" w:rsidRPr="003D1E07">
        <w:rPr>
          <w:i/>
        </w:rPr>
        <w:t>ṭab</w:t>
      </w:r>
      <w:r w:rsidR="00DF03B6" w:rsidRPr="003D1E07">
        <w:rPr>
          <w:rFonts w:ascii="MUWO-Italic" w:hAnsi="MUWO-Italic" w:cs="MUWO-Italic"/>
          <w:i/>
        </w:rPr>
        <w:t>‘</w:t>
      </w:r>
      <w:r w:rsidR="00DF03B6" w:rsidRPr="003D1E07">
        <w:t xml:space="preserve">) ve smyslu aristotelského přechodu od potence k aktualitě, protože </w:t>
      </w:r>
      <w:r w:rsidR="08C54DE3" w:rsidRPr="003D1E07">
        <w:t>toto metafyzické určení jsoucna by omezovalo</w:t>
      </w:r>
      <w:r w:rsidR="00DF03B6" w:rsidRPr="003D1E07">
        <w:t xml:space="preserve"> boha v jeho všemohoucnosti (</w:t>
      </w:r>
      <w:r w:rsidR="08651227" w:rsidRPr="003D1E07">
        <w:t xml:space="preserve">viz </w:t>
      </w:r>
      <w:r w:rsidR="00DF03B6" w:rsidRPr="003D1E07">
        <w:t>Griffel 2012, 8). Předešlá analýza ambivalence darovaného intelektu ukázala, že lidská přirozenost</w:t>
      </w:r>
      <w:r w:rsidR="08711F01" w:rsidRPr="003D1E07">
        <w:rPr>
          <w:i/>
        </w:rPr>
        <w:fldChar w:fldCharType="begin"/>
      </w:r>
      <w:r w:rsidR="08711F01" w:rsidRPr="003D1E07">
        <w:instrText xml:space="preserve"> XE "lidská přirozenost" </w:instrText>
      </w:r>
      <w:r w:rsidR="08711F01" w:rsidRPr="003D1E07">
        <w:rPr>
          <w:i/>
        </w:rPr>
        <w:fldChar w:fldCharType="end"/>
      </w:r>
      <w:r w:rsidR="00DF03B6" w:rsidRPr="003D1E07">
        <w:t xml:space="preserve"> (</w:t>
      </w:r>
      <w:r w:rsidR="00DF03B6" w:rsidRPr="003D1E07">
        <w:rPr>
          <w:i/>
        </w:rPr>
        <w:t>fiṭra</w:t>
      </w:r>
      <w:r w:rsidR="00DF03B6" w:rsidRPr="003D1E07">
        <w:t xml:space="preserve">) se spojila s darovanou formou intelektu, jehož poznání je částečně aktualizováno ze světa nemateriálních forem. Avicenna prohloubil termín </w:t>
      </w:r>
      <w:r w:rsidR="00DF03B6" w:rsidRPr="003D1E07">
        <w:rPr>
          <w:i/>
        </w:rPr>
        <w:t>fiṭra</w:t>
      </w:r>
      <w:r w:rsidR="00DF03B6" w:rsidRPr="003D1E07">
        <w:t xml:space="preserve"> o schopnost přímého intelektuálního náhledu do středního členu sylogismu, takže rozum tvoří závěry z předpokladů téměř intuitivně a okamžitě (Hasse 1999, 34–35). </w:t>
      </w:r>
      <w:r w:rsidR="00CD0F3F" w:rsidRPr="003D1E07">
        <w:t xml:space="preserve">Lidská přirozenost je podána v duchu Aristotelovy filosofie jako schopnost přímého náhledu do prvních principů poznání. </w:t>
      </w:r>
      <w:r w:rsidR="00DF03B6" w:rsidRPr="003D1E07">
        <w:t>Avicenna drží tento přímý náhled první</w:t>
      </w:r>
      <w:r w:rsidR="08BC0475" w:rsidRPr="003D1E07">
        <w:t>ch</w:t>
      </w:r>
      <w:r w:rsidR="00DF03B6" w:rsidRPr="003D1E07">
        <w:t xml:space="preserve"> principů poznání v habituálním intelektu, který imanentně obsahuje primární </w:t>
      </w:r>
      <w:r w:rsidR="08CE434A" w:rsidRPr="003D1E07">
        <w:t xml:space="preserve">inteligibilia </w:t>
      </w:r>
      <w:r w:rsidR="08062FA1" w:rsidRPr="003D1E07">
        <w:t>(kap. 2.3</w:t>
      </w:r>
      <w:r w:rsidR="00DF03B6" w:rsidRPr="003D1E07">
        <w:t>.1). Darovaný intelekt (</w:t>
      </w:r>
      <w:r w:rsidR="00DF03B6" w:rsidRPr="003D1E07">
        <w:rPr>
          <w:i/>
        </w:rPr>
        <w:t>intellectus adeptus</w:t>
      </w:r>
      <w:r w:rsidR="00DF03B6" w:rsidRPr="003D1E07">
        <w:t xml:space="preserve">, </w:t>
      </w:r>
      <w:r w:rsidR="00DF03B6" w:rsidRPr="003D1E07">
        <w:rPr>
          <w:rStyle w:val="st"/>
          <w:bCs/>
          <w:i/>
        </w:rPr>
        <w:t>al</w:t>
      </w:r>
      <w:r w:rsidR="00DF03B6" w:rsidRPr="003D1E07">
        <w:rPr>
          <w:rStyle w:val="st"/>
          <w:i/>
        </w:rPr>
        <w:t>-</w:t>
      </w:r>
      <w:r w:rsidR="00DF03B6" w:rsidRPr="003D1E07">
        <w:rPr>
          <w:i/>
        </w:rPr>
        <w:t>'aql</w:t>
      </w:r>
      <w:r w:rsidR="00DF03B6" w:rsidRPr="003D1E07">
        <w:rPr>
          <w:rStyle w:val="st"/>
          <w:i/>
        </w:rPr>
        <w:t xml:space="preserve"> </w:t>
      </w:r>
      <w:r w:rsidR="00DF03B6" w:rsidRPr="003D1E07">
        <w:rPr>
          <w:rStyle w:val="st"/>
          <w:bCs/>
          <w:i/>
        </w:rPr>
        <w:t>al</w:t>
      </w:r>
      <w:r w:rsidR="00DF03B6" w:rsidRPr="003D1E07">
        <w:rPr>
          <w:rStyle w:val="st"/>
          <w:i/>
        </w:rPr>
        <w:t>-mustafād</w:t>
      </w:r>
      <w:r w:rsidR="00DF03B6" w:rsidRPr="003D1E07">
        <w:t xml:space="preserve">) určil přechod k novému náhledu bytí, protože se rozšířil přes koncept lidské přirozenosti na všechny lidské bytosti. Termín </w:t>
      </w:r>
      <w:r w:rsidR="00DF03B6" w:rsidRPr="003D1E07">
        <w:rPr>
          <w:i/>
        </w:rPr>
        <w:t xml:space="preserve">fiṭra </w:t>
      </w:r>
      <w:r w:rsidR="00DF03B6" w:rsidRPr="003D1E07">
        <w:t>následně dostal další význam u Al-Ghazálího</w:t>
      </w:r>
      <w:r w:rsidR="00BF6E3C" w:rsidRPr="003D1E07">
        <w:fldChar w:fldCharType="begin"/>
      </w:r>
      <w:r w:rsidR="00BF6E3C" w:rsidRPr="003D1E07">
        <w:instrText xml:space="preserve"> XE "</w:instrText>
      </w:r>
      <w:r w:rsidR="00247EF8" w:rsidRPr="003D1E07">
        <w:instrText>Al-</w:instrText>
      </w:r>
      <w:r w:rsidR="00BF6E3C" w:rsidRPr="003D1E07">
        <w:instrText xml:space="preserve">Ghazálí" </w:instrText>
      </w:r>
      <w:r w:rsidR="00BF6E3C" w:rsidRPr="003D1E07">
        <w:fldChar w:fldCharType="end"/>
      </w:r>
      <w:r w:rsidR="00DF03B6" w:rsidRPr="003D1E07">
        <w:t xml:space="preserve">. Člověk rozumově nahlédne do podstaty věcí díky přirozenému spojení s </w:t>
      </w:r>
      <w:r w:rsidR="088D38F9" w:rsidRPr="003D1E07">
        <w:t xml:space="preserve">poznávajícím </w:t>
      </w:r>
      <w:r w:rsidR="00DF03B6" w:rsidRPr="003D1E07">
        <w:t>intelektem.</w:t>
      </w:r>
      <w:r w:rsidR="00DF03B6" w:rsidRPr="003D1E07">
        <w:rPr>
          <w:rStyle w:val="Znakapoznpodarou"/>
        </w:rPr>
        <w:footnoteReference w:id="99"/>
      </w:r>
      <w:r w:rsidR="00DF03B6" w:rsidRPr="003D1E07">
        <w:rPr>
          <w:lang w:eastAsia="en-US"/>
        </w:rPr>
        <w:t xml:space="preserve"> </w:t>
      </w:r>
      <w:r w:rsidR="004B16FF">
        <w:t>Al-Ghazálí potvrdil po Druhém mistrovi p</w:t>
      </w:r>
      <w:r w:rsidR="004B16FF">
        <w:rPr>
          <w:lang w:eastAsia="en-US"/>
        </w:rPr>
        <w:t>řirozenou</w:t>
      </w:r>
      <w:r w:rsidR="004B16FF" w:rsidRPr="003D1E07">
        <w:rPr>
          <w:lang w:eastAsia="en-US"/>
        </w:rPr>
        <w:t xml:space="preserve"> </w:t>
      </w:r>
      <w:r w:rsidR="004B16FF" w:rsidRPr="003D1E07">
        <w:t xml:space="preserve">schopnost lidského intelektu </w:t>
      </w:r>
      <w:r w:rsidR="004B16FF">
        <w:t xml:space="preserve">poznávat svět, ale </w:t>
      </w:r>
      <w:r w:rsidR="007629F8" w:rsidRPr="003D1E07">
        <w:t xml:space="preserve">částečně použil moderní definici lidské přirozenosti danou od Avicenny. Ale tento brilantní teolog zásadně kritizoval </w:t>
      </w:r>
      <w:r w:rsidR="007629F8" w:rsidRPr="003D1E07">
        <w:lastRenderedPageBreak/>
        <w:t xml:space="preserve">již tehdy vládnoucí avicennismus jako zcela mylný náhled na svět a na boha (kap. 2.3.3). </w:t>
      </w:r>
      <w:r w:rsidR="00475E54">
        <w:t xml:space="preserve">. </w:t>
      </w:r>
      <w:r w:rsidR="00DA7795" w:rsidRPr="003D1E07">
        <w:t xml:space="preserve">Díky </w:t>
      </w:r>
      <w:r w:rsidR="006B2B4F" w:rsidRPr="003D1E07">
        <w:t xml:space="preserve">neoplatonské </w:t>
      </w:r>
      <w:r w:rsidR="00DA7795" w:rsidRPr="003D1E07">
        <w:t xml:space="preserve">predikaci </w:t>
      </w:r>
      <w:r w:rsidR="00DA7795" w:rsidRPr="003D1E07">
        <w:rPr>
          <w:i/>
        </w:rPr>
        <w:t>per prius</w:t>
      </w:r>
      <w:r w:rsidR="00995FC3" w:rsidRPr="003D1E07">
        <w:t xml:space="preserve"> zakládá </w:t>
      </w:r>
      <w:r w:rsidR="0051099A" w:rsidRPr="003D1E07">
        <w:t xml:space="preserve">darovaný </w:t>
      </w:r>
      <w:r w:rsidR="00995FC3" w:rsidRPr="003D1E07">
        <w:t>intelekt</w:t>
      </w:r>
      <w:r w:rsidR="006B024D" w:rsidRPr="003D1E07">
        <w:t xml:space="preserve"> </w:t>
      </w:r>
      <w:r w:rsidR="00C91F32" w:rsidRPr="003D1E07">
        <w:t xml:space="preserve">moderních </w:t>
      </w:r>
      <w:r w:rsidR="006B024D" w:rsidRPr="003D1E07">
        <w:t>iluminátů</w:t>
      </w:r>
      <w:r w:rsidR="00640BE5" w:rsidRPr="003D1E07">
        <w:fldChar w:fldCharType="begin"/>
      </w:r>
      <w:r w:rsidR="00640BE5" w:rsidRPr="003D1E07">
        <w:instrText xml:space="preserve"> XE "ilumináti" </w:instrText>
      </w:r>
      <w:r w:rsidR="00640BE5" w:rsidRPr="003D1E07">
        <w:fldChar w:fldCharType="end"/>
      </w:r>
      <w:r w:rsidR="006B024D" w:rsidRPr="003D1E07">
        <w:t xml:space="preserve"> falsafy </w:t>
      </w:r>
      <w:r w:rsidR="00E5220B" w:rsidRPr="003D1E07">
        <w:t xml:space="preserve">novou </w:t>
      </w:r>
      <w:r w:rsidR="00DA7795" w:rsidRPr="003D1E07">
        <w:t xml:space="preserve">jednotu </w:t>
      </w:r>
      <w:r w:rsidR="00323519" w:rsidRPr="003D1E07">
        <w:t>jsoucího</w:t>
      </w:r>
      <w:r w:rsidR="08F91E64" w:rsidRPr="003D1E07">
        <w:t xml:space="preserve"> a</w:t>
      </w:r>
      <w:r w:rsidR="08DC01AB" w:rsidRPr="003D1E07">
        <w:t xml:space="preserve"> </w:t>
      </w:r>
      <w:r w:rsidR="08F91E64" w:rsidRPr="003D1E07">
        <w:t>novou jednotu lidského rodu</w:t>
      </w:r>
      <w:r w:rsidR="00AA367E" w:rsidRPr="003D1E07">
        <w:t>.</w:t>
      </w:r>
    </w:p>
    <w:p w14:paraId="4E647C94" w14:textId="6FFDE56E" w:rsidR="00AD1941" w:rsidRPr="003D1E07" w:rsidRDefault="080F3F36" w:rsidP="001F4949">
      <w:pPr>
        <w:ind w:firstLine="397"/>
      </w:pPr>
      <w:r w:rsidRPr="003D1E07">
        <w:rPr>
          <w:szCs w:val="24"/>
        </w:rPr>
        <w:t>P</w:t>
      </w:r>
      <w:r w:rsidRPr="003D1E07">
        <w:t xml:space="preserve">ůsobení Al-Farábího zakládá </w:t>
      </w:r>
      <w:r w:rsidRPr="003D1E07">
        <w:rPr>
          <w:i/>
        </w:rPr>
        <w:t>Lichtung</w:t>
      </w:r>
      <w:r w:rsidRPr="003D1E07">
        <w:rPr>
          <w:i/>
        </w:rPr>
        <w:fldChar w:fldCharType="begin"/>
      </w:r>
      <w:r w:rsidRPr="003D1E07">
        <w:instrText xml:space="preserve"> XE "</w:instrText>
      </w:r>
      <w:r w:rsidRPr="003D1E07">
        <w:rPr>
          <w:i/>
        </w:rPr>
        <w:instrText>Lichtung</w:instrText>
      </w:r>
      <w:r w:rsidRPr="003D1E07">
        <w:instrText xml:space="preserve">:humanismus" </w:instrText>
      </w:r>
      <w:r w:rsidRPr="003D1E07">
        <w:rPr>
          <w:i/>
        </w:rPr>
        <w:fldChar w:fldCharType="end"/>
      </w:r>
      <w:r w:rsidRPr="003D1E07">
        <w:t xml:space="preserve"> moderního určení člověka v jeho múzické a tragické dějinnosti dané původním děním pravdy a nepravdy.</w:t>
      </w:r>
      <w:r w:rsidR="001B625D">
        <w:t xml:space="preserve"> </w:t>
      </w:r>
      <w:r w:rsidR="00B83899" w:rsidRPr="00B83899">
        <w:t xml:space="preserve">Tato </w:t>
      </w:r>
      <w:r w:rsidR="00B83899">
        <w:rPr>
          <w:i/>
        </w:rPr>
        <w:t>a/lé</w:t>
      </w:r>
      <w:r w:rsidR="00B83899" w:rsidRPr="00B83899">
        <w:rPr>
          <w:i/>
        </w:rPr>
        <w:t>theia</w:t>
      </w:r>
      <w:r w:rsidR="00B83899" w:rsidRPr="00B83899">
        <w:t xml:space="preserve"> určuje počátek západního humanismu</w:t>
      </w:r>
      <w:r w:rsidR="001B625D">
        <w:fldChar w:fldCharType="begin"/>
      </w:r>
      <w:r w:rsidR="001B625D">
        <w:instrText xml:space="preserve"> XE "</w:instrText>
      </w:r>
      <w:r w:rsidR="001B625D" w:rsidRPr="009B7142">
        <w:instrText>humanismus</w:instrText>
      </w:r>
      <w:r w:rsidR="001B625D">
        <w:instrText xml:space="preserve">" </w:instrText>
      </w:r>
      <w:r w:rsidR="001B625D">
        <w:fldChar w:fldCharType="end"/>
      </w:r>
      <w:r w:rsidR="00B83899" w:rsidRPr="00B83899">
        <w:t xml:space="preserve"> v jeho </w:t>
      </w:r>
      <w:r w:rsidR="00B83899">
        <w:t xml:space="preserve">odkrytosti </w:t>
      </w:r>
      <w:r w:rsidR="00B83899" w:rsidRPr="00B83899">
        <w:t xml:space="preserve">(Albert, Siger, Dante, Ockham). </w:t>
      </w:r>
      <w:r w:rsidR="00B83899">
        <w:t xml:space="preserve">První zakrytost </w:t>
      </w:r>
      <w:r w:rsidR="00B83899" w:rsidRPr="00B83899">
        <w:t>tohoto původního arist</w:t>
      </w:r>
      <w:r w:rsidR="00B83899">
        <w:t xml:space="preserve">otelského humanismu </w:t>
      </w:r>
      <w:r w:rsidR="001B625D">
        <w:t xml:space="preserve">ukazuje semi averroismus v rámci prvního averroismu </w:t>
      </w:r>
      <w:r w:rsidR="00B83899" w:rsidRPr="00B83899">
        <w:t xml:space="preserve">(Tomáš Akvinský). Úplnou </w:t>
      </w:r>
      <w:r w:rsidR="001B625D">
        <w:t>zakrytost (</w:t>
      </w:r>
      <w:r w:rsidR="001B625D" w:rsidRPr="001B625D">
        <w:rPr>
          <w:i/>
        </w:rPr>
        <w:t>léthe</w:t>
      </w:r>
      <w:r w:rsidR="001B625D">
        <w:t xml:space="preserve">) </w:t>
      </w:r>
      <w:r w:rsidR="00B83899" w:rsidRPr="00B83899">
        <w:t>klasického humanismu lze nalézt v nihilistické a schizoidní podobě modernity (</w:t>
      </w:r>
      <w:r w:rsidR="00B83899" w:rsidRPr="001B625D">
        <w:rPr>
          <w:i/>
        </w:rPr>
        <w:t>via Modernorum</w:t>
      </w:r>
      <w:r w:rsidR="00B83899" w:rsidRPr="00B83899">
        <w:t xml:space="preserve">). </w:t>
      </w:r>
      <w:r w:rsidR="08C704C5" w:rsidRPr="003D1E07">
        <w:t>Pravda osoby</w:t>
      </w:r>
      <w:r w:rsidR="08F91E64" w:rsidRPr="003D1E07">
        <w:t xml:space="preserve"> ve smyslu její</w:t>
      </w:r>
      <w:r w:rsidR="08C469EC" w:rsidRPr="003D1E07">
        <w:t xml:space="preserve"> jednoty jako první substance je</w:t>
      </w:r>
      <w:r w:rsidR="08F91E64" w:rsidRPr="003D1E07">
        <w:t xml:space="preserve"> dána </w:t>
      </w:r>
      <w:r w:rsidR="08E05659" w:rsidRPr="003D1E07">
        <w:t xml:space="preserve">v klasickém aristotelismu </w:t>
      </w:r>
      <w:r w:rsidR="0825552E" w:rsidRPr="003D1E07">
        <w:t xml:space="preserve">Západu </w:t>
      </w:r>
      <w:r w:rsidR="08E05659" w:rsidRPr="003D1E07">
        <w:t xml:space="preserve">skrze určení </w:t>
      </w:r>
      <w:r w:rsidR="00F214C5" w:rsidRPr="00B16E8D">
        <w:rPr>
          <w:i/>
        </w:rPr>
        <w:t>species</w:t>
      </w:r>
      <w:r w:rsidR="08F91E64" w:rsidRPr="003D1E07">
        <w:rPr>
          <w:i/>
        </w:rPr>
        <w:t xml:space="preserve"> humana</w:t>
      </w:r>
      <w:r w:rsidR="08F91E64" w:rsidRPr="003D1E07">
        <w:t>, kdy je přirozená jednota lidstva determinovaná ari</w:t>
      </w:r>
      <w:r w:rsidR="08905B26" w:rsidRPr="003D1E07">
        <w:t xml:space="preserve">stotelskou formou </w:t>
      </w:r>
      <w:r w:rsidR="08905B26" w:rsidRPr="003D1E07">
        <w:rPr>
          <w:i/>
        </w:rPr>
        <w:t>intel</w:t>
      </w:r>
      <w:r w:rsidR="08F91E64" w:rsidRPr="003D1E07">
        <w:rPr>
          <w:i/>
        </w:rPr>
        <w:t>l</w:t>
      </w:r>
      <w:r w:rsidR="08905B26" w:rsidRPr="003D1E07">
        <w:rPr>
          <w:i/>
        </w:rPr>
        <w:t>e</w:t>
      </w:r>
      <w:r w:rsidR="08F91E64" w:rsidRPr="003D1E07">
        <w:rPr>
          <w:i/>
        </w:rPr>
        <w:t>ctus possibilis</w:t>
      </w:r>
      <w:r w:rsidR="08AE371A" w:rsidRPr="003D1E07">
        <w:t xml:space="preserve"> zavedenou Averroesem</w:t>
      </w:r>
      <w:r w:rsidR="08C469EC" w:rsidRPr="003D1E07">
        <w:t xml:space="preserve"> v linii Druhého mistra</w:t>
      </w:r>
      <w:r w:rsidR="08905B26" w:rsidRPr="003D1E07">
        <w:t xml:space="preserve">. </w:t>
      </w:r>
      <w:r w:rsidR="08F91E64" w:rsidRPr="003D1E07">
        <w:t>N</w:t>
      </w:r>
      <w:r w:rsidR="08905B26" w:rsidRPr="003D1E07">
        <w:t>epravda moderního subjektu je d</w:t>
      </w:r>
      <w:r w:rsidR="08F91E64" w:rsidRPr="003D1E07">
        <w:t xml:space="preserve">ána skrze </w:t>
      </w:r>
      <w:r w:rsidR="08905B26" w:rsidRPr="003D1E07">
        <w:t xml:space="preserve">specifickou jednotu </w:t>
      </w:r>
      <w:r w:rsidR="082171C7" w:rsidRPr="003D1E07">
        <w:t xml:space="preserve">lidstva skrze </w:t>
      </w:r>
      <w:r w:rsidR="082171C7" w:rsidRPr="003D1E07">
        <w:rPr>
          <w:i/>
        </w:rPr>
        <w:t>int</w:t>
      </w:r>
      <w:r w:rsidR="08905B26" w:rsidRPr="003D1E07">
        <w:rPr>
          <w:i/>
        </w:rPr>
        <w:t>e</w:t>
      </w:r>
      <w:r w:rsidR="082171C7" w:rsidRPr="003D1E07">
        <w:rPr>
          <w:i/>
        </w:rPr>
        <w:t>l</w:t>
      </w:r>
      <w:r w:rsidR="08905B26" w:rsidRPr="003D1E07">
        <w:rPr>
          <w:i/>
        </w:rPr>
        <w:t>l</w:t>
      </w:r>
      <w:r w:rsidR="082171C7" w:rsidRPr="003D1E07">
        <w:rPr>
          <w:i/>
        </w:rPr>
        <w:t>e</w:t>
      </w:r>
      <w:r w:rsidR="08905B26" w:rsidRPr="003D1E07">
        <w:rPr>
          <w:i/>
        </w:rPr>
        <w:t>ctus adeptus</w:t>
      </w:r>
      <w:r w:rsidR="08905B26" w:rsidRPr="003D1E07">
        <w:t xml:space="preserve">, kterou do </w:t>
      </w:r>
      <w:r w:rsidR="08746DD6" w:rsidRPr="003D1E07">
        <w:t xml:space="preserve">lidské </w:t>
      </w:r>
      <w:r w:rsidR="08905B26" w:rsidRPr="003D1E07">
        <w:t>přirozenosti zavedl</w:t>
      </w:r>
      <w:r w:rsidR="08746DD6" w:rsidRPr="003D1E07">
        <w:t>i</w:t>
      </w:r>
      <w:r w:rsidR="08905B26" w:rsidRPr="003D1E07">
        <w:t xml:space="preserve"> </w:t>
      </w:r>
      <w:r w:rsidR="08746DD6" w:rsidRPr="003D1E07">
        <w:t xml:space="preserve">Alfarabius a </w:t>
      </w:r>
      <w:r w:rsidR="08905B26" w:rsidRPr="003D1E07">
        <w:t>Avicenn</w:t>
      </w:r>
      <w:r w:rsidR="082171C7" w:rsidRPr="003D1E07">
        <w:t>a</w:t>
      </w:r>
      <w:r w:rsidR="0825552E" w:rsidRPr="003D1E07">
        <w:t xml:space="preserve">. </w:t>
      </w:r>
      <w:r w:rsidR="08905B26" w:rsidRPr="003D1E07">
        <w:t xml:space="preserve">Osoba se </w:t>
      </w:r>
      <w:r w:rsidR="006B190F">
        <w:t>v moderně změnila</w:t>
      </w:r>
      <w:r w:rsidR="08905B26" w:rsidRPr="003D1E07">
        <w:t xml:space="preserve"> na subjekt jako jsou</w:t>
      </w:r>
      <w:r w:rsidR="082171C7" w:rsidRPr="003D1E07">
        <w:t>c</w:t>
      </w:r>
      <w:r w:rsidR="08905B26" w:rsidRPr="003D1E07">
        <w:t xml:space="preserve">no třetího druhu, které díky intelektu </w:t>
      </w:r>
      <w:r w:rsidR="082171C7" w:rsidRPr="003D1E07">
        <w:t>aktualiz</w:t>
      </w:r>
      <w:r w:rsidR="08905B26" w:rsidRPr="003D1E07">
        <w:t>ovaného zh</w:t>
      </w:r>
      <w:r w:rsidR="0802426F" w:rsidRPr="003D1E07">
        <w:t xml:space="preserve">ůry funguje jako schizofrenické </w:t>
      </w:r>
      <w:r w:rsidR="0802426F" w:rsidRPr="003D1E07">
        <w:rPr>
          <w:i/>
        </w:rPr>
        <w:t>subiectum</w:t>
      </w:r>
      <w:r w:rsidR="0802426F" w:rsidRPr="003D1E07">
        <w:t xml:space="preserve"> </w:t>
      </w:r>
      <w:r w:rsidR="086E52F9" w:rsidRPr="003D1E07">
        <w:t>(</w:t>
      </w:r>
      <w:r w:rsidR="086E52F9" w:rsidRPr="003D1E07">
        <w:rPr>
          <w:rStyle w:val="greek"/>
        </w:rPr>
        <w:t>ὑποκείμενον</w:t>
      </w:r>
      <w:r w:rsidR="086E52F9" w:rsidRPr="003D1E07">
        <w:t xml:space="preserve">) </w:t>
      </w:r>
      <w:r w:rsidR="0802426F" w:rsidRPr="003D1E07">
        <w:t>rozštěpené</w:t>
      </w:r>
      <w:r w:rsidR="08905B26" w:rsidRPr="003D1E07">
        <w:t xml:space="preserve"> na několik aktuálních substancí a hypostází</w:t>
      </w:r>
      <w:r w:rsidR="081C3607" w:rsidRPr="003D1E07">
        <w:t xml:space="preserve">. Tyto neexistující jsoucna třetího druhu pak </w:t>
      </w:r>
      <w:r w:rsidR="00A3106C">
        <w:t xml:space="preserve">Západ </w:t>
      </w:r>
      <w:r w:rsidR="08FD2B78" w:rsidRPr="003D1E07">
        <w:t xml:space="preserve">statečně </w:t>
      </w:r>
      <w:r w:rsidR="082C1D0B" w:rsidRPr="003D1E07">
        <w:t xml:space="preserve">nese </w:t>
      </w:r>
      <w:r w:rsidR="083C44A7" w:rsidRPr="003D1E07">
        <w:t xml:space="preserve">na svých bedrech </w:t>
      </w:r>
      <w:r w:rsidR="08FD2B78" w:rsidRPr="003D1E07">
        <w:t xml:space="preserve">(ὑπόκειται) </w:t>
      </w:r>
      <w:r w:rsidR="00A3106C">
        <w:t>v modu moderní dějinné nutnosti</w:t>
      </w:r>
      <w:r w:rsidR="009F0A01">
        <w:t xml:space="preserve">. Tato subjektivní forma řecké božské síly Ananké </w:t>
      </w:r>
      <w:r w:rsidR="00A3106C">
        <w:t xml:space="preserve">vznikla skrze </w:t>
      </w:r>
      <w:r w:rsidR="082C1D0B" w:rsidRPr="003D1E07">
        <w:t xml:space="preserve">epochální </w:t>
      </w:r>
      <w:r w:rsidR="00A3106C">
        <w:t>bloudění kritického myšlení (</w:t>
      </w:r>
      <w:r w:rsidR="082C1D0B" w:rsidRPr="003D1E07">
        <w:rPr>
          <w:i/>
        </w:rPr>
        <w:t>Irre</w:t>
      </w:r>
      <w:r w:rsidR="00A3106C">
        <w:t xml:space="preserve">) </w:t>
      </w:r>
      <w:r w:rsidR="003C10E7" w:rsidRPr="003D1E07">
        <w:t xml:space="preserve">v modernistické </w:t>
      </w:r>
      <w:r w:rsidR="08BE5204" w:rsidRPr="003D1E07">
        <w:t>falsafě</w:t>
      </w:r>
      <w:r w:rsidR="082C1D0B" w:rsidRPr="003D1E07">
        <w:t>.</w:t>
      </w:r>
      <w:r w:rsidR="08905B26" w:rsidRPr="003D1E07">
        <w:t xml:space="preserve"> </w:t>
      </w:r>
      <w:r w:rsidR="08823822" w:rsidRPr="003D1E07">
        <w:t xml:space="preserve">Siger, Dante a další aristotelští magistři v Paříži marně bránili </w:t>
      </w:r>
      <w:r w:rsidR="08403DA8" w:rsidRPr="003D1E07">
        <w:t xml:space="preserve">pravdivou </w:t>
      </w:r>
      <w:r w:rsidR="08823822" w:rsidRPr="003D1E07">
        <w:t>podobu humanismu</w:t>
      </w:r>
      <w:r w:rsidR="08D07939" w:rsidRPr="003D1E07">
        <w:t xml:space="preserve"> jednotné osoby</w:t>
      </w:r>
      <w:r w:rsidR="08FC6825" w:rsidRPr="003D1E07">
        <w:t>. V</w:t>
      </w:r>
      <w:r w:rsidR="08823822" w:rsidRPr="003D1E07">
        <w:t xml:space="preserve">ítězní modernisté prosadili </w:t>
      </w:r>
      <w:r w:rsidR="08D07939" w:rsidRPr="003D1E07">
        <w:t xml:space="preserve">na latinském Západě </w:t>
      </w:r>
      <w:r w:rsidR="08BE0D1C" w:rsidRPr="003D1E07">
        <w:t>linii</w:t>
      </w:r>
      <w:r w:rsidR="08D07939" w:rsidRPr="003D1E07">
        <w:t xml:space="preserve"> </w:t>
      </w:r>
      <w:r w:rsidR="08FA3D35" w:rsidRPr="003D1E07">
        <w:t xml:space="preserve">současného nihilistického </w:t>
      </w:r>
      <w:r w:rsidR="08D07939" w:rsidRPr="003D1E07">
        <w:t>anti-humanismu</w:t>
      </w:r>
      <w:r w:rsidR="08175028" w:rsidRPr="003D1E07">
        <w:t>, v něm</w:t>
      </w:r>
      <w:r w:rsidR="08D07939" w:rsidRPr="003D1E07">
        <w:t xml:space="preserve">ž </w:t>
      </w:r>
      <w:r w:rsidR="084645DB" w:rsidRPr="003D1E07">
        <w:t xml:space="preserve">subjekt </w:t>
      </w:r>
      <w:r w:rsidR="08D07939" w:rsidRPr="003D1E07">
        <w:t xml:space="preserve">funguje </w:t>
      </w:r>
      <w:r w:rsidR="08823822" w:rsidRPr="003D1E07">
        <w:t xml:space="preserve">jako </w:t>
      </w:r>
      <w:r w:rsidR="08D07939" w:rsidRPr="003D1E07">
        <w:t xml:space="preserve">sofistické </w:t>
      </w:r>
      <w:r w:rsidR="08A40D30" w:rsidRPr="003D1E07">
        <w:t xml:space="preserve">simulákrum. </w:t>
      </w:r>
      <w:r w:rsidR="08181F46" w:rsidRPr="003D1E07">
        <w:t xml:space="preserve">Druhý mistr </w:t>
      </w:r>
      <w:r w:rsidR="08A40D30" w:rsidRPr="003D1E07">
        <w:t xml:space="preserve">v modu autentického humanismu </w:t>
      </w:r>
      <w:r w:rsidR="00AD1941" w:rsidRPr="003D1E07">
        <w:t xml:space="preserve">ukazuje, jak se lidský </w:t>
      </w:r>
      <w:r w:rsidR="00AD1941" w:rsidRPr="003D1E07">
        <w:rPr>
          <w:i/>
        </w:rPr>
        <w:t>intellectus adeptus</w:t>
      </w:r>
      <w:r w:rsidR="00AD1941" w:rsidRPr="003D1E07">
        <w:t xml:space="preserve"> přibližuje k oddělenému kosmickému </w:t>
      </w:r>
      <w:r w:rsidR="00AD1941" w:rsidRPr="003D1E07">
        <w:rPr>
          <w:i/>
        </w:rPr>
        <w:t>intellectus agens</w:t>
      </w:r>
      <w:r w:rsidR="00DF1F0F" w:rsidRPr="003D1E07">
        <w:rPr>
          <w:i/>
        </w:rPr>
        <w:fldChar w:fldCharType="begin"/>
      </w:r>
      <w:r w:rsidR="00DF1F0F" w:rsidRPr="003D1E07">
        <w:instrText xml:space="preserve"> XE "</w:instrText>
      </w:r>
      <w:r w:rsidR="00DF1F0F" w:rsidRPr="003D1E07">
        <w:rPr>
          <w:i/>
        </w:rPr>
        <w:instrText>intellectus agens:</w:instrText>
      </w:r>
      <w:r w:rsidR="00DF1F0F" w:rsidRPr="003D1E07">
        <w:instrText xml:space="preserve">neoplatonismus" </w:instrText>
      </w:r>
      <w:r w:rsidR="00DF1F0F" w:rsidRPr="003D1E07">
        <w:rPr>
          <w:i/>
        </w:rPr>
        <w:fldChar w:fldCharType="end"/>
      </w:r>
      <w:r w:rsidR="00AD1941" w:rsidRPr="003D1E07">
        <w:t xml:space="preserve"> a jak dochází k aktualizaci poznání v člověku.</w:t>
      </w:r>
    </w:p>
    <w:p w14:paraId="000C0DEA" w14:textId="31B61288" w:rsidR="00AD1941" w:rsidRPr="003D1E07" w:rsidRDefault="00AD1941" w:rsidP="00AD1941">
      <w:pPr>
        <w:pStyle w:val="Citace"/>
        <w:rPr>
          <w:rStyle w:val="Zkladntextdkovn0pt"/>
          <w:rFonts w:ascii="Calibri" w:eastAsia="Times" w:hAnsi="Calibri" w:cs="Times New Roman"/>
          <w:spacing w:val="0"/>
          <w:sz w:val="22"/>
          <w:u w:val="none"/>
          <w:lang w:val="cs-CZ"/>
        </w:rPr>
      </w:pPr>
      <w:r w:rsidRPr="003D1E07">
        <w:rPr>
          <w:rStyle w:val="Zkladntextdkovn0pt"/>
          <w:rFonts w:ascii="Calibri" w:eastAsia="Times" w:hAnsi="Calibri" w:cs="Times New Roman"/>
          <w:spacing w:val="0"/>
          <w:sz w:val="22"/>
          <w:u w:val="none"/>
          <w:lang w:val="cs-CZ"/>
        </w:rPr>
        <w:t xml:space="preserve">„Poté co činný intelekt předá formy materii, snaží se je spojit </w:t>
      </w:r>
      <w:r w:rsidR="002C7C48">
        <w:rPr>
          <w:rStyle w:val="Zkladntextdkovn0pt"/>
          <w:rFonts w:ascii="Calibri" w:eastAsia="Times" w:hAnsi="Calibri" w:cs="Times New Roman"/>
          <w:spacing w:val="0"/>
          <w:sz w:val="22"/>
          <w:u w:val="none"/>
          <w:lang w:val="cs-CZ"/>
        </w:rPr>
        <w:t xml:space="preserve">také tím, že </w:t>
      </w:r>
      <w:r w:rsidRPr="003D1E07">
        <w:rPr>
          <w:rStyle w:val="Zkladntextdkovn0pt"/>
          <w:rFonts w:ascii="Calibri" w:eastAsia="Times" w:hAnsi="Calibri" w:cs="Times New Roman"/>
          <w:spacing w:val="0"/>
          <w:sz w:val="22"/>
          <w:u w:val="none"/>
          <w:lang w:val="cs-CZ"/>
        </w:rPr>
        <w:t xml:space="preserve">to, co je odděleno, dává </w:t>
      </w:r>
      <w:r w:rsidR="002C7C48">
        <w:rPr>
          <w:rStyle w:val="Zkladntextdkovn0pt"/>
          <w:rFonts w:ascii="Calibri" w:eastAsia="Times" w:hAnsi="Calibri" w:cs="Times New Roman"/>
          <w:spacing w:val="0"/>
          <w:sz w:val="22"/>
          <w:u w:val="none"/>
          <w:lang w:val="cs-CZ"/>
        </w:rPr>
        <w:t>do jednoty.</w:t>
      </w:r>
      <w:r w:rsidRPr="003D1E07">
        <w:rPr>
          <w:rStyle w:val="Zkladntextdkovn0pt"/>
          <w:rFonts w:ascii="Calibri" w:eastAsia="Times" w:hAnsi="Calibri" w:cs="Times New Roman"/>
          <w:spacing w:val="0"/>
          <w:sz w:val="22"/>
          <w:u w:val="none"/>
          <w:lang w:val="cs-CZ"/>
        </w:rPr>
        <w:t xml:space="preserve"> Činný intelekt přichází k přijatému intelektu, v němž je obsažena lidská podstata, aby člověk stál co nejblíže činnému intelektu. V tomto spojení spočívá největší štěstí člověka, nebeská blaženost</w:t>
      </w:r>
      <w:r w:rsidR="007D49DE" w:rsidRPr="003D1E07">
        <w:rPr>
          <w:rStyle w:val="Zkladntextdkovn0pt"/>
          <w:rFonts w:ascii="Calibri" w:eastAsia="Times" w:hAnsi="Calibri" w:cs="Times New Roman"/>
          <w:spacing w:val="0"/>
          <w:sz w:val="22"/>
          <w:u w:val="none"/>
          <w:lang w:val="cs-CZ"/>
        </w:rPr>
        <w:t xml:space="preserve"> (</w:t>
      </w:r>
      <w:r w:rsidR="007D49DE" w:rsidRPr="003D1E07">
        <w:rPr>
          <w:rStyle w:val="Zkladntextdkovn0pt"/>
          <w:rFonts w:ascii="Calibri" w:eastAsia="Times" w:hAnsi="Calibri" w:cs="Times New Roman"/>
          <w:i/>
          <w:spacing w:val="0"/>
          <w:sz w:val="22"/>
          <w:u w:val="none"/>
          <w:lang w:val="cs-CZ"/>
        </w:rPr>
        <w:t>hic est finis ultimus</w:t>
      </w:r>
      <w:r w:rsidR="007D49DE" w:rsidRPr="003D1E07">
        <w:rPr>
          <w:rStyle w:val="Zkladntextdkovn0pt"/>
          <w:rFonts w:ascii="Calibri" w:eastAsia="Times" w:hAnsi="Calibri" w:cs="Times New Roman"/>
          <w:spacing w:val="0"/>
          <w:sz w:val="22"/>
          <w:u w:val="none"/>
          <w:lang w:val="cs-CZ"/>
        </w:rPr>
        <w:t>)</w:t>
      </w:r>
      <w:r w:rsidRPr="003D1E07">
        <w:rPr>
          <w:rStyle w:val="Zkladntextdkovn0pt"/>
          <w:rFonts w:ascii="Calibri" w:eastAsia="Times" w:hAnsi="Calibri" w:cs="Times New Roman"/>
          <w:spacing w:val="0"/>
          <w:sz w:val="22"/>
          <w:u w:val="none"/>
          <w:lang w:val="cs-CZ"/>
        </w:rPr>
        <w:t xml:space="preserve">. Tím je dosažena nejvyšší dokonalost a završeno to nejvyšší, co je dáno v lidské přirozenosti </w:t>
      </w:r>
      <w:r w:rsidRPr="003D1E07">
        <w:rPr>
          <w:rStyle w:val="slostrnky"/>
          <w:lang w:val="cs-CZ"/>
        </w:rPr>
        <w:t>(</w:t>
      </w:r>
      <w:r w:rsidRPr="003D1E07">
        <w:rPr>
          <w:i/>
          <w:szCs w:val="24"/>
          <w:lang w:val="cs-CZ"/>
        </w:rPr>
        <w:t>acquiritur perfeccio eius ultima</w:t>
      </w:r>
      <w:r w:rsidRPr="003D1E07">
        <w:rPr>
          <w:szCs w:val="24"/>
          <w:lang w:val="cs-CZ"/>
        </w:rPr>
        <w:t>).</w:t>
      </w:r>
      <w:r w:rsidRPr="003D1E07">
        <w:rPr>
          <w:rStyle w:val="slostrnky"/>
          <w:lang w:val="cs-CZ"/>
        </w:rPr>
        <w:t>“ </w:t>
      </w:r>
      <w:r w:rsidRPr="003D1E07">
        <w:rPr>
          <w:rStyle w:val="Znakapoznpodarou"/>
          <w:lang w:val="cs-CZ"/>
        </w:rPr>
        <w:footnoteReference w:id="100"/>
      </w:r>
    </w:p>
    <w:p w14:paraId="697E7CCF" w14:textId="77777777" w:rsidR="00AA2D94" w:rsidRPr="003D1E07" w:rsidRDefault="00AD1941" w:rsidP="00AA2D94">
      <w:r w:rsidRPr="003D1E07">
        <w:lastRenderedPageBreak/>
        <w:t xml:space="preserve">Všichni myslitelé pozdní antiky a falsafy se shodují v tom, že setkání vyšších forem </w:t>
      </w:r>
      <w:r w:rsidR="080848D6" w:rsidRPr="003D1E07">
        <w:t xml:space="preserve">lidského </w:t>
      </w:r>
      <w:r w:rsidRPr="003D1E07">
        <w:t xml:space="preserve">intelektu </w:t>
      </w:r>
      <w:r w:rsidR="080848D6" w:rsidRPr="003D1E07">
        <w:t xml:space="preserve">s oddělenými kosmickými formami </w:t>
      </w:r>
      <w:r w:rsidRPr="003D1E07">
        <w:t>představuje vrchol lidské blaženosti. Al</w:t>
      </w:r>
      <w:r w:rsidRPr="003D1E07">
        <w:noBreakHyphen/>
      </w:r>
      <w:r w:rsidR="00AA2D94" w:rsidRPr="003D1E07">
        <w:t>Fá</w:t>
      </w:r>
      <w:r w:rsidRPr="003D1E07">
        <w:t>rábí citátem o konjunkci obou intelektů zakládá dějinnou figuru západního intelektuála</w:t>
      </w:r>
      <w:r w:rsidR="006E050C" w:rsidRPr="003D1E07">
        <w:t xml:space="preserve"> </w:t>
      </w:r>
      <w:r w:rsidR="00B44F02" w:rsidRPr="003D1E07">
        <w:t>a fil</w:t>
      </w:r>
      <w:r w:rsidR="0081166B" w:rsidRPr="003D1E07">
        <w:t>os</w:t>
      </w:r>
      <w:r w:rsidR="00B44F02" w:rsidRPr="003D1E07">
        <w:t xml:space="preserve">ofickou jednotu lidské komunity </w:t>
      </w:r>
      <w:r w:rsidR="00890000" w:rsidRPr="003D1E07">
        <w:t xml:space="preserve">o </w:t>
      </w:r>
      <w:r w:rsidR="006E050C" w:rsidRPr="003D1E07">
        <w:t xml:space="preserve">tři století </w:t>
      </w:r>
      <w:r w:rsidR="00890000" w:rsidRPr="003D1E07">
        <w:t xml:space="preserve">dříve, než byly latinské </w:t>
      </w:r>
      <w:r w:rsidRPr="003D1E07">
        <w:t xml:space="preserve">spory </w:t>
      </w:r>
      <w:r w:rsidR="00890000" w:rsidRPr="003D1E07">
        <w:t xml:space="preserve">v Paříži v letech </w:t>
      </w:r>
      <w:r w:rsidRPr="003D1E07">
        <w:t>1270‒77.</w:t>
      </w:r>
      <w:r w:rsidR="00914E73" w:rsidRPr="003D1E07">
        <w:t xml:space="preserve"> </w:t>
      </w:r>
      <w:r w:rsidR="08F55621" w:rsidRPr="003D1E07">
        <w:t>V bagdádské studovně zvané Dům moudrosti</w:t>
      </w:r>
      <w:r w:rsidR="00AA2D94" w:rsidRPr="003D1E07">
        <w:t xml:space="preserve"> (</w:t>
      </w:r>
      <w:r w:rsidR="00AA2D94" w:rsidRPr="003D1E07">
        <w:rPr>
          <w:i/>
        </w:rPr>
        <w:t>Bajt al-Hikma</w:t>
      </w:r>
      <w:r w:rsidR="00AA2D94" w:rsidRPr="003D1E07">
        <w:rPr>
          <w:i/>
        </w:rPr>
        <w:fldChar w:fldCharType="begin"/>
      </w:r>
      <w:r w:rsidR="00AA2D94" w:rsidRPr="003D1E07">
        <w:instrText xml:space="preserve"> XE "</w:instrText>
      </w:r>
      <w:r w:rsidR="00AA2D94" w:rsidRPr="003D1E07">
        <w:rPr>
          <w:i/>
        </w:rPr>
        <w:instrText>Bajt al-Hikma</w:instrText>
      </w:r>
      <w:r w:rsidR="00AA2D94" w:rsidRPr="003D1E07">
        <w:instrText xml:space="preserve">" </w:instrText>
      </w:r>
      <w:r w:rsidR="00AA2D94" w:rsidRPr="003D1E07">
        <w:rPr>
          <w:i/>
        </w:rPr>
        <w:fldChar w:fldCharType="end"/>
      </w:r>
      <w:r w:rsidR="00AA2D94" w:rsidRPr="003D1E07">
        <w:t>) se pořádala pravidelná setkání intelektuálů všech směrů a vyznání. To dokazuje svědectví jednoho pohoršeného muslima ze Španělska někdy na sklonku 10. století. Vyznavač Koránu</w:t>
      </w:r>
      <w:r w:rsidR="00AA2D94" w:rsidRPr="003D1E07">
        <w:fldChar w:fldCharType="begin"/>
      </w:r>
      <w:r w:rsidR="00AA2D94" w:rsidRPr="003D1E07">
        <w:instrText xml:space="preserve"> XE "Korán" </w:instrText>
      </w:r>
      <w:r w:rsidR="00AA2D94" w:rsidRPr="003D1E07">
        <w:fldChar w:fldCharType="end"/>
      </w:r>
      <w:r w:rsidR="00AA2D94" w:rsidRPr="003D1E07">
        <w:t xml:space="preserve"> potkal v Bagdádu příslušníky různých náboženství při společné intelektuální práci, která vypadala následovně.</w:t>
      </w:r>
    </w:p>
    <w:p w14:paraId="3486F0E3" w14:textId="77777777" w:rsidR="00AA2D94" w:rsidRPr="003D1E07" w:rsidRDefault="00AA2D94" w:rsidP="00AA2D94">
      <w:pPr>
        <w:pStyle w:val="Citace"/>
        <w:rPr>
          <w:noProof/>
          <w:lang w:val="cs-CZ"/>
        </w:rPr>
      </w:pPr>
      <w:r w:rsidRPr="003D1E07">
        <w:rPr>
          <w:noProof/>
          <w:lang w:val="cs-CZ"/>
        </w:rPr>
        <w:t>„Sál byl brzy plný lidí. Jakmile se naplnil, vzal si jeden z nich slovo a řekl toto: 'Shromáždili jsme se zde proto, abychom uvažovali. Všichni znáte pravidla. Vy muslimové nebudete přinášet žádné důkazy, které jsou vzaty z posvátné Knihy, a nebudete se opírat ani o slova Prorokova. Tady nebereme ani jedno ani druhé. Každý se musí dovolávat pouze těch argumentů, které platí na základě rozumu.'“ </w:t>
      </w:r>
      <w:r w:rsidRPr="003D1E07">
        <w:rPr>
          <w:rStyle w:val="Znakapoznpodarou"/>
          <w:noProof/>
          <w:lang w:val="cs-CZ"/>
        </w:rPr>
        <w:footnoteReference w:id="101"/>
      </w:r>
      <w:r w:rsidRPr="003D1E07">
        <w:rPr>
          <w:noProof/>
          <w:lang w:val="cs-CZ"/>
        </w:rPr>
        <w:t xml:space="preserve"> </w:t>
      </w:r>
    </w:p>
    <w:p w14:paraId="37D3F3DB" w14:textId="61C7B9CF" w:rsidR="08383153" w:rsidRPr="003D1E07" w:rsidRDefault="008A17D4" w:rsidP="00B81C30">
      <w:r>
        <w:t xml:space="preserve">Význam tohoto tvrzení </w:t>
      </w:r>
      <w:r w:rsidR="004403C5" w:rsidRPr="003D1E07">
        <w:t>je třeba spojit s předešlým tvrzením o společné receptivní přirozenosti dané všem lidem</w:t>
      </w:r>
      <w:r w:rsidR="08CF16BF" w:rsidRPr="003D1E07">
        <w:t xml:space="preserve"> skrze </w:t>
      </w:r>
      <w:r w:rsidR="08CF16BF" w:rsidRPr="003D1E07">
        <w:rPr>
          <w:i/>
        </w:rPr>
        <w:t>intellectus in potencia</w:t>
      </w:r>
      <w:r w:rsidR="007D1536">
        <w:t xml:space="preserve">. </w:t>
      </w:r>
      <w:r w:rsidR="004403C5" w:rsidRPr="003D1E07">
        <w:t xml:space="preserve">Pak máme všichni stejnou možnost tento jeden cíl </w:t>
      </w:r>
      <w:r w:rsidR="0882499B" w:rsidRPr="003D1E07">
        <w:t xml:space="preserve">lidstva </w:t>
      </w:r>
      <w:r w:rsidR="004403C5" w:rsidRPr="003D1E07">
        <w:t xml:space="preserve">poznávat, ale každý na svůj vlastní receptivní způsob a podle individuální formy rozumového osvícení. </w:t>
      </w:r>
      <w:r w:rsidR="0021296F" w:rsidRPr="003D1E07">
        <w:t>Nové pojetí možného a darovaného intelektu dostalo epochální určení také proto, že bylo navázáno na nově pojatou lidskou přirozenost</w:t>
      </w:r>
      <w:r w:rsidR="005B7199" w:rsidRPr="003D1E07">
        <w:t xml:space="preserve"> definovanou </w:t>
      </w:r>
      <w:r w:rsidR="0882499B" w:rsidRPr="003D1E07">
        <w:t xml:space="preserve">striktně </w:t>
      </w:r>
      <w:r w:rsidR="005B7199" w:rsidRPr="003D1E07">
        <w:t>filosoficky, tedy v rámci receptivní složky intelektu</w:t>
      </w:r>
      <w:r w:rsidR="0021296F" w:rsidRPr="003D1E07">
        <w:t>. Nová forma intelektu určila základ</w:t>
      </w:r>
      <w:r w:rsidR="00054DD1">
        <w:t>ní scénu zjevování bytí jsoucna</w:t>
      </w:r>
      <w:r w:rsidR="0021296F" w:rsidRPr="003D1E07">
        <w:t xml:space="preserve">, v níž se manifestuje nový subjekt metafyziky. </w:t>
      </w:r>
      <w:r w:rsidR="0841012B" w:rsidRPr="003D1E07">
        <w:t xml:space="preserve">První věda v podání </w:t>
      </w:r>
      <w:r w:rsidR="0021296F" w:rsidRPr="003D1E07">
        <w:t xml:space="preserve">Druhého mistra </w:t>
      </w:r>
      <w:r w:rsidR="08277826" w:rsidRPr="003D1E07">
        <w:t xml:space="preserve">zakládá </w:t>
      </w:r>
      <w:r w:rsidR="0021296F" w:rsidRPr="003D1E07">
        <w:t>druhý začátek metafyziky</w:t>
      </w:r>
      <w:r w:rsidR="0021296F" w:rsidRPr="003D1E07">
        <w:fldChar w:fldCharType="begin"/>
      </w:r>
      <w:r w:rsidR="0021296F" w:rsidRPr="003D1E07">
        <w:instrText xml:space="preserve"> XE "metafyzika:druhý začátek" </w:instrText>
      </w:r>
      <w:r w:rsidR="0021296F" w:rsidRPr="003D1E07">
        <w:fldChar w:fldCharType="end"/>
      </w:r>
      <w:r w:rsidR="0021296F" w:rsidRPr="003D1E07">
        <w:t>, který je nyní dán do Avicennovy filosofie.</w:t>
      </w:r>
      <w:r w:rsidR="0021296F" w:rsidRPr="003D1E07">
        <w:rPr>
          <w:rStyle w:val="Znakapoznpodarou"/>
        </w:rPr>
        <w:footnoteReference w:id="102"/>
      </w:r>
      <w:r w:rsidR="0021296F" w:rsidRPr="003D1E07">
        <w:t xml:space="preserve"> Hermeneutika ukázala, že tento počátek je dán přímo v myšlení Druhého mistra, které určilo další vývoj falsafy a latinského Západu. Původní </w:t>
      </w:r>
      <w:r w:rsidR="0021296F" w:rsidRPr="003D1E07">
        <w:rPr>
          <w:i/>
        </w:rPr>
        <w:lastRenderedPageBreak/>
        <w:t>Lichtung</w:t>
      </w:r>
      <w:r w:rsidR="0021296F" w:rsidRPr="003D1E07">
        <w:t xml:space="preserve"> objektivní formy metafyziky vzniklo dávno před Scotem a před latinskou verzí </w:t>
      </w:r>
      <w:r w:rsidR="0021296F" w:rsidRPr="003D1E07">
        <w:rPr>
          <w:i/>
        </w:rPr>
        <w:t>via moderna</w:t>
      </w:r>
      <w:r w:rsidR="0021296F" w:rsidRPr="003D1E07">
        <w:t>, kterou založila Avicennova filosofie.</w:t>
      </w:r>
      <w:r w:rsidR="00AC50C5" w:rsidRPr="003D1E07">
        <w:t xml:space="preserve"> </w:t>
      </w:r>
      <w:r w:rsidR="00AC50C5" w:rsidRPr="003D1E07">
        <w:rPr>
          <w:rStyle w:val="Zvraznn"/>
          <w:i w:val="0"/>
        </w:rPr>
        <w:t xml:space="preserve">Al-Fárábího </w:t>
      </w:r>
      <w:r w:rsidR="00BB2FEF" w:rsidRPr="003D1E07">
        <w:rPr>
          <w:i/>
        </w:rPr>
        <w:t>intellectus adeptus</w:t>
      </w:r>
      <w:r w:rsidR="00BB2FEF" w:rsidRPr="003D1E07">
        <w:rPr>
          <w:rStyle w:val="Zvraznn"/>
          <w:i w:val="0"/>
        </w:rPr>
        <w:t xml:space="preserve"> má </w:t>
      </w:r>
      <w:r w:rsidR="00AC50C5" w:rsidRPr="003D1E07">
        <w:rPr>
          <w:rStyle w:val="Zvraznn"/>
          <w:i w:val="0"/>
        </w:rPr>
        <w:t xml:space="preserve">hypostázovanou </w:t>
      </w:r>
      <w:r w:rsidR="00BB2FEF" w:rsidRPr="003D1E07">
        <w:rPr>
          <w:rStyle w:val="Zvraznn"/>
          <w:i w:val="0"/>
        </w:rPr>
        <w:t>schopnost aktualizovat již poznané obsahy dané na úrovni první abstrakce</w:t>
      </w:r>
      <w:r w:rsidR="00AC50C5" w:rsidRPr="003D1E07">
        <w:rPr>
          <w:rStyle w:val="Zvraznn"/>
          <w:i w:val="0"/>
        </w:rPr>
        <w:t xml:space="preserve">. Navíc je tento intelekt schopen </w:t>
      </w:r>
      <w:r w:rsidR="00BB2FEF" w:rsidRPr="003D1E07">
        <w:rPr>
          <w:rStyle w:val="Zvraznn"/>
          <w:i w:val="0"/>
        </w:rPr>
        <w:t>extrah</w:t>
      </w:r>
      <w:r w:rsidR="00AC50C5" w:rsidRPr="003D1E07">
        <w:rPr>
          <w:rStyle w:val="Zvraznn"/>
          <w:i w:val="0"/>
        </w:rPr>
        <w:t xml:space="preserve">ovat </w:t>
      </w:r>
      <w:r w:rsidR="00BB2FEF" w:rsidRPr="003D1E07">
        <w:rPr>
          <w:rStyle w:val="Zvraznn"/>
          <w:i w:val="0"/>
        </w:rPr>
        <w:t xml:space="preserve">původní </w:t>
      </w:r>
      <w:r w:rsidR="00AC50C5" w:rsidRPr="003D1E07">
        <w:rPr>
          <w:rStyle w:val="Zvraznn"/>
          <w:i w:val="0"/>
        </w:rPr>
        <w:t>hypostatické formy</w:t>
      </w:r>
      <w:r w:rsidR="08D520FA" w:rsidRPr="003D1E07">
        <w:rPr>
          <w:rStyle w:val="Zvraznn"/>
          <w:i w:val="0"/>
        </w:rPr>
        <w:t xml:space="preserve"> skrze nasvícení </w:t>
      </w:r>
      <w:r w:rsidR="00070D8C" w:rsidRPr="003D1E07">
        <w:rPr>
          <w:rStyle w:val="Zvraznn"/>
          <w:i w:val="0"/>
        </w:rPr>
        <w:t xml:space="preserve">poznání </w:t>
      </w:r>
      <w:r w:rsidR="00AC50C5" w:rsidRPr="003D1E07">
        <w:rPr>
          <w:rStyle w:val="Zvraznn"/>
          <w:i w:val="0"/>
        </w:rPr>
        <w:t xml:space="preserve">zezadu, </w:t>
      </w:r>
      <w:r w:rsidR="08D520FA" w:rsidRPr="003D1E07">
        <w:rPr>
          <w:rStyle w:val="Zvraznn"/>
          <w:i w:val="0"/>
        </w:rPr>
        <w:t xml:space="preserve">od odděleného kosmického </w:t>
      </w:r>
      <w:r w:rsidR="08D520FA" w:rsidRPr="003D1E07">
        <w:rPr>
          <w:rStyle w:val="Zvraznn"/>
        </w:rPr>
        <w:t>intellectus agens</w:t>
      </w:r>
      <w:r w:rsidR="00BB2FEF" w:rsidRPr="003D1E07">
        <w:rPr>
          <w:rStyle w:val="Zvraznn"/>
          <w:i w:val="0"/>
        </w:rPr>
        <w:t xml:space="preserve">. </w:t>
      </w:r>
      <w:r w:rsidR="00840B30" w:rsidRPr="003D1E07">
        <w:rPr>
          <w:rStyle w:val="Zvraznn"/>
          <w:i w:val="0"/>
        </w:rPr>
        <w:t>V</w:t>
      </w:r>
      <w:r w:rsidR="00BB2FEF" w:rsidRPr="003D1E07">
        <w:t xml:space="preserve">ýkon abstrakce je dán na úrovni přijetí čistě nemateriálních forem emanovaných z aktivního </w:t>
      </w:r>
      <w:r w:rsidR="089B469B" w:rsidRPr="003D1E07">
        <w:t xml:space="preserve">kosmického </w:t>
      </w:r>
      <w:r w:rsidR="00BB2FEF" w:rsidRPr="003D1E07">
        <w:t>inte</w:t>
      </w:r>
      <w:r w:rsidR="081B56EE" w:rsidRPr="003D1E07">
        <w:t>le</w:t>
      </w:r>
      <w:r w:rsidR="00BB2FEF" w:rsidRPr="003D1E07">
        <w:t xml:space="preserve">ktu do individuálního přijatého intelektu daného v lidské duši. </w:t>
      </w:r>
      <w:r w:rsidR="00C806D8" w:rsidRPr="003D1E07">
        <w:t>Židovská a křesťanská mystika</w:t>
      </w:r>
      <w:r w:rsidR="00C806D8" w:rsidRPr="003D1E07">
        <w:fldChar w:fldCharType="begin"/>
      </w:r>
      <w:r w:rsidR="00C806D8" w:rsidRPr="003D1E07">
        <w:instrText xml:space="preserve"> XE "</w:instrText>
      </w:r>
      <w:r w:rsidR="00C806D8" w:rsidRPr="003D1E07">
        <w:rPr>
          <w:lang w:eastAsia="en-US"/>
        </w:rPr>
        <w:instrText>mystika</w:instrText>
      </w:r>
      <w:r w:rsidR="00C806D8" w:rsidRPr="003D1E07">
        <w:instrText xml:space="preserve">" </w:instrText>
      </w:r>
      <w:r w:rsidR="00C806D8" w:rsidRPr="003D1E07">
        <w:fldChar w:fldCharType="end"/>
      </w:r>
      <w:r w:rsidR="00C806D8" w:rsidRPr="003D1E07">
        <w:t xml:space="preserve"> toto spojení lidského a kosmického intelektu recipuje skrze Avicennovo </w:t>
      </w:r>
      <w:r w:rsidR="08164975" w:rsidRPr="003D1E07">
        <w:rPr>
          <w:i/>
        </w:rPr>
        <w:t>coni</w:t>
      </w:r>
      <w:r w:rsidR="00C806D8" w:rsidRPr="003D1E07">
        <w:rPr>
          <w:i/>
        </w:rPr>
        <w:t>unctio</w:t>
      </w:r>
      <w:r w:rsidR="00C806D8" w:rsidRPr="003D1E07">
        <w:t xml:space="preserve"> (</w:t>
      </w:r>
      <w:r w:rsidR="00C806D8" w:rsidRPr="003D1E07">
        <w:rPr>
          <w:i/>
        </w:rPr>
        <w:t>ittiṣāl</w:t>
      </w:r>
      <w:r w:rsidR="00C806D8" w:rsidRPr="003D1E07">
        <w:rPr>
          <w:i/>
        </w:rPr>
        <w:fldChar w:fldCharType="begin"/>
      </w:r>
      <w:r w:rsidR="00C806D8" w:rsidRPr="003D1E07">
        <w:instrText xml:space="preserve"> XE "</w:instrText>
      </w:r>
      <w:r w:rsidR="00C806D8" w:rsidRPr="003D1E07">
        <w:rPr>
          <w:i/>
        </w:rPr>
        <w:instrText>ittiṣāl</w:instrText>
      </w:r>
      <w:r w:rsidR="00C806D8" w:rsidRPr="003D1E07">
        <w:instrText xml:space="preserve">" </w:instrText>
      </w:r>
      <w:r w:rsidR="00C806D8" w:rsidRPr="003D1E07">
        <w:rPr>
          <w:i/>
        </w:rPr>
        <w:fldChar w:fldCharType="end"/>
      </w:r>
      <w:r w:rsidR="00C806D8" w:rsidRPr="003D1E07">
        <w:rPr>
          <w:i/>
        </w:rPr>
        <w:t>, ittiḥād</w:t>
      </w:r>
      <w:r w:rsidR="00C806D8" w:rsidRPr="003D1E07">
        <w:t xml:space="preserve">). </w:t>
      </w:r>
      <w:r w:rsidR="001C0C1B" w:rsidRPr="003D1E07">
        <w:t>Al-Fá</w:t>
      </w:r>
      <w:r w:rsidR="00BB2FEF" w:rsidRPr="003D1E07">
        <w:t xml:space="preserve">rábí </w:t>
      </w:r>
      <w:r w:rsidR="089B469B" w:rsidRPr="003D1E07">
        <w:t>otevřel Západu filosofickou možnost této mystické konjunkce</w:t>
      </w:r>
      <w:r w:rsidR="00BB2FEF" w:rsidRPr="003D1E07">
        <w:t>. Jeho schéma poznání je možné vyloži</w:t>
      </w:r>
      <w:r w:rsidR="001C0C1B" w:rsidRPr="003D1E07">
        <w:t>t jak aristotelsky, tak neoplato</w:t>
      </w:r>
      <w:r w:rsidR="00BB2FEF" w:rsidRPr="003D1E07">
        <w:t xml:space="preserve">nsky. </w:t>
      </w:r>
      <w:r w:rsidR="001C0C1B" w:rsidRPr="003D1E07">
        <w:t>První možnost završí Averroe</w:t>
      </w:r>
      <w:r w:rsidR="00AD1941" w:rsidRPr="003D1E07">
        <w:t xml:space="preserve">s a druhou Avicenna. Z první formy </w:t>
      </w:r>
      <w:r w:rsidR="0033185E">
        <w:t xml:space="preserve">poznání určeného </w:t>
      </w:r>
      <w:r w:rsidR="08D25719" w:rsidRPr="003D1E07">
        <w:t xml:space="preserve">skrze aristotelský </w:t>
      </w:r>
      <w:r w:rsidR="08D25719" w:rsidRPr="003D1E07">
        <w:rPr>
          <w:i/>
        </w:rPr>
        <w:t>intellectus possibilis</w:t>
      </w:r>
      <w:r w:rsidR="08D25719" w:rsidRPr="003D1E07">
        <w:t xml:space="preserve"> </w:t>
      </w:r>
      <w:r w:rsidR="00AD1941" w:rsidRPr="003D1E07">
        <w:t>vznikne figura západního intelektuála</w:t>
      </w:r>
      <w:r w:rsidR="00C31342">
        <w:t>, jehož povoláním je kritické myšlení</w:t>
      </w:r>
      <w:r w:rsidR="08D25719" w:rsidRPr="003D1E07">
        <w:t xml:space="preserve">. Návaznost na Druhého mistra jde </w:t>
      </w:r>
      <w:r w:rsidR="00AD1941" w:rsidRPr="003D1E07">
        <w:t>skrze aristotelské myšlení Sigera z Brabantu a skrze Danteho politickou filosofii</w:t>
      </w:r>
      <w:r w:rsidR="082B71D1" w:rsidRPr="003D1E07">
        <w:rPr>
          <w:i/>
        </w:rPr>
        <w:fldChar w:fldCharType="begin"/>
      </w:r>
      <w:r w:rsidR="082B71D1" w:rsidRPr="003D1E07">
        <w:instrText xml:space="preserve"> XE "humanismus:Al-Fárábí" </w:instrText>
      </w:r>
      <w:r w:rsidR="082B71D1" w:rsidRPr="003D1E07">
        <w:rPr>
          <w:i/>
        </w:rPr>
        <w:fldChar w:fldCharType="end"/>
      </w:r>
      <w:r w:rsidR="00AD1941" w:rsidRPr="003D1E07">
        <w:t xml:space="preserve">. Druhá forma mystického spojení </w:t>
      </w:r>
      <w:r w:rsidR="0008106F">
        <w:t xml:space="preserve">se světem je dána </w:t>
      </w:r>
      <w:r w:rsidR="00AD1941" w:rsidRPr="003D1E07">
        <w:t xml:space="preserve">přímým nazíráním noemat </w:t>
      </w:r>
      <w:r w:rsidR="083D1103" w:rsidRPr="003D1E07">
        <w:t xml:space="preserve">skrze osvícený </w:t>
      </w:r>
      <w:r w:rsidR="083D1103" w:rsidRPr="003D1E07">
        <w:rPr>
          <w:i/>
        </w:rPr>
        <w:t>intellectus adeptus</w:t>
      </w:r>
      <w:r w:rsidR="0008106F">
        <w:t xml:space="preserve">. Toto vidění světa </w:t>
      </w:r>
      <w:r w:rsidR="00AD1941" w:rsidRPr="003D1E07">
        <w:t>založí figuru objektivního moderního ilumináta typu Rufuse z Cornwallu, Kilwardbyho, Bonaventury a po nich postmoderního Descarta</w:t>
      </w:r>
      <w:r w:rsidR="006E6202" w:rsidRPr="003D1E07">
        <w:fldChar w:fldCharType="begin"/>
      </w:r>
      <w:r w:rsidR="006E6202" w:rsidRPr="003D1E07">
        <w:instrText xml:space="preserve"> XE "</w:instrText>
      </w:r>
      <w:r w:rsidR="006E6202" w:rsidRPr="003D1E07">
        <w:rPr>
          <w:rStyle w:val="addmd"/>
        </w:rPr>
        <w:instrText>Descartes, R.</w:instrText>
      </w:r>
      <w:r w:rsidR="006E6202" w:rsidRPr="003D1E07">
        <w:instrText xml:space="preserve">" </w:instrText>
      </w:r>
      <w:r w:rsidR="006E6202" w:rsidRPr="003D1E07">
        <w:fldChar w:fldCharType="end"/>
      </w:r>
      <w:r w:rsidR="00AD1941" w:rsidRPr="003D1E07">
        <w:t>, Leibnize a Husserla</w:t>
      </w:r>
      <w:r w:rsidR="00E75B24" w:rsidRPr="003D1E07">
        <w:fldChar w:fldCharType="begin"/>
      </w:r>
      <w:r w:rsidR="00E75B24" w:rsidRPr="003D1E07">
        <w:instrText xml:space="preserve"> XE "Husserl, E." </w:instrText>
      </w:r>
      <w:r w:rsidR="00E75B24" w:rsidRPr="003D1E07">
        <w:fldChar w:fldCharType="end"/>
      </w:r>
      <w:r w:rsidR="00AD1941" w:rsidRPr="003D1E07">
        <w:t>.</w:t>
      </w:r>
      <w:r w:rsidR="00E66399" w:rsidRPr="003D1E07">
        <w:t xml:space="preserve"> </w:t>
      </w:r>
      <w:r w:rsidR="00AB70A8" w:rsidRPr="003D1E07">
        <w:t>R</w:t>
      </w:r>
      <w:r w:rsidR="00747D60" w:rsidRPr="003D1E07">
        <w:t>ozlišení me</w:t>
      </w:r>
      <w:r w:rsidR="00B818FF" w:rsidRPr="003D1E07">
        <w:t>zi oběma dr</w:t>
      </w:r>
      <w:r w:rsidR="08F527FF" w:rsidRPr="003D1E07">
        <w:t>uhy abstrakce založilo spor o averroismus daný</w:t>
      </w:r>
      <w:r w:rsidR="004C15BE" w:rsidRPr="003D1E07">
        <w:t xml:space="preserve"> mezi školou prvního a druhého averroismu</w:t>
      </w:r>
      <w:r w:rsidR="00747D60" w:rsidRPr="003D1E07">
        <w:t>.</w:t>
      </w:r>
      <w:r w:rsidR="00C669FA" w:rsidRPr="003D1E07">
        <w:t xml:space="preserve"> </w:t>
      </w:r>
      <w:r w:rsidR="00745B87" w:rsidRPr="003D1E07">
        <w:t xml:space="preserve">Grossetesteho výklad </w:t>
      </w:r>
      <w:r w:rsidR="00745B87" w:rsidRPr="003D1E07">
        <w:rPr>
          <w:i/>
        </w:rPr>
        <w:t>Druhých analytik</w:t>
      </w:r>
      <w:r w:rsidR="00745B87" w:rsidRPr="003D1E07">
        <w:t xml:space="preserve"> </w:t>
      </w:r>
      <w:r w:rsidR="08C15B3C" w:rsidRPr="003D1E07">
        <w:t xml:space="preserve">psaný </w:t>
      </w:r>
      <w:r w:rsidR="08190CBA" w:rsidRPr="003D1E07">
        <w:t xml:space="preserve">někdy roku </w:t>
      </w:r>
      <w:r w:rsidR="08C15B3C" w:rsidRPr="003D1E07">
        <w:t xml:space="preserve">1230 </w:t>
      </w:r>
      <w:r w:rsidR="00745B87" w:rsidRPr="003D1E07">
        <w:t>postaví tohoto oxfordského učen</w:t>
      </w:r>
      <w:r w:rsidR="08C15B3C" w:rsidRPr="003D1E07">
        <w:t xml:space="preserve">ce do role latinského </w:t>
      </w:r>
      <w:r w:rsidR="00745B87" w:rsidRPr="003D1E07">
        <w:rPr>
          <w:i/>
        </w:rPr>
        <w:t>Abunaserus redivivus</w:t>
      </w:r>
      <w:r w:rsidR="00745B87" w:rsidRPr="003D1E07">
        <w:t xml:space="preserve"> (</w:t>
      </w:r>
      <w:r w:rsidR="081E41BA" w:rsidRPr="003D1E07">
        <w:t>OBJ II, kap. 3</w:t>
      </w:r>
      <w:r w:rsidR="00745B87" w:rsidRPr="003D1E07">
        <w:t xml:space="preserve">.1.1). </w:t>
      </w:r>
      <w:r w:rsidR="00747D60" w:rsidRPr="003D1E07">
        <w:t xml:space="preserve">V prostředí epochálně změněného </w:t>
      </w:r>
      <w:r w:rsidR="00747D60" w:rsidRPr="003D1E07">
        <w:rPr>
          <w:i/>
        </w:rPr>
        <w:t>Lichtung</w:t>
      </w:r>
      <w:r w:rsidR="00287372" w:rsidRPr="003D1E07">
        <w:rPr>
          <w:i/>
        </w:rPr>
        <w:fldChar w:fldCharType="begin"/>
      </w:r>
      <w:r w:rsidR="00287372" w:rsidRPr="003D1E07">
        <w:instrText xml:space="preserve"> XE "</w:instrText>
      </w:r>
      <w:r w:rsidR="00287372" w:rsidRPr="003D1E07">
        <w:rPr>
          <w:i/>
        </w:rPr>
        <w:instrText>Lichtung:</w:instrText>
      </w:r>
      <w:r w:rsidR="00287372" w:rsidRPr="003D1E07">
        <w:instrText xml:space="preserve">falsafa" </w:instrText>
      </w:r>
      <w:r w:rsidR="00287372" w:rsidRPr="003D1E07">
        <w:rPr>
          <w:i/>
        </w:rPr>
        <w:fldChar w:fldCharType="end"/>
      </w:r>
      <w:r w:rsidR="00747D60" w:rsidRPr="003D1E07">
        <w:t xml:space="preserve"> se </w:t>
      </w:r>
      <w:r w:rsidR="00215BDD" w:rsidRPr="003D1E07">
        <w:t xml:space="preserve">aristotelské </w:t>
      </w:r>
      <w:r w:rsidR="00747D60" w:rsidRPr="003D1E07">
        <w:t>jsoucno jeví v nové formě</w:t>
      </w:r>
      <w:r w:rsidR="08C15B3C" w:rsidRPr="003D1E07">
        <w:t xml:space="preserve"> </w:t>
      </w:r>
      <w:r w:rsidR="00215BDD" w:rsidRPr="003D1E07">
        <w:t>metafyzické po-</w:t>
      </w:r>
      <w:r w:rsidR="00747D60" w:rsidRPr="003D1E07">
        <w:t>odkrytosti</w:t>
      </w:r>
      <w:r w:rsidR="00215BDD" w:rsidRPr="003D1E07">
        <w:t xml:space="preserve"> (</w:t>
      </w:r>
      <w:r w:rsidR="00215BDD" w:rsidRPr="003D1E07">
        <w:rPr>
          <w:i/>
        </w:rPr>
        <w:t>a/létheia</w:t>
      </w:r>
      <w:r w:rsidR="00215BDD" w:rsidRPr="003D1E07">
        <w:t>)</w:t>
      </w:r>
      <w:r w:rsidR="00747D60" w:rsidRPr="003D1E07">
        <w:t xml:space="preserve">, protože je nazíráno dvěma odlišnými způsoby náhledu. Buď je zjevnost jsoucího </w:t>
      </w:r>
      <w:r w:rsidR="00381421" w:rsidRPr="003D1E07">
        <w:t>dána tím, že jsoucno nasvíceno zezadu</w:t>
      </w:r>
      <w:r w:rsidR="00747D60" w:rsidRPr="003D1E07">
        <w:t xml:space="preserve">, tj. od intelektu darovaného ze světa čistých nemateriálních forem existujících </w:t>
      </w:r>
      <w:r w:rsidR="00747D60" w:rsidRPr="003D1E07">
        <w:rPr>
          <w:i/>
        </w:rPr>
        <w:t>per se</w:t>
      </w:r>
      <w:r w:rsidR="00747D60" w:rsidRPr="003D1E07">
        <w:t xml:space="preserve">. Nebo je jsoucno nasvíceno </w:t>
      </w:r>
      <w:r w:rsidR="00381421" w:rsidRPr="003D1E07">
        <w:t>zepředu</w:t>
      </w:r>
      <w:r w:rsidR="00747D60" w:rsidRPr="003D1E07">
        <w:t>, tj. směrem od materiální substance</w:t>
      </w:r>
      <w:r w:rsidR="00A70FA4" w:rsidRPr="003D1E07">
        <w:fldChar w:fldCharType="begin"/>
      </w:r>
      <w:r w:rsidR="00A70FA4" w:rsidRPr="003D1E07">
        <w:instrText xml:space="preserve"> XE "substance</w:instrText>
      </w:r>
      <w:r w:rsidR="00AF0359" w:rsidRPr="003D1E07">
        <w:instrText>:hylemorfická</w:instrText>
      </w:r>
      <w:r w:rsidR="00A70FA4" w:rsidRPr="003D1E07">
        <w:instrText xml:space="preserve">" </w:instrText>
      </w:r>
      <w:r w:rsidR="00A70FA4" w:rsidRPr="003D1E07">
        <w:fldChar w:fldCharType="end"/>
      </w:r>
      <w:r w:rsidR="00747D60" w:rsidRPr="003D1E07">
        <w:t xml:space="preserve">. Její aktuální existence </w:t>
      </w:r>
      <w:r w:rsidR="00381421" w:rsidRPr="003D1E07">
        <w:t xml:space="preserve">ve smyslově vnímané realitě </w:t>
      </w:r>
      <w:r w:rsidR="00747D60" w:rsidRPr="003D1E07">
        <w:t xml:space="preserve">umožňuje </w:t>
      </w:r>
      <w:r w:rsidR="005304B5" w:rsidRPr="003D1E07">
        <w:t xml:space="preserve">receptivnímu </w:t>
      </w:r>
      <w:r w:rsidR="00747D60" w:rsidRPr="003D1E07">
        <w:t>intelektu (</w:t>
      </w:r>
      <w:r w:rsidR="00747D60" w:rsidRPr="003D1E07">
        <w:rPr>
          <w:i/>
        </w:rPr>
        <w:t>intellectus possibilis</w:t>
      </w:r>
      <w:r w:rsidR="009D323B" w:rsidRPr="003D1E07">
        <w:rPr>
          <w:i/>
        </w:rPr>
        <w:fldChar w:fldCharType="begin"/>
      </w:r>
      <w:r w:rsidR="009D323B" w:rsidRPr="003D1E07">
        <w:instrText xml:space="preserve"> XE "</w:instrText>
      </w:r>
      <w:r w:rsidR="009D323B" w:rsidRPr="003D1E07">
        <w:rPr>
          <w:i/>
        </w:rPr>
        <w:instrText>intellectus possibilis</w:instrText>
      </w:r>
      <w:r w:rsidR="00287372" w:rsidRPr="003D1E07">
        <w:instrText>:Al-</w:instrText>
      </w:r>
      <w:r w:rsidR="008E02F5" w:rsidRPr="003D1E07">
        <w:instrText>Fárábí</w:instrText>
      </w:r>
      <w:r w:rsidR="009D323B" w:rsidRPr="003D1E07">
        <w:instrText xml:space="preserve">" </w:instrText>
      </w:r>
      <w:r w:rsidR="009D323B" w:rsidRPr="003D1E07">
        <w:rPr>
          <w:i/>
        </w:rPr>
        <w:fldChar w:fldCharType="end"/>
      </w:r>
      <w:r w:rsidR="005304B5" w:rsidRPr="003D1E07">
        <w:t>), aby abstrahoval</w:t>
      </w:r>
      <w:r w:rsidR="00747D60" w:rsidRPr="003D1E07">
        <w:t xml:space="preserve"> konceptuální formy</w:t>
      </w:r>
      <w:r w:rsidR="088E4624" w:rsidRPr="003D1E07">
        <w:t xml:space="preserve"> ze smyslově vnímaných věcí</w:t>
      </w:r>
      <w:r w:rsidR="00747D60" w:rsidRPr="003D1E07">
        <w:t xml:space="preserve">. Chápeme-li aktualizaci abstrakce pouze od reálně existující věci vnímané smysly, pak dostaneme univerzální koncept jako poznanou formu reálné věci </w:t>
      </w:r>
      <w:r w:rsidR="004C2E0F" w:rsidRPr="003D1E07">
        <w:t xml:space="preserve">skrze hylický intelekt </w:t>
      </w:r>
      <w:r w:rsidR="00747D60" w:rsidRPr="003D1E07">
        <w:t>(</w:t>
      </w:r>
      <w:r w:rsidR="005D6970" w:rsidRPr="003D1E07">
        <w:t xml:space="preserve">částečně </w:t>
      </w:r>
      <w:r w:rsidR="00747D60" w:rsidRPr="003D1E07">
        <w:t>Alexander Afrodisias</w:t>
      </w:r>
      <w:r w:rsidR="00571550" w:rsidRPr="003D1E07">
        <w:fldChar w:fldCharType="begin"/>
      </w:r>
      <w:r w:rsidR="00571550" w:rsidRPr="003D1E07">
        <w:instrText xml:space="preserve"> XE "Alexander Afrodisias" </w:instrText>
      </w:r>
      <w:r w:rsidR="00571550" w:rsidRPr="003D1E07">
        <w:fldChar w:fldCharType="end"/>
      </w:r>
      <w:r w:rsidR="00747D60" w:rsidRPr="003D1E07">
        <w:t xml:space="preserve">, </w:t>
      </w:r>
      <w:r w:rsidR="003378FD" w:rsidRPr="003D1E07">
        <w:t xml:space="preserve">plně </w:t>
      </w:r>
      <w:r w:rsidR="002E3B62" w:rsidRPr="003D1E07">
        <w:t>Averroes</w:t>
      </w:r>
      <w:r w:rsidR="00747D60" w:rsidRPr="003D1E07">
        <w:t xml:space="preserve">). Nebo vztáhneme predikaci </w:t>
      </w:r>
      <w:r w:rsidR="00747D60" w:rsidRPr="003D1E07">
        <w:rPr>
          <w:i/>
        </w:rPr>
        <w:t>per prius</w:t>
      </w:r>
      <w:r w:rsidR="00747D60" w:rsidRPr="003D1E07">
        <w:t xml:space="preserve"> k té části výše uvedeného citátu, která popisuje </w:t>
      </w:r>
      <w:r w:rsidR="08557006" w:rsidRPr="003D1E07">
        <w:t xml:space="preserve">poznání </w:t>
      </w:r>
      <w:r w:rsidR="00747D60" w:rsidRPr="003D1E07">
        <w:t>odděle</w:t>
      </w:r>
      <w:r w:rsidR="086F71E2" w:rsidRPr="003D1E07">
        <w:t xml:space="preserve">ného </w:t>
      </w:r>
      <w:r w:rsidR="08190732" w:rsidRPr="003D1E07">
        <w:t xml:space="preserve">eidetického </w:t>
      </w:r>
      <w:r w:rsidR="086F71E2" w:rsidRPr="003D1E07">
        <w:t>substrátu</w:t>
      </w:r>
      <w:r w:rsidR="00747D60" w:rsidRPr="003D1E07">
        <w:t xml:space="preserve"> </w:t>
      </w:r>
      <w:r w:rsidR="08650736" w:rsidRPr="003D1E07">
        <w:t xml:space="preserve">v darovaném intelektu aktualizovaného </w:t>
      </w:r>
      <w:r w:rsidR="00747D60" w:rsidRPr="003D1E07">
        <w:t>od světa automních forem</w:t>
      </w:r>
      <w:r w:rsidR="086F71E2" w:rsidRPr="003D1E07">
        <w:t xml:space="preserve"> (</w:t>
      </w:r>
      <w:r w:rsidR="086F71E2" w:rsidRPr="003D1E07">
        <w:rPr>
          <w:i/>
        </w:rPr>
        <w:t>quasi subiectum</w:t>
      </w:r>
      <w:r w:rsidR="086F71E2" w:rsidRPr="003D1E07">
        <w:rPr>
          <w:i/>
        </w:rPr>
        <w:fldChar w:fldCharType="begin"/>
      </w:r>
      <w:r w:rsidR="086F71E2" w:rsidRPr="003D1E07">
        <w:instrText xml:space="preserve"> XE "</w:instrText>
      </w:r>
      <w:r w:rsidR="086F71E2" w:rsidRPr="003D1E07">
        <w:rPr>
          <w:i/>
        </w:rPr>
        <w:instrText>subiectum</w:instrText>
      </w:r>
      <w:r w:rsidR="086F71E2" w:rsidRPr="003D1E07">
        <w:instrText xml:space="preserve">:Al-Fárábí" </w:instrText>
      </w:r>
      <w:r w:rsidR="086F71E2" w:rsidRPr="003D1E07">
        <w:rPr>
          <w:i/>
        </w:rPr>
        <w:fldChar w:fldCharType="end"/>
      </w:r>
      <w:r w:rsidR="086F71E2" w:rsidRPr="003D1E07">
        <w:t>)</w:t>
      </w:r>
      <w:r w:rsidR="00747D60" w:rsidRPr="003D1E07">
        <w:t xml:space="preserve">. Tím </w:t>
      </w:r>
      <w:r w:rsidR="00747D60" w:rsidRPr="003D1E07">
        <w:lastRenderedPageBreak/>
        <w:t xml:space="preserve">vznikne intelektuální forma pro následnou predikaci </w:t>
      </w:r>
      <w:r w:rsidR="00747D60" w:rsidRPr="003D1E07">
        <w:rPr>
          <w:i/>
        </w:rPr>
        <w:t>per prius</w:t>
      </w:r>
      <w:r w:rsidR="00747D60" w:rsidRPr="003D1E07">
        <w:t xml:space="preserve"> vztaženou k říši oddělených kosmických forem, přičemž darovaný </w:t>
      </w:r>
      <w:r w:rsidR="08795A57" w:rsidRPr="003D1E07">
        <w:t xml:space="preserve">a předem aktualizovaný </w:t>
      </w:r>
      <w:r w:rsidR="00747D60" w:rsidRPr="003D1E07">
        <w:t xml:space="preserve">intelekt </w:t>
      </w:r>
      <w:r w:rsidR="08E25E58" w:rsidRPr="003D1E07">
        <w:t xml:space="preserve">jako kvazi-substance </w:t>
      </w:r>
      <w:r w:rsidR="00747D60" w:rsidRPr="003D1E07">
        <w:t xml:space="preserve">hraje roli nového </w:t>
      </w:r>
      <w:r w:rsidR="08A52FD7" w:rsidRPr="003D1E07">
        <w:t xml:space="preserve">poznávajícího </w:t>
      </w:r>
      <w:r w:rsidR="00747D60" w:rsidRPr="003D1E07">
        <w:t xml:space="preserve">substrátu </w:t>
      </w:r>
      <w:r w:rsidR="08484899" w:rsidRPr="003D1E07">
        <w:t>(</w:t>
      </w:r>
      <w:r w:rsidR="08484899" w:rsidRPr="003D1E07">
        <w:rPr>
          <w:i/>
        </w:rPr>
        <w:t>subiectum</w:t>
      </w:r>
      <w:r w:rsidR="08484899" w:rsidRPr="003D1E07">
        <w:t xml:space="preserve">) </w:t>
      </w:r>
      <w:r w:rsidR="00747D60" w:rsidRPr="003D1E07">
        <w:t xml:space="preserve">zajišťujícího toto </w:t>
      </w:r>
      <w:r w:rsidR="08543B83" w:rsidRPr="003D1E07">
        <w:t xml:space="preserve">iluminačně dané </w:t>
      </w:r>
      <w:r w:rsidR="00747D60" w:rsidRPr="003D1E07">
        <w:t xml:space="preserve">poznání. </w:t>
      </w:r>
      <w:r w:rsidR="089A42A1" w:rsidRPr="003D1E07">
        <w:t>K těmto odděleným eidetickým</w:t>
      </w:r>
      <w:r w:rsidR="0047632B" w:rsidRPr="003D1E07">
        <w:t xml:space="preserve"> kvazi-substancím se lidský intelekt vztahuje skrze darovaný intelekt </w:t>
      </w:r>
      <w:r w:rsidR="004957D4" w:rsidRPr="003D1E07">
        <w:t xml:space="preserve">definovaný jako samostatná hypostáze nebo substance </w:t>
      </w:r>
      <w:r w:rsidR="0047632B" w:rsidRPr="003D1E07">
        <w:t>(Themistius</w:t>
      </w:r>
      <w:r w:rsidR="0047632B" w:rsidRPr="003D1E07">
        <w:fldChar w:fldCharType="begin"/>
      </w:r>
      <w:r w:rsidR="0047632B" w:rsidRPr="003D1E07">
        <w:instrText xml:space="preserve"> XE "Themistius" </w:instrText>
      </w:r>
      <w:r w:rsidR="0047632B" w:rsidRPr="003D1E07">
        <w:fldChar w:fldCharType="end"/>
      </w:r>
      <w:r w:rsidR="0047632B" w:rsidRPr="003D1E07">
        <w:t>, Avicenna, latinská moderna</w:t>
      </w:r>
      <w:r w:rsidR="086F71E2" w:rsidRPr="003D1E07">
        <w:t xml:space="preserve">, semiaverroismus, </w:t>
      </w:r>
      <w:r w:rsidR="0047632B" w:rsidRPr="003D1E07">
        <w:t xml:space="preserve">postmoderna). </w:t>
      </w:r>
      <w:r w:rsidR="08063812" w:rsidRPr="003D1E07">
        <w:t xml:space="preserve">Receptivní intelekt aktualizovaný dvojím způsobem abstrakce a denudace </w:t>
      </w:r>
      <w:r w:rsidR="003C2638" w:rsidRPr="003D1E07">
        <w:t xml:space="preserve">se stává místem, kde dochází ke dvojímu zjevování smyslu jsoucího. </w:t>
      </w:r>
      <w:r w:rsidR="001C0C1B" w:rsidRPr="003D1E07">
        <w:t>Al-Fá</w:t>
      </w:r>
      <w:r w:rsidR="00747D60" w:rsidRPr="003D1E07">
        <w:t xml:space="preserve">rábího </w:t>
      </w:r>
      <w:r w:rsidR="003C2638" w:rsidRPr="003D1E07">
        <w:t xml:space="preserve">pojednání o intelektu </w:t>
      </w:r>
      <w:r w:rsidR="00747D60" w:rsidRPr="003D1E07">
        <w:t xml:space="preserve">ukazuje, že pokud postupujeme ze světa hylemorfických substancí vzhůru, pak měníme směr predikace </w:t>
      </w:r>
      <w:r w:rsidR="00747D60" w:rsidRPr="003D1E07">
        <w:rPr>
          <w:i/>
        </w:rPr>
        <w:t>per prius</w:t>
      </w:r>
      <w:r w:rsidR="00975915" w:rsidRPr="003D1E07">
        <w:rPr>
          <w:i/>
        </w:rPr>
        <w:fldChar w:fldCharType="begin"/>
      </w:r>
      <w:r w:rsidR="00975915" w:rsidRPr="003D1E07">
        <w:instrText xml:space="preserve"> XE "predikace:</w:instrText>
      </w:r>
      <w:r w:rsidR="00975915" w:rsidRPr="003D1E07">
        <w:rPr>
          <w:i/>
        </w:rPr>
        <w:instrText>per prius</w:instrText>
      </w:r>
      <w:r w:rsidR="00975915" w:rsidRPr="003D1E07">
        <w:instrText xml:space="preserve">" </w:instrText>
      </w:r>
      <w:r w:rsidR="00975915" w:rsidRPr="003D1E07">
        <w:rPr>
          <w:i/>
        </w:rPr>
        <w:fldChar w:fldCharType="end"/>
      </w:r>
      <w:r w:rsidR="08331022" w:rsidRPr="003D1E07">
        <w:t xml:space="preserve"> </w:t>
      </w:r>
      <w:r w:rsidR="00747D60" w:rsidRPr="003D1E07">
        <w:t>od materiální formy k čistě inteli</w:t>
      </w:r>
      <w:r w:rsidR="006B6CC8" w:rsidRPr="003D1E07">
        <w:t>gibilní formě náhledu determinované oddělenými nemateriálními</w:t>
      </w:r>
      <w:r w:rsidR="00747D60" w:rsidRPr="003D1E07">
        <w:t xml:space="preserve"> substanc</w:t>
      </w:r>
      <w:r w:rsidR="006B6CC8" w:rsidRPr="003D1E07">
        <w:t>emi</w:t>
      </w:r>
      <w:r w:rsidR="08EE2A0A" w:rsidRPr="003D1E07">
        <w:t xml:space="preserve">. </w:t>
      </w:r>
      <w:r w:rsidR="087D5286" w:rsidRPr="003D1E07">
        <w:t>Pak přímo nazíráme pravd</w:t>
      </w:r>
      <w:r w:rsidR="08EE2A0A" w:rsidRPr="003D1E07">
        <w:t>u</w:t>
      </w:r>
      <w:r w:rsidR="087D5286" w:rsidRPr="003D1E07">
        <w:t xml:space="preserve"> na úrovni jsoucna jako jsoucího</w:t>
      </w:r>
      <w:r w:rsidR="08EE2A0A" w:rsidRPr="003D1E07">
        <w:t xml:space="preserve"> (</w:t>
      </w:r>
      <w:r w:rsidR="08EE2A0A" w:rsidRPr="003D1E07">
        <w:rPr>
          <w:i/>
        </w:rPr>
        <w:t>rectitudo</w:t>
      </w:r>
      <w:r w:rsidR="08EE2A0A" w:rsidRPr="003D1E07">
        <w:t xml:space="preserve">, </w:t>
      </w:r>
      <w:r w:rsidR="08EE2A0A" w:rsidRPr="003D1E07">
        <w:rPr>
          <w:i/>
        </w:rPr>
        <w:t>certitudo</w:t>
      </w:r>
      <w:r w:rsidR="08EE2A0A" w:rsidRPr="003D1E07">
        <w:t>)</w:t>
      </w:r>
      <w:r w:rsidR="087D5286" w:rsidRPr="003D1E07">
        <w:t xml:space="preserve">. </w:t>
      </w:r>
      <w:r w:rsidR="001C0C1B" w:rsidRPr="003D1E07">
        <w:t>Tento náhle</w:t>
      </w:r>
      <w:r w:rsidR="086C4B22" w:rsidRPr="003D1E07">
        <w:t xml:space="preserve">d zakládá metafyziku na úrovni </w:t>
      </w:r>
      <w:r w:rsidR="001C0C1B" w:rsidRPr="003D1E07">
        <w:t>neoplato</w:t>
      </w:r>
      <w:r w:rsidR="086C4B22" w:rsidRPr="003D1E07">
        <w:t>nské analogie</w:t>
      </w:r>
      <w:r w:rsidR="00747D60" w:rsidRPr="003D1E07">
        <w:t xml:space="preserve"> bytí </w:t>
      </w:r>
      <w:r w:rsidR="086C4B22" w:rsidRPr="003D1E07">
        <w:t>univočně vztaženého</w:t>
      </w:r>
      <w:r w:rsidR="00747D60" w:rsidRPr="003D1E07">
        <w:t xml:space="preserve"> k bytí Jednoh</w:t>
      </w:r>
      <w:r w:rsidR="000246D7" w:rsidRPr="003D1E07">
        <w:t>o, kterou poprvé definov</w:t>
      </w:r>
      <w:r w:rsidR="001C0C1B" w:rsidRPr="003D1E07">
        <w:t>al Porfy</w:t>
      </w:r>
      <w:r w:rsidR="00747D60" w:rsidRPr="003D1E07">
        <w:t>rius a po ně</w:t>
      </w:r>
      <w:r w:rsidR="08AF6B7D" w:rsidRPr="003D1E07">
        <w:t>m Jamblichus (kap. 1.3</w:t>
      </w:r>
      <w:r w:rsidR="001C0C1B" w:rsidRPr="003D1E07">
        <w:t xml:space="preserve">.1). </w:t>
      </w:r>
      <w:r w:rsidR="008050EA">
        <w:t>V tomto případě „</w:t>
      </w:r>
      <w:r w:rsidR="008050EA" w:rsidRPr="008050EA">
        <w:rPr>
          <w:i/>
        </w:rPr>
        <w:t>aliud esse</w:t>
      </w:r>
      <w:r w:rsidR="008050EA">
        <w:t>“ jako substance-species</w:t>
      </w:r>
      <w:r w:rsidR="008050EA" w:rsidRPr="008050EA">
        <w:t xml:space="preserve">, protože představuje </w:t>
      </w:r>
      <w:r w:rsidR="008050EA" w:rsidRPr="008050EA">
        <w:rPr>
          <w:i/>
        </w:rPr>
        <w:t>tertium ens</w:t>
      </w:r>
      <w:r w:rsidR="008050EA" w:rsidRPr="008050EA">
        <w:t>.</w:t>
      </w:r>
      <w:r w:rsidR="008050EA">
        <w:t xml:space="preserve"> </w:t>
      </w:r>
      <w:r w:rsidR="08F02F0A" w:rsidRPr="003D1E07">
        <w:t xml:space="preserve">Determinací poznání od aristotelské abstrakce </w:t>
      </w:r>
      <w:r w:rsidR="08EC7EBC" w:rsidRPr="003D1E07">
        <w:t xml:space="preserve">je </w:t>
      </w:r>
      <w:r w:rsidR="008050EA">
        <w:t xml:space="preserve">jiné </w:t>
      </w:r>
      <w:r w:rsidR="08EC7EBC" w:rsidRPr="003D1E07">
        <w:rPr>
          <w:i/>
        </w:rPr>
        <w:t>aliud esse</w:t>
      </w:r>
      <w:r w:rsidR="08EC7EBC" w:rsidRPr="003D1E07">
        <w:t xml:space="preserve"> dané jako pouhé </w:t>
      </w:r>
      <w:r w:rsidR="08EC7EBC" w:rsidRPr="003D1E07">
        <w:rPr>
          <w:i/>
        </w:rPr>
        <w:t>ens rationis</w:t>
      </w:r>
      <w:r w:rsidR="08EC7EBC" w:rsidRPr="003D1E07">
        <w:rPr>
          <w:i/>
        </w:rPr>
        <w:fldChar w:fldCharType="begin"/>
      </w:r>
      <w:r w:rsidR="08EC7EBC" w:rsidRPr="003D1E07">
        <w:instrText xml:space="preserve"> XE "</w:instrText>
      </w:r>
      <w:r w:rsidR="08EC7EBC" w:rsidRPr="003D1E07">
        <w:rPr>
          <w:i/>
        </w:rPr>
        <w:instrText>ens rationis</w:instrText>
      </w:r>
      <w:r w:rsidR="08EC7EBC" w:rsidRPr="003D1E07">
        <w:instrText xml:space="preserve">" </w:instrText>
      </w:r>
      <w:r w:rsidR="08EC7EBC" w:rsidRPr="003D1E07">
        <w:rPr>
          <w:i/>
        </w:rPr>
        <w:fldChar w:fldCharType="end"/>
      </w:r>
      <w:r w:rsidR="08EC7EBC" w:rsidRPr="003D1E07">
        <w:t xml:space="preserve">, čili univerzálie exsistující pouze v intelektu. </w:t>
      </w:r>
      <w:r w:rsidR="001C0C1B" w:rsidRPr="003D1E07">
        <w:t>Al-Fá</w:t>
      </w:r>
      <w:r w:rsidR="00747D60" w:rsidRPr="003D1E07">
        <w:t xml:space="preserve">rábího pojetí </w:t>
      </w:r>
      <w:r w:rsidR="000F035A" w:rsidRPr="003D1E07">
        <w:t xml:space="preserve">drží obě formy aktualizace </w:t>
      </w:r>
      <w:r w:rsidR="00747D60" w:rsidRPr="003D1E07">
        <w:t>intelektu</w:t>
      </w:r>
      <w:r w:rsidR="08EC7EBC" w:rsidRPr="003D1E07">
        <w:t xml:space="preserve"> dané nasvícením jsoucna zepředu i zezadu</w:t>
      </w:r>
      <w:r w:rsidR="000F035A" w:rsidRPr="003D1E07">
        <w:t xml:space="preserve">. </w:t>
      </w:r>
      <w:r w:rsidR="00CB7657" w:rsidRPr="003D1E07">
        <w:t>Jeho náhled potvrzuje hraniční postavení člověka jako bytosti na rozhraní materiálního světa a světa oddělen</w:t>
      </w:r>
      <w:r w:rsidR="08383153" w:rsidRPr="003D1E07">
        <w:t>ých nemateriálních inteligencí.</w:t>
      </w:r>
    </w:p>
    <w:p w14:paraId="2E0AE72C" w14:textId="67B9B5B5" w:rsidR="008B1B75" w:rsidRDefault="08383153" w:rsidP="00B81C30">
      <w:r w:rsidRPr="003D1E07">
        <w:tab/>
      </w:r>
      <w:r w:rsidR="00B42A0D" w:rsidRPr="003D1E07">
        <w:t xml:space="preserve">Druhý mistr korigoval Alexandrovo </w:t>
      </w:r>
      <w:r w:rsidR="00747D60" w:rsidRPr="003D1E07">
        <w:t>pojetí intelektu směrem k aristotelismu</w:t>
      </w:r>
      <w:r w:rsidR="00A2723E" w:rsidRPr="003D1E07">
        <w:t xml:space="preserve"> a vytvořil syn</w:t>
      </w:r>
      <w:r w:rsidR="00747D60" w:rsidRPr="003D1E07">
        <w:t>tézu obou metafyzik</w:t>
      </w:r>
      <w:r w:rsidR="004549BC" w:rsidRPr="003D1E07">
        <w:t xml:space="preserve"> pro </w:t>
      </w:r>
      <w:r w:rsidR="089E77D3" w:rsidRPr="003D1E07">
        <w:t>epochálně nový</w:t>
      </w:r>
      <w:r w:rsidR="08182D40" w:rsidRPr="003D1E07">
        <w:t xml:space="preserve"> </w:t>
      </w:r>
      <w:r w:rsidR="004549BC" w:rsidRPr="003D1E07">
        <w:t xml:space="preserve">výklad </w:t>
      </w:r>
      <w:r w:rsidR="004549BC" w:rsidRPr="003D1E07">
        <w:rPr>
          <w:i/>
        </w:rPr>
        <w:t>De anima</w:t>
      </w:r>
      <w:r w:rsidR="08DF067C" w:rsidRPr="003D1E07">
        <w:t>, který zrušil neoplatonskou iluminaci</w:t>
      </w:r>
      <w:r w:rsidR="088B1188" w:rsidRPr="003D1E07">
        <w:t xml:space="preserve"> a emanační metafyziku</w:t>
      </w:r>
      <w:r w:rsidR="08DF067C" w:rsidRPr="003D1E07">
        <w:t xml:space="preserve">. </w:t>
      </w:r>
      <w:r w:rsidR="00714880" w:rsidRPr="003D1E07">
        <w:t xml:space="preserve">Ambivalentní postavení formy v modu </w:t>
      </w:r>
      <w:r w:rsidR="00714880" w:rsidRPr="003D1E07">
        <w:rPr>
          <w:i/>
        </w:rPr>
        <w:t>primum</w:t>
      </w:r>
      <w:r w:rsidR="00714880" w:rsidRPr="003D1E07">
        <w:t xml:space="preserve"> a </w:t>
      </w:r>
      <w:r w:rsidR="00714880" w:rsidRPr="003D1E07">
        <w:rPr>
          <w:i/>
        </w:rPr>
        <w:t>secundum intellectum</w:t>
      </w:r>
      <w:r w:rsidR="00714880" w:rsidRPr="003D1E07">
        <w:t xml:space="preserve"> se vztahuje jak k mentálnímu obsahu abstrakce v </w:t>
      </w:r>
      <w:r w:rsidR="08CF779F" w:rsidRPr="003D1E07">
        <w:t xml:space="preserve">možném </w:t>
      </w:r>
      <w:r w:rsidR="00714880" w:rsidRPr="003D1E07">
        <w:t xml:space="preserve">intelektu, tak i k přímému transcendentálnímu náhledu na celek jsoucna v získaném intelektu. </w:t>
      </w:r>
      <w:r w:rsidR="001C0C1B" w:rsidRPr="003D1E07">
        <w:t>Al-Fá</w:t>
      </w:r>
      <w:r w:rsidR="00747D60" w:rsidRPr="003D1E07">
        <w:t>ráb</w:t>
      </w:r>
      <w:r w:rsidR="004F4F7E" w:rsidRPr="003D1E07">
        <w:t xml:space="preserve">í se nakonec v procesu poznání, </w:t>
      </w:r>
      <w:r w:rsidR="00747D60" w:rsidRPr="003D1E07">
        <w:t xml:space="preserve">ale nikoliv </w:t>
      </w:r>
      <w:r w:rsidR="08A20BC1" w:rsidRPr="003D1E07">
        <w:t>v</w:t>
      </w:r>
      <w:r w:rsidR="004F4F7E" w:rsidRPr="003D1E07">
        <w:t xml:space="preserve"> neoplatonském </w:t>
      </w:r>
      <w:r w:rsidR="00747D60" w:rsidRPr="003D1E07">
        <w:t>určení substance</w:t>
      </w:r>
      <w:r w:rsidR="004F4F7E" w:rsidRPr="003D1E07">
        <w:t xml:space="preserve">, </w:t>
      </w:r>
      <w:r w:rsidR="00747D60" w:rsidRPr="003D1E07">
        <w:t xml:space="preserve">rozhodl pro cestu </w:t>
      </w:r>
      <w:r w:rsidR="00874074" w:rsidRPr="003D1E07">
        <w:t>neoplatonsk</w:t>
      </w:r>
      <w:r w:rsidR="00747D60" w:rsidRPr="003D1E07">
        <w:t xml:space="preserve">é katabáze forem známou z díla </w:t>
      </w:r>
      <w:r w:rsidR="00747D60" w:rsidRPr="003D1E07">
        <w:rPr>
          <w:i/>
        </w:rPr>
        <w:t>Liber de causis</w:t>
      </w:r>
      <w:r w:rsidR="00274A40" w:rsidRPr="003D1E07">
        <w:rPr>
          <w:i/>
        </w:rPr>
        <w:fldChar w:fldCharType="begin"/>
      </w:r>
      <w:r w:rsidR="00274A40" w:rsidRPr="003D1E07">
        <w:instrText xml:space="preserve"> XE "</w:instrText>
      </w:r>
      <w:r w:rsidR="00274A40" w:rsidRPr="003D1E07">
        <w:rPr>
          <w:i/>
        </w:rPr>
        <w:instrText>Liber de causis</w:instrText>
      </w:r>
      <w:r w:rsidR="00274A40" w:rsidRPr="003D1E07">
        <w:instrText xml:space="preserve">" </w:instrText>
      </w:r>
      <w:r w:rsidR="00274A40" w:rsidRPr="003D1E07">
        <w:rPr>
          <w:i/>
        </w:rPr>
        <w:fldChar w:fldCharType="end"/>
      </w:r>
      <w:r w:rsidR="00747D60" w:rsidRPr="003D1E07">
        <w:t xml:space="preserve">. Pokud </w:t>
      </w:r>
      <w:r w:rsidR="004F4F7E" w:rsidRPr="003D1E07">
        <w:t xml:space="preserve">neoplatonik </w:t>
      </w:r>
      <w:r w:rsidR="00747D60" w:rsidRPr="003D1E07">
        <w:t xml:space="preserve">sestupuje ze světa nemateriálních sfér směrem dolů, pak </w:t>
      </w:r>
      <w:r w:rsidR="004F4F7E" w:rsidRPr="003D1E07">
        <w:t xml:space="preserve">používá </w:t>
      </w:r>
      <w:r w:rsidR="00747D60" w:rsidRPr="003D1E07">
        <w:t xml:space="preserve">kategoriální predikaci </w:t>
      </w:r>
      <w:r w:rsidR="00747D60" w:rsidRPr="003D1E07">
        <w:rPr>
          <w:i/>
        </w:rPr>
        <w:t>per prius</w:t>
      </w:r>
      <w:r w:rsidR="00747D60" w:rsidRPr="003D1E07">
        <w:t xml:space="preserve"> </w:t>
      </w:r>
      <w:r w:rsidR="004F4F7E" w:rsidRPr="003D1E07">
        <w:t>analogicky vypovídanou</w:t>
      </w:r>
      <w:r w:rsidR="00747D60" w:rsidRPr="003D1E07">
        <w:t xml:space="preserve"> vzhledem k hyl</w:t>
      </w:r>
      <w:r w:rsidR="00D54C65" w:rsidRPr="003D1E07">
        <w:t>emorfické substanci. Nebo může</w:t>
      </w:r>
      <w:r w:rsidR="00747D60" w:rsidRPr="003D1E07">
        <w:t xml:space="preserve"> vystupovat již vyloženou cestou skrze proces první a druhé abstrakce až do světa oddělených kosmických forem, duší a intelektů.</w:t>
      </w:r>
      <w:r w:rsidR="00291F2E" w:rsidRPr="003D1E07">
        <w:t xml:space="preserve"> Avicenna </w:t>
      </w:r>
      <w:r w:rsidR="00FB7361" w:rsidRPr="003D1E07">
        <w:t xml:space="preserve">a po něm celá moderna </w:t>
      </w:r>
      <w:r w:rsidR="008B0F1E">
        <w:t xml:space="preserve">zavedli umírněnou podobu neoplatonismu, který nemá </w:t>
      </w:r>
      <w:r w:rsidR="002B00E1" w:rsidRPr="003D1E07">
        <w:t>sestup forem do konti</w:t>
      </w:r>
      <w:r w:rsidR="08116589" w:rsidRPr="003D1E07">
        <w:t>n</w:t>
      </w:r>
      <w:r w:rsidR="009B34DD" w:rsidRPr="003D1E07">
        <w:t>gentních substancí</w:t>
      </w:r>
      <w:r w:rsidR="008B0F1E">
        <w:t xml:space="preserve"> (kap. 1.3)</w:t>
      </w:r>
      <w:r w:rsidR="00291F2E" w:rsidRPr="003D1E07">
        <w:t>. K</w:t>
      </w:r>
      <w:r w:rsidR="00747D60" w:rsidRPr="003D1E07">
        <w:t xml:space="preserve">líčové </w:t>
      </w:r>
      <w:r w:rsidR="00747D60" w:rsidRPr="003D1E07">
        <w:lastRenderedPageBreak/>
        <w:t xml:space="preserve">pasáže </w:t>
      </w:r>
      <w:r w:rsidR="00FB7361" w:rsidRPr="003D1E07">
        <w:t xml:space="preserve">Avicennova </w:t>
      </w:r>
      <w:r w:rsidR="00747D60" w:rsidRPr="003D1E07">
        <w:t xml:space="preserve">komentáře k </w:t>
      </w:r>
      <w:r w:rsidR="00B713C5" w:rsidRPr="003D1E07">
        <w:rPr>
          <w:i/>
        </w:rPr>
        <w:t>De anima</w:t>
      </w:r>
      <w:r w:rsidR="00747D60" w:rsidRPr="003D1E07">
        <w:t xml:space="preserve"> (</w:t>
      </w:r>
      <w:r w:rsidR="008B0F1E">
        <w:t>II.2; V.5) popisují toto nové vidění světa</w:t>
      </w:r>
      <w:r w:rsidR="00747D60" w:rsidRPr="003D1E07">
        <w:t xml:space="preserve">. Pak hraje </w:t>
      </w:r>
      <w:r w:rsidR="00747D60" w:rsidRPr="003D1E07">
        <w:rPr>
          <w:i/>
        </w:rPr>
        <w:t>intellectus adeptus</w:t>
      </w:r>
      <w:r w:rsidR="00332701" w:rsidRPr="003D1E07">
        <w:rPr>
          <w:i/>
        </w:rPr>
        <w:fldChar w:fldCharType="begin"/>
      </w:r>
      <w:r w:rsidR="00332701" w:rsidRPr="003D1E07">
        <w:instrText xml:space="preserve"> XE "</w:instrText>
      </w:r>
      <w:r w:rsidR="00332701" w:rsidRPr="003D1E07">
        <w:rPr>
          <w:i/>
        </w:rPr>
        <w:instrText>intellectus adeptus</w:instrText>
      </w:r>
      <w:r w:rsidR="00332701" w:rsidRPr="003D1E07">
        <w:instrText xml:space="preserve">" </w:instrText>
      </w:r>
      <w:r w:rsidR="00332701" w:rsidRPr="003D1E07">
        <w:rPr>
          <w:i/>
        </w:rPr>
        <w:fldChar w:fldCharType="end"/>
      </w:r>
      <w:r w:rsidR="00747D60" w:rsidRPr="003D1E07">
        <w:t xml:space="preserve"> </w:t>
      </w:r>
      <w:r w:rsidR="00E65C75" w:rsidRPr="003D1E07">
        <w:t>centrální roli</w:t>
      </w:r>
      <w:r w:rsidR="08116589" w:rsidRPr="003D1E07">
        <w:t xml:space="preserve"> v určení poznání, metafyziky a přirozenosti člověka</w:t>
      </w:r>
      <w:r w:rsidR="000E2A7C">
        <w:t xml:space="preserve">. Skrze tuto mytologickou hypostázi běží celý </w:t>
      </w:r>
      <w:r w:rsidR="00FF4B8E" w:rsidRPr="003D1E07">
        <w:t xml:space="preserve">proces objektivní iluminace. </w:t>
      </w:r>
      <w:r w:rsidR="089C7E57" w:rsidRPr="003D1E07">
        <w:t xml:space="preserve">Tento </w:t>
      </w:r>
      <w:r w:rsidR="00D47103" w:rsidRPr="003D1E07">
        <w:t xml:space="preserve">mýtus </w:t>
      </w:r>
      <w:r w:rsidR="00D47103">
        <w:t>intelektu-slunce</w:t>
      </w:r>
      <w:r w:rsidR="089C7E57" w:rsidRPr="003D1E07">
        <w:t xml:space="preserve"> převzal prakticky celý Západ ubytovaný v globální platonské jeskyni plné bankovních derivátů a </w:t>
      </w:r>
      <w:r w:rsidR="00F1339F">
        <w:t xml:space="preserve">virtuálních </w:t>
      </w:r>
      <w:r w:rsidR="089C7E57" w:rsidRPr="003D1E07">
        <w:t>dluhopisů.</w:t>
      </w:r>
      <w:r w:rsidR="00F1339F">
        <w:t xml:space="preserve"> N</w:t>
      </w:r>
      <w:r w:rsidR="086F3EF1" w:rsidRPr="003D1E07">
        <w:t xml:space="preserve">a zeď jeskyně se musí </w:t>
      </w:r>
      <w:r w:rsidR="08DB365C" w:rsidRPr="003D1E07">
        <w:t xml:space="preserve">pořád </w:t>
      </w:r>
      <w:r w:rsidR="086F3EF1" w:rsidRPr="003D1E07">
        <w:t xml:space="preserve">něco </w:t>
      </w:r>
      <w:r w:rsidR="08DB365C" w:rsidRPr="003D1E07">
        <w:t xml:space="preserve">zajímavého či děsivého </w:t>
      </w:r>
      <w:r w:rsidR="086F3EF1" w:rsidRPr="003D1E07">
        <w:t>pr</w:t>
      </w:r>
      <w:r w:rsidR="08A22739" w:rsidRPr="003D1E07">
        <w:t>o</w:t>
      </w:r>
      <w:r w:rsidR="086F3EF1" w:rsidRPr="003D1E07">
        <w:t>míta</w:t>
      </w:r>
      <w:r w:rsidR="08A22739" w:rsidRPr="003D1E07">
        <w:t>t</w:t>
      </w:r>
      <w:r w:rsidR="086F3EF1" w:rsidRPr="003D1E07">
        <w:t xml:space="preserve">, aby pilní troglodyté nepropadli životu nebepečnému </w:t>
      </w:r>
      <w:r w:rsidR="086F3EF1" w:rsidRPr="003D1E07">
        <w:rPr>
          <w:i/>
        </w:rPr>
        <w:t>t</w:t>
      </w:r>
      <w:r w:rsidR="08654D72" w:rsidRPr="003D1E07">
        <w:rPr>
          <w:i/>
        </w:rPr>
        <w:t>a</w:t>
      </w:r>
      <w:r w:rsidR="086F3EF1" w:rsidRPr="003D1E07">
        <w:rPr>
          <w:i/>
        </w:rPr>
        <w:t>edium vitae</w:t>
      </w:r>
      <w:r w:rsidR="086F3EF1" w:rsidRPr="003D1E07">
        <w:t xml:space="preserve">. </w:t>
      </w:r>
      <w:r w:rsidR="00447AA5" w:rsidRPr="003D1E07">
        <w:t xml:space="preserve">V tomto zoufalém stavu ducha už totiž nejsou manipulovatelní. </w:t>
      </w:r>
      <w:r w:rsidR="086F3EF1" w:rsidRPr="003D1E07">
        <w:t xml:space="preserve">Technici </w:t>
      </w:r>
      <w:r w:rsidR="089268AD" w:rsidRPr="003D1E07">
        <w:t xml:space="preserve">manipulující simulákra </w:t>
      </w:r>
      <w:r w:rsidR="086F3EF1" w:rsidRPr="003D1E07">
        <w:t xml:space="preserve">nemohou myslet v modu </w:t>
      </w:r>
      <w:r w:rsidR="00F1339F">
        <w:t xml:space="preserve">původní </w:t>
      </w:r>
      <w:r w:rsidR="086F3EF1" w:rsidRPr="003D1E07">
        <w:rPr>
          <w:i/>
        </w:rPr>
        <w:t>vita contemplativa</w:t>
      </w:r>
      <w:r w:rsidR="00F1339F">
        <w:t>. V</w:t>
      </w:r>
      <w:r w:rsidR="00815694">
        <w:t>ěda takto nemyslí z</w:t>
      </w:r>
      <w:r w:rsidR="00443114">
        <w:t> </w:t>
      </w:r>
      <w:r w:rsidR="00815694">
        <w:t>principu</w:t>
      </w:r>
      <w:r w:rsidR="00443114">
        <w:t xml:space="preserve">. Postomoderní a nihilistické </w:t>
      </w:r>
      <w:r w:rsidR="086F3EF1" w:rsidRPr="003D1E07">
        <w:t xml:space="preserve">vědy </w:t>
      </w:r>
      <w:r w:rsidR="00815694">
        <w:t xml:space="preserve">o člověku </w:t>
      </w:r>
      <w:r w:rsidR="086F3EF1" w:rsidRPr="003D1E07">
        <w:t xml:space="preserve">mají </w:t>
      </w:r>
      <w:r w:rsidR="08815C87" w:rsidRPr="003D1E07">
        <w:t xml:space="preserve">pouze </w:t>
      </w:r>
      <w:r w:rsidR="086F3EF1" w:rsidRPr="003D1E07">
        <w:t>objekti</w:t>
      </w:r>
      <w:r w:rsidR="08815C87" w:rsidRPr="003D1E07">
        <w:t>vní vědění</w:t>
      </w:r>
      <w:r w:rsidR="00443114">
        <w:t xml:space="preserve"> o sbírce neexistujících substancí třetího druhu</w:t>
      </w:r>
      <w:r w:rsidR="086F3EF1" w:rsidRPr="003D1E07">
        <w:t>.</w:t>
      </w:r>
      <w:r w:rsidR="089C7E57" w:rsidRPr="003D1E07">
        <w:t xml:space="preserve"> </w:t>
      </w:r>
      <w:r w:rsidR="00FE7908" w:rsidRPr="003D1E07">
        <w:t xml:space="preserve">Avicenna </w:t>
      </w:r>
      <w:r w:rsidR="08290EE9" w:rsidRPr="003D1E07">
        <w:t xml:space="preserve">poprvé uvádí na Západ tento typ </w:t>
      </w:r>
      <w:r w:rsidR="00621632" w:rsidRPr="003D1E07">
        <w:t>poznání v metafyzickém modelu nasvícení jsoucna zezadu</w:t>
      </w:r>
      <w:r w:rsidR="084A64C5" w:rsidRPr="003D1E07">
        <w:t xml:space="preserve">, které váže </w:t>
      </w:r>
      <w:r w:rsidR="08272B51" w:rsidRPr="003D1E07">
        <w:t xml:space="preserve">po vzoru Alfarabia </w:t>
      </w:r>
      <w:r w:rsidR="084A64C5" w:rsidRPr="003D1E07">
        <w:t>na kategoriální predikaci</w:t>
      </w:r>
      <w:r w:rsidR="00621632" w:rsidRPr="003D1E07">
        <w:t xml:space="preserve">. </w:t>
      </w:r>
      <w:r w:rsidR="08DA30B8" w:rsidRPr="003D1E07">
        <w:t>Avicennistická predikace</w:t>
      </w:r>
      <w:r w:rsidR="00747D60" w:rsidRPr="003D1E07">
        <w:t xml:space="preserve"> </w:t>
      </w:r>
      <w:r w:rsidR="08DA30B8" w:rsidRPr="003D1E07">
        <w:t xml:space="preserve">definuje </w:t>
      </w:r>
      <w:r w:rsidR="00747D60" w:rsidRPr="003D1E07">
        <w:t xml:space="preserve">darovaný intelekt </w:t>
      </w:r>
      <w:r w:rsidR="0883193D" w:rsidRPr="003D1E07">
        <w:t xml:space="preserve">nikoliv jako </w:t>
      </w:r>
      <w:r w:rsidR="00747D60" w:rsidRPr="003D1E07">
        <w:rPr>
          <w:i/>
        </w:rPr>
        <w:t>quasi subiectum</w:t>
      </w:r>
      <w:r w:rsidR="08A300B9" w:rsidRPr="003D1E07">
        <w:rPr>
          <w:i/>
        </w:rPr>
        <w:t xml:space="preserve"> </w:t>
      </w:r>
      <w:r w:rsidR="08A300B9" w:rsidRPr="003D1E07">
        <w:t>po vzoru Alfarabia</w:t>
      </w:r>
      <w:r w:rsidR="0883193D" w:rsidRPr="003D1E07">
        <w:t>, ale jako aktuální</w:t>
      </w:r>
      <w:r w:rsidR="08467DCD" w:rsidRPr="003D1E07">
        <w:t>ho</w:t>
      </w:r>
      <w:r w:rsidR="0883193D" w:rsidRPr="003D1E07">
        <w:t xml:space="preserve"> </w:t>
      </w:r>
      <w:r w:rsidR="0885438D" w:rsidRPr="003D1E07">
        <w:t>nosiče</w:t>
      </w:r>
      <w:r w:rsidR="00747D60" w:rsidRPr="003D1E07">
        <w:t xml:space="preserve"> </w:t>
      </w:r>
      <w:r w:rsidR="08C75867" w:rsidRPr="003D1E07">
        <w:t xml:space="preserve">objektivních </w:t>
      </w:r>
      <w:r w:rsidR="00747D60" w:rsidRPr="003D1E07">
        <w:t>intelektuálních forem</w:t>
      </w:r>
      <w:r w:rsidR="0883193D" w:rsidRPr="003D1E07">
        <w:t xml:space="preserve">. Tyto formy tvoří </w:t>
      </w:r>
      <w:r w:rsidR="00153ACB" w:rsidRPr="003D1E07">
        <w:t>diakosmos jiného jsoucna</w:t>
      </w:r>
      <w:r w:rsidR="00747D60" w:rsidRPr="003D1E07">
        <w:t xml:space="preserve"> (</w:t>
      </w:r>
      <w:r w:rsidR="00747D60" w:rsidRPr="003D1E07">
        <w:rPr>
          <w:i/>
        </w:rPr>
        <w:t>aliud esse</w:t>
      </w:r>
      <w:r w:rsidR="002725FA" w:rsidRPr="003D1E07">
        <w:rPr>
          <w:i/>
        </w:rPr>
        <w:fldChar w:fldCharType="begin"/>
      </w:r>
      <w:r w:rsidR="002725FA" w:rsidRPr="003D1E07">
        <w:instrText xml:space="preserve"> XE "</w:instrText>
      </w:r>
      <w:r w:rsidR="006E22C9" w:rsidRPr="003D1E07">
        <w:rPr>
          <w:i/>
        </w:rPr>
        <w:instrText>aliud esse</w:instrText>
      </w:r>
      <w:r w:rsidR="002725FA" w:rsidRPr="003D1E07">
        <w:instrText xml:space="preserve">" </w:instrText>
      </w:r>
      <w:r w:rsidR="002725FA" w:rsidRPr="003D1E07">
        <w:rPr>
          <w:i/>
        </w:rPr>
        <w:fldChar w:fldCharType="end"/>
      </w:r>
      <w:r w:rsidR="00747D60" w:rsidRPr="003D1E07">
        <w:t>) postavenéh</w:t>
      </w:r>
      <w:r w:rsidR="00BB2033" w:rsidRPr="003D1E07">
        <w:t xml:space="preserve">o za </w:t>
      </w:r>
      <w:r w:rsidR="08F17405" w:rsidRPr="003D1E07">
        <w:t xml:space="preserve">druhou substancí a tím také za původní jednotou </w:t>
      </w:r>
      <w:r w:rsidR="08E16595" w:rsidRPr="003D1E07">
        <w:t xml:space="preserve">aristotelské </w:t>
      </w:r>
      <w:r w:rsidR="08A10159" w:rsidRPr="003D1E07">
        <w:t>kategoriální predikace</w:t>
      </w:r>
      <w:r w:rsidR="00747D60" w:rsidRPr="003D1E07">
        <w:t xml:space="preserve">. </w:t>
      </w:r>
      <w:r w:rsidR="0025187D" w:rsidRPr="003D1E07">
        <w:t>P</w:t>
      </w:r>
      <w:r w:rsidR="00747D60" w:rsidRPr="003D1E07">
        <w:t xml:space="preserve">o vzoru Jamblicha a Simplikia </w:t>
      </w:r>
      <w:r w:rsidR="0025187D" w:rsidRPr="003D1E07">
        <w:t xml:space="preserve">je </w:t>
      </w:r>
      <w:r w:rsidR="00747D60" w:rsidRPr="003D1E07">
        <w:t xml:space="preserve">intelekt </w:t>
      </w:r>
      <w:r w:rsidR="0883193D" w:rsidRPr="003D1E07">
        <w:t xml:space="preserve">iluminátů </w:t>
      </w:r>
      <w:r w:rsidR="00747D60" w:rsidRPr="003D1E07">
        <w:t xml:space="preserve">určen jako materie </w:t>
      </w:r>
      <w:r w:rsidR="087B18D7" w:rsidRPr="003D1E07">
        <w:t xml:space="preserve">a substance </w:t>
      </w:r>
      <w:r w:rsidR="00747D60" w:rsidRPr="003D1E07">
        <w:t>třetího druhu, protože přijímá vyšší formy poznání dané nasvícením od</w:t>
      </w:r>
      <w:r w:rsidR="086155AB" w:rsidRPr="003D1E07">
        <w:t xml:space="preserve"> odděleného kosmického </w:t>
      </w:r>
      <w:r w:rsidR="086155AB" w:rsidRPr="003D1E07">
        <w:rPr>
          <w:i/>
        </w:rPr>
        <w:t>intellectus agens</w:t>
      </w:r>
      <w:r w:rsidR="00747D60" w:rsidRPr="003D1E07">
        <w:t xml:space="preserve">. </w:t>
      </w:r>
      <w:r w:rsidR="00D77DDF" w:rsidRPr="003D1E07">
        <w:t xml:space="preserve">Tuto </w:t>
      </w:r>
      <w:r w:rsidR="00D757CD" w:rsidRPr="003D1E07">
        <w:t xml:space="preserve">moderní </w:t>
      </w:r>
      <w:r w:rsidR="00D77DDF" w:rsidRPr="003D1E07">
        <w:t xml:space="preserve">linii završila </w:t>
      </w:r>
      <w:r w:rsidR="08D45BD6" w:rsidRPr="003D1E07">
        <w:t xml:space="preserve">okolo roku </w:t>
      </w:r>
      <w:r w:rsidR="00D757CD" w:rsidRPr="003D1E07">
        <w:t xml:space="preserve">1240 </w:t>
      </w:r>
      <w:r w:rsidR="00D77DDF" w:rsidRPr="003D1E07">
        <w:t>na latinském Západě škola oxfordských a pařížských iluminátů</w:t>
      </w:r>
      <w:r w:rsidR="00640BE5" w:rsidRPr="003D1E07">
        <w:fldChar w:fldCharType="begin"/>
      </w:r>
      <w:r w:rsidR="00640BE5" w:rsidRPr="003D1E07">
        <w:instrText xml:space="preserve"> XE "ilumináti" </w:instrText>
      </w:r>
      <w:r w:rsidR="00640BE5" w:rsidRPr="003D1E07">
        <w:fldChar w:fldCharType="end"/>
      </w:r>
      <w:r w:rsidR="00D77DDF" w:rsidRPr="003D1E07">
        <w:t xml:space="preserve"> zavedením univerzálního hylemorfismu</w:t>
      </w:r>
      <w:r w:rsidR="001507D0" w:rsidRPr="003D1E07">
        <w:fldChar w:fldCharType="begin"/>
      </w:r>
      <w:r w:rsidR="001507D0" w:rsidRPr="003D1E07">
        <w:instrText xml:space="preserve"> XE "univerzální hylemorfismus" </w:instrText>
      </w:r>
      <w:r w:rsidR="001507D0" w:rsidRPr="003D1E07">
        <w:fldChar w:fldCharType="end"/>
      </w:r>
      <w:r w:rsidR="00D77DDF" w:rsidRPr="003D1E07">
        <w:t xml:space="preserve"> (</w:t>
      </w:r>
      <w:r w:rsidR="081E41BA" w:rsidRPr="003D1E07">
        <w:t>OBJ II, kap. 3</w:t>
      </w:r>
      <w:r w:rsidR="00D77DDF" w:rsidRPr="003D1E07">
        <w:t xml:space="preserve">.2). </w:t>
      </w:r>
      <w:r w:rsidR="004F6D4B" w:rsidRPr="003D1E07">
        <w:t>N</w:t>
      </w:r>
      <w:r w:rsidR="00D77DDF" w:rsidRPr="003D1E07">
        <w:t xml:space="preserve">asvícením </w:t>
      </w:r>
      <w:r w:rsidR="00CB0D57">
        <w:t xml:space="preserve">od odděleného kosmického intelektu </w:t>
      </w:r>
      <w:r w:rsidR="00747D60" w:rsidRPr="003D1E07">
        <w:t>dostane darovaný intelekt novou funkci vzhledem ke smyslově abstrahovaným obsahům</w:t>
      </w:r>
      <w:r w:rsidR="08890D6E" w:rsidRPr="003D1E07">
        <w:t xml:space="preserve">. Zatmění první substance dané skrze </w:t>
      </w:r>
      <w:r w:rsidR="08890D6E" w:rsidRPr="003D1E07">
        <w:rPr>
          <w:i/>
        </w:rPr>
        <w:t>intellectus adeptus</w:t>
      </w:r>
      <w:r w:rsidR="08890D6E" w:rsidRPr="003D1E07">
        <w:t xml:space="preserve"> </w:t>
      </w:r>
      <w:r w:rsidR="08890D6E" w:rsidRPr="003D1E07">
        <w:fldChar w:fldCharType="begin"/>
      </w:r>
      <w:r w:rsidR="08890D6E" w:rsidRPr="003D1E07">
        <w:instrText xml:space="preserve"> XE "zatmění:substance" </w:instrText>
      </w:r>
      <w:r w:rsidR="08890D6E" w:rsidRPr="003D1E07">
        <w:fldChar w:fldCharType="end"/>
      </w:r>
      <w:r w:rsidR="0800753C" w:rsidRPr="003D1E07">
        <w:t xml:space="preserve">osvícený shůry tvoří původní </w:t>
      </w:r>
      <w:r w:rsidR="08890D6E" w:rsidRPr="003D1E07">
        <w:rPr>
          <w:i/>
        </w:rPr>
        <w:t>subiectum</w:t>
      </w:r>
      <w:r w:rsidR="08890D6E" w:rsidRPr="003D1E07">
        <w:t xml:space="preserve"> </w:t>
      </w:r>
      <w:r w:rsidR="0800753C" w:rsidRPr="003D1E07">
        <w:t>metafyziky n</w:t>
      </w:r>
      <w:r w:rsidR="08890D6E" w:rsidRPr="003D1E07">
        <w:t xml:space="preserve">azvané </w:t>
      </w:r>
      <w:r w:rsidR="0800753C" w:rsidRPr="003D1E07">
        <w:t>„c</w:t>
      </w:r>
      <w:r w:rsidR="08890D6E" w:rsidRPr="003D1E07">
        <w:t>esta současníků</w:t>
      </w:r>
      <w:r w:rsidR="0800753C" w:rsidRPr="003D1E07">
        <w:t>“</w:t>
      </w:r>
      <w:r w:rsidR="08890D6E" w:rsidRPr="003D1E07">
        <w:t xml:space="preserve"> (</w:t>
      </w:r>
      <w:r w:rsidR="08890D6E" w:rsidRPr="003D1E07">
        <w:rPr>
          <w:i/>
        </w:rPr>
        <w:t>via Modernorum</w:t>
      </w:r>
      <w:r w:rsidR="08890D6E" w:rsidRPr="003D1E07">
        <w:rPr>
          <w:i/>
        </w:rPr>
        <w:fldChar w:fldCharType="begin"/>
      </w:r>
      <w:r w:rsidR="08890D6E" w:rsidRPr="003D1E07">
        <w:instrText xml:space="preserve"> XE "</w:instrText>
      </w:r>
      <w:r w:rsidR="08890D6E" w:rsidRPr="003D1E07">
        <w:rPr>
          <w:i/>
        </w:rPr>
        <w:instrText>via Modernorum</w:instrText>
      </w:r>
      <w:r w:rsidR="08890D6E" w:rsidRPr="003D1E07">
        <w:instrText xml:space="preserve">" </w:instrText>
      </w:r>
      <w:r w:rsidR="08890D6E" w:rsidRPr="003D1E07">
        <w:rPr>
          <w:i/>
        </w:rPr>
        <w:fldChar w:fldCharType="end"/>
      </w:r>
      <w:r w:rsidR="08890D6E" w:rsidRPr="003D1E07">
        <w:t xml:space="preserve">). </w:t>
      </w:r>
      <w:r w:rsidR="08A3337A" w:rsidRPr="003D1E07">
        <w:t xml:space="preserve">Pro </w:t>
      </w:r>
      <w:r w:rsidR="08A3337A" w:rsidRPr="003D1E07">
        <w:rPr>
          <w:i/>
        </w:rPr>
        <w:t>intellectus adeptus</w:t>
      </w:r>
      <w:r w:rsidR="08A3337A" w:rsidRPr="003D1E07">
        <w:t xml:space="preserve"> moderních a postmoderních iluminátů</w:t>
      </w:r>
      <w:r w:rsidR="08A3337A" w:rsidRPr="003D1E07">
        <w:fldChar w:fldCharType="begin"/>
      </w:r>
      <w:r w:rsidR="08A3337A" w:rsidRPr="003D1E07">
        <w:instrText xml:space="preserve"> XE "ilumináti" </w:instrText>
      </w:r>
      <w:r w:rsidR="08A3337A" w:rsidRPr="003D1E07">
        <w:fldChar w:fldCharType="end"/>
      </w:r>
      <w:r w:rsidR="08A3337A" w:rsidRPr="003D1E07">
        <w:t xml:space="preserve"> je smysl </w:t>
      </w:r>
      <w:r w:rsidR="00A93ED9">
        <w:t xml:space="preserve">světa </w:t>
      </w:r>
      <w:r w:rsidR="08A3337A" w:rsidRPr="003D1E07">
        <w:t xml:space="preserve">dán ve formě objektivně dané jsoucnosti. V této zvláštní formě poznání dochází k </w:t>
      </w:r>
      <w:r w:rsidR="00682317">
        <w:t>průniku dvou náhledů na jsoucno</w:t>
      </w:r>
      <w:r w:rsidR="0852644D" w:rsidRPr="003D1E07">
        <w:t xml:space="preserve">, jehož </w:t>
      </w:r>
      <w:r w:rsidR="00682317" w:rsidRPr="003D1E07">
        <w:rPr>
          <w:i/>
        </w:rPr>
        <w:t>intellectum</w:t>
      </w:r>
      <w:r w:rsidR="00682317">
        <w:rPr>
          <w:i/>
        </w:rPr>
        <w:t xml:space="preserve"> </w:t>
      </w:r>
      <w:r w:rsidR="0852644D" w:rsidRPr="003D1E07">
        <w:t xml:space="preserve">je určeno </w:t>
      </w:r>
      <w:r w:rsidR="08A3337A" w:rsidRPr="003D1E07">
        <w:t xml:space="preserve">ze dvou směrů nasvícení celku jsoucna. </w:t>
      </w:r>
      <w:r w:rsidR="00FE7908" w:rsidRPr="003D1E07">
        <w:t xml:space="preserve">Striktní aristotelik </w:t>
      </w:r>
      <w:r w:rsidR="002E3B62" w:rsidRPr="003D1E07">
        <w:t>Averroes</w:t>
      </w:r>
      <w:r w:rsidR="00FE7908" w:rsidRPr="003D1E07">
        <w:t xml:space="preserve"> naopak pochopí centrální postavení </w:t>
      </w:r>
      <w:r w:rsidR="00FE7908" w:rsidRPr="003D1E07">
        <w:rPr>
          <w:i/>
        </w:rPr>
        <w:t>intellectus possibilis</w:t>
      </w:r>
      <w:r w:rsidR="00FE7908" w:rsidRPr="003D1E07">
        <w:t xml:space="preserve"> v procesu poznání</w:t>
      </w:r>
      <w:r w:rsidR="005B2ACF" w:rsidRPr="003D1E07">
        <w:t xml:space="preserve"> </w:t>
      </w:r>
      <w:r w:rsidR="08FB39FE" w:rsidRPr="003D1E07">
        <w:t>podle Al-</w:t>
      </w:r>
      <w:r w:rsidR="008E02F5" w:rsidRPr="003D1E07">
        <w:t>Fárábí</w:t>
      </w:r>
      <w:r w:rsidR="00FE7908" w:rsidRPr="003D1E07">
        <w:t>ho</w:t>
      </w:r>
      <w:r w:rsidR="005B2ACF" w:rsidRPr="003D1E07">
        <w:t xml:space="preserve"> důrazu na čistou potenci</w:t>
      </w:r>
      <w:r w:rsidR="08636F90" w:rsidRPr="003D1E07">
        <w:t xml:space="preserve"> intelektu definovanou již Alexandrem</w:t>
      </w:r>
      <w:r w:rsidR="001C0C1B" w:rsidRPr="003D1E07">
        <w:t xml:space="preserve">. </w:t>
      </w:r>
      <w:r w:rsidR="08CA3A51" w:rsidRPr="003D1E07">
        <w:t xml:space="preserve">Averroes zavrhne základní principy Avicennovy metafyziky jako falešnou revoluci metafyziky, protože zůstal věrný pravdivé a proto revoluční linii svého učitele. Alfarabius vyložil spis </w:t>
      </w:r>
      <w:r w:rsidR="08CA3A51" w:rsidRPr="003D1E07">
        <w:rPr>
          <w:i/>
        </w:rPr>
        <w:t>De anima</w:t>
      </w:r>
      <w:r w:rsidR="08CA3A51" w:rsidRPr="003D1E07">
        <w:t xml:space="preserve"> proti neoplatonským Alexandrovcům tak, že vrátil poznání na samý počátek (</w:t>
      </w:r>
      <w:r w:rsidR="08CA3A51" w:rsidRPr="003D1E07">
        <w:rPr>
          <w:i/>
        </w:rPr>
        <w:t>revolutio</w:t>
      </w:r>
      <w:r w:rsidR="08CA3A51" w:rsidRPr="003D1E07">
        <w:t xml:space="preserve">) cesty vědění, tedy k původní metafyzické intenci Aristotela. </w:t>
      </w:r>
      <w:r w:rsidR="001C0C1B" w:rsidRPr="003D1E07">
        <w:lastRenderedPageBreak/>
        <w:t>Averroe</w:t>
      </w:r>
      <w:r w:rsidR="00FE7908" w:rsidRPr="003D1E07">
        <w:t xml:space="preserve">s dává </w:t>
      </w:r>
      <w:r w:rsidR="08220069" w:rsidRPr="003D1E07">
        <w:t xml:space="preserve">v poznání </w:t>
      </w:r>
      <w:r w:rsidR="00FE7908" w:rsidRPr="003D1E07">
        <w:t xml:space="preserve">centrální roli </w:t>
      </w:r>
      <w:r w:rsidR="00FE7908" w:rsidRPr="003D1E07">
        <w:rPr>
          <w:i/>
        </w:rPr>
        <w:t>intellectus possibilis</w:t>
      </w:r>
      <w:r w:rsidR="00FE7908" w:rsidRPr="003D1E07">
        <w:t>,</w:t>
      </w:r>
      <w:r w:rsidR="08220069" w:rsidRPr="003D1E07">
        <w:t xml:space="preserve"> který dostane úplně jiný status</w:t>
      </w:r>
      <w:r w:rsidR="00FE7908" w:rsidRPr="003D1E07">
        <w:t xml:space="preserve"> než u Avicenny. </w:t>
      </w:r>
      <w:r w:rsidR="086D3DBD" w:rsidRPr="003D1E07">
        <w:t xml:space="preserve">Aktuální </w:t>
      </w:r>
      <w:r w:rsidR="005B2ACF" w:rsidRPr="003D1E07">
        <w:t xml:space="preserve">smysl </w:t>
      </w:r>
      <w:r w:rsidR="005B2ACF" w:rsidRPr="003D1E07">
        <w:rPr>
          <w:i/>
        </w:rPr>
        <w:t>aliud esse</w:t>
      </w:r>
      <w:r w:rsidR="006E22C9" w:rsidRPr="003D1E07">
        <w:rPr>
          <w:i/>
        </w:rPr>
        <w:fldChar w:fldCharType="begin"/>
      </w:r>
      <w:r w:rsidR="006E22C9" w:rsidRPr="003D1E07">
        <w:instrText xml:space="preserve"> XE "</w:instrText>
      </w:r>
      <w:r w:rsidR="08711F01" w:rsidRPr="003D1E07">
        <w:instrText>substance:</w:instrText>
      </w:r>
      <w:r w:rsidR="006E22C9" w:rsidRPr="003D1E07">
        <w:rPr>
          <w:i/>
        </w:rPr>
        <w:instrText>aliud esse</w:instrText>
      </w:r>
      <w:r w:rsidR="006E22C9" w:rsidRPr="003D1E07">
        <w:instrText xml:space="preserve">" </w:instrText>
      </w:r>
      <w:r w:rsidR="006E22C9" w:rsidRPr="003D1E07">
        <w:rPr>
          <w:i/>
        </w:rPr>
        <w:fldChar w:fldCharType="end"/>
      </w:r>
      <w:r w:rsidR="005B2ACF" w:rsidRPr="003D1E07">
        <w:t xml:space="preserve"> </w:t>
      </w:r>
      <w:r w:rsidR="086D3DBD" w:rsidRPr="003D1E07">
        <w:t xml:space="preserve">daný ve formě substance třetího druhu </w:t>
      </w:r>
      <w:r w:rsidR="005B2ACF" w:rsidRPr="003D1E07">
        <w:t xml:space="preserve">v procesu </w:t>
      </w:r>
      <w:r w:rsidR="00874074" w:rsidRPr="003D1E07">
        <w:t>neoplatonsk</w:t>
      </w:r>
      <w:r w:rsidR="005B2ACF" w:rsidRPr="003D1E07">
        <w:t>é abstrakce (</w:t>
      </w:r>
      <w:r w:rsidR="005B2ACF" w:rsidRPr="003D1E07">
        <w:rPr>
          <w:i/>
        </w:rPr>
        <w:t>denudatio</w:t>
      </w:r>
      <w:r w:rsidR="08FB39FE" w:rsidRPr="003D1E07">
        <w:rPr>
          <w:i/>
        </w:rPr>
        <w:fldChar w:fldCharType="begin"/>
      </w:r>
      <w:r w:rsidR="08FB39FE" w:rsidRPr="003D1E07">
        <w:instrText xml:space="preserve"> XE "</w:instrText>
      </w:r>
      <w:r w:rsidR="08FB39FE" w:rsidRPr="003D1E07">
        <w:rPr>
          <w:i/>
        </w:rPr>
        <w:instrText>denudatio</w:instrText>
      </w:r>
      <w:r w:rsidR="08FB39FE" w:rsidRPr="003D1E07">
        <w:instrText xml:space="preserve">" </w:instrText>
      </w:r>
      <w:r w:rsidR="08FB39FE" w:rsidRPr="003D1E07">
        <w:rPr>
          <w:i/>
        </w:rPr>
        <w:fldChar w:fldCharType="end"/>
      </w:r>
      <w:r w:rsidR="005B2ACF" w:rsidRPr="003D1E07">
        <w:t xml:space="preserve">) je </w:t>
      </w:r>
      <w:r w:rsidR="086D3DBD" w:rsidRPr="003D1E07">
        <w:t xml:space="preserve">pro </w:t>
      </w:r>
      <w:r w:rsidR="08C63206" w:rsidRPr="003D1E07">
        <w:t xml:space="preserve">Averroese </w:t>
      </w:r>
      <w:r w:rsidR="086360EF" w:rsidRPr="003D1E07">
        <w:t>nepřijatelný</w:t>
      </w:r>
      <w:r w:rsidR="005B2ACF" w:rsidRPr="003D1E07">
        <w:t xml:space="preserve">. </w:t>
      </w:r>
      <w:r w:rsidR="00FE7908" w:rsidRPr="003D1E07">
        <w:t xml:space="preserve">Novou formu syntézy </w:t>
      </w:r>
      <w:r w:rsidR="08C63206" w:rsidRPr="003D1E07">
        <w:t>čistě aristotelského</w:t>
      </w:r>
      <w:r w:rsidR="00FE7908" w:rsidRPr="003D1E07">
        <w:t xml:space="preserve"> podání najdeme v </w:t>
      </w:r>
      <w:r w:rsidR="001C0C1B" w:rsidRPr="003D1E07">
        <w:t>Averroe</w:t>
      </w:r>
      <w:r w:rsidR="00FE7908" w:rsidRPr="003D1E07">
        <w:t xml:space="preserve">sově určení intelektu (kap. 2.4.3). </w:t>
      </w:r>
      <w:r w:rsidR="006E254F" w:rsidRPr="003D1E07">
        <w:t xml:space="preserve">Oba </w:t>
      </w:r>
      <w:r w:rsidR="00455E0C" w:rsidRPr="003D1E07">
        <w:t>náhledy</w:t>
      </w:r>
      <w:r w:rsidR="006E254F" w:rsidRPr="003D1E07">
        <w:t xml:space="preserve"> na jsoucno (</w:t>
      </w:r>
      <w:r w:rsidR="006E254F" w:rsidRPr="003D1E07">
        <w:rPr>
          <w:i/>
        </w:rPr>
        <w:t>abstractio</w:t>
      </w:r>
      <w:r w:rsidR="00455E0C" w:rsidRPr="003D1E07">
        <w:t xml:space="preserve">, </w:t>
      </w:r>
      <w:r w:rsidR="006E254F" w:rsidRPr="003D1E07">
        <w:rPr>
          <w:i/>
        </w:rPr>
        <w:t>denudatio</w:t>
      </w:r>
      <w:r w:rsidR="006E254F" w:rsidRPr="003D1E07">
        <w:t xml:space="preserve">) se protínají </w:t>
      </w:r>
      <w:r w:rsidR="08387494" w:rsidRPr="003D1E07">
        <w:t>u Al-</w:t>
      </w:r>
      <w:r w:rsidR="001C0C1B" w:rsidRPr="003D1E07">
        <w:t>Fá</w:t>
      </w:r>
      <w:r w:rsidR="006E254F" w:rsidRPr="003D1E07">
        <w:t>rábího</w:t>
      </w:r>
      <w:r w:rsidR="00455E0C" w:rsidRPr="003D1E07">
        <w:rPr>
          <w:i/>
        </w:rPr>
        <w:fldChar w:fldCharType="begin"/>
      </w:r>
      <w:r w:rsidR="00455E0C" w:rsidRPr="003D1E07">
        <w:instrText xml:space="preserve"> XE "abstrakce:Al-</w:instrText>
      </w:r>
      <w:r w:rsidR="008E02F5" w:rsidRPr="003D1E07">
        <w:instrText>Fárábí</w:instrText>
      </w:r>
      <w:r w:rsidR="00455E0C" w:rsidRPr="003D1E07">
        <w:instrText xml:space="preserve">" </w:instrText>
      </w:r>
      <w:r w:rsidR="00455E0C" w:rsidRPr="003D1E07">
        <w:rPr>
          <w:i/>
        </w:rPr>
        <w:fldChar w:fldCharType="end"/>
      </w:r>
      <w:r w:rsidR="006E254F" w:rsidRPr="003D1E07">
        <w:t xml:space="preserve"> v jednom poli </w:t>
      </w:r>
      <w:r w:rsidR="006E254F" w:rsidRPr="003D1E07">
        <w:rPr>
          <w:i/>
        </w:rPr>
        <w:t>Lichtung</w:t>
      </w:r>
      <w:r w:rsidR="08387494" w:rsidRPr="003D1E07">
        <w:t xml:space="preserve"> pravdy a nepravdy. Tato zakládající událost tragické dějinnosti moderny je daná</w:t>
      </w:r>
      <w:r w:rsidR="002645AB" w:rsidRPr="003D1E07">
        <w:t xml:space="preserve"> dvojí figurou receptivního intelektu</w:t>
      </w:r>
      <w:r w:rsidR="08984971" w:rsidRPr="003D1E07">
        <w:t xml:space="preserve">. </w:t>
      </w:r>
      <w:r w:rsidR="08AD13B4" w:rsidRPr="003D1E07">
        <w:t>D</w:t>
      </w:r>
      <w:r w:rsidR="08984971" w:rsidRPr="003D1E07">
        <w:t xml:space="preserve">vojí náhled světa </w:t>
      </w:r>
      <w:r w:rsidR="08AD13B4" w:rsidRPr="003D1E07">
        <w:t xml:space="preserve">(moderní a antimoderní) </w:t>
      </w:r>
      <w:r w:rsidR="08984971" w:rsidRPr="003D1E07">
        <w:t xml:space="preserve">je </w:t>
      </w:r>
      <w:r w:rsidR="002645AB" w:rsidRPr="003D1E07">
        <w:t>dan</w:t>
      </w:r>
      <w:r w:rsidR="08984971" w:rsidRPr="003D1E07">
        <w:t xml:space="preserve">ý </w:t>
      </w:r>
      <w:r w:rsidR="002645AB" w:rsidRPr="003D1E07">
        <w:t>vůči dvojímu nasvícení</w:t>
      </w:r>
      <w:r w:rsidR="08A84BBF" w:rsidRPr="003D1E07">
        <w:t xml:space="preserve"> smyslu jsoucna. První forma nasvícení </w:t>
      </w:r>
      <w:r w:rsidR="08061CD0" w:rsidRPr="003D1E07">
        <w:t xml:space="preserve">zepředu od první substance </w:t>
      </w:r>
      <w:r w:rsidR="08A84BBF" w:rsidRPr="003D1E07">
        <w:t xml:space="preserve">dává obecninu </w:t>
      </w:r>
      <w:r w:rsidR="08061CD0" w:rsidRPr="003D1E07">
        <w:t xml:space="preserve">ve formě aristotelské abstrakce </w:t>
      </w:r>
      <w:r w:rsidR="08A84BBF" w:rsidRPr="003D1E07">
        <w:t xml:space="preserve">existující </w:t>
      </w:r>
      <w:r w:rsidR="08061CD0" w:rsidRPr="003D1E07">
        <w:t xml:space="preserve">jako </w:t>
      </w:r>
      <w:r w:rsidR="08061CD0" w:rsidRPr="003D1E07">
        <w:rPr>
          <w:i/>
        </w:rPr>
        <w:t>aliud esse</w:t>
      </w:r>
      <w:r w:rsidR="08061CD0" w:rsidRPr="003D1E07">
        <w:t xml:space="preserve"> </w:t>
      </w:r>
      <w:r w:rsidR="08A84BBF" w:rsidRPr="003D1E07">
        <w:t xml:space="preserve">pouze v mysli </w:t>
      </w:r>
      <w:r w:rsidR="002645AB" w:rsidRPr="003D1E07">
        <w:t>(</w:t>
      </w:r>
      <w:r w:rsidR="08A84BBF" w:rsidRPr="003D1E07">
        <w:rPr>
          <w:i/>
        </w:rPr>
        <w:t>intellectus in potenc</w:t>
      </w:r>
      <w:r w:rsidR="002645AB" w:rsidRPr="003D1E07">
        <w:rPr>
          <w:i/>
        </w:rPr>
        <w:t>ia</w:t>
      </w:r>
      <w:r w:rsidR="009B1056">
        <w:rPr>
          <w:i/>
        </w:rPr>
        <w:t>/</w:t>
      </w:r>
      <w:r w:rsidR="08A84BBF" w:rsidRPr="003D1E07">
        <w:rPr>
          <w:i/>
        </w:rPr>
        <w:t>in effectu</w:t>
      </w:r>
      <w:r w:rsidR="002645AB" w:rsidRPr="003D1E07">
        <w:t>)</w:t>
      </w:r>
      <w:r w:rsidR="002645AB" w:rsidRPr="003D1E07">
        <w:rPr>
          <w:i/>
        </w:rPr>
        <w:t xml:space="preserve">. </w:t>
      </w:r>
      <w:r w:rsidR="002645AB" w:rsidRPr="003D1E07">
        <w:t>D</w:t>
      </w:r>
      <w:r w:rsidR="08A84BBF" w:rsidRPr="003D1E07">
        <w:t xml:space="preserve">ruhá </w:t>
      </w:r>
      <w:r w:rsidR="002645AB" w:rsidRPr="003D1E07">
        <w:t xml:space="preserve">forma nasvícení </w:t>
      </w:r>
      <w:r w:rsidR="08A84BBF" w:rsidRPr="003D1E07">
        <w:t xml:space="preserve">zezadu </w:t>
      </w:r>
      <w:r w:rsidR="00063BEA" w:rsidRPr="003D1E07">
        <w:t xml:space="preserve">je založena na katabázi </w:t>
      </w:r>
      <w:r w:rsidR="08A84BBF" w:rsidRPr="003D1E07">
        <w:t>kosmických forem</w:t>
      </w:r>
      <w:r w:rsidR="00063BEA" w:rsidRPr="003D1E07">
        <w:t>. Tím se</w:t>
      </w:r>
      <w:r w:rsidR="08A84BBF" w:rsidRPr="003D1E07">
        <w:t xml:space="preserve"> vytváří </w:t>
      </w:r>
      <w:r w:rsidR="08322B05" w:rsidRPr="003D1E07">
        <w:t xml:space="preserve">jako </w:t>
      </w:r>
      <w:r w:rsidR="08322B05" w:rsidRPr="003D1E07">
        <w:rPr>
          <w:i/>
        </w:rPr>
        <w:t>aliud esse</w:t>
      </w:r>
      <w:r w:rsidR="08322B05" w:rsidRPr="003D1E07">
        <w:t xml:space="preserve"> nové </w:t>
      </w:r>
      <w:r w:rsidR="08A84BBF" w:rsidRPr="003D1E07">
        <w:t>js</w:t>
      </w:r>
      <w:r w:rsidR="08916C64" w:rsidRPr="003D1E07">
        <w:t xml:space="preserve">oucno třetího druhu, protože tento význam hypostázované formy </w:t>
      </w:r>
      <w:r w:rsidR="00063BEA" w:rsidRPr="003D1E07">
        <w:t xml:space="preserve">generuje </w:t>
      </w:r>
      <w:r w:rsidR="08A84BBF" w:rsidRPr="003D1E07">
        <w:t xml:space="preserve">aktualizovaný </w:t>
      </w:r>
      <w:r w:rsidR="08916C64" w:rsidRPr="003D1E07">
        <w:t xml:space="preserve">darovaný </w:t>
      </w:r>
      <w:r w:rsidR="08A84BBF" w:rsidRPr="003D1E07">
        <w:t xml:space="preserve">intelekt </w:t>
      </w:r>
      <w:r w:rsidR="006E254F" w:rsidRPr="003D1E07">
        <w:t>(</w:t>
      </w:r>
      <w:r w:rsidR="006E254F" w:rsidRPr="003D1E07">
        <w:rPr>
          <w:i/>
        </w:rPr>
        <w:t>intellectus adeptus</w:t>
      </w:r>
      <w:r w:rsidR="08A84BBF" w:rsidRPr="003D1E07">
        <w:rPr>
          <w:i/>
        </w:rPr>
        <w:t>/agens</w:t>
      </w:r>
      <w:r w:rsidR="006E254F" w:rsidRPr="003D1E07">
        <w:t xml:space="preserve">). </w:t>
      </w:r>
      <w:r w:rsidR="004A37E9" w:rsidRPr="003D1E07">
        <w:t xml:space="preserve">Dvojí </w:t>
      </w:r>
      <w:r w:rsidR="006E254F" w:rsidRPr="003D1E07">
        <w:t xml:space="preserve">pole pravdy a nepravdy </w:t>
      </w:r>
      <w:r w:rsidR="08065548" w:rsidRPr="003D1E07">
        <w:t xml:space="preserve">vytvořené metafyzikou Druhého mistra </w:t>
      </w:r>
      <w:r w:rsidR="006E254F" w:rsidRPr="003D1E07">
        <w:t>je klíčové pro další vývoj</w:t>
      </w:r>
      <w:r w:rsidR="00A02B5E">
        <w:t xml:space="preserve"> objektivity, protože založilo objektivní dějiny metafyziky </w:t>
      </w:r>
      <w:r w:rsidR="08065548" w:rsidRPr="003D1E07">
        <w:t>v modu epocháln</w:t>
      </w:r>
      <w:r w:rsidR="08432D04" w:rsidRPr="003D1E07">
        <w:t xml:space="preserve">ího pochybení </w:t>
      </w:r>
      <w:r w:rsidR="006462EE" w:rsidRPr="003D1E07">
        <w:t>(</w:t>
      </w:r>
      <w:r w:rsidR="006462EE" w:rsidRPr="003D1E07">
        <w:rPr>
          <w:i/>
        </w:rPr>
        <w:t>Irre</w:t>
      </w:r>
      <w:r w:rsidR="006462EE" w:rsidRPr="003D1E07">
        <w:rPr>
          <w:i/>
        </w:rPr>
        <w:fldChar w:fldCharType="begin"/>
      </w:r>
      <w:r w:rsidR="006462EE" w:rsidRPr="003D1E07">
        <w:instrText xml:space="preserve"> XE "</w:instrText>
      </w:r>
      <w:r w:rsidR="006462EE" w:rsidRPr="003D1E07">
        <w:rPr>
          <w:i/>
        </w:rPr>
        <w:instrText>Irre</w:instrText>
      </w:r>
      <w:r w:rsidR="006462EE" w:rsidRPr="003D1E07">
        <w:instrText xml:space="preserve">" </w:instrText>
      </w:r>
      <w:r w:rsidR="006462EE" w:rsidRPr="003D1E07">
        <w:rPr>
          <w:i/>
        </w:rPr>
        <w:fldChar w:fldCharType="end"/>
      </w:r>
      <w:r w:rsidR="006462EE" w:rsidRPr="003D1E07">
        <w:t>)</w:t>
      </w:r>
      <w:r w:rsidR="006E254F" w:rsidRPr="003D1E07">
        <w:t xml:space="preserve">. </w:t>
      </w:r>
      <w:r w:rsidR="00523A40">
        <w:t xml:space="preserve">Vytvořením dvojí perspektivy na smysl jsoucna </w:t>
      </w:r>
      <w:r w:rsidR="00523A40">
        <w:rPr>
          <w:noProof w:val="0"/>
          <w:lang w:val="fr-FR" w:eastAsia="x-none"/>
        </w:rPr>
        <w:t>(</w:t>
      </w:r>
      <w:r w:rsidR="00523A40" w:rsidRPr="00741306">
        <w:rPr>
          <w:i/>
          <w:noProof w:val="0"/>
          <w:lang w:val="fr-FR" w:eastAsia="x-none"/>
        </w:rPr>
        <w:t>Bezugssinn</w:t>
      </w:r>
      <w:r w:rsidR="00523A40">
        <w:rPr>
          <w:i/>
          <w:noProof w:val="0"/>
          <w:lang w:val="fr-FR" w:eastAsia="x-none"/>
        </w:rPr>
        <w:fldChar w:fldCharType="begin"/>
      </w:r>
      <w:r w:rsidR="00523A40">
        <w:instrText xml:space="preserve"> XE "</w:instrText>
      </w:r>
      <w:r w:rsidR="00523A40" w:rsidRPr="00AA704F">
        <w:rPr>
          <w:i/>
          <w:noProof w:val="0"/>
          <w:lang w:val="fr-FR" w:eastAsia="x-none"/>
        </w:rPr>
        <w:instrText>Bezugssinn</w:instrText>
      </w:r>
      <w:r w:rsidR="00523A40">
        <w:instrText xml:space="preserve">" </w:instrText>
      </w:r>
      <w:r w:rsidR="00523A40">
        <w:rPr>
          <w:i/>
          <w:noProof w:val="0"/>
          <w:lang w:val="fr-FR" w:eastAsia="x-none"/>
        </w:rPr>
        <w:fldChar w:fldCharType="end"/>
      </w:r>
      <w:r w:rsidR="00523A40">
        <w:rPr>
          <w:noProof w:val="0"/>
          <w:lang w:val="fr-FR" w:eastAsia="x-none"/>
        </w:rPr>
        <w:t xml:space="preserve">) </w:t>
      </w:r>
      <w:r w:rsidR="08F041C2" w:rsidRPr="003D1E07">
        <w:t>vznikla základní dějinná událost (</w:t>
      </w:r>
      <w:r w:rsidR="08F041C2" w:rsidRPr="003D1E07">
        <w:rPr>
          <w:i/>
        </w:rPr>
        <w:t>Ereignis</w:t>
      </w:r>
      <w:r w:rsidR="08F041C2" w:rsidRPr="003D1E07">
        <w:t xml:space="preserve">) </w:t>
      </w:r>
      <w:r w:rsidR="08B12113" w:rsidRPr="003D1E07">
        <w:t>ustavující druhý</w:t>
      </w:r>
      <w:r w:rsidR="08F041C2" w:rsidRPr="003D1E07">
        <w:t xml:space="preserve"> začát</w:t>
      </w:r>
      <w:r w:rsidR="08B12113" w:rsidRPr="003D1E07">
        <w:t>ek</w:t>
      </w:r>
      <w:r w:rsidR="08F041C2" w:rsidRPr="003D1E07">
        <w:t xml:space="preserve"> metafyziky</w:t>
      </w:r>
      <w:r w:rsidR="08B12113" w:rsidRPr="003D1E07">
        <w:t xml:space="preserve"> v modu Heideggerova </w:t>
      </w:r>
      <w:r w:rsidR="00853862" w:rsidRPr="00853862">
        <w:rPr>
          <w:i/>
        </w:rPr>
        <w:t>Beginn</w:t>
      </w:r>
      <w:r w:rsidR="00853862">
        <w:rPr>
          <w:i/>
        </w:rPr>
        <w:fldChar w:fldCharType="begin"/>
      </w:r>
      <w:r w:rsidR="00853862">
        <w:instrText xml:space="preserve"> XE "</w:instrText>
      </w:r>
      <w:r w:rsidR="00853862" w:rsidRPr="00444147">
        <w:rPr>
          <w:i/>
        </w:rPr>
        <w:instrText>Beginn</w:instrText>
      </w:r>
      <w:r w:rsidR="00853862">
        <w:instrText xml:space="preserve">" </w:instrText>
      </w:r>
      <w:r w:rsidR="00853862">
        <w:rPr>
          <w:i/>
        </w:rPr>
        <w:fldChar w:fldCharType="end"/>
      </w:r>
      <w:r w:rsidR="08B12113" w:rsidRPr="003D1E07">
        <w:t xml:space="preserve">. </w:t>
      </w:r>
      <w:r w:rsidR="00851A0A" w:rsidRPr="003D1E07">
        <w:t>V pojetí pravdy jako odhalenosti jsoucna</w:t>
      </w:r>
      <w:r w:rsidR="08F54FCB" w:rsidRPr="003D1E07">
        <w:t xml:space="preserve"> (</w:t>
      </w:r>
      <w:r w:rsidR="08F54FCB" w:rsidRPr="003D1E07">
        <w:rPr>
          <w:i/>
        </w:rPr>
        <w:t>alétheia</w:t>
      </w:r>
      <w:r w:rsidR="08F54FCB" w:rsidRPr="003D1E07">
        <w:t>)</w:t>
      </w:r>
      <w:r w:rsidR="00851A0A" w:rsidRPr="003D1E07">
        <w:t xml:space="preserve"> dané </w:t>
      </w:r>
      <w:r w:rsidR="08F54FCB" w:rsidRPr="003D1E07">
        <w:t>poli po-odhalenosti (</w:t>
      </w:r>
      <w:r w:rsidR="08F54FCB" w:rsidRPr="003D1E07">
        <w:rPr>
          <w:i/>
        </w:rPr>
        <w:t>Lichtung</w:t>
      </w:r>
      <w:r w:rsidR="08F54FCB" w:rsidRPr="003D1E07">
        <w:t>) pravdy a nepravdy dané dvojím</w:t>
      </w:r>
      <w:r w:rsidR="08F43353" w:rsidRPr="003D1E07">
        <w:t xml:space="preserve"> nasvícení</w:t>
      </w:r>
      <w:r w:rsidR="08F54FCB" w:rsidRPr="003D1E07">
        <w:t>m</w:t>
      </w:r>
      <w:r w:rsidR="08F43353" w:rsidRPr="003D1E07">
        <w:t xml:space="preserve"> smyslu jsoucna </w:t>
      </w:r>
      <w:r w:rsidR="08F54FCB" w:rsidRPr="003D1E07">
        <w:t>(</w:t>
      </w:r>
      <w:r w:rsidR="08F54FCB" w:rsidRPr="003D1E07">
        <w:rPr>
          <w:i/>
        </w:rPr>
        <w:t>a/léthia</w:t>
      </w:r>
      <w:r w:rsidR="08F54FCB" w:rsidRPr="003D1E07">
        <w:t xml:space="preserve">) </w:t>
      </w:r>
      <w:r w:rsidR="00851A0A" w:rsidRPr="003D1E07">
        <w:t xml:space="preserve">se budou objektivně manifestovat </w:t>
      </w:r>
      <w:r w:rsidR="08F54FCB" w:rsidRPr="003D1E07">
        <w:t xml:space="preserve">dějiny </w:t>
      </w:r>
      <w:r w:rsidR="00851A0A" w:rsidRPr="003D1E07">
        <w:t>západního vědění</w:t>
      </w:r>
      <w:r w:rsidR="00A22746" w:rsidRPr="003D1E07">
        <w:t xml:space="preserve"> jako zásadní metafyzický omyl (</w:t>
      </w:r>
      <w:r w:rsidR="00A22746" w:rsidRPr="003D1E07">
        <w:rPr>
          <w:i/>
        </w:rPr>
        <w:t>Irrtum</w:t>
      </w:r>
      <w:r w:rsidR="00A22746" w:rsidRPr="003D1E07">
        <w:t xml:space="preserve">). </w:t>
      </w:r>
      <w:r w:rsidR="00767743" w:rsidRPr="003D1E07">
        <w:t>Hermeneutický výklad nezastřeně ukázal původní ep</w:t>
      </w:r>
      <w:r w:rsidR="0843248A" w:rsidRPr="003D1E07">
        <w:t xml:space="preserve">ochální konfiguraci objektivity v </w:t>
      </w:r>
      <w:r w:rsidR="008B1B75">
        <w:t>její múzické pravdě a nepravdě.</w:t>
      </w:r>
    </w:p>
    <w:p w14:paraId="593EE5A9" w14:textId="237FA715" w:rsidR="00B81C30" w:rsidRPr="003D1E07" w:rsidRDefault="08BD3544" w:rsidP="008B1B75">
      <w:pPr>
        <w:ind w:firstLine="397"/>
      </w:pPr>
      <w:r w:rsidRPr="003D1E07">
        <w:t xml:space="preserve">Zakladatel moderní objektivity vytvořil </w:t>
      </w:r>
      <w:r w:rsidR="0843248A" w:rsidRPr="003D1E07">
        <w:t>dvojí h</w:t>
      </w:r>
      <w:r w:rsidR="00767743" w:rsidRPr="003D1E07">
        <w:t>ermeneutické „J</w:t>
      </w:r>
      <w:r w:rsidR="00747D60" w:rsidRPr="003D1E07">
        <w:t>ak“ (</w:t>
      </w:r>
      <w:r w:rsidR="00747D60" w:rsidRPr="003D1E07">
        <w:rPr>
          <w:i/>
        </w:rPr>
        <w:t>Wie</w:t>
      </w:r>
      <w:r w:rsidR="005E2E2C" w:rsidRPr="003D1E07">
        <w:rPr>
          <w:i/>
        </w:rPr>
        <w:fldChar w:fldCharType="begin"/>
      </w:r>
      <w:r w:rsidR="005E2E2C" w:rsidRPr="003D1E07">
        <w:instrText xml:space="preserve"> XE "hermeneutické </w:instrText>
      </w:r>
      <w:r w:rsidR="005E2E2C" w:rsidRPr="003D1E07">
        <w:rPr>
          <w:i/>
        </w:rPr>
        <w:instrText>Wie:</w:instrText>
      </w:r>
      <w:r w:rsidR="00D47EF1" w:rsidRPr="003D1E07">
        <w:instrText>Al-</w:instrText>
      </w:r>
      <w:r w:rsidR="008E02F5" w:rsidRPr="003D1E07">
        <w:instrText>Fárábí</w:instrText>
      </w:r>
      <w:r w:rsidR="005E2E2C" w:rsidRPr="003D1E07">
        <w:instrText xml:space="preserve">" </w:instrText>
      </w:r>
      <w:r w:rsidR="005E2E2C" w:rsidRPr="003D1E07">
        <w:rPr>
          <w:i/>
        </w:rPr>
        <w:fldChar w:fldCharType="end"/>
      </w:r>
      <w:r w:rsidR="00AB1169" w:rsidRPr="003D1E07">
        <w:t xml:space="preserve">) </w:t>
      </w:r>
      <w:r w:rsidR="00B1003F">
        <w:t>mohou být všechny potenciální p</w:t>
      </w:r>
      <w:r w:rsidR="00AB1169" w:rsidRPr="003D1E07">
        <w:t xml:space="preserve">oznávací </w:t>
      </w:r>
      <w:r w:rsidR="00747D60" w:rsidRPr="003D1E07">
        <w:t>f</w:t>
      </w:r>
      <w:r w:rsidR="007153BF" w:rsidRPr="003D1E07">
        <w:t>ormy manifestovány</w:t>
      </w:r>
      <w:r w:rsidRPr="003D1E07">
        <w:t xml:space="preserve"> v intelektu</w:t>
      </w:r>
      <w:r w:rsidR="00941502">
        <w:t xml:space="preserve">. </w:t>
      </w:r>
      <w:r w:rsidR="002D599C">
        <w:t>Celek takto poznaného jsoucna je opravdu vzat v jeho totalitě, protože zahrnuje i objektivně určený mytologický scénář poznání.</w:t>
      </w:r>
      <w:r w:rsidR="00941502">
        <w:t xml:space="preserve"> </w:t>
      </w:r>
      <w:r w:rsidR="081C1823" w:rsidRPr="003D1E07">
        <w:t xml:space="preserve">Moderní </w:t>
      </w:r>
      <w:r w:rsidR="00747D60" w:rsidRPr="003D1E07">
        <w:t xml:space="preserve">noemata, formy, inteligibilia, matematické a filosofické pojmy atd. jsou dané a zjevené skrze myšlení determinované nasvícením zezadu. </w:t>
      </w:r>
      <w:r w:rsidR="08965406" w:rsidRPr="003D1E07">
        <w:t>V</w:t>
      </w:r>
      <w:r w:rsidR="00747D60" w:rsidRPr="003D1E07">
        <w:t xml:space="preserve"> kategoriální predikaci jednoty materiálních forem daných impozicí významu směrem od primátu první substance existující </w:t>
      </w:r>
      <w:r w:rsidR="00747D60" w:rsidRPr="003D1E07">
        <w:rPr>
          <w:i/>
        </w:rPr>
        <w:t>per se</w:t>
      </w:r>
      <w:r w:rsidR="00747D60" w:rsidRPr="003D1E07">
        <w:t xml:space="preserve"> </w:t>
      </w:r>
      <w:r w:rsidR="08D85EE5" w:rsidRPr="003D1E07">
        <w:t xml:space="preserve">naopak </w:t>
      </w:r>
      <w:r w:rsidR="00747D60" w:rsidRPr="003D1E07">
        <w:t xml:space="preserve">nemá </w:t>
      </w:r>
      <w:r w:rsidR="00874074" w:rsidRPr="003D1E07">
        <w:t>neoplatonsk</w:t>
      </w:r>
      <w:r w:rsidR="00BA0792" w:rsidRPr="003D1E07">
        <w:t xml:space="preserve">ý </w:t>
      </w:r>
      <w:r w:rsidR="00747D60" w:rsidRPr="003D1E07">
        <w:rPr>
          <w:i/>
        </w:rPr>
        <w:t>intellectus adeptus</w:t>
      </w:r>
      <w:r w:rsidR="00747D60" w:rsidRPr="003D1E07">
        <w:t xml:space="preserve"> </w:t>
      </w:r>
      <w:r w:rsidR="08965406" w:rsidRPr="003D1E07">
        <w:t>žádnou funkci</w:t>
      </w:r>
      <w:r w:rsidR="00747D60" w:rsidRPr="003D1E07">
        <w:t xml:space="preserve">. </w:t>
      </w:r>
      <w:r w:rsidR="08FA21BB" w:rsidRPr="003D1E07">
        <w:t xml:space="preserve">Poznání vzniká pouze v rámci čistě lidského </w:t>
      </w:r>
      <w:r w:rsidR="08FA21BB" w:rsidRPr="003D1E07">
        <w:rPr>
          <w:i/>
        </w:rPr>
        <w:t>intellectus agens</w:t>
      </w:r>
      <w:r w:rsidR="08FA21BB" w:rsidRPr="003D1E07">
        <w:t xml:space="preserve">, který funguje jako následná poznávací forma pro receptivní </w:t>
      </w:r>
      <w:r w:rsidR="08FA21BB" w:rsidRPr="003D1E07">
        <w:rPr>
          <w:i/>
        </w:rPr>
        <w:t>intellectus in potentia</w:t>
      </w:r>
      <w:r w:rsidR="08FA21BB" w:rsidRPr="003D1E07">
        <w:t>, jenž je aktualizovaný ze smyslového poznání. Spojením obou čistě lidských intelektů (</w:t>
      </w:r>
      <w:r w:rsidR="08FA21BB" w:rsidRPr="003D1E07">
        <w:rPr>
          <w:i/>
        </w:rPr>
        <w:t>possibilis</w:t>
      </w:r>
      <w:r w:rsidR="08FA21BB" w:rsidRPr="003D1E07">
        <w:t xml:space="preserve">, </w:t>
      </w:r>
      <w:r w:rsidR="08FA21BB" w:rsidRPr="003D1E07">
        <w:rPr>
          <w:i/>
        </w:rPr>
        <w:t>agens</w:t>
      </w:r>
      <w:r w:rsidR="08FA21BB" w:rsidRPr="003D1E07">
        <w:t xml:space="preserve">) vzniká výsledný poznatek </w:t>
      </w:r>
      <w:r w:rsidR="08FA21BB" w:rsidRPr="003D1E07">
        <w:lastRenderedPageBreak/>
        <w:t>daný v plně aktualizovaném intelektu (</w:t>
      </w:r>
      <w:r w:rsidR="08FA21BB" w:rsidRPr="003D1E07">
        <w:rPr>
          <w:i/>
        </w:rPr>
        <w:t>intellectus in effectu</w:t>
      </w:r>
      <w:r w:rsidR="08FA21BB" w:rsidRPr="003D1E07">
        <w:t xml:space="preserve">). </w:t>
      </w:r>
      <w:r w:rsidR="00725352">
        <w:t>V aristotelismu platí, že v</w:t>
      </w:r>
      <w:r w:rsidR="00747D60" w:rsidRPr="003D1E07">
        <w:t xml:space="preserve">šechny </w:t>
      </w:r>
      <w:r w:rsidR="08376A93" w:rsidRPr="003D1E07">
        <w:t xml:space="preserve">subsistentní </w:t>
      </w:r>
      <w:r w:rsidR="00747D60" w:rsidRPr="003D1E07">
        <w:t xml:space="preserve">formy </w:t>
      </w:r>
      <w:r w:rsidR="08376A93" w:rsidRPr="003D1E07">
        <w:t xml:space="preserve">a jsoucna třetího druhu </w:t>
      </w:r>
      <w:r w:rsidR="00747D60" w:rsidRPr="003D1E07">
        <w:t>jsou pro auton</w:t>
      </w:r>
      <w:r w:rsidR="08AF25AF" w:rsidRPr="003D1E07">
        <w:t xml:space="preserve">omní lidské poznání </w:t>
      </w:r>
      <w:r w:rsidR="083D6D64" w:rsidRPr="003D1E07">
        <w:t xml:space="preserve">naprosto a úplně </w:t>
      </w:r>
      <w:r w:rsidR="08AF25AF" w:rsidRPr="003D1E07">
        <w:t>zbytečná</w:t>
      </w:r>
      <w:r w:rsidR="08B109E1" w:rsidRPr="003D1E07">
        <w:t xml:space="preserve">. Podle již uvedené argumentace typu </w:t>
      </w:r>
      <w:r w:rsidR="08B109E1" w:rsidRPr="003D1E07">
        <w:rPr>
          <w:i/>
        </w:rPr>
        <w:t>destructio primis</w:t>
      </w:r>
      <w:r w:rsidR="00D53BC0">
        <w:rPr>
          <w:i/>
        </w:rPr>
        <w:t xml:space="preserve"> </w:t>
      </w:r>
      <w:r w:rsidR="08B109E1" w:rsidRPr="003D1E07">
        <w:rPr>
          <w:i/>
        </w:rPr>
        <w:fldChar w:fldCharType="begin"/>
      </w:r>
      <w:r w:rsidR="08B109E1" w:rsidRPr="003D1E07">
        <w:instrText xml:space="preserve"> XE "</w:instrText>
      </w:r>
      <w:r w:rsidR="08B109E1" w:rsidRPr="003D1E07">
        <w:rPr>
          <w:i/>
        </w:rPr>
        <w:instrText>destructio primis</w:instrText>
      </w:r>
      <w:r w:rsidR="08B109E1" w:rsidRPr="003D1E07">
        <w:instrText xml:space="preserve">" </w:instrText>
      </w:r>
      <w:r w:rsidR="08B109E1" w:rsidRPr="003D1E07">
        <w:rPr>
          <w:i/>
        </w:rPr>
        <w:fldChar w:fldCharType="end"/>
      </w:r>
      <w:r w:rsidR="08B109E1" w:rsidRPr="003D1E07">
        <w:t>(kap. 1.3) jsoucno třetího druhu nemá</w:t>
      </w:r>
      <w:r w:rsidR="083D6D64" w:rsidRPr="003D1E07">
        <w:t xml:space="preserve"> jak existovat</w:t>
      </w:r>
      <w:r w:rsidR="08376A93" w:rsidRPr="003D1E07">
        <w:t xml:space="preserve">. </w:t>
      </w:r>
      <w:r w:rsidR="08B109E1" w:rsidRPr="003D1E07">
        <w:t>Tento postup argumentace známý jako „Ockhamova</w:t>
      </w:r>
      <w:r w:rsidR="082B162E" w:rsidRPr="003D1E07">
        <w:t xml:space="preserve"> břitv</w:t>
      </w:r>
      <w:r w:rsidR="08B109E1" w:rsidRPr="003D1E07">
        <w:t>a“</w:t>
      </w:r>
      <w:r w:rsidR="083D6D64" w:rsidRPr="003D1E07">
        <w:fldChar w:fldCharType="begin"/>
      </w:r>
      <w:r w:rsidR="083D6D64" w:rsidRPr="003D1E07">
        <w:instrText xml:space="preserve"> XE "Ockhamova břitva" </w:instrText>
      </w:r>
      <w:r w:rsidR="083D6D64" w:rsidRPr="003D1E07">
        <w:fldChar w:fldCharType="end"/>
      </w:r>
      <w:r w:rsidR="083D6D64" w:rsidRPr="003D1E07">
        <w:t xml:space="preserve"> </w:t>
      </w:r>
      <w:r w:rsidR="006D2200">
        <w:t xml:space="preserve">(OBJ III, kap. 5.4.2) </w:t>
      </w:r>
      <w:r w:rsidR="083D6D64" w:rsidRPr="003D1E07">
        <w:t xml:space="preserve">poprvé </w:t>
      </w:r>
      <w:r w:rsidR="08C96041" w:rsidRPr="003D1E07">
        <w:t xml:space="preserve">použije </w:t>
      </w:r>
      <w:r w:rsidR="083D6D64" w:rsidRPr="003D1E07">
        <w:t>Av</w:t>
      </w:r>
      <w:r w:rsidR="082B162E" w:rsidRPr="003D1E07">
        <w:t>erro</w:t>
      </w:r>
      <w:r w:rsidR="083D6D64" w:rsidRPr="003D1E07">
        <w:t>es</w:t>
      </w:r>
      <w:r w:rsidR="00BF4805">
        <w:t xml:space="preserve"> proti Avicennově projektu objektivního diakosmu</w:t>
      </w:r>
      <w:r w:rsidR="083D6D64" w:rsidRPr="003D1E07">
        <w:t xml:space="preserve">. </w:t>
      </w:r>
      <w:r w:rsidR="08C96041" w:rsidRPr="003D1E07">
        <w:t>J</w:t>
      </w:r>
      <w:r w:rsidR="08505853" w:rsidRPr="003D1E07">
        <w:t xml:space="preserve">soucna třetího druhu </w:t>
      </w:r>
      <w:r w:rsidR="00747D60" w:rsidRPr="003D1E07">
        <w:t xml:space="preserve">patří do </w:t>
      </w:r>
      <w:r w:rsidR="08505853" w:rsidRPr="003D1E07">
        <w:t>onto</w:t>
      </w:r>
      <w:r w:rsidR="00747D60" w:rsidRPr="003D1E07">
        <w:t>teologie</w:t>
      </w:r>
      <w:r w:rsidR="08505853" w:rsidRPr="003D1E07">
        <w:t xml:space="preserve"> </w:t>
      </w:r>
      <w:r w:rsidR="00CB191F" w:rsidRPr="003D1E07">
        <w:t>nebo do objektivní mytol</w:t>
      </w:r>
      <w:r w:rsidR="08280201" w:rsidRPr="003D1E07">
        <w:t xml:space="preserve">ogie dané </w:t>
      </w:r>
      <w:r w:rsidR="08F32723" w:rsidRPr="003D1E07">
        <w:t>mytopoetickým</w:t>
      </w:r>
      <w:r w:rsidR="08616081" w:rsidRPr="003D1E07">
        <w:fldChar w:fldCharType="begin"/>
      </w:r>
      <w:r w:rsidR="08616081" w:rsidRPr="003D1E07">
        <w:instrText xml:space="preserve"> XE "</w:instrText>
      </w:r>
      <w:r w:rsidR="000F4400" w:rsidRPr="003D1E07">
        <w:instrText>mytopoiesis</w:instrText>
      </w:r>
      <w:r w:rsidR="08616081" w:rsidRPr="003D1E07">
        <w:instrText xml:space="preserve">" </w:instrText>
      </w:r>
      <w:r w:rsidR="08616081" w:rsidRPr="003D1E07">
        <w:fldChar w:fldCharType="end"/>
      </w:r>
      <w:r w:rsidR="08F32723" w:rsidRPr="003D1E07">
        <w:t xml:space="preserve"> výkladem diakosmu podle </w:t>
      </w:r>
      <w:r w:rsidR="08280201" w:rsidRPr="003D1E07">
        <w:t xml:space="preserve">dialogu </w:t>
      </w:r>
      <w:r w:rsidR="08280201" w:rsidRPr="003D1E07">
        <w:rPr>
          <w:i/>
        </w:rPr>
        <w:t>Ti</w:t>
      </w:r>
      <w:r w:rsidR="00CB191F" w:rsidRPr="003D1E07">
        <w:rPr>
          <w:i/>
        </w:rPr>
        <w:t>maios</w:t>
      </w:r>
      <w:r w:rsidR="00372E82" w:rsidRPr="003D1E07">
        <w:fldChar w:fldCharType="begin"/>
      </w:r>
      <w:r w:rsidR="00372E82" w:rsidRPr="003D1E07">
        <w:instrText xml:space="preserve"> XE "</w:instrText>
      </w:r>
      <w:r w:rsidR="00D47EF1" w:rsidRPr="003D1E07">
        <w:instrText>diakosmos</w:instrText>
      </w:r>
      <w:r w:rsidR="00372E82" w:rsidRPr="003D1E07">
        <w:instrText xml:space="preserve">" </w:instrText>
      </w:r>
      <w:r w:rsidR="00372E82" w:rsidRPr="003D1E07">
        <w:fldChar w:fldCharType="end"/>
      </w:r>
      <w:r w:rsidR="00747D60" w:rsidRPr="003D1E07">
        <w:t xml:space="preserve">. </w:t>
      </w:r>
      <w:r w:rsidR="008E02F5" w:rsidRPr="003D1E07">
        <w:t>Aristoteles</w:t>
      </w:r>
      <w:r w:rsidR="00F62BAE" w:rsidRPr="003D1E07">
        <w:t xml:space="preserve"> </w:t>
      </w:r>
      <w:r w:rsidR="006D10EC" w:rsidRPr="003D1E07">
        <w:t xml:space="preserve">a jeho </w:t>
      </w:r>
      <w:r w:rsidR="003F04CA" w:rsidRPr="003D1E07">
        <w:t xml:space="preserve">kritičtí </w:t>
      </w:r>
      <w:r w:rsidR="006D10EC" w:rsidRPr="003D1E07">
        <w:t>nástupci ve falsafě a v prvním averroi</w:t>
      </w:r>
      <w:r w:rsidR="0031150D" w:rsidRPr="003D1E07">
        <w:t>sm</w:t>
      </w:r>
      <w:r w:rsidR="006D10EC" w:rsidRPr="003D1E07">
        <w:t xml:space="preserve">u </w:t>
      </w:r>
      <w:r w:rsidR="00F62BAE" w:rsidRPr="003D1E07">
        <w:t>nevěřil</w:t>
      </w:r>
      <w:r w:rsidR="006D10EC" w:rsidRPr="003D1E07">
        <w:t>i</w:t>
      </w:r>
      <w:r w:rsidR="00F62BAE" w:rsidRPr="003D1E07">
        <w:t xml:space="preserve"> na filosofické pohádky, i když uznával</w:t>
      </w:r>
      <w:r w:rsidR="006D10EC" w:rsidRPr="003D1E07">
        <w:t>i</w:t>
      </w:r>
      <w:r w:rsidR="00F62BAE" w:rsidRPr="003D1E07">
        <w:t xml:space="preserve"> jejich pedagogickou hodnotu. </w:t>
      </w:r>
      <w:r w:rsidR="002C6637" w:rsidRPr="003D1E07">
        <w:t>Jejich nekritiční a dogmatičtí současníci (</w:t>
      </w:r>
      <w:r w:rsidR="002C6637" w:rsidRPr="003D1E07">
        <w:rPr>
          <w:i/>
        </w:rPr>
        <w:t>Moderni</w:t>
      </w:r>
      <w:r w:rsidR="00B86F73" w:rsidRPr="003D1E07">
        <w:rPr>
          <w:i/>
        </w:rPr>
        <w:fldChar w:fldCharType="begin"/>
      </w:r>
      <w:r w:rsidR="00B86F73" w:rsidRPr="003D1E07">
        <w:instrText xml:space="preserve"> XE "averroismus:</w:instrText>
      </w:r>
      <w:r w:rsidR="00B86F73" w:rsidRPr="003D1E07">
        <w:rPr>
          <w:i/>
        </w:rPr>
        <w:instrText>Moderni</w:instrText>
      </w:r>
      <w:r w:rsidR="00B86F73" w:rsidRPr="003D1E07">
        <w:instrText xml:space="preserve">" </w:instrText>
      </w:r>
      <w:r w:rsidR="00B86F73" w:rsidRPr="003D1E07">
        <w:rPr>
          <w:i/>
        </w:rPr>
        <w:fldChar w:fldCharType="end"/>
      </w:r>
      <w:r w:rsidR="002C6637" w:rsidRPr="003D1E07">
        <w:t xml:space="preserve">) naopak dělali z filosofických mýtů novou formu objektivní metafyziky. </w:t>
      </w:r>
      <w:r w:rsidR="00E8310E" w:rsidRPr="003D1E07">
        <w:t xml:space="preserve">Klíčový rozdíl je dán tím či oním výkladem receptivity intelektu podle </w:t>
      </w:r>
      <w:r w:rsidR="00E8310E" w:rsidRPr="003D1E07">
        <w:rPr>
          <w:i/>
        </w:rPr>
        <w:t>De anima</w:t>
      </w:r>
      <w:r w:rsidR="080A224D" w:rsidRPr="003D1E07">
        <w:t>, který</w:t>
      </w:r>
      <w:r w:rsidR="00E8310E" w:rsidRPr="003D1E07">
        <w:t xml:space="preserve"> hermeneutika charakterizuje nasvícením zepředu nebo zezadu. Klasický aristotelismus tvrdí, že p</w:t>
      </w:r>
      <w:r w:rsidR="00747D60" w:rsidRPr="003D1E07">
        <w:t xml:space="preserve">roces determinace poznání běží od aktuality první substance dané hylemorficky. První substance je daná </w:t>
      </w:r>
      <w:r w:rsidR="00747D60" w:rsidRPr="003D1E07">
        <w:rPr>
          <w:i/>
        </w:rPr>
        <w:t>per se</w:t>
      </w:r>
      <w:r w:rsidR="00747D60" w:rsidRPr="003D1E07">
        <w:t xml:space="preserve"> a je absolutně jednoduchá, druhá substance je daná </w:t>
      </w:r>
      <w:r w:rsidR="00747D60" w:rsidRPr="003D1E07">
        <w:rPr>
          <w:i/>
        </w:rPr>
        <w:t>per posterius</w:t>
      </w:r>
      <w:r w:rsidR="00747D60" w:rsidRPr="003D1E07">
        <w:t xml:space="preserve"> vzhledem k první a její význam je složený z rodu, druhu a diference (kap. 1.</w:t>
      </w:r>
      <w:r w:rsidR="08AF6B7D" w:rsidRPr="003D1E07">
        <w:t>3</w:t>
      </w:r>
      <w:r w:rsidR="00747D60" w:rsidRPr="003D1E07">
        <w:t>). Aristotelská intelig</w:t>
      </w:r>
      <w:r w:rsidR="08C34D40" w:rsidRPr="003D1E07">
        <w:t xml:space="preserve">ibilia jsou daná pouze v mysli. Proto </w:t>
      </w:r>
      <w:r w:rsidR="00747D60" w:rsidRPr="003D1E07">
        <w:t>nemaj</w:t>
      </w:r>
      <w:r w:rsidR="00454097" w:rsidRPr="003D1E07">
        <w:t xml:space="preserve">í statut </w:t>
      </w:r>
      <w:r w:rsidR="08B958D9" w:rsidRPr="003D1E07">
        <w:t xml:space="preserve">ani </w:t>
      </w:r>
      <w:r w:rsidR="00454097" w:rsidRPr="003D1E07">
        <w:t>autonomních plato</w:t>
      </w:r>
      <w:r w:rsidR="00747D60" w:rsidRPr="003D1E07">
        <w:t>nských forem</w:t>
      </w:r>
      <w:r w:rsidR="00454097" w:rsidRPr="003D1E07">
        <w:t xml:space="preserve">  ani neoplato</w:t>
      </w:r>
      <w:r w:rsidR="00747D60" w:rsidRPr="003D1E07">
        <w:t>nských objektivních jsoucen třetího druhu.</w:t>
      </w:r>
      <w:r w:rsidR="080E7107" w:rsidRPr="003D1E07">
        <w:t xml:space="preserve"> </w:t>
      </w:r>
      <w:r w:rsidR="08A314E0" w:rsidRPr="003D1E07">
        <w:t xml:space="preserve">Lidská duše nejprve </w:t>
      </w:r>
      <w:r w:rsidR="00747D60" w:rsidRPr="003D1E07">
        <w:t xml:space="preserve">provádí aktualizaci možného (tj. materiálního) intelektu tím, že </w:t>
      </w:r>
      <w:r w:rsidR="08A314E0" w:rsidRPr="003D1E07">
        <w:t>provede recepci smyslových poznatků v tzv. „materiálním“ neboli „možném“ či „potenciálním“ intelektu. Tím</w:t>
      </w:r>
      <w:r w:rsidR="086E26F2" w:rsidRPr="003D1E07">
        <w:t>to</w:t>
      </w:r>
      <w:r w:rsidR="08A314E0" w:rsidRPr="003D1E07">
        <w:t xml:space="preserve"> způsobem se </w:t>
      </w:r>
      <w:r w:rsidR="086E26F2" w:rsidRPr="003D1E07">
        <w:t xml:space="preserve">přivede inteligibilní intence </w:t>
      </w:r>
      <w:r w:rsidR="08A314E0" w:rsidRPr="003D1E07">
        <w:t xml:space="preserve">k činnému neboli abstrahujícímu intelektu. Výsledný pojem signifikuje první a proto oddělenou a reálnou první substanci v modu završení, tedy skrze </w:t>
      </w:r>
      <w:r w:rsidR="089108A9" w:rsidRPr="003D1E07">
        <w:t xml:space="preserve">metafyzický </w:t>
      </w:r>
      <w:r w:rsidR="08A314E0" w:rsidRPr="003D1E07">
        <w:t xml:space="preserve">dativ. </w:t>
      </w:r>
      <w:r w:rsidR="080E7107" w:rsidRPr="003D1E07">
        <w:t xml:space="preserve">Poznání vznikne v aktu intelektuální donace a </w:t>
      </w:r>
      <w:r w:rsidR="086E26F2" w:rsidRPr="003D1E07">
        <w:t xml:space="preserve">výsledná poznaná forma je </w:t>
      </w:r>
      <w:r w:rsidR="080E7107" w:rsidRPr="003D1E07">
        <w:t>přiřazen</w:t>
      </w:r>
      <w:r w:rsidR="086E26F2" w:rsidRPr="003D1E07">
        <w:t>a</w:t>
      </w:r>
      <w:r w:rsidR="080E7107" w:rsidRPr="003D1E07">
        <w:t xml:space="preserve"> k aktivitě efektivně završeného intelektu</w:t>
      </w:r>
      <w:r w:rsidR="00747D60" w:rsidRPr="003D1E07">
        <w:t xml:space="preserve"> (</w:t>
      </w:r>
      <w:r w:rsidR="00747D60" w:rsidRPr="003D1E07">
        <w:rPr>
          <w:i/>
        </w:rPr>
        <w:t>quasi forma intellectui in effectu</w:t>
      </w:r>
      <w:r w:rsidR="08464598" w:rsidRPr="003D1E07">
        <w:t xml:space="preserve">). Výsledný pojem </w:t>
      </w:r>
      <w:r w:rsidR="00747D60" w:rsidRPr="003D1E07">
        <w:t xml:space="preserve">signifikuje v řádu poznání ontologický primát </w:t>
      </w:r>
      <w:r w:rsidR="08464598" w:rsidRPr="003D1E07">
        <w:t xml:space="preserve">první </w:t>
      </w:r>
      <w:r w:rsidR="00747D60" w:rsidRPr="003D1E07">
        <w:t>substance</w:t>
      </w:r>
      <w:r w:rsidR="083565F7" w:rsidRPr="003D1E07">
        <w:t xml:space="preserve">. Proto je </w:t>
      </w:r>
      <w:r w:rsidR="08280201" w:rsidRPr="003D1E07">
        <w:t xml:space="preserve">klíčové slůvko </w:t>
      </w:r>
      <w:r w:rsidR="005C215E" w:rsidRPr="003D1E07">
        <w:rPr>
          <w:i/>
        </w:rPr>
        <w:t>quasi</w:t>
      </w:r>
      <w:r w:rsidR="08AF25AF" w:rsidRPr="003D1E07">
        <w:rPr>
          <w:i/>
        </w:rPr>
        <w:t xml:space="preserve"> </w:t>
      </w:r>
      <w:r w:rsidR="08AF25AF" w:rsidRPr="003D1E07">
        <w:t xml:space="preserve">přidané k intelektu jako </w:t>
      </w:r>
      <w:r w:rsidR="089D3A0B" w:rsidRPr="003D1E07">
        <w:t xml:space="preserve">aktualizované </w:t>
      </w:r>
      <w:r w:rsidR="08AF25AF" w:rsidRPr="003D1E07">
        <w:t>formě</w:t>
      </w:r>
      <w:r w:rsidR="083565F7" w:rsidRPr="003D1E07">
        <w:t xml:space="preserve">. Pro aristotelika Abunasera </w:t>
      </w:r>
      <w:r w:rsidR="08464598" w:rsidRPr="003D1E07">
        <w:rPr>
          <w:i/>
        </w:rPr>
        <w:t>intellectus in potencia</w:t>
      </w:r>
      <w:r w:rsidR="08464598" w:rsidRPr="003D1E07">
        <w:t xml:space="preserve"> </w:t>
      </w:r>
      <w:r w:rsidR="08AF25AF" w:rsidRPr="003D1E07">
        <w:t xml:space="preserve">není ani substancí ani </w:t>
      </w:r>
      <w:r w:rsidR="089D3A0B" w:rsidRPr="003D1E07">
        <w:t xml:space="preserve">aktuální </w:t>
      </w:r>
      <w:r w:rsidR="08AF25AF" w:rsidRPr="003D1E07">
        <w:t>hypostází</w:t>
      </w:r>
      <w:r w:rsidR="00AE7CC0" w:rsidRPr="003D1E07">
        <w:fldChar w:fldCharType="begin"/>
      </w:r>
      <w:r w:rsidR="00AE7CC0" w:rsidRPr="003D1E07">
        <w:instrText xml:space="preserve"> XE "substance:Al-</w:instrText>
      </w:r>
      <w:r w:rsidR="008E02F5" w:rsidRPr="003D1E07">
        <w:instrText>Fárábí</w:instrText>
      </w:r>
      <w:r w:rsidR="00AE7CC0" w:rsidRPr="003D1E07">
        <w:instrText xml:space="preserve">" </w:instrText>
      </w:r>
      <w:r w:rsidR="00AE7CC0" w:rsidRPr="003D1E07">
        <w:fldChar w:fldCharType="end"/>
      </w:r>
      <w:r w:rsidR="005406AE" w:rsidRPr="003D1E07">
        <w:t xml:space="preserve">. </w:t>
      </w:r>
      <w:r w:rsidR="002F5C7A" w:rsidRPr="002F5C7A">
        <w:t xml:space="preserve">Tento problematický status mají </w:t>
      </w:r>
      <w:r w:rsidR="002F5C7A" w:rsidRPr="002F5C7A">
        <w:rPr>
          <w:i/>
        </w:rPr>
        <w:t>intellectus adeptus</w:t>
      </w:r>
      <w:r w:rsidR="002F5C7A" w:rsidRPr="002F5C7A">
        <w:t xml:space="preserve"> a </w:t>
      </w:r>
      <w:r w:rsidR="002F5C7A" w:rsidRPr="002F5C7A">
        <w:rPr>
          <w:i/>
        </w:rPr>
        <w:t>intellectus agens</w:t>
      </w:r>
      <w:r w:rsidR="002F5C7A" w:rsidRPr="002F5C7A">
        <w:t>.</w:t>
      </w:r>
      <w:r w:rsidR="002F5C7A">
        <w:t xml:space="preserve"> Receptovní i</w:t>
      </w:r>
      <w:r w:rsidR="08AF25AF" w:rsidRPr="003D1E07">
        <w:t xml:space="preserve">ntelekt </w:t>
      </w:r>
      <w:r w:rsidR="08960136" w:rsidRPr="003D1E07">
        <w:t>představu</w:t>
      </w:r>
      <w:r w:rsidR="08AF25AF" w:rsidRPr="003D1E07">
        <w:t xml:space="preserve">je </w:t>
      </w:r>
      <w:r w:rsidR="08BA4193" w:rsidRPr="003D1E07">
        <w:t>poznávací potenci reálné osoby, pro</w:t>
      </w:r>
      <w:r w:rsidR="08960136" w:rsidRPr="003D1E07">
        <w:t>t</w:t>
      </w:r>
      <w:r w:rsidR="08BA4193" w:rsidRPr="003D1E07">
        <w:t>o</w:t>
      </w:r>
      <w:r w:rsidR="08960136" w:rsidRPr="003D1E07">
        <w:t xml:space="preserve">že </w:t>
      </w:r>
      <w:r w:rsidR="08AF25AF" w:rsidRPr="003D1E07">
        <w:t xml:space="preserve">jen </w:t>
      </w:r>
      <w:r w:rsidR="08960136" w:rsidRPr="003D1E07">
        <w:t xml:space="preserve">osoba je první </w:t>
      </w:r>
      <w:r w:rsidR="005406AE" w:rsidRPr="003D1E07">
        <w:t xml:space="preserve">substance </w:t>
      </w:r>
      <w:r w:rsidR="08960136" w:rsidRPr="003D1E07">
        <w:t xml:space="preserve">daná </w:t>
      </w:r>
      <w:r w:rsidR="00747D60" w:rsidRPr="003D1E07">
        <w:rPr>
          <w:i/>
        </w:rPr>
        <w:t>per se</w:t>
      </w:r>
      <w:r w:rsidR="08B2575D" w:rsidRPr="003D1E07">
        <w:t xml:space="preserve">. Pojetí intelektu jako substance </w:t>
      </w:r>
      <w:r w:rsidR="00747D60" w:rsidRPr="003D1E07">
        <w:t xml:space="preserve">není v aristotelismu možné, protože realita první substance je ontologicky něco úplně jiného než </w:t>
      </w:r>
      <w:r w:rsidR="08B8396B" w:rsidRPr="003D1E07">
        <w:t xml:space="preserve">univerzální </w:t>
      </w:r>
      <w:r w:rsidR="00747D60" w:rsidRPr="003D1E07">
        <w:t>význam</w:t>
      </w:r>
      <w:r w:rsidR="001762AC" w:rsidRPr="003D1E07">
        <w:t xml:space="preserve"> daný pouze potenciálně</w:t>
      </w:r>
      <w:r w:rsidR="00747D60" w:rsidRPr="003D1E07">
        <w:t>. Spor o povahu intelektu v závislosti na tom či onom způs</w:t>
      </w:r>
      <w:r w:rsidR="00807E55" w:rsidRPr="003D1E07">
        <w:t>obu zjevování bytí jsoucího určil</w:t>
      </w:r>
      <w:r w:rsidR="00747D60" w:rsidRPr="003D1E07">
        <w:t xml:space="preserve"> povahu západní objektivity.</w:t>
      </w:r>
      <w:r w:rsidR="008274E1">
        <w:t xml:space="preserve"> H</w:t>
      </w:r>
      <w:r w:rsidR="00C0010D" w:rsidRPr="003D1E07">
        <w:t>ermeneutik</w:t>
      </w:r>
      <w:r w:rsidR="008274E1">
        <w:t>a</w:t>
      </w:r>
      <w:r w:rsidR="00C0010D" w:rsidRPr="003D1E07">
        <w:fldChar w:fldCharType="begin"/>
      </w:r>
      <w:r w:rsidR="00C0010D" w:rsidRPr="003D1E07">
        <w:instrText xml:space="preserve"> XE "hermeneutika:archaická" </w:instrText>
      </w:r>
      <w:r w:rsidR="00C0010D" w:rsidRPr="003D1E07">
        <w:fldChar w:fldCharType="end"/>
      </w:r>
      <w:r w:rsidR="00C0010D" w:rsidRPr="003D1E07">
        <w:t xml:space="preserve"> vyklád</w:t>
      </w:r>
      <w:r w:rsidR="008274E1">
        <w:t xml:space="preserve">á </w:t>
      </w:r>
      <w:r w:rsidR="00C0010D" w:rsidRPr="003D1E07">
        <w:lastRenderedPageBreak/>
        <w:t xml:space="preserve">objektivitu v modu </w:t>
      </w:r>
      <w:r w:rsidR="00C0010D" w:rsidRPr="003D1E07">
        <w:rPr>
          <w:i/>
        </w:rPr>
        <w:t>a/létheia</w:t>
      </w:r>
      <w:r w:rsidR="085A313E" w:rsidRPr="003D1E07">
        <w:rPr>
          <w:i/>
        </w:rPr>
        <w:fldChar w:fldCharType="begin"/>
      </w:r>
      <w:r w:rsidR="085A313E" w:rsidRPr="003D1E07">
        <w:instrText xml:space="preserve"> XE "</w:instrText>
      </w:r>
      <w:r w:rsidR="085A313E" w:rsidRPr="003D1E07">
        <w:rPr>
          <w:i/>
          <w:lang w:eastAsia="en-US"/>
        </w:rPr>
        <w:instrText>a/létheia</w:instrText>
      </w:r>
      <w:r w:rsidR="085A313E" w:rsidRPr="003D1E07">
        <w:instrText xml:space="preserve">" </w:instrText>
      </w:r>
      <w:r w:rsidR="085A313E" w:rsidRPr="003D1E07">
        <w:rPr>
          <w:i/>
        </w:rPr>
        <w:fldChar w:fldCharType="end"/>
      </w:r>
      <w:r w:rsidR="008274E1">
        <w:t xml:space="preserve">. Pak </w:t>
      </w:r>
      <w:r w:rsidR="00C0010D" w:rsidRPr="003D1E07">
        <w:t xml:space="preserve">platí, že Abunaser založil </w:t>
      </w:r>
      <w:r w:rsidR="008274E1">
        <w:t xml:space="preserve">počátek </w:t>
      </w:r>
      <w:r w:rsidR="00DF6DAA">
        <w:t>nové metafyziky</w:t>
      </w:r>
      <w:r w:rsidR="08D615FF" w:rsidRPr="003D1E07">
        <w:t xml:space="preserve">. </w:t>
      </w:r>
      <w:r w:rsidR="00A33500">
        <w:t>K</w:t>
      </w:r>
      <w:r w:rsidR="00CF5FEF">
        <w:t xml:space="preserve">ompletní figuru </w:t>
      </w:r>
      <w:r w:rsidR="00630507" w:rsidRPr="003D1E07">
        <w:t>objektivní</w:t>
      </w:r>
      <w:r w:rsidR="00CF5FEF">
        <w:t xml:space="preserve"> </w:t>
      </w:r>
      <w:r w:rsidR="00630507" w:rsidRPr="003D1E07">
        <w:t xml:space="preserve">metafyziky na latinském Západě </w:t>
      </w:r>
      <w:r w:rsidR="00CF5FEF">
        <w:t xml:space="preserve">vytvoří </w:t>
      </w:r>
      <w:r w:rsidR="00630507" w:rsidRPr="003D1E07">
        <w:t>Du</w:t>
      </w:r>
      <w:r w:rsidR="00807E55" w:rsidRPr="003D1E07">
        <w:t>ns Scotus</w:t>
      </w:r>
      <w:r w:rsidR="00630507" w:rsidRPr="003D1E07">
        <w:t xml:space="preserve"> v závislos</w:t>
      </w:r>
      <w:r w:rsidR="008274E1">
        <w:t xml:space="preserve">ti na cestě myšlení, </w:t>
      </w:r>
      <w:r w:rsidR="00630507" w:rsidRPr="003D1E07">
        <w:t>kterou se vydal Avicenna.</w:t>
      </w:r>
      <w:r w:rsidR="08054D28" w:rsidRPr="003D1E07">
        <w:t xml:space="preserve"> Druhý mistr udělal </w:t>
      </w:r>
      <w:r w:rsidR="00ED44A5">
        <w:t xml:space="preserve">první </w:t>
      </w:r>
      <w:r w:rsidR="08054D28" w:rsidRPr="003D1E07">
        <w:t xml:space="preserve">důležitý krok na této cestě tím, že vytvořil první strukturu </w:t>
      </w:r>
      <w:r w:rsidR="003B27FE">
        <w:t>z</w:t>
      </w:r>
      <w:r w:rsidR="00ED44A5">
        <w:t>dvoj</w:t>
      </w:r>
      <w:r w:rsidR="003B27FE">
        <w:t xml:space="preserve">eného </w:t>
      </w:r>
      <w:r w:rsidR="00ED44A5">
        <w:t>poznání</w:t>
      </w:r>
      <w:r w:rsidR="08054D28" w:rsidRPr="003D1E07">
        <w:t>.</w:t>
      </w:r>
    </w:p>
    <w:p w14:paraId="5CFD5AB6" w14:textId="77777777" w:rsidR="000438ED" w:rsidRPr="003D1E07" w:rsidRDefault="00841741" w:rsidP="086C1F19">
      <w:pPr>
        <w:pStyle w:val="Nadpis3"/>
        <w:rPr>
          <w:lang w:val="cs-CZ"/>
        </w:rPr>
      </w:pPr>
      <w:r w:rsidRPr="003D1E07">
        <w:rPr>
          <w:lang w:val="cs-CZ"/>
        </w:rPr>
        <w:br w:type="page"/>
      </w:r>
      <w:bookmarkStart w:id="40" w:name="_Toc93747276"/>
      <w:bookmarkStart w:id="41" w:name="_Toc102906166"/>
      <w:r w:rsidR="000438ED" w:rsidRPr="003D1E07">
        <w:rPr>
          <w:lang w:val="cs-CZ"/>
        </w:rPr>
        <w:lastRenderedPageBreak/>
        <w:t xml:space="preserve">2.1.2 </w:t>
      </w:r>
      <w:r w:rsidR="006A6690" w:rsidRPr="003D1E07">
        <w:rPr>
          <w:lang w:val="cs-CZ"/>
        </w:rPr>
        <w:t>O</w:t>
      </w:r>
      <w:r w:rsidR="001A5A6E" w:rsidRPr="003D1E07">
        <w:rPr>
          <w:lang w:val="cs-CZ"/>
        </w:rPr>
        <w:t>ntoteologic</w:t>
      </w:r>
      <w:r w:rsidR="006A6690" w:rsidRPr="003D1E07">
        <w:rPr>
          <w:lang w:val="cs-CZ"/>
        </w:rPr>
        <w:t>ký rozvrh</w:t>
      </w:r>
      <w:r w:rsidR="00776B7B" w:rsidRPr="003D1E07">
        <w:rPr>
          <w:lang w:val="cs-CZ"/>
        </w:rPr>
        <w:t xml:space="preserve"> </w:t>
      </w:r>
      <w:r w:rsidR="001A5A6E" w:rsidRPr="003D1E07">
        <w:rPr>
          <w:lang w:val="cs-CZ"/>
        </w:rPr>
        <w:t>metafyziky</w:t>
      </w:r>
      <w:bookmarkEnd w:id="40"/>
      <w:bookmarkEnd w:id="41"/>
    </w:p>
    <w:p w14:paraId="0FA0363D" w14:textId="40A5DD81" w:rsidR="006F3059" w:rsidRDefault="08F1189A" w:rsidP="00691CD0">
      <w:r w:rsidRPr="003D1E07">
        <w:t xml:space="preserve">Eliasův komentář </w:t>
      </w:r>
      <w:r w:rsidRPr="003D1E07">
        <w:rPr>
          <w:i/>
        </w:rPr>
        <w:t>Isagog</w:t>
      </w:r>
      <w:r w:rsidR="001774EB">
        <w:rPr>
          <w:i/>
        </w:rPr>
        <w:t>é</w:t>
      </w:r>
      <w:r w:rsidRPr="003D1E07">
        <w:t xml:space="preserve"> ze 6. století založil n</w:t>
      </w:r>
      <w:r w:rsidR="088B6D9E" w:rsidRPr="003D1E07">
        <w:t>ový směr kategoriální predikace spojují</w:t>
      </w:r>
      <w:r w:rsidR="086214BC" w:rsidRPr="003D1E07">
        <w:t>cí</w:t>
      </w:r>
      <w:r w:rsidR="088B6D9E" w:rsidRPr="003D1E07">
        <w:t xml:space="preserve"> </w:t>
      </w:r>
      <w:r w:rsidR="00363940">
        <w:t>nauku neoplatonismu s aristotelskou metafyzikou</w:t>
      </w:r>
      <w:r w:rsidR="088B6D9E" w:rsidRPr="003D1E07">
        <w:t xml:space="preserve">. Klíčový passus </w:t>
      </w:r>
      <w:r w:rsidR="00F976C0">
        <w:t xml:space="preserve">vzal </w:t>
      </w:r>
      <w:r w:rsidR="088B6D9E" w:rsidRPr="003D1E07">
        <w:t>neoplatonskou univoční predikaci k Jednomu jako nejvyššímu rodu bytí (ταῦτα δὲ τὰ ἀφ' ἑνὸς καὶ πρὸς ἓν</w:t>
      </w:r>
      <w:r w:rsidR="00554937">
        <w:t xml:space="preserve">, </w:t>
      </w:r>
      <w:r w:rsidR="00554937" w:rsidRPr="003D1E07">
        <w:rPr>
          <w:i/>
        </w:rPr>
        <w:t>Eliae in</w:t>
      </w:r>
      <w:r w:rsidR="00554937" w:rsidRPr="003D1E07">
        <w:t xml:space="preserve"> </w:t>
      </w:r>
      <w:r w:rsidR="00554937" w:rsidRPr="003D1E07">
        <w:rPr>
          <w:i/>
        </w:rPr>
        <w:t>Isag</w:t>
      </w:r>
      <w:r w:rsidR="00554937" w:rsidRPr="003D1E07">
        <w:t>. 71.2‒3</w:t>
      </w:r>
      <w:r w:rsidR="088B6D9E" w:rsidRPr="003D1E07">
        <w:t xml:space="preserve">) </w:t>
      </w:r>
      <w:r w:rsidR="00F976C0">
        <w:t xml:space="preserve">a spojil ji s </w:t>
      </w:r>
      <w:r w:rsidR="088B6D9E" w:rsidRPr="003D1E07">
        <w:t>pre</w:t>
      </w:r>
      <w:r w:rsidR="080668F5" w:rsidRPr="003D1E07">
        <w:t>dikaci Aristotelových kategorií</w:t>
      </w:r>
      <w:r w:rsidR="00F976C0">
        <w:t xml:space="preserve">. </w:t>
      </w:r>
      <w:r w:rsidR="001774EB">
        <w:t>Kategoriální predikace ztratila</w:t>
      </w:r>
      <w:r w:rsidR="001774EB" w:rsidRPr="001774EB">
        <w:t xml:space="preserve"> původní význam spojený s první hyparchi</w:t>
      </w:r>
      <w:r w:rsidR="001774EB">
        <w:t>ckou substancí. Toto „kategoriální“</w:t>
      </w:r>
      <w:r w:rsidR="001774EB" w:rsidRPr="001774EB">
        <w:t xml:space="preserve"> </w:t>
      </w:r>
      <w:r w:rsidR="001774EB">
        <w:t>predikace měla</w:t>
      </w:r>
      <w:r w:rsidR="001774EB" w:rsidRPr="001774EB">
        <w:t xml:space="preserve"> nevyhnutelně za následek ztrátu </w:t>
      </w:r>
      <w:r w:rsidR="001774EB">
        <w:t xml:space="preserve">univocity. Po modernizaci </w:t>
      </w:r>
      <w:r w:rsidR="001774EB" w:rsidRPr="001774EB">
        <w:rPr>
          <w:i/>
        </w:rPr>
        <w:t>Isagogé</w:t>
      </w:r>
      <w:r w:rsidR="001774EB" w:rsidRPr="001774EB">
        <w:t xml:space="preserve"> se z</w:t>
      </w:r>
      <w:r w:rsidR="001774EB">
        <w:t xml:space="preserve"> univočních kategorií stala pouhá homonyma </w:t>
      </w:r>
      <w:r w:rsidR="088B6D9E" w:rsidRPr="003D1E07">
        <w:t xml:space="preserve">(μέσα ἐστὶν ὁμωνύμων καὶ γενῶν, </w:t>
      </w:r>
      <w:r w:rsidR="00554937">
        <w:t>ibid</w:t>
      </w:r>
      <w:r w:rsidR="088B6D9E" w:rsidRPr="003D1E07">
        <w:fldChar w:fldCharType="begin"/>
      </w:r>
      <w:r w:rsidR="088B6D9E" w:rsidRPr="003D1E07">
        <w:instrText xml:space="preserve"> XE "Elias:</w:instrText>
      </w:r>
      <w:r w:rsidR="088B6D9E" w:rsidRPr="003D1E07">
        <w:rPr>
          <w:i/>
        </w:rPr>
        <w:instrText>Eliae in</w:instrText>
      </w:r>
      <w:r w:rsidR="088B6D9E" w:rsidRPr="003D1E07">
        <w:instrText xml:space="preserve"> </w:instrText>
      </w:r>
      <w:r w:rsidR="088B6D9E" w:rsidRPr="003D1E07">
        <w:rPr>
          <w:i/>
        </w:rPr>
        <w:instrText>Isag</w:instrText>
      </w:r>
      <w:r w:rsidR="088B6D9E" w:rsidRPr="003D1E07">
        <w:instrText xml:space="preserve">. 71.2‒3" </w:instrText>
      </w:r>
      <w:r w:rsidR="088B6D9E" w:rsidRPr="003D1E07">
        <w:fldChar w:fldCharType="end"/>
      </w:r>
      <w:r w:rsidR="088B6D9E" w:rsidRPr="003D1E07">
        <w:t xml:space="preserve">). </w:t>
      </w:r>
      <w:r w:rsidR="005D7661">
        <w:t xml:space="preserve">Rodový </w:t>
      </w:r>
      <w:r w:rsidR="005D7661" w:rsidRPr="005D7661">
        <w:t xml:space="preserve">význam </w:t>
      </w:r>
      <w:r w:rsidR="00E36684">
        <w:t xml:space="preserve">kategorií </w:t>
      </w:r>
      <w:r w:rsidR="005D7661" w:rsidRPr="005D7661">
        <w:t xml:space="preserve">je </w:t>
      </w:r>
      <w:r w:rsidR="00FB673B">
        <w:t xml:space="preserve">sice </w:t>
      </w:r>
      <w:r w:rsidR="005D7661" w:rsidRPr="005D7661">
        <w:t xml:space="preserve">univerzální, ale přichází prostřednictvím </w:t>
      </w:r>
      <w:r w:rsidR="005D7661">
        <w:t xml:space="preserve">impozice </w:t>
      </w:r>
      <w:r w:rsidR="005D7661" w:rsidRPr="005D7661">
        <w:t xml:space="preserve">významu </w:t>
      </w:r>
      <w:r w:rsidR="005D7661">
        <w:t>od smyslových věcí</w:t>
      </w:r>
      <w:r w:rsidR="005D7661" w:rsidRPr="005D7661">
        <w:t>. Tato neblahá skutečnost odděluje aristotelskou predikaci jsoucna od vyššího světa tvořeného neoplatónskými rody jsoucna.</w:t>
      </w:r>
      <w:r w:rsidR="005D7661">
        <w:t xml:space="preserve"> </w:t>
      </w:r>
      <w:r w:rsidR="088B6D9E" w:rsidRPr="003D1E07">
        <w:t>Zakladatelé falsafy poch</w:t>
      </w:r>
      <w:r w:rsidR="08AD6FCF" w:rsidRPr="003D1E07">
        <w:t xml:space="preserve">opili zásadní význam onoho </w:t>
      </w:r>
      <w:r w:rsidR="00D47928">
        <w:t>„</w:t>
      </w:r>
      <w:r w:rsidR="08AD6FCF" w:rsidRPr="003D1E07">
        <w:t>mezi</w:t>
      </w:r>
      <w:r w:rsidR="088B6D9E" w:rsidRPr="003D1E07">
        <w:t>bytí</w:t>
      </w:r>
      <w:r w:rsidR="00D47928">
        <w:t>“</w:t>
      </w:r>
      <w:r w:rsidR="088B6D9E" w:rsidRPr="003D1E07">
        <w:t xml:space="preserve"> (μέσα ἐστὶν), o němž mluví </w:t>
      </w:r>
      <w:r w:rsidR="086214BC" w:rsidRPr="003D1E07">
        <w:t xml:space="preserve">Eliasova </w:t>
      </w:r>
      <w:r w:rsidR="08AA7EAB" w:rsidRPr="003D1E07">
        <w:t xml:space="preserve">kategoriální </w:t>
      </w:r>
      <w:r w:rsidR="088B6D9E" w:rsidRPr="003D1E07">
        <w:t xml:space="preserve">predikace. </w:t>
      </w:r>
      <w:r w:rsidR="00D47928" w:rsidRPr="00D47928">
        <w:t>T</w:t>
      </w:r>
      <w:r w:rsidR="00D47928">
        <w:t>ento pojem fundamentálně umožnil predikaci v</w:t>
      </w:r>
      <w:r w:rsidR="00D47928" w:rsidRPr="00D47928">
        <w:t>šech dru</w:t>
      </w:r>
      <w:r w:rsidR="00D47928">
        <w:t>hů</w:t>
      </w:r>
      <w:r w:rsidR="00D47928" w:rsidRPr="00D47928">
        <w:t xml:space="preserve"> </w:t>
      </w:r>
      <w:r w:rsidR="00D47928" w:rsidRPr="00D47928">
        <w:rPr>
          <w:i/>
        </w:rPr>
        <w:t>tertium ens</w:t>
      </w:r>
      <w:r w:rsidR="00D47928" w:rsidRPr="00D47928">
        <w:t xml:space="preserve">. </w:t>
      </w:r>
      <w:r w:rsidR="00D47928">
        <w:t>Jsoucna třetího druhu se stala „substancemi–species“ a přešla</w:t>
      </w:r>
      <w:r w:rsidR="00D47928" w:rsidRPr="00D47928">
        <w:t xml:space="preserve"> do kategorických </w:t>
      </w:r>
      <w:r w:rsidR="00D47928">
        <w:t>výpovědí v podobě neoplatónských hypostá</w:t>
      </w:r>
      <w:r w:rsidR="00D47928" w:rsidRPr="00D47928">
        <w:t>zí.</w:t>
      </w:r>
      <w:r w:rsidR="00D47928">
        <w:t xml:space="preserve"> </w:t>
      </w:r>
      <w:r w:rsidR="088B6D9E" w:rsidRPr="003D1E07">
        <w:t xml:space="preserve">Falsafa použila </w:t>
      </w:r>
      <w:r w:rsidR="084E32DC" w:rsidRPr="003D1E07">
        <w:t xml:space="preserve">Eliasovo </w:t>
      </w:r>
      <w:r w:rsidR="00192FB5">
        <w:t>„</w:t>
      </w:r>
      <w:r w:rsidR="00BF41C3">
        <w:t>mezi</w:t>
      </w:r>
      <w:r w:rsidR="086728FC" w:rsidRPr="003D1E07">
        <w:t>bytí</w:t>
      </w:r>
      <w:r w:rsidR="00192FB5">
        <w:t>“</w:t>
      </w:r>
      <w:r w:rsidR="086728FC" w:rsidRPr="003D1E07">
        <w:t xml:space="preserve"> </w:t>
      </w:r>
      <w:r w:rsidR="00501F4C">
        <w:t>(</w:t>
      </w:r>
      <w:r w:rsidR="00501F4C" w:rsidRPr="002856D5">
        <w:t>μ</w:t>
      </w:r>
      <w:r w:rsidR="00501F4C" w:rsidRPr="002D6FD0">
        <w:t>έσα ἐστὶ</w:t>
      </w:r>
      <w:r w:rsidR="00501F4C">
        <w:t xml:space="preserve">ν) </w:t>
      </w:r>
      <w:r w:rsidR="088B6D9E" w:rsidRPr="003D1E07">
        <w:t xml:space="preserve">jako oslí můstek pro predikaci spojující metafyziku Platona a Aristotela. Eliasův </w:t>
      </w:r>
      <w:r w:rsidR="082C7128" w:rsidRPr="003D1E07">
        <w:t xml:space="preserve">metafyzický </w:t>
      </w:r>
      <w:r w:rsidR="088B6D9E" w:rsidRPr="003D1E07">
        <w:t xml:space="preserve">mezistupeň se dostal do filosofie Al-Fárábího a Avicenny prostřednictvím </w:t>
      </w:r>
      <w:r w:rsidR="086302D8" w:rsidRPr="003D1E07">
        <w:t xml:space="preserve">nového typu </w:t>
      </w:r>
      <w:r w:rsidR="088B6D9E" w:rsidRPr="003D1E07">
        <w:t>homonymie</w:t>
      </w:r>
      <w:r w:rsidR="088B6D9E" w:rsidRPr="003D1E07">
        <w:fldChar w:fldCharType="begin"/>
      </w:r>
      <w:r w:rsidR="088B6D9E" w:rsidRPr="003D1E07">
        <w:instrText xml:space="preserve"> XE "homonymie" </w:instrText>
      </w:r>
      <w:r w:rsidR="088B6D9E" w:rsidRPr="003D1E07">
        <w:fldChar w:fldCharType="end"/>
      </w:r>
      <w:r w:rsidR="088B6D9E" w:rsidRPr="003D1E07">
        <w:t xml:space="preserve"> (</w:t>
      </w:r>
      <w:r w:rsidR="088B6D9E" w:rsidRPr="003D1E07">
        <w:rPr>
          <w:i/>
        </w:rPr>
        <w:t>asmāʿ mušakika, amphibola</w:t>
      </w:r>
      <w:r w:rsidR="088B6D9E" w:rsidRPr="003D1E07">
        <w:rPr>
          <w:i/>
        </w:rPr>
        <w:fldChar w:fldCharType="begin"/>
      </w:r>
      <w:r w:rsidR="088B6D9E" w:rsidRPr="003D1E07">
        <w:instrText xml:space="preserve"> XE "amfibolia" </w:instrText>
      </w:r>
      <w:r w:rsidR="088B6D9E" w:rsidRPr="003D1E07">
        <w:rPr>
          <w:i/>
        </w:rPr>
        <w:fldChar w:fldCharType="end"/>
      </w:r>
      <w:r w:rsidR="088B6D9E" w:rsidRPr="003D1E07">
        <w:t xml:space="preserve">). </w:t>
      </w:r>
      <w:r w:rsidR="086302D8" w:rsidRPr="003D1E07">
        <w:t xml:space="preserve">Amfibolně </w:t>
      </w:r>
      <w:r w:rsidR="082C7128" w:rsidRPr="003D1E07">
        <w:t xml:space="preserve">predikované významy jsoucna </w:t>
      </w:r>
      <w:r w:rsidR="088B6D9E" w:rsidRPr="003D1E07">
        <w:t>indikují zvláštní druh jednoty, která stojí jak mimo univoční rod predikovaný kategoriálně, tak i mimo ekvivoční predik</w:t>
      </w:r>
      <w:r w:rsidR="08B22DF9" w:rsidRPr="003D1E07">
        <w:t>aci danou pouze nominálně. Al-</w:t>
      </w:r>
      <w:r w:rsidR="088B6D9E" w:rsidRPr="003D1E07">
        <w:t xml:space="preserve">Fárábí v díle </w:t>
      </w:r>
      <w:r w:rsidR="088B6D9E" w:rsidRPr="003D1E07">
        <w:rPr>
          <w:i/>
        </w:rPr>
        <w:t>Kitāb al-Ḥurūf</w:t>
      </w:r>
      <w:r w:rsidR="088B6D9E" w:rsidRPr="003D1E07">
        <w:t xml:space="preserve"> (§ 19) používá </w:t>
      </w:r>
      <w:r w:rsidR="08CB28AB" w:rsidRPr="003D1E07">
        <w:t xml:space="preserve">amfibola ve středním členu soudu </w:t>
      </w:r>
      <w:r w:rsidR="088B6D9E" w:rsidRPr="003D1E07">
        <w:t>(</w:t>
      </w:r>
      <w:r w:rsidR="088B6D9E" w:rsidRPr="003D1E07">
        <w:rPr>
          <w:i/>
        </w:rPr>
        <w:t>ismʿ mušakik</w:t>
      </w:r>
      <w:r w:rsidR="08CB28AB" w:rsidRPr="003D1E07">
        <w:t xml:space="preserve">), aby </w:t>
      </w:r>
      <w:r w:rsidR="086302D8" w:rsidRPr="003D1E07">
        <w:t>zaved</w:t>
      </w:r>
      <w:r w:rsidR="08CB28AB" w:rsidRPr="003D1E07">
        <w:t>l</w:t>
      </w:r>
      <w:r w:rsidR="086302D8" w:rsidRPr="003D1E07">
        <w:t xml:space="preserve"> </w:t>
      </w:r>
      <w:r w:rsidR="08CB28AB" w:rsidRPr="003D1E07">
        <w:t xml:space="preserve">nový </w:t>
      </w:r>
      <w:r w:rsidR="088B6D9E" w:rsidRPr="003D1E07">
        <w:t>druh predikace</w:t>
      </w:r>
      <w:r w:rsidR="08CB28AB" w:rsidRPr="003D1E07">
        <w:t xml:space="preserve"> jako zlatou </w:t>
      </w:r>
      <w:r w:rsidR="088B6D9E" w:rsidRPr="003D1E07">
        <w:t xml:space="preserve">střední cestu mezi aristotelismem a neoplatonismem. Citovaný paragraf díla </w:t>
      </w:r>
      <w:r w:rsidR="088B6D9E" w:rsidRPr="003D1E07">
        <w:rPr>
          <w:i/>
        </w:rPr>
        <w:t>Kitāb al-Ḥurūf</w:t>
      </w:r>
      <w:r w:rsidR="088B6D9E" w:rsidRPr="003D1E07">
        <w:t xml:space="preserve"> zavádí vedle univoční a ekvivoční predikace zvláštní mezistupeň predikátů nazvaných </w:t>
      </w:r>
      <w:r w:rsidR="00DF68F2">
        <w:t>„</w:t>
      </w:r>
      <w:r w:rsidR="088B6D9E" w:rsidRPr="003D1E07">
        <w:rPr>
          <w:i/>
        </w:rPr>
        <w:t>modulated terms</w:t>
      </w:r>
      <w:r w:rsidR="00DF68F2">
        <w:t>“</w:t>
      </w:r>
      <w:r w:rsidR="088B6D9E" w:rsidRPr="003D1E07">
        <w:t xml:space="preserve"> (Treiger 2012, 346‒47). Al-Fárábí zařazuje do této zvláštní skupiny predikace termíny j</w:t>
      </w:r>
      <w:r w:rsidR="08BE4905" w:rsidRPr="003D1E07">
        <w:t>ako bytí, jedno a věc</w:t>
      </w:r>
      <w:r w:rsidR="088B6D9E" w:rsidRPr="003D1E07">
        <w:t>.</w:t>
      </w:r>
      <w:r w:rsidR="088B6D9E" w:rsidRPr="003D1E07">
        <w:rPr>
          <w:rStyle w:val="Znakapoznpodarou"/>
        </w:rPr>
        <w:footnoteReference w:id="103"/>
      </w:r>
      <w:r w:rsidR="088B6D9E" w:rsidRPr="003D1E07">
        <w:t xml:space="preserve"> </w:t>
      </w:r>
      <w:r w:rsidR="08B96009" w:rsidRPr="003D1E07">
        <w:t xml:space="preserve">Nově vytvořená transcendentália vztažená přímo ke jsoucnu v jeho čisté jsoucnosti založí nový druh predikace, která umožnila přímý náhled na smysl jsoucna daný mimo aktualitu reálné první substance. </w:t>
      </w:r>
      <w:r w:rsidR="0892108F" w:rsidRPr="003D1E07">
        <w:t>Základní významy jsoucna</w:t>
      </w:r>
      <w:r w:rsidR="08D413F3" w:rsidRPr="003D1E07">
        <w:t xml:space="preserve"> </w:t>
      </w:r>
      <w:r w:rsidR="0892108F" w:rsidRPr="003D1E07">
        <w:t>(</w:t>
      </w:r>
      <w:r w:rsidR="0892108F" w:rsidRPr="003D1E07">
        <w:rPr>
          <w:i/>
        </w:rPr>
        <w:t>passio entis</w:t>
      </w:r>
      <w:r w:rsidR="0892108F" w:rsidRPr="003D1E07">
        <w:t>) lze kategoriálně predikovat skrze amfibolia</w:t>
      </w:r>
      <w:r w:rsidR="00303735">
        <w:t xml:space="preserve">. </w:t>
      </w:r>
      <w:r w:rsidR="00303735" w:rsidRPr="00303735">
        <w:t xml:space="preserve">Tato predikace se </w:t>
      </w:r>
      <w:r w:rsidR="00303735">
        <w:t>provádí v modu analogie, která</w:t>
      </w:r>
      <w:r w:rsidR="00303735" w:rsidRPr="00303735">
        <w:t xml:space="preserve"> se </w:t>
      </w:r>
      <w:r w:rsidR="00303735" w:rsidRPr="00303735">
        <w:lastRenderedPageBreak/>
        <w:t xml:space="preserve">týká úrovně </w:t>
      </w:r>
      <w:r w:rsidR="00303735">
        <w:t xml:space="preserve">jsoucna jako takového, a tím je vztahuje k </w:t>
      </w:r>
      <w:r w:rsidR="00303735" w:rsidRPr="00303735">
        <w:t>nejvyšší</w:t>
      </w:r>
      <w:r w:rsidR="00303735">
        <w:t xml:space="preserve">m neoplatónským rodům </w:t>
      </w:r>
      <w:r w:rsidR="00303735" w:rsidRPr="00303735">
        <w:t>bytí.</w:t>
      </w:r>
      <w:r w:rsidR="00303735">
        <w:t xml:space="preserve"> </w:t>
      </w:r>
      <w:r w:rsidR="088B6D9E" w:rsidRPr="003D1E07">
        <w:t xml:space="preserve">Osvícený </w:t>
      </w:r>
      <w:r w:rsidR="088B6D9E" w:rsidRPr="003D1E07">
        <w:rPr>
          <w:i/>
        </w:rPr>
        <w:t>intellectus adeptus</w:t>
      </w:r>
      <w:r w:rsidR="088B6D9E" w:rsidRPr="003D1E07">
        <w:t xml:space="preserve"> přímo nahlíží onu střední vrstvu </w:t>
      </w:r>
      <w:r w:rsidR="00656DA6" w:rsidRPr="003D1E07">
        <w:t xml:space="preserve">jsoucen </w:t>
      </w:r>
      <w:r w:rsidR="088B6D9E" w:rsidRPr="003D1E07">
        <w:t>(μέσα ἐστὶν</w:t>
      </w:r>
      <w:r w:rsidR="088B6D9E" w:rsidRPr="003D1E07">
        <w:rPr>
          <w:i/>
        </w:rPr>
        <w:t>, ismʿ mušakik</w:t>
      </w:r>
      <w:r w:rsidR="088B6D9E" w:rsidRPr="003D1E07">
        <w:t xml:space="preserve">),  v níž vzniká nový druh jednoty jsoucího </w:t>
      </w:r>
      <w:r w:rsidR="082F17B6" w:rsidRPr="003D1E07">
        <w:t xml:space="preserve">predikovaný </w:t>
      </w:r>
      <w:r w:rsidR="088B6D9E" w:rsidRPr="003D1E07">
        <w:t xml:space="preserve">mimo druhou substanci. </w:t>
      </w:r>
      <w:r w:rsidR="08506741" w:rsidRPr="003D1E07">
        <w:t xml:space="preserve">Latinská scholastika převezme predikát </w:t>
      </w:r>
      <w:r w:rsidR="08506741" w:rsidRPr="003D1E07">
        <w:rPr>
          <w:i/>
        </w:rPr>
        <w:t>mušakik</w:t>
      </w:r>
      <w:r w:rsidR="08506741" w:rsidRPr="003D1E07">
        <w:t xml:space="preserve"> skrze termín </w:t>
      </w:r>
      <w:r w:rsidR="08506741" w:rsidRPr="003D1E07">
        <w:rPr>
          <w:i/>
        </w:rPr>
        <w:t>analogicus</w:t>
      </w:r>
      <w:r w:rsidR="08506741" w:rsidRPr="003D1E07">
        <w:t xml:space="preserve"> nebo </w:t>
      </w:r>
      <w:r w:rsidR="08506741" w:rsidRPr="003D1E07">
        <w:rPr>
          <w:i/>
        </w:rPr>
        <w:t>ambiguus</w:t>
      </w:r>
      <w:r w:rsidR="08506741" w:rsidRPr="003D1E07">
        <w:t xml:space="preserve"> (Wolfson 1938, 171). </w:t>
      </w:r>
      <w:r w:rsidR="08D52A20" w:rsidRPr="003D1E07">
        <w:t xml:space="preserve"> </w:t>
      </w:r>
      <w:r w:rsidR="00DC0CDF" w:rsidRPr="003D1E07">
        <w:t xml:space="preserve">Celý model </w:t>
      </w:r>
      <w:r w:rsidR="00DC0CDF">
        <w:t>predikace navazuje na výše po</w:t>
      </w:r>
      <w:r w:rsidR="00DC0CDF" w:rsidRPr="003D1E07">
        <w:t>daný spor o univerzália (kap. 1.3</w:t>
      </w:r>
      <w:r w:rsidR="00DC0CDF">
        <w:t xml:space="preserve">). </w:t>
      </w:r>
      <w:r w:rsidR="0096183A" w:rsidRPr="003D1E07">
        <w:t>Falsafa hledala stejně jako pozdní antika oslí můstek mezi Aristotelem a Platonem, viz výše citované dvojí určení jsoucna jako aktuálního a pravdivého (</w:t>
      </w:r>
      <w:r w:rsidR="0096183A" w:rsidRPr="003D1E07">
        <w:rPr>
          <w:i/>
          <w:lang w:eastAsia="en-US"/>
        </w:rPr>
        <w:t>Met</w:t>
      </w:r>
      <w:r w:rsidR="0096183A" w:rsidRPr="003D1E07">
        <w:rPr>
          <w:lang w:eastAsia="en-US"/>
        </w:rPr>
        <w:t>. 1026a33–b2</w:t>
      </w:r>
      <w:r w:rsidR="0096183A" w:rsidRPr="003D1E07">
        <w:rPr>
          <w:i/>
        </w:rPr>
        <w:fldChar w:fldCharType="begin"/>
      </w:r>
      <w:r w:rsidR="0096183A" w:rsidRPr="003D1E07">
        <w:instrText xml:space="preserve"> XE "Aristoteles:</w:instrText>
      </w:r>
      <w:r w:rsidR="0096183A" w:rsidRPr="003D1E07">
        <w:rPr>
          <w:i/>
          <w:lang w:eastAsia="en-US"/>
        </w:rPr>
        <w:instrText>Met</w:instrText>
      </w:r>
      <w:r w:rsidR="0096183A" w:rsidRPr="003D1E07">
        <w:rPr>
          <w:lang w:eastAsia="en-US"/>
        </w:rPr>
        <w:instrText>. 1026a33–b2</w:instrText>
      </w:r>
      <w:r w:rsidR="0096183A" w:rsidRPr="003D1E07">
        <w:instrText xml:space="preserve">" </w:instrText>
      </w:r>
      <w:r w:rsidR="0096183A" w:rsidRPr="003D1E07">
        <w:rPr>
          <w:i/>
        </w:rPr>
        <w:fldChar w:fldCharType="end"/>
      </w:r>
      <w:r w:rsidR="0096183A" w:rsidRPr="003D1E07">
        <w:t>). Zavedení amfibolní predikace</w:t>
      </w:r>
      <w:r w:rsidR="0096183A" w:rsidRPr="003D1E07">
        <w:fldChar w:fldCharType="begin"/>
      </w:r>
      <w:r w:rsidR="0096183A" w:rsidRPr="003D1E07">
        <w:instrText xml:space="preserve"> XE "predikace:amfibolní" </w:instrText>
      </w:r>
      <w:r w:rsidR="0096183A" w:rsidRPr="003D1E07">
        <w:fldChar w:fldCharType="end"/>
      </w:r>
      <w:r w:rsidR="0096183A" w:rsidRPr="003D1E07">
        <w:t xml:space="preserve"> do aristotelského platonismu způsobilo, že existují tři možné odpovědi, jak lze predikovat výše uvedené </w:t>
      </w:r>
      <w:r w:rsidR="0096183A" w:rsidRPr="003D1E07">
        <w:rPr>
          <w:i/>
        </w:rPr>
        <w:t>aliud esse</w:t>
      </w:r>
      <w:r w:rsidR="0096183A" w:rsidRPr="003D1E07">
        <w:t xml:space="preserve"> zavedené Alfarabiem vzhledem k substanci (kap. 2.1.1).</w:t>
      </w:r>
    </w:p>
    <w:p w14:paraId="18A3568F" w14:textId="03B2645E" w:rsidR="00926C98" w:rsidRDefault="08D52A20" w:rsidP="00691CD0">
      <w:pPr>
        <w:numPr>
          <w:ilvl w:val="0"/>
          <w:numId w:val="12"/>
        </w:numPr>
      </w:pPr>
      <w:r w:rsidRPr="003D1E07">
        <w:t xml:space="preserve">Predikace </w:t>
      </w:r>
      <w:r w:rsidR="00913137">
        <w:t>„</w:t>
      </w:r>
      <w:r w:rsidRPr="003D1E07">
        <w:t xml:space="preserve">jiného </w:t>
      </w:r>
      <w:r w:rsidR="00913137">
        <w:t xml:space="preserve">jsoucna“ </w:t>
      </w:r>
      <w:r w:rsidRPr="003D1E07">
        <w:t>než v první substanci</w:t>
      </w:r>
      <w:r w:rsidR="0041257D" w:rsidRPr="003D1E07">
        <w:t xml:space="preserve"> je míněna aristotelsky-kategoriálně</w:t>
      </w:r>
      <w:r w:rsidRPr="003D1E07">
        <w:t xml:space="preserve">. </w:t>
      </w:r>
      <w:r w:rsidR="003B35EF">
        <w:t>Hylemorfická substance je vnímaná nejprve skrze smyslově danou intencionalitu a poznání (</w:t>
      </w:r>
      <w:r w:rsidR="003B35EF" w:rsidRPr="003B35EF">
        <w:rPr>
          <w:i/>
        </w:rPr>
        <w:t>intellectum primum</w:t>
      </w:r>
      <w:r w:rsidR="003B35EF">
        <w:t xml:space="preserve">). </w:t>
      </w:r>
      <w:r w:rsidRPr="003D1E07">
        <w:t xml:space="preserve">Poznaná forma jako </w:t>
      </w:r>
      <w:r w:rsidRPr="003D1E07">
        <w:rPr>
          <w:i/>
        </w:rPr>
        <w:t>aliud esse</w:t>
      </w:r>
      <w:r w:rsidRPr="003D1E07">
        <w:t xml:space="preserve"> není nic jiného než univerzální význam existující pouze v naší mysli (</w:t>
      </w:r>
      <w:r w:rsidRPr="003D1E07">
        <w:rPr>
          <w:i/>
        </w:rPr>
        <w:t>intellectum secundum</w:t>
      </w:r>
      <w:r w:rsidRPr="003D1E07">
        <w:t>). Pak má univerzálie jako druhá substance</w:t>
      </w:r>
      <w:r w:rsidRPr="003D1E07">
        <w:fldChar w:fldCharType="begin"/>
      </w:r>
      <w:r w:rsidRPr="003D1E07">
        <w:instrText xml:space="preserve"> XE "substance:univerzália" </w:instrText>
      </w:r>
      <w:r w:rsidRPr="003D1E07">
        <w:fldChar w:fldCharType="end"/>
      </w:r>
      <w:r w:rsidRPr="003D1E07">
        <w:t xml:space="preserve"> pouze potenciální bytí na rozdíl od plně aktuálního bytí první substance. A tomuto pojetí inteligibilní formy dané nasvícením zepředu odpovídá schéma poznání v </w:t>
      </w:r>
      <w:r w:rsidRPr="003D1E07">
        <w:rPr>
          <w:i/>
        </w:rPr>
        <w:t>De anima</w:t>
      </w:r>
      <w:r w:rsidRPr="003D1E07">
        <w:t xml:space="preserve"> a hyparchická struktura výpovědí v</w:t>
      </w:r>
      <w:r w:rsidR="008F4741">
        <w:t> </w:t>
      </w:r>
      <w:r w:rsidRPr="003D1E07">
        <w:rPr>
          <w:i/>
        </w:rPr>
        <w:t>Kategoriích</w:t>
      </w:r>
      <w:r w:rsidR="008F4741">
        <w:t xml:space="preserve"> skrze impozici.</w:t>
      </w:r>
    </w:p>
    <w:p w14:paraId="2C444594" w14:textId="7E8B3E07" w:rsidR="00926C98" w:rsidRDefault="08D52A20" w:rsidP="00691CD0">
      <w:pPr>
        <w:numPr>
          <w:ilvl w:val="0"/>
          <w:numId w:val="12"/>
        </w:numPr>
      </w:pPr>
      <w:r w:rsidRPr="003D1E07">
        <w:t xml:space="preserve">Predikace chápe </w:t>
      </w:r>
      <w:r w:rsidRPr="00926C98">
        <w:rPr>
          <w:i/>
        </w:rPr>
        <w:t>aliud esse</w:t>
      </w:r>
      <w:r w:rsidRPr="003D1E07">
        <w:t xml:space="preserve"> jako plně samostatné bytí rovnocenné Aristotelově první </w:t>
      </w:r>
      <w:r w:rsidR="0000466D">
        <w:t xml:space="preserve">hyparchické </w:t>
      </w:r>
      <w:r w:rsidRPr="003D1E07">
        <w:t xml:space="preserve">substanci. Toto bytí existuje jako oddělená platonská forma </w:t>
      </w:r>
      <w:r w:rsidRPr="00926C98">
        <w:rPr>
          <w:i/>
        </w:rPr>
        <w:t>per se</w:t>
      </w:r>
      <w:r w:rsidRPr="003D1E07">
        <w:t xml:space="preserve">, </w:t>
      </w:r>
      <w:r w:rsidRPr="00926C98">
        <w:rPr>
          <w:i/>
        </w:rPr>
        <w:t>simpliciter</w:t>
      </w:r>
      <w:r w:rsidRPr="003D1E07">
        <w:t xml:space="preserve"> a </w:t>
      </w:r>
      <w:r w:rsidRPr="00926C98">
        <w:rPr>
          <w:i/>
        </w:rPr>
        <w:t>universaliter</w:t>
      </w:r>
      <w:r w:rsidR="00C25C47">
        <w:t>. Tato forma je poznaná přímo, protože je hypostázovaná inteligibilní substance (</w:t>
      </w:r>
      <w:r w:rsidR="00C25C47" w:rsidRPr="00C25C47">
        <w:rPr>
          <w:i/>
        </w:rPr>
        <w:t>intellectum primum</w:t>
      </w:r>
      <w:r w:rsidR="0049060B">
        <w:rPr>
          <w:i/>
        </w:rPr>
        <w:fldChar w:fldCharType="begin"/>
      </w:r>
      <w:r w:rsidR="0049060B">
        <w:instrText xml:space="preserve"> XE "</w:instrText>
      </w:r>
      <w:r w:rsidR="0049060B" w:rsidRPr="00DA01CD">
        <w:rPr>
          <w:i/>
        </w:rPr>
        <w:instrText>intellectum primum/secundum</w:instrText>
      </w:r>
      <w:r w:rsidR="0049060B">
        <w:instrText xml:space="preserve">" </w:instrText>
      </w:r>
      <w:r w:rsidR="0049060B">
        <w:rPr>
          <w:i/>
        </w:rPr>
        <w:fldChar w:fldCharType="end"/>
      </w:r>
      <w:r w:rsidR="00C25C47">
        <w:t xml:space="preserve">). </w:t>
      </w:r>
      <w:r w:rsidRPr="003D1E07">
        <w:t xml:space="preserve">Ostatní druhotná jsoucna participují na bytí primárních emanovaných idejí v modu analogické </w:t>
      </w:r>
      <w:r w:rsidR="006F3059">
        <w:t xml:space="preserve">podobnosti nebo sdílení (viz platonská </w:t>
      </w:r>
      <w:r w:rsidR="006F3059" w:rsidRPr="00926C98">
        <w:rPr>
          <w:i/>
        </w:rPr>
        <w:t>mé</w:t>
      </w:r>
      <w:r w:rsidRPr="00926C98">
        <w:rPr>
          <w:i/>
        </w:rPr>
        <w:t>thexis</w:t>
      </w:r>
      <w:r w:rsidR="006F3059">
        <w:t xml:space="preserve">) </w:t>
      </w:r>
      <w:r w:rsidRPr="003D1E07">
        <w:t>dané geometrickou a matematickou úměrou</w:t>
      </w:r>
      <w:r w:rsidR="00C25C47">
        <w:t xml:space="preserve"> </w:t>
      </w:r>
      <w:r w:rsidR="00C25C47" w:rsidRPr="002C1D65">
        <w:t>(</w:t>
      </w:r>
      <w:r w:rsidR="00C25C47" w:rsidRPr="002C1D65">
        <w:rPr>
          <w:i/>
        </w:rPr>
        <w:t xml:space="preserve">intellectum </w:t>
      </w:r>
      <w:r w:rsidR="00C25C47">
        <w:rPr>
          <w:i/>
        </w:rPr>
        <w:t>secundum</w:t>
      </w:r>
      <w:r w:rsidR="00C25C47">
        <w:t>)</w:t>
      </w:r>
      <w:r w:rsidRPr="003D1E07">
        <w:t xml:space="preserve">. Poznání těchto forem je determinováno zcela odděleným </w:t>
      </w:r>
      <w:r w:rsidRPr="00926C98">
        <w:rPr>
          <w:i/>
        </w:rPr>
        <w:t>intellectus agens</w:t>
      </w:r>
      <w:r w:rsidRPr="00926C98">
        <w:rPr>
          <w:i/>
        </w:rPr>
        <w:fldChar w:fldCharType="begin"/>
      </w:r>
      <w:r w:rsidRPr="003D1E07">
        <w:instrText xml:space="preserve"> XE "</w:instrText>
      </w:r>
      <w:r w:rsidRPr="00926C98">
        <w:rPr>
          <w:i/>
        </w:rPr>
        <w:instrText>intellectus agens:</w:instrText>
      </w:r>
      <w:r w:rsidRPr="003D1E07">
        <w:instrText xml:space="preserve">neoplatonismus" </w:instrText>
      </w:r>
      <w:r w:rsidRPr="00926C98">
        <w:rPr>
          <w:i/>
        </w:rPr>
        <w:fldChar w:fldCharType="end"/>
      </w:r>
      <w:r w:rsidRPr="003D1E07">
        <w:t xml:space="preserve">, který zezadu nasvítí individuální </w:t>
      </w:r>
      <w:r w:rsidRPr="00926C98">
        <w:rPr>
          <w:i/>
        </w:rPr>
        <w:t>intellectus adeptus</w:t>
      </w:r>
      <w:r w:rsidRPr="003D1E07">
        <w:t xml:space="preserve">. Takto nazřené Simplikiovy a Jamblichovy hypostáze vstoupí do predikace </w:t>
      </w:r>
      <w:r w:rsidRPr="00926C98">
        <w:rPr>
          <w:i/>
        </w:rPr>
        <w:t>per prius</w:t>
      </w:r>
      <w:r w:rsidRPr="003D1E07">
        <w:t xml:space="preserve"> skrze </w:t>
      </w:r>
      <w:r w:rsidR="00311986" w:rsidRPr="003D1E07">
        <w:t xml:space="preserve">neoplatonské </w:t>
      </w:r>
      <w:r w:rsidRPr="003D1E07">
        <w:t>určování v modu „Omezené‒Neomezené</w:t>
      </w:r>
      <w:r w:rsidRPr="003D1E07">
        <w:rPr>
          <w:rStyle w:val="addmd"/>
        </w:rPr>
        <w:fldChar w:fldCharType="begin"/>
      </w:r>
      <w:r w:rsidRPr="003D1E07">
        <w:instrText xml:space="preserve"> XE "</w:instrText>
      </w:r>
      <w:r w:rsidRPr="003D1E07">
        <w:rPr>
          <w:rStyle w:val="addmd"/>
        </w:rPr>
        <w:instrText>Omezené‒Neomezené</w:instrText>
      </w:r>
      <w:r w:rsidRPr="003D1E07">
        <w:instrText xml:space="preserve">" </w:instrText>
      </w:r>
      <w:r w:rsidRPr="003D1E07">
        <w:rPr>
          <w:rStyle w:val="addmd"/>
        </w:rPr>
        <w:fldChar w:fldCharType="end"/>
      </w:r>
      <w:r w:rsidR="08AF6B7D" w:rsidRPr="003D1E07">
        <w:t>“ (kap. 1.3</w:t>
      </w:r>
      <w:r w:rsidRPr="003D1E07">
        <w:t xml:space="preserve">.1). Původní bytí zakládá predikaci </w:t>
      </w:r>
      <w:r w:rsidRPr="00926C98">
        <w:rPr>
          <w:i/>
        </w:rPr>
        <w:t>pros hen</w:t>
      </w:r>
      <w:r w:rsidRPr="003D1E07">
        <w:t xml:space="preserve"> a existuje jako emanace Platonovy ideje Dobra, nebo jde sestupně od Porfyriova z</w:t>
      </w:r>
      <w:r w:rsidR="08AF6B7D" w:rsidRPr="003D1E07">
        <w:t>dvojeného bytí Jednoho (kap. 1.3</w:t>
      </w:r>
      <w:r w:rsidRPr="003D1E07">
        <w:t xml:space="preserve">.1). Tento model dedukce a poznání </w:t>
      </w:r>
      <w:r w:rsidR="083E4291" w:rsidRPr="003D1E07">
        <w:t xml:space="preserve">hypostázovaných </w:t>
      </w:r>
      <w:r w:rsidRPr="003D1E07">
        <w:t xml:space="preserve">forem jako zcela samostatných </w:t>
      </w:r>
      <w:r w:rsidR="083E4291" w:rsidRPr="003D1E07">
        <w:t xml:space="preserve">substancí </w:t>
      </w:r>
      <w:r w:rsidRPr="003D1E07">
        <w:t xml:space="preserve">určujících nižší materiální </w:t>
      </w:r>
      <w:r w:rsidRPr="003D1E07">
        <w:lastRenderedPageBreak/>
        <w:t xml:space="preserve">svět podává dílo </w:t>
      </w:r>
      <w:r w:rsidRPr="00926C98">
        <w:rPr>
          <w:i/>
        </w:rPr>
        <w:t>Liber de causis</w:t>
      </w:r>
      <w:r w:rsidRPr="00926C98">
        <w:rPr>
          <w:i/>
        </w:rPr>
        <w:fldChar w:fldCharType="begin"/>
      </w:r>
      <w:r w:rsidRPr="003D1E07">
        <w:instrText xml:space="preserve"> XE "</w:instrText>
      </w:r>
      <w:r w:rsidRPr="00926C98">
        <w:rPr>
          <w:i/>
        </w:rPr>
        <w:instrText>Liber de causis</w:instrText>
      </w:r>
      <w:r w:rsidRPr="003D1E07">
        <w:instrText xml:space="preserve">" </w:instrText>
      </w:r>
      <w:r w:rsidRPr="00926C98">
        <w:rPr>
          <w:i/>
        </w:rPr>
        <w:fldChar w:fldCharType="end"/>
      </w:r>
      <w:r w:rsidRPr="003D1E07">
        <w:t xml:space="preserve">. Jde o neoplatonismus daný v modu Plotinových emanací, v němž inteligibilní forma vystupuje jako aristotelská první </w:t>
      </w:r>
      <w:r w:rsidR="00B05B5A">
        <w:t xml:space="preserve">hyparchická </w:t>
      </w:r>
      <w:r w:rsidRPr="003D1E07">
        <w:t xml:space="preserve">substance. Iluminát poznává tento diakosmos tím, že je přímo osvícen od odděleného kosmického </w:t>
      </w:r>
      <w:r w:rsidRPr="00926C98">
        <w:rPr>
          <w:i/>
        </w:rPr>
        <w:t>intellectus agens</w:t>
      </w:r>
      <w:r w:rsidRPr="003D1E07">
        <w:t xml:space="preserve">. Oddělený činný intelekt aktualizuje individuální lidský </w:t>
      </w:r>
      <w:r w:rsidRPr="00926C98">
        <w:rPr>
          <w:i/>
        </w:rPr>
        <w:t>intellectus adeptus</w:t>
      </w:r>
      <w:r w:rsidRPr="003D1E07">
        <w:t xml:space="preserve"> jako jedinou složku našeho poznání, která je schopna vidět subsistentní inteli</w:t>
      </w:r>
      <w:r w:rsidR="00DC0CDF">
        <w:t>gibilní formy v přímém náhledu.</w:t>
      </w:r>
    </w:p>
    <w:p w14:paraId="1063DD81" w14:textId="06F536E3" w:rsidR="00926C98" w:rsidRDefault="08D52A20" w:rsidP="00691CD0">
      <w:pPr>
        <w:numPr>
          <w:ilvl w:val="0"/>
          <w:numId w:val="12"/>
        </w:numPr>
      </w:pPr>
      <w:r w:rsidRPr="003D1E07">
        <w:t xml:space="preserve">Amfibolní predikace v analogickém modu </w:t>
      </w:r>
      <w:r w:rsidRPr="00926C98">
        <w:rPr>
          <w:i/>
        </w:rPr>
        <w:t>aliud esse</w:t>
      </w:r>
      <w:r w:rsidRPr="003D1E07">
        <w:t xml:space="preserve"> determinuje nové </w:t>
      </w:r>
      <w:r w:rsidRPr="00926C98">
        <w:rPr>
          <w:i/>
        </w:rPr>
        <w:t>tertium ens</w:t>
      </w:r>
      <w:r w:rsidRPr="003D1E07">
        <w:t xml:space="preserve">, které je dáno v ontoteologické struktuře metafyziky podle Druhého mistra. Tento výklad ruší původní verzi neoplatonského diakosmu, protože </w:t>
      </w:r>
      <w:r w:rsidR="00651D42" w:rsidRPr="003D1E07">
        <w:t>odmítá hypostázovat univerzália jako neoplatonské první substance vytvořené v emanační</w:t>
      </w:r>
      <w:r w:rsidR="00A41017" w:rsidRPr="003D1E07">
        <w:t xml:space="preserve">m scénáři. </w:t>
      </w:r>
      <w:r w:rsidR="00DC0CDF">
        <w:t>K</w:t>
      </w:r>
      <w:r w:rsidR="00A41017" w:rsidRPr="003D1E07">
        <w:t>ategoriální amfibolní predikace</w:t>
      </w:r>
      <w:r w:rsidRPr="003D1E07">
        <w:t xml:space="preserve"> </w:t>
      </w:r>
      <w:r w:rsidR="00A41017" w:rsidRPr="003D1E07">
        <w:t xml:space="preserve">zavádí pojetí </w:t>
      </w:r>
      <w:r w:rsidRPr="003D1E07">
        <w:t xml:space="preserve">pravdy </w:t>
      </w:r>
      <w:r w:rsidR="00E86DD3">
        <w:t xml:space="preserve">o sobě </w:t>
      </w:r>
      <w:r w:rsidR="00A41017" w:rsidRPr="003D1E07">
        <w:t xml:space="preserve">a </w:t>
      </w:r>
      <w:r w:rsidR="00E86DD3">
        <w:t xml:space="preserve">transcendentání </w:t>
      </w:r>
      <w:r w:rsidR="00103CBA">
        <w:t>určení jsoucna, které</w:t>
      </w:r>
      <w:r w:rsidR="00651D42" w:rsidRPr="003D1E07">
        <w:t xml:space="preserve"> existují </w:t>
      </w:r>
      <w:r w:rsidR="00DC0CDF">
        <w:t>mimo první substanci</w:t>
      </w:r>
      <w:r w:rsidR="008D5CEC">
        <w:t xml:space="preserve"> (</w:t>
      </w:r>
      <w:r w:rsidR="008D5CEC" w:rsidRPr="00BF180E">
        <w:rPr>
          <w:i/>
        </w:rPr>
        <w:t>primum intellectum</w:t>
      </w:r>
      <w:r w:rsidR="008D5CEC">
        <w:t>)</w:t>
      </w:r>
      <w:r w:rsidR="00DC0CDF">
        <w:t>.</w:t>
      </w:r>
      <w:r w:rsidR="00926C98">
        <w:t xml:space="preserve"> </w:t>
      </w:r>
      <w:r w:rsidRPr="003D1E07">
        <w:t>Bytí jsoucna dostane nové ontologické určení v rámci zvláštní formy, kterou nazírá darovaný</w:t>
      </w:r>
      <w:r w:rsidR="00753239">
        <w:t xml:space="preserve"> intelekt daný v modu aktuální</w:t>
      </w:r>
      <w:r w:rsidRPr="003D1E07">
        <w:t xml:space="preserve"> substance</w:t>
      </w:r>
      <w:r w:rsidR="00813A82">
        <w:t>–</w:t>
      </w:r>
      <w:r w:rsidR="00FD7B8B">
        <w:t>species podle Simplikia (kap. 1.3.2)</w:t>
      </w:r>
      <w:r w:rsidR="00FF3B5F" w:rsidRPr="003D1E07">
        <w:t xml:space="preserve">. </w:t>
      </w:r>
      <w:r w:rsidRPr="003D1E07">
        <w:t>Subjekt a objekt</w:t>
      </w:r>
      <w:r w:rsidRPr="00926C98">
        <w:rPr>
          <w:i/>
        </w:rPr>
        <w:fldChar w:fldCharType="begin"/>
      </w:r>
      <w:r w:rsidRPr="003D1E07">
        <w:instrText xml:space="preserve"> XE "</w:instrText>
      </w:r>
      <w:r w:rsidRPr="00926C98">
        <w:rPr>
          <w:i/>
        </w:rPr>
        <w:instrText>subiectum:</w:instrText>
      </w:r>
      <w:r w:rsidRPr="003D1E07">
        <w:instrText xml:space="preserve">třetího druhu" </w:instrText>
      </w:r>
      <w:r w:rsidRPr="00926C98">
        <w:rPr>
          <w:i/>
        </w:rPr>
        <w:fldChar w:fldCharType="end"/>
      </w:r>
      <w:r w:rsidRPr="00926C98">
        <w:rPr>
          <w:i/>
        </w:rPr>
        <w:t xml:space="preserve"> </w:t>
      </w:r>
      <w:r w:rsidRPr="003D1E07">
        <w:t xml:space="preserve">vznikne skrze abstrakci druhého řádu danou jako přímé nazírání čisté formy. </w:t>
      </w:r>
      <w:r w:rsidR="00563B3B">
        <w:t xml:space="preserve">Tento intelekt je substance </w:t>
      </w:r>
      <w:r w:rsidR="00FD7B8B" w:rsidRPr="003D1E07">
        <w:t>třetího druhu</w:t>
      </w:r>
      <w:r w:rsidR="00563B3B">
        <w:t xml:space="preserve">, která má za úkol podržet hypostázované formy </w:t>
      </w:r>
      <w:r w:rsidR="00FD7B8B" w:rsidRPr="003D1E07">
        <w:t>(</w:t>
      </w:r>
      <w:r w:rsidR="00FD7B8B" w:rsidRPr="00926C98">
        <w:rPr>
          <w:i/>
        </w:rPr>
        <w:t xml:space="preserve">intellectus adeptus est quasi subiectum illis, </w:t>
      </w:r>
      <w:r w:rsidR="00FD7B8B" w:rsidRPr="003D1E07">
        <w:t xml:space="preserve">kap. 2.1.1). </w:t>
      </w:r>
      <w:r w:rsidRPr="003D1E07">
        <w:t xml:space="preserve">Tato forma ale není neoplatonskou </w:t>
      </w:r>
      <w:r w:rsidR="00FD155D">
        <w:t xml:space="preserve">hyparchickou </w:t>
      </w:r>
      <w:r w:rsidRPr="003D1E07">
        <w:t xml:space="preserve">substancí, protože je aktualizována v modu </w:t>
      </w:r>
      <w:r w:rsidRPr="00926C98">
        <w:rPr>
          <w:i/>
        </w:rPr>
        <w:t>per prius</w:t>
      </w:r>
      <w:r w:rsidRPr="003D1E07">
        <w:t xml:space="preserve"> skrze poznání vycházející z Aristotelova pojetí abstrakce</w:t>
      </w:r>
      <w:r w:rsidR="00926C98">
        <w:t xml:space="preserve"> a kategoriální predikace</w:t>
      </w:r>
      <w:r w:rsidR="008D5CEC">
        <w:t xml:space="preserve"> (</w:t>
      </w:r>
      <w:r w:rsidR="008D5CEC">
        <w:rPr>
          <w:i/>
        </w:rPr>
        <w:t>secund</w:t>
      </w:r>
      <w:r w:rsidR="008D5CEC" w:rsidRPr="00BF180E">
        <w:rPr>
          <w:i/>
        </w:rPr>
        <w:t>um intellectum</w:t>
      </w:r>
      <w:r w:rsidR="008D5CEC">
        <w:t>)</w:t>
      </w:r>
      <w:r w:rsidR="00926C98">
        <w:t>.</w:t>
      </w:r>
    </w:p>
    <w:p w14:paraId="6DCC60C9" w14:textId="04293DAA" w:rsidR="00CB4E57" w:rsidRDefault="00E91FCB" w:rsidP="00691CD0">
      <w:r w:rsidRPr="003D1E07">
        <w:t>Amfibolní predikace</w:t>
      </w:r>
      <w:r w:rsidRPr="003D1E07">
        <w:fldChar w:fldCharType="begin"/>
      </w:r>
      <w:r w:rsidRPr="003D1E07">
        <w:instrText xml:space="preserve"> XE "predikace:amfibolní" </w:instrText>
      </w:r>
      <w:r w:rsidRPr="003D1E07">
        <w:fldChar w:fldCharType="end"/>
      </w:r>
      <w:r w:rsidRPr="003D1E07">
        <w:t xml:space="preserve"> Druhého mistra je vztažená k transcendentálnímu bytí pravdy. Tím založila ontoteologickou strukturu moderní metafyziky, protože umožnila první koexistenci všech tří významů jsoucího. Ty jsou dány skrze: 1) aristotelskou kategoriální predi</w:t>
      </w:r>
      <w:r w:rsidR="00C518C2">
        <w:t>kaci; 2) neoplatonské ideální bytí jako Plotinoých nejvyšších rodů</w:t>
      </w:r>
      <w:r w:rsidRPr="003D1E07">
        <w:t xml:space="preserve">; 3) </w:t>
      </w:r>
      <w:r w:rsidR="00C518C2">
        <w:t xml:space="preserve">amfibolní povahu jsoucna (později zvanou „objektivně nazírané jsoucno“), která tvoří novou formu </w:t>
      </w:r>
      <w:r w:rsidRPr="003D1E07">
        <w:rPr>
          <w:i/>
        </w:rPr>
        <w:t>tertium ens</w:t>
      </w:r>
      <w:r w:rsidRPr="003D1E07">
        <w:t>.</w:t>
      </w:r>
      <w:r>
        <w:t xml:space="preserve"> </w:t>
      </w:r>
      <w:r w:rsidR="00926C98" w:rsidRPr="003D1E07">
        <w:t xml:space="preserve">Poznávací schéma nové amfibolické </w:t>
      </w:r>
      <w:r w:rsidR="000A5CCC">
        <w:t xml:space="preserve">substance </w:t>
      </w:r>
      <w:r w:rsidR="00926C98" w:rsidRPr="003D1E07">
        <w:t>je stejné jako ve druhém případě</w:t>
      </w:r>
      <w:r w:rsidR="0088265C">
        <w:t xml:space="preserve"> dané neoplatónskou iluminací</w:t>
      </w:r>
      <w:r w:rsidR="00AE6014">
        <w:t xml:space="preserve">. Objektivní </w:t>
      </w:r>
      <w:r w:rsidR="00926C98" w:rsidRPr="003D1E07">
        <w:t xml:space="preserve">poznání je </w:t>
      </w:r>
      <w:r w:rsidR="00AE6014">
        <w:t xml:space="preserve">vytvořeno </w:t>
      </w:r>
      <w:r w:rsidR="00926C98" w:rsidRPr="003D1E07">
        <w:t>skrze iluminaci kosmickým intelektem. Činný intelekt existuje jako oddělená substance kosmických inteligencí a sdílí se lidskému intelektu v aktu mystického spojení (</w:t>
      </w:r>
      <w:r w:rsidR="00926C98" w:rsidRPr="003D1E07">
        <w:rPr>
          <w:i/>
        </w:rPr>
        <w:t>ittiṣāl</w:t>
      </w:r>
      <w:r w:rsidR="00926C98" w:rsidRPr="003D1E07">
        <w:rPr>
          <w:i/>
        </w:rPr>
        <w:fldChar w:fldCharType="begin"/>
      </w:r>
      <w:r w:rsidR="00926C98" w:rsidRPr="003D1E07">
        <w:instrText xml:space="preserve"> XE "</w:instrText>
      </w:r>
      <w:r w:rsidR="00926C98" w:rsidRPr="003D1E07">
        <w:rPr>
          <w:i/>
        </w:rPr>
        <w:instrText>ittiṣāl</w:instrText>
      </w:r>
      <w:r w:rsidR="00926C98" w:rsidRPr="003D1E07">
        <w:instrText xml:space="preserve">" </w:instrText>
      </w:r>
      <w:r w:rsidR="00926C98" w:rsidRPr="003D1E07">
        <w:rPr>
          <w:i/>
        </w:rPr>
        <w:fldChar w:fldCharType="end"/>
      </w:r>
      <w:r w:rsidR="00926C98" w:rsidRPr="003D1E07">
        <w:rPr>
          <w:i/>
        </w:rPr>
        <w:t>, ittiḥād</w:t>
      </w:r>
      <w:r w:rsidR="00926C98" w:rsidRPr="003D1E07">
        <w:t xml:space="preserve">). </w:t>
      </w:r>
      <w:r w:rsidR="00E02E74" w:rsidRPr="003D1E07">
        <w:t xml:space="preserve">Druhý mistr vytvořil originálním spojením platonské a aristotelské metafyziky nové pojetí abstrakce a predikace. </w:t>
      </w:r>
      <w:r w:rsidR="08D52A20" w:rsidRPr="003D1E07">
        <w:t xml:space="preserve">Potenciální intelekt je třeba pouze na prvním stupni abstrakce, protože musí aktualizovat </w:t>
      </w:r>
      <w:r w:rsidR="08D52A20" w:rsidRPr="003D1E07">
        <w:rPr>
          <w:i/>
        </w:rPr>
        <w:lastRenderedPageBreak/>
        <w:t>intellectus in potencia</w:t>
      </w:r>
      <w:r w:rsidR="08D52A20" w:rsidRPr="003D1E07">
        <w:t xml:space="preserve"> na </w:t>
      </w:r>
      <w:r w:rsidR="08D52A20" w:rsidRPr="003D1E07">
        <w:rPr>
          <w:i/>
        </w:rPr>
        <w:t>intellectus in effectu</w:t>
      </w:r>
      <w:r w:rsidR="08D52A20" w:rsidRPr="003D1E07">
        <w:t xml:space="preserve">. Ale na dalším stupni poznání již  </w:t>
      </w:r>
      <w:r w:rsidR="08D52A20" w:rsidRPr="003D1E07">
        <w:rPr>
          <w:i/>
        </w:rPr>
        <w:t>intellectus adeptus</w:t>
      </w:r>
      <w:r w:rsidR="08D52A20" w:rsidRPr="003D1E07">
        <w:t xml:space="preserve"> přijímá oddělenou, aktuální a hypostázovanou formu danou ve formě </w:t>
      </w:r>
      <w:r w:rsidR="08D52A20" w:rsidRPr="003D1E07">
        <w:rPr>
          <w:i/>
        </w:rPr>
        <w:t>tertium ens</w:t>
      </w:r>
      <w:r w:rsidR="08D52A20" w:rsidRPr="003D1E07">
        <w:t xml:space="preserve"> od odděleného kosmického </w:t>
      </w:r>
      <w:r w:rsidR="08D52A20" w:rsidRPr="003D1E07">
        <w:rPr>
          <w:i/>
        </w:rPr>
        <w:t>intellectus agens</w:t>
      </w:r>
      <w:r w:rsidR="08D52A20" w:rsidRPr="003D1E07">
        <w:rPr>
          <w:i/>
        </w:rPr>
        <w:fldChar w:fldCharType="begin"/>
      </w:r>
      <w:r w:rsidR="08D52A20" w:rsidRPr="003D1E07">
        <w:instrText xml:space="preserve"> XE "</w:instrText>
      </w:r>
      <w:r w:rsidR="08D52A20" w:rsidRPr="003D1E07">
        <w:rPr>
          <w:i/>
        </w:rPr>
        <w:instrText>intellectus agens:</w:instrText>
      </w:r>
      <w:r w:rsidR="08D52A20" w:rsidRPr="003D1E07">
        <w:instrText xml:space="preserve">falsafa" </w:instrText>
      </w:r>
      <w:r w:rsidR="08D52A20" w:rsidRPr="003D1E07">
        <w:rPr>
          <w:i/>
        </w:rPr>
        <w:fldChar w:fldCharType="end"/>
      </w:r>
      <w:r w:rsidR="00824789">
        <w:t xml:space="preserve">. </w:t>
      </w:r>
      <w:r w:rsidR="08D52A20" w:rsidRPr="003D1E07">
        <w:t>Predikace pak běží v modu amfibolií, které podle hypostázovaného</w:t>
      </w:r>
      <w:r w:rsidR="00A057E0" w:rsidRPr="003D1E07">
        <w:t xml:space="preserve"> pojetí pravdy představují nová rodová</w:t>
      </w:r>
      <w:r w:rsidR="08D52A20" w:rsidRPr="003D1E07">
        <w:t xml:space="preserve"> určení jsoucna</w:t>
      </w:r>
      <w:r w:rsidR="08D52A20" w:rsidRPr="003D1E07">
        <w:fldChar w:fldCharType="begin"/>
      </w:r>
      <w:r w:rsidR="08D52A20" w:rsidRPr="003D1E07">
        <w:instrText xml:space="preserve"> XE "</w:instrText>
      </w:r>
      <w:r w:rsidR="08D52A20" w:rsidRPr="003D1E07">
        <w:rPr>
          <w:i/>
        </w:rPr>
        <w:instrText>tertium ens</w:instrText>
      </w:r>
      <w:r w:rsidR="08D52A20" w:rsidRPr="003D1E07">
        <w:instrText xml:space="preserve">:transcendentália" </w:instrText>
      </w:r>
      <w:r w:rsidR="08D52A20" w:rsidRPr="003D1E07">
        <w:fldChar w:fldCharType="end"/>
      </w:r>
      <w:r w:rsidR="08D52A20" w:rsidRPr="003D1E07">
        <w:t xml:space="preserve">. Ve třetím způsobu poznání platí modifikovaný neoplatonský scénář, v němž se aristotelské akcidenty změní na nové hypostáze dané v ontoteologické struktuře metafyziky. Rozdíl proti druhé formě </w:t>
      </w:r>
      <w:r w:rsidR="08D52A20" w:rsidRPr="003D1E07">
        <w:rPr>
          <w:i/>
        </w:rPr>
        <w:t>aliud esse</w:t>
      </w:r>
      <w:r w:rsidR="08D52A20" w:rsidRPr="003D1E07">
        <w:t xml:space="preserve"> je v tom, že nazíraná forma představuje mix potenciality a aktuality daný dvojím pojetím poznání skrze abstrakci a denudaci. Proto poznání začíná skrze aristotelskou predikaci v modu univocity determinované smyslově poznanou první substancí a nejde cestou mystické analogie v rámci Plotinových nejvyšších rodů jsou</w:t>
      </w:r>
      <w:r w:rsidR="00CB4E57">
        <w:t>cna.</w:t>
      </w:r>
    </w:p>
    <w:p w14:paraId="7E8DDB8B" w14:textId="54A9F255" w:rsidR="089B2392" w:rsidRPr="003D1E07" w:rsidRDefault="08D52A20" w:rsidP="00CB4E57">
      <w:pPr>
        <w:ind w:firstLine="397"/>
      </w:pPr>
      <w:r w:rsidRPr="003D1E07">
        <w:t xml:space="preserve">Al-Fárábí se stal otcem západní objektivity zavedením nové formy diakosmu ve formě ontoteologické struktury metafyziky. </w:t>
      </w:r>
      <w:r w:rsidR="08CF637C" w:rsidRPr="003D1E07">
        <w:t>Pomocí amfibolní predikace</w:t>
      </w:r>
      <w:r w:rsidR="08CF637C" w:rsidRPr="003D1E07">
        <w:fldChar w:fldCharType="begin"/>
      </w:r>
      <w:r w:rsidR="089D2E02" w:rsidRPr="003D1E07">
        <w:instrText xml:space="preserve"> XE "predikace:amfibolní</w:instrText>
      </w:r>
      <w:r w:rsidR="08CF637C" w:rsidRPr="003D1E07">
        <w:instrText xml:space="preserve">" </w:instrText>
      </w:r>
      <w:r w:rsidR="08CF637C" w:rsidRPr="003D1E07">
        <w:fldChar w:fldCharType="end"/>
      </w:r>
      <w:r w:rsidR="08CF637C" w:rsidRPr="003D1E07">
        <w:t xml:space="preserve"> vzniklo nové patro signifikace dané přímým nazíráním forem v rámci </w:t>
      </w:r>
      <w:r w:rsidR="08CF637C" w:rsidRPr="003D1E07">
        <w:rPr>
          <w:i/>
        </w:rPr>
        <w:t>intellectus adeptus</w:t>
      </w:r>
      <w:r w:rsidR="08CF637C" w:rsidRPr="003D1E07">
        <w:t xml:space="preserve">. </w:t>
      </w:r>
      <w:r w:rsidR="088B6D9E" w:rsidRPr="003D1E07">
        <w:t xml:space="preserve">Predikace </w:t>
      </w:r>
      <w:r w:rsidR="00937FB4" w:rsidRPr="003D1E07">
        <w:t xml:space="preserve">transcendentálií </w:t>
      </w:r>
      <w:r w:rsidR="088B6D9E" w:rsidRPr="003D1E07">
        <w:t xml:space="preserve">vytvořila nové jsoucno třetího druhu, které scholastika převezme </w:t>
      </w:r>
      <w:r w:rsidR="08737BD0" w:rsidRPr="003D1E07">
        <w:t xml:space="preserve">pod </w:t>
      </w:r>
      <w:r w:rsidR="088B6D9E" w:rsidRPr="003D1E07">
        <w:t xml:space="preserve">různými názvy </w:t>
      </w:r>
      <w:r w:rsidR="08774049" w:rsidRPr="003D1E07">
        <w:t xml:space="preserve">do nových forem kategoriální predikace </w:t>
      </w:r>
      <w:r w:rsidR="088B6D9E" w:rsidRPr="003D1E07">
        <w:t>(</w:t>
      </w:r>
      <w:r w:rsidR="088B6D9E" w:rsidRPr="003D1E07">
        <w:rPr>
          <w:i/>
        </w:rPr>
        <w:t>passio entis, transpraedicamenta</w:t>
      </w:r>
      <w:r w:rsidR="088B6D9E" w:rsidRPr="003D1E07">
        <w:t xml:space="preserve">, </w:t>
      </w:r>
      <w:r w:rsidR="088B6D9E" w:rsidRPr="003D1E07">
        <w:rPr>
          <w:i/>
        </w:rPr>
        <w:t>passiones per se</w:t>
      </w:r>
      <w:r w:rsidR="088B6D9E" w:rsidRPr="003D1E07">
        <w:t xml:space="preserve">, </w:t>
      </w:r>
      <w:r w:rsidR="088B6D9E" w:rsidRPr="003D1E07">
        <w:rPr>
          <w:i/>
        </w:rPr>
        <w:t>modi entis</w:t>
      </w:r>
      <w:r w:rsidR="088B6D9E" w:rsidRPr="003D1E07">
        <w:t xml:space="preserve">). První latinský model </w:t>
      </w:r>
      <w:r w:rsidR="08737BD0" w:rsidRPr="003D1E07">
        <w:t xml:space="preserve">amfibolní </w:t>
      </w:r>
      <w:r w:rsidR="088B6D9E" w:rsidRPr="003D1E07">
        <w:t xml:space="preserve">predikace pro první tři </w:t>
      </w:r>
      <w:r w:rsidR="08737BD0" w:rsidRPr="003D1E07">
        <w:t xml:space="preserve">transcendentálie </w:t>
      </w:r>
      <w:r w:rsidR="088B6D9E" w:rsidRPr="003D1E07">
        <w:t>(</w:t>
      </w:r>
      <w:r w:rsidR="088B6D9E" w:rsidRPr="003D1E07">
        <w:rPr>
          <w:i/>
        </w:rPr>
        <w:t>ens</w:t>
      </w:r>
      <w:r w:rsidR="088B6D9E" w:rsidRPr="003D1E07">
        <w:t xml:space="preserve">, </w:t>
      </w:r>
      <w:r w:rsidR="088B6D9E" w:rsidRPr="003D1E07">
        <w:rPr>
          <w:i/>
        </w:rPr>
        <w:t>unum</w:t>
      </w:r>
      <w:r w:rsidR="088B6D9E" w:rsidRPr="003D1E07">
        <w:t xml:space="preserve">, </w:t>
      </w:r>
      <w:r w:rsidR="088B6D9E" w:rsidRPr="003D1E07">
        <w:rPr>
          <w:i/>
        </w:rPr>
        <w:t>verum</w:t>
      </w:r>
      <w:r w:rsidR="088B6D9E" w:rsidRPr="003D1E07">
        <w:fldChar w:fldCharType="begin"/>
      </w:r>
      <w:r w:rsidR="088B6D9E" w:rsidRPr="003D1E07">
        <w:instrText xml:space="preserve"> XE "</w:instrText>
      </w:r>
      <w:r w:rsidR="088B6D9E" w:rsidRPr="003D1E07">
        <w:rPr>
          <w:i/>
        </w:rPr>
        <w:instrText>tertium ens</w:instrText>
      </w:r>
      <w:r w:rsidR="088B6D9E" w:rsidRPr="003D1E07">
        <w:instrText xml:space="preserve">:transcendentália" </w:instrText>
      </w:r>
      <w:r w:rsidR="088B6D9E" w:rsidRPr="003D1E07">
        <w:fldChar w:fldCharType="end"/>
      </w:r>
      <w:r w:rsidR="088B6D9E" w:rsidRPr="003D1E07">
        <w:t>) z</w:t>
      </w:r>
      <w:r w:rsidR="08737BD0" w:rsidRPr="003D1E07">
        <w:t>e</w:t>
      </w:r>
      <w:r w:rsidR="088B6D9E" w:rsidRPr="003D1E07">
        <w:t xml:space="preserve"> </w:t>
      </w:r>
      <w:r w:rsidR="08737BD0" w:rsidRPr="003D1E07">
        <w:t xml:space="preserve">známé </w:t>
      </w:r>
      <w:r w:rsidR="088B6D9E" w:rsidRPr="003D1E07">
        <w:t>řady určení jsoucna najdeme u Filipa Kancléře (</w:t>
      </w:r>
      <w:r w:rsidR="081E41BA" w:rsidRPr="003D1E07">
        <w:t>OBJ II, kap. 2</w:t>
      </w:r>
      <w:r w:rsidR="088B6D9E" w:rsidRPr="003D1E07">
        <w:t xml:space="preserve">.3.2). Kategoriální predikace skrze amfibolia bere smyslové poznání odvozené od první substance jen jako akcident potvrzující již danou autonomní činnost intelektu. </w:t>
      </w:r>
      <w:r w:rsidR="084752B8" w:rsidRPr="003D1E07">
        <w:t xml:space="preserve">Přímý náhled formy v darovaném intelektu existuje odděleně od Aristotelovy kategoriální signifikace určující vztah mezi první a druhou substancí. </w:t>
      </w:r>
      <w:r w:rsidR="08500938" w:rsidRPr="003D1E07">
        <w:t>Pokud se absolutizuje potence poznání skrze amfibolia v</w:t>
      </w:r>
      <w:r w:rsidR="004A4512">
        <w:t xml:space="preserve"> neoplatonské </w:t>
      </w:r>
      <w:r w:rsidR="08500938" w:rsidRPr="003D1E07">
        <w:t xml:space="preserve">predikaci </w:t>
      </w:r>
      <w:r w:rsidR="08500938" w:rsidRPr="003D1E07">
        <w:rPr>
          <w:i/>
        </w:rPr>
        <w:t>per prius</w:t>
      </w:r>
      <w:r w:rsidR="08500938" w:rsidRPr="003D1E07">
        <w:t xml:space="preserve">, pak je aristotelský </w:t>
      </w:r>
      <w:r w:rsidR="08500938" w:rsidRPr="003D1E07">
        <w:rPr>
          <w:i/>
        </w:rPr>
        <w:t>intellectus possibilis</w:t>
      </w:r>
      <w:r w:rsidR="08500938" w:rsidRPr="003D1E07">
        <w:t xml:space="preserve"> zcela zbytečný. </w:t>
      </w:r>
      <w:r w:rsidR="088B6D9E" w:rsidRPr="003D1E07">
        <w:t xml:space="preserve">Receptivní intelekt determinovaný smyslovým poznáním skrze abstrakci už není třeba pro primární zaměření transcendentálně orientované mysli </w:t>
      </w:r>
      <w:r w:rsidR="088B6D9E" w:rsidRPr="003D1E07">
        <w:rPr>
          <w:i/>
        </w:rPr>
        <w:t>Modernorum</w:t>
      </w:r>
      <w:r w:rsidR="088B6D9E" w:rsidRPr="003D1E07">
        <w:t xml:space="preserve">. </w:t>
      </w:r>
      <w:r w:rsidR="084752B8" w:rsidRPr="003D1E07">
        <w:t>Ilumináti jsou osvíceni novou formou kategoriálně predikovaného diakosmu.</w:t>
      </w:r>
      <w:r w:rsidR="0866150C" w:rsidRPr="003D1E07">
        <w:t xml:space="preserve"> </w:t>
      </w:r>
      <w:r w:rsidR="08D924F5" w:rsidRPr="003D1E07">
        <w:t>Amfibolní predikaci</w:t>
      </w:r>
      <w:r w:rsidR="08FF0559" w:rsidRPr="003D1E07">
        <w:t xml:space="preserve"> obhajuje dílo </w:t>
      </w:r>
      <w:r w:rsidR="088B6D9E" w:rsidRPr="003D1E07">
        <w:rPr>
          <w:i/>
        </w:rPr>
        <w:t>De intellectu</w:t>
      </w:r>
      <w:r w:rsidR="08FF0559" w:rsidRPr="003D1E07">
        <w:t xml:space="preserve"> v pasáži, která </w:t>
      </w:r>
      <w:r w:rsidR="088B6D9E" w:rsidRPr="003D1E07">
        <w:t xml:space="preserve">signifikuje jednotu jsoucna vzhledem ke světu oddělených intelligibilních forem. Dietericiho překlad rozlišuje jednotlivé formy buď abstrahujícího nebo nazírajícího intelektu a přesně určuje jejich pořadí v predikaci </w:t>
      </w:r>
      <w:r w:rsidR="088B6D9E" w:rsidRPr="003D1E07">
        <w:rPr>
          <w:i/>
        </w:rPr>
        <w:t>per prius</w:t>
      </w:r>
      <w:r w:rsidR="088B6D9E" w:rsidRPr="003D1E07">
        <w:t xml:space="preserve"> a </w:t>
      </w:r>
      <w:r w:rsidR="088B6D9E" w:rsidRPr="003D1E07">
        <w:rPr>
          <w:i/>
        </w:rPr>
        <w:t>per posterius</w:t>
      </w:r>
      <w:r w:rsidR="088B6D9E" w:rsidRPr="003D1E07">
        <w:t>.</w:t>
      </w:r>
      <w:r w:rsidR="00A43337">
        <w:t xml:space="preserve"> Překlad Toledské školy toto místo podává podle Avicennny a v tomto případě správně.</w:t>
      </w:r>
    </w:p>
    <w:p w14:paraId="232C6520" w14:textId="77777777" w:rsidR="0831779F" w:rsidRPr="003D1E07" w:rsidRDefault="089B2392" w:rsidP="0831779F">
      <w:pPr>
        <w:pStyle w:val="Citace"/>
        <w:rPr>
          <w:lang w:val="cs-CZ"/>
        </w:rPr>
      </w:pPr>
      <w:r w:rsidRPr="003D1E07">
        <w:rPr>
          <w:lang w:val="cs-CZ"/>
        </w:rPr>
        <w:lastRenderedPageBreak/>
        <w:t xml:space="preserve">„Jestliže </w:t>
      </w:r>
      <w:r w:rsidR="0831779F" w:rsidRPr="003D1E07">
        <w:rPr>
          <w:lang w:val="cs-CZ"/>
        </w:rPr>
        <w:t>aktualizovaný intelekt (</w:t>
      </w:r>
      <w:r w:rsidR="0831779F" w:rsidRPr="003D1E07">
        <w:rPr>
          <w:i/>
          <w:lang w:val="cs-CZ"/>
        </w:rPr>
        <w:t>intellectus in effectu</w:t>
      </w:r>
      <w:r w:rsidR="0831779F" w:rsidRPr="003D1E07">
        <w:rPr>
          <w:lang w:val="cs-CZ"/>
        </w:rPr>
        <w:t xml:space="preserve">) myslí intelektuální obsahy, které pro něj existují </w:t>
      </w:r>
      <w:r w:rsidR="087D40AD" w:rsidRPr="003D1E07">
        <w:rPr>
          <w:lang w:val="cs-CZ"/>
        </w:rPr>
        <w:t xml:space="preserve">již </w:t>
      </w:r>
      <w:r w:rsidR="0831779F" w:rsidRPr="003D1E07">
        <w:rPr>
          <w:lang w:val="cs-CZ"/>
        </w:rPr>
        <w:t xml:space="preserve">jako </w:t>
      </w:r>
      <w:r w:rsidR="00AB6F6B" w:rsidRPr="003D1E07">
        <w:rPr>
          <w:lang w:val="cs-CZ"/>
        </w:rPr>
        <w:t xml:space="preserve">čisté </w:t>
      </w:r>
      <w:r w:rsidR="0831779F" w:rsidRPr="003D1E07">
        <w:rPr>
          <w:lang w:val="cs-CZ"/>
        </w:rPr>
        <w:t>formy (</w:t>
      </w:r>
      <w:r w:rsidR="0831779F" w:rsidRPr="003D1E07">
        <w:rPr>
          <w:i/>
          <w:lang w:val="cs-CZ"/>
        </w:rPr>
        <w:t>res quae non sunt in materiis</w:t>
      </w:r>
      <w:r w:rsidR="0831779F" w:rsidRPr="003D1E07">
        <w:rPr>
          <w:lang w:val="cs-CZ"/>
        </w:rPr>
        <w:t xml:space="preserve">) </w:t>
      </w:r>
      <w:r w:rsidR="08995E7F" w:rsidRPr="003D1E07">
        <w:rPr>
          <w:lang w:val="cs-CZ"/>
        </w:rPr>
        <w:t xml:space="preserve">a chápe je </w:t>
      </w:r>
      <w:r w:rsidR="0831779F" w:rsidRPr="003D1E07">
        <w:rPr>
          <w:lang w:val="cs-CZ"/>
        </w:rPr>
        <w:t>jako aktuální</w:t>
      </w:r>
      <w:r w:rsidR="087D40AD" w:rsidRPr="003D1E07">
        <w:rPr>
          <w:lang w:val="cs-CZ"/>
        </w:rPr>
        <w:t xml:space="preserve"> formy</w:t>
      </w:r>
      <w:r w:rsidR="0831779F" w:rsidRPr="003D1E07">
        <w:rPr>
          <w:lang w:val="cs-CZ"/>
        </w:rPr>
        <w:t>, pak se tento aktualizovaný intelekt stává darovaným intelektem (</w:t>
      </w:r>
      <w:r w:rsidR="0831779F" w:rsidRPr="003D1E07">
        <w:rPr>
          <w:i/>
          <w:lang w:val="cs-CZ"/>
        </w:rPr>
        <w:t>intellectus adeptus</w:t>
      </w:r>
      <w:r w:rsidR="0831779F" w:rsidRPr="003D1E07">
        <w:rPr>
          <w:lang w:val="cs-CZ"/>
        </w:rPr>
        <w:t>).“ </w:t>
      </w:r>
      <w:r w:rsidR="088B6D9E" w:rsidRPr="003D1E07">
        <w:rPr>
          <w:rStyle w:val="Znakapoznpodarou"/>
          <w:lang w:val="cs-CZ"/>
        </w:rPr>
        <w:footnoteReference w:id="104"/>
      </w:r>
    </w:p>
    <w:p w14:paraId="1F404DF1" w14:textId="27431974" w:rsidR="00C444BF" w:rsidRDefault="088B6D9E" w:rsidP="08A365A9">
      <w:r w:rsidRPr="003D1E07">
        <w:t>Proces abstrakce začíná od reálné substance a intelekt se stává aktuálním skrze nasvícení zepředu</w:t>
      </w:r>
      <w:r w:rsidR="082E499A" w:rsidRPr="003D1E07">
        <w:t xml:space="preserve"> od reálné věci. Aristotelská</w:t>
      </w:r>
      <w:r w:rsidR="08C6562E" w:rsidRPr="003D1E07">
        <w:t xml:space="preserve"> abstrakce </w:t>
      </w:r>
      <w:r w:rsidR="082E499A" w:rsidRPr="003D1E07">
        <w:t xml:space="preserve">produkuje v intelektu </w:t>
      </w:r>
      <w:r w:rsidR="08C6562E" w:rsidRPr="003D1E07">
        <w:t xml:space="preserve">poznanou formu jako </w:t>
      </w:r>
      <w:r w:rsidR="00F214C5" w:rsidRPr="003D1E07">
        <w:t>species</w:t>
      </w:r>
      <w:r w:rsidR="08C6562E" w:rsidRPr="003D1E07">
        <w:rPr>
          <w:i/>
        </w:rPr>
        <w:t xml:space="preserve"> intelligibilis</w:t>
      </w:r>
      <w:r w:rsidR="00083549">
        <w:t>. C</w:t>
      </w:r>
      <w:r w:rsidR="08C1599E" w:rsidRPr="003D1E07">
        <w:t>itát pokračuje tím, že a</w:t>
      </w:r>
      <w:r w:rsidRPr="003D1E07">
        <w:t xml:space="preserve">bstrahované formy </w:t>
      </w:r>
      <w:r w:rsidR="08BD74C6" w:rsidRPr="003D1E07">
        <w:t xml:space="preserve">aktualizují intelekt </w:t>
      </w:r>
      <w:r w:rsidRPr="003D1E07">
        <w:t>(</w:t>
      </w:r>
      <w:r w:rsidRPr="003D1E07">
        <w:rPr>
          <w:i/>
        </w:rPr>
        <w:t>intellectus in effectu</w:t>
      </w:r>
      <w:r w:rsidRPr="003D1E07">
        <w:rPr>
          <w:i/>
        </w:rPr>
        <w:fldChar w:fldCharType="begin"/>
      </w:r>
      <w:r w:rsidRPr="003D1E07">
        <w:instrText xml:space="preserve"> XE "</w:instrText>
      </w:r>
      <w:r w:rsidRPr="003D1E07">
        <w:rPr>
          <w:i/>
        </w:rPr>
        <w:instrText>intellectus in effectu</w:instrText>
      </w:r>
      <w:r w:rsidRPr="003D1E07">
        <w:instrText xml:space="preserve">:Al-Fárábí" </w:instrText>
      </w:r>
      <w:r w:rsidRPr="003D1E07">
        <w:rPr>
          <w:i/>
        </w:rPr>
        <w:fldChar w:fldCharType="end"/>
      </w:r>
      <w:r w:rsidRPr="003D1E07">
        <w:t xml:space="preserve">) pro další stupeň </w:t>
      </w:r>
      <w:r w:rsidR="08BD74C6" w:rsidRPr="003D1E07">
        <w:t>poznání daný mimo abstrakci</w:t>
      </w:r>
      <w:r w:rsidRPr="003D1E07">
        <w:t xml:space="preserve">. </w:t>
      </w:r>
      <w:r w:rsidR="08BD74C6" w:rsidRPr="003D1E07">
        <w:t xml:space="preserve">Další poznané </w:t>
      </w:r>
      <w:r w:rsidR="080372CF" w:rsidRPr="003D1E07">
        <w:t xml:space="preserve">formy už nejsou označeny stejným termínem, protože mají </w:t>
      </w:r>
      <w:r w:rsidR="08BD74C6" w:rsidRPr="003D1E07">
        <w:t>vlastní aktualitu</w:t>
      </w:r>
      <w:r w:rsidR="080372CF" w:rsidRPr="003D1E07">
        <w:t xml:space="preserve"> </w:t>
      </w:r>
      <w:r w:rsidR="08BD74C6" w:rsidRPr="003D1E07">
        <w:t xml:space="preserve">na způsob </w:t>
      </w:r>
      <w:r w:rsidR="080372CF" w:rsidRPr="003D1E07">
        <w:t>inteligibilní</w:t>
      </w:r>
      <w:r w:rsidR="08BD74C6" w:rsidRPr="003D1E07">
        <w:t>ch kosmických substancí</w:t>
      </w:r>
      <w:r w:rsidR="080372CF" w:rsidRPr="003D1E07">
        <w:t>. Toledský překlad správně označuje tyto formy jiným termínem, aby zdůraznil jejich bytí jako nemateriální substance (</w:t>
      </w:r>
      <w:r w:rsidR="080372CF" w:rsidRPr="003D1E07">
        <w:rPr>
          <w:i/>
        </w:rPr>
        <w:t>res quae non sunt in materiis</w:t>
      </w:r>
      <w:r w:rsidR="080372CF" w:rsidRPr="003D1E07">
        <w:t xml:space="preserve">). </w:t>
      </w:r>
      <w:r w:rsidR="08F63957" w:rsidRPr="003D1E07">
        <w:t>Tento druh nazírání je schopen vidět amfibola v přímém náhledu daném mi</w:t>
      </w:r>
      <w:r w:rsidR="08176798" w:rsidRPr="003D1E07">
        <w:t>mo aristotelskou</w:t>
      </w:r>
      <w:r w:rsidR="08497536" w:rsidRPr="003D1E07">
        <w:t xml:space="preserve"> abstrakci. Iluminát pak </w:t>
      </w:r>
      <w:r w:rsidR="08F63957" w:rsidRPr="003D1E07">
        <w:t>následně provádí jejich predikaci</w:t>
      </w:r>
      <w:r w:rsidR="08176798" w:rsidRPr="003D1E07">
        <w:t xml:space="preserve"> v </w:t>
      </w:r>
      <w:r w:rsidR="08941FF3" w:rsidRPr="003D1E07">
        <w:t xml:space="preserve">amfibolním </w:t>
      </w:r>
      <w:r w:rsidR="08176798" w:rsidRPr="003D1E07">
        <w:t>modu daném mimo klasické kategorie</w:t>
      </w:r>
      <w:r w:rsidR="00FB6748">
        <w:t xml:space="preserve"> určené druhé substancí v mysli</w:t>
      </w:r>
      <w:r w:rsidR="005D53DF">
        <w:t xml:space="preserve">. Nyní jsou </w:t>
      </w:r>
      <w:r w:rsidR="08497536" w:rsidRPr="003D1E07">
        <w:t xml:space="preserve">univoční významy jsoucna </w:t>
      </w:r>
      <w:r w:rsidR="005D53DF">
        <w:t xml:space="preserve">determinovány </w:t>
      </w:r>
      <w:r w:rsidR="08176798" w:rsidRPr="003D1E07">
        <w:t xml:space="preserve">vzhledem ke druhé </w:t>
      </w:r>
      <w:r w:rsidR="005D53DF">
        <w:t>„</w:t>
      </w:r>
      <w:r w:rsidR="08176798" w:rsidRPr="003D1E07">
        <w:t>substanci</w:t>
      </w:r>
      <w:r w:rsidR="005D53DF">
        <w:t>–species“</w:t>
      </w:r>
      <w:r w:rsidR="00FB6748">
        <w:t xml:space="preserve"> dané jako amfibolní hypostáze</w:t>
      </w:r>
      <w:r w:rsidR="08F63957" w:rsidRPr="003D1E07">
        <w:t xml:space="preserve">. </w:t>
      </w:r>
      <w:r w:rsidR="080372CF" w:rsidRPr="003D1E07">
        <w:t>Proto Blundova</w:t>
      </w:r>
      <w:r w:rsidR="08DA142E" w:rsidRPr="003D1E07">
        <w:fldChar w:fldCharType="begin"/>
      </w:r>
      <w:r w:rsidR="08DA142E" w:rsidRPr="003D1E07">
        <w:instrText xml:space="preserve"> XE "Blund, J." </w:instrText>
      </w:r>
      <w:r w:rsidR="08DA142E" w:rsidRPr="003D1E07">
        <w:fldChar w:fldCharType="end"/>
      </w:r>
      <w:r w:rsidR="080372CF" w:rsidRPr="003D1E07">
        <w:t xml:space="preserve"> škola </w:t>
      </w:r>
      <w:r w:rsidR="08D91865" w:rsidRPr="003D1E07">
        <w:t>a následně i první averroismus zavrhly</w:t>
      </w:r>
      <w:r w:rsidR="080372CF" w:rsidRPr="003D1E07">
        <w:t xml:space="preserve"> </w:t>
      </w:r>
      <w:r w:rsidR="080372CF" w:rsidRPr="003D1E07">
        <w:rPr>
          <w:i/>
        </w:rPr>
        <w:t xml:space="preserve">intellectus adeptus </w:t>
      </w:r>
      <w:r w:rsidR="080372CF" w:rsidRPr="003D1E07">
        <w:t xml:space="preserve">jako </w:t>
      </w:r>
      <w:r w:rsidR="082E2B1A" w:rsidRPr="003D1E07">
        <w:t xml:space="preserve">součást </w:t>
      </w:r>
      <w:r w:rsidR="080372CF" w:rsidRPr="003D1E07">
        <w:t>přirozeného lidského</w:t>
      </w:r>
      <w:r w:rsidR="082E2B1A" w:rsidRPr="003D1E07">
        <w:t xml:space="preserve"> poznání. </w:t>
      </w:r>
      <w:r w:rsidR="08CD6F47" w:rsidRPr="003D1E07">
        <w:t>Aristotelikové správně pochopili p</w:t>
      </w:r>
      <w:r w:rsidR="082E2B1A" w:rsidRPr="003D1E07">
        <w:t xml:space="preserve">odle citovaného textu </w:t>
      </w:r>
      <w:r w:rsidR="084426D1" w:rsidRPr="003D1E07">
        <w:rPr>
          <w:i/>
        </w:rPr>
        <w:t>De intellectu</w:t>
      </w:r>
      <w:r w:rsidR="082E2B1A" w:rsidRPr="003D1E07">
        <w:t xml:space="preserve">, že </w:t>
      </w:r>
      <w:r w:rsidR="084426D1" w:rsidRPr="003D1E07">
        <w:t xml:space="preserve">poznané </w:t>
      </w:r>
      <w:r w:rsidR="082E2B1A" w:rsidRPr="003D1E07">
        <w:t xml:space="preserve">aktuální </w:t>
      </w:r>
      <w:r w:rsidR="08436C73" w:rsidRPr="003D1E07">
        <w:t xml:space="preserve">formy </w:t>
      </w:r>
      <w:r w:rsidR="084426D1" w:rsidRPr="003D1E07">
        <w:t xml:space="preserve">na úrovni darovaného intelektu </w:t>
      </w:r>
      <w:r w:rsidR="082E2B1A" w:rsidRPr="003D1E07">
        <w:t xml:space="preserve">nemohou vzniknout v procesu </w:t>
      </w:r>
      <w:r w:rsidR="08436C73" w:rsidRPr="003D1E07">
        <w:t xml:space="preserve">aristotelské </w:t>
      </w:r>
      <w:r w:rsidR="082E2B1A" w:rsidRPr="003D1E07">
        <w:t>abstrakce</w:t>
      </w:r>
      <w:r w:rsidR="08436C73" w:rsidRPr="003D1E07">
        <w:t xml:space="preserve"> od možného intelektu</w:t>
      </w:r>
      <w:r w:rsidR="080372CF" w:rsidRPr="003D1E07">
        <w:t xml:space="preserve">, ale </w:t>
      </w:r>
      <w:r w:rsidR="082E2B1A" w:rsidRPr="003D1E07">
        <w:t xml:space="preserve">pouze </w:t>
      </w:r>
      <w:r w:rsidR="080372CF" w:rsidRPr="003D1E07">
        <w:t>přímým nazíráním kosmických inteligibilních forem</w:t>
      </w:r>
      <w:r w:rsidR="08436C73" w:rsidRPr="003D1E07">
        <w:t xml:space="preserve"> v procesu iluminace</w:t>
      </w:r>
      <w:r w:rsidR="080372CF" w:rsidRPr="003D1E07">
        <w:t xml:space="preserve">. </w:t>
      </w:r>
      <w:r w:rsidR="08E25654" w:rsidRPr="003D1E07">
        <w:t xml:space="preserve">To ale není přirozené poznání, ale mystické. </w:t>
      </w:r>
      <w:r w:rsidR="0840079F" w:rsidRPr="003D1E07">
        <w:t xml:space="preserve">Proto Blundova </w:t>
      </w:r>
      <w:r w:rsidR="089639AD" w:rsidRPr="003D1E07">
        <w:t xml:space="preserve">aristotelská </w:t>
      </w:r>
      <w:r w:rsidR="0840079F" w:rsidRPr="003D1E07">
        <w:t xml:space="preserve">škola vytvořila definici formálního intelektu </w:t>
      </w:r>
      <w:r w:rsidR="080372CF" w:rsidRPr="003D1E07">
        <w:t xml:space="preserve">z </w:t>
      </w:r>
      <w:r w:rsidR="0840079F" w:rsidRPr="003D1E07">
        <w:t>Alfarabiovy defin</w:t>
      </w:r>
      <w:r w:rsidR="08C67EDA" w:rsidRPr="003D1E07">
        <w:t>i</w:t>
      </w:r>
      <w:r w:rsidR="0840079F" w:rsidRPr="003D1E07">
        <w:t>ce možného inte</w:t>
      </w:r>
      <w:r w:rsidR="080372CF" w:rsidRPr="003D1E07">
        <w:t>l</w:t>
      </w:r>
      <w:r w:rsidR="0840079F" w:rsidRPr="003D1E07">
        <w:t>e</w:t>
      </w:r>
      <w:r w:rsidR="080372CF" w:rsidRPr="003D1E07">
        <w:t xml:space="preserve">ktu </w:t>
      </w:r>
      <w:r w:rsidR="089639AD" w:rsidRPr="003D1E07">
        <w:t xml:space="preserve">a ne z Avicennova darovaného intelektu </w:t>
      </w:r>
      <w:r w:rsidR="080372CF" w:rsidRPr="003D1E07">
        <w:t>(</w:t>
      </w:r>
      <w:r w:rsidR="081E41BA" w:rsidRPr="003D1E07">
        <w:t>OBJ II, kap. 2.1</w:t>
      </w:r>
      <w:r w:rsidR="080372CF" w:rsidRPr="003D1E07">
        <w:t xml:space="preserve">.1). </w:t>
      </w:r>
      <w:r w:rsidR="08553E27" w:rsidRPr="003D1E07">
        <w:t xml:space="preserve">Dvojí směr náhledu </w:t>
      </w:r>
      <w:r w:rsidR="08553E27" w:rsidRPr="003D1E07">
        <w:rPr>
          <w:i/>
        </w:rPr>
        <w:t>per prius</w:t>
      </w:r>
      <w:r w:rsidR="08553E27" w:rsidRPr="003D1E07">
        <w:t xml:space="preserve"> je dán buď zepředu od hylemorfické první substance, nebo zezadu od nemateriální kosmické formy</w:t>
      </w:r>
      <w:r w:rsidR="08553E27" w:rsidRPr="003D1E07">
        <w:fldChar w:fldCharType="begin"/>
      </w:r>
      <w:r w:rsidR="08553E27" w:rsidRPr="003D1E07">
        <w:instrText xml:space="preserve"> XE "zjevování:nasvícení zezadu" </w:instrText>
      </w:r>
      <w:r w:rsidR="08553E27" w:rsidRPr="003D1E07">
        <w:fldChar w:fldCharType="end"/>
      </w:r>
      <w:r w:rsidR="08553E27" w:rsidRPr="003D1E07">
        <w:t xml:space="preserve">. </w:t>
      </w:r>
      <w:r w:rsidR="00AB3BCF">
        <w:t>Druhý s</w:t>
      </w:r>
      <w:r w:rsidR="08553E27" w:rsidRPr="003D1E07">
        <w:t>měr náhledu (</w:t>
      </w:r>
      <w:r w:rsidR="087270FF" w:rsidRPr="003D1E07">
        <w:rPr>
          <w:i/>
        </w:rPr>
        <w:t>Vor-</w:t>
      </w:r>
      <w:r w:rsidR="08553E27" w:rsidRPr="003D1E07">
        <w:rPr>
          <w:i/>
        </w:rPr>
        <w:t>blickbahn</w:t>
      </w:r>
      <w:r w:rsidR="08553E27" w:rsidRPr="003D1E07">
        <w:rPr>
          <w:i/>
        </w:rPr>
        <w:fldChar w:fldCharType="begin"/>
      </w:r>
      <w:r w:rsidR="08553E27" w:rsidRPr="003D1E07">
        <w:instrText xml:space="preserve"> XE "</w:instrText>
      </w:r>
      <w:r w:rsidR="08106DC9" w:rsidRPr="003D1E07">
        <w:rPr>
          <w:i/>
        </w:rPr>
        <w:instrText>Vor-</w:instrText>
      </w:r>
      <w:r w:rsidR="08553E27" w:rsidRPr="003D1E07">
        <w:rPr>
          <w:i/>
        </w:rPr>
        <w:instrText>b</w:instrText>
      </w:r>
      <w:r w:rsidR="08553E27" w:rsidRPr="003D1E07">
        <w:rPr>
          <w:i/>
          <w:iCs/>
        </w:rPr>
        <w:instrText>lickbahn</w:instrText>
      </w:r>
      <w:r w:rsidR="08553E27" w:rsidRPr="003D1E07">
        <w:rPr>
          <w:iCs/>
        </w:rPr>
        <w:instrText>:amfibolia</w:instrText>
      </w:r>
      <w:r w:rsidR="08553E27" w:rsidRPr="003D1E07">
        <w:instrText xml:space="preserve">" </w:instrText>
      </w:r>
      <w:r w:rsidR="08553E27" w:rsidRPr="003D1E07">
        <w:rPr>
          <w:i/>
        </w:rPr>
        <w:fldChar w:fldCharType="end"/>
      </w:r>
      <w:r w:rsidR="08553E27" w:rsidRPr="003D1E07">
        <w:t xml:space="preserve">) na smysl jsoucna </w:t>
      </w:r>
      <w:r w:rsidR="00124318">
        <w:t xml:space="preserve">vytvořil nový ontologický smysl jsoucna. Mystická vize </w:t>
      </w:r>
      <w:r w:rsidR="0043373E">
        <w:t xml:space="preserve">formálně dodržuje </w:t>
      </w:r>
      <w:r w:rsidR="08553E27" w:rsidRPr="003D1E07">
        <w:t xml:space="preserve">predikaci </w:t>
      </w:r>
      <w:r w:rsidR="08553E27" w:rsidRPr="003D1E07">
        <w:rPr>
          <w:i/>
        </w:rPr>
        <w:t>per prius</w:t>
      </w:r>
      <w:r w:rsidR="08553E27" w:rsidRPr="003D1E07">
        <w:t xml:space="preserve"> a </w:t>
      </w:r>
      <w:r w:rsidR="08553E27" w:rsidRPr="003D1E07">
        <w:rPr>
          <w:i/>
        </w:rPr>
        <w:t>per posterius</w:t>
      </w:r>
      <w:r w:rsidR="08553E27" w:rsidRPr="003D1E07">
        <w:t xml:space="preserve"> podle citované části </w:t>
      </w:r>
      <w:r w:rsidR="08553E27" w:rsidRPr="003D1E07">
        <w:rPr>
          <w:i/>
        </w:rPr>
        <w:t>Kategorií</w:t>
      </w:r>
      <w:r w:rsidR="08553E27" w:rsidRPr="003D1E07">
        <w:t xml:space="preserve"> (kap. 1.</w:t>
      </w:r>
      <w:r w:rsidR="08AF6B7D" w:rsidRPr="003D1E07">
        <w:t>3</w:t>
      </w:r>
      <w:r w:rsidR="08553E27" w:rsidRPr="003D1E07">
        <w:t>)</w:t>
      </w:r>
      <w:r w:rsidR="0043373E">
        <w:t>, ale zásadně mění její smysl</w:t>
      </w:r>
      <w:r w:rsidR="08553E27" w:rsidRPr="003D1E07">
        <w:t xml:space="preserve">. </w:t>
      </w:r>
      <w:r w:rsidR="08BB51D9" w:rsidRPr="003D1E07">
        <w:t xml:space="preserve">Predikace </w:t>
      </w:r>
      <w:r w:rsidR="08BB51D9" w:rsidRPr="003D1E07">
        <w:rPr>
          <w:i/>
        </w:rPr>
        <w:t>per prius</w:t>
      </w:r>
      <w:r w:rsidR="08BB51D9" w:rsidRPr="003D1E07">
        <w:t xml:space="preserve"> a </w:t>
      </w:r>
      <w:r w:rsidR="08BB51D9" w:rsidRPr="003D1E07">
        <w:rPr>
          <w:i/>
        </w:rPr>
        <w:t>per posterius</w:t>
      </w:r>
      <w:r w:rsidR="08BB51D9" w:rsidRPr="003D1E07">
        <w:t xml:space="preserve"> staví na citované dvojí impozice </w:t>
      </w:r>
      <w:r w:rsidR="007352AC">
        <w:t xml:space="preserve">podle </w:t>
      </w:r>
      <w:r w:rsidR="08BB51D9" w:rsidRPr="003D1E07">
        <w:rPr>
          <w:i/>
        </w:rPr>
        <w:t>Kategorií</w:t>
      </w:r>
      <w:r w:rsidR="08BB51D9" w:rsidRPr="003D1E07">
        <w:t>, pro</w:t>
      </w:r>
      <w:r w:rsidR="08F2783A" w:rsidRPr="003D1E07">
        <w:t>tože Al-</w:t>
      </w:r>
      <w:r w:rsidR="08BB51D9" w:rsidRPr="003D1E07">
        <w:t xml:space="preserve">Fárábí přesně odlišuje oba směry </w:t>
      </w:r>
      <w:r w:rsidR="00990D26">
        <w:t xml:space="preserve">predikace </w:t>
      </w:r>
      <w:r w:rsidR="08BB51D9" w:rsidRPr="003D1E07">
        <w:t xml:space="preserve">podle Aristotela (kap. 2.1). </w:t>
      </w:r>
      <w:r w:rsidR="08181950" w:rsidRPr="003D1E07">
        <w:t>Zavedení druhého patra poznání umožnilo dvojí poznání forem</w:t>
      </w:r>
      <w:r w:rsidR="008B7CCC">
        <w:t xml:space="preserve"> podle různě určené impozice, která zakládá </w:t>
      </w:r>
      <w:r w:rsidR="008B7CCC">
        <w:lastRenderedPageBreak/>
        <w:t xml:space="preserve">univoční kategoriální význam. Buď vezmeme </w:t>
      </w:r>
      <w:r w:rsidR="006C1E63">
        <w:t>i</w:t>
      </w:r>
      <w:r w:rsidR="008B7CCC">
        <w:t xml:space="preserve">mpozici v kategoriálním </w:t>
      </w:r>
      <w:r w:rsidR="006C1E63">
        <w:t>ari</w:t>
      </w:r>
      <w:r w:rsidR="008B7CCC">
        <w:t>stotelském smysl</w:t>
      </w:r>
      <w:r w:rsidR="006C1E63">
        <w:t>u</w:t>
      </w:r>
      <w:r w:rsidR="008B7CCC">
        <w:t xml:space="preserve"> od r</w:t>
      </w:r>
      <w:r w:rsidR="006C1E63">
        <w:t>e</w:t>
      </w:r>
      <w:r w:rsidR="008B7CCC">
        <w:t>álného světa</w:t>
      </w:r>
      <w:r w:rsidR="006C1E63">
        <w:t xml:space="preserve"> hyparchických substancí</w:t>
      </w:r>
      <w:r w:rsidR="008B7CCC">
        <w:t xml:space="preserve">, což </w:t>
      </w:r>
      <w:r w:rsidR="006C1E63">
        <w:t xml:space="preserve">je </w:t>
      </w:r>
      <w:r w:rsidR="008B7CCC">
        <w:t xml:space="preserve">původní pozice Alfarábího. Nebo v mystickém </w:t>
      </w:r>
      <w:r w:rsidR="00B824E2">
        <w:t>a později objek</w:t>
      </w:r>
      <w:r w:rsidR="008B7CCC">
        <w:t>tivním náhledu bereme impozici významu v amfib</w:t>
      </w:r>
      <w:r w:rsidR="00B824E2">
        <w:t>o</w:t>
      </w:r>
      <w:r w:rsidR="008B7CCC">
        <w:t xml:space="preserve">lní </w:t>
      </w:r>
      <w:r w:rsidR="00B824E2">
        <w:t>p</w:t>
      </w:r>
      <w:r w:rsidR="008B7CCC">
        <w:t>re</w:t>
      </w:r>
      <w:r w:rsidR="00B824E2">
        <w:t>dikaci určené novým náhledem hy</w:t>
      </w:r>
      <w:r w:rsidR="008B7CCC">
        <w:t>post</w:t>
      </w:r>
      <w:r w:rsidR="00B824E2">
        <w:t>at</w:t>
      </w:r>
      <w:r w:rsidR="008B7CCC">
        <w:t xml:space="preserve">ických inteligibilních forem. </w:t>
      </w:r>
      <w:r w:rsidR="00B824E2">
        <w:t xml:space="preserve">Hermenetika bere </w:t>
      </w:r>
      <w:r w:rsidR="00D25C89">
        <w:t xml:space="preserve">vážně </w:t>
      </w:r>
      <w:r w:rsidR="00B824E2">
        <w:t>tvrzení o šíitském původu Alfarábího (Henri Corbin</w:t>
      </w:r>
      <w:r w:rsidR="00B824E2">
        <w:fldChar w:fldCharType="begin"/>
      </w:r>
      <w:r w:rsidR="00B824E2">
        <w:instrText xml:space="preserve"> XE "</w:instrText>
      </w:r>
      <w:r w:rsidR="00B824E2" w:rsidRPr="00A524F3">
        <w:instrText>Corbin, H.</w:instrText>
      </w:r>
      <w:r w:rsidR="00B824E2">
        <w:instrText xml:space="preserve">" </w:instrText>
      </w:r>
      <w:r w:rsidR="00B824E2">
        <w:fldChar w:fldCharType="end"/>
      </w:r>
      <w:r w:rsidR="00B824E2">
        <w:t>, Najjar Fauzi), včetně politicko-mystických teorií vázaných na spirituální smysl Mohamedových nástupců.</w:t>
      </w:r>
      <w:r w:rsidR="006605F3">
        <w:t xml:space="preserve"> Alfarábí vytvořil prorockou filosofi</w:t>
      </w:r>
      <w:r w:rsidR="00B824E2">
        <w:t>, kterou chápal jako druhé patro mystické</w:t>
      </w:r>
      <w:r w:rsidR="006605F3">
        <w:t>ho osvícení umožňující přímý náh</w:t>
      </w:r>
      <w:r w:rsidR="00B824E2">
        <w:t xml:space="preserve">led na </w:t>
      </w:r>
      <w:r w:rsidR="006605F3">
        <w:t xml:space="preserve">spirituální </w:t>
      </w:r>
      <w:r w:rsidR="00B824E2">
        <w:t xml:space="preserve">smysl světa. </w:t>
      </w:r>
      <w:r w:rsidR="006605F3">
        <w:t xml:space="preserve">Tento spirituální smysl </w:t>
      </w:r>
      <w:r w:rsidR="00D25C89">
        <w:t>„světa podle Mahdího</w:t>
      </w:r>
      <w:r w:rsidR="00EB1796">
        <w:t xml:space="preserve">“ </w:t>
      </w:r>
      <w:r w:rsidR="00D25C89">
        <w:t xml:space="preserve">byl </w:t>
      </w:r>
      <w:r w:rsidR="001D5D2A">
        <w:t>velmi rozšířený v</w:t>
      </w:r>
      <w:r w:rsidR="006605F3">
        <w:t> šíitském súfismu</w:t>
      </w:r>
      <w:r w:rsidR="003C13C3">
        <w:fldChar w:fldCharType="begin"/>
      </w:r>
      <w:r w:rsidR="003C13C3">
        <w:instrText xml:space="preserve"> XE "</w:instrText>
      </w:r>
      <w:r w:rsidR="003C13C3" w:rsidRPr="00755FF0">
        <w:instrText>súfismus</w:instrText>
      </w:r>
      <w:r w:rsidR="003C13C3">
        <w:instrText xml:space="preserve">" </w:instrText>
      </w:r>
      <w:r w:rsidR="003C13C3">
        <w:fldChar w:fldCharType="end"/>
      </w:r>
      <w:r w:rsidR="006605F3">
        <w:t xml:space="preserve"> </w:t>
      </w:r>
      <w:r w:rsidR="00D25C89">
        <w:t xml:space="preserve">a Alfarabius jej </w:t>
      </w:r>
      <w:r w:rsidR="006605F3">
        <w:t>převedl do amfibolní a hypostatické</w:t>
      </w:r>
      <w:r w:rsidR="003C13C3">
        <w:t xml:space="preserve"> predikace. </w:t>
      </w:r>
      <w:r w:rsidR="008B7CCC">
        <w:t>Pak je jasné, že smysl jsoucna (</w:t>
      </w:r>
      <w:r w:rsidR="008B7CCC" w:rsidRPr="008B7CCC">
        <w:rPr>
          <w:i/>
        </w:rPr>
        <w:t>Bezugssinn</w:t>
      </w:r>
      <w:r w:rsidR="008B7CCC">
        <w:t xml:space="preserve">) má různý ontický význam </w:t>
      </w:r>
      <w:r w:rsidR="08181950" w:rsidRPr="003D1E07">
        <w:t>podle toho, jaký směr predikace zvolíme</w:t>
      </w:r>
      <w:r w:rsidR="008B7CCC">
        <w:t xml:space="preserve">. Buď provádíme impozici kategoriálního významu z hlediska </w:t>
      </w:r>
      <w:r w:rsidR="08B77BF8" w:rsidRPr="003D1E07">
        <w:t xml:space="preserve">abstrakce od smyslů nebo </w:t>
      </w:r>
      <w:r w:rsidR="008B7CCC">
        <w:t xml:space="preserve">skrze iluminaci od kosmických forem. Pak je jasné, že termíny </w:t>
      </w:r>
      <w:r w:rsidR="08181950" w:rsidRPr="003D1E07">
        <w:rPr>
          <w:i/>
        </w:rPr>
        <w:t>primum</w:t>
      </w:r>
      <w:r w:rsidR="008B7CCC">
        <w:rPr>
          <w:i/>
        </w:rPr>
        <w:t xml:space="preserve"> </w:t>
      </w:r>
      <w:r w:rsidR="008B7CCC">
        <w:t xml:space="preserve">a </w:t>
      </w:r>
      <w:r w:rsidR="08181950" w:rsidRPr="003D1E07">
        <w:rPr>
          <w:i/>
        </w:rPr>
        <w:t>secundum intelligibile</w:t>
      </w:r>
      <w:r w:rsidR="008B7CCC">
        <w:t xml:space="preserve"> nemají stejný význam, protože jsou určeny skrze odlišnou dráhy náhledu na smysl jsoucna (</w:t>
      </w:r>
      <w:r w:rsidR="008B7CCC" w:rsidRPr="008B7CCC">
        <w:rPr>
          <w:i/>
        </w:rPr>
        <w:t>Vor-blickbahn</w:t>
      </w:r>
      <w:r w:rsidR="008B7CCC">
        <w:t>).</w:t>
      </w:r>
      <w:r w:rsidR="08181950" w:rsidRPr="003D1E07">
        <w:t xml:space="preserve"> </w:t>
      </w:r>
      <w:r w:rsidR="08D9264F" w:rsidRPr="003D1E07">
        <w:t xml:space="preserve">Predikace </w:t>
      </w:r>
      <w:r w:rsidR="08D9264F" w:rsidRPr="003D1E07">
        <w:rPr>
          <w:i/>
        </w:rPr>
        <w:t>per prius</w:t>
      </w:r>
      <w:r w:rsidR="08D9264F" w:rsidRPr="003D1E07">
        <w:t xml:space="preserve"> a </w:t>
      </w:r>
      <w:r w:rsidR="08D9264F" w:rsidRPr="003D1E07">
        <w:rPr>
          <w:i/>
        </w:rPr>
        <w:t>per posterius</w:t>
      </w:r>
      <w:r w:rsidR="08D9264F" w:rsidRPr="003D1E07">
        <w:t xml:space="preserve"> se v obou případech zásadně liší, protože statut </w:t>
      </w:r>
      <w:r w:rsidR="0862311E" w:rsidRPr="003D1E07">
        <w:t xml:space="preserve">poznané </w:t>
      </w:r>
      <w:r w:rsidR="08D9264F" w:rsidRPr="003D1E07">
        <w:t>formy (</w:t>
      </w:r>
      <w:r w:rsidR="08D9264F" w:rsidRPr="003D1E07">
        <w:rPr>
          <w:i/>
        </w:rPr>
        <w:t>intellectum</w:t>
      </w:r>
      <w:r w:rsidR="08D9264F" w:rsidRPr="003D1E07">
        <w:t xml:space="preserve">) není stejný. </w:t>
      </w:r>
      <w:r w:rsidR="08574F1C" w:rsidRPr="003D1E07">
        <w:t xml:space="preserve">Jednota poznání </w:t>
      </w:r>
      <w:r w:rsidR="08574F1C" w:rsidRPr="003D1E07">
        <w:rPr>
          <w:i/>
        </w:rPr>
        <w:t>pros hen</w:t>
      </w:r>
      <w:r w:rsidR="08574F1C" w:rsidRPr="003D1E07">
        <w:t xml:space="preserve"> je dána buď vzhl</w:t>
      </w:r>
      <w:r w:rsidR="085B06FB" w:rsidRPr="003D1E07">
        <w:t xml:space="preserve">edem ke druhé substanci, nebo </w:t>
      </w:r>
      <w:r w:rsidR="08574F1C" w:rsidRPr="003D1E07">
        <w:t xml:space="preserve">vzhledem k </w:t>
      </w:r>
      <w:r w:rsidR="087E3E23" w:rsidRPr="003D1E07">
        <w:t>amfibolní predikaci jednoty jsoucna za substancí</w:t>
      </w:r>
      <w:r w:rsidR="08574F1C" w:rsidRPr="003D1E07">
        <w:t xml:space="preserve">. </w:t>
      </w:r>
      <w:r w:rsidRPr="003D1E07">
        <w:t xml:space="preserve">Ta či ona perspektiva určuje, který intelekt </w:t>
      </w:r>
      <w:r w:rsidR="009E2BBE">
        <w:rPr>
          <w:noProof w:val="0"/>
          <w:lang w:val="en-US"/>
        </w:rPr>
        <w:t>(</w:t>
      </w:r>
      <w:r w:rsidR="009E2BBE">
        <w:rPr>
          <w:i/>
          <w:noProof w:val="0"/>
          <w:lang w:val="fr-FR"/>
        </w:rPr>
        <w:t>possibilis, adeptus</w:t>
      </w:r>
      <w:r w:rsidR="009E2BBE">
        <w:rPr>
          <w:noProof w:val="0"/>
          <w:lang w:val="en-US"/>
        </w:rPr>
        <w:t xml:space="preserve">) </w:t>
      </w:r>
      <w:r w:rsidRPr="003D1E07">
        <w:t>hraje roli subjektu poznání a tím stanovuje, který druh forem je dán primárně a který sekundárně. Oba mody poznání pokrývají svět materiálních i nemateriálních substancí</w:t>
      </w:r>
      <w:r w:rsidR="08F24181" w:rsidRPr="003D1E07">
        <w:t xml:space="preserve">, </w:t>
      </w:r>
      <w:r w:rsidR="08997FB3" w:rsidRPr="003D1E07">
        <w:t xml:space="preserve">ale </w:t>
      </w:r>
      <w:r w:rsidR="08F24181" w:rsidRPr="003D1E07">
        <w:t>pokaždé v jiné formě metafyzického náhledu</w:t>
      </w:r>
      <w:r w:rsidRPr="003D1E07">
        <w:t xml:space="preserve">. Buď postupujeme nasvícením </w:t>
      </w:r>
      <w:r w:rsidR="00DF4DCD">
        <w:t xml:space="preserve">druhé substance </w:t>
      </w:r>
      <w:r w:rsidRPr="003D1E07">
        <w:t>zepředu nebo zezadu</w:t>
      </w:r>
      <w:r w:rsidRPr="003D1E07">
        <w:fldChar w:fldCharType="begin"/>
      </w:r>
      <w:r w:rsidRPr="003D1E07">
        <w:instrText xml:space="preserve"> XE "intencionalita:Al-Fárábí" </w:instrText>
      </w:r>
      <w:r w:rsidRPr="003D1E07">
        <w:fldChar w:fldCharType="end"/>
      </w:r>
      <w:r w:rsidRPr="003D1E07">
        <w:t>, což určuje pořadí jedné nebo druhé predikace. Při nasvícení zepředu platí, že intelekt recipuje potencialitu poznávacích forem z reálných věcí, viz výše uvedený citát Al-Fárábího (</w:t>
      </w:r>
      <w:r w:rsidRPr="003D1E07">
        <w:rPr>
          <w:i/>
        </w:rPr>
        <w:t>ea que sunt intellecta in potencia, facit esse intellecta in effectu</w:t>
      </w:r>
      <w:r w:rsidRPr="003D1E07">
        <w:t xml:space="preserve">, kap. 2.1.1). </w:t>
      </w:r>
      <w:r w:rsidR="08075422" w:rsidRPr="003D1E07">
        <w:t xml:space="preserve">Pak </w:t>
      </w:r>
      <w:r w:rsidR="08075422" w:rsidRPr="003D1E07">
        <w:rPr>
          <w:lang w:eastAsia="en-US"/>
        </w:rPr>
        <w:t xml:space="preserve">poznáváme celek jsoucna z pozice Aristotelovy </w:t>
      </w:r>
      <w:r w:rsidR="08075422" w:rsidRPr="003D1E07">
        <w:rPr>
          <w:i/>
          <w:lang w:eastAsia="en-US"/>
        </w:rPr>
        <w:t>De anima</w:t>
      </w:r>
      <w:r w:rsidR="08075422" w:rsidRPr="003D1E07">
        <w:rPr>
          <w:lang w:eastAsia="en-US"/>
        </w:rPr>
        <w:t xml:space="preserve">, kdy abstrahujeme poznanou formu ze smyslové látky v podobě nemateriálního </w:t>
      </w:r>
      <w:r w:rsidR="00F214C5" w:rsidRPr="003D1E07">
        <w:rPr>
          <w:lang w:eastAsia="en-US"/>
        </w:rPr>
        <w:t>species</w:t>
      </w:r>
      <w:r w:rsidR="08075422" w:rsidRPr="003D1E07">
        <w:rPr>
          <w:i/>
          <w:lang w:eastAsia="en-US"/>
        </w:rPr>
        <w:t xml:space="preserve"> intelligibilis</w:t>
      </w:r>
      <w:r w:rsidR="08075422" w:rsidRPr="003D1E07">
        <w:rPr>
          <w:lang w:eastAsia="en-US"/>
        </w:rPr>
        <w:t>.</w:t>
      </w:r>
      <w:r w:rsidR="08F51CAB" w:rsidRPr="003D1E07">
        <w:rPr>
          <w:lang w:eastAsia="en-US"/>
        </w:rPr>
        <w:t xml:space="preserve"> Nasvícení zezadu jde od trvale aktuálního a vnějšího </w:t>
      </w:r>
      <w:r w:rsidR="08F51CAB" w:rsidRPr="003D1E07">
        <w:rPr>
          <w:i/>
          <w:lang w:eastAsia="en-US"/>
        </w:rPr>
        <w:t>intellectus agens</w:t>
      </w:r>
      <w:r w:rsidR="08F51CAB" w:rsidRPr="003D1E07">
        <w:rPr>
          <w:lang w:eastAsia="en-US"/>
        </w:rPr>
        <w:t xml:space="preserve">, jehož nemateriální, aktuální a čistě inteligibilní formy </w:t>
      </w:r>
      <w:r w:rsidR="08F51CAB" w:rsidRPr="003D1E07">
        <w:rPr>
          <w:i/>
          <w:lang w:eastAsia="en-US"/>
        </w:rPr>
        <w:fldChar w:fldCharType="begin"/>
      </w:r>
      <w:r w:rsidR="08F51CAB" w:rsidRPr="003D1E07">
        <w:instrText xml:space="preserve"> XE "</w:instrText>
      </w:r>
      <w:r w:rsidR="08F51CAB" w:rsidRPr="003D1E07">
        <w:rPr>
          <w:i/>
        </w:rPr>
        <w:instrText>intellectus agens:</w:instrText>
      </w:r>
      <w:r w:rsidR="08F51CAB" w:rsidRPr="003D1E07">
        <w:instrText xml:space="preserve">Al-Fárábí" </w:instrText>
      </w:r>
      <w:r w:rsidR="08F51CAB" w:rsidRPr="003D1E07">
        <w:rPr>
          <w:i/>
          <w:lang w:eastAsia="en-US"/>
        </w:rPr>
        <w:fldChar w:fldCharType="end"/>
      </w:r>
      <w:r w:rsidR="08F51CAB" w:rsidRPr="003D1E07">
        <w:rPr>
          <w:lang w:eastAsia="en-US"/>
        </w:rPr>
        <w:t xml:space="preserve">přijímáme přímo skrze darovaný intelekt. </w:t>
      </w:r>
      <w:r w:rsidR="08F51CAB" w:rsidRPr="003D1E07">
        <w:t>Dvojím pojetím náhledu vznikla nová architektura významů jsoucna</w:t>
      </w:r>
      <w:r w:rsidR="08997FB3" w:rsidRPr="003D1E07">
        <w:t xml:space="preserve"> daná buď kategoriální nebo amfibolní predikací</w:t>
      </w:r>
      <w:r w:rsidR="08F51CAB" w:rsidRPr="003D1E07">
        <w:t>.</w:t>
      </w:r>
    </w:p>
    <w:p w14:paraId="79303964" w14:textId="64CD57DC" w:rsidR="08D60B92" w:rsidRPr="003D1E07" w:rsidRDefault="00C444BF" w:rsidP="007D7656">
      <w:pPr>
        <w:ind w:firstLine="397"/>
      </w:pPr>
      <w:r w:rsidRPr="00C444BF">
        <w:t xml:space="preserve">Spojení mezi božskou vševědoucností a lidskou svobodou je klasickým příkladem </w:t>
      </w:r>
      <w:r w:rsidR="00190B5B">
        <w:t>záměny, která směšovala</w:t>
      </w:r>
      <w:r w:rsidRPr="00C444BF">
        <w:t xml:space="preserve"> ontologickou perspektivu </w:t>
      </w:r>
      <w:r>
        <w:t xml:space="preserve">danopu nasvícením </w:t>
      </w:r>
      <w:r w:rsidRPr="00C444BF">
        <w:t>zepředu nebo zezadu.</w:t>
      </w:r>
      <w:r>
        <w:t xml:space="preserve"> </w:t>
      </w:r>
      <w:r w:rsidR="08E82D06" w:rsidRPr="003D1E07">
        <w:t xml:space="preserve">Alfarabius </w:t>
      </w:r>
      <w:r w:rsidR="005A340C">
        <w:t xml:space="preserve">potvrzuje </w:t>
      </w:r>
      <w:r w:rsidR="08E82D06" w:rsidRPr="003D1E07">
        <w:t>pojetí budoucí námořní bitvy v </w:t>
      </w:r>
      <w:r w:rsidR="08E82D06" w:rsidRPr="003D1E07">
        <w:rPr>
          <w:i/>
        </w:rPr>
        <w:t>De interpretione</w:t>
      </w:r>
      <w:r w:rsidR="08E82D06" w:rsidRPr="003D1E07">
        <w:t xml:space="preserve"> 9 jako </w:t>
      </w:r>
      <w:r w:rsidR="08E82D06" w:rsidRPr="003D1E07">
        <w:lastRenderedPageBreak/>
        <w:t>principiálně neurčitelné</w:t>
      </w:r>
      <w:r w:rsidR="00E46B7A" w:rsidRPr="003D1E07">
        <w:t>, což je autentická aristotelská pozice</w:t>
      </w:r>
      <w:r w:rsidR="08E82D06" w:rsidRPr="003D1E07">
        <w:t xml:space="preserve">. </w:t>
      </w:r>
      <w:r w:rsidR="003B39B0">
        <w:t>Jenže moderní mix b</w:t>
      </w:r>
      <w:r w:rsidR="003B39B0" w:rsidRPr="003D1E07">
        <w:t>oží prozřete</w:t>
      </w:r>
      <w:r w:rsidR="003B39B0">
        <w:t>lnosti a</w:t>
      </w:r>
      <w:r w:rsidR="00B267FD">
        <w:t xml:space="preserve"> lidské svobody podává </w:t>
      </w:r>
      <w:r w:rsidR="00880168">
        <w:t xml:space="preserve">první </w:t>
      </w:r>
      <w:r w:rsidR="00B267FD">
        <w:t>příklad objektivního</w:t>
      </w:r>
      <w:r w:rsidR="003B39B0">
        <w:t xml:space="preserve"> </w:t>
      </w:r>
      <w:r w:rsidR="003B39B0" w:rsidRPr="003D1E07">
        <w:t xml:space="preserve">vidění </w:t>
      </w:r>
      <w:r w:rsidR="003B39B0">
        <w:t>světa od moderního boha (tj. nasvícením zezadu) i od aristoteloského poznání (nasvícení zepředu)</w:t>
      </w:r>
      <w:r w:rsidR="003B39B0" w:rsidRPr="003D1E07">
        <w:t xml:space="preserve">. </w:t>
      </w:r>
      <w:r w:rsidR="004E6086">
        <w:t>Mytopoetický b</w:t>
      </w:r>
      <w:r w:rsidR="086D312B" w:rsidRPr="003D1E07">
        <w:t xml:space="preserve">ůh </w:t>
      </w:r>
      <w:r w:rsidR="004E6086">
        <w:t xml:space="preserve">modernistů </w:t>
      </w:r>
      <w:r w:rsidR="086D312B" w:rsidRPr="003D1E07">
        <w:t xml:space="preserve">tyto budoucí stavy poznává ze své strany v jejich </w:t>
      </w:r>
      <w:r w:rsidR="082779A2" w:rsidRPr="003D1E07">
        <w:t xml:space="preserve">nutnosti dané o sobě, </w:t>
      </w:r>
      <w:r w:rsidR="00190D84">
        <w:t xml:space="preserve">takže je vidí jako </w:t>
      </w:r>
      <w:r w:rsidR="007D7656">
        <w:t xml:space="preserve">logicky </w:t>
      </w:r>
      <w:r w:rsidR="00190D84">
        <w:t xml:space="preserve">určené. </w:t>
      </w:r>
      <w:r w:rsidR="006F65E5" w:rsidRPr="003D1E07">
        <w:t xml:space="preserve">V tomto případě jsou budoucí stavy </w:t>
      </w:r>
      <w:r w:rsidR="00CF1AF5">
        <w:t>vid</w:t>
      </w:r>
      <w:r w:rsidR="00016F7E">
        <w:t xml:space="preserve">ěny jako </w:t>
      </w:r>
      <w:r w:rsidR="007D7656">
        <w:t xml:space="preserve">logicky </w:t>
      </w:r>
      <w:r w:rsidR="00016F7E">
        <w:t xml:space="preserve">určité </w:t>
      </w:r>
      <w:r w:rsidR="006F65E5" w:rsidRPr="003D1E07">
        <w:t>z boží strany. Ale tím není vyloučena možnost jejich změny, která je zapříčiněná kauzální nutností v realitě.</w:t>
      </w:r>
      <w:r w:rsidR="006F65E5" w:rsidRPr="003D1E07">
        <w:rPr>
          <w:rStyle w:val="Znakapoznpodarou"/>
        </w:rPr>
        <w:footnoteReference w:id="105"/>
      </w:r>
      <w:r w:rsidR="006F65E5" w:rsidRPr="003D1E07">
        <w:t xml:space="preserve"> Ale mohou být v realitě dány jinak skrze působení reálné kauzy, protože vzaty o sobě jsou tyto budoucí stavy jen čistá potence. </w:t>
      </w:r>
      <w:r w:rsidR="007D7656" w:rsidRPr="007D7656">
        <w:t xml:space="preserve">Tato </w:t>
      </w:r>
      <w:r w:rsidR="007D7656">
        <w:t xml:space="preserve">boží </w:t>
      </w:r>
      <w:r w:rsidR="007D7656" w:rsidRPr="007D7656">
        <w:t>možnost však dostává logickou a objektivní hodnotu sama o sobě, což bylo v aristotelské logice nemyslitelné.</w:t>
      </w:r>
      <w:r w:rsidR="007D7656">
        <w:t xml:space="preserve"> </w:t>
      </w:r>
      <w:r w:rsidR="008459E8">
        <w:t>Moderní f</w:t>
      </w:r>
      <w:r w:rsidR="082779A2" w:rsidRPr="003D1E07">
        <w:t xml:space="preserve">ilosof se dívá na svět z pohledu boží vševědoucnosti, což je pozice Avicenny a pozdějších avicennistů v Oxfordu (OBJ II, kap. 3.1.2). </w:t>
      </w:r>
      <w:r w:rsidR="082B5461" w:rsidRPr="003D1E07">
        <w:t xml:space="preserve">Projekt metafyziky v rámci </w:t>
      </w:r>
      <w:r w:rsidR="0092278C">
        <w:t xml:space="preserve">takto dané paranoické </w:t>
      </w:r>
      <w:r w:rsidR="082B5461" w:rsidRPr="003D1E07">
        <w:t>ontoteologie je poznamenán trojí fundamentální ambivalencí</w:t>
      </w:r>
      <w:r w:rsidR="00C435E0" w:rsidRPr="003D1E07">
        <w:t>.</w:t>
      </w:r>
      <w:r w:rsidR="00B23A1D" w:rsidRPr="003D1E07">
        <w:t xml:space="preserve"> </w:t>
      </w:r>
      <w:r w:rsidR="00C435E0" w:rsidRPr="003D1E07">
        <w:t>Pr</w:t>
      </w:r>
      <w:r w:rsidR="00B23A1D" w:rsidRPr="003D1E07">
        <w:t>v</w:t>
      </w:r>
      <w:r w:rsidR="00C435E0" w:rsidRPr="003D1E07">
        <w:t xml:space="preserve">ní se týká </w:t>
      </w:r>
      <w:r w:rsidR="082B5461" w:rsidRPr="003D1E07">
        <w:t xml:space="preserve">bytí </w:t>
      </w:r>
      <w:r w:rsidR="00B23A1D" w:rsidRPr="003D1E07">
        <w:t xml:space="preserve">jsoucna </w:t>
      </w:r>
      <w:r w:rsidR="00C435E0" w:rsidRPr="003D1E07">
        <w:t>dané</w:t>
      </w:r>
      <w:r w:rsidR="00B23A1D" w:rsidRPr="003D1E07">
        <w:t>ho</w:t>
      </w:r>
      <w:r w:rsidR="00C435E0" w:rsidRPr="003D1E07">
        <w:t xml:space="preserve"> buď reálně nebo amfibolicky. Druhá se týká </w:t>
      </w:r>
      <w:r w:rsidR="00B23A1D" w:rsidRPr="003D1E07">
        <w:t xml:space="preserve">ontologické dráhy </w:t>
      </w:r>
      <w:r w:rsidR="082B5461" w:rsidRPr="003D1E07">
        <w:t xml:space="preserve">poznání </w:t>
      </w:r>
      <w:r w:rsidR="00B23A1D" w:rsidRPr="003D1E07">
        <w:t xml:space="preserve">určené buď </w:t>
      </w:r>
      <w:r w:rsidR="08AE7E00" w:rsidRPr="003D1E07">
        <w:t>nasvícení</w:t>
      </w:r>
      <w:r w:rsidR="00B23A1D" w:rsidRPr="003D1E07">
        <w:t>m</w:t>
      </w:r>
      <w:r w:rsidR="08AE7E00" w:rsidRPr="003D1E07">
        <w:t xml:space="preserve"> zepředu nebo zezadu</w:t>
      </w:r>
      <w:r w:rsidR="00B23A1D" w:rsidRPr="003D1E07">
        <w:t xml:space="preserve">. Třetí a finální ambivalence se týká metafyzického určení substance daného buď skrze kategoriální predikaci (aristotelismus) nebo skrze </w:t>
      </w:r>
      <w:r w:rsidR="08AE7E00" w:rsidRPr="003D1E07">
        <w:t>transcenden</w:t>
      </w:r>
      <w:r w:rsidR="08F84130" w:rsidRPr="003D1E07">
        <w:t xml:space="preserve">tální </w:t>
      </w:r>
      <w:r w:rsidR="00B23A1D" w:rsidRPr="003D1E07">
        <w:t xml:space="preserve">analogickou </w:t>
      </w:r>
      <w:r w:rsidR="08F84130" w:rsidRPr="003D1E07">
        <w:t>predikac</w:t>
      </w:r>
      <w:r w:rsidR="00B23A1D" w:rsidRPr="003D1E07">
        <w:t>i (moderna</w:t>
      </w:r>
      <w:r w:rsidR="08AE7E00" w:rsidRPr="003D1E07">
        <w:t>).</w:t>
      </w:r>
      <w:r w:rsidR="08D60B92" w:rsidRPr="003D1E07">
        <w:rPr>
          <w:lang w:eastAsia="en-US"/>
        </w:rPr>
        <w:t xml:space="preserve"> </w:t>
      </w:r>
      <w:r w:rsidR="00B23A1D" w:rsidRPr="003D1E07">
        <w:t>A</w:t>
      </w:r>
      <w:r w:rsidR="082250CA" w:rsidRPr="003D1E07">
        <w:t xml:space="preserve">mfibolní </w:t>
      </w:r>
      <w:r w:rsidR="08D60B92" w:rsidRPr="003D1E07">
        <w:t>s</w:t>
      </w:r>
      <w:r w:rsidR="08D60B92" w:rsidRPr="003D1E07">
        <w:rPr>
          <w:lang w:eastAsia="en-US"/>
        </w:rPr>
        <w:t xml:space="preserve">ubstance manifestovaná skrze </w:t>
      </w:r>
      <w:r w:rsidR="08D60B92" w:rsidRPr="003D1E07">
        <w:rPr>
          <w:i/>
          <w:lang w:eastAsia="en-US"/>
        </w:rPr>
        <w:t>Lichtung</w:t>
      </w:r>
      <w:r w:rsidR="08D60B92" w:rsidRPr="003D1E07">
        <w:rPr>
          <w:lang w:eastAsia="en-US"/>
        </w:rPr>
        <w:t xml:space="preserve"> </w:t>
      </w:r>
      <w:r w:rsidR="00B23A1D" w:rsidRPr="003D1E07">
        <w:rPr>
          <w:lang w:eastAsia="en-US"/>
        </w:rPr>
        <w:t xml:space="preserve">klasické metafyziky </w:t>
      </w:r>
      <w:r w:rsidR="08D60B92" w:rsidRPr="003D1E07">
        <w:rPr>
          <w:lang w:eastAsia="en-US"/>
        </w:rPr>
        <w:t xml:space="preserve">současně existuje a neexistuje. Není ani Aristotelova hyparchická první substance daná reálně, ani kategoriálně predikovaná druhá substance daná v mysli. </w:t>
      </w:r>
      <w:r w:rsidR="08D60B92" w:rsidRPr="003D1E07">
        <w:t>Substance existuje reálně ve světě a současně kva</w:t>
      </w:r>
      <w:r w:rsidR="00260741" w:rsidRPr="003D1E07">
        <w:t>zi-reálně v darovaném intelektu</w:t>
      </w:r>
      <w:r w:rsidR="084E5B82" w:rsidRPr="003D1E07">
        <w:t xml:space="preserve">. Tyto objektivní formy mají hypostázovanou „exsistenci“ </w:t>
      </w:r>
      <w:r w:rsidR="0092286E" w:rsidRPr="003D1E07">
        <w:t>(</w:t>
      </w:r>
      <w:r w:rsidR="0092286E" w:rsidRPr="003D1E07">
        <w:rPr>
          <w:i/>
        </w:rPr>
        <w:t>exsistere</w:t>
      </w:r>
      <w:r w:rsidR="0092286E" w:rsidRPr="003D1E07">
        <w:t xml:space="preserve">) </w:t>
      </w:r>
      <w:r w:rsidR="007C7340">
        <w:t>v </w:t>
      </w:r>
      <w:r w:rsidR="084E5B82" w:rsidRPr="003D1E07">
        <w:t>mysli</w:t>
      </w:r>
      <w:r w:rsidR="007C7340">
        <w:t xml:space="preserve"> iluminátů</w:t>
      </w:r>
      <w:r w:rsidR="084E5B82" w:rsidRPr="003D1E07">
        <w:t xml:space="preserve">, kam se dostaly skrze mytopoetický </w:t>
      </w:r>
      <w:r w:rsidR="084E5B82" w:rsidRPr="003D1E07">
        <w:rPr>
          <w:i/>
        </w:rPr>
        <w:t>imprinting</w:t>
      </w:r>
      <w:r w:rsidR="084E5B82" w:rsidRPr="003D1E07">
        <w:rPr>
          <w:i/>
        </w:rPr>
        <w:fldChar w:fldCharType="begin"/>
      </w:r>
      <w:r w:rsidR="084E5B82" w:rsidRPr="003D1E07">
        <w:instrText xml:space="preserve"> XE "</w:instrText>
      </w:r>
      <w:r w:rsidR="084E5B82" w:rsidRPr="003D1E07">
        <w:rPr>
          <w:i/>
        </w:rPr>
        <w:instrText>imprinting</w:instrText>
      </w:r>
      <w:r w:rsidR="084E5B82" w:rsidRPr="003D1E07">
        <w:instrText xml:space="preserve">" </w:instrText>
      </w:r>
      <w:r w:rsidR="084E5B82" w:rsidRPr="003D1E07">
        <w:rPr>
          <w:i/>
        </w:rPr>
        <w:fldChar w:fldCharType="end"/>
      </w:r>
      <w:r w:rsidR="007C7340">
        <w:t xml:space="preserve"> daný vyšší formou intelektu. </w:t>
      </w:r>
      <w:r w:rsidR="00B63CE6" w:rsidRPr="003D1E07">
        <w:t xml:space="preserve">Předávání </w:t>
      </w:r>
      <w:r w:rsidR="00B63CE6" w:rsidRPr="003D1E07">
        <w:rPr>
          <w:i/>
        </w:rPr>
        <w:t>tertium ens</w:t>
      </w:r>
      <w:r w:rsidR="00B63CE6" w:rsidRPr="003D1E07">
        <w:t xml:space="preserve"> běží skrze </w:t>
      </w:r>
      <w:r w:rsidR="084E5B82" w:rsidRPr="003D1E07">
        <w:t>přesah inteligibilních forem</w:t>
      </w:r>
      <w:r w:rsidR="00B63CE6" w:rsidRPr="003D1E07">
        <w:t xml:space="preserve"> </w:t>
      </w:r>
      <w:r w:rsidR="00EA7181" w:rsidRPr="003D1E07">
        <w:t>ze sféry</w:t>
      </w:r>
      <w:r w:rsidR="00B63CE6" w:rsidRPr="003D1E07">
        <w:t xml:space="preserve"> kosmického </w:t>
      </w:r>
      <w:r w:rsidR="00B63CE6" w:rsidRPr="003D1E07">
        <w:rPr>
          <w:i/>
        </w:rPr>
        <w:t xml:space="preserve">intellectus agens </w:t>
      </w:r>
      <w:r w:rsidR="00B63CE6" w:rsidRPr="003D1E07">
        <w:t>do lidského intelektu</w:t>
      </w:r>
      <w:r w:rsidR="08D60B92" w:rsidRPr="003D1E07">
        <w:t>.</w:t>
      </w:r>
    </w:p>
    <w:p w14:paraId="433A6156" w14:textId="6AA4ED35" w:rsidR="00764D3F" w:rsidRDefault="08D60B92" w:rsidP="0066221A">
      <w:r w:rsidRPr="003D1E07">
        <w:tab/>
      </w:r>
      <w:r w:rsidR="006F6F32">
        <w:t>N</w:t>
      </w:r>
      <w:r w:rsidR="006F6F32" w:rsidRPr="003D1E07">
        <w:t>ová forma intencionality</w:t>
      </w:r>
      <w:r w:rsidR="00B5772D">
        <w:t xml:space="preserve"> musí odpo</w:t>
      </w:r>
      <w:r w:rsidR="006F6F32">
        <w:t xml:space="preserve">vídat </w:t>
      </w:r>
      <w:r w:rsidR="0803312C" w:rsidRPr="003D1E07">
        <w:t>ambivale</w:t>
      </w:r>
      <w:r w:rsidR="08E4601B" w:rsidRPr="003D1E07">
        <w:t>n</w:t>
      </w:r>
      <w:r w:rsidR="0803312C" w:rsidRPr="003D1E07">
        <w:t xml:space="preserve">tní </w:t>
      </w:r>
      <w:r w:rsidR="006F6F32">
        <w:t xml:space="preserve">substanci dané </w:t>
      </w:r>
      <w:r w:rsidR="0803312C" w:rsidRPr="003D1E07">
        <w:t>v</w:t>
      </w:r>
      <w:r w:rsidR="006F6F32">
        <w:t xml:space="preserve"> objektivním </w:t>
      </w:r>
      <w:r w:rsidR="0803312C" w:rsidRPr="003D1E07">
        <w:t xml:space="preserve">modu </w:t>
      </w:r>
      <w:r w:rsidR="0803312C" w:rsidRPr="003D1E07">
        <w:rPr>
          <w:i/>
        </w:rPr>
        <w:t>aliud esse</w:t>
      </w:r>
      <w:r w:rsidR="0803312C" w:rsidRPr="003D1E07">
        <w:t xml:space="preserve">. </w:t>
      </w:r>
      <w:r w:rsidR="08F2783A" w:rsidRPr="003D1E07">
        <w:t>Al-</w:t>
      </w:r>
      <w:r w:rsidR="08AC4A42" w:rsidRPr="003D1E07">
        <w:t xml:space="preserve">Fárábího pojetí intencionality </w:t>
      </w:r>
      <w:r w:rsidR="08607EDC" w:rsidRPr="003D1E07">
        <w:t xml:space="preserve">završilo výstavbu nové ontoteologie tím, že </w:t>
      </w:r>
      <w:r w:rsidR="00655C28">
        <w:t xml:space="preserve">spojilo </w:t>
      </w:r>
      <w:r w:rsidR="08AC4A42" w:rsidRPr="003D1E07">
        <w:t>konstituci  intencionálního předmětu ve schématu nasvícení jsoucna zepředu</w:t>
      </w:r>
      <w:r w:rsidR="08607EDC" w:rsidRPr="003D1E07">
        <w:t xml:space="preserve"> i zezadu</w:t>
      </w:r>
      <w:r w:rsidR="082E36E8" w:rsidRPr="003D1E07">
        <w:t>.</w:t>
      </w:r>
      <w:r w:rsidR="08AC4A42" w:rsidRPr="003D1E07">
        <w:t xml:space="preserve"> Jeho komentář k </w:t>
      </w:r>
      <w:r w:rsidR="08AC4A42" w:rsidRPr="003D1E07">
        <w:rPr>
          <w:i/>
        </w:rPr>
        <w:t>De Interpretatione</w:t>
      </w:r>
      <w:r w:rsidR="08AC4A42" w:rsidRPr="003D1E07">
        <w:t xml:space="preserve"> překládá řecký termín νόημα ve smyslu </w:t>
      </w:r>
      <w:r w:rsidR="08AC4A42" w:rsidRPr="003D1E07">
        <w:lastRenderedPageBreak/>
        <w:t>mentálního konceptu (</w:t>
      </w:r>
      <w:r w:rsidR="08AC4A42" w:rsidRPr="003D1E07">
        <w:rPr>
          <w:i/>
        </w:rPr>
        <w:t>ma'gūl</w:t>
      </w:r>
      <w:r w:rsidR="08AC4A42" w:rsidRPr="003D1E07">
        <w:t>), který vyjadřuje logický a sématický význam daný pouze v mysli</w:t>
      </w:r>
      <w:r w:rsidR="08734711" w:rsidRPr="003D1E07">
        <w:t xml:space="preserve"> (Gyekye 1971)</w:t>
      </w:r>
      <w:r w:rsidR="08AC4A42" w:rsidRPr="003D1E07">
        <w:t xml:space="preserve">. </w:t>
      </w:r>
      <w:r w:rsidR="08091928" w:rsidRPr="003D1E07">
        <w:t xml:space="preserve">Poznání skrze intenci danou od smyslově poznané první substance začíná recepcí smyslové </w:t>
      </w:r>
      <w:r w:rsidR="00F214C5" w:rsidRPr="003D1E07">
        <w:t>species</w:t>
      </w:r>
      <w:r w:rsidR="08091928" w:rsidRPr="003D1E07">
        <w:t xml:space="preserve"> skrze </w:t>
      </w:r>
      <w:r w:rsidR="08AC4A42" w:rsidRPr="003D1E07">
        <w:rPr>
          <w:i/>
        </w:rPr>
        <w:t>intellectus in potentia</w:t>
      </w:r>
      <w:r w:rsidR="00B560EA">
        <w:t xml:space="preserve">. Tento intelekt </w:t>
      </w:r>
      <w:r w:rsidR="08AC4A42" w:rsidRPr="003D1E07">
        <w:t xml:space="preserve">se přijetím noematu daného abstrakcí ze smyslů změní na </w:t>
      </w:r>
      <w:r w:rsidR="08AC4A42" w:rsidRPr="003D1E07">
        <w:rPr>
          <w:i/>
        </w:rPr>
        <w:t>intellectus in effectu</w:t>
      </w:r>
      <w:r w:rsidR="08AC4A42" w:rsidRPr="003D1E07">
        <w:t xml:space="preserve">. </w:t>
      </w:r>
      <w:r w:rsidR="088B6D9E" w:rsidRPr="003D1E07">
        <w:t>Aristotelskou abstrakcí od materiálních určení substance vznikne aktuální jednota inteligibilních forem</w:t>
      </w:r>
      <w:r w:rsidR="08AC4A42" w:rsidRPr="003D1E07">
        <w:t>-</w:t>
      </w:r>
      <w:r w:rsidR="00F214C5" w:rsidRPr="003D1E07">
        <w:t>species</w:t>
      </w:r>
      <w:r w:rsidR="088B6D9E" w:rsidRPr="003D1E07">
        <w:t xml:space="preserve"> v aktualizovaném intelektu daném na úrovni tělesné duše.</w:t>
      </w:r>
      <w:r w:rsidR="088B6D9E" w:rsidRPr="003D1E07">
        <w:rPr>
          <w:rStyle w:val="Znakapoznpodarou"/>
        </w:rPr>
        <w:footnoteReference w:id="106"/>
      </w:r>
      <w:r w:rsidR="08250255" w:rsidRPr="003D1E07">
        <w:t xml:space="preserve"> T</w:t>
      </w:r>
      <w:r w:rsidR="088B6D9E" w:rsidRPr="003D1E07">
        <w:t xml:space="preserve">ermín </w:t>
      </w:r>
      <w:r w:rsidR="088B6D9E" w:rsidRPr="003D1E07">
        <w:rPr>
          <w:i/>
        </w:rPr>
        <w:t>aliud esse</w:t>
      </w:r>
      <w:r w:rsidR="08893573" w:rsidRPr="003D1E07">
        <w:t xml:space="preserve"> </w:t>
      </w:r>
      <w:r w:rsidR="08250255" w:rsidRPr="003D1E07">
        <w:t xml:space="preserve">v takto pojaté intencionalitě ukazuje </w:t>
      </w:r>
      <w:r w:rsidR="088B6D9E" w:rsidRPr="003D1E07">
        <w:t xml:space="preserve">nasvícení jsoucna od reálné první substance a v modu </w:t>
      </w:r>
      <w:r w:rsidR="088B6D9E" w:rsidRPr="003D1E07">
        <w:rPr>
          <w:i/>
        </w:rPr>
        <w:t>per prius</w:t>
      </w:r>
      <w:r w:rsidR="088B6D9E" w:rsidRPr="003D1E07">
        <w:t xml:space="preserve"> definuje výše citovanou </w:t>
      </w:r>
      <w:r w:rsidR="088B6D9E" w:rsidRPr="003D1E07">
        <w:rPr>
          <w:rStyle w:val="Zvraznn"/>
          <w:i w:val="0"/>
        </w:rPr>
        <w:t>druhou intenci (</w:t>
      </w:r>
      <w:r w:rsidR="088B6D9E" w:rsidRPr="003D1E07">
        <w:rPr>
          <w:rStyle w:val="Zvraznn"/>
        </w:rPr>
        <w:t xml:space="preserve">ma'qūl </w:t>
      </w:r>
      <w:r w:rsidR="088B6D9E" w:rsidRPr="003D1E07">
        <w:rPr>
          <w:i/>
        </w:rPr>
        <w:t>ṭh</w:t>
      </w:r>
      <w:r w:rsidR="088B6D9E" w:rsidRPr="003D1E07">
        <w:rPr>
          <w:rStyle w:val="Zvraznn"/>
        </w:rPr>
        <w:t>ānī</w:t>
      </w:r>
      <w:r w:rsidR="088B6D9E" w:rsidRPr="003D1E07">
        <w:rPr>
          <w:rStyle w:val="Zvraznn"/>
        </w:rPr>
        <w:fldChar w:fldCharType="begin"/>
      </w:r>
      <w:r w:rsidR="088B6D9E" w:rsidRPr="003D1E07">
        <w:instrText xml:space="preserve"> XE "druhá intence" </w:instrText>
      </w:r>
      <w:r w:rsidR="088B6D9E" w:rsidRPr="003D1E07">
        <w:rPr>
          <w:rStyle w:val="Zvraznn"/>
        </w:rPr>
        <w:fldChar w:fldCharType="end"/>
      </w:r>
      <w:r w:rsidR="088B6D9E" w:rsidRPr="003D1E07">
        <w:rPr>
          <w:rStyle w:val="Zvraznn"/>
          <w:i w:val="0"/>
        </w:rPr>
        <w:t xml:space="preserve">) obsaženou pouze v mysli. </w:t>
      </w:r>
      <w:r w:rsidR="00FC0AE3" w:rsidRPr="00FC0AE3">
        <w:rPr>
          <w:rStyle w:val="Zvraznn"/>
          <w:i w:val="0"/>
        </w:rPr>
        <w:t>Duše je nehmotnou formou těla a její vlastní činnost má nutně čistě formální kauzalitu.</w:t>
      </w:r>
      <w:r w:rsidR="00FC0AE3">
        <w:rPr>
          <w:rStyle w:val="Zvraznn"/>
          <w:i w:val="0"/>
        </w:rPr>
        <w:t xml:space="preserve"> </w:t>
      </w:r>
      <w:r w:rsidR="0822745A" w:rsidRPr="003D1E07">
        <w:rPr>
          <w:rStyle w:val="Zvraznn"/>
          <w:i w:val="0"/>
        </w:rPr>
        <w:t xml:space="preserve">Toto </w:t>
      </w:r>
      <w:r w:rsidR="088B6D9E" w:rsidRPr="003D1E07">
        <w:t>pojetí intencionality</w:t>
      </w:r>
      <w:r w:rsidR="088B6D9E" w:rsidRPr="003D1E07">
        <w:fldChar w:fldCharType="begin"/>
      </w:r>
      <w:r w:rsidR="088B6D9E" w:rsidRPr="003D1E07">
        <w:instrText xml:space="preserve"> XE "intencionalita:Al-Fárábí" </w:instrText>
      </w:r>
      <w:r w:rsidR="088B6D9E" w:rsidRPr="003D1E07">
        <w:fldChar w:fldCharType="end"/>
      </w:r>
      <w:r w:rsidR="088B6D9E" w:rsidRPr="003D1E07">
        <w:t xml:space="preserve"> a univerzálií převezme Averroes a kritická scholastika skrze pojetí aristotelské abstrakce. Druhý směr intencionality je dán v rámci Eliasovy analogické predikace (μέσα ἐστὶν)</w:t>
      </w:r>
      <w:r w:rsidR="08C632C8" w:rsidRPr="003D1E07">
        <w:t xml:space="preserve"> převzaté do </w:t>
      </w:r>
      <w:r w:rsidR="088B6D9E" w:rsidRPr="003D1E07">
        <w:t>Al</w:t>
      </w:r>
      <w:r w:rsidR="088B6D9E" w:rsidRPr="003D1E07">
        <w:noBreakHyphen/>
        <w:t>Fárábího amfibolie (</w:t>
      </w:r>
      <w:r w:rsidR="088B6D9E" w:rsidRPr="003D1E07">
        <w:rPr>
          <w:i/>
        </w:rPr>
        <w:t>ismʿ mušakik</w:t>
      </w:r>
      <w:r w:rsidR="088B6D9E" w:rsidRPr="003D1E07">
        <w:t xml:space="preserve">). Intencionalita </w:t>
      </w:r>
      <w:r w:rsidR="0822745A" w:rsidRPr="003D1E07">
        <w:t xml:space="preserve">jde přímo k hypostázované </w:t>
      </w:r>
      <w:r w:rsidR="08AB2CA4" w:rsidRPr="003D1E07">
        <w:t>substanci-</w:t>
      </w:r>
      <w:r w:rsidR="0822745A" w:rsidRPr="003D1E07">
        <w:t>form</w:t>
      </w:r>
      <w:r w:rsidR="08AB2CA4" w:rsidRPr="003D1E07">
        <w:t>ě</w:t>
      </w:r>
      <w:r w:rsidR="0822745A" w:rsidRPr="003D1E07">
        <w:t xml:space="preserve"> dané skrze amfibolní predikaci</w:t>
      </w:r>
      <w:r w:rsidR="08AB2CA4" w:rsidRPr="003D1E07">
        <w:t>. Tento náhled kosmický</w:t>
      </w:r>
      <w:r w:rsidR="0828310F" w:rsidRPr="003D1E07">
        <w:t>ch</w:t>
      </w:r>
      <w:r w:rsidR="08AB2CA4" w:rsidRPr="003D1E07">
        <w:t xml:space="preserve"> substancí a </w:t>
      </w:r>
      <w:r w:rsidR="0828310F" w:rsidRPr="003D1E07">
        <w:t xml:space="preserve">subsistentních </w:t>
      </w:r>
      <w:r w:rsidR="08AB2CA4" w:rsidRPr="003D1E07">
        <w:t xml:space="preserve">forem v diakosmu </w:t>
      </w:r>
      <w:r w:rsidR="088B6D9E" w:rsidRPr="003D1E07">
        <w:t xml:space="preserve">odpovídá </w:t>
      </w:r>
      <w:r w:rsidR="0822745A" w:rsidRPr="003D1E07">
        <w:t xml:space="preserve">Simplikiovu </w:t>
      </w:r>
      <w:r w:rsidR="088B6D9E" w:rsidRPr="003D1E07">
        <w:t xml:space="preserve">postavení </w:t>
      </w:r>
      <w:r w:rsidR="0828310F" w:rsidRPr="003D1E07">
        <w:t xml:space="preserve">hypostázovaného </w:t>
      </w:r>
      <w:r w:rsidR="00F214C5" w:rsidRPr="003D1E07">
        <w:t>species</w:t>
      </w:r>
      <w:r w:rsidR="088B6D9E" w:rsidRPr="003D1E07">
        <w:t xml:space="preserve"> jako atomární substance</w:t>
      </w:r>
      <w:r w:rsidR="08AB2CA4" w:rsidRPr="003D1E07">
        <w:t xml:space="preserve"> třetího druhu</w:t>
      </w:r>
      <w:r w:rsidR="08AF6B7D" w:rsidRPr="003D1E07">
        <w:t xml:space="preserve"> (kap. 1.3</w:t>
      </w:r>
      <w:r w:rsidR="088B6D9E" w:rsidRPr="003D1E07">
        <w:t xml:space="preserve">.2). </w:t>
      </w:r>
      <w:r w:rsidR="08876A94" w:rsidRPr="003D1E07">
        <w:t xml:space="preserve">Nově predikovaná amfibolia </w:t>
      </w:r>
      <w:r w:rsidR="0899649D" w:rsidRPr="003D1E07">
        <w:t xml:space="preserve">převzala </w:t>
      </w:r>
      <w:r w:rsidR="08876A94" w:rsidRPr="003D1E07">
        <w:t xml:space="preserve">v systému kategoriální predikace </w:t>
      </w:r>
      <w:r w:rsidR="088B6D9E" w:rsidRPr="003D1E07">
        <w:t>roli bývalé Simplikiovy substance-</w:t>
      </w:r>
      <w:r w:rsidR="00F214C5" w:rsidRPr="003D1E07">
        <w:t>species</w:t>
      </w:r>
      <w:r w:rsidR="088B6D9E" w:rsidRPr="003D1E07">
        <w:t xml:space="preserve">. </w:t>
      </w:r>
      <w:r w:rsidR="086A0F55" w:rsidRPr="003D1E07">
        <w:t>Náhled ilumináta daný amfibolní predik</w:t>
      </w:r>
      <w:r w:rsidR="08BF3043" w:rsidRPr="003D1E07">
        <w:t>a</w:t>
      </w:r>
      <w:r w:rsidR="086A0F55" w:rsidRPr="003D1E07">
        <w:t>cí a spojení</w:t>
      </w:r>
      <w:r w:rsidR="08BF3043" w:rsidRPr="003D1E07">
        <w:t>m</w:t>
      </w:r>
      <w:r w:rsidR="086A0F55" w:rsidRPr="003D1E07">
        <w:t xml:space="preserve"> </w:t>
      </w:r>
      <w:r w:rsidR="08BF3043" w:rsidRPr="003D1E07">
        <w:t xml:space="preserve">se světem kosmických forem </w:t>
      </w:r>
      <w:r w:rsidR="086A0F55" w:rsidRPr="003D1E07">
        <w:t>skrze darovaný intelekt nepotřebuje smyslové poznání</w:t>
      </w:r>
      <w:r w:rsidR="00C0036A">
        <w:t>,</w:t>
      </w:r>
      <w:r w:rsidR="086A0F55" w:rsidRPr="003D1E07">
        <w:t xml:space="preserve"> ani aristotelskou abstrakci danou skrze rece</w:t>
      </w:r>
      <w:r w:rsidR="088B6D9E" w:rsidRPr="003D1E07">
        <w:t xml:space="preserve">ptivní složku </w:t>
      </w:r>
      <w:r w:rsidR="086A0F55" w:rsidRPr="003D1E07">
        <w:t xml:space="preserve">intelektu. </w:t>
      </w:r>
      <w:r w:rsidR="08776FC9" w:rsidRPr="003D1E07">
        <w:t>Predikace amfibolií se provádí</w:t>
      </w:r>
      <w:r w:rsidR="00143B59">
        <w:t xml:space="preserve"> jiným způsobem. V </w:t>
      </w:r>
      <w:r w:rsidR="08776FC9" w:rsidRPr="003D1E07">
        <w:t xml:space="preserve">transcendentální predikaci </w:t>
      </w:r>
      <w:r w:rsidR="0841603D" w:rsidRPr="003D1E07">
        <w:t xml:space="preserve">posledních či prvních významů </w:t>
      </w:r>
      <w:r w:rsidR="00FC46A9">
        <w:t xml:space="preserve">jsoucna </w:t>
      </w:r>
      <w:r w:rsidR="00143B59">
        <w:t xml:space="preserve">v modu </w:t>
      </w:r>
      <w:r w:rsidR="0841603D" w:rsidRPr="003D1E07">
        <w:rPr>
          <w:i/>
        </w:rPr>
        <w:t>ens inquantum ens</w:t>
      </w:r>
      <w:r w:rsidR="0841603D" w:rsidRPr="003D1E07">
        <w:rPr>
          <w:i/>
        </w:rPr>
        <w:fldChar w:fldCharType="begin"/>
      </w:r>
      <w:r w:rsidR="0841603D" w:rsidRPr="003D1E07">
        <w:instrText xml:space="preserve"> XE "</w:instrText>
      </w:r>
      <w:r w:rsidR="0841603D" w:rsidRPr="003D1E07">
        <w:rPr>
          <w:i/>
        </w:rPr>
        <w:instrText>ens inquantum ens</w:instrText>
      </w:r>
      <w:r w:rsidR="0841603D" w:rsidRPr="003D1E07">
        <w:instrText xml:space="preserve">" </w:instrText>
      </w:r>
      <w:r w:rsidR="0841603D" w:rsidRPr="003D1E07">
        <w:rPr>
          <w:i/>
        </w:rPr>
        <w:fldChar w:fldCharType="end"/>
      </w:r>
      <w:r w:rsidR="0841603D" w:rsidRPr="003D1E07">
        <w:t xml:space="preserve"> </w:t>
      </w:r>
      <w:r w:rsidR="08776FC9" w:rsidRPr="003D1E07">
        <w:t xml:space="preserve">zmizel rozdíl mezi druhou substancí a jejím akcidentem. </w:t>
      </w:r>
      <w:r w:rsidR="08310F05" w:rsidRPr="003D1E07">
        <w:t>Poslední nedělitelný význam je dán v modu Porfyriovy atomární substance (ἄτομος οὐσία</w:t>
      </w:r>
      <w:r w:rsidR="08310F05" w:rsidRPr="003D1E07">
        <w:fldChar w:fldCharType="begin"/>
      </w:r>
      <w:r w:rsidR="08310F05" w:rsidRPr="003D1E07">
        <w:instrText xml:space="preserve"> XE "substance:atomární" </w:instrText>
      </w:r>
      <w:r w:rsidR="08310F05" w:rsidRPr="003D1E07">
        <w:fldChar w:fldCharType="end"/>
      </w:r>
      <w:r w:rsidR="08310F05" w:rsidRPr="003D1E07">
        <w:t xml:space="preserve">, </w:t>
      </w:r>
      <w:r w:rsidR="08310F05" w:rsidRPr="003D1E07">
        <w:rPr>
          <w:i/>
        </w:rPr>
        <w:t>individuum</w:t>
      </w:r>
      <w:r w:rsidR="08310F05" w:rsidRPr="003D1E07">
        <w:fldChar w:fldCharType="begin"/>
      </w:r>
      <w:r w:rsidR="08310F05" w:rsidRPr="003D1E07">
        <w:instrText xml:space="preserve"> XE "substance:individuum" </w:instrText>
      </w:r>
      <w:r w:rsidR="08310F05" w:rsidRPr="003D1E07">
        <w:fldChar w:fldCharType="end"/>
      </w:r>
      <w:r w:rsidR="08310F05" w:rsidRPr="003D1E07">
        <w:t xml:space="preserve">) dané posledním dělením univerzálního významu. </w:t>
      </w:r>
      <w:r w:rsidR="009F50D9">
        <w:t>Toto individuum Porfýria předělané Simplikiem dostalo v transcendentální predikaci nové ontoteologie význam objektivně poznané formy (</w:t>
      </w:r>
      <w:r w:rsidR="009F50D9" w:rsidRPr="009F50D9">
        <w:rPr>
          <w:i/>
        </w:rPr>
        <w:t>aliud esse</w:t>
      </w:r>
      <w:r w:rsidR="009F50D9">
        <w:t>) a tím se stalo substancí třetího druhu (</w:t>
      </w:r>
      <w:r w:rsidR="009F50D9" w:rsidRPr="009F50D9">
        <w:rPr>
          <w:i/>
        </w:rPr>
        <w:t>quasi subiectum</w:t>
      </w:r>
      <w:r w:rsidR="006B7FEE">
        <w:t xml:space="preserve">). </w:t>
      </w:r>
      <w:r w:rsidR="08310F05" w:rsidRPr="003D1E07">
        <w:t>Třídění univerzálií probíhá v modu platonské</w:t>
      </w:r>
      <w:r w:rsidR="00163A9A">
        <w:t>ho dělení (</w:t>
      </w:r>
      <w:r w:rsidR="08310F05" w:rsidRPr="003D1E07">
        <w:rPr>
          <w:rStyle w:val="st"/>
        </w:rPr>
        <w:t>διαίρεσις</w:t>
      </w:r>
      <w:r w:rsidR="00163A9A">
        <w:rPr>
          <w:rStyle w:val="st"/>
        </w:rPr>
        <w:t>)</w:t>
      </w:r>
      <w:r w:rsidR="08310F05" w:rsidRPr="003D1E07">
        <w:t xml:space="preserve"> od nejvyššího rodu směrem dolů podle Porfýriova stromu</w:t>
      </w:r>
      <w:r w:rsidR="08AF6B7D" w:rsidRPr="003D1E07">
        <w:t xml:space="preserve"> (kap. 1.3</w:t>
      </w:r>
      <w:r w:rsidR="08C562A8" w:rsidRPr="003D1E07">
        <w:t>)</w:t>
      </w:r>
      <w:r w:rsidR="08310F05" w:rsidRPr="003D1E07">
        <w:t xml:space="preserve">. </w:t>
      </w:r>
      <w:r w:rsidR="082233DA" w:rsidRPr="003D1E07">
        <w:t xml:space="preserve">Avicenna podrží toto pojetí intencionality na základě abstrakce </w:t>
      </w:r>
      <w:r w:rsidR="083249D7" w:rsidRPr="003D1E07">
        <w:t xml:space="preserve">dané jako </w:t>
      </w:r>
      <w:r w:rsidR="082233DA" w:rsidRPr="003D1E07">
        <w:rPr>
          <w:i/>
        </w:rPr>
        <w:t>denudatio</w:t>
      </w:r>
      <w:r w:rsidR="082233DA" w:rsidRPr="003D1E07">
        <w:rPr>
          <w:i/>
        </w:rPr>
        <w:fldChar w:fldCharType="begin"/>
      </w:r>
      <w:r w:rsidR="082233DA" w:rsidRPr="003D1E07">
        <w:instrText xml:space="preserve"> XE "</w:instrText>
      </w:r>
      <w:r w:rsidR="082233DA" w:rsidRPr="003D1E07">
        <w:rPr>
          <w:i/>
        </w:rPr>
        <w:instrText>denudatio</w:instrText>
      </w:r>
      <w:r w:rsidR="082233DA" w:rsidRPr="003D1E07">
        <w:instrText xml:space="preserve">" </w:instrText>
      </w:r>
      <w:r w:rsidR="082233DA" w:rsidRPr="003D1E07">
        <w:rPr>
          <w:i/>
        </w:rPr>
        <w:fldChar w:fldCharType="end"/>
      </w:r>
      <w:r w:rsidR="082233DA" w:rsidRPr="003D1E07">
        <w:t xml:space="preserve">. </w:t>
      </w:r>
      <w:r w:rsidR="00CA7F31">
        <w:t>Avicenna nazírá tento i</w:t>
      </w:r>
      <w:r w:rsidR="08964183" w:rsidRPr="003D1E07">
        <w:t>ntencionální předmět přímo</w:t>
      </w:r>
      <w:r w:rsidR="00CA7F31">
        <w:t xml:space="preserve"> jako esenci,</w:t>
      </w:r>
      <w:r w:rsidR="08964183" w:rsidRPr="003D1E07">
        <w:t xml:space="preserve"> například ve formě koňovitosti jako takové (</w:t>
      </w:r>
      <w:r w:rsidR="08964183" w:rsidRPr="003D1E07">
        <w:rPr>
          <w:i/>
        </w:rPr>
        <w:t>equinitas tantum</w:t>
      </w:r>
      <w:r w:rsidR="08964183" w:rsidRPr="003D1E07">
        <w:rPr>
          <w:i/>
        </w:rPr>
        <w:fldChar w:fldCharType="begin"/>
      </w:r>
      <w:r w:rsidR="08964183" w:rsidRPr="003D1E07">
        <w:instrText xml:space="preserve"> XE "</w:instrText>
      </w:r>
      <w:r w:rsidR="08964183" w:rsidRPr="003D1E07">
        <w:rPr>
          <w:i/>
        </w:rPr>
        <w:instrText>equinitas tantum</w:instrText>
      </w:r>
      <w:r w:rsidR="08964183" w:rsidRPr="003D1E07">
        <w:instrText xml:space="preserve">" </w:instrText>
      </w:r>
      <w:r w:rsidR="08964183" w:rsidRPr="003D1E07">
        <w:rPr>
          <w:i/>
        </w:rPr>
        <w:fldChar w:fldCharType="end"/>
      </w:r>
      <w:r w:rsidR="08964183" w:rsidRPr="003D1E07">
        <w:t xml:space="preserve">). </w:t>
      </w:r>
      <w:r w:rsidR="08105565" w:rsidRPr="003D1E07">
        <w:t xml:space="preserve">Poznání aktualizované zezadu </w:t>
      </w:r>
      <w:r w:rsidR="08105565" w:rsidRPr="003D1E07">
        <w:lastRenderedPageBreak/>
        <w:t xml:space="preserve">skrze </w:t>
      </w:r>
      <w:r w:rsidR="08105565" w:rsidRPr="003D1E07">
        <w:rPr>
          <w:i/>
        </w:rPr>
        <w:t>intellectus adeptus</w:t>
      </w:r>
      <w:r w:rsidR="08105565" w:rsidRPr="003D1E07">
        <w:t xml:space="preserve"> je dáno v lidské duši tím, že oddělený kosmický </w:t>
      </w:r>
      <w:r w:rsidR="08105565" w:rsidRPr="003D1E07">
        <w:rPr>
          <w:i/>
        </w:rPr>
        <w:t>intellectus agens</w:t>
      </w:r>
      <w:r w:rsidR="08105565" w:rsidRPr="003D1E07">
        <w:t xml:space="preserve"> daruje lidské duši schopnost přímého intelektuálního náhledu do již existující aktuální a plně nemateriální formy. </w:t>
      </w:r>
      <w:r w:rsidR="08FC3259" w:rsidRPr="003D1E07">
        <w:t xml:space="preserve">Tento </w:t>
      </w:r>
      <w:r w:rsidR="08FC3259" w:rsidRPr="003D1E07">
        <w:rPr>
          <w:rStyle w:val="Zvraznn"/>
          <w:i w:val="0"/>
        </w:rPr>
        <w:t>typ poznání daný nasvícením jsoucna zezadu tvrdí, že i</w:t>
      </w:r>
      <w:r w:rsidR="08FC3259" w:rsidRPr="003D1E07">
        <w:t xml:space="preserve">nteligibilní forma je dána v intelektu </w:t>
      </w:r>
      <w:r w:rsidR="00C51FE1">
        <w:t xml:space="preserve">objektivně jako </w:t>
      </w:r>
      <w:r w:rsidR="00C51FE1" w:rsidRPr="00C51FE1">
        <w:rPr>
          <w:i/>
        </w:rPr>
        <w:t>tertium ens</w:t>
      </w:r>
      <w:r w:rsidR="00C51FE1">
        <w:t xml:space="preserve">. Tato forma se nazírá </w:t>
      </w:r>
      <w:r w:rsidR="08FC3259" w:rsidRPr="003D1E07">
        <w:t>v přímém náhledu</w:t>
      </w:r>
      <w:r w:rsidR="004A61A0">
        <w:t xml:space="preserve"> čistého mysticismu. </w:t>
      </w:r>
      <w:r w:rsidR="00FB7421">
        <w:t xml:space="preserve">Tímto způsobem </w:t>
      </w:r>
      <w:r w:rsidR="00FB7421" w:rsidRPr="00FB7421">
        <w:t>založil súfismus</w:t>
      </w:r>
      <w:r w:rsidR="007364C7">
        <w:fldChar w:fldCharType="begin"/>
      </w:r>
      <w:r w:rsidR="007364C7">
        <w:instrText xml:space="preserve"> XE "</w:instrText>
      </w:r>
      <w:r w:rsidR="007364C7" w:rsidRPr="007A4E17">
        <w:instrText>súfismus</w:instrText>
      </w:r>
      <w:r w:rsidR="007364C7">
        <w:instrText xml:space="preserve">" </w:instrText>
      </w:r>
      <w:r w:rsidR="007364C7">
        <w:fldChar w:fldCharType="end"/>
      </w:r>
      <w:r w:rsidR="00FB7421" w:rsidRPr="00FB7421">
        <w:t xml:space="preserve"> šíitské školy myšlení moderní objektivitu na Západě.</w:t>
      </w:r>
      <w:r w:rsidR="00FB7421">
        <w:t xml:space="preserve"> </w:t>
      </w:r>
      <w:r w:rsidR="004A61A0">
        <w:t>Nazírání hypostázované formy–</w:t>
      </w:r>
      <w:r w:rsidR="00F214C5" w:rsidRPr="003D1E07">
        <w:t>species</w:t>
      </w:r>
      <w:r w:rsidR="08FC3259" w:rsidRPr="003D1E07">
        <w:t xml:space="preserve"> zakládá jiné pojetí predikace, protože </w:t>
      </w:r>
      <w:r w:rsidR="08FC3259" w:rsidRPr="003D1E07">
        <w:rPr>
          <w:i/>
        </w:rPr>
        <w:t>per prius</w:t>
      </w:r>
      <w:r w:rsidR="08FC3259" w:rsidRPr="003D1E07">
        <w:t xml:space="preserve"> začíná u hypostázované formy a jde </w:t>
      </w:r>
      <w:r w:rsidR="08FC3259" w:rsidRPr="003D1E07">
        <w:rPr>
          <w:i/>
        </w:rPr>
        <w:t>per posterius</w:t>
      </w:r>
      <w:r w:rsidR="08FC3259" w:rsidRPr="003D1E07">
        <w:t xml:space="preserve"> k reálné věci. Pokud poznání v modu </w:t>
      </w:r>
      <w:r w:rsidR="08FC3259" w:rsidRPr="003D1E07">
        <w:rPr>
          <w:i/>
        </w:rPr>
        <w:t>per prius</w:t>
      </w:r>
      <w:r w:rsidR="08FC3259" w:rsidRPr="003D1E07">
        <w:t xml:space="preserve"> je dané nasvícením zezadu, pak termín </w:t>
      </w:r>
      <w:r w:rsidR="08FC3259" w:rsidRPr="003D1E07">
        <w:rPr>
          <w:i/>
        </w:rPr>
        <w:t>aliud esse</w:t>
      </w:r>
      <w:r w:rsidR="08FC3259" w:rsidRPr="003D1E07">
        <w:t xml:space="preserve"> vyložený v minulé kapitole znamená atomární substanci definovanou jako jsoucno třetího druhu podle </w:t>
      </w:r>
      <w:r w:rsidR="083B0648" w:rsidRPr="003D1E07">
        <w:t xml:space="preserve">Porfyria a pak </w:t>
      </w:r>
      <w:r w:rsidR="08FC3259" w:rsidRPr="003D1E07">
        <w:t>Simplikia a dalších neoplatoniků</w:t>
      </w:r>
      <w:r w:rsidR="08FC3259" w:rsidRPr="003D1E07">
        <w:fldChar w:fldCharType="begin"/>
      </w:r>
      <w:r w:rsidR="08FC3259" w:rsidRPr="003D1E07">
        <w:instrText xml:space="preserve"> XE "substance:Avicenna" </w:instrText>
      </w:r>
      <w:r w:rsidR="08FC3259" w:rsidRPr="003D1E07">
        <w:fldChar w:fldCharType="end"/>
      </w:r>
      <w:r w:rsidR="08FC3259" w:rsidRPr="003D1E07">
        <w:t xml:space="preserve">. </w:t>
      </w:r>
      <w:r w:rsidR="08105565" w:rsidRPr="003D1E07">
        <w:t xml:space="preserve">Recepce subsistentní formy je možná díky oddělenému aktivnímu intelektu, který aktualizuje individuální darovaný intelekt činný v jednotlivci. </w:t>
      </w:r>
      <w:r w:rsidR="088B6D9E" w:rsidRPr="003D1E07">
        <w:t>Touto cestou šel Avicenna, po něm škola druhého averroismu a celá moderna</w:t>
      </w:r>
      <w:r w:rsidR="00754933">
        <w:t xml:space="preserve">, kteří </w:t>
      </w:r>
      <w:r w:rsidR="00D3094E">
        <w:t xml:space="preserve">založili západní vědu </w:t>
      </w:r>
      <w:r w:rsidR="00754933">
        <w:t xml:space="preserve">tímto </w:t>
      </w:r>
      <w:r w:rsidR="003A4C1F">
        <w:t xml:space="preserve">pozoruhodným </w:t>
      </w:r>
      <w:r w:rsidR="00754933">
        <w:t>způsob</w:t>
      </w:r>
      <w:r w:rsidR="00D3094E">
        <w:t>em</w:t>
      </w:r>
      <w:r w:rsidR="088B6D9E" w:rsidRPr="003D1E07">
        <w:t xml:space="preserve">. </w:t>
      </w:r>
      <w:r w:rsidR="08245BFD" w:rsidRPr="003D1E07">
        <w:t xml:space="preserve">Nasvícením poznání od hypostázovaného intelektu </w:t>
      </w:r>
      <w:r w:rsidR="08E63C77" w:rsidRPr="003D1E07">
        <w:t xml:space="preserve">vznikla intencionalita moderny a postmoderny typu Descarta a Husserla, která nepotřebuje mediaci ze smyslů a tím ani diafanum. </w:t>
      </w:r>
      <w:r w:rsidR="088B2F72" w:rsidRPr="003D1E07">
        <w:t>A</w:t>
      </w:r>
      <w:r w:rsidR="088B6D9E" w:rsidRPr="003D1E07">
        <w:t>ristotelikové jako Johannes Blund</w:t>
      </w:r>
      <w:r w:rsidR="088B6D9E" w:rsidRPr="003D1E07">
        <w:fldChar w:fldCharType="begin"/>
      </w:r>
      <w:r w:rsidR="088B6D9E" w:rsidRPr="003D1E07">
        <w:instrText xml:space="preserve"> XE "Blund</w:instrText>
      </w:r>
      <w:r w:rsidR="08DA142E" w:rsidRPr="003D1E07">
        <w:instrText>, J.</w:instrText>
      </w:r>
      <w:r w:rsidR="088B6D9E" w:rsidRPr="003D1E07">
        <w:instrText xml:space="preserve">" </w:instrText>
      </w:r>
      <w:r w:rsidR="088B6D9E" w:rsidRPr="003D1E07">
        <w:fldChar w:fldCharType="end"/>
      </w:r>
      <w:r w:rsidR="088B6D9E" w:rsidRPr="003D1E07">
        <w:t xml:space="preserve"> odmítnou toto pojetí intencionality, v níž je nazírané </w:t>
      </w:r>
      <w:r w:rsidR="00F214C5" w:rsidRPr="003D1E07">
        <w:t>species</w:t>
      </w:r>
      <w:r w:rsidR="088B6D9E" w:rsidRPr="003D1E07">
        <w:t xml:space="preserve"> univočně spojené s první substancí. Blundova škola a první averroismus vytvoří rozdíl mezi smyslovým </w:t>
      </w:r>
      <w:r w:rsidR="088B6D9E" w:rsidRPr="003D1E07">
        <w:rPr>
          <w:i/>
        </w:rPr>
        <w:t>intentio prima</w:t>
      </w:r>
      <w:r w:rsidR="088B6D9E" w:rsidRPr="003D1E07">
        <w:t xml:space="preserve"> a čistě intelektuálním </w:t>
      </w:r>
      <w:r w:rsidR="088B6D9E" w:rsidRPr="003D1E07">
        <w:rPr>
          <w:i/>
        </w:rPr>
        <w:t>intentio secunda</w:t>
      </w:r>
      <w:r w:rsidR="088B6D9E" w:rsidRPr="003D1E07">
        <w:t xml:space="preserve"> (</w:t>
      </w:r>
      <w:r w:rsidR="08F5528A" w:rsidRPr="003D1E07">
        <w:t>OBJ II, kap. 2</w:t>
      </w:r>
      <w:r w:rsidR="088B6D9E" w:rsidRPr="003D1E07">
        <w:t>.1</w:t>
      </w:r>
      <w:r w:rsidR="08F5528A" w:rsidRPr="003D1E07">
        <w:t>.2</w:t>
      </w:r>
      <w:r w:rsidR="088B6D9E" w:rsidRPr="003D1E07">
        <w:t xml:space="preserve">). Tím se přihlásí k aristotelskému pojetí pravdy a poznání danému v </w:t>
      </w:r>
      <w:r w:rsidR="088B6D9E" w:rsidRPr="003D1E07">
        <w:rPr>
          <w:i/>
        </w:rPr>
        <w:t>De anima</w:t>
      </w:r>
      <w:r w:rsidR="088B6D9E" w:rsidRPr="003D1E07">
        <w:t xml:space="preserve"> a ve </w:t>
      </w:r>
      <w:r w:rsidR="088B6D9E" w:rsidRPr="003D1E07">
        <w:rPr>
          <w:i/>
        </w:rPr>
        <w:t>Druhých analytikách</w:t>
      </w:r>
      <w:r w:rsidR="088B6D9E" w:rsidRPr="003D1E07">
        <w:t>. P</w:t>
      </w:r>
      <w:r w:rsidR="088B6D9E" w:rsidRPr="003D1E07">
        <w:rPr>
          <w:rStyle w:val="Zvraznn"/>
          <w:i w:val="0"/>
        </w:rPr>
        <w:t xml:space="preserve">ojetí aristotelské abstrakce hájí Averroesova exegeze spisu </w:t>
      </w:r>
      <w:r w:rsidR="088B6D9E" w:rsidRPr="003D1E07">
        <w:rPr>
          <w:rStyle w:val="Zvraznn"/>
        </w:rPr>
        <w:t>De anima</w:t>
      </w:r>
      <w:r w:rsidR="088B6D9E" w:rsidRPr="003D1E07">
        <w:rPr>
          <w:rStyle w:val="Zvraznn"/>
          <w:i w:val="0"/>
        </w:rPr>
        <w:t xml:space="preserve"> a následně i první averroismus. </w:t>
      </w:r>
      <w:r w:rsidR="088B6D9E" w:rsidRPr="003D1E07">
        <w:t>Pasivní intelekt (</w:t>
      </w:r>
      <w:r w:rsidR="088B6D9E" w:rsidRPr="003D1E07">
        <w:rPr>
          <w:i/>
        </w:rPr>
        <w:t>intellectus in po</w:t>
      </w:r>
      <w:r w:rsidR="08033F3D" w:rsidRPr="003D1E07">
        <w:rPr>
          <w:i/>
        </w:rPr>
        <w:t>tenc</w:t>
      </w:r>
      <w:r w:rsidR="088B6D9E" w:rsidRPr="003D1E07">
        <w:rPr>
          <w:i/>
        </w:rPr>
        <w:t>ia</w:t>
      </w:r>
      <w:r w:rsidR="088B6D9E" w:rsidRPr="003D1E07">
        <w:rPr>
          <w:i/>
        </w:rPr>
        <w:fldChar w:fldCharType="begin"/>
      </w:r>
      <w:r w:rsidR="088B6D9E" w:rsidRPr="003D1E07">
        <w:instrText xml:space="preserve"> XE "</w:instrText>
      </w:r>
      <w:r w:rsidR="088B6D9E" w:rsidRPr="003D1E07">
        <w:rPr>
          <w:i/>
        </w:rPr>
        <w:instrText>intellectus in potentia:</w:instrText>
      </w:r>
      <w:r w:rsidR="088B6D9E" w:rsidRPr="003D1E07">
        <w:instrText xml:space="preserve">Al-Fárábí" </w:instrText>
      </w:r>
      <w:r w:rsidR="088B6D9E" w:rsidRPr="003D1E07">
        <w:rPr>
          <w:i/>
        </w:rPr>
        <w:fldChar w:fldCharType="end"/>
      </w:r>
      <w:r w:rsidR="088B6D9E" w:rsidRPr="003D1E07">
        <w:t xml:space="preserve">) </w:t>
      </w:r>
      <w:r w:rsidR="08033F3D" w:rsidRPr="003D1E07">
        <w:t>představuje intelektuální formu diafanum. Mediace je nutná</w:t>
      </w:r>
      <w:r w:rsidR="088B6D9E" w:rsidRPr="003D1E07">
        <w:t xml:space="preserve"> k tomu, aby </w:t>
      </w:r>
      <w:r w:rsidR="08033F3D" w:rsidRPr="003D1E07">
        <w:t xml:space="preserve">aktuální smyslový </w:t>
      </w:r>
      <w:r w:rsidR="00F214C5" w:rsidRPr="003D1E07">
        <w:t>species</w:t>
      </w:r>
      <w:r w:rsidR="08033F3D" w:rsidRPr="003D1E07">
        <w:t xml:space="preserve"> mohl aktualizovat nemateriální intelekt </w:t>
      </w:r>
      <w:r w:rsidR="088B6D9E" w:rsidRPr="003D1E07">
        <w:t xml:space="preserve">skrze </w:t>
      </w:r>
      <w:r w:rsidR="08033F3D" w:rsidRPr="003D1E07">
        <w:t>intencionální zeměření receptivního intelektu na tuto aktuá</w:t>
      </w:r>
      <w:r w:rsidR="08BA76B9" w:rsidRPr="003D1E07">
        <w:t>l</w:t>
      </w:r>
      <w:r w:rsidR="08033F3D" w:rsidRPr="003D1E07">
        <w:t xml:space="preserve">ní smyslovou formu. Možný intelekt </w:t>
      </w:r>
      <w:r w:rsidR="088B6D9E" w:rsidRPr="003D1E07">
        <w:t>recip</w:t>
      </w:r>
      <w:r w:rsidR="08033F3D" w:rsidRPr="003D1E07">
        <w:t xml:space="preserve">uje </w:t>
      </w:r>
      <w:r w:rsidR="088B6D9E" w:rsidRPr="003D1E07">
        <w:t>intelektuální formu, která je potenciálně daná v</w:t>
      </w:r>
      <w:r w:rsidR="08033F3D" w:rsidRPr="003D1E07">
        <w:t>e smyslovém poznání a předtím v e</w:t>
      </w:r>
      <w:r w:rsidR="088B6D9E" w:rsidRPr="003D1E07">
        <w:t>xistující materiální substanci.</w:t>
      </w:r>
      <w:r w:rsidR="0894217A" w:rsidRPr="003D1E07">
        <w:t xml:space="preserve"> Tyto dva scénáře nasvícení smyslu jsoucna a s nimi spojená predikace </w:t>
      </w:r>
      <w:r w:rsidR="0894217A" w:rsidRPr="003D1E07">
        <w:rPr>
          <w:i/>
        </w:rPr>
        <w:t>per prius</w:t>
      </w:r>
      <w:r w:rsidR="0894217A" w:rsidRPr="003D1E07">
        <w:t xml:space="preserve"> a </w:t>
      </w:r>
      <w:r w:rsidR="0894217A" w:rsidRPr="003D1E07">
        <w:rPr>
          <w:i/>
        </w:rPr>
        <w:t>per posterius</w:t>
      </w:r>
      <w:r w:rsidR="0894217A" w:rsidRPr="003D1E07">
        <w:t xml:space="preserve"> vytvořily základní </w:t>
      </w:r>
      <w:r w:rsidR="0894217A" w:rsidRPr="003D1E07">
        <w:rPr>
          <w:i/>
        </w:rPr>
        <w:t>Lichtung</w:t>
      </w:r>
      <w:r w:rsidR="0894217A" w:rsidRPr="003D1E07">
        <w:t xml:space="preserve"> pro všechny </w:t>
      </w:r>
      <w:r w:rsidR="08AA6156" w:rsidRPr="003D1E07">
        <w:t>další verze západní metafyziky.</w:t>
      </w:r>
    </w:p>
    <w:p w14:paraId="5FAECDE1" w14:textId="703F7FD8" w:rsidR="087E7978" w:rsidRPr="003D1E07" w:rsidRDefault="00BA251A" w:rsidP="00FD4C52">
      <w:pPr>
        <w:ind w:firstLine="397"/>
        <w:rPr>
          <w:lang w:eastAsia="en-US"/>
        </w:rPr>
      </w:pPr>
      <w:r w:rsidRPr="003D1E07">
        <w:rPr>
          <w:lang w:eastAsia="en-US"/>
        </w:rPr>
        <w:t>Druh</w:t>
      </w:r>
      <w:r w:rsidR="0052455D">
        <w:rPr>
          <w:lang w:eastAsia="en-US"/>
        </w:rPr>
        <w:t xml:space="preserve">ý </w:t>
      </w:r>
      <w:r w:rsidRPr="003D1E07">
        <w:rPr>
          <w:lang w:eastAsia="en-US"/>
        </w:rPr>
        <w:t>mistr hleda</w:t>
      </w:r>
      <w:r w:rsidR="0052455D">
        <w:rPr>
          <w:lang w:eastAsia="en-US"/>
        </w:rPr>
        <w:t xml:space="preserve">l </w:t>
      </w:r>
      <w:r w:rsidRPr="003D1E07">
        <w:rPr>
          <w:lang w:eastAsia="en-US"/>
        </w:rPr>
        <w:t>novou podobu první filosofie</w:t>
      </w:r>
      <w:r w:rsidR="00764D3F">
        <w:rPr>
          <w:lang w:eastAsia="en-US"/>
        </w:rPr>
        <w:t>. Tento kritický filosofický mystik</w:t>
      </w:r>
      <w:r w:rsidR="008E36EA">
        <w:rPr>
          <w:lang w:eastAsia="en-US"/>
        </w:rPr>
        <w:t xml:space="preserve"> založil </w:t>
      </w:r>
      <w:r w:rsidR="00764D3F">
        <w:rPr>
          <w:lang w:eastAsia="en-US"/>
        </w:rPr>
        <w:t xml:space="preserve">novou </w:t>
      </w:r>
      <w:r w:rsidR="00B24411">
        <w:rPr>
          <w:lang w:eastAsia="en-US"/>
        </w:rPr>
        <w:t xml:space="preserve">kapitolu dějinného působení </w:t>
      </w:r>
      <w:r w:rsidR="00EB673A">
        <w:rPr>
          <w:lang w:eastAsia="en-US"/>
        </w:rPr>
        <w:t>o</w:t>
      </w:r>
      <w:r w:rsidRPr="003D1E07">
        <w:rPr>
          <w:lang w:eastAsia="en-US"/>
        </w:rPr>
        <w:t>bjektivní metafyziky a vědy</w:t>
      </w:r>
      <w:r w:rsidR="00B20BE1">
        <w:rPr>
          <w:lang w:eastAsia="en-US"/>
        </w:rPr>
        <w:t xml:space="preserve"> (</w:t>
      </w:r>
      <w:r w:rsidR="00B20BE1" w:rsidRPr="00B20BE1">
        <w:rPr>
          <w:i/>
          <w:lang w:eastAsia="en-US"/>
        </w:rPr>
        <w:t>Wirkungsgeschichte</w:t>
      </w:r>
      <w:r w:rsidR="00B20BE1">
        <w:rPr>
          <w:lang w:eastAsia="en-US"/>
        </w:rPr>
        <w:t>)</w:t>
      </w:r>
      <w:r w:rsidR="0052455D">
        <w:rPr>
          <w:lang w:eastAsia="en-US"/>
        </w:rPr>
        <w:t>, v</w:t>
      </w:r>
      <w:r w:rsidR="00EB673A">
        <w:rPr>
          <w:lang w:eastAsia="en-US"/>
        </w:rPr>
        <w:t> </w:t>
      </w:r>
      <w:r w:rsidR="0052455D">
        <w:rPr>
          <w:lang w:eastAsia="en-US"/>
        </w:rPr>
        <w:t>n</w:t>
      </w:r>
      <w:r w:rsidR="00EB673A">
        <w:rPr>
          <w:lang w:eastAsia="en-US"/>
        </w:rPr>
        <w:t xml:space="preserve">íž </w:t>
      </w:r>
      <w:r w:rsidRPr="003D1E07">
        <w:rPr>
          <w:lang w:eastAsia="en-US"/>
        </w:rPr>
        <w:t>se bytí jsoucího zjevuje a skrývá novým způsobem (</w:t>
      </w:r>
      <w:r w:rsidRPr="003D1E07">
        <w:rPr>
          <w:i/>
          <w:lang w:eastAsia="en-US"/>
        </w:rPr>
        <w:t>das Offene</w:t>
      </w:r>
      <w:r w:rsidRPr="003D1E07">
        <w:rPr>
          <w:lang w:eastAsia="en-US"/>
        </w:rPr>
        <w:t xml:space="preserve">, kap. 1.2). </w:t>
      </w:r>
      <w:r w:rsidR="0894217A" w:rsidRPr="003D1E07">
        <w:t>Na rozhraní lidského a kosmické</w:t>
      </w:r>
      <w:r w:rsidR="08DB02AD" w:rsidRPr="003D1E07">
        <w:t>ho činného intelektu vznikla</w:t>
      </w:r>
      <w:r w:rsidR="086627F9" w:rsidRPr="003D1E07">
        <w:t xml:space="preserve"> nová sféra </w:t>
      </w:r>
      <w:r w:rsidR="0894217A" w:rsidRPr="003D1E07">
        <w:rPr>
          <w:i/>
        </w:rPr>
        <w:t>tertium ens</w:t>
      </w:r>
      <w:r w:rsidR="0894217A" w:rsidRPr="003D1E07">
        <w:t xml:space="preserve">, </w:t>
      </w:r>
      <w:r w:rsidR="08DB02AD" w:rsidRPr="003D1E07">
        <w:t xml:space="preserve">v </w:t>
      </w:r>
      <w:r w:rsidR="08AC5303" w:rsidRPr="003D1E07">
        <w:t xml:space="preserve">níž </w:t>
      </w:r>
      <w:r w:rsidR="08DB02AD" w:rsidRPr="003D1E07">
        <w:t xml:space="preserve">je dán první </w:t>
      </w:r>
      <w:r w:rsidR="08AC5303" w:rsidRPr="003D1E07">
        <w:lastRenderedPageBreak/>
        <w:t>koncept objek</w:t>
      </w:r>
      <w:r w:rsidR="086627F9" w:rsidRPr="003D1E07">
        <w:t>t</w:t>
      </w:r>
      <w:r w:rsidR="08AC5303" w:rsidRPr="003D1E07">
        <w:t>i</w:t>
      </w:r>
      <w:r w:rsidR="088F753C" w:rsidRPr="003D1E07">
        <w:t>vního jsoucna.</w:t>
      </w:r>
      <w:r w:rsidR="00434F0C">
        <w:t xml:space="preserve"> </w:t>
      </w:r>
      <w:r w:rsidR="08F04111" w:rsidRPr="003D1E07">
        <w:t xml:space="preserve">Aristotelik </w:t>
      </w:r>
      <w:r w:rsidR="082C6387" w:rsidRPr="003D1E07">
        <w:rPr>
          <w:lang w:eastAsia="en-US"/>
        </w:rPr>
        <w:t xml:space="preserve">Al-Fárábí vztáhl určení jsoucna primárně k reálné substanci a sekundárně ke kategoriální a k akcidentální predikaci. Ale současně postuluje </w:t>
      </w:r>
      <w:r w:rsidR="08F04111" w:rsidRPr="003D1E07">
        <w:rPr>
          <w:lang w:eastAsia="en-US"/>
        </w:rPr>
        <w:t xml:space="preserve">v upraveném neoplatonském modu zvláštní druh </w:t>
      </w:r>
      <w:r w:rsidR="082C6387" w:rsidRPr="003D1E07">
        <w:rPr>
          <w:lang w:eastAsia="en-US"/>
        </w:rPr>
        <w:t xml:space="preserve">amfibolní </w:t>
      </w:r>
      <w:r w:rsidR="08F04111" w:rsidRPr="003D1E07">
        <w:rPr>
          <w:lang w:eastAsia="en-US"/>
        </w:rPr>
        <w:t>predikace</w:t>
      </w:r>
      <w:r w:rsidR="082C6387" w:rsidRPr="003D1E07">
        <w:rPr>
          <w:lang w:eastAsia="en-US"/>
        </w:rPr>
        <w:t>, jež překračuje kategoriální určení substance</w:t>
      </w:r>
      <w:r w:rsidR="082C6387" w:rsidRPr="003D1E07">
        <w:rPr>
          <w:lang w:eastAsia="en-US"/>
        </w:rPr>
        <w:fldChar w:fldCharType="begin"/>
      </w:r>
      <w:r w:rsidR="082C6387" w:rsidRPr="003D1E07">
        <w:instrText xml:space="preserve"> XE "substance:Al-Fárábí" </w:instrText>
      </w:r>
      <w:r w:rsidR="082C6387" w:rsidRPr="003D1E07">
        <w:rPr>
          <w:lang w:eastAsia="en-US"/>
        </w:rPr>
        <w:fldChar w:fldCharType="end"/>
      </w:r>
      <w:r w:rsidR="082C6387" w:rsidRPr="003D1E07">
        <w:rPr>
          <w:lang w:eastAsia="en-US"/>
        </w:rPr>
        <w:t xml:space="preserve">. </w:t>
      </w:r>
      <w:r w:rsidR="08760A5A" w:rsidRPr="003D1E07">
        <w:t xml:space="preserve">Spojením těchto </w:t>
      </w:r>
      <w:r w:rsidR="08AA6156" w:rsidRPr="003D1E07">
        <w:t xml:space="preserve">různých </w:t>
      </w:r>
      <w:r w:rsidR="08760A5A" w:rsidRPr="003D1E07">
        <w:t xml:space="preserve">rovin </w:t>
      </w:r>
      <w:r w:rsidR="00215B7C">
        <w:t xml:space="preserve">výskytu substance (první a </w:t>
      </w:r>
      <w:r w:rsidR="08E4601B" w:rsidRPr="003D1E07">
        <w:t>druhá</w:t>
      </w:r>
      <w:r w:rsidR="00215B7C">
        <w:t xml:space="preserve"> substance</w:t>
      </w:r>
      <w:r w:rsidR="08AA6156" w:rsidRPr="003D1E07">
        <w:t xml:space="preserve">, </w:t>
      </w:r>
      <w:r w:rsidR="00EA1E0C">
        <w:t>amfibolická</w:t>
      </w:r>
      <w:r w:rsidR="00215B7C">
        <w:t xml:space="preserve"> species</w:t>
      </w:r>
      <w:r w:rsidR="08AA6156" w:rsidRPr="003D1E07">
        <w:t xml:space="preserve">, </w:t>
      </w:r>
      <w:r w:rsidR="00215B7C">
        <w:t xml:space="preserve">objektivní </w:t>
      </w:r>
      <w:r w:rsidR="08E4601B" w:rsidRPr="00215B7C">
        <w:t>individuum</w:t>
      </w:r>
      <w:r w:rsidR="08E4601B" w:rsidRPr="003D1E07">
        <w:t xml:space="preserve">) </w:t>
      </w:r>
      <w:r w:rsidR="08760A5A" w:rsidRPr="003D1E07">
        <w:t>vznikla nová adekvace myšlení a věci, která epochálně změnila smysl jsoucna.</w:t>
      </w:r>
      <w:r w:rsidR="0066221A">
        <w:t xml:space="preserve"> </w:t>
      </w:r>
      <w:r w:rsidR="08760A5A" w:rsidRPr="003D1E07">
        <w:rPr>
          <w:rStyle w:val="Zvraznn"/>
          <w:i w:val="0"/>
        </w:rPr>
        <w:t>Formy obsažené v materiálním intelektu aktualizovaném smysly fungují v</w:t>
      </w:r>
      <w:r w:rsidR="08760A5A" w:rsidRPr="003D1E07">
        <w:t>zhledem k nemateriálním a plně aktuálním formám kosmických i</w:t>
      </w:r>
      <w:r w:rsidR="083269A3" w:rsidRPr="003D1E07">
        <w:t>nte</w:t>
      </w:r>
      <w:r w:rsidR="08760A5A" w:rsidRPr="003D1E07">
        <w:t>ligencí</w:t>
      </w:r>
      <w:r w:rsidR="00DD3106">
        <w:t xml:space="preserve">. Tím vytvářejí </w:t>
      </w:r>
      <w:r w:rsidR="08760A5A" w:rsidRPr="003D1E07">
        <w:t xml:space="preserve">nový kategoriální základ (ὑποκείμενον, </w:t>
      </w:r>
      <w:r w:rsidR="08760A5A" w:rsidRPr="003D1E07">
        <w:rPr>
          <w:i/>
        </w:rPr>
        <w:t>subiectum</w:t>
      </w:r>
      <w:r w:rsidR="08760A5A" w:rsidRPr="003D1E07">
        <w:t>) pro následnou predikaci metafyzické jednoty</w:t>
      </w:r>
      <w:r w:rsidR="089E585B" w:rsidRPr="003D1E07">
        <w:t xml:space="preserve"> </w:t>
      </w:r>
      <w:r w:rsidR="08FD37B1" w:rsidRPr="003D1E07">
        <w:t xml:space="preserve">dané </w:t>
      </w:r>
      <w:r w:rsidR="089E585B" w:rsidRPr="003D1E07">
        <w:t>na úrovni posledních určení jsoucna</w:t>
      </w:r>
      <w:r w:rsidR="08760A5A" w:rsidRPr="003D1E07">
        <w:t>.</w:t>
      </w:r>
      <w:r w:rsidR="00F473DA">
        <w:t xml:space="preserve"> P</w:t>
      </w:r>
      <w:r w:rsidR="08FD37B1" w:rsidRPr="003D1E07">
        <w:t xml:space="preserve">redikace </w:t>
      </w:r>
      <w:r w:rsidR="00DD3106">
        <w:t xml:space="preserve">buď skrze amfibola nebo </w:t>
      </w:r>
      <w:r w:rsidR="008456DA" w:rsidRPr="003D1E07">
        <w:t>skrze p</w:t>
      </w:r>
      <w:r w:rsidR="081E2AA1" w:rsidRPr="003D1E07">
        <w:t xml:space="preserve">rvní substance </w:t>
      </w:r>
      <w:r w:rsidR="00F473DA" w:rsidRPr="003D1E07">
        <w:t xml:space="preserve">vytvoří </w:t>
      </w:r>
      <w:r w:rsidR="00DD3106">
        <w:t>pok</w:t>
      </w:r>
      <w:r w:rsidR="00F473DA">
        <w:t>a</w:t>
      </w:r>
      <w:r w:rsidR="00DD3106">
        <w:t xml:space="preserve">ždé </w:t>
      </w:r>
      <w:r w:rsidR="008456DA" w:rsidRPr="003D1E07">
        <w:t>úplně jiný typ jednoty jsoucna</w:t>
      </w:r>
      <w:r w:rsidR="08FD37B1" w:rsidRPr="003D1E07">
        <w:t xml:space="preserve">. </w:t>
      </w:r>
      <w:r w:rsidR="083C67CD" w:rsidRPr="003D1E07">
        <w:rPr>
          <w:lang w:eastAsia="en-US"/>
        </w:rPr>
        <w:t xml:space="preserve">Manifestace </w:t>
      </w:r>
      <w:r w:rsidR="083C67CD" w:rsidRPr="003D1E07">
        <w:rPr>
          <w:i/>
          <w:lang w:eastAsia="en-US"/>
        </w:rPr>
        <w:t>tertium ens</w:t>
      </w:r>
      <w:r w:rsidR="083C67CD" w:rsidRPr="003D1E07">
        <w:rPr>
          <w:i/>
          <w:lang w:eastAsia="en-US"/>
        </w:rPr>
        <w:fldChar w:fldCharType="begin"/>
      </w:r>
      <w:r w:rsidR="083C67CD" w:rsidRPr="003D1E07">
        <w:instrText xml:space="preserve"> XE "</w:instrText>
      </w:r>
      <w:r w:rsidR="083C67CD" w:rsidRPr="003D1E07">
        <w:rPr>
          <w:rStyle w:val="Zvraznn"/>
        </w:rPr>
        <w:instrText>tertium ens</w:instrText>
      </w:r>
      <w:r w:rsidR="083C67CD" w:rsidRPr="003D1E07">
        <w:rPr>
          <w:rStyle w:val="Zvraznn"/>
          <w:i w:val="0"/>
        </w:rPr>
        <w:instrText>:</w:instrText>
      </w:r>
      <w:r w:rsidR="083C67CD" w:rsidRPr="003D1E07">
        <w:instrText xml:space="preserve">Al-Fárábí" </w:instrText>
      </w:r>
      <w:r w:rsidR="083C67CD" w:rsidRPr="003D1E07">
        <w:rPr>
          <w:i/>
          <w:lang w:eastAsia="en-US"/>
        </w:rPr>
        <w:fldChar w:fldCharType="end"/>
      </w:r>
      <w:r w:rsidR="083C67CD" w:rsidRPr="003D1E07">
        <w:rPr>
          <w:lang w:eastAsia="en-US"/>
        </w:rPr>
        <w:t xml:space="preserve"> je afirmovaná v rozvrhu jsoucna daného novým </w:t>
      </w:r>
      <w:r w:rsidR="083269A3" w:rsidRPr="003D1E07">
        <w:rPr>
          <w:lang w:eastAsia="en-US"/>
        </w:rPr>
        <w:t xml:space="preserve">pojetím </w:t>
      </w:r>
      <w:r w:rsidR="083C67CD" w:rsidRPr="003D1E07">
        <w:rPr>
          <w:lang w:eastAsia="en-US"/>
        </w:rPr>
        <w:t>existence</w:t>
      </w:r>
      <w:r w:rsidR="083269A3" w:rsidRPr="003D1E07">
        <w:rPr>
          <w:lang w:eastAsia="en-US"/>
        </w:rPr>
        <w:t xml:space="preserve"> dané spojením kategoriální impozice a </w:t>
      </w:r>
      <w:r w:rsidR="00757AE2">
        <w:rPr>
          <w:lang w:eastAsia="en-US"/>
        </w:rPr>
        <w:t xml:space="preserve">neoplatonské </w:t>
      </w:r>
      <w:r w:rsidR="083269A3" w:rsidRPr="003D1E07">
        <w:rPr>
          <w:lang w:eastAsia="en-US"/>
        </w:rPr>
        <w:t>supozice</w:t>
      </w:r>
      <w:r w:rsidR="083C67CD" w:rsidRPr="003D1E07">
        <w:rPr>
          <w:lang w:eastAsia="en-US"/>
        </w:rPr>
        <w:t xml:space="preserve">. </w:t>
      </w:r>
      <w:r w:rsidR="089745C3" w:rsidRPr="003D1E07">
        <w:rPr>
          <w:lang w:eastAsia="en-US"/>
        </w:rPr>
        <w:t>Druhý mistr zakládá pojetí objektivní existence v</w:t>
      </w:r>
      <w:r w:rsidR="080F25B3" w:rsidRPr="003D1E07">
        <w:rPr>
          <w:lang w:eastAsia="en-US"/>
        </w:rPr>
        <w:t xml:space="preserve"> Heideggerově </w:t>
      </w:r>
      <w:r w:rsidR="089745C3" w:rsidRPr="003D1E07">
        <w:rPr>
          <w:lang w:eastAsia="en-US"/>
        </w:rPr>
        <w:t xml:space="preserve">modu </w:t>
      </w:r>
      <w:r w:rsidR="00592177" w:rsidRPr="00592177">
        <w:rPr>
          <w:i/>
          <w:lang w:eastAsia="en-US"/>
        </w:rPr>
        <w:t>Irrtum</w:t>
      </w:r>
      <w:r w:rsidR="089745C3" w:rsidRPr="003D1E07">
        <w:rPr>
          <w:i/>
          <w:lang w:eastAsia="en-US"/>
        </w:rPr>
        <w:fldChar w:fldCharType="begin"/>
      </w:r>
      <w:r w:rsidR="089745C3" w:rsidRPr="003D1E07">
        <w:instrText xml:space="preserve"> XE "</w:instrText>
      </w:r>
      <w:r w:rsidR="00592177" w:rsidRPr="00592177">
        <w:rPr>
          <w:i/>
          <w:lang w:eastAsia="en-US"/>
        </w:rPr>
        <w:instrText>Irrtum</w:instrText>
      </w:r>
      <w:r w:rsidR="089745C3" w:rsidRPr="003D1E07">
        <w:instrText xml:space="preserve">" </w:instrText>
      </w:r>
      <w:r w:rsidR="089745C3" w:rsidRPr="003D1E07">
        <w:rPr>
          <w:i/>
          <w:lang w:eastAsia="en-US"/>
        </w:rPr>
        <w:fldChar w:fldCharType="end"/>
      </w:r>
      <w:r w:rsidR="00EF0BF6" w:rsidRPr="003D1E07">
        <w:rPr>
          <w:lang w:eastAsia="en-US"/>
        </w:rPr>
        <w:t xml:space="preserve">, protože vytvořil původní událost </w:t>
      </w:r>
      <w:r w:rsidR="08C9287E" w:rsidRPr="003D1E07">
        <w:rPr>
          <w:lang w:eastAsia="en-US"/>
        </w:rPr>
        <w:t xml:space="preserve">ontoteologické </w:t>
      </w:r>
      <w:r w:rsidR="089745C3" w:rsidRPr="003D1E07">
        <w:rPr>
          <w:lang w:eastAsia="en-US"/>
        </w:rPr>
        <w:t>metafyziky</w:t>
      </w:r>
      <w:r w:rsidR="08C9287E" w:rsidRPr="003D1E07">
        <w:rPr>
          <w:lang w:eastAsia="en-US"/>
        </w:rPr>
        <w:t xml:space="preserve"> (</w:t>
      </w:r>
      <w:r w:rsidR="08C9287E" w:rsidRPr="003D1E07">
        <w:rPr>
          <w:i/>
          <w:lang w:eastAsia="en-US"/>
        </w:rPr>
        <w:t>Ereignis</w:t>
      </w:r>
      <w:r w:rsidR="08C9287E" w:rsidRPr="003D1E07">
        <w:rPr>
          <w:i/>
          <w:lang w:eastAsia="en-US"/>
        </w:rPr>
        <w:fldChar w:fldCharType="begin"/>
      </w:r>
      <w:r w:rsidR="08C9287E" w:rsidRPr="003D1E07">
        <w:instrText xml:space="preserve"> XE "</w:instrText>
      </w:r>
      <w:r w:rsidR="08C9287E" w:rsidRPr="003D1E07">
        <w:rPr>
          <w:i/>
          <w:lang w:eastAsia="en-US"/>
        </w:rPr>
        <w:instrText>Ereignis</w:instrText>
      </w:r>
      <w:r w:rsidR="08C9287E" w:rsidRPr="003D1E07">
        <w:instrText xml:space="preserve">" </w:instrText>
      </w:r>
      <w:r w:rsidR="08C9287E" w:rsidRPr="003D1E07">
        <w:rPr>
          <w:i/>
          <w:lang w:eastAsia="en-US"/>
        </w:rPr>
        <w:fldChar w:fldCharType="end"/>
      </w:r>
      <w:r w:rsidR="08C9287E" w:rsidRPr="003D1E07">
        <w:rPr>
          <w:lang w:eastAsia="en-US"/>
        </w:rPr>
        <w:t>)</w:t>
      </w:r>
      <w:r w:rsidR="089745C3" w:rsidRPr="003D1E07">
        <w:rPr>
          <w:lang w:eastAsia="en-US"/>
        </w:rPr>
        <w:t xml:space="preserve">. </w:t>
      </w:r>
      <w:r w:rsidR="083306D8" w:rsidRPr="003D1E07">
        <w:rPr>
          <w:lang w:eastAsia="en-US"/>
        </w:rPr>
        <w:t>Averro</w:t>
      </w:r>
      <w:r w:rsidR="08F72173" w:rsidRPr="003D1E07">
        <w:rPr>
          <w:lang w:eastAsia="en-US"/>
        </w:rPr>
        <w:t xml:space="preserve">es </w:t>
      </w:r>
      <w:r w:rsidR="08F72173" w:rsidRPr="003D1E07">
        <w:t xml:space="preserve">kritizoval Al-Fárábího za první formu </w:t>
      </w:r>
      <w:r w:rsidR="08F72173" w:rsidRPr="003D1E07">
        <w:rPr>
          <w:i/>
        </w:rPr>
        <w:t>Oxfordian Fallacy</w:t>
      </w:r>
      <w:r w:rsidR="086854AC" w:rsidRPr="003D1E07">
        <w:t xml:space="preserve"> (</w:t>
      </w:r>
      <w:r w:rsidR="08F5528A" w:rsidRPr="003D1E07">
        <w:t>OBJ II, kap. 3</w:t>
      </w:r>
      <w:r w:rsidR="086854AC" w:rsidRPr="003D1E07">
        <w:t>.1.1)</w:t>
      </w:r>
      <w:r w:rsidR="08F72173" w:rsidRPr="003D1E07">
        <w:rPr>
          <w:i/>
        </w:rPr>
        <w:fldChar w:fldCharType="begin"/>
      </w:r>
      <w:r w:rsidR="08F72173" w:rsidRPr="003D1E07">
        <w:instrText xml:space="preserve"> XE "</w:instrText>
      </w:r>
      <w:r w:rsidR="08F72173" w:rsidRPr="003D1E07">
        <w:rPr>
          <w:i/>
        </w:rPr>
        <w:instrText>Oxfordian Fallacy</w:instrText>
      </w:r>
      <w:r w:rsidR="08F72173" w:rsidRPr="003D1E07">
        <w:instrText xml:space="preserve">:Al-Fárábí" </w:instrText>
      </w:r>
      <w:r w:rsidR="08F72173" w:rsidRPr="003D1E07">
        <w:rPr>
          <w:i/>
        </w:rPr>
        <w:fldChar w:fldCharType="end"/>
      </w:r>
      <w:r w:rsidR="007A78FF">
        <w:t xml:space="preserve">, kterou vytvořil </w:t>
      </w:r>
      <w:r w:rsidR="08F72173" w:rsidRPr="003D1E07">
        <w:t xml:space="preserve">tím, že chybně vyložil střední člen vědeckého soudu podle </w:t>
      </w:r>
      <w:r w:rsidR="08F72173" w:rsidRPr="003D1E07">
        <w:rPr>
          <w:i/>
        </w:rPr>
        <w:t>Druhých analytik</w:t>
      </w:r>
      <w:r w:rsidR="08F72173" w:rsidRPr="003D1E07">
        <w:t>.</w:t>
      </w:r>
      <w:r w:rsidR="08F72173" w:rsidRPr="003D1E07">
        <w:rPr>
          <w:rStyle w:val="Znakapoznpodarou"/>
        </w:rPr>
        <w:footnoteReference w:id="107"/>
      </w:r>
      <w:r w:rsidR="08F72173" w:rsidRPr="003D1E07">
        <w:t xml:space="preserve"> </w:t>
      </w:r>
      <w:r w:rsidR="00710B26" w:rsidRPr="003D1E07">
        <w:rPr>
          <w:lang w:eastAsia="en-US"/>
        </w:rPr>
        <w:t xml:space="preserve">Jsoucno třetího druhu existuje diakosmu kosmických inteligencí a odtud sestupuje do lidské duše. </w:t>
      </w:r>
      <w:r w:rsidR="080F25B3" w:rsidRPr="003D1E07">
        <w:rPr>
          <w:lang w:eastAsia="en-US"/>
        </w:rPr>
        <w:t>H</w:t>
      </w:r>
      <w:r w:rsidR="08A87CDE" w:rsidRPr="003D1E07">
        <w:rPr>
          <w:lang w:eastAsia="en-US"/>
        </w:rPr>
        <w:t xml:space="preserve">ermeneutika dává vznik objektivně pojaté existence do </w:t>
      </w:r>
      <w:r w:rsidR="08C9287E" w:rsidRPr="003D1E07">
        <w:rPr>
          <w:lang w:eastAsia="en-US"/>
        </w:rPr>
        <w:t>třetí</w:t>
      </w:r>
      <w:r w:rsidR="00710B26" w:rsidRPr="003D1E07">
        <w:rPr>
          <w:lang w:eastAsia="en-US"/>
        </w:rPr>
        <w:t>ho</w:t>
      </w:r>
      <w:r w:rsidR="08C9287E" w:rsidRPr="003D1E07">
        <w:rPr>
          <w:lang w:eastAsia="en-US"/>
        </w:rPr>
        <w:t xml:space="preserve"> modelu </w:t>
      </w:r>
      <w:r w:rsidR="08C9287E" w:rsidRPr="003D1E07">
        <w:rPr>
          <w:i/>
          <w:lang w:eastAsia="en-US"/>
        </w:rPr>
        <w:t>aliud esse</w:t>
      </w:r>
      <w:r w:rsidR="008F6F1A" w:rsidRPr="003D1E07">
        <w:rPr>
          <w:lang w:eastAsia="en-US"/>
        </w:rPr>
        <w:t xml:space="preserve">. </w:t>
      </w:r>
      <w:r w:rsidR="00F473DA">
        <w:rPr>
          <w:lang w:eastAsia="en-US"/>
        </w:rPr>
        <w:t>Nové j</w:t>
      </w:r>
      <w:r w:rsidR="008F6F1A" w:rsidRPr="003D1E07">
        <w:rPr>
          <w:lang w:eastAsia="en-US"/>
        </w:rPr>
        <w:t xml:space="preserve">soucno </w:t>
      </w:r>
      <w:r w:rsidR="00D20198" w:rsidRPr="003D1E07">
        <w:rPr>
          <w:lang w:eastAsia="en-US"/>
        </w:rPr>
        <w:t>„</w:t>
      </w:r>
      <w:r w:rsidR="00946371" w:rsidRPr="003D1E07">
        <w:rPr>
          <w:lang w:eastAsia="en-US"/>
        </w:rPr>
        <w:t>po</w:t>
      </w:r>
      <w:r w:rsidR="00F473DA">
        <w:rPr>
          <w:lang w:eastAsia="en-US"/>
        </w:rPr>
        <w:t>vstává</w:t>
      </w:r>
      <w:r w:rsidR="00D20198" w:rsidRPr="003D1E07">
        <w:rPr>
          <w:lang w:eastAsia="en-US"/>
        </w:rPr>
        <w:t>“</w:t>
      </w:r>
      <w:r w:rsidR="008F6F1A" w:rsidRPr="003D1E07">
        <w:rPr>
          <w:lang w:eastAsia="en-US"/>
        </w:rPr>
        <w:t xml:space="preserve"> (</w:t>
      </w:r>
      <w:r w:rsidR="008F6F1A" w:rsidRPr="003D1E07">
        <w:rPr>
          <w:i/>
          <w:lang w:eastAsia="en-US"/>
        </w:rPr>
        <w:t>exsistit</w:t>
      </w:r>
      <w:r w:rsidR="008F6F1A" w:rsidRPr="003D1E07">
        <w:rPr>
          <w:lang w:eastAsia="en-US"/>
        </w:rPr>
        <w:t>)</w:t>
      </w:r>
      <w:r w:rsidR="08A87CDE" w:rsidRPr="003D1E07">
        <w:rPr>
          <w:lang w:eastAsia="en-US"/>
        </w:rPr>
        <w:t xml:space="preserve"> </w:t>
      </w:r>
      <w:r w:rsidR="008F6F1A" w:rsidRPr="003D1E07">
        <w:rPr>
          <w:lang w:eastAsia="en-US"/>
        </w:rPr>
        <w:t xml:space="preserve">v procesu </w:t>
      </w:r>
      <w:r w:rsidR="00F473DA">
        <w:rPr>
          <w:lang w:eastAsia="en-US"/>
        </w:rPr>
        <w:t xml:space="preserve">eidetického </w:t>
      </w:r>
      <w:r w:rsidR="006B638D">
        <w:rPr>
          <w:lang w:eastAsia="en-US"/>
        </w:rPr>
        <w:t>vidění</w:t>
      </w:r>
      <w:r w:rsidR="008F6F1A" w:rsidRPr="003D1E07">
        <w:rPr>
          <w:lang w:eastAsia="en-US"/>
        </w:rPr>
        <w:t>.</w:t>
      </w:r>
      <w:r w:rsidR="00FD184D">
        <w:rPr>
          <w:lang w:eastAsia="en-US"/>
        </w:rPr>
        <w:t xml:space="preserve"> </w:t>
      </w:r>
      <w:r w:rsidR="00F473DA">
        <w:rPr>
          <w:lang w:eastAsia="en-US"/>
        </w:rPr>
        <w:t xml:space="preserve">Nauka Alfarabího generuje </w:t>
      </w:r>
      <w:r w:rsidR="00F473DA" w:rsidRPr="00F473DA">
        <w:rPr>
          <w:lang w:eastAsia="en-US"/>
        </w:rPr>
        <w:t xml:space="preserve">tyto </w:t>
      </w:r>
      <w:r w:rsidR="00F473DA">
        <w:rPr>
          <w:lang w:eastAsia="en-US"/>
        </w:rPr>
        <w:t xml:space="preserve">specifické </w:t>
      </w:r>
      <w:r w:rsidR="00F473DA" w:rsidRPr="00F473DA">
        <w:rPr>
          <w:lang w:eastAsia="en-US"/>
        </w:rPr>
        <w:t xml:space="preserve">formy </w:t>
      </w:r>
      <w:r w:rsidR="00F473DA">
        <w:rPr>
          <w:lang w:eastAsia="en-US"/>
        </w:rPr>
        <w:t xml:space="preserve">na základě mystické zkušenosti. Avicenna tuto elitní mystickou zkušenost konceptuálně generalizoval pro </w:t>
      </w:r>
      <w:r w:rsidR="00F473DA" w:rsidRPr="00D45CE9">
        <w:rPr>
          <w:i/>
          <w:lang w:eastAsia="en-US"/>
        </w:rPr>
        <w:t>vulgus philosophicus</w:t>
      </w:r>
      <w:r w:rsidR="00F8356D">
        <w:rPr>
          <w:lang w:eastAsia="en-US"/>
        </w:rPr>
        <w:t xml:space="preserve"> a tím </w:t>
      </w:r>
      <w:r w:rsidR="00F473DA">
        <w:rPr>
          <w:lang w:eastAsia="en-US"/>
        </w:rPr>
        <w:t>založil mytologickou objektivitu moderny</w:t>
      </w:r>
      <w:r w:rsidR="00F473DA" w:rsidRPr="00F473DA">
        <w:rPr>
          <w:lang w:eastAsia="en-US"/>
        </w:rPr>
        <w:t>.</w:t>
      </w:r>
      <w:r w:rsidR="00FD4C52">
        <w:rPr>
          <w:lang w:eastAsia="en-US"/>
        </w:rPr>
        <w:t xml:space="preserve"> </w:t>
      </w:r>
      <w:r w:rsidR="005E3D9C">
        <w:rPr>
          <w:lang w:eastAsia="en-US"/>
        </w:rPr>
        <w:t>Akademičtí ilumináti</w:t>
      </w:r>
      <w:r w:rsidR="00FD184D">
        <w:rPr>
          <w:lang w:eastAsia="en-US"/>
        </w:rPr>
        <w:t xml:space="preserve"> </w:t>
      </w:r>
      <w:r w:rsidR="00FD4C52">
        <w:rPr>
          <w:lang w:eastAsia="en-US"/>
        </w:rPr>
        <w:t>ne</w:t>
      </w:r>
      <w:r w:rsidR="005E3D9C">
        <w:rPr>
          <w:lang w:eastAsia="en-US"/>
        </w:rPr>
        <w:t>jsou mystikové</w:t>
      </w:r>
      <w:r w:rsidR="00FD4C52">
        <w:rPr>
          <w:lang w:eastAsia="en-US"/>
        </w:rPr>
        <w:t xml:space="preserve">, jen </w:t>
      </w:r>
      <w:r w:rsidR="005E3D9C">
        <w:rPr>
          <w:lang w:eastAsia="en-US"/>
        </w:rPr>
        <w:t>si ně hrají</w:t>
      </w:r>
      <w:r w:rsidR="00AC769A">
        <w:rPr>
          <w:lang w:eastAsia="en-US"/>
        </w:rPr>
        <w:t xml:space="preserve">. </w:t>
      </w:r>
      <w:r w:rsidR="005E3D9C">
        <w:rPr>
          <w:lang w:eastAsia="en-US"/>
        </w:rPr>
        <w:t xml:space="preserve">Podle Avicennova receptu </w:t>
      </w:r>
      <w:r w:rsidR="006C499F" w:rsidRPr="00FD184D">
        <w:rPr>
          <w:lang w:eastAsia="en-US"/>
        </w:rPr>
        <w:t>přímo</w:t>
      </w:r>
      <w:r w:rsidR="006C499F">
        <w:rPr>
          <w:lang w:eastAsia="en-US"/>
        </w:rPr>
        <w:t xml:space="preserve"> </w:t>
      </w:r>
      <w:r w:rsidR="005E3D9C">
        <w:rPr>
          <w:lang w:eastAsia="en-US"/>
        </w:rPr>
        <w:t xml:space="preserve">nazírají </w:t>
      </w:r>
      <w:r w:rsidR="00C42ADC">
        <w:rPr>
          <w:lang w:eastAsia="en-US"/>
        </w:rPr>
        <w:t xml:space="preserve">jeho </w:t>
      </w:r>
      <w:r w:rsidR="00FD184D">
        <w:rPr>
          <w:lang w:eastAsia="en-US"/>
        </w:rPr>
        <w:t>neexistují</w:t>
      </w:r>
      <w:r w:rsidR="00FD4C52">
        <w:rPr>
          <w:lang w:eastAsia="en-US"/>
        </w:rPr>
        <w:t>cí</w:t>
      </w:r>
      <w:r w:rsidR="006C499F">
        <w:rPr>
          <w:lang w:eastAsia="en-US"/>
        </w:rPr>
        <w:t xml:space="preserve"> jsoucno, p</w:t>
      </w:r>
      <w:r w:rsidR="005E3D9C">
        <w:rPr>
          <w:lang w:eastAsia="en-US"/>
        </w:rPr>
        <w:t xml:space="preserve">řebývají v objektivně založené platónské jeskyní a </w:t>
      </w:r>
      <w:r w:rsidR="08E3319B" w:rsidRPr="003D1E07">
        <w:rPr>
          <w:lang w:eastAsia="en-US"/>
        </w:rPr>
        <w:t>inte</w:t>
      </w:r>
      <w:r w:rsidR="08471CCD" w:rsidRPr="003D1E07">
        <w:rPr>
          <w:lang w:eastAsia="en-US"/>
        </w:rPr>
        <w:t>r</w:t>
      </w:r>
      <w:r w:rsidR="005E3D9C">
        <w:rPr>
          <w:lang w:eastAsia="en-US"/>
        </w:rPr>
        <w:t>pretují svět p</w:t>
      </w:r>
      <w:r w:rsidR="08A87CDE" w:rsidRPr="003D1E07">
        <w:rPr>
          <w:lang w:eastAsia="en-US"/>
        </w:rPr>
        <w:t xml:space="preserve">od vlivem </w:t>
      </w:r>
      <w:r w:rsidR="005E3D9C">
        <w:rPr>
          <w:lang w:eastAsia="en-US"/>
        </w:rPr>
        <w:t>akademicky vzdělaných</w:t>
      </w:r>
      <w:r w:rsidR="00E5261A" w:rsidRPr="003D1E07">
        <w:rPr>
          <w:lang w:eastAsia="en-US"/>
        </w:rPr>
        <w:t xml:space="preserve"> </w:t>
      </w:r>
      <w:r w:rsidR="08A87CDE" w:rsidRPr="003D1E07">
        <w:rPr>
          <w:lang w:eastAsia="en-US"/>
        </w:rPr>
        <w:t>Fúrií</w:t>
      </w:r>
      <w:r w:rsidR="00D905AB">
        <w:rPr>
          <w:lang w:eastAsia="en-US"/>
        </w:rPr>
        <w:t>. Objektivní</w:t>
      </w:r>
      <w:r w:rsidR="08BB5006" w:rsidRPr="003D1E07">
        <w:t xml:space="preserve"> </w:t>
      </w:r>
      <w:r w:rsidR="08BB5006" w:rsidRPr="003D1E07">
        <w:rPr>
          <w:i/>
        </w:rPr>
        <w:t>furor interpretandi</w:t>
      </w:r>
      <w:r w:rsidR="08BB5006" w:rsidRPr="003D1E07">
        <w:t xml:space="preserve"> </w:t>
      </w:r>
      <w:r w:rsidR="08AB4FD7" w:rsidRPr="003D1E07">
        <w:t xml:space="preserve">moderny </w:t>
      </w:r>
      <w:r w:rsidR="08BB5006" w:rsidRPr="003D1E07">
        <w:t>stojí a padá s</w:t>
      </w:r>
      <w:r w:rsidR="006E0452">
        <w:t xml:space="preserve"> novou formou </w:t>
      </w:r>
      <w:r w:rsidR="08BB5006" w:rsidRPr="003D1E07">
        <w:rPr>
          <w:lang w:eastAsia="en-US"/>
        </w:rPr>
        <w:t>intencionalit</w:t>
      </w:r>
      <w:r w:rsidR="006E0452">
        <w:rPr>
          <w:lang w:eastAsia="en-US"/>
        </w:rPr>
        <w:t xml:space="preserve">y. Ta </w:t>
      </w:r>
      <w:r w:rsidR="08BB5006" w:rsidRPr="003D1E07">
        <w:rPr>
          <w:lang w:eastAsia="en-US"/>
        </w:rPr>
        <w:t>metodic</w:t>
      </w:r>
      <w:r w:rsidR="08AB4FD7" w:rsidRPr="003D1E07">
        <w:rPr>
          <w:lang w:eastAsia="en-US"/>
        </w:rPr>
        <w:t>ky uzávorkoval</w:t>
      </w:r>
      <w:r w:rsidR="006E0452">
        <w:rPr>
          <w:lang w:eastAsia="en-US"/>
        </w:rPr>
        <w:t>a</w:t>
      </w:r>
      <w:r w:rsidR="08BB5006" w:rsidRPr="003D1E07">
        <w:rPr>
          <w:lang w:eastAsia="en-US"/>
        </w:rPr>
        <w:t xml:space="preserve"> </w:t>
      </w:r>
      <w:r w:rsidR="08A87CDE" w:rsidRPr="003D1E07">
        <w:rPr>
          <w:lang w:eastAsia="en-US"/>
        </w:rPr>
        <w:t>normální svět</w:t>
      </w:r>
      <w:r w:rsidR="08AB4FD7" w:rsidRPr="003D1E07">
        <w:rPr>
          <w:lang w:eastAsia="en-US"/>
        </w:rPr>
        <w:t xml:space="preserve">, aby </w:t>
      </w:r>
      <w:r w:rsidR="006E0452">
        <w:rPr>
          <w:lang w:eastAsia="en-US"/>
        </w:rPr>
        <w:t xml:space="preserve">iluminát </w:t>
      </w:r>
      <w:r w:rsidR="001034B4" w:rsidRPr="003D1E07">
        <w:rPr>
          <w:lang w:eastAsia="en-US"/>
        </w:rPr>
        <w:t xml:space="preserve">lépe viděl </w:t>
      </w:r>
      <w:r w:rsidR="08AB4FD7" w:rsidRPr="003D1E07">
        <w:rPr>
          <w:lang w:eastAsia="en-US"/>
        </w:rPr>
        <w:t>v platonské jeskyni ducha</w:t>
      </w:r>
      <w:r w:rsidR="08A87CDE" w:rsidRPr="003D1E07">
        <w:rPr>
          <w:lang w:eastAsia="en-US"/>
        </w:rPr>
        <w:t xml:space="preserve">. </w:t>
      </w:r>
      <w:r w:rsidR="08E91FD3" w:rsidRPr="003D1E07">
        <w:rPr>
          <w:lang w:eastAsia="en-US"/>
        </w:rPr>
        <w:t xml:space="preserve">Znovu je vidět šalebné působení </w:t>
      </w:r>
      <w:r w:rsidR="08267707" w:rsidRPr="003D1E07">
        <w:rPr>
          <w:lang w:eastAsia="en-US"/>
        </w:rPr>
        <w:t xml:space="preserve">Fúrií </w:t>
      </w:r>
      <w:r w:rsidR="08E91FD3" w:rsidRPr="003D1E07">
        <w:rPr>
          <w:lang w:eastAsia="en-US"/>
        </w:rPr>
        <w:t>skrytě řídících návrat ilumináta do</w:t>
      </w:r>
      <w:r w:rsidR="0021730A">
        <w:rPr>
          <w:lang w:eastAsia="en-US"/>
        </w:rPr>
        <w:t xml:space="preserve"> jeskyně. Jenže to už není </w:t>
      </w:r>
      <w:r w:rsidR="0026459E">
        <w:rPr>
          <w:lang w:eastAsia="en-US"/>
        </w:rPr>
        <w:t xml:space="preserve">místo </w:t>
      </w:r>
      <w:r w:rsidR="003B3B7F">
        <w:rPr>
          <w:lang w:eastAsia="en-US"/>
        </w:rPr>
        <w:t xml:space="preserve">zjevování </w:t>
      </w:r>
      <w:r w:rsidR="08E45A39" w:rsidRPr="003D1E07">
        <w:rPr>
          <w:lang w:eastAsia="en-US"/>
        </w:rPr>
        <w:t xml:space="preserve">původních mystérií, nýbrž </w:t>
      </w:r>
      <w:r w:rsidR="08E45A39" w:rsidRPr="003D1E07">
        <w:rPr>
          <w:lang w:eastAsia="en-US"/>
        </w:rPr>
        <w:lastRenderedPageBreak/>
        <w:t>platonského mýtu</w:t>
      </w:r>
      <w:r w:rsidR="08E91FD3" w:rsidRPr="003D1E07">
        <w:rPr>
          <w:lang w:eastAsia="en-US"/>
        </w:rPr>
        <w:t xml:space="preserve">. </w:t>
      </w:r>
      <w:r w:rsidR="08A1237D" w:rsidRPr="003D1E07">
        <w:rPr>
          <w:lang w:eastAsia="en-US"/>
        </w:rPr>
        <w:t xml:space="preserve">Pro určení epochálního </w:t>
      </w:r>
      <w:r w:rsidR="08A1237D" w:rsidRPr="003D1E07">
        <w:rPr>
          <w:i/>
          <w:lang w:eastAsia="en-US"/>
        </w:rPr>
        <w:t>Irrtum</w:t>
      </w:r>
      <w:r w:rsidR="08A1237D" w:rsidRPr="003D1E07">
        <w:rPr>
          <w:lang w:eastAsia="en-US"/>
        </w:rPr>
        <w:t xml:space="preserve"> </w:t>
      </w:r>
      <w:r w:rsidR="087240C5" w:rsidRPr="003D1E07">
        <w:rPr>
          <w:lang w:eastAsia="en-US"/>
        </w:rPr>
        <w:t>spojeného s objektivní formou</w:t>
      </w:r>
      <w:r w:rsidR="08A1237D" w:rsidRPr="003D1E07">
        <w:rPr>
          <w:lang w:eastAsia="en-US"/>
        </w:rPr>
        <w:t xml:space="preserve"> </w:t>
      </w:r>
      <w:r w:rsidR="087240C5" w:rsidRPr="003D1E07">
        <w:rPr>
          <w:lang w:eastAsia="en-US"/>
        </w:rPr>
        <w:t>„</w:t>
      </w:r>
      <w:r w:rsidR="08A1237D" w:rsidRPr="003D1E07">
        <w:rPr>
          <w:lang w:eastAsia="en-US"/>
        </w:rPr>
        <w:t>ex</w:t>
      </w:r>
      <w:r w:rsidR="087240C5" w:rsidRPr="003D1E07">
        <w:rPr>
          <w:lang w:eastAsia="en-US"/>
        </w:rPr>
        <w:t>s</w:t>
      </w:r>
      <w:r w:rsidR="08A1237D" w:rsidRPr="003D1E07">
        <w:rPr>
          <w:lang w:eastAsia="en-US"/>
        </w:rPr>
        <w:t>istence</w:t>
      </w:r>
      <w:r w:rsidR="087240C5" w:rsidRPr="003D1E07">
        <w:rPr>
          <w:lang w:eastAsia="en-US"/>
        </w:rPr>
        <w:t>“</w:t>
      </w:r>
      <w:r w:rsidR="08A1237D" w:rsidRPr="003D1E07">
        <w:rPr>
          <w:lang w:eastAsia="en-US"/>
        </w:rPr>
        <w:t xml:space="preserve"> je třeba </w:t>
      </w:r>
      <w:r w:rsidR="08AB42A0" w:rsidRPr="003D1E07">
        <w:rPr>
          <w:lang w:eastAsia="en-US"/>
        </w:rPr>
        <w:t xml:space="preserve">navázat novou událost metafyziky </w:t>
      </w:r>
      <w:r w:rsidR="083C67CD" w:rsidRPr="003D1E07">
        <w:rPr>
          <w:lang w:eastAsia="en-US"/>
        </w:rPr>
        <w:t xml:space="preserve">na </w:t>
      </w:r>
      <w:r w:rsidR="081D7997" w:rsidRPr="003D1E07">
        <w:rPr>
          <w:lang w:eastAsia="en-US"/>
        </w:rPr>
        <w:t xml:space="preserve">původní dění bytí vztažené pobytu smrtelníka </w:t>
      </w:r>
      <w:r w:rsidR="083C67CD" w:rsidRPr="003D1E07">
        <w:rPr>
          <w:lang w:eastAsia="en-US"/>
        </w:rPr>
        <w:t>(</w:t>
      </w:r>
      <w:r w:rsidR="085452ED" w:rsidRPr="003D1E07">
        <w:rPr>
          <w:i/>
        </w:rPr>
        <w:t>Ek-</w:t>
      </w:r>
      <w:r w:rsidR="083C67CD" w:rsidRPr="003D1E07">
        <w:rPr>
          <w:i/>
        </w:rPr>
        <w:t>sistenz</w:t>
      </w:r>
      <w:r w:rsidR="083C67CD" w:rsidRPr="003D1E07">
        <w:rPr>
          <w:i/>
        </w:rPr>
        <w:fldChar w:fldCharType="begin"/>
      </w:r>
      <w:r w:rsidR="083C67CD" w:rsidRPr="003D1E07">
        <w:instrText xml:space="preserve"> XE "</w:instrText>
      </w:r>
      <w:r w:rsidR="083C67CD" w:rsidRPr="003D1E07">
        <w:rPr>
          <w:i/>
        </w:rPr>
        <w:instrText>Ek-sistenz</w:instrText>
      </w:r>
      <w:r w:rsidR="083C67CD" w:rsidRPr="003D1E07">
        <w:instrText xml:space="preserve">" </w:instrText>
      </w:r>
      <w:r w:rsidR="083C67CD" w:rsidRPr="003D1E07">
        <w:rPr>
          <w:i/>
        </w:rPr>
        <w:fldChar w:fldCharType="end"/>
      </w:r>
      <w:r w:rsidR="083C67CD" w:rsidRPr="003D1E07">
        <w:rPr>
          <w:lang w:eastAsia="en-US"/>
        </w:rPr>
        <w:t>).</w:t>
      </w:r>
      <w:r w:rsidR="083C67CD" w:rsidRPr="003D1E07">
        <w:rPr>
          <w:rStyle w:val="Znakapoznpodarou"/>
          <w:lang w:eastAsia="en-US"/>
        </w:rPr>
        <w:footnoteReference w:id="108"/>
      </w:r>
      <w:r w:rsidR="083C67CD" w:rsidRPr="003D1E07">
        <w:rPr>
          <w:lang w:eastAsia="en-US"/>
        </w:rPr>
        <w:t xml:space="preserve"> </w:t>
      </w:r>
      <w:r w:rsidR="08A9557E" w:rsidRPr="003D1E07">
        <w:rPr>
          <w:lang w:eastAsia="en-US"/>
        </w:rPr>
        <w:t xml:space="preserve">Hermeneutický termín „exsistence“ </w:t>
      </w:r>
      <w:r w:rsidR="00D905AB">
        <w:t>(</w:t>
      </w:r>
      <w:r w:rsidR="00D905AB" w:rsidRPr="0099478F">
        <w:rPr>
          <w:i/>
        </w:rPr>
        <w:t>exsistere</w:t>
      </w:r>
      <w:r w:rsidR="00D905AB">
        <w:rPr>
          <w:i/>
        </w:rPr>
        <w:fldChar w:fldCharType="begin"/>
      </w:r>
      <w:r w:rsidR="00D905AB">
        <w:instrText xml:space="preserve"> XE "</w:instrText>
      </w:r>
      <w:r w:rsidR="00D905AB" w:rsidRPr="00494E87">
        <w:rPr>
          <w:i/>
        </w:rPr>
        <w:instrText>exsistere</w:instrText>
      </w:r>
      <w:r w:rsidR="00D905AB">
        <w:instrText xml:space="preserve">" </w:instrText>
      </w:r>
      <w:r w:rsidR="00D905AB">
        <w:rPr>
          <w:i/>
        </w:rPr>
        <w:fldChar w:fldCharType="end"/>
      </w:r>
      <w:r w:rsidR="00D905AB">
        <w:t xml:space="preserve">) </w:t>
      </w:r>
      <w:r w:rsidR="08A9557E" w:rsidRPr="003D1E07">
        <w:rPr>
          <w:lang w:eastAsia="en-US"/>
        </w:rPr>
        <w:t xml:space="preserve">užitý pro popis objektivních forem jsoucna v následujících </w:t>
      </w:r>
      <w:r w:rsidR="08F61EBC" w:rsidRPr="003D1E07">
        <w:rPr>
          <w:lang w:eastAsia="en-US"/>
        </w:rPr>
        <w:t xml:space="preserve">analýzách </w:t>
      </w:r>
      <w:r w:rsidR="08A9557E" w:rsidRPr="003D1E07">
        <w:rPr>
          <w:lang w:eastAsia="en-US"/>
        </w:rPr>
        <w:t>se zásadně liší od původní</w:t>
      </w:r>
      <w:r w:rsidR="085637FF" w:rsidRPr="003D1E07">
        <w:rPr>
          <w:lang w:eastAsia="en-US"/>
        </w:rPr>
        <w:t xml:space="preserve">ho Heideggerova tázání po bytí, v němž myšlení dané skrze </w:t>
      </w:r>
      <w:r w:rsidR="085452ED" w:rsidRPr="003D1E07">
        <w:rPr>
          <w:i/>
        </w:rPr>
        <w:t>Ek-</w:t>
      </w:r>
      <w:r w:rsidR="085637FF" w:rsidRPr="003D1E07">
        <w:rPr>
          <w:i/>
        </w:rPr>
        <w:t>sistenz</w:t>
      </w:r>
      <w:r w:rsidR="085637FF" w:rsidRPr="003D1E07">
        <w:rPr>
          <w:lang w:eastAsia="en-US"/>
        </w:rPr>
        <w:t xml:space="preserve"> smrtelníka odpovídá na epochální výzvu bytí. </w:t>
      </w:r>
      <w:r w:rsidR="08A9557E" w:rsidRPr="003D1E07">
        <w:rPr>
          <w:lang w:eastAsia="en-US"/>
        </w:rPr>
        <w:t xml:space="preserve">Setrváním v této základní otázce myšlení zůstává </w:t>
      </w:r>
      <w:r w:rsidR="085637FF" w:rsidRPr="003D1E07">
        <w:rPr>
          <w:lang w:eastAsia="en-US"/>
        </w:rPr>
        <w:t xml:space="preserve">Heideggerovo </w:t>
      </w:r>
      <w:r w:rsidR="08A9557E" w:rsidRPr="003D1E07">
        <w:rPr>
          <w:lang w:eastAsia="en-US"/>
        </w:rPr>
        <w:t xml:space="preserve">„ek-sistenciální“ myšlení hermeneuticky bdělé a tím je bytostně vstřícné </w:t>
      </w:r>
      <w:r w:rsidR="08B938D8" w:rsidRPr="003D1E07">
        <w:rPr>
          <w:lang w:eastAsia="en-US"/>
        </w:rPr>
        <w:t xml:space="preserve">k původní události bytí </w:t>
      </w:r>
      <w:r w:rsidR="08A9557E" w:rsidRPr="003D1E07">
        <w:rPr>
          <w:lang w:eastAsia="en-US"/>
        </w:rPr>
        <w:t xml:space="preserve">v citovaném modu </w:t>
      </w:r>
      <w:r w:rsidR="08A9557E" w:rsidRPr="003D1E07">
        <w:rPr>
          <w:i/>
          <w:lang w:eastAsia="en-US"/>
        </w:rPr>
        <w:t>Andenken</w:t>
      </w:r>
      <w:r w:rsidR="084E7952" w:rsidRPr="003D1E07">
        <w:rPr>
          <w:lang w:eastAsia="en-US"/>
        </w:rPr>
        <w:t xml:space="preserve"> (kap. 1.2</w:t>
      </w:r>
      <w:r w:rsidR="08A9557E" w:rsidRPr="003D1E07">
        <w:rPr>
          <w:lang w:eastAsia="en-US"/>
        </w:rPr>
        <w:t>)</w:t>
      </w:r>
      <w:r w:rsidR="085637FF" w:rsidRPr="003D1E07">
        <w:rPr>
          <w:lang w:eastAsia="en-US"/>
        </w:rPr>
        <w:t xml:space="preserve">. </w:t>
      </w:r>
      <w:r w:rsidR="08AC45CB" w:rsidRPr="003D1E07">
        <w:rPr>
          <w:lang w:eastAsia="en-US"/>
        </w:rPr>
        <w:t xml:space="preserve">Zavedením ontoteologické predikace do metafyziky </w:t>
      </w:r>
      <w:r w:rsidR="08A9557E" w:rsidRPr="003D1E07">
        <w:rPr>
          <w:lang w:eastAsia="en-US"/>
        </w:rPr>
        <w:t xml:space="preserve">začala existence člověka a jím vytvořeného smyslu jsoucna odpovídat epochální výzvě simulákra daného jako nová forma jsoucna třetího druhu. </w:t>
      </w:r>
      <w:r w:rsidR="083C67CD" w:rsidRPr="003D1E07">
        <w:rPr>
          <w:lang w:eastAsia="en-US"/>
        </w:rPr>
        <w:t xml:space="preserve">Hermeneutika objektivity </w:t>
      </w:r>
      <w:r w:rsidR="08B938D8" w:rsidRPr="003D1E07">
        <w:rPr>
          <w:lang w:eastAsia="en-US"/>
        </w:rPr>
        <w:t xml:space="preserve">proto převádí termín </w:t>
      </w:r>
      <w:r w:rsidR="007C7CD4" w:rsidRPr="003D1E07">
        <w:rPr>
          <w:lang w:eastAsia="en-US"/>
        </w:rPr>
        <w:t>„</w:t>
      </w:r>
      <w:r w:rsidR="085452ED" w:rsidRPr="003D1E07">
        <w:rPr>
          <w:i/>
        </w:rPr>
        <w:t>Ek-</w:t>
      </w:r>
      <w:r w:rsidR="083C67CD" w:rsidRPr="003D1E07">
        <w:rPr>
          <w:i/>
        </w:rPr>
        <w:t>sistenz des Menschen</w:t>
      </w:r>
      <w:r w:rsidR="007C7CD4" w:rsidRPr="003D1E07">
        <w:t>“</w:t>
      </w:r>
      <w:r w:rsidR="007C7CD4" w:rsidRPr="003D1E07">
        <w:rPr>
          <w:lang w:eastAsia="en-US"/>
        </w:rPr>
        <w:t xml:space="preserve"> </w:t>
      </w:r>
      <w:r w:rsidR="083C67CD" w:rsidRPr="003D1E07">
        <w:rPr>
          <w:lang w:eastAsia="en-US"/>
        </w:rPr>
        <w:t xml:space="preserve">do </w:t>
      </w:r>
      <w:r w:rsidR="007C7CD4" w:rsidRPr="003D1E07">
        <w:rPr>
          <w:lang w:eastAsia="en-US"/>
        </w:rPr>
        <w:t>metafyziky</w:t>
      </w:r>
      <w:r w:rsidR="00001FE8">
        <w:rPr>
          <w:lang w:eastAsia="en-US"/>
        </w:rPr>
        <w:t xml:space="preserve"> Moderních</w:t>
      </w:r>
      <w:r w:rsidR="007C7CD4" w:rsidRPr="003D1E07">
        <w:rPr>
          <w:lang w:eastAsia="en-US"/>
        </w:rPr>
        <w:t xml:space="preserve">. Simulakrum existence </w:t>
      </w:r>
      <w:r w:rsidR="083C67CD" w:rsidRPr="003D1E07">
        <w:rPr>
          <w:lang w:eastAsia="en-US"/>
        </w:rPr>
        <w:t xml:space="preserve">tvoří základ nové metafyziky dané v modu </w:t>
      </w:r>
      <w:r w:rsidR="083C67CD" w:rsidRPr="003D1E07">
        <w:rPr>
          <w:i/>
          <w:lang w:eastAsia="en-US"/>
        </w:rPr>
        <w:t>Seinsvergessenheit</w:t>
      </w:r>
      <w:r w:rsidR="083C67CD" w:rsidRPr="003D1E07">
        <w:rPr>
          <w:i/>
          <w:lang w:eastAsia="en-US"/>
        </w:rPr>
        <w:fldChar w:fldCharType="begin"/>
      </w:r>
      <w:r w:rsidR="083C67CD" w:rsidRPr="003D1E07">
        <w:instrText xml:space="preserve"> XE "</w:instrText>
      </w:r>
      <w:r w:rsidR="083C67CD" w:rsidRPr="003D1E07">
        <w:rPr>
          <w:i/>
        </w:rPr>
        <w:instrText>Seinsvergessenheit</w:instrText>
      </w:r>
      <w:r w:rsidR="083C67CD" w:rsidRPr="003D1E07">
        <w:instrText xml:space="preserve">" </w:instrText>
      </w:r>
      <w:r w:rsidR="083C67CD" w:rsidRPr="003D1E07">
        <w:rPr>
          <w:i/>
          <w:lang w:eastAsia="en-US"/>
        </w:rPr>
        <w:fldChar w:fldCharType="end"/>
      </w:r>
      <w:r w:rsidR="083C67CD" w:rsidRPr="003D1E07">
        <w:rPr>
          <w:lang w:eastAsia="en-US"/>
        </w:rPr>
        <w:t xml:space="preserve"> a </w:t>
      </w:r>
      <w:r w:rsidR="083C67CD" w:rsidRPr="003D1E07">
        <w:rPr>
          <w:i/>
          <w:lang w:eastAsia="en-US"/>
        </w:rPr>
        <w:t>Irrtum</w:t>
      </w:r>
      <w:r w:rsidR="083C67CD" w:rsidRPr="003D1E07">
        <w:rPr>
          <w:i/>
        </w:rPr>
        <w:fldChar w:fldCharType="begin"/>
      </w:r>
      <w:r w:rsidR="083C67CD" w:rsidRPr="003D1E07">
        <w:instrText xml:space="preserve"> XE "</w:instrText>
      </w:r>
      <w:r w:rsidR="083C67CD" w:rsidRPr="003D1E07">
        <w:rPr>
          <w:i/>
        </w:rPr>
        <w:instrText>Irrtum</w:instrText>
      </w:r>
      <w:r w:rsidR="083C67CD" w:rsidRPr="003D1E07">
        <w:instrText xml:space="preserve">" </w:instrText>
      </w:r>
      <w:r w:rsidR="083C67CD" w:rsidRPr="003D1E07">
        <w:rPr>
          <w:i/>
        </w:rPr>
        <w:fldChar w:fldCharType="end"/>
      </w:r>
      <w:r w:rsidR="083C67CD" w:rsidRPr="003D1E07">
        <w:rPr>
          <w:lang w:eastAsia="en-US"/>
        </w:rPr>
        <w:t xml:space="preserve">. </w:t>
      </w:r>
      <w:r w:rsidR="006948F4" w:rsidRPr="003D1E07">
        <w:rPr>
          <w:lang w:eastAsia="en-US"/>
        </w:rPr>
        <w:t>Nová forma „ek-</w:t>
      </w:r>
      <w:r w:rsidR="00362978" w:rsidRPr="003D1E07">
        <w:rPr>
          <w:lang w:eastAsia="en-US"/>
        </w:rPr>
        <w:t>sistence“ se týká změn ve scholastice</w:t>
      </w:r>
      <w:r w:rsidR="08F75985" w:rsidRPr="003D1E07">
        <w:rPr>
          <w:lang w:eastAsia="en-US"/>
        </w:rPr>
        <w:t xml:space="preserve"> </w:t>
      </w:r>
      <w:r w:rsidR="00362978" w:rsidRPr="003D1E07">
        <w:rPr>
          <w:lang w:eastAsia="en-US"/>
        </w:rPr>
        <w:t>produkující objektivitu</w:t>
      </w:r>
      <w:r w:rsidR="08F75985" w:rsidRPr="003D1E07">
        <w:rPr>
          <w:lang w:eastAsia="en-US"/>
        </w:rPr>
        <w:t xml:space="preserve"> ve věku začínajícího metafyzického nihilismu.</w:t>
      </w:r>
      <w:r w:rsidR="08D60B92" w:rsidRPr="003D1E07">
        <w:rPr>
          <w:lang w:eastAsia="en-US"/>
        </w:rPr>
        <w:t xml:space="preserve"> V novém rozvrhu ontoteologie dostalo jsoucno třetího druhu novou formu </w:t>
      </w:r>
      <w:r w:rsidR="002322AB" w:rsidRPr="003D1E07">
        <w:rPr>
          <w:lang w:eastAsia="en-US"/>
        </w:rPr>
        <w:t>„</w:t>
      </w:r>
      <w:r w:rsidR="08D60B92" w:rsidRPr="003D1E07">
        <w:rPr>
          <w:lang w:eastAsia="en-US"/>
        </w:rPr>
        <w:t>ex</w:t>
      </w:r>
      <w:r w:rsidR="002322AB" w:rsidRPr="003D1E07">
        <w:rPr>
          <w:lang w:eastAsia="en-US"/>
        </w:rPr>
        <w:t>s</w:t>
      </w:r>
      <w:r w:rsidR="08D60B92" w:rsidRPr="003D1E07">
        <w:rPr>
          <w:lang w:eastAsia="en-US"/>
        </w:rPr>
        <w:t>istence</w:t>
      </w:r>
      <w:r w:rsidR="002322AB" w:rsidRPr="003D1E07">
        <w:rPr>
          <w:lang w:eastAsia="en-US"/>
        </w:rPr>
        <w:t>“</w:t>
      </w:r>
      <w:r w:rsidR="08D60B92" w:rsidRPr="003D1E07">
        <w:rPr>
          <w:lang w:eastAsia="en-US"/>
        </w:rPr>
        <w:t xml:space="preserve">, kterou Rufus z Cornwallu traktuje v modu </w:t>
      </w:r>
      <w:r w:rsidR="0034040A" w:rsidRPr="003D1E07">
        <w:rPr>
          <w:i/>
          <w:lang w:eastAsia="en-US"/>
        </w:rPr>
        <w:t>ex</w:t>
      </w:r>
      <w:r w:rsidR="08D60B92" w:rsidRPr="003D1E07">
        <w:rPr>
          <w:i/>
          <w:lang w:eastAsia="en-US"/>
        </w:rPr>
        <w:t>sistere</w:t>
      </w:r>
      <w:r w:rsidR="08D60B92" w:rsidRPr="003D1E07">
        <w:rPr>
          <w:i/>
          <w:lang w:eastAsia="en-US"/>
        </w:rPr>
        <w:fldChar w:fldCharType="begin"/>
      </w:r>
      <w:r w:rsidR="08D60B92" w:rsidRPr="003D1E07">
        <w:instrText xml:space="preserve"> XE "</w:instrText>
      </w:r>
      <w:r w:rsidR="08D60B92" w:rsidRPr="003D1E07">
        <w:rPr>
          <w:i/>
        </w:rPr>
        <w:instrText>exsistere:</w:instrText>
      </w:r>
      <w:r w:rsidR="08D60B92" w:rsidRPr="003D1E07">
        <w:instrText xml:space="preserve">Rufus" </w:instrText>
      </w:r>
      <w:r w:rsidR="08D60B92" w:rsidRPr="003D1E07">
        <w:rPr>
          <w:i/>
          <w:lang w:eastAsia="en-US"/>
        </w:rPr>
        <w:fldChar w:fldCharType="end"/>
      </w:r>
      <w:r w:rsidR="08D60B92" w:rsidRPr="003D1E07">
        <w:rPr>
          <w:szCs w:val="22"/>
        </w:rPr>
        <w:t xml:space="preserve"> </w:t>
      </w:r>
      <w:r w:rsidR="08D60B92" w:rsidRPr="003D1E07">
        <w:rPr>
          <w:lang w:eastAsia="en-US"/>
        </w:rPr>
        <w:t>(</w:t>
      </w:r>
      <w:r w:rsidR="08F5528A" w:rsidRPr="003D1E07">
        <w:rPr>
          <w:lang w:eastAsia="en-US"/>
        </w:rPr>
        <w:t xml:space="preserve">OBJ II, </w:t>
      </w:r>
      <w:r w:rsidR="08D60B92" w:rsidRPr="003D1E07">
        <w:rPr>
          <w:lang w:eastAsia="en-US"/>
        </w:rPr>
        <w:t xml:space="preserve">kap. </w:t>
      </w:r>
      <w:r w:rsidR="08F5528A" w:rsidRPr="003D1E07">
        <w:rPr>
          <w:szCs w:val="22"/>
        </w:rPr>
        <w:t>3</w:t>
      </w:r>
      <w:r w:rsidR="08D60B92" w:rsidRPr="003D1E07">
        <w:rPr>
          <w:szCs w:val="22"/>
        </w:rPr>
        <w:t>.3.2</w:t>
      </w:r>
      <w:r w:rsidR="08D60B92" w:rsidRPr="003D1E07">
        <w:rPr>
          <w:lang w:eastAsia="en-US"/>
        </w:rPr>
        <w:t>).</w:t>
      </w:r>
      <w:r w:rsidR="00B50348">
        <w:t xml:space="preserve"> </w:t>
      </w:r>
      <w:r w:rsidR="082703A2" w:rsidRPr="003D1E07">
        <w:t>Al-Fárábího změněný status existence jsoucna založil první formu transcendentální filosofie, bez které by Kant</w:t>
      </w:r>
      <w:r w:rsidR="082703A2" w:rsidRPr="003D1E07">
        <w:fldChar w:fldCharType="begin"/>
      </w:r>
      <w:r w:rsidR="082703A2" w:rsidRPr="003D1E07">
        <w:instrText xml:space="preserve"> XE "Kant, I." </w:instrText>
      </w:r>
      <w:r w:rsidR="082703A2" w:rsidRPr="003D1E07">
        <w:fldChar w:fldCharType="end"/>
      </w:r>
      <w:r w:rsidR="082703A2" w:rsidRPr="003D1E07">
        <w:t xml:space="preserve"> nemohl udělat postmoderní výměr objektivi</w:t>
      </w:r>
      <w:r w:rsidR="004D1CBA">
        <w:t>ty podaný v jeho první a druhé K</w:t>
      </w:r>
      <w:r w:rsidR="082703A2" w:rsidRPr="003D1E07">
        <w:t>ritice</w:t>
      </w:r>
      <w:r w:rsidR="00BF192A">
        <w:t xml:space="preserve"> (kap. 1)</w:t>
      </w:r>
      <w:r w:rsidR="082703A2" w:rsidRPr="003D1E07">
        <w:t>.</w:t>
      </w:r>
      <w:r w:rsidR="00C804EE">
        <w:rPr>
          <w:lang w:eastAsia="en-US"/>
        </w:rPr>
        <w:t xml:space="preserve"> </w:t>
      </w:r>
      <w:r w:rsidR="00434F0C">
        <w:rPr>
          <w:lang w:eastAsia="en-US"/>
        </w:rPr>
        <w:t>N</w:t>
      </w:r>
      <w:r w:rsidR="08911243" w:rsidRPr="003D1E07">
        <w:t>ový diakosmo</w:t>
      </w:r>
      <w:r w:rsidR="08ED6ADA" w:rsidRPr="003D1E07">
        <w:t>s</w:t>
      </w:r>
      <w:r w:rsidR="08911243" w:rsidRPr="003D1E07">
        <w:t xml:space="preserve"> </w:t>
      </w:r>
      <w:r w:rsidR="08ED6ADA" w:rsidRPr="003D1E07">
        <w:t>je postavený</w:t>
      </w:r>
      <w:r w:rsidR="08911243" w:rsidRPr="003D1E07">
        <w:t xml:space="preserve"> na roz</w:t>
      </w:r>
      <w:r w:rsidR="08ED6ADA" w:rsidRPr="003D1E07">
        <w:t>díl od předešlého neoplaton</w:t>
      </w:r>
      <w:r w:rsidR="08911243" w:rsidRPr="003D1E07">
        <w:t>i</w:t>
      </w:r>
      <w:r w:rsidR="08ED6ADA" w:rsidRPr="003D1E07">
        <w:t>s</w:t>
      </w:r>
      <w:r w:rsidR="08911243" w:rsidRPr="003D1E07">
        <w:t>mu již čistě monoteisticky</w:t>
      </w:r>
      <w:r w:rsidR="08D32A0B" w:rsidRPr="003D1E07">
        <w:t xml:space="preserve"> a nemá emanační model daný sestupem neoplatonských hypostází od Jednoho</w:t>
      </w:r>
      <w:r w:rsidR="08911243" w:rsidRPr="003D1E07">
        <w:t>. D</w:t>
      </w:r>
      <w:r w:rsidR="08ED6ADA" w:rsidRPr="003D1E07">
        <w:t xml:space="preserve">ruhý mistr </w:t>
      </w:r>
      <w:r w:rsidR="08DF15BF" w:rsidRPr="003D1E07">
        <w:t xml:space="preserve">jako věrný </w:t>
      </w:r>
      <w:r w:rsidR="08635634" w:rsidRPr="003D1E07">
        <w:t xml:space="preserve">vyznavač </w:t>
      </w:r>
      <w:r w:rsidR="08DF15BF" w:rsidRPr="003D1E07">
        <w:t>islámu</w:t>
      </w:r>
      <w:r w:rsidR="084E79D7" w:rsidRPr="003D1E07">
        <w:fldChar w:fldCharType="begin"/>
      </w:r>
      <w:r w:rsidR="084E79D7" w:rsidRPr="003D1E07">
        <w:instrText xml:space="preserve"> XE "islám" </w:instrText>
      </w:r>
      <w:r w:rsidR="084E79D7" w:rsidRPr="003D1E07">
        <w:fldChar w:fldCharType="end"/>
      </w:r>
      <w:r w:rsidR="08DF15BF" w:rsidRPr="003D1E07">
        <w:t xml:space="preserve"> </w:t>
      </w:r>
      <w:r w:rsidR="08635634" w:rsidRPr="003D1E07">
        <w:t xml:space="preserve">respektuje ve své filosofii </w:t>
      </w:r>
      <w:r w:rsidR="08DF15BF" w:rsidRPr="003D1E07">
        <w:t xml:space="preserve">absolutní </w:t>
      </w:r>
      <w:r w:rsidR="08635634" w:rsidRPr="003D1E07">
        <w:t xml:space="preserve">a nepřekročitelný </w:t>
      </w:r>
      <w:r w:rsidR="08911243" w:rsidRPr="003D1E07">
        <w:t xml:space="preserve">rozdíl mezi Stvořitelem </w:t>
      </w:r>
      <w:r w:rsidR="08ED6ADA" w:rsidRPr="003D1E07">
        <w:t>a stvořením</w:t>
      </w:r>
      <w:r w:rsidR="08C917F1" w:rsidRPr="003D1E07">
        <w:t xml:space="preserve">. </w:t>
      </w:r>
      <w:r w:rsidR="08346125" w:rsidRPr="003D1E07">
        <w:t xml:space="preserve">Falsafa </w:t>
      </w:r>
      <w:r w:rsidR="00BF27A8">
        <w:t>spojila</w:t>
      </w:r>
      <w:r w:rsidR="08346125" w:rsidRPr="003D1E07">
        <w:t xml:space="preserve"> myšlení obou antických velikánů v prostředí přísného islámského monoteismu, a nikoliv bezbřehého synkretismu pozdní antiky. </w:t>
      </w:r>
      <w:r w:rsidR="00BF27A8">
        <w:t>Alfarábí proto použil Aristotelovu</w:t>
      </w:r>
      <w:r w:rsidR="08346125" w:rsidRPr="003D1E07">
        <w:t xml:space="preserve"> kategoriální predikaci první materiální substance, která nemá henologický, theurgický a mystický charakter přímo napojený na bytí Jednoho. </w:t>
      </w:r>
      <w:r w:rsidR="08C917F1" w:rsidRPr="003D1E07">
        <w:t xml:space="preserve">To </w:t>
      </w:r>
      <w:r w:rsidR="08ED6ADA" w:rsidRPr="003D1E07">
        <w:t xml:space="preserve">byl zásadní důvod, proč </w:t>
      </w:r>
      <w:r w:rsidR="00FE77FA">
        <w:t xml:space="preserve">odmítl </w:t>
      </w:r>
      <w:r w:rsidR="08ED6ADA" w:rsidRPr="003D1E07">
        <w:t>Jamblich</w:t>
      </w:r>
      <w:r w:rsidR="08911243" w:rsidRPr="003D1E07">
        <w:t>ův diako</w:t>
      </w:r>
      <w:r w:rsidR="08ED6ADA" w:rsidRPr="003D1E07">
        <w:t>s</w:t>
      </w:r>
      <w:r w:rsidR="08911243" w:rsidRPr="003D1E07">
        <w:t>m</w:t>
      </w:r>
      <w:r w:rsidR="08ED6ADA" w:rsidRPr="003D1E07">
        <w:t>o</w:t>
      </w:r>
      <w:r w:rsidR="08911243" w:rsidRPr="003D1E07">
        <w:t>s nižších t</w:t>
      </w:r>
      <w:r w:rsidR="08ED6ADA" w:rsidRPr="003D1E07">
        <w:t>h</w:t>
      </w:r>
      <w:r w:rsidR="08911243" w:rsidRPr="003D1E07">
        <w:t xml:space="preserve">eurgických božstev. </w:t>
      </w:r>
      <w:r w:rsidR="085E48A1" w:rsidRPr="003D1E07">
        <w:t>O</w:t>
      </w:r>
      <w:r w:rsidR="08911243" w:rsidRPr="003D1E07">
        <w:t xml:space="preserve">bjektivní formu západní monoteistické onteotelogie </w:t>
      </w:r>
      <w:r w:rsidR="087E7978" w:rsidRPr="003D1E07">
        <w:t>najdeme v Al</w:t>
      </w:r>
      <w:r w:rsidR="087E7978" w:rsidRPr="003D1E07">
        <w:noBreakHyphen/>
        <w:t xml:space="preserve">Fárábího spisu, jenž  harmonizuje učení Platona a Aristotela. Spis </w:t>
      </w:r>
      <w:r w:rsidR="087E7978" w:rsidRPr="003D1E07">
        <w:lastRenderedPageBreak/>
        <w:t xml:space="preserve">o harmonii mezi Platonem a Aristotelem umísťuje do boha všechny stvořitelské formy, což Avicenna </w:t>
      </w:r>
      <w:r w:rsidR="08CB1428" w:rsidRPr="003D1E07">
        <w:t xml:space="preserve">později </w:t>
      </w:r>
      <w:r w:rsidR="087E7978" w:rsidRPr="003D1E07">
        <w:t>podává v konceptu čin</w:t>
      </w:r>
      <w:r w:rsidR="002329F2">
        <w:t>ného kosmického intelektu jako d</w:t>
      </w:r>
      <w:r w:rsidR="087E7978" w:rsidRPr="003D1E07">
        <w:t>árce stvořených forem (</w:t>
      </w:r>
      <w:r w:rsidR="004319BF" w:rsidRPr="004319BF">
        <w:rPr>
          <w:i/>
        </w:rPr>
        <w:t>Dator formarum</w:t>
      </w:r>
      <w:r w:rsidR="087E7978" w:rsidRPr="003D1E07">
        <w:rPr>
          <w:i/>
        </w:rPr>
        <w:fldChar w:fldCharType="begin"/>
      </w:r>
      <w:r w:rsidR="087E7978" w:rsidRPr="003D1E07">
        <w:instrText xml:space="preserve"> XE "</w:instrText>
      </w:r>
      <w:r w:rsidR="087E7978" w:rsidRPr="003D1E07">
        <w:rPr>
          <w:i/>
        </w:rPr>
        <w:instrText>Dator formarum</w:instrText>
      </w:r>
      <w:r w:rsidR="087E7978" w:rsidRPr="003D1E07">
        <w:instrText xml:space="preserve">" </w:instrText>
      </w:r>
      <w:r w:rsidR="087E7978" w:rsidRPr="003D1E07">
        <w:rPr>
          <w:i/>
        </w:rPr>
        <w:fldChar w:fldCharType="end"/>
      </w:r>
      <w:r w:rsidR="087E7978" w:rsidRPr="003D1E07">
        <w:t>). Následující pasáž popisuje jednoduché a oddělené boží bytí, které v sobě o</w:t>
      </w:r>
      <w:r w:rsidR="00DB2DE2">
        <w:t xml:space="preserve">bsahuje virtuální mnohost forem. Tato forma mytopoetické ontoteologie </w:t>
      </w:r>
      <w:r w:rsidR="083A1D82" w:rsidRPr="003D1E07">
        <w:t xml:space="preserve">zakládá původní </w:t>
      </w:r>
      <w:r w:rsidR="083A1D82" w:rsidRPr="003D1E07">
        <w:rPr>
          <w:i/>
        </w:rPr>
        <w:t>Lichtung</w:t>
      </w:r>
      <w:r w:rsidR="083A1D82" w:rsidRPr="003D1E07">
        <w:t xml:space="preserve"> západní objektivity</w:t>
      </w:r>
      <w:r w:rsidR="001729BD">
        <w:t xml:space="preserve"> (</w:t>
      </w:r>
      <w:r w:rsidR="001729BD" w:rsidRPr="001729BD">
        <w:rPr>
          <w:i/>
        </w:rPr>
        <w:t>ortus scientiarum</w:t>
      </w:r>
      <w:r w:rsidR="001729BD">
        <w:rPr>
          <w:i/>
        </w:rPr>
        <w:fldChar w:fldCharType="begin"/>
      </w:r>
      <w:r w:rsidR="001729BD">
        <w:instrText xml:space="preserve"> XE "</w:instrText>
      </w:r>
      <w:r w:rsidR="001729BD" w:rsidRPr="00301172">
        <w:rPr>
          <w:i/>
        </w:rPr>
        <w:instrText>ortus scientiarum</w:instrText>
      </w:r>
      <w:r w:rsidR="001729BD">
        <w:instrText xml:space="preserve">" </w:instrText>
      </w:r>
      <w:r w:rsidR="001729BD">
        <w:rPr>
          <w:i/>
        </w:rPr>
        <w:fldChar w:fldCharType="end"/>
      </w:r>
      <w:r w:rsidR="001729BD">
        <w:t>)</w:t>
      </w:r>
      <w:r w:rsidR="083A1D82" w:rsidRPr="003D1E07">
        <w:t>.</w:t>
      </w:r>
    </w:p>
    <w:p w14:paraId="501D14FE" w14:textId="77777777" w:rsidR="087E7978" w:rsidRPr="003D1E07" w:rsidRDefault="087E7978" w:rsidP="087E7978">
      <w:pPr>
        <w:pStyle w:val="Citace"/>
        <w:rPr>
          <w:noProof/>
          <w:lang w:val="cs-CZ"/>
        </w:rPr>
      </w:pPr>
      <w:r w:rsidRPr="003D1E07">
        <w:rPr>
          <w:noProof/>
          <w:lang w:val="cs-CZ"/>
        </w:rPr>
        <w:t>„Bůh, budiž mu vzdána chvála, je živoucí a povolal do bytí tento svět se vším, co na něm existuje; pak je nutné, aby v jeho vznešeném a nejvyšším bytí existovaly formy všeho, co zamýšlel stvořit.“ </w:t>
      </w:r>
      <w:r w:rsidRPr="003D1E07">
        <w:rPr>
          <w:rStyle w:val="Znakapoznpodarou"/>
          <w:noProof/>
          <w:lang w:val="cs-CZ"/>
        </w:rPr>
        <w:footnoteReference w:id="109"/>
      </w:r>
    </w:p>
    <w:p w14:paraId="06BB2F77" w14:textId="65E964FE" w:rsidR="084E76CD" w:rsidRPr="003D1E07" w:rsidRDefault="087E7978" w:rsidP="083E367D">
      <w:r w:rsidRPr="003D1E07">
        <w:t xml:space="preserve">Al-Fárábí zmiňuje preexistenci forem v boží mysli, ale nerozbírá jejich </w:t>
      </w:r>
      <w:r w:rsidR="083A1D82" w:rsidRPr="003D1E07">
        <w:t xml:space="preserve">metafyzický </w:t>
      </w:r>
      <w:r w:rsidRPr="003D1E07">
        <w:t>status. Lze jej chápat jak v emanační teorii neoplatonismu, tak i v</w:t>
      </w:r>
      <w:r w:rsidR="0067229C" w:rsidRPr="003D1E07">
        <w:t xml:space="preserve"> aristotelském </w:t>
      </w:r>
      <w:r w:rsidRPr="003D1E07">
        <w:t>myšlení nehybného Hybatele, který kontempluje vlastní aktualitu a dokonalost. Tuto nejasnost vyřeší Abunaserův současník Ibn Ádí a později i Avicenna, kteří dokončí ontoteologickou strukturu metafyziky načrtnutou v citované preexistenci forem v boží mysli</w:t>
      </w:r>
      <w:r w:rsidRPr="003D1E07">
        <w:fldChar w:fldCharType="begin"/>
      </w:r>
      <w:r w:rsidRPr="003D1E07">
        <w:instrText xml:space="preserve"> XE "metafyzika:nasvícení zezadu" </w:instrText>
      </w:r>
      <w:r w:rsidRPr="003D1E07">
        <w:fldChar w:fldCharType="end"/>
      </w:r>
      <w:r w:rsidRPr="003D1E07">
        <w:t>. Vzor nové syntézy se nachází u Jamblicha, viz jeho trinitární strukturu dia</w:t>
      </w:r>
      <w:r w:rsidR="08AF6B7D" w:rsidRPr="003D1E07">
        <w:t>kosmických inteligencí (kap. 1.3</w:t>
      </w:r>
      <w:r w:rsidRPr="003D1E07">
        <w:t xml:space="preserve">.1). </w:t>
      </w:r>
      <w:r w:rsidRPr="003D1E07">
        <w:rPr>
          <w:lang w:eastAsia="en-US"/>
        </w:rPr>
        <w:t xml:space="preserve">Toto paradoxní spojení Mnohého a Jednoho je možné jen na úrovni věčné boží mysli, kam nová forma </w:t>
      </w:r>
      <w:r w:rsidR="08FF410C" w:rsidRPr="003D1E07">
        <w:rPr>
          <w:lang w:eastAsia="en-US"/>
        </w:rPr>
        <w:t xml:space="preserve">lidského </w:t>
      </w:r>
      <w:r w:rsidRPr="003D1E07">
        <w:rPr>
          <w:lang w:eastAsia="en-US"/>
        </w:rPr>
        <w:t xml:space="preserve">intelektu dohlédne skrze analogii danou na úrovni formální a transcendentální predikace jsoucen třetího druhu. </w:t>
      </w:r>
      <w:r w:rsidR="00F948B6" w:rsidRPr="003D1E07">
        <w:rPr>
          <w:lang w:eastAsia="en-US"/>
        </w:rPr>
        <w:t xml:space="preserve">Boží </w:t>
      </w:r>
      <w:r w:rsidRPr="003D1E07">
        <w:t xml:space="preserve">vědění jako reflexivní sebevědomí </w:t>
      </w:r>
      <w:r w:rsidR="00BC5C18" w:rsidRPr="003D1E07">
        <w:t xml:space="preserve">charakterizuje </w:t>
      </w:r>
      <w:r w:rsidRPr="003D1E07">
        <w:t>výše citovaný komentář k Aristotelově filosofii, v němž Al-Fárábí formou otázek a odpovědí prochází základní filosofické termíny a klíčové problémy metafyziky.</w:t>
      </w:r>
      <w:r w:rsidRPr="003D1E07">
        <w:rPr>
          <w:rStyle w:val="Znakapoznpodarou"/>
        </w:rPr>
        <w:footnoteReference w:id="110"/>
      </w:r>
      <w:r w:rsidRPr="003D1E07">
        <w:t xml:space="preserve"> Díky nově podané ontoteologii</w:t>
      </w:r>
      <w:r w:rsidRPr="003D1E07">
        <w:fldChar w:fldCharType="begin"/>
      </w:r>
      <w:r w:rsidRPr="003D1E07">
        <w:instrText xml:space="preserve"> XE "</w:instrText>
      </w:r>
      <w:r w:rsidRPr="003D1E07">
        <w:rPr>
          <w:rStyle w:val="addmd"/>
        </w:rPr>
        <w:instrText>ontoteologie:Al-Fárábí</w:instrText>
      </w:r>
      <w:r w:rsidRPr="003D1E07">
        <w:instrText xml:space="preserve">" </w:instrText>
      </w:r>
      <w:r w:rsidRPr="003D1E07">
        <w:fldChar w:fldCharType="end"/>
      </w:r>
      <w:r w:rsidRPr="003D1E07">
        <w:t xml:space="preserve"> je možné nové určení substance a esence vytvořené na základě nového smyslu bytí</w:t>
      </w:r>
      <w:r w:rsidR="084F4B45" w:rsidRPr="003D1E07">
        <w:t xml:space="preserve"> jsoucna</w:t>
      </w:r>
      <w:r w:rsidRPr="003D1E07">
        <w:t xml:space="preserve">. </w:t>
      </w:r>
      <w:r w:rsidR="084F4B45" w:rsidRPr="003D1E07">
        <w:t>S</w:t>
      </w:r>
      <w:r w:rsidRPr="003D1E07">
        <w:t>mysl idejí a forem skrytých v bohu</w:t>
      </w:r>
      <w:r w:rsidR="08E21685" w:rsidRPr="003D1E07">
        <w:t xml:space="preserve"> </w:t>
      </w:r>
      <w:r w:rsidR="08427D1F" w:rsidRPr="003D1E07">
        <w:t xml:space="preserve">jako </w:t>
      </w:r>
      <w:r w:rsidR="08147EE3" w:rsidRPr="003D1E07">
        <w:rPr>
          <w:i/>
        </w:rPr>
        <w:t>tertium ens</w:t>
      </w:r>
      <w:r w:rsidR="08147EE3" w:rsidRPr="003D1E07">
        <w:t xml:space="preserve"> </w:t>
      </w:r>
      <w:r w:rsidR="08E21685" w:rsidRPr="003D1E07">
        <w:t xml:space="preserve">je v </w:t>
      </w:r>
      <w:r w:rsidR="005D794F">
        <w:t xml:space="preserve">ontologicky nelišný ve smyslu latinského slova </w:t>
      </w:r>
      <w:r w:rsidRPr="003D1E07">
        <w:rPr>
          <w:i/>
        </w:rPr>
        <w:t>neutrum</w:t>
      </w:r>
      <w:r w:rsidR="005D794F">
        <w:t xml:space="preserve"> </w:t>
      </w:r>
      <w:r w:rsidRPr="003D1E07">
        <w:t>vzhledem k bytí a nebytí hyparchické první substance</w:t>
      </w:r>
      <w:r w:rsidR="000E1E8D">
        <w:t xml:space="preserve">. Ta </w:t>
      </w:r>
      <w:r w:rsidRPr="003D1E07">
        <w:t>preexistuje v boží mysli jako zvláštní druh archetypické potence</w:t>
      </w:r>
      <w:r w:rsidRPr="003D1E07">
        <w:fldChar w:fldCharType="begin"/>
      </w:r>
      <w:r w:rsidRPr="003D1E07">
        <w:instrText xml:space="preserve"> XE "objektivita:demiurgická" </w:instrText>
      </w:r>
      <w:r w:rsidRPr="003D1E07">
        <w:fldChar w:fldCharType="end"/>
      </w:r>
      <w:r w:rsidRPr="003D1E07">
        <w:t xml:space="preserve">. </w:t>
      </w:r>
      <w:r w:rsidR="086C1BD8" w:rsidRPr="003D1E07">
        <w:t>Zavedení objektivity je nerozlučně spojeno s tímto typem moderní metafyzické neutrality</w:t>
      </w:r>
      <w:r w:rsidR="086C1BD8" w:rsidRPr="003D1E07">
        <w:fldChar w:fldCharType="begin"/>
      </w:r>
      <w:r w:rsidR="086C1BD8" w:rsidRPr="003D1E07">
        <w:instrText xml:space="preserve"> XE "</w:instrText>
      </w:r>
      <w:r w:rsidR="086C1BD8" w:rsidRPr="003D1E07">
        <w:rPr>
          <w:i/>
        </w:rPr>
        <w:instrText>tertium ens</w:instrText>
      </w:r>
      <w:r w:rsidR="086C1BD8" w:rsidRPr="003D1E07">
        <w:instrText xml:space="preserve">:metafyzická neutralita" </w:instrText>
      </w:r>
      <w:r w:rsidR="086C1BD8" w:rsidRPr="003D1E07">
        <w:fldChar w:fldCharType="end"/>
      </w:r>
      <w:r w:rsidR="086C1BD8" w:rsidRPr="003D1E07">
        <w:t xml:space="preserve">. </w:t>
      </w:r>
      <w:r w:rsidRPr="003D1E07">
        <w:t>Filosofie aktualizovala Plato</w:t>
      </w:r>
      <w:r w:rsidR="08E21685" w:rsidRPr="003D1E07">
        <w:t>nův paradoxní okamžik</w:t>
      </w:r>
      <w:r w:rsidRPr="003D1E07">
        <w:t xml:space="preserve"> (τὸ ἐξαίφνης, 156d3</w:t>
      </w:r>
      <w:r w:rsidRPr="003D1E07">
        <w:fldChar w:fldCharType="begin"/>
      </w:r>
      <w:r w:rsidRPr="003D1E07">
        <w:instrText xml:space="preserve"> XE "Platon:</w:instrText>
      </w:r>
      <w:r w:rsidRPr="003D1E07">
        <w:rPr>
          <w:i/>
        </w:rPr>
        <w:instrText>Parm</w:instrText>
      </w:r>
      <w:r w:rsidRPr="003D1E07">
        <w:instrText xml:space="preserve">. 156d3" </w:instrText>
      </w:r>
      <w:r w:rsidRPr="003D1E07">
        <w:fldChar w:fldCharType="end"/>
      </w:r>
      <w:r w:rsidRPr="003D1E07">
        <w:t xml:space="preserve">) v dialogu </w:t>
      </w:r>
      <w:r w:rsidRPr="003D1E07">
        <w:rPr>
          <w:i/>
        </w:rPr>
        <w:t>Parmenides</w:t>
      </w:r>
      <w:r w:rsidRPr="003D1E07">
        <w:t xml:space="preserve"> </w:t>
      </w:r>
      <w:r w:rsidR="08AF6B7D" w:rsidRPr="003D1E07">
        <w:t>(kap. 1.3</w:t>
      </w:r>
      <w:r w:rsidRPr="003D1E07">
        <w:t xml:space="preserve">.1), v němž se </w:t>
      </w:r>
      <w:r w:rsidR="08715406" w:rsidRPr="003D1E07">
        <w:t xml:space="preserve">poprvé </w:t>
      </w:r>
      <w:r w:rsidRPr="003D1E07">
        <w:t>zjev</w:t>
      </w:r>
      <w:r w:rsidR="08E21685" w:rsidRPr="003D1E07">
        <w:t xml:space="preserve">uje </w:t>
      </w:r>
      <w:r w:rsidR="08452D0A" w:rsidRPr="003D1E07">
        <w:t>původní múzická po-odkrytost (</w:t>
      </w:r>
      <w:r w:rsidR="08452D0A" w:rsidRPr="003D1E07">
        <w:rPr>
          <w:i/>
        </w:rPr>
        <w:t>a/létheia</w:t>
      </w:r>
      <w:r w:rsidR="08452D0A" w:rsidRPr="003D1E07">
        <w:t xml:space="preserve">) </w:t>
      </w:r>
      <w:r w:rsidRPr="003D1E07">
        <w:t>obj</w:t>
      </w:r>
      <w:r w:rsidR="00B205BD">
        <w:t xml:space="preserve">ektivního smyslu jsoucna. </w:t>
      </w:r>
      <w:r w:rsidR="003B4B80" w:rsidRPr="003B4B80">
        <w:t>Toto jsoucno třetího druhu je v</w:t>
      </w:r>
      <w:r w:rsidR="003B4B80">
        <w:t> </w:t>
      </w:r>
      <w:r w:rsidR="003B4B80" w:rsidRPr="003B4B80">
        <w:t>bož</w:t>
      </w:r>
      <w:r w:rsidR="003B4B80">
        <w:t xml:space="preserve">í mysli </w:t>
      </w:r>
      <w:r w:rsidR="003B4B80" w:rsidRPr="003B4B80">
        <w:t xml:space="preserve">dáno jako </w:t>
      </w:r>
      <w:r w:rsidR="003B4B80" w:rsidRPr="003B4B80">
        <w:lastRenderedPageBreak/>
        <w:t>samostatný a prvotní substrát pro všechna možná určení jsoucn</w:t>
      </w:r>
      <w:r w:rsidR="003B4B80">
        <w:t xml:space="preserve">a, která </w:t>
      </w:r>
      <w:r w:rsidR="003B4B80" w:rsidRPr="003B4B80">
        <w:t xml:space="preserve">Bůh může </w:t>
      </w:r>
      <w:r w:rsidR="003B4B80">
        <w:t>reflektovat sám v sobě</w:t>
      </w:r>
      <w:r w:rsidR="003B4B80" w:rsidRPr="003B4B80">
        <w:t>.</w:t>
      </w:r>
      <w:r w:rsidR="003B4B80">
        <w:t xml:space="preserve"> </w:t>
      </w:r>
      <w:r w:rsidRPr="003D1E07">
        <w:t xml:space="preserve">Původní vzor této </w:t>
      </w:r>
      <w:r w:rsidR="003B4B80">
        <w:t xml:space="preserve">ontologicky neutrální </w:t>
      </w:r>
      <w:r w:rsidRPr="003D1E07">
        <w:t xml:space="preserve">sféry jsme analyzovali </w:t>
      </w:r>
      <w:r w:rsidR="08971B0A" w:rsidRPr="003D1E07">
        <w:t xml:space="preserve">skrze </w:t>
      </w:r>
      <w:r w:rsidRPr="003D1E07">
        <w:t xml:space="preserve">zdvojené </w:t>
      </w:r>
      <w:r w:rsidR="00A4309E" w:rsidRPr="003D1E07">
        <w:t>Jedno</w:t>
      </w:r>
      <w:r w:rsidR="00BE3AF1">
        <w:t>–Bytí</w:t>
      </w:r>
      <w:r w:rsidR="00A4309E" w:rsidRPr="003D1E07">
        <w:t xml:space="preserve"> </w:t>
      </w:r>
      <w:r w:rsidRPr="003D1E07">
        <w:t>u Porfyria, v němž pro</w:t>
      </w:r>
      <w:r w:rsidR="001F7CD9" w:rsidRPr="003D1E07">
        <w:t>hyp</w:t>
      </w:r>
      <w:r w:rsidRPr="003D1E07">
        <w:t xml:space="preserve">archické bytí předchází Aristotelovo hyparchické pojetí predikace </w:t>
      </w:r>
      <w:r w:rsidRPr="003D1E07">
        <w:fldChar w:fldCharType="begin"/>
      </w:r>
      <w:r w:rsidRPr="003D1E07">
        <w:instrText xml:space="preserve"> XE "</w:instrText>
      </w:r>
      <w:r w:rsidR="00503C55" w:rsidRPr="003D1E07">
        <w:instrText>predikace:prohyparchická</w:instrText>
      </w:r>
      <w:r w:rsidRPr="003D1E07">
        <w:instrText xml:space="preserve">" </w:instrText>
      </w:r>
      <w:r w:rsidRPr="003D1E07">
        <w:fldChar w:fldCharType="end"/>
      </w:r>
      <w:r w:rsidRPr="003D1E07">
        <w:t>(kap. 1.</w:t>
      </w:r>
      <w:r w:rsidR="08AF6B7D" w:rsidRPr="003D1E07">
        <w:t>3</w:t>
      </w:r>
      <w:r w:rsidRPr="003D1E07">
        <w:t xml:space="preserve">.1). Tyto </w:t>
      </w:r>
      <w:r w:rsidR="00EE056B">
        <w:t xml:space="preserve">moderním </w:t>
      </w:r>
      <w:r w:rsidRPr="003D1E07">
        <w:t xml:space="preserve">bohem </w:t>
      </w:r>
      <w:r w:rsidR="08111F73" w:rsidRPr="003D1E07">
        <w:t xml:space="preserve">myšlené </w:t>
      </w:r>
      <w:r w:rsidRPr="003D1E07">
        <w:t>možnosti jsouc</w:t>
      </w:r>
      <w:r w:rsidR="00EE056B">
        <w:t>na tvoří základní ontoteologické</w:t>
      </w:r>
      <w:r w:rsidRPr="003D1E07">
        <w:t xml:space="preserve"> určení </w:t>
      </w:r>
      <w:r w:rsidR="00EE056B">
        <w:t>objektivní metafyziky</w:t>
      </w:r>
      <w:r w:rsidR="08111F73" w:rsidRPr="003D1E07">
        <w:t xml:space="preserve">. Stvořené jsoucno </w:t>
      </w:r>
      <w:r w:rsidRPr="003D1E07">
        <w:t xml:space="preserve">přijímá </w:t>
      </w:r>
      <w:r w:rsidR="08111F73" w:rsidRPr="003D1E07">
        <w:t xml:space="preserve">tato určení </w:t>
      </w:r>
      <w:r w:rsidRPr="003D1E07">
        <w:t xml:space="preserve">proto, že jsou </w:t>
      </w:r>
      <w:r w:rsidR="08D91A90" w:rsidRPr="003D1E07">
        <w:t>dána v</w:t>
      </w:r>
      <w:r w:rsidR="00E6297A">
        <w:t xml:space="preserve"> moderním </w:t>
      </w:r>
      <w:r w:rsidR="08D91A90" w:rsidRPr="003D1E07">
        <w:t xml:space="preserve">bohu </w:t>
      </w:r>
      <w:r w:rsidRPr="003D1E07">
        <w:t>nutně</w:t>
      </w:r>
      <w:r w:rsidR="08D91A90" w:rsidRPr="003D1E07">
        <w:t xml:space="preserve">, neutrálně a zcela odděleně od stvoření </w:t>
      </w:r>
      <w:r w:rsidRPr="003D1E07">
        <w:t>(</w:t>
      </w:r>
      <w:r w:rsidRPr="003D1E07">
        <w:rPr>
          <w:i/>
        </w:rPr>
        <w:t>absolute</w:t>
      </w:r>
      <w:r w:rsidR="08D91A90" w:rsidRPr="003D1E07">
        <w:t>)</w:t>
      </w:r>
      <w:r w:rsidRPr="003D1E07">
        <w:t xml:space="preserve">. </w:t>
      </w:r>
      <w:r w:rsidR="08111F73" w:rsidRPr="003D1E07">
        <w:t xml:space="preserve">Zavedením potenciálního absolutna </w:t>
      </w:r>
      <w:r w:rsidR="08D91A90" w:rsidRPr="003D1E07">
        <w:t xml:space="preserve">vznikla přímo v bohu neutrální verze jsoucna, která založila moderní </w:t>
      </w:r>
      <w:r w:rsidR="08111F73" w:rsidRPr="003D1E07">
        <w:t xml:space="preserve">objektivitu. </w:t>
      </w:r>
      <w:r w:rsidR="08587E96" w:rsidRPr="003D1E07">
        <w:t xml:space="preserve">Filosofie německého idealismu </w:t>
      </w:r>
      <w:r w:rsidR="08ED1FC3" w:rsidRPr="003D1E07">
        <w:t xml:space="preserve">v 19. století </w:t>
      </w:r>
      <w:r w:rsidR="00DA72F2">
        <w:t xml:space="preserve">napadla </w:t>
      </w:r>
      <w:r w:rsidR="08111F73" w:rsidRPr="003D1E07">
        <w:t xml:space="preserve">tuto neutrální absolutnost </w:t>
      </w:r>
      <w:r w:rsidR="00A52AAD">
        <w:t>moderního boha</w:t>
      </w:r>
      <w:r w:rsidR="00DA72F2">
        <w:t xml:space="preserve">. Postmoderní filosofové </w:t>
      </w:r>
      <w:r w:rsidR="08111F73" w:rsidRPr="003D1E07">
        <w:t xml:space="preserve">definitivně </w:t>
      </w:r>
      <w:r w:rsidR="00DA72F2">
        <w:t>(</w:t>
      </w:r>
      <w:r w:rsidR="00DA72F2" w:rsidRPr="00DA72F2">
        <w:rPr>
          <w:i/>
        </w:rPr>
        <w:t>de fine</w:t>
      </w:r>
      <w:r w:rsidR="00DA72F2">
        <w:t>) odstranili</w:t>
      </w:r>
      <w:r w:rsidR="08111F73" w:rsidRPr="003D1E07">
        <w:t xml:space="preserve"> </w:t>
      </w:r>
      <w:r w:rsidR="0823609E" w:rsidRPr="003D1E07">
        <w:t xml:space="preserve">objektivně </w:t>
      </w:r>
      <w:r w:rsidR="08D91A90" w:rsidRPr="003D1E07">
        <w:t xml:space="preserve">neutralizovaného boha </w:t>
      </w:r>
      <w:r w:rsidR="08D91A90" w:rsidRPr="003D1E07">
        <w:rPr>
          <w:i/>
        </w:rPr>
        <w:t>Modernorum</w:t>
      </w:r>
      <w:r w:rsidR="08D91A90" w:rsidRPr="003D1E07">
        <w:fldChar w:fldCharType="begin"/>
      </w:r>
      <w:r w:rsidR="08D91A90" w:rsidRPr="003D1E07">
        <w:instrText xml:space="preserve"> XE "smrt boha" </w:instrText>
      </w:r>
      <w:r w:rsidR="08D91A90" w:rsidRPr="003D1E07">
        <w:fldChar w:fldCharType="end"/>
      </w:r>
      <w:r w:rsidR="00DA72F2">
        <w:t xml:space="preserve">, aby nastolili současný věk </w:t>
      </w:r>
      <w:r w:rsidR="08111F73" w:rsidRPr="003D1E07">
        <w:t>nihilistické</w:t>
      </w:r>
      <w:r w:rsidR="00DA72F2">
        <w:t xml:space="preserve"> metafyziky (</w:t>
      </w:r>
      <w:r w:rsidR="00DA72F2" w:rsidRPr="00DA72F2">
        <w:rPr>
          <w:i/>
        </w:rPr>
        <w:t>novissimum</w:t>
      </w:r>
      <w:r w:rsidR="00DA72F2">
        <w:t>)</w:t>
      </w:r>
      <w:r w:rsidR="08D91A90" w:rsidRPr="003D1E07">
        <w:t xml:space="preserve">. </w:t>
      </w:r>
      <w:r w:rsidR="0896747A" w:rsidRPr="003D1E07">
        <w:t xml:space="preserve">Druhý mistr založil </w:t>
      </w:r>
      <w:r w:rsidR="00E14CF4" w:rsidRPr="003D1E07">
        <w:t>novou formu západní ontoteologie s</w:t>
      </w:r>
      <w:r w:rsidR="08FC6BB3" w:rsidRPr="003D1E07">
        <w:t>kr</w:t>
      </w:r>
      <w:r w:rsidR="00E14CF4" w:rsidRPr="003D1E07">
        <w:t>ze amfibolní predikaci a přímý náhled esencí daných v bohu</w:t>
      </w:r>
      <w:r w:rsidR="0896747A" w:rsidRPr="003D1E07">
        <w:t xml:space="preserve">. </w:t>
      </w:r>
      <w:r w:rsidR="085602D8" w:rsidRPr="003D1E07">
        <w:t>Al-Fárábího spis o cíli a zaměření Aristotelovy metafyziky zkoumá vlastnosti jsoucna nejen vůči substanci, ale také v rámci neoplatonských určení typu „dříve–později“, „potencialita–</w:t>
      </w:r>
      <w:r w:rsidR="006B3363">
        <w:t>aktualita“, „dokonalé–</w:t>
      </w:r>
      <w:r w:rsidR="085602D8" w:rsidRPr="003D1E07">
        <w:t>částečné“ (Dieterici II.35; p. 56.1–14</w:t>
      </w:r>
      <w:r w:rsidR="085602D8" w:rsidRPr="003D1E07">
        <w:fldChar w:fldCharType="begin"/>
      </w:r>
      <w:r w:rsidR="085602D8" w:rsidRPr="003D1E07">
        <w:instrText xml:space="preserve"> XE "Al-Fárábí:</w:instrText>
      </w:r>
      <w:r w:rsidR="085602D8" w:rsidRPr="003D1E07">
        <w:rPr>
          <w:i/>
        </w:rPr>
        <w:instrText>Tendenzen der aristotelischen Metaphysik</w:instrText>
      </w:r>
      <w:r w:rsidR="085602D8" w:rsidRPr="003D1E07">
        <w:instrText xml:space="preserve"> 56.1–14" </w:instrText>
      </w:r>
      <w:r w:rsidR="085602D8" w:rsidRPr="003D1E07">
        <w:fldChar w:fldCharType="end"/>
      </w:r>
      <w:r w:rsidR="085602D8" w:rsidRPr="003D1E07">
        <w:t xml:space="preserve">). Skrze novou formu </w:t>
      </w:r>
      <w:r w:rsidR="0854579C" w:rsidRPr="003D1E07">
        <w:t xml:space="preserve">amfibolní </w:t>
      </w:r>
      <w:r w:rsidR="085602D8" w:rsidRPr="003D1E07">
        <w:t xml:space="preserve">predikace </w:t>
      </w:r>
      <w:r w:rsidR="08B438C1" w:rsidRPr="003D1E07">
        <w:t xml:space="preserve">určené podle Porfyriova stromu </w:t>
      </w:r>
      <w:r w:rsidR="085602D8" w:rsidRPr="003D1E07">
        <w:t>vznikla na</w:t>
      </w:r>
      <w:r w:rsidR="007A1B81" w:rsidRPr="003D1E07">
        <w:t xml:space="preserve"> Západě první harmonie Platonovy a Aristotelovy</w:t>
      </w:r>
      <w:r w:rsidR="085602D8" w:rsidRPr="003D1E07">
        <w:t xml:space="preserve"> </w:t>
      </w:r>
      <w:r w:rsidR="007A1B81" w:rsidRPr="003D1E07">
        <w:t>metafyziky</w:t>
      </w:r>
      <w:r w:rsidR="085602D8" w:rsidRPr="003D1E07">
        <w:t>.</w:t>
      </w:r>
      <w:r w:rsidR="085602D8" w:rsidRPr="003D1E07">
        <w:rPr>
          <w:rStyle w:val="Znakapoznpodarou"/>
        </w:rPr>
        <w:footnoteReference w:id="111"/>
      </w:r>
      <w:r w:rsidR="085602D8" w:rsidRPr="003D1E07">
        <w:t xml:space="preserve"> </w:t>
      </w:r>
      <w:r w:rsidR="08073D16" w:rsidRPr="003D1E07">
        <w:t xml:space="preserve">Zavedení kategoriální predikace </w:t>
      </w:r>
      <w:r w:rsidR="08695331" w:rsidRPr="003D1E07">
        <w:t xml:space="preserve">amfibolií </w:t>
      </w:r>
      <w:r w:rsidR="08073D16" w:rsidRPr="003D1E07">
        <w:t xml:space="preserve">zrušilo neoplatonské schéma </w:t>
      </w:r>
      <w:r w:rsidR="007A1B81" w:rsidRPr="003D1E07">
        <w:t xml:space="preserve">emanací </w:t>
      </w:r>
      <w:r w:rsidR="08073D16" w:rsidRPr="003D1E07">
        <w:t xml:space="preserve">a vytvořilo </w:t>
      </w:r>
      <w:r w:rsidR="007A7BFB">
        <w:t xml:space="preserve">základ pro </w:t>
      </w:r>
      <w:r w:rsidR="085602D8" w:rsidRPr="003D1E07">
        <w:t xml:space="preserve">pozdější </w:t>
      </w:r>
      <w:r w:rsidR="085602D8" w:rsidRPr="003D1E07">
        <w:rPr>
          <w:i/>
        </w:rPr>
        <w:t>metaphysica generalis</w:t>
      </w:r>
      <w:r w:rsidR="085602D8" w:rsidRPr="003D1E07">
        <w:rPr>
          <w:i/>
        </w:rPr>
        <w:fldChar w:fldCharType="begin"/>
      </w:r>
      <w:r w:rsidR="085602D8" w:rsidRPr="003D1E07">
        <w:instrText xml:space="preserve"> XE "</w:instrText>
      </w:r>
      <w:r w:rsidR="085602D8" w:rsidRPr="003D1E07">
        <w:rPr>
          <w:i/>
        </w:rPr>
        <w:instrText>metaphysica generalis</w:instrText>
      </w:r>
      <w:r w:rsidR="085602D8" w:rsidRPr="003D1E07">
        <w:instrText xml:space="preserve">" </w:instrText>
      </w:r>
      <w:r w:rsidR="085602D8" w:rsidRPr="003D1E07">
        <w:rPr>
          <w:i/>
        </w:rPr>
        <w:fldChar w:fldCharType="end"/>
      </w:r>
      <w:r w:rsidR="085602D8" w:rsidRPr="003D1E07">
        <w:t xml:space="preserve">. </w:t>
      </w:r>
      <w:r w:rsidR="08073D16" w:rsidRPr="003D1E07">
        <w:t xml:space="preserve">Pravdu nového spojení Platona a Aristotela skrze „meta-fyziku“ danou </w:t>
      </w:r>
      <w:r w:rsidR="00A54F42">
        <w:t>predikací p</w:t>
      </w:r>
      <w:r w:rsidR="08073D16" w:rsidRPr="003D1E07">
        <w:t>rvní substance</w:t>
      </w:r>
      <w:r w:rsidR="087B2C51" w:rsidRPr="003D1E07">
        <w:t xml:space="preserve"> ukáže Averro</w:t>
      </w:r>
      <w:r w:rsidR="08073D16" w:rsidRPr="003D1E07">
        <w:t>e</w:t>
      </w:r>
      <w:r w:rsidR="087B2C51" w:rsidRPr="003D1E07">
        <w:t>s</w:t>
      </w:r>
      <w:r w:rsidR="08073D16" w:rsidRPr="003D1E07">
        <w:t xml:space="preserve"> a první averroismus. Nepravdu tohoto spojení ukáže Avicenna skrze </w:t>
      </w:r>
      <w:r w:rsidR="08695331" w:rsidRPr="003D1E07">
        <w:t xml:space="preserve">esenciální </w:t>
      </w:r>
      <w:r w:rsidR="08073D16" w:rsidRPr="003D1E07">
        <w:t xml:space="preserve">metafyziku založenou na </w:t>
      </w:r>
      <w:r w:rsidR="00013F05" w:rsidRPr="003D1E07">
        <w:t xml:space="preserve">generickém </w:t>
      </w:r>
      <w:r w:rsidR="08073D16" w:rsidRPr="003D1E07">
        <w:t xml:space="preserve">konceptu </w:t>
      </w:r>
      <w:r w:rsidR="00013F05" w:rsidRPr="003D1E07">
        <w:t xml:space="preserve">jsoucnosti </w:t>
      </w:r>
      <w:r w:rsidR="08073D16" w:rsidRPr="003D1E07">
        <w:t xml:space="preserve">v modu </w:t>
      </w:r>
      <w:r w:rsidR="08073D16" w:rsidRPr="003D1E07">
        <w:rPr>
          <w:i/>
        </w:rPr>
        <w:t>ens inquantum ens</w:t>
      </w:r>
      <w:r w:rsidR="08073D16" w:rsidRPr="003D1E07">
        <w:rPr>
          <w:i/>
        </w:rPr>
        <w:fldChar w:fldCharType="begin"/>
      </w:r>
      <w:r w:rsidR="08073D16" w:rsidRPr="003D1E07">
        <w:instrText xml:space="preserve"> XE "</w:instrText>
      </w:r>
      <w:r w:rsidR="08073D16" w:rsidRPr="003D1E07">
        <w:rPr>
          <w:i/>
        </w:rPr>
        <w:instrText>ens inquantum ens</w:instrText>
      </w:r>
      <w:r w:rsidR="08073D16" w:rsidRPr="003D1E07">
        <w:instrText xml:space="preserve">" </w:instrText>
      </w:r>
      <w:r w:rsidR="08073D16" w:rsidRPr="003D1E07">
        <w:rPr>
          <w:i/>
        </w:rPr>
        <w:fldChar w:fldCharType="end"/>
      </w:r>
      <w:r w:rsidR="00013F05" w:rsidRPr="003D1E07">
        <w:t xml:space="preserve">. Toto amfibolní </w:t>
      </w:r>
      <w:r w:rsidR="00D27C4A" w:rsidRPr="003D1E07">
        <w:t xml:space="preserve">a </w:t>
      </w:r>
      <w:r w:rsidR="00013F05" w:rsidRPr="003D1E07">
        <w:t xml:space="preserve">esenciální určení </w:t>
      </w:r>
      <w:r w:rsidR="00E644BF" w:rsidRPr="003D1E07">
        <w:t xml:space="preserve">jsoucna jako </w:t>
      </w:r>
      <w:r w:rsidR="00E644BF" w:rsidRPr="003D1E07">
        <w:rPr>
          <w:i/>
        </w:rPr>
        <w:t>tertium ens</w:t>
      </w:r>
      <w:r w:rsidR="00E644BF" w:rsidRPr="003D1E07">
        <w:t xml:space="preserve"> </w:t>
      </w:r>
      <w:r w:rsidR="08073D16" w:rsidRPr="003D1E07">
        <w:t xml:space="preserve">převezme druhý averroismus a celá moderna. </w:t>
      </w:r>
      <w:r w:rsidR="085F781B" w:rsidRPr="003D1E07">
        <w:t xml:space="preserve">Druhý mistr zakládá první ontoteologickou možnost objektivního diakosmu, který ve druhé polovině 13. století zakládá koncept objektivního jsoucna (Jindřich z Gentu, Scotus, Leibniz). </w:t>
      </w:r>
      <w:r w:rsidR="080C7F29" w:rsidRPr="003D1E07">
        <w:t>Neutrální s</w:t>
      </w:r>
      <w:r w:rsidR="08E04D01" w:rsidRPr="003D1E07">
        <w:t>féra boží mnohosti a jednoduchosti tvoří primární ontote</w:t>
      </w:r>
      <w:r w:rsidR="089169FF" w:rsidRPr="003D1E07">
        <w:t xml:space="preserve">ologickou </w:t>
      </w:r>
      <w:r w:rsidR="08F61EBC" w:rsidRPr="003D1E07">
        <w:t xml:space="preserve">strukturu </w:t>
      </w:r>
      <w:r w:rsidR="089169FF" w:rsidRPr="003D1E07">
        <w:t xml:space="preserve">u Avicenny. </w:t>
      </w:r>
      <w:r w:rsidR="005C550C" w:rsidRPr="003D1E07">
        <w:t xml:space="preserve">Duns Scotus upravil </w:t>
      </w:r>
      <w:r w:rsidR="08E04D01" w:rsidRPr="003D1E07">
        <w:t xml:space="preserve">jednotu jsoucna v modu absolutní jednoduchosti pro novou metafyziku skrze Avicennovo objektivní určení </w:t>
      </w:r>
      <w:r w:rsidR="08E04D01" w:rsidRPr="003D1E07">
        <w:rPr>
          <w:i/>
        </w:rPr>
        <w:t>ens inquantum ens</w:t>
      </w:r>
      <w:r w:rsidR="08E04D01" w:rsidRPr="003D1E07">
        <w:rPr>
          <w:i/>
        </w:rPr>
        <w:fldChar w:fldCharType="begin"/>
      </w:r>
      <w:r w:rsidR="08E04D01" w:rsidRPr="003D1E07">
        <w:instrText xml:space="preserve"> XE "</w:instrText>
      </w:r>
      <w:r w:rsidR="08E04D01" w:rsidRPr="003D1E07">
        <w:rPr>
          <w:i/>
        </w:rPr>
        <w:instrText>ens inquantum ens</w:instrText>
      </w:r>
      <w:r w:rsidR="08E04D01" w:rsidRPr="003D1E07">
        <w:instrText xml:space="preserve">" </w:instrText>
      </w:r>
      <w:r w:rsidR="08E04D01" w:rsidRPr="003D1E07">
        <w:rPr>
          <w:i/>
        </w:rPr>
        <w:fldChar w:fldCharType="end"/>
      </w:r>
      <w:r w:rsidR="08E04D01" w:rsidRPr="003D1E07">
        <w:t>.</w:t>
      </w:r>
      <w:r w:rsidR="085F781B" w:rsidRPr="003D1E07">
        <w:t xml:space="preserve"> Výsledná definice první vědy </w:t>
      </w:r>
      <w:r w:rsidR="085F781B" w:rsidRPr="003D1E07">
        <w:lastRenderedPageBreak/>
        <w:t xml:space="preserve">integruje Aristotelovu metafyziku do transcendentálního schématu pravdy dané </w:t>
      </w:r>
      <w:r w:rsidR="0857259E" w:rsidRPr="003D1E07">
        <w:t xml:space="preserve">v </w:t>
      </w:r>
      <w:r w:rsidR="085F781B" w:rsidRPr="003D1E07">
        <w:t>mysl</w:t>
      </w:r>
      <w:r w:rsidR="0857259E" w:rsidRPr="003D1E07">
        <w:t>i</w:t>
      </w:r>
      <w:r w:rsidR="085F781B" w:rsidRPr="003D1E07">
        <w:t xml:space="preserve"> poznávajícího</w:t>
      </w:r>
      <w:r w:rsidR="081B4A3F" w:rsidRPr="003D1E07">
        <w:t xml:space="preserve"> subjektu</w:t>
      </w:r>
      <w:r w:rsidR="005C550C" w:rsidRPr="003D1E07">
        <w:t>. Moderní subjekt odtržený od reality prvních substancí proto tvoří základní podmínku</w:t>
      </w:r>
      <w:r w:rsidR="085F781B" w:rsidRPr="003D1E07">
        <w:t xml:space="preserve"> pro vznik objektivity.</w:t>
      </w:r>
    </w:p>
    <w:p w14:paraId="22A511BB" w14:textId="77777777" w:rsidR="00BC560B" w:rsidRDefault="084E76CD" w:rsidP="083E367D">
      <w:pPr>
        <w:rPr>
          <w:lang w:eastAsia="en-US"/>
        </w:rPr>
      </w:pPr>
      <w:r w:rsidRPr="003D1E07">
        <w:tab/>
      </w:r>
      <w:r w:rsidR="08732D20" w:rsidRPr="003D1E07">
        <w:t>Předešlá část ukázala, že A</w:t>
      </w:r>
      <w:r w:rsidR="088F3BDA" w:rsidRPr="003D1E07">
        <w:t>l-</w:t>
      </w:r>
      <w:r w:rsidR="08732D20" w:rsidRPr="003D1E07">
        <w:t xml:space="preserve">Fárábí </w:t>
      </w:r>
      <w:r w:rsidR="00F811F4">
        <w:t>p</w:t>
      </w:r>
      <w:r w:rsidR="08732D20" w:rsidRPr="003D1E07">
        <w:t xml:space="preserve">rovádí vlastní </w:t>
      </w:r>
      <w:r w:rsidR="087C595D" w:rsidRPr="003D1E07">
        <w:t xml:space="preserve">a epochálně novou </w:t>
      </w:r>
      <w:r w:rsidR="08892829" w:rsidRPr="003D1E07">
        <w:t xml:space="preserve">aristotelskou </w:t>
      </w:r>
      <w:r w:rsidR="08732D20" w:rsidRPr="003D1E07">
        <w:t xml:space="preserve">syntézu jemu známých komentátorů Metafyziky. </w:t>
      </w:r>
      <w:r w:rsidR="08EF3149" w:rsidRPr="003D1E07">
        <w:t xml:space="preserve">Abunaser </w:t>
      </w:r>
      <w:r w:rsidR="08B14C2E" w:rsidRPr="003D1E07">
        <w:t>o</w:t>
      </w:r>
      <w:r w:rsidR="088C79D1" w:rsidRPr="003D1E07">
        <w:t xml:space="preserve">dmítl čistý neoplatonismus a přijal Aristotelovu kategoriální signifikaci danou od aktuálních prvních substancí. To je vidět zejména na postavení matematické analogie, kterou neoplatonismus </w:t>
      </w:r>
      <w:r w:rsidR="08A96055" w:rsidRPr="003D1E07">
        <w:t xml:space="preserve">povýšil </w:t>
      </w:r>
      <w:r w:rsidR="088C79D1" w:rsidRPr="003D1E07">
        <w:t>na úroveň metafyzické abstrakce. Al</w:t>
      </w:r>
      <w:r w:rsidR="088C79D1" w:rsidRPr="003D1E07">
        <w:noBreakHyphen/>
        <w:t>Fáfábí se zásadně staví proti povýšení matematiky na úroveň metafyziky. První věda musí abstrahovat od kvantity dané v matematice a v geometrii, proto je matematika</w:t>
      </w:r>
      <w:r w:rsidR="088C79D1" w:rsidRPr="003D1E07">
        <w:fldChar w:fldCharType="begin"/>
      </w:r>
      <w:r w:rsidR="088C79D1" w:rsidRPr="003D1E07">
        <w:instrText xml:space="preserve"> XE "matematika" </w:instrText>
      </w:r>
      <w:r w:rsidR="088C79D1" w:rsidRPr="003D1E07">
        <w:fldChar w:fldCharType="end"/>
      </w:r>
      <w:r w:rsidR="088C79D1" w:rsidRPr="003D1E07">
        <w:t xml:space="preserve"> vyřazena z nároku na první vědění</w:t>
      </w:r>
      <w:r w:rsidR="088C79D1" w:rsidRPr="003D1E07">
        <w:fldChar w:fldCharType="begin"/>
      </w:r>
      <w:r w:rsidR="088C79D1" w:rsidRPr="003D1E07">
        <w:instrText xml:space="preserve"> XE "abstrakce:matematická" </w:instrText>
      </w:r>
      <w:r w:rsidR="088C79D1" w:rsidRPr="003D1E07">
        <w:fldChar w:fldCharType="end"/>
      </w:r>
      <w:r w:rsidR="088C79D1" w:rsidRPr="003D1E07">
        <w:t>. Její předmět má pouze ideální charakter a nikoliv esenciální, protože esence existují pouze v reálných věcech (Dieterichi II.35, p. 57.3‒9</w:t>
      </w:r>
      <w:r w:rsidR="088C79D1" w:rsidRPr="003D1E07">
        <w:fldChar w:fldCharType="begin"/>
      </w:r>
      <w:r w:rsidR="088C79D1" w:rsidRPr="003D1E07">
        <w:instrText xml:space="preserve"> XE "Al-Fárábí:</w:instrText>
      </w:r>
      <w:r w:rsidR="088C79D1" w:rsidRPr="003D1E07">
        <w:rPr>
          <w:i/>
        </w:rPr>
        <w:instrText>Tendenzen der aristotelischen Metaphysik</w:instrText>
      </w:r>
      <w:r w:rsidR="088C79D1" w:rsidRPr="003D1E07">
        <w:instrText xml:space="preserve"> 57.3–9" </w:instrText>
      </w:r>
      <w:r w:rsidR="088C79D1" w:rsidRPr="003D1E07">
        <w:fldChar w:fldCharType="end"/>
      </w:r>
      <w:r w:rsidR="088C79D1" w:rsidRPr="003D1E07">
        <w:t xml:space="preserve">). Jednota jsoucna není analogická, ale kategoriální, protože je daná vzhledem k substanci. Matematika je vědou založenou na abstrakci, proto nemá ontologický statut jako u výše zmiňovaných neoplatoniků (Jamblichus, Simplikius). Predikace </w:t>
      </w:r>
      <w:r w:rsidR="005615F2" w:rsidRPr="003D1E07">
        <w:t xml:space="preserve">první vědy se vztahuje jednotě reálného světa, proto </w:t>
      </w:r>
      <w:r w:rsidR="088C79D1" w:rsidRPr="003D1E07">
        <w:t xml:space="preserve">je dána na úrovni metafyzické abstrakce založené univočně, a ne na úrovni pouhé analogie dané ekvivočně. </w:t>
      </w:r>
      <w:r w:rsidR="082B319A" w:rsidRPr="003D1E07">
        <w:t xml:space="preserve">Předmět hledané první vědy je identifikován jednotou danou vzhledem k poslednímu určení kategoriálně predikované jednoty jsoucna na úrovni druhé substance. Její metafyzické určení determinuje </w:t>
      </w:r>
      <w:r w:rsidR="089108A9" w:rsidRPr="003D1E07">
        <w:t xml:space="preserve">metafyzický </w:t>
      </w:r>
      <w:r w:rsidR="082B319A" w:rsidRPr="003D1E07">
        <w:t xml:space="preserve">dativ směrem od reálného bytí první substance. </w:t>
      </w:r>
      <w:r w:rsidR="088C79D1" w:rsidRPr="003D1E07">
        <w:t>Do první vědy zkoumající oddělené první substance výslovně patří i teologie, protože bůh jako Stvořitel je počátkem každého stvořeného bytí (Dieterichi II.35, p. 56.23–25</w:t>
      </w:r>
      <w:r w:rsidR="088C79D1" w:rsidRPr="003D1E07">
        <w:fldChar w:fldCharType="begin"/>
      </w:r>
      <w:r w:rsidR="088C79D1" w:rsidRPr="003D1E07">
        <w:instrText xml:space="preserve"> XE "Al-Fárábí:</w:instrText>
      </w:r>
      <w:r w:rsidR="088C79D1" w:rsidRPr="003D1E07">
        <w:rPr>
          <w:i/>
        </w:rPr>
        <w:instrText>Tendenzen der aristotelischen Metaphysik</w:instrText>
      </w:r>
      <w:r w:rsidR="088C79D1" w:rsidRPr="003D1E07">
        <w:instrText xml:space="preserve"> 56.23–25" </w:instrText>
      </w:r>
      <w:r w:rsidR="088C79D1" w:rsidRPr="003D1E07">
        <w:fldChar w:fldCharType="end"/>
      </w:r>
      <w:r w:rsidR="088C79D1" w:rsidRPr="003D1E07">
        <w:t xml:space="preserve">). Kategoriální i transcendendální určení jednoty jsoucího má pouze jeden finální objekt poznání, jinak by vzniklo dvojí vědění první filosofie. Tuto jednotu ovšem nejznámější Platonův dialog klade až za esenci (ἐπέκεινα τῆς οὐσίας, </w:t>
      </w:r>
      <w:r w:rsidR="088C79D1" w:rsidRPr="003D1E07">
        <w:rPr>
          <w:i/>
        </w:rPr>
        <w:t>Rep</w:t>
      </w:r>
      <w:r w:rsidR="088C79D1" w:rsidRPr="003D1E07">
        <w:t>. 509b9</w:t>
      </w:r>
      <w:r w:rsidR="088C79D1" w:rsidRPr="003D1E07">
        <w:fldChar w:fldCharType="begin"/>
      </w:r>
      <w:r w:rsidR="088C79D1" w:rsidRPr="003D1E07">
        <w:instrText xml:space="preserve"> XE "Platon:</w:instrText>
      </w:r>
      <w:r w:rsidR="088C79D1" w:rsidRPr="003D1E07">
        <w:rPr>
          <w:i/>
        </w:rPr>
        <w:instrText>Rep</w:instrText>
      </w:r>
      <w:r w:rsidR="088C79D1" w:rsidRPr="003D1E07">
        <w:instrText xml:space="preserve">. 509b9" </w:instrText>
      </w:r>
      <w:r w:rsidR="088C79D1" w:rsidRPr="003D1E07">
        <w:fldChar w:fldCharType="end"/>
      </w:r>
      <w:r w:rsidR="088C79D1" w:rsidRPr="003D1E07">
        <w:t>). Hledání poslední jednoty za bytím první substance proto nakonec popí</w:t>
      </w:r>
      <w:r w:rsidR="00824AF0" w:rsidRPr="003D1E07">
        <w:t xml:space="preserve">rá </w:t>
      </w:r>
      <w:r w:rsidR="005C2F3F" w:rsidRPr="003D1E07">
        <w:t>metafyzickou jednotu založenou na prioritě</w:t>
      </w:r>
      <w:r w:rsidR="00824AF0" w:rsidRPr="003D1E07">
        <w:t xml:space="preserve"> existujících věcí</w:t>
      </w:r>
      <w:r w:rsidR="088C79D1" w:rsidRPr="003D1E07">
        <w:t>.</w:t>
      </w:r>
      <w:r w:rsidR="088C79D1" w:rsidRPr="003D1E07">
        <w:rPr>
          <w:rStyle w:val="Znakapoznpodarou"/>
        </w:rPr>
        <w:footnoteReference w:id="112"/>
      </w:r>
      <w:r w:rsidR="005C2F3F" w:rsidRPr="003D1E07">
        <w:t xml:space="preserve"> </w:t>
      </w:r>
      <w:r w:rsidR="088C79D1" w:rsidRPr="003D1E07">
        <w:t>Al</w:t>
      </w:r>
      <w:r w:rsidR="088C79D1" w:rsidRPr="003D1E07">
        <w:noBreakHyphen/>
        <w:t xml:space="preserve">Fárábí dává tuto poslední jednotu jsoucna vzhledem k bohu do </w:t>
      </w:r>
      <w:r w:rsidR="08A6224C" w:rsidRPr="003D1E07">
        <w:t xml:space="preserve">transcendentálního </w:t>
      </w:r>
      <w:r w:rsidR="088C79D1" w:rsidRPr="003D1E07">
        <w:t>pojetí metafyziky. Al-Fárábí je první protagonista teorie jedné pravdy, kterou vehementně hájila skupina druhého averroismu a modernistů skrze pařížská a oxfordská odsouzení v březnu 1277</w:t>
      </w:r>
      <w:r w:rsidR="088C79D1" w:rsidRPr="003D1E07">
        <w:fldChar w:fldCharType="begin"/>
      </w:r>
      <w:r w:rsidR="088C79D1" w:rsidRPr="003D1E07">
        <w:instrText xml:space="preserve"> XE "teorie dvojí pravdy" </w:instrText>
      </w:r>
      <w:r w:rsidR="088C79D1" w:rsidRPr="003D1E07">
        <w:fldChar w:fldCharType="end"/>
      </w:r>
      <w:r w:rsidR="087F7732" w:rsidRPr="003D1E07">
        <w:t>. Ale to mu nebránilo v tom,</w:t>
      </w:r>
      <w:r w:rsidR="084C71A2" w:rsidRPr="003D1E07">
        <w:t xml:space="preserve"> aby respekt</w:t>
      </w:r>
      <w:r w:rsidR="0814496E" w:rsidRPr="003D1E07">
        <w:t>oval specifické postavení</w:t>
      </w:r>
      <w:r w:rsidR="087F7732" w:rsidRPr="003D1E07">
        <w:t xml:space="preserve"> teologie vůči filosofii</w:t>
      </w:r>
      <w:r w:rsidR="00FF2743">
        <w:t xml:space="preserve"> </w:t>
      </w:r>
      <w:r w:rsidR="00FF2743" w:rsidRPr="003D1E07">
        <w:t xml:space="preserve">chápané spíše jako aristotelismus pro </w:t>
      </w:r>
      <w:r w:rsidR="00FF2743" w:rsidRPr="003D1E07">
        <w:lastRenderedPageBreak/>
        <w:t>lid</w:t>
      </w:r>
      <w:r w:rsidR="087F7732" w:rsidRPr="003D1E07">
        <w:t>.</w:t>
      </w:r>
      <w:r w:rsidR="087F7732" w:rsidRPr="003D1E07">
        <w:rPr>
          <w:rStyle w:val="Znakapoznpodarou"/>
        </w:rPr>
        <w:footnoteReference w:id="113"/>
      </w:r>
      <w:r w:rsidR="08CE6D81" w:rsidRPr="003D1E07">
        <w:t xml:space="preserve"> </w:t>
      </w:r>
      <w:r w:rsidR="088C79D1" w:rsidRPr="003D1E07">
        <w:t xml:space="preserve">Dvojznačnost substance zakládá ambivalenci první vědy, která je definovaná jak zkoumáním substance, tak i ontoteologickým určením Prvního bytí jako absolutně jednoduchého a odděleného Jednoho a Pravdy. Toto zdůvodnění legitimuje </w:t>
      </w:r>
      <w:r w:rsidR="08600F5B" w:rsidRPr="003D1E07">
        <w:t xml:space="preserve">výše citovaná pasáž </w:t>
      </w:r>
      <w:r w:rsidR="08600F5B" w:rsidRPr="003D1E07">
        <w:rPr>
          <w:i/>
        </w:rPr>
        <w:t xml:space="preserve">Metafyziky </w:t>
      </w:r>
      <w:r w:rsidR="08600F5B" w:rsidRPr="003D1E07">
        <w:t>tím, že</w:t>
      </w:r>
      <w:r w:rsidR="08600F5B" w:rsidRPr="003D1E07">
        <w:rPr>
          <w:i/>
        </w:rPr>
        <w:t xml:space="preserve"> </w:t>
      </w:r>
      <w:r w:rsidR="088C79D1" w:rsidRPr="003D1E07">
        <w:t xml:space="preserve">spojuje v modu </w:t>
      </w:r>
      <w:r w:rsidR="088C79D1" w:rsidRPr="003D1E07">
        <w:rPr>
          <w:i/>
        </w:rPr>
        <w:t>simpliciter</w:t>
      </w:r>
      <w:r w:rsidR="088C79D1" w:rsidRPr="003D1E07">
        <w:t xml:space="preserve"> bytí jsoucna i stejně danou pravdu (</w:t>
      </w:r>
      <w:r w:rsidR="088C79D1" w:rsidRPr="003D1E07">
        <w:rPr>
          <w:i/>
        </w:rPr>
        <w:t>Met</w:t>
      </w:r>
      <w:r w:rsidR="088C79D1" w:rsidRPr="003D1E07">
        <w:t>. 1026a33‒35</w:t>
      </w:r>
      <w:r w:rsidR="088C79D1" w:rsidRPr="003D1E07">
        <w:fldChar w:fldCharType="begin"/>
      </w:r>
      <w:r w:rsidR="088C79D1" w:rsidRPr="003D1E07">
        <w:instrText xml:space="preserve"> XE "Aristoteles:</w:instrText>
      </w:r>
      <w:r w:rsidR="088C79D1" w:rsidRPr="003D1E07">
        <w:rPr>
          <w:i/>
        </w:rPr>
        <w:instrText>Met</w:instrText>
      </w:r>
      <w:r w:rsidR="088C79D1" w:rsidRPr="003D1E07">
        <w:instrText xml:space="preserve">. 1026a33‒35" </w:instrText>
      </w:r>
      <w:r w:rsidR="088C79D1" w:rsidRPr="003D1E07">
        <w:fldChar w:fldCharType="end"/>
      </w:r>
      <w:r w:rsidR="088C79D1" w:rsidRPr="003D1E07">
        <w:t xml:space="preserve">). Jednota </w:t>
      </w:r>
      <w:r w:rsidR="08AB47D5" w:rsidRPr="003D1E07">
        <w:t xml:space="preserve">pravdy </w:t>
      </w:r>
      <w:r w:rsidR="088C79D1" w:rsidRPr="003D1E07">
        <w:t xml:space="preserve">daná za bytím substance signifikuje jsoucno (τὸ ὂν) podle </w:t>
      </w:r>
      <w:r w:rsidR="08DD30D1" w:rsidRPr="003D1E07">
        <w:t xml:space="preserve">uvedené </w:t>
      </w:r>
      <w:r w:rsidR="088C79D1" w:rsidRPr="003D1E07">
        <w:t xml:space="preserve">citace v </w:t>
      </w:r>
      <w:r w:rsidR="088C79D1" w:rsidRPr="003D1E07">
        <w:rPr>
          <w:i/>
        </w:rPr>
        <w:t>Metafyzice</w:t>
      </w:r>
      <w:r w:rsidR="088C79D1" w:rsidRPr="003D1E07">
        <w:t xml:space="preserve"> v</w:t>
      </w:r>
      <w:r w:rsidR="08DD30D1" w:rsidRPr="003D1E07">
        <w:t> </w:t>
      </w:r>
      <w:r w:rsidR="088C79D1" w:rsidRPr="003D1E07">
        <w:t>modu</w:t>
      </w:r>
      <w:r w:rsidR="08DD30D1" w:rsidRPr="003D1E07">
        <w:t xml:space="preserve"> </w:t>
      </w:r>
      <w:r w:rsidR="088C79D1" w:rsidRPr="003D1E07">
        <w:t>původní jednoduchost</w:t>
      </w:r>
      <w:r w:rsidR="08DD30D1" w:rsidRPr="003D1E07">
        <w:t xml:space="preserve">i (ἁπλῶς λεγόμενον). </w:t>
      </w:r>
      <w:r w:rsidR="08253ECA" w:rsidRPr="003D1E07">
        <w:t xml:space="preserve">Druhý mistr hledá první a poslední pravdu </w:t>
      </w:r>
      <w:r w:rsidR="00145656" w:rsidRPr="003D1E07">
        <w:t xml:space="preserve">v transcendentální </w:t>
      </w:r>
      <w:r w:rsidR="08253ECA" w:rsidRPr="003D1E07">
        <w:t xml:space="preserve">predikaci, protože </w:t>
      </w:r>
      <w:r w:rsidR="08FA00F6" w:rsidRPr="003D1E07">
        <w:t xml:space="preserve">Stvořitel </w:t>
      </w:r>
      <w:r w:rsidR="08253ECA" w:rsidRPr="003D1E07">
        <w:t xml:space="preserve">je tato pravda. </w:t>
      </w:r>
      <w:r w:rsidR="080C1879" w:rsidRPr="003D1E07">
        <w:t xml:space="preserve">Nová predikace </w:t>
      </w:r>
      <w:r w:rsidR="08F30BBB" w:rsidRPr="003D1E07">
        <w:t xml:space="preserve">pravdy a jsoucna </w:t>
      </w:r>
      <w:r w:rsidR="088C79D1" w:rsidRPr="003D1E07">
        <w:t xml:space="preserve">transcenduje </w:t>
      </w:r>
      <w:r w:rsidR="080C1879" w:rsidRPr="003D1E07">
        <w:t xml:space="preserve">aristotelská </w:t>
      </w:r>
      <w:r w:rsidR="088C79D1" w:rsidRPr="003D1E07">
        <w:t>kategoriální určení.</w:t>
      </w:r>
      <w:r w:rsidR="084F6A21" w:rsidRPr="003D1E07">
        <w:t xml:space="preserve"> Neoplatonské Jedno mimo substanci nebo aristotelské Jedno jako substance je tak či onak oddělené od podřízených nebeských sfér a zároveň je determinuje.</w:t>
      </w:r>
      <w:r w:rsidR="082B58AB" w:rsidRPr="003D1E07">
        <w:t xml:space="preserve"> </w:t>
      </w:r>
      <w:r w:rsidR="00E374CC" w:rsidRPr="003D1E07">
        <w:t>P</w:t>
      </w:r>
      <w:r w:rsidR="08FD3F28" w:rsidRPr="003D1E07">
        <w:rPr>
          <w:lang w:eastAsia="en-US"/>
        </w:rPr>
        <w:t xml:space="preserve">redikace </w:t>
      </w:r>
      <w:r w:rsidR="08FD3F28" w:rsidRPr="003D1E07">
        <w:rPr>
          <w:i/>
          <w:lang w:eastAsia="en-US"/>
        </w:rPr>
        <w:t>per prius</w:t>
      </w:r>
      <w:r w:rsidR="00C16735" w:rsidRPr="003D1E07">
        <w:rPr>
          <w:lang w:eastAsia="en-US"/>
        </w:rPr>
        <w:t xml:space="preserve"> determinuje </w:t>
      </w:r>
      <w:r w:rsidR="002F5661" w:rsidRPr="003D1E07">
        <w:rPr>
          <w:lang w:eastAsia="en-US"/>
        </w:rPr>
        <w:t xml:space="preserve">jak </w:t>
      </w:r>
      <w:r w:rsidR="00E374CC" w:rsidRPr="003D1E07">
        <w:rPr>
          <w:lang w:eastAsia="en-US"/>
        </w:rPr>
        <w:t xml:space="preserve">amfibolické </w:t>
      </w:r>
      <w:r w:rsidR="002F5661" w:rsidRPr="003D1E07">
        <w:rPr>
          <w:lang w:eastAsia="en-US"/>
        </w:rPr>
        <w:t xml:space="preserve">určení jsoucna, tak </w:t>
      </w:r>
      <w:r w:rsidR="00E374CC" w:rsidRPr="003D1E07">
        <w:rPr>
          <w:lang w:eastAsia="en-US"/>
        </w:rPr>
        <w:t xml:space="preserve">aristotelské </w:t>
      </w:r>
      <w:r w:rsidR="002F5661" w:rsidRPr="003D1E07">
        <w:rPr>
          <w:lang w:eastAsia="en-US"/>
        </w:rPr>
        <w:t>určení substance</w:t>
      </w:r>
      <w:r w:rsidR="00BC560B">
        <w:rPr>
          <w:lang w:eastAsia="en-US"/>
        </w:rPr>
        <w:t>.</w:t>
      </w:r>
    </w:p>
    <w:p w14:paraId="56189DE1" w14:textId="0DC30161" w:rsidR="08035FF8" w:rsidRPr="003D1E07" w:rsidRDefault="00564936" w:rsidP="00BC560B">
      <w:pPr>
        <w:ind w:firstLine="397"/>
      </w:pPr>
      <w:r>
        <w:rPr>
          <w:lang w:eastAsia="en-US"/>
        </w:rPr>
        <w:t>M</w:t>
      </w:r>
      <w:r w:rsidR="00C16735" w:rsidRPr="003D1E07">
        <w:rPr>
          <w:lang w:eastAsia="en-US"/>
        </w:rPr>
        <w:t xml:space="preserve">etafyzika se </w:t>
      </w:r>
      <w:r w:rsidR="08FD3F28" w:rsidRPr="003D1E07">
        <w:rPr>
          <w:lang w:eastAsia="en-US"/>
        </w:rPr>
        <w:t xml:space="preserve">po odchodu Druhého mistra </w:t>
      </w:r>
      <w:r>
        <w:rPr>
          <w:lang w:eastAsia="en-US"/>
        </w:rPr>
        <w:t xml:space="preserve">nutně začala </w:t>
      </w:r>
      <w:r w:rsidR="00BC560B">
        <w:rPr>
          <w:lang w:eastAsia="en-US"/>
        </w:rPr>
        <w:t>ubíra</w:t>
      </w:r>
      <w:r>
        <w:rPr>
          <w:lang w:eastAsia="en-US"/>
        </w:rPr>
        <w:t>t</w:t>
      </w:r>
      <w:r w:rsidR="00C16735" w:rsidRPr="003D1E07">
        <w:rPr>
          <w:lang w:eastAsia="en-US"/>
        </w:rPr>
        <w:t xml:space="preserve"> </w:t>
      </w:r>
      <w:r w:rsidR="08FD3F28" w:rsidRPr="003D1E07">
        <w:rPr>
          <w:lang w:eastAsia="en-US"/>
        </w:rPr>
        <w:t xml:space="preserve">dvěma zásadně odlišnými směry. Aristotelské určení substance </w:t>
      </w:r>
      <w:r w:rsidR="08450065" w:rsidRPr="003D1E07">
        <w:rPr>
          <w:lang w:eastAsia="en-US"/>
        </w:rPr>
        <w:t xml:space="preserve">běží </w:t>
      </w:r>
      <w:r w:rsidR="08FD3F28" w:rsidRPr="003D1E07">
        <w:rPr>
          <w:lang w:eastAsia="en-US"/>
        </w:rPr>
        <w:t>v rámci kategoriální predikace</w:t>
      </w:r>
      <w:r w:rsidR="08965416" w:rsidRPr="003D1E07">
        <w:rPr>
          <w:lang w:eastAsia="en-US"/>
        </w:rPr>
        <w:t xml:space="preserve"> dané v modu </w:t>
      </w:r>
      <w:r w:rsidR="089108A9" w:rsidRPr="003D1E07">
        <w:t xml:space="preserve">metafyzického </w:t>
      </w:r>
      <w:r w:rsidR="08965416" w:rsidRPr="003D1E07">
        <w:rPr>
          <w:lang w:eastAsia="en-US"/>
        </w:rPr>
        <w:t>dativu</w:t>
      </w:r>
      <w:r w:rsidR="08450065" w:rsidRPr="003D1E07">
        <w:rPr>
          <w:lang w:eastAsia="en-US"/>
        </w:rPr>
        <w:t xml:space="preserve">. První substance tvoří </w:t>
      </w:r>
      <w:r w:rsidR="08FD3F28" w:rsidRPr="003D1E07">
        <w:rPr>
          <w:lang w:eastAsia="en-US"/>
        </w:rPr>
        <w:t xml:space="preserve">zdroj pohybu a </w:t>
      </w:r>
      <w:r w:rsidR="00766750">
        <w:rPr>
          <w:lang w:eastAsia="en-US"/>
        </w:rPr>
        <w:t>kauzality vztažených až k bytí Prvního h</w:t>
      </w:r>
      <w:r w:rsidR="08FD3F28" w:rsidRPr="003D1E07">
        <w:rPr>
          <w:lang w:eastAsia="en-US"/>
        </w:rPr>
        <w:t xml:space="preserve">ybatele daného fyzikálně jako </w:t>
      </w:r>
      <w:r w:rsidR="08FD3F28" w:rsidRPr="003D1E07">
        <w:rPr>
          <w:i/>
          <w:lang w:eastAsia="en-US"/>
        </w:rPr>
        <w:t>Primum mobile</w:t>
      </w:r>
      <w:r w:rsidR="08F77667" w:rsidRPr="003D1E07">
        <w:rPr>
          <w:i/>
        </w:rPr>
        <w:fldChar w:fldCharType="begin"/>
      </w:r>
      <w:r w:rsidR="08F77667" w:rsidRPr="003D1E07">
        <w:instrText xml:space="preserve"> XE "</w:instrText>
      </w:r>
      <w:r w:rsidR="08F77667" w:rsidRPr="003D1E07">
        <w:rPr>
          <w:i/>
        </w:rPr>
        <w:instrText>Primum Mobile</w:instrText>
      </w:r>
      <w:r w:rsidR="08F77667" w:rsidRPr="003D1E07">
        <w:instrText xml:space="preserve">" </w:instrText>
      </w:r>
      <w:r w:rsidR="08F77667" w:rsidRPr="003D1E07">
        <w:rPr>
          <w:i/>
        </w:rPr>
        <w:fldChar w:fldCharType="end"/>
      </w:r>
      <w:r w:rsidR="08FD3F28" w:rsidRPr="003D1E07">
        <w:rPr>
          <w:lang w:eastAsia="en-US"/>
        </w:rPr>
        <w:t xml:space="preserve"> a metafyzicky jako </w:t>
      </w:r>
      <w:r w:rsidR="08FD3F28" w:rsidRPr="003D1E07">
        <w:rPr>
          <w:i/>
          <w:lang w:eastAsia="en-US"/>
        </w:rPr>
        <w:t>Prima causa</w:t>
      </w:r>
      <w:r w:rsidR="08FD3F28" w:rsidRPr="003D1E07">
        <w:rPr>
          <w:i/>
          <w:lang w:eastAsia="en-US"/>
        </w:rPr>
        <w:fldChar w:fldCharType="begin"/>
      </w:r>
      <w:r w:rsidR="08FD3F28" w:rsidRPr="003D1E07">
        <w:instrText xml:space="preserve"> XE "metafyzika:Al-Fárábí" </w:instrText>
      </w:r>
      <w:r w:rsidR="08FD3F28" w:rsidRPr="003D1E07">
        <w:rPr>
          <w:i/>
          <w:lang w:eastAsia="en-US"/>
        </w:rPr>
        <w:fldChar w:fldCharType="end"/>
      </w:r>
      <w:r w:rsidR="08FD3F28" w:rsidRPr="003D1E07">
        <w:rPr>
          <w:lang w:eastAsia="en-US"/>
        </w:rPr>
        <w:t xml:space="preserve">. </w:t>
      </w:r>
      <w:r w:rsidR="082B58AB" w:rsidRPr="003D1E07">
        <w:rPr>
          <w:lang w:eastAsia="en-US"/>
        </w:rPr>
        <w:t xml:space="preserve">Platonismus naopak trvá na absolutně odděleném Jednom, jehož bytí je za esencí a jsoucnem. </w:t>
      </w:r>
      <w:r w:rsidR="08244129" w:rsidRPr="003D1E07">
        <w:rPr>
          <w:lang w:eastAsia="en-US"/>
        </w:rPr>
        <w:t>P</w:t>
      </w:r>
      <w:r w:rsidR="0839484A" w:rsidRPr="003D1E07">
        <w:t xml:space="preserve">rimární </w:t>
      </w:r>
      <w:r w:rsidR="08847536" w:rsidRPr="003D1E07">
        <w:t xml:space="preserve">spojení </w:t>
      </w:r>
      <w:r w:rsidR="08244129" w:rsidRPr="003D1E07">
        <w:t xml:space="preserve">Jednoho </w:t>
      </w:r>
      <w:r w:rsidR="08847536" w:rsidRPr="003D1E07">
        <w:t xml:space="preserve">se světem původních forem </w:t>
      </w:r>
      <w:r w:rsidR="08244129" w:rsidRPr="003D1E07">
        <w:t xml:space="preserve">se děje skrze </w:t>
      </w:r>
      <w:r w:rsidR="08847536" w:rsidRPr="003D1E07">
        <w:t>o</w:t>
      </w:r>
      <w:r w:rsidR="08847536" w:rsidRPr="003D1E07">
        <w:rPr>
          <w:lang w:eastAsia="en-US"/>
        </w:rPr>
        <w:t xml:space="preserve">ntoteologické určení </w:t>
      </w:r>
      <w:r w:rsidR="0839484A" w:rsidRPr="003D1E07">
        <w:rPr>
          <w:lang w:eastAsia="en-US"/>
        </w:rPr>
        <w:t xml:space="preserve">jsoucna třetího druhu </w:t>
      </w:r>
      <w:r w:rsidR="08847536" w:rsidRPr="003D1E07">
        <w:rPr>
          <w:lang w:eastAsia="en-US"/>
        </w:rPr>
        <w:t xml:space="preserve">jako </w:t>
      </w:r>
      <w:r w:rsidR="08B50919" w:rsidRPr="003D1E07">
        <w:rPr>
          <w:lang w:eastAsia="en-US"/>
        </w:rPr>
        <w:t xml:space="preserve">neutrální </w:t>
      </w:r>
      <w:r w:rsidR="08847536" w:rsidRPr="003D1E07">
        <w:rPr>
          <w:lang w:eastAsia="en-US"/>
        </w:rPr>
        <w:t xml:space="preserve">Mnohosti </w:t>
      </w:r>
      <w:r w:rsidR="08A4764E" w:rsidRPr="003D1E07">
        <w:rPr>
          <w:lang w:eastAsia="en-US"/>
        </w:rPr>
        <w:t xml:space="preserve">myšlené a </w:t>
      </w:r>
      <w:r w:rsidR="08244129" w:rsidRPr="003D1E07">
        <w:rPr>
          <w:lang w:eastAsia="en-US"/>
        </w:rPr>
        <w:t>přechováv</w:t>
      </w:r>
      <w:r w:rsidR="08A4764E" w:rsidRPr="003D1E07">
        <w:rPr>
          <w:lang w:eastAsia="en-US"/>
        </w:rPr>
        <w:t>a</w:t>
      </w:r>
      <w:r w:rsidR="08244129" w:rsidRPr="003D1E07">
        <w:rPr>
          <w:lang w:eastAsia="en-US"/>
        </w:rPr>
        <w:t>n</w:t>
      </w:r>
      <w:r w:rsidR="08A4764E" w:rsidRPr="003D1E07">
        <w:rPr>
          <w:lang w:eastAsia="en-US"/>
        </w:rPr>
        <w:t xml:space="preserve">é v </w:t>
      </w:r>
      <w:r w:rsidR="08847536" w:rsidRPr="003D1E07">
        <w:rPr>
          <w:lang w:eastAsia="en-US"/>
        </w:rPr>
        <w:t>neoplato</w:t>
      </w:r>
      <w:r w:rsidR="08A4764E" w:rsidRPr="003D1E07">
        <w:rPr>
          <w:lang w:eastAsia="en-US"/>
        </w:rPr>
        <w:t xml:space="preserve">nském Jednom. </w:t>
      </w:r>
      <w:r w:rsidR="08A4764E" w:rsidRPr="003D1E07">
        <w:t xml:space="preserve">Oddělené </w:t>
      </w:r>
      <w:r w:rsidR="08FD0793" w:rsidRPr="003D1E07">
        <w:t xml:space="preserve">Jedno je v Porfýriově zdvojení bytí také </w:t>
      </w:r>
      <w:r w:rsidR="08CF6FBD" w:rsidRPr="003D1E07">
        <w:t>Mnohým, takže obsahuje všechna</w:t>
      </w:r>
      <w:r w:rsidR="08FD0793" w:rsidRPr="003D1E07">
        <w:t xml:space="preserve"> potenciál</w:t>
      </w:r>
      <w:r w:rsidR="08CF6FBD" w:rsidRPr="003D1E07">
        <w:t>ní určení jsou</w:t>
      </w:r>
      <w:r w:rsidR="08FD0793" w:rsidRPr="003D1E07">
        <w:t xml:space="preserve">cna v původní podobě </w:t>
      </w:r>
      <w:r w:rsidR="08FD0793" w:rsidRPr="003D1E07">
        <w:rPr>
          <w:i/>
        </w:rPr>
        <w:t>tertium ens</w:t>
      </w:r>
      <w:r w:rsidR="08FD0793" w:rsidRPr="003D1E07">
        <w:t xml:space="preserve">. </w:t>
      </w:r>
      <w:r w:rsidR="08244129" w:rsidRPr="003D1E07">
        <w:rPr>
          <w:lang w:eastAsia="en-US"/>
        </w:rPr>
        <w:t>Spojení Jednoho a Mnohého je dáno kauzálně, formálně, finálně</w:t>
      </w:r>
      <w:r w:rsidR="00F74D5A">
        <w:rPr>
          <w:lang w:eastAsia="en-US"/>
        </w:rPr>
        <w:t xml:space="preserve"> </w:t>
      </w:r>
      <w:r w:rsidR="005961E6">
        <w:rPr>
          <w:lang w:eastAsia="en-US"/>
        </w:rPr>
        <w:t xml:space="preserve">a </w:t>
      </w:r>
      <w:r w:rsidR="00F74D5A">
        <w:rPr>
          <w:lang w:eastAsia="en-US"/>
        </w:rPr>
        <w:t xml:space="preserve">je tvořeno </w:t>
      </w:r>
      <w:r w:rsidR="08244129" w:rsidRPr="003D1E07">
        <w:rPr>
          <w:lang w:eastAsia="en-US"/>
        </w:rPr>
        <w:t>mystickou</w:t>
      </w:r>
      <w:r w:rsidR="00F74D5A">
        <w:rPr>
          <w:lang w:eastAsia="en-US"/>
        </w:rPr>
        <w:t xml:space="preserve"> a objektivní </w:t>
      </w:r>
      <w:r w:rsidR="08244129" w:rsidRPr="003D1E07">
        <w:t xml:space="preserve">participací. </w:t>
      </w:r>
      <w:r w:rsidR="00A43FE7">
        <w:t>Takto osvícený p</w:t>
      </w:r>
      <w:r w:rsidR="08847536" w:rsidRPr="003D1E07">
        <w:rPr>
          <w:lang w:eastAsia="en-US"/>
        </w:rPr>
        <w:t xml:space="preserve">ohled </w:t>
      </w:r>
      <w:r w:rsidR="00A43FE7">
        <w:rPr>
          <w:lang w:eastAsia="en-US"/>
        </w:rPr>
        <w:t xml:space="preserve">modernistů </w:t>
      </w:r>
      <w:r w:rsidR="08847536" w:rsidRPr="003D1E07">
        <w:rPr>
          <w:lang w:eastAsia="en-US"/>
        </w:rPr>
        <w:t xml:space="preserve">sestupuje od Jednoho směrem dolů k mnohosti forem a substancí. </w:t>
      </w:r>
      <w:r w:rsidR="08CF6FBD" w:rsidRPr="003D1E07">
        <w:rPr>
          <w:lang w:eastAsia="en-US"/>
        </w:rPr>
        <w:t xml:space="preserve">Stejně může vystoupit pomocí aristotelské abstrakce od hylemorfické první substance až k Jednomu. </w:t>
      </w:r>
      <w:r w:rsidR="088630EC" w:rsidRPr="003D1E07">
        <w:rPr>
          <w:lang w:eastAsia="en-US"/>
        </w:rPr>
        <w:t xml:space="preserve">Spojením obou forem vidění vzniklo unitární vědění moderní </w:t>
      </w:r>
      <w:r w:rsidR="086D2B06" w:rsidRPr="003D1E07">
        <w:rPr>
          <w:lang w:eastAsia="en-US"/>
        </w:rPr>
        <w:t xml:space="preserve">ontoteologické metafyziky. </w:t>
      </w:r>
      <w:r w:rsidR="08BB7A53" w:rsidRPr="003D1E07">
        <w:rPr>
          <w:lang w:eastAsia="en-US"/>
        </w:rPr>
        <w:t xml:space="preserve">Pohled vedený z hlediska katabáze </w:t>
      </w:r>
      <w:r w:rsidR="089111EF" w:rsidRPr="003D1E07">
        <w:rPr>
          <w:lang w:eastAsia="en-US"/>
        </w:rPr>
        <w:t xml:space="preserve">směrem </w:t>
      </w:r>
      <w:r w:rsidR="085447FC" w:rsidRPr="003D1E07">
        <w:rPr>
          <w:lang w:eastAsia="en-US"/>
        </w:rPr>
        <w:t xml:space="preserve">od </w:t>
      </w:r>
      <w:r w:rsidR="08F12CDB" w:rsidRPr="003D1E07">
        <w:rPr>
          <w:lang w:eastAsia="en-US"/>
        </w:rPr>
        <w:t>Jednoho</w:t>
      </w:r>
      <w:r w:rsidR="089111EF" w:rsidRPr="003D1E07">
        <w:rPr>
          <w:lang w:eastAsia="en-US"/>
        </w:rPr>
        <w:t xml:space="preserve"> </w:t>
      </w:r>
      <w:r w:rsidR="082421F7" w:rsidRPr="003D1E07">
        <w:rPr>
          <w:lang w:eastAsia="en-US"/>
        </w:rPr>
        <w:t xml:space="preserve">do stvoření </w:t>
      </w:r>
      <w:r w:rsidR="08BB7A53" w:rsidRPr="003D1E07">
        <w:rPr>
          <w:lang w:eastAsia="en-US"/>
        </w:rPr>
        <w:t xml:space="preserve">se ptá, jak v lidském intelektu dochází k poznání hypostatické formy, </w:t>
      </w:r>
      <w:r w:rsidR="08BB7A53" w:rsidRPr="003D1E07">
        <w:rPr>
          <w:lang w:eastAsia="en-US"/>
        </w:rPr>
        <w:lastRenderedPageBreak/>
        <w:t xml:space="preserve">jejíž </w:t>
      </w:r>
      <w:r w:rsidR="085447FC" w:rsidRPr="003D1E07">
        <w:rPr>
          <w:lang w:eastAsia="en-US"/>
        </w:rPr>
        <w:t xml:space="preserve">první </w:t>
      </w:r>
      <w:r w:rsidR="08BB7A53" w:rsidRPr="003D1E07">
        <w:rPr>
          <w:lang w:eastAsia="en-US"/>
        </w:rPr>
        <w:t xml:space="preserve">signifikace je daná vzhledem k Jednomu. </w:t>
      </w:r>
      <w:r w:rsidR="0848596D" w:rsidRPr="003D1E07">
        <w:t>Moderní forma a</w:t>
      </w:r>
      <w:r w:rsidR="0848596D" w:rsidRPr="003D1E07">
        <w:rPr>
          <w:lang w:eastAsia="en-US"/>
        </w:rPr>
        <w:t xml:space="preserve">bstrakce </w:t>
      </w:r>
      <w:r w:rsidR="0848596D" w:rsidRPr="003D1E07">
        <w:t>(</w:t>
      </w:r>
      <w:r w:rsidR="0848596D" w:rsidRPr="003D1E07">
        <w:rPr>
          <w:i/>
        </w:rPr>
        <w:t>denudatio</w:t>
      </w:r>
      <w:r w:rsidR="08FB39FE" w:rsidRPr="003D1E07">
        <w:rPr>
          <w:i/>
        </w:rPr>
        <w:fldChar w:fldCharType="begin"/>
      </w:r>
      <w:r w:rsidR="08FB39FE" w:rsidRPr="003D1E07">
        <w:instrText xml:space="preserve"> XE "</w:instrText>
      </w:r>
      <w:r w:rsidR="08FB39FE" w:rsidRPr="003D1E07">
        <w:rPr>
          <w:i/>
        </w:rPr>
        <w:instrText>denudatio</w:instrText>
      </w:r>
      <w:r w:rsidR="08FB39FE" w:rsidRPr="003D1E07">
        <w:instrText xml:space="preserve">" </w:instrText>
      </w:r>
      <w:r w:rsidR="08FB39FE" w:rsidRPr="003D1E07">
        <w:rPr>
          <w:i/>
        </w:rPr>
        <w:fldChar w:fldCharType="end"/>
      </w:r>
      <w:r w:rsidR="0848596D" w:rsidRPr="003D1E07">
        <w:t xml:space="preserve">) </w:t>
      </w:r>
      <w:r w:rsidR="0848596D" w:rsidRPr="003D1E07">
        <w:rPr>
          <w:lang w:eastAsia="en-US"/>
        </w:rPr>
        <w:t xml:space="preserve">představuje </w:t>
      </w:r>
      <w:r w:rsidR="00474601" w:rsidRPr="003D1E07">
        <w:t xml:space="preserve">přímý </w:t>
      </w:r>
      <w:r w:rsidR="0848596D" w:rsidRPr="003D1E07">
        <w:t xml:space="preserve">a evidentní náhled ilumináta do </w:t>
      </w:r>
      <w:r w:rsidR="00474601" w:rsidRPr="003D1E07">
        <w:t xml:space="preserve">hypostatické </w:t>
      </w:r>
      <w:r w:rsidR="0848596D" w:rsidRPr="003D1E07">
        <w:rPr>
          <w:lang w:eastAsia="en-US"/>
        </w:rPr>
        <w:t>formy</w:t>
      </w:r>
      <w:r w:rsidR="00055FBD">
        <w:t xml:space="preserve">. Ta je daná </w:t>
      </w:r>
      <w:r w:rsidR="0848596D" w:rsidRPr="003D1E07">
        <w:t xml:space="preserve">ve formě </w:t>
      </w:r>
      <w:r w:rsidR="00474601" w:rsidRPr="003D1E07">
        <w:t xml:space="preserve">ontoteologického </w:t>
      </w:r>
      <w:r w:rsidR="0848596D" w:rsidRPr="003D1E07">
        <w:rPr>
          <w:i/>
        </w:rPr>
        <w:t>neutrum</w:t>
      </w:r>
      <w:r w:rsidR="00055FBD">
        <w:t xml:space="preserve"> v boží mysli nebo jako </w:t>
      </w:r>
      <w:r w:rsidR="00055FBD" w:rsidRPr="00055FBD">
        <w:rPr>
          <w:i/>
        </w:rPr>
        <w:t>tertium ens</w:t>
      </w:r>
      <w:r w:rsidR="00055FBD">
        <w:t xml:space="preserve"> ve světě hypostatických forem. </w:t>
      </w:r>
      <w:r w:rsidR="0848596D" w:rsidRPr="003D1E07">
        <w:t>M</w:t>
      </w:r>
      <w:r w:rsidR="0848596D" w:rsidRPr="003D1E07">
        <w:rPr>
          <w:lang w:eastAsia="en-US"/>
        </w:rPr>
        <w:t xml:space="preserve">ystická konjunkce </w:t>
      </w:r>
      <w:r w:rsidR="0848596D" w:rsidRPr="003D1E07">
        <w:t>darovaného intelektu (</w:t>
      </w:r>
      <w:r w:rsidR="0848596D" w:rsidRPr="003D1E07">
        <w:rPr>
          <w:i/>
        </w:rPr>
        <w:t>intellectus adeptus</w:t>
      </w:r>
      <w:r w:rsidR="0848596D" w:rsidRPr="003D1E07">
        <w:t xml:space="preserve">) </w:t>
      </w:r>
      <w:r w:rsidR="0848596D" w:rsidRPr="003D1E07">
        <w:rPr>
          <w:lang w:eastAsia="en-US"/>
        </w:rPr>
        <w:t xml:space="preserve">s </w:t>
      </w:r>
      <w:r w:rsidR="0848596D" w:rsidRPr="003D1E07">
        <w:t xml:space="preserve">myšlením Jednoho </w:t>
      </w:r>
      <w:r w:rsidR="00913A62">
        <w:t>dovoluje iluminátům, aby „viděli</w:t>
      </w:r>
      <w:r w:rsidR="0848596D" w:rsidRPr="003D1E07">
        <w:t>“ pod vlivem Fúrií tuto neutrální ob</w:t>
      </w:r>
      <w:r w:rsidR="00913A62">
        <w:t>jektivní formu</w:t>
      </w:r>
      <w:r w:rsidR="00544FC6" w:rsidRPr="003D1E07">
        <w:t xml:space="preserve">. </w:t>
      </w:r>
      <w:r w:rsidR="00FA5CD3" w:rsidRPr="003D1E07">
        <w:t>Objektivní š</w:t>
      </w:r>
      <w:r w:rsidR="00544FC6" w:rsidRPr="003D1E07">
        <w:t>ílenství moderny (</w:t>
      </w:r>
      <w:r w:rsidR="00544FC6" w:rsidRPr="003D1E07">
        <w:rPr>
          <w:i/>
        </w:rPr>
        <w:t>Irre</w:t>
      </w:r>
      <w:r w:rsidR="00544FC6" w:rsidRPr="003D1E07">
        <w:t xml:space="preserve">) je v tom, že oba subjekty </w:t>
      </w:r>
      <w:r w:rsidR="00FA5CD3" w:rsidRPr="003D1E07">
        <w:t xml:space="preserve">(iluminát a jím poznávaná forma) </w:t>
      </w:r>
      <w:r w:rsidR="0848596D" w:rsidRPr="003D1E07">
        <w:t xml:space="preserve">tvoří </w:t>
      </w:r>
      <w:r w:rsidR="00544FC6" w:rsidRPr="003D1E07">
        <w:t xml:space="preserve">mytopoetickou </w:t>
      </w:r>
      <w:r w:rsidR="0848596D" w:rsidRPr="003D1E07">
        <w:t xml:space="preserve">jednotu s kosmickým </w:t>
      </w:r>
      <w:r w:rsidR="0848596D" w:rsidRPr="003D1E07">
        <w:rPr>
          <w:i/>
        </w:rPr>
        <w:t>intellectus agens</w:t>
      </w:r>
      <w:r w:rsidR="0848596D" w:rsidRPr="003D1E07">
        <w:rPr>
          <w:lang w:eastAsia="en-US"/>
        </w:rPr>
        <w:t>.</w:t>
      </w:r>
      <w:r w:rsidR="08046210" w:rsidRPr="003D1E07">
        <w:rPr>
          <w:lang w:eastAsia="en-US"/>
        </w:rPr>
        <w:t xml:space="preserve"> </w:t>
      </w:r>
      <w:r w:rsidR="08BB7A53" w:rsidRPr="003D1E07">
        <w:rPr>
          <w:lang w:eastAsia="en-US"/>
        </w:rPr>
        <w:t xml:space="preserve">Určující silou </w:t>
      </w:r>
      <w:r w:rsidR="08AD0BAA" w:rsidRPr="003D1E07">
        <w:rPr>
          <w:lang w:eastAsia="en-US"/>
        </w:rPr>
        <w:t xml:space="preserve">iluminace </w:t>
      </w:r>
      <w:r w:rsidR="08BB7A53" w:rsidRPr="003D1E07">
        <w:rPr>
          <w:lang w:eastAsia="en-US"/>
        </w:rPr>
        <w:t xml:space="preserve">jsou autonomní formy </w:t>
      </w:r>
      <w:r w:rsidR="08AD0BAA" w:rsidRPr="003D1E07">
        <w:rPr>
          <w:lang w:eastAsia="en-US"/>
        </w:rPr>
        <w:t>a amfibola sdílená</w:t>
      </w:r>
      <w:r w:rsidR="08BB7A53" w:rsidRPr="003D1E07">
        <w:rPr>
          <w:lang w:eastAsia="en-US"/>
        </w:rPr>
        <w:t xml:space="preserve"> skrze darovaný intelekt, který je osvícený odděleným činným intelektem. </w:t>
      </w:r>
      <w:r w:rsidR="087719CA" w:rsidRPr="003D1E07">
        <w:rPr>
          <w:lang w:eastAsia="en-US"/>
        </w:rPr>
        <w:t xml:space="preserve">Anabázi </w:t>
      </w:r>
      <w:r w:rsidR="089111EF" w:rsidRPr="003D1E07">
        <w:rPr>
          <w:lang w:eastAsia="en-US"/>
        </w:rPr>
        <w:t>k bohu</w:t>
      </w:r>
      <w:r w:rsidR="08F12CDB" w:rsidRPr="003D1E07">
        <w:rPr>
          <w:lang w:eastAsia="en-US"/>
        </w:rPr>
        <w:t xml:space="preserve"> </w:t>
      </w:r>
      <w:r w:rsidR="087719CA" w:rsidRPr="003D1E07">
        <w:rPr>
          <w:lang w:eastAsia="en-US"/>
        </w:rPr>
        <w:t>zakládá aristotelská abstrakce daná směrem od smyslových vjemů k poznaným formám v aktualizovaném materiálním intelektu (</w:t>
      </w:r>
      <w:r w:rsidR="087719CA" w:rsidRPr="003D1E07">
        <w:rPr>
          <w:i/>
          <w:lang w:eastAsia="en-US"/>
        </w:rPr>
        <w:t>intellectus in potentia</w:t>
      </w:r>
      <w:r w:rsidR="087719CA" w:rsidRPr="003D1E07">
        <w:rPr>
          <w:i/>
          <w:lang w:eastAsia="en-US"/>
        </w:rPr>
        <w:fldChar w:fldCharType="begin"/>
      </w:r>
      <w:r w:rsidR="087719CA" w:rsidRPr="003D1E07">
        <w:instrText xml:space="preserve"> XE "</w:instrText>
      </w:r>
      <w:r w:rsidR="087719CA" w:rsidRPr="003D1E07">
        <w:rPr>
          <w:i/>
          <w:lang w:eastAsia="en-US"/>
        </w:rPr>
        <w:instrText>intellectus in potentia:</w:instrText>
      </w:r>
      <w:r w:rsidR="087719CA" w:rsidRPr="003D1E07">
        <w:instrText xml:space="preserve">Al-Fárábí" </w:instrText>
      </w:r>
      <w:r w:rsidR="087719CA" w:rsidRPr="003D1E07">
        <w:rPr>
          <w:i/>
          <w:lang w:eastAsia="en-US"/>
        </w:rPr>
        <w:fldChar w:fldCharType="end"/>
      </w:r>
      <w:r w:rsidR="087719CA" w:rsidRPr="003D1E07">
        <w:rPr>
          <w:lang w:eastAsia="en-US"/>
        </w:rPr>
        <w:t xml:space="preserve">). </w:t>
      </w:r>
      <w:r w:rsidR="08B35329" w:rsidRPr="003D1E07">
        <w:rPr>
          <w:lang w:eastAsia="en-US"/>
        </w:rPr>
        <w:t xml:space="preserve">Aristotelský intelekt pak sleduje cestu kauzálně způsobeného poznání daného přirozeně a skončí u přirozeně poznaného boha jako </w:t>
      </w:r>
      <w:r w:rsidR="08B35329" w:rsidRPr="003D1E07">
        <w:rPr>
          <w:i/>
          <w:lang w:eastAsia="en-US"/>
        </w:rPr>
        <w:t>causa prima</w:t>
      </w:r>
      <w:r w:rsidR="08B35329" w:rsidRPr="003D1E07">
        <w:rPr>
          <w:lang w:eastAsia="en-US"/>
        </w:rPr>
        <w:t xml:space="preserve">. </w:t>
      </w:r>
      <w:r w:rsidR="08370C62" w:rsidRPr="003D1E07">
        <w:rPr>
          <w:lang w:eastAsia="en-US"/>
        </w:rPr>
        <w:t>Křižovatkou obou pohledů, jejichž předchůdná dráha náhledu (</w:t>
      </w:r>
      <w:r w:rsidR="085452ED" w:rsidRPr="003D1E07">
        <w:rPr>
          <w:i/>
          <w:lang w:eastAsia="en-US"/>
        </w:rPr>
        <w:t>Vor-</w:t>
      </w:r>
      <w:r w:rsidR="08370C62" w:rsidRPr="003D1E07">
        <w:rPr>
          <w:i/>
          <w:lang w:eastAsia="en-US"/>
        </w:rPr>
        <w:t>blickbahn</w:t>
      </w:r>
      <w:r w:rsidR="08370C62" w:rsidRPr="003D1E07">
        <w:rPr>
          <w:i/>
          <w:lang w:eastAsia="en-US"/>
        </w:rPr>
        <w:fldChar w:fldCharType="begin"/>
      </w:r>
      <w:r w:rsidR="08370C62" w:rsidRPr="003D1E07">
        <w:instrText xml:space="preserve"> XE "</w:instrText>
      </w:r>
      <w:r w:rsidR="08106DC9" w:rsidRPr="003D1E07">
        <w:rPr>
          <w:i/>
        </w:rPr>
        <w:instrText>Vor-</w:instrText>
      </w:r>
      <w:r w:rsidR="08370C62" w:rsidRPr="003D1E07">
        <w:rPr>
          <w:i/>
        </w:rPr>
        <w:instrText>b</w:instrText>
      </w:r>
      <w:r w:rsidR="08370C62" w:rsidRPr="003D1E07">
        <w:rPr>
          <w:i/>
          <w:iCs/>
        </w:rPr>
        <w:instrText>lickbahn:</w:instrText>
      </w:r>
      <w:r w:rsidR="08370C62" w:rsidRPr="003D1E07">
        <w:rPr>
          <w:iCs/>
        </w:rPr>
        <w:instrText>iluminace</w:instrText>
      </w:r>
      <w:r w:rsidR="08370C62" w:rsidRPr="003D1E07">
        <w:instrText xml:space="preserve">" </w:instrText>
      </w:r>
      <w:r w:rsidR="08370C62" w:rsidRPr="003D1E07">
        <w:rPr>
          <w:i/>
          <w:lang w:eastAsia="en-US"/>
        </w:rPr>
        <w:fldChar w:fldCharType="end"/>
      </w:r>
      <w:r w:rsidR="08370C62" w:rsidRPr="003D1E07">
        <w:rPr>
          <w:lang w:eastAsia="en-US"/>
        </w:rPr>
        <w:t>) je determinována modu anabáze a katabáze, se stává darovaný intelekt (</w:t>
      </w:r>
      <w:r w:rsidR="08370C62" w:rsidRPr="003D1E07">
        <w:rPr>
          <w:i/>
          <w:lang w:eastAsia="en-US"/>
        </w:rPr>
        <w:t>intellectus adeptus</w:t>
      </w:r>
      <w:r w:rsidR="08370C62" w:rsidRPr="003D1E07">
        <w:rPr>
          <w:i/>
          <w:lang w:eastAsia="en-US"/>
        </w:rPr>
        <w:fldChar w:fldCharType="begin"/>
      </w:r>
      <w:r w:rsidR="08370C62" w:rsidRPr="003D1E07">
        <w:instrText xml:space="preserve"> XE "</w:instrText>
      </w:r>
      <w:r w:rsidR="08370C62" w:rsidRPr="003D1E07">
        <w:rPr>
          <w:i/>
        </w:rPr>
        <w:instrText>intellectus adeptus</w:instrText>
      </w:r>
      <w:r w:rsidR="08370C62" w:rsidRPr="003D1E07">
        <w:instrText xml:space="preserve">:Al-Fárábí" </w:instrText>
      </w:r>
      <w:r w:rsidR="08370C62" w:rsidRPr="003D1E07">
        <w:rPr>
          <w:i/>
          <w:lang w:eastAsia="en-US"/>
        </w:rPr>
        <w:fldChar w:fldCharType="end"/>
      </w:r>
      <w:r w:rsidR="08370C62" w:rsidRPr="003D1E07">
        <w:rPr>
          <w:lang w:eastAsia="en-US"/>
        </w:rPr>
        <w:t xml:space="preserve">). </w:t>
      </w:r>
      <w:r w:rsidR="085E71EA" w:rsidRPr="003D1E07">
        <w:t xml:space="preserve">Gnosticky a mysticky osvícený náhled darovaného intelektu </w:t>
      </w:r>
      <w:r w:rsidR="0092557E" w:rsidRPr="003D1E07">
        <w:t xml:space="preserve">jde od kosmických forem k celku </w:t>
      </w:r>
      <w:r w:rsidR="085E71EA" w:rsidRPr="003D1E07">
        <w:t xml:space="preserve">jsoucna. </w:t>
      </w:r>
      <w:r w:rsidR="0092557E" w:rsidRPr="003D1E07">
        <w:t xml:space="preserve">Jednota </w:t>
      </w:r>
      <w:r w:rsidR="085E71EA" w:rsidRPr="003D1E07">
        <w:t>jsoucna je ontoteologicky a katabasicky dán</w:t>
      </w:r>
      <w:r w:rsidR="0092557E" w:rsidRPr="003D1E07">
        <w:t>a</w:t>
      </w:r>
      <w:r w:rsidR="085E71EA" w:rsidRPr="003D1E07">
        <w:t xml:space="preserve"> přechodem od Jednoho k Mnohému. Osvícený intelekt daný v Mnohém jej nazírá a vykládá v opačném směru, protože anabasicky vystupuje k Jednomu skrze objektivně, neutrálně a mysticky nazíraný smysl jsoucna. </w:t>
      </w:r>
      <w:r w:rsidR="08CF4761" w:rsidRPr="003D1E07">
        <w:t>Tot</w:t>
      </w:r>
      <w:r w:rsidR="0812007B" w:rsidRPr="003D1E07">
        <w:t>o</w:t>
      </w:r>
      <w:r w:rsidR="08CF4761" w:rsidRPr="003D1E07">
        <w:t xml:space="preserve"> druhé patro poznání představuje typicky neoplatonský produkt, protože pozdně antičtí ilumináti jako Simplikius tímto způsobem transcendovali kategoriální jednotu danou v </w:t>
      </w:r>
      <w:r w:rsidR="08CF4761" w:rsidRPr="003D1E07">
        <w:rPr>
          <w:i/>
        </w:rPr>
        <w:t>Isagoge</w:t>
      </w:r>
      <w:r w:rsidR="08AF6B7D" w:rsidRPr="003D1E07">
        <w:t xml:space="preserve"> (kap. 1.3</w:t>
      </w:r>
      <w:r w:rsidR="08CF4761" w:rsidRPr="003D1E07">
        <w:t xml:space="preserve">.1). Jednota predikace daná na úrovni kategorií vztažených ke smysly poznané substanci má dosáhnout neoplatonské jednoty dané na úrovni čistých forem a činných inteligencí. A tuto rovinu bytí jsoucna </w:t>
      </w:r>
      <w:r w:rsidR="000B340C" w:rsidRPr="003D1E07">
        <w:t xml:space="preserve">přímo </w:t>
      </w:r>
      <w:r w:rsidR="08CF4761" w:rsidRPr="003D1E07">
        <w:t xml:space="preserve">vnímá pouze náhled daný skrze </w:t>
      </w:r>
      <w:r w:rsidR="08CF4761" w:rsidRPr="003D1E07">
        <w:rPr>
          <w:i/>
        </w:rPr>
        <w:t xml:space="preserve">intellectus adeptus </w:t>
      </w:r>
      <w:r w:rsidR="08CF4761" w:rsidRPr="003D1E07">
        <w:t xml:space="preserve">napojený na nebeský, nemateriální a oddělený </w:t>
      </w:r>
      <w:r w:rsidR="08CF4761" w:rsidRPr="003D1E07">
        <w:rPr>
          <w:i/>
        </w:rPr>
        <w:t>intellectus agens</w:t>
      </w:r>
      <w:r w:rsidR="08CF4761" w:rsidRPr="003D1E07">
        <w:rPr>
          <w:i/>
        </w:rPr>
        <w:fldChar w:fldCharType="begin"/>
      </w:r>
      <w:r w:rsidR="08CF4761" w:rsidRPr="003D1E07">
        <w:instrText xml:space="preserve"> XE "</w:instrText>
      </w:r>
      <w:r w:rsidR="08CF4761" w:rsidRPr="003D1E07">
        <w:rPr>
          <w:i/>
        </w:rPr>
        <w:instrText>intellectus agens:</w:instrText>
      </w:r>
      <w:r w:rsidR="08CF4761" w:rsidRPr="003D1E07">
        <w:instrText xml:space="preserve">neoplatonismus" </w:instrText>
      </w:r>
      <w:r w:rsidR="08CF4761" w:rsidRPr="003D1E07">
        <w:rPr>
          <w:i/>
        </w:rPr>
        <w:fldChar w:fldCharType="end"/>
      </w:r>
      <w:r w:rsidR="08CF4761" w:rsidRPr="003D1E07">
        <w:t xml:space="preserve">. </w:t>
      </w:r>
      <w:r w:rsidR="088D32F8" w:rsidRPr="003D1E07">
        <w:t>Tento typ teoretického a mystického nazírání završí poznání lidského intelektu. Jeho smyslová aktualizace je daná na úrovni první intence vzniklé intelektuální recepcí (</w:t>
      </w:r>
      <w:r w:rsidR="088D32F8" w:rsidRPr="003D1E07">
        <w:rPr>
          <w:i/>
        </w:rPr>
        <w:t>intellectus in potencia</w:t>
      </w:r>
      <w:r w:rsidR="088D32F8" w:rsidRPr="003D1E07">
        <w:t xml:space="preserve">). Tuto recepci pak završí poznání dané aktivní abstrakcí hylemorfických forem </w:t>
      </w:r>
      <w:r w:rsidR="088D32F8" w:rsidRPr="003D1E07">
        <w:rPr>
          <w:szCs w:val="24"/>
        </w:rPr>
        <w:t>(</w:t>
      </w:r>
      <w:r w:rsidR="088D32F8" w:rsidRPr="003D1E07">
        <w:rPr>
          <w:i/>
          <w:szCs w:val="24"/>
        </w:rPr>
        <w:t>intellectus in effectu</w:t>
      </w:r>
      <w:r w:rsidR="088D32F8" w:rsidRPr="003D1E07">
        <w:rPr>
          <w:szCs w:val="24"/>
        </w:rPr>
        <w:t>)</w:t>
      </w:r>
      <w:r w:rsidR="088D32F8" w:rsidRPr="003D1E07">
        <w:t>. Tento typ aristotelského intelektu aktualizovaného ze smyslů tvoří první patro poznání</w:t>
      </w:r>
      <w:r w:rsidR="088D32F8" w:rsidRPr="003D1E07">
        <w:rPr>
          <w:szCs w:val="24"/>
        </w:rPr>
        <w:t>. Na úrovni druhé intence pak vzniká mystická neoplatonská iluminace (</w:t>
      </w:r>
      <w:r w:rsidR="088D32F8" w:rsidRPr="003D1E07">
        <w:rPr>
          <w:i/>
          <w:szCs w:val="24"/>
        </w:rPr>
        <w:t>intellectus adeptus</w:t>
      </w:r>
      <w:r w:rsidR="088D32F8" w:rsidRPr="003D1E07">
        <w:rPr>
          <w:szCs w:val="24"/>
        </w:rPr>
        <w:t xml:space="preserve">), která je napojena na činnost již aktualizovaného aristotelského intelektu ponořeného </w:t>
      </w:r>
      <w:r w:rsidR="08CF4761" w:rsidRPr="003D1E07">
        <w:t>do hylemorfické reality</w:t>
      </w:r>
      <w:r w:rsidR="088D32F8" w:rsidRPr="003D1E07">
        <w:t xml:space="preserve">. Nové vidění jsoucna přímo kontempluje aktuální </w:t>
      </w:r>
      <w:r w:rsidR="08035FF8" w:rsidRPr="003D1E07">
        <w:t xml:space="preserve">formy dané činností odděleného </w:t>
      </w:r>
      <w:r w:rsidR="088D32F8" w:rsidRPr="003D1E07">
        <w:t xml:space="preserve">kosmického </w:t>
      </w:r>
      <w:r w:rsidR="088D32F8" w:rsidRPr="003D1E07">
        <w:rPr>
          <w:i/>
        </w:rPr>
        <w:t xml:space="preserve">intellectus </w:t>
      </w:r>
      <w:r w:rsidR="088D32F8" w:rsidRPr="003D1E07">
        <w:rPr>
          <w:i/>
        </w:rPr>
        <w:lastRenderedPageBreak/>
        <w:t>agens</w:t>
      </w:r>
      <w:r w:rsidR="08CF4761" w:rsidRPr="003D1E07">
        <w:t xml:space="preserve">. </w:t>
      </w:r>
      <w:r w:rsidR="08035FF8" w:rsidRPr="003D1E07">
        <w:t xml:space="preserve">Abunaser vytvořil souběh dvou aktualizací intelektu, které přijal Avicenna a odmítl Averroes. </w:t>
      </w:r>
      <w:r w:rsidR="0812007B" w:rsidRPr="003D1E07">
        <w:t>M</w:t>
      </w:r>
      <w:r w:rsidR="087719CA" w:rsidRPr="003D1E07">
        <w:t xml:space="preserve">etafyzika </w:t>
      </w:r>
      <w:r w:rsidR="0812007B" w:rsidRPr="003D1E07">
        <w:t xml:space="preserve">založená na iluminaci </w:t>
      </w:r>
      <w:r w:rsidR="087719CA" w:rsidRPr="003D1E07">
        <w:t xml:space="preserve">získala v následujících generacích křesťansko-arabských myslitelů nečekanou dynamiku a dodnes funguje jako </w:t>
      </w:r>
      <w:r w:rsidR="005952D9">
        <w:t xml:space="preserve">skrytý základ </w:t>
      </w:r>
      <w:r w:rsidR="087719CA" w:rsidRPr="003D1E07">
        <w:t>objektivity.</w:t>
      </w:r>
      <w:r w:rsidR="08760A5A" w:rsidRPr="003D1E07">
        <w:t xml:space="preserve"> </w:t>
      </w:r>
      <w:r w:rsidR="00D57ACB" w:rsidRPr="003D1E07">
        <w:t xml:space="preserve">Aristotelská abstrakce a výklad poznání podle </w:t>
      </w:r>
      <w:r w:rsidR="00D57ACB" w:rsidRPr="003D1E07">
        <w:rPr>
          <w:i/>
        </w:rPr>
        <w:t>De anima</w:t>
      </w:r>
      <w:r w:rsidR="00D57ACB" w:rsidRPr="003D1E07">
        <w:t xml:space="preserve"> </w:t>
      </w:r>
      <w:r w:rsidR="08760A5A" w:rsidRPr="003D1E07">
        <w:t xml:space="preserve">byl v nové ontoteologii překonaný tím, že </w:t>
      </w:r>
      <w:r w:rsidR="08F51B32" w:rsidRPr="003D1E07">
        <w:t xml:space="preserve">Druhý mistr zavedl další stupeň poznání. Nové </w:t>
      </w:r>
      <w:r w:rsidR="00D57ACB" w:rsidRPr="003D1E07">
        <w:t xml:space="preserve">určování forem </w:t>
      </w:r>
      <w:r w:rsidR="08760A5A" w:rsidRPr="003D1E07">
        <w:t xml:space="preserve">probíhá </w:t>
      </w:r>
      <w:r w:rsidR="00D57ACB" w:rsidRPr="003D1E07">
        <w:t>na úrovni darovaného intelektu</w:t>
      </w:r>
      <w:r w:rsidR="08F51B32" w:rsidRPr="003D1E07">
        <w:t xml:space="preserve">, </w:t>
      </w:r>
      <w:r w:rsidR="0861253C" w:rsidRPr="003D1E07">
        <w:t xml:space="preserve">který staví na již daném poznání skrze </w:t>
      </w:r>
      <w:r w:rsidR="08F51B32" w:rsidRPr="003D1E07">
        <w:rPr>
          <w:i/>
        </w:rPr>
        <w:t>intellectus in effectu</w:t>
      </w:r>
      <w:r w:rsidR="08F51B32" w:rsidRPr="003D1E07">
        <w:t xml:space="preserve"> </w:t>
      </w:r>
      <w:r w:rsidR="0831773A" w:rsidRPr="003D1E07">
        <w:t xml:space="preserve">aktualizovaném </w:t>
      </w:r>
      <w:r w:rsidR="08F51B32" w:rsidRPr="003D1E07">
        <w:t xml:space="preserve">díky </w:t>
      </w:r>
      <w:r w:rsidR="08AD219E" w:rsidRPr="003D1E07">
        <w:t>svícení</w:t>
      </w:r>
      <w:r w:rsidR="0831773A" w:rsidRPr="003D1E07">
        <w:t xml:space="preserve"> zepředu od aristotelské abstrakce dané skrze </w:t>
      </w:r>
      <w:r w:rsidR="0831773A" w:rsidRPr="003D1E07">
        <w:rPr>
          <w:i/>
        </w:rPr>
        <w:t>intellectus in potencia</w:t>
      </w:r>
      <w:r w:rsidR="08760A5A" w:rsidRPr="003D1E07">
        <w:t xml:space="preserve">. </w:t>
      </w:r>
      <w:r w:rsidR="0831773A" w:rsidRPr="003D1E07">
        <w:t>Darovaný intelekt je aktualizo</w:t>
      </w:r>
      <w:r w:rsidR="008E173B" w:rsidRPr="003D1E07">
        <w:t>vaný skrze přirozené poznání. P</w:t>
      </w:r>
      <w:r w:rsidR="0831773A" w:rsidRPr="003D1E07">
        <w:t xml:space="preserve">ak </w:t>
      </w:r>
      <w:r w:rsidR="008E173B" w:rsidRPr="003D1E07">
        <w:t xml:space="preserve">se </w:t>
      </w:r>
      <w:r w:rsidR="0831773A" w:rsidRPr="003D1E07">
        <w:t xml:space="preserve">tento </w:t>
      </w:r>
      <w:r w:rsidR="008E173B" w:rsidRPr="003D1E07">
        <w:t>intelekt změní na hypostázovanou substanci</w:t>
      </w:r>
      <w:r w:rsidR="08760A5A" w:rsidRPr="003D1E07">
        <w:t xml:space="preserve"> </w:t>
      </w:r>
      <w:r w:rsidR="004A7175" w:rsidRPr="003D1E07">
        <w:t xml:space="preserve">třetího druhu </w:t>
      </w:r>
      <w:r w:rsidR="008E173B" w:rsidRPr="003D1E07">
        <w:t xml:space="preserve">a ta </w:t>
      </w:r>
      <w:r w:rsidR="00D57ACB" w:rsidRPr="003D1E07">
        <w:t>přímo komunikuje skrze iluminaci s odděleným činným int</w:t>
      </w:r>
      <w:r w:rsidR="08210E77" w:rsidRPr="003D1E07">
        <w:t>elektem kosmických inteligencí.</w:t>
      </w:r>
      <w:r w:rsidR="08C24B20" w:rsidRPr="003D1E07">
        <w:t xml:space="preserve"> </w:t>
      </w:r>
      <w:r w:rsidR="089D676B" w:rsidRPr="003D1E07">
        <w:t>První náhled nové metafyziky jde k substanci a k jejím vlastnostem</w:t>
      </w:r>
      <w:r w:rsidR="007571E2">
        <w:t xml:space="preserve">; </w:t>
      </w:r>
      <w:r w:rsidR="089D676B" w:rsidRPr="003D1E07">
        <w:t xml:space="preserve">druhý náhled sleduje </w:t>
      </w:r>
      <w:r w:rsidR="008E173B" w:rsidRPr="003D1E07">
        <w:t xml:space="preserve">amfibolní </w:t>
      </w:r>
      <w:r w:rsidR="089D676B" w:rsidRPr="003D1E07">
        <w:t>vlastnosti jsoucna transcendující kauzalitu první substance</w:t>
      </w:r>
      <w:r w:rsidR="08035FF8" w:rsidRPr="003D1E07">
        <w:t>.</w:t>
      </w:r>
    </w:p>
    <w:p w14:paraId="096D9CAE" w14:textId="2CACAC16" w:rsidR="00FA15D4" w:rsidRPr="003D1E07" w:rsidRDefault="08035FF8" w:rsidP="00FF0C79">
      <w:r w:rsidRPr="003D1E07">
        <w:tab/>
      </w:r>
      <w:r w:rsidR="08DD30D1" w:rsidRPr="003D1E07">
        <w:t xml:space="preserve">Díky trojí nejasnosti dané novým postavením substance, esence a intelektu je bytí jsoucího dáno v prostoru nové ontoteologie jako </w:t>
      </w:r>
      <w:r w:rsidR="08DD30D1" w:rsidRPr="003D1E07">
        <w:rPr>
          <w:lang w:eastAsia="en-US"/>
        </w:rPr>
        <w:t xml:space="preserve">A, a zároveň </w:t>
      </w:r>
      <w:r w:rsidR="081723AB" w:rsidRPr="003D1E07">
        <w:rPr>
          <w:lang w:eastAsia="en-US"/>
        </w:rPr>
        <w:t>jako non-A.</w:t>
      </w:r>
      <w:r w:rsidR="084E76CD" w:rsidRPr="003D1E07">
        <w:rPr>
          <w:lang w:eastAsia="en-US"/>
        </w:rPr>
        <w:t xml:space="preserve"> </w:t>
      </w:r>
      <w:r w:rsidR="08EB7276" w:rsidRPr="003D1E07">
        <w:rPr>
          <w:lang w:eastAsia="en-US"/>
        </w:rPr>
        <w:t xml:space="preserve">Hermeneutická archeologie našla původní událost vzniku jsoucna třetího druhu, které založilo západní objektivitu v modu původního </w:t>
      </w:r>
      <w:r w:rsidR="08EB7276" w:rsidRPr="003D1E07">
        <w:rPr>
          <w:i/>
          <w:lang w:eastAsia="en-US"/>
        </w:rPr>
        <w:t>Ereignis</w:t>
      </w:r>
      <w:r w:rsidR="085A313E" w:rsidRPr="003D1E07">
        <w:rPr>
          <w:i/>
        </w:rPr>
        <w:fldChar w:fldCharType="begin"/>
      </w:r>
      <w:r w:rsidR="085A313E" w:rsidRPr="003D1E07">
        <w:instrText xml:space="preserve"> XE "</w:instrText>
      </w:r>
      <w:r w:rsidR="085A313E" w:rsidRPr="003D1E07">
        <w:rPr>
          <w:i/>
        </w:rPr>
        <w:instrText>Ereignis</w:instrText>
      </w:r>
      <w:r w:rsidR="085A313E" w:rsidRPr="003D1E07">
        <w:instrText xml:space="preserve">" </w:instrText>
      </w:r>
      <w:r w:rsidR="085A313E" w:rsidRPr="003D1E07">
        <w:rPr>
          <w:i/>
        </w:rPr>
        <w:fldChar w:fldCharType="end"/>
      </w:r>
      <w:r w:rsidR="08EB7276" w:rsidRPr="003D1E07">
        <w:rPr>
          <w:lang w:eastAsia="en-US"/>
        </w:rPr>
        <w:t xml:space="preserve"> vztaženému k archaicky pojatému bytí jsoucna. </w:t>
      </w:r>
      <w:r w:rsidR="08D737AB" w:rsidRPr="003D1E07">
        <w:rPr>
          <w:lang w:eastAsia="en-US"/>
        </w:rPr>
        <w:t xml:space="preserve">Odkaz Druhého mistra vytvořil </w:t>
      </w:r>
      <w:r w:rsidR="08D737AB" w:rsidRPr="003D1E07">
        <w:rPr>
          <w:i/>
          <w:lang w:eastAsia="en-US"/>
        </w:rPr>
        <w:t>Lichtung</w:t>
      </w:r>
      <w:r w:rsidR="085A313E" w:rsidRPr="003D1E07">
        <w:rPr>
          <w:i/>
        </w:rPr>
        <w:fldChar w:fldCharType="begin"/>
      </w:r>
      <w:r w:rsidR="085A313E" w:rsidRPr="003D1E07">
        <w:instrText xml:space="preserve"> XE "</w:instrText>
      </w:r>
      <w:r w:rsidR="085A313E" w:rsidRPr="003D1E07">
        <w:rPr>
          <w:i/>
        </w:rPr>
        <w:instrText>Lichtung:</w:instrText>
      </w:r>
      <w:r w:rsidR="085A313E" w:rsidRPr="003D1E07">
        <w:instrText xml:space="preserve">falsafa" </w:instrText>
      </w:r>
      <w:r w:rsidR="085A313E" w:rsidRPr="003D1E07">
        <w:rPr>
          <w:i/>
        </w:rPr>
        <w:fldChar w:fldCharType="end"/>
      </w:r>
      <w:r w:rsidR="08D737AB" w:rsidRPr="003D1E07">
        <w:rPr>
          <w:lang w:eastAsia="en-US"/>
        </w:rPr>
        <w:t xml:space="preserve"> západní metafyziky po</w:t>
      </w:r>
      <w:r w:rsidR="08C95B5B" w:rsidRPr="003D1E07">
        <w:rPr>
          <w:lang w:eastAsia="en-US"/>
        </w:rPr>
        <w:t xml:space="preserve"> vzoru Prvního mistra. V </w:t>
      </w:r>
      <w:r w:rsidR="08EB7276" w:rsidRPr="003D1E07">
        <w:rPr>
          <w:lang w:eastAsia="en-US"/>
        </w:rPr>
        <w:t>dějinném prostoru nově</w:t>
      </w:r>
      <w:r w:rsidR="08D737AB" w:rsidRPr="003D1E07">
        <w:rPr>
          <w:lang w:eastAsia="en-US"/>
        </w:rPr>
        <w:t xml:space="preserve"> určené </w:t>
      </w:r>
      <w:r w:rsidR="00221D6E">
        <w:rPr>
          <w:lang w:eastAsia="en-US"/>
        </w:rPr>
        <w:t xml:space="preserve">metafyziky </w:t>
      </w:r>
      <w:r w:rsidR="085A313E" w:rsidRPr="003D1E07">
        <w:rPr>
          <w:i/>
          <w:lang w:eastAsia="en-US"/>
        </w:rPr>
        <w:fldChar w:fldCharType="begin"/>
      </w:r>
      <w:r w:rsidR="085A313E" w:rsidRPr="003D1E07">
        <w:instrText xml:space="preserve"> XE "</w:instrText>
      </w:r>
      <w:r w:rsidR="085A313E" w:rsidRPr="003D1E07">
        <w:rPr>
          <w:i/>
          <w:lang w:eastAsia="en-US"/>
        </w:rPr>
        <w:instrText>a/létheia</w:instrText>
      </w:r>
      <w:r w:rsidR="085A313E" w:rsidRPr="003D1E07">
        <w:instrText xml:space="preserve">" </w:instrText>
      </w:r>
      <w:r w:rsidR="085A313E" w:rsidRPr="003D1E07">
        <w:rPr>
          <w:i/>
          <w:lang w:eastAsia="en-US"/>
        </w:rPr>
        <w:fldChar w:fldCharType="end"/>
      </w:r>
      <w:r w:rsidR="08D737AB" w:rsidRPr="003D1E07">
        <w:rPr>
          <w:lang w:eastAsia="en-US"/>
        </w:rPr>
        <w:t>koexistují všechny budoucí</w:t>
      </w:r>
      <w:r w:rsidR="08EB7276" w:rsidRPr="003D1E07">
        <w:rPr>
          <w:lang w:eastAsia="en-US"/>
        </w:rPr>
        <w:t xml:space="preserve"> formy zápa</w:t>
      </w:r>
      <w:r w:rsidR="08D737AB" w:rsidRPr="003D1E07">
        <w:rPr>
          <w:lang w:eastAsia="en-US"/>
        </w:rPr>
        <w:t>dní metafyziky v jejich pravdě</w:t>
      </w:r>
      <w:r w:rsidR="084505AB" w:rsidRPr="003D1E07">
        <w:rPr>
          <w:lang w:eastAsia="en-US"/>
        </w:rPr>
        <w:t xml:space="preserve"> i ne</w:t>
      </w:r>
      <w:r w:rsidR="08D737AB" w:rsidRPr="003D1E07">
        <w:rPr>
          <w:lang w:eastAsia="en-US"/>
        </w:rPr>
        <w:t xml:space="preserve">pravdě. </w:t>
      </w:r>
      <w:r w:rsidR="08EB7276" w:rsidRPr="003D1E07">
        <w:rPr>
          <w:lang w:eastAsia="en-US"/>
        </w:rPr>
        <w:t>Tato skrytá dějinnost bytí jsoucna určuje d</w:t>
      </w:r>
      <w:r w:rsidR="080363EA" w:rsidRPr="003D1E07">
        <w:rPr>
          <w:lang w:eastAsia="en-US"/>
        </w:rPr>
        <w:t xml:space="preserve">ějiny západní metafyziky v následné </w:t>
      </w:r>
      <w:r w:rsidR="08EB7276" w:rsidRPr="003D1E07">
        <w:rPr>
          <w:lang w:eastAsia="en-US"/>
        </w:rPr>
        <w:t xml:space="preserve">odkrytosti </w:t>
      </w:r>
      <w:r w:rsidR="08C95B5B" w:rsidRPr="003D1E07">
        <w:rPr>
          <w:lang w:eastAsia="en-US"/>
        </w:rPr>
        <w:t xml:space="preserve">pravdy a nepravdy vázané na dvojí cestu metafyziky v modu její epochální odkrytosti </w:t>
      </w:r>
      <w:r w:rsidR="08EB7276" w:rsidRPr="003D1E07">
        <w:rPr>
          <w:lang w:eastAsia="en-US"/>
        </w:rPr>
        <w:t>(</w:t>
      </w:r>
      <w:r w:rsidR="08EB7276" w:rsidRPr="003D1E07">
        <w:rPr>
          <w:i/>
          <w:lang w:eastAsia="en-US"/>
        </w:rPr>
        <w:t>alétheia</w:t>
      </w:r>
      <w:r w:rsidR="08EB7276" w:rsidRPr="003D1E07">
        <w:rPr>
          <w:lang w:eastAsia="en-US"/>
        </w:rPr>
        <w:t xml:space="preserve">). </w:t>
      </w:r>
      <w:r w:rsidR="002D3F24" w:rsidRPr="003D1E07">
        <w:t>Hledaná první věda</w:t>
      </w:r>
      <w:r w:rsidR="00546ABB" w:rsidRPr="003D1E07">
        <w:fldChar w:fldCharType="begin"/>
      </w:r>
      <w:r w:rsidR="00546ABB" w:rsidRPr="003D1E07">
        <w:instrText xml:space="preserve"> XE "metafyzika:první věda" </w:instrText>
      </w:r>
      <w:r w:rsidR="00546ABB" w:rsidRPr="003D1E07">
        <w:fldChar w:fldCharType="end"/>
      </w:r>
      <w:r w:rsidR="085C2CF1" w:rsidRPr="003D1E07">
        <w:t xml:space="preserve"> se </w:t>
      </w:r>
      <w:r w:rsidR="08122B41" w:rsidRPr="003D1E07">
        <w:t xml:space="preserve">v </w:t>
      </w:r>
      <w:r w:rsidR="087B244A" w:rsidRPr="003D1E07">
        <w:t xml:space="preserve">perské </w:t>
      </w:r>
      <w:r w:rsidR="08122B41" w:rsidRPr="003D1E07">
        <w:t xml:space="preserve">falsafě </w:t>
      </w:r>
      <w:r w:rsidR="08F97B34" w:rsidRPr="003D1E07">
        <w:t xml:space="preserve">po smrti Druhého mistra </w:t>
      </w:r>
      <w:r w:rsidR="085C2CF1" w:rsidRPr="003D1E07">
        <w:t>začala ubírat dvěma směry</w:t>
      </w:r>
      <w:r w:rsidR="08894BB2" w:rsidRPr="003D1E07">
        <w:t xml:space="preserve">, </w:t>
      </w:r>
      <w:r w:rsidR="00D9066D" w:rsidRPr="003D1E07">
        <w:t>které od Plato</w:t>
      </w:r>
      <w:r w:rsidR="08894BB2" w:rsidRPr="003D1E07">
        <w:t xml:space="preserve">na a Aristotela </w:t>
      </w:r>
      <w:r w:rsidR="003E572C" w:rsidRPr="003D1E07">
        <w:t xml:space="preserve">determinují </w:t>
      </w:r>
      <w:r w:rsidR="005550AA" w:rsidRPr="003D1E07">
        <w:t xml:space="preserve">dvojí </w:t>
      </w:r>
      <w:r w:rsidR="08894BB2" w:rsidRPr="003D1E07">
        <w:t>určení první vědy</w:t>
      </w:r>
      <w:r w:rsidR="085C2CF1" w:rsidRPr="003D1E07">
        <w:t xml:space="preserve">. </w:t>
      </w:r>
      <w:r w:rsidR="004B76A7" w:rsidRPr="003D1E07">
        <w:t xml:space="preserve">Metafyzika </w:t>
      </w:r>
      <w:r w:rsidR="08991F28" w:rsidRPr="003D1E07">
        <w:t xml:space="preserve">v lini Aristotela </w:t>
      </w:r>
      <w:r w:rsidR="002D3F24" w:rsidRPr="003D1E07">
        <w:t xml:space="preserve">zkoumá </w:t>
      </w:r>
      <w:r w:rsidR="00E94C54">
        <w:t>„</w:t>
      </w:r>
      <w:r w:rsidR="002D3F24" w:rsidRPr="003D1E07">
        <w:rPr>
          <w:rStyle w:val="st"/>
        </w:rPr>
        <w:t>τὰ μετὰ τὰ</w:t>
      </w:r>
      <w:r w:rsidR="08BF4D8C" w:rsidRPr="003D1E07">
        <w:rPr>
          <w:rStyle w:val="st"/>
        </w:rPr>
        <w:t xml:space="preserve"> φυσικά</w:t>
      </w:r>
      <w:r w:rsidR="00E94C54">
        <w:rPr>
          <w:rStyle w:val="st"/>
        </w:rPr>
        <w:t>“</w:t>
      </w:r>
      <w:r w:rsidR="00415691" w:rsidRPr="003D1E07">
        <w:t>, tj. p</w:t>
      </w:r>
      <w:r w:rsidR="002D3F24" w:rsidRPr="003D1E07">
        <w:t xml:space="preserve">rvní substanci jako primární kauzu vzniku a zániku těles </w:t>
      </w:r>
      <w:r w:rsidR="0869751D" w:rsidRPr="003D1E07">
        <w:t xml:space="preserve">a jejich pohybu </w:t>
      </w:r>
      <w:r w:rsidR="002D3F24" w:rsidRPr="003D1E07">
        <w:t>(</w:t>
      </w:r>
      <w:r w:rsidR="00DC107A">
        <w:rPr>
          <w:i/>
        </w:rPr>
        <w:t>primum m</w:t>
      </w:r>
      <w:r w:rsidR="002D3F24" w:rsidRPr="003D1E07">
        <w:rPr>
          <w:i/>
        </w:rPr>
        <w:t>obile</w:t>
      </w:r>
      <w:r w:rsidR="08F77667" w:rsidRPr="003D1E07">
        <w:rPr>
          <w:i/>
        </w:rPr>
        <w:fldChar w:fldCharType="begin"/>
      </w:r>
      <w:r w:rsidR="08F77667" w:rsidRPr="003D1E07">
        <w:instrText xml:space="preserve"> XE "</w:instrText>
      </w:r>
      <w:r w:rsidR="08F77667" w:rsidRPr="003D1E07">
        <w:rPr>
          <w:i/>
        </w:rPr>
        <w:instrText>Primum Mobile</w:instrText>
      </w:r>
      <w:r w:rsidR="08F77667" w:rsidRPr="003D1E07">
        <w:instrText xml:space="preserve">" </w:instrText>
      </w:r>
      <w:r w:rsidR="08F77667" w:rsidRPr="003D1E07">
        <w:rPr>
          <w:i/>
        </w:rPr>
        <w:fldChar w:fldCharType="end"/>
      </w:r>
      <w:r w:rsidR="002D3F24" w:rsidRPr="003D1E07">
        <w:t>)</w:t>
      </w:r>
      <w:r w:rsidR="0869751D" w:rsidRPr="003D1E07">
        <w:t xml:space="preserve">. </w:t>
      </w:r>
      <w:r w:rsidR="00C911DE" w:rsidRPr="003D1E07">
        <w:t>Tento směr</w:t>
      </w:r>
      <w:r w:rsidR="085452ED" w:rsidRPr="003D1E07">
        <w:t xml:space="preserve"> „meta-</w:t>
      </w:r>
      <w:r w:rsidR="00D9066D" w:rsidRPr="003D1E07">
        <w:t>fyziky“ nastoupil Averroe</w:t>
      </w:r>
      <w:r w:rsidR="00C911DE" w:rsidRPr="003D1E07">
        <w:t>s</w:t>
      </w:r>
      <w:r w:rsidR="08EA7332" w:rsidRPr="003D1E07">
        <w:t xml:space="preserve">, který se stal dosud nepřekonaným aristotelikem Západu </w:t>
      </w:r>
      <w:r w:rsidR="08C057C1" w:rsidRPr="003D1E07">
        <w:t>známým skrze jedin</w:t>
      </w:r>
      <w:r w:rsidR="086A3AE0" w:rsidRPr="003D1E07">
        <w:t>e</w:t>
      </w:r>
      <w:r w:rsidR="08C057C1" w:rsidRPr="003D1E07">
        <w:t xml:space="preserve">čný </w:t>
      </w:r>
      <w:r w:rsidR="08EA7332" w:rsidRPr="003D1E07">
        <w:t>titul Komentátor</w:t>
      </w:r>
      <w:r w:rsidR="00C911DE" w:rsidRPr="003D1E07">
        <w:t xml:space="preserve">. </w:t>
      </w:r>
      <w:r w:rsidR="0869751D" w:rsidRPr="003D1E07">
        <w:t>N</w:t>
      </w:r>
      <w:r w:rsidR="002D3F24" w:rsidRPr="003D1E07">
        <w:t xml:space="preserve">ebo </w:t>
      </w:r>
      <w:r w:rsidR="00C911DE" w:rsidRPr="003D1E07">
        <w:t xml:space="preserve">metafyzika </w:t>
      </w:r>
      <w:r w:rsidR="002D3F24" w:rsidRPr="003D1E07">
        <w:t xml:space="preserve">zkoumá </w:t>
      </w:r>
      <w:r w:rsidR="08501792" w:rsidRPr="003D1E07">
        <w:t>v linii Plotina</w:t>
      </w:r>
      <w:r w:rsidR="08213FE5" w:rsidRPr="003D1E07">
        <w:t xml:space="preserve"> </w:t>
      </w:r>
      <w:r w:rsidR="00C911DE" w:rsidRPr="003D1E07">
        <w:t xml:space="preserve">transcendentální </w:t>
      </w:r>
      <w:r w:rsidR="00AA2629" w:rsidRPr="003D1E07">
        <w:t>určení jsoucna daná za fyzikou a vztažená</w:t>
      </w:r>
      <w:r w:rsidR="002D3F24" w:rsidRPr="003D1E07">
        <w:t xml:space="preserve"> k pů</w:t>
      </w:r>
      <w:r w:rsidR="00103B77" w:rsidRPr="003D1E07">
        <w:t>vodní henologické jednotě bytí</w:t>
      </w:r>
      <w:r w:rsidR="003E572C" w:rsidRPr="003D1E07">
        <w:t xml:space="preserve"> </w:t>
      </w:r>
      <w:r w:rsidR="083F25A6" w:rsidRPr="003D1E07">
        <w:t xml:space="preserve">mimo první substanci </w:t>
      </w:r>
      <w:r w:rsidR="003E572C" w:rsidRPr="003D1E07">
        <w:t>(</w:t>
      </w:r>
      <w:r w:rsidR="003E572C" w:rsidRPr="003D1E07">
        <w:rPr>
          <w:i/>
        </w:rPr>
        <w:t>passiones entis</w:t>
      </w:r>
      <w:r w:rsidR="00160B80" w:rsidRPr="003D1E07">
        <w:rPr>
          <w:i/>
        </w:rPr>
        <w:fldChar w:fldCharType="begin"/>
      </w:r>
      <w:r w:rsidR="00160B80" w:rsidRPr="003D1E07">
        <w:instrText xml:space="preserve"> XE "</w:instrText>
      </w:r>
      <w:r w:rsidR="0012314D" w:rsidRPr="003D1E07">
        <w:rPr>
          <w:i/>
        </w:rPr>
        <w:instrText>passio</w:instrText>
      </w:r>
      <w:r w:rsidR="00160B80" w:rsidRPr="003D1E07">
        <w:rPr>
          <w:i/>
        </w:rPr>
        <w:instrText xml:space="preserve"> entis</w:instrText>
      </w:r>
      <w:r w:rsidR="00160B80" w:rsidRPr="003D1E07">
        <w:instrText xml:space="preserve">" </w:instrText>
      </w:r>
      <w:r w:rsidR="00160B80" w:rsidRPr="003D1E07">
        <w:rPr>
          <w:i/>
        </w:rPr>
        <w:fldChar w:fldCharType="end"/>
      </w:r>
      <w:r w:rsidR="003E572C" w:rsidRPr="003D1E07">
        <w:t>)</w:t>
      </w:r>
      <w:r w:rsidR="00103B77" w:rsidRPr="003D1E07">
        <w:t>.</w:t>
      </w:r>
      <w:r w:rsidR="00A90B57" w:rsidRPr="003D1E07">
        <w:t xml:space="preserve"> </w:t>
      </w:r>
      <w:r w:rsidR="08F97B34" w:rsidRPr="003D1E07">
        <w:t xml:space="preserve">Tento směr metafyziky jako náhledu transcendentální jednoty jsoucna v jeho čisté jsoucnosti nastoupil </w:t>
      </w:r>
      <w:r w:rsidR="00FC085F" w:rsidRPr="003D1E07">
        <w:t>Avicenna</w:t>
      </w:r>
      <w:r w:rsidR="08F97B34" w:rsidRPr="003D1E07">
        <w:t xml:space="preserve">. Tento </w:t>
      </w:r>
      <w:r w:rsidR="08783849" w:rsidRPr="003D1E07">
        <w:t xml:space="preserve">směr </w:t>
      </w:r>
      <w:r w:rsidR="00FC085F" w:rsidRPr="003D1E07">
        <w:t xml:space="preserve">postavil metafyziku jako zkoumání posledních určení jsoucna </w:t>
      </w:r>
      <w:r w:rsidR="00E94C54">
        <w:t xml:space="preserve">daného o sobě </w:t>
      </w:r>
      <w:r w:rsidR="00E94C54">
        <w:rPr>
          <w:noProof w:val="0"/>
          <w:lang w:val="fr-FR"/>
        </w:rPr>
        <w:t>(</w:t>
      </w:r>
      <w:r w:rsidR="00E94C54">
        <w:rPr>
          <w:i/>
          <w:noProof w:val="0"/>
          <w:lang w:val="fr-FR"/>
        </w:rPr>
        <w:t>ens inquantum ens</w:t>
      </w:r>
      <w:r w:rsidR="00E94C54">
        <w:rPr>
          <w:i/>
          <w:noProof w:val="0"/>
          <w:lang w:val="fr-FR"/>
        </w:rPr>
        <w:fldChar w:fldCharType="begin"/>
      </w:r>
      <w:r w:rsidR="00E94C54">
        <w:instrText xml:space="preserve"> XE "</w:instrText>
      </w:r>
      <w:r w:rsidR="00E94C54">
        <w:rPr>
          <w:i/>
          <w:noProof w:val="0"/>
          <w:lang w:val="fr-FR"/>
        </w:rPr>
        <w:instrText>ens inquantum ens</w:instrText>
      </w:r>
      <w:r w:rsidR="00E94C54">
        <w:instrText xml:space="preserve">" </w:instrText>
      </w:r>
      <w:r w:rsidR="00E94C54">
        <w:rPr>
          <w:i/>
          <w:noProof w:val="0"/>
          <w:lang w:val="fr-FR"/>
        </w:rPr>
        <w:fldChar w:fldCharType="end"/>
      </w:r>
      <w:r w:rsidR="00E94C54">
        <w:rPr>
          <w:noProof w:val="0"/>
          <w:lang w:val="fr-FR"/>
        </w:rPr>
        <w:t xml:space="preserve">). Tato určení jsou </w:t>
      </w:r>
      <w:r w:rsidR="083F25A6" w:rsidRPr="003D1E07">
        <w:t xml:space="preserve">mimo kategoriální </w:t>
      </w:r>
      <w:r w:rsidR="00E94C54">
        <w:t xml:space="preserve">nauku </w:t>
      </w:r>
      <w:r w:rsidR="083F25A6" w:rsidRPr="003D1E07">
        <w:t>Aristotela</w:t>
      </w:r>
      <w:r w:rsidR="08783849" w:rsidRPr="003D1E07">
        <w:t xml:space="preserve"> </w:t>
      </w:r>
      <w:r w:rsidR="00E94C54">
        <w:t xml:space="preserve">založenou </w:t>
      </w:r>
      <w:r w:rsidR="008F57FB">
        <w:t>na impozici</w:t>
      </w:r>
      <w:r w:rsidR="08783849" w:rsidRPr="003D1E07">
        <w:t xml:space="preserve"> </w:t>
      </w:r>
      <w:r w:rsidR="008F57FB">
        <w:t xml:space="preserve">významu </w:t>
      </w:r>
      <w:r w:rsidR="08783849" w:rsidRPr="003D1E07">
        <w:t xml:space="preserve">od smyslově poznané </w:t>
      </w:r>
      <w:r w:rsidR="08783849" w:rsidRPr="003D1E07">
        <w:lastRenderedPageBreak/>
        <w:t>první substance</w:t>
      </w:r>
      <w:r w:rsidR="00DF742C">
        <w:t xml:space="preserve"> </w:t>
      </w:r>
      <w:r w:rsidR="00DF742C">
        <w:rPr>
          <w:noProof w:val="0"/>
          <w:lang w:val="fr-FR"/>
        </w:rPr>
        <w:t xml:space="preserve">(substance </w:t>
      </w:r>
      <w:r w:rsidR="00DF742C">
        <w:rPr>
          <w:i/>
          <w:noProof w:val="0"/>
          <w:lang w:val="fr-FR"/>
        </w:rPr>
        <w:t>qua</w:t>
      </w:r>
      <w:r w:rsidR="00DF742C">
        <w:rPr>
          <w:noProof w:val="0"/>
          <w:lang w:val="fr-FR"/>
        </w:rPr>
        <w:t xml:space="preserve"> substance</w:t>
      </w:r>
      <w:r w:rsidR="00BE5C59">
        <w:rPr>
          <w:noProof w:val="0"/>
          <w:lang w:val="fr-FR"/>
        </w:rPr>
        <w:fldChar w:fldCharType="begin"/>
      </w:r>
      <w:r w:rsidR="00BE5C59">
        <w:instrText xml:space="preserve"> XE "</w:instrText>
      </w:r>
      <w:r w:rsidR="00BE5C59" w:rsidRPr="004B03B0">
        <w:rPr>
          <w:noProof w:val="0"/>
          <w:lang w:val="fr-FR"/>
        </w:rPr>
        <w:instrText xml:space="preserve">substance </w:instrText>
      </w:r>
      <w:r w:rsidR="00BE5C59" w:rsidRPr="004B03B0">
        <w:rPr>
          <w:i/>
          <w:noProof w:val="0"/>
          <w:lang w:val="fr-FR"/>
        </w:rPr>
        <w:instrText>qua</w:instrText>
      </w:r>
      <w:r w:rsidR="00BE5C59" w:rsidRPr="004B03B0">
        <w:rPr>
          <w:noProof w:val="0"/>
          <w:lang w:val="fr-FR"/>
        </w:rPr>
        <w:instrText xml:space="preserve"> substance</w:instrText>
      </w:r>
      <w:r w:rsidR="00BE5C59">
        <w:instrText xml:space="preserve">" </w:instrText>
      </w:r>
      <w:r w:rsidR="00BE5C59">
        <w:rPr>
          <w:noProof w:val="0"/>
          <w:lang w:val="fr-FR"/>
        </w:rPr>
        <w:fldChar w:fldCharType="end"/>
      </w:r>
      <w:r w:rsidR="00DF742C">
        <w:rPr>
          <w:noProof w:val="0"/>
          <w:lang w:val="fr-FR"/>
        </w:rPr>
        <w:t>)</w:t>
      </w:r>
      <w:r w:rsidR="083E367D" w:rsidRPr="003D1E07">
        <w:t>. Pro další generace vykladačů Druhého mistra jako byl Avicenna a Averroes vznikla další gigantomachie o substanci</w:t>
      </w:r>
      <w:r w:rsidR="08A42A81" w:rsidRPr="003D1E07">
        <w:rPr>
          <w:i/>
        </w:rPr>
        <w:fldChar w:fldCharType="begin"/>
      </w:r>
      <w:r w:rsidR="08A42A81" w:rsidRPr="003D1E07">
        <w:instrText xml:space="preserve"> XE "metafyzika:gigantomachie" </w:instrText>
      </w:r>
      <w:r w:rsidR="08A42A81" w:rsidRPr="003D1E07">
        <w:rPr>
          <w:i/>
        </w:rPr>
        <w:fldChar w:fldCharType="end"/>
      </w:r>
      <w:r w:rsidR="083E367D" w:rsidRPr="003D1E07">
        <w:t xml:space="preserve"> mezi platonským primátem zcela odděleného Jednoho a aristotelským poznáním příčin pohybu vázaných na První substanci a První kauzu</w:t>
      </w:r>
      <w:r w:rsidR="083E367D" w:rsidRPr="003D1E07">
        <w:fldChar w:fldCharType="begin"/>
      </w:r>
      <w:r w:rsidR="083E367D" w:rsidRPr="003D1E07">
        <w:instrText xml:space="preserve"> XE "metafyzika:neoplatonismus" </w:instrText>
      </w:r>
      <w:r w:rsidR="083E367D" w:rsidRPr="003D1E07">
        <w:fldChar w:fldCharType="end"/>
      </w:r>
      <w:r w:rsidR="083E367D" w:rsidRPr="003D1E07">
        <w:t>.</w:t>
      </w:r>
      <w:r w:rsidR="081E16EF" w:rsidRPr="003D1E07">
        <w:t xml:space="preserve"> </w:t>
      </w:r>
      <w:r w:rsidR="08AD44E2" w:rsidRPr="003D1E07">
        <w:t xml:space="preserve">Druhý mistr </w:t>
      </w:r>
      <w:r w:rsidR="08825CF2" w:rsidRPr="003D1E07">
        <w:t xml:space="preserve">stojí na křižovatce obou cest, což ukázalo jeho pojetí abstrakce a intelektu. </w:t>
      </w:r>
      <w:r w:rsidR="00237436" w:rsidRPr="003D1E07">
        <w:t>Jeho p</w:t>
      </w:r>
      <w:r w:rsidR="082A2E4A" w:rsidRPr="003D1E07">
        <w:t xml:space="preserve">rojekt </w:t>
      </w:r>
      <w:r w:rsidR="00C412BC" w:rsidRPr="003D1E07">
        <w:rPr>
          <w:lang w:eastAsia="en-US"/>
        </w:rPr>
        <w:t xml:space="preserve">metafyziky </w:t>
      </w:r>
      <w:r w:rsidR="089D6E08" w:rsidRPr="003D1E07">
        <w:rPr>
          <w:lang w:eastAsia="en-US"/>
        </w:rPr>
        <w:t xml:space="preserve">integrující </w:t>
      </w:r>
      <w:r w:rsidR="00D9066D" w:rsidRPr="003D1E07">
        <w:rPr>
          <w:lang w:eastAsia="en-US"/>
        </w:rPr>
        <w:t>Plato</w:t>
      </w:r>
      <w:r w:rsidR="080948BD" w:rsidRPr="003D1E07">
        <w:rPr>
          <w:lang w:eastAsia="en-US"/>
        </w:rPr>
        <w:t>n</w:t>
      </w:r>
      <w:r w:rsidR="089D6E08" w:rsidRPr="003D1E07">
        <w:rPr>
          <w:lang w:eastAsia="en-US"/>
        </w:rPr>
        <w:t>a</w:t>
      </w:r>
      <w:r w:rsidR="080948BD" w:rsidRPr="003D1E07">
        <w:rPr>
          <w:lang w:eastAsia="en-US"/>
        </w:rPr>
        <w:t xml:space="preserve"> a Aristotel</w:t>
      </w:r>
      <w:r w:rsidR="089D6E08" w:rsidRPr="003D1E07">
        <w:rPr>
          <w:lang w:eastAsia="en-US"/>
        </w:rPr>
        <w:t>a</w:t>
      </w:r>
      <w:r w:rsidR="080948BD" w:rsidRPr="003D1E07">
        <w:rPr>
          <w:lang w:eastAsia="en-US"/>
        </w:rPr>
        <w:t xml:space="preserve"> </w:t>
      </w:r>
      <w:r w:rsidR="089D6E08" w:rsidRPr="003D1E07">
        <w:rPr>
          <w:lang w:eastAsia="en-US"/>
        </w:rPr>
        <w:t xml:space="preserve">začíná </w:t>
      </w:r>
      <w:r w:rsidR="005325A4" w:rsidRPr="003D1E07">
        <w:rPr>
          <w:lang w:eastAsia="en-US"/>
        </w:rPr>
        <w:t xml:space="preserve">nasvícení smyslu jsoucna </w:t>
      </w:r>
      <w:r w:rsidR="082D46E5" w:rsidRPr="003D1E07">
        <w:rPr>
          <w:lang w:eastAsia="en-US"/>
        </w:rPr>
        <w:t xml:space="preserve">zepředu </w:t>
      </w:r>
      <w:r w:rsidR="089D6E08" w:rsidRPr="003D1E07">
        <w:rPr>
          <w:lang w:eastAsia="en-US"/>
        </w:rPr>
        <w:t xml:space="preserve">a </w:t>
      </w:r>
      <w:r w:rsidR="00C412BC" w:rsidRPr="003D1E07">
        <w:rPr>
          <w:lang w:eastAsia="en-US"/>
        </w:rPr>
        <w:t xml:space="preserve">napojuje </w:t>
      </w:r>
      <w:r w:rsidR="082D46E5" w:rsidRPr="003D1E07">
        <w:rPr>
          <w:lang w:eastAsia="en-US"/>
        </w:rPr>
        <w:t xml:space="preserve">se </w:t>
      </w:r>
      <w:r w:rsidR="00C412BC" w:rsidRPr="003D1E07">
        <w:rPr>
          <w:lang w:eastAsia="en-US"/>
        </w:rPr>
        <w:t xml:space="preserve">na </w:t>
      </w:r>
      <w:r w:rsidR="00583369" w:rsidRPr="003D1E07">
        <w:rPr>
          <w:lang w:eastAsia="en-US"/>
        </w:rPr>
        <w:t xml:space="preserve">proces </w:t>
      </w:r>
      <w:r w:rsidR="08BC39B1" w:rsidRPr="003D1E07">
        <w:rPr>
          <w:lang w:eastAsia="en-US"/>
        </w:rPr>
        <w:t>iluminace</w:t>
      </w:r>
      <w:r w:rsidR="08825CF2" w:rsidRPr="003D1E07">
        <w:rPr>
          <w:lang w:eastAsia="en-US"/>
        </w:rPr>
        <w:t xml:space="preserve">. </w:t>
      </w:r>
      <w:r w:rsidR="089D6E08" w:rsidRPr="003D1E07">
        <w:rPr>
          <w:lang w:eastAsia="en-US"/>
        </w:rPr>
        <w:t>Výsledný n</w:t>
      </w:r>
      <w:r w:rsidR="08825CF2" w:rsidRPr="003D1E07">
        <w:rPr>
          <w:lang w:eastAsia="en-US"/>
        </w:rPr>
        <w:t xml:space="preserve">áhled forem </w:t>
      </w:r>
      <w:r w:rsidR="089D6E08" w:rsidRPr="003D1E07">
        <w:rPr>
          <w:lang w:eastAsia="en-US"/>
        </w:rPr>
        <w:t xml:space="preserve">vzniká </w:t>
      </w:r>
      <w:r w:rsidR="002E3548" w:rsidRPr="003D1E07">
        <w:rPr>
          <w:lang w:eastAsia="en-US"/>
        </w:rPr>
        <w:t xml:space="preserve">v lidské duši </w:t>
      </w:r>
      <w:r w:rsidR="00C412BC" w:rsidRPr="003D1E07">
        <w:rPr>
          <w:lang w:eastAsia="en-US"/>
        </w:rPr>
        <w:t xml:space="preserve">díky </w:t>
      </w:r>
      <w:r w:rsidR="00130DF3" w:rsidRPr="003D1E07">
        <w:rPr>
          <w:lang w:eastAsia="en-US"/>
        </w:rPr>
        <w:t xml:space="preserve">působení </w:t>
      </w:r>
      <w:r w:rsidR="00C412BC" w:rsidRPr="003D1E07">
        <w:rPr>
          <w:lang w:eastAsia="en-US"/>
        </w:rPr>
        <w:t>nadřazeného intelektu (</w:t>
      </w:r>
      <w:r w:rsidR="00C412BC" w:rsidRPr="003D1E07">
        <w:rPr>
          <w:i/>
          <w:lang w:eastAsia="en-US"/>
        </w:rPr>
        <w:t>intellectus agens</w:t>
      </w:r>
      <w:r w:rsidR="00DF1F0F" w:rsidRPr="003D1E07">
        <w:rPr>
          <w:i/>
          <w:lang w:eastAsia="en-US"/>
        </w:rPr>
        <w:fldChar w:fldCharType="begin"/>
      </w:r>
      <w:r w:rsidR="00DF1F0F" w:rsidRPr="003D1E07">
        <w:instrText xml:space="preserve"> XE "</w:instrText>
      </w:r>
      <w:r w:rsidR="00DF1F0F" w:rsidRPr="003D1E07">
        <w:rPr>
          <w:i/>
        </w:rPr>
        <w:instrText>intellectus agens:</w:instrText>
      </w:r>
      <w:r w:rsidR="00DF1F0F" w:rsidRPr="003D1E07">
        <w:instrText xml:space="preserve">neoplatonismus" </w:instrText>
      </w:r>
      <w:r w:rsidR="00DF1F0F" w:rsidRPr="003D1E07">
        <w:rPr>
          <w:i/>
          <w:lang w:eastAsia="en-US"/>
        </w:rPr>
        <w:fldChar w:fldCharType="end"/>
      </w:r>
      <w:r w:rsidR="00C412BC" w:rsidRPr="003D1E07">
        <w:rPr>
          <w:lang w:eastAsia="en-US"/>
        </w:rPr>
        <w:t xml:space="preserve">), který </w:t>
      </w:r>
      <w:r w:rsidR="089D6E08" w:rsidRPr="003D1E07">
        <w:rPr>
          <w:lang w:eastAsia="en-US"/>
        </w:rPr>
        <w:t xml:space="preserve">odděleně </w:t>
      </w:r>
      <w:r w:rsidR="00C412BC" w:rsidRPr="003D1E07">
        <w:rPr>
          <w:lang w:eastAsia="en-US"/>
        </w:rPr>
        <w:t xml:space="preserve">existuje ve světě plně aktuálních </w:t>
      </w:r>
      <w:r w:rsidR="00874074" w:rsidRPr="003D1E07">
        <w:rPr>
          <w:lang w:eastAsia="en-US"/>
        </w:rPr>
        <w:t>neoplatonsk</w:t>
      </w:r>
      <w:r w:rsidR="00C412BC" w:rsidRPr="003D1E07">
        <w:rPr>
          <w:lang w:eastAsia="en-US"/>
        </w:rPr>
        <w:t xml:space="preserve">ých forem. Tato forma </w:t>
      </w:r>
      <w:r w:rsidR="00583369" w:rsidRPr="003D1E07">
        <w:rPr>
          <w:lang w:eastAsia="en-US"/>
        </w:rPr>
        <w:t xml:space="preserve">náhledu </w:t>
      </w:r>
      <w:r w:rsidR="00C412BC" w:rsidRPr="003D1E07">
        <w:rPr>
          <w:lang w:eastAsia="en-US"/>
        </w:rPr>
        <w:t xml:space="preserve">zakládá logiku světa </w:t>
      </w:r>
      <w:r w:rsidR="00C412BC" w:rsidRPr="003D1E07">
        <w:rPr>
          <w:i/>
          <w:lang w:eastAsia="en-US"/>
        </w:rPr>
        <w:t>more geometrico</w:t>
      </w:r>
      <w:r w:rsidR="00160B80" w:rsidRPr="003D1E07">
        <w:rPr>
          <w:i/>
          <w:lang w:eastAsia="en-US"/>
        </w:rPr>
        <w:fldChar w:fldCharType="begin"/>
      </w:r>
      <w:r w:rsidR="00160B80" w:rsidRPr="003D1E07">
        <w:instrText xml:space="preserve"> XE "</w:instrText>
      </w:r>
      <w:r w:rsidR="00160B80" w:rsidRPr="003D1E07">
        <w:rPr>
          <w:i/>
          <w:lang w:eastAsia="en-US"/>
        </w:rPr>
        <w:instrText>more geometrico</w:instrText>
      </w:r>
      <w:r w:rsidR="00160B80" w:rsidRPr="003D1E07">
        <w:instrText xml:space="preserve">" </w:instrText>
      </w:r>
      <w:r w:rsidR="00160B80" w:rsidRPr="003D1E07">
        <w:rPr>
          <w:i/>
          <w:lang w:eastAsia="en-US"/>
        </w:rPr>
        <w:fldChar w:fldCharType="end"/>
      </w:r>
      <w:r w:rsidR="00BC355D" w:rsidRPr="003D1E07">
        <w:rPr>
          <w:lang w:eastAsia="en-US"/>
        </w:rPr>
        <w:t xml:space="preserve"> podle Proklova </w:t>
      </w:r>
      <w:r w:rsidR="00C412BC" w:rsidRPr="003D1E07">
        <w:rPr>
          <w:lang w:eastAsia="en-US"/>
        </w:rPr>
        <w:t xml:space="preserve">díla </w:t>
      </w:r>
      <w:r w:rsidR="00ED725B" w:rsidRPr="003D1E07">
        <w:rPr>
          <w:rStyle w:val="st"/>
          <w:i/>
        </w:rPr>
        <w:t>Stoicheió</w:t>
      </w:r>
      <w:r w:rsidR="00C412BC" w:rsidRPr="003D1E07">
        <w:rPr>
          <w:rStyle w:val="st"/>
          <w:i/>
        </w:rPr>
        <w:t xml:space="preserve">sis </w:t>
      </w:r>
      <w:r w:rsidR="00C412BC" w:rsidRPr="003D1E07">
        <w:rPr>
          <w:rStyle w:val="st"/>
          <w:bCs/>
          <w:i/>
        </w:rPr>
        <w:t>theologik</w:t>
      </w:r>
      <w:r w:rsidR="00ED725B" w:rsidRPr="003D1E07">
        <w:rPr>
          <w:rStyle w:val="st"/>
          <w:bCs/>
          <w:i/>
        </w:rPr>
        <w:t>é</w:t>
      </w:r>
      <w:r w:rsidR="00C412BC" w:rsidRPr="003D1E07">
        <w:rPr>
          <w:rStyle w:val="st"/>
          <w:bCs/>
          <w:i/>
        </w:rPr>
        <w:t xml:space="preserve"> </w:t>
      </w:r>
      <w:r w:rsidR="00BC355D" w:rsidRPr="003D1E07">
        <w:rPr>
          <w:rStyle w:val="st"/>
          <w:bCs/>
        </w:rPr>
        <w:t>adaptované</w:t>
      </w:r>
      <w:r w:rsidR="00BC355D" w:rsidRPr="003D1E07">
        <w:rPr>
          <w:rStyle w:val="st"/>
          <w:bCs/>
          <w:i/>
        </w:rPr>
        <w:t xml:space="preserve"> </w:t>
      </w:r>
      <w:r w:rsidR="00C412BC" w:rsidRPr="003D1E07">
        <w:rPr>
          <w:rStyle w:val="st"/>
          <w:bCs/>
        </w:rPr>
        <w:t xml:space="preserve">do scholastické podoby v </w:t>
      </w:r>
      <w:r w:rsidR="00C412BC" w:rsidRPr="003D1E07">
        <w:rPr>
          <w:lang w:eastAsia="en-US"/>
        </w:rPr>
        <w:t xml:space="preserve">knize </w:t>
      </w:r>
      <w:r w:rsidR="00C412BC" w:rsidRPr="003D1E07">
        <w:rPr>
          <w:i/>
          <w:lang w:eastAsia="en-US"/>
        </w:rPr>
        <w:t>De causis</w:t>
      </w:r>
      <w:r w:rsidR="08C66C65" w:rsidRPr="003D1E07">
        <w:rPr>
          <w:lang w:eastAsia="en-US"/>
        </w:rPr>
        <w:t>.</w:t>
      </w:r>
      <w:r w:rsidR="08536257" w:rsidRPr="003D1E07">
        <w:rPr>
          <w:lang w:eastAsia="en-US"/>
        </w:rPr>
        <w:t xml:space="preserve"> </w:t>
      </w:r>
      <w:r w:rsidR="08536257" w:rsidRPr="003D1E07">
        <w:t xml:space="preserve">Západní tradice překladu </w:t>
      </w:r>
      <w:r w:rsidR="08536257" w:rsidRPr="003D1E07">
        <w:rPr>
          <w:i/>
        </w:rPr>
        <w:t>Elementa theologica</w:t>
      </w:r>
      <w:r w:rsidR="08536257" w:rsidRPr="003D1E07">
        <w:t xml:space="preserve"> začala na gruzínské akademii Gelati (12.–13. stol.), která byla analogem </w:t>
      </w:r>
      <w:r w:rsidR="08BC7811" w:rsidRPr="003D1E07">
        <w:t xml:space="preserve">císařské </w:t>
      </w:r>
      <w:r w:rsidR="08536257" w:rsidRPr="003D1E07">
        <w:t>univerzity v Konstantinopoli</w:t>
      </w:r>
      <w:r w:rsidR="08BC7811" w:rsidRPr="003D1E07">
        <w:t xml:space="preserve"> (</w:t>
      </w:r>
      <w:r w:rsidR="08BC7811" w:rsidRPr="003D1E07">
        <w:rPr>
          <w:rStyle w:val="st"/>
        </w:rPr>
        <w:t>Πανδιδακτήριον τῆς Μαγναύρας</w:t>
      </w:r>
      <w:r w:rsidR="08BC7811" w:rsidRPr="003D1E07">
        <w:t xml:space="preserve">) vyučující </w:t>
      </w:r>
      <w:r w:rsidR="08D86C5C" w:rsidRPr="003D1E07">
        <w:t xml:space="preserve">od 5. století </w:t>
      </w:r>
      <w:r w:rsidR="08BC7811" w:rsidRPr="003D1E07">
        <w:t>medicínu, filosofii a práva</w:t>
      </w:r>
      <w:r w:rsidR="08536257" w:rsidRPr="003D1E07">
        <w:t>. Gelatský teolog a filosof Ioane Petritsi</w:t>
      </w:r>
      <w:r w:rsidR="08536257" w:rsidRPr="003D1E07">
        <w:fldChar w:fldCharType="begin"/>
      </w:r>
      <w:r w:rsidR="08536257" w:rsidRPr="003D1E07">
        <w:instrText xml:space="preserve"> XE "Petritsi, Ioane" </w:instrText>
      </w:r>
      <w:r w:rsidR="08536257" w:rsidRPr="003D1E07">
        <w:fldChar w:fldCharType="end"/>
      </w:r>
      <w:r w:rsidR="08536257" w:rsidRPr="003D1E07">
        <w:t xml:space="preserve"> </w:t>
      </w:r>
      <w:r w:rsidR="08892932" w:rsidRPr="003D1E07">
        <w:t>(asi †</w:t>
      </w:r>
      <w:r w:rsidR="08536257" w:rsidRPr="003D1E07">
        <w:t xml:space="preserve">1125) uvedl studium Proklových </w:t>
      </w:r>
      <w:r w:rsidR="08536257" w:rsidRPr="003D1E07">
        <w:rPr>
          <w:i/>
        </w:rPr>
        <w:t xml:space="preserve">Elementa </w:t>
      </w:r>
      <w:r w:rsidR="08536257" w:rsidRPr="003D1E07">
        <w:t xml:space="preserve">přes překlad do gruzínštiny do západní tradice. </w:t>
      </w:r>
      <w:r w:rsidR="00E404D5" w:rsidRPr="003D1E07">
        <w:rPr>
          <w:lang w:eastAsia="en-US"/>
        </w:rPr>
        <w:t>T</w:t>
      </w:r>
      <w:r w:rsidR="08C66C65" w:rsidRPr="003D1E07">
        <w:rPr>
          <w:lang w:eastAsia="en-US"/>
        </w:rPr>
        <w:t xml:space="preserve">oto vidění forem </w:t>
      </w:r>
      <w:r w:rsidR="08F72729" w:rsidRPr="003D1E07">
        <w:rPr>
          <w:lang w:eastAsia="en-US"/>
        </w:rPr>
        <w:t xml:space="preserve">převzala </w:t>
      </w:r>
      <w:r w:rsidR="08536257" w:rsidRPr="003D1E07">
        <w:rPr>
          <w:lang w:eastAsia="en-US"/>
        </w:rPr>
        <w:t xml:space="preserve">z </w:t>
      </w:r>
      <w:r w:rsidR="08536257" w:rsidRPr="003D1E07">
        <w:rPr>
          <w:i/>
          <w:lang w:eastAsia="en-US"/>
        </w:rPr>
        <w:t>Liber de causis</w:t>
      </w:r>
      <w:r w:rsidR="08536257" w:rsidRPr="003D1E07">
        <w:rPr>
          <w:lang w:eastAsia="en-US"/>
        </w:rPr>
        <w:t xml:space="preserve"> </w:t>
      </w:r>
      <w:r w:rsidR="00FF6632" w:rsidRPr="003D1E07">
        <w:rPr>
          <w:lang w:eastAsia="en-US"/>
        </w:rPr>
        <w:t>schola</w:t>
      </w:r>
      <w:r w:rsidR="08C66C65" w:rsidRPr="003D1E07">
        <w:rPr>
          <w:lang w:eastAsia="en-US"/>
        </w:rPr>
        <w:t xml:space="preserve">stická škola </w:t>
      </w:r>
      <w:r w:rsidR="08536257" w:rsidRPr="003D1E07">
        <w:rPr>
          <w:lang w:eastAsia="en-US"/>
        </w:rPr>
        <w:t xml:space="preserve">porretánů a </w:t>
      </w:r>
      <w:r w:rsidR="08F72729" w:rsidRPr="003D1E07">
        <w:rPr>
          <w:i/>
          <w:lang w:eastAsia="en-US"/>
        </w:rPr>
        <w:t>Nominales</w:t>
      </w:r>
      <w:r w:rsidR="08536257" w:rsidRPr="003D1E07">
        <w:rPr>
          <w:lang w:eastAsia="en-US"/>
        </w:rPr>
        <w:t>, z níž vznikla výsledná škola druhého averroismu</w:t>
      </w:r>
      <w:r w:rsidR="08C66C65" w:rsidRPr="003D1E07">
        <w:rPr>
          <w:lang w:eastAsia="en-US"/>
        </w:rPr>
        <w:t>.</w:t>
      </w:r>
      <w:r w:rsidR="00C412BC" w:rsidRPr="003D1E07">
        <w:rPr>
          <w:lang w:eastAsia="en-US"/>
        </w:rPr>
        <w:t xml:space="preserve"> </w:t>
      </w:r>
      <w:r w:rsidR="08282DAE" w:rsidRPr="003D1E07">
        <w:rPr>
          <w:lang w:eastAsia="en-US"/>
        </w:rPr>
        <w:t>P</w:t>
      </w:r>
      <w:r w:rsidR="00103B77" w:rsidRPr="003D1E07">
        <w:rPr>
          <w:lang w:eastAsia="en-US"/>
        </w:rPr>
        <w:t xml:space="preserve">rojekt </w:t>
      </w:r>
      <w:r w:rsidR="08282DAE" w:rsidRPr="003D1E07">
        <w:rPr>
          <w:lang w:eastAsia="en-US"/>
        </w:rPr>
        <w:t xml:space="preserve">aristotelské </w:t>
      </w:r>
      <w:r w:rsidR="00103B77" w:rsidRPr="003D1E07">
        <w:rPr>
          <w:lang w:eastAsia="en-US"/>
        </w:rPr>
        <w:t xml:space="preserve">metafyziky </w:t>
      </w:r>
      <w:r w:rsidR="00E404D5" w:rsidRPr="003D1E07">
        <w:rPr>
          <w:lang w:eastAsia="en-US"/>
        </w:rPr>
        <w:t xml:space="preserve">naopak </w:t>
      </w:r>
      <w:r w:rsidR="00FF6632" w:rsidRPr="003D1E07">
        <w:rPr>
          <w:lang w:eastAsia="en-US"/>
        </w:rPr>
        <w:t>staví na nasvícení smyslu jsoucna zepředu. Poznání z</w:t>
      </w:r>
      <w:r w:rsidR="00103B77" w:rsidRPr="003D1E07">
        <w:rPr>
          <w:lang w:eastAsia="en-US"/>
        </w:rPr>
        <w:t xml:space="preserve">ačíná </w:t>
      </w:r>
      <w:r w:rsidR="088C4F3B" w:rsidRPr="003D1E07">
        <w:rPr>
          <w:lang w:eastAsia="en-US"/>
        </w:rPr>
        <w:t xml:space="preserve">a končí </w:t>
      </w:r>
      <w:r w:rsidR="00103B77" w:rsidRPr="003D1E07">
        <w:rPr>
          <w:lang w:eastAsia="en-US"/>
        </w:rPr>
        <w:t xml:space="preserve">u reálné </w:t>
      </w:r>
      <w:r w:rsidR="088C4F3B" w:rsidRPr="003D1E07">
        <w:rPr>
          <w:lang w:eastAsia="en-US"/>
        </w:rPr>
        <w:t xml:space="preserve">hylemorfické </w:t>
      </w:r>
      <w:r w:rsidR="00103B77" w:rsidRPr="003D1E07">
        <w:rPr>
          <w:lang w:eastAsia="en-US"/>
        </w:rPr>
        <w:t xml:space="preserve">substance jako zdroje pohybu a dalších kategoriálních určení. </w:t>
      </w:r>
      <w:r w:rsidR="00103B77" w:rsidRPr="003D1E07">
        <w:t xml:space="preserve">Metafyzický pohled na celek jsoucího je v tomto </w:t>
      </w:r>
      <w:r w:rsidR="00E42111" w:rsidRPr="003D1E07">
        <w:t xml:space="preserve">případě vedený od existence reálné hylemorfické </w:t>
      </w:r>
      <w:r w:rsidR="00103B77" w:rsidRPr="003D1E07">
        <w:t xml:space="preserve">substance směrem k její </w:t>
      </w:r>
      <w:r w:rsidR="08E704EA" w:rsidRPr="003D1E07">
        <w:t xml:space="preserve">první a poslední </w:t>
      </w:r>
      <w:r w:rsidR="00103B77" w:rsidRPr="003D1E07">
        <w:t>příčině</w:t>
      </w:r>
      <w:r w:rsidR="006937B3" w:rsidRPr="003D1E07">
        <w:t xml:space="preserve"> dané opět jako první substance</w:t>
      </w:r>
      <w:r w:rsidR="00103B77" w:rsidRPr="003D1E07">
        <w:t xml:space="preserve">. Nejde o pseudo-pohyb idejí v boží mysli daných potenciálně a formálně, ale o pohyb substance dané aktuálně </w:t>
      </w:r>
      <w:r w:rsidR="087C0E2F" w:rsidRPr="003D1E07">
        <w:t>vzhledem k materiálním stavů</w:t>
      </w:r>
      <w:r w:rsidR="08B936EA" w:rsidRPr="003D1E07">
        <w:t>m</w:t>
      </w:r>
      <w:r w:rsidR="08D33BDA" w:rsidRPr="003D1E07">
        <w:t xml:space="preserve"> těles, a nakon</w:t>
      </w:r>
      <w:r w:rsidR="087C0E2F" w:rsidRPr="003D1E07">
        <w:t>e</w:t>
      </w:r>
      <w:r w:rsidR="08D33BDA" w:rsidRPr="003D1E07">
        <w:t>c</w:t>
      </w:r>
      <w:r w:rsidR="08377582" w:rsidRPr="003D1E07">
        <w:t xml:space="preserve"> i </w:t>
      </w:r>
      <w:r w:rsidR="087C0E2F" w:rsidRPr="003D1E07">
        <w:t xml:space="preserve">vzhledem k </w:t>
      </w:r>
      <w:r w:rsidR="007E26CC" w:rsidRPr="003D1E07">
        <w:t xml:space="preserve">nemateriálním hvězdným sférám, </w:t>
      </w:r>
      <w:r w:rsidR="08B936EA" w:rsidRPr="003D1E07">
        <w:t xml:space="preserve">kosmickým </w:t>
      </w:r>
      <w:r w:rsidR="087C0E2F" w:rsidRPr="003D1E07">
        <w:t>inteligencím</w:t>
      </w:r>
      <w:r w:rsidR="007E26CC" w:rsidRPr="003D1E07">
        <w:t>, a zcela oddělené</w:t>
      </w:r>
      <w:r w:rsidR="00801CF4">
        <w:t>mu</w:t>
      </w:r>
      <w:r w:rsidR="007E26CC" w:rsidRPr="003D1E07">
        <w:t xml:space="preserve"> </w:t>
      </w:r>
      <w:r w:rsidR="00801CF4">
        <w:t>Nehybnému hybateli</w:t>
      </w:r>
      <w:r w:rsidR="08400157" w:rsidRPr="003D1E07">
        <w:t xml:space="preserve"> </w:t>
      </w:r>
      <w:r w:rsidR="0056463C" w:rsidRPr="003D1E07">
        <w:t>dané</w:t>
      </w:r>
      <w:r w:rsidR="00801CF4">
        <w:t>mu</w:t>
      </w:r>
      <w:r w:rsidR="0056463C" w:rsidRPr="003D1E07">
        <w:t xml:space="preserve"> jako čistý výkon sebereflektujícího Intelektu</w:t>
      </w:r>
      <w:r w:rsidR="00103B77" w:rsidRPr="003D1E07">
        <w:t xml:space="preserve">. </w:t>
      </w:r>
      <w:r w:rsidR="008701CC" w:rsidRPr="003D1E07">
        <w:t xml:space="preserve">Tento projekt nemůže vytvořit paralelní </w:t>
      </w:r>
      <w:r w:rsidR="08A57048" w:rsidRPr="003D1E07">
        <w:t xml:space="preserve">a ontologicky neutrální </w:t>
      </w:r>
      <w:r w:rsidR="008701CC" w:rsidRPr="003D1E07">
        <w:t xml:space="preserve">substanci, těleso, látku, čas a prostor, jako jsme to viděli u neoplatoniků. </w:t>
      </w:r>
      <w:r w:rsidR="00103B77" w:rsidRPr="003D1E07">
        <w:t xml:space="preserve">Predikace </w:t>
      </w:r>
      <w:r w:rsidR="00103B77" w:rsidRPr="003D1E07">
        <w:rPr>
          <w:i/>
        </w:rPr>
        <w:t>per prius</w:t>
      </w:r>
      <w:r w:rsidR="00103B77" w:rsidRPr="003D1E07">
        <w:t xml:space="preserve"> a </w:t>
      </w:r>
      <w:r w:rsidR="00103B77" w:rsidRPr="003D1E07">
        <w:rPr>
          <w:i/>
        </w:rPr>
        <w:t>per posterius</w:t>
      </w:r>
      <w:r w:rsidR="00103B77" w:rsidRPr="003D1E07">
        <w:t xml:space="preserve"> dostává </w:t>
      </w:r>
      <w:r w:rsidR="08FB0DEA" w:rsidRPr="003D1E07">
        <w:t xml:space="preserve">kategoriální </w:t>
      </w:r>
      <w:r w:rsidR="00103B77" w:rsidRPr="003D1E07">
        <w:t xml:space="preserve">charakter </w:t>
      </w:r>
      <w:r w:rsidR="0878225C" w:rsidRPr="003D1E07">
        <w:t xml:space="preserve">v rámci univoční obecné výpovědi o </w:t>
      </w:r>
      <w:r w:rsidR="00103B77" w:rsidRPr="003D1E07">
        <w:t xml:space="preserve">reálně existující </w:t>
      </w:r>
      <w:r w:rsidR="08C1705C" w:rsidRPr="003D1E07">
        <w:t xml:space="preserve">a kauzálně působící první </w:t>
      </w:r>
      <w:r w:rsidR="00103B77" w:rsidRPr="003D1E07">
        <w:t xml:space="preserve">substanci. </w:t>
      </w:r>
      <w:r w:rsidR="08D33BDA" w:rsidRPr="003D1E07">
        <w:t>P</w:t>
      </w:r>
      <w:r w:rsidR="08D33BDA" w:rsidRPr="003D1E07">
        <w:rPr>
          <w:lang w:eastAsia="en-US"/>
        </w:rPr>
        <w:t>orozumění je dáno</w:t>
      </w:r>
      <w:r w:rsidR="00103B77" w:rsidRPr="003D1E07">
        <w:rPr>
          <w:lang w:eastAsia="en-US"/>
        </w:rPr>
        <w:t xml:space="preserve"> z pozice </w:t>
      </w:r>
      <w:r w:rsidR="08D33BDA" w:rsidRPr="003D1E07">
        <w:rPr>
          <w:lang w:eastAsia="en-US"/>
        </w:rPr>
        <w:t xml:space="preserve">reálně existující </w:t>
      </w:r>
      <w:r w:rsidR="00103B77" w:rsidRPr="003D1E07">
        <w:rPr>
          <w:lang w:eastAsia="en-US"/>
        </w:rPr>
        <w:t xml:space="preserve">substance, která </w:t>
      </w:r>
      <w:r w:rsidR="082A3696" w:rsidRPr="003D1E07">
        <w:rPr>
          <w:lang w:eastAsia="en-US"/>
        </w:rPr>
        <w:t xml:space="preserve">skrze smysly </w:t>
      </w:r>
      <w:r w:rsidR="00103B77" w:rsidRPr="003D1E07">
        <w:rPr>
          <w:lang w:eastAsia="en-US"/>
        </w:rPr>
        <w:t>aktualizuje pasivní intelekt</w:t>
      </w:r>
      <w:r w:rsidR="082A3696" w:rsidRPr="003D1E07">
        <w:rPr>
          <w:lang w:eastAsia="en-US"/>
        </w:rPr>
        <w:t xml:space="preserve"> (</w:t>
      </w:r>
      <w:r w:rsidR="082A3696" w:rsidRPr="003D1E07">
        <w:rPr>
          <w:i/>
          <w:lang w:eastAsia="en-US"/>
        </w:rPr>
        <w:t>intellectus possibilis</w:t>
      </w:r>
      <w:r w:rsidR="009D323B" w:rsidRPr="003D1E07">
        <w:rPr>
          <w:i/>
          <w:lang w:eastAsia="en-US"/>
        </w:rPr>
        <w:fldChar w:fldCharType="begin"/>
      </w:r>
      <w:r w:rsidR="009D323B" w:rsidRPr="003D1E07">
        <w:instrText xml:space="preserve"> XE "</w:instrText>
      </w:r>
      <w:r w:rsidR="009D323B" w:rsidRPr="003D1E07">
        <w:rPr>
          <w:i/>
        </w:rPr>
        <w:instrText>intellectus possibilis</w:instrText>
      </w:r>
      <w:r w:rsidR="00160B80" w:rsidRPr="003D1E07">
        <w:instrText>:Al-</w:instrText>
      </w:r>
      <w:r w:rsidR="008E02F5" w:rsidRPr="003D1E07">
        <w:instrText>Fárábí</w:instrText>
      </w:r>
      <w:r w:rsidR="009D323B" w:rsidRPr="003D1E07">
        <w:instrText xml:space="preserve">" </w:instrText>
      </w:r>
      <w:r w:rsidR="009D323B" w:rsidRPr="003D1E07">
        <w:rPr>
          <w:i/>
          <w:lang w:eastAsia="en-US"/>
        </w:rPr>
        <w:fldChar w:fldCharType="end"/>
      </w:r>
      <w:r w:rsidR="082A3696" w:rsidRPr="003D1E07">
        <w:rPr>
          <w:lang w:eastAsia="en-US"/>
        </w:rPr>
        <w:t>)</w:t>
      </w:r>
      <w:r w:rsidR="00103B77" w:rsidRPr="003D1E07">
        <w:rPr>
          <w:lang w:eastAsia="en-US"/>
        </w:rPr>
        <w:t xml:space="preserve">. </w:t>
      </w:r>
      <w:r w:rsidR="082A3696" w:rsidRPr="003D1E07">
        <w:rPr>
          <w:lang w:eastAsia="en-US"/>
        </w:rPr>
        <w:t>I</w:t>
      </w:r>
      <w:r w:rsidR="00103B77" w:rsidRPr="003D1E07">
        <w:rPr>
          <w:lang w:eastAsia="en-US"/>
        </w:rPr>
        <w:t xml:space="preserve">ntelekt </w:t>
      </w:r>
      <w:r w:rsidR="00784303" w:rsidRPr="003D1E07">
        <w:rPr>
          <w:lang w:eastAsia="en-US"/>
        </w:rPr>
        <w:t>aktivovaný nasvícením zepředu</w:t>
      </w:r>
      <w:r w:rsidR="082A3696" w:rsidRPr="003D1E07">
        <w:rPr>
          <w:lang w:eastAsia="en-US"/>
        </w:rPr>
        <w:t xml:space="preserve"> </w:t>
      </w:r>
      <w:r w:rsidR="00103B77" w:rsidRPr="003D1E07">
        <w:rPr>
          <w:lang w:eastAsia="en-US"/>
        </w:rPr>
        <w:t>směřuje v řádu obecných abstrakcí (</w:t>
      </w:r>
      <w:r w:rsidR="00103B77" w:rsidRPr="003D1E07">
        <w:rPr>
          <w:bCs/>
          <w:i/>
        </w:rPr>
        <w:t>ens</w:t>
      </w:r>
      <w:r w:rsidR="00103B77" w:rsidRPr="003D1E07">
        <w:rPr>
          <w:i/>
        </w:rPr>
        <w:t xml:space="preserve"> secundum </w:t>
      </w:r>
      <w:r w:rsidR="00103B77" w:rsidRPr="003D1E07">
        <w:rPr>
          <w:bCs/>
          <w:i/>
        </w:rPr>
        <w:t>rationem</w:t>
      </w:r>
      <w:r w:rsidR="00103B77" w:rsidRPr="003D1E07">
        <w:rPr>
          <w:lang w:eastAsia="en-US"/>
        </w:rPr>
        <w:t xml:space="preserve">) </w:t>
      </w:r>
      <w:r w:rsidR="00715890" w:rsidRPr="003D1E07">
        <w:rPr>
          <w:lang w:eastAsia="en-US"/>
        </w:rPr>
        <w:t xml:space="preserve">až </w:t>
      </w:r>
      <w:r w:rsidR="00103B77" w:rsidRPr="003D1E07">
        <w:rPr>
          <w:lang w:eastAsia="en-US"/>
        </w:rPr>
        <w:t>k</w:t>
      </w:r>
      <w:r w:rsidR="00A410C8">
        <w:rPr>
          <w:lang w:eastAsia="en-US"/>
        </w:rPr>
        <w:t> </w:t>
      </w:r>
      <w:r w:rsidR="00103B77" w:rsidRPr="003D1E07">
        <w:rPr>
          <w:lang w:eastAsia="en-US"/>
        </w:rPr>
        <w:t>aktuální</w:t>
      </w:r>
      <w:r w:rsidR="00A410C8">
        <w:rPr>
          <w:lang w:eastAsia="en-US"/>
        </w:rPr>
        <w:t xml:space="preserve">mu Bytí </w:t>
      </w:r>
      <w:r w:rsidR="00103B77" w:rsidRPr="003D1E07">
        <w:rPr>
          <w:lang w:eastAsia="en-US"/>
        </w:rPr>
        <w:t>existující</w:t>
      </w:r>
      <w:r w:rsidR="00A410C8">
        <w:rPr>
          <w:lang w:eastAsia="en-US"/>
        </w:rPr>
        <w:t>mu</w:t>
      </w:r>
      <w:r w:rsidR="00103B77" w:rsidRPr="003D1E07">
        <w:rPr>
          <w:lang w:eastAsia="en-US"/>
        </w:rPr>
        <w:t xml:space="preserve"> plně </w:t>
      </w:r>
      <w:r w:rsidR="00103B77" w:rsidRPr="003D1E07">
        <w:rPr>
          <w:i/>
          <w:lang w:eastAsia="en-US"/>
        </w:rPr>
        <w:t>per se</w:t>
      </w:r>
      <w:r w:rsidR="00103B77" w:rsidRPr="003D1E07">
        <w:rPr>
          <w:lang w:eastAsia="en-US"/>
        </w:rPr>
        <w:t xml:space="preserve">. </w:t>
      </w:r>
      <w:r w:rsidR="001523D8" w:rsidRPr="003D1E07">
        <w:t xml:space="preserve">Aristotelismus myslí v </w:t>
      </w:r>
      <w:r w:rsidR="001523D8" w:rsidRPr="003D1E07">
        <w:rPr>
          <w:lang w:eastAsia="en-US"/>
        </w:rPr>
        <w:t>souladu s prioritou příčin ontologicky daného pohybu jako přechodu z potence do aktuality</w:t>
      </w:r>
      <w:r w:rsidR="001523D8" w:rsidRPr="003D1E07">
        <w:fldChar w:fldCharType="begin"/>
      </w:r>
      <w:r w:rsidR="001523D8" w:rsidRPr="003D1E07">
        <w:instrText xml:space="preserve"> XE "metafyzika:nasvícení zepředu" </w:instrText>
      </w:r>
      <w:r w:rsidR="001523D8" w:rsidRPr="003D1E07">
        <w:fldChar w:fldCharType="end"/>
      </w:r>
      <w:r w:rsidR="001523D8" w:rsidRPr="003D1E07">
        <w:t xml:space="preserve">. Tato první úroveň kauzality zakládá následná </w:t>
      </w:r>
      <w:r w:rsidR="001523D8" w:rsidRPr="003D1E07">
        <w:lastRenderedPageBreak/>
        <w:t xml:space="preserve">určení těles, jejich vznik, zánik, či pohyb. </w:t>
      </w:r>
      <w:r w:rsidR="001F481A" w:rsidRPr="003D1E07">
        <w:rPr>
          <w:lang w:eastAsia="en-US"/>
        </w:rPr>
        <w:t>P</w:t>
      </w:r>
      <w:r w:rsidR="001F481A" w:rsidRPr="003D1E07">
        <w:t>rvní filosofii svět oddělených, nemateriálních substancí existujících za sublunár</w:t>
      </w:r>
      <w:r w:rsidR="00DE5F27">
        <w:t>ní fyzikou a vztažených k</w:t>
      </w:r>
      <w:r w:rsidR="00356926">
        <w:t xml:space="preserve"> oddělenému </w:t>
      </w:r>
      <w:r w:rsidR="00DE5F27">
        <w:t>bytí P</w:t>
      </w:r>
      <w:r w:rsidR="001F481A" w:rsidRPr="003D1E07">
        <w:t xml:space="preserve">rvní příčiny. </w:t>
      </w:r>
      <w:r w:rsidR="00A53ADB" w:rsidRPr="003D1E07">
        <w:t>Realistické poznání konstruuje</w:t>
      </w:r>
      <w:r w:rsidR="085161EA" w:rsidRPr="003D1E07">
        <w:t xml:space="preserve"> projekt </w:t>
      </w:r>
      <w:r w:rsidR="00842EA1" w:rsidRPr="003D1E07">
        <w:t xml:space="preserve">první vědy jako </w:t>
      </w:r>
      <w:r w:rsidR="085161EA" w:rsidRPr="003D1E07">
        <w:t>„meta</w:t>
      </w:r>
      <w:r w:rsidR="085161EA" w:rsidRPr="003D1E07">
        <w:noBreakHyphen/>
        <w:t xml:space="preserve">fyziky“ </w:t>
      </w:r>
      <w:r w:rsidR="00A53ADB" w:rsidRPr="003D1E07">
        <w:t xml:space="preserve">a </w:t>
      </w:r>
      <w:r w:rsidR="00103B77" w:rsidRPr="003D1E07">
        <w:t xml:space="preserve">vychází z </w:t>
      </w:r>
      <w:r w:rsidR="085161EA" w:rsidRPr="003D1E07">
        <w:t xml:space="preserve">poznání </w:t>
      </w:r>
      <w:r w:rsidR="00573A1F" w:rsidRPr="003D1E07">
        <w:t xml:space="preserve">reálného světa </w:t>
      </w:r>
      <w:r w:rsidR="085161EA" w:rsidRPr="003D1E07">
        <w:t xml:space="preserve">daného skrze </w:t>
      </w:r>
      <w:r w:rsidR="083E7BA2" w:rsidRPr="003D1E07">
        <w:t xml:space="preserve">smysly a skrze </w:t>
      </w:r>
      <w:r w:rsidR="08D85807" w:rsidRPr="003D1E07">
        <w:t xml:space="preserve">Al-Fárábího </w:t>
      </w:r>
      <w:r w:rsidR="00103B77" w:rsidRPr="003D1E07">
        <w:rPr>
          <w:i/>
        </w:rPr>
        <w:t xml:space="preserve">intellectus </w:t>
      </w:r>
      <w:r w:rsidR="083E7BA2" w:rsidRPr="003D1E07">
        <w:rPr>
          <w:i/>
        </w:rPr>
        <w:t>in potenc</w:t>
      </w:r>
      <w:r w:rsidR="00573A1F" w:rsidRPr="003D1E07">
        <w:rPr>
          <w:i/>
        </w:rPr>
        <w:t>ia</w:t>
      </w:r>
      <w:r w:rsidR="085161EA" w:rsidRPr="003D1E07">
        <w:t xml:space="preserve">. </w:t>
      </w:r>
      <w:r w:rsidR="00BF31DA" w:rsidRPr="003D1E07">
        <w:t>Receptivní složka poznání je aktualizována směrem od aktuální substance. Proto nemůže primárně nazírat svět transcendentální jednoty forem daných jako subsistentní jsoucno či substrát intelektu</w:t>
      </w:r>
      <w:r w:rsidR="00FF0C79" w:rsidRPr="003D1E07">
        <w:t>.</w:t>
      </w:r>
      <w:r w:rsidR="00C62C69" w:rsidRPr="003D1E07">
        <w:t xml:space="preserve"> </w:t>
      </w:r>
      <w:r w:rsidR="00FF0C79" w:rsidRPr="003D1E07">
        <w:t xml:space="preserve">Tuto nadpřirozenou recepci provádí neoplatonský </w:t>
      </w:r>
      <w:r w:rsidR="00FF0C79" w:rsidRPr="003D1E07">
        <w:rPr>
          <w:i/>
        </w:rPr>
        <w:t>intellectus adeptus</w:t>
      </w:r>
      <w:r w:rsidR="00FF0C79" w:rsidRPr="003D1E07">
        <w:t xml:space="preserve">, který dostal zásadní úpravu ve falsafě. </w:t>
      </w:r>
      <w:r w:rsidR="08483DD7" w:rsidRPr="003D1E07">
        <w:t xml:space="preserve">Alfarabius stojí na rozhraní aristotelské a neoplatonské metafyziky. Proto </w:t>
      </w:r>
      <w:r w:rsidR="00AC24B0" w:rsidRPr="003D1E07">
        <w:t xml:space="preserve">Avicenna </w:t>
      </w:r>
      <w:r w:rsidR="08C36BF6" w:rsidRPr="003D1E07">
        <w:t xml:space="preserve">i </w:t>
      </w:r>
      <w:r w:rsidR="00AC24B0" w:rsidRPr="003D1E07">
        <w:t>Averroe</w:t>
      </w:r>
      <w:r w:rsidR="005A05A8" w:rsidRPr="003D1E07">
        <w:t xml:space="preserve">s </w:t>
      </w:r>
      <w:r w:rsidR="08483DD7" w:rsidRPr="003D1E07">
        <w:t xml:space="preserve">právem </w:t>
      </w:r>
      <w:r w:rsidR="005A05A8" w:rsidRPr="003D1E07">
        <w:t>považují Druhého mistra za kongeniálního vykladače Prvního mistra</w:t>
      </w:r>
      <w:r w:rsidR="087E7978" w:rsidRPr="003D1E07">
        <w:t>.</w:t>
      </w:r>
      <w:r w:rsidR="00B644E1" w:rsidRPr="003D1E07">
        <w:t xml:space="preserve"> </w:t>
      </w:r>
    </w:p>
    <w:p w14:paraId="4D206DD1" w14:textId="3B7B714C" w:rsidR="00FA15D4" w:rsidRPr="003D1E07" w:rsidRDefault="08A678DB" w:rsidP="00691CD0">
      <w:pPr>
        <w:pStyle w:val="Nadpis2"/>
        <w:rPr>
          <w:lang w:val="cs-CZ"/>
        </w:rPr>
      </w:pPr>
      <w:r w:rsidRPr="003D1E07">
        <w:rPr>
          <w:lang w:val="cs-CZ"/>
        </w:rPr>
        <w:br w:type="page"/>
      </w:r>
      <w:bookmarkStart w:id="42" w:name="_Toc93747277"/>
      <w:bookmarkStart w:id="43" w:name="_Toc102906167"/>
      <w:r w:rsidR="00F14977" w:rsidRPr="003D1E07">
        <w:rPr>
          <w:lang w:val="cs-CZ"/>
        </w:rPr>
        <w:lastRenderedPageBreak/>
        <w:t xml:space="preserve">2.2 </w:t>
      </w:r>
      <w:r w:rsidR="007B7D9F">
        <w:rPr>
          <w:lang w:val="cs-CZ"/>
        </w:rPr>
        <w:t>O</w:t>
      </w:r>
      <w:r w:rsidR="000B42E2" w:rsidRPr="003D1E07">
        <w:rPr>
          <w:lang w:val="cs-CZ"/>
        </w:rPr>
        <w:t xml:space="preserve">ntoteologické </w:t>
      </w:r>
      <w:r w:rsidR="007C7B2C" w:rsidRPr="003D1E07">
        <w:rPr>
          <w:lang w:val="cs-CZ"/>
        </w:rPr>
        <w:t xml:space="preserve">určení jsoucna </w:t>
      </w:r>
      <w:r w:rsidR="00950A5D" w:rsidRPr="003D1E07">
        <w:rPr>
          <w:lang w:val="cs-CZ"/>
        </w:rPr>
        <w:t xml:space="preserve">(Ibn </w:t>
      </w:r>
      <w:r w:rsidR="00D5682D" w:rsidRPr="003D1E07">
        <w:rPr>
          <w:lang w:val="cs-CZ"/>
        </w:rPr>
        <w:t>Ádí</w:t>
      </w:r>
      <w:r w:rsidR="00950A5D" w:rsidRPr="003D1E07">
        <w:rPr>
          <w:lang w:val="cs-CZ"/>
        </w:rPr>
        <w:t>)</w:t>
      </w:r>
      <w:bookmarkEnd w:id="42"/>
      <w:bookmarkEnd w:id="43"/>
    </w:p>
    <w:p w14:paraId="7021C403" w14:textId="5CCEF898" w:rsidR="08813620" w:rsidRPr="003D1E07" w:rsidRDefault="00E31A5E" w:rsidP="00691CD0">
      <w:pPr>
        <w:rPr>
          <w:lang w:eastAsia="en-US"/>
        </w:rPr>
      </w:pPr>
      <w:r w:rsidRPr="003D1E07">
        <w:rPr>
          <w:lang w:eastAsia="en-US"/>
        </w:rPr>
        <w:t xml:space="preserve">Konflikt </w:t>
      </w:r>
      <w:r w:rsidR="00485C49" w:rsidRPr="003D1E07">
        <w:rPr>
          <w:lang w:eastAsia="en-US"/>
        </w:rPr>
        <w:t xml:space="preserve">dvou </w:t>
      </w:r>
      <w:r w:rsidRPr="003D1E07">
        <w:rPr>
          <w:lang w:eastAsia="en-US"/>
        </w:rPr>
        <w:t xml:space="preserve">pojetí první filosofie </w:t>
      </w:r>
      <w:r w:rsidR="08847669" w:rsidRPr="003D1E07">
        <w:rPr>
          <w:lang w:eastAsia="en-US"/>
        </w:rPr>
        <w:t xml:space="preserve">mezi aristoteliky a neoplatoniky </w:t>
      </w:r>
      <w:r w:rsidRPr="003D1E07">
        <w:rPr>
          <w:lang w:eastAsia="en-US"/>
        </w:rPr>
        <w:t>dosvědčuje nauka křesťanského filosofa I</w:t>
      </w:r>
      <w:r w:rsidRPr="003D1E07">
        <w:rPr>
          <w:bCs/>
        </w:rPr>
        <w:t xml:space="preserve">bn </w:t>
      </w:r>
      <w:r w:rsidR="00D5682D" w:rsidRPr="003D1E07">
        <w:rPr>
          <w:bCs/>
        </w:rPr>
        <w:t>Ádí</w:t>
      </w:r>
      <w:r w:rsidRPr="003D1E07">
        <w:rPr>
          <w:bCs/>
        </w:rPr>
        <w:t>ho</w:t>
      </w:r>
      <w:r w:rsidR="004B264C" w:rsidRPr="003D1E07">
        <w:rPr>
          <w:bCs/>
        </w:rPr>
        <w:t xml:space="preserve"> </w:t>
      </w:r>
      <w:r w:rsidR="004B264C" w:rsidRPr="003D1E07">
        <w:rPr>
          <w:lang w:eastAsia="en-US"/>
        </w:rPr>
        <w:t>(</w:t>
      </w:r>
      <w:r w:rsidR="004B264C" w:rsidRPr="003D1E07">
        <w:rPr>
          <w:rFonts w:cs="Calibri"/>
          <w:lang w:eastAsia="en-US"/>
        </w:rPr>
        <w:t>†</w:t>
      </w:r>
      <w:r w:rsidR="004B264C" w:rsidRPr="003D1E07">
        <w:rPr>
          <w:lang w:eastAsia="en-US"/>
        </w:rPr>
        <w:t>974)</w:t>
      </w:r>
      <w:r w:rsidRPr="003D1E07">
        <w:rPr>
          <w:bCs/>
        </w:rPr>
        <w:t xml:space="preserve">, který po </w:t>
      </w:r>
      <w:r w:rsidR="00B50985" w:rsidRPr="003D1E07">
        <w:rPr>
          <w:lang w:eastAsia="en-US"/>
        </w:rPr>
        <w:t>Al-Fá</w:t>
      </w:r>
      <w:r w:rsidRPr="003D1E07">
        <w:rPr>
          <w:lang w:eastAsia="en-US"/>
        </w:rPr>
        <w:t xml:space="preserve">rábím </w:t>
      </w:r>
      <w:r w:rsidR="00B63EFE" w:rsidRPr="003D1E07">
        <w:rPr>
          <w:lang w:eastAsia="en-US"/>
        </w:rPr>
        <w:t>vedl bagdádskou Školu moudrosti</w:t>
      </w:r>
      <w:r w:rsidR="00D108FC" w:rsidRPr="003D1E07">
        <w:rPr>
          <w:lang w:eastAsia="en-US"/>
        </w:rPr>
        <w:t xml:space="preserve"> (</w:t>
      </w:r>
      <w:r w:rsidR="00D108FC" w:rsidRPr="003D1E07">
        <w:rPr>
          <w:i/>
        </w:rPr>
        <w:t>Bajt al-Hikma</w:t>
      </w:r>
      <w:r w:rsidR="00D108FC" w:rsidRPr="003D1E07">
        <w:t>)</w:t>
      </w:r>
      <w:r w:rsidR="00AF793F" w:rsidRPr="003D1E07">
        <w:rPr>
          <w:i/>
        </w:rPr>
        <w:fldChar w:fldCharType="begin"/>
      </w:r>
      <w:r w:rsidR="00AF793F" w:rsidRPr="003D1E07">
        <w:instrText xml:space="preserve"> XE "</w:instrText>
      </w:r>
      <w:r w:rsidR="00AF793F" w:rsidRPr="003D1E07">
        <w:rPr>
          <w:i/>
        </w:rPr>
        <w:instrText>Bajt al-Hikma</w:instrText>
      </w:r>
      <w:r w:rsidR="00AF793F" w:rsidRPr="003D1E07">
        <w:instrText xml:space="preserve">" </w:instrText>
      </w:r>
      <w:r w:rsidR="00AF793F" w:rsidRPr="003D1E07">
        <w:rPr>
          <w:i/>
        </w:rPr>
        <w:fldChar w:fldCharType="end"/>
      </w:r>
      <w:r w:rsidRPr="003D1E07">
        <w:rPr>
          <w:lang w:eastAsia="en-US"/>
        </w:rPr>
        <w:t xml:space="preserve">. </w:t>
      </w:r>
      <w:r w:rsidR="0022266D" w:rsidRPr="003D1E07">
        <w:rPr>
          <w:lang w:eastAsia="en-US"/>
        </w:rPr>
        <w:t xml:space="preserve">Filosof a teolog </w:t>
      </w:r>
      <w:r w:rsidR="00AE0317" w:rsidRPr="003D1E07">
        <w:t>Jahíjá</w:t>
      </w:r>
      <w:r w:rsidR="004D2C3A" w:rsidRPr="003D1E07">
        <w:t xml:space="preserve"> I</w:t>
      </w:r>
      <w:r w:rsidR="00AE0317" w:rsidRPr="003D1E07">
        <w:t>bn Ádí</w:t>
      </w:r>
      <w:r w:rsidR="00510E4E" w:rsidRPr="003D1E07">
        <w:fldChar w:fldCharType="begin"/>
      </w:r>
      <w:r w:rsidR="00510E4E" w:rsidRPr="003D1E07">
        <w:instrText xml:space="preserve"> XE "Ibn-Ádí:</w:instrText>
      </w:r>
      <w:r w:rsidR="00510E4E" w:rsidRPr="003D1E07">
        <w:rPr>
          <w:i/>
        </w:rPr>
        <w:instrText>viz Index locorum</w:instrText>
      </w:r>
      <w:r w:rsidR="00510E4E" w:rsidRPr="003D1E07">
        <w:instrText xml:space="preserve">" </w:instrText>
      </w:r>
      <w:r w:rsidR="00510E4E" w:rsidRPr="003D1E07">
        <w:fldChar w:fldCharType="end"/>
      </w:r>
      <w:r w:rsidR="00DB0F79" w:rsidRPr="003D1E07">
        <w:t xml:space="preserve"> </w:t>
      </w:r>
      <w:r w:rsidR="0022266D" w:rsidRPr="003D1E07">
        <w:rPr>
          <w:lang w:eastAsia="en-US"/>
        </w:rPr>
        <w:t>změnil ně</w:t>
      </w:r>
      <w:r w:rsidR="00817769" w:rsidRPr="003D1E07">
        <w:rPr>
          <w:lang w:eastAsia="en-US"/>
        </w:rPr>
        <w:t>které body z nauky svého mistra</w:t>
      </w:r>
      <w:r w:rsidR="0022266D" w:rsidRPr="003D1E07">
        <w:rPr>
          <w:lang w:eastAsia="en-US"/>
        </w:rPr>
        <w:t xml:space="preserve"> tak</w:t>
      </w:r>
      <w:r w:rsidR="00817769" w:rsidRPr="003D1E07">
        <w:rPr>
          <w:lang w:eastAsia="en-US"/>
        </w:rPr>
        <w:t>,</w:t>
      </w:r>
      <w:r w:rsidR="0022266D" w:rsidRPr="003D1E07">
        <w:rPr>
          <w:lang w:eastAsia="en-US"/>
        </w:rPr>
        <w:t xml:space="preserve"> aby lépe plnily apologetickou funkci</w:t>
      </w:r>
      <w:r w:rsidR="003F021F" w:rsidRPr="003D1E07">
        <w:rPr>
          <w:lang w:eastAsia="en-US"/>
        </w:rPr>
        <w:t xml:space="preserve"> v rámci </w:t>
      </w:r>
      <w:r w:rsidR="001C2D6E" w:rsidRPr="003D1E07">
        <w:rPr>
          <w:lang w:eastAsia="en-US"/>
        </w:rPr>
        <w:t xml:space="preserve">křesťanské </w:t>
      </w:r>
      <w:r w:rsidR="003F021F" w:rsidRPr="003D1E07">
        <w:rPr>
          <w:lang w:eastAsia="en-US"/>
        </w:rPr>
        <w:t>teologie</w:t>
      </w:r>
      <w:r w:rsidR="0022266D" w:rsidRPr="003D1E07">
        <w:rPr>
          <w:lang w:eastAsia="en-US"/>
        </w:rPr>
        <w:t xml:space="preserve">. </w:t>
      </w:r>
      <w:r w:rsidR="08A875BB" w:rsidRPr="003D1E07">
        <w:rPr>
          <w:lang w:eastAsia="en-US"/>
        </w:rPr>
        <w:t>Tento j</w:t>
      </w:r>
      <w:r w:rsidR="00817769" w:rsidRPr="003D1E07">
        <w:rPr>
          <w:lang w:eastAsia="en-US"/>
        </w:rPr>
        <w:t xml:space="preserve">akobita </w:t>
      </w:r>
      <w:r w:rsidR="08E04F3A" w:rsidRPr="003D1E07">
        <w:rPr>
          <w:lang w:eastAsia="en-US"/>
        </w:rPr>
        <w:t xml:space="preserve">musel filosoficky obhájit </w:t>
      </w:r>
      <w:r w:rsidR="0022266D" w:rsidRPr="003D1E07">
        <w:rPr>
          <w:lang w:eastAsia="en-US"/>
        </w:rPr>
        <w:t>jednot</w:t>
      </w:r>
      <w:r w:rsidR="08E04F3A" w:rsidRPr="003D1E07">
        <w:rPr>
          <w:lang w:eastAsia="en-US"/>
        </w:rPr>
        <w:t>u</w:t>
      </w:r>
      <w:r w:rsidR="0022266D" w:rsidRPr="003D1E07">
        <w:rPr>
          <w:lang w:eastAsia="en-US"/>
        </w:rPr>
        <w:t xml:space="preserve"> substance</w:t>
      </w:r>
      <w:r w:rsidR="00A70FA4" w:rsidRPr="003D1E07">
        <w:rPr>
          <w:lang w:eastAsia="en-US"/>
        </w:rPr>
        <w:fldChar w:fldCharType="begin"/>
      </w:r>
      <w:r w:rsidR="00A70FA4" w:rsidRPr="003D1E07">
        <w:instrText xml:space="preserve"> XE "substance</w:instrText>
      </w:r>
      <w:r w:rsidR="00900972" w:rsidRPr="003D1E07">
        <w:instrText>:Ibn-Ádí</w:instrText>
      </w:r>
      <w:r w:rsidR="00A70FA4" w:rsidRPr="003D1E07">
        <w:instrText xml:space="preserve">" </w:instrText>
      </w:r>
      <w:r w:rsidR="00A70FA4" w:rsidRPr="003D1E07">
        <w:rPr>
          <w:lang w:eastAsia="en-US"/>
        </w:rPr>
        <w:fldChar w:fldCharType="end"/>
      </w:r>
      <w:r w:rsidR="0022266D" w:rsidRPr="003D1E07">
        <w:rPr>
          <w:lang w:eastAsia="en-US"/>
        </w:rPr>
        <w:t xml:space="preserve"> a </w:t>
      </w:r>
      <w:r w:rsidR="00F35C05" w:rsidRPr="003D1E07">
        <w:rPr>
          <w:lang w:eastAsia="en-US"/>
        </w:rPr>
        <w:t xml:space="preserve">různost </w:t>
      </w:r>
      <w:r w:rsidR="0022266D" w:rsidRPr="003D1E07">
        <w:rPr>
          <w:lang w:eastAsia="en-US"/>
        </w:rPr>
        <w:t xml:space="preserve">osob v Boží Trojici proti striktně monoteistické škole islámských filosofů </w:t>
      </w:r>
      <w:r w:rsidR="002753E8" w:rsidRPr="003D1E07">
        <w:rPr>
          <w:lang w:eastAsia="en-US"/>
        </w:rPr>
        <w:t xml:space="preserve">sdružených </w:t>
      </w:r>
      <w:r w:rsidR="0022266D" w:rsidRPr="003D1E07">
        <w:rPr>
          <w:lang w:eastAsia="en-US"/>
        </w:rPr>
        <w:t xml:space="preserve">kolem </w:t>
      </w:r>
      <w:r w:rsidR="00195584" w:rsidRPr="003D1E07">
        <w:rPr>
          <w:lang w:eastAsia="en-US"/>
        </w:rPr>
        <w:t>neo</w:t>
      </w:r>
      <w:r w:rsidR="00FA0AE4" w:rsidRPr="003D1E07">
        <w:rPr>
          <w:lang w:eastAsia="en-US"/>
        </w:rPr>
        <w:t>plato</w:t>
      </w:r>
      <w:r w:rsidR="00347191" w:rsidRPr="003D1E07">
        <w:rPr>
          <w:lang w:eastAsia="en-US"/>
        </w:rPr>
        <w:t>n</w:t>
      </w:r>
      <w:r w:rsidR="00195584" w:rsidRPr="003D1E07">
        <w:rPr>
          <w:lang w:eastAsia="en-US"/>
        </w:rPr>
        <w:t xml:space="preserve">ika </w:t>
      </w:r>
      <w:r w:rsidR="000D4142" w:rsidRPr="003D1E07">
        <w:rPr>
          <w:lang w:eastAsia="en-US"/>
        </w:rPr>
        <w:t>Al</w:t>
      </w:r>
      <w:r w:rsidR="000D4142" w:rsidRPr="003D1E07">
        <w:rPr>
          <w:lang w:eastAsia="en-US"/>
        </w:rPr>
        <w:noBreakHyphen/>
      </w:r>
      <w:r w:rsidR="0022266D" w:rsidRPr="003D1E07">
        <w:rPr>
          <w:lang w:eastAsia="en-US"/>
        </w:rPr>
        <w:t xml:space="preserve">Kindího. </w:t>
      </w:r>
      <w:r w:rsidR="08A875BB" w:rsidRPr="003D1E07">
        <w:rPr>
          <w:lang w:eastAsia="en-US"/>
        </w:rPr>
        <w:t>Ibn Ádí n</w:t>
      </w:r>
      <w:r w:rsidR="08720EC1" w:rsidRPr="003D1E07">
        <w:rPr>
          <w:lang w:eastAsia="en-US"/>
        </w:rPr>
        <w:t>eprovádí harmonizaci</w:t>
      </w:r>
      <w:r w:rsidR="003E35C0" w:rsidRPr="003D1E07">
        <w:rPr>
          <w:lang w:eastAsia="en-US"/>
        </w:rPr>
        <w:t xml:space="preserve"> učení Arist</w:t>
      </w:r>
      <w:r w:rsidR="006E6BD1" w:rsidRPr="003D1E07">
        <w:rPr>
          <w:lang w:eastAsia="en-US"/>
        </w:rPr>
        <w:t>ot</w:t>
      </w:r>
      <w:r w:rsidR="003E35C0" w:rsidRPr="003D1E07">
        <w:rPr>
          <w:lang w:eastAsia="en-US"/>
        </w:rPr>
        <w:t>ela a Plat</w:t>
      </w:r>
      <w:r w:rsidR="00B50985" w:rsidRPr="003D1E07">
        <w:rPr>
          <w:lang w:eastAsia="en-US"/>
        </w:rPr>
        <w:t>o</w:t>
      </w:r>
      <w:r w:rsidR="006E6BD1" w:rsidRPr="003D1E07">
        <w:rPr>
          <w:lang w:eastAsia="en-US"/>
        </w:rPr>
        <w:t>na</w:t>
      </w:r>
      <w:r w:rsidR="000834BB" w:rsidRPr="003D1E07">
        <w:rPr>
          <w:lang w:eastAsia="en-US"/>
        </w:rPr>
        <w:t xml:space="preserve"> na způsob Druhého mistra</w:t>
      </w:r>
      <w:r w:rsidR="006E6BD1" w:rsidRPr="003D1E07">
        <w:rPr>
          <w:lang w:eastAsia="en-US"/>
        </w:rPr>
        <w:t xml:space="preserve">. To </w:t>
      </w:r>
      <w:r w:rsidR="003E35C0" w:rsidRPr="003D1E07">
        <w:rPr>
          <w:lang w:eastAsia="en-US"/>
        </w:rPr>
        <w:t>dokazuje fakt, že ve svých dílech nepoužívá koncept přijatého intelektu (</w:t>
      </w:r>
      <w:r w:rsidR="003E35C0" w:rsidRPr="003D1E07">
        <w:rPr>
          <w:i/>
          <w:lang w:eastAsia="en-US"/>
        </w:rPr>
        <w:t>intellectus adeptus</w:t>
      </w:r>
      <w:r w:rsidR="004C3199" w:rsidRPr="003D1E07">
        <w:rPr>
          <w:lang w:eastAsia="en-US"/>
        </w:rPr>
        <w:t>) od svého učitele Al-</w:t>
      </w:r>
      <w:r w:rsidR="00B50985" w:rsidRPr="003D1E07">
        <w:rPr>
          <w:lang w:eastAsia="en-US"/>
        </w:rPr>
        <w:t>Fá</w:t>
      </w:r>
      <w:r w:rsidR="00DA0DF7" w:rsidRPr="003D1E07">
        <w:rPr>
          <w:lang w:eastAsia="en-US"/>
        </w:rPr>
        <w:t>rábího</w:t>
      </w:r>
      <w:r w:rsidR="003E35C0" w:rsidRPr="003D1E07">
        <w:rPr>
          <w:lang w:eastAsia="en-US"/>
        </w:rPr>
        <w:t xml:space="preserve"> (</w:t>
      </w:r>
      <w:r w:rsidR="009F2C57" w:rsidRPr="003D1E07">
        <w:rPr>
          <w:lang w:eastAsia="en-US"/>
        </w:rPr>
        <w:t>Périer 1920</w:t>
      </w:r>
      <w:r w:rsidR="009B04CC" w:rsidRPr="003D1E07">
        <w:rPr>
          <w:lang w:eastAsia="en-US"/>
        </w:rPr>
        <w:t>a</w:t>
      </w:r>
      <w:r w:rsidR="009F2C57" w:rsidRPr="003D1E07">
        <w:rPr>
          <w:lang w:eastAsia="en-US"/>
        </w:rPr>
        <w:t>, 220</w:t>
      </w:r>
      <w:r w:rsidR="003E35C0" w:rsidRPr="003D1E07">
        <w:rPr>
          <w:lang w:eastAsia="en-US"/>
        </w:rPr>
        <w:t xml:space="preserve">). </w:t>
      </w:r>
      <w:r w:rsidR="00862B70" w:rsidRPr="003D1E07">
        <w:t xml:space="preserve">Ibn </w:t>
      </w:r>
      <w:r w:rsidR="00D5682D" w:rsidRPr="003D1E07">
        <w:t>Ádí</w:t>
      </w:r>
      <w:r w:rsidR="00862B70" w:rsidRPr="003D1E07">
        <w:t xml:space="preserve"> si v případě poznání stvořených věcí vystač</w:t>
      </w:r>
      <w:r w:rsidR="002F133C">
        <w:t xml:space="preserve">í s první rovinou abstrakce a </w:t>
      </w:r>
      <w:r w:rsidR="00862B70" w:rsidRPr="003D1E07">
        <w:t>statutem univerzálií</w:t>
      </w:r>
      <w:r w:rsidR="002F133C">
        <w:t xml:space="preserve"> vázaných na druhou substanci</w:t>
      </w:r>
      <w:r w:rsidR="00862B70" w:rsidRPr="003D1E07">
        <w:t>.</w:t>
      </w:r>
      <w:r w:rsidR="00E55ED2" w:rsidRPr="003D1E07">
        <w:t xml:space="preserve"> Aristotelský postoj ohledně vztahu první a druhé substance ukazuje citát z jeho díla o nutnosti Inkarnace.</w:t>
      </w:r>
      <w:r w:rsidR="00862B70" w:rsidRPr="003D1E07">
        <w:rPr>
          <w:rStyle w:val="Znakapoznpodarou"/>
          <w:lang w:eastAsia="en-US"/>
        </w:rPr>
        <w:footnoteReference w:id="114"/>
      </w:r>
      <w:r w:rsidR="00862B70" w:rsidRPr="003D1E07">
        <w:t xml:space="preserve"> </w:t>
      </w:r>
      <w:r w:rsidR="08EB6DFC" w:rsidRPr="003D1E07">
        <w:rPr>
          <w:lang w:eastAsia="en-US"/>
        </w:rPr>
        <w:t xml:space="preserve">Důvodem pro aristotelské zaměření jeho filosofie byl především důraz na pojetí boha jako účinné stvořitelské příčiny oddělené od zbytku stvoření a odmítnutí bytí univerzálií mimo existující jednotliviny. </w:t>
      </w:r>
      <w:r w:rsidR="08EB6DFC" w:rsidRPr="003D1E07">
        <w:t xml:space="preserve">Existence není oddělitelná od </w:t>
      </w:r>
      <w:r w:rsidR="00DE4995" w:rsidRPr="003D1E07">
        <w:t xml:space="preserve">aristotelské první </w:t>
      </w:r>
      <w:r w:rsidR="08EB6DFC" w:rsidRPr="003D1E07">
        <w:t xml:space="preserve">substance. </w:t>
      </w:r>
      <w:r w:rsidR="00C5409F" w:rsidRPr="003D1E07">
        <w:t>Klíčový argument pro</w:t>
      </w:r>
      <w:r w:rsidR="004F6F98">
        <w:t xml:space="preserve">ti </w:t>
      </w:r>
      <w:r w:rsidR="00C5409F" w:rsidRPr="003D1E07">
        <w:t xml:space="preserve">existenci samostatných forem je </w:t>
      </w:r>
      <w:r w:rsidR="00C5409F" w:rsidRPr="003D1E07">
        <w:rPr>
          <w:i/>
        </w:rPr>
        <w:t>modus tollens</w:t>
      </w:r>
      <w:r w:rsidR="008C7FB1" w:rsidRPr="003D1E07">
        <w:rPr>
          <w:i/>
        </w:rPr>
        <w:fldChar w:fldCharType="begin"/>
      </w:r>
      <w:r w:rsidR="008C7FB1" w:rsidRPr="003D1E07">
        <w:instrText xml:space="preserve"> XE "</w:instrText>
      </w:r>
      <w:r w:rsidR="008C7FB1" w:rsidRPr="003D1E07">
        <w:rPr>
          <w:i/>
        </w:rPr>
        <w:instrText>modus tollens</w:instrText>
      </w:r>
      <w:r w:rsidR="008C7FB1" w:rsidRPr="003D1E07">
        <w:instrText xml:space="preserve">" </w:instrText>
      </w:r>
      <w:r w:rsidR="008C7FB1" w:rsidRPr="003D1E07">
        <w:rPr>
          <w:i/>
        </w:rPr>
        <w:fldChar w:fldCharType="end"/>
      </w:r>
      <w:r w:rsidR="007F7706" w:rsidRPr="003D1E07">
        <w:t xml:space="preserve"> použitý stejně jako u Porfy</w:t>
      </w:r>
      <w:r w:rsidR="00C5409F" w:rsidRPr="003D1E07">
        <w:t xml:space="preserve">ria </w:t>
      </w:r>
      <w:r w:rsidR="0034604D">
        <w:t xml:space="preserve">(kap. 1.3) </w:t>
      </w:r>
      <w:r w:rsidR="00C5409F" w:rsidRPr="003D1E07">
        <w:t xml:space="preserve">pro obranu </w:t>
      </w:r>
      <w:r w:rsidR="0075542B" w:rsidRPr="003D1E07">
        <w:t>A</w:t>
      </w:r>
      <w:r w:rsidR="00A250DB" w:rsidRPr="003D1E07">
        <w:t xml:space="preserve">ristotelovy </w:t>
      </w:r>
      <w:r w:rsidR="00C5409F" w:rsidRPr="003D1E07">
        <w:t>kategoriální predikace</w:t>
      </w:r>
      <w:r w:rsidR="00A250DB" w:rsidRPr="003D1E07">
        <w:t xml:space="preserve"> proti neoplatonikům</w:t>
      </w:r>
      <w:r w:rsidR="00C5409F" w:rsidRPr="003D1E07">
        <w:t>.</w:t>
      </w:r>
      <w:r w:rsidR="00C5409F" w:rsidRPr="003D1E07">
        <w:rPr>
          <w:rStyle w:val="Znakapoznpodarou"/>
        </w:rPr>
        <w:footnoteReference w:id="115"/>
      </w:r>
      <w:r w:rsidR="008C7FB1" w:rsidRPr="003D1E07">
        <w:t xml:space="preserve"> </w:t>
      </w:r>
      <w:r w:rsidR="00366F17" w:rsidRPr="003D1E07">
        <w:t>Tento a</w:t>
      </w:r>
      <w:r w:rsidR="00366F17" w:rsidRPr="003D1E07">
        <w:rPr>
          <w:lang w:eastAsia="en-US"/>
        </w:rPr>
        <w:t xml:space="preserve">ristotelik </w:t>
      </w:r>
      <w:r w:rsidR="00366F17">
        <w:rPr>
          <w:lang w:eastAsia="en-US"/>
        </w:rPr>
        <w:t xml:space="preserve">odmítl </w:t>
      </w:r>
      <w:r w:rsidR="00366F17" w:rsidRPr="003D1E07">
        <w:rPr>
          <w:lang w:eastAsia="en-US"/>
        </w:rPr>
        <w:t>hypostázovaná jsoucna třetího druhu</w:t>
      </w:r>
      <w:r w:rsidR="00366F17">
        <w:rPr>
          <w:lang w:eastAsia="en-US"/>
        </w:rPr>
        <w:t xml:space="preserve">, protože </w:t>
      </w:r>
      <w:r w:rsidR="08813620" w:rsidRPr="003D1E07">
        <w:rPr>
          <w:lang w:eastAsia="en-US"/>
        </w:rPr>
        <w:t>by byla postavena na úroveň první substance</w:t>
      </w:r>
      <w:r w:rsidR="009D7F25" w:rsidRPr="003D1E07">
        <w:rPr>
          <w:lang w:eastAsia="en-US"/>
        </w:rPr>
        <w:t xml:space="preserve">, což je nesmysl. </w:t>
      </w:r>
      <w:r w:rsidR="008054CA" w:rsidRPr="003D1E07">
        <w:rPr>
          <w:lang w:eastAsia="en-US"/>
        </w:rPr>
        <w:t>Ibn Ádí</w:t>
      </w:r>
      <w:r w:rsidR="009D7F25" w:rsidRPr="003D1E07">
        <w:rPr>
          <w:lang w:eastAsia="en-US"/>
        </w:rPr>
        <w:t xml:space="preserve"> </w:t>
      </w:r>
      <w:r w:rsidR="08813620" w:rsidRPr="003D1E07">
        <w:rPr>
          <w:lang w:eastAsia="en-US"/>
        </w:rPr>
        <w:t xml:space="preserve">drží kategoriální postoj svého učitele </w:t>
      </w:r>
      <w:r w:rsidR="084C75DC" w:rsidRPr="003D1E07">
        <w:rPr>
          <w:lang w:eastAsia="en-US"/>
        </w:rPr>
        <w:t xml:space="preserve">daného dvojím </w:t>
      </w:r>
      <w:r w:rsidR="08813620" w:rsidRPr="003D1E07">
        <w:rPr>
          <w:lang w:eastAsia="en-US"/>
        </w:rPr>
        <w:t>výklad</w:t>
      </w:r>
      <w:r w:rsidR="084C75DC" w:rsidRPr="003D1E07">
        <w:rPr>
          <w:lang w:eastAsia="en-US"/>
        </w:rPr>
        <w:t>em</w:t>
      </w:r>
      <w:r w:rsidR="08813620" w:rsidRPr="003D1E07">
        <w:rPr>
          <w:lang w:eastAsia="en-US"/>
        </w:rPr>
        <w:t xml:space="preserve"> </w:t>
      </w:r>
      <w:r w:rsidR="08D03465" w:rsidRPr="003D1E07">
        <w:rPr>
          <w:i/>
          <w:lang w:eastAsia="en-US"/>
        </w:rPr>
        <w:t>Cat</w:t>
      </w:r>
      <w:r w:rsidR="08D03465" w:rsidRPr="003D1E07">
        <w:rPr>
          <w:lang w:eastAsia="en-US"/>
        </w:rPr>
        <w:t xml:space="preserve">. </w:t>
      </w:r>
      <w:r w:rsidR="08813620" w:rsidRPr="003D1E07">
        <w:t>2a11–16</w:t>
      </w:r>
      <w:r w:rsidR="08813620" w:rsidRPr="003D1E07">
        <w:rPr>
          <w:szCs w:val="15"/>
        </w:rPr>
        <w:fldChar w:fldCharType="begin"/>
      </w:r>
      <w:r w:rsidR="08813620" w:rsidRPr="003D1E07">
        <w:instrText xml:space="preserve"> XE "Aristoteles:</w:instrText>
      </w:r>
      <w:r w:rsidR="08813620" w:rsidRPr="003D1E07">
        <w:rPr>
          <w:i/>
        </w:rPr>
        <w:instrText>Cat</w:instrText>
      </w:r>
      <w:r w:rsidR="08813620" w:rsidRPr="003D1E07">
        <w:instrText xml:space="preserve">. 2a11–16" </w:instrText>
      </w:r>
      <w:r w:rsidR="08813620" w:rsidRPr="003D1E07">
        <w:rPr>
          <w:szCs w:val="15"/>
        </w:rPr>
        <w:fldChar w:fldCharType="end"/>
      </w:r>
      <w:r w:rsidR="08813620" w:rsidRPr="003D1E07">
        <w:t xml:space="preserve"> </w:t>
      </w:r>
      <w:r w:rsidR="08813620" w:rsidRPr="003D1E07">
        <w:rPr>
          <w:lang w:eastAsia="en-US"/>
        </w:rPr>
        <w:t>(kap. 2.1). Citujme obranu aristotelské abstrakce z jeho klíčového spisu analyzujícího různé formy bytí jsoucna</w:t>
      </w:r>
      <w:r w:rsidR="08414C69" w:rsidRPr="003D1E07">
        <w:rPr>
          <w:lang w:eastAsia="en-US"/>
        </w:rPr>
        <w:t xml:space="preserve">. Ibn Ádí </w:t>
      </w:r>
      <w:r w:rsidR="08813620" w:rsidRPr="003D1E07">
        <w:rPr>
          <w:lang w:eastAsia="en-US"/>
        </w:rPr>
        <w:t>hájí oddělené bytí první substance</w:t>
      </w:r>
      <w:r w:rsidR="003E67EC">
        <w:rPr>
          <w:lang w:eastAsia="en-US"/>
        </w:rPr>
        <w:t>, aby založil u</w:t>
      </w:r>
      <w:r w:rsidR="0869698A" w:rsidRPr="003D1E07">
        <w:rPr>
          <w:lang w:eastAsia="en-US"/>
        </w:rPr>
        <w:t>n</w:t>
      </w:r>
      <w:r w:rsidR="003E67EC">
        <w:rPr>
          <w:lang w:eastAsia="en-US"/>
        </w:rPr>
        <w:t>iverzální kategoriální predikaci</w:t>
      </w:r>
      <w:r w:rsidR="00647733" w:rsidRPr="003D1E07">
        <w:rPr>
          <w:lang w:eastAsia="en-US"/>
        </w:rPr>
        <w:t xml:space="preserve">. Určení člověka v modu </w:t>
      </w:r>
      <w:r w:rsidR="00647733" w:rsidRPr="003D1E07">
        <w:rPr>
          <w:i/>
          <w:lang w:eastAsia="en-US"/>
        </w:rPr>
        <w:t>per prius</w:t>
      </w:r>
      <w:r w:rsidR="00647733" w:rsidRPr="003D1E07">
        <w:rPr>
          <w:lang w:eastAsia="en-US"/>
        </w:rPr>
        <w:t xml:space="preserve"> proto nemůže být odvozeno </w:t>
      </w:r>
      <w:r w:rsidR="08F30022" w:rsidRPr="003D1E07">
        <w:rPr>
          <w:lang w:eastAsia="en-US"/>
        </w:rPr>
        <w:t xml:space="preserve">od </w:t>
      </w:r>
      <w:r w:rsidR="0869698A" w:rsidRPr="003D1E07">
        <w:rPr>
          <w:lang w:eastAsia="en-US"/>
        </w:rPr>
        <w:t xml:space="preserve">definice člověka jako individua </w:t>
      </w:r>
      <w:r w:rsidR="080C5FA4" w:rsidRPr="003D1E07">
        <w:rPr>
          <w:lang w:eastAsia="en-US"/>
        </w:rPr>
        <w:t xml:space="preserve">vzniklého </w:t>
      </w:r>
      <w:r w:rsidR="0869698A" w:rsidRPr="003D1E07">
        <w:rPr>
          <w:lang w:eastAsia="en-US"/>
        </w:rPr>
        <w:t xml:space="preserve">skrze </w:t>
      </w:r>
      <w:r w:rsidR="08414C69" w:rsidRPr="003D1E07">
        <w:rPr>
          <w:lang w:eastAsia="en-US"/>
        </w:rPr>
        <w:t xml:space="preserve">dělení </w:t>
      </w:r>
      <w:r w:rsidR="080C5FA4" w:rsidRPr="003D1E07">
        <w:rPr>
          <w:lang w:eastAsia="en-US"/>
        </w:rPr>
        <w:t xml:space="preserve">obecnin v rámci </w:t>
      </w:r>
      <w:r w:rsidR="08414C69" w:rsidRPr="003D1E07">
        <w:rPr>
          <w:lang w:eastAsia="en-US"/>
        </w:rPr>
        <w:t>Porfýriova</w:t>
      </w:r>
      <w:r w:rsidR="0869698A" w:rsidRPr="003D1E07">
        <w:rPr>
          <w:lang w:eastAsia="en-US"/>
        </w:rPr>
        <w:t xml:space="preserve"> strom</w:t>
      </w:r>
      <w:r w:rsidR="08414C69" w:rsidRPr="003D1E07">
        <w:rPr>
          <w:lang w:eastAsia="en-US"/>
        </w:rPr>
        <w:t>u</w:t>
      </w:r>
      <w:r w:rsidR="08813620" w:rsidRPr="003D1E07">
        <w:rPr>
          <w:lang w:eastAsia="en-US"/>
        </w:rPr>
        <w:t>.</w:t>
      </w:r>
    </w:p>
    <w:p w14:paraId="5A69A62B" w14:textId="77777777" w:rsidR="0869698A" w:rsidRPr="003D1E07" w:rsidRDefault="08813620" w:rsidP="0869698A">
      <w:pPr>
        <w:pStyle w:val="Citace"/>
        <w:rPr>
          <w:lang w:val="cs-CZ" w:eastAsia="en-US"/>
        </w:rPr>
      </w:pPr>
      <w:r w:rsidRPr="003D1E07">
        <w:rPr>
          <w:lang w:val="cs-CZ"/>
        </w:rPr>
        <w:lastRenderedPageBreak/>
        <w:t xml:space="preserve">„Je to natolik zřejmé a evidentní, že není třeba hledat důkaz nebo nějaké dodatečné vysvětlení. </w:t>
      </w:r>
      <w:r w:rsidR="0869698A" w:rsidRPr="003D1E07">
        <w:rPr>
          <w:lang w:val="cs-CZ"/>
        </w:rPr>
        <w:t xml:space="preserve">Pak by totiž naprosto nutně byla poznaná </w:t>
      </w:r>
      <w:r w:rsidRPr="003D1E07">
        <w:rPr>
          <w:lang w:val="cs-CZ"/>
        </w:rPr>
        <w:t xml:space="preserve">věc </w:t>
      </w:r>
      <w:r w:rsidR="0869698A" w:rsidRPr="003D1E07">
        <w:rPr>
          <w:lang w:val="cs-CZ"/>
        </w:rPr>
        <w:t>shodná ve všech způsobech bytí s existujícím člověkem složeným z materie a formy. Tato úvaha ale vede k naprostému nesmyslu, protože složenina daná materií a tělem by byla obsažena v naší mysli, což by znamenalo, že v nás poznaná věc reálně existuje. A to je evidentně nesprávné.“ </w:t>
      </w:r>
      <w:r w:rsidR="00504E4E" w:rsidRPr="003D1E07">
        <w:rPr>
          <w:rStyle w:val="Znakapoznpodarou"/>
          <w:lang w:val="cs-CZ" w:eastAsia="en-US"/>
        </w:rPr>
        <w:footnoteReference w:id="116"/>
      </w:r>
    </w:p>
    <w:p w14:paraId="64E3F9E5" w14:textId="77777777" w:rsidR="001D6648" w:rsidRDefault="00F01E7B" w:rsidP="0015127E">
      <w:r w:rsidRPr="003D1E07">
        <w:rPr>
          <w:lang w:eastAsia="en-US"/>
        </w:rPr>
        <w:t xml:space="preserve">Ibn Ádí odmítá ideu, že </w:t>
      </w:r>
      <w:r w:rsidR="0075542B" w:rsidRPr="003D1E07">
        <w:rPr>
          <w:lang w:eastAsia="en-US"/>
        </w:rPr>
        <w:t>existence jako kon</w:t>
      </w:r>
      <w:r w:rsidRPr="003D1E07">
        <w:rPr>
          <w:lang w:eastAsia="en-US"/>
        </w:rPr>
        <w:t>cept by b</w:t>
      </w:r>
      <w:r w:rsidR="0075542B" w:rsidRPr="003D1E07">
        <w:rPr>
          <w:lang w:eastAsia="en-US"/>
        </w:rPr>
        <w:t>yl</w:t>
      </w:r>
      <w:r w:rsidRPr="003D1E07">
        <w:rPr>
          <w:lang w:eastAsia="en-US"/>
        </w:rPr>
        <w:t>a</w:t>
      </w:r>
      <w:r w:rsidR="0075542B" w:rsidRPr="003D1E07">
        <w:rPr>
          <w:lang w:eastAsia="en-US"/>
        </w:rPr>
        <w:t xml:space="preserve"> na stejné úrovni bytí jako první substance. </w:t>
      </w:r>
      <w:r w:rsidR="089C6D30" w:rsidRPr="003D1E07">
        <w:rPr>
          <w:lang w:eastAsia="en-US"/>
        </w:rPr>
        <w:t>Individuum dané univerzálním dělením není první substance</w:t>
      </w:r>
      <w:r w:rsidR="08AA5DFC" w:rsidRPr="003D1E07">
        <w:rPr>
          <w:lang w:eastAsia="en-US"/>
        </w:rPr>
        <w:t xml:space="preserve">, protože </w:t>
      </w:r>
      <w:r w:rsidR="00ED2DC7" w:rsidRPr="003D1E07">
        <w:rPr>
          <w:lang w:eastAsia="en-US"/>
        </w:rPr>
        <w:t xml:space="preserve">obě substance </w:t>
      </w:r>
      <w:r w:rsidR="08AA5DFC" w:rsidRPr="003D1E07">
        <w:rPr>
          <w:lang w:eastAsia="en-US"/>
        </w:rPr>
        <w:t xml:space="preserve">mají </w:t>
      </w:r>
      <w:r w:rsidR="00ED2DC7" w:rsidRPr="003D1E07">
        <w:rPr>
          <w:lang w:eastAsia="en-US"/>
        </w:rPr>
        <w:t xml:space="preserve">různou </w:t>
      </w:r>
      <w:r w:rsidR="08AA5DFC" w:rsidRPr="003D1E07">
        <w:rPr>
          <w:lang w:eastAsia="en-US"/>
        </w:rPr>
        <w:t>formu existence</w:t>
      </w:r>
      <w:r w:rsidR="089C6D30" w:rsidRPr="003D1E07">
        <w:rPr>
          <w:lang w:eastAsia="en-US"/>
        </w:rPr>
        <w:t xml:space="preserve">. </w:t>
      </w:r>
      <w:r w:rsidR="0851693F" w:rsidRPr="003D1E07">
        <w:rPr>
          <w:lang w:eastAsia="en-US"/>
        </w:rPr>
        <w:t>Co bylo pro kritické</w:t>
      </w:r>
      <w:r w:rsidR="087055A8" w:rsidRPr="003D1E07">
        <w:rPr>
          <w:lang w:eastAsia="en-US"/>
        </w:rPr>
        <w:t>ho</w:t>
      </w:r>
      <w:r w:rsidR="0851693F" w:rsidRPr="003D1E07">
        <w:rPr>
          <w:lang w:eastAsia="en-US"/>
        </w:rPr>
        <w:t xml:space="preserve"> aristotelika </w:t>
      </w:r>
      <w:r w:rsidR="0851693F" w:rsidRPr="003D1E07">
        <w:t>zřejmé a evidentní, to se postupem času stalo naprosto zmateným</w:t>
      </w:r>
      <w:r w:rsidR="08CB40DE" w:rsidRPr="003D1E07">
        <w:t xml:space="preserve">. </w:t>
      </w:r>
      <w:r w:rsidR="08DA1DAA" w:rsidRPr="003D1E07">
        <w:rPr>
          <w:lang w:eastAsia="en-US"/>
        </w:rPr>
        <w:t>C</w:t>
      </w:r>
      <w:r w:rsidR="0851693F" w:rsidRPr="003D1E07">
        <w:rPr>
          <w:lang w:eastAsia="en-US"/>
        </w:rPr>
        <w:t xml:space="preserve">itát </w:t>
      </w:r>
      <w:r w:rsidR="082B6B9C" w:rsidRPr="003D1E07">
        <w:rPr>
          <w:lang w:eastAsia="en-US"/>
        </w:rPr>
        <w:t xml:space="preserve">kritizuje </w:t>
      </w:r>
      <w:r w:rsidR="0851693F" w:rsidRPr="003D1E07">
        <w:rPr>
          <w:lang w:eastAsia="en-US"/>
        </w:rPr>
        <w:t xml:space="preserve">první nástup západních </w:t>
      </w:r>
      <w:r w:rsidR="0851693F" w:rsidRPr="003D1E07">
        <w:rPr>
          <w:i/>
          <w:lang w:eastAsia="en-US"/>
        </w:rPr>
        <w:t>Modernorum</w:t>
      </w:r>
      <w:r w:rsidR="08DA1DAA" w:rsidRPr="003D1E07">
        <w:rPr>
          <w:lang w:eastAsia="en-US"/>
        </w:rPr>
        <w:t xml:space="preserve"> v</w:t>
      </w:r>
      <w:r w:rsidR="0040270F">
        <w:rPr>
          <w:lang w:eastAsia="en-US"/>
        </w:rPr>
        <w:t> </w:t>
      </w:r>
      <w:r w:rsidR="08DA1DAA" w:rsidRPr="003D1E07">
        <w:rPr>
          <w:lang w:eastAsia="en-US"/>
        </w:rPr>
        <w:t>bagdádské</w:t>
      </w:r>
      <w:r w:rsidR="0040270F">
        <w:rPr>
          <w:lang w:eastAsia="en-US"/>
        </w:rPr>
        <w:t>m Domě</w:t>
      </w:r>
      <w:r w:rsidR="08DA1DAA" w:rsidRPr="003D1E07">
        <w:rPr>
          <w:lang w:eastAsia="en-US"/>
        </w:rPr>
        <w:t xml:space="preserve"> moudrosti</w:t>
      </w:r>
      <w:r w:rsidR="00BD039E">
        <w:rPr>
          <w:lang w:eastAsia="en-US"/>
        </w:rPr>
        <w:t xml:space="preserve">. </w:t>
      </w:r>
      <w:r w:rsidR="00BD039E" w:rsidRPr="003D1E07">
        <w:rPr>
          <w:lang w:eastAsia="en-US"/>
        </w:rPr>
        <w:t>Avicenna</w:t>
      </w:r>
      <w:r w:rsidR="00BD039E">
        <w:rPr>
          <w:lang w:eastAsia="en-US"/>
        </w:rPr>
        <w:t xml:space="preserve"> je </w:t>
      </w:r>
      <w:r w:rsidR="00BD039E" w:rsidRPr="003D1E07">
        <w:rPr>
          <w:lang w:eastAsia="en-US"/>
        </w:rPr>
        <w:t>reprezentuje</w:t>
      </w:r>
      <w:r w:rsidR="00BD039E">
        <w:rPr>
          <w:lang w:eastAsia="en-US"/>
        </w:rPr>
        <w:t xml:space="preserve"> </w:t>
      </w:r>
      <w:r w:rsidR="082B6B9C" w:rsidRPr="003D1E07">
        <w:rPr>
          <w:lang w:eastAsia="en-US"/>
        </w:rPr>
        <w:t>v</w:t>
      </w:r>
      <w:r w:rsidR="00BD039E">
        <w:rPr>
          <w:lang w:eastAsia="en-US"/>
        </w:rPr>
        <w:t> následující generaci</w:t>
      </w:r>
      <w:r w:rsidR="0851693F" w:rsidRPr="003D1E07">
        <w:rPr>
          <w:lang w:eastAsia="en-US"/>
        </w:rPr>
        <w:t xml:space="preserve">. </w:t>
      </w:r>
      <w:r w:rsidR="008B6453">
        <w:rPr>
          <w:lang w:eastAsia="en-US"/>
        </w:rPr>
        <w:t xml:space="preserve">Jeho pojetí </w:t>
      </w:r>
      <w:r w:rsidR="08E327F2" w:rsidRPr="003D1E07">
        <w:rPr>
          <w:lang w:eastAsia="en-US"/>
        </w:rPr>
        <w:t>objektivní</w:t>
      </w:r>
      <w:r w:rsidR="008B6453">
        <w:rPr>
          <w:lang w:eastAsia="en-US"/>
        </w:rPr>
        <w:t>ho</w:t>
      </w:r>
      <w:r w:rsidR="08E327F2" w:rsidRPr="003D1E07">
        <w:rPr>
          <w:lang w:eastAsia="en-US"/>
        </w:rPr>
        <w:t xml:space="preserve"> bytí duplikující aktuální první substanci zavedli na latinském Západě porretáni v linii Avicenny</w:t>
      </w:r>
      <w:r w:rsidR="008B6453">
        <w:rPr>
          <w:lang w:eastAsia="en-US"/>
        </w:rPr>
        <w:t>. O</w:t>
      </w:r>
      <w:r w:rsidR="00F5037E">
        <w:rPr>
          <w:lang w:eastAsia="en-US"/>
        </w:rPr>
        <w:t xml:space="preserve">xfordská větev této školy navíc </w:t>
      </w:r>
      <w:r w:rsidR="08E327F2" w:rsidRPr="003D1E07">
        <w:rPr>
          <w:lang w:eastAsia="en-US"/>
        </w:rPr>
        <w:t xml:space="preserve">kombinovala </w:t>
      </w:r>
      <w:r w:rsidR="008B6453">
        <w:rPr>
          <w:lang w:eastAsia="en-US"/>
        </w:rPr>
        <w:t xml:space="preserve">avicennovské </w:t>
      </w:r>
      <w:r w:rsidR="008B6453" w:rsidRPr="008B6453">
        <w:rPr>
          <w:i/>
          <w:lang w:eastAsia="en-US"/>
        </w:rPr>
        <w:t>tertium ens</w:t>
      </w:r>
      <w:r w:rsidR="008B6453">
        <w:rPr>
          <w:lang w:eastAsia="en-US"/>
        </w:rPr>
        <w:t xml:space="preserve"> </w:t>
      </w:r>
      <w:r w:rsidR="08E327F2" w:rsidRPr="003D1E07">
        <w:rPr>
          <w:lang w:eastAsia="en-US"/>
        </w:rPr>
        <w:t>s</w:t>
      </w:r>
      <w:r w:rsidR="00F5037E">
        <w:rPr>
          <w:lang w:eastAsia="en-US"/>
        </w:rPr>
        <w:t> naukou univerzálního hylemorfismu</w:t>
      </w:r>
      <w:r w:rsidR="08E327F2" w:rsidRPr="003D1E07">
        <w:rPr>
          <w:lang w:eastAsia="en-US"/>
        </w:rPr>
        <w:t xml:space="preserve">. </w:t>
      </w:r>
      <w:r w:rsidR="089E24BB" w:rsidRPr="003D1E07">
        <w:rPr>
          <w:lang w:eastAsia="en-US"/>
        </w:rPr>
        <w:t>Ibn Ádí tvrdí ve shodě s Aristotelem, že e</w:t>
      </w:r>
      <w:r w:rsidR="001361DD" w:rsidRPr="003D1E07">
        <w:rPr>
          <w:lang w:eastAsia="en-US"/>
        </w:rPr>
        <w:t xml:space="preserve">xistence univerzálií potřebuje </w:t>
      </w:r>
      <w:r w:rsidR="00321D80" w:rsidRPr="003D1E07">
        <w:rPr>
          <w:lang w:eastAsia="en-US"/>
        </w:rPr>
        <w:t xml:space="preserve">dodatečný </w:t>
      </w:r>
      <w:r w:rsidR="001361DD" w:rsidRPr="003D1E07">
        <w:rPr>
          <w:lang w:eastAsia="en-US"/>
        </w:rPr>
        <w:t>důkaz</w:t>
      </w:r>
      <w:r w:rsidR="001C68F4" w:rsidRPr="003D1E07">
        <w:rPr>
          <w:lang w:eastAsia="en-US"/>
        </w:rPr>
        <w:t xml:space="preserve"> cestou abstrakce a dedukce</w:t>
      </w:r>
      <w:r w:rsidR="005775C2">
        <w:rPr>
          <w:lang w:eastAsia="en-US"/>
        </w:rPr>
        <w:t xml:space="preserve">. Obecný pojem není dán v </w:t>
      </w:r>
      <w:r w:rsidR="001361DD" w:rsidRPr="003D1E07">
        <w:rPr>
          <w:lang w:eastAsia="en-US"/>
        </w:rPr>
        <w:t>přímé zkušenosti existující substance</w:t>
      </w:r>
      <w:r w:rsidR="00CF3660" w:rsidRPr="003D1E07">
        <w:rPr>
          <w:lang w:eastAsia="en-US"/>
        </w:rPr>
        <w:t>.</w:t>
      </w:r>
      <w:r w:rsidR="00587358" w:rsidRPr="003D1E07">
        <w:rPr>
          <w:lang w:eastAsia="en-US"/>
        </w:rPr>
        <w:t xml:space="preserve"> </w:t>
      </w:r>
      <w:r w:rsidR="00870244" w:rsidRPr="003D1E07">
        <w:rPr>
          <w:lang w:eastAsia="en-US"/>
        </w:rPr>
        <w:t xml:space="preserve">Proto </w:t>
      </w:r>
      <w:r w:rsidR="00587358" w:rsidRPr="003D1E07">
        <w:rPr>
          <w:lang w:eastAsia="en-US"/>
        </w:rPr>
        <w:t xml:space="preserve">platí aristotelská teze, že univerzálie se </w:t>
      </w:r>
      <w:r w:rsidR="089E24BB" w:rsidRPr="003D1E07">
        <w:rPr>
          <w:lang w:eastAsia="en-US"/>
        </w:rPr>
        <w:t>nemohou vyskytovat</w:t>
      </w:r>
      <w:r w:rsidR="00587358" w:rsidRPr="003D1E07">
        <w:rPr>
          <w:lang w:eastAsia="en-US"/>
        </w:rPr>
        <w:t xml:space="preserve"> v existujících </w:t>
      </w:r>
      <w:r w:rsidR="089E24BB" w:rsidRPr="003D1E07">
        <w:rPr>
          <w:lang w:eastAsia="en-US"/>
        </w:rPr>
        <w:t xml:space="preserve">hylemorfických </w:t>
      </w:r>
      <w:r w:rsidR="00587358" w:rsidRPr="003D1E07">
        <w:rPr>
          <w:lang w:eastAsia="en-US"/>
        </w:rPr>
        <w:t>substancích</w:t>
      </w:r>
      <w:r w:rsidR="087F75B0" w:rsidRPr="003D1E07">
        <w:rPr>
          <w:lang w:eastAsia="en-US"/>
        </w:rPr>
        <w:t xml:space="preserve">, protože </w:t>
      </w:r>
      <w:r w:rsidR="00D94A2F">
        <w:rPr>
          <w:lang w:eastAsia="en-US"/>
        </w:rPr>
        <w:t xml:space="preserve">jejich </w:t>
      </w:r>
      <w:r w:rsidR="087F75B0" w:rsidRPr="003D1E07">
        <w:rPr>
          <w:lang w:eastAsia="en-US"/>
        </w:rPr>
        <w:t>form</w:t>
      </w:r>
      <w:r w:rsidR="08DE62AF" w:rsidRPr="003D1E07">
        <w:rPr>
          <w:lang w:eastAsia="en-US"/>
        </w:rPr>
        <w:t>y</w:t>
      </w:r>
      <w:r w:rsidR="087F75B0" w:rsidRPr="003D1E07">
        <w:rPr>
          <w:lang w:eastAsia="en-US"/>
        </w:rPr>
        <w:t xml:space="preserve"> </w:t>
      </w:r>
      <w:r w:rsidR="00D94A2F">
        <w:rPr>
          <w:lang w:eastAsia="en-US"/>
        </w:rPr>
        <w:t xml:space="preserve">jsou </w:t>
      </w:r>
      <w:r w:rsidR="087F75B0" w:rsidRPr="003D1E07">
        <w:rPr>
          <w:lang w:eastAsia="en-US"/>
        </w:rPr>
        <w:t>dané aktuálně a materiálně</w:t>
      </w:r>
      <w:r w:rsidR="00587358" w:rsidRPr="003D1E07">
        <w:rPr>
          <w:lang w:eastAsia="en-US"/>
        </w:rPr>
        <w:t>.</w:t>
      </w:r>
      <w:r w:rsidR="00587358" w:rsidRPr="003D1E07">
        <w:rPr>
          <w:rStyle w:val="Znakapoznpodarou"/>
          <w:lang w:eastAsia="en-US"/>
        </w:rPr>
        <w:footnoteReference w:id="117"/>
      </w:r>
      <w:r w:rsidR="0012250A" w:rsidRPr="003D1E07">
        <w:rPr>
          <w:lang w:eastAsia="en-US"/>
        </w:rPr>
        <w:t xml:space="preserve"> </w:t>
      </w:r>
      <w:r w:rsidR="00A15777" w:rsidRPr="003D1E07">
        <w:rPr>
          <w:lang w:eastAsia="en-US"/>
        </w:rPr>
        <w:t xml:space="preserve">Princip </w:t>
      </w:r>
      <w:r w:rsidR="00A15777" w:rsidRPr="003D1E07">
        <w:rPr>
          <w:i/>
        </w:rPr>
        <w:t>destructio primis</w:t>
      </w:r>
      <w:r w:rsidR="00A15777" w:rsidRPr="003D1E07">
        <w:rPr>
          <w:i/>
        </w:rPr>
        <w:fldChar w:fldCharType="begin"/>
      </w:r>
      <w:r w:rsidR="00A15777" w:rsidRPr="003D1E07">
        <w:instrText xml:space="preserve"> XE "</w:instrText>
      </w:r>
      <w:r w:rsidR="00A15777" w:rsidRPr="003D1E07">
        <w:rPr>
          <w:i/>
        </w:rPr>
        <w:instrText>destructio primis</w:instrText>
      </w:r>
      <w:r w:rsidR="00A15777" w:rsidRPr="003D1E07">
        <w:instrText xml:space="preserve">" </w:instrText>
      </w:r>
      <w:r w:rsidR="00A15777" w:rsidRPr="003D1E07">
        <w:rPr>
          <w:i/>
        </w:rPr>
        <w:fldChar w:fldCharType="end"/>
      </w:r>
      <w:r w:rsidR="00A15777" w:rsidRPr="003D1E07">
        <w:t xml:space="preserve"> (kap. 1.3) potvrzuje, že bez první substance by nemohly existovat žádné významy kategoriálně predikované na úrovni druhé substance</w:t>
      </w:r>
      <w:r w:rsidR="001D6648">
        <w:t>.</w:t>
      </w:r>
    </w:p>
    <w:p w14:paraId="5982F722" w14:textId="77777777" w:rsidR="00E04A76" w:rsidRDefault="00347112" w:rsidP="00820202">
      <w:pPr>
        <w:ind w:firstLine="397"/>
      </w:pPr>
      <w:r w:rsidRPr="003D1E07">
        <w:t xml:space="preserve">Ale </w:t>
      </w:r>
      <w:r w:rsidR="001B59AC" w:rsidRPr="003D1E07">
        <w:t xml:space="preserve">díky participaci na Pravdě a Jednomu znamená </w:t>
      </w:r>
      <w:r w:rsidR="001D6648" w:rsidRPr="003D1E07">
        <w:t xml:space="preserve">univerzální pojem </w:t>
      </w:r>
      <w:r w:rsidR="084164F3" w:rsidRPr="003D1E07">
        <w:t xml:space="preserve">pro bagdádského akademika </w:t>
      </w:r>
      <w:r w:rsidRPr="003D1E07">
        <w:t xml:space="preserve">mnohem více, než pouhá reprezentace esence v poznávající mysli. </w:t>
      </w:r>
      <w:r w:rsidR="00FF1678" w:rsidRPr="003D1E07">
        <w:t xml:space="preserve">Al-Fárábí zavedl </w:t>
      </w:r>
      <w:r w:rsidRPr="003D1E07">
        <w:t xml:space="preserve">nauku o </w:t>
      </w:r>
      <w:r w:rsidR="00FF1678" w:rsidRPr="003D1E07">
        <w:t>hypostatické esenci tím, že vybudoval systém</w:t>
      </w:r>
      <w:r w:rsidRPr="003D1E07">
        <w:t xml:space="preserve"> dvojí abstrakce </w:t>
      </w:r>
      <w:r w:rsidR="00FF1678" w:rsidRPr="003D1E07">
        <w:t xml:space="preserve">a vytvořil novou formu </w:t>
      </w:r>
      <w:r w:rsidR="087D112C" w:rsidRPr="003D1E07">
        <w:rPr>
          <w:i/>
        </w:rPr>
        <w:t>aliud esse</w:t>
      </w:r>
      <w:r w:rsidR="087D112C" w:rsidRPr="003D1E07">
        <w:t xml:space="preserve"> </w:t>
      </w:r>
      <w:r w:rsidR="00FF1678" w:rsidRPr="003D1E07">
        <w:t>jako jsoucno třetího druhu (kap. 2.1.2)</w:t>
      </w:r>
      <w:r w:rsidRPr="003D1E07">
        <w:t xml:space="preserve">. </w:t>
      </w:r>
      <w:r w:rsidR="003C6913" w:rsidRPr="003D1E07">
        <w:rPr>
          <w:lang w:eastAsia="en-US"/>
        </w:rPr>
        <w:t xml:space="preserve">Ibn </w:t>
      </w:r>
      <w:r w:rsidR="00D5682D" w:rsidRPr="003D1E07">
        <w:rPr>
          <w:lang w:eastAsia="en-US"/>
        </w:rPr>
        <w:t>Ádí</w:t>
      </w:r>
      <w:r w:rsidR="009419B1" w:rsidRPr="003D1E07">
        <w:rPr>
          <w:lang w:eastAsia="en-US"/>
        </w:rPr>
        <w:t xml:space="preserve"> nepotřebuje neoplato</w:t>
      </w:r>
      <w:r w:rsidR="009220F4" w:rsidRPr="003D1E07">
        <w:rPr>
          <w:lang w:eastAsia="en-US"/>
        </w:rPr>
        <w:t xml:space="preserve">nskou </w:t>
      </w:r>
      <w:r w:rsidR="087D112C" w:rsidRPr="003D1E07">
        <w:rPr>
          <w:lang w:eastAsia="en-US"/>
        </w:rPr>
        <w:t xml:space="preserve">či amfibolní </w:t>
      </w:r>
      <w:r w:rsidR="009220F4" w:rsidRPr="003D1E07">
        <w:rPr>
          <w:lang w:eastAsia="en-US"/>
        </w:rPr>
        <w:t>hierarchii</w:t>
      </w:r>
      <w:r w:rsidR="08A17751" w:rsidRPr="003D1E07">
        <w:rPr>
          <w:lang w:eastAsia="en-US"/>
        </w:rPr>
        <w:t xml:space="preserve"> hypostázovaných forem</w:t>
      </w:r>
      <w:r w:rsidR="087B327B" w:rsidRPr="003D1E07">
        <w:fldChar w:fldCharType="begin"/>
      </w:r>
      <w:r w:rsidR="087B327B" w:rsidRPr="003D1E07">
        <w:instrText xml:space="preserve"> XE "predikace:amfibolní" </w:instrText>
      </w:r>
      <w:r w:rsidR="087B327B" w:rsidRPr="003D1E07">
        <w:fldChar w:fldCharType="end"/>
      </w:r>
      <w:r w:rsidR="009220F4" w:rsidRPr="003D1E07">
        <w:rPr>
          <w:lang w:eastAsia="en-US"/>
        </w:rPr>
        <w:t>, ja</w:t>
      </w:r>
      <w:r w:rsidR="009419B1" w:rsidRPr="003D1E07">
        <w:rPr>
          <w:lang w:eastAsia="en-US"/>
        </w:rPr>
        <w:t>ko jeho učitel Al-Fá</w:t>
      </w:r>
      <w:r w:rsidR="009220F4" w:rsidRPr="003D1E07">
        <w:rPr>
          <w:lang w:eastAsia="en-US"/>
        </w:rPr>
        <w:t xml:space="preserve">rábí, aby vytvořil predikaci </w:t>
      </w:r>
      <w:r w:rsidR="009220F4" w:rsidRPr="003D1E07">
        <w:rPr>
          <w:i/>
          <w:lang w:eastAsia="en-US"/>
        </w:rPr>
        <w:t>per prius</w:t>
      </w:r>
      <w:r w:rsidR="009220F4" w:rsidRPr="003D1E07">
        <w:rPr>
          <w:lang w:eastAsia="en-US"/>
        </w:rPr>
        <w:t>.</w:t>
      </w:r>
      <w:r w:rsidR="00FF1678" w:rsidRPr="003D1E07">
        <w:rPr>
          <w:lang w:eastAsia="en-US"/>
        </w:rPr>
        <w:t xml:space="preserve"> Jeho křesťanský žák zavedl kategoriální určení přímo do božského intelektu. Tímto způsobem vznikl nový typ ontoteologické predikace, která vytváří </w:t>
      </w:r>
      <w:r w:rsidR="00276982">
        <w:rPr>
          <w:lang w:eastAsia="en-US"/>
        </w:rPr>
        <w:lastRenderedPageBreak/>
        <w:t xml:space="preserve">kategoriální </w:t>
      </w:r>
      <w:r w:rsidR="00DC1D05">
        <w:rPr>
          <w:lang w:eastAsia="en-US"/>
        </w:rPr>
        <w:t xml:space="preserve">impozici mimo existenci reálné </w:t>
      </w:r>
      <w:r w:rsidR="00FF1678" w:rsidRPr="003D1E07">
        <w:rPr>
          <w:lang w:eastAsia="en-US"/>
        </w:rPr>
        <w:t>první substance</w:t>
      </w:r>
      <w:r w:rsidR="00332F3E">
        <w:rPr>
          <w:lang w:eastAsia="en-US"/>
        </w:rPr>
        <w:t xml:space="preserve"> a také mimo lidský intelekt</w:t>
      </w:r>
      <w:r w:rsidR="00270B33">
        <w:rPr>
          <w:lang w:eastAsia="en-US"/>
        </w:rPr>
        <w:t xml:space="preserve"> (</w:t>
      </w:r>
      <w:r w:rsidR="00270B33" w:rsidRPr="00270B33">
        <w:rPr>
          <w:i/>
          <w:lang w:eastAsia="en-US"/>
        </w:rPr>
        <w:t>neutrum</w:t>
      </w:r>
      <w:r w:rsidR="00270B33">
        <w:rPr>
          <w:lang w:eastAsia="en-US"/>
        </w:rPr>
        <w:t>)</w:t>
      </w:r>
      <w:r w:rsidR="00FF1678" w:rsidRPr="003D1E07">
        <w:rPr>
          <w:lang w:eastAsia="en-US"/>
        </w:rPr>
        <w:t xml:space="preserve">. </w:t>
      </w:r>
      <w:r w:rsidR="00E54652">
        <w:rPr>
          <w:lang w:eastAsia="en-US"/>
        </w:rPr>
        <w:t xml:space="preserve">Ontologická neutralita </w:t>
      </w:r>
      <w:r w:rsidR="0033500B" w:rsidRPr="003D1E07">
        <w:rPr>
          <w:lang w:eastAsia="en-US"/>
        </w:rPr>
        <w:t xml:space="preserve">je </w:t>
      </w:r>
      <w:r w:rsidR="082A27A7" w:rsidRPr="003D1E07">
        <w:rPr>
          <w:lang w:eastAsia="en-US"/>
        </w:rPr>
        <w:t xml:space="preserve">primárně </w:t>
      </w:r>
      <w:r w:rsidR="00811D13" w:rsidRPr="003D1E07">
        <w:rPr>
          <w:lang w:eastAsia="en-US"/>
        </w:rPr>
        <w:t xml:space="preserve">dána </w:t>
      </w:r>
      <w:r w:rsidR="082A27A7" w:rsidRPr="003D1E07">
        <w:rPr>
          <w:lang w:eastAsia="en-US"/>
        </w:rPr>
        <w:t>v</w:t>
      </w:r>
      <w:r w:rsidR="00763899">
        <w:rPr>
          <w:lang w:eastAsia="en-US"/>
        </w:rPr>
        <w:t xml:space="preserve"> moderním </w:t>
      </w:r>
      <w:r w:rsidR="00650B56">
        <w:rPr>
          <w:lang w:eastAsia="en-US"/>
        </w:rPr>
        <w:t>bohu ve sféře jeho intencionality a myšlení</w:t>
      </w:r>
      <w:r w:rsidR="00D66E94">
        <w:rPr>
          <w:lang w:eastAsia="en-US"/>
        </w:rPr>
        <w:t xml:space="preserve"> jako čistá možnost</w:t>
      </w:r>
      <w:r w:rsidR="00650B56">
        <w:rPr>
          <w:lang w:eastAsia="en-US"/>
        </w:rPr>
        <w:t>. T</w:t>
      </w:r>
      <w:r w:rsidR="008B76C0" w:rsidRPr="003D1E07">
        <w:rPr>
          <w:lang w:eastAsia="en-US"/>
        </w:rPr>
        <w:t xml:space="preserve">oto božské a objektivní </w:t>
      </w:r>
      <w:r w:rsidR="008B76C0" w:rsidRPr="003D1E07">
        <w:rPr>
          <w:i/>
          <w:lang w:eastAsia="en-US"/>
        </w:rPr>
        <w:t>neutrum</w:t>
      </w:r>
      <w:r w:rsidR="00007A82" w:rsidRPr="003D1E07">
        <w:rPr>
          <w:i/>
          <w:lang w:eastAsia="en-US"/>
        </w:rPr>
        <w:fldChar w:fldCharType="begin"/>
      </w:r>
      <w:r w:rsidR="00007A82" w:rsidRPr="003D1E07">
        <w:instrText xml:space="preserve"> XE "</w:instrText>
      </w:r>
      <w:r w:rsidR="00007A82" w:rsidRPr="003D1E07">
        <w:rPr>
          <w:i/>
          <w:lang w:eastAsia="en-US"/>
        </w:rPr>
        <w:instrText>neutrum</w:instrText>
      </w:r>
      <w:r w:rsidR="00007A82" w:rsidRPr="003D1E07">
        <w:instrText xml:space="preserve">" </w:instrText>
      </w:r>
      <w:r w:rsidR="00007A82" w:rsidRPr="003D1E07">
        <w:rPr>
          <w:i/>
          <w:lang w:eastAsia="en-US"/>
        </w:rPr>
        <w:fldChar w:fldCharType="end"/>
      </w:r>
      <w:r w:rsidR="008B76C0" w:rsidRPr="003D1E07">
        <w:rPr>
          <w:lang w:eastAsia="en-US"/>
        </w:rPr>
        <w:t xml:space="preserve"> se </w:t>
      </w:r>
      <w:r w:rsidR="0033500B" w:rsidRPr="003D1E07">
        <w:rPr>
          <w:lang w:eastAsia="en-US"/>
        </w:rPr>
        <w:t>předává d</w:t>
      </w:r>
      <w:r w:rsidR="082A27A7" w:rsidRPr="003D1E07">
        <w:rPr>
          <w:lang w:eastAsia="en-US"/>
        </w:rPr>
        <w:t xml:space="preserve">o </w:t>
      </w:r>
      <w:r w:rsidR="00CE7F56">
        <w:rPr>
          <w:lang w:eastAsia="en-US"/>
        </w:rPr>
        <w:t>stvoření v podobě stvořitelské vůle a moci</w:t>
      </w:r>
      <w:r w:rsidR="082A27A7" w:rsidRPr="003D1E07">
        <w:rPr>
          <w:lang w:eastAsia="en-US"/>
        </w:rPr>
        <w:t xml:space="preserve"> </w:t>
      </w:r>
      <w:r w:rsidR="00D66E94" w:rsidRPr="003D1E07">
        <w:t xml:space="preserve">Nový </w:t>
      </w:r>
      <w:r w:rsidR="00D66E94" w:rsidRPr="003D1E07">
        <w:rPr>
          <w:lang w:eastAsia="en-US"/>
        </w:rPr>
        <w:t>výklad vztahů v Boží Trojic</w:t>
      </w:r>
      <w:r w:rsidR="00B93561">
        <w:rPr>
          <w:lang w:eastAsia="en-US"/>
        </w:rPr>
        <w:t>i</w:t>
      </w:r>
      <w:r w:rsidR="00D66E94" w:rsidRPr="003D1E07">
        <w:rPr>
          <w:lang w:eastAsia="en-US"/>
        </w:rPr>
        <w:fldChar w:fldCharType="begin"/>
      </w:r>
      <w:r w:rsidR="00D66E94" w:rsidRPr="003D1E07">
        <w:instrText xml:space="preserve"> XE "</w:instrText>
      </w:r>
      <w:r w:rsidR="00D66E94" w:rsidRPr="003D1E07">
        <w:rPr>
          <w:lang w:eastAsia="en-US"/>
        </w:rPr>
        <w:instrText>Boží Trojice</w:instrText>
      </w:r>
      <w:r w:rsidR="00D66E94" w:rsidRPr="003D1E07">
        <w:instrText xml:space="preserve">" </w:instrText>
      </w:r>
      <w:r w:rsidR="00D66E94" w:rsidRPr="003D1E07">
        <w:rPr>
          <w:lang w:eastAsia="en-US"/>
        </w:rPr>
        <w:fldChar w:fldCharType="end"/>
      </w:r>
      <w:r w:rsidR="00D66E94" w:rsidRPr="003D1E07">
        <w:rPr>
          <w:lang w:eastAsia="en-US"/>
        </w:rPr>
        <w:t xml:space="preserve"> </w:t>
      </w:r>
      <w:r w:rsidR="00B93561">
        <w:rPr>
          <w:lang w:eastAsia="en-US"/>
        </w:rPr>
        <w:t xml:space="preserve">podaný </w:t>
      </w:r>
      <w:r w:rsidR="00D66E94">
        <w:rPr>
          <w:lang w:eastAsia="en-US"/>
        </w:rPr>
        <w:t xml:space="preserve">ve zvláštním </w:t>
      </w:r>
      <w:r w:rsidR="00D66E94" w:rsidRPr="003D1E07">
        <w:rPr>
          <w:lang w:eastAsia="en-US"/>
        </w:rPr>
        <w:t xml:space="preserve">modu </w:t>
      </w:r>
      <w:r w:rsidR="00D66E94" w:rsidRPr="003D1E07">
        <w:rPr>
          <w:i/>
          <w:lang w:eastAsia="en-US"/>
        </w:rPr>
        <w:t>per prius</w:t>
      </w:r>
      <w:r w:rsidR="00D66E94" w:rsidRPr="003D1E07">
        <w:rPr>
          <w:lang w:eastAsia="en-US"/>
        </w:rPr>
        <w:t xml:space="preserve"> zásadně ovlivnil Avicennův koncept objektivity. </w:t>
      </w:r>
      <w:r w:rsidR="08E77305" w:rsidRPr="003D1E07">
        <w:rPr>
          <w:lang w:eastAsia="en-US"/>
        </w:rPr>
        <w:t>F</w:t>
      </w:r>
      <w:r w:rsidR="082A27A7" w:rsidRPr="003D1E07">
        <w:rPr>
          <w:lang w:eastAsia="en-US"/>
        </w:rPr>
        <w:t xml:space="preserve">ilosofické pojetí Boží Trojice tvoří druhý důvod, proč tento křesťanský apologet a význačný reprezentant falsafy stojí na seznamu autorů zakládajících první </w:t>
      </w:r>
      <w:r w:rsidR="08F61EBC" w:rsidRPr="003D1E07">
        <w:rPr>
          <w:lang w:eastAsia="en-US"/>
        </w:rPr>
        <w:t>formu</w:t>
      </w:r>
      <w:r w:rsidR="00960856">
        <w:rPr>
          <w:lang w:eastAsia="en-US"/>
        </w:rPr>
        <w:t xml:space="preserve"> objektivity.</w:t>
      </w:r>
      <w:r w:rsidR="00820202">
        <w:rPr>
          <w:lang w:eastAsia="en-US"/>
        </w:rPr>
        <w:t xml:space="preserve"> </w:t>
      </w:r>
      <w:r w:rsidR="08151674" w:rsidRPr="003D1E07">
        <w:t>Aristotelik a křesťan Ádí zdůrazňuje, že osoby v Trojici jsou jednou substancí ontologicky oddělenou od stvoření</w:t>
      </w:r>
      <w:r w:rsidR="08C701A2" w:rsidRPr="003D1E07">
        <w:t xml:space="preserve"> a </w:t>
      </w:r>
      <w:r w:rsidR="08AB3420" w:rsidRPr="003D1E07">
        <w:rPr>
          <w:lang w:eastAsia="en-US"/>
        </w:rPr>
        <w:t>podává originální obranu</w:t>
      </w:r>
      <w:r w:rsidR="084164F3" w:rsidRPr="003D1E07">
        <w:rPr>
          <w:lang w:eastAsia="en-US"/>
        </w:rPr>
        <w:t xml:space="preserve"> jednoty a mnohosti v Boží Trojici. P</w:t>
      </w:r>
      <w:r w:rsidR="00F9718B" w:rsidRPr="003D1E07">
        <w:rPr>
          <w:lang w:eastAsia="en-US"/>
        </w:rPr>
        <w:t xml:space="preserve">rvní patro predikace </w:t>
      </w:r>
      <w:r w:rsidR="00F9718B" w:rsidRPr="003D1E07">
        <w:rPr>
          <w:i/>
          <w:lang w:eastAsia="en-US"/>
        </w:rPr>
        <w:t>per prius</w:t>
      </w:r>
      <w:r w:rsidR="00F9718B" w:rsidRPr="003D1E07">
        <w:rPr>
          <w:lang w:eastAsia="en-US"/>
        </w:rPr>
        <w:t xml:space="preserve"> je sestaveno tak, aby proti monoteistickému islámu </w:t>
      </w:r>
      <w:r w:rsidR="00FA2808" w:rsidRPr="003D1E07">
        <w:rPr>
          <w:lang w:eastAsia="en-US"/>
        </w:rPr>
        <w:t xml:space="preserve">filosoficky obhájilo </w:t>
      </w:r>
      <w:r w:rsidR="00F9718B" w:rsidRPr="003D1E07">
        <w:rPr>
          <w:lang w:eastAsia="en-US"/>
        </w:rPr>
        <w:t xml:space="preserve">mnohost a jednotu v </w:t>
      </w:r>
      <w:r w:rsidR="08690AD3" w:rsidRPr="003D1E07">
        <w:rPr>
          <w:lang w:eastAsia="en-US"/>
        </w:rPr>
        <w:t>jednom bohu</w:t>
      </w:r>
      <w:r w:rsidR="004E07F9" w:rsidRPr="003D1E07">
        <w:rPr>
          <w:lang w:eastAsia="en-US"/>
        </w:rPr>
        <w:t>,</w:t>
      </w:r>
      <w:r w:rsidR="00F9718B" w:rsidRPr="003D1E07">
        <w:rPr>
          <w:lang w:eastAsia="en-US"/>
        </w:rPr>
        <w:t xml:space="preserve"> včetně rozdílné závislosti </w:t>
      </w:r>
      <w:r w:rsidR="08BB3DE0" w:rsidRPr="003D1E07">
        <w:rPr>
          <w:lang w:eastAsia="en-US"/>
        </w:rPr>
        <w:t xml:space="preserve">tří osob </w:t>
      </w:r>
      <w:r w:rsidR="00F9718B" w:rsidRPr="003D1E07">
        <w:rPr>
          <w:lang w:eastAsia="en-US"/>
        </w:rPr>
        <w:t>Otce, Syna a Ducha.</w:t>
      </w:r>
      <w:r w:rsidR="003315FC" w:rsidRPr="003D1E07">
        <w:rPr>
          <w:lang w:eastAsia="en-US"/>
        </w:rPr>
        <w:t xml:space="preserve"> </w:t>
      </w:r>
      <w:r w:rsidR="085C61B6" w:rsidRPr="003D1E07">
        <w:t>Esence zůstává sama sebou</w:t>
      </w:r>
      <w:r w:rsidR="08BB3DE0" w:rsidRPr="003D1E07">
        <w:t xml:space="preserve"> a jedna, proto je bůh jeden</w:t>
      </w:r>
      <w:r w:rsidR="083F0413" w:rsidRPr="003D1E07">
        <w:t xml:space="preserve"> ve svém bytí</w:t>
      </w:r>
      <w:r w:rsidR="08BB3DE0" w:rsidRPr="003D1E07">
        <w:t>. A</w:t>
      </w:r>
      <w:r w:rsidR="085C61B6" w:rsidRPr="003D1E07">
        <w:t xml:space="preserve">le </w:t>
      </w:r>
      <w:r w:rsidR="08C701A2" w:rsidRPr="003D1E07">
        <w:t xml:space="preserve">boží esence </w:t>
      </w:r>
      <w:r w:rsidR="085C61B6" w:rsidRPr="003D1E07">
        <w:t xml:space="preserve">je dána ve třech různých </w:t>
      </w:r>
      <w:r w:rsidR="00D74337" w:rsidRPr="003D1E07">
        <w:t xml:space="preserve">hypostázovaných </w:t>
      </w:r>
      <w:r w:rsidR="085C61B6" w:rsidRPr="003D1E07">
        <w:t xml:space="preserve">vztazích (tj. „osobách“), které se liší vzhledem k úkonu </w:t>
      </w:r>
      <w:r w:rsidR="006F08EB">
        <w:t xml:space="preserve">reflexivního </w:t>
      </w:r>
      <w:r w:rsidR="085C61B6" w:rsidRPr="003D1E07">
        <w:t>myšlení.</w:t>
      </w:r>
      <w:r w:rsidR="085C61B6" w:rsidRPr="003D1E07">
        <w:rPr>
          <w:rStyle w:val="Znakapoznpodarou"/>
        </w:rPr>
        <w:footnoteReference w:id="118"/>
      </w:r>
      <w:r w:rsidR="085C61B6" w:rsidRPr="003D1E07">
        <w:t xml:space="preserve"> </w:t>
      </w:r>
      <w:r w:rsidR="003315FC" w:rsidRPr="003D1E07">
        <w:rPr>
          <w:lang w:eastAsia="en-US"/>
        </w:rPr>
        <w:t xml:space="preserve">Citujme klíčovou část z traktátu o </w:t>
      </w:r>
      <w:r w:rsidR="00B50C83" w:rsidRPr="003D1E07">
        <w:rPr>
          <w:lang w:eastAsia="en-US"/>
        </w:rPr>
        <w:t>j</w:t>
      </w:r>
      <w:r w:rsidR="00B96DAD" w:rsidRPr="003D1E07">
        <w:rPr>
          <w:lang w:eastAsia="en-US"/>
        </w:rPr>
        <w:t>ednotě Boží Trojice</w:t>
      </w:r>
      <w:r w:rsidR="00900972" w:rsidRPr="003D1E07">
        <w:rPr>
          <w:lang w:eastAsia="en-US"/>
        </w:rPr>
        <w:fldChar w:fldCharType="begin"/>
      </w:r>
      <w:r w:rsidR="00900972" w:rsidRPr="003D1E07">
        <w:instrText xml:space="preserve"> XE "</w:instrText>
      </w:r>
      <w:r w:rsidR="08015154" w:rsidRPr="003D1E07">
        <w:rPr>
          <w:lang w:eastAsia="en-US"/>
        </w:rPr>
        <w:instrText>Boží Trojice</w:instrText>
      </w:r>
      <w:r w:rsidR="00900972" w:rsidRPr="003D1E07">
        <w:instrText xml:space="preserve">" </w:instrText>
      </w:r>
      <w:r w:rsidR="00900972" w:rsidRPr="003D1E07">
        <w:rPr>
          <w:lang w:eastAsia="en-US"/>
        </w:rPr>
        <w:fldChar w:fldCharType="end"/>
      </w:r>
      <w:r w:rsidR="003C5F4E" w:rsidRPr="003D1E07">
        <w:rPr>
          <w:lang w:eastAsia="en-US"/>
        </w:rPr>
        <w:t xml:space="preserve">, kde intelekt reflektuje sám sebe </w:t>
      </w:r>
      <w:r w:rsidR="00BF77E9" w:rsidRPr="003D1E07">
        <w:rPr>
          <w:lang w:eastAsia="en-US"/>
        </w:rPr>
        <w:t>ve výkonu vlastní činnosti</w:t>
      </w:r>
      <w:r w:rsidR="00A52220" w:rsidRPr="003D1E07">
        <w:rPr>
          <w:lang w:eastAsia="en-US"/>
        </w:rPr>
        <w:t>,</w:t>
      </w:r>
      <w:r w:rsidR="00BF77E9" w:rsidRPr="003D1E07">
        <w:rPr>
          <w:lang w:eastAsia="en-US"/>
        </w:rPr>
        <w:t xml:space="preserve"> a tím se </w:t>
      </w:r>
      <w:r w:rsidR="00EB10E4" w:rsidRPr="003D1E07">
        <w:rPr>
          <w:lang w:eastAsia="en-US"/>
        </w:rPr>
        <w:t xml:space="preserve">současně </w:t>
      </w:r>
      <w:r w:rsidR="00BF77E9" w:rsidRPr="003D1E07">
        <w:rPr>
          <w:lang w:eastAsia="en-US"/>
        </w:rPr>
        <w:t xml:space="preserve">vnímá jako </w:t>
      </w:r>
      <w:r w:rsidR="003C5F4E" w:rsidRPr="003D1E07">
        <w:rPr>
          <w:lang w:eastAsia="en-US"/>
        </w:rPr>
        <w:t xml:space="preserve">předmět </w:t>
      </w:r>
      <w:r w:rsidR="00BF77E9" w:rsidRPr="003D1E07">
        <w:rPr>
          <w:lang w:eastAsia="en-US"/>
        </w:rPr>
        <w:t>sebe</w:t>
      </w:r>
      <w:r w:rsidR="0054192B" w:rsidRPr="003D1E07">
        <w:rPr>
          <w:lang w:eastAsia="en-US"/>
        </w:rPr>
        <w:t>ref</w:t>
      </w:r>
      <w:r w:rsidR="00BF77E9" w:rsidRPr="003D1E07">
        <w:rPr>
          <w:lang w:eastAsia="en-US"/>
        </w:rPr>
        <w:t>l</w:t>
      </w:r>
      <w:r w:rsidR="0054192B" w:rsidRPr="003D1E07">
        <w:rPr>
          <w:lang w:eastAsia="en-US"/>
        </w:rPr>
        <w:t>e</w:t>
      </w:r>
      <w:r w:rsidR="00BF77E9" w:rsidRPr="003D1E07">
        <w:rPr>
          <w:lang w:eastAsia="en-US"/>
        </w:rPr>
        <w:t>xe</w:t>
      </w:r>
      <w:r w:rsidR="003C5F4E" w:rsidRPr="003D1E07">
        <w:rPr>
          <w:lang w:eastAsia="en-US"/>
        </w:rPr>
        <w:t>.</w:t>
      </w:r>
      <w:bookmarkStart w:id="44" w:name="_Ref369532432"/>
      <w:r w:rsidR="08440200" w:rsidRPr="003D1E07">
        <w:rPr>
          <w:rStyle w:val="Znakapoznpodarou"/>
        </w:rPr>
        <w:footnoteReference w:id="119"/>
      </w:r>
      <w:r w:rsidR="08440200" w:rsidRPr="003D1E07">
        <w:t xml:space="preserve"> </w:t>
      </w:r>
      <w:r w:rsidR="00E63D11" w:rsidRPr="003D1E07">
        <w:rPr>
          <w:lang w:eastAsia="en-US"/>
        </w:rPr>
        <w:t xml:space="preserve"> </w:t>
      </w:r>
      <w:bookmarkEnd w:id="44"/>
      <w:r w:rsidR="00F113C4" w:rsidRPr="003D1E07">
        <w:t>Intelekt podoben Otci je sám sebou</w:t>
      </w:r>
      <w:r w:rsidR="00A96207" w:rsidRPr="003D1E07">
        <w:t xml:space="preserve"> (</w:t>
      </w:r>
      <w:r w:rsidR="00F00450" w:rsidRPr="003D1E07">
        <w:rPr>
          <w:i/>
        </w:rPr>
        <w:t>'</w:t>
      </w:r>
      <w:r w:rsidR="00023928" w:rsidRPr="003D1E07">
        <w:rPr>
          <w:i/>
        </w:rPr>
        <w:t>aql</w:t>
      </w:r>
      <w:r w:rsidR="000B74BE" w:rsidRPr="003D1E07">
        <w:rPr>
          <w:i/>
        </w:rPr>
        <w:t>, intelligere</w:t>
      </w:r>
      <w:r w:rsidR="00A96207" w:rsidRPr="003D1E07">
        <w:t>)</w:t>
      </w:r>
      <w:r w:rsidR="00FB292C" w:rsidRPr="003D1E07">
        <w:t>. J</w:t>
      </w:r>
      <w:r w:rsidR="00F113C4" w:rsidRPr="003D1E07">
        <w:t xml:space="preserve">eho zdvojení ve výkonu sebereflexe dává </w:t>
      </w:r>
      <w:r w:rsidR="000F3B15" w:rsidRPr="003D1E07">
        <w:t xml:space="preserve">osobu Syna jako </w:t>
      </w:r>
      <w:r w:rsidR="00F113C4" w:rsidRPr="003D1E07">
        <w:t>n</w:t>
      </w:r>
      <w:r w:rsidR="000F3B15" w:rsidRPr="003D1E07">
        <w:t xml:space="preserve">ové určení uvnitř esence, </w:t>
      </w:r>
      <w:r w:rsidR="00F113C4" w:rsidRPr="003D1E07">
        <w:t>(</w:t>
      </w:r>
      <w:r w:rsidR="00F00450" w:rsidRPr="003D1E07">
        <w:rPr>
          <w:i/>
        </w:rPr>
        <w:t>'</w:t>
      </w:r>
      <w:r w:rsidR="00816C4B" w:rsidRPr="003D1E07">
        <w:rPr>
          <w:i/>
        </w:rPr>
        <w:t>āgil</w:t>
      </w:r>
      <w:r w:rsidR="00816C4B" w:rsidRPr="003D1E07">
        <w:t xml:space="preserve">, </w:t>
      </w:r>
      <w:r w:rsidR="00F113C4" w:rsidRPr="003D1E07">
        <w:rPr>
          <w:i/>
        </w:rPr>
        <w:t>intelligen</w:t>
      </w:r>
      <w:r w:rsidR="00D3550B" w:rsidRPr="003D1E07">
        <w:rPr>
          <w:i/>
        </w:rPr>
        <w:t>s</w:t>
      </w:r>
      <w:r w:rsidR="00FB292C" w:rsidRPr="003D1E07">
        <w:t>). V</w:t>
      </w:r>
      <w:r w:rsidR="00F113C4" w:rsidRPr="003D1E07">
        <w:t xml:space="preserve">ýkon sebereflexe vyšel </w:t>
      </w:r>
      <w:r w:rsidR="000F3B15" w:rsidRPr="003D1E07">
        <w:t xml:space="preserve">jak </w:t>
      </w:r>
      <w:r w:rsidR="00F113C4" w:rsidRPr="003D1E07">
        <w:t xml:space="preserve">z </w:t>
      </w:r>
      <w:r w:rsidR="000F3B15" w:rsidRPr="003D1E07">
        <w:t>intelekt</w:t>
      </w:r>
      <w:r w:rsidR="008A302F" w:rsidRPr="003D1E07">
        <w:t xml:space="preserve">u, </w:t>
      </w:r>
      <w:r w:rsidR="000F3B15" w:rsidRPr="003D1E07">
        <w:t xml:space="preserve">tak i z jeho </w:t>
      </w:r>
      <w:r w:rsidR="00D80C4C" w:rsidRPr="003D1E07">
        <w:t xml:space="preserve">reflektovaného </w:t>
      </w:r>
      <w:r w:rsidR="000F3B15" w:rsidRPr="003D1E07">
        <w:t>výkonu v osobě Ducha svatého</w:t>
      </w:r>
      <w:r w:rsidR="008A302F" w:rsidRPr="003D1E07">
        <w:t xml:space="preserve">. A </w:t>
      </w:r>
      <w:r w:rsidR="00F113C4" w:rsidRPr="003D1E07">
        <w:t xml:space="preserve">zase se k Otci a k Synu </w:t>
      </w:r>
      <w:r w:rsidR="000F3B15" w:rsidRPr="003D1E07">
        <w:t>vrací</w:t>
      </w:r>
      <w:r w:rsidR="003275C6" w:rsidRPr="003D1E07">
        <w:t>, pro</w:t>
      </w:r>
      <w:r w:rsidR="00D80C4C" w:rsidRPr="003D1E07">
        <w:t>to</w:t>
      </w:r>
      <w:r w:rsidR="003275C6" w:rsidRPr="003D1E07">
        <w:t xml:space="preserve">že je interním </w:t>
      </w:r>
      <w:r w:rsidR="00F113C4" w:rsidRPr="003D1E07">
        <w:t>předmět</w:t>
      </w:r>
      <w:r w:rsidR="003275C6" w:rsidRPr="003D1E07">
        <w:t>em</w:t>
      </w:r>
      <w:r w:rsidR="00F113C4" w:rsidRPr="003D1E07">
        <w:t xml:space="preserve"> </w:t>
      </w:r>
      <w:r w:rsidR="00C866DB" w:rsidRPr="003D1E07">
        <w:t xml:space="preserve">a </w:t>
      </w:r>
      <w:r w:rsidR="00002586" w:rsidRPr="003D1E07">
        <w:t xml:space="preserve">současně i </w:t>
      </w:r>
      <w:r w:rsidR="00C866DB" w:rsidRPr="003D1E07">
        <w:t>výkon</w:t>
      </w:r>
      <w:r w:rsidR="003275C6" w:rsidRPr="003D1E07">
        <w:t xml:space="preserve">em jejich myšlení </w:t>
      </w:r>
      <w:r w:rsidR="00F113C4" w:rsidRPr="003D1E07">
        <w:t>(</w:t>
      </w:r>
      <w:r w:rsidR="00816C4B" w:rsidRPr="003D1E07">
        <w:rPr>
          <w:i/>
        </w:rPr>
        <w:t>mā</w:t>
      </w:r>
      <w:r w:rsidR="00F00450" w:rsidRPr="003D1E07">
        <w:rPr>
          <w:i/>
        </w:rPr>
        <w:t>'</w:t>
      </w:r>
      <w:r w:rsidR="00816C4B" w:rsidRPr="003D1E07">
        <w:rPr>
          <w:i/>
        </w:rPr>
        <w:t>gūl</w:t>
      </w:r>
      <w:r w:rsidR="00816C4B" w:rsidRPr="003D1E07">
        <w:t xml:space="preserve">, </w:t>
      </w:r>
      <w:r w:rsidR="00F113C4" w:rsidRPr="003D1E07">
        <w:rPr>
          <w:i/>
        </w:rPr>
        <w:t>intel</w:t>
      </w:r>
      <w:r w:rsidR="00D3550B" w:rsidRPr="003D1E07">
        <w:rPr>
          <w:i/>
        </w:rPr>
        <w:t>l</w:t>
      </w:r>
      <w:r w:rsidR="00504622" w:rsidRPr="003D1E07">
        <w:rPr>
          <w:i/>
        </w:rPr>
        <w:t>igibile</w:t>
      </w:r>
      <w:r w:rsidR="00F113C4" w:rsidRPr="003D1E07">
        <w:t xml:space="preserve">). </w:t>
      </w:r>
      <w:r w:rsidR="083F0413" w:rsidRPr="003D1E07">
        <w:t>Imanentní v</w:t>
      </w:r>
      <w:r w:rsidR="089C5049" w:rsidRPr="003D1E07">
        <w:t>ztahy božích osob mezi sebou a uvnitř jedné esence</w:t>
      </w:r>
      <w:r w:rsidR="00485643" w:rsidRPr="003D1E07">
        <w:rPr>
          <w:i/>
          <w:iCs/>
        </w:rPr>
        <w:fldChar w:fldCharType="begin"/>
      </w:r>
      <w:r w:rsidR="00485643" w:rsidRPr="003D1E07">
        <w:instrText xml:space="preserve"> XE "esence:falsafa" </w:instrText>
      </w:r>
      <w:r w:rsidR="00485643" w:rsidRPr="003D1E07">
        <w:rPr>
          <w:i/>
          <w:iCs/>
        </w:rPr>
        <w:fldChar w:fldCharType="end"/>
      </w:r>
      <w:r w:rsidR="00622E5A" w:rsidRPr="003D1E07">
        <w:rPr>
          <w:i/>
          <w:iCs/>
        </w:rPr>
        <w:t xml:space="preserve"> </w:t>
      </w:r>
      <w:r w:rsidR="089C5049" w:rsidRPr="003D1E07">
        <w:t>jsou nutné</w:t>
      </w:r>
      <w:r w:rsidR="00C36FDB">
        <w:t>, věčné</w:t>
      </w:r>
      <w:r w:rsidR="089C5049" w:rsidRPr="003D1E07">
        <w:t xml:space="preserve"> a přitom hierarchické </w:t>
      </w:r>
      <w:r w:rsidR="00C36FDB">
        <w:t>(</w:t>
      </w:r>
      <w:r w:rsidR="00C36FDB" w:rsidRPr="00C36FDB">
        <w:rPr>
          <w:i/>
        </w:rPr>
        <w:t>processio</w:t>
      </w:r>
      <w:r w:rsidR="00C36FDB">
        <w:t xml:space="preserve">) </w:t>
      </w:r>
      <w:r w:rsidR="089C5049" w:rsidRPr="003D1E07">
        <w:t xml:space="preserve">v rámci predikace </w:t>
      </w:r>
      <w:r w:rsidR="089C5049" w:rsidRPr="003D1E07">
        <w:rPr>
          <w:i/>
        </w:rPr>
        <w:t>per prius</w:t>
      </w:r>
      <w:r w:rsidR="089C5049" w:rsidRPr="003D1E07">
        <w:t>.</w:t>
      </w:r>
      <w:r w:rsidR="089C5049" w:rsidRPr="003D1E07">
        <w:rPr>
          <w:rStyle w:val="Znakapoznpodarou"/>
        </w:rPr>
        <w:footnoteReference w:id="120"/>
      </w:r>
      <w:r w:rsidR="089C5049" w:rsidRPr="003D1E07">
        <w:t xml:space="preserve"> </w:t>
      </w:r>
      <w:r w:rsidR="001F29A1" w:rsidRPr="003D1E07">
        <w:t xml:space="preserve">Citovaný úryvek traktátu o Trojici zdůrazňuje, že diference mezi osobami je dána v modu </w:t>
      </w:r>
      <w:r w:rsidR="001F29A1" w:rsidRPr="003D1E07">
        <w:rPr>
          <w:i/>
        </w:rPr>
        <w:t>per prius</w:t>
      </w:r>
      <w:r w:rsidR="001F29A1" w:rsidRPr="003D1E07">
        <w:t xml:space="preserve">, ale </w:t>
      </w:r>
      <w:r w:rsidR="001F29A1" w:rsidRPr="003D1E07">
        <w:lastRenderedPageBreak/>
        <w:t xml:space="preserve">vychází ze vztahu daného </w:t>
      </w:r>
      <w:r w:rsidR="08321158" w:rsidRPr="003D1E07">
        <w:t>t</w:t>
      </w:r>
      <w:r w:rsidR="08DC6626" w:rsidRPr="003D1E07">
        <w:t>rojím</w:t>
      </w:r>
      <w:r w:rsidR="0866746F" w:rsidRPr="003D1E07">
        <w:t xml:space="preserve"> způsob</w:t>
      </w:r>
      <w:r w:rsidR="08DC6626" w:rsidRPr="003D1E07">
        <w:t>em</w:t>
      </w:r>
      <w:r w:rsidR="0866746F" w:rsidRPr="003D1E07">
        <w:t xml:space="preserve"> myšlení</w:t>
      </w:r>
      <w:r w:rsidR="001F29A1" w:rsidRPr="003D1E07">
        <w:t xml:space="preserve">, nikoliv pluralitou </w:t>
      </w:r>
      <w:r w:rsidR="00453FD0" w:rsidRPr="003D1E07">
        <w:t>tří substancí</w:t>
      </w:r>
      <w:r w:rsidR="00A70FA4" w:rsidRPr="003D1E07">
        <w:fldChar w:fldCharType="begin"/>
      </w:r>
      <w:r w:rsidR="00A70FA4" w:rsidRPr="003D1E07">
        <w:instrText xml:space="preserve"> XE "substance</w:instrText>
      </w:r>
      <w:r w:rsidR="00900972" w:rsidRPr="003D1E07">
        <w:instrText>:Ibn-Ádí</w:instrText>
      </w:r>
      <w:r w:rsidR="00A70FA4" w:rsidRPr="003D1E07">
        <w:instrText xml:space="preserve">" </w:instrText>
      </w:r>
      <w:r w:rsidR="00A70FA4" w:rsidRPr="003D1E07">
        <w:fldChar w:fldCharType="end"/>
      </w:r>
      <w:r w:rsidR="001F29A1" w:rsidRPr="003D1E07">
        <w:t xml:space="preserve"> (</w:t>
      </w:r>
      <w:r w:rsidR="001F29A1" w:rsidRPr="003D1E07">
        <w:rPr>
          <w:i/>
        </w:rPr>
        <w:t>Traité I</w:t>
      </w:r>
      <w:r w:rsidR="001F29A1" w:rsidRPr="003D1E07">
        <w:t>, p. 22</w:t>
      </w:r>
      <w:r w:rsidR="00C64FEB" w:rsidRPr="003D1E07">
        <w:fldChar w:fldCharType="begin"/>
      </w:r>
      <w:r w:rsidR="00C64FEB" w:rsidRPr="003D1E07">
        <w:instrText xml:space="preserve"> XE "Ibn-Ádí:</w:instrText>
      </w:r>
      <w:r w:rsidR="00C64FEB" w:rsidRPr="003D1E07">
        <w:rPr>
          <w:i/>
        </w:rPr>
        <w:instrText xml:space="preserve">Traité </w:instrText>
      </w:r>
      <w:r w:rsidR="00C64FEB" w:rsidRPr="003D1E07">
        <w:instrText xml:space="preserve">1.22" </w:instrText>
      </w:r>
      <w:r w:rsidR="00C64FEB" w:rsidRPr="003D1E07">
        <w:fldChar w:fldCharType="end"/>
      </w:r>
      <w:r w:rsidR="001F29A1" w:rsidRPr="003D1E07">
        <w:t xml:space="preserve">). </w:t>
      </w:r>
      <w:r w:rsidR="00A41231" w:rsidRPr="003D1E07">
        <w:t>Nová forma predikace umožnila jed</w:t>
      </w:r>
      <w:r w:rsidR="08015154" w:rsidRPr="003D1E07">
        <w:t>notu a mnohost přímo na úrovni B</w:t>
      </w:r>
      <w:r w:rsidR="00A41231" w:rsidRPr="003D1E07">
        <w:t>oží Trojice</w:t>
      </w:r>
      <w:r w:rsidR="08015154" w:rsidRPr="003D1E07">
        <w:rPr>
          <w:lang w:eastAsia="en-US"/>
        </w:rPr>
        <w:fldChar w:fldCharType="begin"/>
      </w:r>
      <w:r w:rsidR="08015154" w:rsidRPr="003D1E07">
        <w:instrText xml:space="preserve"> XE "</w:instrText>
      </w:r>
      <w:r w:rsidR="08015154" w:rsidRPr="003D1E07">
        <w:rPr>
          <w:lang w:eastAsia="en-US"/>
        </w:rPr>
        <w:instrText>Boží Trojice</w:instrText>
      </w:r>
      <w:r w:rsidR="08015154" w:rsidRPr="003D1E07">
        <w:instrText xml:space="preserve">" </w:instrText>
      </w:r>
      <w:r w:rsidR="08015154" w:rsidRPr="003D1E07">
        <w:rPr>
          <w:lang w:eastAsia="en-US"/>
        </w:rPr>
        <w:fldChar w:fldCharType="end"/>
      </w:r>
      <w:r w:rsidR="00A41231" w:rsidRPr="003D1E07">
        <w:t xml:space="preserve">, tedy ve sféře odděleného Jednoho. </w:t>
      </w:r>
      <w:r w:rsidR="002D56F0" w:rsidRPr="003D1E07">
        <w:t xml:space="preserve">Model sebereflexivního zdvojení intelektu </w:t>
      </w:r>
      <w:r w:rsidR="009419B1" w:rsidRPr="003D1E07">
        <w:t>pochází z Ploti</w:t>
      </w:r>
      <w:r w:rsidR="00FC10F2" w:rsidRPr="003D1E07">
        <w:t xml:space="preserve">nových </w:t>
      </w:r>
      <w:r w:rsidR="00FC10F2" w:rsidRPr="003D1E07">
        <w:rPr>
          <w:i/>
        </w:rPr>
        <w:t>Enneád</w:t>
      </w:r>
      <w:r w:rsidR="00FC10F2" w:rsidRPr="003D1E07">
        <w:t xml:space="preserve">, které </w:t>
      </w:r>
      <w:r w:rsidR="00FB6960" w:rsidRPr="003D1E07">
        <w:t xml:space="preserve">v páté </w:t>
      </w:r>
      <w:r w:rsidR="00FB6960" w:rsidRPr="003D1E07">
        <w:rPr>
          <w:i/>
        </w:rPr>
        <w:t>Enneádě</w:t>
      </w:r>
      <w:r w:rsidR="00FB6960" w:rsidRPr="003D1E07">
        <w:t xml:space="preserve"> </w:t>
      </w:r>
      <w:r w:rsidR="002D56F0" w:rsidRPr="003D1E07">
        <w:t>ana</w:t>
      </w:r>
      <w:r w:rsidR="00FB6960" w:rsidRPr="003D1E07">
        <w:t xml:space="preserve">lyzují výkon zdvojeného vidění. Pátou </w:t>
      </w:r>
      <w:r w:rsidR="00EE5705" w:rsidRPr="003D1E07">
        <w:rPr>
          <w:i/>
        </w:rPr>
        <w:t>Enneádu</w:t>
      </w:r>
      <w:r w:rsidR="00EE5705" w:rsidRPr="003D1E07">
        <w:t xml:space="preserve"> mohl </w:t>
      </w:r>
      <w:r w:rsidR="08397E21" w:rsidRPr="003D1E07">
        <w:t xml:space="preserve">Ibn </w:t>
      </w:r>
      <w:r w:rsidR="00D5682D" w:rsidRPr="003D1E07">
        <w:t>Ádí</w:t>
      </w:r>
      <w:r w:rsidR="00EE5705" w:rsidRPr="003D1E07">
        <w:t xml:space="preserve"> znát skrze parafrázi v díle </w:t>
      </w:r>
      <w:r w:rsidR="00EE5705" w:rsidRPr="003D1E07">
        <w:rPr>
          <w:i/>
        </w:rPr>
        <w:t>Theologia Aristotelis</w:t>
      </w:r>
      <w:r w:rsidR="00FB6960" w:rsidRPr="003D1E07">
        <w:rPr>
          <w:i/>
        </w:rPr>
        <w:fldChar w:fldCharType="begin"/>
      </w:r>
      <w:r w:rsidR="00FB6960" w:rsidRPr="003D1E07">
        <w:instrText xml:space="preserve"> XE "</w:instrText>
      </w:r>
      <w:r w:rsidR="00FB6960" w:rsidRPr="003D1E07">
        <w:rPr>
          <w:i/>
        </w:rPr>
        <w:instrText>Theologia Aristotelis</w:instrText>
      </w:r>
      <w:r w:rsidR="00FB6960" w:rsidRPr="003D1E07">
        <w:instrText xml:space="preserve">" </w:instrText>
      </w:r>
      <w:r w:rsidR="00FB6960" w:rsidRPr="003D1E07">
        <w:rPr>
          <w:i/>
        </w:rPr>
        <w:fldChar w:fldCharType="end"/>
      </w:r>
      <w:r w:rsidR="00FB6960" w:rsidRPr="003D1E07">
        <w:t xml:space="preserve"> a</w:t>
      </w:r>
      <w:r w:rsidR="009419B1" w:rsidRPr="003D1E07">
        <w:t xml:space="preserve"> také skrze její využití v Porfy</w:t>
      </w:r>
      <w:r w:rsidR="00FB6960" w:rsidRPr="003D1E07">
        <w:t xml:space="preserve">riově komentáři k dialogu </w:t>
      </w:r>
      <w:r w:rsidR="00FB6960" w:rsidRPr="003D1E07">
        <w:rPr>
          <w:i/>
        </w:rPr>
        <w:t>Parmenid</w:t>
      </w:r>
      <w:r w:rsidR="009419B1" w:rsidRPr="003D1E07">
        <w:rPr>
          <w:i/>
        </w:rPr>
        <w:t>e</w:t>
      </w:r>
      <w:r w:rsidR="00FB6960" w:rsidRPr="003D1E07">
        <w:rPr>
          <w:i/>
        </w:rPr>
        <w:t>s</w:t>
      </w:r>
      <w:r w:rsidR="08173BD6" w:rsidRPr="003D1E07">
        <w:t xml:space="preserve">, který zavedl formu zdvojeného bytí jsoucna </w:t>
      </w:r>
      <w:r w:rsidR="00FB6960" w:rsidRPr="003D1E07">
        <w:t>(kap. 1.</w:t>
      </w:r>
      <w:r w:rsidR="08AF6B7D" w:rsidRPr="003D1E07">
        <w:t>3</w:t>
      </w:r>
      <w:r w:rsidR="00FB6960" w:rsidRPr="003D1E07">
        <w:t xml:space="preserve">.1). </w:t>
      </w:r>
      <w:r w:rsidR="00357A58" w:rsidRPr="003D1E07">
        <w:t xml:space="preserve">Následující pasáž z </w:t>
      </w:r>
      <w:r w:rsidR="00357A58" w:rsidRPr="003D1E07">
        <w:rPr>
          <w:i/>
        </w:rPr>
        <w:t>Theologia Aristotelis</w:t>
      </w:r>
      <w:r w:rsidR="00357A58" w:rsidRPr="003D1E07">
        <w:t xml:space="preserve"> ukazuje neoplatonské zdvojení henologického Intelektu, které </w:t>
      </w:r>
      <w:r w:rsidR="00A96730">
        <w:t xml:space="preserve">vzniká v </w:t>
      </w:r>
      <w:r w:rsidR="00357A58" w:rsidRPr="003D1E07">
        <w:t>úkonu porozumění.</w:t>
      </w:r>
      <w:r w:rsidR="00357A58" w:rsidRPr="003D1E07">
        <w:rPr>
          <w:rStyle w:val="Znakapoznpodarou"/>
        </w:rPr>
        <w:footnoteReference w:id="121"/>
      </w:r>
      <w:r w:rsidR="00357A58" w:rsidRPr="003D1E07">
        <w:rPr>
          <w:rStyle w:val="Zkladntext1"/>
          <w:rFonts w:ascii="Calibri" w:eastAsia="Times" w:hAnsi="Calibri"/>
          <w:spacing w:val="0"/>
          <w:sz w:val="20"/>
          <w:szCs w:val="20"/>
          <w:u w:val="none"/>
          <w:lang w:val="cs-CZ"/>
        </w:rPr>
        <w:t xml:space="preserve"> </w:t>
      </w:r>
      <w:r w:rsidR="00357A58" w:rsidRPr="003D1E07">
        <w:t xml:space="preserve">Tyto pasáže se dostaly přes spisy korpusu </w:t>
      </w:r>
      <w:r w:rsidR="00357A58" w:rsidRPr="003D1E07">
        <w:rPr>
          <w:i/>
        </w:rPr>
        <w:t>Plotiniana Arabica</w:t>
      </w:r>
      <w:r w:rsidR="00357A58" w:rsidRPr="003D1E07">
        <w:t xml:space="preserve"> až do filosofických škol v Bagdádu. </w:t>
      </w:r>
      <w:r w:rsidR="0004459C" w:rsidRPr="003D1E07">
        <w:t>Ibn Ádí</w:t>
      </w:r>
      <w:r w:rsidR="009419B1" w:rsidRPr="003D1E07">
        <w:t xml:space="preserve"> zdůrazňuje po vzoru interní Ploti</w:t>
      </w:r>
      <w:r w:rsidR="0004459C" w:rsidRPr="003D1E07">
        <w:t xml:space="preserve">novy diference (ἕτερον ὂν), že Syn a Duch jsou v řádu této predikace postaveni na druhé místo, ale přesto jsou zahrnuti </w:t>
      </w:r>
      <w:r w:rsidR="08562E3E" w:rsidRPr="003D1E07">
        <w:t xml:space="preserve">do </w:t>
      </w:r>
      <w:r w:rsidR="0004459C" w:rsidRPr="003D1E07">
        <w:t>subjektivního genitivu jedné esence (τοῦ εἴ</w:t>
      </w:r>
      <w:r w:rsidR="00445C37" w:rsidRPr="003D1E07">
        <w:t xml:space="preserve">δους) jako ve výše citovaných </w:t>
      </w:r>
      <w:r w:rsidR="009419B1" w:rsidRPr="003D1E07">
        <w:rPr>
          <w:i/>
        </w:rPr>
        <w:t>Enneádách</w:t>
      </w:r>
      <w:r w:rsidR="009419B1" w:rsidRPr="003D1E07">
        <w:t xml:space="preserve"> (</w:t>
      </w:r>
      <w:r w:rsidR="00445C37" w:rsidRPr="003D1E07">
        <w:rPr>
          <w:i/>
        </w:rPr>
        <w:t>Enn</w:t>
      </w:r>
      <w:r w:rsidR="00445C37" w:rsidRPr="003D1E07">
        <w:t>. 5.5.7.4</w:t>
      </w:r>
      <w:r w:rsidR="009419B1" w:rsidRPr="003D1E07">
        <w:t>)</w:t>
      </w:r>
      <w:r w:rsidR="00445C37" w:rsidRPr="003D1E07">
        <w:fldChar w:fldCharType="begin"/>
      </w:r>
      <w:r w:rsidR="00445C37" w:rsidRPr="003D1E07">
        <w:instrText xml:space="preserve"> XE "</w:instrText>
      </w:r>
      <w:r w:rsidR="08F72573" w:rsidRPr="003D1E07">
        <w:instrText>Plotinos</w:instrText>
      </w:r>
      <w:r w:rsidR="00445C37" w:rsidRPr="003D1E07">
        <w:instrText>:</w:instrText>
      </w:r>
      <w:r w:rsidR="00445C37" w:rsidRPr="003D1E07">
        <w:rPr>
          <w:i/>
          <w:iCs/>
        </w:rPr>
        <w:instrText xml:space="preserve">Enn. </w:instrText>
      </w:r>
      <w:r w:rsidR="00445C37" w:rsidRPr="003D1E07">
        <w:instrText xml:space="preserve">5.5.7.4" </w:instrText>
      </w:r>
      <w:r w:rsidR="00445C37" w:rsidRPr="003D1E07">
        <w:fldChar w:fldCharType="end"/>
      </w:r>
      <w:r w:rsidR="0004459C" w:rsidRPr="003D1E07">
        <w:t xml:space="preserve">. </w:t>
      </w:r>
      <w:r w:rsidR="085D4347" w:rsidRPr="003D1E07">
        <w:t>Podobnou triádu vztahů uvnitř božího intelektu najdeme již v Al</w:t>
      </w:r>
      <w:r w:rsidR="085D4347" w:rsidRPr="003D1E07">
        <w:noBreakHyphen/>
        <w:t xml:space="preserve">Fárábího spise </w:t>
      </w:r>
      <w:r w:rsidR="085D4347" w:rsidRPr="003D1E07">
        <w:rPr>
          <w:i/>
        </w:rPr>
        <w:t>Al-Madīna</w:t>
      </w:r>
      <w:r w:rsidR="085D4347" w:rsidRPr="003D1E07">
        <w:t>, odkud ji asi Ibn Ádí převzal.</w:t>
      </w:r>
      <w:r w:rsidR="085D4347" w:rsidRPr="003D1E07">
        <w:rPr>
          <w:rStyle w:val="Znakapoznpodarou"/>
        </w:rPr>
        <w:footnoteReference w:id="122"/>
      </w:r>
      <w:r w:rsidR="085D4347" w:rsidRPr="003D1E07">
        <w:t xml:space="preserve"> </w:t>
      </w:r>
      <w:r w:rsidR="08325DAF" w:rsidRPr="003D1E07">
        <w:t xml:space="preserve">Jakobitský učitel moudrosti </w:t>
      </w:r>
      <w:r w:rsidR="085F74BD" w:rsidRPr="003D1E07">
        <w:rPr>
          <w:lang w:eastAsia="en-US"/>
        </w:rPr>
        <w:t>ovlivnil teology a filosofy aristotelské orientace (Al-Ghazálí</w:t>
      </w:r>
      <w:r w:rsidR="085F74BD" w:rsidRPr="003D1E07">
        <w:rPr>
          <w:lang w:eastAsia="en-US"/>
        </w:rPr>
        <w:fldChar w:fldCharType="begin"/>
      </w:r>
      <w:r w:rsidR="085F74BD" w:rsidRPr="003D1E07">
        <w:instrText xml:space="preserve"> XE "</w:instrText>
      </w:r>
      <w:r w:rsidR="085F74BD" w:rsidRPr="003D1E07">
        <w:rPr>
          <w:rStyle w:val="FontStyle129"/>
          <w:rFonts w:ascii="Calibri" w:hAnsi="Calibri"/>
          <w:sz w:val="24"/>
        </w:rPr>
        <w:instrText>Al-Ghazálí</w:instrText>
      </w:r>
      <w:r w:rsidR="085F74BD" w:rsidRPr="003D1E07">
        <w:instrText xml:space="preserve">" </w:instrText>
      </w:r>
      <w:r w:rsidR="085F74BD" w:rsidRPr="003D1E07">
        <w:rPr>
          <w:lang w:eastAsia="en-US"/>
        </w:rPr>
        <w:fldChar w:fldCharType="end"/>
      </w:r>
      <w:r w:rsidR="085F74BD" w:rsidRPr="003D1E07">
        <w:rPr>
          <w:lang w:eastAsia="en-US"/>
        </w:rPr>
        <w:t xml:space="preserve">, Averroes) zejména v otázce stvoření světa </w:t>
      </w:r>
      <w:r w:rsidR="085F74BD" w:rsidRPr="003D1E07">
        <w:rPr>
          <w:i/>
          <w:lang w:eastAsia="en-US"/>
        </w:rPr>
        <w:t>ex nihilo</w:t>
      </w:r>
      <w:r w:rsidR="085F74BD" w:rsidRPr="003D1E07">
        <w:rPr>
          <w:lang w:eastAsia="en-US"/>
        </w:rPr>
        <w:t xml:space="preserve">, existenci božských atributů, vzkříšení těla a božího poznání jednotlivin (Périer 1920a, 222). </w:t>
      </w:r>
      <w:r w:rsidR="00722A96" w:rsidRPr="003D1E07">
        <w:t xml:space="preserve">Nová predikace </w:t>
      </w:r>
      <w:r w:rsidR="00923FC1" w:rsidRPr="003D1E07">
        <w:t xml:space="preserve">osob v boží Trojici </w:t>
      </w:r>
      <w:r w:rsidR="00140009" w:rsidRPr="003D1E07">
        <w:t xml:space="preserve">slouží jako </w:t>
      </w:r>
      <w:r w:rsidR="001378A1" w:rsidRPr="003D1E07">
        <w:t>klíčový arg</w:t>
      </w:r>
      <w:r w:rsidR="00923FC1" w:rsidRPr="003D1E07">
        <w:t>ument proti Al</w:t>
      </w:r>
      <w:r w:rsidR="00923FC1" w:rsidRPr="003D1E07">
        <w:noBreakHyphen/>
      </w:r>
      <w:r w:rsidR="003D7402" w:rsidRPr="003D1E07">
        <w:t xml:space="preserve">Kindímu, který </w:t>
      </w:r>
      <w:r w:rsidR="00DA1D52" w:rsidRPr="003D1E07">
        <w:t xml:space="preserve">polemizuje s </w:t>
      </w:r>
      <w:r w:rsidR="00462480" w:rsidRPr="003D1E07">
        <w:t>pojetím</w:t>
      </w:r>
      <w:r w:rsidR="001378A1" w:rsidRPr="003D1E07">
        <w:t xml:space="preserve"> </w:t>
      </w:r>
      <w:r w:rsidR="00DA1D52" w:rsidRPr="003D1E07">
        <w:t xml:space="preserve">boha v rámci </w:t>
      </w:r>
      <w:r w:rsidR="0007474A" w:rsidRPr="003D1E07">
        <w:t xml:space="preserve">křesťanské </w:t>
      </w:r>
      <w:r w:rsidR="001378A1" w:rsidRPr="003D1E07">
        <w:t>Trojice</w:t>
      </w:r>
      <w:r w:rsidR="00DA1D52" w:rsidRPr="003D1E07">
        <w:t>, kterou považuje z polyteistickou</w:t>
      </w:r>
      <w:r w:rsidR="001378A1" w:rsidRPr="003D1E07">
        <w:t xml:space="preserve">. </w:t>
      </w:r>
      <w:r w:rsidR="00923FC1" w:rsidRPr="003D1E07">
        <w:t>Al-Kindí</w:t>
      </w:r>
      <w:r w:rsidR="00991FC8" w:rsidRPr="003D1E07">
        <w:fldChar w:fldCharType="begin"/>
      </w:r>
      <w:r w:rsidR="00991FC8" w:rsidRPr="003D1E07">
        <w:instrText xml:space="preserve"> XE "</w:instrText>
      </w:r>
      <w:r w:rsidR="00991FC8" w:rsidRPr="003D1E07">
        <w:rPr>
          <w:lang w:eastAsia="en-US"/>
        </w:rPr>
        <w:instrText>Al-Kindí</w:instrText>
      </w:r>
      <w:r w:rsidR="00991FC8" w:rsidRPr="003D1E07">
        <w:instrText xml:space="preserve">" </w:instrText>
      </w:r>
      <w:r w:rsidR="00991FC8" w:rsidRPr="003D1E07">
        <w:fldChar w:fldCharType="end"/>
      </w:r>
      <w:r w:rsidR="00923FC1" w:rsidRPr="003D1E07">
        <w:t xml:space="preserve"> sem řadí i křesťanské učení o Trojici. </w:t>
      </w:r>
      <w:r w:rsidR="001378A1" w:rsidRPr="003D1E07">
        <w:t xml:space="preserve">Traktát </w:t>
      </w:r>
      <w:r w:rsidR="001378A1" w:rsidRPr="003D1E07">
        <w:rPr>
          <w:i/>
        </w:rPr>
        <w:t>Défense de la Trinité contre Al-Kindi</w:t>
      </w:r>
      <w:r w:rsidR="00631D18" w:rsidRPr="003D1E07">
        <w:t xml:space="preserve"> </w:t>
      </w:r>
      <w:r w:rsidR="009F62C1" w:rsidRPr="003D1E07">
        <w:t>vyvrací</w:t>
      </w:r>
      <w:r w:rsidR="00FD1B60" w:rsidRPr="003D1E07">
        <w:t xml:space="preserve"> možnost složenin </w:t>
      </w:r>
      <w:r w:rsidR="00923FC1" w:rsidRPr="003D1E07">
        <w:t>v bohu n</w:t>
      </w:r>
      <w:r w:rsidR="00FD1B60" w:rsidRPr="003D1E07">
        <w:t>a úrovni substance, akcidentu, rodu nebo druhu</w:t>
      </w:r>
      <w:r w:rsidR="007D3DA0" w:rsidRPr="003D1E07">
        <w:t xml:space="preserve"> (ed. Périer, pp</w:t>
      </w:r>
      <w:r w:rsidR="08A60A5F" w:rsidRPr="003D1E07">
        <w:t>. 118–</w:t>
      </w:r>
      <w:r w:rsidR="007D3DA0" w:rsidRPr="003D1E07">
        <w:t>28</w:t>
      </w:r>
      <w:r w:rsidR="00510E4E" w:rsidRPr="003D1E07">
        <w:fldChar w:fldCharType="begin"/>
      </w:r>
      <w:r w:rsidR="00510E4E" w:rsidRPr="003D1E07">
        <w:instrText xml:space="preserve"> XE "Ibn-Ádí:</w:instrText>
      </w:r>
      <w:r w:rsidR="00510E4E" w:rsidRPr="003D1E07">
        <w:rPr>
          <w:i/>
        </w:rPr>
        <w:instrText>Défense de la Trinité contre Al-Kindi</w:instrText>
      </w:r>
      <w:r w:rsidR="00C64FEB" w:rsidRPr="003D1E07">
        <w:rPr>
          <w:i/>
        </w:rPr>
        <w:instrText xml:space="preserve"> </w:instrText>
      </w:r>
      <w:r w:rsidR="08A60A5F" w:rsidRPr="003D1E07">
        <w:instrText>118–</w:instrText>
      </w:r>
      <w:r w:rsidR="00C64FEB" w:rsidRPr="003D1E07">
        <w:instrText>28</w:instrText>
      </w:r>
      <w:r w:rsidR="00510E4E" w:rsidRPr="003D1E07">
        <w:instrText xml:space="preserve">" </w:instrText>
      </w:r>
      <w:r w:rsidR="00510E4E" w:rsidRPr="003D1E07">
        <w:fldChar w:fldCharType="end"/>
      </w:r>
      <w:r w:rsidR="007D3DA0" w:rsidRPr="003D1E07">
        <w:t>)</w:t>
      </w:r>
      <w:r w:rsidR="00D54CB8" w:rsidRPr="003D1E07">
        <w:t xml:space="preserve">. </w:t>
      </w:r>
      <w:r w:rsidR="005B5965" w:rsidRPr="003D1E07">
        <w:t>Ib</w:t>
      </w:r>
      <w:r w:rsidR="00C87597" w:rsidRPr="003D1E07">
        <w:t>n Ádí vytvořil novou formu Porfy</w:t>
      </w:r>
      <w:r w:rsidR="08A60A5F" w:rsidRPr="003D1E07">
        <w:t>riova zdvojeného bytí</w:t>
      </w:r>
      <w:r w:rsidR="08854E43" w:rsidRPr="003D1E07">
        <w:t xml:space="preserve"> </w:t>
      </w:r>
      <w:r w:rsidR="0872481F" w:rsidRPr="003D1E07">
        <w:rPr>
          <w:i/>
        </w:rPr>
        <w:fldChar w:fldCharType="begin"/>
      </w:r>
      <w:r w:rsidR="0872481F" w:rsidRPr="003D1E07">
        <w:instrText xml:space="preserve"> XE "zdvojení bytí" </w:instrText>
      </w:r>
      <w:r w:rsidR="0872481F" w:rsidRPr="003D1E07">
        <w:rPr>
          <w:i/>
        </w:rPr>
        <w:fldChar w:fldCharType="end"/>
      </w:r>
      <w:r w:rsidR="005B5965" w:rsidRPr="003D1E07">
        <w:rPr>
          <w:rStyle w:val="addmd"/>
        </w:rPr>
        <w:t xml:space="preserve">napojenou nikoliv na </w:t>
      </w:r>
      <w:r w:rsidR="08860F9B" w:rsidRPr="003D1E07">
        <w:rPr>
          <w:rStyle w:val="addmd"/>
        </w:rPr>
        <w:t>pro</w:t>
      </w:r>
      <w:r w:rsidR="00312D86" w:rsidRPr="003D1E07">
        <w:rPr>
          <w:rStyle w:val="addmd"/>
        </w:rPr>
        <w:t>hyp</w:t>
      </w:r>
      <w:r w:rsidR="08860F9B" w:rsidRPr="003D1E07">
        <w:rPr>
          <w:rStyle w:val="addmd"/>
        </w:rPr>
        <w:t xml:space="preserve">archické </w:t>
      </w:r>
      <w:r w:rsidR="005B5965" w:rsidRPr="003D1E07">
        <w:rPr>
          <w:rStyle w:val="addmd"/>
        </w:rPr>
        <w:t>bytí Jednoho, ale na hyparchické bytí Aristotelovy první substance</w:t>
      </w:r>
      <w:r w:rsidR="08AF6B7D" w:rsidRPr="003D1E07">
        <w:rPr>
          <w:rStyle w:val="addmd"/>
        </w:rPr>
        <w:t xml:space="preserve"> (kap. 1.3</w:t>
      </w:r>
      <w:r w:rsidR="00921C9A">
        <w:rPr>
          <w:rStyle w:val="addmd"/>
        </w:rPr>
        <w:t xml:space="preserve">). Boží substance se vypovídá </w:t>
      </w:r>
      <w:r w:rsidR="005B5965" w:rsidRPr="003D1E07">
        <w:rPr>
          <w:rStyle w:val="addmd"/>
        </w:rPr>
        <w:t xml:space="preserve">v modu </w:t>
      </w:r>
      <w:r w:rsidR="005B5965" w:rsidRPr="003D1E07">
        <w:rPr>
          <w:rStyle w:val="addmd"/>
          <w:i/>
        </w:rPr>
        <w:t>per prius</w:t>
      </w:r>
      <w:r w:rsidR="00C64FEB" w:rsidRPr="003D1E07">
        <w:rPr>
          <w:rStyle w:val="addmd"/>
          <w:i/>
        </w:rPr>
        <w:fldChar w:fldCharType="begin"/>
      </w:r>
      <w:r w:rsidR="00C64FEB" w:rsidRPr="003D1E07">
        <w:instrText xml:space="preserve"> XE "predikace:</w:instrText>
      </w:r>
      <w:r w:rsidR="00C64FEB" w:rsidRPr="003D1E07">
        <w:rPr>
          <w:rStyle w:val="addmd"/>
          <w:i/>
        </w:rPr>
        <w:instrText>per prius</w:instrText>
      </w:r>
      <w:r w:rsidR="00C64FEB" w:rsidRPr="003D1E07">
        <w:instrText xml:space="preserve">" </w:instrText>
      </w:r>
      <w:r w:rsidR="00C64FEB" w:rsidRPr="003D1E07">
        <w:rPr>
          <w:rStyle w:val="addmd"/>
          <w:i/>
        </w:rPr>
        <w:fldChar w:fldCharType="end"/>
      </w:r>
      <w:r w:rsidR="00921C9A">
        <w:rPr>
          <w:rStyle w:val="addmd"/>
        </w:rPr>
        <w:t xml:space="preserve"> </w:t>
      </w:r>
      <w:r w:rsidR="005B5965" w:rsidRPr="003D1E07">
        <w:rPr>
          <w:rStyle w:val="addmd"/>
        </w:rPr>
        <w:t>jako trojí modalita (</w:t>
      </w:r>
      <w:r w:rsidR="002B2995" w:rsidRPr="003D1E07">
        <w:rPr>
          <w:i/>
          <w:lang w:eastAsia="en-US"/>
        </w:rPr>
        <w:t>hypóstasis, persona</w:t>
      </w:r>
      <w:r w:rsidR="005B5965" w:rsidRPr="003D1E07">
        <w:rPr>
          <w:rStyle w:val="addmd"/>
        </w:rPr>
        <w:t xml:space="preserve">) </w:t>
      </w:r>
      <w:r w:rsidR="00921C9A">
        <w:rPr>
          <w:rStyle w:val="addmd"/>
        </w:rPr>
        <w:t xml:space="preserve">v rámci </w:t>
      </w:r>
      <w:r w:rsidR="005B5965" w:rsidRPr="003D1E07">
        <w:rPr>
          <w:rStyle w:val="addmd"/>
        </w:rPr>
        <w:t>jedné esence</w:t>
      </w:r>
      <w:r w:rsidR="007E58D8" w:rsidRPr="003D1E07">
        <w:rPr>
          <w:rStyle w:val="addmd"/>
        </w:rPr>
        <w:t xml:space="preserve">. </w:t>
      </w:r>
      <w:r w:rsidR="00D26A76" w:rsidRPr="003D1E07">
        <w:rPr>
          <w:rStyle w:val="addmd"/>
        </w:rPr>
        <w:t>D</w:t>
      </w:r>
      <w:r w:rsidR="00485643" w:rsidRPr="003D1E07">
        <w:rPr>
          <w:i/>
          <w:iCs/>
        </w:rPr>
        <w:fldChar w:fldCharType="begin"/>
      </w:r>
      <w:r w:rsidR="00485643" w:rsidRPr="003D1E07">
        <w:instrText xml:space="preserve"> XE "</w:instrText>
      </w:r>
      <w:r w:rsidR="009F57EE" w:rsidRPr="003D1E07">
        <w:instrText>esence</w:instrText>
      </w:r>
      <w:r w:rsidR="00866BCD" w:rsidRPr="003D1E07">
        <w:instrText xml:space="preserve">:Ibn </w:instrText>
      </w:r>
      <w:r w:rsidR="00C64FEB" w:rsidRPr="003D1E07">
        <w:instrText>Ádí</w:instrText>
      </w:r>
      <w:r w:rsidR="00485643" w:rsidRPr="003D1E07">
        <w:instrText xml:space="preserve">" </w:instrText>
      </w:r>
      <w:r w:rsidR="00485643" w:rsidRPr="003D1E07">
        <w:rPr>
          <w:i/>
          <w:iCs/>
        </w:rPr>
        <w:fldChar w:fldCharType="end"/>
      </w:r>
      <w:r w:rsidR="005B5965" w:rsidRPr="003D1E07">
        <w:rPr>
          <w:rStyle w:val="addmd"/>
        </w:rPr>
        <w:t xml:space="preserve">íky trojímu aktu boží sebereflexe </w:t>
      </w:r>
      <w:r w:rsidR="00F10DC5" w:rsidRPr="003D1E07">
        <w:rPr>
          <w:rStyle w:val="addmd"/>
        </w:rPr>
        <w:t>v j</w:t>
      </w:r>
      <w:r w:rsidR="007E58D8" w:rsidRPr="003D1E07">
        <w:rPr>
          <w:rStyle w:val="addmd"/>
        </w:rPr>
        <w:t xml:space="preserve">edné boží </w:t>
      </w:r>
      <w:r w:rsidR="005B5965" w:rsidRPr="003D1E07">
        <w:rPr>
          <w:rStyle w:val="addmd"/>
        </w:rPr>
        <w:t xml:space="preserve">substanci </w:t>
      </w:r>
      <w:r w:rsidR="00D26A76" w:rsidRPr="003D1E07">
        <w:rPr>
          <w:rStyle w:val="addmd"/>
        </w:rPr>
        <w:t xml:space="preserve">jsou tyto Osoby dány </w:t>
      </w:r>
      <w:r w:rsidR="00F10DC5" w:rsidRPr="003D1E07">
        <w:rPr>
          <w:rStyle w:val="addmd"/>
        </w:rPr>
        <w:t xml:space="preserve">v odlišném </w:t>
      </w:r>
      <w:r w:rsidR="005B5965" w:rsidRPr="003D1E07">
        <w:rPr>
          <w:rStyle w:val="addmd"/>
        </w:rPr>
        <w:t>modu</w:t>
      </w:r>
      <w:r w:rsidR="00163820" w:rsidRPr="003D1E07">
        <w:rPr>
          <w:rStyle w:val="addmd"/>
        </w:rPr>
        <w:t xml:space="preserve"> vzhledem k původní jednotě boží substance</w:t>
      </w:r>
      <w:r w:rsidR="005B5965" w:rsidRPr="003D1E07">
        <w:rPr>
          <w:rStyle w:val="addmd"/>
        </w:rPr>
        <w:t xml:space="preserve">. </w:t>
      </w:r>
      <w:r w:rsidR="00BA1CA9" w:rsidRPr="003D1E07">
        <w:t>Ibn Á</w:t>
      </w:r>
      <w:r w:rsidR="00CF791D" w:rsidRPr="003D1E07">
        <w:t xml:space="preserve">dí v rámci jedné substance </w:t>
      </w:r>
      <w:r w:rsidR="006F1817">
        <w:t xml:space="preserve">potvrzuje </w:t>
      </w:r>
      <w:r w:rsidR="004D47F7" w:rsidRPr="003D1E07">
        <w:t xml:space="preserve">diferenci </w:t>
      </w:r>
      <w:r w:rsidR="006F1817">
        <w:t xml:space="preserve">i </w:t>
      </w:r>
      <w:r w:rsidR="004D47F7" w:rsidRPr="003D1E07">
        <w:t xml:space="preserve">na úrovni </w:t>
      </w:r>
      <w:r w:rsidR="00230DDA" w:rsidRPr="003D1E07">
        <w:t xml:space="preserve">sekundárních </w:t>
      </w:r>
      <w:r w:rsidR="004D47F7" w:rsidRPr="003D1E07">
        <w:t xml:space="preserve">transcendentálních vlastností typu </w:t>
      </w:r>
      <w:r w:rsidR="00FD1B60" w:rsidRPr="003D1E07">
        <w:t>Dobro (Otec), Moudrost (Syn) a Síla (Duch svatý)</w:t>
      </w:r>
      <w:r w:rsidR="00193F82" w:rsidRPr="003D1E07">
        <w:rPr>
          <w:i/>
        </w:rPr>
        <w:fldChar w:fldCharType="begin"/>
      </w:r>
      <w:r w:rsidR="00193F82" w:rsidRPr="003D1E07">
        <w:instrText xml:space="preserve"> XE "Boží Trojice" </w:instrText>
      </w:r>
      <w:r w:rsidR="00193F82" w:rsidRPr="003D1E07">
        <w:rPr>
          <w:i/>
        </w:rPr>
        <w:fldChar w:fldCharType="end"/>
      </w:r>
      <w:r w:rsidR="00FD1B60" w:rsidRPr="003D1E07">
        <w:t>.</w:t>
      </w:r>
      <w:r w:rsidR="08910BEB" w:rsidRPr="003D1E07">
        <w:t xml:space="preserve"> </w:t>
      </w:r>
      <w:r w:rsidR="003401B0">
        <w:t>U</w:t>
      </w:r>
      <w:r w:rsidR="08910BEB" w:rsidRPr="003D1E07">
        <w:t xml:space="preserve">rčení osob v rámci trojího výkonu myšlení zakládá v boží </w:t>
      </w:r>
      <w:r w:rsidR="08910BEB" w:rsidRPr="003D1E07">
        <w:lastRenderedPageBreak/>
        <w:t xml:space="preserve">esenci první moderní </w:t>
      </w:r>
      <w:r w:rsidR="0010434D">
        <w:t>reduplikaci</w:t>
      </w:r>
      <w:r w:rsidR="08910BEB" w:rsidRPr="003D1E07">
        <w:t xml:space="preserve"> jsoucna</w:t>
      </w:r>
      <w:r w:rsidR="0010434D">
        <w:t xml:space="preserve"> na úrovni ontoteologie</w:t>
      </w:r>
      <w:r w:rsidR="081A33C3" w:rsidRPr="003D1E07">
        <w:t>.</w:t>
      </w:r>
      <w:r w:rsidR="08731C12" w:rsidRPr="003D1E07">
        <w:t xml:space="preserve"> </w:t>
      </w:r>
      <w:r w:rsidR="081A33C3" w:rsidRPr="003D1E07">
        <w:t xml:space="preserve">Definice </w:t>
      </w:r>
      <w:r w:rsidR="08910BEB" w:rsidRPr="003D1E07">
        <w:t xml:space="preserve">Ducha svatého jako </w:t>
      </w:r>
      <w:r w:rsidR="08910BEB" w:rsidRPr="003D1E07">
        <w:rPr>
          <w:i/>
        </w:rPr>
        <w:t>intelligibile</w:t>
      </w:r>
      <w:r w:rsidR="08910BEB" w:rsidRPr="003D1E07">
        <w:t xml:space="preserve"> </w:t>
      </w:r>
      <w:r w:rsidR="081A33C3" w:rsidRPr="003D1E07">
        <w:t xml:space="preserve">vytváří novou formu předmětného </w:t>
      </w:r>
      <w:r w:rsidR="08910BEB" w:rsidRPr="003D1E07">
        <w:t>bytí</w:t>
      </w:r>
      <w:r w:rsidR="0811552D" w:rsidRPr="003D1E07">
        <w:t>, které je vázané na dvojí výkon</w:t>
      </w:r>
      <w:r w:rsidR="08910BEB" w:rsidRPr="003D1E07">
        <w:t xml:space="preserve"> myšlení</w:t>
      </w:r>
      <w:r w:rsidR="0811552D" w:rsidRPr="003D1E07">
        <w:t xml:space="preserve"> Otce a Syna</w:t>
      </w:r>
      <w:r w:rsidR="081A33C3" w:rsidRPr="003D1E07">
        <w:t xml:space="preserve"> v modu </w:t>
      </w:r>
      <w:r w:rsidR="08892B4B" w:rsidRPr="003D1E07">
        <w:t>hypo</w:t>
      </w:r>
      <w:r w:rsidR="081A33C3" w:rsidRPr="003D1E07">
        <w:t>stázovaného vztahu (</w:t>
      </w:r>
      <w:r w:rsidR="081A33C3" w:rsidRPr="003D1E07">
        <w:rPr>
          <w:i/>
        </w:rPr>
        <w:t>esse ad</w:t>
      </w:r>
      <w:r w:rsidR="00D108FC" w:rsidRPr="003D1E07">
        <w:rPr>
          <w:i/>
        </w:rPr>
        <w:fldChar w:fldCharType="begin"/>
      </w:r>
      <w:r w:rsidR="00D108FC" w:rsidRPr="003D1E07">
        <w:instrText xml:space="preserve"> XE "</w:instrText>
      </w:r>
      <w:r w:rsidR="00D108FC" w:rsidRPr="003D1E07">
        <w:rPr>
          <w:i/>
        </w:rPr>
        <w:instrText>esse ad</w:instrText>
      </w:r>
      <w:r w:rsidR="00D108FC" w:rsidRPr="003D1E07">
        <w:instrText xml:space="preserve">" </w:instrText>
      </w:r>
      <w:r w:rsidR="00D108FC" w:rsidRPr="003D1E07">
        <w:rPr>
          <w:i/>
        </w:rPr>
        <w:fldChar w:fldCharType="end"/>
      </w:r>
      <w:r w:rsidR="081A33C3" w:rsidRPr="003D1E07">
        <w:t>).</w:t>
      </w:r>
      <w:r w:rsidR="08892B4B" w:rsidRPr="003D1E07">
        <w:t xml:space="preserve"> Tato forma </w:t>
      </w:r>
      <w:r w:rsidR="00C851F7">
        <w:t xml:space="preserve">hypostázovaného vztahu </w:t>
      </w:r>
      <w:r w:rsidR="08892B4B" w:rsidRPr="003D1E07">
        <w:t xml:space="preserve">bude mít velkou budoucnost v moderní verzi objektivity </w:t>
      </w:r>
      <w:r w:rsidR="089733AF" w:rsidRPr="003D1E07">
        <w:t>dané od roku 1280</w:t>
      </w:r>
      <w:r w:rsidR="00E80D9A" w:rsidRPr="003D1E07">
        <w:t>. A</w:t>
      </w:r>
      <w:r w:rsidR="089733AF" w:rsidRPr="003D1E07">
        <w:t xml:space="preserve">le její osvojení </w:t>
      </w:r>
      <w:r w:rsidR="00E80D9A" w:rsidRPr="003D1E07">
        <w:t xml:space="preserve">u Latiníků </w:t>
      </w:r>
      <w:r w:rsidR="089733AF" w:rsidRPr="003D1E07">
        <w:t>šlo skrze recepci Simplikova komentáře ke Kategoriím (kap. 1.3.2).</w:t>
      </w:r>
      <w:r w:rsidR="08E80034" w:rsidRPr="003D1E07">
        <w:t xml:space="preserve"> </w:t>
      </w:r>
      <w:r w:rsidR="082B5D20" w:rsidRPr="003D1E07">
        <w:t>Bůh intenduje sv</w:t>
      </w:r>
      <w:r w:rsidR="004C5DEB">
        <w:t xml:space="preserve">ět ještě předtím než jej tvoří. Objektivní individuum existuje v modu </w:t>
      </w:r>
      <w:r w:rsidR="004C5DEB" w:rsidRPr="00F47AA8">
        <w:rPr>
          <w:i/>
        </w:rPr>
        <w:t>semel–semper</w:t>
      </w:r>
      <w:r w:rsidR="004C5DEB">
        <w:rPr>
          <w:i/>
        </w:rPr>
        <w:fldChar w:fldCharType="begin"/>
      </w:r>
      <w:r w:rsidR="004C5DEB">
        <w:instrText xml:space="preserve"> XE "</w:instrText>
      </w:r>
      <w:r w:rsidR="004C5DEB" w:rsidRPr="009A300D">
        <w:rPr>
          <w:i/>
        </w:rPr>
        <w:instrText>semel–semper</w:instrText>
      </w:r>
      <w:r w:rsidR="004C5DEB">
        <w:instrText xml:space="preserve">" </w:instrText>
      </w:r>
      <w:r w:rsidR="004C5DEB">
        <w:rPr>
          <w:i/>
        </w:rPr>
        <w:fldChar w:fldCharType="end"/>
      </w:r>
      <w:r w:rsidR="004C5DEB">
        <w:t xml:space="preserve"> přímo v moderním bohu. Co jednou myslí, to je věčně platné a pravdivé. Boží intelekt </w:t>
      </w:r>
      <w:r w:rsidR="082B5D20" w:rsidRPr="003D1E07">
        <w:t xml:space="preserve">v sobě </w:t>
      </w:r>
      <w:r w:rsidR="004C5DEB">
        <w:t xml:space="preserve">také </w:t>
      </w:r>
      <w:r w:rsidR="082B5D20" w:rsidRPr="003D1E07">
        <w:t>obsahuje objektivní možnost budoucí inkarnace Božího syna do materiálního světa v podobě boží intence. Boží intencionální pohled na Inkarnaci je dán skrze trinitární sebereflexi danou na úrovni jedné boží esence. Naopak pohled na budoucí podoby stvoření je daný v modu stvořitelské reflexe, která v sobě obsahuje intence stvořených věcí. Ty jsou dány na rozdíl od Inkarnace jako pouhý akcident božího myšlení</w:t>
      </w:r>
      <w:r w:rsidR="00A2049A">
        <w:t xml:space="preserve">. Protože jsou ve stavu ontologické neutrality, tak </w:t>
      </w:r>
      <w:r w:rsidR="082B5D20" w:rsidRPr="003D1E07">
        <w:t xml:space="preserve">prozatím nejsou předmětem jeho stvořitelské vůle. Toto určení stvoření od boha vychází v modu </w:t>
      </w:r>
      <w:r w:rsidR="082B5D20" w:rsidRPr="003D1E07">
        <w:rPr>
          <w:i/>
        </w:rPr>
        <w:t>intellectum</w:t>
      </w:r>
      <w:r w:rsidR="0099187F">
        <w:rPr>
          <w:i/>
        </w:rPr>
        <w:t xml:space="preserve"> secundu</w:t>
      </w:r>
      <w:r w:rsidR="00102E6E">
        <w:rPr>
          <w:i/>
        </w:rPr>
        <w:t>m</w:t>
      </w:r>
      <w:r w:rsidR="00102E6E" w:rsidRPr="00102E6E">
        <w:t>.</w:t>
      </w:r>
      <w:r w:rsidR="00102E6E">
        <w:rPr>
          <w:rStyle w:val="Znakapoznpodarou"/>
          <w:noProof w:val="0"/>
          <w:lang w:val="fr-FR" w:eastAsia="en-US"/>
        </w:rPr>
        <w:footnoteReference w:id="123"/>
      </w:r>
      <w:r w:rsidR="00102E6E" w:rsidRPr="00102E6E">
        <w:t xml:space="preserve"> Toto určení</w:t>
      </w:r>
      <w:r w:rsidR="00102E6E">
        <w:rPr>
          <w:i/>
        </w:rPr>
        <w:t xml:space="preserve"> </w:t>
      </w:r>
      <w:r w:rsidR="082B5D20" w:rsidRPr="003D1E07">
        <w:t>má klíčový význam pro pozdější určení o</w:t>
      </w:r>
      <w:r w:rsidR="00E04A76">
        <w:t>bjektivity dané skrze Avicennu.</w:t>
      </w:r>
    </w:p>
    <w:p w14:paraId="22189BDC" w14:textId="235DB370" w:rsidR="0015127E" w:rsidRPr="003D1E07" w:rsidRDefault="004C028C" w:rsidP="00820202">
      <w:pPr>
        <w:ind w:firstLine="397"/>
        <w:rPr>
          <w:lang w:eastAsia="en-US"/>
        </w:rPr>
      </w:pPr>
      <w:r>
        <w:t>Takto v</w:t>
      </w:r>
      <w:r w:rsidR="00E04A76">
        <w:t>znikla d</w:t>
      </w:r>
      <w:r w:rsidR="00F501A3" w:rsidRPr="003D1E07">
        <w:t xml:space="preserve">vojí predikace </w:t>
      </w:r>
      <w:r w:rsidR="00EE032D" w:rsidRPr="00EE032D">
        <w:rPr>
          <w:i/>
        </w:rPr>
        <w:t>per prius</w:t>
      </w:r>
      <w:r w:rsidR="00EE032D">
        <w:t xml:space="preserve"> ohledně </w:t>
      </w:r>
      <w:r w:rsidR="00F501A3" w:rsidRPr="003D1E07">
        <w:t>vztahů</w:t>
      </w:r>
      <w:r w:rsidR="00EE032D">
        <w:t xml:space="preserve"> v</w:t>
      </w:r>
      <w:r w:rsidR="006E539F">
        <w:t xml:space="preserve"> moderním </w:t>
      </w:r>
      <w:r w:rsidR="00EE032D">
        <w:t>bohu</w:t>
      </w:r>
      <w:r w:rsidR="00F501A3" w:rsidRPr="003D1E07">
        <w:t xml:space="preserve">: 1) </w:t>
      </w:r>
      <w:r w:rsidR="00857E8A">
        <w:t>tři O</w:t>
      </w:r>
      <w:r w:rsidR="00F501A3" w:rsidRPr="003D1E07">
        <w:t>soby uvnitř boží substance; 2) objektivní existence</w:t>
      </w:r>
      <w:r w:rsidR="081A58A0" w:rsidRPr="003D1E07">
        <w:t xml:space="preserve"> stvoření v boží mysli</w:t>
      </w:r>
      <w:r w:rsidR="00F501A3" w:rsidRPr="003D1E07">
        <w:t xml:space="preserve">. Na tyto dvě </w:t>
      </w:r>
      <w:r w:rsidR="00074F02">
        <w:t xml:space="preserve">prohyparchické </w:t>
      </w:r>
      <w:r w:rsidR="00F501A3" w:rsidRPr="003D1E07">
        <w:t xml:space="preserve">predikace vztahů osob a objektivního bytí v bohu </w:t>
      </w:r>
      <w:r w:rsidR="081A58A0" w:rsidRPr="003D1E07">
        <w:t>navazuje další stvořitelský úkon</w:t>
      </w:r>
      <w:r w:rsidR="00F501A3" w:rsidRPr="003D1E07">
        <w:t xml:space="preserve">. Ten je </w:t>
      </w:r>
      <w:r w:rsidR="081A58A0" w:rsidRPr="003D1E07">
        <w:t xml:space="preserve">vyjádřený kauzální predikací </w:t>
      </w:r>
      <w:r w:rsidR="081A58A0" w:rsidRPr="003D1E07">
        <w:rPr>
          <w:i/>
        </w:rPr>
        <w:t>per posterius</w:t>
      </w:r>
      <w:r w:rsidR="081A58A0" w:rsidRPr="003D1E07">
        <w:t xml:space="preserve"> pro vznik stvoření a v něm dané inkarnace Božího slova (</w:t>
      </w:r>
      <w:r w:rsidR="081A58A0" w:rsidRPr="003D1E07">
        <w:rPr>
          <w:i/>
        </w:rPr>
        <w:t>Traité VII</w:t>
      </w:r>
      <w:r w:rsidR="081A58A0" w:rsidRPr="003D1E07">
        <w:t>, pp. 89–91</w:t>
      </w:r>
      <w:r w:rsidR="081A58A0" w:rsidRPr="003D1E07">
        <w:fldChar w:fldCharType="begin"/>
      </w:r>
      <w:r w:rsidR="081A58A0" w:rsidRPr="003D1E07">
        <w:instrText xml:space="preserve"> XE "Ibn-Ádí:</w:instrText>
      </w:r>
      <w:r w:rsidR="081A58A0" w:rsidRPr="003D1E07">
        <w:rPr>
          <w:i/>
        </w:rPr>
        <w:instrText xml:space="preserve">Traité </w:instrText>
      </w:r>
      <w:r w:rsidR="081A58A0" w:rsidRPr="003D1E07">
        <w:instrText xml:space="preserve">7.89–91" </w:instrText>
      </w:r>
      <w:r w:rsidR="081A58A0" w:rsidRPr="003D1E07">
        <w:fldChar w:fldCharType="end"/>
      </w:r>
      <w:r w:rsidR="081A58A0" w:rsidRPr="003D1E07">
        <w:t xml:space="preserve">). Obojí běží na úrovni sublunární substance aktualizované v látce či v těle a nadané příslušnými akcidenty. Na rozdíl od ambivalentního statutu substance u Al-Fárábího si Ibn Ádí vystačí s existencí dvou řádů substancí (nestvořené bytí/stvořená substance) a v tomto klíčovém bodě zůstává v aristotelském rozvrhu metafyziky. </w:t>
      </w:r>
      <w:r w:rsidR="00BB0E0D" w:rsidRPr="003D1E07">
        <w:t>P</w:t>
      </w:r>
      <w:r w:rsidR="00720AB5" w:rsidRPr="003D1E07">
        <w:t xml:space="preserve">o primární ontoteologické dedukci Syna a Ducha z Otce </w:t>
      </w:r>
      <w:r w:rsidR="00AB042D" w:rsidRPr="003D1E07">
        <w:t>(</w:t>
      </w:r>
      <w:r w:rsidR="00AB042D" w:rsidRPr="003D1E07">
        <w:rPr>
          <w:i/>
        </w:rPr>
        <w:t>processio</w:t>
      </w:r>
      <w:r w:rsidR="00510E4E" w:rsidRPr="003D1E07">
        <w:rPr>
          <w:i/>
        </w:rPr>
        <w:fldChar w:fldCharType="begin"/>
      </w:r>
      <w:r w:rsidR="00510E4E" w:rsidRPr="003D1E07">
        <w:instrText xml:space="preserve"> XE "</w:instrText>
      </w:r>
      <w:r w:rsidR="000F3BCA" w:rsidRPr="003D1E07">
        <w:rPr>
          <w:i/>
        </w:rPr>
        <w:instrText>processio</w:instrText>
      </w:r>
      <w:r w:rsidR="00510E4E" w:rsidRPr="003D1E07">
        <w:instrText xml:space="preserve">" </w:instrText>
      </w:r>
      <w:r w:rsidR="00510E4E" w:rsidRPr="003D1E07">
        <w:rPr>
          <w:i/>
        </w:rPr>
        <w:fldChar w:fldCharType="end"/>
      </w:r>
      <w:r w:rsidR="00AB042D" w:rsidRPr="003D1E07">
        <w:t xml:space="preserve">) </w:t>
      </w:r>
      <w:r w:rsidR="00DF70FF" w:rsidRPr="003D1E07">
        <w:t xml:space="preserve">provádí </w:t>
      </w:r>
      <w:r w:rsidR="00BB0E0D" w:rsidRPr="003D1E07">
        <w:t xml:space="preserve">tento arabský křesťanský filosof novou </w:t>
      </w:r>
      <w:r w:rsidR="00DF70FF" w:rsidRPr="003D1E07">
        <w:t>apologii</w:t>
      </w:r>
      <w:r w:rsidR="00C3055B" w:rsidRPr="003D1E07">
        <w:t xml:space="preserve"> Božího vtělení</w:t>
      </w:r>
      <w:r w:rsidR="007C5417" w:rsidRPr="003D1E07">
        <w:t>, dalšího úhelné</w:t>
      </w:r>
      <w:r w:rsidR="00DF70FF" w:rsidRPr="003D1E07">
        <w:t>ho kamenu křesťanského dogmatu</w:t>
      </w:r>
      <w:r w:rsidR="00C3055B" w:rsidRPr="003D1E07">
        <w:t xml:space="preserve">. </w:t>
      </w:r>
      <w:r w:rsidR="08420D4E" w:rsidRPr="003D1E07">
        <w:t xml:space="preserve">Jakobitský monofyzitismus Ibn Ádího zdůraznil soupodstatné postavení vtěleného Slova, které má božskou přirozenost, protože v Kristu nelze rozlišovat mezi božstvím a lidstvím. </w:t>
      </w:r>
      <w:r w:rsidR="0015127E" w:rsidRPr="003D1E07">
        <w:t xml:space="preserve">Klíčové místo pro vznik objektivních obsahů v boží mysli poskytuje </w:t>
      </w:r>
      <w:r w:rsidR="0015127E" w:rsidRPr="003D1E07">
        <w:lastRenderedPageBreak/>
        <w:t>výše citovaný traktát o obraně inkarnace (</w:t>
      </w:r>
      <w:r w:rsidR="0015127E" w:rsidRPr="003D1E07">
        <w:rPr>
          <w:i/>
        </w:rPr>
        <w:t>Traité</w:t>
      </w:r>
      <w:r w:rsidR="0015127E" w:rsidRPr="003D1E07">
        <w:t xml:space="preserve"> VI, pp. 81‒83), které použije Avicenna při konstrukci první </w:t>
      </w:r>
      <w:r w:rsidR="08483D6C" w:rsidRPr="003D1E07">
        <w:t xml:space="preserve">objektivní </w:t>
      </w:r>
      <w:r w:rsidR="0015127E" w:rsidRPr="003D1E07">
        <w:t xml:space="preserve">verze ontoteologické metafyziky (kap. 2.3.3). </w:t>
      </w:r>
      <w:r w:rsidR="08483D6C" w:rsidRPr="003D1E07">
        <w:t xml:space="preserve">Původní místo objektivity v boží mysli našel Druhý mistr, viz předešlá kapitola. Jeho </w:t>
      </w:r>
      <w:r w:rsidR="0015127E" w:rsidRPr="003D1E07">
        <w:t xml:space="preserve">upravenou verzi obsahuje traktát </w:t>
      </w:r>
      <w:r w:rsidR="08483D6C" w:rsidRPr="003D1E07">
        <w:t xml:space="preserve">Ibn Ádího </w:t>
      </w:r>
      <w:r w:rsidR="0015127E" w:rsidRPr="003D1E07">
        <w:t xml:space="preserve">o </w:t>
      </w:r>
      <w:r w:rsidR="00F255A3">
        <w:t xml:space="preserve">různých </w:t>
      </w:r>
      <w:r w:rsidR="0015127E" w:rsidRPr="003D1E07">
        <w:t xml:space="preserve">modech </w:t>
      </w:r>
      <w:r w:rsidR="00CC6CBF">
        <w:t xml:space="preserve">bytí </w:t>
      </w:r>
      <w:r w:rsidR="0015127E" w:rsidRPr="003D1E07">
        <w:t>jsoucn</w:t>
      </w:r>
      <w:r w:rsidR="00CC6CBF">
        <w:t>a</w:t>
      </w:r>
      <w:r w:rsidR="0015127E" w:rsidRPr="003D1E07">
        <w:t>, který po</w:t>
      </w:r>
      <w:r w:rsidR="006A1381" w:rsidRPr="003D1E07">
        <w:t>pi</w:t>
      </w:r>
      <w:r w:rsidR="0015127E" w:rsidRPr="003D1E07">
        <w:t>suje existenci stvořených forem v boží mysli následovně.</w:t>
      </w:r>
    </w:p>
    <w:p w14:paraId="25201167" w14:textId="77777777" w:rsidR="0015127E" w:rsidRPr="003D1E07" w:rsidRDefault="0015127E" w:rsidP="0015127E">
      <w:pPr>
        <w:pStyle w:val="Citace"/>
        <w:rPr>
          <w:lang w:val="cs-CZ"/>
        </w:rPr>
      </w:pPr>
      <w:r w:rsidRPr="003D1E07">
        <w:rPr>
          <w:lang w:val="cs-CZ"/>
        </w:rPr>
        <w:t>„Pokud jde o jejich božskou existenci, která je je</w:t>
      </w:r>
      <w:r w:rsidR="00C35CCA" w:rsidRPr="003D1E07">
        <w:rPr>
          <w:lang w:val="cs-CZ"/>
        </w:rPr>
        <w:t>j</w:t>
      </w:r>
      <w:r w:rsidRPr="003D1E07">
        <w:rPr>
          <w:lang w:val="cs-CZ"/>
        </w:rPr>
        <w:t xml:space="preserve">ich reálnou existencí (tím myslím jejich bytí v </w:t>
      </w:r>
      <w:r w:rsidR="082D2700" w:rsidRPr="003D1E07">
        <w:rPr>
          <w:lang w:val="cs-CZ"/>
        </w:rPr>
        <w:t xml:space="preserve">božské </w:t>
      </w:r>
      <w:r w:rsidRPr="003D1E07">
        <w:rPr>
          <w:lang w:val="cs-CZ"/>
        </w:rPr>
        <w:t>esenc</w:t>
      </w:r>
      <w:r w:rsidR="082D2700" w:rsidRPr="003D1E07">
        <w:rPr>
          <w:lang w:val="cs-CZ"/>
        </w:rPr>
        <w:t>i</w:t>
      </w:r>
      <w:r w:rsidRPr="003D1E07">
        <w:rPr>
          <w:lang w:val="cs-CZ"/>
        </w:rPr>
        <w:t>) a kdy k nim nejsou přidána žádná jiná určení,</w:t>
      </w:r>
      <w:r w:rsidR="00936B8F" w:rsidRPr="003D1E07">
        <w:rPr>
          <w:lang w:val="cs-CZ"/>
        </w:rPr>
        <w:t xml:space="preserve"> protože nepotřebují nic jiného, </w:t>
      </w:r>
      <w:r w:rsidRPr="003D1E07">
        <w:rPr>
          <w:lang w:val="cs-CZ"/>
        </w:rPr>
        <w:t>mimo sebe sama</w:t>
      </w:r>
      <w:r w:rsidR="00B918C6" w:rsidRPr="003D1E07">
        <w:rPr>
          <w:lang w:val="cs-CZ"/>
        </w:rPr>
        <w:t xml:space="preserve">. </w:t>
      </w:r>
      <w:r w:rsidRPr="003D1E07">
        <w:rPr>
          <w:lang w:val="cs-CZ"/>
        </w:rPr>
        <w:t xml:space="preserve">(...) Ostatní tři stavy existence je nutno vztáhnout k tomuto způsobu danému tak dlouho, </w:t>
      </w:r>
      <w:r w:rsidR="00C35CCA" w:rsidRPr="003D1E07">
        <w:rPr>
          <w:lang w:val="cs-CZ"/>
        </w:rPr>
        <w:t>d</w:t>
      </w:r>
      <w:r w:rsidRPr="003D1E07">
        <w:rPr>
          <w:lang w:val="cs-CZ"/>
        </w:rPr>
        <w:t>okud si ho přeje Tvůrce a Stvořitel, nechť je jeho Jméno pochváleno.“ </w:t>
      </w:r>
      <w:r w:rsidRPr="003D1E07">
        <w:rPr>
          <w:rStyle w:val="Znakapoznpodarou"/>
          <w:lang w:val="cs-CZ"/>
        </w:rPr>
        <w:footnoteReference w:id="124"/>
      </w:r>
    </w:p>
    <w:p w14:paraId="7ACEFA2E" w14:textId="1A6B0111" w:rsidR="00BB6573" w:rsidRDefault="0015127E" w:rsidP="00691CD0">
      <w:r w:rsidRPr="003D1E07">
        <w:t>Klíčová je defin</w:t>
      </w:r>
      <w:r w:rsidR="00B530F6" w:rsidRPr="003D1E07">
        <w:t>i</w:t>
      </w:r>
      <w:r w:rsidRPr="003D1E07">
        <w:t xml:space="preserve">ce </w:t>
      </w:r>
      <w:r w:rsidR="00DA7C40" w:rsidRPr="003D1E07">
        <w:t xml:space="preserve">nového typu </w:t>
      </w:r>
      <w:r w:rsidRPr="003D1E07">
        <w:t>jsoucnosti, která má esenciální podobu a neobsahuje absolutně žádné jiné určení jsoucna</w:t>
      </w:r>
      <w:r w:rsidR="00B530F6" w:rsidRPr="003D1E07">
        <w:t xml:space="preserve"> (</w:t>
      </w:r>
      <w:r w:rsidR="00DC4E0B">
        <w:t>„</w:t>
      </w:r>
      <w:r w:rsidR="00B530F6" w:rsidRPr="003D1E07">
        <w:rPr>
          <w:i/>
        </w:rPr>
        <w:t>they are not clothed with anything else</w:t>
      </w:r>
      <w:r w:rsidR="00DC4E0B">
        <w:t>“</w:t>
      </w:r>
      <w:r w:rsidR="00B530F6" w:rsidRPr="003D1E07">
        <w:t>)</w:t>
      </w:r>
      <w:r w:rsidRPr="003D1E07">
        <w:t xml:space="preserve">. </w:t>
      </w:r>
      <w:r w:rsidR="001B6D93">
        <w:t>P</w:t>
      </w:r>
      <w:r w:rsidR="00C9327C" w:rsidRPr="003D1E07">
        <w:t xml:space="preserve">redikace uvnitř jedné boží substance </w:t>
      </w:r>
      <w:r w:rsidR="007030B0" w:rsidRPr="003D1E07">
        <w:t>založil</w:t>
      </w:r>
      <w:r w:rsidR="007030B0">
        <w:t>a</w:t>
      </w:r>
      <w:r w:rsidR="007030B0" w:rsidRPr="003D1E07">
        <w:t xml:space="preserve"> </w:t>
      </w:r>
      <w:r w:rsidR="007030B0">
        <w:t xml:space="preserve">novou formu předmětnosti a tím vytvořila </w:t>
      </w:r>
      <w:r w:rsidR="006C47FC" w:rsidRPr="003D1E07">
        <w:t>on</w:t>
      </w:r>
      <w:r w:rsidR="00625FE9" w:rsidRPr="003D1E07">
        <w:t>to</w:t>
      </w:r>
      <w:r w:rsidR="006C47FC" w:rsidRPr="003D1E07">
        <w:t xml:space="preserve">teologickou </w:t>
      </w:r>
      <w:r w:rsidR="007030B0">
        <w:t xml:space="preserve">sféru moderní </w:t>
      </w:r>
      <w:r w:rsidR="08CC7519" w:rsidRPr="003D1E07">
        <w:t>objektivity</w:t>
      </w:r>
      <w:r w:rsidR="006E1268">
        <w:t xml:space="preserve">. </w:t>
      </w:r>
      <w:r w:rsidR="006E1268" w:rsidRPr="003D1E07">
        <w:t xml:space="preserve">Aristotelská univoční predikace je dána skrze akt boží sebereflexe, což ji spojilo s neoplatonismem. Al-Fárábího termín </w:t>
      </w:r>
      <w:r w:rsidR="006E1268" w:rsidRPr="003D1E07">
        <w:rPr>
          <w:i/>
        </w:rPr>
        <w:t>aliud esse</w:t>
      </w:r>
      <w:r w:rsidR="006E1268" w:rsidRPr="003D1E07">
        <w:t xml:space="preserve"> dostal novou formu podle schématu intencionality dané v bohu (</w:t>
      </w:r>
      <w:r w:rsidR="006E1268" w:rsidRPr="003D1E07">
        <w:rPr>
          <w:i/>
        </w:rPr>
        <w:t>esse ad</w:t>
      </w:r>
      <w:r w:rsidR="006E1268" w:rsidRPr="003D1E07">
        <w:t xml:space="preserve">). </w:t>
      </w:r>
      <w:r w:rsidR="000C2D91" w:rsidRPr="003D1E07">
        <w:t xml:space="preserve">Bůh v sobě samém reflektuje trinitárním způsobem zatím neexistující stvoření, které je dané prohyparchicky. Boží </w:t>
      </w:r>
      <w:r w:rsidR="000C2D91">
        <w:t>intencionalita</w:t>
      </w:r>
      <w:r w:rsidR="000C2D91" w:rsidRPr="003D1E07">
        <w:t xml:space="preserve"> a reflexe vytvořila </w:t>
      </w:r>
      <w:r w:rsidR="000C2D91">
        <w:t>nový přechůdný náhled na smysl jsoucna</w:t>
      </w:r>
      <w:r w:rsidR="000C2D91" w:rsidRPr="003D1E07">
        <w:t>. Intencionální akt se nachází přímo v</w:t>
      </w:r>
      <w:r w:rsidR="000C2D91">
        <w:t> božím intelektu</w:t>
      </w:r>
      <w:r w:rsidR="000C2D91" w:rsidRPr="003D1E07">
        <w:t>. Tato odvážná modernistická operace umožnila nahlédnout celek jsoucna z pozice božského oka.</w:t>
      </w:r>
      <w:r w:rsidR="000C2D91">
        <w:t xml:space="preserve"> </w:t>
      </w:r>
      <w:r w:rsidR="00755881">
        <w:t xml:space="preserve">Tuto stvořitelskou intencionalitu </w:t>
      </w:r>
      <w:r w:rsidR="00755881" w:rsidRPr="00755881">
        <w:t xml:space="preserve">později </w:t>
      </w:r>
      <w:r w:rsidR="00755881">
        <w:t xml:space="preserve">vyjadřuje </w:t>
      </w:r>
      <w:r w:rsidR="00755881" w:rsidRPr="00755881">
        <w:t xml:space="preserve">termín </w:t>
      </w:r>
      <w:r w:rsidR="00755881" w:rsidRPr="00755881">
        <w:rPr>
          <w:i/>
        </w:rPr>
        <w:t>esse ad</w:t>
      </w:r>
      <w:r w:rsidR="00755881">
        <w:rPr>
          <w:i/>
        </w:rPr>
        <w:fldChar w:fldCharType="begin"/>
      </w:r>
      <w:r w:rsidR="00755881">
        <w:instrText xml:space="preserve"> XE "</w:instrText>
      </w:r>
      <w:r w:rsidR="00755881" w:rsidRPr="00426B8F">
        <w:rPr>
          <w:i/>
        </w:rPr>
        <w:instrText>esse ad</w:instrText>
      </w:r>
      <w:r w:rsidR="00755881">
        <w:instrText xml:space="preserve">" </w:instrText>
      </w:r>
      <w:r w:rsidR="00755881">
        <w:rPr>
          <w:i/>
        </w:rPr>
        <w:fldChar w:fldCharType="end"/>
      </w:r>
      <w:r w:rsidR="00755881" w:rsidRPr="00755881">
        <w:t>. Na zá</w:t>
      </w:r>
      <w:r w:rsidR="00755881">
        <w:t xml:space="preserve">kladě Simpliciova komentáře ke </w:t>
      </w:r>
      <w:r w:rsidR="00755881" w:rsidRPr="00755881">
        <w:rPr>
          <w:i/>
        </w:rPr>
        <w:t>Kategoriím</w:t>
      </w:r>
      <w:r w:rsidR="00755881" w:rsidRPr="00755881">
        <w:t xml:space="preserve"> založil </w:t>
      </w:r>
      <w:r w:rsidR="000C2D91">
        <w:t xml:space="preserve">tento vztah </w:t>
      </w:r>
      <w:r w:rsidR="00755881" w:rsidRPr="00755881">
        <w:t xml:space="preserve">objektivní metafyziku Oliviho, Jindřicha z Gentu a Dunse Scota. </w:t>
      </w:r>
      <w:r w:rsidR="00C10A71">
        <w:t xml:space="preserve">Nová mytologie </w:t>
      </w:r>
      <w:r w:rsidR="000959EB">
        <w:t xml:space="preserve">přímo </w:t>
      </w:r>
      <w:r w:rsidR="00C10A71">
        <w:t>spojila mysl iluminátů s</w:t>
      </w:r>
      <w:r w:rsidR="00DB0ADA">
        <w:t> myšlením moderního</w:t>
      </w:r>
      <w:r w:rsidR="00C10A71">
        <w:t xml:space="preserve"> boh</w:t>
      </w:r>
      <w:r w:rsidR="00DB0ADA">
        <w:t>a</w:t>
      </w:r>
      <w:r w:rsidR="00C10A71">
        <w:t xml:space="preserve">. </w:t>
      </w:r>
      <w:r w:rsidR="0013564B" w:rsidRPr="003D1E07">
        <w:t xml:space="preserve">Tento naprosto iluzorní </w:t>
      </w:r>
      <w:r w:rsidR="002A57CC">
        <w:rPr>
          <w:i/>
        </w:rPr>
        <w:t>Ge-Stell</w:t>
      </w:r>
      <w:r w:rsidR="002A57CC">
        <w:rPr>
          <w:i/>
        </w:rPr>
        <w:fldChar w:fldCharType="begin"/>
      </w:r>
      <w:r w:rsidR="002A57CC">
        <w:instrText xml:space="preserve"> XE "</w:instrText>
      </w:r>
      <w:r w:rsidR="002A57CC">
        <w:rPr>
          <w:i/>
        </w:rPr>
        <w:instrText>Ge-Stell</w:instrText>
      </w:r>
      <w:r w:rsidR="002A57CC">
        <w:instrText xml:space="preserve">" </w:instrText>
      </w:r>
      <w:r w:rsidR="002A57CC">
        <w:rPr>
          <w:i/>
        </w:rPr>
        <w:fldChar w:fldCharType="end"/>
      </w:r>
      <w:r w:rsidR="002A57CC">
        <w:t xml:space="preserve"> založil dráhu </w:t>
      </w:r>
      <w:r w:rsidR="0013564B" w:rsidRPr="003D1E07">
        <w:t>ontologického porozumění (</w:t>
      </w:r>
      <w:r w:rsidR="0013564B" w:rsidRPr="003D1E07">
        <w:rPr>
          <w:i/>
        </w:rPr>
        <w:t>Vor-blickbahn</w:t>
      </w:r>
      <w:r w:rsidR="002A57CC">
        <w:t xml:space="preserve">, která určuje </w:t>
      </w:r>
      <w:r w:rsidR="0013564B" w:rsidRPr="003D1E07">
        <w:t xml:space="preserve">objektivní vidění světa. </w:t>
      </w:r>
      <w:r w:rsidR="0093709F" w:rsidRPr="003D1E07">
        <w:t>Božská sebereflexe daná v trinitární esenci něco mys</w:t>
      </w:r>
      <w:r w:rsidR="00477AA5" w:rsidRPr="003D1E07">
        <w:t>l</w:t>
      </w:r>
      <w:r w:rsidR="009210FE">
        <w:t xml:space="preserve">í a </w:t>
      </w:r>
      <w:r w:rsidR="0093709F" w:rsidRPr="003D1E07">
        <w:t xml:space="preserve">objektivně intenduje a </w:t>
      </w:r>
      <w:r w:rsidR="009210FE">
        <w:t xml:space="preserve">to </w:t>
      </w:r>
      <w:r w:rsidR="0093709F" w:rsidRPr="003D1E07">
        <w:t xml:space="preserve">pak </w:t>
      </w:r>
      <w:r w:rsidR="00477AA5" w:rsidRPr="003D1E07">
        <w:t>ch</w:t>
      </w:r>
      <w:r w:rsidR="0093709F" w:rsidRPr="003D1E07">
        <w:t xml:space="preserve">ce </w:t>
      </w:r>
      <w:r w:rsidR="009210FE">
        <w:t>reálně s</w:t>
      </w:r>
      <w:r w:rsidR="009A7C7A" w:rsidRPr="003D1E07">
        <w:t xml:space="preserve">tvořit. Intendované a chtěné </w:t>
      </w:r>
      <w:r w:rsidR="009A7C7A" w:rsidRPr="003D1E07">
        <w:rPr>
          <w:i/>
        </w:rPr>
        <w:t>factum</w:t>
      </w:r>
      <w:r w:rsidR="009A7C7A" w:rsidRPr="003D1E07">
        <w:t xml:space="preserve"> modernistické mytopoetiky </w:t>
      </w:r>
      <w:r w:rsidR="006B133C" w:rsidRPr="003D1E07">
        <w:t>vytvořil</w:t>
      </w:r>
      <w:r w:rsidR="009A7C7A" w:rsidRPr="003D1E07">
        <w:t xml:space="preserve">o </w:t>
      </w:r>
      <w:r w:rsidR="006B133C" w:rsidRPr="003D1E07">
        <w:t xml:space="preserve">další </w:t>
      </w:r>
      <w:r w:rsidRPr="003D1E07">
        <w:t>ontoteologick</w:t>
      </w:r>
      <w:r w:rsidR="006B133C" w:rsidRPr="003D1E07">
        <w:t>ou</w:t>
      </w:r>
      <w:r w:rsidRPr="003D1E07">
        <w:t xml:space="preserve"> </w:t>
      </w:r>
      <w:r w:rsidR="00954E03" w:rsidRPr="003D1E07">
        <w:t>kategori</w:t>
      </w:r>
      <w:r w:rsidR="006B133C" w:rsidRPr="003D1E07">
        <w:t>i</w:t>
      </w:r>
      <w:r w:rsidR="00954E03" w:rsidRPr="003D1E07">
        <w:t xml:space="preserve"> pro </w:t>
      </w:r>
      <w:r w:rsidR="00E93F5C">
        <w:t xml:space="preserve">produkci </w:t>
      </w:r>
      <w:r w:rsidR="00701397" w:rsidRPr="003D1E07">
        <w:rPr>
          <w:i/>
          <w:lang w:eastAsia="en-US"/>
        </w:rPr>
        <w:t>tertium ens</w:t>
      </w:r>
      <w:r w:rsidR="00E14AD1" w:rsidRPr="003D1E07">
        <w:t xml:space="preserve">. </w:t>
      </w:r>
      <w:r w:rsidR="002457DB">
        <w:t>Intencionální obsahy v moderním b</w:t>
      </w:r>
      <w:r w:rsidR="00097FBA">
        <w:t xml:space="preserve">ohu dostaly novou </w:t>
      </w:r>
      <w:r w:rsidR="00F563D8">
        <w:t xml:space="preserve">podobu </w:t>
      </w:r>
      <w:r w:rsidR="005B2EC4">
        <w:t>„ex</w:t>
      </w:r>
      <w:r w:rsidR="00097FBA">
        <w:t>sistence“</w:t>
      </w:r>
      <w:r w:rsidR="00E14AD1" w:rsidRPr="003D1E07">
        <w:t xml:space="preserve">, která je primárně orientována </w:t>
      </w:r>
      <w:r w:rsidR="00E14AD1" w:rsidRPr="003D1E07">
        <w:rPr>
          <w:i/>
        </w:rPr>
        <w:t>ad extra</w:t>
      </w:r>
      <w:r w:rsidR="00E14AD1" w:rsidRPr="003D1E07">
        <w:t xml:space="preserve"> a </w:t>
      </w:r>
      <w:r w:rsidR="008F55B5">
        <w:t xml:space="preserve">nejprve </w:t>
      </w:r>
      <w:r w:rsidR="00E14AD1" w:rsidRPr="003D1E07">
        <w:t>"</w:t>
      </w:r>
      <w:r w:rsidR="005B2EC4">
        <w:t>po</w:t>
      </w:r>
      <w:r w:rsidR="00E14AD1" w:rsidRPr="003D1E07">
        <w:t>vstává" (</w:t>
      </w:r>
      <w:r w:rsidR="00E14AD1" w:rsidRPr="003D1E07">
        <w:rPr>
          <w:i/>
        </w:rPr>
        <w:t>exsistere</w:t>
      </w:r>
      <w:r w:rsidR="00E14AD1" w:rsidRPr="003D1E07">
        <w:rPr>
          <w:i/>
        </w:rPr>
        <w:fldChar w:fldCharType="begin"/>
      </w:r>
      <w:r w:rsidR="00E14AD1" w:rsidRPr="003D1E07">
        <w:instrText xml:space="preserve"> XE "</w:instrText>
      </w:r>
      <w:r w:rsidR="00E14AD1" w:rsidRPr="003D1E07">
        <w:rPr>
          <w:i/>
        </w:rPr>
        <w:instrText>exsistere</w:instrText>
      </w:r>
      <w:r w:rsidR="00E14AD1" w:rsidRPr="003D1E07">
        <w:instrText xml:space="preserve">" </w:instrText>
      </w:r>
      <w:r w:rsidR="00E14AD1" w:rsidRPr="003D1E07">
        <w:rPr>
          <w:i/>
        </w:rPr>
        <w:fldChar w:fldCharType="end"/>
      </w:r>
      <w:r w:rsidR="00E14AD1" w:rsidRPr="003D1E07">
        <w:t>) v intencionální a potenciál</w:t>
      </w:r>
      <w:r w:rsidR="000557E5">
        <w:t xml:space="preserve">ní podobě. Tato </w:t>
      </w:r>
      <w:r w:rsidR="005B2EC4">
        <w:t xml:space="preserve">neutrální </w:t>
      </w:r>
      <w:r w:rsidR="000557E5">
        <w:t>„</w:t>
      </w:r>
      <w:r w:rsidR="00E14AD1" w:rsidRPr="003D1E07">
        <w:t>ex</w:t>
      </w:r>
      <w:r w:rsidR="005B2EC4">
        <w:t>s</w:t>
      </w:r>
      <w:r w:rsidR="00E14AD1" w:rsidRPr="003D1E07">
        <w:t>istence</w:t>
      </w:r>
      <w:r w:rsidR="000557E5">
        <w:t>“ světa</w:t>
      </w:r>
      <w:r w:rsidR="00E14AD1" w:rsidRPr="003D1E07">
        <w:t xml:space="preserve"> </w:t>
      </w:r>
      <w:r w:rsidR="00E14AD1" w:rsidRPr="003D1E07">
        <w:lastRenderedPageBreak/>
        <w:t xml:space="preserve">je </w:t>
      </w:r>
      <w:r w:rsidR="004E6C89">
        <w:t xml:space="preserve">zvláštním způsobem </w:t>
      </w:r>
      <w:r w:rsidR="00E14AD1" w:rsidRPr="003D1E07">
        <w:t>spojena s božským bytím (</w:t>
      </w:r>
      <w:r w:rsidR="00E14AD1" w:rsidRPr="003D1E07">
        <w:rPr>
          <w:i/>
        </w:rPr>
        <w:t>esse ad</w:t>
      </w:r>
      <w:r w:rsidR="00E14AD1" w:rsidRPr="003D1E07">
        <w:rPr>
          <w:i/>
        </w:rPr>
        <w:fldChar w:fldCharType="begin"/>
      </w:r>
      <w:r w:rsidR="00E14AD1" w:rsidRPr="003D1E07">
        <w:instrText xml:space="preserve"> XE "intencionalita</w:instrText>
      </w:r>
      <w:r w:rsidR="00E14AD1" w:rsidRPr="003D1E07">
        <w:rPr>
          <w:i/>
        </w:rPr>
        <w:instrText>:esse ad</w:instrText>
      </w:r>
      <w:r w:rsidR="00E14AD1" w:rsidRPr="003D1E07">
        <w:instrText xml:space="preserve">" </w:instrText>
      </w:r>
      <w:r w:rsidR="00E14AD1" w:rsidRPr="003D1E07">
        <w:rPr>
          <w:i/>
        </w:rPr>
        <w:fldChar w:fldCharType="end"/>
      </w:r>
      <w:r w:rsidR="00E14AD1" w:rsidRPr="003D1E07">
        <w:t xml:space="preserve">). </w:t>
      </w:r>
      <w:r w:rsidR="000557E5">
        <w:t xml:space="preserve">Myšlené </w:t>
      </w:r>
      <w:r w:rsidR="00E14AD1" w:rsidRPr="003D1E07">
        <w:t xml:space="preserve">obsahy zůstávají v božím </w:t>
      </w:r>
      <w:r w:rsidR="000557E5">
        <w:t xml:space="preserve">intelektu </w:t>
      </w:r>
      <w:r w:rsidR="00E14AD1" w:rsidRPr="003D1E07">
        <w:t>v podobě intencionálního předmětu prozatím nestvořených věcí</w:t>
      </w:r>
      <w:r w:rsidR="00F563D8">
        <w:t xml:space="preserve"> a událostí</w:t>
      </w:r>
      <w:r w:rsidR="00E14AD1" w:rsidRPr="003D1E07">
        <w:t xml:space="preserve">. </w:t>
      </w:r>
      <w:r w:rsidR="00D60A99">
        <w:t xml:space="preserve">Ibn Ádí rozšířil pojem </w:t>
      </w:r>
      <w:r w:rsidR="00D60A99" w:rsidRPr="00424796">
        <w:rPr>
          <w:i/>
        </w:rPr>
        <w:t>aliud esse</w:t>
      </w:r>
      <w:r w:rsidR="00D60A99">
        <w:rPr>
          <w:i/>
        </w:rPr>
        <w:fldChar w:fldCharType="begin"/>
      </w:r>
      <w:r w:rsidR="00D60A99">
        <w:instrText xml:space="preserve"> XE "</w:instrText>
      </w:r>
      <w:r w:rsidR="00D60A99" w:rsidRPr="000B1EE4">
        <w:rPr>
          <w:i/>
        </w:rPr>
        <w:instrText>aliud esse</w:instrText>
      </w:r>
      <w:r w:rsidR="00D60A99">
        <w:instrText xml:space="preserve">" </w:instrText>
      </w:r>
      <w:r w:rsidR="00D60A99">
        <w:rPr>
          <w:i/>
        </w:rPr>
        <w:fldChar w:fldCharType="end"/>
      </w:r>
      <w:r w:rsidR="00D60A99">
        <w:t xml:space="preserve"> vytvořený Alfarábím a dal mu ontoteologický status na úrovni boží sebereflexe</w:t>
      </w:r>
      <w:r w:rsidR="00167DB5">
        <w:t xml:space="preserve"> (</w:t>
      </w:r>
      <w:r w:rsidR="00167DB5" w:rsidRPr="00167DB5">
        <w:rPr>
          <w:i/>
        </w:rPr>
        <w:t>esse ad</w:t>
      </w:r>
      <w:r w:rsidR="00167DB5">
        <w:t>)</w:t>
      </w:r>
      <w:r w:rsidR="00D60A99">
        <w:t xml:space="preserve">. </w:t>
      </w:r>
      <w:r w:rsidR="00ED677E">
        <w:t xml:space="preserve">Tím </w:t>
      </w:r>
      <w:r w:rsidR="00E14AD1" w:rsidRPr="003D1E07">
        <w:t xml:space="preserve">vznikla první objektivní definice každého bytí v modu archetypální demiurgické intencionality. </w:t>
      </w:r>
      <w:r w:rsidR="082317C2" w:rsidRPr="003D1E07">
        <w:t xml:space="preserve">Jsoucno je dáno v absolutně </w:t>
      </w:r>
      <w:r w:rsidR="081A259B" w:rsidRPr="003D1E07">
        <w:t>oddělené inte</w:t>
      </w:r>
      <w:r w:rsidR="087A06DA" w:rsidRPr="003D1E07">
        <w:t>n</w:t>
      </w:r>
      <w:r w:rsidR="081A259B" w:rsidRPr="003D1E07">
        <w:t xml:space="preserve">cionalitě </w:t>
      </w:r>
      <w:r w:rsidR="00AE56A7" w:rsidRPr="003D1E07">
        <w:t>založené arche</w:t>
      </w:r>
      <w:r w:rsidR="009E7A9F">
        <w:t>typicky. Definice tohoto „ne</w:t>
      </w:r>
      <w:r w:rsidR="081A259B" w:rsidRPr="003D1E07">
        <w:t>jsoucna</w:t>
      </w:r>
      <w:r w:rsidR="00AE56A7" w:rsidRPr="003D1E07">
        <w:t>“</w:t>
      </w:r>
      <w:r w:rsidR="081A259B" w:rsidRPr="003D1E07">
        <w:t xml:space="preserve"> </w:t>
      </w:r>
      <w:r w:rsidR="00AE56A7" w:rsidRPr="003D1E07">
        <w:t>je oddělena</w:t>
      </w:r>
      <w:r w:rsidR="082317C2" w:rsidRPr="003D1E07">
        <w:t xml:space="preserve"> pouze od nicoty. </w:t>
      </w:r>
      <w:r w:rsidR="08075002" w:rsidRPr="003D1E07">
        <w:t>Tím vznikla nová podoba Porfyriova individua, která má rysy minimální</w:t>
      </w:r>
      <w:r w:rsidR="08CF3DE2" w:rsidRPr="003D1E07">
        <w:t>ho</w:t>
      </w:r>
      <w:r w:rsidR="08075002" w:rsidRPr="003D1E07">
        <w:t xml:space="preserve"> jsoucna (</w:t>
      </w:r>
      <w:r w:rsidR="08075002" w:rsidRPr="003D1E07">
        <w:rPr>
          <w:i/>
        </w:rPr>
        <w:t>esse diminutum</w:t>
      </w:r>
      <w:r w:rsidR="08075002" w:rsidRPr="003D1E07">
        <w:rPr>
          <w:i/>
        </w:rPr>
        <w:fldChar w:fldCharType="begin"/>
      </w:r>
      <w:r w:rsidR="08075002" w:rsidRPr="003D1E07">
        <w:instrText xml:space="preserve"> XE "</w:instrText>
      </w:r>
      <w:r w:rsidR="08075002" w:rsidRPr="003D1E07">
        <w:rPr>
          <w:i/>
        </w:rPr>
        <w:instrText>esse diminutum</w:instrText>
      </w:r>
      <w:r w:rsidR="08075002" w:rsidRPr="003D1E07">
        <w:instrText xml:space="preserve">" </w:instrText>
      </w:r>
      <w:r w:rsidR="08075002" w:rsidRPr="003D1E07">
        <w:rPr>
          <w:i/>
        </w:rPr>
        <w:fldChar w:fldCharType="end"/>
      </w:r>
      <w:r w:rsidR="08075002" w:rsidRPr="003D1E07">
        <w:t>)</w:t>
      </w:r>
      <w:r w:rsidR="00A240AF" w:rsidRPr="003D1E07">
        <w:t>.</w:t>
      </w:r>
      <w:r w:rsidR="00CD1542" w:rsidRPr="003D1E07">
        <w:t xml:space="preserve"> Tato atomární substance jako </w:t>
      </w:r>
      <w:r w:rsidR="00484392">
        <w:t xml:space="preserve">nové </w:t>
      </w:r>
      <w:r w:rsidR="00CD1542" w:rsidRPr="003D1E07">
        <w:rPr>
          <w:i/>
        </w:rPr>
        <w:t>i</w:t>
      </w:r>
      <w:r w:rsidR="00A240AF" w:rsidRPr="003D1E07">
        <w:rPr>
          <w:i/>
        </w:rPr>
        <w:t>ndividuum</w:t>
      </w:r>
      <w:r w:rsidR="00A240AF" w:rsidRPr="003D1E07">
        <w:t xml:space="preserve"> </w:t>
      </w:r>
      <w:r w:rsidR="00012D4B">
        <w:t xml:space="preserve">má </w:t>
      </w:r>
      <w:r w:rsidR="0073196F">
        <w:t>v ontot</w:t>
      </w:r>
      <w:r w:rsidR="00A240AF" w:rsidRPr="003D1E07">
        <w:t xml:space="preserve">eologickém určení jsoucna </w:t>
      </w:r>
      <w:r w:rsidR="00012D4B">
        <w:t>věčné trvání</w:t>
      </w:r>
      <w:r w:rsidR="00D619D4" w:rsidRPr="003D1E07">
        <w:t xml:space="preserve">. Objektivní individuum </w:t>
      </w:r>
      <w:r w:rsidR="00555A3C">
        <w:t>dos</w:t>
      </w:r>
      <w:r w:rsidR="00A32F3B">
        <w:t xml:space="preserve">talo absolutní </w:t>
      </w:r>
      <w:r w:rsidR="08075002" w:rsidRPr="003D1E07">
        <w:t>určení</w:t>
      </w:r>
      <w:r w:rsidR="00A32F3B">
        <w:t xml:space="preserve"> v modu </w:t>
      </w:r>
      <w:r w:rsidR="00A32F3B" w:rsidRPr="00A32F3B">
        <w:rPr>
          <w:i/>
        </w:rPr>
        <w:t>semel–semper</w:t>
      </w:r>
      <w:r w:rsidR="00A32F3B">
        <w:rPr>
          <w:i/>
        </w:rPr>
        <w:fldChar w:fldCharType="begin"/>
      </w:r>
      <w:r w:rsidR="00A32F3B">
        <w:instrText xml:space="preserve"> XE "</w:instrText>
      </w:r>
      <w:r w:rsidR="00A32F3B" w:rsidRPr="00E87796">
        <w:rPr>
          <w:i/>
        </w:rPr>
        <w:instrText>semel–semper</w:instrText>
      </w:r>
      <w:r w:rsidR="00A32F3B">
        <w:instrText xml:space="preserve">" </w:instrText>
      </w:r>
      <w:r w:rsidR="00A32F3B">
        <w:rPr>
          <w:i/>
        </w:rPr>
        <w:fldChar w:fldCharType="end"/>
      </w:r>
      <w:r w:rsidR="00A240AF" w:rsidRPr="003D1E07">
        <w:t xml:space="preserve">, které </w:t>
      </w:r>
      <w:r w:rsidR="087A06DA" w:rsidRPr="003D1E07">
        <w:t>existuj</w:t>
      </w:r>
      <w:r w:rsidR="00A240AF" w:rsidRPr="003D1E07">
        <w:t>e</w:t>
      </w:r>
      <w:r w:rsidR="087A06DA" w:rsidRPr="003D1E07">
        <w:t xml:space="preserve"> přímo v</w:t>
      </w:r>
      <w:r w:rsidR="00A240AF" w:rsidRPr="003D1E07">
        <w:t xml:space="preserve"> moderním </w:t>
      </w:r>
      <w:r w:rsidR="087A06DA" w:rsidRPr="003D1E07">
        <w:t>bohu</w:t>
      </w:r>
      <w:r w:rsidR="08075002" w:rsidRPr="003D1E07">
        <w:t xml:space="preserve">. </w:t>
      </w:r>
      <w:r w:rsidR="00A32F3B">
        <w:t>Co moderní bůh jednou inde</w:t>
      </w:r>
      <w:r w:rsidR="00900DFC">
        <w:t>n</w:t>
      </w:r>
      <w:r w:rsidR="00A32F3B">
        <w:t xml:space="preserve">duje v intelektu, to má věčné trvání. </w:t>
      </w:r>
      <w:r w:rsidR="00A240AF" w:rsidRPr="003D1E07">
        <w:t xml:space="preserve">Nový typ ilumináta je boží souputník na úrovni Ducha svatého a proto vidí přímo do boží intencionality. </w:t>
      </w:r>
      <w:r w:rsidR="00B719F5" w:rsidRPr="003D1E07">
        <w:t>Tato n</w:t>
      </w:r>
      <w:r w:rsidR="08A034B6" w:rsidRPr="003D1E07">
        <w:t xml:space="preserve">ová forma existence Ibn Ádího založila novou formu diakosmu a novou formu </w:t>
      </w:r>
      <w:r w:rsidR="08A034B6" w:rsidRPr="003D1E07">
        <w:rPr>
          <w:i/>
        </w:rPr>
        <w:t>tertium ens</w:t>
      </w:r>
      <w:r w:rsidR="08A034B6" w:rsidRPr="003D1E07">
        <w:rPr>
          <w:i/>
        </w:rPr>
        <w:fldChar w:fldCharType="begin"/>
      </w:r>
      <w:r w:rsidR="08A034B6" w:rsidRPr="003D1E07">
        <w:instrText xml:space="preserve"> XE "</w:instrText>
      </w:r>
      <w:r w:rsidR="08A034B6" w:rsidRPr="003D1E07">
        <w:rPr>
          <w:i/>
        </w:rPr>
        <w:instrText>tertium ens</w:instrText>
      </w:r>
      <w:r w:rsidR="08A034B6" w:rsidRPr="003D1E07">
        <w:instrText xml:space="preserve">:Ibn Ádí" </w:instrText>
      </w:r>
      <w:r w:rsidR="08A034B6" w:rsidRPr="003D1E07">
        <w:rPr>
          <w:i/>
        </w:rPr>
        <w:fldChar w:fldCharType="end"/>
      </w:r>
      <w:r w:rsidR="08A034B6" w:rsidRPr="003D1E07">
        <w:t xml:space="preserve">. </w:t>
      </w:r>
      <w:r w:rsidR="08075002" w:rsidRPr="003D1E07">
        <w:t xml:space="preserve">Transformace </w:t>
      </w:r>
      <w:r w:rsidR="088075B9" w:rsidRPr="003D1E07">
        <w:t xml:space="preserve">neoplatonského </w:t>
      </w:r>
      <w:r w:rsidR="08075002" w:rsidRPr="003D1E07">
        <w:t xml:space="preserve">individua do boží mysli </w:t>
      </w:r>
      <w:r w:rsidR="088075B9" w:rsidRPr="003D1E07">
        <w:t xml:space="preserve">v podobě </w:t>
      </w:r>
      <w:r w:rsidR="084B73DF" w:rsidRPr="003D1E07">
        <w:t xml:space="preserve">Alfarabiova </w:t>
      </w:r>
      <w:r w:rsidR="088075B9" w:rsidRPr="003D1E07">
        <w:t>intencionálního předmětu (</w:t>
      </w:r>
      <w:r w:rsidR="088075B9" w:rsidRPr="003D1E07">
        <w:rPr>
          <w:rStyle w:val="Zvraznn"/>
        </w:rPr>
        <w:t xml:space="preserve">ma'qūl </w:t>
      </w:r>
      <w:r w:rsidR="088075B9" w:rsidRPr="003D1E07">
        <w:rPr>
          <w:i/>
        </w:rPr>
        <w:t>ṭh</w:t>
      </w:r>
      <w:r w:rsidR="088075B9" w:rsidRPr="003D1E07">
        <w:rPr>
          <w:rStyle w:val="Zvraznn"/>
        </w:rPr>
        <w:t>ānī</w:t>
      </w:r>
      <w:r w:rsidR="088075B9" w:rsidRPr="003D1E07">
        <w:t xml:space="preserve">, </w:t>
      </w:r>
      <w:r w:rsidR="088075B9" w:rsidRPr="003D1E07">
        <w:rPr>
          <w:i/>
        </w:rPr>
        <w:t>intellectum secundum</w:t>
      </w:r>
      <w:r w:rsidR="088075B9" w:rsidRPr="003D1E07">
        <w:rPr>
          <w:rStyle w:val="Zvraznn"/>
        </w:rPr>
        <w:fldChar w:fldCharType="begin"/>
      </w:r>
      <w:r w:rsidR="088075B9" w:rsidRPr="003D1E07">
        <w:instrText xml:space="preserve"> XE "druhá intence" </w:instrText>
      </w:r>
      <w:r w:rsidR="088075B9" w:rsidRPr="003D1E07">
        <w:rPr>
          <w:rStyle w:val="Zvraznn"/>
        </w:rPr>
        <w:fldChar w:fldCharType="end"/>
      </w:r>
      <w:r w:rsidR="088075B9" w:rsidRPr="003D1E07">
        <w:t xml:space="preserve">) </w:t>
      </w:r>
      <w:r w:rsidR="08075002" w:rsidRPr="003D1E07">
        <w:t xml:space="preserve">založila nový typ amfibolní predikace v </w:t>
      </w:r>
      <w:r w:rsidR="08E42A20" w:rsidRPr="003D1E07">
        <w:t xml:space="preserve">ontoteologickém </w:t>
      </w:r>
      <w:r w:rsidR="08075002" w:rsidRPr="003D1E07">
        <w:t xml:space="preserve">modu </w:t>
      </w:r>
      <w:r w:rsidR="08075002" w:rsidRPr="003D1E07">
        <w:rPr>
          <w:i/>
        </w:rPr>
        <w:t>semel‒semper</w:t>
      </w:r>
      <w:r w:rsidR="08075002" w:rsidRPr="003D1E07">
        <w:rPr>
          <w:i/>
        </w:rPr>
        <w:fldChar w:fldCharType="begin"/>
      </w:r>
      <w:r w:rsidR="08075002" w:rsidRPr="003D1E07">
        <w:instrText xml:space="preserve"> XE "predikace:</w:instrText>
      </w:r>
      <w:r w:rsidR="08075002" w:rsidRPr="003D1E07">
        <w:rPr>
          <w:i/>
        </w:rPr>
        <w:instrText>semel‒semper</w:instrText>
      </w:r>
      <w:r w:rsidR="08075002" w:rsidRPr="003D1E07">
        <w:instrText xml:space="preserve">" </w:instrText>
      </w:r>
      <w:r w:rsidR="08075002" w:rsidRPr="003D1E07">
        <w:rPr>
          <w:i/>
        </w:rPr>
        <w:fldChar w:fldCharType="end"/>
      </w:r>
      <w:r w:rsidR="08075002" w:rsidRPr="003D1E07">
        <w:t xml:space="preserve">. </w:t>
      </w:r>
      <w:r w:rsidR="00A843E1" w:rsidRPr="003D1E07">
        <w:t xml:space="preserve">Porretánská škola na latinském Západě použila </w:t>
      </w:r>
      <w:r w:rsidR="00E766F4" w:rsidRPr="003D1E07">
        <w:t xml:space="preserve">tento modus </w:t>
      </w:r>
      <w:r w:rsidR="00A843E1" w:rsidRPr="003D1E07">
        <w:t xml:space="preserve">pro vytvoření metafyziky </w:t>
      </w:r>
      <w:r w:rsidR="00A843E1" w:rsidRPr="003D1E07">
        <w:rPr>
          <w:i/>
        </w:rPr>
        <w:t>tertium ens</w:t>
      </w:r>
      <w:r w:rsidR="08075002" w:rsidRPr="003D1E07">
        <w:t xml:space="preserve">, která dodnes slouží skrze současnou </w:t>
      </w:r>
      <w:r w:rsidR="08075002" w:rsidRPr="003D1E07">
        <w:rPr>
          <w:i/>
        </w:rPr>
        <w:t>mathesis universalis</w:t>
      </w:r>
      <w:r w:rsidR="08075002" w:rsidRPr="003D1E07">
        <w:rPr>
          <w:i/>
        </w:rPr>
        <w:fldChar w:fldCharType="begin"/>
      </w:r>
      <w:r w:rsidR="08075002" w:rsidRPr="003D1E07">
        <w:instrText xml:space="preserve"> XE "</w:instrText>
      </w:r>
      <w:r w:rsidR="08075002" w:rsidRPr="003D1E07">
        <w:rPr>
          <w:i/>
        </w:rPr>
        <w:instrText>mathesis universalis</w:instrText>
      </w:r>
      <w:r w:rsidR="08075002" w:rsidRPr="003D1E07">
        <w:instrText xml:space="preserve">" </w:instrText>
      </w:r>
      <w:r w:rsidR="08075002" w:rsidRPr="003D1E07">
        <w:rPr>
          <w:i/>
        </w:rPr>
        <w:fldChar w:fldCharType="end"/>
      </w:r>
      <w:r w:rsidR="08075002" w:rsidRPr="003D1E07">
        <w:t xml:space="preserve">. </w:t>
      </w:r>
      <w:r w:rsidR="08AA41F6" w:rsidRPr="003D1E07">
        <w:t xml:space="preserve">Přechod od neoplatonské trojice transcendentálních vlastností (γνῶσις, δύναμις, ἀγαθότης) převzatých z Proklova díla </w:t>
      </w:r>
      <w:r w:rsidR="08AA41F6" w:rsidRPr="003D1E07">
        <w:rPr>
          <w:rStyle w:val="st"/>
          <w:i/>
        </w:rPr>
        <w:t xml:space="preserve">Stoicheiósis </w:t>
      </w:r>
      <w:r w:rsidR="08AA41F6" w:rsidRPr="003D1E07">
        <w:rPr>
          <w:rStyle w:val="st"/>
          <w:bCs/>
          <w:i/>
        </w:rPr>
        <w:t>theologiké</w:t>
      </w:r>
      <w:r w:rsidR="08AA41F6" w:rsidRPr="003D1E07">
        <w:t xml:space="preserve"> k</w:t>
      </w:r>
      <w:r w:rsidR="006C0189">
        <w:t xml:space="preserve"> aristotelské triádě „intelekt – jeho výkon –</w:t>
      </w:r>
      <w:r w:rsidR="08AA41F6" w:rsidRPr="003D1E07">
        <w:t xml:space="preserve"> jeho předmět“ je možné datovat v díle Ibn Ádího kolem roku 965 (Lizzini 2003a, 500). Tím je dáno historické datum vzniku objektivity </w:t>
      </w:r>
      <w:r w:rsidR="00A66BDD" w:rsidRPr="003D1E07">
        <w:t xml:space="preserve">na </w:t>
      </w:r>
      <w:r w:rsidR="002828AE" w:rsidRPr="003D1E07">
        <w:t xml:space="preserve">evropském </w:t>
      </w:r>
      <w:r w:rsidR="00A66BDD" w:rsidRPr="003D1E07">
        <w:t>Západě</w:t>
      </w:r>
      <w:r w:rsidR="00BB6573">
        <w:t>.</w:t>
      </w:r>
    </w:p>
    <w:p w14:paraId="4CC0C611" w14:textId="749BC904" w:rsidR="0013663C" w:rsidRDefault="08AA41F6" w:rsidP="00D95F25">
      <w:pPr>
        <w:ind w:firstLine="397"/>
      </w:pPr>
      <w:r w:rsidRPr="003D1E07">
        <w:t xml:space="preserve">Avicenna </w:t>
      </w:r>
      <w:r w:rsidR="00BB6573">
        <w:t>dal</w:t>
      </w:r>
      <w:r w:rsidR="006C33AF" w:rsidRPr="003D1E07">
        <w:t xml:space="preserve"> </w:t>
      </w:r>
      <w:r w:rsidRPr="003D1E07">
        <w:t xml:space="preserve">tuto čistou jsoucnost z boží mysli do </w:t>
      </w:r>
      <w:r w:rsidR="00BB6573">
        <w:t xml:space="preserve">světa </w:t>
      </w:r>
      <w:r w:rsidRPr="003D1E07">
        <w:t xml:space="preserve">a </w:t>
      </w:r>
      <w:r w:rsidR="00BB6573">
        <w:t xml:space="preserve">nechal ji </w:t>
      </w:r>
      <w:r w:rsidRPr="003D1E07">
        <w:t xml:space="preserve">manifestovat v přímém náhledu </w:t>
      </w:r>
      <w:r w:rsidR="006C33AF" w:rsidRPr="003D1E07">
        <w:t xml:space="preserve">objektivity </w:t>
      </w:r>
      <w:r w:rsidR="00A05E67">
        <w:t xml:space="preserve">jako takové </w:t>
      </w:r>
      <w:r w:rsidRPr="003D1E07">
        <w:t>(</w:t>
      </w:r>
      <w:r w:rsidRPr="003D1E07">
        <w:rPr>
          <w:i/>
        </w:rPr>
        <w:t>hoc</w:t>
      </w:r>
      <w:r w:rsidRPr="003D1E07">
        <w:t xml:space="preserve"> </w:t>
      </w:r>
      <w:r w:rsidRPr="003D1E07">
        <w:rPr>
          <w:i/>
        </w:rPr>
        <w:t>esse tantum</w:t>
      </w:r>
      <w:r w:rsidRPr="003D1E07">
        <w:t xml:space="preserve">, kap. 2.3.1). </w:t>
      </w:r>
      <w:r w:rsidR="002B18B4" w:rsidRPr="003D1E07">
        <w:t>Moderní bůh usazený v bagdádském Domě moudrosti dostal v</w:t>
      </w:r>
      <w:r w:rsidR="0015127E" w:rsidRPr="003D1E07">
        <w:t xml:space="preserve">e druhé polovině 10. století </w:t>
      </w:r>
      <w:r w:rsidR="002B18B4" w:rsidRPr="003D1E07">
        <w:t xml:space="preserve">velmi specifické </w:t>
      </w:r>
      <w:r w:rsidR="0015127E" w:rsidRPr="003D1E07">
        <w:t>aristotelské rysy</w:t>
      </w:r>
      <w:r w:rsidR="002B18B4" w:rsidRPr="003D1E07">
        <w:t xml:space="preserve">. </w:t>
      </w:r>
      <w:r w:rsidR="009D228C">
        <w:t>Nová p</w:t>
      </w:r>
      <w:r w:rsidR="006E6E62">
        <w:t>redikace s</w:t>
      </w:r>
      <w:r w:rsidR="002B18B4" w:rsidRPr="003D1E07">
        <w:t xml:space="preserve">tojí </w:t>
      </w:r>
      <w:r w:rsidR="0015127E" w:rsidRPr="003D1E07">
        <w:t xml:space="preserve">mimo neoplatonismus a mimo </w:t>
      </w:r>
      <w:r w:rsidR="08CC1094" w:rsidRPr="003D1E07">
        <w:t xml:space="preserve">polyteistické </w:t>
      </w:r>
      <w:r w:rsidR="0015127E" w:rsidRPr="003D1E07">
        <w:t xml:space="preserve">formy ontoteologie dané </w:t>
      </w:r>
      <w:r w:rsidR="00874074" w:rsidRPr="003D1E07">
        <w:t>neoplatonsk</w:t>
      </w:r>
      <w:r w:rsidR="0015127E" w:rsidRPr="003D1E07">
        <w:t>ou emanací.</w:t>
      </w:r>
      <w:r w:rsidR="00954E03" w:rsidRPr="003D1E07">
        <w:t xml:space="preserve"> </w:t>
      </w:r>
      <w:r w:rsidR="00C65159">
        <w:t xml:space="preserve">Intencionální předmět </w:t>
      </w:r>
      <w:r w:rsidR="00E4388F">
        <w:t>„ne/</w:t>
      </w:r>
      <w:r w:rsidR="009C5BE4">
        <w:t>stvořených</w:t>
      </w:r>
      <w:r w:rsidR="00E4388F">
        <w:t>“</w:t>
      </w:r>
      <w:r w:rsidR="009C5BE4">
        <w:t xml:space="preserve"> věcí </w:t>
      </w:r>
      <w:r w:rsidR="00C65159">
        <w:t>je přidaný</w:t>
      </w:r>
      <w:r w:rsidR="00A45B73" w:rsidRPr="003D1E07">
        <w:t xml:space="preserve"> do </w:t>
      </w:r>
      <w:r w:rsidR="00C27751" w:rsidRPr="003D1E07">
        <w:t xml:space="preserve">aktuální </w:t>
      </w:r>
      <w:r w:rsidR="00A45B73" w:rsidRPr="003D1E07">
        <w:t>esence Boží Trojice</w:t>
      </w:r>
      <w:r w:rsidR="004E50C3" w:rsidRPr="003D1E07">
        <w:rPr>
          <w:lang w:eastAsia="en-US"/>
        </w:rPr>
        <w:fldChar w:fldCharType="begin"/>
      </w:r>
      <w:r w:rsidR="004E50C3" w:rsidRPr="003D1E07">
        <w:instrText xml:space="preserve"> XE "</w:instrText>
      </w:r>
      <w:r w:rsidR="004E50C3" w:rsidRPr="003D1E07">
        <w:rPr>
          <w:lang w:eastAsia="en-US"/>
        </w:rPr>
        <w:instrText>Boží Trojice</w:instrText>
      </w:r>
      <w:r w:rsidR="004E50C3" w:rsidRPr="003D1E07">
        <w:instrText xml:space="preserve">" </w:instrText>
      </w:r>
      <w:r w:rsidR="004E50C3" w:rsidRPr="003D1E07">
        <w:rPr>
          <w:lang w:eastAsia="en-US"/>
        </w:rPr>
        <w:fldChar w:fldCharType="end"/>
      </w:r>
      <w:r w:rsidR="004E50C3">
        <w:t xml:space="preserve">. Ibn Adi </w:t>
      </w:r>
      <w:r w:rsidR="00A45B73" w:rsidRPr="003D1E07">
        <w:t>vytvořil</w:t>
      </w:r>
      <w:r w:rsidR="004E50C3">
        <w:t xml:space="preserve"> nové </w:t>
      </w:r>
      <w:r w:rsidR="004E50C3" w:rsidRPr="004E50C3">
        <w:rPr>
          <w:i/>
        </w:rPr>
        <w:t>Lichtung</w:t>
      </w:r>
      <w:r w:rsidR="004E50C3">
        <w:rPr>
          <w:i/>
        </w:rPr>
        <w:fldChar w:fldCharType="begin"/>
      </w:r>
      <w:r w:rsidR="004E50C3">
        <w:instrText xml:space="preserve"> XE "</w:instrText>
      </w:r>
      <w:r w:rsidR="004E50C3" w:rsidRPr="00EF6DCD">
        <w:rPr>
          <w:i/>
        </w:rPr>
        <w:instrText>Lichtung</w:instrText>
      </w:r>
      <w:r w:rsidR="004E50C3">
        <w:instrText xml:space="preserve">" </w:instrText>
      </w:r>
      <w:r w:rsidR="004E50C3">
        <w:rPr>
          <w:i/>
        </w:rPr>
        <w:fldChar w:fldCharType="end"/>
      </w:r>
      <w:r w:rsidR="004E50C3">
        <w:t xml:space="preserve"> pravdy a nepravdy</w:t>
      </w:r>
      <w:r w:rsidR="00984C1D">
        <w:t xml:space="preserve">, kde se </w:t>
      </w:r>
      <w:r w:rsidR="00D51369">
        <w:t xml:space="preserve">nacházejí </w:t>
      </w:r>
      <w:r w:rsidR="00954E03" w:rsidRPr="003D1E07">
        <w:t>potenciálně „</w:t>
      </w:r>
      <w:r w:rsidR="00E97858">
        <w:t>ex</w:t>
      </w:r>
      <w:r w:rsidR="00D51369">
        <w:t>s</w:t>
      </w:r>
      <w:r w:rsidR="00E97858">
        <w:t>istujíc</w:t>
      </w:r>
      <w:r w:rsidR="00984C1D">
        <w:t>í“ jsoucna</w:t>
      </w:r>
      <w:r w:rsidR="00310EAE">
        <w:t xml:space="preserve"> v jejich </w:t>
      </w:r>
      <w:r w:rsidR="00AC43D6">
        <w:t xml:space="preserve">původní </w:t>
      </w:r>
      <w:r w:rsidR="00310EAE">
        <w:t>ontoteologické neutralitě</w:t>
      </w:r>
      <w:r w:rsidR="00A23C51" w:rsidRPr="003D1E07">
        <w:t xml:space="preserve">. </w:t>
      </w:r>
      <w:r w:rsidR="00D134D6" w:rsidRPr="003D1E07">
        <w:t xml:space="preserve">Tím vznikla v </w:t>
      </w:r>
      <w:r w:rsidR="082B351A" w:rsidRPr="003D1E07">
        <w:t xml:space="preserve">západní filosofii nová forma </w:t>
      </w:r>
      <w:r w:rsidR="00D134D6" w:rsidRPr="003D1E07">
        <w:t>odkrytosti jsoucna třetího druhu (</w:t>
      </w:r>
      <w:r w:rsidR="082B351A" w:rsidRPr="003D1E07">
        <w:rPr>
          <w:i/>
        </w:rPr>
        <w:t>a</w:t>
      </w:r>
      <w:r w:rsidR="00D134D6" w:rsidRPr="003D1E07">
        <w:rPr>
          <w:i/>
        </w:rPr>
        <w:t>léth</w:t>
      </w:r>
      <w:r w:rsidR="08963D2B" w:rsidRPr="003D1E07">
        <w:rPr>
          <w:i/>
        </w:rPr>
        <w:t>e</w:t>
      </w:r>
      <w:r w:rsidR="00D134D6" w:rsidRPr="003D1E07">
        <w:rPr>
          <w:i/>
        </w:rPr>
        <w:t>ia</w:t>
      </w:r>
      <w:r w:rsidR="00D134D6" w:rsidRPr="003D1E07">
        <w:t>)</w:t>
      </w:r>
      <w:r w:rsidR="00D134D6" w:rsidRPr="003D1E07">
        <w:rPr>
          <w:i/>
        </w:rPr>
        <w:fldChar w:fldCharType="begin"/>
      </w:r>
      <w:r w:rsidR="00D134D6" w:rsidRPr="003D1E07">
        <w:instrText xml:space="preserve"> XE "objektivita:</w:instrText>
      </w:r>
      <w:r w:rsidR="08963D2B" w:rsidRPr="003D1E07">
        <w:rPr>
          <w:i/>
        </w:rPr>
        <w:instrText>a</w:instrText>
      </w:r>
      <w:r w:rsidR="00D134D6" w:rsidRPr="003D1E07">
        <w:rPr>
          <w:i/>
        </w:rPr>
        <w:instrText>léth</w:instrText>
      </w:r>
      <w:r w:rsidR="08963D2B" w:rsidRPr="003D1E07">
        <w:rPr>
          <w:i/>
        </w:rPr>
        <w:instrText>e</w:instrText>
      </w:r>
      <w:r w:rsidR="00D134D6" w:rsidRPr="003D1E07">
        <w:rPr>
          <w:i/>
        </w:rPr>
        <w:instrText>ia</w:instrText>
      </w:r>
      <w:r w:rsidR="00D134D6" w:rsidRPr="003D1E07">
        <w:instrText xml:space="preserve">" </w:instrText>
      </w:r>
      <w:r w:rsidR="00D134D6" w:rsidRPr="003D1E07">
        <w:rPr>
          <w:i/>
        </w:rPr>
        <w:fldChar w:fldCharType="end"/>
      </w:r>
      <w:r w:rsidR="00D134D6" w:rsidRPr="003D1E07">
        <w:t xml:space="preserve">, která u Avicenny založila </w:t>
      </w:r>
      <w:r w:rsidR="00C67D92" w:rsidRPr="003D1E07">
        <w:t xml:space="preserve">metafyziku </w:t>
      </w:r>
      <w:r w:rsidR="00D134D6" w:rsidRPr="003D1E07">
        <w:t>objektivity</w:t>
      </w:r>
      <w:r w:rsidR="083D1CFF" w:rsidRPr="003D1E07">
        <w:t>. Avicenna predik</w:t>
      </w:r>
      <w:r w:rsidR="00B33F2C" w:rsidRPr="003D1E07">
        <w:t xml:space="preserve">uje </w:t>
      </w:r>
      <w:r w:rsidR="083D1CFF" w:rsidRPr="003D1E07">
        <w:t xml:space="preserve">tyto </w:t>
      </w:r>
      <w:r w:rsidR="08D852E8" w:rsidRPr="003D1E07">
        <w:t xml:space="preserve">hypostázované </w:t>
      </w:r>
      <w:r w:rsidR="083D1CFF" w:rsidRPr="003D1E07">
        <w:t xml:space="preserve">vlastnosti </w:t>
      </w:r>
      <w:r w:rsidR="00C142AB">
        <w:t xml:space="preserve">přímo do </w:t>
      </w:r>
      <w:r w:rsidR="083D1CFF" w:rsidRPr="003D1E07">
        <w:t>prvních substancí</w:t>
      </w:r>
      <w:r w:rsidR="08ED4D17" w:rsidRPr="003D1E07">
        <w:t xml:space="preserve"> </w:t>
      </w:r>
      <w:r w:rsidR="08D852E8" w:rsidRPr="003D1E07">
        <w:t>v modu objektivní komitace (kap. 2.3.2)</w:t>
      </w:r>
      <w:r w:rsidR="08D852E8" w:rsidRPr="003D1E07">
        <w:fldChar w:fldCharType="begin"/>
      </w:r>
      <w:r w:rsidR="08D852E8" w:rsidRPr="003D1E07">
        <w:instrText xml:space="preserve"> XE "komitace" </w:instrText>
      </w:r>
      <w:r w:rsidR="08D852E8" w:rsidRPr="003D1E07">
        <w:fldChar w:fldCharType="end"/>
      </w:r>
      <w:r w:rsidR="083D1CFF" w:rsidRPr="003D1E07">
        <w:t xml:space="preserve">. </w:t>
      </w:r>
      <w:r w:rsidR="00D57516" w:rsidRPr="003D1E07">
        <w:t xml:space="preserve">Graduální emanace </w:t>
      </w:r>
      <w:r w:rsidR="00D57516" w:rsidRPr="003D1E07">
        <w:lastRenderedPageBreak/>
        <w:t xml:space="preserve">forem směrem od Jednoho daná v Proklově neoplatonismu </w:t>
      </w:r>
      <w:r w:rsidR="00D57516" w:rsidRPr="003D1E07">
        <w:rPr>
          <w:i/>
        </w:rPr>
        <w:t>modo geometrico</w:t>
      </w:r>
      <w:r w:rsidR="08847B49" w:rsidRPr="003D1E07">
        <w:rPr>
          <w:i/>
        </w:rPr>
        <w:fldChar w:fldCharType="begin"/>
      </w:r>
      <w:r w:rsidR="08847B49" w:rsidRPr="003D1E07">
        <w:instrText xml:space="preserve"> XE "</w:instrText>
      </w:r>
      <w:r w:rsidR="08847B49" w:rsidRPr="003D1E07">
        <w:rPr>
          <w:i/>
        </w:rPr>
        <w:instrText>modo geometrico</w:instrText>
      </w:r>
      <w:r w:rsidR="08847B49" w:rsidRPr="003D1E07">
        <w:instrText xml:space="preserve">" </w:instrText>
      </w:r>
      <w:r w:rsidR="08847B49" w:rsidRPr="003D1E07">
        <w:rPr>
          <w:i/>
        </w:rPr>
        <w:fldChar w:fldCharType="end"/>
      </w:r>
      <w:r w:rsidR="00D57516" w:rsidRPr="003D1E07">
        <w:t xml:space="preserve"> je </w:t>
      </w:r>
      <w:r w:rsidR="08B911B9" w:rsidRPr="003D1E07">
        <w:t xml:space="preserve">v nové ontoteologii </w:t>
      </w:r>
      <w:r w:rsidR="00D57516" w:rsidRPr="003D1E07">
        <w:t xml:space="preserve">zrušena dvojím způsobem. </w:t>
      </w:r>
      <w:r w:rsidR="00692EF0" w:rsidRPr="003D1E07">
        <w:t xml:space="preserve">Za prvé, </w:t>
      </w:r>
      <w:r w:rsidR="000005E3" w:rsidRPr="003D1E07">
        <w:t>primordiální jednota</w:t>
      </w:r>
      <w:r w:rsidR="00D57516" w:rsidRPr="003D1E07">
        <w:t xml:space="preserve"> božské substance a mnohosti tří Osob </w:t>
      </w:r>
      <w:r w:rsidR="000005E3" w:rsidRPr="003D1E07">
        <w:t xml:space="preserve">je oddělena </w:t>
      </w:r>
      <w:r w:rsidR="08C53E06" w:rsidRPr="003D1E07">
        <w:t xml:space="preserve">od </w:t>
      </w:r>
      <w:r w:rsidR="00874074" w:rsidRPr="003D1E07">
        <w:t>neoplatonsk</w:t>
      </w:r>
      <w:r w:rsidR="00D57516" w:rsidRPr="003D1E07">
        <w:t>é emanace</w:t>
      </w:r>
      <w:r w:rsidR="08E24200" w:rsidRPr="003D1E07">
        <w:t xml:space="preserve"> dané konsubstanciálně</w:t>
      </w:r>
      <w:r w:rsidR="00D57516" w:rsidRPr="003D1E07">
        <w:t xml:space="preserve">. </w:t>
      </w:r>
      <w:r w:rsidR="00692EF0" w:rsidRPr="003D1E07">
        <w:t>Za druhé, a</w:t>
      </w:r>
      <w:r w:rsidR="00D57516" w:rsidRPr="003D1E07">
        <w:t xml:space="preserve">kt stvoření </w:t>
      </w:r>
      <w:r w:rsidR="00E001EE" w:rsidRPr="003D1E07">
        <w:t xml:space="preserve">oddělil </w:t>
      </w:r>
      <w:r w:rsidR="08C53E06" w:rsidRPr="003D1E07">
        <w:t xml:space="preserve">esenci </w:t>
      </w:r>
      <w:r w:rsidR="00F5774B" w:rsidRPr="003D1E07">
        <w:t>Boží T</w:t>
      </w:r>
      <w:r w:rsidR="08C53E06" w:rsidRPr="003D1E07">
        <w:t>rojice</w:t>
      </w:r>
      <w:r w:rsidR="08015154" w:rsidRPr="003D1E07">
        <w:rPr>
          <w:lang w:eastAsia="en-US"/>
        </w:rPr>
        <w:fldChar w:fldCharType="begin"/>
      </w:r>
      <w:r w:rsidR="08015154" w:rsidRPr="003D1E07">
        <w:instrText xml:space="preserve"> XE "</w:instrText>
      </w:r>
      <w:r w:rsidR="08015154" w:rsidRPr="003D1E07">
        <w:rPr>
          <w:lang w:eastAsia="en-US"/>
        </w:rPr>
        <w:instrText>Boží Trojice</w:instrText>
      </w:r>
      <w:r w:rsidR="08015154" w:rsidRPr="003D1E07">
        <w:instrText xml:space="preserve">" </w:instrText>
      </w:r>
      <w:r w:rsidR="08015154" w:rsidRPr="003D1E07">
        <w:rPr>
          <w:lang w:eastAsia="en-US"/>
        </w:rPr>
        <w:fldChar w:fldCharType="end"/>
      </w:r>
      <w:r w:rsidR="0033052E" w:rsidRPr="003D1E07">
        <w:t xml:space="preserve"> </w:t>
      </w:r>
      <w:r w:rsidR="00D57516" w:rsidRPr="003D1E07">
        <w:t xml:space="preserve">od </w:t>
      </w:r>
      <w:r w:rsidR="08C53E06" w:rsidRPr="003D1E07">
        <w:t xml:space="preserve">bohem myšleného </w:t>
      </w:r>
      <w:r w:rsidR="00D57516" w:rsidRPr="003D1E07">
        <w:t>objektivního jsoucna</w:t>
      </w:r>
      <w:r w:rsidR="08C53E06" w:rsidRPr="003D1E07">
        <w:t xml:space="preserve"> daného v modu pouhého potenciálního akcidentu</w:t>
      </w:r>
      <w:r w:rsidR="08063FD4" w:rsidRPr="003D1E07">
        <w:t xml:space="preserve"> </w:t>
      </w:r>
      <w:r w:rsidR="00B829D6">
        <w:t xml:space="preserve">na úrovni čisté intencionality </w:t>
      </w:r>
      <w:r w:rsidR="08063FD4" w:rsidRPr="003D1E07">
        <w:t>(</w:t>
      </w:r>
      <w:r w:rsidR="08063FD4" w:rsidRPr="003D1E07">
        <w:rPr>
          <w:i/>
        </w:rPr>
        <w:t>esse ad</w:t>
      </w:r>
      <w:r w:rsidR="08063FD4" w:rsidRPr="003D1E07">
        <w:t>)</w:t>
      </w:r>
      <w:r w:rsidR="007D4B5F" w:rsidRPr="003D1E07">
        <w:t xml:space="preserve">. </w:t>
      </w:r>
      <w:r w:rsidR="00163A55" w:rsidRPr="003D1E07">
        <w:t>Hypostatické stvořitelské</w:t>
      </w:r>
      <w:r w:rsidR="007D4B5F" w:rsidRPr="003D1E07">
        <w:t xml:space="preserve"> myšlení </w:t>
      </w:r>
      <w:r w:rsidR="00163A55" w:rsidRPr="003D1E07">
        <w:t>dané</w:t>
      </w:r>
      <w:r w:rsidR="007D4B5F" w:rsidRPr="003D1E07">
        <w:t xml:space="preserve"> v modu </w:t>
      </w:r>
      <w:r w:rsidR="007D4B5F" w:rsidRPr="003D1E07">
        <w:rPr>
          <w:i/>
        </w:rPr>
        <w:t>per prius</w:t>
      </w:r>
      <w:r w:rsidR="007D4B5F" w:rsidRPr="003D1E07">
        <w:t xml:space="preserve"> vytváří v modu </w:t>
      </w:r>
      <w:r w:rsidR="007D4B5F" w:rsidRPr="003D1E07">
        <w:rPr>
          <w:i/>
        </w:rPr>
        <w:t>per posterius</w:t>
      </w:r>
      <w:r w:rsidR="007D4B5F" w:rsidRPr="003D1E07">
        <w:t xml:space="preserve"> </w:t>
      </w:r>
      <w:r w:rsidR="00FC0C4B">
        <w:t xml:space="preserve">zásvětí </w:t>
      </w:r>
      <w:r w:rsidR="081309E4" w:rsidRPr="003D1E07">
        <w:t xml:space="preserve">objektivně intendovaných </w:t>
      </w:r>
      <w:r w:rsidR="007D4B5F" w:rsidRPr="003D1E07">
        <w:t xml:space="preserve">jsoucen </w:t>
      </w:r>
      <w:r w:rsidR="00A54CEB">
        <w:t xml:space="preserve">plně </w:t>
      </w:r>
      <w:r w:rsidR="007D4B5F" w:rsidRPr="003D1E07">
        <w:t>závislých na prvním aktu myšlení</w:t>
      </w:r>
      <w:r w:rsidR="00E36D6A">
        <w:t>,</w:t>
      </w:r>
      <w:r w:rsidR="00A54CEB">
        <w:t xml:space="preserve"> a přitom se od </w:t>
      </w:r>
      <w:r w:rsidR="00E36D6A">
        <w:t>sebe navzájem odlišují</w:t>
      </w:r>
      <w:r w:rsidR="007D4B5F" w:rsidRPr="003D1E07">
        <w:t xml:space="preserve">. </w:t>
      </w:r>
      <w:r w:rsidR="00E36D6A">
        <w:t xml:space="preserve">Tím je splněna základní definice individua v </w:t>
      </w:r>
      <w:r w:rsidR="00E36D6A" w:rsidRPr="00E36D6A">
        <w:rPr>
          <w:i/>
        </w:rPr>
        <w:t>Isagogé</w:t>
      </w:r>
      <w:r w:rsidR="00E36D6A">
        <w:t xml:space="preserve">, kde je diferenciace provedena na úrovni nadřazeného species (zde boží mysl) a pak se už individua odlišují jen od sebe navzájem </w:t>
      </w:r>
      <w:r w:rsidR="00E36D6A" w:rsidRPr="003D1E07">
        <w:t>(</w:t>
      </w:r>
      <w:r w:rsidR="00E36D6A" w:rsidRPr="003D1E07">
        <w:rPr>
          <w:i/>
        </w:rPr>
        <w:t xml:space="preserve">aliis, </w:t>
      </w:r>
      <w:r w:rsidR="00E36D6A" w:rsidRPr="003D1E07">
        <w:t>ἐν ἄλλοις</w:t>
      </w:r>
      <w:r w:rsidR="00E36D6A">
        <w:t>, kap. 1.3</w:t>
      </w:r>
      <w:r w:rsidR="00E36D6A" w:rsidRPr="003D1E07">
        <w:t>)</w:t>
      </w:r>
      <w:r w:rsidR="00E36D6A">
        <w:t xml:space="preserve">. </w:t>
      </w:r>
      <w:r w:rsidR="00C24091">
        <w:t>V</w:t>
      </w:r>
      <w:r w:rsidR="00E36D6A">
        <w:t xml:space="preserve">znikla nová definice ontoteologicky neutrální nedělitelné substance </w:t>
      </w:r>
      <w:r w:rsidR="00E36D6A" w:rsidRPr="003D1E07">
        <w:t>(ἄτομος οὐσία</w:t>
      </w:r>
      <w:r w:rsidR="00E36D6A" w:rsidRPr="003D1E07">
        <w:fldChar w:fldCharType="begin"/>
      </w:r>
      <w:r w:rsidR="00E36D6A" w:rsidRPr="003D1E07">
        <w:instrText xml:space="preserve"> XE "substance:atomární" </w:instrText>
      </w:r>
      <w:r w:rsidR="00E36D6A" w:rsidRPr="003D1E07">
        <w:fldChar w:fldCharType="end"/>
      </w:r>
      <w:r w:rsidR="00E36D6A" w:rsidRPr="003D1E07">
        <w:t xml:space="preserve">, </w:t>
      </w:r>
      <w:r w:rsidR="00E36D6A" w:rsidRPr="003D1E07">
        <w:rPr>
          <w:i/>
        </w:rPr>
        <w:t>individuum</w:t>
      </w:r>
      <w:r w:rsidR="00E36D6A" w:rsidRPr="003D1E07">
        <w:fldChar w:fldCharType="begin"/>
      </w:r>
      <w:r w:rsidR="00E36D6A" w:rsidRPr="003D1E07">
        <w:instrText xml:space="preserve"> XE "substance:individuum" </w:instrText>
      </w:r>
      <w:r w:rsidR="00E36D6A" w:rsidRPr="003D1E07">
        <w:fldChar w:fldCharType="end"/>
      </w:r>
      <w:r w:rsidR="00615325">
        <w:t>), která je daná</w:t>
      </w:r>
      <w:r w:rsidR="00E36D6A" w:rsidRPr="003D1E07">
        <w:t xml:space="preserve"> </w:t>
      </w:r>
      <w:r w:rsidR="00E36D6A">
        <w:t xml:space="preserve">posledním dělením univerzálního, moderním bohem intendovaného </w:t>
      </w:r>
      <w:r w:rsidR="00E36D6A" w:rsidRPr="003D1E07">
        <w:t xml:space="preserve">významu. </w:t>
      </w:r>
      <w:r w:rsidR="00392682" w:rsidRPr="003D1E07">
        <w:t xml:space="preserve">Avicenna </w:t>
      </w:r>
      <w:r w:rsidR="004840A9" w:rsidRPr="003D1E07">
        <w:t xml:space="preserve">využil strukturu boží sebereflexe u Ibn Ádího a definoval </w:t>
      </w:r>
      <w:r w:rsidR="004B726F" w:rsidRPr="003D1E07">
        <w:t xml:space="preserve">moderního </w:t>
      </w:r>
      <w:r w:rsidR="004840A9" w:rsidRPr="003D1E07">
        <w:t>boh</w:t>
      </w:r>
      <w:r w:rsidR="00C77071">
        <w:t>a jako produktivního d</w:t>
      </w:r>
      <w:r w:rsidR="004840A9" w:rsidRPr="003D1E07">
        <w:t>árce forem (</w:t>
      </w:r>
      <w:r w:rsidR="004319BF" w:rsidRPr="004319BF">
        <w:rPr>
          <w:i/>
        </w:rPr>
        <w:t>Dator formarum</w:t>
      </w:r>
      <w:r w:rsidR="004840A9" w:rsidRPr="003D1E07">
        <w:t>)</w:t>
      </w:r>
      <w:r w:rsidR="00392682" w:rsidRPr="003D1E07">
        <w:t xml:space="preserve">, které jsou </w:t>
      </w:r>
      <w:r w:rsidR="088F4B7C" w:rsidRPr="003D1E07">
        <w:t>odlišn</w:t>
      </w:r>
      <w:r w:rsidR="00392682" w:rsidRPr="003D1E07">
        <w:t xml:space="preserve">é </w:t>
      </w:r>
      <w:r w:rsidR="088F4B7C" w:rsidRPr="003D1E07">
        <w:t>od jeho bytí</w:t>
      </w:r>
      <w:r w:rsidR="004840A9" w:rsidRPr="003D1E07">
        <w:t xml:space="preserve">. </w:t>
      </w:r>
      <w:r w:rsidR="00BB1294" w:rsidRPr="003D1E07">
        <w:t>P</w:t>
      </w:r>
      <w:r w:rsidR="004840A9" w:rsidRPr="003D1E07">
        <w:t xml:space="preserve">redikace </w:t>
      </w:r>
      <w:r w:rsidR="00F8608E">
        <w:t xml:space="preserve">čistě potenciálních intencí </w:t>
      </w:r>
      <w:r w:rsidR="004840A9" w:rsidRPr="003D1E07">
        <w:t xml:space="preserve">uvnitř božího intelektu </w:t>
      </w:r>
      <w:r w:rsidR="00BB1294" w:rsidRPr="003D1E07">
        <w:t>založila</w:t>
      </w:r>
      <w:r w:rsidR="00F8608E">
        <w:t xml:space="preserve"> na konci 10</w:t>
      </w:r>
      <w:r w:rsidR="004840A9" w:rsidRPr="003D1E07">
        <w:t xml:space="preserve">. století </w:t>
      </w:r>
      <w:r w:rsidR="00BB1294" w:rsidRPr="003D1E07">
        <w:t xml:space="preserve">mytopoetickou </w:t>
      </w:r>
      <w:r w:rsidR="004840A9" w:rsidRPr="003D1E07">
        <w:t>sféru lidského i božího myšlení</w:t>
      </w:r>
      <w:r w:rsidR="085C365E" w:rsidRPr="003D1E07">
        <w:t xml:space="preserve"> v modu </w:t>
      </w:r>
      <w:r w:rsidR="004840A9" w:rsidRPr="003D1E07">
        <w:rPr>
          <w:i/>
        </w:rPr>
        <w:t>esse ad</w:t>
      </w:r>
      <w:r w:rsidR="006A4D8E" w:rsidRPr="003D1E07">
        <w:t xml:space="preserve">. Oba druhy myšlení jsou analogické a </w:t>
      </w:r>
      <w:r w:rsidR="004840A9" w:rsidRPr="003D1E07">
        <w:t xml:space="preserve">liší </w:t>
      </w:r>
      <w:r w:rsidR="006A4D8E" w:rsidRPr="003D1E07">
        <w:t xml:space="preserve">se </w:t>
      </w:r>
      <w:r w:rsidR="004840A9" w:rsidRPr="003D1E07">
        <w:t>pouze aktualitou a potencialitou, nekonečností a konečností. Tento náhled do boží podstaty sehraje klíčovou roli při vzniku západní formy objektivity u Dunse Scota</w:t>
      </w:r>
      <w:r w:rsidR="004840A9" w:rsidRPr="003D1E07">
        <w:rPr>
          <w:i/>
        </w:rPr>
        <w:t>.</w:t>
      </w:r>
      <w:r w:rsidR="004840A9" w:rsidRPr="003D1E07">
        <w:t xml:space="preserve"> Myslitelé druhého averroismu po 1280 </w:t>
      </w:r>
      <w:r w:rsidR="006C332B" w:rsidRPr="003D1E07">
        <w:t xml:space="preserve">prováděli </w:t>
      </w:r>
      <w:r w:rsidR="004840A9" w:rsidRPr="003D1E07">
        <w:t>transcendentální pr</w:t>
      </w:r>
      <w:r w:rsidR="006C332B" w:rsidRPr="003D1E07">
        <w:t>edikaci</w:t>
      </w:r>
      <w:r w:rsidR="004840A9" w:rsidRPr="003D1E07">
        <w:t xml:space="preserve"> jsoucna na úrovni boží reflexe (</w:t>
      </w:r>
      <w:r w:rsidR="004840A9" w:rsidRPr="003D1E07">
        <w:rPr>
          <w:i/>
        </w:rPr>
        <w:t>ens diminutum</w:t>
      </w:r>
      <w:r w:rsidR="004840A9" w:rsidRPr="003D1E07">
        <w:rPr>
          <w:i/>
        </w:rPr>
        <w:fldChar w:fldCharType="begin"/>
      </w:r>
      <w:r w:rsidR="004840A9" w:rsidRPr="003D1E07">
        <w:instrText xml:space="preserve"> XE "</w:instrText>
      </w:r>
      <w:r w:rsidR="004840A9" w:rsidRPr="003D1E07">
        <w:rPr>
          <w:i/>
        </w:rPr>
        <w:instrText>ens diminutum</w:instrText>
      </w:r>
      <w:r w:rsidR="004840A9" w:rsidRPr="003D1E07">
        <w:instrText xml:space="preserve">" </w:instrText>
      </w:r>
      <w:r w:rsidR="004840A9" w:rsidRPr="003D1E07">
        <w:rPr>
          <w:i/>
        </w:rPr>
        <w:fldChar w:fldCharType="end"/>
      </w:r>
      <w:r w:rsidR="004840A9" w:rsidRPr="003D1E07">
        <w:t xml:space="preserve">), </w:t>
      </w:r>
      <w:r w:rsidR="00E71331">
        <w:t xml:space="preserve">ale </w:t>
      </w:r>
      <w:r w:rsidR="00A86493">
        <w:t>nevěděli, že Ibn Ádí</w:t>
      </w:r>
      <w:r w:rsidR="00052EEF">
        <w:t xml:space="preserve"> je původním autorem </w:t>
      </w:r>
      <w:r w:rsidR="005242DC">
        <w:t xml:space="preserve">tohoto náhledu na smysl </w:t>
      </w:r>
      <w:r w:rsidR="00BB40F2">
        <w:t>jsoucna</w:t>
      </w:r>
      <w:r w:rsidR="004840A9" w:rsidRPr="003D1E07">
        <w:t xml:space="preserve">. Jejich inspirací </w:t>
      </w:r>
      <w:r w:rsidR="00A86493">
        <w:t xml:space="preserve">jsou </w:t>
      </w:r>
      <w:r w:rsidR="004840A9" w:rsidRPr="003D1E07">
        <w:t xml:space="preserve">Avicennovy komentáře k </w:t>
      </w:r>
      <w:r w:rsidR="004840A9" w:rsidRPr="003D1E07">
        <w:rPr>
          <w:i/>
        </w:rPr>
        <w:t>Metafyzice</w:t>
      </w:r>
      <w:r w:rsidR="004840A9" w:rsidRPr="003D1E07">
        <w:t xml:space="preserve"> a jeho komentář k </w:t>
      </w:r>
      <w:r w:rsidR="004840A9" w:rsidRPr="003D1E07">
        <w:rPr>
          <w:i/>
        </w:rPr>
        <w:t>De anima</w:t>
      </w:r>
      <w:r w:rsidR="004840A9" w:rsidRPr="003D1E07">
        <w:t>.</w:t>
      </w:r>
      <w:r w:rsidR="089602A5" w:rsidRPr="003D1E07">
        <w:t xml:space="preserve"> </w:t>
      </w:r>
      <w:r w:rsidR="00F129F7" w:rsidRPr="003D1E07">
        <w:t>Ibn Á</w:t>
      </w:r>
      <w:r w:rsidR="003B73A1" w:rsidRPr="003D1E07">
        <w:t xml:space="preserve">dí trvá na </w:t>
      </w:r>
      <w:r w:rsidR="008278AA" w:rsidRPr="003D1E07">
        <w:t>zásadní</w:t>
      </w:r>
      <w:r w:rsidR="003B73A1" w:rsidRPr="003D1E07">
        <w:t>m</w:t>
      </w:r>
      <w:r w:rsidR="008278AA" w:rsidRPr="003D1E07">
        <w:t xml:space="preserve"> r</w:t>
      </w:r>
      <w:r w:rsidR="001E4B62" w:rsidRPr="003D1E07">
        <w:t>ozdíl</w:t>
      </w:r>
      <w:r w:rsidR="003B73A1" w:rsidRPr="003D1E07">
        <w:t>u</w:t>
      </w:r>
      <w:r w:rsidR="001E4B62" w:rsidRPr="003D1E07">
        <w:t xml:space="preserve"> m</w:t>
      </w:r>
      <w:r w:rsidR="00636C47" w:rsidRPr="003D1E07">
        <w:t xml:space="preserve">ezi božským a lidským </w:t>
      </w:r>
      <w:r w:rsidR="007E7E05" w:rsidRPr="003D1E07">
        <w:t>intelektem</w:t>
      </w:r>
      <w:r w:rsidR="00315FD7" w:rsidRPr="003D1E07">
        <w:t>. A</w:t>
      </w:r>
      <w:r w:rsidR="00414FE7" w:rsidRPr="003D1E07">
        <w:t>le nepopírá a</w:t>
      </w:r>
      <w:r w:rsidR="001E4B62" w:rsidRPr="003D1E07">
        <w:t>nalogii</w:t>
      </w:r>
      <w:r w:rsidR="00CF2BE3" w:rsidRPr="003D1E07">
        <w:t xml:space="preserve"> obou intelektů</w:t>
      </w:r>
      <w:r w:rsidR="00414FE7" w:rsidRPr="003D1E07">
        <w:t>, která stojí na formálně stejných operacích</w:t>
      </w:r>
      <w:r w:rsidR="00636C47" w:rsidRPr="003D1E07">
        <w:t xml:space="preserve">. </w:t>
      </w:r>
      <w:r w:rsidR="001D66CD" w:rsidRPr="003D1E07">
        <w:t>Jeho n</w:t>
      </w:r>
      <w:r w:rsidR="089602A5" w:rsidRPr="003D1E07">
        <w:t xml:space="preserve">auka o poznání zůstává v Alfarabiově ambivalentním schématu vzestupných a sestupných kosmických inteligencí a forem recipovaných skrze </w:t>
      </w:r>
      <w:r w:rsidR="089602A5" w:rsidRPr="003D1E07">
        <w:rPr>
          <w:i/>
        </w:rPr>
        <w:t>intellectus adeptus</w:t>
      </w:r>
      <w:r w:rsidR="089602A5" w:rsidRPr="003D1E07">
        <w:t xml:space="preserve">. </w:t>
      </w:r>
      <w:r w:rsidR="006B417F" w:rsidRPr="003D1E07">
        <w:t>Tento křesťanský f</w:t>
      </w:r>
      <w:r w:rsidR="001E4B62" w:rsidRPr="003D1E07">
        <w:t xml:space="preserve">ilosof </w:t>
      </w:r>
      <w:r w:rsidR="00636C47" w:rsidRPr="003D1E07">
        <w:t xml:space="preserve">navazuje v tomto bodě na mystickou tradici </w:t>
      </w:r>
      <w:r w:rsidR="00FC79C7" w:rsidRPr="003D1E07">
        <w:t>neo</w:t>
      </w:r>
      <w:r w:rsidR="00FA0AE4" w:rsidRPr="003D1E07">
        <w:t>p</w:t>
      </w:r>
      <w:r w:rsidR="00700F41" w:rsidRPr="003D1E07">
        <w:t>lato</w:t>
      </w:r>
      <w:r w:rsidR="00347191" w:rsidRPr="003D1E07">
        <w:t>n</w:t>
      </w:r>
      <w:r w:rsidR="00FC79C7" w:rsidRPr="003D1E07">
        <w:t xml:space="preserve">ismu </w:t>
      </w:r>
      <w:r w:rsidR="00542E0A" w:rsidRPr="003D1E07">
        <w:t xml:space="preserve">vyznávající </w:t>
      </w:r>
      <w:r w:rsidR="00FC79C7" w:rsidRPr="003D1E07">
        <w:t xml:space="preserve">spojení </w:t>
      </w:r>
      <w:r w:rsidR="00542E0A" w:rsidRPr="003D1E07">
        <w:t xml:space="preserve">aktivního intelektu </w:t>
      </w:r>
      <w:r w:rsidR="00FC79C7" w:rsidRPr="003D1E07">
        <w:t>s božským</w:t>
      </w:r>
      <w:r w:rsidR="00542E0A" w:rsidRPr="003D1E07">
        <w:t xml:space="preserve"> světem intelektuálních forem</w:t>
      </w:r>
      <w:r w:rsidR="00FC79C7" w:rsidRPr="003D1E07">
        <w:t xml:space="preserve"> (</w:t>
      </w:r>
      <w:r w:rsidR="007D21DF" w:rsidRPr="003D1E07">
        <w:rPr>
          <w:i/>
        </w:rPr>
        <w:t>ittiṣ</w:t>
      </w:r>
      <w:r w:rsidR="00FC79C7" w:rsidRPr="003D1E07">
        <w:rPr>
          <w:i/>
        </w:rPr>
        <w:t>āl</w:t>
      </w:r>
      <w:r w:rsidR="00DD4EDB" w:rsidRPr="003D1E07">
        <w:rPr>
          <w:i/>
        </w:rPr>
        <w:fldChar w:fldCharType="begin"/>
      </w:r>
      <w:r w:rsidR="00DD4EDB" w:rsidRPr="003D1E07">
        <w:instrText xml:space="preserve"> XE "</w:instrText>
      </w:r>
      <w:r w:rsidR="00DD4EDB" w:rsidRPr="003D1E07">
        <w:rPr>
          <w:i/>
        </w:rPr>
        <w:instrText>ittiṣāl</w:instrText>
      </w:r>
      <w:r w:rsidR="00DD4EDB" w:rsidRPr="003D1E07">
        <w:instrText xml:space="preserve">" </w:instrText>
      </w:r>
      <w:r w:rsidR="00DD4EDB" w:rsidRPr="003D1E07">
        <w:rPr>
          <w:i/>
        </w:rPr>
        <w:fldChar w:fldCharType="end"/>
      </w:r>
      <w:r w:rsidR="00BC33BD" w:rsidRPr="003D1E07">
        <w:rPr>
          <w:i/>
        </w:rPr>
        <w:t xml:space="preserve">, </w:t>
      </w:r>
      <w:r w:rsidR="007D21DF" w:rsidRPr="003D1E07">
        <w:rPr>
          <w:i/>
        </w:rPr>
        <w:t>ittiḥ</w:t>
      </w:r>
      <w:r w:rsidR="00BC33BD" w:rsidRPr="003D1E07">
        <w:rPr>
          <w:i/>
        </w:rPr>
        <w:t>ād</w:t>
      </w:r>
      <w:r w:rsidR="00FC79C7" w:rsidRPr="003D1E07">
        <w:t>), k</w:t>
      </w:r>
      <w:r w:rsidR="00E00A96" w:rsidRPr="003D1E07">
        <w:t>terou potvrdil jeho učitel Al-Fá</w:t>
      </w:r>
      <w:r w:rsidR="00FC79C7" w:rsidRPr="003D1E07">
        <w:t xml:space="preserve">rábí v citovaném pojednání </w:t>
      </w:r>
      <w:r w:rsidR="00FC79C7" w:rsidRPr="003D1E07">
        <w:rPr>
          <w:i/>
        </w:rPr>
        <w:t>De intellectu et intellecto</w:t>
      </w:r>
      <w:r w:rsidR="00E72795" w:rsidRPr="003D1E07">
        <w:rPr>
          <w:i/>
        </w:rPr>
        <w:t xml:space="preserve"> </w:t>
      </w:r>
      <w:r w:rsidR="00E72795" w:rsidRPr="003D1E07">
        <w:t>(kap. 2.1</w:t>
      </w:r>
      <w:r w:rsidR="089602A5" w:rsidRPr="003D1E07">
        <w:t>.2</w:t>
      </w:r>
      <w:r w:rsidR="00E72795" w:rsidRPr="003D1E07">
        <w:t>).</w:t>
      </w:r>
      <w:r w:rsidR="00DA0AE7" w:rsidRPr="003D1E07">
        <w:t xml:space="preserve"> </w:t>
      </w:r>
      <w:r w:rsidR="00817588" w:rsidRPr="003D1E07">
        <w:t xml:space="preserve">Aktualizovaný a osvícený lidský intelekt může dosáhnout boží esence, </w:t>
      </w:r>
      <w:r w:rsidR="00847004" w:rsidRPr="003D1E07">
        <w:t>protože má stejnou</w:t>
      </w:r>
      <w:r w:rsidR="00A13B39" w:rsidRPr="003D1E07">
        <w:t xml:space="preserve"> strukturu</w:t>
      </w:r>
      <w:r w:rsidR="00817588" w:rsidRPr="003D1E07">
        <w:t xml:space="preserve"> </w:t>
      </w:r>
      <w:r w:rsidR="00847004" w:rsidRPr="003D1E07">
        <w:t xml:space="preserve">myšlení jako </w:t>
      </w:r>
      <w:r w:rsidR="08015154" w:rsidRPr="003D1E07">
        <w:t>B</w:t>
      </w:r>
      <w:r w:rsidR="0026144A" w:rsidRPr="003D1E07">
        <w:t>oží Trojice</w:t>
      </w:r>
      <w:r w:rsidR="08015154" w:rsidRPr="003D1E07">
        <w:rPr>
          <w:lang w:eastAsia="en-US"/>
        </w:rPr>
        <w:fldChar w:fldCharType="begin"/>
      </w:r>
      <w:r w:rsidR="08015154" w:rsidRPr="003D1E07">
        <w:instrText xml:space="preserve"> XE "</w:instrText>
      </w:r>
      <w:r w:rsidR="08015154" w:rsidRPr="003D1E07">
        <w:rPr>
          <w:lang w:eastAsia="en-US"/>
        </w:rPr>
        <w:instrText>Boží Trojice</w:instrText>
      </w:r>
      <w:r w:rsidR="08015154" w:rsidRPr="003D1E07">
        <w:instrText xml:space="preserve">" </w:instrText>
      </w:r>
      <w:r w:rsidR="08015154" w:rsidRPr="003D1E07">
        <w:rPr>
          <w:lang w:eastAsia="en-US"/>
        </w:rPr>
        <w:fldChar w:fldCharType="end"/>
      </w:r>
      <w:r w:rsidR="00166E8D" w:rsidRPr="003D1E07">
        <w:t>.</w:t>
      </w:r>
      <w:r w:rsidR="00317FE1" w:rsidRPr="003D1E07">
        <w:rPr>
          <w:rStyle w:val="Znakapoznpodarou"/>
        </w:rPr>
        <w:footnoteReference w:id="125"/>
      </w:r>
      <w:r w:rsidR="00317FE1" w:rsidRPr="003D1E07">
        <w:t xml:space="preserve"> </w:t>
      </w:r>
      <w:r w:rsidR="00532E8E" w:rsidRPr="003D1E07">
        <w:t xml:space="preserve">Díky identické </w:t>
      </w:r>
      <w:r w:rsidR="00532E8E" w:rsidRPr="003D1E07">
        <w:lastRenderedPageBreak/>
        <w:t>struktuře úkonu p</w:t>
      </w:r>
      <w:r w:rsidR="00BA3649" w:rsidRPr="003D1E07">
        <w:t xml:space="preserve">oznání platí, že </w:t>
      </w:r>
      <w:r w:rsidR="00532E8E" w:rsidRPr="003D1E07">
        <w:t xml:space="preserve">tento náhled </w:t>
      </w:r>
      <w:r w:rsidR="00E63753" w:rsidRPr="003D1E07">
        <w:t xml:space="preserve">filosoficky doplňuje </w:t>
      </w:r>
      <w:r w:rsidR="00532E8E" w:rsidRPr="003D1E07">
        <w:t xml:space="preserve">vlité </w:t>
      </w:r>
      <w:r w:rsidR="002E54A1" w:rsidRPr="003D1E07">
        <w:t xml:space="preserve">teologické </w:t>
      </w:r>
      <w:r w:rsidR="00532E8E" w:rsidRPr="003D1E07">
        <w:t xml:space="preserve">nazírání dané </w:t>
      </w:r>
      <w:r w:rsidR="002E54A1" w:rsidRPr="003D1E07">
        <w:t xml:space="preserve">prorokům přímo </w:t>
      </w:r>
      <w:r w:rsidR="00532E8E" w:rsidRPr="003D1E07">
        <w:t xml:space="preserve">od </w:t>
      </w:r>
      <w:r w:rsidR="00C0384C" w:rsidRPr="003D1E07">
        <w:t>Stvořitele</w:t>
      </w:r>
      <w:r w:rsidR="00532E8E" w:rsidRPr="003D1E07">
        <w:t xml:space="preserve">. </w:t>
      </w:r>
      <w:r w:rsidR="00863387" w:rsidRPr="003D1E07">
        <w:t>Ibn Á</w:t>
      </w:r>
      <w:r w:rsidR="008446B3" w:rsidRPr="003D1E07">
        <w:t xml:space="preserve">dí chápe podobnost stvořeného a nestvořeného intelektu v tom, že oba </w:t>
      </w:r>
      <w:r w:rsidR="00AD0579" w:rsidRPr="003D1E07">
        <w:t xml:space="preserve">intelekty </w:t>
      </w:r>
      <w:r w:rsidR="008446B3" w:rsidRPr="003D1E07">
        <w:t xml:space="preserve">mají formálně stejnou strukturu trinitárně pojaté reflexe. </w:t>
      </w:r>
      <w:r w:rsidR="00024310" w:rsidRPr="003D1E07">
        <w:t>Předešlá analýza vztahů v boží Trojici ukázala</w:t>
      </w:r>
      <w:r w:rsidR="00631F3B" w:rsidRPr="003D1E07">
        <w:t xml:space="preserve"> hlavní rysy </w:t>
      </w:r>
      <w:r w:rsidR="00024310" w:rsidRPr="003D1E07">
        <w:t xml:space="preserve">transcendentální predikace </w:t>
      </w:r>
      <w:r w:rsidR="00024310" w:rsidRPr="003D1E07">
        <w:rPr>
          <w:i/>
        </w:rPr>
        <w:t>per prius</w:t>
      </w:r>
      <w:r w:rsidR="00631F3B" w:rsidRPr="003D1E07">
        <w:t>. Ta je založena</w:t>
      </w:r>
      <w:r w:rsidR="00024310" w:rsidRPr="003D1E07">
        <w:t xml:space="preserve"> na zdvojené </w:t>
      </w:r>
      <w:r w:rsidR="00D2535A" w:rsidRPr="003D1E07">
        <w:t>sebe</w:t>
      </w:r>
      <w:r w:rsidR="00024310" w:rsidRPr="003D1E07">
        <w:t xml:space="preserve">reflexi </w:t>
      </w:r>
      <w:r w:rsidR="00631F3B" w:rsidRPr="003D1E07">
        <w:t xml:space="preserve">a </w:t>
      </w:r>
      <w:r w:rsidR="00024310" w:rsidRPr="003D1E07">
        <w:t>vytváří neutrální ontologickou sféru bytí</w:t>
      </w:r>
      <w:r w:rsidR="00631F3B" w:rsidRPr="003D1E07">
        <w:t xml:space="preserve">. Nová forma diakosmu </w:t>
      </w:r>
      <w:r w:rsidR="00024310" w:rsidRPr="003D1E07">
        <w:t>umožňuje mimočasovou diferenciaci Božích osob na základě odlišných kognitivních a reflexivních úkon</w:t>
      </w:r>
      <w:r w:rsidR="0013663C">
        <w:t>ů intelektu.</w:t>
      </w:r>
    </w:p>
    <w:p w14:paraId="0F0969C6" w14:textId="709E9EB2" w:rsidR="00FD7E25" w:rsidRDefault="00311243" w:rsidP="00FD7E25">
      <w:pPr>
        <w:ind w:firstLine="397"/>
      </w:pPr>
      <w:r w:rsidRPr="003D1E07">
        <w:t>Formální podobnost</w:t>
      </w:r>
      <w:r w:rsidR="00024310" w:rsidRPr="003D1E07">
        <w:t xml:space="preserve"> lidského a božího intelektu </w:t>
      </w:r>
      <w:r w:rsidRPr="003D1E07">
        <w:t xml:space="preserve">potvrzuje </w:t>
      </w:r>
      <w:r w:rsidR="00024310" w:rsidRPr="003D1E07">
        <w:t>ontote</w:t>
      </w:r>
      <w:r w:rsidR="001C635C" w:rsidRPr="003D1E07">
        <w:t>o</w:t>
      </w:r>
      <w:r w:rsidR="00024310" w:rsidRPr="003D1E07">
        <w:t>lo</w:t>
      </w:r>
      <w:r w:rsidRPr="003D1E07">
        <w:t>gickou</w:t>
      </w:r>
      <w:r w:rsidR="001C635C" w:rsidRPr="003D1E07">
        <w:t xml:space="preserve"> konstru</w:t>
      </w:r>
      <w:r w:rsidR="007C634E" w:rsidRPr="003D1E07">
        <w:t>k</w:t>
      </w:r>
      <w:r w:rsidRPr="003D1E07">
        <w:t>ci</w:t>
      </w:r>
      <w:r w:rsidR="001C635C" w:rsidRPr="003D1E07">
        <w:t xml:space="preserve"> metafyziky</w:t>
      </w:r>
      <w:r w:rsidR="00E476E5" w:rsidRPr="003D1E07">
        <w:t xml:space="preserve">, kterou zahájil </w:t>
      </w:r>
      <w:r w:rsidR="0897727A" w:rsidRPr="003D1E07">
        <w:t xml:space="preserve"> Druhý mistr </w:t>
      </w:r>
      <w:r w:rsidR="00E476E5" w:rsidRPr="003D1E07">
        <w:t>(kap. 2.1.2)</w:t>
      </w:r>
      <w:r w:rsidR="00C60DC3" w:rsidRPr="003D1E07">
        <w:t xml:space="preserve">. </w:t>
      </w:r>
      <w:r w:rsidR="00EE3E3C" w:rsidRPr="003D1E07">
        <w:t>Lidský i</w:t>
      </w:r>
      <w:r w:rsidR="00C60DC3" w:rsidRPr="003D1E07">
        <w:t xml:space="preserve">ntelekt má </w:t>
      </w:r>
      <w:r w:rsidR="00EE3E3C" w:rsidRPr="003D1E07">
        <w:t xml:space="preserve">díky aktu osvícení </w:t>
      </w:r>
      <w:r w:rsidR="007C634E" w:rsidRPr="003D1E07">
        <w:t>schopno</w:t>
      </w:r>
      <w:r w:rsidR="00C60DC3" w:rsidRPr="003D1E07">
        <w:t>st</w:t>
      </w:r>
      <w:r w:rsidR="0873330A" w:rsidRPr="003D1E07">
        <w:t xml:space="preserve"> vidět</w:t>
      </w:r>
      <w:r w:rsidR="001C635C" w:rsidRPr="003D1E07">
        <w:t xml:space="preserve"> transcendentální vlastnosti jsoucna</w:t>
      </w:r>
      <w:r w:rsidR="00E972AB" w:rsidRPr="003D1E07">
        <w:t xml:space="preserve">, které jsou </w:t>
      </w:r>
      <w:r w:rsidR="001C635C" w:rsidRPr="003D1E07">
        <w:t>určitým způs</w:t>
      </w:r>
      <w:r w:rsidR="003C3A15" w:rsidRPr="003D1E07">
        <w:t xml:space="preserve">obem společné bohu i člověku. </w:t>
      </w:r>
      <w:r w:rsidR="00FE0E09" w:rsidRPr="003D1E07">
        <w:t xml:space="preserve">Tato linie náhledu je dána podle mystické vize z </w:t>
      </w:r>
      <w:r w:rsidR="002D519A" w:rsidRPr="003D1E07">
        <w:t xml:space="preserve">výše citované </w:t>
      </w:r>
      <w:r w:rsidR="00FE0E09" w:rsidRPr="003D1E07">
        <w:t xml:space="preserve">páté knihy </w:t>
      </w:r>
      <w:r w:rsidR="00FE0E09" w:rsidRPr="003D1E07">
        <w:rPr>
          <w:i/>
        </w:rPr>
        <w:t>Enneád</w:t>
      </w:r>
      <w:r w:rsidR="004030AE" w:rsidRPr="003D1E07">
        <w:t xml:space="preserve"> (συνορώμενον, </w:t>
      </w:r>
      <w:r w:rsidR="004030AE" w:rsidRPr="003D1E07">
        <w:rPr>
          <w:i/>
        </w:rPr>
        <w:t>Enn</w:t>
      </w:r>
      <w:r w:rsidR="004030AE" w:rsidRPr="003D1E07">
        <w:t>. 5.5.7.5</w:t>
      </w:r>
      <w:r w:rsidR="004030AE" w:rsidRPr="003D1E07">
        <w:fldChar w:fldCharType="begin"/>
      </w:r>
      <w:r w:rsidR="004030AE" w:rsidRPr="003D1E07">
        <w:instrText xml:space="preserve"> XE "</w:instrText>
      </w:r>
      <w:r w:rsidR="08F72573" w:rsidRPr="003D1E07">
        <w:instrText>Plotinos</w:instrText>
      </w:r>
      <w:r w:rsidR="004030AE" w:rsidRPr="003D1E07">
        <w:instrText>:</w:instrText>
      </w:r>
      <w:r w:rsidR="004030AE" w:rsidRPr="003D1E07">
        <w:rPr>
          <w:i/>
          <w:iCs/>
        </w:rPr>
        <w:instrText>Enn.</w:instrText>
      </w:r>
      <w:r w:rsidR="004030AE" w:rsidRPr="003D1E07">
        <w:rPr>
          <w:i/>
        </w:rPr>
        <w:instrText xml:space="preserve"> </w:instrText>
      </w:r>
      <w:r w:rsidR="004030AE" w:rsidRPr="003D1E07">
        <w:instrText xml:space="preserve">5.5.7.5" </w:instrText>
      </w:r>
      <w:r w:rsidR="004030AE" w:rsidRPr="003D1E07">
        <w:fldChar w:fldCharType="end"/>
      </w:r>
      <w:r w:rsidR="004030AE" w:rsidRPr="003D1E07">
        <w:t>)</w:t>
      </w:r>
      <w:r w:rsidR="00FE0E09" w:rsidRPr="003D1E07">
        <w:t xml:space="preserve">. </w:t>
      </w:r>
      <w:r w:rsidR="001273BE" w:rsidRPr="003D1E07">
        <w:t xml:space="preserve">Nový způsob vidění </w:t>
      </w:r>
      <w:r w:rsidR="001E0791" w:rsidRPr="003D1E07">
        <w:t xml:space="preserve">je </w:t>
      </w:r>
      <w:r w:rsidR="001273BE" w:rsidRPr="003D1E07">
        <w:t>napojený na trinitární henologii danou uvnitř božího aktu reflexe</w:t>
      </w:r>
      <w:r w:rsidR="001E0791" w:rsidRPr="003D1E07">
        <w:t>. Vidění o</w:t>
      </w:r>
      <w:r w:rsidR="001273BE" w:rsidRPr="003D1E07">
        <w:t>tevřel</w:t>
      </w:r>
      <w:r w:rsidR="001E0791" w:rsidRPr="003D1E07">
        <w:t>o</w:t>
      </w:r>
      <w:r w:rsidR="0026144A" w:rsidRPr="003D1E07">
        <w:t xml:space="preserve"> cestu k </w:t>
      </w:r>
      <w:r w:rsidR="00185049" w:rsidRPr="003D1E07">
        <w:t xml:space="preserve">analogické </w:t>
      </w:r>
      <w:r w:rsidR="00D646F2" w:rsidRPr="003D1E07">
        <w:t xml:space="preserve">jednotě </w:t>
      </w:r>
      <w:r w:rsidR="002C6DA0" w:rsidRPr="003D1E07">
        <w:t>jsoucna</w:t>
      </w:r>
      <w:r w:rsidR="00F474B3" w:rsidRPr="003D1E07">
        <w:t>, protože založil</w:t>
      </w:r>
      <w:r w:rsidR="001E0791" w:rsidRPr="003D1E07">
        <w:t>o</w:t>
      </w:r>
      <w:r w:rsidR="00F474B3" w:rsidRPr="003D1E07">
        <w:t xml:space="preserve"> </w:t>
      </w:r>
      <w:r w:rsidR="00687217" w:rsidRPr="003D1E07">
        <w:t>společnou</w:t>
      </w:r>
      <w:r w:rsidR="00185049" w:rsidRPr="003D1E07">
        <w:t xml:space="preserve"> </w:t>
      </w:r>
      <w:r w:rsidR="00F474B3" w:rsidRPr="003D1E07">
        <w:t>predikac</w:t>
      </w:r>
      <w:r w:rsidR="00687217" w:rsidRPr="003D1E07">
        <w:t xml:space="preserve">i </w:t>
      </w:r>
      <w:r w:rsidR="089558F4" w:rsidRPr="003D1E07">
        <w:t xml:space="preserve">jsoucna </w:t>
      </w:r>
      <w:r w:rsidR="00F474B3" w:rsidRPr="003D1E07">
        <w:t>pro boha a stvoření</w:t>
      </w:r>
      <w:r w:rsidR="089558F4" w:rsidRPr="003D1E07">
        <w:t xml:space="preserve"> v modu </w:t>
      </w:r>
      <w:r w:rsidR="089558F4" w:rsidRPr="003D1E07">
        <w:rPr>
          <w:i/>
        </w:rPr>
        <w:t>esse ad</w:t>
      </w:r>
      <w:r w:rsidR="00580D9A" w:rsidRPr="003D1E07">
        <w:fldChar w:fldCharType="begin"/>
      </w:r>
      <w:r w:rsidR="00580D9A" w:rsidRPr="003D1E07">
        <w:instrText xml:space="preserve"> XE "objektivita:Ibn-Ádí" </w:instrText>
      </w:r>
      <w:r w:rsidR="00580D9A" w:rsidRPr="003D1E07">
        <w:fldChar w:fldCharType="end"/>
      </w:r>
      <w:r w:rsidR="00F474B3" w:rsidRPr="003D1E07">
        <w:t xml:space="preserve">. </w:t>
      </w:r>
      <w:r w:rsidR="00B60D95" w:rsidRPr="003D1E07">
        <w:t xml:space="preserve">Křesťanský </w:t>
      </w:r>
      <w:r w:rsidR="00CA51A0" w:rsidRPr="003D1E07">
        <w:t>perský myslitel</w:t>
      </w:r>
      <w:r w:rsidR="009A5C36" w:rsidRPr="003D1E07">
        <w:t xml:space="preserve"> předsedající b</w:t>
      </w:r>
      <w:r w:rsidR="08B218B6" w:rsidRPr="003D1E07">
        <w:t xml:space="preserve">agdádské </w:t>
      </w:r>
      <w:r w:rsidR="005541F6" w:rsidRPr="003D1E07">
        <w:t xml:space="preserve">univerzitě </w:t>
      </w:r>
      <w:r w:rsidR="00B60D95" w:rsidRPr="003D1E07">
        <w:t>rozhodujícím způsobem přes</w:t>
      </w:r>
      <w:r w:rsidR="005F679B" w:rsidRPr="003D1E07">
        <w:t>u</w:t>
      </w:r>
      <w:r w:rsidR="00B60D95" w:rsidRPr="003D1E07">
        <w:t>nul n</w:t>
      </w:r>
      <w:r w:rsidR="00033554" w:rsidRPr="003D1E07">
        <w:t>eoplatonismus k nové formě objek</w:t>
      </w:r>
      <w:r w:rsidR="00B60D95" w:rsidRPr="003D1E07">
        <w:t>ti</w:t>
      </w:r>
      <w:r w:rsidR="00C64FEB" w:rsidRPr="003D1E07">
        <w:t>vní metafyziky</w:t>
      </w:r>
      <w:r w:rsidR="005F679B" w:rsidRPr="003D1E07">
        <w:t xml:space="preserve">. Ibn Ádí </w:t>
      </w:r>
      <w:r w:rsidR="00C64FEB" w:rsidRPr="003D1E07">
        <w:t>našel no</w:t>
      </w:r>
      <w:r w:rsidR="00B60D95" w:rsidRPr="003D1E07">
        <w:t xml:space="preserve">vou formu kategorální predikace božích vlastností daných přímo uvnitř sféry Jednoho. Monoteistický bůh zůstal </w:t>
      </w:r>
      <w:r w:rsidR="00C62321">
        <w:t xml:space="preserve">v původní substanční jednotě. Ale </w:t>
      </w:r>
      <w:r w:rsidR="00B60D95" w:rsidRPr="003D1E07">
        <w:t>uvnitř t</w:t>
      </w:r>
      <w:r w:rsidR="081935A6" w:rsidRPr="003D1E07">
        <w:t xml:space="preserve">éto jednoty vznikla nová forma </w:t>
      </w:r>
      <w:r w:rsidR="00C62321">
        <w:t>neutrálního bytí a zdvojené reflexe. Oba fenomény jsou dány s</w:t>
      </w:r>
      <w:r w:rsidR="00B60D95" w:rsidRPr="003D1E07">
        <w:t>krze trinitární strukturu božských osob a jejich vztahů</w:t>
      </w:r>
      <w:r w:rsidR="00C62321">
        <w:t xml:space="preserve">, generovanou </w:t>
      </w:r>
      <w:r w:rsidR="00861E36">
        <w:t xml:space="preserve">nejprve intencionálním a pak </w:t>
      </w:r>
      <w:r w:rsidR="00F36861" w:rsidRPr="003D1E07">
        <w:t xml:space="preserve">kreativním působením </w:t>
      </w:r>
      <w:r w:rsidR="08A3468B" w:rsidRPr="003D1E07">
        <w:t xml:space="preserve">boha </w:t>
      </w:r>
      <w:r w:rsidR="00131FE9">
        <w:t xml:space="preserve">směrem ke </w:t>
      </w:r>
      <w:r w:rsidR="00F36861" w:rsidRPr="003D1E07">
        <w:t>stvoření</w:t>
      </w:r>
      <w:r w:rsidR="00B60D95" w:rsidRPr="003D1E07">
        <w:t xml:space="preserve">. </w:t>
      </w:r>
      <w:r w:rsidR="0033528C">
        <w:t xml:space="preserve">Tato struktura se pak analogicky nachází i v samotném stvoření. </w:t>
      </w:r>
      <w:r w:rsidR="00661115" w:rsidRPr="003D1E07">
        <w:t xml:space="preserve">Predikace boha odděleného od </w:t>
      </w:r>
      <w:r w:rsidR="0033528C">
        <w:t xml:space="preserve">světa </w:t>
      </w:r>
      <w:r w:rsidR="00661115" w:rsidRPr="003D1E07">
        <w:t xml:space="preserve">vyhovuje </w:t>
      </w:r>
      <w:r w:rsidR="00A06782" w:rsidRPr="003D1E07">
        <w:t>nárokům strikt</w:t>
      </w:r>
      <w:r w:rsidR="00661115" w:rsidRPr="003D1E07">
        <w:t xml:space="preserve">ního monoteismu a zakládá </w:t>
      </w:r>
      <w:r w:rsidR="00A06782" w:rsidRPr="003D1E07">
        <w:t xml:space="preserve">nárok </w:t>
      </w:r>
      <w:r w:rsidR="00661115" w:rsidRPr="003D1E07">
        <w:rPr>
          <w:i/>
        </w:rPr>
        <w:t>creatio ex nihilo</w:t>
      </w:r>
      <w:r w:rsidR="0017414C" w:rsidRPr="003D1E07">
        <w:rPr>
          <w:i/>
        </w:rPr>
        <w:fldChar w:fldCharType="begin"/>
      </w:r>
      <w:r w:rsidR="0017414C" w:rsidRPr="003D1E07">
        <w:instrText xml:space="preserve"> XE "</w:instrText>
      </w:r>
      <w:r w:rsidR="0017414C" w:rsidRPr="003D1E07">
        <w:rPr>
          <w:i/>
        </w:rPr>
        <w:instrText>creatio ex nihilo</w:instrText>
      </w:r>
      <w:r w:rsidR="0017414C" w:rsidRPr="003D1E07">
        <w:instrText xml:space="preserve">" </w:instrText>
      </w:r>
      <w:r w:rsidR="0017414C" w:rsidRPr="003D1E07">
        <w:rPr>
          <w:i/>
        </w:rPr>
        <w:fldChar w:fldCharType="end"/>
      </w:r>
      <w:r w:rsidR="00661115" w:rsidRPr="003D1E07">
        <w:t xml:space="preserve"> </w:t>
      </w:r>
      <w:r w:rsidR="08AD12E6" w:rsidRPr="003D1E07">
        <w:t xml:space="preserve">postaveného </w:t>
      </w:r>
      <w:r w:rsidR="00661115" w:rsidRPr="003D1E07">
        <w:t>mimo neoplatonismu</w:t>
      </w:r>
      <w:r w:rsidR="00EA7AAB">
        <w:t>s</w:t>
      </w:r>
      <w:r w:rsidR="00661115" w:rsidRPr="003D1E07">
        <w:t xml:space="preserve">. </w:t>
      </w:r>
      <w:r w:rsidR="083434E7" w:rsidRPr="003D1E07">
        <w:t>Emanace je dána substanciálně výstupem hypostázovaných forem z Jednoho</w:t>
      </w:r>
      <w:r w:rsidR="08A3468B" w:rsidRPr="003D1E07">
        <w:t>, což je pro monoteismus nepřijatelné</w:t>
      </w:r>
      <w:r w:rsidR="083434E7" w:rsidRPr="003D1E07">
        <w:t>.</w:t>
      </w:r>
      <w:r w:rsidR="087D4C49" w:rsidRPr="003D1E07">
        <w:t xml:space="preserve"> Nov</w:t>
      </w:r>
      <w:r w:rsidR="083434E7" w:rsidRPr="003D1E07">
        <w:t xml:space="preserve">á predikace </w:t>
      </w:r>
      <w:r w:rsidR="087D4C49" w:rsidRPr="003D1E07">
        <w:t>objektivně definovaného s</w:t>
      </w:r>
      <w:r w:rsidR="083434E7" w:rsidRPr="003D1E07">
        <w:t xml:space="preserve">tvoření je dána </w:t>
      </w:r>
      <w:r w:rsidR="087D4C49" w:rsidRPr="003D1E07">
        <w:t xml:space="preserve">zásadním rozdílem mezi </w:t>
      </w:r>
      <w:r w:rsidR="083434E7" w:rsidRPr="003D1E07">
        <w:t>substancí Stvořitele a inte</w:t>
      </w:r>
      <w:r w:rsidR="087D4C49" w:rsidRPr="003D1E07">
        <w:t>n</w:t>
      </w:r>
      <w:r w:rsidR="083434E7" w:rsidRPr="003D1E07">
        <w:t>ci</w:t>
      </w:r>
      <w:r w:rsidR="087D4C49" w:rsidRPr="003D1E07">
        <w:t>onálními obsahy jeho stvoř</w:t>
      </w:r>
      <w:r w:rsidR="083434E7" w:rsidRPr="003D1E07">
        <w:t xml:space="preserve">itelského myšlení, které mají vůči boží substanci pouze </w:t>
      </w:r>
      <w:r w:rsidR="087D4C49" w:rsidRPr="003D1E07">
        <w:t>akcid</w:t>
      </w:r>
      <w:r w:rsidR="083434E7" w:rsidRPr="003D1E07">
        <w:t xml:space="preserve">entální charakter. Ibn Ádí plně využil aristotelské diference mezi </w:t>
      </w:r>
      <w:r w:rsidR="08837BC9" w:rsidRPr="003D1E07">
        <w:t xml:space="preserve">aktuálním bytím první substance dané </w:t>
      </w:r>
      <w:r w:rsidR="08837BC9" w:rsidRPr="003D1E07">
        <w:rPr>
          <w:i/>
        </w:rPr>
        <w:t>per se</w:t>
      </w:r>
      <w:r w:rsidR="08837BC9" w:rsidRPr="003D1E07">
        <w:t xml:space="preserve"> a mezi </w:t>
      </w:r>
      <w:r w:rsidR="083434E7" w:rsidRPr="003D1E07">
        <w:t xml:space="preserve">potenciální a případkovou predikací univerzálních významů daných na úrovni </w:t>
      </w:r>
      <w:r w:rsidR="00EB66FE">
        <w:t>intelektu</w:t>
      </w:r>
      <w:r w:rsidR="00E31478" w:rsidRPr="003D1E07">
        <w:t xml:space="preserve">. </w:t>
      </w:r>
      <w:r w:rsidR="00313D52">
        <w:t>Nová a</w:t>
      </w:r>
      <w:r w:rsidR="00E31478" w:rsidRPr="003D1E07">
        <w:t xml:space="preserve">tomární substance </w:t>
      </w:r>
      <w:r w:rsidR="083434E7" w:rsidRPr="003D1E07">
        <w:t xml:space="preserve">stojí na posledním místě v řádu bohem </w:t>
      </w:r>
      <w:r w:rsidR="083434E7" w:rsidRPr="003D1E07">
        <w:lastRenderedPageBreak/>
        <w:t xml:space="preserve">myšlené univerzality a hraničí s čistým nebytím. </w:t>
      </w:r>
      <w:r w:rsidR="00313D52">
        <w:t>T</w:t>
      </w:r>
      <w:r w:rsidR="00B60D95" w:rsidRPr="003D1E07">
        <w:t xml:space="preserve">rinitární struktura daná výkonem božského intelektu zakládá první objektivní určení  jsoucna, které tvoří mix </w:t>
      </w:r>
      <w:r w:rsidR="00874074" w:rsidRPr="003D1E07">
        <w:t>neoplatonsk</w:t>
      </w:r>
      <w:r w:rsidR="008B41FA" w:rsidRPr="003D1E07">
        <w:t xml:space="preserve">é a aristotelské predikace. </w:t>
      </w:r>
      <w:r w:rsidR="00A06782" w:rsidRPr="003D1E07">
        <w:t xml:space="preserve">Tuto formu objektivity pro latinský Západ objeví </w:t>
      </w:r>
      <w:r w:rsidR="006C1218" w:rsidRPr="003D1E07">
        <w:t xml:space="preserve">moderní scholastikové kolem 1280 </w:t>
      </w:r>
      <w:r w:rsidR="00DB5E83" w:rsidRPr="003D1E07">
        <w:t>a v avicennistické formě</w:t>
      </w:r>
      <w:r w:rsidR="001543E4" w:rsidRPr="003D1E07">
        <w:t xml:space="preserve"> </w:t>
      </w:r>
      <w:r w:rsidR="000677CD" w:rsidRPr="003D1E07">
        <w:t xml:space="preserve">skrze </w:t>
      </w:r>
      <w:r w:rsidR="009F766A">
        <w:t xml:space="preserve">uzavřenou </w:t>
      </w:r>
      <w:r w:rsidR="000677CD" w:rsidRPr="003D1E07">
        <w:rPr>
          <w:i/>
        </w:rPr>
        <w:t>via Modernorum</w:t>
      </w:r>
      <w:r w:rsidR="000677CD" w:rsidRPr="003D1E07">
        <w:t xml:space="preserve"> </w:t>
      </w:r>
      <w:r w:rsidR="009F766A">
        <w:t xml:space="preserve">ji převzalo nihilistické myšlení </w:t>
      </w:r>
      <w:r w:rsidR="002E6CE4">
        <w:t>současnosti</w:t>
      </w:r>
      <w:r w:rsidR="00A06782" w:rsidRPr="003D1E07">
        <w:t>.</w:t>
      </w:r>
      <w:r w:rsidR="00A36874" w:rsidRPr="003D1E07">
        <w:t xml:space="preserve"> Bagdádský Dům moudrosti (</w:t>
      </w:r>
      <w:r w:rsidR="00A36874" w:rsidRPr="003D1E07">
        <w:rPr>
          <w:i/>
        </w:rPr>
        <w:t>Bajt al-Hikma</w:t>
      </w:r>
      <w:r w:rsidR="00A36874" w:rsidRPr="003D1E07">
        <w:rPr>
          <w:i/>
        </w:rPr>
        <w:fldChar w:fldCharType="begin"/>
      </w:r>
      <w:r w:rsidR="00A36874" w:rsidRPr="003D1E07">
        <w:instrText xml:space="preserve"> XE "</w:instrText>
      </w:r>
      <w:r w:rsidR="00A36874" w:rsidRPr="003D1E07">
        <w:rPr>
          <w:i/>
        </w:rPr>
        <w:instrText>Bajt al-Hikma</w:instrText>
      </w:r>
      <w:r w:rsidR="00A36874" w:rsidRPr="003D1E07">
        <w:instrText xml:space="preserve">" </w:instrText>
      </w:r>
      <w:r w:rsidR="00A36874" w:rsidRPr="003D1E07">
        <w:rPr>
          <w:i/>
        </w:rPr>
        <w:fldChar w:fldCharType="end"/>
      </w:r>
      <w:r w:rsidR="00A36874" w:rsidRPr="003D1E07">
        <w:t xml:space="preserve">) založený </w:t>
      </w:r>
      <w:r w:rsidR="08175E30" w:rsidRPr="003D1E07">
        <w:t>za chalífa</w:t>
      </w:r>
      <w:r w:rsidR="005876C5" w:rsidRPr="003D1E07">
        <w:t xml:space="preserve"> </w:t>
      </w:r>
      <w:r w:rsidR="00A36874" w:rsidRPr="003D1E07">
        <w:rPr>
          <w:bCs/>
        </w:rPr>
        <w:t>Hárún</w:t>
      </w:r>
      <w:r w:rsidR="005876C5" w:rsidRPr="003D1E07">
        <w:rPr>
          <w:bCs/>
        </w:rPr>
        <w:t>a</w:t>
      </w:r>
      <w:r w:rsidR="00A36874" w:rsidRPr="003D1E07">
        <w:rPr>
          <w:bCs/>
        </w:rPr>
        <w:t xml:space="preserve"> ar-Rašíd</w:t>
      </w:r>
      <w:r w:rsidR="005876C5" w:rsidRPr="003D1E07">
        <w:rPr>
          <w:bCs/>
        </w:rPr>
        <w:t>a</w:t>
      </w:r>
      <w:r w:rsidR="00A36874" w:rsidRPr="003D1E07">
        <w:rPr>
          <w:bCs/>
        </w:rPr>
        <w:t xml:space="preserve"> z p</w:t>
      </w:r>
      <w:r w:rsidR="00A36874" w:rsidRPr="003D1E07">
        <w:t xml:space="preserve">erské dynastie Abbásovců se stal místem vzniku </w:t>
      </w:r>
      <w:r w:rsidR="00C4685C" w:rsidRPr="003D1E07">
        <w:t xml:space="preserve">západní </w:t>
      </w:r>
      <w:r w:rsidR="00A36874" w:rsidRPr="003D1E07">
        <w:t>objektivity</w:t>
      </w:r>
      <w:r w:rsidR="08B019E1" w:rsidRPr="003D1E07">
        <w:t xml:space="preserve"> </w:t>
      </w:r>
      <w:r w:rsidR="00061B0E" w:rsidRPr="003D1E07">
        <w:t>skrze ekumenu myšlení Al-Fá</w:t>
      </w:r>
      <w:r w:rsidR="00A36874" w:rsidRPr="003D1E07">
        <w:t>rábího a Ibn Ádího</w:t>
      </w:r>
      <w:r w:rsidR="00C4685C" w:rsidRPr="003D1E07">
        <w:t xml:space="preserve">, </w:t>
      </w:r>
      <w:r w:rsidR="006C03B5" w:rsidRPr="003D1E07">
        <w:t xml:space="preserve">jež </w:t>
      </w:r>
      <w:r w:rsidR="00C4685C" w:rsidRPr="003D1E07">
        <w:t>z</w:t>
      </w:r>
      <w:r w:rsidR="00061B0E" w:rsidRPr="003D1E07">
        <w:t xml:space="preserve">avrší </w:t>
      </w:r>
      <w:r w:rsidR="08631229" w:rsidRPr="003D1E07">
        <w:t xml:space="preserve">neoplatonik </w:t>
      </w:r>
      <w:r w:rsidR="00061B0E" w:rsidRPr="003D1E07">
        <w:t xml:space="preserve">Avicenna a odmítne </w:t>
      </w:r>
      <w:r w:rsidR="08631229" w:rsidRPr="003D1E07">
        <w:t xml:space="preserve">aristotelik </w:t>
      </w:r>
      <w:r w:rsidR="00061B0E" w:rsidRPr="003D1E07">
        <w:t>Averroe</w:t>
      </w:r>
      <w:r w:rsidR="00C4685C" w:rsidRPr="003D1E07">
        <w:t>s</w:t>
      </w:r>
      <w:r w:rsidR="00A36874" w:rsidRPr="003D1E07">
        <w:t>.</w:t>
      </w:r>
      <w:r w:rsidR="00FD7E25">
        <w:t xml:space="preserve"> </w:t>
      </w:r>
      <w:r w:rsidR="00FD7E25" w:rsidRPr="00FD7E25">
        <w:t xml:space="preserve">Avicennova filozofie hraje hlavní roli </w:t>
      </w:r>
      <w:r w:rsidR="00FD7E25">
        <w:t>v ontoteologické konstrukci jsoucna</w:t>
      </w:r>
      <w:r w:rsidR="0003155E">
        <w:t xml:space="preserve"> třetího druhu. Ibn Ádí</w:t>
      </w:r>
      <w:r w:rsidR="00FD7E25" w:rsidRPr="00FD7E25">
        <w:t xml:space="preserve"> </w:t>
      </w:r>
      <w:r w:rsidR="00FD7E25">
        <w:t xml:space="preserve">ubytoval </w:t>
      </w:r>
      <w:r w:rsidR="00FD7E25" w:rsidRPr="00FD7E25">
        <w:rPr>
          <w:i/>
        </w:rPr>
        <w:t>tertium ens</w:t>
      </w:r>
      <w:r w:rsidR="00FD7E25" w:rsidRPr="00FD7E25">
        <w:t xml:space="preserve"> do neutrální sféry božského bytí. Avicenna rozšířil ontoteologickou neutralitu </w:t>
      </w:r>
      <w:r w:rsidR="00FD7E25">
        <w:t>moderního b</w:t>
      </w:r>
      <w:r w:rsidR="00FD7E25" w:rsidRPr="00FD7E25">
        <w:t>oha tak, aby zahrnovala celou objektivní metafyziku.</w:t>
      </w:r>
    </w:p>
    <w:p w14:paraId="26587165" w14:textId="772B85AE" w:rsidR="0060293E" w:rsidRPr="003D1E07" w:rsidRDefault="08A678DB" w:rsidP="00D47207">
      <w:pPr>
        <w:pStyle w:val="Nadpis2"/>
      </w:pPr>
      <w:r w:rsidRPr="003D1E07">
        <w:br w:type="page"/>
      </w:r>
      <w:bookmarkStart w:id="45" w:name="_Toc93747278"/>
      <w:bookmarkStart w:id="46" w:name="_Toc102906168"/>
      <w:r w:rsidR="002306E2" w:rsidRPr="003D1E07">
        <w:lastRenderedPageBreak/>
        <w:t xml:space="preserve">2.3 </w:t>
      </w:r>
      <w:r w:rsidR="0065174E" w:rsidRPr="003D1E07">
        <w:t xml:space="preserve">Metafyzika </w:t>
      </w:r>
      <w:r w:rsidR="0063716F" w:rsidRPr="003D1E07">
        <w:t xml:space="preserve">objektivního jsoucna </w:t>
      </w:r>
      <w:r w:rsidR="002306E2" w:rsidRPr="003D1E07">
        <w:t>(Avicenna)</w:t>
      </w:r>
      <w:bookmarkEnd w:id="45"/>
      <w:bookmarkEnd w:id="46"/>
    </w:p>
    <w:p w14:paraId="2EC3145A" w14:textId="4699FD24" w:rsidR="00E61806" w:rsidRDefault="00A22E9E" w:rsidP="00E96D70">
      <w:r w:rsidRPr="00A22E9E">
        <w:t xml:space="preserve">První kolo gigantomachie o </w:t>
      </w:r>
      <w:r>
        <w:t>substanci sa</w:t>
      </w:r>
      <w:r w:rsidRPr="00A22E9E">
        <w:t>há od po</w:t>
      </w:r>
      <w:r>
        <w:t xml:space="preserve">zdní antiky až po počátek prvního konfliktu </w:t>
      </w:r>
      <w:r w:rsidRPr="00A22E9E">
        <w:t xml:space="preserve">na rodícím se Západě. Dům moudrosti v Bagdádu se stal místem, které rozhodlo o osudu západní metafyziky, a tím i západní civilizace. Abychom mohli objasnit </w:t>
      </w:r>
      <w:r w:rsidRPr="00A22E9E">
        <w:rPr>
          <w:i/>
        </w:rPr>
        <w:t>Lichtung</w:t>
      </w:r>
      <w:r w:rsidRPr="00A22E9E">
        <w:t xml:space="preserve"> pravd</w:t>
      </w:r>
      <w:r>
        <w:t>y a nepravdy ve falsafě</w:t>
      </w:r>
      <w:r w:rsidRPr="00A22E9E">
        <w:t>, je třeba provést rychlý přehled výchozí hermeneutické pozice. Gigantomachie sleduje proměny moderního intelektu, kter</w:t>
      </w:r>
      <w:r>
        <w:t>ý odhaluje objektivní smysl jsoucna</w:t>
      </w:r>
      <w:r w:rsidRPr="00A22E9E">
        <w:t>.</w:t>
      </w:r>
      <w:r>
        <w:t xml:space="preserve"> Výklad </w:t>
      </w:r>
      <w:r w:rsidR="004A55D7" w:rsidRPr="003D1E07">
        <w:t xml:space="preserve">objektivity nevyšetřuje </w:t>
      </w:r>
      <w:r w:rsidR="00A66A12" w:rsidRPr="003D1E07">
        <w:t>subjek</w:t>
      </w:r>
      <w:r w:rsidR="004A55D7" w:rsidRPr="003D1E07">
        <w:t>t-objektový</w:t>
      </w:r>
      <w:r w:rsidR="00A66A12" w:rsidRPr="003D1E07">
        <w:t xml:space="preserve"> vztah k nějaké poznávané jednotlivině nebo k čistě mentálnímu obsahu poznání (</w:t>
      </w:r>
      <w:r w:rsidR="00A66A12" w:rsidRPr="003D1E07">
        <w:rPr>
          <w:i/>
        </w:rPr>
        <w:t>ens rationis</w:t>
      </w:r>
      <w:r w:rsidR="00597669" w:rsidRPr="003D1E07">
        <w:rPr>
          <w:i/>
        </w:rPr>
        <w:fldChar w:fldCharType="begin"/>
      </w:r>
      <w:r w:rsidR="00597669" w:rsidRPr="003D1E07">
        <w:instrText xml:space="preserve"> XE "</w:instrText>
      </w:r>
      <w:r w:rsidR="00597669" w:rsidRPr="003D1E07">
        <w:rPr>
          <w:i/>
        </w:rPr>
        <w:instrText>ens rationis</w:instrText>
      </w:r>
      <w:r w:rsidR="00597669" w:rsidRPr="003D1E07">
        <w:instrText xml:space="preserve">" </w:instrText>
      </w:r>
      <w:r w:rsidR="00597669" w:rsidRPr="003D1E07">
        <w:rPr>
          <w:i/>
        </w:rPr>
        <w:fldChar w:fldCharType="end"/>
      </w:r>
      <w:r w:rsidR="00A66A12" w:rsidRPr="003D1E07">
        <w:t xml:space="preserve">). </w:t>
      </w:r>
      <w:r w:rsidR="00484211">
        <w:t xml:space="preserve">Výklad zkoumá způsob, jak se zjevuje </w:t>
      </w:r>
      <w:r w:rsidR="002534E6">
        <w:t>náhled na</w:t>
      </w:r>
      <w:r w:rsidR="00484211">
        <w:t xml:space="preserve"> </w:t>
      </w:r>
      <w:r w:rsidR="002534E6">
        <w:t xml:space="preserve">celek </w:t>
      </w:r>
      <w:r w:rsidR="00484211">
        <w:t>jsouc</w:t>
      </w:r>
      <w:r w:rsidR="002534E6">
        <w:t>na</w:t>
      </w:r>
      <w:r w:rsidR="00A66A12" w:rsidRPr="003D1E07">
        <w:t xml:space="preserve">, </w:t>
      </w:r>
      <w:r w:rsidR="002534E6">
        <w:t xml:space="preserve">do něhož </w:t>
      </w:r>
      <w:r w:rsidR="00A66A12" w:rsidRPr="003D1E07">
        <w:t xml:space="preserve">patří i lidský intelekt jako zvláštní forma jsoucna. </w:t>
      </w:r>
      <w:r w:rsidR="086F16AC" w:rsidRPr="003D1E07">
        <w:t xml:space="preserve">Archeologie objektivity metodicky a fenomenologicky zkoumá </w:t>
      </w:r>
      <w:r w:rsidR="087810CA" w:rsidRPr="003D1E07">
        <w:t xml:space="preserve">základní </w:t>
      </w:r>
      <w:r w:rsidR="008D3E67" w:rsidRPr="003D1E07">
        <w:t>způsob</w:t>
      </w:r>
      <w:r w:rsidR="00037D6B" w:rsidRPr="003D1E07">
        <w:t xml:space="preserve">, </w:t>
      </w:r>
      <w:r w:rsidR="00A85EAC" w:rsidRPr="003D1E07">
        <w:t>„</w:t>
      </w:r>
      <w:r w:rsidR="00CE18C0" w:rsidRPr="003D1E07">
        <w:t>jak</w:t>
      </w:r>
      <w:r w:rsidR="00A85EAC" w:rsidRPr="003D1E07">
        <w:t>“</w:t>
      </w:r>
      <w:r w:rsidR="00CE18C0" w:rsidRPr="003D1E07">
        <w:t xml:space="preserve"> </w:t>
      </w:r>
      <w:r w:rsidR="00A85EAC" w:rsidRPr="003D1E07">
        <w:t>(</w:t>
      </w:r>
      <w:r w:rsidR="008D3E67" w:rsidRPr="003D1E07">
        <w:t xml:space="preserve">Heideggerovo </w:t>
      </w:r>
      <w:r w:rsidR="00A85EAC" w:rsidRPr="003D1E07">
        <w:rPr>
          <w:i/>
        </w:rPr>
        <w:t>Wie</w:t>
      </w:r>
      <w:r w:rsidR="00A85EAC" w:rsidRPr="003D1E07">
        <w:t xml:space="preserve">) </w:t>
      </w:r>
      <w:r w:rsidR="00CE18C0" w:rsidRPr="003D1E07">
        <w:t xml:space="preserve">je </w:t>
      </w:r>
      <w:r w:rsidR="00A85EAC" w:rsidRPr="003D1E07">
        <w:t xml:space="preserve">jsoucno </w:t>
      </w:r>
      <w:r w:rsidR="00CE18C0" w:rsidRPr="003D1E07">
        <w:t>manifestováno</w:t>
      </w:r>
      <w:r w:rsidR="08F44BCB" w:rsidRPr="003D1E07">
        <w:t xml:space="preserve"> směrem od skryté události </w:t>
      </w:r>
      <w:r w:rsidR="00A85EAC" w:rsidRPr="003D1E07">
        <w:t>bytí</w:t>
      </w:r>
      <w:r w:rsidR="08F44BCB" w:rsidRPr="003D1E07">
        <w:t xml:space="preserve"> (</w:t>
      </w:r>
      <w:r w:rsidR="08F44BCB" w:rsidRPr="003D1E07">
        <w:rPr>
          <w:i/>
        </w:rPr>
        <w:t>Ereignis</w:t>
      </w:r>
      <w:r w:rsidR="08582DF1" w:rsidRPr="003D1E07">
        <w:t xml:space="preserve">). Bytí </w:t>
      </w:r>
      <w:r w:rsidR="08585381" w:rsidRPr="003D1E07">
        <w:t xml:space="preserve">skrytě </w:t>
      </w:r>
      <w:r w:rsidR="08582DF1" w:rsidRPr="003D1E07">
        <w:t xml:space="preserve">bytuje v </w:t>
      </w:r>
      <w:r w:rsidR="08BA4277" w:rsidRPr="003D1E07">
        <w:t xml:space="preserve">archaické a múzické </w:t>
      </w:r>
      <w:r w:rsidR="08BA4277" w:rsidRPr="003D1E07">
        <w:rPr>
          <w:i/>
        </w:rPr>
        <w:t>a/létheia</w:t>
      </w:r>
      <w:r w:rsidR="08BA4277" w:rsidRPr="003D1E07">
        <w:t xml:space="preserve"> a </w:t>
      </w:r>
      <w:r w:rsidR="080106F1" w:rsidRPr="003D1E07">
        <w:t xml:space="preserve">pak manifestuje </w:t>
      </w:r>
      <w:r w:rsidR="004C6A29" w:rsidRPr="003D1E07">
        <w:t xml:space="preserve">v metafyzice </w:t>
      </w:r>
      <w:r w:rsidR="080106F1" w:rsidRPr="003D1E07">
        <w:t xml:space="preserve">skrze </w:t>
      </w:r>
      <w:r w:rsidR="082F5984" w:rsidRPr="003D1E07">
        <w:t xml:space="preserve">akt substanční donace </w:t>
      </w:r>
      <w:r w:rsidR="08BA4277" w:rsidRPr="003D1E07">
        <w:t>(τό τί ἦν εἶναι, kap. 1.1</w:t>
      </w:r>
      <w:r w:rsidR="08582DF1" w:rsidRPr="003D1E07">
        <w:t>)</w:t>
      </w:r>
      <w:r w:rsidR="08BA4277" w:rsidRPr="003D1E07">
        <w:fldChar w:fldCharType="begin"/>
      </w:r>
      <w:r w:rsidR="08BA4277" w:rsidRPr="003D1E07">
        <w:instrText xml:space="preserve"> XE "</w:instrText>
      </w:r>
      <w:r w:rsidR="08AD2D2B" w:rsidRPr="003D1E07">
        <w:instrText>substance:</w:instrText>
      </w:r>
      <w:r w:rsidR="08BA4277" w:rsidRPr="003D1E07">
        <w:instrText xml:space="preserve">τό τί ἦν εἶναι" </w:instrText>
      </w:r>
      <w:r w:rsidR="08BA4277" w:rsidRPr="003D1E07">
        <w:fldChar w:fldCharType="end"/>
      </w:r>
      <w:r w:rsidR="004C6A29" w:rsidRPr="003D1E07">
        <w:t xml:space="preserve">. Východiskem zkoumání je proto aktuální </w:t>
      </w:r>
      <w:r w:rsidR="002C753B" w:rsidRPr="003D1E07">
        <w:t>první substance, protože ta tvoří základní východisko aristotelské metafyziky</w:t>
      </w:r>
      <w:r w:rsidR="08F44BCB" w:rsidRPr="003D1E07">
        <w:t>.</w:t>
      </w:r>
      <w:r w:rsidR="00A01775" w:rsidRPr="003D1E07">
        <w:t xml:space="preserve"> </w:t>
      </w:r>
      <w:r w:rsidR="08484FB4" w:rsidRPr="003D1E07">
        <w:t xml:space="preserve">Hermeneutika označila tento akt původní múzické donace bytí jsoucna jako </w:t>
      </w:r>
      <w:r w:rsidR="089108A9" w:rsidRPr="003D1E07">
        <w:t xml:space="preserve">metafyzický </w:t>
      </w:r>
      <w:r w:rsidR="08484FB4" w:rsidRPr="003D1E07">
        <w:t>dativ (</w:t>
      </w:r>
      <w:r w:rsidR="08484FB4" w:rsidRPr="003D1E07">
        <w:rPr>
          <w:i/>
        </w:rPr>
        <w:t xml:space="preserve">dativus </w:t>
      </w:r>
      <w:r w:rsidR="089108A9" w:rsidRPr="003D1E07">
        <w:rPr>
          <w:i/>
        </w:rPr>
        <w:t>metaphysicus</w:t>
      </w:r>
      <w:r w:rsidR="08484FB4" w:rsidRPr="003D1E07">
        <w:rPr>
          <w:i/>
        </w:rPr>
        <w:fldChar w:fldCharType="begin"/>
      </w:r>
      <w:r w:rsidR="08484FB4" w:rsidRPr="003D1E07">
        <w:instrText xml:space="preserve"> XE "</w:instrText>
      </w:r>
      <w:r w:rsidR="08484FB4" w:rsidRPr="003D1E07">
        <w:rPr>
          <w:i/>
        </w:rPr>
        <w:instrText xml:space="preserve">dativus </w:instrText>
      </w:r>
      <w:r w:rsidR="089108A9" w:rsidRPr="003D1E07">
        <w:rPr>
          <w:i/>
        </w:rPr>
        <w:instrText>metaphysicus</w:instrText>
      </w:r>
      <w:r w:rsidR="08484FB4" w:rsidRPr="003D1E07">
        <w:instrText xml:space="preserve">" </w:instrText>
      </w:r>
      <w:r w:rsidR="08484FB4" w:rsidRPr="003D1E07">
        <w:rPr>
          <w:i/>
        </w:rPr>
        <w:fldChar w:fldCharType="end"/>
      </w:r>
      <w:r w:rsidR="08484FB4" w:rsidRPr="003D1E07">
        <w:t>). T</w:t>
      </w:r>
      <w:r w:rsidR="08BC5142" w:rsidRPr="003D1E07">
        <w:t xml:space="preserve">ento </w:t>
      </w:r>
      <w:r w:rsidR="002C753B" w:rsidRPr="003D1E07">
        <w:t xml:space="preserve">ontologický </w:t>
      </w:r>
      <w:r w:rsidR="08BC5142" w:rsidRPr="003D1E07">
        <w:t xml:space="preserve">způsob manifestace bytí jsoucna v poli </w:t>
      </w:r>
      <w:r w:rsidR="002C753B" w:rsidRPr="003D1E07">
        <w:t xml:space="preserve">archaického </w:t>
      </w:r>
      <w:r w:rsidR="08BC5142" w:rsidRPr="003D1E07">
        <w:rPr>
          <w:i/>
        </w:rPr>
        <w:t>Lichtung</w:t>
      </w:r>
      <w:r w:rsidR="002C753B" w:rsidRPr="003D1E07">
        <w:t xml:space="preserve"> je třeba odlišit od od </w:t>
      </w:r>
      <w:r w:rsidR="08BC5142" w:rsidRPr="003D1E07">
        <w:t xml:space="preserve">pozitivně dané jsoucnosti dané metafyzickým určením </w:t>
      </w:r>
      <w:r w:rsidR="08226889" w:rsidRPr="003D1E07">
        <w:t xml:space="preserve">substance </w:t>
      </w:r>
      <w:r w:rsidR="08BC5142" w:rsidRPr="003D1E07">
        <w:t>jako „toto zde“</w:t>
      </w:r>
      <w:r w:rsidR="08D33CDB" w:rsidRPr="003D1E07">
        <w:t xml:space="preserve"> (τόδε τι</w:t>
      </w:r>
      <w:r w:rsidR="08D33CDB" w:rsidRPr="003D1E07">
        <w:fldChar w:fldCharType="begin"/>
      </w:r>
      <w:r w:rsidR="08D33CDB" w:rsidRPr="003D1E07">
        <w:instrText xml:space="preserve"> XE "substance:τόδε τι" </w:instrText>
      </w:r>
      <w:r w:rsidR="08D33CDB" w:rsidRPr="003D1E07">
        <w:fldChar w:fldCharType="end"/>
      </w:r>
      <w:r w:rsidR="08D33CDB" w:rsidRPr="003D1E07">
        <w:t>).</w:t>
      </w:r>
      <w:r w:rsidR="08BC5142" w:rsidRPr="003D1E07">
        <w:t xml:space="preserve"> </w:t>
      </w:r>
      <w:r w:rsidR="08D33CDB" w:rsidRPr="003D1E07">
        <w:t>Heidegger oddělil původní úkol myšlení od</w:t>
      </w:r>
      <w:r w:rsidR="00A566CB">
        <w:t xml:space="preserve"> metafyziky</w:t>
      </w:r>
      <w:r w:rsidR="08D33CDB" w:rsidRPr="003D1E07">
        <w:t xml:space="preserve">. </w:t>
      </w:r>
      <w:r w:rsidR="08BC5142" w:rsidRPr="003D1E07">
        <w:t>P</w:t>
      </w:r>
      <w:r w:rsidR="00A01775" w:rsidRPr="003D1E07">
        <w:t xml:space="preserve">ůvodní </w:t>
      </w:r>
      <w:r w:rsidR="005B22E0">
        <w:t>manifestaci by</w:t>
      </w:r>
      <w:r w:rsidR="00A01775" w:rsidRPr="003D1E07">
        <w:t>t</w:t>
      </w:r>
      <w:r w:rsidR="08D33CDB" w:rsidRPr="003D1E07">
        <w:t xml:space="preserve">í jsoucna indikuje řecké slovo </w:t>
      </w:r>
      <w:r w:rsidR="00A01775" w:rsidRPr="003D1E07">
        <w:t>παρου</w:t>
      </w:r>
      <w:r w:rsidR="08D33CDB" w:rsidRPr="003D1E07">
        <w:t>σία</w:t>
      </w:r>
      <w:r w:rsidR="000D4B48" w:rsidRPr="003D1E07">
        <w:t>, z něhož vychází Heideggero</w:t>
      </w:r>
      <w:r w:rsidR="00A01775" w:rsidRPr="003D1E07">
        <w:t>v</w:t>
      </w:r>
      <w:r w:rsidR="000D4B48" w:rsidRPr="003D1E07">
        <w:t>y</w:t>
      </w:r>
      <w:r w:rsidR="00A01775" w:rsidRPr="003D1E07">
        <w:t xml:space="preserve"> termín</w:t>
      </w:r>
      <w:r w:rsidR="000D4B48" w:rsidRPr="003D1E07">
        <w:t>y</w:t>
      </w:r>
      <w:r w:rsidR="08BC5142" w:rsidRPr="003D1E07">
        <w:t xml:space="preserve"> </w:t>
      </w:r>
      <w:r w:rsidR="00A01775" w:rsidRPr="003D1E07">
        <w:rPr>
          <w:i/>
        </w:rPr>
        <w:t>das Anwesen</w:t>
      </w:r>
      <w:r w:rsidR="00597669" w:rsidRPr="003D1E07">
        <w:t xml:space="preserve"> </w:t>
      </w:r>
      <w:r w:rsidR="08BC5142" w:rsidRPr="003D1E07">
        <w:t xml:space="preserve">a </w:t>
      </w:r>
      <w:r w:rsidR="00384E6D" w:rsidRPr="003D1E07">
        <w:rPr>
          <w:i/>
        </w:rPr>
        <w:t>die Anwesenheit</w:t>
      </w:r>
      <w:r w:rsidR="00597669" w:rsidRPr="003D1E07">
        <w:fldChar w:fldCharType="begin"/>
      </w:r>
      <w:r w:rsidR="00597669" w:rsidRPr="003D1E07">
        <w:instrText xml:space="preserve"> XE "zjevování:</w:instrText>
      </w:r>
      <w:r w:rsidR="00597669" w:rsidRPr="003D1E07">
        <w:rPr>
          <w:i/>
        </w:rPr>
        <w:instrText>parousía</w:instrText>
      </w:r>
      <w:r w:rsidR="00597669" w:rsidRPr="003D1E07">
        <w:instrText xml:space="preserve">" </w:instrText>
      </w:r>
      <w:r w:rsidR="00597669" w:rsidRPr="003D1E07">
        <w:fldChar w:fldCharType="end"/>
      </w:r>
      <w:r w:rsidR="00877C5F" w:rsidRPr="003D1E07">
        <w:t xml:space="preserve">. </w:t>
      </w:r>
      <w:r w:rsidR="00384E6D" w:rsidRPr="003D1E07">
        <w:t>Oba t</w:t>
      </w:r>
      <w:r w:rsidR="00877C5F" w:rsidRPr="003D1E07">
        <w:t>ermín</w:t>
      </w:r>
      <w:r w:rsidR="00384E6D" w:rsidRPr="003D1E07">
        <w:t>y</w:t>
      </w:r>
      <w:r w:rsidR="00877C5F" w:rsidRPr="003D1E07">
        <w:t xml:space="preserve"> </w:t>
      </w:r>
      <w:r w:rsidR="00384E6D" w:rsidRPr="003D1E07">
        <w:t>vyjadřují</w:t>
      </w:r>
      <w:r w:rsidR="005F09B8" w:rsidRPr="003D1E07">
        <w:t xml:space="preserve"> aktivitu původního zjevování </w:t>
      </w:r>
      <w:r w:rsidR="0008339F">
        <w:t xml:space="preserve">světa </w:t>
      </w:r>
      <w:r w:rsidR="00DD022D" w:rsidRPr="003D1E07">
        <w:t xml:space="preserve">v modu </w:t>
      </w:r>
      <w:r w:rsidR="00DD022D" w:rsidRPr="003D1E07">
        <w:rPr>
          <w:i/>
        </w:rPr>
        <w:t>a/létheia</w:t>
      </w:r>
      <w:r w:rsidR="085A313E" w:rsidRPr="003D1E07">
        <w:rPr>
          <w:i/>
        </w:rPr>
        <w:fldChar w:fldCharType="begin"/>
      </w:r>
      <w:r w:rsidR="085A313E" w:rsidRPr="003D1E07">
        <w:instrText xml:space="preserve"> XE "</w:instrText>
      </w:r>
      <w:r w:rsidR="085A313E" w:rsidRPr="003D1E07">
        <w:rPr>
          <w:i/>
          <w:lang w:eastAsia="en-US"/>
        </w:rPr>
        <w:instrText>a/létheia</w:instrText>
      </w:r>
      <w:r w:rsidR="085A313E" w:rsidRPr="003D1E07">
        <w:instrText xml:space="preserve">" </w:instrText>
      </w:r>
      <w:r w:rsidR="085A313E" w:rsidRPr="003D1E07">
        <w:rPr>
          <w:i/>
        </w:rPr>
        <w:fldChar w:fldCharType="end"/>
      </w:r>
      <w:r w:rsidR="00DC0F2A">
        <w:t>. Skryté bytí dává viditelné jsoucno do prostoru dějinné manifestace metafyzické pravdy a nepravdy a pak se stahuje do původní skrytosti (</w:t>
      </w:r>
      <w:r w:rsidR="00381EBA" w:rsidRPr="003D1E07">
        <w:rPr>
          <w:i/>
        </w:rPr>
        <w:t>léthe</w:t>
      </w:r>
      <w:r w:rsidR="00DC0F2A">
        <w:t xml:space="preserve">). </w:t>
      </w:r>
      <w:r w:rsidR="00A01775" w:rsidRPr="003D1E07">
        <w:t xml:space="preserve">Výklad </w:t>
      </w:r>
      <w:r w:rsidR="00C5514C" w:rsidRPr="003D1E07">
        <w:t xml:space="preserve">různých způsobů </w:t>
      </w:r>
      <w:r w:rsidR="00A01775" w:rsidRPr="003D1E07">
        <w:t>zpřítomňování jsoucna (</w:t>
      </w:r>
      <w:r w:rsidR="00A01775" w:rsidRPr="003D1E07">
        <w:rPr>
          <w:i/>
        </w:rPr>
        <w:t>Anwesende in seiner Anwesenheit</w:t>
      </w:r>
      <w:r w:rsidR="00A01775" w:rsidRPr="003D1E07">
        <w:t>) patří k základním rysům hermeneutického myšlení (</w:t>
      </w:r>
      <w:r w:rsidR="00A01775" w:rsidRPr="003D1E07">
        <w:rPr>
          <w:i/>
        </w:rPr>
        <w:t>Vernehmen</w:t>
      </w:r>
      <w:r w:rsidR="00383BDF" w:rsidRPr="003D1E07">
        <w:rPr>
          <w:i/>
        </w:rPr>
        <w:t>, Andenken</w:t>
      </w:r>
      <w:r w:rsidR="00A01775" w:rsidRPr="003D1E07">
        <w:t>) vstřícného k původnímu dění bytí</w:t>
      </w:r>
      <w:r w:rsidR="08FA6A27" w:rsidRPr="003D1E07">
        <w:t xml:space="preserve">. </w:t>
      </w:r>
      <w:r w:rsidR="00075064">
        <w:t xml:space="preserve">Oblast primární manifestace bytí jako </w:t>
      </w:r>
      <w:r w:rsidR="00075064" w:rsidRPr="00075064">
        <w:rPr>
          <w:i/>
        </w:rPr>
        <w:t>Lichtung</w:t>
      </w:r>
      <w:r w:rsidR="00075064">
        <w:t xml:space="preserve"> vytvořila prostor pro prezentaci toho, co může být onticky přítomné </w:t>
      </w:r>
      <w:r w:rsidR="00075064" w:rsidRPr="00075064">
        <w:t>(</w:t>
      </w:r>
      <w:r w:rsidR="00075064" w:rsidRPr="00075064">
        <w:rPr>
          <w:i/>
        </w:rPr>
        <w:t>Präsentation des Präsenten</w:t>
      </w:r>
      <w:r w:rsidR="00075064" w:rsidRPr="00075064">
        <w:t>)</w:t>
      </w:r>
      <w:r w:rsidR="00075064">
        <w:t>.</w:t>
      </w:r>
      <w:r w:rsidR="00075064" w:rsidRPr="003D1E07">
        <w:rPr>
          <w:rStyle w:val="Znakapoznpodarou"/>
        </w:rPr>
        <w:footnoteReference w:id="126"/>
      </w:r>
      <w:r w:rsidR="00075064" w:rsidRPr="00075064">
        <w:t xml:space="preserve"> </w:t>
      </w:r>
      <w:r w:rsidR="00075064">
        <w:t xml:space="preserve">Takto dané hermeneutické zpřítomnění </w:t>
      </w:r>
      <w:r w:rsidR="00075064" w:rsidRPr="00075064">
        <w:t xml:space="preserve">metafyziky </w:t>
      </w:r>
      <w:r w:rsidR="00075064">
        <w:t xml:space="preserve">vychází z perspektivy bytí a tím </w:t>
      </w:r>
      <w:r w:rsidR="00075064" w:rsidRPr="00075064">
        <w:t xml:space="preserve">liší od toho, co se </w:t>
      </w:r>
      <w:r w:rsidR="00075064" w:rsidRPr="00075064">
        <w:lastRenderedPageBreak/>
        <w:t xml:space="preserve">nachází v říši této prvotní sféry </w:t>
      </w:r>
      <w:r w:rsidR="00075064">
        <w:t>bytí jako individuální ontická jsoucna</w:t>
      </w:r>
      <w:r w:rsidR="081F4F1A" w:rsidRPr="003D1E07">
        <w:t xml:space="preserve"> (</w:t>
      </w:r>
      <w:r w:rsidR="081F4F1A" w:rsidRPr="003D1E07">
        <w:rPr>
          <w:i/>
        </w:rPr>
        <w:t>das</w:t>
      </w:r>
      <w:r w:rsidR="081F4F1A" w:rsidRPr="003D1E07">
        <w:t xml:space="preserve"> </w:t>
      </w:r>
      <w:r w:rsidR="081F4F1A" w:rsidRPr="003D1E07">
        <w:rPr>
          <w:i/>
        </w:rPr>
        <w:t>Präsente</w:t>
      </w:r>
      <w:r w:rsidR="08AA17E1" w:rsidRPr="003D1E07">
        <w:rPr>
          <w:i/>
        </w:rPr>
        <w:t>, Seiendes</w:t>
      </w:r>
      <w:r w:rsidR="081F4F1A" w:rsidRPr="003D1E07">
        <w:t>)</w:t>
      </w:r>
      <w:r w:rsidR="0873441F" w:rsidRPr="003D1E07">
        <w:t xml:space="preserve">. </w:t>
      </w:r>
      <w:r w:rsidR="00E55A9C">
        <w:t xml:space="preserve">Ontická </w:t>
      </w:r>
      <w:r w:rsidR="007A2FC9" w:rsidRPr="003D1E07">
        <w:t>z</w:t>
      </w:r>
      <w:r w:rsidR="085A52F6" w:rsidRPr="003D1E07">
        <w:t xml:space="preserve">jevnost jsoucna </w:t>
      </w:r>
      <w:r w:rsidR="00587255">
        <w:t xml:space="preserve">je </w:t>
      </w:r>
      <w:r w:rsidR="085A52F6" w:rsidRPr="003D1E07">
        <w:t>definována v rámci pozitivně určené me</w:t>
      </w:r>
      <w:r w:rsidR="00A94DE2" w:rsidRPr="003D1E07">
        <w:t>tafyziky</w:t>
      </w:r>
      <w:r w:rsidR="00587255">
        <w:t xml:space="preserve"> </w:t>
      </w:r>
      <w:r w:rsidR="00587255" w:rsidRPr="003D1E07">
        <w:t xml:space="preserve">jako </w:t>
      </w:r>
      <w:r w:rsidR="00587255" w:rsidRPr="003D1E07">
        <w:rPr>
          <w:i/>
        </w:rPr>
        <w:t>veritas</w:t>
      </w:r>
      <w:r w:rsidR="00A94DE2" w:rsidRPr="003D1E07">
        <w:t>. Předešlé kapitoly ukázaly n</w:t>
      </w:r>
      <w:r w:rsidR="00CE18C0" w:rsidRPr="003D1E07">
        <w:t xml:space="preserve">asvícení </w:t>
      </w:r>
      <w:r w:rsidR="00101B6F" w:rsidRPr="003D1E07">
        <w:t xml:space="preserve">smyslu </w:t>
      </w:r>
      <w:r w:rsidR="00040896">
        <w:t xml:space="preserve">první </w:t>
      </w:r>
      <w:r w:rsidR="00C0462C">
        <w:t xml:space="preserve">aristotelské </w:t>
      </w:r>
      <w:r w:rsidR="00040896">
        <w:t xml:space="preserve">substance </w:t>
      </w:r>
      <w:r w:rsidR="00CE18C0" w:rsidRPr="003D1E07">
        <w:t>zepředu nebo zezadu</w:t>
      </w:r>
      <w:r w:rsidR="00A94DE2" w:rsidRPr="003D1E07">
        <w:t xml:space="preserve">. Tento způsob ontologické </w:t>
      </w:r>
      <w:r w:rsidR="008160EB" w:rsidRPr="003D1E07">
        <w:t>o</w:t>
      </w:r>
      <w:r w:rsidR="00A94DE2" w:rsidRPr="003D1E07">
        <w:t xml:space="preserve">dkrytosti </w:t>
      </w:r>
      <w:r w:rsidR="000F3C1C" w:rsidRPr="003D1E07">
        <w:t xml:space="preserve">metafyziky </w:t>
      </w:r>
      <w:r w:rsidR="00A94DE2" w:rsidRPr="003D1E07">
        <w:t>(</w:t>
      </w:r>
      <w:r w:rsidR="00A94DE2" w:rsidRPr="003D1E07">
        <w:rPr>
          <w:i/>
        </w:rPr>
        <w:t>alétheia</w:t>
      </w:r>
      <w:r w:rsidR="00A94DE2" w:rsidRPr="003D1E07">
        <w:t>) ukazuje změněný smysl jsoucna vzhledem ke dvojí dráze předchůdného náhledu (</w:t>
      </w:r>
      <w:r w:rsidR="00A94DE2" w:rsidRPr="003D1E07">
        <w:rPr>
          <w:i/>
        </w:rPr>
        <w:t>Vor-blickbahn</w:t>
      </w:r>
      <w:r w:rsidR="00A94DE2" w:rsidRPr="003D1E07">
        <w:t>). Tím je zodpovězena otázka, „jak“ (</w:t>
      </w:r>
      <w:r w:rsidR="00A94DE2" w:rsidRPr="003D1E07">
        <w:rPr>
          <w:i/>
        </w:rPr>
        <w:t>Wie</w:t>
      </w:r>
      <w:r w:rsidR="00A94DE2" w:rsidRPr="003D1E07">
        <w:t xml:space="preserve">) se manifestuje ta či ona podoba jsoucna v poli dějinného </w:t>
      </w:r>
      <w:r w:rsidR="00A94DE2" w:rsidRPr="003D1E07">
        <w:rPr>
          <w:i/>
        </w:rPr>
        <w:t>Lichtung</w:t>
      </w:r>
      <w:r w:rsidR="00A94DE2" w:rsidRPr="003D1E07">
        <w:t xml:space="preserve">. </w:t>
      </w:r>
      <w:r w:rsidR="00C857DB" w:rsidRPr="003D1E07">
        <w:t>U</w:t>
      </w:r>
      <w:r w:rsidR="00A94DE2" w:rsidRPr="003D1E07">
        <w:t>dálost (</w:t>
      </w:r>
      <w:r w:rsidR="00A94DE2" w:rsidRPr="003D1E07">
        <w:rPr>
          <w:i/>
        </w:rPr>
        <w:t>Ereignis</w:t>
      </w:r>
      <w:r w:rsidR="00A94DE2" w:rsidRPr="003D1E07">
        <w:t>) původní po-odkrytosti bytí (</w:t>
      </w:r>
      <w:r w:rsidR="00A94DE2" w:rsidRPr="003D1E07">
        <w:rPr>
          <w:i/>
        </w:rPr>
        <w:t>a/létheia</w:t>
      </w:r>
      <w:r w:rsidR="00A94DE2" w:rsidRPr="003D1E07">
        <w:t>) skrze takto přítomné jsoucno se dává skrze mú</w:t>
      </w:r>
      <w:r w:rsidR="007F4AA8" w:rsidRPr="003D1E07">
        <w:t>zicko</w:t>
      </w:r>
      <w:r w:rsidR="00FD180B">
        <w:t>u a tragickou podob</w:t>
      </w:r>
      <w:r w:rsidR="00A94DE2" w:rsidRPr="003D1E07">
        <w:t>u pravdy. A</w:t>
      </w:r>
      <w:r w:rsidR="08DF221A" w:rsidRPr="003D1E07">
        <w:t xml:space="preserve">rchaický modus </w:t>
      </w:r>
      <w:r w:rsidR="00B90824">
        <w:t xml:space="preserve">této múzické a tragické </w:t>
      </w:r>
      <w:r w:rsidR="08DF221A" w:rsidRPr="003D1E07">
        <w:t xml:space="preserve">donace </w:t>
      </w:r>
      <w:r w:rsidR="00536935" w:rsidRPr="003D1E07">
        <w:t xml:space="preserve">jsoucna </w:t>
      </w:r>
      <w:r w:rsidR="08DF221A" w:rsidRPr="003D1E07">
        <w:t>určuje skrze gigantomachii metafyziky následnou zjevnost (</w:t>
      </w:r>
      <w:r w:rsidR="08DF221A" w:rsidRPr="003D1E07">
        <w:rPr>
          <w:i/>
        </w:rPr>
        <w:t>alétheia</w:t>
      </w:r>
      <w:r w:rsidR="08DF221A" w:rsidRPr="003D1E07">
        <w:t>) dějinně určené substance. Její bytnost („co</w:t>
      </w:r>
      <w:r w:rsidR="00F91310">
        <w:t xml:space="preserve"> je dáno</w:t>
      </w:r>
      <w:r w:rsidR="08DF221A" w:rsidRPr="003D1E07">
        <w:t>“</w:t>
      </w:r>
      <w:r w:rsidR="00C3595F">
        <w:t xml:space="preserve">, </w:t>
      </w:r>
      <w:r w:rsidR="00C3595F" w:rsidRPr="003D1E07">
        <w:rPr>
          <w:i/>
        </w:rPr>
        <w:t>quidditas</w:t>
      </w:r>
      <w:r w:rsidR="00B9006C">
        <w:rPr>
          <w:i/>
        </w:rPr>
        <w:t>, Washeit</w:t>
      </w:r>
      <w:r w:rsidR="00C3595F" w:rsidRPr="003D1E07">
        <w:rPr>
          <w:i/>
        </w:rPr>
        <w:fldChar w:fldCharType="begin"/>
      </w:r>
      <w:r w:rsidR="00C3595F" w:rsidRPr="003D1E07">
        <w:instrText xml:space="preserve"> XE "</w:instrText>
      </w:r>
      <w:r w:rsidR="00C3595F" w:rsidRPr="003D1E07">
        <w:rPr>
          <w:i/>
        </w:rPr>
        <w:instrText>quidditas</w:instrText>
      </w:r>
      <w:r w:rsidR="00C3595F" w:rsidRPr="003D1E07">
        <w:instrText xml:space="preserve">" </w:instrText>
      </w:r>
      <w:r w:rsidR="00C3595F" w:rsidRPr="003D1E07">
        <w:rPr>
          <w:i/>
        </w:rPr>
        <w:fldChar w:fldCharType="end"/>
      </w:r>
      <w:r w:rsidR="08DF221A" w:rsidRPr="003D1E07">
        <w:t xml:space="preserve">) </w:t>
      </w:r>
      <w:r w:rsidR="00F91310">
        <w:t xml:space="preserve">se </w:t>
      </w:r>
      <w:r w:rsidR="00C3595F">
        <w:t>už ne</w:t>
      </w:r>
      <w:r w:rsidR="00F91310">
        <w:t xml:space="preserve">zjevuje </w:t>
      </w:r>
      <w:r w:rsidR="08DF221A" w:rsidRPr="003D1E07">
        <w:t>v</w:t>
      </w:r>
      <w:r w:rsidR="087C59FE" w:rsidRPr="003D1E07">
        <w:t> </w:t>
      </w:r>
      <w:r w:rsidR="08DF221A" w:rsidRPr="003D1E07">
        <w:t xml:space="preserve">modu </w:t>
      </w:r>
      <w:r w:rsidR="00C3595F">
        <w:rPr>
          <w:noProof w:val="0"/>
          <w:lang w:val="en-US" w:eastAsia="en-US"/>
        </w:rPr>
        <w:t>principiálního dativu první filosofie (</w:t>
      </w:r>
      <w:r w:rsidR="00C3595F" w:rsidRPr="00177607">
        <w:rPr>
          <w:i/>
          <w:noProof w:val="0"/>
          <w:lang w:val="en-US" w:eastAsia="en-US"/>
        </w:rPr>
        <w:t>dativus principalis</w:t>
      </w:r>
      <w:r w:rsidR="00C3595F">
        <w:rPr>
          <w:i/>
          <w:noProof w:val="0"/>
          <w:lang w:val="en-US" w:eastAsia="en-US"/>
        </w:rPr>
        <w:fldChar w:fldCharType="begin"/>
      </w:r>
      <w:r w:rsidR="00C3595F">
        <w:instrText xml:space="preserve"> XE "</w:instrText>
      </w:r>
      <w:r w:rsidR="00C3595F" w:rsidRPr="00874B46">
        <w:rPr>
          <w:i/>
          <w:noProof w:val="0"/>
          <w:lang w:val="en-US" w:eastAsia="en-US"/>
        </w:rPr>
        <w:instrText>dativus principalis</w:instrText>
      </w:r>
      <w:r w:rsidR="00C3595F">
        <w:instrText xml:space="preserve">" </w:instrText>
      </w:r>
      <w:r w:rsidR="00C3595F">
        <w:rPr>
          <w:i/>
          <w:noProof w:val="0"/>
          <w:lang w:val="en-US" w:eastAsia="en-US"/>
        </w:rPr>
        <w:fldChar w:fldCharType="end"/>
      </w:r>
      <w:r w:rsidR="00C3595F">
        <w:rPr>
          <w:noProof w:val="0"/>
          <w:lang w:val="en-US" w:eastAsia="en-US"/>
        </w:rPr>
        <w:t>)</w:t>
      </w:r>
      <w:r w:rsidR="08DF221A" w:rsidRPr="003D1E07">
        <w:t xml:space="preserve">, ale </w:t>
      </w:r>
      <w:r w:rsidR="00C3595F">
        <w:t>skrze metafyzickou donaci</w:t>
      </w:r>
      <w:r w:rsidR="08DF221A" w:rsidRPr="003D1E07">
        <w:t xml:space="preserve"> </w:t>
      </w:r>
      <w:r w:rsidR="00C3595F">
        <w:rPr>
          <w:noProof w:val="0"/>
          <w:lang w:val="en-US" w:eastAsia="en-US"/>
        </w:rPr>
        <w:t>(</w:t>
      </w:r>
      <w:r w:rsidR="00C3595F" w:rsidRPr="00177607">
        <w:rPr>
          <w:i/>
          <w:noProof w:val="0"/>
          <w:lang w:val="en-US" w:eastAsia="en-US"/>
        </w:rPr>
        <w:t>dativus metaphysicus</w:t>
      </w:r>
      <w:r w:rsidR="00C3595F">
        <w:rPr>
          <w:i/>
          <w:noProof w:val="0"/>
          <w:lang w:val="en-US" w:eastAsia="en-US"/>
        </w:rPr>
        <w:fldChar w:fldCharType="begin"/>
      </w:r>
      <w:r w:rsidR="00C3595F">
        <w:instrText xml:space="preserve"> XE "</w:instrText>
      </w:r>
      <w:r w:rsidR="00C3595F" w:rsidRPr="000B0127">
        <w:rPr>
          <w:i/>
          <w:noProof w:val="0"/>
          <w:lang w:val="en-US" w:eastAsia="en-US"/>
        </w:rPr>
        <w:instrText>dativus metaphysicus</w:instrText>
      </w:r>
      <w:r w:rsidR="00C3595F">
        <w:instrText xml:space="preserve">" </w:instrText>
      </w:r>
      <w:r w:rsidR="00C3595F">
        <w:rPr>
          <w:i/>
          <w:noProof w:val="0"/>
          <w:lang w:val="en-US" w:eastAsia="en-US"/>
        </w:rPr>
        <w:fldChar w:fldCharType="end"/>
      </w:r>
      <w:r w:rsidR="00C3595F">
        <w:rPr>
          <w:noProof w:val="0"/>
          <w:lang w:val="en-US" w:eastAsia="en-US"/>
        </w:rPr>
        <w:t>)</w:t>
      </w:r>
      <w:r w:rsidR="00A23FB8">
        <w:rPr>
          <w:noProof w:val="0"/>
          <w:lang w:val="en-US" w:eastAsia="en-US"/>
        </w:rPr>
        <w:t xml:space="preserve">. </w:t>
      </w:r>
      <w:r w:rsidR="00851FF8" w:rsidRPr="003D1E07">
        <w:t xml:space="preserve">Pak múzicky nebo tragicky platí, že působení skrytého </w:t>
      </w:r>
      <w:r w:rsidR="00851FF8">
        <w:t>počátku (</w:t>
      </w:r>
      <w:r w:rsidR="00851FF8" w:rsidRPr="00851FF8">
        <w:rPr>
          <w:i/>
        </w:rPr>
        <w:t>Anfang</w:t>
      </w:r>
      <w:r w:rsidR="00851FF8">
        <w:t>)</w:t>
      </w:r>
      <w:r w:rsidR="00851FF8">
        <w:fldChar w:fldCharType="begin"/>
      </w:r>
      <w:r w:rsidR="00851FF8">
        <w:instrText xml:space="preserve"> XE "</w:instrText>
      </w:r>
      <w:r w:rsidR="00851FF8" w:rsidRPr="00851FF8">
        <w:rPr>
          <w:i/>
        </w:rPr>
        <w:instrText>Anfang</w:instrText>
      </w:r>
      <w:r w:rsidR="00851FF8">
        <w:instrText xml:space="preserve">" </w:instrText>
      </w:r>
      <w:r w:rsidR="00851FF8">
        <w:fldChar w:fldCharType="end"/>
      </w:r>
      <w:r w:rsidR="00851FF8">
        <w:t xml:space="preserve"> první filosofie bytí (</w:t>
      </w:r>
      <w:r w:rsidR="00851FF8" w:rsidRPr="00851FF8">
        <w:rPr>
          <w:i/>
        </w:rPr>
        <w:t>Seinsverlassenheit</w:t>
      </w:r>
      <w:r w:rsidR="00851FF8">
        <w:fldChar w:fldCharType="begin"/>
      </w:r>
      <w:r w:rsidR="00851FF8">
        <w:instrText xml:space="preserve"> XE "</w:instrText>
      </w:r>
      <w:r w:rsidR="00851FF8" w:rsidRPr="00851FF8">
        <w:instrText>Seinsverlassenheit</w:instrText>
      </w:r>
      <w:r w:rsidR="00851FF8">
        <w:instrText xml:space="preserve">" </w:instrText>
      </w:r>
      <w:r w:rsidR="00851FF8">
        <w:fldChar w:fldCharType="end"/>
      </w:r>
      <w:r w:rsidR="00851FF8">
        <w:t xml:space="preserve">) </w:t>
      </w:r>
      <w:r w:rsidR="00A23FB8">
        <w:t>se děje</w:t>
      </w:r>
      <w:r w:rsidR="00851FF8">
        <w:t xml:space="preserve"> v modu dvojité donace smyslu substance (</w:t>
      </w:r>
      <w:r w:rsidR="00851FF8" w:rsidRPr="00851FF8">
        <w:rPr>
          <w:i/>
        </w:rPr>
        <w:t>Seinsvergessenheit</w:t>
      </w:r>
      <w:r w:rsidR="00851FF8">
        <w:fldChar w:fldCharType="begin"/>
      </w:r>
      <w:r w:rsidR="00851FF8">
        <w:instrText xml:space="preserve"> XE "</w:instrText>
      </w:r>
      <w:r w:rsidR="00851FF8" w:rsidRPr="00851FF8">
        <w:instrText>Seinsvergessenheit</w:instrText>
      </w:r>
      <w:r w:rsidR="00851FF8">
        <w:instrText xml:space="preserve">" </w:instrText>
      </w:r>
      <w:r w:rsidR="00851FF8">
        <w:fldChar w:fldCharType="end"/>
      </w:r>
      <w:r w:rsidR="00851FF8">
        <w:t xml:space="preserve">). Takto odkrytá zjevost </w:t>
      </w:r>
      <w:r w:rsidR="00A23FB8">
        <w:t xml:space="preserve">samotného </w:t>
      </w:r>
      <w:r w:rsidR="00851FF8">
        <w:t>bytí (</w:t>
      </w:r>
      <w:r w:rsidR="00851FF8">
        <w:rPr>
          <w:i/>
        </w:rPr>
        <w:t>alétheia</w:t>
      </w:r>
      <w:r w:rsidR="00851FF8">
        <w:t>) vytváří smysl ontického jsoucna v dějinách metafyziky (</w:t>
      </w:r>
      <w:r w:rsidR="00851FF8" w:rsidRPr="00851FF8">
        <w:rPr>
          <w:i/>
        </w:rPr>
        <w:t>Geschichte</w:t>
      </w:r>
      <w:r w:rsidR="00A23FB8">
        <w:t xml:space="preserve">): </w:t>
      </w:r>
      <w:r w:rsidR="00851FF8">
        <w:t xml:space="preserve">buď jako metafyzicky pravdivého (aristotelská </w:t>
      </w:r>
      <w:r w:rsidR="00851FF8">
        <w:rPr>
          <w:i/>
        </w:rPr>
        <w:t>veritas</w:t>
      </w:r>
      <w:r w:rsidR="00851FF8">
        <w:t>) nebo klamného (moderní objektivit</w:t>
      </w:r>
      <w:r w:rsidR="00851FF8">
        <w:rPr>
          <w:rFonts w:cs="Calibri"/>
        </w:rPr>
        <w:t>a</w:t>
      </w:r>
      <w:r w:rsidR="00851FF8">
        <w:t xml:space="preserve"> jako Heideggerův </w:t>
      </w:r>
      <w:r w:rsidR="00851FF8" w:rsidRPr="00851FF8">
        <w:rPr>
          <w:i/>
        </w:rPr>
        <w:t>Irrtum</w:t>
      </w:r>
      <w:r w:rsidR="00851FF8">
        <w:fldChar w:fldCharType="begin"/>
      </w:r>
      <w:r w:rsidR="00851FF8">
        <w:instrText xml:space="preserve"> XE "</w:instrText>
      </w:r>
      <w:r w:rsidR="00851FF8" w:rsidRPr="00851FF8">
        <w:rPr>
          <w:i/>
        </w:rPr>
        <w:instrText>Irrtum</w:instrText>
      </w:r>
      <w:r w:rsidR="00851FF8">
        <w:instrText xml:space="preserve">" </w:instrText>
      </w:r>
      <w:r w:rsidR="00851FF8">
        <w:fldChar w:fldCharType="end"/>
      </w:r>
      <w:r w:rsidR="00851FF8">
        <w:t>). P</w:t>
      </w:r>
      <w:r w:rsidR="00A23FB8">
        <w:t>o</w:t>
      </w:r>
      <w:r w:rsidR="00851FF8">
        <w:t>zitivní historie metafyziky pak tvoří klasický vyučovací předmět na školách.</w:t>
      </w:r>
    </w:p>
    <w:p w14:paraId="136FAD65" w14:textId="77777777" w:rsidR="00DF1340" w:rsidRDefault="08216BEB" w:rsidP="00957A8E">
      <w:pPr>
        <w:ind w:firstLine="397"/>
      </w:pPr>
      <w:r w:rsidRPr="003D1E07">
        <w:rPr>
          <w:lang w:eastAsia="en-US"/>
        </w:rPr>
        <w:t>Hermeneutik</w:t>
      </w:r>
      <w:r w:rsidR="00125E8A">
        <w:rPr>
          <w:lang w:eastAsia="en-US"/>
        </w:rPr>
        <w:t xml:space="preserve">a musí vyložit ontologický způsob </w:t>
      </w:r>
      <w:r w:rsidRPr="003D1E07">
        <w:rPr>
          <w:lang w:eastAsia="en-US"/>
        </w:rPr>
        <w:t>bytí jsoucna v</w:t>
      </w:r>
      <w:r w:rsidR="00125E8A">
        <w:rPr>
          <w:lang w:eastAsia="en-US"/>
        </w:rPr>
        <w:t> </w:t>
      </w:r>
      <w:r w:rsidRPr="003D1E07">
        <w:rPr>
          <w:lang w:eastAsia="en-US"/>
        </w:rPr>
        <w:t>Avicenn</w:t>
      </w:r>
      <w:r w:rsidR="00125E8A">
        <w:rPr>
          <w:lang w:eastAsia="en-US"/>
        </w:rPr>
        <w:t xml:space="preserve">ově </w:t>
      </w:r>
      <w:r w:rsidR="00957A8E">
        <w:rPr>
          <w:lang w:eastAsia="en-US"/>
        </w:rPr>
        <w:t xml:space="preserve">expozici </w:t>
      </w:r>
      <w:r w:rsidR="08765893" w:rsidRPr="003D1E07">
        <w:rPr>
          <w:lang w:eastAsia="en-US"/>
        </w:rPr>
        <w:t>objektivity</w:t>
      </w:r>
      <w:r w:rsidR="08353692" w:rsidRPr="003D1E07">
        <w:rPr>
          <w:lang w:eastAsia="en-US"/>
        </w:rPr>
        <w:t>.</w:t>
      </w:r>
      <w:r w:rsidR="08CC3171" w:rsidRPr="003D1E07">
        <w:rPr>
          <w:lang w:eastAsia="en-US"/>
        </w:rPr>
        <w:t xml:space="preserve"> J</w:t>
      </w:r>
      <w:r w:rsidR="08353692" w:rsidRPr="003D1E07">
        <w:rPr>
          <w:lang w:eastAsia="en-US"/>
        </w:rPr>
        <w:t xml:space="preserve">eho pojetí substance </w:t>
      </w:r>
      <w:r w:rsidR="08CC3171" w:rsidRPr="003D1E07">
        <w:rPr>
          <w:lang w:eastAsia="en-US"/>
        </w:rPr>
        <w:t xml:space="preserve">zpřítomňuje </w:t>
      </w:r>
      <w:r w:rsidRPr="003D1E07">
        <w:rPr>
          <w:lang w:eastAsia="en-US"/>
        </w:rPr>
        <w:t xml:space="preserve">jsoucno do </w:t>
      </w:r>
      <w:r w:rsidR="08CC3171" w:rsidRPr="003D1E07">
        <w:rPr>
          <w:lang w:eastAsia="en-US"/>
        </w:rPr>
        <w:t xml:space="preserve">plně </w:t>
      </w:r>
      <w:r w:rsidR="087B3D1C" w:rsidRPr="003D1E07">
        <w:rPr>
          <w:lang w:eastAsia="en-US"/>
        </w:rPr>
        <w:t xml:space="preserve">objektivní </w:t>
      </w:r>
      <w:r w:rsidRPr="003D1E07">
        <w:rPr>
          <w:lang w:eastAsia="en-US"/>
        </w:rPr>
        <w:t>jsoucnosti</w:t>
      </w:r>
      <w:r w:rsidR="08B57D63" w:rsidRPr="003D1E07">
        <w:rPr>
          <w:lang w:eastAsia="en-US"/>
        </w:rPr>
        <w:t xml:space="preserve"> </w:t>
      </w:r>
      <w:r w:rsidR="087B3D1C" w:rsidRPr="003D1E07">
        <w:rPr>
          <w:lang w:eastAsia="en-US"/>
        </w:rPr>
        <w:t xml:space="preserve">dané </w:t>
      </w:r>
      <w:r w:rsidR="08B57D63" w:rsidRPr="003D1E07">
        <w:rPr>
          <w:lang w:eastAsia="en-US"/>
        </w:rPr>
        <w:t>v modu objektivního metafyzického pochybení (</w:t>
      </w:r>
      <w:r w:rsidR="08B57D63" w:rsidRPr="003D1E07">
        <w:rPr>
          <w:i/>
          <w:lang w:eastAsia="en-US"/>
        </w:rPr>
        <w:t>Irrtum</w:t>
      </w:r>
      <w:r w:rsidR="086530A5" w:rsidRPr="003D1E07">
        <w:rPr>
          <w:i/>
          <w:lang w:eastAsia="en-US"/>
        </w:rPr>
        <w:fldChar w:fldCharType="begin"/>
      </w:r>
      <w:r w:rsidR="086530A5" w:rsidRPr="003D1E07">
        <w:instrText xml:space="preserve"> XE "</w:instrText>
      </w:r>
      <w:r w:rsidR="086530A5" w:rsidRPr="003D1E07">
        <w:rPr>
          <w:i/>
          <w:lang w:eastAsia="en-US"/>
        </w:rPr>
        <w:instrText>Irrtum</w:instrText>
      </w:r>
      <w:r w:rsidR="086530A5" w:rsidRPr="003D1E07">
        <w:rPr>
          <w:lang w:eastAsia="en-US"/>
        </w:rPr>
        <w:instrText>:</w:instrText>
      </w:r>
      <w:r w:rsidR="086530A5" w:rsidRPr="003D1E07">
        <w:instrText xml:space="preserve">Avicenna" </w:instrText>
      </w:r>
      <w:r w:rsidR="086530A5" w:rsidRPr="003D1E07">
        <w:rPr>
          <w:i/>
          <w:lang w:eastAsia="en-US"/>
        </w:rPr>
        <w:fldChar w:fldCharType="end"/>
      </w:r>
      <w:r w:rsidR="086530A5" w:rsidRPr="003D1E07">
        <w:rPr>
          <w:i/>
          <w:lang w:eastAsia="en-US"/>
        </w:rPr>
        <w:t xml:space="preserve">, </w:t>
      </w:r>
      <w:r w:rsidR="086530A5" w:rsidRPr="003D1E07">
        <w:rPr>
          <w:lang w:eastAsia="en-US"/>
        </w:rPr>
        <w:t>kap. 1.2</w:t>
      </w:r>
      <w:r w:rsidR="08B57D63" w:rsidRPr="003D1E07">
        <w:rPr>
          <w:lang w:eastAsia="en-US"/>
        </w:rPr>
        <w:t>)</w:t>
      </w:r>
      <w:r w:rsidRPr="003D1E07">
        <w:rPr>
          <w:lang w:eastAsia="en-US"/>
        </w:rPr>
        <w:t>.</w:t>
      </w:r>
      <w:r w:rsidR="088453B3" w:rsidRPr="003D1E07">
        <w:rPr>
          <w:lang w:eastAsia="en-US"/>
        </w:rPr>
        <w:t xml:space="preserve"> </w:t>
      </w:r>
      <w:r w:rsidR="007D6F13" w:rsidRPr="003D1E07">
        <w:rPr>
          <w:lang w:eastAsia="en-US"/>
        </w:rPr>
        <w:t>A</w:t>
      </w:r>
      <w:r w:rsidR="007D6F13" w:rsidRPr="003D1E07">
        <w:t>l-</w:t>
      </w:r>
      <w:r w:rsidR="008E02F5" w:rsidRPr="003D1E07">
        <w:t>Fárábí</w:t>
      </w:r>
      <w:r w:rsidR="00CD7B89" w:rsidRPr="003D1E07">
        <w:t xml:space="preserve"> </w:t>
      </w:r>
      <w:r w:rsidR="009E6518" w:rsidRPr="003D1E07">
        <w:t>vytvořil nový náhled na bytí substance, aniž by</w:t>
      </w:r>
      <w:r w:rsidR="003678C5" w:rsidRPr="003D1E07">
        <w:t xml:space="preserve"> </w:t>
      </w:r>
      <w:r w:rsidR="002A0FBA">
        <w:t xml:space="preserve">plně </w:t>
      </w:r>
      <w:r w:rsidR="008232A5" w:rsidRPr="003D1E07">
        <w:t xml:space="preserve">vyjasnil </w:t>
      </w:r>
      <w:r w:rsidR="00F66F2B" w:rsidRPr="003D1E07">
        <w:t xml:space="preserve">metafyzický </w:t>
      </w:r>
      <w:r w:rsidR="002B6842" w:rsidRPr="003D1E07">
        <w:t>status</w:t>
      </w:r>
      <w:r w:rsidR="00CB0CE8" w:rsidRPr="003D1E07">
        <w:t xml:space="preserve"> této operace</w:t>
      </w:r>
      <w:r w:rsidR="002B6842" w:rsidRPr="003D1E07">
        <w:t xml:space="preserve">. </w:t>
      </w:r>
      <w:r w:rsidR="08F4627B" w:rsidRPr="003D1E07">
        <w:t>Jeho s</w:t>
      </w:r>
      <w:r w:rsidR="00A81ACF" w:rsidRPr="003D1E07">
        <w:t xml:space="preserve">ubstance </w:t>
      </w:r>
      <w:r w:rsidR="007F5D6C">
        <w:t xml:space="preserve">existuje </w:t>
      </w:r>
      <w:r w:rsidR="08C01E29" w:rsidRPr="003D1E07">
        <w:t xml:space="preserve">jako nejasný </w:t>
      </w:r>
      <w:r w:rsidR="00DA16A5" w:rsidRPr="003D1E07">
        <w:t>kvazi</w:t>
      </w:r>
      <w:r w:rsidR="08C01E29" w:rsidRPr="003D1E07">
        <w:t>-substrát</w:t>
      </w:r>
      <w:r w:rsidR="00A81ACF" w:rsidRPr="003D1E07">
        <w:t xml:space="preserve"> </w:t>
      </w:r>
      <w:r w:rsidR="008A62CA" w:rsidRPr="003D1E07">
        <w:t xml:space="preserve">různých </w:t>
      </w:r>
      <w:r w:rsidR="00A81ACF" w:rsidRPr="003D1E07">
        <w:t xml:space="preserve">určení jsoucna </w:t>
      </w:r>
      <w:r w:rsidR="007F5D6C">
        <w:t xml:space="preserve">a proto </w:t>
      </w:r>
      <w:r w:rsidR="00A81ACF" w:rsidRPr="003D1E07">
        <w:t>představovala značně rozporný kompromis</w:t>
      </w:r>
      <w:r w:rsidR="08102927" w:rsidRPr="003D1E07">
        <w:t xml:space="preserve"> (kap. 2.1.2)</w:t>
      </w:r>
      <w:r w:rsidR="00A81ACF" w:rsidRPr="003D1E07">
        <w:t xml:space="preserve">. </w:t>
      </w:r>
      <w:r w:rsidR="00127B36" w:rsidRPr="003D1E07">
        <w:t xml:space="preserve">Druhý mistr nechal </w:t>
      </w:r>
      <w:r w:rsidR="005C4A13" w:rsidRPr="003D1E07">
        <w:t xml:space="preserve">současně </w:t>
      </w:r>
      <w:r w:rsidR="00127B36" w:rsidRPr="003D1E07">
        <w:t xml:space="preserve">platit transcendentální i kategoriální predikaci </w:t>
      </w:r>
      <w:r w:rsidR="00127B36" w:rsidRPr="003D1E07">
        <w:rPr>
          <w:i/>
        </w:rPr>
        <w:t>per prius</w:t>
      </w:r>
      <w:r w:rsidR="00C37307" w:rsidRPr="003D1E07">
        <w:t xml:space="preserve"> a n</w:t>
      </w:r>
      <w:r w:rsidR="001B55CA" w:rsidRPr="003D1E07">
        <w:t xml:space="preserve">evyřešil </w:t>
      </w:r>
      <w:r w:rsidR="00127B36" w:rsidRPr="003D1E07">
        <w:t>ambivalentní</w:t>
      </w:r>
      <w:r w:rsidR="001B55CA" w:rsidRPr="003D1E07">
        <w:t xml:space="preserve"> určení </w:t>
      </w:r>
      <w:r w:rsidR="001B55CA" w:rsidRPr="003D1E07">
        <w:rPr>
          <w:i/>
        </w:rPr>
        <w:t>tertium ens</w:t>
      </w:r>
      <w:r w:rsidR="00127B36" w:rsidRPr="003D1E07">
        <w:t xml:space="preserve">, </w:t>
      </w:r>
      <w:r w:rsidR="001B55CA" w:rsidRPr="003D1E07">
        <w:t xml:space="preserve">které bylo včleněno </w:t>
      </w:r>
      <w:r w:rsidR="00127B36" w:rsidRPr="003D1E07">
        <w:t xml:space="preserve">do nové struktury metafyziky. </w:t>
      </w:r>
      <w:r w:rsidR="00AB538F" w:rsidRPr="003D1E07">
        <w:t>N</w:t>
      </w:r>
      <w:r w:rsidR="00F91AAE" w:rsidRPr="003D1E07">
        <w:t xml:space="preserve">eudržitelnost </w:t>
      </w:r>
      <w:r w:rsidR="00AB538F" w:rsidRPr="003D1E07">
        <w:t xml:space="preserve">tohoto postoje </w:t>
      </w:r>
      <w:r w:rsidR="00A81FEE" w:rsidRPr="003D1E07">
        <w:t>dokazuje r</w:t>
      </w:r>
      <w:r w:rsidR="007D6F13" w:rsidRPr="003D1E07">
        <w:t xml:space="preserve">eakce Avicenny </w:t>
      </w:r>
      <w:r w:rsidR="005C47DC" w:rsidRPr="003D1E07">
        <w:t xml:space="preserve"> a </w:t>
      </w:r>
      <w:r w:rsidR="001214A9" w:rsidRPr="003D1E07">
        <w:t xml:space="preserve"> </w:t>
      </w:r>
      <w:r w:rsidR="002E3B62" w:rsidRPr="003D1E07">
        <w:t>Averroes</w:t>
      </w:r>
      <w:r w:rsidR="00737484" w:rsidRPr="003D1E07">
        <w:t xml:space="preserve">e </w:t>
      </w:r>
      <w:r w:rsidR="007D6F13" w:rsidRPr="003D1E07">
        <w:t xml:space="preserve">na </w:t>
      </w:r>
      <w:r w:rsidR="00200625" w:rsidRPr="003D1E07">
        <w:t xml:space="preserve">výše analyzovanou </w:t>
      </w:r>
      <w:r w:rsidR="00584BF3" w:rsidRPr="003D1E07">
        <w:t>metafyzickou neutralitu</w:t>
      </w:r>
      <w:r w:rsidR="00781D03" w:rsidRPr="003D1E07">
        <w:t xml:space="preserve"> Al-</w:t>
      </w:r>
      <w:r w:rsidR="008E02F5" w:rsidRPr="003D1E07">
        <w:t>Fárábí</w:t>
      </w:r>
      <w:r w:rsidR="001C013E" w:rsidRPr="003D1E07">
        <w:t>ho</w:t>
      </w:r>
      <w:r w:rsidR="00584BF3" w:rsidRPr="003D1E07">
        <w:t xml:space="preserve">. </w:t>
      </w:r>
      <w:r w:rsidR="0036404C" w:rsidRPr="003D1E07">
        <w:t xml:space="preserve">Oba </w:t>
      </w:r>
      <w:r w:rsidR="08580FC0" w:rsidRPr="003D1E07">
        <w:t xml:space="preserve">slavní žáci Druhého mistra </w:t>
      </w:r>
      <w:r w:rsidR="0036404C" w:rsidRPr="003D1E07">
        <w:t xml:space="preserve">pochopili </w:t>
      </w:r>
      <w:r w:rsidR="007D6F13" w:rsidRPr="003D1E07">
        <w:t>ambivalenci</w:t>
      </w:r>
      <w:r w:rsidR="002B66A3" w:rsidRPr="003D1E07">
        <w:t xml:space="preserve"> substance a intelektuálního </w:t>
      </w:r>
      <w:r w:rsidR="00A81FEE" w:rsidRPr="003D1E07">
        <w:t xml:space="preserve">náhledu </w:t>
      </w:r>
      <w:r w:rsidR="007D6F13" w:rsidRPr="003D1E07">
        <w:t>jako spor mezi dvěma určeními metafyziky</w:t>
      </w:r>
      <w:r w:rsidR="00462D27" w:rsidRPr="003D1E07">
        <w:t xml:space="preserve">, mezi nimiž je třeba jasně </w:t>
      </w:r>
      <w:r w:rsidR="00AB2D3A" w:rsidRPr="003D1E07">
        <w:t>volit</w:t>
      </w:r>
      <w:r w:rsidR="00C24B04" w:rsidRPr="003D1E07">
        <w:t xml:space="preserve">. </w:t>
      </w:r>
      <w:r w:rsidR="002E3B62" w:rsidRPr="003D1E07">
        <w:t>Averroes</w:t>
      </w:r>
      <w:r w:rsidR="00723AF8" w:rsidRPr="003D1E07">
        <w:t xml:space="preserve"> vyřešil ambivalenci substance tím, že zrušil všechna jsoucna třetího druhu a vrátil se k původní aristotelské diferenci mezi první a druhou substancí. Avicenna </w:t>
      </w:r>
      <w:r w:rsidR="009260C3" w:rsidRPr="003D1E07">
        <w:t>naopak jsoucno tř</w:t>
      </w:r>
      <w:r w:rsidR="08BD26D0" w:rsidRPr="003D1E07">
        <w:t>etího druhu v modu Al-</w:t>
      </w:r>
      <w:r w:rsidR="008E02F5" w:rsidRPr="003D1E07">
        <w:t>Fárábí</w:t>
      </w:r>
      <w:r w:rsidR="08202B04" w:rsidRPr="003D1E07">
        <w:t xml:space="preserve">ho </w:t>
      </w:r>
      <w:r w:rsidR="009260C3" w:rsidRPr="003D1E07">
        <w:rPr>
          <w:i/>
        </w:rPr>
        <w:t>aliud esse</w:t>
      </w:r>
      <w:r w:rsidR="006E22C9" w:rsidRPr="003D1E07">
        <w:rPr>
          <w:i/>
        </w:rPr>
        <w:fldChar w:fldCharType="begin"/>
      </w:r>
      <w:r w:rsidR="006E22C9" w:rsidRPr="003D1E07">
        <w:instrText xml:space="preserve"> XE "</w:instrText>
      </w:r>
      <w:r w:rsidR="006E22C9" w:rsidRPr="003D1E07">
        <w:rPr>
          <w:i/>
        </w:rPr>
        <w:instrText>aliud esse</w:instrText>
      </w:r>
      <w:r w:rsidR="006E22C9" w:rsidRPr="003D1E07">
        <w:instrText xml:space="preserve">" </w:instrText>
      </w:r>
      <w:r w:rsidR="006E22C9" w:rsidRPr="003D1E07">
        <w:rPr>
          <w:i/>
        </w:rPr>
        <w:fldChar w:fldCharType="end"/>
      </w:r>
      <w:r w:rsidR="009260C3" w:rsidRPr="003D1E07">
        <w:t xml:space="preserve"> validoval tím, že </w:t>
      </w:r>
      <w:r w:rsidR="00723AF8" w:rsidRPr="003D1E07">
        <w:t xml:space="preserve">vytvořil </w:t>
      </w:r>
      <w:r w:rsidR="007C3AAC" w:rsidRPr="003D1E07">
        <w:t>nov</w:t>
      </w:r>
      <w:r w:rsidR="00723AF8" w:rsidRPr="003D1E07">
        <w:t xml:space="preserve">ý </w:t>
      </w:r>
      <w:r w:rsidR="002B52C2" w:rsidRPr="003D1E07">
        <w:t xml:space="preserve">ontoteologický </w:t>
      </w:r>
      <w:r w:rsidR="002B52C2" w:rsidRPr="003D1E07">
        <w:lastRenderedPageBreak/>
        <w:t>rozvrh jsoucna</w:t>
      </w:r>
      <w:r w:rsidR="08B84381" w:rsidRPr="003D1E07">
        <w:t xml:space="preserve"> a </w:t>
      </w:r>
      <w:r w:rsidR="0026389A" w:rsidRPr="003D1E07">
        <w:t>vytvořil odpovídající gnoseologii</w:t>
      </w:r>
      <w:r w:rsidR="00E96D70">
        <w:t>.</w:t>
      </w:r>
      <w:r w:rsidR="00957A8E">
        <w:t xml:space="preserve"> </w:t>
      </w:r>
      <w:r w:rsidR="00763D17" w:rsidRPr="003D1E07">
        <w:t xml:space="preserve">Ibn Síná </w:t>
      </w:r>
      <w:r w:rsidR="00F42E79" w:rsidRPr="003D1E07">
        <w:t xml:space="preserve">dal podle vlastních slov velké almužny chudým v den, kdy </w:t>
      </w:r>
      <w:r w:rsidR="00A75730" w:rsidRPr="003D1E07">
        <w:t xml:space="preserve">konečně </w:t>
      </w:r>
      <w:r w:rsidR="00F42E79" w:rsidRPr="003D1E07">
        <w:t xml:space="preserve">pochopil </w:t>
      </w:r>
      <w:r w:rsidR="00693A1A" w:rsidRPr="003D1E07">
        <w:t>četbou Al-</w:t>
      </w:r>
      <w:r w:rsidR="008E02F5" w:rsidRPr="003D1E07">
        <w:t>Fárábí</w:t>
      </w:r>
      <w:r w:rsidR="00693A1A" w:rsidRPr="003D1E07">
        <w:t xml:space="preserve">ho </w:t>
      </w:r>
      <w:r w:rsidR="00A35987" w:rsidRPr="003D1E07">
        <w:t xml:space="preserve">spisu </w:t>
      </w:r>
      <w:r w:rsidR="00A271F0" w:rsidRPr="003D1E07">
        <w:t xml:space="preserve">hledaný </w:t>
      </w:r>
      <w:r w:rsidR="00F42E79" w:rsidRPr="003D1E07">
        <w:t>předmět (</w:t>
      </w:r>
      <w:r w:rsidR="00F42E79" w:rsidRPr="003D1E07">
        <w:rPr>
          <w:i/>
        </w:rPr>
        <w:t>ġaraḍ</w:t>
      </w:r>
      <w:r w:rsidR="00F42E79" w:rsidRPr="003D1E07">
        <w:t xml:space="preserve">) </w:t>
      </w:r>
      <w:r w:rsidR="00693A1A" w:rsidRPr="003D1E07">
        <w:t xml:space="preserve">Aristotelovy </w:t>
      </w:r>
      <w:r w:rsidR="00F42E79" w:rsidRPr="003D1E07">
        <w:t xml:space="preserve">metafyziky jako první vědy. </w:t>
      </w:r>
      <w:r w:rsidR="00F512D9" w:rsidRPr="003D1E07">
        <w:t xml:space="preserve">Současný </w:t>
      </w:r>
      <w:r w:rsidR="0045671B" w:rsidRPr="003D1E07">
        <w:t xml:space="preserve">rozbor Avicennovy cesty k porozumění </w:t>
      </w:r>
      <w:r w:rsidR="0045671B" w:rsidRPr="003D1E07">
        <w:rPr>
          <w:i/>
        </w:rPr>
        <w:t>Metafyziky</w:t>
      </w:r>
      <w:r w:rsidR="0045671B" w:rsidRPr="003D1E07">
        <w:t xml:space="preserve"> </w:t>
      </w:r>
      <w:r w:rsidR="00600550" w:rsidRPr="003D1E07">
        <w:t>se odvolává na dvě</w:t>
      </w:r>
      <w:r w:rsidR="007F62E8" w:rsidRPr="003D1E07">
        <w:t xml:space="preserve"> </w:t>
      </w:r>
      <w:r w:rsidR="00600550" w:rsidRPr="003D1E07">
        <w:t xml:space="preserve">poznámky </w:t>
      </w:r>
      <w:r w:rsidR="0000128C" w:rsidRPr="003D1E07">
        <w:t xml:space="preserve">v </w:t>
      </w:r>
      <w:r w:rsidR="0045671B" w:rsidRPr="003D1E07">
        <w:t>jeho životopise</w:t>
      </w:r>
      <w:r w:rsidR="00007B31" w:rsidRPr="003D1E07">
        <w:t xml:space="preserve"> (Bertolacci 2001)</w:t>
      </w:r>
      <w:r w:rsidR="081C2409" w:rsidRPr="003D1E07">
        <w:t xml:space="preserve">. </w:t>
      </w:r>
      <w:r w:rsidR="08ED7849" w:rsidRPr="003D1E07">
        <w:t xml:space="preserve">První </w:t>
      </w:r>
      <w:r w:rsidR="00BC3B1C" w:rsidRPr="003D1E07">
        <w:t>četba se</w:t>
      </w:r>
      <w:r w:rsidR="0045671B" w:rsidRPr="003D1E07">
        <w:t xml:space="preserve"> t</w:t>
      </w:r>
      <w:r w:rsidR="00BC3B1C" w:rsidRPr="003D1E07">
        <w:t xml:space="preserve">ýkala hlavně </w:t>
      </w:r>
      <w:r w:rsidR="0045671B" w:rsidRPr="003D1E07">
        <w:t>knih II</w:t>
      </w:r>
      <w:r w:rsidR="003D041E" w:rsidRPr="003D1E07">
        <w:t>.</w:t>
      </w:r>
      <w:r w:rsidR="00CF58B7" w:rsidRPr="003D1E07">
        <w:t>1</w:t>
      </w:r>
      <w:r w:rsidR="002E49B4" w:rsidRPr="003D1E07">
        <w:t>–</w:t>
      </w:r>
      <w:r w:rsidR="00CF58B7" w:rsidRPr="003D1E07">
        <w:t>2</w:t>
      </w:r>
      <w:r w:rsidR="0045671B" w:rsidRPr="003D1E07">
        <w:t xml:space="preserve"> (</w:t>
      </w:r>
      <w:r w:rsidR="0045671B" w:rsidRPr="003D1E07">
        <w:rPr>
          <w:i/>
        </w:rPr>
        <w:t>Alfa elatton</w:t>
      </w:r>
      <w:r w:rsidR="0045671B" w:rsidRPr="003D1E07">
        <w:t>) a X</w:t>
      </w:r>
      <w:r w:rsidR="000B185C" w:rsidRPr="003D1E07">
        <w:t>II</w:t>
      </w:r>
      <w:r w:rsidR="003D041E" w:rsidRPr="003D1E07">
        <w:t>.</w:t>
      </w:r>
      <w:r w:rsidR="00CF58B7" w:rsidRPr="003D1E07">
        <w:t>6</w:t>
      </w:r>
      <w:r w:rsidR="002E49B4" w:rsidRPr="003D1E07">
        <w:t>–</w:t>
      </w:r>
      <w:r w:rsidR="00CF58B7" w:rsidRPr="003D1E07">
        <w:t>10</w:t>
      </w:r>
      <w:r w:rsidR="0045671B" w:rsidRPr="003D1E07">
        <w:t xml:space="preserve"> (</w:t>
      </w:r>
      <w:r w:rsidR="0045671B" w:rsidRPr="003D1E07">
        <w:rPr>
          <w:i/>
        </w:rPr>
        <w:t>Lambda</w:t>
      </w:r>
      <w:r w:rsidR="0045671B" w:rsidRPr="003D1E07">
        <w:t xml:space="preserve">), kde je metafyzika podána jako </w:t>
      </w:r>
      <w:r w:rsidR="0045671B" w:rsidRPr="003D1E07">
        <w:rPr>
          <w:i/>
        </w:rPr>
        <w:t>theologia naturalis</w:t>
      </w:r>
      <w:r w:rsidR="006C6549" w:rsidRPr="003D1E07">
        <w:rPr>
          <w:i/>
        </w:rPr>
        <w:fldChar w:fldCharType="begin"/>
      </w:r>
      <w:r w:rsidR="006C6549" w:rsidRPr="003D1E07">
        <w:instrText xml:space="preserve"> XE "</w:instrText>
      </w:r>
      <w:r w:rsidR="006C6549" w:rsidRPr="003D1E07">
        <w:rPr>
          <w:i/>
          <w:iCs/>
        </w:rPr>
        <w:instrText>theologia naturalis</w:instrText>
      </w:r>
      <w:r w:rsidR="006C6549" w:rsidRPr="003D1E07">
        <w:instrText xml:space="preserve">" </w:instrText>
      </w:r>
      <w:r w:rsidR="006C6549" w:rsidRPr="003D1E07">
        <w:rPr>
          <w:i/>
        </w:rPr>
        <w:fldChar w:fldCharType="end"/>
      </w:r>
      <w:r w:rsidR="0045671B" w:rsidRPr="003D1E07">
        <w:t xml:space="preserve"> </w:t>
      </w:r>
      <w:r w:rsidR="0056377B" w:rsidRPr="003D1E07">
        <w:t xml:space="preserve">na základě </w:t>
      </w:r>
      <w:r w:rsidR="0045671B" w:rsidRPr="003D1E07">
        <w:t>působení prvního Hybatele</w:t>
      </w:r>
      <w:r w:rsidR="00CF7D8D" w:rsidRPr="003D1E07">
        <w:t xml:space="preserve"> </w:t>
      </w:r>
      <w:r w:rsidR="009E245C" w:rsidRPr="003D1E07">
        <w:t xml:space="preserve">chápaného </w:t>
      </w:r>
      <w:r w:rsidR="00CF7D8D" w:rsidRPr="003D1E07">
        <w:t xml:space="preserve">jako </w:t>
      </w:r>
      <w:r w:rsidR="00CF7D8D" w:rsidRPr="003D1E07">
        <w:rPr>
          <w:i/>
        </w:rPr>
        <w:t>causa prima</w:t>
      </w:r>
      <w:r w:rsidR="00761354" w:rsidRPr="003D1E07">
        <w:rPr>
          <w:i/>
        </w:rPr>
        <w:fldChar w:fldCharType="begin"/>
      </w:r>
      <w:r w:rsidR="00761354" w:rsidRPr="003D1E07">
        <w:instrText xml:space="preserve"> XE "</w:instrText>
      </w:r>
      <w:r w:rsidR="00761354" w:rsidRPr="003D1E07">
        <w:rPr>
          <w:i/>
          <w:color w:val="000000"/>
        </w:rPr>
        <w:instrText>causa prima</w:instrText>
      </w:r>
      <w:r w:rsidR="00761354" w:rsidRPr="003D1E07">
        <w:instrText xml:space="preserve">" </w:instrText>
      </w:r>
      <w:r w:rsidR="00761354" w:rsidRPr="003D1E07">
        <w:rPr>
          <w:i/>
        </w:rPr>
        <w:fldChar w:fldCharType="end"/>
      </w:r>
      <w:r w:rsidR="0045671B" w:rsidRPr="003D1E07">
        <w:t xml:space="preserve">. </w:t>
      </w:r>
      <w:r w:rsidR="081C2409" w:rsidRPr="003D1E07">
        <w:t xml:space="preserve">První četba byla pod vlivem Al-Kindího </w:t>
      </w:r>
      <w:r w:rsidR="087348B4" w:rsidRPr="003D1E07">
        <w:t xml:space="preserve">díla </w:t>
      </w:r>
      <w:r w:rsidR="087348B4" w:rsidRPr="003D1E07">
        <w:rPr>
          <w:i/>
        </w:rPr>
        <w:t>Kniha</w:t>
      </w:r>
      <w:r w:rsidR="081C2409" w:rsidRPr="003D1E07">
        <w:rPr>
          <w:i/>
        </w:rPr>
        <w:t xml:space="preserve"> o první filosofii</w:t>
      </w:r>
      <w:r w:rsidR="081C2409" w:rsidRPr="003D1E07">
        <w:t xml:space="preserve"> (</w:t>
      </w:r>
      <w:r w:rsidR="081C2409" w:rsidRPr="003D1E07">
        <w:rPr>
          <w:i/>
        </w:rPr>
        <w:t>Kitāb fī al-Falsafa al-ūlā</w:t>
      </w:r>
      <w:r w:rsidR="081C2409" w:rsidRPr="003D1E07">
        <w:t>). M</w:t>
      </w:r>
      <w:r w:rsidR="001747F0" w:rsidRPr="003D1E07">
        <w:t>etafyzika jako přirozená teologie (</w:t>
      </w:r>
      <w:r w:rsidR="00BC6901" w:rsidRPr="003D1E07">
        <w:rPr>
          <w:i/>
        </w:rPr>
        <w:t>Met</w:t>
      </w:r>
      <w:r w:rsidR="002B1B94" w:rsidRPr="003D1E07">
        <w:t xml:space="preserve">. </w:t>
      </w:r>
      <w:r w:rsidR="00F259D6" w:rsidRPr="003D1E07">
        <w:t xml:space="preserve">II a </w:t>
      </w:r>
      <w:r w:rsidR="001747F0" w:rsidRPr="003D1E07">
        <w:t>X</w:t>
      </w:r>
      <w:r w:rsidR="000B185C" w:rsidRPr="003D1E07">
        <w:t>II</w:t>
      </w:r>
      <w:r w:rsidR="001747F0" w:rsidRPr="003D1E07">
        <w:t xml:space="preserve">)  </w:t>
      </w:r>
      <w:r w:rsidR="00957F56" w:rsidRPr="003D1E07">
        <w:t xml:space="preserve">se </w:t>
      </w:r>
      <w:r w:rsidR="001747F0" w:rsidRPr="003D1E07">
        <w:t xml:space="preserve">mění na </w:t>
      </w:r>
      <w:r w:rsidR="083624E8" w:rsidRPr="003D1E07">
        <w:t xml:space="preserve">transcendentálně pojatou první vědu </w:t>
      </w:r>
      <w:r w:rsidR="00495804" w:rsidRPr="003D1E07">
        <w:t>vztaženou</w:t>
      </w:r>
      <w:r w:rsidR="0000128C" w:rsidRPr="003D1E07">
        <w:t xml:space="preserve"> </w:t>
      </w:r>
      <w:r w:rsidR="0082305A" w:rsidRPr="003D1E07">
        <w:t xml:space="preserve">k První příčině a k Prvnímu bytí </w:t>
      </w:r>
      <w:r w:rsidR="0000128C" w:rsidRPr="003D1E07">
        <w:t>skrze predikaci</w:t>
      </w:r>
      <w:r w:rsidR="083624E8" w:rsidRPr="003D1E07">
        <w:t xml:space="preserve"> </w:t>
      </w:r>
      <w:r w:rsidR="083624E8" w:rsidRPr="003D1E07">
        <w:rPr>
          <w:i/>
        </w:rPr>
        <w:t>ens inquantum ens</w:t>
      </w:r>
      <w:r w:rsidR="0045671B" w:rsidRPr="003D1E07">
        <w:t>.</w:t>
      </w:r>
      <w:r w:rsidR="00CD24B8" w:rsidRPr="003D1E07">
        <w:t xml:space="preserve"> </w:t>
      </w:r>
      <w:r w:rsidR="088F550B" w:rsidRPr="003D1E07">
        <w:t xml:space="preserve">Druhá četba následovala po mezidobí interpretačního tápání, až Avicenna plně pochopil metafyzickou intenci Al-Fárábího danou v podobě ontoteologie navázané na novou formu </w:t>
      </w:r>
      <w:r w:rsidR="088F550B" w:rsidRPr="003D1E07">
        <w:rPr>
          <w:i/>
        </w:rPr>
        <w:t>aliud esse</w:t>
      </w:r>
      <w:r w:rsidR="088F550B" w:rsidRPr="003D1E07">
        <w:t xml:space="preserve"> (kap. 2.1.2)</w:t>
      </w:r>
      <w:r w:rsidR="088F550B" w:rsidRPr="003D1E07">
        <w:rPr>
          <w:i/>
        </w:rPr>
        <w:fldChar w:fldCharType="begin"/>
      </w:r>
      <w:r w:rsidR="088F550B" w:rsidRPr="003D1E07">
        <w:instrText xml:space="preserve"> XE "metafyzika:Avicenna" </w:instrText>
      </w:r>
      <w:r w:rsidR="088F550B" w:rsidRPr="003D1E07">
        <w:rPr>
          <w:i/>
        </w:rPr>
        <w:fldChar w:fldCharType="end"/>
      </w:r>
      <w:r w:rsidR="088F550B" w:rsidRPr="003D1E07">
        <w:t xml:space="preserve">. </w:t>
      </w:r>
      <w:r w:rsidR="00222404">
        <w:t>Avicenna založil</w:t>
      </w:r>
      <w:r w:rsidR="082A01D2" w:rsidRPr="003D1E07">
        <w:t xml:space="preserve"> </w:t>
      </w:r>
      <w:r w:rsidR="00D53B76" w:rsidRPr="003D1E07">
        <w:t xml:space="preserve">generickou formu jsoucnosti </w:t>
      </w:r>
      <w:r w:rsidR="00B0177B">
        <w:t xml:space="preserve">na nové formě ontologické neutrality postavené </w:t>
      </w:r>
      <w:r w:rsidR="082A01D2" w:rsidRPr="003D1E07">
        <w:t>mimo první substanci.</w:t>
      </w:r>
      <w:r w:rsidR="082A01D2" w:rsidRPr="003D1E07">
        <w:rPr>
          <w:rStyle w:val="FontStyle129"/>
          <w:rFonts w:ascii="Calibri" w:hAnsi="Calibri"/>
          <w:sz w:val="24"/>
        </w:rPr>
        <w:t xml:space="preserve"> </w:t>
      </w:r>
      <w:r w:rsidR="000E2C2B" w:rsidRPr="003D1E07">
        <w:t xml:space="preserve">Tato nová syntéza </w:t>
      </w:r>
      <w:r w:rsidR="008E02F5" w:rsidRPr="003D1E07">
        <w:t>Platon</w:t>
      </w:r>
      <w:r w:rsidR="00527DE5" w:rsidRPr="003D1E07">
        <w:t xml:space="preserve">a a Aristotela </w:t>
      </w:r>
      <w:r w:rsidR="00CE7DD9" w:rsidRPr="003D1E07">
        <w:t xml:space="preserve">zakládá </w:t>
      </w:r>
      <w:r w:rsidR="00440275" w:rsidRPr="003D1E07">
        <w:t xml:space="preserve">od </w:t>
      </w:r>
      <w:r w:rsidR="001131A2" w:rsidRPr="003D1E07">
        <w:t>Suárez</w:t>
      </w:r>
      <w:r w:rsidR="00440275" w:rsidRPr="003D1E07">
        <w:t xml:space="preserve">e </w:t>
      </w:r>
      <w:r w:rsidR="00790FD4" w:rsidRPr="003D1E07">
        <w:t xml:space="preserve">moderní </w:t>
      </w:r>
      <w:r w:rsidR="000E2C2B" w:rsidRPr="003D1E07">
        <w:t xml:space="preserve">pojetí </w:t>
      </w:r>
      <w:r w:rsidR="000E2C2B" w:rsidRPr="003D1E07">
        <w:rPr>
          <w:i/>
        </w:rPr>
        <w:t>metaphysica generalis</w:t>
      </w:r>
      <w:r w:rsidR="009B350B" w:rsidRPr="003D1E07">
        <w:rPr>
          <w:i/>
        </w:rPr>
        <w:fldChar w:fldCharType="begin"/>
      </w:r>
      <w:r w:rsidR="009B350B" w:rsidRPr="003D1E07">
        <w:instrText xml:space="preserve"> XE "</w:instrText>
      </w:r>
      <w:r w:rsidR="009B350B" w:rsidRPr="003D1E07">
        <w:rPr>
          <w:i/>
        </w:rPr>
        <w:instrText>metaphysica generalis</w:instrText>
      </w:r>
      <w:r w:rsidR="009B350B" w:rsidRPr="003D1E07">
        <w:instrText xml:space="preserve">" </w:instrText>
      </w:r>
      <w:r w:rsidR="009B350B" w:rsidRPr="003D1E07">
        <w:rPr>
          <w:i/>
        </w:rPr>
        <w:fldChar w:fldCharType="end"/>
      </w:r>
      <w:r w:rsidR="008B5352">
        <w:t xml:space="preserve"> a od Kanta postmoderní objektivitu</w:t>
      </w:r>
      <w:r w:rsidR="007A1EA9" w:rsidRPr="003D1E07">
        <w:t>.</w:t>
      </w:r>
    </w:p>
    <w:p w14:paraId="2A02FDD8" w14:textId="2F645736" w:rsidR="001C295A" w:rsidRPr="003D1E07" w:rsidRDefault="00C75418" w:rsidP="00957A8E">
      <w:pPr>
        <w:ind w:firstLine="397"/>
      </w:pPr>
      <w:r>
        <w:t xml:space="preserve">Nejprve je třeba </w:t>
      </w:r>
      <w:r w:rsidR="007A0D86" w:rsidRPr="003D1E07">
        <w:t xml:space="preserve">zkoumat predikaci </w:t>
      </w:r>
      <w:r w:rsidR="007A0D86" w:rsidRPr="003D1E07">
        <w:rPr>
          <w:i/>
        </w:rPr>
        <w:t>per prius</w:t>
      </w:r>
      <w:r w:rsidR="007A0D86" w:rsidRPr="003D1E07">
        <w:t xml:space="preserve">, která zakládá Avicennovu koncepci první vědy jako </w:t>
      </w:r>
      <w:r w:rsidR="009C7628">
        <w:t xml:space="preserve">nové </w:t>
      </w:r>
      <w:r w:rsidR="007A0D86" w:rsidRPr="003D1E07">
        <w:t xml:space="preserve">jednoty bytí a poznání. </w:t>
      </w:r>
      <w:r w:rsidR="00774D7E" w:rsidRPr="003D1E07">
        <w:t>V</w:t>
      </w:r>
      <w:r w:rsidR="007A0D86" w:rsidRPr="003D1E07">
        <w:t xml:space="preserve">znikla nová </w:t>
      </w:r>
      <w:r w:rsidR="009C7628">
        <w:t xml:space="preserve">jednota objektivní substance a jejího objektivního </w:t>
      </w:r>
      <w:r w:rsidR="00663D21" w:rsidRPr="003D1E07">
        <w:t>vědění, kter</w:t>
      </w:r>
      <w:r w:rsidR="00774D7E" w:rsidRPr="003D1E07">
        <w:t xml:space="preserve">á objektivně </w:t>
      </w:r>
      <w:r w:rsidR="009C7628">
        <w:t xml:space="preserve">viděno našla </w:t>
      </w:r>
      <w:r w:rsidR="00663D21" w:rsidRPr="003D1E07">
        <w:t>hled</w:t>
      </w:r>
      <w:r w:rsidR="009C7628">
        <w:t>aný</w:t>
      </w:r>
      <w:r w:rsidR="00774D7E" w:rsidRPr="003D1E07">
        <w:t xml:space="preserve"> cíl Aristotelovy</w:t>
      </w:r>
      <w:r w:rsidR="00663D21" w:rsidRPr="003D1E07">
        <w:t xml:space="preserve"> </w:t>
      </w:r>
      <w:r w:rsidR="00663D21" w:rsidRPr="003D1E07">
        <w:rPr>
          <w:i/>
        </w:rPr>
        <w:t>Metafyzik</w:t>
      </w:r>
      <w:r w:rsidR="00774D7E" w:rsidRPr="003D1E07">
        <w:rPr>
          <w:i/>
        </w:rPr>
        <w:t>y</w:t>
      </w:r>
      <w:r w:rsidR="00663D21" w:rsidRPr="003D1E07">
        <w:t xml:space="preserve">. </w:t>
      </w:r>
      <w:r w:rsidR="009C7628">
        <w:t>Tato trojnásobná objektivita světa, subjektu a jejich korespondence založila západní pojetí světa na epochálním omylu</w:t>
      </w:r>
      <w:r w:rsidR="002A7211">
        <w:t xml:space="preserve"> (</w:t>
      </w:r>
      <w:r w:rsidR="002A7211" w:rsidRPr="002A7211">
        <w:rPr>
          <w:i/>
        </w:rPr>
        <w:t>Irrtum</w:t>
      </w:r>
      <w:r w:rsidR="002A7211">
        <w:t>)</w:t>
      </w:r>
      <w:r w:rsidR="009C7628">
        <w:t xml:space="preserve">, který odsoudil Averroes. </w:t>
      </w:r>
      <w:r w:rsidR="002A7211">
        <w:t>Avicennův p</w:t>
      </w:r>
      <w:r w:rsidR="007A1EA9" w:rsidRPr="003D1E07">
        <w:t xml:space="preserve">rojekt první filosofie </w:t>
      </w:r>
      <w:r w:rsidR="00905F92">
        <w:t>navázal</w:t>
      </w:r>
      <w:r w:rsidR="005A6F15" w:rsidRPr="003D1E07">
        <w:t xml:space="preserve"> na Al-</w:t>
      </w:r>
      <w:r w:rsidR="008E02F5" w:rsidRPr="003D1E07">
        <w:t>Fárábí</w:t>
      </w:r>
      <w:r w:rsidR="002046D7" w:rsidRPr="003D1E07">
        <w:t>ho</w:t>
      </w:r>
      <w:r w:rsidR="00BF768A" w:rsidRPr="003D1E07">
        <w:t xml:space="preserve"> </w:t>
      </w:r>
      <w:r w:rsidR="08C8538C" w:rsidRPr="003D1E07">
        <w:t xml:space="preserve">aristotelismus </w:t>
      </w:r>
      <w:r w:rsidR="00BF768A" w:rsidRPr="003D1E07">
        <w:t>ve třech základních bodech</w:t>
      </w:r>
      <w:r w:rsidR="004A0A3E" w:rsidRPr="003D1E07">
        <w:t xml:space="preserve"> podaných v předešlé kapitole</w:t>
      </w:r>
      <w:r w:rsidR="007D32E6" w:rsidRPr="003D1E07">
        <w:t xml:space="preserve">. </w:t>
      </w:r>
      <w:r w:rsidR="0041512E" w:rsidRPr="003D1E07">
        <w:t xml:space="preserve">Manifestace jsoucna v metafyzice musí být podána skrze vyšší formu intelektu, který je napojen na hypostatickou formu substance. </w:t>
      </w:r>
      <w:r w:rsidR="009C50A7" w:rsidRPr="003D1E07">
        <w:t xml:space="preserve">Takto nazírané bytí </w:t>
      </w:r>
      <w:r w:rsidR="0041512E" w:rsidRPr="003D1E07">
        <w:t xml:space="preserve">jsoucna </w:t>
      </w:r>
      <w:r w:rsidR="009C50A7" w:rsidRPr="003D1E07">
        <w:t xml:space="preserve">třetího druhu </w:t>
      </w:r>
      <w:r w:rsidR="007D32E6" w:rsidRPr="003D1E07">
        <w:t xml:space="preserve">je nutno podat </w:t>
      </w:r>
      <w:r w:rsidR="0041512E" w:rsidRPr="003D1E07">
        <w:t xml:space="preserve">v novém </w:t>
      </w:r>
      <w:r w:rsidR="000C0C5D" w:rsidRPr="003D1E07">
        <w:t xml:space="preserve">rozvrhu </w:t>
      </w:r>
      <w:r w:rsidR="00ED6E42" w:rsidRPr="003D1E07">
        <w:t>první vědy</w:t>
      </w:r>
      <w:r w:rsidR="0041512E" w:rsidRPr="003D1E07">
        <w:t xml:space="preserve">, kterou Druhý </w:t>
      </w:r>
      <w:r w:rsidR="082369B3" w:rsidRPr="003D1E07">
        <w:t xml:space="preserve">mistr </w:t>
      </w:r>
      <w:r w:rsidR="0041512E" w:rsidRPr="003D1E07">
        <w:t>založil jako ontoteolog</w:t>
      </w:r>
      <w:r w:rsidR="00327E93" w:rsidRPr="003D1E07">
        <w:t xml:space="preserve">ickou </w:t>
      </w:r>
      <w:r w:rsidR="0041512E" w:rsidRPr="003D1E07">
        <w:t>formu metafyziky</w:t>
      </w:r>
      <w:r w:rsidR="00BF768A" w:rsidRPr="003D1E07">
        <w:t xml:space="preserve">. </w:t>
      </w:r>
      <w:r w:rsidR="006069AF" w:rsidRPr="003D1E07">
        <w:t xml:space="preserve">Ibn Sína </w:t>
      </w:r>
      <w:r w:rsidR="004F1198">
        <w:t xml:space="preserve">nově </w:t>
      </w:r>
      <w:r w:rsidR="001C295A" w:rsidRPr="003D1E07">
        <w:t>odpov</w:t>
      </w:r>
      <w:r w:rsidR="0092631D" w:rsidRPr="003D1E07">
        <w:t xml:space="preserve">ěděl </w:t>
      </w:r>
      <w:r w:rsidR="001C295A" w:rsidRPr="003D1E07">
        <w:t xml:space="preserve">na výzvu </w:t>
      </w:r>
      <w:r w:rsidR="004F1198">
        <w:t>po</w:t>
      </w:r>
      <w:r w:rsidR="00053614">
        <w:t>odkryté neutrality jsoucna</w:t>
      </w:r>
      <w:r w:rsidR="00454778" w:rsidRPr="003D1E07">
        <w:t xml:space="preserve">, kterou </w:t>
      </w:r>
      <w:r w:rsidR="080223E9" w:rsidRPr="003D1E07">
        <w:t xml:space="preserve">poprvé tematizoval </w:t>
      </w:r>
      <w:r w:rsidR="00454778" w:rsidRPr="003D1E07">
        <w:t>Al-</w:t>
      </w:r>
      <w:r w:rsidR="008E02F5" w:rsidRPr="003D1E07">
        <w:t>Fárábí</w:t>
      </w:r>
      <w:r w:rsidR="00053614">
        <w:t xml:space="preserve"> a Ibn Ádí</w:t>
      </w:r>
      <w:r w:rsidR="001C295A" w:rsidRPr="003D1E07">
        <w:t>.</w:t>
      </w:r>
      <w:r w:rsidR="08483F08" w:rsidRPr="003D1E07">
        <w:t xml:space="preserve"> </w:t>
      </w:r>
      <w:r w:rsidR="00136CF8" w:rsidRPr="003D1E07">
        <w:rPr>
          <w:lang w:eastAsia="en-US"/>
        </w:rPr>
        <w:t xml:space="preserve">Konfrontace Avicenny a </w:t>
      </w:r>
      <w:r w:rsidR="002E3B62" w:rsidRPr="003D1E07">
        <w:rPr>
          <w:lang w:eastAsia="en-US"/>
        </w:rPr>
        <w:t>Averroes</w:t>
      </w:r>
      <w:r w:rsidR="00136CF8" w:rsidRPr="003D1E07">
        <w:rPr>
          <w:lang w:eastAsia="en-US"/>
        </w:rPr>
        <w:t xml:space="preserve">e </w:t>
      </w:r>
      <w:r w:rsidR="080B5886" w:rsidRPr="003D1E07">
        <w:rPr>
          <w:lang w:eastAsia="en-US"/>
        </w:rPr>
        <w:t>ukáže pravdu a nep</w:t>
      </w:r>
      <w:r w:rsidR="003B175B" w:rsidRPr="003D1E07">
        <w:rPr>
          <w:lang w:eastAsia="en-US"/>
        </w:rPr>
        <w:t>ravdu metafyziky Druhého mistra</w:t>
      </w:r>
      <w:r w:rsidR="00136CF8" w:rsidRPr="003D1E07">
        <w:rPr>
          <w:lang w:eastAsia="en-US"/>
        </w:rPr>
        <w:t xml:space="preserve">. </w:t>
      </w:r>
      <w:r w:rsidR="007F3C49">
        <w:rPr>
          <w:rStyle w:val="FontStyle129"/>
          <w:rFonts w:ascii="Calibri" w:hAnsi="Calibri"/>
          <w:sz w:val="24"/>
        </w:rPr>
        <w:t>P</w:t>
      </w:r>
      <w:r w:rsidR="007F3C49" w:rsidRPr="003D1E07">
        <w:rPr>
          <w:rStyle w:val="FontStyle129"/>
          <w:rFonts w:ascii="Calibri" w:hAnsi="Calibri"/>
          <w:sz w:val="24"/>
        </w:rPr>
        <w:t xml:space="preserve">ojetí pravdy jako </w:t>
      </w:r>
      <w:r w:rsidR="007F3C49">
        <w:rPr>
          <w:rStyle w:val="FontStyle129"/>
          <w:rFonts w:ascii="Calibri" w:hAnsi="Calibri"/>
          <w:sz w:val="24"/>
        </w:rPr>
        <w:t xml:space="preserve">moderní </w:t>
      </w:r>
      <w:r w:rsidR="007F3C49" w:rsidRPr="003D1E07">
        <w:rPr>
          <w:rStyle w:val="FontStyle129"/>
          <w:rFonts w:ascii="Calibri" w:hAnsi="Calibri"/>
          <w:sz w:val="24"/>
        </w:rPr>
        <w:t xml:space="preserve">spekulace a asimilace zásadně odmítne Averroes a vrátí se k aristotelskému pojetí adekvace. Avicennovo pojetí pravdy a intelektu aktualizuje od roku 1240 skupina </w:t>
      </w:r>
      <w:r w:rsidR="007F3C49" w:rsidRPr="003D1E07">
        <w:rPr>
          <w:rStyle w:val="FontStyle129"/>
          <w:rFonts w:ascii="Calibri" w:hAnsi="Calibri"/>
          <w:i/>
          <w:sz w:val="24"/>
        </w:rPr>
        <w:t>Modernorum</w:t>
      </w:r>
      <w:r w:rsidR="007F3C49" w:rsidRPr="003D1E07">
        <w:rPr>
          <w:rStyle w:val="FontStyle129"/>
          <w:rFonts w:ascii="Calibri" w:hAnsi="Calibri"/>
          <w:sz w:val="24"/>
        </w:rPr>
        <w:t xml:space="preserve"> v Oxfordu a v Paříži, čímž založí první schéma objektivity. </w:t>
      </w:r>
      <w:r w:rsidR="007F3C49" w:rsidRPr="003D1E07">
        <w:t xml:space="preserve">Oxfordský avicennista Rufus toto asimilační pojetí pravdy nazve výstižným termínem </w:t>
      </w:r>
      <w:r w:rsidR="007F3C49" w:rsidRPr="003D1E07">
        <w:rPr>
          <w:i/>
        </w:rPr>
        <w:t>coaequatio</w:t>
      </w:r>
      <w:r w:rsidR="007F3C49" w:rsidRPr="003D1E07">
        <w:t xml:space="preserve"> (OBJ II, </w:t>
      </w:r>
      <w:r w:rsidR="007F3C49" w:rsidRPr="003D1E07">
        <w:rPr>
          <w:rStyle w:val="FontStyle129"/>
          <w:rFonts w:ascii="Calibri" w:hAnsi="Calibri"/>
          <w:sz w:val="24"/>
        </w:rPr>
        <w:t>kap. 3.3.2</w:t>
      </w:r>
      <w:r w:rsidR="007F3C49" w:rsidRPr="003D1E07">
        <w:t>).</w:t>
      </w:r>
      <w:r w:rsidR="007F3C49">
        <w:t xml:space="preserve"> </w:t>
      </w:r>
      <w:r w:rsidR="003C16DB" w:rsidRPr="003D1E07">
        <w:lastRenderedPageBreak/>
        <w:t>Následuj</w:t>
      </w:r>
      <w:r w:rsidR="086E081C" w:rsidRPr="003D1E07">
        <w:t>í</w:t>
      </w:r>
      <w:r w:rsidR="003C16DB" w:rsidRPr="003D1E07">
        <w:t>c</w:t>
      </w:r>
      <w:r w:rsidR="08F61EBC" w:rsidRPr="003D1E07">
        <w:t>í analýzy</w:t>
      </w:r>
      <w:r w:rsidR="086E081C" w:rsidRPr="003D1E07">
        <w:t xml:space="preserve"> ukáží</w:t>
      </w:r>
      <w:r w:rsidR="007F3C49">
        <w:t>,</w:t>
      </w:r>
      <w:r w:rsidR="0054418F">
        <w:t xml:space="preserve"> jak ta</w:t>
      </w:r>
      <w:r w:rsidR="086E081C" w:rsidRPr="003D1E07">
        <w:t>to d</w:t>
      </w:r>
      <w:r w:rsidR="0843660B" w:rsidRPr="003D1E07">
        <w:t xml:space="preserve">vojí </w:t>
      </w:r>
      <w:r w:rsidR="003B175B" w:rsidRPr="003D1E07">
        <w:t>pod</w:t>
      </w:r>
      <w:r w:rsidR="007F3C49">
        <w:t xml:space="preserve">oba metafyzické pravdivosti, </w:t>
      </w:r>
      <w:r w:rsidR="003B175B" w:rsidRPr="003D1E07">
        <w:rPr>
          <w:lang w:eastAsia="en-US"/>
        </w:rPr>
        <w:t xml:space="preserve">daná </w:t>
      </w:r>
      <w:r w:rsidR="00ED1898" w:rsidRPr="003D1E07">
        <w:rPr>
          <w:lang w:eastAsia="en-US"/>
        </w:rPr>
        <w:t xml:space="preserve">gigantomachií Avicenny a </w:t>
      </w:r>
      <w:r w:rsidR="002E3B62" w:rsidRPr="003D1E07">
        <w:rPr>
          <w:lang w:eastAsia="en-US"/>
        </w:rPr>
        <w:t>Averroes</w:t>
      </w:r>
      <w:r w:rsidR="00ED1898" w:rsidRPr="003D1E07">
        <w:rPr>
          <w:lang w:eastAsia="en-US"/>
        </w:rPr>
        <w:t>e</w:t>
      </w:r>
      <w:r w:rsidR="007F3C49">
        <w:rPr>
          <w:lang w:eastAsia="en-US"/>
        </w:rPr>
        <w:t>,</w:t>
      </w:r>
      <w:r w:rsidR="00ED1898" w:rsidRPr="003D1E07">
        <w:rPr>
          <w:lang w:eastAsia="en-US"/>
        </w:rPr>
        <w:t xml:space="preserve"> </w:t>
      </w:r>
      <w:r w:rsidR="0843660B" w:rsidRPr="003D1E07">
        <w:rPr>
          <w:lang w:eastAsia="en-US"/>
        </w:rPr>
        <w:t xml:space="preserve">určuje </w:t>
      </w:r>
      <w:r w:rsidR="003B175B" w:rsidRPr="003D1E07">
        <w:rPr>
          <w:lang w:eastAsia="en-US"/>
        </w:rPr>
        <w:t xml:space="preserve">dějiny </w:t>
      </w:r>
      <w:r w:rsidR="0843660B" w:rsidRPr="003D1E07">
        <w:rPr>
          <w:lang w:eastAsia="en-US"/>
        </w:rPr>
        <w:t>Západu.</w:t>
      </w:r>
    </w:p>
    <w:p w14:paraId="4FD10C41" w14:textId="77777777" w:rsidR="00E15CD6" w:rsidRPr="003D1E07" w:rsidRDefault="00D53B76" w:rsidP="086C1F19">
      <w:pPr>
        <w:pStyle w:val="Nadpis3"/>
        <w:rPr>
          <w:lang w:val="cs-CZ"/>
        </w:rPr>
      </w:pPr>
      <w:r w:rsidRPr="003D1E07">
        <w:rPr>
          <w:lang w:val="cs-CZ"/>
        </w:rPr>
        <w:br w:type="page"/>
      </w:r>
      <w:bookmarkStart w:id="47" w:name="_Toc93747279"/>
      <w:bookmarkStart w:id="48" w:name="_Toc102906169"/>
      <w:r w:rsidR="00E15CD6" w:rsidRPr="003D1E07">
        <w:rPr>
          <w:lang w:val="cs-CZ"/>
        </w:rPr>
        <w:lastRenderedPageBreak/>
        <w:t xml:space="preserve">2.3.1 </w:t>
      </w:r>
      <w:r w:rsidR="0063716F" w:rsidRPr="003D1E07">
        <w:rPr>
          <w:lang w:val="cs-CZ"/>
        </w:rPr>
        <w:t xml:space="preserve">Objektivní </w:t>
      </w:r>
      <w:r w:rsidR="00E15CD6" w:rsidRPr="003D1E07">
        <w:rPr>
          <w:lang w:val="cs-CZ"/>
        </w:rPr>
        <w:t>náhled</w:t>
      </w:r>
      <w:r w:rsidR="0063716F" w:rsidRPr="003D1E07">
        <w:rPr>
          <w:lang w:val="cs-CZ"/>
        </w:rPr>
        <w:t xml:space="preserve"> na jsoucno</w:t>
      </w:r>
      <w:bookmarkEnd w:id="47"/>
      <w:bookmarkEnd w:id="48"/>
    </w:p>
    <w:p w14:paraId="0BEB8708" w14:textId="24B2589B" w:rsidR="005E2FCD" w:rsidRDefault="009B176A" w:rsidP="000B72B0">
      <w:r w:rsidRPr="003D1E07">
        <w:rPr>
          <w:rStyle w:val="FontStyle129"/>
          <w:rFonts w:ascii="Calibri" w:hAnsi="Calibri"/>
          <w:sz w:val="24"/>
        </w:rPr>
        <w:t>Spor mezi aristotelismem a neoplatonismem ukázal, že p</w:t>
      </w:r>
      <w:r w:rsidR="002207E9" w:rsidRPr="003D1E07">
        <w:rPr>
          <w:rStyle w:val="FontStyle129"/>
          <w:rFonts w:ascii="Calibri" w:hAnsi="Calibri"/>
          <w:sz w:val="24"/>
        </w:rPr>
        <w:t xml:space="preserve">rimární osmyslnění </w:t>
      </w:r>
      <w:r w:rsidR="00971DCD" w:rsidRPr="003D1E07">
        <w:rPr>
          <w:rStyle w:val="FontStyle129"/>
          <w:rFonts w:ascii="Calibri" w:hAnsi="Calibri"/>
          <w:sz w:val="24"/>
        </w:rPr>
        <w:t xml:space="preserve">jsoucna v poznávajícím intelektu </w:t>
      </w:r>
      <w:r w:rsidR="002207E9" w:rsidRPr="003D1E07">
        <w:rPr>
          <w:rStyle w:val="FontStyle129"/>
          <w:rFonts w:ascii="Calibri" w:hAnsi="Calibri"/>
          <w:sz w:val="24"/>
        </w:rPr>
        <w:t xml:space="preserve">pochází buď od reálně existující věci, nebo od </w:t>
      </w:r>
      <w:r w:rsidR="008D617C" w:rsidRPr="003D1E07">
        <w:rPr>
          <w:rStyle w:val="FontStyle129"/>
          <w:rFonts w:ascii="Calibri" w:hAnsi="Calibri"/>
          <w:sz w:val="24"/>
        </w:rPr>
        <w:t>zcela auto</w:t>
      </w:r>
      <w:r w:rsidR="000627CF" w:rsidRPr="003D1E07">
        <w:rPr>
          <w:rStyle w:val="FontStyle129"/>
          <w:rFonts w:ascii="Calibri" w:hAnsi="Calibri"/>
          <w:sz w:val="24"/>
        </w:rPr>
        <w:t>no</w:t>
      </w:r>
      <w:r w:rsidR="008D617C" w:rsidRPr="003D1E07">
        <w:rPr>
          <w:rStyle w:val="FontStyle129"/>
          <w:rFonts w:ascii="Calibri" w:hAnsi="Calibri"/>
          <w:sz w:val="24"/>
        </w:rPr>
        <w:t>mních inteligibilních forem</w:t>
      </w:r>
      <w:r w:rsidR="002207E9" w:rsidRPr="003D1E07">
        <w:rPr>
          <w:rStyle w:val="FontStyle129"/>
          <w:rFonts w:ascii="Calibri" w:hAnsi="Calibri"/>
          <w:sz w:val="24"/>
        </w:rPr>
        <w:t xml:space="preserve">. </w:t>
      </w:r>
      <w:r w:rsidR="08612B20" w:rsidRPr="003D1E07">
        <w:t xml:space="preserve">Nová figura abstrakce a intelektu stojí na </w:t>
      </w:r>
      <w:r w:rsidR="00C60101" w:rsidRPr="003D1E07">
        <w:t xml:space="preserve">mytopoetice </w:t>
      </w:r>
      <w:r w:rsidR="08612B20" w:rsidRPr="003D1E07">
        <w:t>intelektu-slunce, který přešel  z Plat</w:t>
      </w:r>
      <w:r w:rsidR="00FB550B">
        <w:t xml:space="preserve">onova podobenství o jeskyni do </w:t>
      </w:r>
      <w:r w:rsidR="00BA61EF">
        <w:t>neoplatonské falsafy</w:t>
      </w:r>
      <w:r w:rsidR="08612B20" w:rsidRPr="003D1E07">
        <w:t xml:space="preserve">. </w:t>
      </w:r>
      <w:r w:rsidR="084726E7" w:rsidRPr="003D1E07">
        <w:t xml:space="preserve">Aristoteles </w:t>
      </w:r>
      <w:r w:rsidR="00CA6650">
        <w:rPr>
          <w:rStyle w:val="FontStyle129"/>
          <w:rFonts w:ascii="Calibri" w:hAnsi="Calibri"/>
          <w:sz w:val="24"/>
        </w:rPr>
        <w:t>odmítl</w:t>
      </w:r>
      <w:r w:rsidR="084726E7" w:rsidRPr="003D1E07">
        <w:rPr>
          <w:rStyle w:val="FontStyle129"/>
          <w:rFonts w:ascii="Calibri" w:hAnsi="Calibri"/>
          <w:sz w:val="24"/>
        </w:rPr>
        <w:t xml:space="preserve"> založit vědecké pozná</w:t>
      </w:r>
      <w:r w:rsidR="007B36EC">
        <w:rPr>
          <w:rStyle w:val="FontStyle129"/>
          <w:rFonts w:ascii="Calibri" w:hAnsi="Calibri"/>
          <w:sz w:val="24"/>
        </w:rPr>
        <w:t>ní skrze Platonovy hypostázované ideje</w:t>
      </w:r>
      <w:r w:rsidR="084726E7" w:rsidRPr="003D1E07">
        <w:rPr>
          <w:rStyle w:val="FontStyle129"/>
          <w:rFonts w:ascii="Calibri" w:hAnsi="Calibri"/>
          <w:sz w:val="24"/>
        </w:rPr>
        <w:t xml:space="preserve">, které intelekt nazírá pomocí iluminace nebo anamnéze. </w:t>
      </w:r>
      <w:r w:rsidR="004E05B8" w:rsidRPr="003D1E07">
        <w:t xml:space="preserve">Bez aktuální hylemorfické substance dané mimo nás není možný výkon smyslového poznání (διὰ τί ἄνευ τῶν ἔξω οὐ ποιοῦσιν αἴσθησιν), protože schopnost smyslů je sama o sobě pouhou potencí, a nikoliv aktualitou (τὸ αἰσθητικὸν οὐκ ἔστιν ἐνεργείᾳ, ἀλλὰ δυνάμει μόνον, </w:t>
      </w:r>
      <w:r w:rsidR="004E05B8" w:rsidRPr="003D1E07">
        <w:rPr>
          <w:i/>
        </w:rPr>
        <w:t>De anima</w:t>
      </w:r>
      <w:r w:rsidR="004E05B8" w:rsidRPr="003D1E07">
        <w:t xml:space="preserve"> 417a3‒7</w:t>
      </w:r>
      <w:r w:rsidR="004E05B8" w:rsidRPr="003D1E07">
        <w:rPr>
          <w:i/>
        </w:rPr>
        <w:fldChar w:fldCharType="begin"/>
      </w:r>
      <w:r w:rsidR="004E05B8" w:rsidRPr="003D1E07">
        <w:instrText xml:space="preserve"> XE "Aristoteles:</w:instrText>
      </w:r>
      <w:r w:rsidR="004E05B8" w:rsidRPr="003D1E07">
        <w:rPr>
          <w:i/>
        </w:rPr>
        <w:instrText>De anima</w:instrText>
      </w:r>
      <w:r w:rsidR="004E05B8" w:rsidRPr="003D1E07">
        <w:instrText xml:space="preserve"> 417a3‒7" </w:instrText>
      </w:r>
      <w:r w:rsidR="004E05B8" w:rsidRPr="003D1E07">
        <w:rPr>
          <w:i/>
        </w:rPr>
        <w:fldChar w:fldCharType="end"/>
      </w:r>
      <w:r w:rsidR="00002732">
        <w:t xml:space="preserve">). </w:t>
      </w:r>
      <w:r w:rsidR="00002732" w:rsidRPr="003D1E07">
        <w:rPr>
          <w:rStyle w:val="FontStyle129"/>
          <w:rFonts w:ascii="Calibri" w:hAnsi="Calibri"/>
          <w:sz w:val="24"/>
        </w:rPr>
        <w:t xml:space="preserve">Smysly musí být iniciovány od aktuálního vnějšího zdroje, stejně jako hořlavou látku musí zapálit již hořící oheň. </w:t>
      </w:r>
      <w:r w:rsidR="00002732" w:rsidRPr="003D1E07">
        <w:t>Primárně jsou smysly a intelekt vzhledem k poznání první substance pouze v potenci a mají pouze receptivní charakter.</w:t>
      </w:r>
      <w:r w:rsidR="00002732">
        <w:t xml:space="preserve"> </w:t>
      </w:r>
      <w:r w:rsidR="009C6473" w:rsidRPr="003D1E07">
        <w:t xml:space="preserve">Nasvícení </w:t>
      </w:r>
      <w:r w:rsidR="00002732">
        <w:t xml:space="preserve">smyslu jsoucna </w:t>
      </w:r>
      <w:r w:rsidR="009C6473" w:rsidRPr="003D1E07">
        <w:t xml:space="preserve">jde zepředu od aktuální věci, protože </w:t>
      </w:r>
      <w:r w:rsidR="000617CC">
        <w:t xml:space="preserve">jedině </w:t>
      </w:r>
      <w:r w:rsidR="009C6473" w:rsidRPr="003D1E07">
        <w:t>první substance</w:t>
      </w:r>
      <w:r w:rsidR="00A70FA4" w:rsidRPr="003D1E07">
        <w:fldChar w:fldCharType="begin"/>
      </w:r>
      <w:r w:rsidR="00A70FA4" w:rsidRPr="003D1E07">
        <w:instrText xml:space="preserve"> XE "substance</w:instrText>
      </w:r>
      <w:r w:rsidR="00E86F8D" w:rsidRPr="003D1E07">
        <w:instrText>:první</w:instrText>
      </w:r>
      <w:r w:rsidR="00A70FA4" w:rsidRPr="003D1E07">
        <w:instrText xml:space="preserve">" </w:instrText>
      </w:r>
      <w:r w:rsidR="00A70FA4" w:rsidRPr="003D1E07">
        <w:fldChar w:fldCharType="end"/>
      </w:r>
      <w:r w:rsidR="009C6473" w:rsidRPr="003D1E07">
        <w:t xml:space="preserve"> </w:t>
      </w:r>
      <w:r w:rsidR="003F75DA" w:rsidRPr="003D1E07">
        <w:t>existují</w:t>
      </w:r>
      <w:r w:rsidR="08CB77CF" w:rsidRPr="003D1E07">
        <w:t>cí</w:t>
      </w:r>
      <w:r w:rsidR="009C6473" w:rsidRPr="003D1E07">
        <w:t xml:space="preserve"> </w:t>
      </w:r>
      <w:r w:rsidR="009C6473" w:rsidRPr="003D1E07">
        <w:rPr>
          <w:i/>
        </w:rPr>
        <w:t>simpliciter</w:t>
      </w:r>
      <w:r w:rsidR="009C6473" w:rsidRPr="003D1E07">
        <w:t xml:space="preserve"> a </w:t>
      </w:r>
      <w:r w:rsidR="009C6473" w:rsidRPr="003D1E07">
        <w:rPr>
          <w:i/>
        </w:rPr>
        <w:t>per se</w:t>
      </w:r>
      <w:r w:rsidR="009C6473" w:rsidRPr="003D1E07">
        <w:t xml:space="preserve"> </w:t>
      </w:r>
      <w:r w:rsidR="00901412" w:rsidRPr="003D1E07">
        <w:t xml:space="preserve">mohou založit kategoriální predikaci jako pravdivé poznání světa </w:t>
      </w:r>
      <w:r w:rsidR="08AF6B7D" w:rsidRPr="003D1E07">
        <w:t>(kap. 1.3</w:t>
      </w:r>
      <w:r w:rsidR="009C6473" w:rsidRPr="003D1E07">
        <w:t xml:space="preserve">). </w:t>
      </w:r>
      <w:r w:rsidR="000C78A4" w:rsidRPr="003D1E07">
        <w:t xml:space="preserve">Bez </w:t>
      </w:r>
      <w:r w:rsidR="009C3693">
        <w:t xml:space="preserve">kauzálního působení věci na smysly </w:t>
      </w:r>
      <w:r w:rsidR="000C78A4" w:rsidRPr="003D1E07">
        <w:t>by nevznikla adekvace věci a intelektu</w:t>
      </w:r>
      <w:r w:rsidR="00E86F8D" w:rsidRPr="003D1E07">
        <w:rPr>
          <w:i/>
        </w:rPr>
        <w:fldChar w:fldCharType="begin"/>
      </w:r>
      <w:r w:rsidR="00E86F8D" w:rsidRPr="003D1E07">
        <w:instrText xml:space="preserve"> XE "zjevování:nasvícení zepředu" </w:instrText>
      </w:r>
      <w:r w:rsidR="00E86F8D" w:rsidRPr="003D1E07">
        <w:rPr>
          <w:i/>
        </w:rPr>
        <w:fldChar w:fldCharType="end"/>
      </w:r>
      <w:r w:rsidR="000C78A4" w:rsidRPr="003D1E07">
        <w:t xml:space="preserve">, ale pouze analogická podobnost jedné intelektuální formy s jinou. </w:t>
      </w:r>
      <w:r w:rsidR="00B74E73" w:rsidRPr="003D1E07">
        <w:t xml:space="preserve"> </w:t>
      </w:r>
      <w:r w:rsidR="00D35524" w:rsidRPr="003D1E07">
        <w:t>U</w:t>
      </w:r>
      <w:r w:rsidR="00700F1F" w:rsidRPr="003D1E07">
        <w:t xml:space="preserve">niverzální receptivita </w:t>
      </w:r>
      <w:r w:rsidR="00D35524" w:rsidRPr="003D1E07">
        <w:t xml:space="preserve">smyslů a intelektu </w:t>
      </w:r>
      <w:r w:rsidR="00700F1F" w:rsidRPr="003D1E07">
        <w:t xml:space="preserve">daná mimo </w:t>
      </w:r>
      <w:r w:rsidR="08CE1578" w:rsidRPr="003D1E07">
        <w:t xml:space="preserve">reálnou </w:t>
      </w:r>
      <w:r w:rsidR="00700F1F" w:rsidRPr="003D1E07">
        <w:t xml:space="preserve">substanci </w:t>
      </w:r>
      <w:r w:rsidR="00BF5D2E" w:rsidRPr="003D1E07">
        <w:t xml:space="preserve">dává základní </w:t>
      </w:r>
      <w:r w:rsidR="00434B2C" w:rsidRPr="003D1E07">
        <w:t xml:space="preserve">otázku po hermeneutickém </w:t>
      </w:r>
      <w:r w:rsidR="0068125F">
        <w:t xml:space="preserve">způsobu, </w:t>
      </w:r>
      <w:r w:rsidR="00BF5D2E" w:rsidRPr="003D1E07">
        <w:t>„jak“ (</w:t>
      </w:r>
      <w:r w:rsidR="0068125F">
        <w:t xml:space="preserve">Heideggerovo </w:t>
      </w:r>
      <w:r w:rsidR="00BF5D2E" w:rsidRPr="0068125F">
        <w:rPr>
          <w:i/>
        </w:rPr>
        <w:t>Wie</w:t>
      </w:r>
      <w:r w:rsidR="00BF5D2E" w:rsidRPr="003D1E07">
        <w:t xml:space="preserve">, </w:t>
      </w:r>
      <w:r w:rsidR="0068125F">
        <w:t xml:space="preserve">Aristotelovo </w:t>
      </w:r>
      <w:r w:rsidR="00BF5D2E" w:rsidRPr="003D1E07">
        <w:t xml:space="preserve">πώς) může </w:t>
      </w:r>
      <w:r w:rsidR="009215E7" w:rsidRPr="003D1E07">
        <w:t xml:space="preserve">lidská </w:t>
      </w:r>
      <w:r w:rsidR="00BF5D2E" w:rsidRPr="003D1E07">
        <w:t xml:space="preserve">duše </w:t>
      </w:r>
      <w:r w:rsidR="009215E7" w:rsidRPr="003D1E07">
        <w:t xml:space="preserve">přijmout </w:t>
      </w:r>
      <w:r w:rsidR="00700F1F" w:rsidRPr="003D1E07">
        <w:t xml:space="preserve">všechno </w:t>
      </w:r>
      <w:r w:rsidR="00BF5D2E" w:rsidRPr="003D1E07">
        <w:t xml:space="preserve">poznání </w:t>
      </w:r>
      <w:r w:rsidR="00700F1F" w:rsidRPr="003D1E07">
        <w:t>(</w:t>
      </w:r>
      <w:r w:rsidR="00BF5D2E" w:rsidRPr="003D1E07">
        <w:t>ψυχὴ τὰ ὄντα πώς ἐστι πάντα</w:t>
      </w:r>
      <w:r w:rsidR="00700F1F" w:rsidRPr="003D1E07">
        <w:rPr>
          <w:rStyle w:val="st"/>
          <w:bCs/>
        </w:rPr>
        <w:t xml:space="preserve">, </w:t>
      </w:r>
      <w:r w:rsidR="00B713C5" w:rsidRPr="003D1E07">
        <w:rPr>
          <w:rStyle w:val="FontStyle129"/>
          <w:rFonts w:ascii="Calibri" w:hAnsi="Calibri"/>
          <w:i/>
          <w:sz w:val="24"/>
        </w:rPr>
        <w:t>De anima</w:t>
      </w:r>
      <w:r w:rsidR="00700F1F" w:rsidRPr="003D1E07">
        <w:rPr>
          <w:rStyle w:val="FontStyle129"/>
          <w:rFonts w:ascii="Calibri" w:hAnsi="Calibri"/>
          <w:sz w:val="24"/>
        </w:rPr>
        <w:t xml:space="preserve"> 431b21</w:t>
      </w:r>
      <w:r w:rsidR="00E86F8D" w:rsidRPr="003D1E07">
        <w:rPr>
          <w:i/>
        </w:rPr>
        <w:fldChar w:fldCharType="begin"/>
      </w:r>
      <w:r w:rsidR="00E86F8D" w:rsidRPr="003D1E07">
        <w:instrText xml:space="preserve"> XE "</w:instrText>
      </w:r>
      <w:r w:rsidR="008E02F5" w:rsidRPr="003D1E07">
        <w:instrText>Aristoteles</w:instrText>
      </w:r>
      <w:r w:rsidR="00E86F8D" w:rsidRPr="003D1E07">
        <w:instrText>:</w:instrText>
      </w:r>
      <w:r w:rsidR="00E86F8D" w:rsidRPr="003D1E07">
        <w:rPr>
          <w:i/>
        </w:rPr>
        <w:instrText>De anima</w:instrText>
      </w:r>
      <w:r w:rsidR="00E86F8D" w:rsidRPr="003D1E07">
        <w:instrText xml:space="preserve"> 431b21" </w:instrText>
      </w:r>
      <w:r w:rsidR="00E86F8D" w:rsidRPr="003D1E07">
        <w:rPr>
          <w:i/>
        </w:rPr>
        <w:fldChar w:fldCharType="end"/>
      </w:r>
      <w:r w:rsidR="00700F1F" w:rsidRPr="003D1E07">
        <w:rPr>
          <w:rStyle w:val="FontStyle129"/>
          <w:rFonts w:ascii="Calibri" w:hAnsi="Calibri"/>
          <w:sz w:val="24"/>
        </w:rPr>
        <w:t xml:space="preserve">). </w:t>
      </w:r>
      <w:r w:rsidR="08391305" w:rsidRPr="003D1E07">
        <w:t xml:space="preserve">Předchozí část ukázala, že neoplatonská antika a </w:t>
      </w:r>
      <w:r w:rsidR="08F037CC" w:rsidRPr="003D1E07">
        <w:t xml:space="preserve">první </w:t>
      </w:r>
      <w:r w:rsidR="08391305" w:rsidRPr="003D1E07">
        <w:t xml:space="preserve">falsafa nadřadila aktivní a činnou složku intelektu jeho receptivitě, což odmítl Al-Fárábí zavedením </w:t>
      </w:r>
      <w:r w:rsidR="08391305" w:rsidRPr="003D1E07">
        <w:rPr>
          <w:i/>
        </w:rPr>
        <w:t>intellectus in potencia</w:t>
      </w:r>
      <w:r w:rsidR="08391305" w:rsidRPr="003D1E07">
        <w:t xml:space="preserve"> (kap. 2.1.1). </w:t>
      </w:r>
      <w:r w:rsidR="08772BBF" w:rsidRPr="003D1E07">
        <w:t xml:space="preserve">Intelekt a smysly jsou </w:t>
      </w:r>
      <w:r w:rsidR="08391305" w:rsidRPr="003D1E07">
        <w:t xml:space="preserve">pro aristoteliky </w:t>
      </w:r>
      <w:r w:rsidR="08772BBF" w:rsidRPr="003D1E07">
        <w:t>pouhou potencí duše, neexistují samy o sob</w:t>
      </w:r>
      <w:r w:rsidR="00BD1192" w:rsidRPr="003D1E07">
        <w:t xml:space="preserve">ě. </w:t>
      </w:r>
      <w:r w:rsidR="003D5A8A">
        <w:t>Buď t</w:t>
      </w:r>
      <w:r w:rsidR="00BD1192" w:rsidRPr="003D1E07">
        <w:t>voří součást</w:t>
      </w:r>
      <w:r w:rsidR="00DA4CA7" w:rsidRPr="003D1E07">
        <w:t xml:space="preserve"> těla</w:t>
      </w:r>
      <w:r w:rsidR="00BD1192" w:rsidRPr="003D1E07">
        <w:t xml:space="preserve"> jak</w:t>
      </w:r>
      <w:r w:rsidR="00DA4CA7" w:rsidRPr="003D1E07">
        <w:t xml:space="preserve">o jeho </w:t>
      </w:r>
      <w:r w:rsidR="00BD1192" w:rsidRPr="003D1E07">
        <w:t xml:space="preserve">smyslové </w:t>
      </w:r>
      <w:r w:rsidR="00DA4CA7" w:rsidRPr="003D1E07">
        <w:t xml:space="preserve">orgány, </w:t>
      </w:r>
      <w:r w:rsidR="08772BBF" w:rsidRPr="003D1E07">
        <w:t xml:space="preserve">nebo </w:t>
      </w:r>
      <w:r w:rsidR="00BD1192" w:rsidRPr="003D1E07">
        <w:t xml:space="preserve">tvoří schopnost </w:t>
      </w:r>
      <w:r w:rsidR="08772BBF" w:rsidRPr="003D1E07">
        <w:t xml:space="preserve">duše jako </w:t>
      </w:r>
      <w:r w:rsidR="00DA4CA7" w:rsidRPr="003D1E07">
        <w:t xml:space="preserve">nemateriální </w:t>
      </w:r>
      <w:r w:rsidR="00F14287" w:rsidRPr="003D1E07">
        <w:t xml:space="preserve">entelechické </w:t>
      </w:r>
      <w:r w:rsidR="08772BBF" w:rsidRPr="003D1E07">
        <w:t xml:space="preserve">formy </w:t>
      </w:r>
      <w:r w:rsidR="003302AE" w:rsidRPr="003D1E07">
        <w:t>živého organismu</w:t>
      </w:r>
      <w:r w:rsidR="08772BBF" w:rsidRPr="003D1E07">
        <w:t xml:space="preserve">. </w:t>
      </w:r>
      <w:r w:rsidR="082C40F7" w:rsidRPr="003D1E07">
        <w:t xml:space="preserve">Poznávací primát má v duši receptivní složka intelektu obrácená ke smyslům, která je </w:t>
      </w:r>
      <w:r w:rsidR="006D365C" w:rsidRPr="003D1E07">
        <w:t xml:space="preserve">nejprve a zásadně </w:t>
      </w:r>
      <w:r w:rsidR="002F2E86">
        <w:t>aktualizovaná smyslovou</w:t>
      </w:r>
      <w:r w:rsidR="082C40F7" w:rsidRPr="003D1E07">
        <w:t xml:space="preserve"> </w:t>
      </w:r>
      <w:r w:rsidR="00F214C5" w:rsidRPr="003D1E07">
        <w:t>species</w:t>
      </w:r>
      <w:r w:rsidR="082C40F7" w:rsidRPr="003D1E07">
        <w:t>. Inteligibilní</w:t>
      </w:r>
      <w:r w:rsidR="081968F6" w:rsidRPr="003D1E07">
        <w:t xml:space="preserve"> část d</w:t>
      </w:r>
      <w:r w:rsidR="081968F6" w:rsidRPr="003D1E07">
        <w:rPr>
          <w:rStyle w:val="FontStyle129"/>
          <w:rFonts w:ascii="Calibri" w:hAnsi="Calibri"/>
          <w:sz w:val="24"/>
        </w:rPr>
        <w:t xml:space="preserve">uše je vzhledem k aktuálně či potenciálně daným věcem </w:t>
      </w:r>
      <w:r w:rsidR="082C40F7" w:rsidRPr="003D1E07">
        <w:rPr>
          <w:rStyle w:val="FontStyle129"/>
          <w:rFonts w:ascii="Calibri" w:hAnsi="Calibri"/>
          <w:sz w:val="24"/>
        </w:rPr>
        <w:t xml:space="preserve">nemateriálně </w:t>
      </w:r>
      <w:r w:rsidR="081968F6" w:rsidRPr="003D1E07">
        <w:rPr>
          <w:rStyle w:val="FontStyle129"/>
          <w:rFonts w:ascii="Calibri" w:hAnsi="Calibri"/>
          <w:sz w:val="24"/>
        </w:rPr>
        <w:t xml:space="preserve">receptivní proto, aby byla schopna univerzálního poznání celku jsoucna. </w:t>
      </w:r>
      <w:r w:rsidR="000A3269" w:rsidRPr="003D1E07">
        <w:t xml:space="preserve">Tato </w:t>
      </w:r>
      <w:r w:rsidR="00F04630" w:rsidRPr="003D1E07">
        <w:t xml:space="preserve">fundamentální </w:t>
      </w:r>
      <w:r w:rsidR="000A3269" w:rsidRPr="003D1E07">
        <w:t xml:space="preserve">diference mezi receptivní </w:t>
      </w:r>
      <w:r w:rsidR="00670EBE" w:rsidRPr="003D1E07">
        <w:t xml:space="preserve">(γίνεσθαι) </w:t>
      </w:r>
      <w:r w:rsidR="000A3269" w:rsidRPr="003D1E07">
        <w:t xml:space="preserve">a aktivní složkou intelektu </w:t>
      </w:r>
      <w:r w:rsidR="00670EBE" w:rsidRPr="003D1E07">
        <w:t xml:space="preserve">(ποιεῖν) </w:t>
      </w:r>
      <w:r w:rsidR="000A3269" w:rsidRPr="003D1E07">
        <w:t xml:space="preserve">se vyskytuje v nejdůležitější části </w:t>
      </w:r>
      <w:r w:rsidR="00B713C5" w:rsidRPr="003D1E07">
        <w:rPr>
          <w:i/>
        </w:rPr>
        <w:t>De anima</w:t>
      </w:r>
      <w:r w:rsidR="000A3269" w:rsidRPr="003D1E07">
        <w:rPr>
          <w:i/>
        </w:rPr>
        <w:t xml:space="preserve"> </w:t>
      </w:r>
      <w:r w:rsidR="000A3269" w:rsidRPr="003D1E07">
        <w:t xml:space="preserve">popisující dvojí složku poznání  v duši (νοῦς τῷ πάντα γίνεσθαι, ὁ δὲ τῷ πάντα ποιεῖν, </w:t>
      </w:r>
      <w:r w:rsidR="00B713C5" w:rsidRPr="003D1E07">
        <w:rPr>
          <w:i/>
        </w:rPr>
        <w:t>De anima</w:t>
      </w:r>
      <w:r w:rsidR="000A3269" w:rsidRPr="003D1E07">
        <w:t xml:space="preserve"> 430a14–15</w:t>
      </w:r>
      <w:r w:rsidR="00E86F8D" w:rsidRPr="003D1E07">
        <w:rPr>
          <w:i/>
        </w:rPr>
        <w:fldChar w:fldCharType="begin"/>
      </w:r>
      <w:r w:rsidR="00E86F8D" w:rsidRPr="003D1E07">
        <w:instrText xml:space="preserve"> XE "</w:instrText>
      </w:r>
      <w:r w:rsidR="008E02F5" w:rsidRPr="003D1E07">
        <w:instrText>Aristoteles</w:instrText>
      </w:r>
      <w:r w:rsidR="00E86F8D" w:rsidRPr="003D1E07">
        <w:instrText>:</w:instrText>
      </w:r>
      <w:r w:rsidR="00E86F8D" w:rsidRPr="003D1E07">
        <w:rPr>
          <w:i/>
        </w:rPr>
        <w:instrText>De anima</w:instrText>
      </w:r>
      <w:r w:rsidR="00E86F8D" w:rsidRPr="003D1E07">
        <w:instrText xml:space="preserve"> 430a14‒15" </w:instrText>
      </w:r>
      <w:r w:rsidR="00E86F8D" w:rsidRPr="003D1E07">
        <w:rPr>
          <w:i/>
        </w:rPr>
        <w:fldChar w:fldCharType="end"/>
      </w:r>
      <w:r w:rsidR="000A3269" w:rsidRPr="003D1E07">
        <w:t>).</w:t>
      </w:r>
      <w:r w:rsidR="001968DA" w:rsidRPr="003D1E07">
        <w:t xml:space="preserve"> </w:t>
      </w:r>
      <w:r w:rsidR="00C351DA" w:rsidRPr="003D1E07">
        <w:t>K</w:t>
      </w:r>
      <w:r w:rsidR="00AC4015" w:rsidRPr="003D1E07">
        <w:t>omentář</w:t>
      </w:r>
      <w:r w:rsidR="08D07AAF" w:rsidRPr="003D1E07">
        <w:t xml:space="preserve"> Alexand</w:t>
      </w:r>
      <w:r w:rsidR="00AC4015" w:rsidRPr="003D1E07">
        <w:t xml:space="preserve">ra Afrodisia </w:t>
      </w:r>
      <w:r w:rsidR="00955903" w:rsidRPr="003D1E07">
        <w:fldChar w:fldCharType="begin"/>
      </w:r>
      <w:r w:rsidR="00955903" w:rsidRPr="003D1E07">
        <w:instrText xml:space="preserve"> XE "Alexander Afrodisias" </w:instrText>
      </w:r>
      <w:r w:rsidR="00955903" w:rsidRPr="003D1E07">
        <w:fldChar w:fldCharType="end"/>
      </w:r>
      <w:r w:rsidR="00AC4015" w:rsidRPr="003D1E07">
        <w:t xml:space="preserve">k </w:t>
      </w:r>
      <w:r w:rsidR="00AD6999" w:rsidRPr="003D1E07">
        <w:rPr>
          <w:rStyle w:val="TextpoznpodarouChar"/>
          <w:i/>
        </w:rPr>
        <w:t xml:space="preserve">De anima </w:t>
      </w:r>
      <w:r w:rsidR="00AC4015" w:rsidRPr="003D1E07">
        <w:t>dá těm</w:t>
      </w:r>
      <w:r w:rsidR="00421958" w:rsidRPr="003D1E07">
        <w:t>t</w:t>
      </w:r>
      <w:r w:rsidR="08BA4016" w:rsidRPr="003D1E07">
        <w:t>o složkám du</w:t>
      </w:r>
      <w:r w:rsidR="00586B2D" w:rsidRPr="003D1E07">
        <w:t>še kanonické názvy. Receptivní s</w:t>
      </w:r>
      <w:r w:rsidR="08BA4016" w:rsidRPr="003D1E07">
        <w:t xml:space="preserve">ložku duše vyjadřuje </w:t>
      </w:r>
      <w:r w:rsidR="00421958" w:rsidRPr="003D1E07">
        <w:t>materiální</w:t>
      </w:r>
      <w:r w:rsidR="08BA4016" w:rsidRPr="003D1E07">
        <w:t xml:space="preserve"> intelekt</w:t>
      </w:r>
      <w:r w:rsidR="00421958" w:rsidRPr="003D1E07">
        <w:t xml:space="preserve"> a </w:t>
      </w:r>
      <w:r w:rsidR="08BA4016" w:rsidRPr="003D1E07">
        <w:t xml:space="preserve">aktivní složku </w:t>
      </w:r>
      <w:r w:rsidR="00421958" w:rsidRPr="003D1E07">
        <w:t>činný</w:t>
      </w:r>
      <w:r w:rsidR="08BA4016" w:rsidRPr="003D1E07">
        <w:t xml:space="preserve"> </w:t>
      </w:r>
      <w:r w:rsidR="08BA4016" w:rsidRPr="003D1E07">
        <w:lastRenderedPageBreak/>
        <w:t>intelekt</w:t>
      </w:r>
      <w:r w:rsidR="00421958" w:rsidRPr="003D1E07">
        <w:t xml:space="preserve"> </w:t>
      </w:r>
      <w:r w:rsidR="00AC4015" w:rsidRPr="003D1E07">
        <w:t>(ἐπεί ἐστιν ὑλικός τις νοῦς, εἶναί τινα δεῖ καὶ ποιητικὸν νοῦν</w:t>
      </w:r>
      <w:r w:rsidR="00AC4015" w:rsidRPr="003D1E07">
        <w:rPr>
          <w:rFonts w:ascii="Verdana" w:hAnsi="Verdana"/>
          <w:sz w:val="20"/>
        </w:rPr>
        <w:t xml:space="preserve">; </w:t>
      </w:r>
      <w:r w:rsidR="00C351DA" w:rsidRPr="003D1E07">
        <w:rPr>
          <w:i/>
        </w:rPr>
        <w:t xml:space="preserve">Alex. </w:t>
      </w:r>
      <w:r w:rsidR="003302AE" w:rsidRPr="003D1E07">
        <w:rPr>
          <w:i/>
        </w:rPr>
        <w:t xml:space="preserve">in </w:t>
      </w:r>
      <w:r w:rsidR="00C351DA" w:rsidRPr="003D1E07">
        <w:rPr>
          <w:i/>
        </w:rPr>
        <w:t>De anima</w:t>
      </w:r>
      <w:r w:rsidR="00AD6999" w:rsidRPr="003D1E07">
        <w:t xml:space="preserve"> </w:t>
      </w:r>
      <w:r w:rsidR="00E86F8D" w:rsidRPr="003D1E07">
        <w:t>88.23</w:t>
      </w:r>
      <w:r w:rsidR="00AC4015" w:rsidRPr="003D1E07">
        <w:t>‒24</w:t>
      </w:r>
      <w:r w:rsidR="00E86F8D" w:rsidRPr="003D1E07">
        <w:rPr>
          <w:i/>
        </w:rPr>
        <w:fldChar w:fldCharType="begin"/>
      </w:r>
      <w:r w:rsidR="00E86F8D" w:rsidRPr="003D1E07">
        <w:instrText xml:space="preserve"> XE "</w:instrText>
      </w:r>
      <w:r w:rsidR="086C036F" w:rsidRPr="003D1E07">
        <w:instrText xml:space="preserve"> Alexander Afrodisias:</w:instrText>
      </w:r>
      <w:r w:rsidR="086C036F" w:rsidRPr="003D1E07">
        <w:rPr>
          <w:i/>
        </w:rPr>
        <w:instrText>De anima</w:instrText>
      </w:r>
      <w:r w:rsidR="00E86F8D" w:rsidRPr="003D1E07">
        <w:rPr>
          <w:i/>
        </w:rPr>
        <w:instrText xml:space="preserve"> </w:instrText>
      </w:r>
      <w:r w:rsidR="08E200C9" w:rsidRPr="003D1E07">
        <w:rPr>
          <w:i/>
        </w:rPr>
        <w:instrText xml:space="preserve">liber </w:instrText>
      </w:r>
      <w:r w:rsidR="086C036F" w:rsidRPr="003D1E07">
        <w:rPr>
          <w:i/>
        </w:rPr>
        <w:instrText>cum Mantissa</w:instrText>
      </w:r>
      <w:r w:rsidR="086C036F" w:rsidRPr="003D1E07">
        <w:instrText xml:space="preserve"> </w:instrText>
      </w:r>
      <w:r w:rsidR="00E86F8D" w:rsidRPr="003D1E07">
        <w:instrText xml:space="preserve">88.23‒24" </w:instrText>
      </w:r>
      <w:r w:rsidR="00E86F8D" w:rsidRPr="003D1E07">
        <w:rPr>
          <w:i/>
        </w:rPr>
        <w:fldChar w:fldCharType="end"/>
      </w:r>
      <w:r w:rsidR="005E2FCD">
        <w:t xml:space="preserve">). </w:t>
      </w:r>
      <w:r w:rsidR="005E2FCD" w:rsidRPr="003D1E07">
        <w:t xml:space="preserve">Druhý mistr </w:t>
      </w:r>
      <w:r w:rsidR="005E2FCD">
        <w:t xml:space="preserve">odmítl hypostázovat intelekt jako Alexander a </w:t>
      </w:r>
      <w:r w:rsidR="005E2FCD" w:rsidRPr="003D1E07">
        <w:t>vytvořil průsečík první a druhé abstrakce skrze diafanum</w:t>
      </w:r>
      <w:r w:rsidR="005E2FCD" w:rsidRPr="003D1E07">
        <w:fldChar w:fldCharType="begin"/>
      </w:r>
      <w:r w:rsidR="005E2FCD" w:rsidRPr="003D1E07">
        <w:instrText xml:space="preserve"> XE "diafanum:Al-Fárábí" </w:instrText>
      </w:r>
      <w:r w:rsidR="005E2FCD" w:rsidRPr="003D1E07">
        <w:fldChar w:fldCharType="end"/>
      </w:r>
      <w:r w:rsidR="005E2FCD" w:rsidRPr="003D1E07">
        <w:t xml:space="preserve"> a skrze nové pojetí pasivního intelektu (</w:t>
      </w:r>
      <w:r w:rsidR="005E2FCD" w:rsidRPr="003D1E07">
        <w:rPr>
          <w:i/>
        </w:rPr>
        <w:t>intellectus possibilis</w:t>
      </w:r>
      <w:r w:rsidR="005E2FCD" w:rsidRPr="003D1E07">
        <w:rPr>
          <w:i/>
        </w:rPr>
        <w:fldChar w:fldCharType="begin"/>
      </w:r>
      <w:r w:rsidR="005E2FCD" w:rsidRPr="003D1E07">
        <w:instrText xml:space="preserve"> XE "</w:instrText>
      </w:r>
      <w:r w:rsidR="005E2FCD" w:rsidRPr="003D1E07">
        <w:rPr>
          <w:i/>
        </w:rPr>
        <w:instrText>intellectus possibilis:</w:instrText>
      </w:r>
      <w:r w:rsidR="005E2FCD" w:rsidRPr="003D1E07">
        <w:rPr>
          <w:rStyle w:val="FontStyle129"/>
          <w:rFonts w:ascii="Calibri" w:hAnsi="Calibri"/>
          <w:sz w:val="24"/>
        </w:rPr>
        <w:instrText>Al-Fárábí</w:instrText>
      </w:r>
      <w:r w:rsidR="005E2FCD" w:rsidRPr="003D1E07">
        <w:instrText xml:space="preserve">" </w:instrText>
      </w:r>
      <w:r w:rsidR="005E2FCD" w:rsidRPr="003D1E07">
        <w:rPr>
          <w:i/>
        </w:rPr>
        <w:fldChar w:fldCharType="end"/>
      </w:r>
      <w:r w:rsidR="005E2FCD" w:rsidRPr="003D1E07">
        <w:t>). Nová forma darovaného intelektu (</w:t>
      </w:r>
      <w:r w:rsidR="005E2FCD" w:rsidRPr="003D1E07">
        <w:rPr>
          <w:i/>
        </w:rPr>
        <w:t>intellectus adeptus</w:t>
      </w:r>
      <w:r w:rsidR="005E2FCD" w:rsidRPr="003D1E07">
        <w:rPr>
          <w:i/>
        </w:rPr>
        <w:fldChar w:fldCharType="begin"/>
      </w:r>
      <w:r w:rsidR="005E2FCD" w:rsidRPr="003D1E07">
        <w:instrText xml:space="preserve"> XE "</w:instrText>
      </w:r>
      <w:r w:rsidR="005E2FCD" w:rsidRPr="003D1E07">
        <w:rPr>
          <w:i/>
        </w:rPr>
        <w:instrText>intellectus adeptus:</w:instrText>
      </w:r>
      <w:r w:rsidR="005E2FCD" w:rsidRPr="003D1E07">
        <w:rPr>
          <w:rStyle w:val="FontStyle129"/>
          <w:rFonts w:ascii="Calibri" w:hAnsi="Calibri"/>
          <w:sz w:val="24"/>
        </w:rPr>
        <w:instrText>Al-Fárábí</w:instrText>
      </w:r>
      <w:r w:rsidR="005E2FCD" w:rsidRPr="003D1E07">
        <w:instrText xml:space="preserve">" </w:instrText>
      </w:r>
      <w:r w:rsidR="005E2FCD" w:rsidRPr="003D1E07">
        <w:rPr>
          <w:i/>
        </w:rPr>
        <w:fldChar w:fldCharType="end"/>
      </w:r>
      <w:r w:rsidR="005E2FCD" w:rsidRPr="003D1E07">
        <w:t xml:space="preserve">) navazuje na </w:t>
      </w:r>
      <w:r w:rsidR="005B7C52">
        <w:t xml:space="preserve">neoplatonský </w:t>
      </w:r>
      <w:r w:rsidR="005E2FCD" w:rsidRPr="003D1E07">
        <w:t xml:space="preserve">scénář poznání. </w:t>
      </w:r>
    </w:p>
    <w:p w14:paraId="21CFE9B7" w14:textId="2715B788" w:rsidR="000B72B0" w:rsidRPr="003D1E07" w:rsidRDefault="00AC4015" w:rsidP="005E2FCD">
      <w:pPr>
        <w:ind w:firstLine="397"/>
      </w:pPr>
      <w:r w:rsidRPr="003D1E07">
        <w:t xml:space="preserve">Avicenna </w:t>
      </w:r>
      <w:r w:rsidR="082B5305" w:rsidRPr="003D1E07">
        <w:t>měl před sebou Al-</w:t>
      </w:r>
      <w:r w:rsidR="00B568C5" w:rsidRPr="003D1E07">
        <w:t>Fá</w:t>
      </w:r>
      <w:r w:rsidR="00586B2D" w:rsidRPr="003D1E07">
        <w:t>rábího p</w:t>
      </w:r>
      <w:r w:rsidR="00884452" w:rsidRPr="003D1E07">
        <w:t xml:space="preserve">ojednání </w:t>
      </w:r>
      <w:r w:rsidR="00884452" w:rsidRPr="003D1E07">
        <w:rPr>
          <w:i/>
        </w:rPr>
        <w:t>De intellectu et intellecto</w:t>
      </w:r>
      <w:r w:rsidR="00586B2D" w:rsidRPr="003D1E07">
        <w:t xml:space="preserve"> </w:t>
      </w:r>
      <w:r w:rsidR="0811400B" w:rsidRPr="003D1E07">
        <w:t xml:space="preserve">s výše uvedenými fakty </w:t>
      </w:r>
      <w:r w:rsidR="00586B2D" w:rsidRPr="003D1E07">
        <w:t>a musel řešit základní otázku, jak poznáváme. Na rozdíl od svého učitele se v</w:t>
      </w:r>
      <w:r w:rsidRPr="003D1E07">
        <w:t xml:space="preserve">rací k </w:t>
      </w:r>
      <w:r w:rsidR="00541D32" w:rsidRPr="003D1E07">
        <w:t>neoplatonskému</w:t>
      </w:r>
      <w:r w:rsidRPr="003D1E07">
        <w:t xml:space="preserve"> řešení</w:t>
      </w:r>
      <w:r w:rsidR="003518E9">
        <w:t xml:space="preserve">. To má </w:t>
      </w:r>
      <w:r w:rsidR="0019651B" w:rsidRPr="003D1E07">
        <w:t>pojetí duše jako autonomní a aktuální substance</w:t>
      </w:r>
      <w:r w:rsidR="003518E9">
        <w:t xml:space="preserve">, která </w:t>
      </w:r>
      <w:r w:rsidR="0019651B" w:rsidRPr="003D1E07">
        <w:t xml:space="preserve">řídí tělo jako </w:t>
      </w:r>
      <w:r w:rsidR="00597635" w:rsidRPr="003D1E07">
        <w:t xml:space="preserve">nadřazený </w:t>
      </w:r>
      <w:r w:rsidR="0019651B" w:rsidRPr="003D1E07">
        <w:t>hybatel.</w:t>
      </w:r>
      <w:r w:rsidRPr="003D1E07">
        <w:t xml:space="preserve"> </w:t>
      </w:r>
      <w:r w:rsidR="083C6473" w:rsidRPr="003D1E07">
        <w:t xml:space="preserve">Východiskem nové formy poznání se stal </w:t>
      </w:r>
      <w:r w:rsidR="083C6473" w:rsidRPr="003D1E07">
        <w:rPr>
          <w:i/>
        </w:rPr>
        <w:t>intellectus adeptus</w:t>
      </w:r>
      <w:r w:rsidR="083C6473" w:rsidRPr="003D1E07">
        <w:t xml:space="preserve"> v pojetí Druhého mistra, v němž běží přímý náhled forem třetího druhu (kap. 2.1.2). Avicenn</w:t>
      </w:r>
      <w:r w:rsidR="00BA14C5" w:rsidRPr="003D1E07">
        <w:t xml:space="preserve">a odmítl primát </w:t>
      </w:r>
      <w:r w:rsidR="083C6473" w:rsidRPr="003D1E07">
        <w:t>nasvícení intelektu v aristotelském scénáři poznání skrze reálnou věc. V aktuální věci jsou pouze potenciální poznávací formy, které nestačí k pravdivému poznání. Pravda není plně dána ve scénáři aristotelské adekvace, ale odpovídá druhému</w:t>
      </w:r>
      <w:r w:rsidR="08E02B1C" w:rsidRPr="003D1E07">
        <w:t xml:space="preserve"> stupni abstrakce ve scénáři Al-</w:t>
      </w:r>
      <w:r w:rsidR="083C6473" w:rsidRPr="003D1E07">
        <w:t xml:space="preserve">Fárábího. Jedině v tomto druhu poznání je dána plná sebereflexivita intelektu, který sám v sobě poznává, že poznává. </w:t>
      </w:r>
      <w:r w:rsidR="000B72B0" w:rsidRPr="003D1E07">
        <w:t xml:space="preserve">Nasvícení smyslu jsoucna </w:t>
      </w:r>
      <w:r w:rsidR="001D1B63" w:rsidRPr="003D1E07">
        <w:t xml:space="preserve">primárně </w:t>
      </w:r>
      <w:r w:rsidR="000B72B0" w:rsidRPr="003D1E07">
        <w:t xml:space="preserve">nepochází od aktuální věci, ale od aktuální nemateriální formy či od aktuality dané v duši jako její vlastní zdroj </w:t>
      </w:r>
      <w:r w:rsidR="001D1B63" w:rsidRPr="003D1E07">
        <w:t xml:space="preserve">a výkon </w:t>
      </w:r>
      <w:r w:rsidR="0889350E" w:rsidRPr="003D1E07">
        <w:t>poznání. Díl</w:t>
      </w:r>
      <w:r w:rsidR="08F752B7" w:rsidRPr="003D1E07">
        <w:t>o</w:t>
      </w:r>
      <w:r w:rsidR="0057119D" w:rsidRPr="003D1E07">
        <w:t xml:space="preserve"> </w:t>
      </w:r>
      <w:r w:rsidR="0057119D" w:rsidRPr="003D1E07">
        <w:rPr>
          <w:i/>
        </w:rPr>
        <w:t>Kitāb</w:t>
      </w:r>
      <w:r w:rsidR="0057119D" w:rsidRPr="003D1E07">
        <w:rPr>
          <w:i/>
          <w:szCs w:val="24"/>
        </w:rPr>
        <w:t xml:space="preserve"> </w:t>
      </w:r>
      <w:r w:rsidR="080C7B9B" w:rsidRPr="003D1E07">
        <w:rPr>
          <w:i/>
          <w:szCs w:val="24"/>
        </w:rPr>
        <w:t xml:space="preserve">al </w:t>
      </w:r>
      <w:r w:rsidR="0057119D" w:rsidRPr="003D1E07">
        <w:rPr>
          <w:i/>
          <w:szCs w:val="24"/>
        </w:rPr>
        <w:t>Naj</w:t>
      </w:r>
      <w:r w:rsidR="0057119D" w:rsidRPr="003D1E07">
        <w:rPr>
          <w:i/>
        </w:rPr>
        <w:t>āt</w:t>
      </w:r>
      <w:r w:rsidR="0057119D" w:rsidRPr="003D1E07">
        <w:t xml:space="preserve"> </w:t>
      </w:r>
      <w:r w:rsidR="0889350E" w:rsidRPr="003D1E07">
        <w:t xml:space="preserve">komentuje </w:t>
      </w:r>
      <w:r w:rsidR="08994053" w:rsidRPr="003D1E07">
        <w:t xml:space="preserve">výše </w:t>
      </w:r>
      <w:r w:rsidR="0057119D" w:rsidRPr="003D1E07">
        <w:t xml:space="preserve">citovanou pasáž </w:t>
      </w:r>
      <w:r w:rsidR="00B713C5" w:rsidRPr="003D1E07">
        <w:rPr>
          <w:i/>
        </w:rPr>
        <w:t>De anima</w:t>
      </w:r>
      <w:r w:rsidR="08CD41BD" w:rsidRPr="003D1E07">
        <w:t xml:space="preserve"> 417a3‒7</w:t>
      </w:r>
      <w:r w:rsidR="00E86F8D" w:rsidRPr="003D1E07">
        <w:rPr>
          <w:i/>
        </w:rPr>
        <w:fldChar w:fldCharType="begin"/>
      </w:r>
      <w:r w:rsidR="00E86F8D" w:rsidRPr="003D1E07">
        <w:instrText xml:space="preserve"> XE "</w:instrText>
      </w:r>
      <w:r w:rsidR="008E02F5" w:rsidRPr="003D1E07">
        <w:instrText>Aristoteles</w:instrText>
      </w:r>
      <w:r w:rsidR="00E86F8D" w:rsidRPr="003D1E07">
        <w:instrText>:</w:instrText>
      </w:r>
      <w:r w:rsidR="00E86F8D" w:rsidRPr="003D1E07">
        <w:rPr>
          <w:i/>
        </w:rPr>
        <w:instrText>De anima</w:instrText>
      </w:r>
      <w:r w:rsidR="00E86F8D" w:rsidRPr="003D1E07">
        <w:instrText xml:space="preserve"> 417a3‒7" </w:instrText>
      </w:r>
      <w:r w:rsidR="00E86F8D" w:rsidRPr="003D1E07">
        <w:rPr>
          <w:i/>
        </w:rPr>
        <w:fldChar w:fldCharType="end"/>
      </w:r>
      <w:r w:rsidR="00281B96" w:rsidRPr="003D1E07">
        <w:t xml:space="preserve">, která </w:t>
      </w:r>
      <w:r w:rsidR="00B746C9" w:rsidRPr="003D1E07">
        <w:t xml:space="preserve">definuje výkon </w:t>
      </w:r>
      <w:r w:rsidR="003948FE" w:rsidRPr="003D1E07">
        <w:t xml:space="preserve">intelektu </w:t>
      </w:r>
      <w:r w:rsidR="00440435" w:rsidRPr="003D1E07">
        <w:t xml:space="preserve">směrem </w:t>
      </w:r>
      <w:r w:rsidR="00281B96" w:rsidRPr="003D1E07">
        <w:t>od smyslového</w:t>
      </w:r>
      <w:r w:rsidR="003948FE" w:rsidRPr="003D1E07">
        <w:t xml:space="preserve"> poznání</w:t>
      </w:r>
      <w:r w:rsidR="00440435" w:rsidRPr="003D1E07">
        <w:t xml:space="preserve">. </w:t>
      </w:r>
      <w:r w:rsidR="08623545" w:rsidRPr="003D1E07">
        <w:t xml:space="preserve">Avicenna odmítl </w:t>
      </w:r>
      <w:r w:rsidR="08C40F86" w:rsidRPr="003D1E07">
        <w:t>Aristotelův směr nasvícení jsoucna zepředu</w:t>
      </w:r>
      <w:r w:rsidR="0068620B" w:rsidRPr="003D1E07">
        <w:t xml:space="preserve">. Spis </w:t>
      </w:r>
      <w:r w:rsidR="0068620B" w:rsidRPr="003D1E07">
        <w:rPr>
          <w:i/>
        </w:rPr>
        <w:t>De anima</w:t>
      </w:r>
      <w:r w:rsidR="0068620B" w:rsidRPr="003D1E07">
        <w:t xml:space="preserve"> přinesl rozhodující odpově</w:t>
      </w:r>
      <w:r w:rsidR="00BA1954" w:rsidRPr="003D1E07">
        <w:t xml:space="preserve">ď na otázku, jak může intelektuální </w:t>
      </w:r>
      <w:r w:rsidR="0068620B" w:rsidRPr="003D1E07">
        <w:t xml:space="preserve">duše poznat vše na lidský způsob </w:t>
      </w:r>
      <w:r w:rsidR="08C40F86" w:rsidRPr="003D1E07">
        <w:t>(πώς ἐστι πάντα</w:t>
      </w:r>
      <w:r w:rsidR="08C40F86" w:rsidRPr="003D1E07">
        <w:rPr>
          <w:rStyle w:val="FontStyle129"/>
          <w:rFonts w:ascii="Calibri" w:hAnsi="Calibri"/>
          <w:sz w:val="24"/>
        </w:rPr>
        <w:t xml:space="preserve">, </w:t>
      </w:r>
      <w:r w:rsidR="08C40F86" w:rsidRPr="003D1E07">
        <w:rPr>
          <w:rStyle w:val="FontStyle129"/>
          <w:rFonts w:ascii="Calibri" w:hAnsi="Calibri"/>
          <w:i/>
          <w:sz w:val="24"/>
        </w:rPr>
        <w:t>De anima</w:t>
      </w:r>
      <w:r w:rsidR="08C40F86" w:rsidRPr="003D1E07">
        <w:rPr>
          <w:rStyle w:val="FontStyle129"/>
          <w:rFonts w:ascii="Calibri" w:hAnsi="Calibri"/>
          <w:sz w:val="24"/>
        </w:rPr>
        <w:t xml:space="preserve"> 431b21</w:t>
      </w:r>
      <w:r w:rsidR="08C40F86" w:rsidRPr="003D1E07">
        <w:rPr>
          <w:i/>
        </w:rPr>
        <w:fldChar w:fldCharType="begin"/>
      </w:r>
      <w:r w:rsidR="08C40F86" w:rsidRPr="003D1E07">
        <w:instrText xml:space="preserve"> XE "Aristoteles:</w:instrText>
      </w:r>
      <w:r w:rsidR="08C40F86" w:rsidRPr="003D1E07">
        <w:rPr>
          <w:i/>
        </w:rPr>
        <w:instrText>De anima</w:instrText>
      </w:r>
      <w:r w:rsidR="08C40F86" w:rsidRPr="003D1E07">
        <w:instrText xml:space="preserve"> </w:instrText>
      </w:r>
      <w:r w:rsidR="08C40F86" w:rsidRPr="003D1E07">
        <w:rPr>
          <w:rStyle w:val="FontStyle129"/>
          <w:rFonts w:ascii="Calibri" w:hAnsi="Calibri"/>
          <w:sz w:val="24"/>
        </w:rPr>
        <w:instrText>431b21</w:instrText>
      </w:r>
      <w:r w:rsidR="08C40F86" w:rsidRPr="003D1E07">
        <w:instrText xml:space="preserve">" </w:instrText>
      </w:r>
      <w:r w:rsidR="08C40F86" w:rsidRPr="003D1E07">
        <w:rPr>
          <w:i/>
        </w:rPr>
        <w:fldChar w:fldCharType="end"/>
      </w:r>
      <w:r w:rsidR="08C40F86" w:rsidRPr="003D1E07">
        <w:t xml:space="preserve">). </w:t>
      </w:r>
      <w:r w:rsidR="08F752B7" w:rsidRPr="003D1E07">
        <w:t xml:space="preserve">Avicenna korektně shrne nasvícení smyslu jsoucna podle </w:t>
      </w:r>
      <w:r w:rsidR="08F752B7" w:rsidRPr="003D1E07">
        <w:rPr>
          <w:i/>
        </w:rPr>
        <w:t>De anima</w:t>
      </w:r>
      <w:r w:rsidR="08F752B7" w:rsidRPr="003D1E07">
        <w:t xml:space="preserve">, ale odmítne je jako nedostatečné řešení. Poznání nemůže být založeno na recepci ze smyslů, ale na přijetí a aktualizaci již daných </w:t>
      </w:r>
      <w:r w:rsidR="084B67ED" w:rsidRPr="003D1E07">
        <w:t xml:space="preserve">inteligibilních </w:t>
      </w:r>
      <w:r w:rsidR="08F752B7" w:rsidRPr="003D1E07">
        <w:t xml:space="preserve">forem. </w:t>
      </w:r>
      <w:r w:rsidR="00E71EE7" w:rsidRPr="003D1E07">
        <w:t>Ty existují aktuálně mimo nás</w:t>
      </w:r>
      <w:r w:rsidR="00392DB5" w:rsidRPr="003D1E07">
        <w:t xml:space="preserve">, </w:t>
      </w:r>
      <w:r w:rsidR="00E71EE7" w:rsidRPr="003D1E07">
        <w:t>proto moh</w:t>
      </w:r>
      <w:r w:rsidR="00D573A3">
        <w:t>ou aktualizovat lidský intelekt</w:t>
      </w:r>
      <w:r w:rsidR="00E71EE7" w:rsidRPr="003D1E07">
        <w:t xml:space="preserve">. </w:t>
      </w:r>
      <w:r w:rsidR="086E3AE0" w:rsidRPr="003D1E07">
        <w:t>Desát</w:t>
      </w:r>
      <w:r w:rsidR="08F752B7" w:rsidRPr="003D1E07">
        <w:t xml:space="preserve">á kapitola </w:t>
      </w:r>
      <w:r w:rsidR="08F752B7" w:rsidRPr="003D1E07">
        <w:rPr>
          <w:i/>
        </w:rPr>
        <w:t>Kitāb</w:t>
      </w:r>
      <w:r w:rsidR="08F752B7" w:rsidRPr="003D1E07">
        <w:rPr>
          <w:i/>
          <w:szCs w:val="24"/>
        </w:rPr>
        <w:t xml:space="preserve"> al Naj</w:t>
      </w:r>
      <w:r w:rsidR="08F752B7" w:rsidRPr="003D1E07">
        <w:rPr>
          <w:i/>
        </w:rPr>
        <w:t>āt</w:t>
      </w:r>
      <w:r w:rsidR="08F752B7" w:rsidRPr="003D1E07">
        <w:t xml:space="preserve"> </w:t>
      </w:r>
      <w:r w:rsidR="08623545" w:rsidRPr="003D1E07">
        <w:t xml:space="preserve">uvádí </w:t>
      </w:r>
      <w:r w:rsidR="00440435" w:rsidRPr="003D1E07">
        <w:t xml:space="preserve">trojí sérii argumentů proti spojení </w:t>
      </w:r>
      <w:r w:rsidR="08623545" w:rsidRPr="003D1E07">
        <w:t xml:space="preserve">inteligibilní </w:t>
      </w:r>
      <w:r w:rsidR="00440435" w:rsidRPr="003D1E07">
        <w:t xml:space="preserve">duše a </w:t>
      </w:r>
      <w:r w:rsidR="08623545" w:rsidRPr="003D1E07">
        <w:t xml:space="preserve">smyslového </w:t>
      </w:r>
      <w:r w:rsidR="00440435" w:rsidRPr="003D1E07">
        <w:t>těla do hylemorfické jednoty první substance a končí moderním dualistickým závěrem.</w:t>
      </w:r>
    </w:p>
    <w:p w14:paraId="4045CBA0" w14:textId="77777777" w:rsidR="00440435" w:rsidRPr="003D1E07" w:rsidRDefault="00BB1EC0" w:rsidP="00BB1EC0">
      <w:pPr>
        <w:pStyle w:val="Citace"/>
        <w:rPr>
          <w:lang w:val="cs-CZ"/>
        </w:rPr>
      </w:pPr>
      <w:r w:rsidRPr="003D1E07">
        <w:rPr>
          <w:lang w:val="cs-CZ"/>
        </w:rPr>
        <w:t xml:space="preserve">„Proto tvrdíme, že duše má dvě aktivity. První je daná vzhledem k tělu, kterou </w:t>
      </w:r>
      <w:r w:rsidR="08C12798" w:rsidRPr="003D1E07">
        <w:rPr>
          <w:lang w:val="cs-CZ"/>
        </w:rPr>
        <w:t xml:space="preserve">duše </w:t>
      </w:r>
      <w:r w:rsidRPr="003D1E07">
        <w:rPr>
          <w:lang w:val="cs-CZ"/>
        </w:rPr>
        <w:t xml:space="preserve">provádí jeho ovládání a kontrolu. Druhou aktivitu duše vykonává vzhledem k sobě a </w:t>
      </w:r>
      <w:r w:rsidR="00E75862" w:rsidRPr="003D1E07">
        <w:rPr>
          <w:lang w:val="cs-CZ"/>
        </w:rPr>
        <w:t xml:space="preserve">vzhledem ke </w:t>
      </w:r>
      <w:r w:rsidRPr="003D1E07">
        <w:rPr>
          <w:lang w:val="cs-CZ"/>
        </w:rPr>
        <w:t xml:space="preserve">svým principům, což je intelektuální porozumění. Tyto dvě aktivity stojí ve vzájemném protikladu a vzájemně se </w:t>
      </w:r>
      <w:r w:rsidRPr="003D1E07">
        <w:rPr>
          <w:lang w:val="cs-CZ"/>
        </w:rPr>
        <w:lastRenderedPageBreak/>
        <w:t xml:space="preserve">vylučují. Pokud duše vykonává jednu aktivitu, pak musí zanechat té druhé, protože nemůže tak snadno obě aktivity kombinovat.“ </w:t>
      </w:r>
      <w:r w:rsidR="00440435" w:rsidRPr="003D1E07">
        <w:rPr>
          <w:rStyle w:val="Znakapoznpodarou"/>
          <w:lang w:val="cs-CZ"/>
        </w:rPr>
        <w:footnoteReference w:id="127"/>
      </w:r>
    </w:p>
    <w:p w14:paraId="50A1912A" w14:textId="1962B3DD" w:rsidR="00F91171" w:rsidRPr="003D1E07" w:rsidRDefault="00F51D17" w:rsidP="00440435">
      <w:r w:rsidRPr="003D1E07">
        <w:t xml:space="preserve">Avicenna zavedl zásadní dualismus mezi smyslovým a rozumovým poznáním. Tato teze opakovaná modernisty ve druhém averroismu a postmodernisty jako Descartes tvoří základ současného dualismu intelektu a těla. </w:t>
      </w:r>
      <w:r w:rsidR="08C40F86" w:rsidRPr="003D1E07">
        <w:t xml:space="preserve">Rahmanův komentář k citované pasáži </w:t>
      </w:r>
      <w:r w:rsidR="08C40F86" w:rsidRPr="003D1E07">
        <w:rPr>
          <w:i/>
        </w:rPr>
        <w:t>Kitāb</w:t>
      </w:r>
      <w:r w:rsidR="08C40F86" w:rsidRPr="003D1E07">
        <w:rPr>
          <w:i/>
          <w:szCs w:val="24"/>
        </w:rPr>
        <w:t xml:space="preserve"> al Naj</w:t>
      </w:r>
      <w:r w:rsidR="08C40F86" w:rsidRPr="003D1E07">
        <w:rPr>
          <w:i/>
        </w:rPr>
        <w:t>āt</w:t>
      </w:r>
      <w:r w:rsidR="08C40F86" w:rsidRPr="003D1E07">
        <w:t>, kap. 10 ukazuje rozdílné postoje Avicenny a Aristotela v otázce smyslového poznání</w:t>
      </w:r>
      <w:r w:rsidR="089D5651" w:rsidRPr="003D1E07">
        <w:t xml:space="preserve"> (</w:t>
      </w:r>
      <w:r w:rsidR="089D5651" w:rsidRPr="003D1E07">
        <w:rPr>
          <w:i/>
        </w:rPr>
        <w:t>Kitāb</w:t>
      </w:r>
      <w:r w:rsidR="089D5651" w:rsidRPr="003D1E07">
        <w:rPr>
          <w:i/>
          <w:szCs w:val="24"/>
        </w:rPr>
        <w:t xml:space="preserve"> al Naj</w:t>
      </w:r>
      <w:r w:rsidR="089D5651" w:rsidRPr="003D1E07">
        <w:rPr>
          <w:i/>
        </w:rPr>
        <w:t>āt</w:t>
      </w:r>
      <w:r w:rsidR="089D5651" w:rsidRPr="003D1E07">
        <w:t>, p. 103)</w:t>
      </w:r>
      <w:r w:rsidR="08C40F86" w:rsidRPr="003D1E07">
        <w:t xml:space="preserve">. </w:t>
      </w:r>
      <w:r w:rsidR="00AD1853" w:rsidRPr="003D1E07">
        <w:t xml:space="preserve">Intelekt provádí </w:t>
      </w:r>
      <w:r w:rsidR="082A4943" w:rsidRPr="003D1E07">
        <w:t xml:space="preserve">v plném druhu poznání </w:t>
      </w:r>
      <w:r w:rsidR="009B7727" w:rsidRPr="003D1E07">
        <w:rPr>
          <w:i/>
        </w:rPr>
        <w:t>denudatio</w:t>
      </w:r>
      <w:r w:rsidR="00D44795" w:rsidRPr="003D1E07">
        <w:rPr>
          <w:i/>
        </w:rPr>
        <w:fldChar w:fldCharType="begin"/>
      </w:r>
      <w:r w:rsidR="00D44795" w:rsidRPr="003D1E07">
        <w:instrText xml:space="preserve"> XE "</w:instrText>
      </w:r>
      <w:r w:rsidR="00D44795" w:rsidRPr="003D1E07">
        <w:rPr>
          <w:i/>
        </w:rPr>
        <w:instrText>denudatio</w:instrText>
      </w:r>
      <w:r w:rsidR="00D44795" w:rsidRPr="003D1E07">
        <w:instrText xml:space="preserve">" </w:instrText>
      </w:r>
      <w:r w:rsidR="00D44795" w:rsidRPr="003D1E07">
        <w:rPr>
          <w:i/>
        </w:rPr>
        <w:fldChar w:fldCharType="end"/>
      </w:r>
      <w:r w:rsidR="00AD1853" w:rsidRPr="003D1E07">
        <w:t xml:space="preserve"> </w:t>
      </w:r>
      <w:r w:rsidR="000C7B12" w:rsidRPr="003D1E07">
        <w:t xml:space="preserve">formy již dané univerzálně </w:t>
      </w:r>
      <w:r w:rsidR="00AD1853" w:rsidRPr="003D1E07">
        <w:t xml:space="preserve">a </w:t>
      </w:r>
      <w:r w:rsidR="082A4943" w:rsidRPr="003D1E07">
        <w:t xml:space="preserve">nositelem tohoto </w:t>
      </w:r>
      <w:r w:rsidR="00AD1853" w:rsidRPr="003D1E07">
        <w:t xml:space="preserve">poznání je </w:t>
      </w:r>
      <w:r w:rsidR="009B7727" w:rsidRPr="003D1E07">
        <w:t>daro</w:t>
      </w:r>
      <w:r w:rsidR="00AD1853" w:rsidRPr="003D1E07">
        <w:t xml:space="preserve">vaný </w:t>
      </w:r>
      <w:r w:rsidR="088A74F1" w:rsidRPr="003D1E07">
        <w:t>intelekt</w:t>
      </w:r>
      <w:r w:rsidR="009B7727" w:rsidRPr="003D1E07">
        <w:t xml:space="preserve">. </w:t>
      </w:r>
      <w:r w:rsidR="007D653A" w:rsidRPr="003D1E07">
        <w:t>Vytěsněn</w:t>
      </w:r>
      <w:r w:rsidR="00D809FF" w:rsidRPr="003D1E07">
        <w:t xml:space="preserve">í </w:t>
      </w:r>
      <w:r w:rsidR="08441355" w:rsidRPr="003D1E07">
        <w:t xml:space="preserve">smyslové a intelektuální potence v duši zrušilo pojetí receptivního intelektu determinovaného od aktuálně dané věci poznané smysly. </w:t>
      </w:r>
      <w:r w:rsidR="00D809FF" w:rsidRPr="003D1E07">
        <w:t>Avicenna</w:t>
      </w:r>
      <w:r w:rsidR="08D70E72" w:rsidRPr="003D1E07">
        <w:t xml:space="preserve"> nepotřebuje </w:t>
      </w:r>
      <w:r w:rsidR="00826984">
        <w:t xml:space="preserve">plně </w:t>
      </w:r>
      <w:r w:rsidR="08D70E72" w:rsidRPr="003D1E07">
        <w:t xml:space="preserve">receptivní funkci </w:t>
      </w:r>
      <w:r w:rsidR="082B1876" w:rsidRPr="003D1E07">
        <w:t xml:space="preserve">intelektu (νοῦς τῷ πάντα γίνεσθαι, </w:t>
      </w:r>
      <w:r w:rsidR="082B1876" w:rsidRPr="003D1E07">
        <w:rPr>
          <w:i/>
        </w:rPr>
        <w:t>De anima</w:t>
      </w:r>
      <w:r w:rsidR="082B1876" w:rsidRPr="003D1E07">
        <w:t xml:space="preserve"> 430a14)</w:t>
      </w:r>
      <w:r w:rsidR="008061D5" w:rsidRPr="003D1E07">
        <w:rPr>
          <w:i/>
        </w:rPr>
        <w:fldChar w:fldCharType="begin"/>
      </w:r>
      <w:r w:rsidR="008061D5" w:rsidRPr="003D1E07">
        <w:instrText xml:space="preserve"> XE "</w:instrText>
      </w:r>
      <w:r w:rsidR="008E02F5" w:rsidRPr="003D1E07">
        <w:instrText>Aristoteles</w:instrText>
      </w:r>
      <w:r w:rsidR="008061D5" w:rsidRPr="003D1E07">
        <w:instrText>:</w:instrText>
      </w:r>
      <w:r w:rsidR="008061D5" w:rsidRPr="003D1E07">
        <w:rPr>
          <w:i/>
        </w:rPr>
        <w:instrText>De anima</w:instrText>
      </w:r>
      <w:r w:rsidR="008061D5" w:rsidRPr="003D1E07">
        <w:instrText xml:space="preserve"> 417a14" </w:instrText>
      </w:r>
      <w:r w:rsidR="008061D5" w:rsidRPr="003D1E07">
        <w:rPr>
          <w:i/>
        </w:rPr>
        <w:fldChar w:fldCharType="end"/>
      </w:r>
      <w:r w:rsidR="000F73DB" w:rsidRPr="003D1E07">
        <w:t>,</w:t>
      </w:r>
      <w:r w:rsidR="00D809FF" w:rsidRPr="003D1E07">
        <w:t xml:space="preserve"> jako to měl jeho učitel</w:t>
      </w:r>
      <w:r w:rsidR="082B1876" w:rsidRPr="003D1E07">
        <w:t xml:space="preserve"> Al-Fárábí</w:t>
      </w:r>
      <w:r w:rsidR="00D809FF" w:rsidRPr="003D1E07">
        <w:t xml:space="preserve">. </w:t>
      </w:r>
      <w:r w:rsidR="08E47819" w:rsidRPr="003D1E07">
        <w:t xml:space="preserve">Smysly vytvoří </w:t>
      </w:r>
      <w:r w:rsidR="00862571" w:rsidRPr="003D1E07">
        <w:rPr>
          <w:i/>
        </w:rPr>
        <w:t>species sensibilis</w:t>
      </w:r>
      <w:r w:rsidR="00862571" w:rsidRPr="003D1E07">
        <w:rPr>
          <w:i/>
        </w:rPr>
        <w:fldChar w:fldCharType="begin"/>
      </w:r>
      <w:r w:rsidR="00862571" w:rsidRPr="003D1E07">
        <w:instrText xml:space="preserve"> XE "</w:instrText>
      </w:r>
      <w:r w:rsidR="00862571" w:rsidRPr="003D1E07">
        <w:rPr>
          <w:i/>
          <w:u w:val="single"/>
        </w:rPr>
        <w:instrText>species</w:instrText>
      </w:r>
      <w:r w:rsidR="00862571" w:rsidRPr="003D1E07">
        <w:rPr>
          <w:i/>
        </w:rPr>
        <w:instrText xml:space="preserve"> sensibilis</w:instrText>
      </w:r>
      <w:r w:rsidR="00862571" w:rsidRPr="003D1E07">
        <w:instrText xml:space="preserve">" </w:instrText>
      </w:r>
      <w:r w:rsidR="00862571" w:rsidRPr="003D1E07">
        <w:rPr>
          <w:i/>
        </w:rPr>
        <w:fldChar w:fldCharType="end"/>
      </w:r>
      <w:r w:rsidR="00862571" w:rsidRPr="003D1E07">
        <w:t xml:space="preserve"> </w:t>
      </w:r>
      <w:r w:rsidR="00862571">
        <w:t xml:space="preserve">skrze </w:t>
      </w:r>
      <w:r w:rsidR="00766A67" w:rsidRPr="003D1E07">
        <w:t>recepc</w:t>
      </w:r>
      <w:r w:rsidR="00862571">
        <w:t>i a syntéz</w:t>
      </w:r>
      <w:r w:rsidR="00766A67" w:rsidRPr="003D1E07">
        <w:t xml:space="preserve">u </w:t>
      </w:r>
      <w:r w:rsidR="00862571">
        <w:t>danou</w:t>
      </w:r>
      <w:r w:rsidR="00766A67" w:rsidRPr="003D1E07">
        <w:t xml:space="preserve"> </w:t>
      </w:r>
      <w:r w:rsidR="000B72B0" w:rsidRPr="003D1E07">
        <w:t>v představivosti, a</w:t>
      </w:r>
      <w:r w:rsidR="08E47819" w:rsidRPr="003D1E07">
        <w:t xml:space="preserve">le to </w:t>
      </w:r>
      <w:r w:rsidR="0092265D" w:rsidRPr="003D1E07">
        <w:t>představu</w:t>
      </w:r>
      <w:r w:rsidR="08E47819" w:rsidRPr="003D1E07">
        <w:t xml:space="preserve">je </w:t>
      </w:r>
      <w:r w:rsidR="00992705" w:rsidRPr="003D1E07">
        <w:t xml:space="preserve">pro Avicennu </w:t>
      </w:r>
      <w:r w:rsidR="08E47819" w:rsidRPr="003D1E07">
        <w:t>pouze animální úro</w:t>
      </w:r>
      <w:r w:rsidR="00766A67" w:rsidRPr="003D1E07">
        <w:t>veň poznání</w:t>
      </w:r>
      <w:r w:rsidR="083A5FA3" w:rsidRPr="003D1E07">
        <w:t xml:space="preserve">. </w:t>
      </w:r>
      <w:r w:rsidR="005707F9" w:rsidRPr="003D1E07">
        <w:t>V moderním schématu poznání platí, že s</w:t>
      </w:r>
      <w:r w:rsidR="083A5FA3" w:rsidRPr="003D1E07">
        <w:t>myslová</w:t>
      </w:r>
      <w:r w:rsidR="08E47819" w:rsidRPr="003D1E07">
        <w:t xml:space="preserve"> </w:t>
      </w:r>
      <w:r w:rsidR="00F214C5" w:rsidRPr="003D1E07">
        <w:t>species</w:t>
      </w:r>
      <w:r w:rsidR="08431B2D" w:rsidRPr="003D1E07">
        <w:t xml:space="preserve"> nepodmiňují</w:t>
      </w:r>
      <w:r w:rsidR="08E47819" w:rsidRPr="003D1E07">
        <w:t xml:space="preserve"> v</w:t>
      </w:r>
      <w:r w:rsidR="00EE7E41" w:rsidRPr="003D1E07">
        <w:t xml:space="preserve">znik </w:t>
      </w:r>
      <w:r w:rsidR="00F214C5" w:rsidRPr="003D1E07">
        <w:rPr>
          <w:i/>
        </w:rPr>
        <w:t>species</w:t>
      </w:r>
      <w:r w:rsidR="000B72B0" w:rsidRPr="003D1E07">
        <w:rPr>
          <w:i/>
        </w:rPr>
        <w:t xml:space="preserve"> intelligibilis</w:t>
      </w:r>
      <w:r w:rsidR="008061D5" w:rsidRPr="003D1E07">
        <w:rPr>
          <w:i/>
        </w:rPr>
        <w:fldChar w:fldCharType="begin"/>
      </w:r>
      <w:r w:rsidR="008061D5" w:rsidRPr="003D1E07">
        <w:instrText xml:space="preserve"> XE "</w:instrText>
      </w:r>
      <w:r w:rsidR="008061D5" w:rsidRPr="003D1E07">
        <w:rPr>
          <w:i/>
        </w:rPr>
        <w:instrText>species intelligibilis:</w:instrText>
      </w:r>
      <w:r w:rsidR="008061D5" w:rsidRPr="003D1E07">
        <w:instrText xml:space="preserve">Avicenna" </w:instrText>
      </w:r>
      <w:r w:rsidR="008061D5" w:rsidRPr="003D1E07">
        <w:rPr>
          <w:i/>
        </w:rPr>
        <w:fldChar w:fldCharType="end"/>
      </w:r>
      <w:r w:rsidR="000B72B0" w:rsidRPr="003D1E07">
        <w:t xml:space="preserve"> v intelektu</w:t>
      </w:r>
      <w:r w:rsidR="00586977" w:rsidRPr="003D1E07">
        <w:t xml:space="preserve">. V osobě rozdělené na dvě sféry poznání </w:t>
      </w:r>
      <w:r w:rsidR="08E47819" w:rsidRPr="003D1E07">
        <w:t xml:space="preserve">nemá </w:t>
      </w:r>
      <w:r w:rsidR="00586977" w:rsidRPr="003D1E07">
        <w:t xml:space="preserve">smyslové poznání žádnou možnost, </w:t>
      </w:r>
      <w:r w:rsidR="0092265D" w:rsidRPr="003D1E07">
        <w:t>j</w:t>
      </w:r>
      <w:r w:rsidR="08E47819" w:rsidRPr="003D1E07">
        <w:t>ak dosáhnout</w:t>
      </w:r>
      <w:r w:rsidR="00360EAC" w:rsidRPr="003D1E07">
        <w:t xml:space="preserve"> </w:t>
      </w:r>
      <w:r w:rsidR="08D35C8E" w:rsidRPr="003D1E07">
        <w:t>nemateriální úrovně poznání</w:t>
      </w:r>
      <w:r w:rsidR="000B72B0" w:rsidRPr="003D1E07">
        <w:t xml:space="preserve">. </w:t>
      </w:r>
      <w:r w:rsidR="00E83538" w:rsidRPr="003D1E07">
        <w:t xml:space="preserve">Pro </w:t>
      </w:r>
      <w:r w:rsidR="00AA5E34" w:rsidRPr="003D1E07">
        <w:t xml:space="preserve">spojení </w:t>
      </w:r>
      <w:r w:rsidR="00E83538" w:rsidRPr="003D1E07">
        <w:t>smyslov</w:t>
      </w:r>
      <w:r w:rsidR="00AA5E34" w:rsidRPr="003D1E07">
        <w:t>é</w:t>
      </w:r>
      <w:r w:rsidR="00E83538" w:rsidRPr="003D1E07">
        <w:t xml:space="preserve"> a intelektuální rec</w:t>
      </w:r>
      <w:r w:rsidR="00AA5E34" w:rsidRPr="003D1E07">
        <w:t>epce</w:t>
      </w:r>
      <w:r w:rsidR="00942BF5" w:rsidRPr="003D1E07">
        <w:t xml:space="preserve"> není místo, protože </w:t>
      </w:r>
      <w:r w:rsidR="00AA5E34" w:rsidRPr="003D1E07">
        <w:t>intelekt je nasvícen</w:t>
      </w:r>
      <w:r w:rsidR="00942BF5" w:rsidRPr="003D1E07">
        <w:t xml:space="preserve"> skrze aktualitu</w:t>
      </w:r>
      <w:r w:rsidR="00E83538" w:rsidRPr="003D1E07">
        <w:t xml:space="preserve"> předem daných </w:t>
      </w:r>
      <w:r w:rsidR="00942BF5" w:rsidRPr="003D1E07">
        <w:t xml:space="preserve">univerzálních </w:t>
      </w:r>
      <w:r w:rsidR="00E83538" w:rsidRPr="003D1E07">
        <w:t xml:space="preserve">forem. </w:t>
      </w:r>
      <w:r w:rsidR="08F863AA" w:rsidRPr="003D1E07">
        <w:t xml:space="preserve">V poznání </w:t>
      </w:r>
      <w:r w:rsidR="000209BD" w:rsidRPr="003D1E07">
        <w:t xml:space="preserve">podle moderny </w:t>
      </w:r>
      <w:r w:rsidR="08F863AA" w:rsidRPr="003D1E07">
        <w:t xml:space="preserve">neexistuje plně receptivní složka intelektu, která by </w:t>
      </w:r>
      <w:r w:rsidR="0024543C">
        <w:t xml:space="preserve">plně </w:t>
      </w:r>
      <w:r w:rsidR="08F863AA" w:rsidRPr="003D1E07">
        <w:t xml:space="preserve">přijala aktualitu vnějšího světa zprostředkovanou smysly. </w:t>
      </w:r>
      <w:r w:rsidR="00E83538" w:rsidRPr="003D1E07">
        <w:t xml:space="preserve">Duše není </w:t>
      </w:r>
      <w:r w:rsidR="00E83538" w:rsidRPr="003D1E07">
        <w:rPr>
          <w:rStyle w:val="st"/>
          <w:bCs/>
          <w:i/>
        </w:rPr>
        <w:t>quodammodo omnia</w:t>
      </w:r>
      <w:r w:rsidR="00E83538" w:rsidRPr="003D1E07">
        <w:rPr>
          <w:rStyle w:val="FontStyle129"/>
          <w:rFonts w:ascii="Calibri" w:hAnsi="Calibri"/>
          <w:sz w:val="24"/>
        </w:rPr>
        <w:t xml:space="preserve"> (</w:t>
      </w:r>
      <w:r w:rsidR="00B713C5" w:rsidRPr="003D1E07">
        <w:rPr>
          <w:rStyle w:val="FontStyle129"/>
          <w:rFonts w:ascii="Calibri" w:hAnsi="Calibri"/>
          <w:i/>
          <w:sz w:val="24"/>
        </w:rPr>
        <w:t>De anima</w:t>
      </w:r>
      <w:r w:rsidR="00E83538" w:rsidRPr="003D1E07">
        <w:rPr>
          <w:rStyle w:val="FontStyle129"/>
          <w:rFonts w:ascii="Calibri" w:hAnsi="Calibri"/>
          <w:sz w:val="24"/>
        </w:rPr>
        <w:t xml:space="preserve"> 431b21</w:t>
      </w:r>
      <w:r w:rsidR="009A43F5" w:rsidRPr="003D1E07">
        <w:rPr>
          <w:i/>
        </w:rPr>
        <w:fldChar w:fldCharType="begin"/>
      </w:r>
      <w:r w:rsidR="009A43F5" w:rsidRPr="003D1E07">
        <w:instrText xml:space="preserve"> XE "</w:instrText>
      </w:r>
      <w:r w:rsidR="008E02F5" w:rsidRPr="003D1E07">
        <w:instrText>Aristoteles</w:instrText>
      </w:r>
      <w:r w:rsidR="009A43F5" w:rsidRPr="003D1E07">
        <w:instrText>:</w:instrText>
      </w:r>
      <w:r w:rsidR="009A43F5" w:rsidRPr="003D1E07">
        <w:rPr>
          <w:i/>
        </w:rPr>
        <w:instrText>De anima</w:instrText>
      </w:r>
      <w:r w:rsidR="009A43F5" w:rsidRPr="003D1E07">
        <w:instrText xml:space="preserve"> 431b21" </w:instrText>
      </w:r>
      <w:r w:rsidR="009A43F5" w:rsidRPr="003D1E07">
        <w:rPr>
          <w:i/>
        </w:rPr>
        <w:fldChar w:fldCharType="end"/>
      </w:r>
      <w:r w:rsidR="00E83538" w:rsidRPr="003D1E07">
        <w:rPr>
          <w:rStyle w:val="FontStyle129"/>
          <w:rFonts w:ascii="Calibri" w:hAnsi="Calibri"/>
          <w:sz w:val="24"/>
        </w:rPr>
        <w:t xml:space="preserve">) proto, že </w:t>
      </w:r>
      <w:r w:rsidR="08F863AA" w:rsidRPr="003D1E07">
        <w:rPr>
          <w:rStyle w:val="FontStyle129"/>
          <w:rFonts w:ascii="Calibri" w:hAnsi="Calibri"/>
          <w:sz w:val="24"/>
        </w:rPr>
        <w:t xml:space="preserve">je </w:t>
      </w:r>
      <w:r w:rsidR="00E83538" w:rsidRPr="003D1E07">
        <w:rPr>
          <w:rStyle w:val="FontStyle129"/>
          <w:rFonts w:ascii="Calibri" w:hAnsi="Calibri"/>
          <w:sz w:val="24"/>
        </w:rPr>
        <w:t xml:space="preserve">sama </w:t>
      </w:r>
      <w:r w:rsidR="08F863AA" w:rsidRPr="003D1E07">
        <w:rPr>
          <w:rStyle w:val="FontStyle129"/>
          <w:rFonts w:ascii="Calibri" w:hAnsi="Calibri"/>
          <w:sz w:val="24"/>
        </w:rPr>
        <w:t xml:space="preserve">o sobě už </w:t>
      </w:r>
      <w:r w:rsidR="00E83538" w:rsidRPr="003D1E07">
        <w:rPr>
          <w:rStyle w:val="FontStyle129"/>
          <w:rFonts w:ascii="Calibri" w:hAnsi="Calibri"/>
          <w:sz w:val="24"/>
        </w:rPr>
        <w:t>aktuální substancí nebo aktuální formou</w:t>
      </w:r>
      <w:r w:rsidR="00FD7987" w:rsidRPr="003D1E07">
        <w:rPr>
          <w:rStyle w:val="FontStyle129"/>
          <w:rFonts w:ascii="Calibri" w:hAnsi="Calibri"/>
          <w:sz w:val="24"/>
        </w:rPr>
        <w:t xml:space="preserve"> (</w:t>
      </w:r>
      <w:r w:rsidR="00FD7987" w:rsidRPr="003D1E07">
        <w:rPr>
          <w:rStyle w:val="FontStyle129"/>
          <w:rFonts w:ascii="Calibri" w:hAnsi="Calibri"/>
          <w:i/>
          <w:sz w:val="24"/>
        </w:rPr>
        <w:t>hoc aliquid</w:t>
      </w:r>
      <w:r w:rsidR="00FD7987" w:rsidRPr="003D1E07">
        <w:rPr>
          <w:rStyle w:val="FontStyle129"/>
          <w:rFonts w:ascii="Calibri" w:hAnsi="Calibri"/>
          <w:i/>
          <w:sz w:val="24"/>
        </w:rPr>
        <w:fldChar w:fldCharType="begin"/>
      </w:r>
      <w:r w:rsidR="00FD7987" w:rsidRPr="003D1E07">
        <w:instrText xml:space="preserve"> XE "</w:instrText>
      </w:r>
      <w:r w:rsidR="00FD7987" w:rsidRPr="003D1E07">
        <w:rPr>
          <w:rStyle w:val="FontStyle129"/>
          <w:rFonts w:ascii="Calibri" w:hAnsi="Calibri"/>
          <w:i/>
          <w:sz w:val="24"/>
        </w:rPr>
        <w:instrText>hoc aliquid:</w:instrText>
      </w:r>
      <w:r w:rsidR="00FD7987" w:rsidRPr="003D1E07">
        <w:instrText xml:space="preserve">Avicenna" </w:instrText>
      </w:r>
      <w:r w:rsidR="00FD7987" w:rsidRPr="003D1E07">
        <w:rPr>
          <w:rStyle w:val="FontStyle129"/>
          <w:rFonts w:ascii="Calibri" w:hAnsi="Calibri"/>
          <w:i/>
          <w:sz w:val="24"/>
        </w:rPr>
        <w:fldChar w:fldCharType="end"/>
      </w:r>
      <w:r w:rsidR="00FD7987" w:rsidRPr="003D1E07">
        <w:rPr>
          <w:rStyle w:val="FontStyle129"/>
          <w:rFonts w:ascii="Calibri" w:hAnsi="Calibri"/>
          <w:sz w:val="24"/>
        </w:rPr>
        <w:t>)</w:t>
      </w:r>
      <w:r w:rsidR="00E83538" w:rsidRPr="003D1E07">
        <w:rPr>
          <w:rStyle w:val="FontStyle129"/>
          <w:rFonts w:ascii="Calibri" w:hAnsi="Calibri"/>
          <w:sz w:val="24"/>
        </w:rPr>
        <w:t xml:space="preserve">. </w:t>
      </w:r>
      <w:r w:rsidR="08CE6F67" w:rsidRPr="003D1E07">
        <w:rPr>
          <w:rStyle w:val="FontStyle129"/>
          <w:rFonts w:ascii="Calibri" w:hAnsi="Calibri"/>
          <w:sz w:val="24"/>
        </w:rPr>
        <w:t>A</w:t>
      </w:r>
      <w:r w:rsidR="00E43F03" w:rsidRPr="003D1E07">
        <w:t>vicenn</w:t>
      </w:r>
      <w:r w:rsidR="08CE6F67" w:rsidRPr="003D1E07">
        <w:t xml:space="preserve">a vytvořil nový model </w:t>
      </w:r>
      <w:r w:rsidR="08F50CEC" w:rsidRPr="003D1E07">
        <w:t xml:space="preserve">pravdy jako </w:t>
      </w:r>
      <w:r w:rsidR="08CE6F67" w:rsidRPr="003D1E07">
        <w:t xml:space="preserve">teoretického </w:t>
      </w:r>
      <w:r w:rsidR="087846C9" w:rsidRPr="003D1E07">
        <w:t>zrcadlení (</w:t>
      </w:r>
      <w:r w:rsidR="087846C9" w:rsidRPr="003D1E07">
        <w:rPr>
          <w:i/>
        </w:rPr>
        <w:t>speculatio</w:t>
      </w:r>
      <w:r w:rsidR="009A43F5" w:rsidRPr="003D1E07">
        <w:rPr>
          <w:i/>
        </w:rPr>
        <w:fldChar w:fldCharType="begin"/>
      </w:r>
      <w:r w:rsidR="009A43F5" w:rsidRPr="003D1E07">
        <w:instrText xml:space="preserve"> XE "zjevování:</w:instrText>
      </w:r>
      <w:r w:rsidR="009A43F5" w:rsidRPr="003D1E07">
        <w:rPr>
          <w:i/>
        </w:rPr>
        <w:instrText>speculatio</w:instrText>
      </w:r>
      <w:r w:rsidR="009A43F5" w:rsidRPr="003D1E07">
        <w:instrText xml:space="preserve">" </w:instrText>
      </w:r>
      <w:r w:rsidR="009A43F5" w:rsidRPr="003D1E07">
        <w:rPr>
          <w:i/>
        </w:rPr>
        <w:fldChar w:fldCharType="end"/>
      </w:r>
      <w:r w:rsidR="087846C9" w:rsidRPr="003D1E07">
        <w:t xml:space="preserve">) </w:t>
      </w:r>
      <w:r w:rsidR="008B193B" w:rsidRPr="003D1E07">
        <w:t>ex</w:t>
      </w:r>
      <w:r w:rsidR="08CE6F67" w:rsidRPr="003D1E07">
        <w:t xml:space="preserve">terní </w:t>
      </w:r>
      <w:r w:rsidR="08F50CEC" w:rsidRPr="003D1E07">
        <w:t xml:space="preserve">inteligibilní </w:t>
      </w:r>
      <w:r w:rsidR="08CE6F67" w:rsidRPr="003D1E07">
        <w:t>formy v lidském intelektu</w:t>
      </w:r>
      <w:r w:rsidR="0095342F" w:rsidRPr="003D1E07">
        <w:t xml:space="preserve">. Ten tvoří </w:t>
      </w:r>
      <w:r w:rsidR="00092021" w:rsidRPr="003D1E07">
        <w:t xml:space="preserve">nemateriální </w:t>
      </w:r>
      <w:r w:rsidR="0095342F" w:rsidRPr="003D1E07">
        <w:t>substanční zrcadlo</w:t>
      </w:r>
      <w:r w:rsidR="08CE6F67" w:rsidRPr="003D1E07">
        <w:t xml:space="preserve"> (</w:t>
      </w:r>
      <w:r w:rsidR="08CE6F67" w:rsidRPr="003D1E07">
        <w:rPr>
          <w:i/>
        </w:rPr>
        <w:t>speculum</w:t>
      </w:r>
      <w:r w:rsidR="08CE6F67" w:rsidRPr="003D1E07">
        <w:t>)</w:t>
      </w:r>
      <w:r w:rsidR="0095342F" w:rsidRPr="003D1E07">
        <w:t xml:space="preserve">, které </w:t>
      </w:r>
      <w:r w:rsidR="08CE6F67" w:rsidRPr="003D1E07">
        <w:t>přij</w:t>
      </w:r>
      <w:r w:rsidR="0095342F" w:rsidRPr="003D1E07">
        <w:t xml:space="preserve">ímá </w:t>
      </w:r>
      <w:r w:rsidR="08CE6F67" w:rsidRPr="003D1E07">
        <w:t xml:space="preserve"> </w:t>
      </w:r>
      <w:r w:rsidR="0095342F" w:rsidRPr="003D1E07">
        <w:t xml:space="preserve">a </w:t>
      </w:r>
      <w:r w:rsidR="08CE6F67" w:rsidRPr="003D1E07">
        <w:t>zrcadlí kosmické formy. P</w:t>
      </w:r>
      <w:r w:rsidR="08815E5D" w:rsidRPr="003D1E07">
        <w:t>ozná</w:t>
      </w:r>
      <w:r w:rsidR="089A1D43" w:rsidRPr="003D1E07">
        <w:t xml:space="preserve">ní </w:t>
      </w:r>
      <w:r w:rsidR="08CE6F67" w:rsidRPr="003D1E07">
        <w:t xml:space="preserve">se </w:t>
      </w:r>
      <w:r w:rsidR="089A1D43" w:rsidRPr="003D1E07">
        <w:t xml:space="preserve">děje jako </w:t>
      </w:r>
      <w:r w:rsidR="08CE6F67" w:rsidRPr="003D1E07">
        <w:t>asimilace různých druhů</w:t>
      </w:r>
      <w:r w:rsidR="087846C9" w:rsidRPr="003D1E07">
        <w:t xml:space="preserve"> </w:t>
      </w:r>
      <w:r w:rsidR="08CE6F67" w:rsidRPr="003D1E07">
        <w:t xml:space="preserve">hypostázovaných </w:t>
      </w:r>
      <w:r w:rsidR="087846C9" w:rsidRPr="003D1E07">
        <w:t xml:space="preserve">forem, které jsou více či méně aktualizovány v modu univerzální hierachické podobnosti. </w:t>
      </w:r>
      <w:r w:rsidR="00392879" w:rsidRPr="003D1E07">
        <w:rPr>
          <w:rStyle w:val="FontStyle129"/>
          <w:rFonts w:ascii="Calibri" w:hAnsi="Calibri"/>
          <w:sz w:val="24"/>
        </w:rPr>
        <w:t>Směr nasvícení jsoucna závisí na výkladu metafory intelektu-slunce</w:t>
      </w:r>
      <w:r w:rsidR="00392879" w:rsidRPr="003D1E07">
        <w:fldChar w:fldCharType="begin"/>
      </w:r>
      <w:r w:rsidR="00392879" w:rsidRPr="003D1E07">
        <w:instrText xml:space="preserve"> XE "intelekt-slunce" </w:instrText>
      </w:r>
      <w:r w:rsidR="00392879" w:rsidRPr="003D1E07">
        <w:fldChar w:fldCharType="end"/>
      </w:r>
      <w:r w:rsidR="001A566D">
        <w:rPr>
          <w:rStyle w:val="FontStyle129"/>
          <w:rFonts w:ascii="Calibri" w:hAnsi="Calibri"/>
          <w:sz w:val="24"/>
        </w:rPr>
        <w:t xml:space="preserve"> </w:t>
      </w:r>
      <w:r w:rsidR="00392879" w:rsidRPr="003D1E07">
        <w:rPr>
          <w:rStyle w:val="FontStyle129"/>
          <w:rFonts w:ascii="Calibri" w:hAnsi="Calibri"/>
          <w:sz w:val="24"/>
        </w:rPr>
        <w:t>podle schématu Al-Fárábího (kap. 2.1.1).</w:t>
      </w:r>
      <w:r w:rsidR="00AC45DF" w:rsidRPr="003D1E07">
        <w:rPr>
          <w:rStyle w:val="FontStyle129"/>
          <w:rFonts w:ascii="Calibri" w:hAnsi="Calibri"/>
          <w:sz w:val="24"/>
        </w:rPr>
        <w:t xml:space="preserve"> </w:t>
      </w:r>
      <w:r w:rsidR="00CA2CF5" w:rsidRPr="003D1E07">
        <w:rPr>
          <w:rStyle w:val="FontStyle129"/>
          <w:rFonts w:ascii="Calibri" w:hAnsi="Calibri"/>
          <w:sz w:val="24"/>
        </w:rPr>
        <w:t xml:space="preserve">Avicenna nepotřebuje diafanum, protože osvícený darovaný intelekt </w:t>
      </w:r>
      <w:r w:rsidR="000C7B6B" w:rsidRPr="003D1E07">
        <w:rPr>
          <w:rStyle w:val="FontStyle129"/>
          <w:rFonts w:ascii="Calibri" w:hAnsi="Calibri"/>
          <w:sz w:val="24"/>
        </w:rPr>
        <w:t xml:space="preserve">je oddělený od smyslů a </w:t>
      </w:r>
      <w:r w:rsidR="00CA2CF5" w:rsidRPr="003D1E07">
        <w:rPr>
          <w:rStyle w:val="FontStyle129"/>
          <w:rFonts w:ascii="Calibri" w:hAnsi="Calibri"/>
          <w:sz w:val="24"/>
        </w:rPr>
        <w:t xml:space="preserve">poznává nemateriální formy přímo. </w:t>
      </w:r>
      <w:r w:rsidR="088C7802" w:rsidRPr="003D1E07">
        <w:t>Materiální intelekt je vztažen ke smyslovému předmětu či k mentálnímu obsahu fantazie nebo paměti. Smyslové rozvažování abstrahuje smyslové formy, protože m</w:t>
      </w:r>
      <w:r w:rsidR="088C7802" w:rsidRPr="003D1E07">
        <w:rPr>
          <w:rStyle w:val="FontStyle129"/>
          <w:rFonts w:ascii="Calibri" w:hAnsi="Calibri"/>
          <w:sz w:val="24"/>
        </w:rPr>
        <w:t xml:space="preserve">ateriální </w:t>
      </w:r>
      <w:r w:rsidR="088C7802" w:rsidRPr="003D1E07">
        <w:rPr>
          <w:rStyle w:val="FontStyle129"/>
          <w:rFonts w:ascii="Calibri" w:hAnsi="Calibri"/>
          <w:sz w:val="24"/>
        </w:rPr>
        <w:lastRenderedPageBreak/>
        <w:t>intelekt založený smyslově mají i zvířata. Ale tato schopnost dělání instinktivních závěrů (</w:t>
      </w:r>
      <w:r w:rsidR="088C7802" w:rsidRPr="003D1E07">
        <w:rPr>
          <w:rStyle w:val="FontStyle129"/>
          <w:rFonts w:ascii="Calibri" w:hAnsi="Calibri"/>
          <w:i/>
          <w:sz w:val="24"/>
        </w:rPr>
        <w:t>wahm</w:t>
      </w:r>
      <w:r w:rsidR="088C7802" w:rsidRPr="003D1E07">
        <w:rPr>
          <w:rStyle w:val="FontStyle129"/>
          <w:rFonts w:ascii="Calibri" w:hAnsi="Calibri"/>
          <w:i/>
          <w:sz w:val="24"/>
        </w:rPr>
        <w:fldChar w:fldCharType="begin"/>
      </w:r>
      <w:r w:rsidR="088C7802" w:rsidRPr="003D1E07">
        <w:instrText xml:space="preserve"> XE "</w:instrText>
      </w:r>
      <w:r w:rsidR="088C7802" w:rsidRPr="003D1E07">
        <w:rPr>
          <w:i/>
        </w:rPr>
        <w:instrText>wahm</w:instrText>
      </w:r>
      <w:r w:rsidR="088C7802" w:rsidRPr="003D1E07">
        <w:instrText xml:space="preserve">" </w:instrText>
      </w:r>
      <w:r w:rsidR="088C7802" w:rsidRPr="003D1E07">
        <w:rPr>
          <w:rStyle w:val="FontStyle129"/>
          <w:rFonts w:ascii="Calibri" w:hAnsi="Calibri"/>
          <w:i/>
          <w:sz w:val="24"/>
        </w:rPr>
        <w:fldChar w:fldCharType="end"/>
      </w:r>
      <w:r w:rsidR="088C7802" w:rsidRPr="003D1E07">
        <w:rPr>
          <w:rStyle w:val="FontStyle129"/>
          <w:rFonts w:ascii="Calibri" w:hAnsi="Calibri"/>
          <w:sz w:val="24"/>
        </w:rPr>
        <w:t xml:space="preserve">) je materiální povahy. </w:t>
      </w:r>
      <w:r w:rsidR="088C7802" w:rsidRPr="003D1E07">
        <w:t>Smyslová abstrakce zakládá akt abstrakce od individuální formy věci, kterou recipují smysly a intencionálně formuje zvířecí schopnost syntézy (</w:t>
      </w:r>
      <w:r w:rsidR="088C7802" w:rsidRPr="003D1E07">
        <w:rPr>
          <w:i/>
        </w:rPr>
        <w:t>vis aestimativa</w:t>
      </w:r>
      <w:r w:rsidR="088C7802" w:rsidRPr="003D1E07">
        <w:rPr>
          <w:i/>
        </w:rPr>
        <w:fldChar w:fldCharType="begin"/>
      </w:r>
      <w:r w:rsidR="088C7802" w:rsidRPr="003D1E07">
        <w:instrText xml:space="preserve"> XE "</w:instrText>
      </w:r>
      <w:r w:rsidR="088C7802" w:rsidRPr="003D1E07">
        <w:rPr>
          <w:i/>
        </w:rPr>
        <w:instrText>vis aestimativa</w:instrText>
      </w:r>
      <w:r w:rsidR="088C7802" w:rsidRPr="003D1E07">
        <w:instrText xml:space="preserve">" </w:instrText>
      </w:r>
      <w:r w:rsidR="088C7802" w:rsidRPr="003D1E07">
        <w:rPr>
          <w:i/>
        </w:rPr>
        <w:fldChar w:fldCharType="end"/>
      </w:r>
      <w:r w:rsidR="088C7802" w:rsidRPr="003D1E07">
        <w:t xml:space="preserve">). Zvířecí </w:t>
      </w:r>
      <w:r w:rsidR="088C7802" w:rsidRPr="003D1E07">
        <w:rPr>
          <w:i/>
        </w:rPr>
        <w:t>intentio</w:t>
      </w:r>
      <w:r w:rsidR="088C7802" w:rsidRPr="003D1E07">
        <w:t xml:space="preserve"> produkuje schopnost instinktivního závěru daného na základě individuálního smyslového poznání. Ovce vidí</w:t>
      </w:r>
      <w:r w:rsidR="08A003ED" w:rsidRPr="003D1E07">
        <w:t xml:space="preserve"> vlka </w:t>
      </w:r>
      <w:r w:rsidR="088C7802" w:rsidRPr="003D1E07">
        <w:t>skrze akt zvířecí představivosti</w:t>
      </w:r>
      <w:r w:rsidR="082A6DE4" w:rsidRPr="003D1E07">
        <w:t xml:space="preserve">, protože si </w:t>
      </w:r>
      <w:r w:rsidR="088C7802" w:rsidRPr="003D1E07">
        <w:t>vytvořila vlastní individuální smyslovou formu</w:t>
      </w:r>
      <w:r w:rsidR="082A6DE4" w:rsidRPr="003D1E07">
        <w:t xml:space="preserve"> skrze smyslovou abstrakci</w:t>
      </w:r>
      <w:r w:rsidR="088C7802" w:rsidRPr="003D1E07">
        <w:rPr>
          <w:i/>
        </w:rPr>
        <w:fldChar w:fldCharType="begin"/>
      </w:r>
      <w:r w:rsidR="088C7802" w:rsidRPr="003D1E07">
        <w:instrText xml:space="preserve"> XE "intencionalita:zvířata" </w:instrText>
      </w:r>
      <w:r w:rsidR="088C7802" w:rsidRPr="003D1E07">
        <w:rPr>
          <w:i/>
        </w:rPr>
        <w:fldChar w:fldCharType="end"/>
      </w:r>
      <w:r w:rsidR="088C7802" w:rsidRPr="003D1E07">
        <w:t xml:space="preserve">. Pak skrze akt intencionality zaměří svou pozornost na tento smyslový vjem, a proto učiní instinktivní závěr, že je třeba uprchnout. Avicenna vytváří nové patro lidského poznání </w:t>
      </w:r>
      <w:r w:rsidR="088D7C9A" w:rsidRPr="003D1E07">
        <w:t xml:space="preserve">postavené </w:t>
      </w:r>
      <w:r w:rsidR="088C7802" w:rsidRPr="003D1E07">
        <w:t xml:space="preserve">mimo smyslovou zkušenost. </w:t>
      </w:r>
      <w:r w:rsidR="0000275E" w:rsidRPr="003D1E07">
        <w:t>Jeho k</w:t>
      </w:r>
      <w:r w:rsidR="00FB6267" w:rsidRPr="003D1E07">
        <w:rPr>
          <w:rStyle w:val="FontStyle129"/>
          <w:rFonts w:ascii="Calibri" w:hAnsi="Calibri"/>
          <w:sz w:val="24"/>
        </w:rPr>
        <w:t xml:space="preserve">omentář k </w:t>
      </w:r>
      <w:r w:rsidR="00FB6267" w:rsidRPr="003D1E07">
        <w:rPr>
          <w:rStyle w:val="FontStyle129"/>
          <w:rFonts w:ascii="Calibri" w:hAnsi="Calibri"/>
          <w:i/>
          <w:sz w:val="24"/>
        </w:rPr>
        <w:t>De anima</w:t>
      </w:r>
      <w:r w:rsidR="00FB6267" w:rsidRPr="003D1E07">
        <w:rPr>
          <w:rStyle w:val="FontStyle129"/>
          <w:rFonts w:ascii="Calibri" w:hAnsi="Calibri"/>
          <w:sz w:val="24"/>
        </w:rPr>
        <w:t xml:space="preserve"> </w:t>
      </w:r>
      <w:r w:rsidR="00142523" w:rsidRPr="003D1E07">
        <w:t>zrušil</w:t>
      </w:r>
      <w:r w:rsidR="081525C9" w:rsidRPr="003D1E07">
        <w:t xml:space="preserve"> </w:t>
      </w:r>
      <w:r w:rsidR="00B66BD3" w:rsidRPr="003D1E07">
        <w:t xml:space="preserve">jak plně </w:t>
      </w:r>
      <w:r w:rsidR="081525C9" w:rsidRPr="003D1E07">
        <w:t xml:space="preserve">receptivní </w:t>
      </w:r>
      <w:r w:rsidR="00142523" w:rsidRPr="003D1E07">
        <w:t>pojetí intelektu</w:t>
      </w:r>
      <w:r w:rsidR="00B66BD3" w:rsidRPr="003D1E07">
        <w:t xml:space="preserve"> tak Al-</w:t>
      </w:r>
      <w:r w:rsidR="008E02F5" w:rsidRPr="003D1E07">
        <w:t>Fárábí</w:t>
      </w:r>
      <w:r w:rsidR="00B66BD3" w:rsidRPr="003D1E07">
        <w:t xml:space="preserve">ho pojetí </w:t>
      </w:r>
      <w:r w:rsidR="00142523" w:rsidRPr="003D1E07">
        <w:t>intencionality</w:t>
      </w:r>
      <w:r w:rsidR="087F4C70" w:rsidRPr="003D1E07">
        <w:t xml:space="preserve">. Avicenna </w:t>
      </w:r>
      <w:r w:rsidR="081525C9" w:rsidRPr="003D1E07">
        <w:t xml:space="preserve">přebírá </w:t>
      </w:r>
      <w:r w:rsidR="00874074" w:rsidRPr="003D1E07">
        <w:t>neoplatonsk</w:t>
      </w:r>
      <w:r w:rsidR="0000275E" w:rsidRPr="003D1E07">
        <w:t xml:space="preserve">ou iluminaci </w:t>
      </w:r>
      <w:r w:rsidR="08C733C5" w:rsidRPr="003D1E07">
        <w:t xml:space="preserve">darovaného </w:t>
      </w:r>
      <w:r w:rsidR="00AF4C78" w:rsidRPr="003D1E07">
        <w:t>intelektu</w:t>
      </w:r>
      <w:r w:rsidR="0000275E" w:rsidRPr="003D1E07">
        <w:t>, který je osvícený</w:t>
      </w:r>
      <w:r w:rsidR="08C733C5" w:rsidRPr="003D1E07">
        <w:t xml:space="preserve"> skrze kosmický </w:t>
      </w:r>
      <w:r w:rsidR="08C733C5" w:rsidRPr="003D1E07">
        <w:rPr>
          <w:i/>
        </w:rPr>
        <w:t>intellectus agens</w:t>
      </w:r>
      <w:r w:rsidR="00AF4C78" w:rsidRPr="003D1E07">
        <w:t>.</w:t>
      </w:r>
      <w:r w:rsidR="08BC14C1" w:rsidRPr="003D1E07">
        <w:t xml:space="preserve"> Celá metafora </w:t>
      </w:r>
      <w:r w:rsidR="08C733C5" w:rsidRPr="003D1E07">
        <w:t xml:space="preserve">intelektu-slunce </w:t>
      </w:r>
      <w:r w:rsidR="08BC14C1" w:rsidRPr="003D1E07">
        <w:t xml:space="preserve">je </w:t>
      </w:r>
      <w:r w:rsidR="08D20E95" w:rsidRPr="003D1E07">
        <w:t>o</w:t>
      </w:r>
      <w:r w:rsidR="08BC14C1" w:rsidRPr="003D1E07">
        <w:t>proti výkladu Al-Fárábího (kap. 2.1.2) posunuta o jedno pole dopředu</w:t>
      </w:r>
      <w:r w:rsidR="00526B48" w:rsidRPr="003D1E07">
        <w:t xml:space="preserve">. Aktualizace lidského intelektu poznání není dána skrze aristotelský </w:t>
      </w:r>
      <w:r w:rsidR="00526B48" w:rsidRPr="003D1E07">
        <w:rPr>
          <w:i/>
        </w:rPr>
        <w:t>intellectus in effectu</w:t>
      </w:r>
      <w:r w:rsidR="00526B48" w:rsidRPr="003D1E07">
        <w:t>, p</w:t>
      </w:r>
      <w:r w:rsidR="08117030" w:rsidRPr="003D1E07">
        <w:t xml:space="preserve">roto </w:t>
      </w:r>
      <w:r w:rsidR="08C733C5" w:rsidRPr="003D1E07">
        <w:t xml:space="preserve">není </w:t>
      </w:r>
      <w:r w:rsidR="08117030" w:rsidRPr="003D1E07">
        <w:t>v novém schématu nasvícení po</w:t>
      </w:r>
      <w:r w:rsidR="08C733C5" w:rsidRPr="003D1E07">
        <w:t xml:space="preserve">třeba žádná mediace. Iluminace </w:t>
      </w:r>
      <w:r w:rsidR="08D515A3" w:rsidRPr="003D1E07">
        <w:t>je dána skrze výše uvedenou</w:t>
      </w:r>
      <w:r w:rsidR="08BC14C1" w:rsidRPr="003D1E07">
        <w:t xml:space="preserve"> </w:t>
      </w:r>
      <w:r w:rsidR="08D515A3" w:rsidRPr="003D1E07">
        <w:t>sebereflexivní aktivitu</w:t>
      </w:r>
      <w:r w:rsidR="08BC14C1" w:rsidRPr="003D1E07">
        <w:t xml:space="preserve"> </w:t>
      </w:r>
      <w:r w:rsidR="08D515A3" w:rsidRPr="003D1E07">
        <w:t>intelektu vykonávanou</w:t>
      </w:r>
      <w:r w:rsidR="08BC14C1" w:rsidRPr="003D1E07">
        <w:t xml:space="preserve"> zcela autonomně vzhledem k sobě a ke svým principům.</w:t>
      </w:r>
    </w:p>
    <w:p w14:paraId="614AE281" w14:textId="22112B98" w:rsidR="08732573" w:rsidRPr="003D1E07" w:rsidRDefault="00E62A06" w:rsidP="00F91171">
      <w:pPr>
        <w:pStyle w:val="Citace"/>
        <w:rPr>
          <w:rStyle w:val="Zkladntext1"/>
          <w:rFonts w:ascii="Calibri" w:eastAsia="Times" w:hAnsi="Calibri"/>
          <w:noProof/>
          <w:spacing w:val="0"/>
          <w:sz w:val="22"/>
          <w:szCs w:val="22"/>
          <w:u w:val="none"/>
          <w:lang w:val="cs-CZ"/>
        </w:rPr>
      </w:pPr>
      <w:r w:rsidRPr="003D1E07">
        <w:rPr>
          <w:rStyle w:val="Zkladntext1"/>
          <w:rFonts w:ascii="Calibri" w:eastAsia="Times" w:hAnsi="Calibri"/>
          <w:noProof/>
          <w:spacing w:val="0"/>
          <w:sz w:val="22"/>
          <w:szCs w:val="22"/>
          <w:u w:val="none"/>
          <w:lang w:val="cs-CZ"/>
        </w:rPr>
        <w:t>„</w:t>
      </w:r>
      <w:r w:rsidR="00DD6F65">
        <w:rPr>
          <w:rStyle w:val="Zkladntext1"/>
          <w:rFonts w:ascii="Calibri" w:eastAsia="Times" w:hAnsi="Calibri"/>
          <w:noProof/>
          <w:spacing w:val="0"/>
          <w:sz w:val="22"/>
          <w:szCs w:val="22"/>
          <w:u w:val="none"/>
          <w:lang w:val="cs-CZ"/>
        </w:rPr>
        <w:t>Porovnat intelekt</w:t>
      </w:r>
      <w:r w:rsidR="08732573" w:rsidRPr="003D1E07">
        <w:rPr>
          <w:rStyle w:val="Zkladntext1"/>
          <w:rFonts w:ascii="Calibri" w:eastAsia="Times" w:hAnsi="Calibri"/>
          <w:noProof/>
          <w:spacing w:val="0"/>
          <w:sz w:val="22"/>
          <w:szCs w:val="22"/>
          <w:u w:val="none"/>
          <w:lang w:val="cs-CZ"/>
        </w:rPr>
        <w:t xml:space="preserve"> vzhledem k</w:t>
      </w:r>
      <w:r w:rsidR="009A43BE" w:rsidRPr="003D1E07">
        <w:rPr>
          <w:rStyle w:val="Zkladntext1"/>
          <w:rFonts w:ascii="Calibri" w:eastAsia="Times" w:hAnsi="Calibri"/>
          <w:noProof/>
          <w:spacing w:val="0"/>
          <w:sz w:val="22"/>
          <w:szCs w:val="22"/>
          <w:u w:val="none"/>
          <w:lang w:val="cs-CZ"/>
        </w:rPr>
        <w:t xml:space="preserve"> lidské </w:t>
      </w:r>
      <w:r w:rsidR="082262D5" w:rsidRPr="003D1E07">
        <w:rPr>
          <w:rStyle w:val="Zkladntext1"/>
          <w:rFonts w:ascii="Calibri" w:eastAsia="Times" w:hAnsi="Calibri"/>
          <w:noProof/>
          <w:spacing w:val="0"/>
          <w:sz w:val="22"/>
          <w:szCs w:val="22"/>
          <w:u w:val="none"/>
          <w:lang w:val="cs-CZ"/>
        </w:rPr>
        <w:t xml:space="preserve">duši je jako srovnávat </w:t>
      </w:r>
      <w:r w:rsidR="08732573" w:rsidRPr="003D1E07">
        <w:rPr>
          <w:rStyle w:val="Zkladntext1"/>
          <w:rFonts w:ascii="Calibri" w:eastAsia="Times" w:hAnsi="Calibri"/>
          <w:noProof/>
          <w:spacing w:val="0"/>
          <w:sz w:val="22"/>
          <w:szCs w:val="22"/>
          <w:u w:val="none"/>
          <w:lang w:val="cs-CZ"/>
        </w:rPr>
        <w:t xml:space="preserve">slunce </w:t>
      </w:r>
      <w:r w:rsidR="082262D5" w:rsidRPr="003D1E07">
        <w:rPr>
          <w:rStyle w:val="Zkladntext1"/>
          <w:rFonts w:ascii="Calibri" w:eastAsia="Times" w:hAnsi="Calibri"/>
          <w:noProof/>
          <w:spacing w:val="0"/>
          <w:sz w:val="22"/>
          <w:szCs w:val="22"/>
          <w:u w:val="none"/>
          <w:lang w:val="cs-CZ"/>
        </w:rPr>
        <w:t>s</w:t>
      </w:r>
      <w:r w:rsidR="009A43BE" w:rsidRPr="003D1E07">
        <w:rPr>
          <w:rStyle w:val="Zkladntext1"/>
          <w:rFonts w:ascii="Calibri" w:eastAsia="Times" w:hAnsi="Calibri"/>
          <w:noProof/>
          <w:spacing w:val="0"/>
          <w:sz w:val="22"/>
          <w:szCs w:val="22"/>
          <w:u w:val="none"/>
          <w:lang w:val="cs-CZ"/>
        </w:rPr>
        <w:t xml:space="preserve"> lidským </w:t>
      </w:r>
      <w:r w:rsidR="082262D5" w:rsidRPr="003D1E07">
        <w:rPr>
          <w:rStyle w:val="Zkladntext1"/>
          <w:rFonts w:ascii="Calibri" w:eastAsia="Times" w:hAnsi="Calibri"/>
          <w:noProof/>
          <w:spacing w:val="0"/>
          <w:sz w:val="22"/>
          <w:szCs w:val="22"/>
          <w:u w:val="none"/>
          <w:lang w:val="cs-CZ"/>
        </w:rPr>
        <w:t>v</w:t>
      </w:r>
      <w:r w:rsidR="08732573" w:rsidRPr="003D1E07">
        <w:rPr>
          <w:rStyle w:val="Zkladntext1"/>
          <w:rFonts w:ascii="Calibri" w:eastAsia="Times" w:hAnsi="Calibri"/>
          <w:noProof/>
          <w:spacing w:val="0"/>
          <w:sz w:val="22"/>
          <w:szCs w:val="22"/>
          <w:u w:val="none"/>
          <w:lang w:val="cs-CZ"/>
        </w:rPr>
        <w:t>idění</w:t>
      </w:r>
      <w:r w:rsidR="082262D5" w:rsidRPr="003D1E07">
        <w:rPr>
          <w:rStyle w:val="Zkladntext1"/>
          <w:rFonts w:ascii="Calibri" w:eastAsia="Times" w:hAnsi="Calibri"/>
          <w:noProof/>
          <w:spacing w:val="0"/>
          <w:sz w:val="22"/>
          <w:szCs w:val="22"/>
          <w:u w:val="none"/>
          <w:lang w:val="cs-CZ"/>
        </w:rPr>
        <w:t>m</w:t>
      </w:r>
      <w:r w:rsidR="08732573" w:rsidRPr="003D1E07">
        <w:rPr>
          <w:rStyle w:val="Zkladntext1"/>
          <w:rFonts w:ascii="Calibri" w:eastAsia="Times" w:hAnsi="Calibri"/>
          <w:noProof/>
          <w:spacing w:val="0"/>
          <w:sz w:val="22"/>
          <w:szCs w:val="22"/>
          <w:u w:val="none"/>
          <w:lang w:val="cs-CZ"/>
        </w:rPr>
        <w:t xml:space="preserve">. </w:t>
      </w:r>
      <w:r w:rsidR="087F36A9" w:rsidRPr="003D1E07">
        <w:rPr>
          <w:rStyle w:val="Zkladntext1"/>
          <w:rFonts w:ascii="Calibri" w:eastAsia="Times" w:hAnsi="Calibri"/>
          <w:noProof/>
          <w:spacing w:val="0"/>
          <w:sz w:val="22"/>
          <w:szCs w:val="22"/>
          <w:u w:val="none"/>
          <w:lang w:val="cs-CZ"/>
        </w:rPr>
        <w:t>Platí, že s</w:t>
      </w:r>
      <w:r w:rsidR="08732573" w:rsidRPr="003D1E07">
        <w:rPr>
          <w:rStyle w:val="Zkladntext1"/>
          <w:rFonts w:ascii="Calibri" w:eastAsia="Times" w:hAnsi="Calibri"/>
          <w:noProof/>
          <w:spacing w:val="0"/>
          <w:sz w:val="22"/>
          <w:szCs w:val="22"/>
          <w:u w:val="none"/>
          <w:lang w:val="cs-CZ"/>
        </w:rPr>
        <w:t xml:space="preserve">lunce </w:t>
      </w:r>
      <w:r w:rsidR="087F36A9" w:rsidRPr="003D1E07">
        <w:rPr>
          <w:rStyle w:val="Zkladntext1"/>
          <w:rFonts w:ascii="Calibri" w:eastAsia="Times" w:hAnsi="Calibri"/>
          <w:noProof/>
          <w:spacing w:val="0"/>
          <w:sz w:val="22"/>
          <w:szCs w:val="22"/>
          <w:u w:val="none"/>
          <w:lang w:val="cs-CZ"/>
        </w:rPr>
        <w:t>existuje s</w:t>
      </w:r>
      <w:r w:rsidR="08732573" w:rsidRPr="003D1E07">
        <w:rPr>
          <w:rStyle w:val="Zkladntext1"/>
          <w:rFonts w:ascii="Calibri" w:eastAsia="Times" w:hAnsi="Calibri"/>
          <w:noProof/>
          <w:spacing w:val="0"/>
          <w:sz w:val="22"/>
          <w:szCs w:val="22"/>
          <w:u w:val="none"/>
          <w:lang w:val="cs-CZ"/>
        </w:rPr>
        <w:t>krze sebe samo a aktuálně</w:t>
      </w:r>
      <w:r w:rsidR="00576BBD" w:rsidRPr="003D1E07">
        <w:rPr>
          <w:rStyle w:val="Zkladntext1"/>
          <w:rFonts w:ascii="Calibri" w:eastAsia="Times" w:hAnsi="Calibri"/>
          <w:noProof/>
          <w:spacing w:val="0"/>
          <w:sz w:val="22"/>
          <w:szCs w:val="22"/>
          <w:u w:val="none"/>
          <w:lang w:val="cs-CZ"/>
        </w:rPr>
        <w:t>. S</w:t>
      </w:r>
      <w:r w:rsidR="08BA671C" w:rsidRPr="003D1E07">
        <w:rPr>
          <w:rStyle w:val="Zkladntext1"/>
          <w:rFonts w:ascii="Calibri" w:eastAsia="Times" w:hAnsi="Calibri"/>
          <w:noProof/>
          <w:spacing w:val="0"/>
          <w:sz w:val="22"/>
          <w:szCs w:val="22"/>
          <w:u w:val="none"/>
          <w:lang w:val="cs-CZ"/>
        </w:rPr>
        <w:t xml:space="preserve">krze </w:t>
      </w:r>
      <w:r w:rsidR="08407187" w:rsidRPr="003D1E07">
        <w:rPr>
          <w:rStyle w:val="Zkladntext1"/>
          <w:rFonts w:ascii="Calibri" w:eastAsia="Times" w:hAnsi="Calibri"/>
          <w:noProof/>
          <w:spacing w:val="0"/>
          <w:sz w:val="22"/>
          <w:szCs w:val="22"/>
          <w:u w:val="none"/>
          <w:lang w:val="cs-CZ"/>
        </w:rPr>
        <w:t xml:space="preserve">paprsek </w:t>
      </w:r>
      <w:r w:rsidR="08BA671C" w:rsidRPr="003D1E07">
        <w:rPr>
          <w:rStyle w:val="Zkladntext1"/>
          <w:rFonts w:ascii="Calibri" w:eastAsia="Times" w:hAnsi="Calibri"/>
          <w:noProof/>
          <w:spacing w:val="0"/>
          <w:sz w:val="22"/>
          <w:szCs w:val="22"/>
          <w:u w:val="none"/>
          <w:lang w:val="cs-CZ"/>
        </w:rPr>
        <w:t xml:space="preserve">je </w:t>
      </w:r>
      <w:r w:rsidR="00576BBD" w:rsidRPr="003D1E07">
        <w:rPr>
          <w:rStyle w:val="Zkladntext1"/>
          <w:rFonts w:ascii="Calibri" w:eastAsia="Times" w:hAnsi="Calibri"/>
          <w:noProof/>
          <w:spacing w:val="0"/>
          <w:sz w:val="22"/>
          <w:szCs w:val="22"/>
          <w:u w:val="none"/>
          <w:lang w:val="cs-CZ"/>
        </w:rPr>
        <w:t xml:space="preserve">slunce </w:t>
      </w:r>
      <w:r w:rsidR="0072543D" w:rsidRPr="003D1E07">
        <w:rPr>
          <w:rStyle w:val="Zkladntext1"/>
          <w:rFonts w:ascii="Calibri" w:eastAsia="Times" w:hAnsi="Calibri"/>
          <w:noProof/>
          <w:spacing w:val="0"/>
          <w:sz w:val="22"/>
          <w:szCs w:val="22"/>
          <w:u w:val="none"/>
          <w:lang w:val="cs-CZ"/>
        </w:rPr>
        <w:t>vidět reálně</w:t>
      </w:r>
      <w:r w:rsidR="08732573" w:rsidRPr="003D1E07">
        <w:rPr>
          <w:rStyle w:val="Zkladntext1"/>
          <w:rFonts w:ascii="Calibri" w:eastAsia="Times" w:hAnsi="Calibri"/>
          <w:noProof/>
          <w:spacing w:val="0"/>
          <w:sz w:val="22"/>
          <w:szCs w:val="22"/>
          <w:u w:val="none"/>
          <w:lang w:val="cs-CZ"/>
        </w:rPr>
        <w:t xml:space="preserve">, </w:t>
      </w:r>
      <w:r w:rsidR="08BA671C" w:rsidRPr="003D1E07">
        <w:rPr>
          <w:rStyle w:val="Zkladntext1"/>
          <w:rFonts w:ascii="Calibri" w:eastAsia="Times" w:hAnsi="Calibri"/>
          <w:noProof/>
          <w:spacing w:val="0"/>
          <w:sz w:val="22"/>
          <w:szCs w:val="22"/>
          <w:u w:val="none"/>
          <w:lang w:val="cs-CZ"/>
        </w:rPr>
        <w:t xml:space="preserve">i když </w:t>
      </w:r>
      <w:r w:rsidR="00F8431F" w:rsidRPr="003D1E07">
        <w:rPr>
          <w:rStyle w:val="Zkladntext1"/>
          <w:rFonts w:ascii="Calibri" w:eastAsia="Times" w:hAnsi="Calibri"/>
          <w:noProof/>
          <w:spacing w:val="0"/>
          <w:sz w:val="22"/>
          <w:szCs w:val="22"/>
          <w:u w:val="none"/>
          <w:lang w:val="cs-CZ"/>
        </w:rPr>
        <w:t xml:space="preserve">slunce </w:t>
      </w:r>
      <w:r w:rsidR="009A43BE" w:rsidRPr="003D1E07">
        <w:rPr>
          <w:rStyle w:val="Zkladntext1"/>
          <w:rFonts w:ascii="Calibri" w:eastAsia="Times" w:hAnsi="Calibri"/>
          <w:noProof/>
          <w:spacing w:val="0"/>
          <w:sz w:val="22"/>
          <w:szCs w:val="22"/>
          <w:u w:val="none"/>
          <w:lang w:val="cs-CZ"/>
        </w:rPr>
        <w:t xml:space="preserve">není uchopeno </w:t>
      </w:r>
      <w:r w:rsidR="00F8431F" w:rsidRPr="003D1E07">
        <w:rPr>
          <w:rStyle w:val="Zkladntext1"/>
          <w:rFonts w:ascii="Calibri" w:eastAsia="Times" w:hAnsi="Calibri"/>
          <w:noProof/>
          <w:spacing w:val="0"/>
          <w:sz w:val="22"/>
          <w:szCs w:val="22"/>
          <w:u w:val="none"/>
          <w:lang w:val="cs-CZ"/>
        </w:rPr>
        <w:t xml:space="preserve">přímo </w:t>
      </w:r>
      <w:r w:rsidR="009A43BE" w:rsidRPr="003D1E07">
        <w:rPr>
          <w:rStyle w:val="Zkladntext1"/>
          <w:rFonts w:ascii="Calibri" w:eastAsia="Times" w:hAnsi="Calibri"/>
          <w:noProof/>
          <w:spacing w:val="0"/>
          <w:sz w:val="22"/>
          <w:szCs w:val="22"/>
          <w:u w:val="none"/>
          <w:lang w:val="cs-CZ"/>
        </w:rPr>
        <w:t>v jeho aktualitě</w:t>
      </w:r>
      <w:r w:rsidR="08732573" w:rsidRPr="003D1E07">
        <w:rPr>
          <w:rStyle w:val="Zkladntext1"/>
          <w:rFonts w:ascii="Calibri" w:eastAsia="Times" w:hAnsi="Calibri"/>
          <w:noProof/>
          <w:spacing w:val="0"/>
          <w:sz w:val="22"/>
          <w:szCs w:val="22"/>
          <w:u w:val="none"/>
          <w:lang w:val="cs-CZ"/>
        </w:rPr>
        <w:t xml:space="preserve">. </w:t>
      </w:r>
      <w:r w:rsidR="08BA671C" w:rsidRPr="003D1E07">
        <w:rPr>
          <w:rStyle w:val="Zkladntext1"/>
          <w:rFonts w:ascii="Calibri" w:eastAsia="Times" w:hAnsi="Calibri"/>
          <w:noProof/>
          <w:spacing w:val="0"/>
          <w:sz w:val="22"/>
          <w:szCs w:val="22"/>
          <w:u w:val="none"/>
          <w:lang w:val="cs-CZ"/>
        </w:rPr>
        <w:t>I</w:t>
      </w:r>
      <w:r w:rsidR="08DE26D7" w:rsidRPr="003D1E07">
        <w:rPr>
          <w:rStyle w:val="Zkladntext1"/>
          <w:rFonts w:ascii="Calibri" w:eastAsia="Times" w:hAnsi="Calibri"/>
          <w:noProof/>
          <w:spacing w:val="0"/>
          <w:sz w:val="22"/>
          <w:szCs w:val="22"/>
          <w:u w:val="none"/>
          <w:lang w:val="cs-CZ"/>
        </w:rPr>
        <w:t xml:space="preserve">ntelektuální poznání </w:t>
      </w:r>
      <w:r w:rsidR="000F0C90">
        <w:rPr>
          <w:rStyle w:val="Zkladntext1"/>
          <w:rFonts w:ascii="Calibri" w:eastAsia="Times" w:hAnsi="Calibri"/>
          <w:noProof/>
          <w:spacing w:val="0"/>
          <w:sz w:val="22"/>
          <w:szCs w:val="22"/>
          <w:u w:val="none"/>
          <w:lang w:val="cs-CZ"/>
        </w:rPr>
        <w:t xml:space="preserve">má stejnou povahu </w:t>
      </w:r>
      <w:r w:rsidR="00403EDB">
        <w:rPr>
          <w:rStyle w:val="Zkladntext1"/>
          <w:rFonts w:ascii="Calibri" w:eastAsia="Times" w:hAnsi="Calibri"/>
          <w:noProof/>
          <w:spacing w:val="0"/>
          <w:sz w:val="22"/>
          <w:szCs w:val="22"/>
          <w:u w:val="none"/>
          <w:lang w:val="cs-CZ"/>
        </w:rPr>
        <w:t>vzhledem k lidské duši</w:t>
      </w:r>
      <w:r w:rsidR="08732573" w:rsidRPr="003D1E07">
        <w:rPr>
          <w:rStyle w:val="Zkladntext1"/>
          <w:rFonts w:ascii="Calibri" w:eastAsia="Times" w:hAnsi="Calibri"/>
          <w:noProof/>
          <w:spacing w:val="0"/>
          <w:sz w:val="22"/>
          <w:szCs w:val="22"/>
          <w:u w:val="none"/>
          <w:lang w:val="cs-CZ"/>
        </w:rPr>
        <w:t>.“</w:t>
      </w:r>
      <w:r w:rsidR="003528E7" w:rsidRPr="003D1E07">
        <w:rPr>
          <w:rStyle w:val="Zkladntext1"/>
          <w:rFonts w:ascii="Calibri" w:eastAsia="Times" w:hAnsi="Calibri"/>
          <w:noProof/>
          <w:spacing w:val="0"/>
          <w:sz w:val="22"/>
          <w:szCs w:val="22"/>
          <w:u w:val="none"/>
          <w:lang w:val="cs-CZ"/>
        </w:rPr>
        <w:t> </w:t>
      </w:r>
      <w:r w:rsidR="08732573" w:rsidRPr="003D1E07">
        <w:rPr>
          <w:rStyle w:val="Znakapoznpodarou"/>
          <w:noProof/>
          <w:szCs w:val="22"/>
          <w:lang w:val="cs-CZ"/>
        </w:rPr>
        <w:footnoteReference w:id="128"/>
      </w:r>
    </w:p>
    <w:p w14:paraId="3FF0142B" w14:textId="77777777" w:rsidR="00AA0B09" w:rsidRDefault="007E79E4" w:rsidP="00CC1DDF">
      <w:r w:rsidRPr="003D1E07">
        <w:t xml:space="preserve">Avicenna se zajímá </w:t>
      </w:r>
      <w:r w:rsidR="00E62A06" w:rsidRPr="003D1E07">
        <w:t xml:space="preserve">pouze o </w:t>
      </w:r>
      <w:r w:rsidR="00BD343A" w:rsidRPr="003D1E07">
        <w:t>vztah mezi</w:t>
      </w:r>
      <w:r w:rsidR="00E62A06" w:rsidRPr="003D1E07">
        <w:t xml:space="preserve"> slunce</w:t>
      </w:r>
      <w:r w:rsidR="00BD343A" w:rsidRPr="003D1E07">
        <w:t>m a schopností</w:t>
      </w:r>
      <w:r w:rsidR="00E62A06" w:rsidRPr="003D1E07">
        <w:t xml:space="preserve"> vidět (</w:t>
      </w:r>
      <w:r w:rsidR="00E62A06" w:rsidRPr="003D1E07">
        <w:rPr>
          <w:rStyle w:val="Zkladntext1"/>
          <w:rFonts w:ascii="Calibri" w:eastAsia="Times" w:hAnsi="Calibri"/>
          <w:i/>
          <w:color w:val="auto"/>
          <w:spacing w:val="0"/>
          <w:sz w:val="24"/>
          <w:u w:val="none"/>
          <w:lang w:val="cs-CZ"/>
        </w:rPr>
        <w:t>comparatio solis</w:t>
      </w:r>
      <w:r w:rsidR="00E62A06" w:rsidRPr="003D1E07">
        <w:rPr>
          <w:i/>
        </w:rPr>
        <w:t xml:space="preserve"> </w:t>
      </w:r>
      <w:r w:rsidR="00E62A06" w:rsidRPr="003D1E07">
        <w:rPr>
          <w:rStyle w:val="Zkladntext1"/>
          <w:rFonts w:ascii="Calibri" w:eastAsia="Times" w:hAnsi="Calibri"/>
          <w:i/>
          <w:color w:val="auto"/>
          <w:spacing w:val="0"/>
          <w:sz w:val="24"/>
          <w:szCs w:val="20"/>
          <w:u w:val="none"/>
          <w:lang w:val="cs-CZ"/>
        </w:rPr>
        <w:t>ad visu</w:t>
      </w:r>
      <w:r w:rsidR="00E62A06" w:rsidRPr="003D1E07">
        <w:rPr>
          <w:rStyle w:val="Zkladntext1"/>
          <w:rFonts w:ascii="Calibri" w:eastAsia="Times" w:hAnsi="Calibri"/>
          <w:i/>
          <w:color w:val="auto"/>
          <w:spacing w:val="0"/>
          <w:sz w:val="24"/>
          <w:szCs w:val="22"/>
          <w:u w:val="none"/>
          <w:lang w:val="cs-CZ"/>
        </w:rPr>
        <w:t>s nostros</w:t>
      </w:r>
      <w:r w:rsidR="00E62A06" w:rsidRPr="003D1E07">
        <w:t xml:space="preserve">). </w:t>
      </w:r>
      <w:r w:rsidR="00267893">
        <w:t>Toledská</w:t>
      </w:r>
      <w:r w:rsidR="00267893" w:rsidRPr="003D1E07">
        <w:t xml:space="preserve"> škol</w:t>
      </w:r>
      <w:r w:rsidR="00267893">
        <w:t>a</w:t>
      </w:r>
      <w:r w:rsidR="00267893" w:rsidRPr="003D1E07">
        <w:fldChar w:fldCharType="begin"/>
      </w:r>
      <w:r w:rsidR="00267893" w:rsidRPr="003D1E07">
        <w:instrText xml:space="preserve"> XE "Toledská škola" </w:instrText>
      </w:r>
      <w:r w:rsidR="00267893" w:rsidRPr="003D1E07">
        <w:fldChar w:fldCharType="end"/>
      </w:r>
      <w:r w:rsidR="00267893" w:rsidRPr="003D1E07">
        <w:t xml:space="preserve"> </w:t>
      </w:r>
      <w:r w:rsidR="00267893">
        <w:t>téměř do slova přejala teorii poznání jako komparaci</w:t>
      </w:r>
      <w:r w:rsidR="08835A7A" w:rsidRPr="003D1E07">
        <w:t xml:space="preserve">, což ukázal překlad Al-Farábího díla </w:t>
      </w:r>
      <w:r w:rsidR="08835A7A" w:rsidRPr="003D1E07">
        <w:rPr>
          <w:i/>
        </w:rPr>
        <w:t>De intellectu</w:t>
      </w:r>
      <w:r w:rsidR="08835A7A" w:rsidRPr="003D1E07">
        <w:t>. Zásadní zprostředkující úloha diafanum v latinském překladu zmizela a nahradilo ji vyzařování paprsků od slunce</w:t>
      </w:r>
      <w:r w:rsidR="08FD2B1E" w:rsidRPr="003D1E07">
        <w:t xml:space="preserve"> či od intelektu</w:t>
      </w:r>
      <w:r w:rsidR="08835A7A" w:rsidRPr="003D1E07">
        <w:t xml:space="preserve"> (</w:t>
      </w:r>
      <w:r w:rsidR="08835A7A" w:rsidRPr="003D1E07">
        <w:rPr>
          <w:i/>
        </w:rPr>
        <w:t>comparacio irradiacionis</w:t>
      </w:r>
      <w:r w:rsidR="08835A7A" w:rsidRPr="003D1E07">
        <w:t xml:space="preserve">, kap. 2.1.1). </w:t>
      </w:r>
      <w:r w:rsidR="0098223F" w:rsidRPr="003D1E07">
        <w:t xml:space="preserve">Této rovině vztahu </w:t>
      </w:r>
      <w:r w:rsidR="00753273" w:rsidRPr="003D1E07">
        <w:t>odpovídá</w:t>
      </w:r>
      <w:r w:rsidR="0098223F" w:rsidRPr="003D1E07">
        <w:t xml:space="preserve"> na úrovni poznání </w:t>
      </w:r>
      <w:r w:rsidR="00912491" w:rsidRPr="003D1E07">
        <w:t xml:space="preserve">dispozice duše vzhledem k nadřazenému </w:t>
      </w:r>
      <w:r w:rsidR="0098223F" w:rsidRPr="003D1E07">
        <w:t xml:space="preserve">aktivnímu </w:t>
      </w:r>
      <w:r w:rsidR="00912491" w:rsidRPr="003D1E07">
        <w:t>intelektu</w:t>
      </w:r>
      <w:r w:rsidR="0098223F" w:rsidRPr="003D1E07">
        <w:t xml:space="preserve"> (</w:t>
      </w:r>
      <w:r w:rsidR="0098223F" w:rsidRPr="003D1E07">
        <w:rPr>
          <w:i/>
        </w:rPr>
        <w:t>intellectus agens</w:t>
      </w:r>
      <w:r w:rsidR="00DF1F0F" w:rsidRPr="003D1E07">
        <w:rPr>
          <w:i/>
        </w:rPr>
        <w:fldChar w:fldCharType="begin"/>
      </w:r>
      <w:r w:rsidR="00DF1F0F" w:rsidRPr="003D1E07">
        <w:instrText xml:space="preserve"> XE "</w:instrText>
      </w:r>
      <w:r w:rsidR="00CC2962" w:rsidRPr="003D1E07">
        <w:instrText>zjevování:Avicenna</w:instrText>
      </w:r>
      <w:r w:rsidR="00DF1F0F" w:rsidRPr="003D1E07">
        <w:instrText xml:space="preserve">" </w:instrText>
      </w:r>
      <w:r w:rsidR="00DF1F0F" w:rsidRPr="003D1E07">
        <w:rPr>
          <w:i/>
        </w:rPr>
        <w:fldChar w:fldCharType="end"/>
      </w:r>
      <w:r w:rsidR="0098223F" w:rsidRPr="003D1E07">
        <w:t>)</w:t>
      </w:r>
      <w:r w:rsidR="00912491" w:rsidRPr="003D1E07">
        <w:t xml:space="preserve">. </w:t>
      </w:r>
      <w:r w:rsidR="08AF6350" w:rsidRPr="003D1E07">
        <w:t xml:space="preserve">Citované </w:t>
      </w:r>
      <w:r w:rsidR="08AF6350" w:rsidRPr="003D1E07">
        <w:rPr>
          <w:rStyle w:val="FontStyle129"/>
          <w:rFonts w:ascii="Calibri" w:hAnsi="Calibri"/>
          <w:sz w:val="24"/>
        </w:rPr>
        <w:t xml:space="preserve">pojetí zdůraznilo z původní předlohy spisu </w:t>
      </w:r>
      <w:r w:rsidR="08AF6350" w:rsidRPr="003D1E07">
        <w:rPr>
          <w:rStyle w:val="FontStyle129"/>
          <w:rFonts w:ascii="Calibri" w:hAnsi="Calibri"/>
          <w:i/>
          <w:sz w:val="24"/>
        </w:rPr>
        <w:t>De anima</w:t>
      </w:r>
      <w:r w:rsidR="08AF6350" w:rsidRPr="003D1E07">
        <w:rPr>
          <w:rStyle w:val="FontStyle129"/>
          <w:rFonts w:ascii="Calibri" w:hAnsi="Calibri"/>
          <w:sz w:val="24"/>
        </w:rPr>
        <w:t xml:space="preserve"> neoplatonskou linii</w:t>
      </w:r>
      <w:r w:rsidR="08D217D3" w:rsidRPr="003D1E07">
        <w:rPr>
          <w:rStyle w:val="FontStyle129"/>
          <w:rFonts w:ascii="Calibri" w:hAnsi="Calibri"/>
          <w:sz w:val="24"/>
        </w:rPr>
        <w:t xml:space="preserve"> </w:t>
      </w:r>
      <w:r w:rsidR="087C0DD2" w:rsidRPr="003D1E07">
        <w:rPr>
          <w:rStyle w:val="FontStyle129"/>
          <w:rFonts w:ascii="Calibri" w:hAnsi="Calibri"/>
          <w:sz w:val="24"/>
        </w:rPr>
        <w:t xml:space="preserve">poznání </w:t>
      </w:r>
      <w:r w:rsidR="08D217D3" w:rsidRPr="003D1E07">
        <w:rPr>
          <w:rStyle w:val="FontStyle129"/>
          <w:rFonts w:ascii="Calibri" w:hAnsi="Calibri"/>
          <w:sz w:val="24"/>
        </w:rPr>
        <w:t xml:space="preserve">danou Themistiem: </w:t>
      </w:r>
      <w:r w:rsidR="08AF6350" w:rsidRPr="003D1E07">
        <w:t>slunce (</w:t>
      </w:r>
      <w:r w:rsidR="08AF6350" w:rsidRPr="003D1E07">
        <w:rPr>
          <w:i/>
        </w:rPr>
        <w:t>causa prima</w:t>
      </w:r>
      <w:r w:rsidR="08AF6350" w:rsidRPr="003D1E07">
        <w:rPr>
          <w:i/>
        </w:rPr>
        <w:fldChar w:fldCharType="begin"/>
      </w:r>
      <w:r w:rsidR="08AF6350" w:rsidRPr="003D1E07">
        <w:instrText xml:space="preserve"> XE "</w:instrText>
      </w:r>
      <w:r w:rsidR="08AF6350" w:rsidRPr="003D1E07">
        <w:rPr>
          <w:i/>
          <w:color w:val="000000"/>
        </w:rPr>
        <w:instrText>causa prima</w:instrText>
      </w:r>
      <w:r w:rsidR="08AF6350" w:rsidRPr="003D1E07">
        <w:instrText xml:space="preserve">" </w:instrText>
      </w:r>
      <w:r w:rsidR="08AF6350" w:rsidRPr="003D1E07">
        <w:rPr>
          <w:i/>
        </w:rPr>
        <w:fldChar w:fldCharType="end"/>
      </w:r>
      <w:r w:rsidR="08AF6350" w:rsidRPr="003D1E07">
        <w:t>) – paprsek (</w:t>
      </w:r>
      <w:r w:rsidR="08AF6350" w:rsidRPr="003D1E07">
        <w:rPr>
          <w:i/>
        </w:rPr>
        <w:t>intellectus agens</w:t>
      </w:r>
      <w:r w:rsidR="08AF6350" w:rsidRPr="003D1E07">
        <w:t>)</w:t>
      </w:r>
      <w:r w:rsidR="08AE09B7" w:rsidRPr="003D1E07">
        <w:t xml:space="preserve"> </w:t>
      </w:r>
      <w:r w:rsidR="08AF6350" w:rsidRPr="003D1E07">
        <w:t>– oko (</w:t>
      </w:r>
      <w:r w:rsidR="08AF6350" w:rsidRPr="003D1E07">
        <w:rPr>
          <w:i/>
        </w:rPr>
        <w:t xml:space="preserve">intellectus </w:t>
      </w:r>
      <w:r w:rsidR="0830786C" w:rsidRPr="003D1E07">
        <w:rPr>
          <w:i/>
        </w:rPr>
        <w:t>adeptus</w:t>
      </w:r>
      <w:r w:rsidR="08AF6350" w:rsidRPr="003D1E07">
        <w:rPr>
          <w:i/>
        </w:rPr>
        <w:fldChar w:fldCharType="begin"/>
      </w:r>
      <w:r w:rsidR="08AF6350" w:rsidRPr="003D1E07">
        <w:instrText xml:space="preserve"> XE "</w:instrText>
      </w:r>
      <w:r w:rsidR="08AF6350" w:rsidRPr="003D1E07">
        <w:rPr>
          <w:i/>
        </w:rPr>
        <w:instrText xml:space="preserve">intellectus </w:instrText>
      </w:r>
      <w:r w:rsidR="0830786C" w:rsidRPr="003D1E07">
        <w:rPr>
          <w:i/>
        </w:rPr>
        <w:instrText>adeptus</w:instrText>
      </w:r>
      <w:r w:rsidR="08AF6350" w:rsidRPr="003D1E07">
        <w:instrText xml:space="preserve">:Avicenna" </w:instrText>
      </w:r>
      <w:r w:rsidR="08AF6350" w:rsidRPr="003D1E07">
        <w:rPr>
          <w:i/>
        </w:rPr>
        <w:fldChar w:fldCharType="end"/>
      </w:r>
      <w:r w:rsidR="08AF6350" w:rsidRPr="003D1E07">
        <w:t>)</w:t>
      </w:r>
      <w:r w:rsidR="087C0DD2" w:rsidRPr="003D1E07">
        <w:t xml:space="preserve"> – </w:t>
      </w:r>
      <w:r w:rsidR="00A16A28">
        <w:t xml:space="preserve">poznaná </w:t>
      </w:r>
      <w:r w:rsidR="087C0DD2" w:rsidRPr="003D1E07">
        <w:t>barva (</w:t>
      </w:r>
      <w:r w:rsidR="087C0DD2" w:rsidRPr="003D1E07">
        <w:rPr>
          <w:i/>
        </w:rPr>
        <w:t>intellectum</w:t>
      </w:r>
      <w:r w:rsidR="087C0DD2" w:rsidRPr="003D1E07">
        <w:t>)</w:t>
      </w:r>
      <w:r w:rsidR="08AF6350" w:rsidRPr="003D1E07">
        <w:t xml:space="preserve">. </w:t>
      </w:r>
      <w:r w:rsidR="007F0AE8">
        <w:t>Výsledný i</w:t>
      </w:r>
      <w:r w:rsidR="08AF6350" w:rsidRPr="003D1E07">
        <w:t xml:space="preserve">ntelektuální poznatek spojuje jak receptivní, tak i aktivní proces </w:t>
      </w:r>
      <w:r w:rsidR="08AF6350" w:rsidRPr="003D1E07">
        <w:lastRenderedPageBreak/>
        <w:t xml:space="preserve">poznání. Paprsky aktivního slunce oko přijímá přímo skrze nasvícenou plochu, což přebrala moderna skrze Descarta a Arnaulda (kap. 2.4.4). Podobně jedná i </w:t>
      </w:r>
      <w:r w:rsidR="08AF6350" w:rsidRPr="003D1E07">
        <w:rPr>
          <w:i/>
        </w:rPr>
        <w:t>intellectus adeptus</w:t>
      </w:r>
      <w:r w:rsidR="08AF6350" w:rsidRPr="003D1E07">
        <w:rPr>
          <w:i/>
        </w:rPr>
        <w:fldChar w:fldCharType="begin"/>
      </w:r>
      <w:r w:rsidR="08AF6350" w:rsidRPr="003D1E07">
        <w:instrText xml:space="preserve"> XE "</w:instrText>
      </w:r>
      <w:r w:rsidR="08AF6350" w:rsidRPr="003D1E07">
        <w:rPr>
          <w:i/>
        </w:rPr>
        <w:instrText>intellectus adeptus</w:instrText>
      </w:r>
      <w:r w:rsidR="08AF6350" w:rsidRPr="003D1E07">
        <w:instrText xml:space="preserve">:Avicenna" </w:instrText>
      </w:r>
      <w:r w:rsidR="08AF6350" w:rsidRPr="003D1E07">
        <w:rPr>
          <w:i/>
        </w:rPr>
        <w:fldChar w:fldCharType="end"/>
      </w:r>
      <w:r w:rsidR="08AF6350" w:rsidRPr="003D1E07">
        <w:t xml:space="preserve"> v automnomní duši</w:t>
      </w:r>
      <w:r w:rsidR="00911E8E" w:rsidRPr="003D1E07">
        <w:t xml:space="preserve">. Reálné substance dané mimo nás </w:t>
      </w:r>
      <w:r w:rsidR="08AF6350" w:rsidRPr="003D1E07">
        <w:t xml:space="preserve">poznáváme </w:t>
      </w:r>
      <w:r w:rsidR="00911E8E" w:rsidRPr="003D1E07">
        <w:t>skrze autonomní hypostatické formy</w:t>
      </w:r>
      <w:r w:rsidR="08AF6350" w:rsidRPr="003D1E07">
        <w:t xml:space="preserve">. </w:t>
      </w:r>
      <w:r w:rsidR="00911E8E" w:rsidRPr="003D1E07">
        <w:t xml:space="preserve">Mezi slunečním paprskem a okem neexistuje žádná reálně mediace, pouze mytopoetická analogie slunce a intelektu. </w:t>
      </w:r>
      <w:r w:rsidR="00E62A06" w:rsidRPr="003D1E07">
        <w:t xml:space="preserve">Na prvním místě stojí </w:t>
      </w:r>
      <w:r w:rsidR="00143A98" w:rsidRPr="003D1E07">
        <w:t xml:space="preserve">aktuální </w:t>
      </w:r>
      <w:r w:rsidR="00E62A06" w:rsidRPr="003D1E07">
        <w:t xml:space="preserve">světlo z transcendentního zdroje, který je zcela </w:t>
      </w:r>
      <w:r w:rsidR="08AA1E39" w:rsidRPr="003D1E07">
        <w:t xml:space="preserve">aktuální a existuje subsistentně </w:t>
      </w:r>
      <w:r w:rsidR="00E62A06" w:rsidRPr="003D1E07">
        <w:t>(</w:t>
      </w:r>
      <w:r w:rsidR="00E62A06" w:rsidRPr="003D1E07">
        <w:rPr>
          <w:rStyle w:val="Zkladntext1"/>
          <w:rFonts w:ascii="Calibri" w:eastAsia="Times" w:hAnsi="Calibri"/>
          <w:i/>
          <w:color w:val="auto"/>
          <w:spacing w:val="0"/>
          <w:sz w:val="24"/>
          <w:szCs w:val="22"/>
          <w:u w:val="none"/>
          <w:lang w:val="cs-CZ"/>
        </w:rPr>
        <w:t>sol per se in effe</w:t>
      </w:r>
      <w:r w:rsidR="00E62A06" w:rsidRPr="003D1E07">
        <w:rPr>
          <w:rStyle w:val="Zkladntext1"/>
          <w:rFonts w:ascii="Calibri" w:eastAsia="Times" w:hAnsi="Calibri"/>
          <w:i/>
          <w:color w:val="auto"/>
          <w:spacing w:val="0"/>
          <w:sz w:val="24"/>
          <w:u w:val="none"/>
          <w:lang w:val="cs-CZ"/>
        </w:rPr>
        <w:t>ctu</w:t>
      </w:r>
      <w:r w:rsidR="00E62A06" w:rsidRPr="003D1E07">
        <w:t xml:space="preserve">). </w:t>
      </w:r>
      <w:r w:rsidR="00962296" w:rsidRPr="003D1E07">
        <w:t>N</w:t>
      </w:r>
      <w:r w:rsidR="08801D43" w:rsidRPr="003D1E07">
        <w:t xml:space="preserve">aše poznání </w:t>
      </w:r>
      <w:r w:rsidR="00962296" w:rsidRPr="003D1E07">
        <w:t xml:space="preserve">je </w:t>
      </w:r>
      <w:r w:rsidR="08082129" w:rsidRPr="003D1E07">
        <w:t>dané</w:t>
      </w:r>
      <w:r w:rsidR="00962296" w:rsidRPr="003D1E07">
        <w:t xml:space="preserve"> analogickým způsobem iluminace a </w:t>
      </w:r>
      <w:r w:rsidR="08082129" w:rsidRPr="003D1E07">
        <w:t>intelekt</w:t>
      </w:r>
      <w:r w:rsidR="00962296" w:rsidRPr="003D1E07">
        <w:t xml:space="preserve"> se aktualizuje </w:t>
      </w:r>
      <w:r w:rsidR="080B0B07" w:rsidRPr="003D1E07">
        <w:t>podobným způsobem</w:t>
      </w:r>
      <w:r w:rsidR="00AA0B09">
        <w:t>.</w:t>
      </w:r>
    </w:p>
    <w:p w14:paraId="10E05E6F" w14:textId="16512BBD" w:rsidR="00CC1DDF" w:rsidRPr="003D1E07" w:rsidRDefault="00721E63" w:rsidP="00C45162">
      <w:pPr>
        <w:ind w:firstLine="397"/>
      </w:pPr>
      <w:r w:rsidRPr="003D1E07">
        <w:t xml:space="preserve">Hermeneutika </w:t>
      </w:r>
      <w:r w:rsidR="00B71B8D">
        <w:t xml:space="preserve">zkoumá </w:t>
      </w:r>
      <w:r w:rsidRPr="003D1E07">
        <w:t>na prvním místě a</w:t>
      </w:r>
      <w:r w:rsidR="00FF67E3" w:rsidRPr="003D1E07">
        <w:t xml:space="preserve">ktualitu </w:t>
      </w:r>
      <w:r w:rsidR="00DD7AF3">
        <w:t xml:space="preserve">intelektu </w:t>
      </w:r>
      <w:r w:rsidR="00BF7E95" w:rsidRPr="003D1E07">
        <w:t xml:space="preserve">v modu </w:t>
      </w:r>
      <w:r w:rsidR="00BF7E95" w:rsidRPr="003D1E07">
        <w:rPr>
          <w:i/>
        </w:rPr>
        <w:t>per se</w:t>
      </w:r>
      <w:r w:rsidRPr="003D1E07">
        <w:t xml:space="preserve">, která zakládá </w:t>
      </w:r>
      <w:r w:rsidR="00B71B8D">
        <w:t xml:space="preserve">Avicennův </w:t>
      </w:r>
      <w:r w:rsidR="08224788" w:rsidRPr="003D1E07">
        <w:t>proces poznání</w:t>
      </w:r>
      <w:r w:rsidRPr="003D1E07">
        <w:t>. V mo</w:t>
      </w:r>
      <w:r w:rsidR="00C62F9E">
        <w:t>derním scénáři má tuto aktualitu</w:t>
      </w:r>
      <w:r w:rsidRPr="003D1E07">
        <w:t xml:space="preserve"> mytopoetická,  </w:t>
      </w:r>
      <w:r w:rsidR="08C62557" w:rsidRPr="003D1E07">
        <w:t xml:space="preserve">oddělená a hypostázovaná </w:t>
      </w:r>
      <w:r w:rsidR="00FF67E3" w:rsidRPr="003D1E07">
        <w:t>forma</w:t>
      </w:r>
      <w:r w:rsidRPr="003D1E07">
        <w:t>, která je substancí</w:t>
      </w:r>
      <w:r w:rsidR="08C62557" w:rsidRPr="003D1E07">
        <w:t xml:space="preserve"> třetího druhu</w:t>
      </w:r>
      <w:r w:rsidR="00C0404B">
        <w:t xml:space="preserve"> (</w:t>
      </w:r>
      <w:r w:rsidR="00C0404B" w:rsidRPr="00C0404B">
        <w:rPr>
          <w:i/>
        </w:rPr>
        <w:t>intellectum primum</w:t>
      </w:r>
      <w:r w:rsidR="00C0404B">
        <w:t>)</w:t>
      </w:r>
      <w:r w:rsidRPr="003D1E07">
        <w:t xml:space="preserve">. To je zásadní rozdíl od aristotelského pojetí poznání skrze </w:t>
      </w:r>
      <w:r w:rsidRPr="003D1E07">
        <w:rPr>
          <w:i/>
        </w:rPr>
        <w:t>intellectus in effectu</w:t>
      </w:r>
      <w:r w:rsidRPr="003D1E07">
        <w:t>, kde se mediace děje skrze aktuální hylemorfickou</w:t>
      </w:r>
      <w:r w:rsidR="00FF67E3" w:rsidRPr="003D1E07">
        <w:t xml:space="preserve"> první substance</w:t>
      </w:r>
      <w:r w:rsidRPr="003D1E07">
        <w:t xml:space="preserve"> recipovanou nejprve smysly a pak receptivním intelektem</w:t>
      </w:r>
      <w:r w:rsidR="00C0404B">
        <w:t xml:space="preserve"> (</w:t>
      </w:r>
      <w:r w:rsidR="00C0404B" w:rsidRPr="00C0404B">
        <w:rPr>
          <w:i/>
        </w:rPr>
        <w:t>intellectum secundum</w:t>
      </w:r>
      <w:r w:rsidR="00C0404B">
        <w:t>)</w:t>
      </w:r>
      <w:r w:rsidRPr="003D1E07">
        <w:t xml:space="preserve">. </w:t>
      </w:r>
      <w:r w:rsidR="00C45162" w:rsidRPr="00C45162">
        <w:t xml:space="preserve">Intelekt vstupuje do bezprostředního vztahu se </w:t>
      </w:r>
      <w:r w:rsidR="00C45162">
        <w:t>s</w:t>
      </w:r>
      <w:r w:rsidR="00C45162" w:rsidRPr="00C45162">
        <w:t>luncem pros</w:t>
      </w:r>
      <w:r w:rsidR="00C45162">
        <w:t>třednictvím slunečního paprsku. A</w:t>
      </w:r>
      <w:r w:rsidR="00FF67E3" w:rsidRPr="003D1E07">
        <w:fldChar w:fldCharType="begin"/>
      </w:r>
      <w:r w:rsidR="00FF67E3" w:rsidRPr="003D1E07">
        <w:instrText xml:space="preserve"> XE "substance:Avicenna" </w:instrText>
      </w:r>
      <w:r w:rsidR="00FF67E3" w:rsidRPr="003D1E07">
        <w:fldChar w:fldCharType="end"/>
      </w:r>
      <w:r w:rsidR="08801D43" w:rsidRPr="003D1E07">
        <w:t xml:space="preserve">dekvace </w:t>
      </w:r>
      <w:r w:rsidR="08753C0B" w:rsidRPr="003D1E07">
        <w:t xml:space="preserve">intelektu </w:t>
      </w:r>
      <w:r w:rsidR="009B5AC1" w:rsidRPr="003D1E07">
        <w:t xml:space="preserve">a věci </w:t>
      </w:r>
      <w:r w:rsidR="08801D43" w:rsidRPr="003D1E07">
        <w:t xml:space="preserve">je </w:t>
      </w:r>
      <w:r w:rsidR="009B5AC1" w:rsidRPr="003D1E07">
        <w:t xml:space="preserve">u Avicenny </w:t>
      </w:r>
      <w:r w:rsidR="08801D43" w:rsidRPr="003D1E07">
        <w:t xml:space="preserve">dána </w:t>
      </w:r>
      <w:r w:rsidRPr="003D1E07">
        <w:t xml:space="preserve">přímo </w:t>
      </w:r>
      <w:r w:rsidR="08801D43" w:rsidRPr="003D1E07">
        <w:t>vzhledem k</w:t>
      </w:r>
      <w:r w:rsidR="08FB0536" w:rsidRPr="003D1E07">
        <w:t>e</w:t>
      </w:r>
      <w:r w:rsidR="088534F7" w:rsidRPr="003D1E07">
        <w:t xml:space="preserve"> slunci a skrze sluneční parsek</w:t>
      </w:r>
      <w:r w:rsidR="00C26A6D">
        <w:t xml:space="preserve">. </w:t>
      </w:r>
      <w:r w:rsidR="00C214C6">
        <w:t xml:space="preserve">To je nesmysl dokonce </w:t>
      </w:r>
      <w:r w:rsidR="00C26A6D" w:rsidRPr="00C26A6D">
        <w:t xml:space="preserve">i podle Avicennovy nauky, která </w:t>
      </w:r>
      <w:r w:rsidR="005E2AF4">
        <w:t xml:space="preserve">výslovně </w:t>
      </w:r>
      <w:r w:rsidR="00C26A6D">
        <w:t>odděluje smyslové a intelektuální</w:t>
      </w:r>
      <w:r w:rsidR="00C26A6D" w:rsidRPr="00C26A6D">
        <w:t xml:space="preserve"> poznání.</w:t>
      </w:r>
      <w:r w:rsidR="00C26A6D">
        <w:t xml:space="preserve"> </w:t>
      </w:r>
      <w:r w:rsidR="00CE270F">
        <w:t>Ani a</w:t>
      </w:r>
      <w:r w:rsidR="00347DAB">
        <w:t>ristotelské p</w:t>
      </w:r>
      <w:r w:rsidRPr="003D1E07">
        <w:t xml:space="preserve">oznání v intelektu skrze </w:t>
      </w:r>
      <w:r w:rsidRPr="003D1E07">
        <w:rPr>
          <w:i/>
        </w:rPr>
        <w:t xml:space="preserve">species sensibilis </w:t>
      </w:r>
      <w:r w:rsidRPr="003D1E07">
        <w:t>a</w:t>
      </w:r>
      <w:r w:rsidRPr="003D1E07">
        <w:rPr>
          <w:i/>
        </w:rPr>
        <w:t xml:space="preserve"> intelligibilis</w:t>
      </w:r>
      <w:r w:rsidRPr="003D1E07">
        <w:t xml:space="preserve"> nemůže přímo přijmout realitu </w:t>
      </w:r>
      <w:r w:rsidR="001E3EDF">
        <w:t>externí věci do našeho poznání v</w:t>
      </w:r>
      <w:r w:rsidRPr="003D1E07">
        <w:t> její původní aktualitě. Strom mimo nás nemá stejný spůsob existence j</w:t>
      </w:r>
      <w:r w:rsidR="004406E6">
        <w:t xml:space="preserve">ako naše poznání tohoto stromu a totéž platí i pro sluneční paprsek. </w:t>
      </w:r>
      <w:r w:rsidRPr="003D1E07">
        <w:t>Avicennův scénář úplně zrušil m</w:t>
      </w:r>
      <w:r w:rsidR="08705979" w:rsidRPr="003D1E07">
        <w:t>e</w:t>
      </w:r>
      <w:r w:rsidR="00DF604C" w:rsidRPr="003D1E07">
        <w:t>di</w:t>
      </w:r>
      <w:r w:rsidRPr="003D1E07">
        <w:t>aci skrze diafanum</w:t>
      </w:r>
      <w:r w:rsidR="00DF604C" w:rsidRPr="003D1E07">
        <w:t xml:space="preserve">, protože </w:t>
      </w:r>
      <w:r w:rsidR="00555219" w:rsidRPr="003D1E07">
        <w:t xml:space="preserve">poznání skrze </w:t>
      </w:r>
      <w:r w:rsidR="00DF604C" w:rsidRPr="003D1E07">
        <w:t>smysly nem</w:t>
      </w:r>
      <w:r w:rsidR="00555219" w:rsidRPr="003D1E07">
        <w:t xml:space="preserve">ůže </w:t>
      </w:r>
      <w:r w:rsidR="00DF604C" w:rsidRPr="003D1E07">
        <w:t>ovlivnit nemateriální intelekt</w:t>
      </w:r>
      <w:r w:rsidR="085329CF" w:rsidRPr="003D1E07">
        <w:t>.</w:t>
      </w:r>
      <w:r w:rsidR="00CC1DDF" w:rsidRPr="003D1E07">
        <w:t xml:space="preserve"> Metafora intelektu-slunce</w:t>
      </w:r>
      <w:r w:rsidR="00CC1DDF" w:rsidRPr="003D1E07">
        <w:fldChar w:fldCharType="begin"/>
      </w:r>
      <w:r w:rsidR="00CC1DDF" w:rsidRPr="003D1E07">
        <w:instrText xml:space="preserve"> XE "intelekt-slunce" </w:instrText>
      </w:r>
      <w:r w:rsidR="00CC1DDF" w:rsidRPr="003D1E07">
        <w:fldChar w:fldCharType="end"/>
      </w:r>
      <w:r w:rsidR="00CC1DDF" w:rsidRPr="003D1E07">
        <w:t xml:space="preserve"> daného </w:t>
      </w:r>
      <w:r w:rsidR="00CC1DDF" w:rsidRPr="003D1E07">
        <w:rPr>
          <w:i/>
        </w:rPr>
        <w:t>per se</w:t>
      </w:r>
      <w:r w:rsidR="00CC1DDF" w:rsidRPr="003D1E07">
        <w:t xml:space="preserve"> ukazuje, že duše potřebuje smyslové poznání jen nepřímo. Finální aktualizace intelektu jde ze světa</w:t>
      </w:r>
      <w:r w:rsidR="00866413">
        <w:t xml:space="preserve"> aktuálních oddělených forem. Z </w:t>
      </w:r>
      <w:r w:rsidR="00CC1DDF" w:rsidRPr="003D1E07">
        <w:t xml:space="preserve">hlediska hermeneutiky jde o scénář nasvícení zezadu, který zavedl Al-Fárábí v modu </w:t>
      </w:r>
      <w:r w:rsidR="00CC1DDF" w:rsidRPr="003D1E07">
        <w:rPr>
          <w:i/>
        </w:rPr>
        <w:t>aliud esse</w:t>
      </w:r>
      <w:r w:rsidR="00CC1DDF" w:rsidRPr="003D1E07">
        <w:rPr>
          <w:i/>
        </w:rPr>
        <w:fldChar w:fldCharType="begin"/>
      </w:r>
      <w:r w:rsidR="00CC1DDF" w:rsidRPr="003D1E07">
        <w:instrText xml:space="preserve"> XE "</w:instrText>
      </w:r>
      <w:r w:rsidR="00CC1DDF" w:rsidRPr="003D1E07">
        <w:rPr>
          <w:i/>
        </w:rPr>
        <w:instrText>aliud esse</w:instrText>
      </w:r>
      <w:r w:rsidR="00CC1DDF" w:rsidRPr="003D1E07">
        <w:instrText xml:space="preserve">:Avicenna" </w:instrText>
      </w:r>
      <w:r w:rsidR="00CC1DDF" w:rsidRPr="003D1E07">
        <w:rPr>
          <w:i/>
        </w:rPr>
        <w:fldChar w:fldCharType="end"/>
      </w:r>
      <w:r w:rsidR="00CC1DDF" w:rsidRPr="003D1E07">
        <w:t xml:space="preserve"> skrze nasvícení možného intelektu přes darovaný intelekt (kap. 2.1.2). Aktualizace poznatku je determinována </w:t>
      </w:r>
      <w:r w:rsidR="00CC1DDF" w:rsidRPr="003D1E07">
        <w:rPr>
          <w:i/>
        </w:rPr>
        <w:t>per prius</w:t>
      </w:r>
      <w:r w:rsidR="00CC1DDF" w:rsidRPr="003D1E07">
        <w:t xml:space="preserve"> od neoplatonských forem nebo od Al-Fárábího amfibolií jako jsoucen třetího druhu. Klíčovou citaci najdeme v Avicennově komentáři k </w:t>
      </w:r>
      <w:r w:rsidR="00CC1DDF" w:rsidRPr="003D1E07">
        <w:rPr>
          <w:i/>
        </w:rPr>
        <w:t>De anima</w:t>
      </w:r>
      <w:r w:rsidR="00CC1DDF" w:rsidRPr="003D1E07">
        <w:t xml:space="preserve"> V.5, kde vzniká nové pojetí smyslu jsoucího. Citát uvádíme v překladu z arabského originálu a v následujícím komentáři používáme klíčové pojmy latinského překladu této pasáže (</w:t>
      </w:r>
      <w:r w:rsidR="00CC1DDF" w:rsidRPr="003D1E07">
        <w:rPr>
          <w:i/>
        </w:rPr>
        <w:t xml:space="preserve">Liber de anima </w:t>
      </w:r>
      <w:r w:rsidR="00CC1DDF" w:rsidRPr="003D1E07">
        <w:t>V.5,</w:t>
      </w:r>
      <w:r w:rsidR="00B268C2" w:rsidRPr="003D1E07">
        <w:t xml:space="preserve"> </w:t>
      </w:r>
      <w:r w:rsidR="00CC1DDF" w:rsidRPr="003D1E07">
        <w:t>127.39–47</w:t>
      </w:r>
      <w:r w:rsidR="00CC1DDF" w:rsidRPr="003D1E07">
        <w:fldChar w:fldCharType="begin"/>
      </w:r>
      <w:r w:rsidR="00CC1DDF" w:rsidRPr="003D1E07">
        <w:instrText xml:space="preserve"> XE "Avicenna:</w:instrText>
      </w:r>
      <w:r w:rsidR="00CC1DDF" w:rsidRPr="003D1E07">
        <w:rPr>
          <w:i/>
        </w:rPr>
        <w:instrText>Liber de anima</w:instrText>
      </w:r>
      <w:r w:rsidR="00CC1DDF" w:rsidRPr="003D1E07">
        <w:instrText xml:space="preserve"> 127.39–47" </w:instrText>
      </w:r>
      <w:r w:rsidR="00CC1DDF" w:rsidRPr="003D1E07">
        <w:fldChar w:fldCharType="end"/>
      </w:r>
      <w:r w:rsidR="00CC1DDF" w:rsidRPr="003D1E07">
        <w:t xml:space="preserve">). Tato část obsahuje základní schéma moderního </w:t>
      </w:r>
      <w:r w:rsidR="00CC1DDF" w:rsidRPr="003D1E07">
        <w:lastRenderedPageBreak/>
        <w:t>poznání, které najdeme u pozdějších představitelů latinského avicennismu</w:t>
      </w:r>
      <w:r w:rsidR="00CC1DDF" w:rsidRPr="003D1E07">
        <w:fldChar w:fldCharType="begin"/>
      </w:r>
      <w:r w:rsidR="00CC1DDF" w:rsidRPr="003D1E07">
        <w:instrText xml:space="preserve"> XE "latinský avicennismus" </w:instrText>
      </w:r>
      <w:r w:rsidR="00CC1DDF" w:rsidRPr="003D1E07">
        <w:fldChar w:fldCharType="end"/>
      </w:r>
      <w:r w:rsidR="00CC1DDF" w:rsidRPr="003D1E07">
        <w:t>, včetně Descarta</w:t>
      </w:r>
      <w:r w:rsidR="009D3E12">
        <w:t xml:space="preserve"> a Husserla</w:t>
      </w:r>
      <w:r w:rsidR="00CC1DDF" w:rsidRPr="003D1E07">
        <w:fldChar w:fldCharType="begin"/>
      </w:r>
      <w:r w:rsidR="00CC1DDF" w:rsidRPr="003D1E07">
        <w:instrText xml:space="preserve"> XE "</w:instrText>
      </w:r>
      <w:r w:rsidR="00CC1DDF" w:rsidRPr="003D1E07">
        <w:rPr>
          <w:rStyle w:val="addmd"/>
        </w:rPr>
        <w:instrText>Descartes, R.</w:instrText>
      </w:r>
      <w:r w:rsidR="00CC1DDF" w:rsidRPr="003D1E07">
        <w:instrText xml:space="preserve">" </w:instrText>
      </w:r>
      <w:r w:rsidR="00CC1DDF" w:rsidRPr="003D1E07">
        <w:fldChar w:fldCharType="end"/>
      </w:r>
      <w:r w:rsidR="00CC1DDF" w:rsidRPr="003D1E07">
        <w:t>.</w:t>
      </w:r>
    </w:p>
    <w:p w14:paraId="0A938D90" w14:textId="77777777" w:rsidR="00CC1DDF" w:rsidRPr="003D1E07" w:rsidRDefault="00CC1DDF" w:rsidP="00CC1DDF">
      <w:pPr>
        <w:pStyle w:val="Citace"/>
        <w:rPr>
          <w:noProof/>
          <w:lang w:val="cs-CZ"/>
        </w:rPr>
      </w:pPr>
      <w:r w:rsidRPr="003D1E07">
        <w:rPr>
          <w:noProof/>
          <w:lang w:val="cs-CZ"/>
        </w:rPr>
        <w:t xml:space="preserve">„Intelektuální schopnost duše zkoumá jednotliviny, které jsou uloženy v představivosti, a ty v nás osvěcuje světlo výše zmíněného aktivního intelektu. Pak jsou jednotliviny převedeny </w:t>
      </w:r>
      <w:r w:rsidRPr="003D1E07">
        <w:rPr>
          <w:rStyle w:val="ZkladntextKurzvadkovn0pt"/>
          <w:rFonts w:ascii="Calibri" w:eastAsia="Times" w:hAnsi="Calibri"/>
          <w:i w:val="0"/>
          <w:iCs w:val="0"/>
          <w:spacing w:val="0"/>
          <w:sz w:val="21"/>
          <w:u w:val="none"/>
          <w:lang w:val="cs-CZ"/>
        </w:rPr>
        <w:t>(</w:t>
      </w:r>
      <w:r w:rsidRPr="003D1E07">
        <w:rPr>
          <w:rStyle w:val="ZkladntextKurzvadkovn0pt"/>
          <w:rFonts w:ascii="Calibri" w:eastAsia="Times" w:hAnsi="Calibri"/>
          <w:iCs w:val="0"/>
          <w:spacing w:val="0"/>
          <w:sz w:val="21"/>
          <w:u w:val="none"/>
          <w:lang w:val="cs-CZ"/>
        </w:rPr>
        <w:t>istaḥāla</w:t>
      </w:r>
      <w:r w:rsidRPr="003D1E07">
        <w:rPr>
          <w:rStyle w:val="ZkladntextKurzvadkovn0pt"/>
          <w:rFonts w:ascii="Calibri" w:eastAsia="Times" w:hAnsi="Calibri"/>
          <w:i w:val="0"/>
          <w:iCs w:val="0"/>
          <w:spacing w:val="0"/>
          <w:sz w:val="21"/>
          <w:u w:val="none"/>
          <w:lang w:val="cs-CZ"/>
        </w:rPr>
        <w:t>)</w:t>
      </w:r>
      <w:r w:rsidRPr="003D1E07">
        <w:rPr>
          <w:lang w:val="cs-CZ"/>
        </w:rPr>
        <w:t xml:space="preserve"> </w:t>
      </w:r>
      <w:r w:rsidRPr="003D1E07">
        <w:rPr>
          <w:noProof/>
          <w:lang w:val="cs-CZ"/>
        </w:rPr>
        <w:t xml:space="preserve">do určité formy abstrakce mimo materii a mimo vazbu na materii a jsou otisknuty do racionální části duše. Ale ne v tom smyslu, že by jednotliviny byly převedeny z představivosti do našeho intelektu, ani v tom smyslu, že by koncept skrytý v materiálním světě (který vzat o sobě a vzhledem ke své esenci je  již abstraktní) produkoval kopii sebe sama. Je tomu tak, že pohled na jednotliviny disponuje duši </w:t>
      </w:r>
      <w:r w:rsidRPr="003D1E07">
        <w:rPr>
          <w:rStyle w:val="ZkladntextKurzvadkovn0pt"/>
          <w:rFonts w:ascii="Calibri" w:eastAsia="Times" w:hAnsi="Calibri"/>
          <w:i w:val="0"/>
          <w:iCs w:val="0"/>
          <w:spacing w:val="0"/>
          <w:sz w:val="21"/>
          <w:u w:val="none"/>
          <w:lang w:val="cs-CZ"/>
        </w:rPr>
        <w:t>(</w:t>
      </w:r>
      <w:r w:rsidRPr="003D1E07">
        <w:rPr>
          <w:i/>
          <w:lang w:val="cs-CZ"/>
        </w:rPr>
        <w:t>al-muğarrad</w:t>
      </w:r>
      <w:r w:rsidRPr="003D1E07">
        <w:rPr>
          <w:rStyle w:val="ZkladntextKurzvadkovn0pt"/>
          <w:rFonts w:ascii="Calibri" w:eastAsia="Times" w:hAnsi="Calibri"/>
          <w:i w:val="0"/>
          <w:iCs w:val="0"/>
          <w:spacing w:val="0"/>
          <w:sz w:val="21"/>
          <w:u w:val="none"/>
          <w:lang w:val="cs-CZ"/>
        </w:rPr>
        <w:t>)</w:t>
      </w:r>
      <w:r w:rsidRPr="003D1E07">
        <w:rPr>
          <w:lang w:val="cs-CZ"/>
        </w:rPr>
        <w:t xml:space="preserve"> </w:t>
      </w:r>
      <w:r w:rsidRPr="003D1E07">
        <w:rPr>
          <w:noProof/>
          <w:lang w:val="cs-CZ"/>
        </w:rPr>
        <w:t>k abstrakci směrem od aktivního intelektu, který k ní přichází.“ </w:t>
      </w:r>
      <w:r w:rsidRPr="003D1E07">
        <w:rPr>
          <w:rStyle w:val="Znakapoznpodarou"/>
          <w:noProof/>
          <w:lang w:val="cs-CZ"/>
        </w:rPr>
        <w:footnoteReference w:id="129"/>
      </w:r>
    </w:p>
    <w:p w14:paraId="640CFD46" w14:textId="77777777" w:rsidR="00F14C6C" w:rsidRDefault="00CC1DDF" w:rsidP="08B02759">
      <w:r w:rsidRPr="003D1E07">
        <w:t xml:space="preserve">Receptivní intelekt zavedený Al-Fárábím je pro Avicennu zbytečný, protože smyslové poznání je odděleno od intelektu. Roli </w:t>
      </w:r>
      <w:r w:rsidRPr="003D1E07">
        <w:rPr>
          <w:i/>
        </w:rPr>
        <w:t>intellectus in potencia</w:t>
      </w:r>
      <w:r w:rsidRPr="003D1E07">
        <w:rPr>
          <w:i/>
        </w:rPr>
        <w:fldChar w:fldCharType="begin"/>
      </w:r>
      <w:r w:rsidRPr="003D1E07">
        <w:instrText xml:space="preserve"> XE "</w:instrText>
      </w:r>
      <w:r w:rsidRPr="003D1E07">
        <w:rPr>
          <w:i/>
        </w:rPr>
        <w:instrText>intellectus possibilis</w:instrText>
      </w:r>
      <w:r w:rsidRPr="003D1E07">
        <w:instrText xml:space="preserve">:Avicenna" </w:instrText>
      </w:r>
      <w:r w:rsidRPr="003D1E07">
        <w:rPr>
          <w:i/>
        </w:rPr>
        <w:fldChar w:fldCharType="end"/>
      </w:r>
      <w:r w:rsidR="008C1ABF">
        <w:t xml:space="preserve"> zaujme nově definovaná </w:t>
      </w:r>
      <w:r w:rsidRPr="003D1E07">
        <w:t>pam</w:t>
      </w:r>
      <w:r w:rsidR="001C4F84">
        <w:t>ěť</w:t>
      </w:r>
      <w:r w:rsidR="001F6C41">
        <w:t>, která se zásadně liší od Aristotelova pojetí</w:t>
      </w:r>
      <w:r w:rsidR="008C1ABF">
        <w:t xml:space="preserve">. </w:t>
      </w:r>
      <w:r w:rsidR="001F6C41">
        <w:t xml:space="preserve">Moderní paměť </w:t>
      </w:r>
      <w:r w:rsidR="001C4F84">
        <w:t xml:space="preserve">skladuje jednotliviny jako </w:t>
      </w:r>
      <w:r w:rsidR="001F6C41">
        <w:t xml:space="preserve">hypostázovaná </w:t>
      </w:r>
      <w:r w:rsidRPr="003D1E07">
        <w:t xml:space="preserve">species, </w:t>
      </w:r>
      <w:r w:rsidR="001C4F84">
        <w:t xml:space="preserve">což jsou </w:t>
      </w:r>
      <w:r w:rsidR="00AD7390">
        <w:t xml:space="preserve">v Avicennově scénáři </w:t>
      </w:r>
      <w:r w:rsidR="001F6C41">
        <w:t xml:space="preserve">substance </w:t>
      </w:r>
      <w:r w:rsidRPr="003D1E07">
        <w:t>třetího druhu (</w:t>
      </w:r>
      <w:r w:rsidRPr="003D1E07">
        <w:rPr>
          <w:i/>
        </w:rPr>
        <w:t>singula quae sunt in imaginatione</w:t>
      </w:r>
      <w:r w:rsidRPr="003D1E07">
        <w:t xml:space="preserve">). Scholastický termín </w:t>
      </w:r>
      <w:r w:rsidRPr="003D1E07">
        <w:rPr>
          <w:i/>
        </w:rPr>
        <w:t>locus specierum</w:t>
      </w:r>
      <w:r w:rsidRPr="003D1E07">
        <w:rPr>
          <w:i/>
        </w:rPr>
        <w:fldChar w:fldCharType="begin"/>
      </w:r>
      <w:r w:rsidRPr="003D1E07">
        <w:instrText xml:space="preserve"> XE "</w:instrText>
      </w:r>
      <w:r w:rsidRPr="003D1E07">
        <w:rPr>
          <w:i/>
        </w:rPr>
        <w:instrText>locus specierum</w:instrText>
      </w:r>
      <w:r w:rsidRPr="003D1E07">
        <w:instrText xml:space="preserve">" </w:instrText>
      </w:r>
      <w:r w:rsidRPr="003D1E07">
        <w:rPr>
          <w:i/>
        </w:rPr>
        <w:fldChar w:fldCharType="end"/>
      </w:r>
      <w:r w:rsidRPr="003D1E07">
        <w:t xml:space="preserve"> označuje ve druhém averroismu tuto hypostázovanou paměť jako místo, odkud se rozbíhá poznání </w:t>
      </w:r>
      <w:r w:rsidR="003D5FF1">
        <w:t xml:space="preserve">moderního </w:t>
      </w:r>
      <w:r w:rsidRPr="003D1E07">
        <w:t>intelektu</w:t>
      </w:r>
      <w:r w:rsidRPr="003D1E07">
        <w:fldChar w:fldCharType="begin"/>
      </w:r>
      <w:r w:rsidRPr="003D1E07">
        <w:instrText xml:space="preserve"> XE "</w:instrText>
      </w:r>
      <w:r w:rsidRPr="003D1E07">
        <w:rPr>
          <w:i/>
        </w:rPr>
        <w:instrText>memoria</w:instrText>
      </w:r>
      <w:r w:rsidRPr="003D1E07">
        <w:instrText xml:space="preserve">:Avicenna" </w:instrText>
      </w:r>
      <w:r w:rsidRPr="003D1E07">
        <w:fldChar w:fldCharType="end"/>
      </w:r>
      <w:r w:rsidRPr="003D1E07">
        <w:t xml:space="preserve"> (OBJ III, kap. 4.3.1). Ani reálná věc, ani proces smyslového poznání skrze species</w:t>
      </w:r>
      <w:r w:rsidRPr="003D1E07">
        <w:rPr>
          <w:i/>
        </w:rPr>
        <w:t xml:space="preserve"> sensibilis</w:t>
      </w:r>
      <w:r w:rsidRPr="003D1E07">
        <w:rPr>
          <w:i/>
        </w:rPr>
        <w:fldChar w:fldCharType="begin"/>
      </w:r>
      <w:r w:rsidRPr="003D1E07">
        <w:instrText xml:space="preserve"> XE "</w:instrText>
      </w:r>
      <w:r w:rsidRPr="003D1E07">
        <w:rPr>
          <w:i/>
        </w:rPr>
        <w:instrText>species sensibilis</w:instrText>
      </w:r>
      <w:r w:rsidRPr="003D1E07">
        <w:instrText xml:space="preserve">" </w:instrText>
      </w:r>
      <w:r w:rsidRPr="003D1E07">
        <w:rPr>
          <w:i/>
        </w:rPr>
        <w:fldChar w:fldCharType="end"/>
      </w:r>
      <w:r w:rsidRPr="003D1E07">
        <w:t xml:space="preserve"> nemají determinující vliv na poznávací proces. Hylemorfické substance</w:t>
      </w:r>
      <w:r w:rsidRPr="003D1E07">
        <w:fldChar w:fldCharType="begin"/>
      </w:r>
      <w:r w:rsidRPr="003D1E07">
        <w:instrText xml:space="preserve"> XE "substance:hylemorfická" </w:instrText>
      </w:r>
      <w:r w:rsidRPr="003D1E07">
        <w:fldChar w:fldCharType="end"/>
      </w:r>
      <w:r w:rsidRPr="003D1E07">
        <w:t xml:space="preserve"> poznávané smysly pouze disponují duši k tomu, aby vše poznala abstrakcí danou jako emanace</w:t>
      </w:r>
      <w:r w:rsidRPr="003D1E07">
        <w:fldChar w:fldCharType="begin"/>
      </w:r>
      <w:r w:rsidRPr="003D1E07">
        <w:instrText xml:space="preserve"> XE "emanace" </w:instrText>
      </w:r>
      <w:r w:rsidRPr="003D1E07">
        <w:fldChar w:fldCharType="end"/>
      </w:r>
      <w:r w:rsidRPr="003D1E07">
        <w:t xml:space="preserve"> forem od odděleného činného intelektu (</w:t>
      </w:r>
      <w:r w:rsidRPr="003D1E07">
        <w:rPr>
          <w:i/>
        </w:rPr>
        <w:t>aptatur anima ut emanet in eam ab intelligentia agente abstractio</w:t>
      </w:r>
      <w:r w:rsidRPr="003D1E07">
        <w:t>). Kosmické inteligibilní formy imitují sluneční paprsek, protože mají stejně jako on svou vlastní aktualitu. Avicenna odděluje smyslové poznání od jím navrženého pojetí abstrakce</w:t>
      </w:r>
      <w:r w:rsidRPr="003D1E07">
        <w:fldChar w:fldCharType="begin"/>
      </w:r>
      <w:r w:rsidRPr="003D1E07">
        <w:instrText xml:space="preserve"> XE "abstrakce:Avicenna" </w:instrText>
      </w:r>
      <w:r w:rsidRPr="003D1E07">
        <w:fldChar w:fldCharType="end"/>
      </w:r>
      <w:r w:rsidRPr="003D1E07">
        <w:t xml:space="preserve">. Citát jasně říká, že základní univerzální určení věcí existují v nejasné formě již v realitě a jsou navázaná na reálné hylemorfické první substance. Ale v žádném případě to nejsou platonské ideje, které platonismus a neoplatonismus chápe jako aktuální substance nebo formy. Lidský intelekt není přímo determinován od smyslů, protože jeho poznání určuje oddělený </w:t>
      </w:r>
      <w:r w:rsidRPr="003D1E07">
        <w:rPr>
          <w:i/>
        </w:rPr>
        <w:t>intellectus agens</w:t>
      </w:r>
      <w:r w:rsidRPr="003D1E07">
        <w:rPr>
          <w:i/>
        </w:rPr>
        <w:fldChar w:fldCharType="begin"/>
      </w:r>
      <w:r w:rsidRPr="003D1E07">
        <w:instrText xml:space="preserve"> XE "</w:instrText>
      </w:r>
      <w:r w:rsidRPr="003D1E07">
        <w:rPr>
          <w:i/>
        </w:rPr>
        <w:instrText>intellectus agens</w:instrText>
      </w:r>
      <w:r w:rsidRPr="003D1E07">
        <w:instrText xml:space="preserve">:Avicenna" </w:instrText>
      </w:r>
      <w:r w:rsidRPr="003D1E07">
        <w:rPr>
          <w:i/>
        </w:rPr>
        <w:fldChar w:fldCharType="end"/>
      </w:r>
      <w:r w:rsidRPr="003D1E07">
        <w:t xml:space="preserve">. Ten osvítí duši, která pak aktivuje species individuálních věcí, které jsou již nejasně dány ve věcech. Odkud jsou esence-species zvláštním způsobem abstrahovány </w:t>
      </w:r>
      <w:r w:rsidRPr="003D1E07">
        <w:lastRenderedPageBreak/>
        <w:t>(</w:t>
      </w:r>
      <w:r w:rsidRPr="003D1E07">
        <w:rPr>
          <w:i/>
        </w:rPr>
        <w:t>istaḥāla</w:t>
      </w:r>
      <w:r w:rsidRPr="003D1E07">
        <w:t xml:space="preserve">) a uloženy v naší inteligibilní paměti. Tato paměť nemůže mít podobu smyslové paměti podle Aristotelovy </w:t>
      </w:r>
      <w:r w:rsidRPr="003D1E07">
        <w:rPr>
          <w:i/>
        </w:rPr>
        <w:t>reminiscentia</w:t>
      </w:r>
      <w:r w:rsidRPr="003D1E07">
        <w:t xml:space="preserve">, kterou máme společnou se zvířaty. Avicennova </w:t>
      </w:r>
      <w:r w:rsidRPr="003D1E07">
        <w:rPr>
          <w:i/>
        </w:rPr>
        <w:t>memoria</w:t>
      </w:r>
      <w:r w:rsidRPr="003D1E07">
        <w:t xml:space="preserve"> je osvícena činným intelektem</w:t>
      </w:r>
      <w:r w:rsidR="004D4E67">
        <w:t>, proto má mytopoetickou povahu</w:t>
      </w:r>
      <w:r w:rsidRPr="003D1E07">
        <w:t>. Smyslové poznání je podle Avicenny pouhá psychologická dispozice duše. Nižším výkonem na úrovni smyslových forem daných i zvířatům (</w:t>
      </w:r>
      <w:r w:rsidRPr="003D1E07">
        <w:rPr>
          <w:i/>
        </w:rPr>
        <w:t>cogitatio</w:t>
      </w:r>
      <w:r w:rsidRPr="003D1E07">
        <w:t>) se lidská duše zdokonaluje a propedeuticky poznává své vyšší možnosti dané v procesu iluminace. Klíčová věta ukazuje, že pohled duše na singulární objekty poznání dané v imaginaci disponuje (</w:t>
      </w:r>
      <w:r w:rsidRPr="003D1E07">
        <w:rPr>
          <w:i/>
        </w:rPr>
        <w:t>aptatur</w:t>
      </w:r>
      <w:r w:rsidRPr="003D1E07">
        <w:t xml:space="preserve">) duši k poznání. Smyslová species a intence nemají žádný kauzální vztah k aktuálnímu poznání intelektu, v němž předem daná inteligibilní forma představuje účinnou kauzu poznání. Intelektuální poznání není determinováno aktuálními prvními substancemi, ale aktuálními </w:t>
      </w:r>
      <w:r w:rsidR="003C7761">
        <w:t xml:space="preserve">kosmickými </w:t>
      </w:r>
      <w:r w:rsidRPr="003D1E07">
        <w:t xml:space="preserve">formami </w:t>
      </w:r>
      <w:r w:rsidR="003C7761">
        <w:t>pře</w:t>
      </w:r>
      <w:r w:rsidRPr="003D1E07">
        <w:t>danými skrze spojení duše s činným intelektem. Oddělený činný intelekt</w:t>
      </w:r>
      <w:r w:rsidRPr="003D1E07">
        <w:noBreakHyphen/>
        <w:t xml:space="preserve">slunce tvoří skrytý zdroj individuálního poznání tím, že tvoří ultimativní zdroj, od něhož emanují aktuální formy. Duše je u Avicenny nasvícena zezadu skrze světlo aktuálního intelektu působícího jako dárce poznaných </w:t>
      </w:r>
      <w:r w:rsidR="00C40D07">
        <w:t xml:space="preserve">a již </w:t>
      </w:r>
      <w:r w:rsidRPr="003D1E07">
        <w:t>aktuálních forem</w:t>
      </w:r>
      <w:r w:rsidRPr="003D1E07">
        <w:fldChar w:fldCharType="begin"/>
      </w:r>
      <w:r w:rsidRPr="003D1E07">
        <w:instrText xml:space="preserve"> XE "zjevování:Avicenna" </w:instrText>
      </w:r>
      <w:r w:rsidRPr="003D1E07">
        <w:fldChar w:fldCharType="end"/>
      </w:r>
      <w:r w:rsidRPr="003D1E07">
        <w:t xml:space="preserve">. Citát vyloučil </w:t>
      </w:r>
      <w:r w:rsidR="00896A91">
        <w:t xml:space="preserve">nějaké kauzální </w:t>
      </w:r>
      <w:r w:rsidRPr="003D1E07">
        <w:t>spojení s</w:t>
      </w:r>
      <w:r w:rsidR="00896A91">
        <w:t xml:space="preserve"> hylemorickými </w:t>
      </w:r>
      <w:r w:rsidRPr="003D1E07">
        <w:t xml:space="preserve">formami v první substanci. Ty se nemohou se dostat do vyššího poznání, protože k tomu nemají potřebnou </w:t>
      </w:r>
      <w:r w:rsidR="00CF6F2C">
        <w:t xml:space="preserve">nemateriální </w:t>
      </w:r>
      <w:r w:rsidRPr="003D1E07">
        <w:t xml:space="preserve">aktualitu. Ani </w:t>
      </w:r>
      <w:r w:rsidR="00041926">
        <w:t xml:space="preserve">lidská hypostázovaná </w:t>
      </w:r>
      <w:r w:rsidRPr="003D1E07">
        <w:t xml:space="preserve">duše nemá možnost, jak </w:t>
      </w:r>
      <w:r w:rsidR="000E7B98">
        <w:t xml:space="preserve">přímo </w:t>
      </w:r>
      <w:r w:rsidRPr="003D1E07">
        <w:t xml:space="preserve">poznat </w:t>
      </w:r>
      <w:r w:rsidR="000E7B98">
        <w:t>ne</w:t>
      </w:r>
      <w:r w:rsidR="00041926">
        <w:t xml:space="preserve">materiální </w:t>
      </w:r>
      <w:r w:rsidR="000E7B98">
        <w:t>formy v materiálních věcech</w:t>
      </w:r>
      <w:r w:rsidRPr="003D1E07">
        <w:t xml:space="preserve">, protože její poznání je </w:t>
      </w:r>
      <w:r w:rsidR="00041926">
        <w:t xml:space="preserve">čistě </w:t>
      </w:r>
      <w:r w:rsidRPr="003D1E07">
        <w:t>nemateriální. Smyslová species netvoří příčinu poznání, protože neoplatonsky pojatá kauzalita musí jít od nadřazené formy směrem k nižší. Výsledkem iluminace je nový typ abstrakce, který nemateriální formy nazírá přímo (</w:t>
      </w:r>
      <w:r w:rsidRPr="003D1E07">
        <w:rPr>
          <w:i/>
        </w:rPr>
        <w:t>al-muğarrad, denudatio, spoliatio</w:t>
      </w:r>
      <w:r w:rsidRPr="003D1E07">
        <w:rPr>
          <w:i/>
        </w:rPr>
        <w:fldChar w:fldCharType="begin"/>
      </w:r>
      <w:r w:rsidRPr="003D1E07">
        <w:instrText xml:space="preserve"> XE "</w:instrText>
      </w:r>
      <w:r w:rsidRPr="003D1E07">
        <w:rPr>
          <w:i/>
        </w:rPr>
        <w:instrText>denudatio</w:instrText>
      </w:r>
      <w:r w:rsidRPr="003D1E07">
        <w:instrText xml:space="preserve">" </w:instrText>
      </w:r>
      <w:r w:rsidRPr="003D1E07">
        <w:rPr>
          <w:i/>
        </w:rPr>
        <w:fldChar w:fldCharType="end"/>
      </w:r>
      <w:r w:rsidRPr="003D1E07">
        <w:t xml:space="preserve">). Avicennistická metafyzika poznává esence či species ve věcech přímo skrze iluminaci a nepotřebuje k tomu smyslové poznání. Intelekt ilumináta separuje </w:t>
      </w:r>
      <w:r w:rsidR="00E327E7">
        <w:t xml:space="preserve">o sobě </w:t>
      </w:r>
      <w:r w:rsidRPr="003D1E07">
        <w:t xml:space="preserve">existující univerzální formy od materie a netvoří je v mysli skrze aristotelskou abstrakci jako </w:t>
      </w:r>
      <w:r w:rsidRPr="00AF701F">
        <w:rPr>
          <w:i/>
        </w:rPr>
        <w:t>species</w:t>
      </w:r>
      <w:r w:rsidRPr="003D1E07">
        <w:rPr>
          <w:i/>
        </w:rPr>
        <w:t xml:space="preserve"> sens</w:t>
      </w:r>
      <w:r w:rsidR="005119EA">
        <w:rPr>
          <w:i/>
        </w:rPr>
        <w:t>i</w:t>
      </w:r>
      <w:r w:rsidRPr="003D1E07">
        <w:rPr>
          <w:i/>
        </w:rPr>
        <w:t>bilis</w:t>
      </w:r>
      <w:r w:rsidRPr="003D1E07">
        <w:t xml:space="preserve"> a </w:t>
      </w:r>
      <w:r w:rsidRPr="003D1E07">
        <w:rPr>
          <w:i/>
        </w:rPr>
        <w:t>intelligibilis</w:t>
      </w:r>
      <w:r w:rsidRPr="003D1E07">
        <w:t xml:space="preserve">. </w:t>
      </w:r>
      <w:r w:rsidR="00B47565">
        <w:t>Avicenna odstranil metafyzický dativ</w:t>
      </w:r>
      <w:r w:rsidRPr="003D1E07">
        <w:fldChar w:fldCharType="begin"/>
      </w:r>
      <w:r w:rsidRPr="003D1E07">
        <w:instrText xml:space="preserve"> XE "</w:instrText>
      </w:r>
      <w:r w:rsidRPr="003D1E07">
        <w:rPr>
          <w:i/>
        </w:rPr>
        <w:instrText>dativus metaphysicus</w:instrText>
      </w:r>
      <w:r w:rsidRPr="003D1E07">
        <w:instrText xml:space="preserve">" </w:instrText>
      </w:r>
      <w:r w:rsidRPr="003D1E07">
        <w:fldChar w:fldCharType="end"/>
      </w:r>
      <w:r w:rsidRPr="003D1E07">
        <w:t xml:space="preserve"> </w:t>
      </w:r>
      <w:r w:rsidR="00B47565">
        <w:t xml:space="preserve">jako schéma </w:t>
      </w:r>
      <w:r w:rsidRPr="003D1E07">
        <w:t>pro poznání reality. Aktuální hyparchická první substance neurčuje poznání svou aktualitou danou minulostním a univerzálním charakterem konceptu. Iluminát poznává svět ve formě parusie dané v mysli, která je osvícena aktuálními kosmickými inteligibilními f</w:t>
      </w:r>
      <w:r w:rsidR="00F14C6C">
        <w:t>ormami.</w:t>
      </w:r>
    </w:p>
    <w:p w14:paraId="16F3E6ED" w14:textId="4932B5D3" w:rsidR="002F3DCB" w:rsidRDefault="00CC1DDF" w:rsidP="00F14C6C">
      <w:pPr>
        <w:ind w:firstLine="397"/>
      </w:pPr>
      <w:r w:rsidRPr="003D1E07">
        <w:t xml:space="preserve">Avicenna provedl první moderní zatmění první substance v protikladu k učení Druhého mistra a uvedl do filosofie </w:t>
      </w:r>
      <w:r w:rsidR="00EA30B2">
        <w:t xml:space="preserve">radikální zapomenutí aristotelské první substance </w:t>
      </w:r>
      <w:r w:rsidRPr="003D1E07">
        <w:t>(</w:t>
      </w:r>
      <w:r w:rsidRPr="003D1E07">
        <w:rPr>
          <w:i/>
        </w:rPr>
        <w:t>Seinsvergessenheit</w:t>
      </w:r>
      <w:r w:rsidRPr="003D1E07">
        <w:rPr>
          <w:i/>
        </w:rPr>
        <w:fldChar w:fldCharType="begin"/>
      </w:r>
      <w:r w:rsidRPr="003D1E07">
        <w:instrText xml:space="preserve"> XE "</w:instrText>
      </w:r>
      <w:r w:rsidRPr="003D1E07">
        <w:rPr>
          <w:i/>
        </w:rPr>
        <w:instrText>Seinsvergessenheit</w:instrText>
      </w:r>
      <w:r w:rsidRPr="003D1E07">
        <w:instrText xml:space="preserve">" </w:instrText>
      </w:r>
      <w:r w:rsidRPr="003D1E07">
        <w:rPr>
          <w:i/>
        </w:rPr>
        <w:fldChar w:fldCharType="end"/>
      </w:r>
      <w:r w:rsidRPr="003D1E07">
        <w:t xml:space="preserve">). Mysl aktivizovaná pomocí darovaného intelektu stojí na podobné úrovni jako kosmický činný intelekt, který s oddělenými formami manipuluje přímo. </w:t>
      </w:r>
      <w:r w:rsidR="00DD7B27">
        <w:lastRenderedPageBreak/>
        <w:t>A</w:t>
      </w:r>
      <w:r w:rsidR="00DD7B27" w:rsidRPr="003D1E07">
        <w:t xml:space="preserve">bstrakce </w:t>
      </w:r>
      <w:r w:rsidR="00DD7B27">
        <w:t xml:space="preserve">jako mytopoetická iluminace </w:t>
      </w:r>
      <w:r w:rsidRPr="003D1E07">
        <w:t xml:space="preserve">znamená, že </w:t>
      </w:r>
      <w:r w:rsidR="00F163A7">
        <w:t xml:space="preserve">poznání </w:t>
      </w:r>
      <w:r w:rsidRPr="003D1E07">
        <w:t>existující věc</w:t>
      </w:r>
      <w:r w:rsidR="00F163A7">
        <w:t>i nejde přes abstrakci i</w:t>
      </w:r>
      <w:r w:rsidRPr="003D1E07">
        <w:t xml:space="preserve">ndividuálních akcidentů daných materiálně a poznaných smyslově. Akt avicennovské abstrakce dostává dvojí smysl, který přesně charakterizuje </w:t>
      </w:r>
      <w:r w:rsidR="00D81DDE">
        <w:t xml:space="preserve">Étienne </w:t>
      </w:r>
      <w:r w:rsidRPr="003D1E07">
        <w:t>Gilson</w:t>
      </w:r>
      <w:r w:rsidRPr="003D1E07">
        <w:fldChar w:fldCharType="begin"/>
      </w:r>
      <w:r w:rsidRPr="003D1E07">
        <w:instrText xml:space="preserve"> XE "Gilson, E." </w:instrText>
      </w:r>
      <w:r w:rsidRPr="003D1E07">
        <w:fldChar w:fldCharType="end"/>
      </w:r>
      <w:r w:rsidRPr="003D1E07">
        <w:t xml:space="preserve"> ve známé studii o latinském avicennismu. Citujme klíčovou větu, jež vystihuje moderní formu abstrakce oddělenou od smyslové zkušenosti: „Abstrahovat neznamená, že se předá do intelektu ta forma, která byla v představivosti.“</w:t>
      </w:r>
      <w:r w:rsidRPr="003D1E07">
        <w:rPr>
          <w:rStyle w:val="Znakapoznpodarou"/>
        </w:rPr>
        <w:footnoteReference w:id="130"/>
      </w:r>
      <w:r w:rsidRPr="003D1E07">
        <w:t xml:space="preserve"> Osvícená mysl může přímo vidět věčnou a objektivní esenci každé věci ve stejném modu, jak ji kontempluje kosmický </w:t>
      </w:r>
      <w:r w:rsidRPr="003D1E07">
        <w:rPr>
          <w:i/>
        </w:rPr>
        <w:t>intellectus agens</w:t>
      </w:r>
      <w:r w:rsidRPr="003D1E07">
        <w:t xml:space="preserve">. Rozbor vnímání a poznání u Avicenny lze vysvětlit jako postupné </w:t>
      </w:r>
      <w:r w:rsidRPr="003D1E07">
        <w:rPr>
          <w:i/>
        </w:rPr>
        <w:t>denudatio</w:t>
      </w:r>
      <w:r w:rsidRPr="003D1E07">
        <w:t xml:space="preserve"> materie až k čisté univerzální formě.</w:t>
      </w:r>
      <w:r w:rsidRPr="003D1E07">
        <w:rPr>
          <w:rStyle w:val="Znakapoznpodarou"/>
        </w:rPr>
        <w:footnoteReference w:id="131"/>
      </w:r>
      <w:r w:rsidRPr="003D1E07">
        <w:t xml:space="preserve"> Skutečný proces avicennistického poznání ve smyslu kauzálního působení na lidský intelekt začíná až na úrovni interakce mezi oběma vyššími formami intelektu. </w:t>
      </w:r>
      <w:r w:rsidRPr="003D1E07">
        <w:rPr>
          <w:rStyle w:val="FontStyle129"/>
          <w:rFonts w:ascii="Calibri" w:hAnsi="Calibri"/>
          <w:sz w:val="24"/>
        </w:rPr>
        <w:t xml:space="preserve">Klíčová místa v citaci ukazují, že v duši běží dva téměř nezávislé pochody: smyslové a intelektuální poznání. Smyslový vjem hraje roli pouhého akcidentu, protože pomáhá duši k tomu, aby něco nového viděla. Co má duše vidět navíc, mimo běžnou formu abstrakce danou na úrovni materiálního intelektu? Druhý proces popisuje danost pojmové abstrakce vzaté v modu </w:t>
      </w:r>
      <w:r w:rsidRPr="003D1E07">
        <w:rPr>
          <w:rStyle w:val="FontStyle129"/>
          <w:rFonts w:ascii="Calibri" w:hAnsi="Calibri"/>
          <w:i/>
          <w:sz w:val="24"/>
        </w:rPr>
        <w:t>per se</w:t>
      </w:r>
      <w:r w:rsidRPr="003D1E07">
        <w:rPr>
          <w:rStyle w:val="FontStyle129"/>
          <w:rFonts w:ascii="Calibri" w:hAnsi="Calibri"/>
          <w:sz w:val="24"/>
        </w:rPr>
        <w:t>. Nový způsob poznání intenduje pouze formální či esenciální jednoduchost danou mimo smyslovou mnohost jednotlivin. Činný intelekt nasvěcuje smyslové obsahy duše zezadu od vyšší formy intelektu (</w:t>
      </w:r>
      <w:r w:rsidRPr="003D1E07">
        <w:rPr>
          <w:i/>
        </w:rPr>
        <w:t>illuminatur luce intelligentiae agentis</w:t>
      </w:r>
      <w:r w:rsidRPr="003D1E07">
        <w:t xml:space="preserve"> </w:t>
      </w:r>
      <w:r w:rsidRPr="003D1E07">
        <w:rPr>
          <w:i/>
        </w:rPr>
        <w:t>in nos</w:t>
      </w:r>
      <w:r w:rsidRPr="003D1E07">
        <w:rPr>
          <w:rStyle w:val="FontStyle129"/>
          <w:rFonts w:ascii="Calibri" w:hAnsi="Calibri"/>
          <w:sz w:val="24"/>
        </w:rPr>
        <w:t xml:space="preserve">). Tato činnost intelektu je v latinském překladu označena termínem </w:t>
      </w:r>
      <w:r w:rsidRPr="003D1E07">
        <w:rPr>
          <w:rStyle w:val="FontStyle129"/>
          <w:rFonts w:ascii="Calibri" w:hAnsi="Calibri"/>
          <w:i/>
          <w:sz w:val="24"/>
        </w:rPr>
        <w:t>abstractio</w:t>
      </w:r>
      <w:r w:rsidRPr="003D1E07">
        <w:rPr>
          <w:rStyle w:val="FontStyle129"/>
          <w:rFonts w:ascii="Calibri" w:hAnsi="Calibri"/>
          <w:sz w:val="24"/>
        </w:rPr>
        <w:t>, a to výslovným odkazem na směr nasvícení duše od činného intelektu jako původního zdroje poznání (</w:t>
      </w:r>
      <w:r w:rsidRPr="003D1E07">
        <w:rPr>
          <w:i/>
        </w:rPr>
        <w:t>ab intelligentia agente abstractio</w:t>
      </w:r>
      <w:r w:rsidRPr="003D1E07">
        <w:rPr>
          <w:rStyle w:val="FontStyle129"/>
          <w:rFonts w:ascii="Calibri" w:hAnsi="Calibri"/>
          <w:sz w:val="24"/>
        </w:rPr>
        <w:t xml:space="preserve">). </w:t>
      </w:r>
      <w:r w:rsidRPr="003D1E07">
        <w:t xml:space="preserve">Avicenna v </w:t>
      </w:r>
      <w:r w:rsidRPr="003D1E07">
        <w:rPr>
          <w:i/>
        </w:rPr>
        <w:t>Metafyzice al-Šifá</w:t>
      </w:r>
      <w:r w:rsidRPr="003D1E07">
        <w:t xml:space="preserve"> komentuje proces abstrakce podobným způsobem s tím, že k aktualizaci duše skrze přijatý intelekt přidal i aktivní schopnost sebereflexe intelektuální části duše (</w:t>
      </w:r>
      <w:r w:rsidRPr="003D1E07">
        <w:rPr>
          <w:i/>
        </w:rPr>
        <w:t>ipse intelligit seipsum</w:t>
      </w:r>
      <w:r w:rsidRPr="003D1E07">
        <w:t>).</w:t>
      </w:r>
      <w:r w:rsidRPr="003D1E07">
        <w:rPr>
          <w:rStyle w:val="Znakapoznpodarou"/>
          <w:szCs w:val="18"/>
        </w:rPr>
        <w:footnoteReference w:id="132"/>
      </w:r>
      <w:r w:rsidRPr="003D1E07">
        <w:rPr>
          <w:rStyle w:val="FontStyle129"/>
          <w:rFonts w:ascii="Calibri" w:hAnsi="Calibri"/>
          <w:sz w:val="24"/>
        </w:rPr>
        <w:t xml:space="preserve"> </w:t>
      </w:r>
      <w:r w:rsidR="00EC355A" w:rsidRPr="003D1E07">
        <w:rPr>
          <w:rStyle w:val="FontStyle129"/>
          <w:rFonts w:ascii="Calibri" w:hAnsi="Calibri"/>
          <w:sz w:val="24"/>
        </w:rPr>
        <w:t>K</w:t>
      </w:r>
      <w:r w:rsidR="00BF3756" w:rsidRPr="003D1E07">
        <w:rPr>
          <w:rStyle w:val="FontStyle129"/>
          <w:rFonts w:ascii="Calibri" w:hAnsi="Calibri"/>
          <w:sz w:val="24"/>
        </w:rPr>
        <w:t xml:space="preserve">arteziánské </w:t>
      </w:r>
      <w:r w:rsidR="00BF3756" w:rsidRPr="003D1E07">
        <w:rPr>
          <w:rStyle w:val="FontStyle129"/>
          <w:rFonts w:ascii="Calibri" w:hAnsi="Calibri"/>
          <w:sz w:val="24"/>
        </w:rPr>
        <w:lastRenderedPageBreak/>
        <w:t xml:space="preserve">schéma poznání </w:t>
      </w:r>
      <w:r w:rsidR="00EC355A" w:rsidRPr="003D1E07">
        <w:rPr>
          <w:rStyle w:val="FontStyle129"/>
          <w:rFonts w:ascii="Calibri" w:hAnsi="Calibri"/>
          <w:sz w:val="24"/>
        </w:rPr>
        <w:t xml:space="preserve">mimo smysly je </w:t>
      </w:r>
      <w:r w:rsidR="08496385" w:rsidRPr="003D1E07">
        <w:rPr>
          <w:rStyle w:val="FontStyle129"/>
          <w:rFonts w:ascii="Calibri" w:hAnsi="Calibri"/>
          <w:sz w:val="24"/>
        </w:rPr>
        <w:t xml:space="preserve">nyní </w:t>
      </w:r>
      <w:r w:rsidR="00EC355A" w:rsidRPr="003D1E07">
        <w:rPr>
          <w:rStyle w:val="FontStyle129"/>
          <w:rFonts w:ascii="Calibri" w:hAnsi="Calibri"/>
          <w:sz w:val="24"/>
        </w:rPr>
        <w:t>kompletní</w:t>
      </w:r>
      <w:r w:rsidR="00BF3756" w:rsidRPr="003D1E07">
        <w:rPr>
          <w:rStyle w:val="FontStyle129"/>
          <w:rFonts w:ascii="Calibri" w:hAnsi="Calibri"/>
          <w:sz w:val="24"/>
        </w:rPr>
        <w:t xml:space="preserve">. </w:t>
      </w:r>
      <w:r w:rsidR="08B8658C" w:rsidRPr="003D1E07">
        <w:rPr>
          <w:rStyle w:val="FontStyle129"/>
          <w:rFonts w:ascii="Calibri" w:hAnsi="Calibri"/>
          <w:sz w:val="24"/>
        </w:rPr>
        <w:t>Nadpřirozeně osvícený intelekt sbírá v aktu vlastní sebereflexe denudované</w:t>
      </w:r>
      <w:r w:rsidR="08C41BDF" w:rsidRPr="003D1E07">
        <w:rPr>
          <w:rStyle w:val="FontStyle129"/>
          <w:rFonts w:ascii="Calibri" w:hAnsi="Calibri"/>
          <w:sz w:val="24"/>
        </w:rPr>
        <w:t xml:space="preserve"> </w:t>
      </w:r>
      <w:r w:rsidR="08B8658C" w:rsidRPr="003D1E07">
        <w:rPr>
          <w:rStyle w:val="FontStyle129"/>
          <w:rFonts w:ascii="Calibri" w:hAnsi="Calibri"/>
          <w:sz w:val="24"/>
        </w:rPr>
        <w:t>formy</w:t>
      </w:r>
      <w:r w:rsidR="08C41BDF" w:rsidRPr="003D1E07">
        <w:rPr>
          <w:rStyle w:val="FontStyle129"/>
          <w:rFonts w:ascii="Calibri" w:hAnsi="Calibri"/>
          <w:sz w:val="24"/>
        </w:rPr>
        <w:t xml:space="preserve">. </w:t>
      </w:r>
      <w:r w:rsidR="08005E17" w:rsidRPr="003D1E07">
        <w:t>Viz závěrečnou větu výše uvedeného citátu,</w:t>
      </w:r>
      <w:r w:rsidR="08B8658C" w:rsidRPr="003D1E07">
        <w:t xml:space="preserve"> která mluví o zvláštním druhu </w:t>
      </w:r>
      <w:r w:rsidR="00095110">
        <w:t>„shromažďování“</w:t>
      </w:r>
      <w:r w:rsidR="08005E17" w:rsidRPr="003D1E07">
        <w:t xml:space="preserve"> (</w:t>
      </w:r>
      <w:r w:rsidR="08005E17" w:rsidRPr="003D1E07">
        <w:rPr>
          <w:i/>
        </w:rPr>
        <w:t>iltaqaṭa</w:t>
      </w:r>
      <w:r w:rsidR="00652149" w:rsidRPr="003D1E07">
        <w:rPr>
          <w:i/>
        </w:rPr>
        <w:fldChar w:fldCharType="begin"/>
      </w:r>
      <w:r w:rsidR="00652149" w:rsidRPr="003D1E07">
        <w:instrText xml:space="preserve"> XE "</w:instrText>
      </w:r>
      <w:r w:rsidR="00652149" w:rsidRPr="003D1E07">
        <w:rPr>
          <w:i/>
        </w:rPr>
        <w:instrText>iltaqaṭa</w:instrText>
      </w:r>
      <w:r w:rsidR="00652149" w:rsidRPr="003D1E07">
        <w:instrText xml:space="preserve">" </w:instrText>
      </w:r>
      <w:r w:rsidR="00652149" w:rsidRPr="003D1E07">
        <w:rPr>
          <w:i/>
        </w:rPr>
        <w:fldChar w:fldCharType="end"/>
      </w:r>
      <w:r w:rsidR="00BE1D52">
        <w:t>) univerzálních forem</w:t>
      </w:r>
      <w:r w:rsidR="00071111" w:rsidRPr="003D1E07">
        <w:t xml:space="preserve">. </w:t>
      </w:r>
      <w:r w:rsidR="082926B4" w:rsidRPr="003D1E07">
        <w:t xml:space="preserve">Toto pojetí reflexivního vztahu k realitě převezmou avicennistické školy na latinském Západě v termínu </w:t>
      </w:r>
      <w:r w:rsidR="082926B4" w:rsidRPr="003D1E07">
        <w:rPr>
          <w:i/>
        </w:rPr>
        <w:t>collectio</w:t>
      </w:r>
      <w:r w:rsidR="082926B4" w:rsidRPr="003D1E07">
        <w:rPr>
          <w:i/>
        </w:rPr>
        <w:fldChar w:fldCharType="begin"/>
      </w:r>
      <w:r w:rsidR="082926B4" w:rsidRPr="003D1E07">
        <w:instrText xml:space="preserve"> XE "</w:instrText>
      </w:r>
      <w:r w:rsidR="082926B4" w:rsidRPr="003D1E07">
        <w:rPr>
          <w:i/>
        </w:rPr>
        <w:instrText>collectio</w:instrText>
      </w:r>
      <w:r w:rsidR="082926B4" w:rsidRPr="003D1E07">
        <w:instrText xml:space="preserve">" </w:instrText>
      </w:r>
      <w:r w:rsidR="082926B4" w:rsidRPr="003D1E07">
        <w:rPr>
          <w:i/>
        </w:rPr>
        <w:fldChar w:fldCharType="end"/>
      </w:r>
      <w:r w:rsidR="082926B4" w:rsidRPr="003D1E07">
        <w:t xml:space="preserve"> a po nich od zhruba od 1280 celá škola </w:t>
      </w:r>
      <w:r w:rsidR="082926B4" w:rsidRPr="003D1E07">
        <w:rPr>
          <w:i/>
        </w:rPr>
        <w:t>Modernorum</w:t>
      </w:r>
      <w:r w:rsidR="082926B4" w:rsidRPr="003D1E07">
        <w:t xml:space="preserve">. </w:t>
      </w:r>
      <w:r w:rsidR="0027187C" w:rsidRPr="0027187C">
        <w:t xml:space="preserve">Dnes sbíráme digitalizovaná simulakra, která </w:t>
      </w:r>
      <w:r w:rsidR="0027187C">
        <w:t>nám nihilističtí ilumináti dávají jako hodné mystické úcty a obdivu</w:t>
      </w:r>
      <w:r w:rsidR="0027187C" w:rsidRPr="0027187C">
        <w:t>.</w:t>
      </w:r>
      <w:r w:rsidR="0027187C">
        <w:t xml:space="preserve"> </w:t>
      </w:r>
      <w:r w:rsidR="08AF05C0" w:rsidRPr="003D1E07">
        <w:t>Nadpřirozeně osvícený i</w:t>
      </w:r>
      <w:r w:rsidR="08A96DFD" w:rsidRPr="003D1E07">
        <w:t xml:space="preserve">ntelekt </w:t>
      </w:r>
      <w:r w:rsidR="082C3FC5" w:rsidRPr="003D1E07">
        <w:t xml:space="preserve">sekundárně </w:t>
      </w:r>
      <w:r w:rsidR="08AF05C0" w:rsidRPr="003D1E07">
        <w:t xml:space="preserve">sbírá </w:t>
      </w:r>
      <w:r w:rsidR="082C3FC5" w:rsidRPr="003D1E07">
        <w:t xml:space="preserve">či ověřuje </w:t>
      </w:r>
      <w:r w:rsidR="08A96DFD" w:rsidRPr="003D1E07">
        <w:t xml:space="preserve">v hylemorfických substancích ty univerzálie, které již poznal přímým způsobem. </w:t>
      </w:r>
      <w:r w:rsidR="00071111" w:rsidRPr="003D1E07">
        <w:t xml:space="preserve">Poznání není dáno přímou emanací forem od odděleného kosmického </w:t>
      </w:r>
      <w:r w:rsidR="00071111" w:rsidRPr="003D1E07">
        <w:rPr>
          <w:i/>
        </w:rPr>
        <w:t xml:space="preserve">intellectus agens </w:t>
      </w:r>
      <w:r w:rsidR="00071111" w:rsidRPr="003D1E07">
        <w:t>do darovaného intelektu (</w:t>
      </w:r>
      <w:r w:rsidR="00071111" w:rsidRPr="003D1E07">
        <w:rPr>
          <w:i/>
        </w:rPr>
        <w:t>intellectus adeptus</w:t>
      </w:r>
      <w:r w:rsidR="00355A5A" w:rsidRPr="003D1E07">
        <w:t>), protože Avic</w:t>
      </w:r>
      <w:r w:rsidR="00D64279" w:rsidRPr="003D1E07">
        <w:t>enna částečně přebral aristotel</w:t>
      </w:r>
      <w:r w:rsidR="00355A5A" w:rsidRPr="003D1E07">
        <w:t>i</w:t>
      </w:r>
      <w:r w:rsidR="00D64279" w:rsidRPr="003D1E07">
        <w:t>s</w:t>
      </w:r>
      <w:r w:rsidR="00355A5A" w:rsidRPr="003D1E07">
        <w:t>mus Alfarábího. Poznání běží skrze eidetické nazírání</w:t>
      </w:r>
      <w:r w:rsidR="00071111" w:rsidRPr="003D1E07">
        <w:t xml:space="preserve"> </w:t>
      </w:r>
      <w:r w:rsidR="00994B6C" w:rsidRPr="003D1E07">
        <w:t>nemateriálních forem v aktu darovaného intelektu</w:t>
      </w:r>
      <w:r w:rsidR="00355A5A" w:rsidRPr="003D1E07">
        <w:t xml:space="preserve">, který přímo pozoruje </w:t>
      </w:r>
      <w:r w:rsidR="087F4575" w:rsidRPr="003D1E07">
        <w:t xml:space="preserve">amfibolní </w:t>
      </w:r>
      <w:r w:rsidR="08E17C6D" w:rsidRPr="003D1E07">
        <w:t>významy</w:t>
      </w:r>
      <w:r w:rsidR="087B327B" w:rsidRPr="003D1E07">
        <w:fldChar w:fldCharType="begin"/>
      </w:r>
      <w:r w:rsidR="087B327B" w:rsidRPr="003D1E07">
        <w:instrText xml:space="preserve"> XE "predikace:amfibolní" </w:instrText>
      </w:r>
      <w:r w:rsidR="087B327B" w:rsidRPr="003D1E07">
        <w:fldChar w:fldCharType="end"/>
      </w:r>
      <w:r w:rsidR="087F4575" w:rsidRPr="003D1E07">
        <w:t xml:space="preserve"> jsoucna</w:t>
      </w:r>
      <w:r w:rsidR="00994B6C" w:rsidRPr="003D1E07">
        <w:t>.</w:t>
      </w:r>
      <w:r w:rsidR="00071111" w:rsidRPr="003D1E07">
        <w:t xml:space="preserve"> </w:t>
      </w:r>
      <w:r w:rsidR="088723CA" w:rsidRPr="003D1E07">
        <w:t xml:space="preserve">Tomu odpovídá </w:t>
      </w:r>
      <w:r w:rsidR="08D8546D" w:rsidRPr="003D1E07">
        <w:t>třetí druh poznání u Al-</w:t>
      </w:r>
      <w:r w:rsidR="088723CA" w:rsidRPr="003D1E07">
        <w:t>Fárábího</w:t>
      </w:r>
      <w:r w:rsidR="002F3DCB">
        <w:t xml:space="preserve"> určený v rámci nového metafyzického </w:t>
      </w:r>
      <w:r w:rsidR="002F3DCB" w:rsidRPr="002F3DCB">
        <w:rPr>
          <w:i/>
        </w:rPr>
        <w:t>Ge-Stell</w:t>
      </w:r>
      <w:r w:rsidR="002F3DCB">
        <w:rPr>
          <w:i/>
        </w:rPr>
        <w:fldChar w:fldCharType="begin"/>
      </w:r>
      <w:r w:rsidR="002F3DCB">
        <w:instrText xml:space="preserve"> XE "</w:instrText>
      </w:r>
      <w:r w:rsidR="002F3DCB" w:rsidRPr="00692D62">
        <w:rPr>
          <w:i/>
        </w:rPr>
        <w:instrText>Ge-Stell</w:instrText>
      </w:r>
      <w:r w:rsidR="002F3DCB">
        <w:instrText xml:space="preserve">" </w:instrText>
      </w:r>
      <w:r w:rsidR="002F3DCB">
        <w:rPr>
          <w:i/>
        </w:rPr>
        <w:fldChar w:fldCharType="end"/>
      </w:r>
      <w:r w:rsidR="002F3DCB">
        <w:t xml:space="preserve"> </w:t>
      </w:r>
      <w:r w:rsidR="002F3DCB" w:rsidRPr="003D1E07">
        <w:t>(kap. 2.1.2)</w:t>
      </w:r>
      <w:r w:rsidR="002F3DCB">
        <w:t>. Nová donace smyslu jsoucna produkuje</w:t>
      </w:r>
      <w:r w:rsidR="088723CA" w:rsidRPr="003D1E07">
        <w:t xml:space="preserve"> </w:t>
      </w:r>
      <w:r w:rsidR="002F3DCB">
        <w:t xml:space="preserve">moderní </w:t>
      </w:r>
      <w:r w:rsidR="088723CA" w:rsidRPr="003D1E07">
        <w:t xml:space="preserve">formu </w:t>
      </w:r>
      <w:r w:rsidR="088723CA" w:rsidRPr="003D1E07">
        <w:rPr>
          <w:i/>
        </w:rPr>
        <w:t>aliud esse</w:t>
      </w:r>
      <w:r w:rsidR="002F3DCB">
        <w:t xml:space="preserve"> danou v rámci první ontoteologie Západu.</w:t>
      </w:r>
    </w:p>
    <w:p w14:paraId="2455C651" w14:textId="77777777" w:rsidR="002640F9" w:rsidRDefault="007406A2" w:rsidP="002F3DCB">
      <w:pPr>
        <w:ind w:firstLine="397"/>
      </w:pPr>
      <w:r w:rsidRPr="003D1E07">
        <w:t>Avicenna nechává v duši běžet dva</w:t>
      </w:r>
      <w:r w:rsidR="00B356E6" w:rsidRPr="003D1E07">
        <w:t xml:space="preserve"> paralelní procesy spojené nadřazenou reflexivní funkcí činného inte</w:t>
      </w:r>
      <w:r w:rsidRPr="003D1E07">
        <w:t>l</w:t>
      </w:r>
      <w:r w:rsidR="00B356E6" w:rsidRPr="003D1E07">
        <w:t>e</w:t>
      </w:r>
      <w:r w:rsidRPr="003D1E07">
        <w:t>ktu. Poznání dané aristotelskou abstrakcí a vnímané pohybem duše (</w:t>
      </w:r>
      <w:r w:rsidRPr="003D1E07">
        <w:rPr>
          <w:i/>
        </w:rPr>
        <w:t>cogitationes et considerationes motus</w:t>
      </w:r>
      <w:r w:rsidRPr="003D1E07">
        <w:t>) duši disponují k tomu, aby přijala vyšší formy</w:t>
      </w:r>
      <w:r w:rsidR="08E61575" w:rsidRPr="003D1E07">
        <w:t xml:space="preserve"> poznání </w:t>
      </w:r>
      <w:r w:rsidRPr="003D1E07">
        <w:t>(</w:t>
      </w:r>
      <w:r w:rsidRPr="003D1E07">
        <w:rPr>
          <w:i/>
        </w:rPr>
        <w:t>ad recipiendum emanationem</w:t>
      </w:r>
      <w:r w:rsidR="08E61575" w:rsidRPr="003D1E07">
        <w:t xml:space="preserve">). Poznání běží v </w:t>
      </w:r>
      <w:r w:rsidRPr="003D1E07">
        <w:t>modu vědeck</w:t>
      </w:r>
      <w:r w:rsidR="004A36C5" w:rsidRPr="003D1E07">
        <w:t>ého soudu</w:t>
      </w:r>
      <w:r w:rsidRPr="003D1E07">
        <w:t xml:space="preserve">, v němž střední člen </w:t>
      </w:r>
      <w:r w:rsidR="080227E0" w:rsidRPr="003D1E07">
        <w:t>disponuje duši k tomu (</w:t>
      </w:r>
      <w:r w:rsidR="080227E0" w:rsidRPr="003D1E07">
        <w:rPr>
          <w:i/>
        </w:rPr>
        <w:t>termini medii praeparant</w:t>
      </w:r>
      <w:r w:rsidR="080227E0" w:rsidRPr="003D1E07">
        <w:t xml:space="preserve">), aby bezprostředně nazírala </w:t>
      </w:r>
      <w:r w:rsidRPr="003D1E07">
        <w:t>nutný univerzální závěr (</w:t>
      </w:r>
      <w:r w:rsidRPr="003D1E07">
        <w:rPr>
          <w:i/>
        </w:rPr>
        <w:t>ad recipiendum conclusionem necessario</w:t>
      </w:r>
      <w:r w:rsidRPr="003D1E07">
        <w:t xml:space="preserve">; </w:t>
      </w:r>
      <w:r w:rsidR="008D7A4C" w:rsidRPr="003D1E07">
        <w:rPr>
          <w:i/>
        </w:rPr>
        <w:t xml:space="preserve">Liber de anima </w:t>
      </w:r>
      <w:r w:rsidR="008D7A4C" w:rsidRPr="003D1E07">
        <w:t>V.5</w:t>
      </w:r>
      <w:r w:rsidR="00355A5A" w:rsidRPr="003D1E07">
        <w:t xml:space="preserve">, </w:t>
      </w:r>
      <w:r w:rsidR="008D7A4C" w:rsidRPr="003D1E07">
        <w:t>127.48–50</w:t>
      </w:r>
      <w:r w:rsidR="008D7A4C" w:rsidRPr="003D1E07">
        <w:fldChar w:fldCharType="begin"/>
      </w:r>
      <w:r w:rsidR="008D7A4C" w:rsidRPr="003D1E07">
        <w:instrText xml:space="preserve"> XE "Avicenna:</w:instrText>
      </w:r>
      <w:r w:rsidR="008D7A4C" w:rsidRPr="003D1E07">
        <w:rPr>
          <w:i/>
        </w:rPr>
        <w:instrText>Liber de anima</w:instrText>
      </w:r>
      <w:r w:rsidR="008D7A4C" w:rsidRPr="003D1E07">
        <w:instrText xml:space="preserve"> 127.48–50" </w:instrText>
      </w:r>
      <w:r w:rsidR="008D7A4C" w:rsidRPr="003D1E07">
        <w:fldChar w:fldCharType="end"/>
      </w:r>
      <w:r w:rsidR="008D7A4C" w:rsidRPr="003D1E07">
        <w:t>).</w:t>
      </w:r>
      <w:r w:rsidR="00682B79" w:rsidRPr="003D1E07">
        <w:t xml:space="preserve"> </w:t>
      </w:r>
      <w:r w:rsidR="00873A30" w:rsidRPr="003D1E07">
        <w:t>Avicenna vidí formy a esence ve věcech eidetickým</w:t>
      </w:r>
      <w:r w:rsidR="00873A30" w:rsidRPr="003D1E07">
        <w:fldChar w:fldCharType="begin"/>
      </w:r>
      <w:r w:rsidR="00873A30" w:rsidRPr="003D1E07">
        <w:instrText xml:space="preserve"> XE "vidění:eidetické" </w:instrText>
      </w:r>
      <w:r w:rsidR="00873A30" w:rsidRPr="003D1E07">
        <w:fldChar w:fldCharType="end"/>
      </w:r>
      <w:r w:rsidR="00873A30" w:rsidRPr="003D1E07">
        <w:t xml:space="preserve"> </w:t>
      </w:r>
      <w:r w:rsidR="08F33CA7" w:rsidRPr="003D1E07">
        <w:t xml:space="preserve">a intuitivním </w:t>
      </w:r>
      <w:r w:rsidR="00873A30" w:rsidRPr="003D1E07">
        <w:t>náhledem</w:t>
      </w:r>
      <w:r w:rsidR="084B69CB" w:rsidRPr="003D1E07">
        <w:t xml:space="preserve"> poznávacího soudu</w:t>
      </w:r>
      <w:r w:rsidR="00873A30" w:rsidRPr="003D1E07">
        <w:t xml:space="preserve">, </w:t>
      </w:r>
      <w:r w:rsidR="084B69CB" w:rsidRPr="003D1E07">
        <w:t>což převezm</w:t>
      </w:r>
      <w:r w:rsidR="00873A30" w:rsidRPr="003D1E07">
        <w:t xml:space="preserve">e Descartes a Husserl. </w:t>
      </w:r>
      <w:r w:rsidR="086332D6" w:rsidRPr="003D1E07">
        <w:t xml:space="preserve">Deduktivní soud podle </w:t>
      </w:r>
      <w:r w:rsidR="086332D6" w:rsidRPr="003D1E07">
        <w:rPr>
          <w:i/>
        </w:rPr>
        <w:t>Druhých analytik</w:t>
      </w:r>
      <w:r w:rsidR="086332D6" w:rsidRPr="003D1E07">
        <w:t xml:space="preserve"> postuluje ve výjimečných případech typ přímého náhledu </w:t>
      </w:r>
      <w:r w:rsidR="08182DCC" w:rsidRPr="003D1E07">
        <w:t xml:space="preserve">do premis soudu </w:t>
      </w:r>
      <w:r w:rsidR="086332D6" w:rsidRPr="003D1E07">
        <w:t xml:space="preserve">a </w:t>
      </w:r>
      <w:r w:rsidR="08182DCC" w:rsidRPr="003D1E07">
        <w:t xml:space="preserve">tím i vytvoření </w:t>
      </w:r>
      <w:r w:rsidR="086332D6" w:rsidRPr="003D1E07">
        <w:t>intuitivního úsudku (</w:t>
      </w:r>
      <w:r w:rsidR="086332D6" w:rsidRPr="003D1E07">
        <w:rPr>
          <w:i/>
        </w:rPr>
        <w:t>Anal</w:t>
      </w:r>
      <w:r w:rsidR="086332D6" w:rsidRPr="003D1E07">
        <w:t xml:space="preserve">. </w:t>
      </w:r>
      <w:r w:rsidR="086332D6" w:rsidRPr="003D1E07">
        <w:rPr>
          <w:i/>
        </w:rPr>
        <w:t>Post</w:t>
      </w:r>
      <w:r w:rsidR="086332D6" w:rsidRPr="003D1E07">
        <w:t>. 88b37</w:t>
      </w:r>
      <w:r w:rsidR="086332D6" w:rsidRPr="003D1E07">
        <w:fldChar w:fldCharType="begin"/>
      </w:r>
      <w:r w:rsidR="086332D6" w:rsidRPr="003D1E07">
        <w:instrText xml:space="preserve"> XE "Aristoteles:</w:instrText>
      </w:r>
      <w:r w:rsidR="086332D6" w:rsidRPr="003D1E07">
        <w:rPr>
          <w:i/>
        </w:rPr>
        <w:instrText>Anal. Post</w:instrText>
      </w:r>
      <w:r w:rsidR="086332D6" w:rsidRPr="003D1E07">
        <w:instrText xml:space="preserve">. 88b37" </w:instrText>
      </w:r>
      <w:r w:rsidR="086332D6" w:rsidRPr="003D1E07">
        <w:fldChar w:fldCharType="end"/>
      </w:r>
      <w:r w:rsidR="086332D6" w:rsidRPr="003D1E07">
        <w:t xml:space="preserve">). Osvícená mysl má okamžitou schopnost (ἀγχίνοια) postřehnout závěr bez sylogismu tak jak je bezprostředně dán v </w:t>
      </w:r>
      <w:r w:rsidR="08426F89" w:rsidRPr="003D1E07">
        <w:t xml:space="preserve">premisách </w:t>
      </w:r>
      <w:r w:rsidR="086332D6" w:rsidRPr="003D1E07">
        <w:t>(ibid, 89b10‒11</w:t>
      </w:r>
      <w:r w:rsidR="086332D6" w:rsidRPr="003D1E07">
        <w:fldChar w:fldCharType="begin"/>
      </w:r>
      <w:r w:rsidR="086332D6" w:rsidRPr="003D1E07">
        <w:instrText xml:space="preserve"> XE "Aristoteles:</w:instrText>
      </w:r>
      <w:r w:rsidR="086332D6" w:rsidRPr="003D1E07">
        <w:rPr>
          <w:i/>
        </w:rPr>
        <w:instrText>Anal. Post</w:instrText>
      </w:r>
      <w:r w:rsidR="086332D6" w:rsidRPr="003D1E07">
        <w:instrText xml:space="preserve">. 89b10‒11" </w:instrText>
      </w:r>
      <w:r w:rsidR="086332D6" w:rsidRPr="003D1E07">
        <w:fldChar w:fldCharType="end"/>
      </w:r>
      <w:r w:rsidR="086332D6" w:rsidRPr="003D1E07">
        <w:t xml:space="preserve">). </w:t>
      </w:r>
      <w:r w:rsidR="08182DCC" w:rsidRPr="003D1E07">
        <w:t>Avicenna použil tento model aristotelského sylogismu a zrušil neoplatonský scénář sjednocení s Jedním pomocí emanací a hypostází. V intutitivně nazíraném středním členu odpadá a</w:t>
      </w:r>
      <w:r w:rsidRPr="003D1E07">
        <w:t>ktualizac</w:t>
      </w:r>
      <w:r w:rsidR="001D3D56" w:rsidRPr="003D1E07">
        <w:t>e středního členu soudu od smysl</w:t>
      </w:r>
      <w:r w:rsidR="08A53388" w:rsidRPr="003D1E07">
        <w:t>ové</w:t>
      </w:r>
      <w:r w:rsidRPr="003D1E07">
        <w:t xml:space="preserve"> </w:t>
      </w:r>
      <w:r w:rsidR="00F214C5" w:rsidRPr="003D1E07">
        <w:t>species</w:t>
      </w:r>
      <w:r w:rsidRPr="003D1E07">
        <w:t xml:space="preserve"> </w:t>
      </w:r>
      <w:r w:rsidR="08182DCC" w:rsidRPr="003D1E07">
        <w:t>dané kauzálně</w:t>
      </w:r>
      <w:r w:rsidRPr="003D1E07">
        <w:t xml:space="preserve">, což později zopakuje škola </w:t>
      </w:r>
      <w:r w:rsidR="081A0B6D" w:rsidRPr="003D1E07">
        <w:t xml:space="preserve">avicennistů </w:t>
      </w:r>
      <w:r w:rsidRPr="003D1E07">
        <w:t>za</w:t>
      </w:r>
      <w:r w:rsidR="001D3D56" w:rsidRPr="003D1E07">
        <w:t>lo</w:t>
      </w:r>
      <w:r w:rsidRPr="003D1E07">
        <w:t xml:space="preserve">žená na </w:t>
      </w:r>
      <w:r w:rsidR="001D3D56" w:rsidRPr="003D1E07">
        <w:rPr>
          <w:i/>
        </w:rPr>
        <w:t>Oxfordian Fal</w:t>
      </w:r>
      <w:r w:rsidRPr="003D1E07">
        <w:rPr>
          <w:i/>
        </w:rPr>
        <w:t>l</w:t>
      </w:r>
      <w:r w:rsidR="001D3D56" w:rsidRPr="003D1E07">
        <w:rPr>
          <w:i/>
        </w:rPr>
        <w:t>a</w:t>
      </w:r>
      <w:r w:rsidRPr="003D1E07">
        <w:rPr>
          <w:i/>
        </w:rPr>
        <w:t>cy</w:t>
      </w:r>
      <w:r w:rsidR="00924399" w:rsidRPr="003D1E07">
        <w:rPr>
          <w:i/>
        </w:rPr>
        <w:fldChar w:fldCharType="begin"/>
      </w:r>
      <w:r w:rsidR="00924399" w:rsidRPr="003D1E07">
        <w:instrText xml:space="preserve"> XE "</w:instrText>
      </w:r>
      <w:r w:rsidR="00924399" w:rsidRPr="003D1E07">
        <w:rPr>
          <w:i/>
        </w:rPr>
        <w:instrText>Oxfordian Fallacy:</w:instrText>
      </w:r>
      <w:r w:rsidR="00652149" w:rsidRPr="003D1E07">
        <w:instrText>Avicenna</w:instrText>
      </w:r>
      <w:r w:rsidR="00924399" w:rsidRPr="003D1E07">
        <w:instrText xml:space="preserve">" </w:instrText>
      </w:r>
      <w:r w:rsidR="00924399" w:rsidRPr="003D1E07">
        <w:rPr>
          <w:i/>
        </w:rPr>
        <w:fldChar w:fldCharType="end"/>
      </w:r>
      <w:r w:rsidRPr="003D1E07">
        <w:t xml:space="preserve"> (</w:t>
      </w:r>
      <w:r w:rsidR="08F5528A" w:rsidRPr="003D1E07">
        <w:t>OBJ II, kap. 3</w:t>
      </w:r>
      <w:r w:rsidRPr="003D1E07">
        <w:t xml:space="preserve">.1.1). </w:t>
      </w:r>
      <w:r w:rsidR="001D3D56" w:rsidRPr="003D1E07">
        <w:t xml:space="preserve">Nutnost není dána kauzálně z hylemorfické reality prvních substancí, ale díky logické nutnosti vládnoucí ve světě nazíraných forem. </w:t>
      </w:r>
      <w:r w:rsidR="08047279" w:rsidRPr="003D1E07">
        <w:t xml:space="preserve">Dualistický </w:t>
      </w:r>
      <w:r w:rsidR="0857648E" w:rsidRPr="003D1E07">
        <w:t xml:space="preserve">Avicenna dávno před Descartem </w:t>
      </w:r>
      <w:r w:rsidR="0857648E" w:rsidRPr="003D1E07">
        <w:lastRenderedPageBreak/>
        <w:t xml:space="preserve">zdůrazňuje, že nemateriální složka duše se díky schopnosti sebereflexe zásadně liší od materiálního těla. </w:t>
      </w:r>
      <w:r w:rsidR="08D56A7F" w:rsidRPr="003D1E07">
        <w:t xml:space="preserve">Nový výklad </w:t>
      </w:r>
      <w:r w:rsidR="08D56A7F" w:rsidRPr="003D1E07">
        <w:rPr>
          <w:i/>
        </w:rPr>
        <w:t>De anima</w:t>
      </w:r>
      <w:r w:rsidR="08D56A7F" w:rsidRPr="003D1E07">
        <w:t xml:space="preserve"> </w:t>
      </w:r>
      <w:r w:rsidR="08F70419" w:rsidRPr="003D1E07">
        <w:t xml:space="preserve">vyloučil kauzální možnost vzniku </w:t>
      </w:r>
      <w:r w:rsidR="00F214C5" w:rsidRPr="004D34AA">
        <w:rPr>
          <w:i/>
        </w:rPr>
        <w:t>species</w:t>
      </w:r>
      <w:r w:rsidR="08F70419" w:rsidRPr="003D1E07">
        <w:rPr>
          <w:i/>
        </w:rPr>
        <w:t xml:space="preserve"> intelligibilis</w:t>
      </w:r>
      <w:r w:rsidR="08F70419" w:rsidRPr="003D1E07">
        <w:rPr>
          <w:i/>
        </w:rPr>
        <w:fldChar w:fldCharType="begin"/>
      </w:r>
      <w:r w:rsidR="08F70419" w:rsidRPr="003D1E07">
        <w:instrText xml:space="preserve"> XE "</w:instrText>
      </w:r>
      <w:r w:rsidR="08F70419" w:rsidRPr="003D1E07">
        <w:rPr>
          <w:i/>
        </w:rPr>
        <w:instrText>species intelligibilis:</w:instrText>
      </w:r>
      <w:r w:rsidR="08F70419" w:rsidRPr="003D1E07">
        <w:instrText xml:space="preserve">Avicenna" </w:instrText>
      </w:r>
      <w:r w:rsidR="08F70419" w:rsidRPr="003D1E07">
        <w:rPr>
          <w:i/>
        </w:rPr>
        <w:fldChar w:fldCharType="end"/>
      </w:r>
      <w:r w:rsidR="08F70419" w:rsidRPr="003D1E07">
        <w:t xml:space="preserve"> aktuálně determinovaných od smyslového poznání. Nemateriální poznání pro Avicennu začíná na oddělené úrovni, kde vzniká nový typ náhledu na čisté formy díky vlastní aktualitě intelektu a jeho schopnosti sebereflexivity. </w:t>
      </w:r>
      <w:r w:rsidR="08950AFD" w:rsidRPr="003D1E07">
        <w:t xml:space="preserve">Avicenna oddělil lidský intelekt od smyslů a udělal z něj </w:t>
      </w:r>
      <w:r w:rsidR="08A722E1" w:rsidRPr="003D1E07">
        <w:t>díky int</w:t>
      </w:r>
      <w:r w:rsidR="08F70419" w:rsidRPr="003D1E07">
        <w:t>u</w:t>
      </w:r>
      <w:r w:rsidR="08A722E1" w:rsidRPr="003D1E07">
        <w:t xml:space="preserve">itivní formě </w:t>
      </w:r>
      <w:r w:rsidR="08A722E1" w:rsidRPr="003D1E07">
        <w:rPr>
          <w:i/>
        </w:rPr>
        <w:t>demonst</w:t>
      </w:r>
      <w:r w:rsidR="08E4487C" w:rsidRPr="003D1E07">
        <w:rPr>
          <w:i/>
        </w:rPr>
        <w:t>r</w:t>
      </w:r>
      <w:r w:rsidR="08A722E1" w:rsidRPr="003D1E07">
        <w:rPr>
          <w:i/>
        </w:rPr>
        <w:t>atio</w:t>
      </w:r>
      <w:r w:rsidR="08A722E1" w:rsidRPr="003D1E07">
        <w:t xml:space="preserve"> </w:t>
      </w:r>
      <w:r w:rsidR="08950AFD" w:rsidRPr="003D1E07">
        <w:t xml:space="preserve">andělskou potenci a substanci. </w:t>
      </w:r>
      <w:r w:rsidR="003422E1" w:rsidRPr="003D1E07">
        <w:t>P</w:t>
      </w:r>
      <w:r w:rsidR="089C6B07" w:rsidRPr="003D1E07">
        <w:t>oznání intelektem</w:t>
      </w:r>
      <w:r w:rsidR="00267F48" w:rsidRPr="003D1E07">
        <w:t xml:space="preserve"> není čistá formalizace smyslové zkušenosti v duši </w:t>
      </w:r>
      <w:r w:rsidR="003422E1" w:rsidRPr="003D1E07">
        <w:t xml:space="preserve">definované </w:t>
      </w:r>
      <w:r w:rsidR="00267F48" w:rsidRPr="003D1E07">
        <w:t xml:space="preserve">jako Aristotelova </w:t>
      </w:r>
      <w:r w:rsidR="00267F48" w:rsidRPr="003D1E07">
        <w:rPr>
          <w:i/>
        </w:rPr>
        <w:t>tabula rasa</w:t>
      </w:r>
      <w:r w:rsidR="008702D7" w:rsidRPr="003D1E07">
        <w:rPr>
          <w:i/>
        </w:rPr>
        <w:fldChar w:fldCharType="begin"/>
      </w:r>
      <w:r w:rsidR="008702D7" w:rsidRPr="003D1E07">
        <w:instrText xml:space="preserve"> XE "</w:instrText>
      </w:r>
      <w:r w:rsidR="008702D7" w:rsidRPr="003D1E07">
        <w:rPr>
          <w:i/>
        </w:rPr>
        <w:instrText>tabula rasa</w:instrText>
      </w:r>
      <w:r w:rsidR="008702D7" w:rsidRPr="003D1E07">
        <w:instrText xml:space="preserve">" </w:instrText>
      </w:r>
      <w:r w:rsidR="008702D7" w:rsidRPr="003D1E07">
        <w:rPr>
          <w:i/>
        </w:rPr>
        <w:fldChar w:fldCharType="end"/>
      </w:r>
      <w:r w:rsidR="00267F48" w:rsidRPr="003D1E07">
        <w:t>.</w:t>
      </w:r>
      <w:r w:rsidR="00267F48" w:rsidRPr="003D1E07">
        <w:rPr>
          <w:rStyle w:val="Znakapoznpodarou"/>
        </w:rPr>
        <w:footnoteReference w:id="133"/>
      </w:r>
      <w:r w:rsidR="00267F48" w:rsidRPr="003D1E07">
        <w:t xml:space="preserve"> Duše s avicennovským intelektem obsahuje něco navíc, co je jí </w:t>
      </w:r>
      <w:r w:rsidR="089C6B07" w:rsidRPr="003D1E07">
        <w:t xml:space="preserve">aktuálně a substanciálně </w:t>
      </w:r>
      <w:r w:rsidR="00267F48" w:rsidRPr="003D1E07">
        <w:t>vlastní</w:t>
      </w:r>
      <w:r w:rsidR="084F1BBA" w:rsidRPr="003D1E07">
        <w:t xml:space="preserve">. A tato subsistence existuje </w:t>
      </w:r>
      <w:r w:rsidR="00267F48" w:rsidRPr="003D1E07">
        <w:t xml:space="preserve">před </w:t>
      </w:r>
      <w:r w:rsidR="084F1BBA" w:rsidRPr="003D1E07">
        <w:t xml:space="preserve">jakoukoliv </w:t>
      </w:r>
      <w:r w:rsidR="00267F48" w:rsidRPr="003D1E07">
        <w:t>zkušeností získanou od smyslů.</w:t>
      </w:r>
      <w:r w:rsidR="00267F48" w:rsidRPr="003D1E07">
        <w:rPr>
          <w:rStyle w:val="FontStyle129"/>
          <w:rFonts w:ascii="Calibri" w:hAnsi="Calibri"/>
          <w:sz w:val="24"/>
        </w:rPr>
        <w:t xml:space="preserve"> </w:t>
      </w:r>
      <w:r w:rsidR="08883514" w:rsidRPr="003D1E07">
        <w:rPr>
          <w:rStyle w:val="FontStyle129"/>
          <w:rFonts w:ascii="Calibri" w:hAnsi="Calibri"/>
          <w:sz w:val="24"/>
        </w:rPr>
        <w:t xml:space="preserve">Poznání </w:t>
      </w:r>
      <w:r w:rsidR="08C30808" w:rsidRPr="003D1E07">
        <w:rPr>
          <w:rStyle w:val="FontStyle129"/>
          <w:rFonts w:ascii="Calibri" w:hAnsi="Calibri"/>
          <w:sz w:val="24"/>
        </w:rPr>
        <w:t xml:space="preserve">směřuje k aktuálně daným </w:t>
      </w:r>
      <w:r w:rsidR="08883514" w:rsidRPr="003D1E07">
        <w:rPr>
          <w:rStyle w:val="FontStyle129"/>
          <w:rFonts w:ascii="Calibri" w:hAnsi="Calibri"/>
          <w:sz w:val="24"/>
        </w:rPr>
        <w:t xml:space="preserve">kosmickým </w:t>
      </w:r>
      <w:r w:rsidR="08C30808" w:rsidRPr="003D1E07">
        <w:rPr>
          <w:rStyle w:val="FontStyle129"/>
          <w:rFonts w:ascii="Calibri" w:hAnsi="Calibri"/>
          <w:sz w:val="24"/>
        </w:rPr>
        <w:t xml:space="preserve">formám, které popisuje třetí forma Al-Fárábího ontoteologického systému. </w:t>
      </w:r>
      <w:bookmarkStart w:id="49" w:name="_Ref396503306"/>
      <w:r w:rsidR="082703A2" w:rsidRPr="003D1E07">
        <w:t>Intelekt je aktualizovaný skrze poznání hylemorfické substance (</w:t>
      </w:r>
      <w:r w:rsidR="082703A2" w:rsidRPr="003D1E07">
        <w:rPr>
          <w:i/>
        </w:rPr>
        <w:t>abstractio</w:t>
      </w:r>
      <w:r w:rsidR="082703A2" w:rsidRPr="003D1E07">
        <w:t>) a zároveň tvoří zvláštní kvazi-substrát umožňující vyšší formu abstrakce (</w:t>
      </w:r>
      <w:r w:rsidR="082703A2" w:rsidRPr="003D1E07">
        <w:rPr>
          <w:i/>
        </w:rPr>
        <w:t>denudatio</w:t>
      </w:r>
      <w:r w:rsidR="082703A2" w:rsidRPr="003D1E07">
        <w:rPr>
          <w:i/>
        </w:rPr>
        <w:fldChar w:fldCharType="begin"/>
      </w:r>
      <w:r w:rsidR="082703A2" w:rsidRPr="003D1E07">
        <w:instrText xml:space="preserve"> XE "</w:instrText>
      </w:r>
      <w:r w:rsidR="082703A2" w:rsidRPr="003D1E07">
        <w:rPr>
          <w:i/>
        </w:rPr>
        <w:instrText>denudatio</w:instrText>
      </w:r>
      <w:r w:rsidR="082703A2" w:rsidRPr="003D1E07">
        <w:instrText xml:space="preserve">" </w:instrText>
      </w:r>
      <w:r w:rsidR="082703A2" w:rsidRPr="003D1E07">
        <w:rPr>
          <w:i/>
        </w:rPr>
        <w:fldChar w:fldCharType="end"/>
      </w:r>
      <w:r w:rsidR="082703A2" w:rsidRPr="003D1E07">
        <w:t>). Poznání skrze denudaci a skrze darovaný intelekt participuje na kosmické jednotě hierarchicky uspořádaných forem díky přímému osvícení skrze činný intelekt (</w:t>
      </w:r>
      <w:r w:rsidR="082703A2" w:rsidRPr="003D1E07">
        <w:rPr>
          <w:i/>
        </w:rPr>
        <w:t>intellectus agens</w:t>
      </w:r>
      <w:r w:rsidR="082703A2" w:rsidRPr="003D1E07">
        <w:t xml:space="preserve">). Iluminace </w:t>
      </w:r>
      <w:r w:rsidR="082703A2" w:rsidRPr="003D1E07">
        <w:rPr>
          <w:lang w:eastAsia="en-US"/>
        </w:rPr>
        <w:t xml:space="preserve">je dána jako anabáze mysli k </w:t>
      </w:r>
      <w:r w:rsidR="08514C37" w:rsidRPr="003D1E07">
        <w:rPr>
          <w:lang w:eastAsia="en-US"/>
        </w:rPr>
        <w:t>původnímu zdroji forem (</w:t>
      </w:r>
      <w:r w:rsidR="082703A2" w:rsidRPr="003D1E07">
        <w:rPr>
          <w:i/>
        </w:rPr>
        <w:t>ittiṣāl</w:t>
      </w:r>
      <w:r w:rsidR="082703A2" w:rsidRPr="003D1E07">
        <w:rPr>
          <w:i/>
        </w:rPr>
        <w:fldChar w:fldCharType="begin"/>
      </w:r>
      <w:r w:rsidR="082703A2" w:rsidRPr="003D1E07">
        <w:instrText xml:space="preserve"> XE "</w:instrText>
      </w:r>
      <w:r w:rsidR="082703A2" w:rsidRPr="003D1E07">
        <w:rPr>
          <w:i/>
        </w:rPr>
        <w:instrText>ittiṣāl</w:instrText>
      </w:r>
      <w:r w:rsidR="082703A2" w:rsidRPr="003D1E07">
        <w:instrText xml:space="preserve">" </w:instrText>
      </w:r>
      <w:r w:rsidR="082703A2" w:rsidRPr="003D1E07">
        <w:rPr>
          <w:i/>
        </w:rPr>
        <w:fldChar w:fldCharType="end"/>
      </w:r>
      <w:r w:rsidR="082703A2" w:rsidRPr="003D1E07">
        <w:rPr>
          <w:i/>
        </w:rPr>
        <w:t>, ittiḥād</w:t>
      </w:r>
      <w:r w:rsidR="082703A2" w:rsidRPr="003D1E07">
        <w:t xml:space="preserve">). Esence je poznána z bytí první substance a současně existuje jako absolutní a mimočasová forma v mysli ilumináta. </w:t>
      </w:r>
      <w:r w:rsidR="08E016C4" w:rsidRPr="003D1E07">
        <w:rPr>
          <w:rStyle w:val="FontStyle129"/>
          <w:rFonts w:ascii="Calibri" w:hAnsi="Calibri"/>
          <w:sz w:val="24"/>
        </w:rPr>
        <w:t xml:space="preserve">Avicennův spis </w:t>
      </w:r>
      <w:r w:rsidR="08E016C4" w:rsidRPr="003D1E07">
        <w:rPr>
          <w:i/>
        </w:rPr>
        <w:t>Kitāb al-Nağāt</w:t>
      </w:r>
      <w:r w:rsidR="08E016C4" w:rsidRPr="003D1E07">
        <w:rPr>
          <w:rStyle w:val="FontStyle129"/>
          <w:rFonts w:ascii="Calibri" w:hAnsi="Calibri"/>
          <w:sz w:val="24"/>
        </w:rPr>
        <w:t xml:space="preserve"> přesně rozlišuje mezi aristotelským pojetím abstrakce a přímým náhledem do světa forem.</w:t>
      </w:r>
      <w:r w:rsidR="08E016C4" w:rsidRPr="003D1E07">
        <w:rPr>
          <w:rStyle w:val="Znakapoznpodarou"/>
          <w:szCs w:val="18"/>
        </w:rPr>
        <w:footnoteReference w:id="134"/>
      </w:r>
      <w:r w:rsidR="08E016C4" w:rsidRPr="003D1E07">
        <w:rPr>
          <w:rStyle w:val="FontStyle129"/>
          <w:rFonts w:ascii="Calibri" w:hAnsi="Calibri"/>
          <w:sz w:val="24"/>
        </w:rPr>
        <w:t xml:space="preserve"> Univerzální formy jsou buď abstrahovány z materiálních věcí poznaných smysly, nebo jsou přijímány přímým náhledem. Vyšší složka duše a intelektu je obrácena ke světu čistých forem a vnímá je aktem intelektuální intuice. Avicenna definuje obě formy abstrakce, ale dává je do neoplatonské hierarchie forem</w:t>
      </w:r>
      <w:r w:rsidR="08371203" w:rsidRPr="003D1E07">
        <w:rPr>
          <w:rStyle w:val="FontStyle129"/>
          <w:rFonts w:ascii="Calibri" w:hAnsi="Calibri"/>
          <w:sz w:val="24"/>
        </w:rPr>
        <w:t>, kde vyšší forma určuje nižší</w:t>
      </w:r>
      <w:r w:rsidR="08D8546D" w:rsidRPr="003D1E07">
        <w:rPr>
          <w:rStyle w:val="FontStyle129"/>
          <w:rFonts w:ascii="Calibri" w:hAnsi="Calibri"/>
          <w:sz w:val="24"/>
        </w:rPr>
        <w:t>. Na rozdíl od syntézy Al-</w:t>
      </w:r>
      <w:r w:rsidR="08E016C4" w:rsidRPr="003D1E07">
        <w:rPr>
          <w:rStyle w:val="FontStyle129"/>
          <w:rFonts w:ascii="Calibri" w:hAnsi="Calibri"/>
          <w:sz w:val="24"/>
        </w:rPr>
        <w:t xml:space="preserve">Fárábího nepotřebuje náhled ilumináta determinaci od aristotelského </w:t>
      </w:r>
      <w:r w:rsidR="08E016C4" w:rsidRPr="003D1E07">
        <w:rPr>
          <w:rStyle w:val="FontStyle129"/>
          <w:rFonts w:ascii="Calibri" w:hAnsi="Calibri"/>
          <w:i/>
          <w:sz w:val="24"/>
        </w:rPr>
        <w:t>abstractio</w:t>
      </w:r>
      <w:r w:rsidR="08E016C4" w:rsidRPr="003D1E07">
        <w:rPr>
          <w:rStyle w:val="FontStyle129"/>
          <w:rFonts w:ascii="Calibri" w:hAnsi="Calibri"/>
          <w:sz w:val="24"/>
        </w:rPr>
        <w:t xml:space="preserve"> k</w:t>
      </w:r>
      <w:r w:rsidR="00CC1919" w:rsidRPr="003D1E07">
        <w:rPr>
          <w:rStyle w:val="FontStyle129"/>
          <w:rFonts w:ascii="Calibri" w:hAnsi="Calibri"/>
          <w:sz w:val="24"/>
        </w:rPr>
        <w:t xml:space="preserve"> modernímu </w:t>
      </w:r>
      <w:r w:rsidR="08E016C4" w:rsidRPr="003D1E07">
        <w:rPr>
          <w:rStyle w:val="FontStyle129"/>
          <w:rFonts w:ascii="Calibri" w:hAnsi="Calibri"/>
          <w:i/>
          <w:sz w:val="24"/>
        </w:rPr>
        <w:t>denudatio</w:t>
      </w:r>
      <w:r w:rsidR="08E016C4" w:rsidRPr="003D1E07">
        <w:rPr>
          <w:rStyle w:val="FontStyle129"/>
          <w:rFonts w:ascii="Calibri" w:hAnsi="Calibri"/>
          <w:sz w:val="24"/>
        </w:rPr>
        <w:t xml:space="preserve">. </w:t>
      </w:r>
      <w:r w:rsidR="08E016C4" w:rsidRPr="003D1E07">
        <w:t>Gilson</w:t>
      </w:r>
      <w:r w:rsidR="08E016C4" w:rsidRPr="003D1E07">
        <w:fldChar w:fldCharType="begin"/>
      </w:r>
      <w:r w:rsidR="08E016C4" w:rsidRPr="003D1E07">
        <w:instrText xml:space="preserve"> XE "Gilson, E." </w:instrText>
      </w:r>
      <w:r w:rsidR="08E016C4" w:rsidRPr="003D1E07">
        <w:fldChar w:fldCharType="end"/>
      </w:r>
      <w:r w:rsidR="08E016C4" w:rsidRPr="003D1E07">
        <w:t xml:space="preserve"> přesně viděl rozdíl mezi avicennovským </w:t>
      </w:r>
      <w:r w:rsidR="08E016C4" w:rsidRPr="003D1E07">
        <w:rPr>
          <w:i/>
        </w:rPr>
        <w:t>denudatio</w:t>
      </w:r>
      <w:r w:rsidR="08E016C4" w:rsidRPr="003D1E07">
        <w:t xml:space="preserve"> </w:t>
      </w:r>
      <w:r w:rsidR="08E016C4" w:rsidRPr="003D1E07">
        <w:rPr>
          <w:i/>
        </w:rPr>
        <w:fldChar w:fldCharType="begin"/>
      </w:r>
      <w:r w:rsidR="08E016C4" w:rsidRPr="003D1E07">
        <w:instrText xml:space="preserve"> XE "</w:instrText>
      </w:r>
      <w:r w:rsidR="08E016C4" w:rsidRPr="003D1E07">
        <w:rPr>
          <w:i/>
        </w:rPr>
        <w:instrText>denudatio</w:instrText>
      </w:r>
      <w:r w:rsidR="08E016C4" w:rsidRPr="003D1E07">
        <w:instrText xml:space="preserve">" </w:instrText>
      </w:r>
      <w:r w:rsidR="08E016C4" w:rsidRPr="003D1E07">
        <w:rPr>
          <w:i/>
        </w:rPr>
        <w:fldChar w:fldCharType="end"/>
      </w:r>
      <w:r w:rsidR="08E016C4" w:rsidRPr="003D1E07">
        <w:t xml:space="preserve">a mezi klasickou aristotelskou abstrakcí danou vzhledem ke smyslové </w:t>
      </w:r>
      <w:r w:rsidR="005158C2" w:rsidRPr="003D1E07">
        <w:t xml:space="preserve">zkušenosti a vzhledem k pasivnímu a </w:t>
      </w:r>
      <w:r w:rsidR="08E016C4" w:rsidRPr="003D1E07">
        <w:t xml:space="preserve">aktivnímu intelektu </w:t>
      </w:r>
      <w:r w:rsidR="08E016C4" w:rsidRPr="003D1E07">
        <w:lastRenderedPageBreak/>
        <w:t xml:space="preserve">v duši. </w:t>
      </w:r>
      <w:r w:rsidR="08E016C4" w:rsidRPr="003D1E07">
        <w:rPr>
          <w:rStyle w:val="FontStyle129"/>
          <w:rFonts w:ascii="Calibri" w:hAnsi="Calibri"/>
          <w:sz w:val="24"/>
        </w:rPr>
        <w:t xml:space="preserve">Je-li dána vyšší forma abstrakce, pak je poznání jednotlivin pro intelekt zbytečné a smyslové poznání má jen propedeutický charakter. </w:t>
      </w:r>
      <w:r w:rsidR="08F4597E" w:rsidRPr="003D1E07">
        <w:rPr>
          <w:rStyle w:val="FontStyle129"/>
          <w:rFonts w:ascii="Calibri" w:hAnsi="Calibri"/>
          <w:sz w:val="24"/>
        </w:rPr>
        <w:t xml:space="preserve">Abstrakce ze smyslů </w:t>
      </w:r>
      <w:r w:rsidR="004965CE">
        <w:rPr>
          <w:rStyle w:val="FontStyle129"/>
          <w:rFonts w:ascii="Calibri" w:hAnsi="Calibri"/>
          <w:sz w:val="24"/>
        </w:rPr>
        <w:t xml:space="preserve">není založena na </w:t>
      </w:r>
      <w:r w:rsidR="08F4597E" w:rsidRPr="003D1E07">
        <w:t xml:space="preserve"> aktu sebereflexe, která je vyhrazena pouze činnému a darovanému intelektu. </w:t>
      </w:r>
      <w:r w:rsidR="08E016C4" w:rsidRPr="003D1E07">
        <w:t xml:space="preserve">Avicennista Descartes definuje schopnost abstrakce jako evidentní dedukce, a tím převede avicennistické </w:t>
      </w:r>
      <w:r w:rsidR="08E016C4" w:rsidRPr="003D1E07">
        <w:rPr>
          <w:i/>
        </w:rPr>
        <w:t>denudatio</w:t>
      </w:r>
      <w:r w:rsidR="08E016C4" w:rsidRPr="003D1E07">
        <w:t xml:space="preserve"> do postmoderní metafyziky. Vyvádění forem běží u obou myslitelů z aktuálního pole sebereflexivního náhledu aktualizovaného skrze darovaný intelekt (</w:t>
      </w:r>
      <w:r w:rsidR="08E016C4" w:rsidRPr="003D1E07">
        <w:rPr>
          <w:i/>
        </w:rPr>
        <w:t>intellectus adeptus</w:t>
      </w:r>
      <w:r w:rsidR="08E016C4" w:rsidRPr="003D1E07">
        <w:rPr>
          <w:i/>
        </w:rPr>
        <w:fldChar w:fldCharType="begin"/>
      </w:r>
      <w:r w:rsidR="08E016C4" w:rsidRPr="003D1E07">
        <w:instrText xml:space="preserve"> XE "</w:instrText>
      </w:r>
      <w:r w:rsidR="08E016C4" w:rsidRPr="003D1E07">
        <w:rPr>
          <w:i/>
        </w:rPr>
        <w:instrText>intellectus adeptus</w:instrText>
      </w:r>
      <w:r w:rsidR="08E016C4" w:rsidRPr="003D1E07">
        <w:instrText xml:space="preserve">:Avicenna" </w:instrText>
      </w:r>
      <w:r w:rsidR="08E016C4" w:rsidRPr="003D1E07">
        <w:rPr>
          <w:i/>
        </w:rPr>
        <w:fldChar w:fldCharType="end"/>
      </w:r>
      <w:r w:rsidR="08E016C4" w:rsidRPr="003D1E07">
        <w:t xml:space="preserve">, </w:t>
      </w:r>
      <w:r w:rsidR="00906781">
        <w:rPr>
          <w:i/>
          <w:noProof w:val="0"/>
          <w:lang w:val="en-US" w:eastAsia="en-US"/>
        </w:rPr>
        <w:t>res cogitans</w:t>
      </w:r>
      <w:r w:rsidR="00906781">
        <w:rPr>
          <w:i/>
          <w:noProof w:val="0"/>
          <w:lang w:val="en-US" w:eastAsia="en-US"/>
        </w:rPr>
        <w:fldChar w:fldCharType="begin"/>
      </w:r>
      <w:r w:rsidR="00906781">
        <w:rPr>
          <w:noProof w:val="0"/>
          <w:lang w:val="en-US"/>
        </w:rPr>
        <w:instrText xml:space="preserve"> XE "</w:instrText>
      </w:r>
      <w:r w:rsidR="00906781">
        <w:rPr>
          <w:i/>
          <w:noProof w:val="0"/>
          <w:lang w:val="en-US" w:eastAsia="en-US"/>
        </w:rPr>
        <w:instrText>res cogitans</w:instrText>
      </w:r>
      <w:r w:rsidR="00906781">
        <w:rPr>
          <w:noProof w:val="0"/>
          <w:lang w:val="en-US"/>
        </w:rPr>
        <w:instrText xml:space="preserve">" </w:instrText>
      </w:r>
      <w:r w:rsidR="00906781">
        <w:rPr>
          <w:i/>
          <w:noProof w:val="0"/>
          <w:lang w:val="en-US" w:eastAsia="en-US"/>
        </w:rPr>
        <w:fldChar w:fldCharType="end"/>
      </w:r>
      <w:r w:rsidR="08E016C4" w:rsidRPr="003D1E07">
        <w:t>).</w:t>
      </w:r>
      <w:r w:rsidR="005158C2" w:rsidRPr="003D1E07">
        <w:t xml:space="preserve"> </w:t>
      </w:r>
      <w:r w:rsidR="00906781">
        <w:t xml:space="preserve">Pak je jasné, že Descartovo </w:t>
      </w:r>
      <w:r w:rsidR="00906781" w:rsidRPr="003D1E07">
        <w:rPr>
          <w:i/>
        </w:rPr>
        <w:t>cogito</w:t>
      </w:r>
      <w:r w:rsidR="00906781" w:rsidRPr="003D1E07">
        <w:rPr>
          <w:i/>
        </w:rPr>
        <w:fldChar w:fldCharType="begin"/>
      </w:r>
      <w:r w:rsidR="00906781" w:rsidRPr="003D1E07">
        <w:instrText xml:space="preserve"> XE "</w:instrText>
      </w:r>
      <w:r w:rsidR="00906781" w:rsidRPr="003D1E07">
        <w:rPr>
          <w:i/>
        </w:rPr>
        <w:instrText>cogito</w:instrText>
      </w:r>
      <w:r w:rsidR="00906781" w:rsidRPr="003D1E07">
        <w:instrText xml:space="preserve">" </w:instrText>
      </w:r>
      <w:r w:rsidR="00906781" w:rsidRPr="003D1E07">
        <w:rPr>
          <w:i/>
        </w:rPr>
        <w:fldChar w:fldCharType="end"/>
      </w:r>
      <w:r w:rsidR="00906781">
        <w:rPr>
          <w:i/>
        </w:rPr>
        <w:t xml:space="preserve"> </w:t>
      </w:r>
      <w:r w:rsidR="00906781">
        <w:t xml:space="preserve">je Avicennův </w:t>
      </w:r>
      <w:r w:rsidR="00906781" w:rsidRPr="00906781">
        <w:rPr>
          <w:i/>
        </w:rPr>
        <w:t>intellectus in effectu</w:t>
      </w:r>
      <w:r w:rsidR="00906781">
        <w:t xml:space="preserve"> aktualizovaný nasvícením od autonomních inteligibilních forem. </w:t>
      </w:r>
      <w:r w:rsidR="082703A2" w:rsidRPr="003D1E07">
        <w:t>Poznané a</w:t>
      </w:r>
      <w:r w:rsidR="08C30808" w:rsidRPr="003D1E07">
        <w:rPr>
          <w:rStyle w:val="FontStyle129"/>
          <w:rFonts w:ascii="Calibri" w:hAnsi="Calibri"/>
          <w:sz w:val="24"/>
        </w:rPr>
        <w:t xml:space="preserve">tributy </w:t>
      </w:r>
      <w:r w:rsidR="00471947">
        <w:rPr>
          <w:rStyle w:val="FontStyle129"/>
          <w:rFonts w:ascii="Calibri" w:hAnsi="Calibri"/>
          <w:sz w:val="24"/>
        </w:rPr>
        <w:t>„ek</w:t>
      </w:r>
      <w:r w:rsidR="005158C2" w:rsidRPr="003D1E07">
        <w:rPr>
          <w:rStyle w:val="FontStyle129"/>
          <w:rFonts w:ascii="Calibri" w:hAnsi="Calibri"/>
          <w:sz w:val="24"/>
        </w:rPr>
        <w:t xml:space="preserve">sistují“ </w:t>
      </w:r>
      <w:r w:rsidR="005158C2" w:rsidRPr="003D1E07">
        <w:t>(</w:t>
      </w:r>
      <w:r w:rsidR="005158C2" w:rsidRPr="003D1E07">
        <w:rPr>
          <w:i/>
        </w:rPr>
        <w:t>exsistere</w:t>
      </w:r>
      <w:r w:rsidR="005158C2" w:rsidRPr="003D1E07">
        <w:t xml:space="preserve">) v mysli jako </w:t>
      </w:r>
      <w:r w:rsidR="005158C2" w:rsidRPr="003D1E07">
        <w:rPr>
          <w:rStyle w:val="FontStyle129"/>
          <w:rFonts w:ascii="Calibri" w:hAnsi="Calibri"/>
          <w:sz w:val="24"/>
        </w:rPr>
        <w:t>hypostázované</w:t>
      </w:r>
      <w:r w:rsidR="08C30808" w:rsidRPr="003D1E07">
        <w:rPr>
          <w:rStyle w:val="FontStyle129"/>
          <w:rFonts w:ascii="Calibri" w:hAnsi="Calibri"/>
          <w:sz w:val="24"/>
        </w:rPr>
        <w:t xml:space="preserve"> </w:t>
      </w:r>
      <w:r w:rsidR="08C30808" w:rsidRPr="003D1E07">
        <w:rPr>
          <w:rStyle w:val="FontStyle129"/>
          <w:rFonts w:ascii="Calibri" w:hAnsi="Calibri"/>
          <w:i/>
          <w:sz w:val="24"/>
        </w:rPr>
        <w:t>tertium ens</w:t>
      </w:r>
      <w:r w:rsidR="08C30808" w:rsidRPr="003D1E07">
        <w:rPr>
          <w:rStyle w:val="FontStyle129"/>
          <w:rFonts w:ascii="Calibri" w:hAnsi="Calibri"/>
          <w:sz w:val="24"/>
        </w:rPr>
        <w:t xml:space="preserve"> a v této </w:t>
      </w:r>
      <w:r w:rsidR="005158C2" w:rsidRPr="003D1E07">
        <w:rPr>
          <w:rStyle w:val="FontStyle129"/>
          <w:rFonts w:ascii="Calibri" w:hAnsi="Calibri"/>
          <w:sz w:val="24"/>
        </w:rPr>
        <w:t xml:space="preserve">amfibolické </w:t>
      </w:r>
      <w:r w:rsidR="08C30808" w:rsidRPr="003D1E07">
        <w:rPr>
          <w:rStyle w:val="FontStyle129"/>
          <w:rFonts w:ascii="Calibri" w:hAnsi="Calibri"/>
          <w:sz w:val="24"/>
        </w:rPr>
        <w:t xml:space="preserve">podobě je také </w:t>
      </w:r>
      <w:r w:rsidR="08EF494E" w:rsidRPr="003D1E07">
        <w:rPr>
          <w:rStyle w:val="FontStyle129"/>
          <w:rFonts w:ascii="Calibri" w:hAnsi="Calibri"/>
          <w:sz w:val="24"/>
        </w:rPr>
        <w:t>přímo nahlíž</w:t>
      </w:r>
      <w:r w:rsidR="08C30808" w:rsidRPr="003D1E07">
        <w:rPr>
          <w:rStyle w:val="FontStyle129"/>
          <w:rFonts w:ascii="Calibri" w:hAnsi="Calibri"/>
          <w:sz w:val="24"/>
        </w:rPr>
        <w:t>í darovaný intelekt.</w:t>
      </w:r>
      <w:r w:rsidR="08C30808" w:rsidRPr="003D1E07">
        <w:rPr>
          <w:rStyle w:val="Znakapoznpodarou"/>
        </w:rPr>
        <w:footnoteReference w:id="135"/>
      </w:r>
      <w:bookmarkEnd w:id="49"/>
      <w:r w:rsidR="082703A2" w:rsidRPr="003D1E07">
        <w:rPr>
          <w:rStyle w:val="FontStyle129"/>
          <w:rFonts w:ascii="Calibri" w:hAnsi="Calibri"/>
          <w:sz w:val="24"/>
        </w:rPr>
        <w:t xml:space="preserve"> </w:t>
      </w:r>
      <w:r w:rsidR="08690499" w:rsidRPr="003D1E07">
        <w:rPr>
          <w:rStyle w:val="FontStyle129"/>
          <w:rFonts w:ascii="Calibri" w:hAnsi="Calibri"/>
          <w:sz w:val="24"/>
        </w:rPr>
        <w:t>Schopnost přijatého intelektu poznávat</w:t>
      </w:r>
      <w:r w:rsidR="085C0E30" w:rsidRPr="003D1E07">
        <w:rPr>
          <w:rStyle w:val="FontStyle129"/>
          <w:rFonts w:ascii="Calibri" w:hAnsi="Calibri"/>
          <w:sz w:val="24"/>
        </w:rPr>
        <w:t xml:space="preserve"> jsoucna třetího druhu zakládá </w:t>
      </w:r>
      <w:r w:rsidR="08690499" w:rsidRPr="003D1E07">
        <w:rPr>
          <w:rStyle w:val="FontStyle129"/>
          <w:rFonts w:ascii="Calibri" w:hAnsi="Calibri"/>
          <w:sz w:val="24"/>
        </w:rPr>
        <w:t>karteziánský dualismus známý od Avicennova myšlenkového experimentu tzv. „létajícího muže</w:t>
      </w:r>
      <w:r w:rsidR="08690499" w:rsidRPr="003D1E07">
        <w:rPr>
          <w:rStyle w:val="FontStyle129"/>
          <w:rFonts w:ascii="Calibri" w:hAnsi="Calibri"/>
          <w:sz w:val="24"/>
        </w:rPr>
        <w:fldChar w:fldCharType="begin"/>
      </w:r>
      <w:r w:rsidR="08690499" w:rsidRPr="003D1E07">
        <w:instrText xml:space="preserve"> XE "</w:instrText>
      </w:r>
      <w:r w:rsidR="08690499" w:rsidRPr="003D1E07">
        <w:rPr>
          <w:rStyle w:val="FontStyle129"/>
          <w:rFonts w:ascii="Calibri" w:hAnsi="Calibri"/>
          <w:sz w:val="24"/>
        </w:rPr>
        <w:instrText>létající muž</w:instrText>
      </w:r>
      <w:r w:rsidR="08690499" w:rsidRPr="003D1E07">
        <w:instrText xml:space="preserve">" </w:instrText>
      </w:r>
      <w:r w:rsidR="08690499" w:rsidRPr="003D1E07">
        <w:rPr>
          <w:rStyle w:val="FontStyle129"/>
          <w:rFonts w:ascii="Calibri" w:hAnsi="Calibri"/>
          <w:sz w:val="24"/>
        </w:rPr>
        <w:fldChar w:fldCharType="end"/>
      </w:r>
      <w:r w:rsidR="08690499" w:rsidRPr="003D1E07">
        <w:rPr>
          <w:rStyle w:val="FontStyle129"/>
          <w:rFonts w:ascii="Calibri" w:hAnsi="Calibri"/>
          <w:sz w:val="24"/>
        </w:rPr>
        <w:t xml:space="preserve">“. </w:t>
      </w:r>
      <w:r w:rsidR="08690499" w:rsidRPr="003D1E07">
        <w:t xml:space="preserve">Plná verze </w:t>
      </w:r>
      <w:r w:rsidR="00742BFB" w:rsidRPr="003D1E07">
        <w:t xml:space="preserve">této filosofické pohádky </w:t>
      </w:r>
      <w:r w:rsidR="08690499" w:rsidRPr="003D1E07">
        <w:t xml:space="preserve">je dána v </w:t>
      </w:r>
      <w:r w:rsidR="08690499" w:rsidRPr="003D1E07">
        <w:rPr>
          <w:i/>
        </w:rPr>
        <w:t xml:space="preserve">Liber de anima </w:t>
      </w:r>
      <w:r w:rsidR="08690499" w:rsidRPr="003D1E07">
        <w:t>I.1</w:t>
      </w:r>
      <w:r w:rsidR="08690499" w:rsidRPr="003D1E07">
        <w:rPr>
          <w:iCs/>
        </w:rPr>
        <w:t xml:space="preserve"> a odtud ji znali </w:t>
      </w:r>
      <w:r w:rsidR="082A52ED" w:rsidRPr="003D1E07">
        <w:rPr>
          <w:iCs/>
        </w:rPr>
        <w:t>scholastičtí autoři</w:t>
      </w:r>
      <w:r w:rsidR="08690499" w:rsidRPr="003D1E07">
        <w:rPr>
          <w:iCs/>
        </w:rPr>
        <w:t>.</w:t>
      </w:r>
      <w:r w:rsidR="08690499" w:rsidRPr="003D1E07">
        <w:rPr>
          <w:rStyle w:val="Znakapoznpodarou"/>
          <w:szCs w:val="18"/>
        </w:rPr>
        <w:footnoteReference w:id="136"/>
      </w:r>
      <w:r w:rsidR="08690499" w:rsidRPr="003D1E07">
        <w:rPr>
          <w:rStyle w:val="FontStyle129"/>
          <w:rFonts w:ascii="Calibri" w:hAnsi="Calibri"/>
          <w:sz w:val="24"/>
        </w:rPr>
        <w:t xml:space="preserve"> </w:t>
      </w:r>
      <w:r w:rsidR="08D8623B" w:rsidRPr="003D1E07">
        <w:rPr>
          <w:rStyle w:val="FontStyle129"/>
          <w:rFonts w:ascii="Calibri" w:hAnsi="Calibri"/>
          <w:sz w:val="24"/>
        </w:rPr>
        <w:t>L</w:t>
      </w:r>
      <w:r w:rsidR="00061678" w:rsidRPr="003D1E07">
        <w:t xml:space="preserve">idská intelektuální duše </w:t>
      </w:r>
      <w:r w:rsidR="08D8623B" w:rsidRPr="003D1E07">
        <w:t xml:space="preserve">oddělená od těla </w:t>
      </w:r>
      <w:r w:rsidR="00061678" w:rsidRPr="003D1E07">
        <w:t>participuje na odděleném aktivním intelektu.</w:t>
      </w:r>
      <w:r w:rsidR="00217668" w:rsidRPr="003D1E07">
        <w:t xml:space="preserve"> </w:t>
      </w:r>
      <w:bookmarkStart w:id="50" w:name="_Ref386809396"/>
      <w:r w:rsidR="085240BD" w:rsidRPr="003D1E07">
        <w:rPr>
          <w:rStyle w:val="FontStyle129"/>
          <w:rFonts w:ascii="Calibri" w:hAnsi="Calibri"/>
          <w:sz w:val="24"/>
        </w:rPr>
        <w:t>Moderní člověk-intelekt se volně vznáší v prostoru a díky duši jako substanci má sebevědomí</w:t>
      </w:r>
      <w:r w:rsidR="00471947">
        <w:rPr>
          <w:rStyle w:val="FontStyle129"/>
          <w:rFonts w:ascii="Calibri" w:hAnsi="Calibri"/>
          <w:sz w:val="24"/>
        </w:rPr>
        <w:t xml:space="preserve"> i bez </w:t>
      </w:r>
      <w:r w:rsidR="003E3C76">
        <w:rPr>
          <w:rStyle w:val="FontStyle129"/>
          <w:rFonts w:ascii="Calibri" w:hAnsi="Calibri"/>
          <w:sz w:val="24"/>
        </w:rPr>
        <w:t xml:space="preserve">smyslového </w:t>
      </w:r>
      <w:r w:rsidR="00471947">
        <w:rPr>
          <w:rStyle w:val="FontStyle129"/>
          <w:rFonts w:ascii="Calibri" w:hAnsi="Calibri"/>
          <w:sz w:val="24"/>
        </w:rPr>
        <w:t>zakoušení vlastního těla</w:t>
      </w:r>
      <w:r w:rsidR="004816BB" w:rsidRPr="003D1E07">
        <w:rPr>
          <w:rStyle w:val="FontStyle129"/>
          <w:rFonts w:ascii="Calibri" w:hAnsi="Calibri"/>
          <w:sz w:val="24"/>
        </w:rPr>
        <w:t xml:space="preserve">. Tuto báchorku </w:t>
      </w:r>
      <w:r w:rsidR="085240BD" w:rsidRPr="003D1E07">
        <w:rPr>
          <w:rStyle w:val="FontStyle129"/>
          <w:rFonts w:ascii="Calibri" w:hAnsi="Calibri"/>
          <w:sz w:val="24"/>
        </w:rPr>
        <w:t>převzal</w:t>
      </w:r>
      <w:r w:rsidR="08257AB6" w:rsidRPr="003D1E07">
        <w:rPr>
          <w:rStyle w:val="FontStyle129"/>
          <w:rFonts w:ascii="Calibri" w:hAnsi="Calibri"/>
          <w:sz w:val="24"/>
        </w:rPr>
        <w:t>a</w:t>
      </w:r>
      <w:r w:rsidR="085240BD" w:rsidRPr="003D1E07">
        <w:rPr>
          <w:rStyle w:val="FontStyle129"/>
          <w:rFonts w:ascii="Calibri" w:hAnsi="Calibri"/>
          <w:sz w:val="24"/>
        </w:rPr>
        <w:t xml:space="preserve"> </w:t>
      </w:r>
      <w:r w:rsidR="08257AB6" w:rsidRPr="003D1E07">
        <w:rPr>
          <w:rStyle w:val="FontStyle129"/>
          <w:rFonts w:ascii="Calibri" w:hAnsi="Calibri"/>
          <w:sz w:val="24"/>
        </w:rPr>
        <w:t>postmoderna</w:t>
      </w:r>
      <w:r w:rsidR="08616081" w:rsidRPr="003D1E07">
        <w:fldChar w:fldCharType="begin"/>
      </w:r>
      <w:r w:rsidR="08616081" w:rsidRPr="003D1E07">
        <w:instrText xml:space="preserve"> XE "mytopoiesis" </w:instrText>
      </w:r>
      <w:r w:rsidR="08616081" w:rsidRPr="003D1E07">
        <w:fldChar w:fldCharType="end"/>
      </w:r>
      <w:r w:rsidR="08257AB6" w:rsidRPr="003D1E07">
        <w:rPr>
          <w:rStyle w:val="FontStyle129"/>
          <w:rFonts w:ascii="Calibri" w:hAnsi="Calibri"/>
          <w:sz w:val="24"/>
        </w:rPr>
        <w:t xml:space="preserve"> </w:t>
      </w:r>
      <w:r w:rsidR="004816BB" w:rsidRPr="003D1E07">
        <w:rPr>
          <w:rStyle w:val="FontStyle129"/>
          <w:rFonts w:ascii="Calibri" w:hAnsi="Calibri"/>
          <w:sz w:val="24"/>
        </w:rPr>
        <w:t xml:space="preserve">a současný nihilismus </w:t>
      </w:r>
      <w:r w:rsidR="08257AB6" w:rsidRPr="003D1E07">
        <w:rPr>
          <w:rStyle w:val="FontStyle129"/>
          <w:rFonts w:ascii="Calibri" w:hAnsi="Calibri"/>
          <w:sz w:val="24"/>
        </w:rPr>
        <w:t xml:space="preserve">skrze </w:t>
      </w:r>
      <w:r w:rsidR="004816BB" w:rsidRPr="003D1E07">
        <w:rPr>
          <w:rStyle w:val="FontStyle129"/>
          <w:rFonts w:ascii="Calibri" w:hAnsi="Calibri"/>
          <w:sz w:val="24"/>
        </w:rPr>
        <w:t>fabulaci zvanou „</w:t>
      </w:r>
      <w:r w:rsidR="08696564" w:rsidRPr="003D1E07">
        <w:t>moz</w:t>
      </w:r>
      <w:r w:rsidR="004816BB" w:rsidRPr="003D1E07">
        <w:t>e</w:t>
      </w:r>
      <w:r w:rsidR="085240BD" w:rsidRPr="003D1E07">
        <w:t>k</w:t>
      </w:r>
      <w:r w:rsidR="00375FC6" w:rsidRPr="003D1E07">
        <w:t xml:space="preserve"> ve vaně</w:t>
      </w:r>
      <w:r w:rsidR="004816BB" w:rsidRPr="003D1E07">
        <w:t>“</w:t>
      </w:r>
      <w:r w:rsidR="085240BD" w:rsidRPr="003D1E07">
        <w:t xml:space="preserve"> (</w:t>
      </w:r>
      <w:r w:rsidR="085240BD" w:rsidRPr="003D1E07">
        <w:rPr>
          <w:i/>
        </w:rPr>
        <w:t>Brain in a Vat</w:t>
      </w:r>
      <w:r w:rsidR="085240BD" w:rsidRPr="003D1E07">
        <w:rPr>
          <w:i/>
        </w:rPr>
        <w:fldChar w:fldCharType="begin"/>
      </w:r>
      <w:r w:rsidR="085240BD" w:rsidRPr="003D1E07">
        <w:instrText xml:space="preserve"> XE "</w:instrText>
      </w:r>
      <w:r w:rsidR="085240BD" w:rsidRPr="003D1E07">
        <w:rPr>
          <w:i/>
        </w:rPr>
        <w:instrText>Brain in a Vat</w:instrText>
      </w:r>
      <w:r w:rsidR="085240BD" w:rsidRPr="003D1E07">
        <w:instrText xml:space="preserve">" </w:instrText>
      </w:r>
      <w:r w:rsidR="085240BD" w:rsidRPr="003D1E07">
        <w:rPr>
          <w:i/>
        </w:rPr>
        <w:fldChar w:fldCharType="end"/>
      </w:r>
      <w:r w:rsidR="085240BD" w:rsidRPr="003D1E07">
        <w:t>).</w:t>
      </w:r>
      <w:bookmarkEnd w:id="50"/>
      <w:r w:rsidR="085240BD" w:rsidRPr="003D1E07">
        <w:t xml:space="preserve"> </w:t>
      </w:r>
      <w:r w:rsidR="08140DB6" w:rsidRPr="003D1E07">
        <w:t xml:space="preserve">Tuto moderní schizofrenii zásadním způsobem kritizoval Averroes odkazem na Al-Fárábího </w:t>
      </w:r>
      <w:r w:rsidR="08140DB6" w:rsidRPr="003D1E07">
        <w:rPr>
          <w:i/>
        </w:rPr>
        <w:t>intellectus in potencia</w:t>
      </w:r>
      <w:r w:rsidR="08140DB6" w:rsidRPr="003D1E07">
        <w:t xml:space="preserve"> </w:t>
      </w:r>
      <w:r w:rsidR="002640F9" w:rsidRPr="003D1E07">
        <w:t>(kap. 2.4.2)</w:t>
      </w:r>
      <w:r w:rsidR="002640F9">
        <w:t xml:space="preserve"> </w:t>
      </w:r>
      <w:r w:rsidR="08140DB6" w:rsidRPr="003D1E07">
        <w:t>a diafanum</w:t>
      </w:r>
      <w:r w:rsidR="08140DB6" w:rsidRPr="003D1E07">
        <w:fldChar w:fldCharType="begin"/>
      </w:r>
      <w:r w:rsidR="08140DB6" w:rsidRPr="003D1E07">
        <w:instrText xml:space="preserve"> XE "diafanum:Averroes" </w:instrText>
      </w:r>
      <w:r w:rsidR="08140DB6" w:rsidRPr="003D1E07">
        <w:fldChar w:fldCharType="end"/>
      </w:r>
      <w:r w:rsidR="08140DB6" w:rsidRPr="003D1E07">
        <w:t xml:space="preserve"> v aristotelském </w:t>
      </w:r>
      <w:r w:rsidR="002640F9">
        <w:t>pojetí intencionality a poznání.</w:t>
      </w:r>
    </w:p>
    <w:p w14:paraId="59AA7A7E" w14:textId="370CA6F9" w:rsidR="00672166" w:rsidRPr="003D1E07" w:rsidRDefault="088452D8" w:rsidP="002F3DCB">
      <w:pPr>
        <w:ind w:firstLine="397"/>
      </w:pPr>
      <w:r w:rsidRPr="003D1E07">
        <w:t xml:space="preserve">Avicenna od sebe oddělil smyslové a rozumové poznání, které jeho učitel </w:t>
      </w:r>
      <w:r w:rsidR="081F2F9D" w:rsidRPr="003D1E07">
        <w:t>Al</w:t>
      </w:r>
      <w:r w:rsidR="081F2F9D" w:rsidRPr="003D1E07">
        <w:noBreakHyphen/>
      </w:r>
      <w:r w:rsidR="008E02F5" w:rsidRPr="003D1E07">
        <w:t>Fárábí</w:t>
      </w:r>
      <w:r w:rsidRPr="003D1E07">
        <w:t xml:space="preserve"> ještě držel v ambivalentní jednotě. </w:t>
      </w:r>
      <w:r w:rsidR="08F64481" w:rsidRPr="003D1E07">
        <w:t xml:space="preserve">Oba poznávací procesy </w:t>
      </w:r>
      <w:r w:rsidR="000E0F7A" w:rsidRPr="003D1E07">
        <w:t>definují dvě</w:t>
      </w:r>
      <w:r w:rsidR="008A03D9" w:rsidRPr="003D1E07">
        <w:t xml:space="preserve"> rozdílné duševní činnosti.</w:t>
      </w:r>
      <w:r w:rsidR="08E86137" w:rsidRPr="003D1E07">
        <w:t xml:space="preserve"> </w:t>
      </w:r>
      <w:r w:rsidR="0069554F" w:rsidRPr="003D1E07">
        <w:t xml:space="preserve">Poznání je podle výkladu </w:t>
      </w:r>
      <w:r w:rsidR="0069554F" w:rsidRPr="003D1E07">
        <w:rPr>
          <w:i/>
        </w:rPr>
        <w:t>De anima</w:t>
      </w:r>
      <w:r w:rsidR="0069554F" w:rsidRPr="003D1E07">
        <w:t xml:space="preserve"> I.5 dáno jako stupňovaný proces, v němž vzniká stále adekvátnější vztah </w:t>
      </w:r>
      <w:r w:rsidR="089F70E9" w:rsidRPr="003D1E07">
        <w:t>(</w:t>
      </w:r>
      <w:r w:rsidR="089F70E9" w:rsidRPr="003D1E07">
        <w:rPr>
          <w:i/>
        </w:rPr>
        <w:t>niṣab</w:t>
      </w:r>
      <w:r w:rsidR="089F70E9" w:rsidRPr="003D1E07">
        <w:t>)</w:t>
      </w:r>
      <w:r w:rsidR="0069554F" w:rsidRPr="003D1E07">
        <w:t xml:space="preserve"> k abstrahovaným formám. </w:t>
      </w:r>
      <w:r w:rsidR="08EC056B" w:rsidRPr="003D1E07">
        <w:rPr>
          <w:rStyle w:val="FontStyle129"/>
          <w:rFonts w:ascii="Calibri" w:hAnsi="Calibri"/>
          <w:sz w:val="24"/>
        </w:rPr>
        <w:t xml:space="preserve">Avicennova interpretace Aristotelova spisu </w:t>
      </w:r>
      <w:r w:rsidR="08EC056B" w:rsidRPr="003D1E07">
        <w:rPr>
          <w:rStyle w:val="FontStyle129"/>
          <w:rFonts w:ascii="Calibri" w:hAnsi="Calibri"/>
          <w:i/>
          <w:sz w:val="24"/>
        </w:rPr>
        <w:t>De anima</w:t>
      </w:r>
      <w:r w:rsidR="08EC056B" w:rsidRPr="003D1E07">
        <w:rPr>
          <w:rStyle w:val="FontStyle129"/>
          <w:rFonts w:ascii="Calibri" w:hAnsi="Calibri"/>
          <w:sz w:val="24"/>
        </w:rPr>
        <w:t xml:space="preserve"> </w:t>
      </w:r>
      <w:r w:rsidR="08EC056B" w:rsidRPr="003D1E07">
        <w:t xml:space="preserve">ukazuje </w:t>
      </w:r>
      <w:r w:rsidR="00AF0A97" w:rsidRPr="003D1E07">
        <w:t xml:space="preserve">sestupnou a vzestupnou hierarchii </w:t>
      </w:r>
      <w:r w:rsidR="08EC056B" w:rsidRPr="003D1E07">
        <w:t>čtyř forem intelektu (</w:t>
      </w:r>
      <w:r w:rsidR="08EC056B" w:rsidRPr="003D1E07">
        <w:rPr>
          <w:i/>
        </w:rPr>
        <w:t>materialis</w:t>
      </w:r>
      <w:r w:rsidR="08EC056B" w:rsidRPr="003D1E07">
        <w:t xml:space="preserve">, </w:t>
      </w:r>
      <w:r w:rsidR="08EC056B" w:rsidRPr="003D1E07">
        <w:rPr>
          <w:i/>
        </w:rPr>
        <w:t>in habitu</w:t>
      </w:r>
      <w:r w:rsidR="08EC056B" w:rsidRPr="003D1E07">
        <w:t xml:space="preserve">, </w:t>
      </w:r>
      <w:r w:rsidR="08EC056B" w:rsidRPr="003D1E07">
        <w:rPr>
          <w:i/>
        </w:rPr>
        <w:t>in effectu</w:t>
      </w:r>
      <w:r w:rsidR="08EC056B" w:rsidRPr="003D1E07">
        <w:t xml:space="preserve">, </w:t>
      </w:r>
      <w:r w:rsidR="08EC056B" w:rsidRPr="003D1E07">
        <w:rPr>
          <w:i/>
        </w:rPr>
        <w:t>adeptus</w:t>
      </w:r>
      <w:r w:rsidR="00AF0A97" w:rsidRPr="003D1E07">
        <w:t xml:space="preserve">), které jsou zapojeny </w:t>
      </w:r>
      <w:r w:rsidR="08EC056B" w:rsidRPr="003D1E07">
        <w:t>do procesu poznání (Hasse 1999, 29–31</w:t>
      </w:r>
      <w:r w:rsidR="08EC056B" w:rsidRPr="003D1E07">
        <w:rPr>
          <w:i/>
        </w:rPr>
        <w:fldChar w:fldCharType="begin"/>
      </w:r>
      <w:r w:rsidR="08EC056B" w:rsidRPr="003D1E07">
        <w:instrText xml:space="preserve"> XE "intelekt:Avicenna" </w:instrText>
      </w:r>
      <w:r w:rsidR="08EC056B" w:rsidRPr="003D1E07">
        <w:rPr>
          <w:i/>
        </w:rPr>
        <w:fldChar w:fldCharType="end"/>
      </w:r>
      <w:r w:rsidR="08EC056B" w:rsidRPr="003D1E07">
        <w:t xml:space="preserve">). </w:t>
      </w:r>
      <w:r w:rsidR="08691BDF" w:rsidRPr="003D1E07">
        <w:t xml:space="preserve">Postup poznání ukazuje </w:t>
      </w:r>
      <w:r w:rsidR="08B4062B" w:rsidRPr="003D1E07">
        <w:t xml:space="preserve">dvojí </w:t>
      </w:r>
      <w:r w:rsidR="00A875AD" w:rsidRPr="003D1E07">
        <w:t xml:space="preserve">rozbor </w:t>
      </w:r>
      <w:r w:rsidR="08B4062B" w:rsidRPr="003D1E07">
        <w:t>(</w:t>
      </w:r>
      <w:r w:rsidR="00A875AD" w:rsidRPr="003D1E07">
        <w:rPr>
          <w:i/>
        </w:rPr>
        <w:t>De anima</w:t>
      </w:r>
      <w:r w:rsidR="00A875AD" w:rsidRPr="003D1E07">
        <w:t xml:space="preserve"> I.5; V.1‒6</w:t>
      </w:r>
      <w:r w:rsidR="08B4062B" w:rsidRPr="003D1E07">
        <w:t>)</w:t>
      </w:r>
      <w:r w:rsidR="00A875AD" w:rsidRPr="003D1E07">
        <w:t>, kde je celý proces definován vzhledem k rozdílnému pojetí abstrakce na každé úrov</w:t>
      </w:r>
      <w:r w:rsidR="00A425B3" w:rsidRPr="003D1E07">
        <w:t>ni porozumění (Hasse 2000, 177</w:t>
      </w:r>
      <w:r w:rsidR="08B03C30" w:rsidRPr="003D1E07">
        <w:t>–</w:t>
      </w:r>
      <w:r w:rsidR="00A875AD" w:rsidRPr="003D1E07">
        <w:t xml:space="preserve">79). </w:t>
      </w:r>
      <w:r w:rsidR="00E47130" w:rsidRPr="003D1E07">
        <w:lastRenderedPageBreak/>
        <w:t xml:space="preserve">K autonomním a předem daným formám se </w:t>
      </w:r>
      <w:r w:rsidR="0069554F" w:rsidRPr="003D1E07">
        <w:t xml:space="preserve">lidský intelekt </w:t>
      </w:r>
      <w:r w:rsidR="00E47130" w:rsidRPr="003D1E07">
        <w:t xml:space="preserve">nejprve </w:t>
      </w:r>
      <w:r w:rsidR="0069554F" w:rsidRPr="003D1E07">
        <w:t>vztahuje jako k absolutně potenciálním obsahům, protože myšlení představuje čistou schopnost recepce danou od narození člověka (</w:t>
      </w:r>
      <w:r w:rsidR="0069554F" w:rsidRPr="003D1E07">
        <w:rPr>
          <w:i/>
        </w:rPr>
        <w:t>intellectus materialis</w:t>
      </w:r>
      <w:r w:rsidR="006D2B5F" w:rsidRPr="003D1E07">
        <w:rPr>
          <w:i/>
        </w:rPr>
        <w:fldChar w:fldCharType="begin"/>
      </w:r>
      <w:r w:rsidR="006D2B5F" w:rsidRPr="003D1E07">
        <w:instrText xml:space="preserve"> XE "</w:instrText>
      </w:r>
      <w:r w:rsidR="006D2B5F" w:rsidRPr="003D1E07">
        <w:rPr>
          <w:i/>
        </w:rPr>
        <w:instrText>intellectus materialis:</w:instrText>
      </w:r>
      <w:r w:rsidR="006D2B5F" w:rsidRPr="003D1E07">
        <w:instrText xml:space="preserve">Avicenna" </w:instrText>
      </w:r>
      <w:r w:rsidR="006D2B5F" w:rsidRPr="003D1E07">
        <w:rPr>
          <w:i/>
        </w:rPr>
        <w:fldChar w:fldCharType="end"/>
      </w:r>
      <w:r w:rsidR="08582988" w:rsidRPr="003D1E07">
        <w:t>). Pak vzniká vztah k formě v možné potenci</w:t>
      </w:r>
      <w:r w:rsidR="0069554F" w:rsidRPr="003D1E07">
        <w:t xml:space="preserve"> (</w:t>
      </w:r>
      <w:r w:rsidR="0069554F" w:rsidRPr="003D1E07">
        <w:rPr>
          <w:i/>
        </w:rPr>
        <w:t>possible potentiality</w:t>
      </w:r>
      <w:r w:rsidR="0069554F" w:rsidRPr="003D1E07">
        <w:t>) jako schopnost člověka tvořit analytické soudy typu: „Celek je větší než jeho část“ (</w:t>
      </w:r>
      <w:r w:rsidR="0069554F" w:rsidRPr="003D1E07">
        <w:rPr>
          <w:i/>
        </w:rPr>
        <w:t>intellectus in habitu</w:t>
      </w:r>
      <w:r w:rsidR="0069554F" w:rsidRPr="003D1E07">
        <w:t>).  Násl</w:t>
      </w:r>
      <w:r w:rsidR="08582988" w:rsidRPr="003D1E07">
        <w:t>eduje proces přijímání forem v plné potencialitě</w:t>
      </w:r>
      <w:r w:rsidR="0069554F" w:rsidRPr="003D1E07">
        <w:t xml:space="preserve"> (</w:t>
      </w:r>
      <w:r w:rsidR="0069554F" w:rsidRPr="003D1E07">
        <w:rPr>
          <w:i/>
        </w:rPr>
        <w:t>perfect potentionality</w:t>
      </w:r>
      <w:r w:rsidR="0069554F" w:rsidRPr="003D1E07">
        <w:t>), který je vázaný na proces smyslově založeného poznání aktualizovaného vyšší složkou intelektu (</w:t>
      </w:r>
      <w:r w:rsidR="0069554F" w:rsidRPr="003D1E07">
        <w:rPr>
          <w:i/>
        </w:rPr>
        <w:t>intellectus in effectu</w:t>
      </w:r>
      <w:r w:rsidR="0069554F" w:rsidRPr="003D1E07">
        <w:t>). Nakonec je rozum schopen vnímat plnost aktuální formy v aktuálním výkonu darovaného intelektu (</w:t>
      </w:r>
      <w:r w:rsidR="0069554F" w:rsidRPr="003D1E07">
        <w:rPr>
          <w:i/>
        </w:rPr>
        <w:t>intel</w:t>
      </w:r>
      <w:r w:rsidR="00BE70A0" w:rsidRPr="003D1E07">
        <w:rPr>
          <w:i/>
        </w:rPr>
        <w:t>l</w:t>
      </w:r>
      <w:r w:rsidR="0069554F" w:rsidRPr="003D1E07">
        <w:rPr>
          <w:i/>
        </w:rPr>
        <w:t>ectus adeptus</w:t>
      </w:r>
      <w:r w:rsidR="0069554F" w:rsidRPr="003D1E07">
        <w:t>). Darovaný intelekt produkuje poznání nemateriální formy tím, že je osvícen od odděleného činného intelektu (</w:t>
      </w:r>
      <w:r w:rsidR="0069554F" w:rsidRPr="003D1E07">
        <w:rPr>
          <w:i/>
        </w:rPr>
        <w:t>intellectus agens</w:t>
      </w:r>
      <w:r w:rsidR="0069554F" w:rsidRPr="003D1E07">
        <w:t xml:space="preserve">). </w:t>
      </w:r>
      <w:r w:rsidR="00021A19">
        <w:t xml:space="preserve">Avicenna bere tuto iluminaci jako aktuální a individuální akt </w:t>
      </w:r>
      <w:r w:rsidR="00021A19" w:rsidRPr="003D1E07">
        <w:t>poznání</w:t>
      </w:r>
      <w:r w:rsidR="00021A19">
        <w:t xml:space="preserve">. </w:t>
      </w:r>
      <w:r w:rsidR="006D0B60">
        <w:t xml:space="preserve">To je zásadní rozdíl </w:t>
      </w:r>
      <w:r w:rsidR="0818408E" w:rsidRPr="003D1E07">
        <w:t>od Al-</w:t>
      </w:r>
      <w:r w:rsidR="008E02F5" w:rsidRPr="003D1E07">
        <w:t>Fárábí</w:t>
      </w:r>
      <w:r w:rsidR="00E83FC7" w:rsidRPr="003D1E07">
        <w:t xml:space="preserve">ho </w:t>
      </w:r>
      <w:r w:rsidR="00197820" w:rsidRPr="003D1E07">
        <w:t>schématu</w:t>
      </w:r>
      <w:r w:rsidR="006D0B60">
        <w:t>, které staví na mediaci</w:t>
      </w:r>
      <w:r w:rsidR="00E83FC7" w:rsidRPr="003D1E07">
        <w:t xml:space="preserve"> skrze diafanum a </w:t>
      </w:r>
      <w:r w:rsidR="006D0B60">
        <w:t xml:space="preserve">skrze </w:t>
      </w:r>
      <w:r w:rsidR="08776A74" w:rsidRPr="003D1E07">
        <w:t>možný intelekt</w:t>
      </w:r>
      <w:r w:rsidR="006D0B60">
        <w:t xml:space="preserve">. </w:t>
      </w:r>
      <w:r w:rsidR="00E83FC7" w:rsidRPr="003D1E07">
        <w:t>Avi</w:t>
      </w:r>
      <w:r w:rsidR="00197820" w:rsidRPr="003D1E07">
        <w:t>c</w:t>
      </w:r>
      <w:r w:rsidR="00E83FC7" w:rsidRPr="003D1E07">
        <w:t xml:space="preserve">ennovo schéma </w:t>
      </w:r>
      <w:r w:rsidR="006D0B60" w:rsidRPr="003D1E07">
        <w:t>odmítá</w:t>
      </w:r>
      <w:r w:rsidR="006D0B60">
        <w:t xml:space="preserve"> </w:t>
      </w:r>
      <w:r w:rsidR="00CE25F0" w:rsidRPr="003D1E07">
        <w:t xml:space="preserve">kauzální </w:t>
      </w:r>
      <w:r w:rsidR="00D56522">
        <w:t xml:space="preserve">spojení </w:t>
      </w:r>
      <w:r w:rsidR="00CE25F0" w:rsidRPr="003D1E07">
        <w:t xml:space="preserve">smyslů a </w:t>
      </w:r>
      <w:r w:rsidR="00D56522">
        <w:t xml:space="preserve">jimi podmíněného </w:t>
      </w:r>
      <w:r w:rsidR="00CE25F0" w:rsidRPr="003D1E07">
        <w:t>intelektu</w:t>
      </w:r>
      <w:r w:rsidR="00D178A4">
        <w:t xml:space="preserve">, které nemohou produkovat vyšší formu </w:t>
      </w:r>
      <w:r w:rsidR="08137ADD" w:rsidRPr="003D1E07">
        <w:t>poznání</w:t>
      </w:r>
      <w:r w:rsidR="00E83FC7" w:rsidRPr="003D1E07">
        <w:t xml:space="preserve">. Smyslově aktualizovaný </w:t>
      </w:r>
      <w:r w:rsidR="00E83FC7" w:rsidRPr="003D1E07">
        <w:rPr>
          <w:i/>
        </w:rPr>
        <w:t>intellectus in effectu</w:t>
      </w:r>
      <w:r w:rsidR="00E83FC7" w:rsidRPr="003D1E07">
        <w:t xml:space="preserve"> nemá možnost ovlivnit poznání na úrovni adekvace mezi </w:t>
      </w:r>
      <w:r w:rsidR="00E83FC7" w:rsidRPr="003D1E07">
        <w:rPr>
          <w:i/>
        </w:rPr>
        <w:t>intellectus adeptus</w:t>
      </w:r>
      <w:r w:rsidR="00E83FC7" w:rsidRPr="003D1E07">
        <w:t xml:space="preserve"> a </w:t>
      </w:r>
      <w:r w:rsidR="00E83FC7" w:rsidRPr="003D1E07">
        <w:rPr>
          <w:i/>
        </w:rPr>
        <w:t>intellectus agens</w:t>
      </w:r>
      <w:r w:rsidR="00E83FC7" w:rsidRPr="003D1E07">
        <w:t xml:space="preserve">. </w:t>
      </w:r>
      <w:r w:rsidR="082F46A0" w:rsidRPr="003D1E07">
        <w:t xml:space="preserve">Avicennova </w:t>
      </w:r>
      <w:r w:rsidR="006B53A5" w:rsidRPr="003D1E07">
        <w:t>p</w:t>
      </w:r>
      <w:r w:rsidR="00E83FC7" w:rsidRPr="003D1E07">
        <w:t>ropedeutická fun</w:t>
      </w:r>
      <w:r w:rsidR="006B53A5" w:rsidRPr="003D1E07">
        <w:t>k</w:t>
      </w:r>
      <w:r w:rsidR="00E83FC7" w:rsidRPr="003D1E07">
        <w:t>ce smyslového poznání n</w:t>
      </w:r>
      <w:r w:rsidR="006B53A5" w:rsidRPr="003D1E07">
        <w:t xml:space="preserve">ení schopna založit kauzální </w:t>
      </w:r>
      <w:r w:rsidR="00E74B58">
        <w:t xml:space="preserve">determinaci </w:t>
      </w:r>
      <w:r w:rsidR="082F46A0" w:rsidRPr="003D1E07">
        <w:t>pro nasvícení poznání zepředu</w:t>
      </w:r>
      <w:r w:rsidR="00E74B58">
        <w:t>. A</w:t>
      </w:r>
      <w:r w:rsidR="006B53A5" w:rsidRPr="003D1E07">
        <w:t xml:space="preserve">ktuální smyslové poznání neaktualizuje </w:t>
      </w:r>
      <w:r w:rsidR="006B53A5" w:rsidRPr="003D1E07">
        <w:rPr>
          <w:i/>
        </w:rPr>
        <w:t>intel</w:t>
      </w:r>
      <w:r w:rsidR="00E83FC7" w:rsidRPr="003D1E07">
        <w:rPr>
          <w:i/>
        </w:rPr>
        <w:t>l</w:t>
      </w:r>
      <w:r w:rsidR="006B53A5" w:rsidRPr="003D1E07">
        <w:rPr>
          <w:i/>
        </w:rPr>
        <w:t>ec</w:t>
      </w:r>
      <w:r w:rsidR="00E83FC7" w:rsidRPr="003D1E07">
        <w:rPr>
          <w:i/>
        </w:rPr>
        <w:t>tus adeptus</w:t>
      </w:r>
      <w:r w:rsidR="00E83FC7" w:rsidRPr="003D1E07">
        <w:t>.</w:t>
      </w:r>
      <w:r w:rsidR="087822FF" w:rsidRPr="003D1E07">
        <w:t xml:space="preserve"> </w:t>
      </w:r>
      <w:r w:rsidR="006567F1">
        <w:t>Z</w:t>
      </w:r>
      <w:r w:rsidR="00565C36" w:rsidRPr="003D1E07">
        <w:t>ástupci Blundovy školy proto odmítli Avicennův model poznání a fenomenologicky popsali průběh poznání podel způsobu, jak reálně dochází k nasvícení intelektu od první substance (πώς ἐστι πάντα</w:t>
      </w:r>
      <w:r w:rsidR="00565C36" w:rsidRPr="003D1E07">
        <w:rPr>
          <w:rStyle w:val="FontStyle129"/>
          <w:rFonts w:ascii="Calibri" w:hAnsi="Calibri"/>
          <w:sz w:val="24"/>
        </w:rPr>
        <w:t xml:space="preserve">, </w:t>
      </w:r>
      <w:r w:rsidR="00565C36" w:rsidRPr="003D1E07">
        <w:rPr>
          <w:rStyle w:val="FontStyle129"/>
          <w:rFonts w:ascii="Calibri" w:hAnsi="Calibri"/>
          <w:i/>
          <w:sz w:val="24"/>
        </w:rPr>
        <w:t>De anima</w:t>
      </w:r>
      <w:r w:rsidR="00565C36" w:rsidRPr="003D1E07">
        <w:rPr>
          <w:rStyle w:val="FontStyle129"/>
          <w:rFonts w:ascii="Calibri" w:hAnsi="Calibri"/>
          <w:sz w:val="24"/>
        </w:rPr>
        <w:t xml:space="preserve"> 431b21</w:t>
      </w:r>
      <w:r w:rsidR="00565C36" w:rsidRPr="003D1E07">
        <w:rPr>
          <w:i/>
        </w:rPr>
        <w:fldChar w:fldCharType="begin"/>
      </w:r>
      <w:r w:rsidR="00565C36" w:rsidRPr="003D1E07">
        <w:instrText xml:space="preserve"> XE "Aristoteles:</w:instrText>
      </w:r>
      <w:r w:rsidR="00565C36" w:rsidRPr="003D1E07">
        <w:rPr>
          <w:i/>
        </w:rPr>
        <w:instrText>De anima</w:instrText>
      </w:r>
      <w:r w:rsidR="00565C36" w:rsidRPr="003D1E07">
        <w:instrText xml:space="preserve"> </w:instrText>
      </w:r>
      <w:r w:rsidR="00565C36" w:rsidRPr="003D1E07">
        <w:rPr>
          <w:rStyle w:val="FontStyle129"/>
          <w:rFonts w:ascii="Calibri" w:hAnsi="Calibri"/>
          <w:sz w:val="24"/>
        </w:rPr>
        <w:instrText>431b21</w:instrText>
      </w:r>
      <w:r w:rsidR="00565C36" w:rsidRPr="003D1E07">
        <w:instrText xml:space="preserve">" </w:instrText>
      </w:r>
      <w:r w:rsidR="00565C36" w:rsidRPr="003D1E07">
        <w:rPr>
          <w:i/>
        </w:rPr>
        <w:fldChar w:fldCharType="end"/>
      </w:r>
      <w:r w:rsidR="00565C36" w:rsidRPr="003D1E07">
        <w:t xml:space="preserve">). </w:t>
      </w:r>
      <w:r w:rsidR="00672166" w:rsidRPr="003D1E07">
        <w:t xml:space="preserve">Škola prvního averroismu vybudovala poznání na Averroesově výkladu </w:t>
      </w:r>
      <w:r w:rsidR="00672166" w:rsidRPr="003D1E07">
        <w:rPr>
          <w:i/>
        </w:rPr>
        <w:t>De anima</w:t>
      </w:r>
      <w:r w:rsidR="00672166" w:rsidRPr="003D1E07">
        <w:t xml:space="preserve">. Averroses sleduje aktualizace různých potencí </w:t>
      </w:r>
      <w:r w:rsidR="00672166" w:rsidRPr="003D1E07">
        <w:rPr>
          <w:i/>
        </w:rPr>
        <w:t>anima intellectiva</w:t>
      </w:r>
      <w:r w:rsidR="00672166" w:rsidRPr="003D1E07">
        <w:t xml:space="preserve"> směrem od smyslů. Duše se nestává vším Avicennovou sebereflexí, ale tím že je univerzálně receptivní, materiálně i nemateriálně. </w:t>
      </w:r>
      <w:r w:rsidR="00565C36" w:rsidRPr="003D1E07">
        <w:t>Albert Veliký chápal Avicennovo pojetí intelek</w:t>
      </w:r>
      <w:r w:rsidR="00B26522">
        <w:t>tu podle Averroesova spisu CMDA, který interpretoval v</w:t>
      </w:r>
      <w:r w:rsidR="00565C36" w:rsidRPr="003D1E07">
        <w:t xml:space="preserve"> modu Sicilské školy. Podle Alberta platí, že </w:t>
      </w:r>
      <w:r w:rsidR="00565C36" w:rsidRPr="003D1E07">
        <w:fldChar w:fldCharType="begin"/>
      </w:r>
      <w:r w:rsidR="00565C36" w:rsidRPr="003D1E07">
        <w:instrText xml:space="preserve"> XE "Sicilská škola" </w:instrText>
      </w:r>
      <w:r w:rsidR="00565C36" w:rsidRPr="003D1E07">
        <w:fldChar w:fldCharType="end"/>
      </w:r>
      <w:r w:rsidR="00565C36" w:rsidRPr="003D1E07">
        <w:t>Avicennovy formy intelektu ukazují pouze stupeň neoplatonské sebereflexe intelektu (</w:t>
      </w:r>
      <w:r w:rsidR="00565C36" w:rsidRPr="003D1E07">
        <w:rPr>
          <w:i/>
        </w:rPr>
        <w:t>quattuor sunt gradus</w:t>
      </w:r>
      <w:r w:rsidR="00565C36" w:rsidRPr="003D1E07">
        <w:t>). Skutečný průběh poznání byl dán aristotelsky skrze výkon jednotlivých úkonů intelektu (</w:t>
      </w:r>
      <w:r w:rsidR="00565C36" w:rsidRPr="003D1E07">
        <w:rPr>
          <w:i/>
        </w:rPr>
        <w:t xml:space="preserve">tres sunt </w:t>
      </w:r>
      <w:r w:rsidR="00565C36" w:rsidRPr="003D1E07">
        <w:t xml:space="preserve">species; OBJ II, kap. 2.4.2). </w:t>
      </w:r>
      <w:r w:rsidR="00672166" w:rsidRPr="003D1E07">
        <w:t xml:space="preserve">Oddělení Avicennova intelektu od smyslové aktualizace zakládá výstup </w:t>
      </w:r>
      <w:r w:rsidR="00672166" w:rsidRPr="003D1E07">
        <w:rPr>
          <w:i/>
        </w:rPr>
        <w:t>intellectus adeptus</w:t>
      </w:r>
      <w:r w:rsidR="00672166" w:rsidRPr="003D1E07">
        <w:t xml:space="preserve"> do světa čist</w:t>
      </w:r>
      <w:r w:rsidR="00416F60">
        <w:t>ých forem, kde se připodobňuje kosmickému d</w:t>
      </w:r>
      <w:r w:rsidR="00672166" w:rsidRPr="003D1E07">
        <w:t xml:space="preserve">árci forem v aktu unifikace poznání skrze </w:t>
      </w:r>
      <w:r w:rsidR="00672166" w:rsidRPr="003D1E07">
        <w:rPr>
          <w:i/>
        </w:rPr>
        <w:t>intellectus sanctus</w:t>
      </w:r>
      <w:r w:rsidR="00672166" w:rsidRPr="003D1E07">
        <w:rPr>
          <w:i/>
        </w:rPr>
        <w:fldChar w:fldCharType="begin"/>
      </w:r>
      <w:r w:rsidR="00672166" w:rsidRPr="003D1E07">
        <w:instrText xml:space="preserve"> XE "</w:instrText>
      </w:r>
      <w:r w:rsidR="00672166" w:rsidRPr="003D1E07">
        <w:rPr>
          <w:i/>
        </w:rPr>
        <w:instrText>intellectus sanctus</w:instrText>
      </w:r>
      <w:r w:rsidR="00672166" w:rsidRPr="003D1E07">
        <w:instrText xml:space="preserve">" </w:instrText>
      </w:r>
      <w:r w:rsidR="00672166" w:rsidRPr="003D1E07">
        <w:rPr>
          <w:i/>
        </w:rPr>
        <w:fldChar w:fldCharType="end"/>
      </w:r>
      <w:r w:rsidR="00672166" w:rsidRPr="003D1E07">
        <w:t xml:space="preserve">. </w:t>
      </w:r>
      <w:r w:rsidR="00A2773D">
        <w:t>M</w:t>
      </w:r>
      <w:r w:rsidR="00A2773D" w:rsidRPr="003D1E07">
        <w:t>oderní avicennisté sofisticky připsali Averroesovi</w:t>
      </w:r>
      <w:r w:rsidR="00A2773D">
        <w:t xml:space="preserve"> t</w:t>
      </w:r>
      <w:r w:rsidR="00672166" w:rsidRPr="003D1E07">
        <w:t xml:space="preserve">oto </w:t>
      </w:r>
      <w:r w:rsidR="00A2773D">
        <w:t>„</w:t>
      </w:r>
      <w:r w:rsidR="00672166" w:rsidRPr="003D1E07">
        <w:t>averroistické</w:t>
      </w:r>
      <w:r w:rsidR="00A2773D">
        <w:t>“</w:t>
      </w:r>
      <w:r w:rsidR="00672166" w:rsidRPr="003D1E07">
        <w:t xml:space="preserve"> schéma poznání</w:t>
      </w:r>
      <w:r w:rsidR="00A2773D">
        <w:t>. Oddělený</w:t>
      </w:r>
      <w:r w:rsidR="00672166" w:rsidRPr="003D1E07">
        <w:t xml:space="preserve"> </w:t>
      </w:r>
      <w:r w:rsidR="00672166" w:rsidRPr="003D1E07">
        <w:rPr>
          <w:i/>
        </w:rPr>
        <w:t>intellectus possibilis</w:t>
      </w:r>
      <w:r w:rsidR="00672166" w:rsidRPr="003D1E07">
        <w:t xml:space="preserve"> a </w:t>
      </w:r>
      <w:r w:rsidR="00672166" w:rsidRPr="003D1E07">
        <w:rPr>
          <w:i/>
        </w:rPr>
        <w:lastRenderedPageBreak/>
        <w:t>agens</w:t>
      </w:r>
      <w:r w:rsidR="00A2773D">
        <w:t xml:space="preserve"> působí</w:t>
      </w:r>
      <w:r w:rsidR="00672166" w:rsidRPr="003D1E07">
        <w:t xml:space="preserve"> na individuální výkon nemateriál</w:t>
      </w:r>
      <w:r w:rsidR="00A2773D">
        <w:t>ního poznání v duši jednotlivce</w:t>
      </w:r>
      <w:r w:rsidR="00416F60">
        <w:t xml:space="preserve">. </w:t>
      </w:r>
      <w:r w:rsidR="00A2773D">
        <w:t xml:space="preserve">Averroes </w:t>
      </w:r>
      <w:r w:rsidR="00672166" w:rsidRPr="003D1E07">
        <w:t>ale zásadně odmítl neoplatonismus alexandrovců</w:t>
      </w:r>
      <w:r w:rsidR="00672166" w:rsidRPr="003D1E07">
        <w:fldChar w:fldCharType="begin"/>
      </w:r>
      <w:r w:rsidR="00672166" w:rsidRPr="003D1E07">
        <w:instrText xml:space="preserve"> XE "alexandrovci" </w:instrText>
      </w:r>
      <w:r w:rsidR="00672166" w:rsidRPr="003D1E07">
        <w:fldChar w:fldCharType="end"/>
      </w:r>
      <w:r w:rsidR="00672166" w:rsidRPr="003D1E07">
        <w:t xml:space="preserve"> a Avicenny</w:t>
      </w:r>
      <w:r w:rsidR="00A2773D">
        <w:t xml:space="preserve"> právě v tomto klíčovém bodě</w:t>
      </w:r>
      <w:r w:rsidR="00672166" w:rsidRPr="003D1E07">
        <w:t xml:space="preserve">. </w:t>
      </w:r>
    </w:p>
    <w:p w14:paraId="5EF454A2" w14:textId="77777777" w:rsidR="000B007A" w:rsidRDefault="00020DB3" w:rsidP="00CD12D4">
      <w:pPr>
        <w:ind w:firstLine="397"/>
      </w:pPr>
      <w:r w:rsidRPr="003D1E07">
        <w:rPr>
          <w:rStyle w:val="FontStyle129"/>
          <w:rFonts w:ascii="Calibri" w:hAnsi="Calibri"/>
          <w:sz w:val="24"/>
        </w:rPr>
        <w:t xml:space="preserve">V procesu poznání došlo k fundamentální </w:t>
      </w:r>
      <w:r>
        <w:rPr>
          <w:rStyle w:val="FontStyle129"/>
          <w:rFonts w:ascii="Calibri" w:hAnsi="Calibri"/>
          <w:sz w:val="24"/>
        </w:rPr>
        <w:t xml:space="preserve">záměně způsobu, </w:t>
      </w:r>
      <w:r w:rsidRPr="003D1E07">
        <w:rPr>
          <w:rStyle w:val="FontStyle129"/>
          <w:rFonts w:ascii="Calibri" w:hAnsi="Calibri"/>
          <w:sz w:val="24"/>
        </w:rPr>
        <w:t>jak je intelekt aktualizován. Tato událost nasvícení smyslu jsoucna (</w:t>
      </w:r>
      <w:r w:rsidRPr="003D1E07">
        <w:rPr>
          <w:rStyle w:val="FontStyle129"/>
          <w:rFonts w:ascii="Calibri" w:hAnsi="Calibri"/>
          <w:i/>
          <w:sz w:val="24"/>
        </w:rPr>
        <w:t>Ereignis</w:t>
      </w:r>
      <w:r w:rsidRPr="003D1E07">
        <w:rPr>
          <w:rStyle w:val="FontStyle129"/>
          <w:rFonts w:ascii="Calibri" w:hAnsi="Calibri"/>
          <w:i/>
          <w:sz w:val="24"/>
        </w:rPr>
        <w:fldChar w:fldCharType="begin"/>
      </w:r>
      <w:r w:rsidRPr="003D1E07">
        <w:instrText xml:space="preserve"> XE "</w:instrText>
      </w:r>
      <w:r w:rsidRPr="003D1E07">
        <w:rPr>
          <w:i/>
        </w:rPr>
        <w:instrText>Ereignis</w:instrText>
      </w:r>
      <w:r w:rsidRPr="003D1E07">
        <w:instrText xml:space="preserve">" </w:instrText>
      </w:r>
      <w:r w:rsidRPr="003D1E07">
        <w:rPr>
          <w:rStyle w:val="FontStyle129"/>
          <w:rFonts w:ascii="Calibri" w:hAnsi="Calibri"/>
          <w:i/>
          <w:sz w:val="24"/>
        </w:rPr>
        <w:fldChar w:fldCharType="end"/>
      </w:r>
      <w:r w:rsidRPr="003D1E07">
        <w:rPr>
          <w:rStyle w:val="FontStyle129"/>
          <w:rFonts w:ascii="Calibri" w:hAnsi="Calibri"/>
          <w:sz w:val="24"/>
        </w:rPr>
        <w:t>) zakládá nové pole zjevování jsoucna v jeho odkrytosti (</w:t>
      </w:r>
      <w:r w:rsidRPr="003D1E07">
        <w:rPr>
          <w:rStyle w:val="FontStyle129"/>
          <w:rFonts w:ascii="Calibri" w:hAnsi="Calibri"/>
          <w:i/>
          <w:sz w:val="24"/>
        </w:rPr>
        <w:t>alétheia</w:t>
      </w:r>
      <w:r w:rsidRPr="003D1E07">
        <w:rPr>
          <w:rStyle w:val="FontStyle129"/>
          <w:rFonts w:ascii="Calibri" w:hAnsi="Calibri"/>
          <w:sz w:val="24"/>
        </w:rPr>
        <w:t xml:space="preserve">). </w:t>
      </w:r>
      <w:r w:rsidRPr="003D1E07">
        <w:t>Univerzální receptivita intelektu je daná mimo první substanci, protože je osvětlena směrem od světa eidetických forem třetího druhu</w:t>
      </w:r>
      <w:r w:rsidRPr="003D1E07">
        <w:fldChar w:fldCharType="begin"/>
      </w:r>
      <w:r w:rsidRPr="003D1E07">
        <w:instrText xml:space="preserve"> XE "matematika" </w:instrText>
      </w:r>
      <w:r w:rsidRPr="003D1E07">
        <w:fldChar w:fldCharType="end"/>
      </w:r>
      <w:r w:rsidRPr="003D1E07">
        <w:t>.</w:t>
      </w:r>
      <w:r>
        <w:t xml:space="preserve"> </w:t>
      </w:r>
      <w:r w:rsidR="08D738C9" w:rsidRPr="003D1E07">
        <w:t>Avicenna dává novou odpověď na základní otázku</w:t>
      </w:r>
      <w:r w:rsidR="007B72E4">
        <w:t>: J</w:t>
      </w:r>
      <w:r w:rsidR="08D738C9" w:rsidRPr="003D1E07">
        <w:t>ak (</w:t>
      </w:r>
      <w:r w:rsidR="08D738C9" w:rsidRPr="00D24C12">
        <w:rPr>
          <w:i/>
        </w:rPr>
        <w:t>Wie</w:t>
      </w:r>
      <w:r w:rsidR="0061681B" w:rsidRPr="003D1E07">
        <w:rPr>
          <w:rStyle w:val="FontStyle129"/>
          <w:rFonts w:ascii="Calibri" w:hAnsi="Calibri"/>
          <w:i/>
          <w:sz w:val="24"/>
        </w:rPr>
        <w:fldChar w:fldCharType="begin"/>
      </w:r>
      <w:r w:rsidR="0061681B" w:rsidRPr="003D1E07">
        <w:instrText xml:space="preserve"> XE "hermeneutické</w:instrText>
      </w:r>
      <w:r w:rsidR="0061681B" w:rsidRPr="003D1E07">
        <w:rPr>
          <w:i/>
        </w:rPr>
        <w:instrText xml:space="preserve"> Wie</w:instrText>
      </w:r>
      <w:r w:rsidR="0061681B" w:rsidRPr="003D1E07">
        <w:instrText xml:space="preserve">:Avicenna" </w:instrText>
      </w:r>
      <w:r w:rsidR="0061681B" w:rsidRPr="003D1E07">
        <w:rPr>
          <w:rStyle w:val="FontStyle129"/>
          <w:rFonts w:ascii="Calibri" w:hAnsi="Calibri"/>
          <w:i/>
          <w:sz w:val="24"/>
        </w:rPr>
        <w:fldChar w:fldCharType="end"/>
      </w:r>
      <w:r w:rsidR="08D738C9" w:rsidRPr="003D1E07">
        <w:t>, πώς</w:t>
      </w:r>
      <w:r w:rsidR="007B72E4">
        <w:t xml:space="preserve">; </w:t>
      </w:r>
      <w:r w:rsidR="007B72E4" w:rsidRPr="003D1E07">
        <w:rPr>
          <w:rStyle w:val="FontStyle129"/>
          <w:rFonts w:ascii="Calibri" w:hAnsi="Calibri"/>
          <w:i/>
          <w:sz w:val="24"/>
        </w:rPr>
        <w:t>De anima</w:t>
      </w:r>
      <w:r w:rsidR="007B72E4" w:rsidRPr="003D1E07">
        <w:rPr>
          <w:rStyle w:val="FontStyle129"/>
          <w:rFonts w:ascii="Calibri" w:hAnsi="Calibri"/>
          <w:sz w:val="24"/>
        </w:rPr>
        <w:t xml:space="preserve"> 431b21</w:t>
      </w:r>
      <w:r w:rsidR="007B72E4" w:rsidRPr="003D1E07">
        <w:rPr>
          <w:rStyle w:val="FontStyle129"/>
          <w:rFonts w:ascii="Calibri" w:hAnsi="Calibri"/>
          <w:i/>
          <w:sz w:val="24"/>
        </w:rPr>
        <w:fldChar w:fldCharType="begin"/>
      </w:r>
      <w:r w:rsidR="007B72E4" w:rsidRPr="003D1E07">
        <w:instrText xml:space="preserve"> XE "Aristoteles:</w:instrText>
      </w:r>
      <w:r w:rsidR="007B72E4" w:rsidRPr="003D1E07">
        <w:rPr>
          <w:rStyle w:val="FontStyle129"/>
          <w:rFonts w:ascii="Calibri" w:hAnsi="Calibri"/>
          <w:i/>
          <w:sz w:val="24"/>
        </w:rPr>
        <w:instrText>De anima</w:instrText>
      </w:r>
      <w:r w:rsidR="007B72E4" w:rsidRPr="003D1E07">
        <w:rPr>
          <w:rStyle w:val="FontStyle129"/>
          <w:rFonts w:ascii="Calibri" w:hAnsi="Calibri"/>
          <w:sz w:val="24"/>
        </w:rPr>
        <w:instrText xml:space="preserve"> 431b21</w:instrText>
      </w:r>
      <w:r w:rsidR="007B72E4" w:rsidRPr="003D1E07">
        <w:instrText xml:space="preserve">" </w:instrText>
      </w:r>
      <w:r w:rsidR="007B72E4" w:rsidRPr="003D1E07">
        <w:rPr>
          <w:rStyle w:val="FontStyle129"/>
          <w:rFonts w:ascii="Calibri" w:hAnsi="Calibri"/>
          <w:i/>
          <w:sz w:val="24"/>
        </w:rPr>
        <w:fldChar w:fldCharType="end"/>
      </w:r>
      <w:r w:rsidR="08D738C9" w:rsidRPr="003D1E07">
        <w:t xml:space="preserve">) může duše </w:t>
      </w:r>
      <w:r w:rsidR="007B72E4" w:rsidRPr="003D1E07">
        <w:t>přijmout</w:t>
      </w:r>
      <w:r w:rsidR="007B72E4">
        <w:t xml:space="preserve"> univerzální poznání světa?</w:t>
      </w:r>
      <w:r w:rsidR="08D738C9" w:rsidRPr="003D1E07">
        <w:rPr>
          <w:rStyle w:val="FontStyle129"/>
          <w:rFonts w:ascii="Calibri" w:hAnsi="Calibri"/>
          <w:sz w:val="24"/>
        </w:rPr>
        <w:t xml:space="preserve"> </w:t>
      </w:r>
      <w:r w:rsidR="00D24C12">
        <w:rPr>
          <w:rStyle w:val="FontStyle129"/>
          <w:rFonts w:ascii="Calibri" w:hAnsi="Calibri"/>
          <w:sz w:val="24"/>
        </w:rPr>
        <w:t xml:space="preserve">Odpověď má objektivní a tedy plně mytopoetický charakter. </w:t>
      </w:r>
      <w:r w:rsidR="08D738C9" w:rsidRPr="003D1E07">
        <w:rPr>
          <w:rStyle w:val="FontStyle129"/>
          <w:rFonts w:ascii="Calibri" w:hAnsi="Calibri"/>
          <w:sz w:val="24"/>
        </w:rPr>
        <w:t>Vyšší intelekt (</w:t>
      </w:r>
      <w:r w:rsidR="08D738C9" w:rsidRPr="003D1E07">
        <w:rPr>
          <w:rStyle w:val="FontStyle129"/>
          <w:rFonts w:ascii="Calibri" w:hAnsi="Calibri"/>
          <w:i/>
          <w:sz w:val="24"/>
        </w:rPr>
        <w:t>intellectus agens</w:t>
      </w:r>
      <w:r w:rsidR="08D738C9" w:rsidRPr="003D1E07">
        <w:rPr>
          <w:rStyle w:val="FontStyle129"/>
          <w:rFonts w:ascii="Calibri" w:hAnsi="Calibri"/>
          <w:i/>
          <w:sz w:val="24"/>
        </w:rPr>
        <w:fldChar w:fldCharType="begin"/>
      </w:r>
      <w:r w:rsidR="08D738C9" w:rsidRPr="003D1E07">
        <w:instrText xml:space="preserve"> XE "</w:instrText>
      </w:r>
      <w:r w:rsidR="08D738C9" w:rsidRPr="003D1E07">
        <w:rPr>
          <w:i/>
        </w:rPr>
        <w:instrText>intellectus agens</w:instrText>
      </w:r>
      <w:r w:rsidR="08D738C9" w:rsidRPr="003D1E07">
        <w:instrText xml:space="preserve">:Avicenna" </w:instrText>
      </w:r>
      <w:r w:rsidR="08D738C9" w:rsidRPr="003D1E07">
        <w:rPr>
          <w:rStyle w:val="FontStyle129"/>
          <w:rFonts w:ascii="Calibri" w:hAnsi="Calibri"/>
          <w:i/>
          <w:sz w:val="24"/>
        </w:rPr>
        <w:fldChar w:fldCharType="end"/>
      </w:r>
      <w:r w:rsidR="08D738C9" w:rsidRPr="003D1E07">
        <w:rPr>
          <w:rStyle w:val="FontStyle129"/>
          <w:rFonts w:ascii="Calibri" w:hAnsi="Calibri"/>
          <w:sz w:val="24"/>
        </w:rPr>
        <w:t xml:space="preserve">) transformuje individuální materiální intelekt tak, aby mohl přijmout čisté formy abstrahované ze světa oddělených inteligencí. Abstrakce v novém pojetí znamená darování forem podle modu přijímající duše, a tím pozvedá duši do světa nemateriálních sfér. </w:t>
      </w:r>
      <w:r w:rsidR="005C7BAC" w:rsidRPr="003D1E07">
        <w:t xml:space="preserve"> </w:t>
      </w:r>
      <w:r w:rsidR="00170DED" w:rsidRPr="003D1E07">
        <w:rPr>
          <w:rStyle w:val="FontStyle129"/>
          <w:rFonts w:ascii="Calibri" w:hAnsi="Calibri"/>
          <w:sz w:val="24"/>
        </w:rPr>
        <w:t xml:space="preserve">Od Avicenny se </w:t>
      </w:r>
      <w:r w:rsidR="082A1E17" w:rsidRPr="003D1E07">
        <w:rPr>
          <w:rStyle w:val="FontStyle129"/>
          <w:rFonts w:ascii="Calibri" w:hAnsi="Calibri"/>
          <w:sz w:val="24"/>
        </w:rPr>
        <w:t xml:space="preserve">proces abstrakce </w:t>
      </w:r>
      <w:r w:rsidR="00170DED" w:rsidRPr="003D1E07">
        <w:rPr>
          <w:rStyle w:val="FontStyle129"/>
          <w:rFonts w:ascii="Calibri" w:hAnsi="Calibri"/>
          <w:sz w:val="24"/>
        </w:rPr>
        <w:t xml:space="preserve">stal aktivním duševním dějem napojeným na sebereflexi duše, zatímco </w:t>
      </w:r>
      <w:r w:rsidR="009170A1" w:rsidRPr="003D1E07">
        <w:rPr>
          <w:rStyle w:val="FontStyle129"/>
          <w:rFonts w:ascii="Calibri" w:hAnsi="Calibri"/>
          <w:sz w:val="24"/>
        </w:rPr>
        <w:t>Al-</w:t>
      </w:r>
      <w:r w:rsidR="008E02F5" w:rsidRPr="003D1E07">
        <w:rPr>
          <w:rStyle w:val="FontStyle129"/>
          <w:rFonts w:ascii="Calibri" w:hAnsi="Calibri"/>
          <w:sz w:val="24"/>
        </w:rPr>
        <w:t>Fárábí</w:t>
      </w:r>
      <w:r w:rsidR="009170A1" w:rsidRPr="003D1E07">
        <w:rPr>
          <w:rStyle w:val="FontStyle129"/>
          <w:rFonts w:ascii="Calibri" w:hAnsi="Calibri"/>
          <w:sz w:val="24"/>
        </w:rPr>
        <w:t xml:space="preserve"> trval podle litery a duchu </w:t>
      </w:r>
      <w:r w:rsidR="009170A1" w:rsidRPr="003D1E07">
        <w:rPr>
          <w:rStyle w:val="FontStyle129"/>
          <w:rFonts w:ascii="Calibri" w:hAnsi="Calibri"/>
          <w:i/>
          <w:sz w:val="24"/>
        </w:rPr>
        <w:t>De anima</w:t>
      </w:r>
      <w:r w:rsidR="009170A1" w:rsidRPr="003D1E07">
        <w:rPr>
          <w:rStyle w:val="FontStyle129"/>
          <w:rFonts w:ascii="Calibri" w:hAnsi="Calibri"/>
          <w:sz w:val="24"/>
        </w:rPr>
        <w:t xml:space="preserve"> na </w:t>
      </w:r>
      <w:r w:rsidR="007966E5" w:rsidRPr="003D1E07">
        <w:rPr>
          <w:rStyle w:val="FontStyle129"/>
          <w:rFonts w:ascii="Calibri" w:hAnsi="Calibri"/>
          <w:sz w:val="24"/>
        </w:rPr>
        <w:t>primárně-</w:t>
      </w:r>
      <w:r w:rsidR="00170DED" w:rsidRPr="003D1E07">
        <w:rPr>
          <w:rStyle w:val="FontStyle129"/>
          <w:rFonts w:ascii="Calibri" w:hAnsi="Calibri"/>
          <w:sz w:val="24"/>
        </w:rPr>
        <w:t xml:space="preserve">pasivní </w:t>
      </w:r>
      <w:r w:rsidR="0011075B" w:rsidRPr="003D1E07">
        <w:rPr>
          <w:rStyle w:val="FontStyle129"/>
          <w:rFonts w:ascii="Calibri" w:hAnsi="Calibri"/>
          <w:sz w:val="24"/>
        </w:rPr>
        <w:t>recepci</w:t>
      </w:r>
      <w:r w:rsidR="000B265E" w:rsidRPr="003D1E07">
        <w:rPr>
          <w:rStyle w:val="FontStyle129"/>
          <w:rFonts w:ascii="Calibri" w:hAnsi="Calibri"/>
          <w:sz w:val="24"/>
        </w:rPr>
        <w:t xml:space="preserve"> </w:t>
      </w:r>
      <w:r w:rsidR="00170DED" w:rsidRPr="003D1E07">
        <w:rPr>
          <w:rStyle w:val="FontStyle129"/>
          <w:rFonts w:ascii="Calibri" w:hAnsi="Calibri"/>
          <w:sz w:val="24"/>
        </w:rPr>
        <w:t>smyslových představ do materiálního intelektu</w:t>
      </w:r>
      <w:r w:rsidR="00AE6EEC" w:rsidRPr="003D1E07">
        <w:rPr>
          <w:rStyle w:val="FontStyle129"/>
          <w:rFonts w:ascii="Calibri" w:hAnsi="Calibri"/>
          <w:i/>
          <w:sz w:val="24"/>
        </w:rPr>
        <w:fldChar w:fldCharType="begin"/>
      </w:r>
      <w:r w:rsidR="00AE6EEC" w:rsidRPr="003D1E07">
        <w:instrText xml:space="preserve"> XE "abstrakce:Avicenna" </w:instrText>
      </w:r>
      <w:r w:rsidR="00AE6EEC" w:rsidRPr="003D1E07">
        <w:rPr>
          <w:rStyle w:val="FontStyle129"/>
          <w:rFonts w:ascii="Calibri" w:hAnsi="Calibri"/>
          <w:i/>
          <w:sz w:val="24"/>
        </w:rPr>
        <w:fldChar w:fldCharType="end"/>
      </w:r>
      <w:r w:rsidR="00170DED" w:rsidRPr="003D1E07">
        <w:rPr>
          <w:rStyle w:val="FontStyle129"/>
          <w:rFonts w:ascii="Calibri" w:hAnsi="Calibri"/>
          <w:sz w:val="24"/>
        </w:rPr>
        <w:t xml:space="preserve">. </w:t>
      </w:r>
      <w:r w:rsidR="08F84EA5" w:rsidRPr="003D1E07">
        <w:rPr>
          <w:rStyle w:val="FontStyle129"/>
          <w:rFonts w:ascii="Calibri" w:hAnsi="Calibri"/>
          <w:sz w:val="24"/>
        </w:rPr>
        <w:t xml:space="preserve">Duše spojená s </w:t>
      </w:r>
      <w:r w:rsidR="00303C6F" w:rsidRPr="003D1E07">
        <w:rPr>
          <w:rStyle w:val="FontStyle129"/>
          <w:rFonts w:ascii="Calibri" w:hAnsi="Calibri"/>
          <w:sz w:val="24"/>
        </w:rPr>
        <w:t>receptivní částí inte</w:t>
      </w:r>
      <w:r w:rsidR="00853B26" w:rsidRPr="003D1E07">
        <w:rPr>
          <w:rStyle w:val="FontStyle129"/>
          <w:rFonts w:ascii="Calibri" w:hAnsi="Calibri"/>
          <w:sz w:val="24"/>
        </w:rPr>
        <w:t>n</w:t>
      </w:r>
      <w:r w:rsidR="00303C6F" w:rsidRPr="003D1E07">
        <w:rPr>
          <w:rStyle w:val="FontStyle129"/>
          <w:rFonts w:ascii="Calibri" w:hAnsi="Calibri"/>
          <w:sz w:val="24"/>
        </w:rPr>
        <w:t>cionality obrácen</w:t>
      </w:r>
      <w:r w:rsidR="00853B26" w:rsidRPr="003D1E07">
        <w:rPr>
          <w:rStyle w:val="FontStyle129"/>
          <w:rFonts w:ascii="Calibri" w:hAnsi="Calibri"/>
          <w:sz w:val="24"/>
        </w:rPr>
        <w:t>é</w:t>
      </w:r>
      <w:r w:rsidR="00303C6F" w:rsidRPr="003D1E07">
        <w:rPr>
          <w:rStyle w:val="FontStyle129"/>
          <w:rFonts w:ascii="Calibri" w:hAnsi="Calibri"/>
          <w:sz w:val="24"/>
        </w:rPr>
        <w:t xml:space="preserve"> ke smyslům (</w:t>
      </w:r>
      <w:r w:rsidR="08F84EA5" w:rsidRPr="003D1E07">
        <w:rPr>
          <w:rStyle w:val="FontStyle129"/>
          <w:rFonts w:ascii="Calibri" w:hAnsi="Calibri"/>
          <w:i/>
          <w:sz w:val="24"/>
        </w:rPr>
        <w:t xml:space="preserve">intellectus </w:t>
      </w:r>
      <w:r w:rsidR="00A875AD" w:rsidRPr="003D1E07">
        <w:rPr>
          <w:rStyle w:val="FontStyle129"/>
          <w:rFonts w:ascii="Calibri" w:hAnsi="Calibri"/>
          <w:i/>
          <w:sz w:val="24"/>
        </w:rPr>
        <w:t xml:space="preserve">in </w:t>
      </w:r>
      <w:r w:rsidR="08F84EA5" w:rsidRPr="003D1E07">
        <w:rPr>
          <w:rStyle w:val="FontStyle129"/>
          <w:rFonts w:ascii="Calibri" w:hAnsi="Calibri"/>
          <w:i/>
          <w:sz w:val="24"/>
        </w:rPr>
        <w:t>po</w:t>
      </w:r>
      <w:r w:rsidR="08B91ED6" w:rsidRPr="003D1E07">
        <w:rPr>
          <w:rStyle w:val="FontStyle129"/>
          <w:rFonts w:ascii="Calibri" w:hAnsi="Calibri"/>
          <w:i/>
          <w:sz w:val="24"/>
        </w:rPr>
        <w:t>tenc</w:t>
      </w:r>
      <w:r w:rsidR="00A875AD" w:rsidRPr="003D1E07">
        <w:rPr>
          <w:rStyle w:val="FontStyle129"/>
          <w:rFonts w:ascii="Calibri" w:hAnsi="Calibri"/>
          <w:i/>
          <w:sz w:val="24"/>
        </w:rPr>
        <w:t>ia</w:t>
      </w:r>
      <w:r w:rsidR="00303C6F" w:rsidRPr="003D1E07">
        <w:rPr>
          <w:rStyle w:val="FontStyle129"/>
          <w:rFonts w:ascii="Calibri" w:hAnsi="Calibri"/>
          <w:sz w:val="24"/>
        </w:rPr>
        <w:t>)</w:t>
      </w:r>
      <w:r w:rsidR="00A875AD" w:rsidRPr="003D1E07">
        <w:rPr>
          <w:rStyle w:val="FontStyle129"/>
          <w:rFonts w:ascii="Calibri" w:hAnsi="Calibri"/>
          <w:i/>
          <w:sz w:val="24"/>
        </w:rPr>
        <w:t xml:space="preserve"> </w:t>
      </w:r>
      <w:r w:rsidR="0011075B" w:rsidRPr="003D1E07">
        <w:rPr>
          <w:rStyle w:val="FontStyle129"/>
          <w:rFonts w:ascii="Calibri" w:hAnsi="Calibri"/>
          <w:sz w:val="24"/>
        </w:rPr>
        <w:t xml:space="preserve">byla pasivní, a tím plně receptivní, </w:t>
      </w:r>
      <w:r w:rsidR="08F84EA5" w:rsidRPr="003D1E07">
        <w:rPr>
          <w:rStyle w:val="FontStyle129"/>
          <w:rFonts w:ascii="Calibri" w:hAnsi="Calibri"/>
          <w:sz w:val="24"/>
        </w:rPr>
        <w:t xml:space="preserve">podle výše uvedeného vyjádření </w:t>
      </w:r>
      <w:r w:rsidR="0051635B">
        <w:rPr>
          <w:rStyle w:val="FontStyle129"/>
          <w:rFonts w:ascii="Calibri" w:hAnsi="Calibri"/>
          <w:sz w:val="24"/>
        </w:rPr>
        <w:t>„</w:t>
      </w:r>
      <w:r w:rsidR="08F84EA5" w:rsidRPr="003D1E07">
        <w:rPr>
          <w:rStyle w:val="st"/>
          <w:bCs/>
          <w:i/>
        </w:rPr>
        <w:t>anima</w:t>
      </w:r>
      <w:r w:rsidR="08F84EA5" w:rsidRPr="003D1E07">
        <w:rPr>
          <w:rStyle w:val="st"/>
          <w:i/>
        </w:rPr>
        <w:t xml:space="preserve"> est </w:t>
      </w:r>
      <w:r w:rsidR="08F84EA5" w:rsidRPr="003D1E07">
        <w:rPr>
          <w:rStyle w:val="st"/>
          <w:bCs/>
          <w:i/>
        </w:rPr>
        <w:t>quodammodo omnia</w:t>
      </w:r>
      <w:r w:rsidR="0051635B">
        <w:rPr>
          <w:rStyle w:val="st"/>
          <w:bCs/>
        </w:rPr>
        <w:t>“</w:t>
      </w:r>
      <w:r w:rsidR="00511611" w:rsidRPr="003D1E07">
        <w:rPr>
          <w:rStyle w:val="FontStyle129"/>
          <w:rFonts w:ascii="Calibri" w:hAnsi="Calibri"/>
          <w:sz w:val="24"/>
        </w:rPr>
        <w:t xml:space="preserve"> (</w:t>
      </w:r>
      <w:r w:rsidR="00B713C5" w:rsidRPr="003D1E07">
        <w:rPr>
          <w:rStyle w:val="FontStyle129"/>
          <w:rFonts w:ascii="Calibri" w:hAnsi="Calibri"/>
          <w:i/>
          <w:sz w:val="24"/>
        </w:rPr>
        <w:t>De anima</w:t>
      </w:r>
      <w:r w:rsidR="00511611" w:rsidRPr="003D1E07">
        <w:rPr>
          <w:rStyle w:val="FontStyle129"/>
          <w:rFonts w:ascii="Calibri" w:hAnsi="Calibri"/>
          <w:sz w:val="24"/>
        </w:rPr>
        <w:t xml:space="preserve"> 431b21</w:t>
      </w:r>
      <w:r w:rsidR="00AE6EEC" w:rsidRPr="003D1E07">
        <w:rPr>
          <w:rStyle w:val="FontStyle129"/>
          <w:rFonts w:ascii="Calibri" w:hAnsi="Calibri"/>
          <w:i/>
          <w:sz w:val="24"/>
        </w:rPr>
        <w:fldChar w:fldCharType="begin"/>
      </w:r>
      <w:r w:rsidR="00AE6EEC" w:rsidRPr="003D1E07">
        <w:instrText xml:space="preserve"> XE "</w:instrText>
      </w:r>
      <w:r w:rsidR="008E02F5" w:rsidRPr="003D1E07">
        <w:instrText>Aristoteles</w:instrText>
      </w:r>
      <w:r w:rsidR="00AE6EEC" w:rsidRPr="003D1E07">
        <w:instrText>:</w:instrText>
      </w:r>
      <w:r w:rsidR="00AE6EEC" w:rsidRPr="003D1E07">
        <w:rPr>
          <w:rStyle w:val="FontStyle129"/>
          <w:rFonts w:ascii="Calibri" w:hAnsi="Calibri"/>
          <w:i/>
          <w:sz w:val="24"/>
        </w:rPr>
        <w:instrText>De anima</w:instrText>
      </w:r>
      <w:r w:rsidR="00AE6EEC" w:rsidRPr="003D1E07">
        <w:rPr>
          <w:rStyle w:val="FontStyle129"/>
          <w:rFonts w:ascii="Calibri" w:hAnsi="Calibri"/>
          <w:sz w:val="24"/>
        </w:rPr>
        <w:instrText xml:space="preserve"> 431b21</w:instrText>
      </w:r>
      <w:r w:rsidR="00AE6EEC" w:rsidRPr="003D1E07">
        <w:instrText xml:space="preserve">" </w:instrText>
      </w:r>
      <w:r w:rsidR="00AE6EEC" w:rsidRPr="003D1E07">
        <w:rPr>
          <w:rStyle w:val="FontStyle129"/>
          <w:rFonts w:ascii="Calibri" w:hAnsi="Calibri"/>
          <w:i/>
          <w:sz w:val="24"/>
        </w:rPr>
        <w:fldChar w:fldCharType="end"/>
      </w:r>
      <w:r w:rsidR="00511611" w:rsidRPr="003D1E07">
        <w:rPr>
          <w:rStyle w:val="FontStyle129"/>
          <w:rFonts w:ascii="Calibri" w:hAnsi="Calibri"/>
          <w:sz w:val="24"/>
        </w:rPr>
        <w:t>)</w:t>
      </w:r>
      <w:r w:rsidR="08F84EA5" w:rsidRPr="003D1E07">
        <w:rPr>
          <w:rStyle w:val="FontStyle129"/>
          <w:rFonts w:ascii="Calibri" w:hAnsi="Calibri"/>
          <w:sz w:val="24"/>
        </w:rPr>
        <w:t xml:space="preserve">. </w:t>
      </w:r>
      <w:r w:rsidR="08D43C81" w:rsidRPr="003D1E07">
        <w:t xml:space="preserve">Nová forma </w:t>
      </w:r>
      <w:r w:rsidR="00170DED" w:rsidRPr="003D1E07">
        <w:rPr>
          <w:rStyle w:val="FontStyle129"/>
          <w:rFonts w:ascii="Calibri" w:hAnsi="Calibri"/>
          <w:sz w:val="24"/>
        </w:rPr>
        <w:t xml:space="preserve">abstrakce vytváří díky avicennovskému </w:t>
      </w:r>
      <w:r w:rsidR="00170DED" w:rsidRPr="003D1E07">
        <w:rPr>
          <w:rStyle w:val="FontStyle129"/>
          <w:rFonts w:ascii="Calibri" w:hAnsi="Calibri"/>
          <w:i/>
          <w:sz w:val="24"/>
        </w:rPr>
        <w:t>Aufhebung</w:t>
      </w:r>
      <w:r w:rsidR="009442F9" w:rsidRPr="003D1E07">
        <w:rPr>
          <w:rStyle w:val="FontStyle129"/>
          <w:rFonts w:ascii="Calibri" w:hAnsi="Calibri"/>
          <w:i/>
          <w:sz w:val="24"/>
        </w:rPr>
        <w:fldChar w:fldCharType="begin"/>
      </w:r>
      <w:r w:rsidR="009442F9" w:rsidRPr="003D1E07">
        <w:instrText xml:space="preserve"> XE "</w:instrText>
      </w:r>
      <w:r w:rsidR="009442F9" w:rsidRPr="003D1E07">
        <w:rPr>
          <w:i/>
        </w:rPr>
        <w:instrText>Aufhebung</w:instrText>
      </w:r>
      <w:r w:rsidR="009442F9" w:rsidRPr="003D1E07">
        <w:instrText xml:space="preserve">" </w:instrText>
      </w:r>
      <w:r w:rsidR="009442F9" w:rsidRPr="003D1E07">
        <w:rPr>
          <w:rStyle w:val="FontStyle129"/>
          <w:rFonts w:ascii="Calibri" w:hAnsi="Calibri"/>
          <w:i/>
          <w:sz w:val="24"/>
        </w:rPr>
        <w:fldChar w:fldCharType="end"/>
      </w:r>
      <w:r w:rsidR="00170DED" w:rsidRPr="003D1E07">
        <w:rPr>
          <w:rStyle w:val="FontStyle129"/>
          <w:rFonts w:ascii="Calibri" w:hAnsi="Calibri"/>
          <w:sz w:val="24"/>
        </w:rPr>
        <w:t xml:space="preserve"> původní arist</w:t>
      </w:r>
      <w:r w:rsidR="08DE135C" w:rsidRPr="003D1E07">
        <w:rPr>
          <w:rStyle w:val="FontStyle129"/>
          <w:rFonts w:ascii="Calibri" w:hAnsi="Calibri"/>
          <w:sz w:val="24"/>
        </w:rPr>
        <w:t>otelské</w:t>
      </w:r>
      <w:r w:rsidR="00170DED" w:rsidRPr="003D1E07">
        <w:rPr>
          <w:rStyle w:val="FontStyle129"/>
          <w:rFonts w:ascii="Calibri" w:hAnsi="Calibri"/>
          <w:sz w:val="24"/>
        </w:rPr>
        <w:t xml:space="preserve"> abstrakce i nové pojetí poznání realizované v interakci mezi </w:t>
      </w:r>
      <w:r w:rsidR="00170DED" w:rsidRPr="003D1E07">
        <w:rPr>
          <w:rStyle w:val="FontStyle129"/>
          <w:rFonts w:ascii="Calibri" w:hAnsi="Calibri"/>
          <w:i/>
          <w:sz w:val="24"/>
        </w:rPr>
        <w:t>intellectus adeptus</w:t>
      </w:r>
      <w:r w:rsidR="00170DED" w:rsidRPr="003D1E07">
        <w:rPr>
          <w:rStyle w:val="FontStyle129"/>
          <w:rFonts w:ascii="Calibri" w:hAnsi="Calibri"/>
          <w:sz w:val="24"/>
        </w:rPr>
        <w:t xml:space="preserve"> a </w:t>
      </w:r>
      <w:r w:rsidR="00170DED" w:rsidRPr="003D1E07">
        <w:rPr>
          <w:rStyle w:val="FontStyle129"/>
          <w:rFonts w:ascii="Calibri" w:hAnsi="Calibri"/>
          <w:i/>
          <w:sz w:val="24"/>
        </w:rPr>
        <w:t>intellectus agens</w:t>
      </w:r>
      <w:r w:rsidR="00DF1F0F" w:rsidRPr="003D1E07">
        <w:rPr>
          <w:rStyle w:val="FontStyle129"/>
          <w:rFonts w:ascii="Calibri" w:hAnsi="Calibri"/>
          <w:i/>
          <w:sz w:val="24"/>
        </w:rPr>
        <w:fldChar w:fldCharType="begin"/>
      </w:r>
      <w:r w:rsidR="00DF1F0F" w:rsidRPr="003D1E07">
        <w:instrText xml:space="preserve"> XE "</w:instrText>
      </w:r>
      <w:r w:rsidR="00DF1F0F" w:rsidRPr="003D1E07">
        <w:rPr>
          <w:i/>
        </w:rPr>
        <w:instrText>intellectus agens:</w:instrText>
      </w:r>
      <w:r w:rsidR="00DF1F0F" w:rsidRPr="003D1E07">
        <w:instrText xml:space="preserve">neoplatonismus" </w:instrText>
      </w:r>
      <w:r w:rsidR="00DF1F0F" w:rsidRPr="003D1E07">
        <w:rPr>
          <w:rStyle w:val="FontStyle129"/>
          <w:rFonts w:ascii="Calibri" w:hAnsi="Calibri"/>
          <w:i/>
          <w:sz w:val="24"/>
        </w:rPr>
        <w:fldChar w:fldCharType="end"/>
      </w:r>
      <w:r w:rsidR="00170DED" w:rsidRPr="003D1E07">
        <w:rPr>
          <w:rStyle w:val="FontStyle129"/>
          <w:rFonts w:ascii="Calibri" w:hAnsi="Calibri"/>
          <w:sz w:val="24"/>
        </w:rPr>
        <w:t xml:space="preserve">. </w:t>
      </w:r>
      <w:r w:rsidR="005A2B9E" w:rsidRPr="003D1E07">
        <w:t>Díky nasvícení poznání zezadu</w:t>
      </w:r>
      <w:r w:rsidR="00170DED" w:rsidRPr="003D1E07">
        <w:t xml:space="preserve">, tedy z vnějšího zdroje, má darovaný intelekt podobnou </w:t>
      </w:r>
      <w:r w:rsidR="00B92976" w:rsidRPr="003D1E07">
        <w:t xml:space="preserve">aktualitu a </w:t>
      </w:r>
      <w:r w:rsidR="00170DED" w:rsidRPr="003D1E07">
        <w:t xml:space="preserve">schopnost sebereflexe jako </w:t>
      </w:r>
      <w:r w:rsidR="08AF408C" w:rsidRPr="003D1E07">
        <w:t xml:space="preserve">oddělený </w:t>
      </w:r>
      <w:r w:rsidR="08D05193" w:rsidRPr="003D1E07">
        <w:t xml:space="preserve">kosmický </w:t>
      </w:r>
      <w:r w:rsidR="00170DED" w:rsidRPr="003D1E07">
        <w:rPr>
          <w:i/>
        </w:rPr>
        <w:t>intellectus agens</w:t>
      </w:r>
      <w:r w:rsidR="000B007A">
        <w:t>.</w:t>
      </w:r>
    </w:p>
    <w:p w14:paraId="0B8DD1AB" w14:textId="5E5FBEF8" w:rsidR="00CF23A1" w:rsidRDefault="00720954" w:rsidP="00CD12D4">
      <w:pPr>
        <w:ind w:firstLine="397"/>
        <w:rPr>
          <w:rStyle w:val="FontStyle129"/>
          <w:rFonts w:ascii="Calibri" w:hAnsi="Calibri"/>
          <w:sz w:val="24"/>
        </w:rPr>
      </w:pPr>
      <w:r>
        <w:t>D</w:t>
      </w:r>
      <w:r w:rsidRPr="003D1E07">
        <w:t>vojí forma představivosti</w:t>
      </w:r>
      <w:r>
        <w:t xml:space="preserve"> </w:t>
      </w:r>
      <w:r w:rsidRPr="003D1E07">
        <w:t xml:space="preserve">hraje </w:t>
      </w:r>
      <w:r>
        <w:t>k</w:t>
      </w:r>
      <w:r w:rsidR="00F07A4B" w:rsidRPr="003D1E07">
        <w:t xml:space="preserve">líčovou roli v transformaci </w:t>
      </w:r>
      <w:r w:rsidR="00F165A2" w:rsidRPr="003D1E07">
        <w:t>intelektu na subsistentní hypo</w:t>
      </w:r>
      <w:r w:rsidR="08CA5C4F" w:rsidRPr="003D1E07">
        <w:t xml:space="preserve">stázi (Descartova </w:t>
      </w:r>
      <w:r w:rsidR="00F165A2" w:rsidRPr="003D1E07">
        <w:rPr>
          <w:i/>
        </w:rPr>
        <w:t>res cogitans</w:t>
      </w:r>
      <w:r w:rsidR="009A1BD1" w:rsidRPr="003D1E07">
        <w:rPr>
          <w:i/>
        </w:rPr>
        <w:fldChar w:fldCharType="begin"/>
      </w:r>
      <w:r w:rsidR="009A1BD1" w:rsidRPr="003D1E07">
        <w:instrText xml:space="preserve"> XE "</w:instrText>
      </w:r>
      <w:r w:rsidR="009A1BD1" w:rsidRPr="003D1E07">
        <w:rPr>
          <w:i/>
        </w:rPr>
        <w:instrText>res cogitans</w:instrText>
      </w:r>
      <w:r w:rsidR="009A1BD1" w:rsidRPr="003D1E07">
        <w:instrText xml:space="preserve">" </w:instrText>
      </w:r>
      <w:r w:rsidR="009A1BD1" w:rsidRPr="003D1E07">
        <w:rPr>
          <w:i/>
        </w:rPr>
        <w:fldChar w:fldCharType="end"/>
      </w:r>
      <w:r>
        <w:t>)</w:t>
      </w:r>
      <w:r w:rsidR="00F07A4B" w:rsidRPr="003D1E07">
        <w:t>. Vyšší forma imaginace je napojena na svět kosmických duší a tvoří základ prorockého vidění.</w:t>
      </w:r>
      <w:r w:rsidR="00F07A4B" w:rsidRPr="003D1E07">
        <w:rPr>
          <w:rStyle w:val="Znakapoznpodarou"/>
          <w:szCs w:val="18"/>
        </w:rPr>
        <w:footnoteReference w:id="137"/>
      </w:r>
      <w:r w:rsidR="00F07A4B" w:rsidRPr="003D1E07">
        <w:t xml:space="preserve"> </w:t>
      </w:r>
      <w:r w:rsidR="00170DED" w:rsidRPr="003D1E07">
        <w:t xml:space="preserve">Toto přímé poznání forem má charakter mystického poznání, jehož vzorem je </w:t>
      </w:r>
      <w:r w:rsidR="00170DED" w:rsidRPr="003D1E07">
        <w:rPr>
          <w:i/>
        </w:rPr>
        <w:t>intellectus sanctus</w:t>
      </w:r>
      <w:r w:rsidR="00AE6EEC" w:rsidRPr="003D1E07">
        <w:rPr>
          <w:i/>
        </w:rPr>
        <w:fldChar w:fldCharType="begin"/>
      </w:r>
      <w:r w:rsidR="00AE6EEC" w:rsidRPr="003D1E07">
        <w:instrText xml:space="preserve"> XE "</w:instrText>
      </w:r>
      <w:r w:rsidR="00AE6EEC" w:rsidRPr="003D1E07">
        <w:rPr>
          <w:i/>
        </w:rPr>
        <w:instrText>intellectus sanctus</w:instrText>
      </w:r>
      <w:r w:rsidR="00AE6EEC" w:rsidRPr="003D1E07">
        <w:instrText xml:space="preserve">" </w:instrText>
      </w:r>
      <w:r w:rsidR="00AE6EEC" w:rsidRPr="003D1E07">
        <w:rPr>
          <w:i/>
        </w:rPr>
        <w:fldChar w:fldCharType="end"/>
      </w:r>
      <w:r w:rsidR="00170DED" w:rsidRPr="003D1E07">
        <w:t xml:space="preserve"> poznávající skrze </w:t>
      </w:r>
      <w:r w:rsidR="00170DED" w:rsidRPr="003D1E07">
        <w:rPr>
          <w:i/>
        </w:rPr>
        <w:t>virtus sancta</w:t>
      </w:r>
      <w:r w:rsidR="00B14561" w:rsidRPr="003D1E07">
        <w:t xml:space="preserve">. Toto poznání probíhá v </w:t>
      </w:r>
      <w:r w:rsidR="00170DED" w:rsidRPr="003D1E07">
        <w:t xml:space="preserve">rámci </w:t>
      </w:r>
      <w:r w:rsidR="00B14561" w:rsidRPr="003D1E07">
        <w:t xml:space="preserve">nejvyšší formy iluminace dané </w:t>
      </w:r>
      <w:r w:rsidR="00170DED" w:rsidRPr="003D1E07">
        <w:t xml:space="preserve">jako </w:t>
      </w:r>
      <w:r w:rsidR="00170DED" w:rsidRPr="003D1E07">
        <w:rPr>
          <w:i/>
        </w:rPr>
        <w:t>modus prophetiae</w:t>
      </w:r>
      <w:r w:rsidR="00603D63" w:rsidRPr="003D1E07">
        <w:rPr>
          <w:i/>
        </w:rPr>
        <w:fldChar w:fldCharType="begin"/>
      </w:r>
      <w:r w:rsidR="00603D63" w:rsidRPr="003D1E07">
        <w:instrText xml:space="preserve"> XE "predikace</w:instrText>
      </w:r>
      <w:r w:rsidR="00603D63" w:rsidRPr="003D1E07">
        <w:rPr>
          <w:i/>
        </w:rPr>
        <w:instrText>:modus prophetiae</w:instrText>
      </w:r>
      <w:r w:rsidR="00603D63" w:rsidRPr="003D1E07">
        <w:instrText xml:space="preserve">" </w:instrText>
      </w:r>
      <w:r w:rsidR="00603D63" w:rsidRPr="003D1E07">
        <w:rPr>
          <w:i/>
        </w:rPr>
        <w:fldChar w:fldCharType="end"/>
      </w:r>
      <w:r w:rsidR="00170DED" w:rsidRPr="003D1E07">
        <w:t>.</w:t>
      </w:r>
      <w:r w:rsidR="00170DED" w:rsidRPr="003D1E07">
        <w:rPr>
          <w:rStyle w:val="Znakapoznpodarou"/>
        </w:rPr>
        <w:footnoteReference w:id="138"/>
      </w:r>
      <w:r w:rsidR="00B14561" w:rsidRPr="003D1E07">
        <w:t xml:space="preserve"> </w:t>
      </w:r>
      <w:r w:rsidR="00170DED" w:rsidRPr="003D1E07">
        <w:t xml:space="preserve">Avicenna </w:t>
      </w:r>
      <w:r w:rsidR="08C042DC" w:rsidRPr="003D1E07">
        <w:t xml:space="preserve">ale </w:t>
      </w:r>
      <w:r w:rsidR="08C042DC" w:rsidRPr="003D1E07">
        <w:lastRenderedPageBreak/>
        <w:t xml:space="preserve">přesto </w:t>
      </w:r>
      <w:r w:rsidR="00170DED" w:rsidRPr="003D1E07">
        <w:t xml:space="preserve">chápe pohyb lidského poznání </w:t>
      </w:r>
      <w:r w:rsidR="08C042DC" w:rsidRPr="003D1E07">
        <w:t xml:space="preserve">i </w:t>
      </w:r>
      <w:r w:rsidR="00170DED" w:rsidRPr="003D1E07">
        <w:t xml:space="preserve">podle potence a aktuality duše exponované v Aristotelově díle </w:t>
      </w:r>
      <w:r w:rsidR="00B713C5" w:rsidRPr="003D1E07">
        <w:rPr>
          <w:i/>
        </w:rPr>
        <w:t>De anima</w:t>
      </w:r>
      <w:r w:rsidR="00170DED" w:rsidRPr="003D1E07">
        <w:t xml:space="preserve">. </w:t>
      </w:r>
      <w:r w:rsidR="00651386" w:rsidRPr="003D1E07">
        <w:t>Nižší formu ab</w:t>
      </w:r>
      <w:r w:rsidR="00853B26" w:rsidRPr="003D1E07">
        <w:t xml:space="preserve">strakce potřebuje proto, aby </w:t>
      </w:r>
      <w:r w:rsidR="00651386" w:rsidRPr="003D1E07">
        <w:t xml:space="preserve">zajistil individuální způsob poznání. </w:t>
      </w:r>
      <w:r w:rsidR="001D287E" w:rsidRPr="003D1E07">
        <w:t>Aktuální výkon poznání v první osobě by nikdy nemohl</w:t>
      </w:r>
      <w:r w:rsidR="00651386" w:rsidRPr="003D1E07">
        <w:t xml:space="preserve"> vzniknout ve světě </w:t>
      </w:r>
      <w:r w:rsidR="00753519" w:rsidRPr="003D1E07">
        <w:t xml:space="preserve">čistého </w:t>
      </w:r>
      <w:r w:rsidR="00651386" w:rsidRPr="003D1E07">
        <w:t xml:space="preserve">náhledu univerzálních forem </w:t>
      </w:r>
      <w:r w:rsidR="00753519" w:rsidRPr="003D1E07">
        <w:t>daného</w:t>
      </w:r>
      <w:r w:rsidR="00651386" w:rsidRPr="003D1E07">
        <w:t xml:space="preserve"> skrze aktualizaci poznání od odděleného kosmického intelektu.</w:t>
      </w:r>
      <w:r w:rsidR="001D287E" w:rsidRPr="003D1E07">
        <w:t xml:space="preserve"> Oddělený </w:t>
      </w:r>
      <w:r w:rsidR="001D287E" w:rsidRPr="003D1E07">
        <w:rPr>
          <w:i/>
        </w:rPr>
        <w:t>intellectus agens</w:t>
      </w:r>
      <w:r w:rsidR="001D287E" w:rsidRPr="003D1E07">
        <w:t xml:space="preserve"> je kosmická aktuální a univerzální forma, proto nemá žádnou možnost individalizace dané pouze aktem lidského myšlení v těle. </w:t>
      </w:r>
      <w:r w:rsidR="00170DED" w:rsidRPr="003D1E07">
        <w:t xml:space="preserve">Duše hnaná aktivním intelektem </w:t>
      </w:r>
      <w:r w:rsidR="001D287E" w:rsidRPr="003D1E07">
        <w:t xml:space="preserve">by byla </w:t>
      </w:r>
      <w:r w:rsidR="00170DED" w:rsidRPr="003D1E07">
        <w:t>jedinou aktuální for</w:t>
      </w:r>
      <w:r w:rsidR="00EB305D" w:rsidRPr="003D1E07">
        <w:t xml:space="preserve">mou všeho myšleného na způsob odděleného </w:t>
      </w:r>
      <w:r w:rsidR="08983569" w:rsidRPr="003D1E07">
        <w:t xml:space="preserve">kosmického </w:t>
      </w:r>
      <w:r w:rsidR="00EB305D" w:rsidRPr="003D1E07">
        <w:rPr>
          <w:i/>
        </w:rPr>
        <w:t>intellectus agens</w:t>
      </w:r>
      <w:r w:rsidR="00EB305D" w:rsidRPr="003D1E07">
        <w:t xml:space="preserve">. Ale pak by </w:t>
      </w:r>
      <w:r w:rsidR="00170DED" w:rsidRPr="003D1E07">
        <w:t>nemohla být pasivním principem</w:t>
      </w:r>
      <w:r w:rsidR="006C3105" w:rsidRPr="003D1E07">
        <w:t xml:space="preserve"> poznání</w:t>
      </w:r>
      <w:r w:rsidR="00170DED" w:rsidRPr="003D1E07">
        <w:t xml:space="preserve">, které skrze materiální intelekt přijímá </w:t>
      </w:r>
      <w:r w:rsidR="006C3105" w:rsidRPr="003D1E07">
        <w:t xml:space="preserve">také </w:t>
      </w:r>
      <w:r w:rsidR="00170DED" w:rsidRPr="003D1E07">
        <w:t xml:space="preserve">smyslové formy. </w:t>
      </w:r>
      <w:r w:rsidR="08F52C96" w:rsidRPr="003D1E07">
        <w:t xml:space="preserve">Proto Avicenna nechal aristotelské </w:t>
      </w:r>
      <w:r w:rsidR="08F52C96" w:rsidRPr="003D1E07">
        <w:rPr>
          <w:i/>
        </w:rPr>
        <w:t>abst</w:t>
      </w:r>
      <w:r w:rsidR="084B414C" w:rsidRPr="003D1E07">
        <w:rPr>
          <w:i/>
        </w:rPr>
        <w:t>r</w:t>
      </w:r>
      <w:r w:rsidR="08F52C96" w:rsidRPr="003D1E07">
        <w:rPr>
          <w:i/>
        </w:rPr>
        <w:t>actio</w:t>
      </w:r>
      <w:r w:rsidR="08F52C96" w:rsidRPr="003D1E07">
        <w:t xml:space="preserve"> ve schématu poznání</w:t>
      </w:r>
      <w:r w:rsidR="002E7A96" w:rsidRPr="003D1E07">
        <w:t xml:space="preserve"> podle svého učitele Al-</w:t>
      </w:r>
      <w:r w:rsidR="008E02F5" w:rsidRPr="003D1E07">
        <w:t>Fárábí</w:t>
      </w:r>
      <w:r w:rsidR="002E7A96" w:rsidRPr="003D1E07">
        <w:t>ho</w:t>
      </w:r>
      <w:r w:rsidR="08983569" w:rsidRPr="003D1E07">
        <w:t xml:space="preserve">. Tím </w:t>
      </w:r>
      <w:r w:rsidR="00137DD3" w:rsidRPr="003D1E07">
        <w:t>zajistil individualizaci intelektu</w:t>
      </w:r>
      <w:r w:rsidR="002E7A96" w:rsidRPr="003D1E07">
        <w:t xml:space="preserve"> ve smyslu </w:t>
      </w:r>
      <w:r w:rsidR="009976BC" w:rsidRPr="003D1E07">
        <w:t xml:space="preserve">hypostázovaného </w:t>
      </w:r>
      <w:r w:rsidR="002E7A96" w:rsidRPr="003D1E07">
        <w:t>substrátu, který nese autonomní poznání intelektuální duše</w:t>
      </w:r>
      <w:r w:rsidR="08F52C96" w:rsidRPr="003D1E07">
        <w:t xml:space="preserve">. </w:t>
      </w:r>
      <w:r w:rsidR="002E7A96" w:rsidRPr="003D1E07">
        <w:t xml:space="preserve">Proto má </w:t>
      </w:r>
      <w:r w:rsidR="002E7A96" w:rsidRPr="003D1E07">
        <w:rPr>
          <w:i/>
        </w:rPr>
        <w:t>intellectus materialis</w:t>
      </w:r>
      <w:r w:rsidR="002E7A96" w:rsidRPr="003D1E07">
        <w:t xml:space="preserve"> individuální charakter na způsob </w:t>
      </w:r>
      <w:r w:rsidR="00520A85" w:rsidRPr="003D1E07">
        <w:t xml:space="preserve">prvotní </w:t>
      </w:r>
      <w:r w:rsidR="002E7A96" w:rsidRPr="003D1E07">
        <w:t>materie.</w:t>
      </w:r>
      <w:r w:rsidR="002E7A96" w:rsidRPr="003D1E07">
        <w:rPr>
          <w:rStyle w:val="Znakapoznpodarou"/>
        </w:rPr>
        <w:footnoteReference w:id="139"/>
      </w:r>
      <w:r w:rsidR="002E7A96" w:rsidRPr="003D1E07">
        <w:t xml:space="preserve"> </w:t>
      </w:r>
      <w:r w:rsidR="08474832" w:rsidRPr="003D1E07">
        <w:t>D</w:t>
      </w:r>
      <w:r w:rsidR="00C3106B" w:rsidRPr="003D1E07">
        <w:t xml:space="preserve">ítě se poznání </w:t>
      </w:r>
      <w:r w:rsidR="00CE0F03" w:rsidRPr="003D1E07">
        <w:t xml:space="preserve">postupně </w:t>
      </w:r>
      <w:r w:rsidR="00C3106B" w:rsidRPr="003D1E07">
        <w:t>učí</w:t>
      </w:r>
      <w:r w:rsidR="00CE76B6" w:rsidRPr="003D1E07">
        <w:t xml:space="preserve"> a </w:t>
      </w:r>
      <w:r w:rsidR="00CE0F03" w:rsidRPr="003D1E07">
        <w:t xml:space="preserve">svou vlastní činností zakládá svůj jedinečný </w:t>
      </w:r>
      <w:r w:rsidR="00CE76B6" w:rsidRPr="003D1E07">
        <w:t xml:space="preserve">intelektuální habitus. Dále platí, že </w:t>
      </w:r>
      <w:r w:rsidR="08853012" w:rsidRPr="003D1E07">
        <w:t>na insti</w:t>
      </w:r>
      <w:r w:rsidR="08474832" w:rsidRPr="003D1E07">
        <w:t>n</w:t>
      </w:r>
      <w:r w:rsidR="08853012" w:rsidRPr="003D1E07">
        <w:t xml:space="preserve">ktivní úrovni máme podobnou strukturu </w:t>
      </w:r>
      <w:r w:rsidR="08F52C96" w:rsidRPr="003D1E07">
        <w:t>smyslového poznání</w:t>
      </w:r>
      <w:r w:rsidR="00014F8E">
        <w:t xml:space="preserve"> </w:t>
      </w:r>
      <w:r w:rsidR="08F52C96" w:rsidRPr="003D1E07">
        <w:t>jako zvířata</w:t>
      </w:r>
      <w:r w:rsidR="001F7BD6" w:rsidRPr="003D1E07">
        <w:t xml:space="preserve"> a jejich poznání je smyslově individualizované</w:t>
      </w:r>
      <w:r w:rsidR="08F52C96" w:rsidRPr="003D1E07">
        <w:t xml:space="preserve">. </w:t>
      </w:r>
      <w:r w:rsidR="00170DED" w:rsidRPr="003D1E07">
        <w:t xml:space="preserve">Ale první patro abstrakce dané </w:t>
      </w:r>
      <w:r w:rsidR="08474832" w:rsidRPr="003D1E07">
        <w:t xml:space="preserve">pasivně </w:t>
      </w:r>
      <w:r w:rsidR="00170DED" w:rsidRPr="003D1E07">
        <w:t>od smyslů nemůže založit skutečné poznání autonomních forem</w:t>
      </w:r>
      <w:r w:rsidR="00E36CD0" w:rsidRPr="003D1E07">
        <w:t xml:space="preserve">, protože </w:t>
      </w:r>
      <w:r w:rsidR="007048B0" w:rsidRPr="003D1E07">
        <w:t xml:space="preserve">smyslová </w:t>
      </w:r>
      <w:r w:rsidR="00E36CD0" w:rsidRPr="003D1E07">
        <w:t>individuace je daná materiálně</w:t>
      </w:r>
      <w:r w:rsidR="00170DED" w:rsidRPr="003D1E07">
        <w:t xml:space="preserve">. Avicennismus vzešlý z neoplatonismu </w:t>
      </w:r>
      <w:r w:rsidR="001A0251" w:rsidRPr="003D1E07">
        <w:t xml:space="preserve">předkládá </w:t>
      </w:r>
      <w:r w:rsidR="00170DED" w:rsidRPr="003D1E07">
        <w:t>jiný scénář osmyslnění jsoucna, než aristotelská abstrakce. Rozdíl je daný i tím, že Avicenna pos</w:t>
      </w:r>
      <w:r w:rsidR="004C5BA6" w:rsidRPr="003D1E07">
        <w:t>tul</w:t>
      </w:r>
      <w:r w:rsidR="00170DED" w:rsidRPr="003D1E07">
        <w:t>uje uchopení středního členu (</w:t>
      </w:r>
      <w:r w:rsidR="00170DED" w:rsidRPr="003D1E07">
        <w:rPr>
          <w:i/>
        </w:rPr>
        <w:t>medium</w:t>
      </w:r>
      <w:r w:rsidR="00610F15" w:rsidRPr="003D1E07">
        <w:rPr>
          <w:i/>
        </w:rPr>
        <w:fldChar w:fldCharType="begin"/>
      </w:r>
      <w:r w:rsidR="00610F15" w:rsidRPr="003D1E07">
        <w:instrText xml:space="preserve"> XE "</w:instrText>
      </w:r>
      <w:r w:rsidR="00610F15" w:rsidRPr="003D1E07">
        <w:rPr>
          <w:i/>
        </w:rPr>
        <w:instrText>medium:</w:instrText>
      </w:r>
      <w:r w:rsidR="08531AAA" w:rsidRPr="003D1E07">
        <w:instrText>Avicenna</w:instrText>
      </w:r>
      <w:r w:rsidR="00610F15" w:rsidRPr="003D1E07">
        <w:instrText xml:space="preserve">" </w:instrText>
      </w:r>
      <w:r w:rsidR="00610F15" w:rsidRPr="003D1E07">
        <w:rPr>
          <w:i/>
        </w:rPr>
        <w:fldChar w:fldCharType="end"/>
      </w:r>
      <w:r w:rsidR="00170DED" w:rsidRPr="003D1E07">
        <w:t xml:space="preserve">) poznávacího </w:t>
      </w:r>
      <w:r w:rsidR="00BB0857" w:rsidRPr="003D1E07">
        <w:t>sylo</w:t>
      </w:r>
      <w:r w:rsidR="00170DED" w:rsidRPr="003D1E07">
        <w:t>gismu (</w:t>
      </w:r>
      <w:r w:rsidR="00170DED" w:rsidRPr="003D1E07">
        <w:rPr>
          <w:i/>
        </w:rPr>
        <w:t>demonstratio</w:t>
      </w:r>
      <w:r w:rsidR="007A6052" w:rsidRPr="003D1E07">
        <w:rPr>
          <w:i/>
        </w:rPr>
        <w:fldChar w:fldCharType="begin"/>
      </w:r>
      <w:r w:rsidR="007A6052" w:rsidRPr="003D1E07">
        <w:instrText xml:space="preserve"> XE "</w:instrText>
      </w:r>
      <w:r w:rsidR="007A6052" w:rsidRPr="003D1E07">
        <w:rPr>
          <w:i/>
        </w:rPr>
        <w:instrText>demonstratio:</w:instrText>
      </w:r>
      <w:r w:rsidR="08531AAA" w:rsidRPr="003D1E07">
        <w:instrText>Avicenna</w:instrText>
      </w:r>
      <w:r w:rsidR="007A6052" w:rsidRPr="003D1E07">
        <w:instrText xml:space="preserve">" </w:instrText>
      </w:r>
      <w:r w:rsidR="007A6052" w:rsidRPr="003D1E07">
        <w:rPr>
          <w:i/>
        </w:rPr>
        <w:fldChar w:fldCharType="end"/>
      </w:r>
      <w:r w:rsidR="00170DED" w:rsidRPr="003D1E07">
        <w:t xml:space="preserve">) jako čistě intuitivní záležitost danou na úrovni vrozených principů poznání, které přímo recipují primární </w:t>
      </w:r>
      <w:r w:rsidR="08CE434A" w:rsidRPr="003D1E07">
        <w:t>intel</w:t>
      </w:r>
      <w:r w:rsidR="00170DED" w:rsidRPr="003D1E07">
        <w:t xml:space="preserve">igibilia. </w:t>
      </w:r>
      <w:r w:rsidR="08642091" w:rsidRPr="003D1E07">
        <w:t xml:space="preserve">Předešlá kapitola popsala </w:t>
      </w:r>
      <w:r w:rsidR="00170DED" w:rsidRPr="003D1E07">
        <w:t xml:space="preserve">termín </w:t>
      </w:r>
      <w:r w:rsidR="00170DED" w:rsidRPr="003D1E07">
        <w:rPr>
          <w:i/>
        </w:rPr>
        <w:t>fiṭra</w:t>
      </w:r>
      <w:r w:rsidR="00C161A5" w:rsidRPr="003D1E07">
        <w:rPr>
          <w:i/>
        </w:rPr>
        <w:fldChar w:fldCharType="begin"/>
      </w:r>
      <w:r w:rsidR="00C161A5" w:rsidRPr="003D1E07">
        <w:instrText xml:space="preserve"> XE "</w:instrText>
      </w:r>
      <w:r w:rsidR="00C161A5" w:rsidRPr="003D1E07">
        <w:rPr>
          <w:i/>
        </w:rPr>
        <w:instrText>fiṭra</w:instrText>
      </w:r>
      <w:r w:rsidR="00C161A5" w:rsidRPr="003D1E07">
        <w:instrText xml:space="preserve">" </w:instrText>
      </w:r>
      <w:r w:rsidR="00C161A5" w:rsidRPr="003D1E07">
        <w:rPr>
          <w:i/>
        </w:rPr>
        <w:fldChar w:fldCharType="end"/>
      </w:r>
      <w:r w:rsidR="00170DED" w:rsidRPr="003D1E07">
        <w:t>, který už u Al-</w:t>
      </w:r>
      <w:r w:rsidR="008E02F5" w:rsidRPr="003D1E07">
        <w:t>Fárábí</w:t>
      </w:r>
      <w:r w:rsidR="00170DED" w:rsidRPr="003D1E07">
        <w:t>ho popisuje intuitivní a přirozenou schopnost rozumu</w:t>
      </w:r>
      <w:r w:rsidR="08531AAA" w:rsidRPr="003D1E07">
        <w:fldChar w:fldCharType="begin"/>
      </w:r>
      <w:r w:rsidR="08531AAA" w:rsidRPr="003D1E07">
        <w:instrText xml:space="preserve"> XE "lidská přirozenost" </w:instrText>
      </w:r>
      <w:r w:rsidR="08531AAA" w:rsidRPr="003D1E07">
        <w:fldChar w:fldCharType="end"/>
      </w:r>
      <w:r w:rsidR="00170DED" w:rsidRPr="003D1E07">
        <w:t xml:space="preserve"> poznávat tím, že činí správné závěry (kap. 2.1.1). </w:t>
      </w:r>
      <w:r w:rsidR="08586E9C" w:rsidRPr="003D1E07">
        <w:t xml:space="preserve">Nižší forma poznání </w:t>
      </w:r>
      <w:r w:rsidR="08B63B7C" w:rsidRPr="003D1E07">
        <w:t>aktualizovaného ze smyslů (</w:t>
      </w:r>
      <w:r w:rsidR="08B63B7C" w:rsidRPr="003D1E07">
        <w:rPr>
          <w:i/>
        </w:rPr>
        <w:t>intellectus in effectu</w:t>
      </w:r>
      <w:r w:rsidR="08B63B7C" w:rsidRPr="003D1E07">
        <w:rPr>
          <w:i/>
        </w:rPr>
        <w:fldChar w:fldCharType="begin"/>
      </w:r>
      <w:r w:rsidR="08B63B7C" w:rsidRPr="003D1E07">
        <w:instrText xml:space="preserve"> XE "</w:instrText>
      </w:r>
      <w:r w:rsidR="08B63B7C" w:rsidRPr="003D1E07">
        <w:rPr>
          <w:i/>
        </w:rPr>
        <w:instrText>intellectus in effectu</w:instrText>
      </w:r>
      <w:r w:rsidR="08B63B7C" w:rsidRPr="003D1E07">
        <w:instrText xml:space="preserve">:Avicenna" </w:instrText>
      </w:r>
      <w:r w:rsidR="08B63B7C" w:rsidRPr="003D1E07">
        <w:rPr>
          <w:i/>
        </w:rPr>
        <w:fldChar w:fldCharType="end"/>
      </w:r>
      <w:r w:rsidR="08B63B7C" w:rsidRPr="003D1E07">
        <w:t xml:space="preserve">) </w:t>
      </w:r>
      <w:r w:rsidR="08586E9C" w:rsidRPr="003D1E07">
        <w:t>vytváří vinou nedokonalé abstrakce od smyslů pouhou podobnost (</w:t>
      </w:r>
      <w:r w:rsidR="08586E9C" w:rsidRPr="003D1E07">
        <w:rPr>
          <w:i/>
        </w:rPr>
        <w:t>similitudo</w:t>
      </w:r>
      <w:r w:rsidR="08586E9C" w:rsidRPr="003D1E07">
        <w:t xml:space="preserve">) smyslově založeného úsudku </w:t>
      </w:r>
      <w:r w:rsidR="084A1B6E" w:rsidRPr="003D1E07">
        <w:t>(</w:t>
      </w:r>
      <w:r w:rsidR="084A1B6E" w:rsidRPr="003D1E07">
        <w:rPr>
          <w:i/>
        </w:rPr>
        <w:t>wahm</w:t>
      </w:r>
      <w:r w:rsidR="00C161A5" w:rsidRPr="003D1E07">
        <w:rPr>
          <w:i/>
        </w:rPr>
        <w:fldChar w:fldCharType="begin"/>
      </w:r>
      <w:r w:rsidR="00C161A5" w:rsidRPr="003D1E07">
        <w:instrText xml:space="preserve"> XE "</w:instrText>
      </w:r>
      <w:r w:rsidR="00C161A5" w:rsidRPr="003D1E07">
        <w:rPr>
          <w:i/>
        </w:rPr>
        <w:instrText>wahm</w:instrText>
      </w:r>
      <w:r w:rsidR="00C161A5" w:rsidRPr="003D1E07">
        <w:instrText xml:space="preserve">" </w:instrText>
      </w:r>
      <w:r w:rsidR="00C161A5" w:rsidRPr="003D1E07">
        <w:rPr>
          <w:i/>
        </w:rPr>
        <w:fldChar w:fldCharType="end"/>
      </w:r>
      <w:r w:rsidR="08DF453B" w:rsidRPr="003D1E07">
        <w:t xml:space="preserve">, </w:t>
      </w:r>
      <w:r w:rsidR="084A1B6E" w:rsidRPr="003D1E07">
        <w:rPr>
          <w:i/>
        </w:rPr>
        <w:t>cogitatio</w:t>
      </w:r>
      <w:r w:rsidR="084A1B6E" w:rsidRPr="003D1E07">
        <w:t xml:space="preserve">) </w:t>
      </w:r>
      <w:r w:rsidR="08586E9C" w:rsidRPr="003D1E07">
        <w:t xml:space="preserve">a poznávané věci. </w:t>
      </w:r>
      <w:r w:rsidR="0039213B" w:rsidRPr="003D1E07">
        <w:t xml:space="preserve">Vnější činný intelekt </w:t>
      </w:r>
      <w:r w:rsidR="0039213B" w:rsidRPr="003D1E07">
        <w:lastRenderedPageBreak/>
        <w:t>(</w:t>
      </w:r>
      <w:r w:rsidR="0039213B" w:rsidRPr="003D1E07">
        <w:rPr>
          <w:i/>
        </w:rPr>
        <w:t>intellectus agens</w:t>
      </w:r>
      <w:r w:rsidR="0039213B" w:rsidRPr="003D1E07">
        <w:t>) jako dárce forem</w:t>
      </w:r>
      <w:r w:rsidR="00524DCB" w:rsidRPr="003D1E07">
        <w:fldChar w:fldCharType="begin"/>
      </w:r>
      <w:r w:rsidR="00524DCB" w:rsidRPr="003D1E07">
        <w:instrText xml:space="preserve"> XE "intelekt:dárce forem" </w:instrText>
      </w:r>
      <w:r w:rsidR="00524DCB" w:rsidRPr="003D1E07">
        <w:fldChar w:fldCharType="end"/>
      </w:r>
      <w:r w:rsidR="0039213B" w:rsidRPr="003D1E07">
        <w:t xml:space="preserve"> zajišťuje, že čistě smyslové poznání reality (</w:t>
      </w:r>
      <w:r w:rsidR="0039213B" w:rsidRPr="003D1E07">
        <w:rPr>
          <w:i/>
        </w:rPr>
        <w:t>similitudo</w:t>
      </w:r>
      <w:r w:rsidR="0039213B" w:rsidRPr="003D1E07">
        <w:t xml:space="preserve">) se stane skutečným </w:t>
      </w:r>
      <w:r w:rsidR="08580BC7" w:rsidRPr="003D1E07">
        <w:t xml:space="preserve">spojením </w:t>
      </w:r>
      <w:r w:rsidR="0039213B" w:rsidRPr="003D1E07">
        <w:t xml:space="preserve">intelektu </w:t>
      </w:r>
      <w:r w:rsidR="08580BC7" w:rsidRPr="003D1E07">
        <w:t xml:space="preserve">se světem </w:t>
      </w:r>
      <w:r w:rsidR="0039213B" w:rsidRPr="003D1E07">
        <w:t>univerzálních forem. Až na této rovině poznání (</w:t>
      </w:r>
      <w:r w:rsidR="0039213B" w:rsidRPr="003D1E07">
        <w:rPr>
          <w:i/>
        </w:rPr>
        <w:t>intellectio</w:t>
      </w:r>
      <w:r w:rsidR="003A18E3">
        <w:rPr>
          <w:i/>
        </w:rPr>
        <w:fldChar w:fldCharType="begin"/>
      </w:r>
      <w:r w:rsidR="003A18E3">
        <w:instrText xml:space="preserve"> XE "</w:instrText>
      </w:r>
      <w:r w:rsidR="003A18E3" w:rsidRPr="00AF0BD5">
        <w:rPr>
          <w:i/>
        </w:rPr>
        <w:instrText>intellectio/intellectum</w:instrText>
      </w:r>
      <w:r w:rsidR="003A18E3">
        <w:instrText xml:space="preserve">" </w:instrText>
      </w:r>
      <w:r w:rsidR="003A18E3">
        <w:rPr>
          <w:i/>
        </w:rPr>
        <w:fldChar w:fldCharType="end"/>
      </w:r>
      <w:r w:rsidR="0039213B" w:rsidRPr="003D1E07">
        <w:t xml:space="preserve">) </w:t>
      </w:r>
      <w:r w:rsidR="083D04DF" w:rsidRPr="003D1E07">
        <w:t xml:space="preserve">se nazírá plná </w:t>
      </w:r>
      <w:r w:rsidR="0039213B" w:rsidRPr="003D1E07">
        <w:t xml:space="preserve">pravda </w:t>
      </w:r>
      <w:r w:rsidR="083D04DF" w:rsidRPr="003D1E07">
        <w:t xml:space="preserve">daná </w:t>
      </w:r>
      <w:r w:rsidR="0039213B" w:rsidRPr="003D1E07">
        <w:t xml:space="preserve">vzhledem k aktuálním poznávaným formám. </w:t>
      </w:r>
      <w:r w:rsidR="083D04DF" w:rsidRPr="003D1E07">
        <w:t xml:space="preserve">Pojetí pravdy není v modu </w:t>
      </w:r>
      <w:r w:rsidR="08A929E0" w:rsidRPr="003D1E07">
        <w:t>aristotelské adek</w:t>
      </w:r>
      <w:r w:rsidR="083D04DF" w:rsidRPr="003D1E07">
        <w:t xml:space="preserve">vace, ale </w:t>
      </w:r>
      <w:r w:rsidR="08A929E0" w:rsidRPr="003D1E07">
        <w:t xml:space="preserve">neoplatonské </w:t>
      </w:r>
      <w:r w:rsidR="083D04DF" w:rsidRPr="003D1E07">
        <w:t xml:space="preserve">unifikace </w:t>
      </w:r>
      <w:r w:rsidR="08545430" w:rsidRPr="003D1E07">
        <w:rPr>
          <w:i/>
        </w:rPr>
        <w:t>anima intellectiva</w:t>
      </w:r>
      <w:r w:rsidR="08545430" w:rsidRPr="003D1E07">
        <w:t xml:space="preserve"> </w:t>
      </w:r>
      <w:r w:rsidR="083D04DF" w:rsidRPr="003D1E07">
        <w:t xml:space="preserve">se světem aktuálních inteligibilních forem. </w:t>
      </w:r>
      <w:r w:rsidR="00982564" w:rsidRPr="003D1E07">
        <w:rPr>
          <w:rStyle w:val="FontStyle129"/>
          <w:rFonts w:ascii="Calibri" w:hAnsi="Calibri"/>
          <w:sz w:val="24"/>
        </w:rPr>
        <w:t>Avicen</w:t>
      </w:r>
      <w:r w:rsidR="0057692F" w:rsidRPr="003D1E07">
        <w:rPr>
          <w:rStyle w:val="FontStyle129"/>
          <w:rFonts w:ascii="Calibri" w:hAnsi="Calibri"/>
          <w:sz w:val="24"/>
        </w:rPr>
        <w:t>na komentuje Aristotelovo pojetí</w:t>
      </w:r>
      <w:r w:rsidR="00982564" w:rsidRPr="003D1E07">
        <w:rPr>
          <w:rStyle w:val="FontStyle129"/>
          <w:rFonts w:ascii="Calibri" w:hAnsi="Calibri"/>
          <w:sz w:val="24"/>
        </w:rPr>
        <w:t xml:space="preserve"> abstrakce </w:t>
      </w:r>
      <w:r w:rsidR="00874074" w:rsidRPr="003D1E07">
        <w:rPr>
          <w:rStyle w:val="FontStyle129"/>
          <w:rFonts w:ascii="Calibri" w:hAnsi="Calibri"/>
          <w:sz w:val="24"/>
        </w:rPr>
        <w:t>neoplatonsk</w:t>
      </w:r>
      <w:r w:rsidR="00982564" w:rsidRPr="003D1E07">
        <w:rPr>
          <w:rStyle w:val="FontStyle129"/>
          <w:rFonts w:ascii="Calibri" w:hAnsi="Calibri"/>
          <w:sz w:val="24"/>
        </w:rPr>
        <w:t>ým způsobem a mluví o dvou tvářích duše</w:t>
      </w:r>
      <w:r w:rsidR="00171B29" w:rsidRPr="003D1E07">
        <w:fldChar w:fldCharType="begin"/>
      </w:r>
      <w:r w:rsidR="00171B29" w:rsidRPr="003D1E07">
        <w:instrText xml:space="preserve"> XE "osoba:dualismus" </w:instrText>
      </w:r>
      <w:r w:rsidR="00171B29" w:rsidRPr="003D1E07">
        <w:fldChar w:fldCharType="end"/>
      </w:r>
      <w:r w:rsidR="00982564" w:rsidRPr="003D1E07">
        <w:rPr>
          <w:rStyle w:val="FontStyle129"/>
          <w:rFonts w:ascii="Calibri" w:hAnsi="Calibri"/>
          <w:sz w:val="24"/>
        </w:rPr>
        <w:t xml:space="preserve"> (D'Ancona </w:t>
      </w:r>
      <w:r w:rsidR="00E407DC" w:rsidRPr="003D1E07">
        <w:rPr>
          <w:rStyle w:val="FontStyle129"/>
          <w:rFonts w:ascii="Calibri" w:hAnsi="Calibri"/>
          <w:sz w:val="24"/>
        </w:rPr>
        <w:t xml:space="preserve">2008, </w:t>
      </w:r>
      <w:r w:rsidR="00982564" w:rsidRPr="003D1E07">
        <w:rPr>
          <w:rStyle w:val="FontStyle129"/>
          <w:rFonts w:ascii="Calibri" w:hAnsi="Calibri"/>
          <w:sz w:val="24"/>
        </w:rPr>
        <w:t xml:space="preserve">55‒56). </w:t>
      </w:r>
      <w:r w:rsidR="08FC015D" w:rsidRPr="003D1E07">
        <w:rPr>
          <w:rStyle w:val="FontStyle129"/>
          <w:rFonts w:ascii="Calibri" w:hAnsi="Calibri"/>
          <w:sz w:val="24"/>
        </w:rPr>
        <w:t xml:space="preserve">Tento termín najdeme u neoplatonika </w:t>
      </w:r>
      <w:r w:rsidR="00BB13D9" w:rsidRPr="003D1E07">
        <w:t>Prokl</w:t>
      </w:r>
      <w:r w:rsidR="08FC015D" w:rsidRPr="003D1E07">
        <w:t xml:space="preserve">a, jehož </w:t>
      </w:r>
      <w:r w:rsidR="0018111E" w:rsidRPr="003D1E07">
        <w:t>interpretace</w:t>
      </w:r>
      <w:r w:rsidR="00BB13D9" w:rsidRPr="003D1E07">
        <w:t xml:space="preserve"> </w:t>
      </w:r>
      <w:r w:rsidR="00BB13D9" w:rsidRPr="003D1E07">
        <w:rPr>
          <w:i/>
        </w:rPr>
        <w:t>Timaia</w:t>
      </w:r>
      <w:r w:rsidR="00BB13D9" w:rsidRPr="003D1E07">
        <w:t xml:space="preserve"> 35a (ἀμφιφαὴς καὶ ἀμφιπρόσωπος οὖσα</w:t>
      </w:r>
      <w:r w:rsidR="084D055A" w:rsidRPr="003D1E07">
        <w:rPr>
          <w:i/>
        </w:rPr>
        <w:t xml:space="preserve">; Procl. in Tim. </w:t>
      </w:r>
      <w:r w:rsidR="084D055A" w:rsidRPr="003D1E07">
        <w:t>130.24</w:t>
      </w:r>
      <w:r w:rsidR="00C161A5" w:rsidRPr="003D1E07">
        <w:rPr>
          <w:rStyle w:val="FontStyle129"/>
          <w:rFonts w:ascii="Calibri" w:hAnsi="Calibri"/>
          <w:sz w:val="24"/>
        </w:rPr>
        <w:fldChar w:fldCharType="begin"/>
      </w:r>
      <w:r w:rsidR="00C161A5" w:rsidRPr="003D1E07">
        <w:instrText xml:space="preserve"> XE "</w:instrText>
      </w:r>
      <w:r w:rsidR="00C161A5" w:rsidRPr="003D1E07">
        <w:rPr>
          <w:rStyle w:val="FontStyle129"/>
          <w:rFonts w:ascii="Calibri" w:hAnsi="Calibri"/>
          <w:sz w:val="24"/>
        </w:rPr>
        <w:instrText>Proklus:</w:instrText>
      </w:r>
      <w:r w:rsidR="084D055A" w:rsidRPr="003D1E07">
        <w:rPr>
          <w:i/>
        </w:rPr>
        <w:instrText xml:space="preserve">Procl. in Tim. </w:instrText>
      </w:r>
      <w:r w:rsidR="00C161A5" w:rsidRPr="003D1E07">
        <w:instrText xml:space="preserve">130.24" </w:instrText>
      </w:r>
      <w:r w:rsidR="00C161A5" w:rsidRPr="003D1E07">
        <w:rPr>
          <w:rStyle w:val="FontStyle129"/>
          <w:rFonts w:ascii="Calibri" w:hAnsi="Calibri"/>
          <w:sz w:val="24"/>
        </w:rPr>
        <w:fldChar w:fldCharType="end"/>
      </w:r>
      <w:r w:rsidR="0018111E" w:rsidRPr="003D1E07">
        <w:t>) poprvé tematizuje nauku</w:t>
      </w:r>
      <w:r w:rsidR="00BB13D9" w:rsidRPr="003D1E07">
        <w:t xml:space="preserve"> o dvou tvářích duše</w:t>
      </w:r>
      <w:r w:rsidR="00171B29" w:rsidRPr="003D1E07">
        <w:fldChar w:fldCharType="begin"/>
      </w:r>
      <w:r w:rsidR="00171B29" w:rsidRPr="003D1E07">
        <w:instrText xml:space="preserve"> XE "osoba:dualismus" </w:instrText>
      </w:r>
      <w:r w:rsidR="00171B29" w:rsidRPr="003D1E07">
        <w:fldChar w:fldCharType="end"/>
      </w:r>
      <w:r w:rsidR="00BB13D9" w:rsidRPr="003D1E07">
        <w:t xml:space="preserve"> (Buffon 2007, 91‒92). </w:t>
      </w:r>
      <w:r w:rsidR="08744921" w:rsidRPr="003D1E07">
        <w:t xml:space="preserve">Dualistický </w:t>
      </w:r>
      <w:r w:rsidR="00BB13D9" w:rsidRPr="003D1E07">
        <w:t>Avicenna tvrdí, že j</w:t>
      </w:r>
      <w:r w:rsidR="00982564" w:rsidRPr="003D1E07">
        <w:rPr>
          <w:rStyle w:val="FontStyle129"/>
          <w:rFonts w:ascii="Calibri" w:hAnsi="Calibri"/>
          <w:sz w:val="24"/>
        </w:rPr>
        <w:t>edna část duše řídí tělo a druhá je obrácena ke světu neměnných</w:t>
      </w:r>
      <w:r w:rsidR="00BB13D9" w:rsidRPr="003D1E07">
        <w:rPr>
          <w:rStyle w:val="FontStyle129"/>
          <w:rFonts w:ascii="Calibri" w:hAnsi="Calibri"/>
          <w:sz w:val="24"/>
        </w:rPr>
        <w:t xml:space="preserve"> a nemateriálních forem</w:t>
      </w:r>
      <w:r w:rsidR="00ED633A" w:rsidRPr="003D1E07">
        <w:rPr>
          <w:rStyle w:val="FontStyle129"/>
          <w:rFonts w:ascii="Calibri" w:hAnsi="Calibri"/>
          <w:sz w:val="24"/>
        </w:rPr>
        <w:fldChar w:fldCharType="begin"/>
      </w:r>
      <w:r w:rsidR="00ED633A" w:rsidRPr="003D1E07">
        <w:instrText xml:space="preserve"> XE "</w:instrText>
      </w:r>
      <w:r w:rsidR="00ED633A" w:rsidRPr="003D1E07">
        <w:rPr>
          <w:rStyle w:val="FontStyle129"/>
          <w:rFonts w:ascii="Calibri" w:hAnsi="Calibri"/>
          <w:sz w:val="24"/>
        </w:rPr>
        <w:instrText>dualismus:Avicenna</w:instrText>
      </w:r>
      <w:r w:rsidR="00ED633A" w:rsidRPr="003D1E07">
        <w:instrText xml:space="preserve">" </w:instrText>
      </w:r>
      <w:r w:rsidR="00ED633A" w:rsidRPr="003D1E07">
        <w:rPr>
          <w:rStyle w:val="FontStyle129"/>
          <w:rFonts w:ascii="Calibri" w:hAnsi="Calibri"/>
          <w:sz w:val="24"/>
        </w:rPr>
        <w:fldChar w:fldCharType="end"/>
      </w:r>
      <w:r w:rsidR="00BB13D9" w:rsidRPr="003D1E07">
        <w:rPr>
          <w:rStyle w:val="FontStyle129"/>
          <w:rFonts w:ascii="Calibri" w:hAnsi="Calibri"/>
          <w:sz w:val="24"/>
        </w:rPr>
        <w:t>. Tato čá</w:t>
      </w:r>
      <w:r w:rsidR="00982564" w:rsidRPr="003D1E07">
        <w:rPr>
          <w:rStyle w:val="FontStyle129"/>
          <w:rFonts w:ascii="Calibri" w:hAnsi="Calibri"/>
          <w:sz w:val="24"/>
        </w:rPr>
        <w:t>st duše nepotřebuje</w:t>
      </w:r>
      <w:r w:rsidR="08DC3711" w:rsidRPr="003D1E07">
        <w:rPr>
          <w:rStyle w:val="FontStyle129"/>
          <w:rFonts w:ascii="Calibri" w:hAnsi="Calibri"/>
          <w:sz w:val="24"/>
        </w:rPr>
        <w:t xml:space="preserve"> k abstrakci smyslovou zkušenost, protože poznává </w:t>
      </w:r>
      <w:r w:rsidR="088070CC" w:rsidRPr="003D1E07">
        <w:rPr>
          <w:rStyle w:val="FontStyle129"/>
          <w:rFonts w:ascii="Calibri" w:hAnsi="Calibri"/>
          <w:sz w:val="24"/>
        </w:rPr>
        <w:t xml:space="preserve">formy </w:t>
      </w:r>
      <w:r w:rsidR="08DC3711" w:rsidRPr="003D1E07">
        <w:rPr>
          <w:rStyle w:val="FontStyle129"/>
          <w:rFonts w:ascii="Calibri" w:hAnsi="Calibri"/>
          <w:sz w:val="24"/>
        </w:rPr>
        <w:t>v aktu přímého náhledu</w:t>
      </w:r>
      <w:r w:rsidR="00982564" w:rsidRPr="003D1E07">
        <w:rPr>
          <w:rStyle w:val="FontStyle129"/>
          <w:rFonts w:ascii="Calibri" w:hAnsi="Calibri"/>
          <w:sz w:val="24"/>
        </w:rPr>
        <w:t>.</w:t>
      </w:r>
      <w:r w:rsidR="084558C2" w:rsidRPr="003D1E07">
        <w:rPr>
          <w:rStyle w:val="FontStyle129"/>
          <w:rFonts w:ascii="Calibri" w:hAnsi="Calibri"/>
          <w:sz w:val="24"/>
        </w:rPr>
        <w:t xml:space="preserve"> </w:t>
      </w:r>
      <w:r w:rsidR="084558C2" w:rsidRPr="003D1E07">
        <w:t xml:space="preserve">Vnější věc poznávaná smysly dostává v procesu poznání druhotný charakter, protože její poznání patří pouze do prvního patra abstrakce poznamenané smyslovými omyly a klamy. Druhá rovina intelektu či druhá tvář duše je nasměrována k čistému světu forem. </w:t>
      </w:r>
      <w:r w:rsidR="083D5790" w:rsidRPr="003D1E07">
        <w:rPr>
          <w:rStyle w:val="FontStyle129"/>
          <w:rFonts w:ascii="Calibri" w:hAnsi="Calibri"/>
          <w:sz w:val="24"/>
        </w:rPr>
        <w:t>Předchozí pojetí abstrakce ukázalo, že t</w:t>
      </w:r>
      <w:r w:rsidR="00982564" w:rsidRPr="003D1E07">
        <w:rPr>
          <w:rStyle w:val="FontStyle129"/>
          <w:rFonts w:ascii="Calibri" w:hAnsi="Calibri"/>
          <w:sz w:val="24"/>
        </w:rPr>
        <w:t>eoretická část duše přijímá u</w:t>
      </w:r>
      <w:r w:rsidR="00BB13D9" w:rsidRPr="003D1E07">
        <w:rPr>
          <w:rStyle w:val="FontStyle129"/>
          <w:rFonts w:ascii="Calibri" w:hAnsi="Calibri"/>
          <w:sz w:val="24"/>
        </w:rPr>
        <w:t>niverzální abstrahované formy</w:t>
      </w:r>
      <w:r w:rsidR="083D5790" w:rsidRPr="003D1E07">
        <w:rPr>
          <w:rStyle w:val="FontStyle129"/>
          <w:rFonts w:ascii="Calibri" w:hAnsi="Calibri"/>
          <w:sz w:val="24"/>
        </w:rPr>
        <w:t xml:space="preserve"> přímo</w:t>
      </w:r>
      <w:r w:rsidR="084E085D" w:rsidRPr="003D1E07">
        <w:rPr>
          <w:rStyle w:val="FontStyle129"/>
          <w:rFonts w:ascii="Calibri" w:hAnsi="Calibri"/>
          <w:sz w:val="24"/>
        </w:rPr>
        <w:t xml:space="preserve"> v aktu vlastní seberef</w:t>
      </w:r>
      <w:r w:rsidR="08356776" w:rsidRPr="003D1E07">
        <w:rPr>
          <w:rStyle w:val="FontStyle129"/>
          <w:rFonts w:ascii="Calibri" w:hAnsi="Calibri"/>
          <w:sz w:val="24"/>
        </w:rPr>
        <w:t>l</w:t>
      </w:r>
      <w:r w:rsidR="084E085D" w:rsidRPr="003D1E07">
        <w:rPr>
          <w:rStyle w:val="FontStyle129"/>
          <w:rFonts w:ascii="Calibri" w:hAnsi="Calibri"/>
          <w:sz w:val="24"/>
        </w:rPr>
        <w:t>e</w:t>
      </w:r>
      <w:r w:rsidR="08356776" w:rsidRPr="003D1E07">
        <w:rPr>
          <w:rStyle w:val="FontStyle129"/>
          <w:rFonts w:ascii="Calibri" w:hAnsi="Calibri"/>
          <w:sz w:val="24"/>
        </w:rPr>
        <w:t>xe</w:t>
      </w:r>
      <w:r w:rsidR="08A35DFD" w:rsidRPr="003D1E07">
        <w:rPr>
          <w:rStyle w:val="FontStyle129"/>
          <w:rFonts w:ascii="Calibri" w:hAnsi="Calibri"/>
          <w:sz w:val="24"/>
        </w:rPr>
        <w:t xml:space="preserve"> a spojuje </w:t>
      </w:r>
      <w:r w:rsidR="08E334C7" w:rsidRPr="003D1E07">
        <w:rPr>
          <w:rStyle w:val="FontStyle129"/>
          <w:rFonts w:ascii="Calibri" w:hAnsi="Calibri"/>
          <w:sz w:val="24"/>
        </w:rPr>
        <w:t xml:space="preserve">se s nimi </w:t>
      </w:r>
      <w:r w:rsidR="08A35DFD" w:rsidRPr="003D1E07">
        <w:rPr>
          <w:rStyle w:val="FontStyle129"/>
          <w:rFonts w:ascii="Calibri" w:hAnsi="Calibri"/>
          <w:sz w:val="24"/>
        </w:rPr>
        <w:t>na stejné rovině nemateriální aktuality</w:t>
      </w:r>
      <w:r w:rsidR="08683BFE" w:rsidRPr="003D1E07">
        <w:rPr>
          <w:rStyle w:val="FontStyle129"/>
          <w:rFonts w:ascii="Calibri" w:hAnsi="Calibri"/>
          <w:sz w:val="24"/>
        </w:rPr>
        <w:t>,</w:t>
      </w:r>
      <w:r w:rsidR="08E334C7" w:rsidRPr="003D1E07">
        <w:rPr>
          <w:rStyle w:val="FontStyle129"/>
          <w:rFonts w:ascii="Calibri" w:hAnsi="Calibri"/>
          <w:sz w:val="24"/>
        </w:rPr>
        <w:t xml:space="preserve"> v jaké je oddělený </w:t>
      </w:r>
      <w:r w:rsidR="08E334C7" w:rsidRPr="003D1E07">
        <w:rPr>
          <w:rStyle w:val="FontStyle129"/>
          <w:rFonts w:ascii="Calibri" w:hAnsi="Calibri"/>
          <w:i/>
          <w:sz w:val="24"/>
        </w:rPr>
        <w:t>intellectus agens</w:t>
      </w:r>
      <w:r w:rsidR="08E334C7" w:rsidRPr="003D1E07">
        <w:rPr>
          <w:rStyle w:val="FontStyle129"/>
          <w:rFonts w:ascii="Calibri" w:hAnsi="Calibri"/>
          <w:sz w:val="24"/>
        </w:rPr>
        <w:t xml:space="preserve"> dává darovanému intelektu</w:t>
      </w:r>
      <w:r w:rsidR="08356776" w:rsidRPr="003D1E07">
        <w:rPr>
          <w:rStyle w:val="FontStyle129"/>
          <w:rFonts w:ascii="Calibri" w:hAnsi="Calibri"/>
          <w:sz w:val="24"/>
        </w:rPr>
        <w:t>.</w:t>
      </w:r>
      <w:r w:rsidR="007F0674" w:rsidRPr="003D1E07">
        <w:rPr>
          <w:rStyle w:val="FontStyle129"/>
          <w:rFonts w:ascii="Calibri" w:hAnsi="Calibri"/>
          <w:sz w:val="24"/>
        </w:rPr>
        <w:t xml:space="preserve"> </w:t>
      </w:r>
      <w:r w:rsidR="00AD1BAE">
        <w:rPr>
          <w:rStyle w:val="FontStyle129"/>
          <w:rFonts w:ascii="Calibri" w:hAnsi="Calibri"/>
          <w:sz w:val="24"/>
        </w:rPr>
        <w:t xml:space="preserve">Toto spojení poznané formy v darovaném intelektu s kosmickým zdrojem forem založilo </w:t>
      </w:r>
      <w:r w:rsidR="007F0674" w:rsidRPr="003D1E07">
        <w:rPr>
          <w:rStyle w:val="FontStyle129"/>
          <w:rFonts w:ascii="Calibri" w:hAnsi="Calibri"/>
          <w:sz w:val="24"/>
        </w:rPr>
        <w:t xml:space="preserve">moderní </w:t>
      </w:r>
      <w:r w:rsidR="00DF2033" w:rsidRPr="003D1E07">
        <w:rPr>
          <w:rStyle w:val="FontStyle129"/>
          <w:rFonts w:ascii="Calibri" w:hAnsi="Calibri"/>
          <w:sz w:val="24"/>
        </w:rPr>
        <w:t>pojetí</w:t>
      </w:r>
      <w:r w:rsidR="00405F36">
        <w:rPr>
          <w:rStyle w:val="FontStyle129"/>
          <w:rFonts w:ascii="Calibri" w:hAnsi="Calibri"/>
          <w:sz w:val="24"/>
        </w:rPr>
        <w:t xml:space="preserve"> pravdy jako avicennis</w:t>
      </w:r>
      <w:r w:rsidR="00AD1BAE">
        <w:rPr>
          <w:rStyle w:val="FontStyle129"/>
          <w:rFonts w:ascii="Calibri" w:hAnsi="Calibri"/>
          <w:sz w:val="24"/>
        </w:rPr>
        <w:t>tickou asimilaci</w:t>
      </w:r>
      <w:r w:rsidR="0034612C">
        <w:rPr>
          <w:rStyle w:val="FontStyle129"/>
          <w:rFonts w:ascii="Calibri" w:hAnsi="Calibri"/>
          <w:sz w:val="24"/>
        </w:rPr>
        <w:t xml:space="preserve"> forem</w:t>
      </w:r>
      <w:r w:rsidR="002B5224" w:rsidRPr="003D1E07">
        <w:rPr>
          <w:rStyle w:val="FontStyle129"/>
          <w:rFonts w:ascii="Calibri" w:hAnsi="Calibri"/>
          <w:sz w:val="24"/>
        </w:rPr>
        <w:t xml:space="preserve">. </w:t>
      </w:r>
      <w:r w:rsidR="00CD12D4">
        <w:rPr>
          <w:rStyle w:val="FontStyle129"/>
          <w:rFonts w:ascii="Calibri" w:hAnsi="Calibri"/>
          <w:sz w:val="24"/>
        </w:rPr>
        <w:t xml:space="preserve">Přijetí hypostázovaných a plně autonomních </w:t>
      </w:r>
      <w:r w:rsidR="0034612C">
        <w:rPr>
          <w:rStyle w:val="FontStyle129"/>
          <w:rFonts w:ascii="Calibri" w:hAnsi="Calibri"/>
          <w:sz w:val="24"/>
        </w:rPr>
        <w:t xml:space="preserve">species </w:t>
      </w:r>
      <w:r w:rsidR="007F0674" w:rsidRPr="003D1E07">
        <w:rPr>
          <w:rStyle w:val="FontStyle129"/>
          <w:rFonts w:ascii="Calibri" w:hAnsi="Calibri"/>
          <w:sz w:val="24"/>
        </w:rPr>
        <w:t>nepotřebuje aktuální a reálnou první substanci pro založení pravdivé adekvace</w:t>
      </w:r>
      <w:r w:rsidR="08F62362" w:rsidRPr="003D1E07">
        <w:rPr>
          <w:rStyle w:val="FontStyle129"/>
          <w:rFonts w:ascii="Calibri" w:hAnsi="Calibri"/>
          <w:sz w:val="24"/>
        </w:rPr>
        <w:t xml:space="preserve"> mysli a reálného světa</w:t>
      </w:r>
      <w:r w:rsidR="007F0674" w:rsidRPr="003D1E07">
        <w:rPr>
          <w:rStyle w:val="FontStyle129"/>
          <w:rFonts w:ascii="Calibri" w:hAnsi="Calibri"/>
          <w:sz w:val="24"/>
        </w:rPr>
        <w:t>.</w:t>
      </w:r>
      <w:r w:rsidR="002177F3" w:rsidRPr="003D1E07">
        <w:rPr>
          <w:rStyle w:val="FontStyle129"/>
          <w:rFonts w:ascii="Calibri" w:hAnsi="Calibri"/>
          <w:sz w:val="24"/>
        </w:rPr>
        <w:t xml:space="preserve"> </w:t>
      </w:r>
      <w:r w:rsidR="00F52354" w:rsidRPr="003D1E07">
        <w:t>P</w:t>
      </w:r>
      <w:r w:rsidR="00F52354" w:rsidRPr="003D1E07">
        <w:rPr>
          <w:rStyle w:val="FontStyle129"/>
          <w:rFonts w:ascii="Calibri" w:hAnsi="Calibri"/>
          <w:sz w:val="24"/>
        </w:rPr>
        <w:t>rimární aktualita</w:t>
      </w:r>
      <w:r w:rsidR="0004606D" w:rsidRPr="003D1E07">
        <w:rPr>
          <w:rStyle w:val="FontStyle129"/>
          <w:rFonts w:ascii="Calibri" w:hAnsi="Calibri"/>
          <w:sz w:val="24"/>
        </w:rPr>
        <w:t xml:space="preserve"> poznávajícího intelektu </w:t>
      </w:r>
      <w:r w:rsidR="00F52354" w:rsidRPr="003D1E07">
        <w:rPr>
          <w:rStyle w:val="FontStyle129"/>
          <w:rFonts w:ascii="Calibri" w:hAnsi="Calibri"/>
          <w:sz w:val="24"/>
        </w:rPr>
        <w:t xml:space="preserve">stojí mimo pasivní schopnost </w:t>
      </w:r>
      <w:r w:rsidR="081B681A" w:rsidRPr="003D1E07">
        <w:rPr>
          <w:rStyle w:val="FontStyle129"/>
          <w:rFonts w:ascii="Calibri" w:hAnsi="Calibri"/>
          <w:sz w:val="24"/>
        </w:rPr>
        <w:t xml:space="preserve">aristotelské </w:t>
      </w:r>
      <w:r w:rsidR="0004606D" w:rsidRPr="003D1E07">
        <w:rPr>
          <w:rStyle w:val="FontStyle129"/>
          <w:rFonts w:ascii="Calibri" w:hAnsi="Calibri"/>
          <w:sz w:val="24"/>
        </w:rPr>
        <w:t xml:space="preserve">duše </w:t>
      </w:r>
      <w:r w:rsidR="002B5224" w:rsidRPr="003D1E07">
        <w:rPr>
          <w:rStyle w:val="FontStyle129"/>
          <w:rFonts w:ascii="Calibri" w:hAnsi="Calibri"/>
          <w:sz w:val="24"/>
        </w:rPr>
        <w:t xml:space="preserve">jako </w:t>
      </w:r>
      <w:r w:rsidR="002B5224" w:rsidRPr="003D1E07">
        <w:rPr>
          <w:i/>
        </w:rPr>
        <w:t xml:space="preserve">anima intellectiva </w:t>
      </w:r>
      <w:r w:rsidR="0004606D" w:rsidRPr="003D1E07">
        <w:rPr>
          <w:rStyle w:val="FontStyle129"/>
          <w:rFonts w:ascii="Calibri" w:hAnsi="Calibri"/>
          <w:sz w:val="24"/>
        </w:rPr>
        <w:t xml:space="preserve">recipující smyslové obsahy. </w:t>
      </w:r>
      <w:r w:rsidR="081B681A" w:rsidRPr="003D1E07">
        <w:rPr>
          <w:rStyle w:val="FontStyle129"/>
          <w:rFonts w:ascii="Calibri" w:hAnsi="Calibri"/>
          <w:sz w:val="24"/>
        </w:rPr>
        <w:t>Vyšší i</w:t>
      </w:r>
      <w:r w:rsidR="00C0180F" w:rsidRPr="003D1E07">
        <w:rPr>
          <w:rStyle w:val="FontStyle129"/>
          <w:rFonts w:ascii="Calibri" w:hAnsi="Calibri"/>
          <w:sz w:val="24"/>
        </w:rPr>
        <w:t>ntelekt je aktivní</w:t>
      </w:r>
      <w:r w:rsidR="0004606D" w:rsidRPr="003D1E07">
        <w:rPr>
          <w:rStyle w:val="FontStyle129"/>
          <w:rFonts w:ascii="Calibri" w:hAnsi="Calibri"/>
          <w:sz w:val="24"/>
        </w:rPr>
        <w:t xml:space="preserve"> sám od sebe tím, že je ve styku s auto</w:t>
      </w:r>
      <w:r w:rsidR="00C0180F" w:rsidRPr="003D1E07">
        <w:rPr>
          <w:rStyle w:val="FontStyle129"/>
          <w:rFonts w:ascii="Calibri" w:hAnsi="Calibri"/>
          <w:sz w:val="24"/>
        </w:rPr>
        <w:t>no</w:t>
      </w:r>
      <w:r w:rsidR="0004606D" w:rsidRPr="003D1E07">
        <w:rPr>
          <w:rStyle w:val="FontStyle129"/>
          <w:rFonts w:ascii="Calibri" w:hAnsi="Calibri"/>
          <w:sz w:val="24"/>
        </w:rPr>
        <w:t>m</w:t>
      </w:r>
      <w:r w:rsidR="00585843" w:rsidRPr="003D1E07">
        <w:rPr>
          <w:rStyle w:val="FontStyle129"/>
          <w:rFonts w:ascii="Calibri" w:hAnsi="Calibri"/>
          <w:sz w:val="24"/>
        </w:rPr>
        <w:t>ním světem nemateriálních forem</w:t>
      </w:r>
      <w:r w:rsidR="00CF23A1">
        <w:rPr>
          <w:rStyle w:val="FontStyle129"/>
          <w:rFonts w:ascii="Calibri" w:hAnsi="Calibri"/>
          <w:sz w:val="24"/>
        </w:rPr>
        <w:t>.</w:t>
      </w:r>
    </w:p>
    <w:p w14:paraId="7C2A21EA" w14:textId="17033864" w:rsidR="0897587D" w:rsidRPr="00CD12D4" w:rsidRDefault="084E085D" w:rsidP="00CD12D4">
      <w:pPr>
        <w:ind w:firstLine="397"/>
        <w:rPr>
          <w:szCs w:val="18"/>
        </w:rPr>
      </w:pPr>
      <w:r w:rsidRPr="003D1E07">
        <w:rPr>
          <w:rStyle w:val="FontStyle129"/>
          <w:rFonts w:ascii="Calibri" w:hAnsi="Calibri"/>
          <w:sz w:val="24"/>
        </w:rPr>
        <w:t xml:space="preserve">Proces abstrakce </w:t>
      </w:r>
      <w:r w:rsidR="00D74A99" w:rsidRPr="003D1E07">
        <w:rPr>
          <w:rStyle w:val="FontStyle129"/>
          <w:rFonts w:ascii="Calibri" w:hAnsi="Calibri"/>
          <w:sz w:val="24"/>
        </w:rPr>
        <w:t xml:space="preserve">podle Avicenny </w:t>
      </w:r>
      <w:r w:rsidR="0889711A" w:rsidRPr="003D1E07">
        <w:rPr>
          <w:rStyle w:val="FontStyle129"/>
          <w:rFonts w:ascii="Calibri" w:hAnsi="Calibri"/>
          <w:sz w:val="24"/>
        </w:rPr>
        <w:t>má epochální charakter, proto</w:t>
      </w:r>
      <w:r w:rsidR="088061F3" w:rsidRPr="003D1E07">
        <w:rPr>
          <w:rStyle w:val="FontStyle129"/>
          <w:rFonts w:ascii="Calibri" w:hAnsi="Calibri"/>
          <w:sz w:val="24"/>
        </w:rPr>
        <w:t xml:space="preserve">že v rámci moderní </w:t>
      </w:r>
      <w:r w:rsidR="088061F3" w:rsidRPr="003D1E07">
        <w:rPr>
          <w:rStyle w:val="FontStyle129"/>
          <w:rFonts w:ascii="Calibri" w:hAnsi="Calibri"/>
          <w:i/>
          <w:sz w:val="24"/>
        </w:rPr>
        <w:t>epoché</w:t>
      </w:r>
      <w:r w:rsidR="088061F3" w:rsidRPr="003D1E07">
        <w:rPr>
          <w:rStyle w:val="FontStyle129"/>
          <w:rFonts w:ascii="Calibri" w:hAnsi="Calibri"/>
          <w:sz w:val="24"/>
        </w:rPr>
        <w:t xml:space="preserve"> </w:t>
      </w:r>
      <w:r w:rsidR="0889711A" w:rsidRPr="003D1E07">
        <w:rPr>
          <w:rStyle w:val="FontStyle129"/>
          <w:rFonts w:ascii="Calibri" w:hAnsi="Calibri"/>
          <w:sz w:val="24"/>
        </w:rPr>
        <w:t xml:space="preserve">uzávorkovává </w:t>
      </w:r>
      <w:r w:rsidR="00A37823">
        <w:rPr>
          <w:rStyle w:val="FontStyle129"/>
          <w:rFonts w:ascii="Calibri" w:hAnsi="Calibri"/>
          <w:sz w:val="24"/>
        </w:rPr>
        <w:t>smysl hyparchické</w:t>
      </w:r>
      <w:r w:rsidR="00234AC1">
        <w:rPr>
          <w:rStyle w:val="FontStyle129"/>
          <w:rFonts w:ascii="Calibri" w:hAnsi="Calibri"/>
          <w:sz w:val="24"/>
        </w:rPr>
        <w:t xml:space="preserve"> první su</w:t>
      </w:r>
      <w:r w:rsidR="00A37823">
        <w:rPr>
          <w:rStyle w:val="FontStyle129"/>
          <w:rFonts w:ascii="Calibri" w:hAnsi="Calibri"/>
          <w:sz w:val="24"/>
        </w:rPr>
        <w:t>bstance (</w:t>
      </w:r>
      <w:r w:rsidR="00A37823" w:rsidRPr="00A37823">
        <w:rPr>
          <w:rStyle w:val="FontStyle129"/>
          <w:rFonts w:ascii="Calibri" w:hAnsi="Calibri"/>
          <w:i/>
          <w:sz w:val="24"/>
        </w:rPr>
        <w:t>Seinsvergessenheit</w:t>
      </w:r>
      <w:r w:rsidR="00A37823">
        <w:rPr>
          <w:rStyle w:val="FontStyle129"/>
          <w:rFonts w:ascii="Calibri" w:hAnsi="Calibri"/>
          <w:sz w:val="24"/>
        </w:rPr>
        <w:t>). S</w:t>
      </w:r>
      <w:r w:rsidR="00D74A99" w:rsidRPr="003D1E07">
        <w:rPr>
          <w:rStyle w:val="FontStyle129"/>
          <w:rFonts w:ascii="Calibri" w:hAnsi="Calibri"/>
          <w:sz w:val="24"/>
        </w:rPr>
        <w:t>myslové</w:t>
      </w:r>
      <w:r w:rsidR="0889711A" w:rsidRPr="003D1E07">
        <w:rPr>
          <w:rStyle w:val="FontStyle129"/>
          <w:rFonts w:ascii="Calibri" w:hAnsi="Calibri"/>
          <w:sz w:val="24"/>
        </w:rPr>
        <w:t xml:space="preserve"> poznání přechází </w:t>
      </w:r>
      <w:r w:rsidRPr="003D1E07">
        <w:rPr>
          <w:rStyle w:val="FontStyle129"/>
          <w:rFonts w:ascii="Calibri" w:hAnsi="Calibri"/>
          <w:sz w:val="24"/>
        </w:rPr>
        <w:t>na plně formalizovanou a p</w:t>
      </w:r>
      <w:r w:rsidR="08015383" w:rsidRPr="003D1E07">
        <w:rPr>
          <w:rStyle w:val="FontStyle129"/>
          <w:rFonts w:ascii="Calibri" w:hAnsi="Calibri"/>
          <w:sz w:val="24"/>
        </w:rPr>
        <w:t xml:space="preserve">řitom aktuální formu porozumění. </w:t>
      </w:r>
      <w:r w:rsidR="00C535D7" w:rsidRPr="003D1E07">
        <w:rPr>
          <w:rStyle w:val="FontStyle129"/>
          <w:rFonts w:ascii="Calibri" w:hAnsi="Calibri"/>
          <w:sz w:val="24"/>
        </w:rPr>
        <w:t xml:space="preserve">Citát z </w:t>
      </w:r>
      <w:r w:rsidR="00C535D7" w:rsidRPr="003D1E07">
        <w:rPr>
          <w:rStyle w:val="FontStyle129"/>
          <w:rFonts w:ascii="Calibri" w:hAnsi="Calibri"/>
          <w:i/>
          <w:sz w:val="24"/>
        </w:rPr>
        <w:t>De anima</w:t>
      </w:r>
      <w:r w:rsidR="00C535D7" w:rsidRPr="003D1E07">
        <w:rPr>
          <w:rStyle w:val="FontStyle129"/>
          <w:rFonts w:ascii="Calibri" w:hAnsi="Calibri"/>
          <w:sz w:val="24"/>
        </w:rPr>
        <w:t xml:space="preserve"> V.5 ukázal, že i</w:t>
      </w:r>
      <w:r w:rsidR="00E17D16" w:rsidRPr="003D1E07">
        <w:rPr>
          <w:rStyle w:val="FontStyle129"/>
          <w:rFonts w:ascii="Calibri" w:hAnsi="Calibri"/>
          <w:sz w:val="24"/>
        </w:rPr>
        <w:t>ntelektuální část d</w:t>
      </w:r>
      <w:r w:rsidRPr="003D1E07">
        <w:rPr>
          <w:rStyle w:val="FontStyle129"/>
          <w:rFonts w:ascii="Calibri" w:hAnsi="Calibri"/>
          <w:sz w:val="24"/>
        </w:rPr>
        <w:t>uše je uschopněna k tomu, aby přijímala nemateriální aktualizované formy vtisknuté duši (</w:t>
      </w:r>
      <w:r w:rsidRPr="003D1E07">
        <w:rPr>
          <w:i/>
        </w:rPr>
        <w:t>imprimuntur in anima</w:t>
      </w:r>
      <w:r w:rsidRPr="003D1E07">
        <w:rPr>
          <w:rStyle w:val="FontStyle129"/>
          <w:rFonts w:ascii="Calibri" w:hAnsi="Calibri"/>
          <w:sz w:val="24"/>
        </w:rPr>
        <w:t>) od činného intelektu bytujícího ve světě čistých inteligencí (</w:t>
      </w:r>
      <w:r w:rsidRPr="003D1E07">
        <w:rPr>
          <w:i/>
        </w:rPr>
        <w:t>ab intelligentia agente</w:t>
      </w:r>
      <w:r w:rsidRPr="003D1E07">
        <w:rPr>
          <w:rStyle w:val="FontStyle129"/>
          <w:rFonts w:ascii="Calibri" w:hAnsi="Calibri"/>
          <w:sz w:val="24"/>
        </w:rPr>
        <w:t>).</w:t>
      </w:r>
      <w:r w:rsidR="083509D4" w:rsidRPr="003D1E07">
        <w:t xml:space="preserve"> </w:t>
      </w:r>
      <w:r w:rsidR="084C3E33" w:rsidRPr="003D1E07">
        <w:rPr>
          <w:rStyle w:val="FontStyle129"/>
          <w:rFonts w:ascii="Calibri" w:hAnsi="Calibri"/>
          <w:sz w:val="24"/>
        </w:rPr>
        <w:t xml:space="preserve">Původním zdrojem lidského poznání není materiální intelekt </w:t>
      </w:r>
      <w:r w:rsidR="00685FD5">
        <w:rPr>
          <w:rStyle w:val="FontStyle129"/>
          <w:rFonts w:ascii="Calibri" w:hAnsi="Calibri"/>
          <w:sz w:val="24"/>
        </w:rPr>
        <w:t xml:space="preserve">v duši </w:t>
      </w:r>
      <w:r w:rsidR="084C3E33" w:rsidRPr="003D1E07">
        <w:rPr>
          <w:rStyle w:val="FontStyle129"/>
          <w:rFonts w:ascii="Calibri" w:hAnsi="Calibri"/>
          <w:sz w:val="24"/>
        </w:rPr>
        <w:t xml:space="preserve">aktualizovaný od reálných věcí, ale </w:t>
      </w:r>
      <w:r w:rsidR="00685FD5">
        <w:rPr>
          <w:rStyle w:val="FontStyle129"/>
          <w:rFonts w:ascii="Calibri" w:hAnsi="Calibri"/>
          <w:sz w:val="24"/>
        </w:rPr>
        <w:t xml:space="preserve">oddělený </w:t>
      </w:r>
      <w:r w:rsidR="084C3E33" w:rsidRPr="003D1E07">
        <w:rPr>
          <w:rStyle w:val="FontStyle129"/>
          <w:rFonts w:ascii="Calibri" w:hAnsi="Calibri"/>
          <w:sz w:val="24"/>
        </w:rPr>
        <w:t>činný intelekt</w:t>
      </w:r>
      <w:r w:rsidR="00685FD5">
        <w:rPr>
          <w:rStyle w:val="FontStyle129"/>
          <w:rFonts w:ascii="Calibri" w:hAnsi="Calibri"/>
          <w:sz w:val="24"/>
        </w:rPr>
        <w:t xml:space="preserve"> v kosmu</w:t>
      </w:r>
      <w:r w:rsidR="084C3E33" w:rsidRPr="003D1E07">
        <w:rPr>
          <w:rStyle w:val="FontStyle129"/>
          <w:rFonts w:ascii="Calibri" w:hAnsi="Calibri"/>
          <w:sz w:val="24"/>
        </w:rPr>
        <w:t xml:space="preserve">. Viz výše komentovaný citát, kdy aktivní intelekt vlastním světlem </w:t>
      </w:r>
      <w:r w:rsidR="084C3E33" w:rsidRPr="003D1E07">
        <w:rPr>
          <w:rStyle w:val="FontStyle129"/>
          <w:rFonts w:ascii="Calibri" w:hAnsi="Calibri"/>
          <w:sz w:val="24"/>
        </w:rPr>
        <w:lastRenderedPageBreak/>
        <w:t>vytvořil novou scénu zjevování jsoucna (</w:t>
      </w:r>
      <w:r w:rsidR="084C3E33" w:rsidRPr="003D1E07">
        <w:rPr>
          <w:i/>
        </w:rPr>
        <w:t>illuminatur luce intelligentiae agentis</w:t>
      </w:r>
      <w:r w:rsidR="084C3E33" w:rsidRPr="003D1E07">
        <w:t xml:space="preserve"> </w:t>
      </w:r>
      <w:r w:rsidR="084C3E33" w:rsidRPr="003D1E07">
        <w:rPr>
          <w:i/>
        </w:rPr>
        <w:t>in nos</w:t>
      </w:r>
      <w:r w:rsidR="002177F3" w:rsidRPr="003D1E07">
        <w:t>;</w:t>
      </w:r>
      <w:r w:rsidR="002177F3" w:rsidRPr="003D1E07">
        <w:rPr>
          <w:i/>
        </w:rPr>
        <w:t xml:space="preserve"> Liber de anima </w:t>
      </w:r>
      <w:r w:rsidR="002177F3" w:rsidRPr="003D1E07">
        <w:t>V.5; p. 127.41</w:t>
      </w:r>
      <w:r w:rsidR="00ED633A" w:rsidRPr="003D1E07">
        <w:rPr>
          <w:rStyle w:val="FontStyle129"/>
          <w:rFonts w:ascii="Calibri" w:hAnsi="Calibri"/>
          <w:i/>
          <w:sz w:val="24"/>
        </w:rPr>
        <w:fldChar w:fldCharType="begin"/>
      </w:r>
      <w:r w:rsidR="00ED633A" w:rsidRPr="003D1E07">
        <w:instrText xml:space="preserve"> XE "Avicenna:</w:instrText>
      </w:r>
      <w:r w:rsidR="00ED633A" w:rsidRPr="003D1E07">
        <w:rPr>
          <w:i/>
        </w:rPr>
        <w:instrText>Liber de anima</w:instrText>
      </w:r>
      <w:r w:rsidR="00ED633A" w:rsidRPr="003D1E07">
        <w:instrText xml:space="preserve"> 127.41" </w:instrText>
      </w:r>
      <w:r w:rsidR="00ED633A" w:rsidRPr="003D1E07">
        <w:rPr>
          <w:rStyle w:val="FontStyle129"/>
          <w:rFonts w:ascii="Calibri" w:hAnsi="Calibri"/>
          <w:i/>
          <w:sz w:val="24"/>
        </w:rPr>
        <w:fldChar w:fldCharType="end"/>
      </w:r>
      <w:r w:rsidR="084C3E33" w:rsidRPr="003D1E07">
        <w:rPr>
          <w:rStyle w:val="FontStyle129"/>
          <w:rFonts w:ascii="Calibri" w:hAnsi="Calibri"/>
          <w:sz w:val="24"/>
        </w:rPr>
        <w:t xml:space="preserve">). </w:t>
      </w:r>
      <w:r w:rsidR="0062232B">
        <w:rPr>
          <w:rStyle w:val="FontStyle129"/>
          <w:rFonts w:ascii="Calibri" w:hAnsi="Calibri"/>
          <w:sz w:val="24"/>
        </w:rPr>
        <w:t>Gramatický i</w:t>
      </w:r>
      <w:r w:rsidR="084C3E33" w:rsidRPr="003D1E07">
        <w:rPr>
          <w:rStyle w:val="FontStyle129"/>
          <w:rFonts w:ascii="Calibri" w:hAnsi="Calibri"/>
          <w:sz w:val="24"/>
        </w:rPr>
        <w:t xml:space="preserve">nstrumentál vztažený k nasvícení činného intelektu </w:t>
      </w:r>
      <w:r w:rsidR="00A67E58">
        <w:t>(</w:t>
      </w:r>
      <w:r w:rsidR="00A67E58" w:rsidRPr="003A461B">
        <w:rPr>
          <w:i/>
        </w:rPr>
        <w:t>luce</w:t>
      </w:r>
      <w:r w:rsidR="00A67E58" w:rsidRPr="002856D5">
        <w:rPr>
          <w:i/>
        </w:rPr>
        <w:t xml:space="preserve"> </w:t>
      </w:r>
      <w:r w:rsidR="00A67E58" w:rsidRPr="003A461B">
        <w:rPr>
          <w:i/>
        </w:rPr>
        <w:t>intelligentiae</w:t>
      </w:r>
      <w:r w:rsidR="00A67E58" w:rsidRPr="002856D5">
        <w:rPr>
          <w:i/>
        </w:rPr>
        <w:t xml:space="preserve"> </w:t>
      </w:r>
      <w:r w:rsidR="00A67E58" w:rsidRPr="003A461B">
        <w:rPr>
          <w:i/>
        </w:rPr>
        <w:t>agentis</w:t>
      </w:r>
      <w:r w:rsidR="00A67E58">
        <w:t xml:space="preserve">) </w:t>
      </w:r>
      <w:r w:rsidR="084C3E33" w:rsidRPr="003D1E07">
        <w:rPr>
          <w:rStyle w:val="FontStyle129"/>
          <w:rFonts w:ascii="Calibri" w:hAnsi="Calibri"/>
          <w:sz w:val="24"/>
        </w:rPr>
        <w:t>ukazuje, že duše se stává nás</w:t>
      </w:r>
      <w:r w:rsidR="0041143D" w:rsidRPr="003D1E07">
        <w:rPr>
          <w:rStyle w:val="FontStyle129"/>
          <w:rFonts w:ascii="Calibri" w:hAnsi="Calibri"/>
          <w:sz w:val="24"/>
        </w:rPr>
        <w:t>trojem vyšší formy intelektu. D</w:t>
      </w:r>
      <w:r w:rsidR="084C3E33" w:rsidRPr="003D1E07">
        <w:rPr>
          <w:rStyle w:val="FontStyle129"/>
          <w:rFonts w:ascii="Calibri" w:hAnsi="Calibri"/>
          <w:sz w:val="24"/>
        </w:rPr>
        <w:t xml:space="preserve">íky spojení s činným intelektem v </w:t>
      </w:r>
      <w:r w:rsidR="081608A4" w:rsidRPr="003D1E07">
        <w:rPr>
          <w:rStyle w:val="FontStyle129"/>
          <w:rFonts w:ascii="Calibri" w:hAnsi="Calibri"/>
          <w:sz w:val="24"/>
        </w:rPr>
        <w:t xml:space="preserve">individuálním </w:t>
      </w:r>
      <w:r w:rsidR="084C3E33" w:rsidRPr="003D1E07">
        <w:rPr>
          <w:rStyle w:val="FontStyle129"/>
          <w:rFonts w:ascii="Calibri" w:hAnsi="Calibri"/>
          <w:sz w:val="24"/>
        </w:rPr>
        <w:t>modu darovaného intelektu (</w:t>
      </w:r>
      <w:r w:rsidR="084C3E33" w:rsidRPr="003D1E07">
        <w:rPr>
          <w:rStyle w:val="FontStyle129"/>
          <w:rFonts w:ascii="Calibri" w:hAnsi="Calibri"/>
          <w:i/>
          <w:sz w:val="24"/>
        </w:rPr>
        <w:t>intellectus adeptus</w:t>
      </w:r>
      <w:r w:rsidR="084C3E33" w:rsidRPr="003D1E07">
        <w:rPr>
          <w:rStyle w:val="FontStyle129"/>
          <w:rFonts w:ascii="Calibri" w:hAnsi="Calibri"/>
          <w:sz w:val="24"/>
        </w:rPr>
        <w:t xml:space="preserve">) je </w:t>
      </w:r>
      <w:r w:rsidR="00DB4EC2" w:rsidRPr="003D1E07">
        <w:rPr>
          <w:rStyle w:val="FontStyle129"/>
          <w:rFonts w:ascii="Calibri" w:hAnsi="Calibri"/>
          <w:sz w:val="24"/>
        </w:rPr>
        <w:t xml:space="preserve">intelektuální část </w:t>
      </w:r>
      <w:r w:rsidR="0041143D" w:rsidRPr="003D1E07">
        <w:rPr>
          <w:rStyle w:val="FontStyle129"/>
          <w:rFonts w:ascii="Calibri" w:hAnsi="Calibri"/>
          <w:sz w:val="24"/>
        </w:rPr>
        <w:t xml:space="preserve">duše </w:t>
      </w:r>
      <w:r w:rsidR="084C3E33" w:rsidRPr="003D1E07">
        <w:rPr>
          <w:rStyle w:val="FontStyle129"/>
          <w:rFonts w:ascii="Calibri" w:hAnsi="Calibri"/>
          <w:sz w:val="24"/>
        </w:rPr>
        <w:t>povýšena na úroveň</w:t>
      </w:r>
      <w:r w:rsidR="081608A4" w:rsidRPr="003D1E07">
        <w:rPr>
          <w:rStyle w:val="FontStyle129"/>
          <w:rFonts w:ascii="Calibri" w:hAnsi="Calibri"/>
          <w:sz w:val="24"/>
        </w:rPr>
        <w:t xml:space="preserve"> kosmických inteligencí</w:t>
      </w:r>
      <w:r w:rsidR="084C3E33" w:rsidRPr="003D1E07">
        <w:rPr>
          <w:rStyle w:val="FontStyle129"/>
          <w:rFonts w:ascii="Calibri" w:hAnsi="Calibri"/>
          <w:sz w:val="24"/>
        </w:rPr>
        <w:t xml:space="preserve">. </w:t>
      </w:r>
      <w:r w:rsidR="081608A4" w:rsidRPr="003D1E07">
        <w:rPr>
          <w:rStyle w:val="FontStyle129"/>
          <w:rFonts w:ascii="Calibri" w:hAnsi="Calibri"/>
          <w:sz w:val="24"/>
        </w:rPr>
        <w:t xml:space="preserve">Darovaný intelekt </w:t>
      </w:r>
      <w:r w:rsidR="006E3473" w:rsidRPr="003D1E07">
        <w:rPr>
          <w:rStyle w:val="FontStyle129"/>
          <w:rFonts w:ascii="Calibri" w:hAnsi="Calibri"/>
          <w:sz w:val="24"/>
        </w:rPr>
        <w:t xml:space="preserve">funguje jako samostatná </w:t>
      </w:r>
      <w:r w:rsidR="08E04589" w:rsidRPr="003D1E07">
        <w:rPr>
          <w:rStyle w:val="FontStyle129"/>
          <w:rFonts w:ascii="Calibri" w:hAnsi="Calibri"/>
          <w:sz w:val="24"/>
        </w:rPr>
        <w:t>substance</w:t>
      </w:r>
      <w:r w:rsidR="00A70FA4" w:rsidRPr="003D1E07">
        <w:rPr>
          <w:rStyle w:val="FontStyle129"/>
          <w:rFonts w:ascii="Calibri" w:hAnsi="Calibri"/>
          <w:sz w:val="24"/>
        </w:rPr>
        <w:fldChar w:fldCharType="begin"/>
      </w:r>
      <w:r w:rsidR="00A70FA4" w:rsidRPr="003D1E07">
        <w:instrText xml:space="preserve"> XE "</w:instrText>
      </w:r>
      <w:r w:rsidR="08531AAA" w:rsidRPr="003D1E07">
        <w:rPr>
          <w:i/>
        </w:rPr>
        <w:instrText>intellectus agens</w:instrText>
      </w:r>
      <w:r w:rsidR="08531AAA" w:rsidRPr="003D1E07">
        <w:instrText>:Avicenna</w:instrText>
      </w:r>
      <w:r w:rsidR="00A70FA4" w:rsidRPr="003D1E07">
        <w:instrText xml:space="preserve">" </w:instrText>
      </w:r>
      <w:r w:rsidR="00A70FA4" w:rsidRPr="003D1E07">
        <w:rPr>
          <w:rStyle w:val="FontStyle129"/>
          <w:rFonts w:ascii="Calibri" w:hAnsi="Calibri"/>
          <w:sz w:val="24"/>
        </w:rPr>
        <w:fldChar w:fldCharType="end"/>
      </w:r>
      <w:r w:rsidR="000A4D39" w:rsidRPr="003D1E07">
        <w:rPr>
          <w:rStyle w:val="FontStyle129"/>
          <w:rFonts w:ascii="Calibri" w:hAnsi="Calibri"/>
          <w:sz w:val="24"/>
        </w:rPr>
        <w:t xml:space="preserve"> díky schopnosti sebereflexe dané </w:t>
      </w:r>
      <w:r w:rsidR="081608A4" w:rsidRPr="003D1E07">
        <w:rPr>
          <w:rStyle w:val="FontStyle129"/>
          <w:rFonts w:ascii="Calibri" w:hAnsi="Calibri"/>
          <w:sz w:val="24"/>
        </w:rPr>
        <w:t xml:space="preserve">recepcí </w:t>
      </w:r>
      <w:r w:rsidR="08636A41" w:rsidRPr="003D1E07">
        <w:rPr>
          <w:rStyle w:val="FontStyle129"/>
          <w:rFonts w:ascii="Calibri" w:hAnsi="Calibri"/>
          <w:sz w:val="24"/>
        </w:rPr>
        <w:t xml:space="preserve">poznaných forem emenovaných od </w:t>
      </w:r>
      <w:r w:rsidR="081608A4" w:rsidRPr="003D1E07">
        <w:rPr>
          <w:rStyle w:val="FontStyle129"/>
          <w:rFonts w:ascii="Calibri" w:hAnsi="Calibri"/>
          <w:sz w:val="24"/>
        </w:rPr>
        <w:t xml:space="preserve">kosmického </w:t>
      </w:r>
      <w:r w:rsidR="081608A4" w:rsidRPr="003D1E07">
        <w:rPr>
          <w:rStyle w:val="FontStyle129"/>
          <w:rFonts w:ascii="Calibri" w:hAnsi="Calibri"/>
          <w:i/>
          <w:sz w:val="24"/>
        </w:rPr>
        <w:t>intellectus agens</w:t>
      </w:r>
      <w:r w:rsidR="000A4D39" w:rsidRPr="003D1E07">
        <w:rPr>
          <w:rStyle w:val="FontStyle129"/>
          <w:rFonts w:ascii="Calibri" w:hAnsi="Calibri"/>
          <w:sz w:val="24"/>
        </w:rPr>
        <w:t xml:space="preserve">. </w:t>
      </w:r>
      <w:r w:rsidR="003E2DFC" w:rsidRPr="003D1E07">
        <w:rPr>
          <w:rStyle w:val="FontStyle129"/>
          <w:rFonts w:ascii="Calibri" w:hAnsi="Calibri"/>
          <w:sz w:val="24"/>
        </w:rPr>
        <w:t>Nižší intelektuální schopnosti poznání dané aristotelskou aktualizací ze smyslů nemá tuto aktuální intelektuální sebereflexi.</w:t>
      </w:r>
      <w:r w:rsidR="003E2DFC" w:rsidRPr="003D1E07">
        <w:rPr>
          <w:rStyle w:val="Znakapoznpodarou"/>
          <w:szCs w:val="18"/>
        </w:rPr>
        <w:footnoteReference w:id="140"/>
      </w:r>
      <w:r w:rsidR="003E2DFC" w:rsidRPr="003D1E07">
        <w:rPr>
          <w:rStyle w:val="FontStyle129"/>
          <w:rFonts w:ascii="Calibri" w:hAnsi="Calibri"/>
          <w:sz w:val="24"/>
        </w:rPr>
        <w:t xml:space="preserve"> </w:t>
      </w:r>
      <w:r w:rsidR="08496CE2" w:rsidRPr="003D1E07">
        <w:rPr>
          <w:rStyle w:val="FontStyle129"/>
          <w:rFonts w:ascii="Calibri" w:hAnsi="Calibri"/>
          <w:sz w:val="24"/>
        </w:rPr>
        <w:t>Tato sebereflexe dělá z intelektu aktuální hypostázi-</w:t>
      </w:r>
      <w:r w:rsidR="00F214C5" w:rsidRPr="003D1E07">
        <w:rPr>
          <w:rStyle w:val="FontStyle129"/>
          <w:rFonts w:ascii="Calibri" w:hAnsi="Calibri"/>
          <w:sz w:val="24"/>
        </w:rPr>
        <w:t>species</w:t>
      </w:r>
      <w:r w:rsidR="08496CE2" w:rsidRPr="003D1E07">
        <w:rPr>
          <w:rStyle w:val="FontStyle129"/>
          <w:rFonts w:ascii="Calibri" w:hAnsi="Calibri"/>
          <w:sz w:val="24"/>
        </w:rPr>
        <w:t xml:space="preserve"> a tím </w:t>
      </w:r>
      <w:r w:rsidR="003E2DFC" w:rsidRPr="003D1E07">
        <w:rPr>
          <w:rStyle w:val="FontStyle129"/>
          <w:rFonts w:ascii="Calibri" w:hAnsi="Calibri"/>
          <w:sz w:val="24"/>
        </w:rPr>
        <w:t xml:space="preserve">vytvořila </w:t>
      </w:r>
      <w:r w:rsidR="08496CE2" w:rsidRPr="003D1E07">
        <w:rPr>
          <w:rStyle w:val="FontStyle129"/>
          <w:rFonts w:ascii="Calibri" w:hAnsi="Calibri"/>
          <w:sz w:val="24"/>
        </w:rPr>
        <w:t xml:space="preserve">v člověku další formu nebo substanci. </w:t>
      </w:r>
      <w:r w:rsidR="0874563C" w:rsidRPr="003D1E07">
        <w:rPr>
          <w:rStyle w:val="FontStyle129"/>
          <w:rFonts w:ascii="Calibri" w:hAnsi="Calibri"/>
          <w:sz w:val="24"/>
        </w:rPr>
        <w:t xml:space="preserve">Darovaný intelekt jako </w:t>
      </w:r>
      <w:r w:rsidR="08E04589" w:rsidRPr="003D1E07">
        <w:rPr>
          <w:rStyle w:val="FontStyle129"/>
          <w:rFonts w:ascii="Calibri" w:hAnsi="Calibri"/>
          <w:sz w:val="24"/>
        </w:rPr>
        <w:t xml:space="preserve">individualizovaný substrát přijímá čisté nemateriální formy dané emanací činného intelektu směrem do avicennovské a později i karteziánské duše. </w:t>
      </w:r>
      <w:r w:rsidR="08FE1479" w:rsidRPr="003D1E07">
        <w:t>D</w:t>
      </w:r>
      <w:r w:rsidR="08FE1479" w:rsidRPr="003D1E07">
        <w:rPr>
          <w:rStyle w:val="FontStyle129"/>
          <w:rFonts w:ascii="Calibri" w:hAnsi="Calibri"/>
          <w:sz w:val="24"/>
        </w:rPr>
        <w:t xml:space="preserve">uše díky vlastní propedeutické práci na úrovni smyslového poznání již aktualizovala první principy poznání, které do ní byly vložené od narození jako zárodky vyššího intelektu. Do okruhu sebereflexe duše navíc přišly formy částečně aktualizovaného poznání daného skrze práci individualizovaného materiálního intelektu, který provádí smyslovou abstrakci a činí závěry na úrovni představivosti, která je ukládána do </w:t>
      </w:r>
      <w:r w:rsidR="00F05D71">
        <w:rPr>
          <w:rStyle w:val="FontStyle129"/>
          <w:rFonts w:ascii="Calibri" w:hAnsi="Calibri"/>
          <w:sz w:val="24"/>
        </w:rPr>
        <w:t xml:space="preserve">smyslové </w:t>
      </w:r>
      <w:r w:rsidR="08FE1479" w:rsidRPr="003D1E07">
        <w:rPr>
          <w:rStyle w:val="FontStyle129"/>
          <w:rFonts w:ascii="Calibri" w:hAnsi="Calibri"/>
          <w:sz w:val="24"/>
        </w:rPr>
        <w:t xml:space="preserve">paměti. </w:t>
      </w:r>
      <w:r w:rsidR="08521637" w:rsidRPr="003D1E07">
        <w:rPr>
          <w:rStyle w:val="FontStyle129"/>
          <w:rFonts w:ascii="Calibri" w:hAnsi="Calibri"/>
          <w:sz w:val="24"/>
        </w:rPr>
        <w:t xml:space="preserve">Pak je možné postoupit do světa přímého nazírání kosmických forem. </w:t>
      </w:r>
      <w:r w:rsidR="0047200A" w:rsidRPr="003D1E07">
        <w:t>Následuj</w:t>
      </w:r>
      <w:r w:rsidR="00D669DE" w:rsidRPr="003D1E07">
        <w:t>í</w:t>
      </w:r>
      <w:r w:rsidR="0047200A" w:rsidRPr="003D1E07">
        <w:t>cí citát ukazuje vznik nového vidění světa (</w:t>
      </w:r>
      <w:r w:rsidR="0047200A" w:rsidRPr="003D1E07">
        <w:rPr>
          <w:i/>
        </w:rPr>
        <w:t>Weltanschauung</w:t>
      </w:r>
      <w:r w:rsidR="00ED633A" w:rsidRPr="003D1E07">
        <w:rPr>
          <w:i/>
        </w:rPr>
        <w:fldChar w:fldCharType="begin"/>
      </w:r>
      <w:r w:rsidR="00ED633A" w:rsidRPr="003D1E07">
        <w:instrText xml:space="preserve"> XE "</w:instrText>
      </w:r>
      <w:r w:rsidR="00ED633A" w:rsidRPr="003D1E07">
        <w:rPr>
          <w:i/>
        </w:rPr>
        <w:instrText>Weltanschauung</w:instrText>
      </w:r>
      <w:r w:rsidR="00ED633A" w:rsidRPr="003D1E07">
        <w:instrText xml:space="preserve">" </w:instrText>
      </w:r>
      <w:r w:rsidR="00ED633A" w:rsidRPr="003D1E07">
        <w:rPr>
          <w:i/>
        </w:rPr>
        <w:fldChar w:fldCharType="end"/>
      </w:r>
      <w:r w:rsidR="0047200A" w:rsidRPr="003D1E07">
        <w:t>) směrem od demiurgického subjek</w:t>
      </w:r>
      <w:r w:rsidR="004C4BE7" w:rsidRPr="003D1E07">
        <w:t>t</w:t>
      </w:r>
      <w:r w:rsidR="0047200A" w:rsidRPr="003D1E07">
        <w:t>u poznávajícího ilumináta.</w:t>
      </w:r>
      <w:r w:rsidR="0895294E" w:rsidRPr="003D1E07">
        <w:t xml:space="preserve"> Duše provádí nejprve reflexi vlastních obsahů poznání </w:t>
      </w:r>
      <w:r w:rsidR="005B75AB" w:rsidRPr="003D1E07">
        <w:t>skrze akt sebereflexe. P</w:t>
      </w:r>
      <w:r w:rsidR="0895294E" w:rsidRPr="003D1E07">
        <w:t xml:space="preserve">o </w:t>
      </w:r>
      <w:r w:rsidR="088E66D3" w:rsidRPr="003D1E07">
        <w:t xml:space="preserve">této nezbytné </w:t>
      </w:r>
      <w:r w:rsidR="0895294E" w:rsidRPr="003D1E07">
        <w:t xml:space="preserve">aktualizaci intelektu </w:t>
      </w:r>
      <w:r w:rsidR="088E66D3" w:rsidRPr="003D1E07">
        <w:t xml:space="preserve">pak ve druhém kroku </w:t>
      </w:r>
      <w:r w:rsidR="0895294E" w:rsidRPr="003D1E07">
        <w:t xml:space="preserve">nazírá </w:t>
      </w:r>
      <w:r w:rsidR="088E66D3" w:rsidRPr="003D1E07">
        <w:t xml:space="preserve">kosmické inteligibilní formy </w:t>
      </w:r>
      <w:r w:rsidR="0895294E" w:rsidRPr="003D1E07">
        <w:t xml:space="preserve">skrze akt </w:t>
      </w:r>
      <w:r w:rsidR="005B75AB" w:rsidRPr="003D1E07">
        <w:t xml:space="preserve">dokonalé </w:t>
      </w:r>
      <w:r w:rsidR="0895294E" w:rsidRPr="003D1E07">
        <w:t>sebereflexe.</w:t>
      </w:r>
    </w:p>
    <w:p w14:paraId="77640EA8" w14:textId="4431ACF3" w:rsidR="0897587D" w:rsidRPr="003D1E07" w:rsidRDefault="08907EDF" w:rsidP="08262C45">
      <w:pPr>
        <w:pStyle w:val="Citace"/>
        <w:rPr>
          <w:noProof/>
          <w:lang w:val="cs-CZ"/>
        </w:rPr>
      </w:pPr>
      <w:r w:rsidRPr="003D1E07">
        <w:rPr>
          <w:noProof/>
          <w:lang w:val="cs-CZ"/>
        </w:rPr>
        <w:t xml:space="preserve">„Když duše prochází </w:t>
      </w:r>
      <w:r w:rsidR="003F288E" w:rsidRPr="003D1E07">
        <w:rPr>
          <w:noProof/>
          <w:lang w:val="cs-CZ"/>
        </w:rPr>
        <w:t>vlas</w:t>
      </w:r>
      <w:r w:rsidR="00D130AF" w:rsidRPr="003D1E07">
        <w:rPr>
          <w:noProof/>
          <w:lang w:val="cs-CZ"/>
        </w:rPr>
        <w:t xml:space="preserve">tní mysl, která poznává to, co </w:t>
      </w:r>
      <w:r w:rsidR="08226886" w:rsidRPr="003D1E07">
        <w:rPr>
          <w:noProof/>
          <w:lang w:val="cs-CZ"/>
        </w:rPr>
        <w:t xml:space="preserve">tvoří součást </w:t>
      </w:r>
      <w:r w:rsidR="00872F7A">
        <w:rPr>
          <w:noProof/>
          <w:lang w:val="cs-CZ"/>
        </w:rPr>
        <w:t xml:space="preserve">vyššího reflexivního </w:t>
      </w:r>
      <w:r w:rsidR="00D130AF" w:rsidRPr="003D1E07">
        <w:rPr>
          <w:noProof/>
          <w:lang w:val="cs-CZ"/>
        </w:rPr>
        <w:t>intelektu</w:t>
      </w:r>
      <w:r w:rsidR="00C32205" w:rsidRPr="003D1E07">
        <w:rPr>
          <w:noProof/>
          <w:lang w:val="cs-CZ"/>
        </w:rPr>
        <w:t xml:space="preserve"> (</w:t>
      </w:r>
      <w:r w:rsidR="00C32205" w:rsidRPr="003D1E07">
        <w:rPr>
          <w:i/>
          <w:lang w:val="cs-CZ"/>
        </w:rPr>
        <w:t>intellecto inquisito</w:t>
      </w:r>
      <w:r w:rsidR="00C32205" w:rsidRPr="003D1E07">
        <w:rPr>
          <w:noProof/>
          <w:lang w:val="cs-CZ"/>
        </w:rPr>
        <w:t>)</w:t>
      </w:r>
      <w:r w:rsidR="00872F7A">
        <w:rPr>
          <w:noProof/>
          <w:lang w:val="cs-CZ"/>
        </w:rPr>
        <w:t xml:space="preserve">; </w:t>
      </w:r>
      <w:r w:rsidRPr="003D1E07">
        <w:rPr>
          <w:noProof/>
          <w:lang w:val="cs-CZ"/>
        </w:rPr>
        <w:t>pak se duše obrátí k tomu,</w:t>
      </w:r>
      <w:r w:rsidR="00A87D7D" w:rsidRPr="003D1E07">
        <w:rPr>
          <w:noProof/>
          <w:lang w:val="cs-CZ"/>
        </w:rPr>
        <w:t xml:space="preserve"> co je intelektuálně nazíráno. T</w:t>
      </w:r>
      <w:r w:rsidRPr="003D1E07">
        <w:rPr>
          <w:noProof/>
          <w:lang w:val="cs-CZ"/>
        </w:rPr>
        <w:t>ento náhled není nic jiného ne</w:t>
      </w:r>
      <w:r w:rsidR="005C3CD1" w:rsidRPr="003D1E07">
        <w:rPr>
          <w:noProof/>
          <w:lang w:val="cs-CZ"/>
        </w:rPr>
        <w:t xml:space="preserve">ž konverze duše k </w:t>
      </w:r>
      <w:r w:rsidR="003F288E" w:rsidRPr="003D1E07">
        <w:rPr>
          <w:noProof/>
          <w:lang w:val="cs-CZ"/>
        </w:rPr>
        <w:t>principu, který dává</w:t>
      </w:r>
      <w:r w:rsidR="00E34EF9" w:rsidRPr="003D1E07">
        <w:rPr>
          <w:noProof/>
          <w:lang w:val="cs-CZ"/>
        </w:rPr>
        <w:t xml:space="preserve"> porozumění (</w:t>
      </w:r>
      <w:r w:rsidR="00E34EF9" w:rsidRPr="003D1E07">
        <w:rPr>
          <w:i/>
          <w:lang w:val="cs-CZ"/>
        </w:rPr>
        <w:t>ad principium dans intellectum</w:t>
      </w:r>
      <w:r w:rsidR="00E34EF9" w:rsidRPr="003D1E07">
        <w:rPr>
          <w:noProof/>
          <w:lang w:val="cs-CZ"/>
        </w:rPr>
        <w:t>)</w:t>
      </w:r>
      <w:r w:rsidRPr="003D1E07">
        <w:rPr>
          <w:noProof/>
          <w:lang w:val="cs-CZ"/>
        </w:rPr>
        <w:t xml:space="preserve">. Takto se duše může spojit s </w:t>
      </w:r>
      <w:r w:rsidR="08226886" w:rsidRPr="003D1E07">
        <w:rPr>
          <w:noProof/>
          <w:lang w:val="cs-CZ"/>
        </w:rPr>
        <w:t>oddělenými kosmickými inteligencemi</w:t>
      </w:r>
      <w:r w:rsidR="081B240D" w:rsidRPr="003D1E07">
        <w:rPr>
          <w:noProof/>
          <w:lang w:val="cs-CZ"/>
        </w:rPr>
        <w:t xml:space="preserve"> (</w:t>
      </w:r>
      <w:r w:rsidR="081B240D" w:rsidRPr="003D1E07">
        <w:rPr>
          <w:i/>
          <w:lang w:val="cs-CZ"/>
        </w:rPr>
        <w:t>coniungi intelligentiae</w:t>
      </w:r>
      <w:r w:rsidR="081B240D" w:rsidRPr="003D1E07">
        <w:rPr>
          <w:noProof/>
          <w:lang w:val="cs-CZ"/>
        </w:rPr>
        <w:t>)</w:t>
      </w:r>
      <w:r w:rsidR="00D74CB9" w:rsidRPr="003D1E07">
        <w:rPr>
          <w:noProof/>
          <w:lang w:val="cs-CZ"/>
        </w:rPr>
        <w:t>. P</w:t>
      </w:r>
      <w:r w:rsidRPr="003D1E07">
        <w:rPr>
          <w:noProof/>
          <w:lang w:val="cs-CZ"/>
        </w:rPr>
        <w:t xml:space="preserve">ak z ní </w:t>
      </w:r>
      <w:r w:rsidR="08226886" w:rsidRPr="003D1E07">
        <w:rPr>
          <w:noProof/>
          <w:lang w:val="cs-CZ"/>
        </w:rPr>
        <w:t xml:space="preserve">vyzařuje poznávací </w:t>
      </w:r>
      <w:r w:rsidRPr="003D1E07">
        <w:rPr>
          <w:noProof/>
          <w:lang w:val="cs-CZ"/>
        </w:rPr>
        <w:t xml:space="preserve">schopnost </w:t>
      </w:r>
      <w:r w:rsidR="08226886" w:rsidRPr="003D1E07">
        <w:rPr>
          <w:noProof/>
          <w:lang w:val="cs-CZ"/>
        </w:rPr>
        <w:t xml:space="preserve">těchto inteligencí </w:t>
      </w:r>
      <w:r w:rsidR="00EC25DC" w:rsidRPr="003D1E07">
        <w:rPr>
          <w:noProof/>
          <w:lang w:val="cs-CZ"/>
        </w:rPr>
        <w:t>(</w:t>
      </w:r>
      <w:r w:rsidR="00EC25DC" w:rsidRPr="003D1E07">
        <w:rPr>
          <w:i/>
          <w:lang w:val="cs-CZ"/>
        </w:rPr>
        <w:t>emanat ab ea virtus intellectus simplicis</w:t>
      </w:r>
      <w:r w:rsidR="00EC25DC" w:rsidRPr="003D1E07">
        <w:rPr>
          <w:noProof/>
          <w:lang w:val="cs-CZ"/>
        </w:rPr>
        <w:t>)</w:t>
      </w:r>
      <w:r w:rsidR="08262C45" w:rsidRPr="003D1E07">
        <w:rPr>
          <w:noProof/>
          <w:lang w:val="cs-CZ"/>
        </w:rPr>
        <w:t xml:space="preserve">, po níž následuje emanace </w:t>
      </w:r>
      <w:r w:rsidR="00EC25DC" w:rsidRPr="003D1E07">
        <w:rPr>
          <w:noProof/>
          <w:lang w:val="cs-CZ"/>
        </w:rPr>
        <w:t xml:space="preserve">aktivně pořádajícího </w:t>
      </w:r>
      <w:r w:rsidRPr="003D1E07">
        <w:rPr>
          <w:noProof/>
          <w:lang w:val="cs-CZ"/>
        </w:rPr>
        <w:t>poznání</w:t>
      </w:r>
      <w:r w:rsidR="00EC25DC" w:rsidRPr="003D1E07">
        <w:rPr>
          <w:noProof/>
          <w:lang w:val="cs-CZ"/>
        </w:rPr>
        <w:t xml:space="preserve"> </w:t>
      </w:r>
      <w:r w:rsidR="009D1006">
        <w:rPr>
          <w:noProof/>
          <w:lang w:val="cs-CZ"/>
        </w:rPr>
        <w:t>věcí ve světě</w:t>
      </w:r>
      <w:r w:rsidR="00A16179">
        <w:rPr>
          <w:noProof/>
          <w:lang w:val="cs-CZ"/>
        </w:rPr>
        <w:t xml:space="preserve"> </w:t>
      </w:r>
      <w:r w:rsidR="00EC25DC" w:rsidRPr="003D1E07">
        <w:rPr>
          <w:noProof/>
          <w:lang w:val="cs-CZ"/>
        </w:rPr>
        <w:t>(</w:t>
      </w:r>
      <w:r w:rsidR="00EC25DC" w:rsidRPr="003D1E07">
        <w:rPr>
          <w:i/>
          <w:lang w:val="cs-CZ"/>
        </w:rPr>
        <w:t>quem sequitur emanatio ordinandi</w:t>
      </w:r>
      <w:r w:rsidR="00EC25DC" w:rsidRPr="003D1E07">
        <w:rPr>
          <w:noProof/>
          <w:lang w:val="cs-CZ"/>
        </w:rPr>
        <w:t>)</w:t>
      </w:r>
      <w:r w:rsidRPr="003D1E07">
        <w:rPr>
          <w:noProof/>
          <w:lang w:val="cs-CZ"/>
        </w:rPr>
        <w:t>.“</w:t>
      </w:r>
      <w:r w:rsidR="08262C45" w:rsidRPr="003D1E07">
        <w:rPr>
          <w:rStyle w:val="Znakapoznpodarou"/>
          <w:noProof/>
          <w:lang w:val="cs-CZ"/>
        </w:rPr>
        <w:t xml:space="preserve"> </w:t>
      </w:r>
      <w:r w:rsidR="08262C45" w:rsidRPr="003D1E07">
        <w:rPr>
          <w:rStyle w:val="Znakapoznpodarou"/>
          <w:noProof/>
          <w:lang w:val="cs-CZ"/>
        </w:rPr>
        <w:footnoteReference w:id="141"/>
      </w:r>
    </w:p>
    <w:p w14:paraId="54933E96" w14:textId="5A8C44E8" w:rsidR="08B02759" w:rsidRPr="003D1E07" w:rsidRDefault="00C014A0" w:rsidP="08B02759">
      <w:r w:rsidRPr="003D1E07">
        <w:lastRenderedPageBreak/>
        <w:t xml:space="preserve">Avicennův a karteziánský intelekt nejprve zkoumá sám sebe v modu </w:t>
      </w:r>
      <w:r w:rsidRPr="003D1E07">
        <w:rPr>
          <w:i/>
        </w:rPr>
        <w:t>inquisitio</w:t>
      </w:r>
      <w:r w:rsidR="00F957BC" w:rsidRPr="003D1E07">
        <w:t xml:space="preserve"> odd</w:t>
      </w:r>
      <w:r w:rsidR="001D00D6">
        <w:t>ělené</w:t>
      </w:r>
      <w:r w:rsidR="00F957BC" w:rsidRPr="003D1E07">
        <w:t xml:space="preserve"> od nespolehlivých smyslů. </w:t>
      </w:r>
      <w:r w:rsidR="00A021D9" w:rsidRPr="003D1E07">
        <w:t>Moderní inkvizice intelektu běží n</w:t>
      </w:r>
      <w:r w:rsidR="08382463" w:rsidRPr="003D1E07">
        <w:t xml:space="preserve">a základě aktu sebereflexe </w:t>
      </w:r>
      <w:r w:rsidR="004C47AB" w:rsidRPr="003D1E07">
        <w:t>(</w:t>
      </w:r>
      <w:r w:rsidR="004C47AB" w:rsidRPr="003D1E07">
        <w:rPr>
          <w:i/>
        </w:rPr>
        <w:t>conversio animae</w:t>
      </w:r>
      <w:r w:rsidR="004C47AB" w:rsidRPr="003D1E07">
        <w:t xml:space="preserve">) směrem k </w:t>
      </w:r>
      <w:r w:rsidR="004575C6" w:rsidRPr="003D1E07">
        <w:t>poznání prvních principů</w:t>
      </w:r>
      <w:r w:rsidR="004C47AB" w:rsidRPr="003D1E07">
        <w:t xml:space="preserve">, které samy od sebe </w:t>
      </w:r>
      <w:r w:rsidR="005801C3" w:rsidRPr="003D1E07">
        <w:t xml:space="preserve">dávají </w:t>
      </w:r>
      <w:r w:rsidR="004C47AB" w:rsidRPr="003D1E07">
        <w:t xml:space="preserve">porozumění </w:t>
      </w:r>
      <w:r w:rsidR="08382463" w:rsidRPr="003D1E07">
        <w:t>(</w:t>
      </w:r>
      <w:r w:rsidR="08382463" w:rsidRPr="003D1E07">
        <w:rPr>
          <w:i/>
        </w:rPr>
        <w:t>ad principium dans intellectum</w:t>
      </w:r>
      <w:r w:rsidR="08382463" w:rsidRPr="003D1E07">
        <w:t>)</w:t>
      </w:r>
      <w:r w:rsidR="00630747" w:rsidRPr="003D1E07">
        <w:t xml:space="preserve">. </w:t>
      </w:r>
      <w:r w:rsidR="085F70F0" w:rsidRPr="003D1E07">
        <w:t xml:space="preserve">Tyto principy jsou původně dány ve světě kosmických forem. </w:t>
      </w:r>
      <w:r w:rsidR="00630747" w:rsidRPr="003D1E07">
        <w:t xml:space="preserve">Zkoumající intelekt se napojí </w:t>
      </w:r>
      <w:r w:rsidR="0078238B" w:rsidRPr="003D1E07">
        <w:t xml:space="preserve">v aktu konjunkce </w:t>
      </w:r>
      <w:r w:rsidR="08382463" w:rsidRPr="003D1E07">
        <w:t xml:space="preserve">na oddělený </w:t>
      </w:r>
      <w:r w:rsidR="08382463" w:rsidRPr="003D1E07">
        <w:rPr>
          <w:i/>
        </w:rPr>
        <w:t>intellectus agens</w:t>
      </w:r>
      <w:r w:rsidR="00DF1F0F" w:rsidRPr="003D1E07">
        <w:rPr>
          <w:i/>
        </w:rPr>
        <w:fldChar w:fldCharType="begin"/>
      </w:r>
      <w:r w:rsidR="00DF1F0F" w:rsidRPr="003D1E07">
        <w:instrText xml:space="preserve"> XE "</w:instrText>
      </w:r>
      <w:r w:rsidR="00DF1F0F" w:rsidRPr="003D1E07">
        <w:rPr>
          <w:i/>
        </w:rPr>
        <w:instrText>intellectus agens:</w:instrText>
      </w:r>
      <w:r w:rsidR="00DF1F0F" w:rsidRPr="003D1E07">
        <w:instrText xml:space="preserve">neoplatonismus" </w:instrText>
      </w:r>
      <w:r w:rsidR="00DF1F0F" w:rsidRPr="003D1E07">
        <w:rPr>
          <w:i/>
        </w:rPr>
        <w:fldChar w:fldCharType="end"/>
      </w:r>
      <w:r w:rsidR="08382463" w:rsidRPr="003D1E07">
        <w:t xml:space="preserve"> vyšších sfér (</w:t>
      </w:r>
      <w:r w:rsidR="08382463" w:rsidRPr="003D1E07">
        <w:rPr>
          <w:i/>
        </w:rPr>
        <w:t>solet anima coniungi intelligentiae</w:t>
      </w:r>
      <w:r w:rsidR="08382463" w:rsidRPr="003D1E07">
        <w:t>).</w:t>
      </w:r>
      <w:r w:rsidR="08553815" w:rsidRPr="003D1E07">
        <w:rPr>
          <w:szCs w:val="18"/>
        </w:rPr>
        <w:t xml:space="preserve"> </w:t>
      </w:r>
      <w:r w:rsidR="00973B17" w:rsidRPr="003D1E07">
        <w:t>S</w:t>
      </w:r>
      <w:r w:rsidR="08796305" w:rsidRPr="003D1E07">
        <w:t>pojením s vnějším aktuálním intelektem v</w:t>
      </w:r>
      <w:r w:rsidR="08382463" w:rsidRPr="003D1E07">
        <w:t xml:space="preserve"> aktu osvícené sebereflexe dojde k adekvaci poznávacího intelektu nikoliv s materiální věcí, ale se světem čistých forem (</w:t>
      </w:r>
      <w:r w:rsidR="08382463" w:rsidRPr="003D1E07">
        <w:rPr>
          <w:i/>
        </w:rPr>
        <w:t>emanat ab ea virtus intellectus simplicis</w:t>
      </w:r>
      <w:r w:rsidR="08382463" w:rsidRPr="003D1E07">
        <w:t>)</w:t>
      </w:r>
      <w:r w:rsidR="08F91C22" w:rsidRPr="003D1E07">
        <w:t xml:space="preserve">. Tyto </w:t>
      </w:r>
      <w:r w:rsidR="00D74CB9" w:rsidRPr="003D1E07">
        <w:t xml:space="preserve">čisté </w:t>
      </w:r>
      <w:r w:rsidR="08F91C22" w:rsidRPr="003D1E07">
        <w:t xml:space="preserve">formy </w:t>
      </w:r>
      <w:r w:rsidR="08382463" w:rsidRPr="003D1E07">
        <w:t>existují v řádu kosmických emana</w:t>
      </w:r>
      <w:r w:rsidR="00A20C0A" w:rsidRPr="003D1E07">
        <w:t xml:space="preserve">cí daných </w:t>
      </w:r>
      <w:r w:rsidR="081C11B3" w:rsidRPr="003D1E07">
        <w:t xml:space="preserve">do světa </w:t>
      </w:r>
      <w:r w:rsidR="000E7EDF">
        <w:t>směrem od d</w:t>
      </w:r>
      <w:r w:rsidR="00A20C0A" w:rsidRPr="003D1E07">
        <w:t>árce forem</w:t>
      </w:r>
      <w:r w:rsidR="000E7EDF">
        <w:t xml:space="preserve"> (</w:t>
      </w:r>
      <w:r w:rsidR="004319BF" w:rsidRPr="004319BF">
        <w:rPr>
          <w:i/>
        </w:rPr>
        <w:t>Dator formarum</w:t>
      </w:r>
      <w:r w:rsidR="000E7EDF">
        <w:t>)</w:t>
      </w:r>
      <w:r w:rsidR="00ED633A" w:rsidRPr="003D1E07">
        <w:rPr>
          <w:rStyle w:val="FontStyle129"/>
          <w:rFonts w:ascii="Calibri" w:hAnsi="Calibri"/>
          <w:i/>
          <w:sz w:val="24"/>
        </w:rPr>
        <w:fldChar w:fldCharType="begin"/>
      </w:r>
      <w:r w:rsidR="00ED633A" w:rsidRPr="003D1E07">
        <w:instrText xml:space="preserve"> XE</w:instrText>
      </w:r>
      <w:r w:rsidR="00FB6CEB" w:rsidRPr="003D1E07">
        <w:instrText xml:space="preserve"> "emanace</w:instrText>
      </w:r>
      <w:r w:rsidR="00ED633A" w:rsidRPr="003D1E07">
        <w:instrText xml:space="preserve">" </w:instrText>
      </w:r>
      <w:r w:rsidR="00ED633A" w:rsidRPr="003D1E07">
        <w:rPr>
          <w:rStyle w:val="FontStyle129"/>
          <w:rFonts w:ascii="Calibri" w:hAnsi="Calibri"/>
          <w:i/>
          <w:sz w:val="24"/>
        </w:rPr>
        <w:fldChar w:fldCharType="end"/>
      </w:r>
      <w:r w:rsidR="00A20C0A" w:rsidRPr="003D1E07">
        <w:t>. L</w:t>
      </w:r>
      <w:r w:rsidR="08F91C22" w:rsidRPr="003D1E07">
        <w:t xml:space="preserve">idský intelekt je </w:t>
      </w:r>
      <w:r w:rsidR="00D74CB9" w:rsidRPr="003D1E07">
        <w:t xml:space="preserve">poznává </w:t>
      </w:r>
      <w:r w:rsidR="00A20C0A" w:rsidRPr="003D1E07">
        <w:t xml:space="preserve">ve vlastním darovaném intelektu a </w:t>
      </w:r>
      <w:r w:rsidR="00D74CB9" w:rsidRPr="003D1E07">
        <w:t xml:space="preserve">podle nich </w:t>
      </w:r>
      <w:r w:rsidR="081C11B3" w:rsidRPr="003D1E07">
        <w:t xml:space="preserve">následně </w:t>
      </w:r>
      <w:r w:rsidR="00D74CB9" w:rsidRPr="003D1E07">
        <w:t>mění svět</w:t>
      </w:r>
      <w:r w:rsidR="08F91C22" w:rsidRPr="003D1E07">
        <w:t xml:space="preserve"> </w:t>
      </w:r>
      <w:r w:rsidR="08382463" w:rsidRPr="003D1E07">
        <w:t>(</w:t>
      </w:r>
      <w:r w:rsidR="08382463" w:rsidRPr="003D1E07">
        <w:rPr>
          <w:i/>
        </w:rPr>
        <w:t>quem sequitur emanatio ordinandi</w:t>
      </w:r>
      <w:r w:rsidR="00D74CB9" w:rsidRPr="003D1E07">
        <w:t>).</w:t>
      </w:r>
      <w:r w:rsidR="00A20C0A" w:rsidRPr="003D1E07">
        <w:t xml:space="preserve"> </w:t>
      </w:r>
      <w:r w:rsidR="006B1E78" w:rsidRPr="003D1E07">
        <w:rPr>
          <w:rStyle w:val="FontStyle129"/>
          <w:rFonts w:ascii="Calibri" w:hAnsi="Calibri"/>
          <w:sz w:val="24"/>
        </w:rPr>
        <w:t xml:space="preserve">Definice poznání našla novou </w:t>
      </w:r>
      <w:r w:rsidR="006B1E78" w:rsidRPr="003D1E07">
        <w:t>formu demiurgické aktivity, která zakládá modernu v mo</w:t>
      </w:r>
      <w:r w:rsidR="006B1E78">
        <w:t>du aktivně pořádajícího poznání</w:t>
      </w:r>
      <w:r w:rsidR="006B1E78" w:rsidRPr="003D1E07">
        <w:t xml:space="preserve">. </w:t>
      </w:r>
      <w:r w:rsidR="00887D31" w:rsidRPr="00313935">
        <w:t>Modern</w:t>
      </w:r>
      <w:r w:rsidR="00887D31">
        <w:t xml:space="preserve">a nehledá </w:t>
      </w:r>
      <w:r w:rsidR="00887D31" w:rsidRPr="00313935">
        <w:t>poznání světa, jak tomu bylo v předchozích tisíciletích. Provádí inkvizici světa ve světle předem stanovených principů. Tento inkviziční úkol se stal posvátnou povinností imperialistického Západu.</w:t>
      </w:r>
      <w:r w:rsidR="00887D31">
        <w:t xml:space="preserve"> </w:t>
      </w:r>
      <w:r w:rsidR="006B1E78">
        <w:t xml:space="preserve">Tímto způsobem vznikla nová a zcela radikální forma </w:t>
      </w:r>
      <w:r w:rsidR="006B1E78" w:rsidRPr="003E485E">
        <w:rPr>
          <w:i/>
        </w:rPr>
        <w:t>Ge-Stell</w:t>
      </w:r>
      <w:r w:rsidR="006B1E78">
        <w:rPr>
          <w:i/>
        </w:rPr>
        <w:fldChar w:fldCharType="begin"/>
      </w:r>
      <w:r w:rsidR="006B1E78">
        <w:instrText xml:space="preserve"> XE "</w:instrText>
      </w:r>
      <w:r w:rsidR="006B1E78" w:rsidRPr="00513C72">
        <w:rPr>
          <w:i/>
        </w:rPr>
        <w:instrText>Ge-Stell</w:instrText>
      </w:r>
      <w:r w:rsidR="006B1E78">
        <w:instrText xml:space="preserve">" </w:instrText>
      </w:r>
      <w:r w:rsidR="006B1E78">
        <w:rPr>
          <w:i/>
        </w:rPr>
        <w:fldChar w:fldCharType="end"/>
      </w:r>
      <w:r w:rsidR="006B1E78">
        <w:t xml:space="preserve"> (kap. 1.2). </w:t>
      </w:r>
      <w:r w:rsidR="009A3358" w:rsidRPr="009A3358">
        <w:t xml:space="preserve">Svět se musí modernímu subjektu neustále ospravedlňovat </w:t>
      </w:r>
      <w:r w:rsidR="009A3358">
        <w:t xml:space="preserve">ze své holé existence. Tento ontologický náhled na svět vzala </w:t>
      </w:r>
      <w:r w:rsidR="009A3358" w:rsidRPr="009A3358">
        <w:t xml:space="preserve">protestantská kapitalistická etika za základ </w:t>
      </w:r>
      <w:r w:rsidR="009A3358">
        <w:t xml:space="preserve">sekularizované </w:t>
      </w:r>
      <w:r w:rsidR="009A3358" w:rsidRPr="009A3358">
        <w:t>nauky o ospravedlnění.</w:t>
      </w:r>
      <w:r w:rsidR="009A3358">
        <w:t xml:space="preserve"> </w:t>
      </w:r>
      <w:r w:rsidR="00A20C0A" w:rsidRPr="003D1E07">
        <w:t xml:space="preserve">Další </w:t>
      </w:r>
      <w:r w:rsidR="08F61EBC" w:rsidRPr="003D1E07">
        <w:t xml:space="preserve">dva díly </w:t>
      </w:r>
      <w:r w:rsidR="00A20C0A" w:rsidRPr="003D1E07">
        <w:t xml:space="preserve">ukáží, jak tuto demiurgickou aktivitu v latinském avicennismu aktualizoval Bonaventura a po něm Olivi. </w:t>
      </w:r>
      <w:r w:rsidR="00F02C69">
        <w:t xml:space="preserve">Na těchto falešných premisách </w:t>
      </w:r>
      <w:r w:rsidR="00CC7CF4" w:rsidRPr="00CC7CF4">
        <w:t xml:space="preserve">se současně zrodilo </w:t>
      </w:r>
      <w:r w:rsidR="00F02C69">
        <w:t>pseudo-</w:t>
      </w:r>
      <w:r w:rsidR="00CC7CF4" w:rsidRPr="00CC7CF4">
        <w:t>mystické a kapitalistické dobývání světa.</w:t>
      </w:r>
      <w:r w:rsidR="00CC7CF4">
        <w:t xml:space="preserve"> </w:t>
      </w:r>
      <w:r w:rsidR="08395283" w:rsidRPr="003D1E07">
        <w:t xml:space="preserve">Citát ukazuje moderní způsob </w:t>
      </w:r>
      <w:r w:rsidR="00C90EFD">
        <w:t xml:space="preserve">invizičně založeného </w:t>
      </w:r>
      <w:r w:rsidR="08395283" w:rsidRPr="003D1E07">
        <w:t xml:space="preserve">poznání, </w:t>
      </w:r>
      <w:r w:rsidR="00C90EFD">
        <w:t xml:space="preserve">v němž </w:t>
      </w:r>
      <w:r w:rsidR="08395283" w:rsidRPr="003D1E07">
        <w:t xml:space="preserve">intelekt </w:t>
      </w:r>
      <w:r w:rsidR="00C90EFD">
        <w:t xml:space="preserve">dostal </w:t>
      </w:r>
      <w:r w:rsidR="08382463" w:rsidRPr="003D1E07">
        <w:t xml:space="preserve">autonomní schopnost poznání mimo smysly. </w:t>
      </w:r>
      <w:r w:rsidR="085875A0" w:rsidRPr="003D1E07">
        <w:t>V</w:t>
      </w:r>
      <w:r w:rsidR="08382463" w:rsidRPr="003D1E07">
        <w:t xml:space="preserve">ýkonem </w:t>
      </w:r>
      <w:r w:rsidR="083751E5" w:rsidRPr="003D1E07">
        <w:t xml:space="preserve">sebereflexe </w:t>
      </w:r>
      <w:r w:rsidR="085875A0" w:rsidRPr="003D1E07">
        <w:t xml:space="preserve">na stálé a aktuální formy poznání </w:t>
      </w:r>
      <w:r w:rsidR="08382463" w:rsidRPr="003D1E07">
        <w:t>se z</w:t>
      </w:r>
      <w:r w:rsidR="08C200FD" w:rsidRPr="003D1E07">
        <w:t>ajistí aktu</w:t>
      </w:r>
      <w:r w:rsidR="00CF4F72" w:rsidRPr="003D1E07">
        <w:t>a</w:t>
      </w:r>
      <w:r w:rsidR="08C200FD" w:rsidRPr="003D1E07">
        <w:t>lita prvních principů poznání</w:t>
      </w:r>
      <w:r w:rsidR="00D56613" w:rsidRPr="003D1E07">
        <w:t xml:space="preserve"> v modu evidentní jistoty (</w:t>
      </w:r>
      <w:r w:rsidR="00D56613" w:rsidRPr="003D1E07">
        <w:rPr>
          <w:i/>
        </w:rPr>
        <w:t>certitudo</w:t>
      </w:r>
      <w:r w:rsidR="00D56613" w:rsidRPr="003D1E07">
        <w:t xml:space="preserve">). </w:t>
      </w:r>
      <w:r w:rsidR="00557DB6" w:rsidRPr="003D1E07">
        <w:t xml:space="preserve">Moderní </w:t>
      </w:r>
      <w:r w:rsidR="088B10EF" w:rsidRPr="003D1E07">
        <w:t>poznání je v pravé</w:t>
      </w:r>
      <w:r w:rsidR="00255AD1">
        <w:t>m smyslu speku</w:t>
      </w:r>
      <w:r w:rsidR="00FE3DBB">
        <w:t>lativní (</w:t>
      </w:r>
      <w:r w:rsidR="00FE3DBB" w:rsidRPr="00FE3DBB">
        <w:rPr>
          <w:i/>
        </w:rPr>
        <w:t>veritas</w:t>
      </w:r>
      <w:r w:rsidR="007D4343">
        <w:rPr>
          <w:i/>
        </w:rPr>
        <w:fldChar w:fldCharType="begin"/>
      </w:r>
      <w:r w:rsidR="007D4343">
        <w:instrText xml:space="preserve"> XE "</w:instrText>
      </w:r>
      <w:r w:rsidR="007D4343" w:rsidRPr="00060707">
        <w:rPr>
          <w:i/>
        </w:rPr>
        <w:instrText>veritas</w:instrText>
      </w:r>
      <w:r w:rsidR="007D4343">
        <w:instrText xml:space="preserve">" </w:instrText>
      </w:r>
      <w:r w:rsidR="007D4343">
        <w:rPr>
          <w:i/>
        </w:rPr>
        <w:fldChar w:fldCharType="end"/>
      </w:r>
      <w:r w:rsidR="00FE3DBB">
        <w:t>)</w:t>
      </w:r>
      <w:r w:rsidR="00255AD1">
        <w:t>. Ř</w:t>
      </w:r>
      <w:r w:rsidR="088B10EF" w:rsidRPr="003D1E07">
        <w:t xml:space="preserve">ád </w:t>
      </w:r>
      <w:r w:rsidR="009D6D61">
        <w:t xml:space="preserve">poznání založený na </w:t>
      </w:r>
      <w:r w:rsidR="088B10EF" w:rsidRPr="003D1E07">
        <w:t>první</w:t>
      </w:r>
      <w:r w:rsidR="009D6D61">
        <w:t>ch principech</w:t>
      </w:r>
      <w:r w:rsidR="088B10EF" w:rsidRPr="003D1E07">
        <w:t xml:space="preserve"> je</w:t>
      </w:r>
      <w:r w:rsidR="004A0F04">
        <w:t xml:space="preserve"> totiž </w:t>
      </w:r>
      <w:r w:rsidR="088B10EF" w:rsidRPr="003D1E07">
        <w:t>zrcadlem (</w:t>
      </w:r>
      <w:r w:rsidR="088B10EF" w:rsidRPr="003D1E07">
        <w:rPr>
          <w:i/>
        </w:rPr>
        <w:t>speculum</w:t>
      </w:r>
      <w:r w:rsidR="088B10EF" w:rsidRPr="003D1E07">
        <w:t xml:space="preserve">) kosmického řádu s jeho organizujícími principy. </w:t>
      </w:r>
      <w:r w:rsidR="00471EA5" w:rsidRPr="003D1E07">
        <w:t xml:space="preserve">Tyto principy pak zakládají porozumění v hierachické struktuře </w:t>
      </w:r>
      <w:r w:rsidR="00471EA5">
        <w:t xml:space="preserve">vědy, která zrcadlí </w:t>
      </w:r>
      <w:r w:rsidR="00471EA5" w:rsidRPr="003D1E07">
        <w:t>hierarchii kosmických inteligencí</w:t>
      </w:r>
      <w:r w:rsidR="00471EA5">
        <w:t xml:space="preserve"> </w:t>
      </w:r>
      <w:r w:rsidR="00471EA5">
        <w:rPr>
          <w:noProof w:val="0"/>
          <w:lang w:val="fr-FR"/>
        </w:rPr>
        <w:t>(</w:t>
      </w:r>
      <w:r w:rsidR="00471EA5">
        <w:rPr>
          <w:i/>
          <w:noProof w:val="0"/>
          <w:lang w:val="fr-FR"/>
        </w:rPr>
        <w:t>rectitudo</w:t>
      </w:r>
      <w:r w:rsidR="00471EA5">
        <w:rPr>
          <w:i/>
          <w:noProof w:val="0"/>
          <w:lang w:val="fr-FR"/>
        </w:rPr>
        <w:fldChar w:fldCharType="begin"/>
      </w:r>
      <w:r w:rsidR="00471EA5">
        <w:instrText xml:space="preserve"> XE "</w:instrText>
      </w:r>
      <w:r w:rsidR="00471EA5">
        <w:rPr>
          <w:i/>
          <w:noProof w:val="0"/>
          <w:lang w:val="fr-FR"/>
        </w:rPr>
        <w:instrText>rectitudo</w:instrText>
      </w:r>
      <w:r w:rsidR="00471EA5">
        <w:instrText xml:space="preserve">" </w:instrText>
      </w:r>
      <w:r w:rsidR="00471EA5">
        <w:rPr>
          <w:i/>
          <w:noProof w:val="0"/>
          <w:lang w:val="fr-FR"/>
        </w:rPr>
        <w:fldChar w:fldCharType="end"/>
      </w:r>
      <w:r w:rsidR="00471EA5">
        <w:rPr>
          <w:noProof w:val="0"/>
          <w:lang w:val="fr-FR"/>
        </w:rPr>
        <w:t>)</w:t>
      </w:r>
      <w:r w:rsidR="00471EA5" w:rsidRPr="003D1E07">
        <w:t xml:space="preserve">. </w:t>
      </w:r>
      <w:r w:rsidR="004A2D74" w:rsidRPr="003D1E07">
        <w:t>I</w:t>
      </w:r>
      <w:r w:rsidR="00623387" w:rsidRPr="003D1E07">
        <w:t>ntuice prvních principů a subsistent</w:t>
      </w:r>
      <w:r w:rsidR="00B11E41" w:rsidRPr="003D1E07">
        <w:t>n</w:t>
      </w:r>
      <w:r w:rsidR="00623387" w:rsidRPr="003D1E07">
        <w:t xml:space="preserve">ích forem poznaných </w:t>
      </w:r>
      <w:r w:rsidR="00B5139F" w:rsidRPr="003D1E07">
        <w:t xml:space="preserve">v rámci </w:t>
      </w:r>
      <w:r w:rsidR="004A2D74" w:rsidRPr="003D1E07">
        <w:t xml:space="preserve">intelektu </w:t>
      </w:r>
      <w:r w:rsidR="00B5139F" w:rsidRPr="003D1E07">
        <w:t xml:space="preserve">nasvíceného </w:t>
      </w:r>
      <w:r w:rsidR="00623D7E" w:rsidRPr="003D1E07">
        <w:t>zezadu představuje základní schéma poznání moderny</w:t>
      </w:r>
      <w:r w:rsidR="085875A0" w:rsidRPr="003D1E07">
        <w:t xml:space="preserve">. </w:t>
      </w:r>
      <w:r w:rsidR="00B53D2C" w:rsidRPr="003D1E07">
        <w:t xml:space="preserve">Demiurgický potenciál </w:t>
      </w:r>
      <w:r w:rsidR="003D5025" w:rsidRPr="003D1E07">
        <w:t xml:space="preserve">moderny </w:t>
      </w:r>
      <w:r w:rsidR="08F12C80" w:rsidRPr="003D1E07">
        <w:t xml:space="preserve">v modu pořádajícího poznání </w:t>
      </w:r>
      <w:r w:rsidR="00B53D2C" w:rsidRPr="003D1E07">
        <w:t xml:space="preserve">vzniká </w:t>
      </w:r>
      <w:r w:rsidR="00881C78">
        <w:t xml:space="preserve">objektivním </w:t>
      </w:r>
      <w:r w:rsidR="08382463" w:rsidRPr="003D1E07">
        <w:t>napojení</w:t>
      </w:r>
      <w:r w:rsidR="00B53D2C" w:rsidRPr="003D1E07">
        <w:t>m</w:t>
      </w:r>
      <w:r w:rsidR="08382463" w:rsidRPr="003D1E07">
        <w:t xml:space="preserve"> na oddělený </w:t>
      </w:r>
      <w:r w:rsidR="08382463" w:rsidRPr="003D1E07">
        <w:rPr>
          <w:i/>
        </w:rPr>
        <w:lastRenderedPageBreak/>
        <w:t>intellectus agen</w:t>
      </w:r>
      <w:r w:rsidR="00260B7A" w:rsidRPr="003D1E07">
        <w:rPr>
          <w:i/>
        </w:rPr>
        <w:t>s.</w:t>
      </w:r>
      <w:r w:rsidR="00260B7A" w:rsidRPr="003D1E07">
        <w:t xml:space="preserve"> Darovaný intelekt (</w:t>
      </w:r>
      <w:r w:rsidR="00260B7A" w:rsidRPr="003D1E07">
        <w:rPr>
          <w:i/>
        </w:rPr>
        <w:t>intellectus adeptus</w:t>
      </w:r>
      <w:r w:rsidR="00260B7A" w:rsidRPr="003D1E07">
        <w:t>) provádí proces iluminace jako lidský subjekt poznání (</w:t>
      </w:r>
      <w:r w:rsidR="00260B7A" w:rsidRPr="003D1E07">
        <w:rPr>
          <w:i/>
        </w:rPr>
        <w:t>intellectus in effectu</w:t>
      </w:r>
      <w:r w:rsidR="00260B7A" w:rsidRPr="003D1E07">
        <w:rPr>
          <w:i/>
        </w:rPr>
        <w:fldChar w:fldCharType="begin"/>
      </w:r>
      <w:r w:rsidR="00260B7A" w:rsidRPr="003D1E07">
        <w:instrText xml:space="preserve"> XE "</w:instrText>
      </w:r>
      <w:r w:rsidR="00260B7A" w:rsidRPr="003D1E07">
        <w:rPr>
          <w:i/>
        </w:rPr>
        <w:instrText>intellectus in effectu</w:instrText>
      </w:r>
      <w:r w:rsidR="00260B7A" w:rsidRPr="003D1E07">
        <w:instrText xml:space="preserve">" </w:instrText>
      </w:r>
      <w:r w:rsidR="00260B7A" w:rsidRPr="003D1E07">
        <w:rPr>
          <w:i/>
        </w:rPr>
        <w:fldChar w:fldCharType="end"/>
      </w:r>
      <w:r w:rsidR="00260B7A" w:rsidRPr="003D1E07">
        <w:t xml:space="preserve">). </w:t>
      </w:r>
      <w:r w:rsidR="08382463" w:rsidRPr="003D1E07">
        <w:t>Nasvícení</w:t>
      </w:r>
      <w:r w:rsidR="008B12A6" w:rsidRPr="003D1E07">
        <w:t xml:space="preserve"> intelektu běž</w:t>
      </w:r>
      <w:r w:rsidR="00CF4F72" w:rsidRPr="003D1E07">
        <w:t xml:space="preserve">í zezadu, od odděleného činného intelektu. </w:t>
      </w:r>
      <w:r w:rsidR="008B12A6" w:rsidRPr="003D1E07">
        <w:t xml:space="preserve">Díky jeho konjukci s individuálním darovaným intelektem vzniká </w:t>
      </w:r>
      <w:r w:rsidR="00CF4F72" w:rsidRPr="003D1E07">
        <w:t xml:space="preserve">iluminace daná nasvícením uvnitř duše. </w:t>
      </w:r>
      <w:r w:rsidR="0045257F">
        <w:t xml:space="preserve">Pokud jde o kauzální nexus, který zakládá princip </w:t>
      </w:r>
      <w:r w:rsidR="00BB6C23" w:rsidRPr="00BB6C23">
        <w:t>moderní</w:t>
      </w:r>
      <w:r w:rsidR="007A5F7C">
        <w:t>ho vědění</w:t>
      </w:r>
      <w:r w:rsidR="0045257F">
        <w:t xml:space="preserve">, tak </w:t>
      </w:r>
      <w:r w:rsidR="0060085D">
        <w:t xml:space="preserve">ten </w:t>
      </w:r>
      <w:r w:rsidR="0045257F">
        <w:t xml:space="preserve">je kompletně </w:t>
      </w:r>
      <w:r w:rsidR="00BB6C23" w:rsidRPr="00BB6C23">
        <w:t xml:space="preserve">mytologický. </w:t>
      </w:r>
      <w:r w:rsidR="00CF4F72" w:rsidRPr="003D1E07">
        <w:t>S</w:t>
      </w:r>
      <w:r w:rsidR="08382463" w:rsidRPr="003D1E07">
        <w:t xml:space="preserve">ebereflexí </w:t>
      </w:r>
      <w:r w:rsidR="00CD174A" w:rsidRPr="003D1E07">
        <w:t>daro</w:t>
      </w:r>
      <w:r w:rsidR="00CF4F72" w:rsidRPr="003D1E07">
        <w:t xml:space="preserve">vaného aktuálního intelektu </w:t>
      </w:r>
      <w:r w:rsidR="08382463" w:rsidRPr="003D1E07">
        <w:t>na první principy poznání vznikne první a nejvyšší forma poznání jako přímého náhledu do prvních principů a poznávacích forem (</w:t>
      </w:r>
      <w:r w:rsidR="00E265BD" w:rsidRPr="003D1E07">
        <w:rPr>
          <w:i/>
        </w:rPr>
        <w:t>ipsa inspectio</w:t>
      </w:r>
      <w:r w:rsidR="08382463" w:rsidRPr="003D1E07">
        <w:t xml:space="preserve">). </w:t>
      </w:r>
      <w:r w:rsidR="08553815" w:rsidRPr="003D1E07">
        <w:t xml:space="preserve">Tento přímý náhled na aktuálně dané principy poznání tvoří </w:t>
      </w:r>
      <w:r w:rsidR="08553815" w:rsidRPr="003D1E07">
        <w:rPr>
          <w:i/>
        </w:rPr>
        <w:t>Lichtung</w:t>
      </w:r>
      <w:r w:rsidR="08553815" w:rsidRPr="003D1E07">
        <w:t xml:space="preserve"> západní moderny, protože oddělil poznání od aristotelské kategoriální determinace dané skrze </w:t>
      </w:r>
      <w:r w:rsidR="089108A9" w:rsidRPr="003D1E07">
        <w:t xml:space="preserve">metafyzický </w:t>
      </w:r>
      <w:r w:rsidR="08553815" w:rsidRPr="003D1E07">
        <w:t xml:space="preserve">dativ. </w:t>
      </w:r>
      <w:r w:rsidR="00E244FA" w:rsidRPr="003D1E07">
        <w:t xml:space="preserve">Latinský avicennismus převzal tento </w:t>
      </w:r>
      <w:r w:rsidR="00B70B42" w:rsidRPr="003D1E07">
        <w:t xml:space="preserve">dvojí </w:t>
      </w:r>
      <w:r w:rsidR="00E244FA" w:rsidRPr="003D1E07">
        <w:t>náhled o</w:t>
      </w:r>
      <w:r w:rsidR="08577593" w:rsidRPr="003D1E07">
        <w:t xml:space="preserve">d Grossetesteho výkladu v modu </w:t>
      </w:r>
      <w:r w:rsidR="00E244FA" w:rsidRPr="003D1E07">
        <w:rPr>
          <w:i/>
        </w:rPr>
        <w:t>scientia simplex</w:t>
      </w:r>
      <w:r w:rsidR="00A070B9" w:rsidRPr="003D1E07">
        <w:rPr>
          <w:i/>
        </w:rPr>
        <w:fldChar w:fldCharType="begin"/>
      </w:r>
      <w:r w:rsidR="00A070B9" w:rsidRPr="003D1E07">
        <w:instrText xml:space="preserve"> XE "</w:instrText>
      </w:r>
      <w:r w:rsidR="00C07FB9" w:rsidRPr="003D1E07">
        <w:instrText>vidění:eidetické</w:instrText>
      </w:r>
      <w:r w:rsidR="00A070B9" w:rsidRPr="003D1E07">
        <w:instrText xml:space="preserve">" </w:instrText>
      </w:r>
      <w:r w:rsidR="00A070B9" w:rsidRPr="003D1E07">
        <w:rPr>
          <w:i/>
        </w:rPr>
        <w:fldChar w:fldCharType="end"/>
      </w:r>
      <w:r w:rsidR="00B70B42" w:rsidRPr="003D1E07">
        <w:t>. N</w:t>
      </w:r>
      <w:r w:rsidR="08382463" w:rsidRPr="003D1E07">
        <w:t xml:space="preserve">a náhled </w:t>
      </w:r>
      <w:r w:rsidR="00E244FA" w:rsidRPr="003D1E07">
        <w:t xml:space="preserve">první </w:t>
      </w:r>
      <w:r w:rsidR="0035792A">
        <w:t xml:space="preserve">spekulativní </w:t>
      </w:r>
      <w:r w:rsidR="00E244FA" w:rsidRPr="003D1E07">
        <w:t xml:space="preserve">vědy </w:t>
      </w:r>
      <w:r w:rsidR="007B3083">
        <w:t xml:space="preserve">se dodatečně </w:t>
      </w:r>
      <w:r w:rsidR="08382463" w:rsidRPr="003D1E07">
        <w:t xml:space="preserve">naváže </w:t>
      </w:r>
      <w:r w:rsidR="00E244FA" w:rsidRPr="003D1E07">
        <w:t>pr</w:t>
      </w:r>
      <w:r w:rsidR="08577593" w:rsidRPr="003D1E07">
        <w:t xml:space="preserve">oces vyvozování empirických závěrů v rámci aristotelské </w:t>
      </w:r>
      <w:r w:rsidR="08382463" w:rsidRPr="003D1E07">
        <w:rPr>
          <w:i/>
        </w:rPr>
        <w:t>scientia cogitabilis</w:t>
      </w:r>
      <w:r w:rsidR="00A070B9" w:rsidRPr="003D1E07">
        <w:rPr>
          <w:i/>
        </w:rPr>
        <w:fldChar w:fldCharType="begin"/>
      </w:r>
      <w:r w:rsidR="00A070B9" w:rsidRPr="003D1E07">
        <w:instrText xml:space="preserve"> XE "</w:instrText>
      </w:r>
      <w:r w:rsidR="00A070B9" w:rsidRPr="003D1E07">
        <w:rPr>
          <w:i/>
        </w:rPr>
        <w:instrText>scientia cogitabilis</w:instrText>
      </w:r>
      <w:r w:rsidR="00A070B9" w:rsidRPr="003D1E07">
        <w:instrText xml:space="preserve">" </w:instrText>
      </w:r>
      <w:r w:rsidR="00A070B9" w:rsidRPr="003D1E07">
        <w:rPr>
          <w:i/>
        </w:rPr>
        <w:fldChar w:fldCharType="end"/>
      </w:r>
      <w:r w:rsidR="00B70B42" w:rsidRPr="003D1E07">
        <w:t xml:space="preserve"> (</w:t>
      </w:r>
      <w:r w:rsidR="08F5528A" w:rsidRPr="003D1E07">
        <w:t>OBJ II, kap. 3</w:t>
      </w:r>
      <w:r w:rsidR="00B70B42" w:rsidRPr="003D1E07">
        <w:t>.1.1)</w:t>
      </w:r>
      <w:r w:rsidR="00E244FA" w:rsidRPr="003D1E07">
        <w:t xml:space="preserve">. </w:t>
      </w:r>
      <w:r w:rsidR="00B70B42" w:rsidRPr="003D1E07">
        <w:t>Řetěz dedu</w:t>
      </w:r>
      <w:r w:rsidR="00E244FA" w:rsidRPr="003D1E07">
        <w:t>k</w:t>
      </w:r>
      <w:r w:rsidR="00B70B42" w:rsidRPr="003D1E07">
        <w:t>c</w:t>
      </w:r>
      <w:r w:rsidR="00E244FA" w:rsidRPr="003D1E07">
        <w:t xml:space="preserve">í v </w:t>
      </w:r>
      <w:r w:rsidR="08382463" w:rsidRPr="003D1E07">
        <w:t xml:space="preserve">rámci rozšířeného procesu poznání zařadí jednotlivé empirické poznatky do předem dané formální stavby poznání. </w:t>
      </w:r>
      <w:r w:rsidR="002725B2" w:rsidRPr="003D1E07">
        <w:t>Tím je založeno v</w:t>
      </w:r>
      <w:r w:rsidR="001C385A" w:rsidRPr="003D1E07">
        <w:t>idění světa v modu moderní objek</w:t>
      </w:r>
      <w:r w:rsidR="002725B2" w:rsidRPr="003D1E07">
        <w:t>tivity</w:t>
      </w:r>
      <w:r w:rsidR="002317D3">
        <w:t xml:space="preserve"> </w:t>
      </w:r>
      <w:r w:rsidR="089C1F0C" w:rsidRPr="003D1E07">
        <w:t xml:space="preserve">jako </w:t>
      </w:r>
      <w:r w:rsidR="002317D3">
        <w:t>emanace objektivních forem do lidského intelektu (</w:t>
      </w:r>
      <w:r w:rsidR="089C1F0C" w:rsidRPr="003D1E07">
        <w:rPr>
          <w:i/>
        </w:rPr>
        <w:t>emanatio ordinandi</w:t>
      </w:r>
      <w:r w:rsidR="002317D3">
        <w:t xml:space="preserve">). </w:t>
      </w:r>
      <w:r w:rsidR="08B30FE3" w:rsidRPr="003D1E07">
        <w:rPr>
          <w:rStyle w:val="FontStyle129"/>
          <w:rFonts w:ascii="Calibri" w:hAnsi="Calibri"/>
          <w:sz w:val="24"/>
        </w:rPr>
        <w:t xml:space="preserve">Rozdíl od výše uvedeného pojetí </w:t>
      </w:r>
      <w:r w:rsidR="00B713C5" w:rsidRPr="003D1E07">
        <w:rPr>
          <w:rStyle w:val="FontStyle129"/>
          <w:rFonts w:ascii="Calibri" w:hAnsi="Calibri"/>
          <w:i/>
          <w:sz w:val="24"/>
        </w:rPr>
        <w:t>De anima</w:t>
      </w:r>
      <w:r w:rsidR="08B30FE3" w:rsidRPr="003D1E07">
        <w:rPr>
          <w:rStyle w:val="FontStyle129"/>
          <w:rFonts w:ascii="Calibri" w:hAnsi="Calibri"/>
          <w:sz w:val="24"/>
        </w:rPr>
        <w:t xml:space="preserve">, kde duše vystupuje jako aristotelská </w:t>
      </w:r>
      <w:r w:rsidR="08B30FE3" w:rsidRPr="003D1E07">
        <w:rPr>
          <w:rStyle w:val="FontStyle129"/>
          <w:rFonts w:ascii="Calibri" w:hAnsi="Calibri"/>
          <w:i/>
          <w:sz w:val="24"/>
        </w:rPr>
        <w:t>tabula rasa</w:t>
      </w:r>
      <w:r w:rsidR="008702D7" w:rsidRPr="003D1E07">
        <w:rPr>
          <w:rStyle w:val="FontStyle129"/>
          <w:rFonts w:ascii="Calibri" w:hAnsi="Calibri"/>
          <w:i/>
          <w:sz w:val="24"/>
        </w:rPr>
        <w:fldChar w:fldCharType="begin"/>
      </w:r>
      <w:r w:rsidR="008702D7" w:rsidRPr="003D1E07">
        <w:instrText xml:space="preserve"> XE "</w:instrText>
      </w:r>
      <w:r w:rsidR="008702D7" w:rsidRPr="003D1E07">
        <w:rPr>
          <w:i/>
        </w:rPr>
        <w:instrText>tabula rasa</w:instrText>
      </w:r>
      <w:r w:rsidR="008702D7" w:rsidRPr="003D1E07">
        <w:instrText xml:space="preserve">" </w:instrText>
      </w:r>
      <w:r w:rsidR="008702D7" w:rsidRPr="003D1E07">
        <w:rPr>
          <w:rStyle w:val="FontStyle129"/>
          <w:rFonts w:ascii="Calibri" w:hAnsi="Calibri"/>
          <w:i/>
          <w:sz w:val="24"/>
        </w:rPr>
        <w:fldChar w:fldCharType="end"/>
      </w:r>
      <w:r w:rsidR="08B30FE3" w:rsidRPr="003D1E07">
        <w:rPr>
          <w:rStyle w:val="FontStyle129"/>
          <w:rFonts w:ascii="Calibri" w:hAnsi="Calibri"/>
          <w:sz w:val="24"/>
        </w:rPr>
        <w:t>, je naprosto zásadní. Primárním s</w:t>
      </w:r>
      <w:r w:rsidR="08B30FE3" w:rsidRPr="003D1E07">
        <w:t xml:space="preserve">ubjektem poznání je Avicennův aktivní intelekt či </w:t>
      </w:r>
      <w:r w:rsidR="005D03D9" w:rsidRPr="003D1E07">
        <w:t>kartezi</w:t>
      </w:r>
      <w:r w:rsidR="08B30FE3" w:rsidRPr="003D1E07">
        <w:t xml:space="preserve">ánské </w:t>
      </w:r>
      <w:r w:rsidR="08B30FE3" w:rsidRPr="003D1E07">
        <w:rPr>
          <w:i/>
        </w:rPr>
        <w:t>cogito</w:t>
      </w:r>
      <w:r w:rsidR="08B30FE3" w:rsidRPr="003D1E07">
        <w:t xml:space="preserve"> </w:t>
      </w:r>
      <w:r w:rsidR="00303907" w:rsidRPr="003D1E07">
        <w:rPr>
          <w:i/>
        </w:rPr>
        <w:fldChar w:fldCharType="begin"/>
      </w:r>
      <w:r w:rsidR="00303907" w:rsidRPr="003D1E07">
        <w:instrText xml:space="preserve"> XE "</w:instrText>
      </w:r>
      <w:r w:rsidR="00303907" w:rsidRPr="003D1E07">
        <w:rPr>
          <w:i/>
        </w:rPr>
        <w:instrText>cogito</w:instrText>
      </w:r>
      <w:r w:rsidR="00303907" w:rsidRPr="003D1E07">
        <w:instrText xml:space="preserve">" </w:instrText>
      </w:r>
      <w:r w:rsidR="00303907" w:rsidRPr="003D1E07">
        <w:rPr>
          <w:i/>
        </w:rPr>
        <w:fldChar w:fldCharType="end"/>
      </w:r>
      <w:r w:rsidR="08B30FE3" w:rsidRPr="003D1E07">
        <w:t>a výkon poznání představuje recepce obsahů generovaných v duši poznávajícího subjektu aktivním intelektem.</w:t>
      </w:r>
      <w:r w:rsidR="082D0884" w:rsidRPr="003D1E07">
        <w:t xml:space="preserve"> </w:t>
      </w:r>
      <w:r w:rsidR="00DE2991" w:rsidRPr="00DE2991">
        <w:t>Epocha antropocénu je nutným a zcela tragickým důsledkem tohoto metafyzického omylu.</w:t>
      </w:r>
    </w:p>
    <w:p w14:paraId="75890717" w14:textId="520E8B6F" w:rsidR="001A5AED" w:rsidRDefault="08B02759" w:rsidP="084C43EB">
      <w:r w:rsidRPr="003D1E07">
        <w:tab/>
      </w:r>
      <w:r w:rsidR="00A07961" w:rsidRPr="003D1E07">
        <w:t xml:space="preserve">Devalvaci poznání reálného světa prvních substancí potvrzuje </w:t>
      </w:r>
      <w:r w:rsidR="081106BC" w:rsidRPr="003D1E07">
        <w:t xml:space="preserve">již </w:t>
      </w:r>
      <w:r w:rsidR="083751E5" w:rsidRPr="003D1E07">
        <w:t xml:space="preserve">citovaný </w:t>
      </w:r>
      <w:r w:rsidRPr="003D1E07">
        <w:t xml:space="preserve">Avicennův spis </w:t>
      </w:r>
      <w:r w:rsidRPr="003D1E07">
        <w:rPr>
          <w:i/>
        </w:rPr>
        <w:t>Kitāb al-Najāt</w:t>
      </w:r>
      <w:r w:rsidRPr="003D1E07">
        <w:t xml:space="preserve">. </w:t>
      </w:r>
      <w:r w:rsidR="00A20387" w:rsidRPr="003D1E07">
        <w:t>Z</w:t>
      </w:r>
      <w:r w:rsidRPr="003D1E07">
        <w:t>ávěrečná a nejdůležitější kapitola spisu (kap. XVI) pojednávající spojení aktivního a pasivního intelektu v duši vidí v nejlepším případě pouze nepřímý přístup intelektu ke smyslově danému poznání</w:t>
      </w:r>
      <w:r w:rsidR="00A20387" w:rsidRPr="003D1E07">
        <w:t xml:space="preserve">, což zdůrazňuje </w:t>
      </w:r>
      <w:r w:rsidR="009B3E94" w:rsidRPr="003D1E07">
        <w:rPr>
          <w:lang w:eastAsia="en-US"/>
        </w:rPr>
        <w:t xml:space="preserve">Rahmanův </w:t>
      </w:r>
      <w:r w:rsidR="00A20387" w:rsidRPr="003D1E07">
        <w:t>komentář.</w:t>
      </w:r>
      <w:r w:rsidRPr="003D1E07">
        <w:rPr>
          <w:rStyle w:val="Znakapoznpodarou"/>
        </w:rPr>
        <w:footnoteReference w:id="142"/>
      </w:r>
      <w:r w:rsidRPr="003D1E07">
        <w:t xml:space="preserve"> </w:t>
      </w:r>
      <w:r w:rsidR="08360385" w:rsidRPr="003D1E07">
        <w:t>Klíčová věta říká, že smyslové obrazy nemají žádné kauzální spojení s inteligi</w:t>
      </w:r>
      <w:r w:rsidR="088C28E8" w:rsidRPr="003D1E07">
        <w:t>bilními</w:t>
      </w:r>
      <w:r w:rsidR="08360385" w:rsidRPr="003D1E07">
        <w:t xml:space="preserve"> obsahy. </w:t>
      </w:r>
      <w:r w:rsidRPr="003D1E07">
        <w:rPr>
          <w:rStyle w:val="FontStyle129"/>
          <w:rFonts w:ascii="Calibri" w:hAnsi="Calibri"/>
          <w:sz w:val="24"/>
        </w:rPr>
        <w:t xml:space="preserve">Podobný </w:t>
      </w:r>
      <w:r w:rsidRPr="003D1E07">
        <w:t xml:space="preserve">postup sledují Descartovy </w:t>
      </w:r>
      <w:r w:rsidRPr="003D1E07">
        <w:rPr>
          <w:i/>
        </w:rPr>
        <w:t>Meditationes de prima philosophia</w:t>
      </w:r>
      <w:r w:rsidR="00794A3A" w:rsidRPr="003D1E07">
        <w:t xml:space="preserve"> (1641).</w:t>
      </w:r>
      <w:r w:rsidRPr="003D1E07">
        <w:t xml:space="preserve"> </w:t>
      </w:r>
      <w:r w:rsidR="006F0B97" w:rsidRPr="003D1E07">
        <w:t xml:space="preserve">Bohem aktualizovaná a </w:t>
      </w:r>
      <w:r w:rsidRPr="003D1E07">
        <w:t xml:space="preserve">osvícená mysl ve výkonu </w:t>
      </w:r>
      <w:r w:rsidRPr="003D1E07">
        <w:rPr>
          <w:i/>
        </w:rPr>
        <w:t>cogito ergo sum</w:t>
      </w:r>
      <w:r w:rsidR="00726D3C" w:rsidRPr="003D1E07">
        <w:rPr>
          <w:i/>
        </w:rPr>
        <w:fldChar w:fldCharType="begin"/>
      </w:r>
      <w:r w:rsidR="00726D3C" w:rsidRPr="003D1E07">
        <w:instrText xml:space="preserve"> XE "</w:instrText>
      </w:r>
      <w:r w:rsidR="00726D3C" w:rsidRPr="003D1E07">
        <w:rPr>
          <w:i/>
        </w:rPr>
        <w:instrText>cogito</w:instrText>
      </w:r>
      <w:r w:rsidR="00726D3C" w:rsidRPr="003D1E07">
        <w:instrText xml:space="preserve"> </w:instrText>
      </w:r>
      <w:r w:rsidR="00726D3C" w:rsidRPr="003D1E07">
        <w:rPr>
          <w:i/>
        </w:rPr>
        <w:instrText>ergo sum</w:instrText>
      </w:r>
      <w:r w:rsidR="00726D3C" w:rsidRPr="003D1E07">
        <w:instrText xml:space="preserve">" </w:instrText>
      </w:r>
      <w:r w:rsidR="00726D3C" w:rsidRPr="003D1E07">
        <w:rPr>
          <w:i/>
        </w:rPr>
        <w:fldChar w:fldCharType="end"/>
      </w:r>
      <w:r w:rsidRPr="003D1E07">
        <w:t xml:space="preserve"> jde </w:t>
      </w:r>
      <w:r w:rsidR="006F0B97" w:rsidRPr="003D1E07">
        <w:t xml:space="preserve">následně a dodatečně </w:t>
      </w:r>
      <w:r w:rsidRPr="003D1E07">
        <w:t>k realitě první substance</w:t>
      </w:r>
      <w:r w:rsidR="00A70FA4" w:rsidRPr="003D1E07">
        <w:fldChar w:fldCharType="begin"/>
      </w:r>
      <w:r w:rsidR="00A70FA4" w:rsidRPr="003D1E07">
        <w:instrText xml:space="preserve"> XE "substance</w:instrText>
      </w:r>
      <w:r w:rsidR="00A070B9" w:rsidRPr="003D1E07">
        <w:instrText>:Descartes</w:instrText>
      </w:r>
      <w:r w:rsidR="00A70FA4" w:rsidRPr="003D1E07">
        <w:instrText xml:space="preserve">" </w:instrText>
      </w:r>
      <w:r w:rsidR="00A70FA4" w:rsidRPr="003D1E07">
        <w:fldChar w:fldCharType="end"/>
      </w:r>
      <w:r w:rsidRPr="003D1E07">
        <w:t xml:space="preserve"> dané ve světě. Pravdivost poznání není dána od smysly vnímané první substance</w:t>
      </w:r>
      <w:r w:rsidR="009F5DA7" w:rsidRPr="003D1E07">
        <w:t>. Přímý náhled na esence zajištěn</w:t>
      </w:r>
      <w:r w:rsidRPr="003D1E07">
        <w:t xml:space="preserve"> skrze ontoteologickou dedukci založenou na vrozené ideji boha v </w:t>
      </w:r>
      <w:r w:rsidRPr="003D1E07">
        <w:lastRenderedPageBreak/>
        <w:t xml:space="preserve">lidské mysli. </w:t>
      </w:r>
      <w:r w:rsidR="002317D3">
        <w:t>Tato objektivně-aktuální idea nahradila Avicennova objektivně-aktuálního dárce kosmických forem (</w:t>
      </w:r>
      <w:r w:rsidR="004319BF" w:rsidRPr="004319BF">
        <w:rPr>
          <w:i/>
        </w:rPr>
        <w:t>Dator formarum</w:t>
      </w:r>
      <w:r w:rsidR="002317D3">
        <w:t xml:space="preserve">). </w:t>
      </w:r>
      <w:r w:rsidRPr="003D1E07">
        <w:t>Smyslově vnímaná věc je</w:t>
      </w:r>
      <w:r w:rsidR="007E2BE7" w:rsidRPr="003D1E07">
        <w:t xml:space="preserve"> pro Descartovo </w:t>
      </w:r>
      <w:r w:rsidR="002F5C76" w:rsidRPr="003D1E07">
        <w:t xml:space="preserve">evidentní a jisté </w:t>
      </w:r>
      <w:r w:rsidR="007E2BE7" w:rsidRPr="003D1E07">
        <w:t>poznání</w:t>
      </w:r>
      <w:r w:rsidR="002F5C76" w:rsidRPr="003D1E07">
        <w:t xml:space="preserve"> nespolehlivá</w:t>
      </w:r>
      <w:r w:rsidR="00950F71" w:rsidRPr="003D1E07">
        <w:t xml:space="preserve">, proto </w:t>
      </w:r>
      <w:r w:rsidR="00133EE6" w:rsidRPr="003D1E07">
        <w:t xml:space="preserve">ji musí </w:t>
      </w:r>
      <w:r w:rsidR="00950F71" w:rsidRPr="003D1E07">
        <w:t>v prvním kroku poznání zcela uzávorkovat</w:t>
      </w:r>
      <w:r w:rsidRPr="003D1E07">
        <w:t xml:space="preserve">. </w:t>
      </w:r>
      <w:r w:rsidR="08244A00" w:rsidRPr="003D1E07">
        <w:t xml:space="preserve">Tato postmoderní </w:t>
      </w:r>
      <w:r w:rsidR="08244A00" w:rsidRPr="003D1E07">
        <w:rPr>
          <w:i/>
        </w:rPr>
        <w:t>epoché</w:t>
      </w:r>
      <w:r w:rsidR="08244A00" w:rsidRPr="003D1E07">
        <w:t xml:space="preserve"> navazuje na epochální zatmění první substance u Avicenny. </w:t>
      </w:r>
      <w:r w:rsidRPr="003D1E07">
        <w:t>Hylemorfická realita netvoří skutečný substrát poznání</w:t>
      </w:r>
      <w:r w:rsidR="00E57047">
        <w:t xml:space="preserve">. První reálná substance má </w:t>
      </w:r>
      <w:r w:rsidRPr="003D1E07">
        <w:t>pouh</w:t>
      </w:r>
      <w:r w:rsidR="00E57047">
        <w:t>ou podobnost</w:t>
      </w:r>
      <w:r w:rsidRPr="003D1E07">
        <w:t xml:space="preserve"> s originální </w:t>
      </w:r>
      <w:r w:rsidR="00651AB1">
        <w:t xml:space="preserve">cognitivní </w:t>
      </w:r>
      <w:r w:rsidRPr="003D1E07">
        <w:t xml:space="preserve">formou </w:t>
      </w:r>
      <w:r w:rsidR="08390147" w:rsidRPr="003D1E07">
        <w:t xml:space="preserve">darovanou v řádu emanace od kosmických inteligencí </w:t>
      </w:r>
      <w:r w:rsidRPr="003D1E07">
        <w:t xml:space="preserve">(Avicenna) nebo </w:t>
      </w:r>
      <w:r w:rsidR="00DE0ECC">
        <w:t xml:space="preserve">vlité </w:t>
      </w:r>
      <w:r w:rsidR="00651AB1">
        <w:t>poznání vzniklé skrze vrozenou ide</w:t>
      </w:r>
      <w:r w:rsidRPr="003D1E07">
        <w:t xml:space="preserve">u boha (Descartes). </w:t>
      </w:r>
      <w:r w:rsidR="00C82316" w:rsidRPr="003D1E07">
        <w:t>O</w:t>
      </w:r>
      <w:r w:rsidRPr="003D1E07">
        <w:t>svícení v</w:t>
      </w:r>
      <w:r w:rsidR="00C82316" w:rsidRPr="003D1E07">
        <w:t xml:space="preserve"> sebereflexi </w:t>
      </w:r>
      <w:r w:rsidRPr="003D1E07">
        <w:rPr>
          <w:i/>
        </w:rPr>
        <w:t>cogito</w:t>
      </w:r>
      <w:r w:rsidRPr="003D1E07">
        <w:t xml:space="preserve"> </w:t>
      </w:r>
      <w:r w:rsidRPr="003D1E07">
        <w:rPr>
          <w:i/>
        </w:rPr>
        <w:t>ergo sum</w:t>
      </w:r>
      <w:r w:rsidR="00303907" w:rsidRPr="003D1E07">
        <w:rPr>
          <w:i/>
        </w:rPr>
        <w:fldChar w:fldCharType="begin"/>
      </w:r>
      <w:r w:rsidR="00303907" w:rsidRPr="003D1E07">
        <w:instrText xml:space="preserve"> XE "</w:instrText>
      </w:r>
      <w:r w:rsidR="00303907" w:rsidRPr="003D1E07">
        <w:rPr>
          <w:i/>
        </w:rPr>
        <w:instrText>cogito</w:instrText>
      </w:r>
      <w:r w:rsidR="00303907" w:rsidRPr="003D1E07">
        <w:instrText xml:space="preserve"> </w:instrText>
      </w:r>
      <w:r w:rsidR="00303907" w:rsidRPr="003D1E07">
        <w:rPr>
          <w:i/>
        </w:rPr>
        <w:instrText>ergo sum</w:instrText>
      </w:r>
      <w:r w:rsidR="00303907" w:rsidRPr="003D1E07">
        <w:instrText xml:space="preserve">" </w:instrText>
      </w:r>
      <w:r w:rsidR="00303907" w:rsidRPr="003D1E07">
        <w:rPr>
          <w:i/>
        </w:rPr>
        <w:fldChar w:fldCharType="end"/>
      </w:r>
      <w:r w:rsidRPr="003D1E07">
        <w:t xml:space="preserve"> </w:t>
      </w:r>
      <w:r w:rsidR="00C82316" w:rsidRPr="003D1E07">
        <w:t>je spojen</w:t>
      </w:r>
      <w:r w:rsidR="00A34678" w:rsidRPr="003D1E07">
        <w:t>o</w:t>
      </w:r>
      <w:r w:rsidR="00C82316" w:rsidRPr="003D1E07">
        <w:t xml:space="preserve"> s </w:t>
      </w:r>
      <w:r w:rsidRPr="003D1E07">
        <w:t>odmítnutí</w:t>
      </w:r>
      <w:r w:rsidR="00C82316" w:rsidRPr="003D1E07">
        <w:t>m</w:t>
      </w:r>
      <w:r w:rsidRPr="003D1E07">
        <w:t xml:space="preserve"> nižších stupňů jistoty poznání. </w:t>
      </w:r>
      <w:r w:rsidR="0079579C" w:rsidRPr="003D1E07">
        <w:t xml:space="preserve">Úkon </w:t>
      </w:r>
      <w:r w:rsidR="08A52C24" w:rsidRPr="003D1E07">
        <w:t xml:space="preserve">karteziánské </w:t>
      </w:r>
      <w:r w:rsidR="0079579C" w:rsidRPr="003D1E07">
        <w:t>sebereflexe</w:t>
      </w:r>
      <w:r w:rsidR="080022E3" w:rsidRPr="003D1E07">
        <w:t xml:space="preserve"> </w:t>
      </w:r>
      <w:r w:rsidR="00CE7928" w:rsidRPr="003D1E07">
        <w:t xml:space="preserve">splňuje všechny </w:t>
      </w:r>
      <w:r w:rsidR="00DC317D" w:rsidRPr="003D1E07">
        <w:t xml:space="preserve">základní </w:t>
      </w:r>
      <w:r w:rsidR="00CE7928" w:rsidRPr="003D1E07">
        <w:t xml:space="preserve">znaky Avicennova </w:t>
      </w:r>
      <w:r w:rsidR="00CE7928" w:rsidRPr="003D1E07">
        <w:rPr>
          <w:i/>
        </w:rPr>
        <w:t>denudatio</w:t>
      </w:r>
      <w:r w:rsidR="00D44795" w:rsidRPr="003D1E07">
        <w:rPr>
          <w:i/>
        </w:rPr>
        <w:fldChar w:fldCharType="begin"/>
      </w:r>
      <w:r w:rsidR="00D44795" w:rsidRPr="003D1E07">
        <w:instrText xml:space="preserve"> XE "</w:instrText>
      </w:r>
      <w:r w:rsidR="00D44795" w:rsidRPr="003D1E07">
        <w:rPr>
          <w:i/>
        </w:rPr>
        <w:instrText>denudatio</w:instrText>
      </w:r>
      <w:r w:rsidR="00D44795" w:rsidRPr="003D1E07">
        <w:instrText xml:space="preserve">" </w:instrText>
      </w:r>
      <w:r w:rsidR="00D44795" w:rsidRPr="003D1E07">
        <w:rPr>
          <w:i/>
        </w:rPr>
        <w:fldChar w:fldCharType="end"/>
      </w:r>
      <w:r w:rsidR="00CE7928" w:rsidRPr="003D1E07">
        <w:t xml:space="preserve"> napojeného na sebereflexi intelektu. Meditace začíná oddělením poznání od s</w:t>
      </w:r>
      <w:r w:rsidR="00F54057" w:rsidRPr="003D1E07">
        <w:t>myslových klamů (1. meditace). I</w:t>
      </w:r>
      <w:r w:rsidR="00CE7928" w:rsidRPr="003D1E07">
        <w:t xml:space="preserve">ntelekt </w:t>
      </w:r>
      <w:r w:rsidR="006F4D0E" w:rsidRPr="003D1E07">
        <w:t xml:space="preserve">je </w:t>
      </w:r>
      <w:r w:rsidR="00CE7928" w:rsidRPr="003D1E07">
        <w:t xml:space="preserve">postavený mimo smysly </w:t>
      </w:r>
      <w:r w:rsidR="006F4D0E" w:rsidRPr="003D1E07">
        <w:t xml:space="preserve">jako samostatná substance </w:t>
      </w:r>
      <w:r w:rsidR="00037628">
        <w:t xml:space="preserve">třetího druhu </w:t>
      </w:r>
      <w:r w:rsidR="00CE7928" w:rsidRPr="003D1E07">
        <w:t>(</w:t>
      </w:r>
      <w:r w:rsidR="00CE7928" w:rsidRPr="003D1E07">
        <w:rPr>
          <w:i/>
        </w:rPr>
        <w:t>res cogitans</w:t>
      </w:r>
      <w:r w:rsidR="009A1BD1" w:rsidRPr="003D1E07">
        <w:rPr>
          <w:i/>
        </w:rPr>
        <w:fldChar w:fldCharType="begin"/>
      </w:r>
      <w:r w:rsidR="009A1BD1" w:rsidRPr="003D1E07">
        <w:instrText xml:space="preserve"> XE "</w:instrText>
      </w:r>
      <w:r w:rsidR="009A1BD1" w:rsidRPr="003D1E07">
        <w:rPr>
          <w:i/>
        </w:rPr>
        <w:instrText>res cogitans</w:instrText>
      </w:r>
      <w:r w:rsidR="009A1BD1" w:rsidRPr="003D1E07">
        <w:instrText xml:space="preserve">" </w:instrText>
      </w:r>
      <w:r w:rsidR="009A1BD1" w:rsidRPr="003D1E07">
        <w:rPr>
          <w:i/>
        </w:rPr>
        <w:fldChar w:fldCharType="end"/>
      </w:r>
      <w:r w:rsidR="006F4D0E" w:rsidRPr="003D1E07">
        <w:t xml:space="preserve">), proto </w:t>
      </w:r>
      <w:r w:rsidR="00CE7928" w:rsidRPr="003D1E07">
        <w:t xml:space="preserve">intenduje v přímém </w:t>
      </w:r>
      <w:r w:rsidR="006F4D0E" w:rsidRPr="003D1E07">
        <w:t xml:space="preserve">sebereflexivním </w:t>
      </w:r>
      <w:r w:rsidR="00CE7928" w:rsidRPr="003D1E07">
        <w:t xml:space="preserve">náhledu čistou </w:t>
      </w:r>
      <w:r w:rsidR="00F54057" w:rsidRPr="003D1E07">
        <w:t>formu sebe sama (2. meditace). T</w:t>
      </w:r>
      <w:r w:rsidR="00CE7928" w:rsidRPr="003D1E07">
        <w:t xml:space="preserve">ento evidentní náhled primárního </w:t>
      </w:r>
      <w:r w:rsidR="00CE7928" w:rsidRPr="003D1E07">
        <w:rPr>
          <w:i/>
        </w:rPr>
        <w:t>intellectio</w:t>
      </w:r>
      <w:r w:rsidR="003A18E3">
        <w:rPr>
          <w:i/>
        </w:rPr>
        <w:fldChar w:fldCharType="begin"/>
      </w:r>
      <w:r w:rsidR="003A18E3">
        <w:instrText xml:space="preserve"> XE "</w:instrText>
      </w:r>
      <w:r w:rsidR="003A18E3" w:rsidRPr="00AF0BD5">
        <w:rPr>
          <w:i/>
        </w:rPr>
        <w:instrText>intellectio/intellectum</w:instrText>
      </w:r>
      <w:r w:rsidR="003A18E3">
        <w:instrText xml:space="preserve">" </w:instrText>
      </w:r>
      <w:r w:rsidR="003A18E3">
        <w:rPr>
          <w:i/>
        </w:rPr>
        <w:fldChar w:fldCharType="end"/>
      </w:r>
      <w:r w:rsidR="00CE7928" w:rsidRPr="003D1E07">
        <w:rPr>
          <w:i/>
        </w:rPr>
        <w:t xml:space="preserve"> </w:t>
      </w:r>
      <w:r w:rsidR="00CE7928" w:rsidRPr="003D1E07">
        <w:t xml:space="preserve">spojeného s aktualitou </w:t>
      </w:r>
      <w:r w:rsidR="00DC3135" w:rsidRPr="003D1E07">
        <w:t xml:space="preserve">evidentní </w:t>
      </w:r>
      <w:r w:rsidR="00CE7928" w:rsidRPr="003D1E07">
        <w:t>existence</w:t>
      </w:r>
      <w:r w:rsidR="0071350C" w:rsidRPr="003D1E07">
        <w:t xml:space="preserve"> dané mimo tělo </w:t>
      </w:r>
      <w:r w:rsidR="00CE7928" w:rsidRPr="003D1E07">
        <w:t>(</w:t>
      </w:r>
      <w:r w:rsidR="00CE7928" w:rsidRPr="003D1E07">
        <w:rPr>
          <w:i/>
        </w:rPr>
        <w:t>cogito ergo sum</w:t>
      </w:r>
      <w:r w:rsidR="00303907" w:rsidRPr="003D1E07">
        <w:rPr>
          <w:i/>
        </w:rPr>
        <w:fldChar w:fldCharType="begin"/>
      </w:r>
      <w:r w:rsidR="00303907" w:rsidRPr="003D1E07">
        <w:instrText xml:space="preserve"> XE "</w:instrText>
      </w:r>
      <w:r w:rsidR="00303907" w:rsidRPr="003D1E07">
        <w:rPr>
          <w:i/>
        </w:rPr>
        <w:instrText>cogito ergo sum</w:instrText>
      </w:r>
      <w:r w:rsidR="00303907" w:rsidRPr="003D1E07">
        <w:instrText xml:space="preserve">" </w:instrText>
      </w:r>
      <w:r w:rsidR="00303907" w:rsidRPr="003D1E07">
        <w:rPr>
          <w:i/>
        </w:rPr>
        <w:fldChar w:fldCharType="end"/>
      </w:r>
      <w:r w:rsidR="00CE7928" w:rsidRPr="003D1E07">
        <w:t xml:space="preserve">) zakládá měřítko jasné a distinktivní pravdy (3. meditace). </w:t>
      </w:r>
      <w:r w:rsidRPr="003D1E07">
        <w:rPr>
          <w:rStyle w:val="FontStyle129"/>
          <w:rFonts w:ascii="Calibri" w:hAnsi="Calibri"/>
          <w:sz w:val="24"/>
        </w:rPr>
        <w:t xml:space="preserve">Nové pole zjevování jsoucna </w:t>
      </w:r>
      <w:r w:rsidR="00DF36AF" w:rsidRPr="003D1E07">
        <w:rPr>
          <w:rStyle w:val="FontStyle129"/>
          <w:rFonts w:ascii="Calibri" w:hAnsi="Calibri"/>
          <w:sz w:val="24"/>
        </w:rPr>
        <w:t xml:space="preserve">a celku světa </w:t>
      </w:r>
      <w:r w:rsidRPr="003D1E07">
        <w:rPr>
          <w:rStyle w:val="FontStyle129"/>
          <w:rFonts w:ascii="Calibri" w:hAnsi="Calibri"/>
          <w:sz w:val="24"/>
        </w:rPr>
        <w:t>existuje přímo v duši</w:t>
      </w:r>
      <w:r w:rsidR="00DF36AF" w:rsidRPr="003D1E07">
        <w:rPr>
          <w:rStyle w:val="FontStyle129"/>
          <w:rFonts w:ascii="Calibri" w:hAnsi="Calibri"/>
          <w:sz w:val="24"/>
        </w:rPr>
        <w:t xml:space="preserve"> poznávajícího, </w:t>
      </w:r>
      <w:r w:rsidR="00913089" w:rsidRPr="003D1E07">
        <w:rPr>
          <w:rStyle w:val="FontStyle129"/>
          <w:rFonts w:ascii="Calibri" w:hAnsi="Calibri"/>
          <w:sz w:val="24"/>
        </w:rPr>
        <w:t xml:space="preserve">díky nasvícení </w:t>
      </w:r>
      <w:r w:rsidRPr="003D1E07">
        <w:rPr>
          <w:rStyle w:val="FontStyle129"/>
          <w:rFonts w:ascii="Calibri" w:hAnsi="Calibri"/>
          <w:sz w:val="24"/>
        </w:rPr>
        <w:t>celé scény</w:t>
      </w:r>
      <w:r w:rsidR="00913089" w:rsidRPr="003D1E07">
        <w:rPr>
          <w:rStyle w:val="FontStyle129"/>
          <w:rFonts w:ascii="Calibri" w:hAnsi="Calibri"/>
          <w:sz w:val="24"/>
        </w:rPr>
        <w:t xml:space="preserve"> zezadu od </w:t>
      </w:r>
      <w:r w:rsidR="00DF36AF" w:rsidRPr="003D1E07">
        <w:rPr>
          <w:rStyle w:val="FontStyle129"/>
          <w:rFonts w:ascii="Calibri" w:hAnsi="Calibri"/>
          <w:sz w:val="24"/>
        </w:rPr>
        <w:t xml:space="preserve">hypostázovaného </w:t>
      </w:r>
      <w:r w:rsidR="00913089" w:rsidRPr="003D1E07">
        <w:rPr>
          <w:rStyle w:val="FontStyle129"/>
          <w:rFonts w:ascii="Calibri" w:hAnsi="Calibri"/>
          <w:sz w:val="24"/>
        </w:rPr>
        <w:t>aktuálního intelektu</w:t>
      </w:r>
      <w:r w:rsidR="00DF36AF" w:rsidRPr="003D1E07">
        <w:rPr>
          <w:rStyle w:val="FontStyle129"/>
          <w:rFonts w:ascii="Calibri" w:hAnsi="Calibri"/>
          <w:sz w:val="24"/>
        </w:rPr>
        <w:t xml:space="preserve">. </w:t>
      </w:r>
      <w:r w:rsidR="00B454C3">
        <w:rPr>
          <w:rStyle w:val="FontStyle129"/>
          <w:rFonts w:ascii="Calibri" w:hAnsi="Calibri"/>
          <w:sz w:val="24"/>
        </w:rPr>
        <w:t xml:space="preserve">Karteziánské </w:t>
      </w:r>
      <w:r w:rsidR="00492A66" w:rsidRPr="00492A66">
        <w:rPr>
          <w:rStyle w:val="FontStyle129"/>
          <w:rFonts w:ascii="Calibri" w:hAnsi="Calibri"/>
          <w:i/>
          <w:sz w:val="24"/>
        </w:rPr>
        <w:t>cogito</w:t>
      </w:r>
      <w:r w:rsidR="00492A66">
        <w:rPr>
          <w:rStyle w:val="FontStyle129"/>
          <w:rFonts w:ascii="Calibri" w:hAnsi="Calibri"/>
          <w:sz w:val="24"/>
        </w:rPr>
        <w:t xml:space="preserve"> </w:t>
      </w:r>
      <w:r w:rsidR="08B03FBB" w:rsidRPr="003D1E07">
        <w:rPr>
          <w:rStyle w:val="FontStyle129"/>
          <w:rFonts w:ascii="Calibri" w:hAnsi="Calibri"/>
          <w:sz w:val="24"/>
        </w:rPr>
        <w:t xml:space="preserve">funguje jako Avicennův </w:t>
      </w:r>
      <w:r w:rsidR="08B03FBB" w:rsidRPr="003D1E07">
        <w:rPr>
          <w:rStyle w:val="FontStyle129"/>
          <w:rFonts w:ascii="Calibri" w:hAnsi="Calibri"/>
          <w:i/>
          <w:sz w:val="24"/>
        </w:rPr>
        <w:t>intellectus adeptus</w:t>
      </w:r>
      <w:r w:rsidR="08B03FBB" w:rsidRPr="003D1E07">
        <w:rPr>
          <w:rStyle w:val="FontStyle129"/>
          <w:rFonts w:ascii="Calibri" w:hAnsi="Calibri"/>
          <w:sz w:val="24"/>
        </w:rPr>
        <w:t xml:space="preserve">. Archimédův bod pro poznání vznikl aktem sebereflexe </w:t>
      </w:r>
      <w:r w:rsidR="08B03FBB" w:rsidRPr="003D1E07">
        <w:rPr>
          <w:rStyle w:val="FontStyle129"/>
          <w:rFonts w:ascii="Calibri" w:hAnsi="Calibri"/>
          <w:i/>
          <w:sz w:val="24"/>
        </w:rPr>
        <w:t>cogito</w:t>
      </w:r>
      <w:r w:rsidR="08B03FBB" w:rsidRPr="003D1E07">
        <w:rPr>
          <w:rStyle w:val="FontStyle129"/>
          <w:rFonts w:ascii="Calibri" w:hAnsi="Calibri"/>
          <w:sz w:val="24"/>
        </w:rPr>
        <w:t xml:space="preserve"> a zajistil ostrůvek aktuální hypostázované existence</w:t>
      </w:r>
      <w:r w:rsidR="00E5616E" w:rsidRPr="003D1E07">
        <w:rPr>
          <w:rStyle w:val="FontStyle129"/>
          <w:rFonts w:ascii="Calibri" w:hAnsi="Calibri"/>
          <w:sz w:val="24"/>
        </w:rPr>
        <w:t xml:space="preserve"> </w:t>
      </w:r>
      <w:r w:rsidR="08B03FBB" w:rsidRPr="003D1E07">
        <w:rPr>
          <w:rStyle w:val="FontStyle129"/>
          <w:rFonts w:ascii="Calibri" w:hAnsi="Calibri"/>
          <w:sz w:val="24"/>
        </w:rPr>
        <w:t xml:space="preserve">dané ve výkonu čistého nemateriálního </w:t>
      </w:r>
      <w:r w:rsidR="00E5616E" w:rsidRPr="003D1E07">
        <w:rPr>
          <w:rStyle w:val="FontStyle129"/>
          <w:rFonts w:ascii="Calibri" w:hAnsi="Calibri"/>
          <w:sz w:val="24"/>
        </w:rPr>
        <w:t>myšlení</w:t>
      </w:r>
      <w:r w:rsidR="08DB6D41" w:rsidRPr="003D1E07">
        <w:rPr>
          <w:rStyle w:val="FontStyle129"/>
          <w:rFonts w:ascii="Calibri" w:hAnsi="Calibri"/>
          <w:sz w:val="24"/>
        </w:rPr>
        <w:t xml:space="preserve">. </w:t>
      </w:r>
      <w:r w:rsidR="0080105E">
        <w:rPr>
          <w:rStyle w:val="FontStyle129"/>
          <w:rFonts w:ascii="Calibri" w:hAnsi="Calibri"/>
          <w:sz w:val="24"/>
        </w:rPr>
        <w:t xml:space="preserve">Avicenna vytvořil první </w:t>
      </w:r>
      <w:r w:rsidR="08714597" w:rsidRPr="003D1E07">
        <w:rPr>
          <w:rStyle w:val="FontStyle129"/>
          <w:rFonts w:ascii="Calibri" w:hAnsi="Calibri"/>
          <w:i/>
          <w:sz w:val="24"/>
        </w:rPr>
        <w:t>Lichtung</w:t>
      </w:r>
      <w:r w:rsidR="08714597" w:rsidRPr="003D1E07">
        <w:rPr>
          <w:rStyle w:val="FontStyle129"/>
          <w:rFonts w:ascii="Calibri" w:hAnsi="Calibri"/>
          <w:sz w:val="24"/>
        </w:rPr>
        <w:t xml:space="preserve"> </w:t>
      </w:r>
      <w:r w:rsidR="006C09A7" w:rsidRPr="003D1E07">
        <w:rPr>
          <w:rStyle w:val="FontStyle129"/>
          <w:rFonts w:ascii="Calibri" w:hAnsi="Calibri"/>
          <w:sz w:val="24"/>
        </w:rPr>
        <w:t xml:space="preserve">pravdy a nepravdy moderního </w:t>
      </w:r>
      <w:r w:rsidR="08714597" w:rsidRPr="003D1E07">
        <w:rPr>
          <w:rStyle w:val="FontStyle129"/>
          <w:rFonts w:ascii="Calibri" w:hAnsi="Calibri"/>
          <w:sz w:val="24"/>
        </w:rPr>
        <w:t xml:space="preserve">jsoucna třetího druhu. </w:t>
      </w:r>
      <w:r w:rsidR="00D65675" w:rsidRPr="003D1E07">
        <w:t>Primární inteligibilia  jsou dána habituálně jako první principy myšlení (</w:t>
      </w:r>
      <w:r w:rsidR="00D65675" w:rsidRPr="003D1E07">
        <w:rPr>
          <w:i/>
        </w:rPr>
        <w:t>intellectus in habitu</w:t>
      </w:r>
      <w:r w:rsidR="00D65675" w:rsidRPr="003D1E07">
        <w:t xml:space="preserve">). Jejich </w:t>
      </w:r>
      <w:r w:rsidR="08714597" w:rsidRPr="003D1E07">
        <w:rPr>
          <w:rStyle w:val="FontStyle129"/>
          <w:rFonts w:ascii="Calibri" w:hAnsi="Calibri"/>
          <w:sz w:val="24"/>
        </w:rPr>
        <w:t>vidění popisuje</w:t>
      </w:r>
      <w:r w:rsidR="080F2E5B" w:rsidRPr="003D1E07">
        <w:rPr>
          <w:rStyle w:val="FontStyle129"/>
          <w:rFonts w:ascii="Calibri" w:hAnsi="Calibri"/>
          <w:sz w:val="24"/>
        </w:rPr>
        <w:t xml:space="preserve"> </w:t>
      </w:r>
      <w:r w:rsidR="08E426EA" w:rsidRPr="003D1E07">
        <w:rPr>
          <w:rStyle w:val="FontStyle129"/>
          <w:rFonts w:ascii="Calibri" w:hAnsi="Calibri"/>
          <w:sz w:val="24"/>
        </w:rPr>
        <w:t>Avicennův termín</w:t>
      </w:r>
      <w:r w:rsidR="085B6C42" w:rsidRPr="003D1E07">
        <w:rPr>
          <w:rStyle w:val="FontStyle129"/>
          <w:rFonts w:ascii="Calibri" w:hAnsi="Calibri"/>
          <w:sz w:val="24"/>
        </w:rPr>
        <w:t xml:space="preserve"> </w:t>
      </w:r>
      <w:r w:rsidR="08E426EA" w:rsidRPr="003D1E07">
        <w:rPr>
          <w:i/>
        </w:rPr>
        <w:t>ilhām</w:t>
      </w:r>
      <w:r w:rsidR="08B16D1A" w:rsidRPr="003D1E07">
        <w:rPr>
          <w:rStyle w:val="FontStyle129"/>
          <w:rFonts w:ascii="Calibri" w:hAnsi="Calibri"/>
          <w:sz w:val="24"/>
        </w:rPr>
        <w:t xml:space="preserve"> </w:t>
      </w:r>
      <w:r w:rsidR="08E426EA" w:rsidRPr="003D1E07">
        <w:rPr>
          <w:rStyle w:val="FontStyle129"/>
          <w:rFonts w:ascii="Calibri" w:hAnsi="Calibri"/>
          <w:sz w:val="24"/>
        </w:rPr>
        <w:t xml:space="preserve">přeložený do latiny jako </w:t>
      </w:r>
      <w:r w:rsidR="08E426EA" w:rsidRPr="003D1E07">
        <w:rPr>
          <w:rStyle w:val="FontStyle129"/>
          <w:rFonts w:ascii="Calibri" w:hAnsi="Calibri"/>
          <w:i/>
          <w:sz w:val="24"/>
        </w:rPr>
        <w:t>illuminatio</w:t>
      </w:r>
      <w:r w:rsidR="08757070" w:rsidRPr="003D1E07">
        <w:rPr>
          <w:rStyle w:val="FontStyle129"/>
          <w:rFonts w:ascii="Calibri" w:hAnsi="Calibri"/>
          <w:i/>
          <w:sz w:val="24"/>
        </w:rPr>
        <w:t>.</w:t>
      </w:r>
      <w:r w:rsidR="08757070" w:rsidRPr="003D1E07">
        <w:rPr>
          <w:rStyle w:val="FontStyle129"/>
          <w:rFonts w:ascii="Calibri" w:hAnsi="Calibri"/>
          <w:sz w:val="24"/>
        </w:rPr>
        <w:t xml:space="preserve"> </w:t>
      </w:r>
      <w:r w:rsidR="08CF06DB" w:rsidRPr="003D1E07">
        <w:rPr>
          <w:rStyle w:val="FontStyle129"/>
          <w:rFonts w:ascii="Calibri" w:hAnsi="Calibri"/>
          <w:sz w:val="24"/>
        </w:rPr>
        <w:t xml:space="preserve">Vizi postmoderního ilumináta podává </w:t>
      </w:r>
      <w:r w:rsidR="00726D3C" w:rsidRPr="003D1E07">
        <w:rPr>
          <w:rStyle w:val="FontStyle129"/>
          <w:rFonts w:ascii="Calibri" w:hAnsi="Calibri"/>
          <w:i/>
          <w:sz w:val="24"/>
        </w:rPr>
        <w:fldChar w:fldCharType="begin"/>
      </w:r>
      <w:r w:rsidR="0037730A" w:rsidRPr="003D1E07">
        <w:instrText xml:space="preserve"> XE "iluminace</w:instrText>
      </w:r>
      <w:r w:rsidR="00726D3C" w:rsidRPr="003D1E07">
        <w:instrText xml:space="preserve">" </w:instrText>
      </w:r>
      <w:r w:rsidR="00726D3C" w:rsidRPr="003D1E07">
        <w:rPr>
          <w:rStyle w:val="FontStyle129"/>
          <w:rFonts w:ascii="Calibri" w:hAnsi="Calibri"/>
          <w:i/>
          <w:sz w:val="24"/>
        </w:rPr>
        <w:fldChar w:fldCharType="end"/>
      </w:r>
      <w:r w:rsidR="085B6C42" w:rsidRPr="003D1E07">
        <w:rPr>
          <w:rStyle w:val="FontStyle129"/>
          <w:rFonts w:ascii="Calibri" w:hAnsi="Calibri"/>
          <w:sz w:val="24"/>
        </w:rPr>
        <w:t>Descart</w:t>
      </w:r>
      <w:r w:rsidR="000C0A76" w:rsidRPr="003D1E07">
        <w:rPr>
          <w:rStyle w:val="FontStyle129"/>
          <w:rFonts w:ascii="Calibri" w:hAnsi="Calibri"/>
          <w:sz w:val="24"/>
        </w:rPr>
        <w:t>ův termín „</w:t>
      </w:r>
      <w:r w:rsidR="085B6C42" w:rsidRPr="003D1E07">
        <w:rPr>
          <w:rStyle w:val="FontStyle129"/>
          <w:rFonts w:ascii="Calibri" w:hAnsi="Calibri"/>
          <w:i/>
          <w:sz w:val="24"/>
        </w:rPr>
        <w:t>clare et distincte percipio</w:t>
      </w:r>
      <w:r w:rsidR="000C0A76" w:rsidRPr="003D1E07">
        <w:rPr>
          <w:rStyle w:val="FontStyle129"/>
          <w:rFonts w:ascii="Calibri" w:hAnsi="Calibri"/>
          <w:sz w:val="24"/>
        </w:rPr>
        <w:t>“</w:t>
      </w:r>
      <w:r w:rsidR="08DB6D41" w:rsidRPr="003D1E07">
        <w:rPr>
          <w:rStyle w:val="FontStyle129"/>
          <w:rFonts w:ascii="Calibri" w:hAnsi="Calibri"/>
          <w:sz w:val="24"/>
        </w:rPr>
        <w:t xml:space="preserve">, které dílo </w:t>
      </w:r>
      <w:r w:rsidR="009A35BE" w:rsidRPr="003D1E07">
        <w:rPr>
          <w:i/>
        </w:rPr>
        <w:t>Principia philosophiae</w:t>
      </w:r>
      <w:r w:rsidR="009A35BE" w:rsidRPr="003D1E07">
        <w:rPr>
          <w:rStyle w:val="FontStyle129"/>
          <w:rFonts w:ascii="Calibri" w:hAnsi="Calibri"/>
          <w:sz w:val="24"/>
        </w:rPr>
        <w:t xml:space="preserve"> (1644) </w:t>
      </w:r>
      <w:r w:rsidR="08057640" w:rsidRPr="003D1E07">
        <w:rPr>
          <w:rStyle w:val="FontStyle129"/>
          <w:rFonts w:ascii="Calibri" w:hAnsi="Calibri"/>
          <w:sz w:val="24"/>
        </w:rPr>
        <w:t>dává jako základ pravdivého úsudku</w:t>
      </w:r>
      <w:r w:rsidR="08DB6D41" w:rsidRPr="003D1E07">
        <w:rPr>
          <w:rStyle w:val="FontStyle129"/>
          <w:rFonts w:ascii="Calibri" w:hAnsi="Calibri"/>
          <w:sz w:val="24"/>
        </w:rPr>
        <w:t>.</w:t>
      </w:r>
      <w:r w:rsidR="08382B93" w:rsidRPr="003D1E07">
        <w:rPr>
          <w:rStyle w:val="Znakapoznpodarou"/>
          <w:szCs w:val="18"/>
        </w:rPr>
        <w:footnoteReference w:id="143"/>
      </w:r>
      <w:r w:rsidR="085B6C42" w:rsidRPr="003D1E07">
        <w:rPr>
          <w:rStyle w:val="FontStyle129"/>
          <w:rFonts w:ascii="Calibri" w:hAnsi="Calibri"/>
          <w:sz w:val="24"/>
        </w:rPr>
        <w:t xml:space="preserve"> </w:t>
      </w:r>
      <w:r w:rsidRPr="003D1E07">
        <w:t xml:space="preserve"> Vrozená idea boha </w:t>
      </w:r>
      <w:r w:rsidR="08C8783A" w:rsidRPr="003D1E07">
        <w:t>v nás supluje Avicennův oddělený</w:t>
      </w:r>
      <w:r w:rsidR="087908FC" w:rsidRPr="003D1E07">
        <w:t xml:space="preserve"> </w:t>
      </w:r>
      <w:r w:rsidRPr="003D1E07">
        <w:rPr>
          <w:i/>
        </w:rPr>
        <w:t>intellectus agens</w:t>
      </w:r>
      <w:r w:rsidR="00DF1F0F" w:rsidRPr="003D1E07">
        <w:rPr>
          <w:i/>
        </w:rPr>
        <w:fldChar w:fldCharType="begin"/>
      </w:r>
      <w:r w:rsidR="00DF1F0F" w:rsidRPr="003D1E07">
        <w:instrText xml:space="preserve"> XE "</w:instrText>
      </w:r>
      <w:r w:rsidR="00DF1F0F" w:rsidRPr="003D1E07">
        <w:rPr>
          <w:i/>
        </w:rPr>
        <w:instrText>intellectus agens:</w:instrText>
      </w:r>
      <w:r w:rsidR="00DF1F0F" w:rsidRPr="003D1E07">
        <w:instrText xml:space="preserve">neoplatonismus" </w:instrText>
      </w:r>
      <w:r w:rsidR="00DF1F0F" w:rsidRPr="003D1E07">
        <w:rPr>
          <w:i/>
        </w:rPr>
        <w:fldChar w:fldCharType="end"/>
      </w:r>
      <w:r w:rsidRPr="003D1E07">
        <w:t xml:space="preserve"> </w:t>
      </w:r>
      <w:r w:rsidR="08C8783A" w:rsidRPr="003D1E07">
        <w:t xml:space="preserve">a </w:t>
      </w:r>
      <w:r w:rsidRPr="003D1E07">
        <w:t xml:space="preserve">zajišťuje spojení </w:t>
      </w:r>
      <w:r w:rsidR="087908FC" w:rsidRPr="003D1E07">
        <w:t xml:space="preserve">lidského intelektu darovaného </w:t>
      </w:r>
      <w:r w:rsidRPr="003D1E07">
        <w:t>bohem s vnější s</w:t>
      </w:r>
      <w:r w:rsidR="08661B28" w:rsidRPr="003D1E07">
        <w:t>myslovou realitou</w:t>
      </w:r>
      <w:r w:rsidR="00D07306" w:rsidRPr="003D1E07">
        <w:t xml:space="preserve"> (</w:t>
      </w:r>
      <w:r w:rsidR="00D07306" w:rsidRPr="003D1E07">
        <w:rPr>
          <w:i/>
        </w:rPr>
        <w:t>intellectus adeptus</w:t>
      </w:r>
      <w:r w:rsidR="00332701" w:rsidRPr="003D1E07">
        <w:rPr>
          <w:i/>
        </w:rPr>
        <w:fldChar w:fldCharType="begin"/>
      </w:r>
      <w:r w:rsidR="00332701" w:rsidRPr="003D1E07">
        <w:instrText xml:space="preserve"> XE "</w:instrText>
      </w:r>
      <w:r w:rsidR="00332701" w:rsidRPr="003D1E07">
        <w:rPr>
          <w:i/>
        </w:rPr>
        <w:instrText>intellectus adeptus</w:instrText>
      </w:r>
      <w:r w:rsidR="00726D3C" w:rsidRPr="003D1E07">
        <w:instrText>:Descartes</w:instrText>
      </w:r>
      <w:r w:rsidR="00332701" w:rsidRPr="003D1E07">
        <w:instrText xml:space="preserve">" </w:instrText>
      </w:r>
      <w:r w:rsidR="00332701" w:rsidRPr="003D1E07">
        <w:rPr>
          <w:i/>
        </w:rPr>
        <w:fldChar w:fldCharType="end"/>
      </w:r>
      <w:r w:rsidR="00D07306" w:rsidRPr="003D1E07">
        <w:t>)</w:t>
      </w:r>
      <w:r w:rsidR="08661B28" w:rsidRPr="003D1E07">
        <w:t xml:space="preserve">. </w:t>
      </w:r>
      <w:r w:rsidR="08E07AA3" w:rsidRPr="003D1E07">
        <w:t xml:space="preserve">Protože existuje vrozená idea boha v nás a </w:t>
      </w:r>
      <w:r w:rsidR="00413A2C" w:rsidRPr="003D1E07">
        <w:t xml:space="preserve">protože </w:t>
      </w:r>
      <w:r w:rsidR="0047628A">
        <w:t xml:space="preserve">my sami nepochybně </w:t>
      </w:r>
      <w:r w:rsidR="08A36A98" w:rsidRPr="003D1E07">
        <w:t>existujeme</w:t>
      </w:r>
      <w:r w:rsidR="08E07AA3" w:rsidRPr="003D1E07">
        <w:t xml:space="preserve">, pak jsou habituální první principy poznání aktualizovány </w:t>
      </w:r>
      <w:r w:rsidR="081823E2" w:rsidRPr="003D1E07">
        <w:t xml:space="preserve">v </w:t>
      </w:r>
      <w:r w:rsidR="081823E2" w:rsidRPr="003D1E07">
        <w:lastRenderedPageBreak/>
        <w:t xml:space="preserve">intelektu </w:t>
      </w:r>
      <w:r w:rsidR="089F02AA" w:rsidRPr="003D1E07">
        <w:t xml:space="preserve">skrze sebereflexi </w:t>
      </w:r>
      <w:r w:rsidRPr="003D1E07">
        <w:t>(</w:t>
      </w:r>
      <w:r w:rsidRPr="003D1E07">
        <w:rPr>
          <w:i/>
        </w:rPr>
        <w:t>intellectus in effectu</w:t>
      </w:r>
      <w:r w:rsidR="00D44795" w:rsidRPr="003D1E07">
        <w:rPr>
          <w:i/>
        </w:rPr>
        <w:fldChar w:fldCharType="begin"/>
      </w:r>
      <w:r w:rsidR="00D44795" w:rsidRPr="003D1E07">
        <w:instrText xml:space="preserve"> XE "</w:instrText>
      </w:r>
      <w:r w:rsidR="00726D3C" w:rsidRPr="003D1E07">
        <w:instrText>dualismus:Descartes</w:instrText>
      </w:r>
      <w:r w:rsidR="00D44795" w:rsidRPr="003D1E07">
        <w:instrText xml:space="preserve">" </w:instrText>
      </w:r>
      <w:r w:rsidR="00D44795" w:rsidRPr="003D1E07">
        <w:rPr>
          <w:i/>
        </w:rPr>
        <w:fldChar w:fldCharType="end"/>
      </w:r>
      <w:r w:rsidRPr="003D1E07">
        <w:t xml:space="preserve">). </w:t>
      </w:r>
      <w:r w:rsidR="08B576CF" w:rsidRPr="003D1E07">
        <w:t xml:space="preserve">Výkon primárního poznání aktualizuje první analytický princip </w:t>
      </w:r>
      <w:r w:rsidR="08B576CF" w:rsidRPr="003D1E07">
        <w:rPr>
          <w:i/>
        </w:rPr>
        <w:t>cogito</w:t>
      </w:r>
      <w:r w:rsidR="00B1748F">
        <w:t xml:space="preserve"> daný aktuálně a imanentně. Aristotelské schéma poznání je až druhotné, protože staví na </w:t>
      </w:r>
      <w:r w:rsidR="08B576CF" w:rsidRPr="003D1E07">
        <w:t>smyslovém poznání daném empiricky a synteticky podle původního modelu Druhého mistra (</w:t>
      </w:r>
      <w:r w:rsidR="08B576CF" w:rsidRPr="003D1E07">
        <w:rPr>
          <w:i/>
        </w:rPr>
        <w:t>intellectus in potencia</w:t>
      </w:r>
      <w:r w:rsidR="08CE76DB" w:rsidRPr="003D1E07">
        <w:rPr>
          <w:i/>
        </w:rPr>
        <w:t>/</w:t>
      </w:r>
      <w:r w:rsidR="08B576CF" w:rsidRPr="003D1E07">
        <w:rPr>
          <w:i/>
        </w:rPr>
        <w:t>in effectu</w:t>
      </w:r>
      <w:r w:rsidR="08B576CF" w:rsidRPr="003D1E07">
        <w:t xml:space="preserve">). </w:t>
      </w:r>
      <w:r w:rsidR="08A700CE" w:rsidRPr="003D1E07">
        <w:t>První aktualizace poznání světa na úrovni hylemorfických substancí začíná na úrovni smyslově vnímaného vlastního těla (</w:t>
      </w:r>
      <w:r w:rsidR="08A700CE" w:rsidRPr="003D1E07">
        <w:rPr>
          <w:i/>
        </w:rPr>
        <w:t>res extensa</w:t>
      </w:r>
      <w:r w:rsidR="08A700CE" w:rsidRPr="003D1E07">
        <w:rPr>
          <w:i/>
        </w:rPr>
        <w:fldChar w:fldCharType="begin"/>
      </w:r>
      <w:r w:rsidR="08A700CE" w:rsidRPr="003D1E07">
        <w:instrText xml:space="preserve"> XE "</w:instrText>
      </w:r>
      <w:r w:rsidR="08A700CE" w:rsidRPr="003D1E07">
        <w:rPr>
          <w:i/>
        </w:rPr>
        <w:instrText>res extensa</w:instrText>
      </w:r>
      <w:r w:rsidR="08A700CE" w:rsidRPr="003D1E07">
        <w:instrText xml:space="preserve">" </w:instrText>
      </w:r>
      <w:r w:rsidR="08A700CE" w:rsidRPr="003D1E07">
        <w:rPr>
          <w:i/>
        </w:rPr>
        <w:fldChar w:fldCharType="end"/>
      </w:r>
      <w:r w:rsidR="08A700CE" w:rsidRPr="003D1E07">
        <w:t xml:space="preserve">). </w:t>
      </w:r>
      <w:r w:rsidR="08267643" w:rsidRPr="003D1E07">
        <w:t xml:space="preserve">Avicennovský, karteziánský nebo husserliánský intelekt už má aktualitu buď ze sebe nebo od odděleného </w:t>
      </w:r>
      <w:r w:rsidR="08267643" w:rsidRPr="003D1E07">
        <w:rPr>
          <w:i/>
        </w:rPr>
        <w:t>intellectus agens</w:t>
      </w:r>
      <w:r w:rsidR="08267643" w:rsidRPr="003D1E07">
        <w:t xml:space="preserve">. </w:t>
      </w:r>
      <w:r w:rsidR="00224BA3">
        <w:t>V</w:t>
      </w:r>
      <w:r w:rsidR="084C43EB" w:rsidRPr="003D1E07">
        <w:t xml:space="preserve"> tomto </w:t>
      </w:r>
      <w:r w:rsidR="08F67CA0" w:rsidRPr="003D1E07">
        <w:t xml:space="preserve">dualistickém </w:t>
      </w:r>
      <w:r w:rsidR="084C43EB" w:rsidRPr="003D1E07">
        <w:t xml:space="preserve">schématu </w:t>
      </w:r>
      <w:r w:rsidR="0817764C" w:rsidRPr="003D1E07">
        <w:t>Avicenny a Descarta</w:t>
      </w:r>
      <w:r w:rsidR="006E6202" w:rsidRPr="003D1E07">
        <w:fldChar w:fldCharType="begin"/>
      </w:r>
      <w:r w:rsidR="006E6202" w:rsidRPr="003D1E07">
        <w:instrText xml:space="preserve"> XE "</w:instrText>
      </w:r>
      <w:r w:rsidR="006E6202" w:rsidRPr="003D1E07">
        <w:rPr>
          <w:rStyle w:val="addmd"/>
        </w:rPr>
        <w:instrText>Descartes, R.</w:instrText>
      </w:r>
      <w:r w:rsidR="006E6202" w:rsidRPr="003D1E07">
        <w:instrText xml:space="preserve">" </w:instrText>
      </w:r>
      <w:r w:rsidR="006E6202" w:rsidRPr="003D1E07">
        <w:fldChar w:fldCharType="end"/>
      </w:r>
      <w:r w:rsidR="0817764C" w:rsidRPr="003D1E07">
        <w:t xml:space="preserve"> </w:t>
      </w:r>
      <w:r w:rsidR="084C43EB" w:rsidRPr="003D1E07">
        <w:t xml:space="preserve">došlo ke zmizení univerzální receptivity dané skrze aristotelský </w:t>
      </w:r>
      <w:r w:rsidR="084C43EB" w:rsidRPr="003D1E07">
        <w:rPr>
          <w:i/>
        </w:rPr>
        <w:t>intellectus possibilis</w:t>
      </w:r>
      <w:r w:rsidR="009D323B" w:rsidRPr="003D1E07">
        <w:rPr>
          <w:i/>
        </w:rPr>
        <w:fldChar w:fldCharType="begin"/>
      </w:r>
      <w:r w:rsidR="009D323B" w:rsidRPr="003D1E07">
        <w:instrText xml:space="preserve"> XE "</w:instrText>
      </w:r>
      <w:r w:rsidR="009D323B" w:rsidRPr="003D1E07">
        <w:rPr>
          <w:i/>
        </w:rPr>
        <w:instrText>intellectus possibilis</w:instrText>
      </w:r>
      <w:r w:rsidR="006458AB" w:rsidRPr="003D1E07">
        <w:rPr>
          <w:i/>
        </w:rPr>
        <w:instrText>:</w:instrText>
      </w:r>
      <w:r w:rsidR="008E02F5" w:rsidRPr="003D1E07">
        <w:instrText>Aristoteles</w:instrText>
      </w:r>
      <w:r w:rsidR="009D323B" w:rsidRPr="003D1E07">
        <w:instrText xml:space="preserve">" </w:instrText>
      </w:r>
      <w:r w:rsidR="009D323B" w:rsidRPr="003D1E07">
        <w:rPr>
          <w:i/>
        </w:rPr>
        <w:fldChar w:fldCharType="end"/>
      </w:r>
      <w:r w:rsidR="084C43EB" w:rsidRPr="003D1E07">
        <w:t xml:space="preserve">. </w:t>
      </w:r>
      <w:r w:rsidR="083831BB" w:rsidRPr="003D1E07">
        <w:t>Al-</w:t>
      </w:r>
      <w:r w:rsidR="008E02F5" w:rsidRPr="003D1E07">
        <w:t>Fárábí</w:t>
      </w:r>
      <w:r w:rsidR="084C43EB" w:rsidRPr="003D1E07">
        <w:t xml:space="preserve"> bránil </w:t>
      </w:r>
      <w:r w:rsidR="00131C15">
        <w:t>k</w:t>
      </w:r>
      <w:r w:rsidR="00131C15" w:rsidRPr="003D1E07">
        <w:t xml:space="preserve">líčový význam této receptivity </w:t>
      </w:r>
      <w:r w:rsidR="084C43EB" w:rsidRPr="003D1E07">
        <w:t xml:space="preserve">v konceptu možného intelektu </w:t>
      </w:r>
      <w:r w:rsidR="002767C0" w:rsidRPr="003D1E07">
        <w:t xml:space="preserve">a v konceptu diafanum </w:t>
      </w:r>
      <w:r w:rsidR="084C43EB" w:rsidRPr="003D1E07">
        <w:t xml:space="preserve">proti Alexandrovu výkladu </w:t>
      </w:r>
      <w:r w:rsidR="00B713C5" w:rsidRPr="003D1E07">
        <w:rPr>
          <w:i/>
        </w:rPr>
        <w:t>De anima</w:t>
      </w:r>
      <w:r w:rsidR="084C43EB" w:rsidRPr="003D1E07">
        <w:t xml:space="preserve">, </w:t>
      </w:r>
      <w:r w:rsidR="00131C15">
        <w:t xml:space="preserve">i když zavedl </w:t>
      </w:r>
      <w:r w:rsidR="081442E9" w:rsidRPr="003D1E07">
        <w:t xml:space="preserve">ambivalenci </w:t>
      </w:r>
      <w:r w:rsidR="084C43EB" w:rsidRPr="003D1E07">
        <w:rPr>
          <w:i/>
        </w:rPr>
        <w:t>quasi-subiectum</w:t>
      </w:r>
      <w:r w:rsidR="004C27BA" w:rsidRPr="003D1E07">
        <w:rPr>
          <w:i/>
        </w:rPr>
        <w:fldChar w:fldCharType="begin"/>
      </w:r>
      <w:r w:rsidR="004C27BA" w:rsidRPr="003D1E07">
        <w:instrText xml:space="preserve"> XE "</w:instrText>
      </w:r>
      <w:r w:rsidR="004C27BA" w:rsidRPr="003D1E07">
        <w:rPr>
          <w:i/>
        </w:rPr>
        <w:instrText>subiectum:</w:instrText>
      </w:r>
      <w:r w:rsidR="004C27BA" w:rsidRPr="003D1E07">
        <w:instrText xml:space="preserve">třetího druhu" </w:instrText>
      </w:r>
      <w:r w:rsidR="004C27BA" w:rsidRPr="003D1E07">
        <w:rPr>
          <w:i/>
        </w:rPr>
        <w:fldChar w:fldCharType="end"/>
      </w:r>
      <w:r w:rsidR="002F2470" w:rsidRPr="003D1E07">
        <w:t xml:space="preserve"> (kap. 2.1.1</w:t>
      </w:r>
      <w:r w:rsidR="001A5AED">
        <w:t>).</w:t>
      </w:r>
      <w:r w:rsidR="00CF3A1A">
        <w:t xml:space="preserve"> R</w:t>
      </w:r>
      <w:r w:rsidR="00CF3A1A" w:rsidRPr="003D1E07">
        <w:t xml:space="preserve">ole </w:t>
      </w:r>
      <w:r w:rsidR="00CF3A1A" w:rsidRPr="003D1E07">
        <w:rPr>
          <w:i/>
        </w:rPr>
        <w:t>intellectus possibilis</w:t>
      </w:r>
      <w:r w:rsidR="00CF3A1A">
        <w:rPr>
          <w:i/>
        </w:rPr>
        <w:t xml:space="preserve"> </w:t>
      </w:r>
      <w:r w:rsidR="00CF3A1A" w:rsidRPr="003D1E07">
        <w:t>v novém schématu poznání není kauzální jako u Aristot</w:t>
      </w:r>
      <w:r w:rsidR="00087F49">
        <w:t>ela, ale pouze propedeutická. Receptivita j</w:t>
      </w:r>
      <w:r w:rsidR="00CF3A1A" w:rsidRPr="003D1E07">
        <w:t xml:space="preserve">e daná </w:t>
      </w:r>
      <w:r w:rsidR="00CF3A1A" w:rsidRPr="003D1E07">
        <w:rPr>
          <w:i/>
        </w:rPr>
        <w:t>ex post</w:t>
      </w:r>
      <w:r w:rsidR="00087F49">
        <w:t xml:space="preserve">, až </w:t>
      </w:r>
      <w:r w:rsidR="00CF3A1A" w:rsidRPr="003D1E07">
        <w:t>po</w:t>
      </w:r>
      <w:r w:rsidR="00CF3A1A">
        <w:t xml:space="preserve"> primárním výkonu sebereflexe. </w:t>
      </w:r>
      <w:r w:rsidR="003048F7" w:rsidRPr="003D1E07">
        <w:rPr>
          <w:rStyle w:val="FontStyle129"/>
          <w:rFonts w:ascii="Calibri" w:hAnsi="Calibri"/>
          <w:sz w:val="24"/>
        </w:rPr>
        <w:t>Avicenn</w:t>
      </w:r>
      <w:r w:rsidR="003048F7">
        <w:rPr>
          <w:rStyle w:val="FontStyle129"/>
          <w:rFonts w:ascii="Calibri" w:hAnsi="Calibri"/>
          <w:sz w:val="24"/>
        </w:rPr>
        <w:t xml:space="preserve">a </w:t>
      </w:r>
      <w:r w:rsidR="003048F7">
        <w:t>vytěsnil smyslovou a intelektuální mediaci</w:t>
      </w:r>
      <w:r w:rsidR="003048F7" w:rsidRPr="003D1E07">
        <w:t xml:space="preserve"> </w:t>
      </w:r>
      <w:r w:rsidR="003048F7">
        <w:t xml:space="preserve">z procesu </w:t>
      </w:r>
      <w:r w:rsidR="003048F7" w:rsidRPr="003D1E07">
        <w:t>poznán</w:t>
      </w:r>
      <w:r w:rsidR="003048F7">
        <w:t xml:space="preserve">í světa </w:t>
      </w:r>
      <w:r w:rsidR="003048F7" w:rsidRPr="003D1E07">
        <w:t xml:space="preserve">a tím </w:t>
      </w:r>
      <w:r w:rsidR="003048F7">
        <w:t xml:space="preserve">vytvořil moderní scénář </w:t>
      </w:r>
      <w:r w:rsidR="003048F7" w:rsidRPr="003D1E07">
        <w:t>zatmění hylemor</w:t>
      </w:r>
      <w:r w:rsidR="00366C3B">
        <w:t xml:space="preserve">fické první substance. Změněná </w:t>
      </w:r>
      <w:r w:rsidR="00366C3B" w:rsidRPr="00366C3B">
        <w:t xml:space="preserve">podoba metafyziky je nutným důsledkem nového </w:t>
      </w:r>
      <w:r w:rsidR="00366C3B">
        <w:t>vidění světa</w:t>
      </w:r>
      <w:r w:rsidR="00366C3B" w:rsidRPr="00366C3B">
        <w:t>.</w:t>
      </w:r>
    </w:p>
    <w:p w14:paraId="70F0F92D" w14:textId="77777777" w:rsidR="002862D5" w:rsidRDefault="002862D5" w:rsidP="002862D5">
      <w:pPr>
        <w:rPr>
          <w:rStyle w:val="FontStyle129"/>
          <w:rFonts w:ascii="Calibri" w:hAnsi="Calibri"/>
          <w:sz w:val="24"/>
        </w:rPr>
      </w:pPr>
    </w:p>
    <w:p w14:paraId="56D840B0" w14:textId="77777777" w:rsidR="002862D5" w:rsidRDefault="002862D5" w:rsidP="002862D5">
      <w:pPr>
        <w:pStyle w:val="Nadpis3"/>
        <w:rPr>
          <w:rStyle w:val="FontStyle129"/>
          <w:rFonts w:ascii="Calibri" w:hAnsi="Calibri"/>
          <w:sz w:val="24"/>
        </w:rPr>
      </w:pPr>
      <w:r>
        <w:rPr>
          <w:rStyle w:val="FontStyle129"/>
          <w:rFonts w:ascii="Calibri" w:hAnsi="Calibri"/>
          <w:sz w:val="24"/>
        </w:rPr>
        <w:br w:type="page"/>
      </w:r>
      <w:bookmarkStart w:id="51" w:name="_Toc93747280"/>
      <w:bookmarkStart w:id="52" w:name="_Toc102906170"/>
      <w:r w:rsidRPr="003D1E07">
        <w:rPr>
          <w:rStyle w:val="FontStyle129"/>
          <w:rFonts w:ascii="Calibri" w:hAnsi="Calibri"/>
          <w:sz w:val="24"/>
          <w:lang w:val="cs-CZ"/>
        </w:rPr>
        <w:lastRenderedPageBreak/>
        <w:t xml:space="preserve">2.3.2 </w:t>
      </w:r>
      <w:r>
        <w:rPr>
          <w:rStyle w:val="FontStyle129"/>
          <w:rFonts w:ascii="Calibri" w:hAnsi="Calibri"/>
          <w:sz w:val="24"/>
          <w:lang w:val="cs-CZ"/>
        </w:rPr>
        <w:t xml:space="preserve">Vznik </w:t>
      </w:r>
      <w:r w:rsidRPr="003D1E07">
        <w:rPr>
          <w:rStyle w:val="FontStyle129"/>
          <w:rFonts w:ascii="Calibri" w:hAnsi="Calibri"/>
          <w:sz w:val="24"/>
          <w:lang w:val="cs-CZ"/>
        </w:rPr>
        <w:t>objekt</w:t>
      </w:r>
      <w:r>
        <w:rPr>
          <w:rStyle w:val="FontStyle129"/>
          <w:rFonts w:ascii="Calibri" w:hAnsi="Calibri"/>
          <w:sz w:val="24"/>
          <w:lang w:val="cs-CZ"/>
        </w:rPr>
        <w:t>ivní</w:t>
      </w:r>
      <w:r w:rsidRPr="003D1E07">
        <w:rPr>
          <w:rStyle w:val="FontStyle129"/>
          <w:rFonts w:ascii="Calibri" w:hAnsi="Calibri"/>
          <w:sz w:val="24"/>
          <w:lang w:val="cs-CZ"/>
        </w:rPr>
        <w:t xml:space="preserve"> metafyziky</w:t>
      </w:r>
      <w:bookmarkEnd w:id="51"/>
      <w:bookmarkEnd w:id="52"/>
    </w:p>
    <w:p w14:paraId="7716FF3D" w14:textId="693EC09C" w:rsidR="001E714A" w:rsidRDefault="001E714A" w:rsidP="001E714A">
      <w:pPr>
        <w:rPr>
          <w:rStyle w:val="FontStyle129"/>
          <w:rFonts w:ascii="Calibri" w:hAnsi="Calibri"/>
          <w:sz w:val="24"/>
        </w:rPr>
      </w:pPr>
      <w:r w:rsidRPr="003D1E07">
        <w:t>Avicenna změnil dráhu náhledu (</w:t>
      </w:r>
      <w:r w:rsidRPr="003D1E07">
        <w:rPr>
          <w:i/>
        </w:rPr>
        <w:t>Vor-blickbahn</w:t>
      </w:r>
      <w:r w:rsidRPr="003D1E07">
        <w:rPr>
          <w:i/>
        </w:rPr>
        <w:fldChar w:fldCharType="begin"/>
      </w:r>
      <w:r w:rsidRPr="003D1E07">
        <w:instrText xml:space="preserve"> XE "</w:instrText>
      </w:r>
      <w:r w:rsidRPr="003D1E07">
        <w:rPr>
          <w:i/>
        </w:rPr>
        <w:instrText>Vor-blickbahn</w:instrText>
      </w:r>
      <w:r w:rsidRPr="003D1E07">
        <w:instrText xml:space="preserve">" </w:instrText>
      </w:r>
      <w:r w:rsidRPr="003D1E07">
        <w:rPr>
          <w:i/>
        </w:rPr>
        <w:fldChar w:fldCharType="end"/>
      </w:r>
      <w:r w:rsidRPr="003D1E07">
        <w:t xml:space="preserve">), která určuje nasvícení jsoucna pro intelekt. </w:t>
      </w:r>
      <w:r>
        <w:rPr>
          <w:rStyle w:val="FontStyle129"/>
          <w:rFonts w:ascii="Calibri" w:hAnsi="Calibri"/>
          <w:sz w:val="24"/>
        </w:rPr>
        <w:t xml:space="preserve">Bylo nutné založit novou podobu </w:t>
      </w:r>
      <w:r w:rsidRPr="00B7116A">
        <w:rPr>
          <w:rStyle w:val="FontStyle129"/>
          <w:rFonts w:ascii="Calibri" w:hAnsi="Calibri"/>
          <w:i/>
          <w:sz w:val="24"/>
        </w:rPr>
        <w:t>anima intellectiva</w:t>
      </w:r>
      <w:r>
        <w:rPr>
          <w:rStyle w:val="FontStyle129"/>
          <w:rFonts w:ascii="Calibri" w:hAnsi="Calibri"/>
          <w:sz w:val="24"/>
        </w:rPr>
        <w:t xml:space="preserve">, </w:t>
      </w:r>
      <w:r w:rsidRPr="00980127">
        <w:rPr>
          <w:rStyle w:val="FontStyle129"/>
          <w:rFonts w:ascii="Calibri" w:hAnsi="Calibri"/>
          <w:sz w:val="24"/>
        </w:rPr>
        <w:t xml:space="preserve">protože </w:t>
      </w:r>
      <w:r>
        <w:rPr>
          <w:rStyle w:val="FontStyle129"/>
          <w:rFonts w:ascii="Calibri" w:hAnsi="Calibri"/>
          <w:sz w:val="24"/>
        </w:rPr>
        <w:t xml:space="preserve">moderní duše byla </w:t>
      </w:r>
      <w:r w:rsidRPr="00980127">
        <w:rPr>
          <w:rStyle w:val="FontStyle129"/>
          <w:rFonts w:ascii="Calibri" w:hAnsi="Calibri"/>
          <w:sz w:val="24"/>
        </w:rPr>
        <w:t>zapojena do procesu poznávání radikálně novým způsobem.</w:t>
      </w:r>
      <w:r>
        <w:rPr>
          <w:rStyle w:val="FontStyle129"/>
          <w:rFonts w:ascii="Calibri" w:hAnsi="Calibri"/>
          <w:sz w:val="24"/>
        </w:rPr>
        <w:t xml:space="preserve"> L</w:t>
      </w:r>
      <w:r w:rsidRPr="003D1E07">
        <w:rPr>
          <w:rStyle w:val="FontStyle129"/>
          <w:rFonts w:ascii="Calibri" w:hAnsi="Calibri"/>
          <w:sz w:val="24"/>
        </w:rPr>
        <w:t xml:space="preserve">atinská moderna </w:t>
      </w:r>
      <w:r>
        <w:rPr>
          <w:rStyle w:val="FontStyle129"/>
          <w:rFonts w:ascii="Calibri" w:hAnsi="Calibri"/>
          <w:sz w:val="24"/>
        </w:rPr>
        <w:t>převzala</w:t>
      </w:r>
      <w:r w:rsidRPr="003D1E07">
        <w:rPr>
          <w:rStyle w:val="FontStyle129"/>
          <w:rFonts w:ascii="Calibri" w:hAnsi="Calibri"/>
          <w:sz w:val="24"/>
        </w:rPr>
        <w:t xml:space="preserve"> </w:t>
      </w:r>
      <w:r>
        <w:rPr>
          <w:rStyle w:val="FontStyle129"/>
          <w:rFonts w:ascii="Calibri" w:hAnsi="Calibri"/>
          <w:sz w:val="24"/>
        </w:rPr>
        <w:t>moderní d</w:t>
      </w:r>
      <w:r>
        <w:t xml:space="preserve">efinici duše jako hypostázované substance </w:t>
      </w:r>
      <w:r w:rsidRPr="003D1E07">
        <w:rPr>
          <w:rStyle w:val="FontStyle129"/>
          <w:rFonts w:ascii="Calibri" w:hAnsi="Calibri"/>
          <w:sz w:val="24"/>
        </w:rPr>
        <w:t xml:space="preserve">skrze latinský překlad Avicennovy </w:t>
      </w:r>
      <w:r w:rsidRPr="003D1E07">
        <w:rPr>
          <w:rStyle w:val="FontStyle129"/>
          <w:rFonts w:ascii="Calibri" w:hAnsi="Calibri"/>
          <w:i/>
          <w:sz w:val="24"/>
        </w:rPr>
        <w:t>De anima</w:t>
      </w:r>
      <w:r w:rsidRPr="003D1E07">
        <w:rPr>
          <w:rStyle w:val="FontStyle129"/>
          <w:rFonts w:ascii="Calibri" w:hAnsi="Calibri"/>
          <w:sz w:val="24"/>
        </w:rPr>
        <w:t xml:space="preserve">. </w:t>
      </w:r>
      <w:r w:rsidRPr="003D1E07">
        <w:rPr>
          <w:lang w:eastAsia="en-US"/>
        </w:rPr>
        <w:t xml:space="preserve">Scholastikové znali Avicennův komentář k </w:t>
      </w:r>
      <w:r w:rsidRPr="003D1E07">
        <w:rPr>
          <w:i/>
          <w:lang w:eastAsia="en-US"/>
        </w:rPr>
        <w:t>De anima</w:t>
      </w:r>
      <w:r w:rsidRPr="003D1E07">
        <w:rPr>
          <w:lang w:eastAsia="en-US"/>
        </w:rPr>
        <w:t xml:space="preserve"> (</w:t>
      </w:r>
      <w:r w:rsidRPr="003D1E07">
        <w:rPr>
          <w:i/>
        </w:rPr>
        <w:t>Liber de anima seu Sextus de naturalibus</w:t>
      </w:r>
      <w:r w:rsidRPr="003D1E07">
        <w:rPr>
          <w:lang w:eastAsia="en-US"/>
        </w:rPr>
        <w:t xml:space="preserve">) skrze překlad, který vytvořili </w:t>
      </w:r>
      <w:r w:rsidRPr="003D1E07">
        <w:t>Avendauth</w:t>
      </w:r>
      <w:r w:rsidRPr="003D1E07">
        <w:fldChar w:fldCharType="begin"/>
      </w:r>
      <w:r w:rsidRPr="003D1E07">
        <w:instrText xml:space="preserve"> XE "Avendauth" </w:instrText>
      </w:r>
      <w:r w:rsidRPr="003D1E07">
        <w:fldChar w:fldCharType="end"/>
      </w:r>
      <w:r w:rsidRPr="003D1E07">
        <w:t xml:space="preserve"> a Dominicus Gundissalinus</w:t>
      </w:r>
      <w:r w:rsidRPr="003D1E07">
        <w:fldChar w:fldCharType="begin"/>
      </w:r>
      <w:r w:rsidRPr="003D1E07">
        <w:instrText xml:space="preserve"> XE "Gundissalinus, D." </w:instrText>
      </w:r>
      <w:r w:rsidRPr="003D1E07">
        <w:fldChar w:fldCharType="end"/>
      </w:r>
      <w:r w:rsidRPr="003D1E07">
        <w:t xml:space="preserve"> v Toledu</w:t>
      </w:r>
      <w:r w:rsidRPr="003D1E07">
        <w:rPr>
          <w:lang w:eastAsia="en-US"/>
        </w:rPr>
        <w:t xml:space="preserve"> mezi léty </w:t>
      </w:r>
      <w:r w:rsidRPr="003D1E07">
        <w:t xml:space="preserve">1152–66. Avicennismus se na latinském Západě rozšířil skrze Gundissalinovu parafrázi tohoto spisu v díle </w:t>
      </w:r>
      <w:r w:rsidRPr="003D1E07">
        <w:rPr>
          <w:i/>
        </w:rPr>
        <w:t>De immortalitate animae</w:t>
      </w:r>
      <w:r w:rsidRPr="003D1E07">
        <w:t xml:space="preserve">. </w:t>
      </w:r>
      <w:r w:rsidRPr="003D1E07">
        <w:rPr>
          <w:rStyle w:val="FontStyle129"/>
          <w:rFonts w:ascii="Calibri" w:hAnsi="Calibri"/>
          <w:sz w:val="24"/>
        </w:rPr>
        <w:t>Duše se stává perfekcí těla (</w:t>
      </w:r>
      <w:r w:rsidRPr="003D1E07">
        <w:rPr>
          <w:i/>
        </w:rPr>
        <w:t>perfectio prima corporis naturalis</w:t>
      </w:r>
      <w:r w:rsidRPr="003D1E07">
        <w:rPr>
          <w:rStyle w:val="FontStyle129"/>
          <w:rFonts w:ascii="Calibri" w:hAnsi="Calibri"/>
          <w:sz w:val="24"/>
        </w:rPr>
        <w:t>) a současně nemateriální substancí (</w:t>
      </w:r>
      <w:r w:rsidRPr="003D1E07">
        <w:rPr>
          <w:rStyle w:val="FontStyle129"/>
          <w:rFonts w:ascii="Calibri" w:hAnsi="Calibri"/>
          <w:i/>
          <w:sz w:val="24"/>
        </w:rPr>
        <w:t>hoc aliquid</w:t>
      </w:r>
      <w:r w:rsidRPr="003D1E07">
        <w:rPr>
          <w:rStyle w:val="FontStyle129"/>
          <w:rFonts w:ascii="Calibri" w:hAnsi="Calibri"/>
          <w:i/>
          <w:sz w:val="24"/>
        </w:rPr>
        <w:fldChar w:fldCharType="begin"/>
      </w:r>
      <w:r w:rsidRPr="003D1E07">
        <w:instrText xml:space="preserve"> XE "</w:instrText>
      </w:r>
      <w:r w:rsidRPr="003D1E07">
        <w:rPr>
          <w:rStyle w:val="FontStyle129"/>
          <w:rFonts w:ascii="Calibri" w:hAnsi="Calibri"/>
          <w:i/>
          <w:sz w:val="24"/>
        </w:rPr>
        <w:instrText>hoc aliquid:</w:instrText>
      </w:r>
      <w:r w:rsidRPr="003D1E07">
        <w:instrText xml:space="preserve">Avicenna" </w:instrText>
      </w:r>
      <w:r w:rsidRPr="003D1E07">
        <w:rPr>
          <w:rStyle w:val="FontStyle129"/>
          <w:rFonts w:ascii="Calibri" w:hAnsi="Calibri"/>
          <w:i/>
          <w:sz w:val="24"/>
        </w:rPr>
        <w:fldChar w:fldCharType="end"/>
      </w:r>
      <w:r w:rsidRPr="003D1E07">
        <w:rPr>
          <w:rStyle w:val="FontStyle129"/>
          <w:rFonts w:ascii="Calibri" w:hAnsi="Calibri"/>
          <w:sz w:val="24"/>
        </w:rPr>
        <w:t xml:space="preserve">). </w:t>
      </w:r>
      <w:r w:rsidRPr="003D1E07">
        <w:t>Fakt předchůdné aktualizace intelektu dané nasvícením zezadu způsobil, že moderní intelekt je sám o sobě již subsistentní formou (</w:t>
      </w:r>
      <w:r w:rsidRPr="003D1E07">
        <w:rPr>
          <w:i/>
        </w:rPr>
        <w:t>hoc aliquid</w:t>
      </w:r>
      <w:r w:rsidRPr="003D1E07">
        <w:rPr>
          <w:i/>
        </w:rPr>
        <w:fldChar w:fldCharType="begin"/>
      </w:r>
      <w:r w:rsidRPr="003D1E07">
        <w:instrText xml:space="preserve"> XE "</w:instrText>
      </w:r>
      <w:r w:rsidRPr="003D1E07">
        <w:rPr>
          <w:rStyle w:val="FontStyle129"/>
          <w:rFonts w:ascii="Calibri" w:hAnsi="Calibri"/>
          <w:i/>
          <w:sz w:val="24"/>
        </w:rPr>
        <w:instrText>hoc aliquid:</w:instrText>
      </w:r>
      <w:r w:rsidRPr="003D1E07">
        <w:instrText xml:space="preserve">Avicenna" </w:instrText>
      </w:r>
      <w:r w:rsidRPr="003D1E07">
        <w:rPr>
          <w:i/>
        </w:rPr>
        <w:fldChar w:fldCharType="end"/>
      </w:r>
      <w:r w:rsidRPr="003D1E07">
        <w:rPr>
          <w:i/>
        </w:rPr>
        <w:t>, res cogitans</w:t>
      </w:r>
      <w:r w:rsidRPr="003D1E07">
        <w:t xml:space="preserve">). </w:t>
      </w:r>
      <w:r w:rsidRPr="003D1E07">
        <w:rPr>
          <w:rStyle w:val="FontStyle129"/>
          <w:rFonts w:ascii="Calibri" w:hAnsi="Calibri"/>
          <w:sz w:val="24"/>
        </w:rPr>
        <w:t>Toto pojetí duše definované jako hypostatická substance je pro hermeneutiku objektivity naprosto zásadní. Tím vznikl nový subjekt poznání na způsob Al</w:t>
      </w:r>
      <w:r w:rsidRPr="003D1E07">
        <w:rPr>
          <w:rStyle w:val="FontStyle129"/>
          <w:rFonts w:ascii="Calibri" w:hAnsi="Calibri"/>
          <w:sz w:val="24"/>
        </w:rPr>
        <w:noBreakHyphen/>
        <w:t>Fárábího darovaného intelektu (</w:t>
      </w:r>
      <w:r w:rsidRPr="003D1E07">
        <w:rPr>
          <w:i/>
        </w:rPr>
        <w:t>intellectus adeptus est quasi subiectum</w:t>
      </w:r>
      <w:r w:rsidRPr="003D1E07">
        <w:rPr>
          <w:i/>
        </w:rPr>
        <w:fldChar w:fldCharType="begin"/>
      </w:r>
      <w:r w:rsidRPr="003D1E07">
        <w:instrText xml:space="preserve"> XE "</w:instrText>
      </w:r>
      <w:r w:rsidRPr="003D1E07">
        <w:rPr>
          <w:i/>
        </w:rPr>
        <w:instrText>subiectum:</w:instrText>
      </w:r>
      <w:r w:rsidRPr="003D1E07">
        <w:instrText xml:space="preserve">třetího druhu" </w:instrText>
      </w:r>
      <w:r w:rsidRPr="003D1E07">
        <w:rPr>
          <w:i/>
        </w:rPr>
        <w:fldChar w:fldCharType="end"/>
      </w:r>
      <w:r w:rsidRPr="003D1E07">
        <w:rPr>
          <w:i/>
        </w:rPr>
        <w:t xml:space="preserve">, </w:t>
      </w:r>
      <w:r>
        <w:rPr>
          <w:rStyle w:val="FontStyle129"/>
          <w:rFonts w:ascii="Calibri" w:hAnsi="Calibri"/>
          <w:sz w:val="24"/>
        </w:rPr>
        <w:t xml:space="preserve">kap. 2.1.1). </w:t>
      </w:r>
      <w:r w:rsidRPr="003D1E07">
        <w:rPr>
          <w:rStyle w:val="FontStyle129"/>
          <w:rFonts w:ascii="Calibri" w:hAnsi="Calibri"/>
          <w:sz w:val="24"/>
        </w:rPr>
        <w:t xml:space="preserve">Avicenna </w:t>
      </w:r>
      <w:r w:rsidRPr="003D1E07">
        <w:t xml:space="preserve">uzavřel tuto cestu Druhého mistra a </w:t>
      </w:r>
      <w:r w:rsidRPr="003D1E07">
        <w:rPr>
          <w:rStyle w:val="FontStyle129"/>
          <w:rFonts w:ascii="Calibri" w:hAnsi="Calibri"/>
          <w:sz w:val="24"/>
        </w:rPr>
        <w:t xml:space="preserve">změnil pojetí darovaného intelektu na hypostázovanou formu. </w:t>
      </w:r>
      <w:r>
        <w:rPr>
          <w:rStyle w:val="FontStyle129"/>
          <w:rFonts w:ascii="Calibri" w:hAnsi="Calibri"/>
          <w:sz w:val="24"/>
        </w:rPr>
        <w:t>Moderna vytvořila novou</w:t>
      </w:r>
      <w:r w:rsidRPr="003D1E07">
        <w:rPr>
          <w:rStyle w:val="FontStyle129"/>
          <w:rFonts w:ascii="Calibri" w:hAnsi="Calibri"/>
          <w:sz w:val="24"/>
        </w:rPr>
        <w:t xml:space="preserve"> </w:t>
      </w:r>
      <w:r w:rsidRPr="003D1E07">
        <w:rPr>
          <w:rStyle w:val="FontStyle129"/>
          <w:rFonts w:ascii="Calibri" w:hAnsi="Calibri"/>
          <w:i/>
          <w:sz w:val="24"/>
        </w:rPr>
        <w:t>anima intellectiva</w:t>
      </w:r>
      <w:r w:rsidRPr="003D1E07">
        <w:rPr>
          <w:rStyle w:val="FontStyle129"/>
          <w:rFonts w:ascii="Calibri" w:hAnsi="Calibri"/>
          <w:sz w:val="24"/>
        </w:rPr>
        <w:t xml:space="preserve"> jako substanci třetího druhu. S</w:t>
      </w:r>
      <w:r w:rsidRPr="003D1E07">
        <w:t xml:space="preserve">cholastika přebírá </w:t>
      </w:r>
      <w:r>
        <w:t xml:space="preserve">tuto definici </w:t>
      </w:r>
      <w:r w:rsidRPr="003D1E07">
        <w:t>duše podle Avicenn</w:t>
      </w:r>
      <w:r>
        <w:t xml:space="preserve">y </w:t>
      </w:r>
      <w:r w:rsidRPr="003D1E07">
        <w:t>v podobě hypostázovaného habitu.</w:t>
      </w:r>
      <w:r w:rsidRPr="003D1E07">
        <w:rPr>
          <w:rStyle w:val="Znakapoznpodarou"/>
        </w:rPr>
        <w:footnoteReference w:id="144"/>
      </w:r>
      <w:r w:rsidRPr="003D1E07">
        <w:t xml:space="preserve"> Druhé určení se pak nutně týkalo duše jako samostatné substance (</w:t>
      </w:r>
      <w:r w:rsidRPr="003D1E07">
        <w:rPr>
          <w:i/>
        </w:rPr>
        <w:t>hoc aliquid</w:t>
      </w:r>
      <w:r w:rsidRPr="003D1E07">
        <w:t xml:space="preserve">), kterou Dominicus </w:t>
      </w:r>
      <w:r w:rsidRPr="003D1E07">
        <w:rPr>
          <w:rStyle w:val="Zvraznn"/>
          <w:i w:val="0"/>
        </w:rPr>
        <w:t xml:space="preserve">Gundissalinus v </w:t>
      </w:r>
      <w:r w:rsidRPr="003D1E07">
        <w:t xml:space="preserve">překladu Avicennovy </w:t>
      </w:r>
      <w:r w:rsidRPr="003D1E07">
        <w:rPr>
          <w:i/>
        </w:rPr>
        <w:t>De anima</w:t>
      </w:r>
      <w:r w:rsidRPr="003D1E07">
        <w:t xml:space="preserve"> doplnil v duchu neoplatonismu.</w:t>
      </w:r>
      <w:r w:rsidRPr="003D1E07">
        <w:rPr>
          <w:rStyle w:val="Znakapoznpodarou"/>
          <w:szCs w:val="18"/>
        </w:rPr>
        <w:footnoteReference w:id="145"/>
      </w:r>
      <w:r w:rsidRPr="003D1E07">
        <w:rPr>
          <w:rStyle w:val="FontStyle129"/>
          <w:rFonts w:ascii="Calibri" w:hAnsi="Calibri"/>
          <w:sz w:val="24"/>
        </w:rPr>
        <w:t xml:space="preserve"> </w:t>
      </w:r>
      <w:r w:rsidRPr="003D1E07">
        <w:t xml:space="preserve">Nový výklad poznání daroval začínající škole </w:t>
      </w:r>
      <w:r w:rsidRPr="003D1E07">
        <w:rPr>
          <w:i/>
        </w:rPr>
        <w:t>Modernorum</w:t>
      </w:r>
      <w:r w:rsidRPr="003D1E07">
        <w:t xml:space="preserve"> skrze Toledskou školu překladatelů nový typ intelektu, jenž vlastní demiurgickou aktivitu primárně ze sebe sama</w:t>
      </w:r>
      <w:r>
        <w:t>.</w:t>
      </w:r>
      <w:r>
        <w:rPr>
          <w:szCs w:val="18"/>
        </w:rPr>
        <w:t xml:space="preserve"> </w:t>
      </w:r>
      <w:r w:rsidRPr="003D1E07">
        <w:t>První mistr moderny vytvořil nové zásvětí ducha na způsob Jamblichova diakosmu (kap. 1.3.1)</w:t>
      </w:r>
      <w:r>
        <w:t>. La</w:t>
      </w:r>
      <w:r w:rsidRPr="003D1E07">
        <w:t xml:space="preserve">tinští modernisté </w:t>
      </w:r>
      <w:r>
        <w:t xml:space="preserve">z něj </w:t>
      </w:r>
      <w:r w:rsidRPr="003D1E07">
        <w:t xml:space="preserve">udělají </w:t>
      </w:r>
      <w:r>
        <w:t xml:space="preserve">mytopoetickou říši </w:t>
      </w:r>
      <w:r w:rsidRPr="003D1E07">
        <w:t xml:space="preserve">objektivního určení jsoucna. </w:t>
      </w:r>
      <w:r w:rsidRPr="003D1E07">
        <w:rPr>
          <w:rStyle w:val="FontStyle129"/>
          <w:rFonts w:ascii="Calibri" w:hAnsi="Calibri"/>
          <w:sz w:val="24"/>
        </w:rPr>
        <w:t>Avicennův hypostázovaný i</w:t>
      </w:r>
      <w:r w:rsidRPr="003D1E07">
        <w:t>ntelekt bude hrát klíčovou roli v pozdějších konceptech objektivity, až do dnešní doby. Poznaný objekt je nyní čistou formou, která</w:t>
      </w:r>
      <w:r w:rsidRPr="003D1E07">
        <w:rPr>
          <w:lang w:eastAsia="en-US"/>
        </w:rPr>
        <w:t xml:space="preserve"> „e</w:t>
      </w:r>
      <w:r>
        <w:rPr>
          <w:lang w:eastAsia="en-US"/>
        </w:rPr>
        <w:t>k</w:t>
      </w:r>
      <w:r w:rsidRPr="003D1E07">
        <w:rPr>
          <w:lang w:eastAsia="en-US"/>
        </w:rPr>
        <w:t>sistuje“ (</w:t>
      </w:r>
      <w:r w:rsidRPr="003D1E07">
        <w:rPr>
          <w:i/>
          <w:lang w:eastAsia="en-US"/>
        </w:rPr>
        <w:t>exsistere</w:t>
      </w:r>
      <w:r w:rsidRPr="003D1E07">
        <w:rPr>
          <w:i/>
          <w:lang w:eastAsia="en-US"/>
        </w:rPr>
        <w:fldChar w:fldCharType="begin"/>
      </w:r>
      <w:r w:rsidRPr="003D1E07">
        <w:instrText xml:space="preserve"> XE "</w:instrText>
      </w:r>
      <w:r w:rsidRPr="003D1E07">
        <w:rPr>
          <w:i/>
          <w:lang w:eastAsia="en-US"/>
        </w:rPr>
        <w:instrText>exsistere</w:instrText>
      </w:r>
      <w:r w:rsidRPr="003D1E07">
        <w:instrText xml:space="preserve">" </w:instrText>
      </w:r>
      <w:r w:rsidRPr="003D1E07">
        <w:rPr>
          <w:i/>
          <w:lang w:eastAsia="en-US"/>
        </w:rPr>
        <w:fldChar w:fldCharType="end"/>
      </w:r>
      <w:r w:rsidRPr="003D1E07">
        <w:rPr>
          <w:lang w:eastAsia="en-US"/>
        </w:rPr>
        <w:t>) sama o sobě tím, že došlo k mytopoetickému  s</w:t>
      </w:r>
      <w:r w:rsidRPr="003D1E07">
        <w:t xml:space="preserve">pojení lidského darovaného intelektu se světem aktuálních kosmických forem emanujících </w:t>
      </w:r>
      <w:r w:rsidRPr="003D1E07">
        <w:lastRenderedPageBreak/>
        <w:t xml:space="preserve">od </w:t>
      </w:r>
      <w:r>
        <w:t xml:space="preserve">moderního </w:t>
      </w:r>
      <w:r w:rsidRPr="003D1E07">
        <w:t xml:space="preserve">boha nebo od činného kosmického intelektu </w:t>
      </w:r>
      <w:r>
        <w:t>jako d</w:t>
      </w:r>
      <w:r w:rsidRPr="003D1E07">
        <w:t>árce těchto forem (</w:t>
      </w:r>
      <w:r>
        <w:rPr>
          <w:i/>
        </w:rPr>
        <w:t>d</w:t>
      </w:r>
      <w:r w:rsidRPr="004319BF">
        <w:rPr>
          <w:i/>
        </w:rPr>
        <w:t>ator formarum</w:t>
      </w:r>
      <w:r w:rsidRPr="003D1E07">
        <w:rPr>
          <w:i/>
        </w:rPr>
        <w:fldChar w:fldCharType="begin"/>
      </w:r>
      <w:r w:rsidRPr="003D1E07">
        <w:instrText xml:space="preserve"> XE "</w:instrText>
      </w:r>
      <w:r w:rsidRPr="003D1E07">
        <w:rPr>
          <w:i/>
        </w:rPr>
        <w:instrText>Dator formarum</w:instrText>
      </w:r>
      <w:r w:rsidRPr="003D1E07">
        <w:instrText xml:space="preserve">" </w:instrText>
      </w:r>
      <w:r w:rsidRPr="003D1E07">
        <w:rPr>
          <w:i/>
        </w:rPr>
        <w:fldChar w:fldCharType="end"/>
      </w:r>
      <w:r w:rsidRPr="003D1E07">
        <w:t>). M</w:t>
      </w:r>
      <w:r w:rsidRPr="003D1E07">
        <w:rPr>
          <w:rStyle w:val="FontStyle129"/>
          <w:rFonts w:ascii="Calibri" w:hAnsi="Calibri"/>
          <w:sz w:val="24"/>
        </w:rPr>
        <w:t>oderní intelekt se stal nezávislou substancí na způsob neoplatonských</w:t>
      </w:r>
      <w:r w:rsidRPr="003D1E07">
        <w:t xml:space="preserve"> </w:t>
      </w:r>
      <w:r w:rsidRPr="003D1E07">
        <w:rPr>
          <w:rStyle w:val="FontStyle129"/>
          <w:rFonts w:ascii="Calibri" w:hAnsi="Calibri"/>
          <w:sz w:val="24"/>
        </w:rPr>
        <w:t>intelektuálních emanací a forem.</w:t>
      </w:r>
      <w:r w:rsidRPr="003D1E07">
        <w:t xml:space="preserve"> Tím dochází ve falsafě k dalšímu zatmění reálně existujícího jsoucna, které sleduje Porfyriův výklad </w:t>
      </w:r>
      <w:r w:rsidRPr="003D1E07">
        <w:rPr>
          <w:i/>
        </w:rPr>
        <w:t>Kategorií</w:t>
      </w:r>
      <w:r w:rsidRPr="003D1E07">
        <w:t xml:space="preserve"> (kap. 1.3). Nová dráha </w:t>
      </w:r>
      <w:r>
        <w:t xml:space="preserve">přechůdného </w:t>
      </w:r>
      <w:r w:rsidRPr="003D1E07">
        <w:t>náhledu</w:t>
      </w:r>
      <w:r>
        <w:t xml:space="preserve"> na smysl jsoucna</w:t>
      </w:r>
      <w:r w:rsidRPr="003D1E07">
        <w:t xml:space="preserve"> (</w:t>
      </w:r>
      <w:r w:rsidRPr="003D1E07">
        <w:rPr>
          <w:i/>
        </w:rPr>
        <w:t>Vor</w:t>
      </w:r>
      <w:r w:rsidRPr="003D1E07">
        <w:rPr>
          <w:i/>
        </w:rPr>
        <w:noBreakHyphen/>
        <w:t>blickbahn</w:t>
      </w:r>
      <w:r w:rsidRPr="003D1E07">
        <w:rPr>
          <w:i/>
        </w:rPr>
        <w:fldChar w:fldCharType="begin"/>
      </w:r>
      <w:r w:rsidRPr="003D1E07">
        <w:instrText xml:space="preserve"> XE "</w:instrText>
      </w:r>
      <w:r w:rsidRPr="003D1E07">
        <w:rPr>
          <w:i/>
        </w:rPr>
        <w:instrText>Vor-b</w:instrText>
      </w:r>
      <w:r w:rsidRPr="003D1E07">
        <w:rPr>
          <w:i/>
          <w:iCs/>
        </w:rPr>
        <w:instrText>lickbahn</w:instrText>
      </w:r>
      <w:r w:rsidRPr="003D1E07">
        <w:rPr>
          <w:iCs/>
        </w:rPr>
        <w:instrText>:Avicenna</w:instrText>
      </w:r>
      <w:r w:rsidRPr="003D1E07">
        <w:instrText xml:space="preserve">" </w:instrText>
      </w:r>
      <w:r w:rsidRPr="003D1E07">
        <w:rPr>
          <w:i/>
        </w:rPr>
        <w:fldChar w:fldCharType="end"/>
      </w:r>
      <w:r w:rsidRPr="003D1E07">
        <w:t xml:space="preserve">) vytváří jednotu </w:t>
      </w:r>
      <w:r>
        <w:t xml:space="preserve">světa </w:t>
      </w:r>
      <w:r w:rsidRPr="003D1E07">
        <w:t>mimo hyparchické postavení první substance</w:t>
      </w:r>
      <w:r>
        <w:t xml:space="preserve">. Realita </w:t>
      </w:r>
      <w:r w:rsidRPr="003D1E07">
        <w:t xml:space="preserve">determinuje poznání v aristotelském schématu poznání skrze </w:t>
      </w:r>
      <w:r w:rsidRPr="003D1E07">
        <w:rPr>
          <w:i/>
        </w:rPr>
        <w:t>intellectus possibilis</w:t>
      </w:r>
      <w:r w:rsidRPr="003D1E07">
        <w:t>. V moderně je reálná hylemorfická první substance uzávorkována jak na straně poznávajícího subjektu, tak na straně poznaného objektu. Intelekt se stal k realitě slepý tím, že se stal univerzálním subsistentním jsoucnem</w:t>
      </w:r>
      <w:r>
        <w:t xml:space="preserve"> a přestal být </w:t>
      </w:r>
      <w:r w:rsidRPr="003D1E07">
        <w:t>univerzálně receptivní potencí</w:t>
      </w:r>
      <w:r>
        <w:t xml:space="preserve"> duše, která existuje pouze </w:t>
      </w:r>
      <w:r w:rsidRPr="003D1E07">
        <w:t>jako forma těla. Přeměnu intelektu na samostatnou substanci a zatmění první substance</w:t>
      </w:r>
      <w:r w:rsidRPr="003D1E07">
        <w:fldChar w:fldCharType="begin"/>
      </w:r>
      <w:r w:rsidRPr="003D1E07">
        <w:instrText xml:space="preserve"> XE "zatmění:substance" </w:instrText>
      </w:r>
      <w:r w:rsidRPr="003D1E07">
        <w:fldChar w:fldCharType="end"/>
      </w:r>
      <w:r w:rsidRPr="003D1E07">
        <w:t xml:space="preserve"> dokoná škola latinských </w:t>
      </w:r>
      <w:r w:rsidRPr="003D1E07">
        <w:rPr>
          <w:i/>
        </w:rPr>
        <w:t>Modernorum</w:t>
      </w:r>
      <w:r w:rsidRPr="003D1E07">
        <w:t xml:space="preserve"> na konci 13. století. Následný objektivní avicennismus postmoderny dané od Descarta</w:t>
      </w:r>
      <w:r w:rsidRPr="003D1E07">
        <w:fldChar w:fldCharType="begin"/>
      </w:r>
      <w:r w:rsidRPr="003D1E07">
        <w:instrText xml:space="preserve"> XE "</w:instrText>
      </w:r>
      <w:r w:rsidRPr="003D1E07">
        <w:rPr>
          <w:rStyle w:val="addmd"/>
        </w:rPr>
        <w:instrText>Descartes, R.</w:instrText>
      </w:r>
      <w:r w:rsidRPr="003D1E07">
        <w:instrText xml:space="preserve">" </w:instrText>
      </w:r>
      <w:r w:rsidRPr="003D1E07">
        <w:fldChar w:fldCharType="end"/>
      </w:r>
      <w:r w:rsidRPr="003D1E07">
        <w:t xml:space="preserve"> pak vytvoří metafyzickou formu západního nihilismu.</w:t>
      </w:r>
    </w:p>
    <w:p w14:paraId="65D36917" w14:textId="33875117" w:rsidR="006214BC" w:rsidRPr="002862D5" w:rsidRDefault="0072263B" w:rsidP="001E714A">
      <w:pPr>
        <w:ind w:firstLine="397"/>
        <w:rPr>
          <w:szCs w:val="18"/>
        </w:rPr>
      </w:pPr>
      <w:r w:rsidRPr="003D1E07">
        <w:t xml:space="preserve">Perský filosof </w:t>
      </w:r>
      <w:r w:rsidR="00042BDD" w:rsidRPr="003D1E07">
        <w:t xml:space="preserve">dal </w:t>
      </w:r>
      <w:r w:rsidR="084F3204" w:rsidRPr="003D1E07">
        <w:t xml:space="preserve">novou </w:t>
      </w:r>
      <w:r w:rsidR="00042BDD" w:rsidRPr="003D1E07">
        <w:t>odp</w:t>
      </w:r>
      <w:r w:rsidR="00FA0957" w:rsidRPr="003D1E07">
        <w:t>ov</w:t>
      </w:r>
      <w:r w:rsidR="00042BDD" w:rsidRPr="003D1E07">
        <w:t>ěď na otázku</w:t>
      </w:r>
      <w:r w:rsidR="00B00EE7">
        <w:t xml:space="preserve"> na způsob</w:t>
      </w:r>
      <w:r w:rsidR="00042BDD" w:rsidRPr="003D1E07">
        <w:t xml:space="preserve">, </w:t>
      </w:r>
      <w:r w:rsidR="00FA0957" w:rsidRPr="003D1E07">
        <w:t>„</w:t>
      </w:r>
      <w:r w:rsidR="00042BDD" w:rsidRPr="003D1E07">
        <w:t>jak</w:t>
      </w:r>
      <w:r w:rsidR="00FA0957" w:rsidRPr="003D1E07">
        <w:t>“</w:t>
      </w:r>
      <w:r w:rsidR="00042BDD" w:rsidRPr="003D1E07">
        <w:t xml:space="preserve"> (πώς</w:t>
      </w:r>
      <w:r w:rsidR="00A777DA" w:rsidRPr="003D1E07">
        <w:t xml:space="preserve">, </w:t>
      </w:r>
      <w:r w:rsidR="00A777DA" w:rsidRPr="003D1E07">
        <w:rPr>
          <w:rStyle w:val="FontStyle129"/>
          <w:rFonts w:ascii="Calibri" w:hAnsi="Calibri"/>
          <w:i/>
          <w:sz w:val="24"/>
        </w:rPr>
        <w:t>De anima</w:t>
      </w:r>
      <w:r w:rsidR="00A777DA" w:rsidRPr="003D1E07">
        <w:rPr>
          <w:rStyle w:val="FontStyle129"/>
          <w:rFonts w:ascii="Calibri" w:hAnsi="Calibri"/>
          <w:sz w:val="24"/>
        </w:rPr>
        <w:t xml:space="preserve"> 431b21</w:t>
      </w:r>
      <w:r w:rsidR="008F14EF" w:rsidRPr="003D1E07">
        <w:rPr>
          <w:rStyle w:val="FontStyle129"/>
          <w:rFonts w:ascii="Calibri" w:hAnsi="Calibri"/>
          <w:i/>
          <w:sz w:val="24"/>
        </w:rPr>
        <w:fldChar w:fldCharType="begin"/>
      </w:r>
      <w:r w:rsidR="008F14EF" w:rsidRPr="003D1E07">
        <w:instrText xml:space="preserve"> XE "Aristoteles:</w:instrText>
      </w:r>
      <w:r w:rsidR="008F14EF" w:rsidRPr="003D1E07">
        <w:rPr>
          <w:i/>
        </w:rPr>
        <w:instrText>De anima</w:instrText>
      </w:r>
      <w:r w:rsidR="008F14EF" w:rsidRPr="003D1E07">
        <w:instrText xml:space="preserve"> 431b21" </w:instrText>
      </w:r>
      <w:r w:rsidR="008F14EF" w:rsidRPr="003D1E07">
        <w:rPr>
          <w:rStyle w:val="FontStyle129"/>
          <w:rFonts w:ascii="Calibri" w:hAnsi="Calibri"/>
          <w:i/>
          <w:sz w:val="24"/>
        </w:rPr>
        <w:fldChar w:fldCharType="end"/>
      </w:r>
      <w:r w:rsidR="00042BDD" w:rsidRPr="003D1E07">
        <w:t xml:space="preserve">) může duše </w:t>
      </w:r>
      <w:r w:rsidR="00A777DA" w:rsidRPr="003D1E07">
        <w:t xml:space="preserve">vytvořit univerzální </w:t>
      </w:r>
      <w:r w:rsidR="00042BDD" w:rsidRPr="003D1E07">
        <w:t>poznání</w:t>
      </w:r>
      <w:r w:rsidR="00042BDD" w:rsidRPr="003D1E07">
        <w:rPr>
          <w:rStyle w:val="FontStyle129"/>
          <w:rFonts w:ascii="Calibri" w:hAnsi="Calibri"/>
          <w:sz w:val="24"/>
        </w:rPr>
        <w:t>.</w:t>
      </w:r>
      <w:r w:rsidR="00FF534C" w:rsidRPr="003D1E07">
        <w:t xml:space="preserve"> </w:t>
      </w:r>
      <w:r w:rsidR="00E10B1A">
        <w:rPr>
          <w:rStyle w:val="FontStyle129"/>
          <w:rFonts w:ascii="Calibri" w:hAnsi="Calibri"/>
          <w:sz w:val="24"/>
        </w:rPr>
        <w:t>Z</w:t>
      </w:r>
      <w:r w:rsidR="00E10B1A" w:rsidRPr="003D1E07">
        <w:rPr>
          <w:rStyle w:val="FontStyle129"/>
          <w:rFonts w:ascii="Calibri" w:hAnsi="Calibri"/>
          <w:sz w:val="24"/>
        </w:rPr>
        <w:t xml:space="preserve">mizela </w:t>
      </w:r>
      <w:r w:rsidR="00E10B1A">
        <w:rPr>
          <w:rStyle w:val="FontStyle129"/>
          <w:rFonts w:ascii="Calibri" w:hAnsi="Calibri"/>
          <w:sz w:val="24"/>
        </w:rPr>
        <w:t>a</w:t>
      </w:r>
      <w:r w:rsidR="006F095A" w:rsidRPr="003D1E07">
        <w:rPr>
          <w:rStyle w:val="FontStyle129"/>
          <w:rFonts w:ascii="Calibri" w:hAnsi="Calibri"/>
          <w:sz w:val="24"/>
        </w:rPr>
        <w:t>mbivalence obsažená v</w:t>
      </w:r>
      <w:r w:rsidR="005F15D5">
        <w:rPr>
          <w:rStyle w:val="FontStyle129"/>
          <w:rFonts w:ascii="Calibri" w:hAnsi="Calibri"/>
          <w:sz w:val="24"/>
        </w:rPr>
        <w:t> </w:t>
      </w:r>
      <w:r w:rsidR="006F095A" w:rsidRPr="003D1E07">
        <w:rPr>
          <w:rStyle w:val="FontStyle129"/>
          <w:rFonts w:ascii="Calibri" w:hAnsi="Calibri"/>
          <w:sz w:val="24"/>
        </w:rPr>
        <w:t>Abunaserově</w:t>
      </w:r>
      <w:r w:rsidR="005F15D5">
        <w:rPr>
          <w:rStyle w:val="FontStyle129"/>
          <w:rFonts w:ascii="Calibri" w:hAnsi="Calibri"/>
          <w:sz w:val="24"/>
        </w:rPr>
        <w:t xml:space="preserve"> </w:t>
      </w:r>
      <w:r w:rsidR="005F15D5">
        <w:t>poznaném noematu (</w:t>
      </w:r>
      <w:r w:rsidR="005F15D5" w:rsidRPr="00C64E49">
        <w:rPr>
          <w:i/>
        </w:rPr>
        <w:t>aliud esse</w:t>
      </w:r>
      <w:r w:rsidR="005F15D5">
        <w:t>)</w:t>
      </w:r>
      <w:r w:rsidR="00E10B1A">
        <w:t xml:space="preserve">. V intelektu </w:t>
      </w:r>
      <w:r w:rsidR="006F095A" w:rsidRPr="003D1E07">
        <w:rPr>
          <w:rStyle w:val="FontStyle129"/>
          <w:rFonts w:ascii="Calibri" w:hAnsi="Calibri"/>
          <w:sz w:val="24"/>
        </w:rPr>
        <w:t>vzniklo nové jsoucno třetího druhu</w:t>
      </w:r>
      <w:r w:rsidR="084F3204" w:rsidRPr="003D1E07">
        <w:rPr>
          <w:rStyle w:val="FontStyle129"/>
          <w:rFonts w:ascii="Calibri" w:hAnsi="Calibri"/>
          <w:sz w:val="24"/>
        </w:rPr>
        <w:t xml:space="preserve"> nahlížené přímo</w:t>
      </w:r>
      <w:r w:rsidR="006F095A" w:rsidRPr="003D1E07">
        <w:rPr>
          <w:rStyle w:val="FontStyle129"/>
          <w:rFonts w:ascii="Calibri" w:hAnsi="Calibri"/>
          <w:sz w:val="24"/>
        </w:rPr>
        <w:t xml:space="preserve">. </w:t>
      </w:r>
      <w:r w:rsidR="008B12D2" w:rsidRPr="003D1E07">
        <w:rPr>
          <w:rStyle w:val="FontStyle129"/>
          <w:rFonts w:ascii="Calibri" w:hAnsi="Calibri"/>
          <w:sz w:val="24"/>
        </w:rPr>
        <w:t>Neoplatonsk</w:t>
      </w:r>
      <w:r w:rsidR="00583FB5" w:rsidRPr="003D1E07">
        <w:rPr>
          <w:rFonts w:eastAsia="NewAster"/>
        </w:rPr>
        <w:t xml:space="preserve">á falsafa zrušila hyparchický primát první substance, protože </w:t>
      </w:r>
      <w:r w:rsidR="00D6487C" w:rsidRPr="003D1E07">
        <w:rPr>
          <w:rFonts w:eastAsia="NewAster"/>
        </w:rPr>
        <w:t xml:space="preserve">v ní </w:t>
      </w:r>
      <w:r w:rsidR="00583FB5" w:rsidRPr="003D1E07">
        <w:rPr>
          <w:rFonts w:eastAsia="NewAster"/>
        </w:rPr>
        <w:t xml:space="preserve">probíhal stejný boj o určení jsoucna jako v pozdní antice. </w:t>
      </w:r>
      <w:r w:rsidR="00583FB5" w:rsidRPr="003D1E07">
        <w:t xml:space="preserve">Klíčové pasáže přeměny </w:t>
      </w:r>
      <w:r w:rsidR="00BE522E" w:rsidRPr="003D1E07">
        <w:t xml:space="preserve">substance </w:t>
      </w:r>
      <w:r w:rsidR="00583FB5" w:rsidRPr="003D1E07">
        <w:t xml:space="preserve">na </w:t>
      </w:r>
      <w:r w:rsidR="00583FB5" w:rsidRPr="003D1E07">
        <w:rPr>
          <w:i/>
        </w:rPr>
        <w:t>tertium ens</w:t>
      </w:r>
      <w:r w:rsidR="003F16A5" w:rsidRPr="003D1E07">
        <w:rPr>
          <w:i/>
        </w:rPr>
        <w:fldChar w:fldCharType="begin"/>
      </w:r>
      <w:r w:rsidR="003F16A5" w:rsidRPr="003D1E07">
        <w:instrText xml:space="preserve"> XE "</w:instrText>
      </w:r>
      <w:r w:rsidR="003F16A5" w:rsidRPr="003D1E07">
        <w:rPr>
          <w:rStyle w:val="Zvraznn"/>
        </w:rPr>
        <w:instrText>tertium ens</w:instrText>
      </w:r>
      <w:r w:rsidR="005B46DB" w:rsidRPr="003D1E07">
        <w:rPr>
          <w:rStyle w:val="Zvraznn"/>
          <w:i w:val="0"/>
        </w:rPr>
        <w:instrText>:</w:instrText>
      </w:r>
      <w:r w:rsidR="08531AAA" w:rsidRPr="003D1E07">
        <w:rPr>
          <w:rStyle w:val="Zvraznn"/>
          <w:i w:val="0"/>
        </w:rPr>
        <w:instrText>substance</w:instrText>
      </w:r>
      <w:r w:rsidR="003F16A5" w:rsidRPr="003D1E07">
        <w:instrText xml:space="preserve">" </w:instrText>
      </w:r>
      <w:r w:rsidR="003F16A5" w:rsidRPr="003D1E07">
        <w:rPr>
          <w:i/>
        </w:rPr>
        <w:fldChar w:fldCharType="end"/>
      </w:r>
      <w:r w:rsidR="00583FB5" w:rsidRPr="003D1E07">
        <w:t xml:space="preserve"> se týkají Alexandrových komentářů Aristotela</w:t>
      </w:r>
      <w:r w:rsidR="00583FB5" w:rsidRPr="003D1E07">
        <w:rPr>
          <w:rFonts w:eastAsia="NewAster"/>
        </w:rPr>
        <w:t xml:space="preserve">. </w:t>
      </w:r>
      <w:r w:rsidR="00583FB5" w:rsidRPr="003D1E07">
        <w:rPr>
          <w:rStyle w:val="Zkladntext158dkovn0pt"/>
          <w:color w:val="auto"/>
          <w:spacing w:val="0"/>
          <w:sz w:val="24"/>
          <w:lang w:val="cs-CZ"/>
        </w:rPr>
        <w:t>Tento aristotelik o</w:t>
      </w:r>
      <w:r w:rsidR="08B40327" w:rsidRPr="003D1E07">
        <w:rPr>
          <w:rStyle w:val="Zkladntext158dkovn0pt"/>
          <w:color w:val="auto"/>
          <w:spacing w:val="0"/>
          <w:sz w:val="24"/>
          <w:lang w:val="cs-CZ"/>
        </w:rPr>
        <w:t>ddělil reálnou existenci materiálního tělesa</w:t>
      </w:r>
      <w:r w:rsidR="00583FB5" w:rsidRPr="003D1E07">
        <w:rPr>
          <w:rStyle w:val="Zkladntext158dkovn0pt"/>
          <w:color w:val="auto"/>
          <w:spacing w:val="0"/>
          <w:sz w:val="24"/>
          <w:lang w:val="cs-CZ"/>
        </w:rPr>
        <w:t xml:space="preserve"> od </w:t>
      </w:r>
      <w:r w:rsidR="08B40327" w:rsidRPr="003D1E07">
        <w:rPr>
          <w:rStyle w:val="Zkladntext158dkovn0pt"/>
          <w:color w:val="auto"/>
          <w:spacing w:val="0"/>
          <w:sz w:val="24"/>
          <w:lang w:val="cs-CZ"/>
        </w:rPr>
        <w:t xml:space="preserve">predikace </w:t>
      </w:r>
      <w:r w:rsidR="00583FB5" w:rsidRPr="003D1E07">
        <w:rPr>
          <w:rStyle w:val="Zkladntext158dkovn0pt"/>
          <w:color w:val="auto"/>
          <w:spacing w:val="0"/>
          <w:sz w:val="24"/>
          <w:lang w:val="cs-CZ"/>
        </w:rPr>
        <w:t>univerzálií typu rodu, který je dán pouze v intelektu.</w:t>
      </w:r>
      <w:r w:rsidR="08E10EBB" w:rsidRPr="003D1E07">
        <w:rPr>
          <w:rStyle w:val="Zkladntext158dkovn0pt"/>
          <w:color w:val="auto"/>
          <w:spacing w:val="0"/>
          <w:sz w:val="24"/>
          <w:lang w:val="cs-CZ"/>
        </w:rPr>
        <w:t xml:space="preserve"> Falsafa znala </w:t>
      </w:r>
      <w:r w:rsidR="08390134" w:rsidRPr="003D1E07">
        <w:rPr>
          <w:rStyle w:val="Zkladntext158dkovn0pt"/>
          <w:color w:val="auto"/>
          <w:spacing w:val="0"/>
          <w:sz w:val="24"/>
          <w:lang w:val="cs-CZ"/>
        </w:rPr>
        <w:t xml:space="preserve">od poloviny 9. století </w:t>
      </w:r>
      <w:r w:rsidR="08E10EBB" w:rsidRPr="003D1E07">
        <w:rPr>
          <w:rStyle w:val="Zkladntext158dkovn0pt"/>
          <w:color w:val="auto"/>
          <w:spacing w:val="0"/>
          <w:sz w:val="24"/>
          <w:lang w:val="cs-CZ"/>
        </w:rPr>
        <w:t xml:space="preserve">spis </w:t>
      </w:r>
      <w:r w:rsidR="08E10EBB" w:rsidRPr="003D1E07">
        <w:rPr>
          <w:rStyle w:val="Zkladntext158dkovn0pt"/>
          <w:i/>
          <w:color w:val="auto"/>
          <w:spacing w:val="0"/>
          <w:sz w:val="24"/>
          <w:lang w:val="cs-CZ"/>
        </w:rPr>
        <w:t>Questiones naturales</w:t>
      </w:r>
      <w:r w:rsidR="08E10EBB" w:rsidRPr="003D1E07">
        <w:rPr>
          <w:rStyle w:val="Zkladntext158dkovn0pt"/>
          <w:color w:val="auto"/>
          <w:spacing w:val="0"/>
          <w:sz w:val="24"/>
          <w:lang w:val="cs-CZ"/>
        </w:rPr>
        <w:t>, který je připisován Alexandrovi</w:t>
      </w:r>
      <w:r w:rsidR="08390134" w:rsidRPr="003D1E07">
        <w:rPr>
          <w:rStyle w:val="Zkladntext158dkovn0pt"/>
          <w:color w:val="auto"/>
          <w:spacing w:val="0"/>
          <w:sz w:val="24"/>
          <w:lang w:val="cs-CZ"/>
        </w:rPr>
        <w:t xml:space="preserve"> a zabývá se otázkou postavení materie a rodu</w:t>
      </w:r>
      <w:r w:rsidR="08E10EBB" w:rsidRPr="003D1E07">
        <w:rPr>
          <w:rStyle w:val="Zkladntext158dkovn0pt"/>
          <w:color w:val="auto"/>
          <w:spacing w:val="0"/>
          <w:sz w:val="24"/>
          <w:lang w:val="cs-CZ"/>
        </w:rPr>
        <w:t>.</w:t>
      </w:r>
      <w:r w:rsidR="00583FB5" w:rsidRPr="003D1E07">
        <w:rPr>
          <w:rStyle w:val="Znakapoznpodarou"/>
          <w:szCs w:val="27"/>
          <w:shd w:val="clear" w:color="auto" w:fill="FFFFFF"/>
        </w:rPr>
        <w:footnoteReference w:id="146"/>
      </w:r>
      <w:r w:rsidR="00583FB5" w:rsidRPr="003D1E07">
        <w:rPr>
          <w:rStyle w:val="Zkladntext158dkovn0pt"/>
          <w:color w:val="auto"/>
          <w:spacing w:val="0"/>
          <w:sz w:val="24"/>
          <w:lang w:val="cs-CZ"/>
        </w:rPr>
        <w:t xml:space="preserve"> </w:t>
      </w:r>
      <w:r w:rsidR="00AC17B1" w:rsidRPr="003D1E07">
        <w:rPr>
          <w:rFonts w:eastAsia="NewAster"/>
        </w:rPr>
        <w:t>Afrodisia</w:t>
      </w:r>
      <w:r w:rsidR="00583FB5" w:rsidRPr="003D1E07">
        <w:rPr>
          <w:rFonts w:eastAsia="NewAster"/>
        </w:rPr>
        <w:t xml:space="preserve">s zdůraznil sekundární statut rodu vůči hylemorfické složenině v souladu s Aristotelem. </w:t>
      </w:r>
      <w:r w:rsidR="08EF7892" w:rsidRPr="003D1E07">
        <w:rPr>
          <w:rFonts w:eastAsia="NewAster"/>
        </w:rPr>
        <w:t>A</w:t>
      </w:r>
      <w:r w:rsidR="00583FB5" w:rsidRPr="003D1E07">
        <w:rPr>
          <w:rFonts w:eastAsia="NewAster"/>
        </w:rPr>
        <w:t xml:space="preserve">rabský překlad </w:t>
      </w:r>
      <w:r w:rsidR="08EF7892" w:rsidRPr="003D1E07">
        <w:rPr>
          <w:rFonts w:eastAsia="NewAster"/>
        </w:rPr>
        <w:t xml:space="preserve">ale </w:t>
      </w:r>
      <w:r w:rsidR="00583FB5" w:rsidRPr="003D1E07">
        <w:rPr>
          <w:rFonts w:eastAsia="NewAster"/>
        </w:rPr>
        <w:t xml:space="preserve">dal tomuto místu </w:t>
      </w:r>
      <w:r w:rsidR="00874074" w:rsidRPr="003D1E07">
        <w:rPr>
          <w:rFonts w:eastAsia="NewAster"/>
        </w:rPr>
        <w:t>neoplatonsk</w:t>
      </w:r>
      <w:r w:rsidR="00583FB5" w:rsidRPr="003D1E07">
        <w:rPr>
          <w:rFonts w:eastAsia="NewAster"/>
        </w:rPr>
        <w:t>ý význam</w:t>
      </w:r>
      <w:r w:rsidR="08683117" w:rsidRPr="003D1E07">
        <w:rPr>
          <w:rFonts w:eastAsia="NewAster"/>
        </w:rPr>
        <w:t xml:space="preserve">, </w:t>
      </w:r>
      <w:r w:rsidR="08B60033" w:rsidRPr="003D1E07">
        <w:t xml:space="preserve">což následně potvrzuje Avicenna ve spise </w:t>
      </w:r>
      <w:r w:rsidR="08B60033" w:rsidRPr="003D1E07">
        <w:rPr>
          <w:i/>
        </w:rPr>
        <w:t>Kitáb al-Šifá</w:t>
      </w:r>
      <w:r w:rsidR="08B60033" w:rsidRPr="003D1E07">
        <w:t>.</w:t>
      </w:r>
      <w:r w:rsidR="08B60033" w:rsidRPr="003D1E07">
        <w:rPr>
          <w:rStyle w:val="Znakapoznpodarou"/>
        </w:rPr>
        <w:footnoteReference w:id="147"/>
      </w:r>
      <w:r w:rsidR="08B60033" w:rsidRPr="003D1E07">
        <w:t xml:space="preserve"> </w:t>
      </w:r>
      <w:r w:rsidR="087B327B" w:rsidRPr="003D1E07">
        <w:rPr>
          <w:rFonts w:eastAsia="NewAster"/>
        </w:rPr>
        <w:t xml:space="preserve">Hypostázovaný </w:t>
      </w:r>
      <w:r w:rsidR="00636BD4" w:rsidRPr="003D1E07">
        <w:t>genus</w:t>
      </w:r>
      <w:r w:rsidR="00583FB5" w:rsidRPr="003D1E07">
        <w:t xml:space="preserve"> a </w:t>
      </w:r>
      <w:r w:rsidR="00F214C5" w:rsidRPr="003D1E07">
        <w:t>species</w:t>
      </w:r>
      <w:r w:rsidR="00583FB5" w:rsidRPr="003D1E07">
        <w:t xml:space="preserve"> dostaly v neoplatonismu ašaritů </w:t>
      </w:r>
      <w:r w:rsidR="087B327B" w:rsidRPr="003D1E07">
        <w:t xml:space="preserve">a v amfibolní </w:t>
      </w:r>
      <w:r w:rsidR="087B327B" w:rsidRPr="003D1E07">
        <w:lastRenderedPageBreak/>
        <w:t>predikaci</w:t>
      </w:r>
      <w:r w:rsidR="087B327B" w:rsidRPr="003D1E07">
        <w:fldChar w:fldCharType="begin"/>
      </w:r>
      <w:r w:rsidR="087B327B" w:rsidRPr="003D1E07">
        <w:instrText xml:space="preserve"> XE "predikace:amfibolní" </w:instrText>
      </w:r>
      <w:r w:rsidR="087B327B" w:rsidRPr="003D1E07">
        <w:fldChar w:fldCharType="end"/>
      </w:r>
      <w:r w:rsidR="087B327B" w:rsidRPr="003D1E07">
        <w:t xml:space="preserve"> Al-Fárábího status </w:t>
      </w:r>
      <w:r w:rsidR="00583FB5" w:rsidRPr="003D1E07">
        <w:t>tělesa třetího druhu</w:t>
      </w:r>
      <w:r w:rsidR="082A5EE1" w:rsidRPr="003D1E07">
        <w:t>.</w:t>
      </w:r>
      <w:r w:rsidR="00583FB5" w:rsidRPr="003D1E07">
        <w:t xml:space="preserve"> Nová substance-rod dostává u Avicenny charakter první substance.</w:t>
      </w:r>
      <w:r w:rsidR="00583FB5" w:rsidRPr="003D1E07">
        <w:rPr>
          <w:szCs w:val="27"/>
          <w:shd w:val="clear" w:color="auto" w:fill="FFFFFF"/>
        </w:rPr>
        <w:t xml:space="preserve"> </w:t>
      </w:r>
      <w:r w:rsidR="00583FB5" w:rsidRPr="003D1E07">
        <w:t xml:space="preserve">Například vlastnosti typu přijímání potravy a cítění patří „živočichu“ jako </w:t>
      </w:r>
      <w:r w:rsidR="08346803" w:rsidRPr="003D1E07">
        <w:t>univerzálnímu rodovému určení (</w:t>
      </w:r>
      <w:r w:rsidR="00583FB5" w:rsidRPr="003D1E07">
        <w:rPr>
          <w:i/>
        </w:rPr>
        <w:t>animal</w:t>
      </w:r>
      <w:r w:rsidR="00583FB5" w:rsidRPr="003D1E07">
        <w:t xml:space="preserve">), a nikoliv pouze jednotlivému psu nebo kočce. </w:t>
      </w:r>
      <w:r w:rsidR="080B49A0" w:rsidRPr="003D1E07">
        <w:t>Toto pojetí zásadně odmítli aristotelikové a nástupci Al-Fárábího v Bagdádské škole moudrosti, jako například Ibn Ádí</w:t>
      </w:r>
      <w:r w:rsidR="007616E7" w:rsidRPr="003D1E07">
        <w:fldChar w:fldCharType="begin"/>
      </w:r>
      <w:r w:rsidR="007616E7" w:rsidRPr="003D1E07">
        <w:instrText xml:space="preserve"> XE "Ibn Ádí" </w:instrText>
      </w:r>
      <w:r w:rsidR="007616E7" w:rsidRPr="003D1E07">
        <w:fldChar w:fldCharType="end"/>
      </w:r>
      <w:r w:rsidR="080B49A0" w:rsidRPr="003D1E07">
        <w:t xml:space="preserve"> (kap. 2.2). </w:t>
      </w:r>
      <w:r w:rsidR="08346803" w:rsidRPr="003D1E07">
        <w:t>Tento typ hypostázovaných predikátů zásadně překro</w:t>
      </w:r>
      <w:r w:rsidR="082A5EE1" w:rsidRPr="003D1E07">
        <w:t>čil amfibolní predikaci Al-Fáráb</w:t>
      </w:r>
      <w:r w:rsidR="08346803" w:rsidRPr="003D1E07">
        <w:t>ího</w:t>
      </w:r>
      <w:r w:rsidR="087B327B" w:rsidRPr="003D1E07">
        <w:fldChar w:fldCharType="begin"/>
      </w:r>
      <w:r w:rsidR="087B327B" w:rsidRPr="003D1E07">
        <w:instrText xml:space="preserve"> XE "predikace:amfibolní" </w:instrText>
      </w:r>
      <w:r w:rsidR="087B327B" w:rsidRPr="003D1E07">
        <w:fldChar w:fldCharType="end"/>
      </w:r>
      <w:r w:rsidR="08346803" w:rsidRPr="003D1E07">
        <w:t xml:space="preserve"> omezenou pouze na vybrané vlastnosti Jednoho (kap. 2.1.2). </w:t>
      </w:r>
      <w:r w:rsidR="080E71C6" w:rsidRPr="003D1E07">
        <w:t>Hypostázová</w:t>
      </w:r>
      <w:r w:rsidR="00E531BB" w:rsidRPr="003D1E07">
        <w:t>ní ro</w:t>
      </w:r>
      <w:r w:rsidR="08553685" w:rsidRPr="003D1E07">
        <w:t>dů na způsob Ploti</w:t>
      </w:r>
      <w:r w:rsidR="00E531BB" w:rsidRPr="003D1E07">
        <w:t xml:space="preserve">na </w:t>
      </w:r>
      <w:r w:rsidR="00583FB5" w:rsidRPr="003D1E07">
        <w:t>změnil</w:t>
      </w:r>
      <w:r w:rsidR="00E531BB" w:rsidRPr="003D1E07">
        <w:t>o</w:t>
      </w:r>
      <w:r w:rsidR="00583FB5" w:rsidRPr="003D1E07">
        <w:t xml:space="preserve"> </w:t>
      </w:r>
      <w:r w:rsidR="00EA00F0">
        <w:t>k</w:t>
      </w:r>
      <w:r w:rsidR="00EA00F0">
        <w:rPr>
          <w:rFonts w:eastAsia="NewAster"/>
        </w:rPr>
        <w:t xml:space="preserve">ategoriální predikaci, protože rodový význam </w:t>
      </w:r>
      <w:r w:rsidR="00313980">
        <w:rPr>
          <w:rFonts w:eastAsia="NewAster"/>
        </w:rPr>
        <w:t xml:space="preserve">v rámci druhé substance se dostal na úroveň hyparchické </w:t>
      </w:r>
      <w:r w:rsidR="00EA00F0">
        <w:rPr>
          <w:rFonts w:eastAsia="NewAster"/>
        </w:rPr>
        <w:t>první substance</w:t>
      </w:r>
      <w:r w:rsidR="00313980">
        <w:rPr>
          <w:rFonts w:eastAsia="NewAster"/>
        </w:rPr>
        <w:t>. P</w:t>
      </w:r>
      <w:r w:rsidR="00313980">
        <w:t>redikace „tělesa“ jako univerzálie ztratila impozici od hyparchické první substance („tato kočka“) a splynula s ní do univočně daného celku významu</w:t>
      </w:r>
      <w:r w:rsidR="0043578E">
        <w:t xml:space="preserve"> („objektivní kočka“)</w:t>
      </w:r>
      <w:r w:rsidR="00313980">
        <w:t>. Tím vznikla mezi první a druhou substancí</w:t>
      </w:r>
      <w:r w:rsidR="00583FB5" w:rsidRPr="003D1E07">
        <w:t xml:space="preserve"> </w:t>
      </w:r>
      <w:r w:rsidR="00313980">
        <w:t xml:space="preserve">nová forma objektivně dané univocity. </w:t>
      </w:r>
      <w:r w:rsidR="08786972" w:rsidRPr="003D1E07">
        <w:rPr>
          <w:rStyle w:val="FontStyle129"/>
          <w:rFonts w:ascii="Calibri" w:hAnsi="Calibri"/>
          <w:sz w:val="24"/>
        </w:rPr>
        <w:t>Nový n</w:t>
      </w:r>
      <w:r w:rsidR="006214BC" w:rsidRPr="003D1E07">
        <w:t xml:space="preserve">áhled </w:t>
      </w:r>
      <w:r w:rsidR="08786972" w:rsidRPr="003D1E07">
        <w:t xml:space="preserve">na smysl jsoucna se </w:t>
      </w:r>
      <w:r w:rsidR="00185B95" w:rsidRPr="003D1E07">
        <w:t>oddělil</w:t>
      </w:r>
      <w:r w:rsidR="08786972" w:rsidRPr="003D1E07">
        <w:t xml:space="preserve"> </w:t>
      </w:r>
      <w:r w:rsidR="08D06146" w:rsidRPr="003D1E07">
        <w:t xml:space="preserve">jak </w:t>
      </w:r>
      <w:r w:rsidR="08786972" w:rsidRPr="003D1E07">
        <w:t>od univerzálního významu vzniklého v procesu aristotelské abstrakce</w:t>
      </w:r>
      <w:r w:rsidR="08D06146" w:rsidRPr="003D1E07">
        <w:t xml:space="preserve">, tak od světa </w:t>
      </w:r>
      <w:r w:rsidR="08553685" w:rsidRPr="003D1E07">
        <w:t>p</w:t>
      </w:r>
      <w:r w:rsidR="008E02F5" w:rsidRPr="003D1E07">
        <w:t>laton</w:t>
      </w:r>
      <w:r w:rsidR="08D06146" w:rsidRPr="003D1E07">
        <w:t>ských idejí</w:t>
      </w:r>
      <w:r w:rsidR="084E0E91" w:rsidRPr="003D1E07">
        <w:t>.</w:t>
      </w:r>
      <w:r w:rsidR="08FD2EA9" w:rsidRPr="003D1E07">
        <w:t xml:space="preserve"> </w:t>
      </w:r>
      <w:r w:rsidR="08786972" w:rsidRPr="003D1E07">
        <w:t xml:space="preserve">Známá pasáž v </w:t>
      </w:r>
      <w:r w:rsidR="08786972" w:rsidRPr="003D1E07">
        <w:rPr>
          <w:i/>
        </w:rPr>
        <w:t>Metafyzice</w:t>
      </w:r>
      <w:r w:rsidR="08786972" w:rsidRPr="003D1E07">
        <w:t xml:space="preserve"> </w:t>
      </w:r>
      <w:r w:rsidR="08DE0477" w:rsidRPr="003D1E07">
        <w:rPr>
          <w:i/>
        </w:rPr>
        <w:t>al-</w:t>
      </w:r>
      <w:r w:rsidR="08786972" w:rsidRPr="003D1E07">
        <w:rPr>
          <w:i/>
        </w:rPr>
        <w:t>Šifá</w:t>
      </w:r>
      <w:r w:rsidR="08786972" w:rsidRPr="003D1E07">
        <w:t xml:space="preserve"> </w:t>
      </w:r>
      <w:r w:rsidR="006214BC" w:rsidRPr="003D1E07">
        <w:t xml:space="preserve">objasňuje diferenci mezi obecným pojmem </w:t>
      </w:r>
      <w:r w:rsidR="089E1F3E" w:rsidRPr="003D1E07">
        <w:t xml:space="preserve">daným aristotelskou abstrakcí </w:t>
      </w:r>
      <w:r w:rsidR="006214BC" w:rsidRPr="003D1E07">
        <w:t xml:space="preserve">a mezi </w:t>
      </w:r>
      <w:r w:rsidR="089D162B" w:rsidRPr="003D1E07">
        <w:t>novou formou abstrakce</w:t>
      </w:r>
      <w:r w:rsidR="08295EBC" w:rsidRPr="003D1E07">
        <w:t>, která vytváří jiný typ univerzality</w:t>
      </w:r>
      <w:r w:rsidR="08253FDB" w:rsidRPr="003D1E07">
        <w:t>.</w:t>
      </w:r>
      <w:r w:rsidR="08FA43E0" w:rsidRPr="003D1E07">
        <w:t xml:space="preserve"> Dobrodružství západní objektivity začíná v </w:t>
      </w:r>
      <w:r w:rsidR="087B7260" w:rsidRPr="003D1E07">
        <w:t xml:space="preserve">následujícím </w:t>
      </w:r>
      <w:r w:rsidR="08FA43E0" w:rsidRPr="003D1E07">
        <w:t>citátu</w:t>
      </w:r>
      <w:r w:rsidR="087A5D9B" w:rsidRPr="003D1E07">
        <w:t xml:space="preserve"> ustavujícím nový koncept </w:t>
      </w:r>
      <w:r w:rsidR="087A5D9B" w:rsidRPr="003D1E07">
        <w:rPr>
          <w:i/>
        </w:rPr>
        <w:t>tertium ens</w:t>
      </w:r>
      <w:r w:rsidR="081138C2" w:rsidRPr="003D1E07">
        <w:t xml:space="preserve"> a zakládá první formu</w:t>
      </w:r>
      <w:r w:rsidR="00A64F17" w:rsidRPr="003D1E07">
        <w:t xml:space="preserve"> objektivního jsoucna v západní filosofii. </w:t>
      </w:r>
    </w:p>
    <w:p w14:paraId="7A737E01" w14:textId="77777777" w:rsidR="084551F0" w:rsidRPr="003D1E07" w:rsidRDefault="006214BC" w:rsidP="08451BB7">
      <w:pPr>
        <w:pStyle w:val="Citace"/>
        <w:rPr>
          <w:rStyle w:val="FontStyle129"/>
          <w:rFonts w:ascii="Calibri" w:hAnsi="Calibri"/>
          <w:noProof/>
          <w:sz w:val="22"/>
          <w:lang w:val="cs-CZ"/>
        </w:rPr>
      </w:pPr>
      <w:r w:rsidRPr="003D1E07">
        <w:rPr>
          <w:rStyle w:val="FontStyle129"/>
          <w:rFonts w:ascii="Calibri" w:hAnsi="Calibri"/>
          <w:noProof/>
          <w:sz w:val="22"/>
          <w:lang w:val="cs-CZ"/>
        </w:rPr>
        <w:t>„</w:t>
      </w:r>
      <w:r w:rsidR="084551F0" w:rsidRPr="003D1E07">
        <w:rPr>
          <w:rStyle w:val="FontStyle129"/>
          <w:rFonts w:ascii="Calibri" w:hAnsi="Calibri"/>
          <w:noProof/>
          <w:sz w:val="22"/>
          <w:lang w:val="cs-CZ"/>
        </w:rPr>
        <w:t>Definice koňovitosti (</w:t>
      </w:r>
      <w:r w:rsidR="084551F0" w:rsidRPr="003D1E07">
        <w:rPr>
          <w:rStyle w:val="FontStyle129"/>
          <w:rFonts w:ascii="Calibri" w:hAnsi="Calibri"/>
          <w:i/>
          <w:noProof/>
          <w:sz w:val="22"/>
          <w:lang w:val="cs-CZ"/>
        </w:rPr>
        <w:t>equinitatis</w:t>
      </w:r>
      <w:r w:rsidR="084551F0" w:rsidRPr="003D1E07">
        <w:rPr>
          <w:rStyle w:val="FontStyle129"/>
          <w:rFonts w:ascii="Calibri" w:hAnsi="Calibri"/>
          <w:noProof/>
          <w:sz w:val="22"/>
          <w:lang w:val="cs-CZ"/>
        </w:rPr>
        <w:t xml:space="preserve">) je dána mimo definice </w:t>
      </w:r>
      <w:r w:rsidR="080C50A7" w:rsidRPr="003D1E07">
        <w:rPr>
          <w:rStyle w:val="FontStyle129"/>
          <w:rFonts w:ascii="Calibri" w:hAnsi="Calibri"/>
          <w:noProof/>
          <w:sz w:val="22"/>
          <w:lang w:val="cs-CZ"/>
        </w:rPr>
        <w:t>univerzálií</w:t>
      </w:r>
      <w:r w:rsidR="084B336D" w:rsidRPr="003D1E07">
        <w:rPr>
          <w:rStyle w:val="FontStyle129"/>
          <w:rFonts w:ascii="Calibri" w:hAnsi="Calibri"/>
          <w:noProof/>
          <w:sz w:val="22"/>
          <w:lang w:val="cs-CZ"/>
        </w:rPr>
        <w:t xml:space="preserve"> a takto daná univerzalita </w:t>
      </w:r>
      <w:r w:rsidR="08694D34" w:rsidRPr="003D1E07">
        <w:rPr>
          <w:rStyle w:val="FontStyle129"/>
          <w:rFonts w:ascii="Calibri" w:hAnsi="Calibri"/>
          <w:noProof/>
          <w:sz w:val="22"/>
          <w:lang w:val="cs-CZ"/>
        </w:rPr>
        <w:t>není v definici koňovi</w:t>
      </w:r>
      <w:r w:rsidR="084551F0" w:rsidRPr="003D1E07">
        <w:rPr>
          <w:rStyle w:val="FontStyle129"/>
          <w:rFonts w:ascii="Calibri" w:hAnsi="Calibri"/>
          <w:noProof/>
          <w:sz w:val="22"/>
          <w:lang w:val="cs-CZ"/>
        </w:rPr>
        <w:t xml:space="preserve">tosti obsažena. Koňovitost má </w:t>
      </w:r>
      <w:r w:rsidR="08880798" w:rsidRPr="003D1E07">
        <w:rPr>
          <w:rStyle w:val="FontStyle129"/>
          <w:rFonts w:ascii="Calibri" w:hAnsi="Calibri"/>
          <w:noProof/>
          <w:sz w:val="22"/>
          <w:lang w:val="cs-CZ"/>
        </w:rPr>
        <w:t xml:space="preserve">vlastní </w:t>
      </w:r>
      <w:r w:rsidR="084551F0" w:rsidRPr="003D1E07">
        <w:rPr>
          <w:rStyle w:val="FontStyle129"/>
          <w:rFonts w:ascii="Calibri" w:hAnsi="Calibri"/>
          <w:noProof/>
          <w:sz w:val="22"/>
          <w:lang w:val="cs-CZ"/>
        </w:rPr>
        <w:t>defin</w:t>
      </w:r>
      <w:r w:rsidR="08880798" w:rsidRPr="003D1E07">
        <w:rPr>
          <w:rStyle w:val="FontStyle129"/>
          <w:rFonts w:ascii="Calibri" w:hAnsi="Calibri"/>
          <w:noProof/>
          <w:sz w:val="22"/>
          <w:lang w:val="cs-CZ"/>
        </w:rPr>
        <w:t>ic</w:t>
      </w:r>
      <w:r w:rsidR="084551F0" w:rsidRPr="003D1E07">
        <w:rPr>
          <w:rStyle w:val="FontStyle129"/>
          <w:rFonts w:ascii="Calibri" w:hAnsi="Calibri"/>
          <w:noProof/>
          <w:sz w:val="22"/>
          <w:lang w:val="cs-CZ"/>
        </w:rPr>
        <w:t xml:space="preserve">i, která nepotřebuje univerzalitu, </w:t>
      </w:r>
      <w:r w:rsidR="0010763B" w:rsidRPr="003D1E07">
        <w:rPr>
          <w:rStyle w:val="FontStyle129"/>
          <w:rFonts w:ascii="Calibri" w:hAnsi="Calibri"/>
          <w:noProof/>
          <w:sz w:val="22"/>
          <w:lang w:val="cs-CZ"/>
        </w:rPr>
        <w:t xml:space="preserve">protože univerzalita </w:t>
      </w:r>
      <w:r w:rsidR="00892EC6" w:rsidRPr="003D1E07">
        <w:rPr>
          <w:rStyle w:val="FontStyle129"/>
          <w:rFonts w:ascii="Calibri" w:hAnsi="Calibri"/>
          <w:noProof/>
          <w:sz w:val="22"/>
          <w:lang w:val="cs-CZ"/>
        </w:rPr>
        <w:t xml:space="preserve">je jejím případkem </w:t>
      </w:r>
      <w:r w:rsidR="084551F0" w:rsidRPr="003D1E07">
        <w:rPr>
          <w:rStyle w:val="FontStyle129"/>
          <w:rFonts w:ascii="Calibri" w:hAnsi="Calibri"/>
          <w:noProof/>
          <w:sz w:val="22"/>
          <w:lang w:val="cs-CZ"/>
        </w:rPr>
        <w:t>(</w:t>
      </w:r>
      <w:r w:rsidR="084551F0" w:rsidRPr="003D1E07">
        <w:rPr>
          <w:rStyle w:val="FontStyle129"/>
          <w:rFonts w:ascii="Calibri" w:hAnsi="Calibri"/>
          <w:i/>
          <w:noProof/>
          <w:sz w:val="22"/>
          <w:lang w:val="cs-CZ"/>
        </w:rPr>
        <w:t>non eget universalitate, sed est cui accidit universalitas</w:t>
      </w:r>
      <w:r w:rsidR="084551F0" w:rsidRPr="003D1E07">
        <w:rPr>
          <w:rStyle w:val="FontStyle129"/>
          <w:rFonts w:ascii="Calibri" w:hAnsi="Calibri"/>
          <w:noProof/>
          <w:sz w:val="22"/>
          <w:lang w:val="cs-CZ"/>
        </w:rPr>
        <w:t>).</w:t>
      </w:r>
      <w:r w:rsidR="08791C2F" w:rsidRPr="003D1E07">
        <w:rPr>
          <w:rStyle w:val="FontStyle129"/>
          <w:rFonts w:ascii="Calibri" w:hAnsi="Calibri"/>
          <w:noProof/>
          <w:sz w:val="22"/>
          <w:lang w:val="cs-CZ"/>
        </w:rPr>
        <w:t xml:space="preserve"> Pak koňovi</w:t>
      </w:r>
      <w:r w:rsidR="08880798" w:rsidRPr="003D1E07">
        <w:rPr>
          <w:rStyle w:val="FontStyle129"/>
          <w:rFonts w:ascii="Calibri" w:hAnsi="Calibri"/>
          <w:noProof/>
          <w:sz w:val="22"/>
          <w:lang w:val="cs-CZ"/>
        </w:rPr>
        <w:t xml:space="preserve">tost vzatá sama o sobě </w:t>
      </w:r>
      <w:r w:rsidR="00BF43EC" w:rsidRPr="003D1E07">
        <w:rPr>
          <w:rStyle w:val="FontStyle129"/>
          <w:rFonts w:ascii="Calibri" w:hAnsi="Calibri"/>
          <w:noProof/>
          <w:sz w:val="22"/>
          <w:lang w:val="cs-CZ"/>
        </w:rPr>
        <w:t>(</w:t>
      </w:r>
      <w:r w:rsidR="00BF43EC" w:rsidRPr="003D1E07">
        <w:rPr>
          <w:rStyle w:val="FontStyle129"/>
          <w:rFonts w:ascii="Calibri" w:hAnsi="Calibri"/>
          <w:i/>
          <w:noProof/>
          <w:sz w:val="22"/>
          <w:lang w:val="cs-CZ"/>
        </w:rPr>
        <w:t>ipsa equinitas</w:t>
      </w:r>
      <w:r w:rsidR="00BF43EC" w:rsidRPr="003D1E07">
        <w:rPr>
          <w:rStyle w:val="FontStyle129"/>
          <w:rFonts w:ascii="Calibri" w:hAnsi="Calibri"/>
          <w:noProof/>
          <w:sz w:val="22"/>
          <w:lang w:val="cs-CZ"/>
        </w:rPr>
        <w:t xml:space="preserve">) </w:t>
      </w:r>
      <w:r w:rsidR="08880798" w:rsidRPr="003D1E07">
        <w:rPr>
          <w:rStyle w:val="FontStyle129"/>
          <w:rFonts w:ascii="Calibri" w:hAnsi="Calibri"/>
          <w:noProof/>
          <w:sz w:val="22"/>
          <w:lang w:val="cs-CZ"/>
        </w:rPr>
        <w:t>není nic jiného, než to, co je jako taková (</w:t>
      </w:r>
      <w:r w:rsidR="08880798" w:rsidRPr="003D1E07">
        <w:rPr>
          <w:rStyle w:val="FontStyle129"/>
          <w:rFonts w:ascii="Calibri" w:hAnsi="Calibri"/>
          <w:i/>
          <w:noProof/>
          <w:sz w:val="22"/>
          <w:lang w:val="cs-CZ"/>
        </w:rPr>
        <w:t>non est aliquid nisi equinitas tantum</w:t>
      </w:r>
      <w:r w:rsidR="08880798" w:rsidRPr="003D1E07">
        <w:rPr>
          <w:rStyle w:val="FontStyle129"/>
          <w:rFonts w:ascii="Calibri" w:hAnsi="Calibri"/>
          <w:noProof/>
          <w:sz w:val="22"/>
          <w:lang w:val="cs-CZ"/>
        </w:rPr>
        <w:t>). Vzatá sama o sobě není ani mnohé, ani jedno, ani</w:t>
      </w:r>
      <w:r w:rsidR="08791C2F" w:rsidRPr="003D1E07">
        <w:rPr>
          <w:rStyle w:val="FontStyle129"/>
          <w:rFonts w:ascii="Calibri" w:hAnsi="Calibri"/>
          <w:noProof/>
          <w:sz w:val="22"/>
          <w:lang w:val="cs-CZ"/>
        </w:rPr>
        <w:t xml:space="preserve"> neexistuje ve smyslových jedno</w:t>
      </w:r>
      <w:r w:rsidR="08880798" w:rsidRPr="003D1E07">
        <w:rPr>
          <w:rStyle w:val="FontStyle129"/>
          <w:rFonts w:ascii="Calibri" w:hAnsi="Calibri"/>
          <w:noProof/>
          <w:sz w:val="22"/>
          <w:lang w:val="cs-CZ"/>
        </w:rPr>
        <w:t>t</w:t>
      </w:r>
      <w:r w:rsidR="08791C2F" w:rsidRPr="003D1E07">
        <w:rPr>
          <w:rStyle w:val="FontStyle129"/>
          <w:rFonts w:ascii="Calibri" w:hAnsi="Calibri"/>
          <w:noProof/>
          <w:sz w:val="22"/>
          <w:lang w:val="cs-CZ"/>
        </w:rPr>
        <w:t>l</w:t>
      </w:r>
      <w:r w:rsidR="08880798" w:rsidRPr="003D1E07">
        <w:rPr>
          <w:rStyle w:val="FontStyle129"/>
          <w:rFonts w:ascii="Calibri" w:hAnsi="Calibri"/>
          <w:noProof/>
          <w:sz w:val="22"/>
          <w:lang w:val="cs-CZ"/>
        </w:rPr>
        <w:t xml:space="preserve">ivinách, ani v duši. Ani není dána jako něco potenciálního nebo aktuálního tím způsobem, že by patřila do esence koně; definice je dána pouze tím, že </w:t>
      </w:r>
      <w:r w:rsidR="08054F7D" w:rsidRPr="003D1E07">
        <w:rPr>
          <w:rStyle w:val="FontStyle129"/>
          <w:rFonts w:ascii="Calibri" w:hAnsi="Calibri"/>
          <w:noProof/>
          <w:sz w:val="22"/>
          <w:lang w:val="cs-CZ"/>
        </w:rPr>
        <w:t xml:space="preserve">je </w:t>
      </w:r>
      <w:r w:rsidR="08880798" w:rsidRPr="003D1E07">
        <w:rPr>
          <w:rStyle w:val="FontStyle129"/>
          <w:rFonts w:ascii="Calibri" w:hAnsi="Calibri"/>
          <w:noProof/>
          <w:sz w:val="22"/>
          <w:lang w:val="cs-CZ"/>
        </w:rPr>
        <w:t>koňovitostí jako takovou (</w:t>
      </w:r>
      <w:r w:rsidR="08880798" w:rsidRPr="003D1E07">
        <w:rPr>
          <w:rStyle w:val="FontStyle129"/>
          <w:rFonts w:ascii="Calibri" w:hAnsi="Calibri"/>
          <w:i/>
          <w:noProof/>
          <w:sz w:val="22"/>
          <w:lang w:val="cs-CZ"/>
        </w:rPr>
        <w:t>est equinitas tantum</w:t>
      </w:r>
      <w:r w:rsidR="08880798" w:rsidRPr="003D1E07">
        <w:rPr>
          <w:rStyle w:val="FontStyle129"/>
          <w:rFonts w:ascii="Calibri" w:hAnsi="Calibri"/>
          <w:noProof/>
          <w:sz w:val="22"/>
          <w:lang w:val="cs-CZ"/>
        </w:rPr>
        <w:t>).</w:t>
      </w:r>
      <w:r w:rsidR="00892EC6" w:rsidRPr="003D1E07">
        <w:rPr>
          <w:rStyle w:val="FontStyle129"/>
          <w:rFonts w:ascii="Calibri" w:hAnsi="Calibri"/>
          <w:noProof/>
          <w:sz w:val="22"/>
          <w:lang w:val="cs-CZ"/>
        </w:rPr>
        <w:t>“ </w:t>
      </w:r>
      <w:r w:rsidR="08880798" w:rsidRPr="003D1E07">
        <w:rPr>
          <w:rStyle w:val="Znakapoznpodarou"/>
          <w:noProof/>
          <w:lang w:val="cs-CZ"/>
        </w:rPr>
        <w:footnoteReference w:id="148"/>
      </w:r>
    </w:p>
    <w:p w14:paraId="57721CAA" w14:textId="77777777" w:rsidR="00ED0942" w:rsidRDefault="088D501C" w:rsidP="003D3A25">
      <w:r w:rsidRPr="003D1E07">
        <w:t>Singulárně-substanciální jednota vnímaná smysly a univerzálně-esenciální jednota syntetizovaná abstrahujícím intelektem je odmítnuta ve prospěch nového určení univerzality</w:t>
      </w:r>
      <w:r w:rsidR="000E2010">
        <w:t>. Avicenna vytvořil nový</w:t>
      </w:r>
      <w:r w:rsidR="00BC1807">
        <w:t xml:space="preserve"> </w:t>
      </w:r>
      <w:r w:rsidRPr="003D1E07">
        <w:t xml:space="preserve">druh </w:t>
      </w:r>
      <w:r w:rsidR="000E2010">
        <w:t xml:space="preserve">metafyzického </w:t>
      </w:r>
      <w:r w:rsidRPr="003D1E07">
        <w:t xml:space="preserve">jsoucna. </w:t>
      </w:r>
      <w:r w:rsidR="08883603" w:rsidRPr="003D1E07">
        <w:t>Koňovitost (</w:t>
      </w:r>
      <w:r w:rsidR="08883603" w:rsidRPr="003D1E07">
        <w:rPr>
          <w:i/>
        </w:rPr>
        <w:t>equinitas</w:t>
      </w:r>
      <w:r w:rsidR="08883603" w:rsidRPr="003D1E07">
        <w:t xml:space="preserve">) se </w:t>
      </w:r>
      <w:r w:rsidR="08883603" w:rsidRPr="003D1E07">
        <w:lastRenderedPageBreak/>
        <w:t>vypovídá skrze n</w:t>
      </w:r>
      <w:r w:rsidR="08AA7F56" w:rsidRPr="003D1E07">
        <w:t>ovou formu univerzality</w:t>
      </w:r>
      <w:r w:rsidR="00C7403F" w:rsidRPr="003D1E07">
        <w:fldChar w:fldCharType="begin"/>
      </w:r>
      <w:r w:rsidR="00C7403F" w:rsidRPr="003D1E07">
        <w:instrText xml:space="preserve"> XE "objektivita:</w:instrText>
      </w:r>
      <w:r w:rsidR="00C7403F" w:rsidRPr="003D1E07">
        <w:rPr>
          <w:i/>
        </w:rPr>
        <w:instrText>equinitas tantum</w:instrText>
      </w:r>
      <w:r w:rsidR="00C7403F" w:rsidRPr="003D1E07">
        <w:instrText xml:space="preserve">" </w:instrText>
      </w:r>
      <w:r w:rsidR="00C7403F" w:rsidRPr="003D1E07">
        <w:fldChar w:fldCharType="end"/>
      </w:r>
      <w:r w:rsidR="08AA7F56" w:rsidRPr="003D1E07">
        <w:t>, která připadne</w:t>
      </w:r>
      <w:r w:rsidR="08883603" w:rsidRPr="003D1E07">
        <w:t xml:space="preserve"> </w:t>
      </w:r>
      <w:r w:rsidR="087C1DBF" w:rsidRPr="003D1E07">
        <w:t xml:space="preserve">definici </w:t>
      </w:r>
      <w:r w:rsidR="08883603" w:rsidRPr="003D1E07">
        <w:t xml:space="preserve">koně jako nové </w:t>
      </w:r>
      <w:r w:rsidR="00653A61" w:rsidRPr="003D1E07">
        <w:t xml:space="preserve">metafyzické </w:t>
      </w:r>
      <w:r w:rsidR="08883603" w:rsidRPr="003D1E07">
        <w:t>určení</w:t>
      </w:r>
      <w:r w:rsidR="00951633">
        <w:t>. Nová esence je oddělena</w:t>
      </w:r>
      <w:r w:rsidR="00680ABB" w:rsidRPr="003D1E07">
        <w:t xml:space="preserve"> od </w:t>
      </w:r>
      <w:r w:rsidR="00653A61" w:rsidRPr="003D1E07">
        <w:t xml:space="preserve">kategoriální predikace vázané na druhou substanci. </w:t>
      </w:r>
      <w:r w:rsidR="00AE3AB2" w:rsidRPr="003D1E07">
        <w:t xml:space="preserve">Kategoriální </w:t>
      </w:r>
      <w:r w:rsidR="00680ABB" w:rsidRPr="003D1E07">
        <w:t xml:space="preserve">predikace </w:t>
      </w:r>
      <w:r w:rsidR="08C97A59" w:rsidRPr="003D1E07">
        <w:t>podle Ar</w:t>
      </w:r>
      <w:r w:rsidR="08855875" w:rsidRPr="003D1E07">
        <w:t>i</w:t>
      </w:r>
      <w:r w:rsidR="08C97A59" w:rsidRPr="003D1E07">
        <w:t>s</w:t>
      </w:r>
      <w:r w:rsidR="08855875" w:rsidRPr="003D1E07">
        <w:t xml:space="preserve">totela </w:t>
      </w:r>
      <w:r w:rsidR="00680ABB" w:rsidRPr="003D1E07">
        <w:t>n</w:t>
      </w:r>
      <w:r w:rsidR="08855875" w:rsidRPr="003D1E07">
        <w:t xml:space="preserve">etvoří podstatu nového výměru. </w:t>
      </w:r>
      <w:r w:rsidR="08E13FAF" w:rsidRPr="003D1E07">
        <w:t xml:space="preserve">Aristotelské </w:t>
      </w:r>
      <w:r w:rsidR="00AE3AB2" w:rsidRPr="003D1E07">
        <w:t xml:space="preserve">univoční univerzální </w:t>
      </w:r>
      <w:r w:rsidR="00680ABB" w:rsidRPr="003D1E07">
        <w:t xml:space="preserve">určení </w:t>
      </w:r>
      <w:r w:rsidR="08855875" w:rsidRPr="003D1E07">
        <w:t xml:space="preserve">v rámci rodu jako významu druhé substance </w:t>
      </w:r>
      <w:r w:rsidR="005642FE" w:rsidRPr="003D1E07">
        <w:t xml:space="preserve">představuje </w:t>
      </w:r>
      <w:r w:rsidR="00680ABB" w:rsidRPr="003D1E07">
        <w:t>pouze sekundární případek k nové definici (</w:t>
      </w:r>
      <w:r w:rsidR="00680ABB" w:rsidRPr="003D1E07">
        <w:rPr>
          <w:i/>
        </w:rPr>
        <w:t>est cui accidit universalitas</w:t>
      </w:r>
      <w:r w:rsidR="00680ABB" w:rsidRPr="003D1E07">
        <w:t xml:space="preserve">). </w:t>
      </w:r>
      <w:r w:rsidR="006214BC" w:rsidRPr="003D1E07">
        <w:t xml:space="preserve">Koňovitost není </w:t>
      </w:r>
      <w:r w:rsidR="086D139A" w:rsidRPr="003D1E07">
        <w:t>obsažena jako forma v reálné substanci</w:t>
      </w:r>
      <w:r w:rsidR="006214BC" w:rsidRPr="003D1E07">
        <w:t xml:space="preserve"> vnímané smysly (</w:t>
      </w:r>
      <w:r w:rsidR="006214BC" w:rsidRPr="003D1E07">
        <w:rPr>
          <w:i/>
        </w:rPr>
        <w:t>nec</w:t>
      </w:r>
      <w:r w:rsidR="006214BC" w:rsidRPr="003D1E07">
        <w:t xml:space="preserve"> </w:t>
      </w:r>
      <w:r w:rsidR="006214BC" w:rsidRPr="003D1E07">
        <w:rPr>
          <w:rStyle w:val="FontStyle129"/>
          <w:rFonts w:ascii="Calibri" w:hAnsi="Calibri"/>
          <w:i/>
          <w:sz w:val="24"/>
        </w:rPr>
        <w:t>est existens in his sensibilibus</w:t>
      </w:r>
      <w:r w:rsidR="006214BC" w:rsidRPr="003D1E07">
        <w:t>), ani není dána díky abstrakci provedené pasivním intelektem směrem od jednotlivin (</w:t>
      </w:r>
      <w:r w:rsidR="006214BC" w:rsidRPr="003D1E07">
        <w:rPr>
          <w:i/>
        </w:rPr>
        <w:t>nec</w:t>
      </w:r>
      <w:r w:rsidR="006214BC" w:rsidRPr="003D1E07">
        <w:t xml:space="preserve"> </w:t>
      </w:r>
      <w:r w:rsidR="006214BC" w:rsidRPr="003D1E07">
        <w:rPr>
          <w:rStyle w:val="FontStyle129"/>
          <w:rFonts w:ascii="Calibri" w:hAnsi="Calibri"/>
          <w:i/>
          <w:sz w:val="24"/>
        </w:rPr>
        <w:t>in anima</w:t>
      </w:r>
      <w:r w:rsidR="006214BC" w:rsidRPr="003D1E07">
        <w:t xml:space="preserve">).  </w:t>
      </w:r>
      <w:r w:rsidR="005A4BBA" w:rsidRPr="003D1E07">
        <w:t>Nově definované</w:t>
      </w:r>
      <w:r w:rsidR="082C1EE6" w:rsidRPr="003D1E07">
        <w:t xml:space="preserve"> bytí jsoucna </w:t>
      </w:r>
      <w:r w:rsidR="006214BC" w:rsidRPr="003D1E07">
        <w:t>není ani univerzální abstrakcí obecného pojmu</w:t>
      </w:r>
      <w:r w:rsidR="00FA4892" w:rsidRPr="003D1E07">
        <w:t>,</w:t>
      </w:r>
      <w:r w:rsidR="006214BC" w:rsidRPr="003D1E07">
        <w:t xml:space="preserve"> ani esenciální určeností jednotliviny (</w:t>
      </w:r>
      <w:r w:rsidR="006214BC" w:rsidRPr="003D1E07">
        <w:rPr>
          <w:rStyle w:val="FontStyle129"/>
          <w:rFonts w:ascii="Calibri" w:hAnsi="Calibri"/>
          <w:i/>
          <w:sz w:val="24"/>
        </w:rPr>
        <w:t>nec est multa nec unum</w:t>
      </w:r>
      <w:r w:rsidR="006214BC" w:rsidRPr="003D1E07">
        <w:t xml:space="preserve">). </w:t>
      </w:r>
      <w:r w:rsidR="00F8579A" w:rsidRPr="003D1E07">
        <w:t xml:space="preserve">Nová univerzalita převyšuje </w:t>
      </w:r>
      <w:r w:rsidR="001A09B0" w:rsidRPr="003D1E07">
        <w:t xml:space="preserve">bývalá </w:t>
      </w:r>
      <w:r w:rsidR="00F8579A" w:rsidRPr="003D1E07">
        <w:t xml:space="preserve">kategoriální určení absolutní jednoduchostí. </w:t>
      </w:r>
      <w:r w:rsidR="081509A4" w:rsidRPr="003D1E07">
        <w:t>T</w:t>
      </w:r>
      <w:r w:rsidR="08451BB7" w:rsidRPr="003D1E07">
        <w:t xml:space="preserve">ato entita není abstrahována od jednotlivin, ale </w:t>
      </w:r>
      <w:r w:rsidR="081509A4" w:rsidRPr="003D1E07">
        <w:t xml:space="preserve">je </w:t>
      </w:r>
      <w:r w:rsidR="08451BB7" w:rsidRPr="003D1E07">
        <w:t xml:space="preserve">přímo nazírána </w:t>
      </w:r>
      <w:r w:rsidR="081509A4" w:rsidRPr="003D1E07">
        <w:t xml:space="preserve">intelektem </w:t>
      </w:r>
      <w:r w:rsidR="08451BB7" w:rsidRPr="003D1E07">
        <w:t>ve své ipseitě (</w:t>
      </w:r>
      <w:r w:rsidR="08451BB7" w:rsidRPr="003D1E07">
        <w:rPr>
          <w:i/>
        </w:rPr>
        <w:t>ipsa equinitas</w:t>
      </w:r>
      <w:r w:rsidR="08451BB7" w:rsidRPr="003D1E07">
        <w:t xml:space="preserve">) a </w:t>
      </w:r>
      <w:r w:rsidR="081509A4" w:rsidRPr="003D1E07">
        <w:t xml:space="preserve">v její </w:t>
      </w:r>
      <w:r w:rsidR="08451BB7" w:rsidRPr="003D1E07">
        <w:t>čisté formě (</w:t>
      </w:r>
      <w:r w:rsidR="08451BB7" w:rsidRPr="003D1E07">
        <w:rPr>
          <w:i/>
        </w:rPr>
        <w:t>equinitas tantum</w:t>
      </w:r>
      <w:r w:rsidR="00D868A9" w:rsidRPr="003D1E07">
        <w:rPr>
          <w:i/>
        </w:rPr>
        <w:fldChar w:fldCharType="begin"/>
      </w:r>
      <w:r w:rsidR="00D868A9" w:rsidRPr="003D1E07">
        <w:instrText xml:space="preserve"> XE "objektivita:Avicenna" </w:instrText>
      </w:r>
      <w:r w:rsidR="00D868A9" w:rsidRPr="003D1E07">
        <w:rPr>
          <w:i/>
        </w:rPr>
        <w:fldChar w:fldCharType="end"/>
      </w:r>
      <w:r w:rsidR="08451BB7" w:rsidRPr="003D1E07">
        <w:t xml:space="preserve">). </w:t>
      </w:r>
      <w:r w:rsidR="086B6DFE" w:rsidRPr="003D1E07">
        <w:t xml:space="preserve">Tento náhled ale </w:t>
      </w:r>
      <w:r w:rsidR="08ED7092" w:rsidRPr="003D1E07">
        <w:t xml:space="preserve">nevytváří </w:t>
      </w:r>
      <w:r w:rsidR="00460225">
        <w:t xml:space="preserve">novou formu subsistentní ideje na způsob </w:t>
      </w:r>
      <w:r w:rsidR="08C97A59" w:rsidRPr="003D1E07">
        <w:t>platonismu</w:t>
      </w:r>
      <w:r w:rsidR="086B6DFE" w:rsidRPr="003D1E07">
        <w:t xml:space="preserve">. </w:t>
      </w:r>
      <w:r w:rsidR="08451BB7" w:rsidRPr="003D1E07">
        <w:t>K</w:t>
      </w:r>
      <w:r w:rsidR="00806BD9" w:rsidRPr="003D1E07">
        <w:t>dyby byl</w:t>
      </w:r>
      <w:r w:rsidR="00ED07B0" w:rsidRPr="003D1E07">
        <w:t>a koňovitost definována</w:t>
      </w:r>
      <w:r w:rsidR="08D83691" w:rsidRPr="003D1E07">
        <w:t xml:space="preserve"> jako </w:t>
      </w:r>
      <w:r w:rsidR="08C97A59" w:rsidRPr="003D1E07">
        <w:t>p</w:t>
      </w:r>
      <w:r w:rsidR="008E02F5" w:rsidRPr="003D1E07">
        <w:t>laton</w:t>
      </w:r>
      <w:r w:rsidR="08D83691" w:rsidRPr="003D1E07">
        <w:t xml:space="preserve">ská </w:t>
      </w:r>
      <w:r w:rsidR="08FF5B9B" w:rsidRPr="003D1E07">
        <w:t xml:space="preserve">subsistentní </w:t>
      </w:r>
      <w:r w:rsidR="08D83691" w:rsidRPr="003D1E07">
        <w:t>idea</w:t>
      </w:r>
      <w:r w:rsidR="00806BD9" w:rsidRPr="003D1E07">
        <w:t xml:space="preserve">, pak by se </w:t>
      </w:r>
      <w:r w:rsidR="085553AE" w:rsidRPr="003D1E07">
        <w:t xml:space="preserve">takto nazíraný </w:t>
      </w:r>
      <w:r w:rsidR="08D54BED" w:rsidRPr="003D1E07">
        <w:t xml:space="preserve">kůň </w:t>
      </w:r>
      <w:r w:rsidR="00806BD9" w:rsidRPr="003D1E07">
        <w:t>vyskytoval jen v jednom exempláři</w:t>
      </w:r>
      <w:r w:rsidR="080840E7" w:rsidRPr="003D1E07">
        <w:t xml:space="preserve"> plného bytí jsoucna</w:t>
      </w:r>
      <w:r w:rsidR="00806BD9" w:rsidRPr="003D1E07">
        <w:t xml:space="preserve">. </w:t>
      </w:r>
      <w:r w:rsidR="088D7BED" w:rsidRPr="003D1E07">
        <w:t xml:space="preserve">Citát ale </w:t>
      </w:r>
      <w:r w:rsidR="088F3A9C" w:rsidRPr="003D1E07">
        <w:t xml:space="preserve">nezmiňuje </w:t>
      </w:r>
      <w:r w:rsidR="088D7BED" w:rsidRPr="003D1E07">
        <w:t xml:space="preserve">žádnou participaci </w:t>
      </w:r>
      <w:r w:rsidR="08D54BED" w:rsidRPr="003D1E07">
        <w:t xml:space="preserve">individuálních koní </w:t>
      </w:r>
      <w:r w:rsidR="088D7BED" w:rsidRPr="003D1E07">
        <w:t>n</w:t>
      </w:r>
      <w:r w:rsidR="00D5459E" w:rsidRPr="003D1E07">
        <w:t>a ideji koně</w:t>
      </w:r>
      <w:r w:rsidR="08D83DCC" w:rsidRPr="003D1E07">
        <w:t xml:space="preserve">. </w:t>
      </w:r>
      <w:r w:rsidR="008E02F5" w:rsidRPr="003D1E07">
        <w:t>Platon</w:t>
      </w:r>
      <w:r w:rsidR="087F46CC" w:rsidRPr="003D1E07">
        <w:t xml:space="preserve">skou </w:t>
      </w:r>
      <w:r w:rsidR="00C15BDB">
        <w:rPr>
          <w:i/>
        </w:rPr>
        <w:t>mé</w:t>
      </w:r>
      <w:r w:rsidR="087F46CC" w:rsidRPr="003D1E07">
        <w:rPr>
          <w:i/>
        </w:rPr>
        <w:t>th</w:t>
      </w:r>
      <w:r w:rsidR="088D7BED" w:rsidRPr="003D1E07">
        <w:rPr>
          <w:i/>
        </w:rPr>
        <w:t>exis</w:t>
      </w:r>
      <w:r w:rsidR="088D7BED" w:rsidRPr="003D1E07">
        <w:t xml:space="preserve"> přímo vylučuje</w:t>
      </w:r>
      <w:r w:rsidR="088F3A9C" w:rsidRPr="003D1E07">
        <w:t xml:space="preserve"> tím, že nové určení </w:t>
      </w:r>
      <w:r w:rsidR="08D83DCC" w:rsidRPr="003D1E07">
        <w:t>odděluje od smyslové mnohosti</w:t>
      </w:r>
      <w:r w:rsidR="082439D5" w:rsidRPr="003D1E07">
        <w:t xml:space="preserve"> i</w:t>
      </w:r>
      <w:r w:rsidR="08BA543D" w:rsidRPr="003D1E07">
        <w:t xml:space="preserve"> od univerzality dané aristotel</w:t>
      </w:r>
      <w:r w:rsidR="082439D5" w:rsidRPr="003D1E07">
        <w:t>s</w:t>
      </w:r>
      <w:r w:rsidR="08BA543D" w:rsidRPr="003D1E07">
        <w:t>k</w:t>
      </w:r>
      <w:r w:rsidR="082439D5" w:rsidRPr="003D1E07">
        <w:t>ou abstrakcí</w:t>
      </w:r>
      <w:r w:rsidR="088D7BED" w:rsidRPr="003D1E07">
        <w:t xml:space="preserve">. </w:t>
      </w:r>
      <w:r w:rsidR="087864B5" w:rsidRPr="003D1E07">
        <w:t xml:space="preserve">Nové určení jsoucna zakládá </w:t>
      </w:r>
      <w:r w:rsidR="08BA543D" w:rsidRPr="003D1E07">
        <w:t xml:space="preserve">poslední </w:t>
      </w:r>
      <w:r w:rsidR="087864B5" w:rsidRPr="003D1E07">
        <w:t xml:space="preserve">nedělitelnou jednotu </w:t>
      </w:r>
      <w:r w:rsidR="084813DD" w:rsidRPr="003D1E07">
        <w:t xml:space="preserve">substance třetího druhu </w:t>
      </w:r>
      <w:r w:rsidR="087864B5" w:rsidRPr="003D1E07">
        <w:t xml:space="preserve">danou jak mimo jednotliviny, tak i mimo univerzália. </w:t>
      </w:r>
      <w:r w:rsidR="08283F8D" w:rsidRPr="003D1E07">
        <w:t>Tím se vytvořila nová forma atomární jednotky významu (</w:t>
      </w:r>
      <w:r w:rsidR="08283F8D" w:rsidRPr="003D1E07">
        <w:rPr>
          <w:i/>
        </w:rPr>
        <w:t>individuum</w:t>
      </w:r>
      <w:r w:rsidR="08283F8D" w:rsidRPr="003D1E07">
        <w:t xml:space="preserve">) </w:t>
      </w:r>
      <w:r w:rsidR="084D7123" w:rsidRPr="003D1E07">
        <w:t xml:space="preserve">původně </w:t>
      </w:r>
      <w:r w:rsidR="08283F8D" w:rsidRPr="003D1E07">
        <w:t xml:space="preserve">vzniklá na konci dělení univerzálního významu v rámci Porfýriova stromu. Avicenna je </w:t>
      </w:r>
      <w:r w:rsidR="08F601CD" w:rsidRPr="003D1E07">
        <w:t>historic</w:t>
      </w:r>
      <w:r w:rsidR="08283F8D" w:rsidRPr="003D1E07">
        <w:t>ky první člověk, který toto objektivní individiduum začal „vidět“ osvíceným intelektuálním zrakem</w:t>
      </w:r>
      <w:r w:rsidR="08F601CD" w:rsidRPr="003D1E07">
        <w:t xml:space="preserve">. Tento </w:t>
      </w:r>
      <w:r w:rsidR="08283F8D" w:rsidRPr="003D1E07">
        <w:t>moderní iluminát</w:t>
      </w:r>
      <w:r w:rsidR="08F601CD" w:rsidRPr="003D1E07">
        <w:t xml:space="preserve"> </w:t>
      </w:r>
      <w:r w:rsidR="08240ED3" w:rsidRPr="003D1E07">
        <w:t xml:space="preserve">epochálně nově </w:t>
      </w:r>
      <w:r w:rsidR="00983981" w:rsidRPr="003D1E07">
        <w:t>vidí</w:t>
      </w:r>
      <w:r w:rsidR="006214BC" w:rsidRPr="003D1E07">
        <w:t xml:space="preserve"> </w:t>
      </w:r>
      <w:r w:rsidR="00D04E81" w:rsidRPr="003D1E07">
        <w:t xml:space="preserve">obecnou formu </w:t>
      </w:r>
      <w:r w:rsidR="006214BC" w:rsidRPr="003D1E07">
        <w:t xml:space="preserve">koně </w:t>
      </w:r>
      <w:r w:rsidR="006F7CF9">
        <w:t>m</w:t>
      </w:r>
      <w:r w:rsidR="006214BC" w:rsidRPr="003D1E07">
        <w:t xml:space="preserve">imo </w:t>
      </w:r>
      <w:r w:rsidR="08F601CD" w:rsidRPr="003D1E07">
        <w:t>p</w:t>
      </w:r>
      <w:r w:rsidR="008E02F5" w:rsidRPr="003D1E07">
        <w:t>laton</w:t>
      </w:r>
      <w:r w:rsidR="08171C60" w:rsidRPr="003D1E07">
        <w:t xml:space="preserve">skou ideovou </w:t>
      </w:r>
      <w:r w:rsidR="006214BC" w:rsidRPr="003D1E07">
        <w:t>jednotlivinu</w:t>
      </w:r>
      <w:r w:rsidR="006F7CF9">
        <w:t xml:space="preserve">, ale také </w:t>
      </w:r>
      <w:r w:rsidR="006214BC" w:rsidRPr="003D1E07">
        <w:t xml:space="preserve">mimo </w:t>
      </w:r>
      <w:r w:rsidR="08171C60" w:rsidRPr="003D1E07">
        <w:t xml:space="preserve">aristotelskou </w:t>
      </w:r>
      <w:r w:rsidR="00B64D70">
        <w:t xml:space="preserve">kategoriální </w:t>
      </w:r>
      <w:r w:rsidR="00D04E81" w:rsidRPr="003D1E07">
        <w:t>predikaci</w:t>
      </w:r>
      <w:r w:rsidR="00615D03" w:rsidRPr="003D1E07">
        <w:t xml:space="preserve"> determinovanou </w:t>
      </w:r>
      <w:r w:rsidR="00B64D70">
        <w:t>impozicí významu od reálné první substance</w:t>
      </w:r>
      <w:r w:rsidR="08240ED3" w:rsidRPr="003D1E07">
        <w:t>.</w:t>
      </w:r>
    </w:p>
    <w:p w14:paraId="2CEC5FD3" w14:textId="70B8CEBF" w:rsidR="0042022F" w:rsidRDefault="0867285F" w:rsidP="00ED0942">
      <w:pPr>
        <w:ind w:firstLine="397"/>
      </w:pPr>
      <w:r w:rsidRPr="003D1E07">
        <w:t xml:space="preserve">Avicenna uviděl </w:t>
      </w:r>
      <w:r w:rsidR="000D519F">
        <w:t>jako první člověk entitu zvanou „</w:t>
      </w:r>
      <w:r w:rsidR="00E56D0E">
        <w:t>objektivní</w:t>
      </w:r>
      <w:r w:rsidR="000D519F">
        <w:t xml:space="preserve"> kůň“ </w:t>
      </w:r>
      <w:r w:rsidR="00E56D0E">
        <w:t xml:space="preserve">a </w:t>
      </w:r>
      <w:r w:rsidRPr="003D1E07">
        <w:t>pod</w:t>
      </w:r>
      <w:r w:rsidR="084813DD" w:rsidRPr="003D1E07">
        <w:t>al je</w:t>
      </w:r>
      <w:r w:rsidR="000D519F">
        <w:t xml:space="preserve">jí </w:t>
      </w:r>
      <w:r w:rsidR="00E56D0E">
        <w:t xml:space="preserve">metafyzický </w:t>
      </w:r>
      <w:r w:rsidR="084813DD" w:rsidRPr="003D1E07">
        <w:t>popis</w:t>
      </w:r>
      <w:r w:rsidR="00E56D0E">
        <w:t xml:space="preserve">. </w:t>
      </w:r>
      <w:r w:rsidR="000D519F">
        <w:t xml:space="preserve">Tato definice </w:t>
      </w:r>
      <w:r w:rsidR="00E56D0E">
        <w:t>se stal</w:t>
      </w:r>
      <w:r w:rsidR="000D519F">
        <w:t>a</w:t>
      </w:r>
      <w:r w:rsidRPr="003D1E07">
        <w:t xml:space="preserve"> novým západním</w:t>
      </w:r>
      <w:r w:rsidR="00E56D0E">
        <w:t xml:space="preserve"> filosofickým mýtem a nahradil</w:t>
      </w:r>
      <w:r w:rsidR="000D519F">
        <w:t>a</w:t>
      </w:r>
      <w:r w:rsidR="00E56D0E">
        <w:t xml:space="preserve"> Platonovo zásvětí dané </w:t>
      </w:r>
      <w:r w:rsidR="00DD22AD">
        <w:t xml:space="preserve">filosofickou pohádkou </w:t>
      </w:r>
      <w:r w:rsidRPr="003D1E07">
        <w:t xml:space="preserve">o </w:t>
      </w:r>
      <w:r w:rsidR="00E82EDE">
        <w:t xml:space="preserve">moderní </w:t>
      </w:r>
      <w:r w:rsidRPr="003D1E07">
        <w:t>jeskyni</w:t>
      </w:r>
      <w:r w:rsidR="00186F54">
        <w:t xml:space="preserve"> obýva</w:t>
      </w:r>
      <w:r w:rsidR="00425412">
        <w:t>né troglodyty a řízené akademickými ilumináty</w:t>
      </w:r>
      <w:r w:rsidRPr="003D1E07">
        <w:t xml:space="preserve">. </w:t>
      </w:r>
      <w:r w:rsidR="006214BC" w:rsidRPr="003D1E07">
        <w:t>Takto daná univerzalita ne</w:t>
      </w:r>
      <w:r w:rsidR="08ED7059" w:rsidRPr="003D1E07">
        <w:t xml:space="preserve">ní </w:t>
      </w:r>
      <w:r w:rsidR="08FA42BE" w:rsidRPr="003D1E07">
        <w:t xml:space="preserve">reálná </w:t>
      </w:r>
      <w:r w:rsidR="08ED7059" w:rsidRPr="003D1E07">
        <w:t xml:space="preserve">první substance, ani </w:t>
      </w:r>
      <w:r w:rsidR="08A01C67" w:rsidRPr="003D1E07">
        <w:t xml:space="preserve">není </w:t>
      </w:r>
      <w:r w:rsidR="00730003" w:rsidRPr="003D1E07">
        <w:t xml:space="preserve">univerzální </w:t>
      </w:r>
      <w:r w:rsidR="08ED7059" w:rsidRPr="003D1E07">
        <w:t xml:space="preserve">druhou substancí </w:t>
      </w:r>
      <w:r w:rsidR="006214BC" w:rsidRPr="003D1E07">
        <w:t xml:space="preserve">danou v rámci </w:t>
      </w:r>
      <w:r w:rsidR="087E2EE4" w:rsidRPr="003D1E07">
        <w:t xml:space="preserve">kategoriálně určeného </w:t>
      </w:r>
      <w:r w:rsidR="009D52B2">
        <w:t>rodu a druhu</w:t>
      </w:r>
      <w:r w:rsidR="006214BC" w:rsidRPr="003D1E07">
        <w:t xml:space="preserve">. </w:t>
      </w:r>
      <w:r w:rsidR="08E74647" w:rsidRPr="003D1E07">
        <w:t xml:space="preserve">Hermeneutika musí vyložit, </w:t>
      </w:r>
      <w:r w:rsidR="00FB332B" w:rsidRPr="003D1E07">
        <w:t>jak</w:t>
      </w:r>
      <w:r w:rsidR="08E74647" w:rsidRPr="003D1E07">
        <w:t xml:space="preserve"> </w:t>
      </w:r>
      <w:r w:rsidR="08133924" w:rsidRPr="003D1E07">
        <w:t>dochází k akcidenci</w:t>
      </w:r>
      <w:r w:rsidR="087F46CC" w:rsidRPr="003D1E07">
        <w:t xml:space="preserve"> </w:t>
      </w:r>
      <w:r w:rsidR="00B71FD3" w:rsidRPr="003D1E07">
        <w:t xml:space="preserve">univerzálního </w:t>
      </w:r>
      <w:r w:rsidR="087F46CC" w:rsidRPr="003D1E07">
        <w:t xml:space="preserve">bytí v </w:t>
      </w:r>
      <w:r w:rsidR="00B71FD3" w:rsidRPr="003D1E07">
        <w:t xml:space="preserve">této </w:t>
      </w:r>
      <w:r w:rsidR="087F46CC" w:rsidRPr="003D1E07">
        <w:t>nové formě náhledu jsoucna</w:t>
      </w:r>
      <w:r w:rsidR="00FB332B" w:rsidRPr="003D1E07">
        <w:t xml:space="preserve"> (</w:t>
      </w:r>
      <w:r w:rsidR="00FB332B" w:rsidRPr="003D1E07">
        <w:rPr>
          <w:i/>
        </w:rPr>
        <w:t>cui accidit universalitas</w:t>
      </w:r>
      <w:r w:rsidR="00FB332B" w:rsidRPr="003D1E07">
        <w:t>).</w:t>
      </w:r>
      <w:r w:rsidR="087F46CC" w:rsidRPr="003D1E07">
        <w:t xml:space="preserve"> </w:t>
      </w:r>
      <w:r w:rsidR="08133924" w:rsidRPr="003D1E07">
        <w:t xml:space="preserve">Dativ singuláru </w:t>
      </w:r>
      <w:r w:rsidR="005A5ED3" w:rsidRPr="003D1E07">
        <w:t>(</w:t>
      </w:r>
      <w:r w:rsidR="005A5ED3" w:rsidRPr="003D1E07">
        <w:rPr>
          <w:i/>
        </w:rPr>
        <w:t>cui</w:t>
      </w:r>
      <w:r w:rsidR="005A5ED3" w:rsidRPr="003D1E07">
        <w:t xml:space="preserve">) </w:t>
      </w:r>
      <w:r w:rsidR="08133924" w:rsidRPr="003D1E07">
        <w:t xml:space="preserve">má zásadní význam, protože jde o první případ </w:t>
      </w:r>
      <w:r w:rsidR="007C698A" w:rsidRPr="003D1E07">
        <w:t xml:space="preserve">donace jsoucnosti v rámci </w:t>
      </w:r>
      <w:r w:rsidR="08133924" w:rsidRPr="003D1E07">
        <w:rPr>
          <w:i/>
        </w:rPr>
        <w:t>dativus obiectivus</w:t>
      </w:r>
      <w:r w:rsidR="08133924" w:rsidRPr="003D1E07">
        <w:rPr>
          <w:i/>
        </w:rPr>
        <w:fldChar w:fldCharType="begin"/>
      </w:r>
      <w:r w:rsidR="08133924" w:rsidRPr="003D1E07">
        <w:instrText xml:space="preserve"> XE "</w:instrText>
      </w:r>
      <w:r w:rsidR="08133924" w:rsidRPr="003D1E07">
        <w:rPr>
          <w:i/>
        </w:rPr>
        <w:instrText>dativus obiectivus</w:instrText>
      </w:r>
      <w:r w:rsidR="08133924" w:rsidRPr="003D1E07">
        <w:instrText xml:space="preserve">" </w:instrText>
      </w:r>
      <w:r w:rsidR="08133924" w:rsidRPr="003D1E07">
        <w:rPr>
          <w:i/>
        </w:rPr>
        <w:fldChar w:fldCharType="end"/>
      </w:r>
      <w:r w:rsidR="08133924" w:rsidRPr="003D1E07">
        <w:t xml:space="preserve"> (</w:t>
      </w:r>
      <w:r w:rsidR="08F5528A" w:rsidRPr="003D1E07">
        <w:t>OBJ III, kap. 4</w:t>
      </w:r>
      <w:r w:rsidR="08133924" w:rsidRPr="003D1E07">
        <w:t>)</w:t>
      </w:r>
      <w:r w:rsidR="084F54CF" w:rsidRPr="003D1E07">
        <w:t xml:space="preserve">. </w:t>
      </w:r>
      <w:r w:rsidR="000141F0">
        <w:t xml:space="preserve">Nový </w:t>
      </w:r>
      <w:r w:rsidR="000141F0">
        <w:lastRenderedPageBreak/>
        <w:t xml:space="preserve">metafyzický dativ vytvořil </w:t>
      </w:r>
      <w:r w:rsidR="084F54CF" w:rsidRPr="003D1E07">
        <w:t>singulární</w:t>
      </w:r>
      <w:r w:rsidR="08133924" w:rsidRPr="003D1E07">
        <w:t xml:space="preserve"> substanci tře</w:t>
      </w:r>
      <w:r w:rsidR="0891525D" w:rsidRPr="003D1E07">
        <w:t xml:space="preserve">tího druhu, k níž </w:t>
      </w:r>
      <w:r w:rsidR="0069400D">
        <w:t>je přidán (</w:t>
      </w:r>
      <w:r w:rsidR="0069400D" w:rsidRPr="0069400D">
        <w:rPr>
          <w:i/>
        </w:rPr>
        <w:t>accidit</w:t>
      </w:r>
      <w:r w:rsidR="00251F20">
        <w:t xml:space="preserve">) </w:t>
      </w:r>
      <w:r w:rsidR="08133924" w:rsidRPr="003D1E07">
        <w:t>univerzální význam</w:t>
      </w:r>
      <w:r w:rsidR="005832AD" w:rsidRPr="003D1E07">
        <w:t xml:space="preserve"> v modu zvláštního „akcidentu“</w:t>
      </w:r>
      <w:r w:rsidR="08133924" w:rsidRPr="003D1E07">
        <w:t xml:space="preserve">. </w:t>
      </w:r>
      <w:r w:rsidR="008C6F89" w:rsidRPr="003D1E07">
        <w:t xml:space="preserve">Nová donace universality nemá </w:t>
      </w:r>
      <w:r w:rsidR="0891525D" w:rsidRPr="003D1E07">
        <w:t>univer</w:t>
      </w:r>
      <w:r w:rsidR="00237111" w:rsidRPr="003D1E07">
        <w:t xml:space="preserve">zální </w:t>
      </w:r>
      <w:r w:rsidR="008C6F89" w:rsidRPr="003D1E07">
        <w:t xml:space="preserve">význam </w:t>
      </w:r>
      <w:r w:rsidR="00237111" w:rsidRPr="003D1E07">
        <w:t xml:space="preserve">ve smyslu druhé substance, </w:t>
      </w:r>
      <w:r w:rsidR="0891525D" w:rsidRPr="003D1E07">
        <w:t xml:space="preserve">ani singulární </w:t>
      </w:r>
      <w:r w:rsidR="00B86687" w:rsidRPr="003D1E07">
        <w:t xml:space="preserve">bytí </w:t>
      </w:r>
      <w:r w:rsidR="0891525D" w:rsidRPr="003D1E07">
        <w:t xml:space="preserve">první substance. </w:t>
      </w:r>
      <w:r w:rsidR="08133924" w:rsidRPr="003D1E07">
        <w:t xml:space="preserve">Spojením singularity a </w:t>
      </w:r>
      <w:r w:rsidR="0880394F" w:rsidRPr="003D1E07">
        <w:t xml:space="preserve">univerzality vzniká nová forma </w:t>
      </w:r>
      <w:r w:rsidR="0880394F" w:rsidRPr="003D1E07">
        <w:rPr>
          <w:i/>
        </w:rPr>
        <w:t>tertium ens</w:t>
      </w:r>
      <w:r w:rsidR="005F53B6">
        <w:t>. Avicenna d</w:t>
      </w:r>
      <w:r w:rsidR="00DA583D">
        <w:t xml:space="preserve">al </w:t>
      </w:r>
      <w:r w:rsidR="005F53B6">
        <w:t xml:space="preserve">sám </w:t>
      </w:r>
      <w:r w:rsidR="00DA583D">
        <w:t xml:space="preserve">sobě jako dar </w:t>
      </w:r>
      <w:r w:rsidR="005F53B6">
        <w:t>jsoucno</w:t>
      </w:r>
      <w:r w:rsidR="0880394F" w:rsidRPr="003D1E07">
        <w:t xml:space="preserve"> v novém smyslu </w:t>
      </w:r>
      <w:r w:rsidR="005F53B6">
        <w:t>daném objektivně</w:t>
      </w:r>
      <w:r w:rsidR="08133924" w:rsidRPr="003D1E07">
        <w:rPr>
          <w:i/>
        </w:rPr>
        <w:fldChar w:fldCharType="begin"/>
      </w:r>
      <w:r w:rsidR="08133924" w:rsidRPr="003D1E07">
        <w:instrText xml:space="preserve"> XE "</w:instrText>
      </w:r>
      <w:r w:rsidR="08133924" w:rsidRPr="003D1E07">
        <w:rPr>
          <w:i/>
        </w:rPr>
        <w:instrText>dativus possessivus</w:instrText>
      </w:r>
      <w:r w:rsidR="08133924" w:rsidRPr="003D1E07">
        <w:instrText xml:space="preserve">" </w:instrText>
      </w:r>
      <w:r w:rsidR="08133924" w:rsidRPr="003D1E07">
        <w:rPr>
          <w:i/>
        </w:rPr>
        <w:fldChar w:fldCharType="end"/>
      </w:r>
      <w:r w:rsidR="08133924" w:rsidRPr="003D1E07">
        <w:t xml:space="preserve">. </w:t>
      </w:r>
      <w:r w:rsidR="085746B4" w:rsidRPr="003D1E07">
        <w:t>Citát ukázal, že bytostné určení koně je nazíráno v absolutní, tj. oddělené jednoduchosti nové univerzality (</w:t>
      </w:r>
      <w:r w:rsidR="085746B4" w:rsidRPr="003D1E07">
        <w:rPr>
          <w:i/>
        </w:rPr>
        <w:t>ipsa in se</w:t>
      </w:r>
      <w:r w:rsidR="085746B4" w:rsidRPr="003D1E07">
        <w:t xml:space="preserve">). </w:t>
      </w:r>
      <w:r w:rsidR="002802D0" w:rsidRPr="003D1E07">
        <w:t xml:space="preserve">První </w:t>
      </w:r>
      <w:r w:rsidR="087B19E9" w:rsidRPr="003D1E07">
        <w:t xml:space="preserve">vize </w:t>
      </w:r>
      <w:r w:rsidR="002802D0" w:rsidRPr="003D1E07">
        <w:t>objektivity nepoznává abstraktní výměr toho, čím je kůň ve své esencialitě</w:t>
      </w:r>
      <w:r w:rsidR="087A6EDA" w:rsidRPr="003D1E07">
        <w:t xml:space="preserve"> dané </w:t>
      </w:r>
      <w:r w:rsidR="00251F20">
        <w:t xml:space="preserve">kategoriálním </w:t>
      </w:r>
      <w:r w:rsidR="087A6EDA" w:rsidRPr="003D1E07">
        <w:t>určením od reálné první substance</w:t>
      </w:r>
      <w:r w:rsidR="002802D0" w:rsidRPr="003D1E07">
        <w:t xml:space="preserve">. </w:t>
      </w:r>
      <w:r w:rsidR="000B0CCE" w:rsidRPr="003D1E07">
        <w:t>Nová jednota jsoucna j</w:t>
      </w:r>
      <w:r w:rsidR="006214BC" w:rsidRPr="003D1E07">
        <w:t>e nazíraná sama o sobě, v nové formě univerzality</w:t>
      </w:r>
      <w:r w:rsidR="083D6CD3" w:rsidRPr="003D1E07">
        <w:t>, která k ní patří ve formě absolutní jednoduchosti</w:t>
      </w:r>
      <w:r w:rsidR="08C76B80" w:rsidRPr="003D1E07">
        <w:t xml:space="preserve"> </w:t>
      </w:r>
      <w:r w:rsidR="08606C57" w:rsidRPr="003D1E07">
        <w:t xml:space="preserve">individua </w:t>
      </w:r>
      <w:r w:rsidR="08C76B80" w:rsidRPr="003D1E07">
        <w:t>(</w:t>
      </w:r>
      <w:r w:rsidR="08C76B80" w:rsidRPr="003D1E07">
        <w:rPr>
          <w:i/>
        </w:rPr>
        <w:t>equinitas tantum</w:t>
      </w:r>
      <w:r w:rsidR="00D868A9" w:rsidRPr="003D1E07">
        <w:rPr>
          <w:i/>
        </w:rPr>
        <w:fldChar w:fldCharType="begin"/>
      </w:r>
      <w:r w:rsidR="00D868A9" w:rsidRPr="003D1E07">
        <w:instrText xml:space="preserve"> XE "objektivita:</w:instrText>
      </w:r>
      <w:r w:rsidR="001505C3" w:rsidRPr="003D1E07">
        <w:rPr>
          <w:i/>
        </w:rPr>
        <w:instrText>equinitas tantum</w:instrText>
      </w:r>
      <w:r w:rsidR="00D868A9" w:rsidRPr="003D1E07">
        <w:instrText xml:space="preserve">" </w:instrText>
      </w:r>
      <w:r w:rsidR="00D868A9" w:rsidRPr="003D1E07">
        <w:rPr>
          <w:i/>
        </w:rPr>
        <w:fldChar w:fldCharType="end"/>
      </w:r>
      <w:r w:rsidR="08C76B80" w:rsidRPr="003D1E07">
        <w:t>)</w:t>
      </w:r>
      <w:r w:rsidR="006214BC" w:rsidRPr="003D1E07">
        <w:t xml:space="preserve">. </w:t>
      </w:r>
      <w:r w:rsidR="08606C57" w:rsidRPr="003D1E07">
        <w:t xml:space="preserve">Díky </w:t>
      </w:r>
      <w:r w:rsidR="00251F20">
        <w:t xml:space="preserve">transcendentální </w:t>
      </w:r>
      <w:r w:rsidR="08606C57" w:rsidRPr="003D1E07">
        <w:t>univerzalitě a současně jedinečné individualitě nazíraného významu leží n</w:t>
      </w:r>
      <w:r w:rsidR="0822011A" w:rsidRPr="003D1E07">
        <w:t>ový vým</w:t>
      </w:r>
      <w:r w:rsidR="00C715E6" w:rsidRPr="003D1E07">
        <w:t>ěr jsoucna v oblasti bytí za</w:t>
      </w:r>
      <w:r w:rsidR="009C64B0" w:rsidRPr="003D1E07">
        <w:t xml:space="preserve"> esencí</w:t>
      </w:r>
      <w:r w:rsidR="00770D7C" w:rsidRPr="003D1E07">
        <w:t xml:space="preserve"> druhé substance</w:t>
      </w:r>
      <w:r w:rsidR="00251F20">
        <w:t xml:space="preserve">. </w:t>
      </w:r>
      <w:r w:rsidR="00D4101A">
        <w:t>Nové jsoucno p</w:t>
      </w:r>
      <w:r w:rsidR="009C64B0" w:rsidRPr="003D1E07">
        <w:t xml:space="preserve">roto není </w:t>
      </w:r>
      <w:r w:rsidR="0822011A" w:rsidRPr="003D1E07">
        <w:t xml:space="preserve">subjektem </w:t>
      </w:r>
      <w:r w:rsidR="00251F20">
        <w:t xml:space="preserve">ani přímé </w:t>
      </w:r>
      <w:r w:rsidR="0822011A" w:rsidRPr="003D1E07">
        <w:t xml:space="preserve">kategoriální </w:t>
      </w:r>
      <w:r w:rsidR="00A0460B">
        <w:t xml:space="preserve">impozice </w:t>
      </w:r>
      <w:r w:rsidR="00251F20">
        <w:t xml:space="preserve">(species), ani sekundární </w:t>
      </w:r>
      <w:r w:rsidR="0822011A" w:rsidRPr="003D1E07">
        <w:t>esenciální abstrakce</w:t>
      </w:r>
      <w:r w:rsidR="00251F20">
        <w:t xml:space="preserve"> (genus)</w:t>
      </w:r>
      <w:r w:rsidR="009C64B0" w:rsidRPr="003D1E07">
        <w:t xml:space="preserve">. Ale </w:t>
      </w:r>
      <w:r w:rsidR="08ED750D" w:rsidRPr="003D1E07">
        <w:t xml:space="preserve">skrze individualitu </w:t>
      </w:r>
      <w:r w:rsidR="0822011A" w:rsidRPr="003D1E07">
        <w:t xml:space="preserve">má </w:t>
      </w:r>
      <w:r w:rsidR="009C64B0" w:rsidRPr="003D1E07">
        <w:t xml:space="preserve">nový výměr koně </w:t>
      </w:r>
      <w:r w:rsidR="00471550" w:rsidRPr="003D1E07">
        <w:t xml:space="preserve">jako jsoucna třetího druhu </w:t>
      </w:r>
      <w:r w:rsidR="0822011A" w:rsidRPr="003D1E07">
        <w:t>vlastní nezaměnitelný obsah (</w:t>
      </w:r>
      <w:r w:rsidR="0822011A" w:rsidRPr="003D1E07">
        <w:rPr>
          <w:rStyle w:val="FontStyle129"/>
          <w:rFonts w:ascii="Calibri" w:hAnsi="Calibri"/>
          <w:i/>
          <w:sz w:val="24"/>
        </w:rPr>
        <w:t>equinitas habet definitionem</w:t>
      </w:r>
      <w:r w:rsidR="0822011A" w:rsidRPr="003D1E07">
        <w:t xml:space="preserve">). </w:t>
      </w:r>
      <w:r w:rsidR="0001601D" w:rsidRPr="003D1E07">
        <w:t xml:space="preserve">Aristotelská </w:t>
      </w:r>
      <w:r w:rsidR="006214BC" w:rsidRPr="003D1E07">
        <w:t xml:space="preserve">určení z hlediska esence a substance jsou daná </w:t>
      </w:r>
      <w:r w:rsidR="006214BC" w:rsidRPr="003D1E07">
        <w:rPr>
          <w:i/>
        </w:rPr>
        <w:t>per posterius</w:t>
      </w:r>
      <w:r w:rsidR="006214BC" w:rsidRPr="003D1E07">
        <w:t xml:space="preserve">, protože postrádají </w:t>
      </w:r>
      <w:r w:rsidR="087A4203" w:rsidRPr="003D1E07">
        <w:t xml:space="preserve">onu </w:t>
      </w:r>
      <w:r w:rsidR="006214BC" w:rsidRPr="003D1E07">
        <w:t>formu totální jednoduchosti</w:t>
      </w:r>
      <w:r w:rsidR="00C029D6" w:rsidRPr="003D1E07">
        <w:t xml:space="preserve"> dané v modu </w:t>
      </w:r>
      <w:r w:rsidR="00C029D6" w:rsidRPr="003D1E07">
        <w:rPr>
          <w:i/>
        </w:rPr>
        <w:t>per prius</w:t>
      </w:r>
      <w:r w:rsidR="00C029D6" w:rsidRPr="003D1E07">
        <w:t xml:space="preserve"> pouze v první substanci</w:t>
      </w:r>
      <w:r w:rsidR="00485643" w:rsidRPr="003D1E07">
        <w:rPr>
          <w:i/>
          <w:iCs/>
        </w:rPr>
        <w:fldChar w:fldCharType="begin"/>
      </w:r>
      <w:r w:rsidR="00485643" w:rsidRPr="003D1E07">
        <w:instrText xml:space="preserve"> XE "esence:falsafa" </w:instrText>
      </w:r>
      <w:r w:rsidR="00485643" w:rsidRPr="003D1E07">
        <w:rPr>
          <w:i/>
          <w:iCs/>
        </w:rPr>
        <w:fldChar w:fldCharType="end"/>
      </w:r>
      <w:r w:rsidR="006214BC" w:rsidRPr="003D1E07">
        <w:t xml:space="preserve">. </w:t>
      </w:r>
      <w:r w:rsidR="08100D3B" w:rsidRPr="003D1E07">
        <w:t xml:space="preserve">Nové určení </w:t>
      </w:r>
      <w:r w:rsidR="006214BC" w:rsidRPr="003D1E07">
        <w:t>se týká celku j</w:t>
      </w:r>
      <w:r w:rsidR="00862445" w:rsidRPr="003D1E07">
        <w:t>soucna</w:t>
      </w:r>
      <w:r w:rsidR="08CE15AC" w:rsidRPr="003D1E07">
        <w:t xml:space="preserve"> nazíraného v jeho </w:t>
      </w:r>
      <w:r w:rsidR="08092892" w:rsidRPr="003D1E07">
        <w:t xml:space="preserve">primární </w:t>
      </w:r>
      <w:r w:rsidR="08CE15AC" w:rsidRPr="003D1E07">
        <w:t>jsoucnosti</w:t>
      </w:r>
      <w:r w:rsidR="000439D2">
        <w:t xml:space="preserve">. Nová forma první substance se definována </w:t>
      </w:r>
      <w:r w:rsidR="08092892" w:rsidRPr="003D1E07">
        <w:t xml:space="preserve">v modu </w:t>
      </w:r>
      <w:r w:rsidR="000439D2">
        <w:t>„</w:t>
      </w:r>
      <w:r w:rsidR="08092892" w:rsidRPr="003D1E07">
        <w:rPr>
          <w:i/>
        </w:rPr>
        <w:t>inquantum est prius</w:t>
      </w:r>
      <w:r w:rsidR="000439D2" w:rsidRPr="000439D2">
        <w:t>“</w:t>
      </w:r>
      <w:r w:rsidR="08092892" w:rsidRPr="000439D2">
        <w:fldChar w:fldCharType="begin"/>
      </w:r>
      <w:r w:rsidR="08092892" w:rsidRPr="000439D2">
        <w:instrText xml:space="preserve"> XE "predikace:per prius" </w:instrText>
      </w:r>
      <w:r w:rsidR="08092892" w:rsidRPr="000439D2">
        <w:fldChar w:fldCharType="end"/>
      </w:r>
      <w:r w:rsidR="08CE15AC" w:rsidRPr="000439D2">
        <w:t>.</w:t>
      </w:r>
      <w:r w:rsidR="083D3CE6" w:rsidRPr="003D1E07">
        <w:rPr>
          <w:rStyle w:val="Znakapoznpodarou"/>
        </w:rPr>
        <w:footnoteReference w:id="149"/>
      </w:r>
      <w:r w:rsidR="08CE15AC" w:rsidRPr="003D1E07">
        <w:t xml:space="preserve"> </w:t>
      </w:r>
      <w:r w:rsidR="083D7F4B" w:rsidRPr="003D1E07">
        <w:t>První filosofie nyní existuje v řádu čisté priority bytí jsoucna jako takového (</w:t>
      </w:r>
      <w:r w:rsidR="083D7F4B" w:rsidRPr="003D1E07">
        <w:rPr>
          <w:rStyle w:val="FontStyle129"/>
          <w:rFonts w:ascii="Calibri" w:hAnsi="Calibri"/>
          <w:i/>
          <w:sz w:val="24"/>
        </w:rPr>
        <w:t xml:space="preserve">equinitas </w:t>
      </w:r>
      <w:r w:rsidR="083D7F4B" w:rsidRPr="003D1E07">
        <w:rPr>
          <w:i/>
        </w:rPr>
        <w:t>ipse</w:t>
      </w:r>
      <w:r w:rsidR="083D7F4B" w:rsidRPr="003D1E07">
        <w:t xml:space="preserve">, </w:t>
      </w:r>
      <w:r w:rsidR="00A537FF" w:rsidRPr="003D1E07">
        <w:rPr>
          <w:rStyle w:val="FontStyle129"/>
          <w:rFonts w:ascii="Calibri" w:hAnsi="Calibri"/>
          <w:i/>
          <w:sz w:val="24"/>
        </w:rPr>
        <w:t xml:space="preserve">equinitas </w:t>
      </w:r>
      <w:r w:rsidR="083D7F4B" w:rsidRPr="003D1E07">
        <w:rPr>
          <w:i/>
        </w:rPr>
        <w:t>tantum</w:t>
      </w:r>
      <w:r w:rsidR="083D7F4B" w:rsidRPr="003D1E07">
        <w:t xml:space="preserve">). Jsoucno dostalo nové formální určení nahlížené mimo aristotelské kategorie a mimo platonské nejvyšší rody bytí. </w:t>
      </w:r>
      <w:r w:rsidR="08CE15AC" w:rsidRPr="003D1E07">
        <w:t xml:space="preserve">Avicenna </w:t>
      </w:r>
      <w:r w:rsidR="00862445" w:rsidRPr="003D1E07">
        <w:t>postuluje</w:t>
      </w:r>
      <w:r w:rsidR="08F50DFA" w:rsidRPr="003D1E07">
        <w:t xml:space="preserve"> v modu upravené </w:t>
      </w:r>
      <w:r w:rsidR="08C0584B" w:rsidRPr="003D1E07">
        <w:t xml:space="preserve">Porfyriovy </w:t>
      </w:r>
      <w:r w:rsidR="08F50DFA" w:rsidRPr="003D1E07">
        <w:t xml:space="preserve">διαίρεσις </w:t>
      </w:r>
      <w:r w:rsidR="08CE15AC" w:rsidRPr="003D1E07">
        <w:t xml:space="preserve">predikaci posledního </w:t>
      </w:r>
      <w:r w:rsidR="083D3CE6" w:rsidRPr="003D1E07">
        <w:t xml:space="preserve">individuálního </w:t>
      </w:r>
      <w:r w:rsidR="08CE15AC" w:rsidRPr="003D1E07">
        <w:t xml:space="preserve">významu </w:t>
      </w:r>
      <w:r w:rsidR="08F50DFA" w:rsidRPr="003D1E07">
        <w:t>jsoucna</w:t>
      </w:r>
      <w:r w:rsidR="083D3CE6" w:rsidRPr="003D1E07">
        <w:t xml:space="preserve"> </w:t>
      </w:r>
      <w:r w:rsidR="083D7F4B" w:rsidRPr="003D1E07">
        <w:t>(</w:t>
      </w:r>
      <w:r w:rsidR="08AF6B7D" w:rsidRPr="003D1E07">
        <w:t>kap. 1.3</w:t>
      </w:r>
      <w:r w:rsidR="083D3CE6" w:rsidRPr="003D1E07">
        <w:t>).</w:t>
      </w:r>
      <w:r w:rsidR="006214BC" w:rsidRPr="003D1E07">
        <w:t xml:space="preserve"> </w:t>
      </w:r>
      <w:r w:rsidR="00B429EC" w:rsidRPr="003D1E07">
        <w:t>Ta</w:t>
      </w:r>
      <w:r w:rsidR="000D417B" w:rsidRPr="003D1E07">
        <w:t>to nov</w:t>
      </w:r>
      <w:r w:rsidR="00B429EC" w:rsidRPr="003D1E07">
        <w:t xml:space="preserve">á </w:t>
      </w:r>
      <w:r w:rsidR="000D417B" w:rsidRPr="003D1E07">
        <w:t xml:space="preserve">predikace </w:t>
      </w:r>
      <w:r w:rsidR="000D417B" w:rsidRPr="003D1E07">
        <w:rPr>
          <w:i/>
        </w:rPr>
        <w:t>per prius</w:t>
      </w:r>
      <w:r w:rsidR="000D417B" w:rsidRPr="003D1E07">
        <w:t xml:space="preserve"> </w:t>
      </w:r>
      <w:r w:rsidR="00B429EC" w:rsidRPr="003D1E07">
        <w:t>otevřela</w:t>
      </w:r>
      <w:r w:rsidR="000D417B" w:rsidRPr="003D1E07">
        <w:t xml:space="preserve"> cestu k objektivitě</w:t>
      </w:r>
      <w:r w:rsidR="00EE0F87" w:rsidRPr="003D1E07">
        <w:t>, protože stojí</w:t>
      </w:r>
      <w:r w:rsidR="000D417B" w:rsidRPr="003D1E07">
        <w:t xml:space="preserve"> mimo </w:t>
      </w:r>
      <w:r w:rsidR="08F70E5D" w:rsidRPr="003D1E07">
        <w:t>aristot</w:t>
      </w:r>
      <w:r w:rsidR="001934FE" w:rsidRPr="003D1E07">
        <w:t xml:space="preserve">elská </w:t>
      </w:r>
      <w:r w:rsidR="000D417B" w:rsidRPr="003D1E07">
        <w:t>určení</w:t>
      </w:r>
      <w:r w:rsidR="001934FE" w:rsidRPr="003D1E07">
        <w:t xml:space="preserve"> substance</w:t>
      </w:r>
      <w:r w:rsidR="00F9705F" w:rsidRPr="003D1E07">
        <w:t>.</w:t>
      </w:r>
      <w:r w:rsidR="08377E28" w:rsidRPr="003D1E07">
        <w:t xml:space="preserve"> </w:t>
      </w:r>
      <w:r w:rsidR="006214BC" w:rsidRPr="003D1E07">
        <w:t xml:space="preserve">Avicenna </w:t>
      </w:r>
      <w:r w:rsidR="08D176A1" w:rsidRPr="003D1E07">
        <w:t>r</w:t>
      </w:r>
      <w:r w:rsidR="08E74647" w:rsidRPr="003D1E07">
        <w:t>adikalizoval amfibolní predikaci</w:t>
      </w:r>
      <w:r w:rsidR="08D176A1" w:rsidRPr="003D1E07">
        <w:fldChar w:fldCharType="begin"/>
      </w:r>
      <w:r w:rsidR="08D176A1" w:rsidRPr="003D1E07">
        <w:instrText xml:space="preserve"> XE "predikace:amfibolní" </w:instrText>
      </w:r>
      <w:r w:rsidR="08D176A1" w:rsidRPr="003D1E07">
        <w:fldChar w:fldCharType="end"/>
      </w:r>
      <w:r w:rsidR="08D176A1" w:rsidRPr="003D1E07">
        <w:t xml:space="preserve"> Al-Fárábího a učinil z ní univerzální aspekt jsoucna. Nová metafyzika </w:t>
      </w:r>
      <w:r w:rsidR="004A1B7E">
        <w:t xml:space="preserve">pojednává </w:t>
      </w:r>
      <w:r w:rsidR="08D176A1" w:rsidRPr="003D1E07">
        <w:t xml:space="preserve">takto </w:t>
      </w:r>
      <w:r w:rsidR="004A1B7E">
        <w:t xml:space="preserve">určené bytí individua a rodu, které jsou </w:t>
      </w:r>
      <w:r w:rsidR="00BE58B0" w:rsidRPr="003D1E07">
        <w:t xml:space="preserve">alfa a omega nové první vědy. Ta </w:t>
      </w:r>
      <w:r w:rsidR="006214BC" w:rsidRPr="003D1E07">
        <w:t>definuje zvláštní druh</w:t>
      </w:r>
      <w:r w:rsidR="0025631D">
        <w:t xml:space="preserve"> logické</w:t>
      </w:r>
      <w:r w:rsidR="006214BC" w:rsidRPr="003D1E07">
        <w:t xml:space="preserve"> esence, která je ontologicky indiferentní, protože leží mimo jednotu a mnohost. </w:t>
      </w:r>
      <w:r w:rsidR="0843128F" w:rsidRPr="003D1E07">
        <w:t>Aristotelská určení</w:t>
      </w:r>
      <w:r w:rsidR="006214BC" w:rsidRPr="003D1E07">
        <w:t xml:space="preserve"> </w:t>
      </w:r>
      <w:r w:rsidR="0843128F" w:rsidRPr="003D1E07">
        <w:t xml:space="preserve">jsoucna </w:t>
      </w:r>
      <w:r w:rsidR="080C1189" w:rsidRPr="003D1E07">
        <w:t xml:space="preserve">vznikají </w:t>
      </w:r>
      <w:r w:rsidR="006214BC" w:rsidRPr="003D1E07">
        <w:t xml:space="preserve">až v následných operacích intelektu, které </w:t>
      </w:r>
      <w:r w:rsidR="088E4B0A" w:rsidRPr="003D1E07">
        <w:t xml:space="preserve">přidávají další specifika </w:t>
      </w:r>
      <w:r w:rsidR="0051275E" w:rsidRPr="003D1E07">
        <w:t xml:space="preserve">k původně dané </w:t>
      </w:r>
      <w:r w:rsidR="084D120B" w:rsidRPr="003D1E07">
        <w:t>jednoduchosti bytí jsoucna</w:t>
      </w:r>
      <w:r w:rsidR="006214BC" w:rsidRPr="003D1E07">
        <w:t xml:space="preserve">. </w:t>
      </w:r>
      <w:r w:rsidR="00952F99" w:rsidRPr="003D1E07">
        <w:t xml:space="preserve">Identita nového jsoucna třetího druhu spočívá v tom, že je dáno absolutně, ve své plně oddělené jednoduchosti. </w:t>
      </w:r>
      <w:r w:rsidR="007F7140" w:rsidRPr="003D1E07">
        <w:t xml:space="preserve">Avicenna vytvořil </w:t>
      </w:r>
      <w:r w:rsidR="08C326D5" w:rsidRPr="003D1E07">
        <w:t xml:space="preserve">nové simulákrum </w:t>
      </w:r>
      <w:r w:rsidR="08C326D5" w:rsidRPr="003D1E07">
        <w:lastRenderedPageBreak/>
        <w:t xml:space="preserve">individuálního </w:t>
      </w:r>
      <w:r w:rsidR="007F7140" w:rsidRPr="003D1E07">
        <w:t>Jedno</w:t>
      </w:r>
      <w:r w:rsidR="08C326D5" w:rsidRPr="003D1E07">
        <w:t>ho</w:t>
      </w:r>
      <w:r w:rsidR="002A7B58" w:rsidRPr="003D1E07">
        <w:t xml:space="preserve"> a </w:t>
      </w:r>
      <w:r w:rsidR="08C326D5" w:rsidRPr="003D1E07">
        <w:t xml:space="preserve">generického </w:t>
      </w:r>
      <w:r w:rsidR="002A7B58" w:rsidRPr="003D1E07">
        <w:t>Mnohé</w:t>
      </w:r>
      <w:r w:rsidR="08C326D5" w:rsidRPr="003D1E07">
        <w:t>ho</w:t>
      </w:r>
      <w:r w:rsidR="007F7140" w:rsidRPr="003D1E07">
        <w:t>, které se vtělilo do světa</w:t>
      </w:r>
      <w:r w:rsidR="08C131D2" w:rsidRPr="003D1E07">
        <w:t xml:space="preserve"> na způsob Ibn Ádího inkarnace B</w:t>
      </w:r>
      <w:r w:rsidR="007F7140" w:rsidRPr="003D1E07">
        <w:t>oží</w:t>
      </w:r>
      <w:r w:rsidR="08C131D2" w:rsidRPr="003D1E07">
        <w:t xml:space="preserve"> Trojice</w:t>
      </w:r>
      <w:r w:rsidR="08015154" w:rsidRPr="003D1E07">
        <w:rPr>
          <w:lang w:eastAsia="en-US"/>
        </w:rPr>
        <w:fldChar w:fldCharType="begin"/>
      </w:r>
      <w:r w:rsidR="08015154" w:rsidRPr="003D1E07">
        <w:instrText xml:space="preserve"> XE "</w:instrText>
      </w:r>
      <w:r w:rsidR="08015154" w:rsidRPr="003D1E07">
        <w:rPr>
          <w:lang w:eastAsia="en-US"/>
        </w:rPr>
        <w:instrText>Boží Trojice</w:instrText>
      </w:r>
      <w:r w:rsidR="08015154" w:rsidRPr="003D1E07">
        <w:instrText xml:space="preserve">" </w:instrText>
      </w:r>
      <w:r w:rsidR="08015154" w:rsidRPr="003D1E07">
        <w:rPr>
          <w:lang w:eastAsia="en-US"/>
        </w:rPr>
        <w:fldChar w:fldCharType="end"/>
      </w:r>
      <w:r w:rsidR="007F7140" w:rsidRPr="003D1E07">
        <w:t xml:space="preserve"> (kap. 2.2). </w:t>
      </w:r>
      <w:r w:rsidR="001761A8" w:rsidRPr="003D1E07">
        <w:t>Jednoduchost nového náhledu je založena na tom, že intelekt přímo "vidí" něco, co ve skutečnosti neexistuje a nikdy existovat nebude. P</w:t>
      </w:r>
      <w:r w:rsidR="001C7763" w:rsidRPr="003D1E07">
        <w:t>ředmět toh</w:t>
      </w:r>
      <w:r w:rsidR="00AA31C6" w:rsidRPr="003D1E07">
        <w:t>o</w:t>
      </w:r>
      <w:r w:rsidR="001C7763" w:rsidRPr="003D1E07">
        <w:t>to náh</w:t>
      </w:r>
      <w:r w:rsidR="00AA31C6" w:rsidRPr="003D1E07">
        <w:t xml:space="preserve">ledu ve své </w:t>
      </w:r>
      <w:r w:rsidR="006214BC" w:rsidRPr="003D1E07">
        <w:t>jednoduchost</w:t>
      </w:r>
      <w:r w:rsidR="00AA31C6" w:rsidRPr="003D1E07">
        <w:t>i</w:t>
      </w:r>
      <w:r w:rsidR="006214BC" w:rsidRPr="003D1E07">
        <w:t xml:space="preserve"> </w:t>
      </w:r>
      <w:r w:rsidR="0042022F">
        <w:t>přesahuje definici esence.</w:t>
      </w:r>
    </w:p>
    <w:p w14:paraId="791707B1" w14:textId="676A09BD" w:rsidR="00CB5D38" w:rsidRDefault="087F2B20" w:rsidP="00FA2A05">
      <w:pPr>
        <w:ind w:firstLine="397"/>
        <w:rPr>
          <w:rStyle w:val="addmd"/>
        </w:rPr>
      </w:pPr>
      <w:r w:rsidRPr="003D1E07">
        <w:t xml:space="preserve">Proto </w:t>
      </w:r>
      <w:r w:rsidR="088F57F7" w:rsidRPr="003D1E07">
        <w:t xml:space="preserve">Avicenna rozlišuje </w:t>
      </w:r>
      <w:r w:rsidR="00C715E6" w:rsidRPr="003D1E07">
        <w:t>stejně jako Al-</w:t>
      </w:r>
      <w:r w:rsidR="008E02F5" w:rsidRPr="003D1E07">
        <w:t>Fárábí</w:t>
      </w:r>
      <w:r w:rsidR="00C715E6" w:rsidRPr="003D1E07">
        <w:t xml:space="preserve"> </w:t>
      </w:r>
      <w:r w:rsidR="088F57F7" w:rsidRPr="003D1E07">
        <w:t xml:space="preserve">dvojí intencionalitu. První intence jde ke smyslově vnímanému </w:t>
      </w:r>
      <w:r w:rsidR="00F214C5" w:rsidRPr="003D1E07">
        <w:t>species</w:t>
      </w:r>
      <w:r w:rsidR="00C715E6" w:rsidRPr="003D1E07">
        <w:t xml:space="preserve"> </w:t>
      </w:r>
      <w:r w:rsidR="003B02AD" w:rsidRPr="003D1E07">
        <w:t>(</w:t>
      </w:r>
      <w:r w:rsidR="003B02AD" w:rsidRPr="003D1E07">
        <w:rPr>
          <w:i/>
        </w:rPr>
        <w:t>repraesentat sensus imaginationi et imaginatio intellectui</w:t>
      </w:r>
      <w:r w:rsidR="003B02AD" w:rsidRPr="003D1E07">
        <w:t>), proto do sebe zahrnuje univerzálně abstrahované určení humanity dané v mysli (</w:t>
      </w:r>
      <w:r w:rsidR="003B02AD" w:rsidRPr="003D1E07">
        <w:rPr>
          <w:i/>
        </w:rPr>
        <w:t>Socrates et Plato sunt una intentio in humanitate</w:t>
      </w:r>
      <w:r w:rsidR="003B02AD" w:rsidRPr="003D1E07">
        <w:t>).</w:t>
      </w:r>
      <w:r w:rsidR="00595C0D" w:rsidRPr="003D1E07">
        <w:rPr>
          <w:rStyle w:val="Znakapoznpodarou"/>
        </w:rPr>
        <w:footnoteReference w:id="150"/>
      </w:r>
      <w:r w:rsidR="003B02AD" w:rsidRPr="003D1E07">
        <w:t xml:space="preserve"> Druhý způsob abstrakce </w:t>
      </w:r>
      <w:r w:rsidR="0071056A" w:rsidRPr="003D1E07">
        <w:t xml:space="preserve">vidí </w:t>
      </w:r>
      <w:r w:rsidR="08123819" w:rsidRPr="003D1E07">
        <w:t xml:space="preserve">objektivní </w:t>
      </w:r>
      <w:r w:rsidR="0071056A" w:rsidRPr="003D1E07">
        <w:t>bytí jsoucna</w:t>
      </w:r>
      <w:r w:rsidR="08123819" w:rsidRPr="003D1E07">
        <w:t xml:space="preserve"> dané na nové rovině náhledu</w:t>
      </w:r>
      <w:r w:rsidR="00FC0C75" w:rsidRPr="003D1E07">
        <w:rPr>
          <w:i/>
        </w:rPr>
        <w:fldChar w:fldCharType="begin"/>
      </w:r>
      <w:r w:rsidR="00FC0C75" w:rsidRPr="003D1E07">
        <w:instrText xml:space="preserve"> XE "intencionalita:Avicenna" </w:instrText>
      </w:r>
      <w:r w:rsidR="00FC0C75" w:rsidRPr="003D1E07">
        <w:rPr>
          <w:i/>
        </w:rPr>
        <w:fldChar w:fldCharType="end"/>
      </w:r>
      <w:r w:rsidR="005F6798" w:rsidRPr="003D1E07">
        <w:t xml:space="preserve">. Lidství jako </w:t>
      </w:r>
      <w:r w:rsidR="08E66C54" w:rsidRPr="003D1E07">
        <w:t xml:space="preserve">individuálně-generické </w:t>
      </w:r>
      <w:r w:rsidR="0071056A" w:rsidRPr="003D1E07">
        <w:t>určení jsoucna</w:t>
      </w:r>
      <w:r w:rsidR="005F6798" w:rsidRPr="003D1E07">
        <w:t xml:space="preserve"> m</w:t>
      </w:r>
      <w:r w:rsidR="003B02AD" w:rsidRPr="003D1E07">
        <w:t>ůže být nahlížen</w:t>
      </w:r>
      <w:r w:rsidR="005F6798" w:rsidRPr="003D1E07">
        <w:t>o</w:t>
      </w:r>
      <w:r w:rsidR="003B02AD" w:rsidRPr="003D1E07">
        <w:t xml:space="preserve"> jak na pouhém akcidentu </w:t>
      </w:r>
      <w:r w:rsidR="00C715E6" w:rsidRPr="003D1E07">
        <w:t>(</w:t>
      </w:r>
      <w:r w:rsidR="003B02AD" w:rsidRPr="003D1E07">
        <w:rPr>
          <w:i/>
        </w:rPr>
        <w:t>aliquando cum illo accidente</w:t>
      </w:r>
      <w:r w:rsidR="003B02AD" w:rsidRPr="003D1E07">
        <w:t>)</w:t>
      </w:r>
      <w:r w:rsidR="005F6798" w:rsidRPr="003D1E07">
        <w:t>, tak i v jeho</w:t>
      </w:r>
      <w:r w:rsidR="003B02AD" w:rsidRPr="003D1E07">
        <w:t xml:space="preserve"> čisté podobě jsoucna třetího druhu </w:t>
      </w:r>
      <w:r w:rsidR="088F57F7" w:rsidRPr="003D1E07">
        <w:t>(</w:t>
      </w:r>
      <w:r w:rsidR="00C27E94" w:rsidRPr="003D1E07">
        <w:rPr>
          <w:i/>
        </w:rPr>
        <w:t xml:space="preserve">aliquando </w:t>
      </w:r>
      <w:r w:rsidR="088F57F7" w:rsidRPr="003D1E07">
        <w:rPr>
          <w:i/>
        </w:rPr>
        <w:t>accipiat illam nudam</w:t>
      </w:r>
      <w:r w:rsidR="088F57F7" w:rsidRPr="003D1E07">
        <w:t xml:space="preserve">). </w:t>
      </w:r>
      <w:r w:rsidR="00DF16AD" w:rsidRPr="003D1E07">
        <w:t xml:space="preserve">Náhled nového </w:t>
      </w:r>
      <w:r w:rsidR="00DF16AD" w:rsidRPr="003D1E07">
        <w:rPr>
          <w:i/>
        </w:rPr>
        <w:t>tertium ens</w:t>
      </w:r>
      <w:r w:rsidR="003F16A5" w:rsidRPr="003D1E07">
        <w:rPr>
          <w:i/>
        </w:rPr>
        <w:fldChar w:fldCharType="begin"/>
      </w:r>
      <w:r w:rsidR="003F16A5" w:rsidRPr="003D1E07">
        <w:instrText xml:space="preserve"> XE "</w:instrText>
      </w:r>
      <w:r w:rsidR="003F16A5" w:rsidRPr="003D1E07">
        <w:rPr>
          <w:rStyle w:val="Zvraznn"/>
        </w:rPr>
        <w:instrText>tertium ens</w:instrText>
      </w:r>
      <w:r w:rsidR="00FC0C75" w:rsidRPr="003D1E07">
        <w:rPr>
          <w:rStyle w:val="Zvraznn"/>
          <w:i w:val="0"/>
        </w:rPr>
        <w:instrText>:Avicenna</w:instrText>
      </w:r>
      <w:r w:rsidR="003F16A5" w:rsidRPr="003D1E07">
        <w:instrText xml:space="preserve">" </w:instrText>
      </w:r>
      <w:r w:rsidR="003F16A5" w:rsidRPr="003D1E07">
        <w:rPr>
          <w:i/>
        </w:rPr>
        <w:fldChar w:fldCharType="end"/>
      </w:r>
      <w:r w:rsidR="00DF16AD" w:rsidRPr="003D1E07">
        <w:t xml:space="preserve"> se díky procesu abstrakce jako </w:t>
      </w:r>
      <w:r w:rsidR="00DF16AD" w:rsidRPr="003D1E07">
        <w:rPr>
          <w:i/>
        </w:rPr>
        <w:t>denudatio</w:t>
      </w:r>
      <w:r w:rsidR="00D44795" w:rsidRPr="003D1E07">
        <w:rPr>
          <w:i/>
        </w:rPr>
        <w:fldChar w:fldCharType="begin"/>
      </w:r>
      <w:r w:rsidR="00D44795" w:rsidRPr="003D1E07">
        <w:instrText xml:space="preserve"> XE "</w:instrText>
      </w:r>
      <w:r w:rsidR="00D44795" w:rsidRPr="003D1E07">
        <w:rPr>
          <w:i/>
        </w:rPr>
        <w:instrText>denudatio</w:instrText>
      </w:r>
      <w:r w:rsidR="00D44795" w:rsidRPr="003D1E07">
        <w:instrText xml:space="preserve">" </w:instrText>
      </w:r>
      <w:r w:rsidR="00D44795" w:rsidRPr="003D1E07">
        <w:rPr>
          <w:i/>
        </w:rPr>
        <w:fldChar w:fldCharType="end"/>
      </w:r>
      <w:r w:rsidR="00DF16AD" w:rsidRPr="003D1E07">
        <w:t xml:space="preserve"> liší od aristotelského </w:t>
      </w:r>
      <w:r w:rsidR="00DF16AD" w:rsidRPr="003D1E07">
        <w:rPr>
          <w:i/>
        </w:rPr>
        <w:t>abstractio</w:t>
      </w:r>
      <w:r w:rsidR="00FC0C75" w:rsidRPr="003D1E07">
        <w:rPr>
          <w:i/>
        </w:rPr>
        <w:fldChar w:fldCharType="begin"/>
      </w:r>
      <w:r w:rsidR="00FC0C75" w:rsidRPr="003D1E07">
        <w:instrText xml:space="preserve"> XE "abstra</w:instrText>
      </w:r>
      <w:r w:rsidR="00EA5A9C" w:rsidRPr="003D1E07">
        <w:instrText>kce</w:instrText>
      </w:r>
      <w:r w:rsidR="00FC0C75" w:rsidRPr="003D1E07">
        <w:rPr>
          <w:i/>
        </w:rPr>
        <w:instrText>:</w:instrText>
      </w:r>
      <w:r w:rsidR="00FC0C75" w:rsidRPr="003D1E07">
        <w:instrText xml:space="preserve">Avicenna" </w:instrText>
      </w:r>
      <w:r w:rsidR="00FC0C75" w:rsidRPr="003D1E07">
        <w:rPr>
          <w:i/>
        </w:rPr>
        <w:fldChar w:fldCharType="end"/>
      </w:r>
      <w:r w:rsidR="00DF16AD" w:rsidRPr="003D1E07">
        <w:t xml:space="preserve">, v němž je univerzálně dané lidství poznáno na základě smyslově vnímaného </w:t>
      </w:r>
      <w:r w:rsidR="008E02F5" w:rsidRPr="003D1E07">
        <w:t>Platon</w:t>
      </w:r>
      <w:r w:rsidR="00DF16AD" w:rsidRPr="003D1E07">
        <w:t xml:space="preserve">a a Sokrata. </w:t>
      </w:r>
      <w:r w:rsidR="00F12294" w:rsidRPr="003D1E07">
        <w:t xml:space="preserve">Běloba pro Aristotela existuje jako univerzálie pouze v mysli, čili jen </w:t>
      </w:r>
      <w:r w:rsidR="00E039B1" w:rsidRPr="003D1E07">
        <w:t xml:space="preserve">v modu </w:t>
      </w:r>
      <w:r w:rsidR="00F12294" w:rsidRPr="003D1E07">
        <w:rPr>
          <w:i/>
        </w:rPr>
        <w:t>per posterius</w:t>
      </w:r>
      <w:r w:rsidR="00E039B1" w:rsidRPr="003D1E07">
        <w:t xml:space="preserve"> daném skrze abstrakci. </w:t>
      </w:r>
      <w:r w:rsidR="00056465" w:rsidRPr="003D1E07">
        <w:t xml:space="preserve">Jakákoliv jiná predikace běloby mimo druhou substanci má pouze homonymický charakter. </w:t>
      </w:r>
      <w:r w:rsidR="00B612BF" w:rsidRPr="003D1E07">
        <w:t>Nový náhled na jsoucno vytvořil novou sféru univocity, v níž běloba</w:t>
      </w:r>
      <w:r w:rsidR="00447BAB" w:rsidRPr="003D1E07">
        <w:fldChar w:fldCharType="begin"/>
      </w:r>
      <w:r w:rsidR="00447BAB" w:rsidRPr="003D1E07">
        <w:instrText xml:space="preserve"> XE "predikace:běloba" </w:instrText>
      </w:r>
      <w:r w:rsidR="00447BAB" w:rsidRPr="003D1E07">
        <w:fldChar w:fldCharType="end"/>
      </w:r>
      <w:r w:rsidR="00B612BF" w:rsidRPr="003D1E07">
        <w:t xml:space="preserve"> a lidskost mají stejnou formu jednoduchosti danou </w:t>
      </w:r>
      <w:r w:rsidR="00B612BF" w:rsidRPr="003D1E07">
        <w:rPr>
          <w:i/>
        </w:rPr>
        <w:t>per prius</w:t>
      </w:r>
      <w:r w:rsidR="00B612BF" w:rsidRPr="003D1E07">
        <w:t xml:space="preserve">. </w:t>
      </w:r>
      <w:r w:rsidR="088F57F7" w:rsidRPr="003D1E07">
        <w:t xml:space="preserve">Sokrates i Plato jsou vnímáni v rámci druhé intence i v jedinečnosti </w:t>
      </w:r>
      <w:r w:rsidR="0066005D" w:rsidRPr="003D1E07">
        <w:t xml:space="preserve">osoby </w:t>
      </w:r>
      <w:r w:rsidR="087B127D" w:rsidRPr="003D1E07">
        <w:t xml:space="preserve">tvořené objektivním konceptem </w:t>
      </w:r>
      <w:r w:rsidR="088F57F7" w:rsidRPr="003D1E07">
        <w:rPr>
          <w:i/>
        </w:rPr>
        <w:t>humanitas</w:t>
      </w:r>
      <w:r w:rsidR="00FC0C75" w:rsidRPr="003D1E07">
        <w:rPr>
          <w:i/>
        </w:rPr>
        <w:fldChar w:fldCharType="begin"/>
      </w:r>
      <w:r w:rsidR="00FC0C75" w:rsidRPr="003D1E07">
        <w:instrText xml:space="preserve"> XE "</w:instrText>
      </w:r>
      <w:r w:rsidR="00FC0C75" w:rsidRPr="003D1E07">
        <w:rPr>
          <w:i/>
        </w:rPr>
        <w:instrText>humanitas:</w:instrText>
      </w:r>
      <w:r w:rsidR="00FC0C75" w:rsidRPr="003D1E07">
        <w:instrText xml:space="preserve">Avicenna" </w:instrText>
      </w:r>
      <w:r w:rsidR="00FC0C75" w:rsidRPr="003D1E07">
        <w:rPr>
          <w:i/>
        </w:rPr>
        <w:fldChar w:fldCharType="end"/>
      </w:r>
      <w:r w:rsidR="083F547F" w:rsidRPr="003D1E07">
        <w:t>, který</w:t>
      </w:r>
      <w:r w:rsidR="00722E9C" w:rsidRPr="003D1E07">
        <w:t xml:space="preserve"> má stejnou charakte</w:t>
      </w:r>
      <w:r w:rsidR="003B02AD" w:rsidRPr="003D1E07">
        <w:t>ristiku ja</w:t>
      </w:r>
      <w:r w:rsidR="00722E9C" w:rsidRPr="003D1E07">
        <w:t xml:space="preserve">ko předešlá </w:t>
      </w:r>
      <w:r w:rsidR="00722E9C" w:rsidRPr="003D1E07">
        <w:rPr>
          <w:i/>
        </w:rPr>
        <w:t>equinitas</w:t>
      </w:r>
      <w:r w:rsidR="00722E9C" w:rsidRPr="003D1E07">
        <w:t xml:space="preserve">. </w:t>
      </w:r>
      <w:r w:rsidR="08000280" w:rsidRPr="003D1E07">
        <w:t>O</w:t>
      </w:r>
      <w:r w:rsidR="086B3068" w:rsidRPr="003D1E07">
        <w:t>bjektivně</w:t>
      </w:r>
      <w:r w:rsidR="08000280" w:rsidRPr="003D1E07">
        <w:t xml:space="preserve"> po</w:t>
      </w:r>
      <w:r w:rsidR="086B3068" w:rsidRPr="003D1E07">
        <w:t>jatá</w:t>
      </w:r>
      <w:r w:rsidR="08000280" w:rsidRPr="003D1E07">
        <w:t xml:space="preserve"> </w:t>
      </w:r>
      <w:r w:rsidR="08DA4F51" w:rsidRPr="003D1E07">
        <w:t xml:space="preserve">lidskost </w:t>
      </w:r>
      <w:r w:rsidR="08000280" w:rsidRPr="003D1E07">
        <w:t>má univerzalitu rodu a přitom je nah</w:t>
      </w:r>
      <w:r w:rsidR="086B3068" w:rsidRPr="003D1E07">
        <w:t>lížena</w:t>
      </w:r>
      <w:r w:rsidR="08000280" w:rsidRPr="003D1E07">
        <w:t xml:space="preserve"> z pozice bývalého individua, které má jen minimální jsoucnost danou univerzálně</w:t>
      </w:r>
      <w:r w:rsidR="086B3068" w:rsidRPr="003D1E07">
        <w:t xml:space="preserve">. Proto </w:t>
      </w:r>
      <w:r w:rsidR="08000280" w:rsidRPr="003D1E07">
        <w:t xml:space="preserve">tvoří </w:t>
      </w:r>
      <w:r w:rsidR="086B3068" w:rsidRPr="003D1E07">
        <w:t xml:space="preserve">individuum </w:t>
      </w:r>
      <w:r w:rsidR="08000280" w:rsidRPr="003D1E07">
        <w:t>samostatnou jednotku na konci univerzální predikace (</w:t>
      </w:r>
      <w:r w:rsidR="08000280" w:rsidRPr="003D1E07">
        <w:rPr>
          <w:i/>
        </w:rPr>
        <w:t>esse diminutum</w:t>
      </w:r>
      <w:r w:rsidR="08733409" w:rsidRPr="003D1E07">
        <w:rPr>
          <w:i/>
        </w:rPr>
        <w:fldChar w:fldCharType="begin"/>
      </w:r>
      <w:r w:rsidR="08733409" w:rsidRPr="003D1E07">
        <w:instrText xml:space="preserve"> XE "</w:instrText>
      </w:r>
      <w:r w:rsidR="08733409" w:rsidRPr="003D1E07">
        <w:rPr>
          <w:i/>
        </w:rPr>
        <w:instrText>esse diminutum</w:instrText>
      </w:r>
      <w:r w:rsidR="08733409" w:rsidRPr="003D1E07">
        <w:instrText xml:space="preserve">" </w:instrText>
      </w:r>
      <w:r w:rsidR="08733409" w:rsidRPr="003D1E07">
        <w:rPr>
          <w:i/>
        </w:rPr>
        <w:fldChar w:fldCharType="end"/>
      </w:r>
      <w:r w:rsidR="08000280" w:rsidRPr="003D1E07">
        <w:t>, kap. 1.</w:t>
      </w:r>
      <w:r w:rsidR="08AF6B7D" w:rsidRPr="003D1E07">
        <w:t>3</w:t>
      </w:r>
      <w:r w:rsidR="08000280" w:rsidRPr="003D1E07">
        <w:t xml:space="preserve">). </w:t>
      </w:r>
      <w:r w:rsidR="00F12294" w:rsidRPr="003D1E07">
        <w:t xml:space="preserve">Nové pojetí abstrakce a intencionality dalo koňovitosti a humanitě díky absolutní jednoduchosti metafyzické určení </w:t>
      </w:r>
      <w:r w:rsidR="00F12294" w:rsidRPr="003D1E07">
        <w:rPr>
          <w:i/>
        </w:rPr>
        <w:t>per prius</w:t>
      </w:r>
      <w:r w:rsidR="00F12294" w:rsidRPr="003D1E07">
        <w:t>, které dříve</w:t>
      </w:r>
      <w:r w:rsidR="001B6A39" w:rsidRPr="003D1E07">
        <w:t xml:space="preserve"> patřilo pouze druhé substanci</w:t>
      </w:r>
      <w:r w:rsidR="00556CDB">
        <w:t xml:space="preserve"> určené v rámci impozice</w:t>
      </w:r>
      <w:r w:rsidR="001B6A39" w:rsidRPr="003D1E07">
        <w:t>.</w:t>
      </w:r>
      <w:r w:rsidR="08733409" w:rsidRPr="003D1E07">
        <w:t xml:space="preserve"> Objektivně pojatá univocita nejde od první substance ke druhé, ale od objektivně pojaté transcendentálie </w:t>
      </w:r>
      <w:r w:rsidR="00115168" w:rsidRPr="003D1E07">
        <w:t xml:space="preserve">jako </w:t>
      </w:r>
      <w:r w:rsidR="00751021" w:rsidRPr="003D1E07">
        <w:t xml:space="preserve">objektivní </w:t>
      </w:r>
      <w:r w:rsidR="00115168" w:rsidRPr="003D1E07">
        <w:t>druhé substance (</w:t>
      </w:r>
      <w:r w:rsidR="00115168" w:rsidRPr="003D1E07">
        <w:rPr>
          <w:i/>
        </w:rPr>
        <w:t>humanitas</w:t>
      </w:r>
      <w:r w:rsidR="00115168" w:rsidRPr="003D1E07">
        <w:t>)</w:t>
      </w:r>
      <w:r w:rsidR="00984CF4">
        <w:t xml:space="preserve"> až k objektivnímu individuu</w:t>
      </w:r>
      <w:r w:rsidR="000F172D" w:rsidRPr="003D1E07">
        <w:t xml:space="preserve"> (</w:t>
      </w:r>
      <w:r w:rsidR="000F172D" w:rsidRPr="003D1E07">
        <w:rPr>
          <w:i/>
        </w:rPr>
        <w:t>Socrates</w:t>
      </w:r>
      <w:r w:rsidR="000F172D" w:rsidRPr="003D1E07">
        <w:t>)</w:t>
      </w:r>
      <w:r w:rsidR="00115168" w:rsidRPr="003D1E07">
        <w:t xml:space="preserve">. </w:t>
      </w:r>
      <w:r w:rsidR="000F172D" w:rsidRPr="003D1E07">
        <w:t xml:space="preserve">To je z hlediska klasického aristotelismu naprostá paranoia, kterou zásadně odmítl Averroes. </w:t>
      </w:r>
      <w:r w:rsidR="00115168" w:rsidRPr="003D1E07">
        <w:t xml:space="preserve">Nová definice </w:t>
      </w:r>
      <w:r w:rsidR="000F172D" w:rsidRPr="003D1E07">
        <w:t xml:space="preserve">„druhé substance“ </w:t>
      </w:r>
      <w:r w:rsidR="00115168" w:rsidRPr="003D1E07">
        <w:t>je daná skrze univerzál</w:t>
      </w:r>
      <w:r w:rsidR="00FA2A05">
        <w:t xml:space="preserve">ně pojatou amfibolní predikaci. </w:t>
      </w:r>
      <w:r w:rsidR="00FA2A05" w:rsidRPr="00FA2A05">
        <w:t>Avicenna s</w:t>
      </w:r>
      <w:r w:rsidR="00FA2A05">
        <w:t xml:space="preserve">pojil </w:t>
      </w:r>
      <w:r w:rsidR="00FA2A05" w:rsidRPr="00FA2A05">
        <w:lastRenderedPageBreak/>
        <w:t xml:space="preserve">kategoriální predikaci </w:t>
      </w:r>
      <w:r w:rsidR="00FA2A05" w:rsidRPr="00FA2A05">
        <w:rPr>
          <w:i/>
        </w:rPr>
        <w:t xml:space="preserve">per prius </w:t>
      </w:r>
      <w:r w:rsidR="00FA2A05" w:rsidRPr="00FA2A05">
        <w:t>a</w:t>
      </w:r>
      <w:r w:rsidR="00FA2A05" w:rsidRPr="00FA2A05">
        <w:rPr>
          <w:i/>
        </w:rPr>
        <w:t xml:space="preserve"> per posterius</w:t>
      </w:r>
      <w:r w:rsidR="00FA2A05" w:rsidRPr="00FA2A05">
        <w:t>, což je typické pro neoplatoniky, jako byl Si</w:t>
      </w:r>
      <w:r w:rsidR="00FA2A05">
        <w:t xml:space="preserve">mplicius. Toto nesprávné čtení </w:t>
      </w:r>
      <w:r w:rsidR="00FA2A05" w:rsidRPr="00FA2A05">
        <w:rPr>
          <w:i/>
        </w:rPr>
        <w:t>Kategorií</w:t>
      </w:r>
      <w:r w:rsidR="00FA2A05" w:rsidRPr="00FA2A05">
        <w:t xml:space="preserve"> bylo navíc smícháno s amf</w:t>
      </w:r>
      <w:r w:rsidR="00FA2A05">
        <w:t>ib</w:t>
      </w:r>
      <w:r w:rsidR="00FA2A05" w:rsidRPr="00FA2A05">
        <w:t xml:space="preserve">olickou predikací </w:t>
      </w:r>
      <w:r w:rsidR="00FA2A05">
        <w:t xml:space="preserve">danou </w:t>
      </w:r>
      <w:r w:rsidR="00FA2A05" w:rsidRPr="00FA2A05">
        <w:rPr>
          <w:i/>
        </w:rPr>
        <w:t>per prius</w:t>
      </w:r>
      <w:r w:rsidR="00FA2A05">
        <w:t xml:space="preserve"> na úrovni Elias</w:t>
      </w:r>
      <w:r w:rsidR="00FA2A05" w:rsidRPr="00FA2A05">
        <w:t>ových hypostatických transcendentálií. Druhý Mistr by se nikdy nedopustil tak hrubé chyby. Na ose dělení odpovídá nový rod individuá</w:t>
      </w:r>
      <w:r w:rsidR="00FA2A05">
        <w:t>lnímu minimálnímu pojmu jsoucnosti (</w:t>
      </w:r>
      <w:r w:rsidR="00FA2A05" w:rsidRPr="00FA2A05">
        <w:rPr>
          <w:i/>
        </w:rPr>
        <w:t>Socrates</w:t>
      </w:r>
      <w:r w:rsidR="00FA2A05" w:rsidRPr="00FA2A05">
        <w:t>).</w:t>
      </w:r>
      <w:r w:rsidR="00FA2A05">
        <w:t xml:space="preserve"> </w:t>
      </w:r>
      <w:r w:rsidR="000F172D" w:rsidRPr="003D1E07">
        <w:t xml:space="preserve">Avicennovi je úplně jedno, že v původním dělení </w:t>
      </w:r>
      <w:r w:rsidR="00F55D87">
        <w:t xml:space="preserve">Porfýria </w:t>
      </w:r>
      <w:r w:rsidR="000F172D" w:rsidRPr="003D1E07">
        <w:t xml:space="preserve">má individuum naprosto minimální </w:t>
      </w:r>
      <w:r w:rsidR="005A4E0F">
        <w:t xml:space="preserve">kategoriální </w:t>
      </w:r>
      <w:r w:rsidR="000F172D" w:rsidRPr="003D1E07">
        <w:t xml:space="preserve">význam. V novém náhledu je dělení transcendentálních významů principiálně odděleno od hyparchické predikace. </w:t>
      </w:r>
      <w:r w:rsidR="008F5BD5" w:rsidRPr="003D1E07">
        <w:t>Objektivně chápaná univocita nepřechází z první substance do druhé, ale z objektivně chápaného transcendentna jako první substance. Je to nový rod, jemuž v rámci univerzálně pojaté amfibolické predikace na ose dělení odpovídá každý jednoduše definovaný individuální význam s minimálním pojetím jsoucnosti (</w:t>
      </w:r>
      <w:r w:rsidR="008F5BD5" w:rsidRPr="003D1E07">
        <w:rPr>
          <w:i/>
        </w:rPr>
        <w:t>Socrates</w:t>
      </w:r>
      <w:r w:rsidR="0042267A" w:rsidRPr="003D1E07">
        <w:t xml:space="preserve">). </w:t>
      </w:r>
      <w:r w:rsidR="0869173E" w:rsidRPr="003D1E07">
        <w:t xml:space="preserve">Protože individum je </w:t>
      </w:r>
      <w:r w:rsidR="00AE4D2A">
        <w:t xml:space="preserve">objektivně </w:t>
      </w:r>
      <w:r w:rsidR="08500918" w:rsidRPr="003D1E07">
        <w:t>univerzální stejným způsobem</w:t>
      </w:r>
      <w:r w:rsidR="000F172D" w:rsidRPr="003D1E07">
        <w:t xml:space="preserve"> jako rod</w:t>
      </w:r>
      <w:r w:rsidR="007D39D9" w:rsidRPr="003D1E07">
        <w:t xml:space="preserve"> (</w:t>
      </w:r>
      <w:r w:rsidR="007D39D9" w:rsidRPr="003D1E07">
        <w:rPr>
          <w:i/>
        </w:rPr>
        <w:t>humanitas</w:t>
      </w:r>
      <w:r w:rsidR="007D39D9" w:rsidRPr="003D1E07">
        <w:t>)</w:t>
      </w:r>
      <w:r w:rsidR="08500918" w:rsidRPr="003D1E07">
        <w:t>, l</w:t>
      </w:r>
      <w:r w:rsidR="0869173E" w:rsidRPr="003D1E07">
        <w:t>z</w:t>
      </w:r>
      <w:r w:rsidR="08500918" w:rsidRPr="003D1E07">
        <w:t>e</w:t>
      </w:r>
      <w:r w:rsidR="0869173E" w:rsidRPr="003D1E07">
        <w:t xml:space="preserve"> pokračovat </w:t>
      </w:r>
      <w:r w:rsidR="08500918" w:rsidRPr="003D1E07">
        <w:t>v</w:t>
      </w:r>
      <w:r w:rsidR="08B70F1F" w:rsidRPr="003D1E07">
        <w:t xml:space="preserve"> cestě </w:t>
      </w:r>
      <w:r w:rsidR="08500918" w:rsidRPr="003D1E07">
        <w:t xml:space="preserve">jsoucnem </w:t>
      </w:r>
      <w:r w:rsidR="0869173E" w:rsidRPr="003D1E07">
        <w:t xml:space="preserve">zespodu nahoru, od individua ke </w:t>
      </w:r>
      <w:r w:rsidR="00636BD4" w:rsidRPr="003D1E07">
        <w:t>genus</w:t>
      </w:r>
      <w:r w:rsidR="0869173E" w:rsidRPr="003D1E07">
        <w:t xml:space="preserve">. </w:t>
      </w:r>
      <w:r w:rsidR="08B70F1F" w:rsidRPr="003D1E07">
        <w:t xml:space="preserve">Připomeňme archaickou moudrost Parmenida, který cestu jsoucnem tam a zpět zásadně odmítl kvůli původní pravdivosti </w:t>
      </w:r>
      <w:r w:rsidR="00EE4624" w:rsidRPr="003D1E07">
        <w:t xml:space="preserve">principiálního </w:t>
      </w:r>
      <w:r w:rsidR="08B70F1F" w:rsidRPr="003D1E07">
        <w:t xml:space="preserve">dativu </w:t>
      </w:r>
      <w:r w:rsidR="00EE4624" w:rsidRPr="003D1E07">
        <w:t>(</w:t>
      </w:r>
      <w:r w:rsidR="00EE4624" w:rsidRPr="003D1E07">
        <w:rPr>
          <w:i/>
        </w:rPr>
        <w:t>dativus principalis</w:t>
      </w:r>
      <w:r w:rsidR="00EE4624" w:rsidRPr="003D1E07">
        <w:t xml:space="preserve">) </w:t>
      </w:r>
      <w:r w:rsidR="08B70F1F" w:rsidRPr="003D1E07">
        <w:t>vázaného na celek bytí (kap. 1).</w:t>
      </w:r>
      <w:r w:rsidR="08882A24" w:rsidRPr="003D1E07">
        <w:t xml:space="preserve"> </w:t>
      </w:r>
      <w:r w:rsidR="088C688C" w:rsidRPr="003D1E07">
        <w:t>Avicenna vytvořil objek</w:t>
      </w:r>
      <w:r w:rsidR="08704A06" w:rsidRPr="003D1E07">
        <w:t>tivní verzi Porfýriova stromu</w:t>
      </w:r>
      <w:r w:rsidR="088C688C" w:rsidRPr="003D1E07">
        <w:t xml:space="preserve"> mimo </w:t>
      </w:r>
      <w:r w:rsidR="08E10C9C" w:rsidRPr="003D1E07">
        <w:t xml:space="preserve">aristotelskou </w:t>
      </w:r>
      <w:r w:rsidR="088C688C" w:rsidRPr="003D1E07">
        <w:t xml:space="preserve">predikaci </w:t>
      </w:r>
      <w:r w:rsidR="088C688C" w:rsidRPr="003D1E07">
        <w:rPr>
          <w:i/>
        </w:rPr>
        <w:t>Kategorií</w:t>
      </w:r>
      <w:r w:rsidR="08704A06" w:rsidRPr="003D1E07">
        <w:t xml:space="preserve">. </w:t>
      </w:r>
      <w:r w:rsidR="00757A2B" w:rsidRPr="003D1E07">
        <w:t xml:space="preserve">Vidění </w:t>
      </w:r>
      <w:r w:rsidR="00441C11">
        <w:t xml:space="preserve">nové </w:t>
      </w:r>
      <w:r w:rsidR="00757A2B" w:rsidRPr="003D1E07">
        <w:t>neexistující entity (</w:t>
      </w:r>
      <w:r w:rsidR="00757A2B" w:rsidRPr="003D1E07">
        <w:rPr>
          <w:i/>
        </w:rPr>
        <w:t>individuum</w:t>
      </w:r>
      <w:r w:rsidR="00757A2B" w:rsidRPr="003D1E07">
        <w:t>) je založeno na intencionalitě spojené s obecnou determinací jsoucna. Tato novověké spojení (</w:t>
      </w:r>
      <w:r w:rsidR="00757A2B" w:rsidRPr="003D1E07">
        <w:rPr>
          <w:i/>
        </w:rPr>
        <w:t>sýmbolon, coniunctio</w:t>
      </w:r>
      <w:r w:rsidR="00757A2B" w:rsidRPr="003D1E07">
        <w:t xml:space="preserve">) individuality a obecnosti zásadně přispělo ke vzniku objektivity. </w:t>
      </w:r>
      <w:r w:rsidR="001B6A39" w:rsidRPr="003D1E07">
        <w:t>I</w:t>
      </w:r>
      <w:r w:rsidR="00F74805" w:rsidRPr="003D1E07">
        <w:t xml:space="preserve">ntence </w:t>
      </w:r>
      <w:r w:rsidR="001B6A39" w:rsidRPr="003D1E07">
        <w:t xml:space="preserve">daná náhledem čistých forem </w:t>
      </w:r>
      <w:r w:rsidR="08754BB8" w:rsidRPr="003D1E07">
        <w:t xml:space="preserve">v modu individuálně-generického určení jsoucna </w:t>
      </w:r>
      <w:r w:rsidR="00F74805" w:rsidRPr="003D1E07">
        <w:t xml:space="preserve">má </w:t>
      </w:r>
      <w:r w:rsidR="08014458" w:rsidRPr="003D1E07">
        <w:t>pro vznik objektivity naprosto zásadní</w:t>
      </w:r>
      <w:r w:rsidR="00F74805" w:rsidRPr="003D1E07">
        <w:t xml:space="preserve"> význam. Avicenna </w:t>
      </w:r>
      <w:r w:rsidR="08882DFB" w:rsidRPr="003D1E07">
        <w:t>vidí svět mimo realitu prvních substancí</w:t>
      </w:r>
      <w:r w:rsidR="08DE70E5" w:rsidRPr="003D1E07">
        <w:t>,</w:t>
      </w:r>
      <w:r w:rsidR="08882DFB" w:rsidRPr="003D1E07">
        <w:t xml:space="preserve"> a tím i mimo kategoriální predikaci danou hyparchicky</w:t>
      </w:r>
      <w:r w:rsidR="089F1332" w:rsidRPr="003D1E07">
        <w:t xml:space="preserve">. </w:t>
      </w:r>
      <w:r w:rsidR="00216F68" w:rsidRPr="003D1E07">
        <w:rPr>
          <w:rStyle w:val="addmd"/>
        </w:rPr>
        <w:t xml:space="preserve">Aristotelův </w:t>
      </w:r>
      <w:r w:rsidR="00216F68" w:rsidRPr="003D1E07">
        <w:t xml:space="preserve">metafyzický </w:t>
      </w:r>
      <w:r w:rsidR="00216F68" w:rsidRPr="003D1E07">
        <w:rPr>
          <w:rStyle w:val="addmd"/>
        </w:rPr>
        <w:t>dativ</w:t>
      </w:r>
      <w:r w:rsidR="00216F68" w:rsidRPr="003D1E07">
        <w:rPr>
          <w:szCs w:val="24"/>
        </w:rPr>
        <w:fldChar w:fldCharType="begin"/>
      </w:r>
      <w:r w:rsidR="00216F68" w:rsidRPr="003D1E07">
        <w:instrText xml:space="preserve"> XE "</w:instrText>
      </w:r>
      <w:r w:rsidR="00216F68" w:rsidRPr="003D1E07">
        <w:rPr>
          <w:i/>
        </w:rPr>
        <w:instrText>dativus metaphysicus</w:instrText>
      </w:r>
      <w:r w:rsidR="00216F68" w:rsidRPr="003D1E07">
        <w:instrText xml:space="preserve">" </w:instrText>
      </w:r>
      <w:r w:rsidR="00216F68" w:rsidRPr="003D1E07">
        <w:rPr>
          <w:szCs w:val="24"/>
        </w:rPr>
        <w:fldChar w:fldCharType="end"/>
      </w:r>
      <w:r w:rsidR="00216F68" w:rsidRPr="003D1E07">
        <w:rPr>
          <w:rStyle w:val="addmd"/>
        </w:rPr>
        <w:t xml:space="preserve"> (kap. 1.1)</w:t>
      </w:r>
      <w:r w:rsidR="00216F68">
        <w:rPr>
          <w:rStyle w:val="addmd"/>
        </w:rPr>
        <w:t xml:space="preserve"> se zásadně změnil. </w:t>
      </w:r>
      <w:r w:rsidR="00D75FA9" w:rsidRPr="003D1E07">
        <w:t>Zmizela u</w:t>
      </w:r>
      <w:r w:rsidR="08014458" w:rsidRPr="003D1E07">
        <w:t>nivoc</w:t>
      </w:r>
      <w:r w:rsidR="00D75FA9" w:rsidRPr="003D1E07">
        <w:t>ita vázaná</w:t>
      </w:r>
      <w:r w:rsidR="08014458" w:rsidRPr="003D1E07">
        <w:t xml:space="preserve"> na predikaci </w:t>
      </w:r>
      <w:r w:rsidR="00F14C3B">
        <w:t xml:space="preserve">aristotelské </w:t>
      </w:r>
      <w:r w:rsidR="08014458" w:rsidRPr="003D1E07">
        <w:t>druhé substance</w:t>
      </w:r>
      <w:r w:rsidR="00A70FA4" w:rsidRPr="003D1E07">
        <w:fldChar w:fldCharType="begin"/>
      </w:r>
      <w:r w:rsidR="00A70FA4" w:rsidRPr="003D1E07">
        <w:instrText xml:space="preserve"> XE "</w:instrText>
      </w:r>
      <w:r w:rsidR="00FC0C75" w:rsidRPr="003D1E07">
        <w:instrText>predikace:</w:instrText>
      </w:r>
      <w:r w:rsidR="00FC0C75" w:rsidRPr="003D1E07">
        <w:rPr>
          <w:i/>
        </w:rPr>
        <w:instrText>per posterius</w:instrText>
      </w:r>
      <w:r w:rsidR="00A70FA4" w:rsidRPr="003D1E07">
        <w:instrText xml:space="preserve">" </w:instrText>
      </w:r>
      <w:r w:rsidR="00A70FA4" w:rsidRPr="003D1E07">
        <w:fldChar w:fldCharType="end"/>
      </w:r>
      <w:r w:rsidR="08014458" w:rsidRPr="003D1E07">
        <w:t xml:space="preserve"> jako nejvyššího rodu, k němuž </w:t>
      </w:r>
      <w:r w:rsidR="08014458" w:rsidRPr="003D1E07">
        <w:rPr>
          <w:i/>
        </w:rPr>
        <w:t>per posterius</w:t>
      </w:r>
      <w:r w:rsidR="00FC0C75" w:rsidRPr="003D1E07">
        <w:fldChar w:fldCharType="begin"/>
      </w:r>
      <w:r w:rsidR="00FC0C75" w:rsidRPr="003D1E07">
        <w:instrText xml:space="preserve"> XE "predikace:</w:instrText>
      </w:r>
      <w:r w:rsidR="00FC0C75" w:rsidRPr="003D1E07">
        <w:rPr>
          <w:i/>
        </w:rPr>
        <w:instrText>per posterius</w:instrText>
      </w:r>
      <w:r w:rsidR="00FC0C75" w:rsidRPr="003D1E07">
        <w:instrText xml:space="preserve">" </w:instrText>
      </w:r>
      <w:r w:rsidR="00FC0C75" w:rsidRPr="003D1E07">
        <w:fldChar w:fldCharType="end"/>
      </w:r>
      <w:r w:rsidR="08014458" w:rsidRPr="003D1E07">
        <w:t xml:space="preserve"> přicházejí odlišné predikáty</w:t>
      </w:r>
      <w:r w:rsidR="00490E04" w:rsidRPr="003D1E07">
        <w:t xml:space="preserve"> akcidentů</w:t>
      </w:r>
      <w:r w:rsidR="00216F68">
        <w:t xml:space="preserve">. </w:t>
      </w:r>
      <w:r w:rsidR="00266F21">
        <w:t xml:space="preserve">Ty </w:t>
      </w:r>
      <w:r w:rsidR="08014458" w:rsidRPr="003D1E07">
        <w:t>nemají samostatné bytí</w:t>
      </w:r>
      <w:r w:rsidR="00266F21">
        <w:t xml:space="preserve">, protože jsou určením </w:t>
      </w:r>
      <w:r w:rsidR="00F25D7D">
        <w:t xml:space="preserve">druhé </w:t>
      </w:r>
      <w:r w:rsidR="00266F21">
        <w:t>substance</w:t>
      </w:r>
      <w:r w:rsidR="08014458" w:rsidRPr="003D1E07">
        <w:t xml:space="preserve">. </w:t>
      </w:r>
      <w:r w:rsidR="00D72D91" w:rsidRPr="003D1E07">
        <w:t xml:space="preserve">Avicenna použil pro nové vidění světa </w:t>
      </w:r>
      <w:r w:rsidR="00D50D69">
        <w:t xml:space="preserve">ontoteologický </w:t>
      </w:r>
      <w:r w:rsidR="00D72D91" w:rsidRPr="003D1E07">
        <w:t xml:space="preserve">model </w:t>
      </w:r>
      <w:r w:rsidR="00D72D91" w:rsidRPr="003D1E07">
        <w:rPr>
          <w:i/>
        </w:rPr>
        <w:t>semel–semper</w:t>
      </w:r>
      <w:r w:rsidR="00D72D91" w:rsidRPr="003D1E07">
        <w:t xml:space="preserve">, který navrhli Alfarabi a Ibn Adi výhradně pro definici božského intelektu (kap. 2.2). </w:t>
      </w:r>
      <w:r w:rsidR="009A55B1" w:rsidRPr="003D1E07">
        <w:t>D</w:t>
      </w:r>
      <w:r w:rsidR="006214BC" w:rsidRPr="003D1E07">
        <w:t xml:space="preserve">uše </w:t>
      </w:r>
      <w:r w:rsidR="009A55B1" w:rsidRPr="003D1E07">
        <w:t>osvícená aktivním intelek</w:t>
      </w:r>
      <w:r w:rsidR="00C32D2A" w:rsidRPr="003D1E07">
        <w:t xml:space="preserve">tem vidí čisté </w:t>
      </w:r>
      <w:r w:rsidR="00922284" w:rsidRPr="003D1E07">
        <w:t>formy věcí s naprostou jistotou, a</w:t>
      </w:r>
      <w:r w:rsidR="00053636" w:rsidRPr="003D1E07">
        <w:t xml:space="preserve">ť již jde o určení trojúhelníka, </w:t>
      </w:r>
      <w:r w:rsidR="00922284" w:rsidRPr="003D1E07">
        <w:t>běloby</w:t>
      </w:r>
      <w:r w:rsidR="00053636" w:rsidRPr="003D1E07">
        <w:t>, člověka nebo koně</w:t>
      </w:r>
      <w:r w:rsidR="00922284" w:rsidRPr="003D1E07">
        <w:t>.</w:t>
      </w:r>
      <w:r w:rsidR="08592E09" w:rsidRPr="003D1E07">
        <w:t xml:space="preserve"> A tat</w:t>
      </w:r>
      <w:r w:rsidR="088616FE" w:rsidRPr="003D1E07">
        <w:t xml:space="preserve">o jistota poznávající mysli je opřená o jistotu </w:t>
      </w:r>
      <w:r w:rsidR="006C06D4" w:rsidRPr="003D1E07">
        <w:t>objektivníh</w:t>
      </w:r>
      <w:r w:rsidR="004241BE" w:rsidRPr="003D1E07">
        <w:t xml:space="preserve">o (tedy reálně neexistujícího) </w:t>
      </w:r>
      <w:r w:rsidR="088616FE" w:rsidRPr="003D1E07">
        <w:t>bytí v samotné věci</w:t>
      </w:r>
      <w:r w:rsidR="08592E09" w:rsidRPr="003D1E07">
        <w:t xml:space="preserve">, kterou </w:t>
      </w:r>
      <w:r w:rsidR="00C83467" w:rsidRPr="003D1E07">
        <w:rPr>
          <w:i/>
        </w:rPr>
        <w:t>intellectus adeptus</w:t>
      </w:r>
      <w:r w:rsidR="00332701" w:rsidRPr="003D1E07">
        <w:rPr>
          <w:i/>
        </w:rPr>
        <w:fldChar w:fldCharType="begin"/>
      </w:r>
      <w:r w:rsidR="00332701" w:rsidRPr="003D1E07">
        <w:instrText xml:space="preserve"> XE "</w:instrText>
      </w:r>
      <w:r w:rsidR="00332701" w:rsidRPr="003D1E07">
        <w:rPr>
          <w:i/>
        </w:rPr>
        <w:instrText>intellectus adeptus</w:instrText>
      </w:r>
      <w:r w:rsidR="00FC0C75" w:rsidRPr="003D1E07">
        <w:rPr>
          <w:i/>
        </w:rPr>
        <w:instrText>:</w:instrText>
      </w:r>
      <w:r w:rsidR="00FC0C75" w:rsidRPr="003D1E07">
        <w:instrText>Avicenna</w:instrText>
      </w:r>
      <w:r w:rsidR="00332701" w:rsidRPr="003D1E07">
        <w:instrText xml:space="preserve">" </w:instrText>
      </w:r>
      <w:r w:rsidR="00332701" w:rsidRPr="003D1E07">
        <w:rPr>
          <w:i/>
        </w:rPr>
        <w:fldChar w:fldCharType="end"/>
      </w:r>
      <w:r w:rsidR="00C83467" w:rsidRPr="003D1E07">
        <w:t xml:space="preserve"> </w:t>
      </w:r>
      <w:r w:rsidR="08084CC2" w:rsidRPr="003D1E07">
        <w:t>nazírá skrze akt druhé</w:t>
      </w:r>
      <w:r w:rsidR="08592E09" w:rsidRPr="003D1E07">
        <w:t xml:space="preserve"> intence</w:t>
      </w:r>
      <w:r w:rsidR="00C83467" w:rsidRPr="003D1E07">
        <w:t>. N</w:t>
      </w:r>
      <w:r w:rsidR="08F4509B" w:rsidRPr="003D1E07">
        <w:t>ov</w:t>
      </w:r>
      <w:r w:rsidR="00C83467" w:rsidRPr="003D1E07">
        <w:t xml:space="preserve">ý </w:t>
      </w:r>
      <w:r w:rsidR="08F4509B" w:rsidRPr="003D1E07">
        <w:t xml:space="preserve">typ abstrakce </w:t>
      </w:r>
      <w:r w:rsidR="08EF258F" w:rsidRPr="003D1E07">
        <w:t xml:space="preserve">a intencionality </w:t>
      </w:r>
      <w:r w:rsidR="08F4509B" w:rsidRPr="003D1E07">
        <w:t xml:space="preserve">postuluje i novou </w:t>
      </w:r>
      <w:r w:rsidR="08F4509B" w:rsidRPr="003D1E07">
        <w:rPr>
          <w:rStyle w:val="addmd"/>
        </w:rPr>
        <w:t>definici věci (</w:t>
      </w:r>
      <w:r w:rsidR="08F4509B" w:rsidRPr="003D1E07">
        <w:rPr>
          <w:rStyle w:val="addmd"/>
          <w:i/>
        </w:rPr>
        <w:t>res</w:t>
      </w:r>
      <w:r w:rsidR="086D65C0" w:rsidRPr="003D1E07">
        <w:rPr>
          <w:rStyle w:val="addmd"/>
        </w:rPr>
        <w:t xml:space="preserve">), jejíž bytí je </w:t>
      </w:r>
      <w:r w:rsidR="08F4509B" w:rsidRPr="003D1E07">
        <w:rPr>
          <w:rStyle w:val="addmd"/>
        </w:rPr>
        <w:t xml:space="preserve">vázané na jistotu </w:t>
      </w:r>
      <w:r w:rsidR="086D65C0" w:rsidRPr="003D1E07">
        <w:rPr>
          <w:rStyle w:val="addmd"/>
        </w:rPr>
        <w:t xml:space="preserve">existence </w:t>
      </w:r>
      <w:r w:rsidR="005433F6" w:rsidRPr="003D1E07">
        <w:rPr>
          <w:rStyle w:val="addmd"/>
        </w:rPr>
        <w:t xml:space="preserve">poznávacího subjektu </w:t>
      </w:r>
      <w:r w:rsidR="08F4509B" w:rsidRPr="003D1E07">
        <w:rPr>
          <w:rStyle w:val="addmd"/>
        </w:rPr>
        <w:t>(</w:t>
      </w:r>
      <w:r w:rsidR="08F4509B" w:rsidRPr="003D1E07">
        <w:rPr>
          <w:rStyle w:val="addmd"/>
          <w:i/>
        </w:rPr>
        <w:t>certitudo</w:t>
      </w:r>
      <w:r w:rsidR="00FC0C75" w:rsidRPr="003D1E07">
        <w:fldChar w:fldCharType="begin"/>
      </w:r>
      <w:r w:rsidR="00FC0C75" w:rsidRPr="003D1E07">
        <w:instrText xml:space="preserve"> XE "pravda:</w:instrText>
      </w:r>
      <w:r w:rsidR="00FC0C75" w:rsidRPr="003D1E07">
        <w:rPr>
          <w:i/>
        </w:rPr>
        <w:instrText>certitudo</w:instrText>
      </w:r>
      <w:r w:rsidR="00FC0C75" w:rsidRPr="003D1E07">
        <w:instrText xml:space="preserve">" </w:instrText>
      </w:r>
      <w:r w:rsidR="00FC0C75" w:rsidRPr="003D1E07">
        <w:fldChar w:fldCharType="end"/>
      </w:r>
      <w:r w:rsidR="08F4509B" w:rsidRPr="003D1E07">
        <w:rPr>
          <w:rStyle w:val="addmd"/>
        </w:rPr>
        <w:t>).</w:t>
      </w:r>
      <w:r w:rsidR="086D65C0" w:rsidRPr="003D1E07">
        <w:rPr>
          <w:rStyle w:val="addmd"/>
        </w:rPr>
        <w:t xml:space="preserve"> </w:t>
      </w:r>
      <w:r w:rsidR="007937E4" w:rsidRPr="003D1E07">
        <w:rPr>
          <w:rStyle w:val="addmd"/>
        </w:rPr>
        <w:t xml:space="preserve">Nový výměr věci již není </w:t>
      </w:r>
      <w:r w:rsidR="007937E4" w:rsidRPr="003D1E07">
        <w:rPr>
          <w:rStyle w:val="addmd"/>
        </w:rPr>
        <w:lastRenderedPageBreak/>
        <w:t xml:space="preserve">primárně dán poznáním </w:t>
      </w:r>
      <w:r w:rsidR="003C4E18" w:rsidRPr="003D1E07">
        <w:rPr>
          <w:rStyle w:val="addmd"/>
        </w:rPr>
        <w:t xml:space="preserve">adekvátně reprodukujícím jedinečné </w:t>
      </w:r>
      <w:r w:rsidR="007937E4" w:rsidRPr="003D1E07">
        <w:rPr>
          <w:rStyle w:val="addmd"/>
        </w:rPr>
        <w:t xml:space="preserve">externí </w:t>
      </w:r>
      <w:r w:rsidR="003C4E18" w:rsidRPr="003D1E07">
        <w:rPr>
          <w:rStyle w:val="addmd"/>
        </w:rPr>
        <w:t xml:space="preserve">bytí </w:t>
      </w:r>
      <w:r w:rsidR="00C50204" w:rsidRPr="003D1E07">
        <w:rPr>
          <w:rStyle w:val="addmd"/>
        </w:rPr>
        <w:t>existující věci</w:t>
      </w:r>
      <w:r w:rsidR="00675C31">
        <w:rPr>
          <w:rStyle w:val="addmd"/>
        </w:rPr>
        <w:t xml:space="preserve"> v řádu univerzality</w:t>
      </w:r>
      <w:r w:rsidR="00C50204" w:rsidRPr="003D1E07">
        <w:rPr>
          <w:rStyle w:val="addmd"/>
        </w:rPr>
        <w:t>.</w:t>
      </w:r>
    </w:p>
    <w:p w14:paraId="3BB5E6B9" w14:textId="0D0C5D22" w:rsidR="003D3A25" w:rsidRPr="003D1E07" w:rsidRDefault="003E2418" w:rsidP="00FA2A05">
      <w:pPr>
        <w:ind w:firstLine="397"/>
      </w:pPr>
      <w:r>
        <w:rPr>
          <w:rStyle w:val="addmd"/>
        </w:rPr>
        <w:t>Klasičtí m</w:t>
      </w:r>
      <w:r w:rsidR="007D7BF4" w:rsidRPr="003D1E07">
        <w:rPr>
          <w:rStyle w:val="addmd"/>
        </w:rPr>
        <w:t xml:space="preserve">istři falsafy jako Algazel a Averroes </w:t>
      </w:r>
      <w:r w:rsidR="004F0697" w:rsidRPr="003D1E07">
        <w:rPr>
          <w:rStyle w:val="addmd"/>
        </w:rPr>
        <w:t>byli šokováni paranoiou modern</w:t>
      </w:r>
      <w:r w:rsidR="007D7BF4" w:rsidRPr="003D1E07">
        <w:rPr>
          <w:rStyle w:val="addmd"/>
        </w:rPr>
        <w:t xml:space="preserve">y, která </w:t>
      </w:r>
      <w:r w:rsidR="001D4EA9">
        <w:rPr>
          <w:rStyle w:val="addmd"/>
        </w:rPr>
        <w:t xml:space="preserve">de facto </w:t>
      </w:r>
      <w:r w:rsidR="007D7BF4" w:rsidRPr="003D1E07">
        <w:rPr>
          <w:rStyle w:val="addmd"/>
        </w:rPr>
        <w:t xml:space="preserve">hlásala, že vidí svět jako Bůh. </w:t>
      </w:r>
      <w:r w:rsidR="007531A4" w:rsidRPr="003D1E07">
        <w:rPr>
          <w:rStyle w:val="addmd"/>
        </w:rPr>
        <w:t xml:space="preserve">Vidění světa skrze nový typ iluminace ukázaly obě výše uvedené citace. </w:t>
      </w:r>
      <w:r w:rsidR="00A274A9" w:rsidRPr="003D1E07">
        <w:rPr>
          <w:rStyle w:val="addmd"/>
        </w:rPr>
        <w:t>K</w:t>
      </w:r>
      <w:r w:rsidR="00A3226B" w:rsidRPr="003D1E07">
        <w:rPr>
          <w:rStyle w:val="addmd"/>
        </w:rPr>
        <w:t xml:space="preserve"> poznání </w:t>
      </w:r>
      <w:r w:rsidR="000C5BEE" w:rsidRPr="003D1E07">
        <w:rPr>
          <w:rStyle w:val="addmd"/>
        </w:rPr>
        <w:t xml:space="preserve">reálné </w:t>
      </w:r>
      <w:r w:rsidR="00A274A9" w:rsidRPr="003D1E07">
        <w:rPr>
          <w:rStyle w:val="addmd"/>
        </w:rPr>
        <w:t xml:space="preserve">věci stačí jistota intuitivního poznání vztaženého k nové esencialitě. </w:t>
      </w:r>
      <w:r w:rsidR="086D65C0" w:rsidRPr="003D1E07">
        <w:t xml:space="preserve">Avicenna </w:t>
      </w:r>
      <w:r w:rsidR="08341A1F" w:rsidRPr="003D1E07">
        <w:t>při</w:t>
      </w:r>
      <w:r w:rsidR="08105506" w:rsidRPr="003D1E07">
        <w:t xml:space="preserve">dal </w:t>
      </w:r>
      <w:r w:rsidR="007937E4" w:rsidRPr="003D1E07">
        <w:t xml:space="preserve">k určením substance třetího druhu i </w:t>
      </w:r>
      <w:r w:rsidR="00782B4D">
        <w:t xml:space="preserve">nový </w:t>
      </w:r>
      <w:r w:rsidR="005F3BC2" w:rsidRPr="003D1E07">
        <w:t>subjekt</w:t>
      </w:r>
      <w:r w:rsidR="007553AF">
        <w:t xml:space="preserve"> podle neoplatonismu</w:t>
      </w:r>
      <w:r w:rsidR="000D339C" w:rsidRPr="003D1E07">
        <w:t>. J</w:t>
      </w:r>
      <w:r w:rsidR="086D65C0" w:rsidRPr="003D1E07">
        <w:rPr>
          <w:rStyle w:val="addmd"/>
        </w:rPr>
        <w:t xml:space="preserve">istota subjektu </w:t>
      </w:r>
      <w:r w:rsidR="00115FDB">
        <w:rPr>
          <w:rStyle w:val="addmd"/>
        </w:rPr>
        <w:t xml:space="preserve">se spojila </w:t>
      </w:r>
      <w:r w:rsidR="086D65C0" w:rsidRPr="003D1E07">
        <w:rPr>
          <w:rStyle w:val="addmd"/>
        </w:rPr>
        <w:t xml:space="preserve">s jistotou </w:t>
      </w:r>
      <w:r w:rsidR="00271B38" w:rsidRPr="003D1E07">
        <w:rPr>
          <w:rStyle w:val="addmd"/>
        </w:rPr>
        <w:t xml:space="preserve">moderního </w:t>
      </w:r>
      <w:r w:rsidR="086D65C0" w:rsidRPr="003D1E07">
        <w:rPr>
          <w:rStyle w:val="addmd"/>
        </w:rPr>
        <w:t>bytí jsoucna</w:t>
      </w:r>
      <w:r w:rsidR="000D339C" w:rsidRPr="003D1E07">
        <w:rPr>
          <w:rStyle w:val="addmd"/>
        </w:rPr>
        <w:t>, které je dáno v absolutní simplicitě</w:t>
      </w:r>
      <w:r w:rsidR="086D65C0" w:rsidRPr="003D1E07">
        <w:rPr>
          <w:rStyle w:val="addmd"/>
        </w:rPr>
        <w:t xml:space="preserve">. </w:t>
      </w:r>
      <w:r w:rsidR="00422A04" w:rsidRPr="003D1E07">
        <w:rPr>
          <w:rStyle w:val="addmd"/>
        </w:rPr>
        <w:t>Avicennův m</w:t>
      </w:r>
      <w:r w:rsidR="00BF45D0" w:rsidRPr="003D1E07">
        <w:rPr>
          <w:rStyle w:val="addmd"/>
        </w:rPr>
        <w:t xml:space="preserve">oderní subjekt </w:t>
      </w:r>
      <w:r w:rsidR="00D61592">
        <w:rPr>
          <w:rStyle w:val="addmd"/>
        </w:rPr>
        <w:t xml:space="preserve">vedený akademickými Fúriemi </w:t>
      </w:r>
      <w:r w:rsidR="00BF45D0" w:rsidRPr="003D1E07">
        <w:rPr>
          <w:rStyle w:val="addmd"/>
        </w:rPr>
        <w:t xml:space="preserve">je mytopoetický tvor, který předstírá božský charakter poznání světa. </w:t>
      </w:r>
      <w:r w:rsidR="0063351A" w:rsidRPr="003D1E07">
        <w:rPr>
          <w:rStyle w:val="addmd"/>
        </w:rPr>
        <w:t xml:space="preserve">První formu </w:t>
      </w:r>
      <w:r w:rsidR="0030068F" w:rsidRPr="003D1E07">
        <w:rPr>
          <w:rStyle w:val="addmd"/>
        </w:rPr>
        <w:t>to</w:t>
      </w:r>
      <w:r w:rsidR="0063351A" w:rsidRPr="003D1E07">
        <w:rPr>
          <w:rStyle w:val="addmd"/>
        </w:rPr>
        <w:t xml:space="preserve">hoto </w:t>
      </w:r>
      <w:r w:rsidR="0030068F" w:rsidRPr="003D1E07">
        <w:rPr>
          <w:rStyle w:val="addmd"/>
        </w:rPr>
        <w:t>diakosmu poprvé u</w:t>
      </w:r>
      <w:r w:rsidR="0063351A" w:rsidRPr="003D1E07">
        <w:rPr>
          <w:rStyle w:val="addmd"/>
        </w:rPr>
        <w:t xml:space="preserve">stavil </w:t>
      </w:r>
      <w:r w:rsidR="0030068F" w:rsidRPr="003D1E07">
        <w:rPr>
          <w:rStyle w:val="addmd"/>
        </w:rPr>
        <w:t>Jamblich</w:t>
      </w:r>
      <w:r w:rsidR="0063351A" w:rsidRPr="003D1E07">
        <w:rPr>
          <w:rStyle w:val="addmd"/>
        </w:rPr>
        <w:t>os</w:t>
      </w:r>
      <w:r w:rsidR="00D61592">
        <w:rPr>
          <w:rStyle w:val="addmd"/>
        </w:rPr>
        <w:t xml:space="preserve"> </w:t>
      </w:r>
      <w:r w:rsidR="00D61592" w:rsidRPr="003D1E07">
        <w:rPr>
          <w:rStyle w:val="addmd"/>
        </w:rPr>
        <w:t>(kap. 1.3.3)</w:t>
      </w:r>
      <w:r w:rsidR="00640BE5" w:rsidRPr="003D1E07">
        <w:rPr>
          <w:rStyle w:val="addmd"/>
        </w:rPr>
        <w:fldChar w:fldCharType="begin"/>
      </w:r>
      <w:r w:rsidR="00640BE5" w:rsidRPr="003D1E07">
        <w:instrText xml:space="preserve"> XE "</w:instrText>
      </w:r>
      <w:r w:rsidR="00ED09BD" w:rsidRPr="003D1E07">
        <w:instrText>diakosmos</w:instrText>
      </w:r>
      <w:r w:rsidR="00640BE5" w:rsidRPr="003D1E07">
        <w:instrText xml:space="preserve">" </w:instrText>
      </w:r>
      <w:r w:rsidR="00640BE5" w:rsidRPr="003D1E07">
        <w:rPr>
          <w:rStyle w:val="addmd"/>
        </w:rPr>
        <w:fldChar w:fldCharType="end"/>
      </w:r>
      <w:r w:rsidR="0030068F" w:rsidRPr="003D1E07">
        <w:rPr>
          <w:rStyle w:val="addmd"/>
        </w:rPr>
        <w:t xml:space="preserve"> a </w:t>
      </w:r>
      <w:r w:rsidR="00D61592">
        <w:rPr>
          <w:rStyle w:val="addmd"/>
        </w:rPr>
        <w:t xml:space="preserve">po něm ji dotvořili </w:t>
      </w:r>
      <w:r w:rsidR="0030068F" w:rsidRPr="003D1E07">
        <w:rPr>
          <w:rStyle w:val="addmd"/>
        </w:rPr>
        <w:t>násled</w:t>
      </w:r>
      <w:r w:rsidR="001B6A39" w:rsidRPr="003D1E07">
        <w:rPr>
          <w:rStyle w:val="addmd"/>
        </w:rPr>
        <w:t>ující neoplatonikov</w:t>
      </w:r>
      <w:r w:rsidR="0063351A" w:rsidRPr="003D1E07">
        <w:rPr>
          <w:rStyle w:val="addmd"/>
        </w:rPr>
        <w:t xml:space="preserve">é. V </w:t>
      </w:r>
      <w:r w:rsidR="003B4218" w:rsidRPr="003D1E07">
        <w:rPr>
          <w:rStyle w:val="addmd"/>
        </w:rPr>
        <w:t xml:space="preserve">mytickém </w:t>
      </w:r>
      <w:r w:rsidR="0063351A" w:rsidRPr="003D1E07">
        <w:rPr>
          <w:rStyle w:val="addmd"/>
        </w:rPr>
        <w:t xml:space="preserve">zásvětí ducha </w:t>
      </w:r>
      <w:r w:rsidR="0030068F" w:rsidRPr="003D1E07">
        <w:t xml:space="preserve">dostalo </w:t>
      </w:r>
      <w:r w:rsidR="0030068F" w:rsidRPr="003D1E07">
        <w:rPr>
          <w:rStyle w:val="addmd"/>
        </w:rPr>
        <w:t>t</w:t>
      </w:r>
      <w:r w:rsidR="0030068F" w:rsidRPr="003D1E07">
        <w:t>ěleso první formálně-ontologická určení, která k němu patří kvazi-substanciálně (</w:t>
      </w:r>
      <w:r w:rsidR="0030068F" w:rsidRPr="003D1E07">
        <w:rPr>
          <w:i/>
        </w:rPr>
        <w:t>materia</w:t>
      </w:r>
      <w:r w:rsidR="0030068F" w:rsidRPr="003D1E07">
        <w:t xml:space="preserve">, </w:t>
      </w:r>
      <w:r w:rsidR="0030068F" w:rsidRPr="003D1E07">
        <w:rPr>
          <w:i/>
        </w:rPr>
        <w:t>extensio</w:t>
      </w:r>
      <w:r w:rsidR="0030068F" w:rsidRPr="003D1E07">
        <w:t xml:space="preserve">, </w:t>
      </w:r>
      <w:r w:rsidR="0030068F" w:rsidRPr="003D1E07">
        <w:rPr>
          <w:i/>
        </w:rPr>
        <w:t>magnitudo</w:t>
      </w:r>
      <w:r w:rsidR="00E96ADF" w:rsidRPr="003D1E07">
        <w:rPr>
          <w:i/>
        </w:rPr>
        <w:fldChar w:fldCharType="begin"/>
      </w:r>
      <w:r w:rsidR="00E96ADF" w:rsidRPr="003D1E07">
        <w:instrText xml:space="preserve"> XE "rozsažnost" </w:instrText>
      </w:r>
      <w:r w:rsidR="00E96ADF" w:rsidRPr="003D1E07">
        <w:rPr>
          <w:i/>
        </w:rPr>
        <w:fldChar w:fldCharType="end"/>
      </w:r>
      <w:r w:rsidR="0030068F" w:rsidRPr="003D1E07">
        <w:t xml:space="preserve">). </w:t>
      </w:r>
      <w:r w:rsidR="00073670" w:rsidRPr="003D1E07">
        <w:t xml:space="preserve">Avicenna je </w:t>
      </w:r>
      <w:r w:rsidR="000171D1" w:rsidRPr="003D1E07">
        <w:t xml:space="preserve">první </w:t>
      </w:r>
      <w:r w:rsidR="00073670" w:rsidRPr="003D1E07">
        <w:t>objektivista</w:t>
      </w:r>
      <w:r w:rsidR="00D9329B" w:rsidRPr="003D1E07">
        <w:t xml:space="preserve"> Západu</w:t>
      </w:r>
      <w:r w:rsidR="00073670" w:rsidRPr="003D1E07">
        <w:t xml:space="preserve">, který tento </w:t>
      </w:r>
      <w:r w:rsidR="000171D1" w:rsidRPr="003D1E07">
        <w:t>mezi</w:t>
      </w:r>
      <w:r w:rsidR="000171D1" w:rsidRPr="003D1E07">
        <w:noBreakHyphen/>
      </w:r>
      <w:r w:rsidR="00073670" w:rsidRPr="003D1E07">
        <w:t xml:space="preserve">svět uviděl </w:t>
      </w:r>
      <w:r w:rsidR="084105A9" w:rsidRPr="003D1E07">
        <w:t>přímo skrze skok osvícené mysli</w:t>
      </w:r>
      <w:r w:rsidR="00073670" w:rsidRPr="003D1E07">
        <w:t xml:space="preserve">. </w:t>
      </w:r>
      <w:r w:rsidR="006A5786" w:rsidRPr="003D1E07">
        <w:t xml:space="preserve">Prorok </w:t>
      </w:r>
      <w:r w:rsidR="0070186C">
        <w:t xml:space="preserve">Mohamed </w:t>
      </w:r>
      <w:r w:rsidR="006A5786" w:rsidRPr="003D1E07">
        <w:t xml:space="preserve">skočil na koni do nebe, moderna skočila s Avicennovou </w:t>
      </w:r>
      <w:r w:rsidR="006A5786" w:rsidRPr="003D1E07">
        <w:rPr>
          <w:i/>
        </w:rPr>
        <w:t>equinitas</w:t>
      </w:r>
      <w:r w:rsidR="006A5786" w:rsidRPr="003D1E07">
        <w:t xml:space="preserve"> do antropocénu. </w:t>
      </w:r>
      <w:r w:rsidR="003D3A25" w:rsidRPr="003D1E07">
        <w:t xml:space="preserve">Přenosem </w:t>
      </w:r>
      <w:r w:rsidR="08C221B1" w:rsidRPr="003D1E07">
        <w:t xml:space="preserve">univočně dané </w:t>
      </w:r>
      <w:r w:rsidR="003D3A25" w:rsidRPr="003D1E07">
        <w:t xml:space="preserve">jistoty z osvíceného subjektu na poznávaný objekt </w:t>
      </w:r>
      <w:r w:rsidR="08C221B1" w:rsidRPr="003D1E07">
        <w:t xml:space="preserve">a opačně </w:t>
      </w:r>
      <w:r w:rsidR="000C59CE">
        <w:t>vzniklo</w:t>
      </w:r>
      <w:r w:rsidR="003D3A25" w:rsidRPr="003D1E07">
        <w:t xml:space="preserve"> nové pojetí pravdy jako </w:t>
      </w:r>
      <w:r w:rsidR="08310DED" w:rsidRPr="003D1E07">
        <w:t>jistoty osvíceného subjektu.</w:t>
      </w:r>
      <w:r w:rsidR="0016012E">
        <w:t xml:space="preserve"> Impozice </w:t>
      </w:r>
      <w:r w:rsidR="0016012E" w:rsidRPr="0016012E">
        <w:t xml:space="preserve">pravdy jako </w:t>
      </w:r>
      <w:r w:rsidR="0016012E" w:rsidRPr="006A0507">
        <w:rPr>
          <w:i/>
        </w:rPr>
        <w:t>certitudo</w:t>
      </w:r>
      <w:r w:rsidR="003D68FB">
        <w:t xml:space="preserve"> probíhá „</w:t>
      </w:r>
      <w:r w:rsidR="0016012E" w:rsidRPr="0016012E">
        <w:t>proba</w:t>
      </w:r>
      <w:r w:rsidR="003D68FB">
        <w:t>listicky“</w:t>
      </w:r>
      <w:r w:rsidR="0016012E" w:rsidRPr="0016012E">
        <w:t xml:space="preserve"> (kap. 1.3.2), tj. v opačném směru, od subjektu k věci.</w:t>
      </w:r>
    </w:p>
    <w:p w14:paraId="4C611282" w14:textId="32E5B979" w:rsidR="003D3A25" w:rsidRPr="003D1E07" w:rsidRDefault="003D3A25" w:rsidP="003D3A25">
      <w:pPr>
        <w:pStyle w:val="Citace"/>
        <w:rPr>
          <w:noProof/>
          <w:szCs w:val="18"/>
          <w:lang w:val="cs-CZ"/>
        </w:rPr>
      </w:pPr>
      <w:r w:rsidRPr="003D1E07">
        <w:rPr>
          <w:noProof/>
          <w:szCs w:val="18"/>
          <w:lang w:val="cs-CZ"/>
        </w:rPr>
        <w:t>„Každá věc má akt subsistentní jistoty (</w:t>
      </w:r>
      <w:r w:rsidRPr="003D1E07">
        <w:rPr>
          <w:i/>
          <w:noProof/>
          <w:szCs w:val="18"/>
          <w:lang w:val="cs-CZ"/>
        </w:rPr>
        <w:t>res habet certitudinem</w:t>
      </w:r>
      <w:r w:rsidRPr="003D1E07">
        <w:rPr>
          <w:noProof/>
          <w:szCs w:val="18"/>
          <w:lang w:val="cs-CZ"/>
        </w:rPr>
        <w:t xml:space="preserve">), skrze kterou je tím, čím je </w:t>
      </w:r>
      <w:r w:rsidR="00A86C8D">
        <w:rPr>
          <w:noProof/>
          <w:szCs w:val="18"/>
          <w:lang w:val="cs-CZ"/>
        </w:rPr>
        <w:t xml:space="preserve">o sobě </w:t>
      </w:r>
      <w:r w:rsidRPr="003D1E07">
        <w:rPr>
          <w:noProof/>
          <w:szCs w:val="18"/>
          <w:lang w:val="cs-CZ"/>
        </w:rPr>
        <w:t>(</w:t>
      </w:r>
      <w:r w:rsidRPr="003D1E07">
        <w:rPr>
          <w:i/>
          <w:noProof/>
          <w:szCs w:val="18"/>
          <w:lang w:val="cs-CZ"/>
        </w:rPr>
        <w:t>qua est id quod est</w:t>
      </w:r>
      <w:r w:rsidRPr="003D1E07">
        <w:rPr>
          <w:noProof/>
          <w:szCs w:val="18"/>
          <w:lang w:val="cs-CZ"/>
        </w:rPr>
        <w:t>). Trojúhelník má jistotu, že je trojúhelníkem a běloba má jistotu, že je bělobou. A toto lze nazývat vlastní bytí věci (</w:t>
      </w:r>
      <w:r w:rsidRPr="003D1E07">
        <w:rPr>
          <w:i/>
          <w:noProof/>
          <w:szCs w:val="18"/>
          <w:lang w:val="cs-CZ"/>
        </w:rPr>
        <w:t xml:space="preserve">esse </w:t>
      </w:r>
      <w:r w:rsidR="00636BD4" w:rsidRPr="009F43E7">
        <w:rPr>
          <w:i/>
          <w:noProof/>
          <w:szCs w:val="18"/>
          <w:lang w:val="cs-CZ"/>
        </w:rPr>
        <w:t>proprium</w:t>
      </w:r>
      <w:r w:rsidRPr="003D1E07">
        <w:rPr>
          <w:noProof/>
          <w:szCs w:val="18"/>
          <w:lang w:val="cs-CZ"/>
        </w:rPr>
        <w:t xml:space="preserve">), </w:t>
      </w:r>
      <w:r w:rsidR="08201139" w:rsidRPr="003D1E07">
        <w:rPr>
          <w:noProof/>
          <w:szCs w:val="18"/>
          <w:lang w:val="cs-CZ"/>
        </w:rPr>
        <w:t>ale musíme pod tímto termínem rozumět pouze</w:t>
      </w:r>
      <w:r w:rsidRPr="003D1E07">
        <w:rPr>
          <w:noProof/>
          <w:szCs w:val="18"/>
          <w:lang w:val="cs-CZ"/>
        </w:rPr>
        <w:t xml:space="preserve"> intenci afirmující toto bytí (</w:t>
      </w:r>
      <w:r w:rsidRPr="003D1E07">
        <w:rPr>
          <w:i/>
          <w:noProof/>
          <w:szCs w:val="18"/>
          <w:lang w:val="cs-CZ"/>
        </w:rPr>
        <w:t>nisi intentionem esse affirmativi</w:t>
      </w:r>
      <w:r w:rsidRPr="003D1E07">
        <w:rPr>
          <w:noProof/>
          <w:szCs w:val="18"/>
          <w:lang w:val="cs-CZ"/>
        </w:rPr>
        <w:t>).“ </w:t>
      </w:r>
      <w:r w:rsidRPr="003D1E07">
        <w:rPr>
          <w:rStyle w:val="Znakapoznpodarou"/>
          <w:noProof/>
          <w:szCs w:val="18"/>
          <w:lang w:val="cs-CZ"/>
        </w:rPr>
        <w:footnoteReference w:id="151"/>
      </w:r>
    </w:p>
    <w:p w14:paraId="430FF41F" w14:textId="50B79B5C" w:rsidR="00930A97" w:rsidRPr="003D1E07" w:rsidRDefault="001D50CB" w:rsidP="084D3EA8">
      <w:pPr>
        <w:rPr>
          <w:rStyle w:val="addmd"/>
        </w:rPr>
      </w:pPr>
      <w:r w:rsidRPr="003D1E07">
        <w:t xml:space="preserve">Pravda jako </w:t>
      </w:r>
      <w:r w:rsidRPr="003D1E07">
        <w:rPr>
          <w:i/>
        </w:rPr>
        <w:t>certitudo</w:t>
      </w:r>
      <w:r w:rsidRPr="003D1E07">
        <w:t xml:space="preserve"> zásadně změnila aristotelskou povahu intencionality. Subjekt </w:t>
      </w:r>
      <w:r w:rsidR="089D3DF8" w:rsidRPr="003D1E07">
        <w:t xml:space="preserve">přímo nazírá </w:t>
      </w:r>
      <w:r w:rsidR="00C26DF3" w:rsidRPr="003D1E07">
        <w:rPr>
          <w:i/>
        </w:rPr>
        <w:t xml:space="preserve">esse </w:t>
      </w:r>
      <w:r w:rsidR="00636BD4" w:rsidRPr="003D1E07">
        <w:rPr>
          <w:i/>
        </w:rPr>
        <w:t>proprium</w:t>
      </w:r>
      <w:r w:rsidR="00C26DF3" w:rsidRPr="003D1E07">
        <w:t xml:space="preserve"> </w:t>
      </w:r>
      <w:r w:rsidR="00C51452" w:rsidRPr="003D1E07">
        <w:t xml:space="preserve">zkoumané </w:t>
      </w:r>
      <w:r w:rsidR="00C26DF3" w:rsidRPr="003D1E07">
        <w:t>věci v modu již citované</w:t>
      </w:r>
      <w:r w:rsidR="00C91CEE" w:rsidRPr="003D1E07">
        <w:t>ho</w:t>
      </w:r>
      <w:r w:rsidR="00C26DF3" w:rsidRPr="003D1E07">
        <w:t xml:space="preserve"> Al-</w:t>
      </w:r>
      <w:r w:rsidR="008E02F5" w:rsidRPr="003D1E07">
        <w:t>Fárábí</w:t>
      </w:r>
      <w:r w:rsidR="089D3DF8" w:rsidRPr="003D1E07">
        <w:t xml:space="preserve">ho </w:t>
      </w:r>
      <w:r w:rsidR="00C91CEE" w:rsidRPr="003D1E07">
        <w:t xml:space="preserve">pojetí </w:t>
      </w:r>
      <w:r w:rsidR="00C26DF3" w:rsidRPr="003D1E07">
        <w:rPr>
          <w:i/>
        </w:rPr>
        <w:t>esse aliud</w:t>
      </w:r>
      <w:r w:rsidR="00C26DF3" w:rsidRPr="003D1E07">
        <w:rPr>
          <w:i/>
        </w:rPr>
        <w:fldChar w:fldCharType="begin"/>
      </w:r>
      <w:r w:rsidR="00C26DF3" w:rsidRPr="003D1E07">
        <w:instrText xml:space="preserve"> XE "</w:instrText>
      </w:r>
      <w:r w:rsidR="00C26DF3" w:rsidRPr="003D1E07">
        <w:rPr>
          <w:i/>
        </w:rPr>
        <w:instrText>esse aliud</w:instrText>
      </w:r>
      <w:r w:rsidR="00C26DF3" w:rsidRPr="003D1E07">
        <w:instrText xml:space="preserve">" </w:instrText>
      </w:r>
      <w:r w:rsidR="00C26DF3" w:rsidRPr="003D1E07">
        <w:rPr>
          <w:i/>
        </w:rPr>
        <w:fldChar w:fldCharType="end"/>
      </w:r>
      <w:r w:rsidR="00C26DF3" w:rsidRPr="003D1E07">
        <w:t xml:space="preserve"> (kap. 2.1.2). </w:t>
      </w:r>
      <w:r w:rsidR="089D3DF8" w:rsidRPr="003D1E07">
        <w:t xml:space="preserve">Iluminát </w:t>
      </w:r>
      <w:r w:rsidR="00AE0AF2" w:rsidRPr="003D1E07">
        <w:t xml:space="preserve">vnímá </w:t>
      </w:r>
      <w:r w:rsidR="089D3DF8" w:rsidRPr="003D1E07">
        <w:t xml:space="preserve">minimální porci jsoucnosti v rámci individua, která hraničí s nebytím. Proto má </w:t>
      </w:r>
      <w:r w:rsidR="089D3DF8" w:rsidRPr="003D1E07">
        <w:rPr>
          <w:i/>
        </w:rPr>
        <w:t xml:space="preserve">esse </w:t>
      </w:r>
      <w:r w:rsidR="00636BD4" w:rsidRPr="00126908">
        <w:rPr>
          <w:i/>
        </w:rPr>
        <w:t>proprium</w:t>
      </w:r>
      <w:r w:rsidR="089D3DF8" w:rsidRPr="003D1E07">
        <w:t xml:space="preserve"> vlastní a první jistotu bytí jsoucna jako něčeho individuálně definovatelného. </w:t>
      </w:r>
      <w:r w:rsidR="003D3A25" w:rsidRPr="003D1E07">
        <w:t>Každá věc má sama v sobě jistotu objektivního bytí sebe sama (</w:t>
      </w:r>
      <w:r w:rsidR="003D3A25" w:rsidRPr="003D1E07">
        <w:rPr>
          <w:i/>
          <w:szCs w:val="18"/>
        </w:rPr>
        <w:t>res habet certitudinem</w:t>
      </w:r>
      <w:r w:rsidR="003D3A25" w:rsidRPr="003D1E07">
        <w:t xml:space="preserve">). Toto nové určení věci v modu </w:t>
      </w:r>
      <w:r w:rsidR="003D3A25" w:rsidRPr="003D1E07">
        <w:rPr>
          <w:i/>
        </w:rPr>
        <w:t>per prius</w:t>
      </w:r>
      <w:r w:rsidR="003D3A25" w:rsidRPr="003D1E07">
        <w:t xml:space="preserve"> je dáno jako aktuální </w:t>
      </w:r>
      <w:r w:rsidR="003D3A25" w:rsidRPr="003D1E07">
        <w:rPr>
          <w:i/>
        </w:rPr>
        <w:t>modus essendi</w:t>
      </w:r>
      <w:r w:rsidR="082A00C2" w:rsidRPr="003D1E07">
        <w:rPr>
          <w:i/>
        </w:rPr>
        <w:fldChar w:fldCharType="begin"/>
      </w:r>
      <w:r w:rsidR="082A00C2" w:rsidRPr="003D1E07">
        <w:instrText xml:space="preserve"> XE "</w:instrText>
      </w:r>
      <w:r w:rsidR="082A00C2" w:rsidRPr="003D1E07">
        <w:rPr>
          <w:i/>
        </w:rPr>
        <w:instrText>modus essendi</w:instrText>
      </w:r>
      <w:r w:rsidR="082A00C2" w:rsidRPr="003D1E07">
        <w:instrText xml:space="preserve">" </w:instrText>
      </w:r>
      <w:r w:rsidR="082A00C2" w:rsidRPr="003D1E07">
        <w:rPr>
          <w:i/>
        </w:rPr>
        <w:fldChar w:fldCharType="end"/>
      </w:r>
      <w:r w:rsidR="003D3A25" w:rsidRPr="003D1E07">
        <w:t xml:space="preserve"> (</w:t>
      </w:r>
      <w:r w:rsidR="003D3A25" w:rsidRPr="003D1E07">
        <w:rPr>
          <w:i/>
          <w:szCs w:val="18"/>
        </w:rPr>
        <w:t>qua est id quod est</w:t>
      </w:r>
      <w:r w:rsidR="003D3A25" w:rsidRPr="003D1E07">
        <w:t xml:space="preserve">), který určuje bytí věci v aktu jistoty její </w:t>
      </w:r>
      <w:r w:rsidR="001A5566">
        <w:t>„</w:t>
      </w:r>
      <w:r w:rsidR="003D3A25" w:rsidRPr="003D1E07">
        <w:t>aktuální</w:t>
      </w:r>
      <w:r w:rsidR="001A5566">
        <w:t>“</w:t>
      </w:r>
      <w:r w:rsidR="003D3A25" w:rsidRPr="003D1E07">
        <w:t xml:space="preserve"> existence </w:t>
      </w:r>
      <w:r w:rsidR="001A5566">
        <w:t xml:space="preserve">ve světě </w:t>
      </w:r>
      <w:r w:rsidR="003D3A25" w:rsidRPr="003D1E07">
        <w:lastRenderedPageBreak/>
        <w:t>(</w:t>
      </w:r>
      <w:r w:rsidR="003D3A25" w:rsidRPr="003D1E07">
        <w:rPr>
          <w:i/>
        </w:rPr>
        <w:t>qua est</w:t>
      </w:r>
      <w:r w:rsidR="003D3A25" w:rsidRPr="003D1E07">
        <w:t xml:space="preserve">). Avicenna </w:t>
      </w:r>
      <w:r w:rsidR="00C26DF3" w:rsidRPr="003D1E07">
        <w:t>vytvořil význam věci daný</w:t>
      </w:r>
      <w:r w:rsidR="003D3A25" w:rsidRPr="003D1E07">
        <w:t xml:space="preserve"> </w:t>
      </w:r>
      <w:r w:rsidR="00C26DF3" w:rsidRPr="003D1E07">
        <w:t xml:space="preserve">v modu </w:t>
      </w:r>
      <w:r w:rsidR="003D3A25" w:rsidRPr="003D1E07">
        <w:rPr>
          <w:i/>
        </w:rPr>
        <w:t>per prius</w:t>
      </w:r>
      <w:r w:rsidR="00C26DF3" w:rsidRPr="003D1E07">
        <w:t xml:space="preserve"> </w:t>
      </w:r>
      <w:r w:rsidR="003D3A25" w:rsidRPr="003D1E07">
        <w:t>před kategoriální predikací</w:t>
      </w:r>
      <w:r w:rsidR="00A439CE">
        <w:t>. Tomuto diakosmu</w:t>
      </w:r>
      <w:r w:rsidR="007C56A2">
        <w:t xml:space="preserve"> amfibolických predikátů jako hypostázovaných species </w:t>
      </w:r>
      <w:r w:rsidR="00B83E58">
        <w:t xml:space="preserve">a substancí třetího druhu </w:t>
      </w:r>
      <w:r w:rsidR="008A3D92">
        <w:t xml:space="preserve">pak dal </w:t>
      </w:r>
      <w:r w:rsidR="08843F7A" w:rsidRPr="003D1E07">
        <w:t xml:space="preserve">status </w:t>
      </w:r>
      <w:r w:rsidR="00A439CE">
        <w:t>„</w:t>
      </w:r>
      <w:r w:rsidR="08843F7A" w:rsidRPr="003D1E07">
        <w:t>první substance</w:t>
      </w:r>
      <w:r w:rsidR="00A439CE">
        <w:t xml:space="preserve">“. Toto objektivní individuum je produkováno </w:t>
      </w:r>
      <w:r w:rsidR="08843F7A" w:rsidRPr="003D1E07">
        <w:t xml:space="preserve">aktem </w:t>
      </w:r>
      <w:r w:rsidR="008A3D92">
        <w:t xml:space="preserve">subjektivně vytvořeného </w:t>
      </w:r>
      <w:r w:rsidR="08843F7A" w:rsidRPr="003D1E07">
        <w:t xml:space="preserve">významu, </w:t>
      </w:r>
      <w:r w:rsidR="008A3D92">
        <w:t xml:space="preserve">a </w:t>
      </w:r>
      <w:r w:rsidR="08843F7A" w:rsidRPr="003D1E07">
        <w:t>nikoliv reálným bytím</w:t>
      </w:r>
      <w:r w:rsidR="008A3D92">
        <w:t xml:space="preserve"> věcí ve světě</w:t>
      </w:r>
      <w:r w:rsidR="00A439CE">
        <w:t xml:space="preserve"> (</w:t>
      </w:r>
      <w:r w:rsidR="00A439CE" w:rsidRPr="00106C62">
        <w:rPr>
          <w:i/>
        </w:rPr>
        <w:t>Ge-Stell</w:t>
      </w:r>
      <w:r w:rsidR="00A439CE">
        <w:fldChar w:fldCharType="begin"/>
      </w:r>
      <w:r w:rsidR="00A439CE">
        <w:instrText xml:space="preserve"> XE "</w:instrText>
      </w:r>
      <w:r w:rsidR="00A439CE" w:rsidRPr="00106C62">
        <w:rPr>
          <w:i/>
        </w:rPr>
        <w:instrText>Ge-Stell</w:instrText>
      </w:r>
      <w:r w:rsidR="00A439CE">
        <w:instrText xml:space="preserve">" </w:instrText>
      </w:r>
      <w:r w:rsidR="00A439CE">
        <w:fldChar w:fldCharType="end"/>
      </w:r>
      <w:r w:rsidR="00A439CE">
        <w:t>, ch. 1.2)</w:t>
      </w:r>
      <w:r w:rsidR="003D3A25" w:rsidRPr="003D1E07">
        <w:t xml:space="preserve">. </w:t>
      </w:r>
      <w:r w:rsidR="00A51EDF" w:rsidRPr="003D1E07">
        <w:t>Afi</w:t>
      </w:r>
      <w:r w:rsidR="009242E4">
        <w:t xml:space="preserve">rmace nové jsoucnosti ve věci není poznání </w:t>
      </w:r>
      <w:r w:rsidR="009A3A22">
        <w:t xml:space="preserve">reálné </w:t>
      </w:r>
      <w:r w:rsidR="00A51EDF" w:rsidRPr="003D1E07">
        <w:t xml:space="preserve">věci </w:t>
      </w:r>
      <w:r w:rsidR="009242E4">
        <w:t xml:space="preserve">skrze </w:t>
      </w:r>
      <w:r w:rsidR="005A521E">
        <w:t xml:space="preserve">abstrahovaný </w:t>
      </w:r>
      <w:r w:rsidR="009242E4">
        <w:t xml:space="preserve">pojem </w:t>
      </w:r>
      <w:r w:rsidR="00552295">
        <w:t xml:space="preserve">univerzálního </w:t>
      </w:r>
      <w:r w:rsidR="00A51EDF" w:rsidRPr="003D1E07">
        <w:t>jsoucna</w:t>
      </w:r>
      <w:r w:rsidR="009242E4">
        <w:t>. Nové vidění světa s</w:t>
      </w:r>
      <w:r w:rsidR="00A51EDF" w:rsidRPr="003D1E07">
        <w:t xml:space="preserve">e odehrává v modu objektivní jistoty, která je zobecněna jako transcendentální charakter jsoucna. </w:t>
      </w:r>
      <w:r w:rsidR="004356B0" w:rsidRPr="003D1E07">
        <w:t xml:space="preserve">Jistota subjektu byla hypostázována a </w:t>
      </w:r>
      <w:r w:rsidR="00684A57" w:rsidRPr="003D1E07">
        <w:t xml:space="preserve">byla </w:t>
      </w:r>
      <w:r w:rsidR="004356B0" w:rsidRPr="003D1E07">
        <w:t>postavena na úroveň amfibolické predikace. Z</w:t>
      </w:r>
      <w:r w:rsidR="00D33414" w:rsidRPr="003D1E07">
        <w:t>nalci aristotelismu ve falsafě kategoricky odmítli Avicennovu argumentaci. Řád existence (</w:t>
      </w:r>
      <w:r w:rsidR="00D33414" w:rsidRPr="003D1E07">
        <w:rPr>
          <w:i/>
        </w:rPr>
        <w:t>modus essendi</w:t>
      </w:r>
      <w:r w:rsidR="006D1494">
        <w:rPr>
          <w:i/>
        </w:rPr>
        <w:fldChar w:fldCharType="begin"/>
      </w:r>
      <w:r w:rsidR="006D1494">
        <w:instrText xml:space="preserve"> XE "</w:instrText>
      </w:r>
      <w:r w:rsidR="006D1494" w:rsidRPr="00000EF0">
        <w:rPr>
          <w:i/>
        </w:rPr>
        <w:instrText>modus essendi</w:instrText>
      </w:r>
      <w:r w:rsidR="006D1494">
        <w:instrText xml:space="preserve">" </w:instrText>
      </w:r>
      <w:r w:rsidR="006D1494">
        <w:rPr>
          <w:i/>
        </w:rPr>
        <w:fldChar w:fldCharType="end"/>
      </w:r>
      <w:r w:rsidR="00D33414" w:rsidRPr="003D1E07">
        <w:t>) byl nahrazen jistotou vytvářenou subjektem (</w:t>
      </w:r>
      <w:r w:rsidR="00D33414" w:rsidRPr="003D1E07">
        <w:rPr>
          <w:i/>
        </w:rPr>
        <w:t>modus cognoscendi</w:t>
      </w:r>
      <w:r w:rsidR="006D1494">
        <w:rPr>
          <w:i/>
        </w:rPr>
        <w:fldChar w:fldCharType="begin"/>
      </w:r>
      <w:r w:rsidR="006D1494">
        <w:instrText xml:space="preserve"> XE "</w:instrText>
      </w:r>
      <w:r w:rsidR="006D1494" w:rsidRPr="006772CB">
        <w:rPr>
          <w:i/>
        </w:rPr>
        <w:instrText>modus cognoscendi</w:instrText>
      </w:r>
      <w:r w:rsidR="006D1494">
        <w:instrText xml:space="preserve">" </w:instrText>
      </w:r>
      <w:r w:rsidR="006D1494">
        <w:rPr>
          <w:i/>
        </w:rPr>
        <w:fldChar w:fldCharType="end"/>
      </w:r>
      <w:r w:rsidR="00D33414" w:rsidRPr="003D1E07">
        <w:t xml:space="preserve">). </w:t>
      </w:r>
      <w:r w:rsidR="006D1494">
        <w:t xml:space="preserve">Přitom úplně vypadla kategoriální impozice způsobu, jak </w:t>
      </w:r>
      <w:r w:rsidR="00874C76">
        <w:t xml:space="preserve">skutečně </w:t>
      </w:r>
      <w:r w:rsidR="006D1494">
        <w:t>poznáváme (</w:t>
      </w:r>
      <w:r w:rsidR="006D1494" w:rsidRPr="006D1494">
        <w:rPr>
          <w:i/>
        </w:rPr>
        <w:t>modus intelligendi</w:t>
      </w:r>
      <w:r w:rsidR="006D1494">
        <w:rPr>
          <w:i/>
        </w:rPr>
        <w:fldChar w:fldCharType="begin"/>
      </w:r>
      <w:r w:rsidR="006D1494">
        <w:instrText xml:space="preserve"> XE "</w:instrText>
      </w:r>
      <w:r w:rsidR="006D1494" w:rsidRPr="0090680E">
        <w:rPr>
          <w:i/>
        </w:rPr>
        <w:instrText>modus intelligendi</w:instrText>
      </w:r>
      <w:r w:rsidR="006D1494">
        <w:instrText xml:space="preserve">" </w:instrText>
      </w:r>
      <w:r w:rsidR="006D1494">
        <w:rPr>
          <w:i/>
        </w:rPr>
        <w:fldChar w:fldCharType="end"/>
      </w:r>
      <w:r w:rsidR="006D1494">
        <w:t xml:space="preserve">). </w:t>
      </w:r>
      <w:r w:rsidR="00D33414" w:rsidRPr="003D1E07">
        <w:t>V další kapitole se budeme zabýv</w:t>
      </w:r>
      <w:r w:rsidR="005A521E">
        <w:t>at Averroesovou kritikou, která a</w:t>
      </w:r>
      <w:r w:rsidR="00EC7CFE" w:rsidRPr="003D1E07">
        <w:t xml:space="preserve">nulovala </w:t>
      </w:r>
      <w:r w:rsidR="00D33414" w:rsidRPr="003D1E07">
        <w:t>Avicennovu metafyziku</w:t>
      </w:r>
      <w:r w:rsidR="00CD3D33">
        <w:t xml:space="preserve"> jako kapitální omyl myšlení</w:t>
      </w:r>
      <w:r w:rsidR="00D33414" w:rsidRPr="003D1E07">
        <w:t xml:space="preserve">. </w:t>
      </w:r>
      <w:r w:rsidR="003D3A25" w:rsidRPr="003D1E07">
        <w:rPr>
          <w:rStyle w:val="addmd"/>
        </w:rPr>
        <w:t xml:space="preserve">Afirmace bytí věci </w:t>
      </w:r>
      <w:r w:rsidR="00D4105A">
        <w:rPr>
          <w:rStyle w:val="addmd"/>
        </w:rPr>
        <w:t>vytvořeného skrze objektivní jistotu</w:t>
      </w:r>
      <w:r w:rsidR="003D3A25" w:rsidRPr="003D1E07">
        <w:rPr>
          <w:rStyle w:val="addmd"/>
        </w:rPr>
        <w:t xml:space="preserve"> existence</w:t>
      </w:r>
      <w:r w:rsidR="007F0CD9">
        <w:rPr>
          <w:rStyle w:val="addmd"/>
        </w:rPr>
        <w:t xml:space="preserve"> měla zásadní význam. Nová metafyzická a plně mytopoetická forma </w:t>
      </w:r>
      <w:r w:rsidR="007F0CD9" w:rsidRPr="007F0CD9">
        <w:rPr>
          <w:rStyle w:val="addmd"/>
          <w:i/>
        </w:rPr>
        <w:t>modus ponens</w:t>
      </w:r>
      <w:r w:rsidR="00625E29">
        <w:rPr>
          <w:rStyle w:val="addmd"/>
          <w:i/>
        </w:rPr>
        <w:fldChar w:fldCharType="begin"/>
      </w:r>
      <w:r w:rsidR="00625E29">
        <w:instrText xml:space="preserve"> XE "</w:instrText>
      </w:r>
      <w:r w:rsidR="00625E29" w:rsidRPr="00C15295">
        <w:rPr>
          <w:rStyle w:val="addmd"/>
          <w:i/>
        </w:rPr>
        <w:instrText>modus ponens</w:instrText>
      </w:r>
      <w:r w:rsidR="00625E29">
        <w:instrText xml:space="preserve">" </w:instrText>
      </w:r>
      <w:r w:rsidR="00625E29">
        <w:rPr>
          <w:rStyle w:val="addmd"/>
          <w:i/>
        </w:rPr>
        <w:fldChar w:fldCharType="end"/>
      </w:r>
      <w:r w:rsidR="007F0CD9">
        <w:rPr>
          <w:rStyle w:val="addmd"/>
        </w:rPr>
        <w:t xml:space="preserve"> </w:t>
      </w:r>
      <w:r w:rsidR="003D3A25" w:rsidRPr="003D1E07">
        <w:rPr>
          <w:rStyle w:val="addmd"/>
        </w:rPr>
        <w:t xml:space="preserve">založila novou formu univocity nutnou pro vědecké poznání reálně neexistující </w:t>
      </w:r>
      <w:r w:rsidR="00DE574C">
        <w:rPr>
          <w:rStyle w:val="addmd"/>
        </w:rPr>
        <w:t>„první substance“</w:t>
      </w:r>
      <w:r w:rsidR="003D3A25" w:rsidRPr="003D1E07">
        <w:rPr>
          <w:rStyle w:val="addmd"/>
        </w:rPr>
        <w:t>.</w:t>
      </w:r>
      <w:r w:rsidR="003D3A25" w:rsidRPr="003D1E07">
        <w:t xml:space="preserve"> Tuto </w:t>
      </w:r>
      <w:r w:rsidR="002D0343" w:rsidRPr="003D1E07">
        <w:t xml:space="preserve">avicennovskou </w:t>
      </w:r>
      <w:r w:rsidR="003D3A25" w:rsidRPr="003D1E07">
        <w:t xml:space="preserve">adekvaci </w:t>
      </w:r>
      <w:r w:rsidR="000D0AF9" w:rsidRPr="003D1E07">
        <w:t xml:space="preserve">mysli a </w:t>
      </w:r>
      <w:r w:rsidR="008F1B2A">
        <w:t xml:space="preserve">objektivní věci </w:t>
      </w:r>
      <w:r w:rsidR="003D3A25" w:rsidRPr="003D1E07">
        <w:t xml:space="preserve">tematizuje první latinský modernista Rufus z Cornwallu v pojmu </w:t>
      </w:r>
      <w:r w:rsidR="08250D1D" w:rsidRPr="003D1E07">
        <w:rPr>
          <w:i/>
        </w:rPr>
        <w:t>scibile</w:t>
      </w:r>
      <w:r w:rsidR="08250D1D" w:rsidRPr="003D1E07">
        <w:t xml:space="preserve"> </w:t>
      </w:r>
      <w:r w:rsidR="003D3A25" w:rsidRPr="003D1E07">
        <w:t>(</w:t>
      </w:r>
      <w:r w:rsidR="08F5528A" w:rsidRPr="003D1E07">
        <w:t xml:space="preserve">OBJ II, </w:t>
      </w:r>
      <w:r w:rsidR="08F5528A" w:rsidRPr="003D1E07">
        <w:rPr>
          <w:rStyle w:val="FontStyle129"/>
          <w:rFonts w:ascii="Calibri" w:hAnsi="Calibri"/>
          <w:sz w:val="24"/>
        </w:rPr>
        <w:t>kap. 3</w:t>
      </w:r>
      <w:r w:rsidR="003D3A25" w:rsidRPr="003D1E07">
        <w:rPr>
          <w:rStyle w:val="FontStyle129"/>
          <w:rFonts w:ascii="Calibri" w:hAnsi="Calibri"/>
          <w:sz w:val="24"/>
        </w:rPr>
        <w:t>.3.2</w:t>
      </w:r>
      <w:r w:rsidR="003D3A25" w:rsidRPr="003D1E07">
        <w:t xml:space="preserve">). </w:t>
      </w:r>
      <w:r w:rsidR="00630DE3" w:rsidRPr="003D1E07">
        <w:t xml:space="preserve">Avicennovo </w:t>
      </w:r>
      <w:r w:rsidR="003D3A25" w:rsidRPr="003D1E07">
        <w:t>pojetí intencionality nazírající objektivně dané esence převezme Henry z Gentu</w:t>
      </w:r>
      <w:r w:rsidR="00630DE3" w:rsidRPr="003D1E07">
        <w:t>,</w:t>
      </w:r>
      <w:r w:rsidR="003D3A25" w:rsidRPr="003D1E07">
        <w:t xml:space="preserve"> po něm </w:t>
      </w:r>
      <w:r w:rsidR="00630DE3" w:rsidRPr="003D1E07">
        <w:t xml:space="preserve">Scotus a </w:t>
      </w:r>
      <w:r w:rsidR="003D3A25" w:rsidRPr="003D1E07">
        <w:t>Husserl</w:t>
      </w:r>
      <w:r w:rsidR="003D3A25" w:rsidRPr="003D1E07">
        <w:rPr>
          <w:i/>
        </w:rPr>
        <w:fldChar w:fldCharType="begin"/>
      </w:r>
      <w:r w:rsidR="003D3A25" w:rsidRPr="003D1E07">
        <w:instrText xml:space="preserve"> XE "intencionalita:Husserl" </w:instrText>
      </w:r>
      <w:r w:rsidR="003D3A25" w:rsidRPr="003D1E07">
        <w:rPr>
          <w:i/>
        </w:rPr>
        <w:fldChar w:fldCharType="end"/>
      </w:r>
      <w:r w:rsidR="003D3A25" w:rsidRPr="003D1E07">
        <w:t xml:space="preserve">. </w:t>
      </w:r>
      <w:r w:rsidR="009528CF" w:rsidRPr="003D1E07">
        <w:rPr>
          <w:rStyle w:val="addmd"/>
        </w:rPr>
        <w:t xml:space="preserve">Nový typ predikace </w:t>
      </w:r>
      <w:r w:rsidR="006E1AF9" w:rsidRPr="003D1E07">
        <w:rPr>
          <w:rStyle w:val="addmd"/>
        </w:rPr>
        <w:t xml:space="preserve">sleduje dráhu </w:t>
      </w:r>
      <w:r w:rsidR="009528CF" w:rsidRPr="003D1E07">
        <w:rPr>
          <w:rStyle w:val="addmd"/>
        </w:rPr>
        <w:t xml:space="preserve">náhledu </w:t>
      </w:r>
      <w:r w:rsidR="00C239BE" w:rsidRPr="003D1E07">
        <w:rPr>
          <w:rStyle w:val="addmd"/>
        </w:rPr>
        <w:t xml:space="preserve">mystického </w:t>
      </w:r>
      <w:r w:rsidR="006E1AF9" w:rsidRPr="003D1E07">
        <w:rPr>
          <w:rStyle w:val="addmd"/>
        </w:rPr>
        <w:t>ilumináta</w:t>
      </w:r>
      <w:r w:rsidR="00F75E94" w:rsidRPr="003D1E07">
        <w:rPr>
          <w:rStyle w:val="addmd"/>
        </w:rPr>
        <w:t xml:space="preserve"> obdarovaného poznáním shůry skrze </w:t>
      </w:r>
      <w:r w:rsidR="001B6A39" w:rsidRPr="003D1E07">
        <w:rPr>
          <w:rStyle w:val="addmd"/>
        </w:rPr>
        <w:t xml:space="preserve">osvícený </w:t>
      </w:r>
      <w:r w:rsidR="00F75E94" w:rsidRPr="003D1E07">
        <w:rPr>
          <w:rStyle w:val="addmd"/>
          <w:i/>
        </w:rPr>
        <w:t>intellectus adeptus</w:t>
      </w:r>
      <w:r w:rsidR="006E79B6" w:rsidRPr="003D1E07">
        <w:rPr>
          <w:i/>
        </w:rPr>
        <w:fldChar w:fldCharType="begin"/>
      </w:r>
      <w:r w:rsidR="006E79B6" w:rsidRPr="003D1E07">
        <w:instrText xml:space="preserve"> XE "zjevování:iluminace" </w:instrText>
      </w:r>
      <w:r w:rsidR="006E79B6" w:rsidRPr="003D1E07">
        <w:rPr>
          <w:i/>
        </w:rPr>
        <w:fldChar w:fldCharType="end"/>
      </w:r>
      <w:r w:rsidR="006E1AF9" w:rsidRPr="003D1E07">
        <w:rPr>
          <w:rStyle w:val="addmd"/>
        </w:rPr>
        <w:t xml:space="preserve">. </w:t>
      </w:r>
      <w:r w:rsidR="08A410D8" w:rsidRPr="003D1E07">
        <w:rPr>
          <w:rStyle w:val="addmd"/>
        </w:rPr>
        <w:t>Osvícená mysl pozo</w:t>
      </w:r>
      <w:r w:rsidR="08BC290B" w:rsidRPr="003D1E07">
        <w:rPr>
          <w:rStyle w:val="addmd"/>
        </w:rPr>
        <w:t>ruje individ</w:t>
      </w:r>
      <w:r w:rsidR="08A410D8" w:rsidRPr="003D1E07">
        <w:rPr>
          <w:rStyle w:val="addmd"/>
        </w:rPr>
        <w:t>uum s</w:t>
      </w:r>
      <w:r w:rsidR="08BC290B" w:rsidRPr="003D1E07">
        <w:rPr>
          <w:rStyle w:val="addmd"/>
        </w:rPr>
        <w:t xml:space="preserve"> jeho minimální „exsistencí“ danou </w:t>
      </w:r>
      <w:r w:rsidR="08A410D8" w:rsidRPr="003D1E07">
        <w:rPr>
          <w:rStyle w:val="addmd"/>
        </w:rPr>
        <w:t xml:space="preserve">jeho první </w:t>
      </w:r>
      <w:r w:rsidR="08BC290B" w:rsidRPr="003D1E07">
        <w:rPr>
          <w:rStyle w:val="addmd"/>
        </w:rPr>
        <w:t>manifestací směrem „od“ (</w:t>
      </w:r>
      <w:r w:rsidR="08BC290B" w:rsidRPr="003D1E07">
        <w:rPr>
          <w:rStyle w:val="addmd"/>
          <w:i/>
        </w:rPr>
        <w:t>ex</w:t>
      </w:r>
      <w:r w:rsidR="08BC290B" w:rsidRPr="003D1E07">
        <w:rPr>
          <w:rStyle w:val="addmd"/>
        </w:rPr>
        <w:t xml:space="preserve">) čistého nebytí. </w:t>
      </w:r>
      <w:r w:rsidR="00DA171E">
        <w:rPr>
          <w:rStyle w:val="addmd"/>
        </w:rPr>
        <w:t xml:space="preserve">To je způsob božského náhledu na svět, který připomíná </w:t>
      </w:r>
      <w:r w:rsidR="00DA171E">
        <w:rPr>
          <w:i/>
        </w:rPr>
        <w:t>creatio ex nihilo</w:t>
      </w:r>
      <w:r w:rsidR="00DA171E">
        <w:rPr>
          <w:i/>
        </w:rPr>
        <w:fldChar w:fldCharType="begin"/>
      </w:r>
      <w:r w:rsidR="00DA171E">
        <w:instrText xml:space="preserve"> XE "</w:instrText>
      </w:r>
      <w:r w:rsidR="00DA171E">
        <w:rPr>
          <w:i/>
        </w:rPr>
        <w:instrText>creatio ex nihilo</w:instrText>
      </w:r>
      <w:r w:rsidR="00DA171E">
        <w:instrText xml:space="preserve">" </w:instrText>
      </w:r>
      <w:r w:rsidR="00DA171E">
        <w:rPr>
          <w:i/>
        </w:rPr>
        <w:fldChar w:fldCharType="end"/>
      </w:r>
      <w:r w:rsidR="00DA171E">
        <w:t xml:space="preserve">. </w:t>
      </w:r>
      <w:r w:rsidR="08746451" w:rsidRPr="003D1E07">
        <w:t xml:space="preserve">Avicenna ukazuje nové </w:t>
      </w:r>
      <w:r w:rsidR="08746451" w:rsidRPr="003D1E07">
        <w:rPr>
          <w:i/>
        </w:rPr>
        <w:t>Lichtung</w:t>
      </w:r>
      <w:r w:rsidR="08746451" w:rsidRPr="003D1E07">
        <w:t xml:space="preserve"> metafyzické odkrytosti jsoucna. Subjekt nazírá nikoliv bytí jsoucího, ale jistou přítomnost toho, co bytuje v samotném základu jsoucího jako jsoucího</w:t>
      </w:r>
      <w:r w:rsidR="00AE32EC">
        <w:t xml:space="preserve"> (</w:t>
      </w:r>
      <w:r w:rsidR="00AE32EC" w:rsidRPr="00AE32EC">
        <w:rPr>
          <w:i/>
        </w:rPr>
        <w:t>ens inquantum ens</w:t>
      </w:r>
      <w:r w:rsidR="00AE32EC">
        <w:rPr>
          <w:i/>
        </w:rPr>
        <w:fldChar w:fldCharType="begin"/>
      </w:r>
      <w:r w:rsidR="00AE32EC">
        <w:instrText xml:space="preserve"> XE "</w:instrText>
      </w:r>
      <w:r w:rsidR="00AE32EC" w:rsidRPr="00D7657E">
        <w:rPr>
          <w:i/>
        </w:rPr>
        <w:instrText>ens inquantum ens</w:instrText>
      </w:r>
      <w:r w:rsidR="00AE32EC">
        <w:instrText xml:space="preserve">" </w:instrText>
      </w:r>
      <w:r w:rsidR="00AE32EC">
        <w:rPr>
          <w:i/>
        </w:rPr>
        <w:fldChar w:fldCharType="end"/>
      </w:r>
      <w:r w:rsidR="00AE32EC">
        <w:t>)</w:t>
      </w:r>
      <w:r w:rsidR="08746451" w:rsidRPr="003D1E07">
        <w:t xml:space="preserve">. </w:t>
      </w:r>
      <w:r w:rsidR="08A410D8" w:rsidRPr="003D1E07">
        <w:rPr>
          <w:rStyle w:val="addmd"/>
        </w:rPr>
        <w:t xml:space="preserve">Nová forma </w:t>
      </w:r>
      <w:r w:rsidR="08A410D8" w:rsidRPr="003D1E07">
        <w:rPr>
          <w:rStyle w:val="addmd"/>
          <w:i/>
        </w:rPr>
        <w:t>Lichtung</w:t>
      </w:r>
      <w:r w:rsidR="08A410D8" w:rsidRPr="003D1E07">
        <w:rPr>
          <w:rStyle w:val="addmd"/>
        </w:rPr>
        <w:t xml:space="preserve"> zjevuje pravdu a nepravdu objektivního ne/jsoucna a </w:t>
      </w:r>
      <w:r w:rsidR="00F75E94" w:rsidRPr="003D1E07">
        <w:rPr>
          <w:rStyle w:val="addmd"/>
        </w:rPr>
        <w:t>z</w:t>
      </w:r>
      <w:r w:rsidR="009528CF" w:rsidRPr="003D1E07">
        <w:rPr>
          <w:rStyle w:val="addmd"/>
        </w:rPr>
        <w:t xml:space="preserve">akládá </w:t>
      </w:r>
      <w:r w:rsidR="08722156" w:rsidRPr="003D1E07">
        <w:rPr>
          <w:rStyle w:val="addmd"/>
        </w:rPr>
        <w:t xml:space="preserve">v modu </w:t>
      </w:r>
      <w:r w:rsidR="00AE32EC">
        <w:rPr>
          <w:rStyle w:val="addmd"/>
        </w:rPr>
        <w:t xml:space="preserve">metafyzické </w:t>
      </w:r>
      <w:r w:rsidR="08722156" w:rsidRPr="003D1E07">
        <w:rPr>
          <w:rStyle w:val="addmd"/>
          <w:i/>
        </w:rPr>
        <w:t>a/létheia</w:t>
      </w:r>
      <w:r w:rsidR="08F83290" w:rsidRPr="003D1E07">
        <w:rPr>
          <w:rStyle w:val="addmd"/>
          <w:i/>
        </w:rPr>
        <w:fldChar w:fldCharType="begin"/>
      </w:r>
      <w:r w:rsidR="08F83290" w:rsidRPr="003D1E07">
        <w:instrText xml:space="preserve"> XE "</w:instrText>
      </w:r>
      <w:r w:rsidR="08F83290" w:rsidRPr="003D1E07">
        <w:rPr>
          <w:rStyle w:val="addmd"/>
          <w:i/>
        </w:rPr>
        <w:instrText>a/létheia</w:instrText>
      </w:r>
      <w:r w:rsidR="08F83290" w:rsidRPr="003D1E07">
        <w:instrText xml:space="preserve">" </w:instrText>
      </w:r>
      <w:r w:rsidR="08F83290" w:rsidRPr="003D1E07">
        <w:rPr>
          <w:rStyle w:val="addmd"/>
          <w:i/>
        </w:rPr>
        <w:fldChar w:fldCharType="end"/>
      </w:r>
      <w:r w:rsidR="08722156" w:rsidRPr="003D1E07">
        <w:rPr>
          <w:rStyle w:val="addmd"/>
        </w:rPr>
        <w:t xml:space="preserve"> objektivity první </w:t>
      </w:r>
      <w:r w:rsidR="086D65C0" w:rsidRPr="003D1E07">
        <w:t>pojetí pravdy</w:t>
      </w:r>
      <w:r w:rsidR="00FF1EB8" w:rsidRPr="003D1E07">
        <w:t xml:space="preserve"> jako</w:t>
      </w:r>
      <w:r w:rsidR="00C239BE" w:rsidRPr="003D1E07">
        <w:t xml:space="preserve"> </w:t>
      </w:r>
      <w:r w:rsidR="00B5433E">
        <w:t xml:space="preserve">moderního </w:t>
      </w:r>
      <w:r w:rsidR="00C239BE" w:rsidRPr="003D1E07">
        <w:rPr>
          <w:i/>
        </w:rPr>
        <w:t>certitudo</w:t>
      </w:r>
      <w:r w:rsidR="08722156" w:rsidRPr="003D1E07">
        <w:t xml:space="preserve">. Z této jistoty nejsoucna nazírané jako jistě dané objektivní jsoucno </w:t>
      </w:r>
      <w:r w:rsidR="086D65C0" w:rsidRPr="003D1E07">
        <w:t xml:space="preserve">vznikne </w:t>
      </w:r>
      <w:r w:rsidR="086D65C0" w:rsidRPr="003D1E07">
        <w:rPr>
          <w:i/>
        </w:rPr>
        <w:t>rectitudo</w:t>
      </w:r>
      <w:r w:rsidR="086D65C0" w:rsidRPr="003D1E07">
        <w:t xml:space="preserve"> </w:t>
      </w:r>
      <w:r w:rsidR="00B71432" w:rsidRPr="000C29E1">
        <w:fldChar w:fldCharType="begin"/>
      </w:r>
      <w:r w:rsidR="00B71432" w:rsidRPr="000C29E1">
        <w:instrText xml:space="preserve"> XE "pravda:rectitudo" </w:instrText>
      </w:r>
      <w:r w:rsidR="00B71432" w:rsidRPr="000C29E1">
        <w:fldChar w:fldCharType="end"/>
      </w:r>
      <w:r w:rsidR="000C29E1" w:rsidRPr="000C29E1">
        <w:t>moderní</w:t>
      </w:r>
      <w:r w:rsidR="000C29E1">
        <w:rPr>
          <w:i/>
        </w:rPr>
        <w:t xml:space="preserve"> </w:t>
      </w:r>
      <w:r w:rsidR="00BA0219" w:rsidRPr="003D1E07">
        <w:t xml:space="preserve">scholastiky a </w:t>
      </w:r>
      <w:r w:rsidR="001B6A39" w:rsidRPr="003D1E07">
        <w:t>následná</w:t>
      </w:r>
      <w:r w:rsidR="088D31F0" w:rsidRPr="003D1E07">
        <w:t xml:space="preserve"> </w:t>
      </w:r>
      <w:r w:rsidR="001B6A39" w:rsidRPr="003D1E07">
        <w:t>karteziánská evidence</w:t>
      </w:r>
      <w:r w:rsidR="00433872" w:rsidRPr="003D1E07">
        <w:fldChar w:fldCharType="begin"/>
      </w:r>
      <w:r w:rsidR="00433872" w:rsidRPr="003D1E07">
        <w:instrText xml:space="preserve"> XE "evidence:Avicenna" </w:instrText>
      </w:r>
      <w:r w:rsidR="00433872" w:rsidRPr="003D1E07">
        <w:fldChar w:fldCharType="end"/>
      </w:r>
      <w:r w:rsidR="086D65C0" w:rsidRPr="003D1E07">
        <w:t>.</w:t>
      </w:r>
      <w:r w:rsidR="00EC0DEC" w:rsidRPr="003D1E07">
        <w:t xml:space="preserve"> </w:t>
      </w:r>
      <w:r w:rsidR="08A76FBC" w:rsidRPr="003D1E07">
        <w:rPr>
          <w:rStyle w:val="addmd"/>
        </w:rPr>
        <w:t xml:space="preserve">Nejprve je dáno poznání jsoucna jako </w:t>
      </w:r>
      <w:r w:rsidR="08A76FBC" w:rsidRPr="003D1E07">
        <w:rPr>
          <w:rStyle w:val="addmd"/>
          <w:i/>
        </w:rPr>
        <w:t>res</w:t>
      </w:r>
      <w:r w:rsidR="08A76FBC" w:rsidRPr="003D1E07">
        <w:rPr>
          <w:rStyle w:val="addmd"/>
        </w:rPr>
        <w:t xml:space="preserve"> v modu plného </w:t>
      </w:r>
      <w:r w:rsidR="08A76FBC" w:rsidRPr="003D1E07">
        <w:rPr>
          <w:rStyle w:val="addmd"/>
          <w:i/>
        </w:rPr>
        <w:t>certitudo</w:t>
      </w:r>
      <w:r w:rsidR="08A76FBC" w:rsidRPr="003D1E07">
        <w:rPr>
          <w:rStyle w:val="addmd"/>
        </w:rPr>
        <w:t xml:space="preserve"> danéh</w:t>
      </w:r>
      <w:r w:rsidR="08746451" w:rsidRPr="003D1E07">
        <w:rPr>
          <w:rStyle w:val="addmd"/>
        </w:rPr>
        <w:t xml:space="preserve">o náhledem do čisté formy jako </w:t>
      </w:r>
      <w:r w:rsidR="08A76FBC" w:rsidRPr="003D1E07">
        <w:rPr>
          <w:rStyle w:val="addmd"/>
          <w:i/>
        </w:rPr>
        <w:t>tantum esse</w:t>
      </w:r>
      <w:r w:rsidR="08746451" w:rsidRPr="003D1E07">
        <w:rPr>
          <w:rStyle w:val="addmd"/>
        </w:rPr>
        <w:t xml:space="preserve"> či </w:t>
      </w:r>
      <w:r w:rsidR="08A76FBC" w:rsidRPr="003D1E07">
        <w:rPr>
          <w:rStyle w:val="addmd"/>
          <w:i/>
        </w:rPr>
        <w:t xml:space="preserve">esse </w:t>
      </w:r>
      <w:r w:rsidR="00636BD4" w:rsidRPr="003D1E07">
        <w:rPr>
          <w:rStyle w:val="addmd"/>
        </w:rPr>
        <w:t>proprium</w:t>
      </w:r>
      <w:r w:rsidR="00C1147A" w:rsidRPr="003D1E07">
        <w:rPr>
          <w:rStyle w:val="addmd"/>
        </w:rPr>
        <w:t xml:space="preserve">. </w:t>
      </w:r>
      <w:r w:rsidR="005128EA" w:rsidRPr="003D1E07">
        <w:rPr>
          <w:rStyle w:val="addmd"/>
        </w:rPr>
        <w:t xml:space="preserve">Spojení </w:t>
      </w:r>
      <w:r w:rsidR="003C65EA" w:rsidRPr="003D1E07">
        <w:t xml:space="preserve">obou </w:t>
      </w:r>
      <w:r w:rsidR="00ED0B86" w:rsidRPr="003D1E07">
        <w:t>termín</w:t>
      </w:r>
      <w:r w:rsidR="003C65EA" w:rsidRPr="003D1E07">
        <w:t>ů</w:t>
      </w:r>
      <w:r w:rsidR="00ED0B86" w:rsidRPr="003D1E07">
        <w:t xml:space="preserve"> </w:t>
      </w:r>
      <w:r w:rsidR="003D406B" w:rsidRPr="003D1E07">
        <w:t xml:space="preserve">najdeme v </w:t>
      </w:r>
      <w:r w:rsidR="00ED0B86" w:rsidRPr="003D1E07">
        <w:t xml:space="preserve">první </w:t>
      </w:r>
      <w:r w:rsidR="002A2E60" w:rsidRPr="003D1E07">
        <w:t xml:space="preserve">metafyzické </w:t>
      </w:r>
      <w:r w:rsidR="00ED0B86" w:rsidRPr="003D1E07">
        <w:t xml:space="preserve">dedukci </w:t>
      </w:r>
      <w:r w:rsidR="003D406B" w:rsidRPr="003D1E07">
        <w:t xml:space="preserve">objektivity </w:t>
      </w:r>
      <w:r w:rsidR="00ED0B86" w:rsidRPr="003D1E07">
        <w:t xml:space="preserve">u Scota </w:t>
      </w:r>
      <w:r w:rsidR="003D406B" w:rsidRPr="003D1E07">
        <w:t>(</w:t>
      </w:r>
      <w:r w:rsidR="003C65EA" w:rsidRPr="003D1E07">
        <w:rPr>
          <w:i/>
        </w:rPr>
        <w:t>conceptus simpliciter simplex</w:t>
      </w:r>
      <w:r w:rsidR="001057F4" w:rsidRPr="003D1E07">
        <w:rPr>
          <w:i/>
        </w:rPr>
        <w:fldChar w:fldCharType="begin"/>
      </w:r>
      <w:r w:rsidR="001057F4" w:rsidRPr="003D1E07">
        <w:instrText xml:space="preserve"> XE "</w:instrText>
      </w:r>
      <w:r w:rsidR="001057F4" w:rsidRPr="003D1E07">
        <w:rPr>
          <w:i/>
        </w:rPr>
        <w:instrText>conceptus simpliciter simplex</w:instrText>
      </w:r>
      <w:r w:rsidR="001057F4" w:rsidRPr="003D1E07">
        <w:instrText xml:space="preserve">" </w:instrText>
      </w:r>
      <w:r w:rsidR="001057F4" w:rsidRPr="003D1E07">
        <w:rPr>
          <w:i/>
        </w:rPr>
        <w:fldChar w:fldCharType="end"/>
      </w:r>
      <w:r w:rsidR="08F5528A" w:rsidRPr="003D1E07">
        <w:t>; OBJ III, kap. 5</w:t>
      </w:r>
      <w:r w:rsidR="003D406B" w:rsidRPr="003D1E07">
        <w:t xml:space="preserve">.3.2). </w:t>
      </w:r>
      <w:r w:rsidR="00380EFA" w:rsidRPr="003D1E07">
        <w:rPr>
          <w:rStyle w:val="addmd"/>
        </w:rPr>
        <w:t xml:space="preserve">Objektivní jistota bytí věci </w:t>
      </w:r>
      <w:r w:rsidR="00D502B7" w:rsidRPr="003D1E07">
        <w:rPr>
          <w:rStyle w:val="addmd"/>
        </w:rPr>
        <w:t xml:space="preserve">není </w:t>
      </w:r>
      <w:r w:rsidR="00380EFA" w:rsidRPr="003D1E07">
        <w:rPr>
          <w:rStyle w:val="addmd"/>
        </w:rPr>
        <w:t>napojen</w:t>
      </w:r>
      <w:r w:rsidR="00D502B7" w:rsidRPr="003D1E07">
        <w:rPr>
          <w:rStyle w:val="addmd"/>
        </w:rPr>
        <w:t>a na existenci reálné první substance</w:t>
      </w:r>
      <w:r w:rsidR="00A70FA4" w:rsidRPr="003D1E07">
        <w:rPr>
          <w:rStyle w:val="addmd"/>
        </w:rPr>
        <w:fldChar w:fldCharType="begin"/>
      </w:r>
      <w:r w:rsidR="00A70FA4" w:rsidRPr="003D1E07">
        <w:instrText xml:space="preserve"> XE "substance</w:instrText>
      </w:r>
      <w:r w:rsidR="00AF0359" w:rsidRPr="003D1E07">
        <w:instrText>:hylemorfická</w:instrText>
      </w:r>
      <w:r w:rsidR="00A70FA4" w:rsidRPr="003D1E07">
        <w:instrText xml:space="preserve">" </w:instrText>
      </w:r>
      <w:r w:rsidR="00A70FA4" w:rsidRPr="003D1E07">
        <w:rPr>
          <w:rStyle w:val="addmd"/>
        </w:rPr>
        <w:fldChar w:fldCharType="end"/>
      </w:r>
      <w:r w:rsidR="005128EA" w:rsidRPr="003D1E07">
        <w:rPr>
          <w:rStyle w:val="addmd"/>
        </w:rPr>
        <w:t xml:space="preserve">. První </w:t>
      </w:r>
      <w:r w:rsidR="005128EA" w:rsidRPr="003D1E07">
        <w:rPr>
          <w:rStyle w:val="addmd"/>
        </w:rPr>
        <w:lastRenderedPageBreak/>
        <w:t xml:space="preserve">substance existuje </w:t>
      </w:r>
      <w:r w:rsidR="00D502B7" w:rsidRPr="003D1E07">
        <w:rPr>
          <w:rStyle w:val="addmd"/>
          <w:i/>
        </w:rPr>
        <w:t>actualiter</w:t>
      </w:r>
      <w:r w:rsidR="005128EA" w:rsidRPr="003D1E07">
        <w:rPr>
          <w:rStyle w:val="addmd"/>
        </w:rPr>
        <w:t xml:space="preserve">, </w:t>
      </w:r>
      <w:r w:rsidR="00D502B7" w:rsidRPr="003D1E07">
        <w:rPr>
          <w:rStyle w:val="addmd"/>
          <w:i/>
        </w:rPr>
        <w:t>simpliciter</w:t>
      </w:r>
      <w:r w:rsidR="089E0A9B" w:rsidRPr="003D1E07">
        <w:rPr>
          <w:rStyle w:val="addmd"/>
        </w:rPr>
        <w:t xml:space="preserve">, </w:t>
      </w:r>
      <w:r w:rsidR="00D502B7" w:rsidRPr="003D1E07">
        <w:rPr>
          <w:rStyle w:val="addmd"/>
          <w:i/>
        </w:rPr>
        <w:t>per se</w:t>
      </w:r>
      <w:r w:rsidR="089E0A9B" w:rsidRPr="003D1E07">
        <w:rPr>
          <w:rStyle w:val="addmd"/>
        </w:rPr>
        <w:t>. Proto n</w:t>
      </w:r>
      <w:r w:rsidR="00D502B7" w:rsidRPr="003D1E07">
        <w:rPr>
          <w:rStyle w:val="addmd"/>
        </w:rPr>
        <w:t xml:space="preserve">epotřebuje žádné dodatečné ujištění </w:t>
      </w:r>
      <w:r w:rsidR="08A25653" w:rsidRPr="003D1E07">
        <w:rPr>
          <w:rStyle w:val="addmd"/>
        </w:rPr>
        <w:t>ze strany</w:t>
      </w:r>
      <w:r w:rsidR="089E0A9B" w:rsidRPr="003D1E07">
        <w:rPr>
          <w:rStyle w:val="addmd"/>
        </w:rPr>
        <w:t xml:space="preserve"> poznávajícího subjektu. Neexistující objektivní jsoucno </w:t>
      </w:r>
      <w:r w:rsidR="081343A0" w:rsidRPr="003D1E07">
        <w:rPr>
          <w:rStyle w:val="addmd"/>
        </w:rPr>
        <w:t>naopak to</w:t>
      </w:r>
      <w:r w:rsidR="089E0A9B" w:rsidRPr="003D1E07">
        <w:rPr>
          <w:rStyle w:val="addmd"/>
        </w:rPr>
        <w:t xml:space="preserve">to ujištění </w:t>
      </w:r>
      <w:r w:rsidR="081343A0" w:rsidRPr="003D1E07">
        <w:rPr>
          <w:rStyle w:val="addmd"/>
        </w:rPr>
        <w:t xml:space="preserve">zásadně </w:t>
      </w:r>
      <w:r w:rsidR="00476FCA">
        <w:rPr>
          <w:rStyle w:val="addmd"/>
        </w:rPr>
        <w:t xml:space="preserve">potřebuje, protože stojí na </w:t>
      </w:r>
      <w:r w:rsidR="089E0A9B" w:rsidRPr="003D1E07">
        <w:rPr>
          <w:rStyle w:val="addmd"/>
        </w:rPr>
        <w:t>subjektivní</w:t>
      </w:r>
      <w:r w:rsidR="00476FCA">
        <w:rPr>
          <w:rStyle w:val="addmd"/>
        </w:rPr>
        <w:t>m</w:t>
      </w:r>
      <w:r w:rsidR="089E0A9B" w:rsidRPr="003D1E07">
        <w:rPr>
          <w:rStyle w:val="addmd"/>
        </w:rPr>
        <w:t xml:space="preserve"> modu pravdy-</w:t>
      </w:r>
      <w:r w:rsidR="089E0A9B" w:rsidRPr="003D1E07">
        <w:rPr>
          <w:rStyle w:val="addmd"/>
          <w:i/>
        </w:rPr>
        <w:t>certitudo</w:t>
      </w:r>
      <w:r w:rsidR="089E0A9B" w:rsidRPr="003D1E07">
        <w:rPr>
          <w:rStyle w:val="addmd"/>
        </w:rPr>
        <w:t xml:space="preserve">. </w:t>
      </w:r>
      <w:r w:rsidR="00975AAC" w:rsidRPr="003D1E07">
        <w:rPr>
          <w:rStyle w:val="addmd"/>
        </w:rPr>
        <w:t xml:space="preserve">Aristotelská metafyzika reality nemá </w:t>
      </w:r>
      <w:r w:rsidR="00A95F40">
        <w:rPr>
          <w:rStyle w:val="addmd"/>
        </w:rPr>
        <w:t xml:space="preserve">podle modernistů plnou </w:t>
      </w:r>
      <w:r w:rsidR="00975AAC" w:rsidRPr="003D1E07">
        <w:rPr>
          <w:rStyle w:val="addmd"/>
        </w:rPr>
        <w:t>pr</w:t>
      </w:r>
      <w:r w:rsidR="001610A3" w:rsidRPr="003D1E07">
        <w:rPr>
          <w:rStyle w:val="addmd"/>
        </w:rPr>
        <w:t>avdu</w:t>
      </w:r>
      <w:r w:rsidR="00A95F40">
        <w:rPr>
          <w:rStyle w:val="addmd"/>
        </w:rPr>
        <w:t xml:space="preserve">, která je opřena o </w:t>
      </w:r>
      <w:r w:rsidR="001610A3" w:rsidRPr="003D1E07">
        <w:rPr>
          <w:rStyle w:val="addmd"/>
        </w:rPr>
        <w:t>jistý a nepochybný subjektivní náhled</w:t>
      </w:r>
      <w:r w:rsidR="00975AAC" w:rsidRPr="003D1E07">
        <w:rPr>
          <w:rStyle w:val="addmd"/>
        </w:rPr>
        <w:t xml:space="preserve">. </w:t>
      </w:r>
      <w:r w:rsidR="00C373EC">
        <w:rPr>
          <w:rStyle w:val="addmd"/>
        </w:rPr>
        <w:t>To je fakt, protože a</w:t>
      </w:r>
      <w:r w:rsidR="001610A3" w:rsidRPr="003D1E07">
        <w:rPr>
          <w:rStyle w:val="addmd"/>
        </w:rPr>
        <w:t xml:space="preserve">ktualita poznání jde </w:t>
      </w:r>
      <w:r w:rsidR="00A95F40">
        <w:rPr>
          <w:rStyle w:val="addmd"/>
        </w:rPr>
        <w:t xml:space="preserve">v kritickém myšlení </w:t>
      </w:r>
      <w:r w:rsidR="001610A3" w:rsidRPr="003D1E07">
        <w:rPr>
          <w:rStyle w:val="addmd"/>
        </w:rPr>
        <w:t>z</w:t>
      </w:r>
      <w:r w:rsidR="00C373EC">
        <w:rPr>
          <w:rStyle w:val="addmd"/>
        </w:rPr>
        <w:t xml:space="preserve"> </w:t>
      </w:r>
      <w:r w:rsidR="001610A3" w:rsidRPr="003D1E07">
        <w:rPr>
          <w:rStyle w:val="addmd"/>
        </w:rPr>
        <w:t>reálného světa</w:t>
      </w:r>
      <w:r w:rsidR="000A6C8A" w:rsidRPr="003D1E07">
        <w:rPr>
          <w:rStyle w:val="addmd"/>
        </w:rPr>
        <w:t xml:space="preserve"> první</w:t>
      </w:r>
      <w:r w:rsidR="007907DC" w:rsidRPr="003D1E07">
        <w:rPr>
          <w:rStyle w:val="addmd"/>
        </w:rPr>
        <w:t>ch</w:t>
      </w:r>
      <w:r w:rsidR="000A6C8A" w:rsidRPr="003D1E07">
        <w:rPr>
          <w:rStyle w:val="addmd"/>
        </w:rPr>
        <w:t xml:space="preserve"> substancí</w:t>
      </w:r>
      <w:r w:rsidR="001610A3" w:rsidRPr="003D1E07">
        <w:rPr>
          <w:rStyle w:val="addmd"/>
        </w:rPr>
        <w:t xml:space="preserve">. </w:t>
      </w:r>
      <w:r w:rsidR="00507BCF" w:rsidRPr="00507BCF">
        <w:rPr>
          <w:rStyle w:val="addmd"/>
        </w:rPr>
        <w:t xml:space="preserve">Aristotelská metafyzika založená </w:t>
      </w:r>
      <w:r w:rsidR="00507BCF">
        <w:rPr>
          <w:rStyle w:val="addmd"/>
        </w:rPr>
        <w:t xml:space="preserve">poznání reálného </w:t>
      </w:r>
      <w:r w:rsidR="00507BCF" w:rsidRPr="00507BCF">
        <w:rPr>
          <w:rStyle w:val="addmd"/>
        </w:rPr>
        <w:t>s</w:t>
      </w:r>
      <w:r w:rsidR="00507BCF">
        <w:rPr>
          <w:rStyle w:val="addmd"/>
        </w:rPr>
        <w:t>věta</w:t>
      </w:r>
      <w:r w:rsidR="00507BCF" w:rsidRPr="00507BCF">
        <w:rPr>
          <w:rStyle w:val="addmd"/>
        </w:rPr>
        <w:t xml:space="preserve"> odmítá pravdu založenou výhradně na intuici esenciálních forem.</w:t>
      </w:r>
      <w:r w:rsidR="00507BCF">
        <w:rPr>
          <w:rStyle w:val="addmd"/>
        </w:rPr>
        <w:t xml:space="preserve"> </w:t>
      </w:r>
      <w:r w:rsidR="007907DC" w:rsidRPr="003D1E07">
        <w:rPr>
          <w:rStyle w:val="addmd"/>
        </w:rPr>
        <w:t xml:space="preserve">Po zatmění první substance </w:t>
      </w:r>
      <w:r w:rsidR="003014CF" w:rsidRPr="003D1E07">
        <w:rPr>
          <w:rStyle w:val="addmd"/>
        </w:rPr>
        <w:t>moderní subjekt</w:t>
      </w:r>
      <w:r w:rsidR="003014CF">
        <w:rPr>
          <w:rStyle w:val="addmd"/>
        </w:rPr>
        <w:t xml:space="preserve"> produkuje </w:t>
      </w:r>
      <w:r w:rsidR="007907DC" w:rsidRPr="003D1E07">
        <w:rPr>
          <w:rStyle w:val="addmd"/>
        </w:rPr>
        <w:t>j</w:t>
      </w:r>
      <w:r w:rsidR="00D502B7" w:rsidRPr="003D1E07">
        <w:rPr>
          <w:rStyle w:val="addmd"/>
        </w:rPr>
        <w:t xml:space="preserve">istotu </w:t>
      </w:r>
      <w:r w:rsidR="003014CF">
        <w:rPr>
          <w:rStyle w:val="addmd"/>
        </w:rPr>
        <w:t>poznání a tím tvoří skrytý základ moderní metafyziky</w:t>
      </w:r>
      <w:r w:rsidR="00E27ABC" w:rsidRPr="003D1E07">
        <w:rPr>
          <w:rStyle w:val="addmd"/>
        </w:rPr>
        <w:fldChar w:fldCharType="begin"/>
      </w:r>
      <w:r w:rsidR="00E27ABC" w:rsidRPr="003D1E07">
        <w:instrText xml:space="preserve"> XE "zatmění</w:instrText>
      </w:r>
      <w:r w:rsidR="009745F5" w:rsidRPr="003D1E07">
        <w:instrText>:</w:instrText>
      </w:r>
      <w:r w:rsidR="00E27ABC" w:rsidRPr="003D1E07">
        <w:instrText xml:space="preserve">substance" </w:instrText>
      </w:r>
      <w:r w:rsidR="00E27ABC" w:rsidRPr="003D1E07">
        <w:rPr>
          <w:rStyle w:val="addmd"/>
        </w:rPr>
        <w:fldChar w:fldCharType="end"/>
      </w:r>
      <w:r w:rsidR="00D502B7" w:rsidRPr="003D1E07">
        <w:rPr>
          <w:rStyle w:val="addmd"/>
        </w:rPr>
        <w:t xml:space="preserve">. </w:t>
      </w:r>
      <w:r w:rsidR="00055874">
        <w:rPr>
          <w:rStyle w:val="addmd"/>
        </w:rPr>
        <w:t xml:space="preserve">Proto moderní subjekt zásadně potřebuje </w:t>
      </w:r>
      <w:r w:rsidR="00CB1355">
        <w:rPr>
          <w:rStyle w:val="addmd"/>
        </w:rPr>
        <w:t xml:space="preserve">vlastní </w:t>
      </w:r>
      <w:r w:rsidR="00055874">
        <w:rPr>
          <w:rStyle w:val="addmd"/>
        </w:rPr>
        <w:t xml:space="preserve">pravdu jako </w:t>
      </w:r>
      <w:r w:rsidR="00055874" w:rsidRPr="00055874">
        <w:rPr>
          <w:rStyle w:val="addmd"/>
          <w:i/>
        </w:rPr>
        <w:t>certitudo</w:t>
      </w:r>
      <w:r w:rsidR="00055874">
        <w:rPr>
          <w:rStyle w:val="addmd"/>
        </w:rPr>
        <w:t xml:space="preserve">. </w:t>
      </w:r>
      <w:r w:rsidR="00D502B7" w:rsidRPr="003D1E07">
        <w:rPr>
          <w:rStyle w:val="addmd"/>
        </w:rPr>
        <w:t>Model subjektivní pravdy jako obje</w:t>
      </w:r>
      <w:r w:rsidR="00C043A2" w:rsidRPr="003D1E07">
        <w:rPr>
          <w:rStyle w:val="addmd"/>
        </w:rPr>
        <w:t>k</w:t>
      </w:r>
      <w:r w:rsidR="00D502B7" w:rsidRPr="003D1E07">
        <w:rPr>
          <w:rStyle w:val="addmd"/>
        </w:rPr>
        <w:t xml:space="preserve">tivního </w:t>
      </w:r>
      <w:r w:rsidR="00D502B7" w:rsidRPr="003D1E07">
        <w:rPr>
          <w:rStyle w:val="addmd"/>
          <w:i/>
        </w:rPr>
        <w:t>certitudo</w:t>
      </w:r>
      <w:r w:rsidR="00D502B7" w:rsidRPr="003D1E07">
        <w:rPr>
          <w:rStyle w:val="addmd"/>
        </w:rPr>
        <w:t xml:space="preserve"> </w:t>
      </w:r>
      <w:r w:rsidR="08815B7D" w:rsidRPr="003D1E07">
        <w:rPr>
          <w:rStyle w:val="addmd"/>
        </w:rPr>
        <w:t xml:space="preserve">navázaného na náhled </w:t>
      </w:r>
      <w:r w:rsidR="08815B7D" w:rsidRPr="003D1E07">
        <w:rPr>
          <w:rStyle w:val="addmd"/>
          <w:i/>
        </w:rPr>
        <w:t>simpliciter</w:t>
      </w:r>
      <w:r w:rsidR="08815B7D" w:rsidRPr="003D1E07">
        <w:rPr>
          <w:rStyle w:val="addmd"/>
        </w:rPr>
        <w:t xml:space="preserve"> daného individua </w:t>
      </w:r>
      <w:r w:rsidR="00380EFA" w:rsidRPr="003D1E07">
        <w:rPr>
          <w:rStyle w:val="addmd"/>
        </w:rPr>
        <w:t xml:space="preserve">zakládá </w:t>
      </w:r>
      <w:r w:rsidR="00380EFA" w:rsidRPr="003D1E07">
        <w:t>zdroj Leibnizova principu dostatečného důvodu, který v různých variacích najdeme hned na začátku moderny (</w:t>
      </w:r>
      <w:r w:rsidR="08F5528A" w:rsidRPr="003D1E07">
        <w:t>OBJ II, kap. 3</w:t>
      </w:r>
      <w:r w:rsidR="00380EFA" w:rsidRPr="003D1E07">
        <w:t xml:space="preserve">.5). </w:t>
      </w:r>
      <w:r w:rsidR="00034DF0" w:rsidRPr="003D1E07">
        <w:t>J</w:t>
      </w:r>
      <w:r w:rsidR="00472F9C" w:rsidRPr="003D1E07">
        <w:rPr>
          <w:rStyle w:val="addmd"/>
        </w:rPr>
        <w:t>istota obje</w:t>
      </w:r>
      <w:r w:rsidR="00184B2F" w:rsidRPr="003D1E07">
        <w:rPr>
          <w:rStyle w:val="addmd"/>
        </w:rPr>
        <w:t>k</w:t>
      </w:r>
      <w:r w:rsidR="00472F9C" w:rsidRPr="003D1E07">
        <w:rPr>
          <w:rStyle w:val="addmd"/>
        </w:rPr>
        <w:t xml:space="preserve">tivní existence věci je dána na úrovni druhé formy abstrakce a na ni napojené </w:t>
      </w:r>
      <w:r w:rsidR="00472F01">
        <w:rPr>
          <w:rStyle w:val="addmd"/>
        </w:rPr>
        <w:t xml:space="preserve">moderní </w:t>
      </w:r>
      <w:r w:rsidR="00472F9C" w:rsidRPr="003D1E07">
        <w:rPr>
          <w:rStyle w:val="addmd"/>
        </w:rPr>
        <w:t>intencionality.</w:t>
      </w:r>
      <w:r w:rsidR="08485A8C" w:rsidRPr="003D1E07">
        <w:rPr>
          <w:rStyle w:val="addmd"/>
        </w:rPr>
        <w:t xml:space="preserve"> Citát ukazuje novou scénu zjevování objektivity (</w:t>
      </w:r>
      <w:r w:rsidR="08485A8C" w:rsidRPr="003D1E07">
        <w:rPr>
          <w:rStyle w:val="addmd"/>
          <w:i/>
        </w:rPr>
        <w:t>Lichtung</w:t>
      </w:r>
      <w:r w:rsidR="08485A8C" w:rsidRPr="003D1E07">
        <w:rPr>
          <w:rStyle w:val="addmd"/>
          <w:i/>
        </w:rPr>
        <w:fldChar w:fldCharType="begin"/>
      </w:r>
      <w:r w:rsidR="08485A8C" w:rsidRPr="003D1E07">
        <w:instrText xml:space="preserve"> XE "</w:instrText>
      </w:r>
      <w:r w:rsidR="08485A8C" w:rsidRPr="003D1E07">
        <w:rPr>
          <w:rStyle w:val="addmd"/>
          <w:i/>
        </w:rPr>
        <w:instrText>Lichtung:Avicenna</w:instrText>
      </w:r>
      <w:r w:rsidR="08485A8C" w:rsidRPr="003D1E07">
        <w:instrText xml:space="preserve">" </w:instrText>
      </w:r>
      <w:r w:rsidR="08485A8C" w:rsidRPr="003D1E07">
        <w:rPr>
          <w:rStyle w:val="addmd"/>
          <w:i/>
        </w:rPr>
        <w:fldChar w:fldCharType="end"/>
      </w:r>
      <w:r w:rsidR="086233F0" w:rsidRPr="003D1E07">
        <w:rPr>
          <w:rStyle w:val="addmd"/>
        </w:rPr>
        <w:t>) jako par</w:t>
      </w:r>
      <w:r w:rsidR="08485A8C" w:rsidRPr="003D1E07">
        <w:rPr>
          <w:rStyle w:val="addmd"/>
        </w:rPr>
        <w:t>usie</w:t>
      </w:r>
      <w:r w:rsidR="08485A8C" w:rsidRPr="003D1E07">
        <w:rPr>
          <w:rStyle w:val="addmd"/>
        </w:rPr>
        <w:fldChar w:fldCharType="begin"/>
      </w:r>
      <w:r w:rsidR="08485A8C" w:rsidRPr="003D1E07">
        <w:instrText xml:space="preserve"> XE "</w:instrText>
      </w:r>
      <w:r w:rsidR="086233F0" w:rsidRPr="003D1E07">
        <w:rPr>
          <w:rStyle w:val="addmd"/>
        </w:rPr>
        <w:instrText>par</w:instrText>
      </w:r>
      <w:r w:rsidR="08485A8C" w:rsidRPr="003D1E07">
        <w:rPr>
          <w:rStyle w:val="addmd"/>
        </w:rPr>
        <w:instrText>usie</w:instrText>
      </w:r>
      <w:r w:rsidR="08485A8C" w:rsidRPr="003D1E07">
        <w:instrText xml:space="preserve">" </w:instrText>
      </w:r>
      <w:r w:rsidR="08485A8C" w:rsidRPr="003D1E07">
        <w:rPr>
          <w:rStyle w:val="addmd"/>
        </w:rPr>
        <w:fldChar w:fldCharType="end"/>
      </w:r>
      <w:r w:rsidR="08485A8C" w:rsidRPr="003D1E07">
        <w:rPr>
          <w:rStyle w:val="addmd"/>
        </w:rPr>
        <w:t xml:space="preserve"> intencionálně nazíraného </w:t>
      </w:r>
      <w:r w:rsidR="08514CEC" w:rsidRPr="003D1E07">
        <w:rPr>
          <w:rStyle w:val="addmd"/>
        </w:rPr>
        <w:t xml:space="preserve">minimálního a nepochybně zjeveného </w:t>
      </w:r>
      <w:r w:rsidR="08485A8C" w:rsidRPr="003D1E07">
        <w:rPr>
          <w:rStyle w:val="addmd"/>
        </w:rPr>
        <w:t>významu, který je dán ve formě absolutně jedno</w:t>
      </w:r>
      <w:r w:rsidR="08514CEC" w:rsidRPr="003D1E07">
        <w:rPr>
          <w:rStyle w:val="addmd"/>
        </w:rPr>
        <w:t>d</w:t>
      </w:r>
      <w:r w:rsidR="08485A8C" w:rsidRPr="003D1E07">
        <w:rPr>
          <w:rStyle w:val="addmd"/>
        </w:rPr>
        <w:t>uché esence.</w:t>
      </w:r>
    </w:p>
    <w:p w14:paraId="56151C82" w14:textId="6643DF82" w:rsidR="0039543E" w:rsidRPr="003D1E07" w:rsidRDefault="00930A97" w:rsidP="0039543E">
      <w:pPr>
        <w:pStyle w:val="Citace"/>
        <w:rPr>
          <w:rStyle w:val="addmd"/>
          <w:lang w:val="cs-CZ"/>
        </w:rPr>
      </w:pPr>
      <w:r w:rsidRPr="003D1E07">
        <w:rPr>
          <w:rStyle w:val="addmd"/>
          <w:lang w:val="cs-CZ"/>
        </w:rPr>
        <w:t>„</w:t>
      </w:r>
      <w:r w:rsidR="00BF1604" w:rsidRPr="003D1E07">
        <w:rPr>
          <w:rStyle w:val="addmd"/>
          <w:lang w:val="cs-CZ"/>
        </w:rPr>
        <w:t>K</w:t>
      </w:r>
      <w:r w:rsidRPr="003D1E07">
        <w:rPr>
          <w:rStyle w:val="addmd"/>
          <w:lang w:val="cs-CZ"/>
        </w:rPr>
        <w:t>aždá věc má vlastní jistotu bytí</w:t>
      </w:r>
      <w:r w:rsidR="00125FFE" w:rsidRPr="003D1E07">
        <w:rPr>
          <w:rStyle w:val="addmd"/>
          <w:lang w:val="cs-CZ"/>
        </w:rPr>
        <w:t xml:space="preserve"> (</w:t>
      </w:r>
      <w:r w:rsidR="00125FFE" w:rsidRPr="003D1E07">
        <w:rPr>
          <w:i/>
          <w:lang w:val="cs-CZ"/>
        </w:rPr>
        <w:t>res habet certitudinem propriam</w:t>
      </w:r>
      <w:r w:rsidR="00125FFE" w:rsidRPr="003D1E07">
        <w:rPr>
          <w:rStyle w:val="addmd"/>
          <w:lang w:val="cs-CZ"/>
        </w:rPr>
        <w:t>)</w:t>
      </w:r>
      <w:r w:rsidRPr="003D1E07">
        <w:rPr>
          <w:rStyle w:val="addmd"/>
          <w:lang w:val="cs-CZ"/>
        </w:rPr>
        <w:t>, která tvoří její podstatu (</w:t>
      </w:r>
      <w:r w:rsidRPr="003D1E07">
        <w:rPr>
          <w:i/>
          <w:lang w:val="cs-CZ"/>
        </w:rPr>
        <w:t>est eius quidditas</w:t>
      </w:r>
      <w:r w:rsidRPr="003D1E07">
        <w:rPr>
          <w:rStyle w:val="addmd"/>
          <w:lang w:val="cs-CZ"/>
        </w:rPr>
        <w:t>). Pak je zřejmé, že jistota jakékoliv věci, která je jí vlastní, je dána mimo pojem bytí (</w:t>
      </w:r>
      <w:r w:rsidRPr="003D1E07">
        <w:rPr>
          <w:i/>
          <w:lang w:val="cs-CZ"/>
        </w:rPr>
        <w:t>est praeter esse</w:t>
      </w:r>
      <w:r w:rsidRPr="003D1E07">
        <w:rPr>
          <w:rStyle w:val="addmd"/>
          <w:lang w:val="cs-CZ"/>
        </w:rPr>
        <w:t>) daného ekvivočně v různých jsoucnech (</w:t>
      </w:r>
      <w:r w:rsidRPr="003D1E07">
        <w:rPr>
          <w:i/>
          <w:lang w:val="cs-CZ"/>
        </w:rPr>
        <w:t>multivocum est cum aliquid</w:t>
      </w:r>
      <w:r w:rsidRPr="003D1E07">
        <w:rPr>
          <w:rStyle w:val="addmd"/>
          <w:lang w:val="cs-CZ"/>
        </w:rPr>
        <w:t>). Pokud řekneš, že jistota takto dané věci (</w:t>
      </w:r>
      <w:r w:rsidRPr="003D1E07">
        <w:rPr>
          <w:i/>
          <w:lang w:val="cs-CZ"/>
        </w:rPr>
        <w:t>certitudo rei talis</w:t>
      </w:r>
      <w:r w:rsidRPr="003D1E07">
        <w:rPr>
          <w:rStyle w:val="addmd"/>
          <w:lang w:val="cs-CZ"/>
        </w:rPr>
        <w:t xml:space="preserve">) </w:t>
      </w:r>
      <w:r w:rsidR="00472F9C" w:rsidRPr="003D1E07">
        <w:rPr>
          <w:rStyle w:val="addmd"/>
          <w:lang w:val="cs-CZ"/>
        </w:rPr>
        <w:t>je dána jak v jedno</w:t>
      </w:r>
      <w:r w:rsidRPr="003D1E07">
        <w:rPr>
          <w:rStyle w:val="addmd"/>
          <w:lang w:val="cs-CZ"/>
        </w:rPr>
        <w:t>t</w:t>
      </w:r>
      <w:r w:rsidR="00472F9C" w:rsidRPr="003D1E07">
        <w:rPr>
          <w:rStyle w:val="addmd"/>
          <w:lang w:val="cs-CZ"/>
        </w:rPr>
        <w:t>l</w:t>
      </w:r>
      <w:r w:rsidRPr="003D1E07">
        <w:rPr>
          <w:rStyle w:val="addmd"/>
          <w:lang w:val="cs-CZ"/>
        </w:rPr>
        <w:t>ivinách, tak v</w:t>
      </w:r>
      <w:r w:rsidR="004E4011" w:rsidRPr="003D1E07">
        <w:rPr>
          <w:rStyle w:val="addmd"/>
          <w:lang w:val="cs-CZ"/>
        </w:rPr>
        <w:t> </w:t>
      </w:r>
      <w:r w:rsidRPr="003D1E07">
        <w:rPr>
          <w:rStyle w:val="addmd"/>
          <w:lang w:val="cs-CZ"/>
        </w:rPr>
        <w:t>duši</w:t>
      </w:r>
      <w:r w:rsidR="004E4011" w:rsidRPr="003D1E07">
        <w:rPr>
          <w:rStyle w:val="addmd"/>
          <w:lang w:val="cs-CZ"/>
        </w:rPr>
        <w:t xml:space="preserve"> a </w:t>
      </w:r>
      <w:r w:rsidR="00AF5C79" w:rsidRPr="003D1E07">
        <w:rPr>
          <w:rStyle w:val="addmd"/>
          <w:lang w:val="cs-CZ"/>
        </w:rPr>
        <w:t xml:space="preserve">že </w:t>
      </w:r>
      <w:r w:rsidRPr="003D1E07">
        <w:rPr>
          <w:rStyle w:val="addmd"/>
          <w:lang w:val="cs-CZ"/>
        </w:rPr>
        <w:t>je zcela oddělená</w:t>
      </w:r>
      <w:r w:rsidR="00AF5C79" w:rsidRPr="003D1E07">
        <w:rPr>
          <w:rStyle w:val="addmd"/>
          <w:lang w:val="cs-CZ"/>
        </w:rPr>
        <w:t>,</w:t>
      </w:r>
      <w:r w:rsidRPr="003D1E07">
        <w:rPr>
          <w:rStyle w:val="addmd"/>
          <w:lang w:val="cs-CZ"/>
        </w:rPr>
        <w:t xml:space="preserve"> nebo komunikuje s oběma určeními, pak </w:t>
      </w:r>
      <w:r w:rsidR="00C75DC2">
        <w:rPr>
          <w:rStyle w:val="addmd"/>
          <w:lang w:val="cs-CZ"/>
        </w:rPr>
        <w:t xml:space="preserve">musí být jistota věci uchopena a pochopena na základě </w:t>
      </w:r>
      <w:r w:rsidR="00D97C74">
        <w:rPr>
          <w:rStyle w:val="addmd"/>
          <w:lang w:val="cs-CZ"/>
        </w:rPr>
        <w:t xml:space="preserve">takto </w:t>
      </w:r>
      <w:r w:rsidR="00D97C74">
        <w:rPr>
          <w:rFonts w:cs="Calibri"/>
          <w:lang w:val="de-LU"/>
        </w:rPr>
        <w:t xml:space="preserve">[tj. </w:t>
      </w:r>
      <w:r w:rsidR="00DD3679">
        <w:rPr>
          <w:rFonts w:cs="Calibri"/>
          <w:lang w:val="de-LU"/>
        </w:rPr>
        <w:t>„</w:t>
      </w:r>
      <w:r w:rsidR="00D97C74" w:rsidRPr="00E834A8">
        <w:rPr>
          <w:lang w:val="de-LU"/>
        </w:rPr>
        <w:t>objektiv</w:t>
      </w:r>
      <w:r w:rsidR="00D97C74">
        <w:rPr>
          <w:lang w:val="de-LU"/>
        </w:rPr>
        <w:t>ně</w:t>
      </w:r>
      <w:r w:rsidR="00DD3679">
        <w:rPr>
          <w:lang w:val="de-LU"/>
        </w:rPr>
        <w:t>“</w:t>
      </w:r>
      <w:r w:rsidR="00D97C74">
        <w:rPr>
          <w:rFonts w:cs="Calibri"/>
          <w:lang w:val="de-LU"/>
        </w:rPr>
        <w:t>]</w:t>
      </w:r>
      <w:r w:rsidR="00D97C74" w:rsidRPr="00E834A8">
        <w:rPr>
          <w:lang w:val="de-LU"/>
        </w:rPr>
        <w:t xml:space="preserve"> </w:t>
      </w:r>
      <w:r w:rsidR="00C75DC2">
        <w:rPr>
          <w:rStyle w:val="addmd"/>
          <w:lang w:val="cs-CZ"/>
        </w:rPr>
        <w:t>dané intence</w:t>
      </w:r>
      <w:r w:rsidR="005F5237">
        <w:rPr>
          <w:rStyle w:val="addmd"/>
          <w:lang w:val="cs-CZ"/>
        </w:rPr>
        <w:t xml:space="preserve"> </w:t>
      </w:r>
      <w:r w:rsidR="005F5237">
        <w:rPr>
          <w:lang w:val="fr-FR"/>
        </w:rPr>
        <w:t>(</w:t>
      </w:r>
      <w:r w:rsidR="005F5237">
        <w:rPr>
          <w:i/>
        </w:rPr>
        <w:t>haec intentio apprehensa et intellecta</w:t>
      </w:r>
      <w:r w:rsidR="005F5237">
        <w:rPr>
          <w:lang w:val="fr-FR"/>
        </w:rPr>
        <w:t>)</w:t>
      </w:r>
      <w:r w:rsidRPr="003D1E07">
        <w:rPr>
          <w:rStyle w:val="addmd"/>
          <w:lang w:val="cs-CZ"/>
        </w:rPr>
        <w:t>.“</w:t>
      </w:r>
      <w:r w:rsidR="0039543E" w:rsidRPr="003D1E07">
        <w:rPr>
          <w:lang w:val="cs-CZ"/>
        </w:rPr>
        <w:t> </w:t>
      </w:r>
      <w:r w:rsidR="08A76FBC" w:rsidRPr="003D1E07">
        <w:rPr>
          <w:rStyle w:val="Znakapoznpodarou"/>
          <w:lang w:val="cs-CZ"/>
        </w:rPr>
        <w:footnoteReference w:id="152"/>
      </w:r>
    </w:p>
    <w:p w14:paraId="5D150932" w14:textId="09D3646F" w:rsidR="000B6303" w:rsidRDefault="00EA06A5" w:rsidP="0039543E">
      <w:r w:rsidRPr="00EA06A5">
        <w:rPr>
          <w:rStyle w:val="addmd"/>
        </w:rPr>
        <w:t xml:space="preserve">Jistota věci nahradila deduktivní poznání její </w:t>
      </w:r>
      <w:r w:rsidRPr="00EA06A5">
        <w:rPr>
          <w:rStyle w:val="addmd"/>
          <w:i/>
        </w:rPr>
        <w:t>quidditas</w:t>
      </w:r>
      <w:r>
        <w:rPr>
          <w:rStyle w:val="addmd"/>
          <w:i/>
        </w:rPr>
        <w:fldChar w:fldCharType="begin"/>
      </w:r>
      <w:r>
        <w:instrText xml:space="preserve"> XE "</w:instrText>
      </w:r>
      <w:r w:rsidRPr="00C921B2">
        <w:rPr>
          <w:rStyle w:val="addmd"/>
          <w:i/>
        </w:rPr>
        <w:instrText>quidditas</w:instrText>
      </w:r>
      <w:r>
        <w:instrText xml:space="preserve">" </w:instrText>
      </w:r>
      <w:r>
        <w:rPr>
          <w:rStyle w:val="addmd"/>
          <w:i/>
        </w:rPr>
        <w:fldChar w:fldCharType="end"/>
      </w:r>
      <w:r w:rsidRPr="00EA06A5">
        <w:rPr>
          <w:rStyle w:val="addmd"/>
        </w:rPr>
        <w:t xml:space="preserve"> </w:t>
      </w:r>
      <w:r>
        <w:rPr>
          <w:rStyle w:val="addmd"/>
        </w:rPr>
        <w:t>určené kategoriální impozicí</w:t>
      </w:r>
      <w:r w:rsidRPr="00EA06A5">
        <w:rPr>
          <w:rStyle w:val="addmd"/>
        </w:rPr>
        <w:t xml:space="preserve">. </w:t>
      </w:r>
      <w:r>
        <w:rPr>
          <w:rStyle w:val="addmd"/>
        </w:rPr>
        <w:t xml:space="preserve">Moderna nyní </w:t>
      </w:r>
      <w:r w:rsidRPr="00EA06A5">
        <w:rPr>
          <w:rStyle w:val="addmd"/>
        </w:rPr>
        <w:t xml:space="preserve">kontempluje její absolutně jednoduché </w:t>
      </w:r>
      <w:r w:rsidRPr="00EA06A5">
        <w:rPr>
          <w:rStyle w:val="addmd"/>
          <w:i/>
        </w:rPr>
        <w:t>esse proprium</w:t>
      </w:r>
      <w:r w:rsidRPr="00EA06A5">
        <w:rPr>
          <w:rStyle w:val="addmd"/>
        </w:rPr>
        <w:t>, které je odděleno od ostatních forem empirického či intelektuálně abstraktního poznání.</w:t>
      </w:r>
      <w:r>
        <w:rPr>
          <w:rStyle w:val="addmd"/>
        </w:rPr>
        <w:t xml:space="preserve"> </w:t>
      </w:r>
      <w:r w:rsidR="00C975DF">
        <w:rPr>
          <w:rStyle w:val="addmd"/>
        </w:rPr>
        <w:t>O</w:t>
      </w:r>
      <w:r w:rsidR="00A616F0" w:rsidRPr="003D1E07">
        <w:rPr>
          <w:rStyle w:val="addmd"/>
        </w:rPr>
        <w:t xml:space="preserve">ddělení </w:t>
      </w:r>
      <w:r w:rsidR="00C975DF">
        <w:rPr>
          <w:rStyle w:val="addmd"/>
        </w:rPr>
        <w:t xml:space="preserve">moderní abstrakce a intencionality </w:t>
      </w:r>
      <w:r w:rsidR="00A616F0" w:rsidRPr="003D1E07">
        <w:rPr>
          <w:rStyle w:val="addmd"/>
        </w:rPr>
        <w:t xml:space="preserve">od aristotelského procesu poznávání vytváří zvláštní povahu druhé intence. </w:t>
      </w:r>
      <w:r w:rsidR="08924698" w:rsidRPr="003D1E07">
        <w:rPr>
          <w:rStyle w:val="addmd"/>
        </w:rPr>
        <w:t>Vznikla</w:t>
      </w:r>
      <w:r w:rsidR="08DF54D2" w:rsidRPr="003D1E07">
        <w:rPr>
          <w:rStyle w:val="addmd"/>
        </w:rPr>
        <w:t xml:space="preserve"> nov</w:t>
      </w:r>
      <w:r w:rsidR="08924698" w:rsidRPr="003D1E07">
        <w:rPr>
          <w:rStyle w:val="addmd"/>
        </w:rPr>
        <w:t>á</w:t>
      </w:r>
      <w:r w:rsidR="08DF54D2" w:rsidRPr="003D1E07">
        <w:rPr>
          <w:rStyle w:val="addmd"/>
        </w:rPr>
        <w:t xml:space="preserve"> form</w:t>
      </w:r>
      <w:r w:rsidR="08924698" w:rsidRPr="003D1E07">
        <w:rPr>
          <w:rStyle w:val="addmd"/>
        </w:rPr>
        <w:t>a</w:t>
      </w:r>
      <w:r w:rsidR="08DF54D2" w:rsidRPr="003D1E07">
        <w:rPr>
          <w:rStyle w:val="addmd"/>
        </w:rPr>
        <w:t xml:space="preserve"> </w:t>
      </w:r>
      <w:r w:rsidR="089108A9" w:rsidRPr="003D1E07">
        <w:t xml:space="preserve">metafyzického </w:t>
      </w:r>
      <w:r w:rsidR="08DF54D2" w:rsidRPr="003D1E07">
        <w:rPr>
          <w:rStyle w:val="addmd"/>
        </w:rPr>
        <w:t>dativu</w:t>
      </w:r>
      <w:r w:rsidR="08D74C2D" w:rsidRPr="003D1E07">
        <w:rPr>
          <w:szCs w:val="24"/>
        </w:rPr>
        <w:fldChar w:fldCharType="begin"/>
      </w:r>
      <w:r w:rsidR="08D74C2D" w:rsidRPr="003D1E07">
        <w:instrText xml:space="preserve"> XE "</w:instrText>
      </w:r>
      <w:r w:rsidR="08D74C2D" w:rsidRPr="003D1E07">
        <w:rPr>
          <w:i/>
        </w:rPr>
        <w:instrText xml:space="preserve">dativus </w:instrText>
      </w:r>
      <w:r w:rsidR="089108A9" w:rsidRPr="003D1E07">
        <w:rPr>
          <w:i/>
        </w:rPr>
        <w:instrText>metaphysicus</w:instrText>
      </w:r>
      <w:r w:rsidR="08D74C2D" w:rsidRPr="003D1E07">
        <w:instrText xml:space="preserve">" </w:instrText>
      </w:r>
      <w:r w:rsidR="08D74C2D" w:rsidRPr="003D1E07">
        <w:rPr>
          <w:szCs w:val="24"/>
        </w:rPr>
        <w:fldChar w:fldCharType="end"/>
      </w:r>
      <w:r w:rsidR="08DF54D2" w:rsidRPr="003D1E07">
        <w:rPr>
          <w:rStyle w:val="addmd"/>
        </w:rPr>
        <w:t xml:space="preserve">, </w:t>
      </w:r>
      <w:r w:rsidR="08924698" w:rsidRPr="003D1E07">
        <w:rPr>
          <w:rStyle w:val="addmd"/>
        </w:rPr>
        <w:t>v němž s</w:t>
      </w:r>
      <w:r w:rsidR="001042DD" w:rsidRPr="003D1E07">
        <w:rPr>
          <w:rStyle w:val="addmd"/>
        </w:rPr>
        <w:t>plynula</w:t>
      </w:r>
      <w:r w:rsidR="08DF54D2" w:rsidRPr="003D1E07">
        <w:rPr>
          <w:rStyle w:val="addmd"/>
        </w:rPr>
        <w:t xml:space="preserve"> </w:t>
      </w:r>
      <w:r w:rsidR="08DF54D2" w:rsidRPr="003D1E07">
        <w:rPr>
          <w:rStyle w:val="addmd"/>
          <w:i/>
        </w:rPr>
        <w:t>ousía</w:t>
      </w:r>
      <w:r w:rsidR="08DF54D2" w:rsidRPr="003D1E07">
        <w:rPr>
          <w:rStyle w:val="addmd"/>
        </w:rPr>
        <w:t xml:space="preserve"> </w:t>
      </w:r>
      <w:r w:rsidR="00D76584">
        <w:rPr>
          <w:rStyle w:val="addmd"/>
        </w:rPr>
        <w:t xml:space="preserve">v realitě </w:t>
      </w:r>
      <w:r w:rsidR="08DF54D2" w:rsidRPr="003D1E07">
        <w:rPr>
          <w:rStyle w:val="addmd"/>
        </w:rPr>
        <w:t xml:space="preserve">a </w:t>
      </w:r>
      <w:r w:rsidR="08DF54D2" w:rsidRPr="003D1E07">
        <w:rPr>
          <w:rStyle w:val="addmd"/>
          <w:i/>
        </w:rPr>
        <w:t>parousía</w:t>
      </w:r>
      <w:r w:rsidR="08DF54D2" w:rsidRPr="003D1E07">
        <w:rPr>
          <w:rStyle w:val="addmd"/>
        </w:rPr>
        <w:t xml:space="preserve"> </w:t>
      </w:r>
      <w:r w:rsidR="00D76584">
        <w:rPr>
          <w:rStyle w:val="addmd"/>
        </w:rPr>
        <w:t xml:space="preserve">v mysli </w:t>
      </w:r>
      <w:r w:rsidR="08DF54D2" w:rsidRPr="003D1E07">
        <w:rPr>
          <w:rStyle w:val="addmd"/>
        </w:rPr>
        <w:t xml:space="preserve">do jednoho </w:t>
      </w:r>
      <w:r w:rsidR="00E544D2">
        <w:rPr>
          <w:rStyle w:val="addmd"/>
        </w:rPr>
        <w:t>univočního významu</w:t>
      </w:r>
      <w:r w:rsidR="001042DD" w:rsidRPr="003D1E07">
        <w:rPr>
          <w:rStyle w:val="addmd"/>
        </w:rPr>
        <w:t xml:space="preserve">. </w:t>
      </w:r>
      <w:r w:rsidR="007F76B0">
        <w:rPr>
          <w:rStyle w:val="addmd"/>
        </w:rPr>
        <w:t xml:space="preserve">Koncept takto vytvořeného </w:t>
      </w:r>
      <w:r w:rsidR="08C0707B" w:rsidRPr="003D1E07">
        <w:rPr>
          <w:rStyle w:val="addmd"/>
          <w:i/>
        </w:rPr>
        <w:t>esse diminutum</w:t>
      </w:r>
      <w:r w:rsidR="08C0707B" w:rsidRPr="003D1E07">
        <w:rPr>
          <w:rStyle w:val="addmd"/>
          <w:i/>
        </w:rPr>
        <w:fldChar w:fldCharType="begin"/>
      </w:r>
      <w:r w:rsidR="08C0707B" w:rsidRPr="003D1E07">
        <w:instrText xml:space="preserve"> XE "</w:instrText>
      </w:r>
      <w:r w:rsidR="08C0707B" w:rsidRPr="003D1E07">
        <w:rPr>
          <w:rStyle w:val="addmd"/>
          <w:i/>
        </w:rPr>
        <w:instrText>esse diminutum</w:instrText>
      </w:r>
      <w:r w:rsidR="08C0707B" w:rsidRPr="003D1E07">
        <w:instrText xml:space="preserve">" </w:instrText>
      </w:r>
      <w:r w:rsidR="08C0707B" w:rsidRPr="003D1E07">
        <w:rPr>
          <w:rStyle w:val="addmd"/>
          <w:i/>
        </w:rPr>
        <w:fldChar w:fldCharType="end"/>
      </w:r>
      <w:r w:rsidR="007F76B0">
        <w:rPr>
          <w:rStyle w:val="addmd"/>
        </w:rPr>
        <w:t xml:space="preserve"> založil novou metafyziku. </w:t>
      </w:r>
      <w:r w:rsidR="0850426A" w:rsidRPr="003D1E07">
        <w:rPr>
          <w:rStyle w:val="addmd"/>
        </w:rPr>
        <w:t xml:space="preserve">Avicenna vytvořil novou formu </w:t>
      </w:r>
      <w:r w:rsidR="0850426A" w:rsidRPr="003D1E07">
        <w:rPr>
          <w:rStyle w:val="addmd"/>
          <w:i/>
        </w:rPr>
        <w:t>aliud esse</w:t>
      </w:r>
      <w:r w:rsidR="0850426A" w:rsidRPr="003D1E07">
        <w:rPr>
          <w:rStyle w:val="addmd"/>
          <w:i/>
        </w:rPr>
        <w:fldChar w:fldCharType="begin"/>
      </w:r>
      <w:r w:rsidR="0850426A" w:rsidRPr="003D1E07">
        <w:instrText xml:space="preserve"> XE "</w:instrText>
      </w:r>
      <w:r w:rsidR="0850426A" w:rsidRPr="003D1E07">
        <w:rPr>
          <w:rStyle w:val="addmd"/>
          <w:i/>
        </w:rPr>
        <w:instrText>aliud esse</w:instrText>
      </w:r>
      <w:r w:rsidR="0850426A" w:rsidRPr="003D1E07">
        <w:rPr>
          <w:rStyle w:val="addmd"/>
        </w:rPr>
        <w:instrText>:Avicenna</w:instrText>
      </w:r>
      <w:r w:rsidR="0850426A" w:rsidRPr="003D1E07">
        <w:instrText xml:space="preserve">" </w:instrText>
      </w:r>
      <w:r w:rsidR="0850426A" w:rsidRPr="003D1E07">
        <w:rPr>
          <w:rStyle w:val="addmd"/>
          <w:i/>
        </w:rPr>
        <w:fldChar w:fldCharType="end"/>
      </w:r>
      <w:r w:rsidR="0850426A" w:rsidRPr="003D1E07">
        <w:rPr>
          <w:rStyle w:val="addmd"/>
        </w:rPr>
        <w:t>, kte</w:t>
      </w:r>
      <w:r w:rsidR="0839388F" w:rsidRPr="003D1E07">
        <w:rPr>
          <w:rStyle w:val="addmd"/>
        </w:rPr>
        <w:t>r</w:t>
      </w:r>
      <w:r w:rsidR="0850426A" w:rsidRPr="003D1E07">
        <w:rPr>
          <w:rStyle w:val="addmd"/>
        </w:rPr>
        <w:t xml:space="preserve">ou neměl Druhý mistr. </w:t>
      </w:r>
      <w:r w:rsidR="0839388F" w:rsidRPr="003D1E07">
        <w:rPr>
          <w:rStyle w:val="addmd"/>
        </w:rPr>
        <w:t>N</w:t>
      </w:r>
      <w:r w:rsidR="08DF54D2" w:rsidRPr="003D1E07">
        <w:rPr>
          <w:rStyle w:val="addmd"/>
        </w:rPr>
        <w:t xml:space="preserve">ová </w:t>
      </w:r>
      <w:r w:rsidR="08DF54D2" w:rsidRPr="003D1E07">
        <w:rPr>
          <w:rStyle w:val="addmd"/>
        </w:rPr>
        <w:lastRenderedPageBreak/>
        <w:t xml:space="preserve">substance třetího druhu neexistuje </w:t>
      </w:r>
      <w:r w:rsidR="08AD10F3" w:rsidRPr="003D1E07">
        <w:rPr>
          <w:rStyle w:val="addmd"/>
        </w:rPr>
        <w:t xml:space="preserve">ani </w:t>
      </w:r>
      <w:r w:rsidR="08DF54D2" w:rsidRPr="003D1E07">
        <w:rPr>
          <w:rStyle w:val="addmd"/>
        </w:rPr>
        <w:t>reálně</w:t>
      </w:r>
      <w:r w:rsidR="08AD10F3" w:rsidRPr="003D1E07">
        <w:rPr>
          <w:rStyle w:val="addmd"/>
        </w:rPr>
        <w:t xml:space="preserve"> ani univerzálně. Nové poznání absolutně jednoduché esence </w:t>
      </w:r>
      <w:r w:rsidR="08DF54D2" w:rsidRPr="003D1E07">
        <w:rPr>
          <w:rStyle w:val="addmd"/>
        </w:rPr>
        <w:t xml:space="preserve">vzniká </w:t>
      </w:r>
      <w:r w:rsidR="08AD10F3" w:rsidRPr="003D1E07">
        <w:rPr>
          <w:rStyle w:val="addmd"/>
        </w:rPr>
        <w:t xml:space="preserve">přímým náhledem </w:t>
      </w:r>
      <w:r w:rsidR="008B028E" w:rsidRPr="003D1E07">
        <w:rPr>
          <w:rStyle w:val="addmd"/>
        </w:rPr>
        <w:t xml:space="preserve">objektivního jsoucna. Toto </w:t>
      </w:r>
      <w:r w:rsidR="004654C2" w:rsidRPr="003D1E07">
        <w:rPr>
          <w:rStyle w:val="addmd"/>
        </w:rPr>
        <w:t xml:space="preserve">mytopoetické </w:t>
      </w:r>
      <w:r w:rsidR="008B028E" w:rsidRPr="003D1E07">
        <w:rPr>
          <w:rStyle w:val="addmd"/>
        </w:rPr>
        <w:t>impéri</w:t>
      </w:r>
      <w:r w:rsidR="0002392B">
        <w:rPr>
          <w:rStyle w:val="addmd"/>
        </w:rPr>
        <w:t>u</w:t>
      </w:r>
      <w:r w:rsidR="008B028E" w:rsidRPr="003D1E07">
        <w:rPr>
          <w:rStyle w:val="addmd"/>
        </w:rPr>
        <w:t xml:space="preserve">m moderního ducha </w:t>
      </w:r>
      <w:r w:rsidR="004654C2" w:rsidRPr="003D1E07">
        <w:rPr>
          <w:rStyle w:val="addmd"/>
        </w:rPr>
        <w:t xml:space="preserve">pochopitelně musí </w:t>
      </w:r>
      <w:r w:rsidR="00DA171E">
        <w:t>„ex</w:t>
      </w:r>
      <w:r w:rsidR="004654C2" w:rsidRPr="003D1E07">
        <w:t>sistovat“ (</w:t>
      </w:r>
      <w:r w:rsidR="004654C2" w:rsidRPr="003D1E07">
        <w:rPr>
          <w:i/>
        </w:rPr>
        <w:t>exsistere</w:t>
      </w:r>
      <w:r w:rsidR="004654C2" w:rsidRPr="003D1E07">
        <w:rPr>
          <w:i/>
        </w:rPr>
        <w:fldChar w:fldCharType="begin"/>
      </w:r>
      <w:r w:rsidR="004654C2" w:rsidRPr="003D1E07">
        <w:instrText xml:space="preserve"> XE "</w:instrText>
      </w:r>
      <w:r w:rsidR="004654C2" w:rsidRPr="003D1E07">
        <w:rPr>
          <w:i/>
        </w:rPr>
        <w:instrText>exsistere</w:instrText>
      </w:r>
      <w:r w:rsidR="004654C2" w:rsidRPr="003D1E07">
        <w:instrText xml:space="preserve">" </w:instrText>
      </w:r>
      <w:r w:rsidR="004654C2" w:rsidRPr="003D1E07">
        <w:rPr>
          <w:i/>
        </w:rPr>
        <w:fldChar w:fldCharType="end"/>
      </w:r>
      <w:r w:rsidR="004654C2" w:rsidRPr="003D1E07">
        <w:t>) za (</w:t>
      </w:r>
      <w:r w:rsidR="004654C2" w:rsidRPr="003D1E07">
        <w:rPr>
          <w:i/>
        </w:rPr>
        <w:t>trans</w:t>
      </w:r>
      <w:r w:rsidR="004654C2" w:rsidRPr="003D1E07">
        <w:t>) a</w:t>
      </w:r>
      <w:r w:rsidR="08DF54D2" w:rsidRPr="003D1E07">
        <w:rPr>
          <w:rStyle w:val="addmd"/>
        </w:rPr>
        <w:t>ri</w:t>
      </w:r>
      <w:r w:rsidR="08AD10F3" w:rsidRPr="003D1E07">
        <w:rPr>
          <w:rStyle w:val="addmd"/>
        </w:rPr>
        <w:t>s</w:t>
      </w:r>
      <w:r w:rsidR="08DF54D2" w:rsidRPr="003D1E07">
        <w:rPr>
          <w:rStyle w:val="addmd"/>
        </w:rPr>
        <w:t>totelsk</w:t>
      </w:r>
      <w:r w:rsidR="08AD10F3" w:rsidRPr="003D1E07">
        <w:rPr>
          <w:rStyle w:val="addmd"/>
        </w:rPr>
        <w:t>ý</w:t>
      </w:r>
      <w:r w:rsidR="004654C2" w:rsidRPr="003D1E07">
        <w:rPr>
          <w:rStyle w:val="addmd"/>
        </w:rPr>
        <w:t>m</w:t>
      </w:r>
      <w:r w:rsidR="08AD10F3" w:rsidRPr="003D1E07">
        <w:rPr>
          <w:rStyle w:val="addmd"/>
        </w:rPr>
        <w:t xml:space="preserve"> </w:t>
      </w:r>
      <w:r w:rsidR="08DF54D2" w:rsidRPr="003D1E07">
        <w:rPr>
          <w:rStyle w:val="addmd"/>
        </w:rPr>
        <w:t>způsob</w:t>
      </w:r>
      <w:r w:rsidR="004654C2" w:rsidRPr="003D1E07">
        <w:rPr>
          <w:rStyle w:val="addmd"/>
        </w:rPr>
        <w:t>em</w:t>
      </w:r>
      <w:r w:rsidR="08DF54D2" w:rsidRPr="003D1E07">
        <w:rPr>
          <w:rStyle w:val="addmd"/>
        </w:rPr>
        <w:t xml:space="preserve"> poznání</w:t>
      </w:r>
      <w:r w:rsidR="08AD10F3" w:rsidRPr="003D1E07">
        <w:rPr>
          <w:rStyle w:val="addmd"/>
        </w:rPr>
        <w:t xml:space="preserve">. </w:t>
      </w:r>
      <w:r w:rsidR="081E5793" w:rsidRPr="003D1E07">
        <w:rPr>
          <w:rStyle w:val="addmd"/>
        </w:rPr>
        <w:t xml:space="preserve">Kategoriální a univoční poznání esence jako druhé substance </w:t>
      </w:r>
      <w:r w:rsidR="08AD10F3" w:rsidRPr="003D1E07">
        <w:rPr>
          <w:rStyle w:val="addmd"/>
        </w:rPr>
        <w:t xml:space="preserve">je dáno </w:t>
      </w:r>
      <w:r w:rsidR="08F94D73" w:rsidRPr="003D1E07">
        <w:rPr>
          <w:rStyle w:val="addmd"/>
        </w:rPr>
        <w:t xml:space="preserve">v </w:t>
      </w:r>
      <w:r w:rsidR="08F94D73" w:rsidRPr="003D1E07">
        <w:rPr>
          <w:rStyle w:val="addmd"/>
          <w:i/>
        </w:rPr>
        <w:t>Kategoriích</w:t>
      </w:r>
      <w:r w:rsidR="08F94D73" w:rsidRPr="003D1E07">
        <w:rPr>
          <w:rStyle w:val="addmd"/>
        </w:rPr>
        <w:t xml:space="preserve"> a ve </w:t>
      </w:r>
      <w:r w:rsidR="08F94D73" w:rsidRPr="003D1E07">
        <w:rPr>
          <w:rStyle w:val="addmd"/>
          <w:i/>
        </w:rPr>
        <w:t>Druhých analytikách</w:t>
      </w:r>
      <w:r w:rsidR="08F94D73" w:rsidRPr="003D1E07">
        <w:rPr>
          <w:rStyle w:val="addmd"/>
        </w:rPr>
        <w:t xml:space="preserve"> </w:t>
      </w:r>
      <w:r w:rsidR="08DF54D2" w:rsidRPr="003D1E07">
        <w:rPr>
          <w:rStyle w:val="addmd"/>
        </w:rPr>
        <w:t xml:space="preserve">skrze původní </w:t>
      </w:r>
      <w:r w:rsidR="089108A9" w:rsidRPr="003D1E07">
        <w:t xml:space="preserve">metafyzický </w:t>
      </w:r>
      <w:r w:rsidR="08DF54D2" w:rsidRPr="003D1E07">
        <w:rPr>
          <w:rStyle w:val="addmd"/>
        </w:rPr>
        <w:t>dativ daný determinací p</w:t>
      </w:r>
      <w:r w:rsidR="08AD10F3" w:rsidRPr="003D1E07">
        <w:rPr>
          <w:rStyle w:val="addmd"/>
        </w:rPr>
        <w:t>o</w:t>
      </w:r>
      <w:r w:rsidR="08DF54D2" w:rsidRPr="003D1E07">
        <w:rPr>
          <w:rStyle w:val="addmd"/>
        </w:rPr>
        <w:t xml:space="preserve">znání </w:t>
      </w:r>
      <w:r w:rsidR="00432176">
        <w:rPr>
          <w:rStyle w:val="addmd"/>
        </w:rPr>
        <w:t>skrze hyparchickou první substanci</w:t>
      </w:r>
      <w:r w:rsidR="08DF54D2" w:rsidRPr="003D1E07">
        <w:rPr>
          <w:rStyle w:val="addmd"/>
        </w:rPr>
        <w:t xml:space="preserve">. </w:t>
      </w:r>
      <w:r w:rsidR="08E91A24" w:rsidRPr="003D1E07">
        <w:rPr>
          <w:rStyle w:val="addmd"/>
        </w:rPr>
        <w:t>Avicenna vytvořil novou předchůdnou dráhu náhledu (</w:t>
      </w:r>
      <w:r w:rsidR="08E91A24" w:rsidRPr="003D1E07">
        <w:rPr>
          <w:rStyle w:val="addmd"/>
          <w:i/>
        </w:rPr>
        <w:t>Vor-blickbahn</w:t>
      </w:r>
      <w:r w:rsidR="08E91A24" w:rsidRPr="003D1E07">
        <w:rPr>
          <w:rStyle w:val="addmd"/>
          <w:i/>
        </w:rPr>
        <w:fldChar w:fldCharType="begin"/>
      </w:r>
      <w:r w:rsidR="08E91A24" w:rsidRPr="003D1E07">
        <w:instrText xml:space="preserve"> XE "</w:instrText>
      </w:r>
      <w:r w:rsidR="08E91A24" w:rsidRPr="003D1E07">
        <w:rPr>
          <w:rStyle w:val="addmd"/>
          <w:i/>
        </w:rPr>
        <w:instrText>Vor-blickbahn</w:instrText>
      </w:r>
      <w:r w:rsidR="08E91A24" w:rsidRPr="003D1E07">
        <w:rPr>
          <w:rStyle w:val="addmd"/>
        </w:rPr>
        <w:instrText>:Avicenna</w:instrText>
      </w:r>
      <w:r w:rsidR="08E91A24" w:rsidRPr="003D1E07">
        <w:instrText xml:space="preserve">" </w:instrText>
      </w:r>
      <w:r w:rsidR="08E91A24" w:rsidRPr="003D1E07">
        <w:rPr>
          <w:rStyle w:val="addmd"/>
          <w:i/>
        </w:rPr>
        <w:fldChar w:fldCharType="end"/>
      </w:r>
      <w:r w:rsidR="08E91A24" w:rsidRPr="003D1E07">
        <w:rPr>
          <w:rStyle w:val="addmd"/>
        </w:rPr>
        <w:t xml:space="preserve">) na </w:t>
      </w:r>
      <w:r w:rsidR="008C0DB0">
        <w:rPr>
          <w:rStyle w:val="addmd"/>
        </w:rPr>
        <w:t xml:space="preserve">objektivní </w:t>
      </w:r>
      <w:r w:rsidR="08E91A24" w:rsidRPr="003D1E07">
        <w:rPr>
          <w:rStyle w:val="addmd"/>
        </w:rPr>
        <w:t xml:space="preserve">substanci. </w:t>
      </w:r>
      <w:r w:rsidR="08341A1F" w:rsidRPr="003D1E07">
        <w:rPr>
          <w:rStyle w:val="addmd"/>
        </w:rPr>
        <w:t xml:space="preserve">Každá </w:t>
      </w:r>
      <w:r w:rsidR="08E91A24" w:rsidRPr="003D1E07">
        <w:rPr>
          <w:rStyle w:val="addmd"/>
        </w:rPr>
        <w:t xml:space="preserve">moderně viděná </w:t>
      </w:r>
      <w:r w:rsidR="08341A1F" w:rsidRPr="003D1E07">
        <w:rPr>
          <w:rStyle w:val="addmd"/>
        </w:rPr>
        <w:t xml:space="preserve">věc má </w:t>
      </w:r>
      <w:r w:rsidR="08E91A24" w:rsidRPr="003D1E07">
        <w:rPr>
          <w:rStyle w:val="addmd"/>
        </w:rPr>
        <w:t xml:space="preserve">nyní </w:t>
      </w:r>
      <w:r w:rsidR="08341A1F" w:rsidRPr="003D1E07">
        <w:rPr>
          <w:rStyle w:val="addmd"/>
        </w:rPr>
        <w:t>vlastní jistotu bytí</w:t>
      </w:r>
      <w:r w:rsidR="00C3007A" w:rsidRPr="003D1E07">
        <w:rPr>
          <w:rStyle w:val="addmd"/>
        </w:rPr>
        <w:t xml:space="preserve"> (</w:t>
      </w:r>
      <w:r w:rsidR="00C3007A" w:rsidRPr="003D1E07">
        <w:rPr>
          <w:i/>
        </w:rPr>
        <w:t>res habet certitudinem propriam</w:t>
      </w:r>
      <w:r w:rsidR="00782210" w:rsidRPr="003D1E07">
        <w:rPr>
          <w:i/>
        </w:rPr>
        <w:fldChar w:fldCharType="begin"/>
      </w:r>
      <w:r w:rsidR="00782210" w:rsidRPr="003D1E07">
        <w:instrText xml:space="preserve"> XE "pravda:</w:instrText>
      </w:r>
      <w:r w:rsidR="00782210" w:rsidRPr="003D1E07">
        <w:rPr>
          <w:i/>
        </w:rPr>
        <w:instrText>certitudo</w:instrText>
      </w:r>
      <w:r w:rsidR="00782210" w:rsidRPr="003D1E07">
        <w:instrText xml:space="preserve">" </w:instrText>
      </w:r>
      <w:r w:rsidR="00782210" w:rsidRPr="003D1E07">
        <w:rPr>
          <w:i/>
        </w:rPr>
        <w:fldChar w:fldCharType="end"/>
      </w:r>
      <w:r w:rsidR="00C3007A" w:rsidRPr="003D1E07">
        <w:rPr>
          <w:rStyle w:val="addmd"/>
        </w:rPr>
        <w:t>)</w:t>
      </w:r>
      <w:r w:rsidR="08341A1F" w:rsidRPr="003D1E07">
        <w:rPr>
          <w:rStyle w:val="addmd"/>
        </w:rPr>
        <w:t>, která tvoří její esenci (</w:t>
      </w:r>
      <w:r w:rsidR="08341A1F" w:rsidRPr="003D1E07">
        <w:rPr>
          <w:i/>
        </w:rPr>
        <w:t>est eius quidditas</w:t>
      </w:r>
      <w:r w:rsidR="08341A1F" w:rsidRPr="003D1E07">
        <w:rPr>
          <w:rStyle w:val="addmd"/>
        </w:rPr>
        <w:t xml:space="preserve">). </w:t>
      </w:r>
      <w:r w:rsidR="00C34BC1" w:rsidRPr="003D1E07">
        <w:rPr>
          <w:rStyle w:val="addmd"/>
        </w:rPr>
        <w:t>Jistota bytí věci tvoří nové jsou</w:t>
      </w:r>
      <w:r w:rsidR="00C22DD5" w:rsidRPr="003D1E07">
        <w:rPr>
          <w:rStyle w:val="addmd"/>
        </w:rPr>
        <w:t>c</w:t>
      </w:r>
      <w:r w:rsidR="00C34BC1" w:rsidRPr="003D1E07">
        <w:rPr>
          <w:rStyle w:val="addmd"/>
        </w:rPr>
        <w:t xml:space="preserve">no třetího druhu dané </w:t>
      </w:r>
      <w:r w:rsidR="00C34BC1" w:rsidRPr="003D1E07">
        <w:rPr>
          <w:rStyle w:val="addmd"/>
          <w:i/>
        </w:rPr>
        <w:t>simpliciter</w:t>
      </w:r>
      <w:r w:rsidR="00C34BC1" w:rsidRPr="003D1E07">
        <w:rPr>
          <w:rStyle w:val="addmd"/>
        </w:rPr>
        <w:t xml:space="preserve"> a </w:t>
      </w:r>
      <w:r w:rsidR="00C34BC1" w:rsidRPr="003D1E07">
        <w:rPr>
          <w:rStyle w:val="addmd"/>
          <w:i/>
        </w:rPr>
        <w:t>absolute</w:t>
      </w:r>
      <w:r w:rsidR="00C34BC1" w:rsidRPr="003D1E07">
        <w:rPr>
          <w:rStyle w:val="addmd"/>
        </w:rPr>
        <w:t>, protože toto určení je oddělené jak od první substance</w:t>
      </w:r>
      <w:r w:rsidR="00A70FA4" w:rsidRPr="003D1E07">
        <w:rPr>
          <w:rStyle w:val="addmd"/>
        </w:rPr>
        <w:fldChar w:fldCharType="begin"/>
      </w:r>
      <w:r w:rsidR="00A70FA4" w:rsidRPr="003D1E07">
        <w:instrText xml:space="preserve"> XE "substance</w:instrText>
      </w:r>
      <w:r w:rsidR="00F133CF" w:rsidRPr="003D1E07">
        <w:instrText>:absolutní</w:instrText>
      </w:r>
      <w:r w:rsidR="00A70FA4" w:rsidRPr="003D1E07">
        <w:instrText xml:space="preserve">" </w:instrText>
      </w:r>
      <w:r w:rsidR="00A70FA4" w:rsidRPr="003D1E07">
        <w:rPr>
          <w:rStyle w:val="addmd"/>
        </w:rPr>
        <w:fldChar w:fldCharType="end"/>
      </w:r>
      <w:r w:rsidR="00C34BC1" w:rsidRPr="003D1E07">
        <w:rPr>
          <w:rStyle w:val="addmd"/>
        </w:rPr>
        <w:t xml:space="preserve"> v realitě, tak od univerzál</w:t>
      </w:r>
      <w:r w:rsidR="00C22DD5" w:rsidRPr="003D1E07">
        <w:rPr>
          <w:rStyle w:val="addmd"/>
        </w:rPr>
        <w:t>ie</w:t>
      </w:r>
      <w:r w:rsidR="00C34BC1" w:rsidRPr="003D1E07">
        <w:rPr>
          <w:rStyle w:val="addmd"/>
        </w:rPr>
        <w:t xml:space="preserve"> dané pouze v mysli. </w:t>
      </w:r>
      <w:r w:rsidR="00406DE3" w:rsidRPr="003D1E07">
        <w:rPr>
          <w:rStyle w:val="addmd"/>
        </w:rPr>
        <w:t xml:space="preserve">Bytí věci uchopené v intenci </w:t>
      </w:r>
      <w:r w:rsidR="08230452" w:rsidRPr="003D1E07">
        <w:rPr>
          <w:rStyle w:val="addmd"/>
        </w:rPr>
        <w:t xml:space="preserve">její </w:t>
      </w:r>
      <w:r w:rsidR="00A74016" w:rsidRPr="003D1E07">
        <w:rPr>
          <w:rStyle w:val="addmd"/>
        </w:rPr>
        <w:t xml:space="preserve">objektivní </w:t>
      </w:r>
      <w:r w:rsidR="08230452" w:rsidRPr="003D1E07">
        <w:rPr>
          <w:rStyle w:val="addmd"/>
        </w:rPr>
        <w:t xml:space="preserve">individuality </w:t>
      </w:r>
      <w:r w:rsidR="08A76FBC" w:rsidRPr="003D1E07">
        <w:rPr>
          <w:rStyle w:val="addmd"/>
        </w:rPr>
        <w:t>předchází plurivocitě esence dané v mysli nebo v reálu (</w:t>
      </w:r>
      <w:r w:rsidR="08A76FBC" w:rsidRPr="003D1E07">
        <w:rPr>
          <w:i/>
          <w:szCs w:val="22"/>
        </w:rPr>
        <w:t>est praeter esse quod multivocum est</w:t>
      </w:r>
      <w:r w:rsidR="08A76FBC" w:rsidRPr="003D1E07">
        <w:rPr>
          <w:rStyle w:val="addmd"/>
        </w:rPr>
        <w:t xml:space="preserve">). </w:t>
      </w:r>
      <w:r w:rsidR="08793AE5" w:rsidRPr="003D1E07">
        <w:rPr>
          <w:lang w:eastAsia="en-US"/>
        </w:rPr>
        <w:t>Nové jsouc</w:t>
      </w:r>
      <w:r w:rsidR="08B634A9" w:rsidRPr="003D1E07">
        <w:rPr>
          <w:lang w:eastAsia="en-US"/>
        </w:rPr>
        <w:t>no nazírané v čisté jsoucnosti není</w:t>
      </w:r>
      <w:r w:rsidR="08793AE5" w:rsidRPr="003D1E07">
        <w:rPr>
          <w:lang w:eastAsia="en-US"/>
        </w:rPr>
        <w:t xml:space="preserve"> </w:t>
      </w:r>
      <w:r w:rsidR="08B634A9" w:rsidRPr="003D1E07">
        <w:rPr>
          <w:lang w:eastAsia="en-US"/>
        </w:rPr>
        <w:t>aktuální substance</w:t>
      </w:r>
      <w:r w:rsidR="08793AE5" w:rsidRPr="003D1E07">
        <w:rPr>
          <w:lang w:eastAsia="en-US"/>
        </w:rPr>
        <w:t>, protože vzniká pouze jako předmět zvláštního druhu i</w:t>
      </w:r>
      <w:r w:rsidR="000B6303">
        <w:rPr>
          <w:lang w:eastAsia="en-US"/>
        </w:rPr>
        <w:t>ntelektuálně-mystického vidění.</w:t>
      </w:r>
    </w:p>
    <w:p w14:paraId="02F37980" w14:textId="7F173E6D" w:rsidR="002F5378" w:rsidRPr="003D1E07" w:rsidRDefault="00510F70" w:rsidP="000B6303">
      <w:pPr>
        <w:ind w:firstLine="397"/>
      </w:pPr>
      <w:r w:rsidRPr="003D1E07">
        <w:rPr>
          <w:lang w:eastAsia="en-US"/>
        </w:rPr>
        <w:t xml:space="preserve">Avicenna </w:t>
      </w:r>
      <w:r w:rsidR="000B6303">
        <w:rPr>
          <w:lang w:eastAsia="en-US"/>
        </w:rPr>
        <w:t xml:space="preserve">z tohoto důvodu musel </w:t>
      </w:r>
      <w:r w:rsidRPr="003D1E07">
        <w:rPr>
          <w:lang w:eastAsia="en-US"/>
        </w:rPr>
        <w:t>modifikovat pojem první a druhé intence (</w:t>
      </w:r>
      <w:r w:rsidRPr="003D1E07">
        <w:rPr>
          <w:i/>
          <w:lang w:eastAsia="en-US"/>
        </w:rPr>
        <w:t>primum</w:t>
      </w:r>
      <w:r w:rsidRPr="003D1E07">
        <w:rPr>
          <w:lang w:eastAsia="en-US"/>
        </w:rPr>
        <w:t xml:space="preserve">, </w:t>
      </w:r>
      <w:r w:rsidRPr="003D1E07">
        <w:rPr>
          <w:i/>
          <w:lang w:eastAsia="en-US"/>
        </w:rPr>
        <w:t>secundum intellectum</w:t>
      </w:r>
      <w:r w:rsidR="00F133CF" w:rsidRPr="003D1E07">
        <w:rPr>
          <w:i/>
        </w:rPr>
        <w:fldChar w:fldCharType="begin"/>
      </w:r>
      <w:r w:rsidR="00F133CF" w:rsidRPr="003D1E07">
        <w:instrText xml:space="preserve"> XE "intencionalita:Avicenna" </w:instrText>
      </w:r>
      <w:r w:rsidR="00F133CF" w:rsidRPr="003D1E07">
        <w:rPr>
          <w:i/>
        </w:rPr>
        <w:fldChar w:fldCharType="end"/>
      </w:r>
      <w:r w:rsidRPr="003D1E07">
        <w:rPr>
          <w:lang w:eastAsia="en-US"/>
        </w:rPr>
        <w:t xml:space="preserve">), který převzal od </w:t>
      </w:r>
      <w:r w:rsidR="00404CB4" w:rsidRPr="003D1E07">
        <w:rPr>
          <w:lang w:eastAsia="en-US"/>
        </w:rPr>
        <w:t>A</w:t>
      </w:r>
      <w:r w:rsidRPr="003D1E07">
        <w:rPr>
          <w:lang w:eastAsia="en-US"/>
        </w:rPr>
        <w:t>l</w:t>
      </w:r>
      <w:r w:rsidR="00404CB4" w:rsidRPr="003D1E07">
        <w:rPr>
          <w:lang w:eastAsia="en-US"/>
        </w:rPr>
        <w:noBreakHyphen/>
      </w:r>
      <w:r w:rsidR="008E02F5" w:rsidRPr="003D1E07">
        <w:rPr>
          <w:lang w:eastAsia="en-US"/>
        </w:rPr>
        <w:t>Fárábí</w:t>
      </w:r>
      <w:r w:rsidR="08BA7482" w:rsidRPr="003D1E07">
        <w:rPr>
          <w:lang w:eastAsia="en-US"/>
        </w:rPr>
        <w:t>ho</w:t>
      </w:r>
      <w:r w:rsidRPr="003D1E07">
        <w:rPr>
          <w:lang w:eastAsia="en-US"/>
        </w:rPr>
        <w:t xml:space="preserve">. </w:t>
      </w:r>
      <w:r w:rsidRPr="003D1E07">
        <w:rPr>
          <w:rStyle w:val="addmd"/>
        </w:rPr>
        <w:t>Nové bytí jsoucna je uchopené v nové formě intencionality</w:t>
      </w:r>
      <w:r w:rsidR="00706C20" w:rsidRPr="003D1E07">
        <w:rPr>
          <w:rStyle w:val="addmd"/>
        </w:rPr>
        <w:t xml:space="preserve"> dané aktem </w:t>
      </w:r>
      <w:r w:rsidR="000651B9" w:rsidRPr="003D1E07">
        <w:rPr>
          <w:rStyle w:val="addmd"/>
        </w:rPr>
        <w:t xml:space="preserve">abstrakce jako </w:t>
      </w:r>
      <w:r w:rsidR="00706C20" w:rsidRPr="003D1E07">
        <w:rPr>
          <w:rStyle w:val="addmd"/>
        </w:rPr>
        <w:t>denudace</w:t>
      </w:r>
      <w:r w:rsidRPr="003D1E07">
        <w:rPr>
          <w:rStyle w:val="addmd"/>
        </w:rPr>
        <w:t xml:space="preserve">. </w:t>
      </w:r>
      <w:r w:rsidR="00585FF8" w:rsidRPr="003D1E07">
        <w:rPr>
          <w:lang w:eastAsia="en-US"/>
        </w:rPr>
        <w:t xml:space="preserve">Avicenna výslovně tvrdí, že tato zvláštní forma esenciality má vlastní formu existence, která nepotřebuje být aktualizovaná v </w:t>
      </w:r>
      <w:r w:rsidR="08E22DFE" w:rsidRPr="003D1E07">
        <w:rPr>
          <w:lang w:eastAsia="en-US"/>
        </w:rPr>
        <w:t xml:space="preserve">aktuálně daných prvních substancích </w:t>
      </w:r>
      <w:r w:rsidR="00207059" w:rsidRPr="003D1E07">
        <w:rPr>
          <w:lang w:eastAsia="en-US"/>
        </w:rPr>
        <w:t>(</w:t>
      </w:r>
      <w:r w:rsidR="00207059" w:rsidRPr="003D1E07">
        <w:rPr>
          <w:i/>
        </w:rPr>
        <w:t>non habet esse in individuis</w:t>
      </w:r>
      <w:r w:rsidR="00207059" w:rsidRPr="003D1E07">
        <w:rPr>
          <w:lang w:eastAsia="en-US"/>
        </w:rPr>
        <w:t>)</w:t>
      </w:r>
      <w:r w:rsidR="00585FF8" w:rsidRPr="003D1E07">
        <w:rPr>
          <w:lang w:eastAsia="en-US"/>
        </w:rPr>
        <w:t>.</w:t>
      </w:r>
      <w:r w:rsidR="00585FF8" w:rsidRPr="003D1E07">
        <w:rPr>
          <w:rStyle w:val="Znakapoznpodarou"/>
          <w:lang w:eastAsia="en-US"/>
        </w:rPr>
        <w:footnoteReference w:id="153"/>
      </w:r>
      <w:r w:rsidR="00585FF8" w:rsidRPr="003D1E07">
        <w:rPr>
          <w:lang w:eastAsia="en-US"/>
        </w:rPr>
        <w:t xml:space="preserve"> </w:t>
      </w:r>
      <w:r w:rsidR="08793AE5" w:rsidRPr="003D1E07">
        <w:t xml:space="preserve">Náhled darovaného intelektu aktivovaného skrze </w:t>
      </w:r>
      <w:r w:rsidR="08793AE5" w:rsidRPr="003D1E07">
        <w:rPr>
          <w:i/>
        </w:rPr>
        <w:t>intellectus agens</w:t>
      </w:r>
      <w:r w:rsidR="08793AE5" w:rsidRPr="003D1E07">
        <w:t xml:space="preserve"> odkrývá tzv. univerzální přirozenost věcí (</w:t>
      </w:r>
      <w:r w:rsidR="08793AE5" w:rsidRPr="003D1E07">
        <w:rPr>
          <w:i/>
        </w:rPr>
        <w:t>ad modum universalis</w:t>
      </w:r>
      <w:r w:rsidR="00F133CF" w:rsidRPr="003D1E07">
        <w:rPr>
          <w:i/>
        </w:rPr>
        <w:fldChar w:fldCharType="begin"/>
      </w:r>
      <w:r w:rsidR="00F133CF" w:rsidRPr="003D1E07">
        <w:instrText xml:space="preserve"> XE "vidění:</w:instrText>
      </w:r>
      <w:r w:rsidR="00F133CF" w:rsidRPr="003D1E07">
        <w:rPr>
          <w:i/>
        </w:rPr>
        <w:instrText>ad modum universalis</w:instrText>
      </w:r>
      <w:r w:rsidR="00F133CF" w:rsidRPr="003D1E07">
        <w:instrText xml:space="preserve">" </w:instrText>
      </w:r>
      <w:r w:rsidR="00F133CF" w:rsidRPr="003D1E07">
        <w:rPr>
          <w:i/>
        </w:rPr>
        <w:fldChar w:fldCharType="end"/>
      </w:r>
      <w:r w:rsidR="08793AE5" w:rsidRPr="003D1E07">
        <w:t>)</w:t>
      </w:r>
      <w:r w:rsidR="006D58EB" w:rsidRPr="003D1E07">
        <w:t xml:space="preserve">. Ta </w:t>
      </w:r>
      <w:r w:rsidR="08793AE5" w:rsidRPr="003D1E07">
        <w:t xml:space="preserve">se zásadně liší od partikulární přirozenosti dané pouze v </w:t>
      </w:r>
      <w:r w:rsidR="08E22DFE" w:rsidRPr="003D1E07">
        <w:t xml:space="preserve">prvních substancích </w:t>
      </w:r>
      <w:r w:rsidR="08793AE5" w:rsidRPr="003D1E07">
        <w:t>a modifikované skrze smyslovou představivost (</w:t>
      </w:r>
      <w:r w:rsidR="08793AE5" w:rsidRPr="003D1E07">
        <w:rPr>
          <w:i/>
        </w:rPr>
        <w:t>ad modum particularis</w:t>
      </w:r>
      <w:r w:rsidR="08793AE5" w:rsidRPr="003D1E07">
        <w:t xml:space="preserve">). </w:t>
      </w:r>
      <w:r w:rsidR="00A62794" w:rsidRPr="003D1E07">
        <w:t>T</w:t>
      </w:r>
      <w:r w:rsidR="08793AE5" w:rsidRPr="003D1E07">
        <w:t xml:space="preserve">ato univerzální přirozenost hraje v Avicennově kosmologii také roli finální kauzy (Lizzini 2003b, 135). </w:t>
      </w:r>
      <w:r w:rsidR="00585FF8" w:rsidRPr="003D1E07">
        <w:rPr>
          <w:rStyle w:val="addmd"/>
        </w:rPr>
        <w:t>Do latinské moderny uvede toto nové intencionální bytí jso</w:t>
      </w:r>
      <w:r w:rsidR="08E22DFE" w:rsidRPr="003D1E07">
        <w:rPr>
          <w:rStyle w:val="addmd"/>
        </w:rPr>
        <w:t xml:space="preserve">ucna Rufus z Cornwallu v pojmu </w:t>
      </w:r>
      <w:r w:rsidR="00585FF8" w:rsidRPr="003D1E07">
        <w:rPr>
          <w:rStyle w:val="addmd"/>
          <w:i/>
        </w:rPr>
        <w:t>scibile</w:t>
      </w:r>
      <w:r w:rsidR="003B4FA7" w:rsidRPr="003D1E07">
        <w:rPr>
          <w:rStyle w:val="addmd"/>
          <w:i/>
        </w:rPr>
        <w:fldChar w:fldCharType="begin"/>
      </w:r>
      <w:r w:rsidR="003B4FA7" w:rsidRPr="003D1E07">
        <w:instrText xml:space="preserve"> XE "</w:instrText>
      </w:r>
      <w:r w:rsidR="003B4FA7" w:rsidRPr="003D1E07">
        <w:rPr>
          <w:i/>
        </w:rPr>
        <w:instrText>scibile</w:instrText>
      </w:r>
      <w:r w:rsidR="003B4FA7" w:rsidRPr="003D1E07">
        <w:instrText xml:space="preserve">" </w:instrText>
      </w:r>
      <w:r w:rsidR="003B4FA7" w:rsidRPr="003D1E07">
        <w:rPr>
          <w:rStyle w:val="addmd"/>
          <w:i/>
        </w:rPr>
        <w:fldChar w:fldCharType="end"/>
      </w:r>
      <w:r w:rsidR="00DE187F" w:rsidRPr="003D1E07">
        <w:rPr>
          <w:rStyle w:val="addmd"/>
        </w:rPr>
        <w:t xml:space="preserve"> (</w:t>
      </w:r>
      <w:r w:rsidR="08F5528A" w:rsidRPr="003D1E07">
        <w:rPr>
          <w:rStyle w:val="addmd"/>
        </w:rPr>
        <w:t xml:space="preserve">OBJ II, </w:t>
      </w:r>
      <w:r w:rsidR="08F5528A" w:rsidRPr="003D1E07">
        <w:t>kap. 3</w:t>
      </w:r>
      <w:r w:rsidR="00DE187F" w:rsidRPr="003D1E07">
        <w:t>.3.2</w:t>
      </w:r>
      <w:r w:rsidR="00DE187F" w:rsidRPr="003D1E07">
        <w:rPr>
          <w:rStyle w:val="addmd"/>
        </w:rPr>
        <w:t xml:space="preserve">). </w:t>
      </w:r>
      <w:r w:rsidR="00585FF8" w:rsidRPr="003D1E07">
        <w:rPr>
          <w:rStyle w:val="addmd"/>
        </w:rPr>
        <w:t xml:space="preserve">Husserl </w:t>
      </w:r>
      <w:r w:rsidR="00DE187F" w:rsidRPr="003D1E07">
        <w:rPr>
          <w:rStyle w:val="addmd"/>
        </w:rPr>
        <w:t xml:space="preserve">převede </w:t>
      </w:r>
      <w:r w:rsidR="00593449" w:rsidRPr="003D1E07">
        <w:rPr>
          <w:rStyle w:val="addmd"/>
        </w:rPr>
        <w:t>toto vidění</w:t>
      </w:r>
      <w:r w:rsidR="00593449" w:rsidRPr="003D1E07">
        <w:rPr>
          <w:rStyle w:val="addmd"/>
        </w:rPr>
        <w:fldChar w:fldCharType="begin"/>
      </w:r>
      <w:r w:rsidR="00593449" w:rsidRPr="003D1E07">
        <w:instrText xml:space="preserve"> XE "</w:instrText>
      </w:r>
      <w:r w:rsidR="00593449" w:rsidRPr="003D1E07">
        <w:rPr>
          <w:rStyle w:val="addmd"/>
        </w:rPr>
        <w:instrText>vidění:eidetické</w:instrText>
      </w:r>
      <w:r w:rsidR="00593449" w:rsidRPr="003D1E07">
        <w:instrText xml:space="preserve">" </w:instrText>
      </w:r>
      <w:r w:rsidR="00593449" w:rsidRPr="003D1E07">
        <w:rPr>
          <w:rStyle w:val="addmd"/>
        </w:rPr>
        <w:fldChar w:fldCharType="end"/>
      </w:r>
      <w:r w:rsidR="00593449" w:rsidRPr="003D1E07">
        <w:rPr>
          <w:rStyle w:val="addmd"/>
        </w:rPr>
        <w:t xml:space="preserve"> </w:t>
      </w:r>
      <w:r w:rsidR="00DE187F" w:rsidRPr="003D1E07">
        <w:rPr>
          <w:rStyle w:val="addmd"/>
        </w:rPr>
        <w:t xml:space="preserve">do postmoderny </w:t>
      </w:r>
      <w:r w:rsidR="00585FF8" w:rsidRPr="003D1E07">
        <w:rPr>
          <w:rStyle w:val="addmd"/>
        </w:rPr>
        <w:t xml:space="preserve">skrze eidetický náhled </w:t>
      </w:r>
      <w:r w:rsidR="00585FF8" w:rsidRPr="003D1E07">
        <w:t>(</w:t>
      </w:r>
      <w:r w:rsidR="00585FF8" w:rsidRPr="003D1E07">
        <w:rPr>
          <w:i/>
        </w:rPr>
        <w:t>Wesensschau</w:t>
      </w:r>
      <w:r w:rsidR="00925E3D" w:rsidRPr="003D1E07">
        <w:rPr>
          <w:i/>
        </w:rPr>
        <w:fldChar w:fldCharType="begin"/>
      </w:r>
      <w:r w:rsidR="00925E3D" w:rsidRPr="003D1E07">
        <w:instrText xml:space="preserve"> XE "</w:instrText>
      </w:r>
      <w:r w:rsidR="00925E3D" w:rsidRPr="003D1E07">
        <w:rPr>
          <w:i/>
        </w:rPr>
        <w:instrText>Wesensschau</w:instrText>
      </w:r>
      <w:r w:rsidR="00925E3D" w:rsidRPr="003D1E07">
        <w:instrText xml:space="preserve">" </w:instrText>
      </w:r>
      <w:r w:rsidR="00925E3D" w:rsidRPr="003D1E07">
        <w:rPr>
          <w:i/>
        </w:rPr>
        <w:fldChar w:fldCharType="end"/>
      </w:r>
      <w:r w:rsidR="00DE187F" w:rsidRPr="003D1E07">
        <w:t>)</w:t>
      </w:r>
      <w:r w:rsidR="00585FF8" w:rsidRPr="003D1E07">
        <w:rPr>
          <w:rStyle w:val="addmd"/>
        </w:rPr>
        <w:t xml:space="preserve">. Založení nové metafyziky </w:t>
      </w:r>
      <w:r w:rsidR="00585FF8" w:rsidRPr="003D1E07">
        <w:rPr>
          <w:rStyle w:val="st"/>
        </w:rPr>
        <w:t xml:space="preserve">dokazují </w:t>
      </w:r>
      <w:r w:rsidR="00585FF8" w:rsidRPr="003D1E07">
        <w:t>pasáže osvětlující tuto zvláštní univerzalitu a inte</w:t>
      </w:r>
      <w:r w:rsidR="00521E56" w:rsidRPr="003D1E07">
        <w:t>n</w:t>
      </w:r>
      <w:r w:rsidR="00585FF8" w:rsidRPr="003D1E07">
        <w:t>cionalitu ve vztahu k lidskému poznání (</w:t>
      </w:r>
      <w:r w:rsidR="00585FF8" w:rsidRPr="003D1E07">
        <w:rPr>
          <w:i/>
        </w:rPr>
        <w:t>Liber de philosophia prima</w:t>
      </w:r>
      <w:r w:rsidR="00585FF8" w:rsidRPr="003D1E07">
        <w:t xml:space="preserve"> V.2–6).</w:t>
      </w:r>
      <w:r w:rsidR="00B76D90" w:rsidRPr="003D1E07">
        <w:rPr>
          <w:lang w:eastAsia="en-US"/>
        </w:rPr>
        <w:t xml:space="preserve"> </w:t>
      </w:r>
      <w:r w:rsidR="08793AE5" w:rsidRPr="003D1E07">
        <w:rPr>
          <w:lang w:eastAsia="en-US"/>
        </w:rPr>
        <w:t xml:space="preserve">Toto pojetí přímo navazuje na </w:t>
      </w:r>
      <w:r w:rsidR="00734582" w:rsidRPr="003D1E07">
        <w:rPr>
          <w:lang w:eastAsia="en-US"/>
        </w:rPr>
        <w:t xml:space="preserve">amfibolní </w:t>
      </w:r>
      <w:r w:rsidR="08793AE5" w:rsidRPr="003D1E07">
        <w:rPr>
          <w:lang w:eastAsia="en-US"/>
        </w:rPr>
        <w:t xml:space="preserve">predikaci </w:t>
      </w:r>
      <w:r w:rsidR="08E17C15" w:rsidRPr="003D1E07">
        <w:rPr>
          <w:rStyle w:val="Zkladntext158dkovn0pt"/>
          <w:color w:val="auto"/>
          <w:spacing w:val="0"/>
          <w:sz w:val="24"/>
          <w:lang w:val="cs-CZ"/>
        </w:rPr>
        <w:fldChar w:fldCharType="begin"/>
      </w:r>
      <w:r w:rsidR="08E17C15" w:rsidRPr="003D1E07">
        <w:instrText xml:space="preserve"> XE "</w:instrText>
      </w:r>
      <w:r w:rsidR="08E17C15" w:rsidRPr="003D1E07">
        <w:rPr>
          <w:rStyle w:val="Zkladntext158dkovn0pt"/>
          <w:color w:val="auto"/>
          <w:spacing w:val="0"/>
          <w:sz w:val="24"/>
          <w:lang w:val="cs-CZ"/>
        </w:rPr>
        <w:instrText>predikace:amfibolní</w:instrText>
      </w:r>
      <w:r w:rsidR="08E17C15" w:rsidRPr="003D1E07">
        <w:instrText xml:space="preserve">" </w:instrText>
      </w:r>
      <w:r w:rsidR="08E17C15" w:rsidRPr="003D1E07">
        <w:rPr>
          <w:rStyle w:val="Zkladntext158dkovn0pt"/>
          <w:color w:val="auto"/>
          <w:spacing w:val="0"/>
          <w:sz w:val="24"/>
          <w:lang w:val="cs-CZ"/>
        </w:rPr>
        <w:fldChar w:fldCharType="end"/>
      </w:r>
      <w:r w:rsidR="00585FF8" w:rsidRPr="003D1E07">
        <w:t>Al</w:t>
      </w:r>
      <w:r w:rsidR="00585FF8" w:rsidRPr="003D1E07">
        <w:noBreakHyphen/>
      </w:r>
      <w:r w:rsidR="008E02F5" w:rsidRPr="003D1E07">
        <w:t>Fárábí</w:t>
      </w:r>
      <w:r w:rsidR="08793AE5" w:rsidRPr="003D1E07">
        <w:t xml:space="preserve">ho (kap. 2.1.1). </w:t>
      </w:r>
      <w:r w:rsidR="00A17CC8" w:rsidRPr="003D1E07">
        <w:t xml:space="preserve">Avicenna převedl amfibolia na úroveň </w:t>
      </w:r>
      <w:r w:rsidR="00745B77" w:rsidRPr="003D1E07">
        <w:t xml:space="preserve">kategoriální predikace </w:t>
      </w:r>
      <w:r w:rsidR="00A17CC8" w:rsidRPr="003D1E07">
        <w:t xml:space="preserve">druhé substance. </w:t>
      </w:r>
      <w:r w:rsidR="084C4643" w:rsidRPr="003D1E07">
        <w:t>Tím vznikl</w:t>
      </w:r>
      <w:r w:rsidR="002F5378" w:rsidRPr="003D1E07">
        <w:t xml:space="preserve"> </w:t>
      </w:r>
      <w:r w:rsidR="08793AE5" w:rsidRPr="003D1E07">
        <w:rPr>
          <w:lang w:eastAsia="en-US"/>
        </w:rPr>
        <w:t>nov</w:t>
      </w:r>
      <w:r w:rsidR="002F5378" w:rsidRPr="003D1E07">
        <w:rPr>
          <w:lang w:eastAsia="en-US"/>
        </w:rPr>
        <w:t xml:space="preserve">ý </w:t>
      </w:r>
      <w:r w:rsidR="08793AE5" w:rsidRPr="003D1E07">
        <w:rPr>
          <w:lang w:eastAsia="en-US"/>
        </w:rPr>
        <w:t xml:space="preserve">druh </w:t>
      </w:r>
      <w:r w:rsidR="08793AE5" w:rsidRPr="003D1E07">
        <w:rPr>
          <w:lang w:eastAsia="en-US"/>
        </w:rPr>
        <w:lastRenderedPageBreak/>
        <w:t xml:space="preserve">jednotliviny, kde je univerzální forma singularizována mimo </w:t>
      </w:r>
      <w:r w:rsidR="084C4643" w:rsidRPr="003D1E07">
        <w:rPr>
          <w:lang w:eastAsia="en-US"/>
        </w:rPr>
        <w:t xml:space="preserve">první substanci </w:t>
      </w:r>
      <w:r w:rsidR="002F5378" w:rsidRPr="003D1E07">
        <w:rPr>
          <w:lang w:eastAsia="en-US"/>
        </w:rPr>
        <w:t>a mimo univer</w:t>
      </w:r>
      <w:r w:rsidR="003B0398" w:rsidRPr="003D1E07">
        <w:rPr>
          <w:lang w:eastAsia="en-US"/>
        </w:rPr>
        <w:t>z</w:t>
      </w:r>
      <w:r w:rsidR="002F5378" w:rsidRPr="003D1E07">
        <w:rPr>
          <w:lang w:eastAsia="en-US"/>
        </w:rPr>
        <w:t>ální určení</w:t>
      </w:r>
      <w:r w:rsidR="084C4643" w:rsidRPr="003D1E07">
        <w:rPr>
          <w:lang w:eastAsia="en-US"/>
        </w:rPr>
        <w:t xml:space="preserve"> druhé substance</w:t>
      </w:r>
      <w:r w:rsidR="002A5D70" w:rsidRPr="003D1E07">
        <w:rPr>
          <w:rStyle w:val="addmd"/>
          <w:i/>
        </w:rPr>
        <w:fldChar w:fldCharType="begin"/>
      </w:r>
      <w:r w:rsidR="002A5D70" w:rsidRPr="003D1E07">
        <w:instrText xml:space="preserve"> XE "predikace:objektivní" </w:instrText>
      </w:r>
      <w:r w:rsidR="002A5D70" w:rsidRPr="003D1E07">
        <w:rPr>
          <w:rStyle w:val="addmd"/>
          <w:i/>
        </w:rPr>
        <w:fldChar w:fldCharType="end"/>
      </w:r>
      <w:r w:rsidR="002F5378" w:rsidRPr="003D1E07">
        <w:rPr>
          <w:lang w:eastAsia="en-US"/>
        </w:rPr>
        <w:t xml:space="preserve">. </w:t>
      </w:r>
      <w:r w:rsidR="006258CF" w:rsidRPr="003D1E07">
        <w:t>Nové objektivní určení jsoucna zakládá novou nedělitelnou substanci třetího druhu (</w:t>
      </w:r>
      <w:r w:rsidR="006258CF" w:rsidRPr="003D1E07">
        <w:rPr>
          <w:i/>
        </w:rPr>
        <w:t>individuum</w:t>
      </w:r>
      <w:r w:rsidR="006258CF" w:rsidRPr="003D1E07">
        <w:rPr>
          <w:rStyle w:val="addmd"/>
          <w:i/>
        </w:rPr>
        <w:fldChar w:fldCharType="begin"/>
      </w:r>
      <w:r w:rsidR="006258CF" w:rsidRPr="003D1E07">
        <w:instrText xml:space="preserve"> XE "substance:individuum" </w:instrText>
      </w:r>
      <w:r w:rsidR="006258CF" w:rsidRPr="003D1E07">
        <w:rPr>
          <w:rStyle w:val="addmd"/>
          <w:i/>
        </w:rPr>
        <w:fldChar w:fldCharType="end"/>
      </w:r>
      <w:r w:rsidR="006258CF" w:rsidRPr="003D1E07">
        <w:t xml:space="preserve">), kterou na latinském Západě prosadí škola porretánů (OBJ II, kap. 1.4) proti aristotelikovi Abelardovi. </w:t>
      </w:r>
      <w:r w:rsidR="002F5378" w:rsidRPr="003D1E07">
        <w:rPr>
          <w:lang w:eastAsia="en-US"/>
        </w:rPr>
        <w:t xml:space="preserve">Následující citát ukazuje vznik objektivního </w:t>
      </w:r>
      <w:r w:rsidR="00622AB3" w:rsidRPr="003D1E07">
        <w:rPr>
          <w:lang w:eastAsia="en-US"/>
        </w:rPr>
        <w:t xml:space="preserve">významu jako </w:t>
      </w:r>
      <w:r w:rsidR="002F5378" w:rsidRPr="003D1E07">
        <w:rPr>
          <w:lang w:eastAsia="en-US"/>
        </w:rPr>
        <w:t>atomární substance, která dostala pod</w:t>
      </w:r>
      <w:r w:rsidR="087939F1" w:rsidRPr="003D1E07">
        <w:rPr>
          <w:lang w:eastAsia="en-US"/>
        </w:rPr>
        <w:t>obné vlastnosti jako Simplikiova kosmická</w:t>
      </w:r>
      <w:r w:rsidR="002F5378" w:rsidRPr="003D1E07">
        <w:rPr>
          <w:lang w:eastAsia="en-US"/>
        </w:rPr>
        <w:t xml:space="preserve"> </w:t>
      </w:r>
      <w:r w:rsidR="00F214C5" w:rsidRPr="003D1E07">
        <w:rPr>
          <w:lang w:eastAsia="en-US"/>
        </w:rPr>
        <w:t>species</w:t>
      </w:r>
      <w:r w:rsidR="08AF6B7D" w:rsidRPr="003D1E07">
        <w:rPr>
          <w:lang w:eastAsia="en-US"/>
        </w:rPr>
        <w:t xml:space="preserve"> (kap. 1.3</w:t>
      </w:r>
      <w:r w:rsidR="002F5378" w:rsidRPr="003D1E07">
        <w:rPr>
          <w:lang w:eastAsia="en-US"/>
        </w:rPr>
        <w:t>.1). Simplikius vztáhl n</w:t>
      </w:r>
      <w:r w:rsidR="002F5378" w:rsidRPr="003D1E07">
        <w:t xml:space="preserve">edělitelnost k primárním kosmickým </w:t>
      </w:r>
      <w:r w:rsidR="00F214C5" w:rsidRPr="003D1E07">
        <w:t>species</w:t>
      </w:r>
      <w:r w:rsidR="087939F1" w:rsidRPr="003D1E07">
        <w:t>, která</w:t>
      </w:r>
      <w:r w:rsidR="002F5378" w:rsidRPr="003D1E07">
        <w:t xml:space="preserve"> </w:t>
      </w:r>
      <w:r w:rsidR="087939F1" w:rsidRPr="003D1E07">
        <w:t xml:space="preserve">díky nematerialitě tělesa </w:t>
      </w:r>
      <w:r w:rsidR="002F5378" w:rsidRPr="003D1E07">
        <w:t xml:space="preserve">drží </w:t>
      </w:r>
      <w:r w:rsidR="087939F1" w:rsidRPr="003D1E07">
        <w:t xml:space="preserve">metafyzický </w:t>
      </w:r>
      <w:r w:rsidR="002F5378" w:rsidRPr="003D1E07">
        <w:t>primát nad ostatními prvními substancemi</w:t>
      </w:r>
      <w:r w:rsidR="002A5D70" w:rsidRPr="003D1E07">
        <w:rPr>
          <w:rStyle w:val="addmd"/>
          <w:i/>
        </w:rPr>
        <w:fldChar w:fldCharType="begin"/>
      </w:r>
      <w:r w:rsidR="002A5D70" w:rsidRPr="003D1E07">
        <w:instrText xml:space="preserve"> XE "substance:Avicenna" </w:instrText>
      </w:r>
      <w:r w:rsidR="002A5D70" w:rsidRPr="003D1E07">
        <w:rPr>
          <w:rStyle w:val="addmd"/>
          <w:i/>
        </w:rPr>
        <w:fldChar w:fldCharType="end"/>
      </w:r>
      <w:r w:rsidR="002F5378" w:rsidRPr="003D1E07">
        <w:t xml:space="preserve">. Avicenna </w:t>
      </w:r>
      <w:r w:rsidR="00795460" w:rsidRPr="003D1E07">
        <w:t>založil nové určení</w:t>
      </w:r>
      <w:r w:rsidR="00ED7DCD" w:rsidRPr="003D1E07">
        <w:t xml:space="preserve"> jednotliviny</w:t>
      </w:r>
      <w:r w:rsidR="00795460" w:rsidRPr="003D1E07">
        <w:t xml:space="preserve">, které není ani první ani druhá substance a má vlastní formu esenciální přirozenosti. </w:t>
      </w:r>
    </w:p>
    <w:p w14:paraId="5188E7E9" w14:textId="7BD8EA60" w:rsidR="008D23BF" w:rsidRPr="003D1E07" w:rsidRDefault="002F5378" w:rsidP="00726813">
      <w:pPr>
        <w:pStyle w:val="Citace"/>
        <w:rPr>
          <w:lang w:val="cs-CZ"/>
        </w:rPr>
      </w:pPr>
      <w:r w:rsidRPr="003D1E07">
        <w:rPr>
          <w:lang w:val="cs-CZ"/>
        </w:rPr>
        <w:t>„Přirozenost se vypov</w:t>
      </w:r>
      <w:r w:rsidR="00D64AF8">
        <w:rPr>
          <w:lang w:val="cs-CZ"/>
        </w:rPr>
        <w:t xml:space="preserve">ídá buď vzhledem k jednotlivině, </w:t>
      </w:r>
      <w:r w:rsidRPr="003D1E07">
        <w:rPr>
          <w:lang w:val="cs-CZ"/>
        </w:rPr>
        <w:t xml:space="preserve">nebo </w:t>
      </w:r>
      <w:r w:rsidR="0083661D">
        <w:rPr>
          <w:lang w:val="cs-CZ"/>
        </w:rPr>
        <w:t xml:space="preserve">k </w:t>
      </w:r>
      <w:r w:rsidRPr="003D1E07">
        <w:rPr>
          <w:lang w:val="cs-CZ"/>
        </w:rPr>
        <w:t>obecnině. Co je vypovídáno vzhledem k jednotlivině, to patří k podstatě reálně existující jednotliviny. Co je predikováno v univerzálním modu</w:t>
      </w:r>
      <w:r w:rsidR="008D23BF" w:rsidRPr="003D1E07">
        <w:rPr>
          <w:lang w:val="cs-CZ"/>
        </w:rPr>
        <w:t>,</w:t>
      </w:r>
      <w:r w:rsidRPr="003D1E07">
        <w:rPr>
          <w:lang w:val="cs-CZ"/>
        </w:rPr>
        <w:t xml:space="preserve"> a tím spíše univerzalita chápaná jako </w:t>
      </w:r>
      <w:r w:rsidR="00F214C5" w:rsidRPr="003D1E07">
        <w:rPr>
          <w:lang w:val="cs-CZ"/>
        </w:rPr>
        <w:t>species</w:t>
      </w:r>
      <w:r w:rsidRPr="003D1E07">
        <w:rPr>
          <w:lang w:val="cs-CZ"/>
        </w:rPr>
        <w:t xml:space="preserve">, </w:t>
      </w:r>
      <w:r w:rsidR="008D23BF" w:rsidRPr="003D1E07">
        <w:rPr>
          <w:lang w:val="cs-CZ"/>
        </w:rPr>
        <w:t>to musí mít univerzalitu danou odděleně (</w:t>
      </w:r>
      <w:r w:rsidR="008D23BF" w:rsidRPr="003D1E07">
        <w:rPr>
          <w:i/>
          <w:lang w:val="cs-CZ"/>
        </w:rPr>
        <w:t>absolute</w:t>
      </w:r>
      <w:r w:rsidR="008D23BF" w:rsidRPr="003D1E07">
        <w:rPr>
          <w:lang w:val="cs-CZ"/>
        </w:rPr>
        <w:t xml:space="preserve">). Absolutní přirozenost chápaná vzhledem k tomuto dvojímu způsobu </w:t>
      </w:r>
      <w:r w:rsidR="00A71CE3" w:rsidRPr="003D1E07">
        <w:rPr>
          <w:lang w:val="cs-CZ"/>
        </w:rPr>
        <w:t xml:space="preserve">univerzální </w:t>
      </w:r>
      <w:r w:rsidR="008D23BF" w:rsidRPr="003D1E07">
        <w:rPr>
          <w:lang w:val="cs-CZ"/>
        </w:rPr>
        <w:t xml:space="preserve">danosti neexistuje v v reálně daných jednotlivinách, </w:t>
      </w:r>
      <w:r w:rsidR="008E3D65" w:rsidRPr="003D1E07">
        <w:rPr>
          <w:lang w:val="cs-CZ"/>
        </w:rPr>
        <w:t xml:space="preserve">protože je </w:t>
      </w:r>
      <w:r w:rsidR="008D23BF" w:rsidRPr="003D1E07">
        <w:rPr>
          <w:lang w:val="cs-CZ"/>
        </w:rPr>
        <w:t xml:space="preserve">univerzální esencí existující pouze v mysli. </w:t>
      </w:r>
      <w:r w:rsidR="00726813" w:rsidRPr="003D1E07">
        <w:rPr>
          <w:lang w:val="cs-CZ"/>
        </w:rPr>
        <w:t>Proto tvrdím, že bytí</w:t>
      </w:r>
      <w:r w:rsidR="007A56B5" w:rsidRPr="003D1E07">
        <w:rPr>
          <w:lang w:val="cs-CZ"/>
        </w:rPr>
        <w:t xml:space="preserve"> této absolutní přirozenosti </w:t>
      </w:r>
      <w:r w:rsidR="084B30BE" w:rsidRPr="003D1E07">
        <w:rPr>
          <w:lang w:val="cs-CZ"/>
        </w:rPr>
        <w:t>existuje pouze individuálně</w:t>
      </w:r>
      <w:r w:rsidR="00726813" w:rsidRPr="003D1E07">
        <w:rPr>
          <w:lang w:val="cs-CZ"/>
        </w:rPr>
        <w:t xml:space="preserve"> (</w:t>
      </w:r>
      <w:r w:rsidR="00726813" w:rsidRPr="003D1E07">
        <w:rPr>
          <w:i/>
          <w:lang w:val="cs-CZ"/>
        </w:rPr>
        <w:t>non habet esse nisi particulare</w:t>
      </w:r>
      <w:r w:rsidR="00726813" w:rsidRPr="003D1E07">
        <w:rPr>
          <w:lang w:val="cs-CZ"/>
        </w:rPr>
        <w:t>).“</w:t>
      </w:r>
      <w:r w:rsidR="00FD257C" w:rsidRPr="003D1E07">
        <w:rPr>
          <w:rStyle w:val="Znakapoznpodarou"/>
          <w:lang w:val="cs-CZ" w:eastAsia="en-US"/>
        </w:rPr>
        <w:t> </w:t>
      </w:r>
      <w:r w:rsidR="00FD257C" w:rsidRPr="003D1E07">
        <w:rPr>
          <w:rStyle w:val="Znakapoznpodarou"/>
          <w:lang w:val="cs-CZ" w:eastAsia="en-US"/>
        </w:rPr>
        <w:footnoteReference w:id="154"/>
      </w:r>
    </w:p>
    <w:p w14:paraId="131167F0" w14:textId="633636C3" w:rsidR="00C220E4" w:rsidRDefault="00FD257C" w:rsidP="084D3EA8">
      <w:r w:rsidRPr="003D1E07">
        <w:rPr>
          <w:lang w:eastAsia="en-US"/>
        </w:rPr>
        <w:t xml:space="preserve">Poznání přirozenosti už není vázáno na </w:t>
      </w:r>
      <w:r w:rsidR="00A02DED" w:rsidRPr="003D1E07">
        <w:rPr>
          <w:lang w:eastAsia="en-US"/>
        </w:rPr>
        <w:t>abstrakci</w:t>
      </w:r>
      <w:r w:rsidRPr="003D1E07">
        <w:rPr>
          <w:lang w:eastAsia="en-US"/>
        </w:rPr>
        <w:t xml:space="preserve"> od </w:t>
      </w:r>
      <w:r w:rsidR="08793AE5" w:rsidRPr="003D1E07">
        <w:rPr>
          <w:lang w:eastAsia="en-US"/>
        </w:rPr>
        <w:t>první substance</w:t>
      </w:r>
      <w:r w:rsidRPr="003D1E07">
        <w:rPr>
          <w:lang w:eastAsia="en-US"/>
        </w:rPr>
        <w:t xml:space="preserve">, která </w:t>
      </w:r>
      <w:r w:rsidR="087E72C5" w:rsidRPr="003D1E07">
        <w:rPr>
          <w:lang w:eastAsia="en-US"/>
        </w:rPr>
        <w:t xml:space="preserve">determinuje </w:t>
      </w:r>
      <w:r w:rsidRPr="003D1E07">
        <w:rPr>
          <w:lang w:eastAsia="en-US"/>
        </w:rPr>
        <w:t xml:space="preserve">vznik univerzálního významu </w:t>
      </w:r>
      <w:r w:rsidR="002F5378" w:rsidRPr="003D1E07">
        <w:rPr>
          <w:lang w:eastAsia="en-US"/>
        </w:rPr>
        <w:t>(</w:t>
      </w:r>
      <w:r w:rsidR="002F5378" w:rsidRPr="003D1E07">
        <w:rPr>
          <w:i/>
        </w:rPr>
        <w:t>non habet esse in signatis scilicet individuis</w:t>
      </w:r>
      <w:r w:rsidR="002F5378" w:rsidRPr="003D1E07">
        <w:rPr>
          <w:lang w:eastAsia="en-US"/>
        </w:rPr>
        <w:t>)</w:t>
      </w:r>
      <w:r w:rsidR="08793AE5" w:rsidRPr="003D1E07">
        <w:rPr>
          <w:lang w:eastAsia="en-US"/>
        </w:rPr>
        <w:t xml:space="preserve">. </w:t>
      </w:r>
      <w:r w:rsidR="0824161C" w:rsidRPr="003D1E07">
        <w:rPr>
          <w:lang w:eastAsia="en-US"/>
        </w:rPr>
        <w:t xml:space="preserve">Avicenna </w:t>
      </w:r>
      <w:r w:rsidR="08793AE5" w:rsidRPr="003D1E07">
        <w:rPr>
          <w:lang w:eastAsia="en-US"/>
        </w:rPr>
        <w:t xml:space="preserve">definuje výskyt univerzální formy jako zvláštní druh </w:t>
      </w:r>
      <w:r w:rsidR="00F214C5" w:rsidRPr="003D1E07">
        <w:rPr>
          <w:lang w:eastAsia="en-US"/>
        </w:rPr>
        <w:t>species</w:t>
      </w:r>
      <w:r w:rsidR="08793AE5" w:rsidRPr="003D1E07">
        <w:rPr>
          <w:lang w:eastAsia="en-US"/>
        </w:rPr>
        <w:t xml:space="preserve"> (</w:t>
      </w:r>
      <w:r w:rsidR="08793AE5" w:rsidRPr="003D1E07">
        <w:rPr>
          <w:i/>
        </w:rPr>
        <w:t xml:space="preserve">universalis considerata ut </w:t>
      </w:r>
      <w:r w:rsidR="00F214C5" w:rsidRPr="003D1E07">
        <w:rPr>
          <w:i/>
        </w:rPr>
        <w:t>species</w:t>
      </w:r>
      <w:r w:rsidR="087E72C5" w:rsidRPr="003D1E07">
        <w:t>). Ta</w:t>
      </w:r>
      <w:r w:rsidR="001509D1" w:rsidRPr="003D1E07">
        <w:t xml:space="preserve">to </w:t>
      </w:r>
      <w:r w:rsidR="085C41FA" w:rsidRPr="003D1E07">
        <w:t xml:space="preserve">nová </w:t>
      </w:r>
      <w:r w:rsidR="00F214C5" w:rsidRPr="003D1E07">
        <w:t>species</w:t>
      </w:r>
      <w:r w:rsidR="001509D1" w:rsidRPr="003D1E07">
        <w:t xml:space="preserve"> </w:t>
      </w:r>
      <w:r w:rsidR="00B76CB2" w:rsidRPr="003D1E07">
        <w:t xml:space="preserve">existuje </w:t>
      </w:r>
      <w:r w:rsidR="08793AE5" w:rsidRPr="003D1E07">
        <w:t xml:space="preserve">odděleně od procesu poznání </w:t>
      </w:r>
      <w:r w:rsidR="00B76CB2" w:rsidRPr="003D1E07">
        <w:t>skrze univerzália</w:t>
      </w:r>
      <w:r w:rsidR="001509D1" w:rsidRPr="003D1E07">
        <w:t xml:space="preserve"> daná rodově a specificky</w:t>
      </w:r>
      <w:r w:rsidR="08793AE5" w:rsidRPr="003D1E07">
        <w:t xml:space="preserve">. </w:t>
      </w:r>
      <w:r w:rsidR="000900E0" w:rsidRPr="003D1E07">
        <w:t xml:space="preserve">Nová forma bytí věci </w:t>
      </w:r>
      <w:r w:rsidR="008F32AC" w:rsidRPr="003D1E07">
        <w:t xml:space="preserve">stojí </w:t>
      </w:r>
      <w:r w:rsidR="00CB1A24" w:rsidRPr="003D1E07">
        <w:t xml:space="preserve">mimo jednotliviny a mimo univerzálie </w:t>
      </w:r>
      <w:r w:rsidR="008F32AC" w:rsidRPr="003D1E07">
        <w:t xml:space="preserve">a </w:t>
      </w:r>
      <w:r w:rsidR="087E72C5" w:rsidRPr="003D1E07">
        <w:t xml:space="preserve">bytuje </w:t>
      </w:r>
      <w:r w:rsidR="00CB1A24" w:rsidRPr="003D1E07">
        <w:t xml:space="preserve">jako </w:t>
      </w:r>
      <w:r w:rsidR="000900E0" w:rsidRPr="003D1E07">
        <w:t>nedělitelná substance, neboli objektivní individuum (</w:t>
      </w:r>
      <w:r w:rsidR="000900E0" w:rsidRPr="003D1E07">
        <w:rPr>
          <w:i/>
        </w:rPr>
        <w:t>esse particulare</w:t>
      </w:r>
      <w:r w:rsidR="000900E0" w:rsidRPr="003D1E07">
        <w:t xml:space="preserve">). </w:t>
      </w:r>
      <w:r w:rsidR="00030288" w:rsidRPr="003D1E07">
        <w:t xml:space="preserve">Její existence </w:t>
      </w:r>
      <w:r w:rsidR="08964B4E" w:rsidRPr="003D1E07">
        <w:t xml:space="preserve">třetího druhu </w:t>
      </w:r>
      <w:r w:rsidR="00030288" w:rsidRPr="003D1E07">
        <w:t>je v mysli, kde má univerzální charakter</w:t>
      </w:r>
      <w:r w:rsidR="005D0D39">
        <w:t>. Reálná</w:t>
      </w:r>
      <w:r w:rsidR="00C52156" w:rsidRPr="003D1E07">
        <w:t xml:space="preserve"> jedno</w:t>
      </w:r>
      <w:r w:rsidR="007A56B5" w:rsidRPr="003D1E07">
        <w:t>t</w:t>
      </w:r>
      <w:r w:rsidR="00C52156" w:rsidRPr="003D1E07">
        <w:t>l</w:t>
      </w:r>
      <w:r w:rsidR="005D0D39">
        <w:t xml:space="preserve">ivina je dána na nižším patře existence. </w:t>
      </w:r>
      <w:r w:rsidR="003F470D" w:rsidRPr="003D1E07">
        <w:rPr>
          <w:lang w:eastAsia="en-US"/>
        </w:rPr>
        <w:t xml:space="preserve">Avicenna vytvořil koncept </w:t>
      </w:r>
      <w:r w:rsidR="0055339D">
        <w:rPr>
          <w:lang w:eastAsia="en-US"/>
        </w:rPr>
        <w:t>plně oddělené přirozenosti (</w:t>
      </w:r>
      <w:r w:rsidR="0055339D">
        <w:rPr>
          <w:i/>
        </w:rPr>
        <w:t>universalis absolute</w:t>
      </w:r>
      <w:r w:rsidR="0055339D">
        <w:t>)</w:t>
      </w:r>
      <w:r w:rsidR="003F470D" w:rsidRPr="003D1E07">
        <w:t>, která má singulární charakter</w:t>
      </w:r>
      <w:r w:rsidR="087E72C5" w:rsidRPr="003D1E07">
        <w:t xml:space="preserve"> ve výše popsaném modu generického individua. </w:t>
      </w:r>
      <w:r w:rsidR="000B3CC4" w:rsidRPr="000B3CC4">
        <w:t xml:space="preserve">Individuum si </w:t>
      </w:r>
      <w:r w:rsidR="000B3CC4">
        <w:t xml:space="preserve">ale </w:t>
      </w:r>
      <w:r w:rsidR="000B3CC4" w:rsidRPr="000B3CC4">
        <w:t xml:space="preserve">v aristotelském dělení univerzálií zachovává specifický, nikoli </w:t>
      </w:r>
      <w:r w:rsidR="000B3CC4">
        <w:t xml:space="preserve">generický </w:t>
      </w:r>
      <w:r w:rsidR="000B3CC4" w:rsidRPr="000B3CC4">
        <w:t xml:space="preserve">význam. </w:t>
      </w:r>
      <w:r w:rsidR="000B3CC4">
        <w:t>Avicennovo u</w:t>
      </w:r>
      <w:r w:rsidR="087E72C5" w:rsidRPr="003D1E07">
        <w:t xml:space="preserve">rčení věci </w:t>
      </w:r>
      <w:r w:rsidR="007A56B5" w:rsidRPr="003D1E07">
        <w:t xml:space="preserve">je </w:t>
      </w:r>
      <w:r w:rsidR="087E72C5" w:rsidRPr="003D1E07">
        <w:t xml:space="preserve">dáno </w:t>
      </w:r>
      <w:r w:rsidR="003F470D" w:rsidRPr="003D1E07">
        <w:t>mimo reálně existující první substance</w:t>
      </w:r>
      <w:r w:rsidR="003A0637" w:rsidRPr="003D1E07">
        <w:t xml:space="preserve"> a mimo univerzália</w:t>
      </w:r>
      <w:r w:rsidR="003F470D" w:rsidRPr="003D1E07">
        <w:t xml:space="preserve">. </w:t>
      </w:r>
      <w:r w:rsidR="0042396E" w:rsidRPr="003D1E07">
        <w:t>Tuto hypostázovanou přirozenost v aristotelské bagdádské škole zásadně odmítl Ibn Ádí v citovaném traktátu o modech jsoucna jako naprostou absurditu</w:t>
      </w:r>
      <w:r w:rsidR="08CD5794" w:rsidRPr="003D1E07">
        <w:t xml:space="preserve"> (kap. 2.2)</w:t>
      </w:r>
      <w:r w:rsidR="0042396E" w:rsidRPr="003D1E07">
        <w:t xml:space="preserve">. Ibn Ádí se </w:t>
      </w:r>
      <w:r w:rsidR="0042396E" w:rsidRPr="003D1E07">
        <w:lastRenderedPageBreak/>
        <w:t xml:space="preserve">odvolává na Aristotelovu </w:t>
      </w:r>
      <w:r w:rsidR="0042396E" w:rsidRPr="003D1E07">
        <w:rPr>
          <w:i/>
        </w:rPr>
        <w:t>Fyziku</w:t>
      </w:r>
      <w:r w:rsidR="0042396E" w:rsidRPr="003D1E07">
        <w:t xml:space="preserve"> II.1, 193a3‒6</w:t>
      </w:r>
      <w:r w:rsidR="0042396E" w:rsidRPr="003D1E07">
        <w:fldChar w:fldCharType="begin"/>
      </w:r>
      <w:r w:rsidR="0042396E" w:rsidRPr="003D1E07">
        <w:instrText xml:space="preserve"> XE "</w:instrText>
      </w:r>
      <w:r w:rsidR="008E02F5" w:rsidRPr="003D1E07">
        <w:instrText>Aristoteles</w:instrText>
      </w:r>
      <w:r w:rsidR="0042396E" w:rsidRPr="003D1E07">
        <w:instrText>:</w:instrText>
      </w:r>
      <w:r w:rsidR="0042396E" w:rsidRPr="003D1E07">
        <w:rPr>
          <w:i/>
        </w:rPr>
        <w:instrText>Phys</w:instrText>
      </w:r>
      <w:r w:rsidR="0042396E" w:rsidRPr="003D1E07">
        <w:instrText xml:space="preserve">. 193a3‒6" </w:instrText>
      </w:r>
      <w:r w:rsidR="0042396E" w:rsidRPr="003D1E07">
        <w:fldChar w:fldCharType="end"/>
      </w:r>
      <w:r w:rsidR="0042396E" w:rsidRPr="003D1E07">
        <w:t>, kterou doslova cituje (</w:t>
      </w:r>
      <w:r w:rsidR="0042396E" w:rsidRPr="003D1E07">
        <w:rPr>
          <w:i/>
        </w:rPr>
        <w:t xml:space="preserve">On the Four Scientific Questions, </w:t>
      </w:r>
      <w:r w:rsidR="0042396E" w:rsidRPr="003D1E07">
        <w:t>p. 90</w:t>
      </w:r>
      <w:r w:rsidR="0042396E" w:rsidRPr="003D1E07">
        <w:fldChar w:fldCharType="begin"/>
      </w:r>
      <w:r w:rsidR="0042396E" w:rsidRPr="003D1E07">
        <w:instrText xml:space="preserve"> XE "Ibn-Ádí:</w:instrText>
      </w:r>
      <w:r w:rsidR="0042396E" w:rsidRPr="003D1E07">
        <w:rPr>
          <w:i/>
        </w:rPr>
        <w:instrText xml:space="preserve">On the Four Scientific Questions </w:instrText>
      </w:r>
      <w:r w:rsidR="0042396E" w:rsidRPr="003D1E07">
        <w:instrText xml:space="preserve">90" </w:instrText>
      </w:r>
      <w:r w:rsidR="0042396E" w:rsidRPr="003D1E07">
        <w:fldChar w:fldCharType="end"/>
      </w:r>
      <w:r w:rsidR="0042396E" w:rsidRPr="003D1E07">
        <w:t xml:space="preserve">) proti </w:t>
      </w:r>
      <w:r w:rsidR="00874074" w:rsidRPr="003D1E07">
        <w:t>neoplatonsk</w:t>
      </w:r>
      <w:r w:rsidR="0042396E" w:rsidRPr="003D1E07">
        <w:t>é škole výkladu Druhého mistra</w:t>
      </w:r>
      <w:r w:rsidR="00A17DBD">
        <w:t xml:space="preserve">. Z této školy </w:t>
      </w:r>
      <w:r w:rsidR="0042396E" w:rsidRPr="003D1E07">
        <w:t>vzešel Avicenna</w:t>
      </w:r>
      <w:r w:rsidR="00A17DBD">
        <w:t xml:space="preserve"> o jednu generaci později</w:t>
      </w:r>
      <w:r w:rsidR="0042396E" w:rsidRPr="003D1E07">
        <w:t>. Aristotelovu větu o směšnosti těch, kdo by chtěli dokazovat existenci reálného světa prvních substancí (</w:t>
      </w:r>
      <w:r w:rsidR="0042396E" w:rsidRPr="003D1E07">
        <w:rPr>
          <w:i/>
        </w:rPr>
        <w:t>Phys</w:t>
      </w:r>
      <w:r w:rsidR="0042396E" w:rsidRPr="003D1E07">
        <w:t>. 193a3</w:t>
      </w:r>
      <w:r w:rsidR="0042396E" w:rsidRPr="003D1E07">
        <w:fldChar w:fldCharType="begin"/>
      </w:r>
      <w:r w:rsidR="0042396E" w:rsidRPr="003D1E07">
        <w:instrText xml:space="preserve"> XE "</w:instrText>
      </w:r>
      <w:r w:rsidR="008E02F5" w:rsidRPr="003D1E07">
        <w:instrText>Aristoteles</w:instrText>
      </w:r>
      <w:r w:rsidR="0042396E" w:rsidRPr="003D1E07">
        <w:instrText>:</w:instrText>
      </w:r>
      <w:r w:rsidR="0042396E" w:rsidRPr="003D1E07">
        <w:rPr>
          <w:i/>
        </w:rPr>
        <w:instrText>Phys</w:instrText>
      </w:r>
      <w:r w:rsidR="0042396E" w:rsidRPr="003D1E07">
        <w:instrText xml:space="preserve">. 193a3" </w:instrText>
      </w:r>
      <w:r w:rsidR="0042396E" w:rsidRPr="003D1E07">
        <w:fldChar w:fldCharType="end"/>
      </w:r>
      <w:r w:rsidR="0042396E" w:rsidRPr="003D1E07">
        <w:t>) budou za tři století v dalším kole gigantomachie o substanci opakovat Roger Bacon a Albert Veliký proti nové vlně avicennistů z Oxfordu a z</w:t>
      </w:r>
      <w:r w:rsidR="08964B4E" w:rsidRPr="003D1E07">
        <w:t> </w:t>
      </w:r>
      <w:r w:rsidR="0042396E" w:rsidRPr="003D1E07">
        <w:t>Paříže</w:t>
      </w:r>
      <w:r w:rsidR="08964B4E" w:rsidRPr="003D1E07">
        <w:t xml:space="preserve">. Tito ilumináti </w:t>
      </w:r>
      <w:r w:rsidR="00F9085B" w:rsidRPr="003D1E07">
        <w:t xml:space="preserve">pokračovali na </w:t>
      </w:r>
      <w:r w:rsidR="00F9085B" w:rsidRPr="003D1E07">
        <w:rPr>
          <w:i/>
        </w:rPr>
        <w:t>via Modernorum</w:t>
      </w:r>
      <w:r w:rsidR="00CF4664" w:rsidRPr="003D1E07">
        <w:rPr>
          <w:i/>
        </w:rPr>
        <w:fldChar w:fldCharType="begin"/>
      </w:r>
      <w:r w:rsidR="00CF4664" w:rsidRPr="003D1E07">
        <w:instrText xml:space="preserve"> XE "</w:instrText>
      </w:r>
      <w:r w:rsidR="00CF4664" w:rsidRPr="003D1E07">
        <w:rPr>
          <w:i/>
        </w:rPr>
        <w:instrText>via Modernorum</w:instrText>
      </w:r>
      <w:r w:rsidR="00CF4664" w:rsidRPr="003D1E07">
        <w:instrText xml:space="preserve">" </w:instrText>
      </w:r>
      <w:r w:rsidR="00CF4664" w:rsidRPr="003D1E07">
        <w:rPr>
          <w:i/>
        </w:rPr>
        <w:fldChar w:fldCharType="end"/>
      </w:r>
      <w:r w:rsidR="00F9085B" w:rsidRPr="003D1E07">
        <w:t xml:space="preserve"> dané od falsafy</w:t>
      </w:r>
      <w:r w:rsidR="00C114CB" w:rsidRPr="003D1E07">
        <w:t xml:space="preserve"> ze školy Al-Kindího</w:t>
      </w:r>
      <w:r w:rsidR="08E141F5" w:rsidRPr="003D1E07">
        <w:t xml:space="preserve"> přes Avicennu až k</w:t>
      </w:r>
      <w:r w:rsidR="00323FE8" w:rsidRPr="003D1E07">
        <w:t xml:space="preserve"> Descartovi a </w:t>
      </w:r>
      <w:r w:rsidR="08E141F5" w:rsidRPr="003D1E07">
        <w:t>Husserlovi</w:t>
      </w:r>
      <w:r w:rsidR="00CF4664" w:rsidRPr="003D1E07">
        <w:fldChar w:fldCharType="begin"/>
      </w:r>
      <w:r w:rsidR="00CF4664" w:rsidRPr="003D1E07">
        <w:instrText xml:space="preserve"> XE "Al-Kindí" </w:instrText>
      </w:r>
      <w:r w:rsidR="00CF4664" w:rsidRPr="003D1E07">
        <w:fldChar w:fldCharType="end"/>
      </w:r>
      <w:r w:rsidR="0042396E" w:rsidRPr="003D1E07">
        <w:t xml:space="preserve">. </w:t>
      </w:r>
      <w:r w:rsidR="003F470D" w:rsidRPr="003D1E07">
        <w:t xml:space="preserve">Nová metafyzika </w:t>
      </w:r>
      <w:r w:rsidR="00583D3C" w:rsidRPr="003D1E07">
        <w:t xml:space="preserve">species jako první substance </w:t>
      </w:r>
      <w:r w:rsidR="08793AE5" w:rsidRPr="003D1E07">
        <w:rPr>
          <w:lang w:eastAsia="en-US"/>
        </w:rPr>
        <w:t xml:space="preserve">chápe </w:t>
      </w:r>
      <w:r w:rsidR="0067601C">
        <w:rPr>
          <w:lang w:eastAsia="en-US"/>
        </w:rPr>
        <w:t xml:space="preserve">objektivizaci </w:t>
      </w:r>
      <w:r w:rsidR="08793AE5" w:rsidRPr="003D1E07">
        <w:rPr>
          <w:lang w:eastAsia="en-US"/>
        </w:rPr>
        <w:t>přirozenosti mimo reá</w:t>
      </w:r>
      <w:r w:rsidR="08DE0681" w:rsidRPr="003D1E07">
        <w:rPr>
          <w:lang w:eastAsia="en-US"/>
        </w:rPr>
        <w:t>lnou substanci a zavádí termín neurčité nebo generické individuum</w:t>
      </w:r>
      <w:r w:rsidR="08793AE5" w:rsidRPr="003D1E07">
        <w:rPr>
          <w:lang w:eastAsia="en-US"/>
        </w:rPr>
        <w:t xml:space="preserve"> </w:t>
      </w:r>
      <w:r w:rsidR="08793AE5" w:rsidRPr="003D1E07">
        <w:t>(</w:t>
      </w:r>
      <w:r w:rsidR="08793AE5" w:rsidRPr="003D1E07">
        <w:rPr>
          <w:i/>
        </w:rPr>
        <w:t>šaḫṣ muntašir</w:t>
      </w:r>
      <w:r w:rsidR="08793AE5" w:rsidRPr="003D1E07">
        <w:t xml:space="preserve">). </w:t>
      </w:r>
      <w:r w:rsidR="00597071" w:rsidRPr="003D1E07">
        <w:t xml:space="preserve">Latinské překlady tohoto termínu se liší podle různých spisů: </w:t>
      </w:r>
      <w:r w:rsidR="00597071" w:rsidRPr="00E76A50">
        <w:rPr>
          <w:i/>
        </w:rPr>
        <w:t>species</w:t>
      </w:r>
      <w:r w:rsidR="00597071" w:rsidRPr="003D1E07">
        <w:rPr>
          <w:i/>
        </w:rPr>
        <w:t xml:space="preserve"> dilatata</w:t>
      </w:r>
      <w:r w:rsidR="00597071" w:rsidRPr="003D1E07">
        <w:t xml:space="preserve">, </w:t>
      </w:r>
      <w:r w:rsidR="00597071" w:rsidRPr="003D1E07">
        <w:rPr>
          <w:i/>
        </w:rPr>
        <w:t>individuum vagum</w:t>
      </w:r>
      <w:r w:rsidR="00597071" w:rsidRPr="003D1E07">
        <w:t xml:space="preserve">, </w:t>
      </w:r>
      <w:r w:rsidR="00597071" w:rsidRPr="003D1E07">
        <w:rPr>
          <w:i/>
        </w:rPr>
        <w:t>individuum perpetuum</w:t>
      </w:r>
      <w:r w:rsidR="00597071" w:rsidRPr="003D1E07">
        <w:t xml:space="preserve"> (Libera 1999, 529‒32). </w:t>
      </w:r>
      <w:r w:rsidR="008B1EEE" w:rsidRPr="003D1E07">
        <w:t>Vágní a kontradiktorní individuum se stane objektivní substancí a vítězně dokoná zatmění první substance</w:t>
      </w:r>
      <w:r w:rsidR="008B1EEE" w:rsidRPr="003D1E07">
        <w:fldChar w:fldCharType="begin"/>
      </w:r>
      <w:r w:rsidR="008B1EEE" w:rsidRPr="003D1E07">
        <w:instrText xml:space="preserve"> XE "zatmění:substance" </w:instrText>
      </w:r>
      <w:r w:rsidR="008B1EEE" w:rsidRPr="003D1E07">
        <w:fldChar w:fldCharType="end"/>
      </w:r>
      <w:r w:rsidR="008B1EEE" w:rsidRPr="003D1E07">
        <w:t xml:space="preserve"> v nihilistické metafyzice Západu. </w:t>
      </w:r>
      <w:r w:rsidR="00DA6E9E" w:rsidRPr="003D1E07">
        <w:t xml:space="preserve">Latinští avicennisté podrží z </w:t>
      </w:r>
      <w:r w:rsidR="00CF4664" w:rsidRPr="003D1E07">
        <w:t xml:space="preserve">citované </w:t>
      </w:r>
      <w:r w:rsidR="00DA6E9E" w:rsidRPr="003D1E07">
        <w:t>definice fakt absolutně dané přirozenosti (</w:t>
      </w:r>
      <w:r w:rsidR="00DA6E9E" w:rsidRPr="003D1E07">
        <w:rPr>
          <w:i/>
        </w:rPr>
        <w:t>universalis absolute</w:t>
      </w:r>
      <w:r w:rsidR="004E2BC4" w:rsidRPr="003D1E07">
        <w:rPr>
          <w:rStyle w:val="addmd"/>
          <w:i/>
        </w:rPr>
        <w:fldChar w:fldCharType="begin"/>
      </w:r>
      <w:r w:rsidR="004E2BC4" w:rsidRPr="003D1E07">
        <w:instrText xml:space="preserve"> XE "predikace:modus </w:instrText>
      </w:r>
      <w:r w:rsidR="004E2BC4" w:rsidRPr="003D1E07">
        <w:rPr>
          <w:i/>
        </w:rPr>
        <w:instrText>absolute</w:instrText>
      </w:r>
      <w:r w:rsidR="004E2BC4" w:rsidRPr="003D1E07">
        <w:instrText xml:space="preserve">" </w:instrText>
      </w:r>
      <w:r w:rsidR="004E2BC4" w:rsidRPr="003D1E07">
        <w:rPr>
          <w:rStyle w:val="addmd"/>
          <w:i/>
        </w:rPr>
        <w:fldChar w:fldCharType="end"/>
      </w:r>
      <w:r w:rsidR="00DA6E9E" w:rsidRPr="003D1E07">
        <w:t>) a udělají z něj novou nedělitelnou substanci (</w:t>
      </w:r>
      <w:r w:rsidR="00DA6E9E" w:rsidRPr="003D1E07">
        <w:rPr>
          <w:i/>
        </w:rPr>
        <w:t>individuum</w:t>
      </w:r>
      <w:r w:rsidR="00DA6E9E" w:rsidRPr="003D1E07">
        <w:t xml:space="preserve">). </w:t>
      </w:r>
      <w:r w:rsidR="08793AE5" w:rsidRPr="003D1E07">
        <w:t xml:space="preserve">Mnohé z těchto termínů </w:t>
      </w:r>
      <w:r w:rsidR="00483FB1" w:rsidRPr="003D1E07">
        <w:t xml:space="preserve">najdeme v další </w:t>
      </w:r>
      <w:r w:rsidR="08F61EBC" w:rsidRPr="003D1E07">
        <w:t xml:space="preserve">části </w:t>
      </w:r>
      <w:r w:rsidR="00483FB1" w:rsidRPr="003D1E07">
        <w:t xml:space="preserve">zkoumající učení latinských </w:t>
      </w:r>
      <w:r w:rsidR="08793AE5" w:rsidRPr="003D1E07">
        <w:rPr>
          <w:i/>
        </w:rPr>
        <w:t>Nominales</w:t>
      </w:r>
      <w:r w:rsidR="08793AE5" w:rsidRPr="003D1E07">
        <w:t xml:space="preserve">, </w:t>
      </w:r>
      <w:r w:rsidR="08362F5A" w:rsidRPr="003D1E07">
        <w:t xml:space="preserve">kteří použili termín </w:t>
      </w:r>
      <w:r w:rsidR="00B62180" w:rsidRPr="003D1E07">
        <w:rPr>
          <w:i/>
        </w:rPr>
        <w:t>individuum</w:t>
      </w:r>
      <w:r w:rsidR="00B62180" w:rsidRPr="003D1E07">
        <w:t xml:space="preserve"> pro </w:t>
      </w:r>
      <w:r w:rsidR="08362F5A" w:rsidRPr="003D1E07">
        <w:t xml:space="preserve">podobné </w:t>
      </w:r>
      <w:r w:rsidR="00B62180" w:rsidRPr="003D1E07">
        <w:t>jsoucno</w:t>
      </w:r>
      <w:r w:rsidR="00B0204D" w:rsidRPr="003D1E07">
        <w:t xml:space="preserve"> třetího druhu</w:t>
      </w:r>
      <w:r w:rsidR="08793AE5" w:rsidRPr="003D1E07">
        <w:t xml:space="preserve">. Tato jednotlivina třetího druhu vznikne při dělení univerzálií v rámci </w:t>
      </w:r>
      <w:r w:rsidR="00BB45B1" w:rsidRPr="003D1E07">
        <w:t>Porfyri</w:t>
      </w:r>
      <w:r w:rsidR="08793AE5" w:rsidRPr="003D1E07">
        <w:t xml:space="preserve">ova stromu od rodu až na </w:t>
      </w:r>
      <w:r w:rsidR="00F214C5" w:rsidRPr="00693321">
        <w:rPr>
          <w:i/>
        </w:rPr>
        <w:t>species</w:t>
      </w:r>
      <w:r w:rsidR="08793AE5" w:rsidRPr="003D1E07">
        <w:rPr>
          <w:i/>
        </w:rPr>
        <w:t xml:space="preserve"> specialissima</w:t>
      </w:r>
      <w:r w:rsidR="00C63957" w:rsidRPr="003D1E07">
        <w:rPr>
          <w:i/>
        </w:rPr>
        <w:fldChar w:fldCharType="begin"/>
      </w:r>
      <w:r w:rsidR="00C63957" w:rsidRPr="003D1E07">
        <w:instrText xml:space="preserve"> XE "</w:instrText>
      </w:r>
      <w:r w:rsidR="00C63957" w:rsidRPr="003D1E07">
        <w:rPr>
          <w:i/>
        </w:rPr>
        <w:instrText>species specialissima</w:instrText>
      </w:r>
      <w:r w:rsidR="00C63957" w:rsidRPr="003D1E07">
        <w:instrText xml:space="preserve">" </w:instrText>
      </w:r>
      <w:r w:rsidR="00C63957" w:rsidRPr="003D1E07">
        <w:rPr>
          <w:i/>
        </w:rPr>
        <w:fldChar w:fldCharType="end"/>
      </w:r>
      <w:r w:rsidR="00155C55" w:rsidRPr="003D1E07">
        <w:t xml:space="preserve"> (</w:t>
      </w:r>
      <w:r w:rsidR="08F5528A" w:rsidRPr="003D1E07">
        <w:t>OBJ II, kap. 1</w:t>
      </w:r>
      <w:r w:rsidR="00155C55" w:rsidRPr="003D1E07">
        <w:t>.5</w:t>
      </w:r>
      <w:r w:rsidR="08793AE5" w:rsidRPr="003D1E07">
        <w:t xml:space="preserve">). </w:t>
      </w:r>
      <w:r w:rsidR="00625FFC" w:rsidRPr="003D1E07">
        <w:t>Nová forma singularity nemá intencionál</w:t>
      </w:r>
      <w:r w:rsidR="08362F5A" w:rsidRPr="003D1E07">
        <w:t>ní existenci pouze v</w:t>
      </w:r>
      <w:r w:rsidR="004E2D08" w:rsidRPr="003D1E07">
        <w:t> </w:t>
      </w:r>
      <w:r w:rsidR="08362F5A" w:rsidRPr="003D1E07">
        <w:t>mysli</w:t>
      </w:r>
      <w:r w:rsidR="004E2D08" w:rsidRPr="003D1E07">
        <w:t xml:space="preserve">, jako je tomu v případě </w:t>
      </w:r>
      <w:r w:rsidR="00625FFC" w:rsidRPr="003D1E07">
        <w:t xml:space="preserve">klasických univerzálií. </w:t>
      </w:r>
      <w:r w:rsidR="08164D30" w:rsidRPr="003D1E07">
        <w:t xml:space="preserve">Koncepce </w:t>
      </w:r>
      <w:r w:rsidR="00BA3D14" w:rsidRPr="003D1E07">
        <w:t xml:space="preserve">činného kosmického intelektu jako </w:t>
      </w:r>
      <w:r w:rsidR="004319BF" w:rsidRPr="004319BF">
        <w:rPr>
          <w:i/>
        </w:rPr>
        <w:t>Dator formarum</w:t>
      </w:r>
      <w:r w:rsidR="00160B80" w:rsidRPr="003D1E07">
        <w:rPr>
          <w:i/>
        </w:rPr>
        <w:fldChar w:fldCharType="begin"/>
      </w:r>
      <w:r w:rsidR="00160B80" w:rsidRPr="003D1E07">
        <w:instrText xml:space="preserve"> XE "</w:instrText>
      </w:r>
      <w:r w:rsidR="00160B80" w:rsidRPr="003D1E07">
        <w:rPr>
          <w:i/>
        </w:rPr>
        <w:instrText>Dator formarum</w:instrText>
      </w:r>
      <w:r w:rsidR="00160B80" w:rsidRPr="003D1E07">
        <w:instrText xml:space="preserve">" </w:instrText>
      </w:r>
      <w:r w:rsidR="00160B80" w:rsidRPr="003D1E07">
        <w:rPr>
          <w:i/>
        </w:rPr>
        <w:fldChar w:fldCharType="end"/>
      </w:r>
      <w:r w:rsidR="00BA3D14" w:rsidRPr="003D1E07">
        <w:t xml:space="preserve"> </w:t>
      </w:r>
      <w:r w:rsidR="08164D30" w:rsidRPr="003D1E07">
        <w:t xml:space="preserve">způsobila, že determinace individua v jeho </w:t>
      </w:r>
      <w:r w:rsidR="08164D30" w:rsidRPr="003D1E07">
        <w:rPr>
          <w:i/>
        </w:rPr>
        <w:t>quidditas</w:t>
      </w:r>
      <w:r w:rsidR="00782210" w:rsidRPr="003D1E07">
        <w:rPr>
          <w:i/>
        </w:rPr>
        <w:fldChar w:fldCharType="begin"/>
      </w:r>
      <w:r w:rsidR="00782210" w:rsidRPr="003D1E07">
        <w:instrText xml:space="preserve"> XE "</w:instrText>
      </w:r>
      <w:r w:rsidR="08E6733C" w:rsidRPr="003D1E07">
        <w:rPr>
          <w:i/>
        </w:rPr>
        <w:instrText>quidditas</w:instrText>
      </w:r>
      <w:r w:rsidR="00782210" w:rsidRPr="003D1E07">
        <w:instrText xml:space="preserve">" </w:instrText>
      </w:r>
      <w:r w:rsidR="00782210" w:rsidRPr="003D1E07">
        <w:rPr>
          <w:i/>
        </w:rPr>
        <w:fldChar w:fldCharType="end"/>
      </w:r>
      <w:r w:rsidR="08164D30" w:rsidRPr="003D1E07">
        <w:t xml:space="preserve"> je dána </w:t>
      </w:r>
      <w:r w:rsidR="00625FFC" w:rsidRPr="003D1E07">
        <w:t xml:space="preserve">směrem </w:t>
      </w:r>
      <w:r w:rsidR="08164D30" w:rsidRPr="003D1E07">
        <w:t>od nadřazené generické substance-formy.</w:t>
      </w:r>
      <w:bookmarkStart w:id="53" w:name="_Ref397710182"/>
      <w:r w:rsidR="08164D30" w:rsidRPr="003D1E07">
        <w:rPr>
          <w:rStyle w:val="Znakapoznpodarou"/>
        </w:rPr>
        <w:footnoteReference w:id="155"/>
      </w:r>
      <w:bookmarkEnd w:id="53"/>
      <w:r w:rsidR="08164D30" w:rsidRPr="003D1E07">
        <w:t xml:space="preserve"> </w:t>
      </w:r>
      <w:r w:rsidR="007F24E4" w:rsidRPr="003D1E07">
        <w:t>D</w:t>
      </w:r>
      <w:r w:rsidR="00BB5625" w:rsidRPr="003D1E07">
        <w:t xml:space="preserve">efinici </w:t>
      </w:r>
      <w:r w:rsidR="08341A1F" w:rsidRPr="003D1E07">
        <w:t xml:space="preserve">první formy </w:t>
      </w:r>
      <w:r w:rsidR="087B5160" w:rsidRPr="003D1E07">
        <w:t xml:space="preserve">objektivního </w:t>
      </w:r>
      <w:r w:rsidR="08341A1F" w:rsidRPr="003D1E07">
        <w:t xml:space="preserve">bytí v rámci čistého náhledu </w:t>
      </w:r>
      <w:r w:rsidR="007F24E4" w:rsidRPr="003D1E07">
        <w:t xml:space="preserve">převezme </w:t>
      </w:r>
      <w:r w:rsidR="00C03566" w:rsidRPr="003D1E07">
        <w:t xml:space="preserve">ve 2. polovině 13. století </w:t>
      </w:r>
      <w:r w:rsidR="004F3E0F" w:rsidRPr="003D1E07">
        <w:t>Pecham</w:t>
      </w:r>
      <w:r w:rsidR="087B5160" w:rsidRPr="003D1E07">
        <w:t xml:space="preserve">, pak Henry z Gentu </w:t>
      </w:r>
      <w:r w:rsidR="08341A1F" w:rsidRPr="003D1E07">
        <w:t xml:space="preserve">a </w:t>
      </w:r>
      <w:r w:rsidR="007F24E4" w:rsidRPr="003D1E07">
        <w:t xml:space="preserve">po něm </w:t>
      </w:r>
      <w:r w:rsidR="00271900" w:rsidRPr="003D1E07">
        <w:t>Scotus. Tito moderní avice</w:t>
      </w:r>
      <w:r w:rsidR="089E08F7" w:rsidRPr="003D1E07">
        <w:t>n</w:t>
      </w:r>
      <w:r w:rsidR="00271900" w:rsidRPr="003D1E07">
        <w:t xml:space="preserve">nisté </w:t>
      </w:r>
      <w:r w:rsidR="08341A1F" w:rsidRPr="003D1E07">
        <w:t xml:space="preserve">rozdělí </w:t>
      </w:r>
      <w:r w:rsidR="00F214C5" w:rsidRPr="003D1E07">
        <w:t>species</w:t>
      </w:r>
      <w:r w:rsidR="08341A1F" w:rsidRPr="003D1E07">
        <w:t xml:space="preserve"> na </w:t>
      </w:r>
      <w:r w:rsidR="00AD3015" w:rsidRPr="003D1E07">
        <w:t xml:space="preserve">objektivní entitu </w:t>
      </w:r>
      <w:r w:rsidR="08341A1F" w:rsidRPr="003D1E07">
        <w:t xml:space="preserve">a </w:t>
      </w:r>
      <w:r w:rsidR="007F24E4" w:rsidRPr="003D1E07">
        <w:t xml:space="preserve">na </w:t>
      </w:r>
      <w:r w:rsidR="08341A1F" w:rsidRPr="003D1E07">
        <w:t xml:space="preserve">univerzální </w:t>
      </w:r>
      <w:r w:rsidR="00AD3015" w:rsidRPr="003D1E07">
        <w:t xml:space="preserve">koncept </w:t>
      </w:r>
      <w:r w:rsidR="08341A1F" w:rsidRPr="003D1E07">
        <w:t>(</w:t>
      </w:r>
      <w:r w:rsidR="00F214C5" w:rsidRPr="003D1E07">
        <w:rPr>
          <w:i/>
        </w:rPr>
        <w:t>species</w:t>
      </w:r>
      <w:r w:rsidR="08341A1F" w:rsidRPr="003D1E07">
        <w:rPr>
          <w:i/>
        </w:rPr>
        <w:t xml:space="preserve"> singularis</w:t>
      </w:r>
      <w:r w:rsidR="08341A1F" w:rsidRPr="003D1E07">
        <w:t xml:space="preserve">, </w:t>
      </w:r>
      <w:r w:rsidR="08341A1F" w:rsidRPr="003D1E07">
        <w:rPr>
          <w:i/>
        </w:rPr>
        <w:t>universalis</w:t>
      </w:r>
      <w:r w:rsidR="00C32A3D" w:rsidRPr="003D1E07">
        <w:t>).</w:t>
      </w:r>
      <w:r w:rsidR="001370D7" w:rsidRPr="003D1E07">
        <w:t xml:space="preserve"> </w:t>
      </w:r>
      <w:r w:rsidR="002B67DB" w:rsidRPr="003D1E07">
        <w:t xml:space="preserve">Moderní subjekt vybavený absolutní jistotou náhledu se oddělil (viz latinské sloveso </w:t>
      </w:r>
      <w:r w:rsidR="002B67DB" w:rsidRPr="003D1E07">
        <w:rPr>
          <w:i/>
        </w:rPr>
        <w:t>absolvo</w:t>
      </w:r>
      <w:r w:rsidR="002B67DB" w:rsidRPr="003D1E07">
        <w:t xml:space="preserve">) od hyparchického bytí první substance. </w:t>
      </w:r>
      <w:r w:rsidR="00064E90" w:rsidRPr="003D1E07">
        <w:t xml:space="preserve">Avicennova </w:t>
      </w:r>
      <w:r w:rsidR="00F32E53" w:rsidRPr="003D1E07">
        <w:t>metafyzick</w:t>
      </w:r>
      <w:r w:rsidR="00064E90" w:rsidRPr="003D1E07">
        <w:t>á absoluce poslala</w:t>
      </w:r>
      <w:r w:rsidR="00F32E53" w:rsidRPr="003D1E07">
        <w:t xml:space="preserve"> první subst</w:t>
      </w:r>
      <w:r w:rsidR="000634B5">
        <w:t xml:space="preserve">anci do moderní formy epochálního zapomnění </w:t>
      </w:r>
      <w:r w:rsidR="00C55AA3">
        <w:t xml:space="preserve">jsoucna </w:t>
      </w:r>
      <w:r w:rsidR="00F32E53" w:rsidRPr="003D1E07">
        <w:t>(</w:t>
      </w:r>
      <w:r w:rsidR="00F32E53" w:rsidRPr="003D1E07">
        <w:rPr>
          <w:i/>
        </w:rPr>
        <w:t>Seinsvergessenheit</w:t>
      </w:r>
      <w:r w:rsidR="00C73EF0" w:rsidRPr="003D1E07">
        <w:rPr>
          <w:i/>
        </w:rPr>
        <w:fldChar w:fldCharType="begin"/>
      </w:r>
      <w:r w:rsidR="00C73EF0" w:rsidRPr="003D1E07">
        <w:instrText xml:space="preserve"> XE "</w:instrText>
      </w:r>
      <w:r w:rsidR="00C73EF0" w:rsidRPr="003D1E07">
        <w:rPr>
          <w:i/>
        </w:rPr>
        <w:instrText>Seinsvergessenheit</w:instrText>
      </w:r>
      <w:r w:rsidR="00C73EF0" w:rsidRPr="003D1E07">
        <w:instrText xml:space="preserve">" </w:instrText>
      </w:r>
      <w:r w:rsidR="00C73EF0" w:rsidRPr="003D1E07">
        <w:rPr>
          <w:i/>
        </w:rPr>
        <w:fldChar w:fldCharType="end"/>
      </w:r>
      <w:r w:rsidR="00C220E4">
        <w:t>).</w:t>
      </w:r>
    </w:p>
    <w:p w14:paraId="1F0A0DFE" w14:textId="670ADA6D" w:rsidR="00E3621C" w:rsidRDefault="00126760" w:rsidP="00E3621C">
      <w:pPr>
        <w:ind w:firstLine="397"/>
        <w:rPr>
          <w:rStyle w:val="addmd"/>
          <w:lang w:eastAsia="en-US"/>
        </w:rPr>
      </w:pPr>
      <w:r>
        <w:t xml:space="preserve">Exorcismus </w:t>
      </w:r>
      <w:r w:rsidR="002B67DB" w:rsidRPr="003D1E07">
        <w:t xml:space="preserve">první substance </w:t>
      </w:r>
      <w:r w:rsidR="00110192" w:rsidRPr="003D1E07">
        <w:t>v mo</w:t>
      </w:r>
      <w:r>
        <w:t>derní metafyzice nemůže být jiný</w:t>
      </w:r>
      <w:r w:rsidR="002B67DB" w:rsidRPr="003D1E07">
        <w:t xml:space="preserve">, než absolutní, protože v aristotelské logice </w:t>
      </w:r>
      <w:r w:rsidR="00585F70" w:rsidRPr="003D1E07">
        <w:t xml:space="preserve">kategoricky </w:t>
      </w:r>
      <w:r w:rsidR="002B67DB" w:rsidRPr="003D1E07">
        <w:t xml:space="preserve">platí zákon o vyloučeném třetím. </w:t>
      </w:r>
      <w:r w:rsidR="00604166" w:rsidRPr="003D1E07">
        <w:t xml:space="preserve">Pokud první </w:t>
      </w:r>
      <w:r w:rsidR="00604166" w:rsidRPr="003D1E07">
        <w:lastRenderedPageBreak/>
        <w:t xml:space="preserve">filosofie predikuje jsoucno v souladu </w:t>
      </w:r>
      <w:r w:rsidR="00D65C78" w:rsidRPr="003D1E07">
        <w:t xml:space="preserve">se spisem </w:t>
      </w:r>
      <w:r w:rsidR="00D65C78" w:rsidRPr="003D1E07">
        <w:rPr>
          <w:i/>
        </w:rPr>
        <w:t>Kategorie</w:t>
      </w:r>
      <w:r w:rsidR="002B67DB" w:rsidRPr="003D1E07">
        <w:t xml:space="preserve">, </w:t>
      </w:r>
      <w:r w:rsidR="00604166" w:rsidRPr="003D1E07">
        <w:t xml:space="preserve">pak </w:t>
      </w:r>
      <w:r w:rsidR="002B67DB" w:rsidRPr="003D1E07">
        <w:t xml:space="preserve">existuje pouze bytí singulárního jsoucna a bytí univerzálie. Nic jiného mezi první a druhou substancí být nemůže, protože </w:t>
      </w:r>
      <w:r w:rsidR="00B23C82" w:rsidRPr="003D1E07">
        <w:t xml:space="preserve">podle klasického aristotelismu </w:t>
      </w:r>
      <w:r w:rsidR="083964B2" w:rsidRPr="003D1E07">
        <w:t xml:space="preserve">neexistuje žádný způsob, </w:t>
      </w:r>
      <w:r w:rsidR="002B67DB" w:rsidRPr="003D1E07">
        <w:t>jak by takové jsoucno třetího druhu mohlo být</w:t>
      </w:r>
      <w:r w:rsidR="00B23C82" w:rsidRPr="003D1E07">
        <w:t xml:space="preserve"> ustaveno v nějaké formě substanciálního bytí</w:t>
      </w:r>
      <w:r w:rsidR="002B67DB" w:rsidRPr="003D1E07">
        <w:t>.</w:t>
      </w:r>
      <w:r w:rsidR="00F32E53" w:rsidRPr="003D1E07">
        <w:t xml:space="preserve"> </w:t>
      </w:r>
      <w:r w:rsidR="00AB250E" w:rsidRPr="003D1E07">
        <w:t>A</w:t>
      </w:r>
      <w:r w:rsidR="00B03837" w:rsidRPr="003D1E07">
        <w:t xml:space="preserve">ristotelská logika je determinována </w:t>
      </w:r>
      <w:r w:rsidR="00B03837" w:rsidRPr="003D1E07">
        <w:rPr>
          <w:i/>
        </w:rPr>
        <w:t>Fyzikou</w:t>
      </w:r>
      <w:r w:rsidR="00B03837" w:rsidRPr="003D1E07">
        <w:t xml:space="preserve">, pak </w:t>
      </w:r>
      <w:r w:rsidR="00B03837" w:rsidRPr="003D1E07">
        <w:rPr>
          <w:i/>
        </w:rPr>
        <w:t>Metafyzikou</w:t>
      </w:r>
      <w:r w:rsidR="00B03837" w:rsidRPr="003D1E07">
        <w:t xml:space="preserve"> a způsobem poznání podle </w:t>
      </w:r>
      <w:r w:rsidR="00B03837" w:rsidRPr="003D1E07">
        <w:rPr>
          <w:i/>
        </w:rPr>
        <w:t>De anima</w:t>
      </w:r>
      <w:r w:rsidR="00B03837" w:rsidRPr="003D1E07">
        <w:t xml:space="preserve">. </w:t>
      </w:r>
      <w:r w:rsidR="001370D7" w:rsidRPr="003D1E07">
        <w:t>M</w:t>
      </w:r>
      <w:r w:rsidR="00887C59" w:rsidRPr="003D1E07">
        <w:t xml:space="preserve">oderní </w:t>
      </w:r>
      <w:r w:rsidR="00D17E0D" w:rsidRPr="003D1E07">
        <w:t xml:space="preserve">a postmoderní </w:t>
      </w:r>
      <w:r w:rsidR="00887C59" w:rsidRPr="003D1E07">
        <w:t xml:space="preserve">iluminát </w:t>
      </w:r>
      <w:r w:rsidR="007C51A1" w:rsidRPr="003D1E07">
        <w:t>na rozdíl od klasických aristoteliků</w:t>
      </w:r>
      <w:r w:rsidR="089E08F7" w:rsidRPr="003D1E07">
        <w:t xml:space="preserve"> </w:t>
      </w:r>
      <w:r w:rsidR="00887C59" w:rsidRPr="003D1E07">
        <w:t>vidí něco jiného, než bytí první substance</w:t>
      </w:r>
      <w:r w:rsidR="00F80C01" w:rsidRPr="003D1E07">
        <w:t xml:space="preserve"> v realitě nebo abstrahované univerzálie v mysli</w:t>
      </w:r>
      <w:r w:rsidR="00887C59" w:rsidRPr="003D1E07">
        <w:t xml:space="preserve">. </w:t>
      </w:r>
      <w:r w:rsidR="00CF7B9F" w:rsidRPr="003D1E07">
        <w:t xml:space="preserve">Jeho </w:t>
      </w:r>
      <w:r w:rsidR="00887C59" w:rsidRPr="003D1E07">
        <w:t xml:space="preserve">přímý náhled </w:t>
      </w:r>
      <w:r w:rsidR="00CF7B9F" w:rsidRPr="003D1E07">
        <w:t xml:space="preserve">do „věcí samých“ </w:t>
      </w:r>
      <w:r w:rsidR="00BE134D" w:rsidRPr="003D1E07">
        <w:t xml:space="preserve">(Husserl) </w:t>
      </w:r>
      <w:r w:rsidR="00CF7B9F" w:rsidRPr="003D1E07">
        <w:t xml:space="preserve">vytváří adekvaci </w:t>
      </w:r>
      <w:r w:rsidR="00887C59" w:rsidRPr="003D1E07">
        <w:t>singulárního bytí jsoucna třetího druhu s jeho univerzálním konceptem. Může si to dovolit proto, že atomární substance</w:t>
      </w:r>
      <w:r w:rsidR="00714EE2" w:rsidRPr="003D1E07">
        <w:fldChar w:fldCharType="begin"/>
      </w:r>
      <w:r w:rsidR="00714EE2" w:rsidRPr="003D1E07">
        <w:instrText xml:space="preserve"> XE "substance:atomární" </w:instrText>
      </w:r>
      <w:r w:rsidR="00714EE2" w:rsidRPr="003D1E07">
        <w:fldChar w:fldCharType="end"/>
      </w:r>
      <w:r w:rsidR="00887C59" w:rsidRPr="003D1E07">
        <w:t xml:space="preserve"> (ἄτομος οὐσία, </w:t>
      </w:r>
      <w:r w:rsidR="00887C59" w:rsidRPr="003D1E07">
        <w:rPr>
          <w:i/>
        </w:rPr>
        <w:t>individuum</w:t>
      </w:r>
      <w:r w:rsidR="00887C59" w:rsidRPr="003D1E07">
        <w:t xml:space="preserve">) má již od neoplatoniků </w:t>
      </w:r>
      <w:r w:rsidR="00234E5C" w:rsidRPr="003D1E07">
        <w:t>jak singulární, tak univerz</w:t>
      </w:r>
      <w:r w:rsidR="00887C59" w:rsidRPr="003D1E07">
        <w:t xml:space="preserve">ální charakter. </w:t>
      </w:r>
      <w:r w:rsidR="00A15B7D">
        <w:t>Modernista srovnává uvažovanou „věc“</w:t>
      </w:r>
      <w:r w:rsidR="00BE134D" w:rsidRPr="003D1E07">
        <w:t xml:space="preserve"> s absolutně daným aktem určitosti, který se zabývá minimálním atomickým bytím téže věci. Tento akt vymezení j</w:t>
      </w:r>
      <w:r w:rsidR="00222DEF" w:rsidRPr="003D1E07">
        <w:t>e absolutní, protože Avicennův „létající muž“</w:t>
      </w:r>
      <w:r w:rsidR="00BE134D" w:rsidRPr="003D1E07">
        <w:t xml:space="preserve"> je oddělen od reálného bytí první substance a vytvořil nové ontologické určení. </w:t>
      </w:r>
      <w:r w:rsidR="00697D1F" w:rsidRPr="003D1E07">
        <w:t>Tím vznikla d</w:t>
      </w:r>
      <w:r w:rsidR="086E4B77" w:rsidRPr="003D1E07">
        <w:t>vojí absoluce, jak od reality první substance</w:t>
      </w:r>
      <w:r w:rsidR="00A70FA4" w:rsidRPr="003D1E07">
        <w:fldChar w:fldCharType="begin"/>
      </w:r>
      <w:r w:rsidR="00A70FA4" w:rsidRPr="003D1E07">
        <w:instrText xml:space="preserve"> XE "substance</w:instrText>
      </w:r>
      <w:r w:rsidR="006E6202" w:rsidRPr="003D1E07">
        <w:instrText>:třetího druhu</w:instrText>
      </w:r>
      <w:r w:rsidR="00A70FA4" w:rsidRPr="003D1E07">
        <w:instrText xml:space="preserve">" </w:instrText>
      </w:r>
      <w:r w:rsidR="00A70FA4" w:rsidRPr="003D1E07">
        <w:fldChar w:fldCharType="end"/>
      </w:r>
      <w:r w:rsidR="08863071" w:rsidRPr="003D1E07">
        <w:t>,</w:t>
      </w:r>
      <w:r w:rsidR="086E4B77" w:rsidRPr="003D1E07">
        <w:t xml:space="preserve"> tak od </w:t>
      </w:r>
      <w:r w:rsidR="08B45C89" w:rsidRPr="003D1E07">
        <w:t xml:space="preserve">smyslově-intelektuálních </w:t>
      </w:r>
      <w:r w:rsidR="086E4B77" w:rsidRPr="003D1E07">
        <w:t xml:space="preserve">modů </w:t>
      </w:r>
      <w:r w:rsidR="00FE0EEC" w:rsidRPr="003D1E07">
        <w:t xml:space="preserve">lidského </w:t>
      </w:r>
      <w:r w:rsidR="086E4B77" w:rsidRPr="003D1E07">
        <w:t>poznání</w:t>
      </w:r>
      <w:r w:rsidR="00697D1F" w:rsidRPr="003D1E07">
        <w:t xml:space="preserve">. Avicenna </w:t>
      </w:r>
      <w:r w:rsidR="086E4B77" w:rsidRPr="003D1E07">
        <w:t xml:space="preserve">založil </w:t>
      </w:r>
      <w:r w:rsidR="0878379D" w:rsidRPr="003D1E07">
        <w:t xml:space="preserve">nové určení pravdy jako </w:t>
      </w:r>
      <w:r w:rsidR="08863071" w:rsidRPr="003D1E07">
        <w:t>adekvac</w:t>
      </w:r>
      <w:r w:rsidR="087E6C68" w:rsidRPr="003D1E07">
        <w:t>i</w:t>
      </w:r>
      <w:r w:rsidR="0878379D" w:rsidRPr="003D1E07">
        <w:t xml:space="preserve"> rozumu a </w:t>
      </w:r>
      <w:r w:rsidR="00D6077A" w:rsidRPr="003D1E07">
        <w:t xml:space="preserve">objektivně nazírané </w:t>
      </w:r>
      <w:r w:rsidR="0878379D" w:rsidRPr="003D1E07">
        <w:t>věci</w:t>
      </w:r>
      <w:r w:rsidR="00AB356B" w:rsidRPr="003D1E07">
        <w:t xml:space="preserve"> v modu </w:t>
      </w:r>
      <w:r w:rsidR="00697D1F" w:rsidRPr="003D1E07">
        <w:t xml:space="preserve">moderního </w:t>
      </w:r>
      <w:r w:rsidR="00AB356B" w:rsidRPr="003D1E07">
        <w:rPr>
          <w:i/>
        </w:rPr>
        <w:t>certitudo</w:t>
      </w:r>
      <w:r w:rsidR="00AB356B" w:rsidRPr="003D1E07">
        <w:t xml:space="preserve"> a postmoderní evidence</w:t>
      </w:r>
      <w:r w:rsidR="00433872" w:rsidRPr="003D1E07">
        <w:fldChar w:fldCharType="begin"/>
      </w:r>
      <w:r w:rsidR="00433872" w:rsidRPr="003D1E07">
        <w:instrText xml:space="preserve"> XE "evidence:Avicenna" </w:instrText>
      </w:r>
      <w:r w:rsidR="00433872" w:rsidRPr="003D1E07">
        <w:fldChar w:fldCharType="end"/>
      </w:r>
      <w:r w:rsidR="0878379D" w:rsidRPr="003D1E07">
        <w:t xml:space="preserve">. </w:t>
      </w:r>
      <w:r w:rsidR="085F6296" w:rsidRPr="003D1E07">
        <w:t xml:space="preserve">Pravda </w:t>
      </w:r>
      <w:r w:rsidR="087E6C68" w:rsidRPr="003D1E07">
        <w:rPr>
          <w:i/>
        </w:rPr>
        <w:t>Modernorum</w:t>
      </w:r>
      <w:r w:rsidR="087E6C68" w:rsidRPr="003D1E07">
        <w:t xml:space="preserve"> </w:t>
      </w:r>
      <w:r w:rsidR="085F6296" w:rsidRPr="003D1E07">
        <w:t xml:space="preserve">představuje </w:t>
      </w:r>
      <w:r w:rsidR="08807C51" w:rsidRPr="003D1E07">
        <w:t xml:space="preserve">shodu </w:t>
      </w:r>
      <w:r w:rsidR="003D6DD9" w:rsidRPr="003D1E07">
        <w:t xml:space="preserve">jistoty poznaného jsoucna třetího </w:t>
      </w:r>
      <w:r w:rsidR="00875C60" w:rsidRPr="003D1E07">
        <w:t xml:space="preserve">druhu </w:t>
      </w:r>
      <w:r w:rsidR="085F6296" w:rsidRPr="003D1E07">
        <w:t xml:space="preserve">s </w:t>
      </w:r>
      <w:r w:rsidR="00A15B7D">
        <w:rPr>
          <w:i/>
          <w:noProof w:val="0"/>
          <w:lang w:val="fr-FR" w:eastAsia="en-US"/>
        </w:rPr>
        <w:t>rectitudo</w:t>
      </w:r>
      <w:r w:rsidR="00A15B7D">
        <w:rPr>
          <w:i/>
          <w:noProof w:val="0"/>
          <w:lang w:val="fr-FR" w:eastAsia="en-US"/>
        </w:rPr>
        <w:fldChar w:fldCharType="begin"/>
      </w:r>
      <w:r w:rsidR="00A15B7D">
        <w:instrText xml:space="preserve"> XE "</w:instrText>
      </w:r>
      <w:r w:rsidR="00A15B7D">
        <w:rPr>
          <w:i/>
          <w:noProof w:val="0"/>
          <w:lang w:val="fr-FR" w:eastAsia="en-US"/>
        </w:rPr>
        <w:instrText>rectitudo</w:instrText>
      </w:r>
      <w:r w:rsidR="00A15B7D">
        <w:instrText xml:space="preserve">" </w:instrText>
      </w:r>
      <w:r w:rsidR="00A15B7D">
        <w:rPr>
          <w:i/>
          <w:noProof w:val="0"/>
          <w:lang w:val="fr-FR" w:eastAsia="en-US"/>
        </w:rPr>
        <w:fldChar w:fldCharType="end"/>
      </w:r>
      <w:r w:rsidR="00A15B7D">
        <w:rPr>
          <w:i/>
          <w:noProof w:val="0"/>
          <w:lang w:val="fr-FR" w:eastAsia="en-US"/>
        </w:rPr>
        <w:t xml:space="preserve"> </w:t>
      </w:r>
      <w:r w:rsidR="00A15B7D" w:rsidRPr="00A15B7D">
        <w:rPr>
          <w:noProof w:val="0"/>
          <w:lang w:val="fr-FR" w:eastAsia="en-US"/>
        </w:rPr>
        <w:t xml:space="preserve">dané paranoidní logikou </w:t>
      </w:r>
      <w:r w:rsidR="085F6296" w:rsidRPr="003D1E07">
        <w:t xml:space="preserve">poznávajího </w:t>
      </w:r>
      <w:r w:rsidR="007C571B">
        <w:t xml:space="preserve">moderního </w:t>
      </w:r>
      <w:r w:rsidR="085F6296" w:rsidRPr="003D1E07">
        <w:t>subjektu</w:t>
      </w:r>
      <w:r w:rsidR="007C571B">
        <w:t xml:space="preserve">. Ten tvoří další substanci </w:t>
      </w:r>
      <w:r w:rsidR="00875C60" w:rsidRPr="003D1E07">
        <w:t>třetího druhu</w:t>
      </w:r>
      <w:r w:rsidR="007C571B">
        <w:t xml:space="preserve">, protože tvoří sbírku schizofrenických a zcela nesourodých </w:t>
      </w:r>
      <w:r w:rsidR="007C571B" w:rsidRPr="007C571B">
        <w:rPr>
          <w:i/>
        </w:rPr>
        <w:t>tertium ens</w:t>
      </w:r>
      <w:r w:rsidR="00875C60" w:rsidRPr="003D1E07">
        <w:t xml:space="preserve">. Moderní subjekt </w:t>
      </w:r>
      <w:r w:rsidR="003D6DD9" w:rsidRPr="003D1E07">
        <w:t xml:space="preserve">existuje </w:t>
      </w:r>
      <w:r w:rsidR="00701F6E" w:rsidRPr="003D1E07">
        <w:t>jako „věc“ (</w:t>
      </w:r>
      <w:r w:rsidR="00701F6E" w:rsidRPr="003D1E07">
        <w:rPr>
          <w:i/>
        </w:rPr>
        <w:t>res</w:t>
      </w:r>
      <w:r w:rsidR="00701F6E" w:rsidRPr="003D1E07">
        <w:t xml:space="preserve">) třetího druhu, čili </w:t>
      </w:r>
      <w:r w:rsidR="003D6DD9" w:rsidRPr="003D1E07">
        <w:t>jako vtělený intelekt</w:t>
      </w:r>
      <w:r w:rsidR="00875C60" w:rsidRPr="003D1E07">
        <w:t xml:space="preserve">, který v nás bytuje jako </w:t>
      </w:r>
      <w:r w:rsidR="003D6DD9" w:rsidRPr="003D1E07">
        <w:t>samostatná substance</w:t>
      </w:r>
      <w:r w:rsidR="00701F6E" w:rsidRPr="003D1E07">
        <w:t xml:space="preserve"> (</w:t>
      </w:r>
      <w:r w:rsidR="00701F6E" w:rsidRPr="003D1E07">
        <w:rPr>
          <w:i/>
        </w:rPr>
        <w:t>res cogitans</w:t>
      </w:r>
      <w:r w:rsidR="009A1BD1" w:rsidRPr="003D1E07">
        <w:rPr>
          <w:i/>
        </w:rPr>
        <w:fldChar w:fldCharType="begin"/>
      </w:r>
      <w:r w:rsidR="009A1BD1" w:rsidRPr="003D1E07">
        <w:instrText xml:space="preserve"> XE "</w:instrText>
      </w:r>
      <w:r w:rsidR="009A1BD1" w:rsidRPr="003D1E07">
        <w:rPr>
          <w:i/>
        </w:rPr>
        <w:instrText>res cogitans</w:instrText>
      </w:r>
      <w:r w:rsidR="009A1BD1" w:rsidRPr="003D1E07">
        <w:instrText xml:space="preserve">" </w:instrText>
      </w:r>
      <w:r w:rsidR="009A1BD1" w:rsidRPr="003D1E07">
        <w:rPr>
          <w:i/>
        </w:rPr>
        <w:fldChar w:fldCharType="end"/>
      </w:r>
      <w:r w:rsidR="00701F6E" w:rsidRPr="003D1E07">
        <w:t>)</w:t>
      </w:r>
      <w:r w:rsidR="085F6296" w:rsidRPr="003D1E07">
        <w:t xml:space="preserve">. </w:t>
      </w:r>
      <w:r w:rsidR="006C2EB8" w:rsidRPr="003D1E07">
        <w:t xml:space="preserve">Moderní </w:t>
      </w:r>
      <w:r w:rsidR="006C2EB8" w:rsidRPr="003D1E07">
        <w:rPr>
          <w:i/>
        </w:rPr>
        <w:t xml:space="preserve">intellectus adeptus </w:t>
      </w:r>
      <w:r w:rsidR="00F601D1" w:rsidRPr="003D1E07">
        <w:t>poznává</w:t>
      </w:r>
      <w:r w:rsidR="006C2EB8" w:rsidRPr="003D1E07">
        <w:t xml:space="preserve"> autonomní </w:t>
      </w:r>
      <w:r w:rsidR="00F214C5" w:rsidRPr="003D1E07">
        <w:t>species</w:t>
      </w:r>
      <w:r w:rsidR="087B33DB" w:rsidRPr="003D1E07">
        <w:t>, která objektivně exist</w:t>
      </w:r>
      <w:r w:rsidR="00D735EE">
        <w:t>ují</w:t>
      </w:r>
      <w:r w:rsidR="00F601D1" w:rsidRPr="003D1E07">
        <w:t xml:space="preserve"> v demiurgickém diakosmu</w:t>
      </w:r>
      <w:r w:rsidR="006C2EB8" w:rsidRPr="003D1E07">
        <w:t>.</w:t>
      </w:r>
      <w:r w:rsidR="00E65143" w:rsidRPr="003D1E07">
        <w:t xml:space="preserve"> Nové pojetí pravdy provádí </w:t>
      </w:r>
      <w:r w:rsidR="00BD5723">
        <w:t xml:space="preserve">konjukci </w:t>
      </w:r>
      <w:r w:rsidR="00E65143" w:rsidRPr="003D1E07">
        <w:t>(</w:t>
      </w:r>
      <w:r w:rsidR="00E65143" w:rsidRPr="003D1E07">
        <w:rPr>
          <w:i/>
        </w:rPr>
        <w:t>sýmbolon, coniunctio</w:t>
      </w:r>
      <w:r w:rsidR="00BF77BF" w:rsidRPr="003D1E07">
        <w:rPr>
          <w:i/>
        </w:rPr>
        <w:fldChar w:fldCharType="begin"/>
      </w:r>
      <w:r w:rsidR="00BF77BF" w:rsidRPr="003D1E07">
        <w:instrText xml:space="preserve"> XE "</w:instrText>
      </w:r>
      <w:r w:rsidR="00BF77BF" w:rsidRPr="003D1E07">
        <w:rPr>
          <w:i/>
        </w:rPr>
        <w:instrText>coniunctio</w:instrText>
      </w:r>
      <w:r w:rsidR="00BF77BF" w:rsidRPr="003D1E07">
        <w:instrText xml:space="preserve">" </w:instrText>
      </w:r>
      <w:r w:rsidR="00BF77BF" w:rsidRPr="003D1E07">
        <w:rPr>
          <w:i/>
        </w:rPr>
        <w:fldChar w:fldCharType="end"/>
      </w:r>
      <w:r w:rsidR="00E65143" w:rsidRPr="003D1E07">
        <w:t xml:space="preserve">) dvou forem jistoty. Avicennovské </w:t>
      </w:r>
      <w:r w:rsidR="00E65143" w:rsidRPr="003D1E07">
        <w:rPr>
          <w:i/>
        </w:rPr>
        <w:t>certitudo</w:t>
      </w:r>
      <w:r w:rsidR="00E65143" w:rsidRPr="003D1E07">
        <w:t xml:space="preserve"> objektivně existující „věci“ je porovnáno s jistotou moderního subjektu. </w:t>
      </w:r>
      <w:r w:rsidR="00D1011C" w:rsidRPr="003D1E07">
        <w:t>Darování jsoucna</w:t>
      </w:r>
      <w:r w:rsidR="00595926" w:rsidRPr="003D1E07">
        <w:t xml:space="preserve"> v nové podobě </w:t>
      </w:r>
      <w:r w:rsidR="00595926" w:rsidRPr="003D1E07">
        <w:rPr>
          <w:i/>
        </w:rPr>
        <w:t>dativus metaphysicus</w:t>
      </w:r>
      <w:r w:rsidR="00BF77BF" w:rsidRPr="003D1E07">
        <w:rPr>
          <w:i/>
        </w:rPr>
        <w:fldChar w:fldCharType="begin"/>
      </w:r>
      <w:r w:rsidR="00BF77BF" w:rsidRPr="003D1E07">
        <w:instrText xml:space="preserve"> XE "</w:instrText>
      </w:r>
      <w:r w:rsidR="00BF77BF" w:rsidRPr="003D1E07">
        <w:rPr>
          <w:i/>
        </w:rPr>
        <w:instrText>dativus metaphysicus</w:instrText>
      </w:r>
      <w:r w:rsidR="00BF77BF" w:rsidRPr="003D1E07">
        <w:instrText xml:space="preserve">" </w:instrText>
      </w:r>
      <w:r w:rsidR="00BF77BF" w:rsidRPr="003D1E07">
        <w:rPr>
          <w:i/>
        </w:rPr>
        <w:fldChar w:fldCharType="end"/>
      </w:r>
      <w:r w:rsidR="00595926" w:rsidRPr="003D1E07">
        <w:t xml:space="preserve"> probíhá od moderního subjektu k m</w:t>
      </w:r>
      <w:r w:rsidR="00D1011C" w:rsidRPr="003D1E07">
        <w:t xml:space="preserve">odernímu subjektu podle logického omylu zvaného </w:t>
      </w:r>
      <w:r w:rsidR="00595926" w:rsidRPr="003D1E07">
        <w:rPr>
          <w:i/>
        </w:rPr>
        <w:t>circulus vitiosus</w:t>
      </w:r>
      <w:r w:rsidR="00BF77BF" w:rsidRPr="003D1E07">
        <w:rPr>
          <w:i/>
        </w:rPr>
        <w:fldChar w:fldCharType="begin"/>
      </w:r>
      <w:r w:rsidR="00BF77BF" w:rsidRPr="003D1E07">
        <w:instrText xml:space="preserve"> XE "</w:instrText>
      </w:r>
      <w:r w:rsidR="00BF77BF" w:rsidRPr="003D1E07">
        <w:rPr>
          <w:i/>
        </w:rPr>
        <w:instrText>circulus vitiosus</w:instrText>
      </w:r>
      <w:r w:rsidR="00BF77BF" w:rsidRPr="003D1E07">
        <w:instrText xml:space="preserve">" </w:instrText>
      </w:r>
      <w:r w:rsidR="00BF77BF" w:rsidRPr="003D1E07">
        <w:rPr>
          <w:i/>
        </w:rPr>
        <w:fldChar w:fldCharType="end"/>
      </w:r>
      <w:r w:rsidR="00595926" w:rsidRPr="003D1E07">
        <w:t xml:space="preserve">. </w:t>
      </w:r>
      <w:r w:rsidR="00A70EBB" w:rsidRPr="003D1E07">
        <w:t xml:space="preserve">Intelekt </w:t>
      </w:r>
      <w:r w:rsidR="00445A44" w:rsidRPr="003D1E07">
        <w:t>„létajícího muže</w:t>
      </w:r>
      <w:r w:rsidR="00445A44" w:rsidRPr="003D1E07">
        <w:fldChar w:fldCharType="begin"/>
      </w:r>
      <w:r w:rsidR="00445A44" w:rsidRPr="003D1E07">
        <w:instrText xml:space="preserve"> XE "létající muž" </w:instrText>
      </w:r>
      <w:r w:rsidR="00445A44" w:rsidRPr="003D1E07">
        <w:fldChar w:fldCharType="end"/>
      </w:r>
      <w:r w:rsidR="00445A44" w:rsidRPr="003D1E07">
        <w:t xml:space="preserve">“ </w:t>
      </w:r>
      <w:r w:rsidR="00A70EBB" w:rsidRPr="003D1E07">
        <w:t xml:space="preserve">nepotřebuje poznání z materiální aktuální reality, protože </w:t>
      </w:r>
      <w:r w:rsidR="006174B4" w:rsidRPr="003D1E07">
        <w:t xml:space="preserve">tvoří </w:t>
      </w:r>
      <w:r w:rsidR="00812709" w:rsidRPr="003D1E07">
        <w:t xml:space="preserve">poznané </w:t>
      </w:r>
      <w:r w:rsidR="00A70EBB" w:rsidRPr="003D1E07">
        <w:t xml:space="preserve">významy </w:t>
      </w:r>
      <w:r w:rsidR="00A70EBB" w:rsidRPr="003D1E07">
        <w:rPr>
          <w:i/>
        </w:rPr>
        <w:t>ex nihilo</w:t>
      </w:r>
      <w:r w:rsidR="00BF77BF" w:rsidRPr="003D1E07">
        <w:rPr>
          <w:i/>
        </w:rPr>
        <w:fldChar w:fldCharType="begin"/>
      </w:r>
      <w:r w:rsidR="00BF77BF" w:rsidRPr="003D1E07">
        <w:instrText xml:space="preserve"> XE "</w:instrText>
      </w:r>
      <w:r w:rsidR="00BF77BF" w:rsidRPr="003D1E07">
        <w:rPr>
          <w:i/>
        </w:rPr>
        <w:instrText>creatio ex nihilo</w:instrText>
      </w:r>
      <w:r w:rsidR="00BF77BF" w:rsidRPr="003D1E07">
        <w:instrText xml:space="preserve">" </w:instrText>
      </w:r>
      <w:r w:rsidR="00BF77BF" w:rsidRPr="003D1E07">
        <w:rPr>
          <w:i/>
        </w:rPr>
        <w:fldChar w:fldCharType="end"/>
      </w:r>
      <w:r w:rsidR="00445A44" w:rsidRPr="003D1E07">
        <w:t>.</w:t>
      </w:r>
      <w:r w:rsidR="087B33DB" w:rsidRPr="003D1E07">
        <w:t xml:space="preserve"> </w:t>
      </w:r>
      <w:r w:rsidR="009B13ED" w:rsidRPr="003D1E07">
        <w:t>Avicenna poprvé vytvořil gnoseologickou</w:t>
      </w:r>
      <w:r w:rsidR="08502945" w:rsidRPr="003D1E07">
        <w:t xml:space="preserve"> </w:t>
      </w:r>
      <w:r w:rsidR="009B13ED" w:rsidRPr="003D1E07">
        <w:t>paranoiu</w:t>
      </w:r>
      <w:r w:rsidR="00BF0628" w:rsidRPr="003D1E07">
        <w:t xml:space="preserve"> </w:t>
      </w:r>
      <w:r w:rsidR="003D6DD9" w:rsidRPr="003D1E07">
        <w:t xml:space="preserve">moderny </w:t>
      </w:r>
      <w:r w:rsidR="083C064E" w:rsidRPr="003D1E07">
        <w:t>v kompletní podobě.</w:t>
      </w:r>
      <w:r w:rsidR="00E3621C">
        <w:rPr>
          <w:lang w:eastAsia="en-US"/>
        </w:rPr>
        <w:t xml:space="preserve"> </w:t>
      </w:r>
      <w:r w:rsidR="0010424C">
        <w:t xml:space="preserve">Nová </w:t>
      </w:r>
      <w:r w:rsidR="00C96153" w:rsidRPr="003D1E07">
        <w:t>metafyzika</w:t>
      </w:r>
      <w:r w:rsidR="003D6DD9" w:rsidRPr="003D1E07">
        <w:t xml:space="preserve"> zakládá </w:t>
      </w:r>
      <w:r w:rsidR="085F6296" w:rsidRPr="003D1E07">
        <w:t xml:space="preserve">subjekt-objektový vztah </w:t>
      </w:r>
      <w:r w:rsidR="00320031">
        <w:t xml:space="preserve">objektivního </w:t>
      </w:r>
      <w:r w:rsidR="085F6296" w:rsidRPr="003D1E07">
        <w:t>poznání</w:t>
      </w:r>
      <w:r w:rsidR="08576B99" w:rsidRPr="003D1E07">
        <w:t xml:space="preserve"> </w:t>
      </w:r>
      <w:r w:rsidR="00E52B56" w:rsidRPr="003D1E07">
        <w:t xml:space="preserve">a </w:t>
      </w:r>
      <w:r w:rsidR="00F33E13">
        <w:t xml:space="preserve">objektivní </w:t>
      </w:r>
      <w:r w:rsidR="00FD33C9">
        <w:t xml:space="preserve">pravdy, který je </w:t>
      </w:r>
      <w:r w:rsidR="08573FA0" w:rsidRPr="003D1E07">
        <w:t>naroubovaný na prvn</w:t>
      </w:r>
      <w:r w:rsidR="08913ABC" w:rsidRPr="003D1E07">
        <w:t xml:space="preserve">í dějinnou formu </w:t>
      </w:r>
      <w:r w:rsidR="08576B99" w:rsidRPr="003D1E07">
        <w:t>západního nihilismu</w:t>
      </w:r>
      <w:r w:rsidR="085F6296" w:rsidRPr="003D1E07">
        <w:t>.</w:t>
      </w:r>
      <w:r w:rsidR="00AE1683" w:rsidRPr="003D1E07">
        <w:t xml:space="preserve"> </w:t>
      </w:r>
      <w:r w:rsidR="088D5F84" w:rsidRPr="003D1E07">
        <w:t xml:space="preserve">Kategoriální určení jsoucna </w:t>
      </w:r>
      <w:r w:rsidR="005724E9" w:rsidRPr="003D1E07">
        <w:t xml:space="preserve">je </w:t>
      </w:r>
      <w:r w:rsidR="088D5F84" w:rsidRPr="003D1E07">
        <w:t>nutné pro pojetí pravdy jako adekvace a pro založení kritické vědy</w:t>
      </w:r>
      <w:r w:rsidR="005724E9" w:rsidRPr="003D1E07">
        <w:t xml:space="preserve">. </w:t>
      </w:r>
      <w:r w:rsidR="00C04FEE" w:rsidRPr="003D1E07">
        <w:t xml:space="preserve">Nová forma první vědy není </w:t>
      </w:r>
      <w:r w:rsidR="00A510AF">
        <w:t xml:space="preserve">založena na existenci </w:t>
      </w:r>
      <w:r w:rsidR="00C04FEE" w:rsidRPr="003D1E07">
        <w:lastRenderedPageBreak/>
        <w:t>první substance</w:t>
      </w:r>
      <w:r w:rsidR="002A33D9">
        <w:t xml:space="preserve">, ale </w:t>
      </w:r>
      <w:r w:rsidR="00C04FEE" w:rsidRPr="003D1E07">
        <w:t>na spekulativním a logickém rozdílu mezi minimální</w:t>
      </w:r>
      <w:r w:rsidR="00341FCF" w:rsidRPr="003D1E07">
        <w:t xml:space="preserve"> porcí </w:t>
      </w:r>
      <w:r w:rsidR="00C04FEE" w:rsidRPr="003D1E07">
        <w:t>generické jsoucnosti v objektivní substanci (</w:t>
      </w:r>
      <w:r w:rsidR="00C04FEE" w:rsidRPr="003D1E07">
        <w:rPr>
          <w:i/>
        </w:rPr>
        <w:t>individuum</w:t>
      </w:r>
      <w:r w:rsidR="00C04FEE" w:rsidRPr="003D1E07">
        <w:t xml:space="preserve">) a čistou nicotou. </w:t>
      </w:r>
      <w:r w:rsidR="088D5F84" w:rsidRPr="003D1E07">
        <w:t xml:space="preserve">Avicenna vytvořil pojetí jsoucna doslova </w:t>
      </w:r>
      <w:r w:rsidR="088D5F84" w:rsidRPr="003D1E07">
        <w:rPr>
          <w:i/>
        </w:rPr>
        <w:t>ex nihilo</w:t>
      </w:r>
      <w:r w:rsidR="088D5F84" w:rsidRPr="003D1E07">
        <w:rPr>
          <w:i/>
        </w:rPr>
        <w:fldChar w:fldCharType="begin"/>
      </w:r>
      <w:r w:rsidR="088D5F84" w:rsidRPr="003D1E07">
        <w:instrText xml:space="preserve"> XE "</w:instrText>
      </w:r>
      <w:r w:rsidR="088D5F84" w:rsidRPr="003D1E07">
        <w:rPr>
          <w:i/>
        </w:rPr>
        <w:instrText>creatio ex nihilo</w:instrText>
      </w:r>
      <w:r w:rsidR="088D5F84" w:rsidRPr="003D1E07">
        <w:instrText xml:space="preserve">" </w:instrText>
      </w:r>
      <w:r w:rsidR="088D5F84" w:rsidRPr="003D1E07">
        <w:rPr>
          <w:i/>
        </w:rPr>
        <w:fldChar w:fldCharType="end"/>
      </w:r>
      <w:r w:rsidR="088D5F84" w:rsidRPr="003D1E07">
        <w:t xml:space="preserve"> a tím založil novou metafyziku. </w:t>
      </w:r>
      <w:r w:rsidR="00792C9C" w:rsidRPr="003D1E07">
        <w:t xml:space="preserve">Hermeneutika musí </w:t>
      </w:r>
      <w:r w:rsidR="00A70EBB" w:rsidRPr="003D1E07">
        <w:t xml:space="preserve">v následujících </w:t>
      </w:r>
      <w:r w:rsidR="08F61EBC" w:rsidRPr="003D1E07">
        <w:t xml:space="preserve">analýzách </w:t>
      </w:r>
      <w:r w:rsidR="00A70EBB" w:rsidRPr="003D1E07">
        <w:t xml:space="preserve">objektivity </w:t>
      </w:r>
      <w:r w:rsidR="00792C9C" w:rsidRPr="003D1E07">
        <w:t xml:space="preserve">vyložit charakter </w:t>
      </w:r>
      <w:r w:rsidR="00F45C0B" w:rsidRPr="003D1E07">
        <w:rPr>
          <w:rStyle w:val="addmd"/>
        </w:rPr>
        <w:t>tohoto „minimálního jsoucna</w:t>
      </w:r>
      <w:r w:rsidR="00C3143B" w:rsidRPr="003D1E07">
        <w:rPr>
          <w:rStyle w:val="addmd"/>
        </w:rPr>
        <w:t>“</w:t>
      </w:r>
      <w:r w:rsidR="008362F5">
        <w:rPr>
          <w:rStyle w:val="addmd"/>
        </w:rPr>
        <w:t xml:space="preserve"> či „substance</w:t>
      </w:r>
      <w:r w:rsidR="007D6C9A" w:rsidRPr="003D1E07">
        <w:rPr>
          <w:rStyle w:val="addmd"/>
        </w:rPr>
        <w:t>“</w:t>
      </w:r>
      <w:r w:rsidR="00C3143B" w:rsidRPr="003D1E07">
        <w:rPr>
          <w:rStyle w:val="addmd"/>
        </w:rPr>
        <w:t xml:space="preserve">, </w:t>
      </w:r>
      <w:r w:rsidR="00F45C0B" w:rsidRPr="003D1E07">
        <w:rPr>
          <w:rStyle w:val="addmd"/>
        </w:rPr>
        <w:t xml:space="preserve">které bude hrát klíčovou roli v </w:t>
      </w:r>
      <w:r w:rsidR="00C35A41" w:rsidRPr="003D1E07">
        <w:rPr>
          <w:rStyle w:val="addmd"/>
        </w:rPr>
        <w:t>ob</w:t>
      </w:r>
      <w:r w:rsidR="007D6C9A" w:rsidRPr="003D1E07">
        <w:rPr>
          <w:rStyle w:val="addmd"/>
        </w:rPr>
        <w:t>jektivní metafyzice</w:t>
      </w:r>
      <w:r w:rsidR="00C35A41" w:rsidRPr="003D1E07">
        <w:rPr>
          <w:rStyle w:val="addmd"/>
        </w:rPr>
        <w:t xml:space="preserve"> </w:t>
      </w:r>
      <w:r w:rsidR="007B29DA" w:rsidRPr="003D1E07">
        <w:rPr>
          <w:rStyle w:val="addmd"/>
        </w:rPr>
        <w:t xml:space="preserve">latinských </w:t>
      </w:r>
      <w:r w:rsidR="00F45C0B" w:rsidRPr="003D1E07">
        <w:rPr>
          <w:rStyle w:val="addmd"/>
          <w:i/>
        </w:rPr>
        <w:t>Modernorum</w:t>
      </w:r>
      <w:r w:rsidR="00F45C0B" w:rsidRPr="003D1E07">
        <w:rPr>
          <w:rStyle w:val="addmd"/>
        </w:rPr>
        <w:t xml:space="preserve"> </w:t>
      </w:r>
      <w:r w:rsidR="008550FD" w:rsidRPr="003D1E07">
        <w:rPr>
          <w:rStyle w:val="addmd"/>
        </w:rPr>
        <w:t>(</w:t>
      </w:r>
      <w:r w:rsidR="00792C9C" w:rsidRPr="003D1E07">
        <w:rPr>
          <w:rStyle w:val="addmd"/>
          <w:i/>
        </w:rPr>
        <w:t>esse</w:t>
      </w:r>
      <w:r w:rsidR="001415F7" w:rsidRPr="003D1E07">
        <w:rPr>
          <w:rStyle w:val="addmd"/>
          <w:i/>
        </w:rPr>
        <w:t xml:space="preserve"> diminutum</w:t>
      </w:r>
      <w:r w:rsidR="004F0A62" w:rsidRPr="003D1E07">
        <w:rPr>
          <w:rStyle w:val="addmd"/>
          <w:i/>
        </w:rPr>
        <w:fldChar w:fldCharType="begin"/>
      </w:r>
      <w:r w:rsidR="004F0A62" w:rsidRPr="003D1E07">
        <w:instrText xml:space="preserve"> XE "</w:instrText>
      </w:r>
      <w:r w:rsidR="004F0A62" w:rsidRPr="003D1E07">
        <w:rPr>
          <w:i/>
        </w:rPr>
        <w:instrText>esse diminutum</w:instrText>
      </w:r>
      <w:r w:rsidR="004F0A62" w:rsidRPr="003D1E07">
        <w:instrText xml:space="preserve">" </w:instrText>
      </w:r>
      <w:r w:rsidR="004F0A62" w:rsidRPr="003D1E07">
        <w:rPr>
          <w:rStyle w:val="addmd"/>
          <w:i/>
        </w:rPr>
        <w:fldChar w:fldCharType="end"/>
      </w:r>
      <w:r w:rsidR="008550FD" w:rsidRPr="003D1E07">
        <w:rPr>
          <w:rStyle w:val="addmd"/>
          <w:i/>
        </w:rPr>
        <w:t xml:space="preserve">, ens </w:t>
      </w:r>
      <w:r w:rsidR="08B64649" w:rsidRPr="003D1E07">
        <w:rPr>
          <w:rStyle w:val="addmd"/>
          <w:i/>
        </w:rPr>
        <w:t>diminutum</w:t>
      </w:r>
      <w:r w:rsidR="00726C13" w:rsidRPr="003D1E07">
        <w:rPr>
          <w:rStyle w:val="addmd"/>
          <w:i/>
        </w:rPr>
        <w:fldChar w:fldCharType="begin"/>
      </w:r>
      <w:r w:rsidR="00726C13" w:rsidRPr="003D1E07">
        <w:instrText xml:space="preserve"> XE "</w:instrText>
      </w:r>
      <w:r w:rsidR="00726C13" w:rsidRPr="003D1E07">
        <w:rPr>
          <w:i/>
        </w:rPr>
        <w:instrText>ens diminutum</w:instrText>
      </w:r>
      <w:r w:rsidR="00726C13" w:rsidRPr="003D1E07">
        <w:instrText xml:space="preserve">" </w:instrText>
      </w:r>
      <w:r w:rsidR="00726C13" w:rsidRPr="003D1E07">
        <w:rPr>
          <w:rStyle w:val="addmd"/>
          <w:i/>
        </w:rPr>
        <w:fldChar w:fldCharType="end"/>
      </w:r>
      <w:r w:rsidR="001415F7" w:rsidRPr="003D1E07">
        <w:rPr>
          <w:rStyle w:val="addmd"/>
          <w:i/>
        </w:rPr>
        <w:t>, res a reor reris</w:t>
      </w:r>
      <w:r w:rsidR="008550FD" w:rsidRPr="003D1E07">
        <w:rPr>
          <w:rStyle w:val="addmd"/>
        </w:rPr>
        <w:t>)</w:t>
      </w:r>
      <w:r w:rsidR="00F45C0B" w:rsidRPr="003D1E07">
        <w:rPr>
          <w:rStyle w:val="addmd"/>
        </w:rPr>
        <w:t xml:space="preserve">. </w:t>
      </w:r>
      <w:r w:rsidR="00F27E97">
        <w:rPr>
          <w:rStyle w:val="addmd"/>
        </w:rPr>
        <w:t>V</w:t>
      </w:r>
      <w:r w:rsidR="08CC30B3" w:rsidRPr="003D1E07">
        <w:rPr>
          <w:rStyle w:val="addmd"/>
        </w:rPr>
        <w:t xml:space="preserve">ěc nazíraná v přímém eidetickém náhledu má vlastní jistotu danou </w:t>
      </w:r>
      <w:r w:rsidR="08CC30B3" w:rsidRPr="003D1E07">
        <w:rPr>
          <w:rStyle w:val="addmd"/>
          <w:i/>
        </w:rPr>
        <w:t>per prius</w:t>
      </w:r>
      <w:r w:rsidR="08CC30B3" w:rsidRPr="003D1E07">
        <w:rPr>
          <w:rStyle w:val="addmd"/>
        </w:rPr>
        <w:t xml:space="preserve">, </w:t>
      </w:r>
      <w:r w:rsidR="000A04F6">
        <w:rPr>
          <w:rStyle w:val="addmd"/>
        </w:rPr>
        <w:t xml:space="preserve">která není predikována </w:t>
      </w:r>
      <w:r w:rsidR="08CC30B3" w:rsidRPr="003D1E07">
        <w:rPr>
          <w:rStyle w:val="addmd"/>
        </w:rPr>
        <w:t>od reá</w:t>
      </w:r>
      <w:r w:rsidR="00E3621C">
        <w:rPr>
          <w:rStyle w:val="addmd"/>
        </w:rPr>
        <w:t>lné existence první substance.</w:t>
      </w:r>
    </w:p>
    <w:p w14:paraId="01AB7B76" w14:textId="5FC799F8" w:rsidR="084D3EA8" w:rsidRPr="003D1E07" w:rsidRDefault="08A64E1F" w:rsidP="00E3621C">
      <w:pPr>
        <w:ind w:firstLine="397"/>
        <w:rPr>
          <w:rStyle w:val="addmd"/>
        </w:rPr>
      </w:pPr>
      <w:r w:rsidRPr="003D1E07">
        <w:rPr>
          <w:rStyle w:val="addmd"/>
        </w:rPr>
        <w:t xml:space="preserve">Úvod </w:t>
      </w:r>
      <w:r w:rsidR="00A53416" w:rsidRPr="003D1E07">
        <w:rPr>
          <w:rStyle w:val="addmd"/>
          <w:i/>
        </w:rPr>
        <w:t>M</w:t>
      </w:r>
      <w:r w:rsidR="086853CF" w:rsidRPr="003D1E07">
        <w:rPr>
          <w:rStyle w:val="addmd"/>
          <w:i/>
        </w:rPr>
        <w:t>etafyziky</w:t>
      </w:r>
      <w:r w:rsidR="086853CF" w:rsidRPr="003D1E07">
        <w:rPr>
          <w:rStyle w:val="addmd"/>
        </w:rPr>
        <w:t xml:space="preserve"> </w:t>
      </w:r>
      <w:r w:rsidR="086853CF" w:rsidRPr="003D1E07">
        <w:rPr>
          <w:rStyle w:val="addmd"/>
          <w:i/>
        </w:rPr>
        <w:t>a</w:t>
      </w:r>
      <w:r w:rsidR="00C3143B" w:rsidRPr="003D1E07">
        <w:rPr>
          <w:rStyle w:val="addmd"/>
          <w:i/>
        </w:rPr>
        <w:t>l-</w:t>
      </w:r>
      <w:r w:rsidR="0020712B" w:rsidRPr="003D1E07">
        <w:rPr>
          <w:rStyle w:val="addmd"/>
          <w:i/>
        </w:rPr>
        <w:t>Šifá</w:t>
      </w:r>
      <w:r w:rsidR="086853CF" w:rsidRPr="003D1E07">
        <w:rPr>
          <w:rStyle w:val="addmd"/>
        </w:rPr>
        <w:t xml:space="preserve"> definuje věc z případků</w:t>
      </w:r>
      <w:r w:rsidRPr="003D1E07">
        <w:rPr>
          <w:rStyle w:val="addmd"/>
        </w:rPr>
        <w:t xml:space="preserve"> jsoucnosti (</w:t>
      </w:r>
      <w:r w:rsidRPr="003D1E07">
        <w:rPr>
          <w:rStyle w:val="addmd"/>
          <w:i/>
        </w:rPr>
        <w:t>comitantia</w:t>
      </w:r>
      <w:r w:rsidRPr="003D1E07">
        <w:rPr>
          <w:rStyle w:val="addmd"/>
        </w:rPr>
        <w:t>)</w:t>
      </w:r>
      <w:r w:rsidR="08606C74" w:rsidRPr="003D1E07">
        <w:rPr>
          <w:rStyle w:val="addmd"/>
        </w:rPr>
        <w:t xml:space="preserve">, která věci </w:t>
      </w:r>
      <w:r w:rsidR="08365F9F" w:rsidRPr="003D1E07">
        <w:rPr>
          <w:rStyle w:val="addmd"/>
        </w:rPr>
        <w:t xml:space="preserve">náleží </w:t>
      </w:r>
      <w:r w:rsidR="08606C74" w:rsidRPr="003D1E07">
        <w:rPr>
          <w:rStyle w:val="addmd"/>
        </w:rPr>
        <w:t xml:space="preserve">nutně a </w:t>
      </w:r>
      <w:r w:rsidR="007A5B8F" w:rsidRPr="003D1E07">
        <w:rPr>
          <w:rStyle w:val="addmd"/>
        </w:rPr>
        <w:t xml:space="preserve">v modu </w:t>
      </w:r>
      <w:r w:rsidR="08606C74" w:rsidRPr="003D1E07">
        <w:rPr>
          <w:rStyle w:val="addmd"/>
          <w:i/>
        </w:rPr>
        <w:t>per prius</w:t>
      </w:r>
      <w:r w:rsidR="004A055A" w:rsidRPr="003D1E07">
        <w:rPr>
          <w:rStyle w:val="addmd"/>
        </w:rPr>
        <w:t>. Komita</w:t>
      </w:r>
      <w:r w:rsidR="008A3AE3" w:rsidRPr="003D1E07">
        <w:rPr>
          <w:rStyle w:val="addmd"/>
        </w:rPr>
        <w:t>ce</w:t>
      </w:r>
      <w:r w:rsidR="006E6202" w:rsidRPr="003D1E07">
        <w:rPr>
          <w:rStyle w:val="addmd"/>
        </w:rPr>
        <w:fldChar w:fldCharType="begin"/>
      </w:r>
      <w:r w:rsidR="006E6202" w:rsidRPr="003D1E07">
        <w:instrText xml:space="preserve"> XE "</w:instrText>
      </w:r>
      <w:r w:rsidR="008D08CA" w:rsidRPr="003D1E07">
        <w:instrText>komitace</w:instrText>
      </w:r>
      <w:r w:rsidR="006E6202" w:rsidRPr="003D1E07">
        <w:instrText xml:space="preserve">" </w:instrText>
      </w:r>
      <w:r w:rsidR="006E6202" w:rsidRPr="003D1E07">
        <w:rPr>
          <w:rStyle w:val="addmd"/>
        </w:rPr>
        <w:fldChar w:fldCharType="end"/>
      </w:r>
      <w:r w:rsidR="008A3AE3" w:rsidRPr="003D1E07">
        <w:rPr>
          <w:rStyle w:val="addmd"/>
        </w:rPr>
        <w:t xml:space="preserve">, neboli přísun, doprovázení či následování </w:t>
      </w:r>
      <w:r w:rsidR="08606C74" w:rsidRPr="003D1E07">
        <w:rPr>
          <w:rStyle w:val="addmd"/>
        </w:rPr>
        <w:t xml:space="preserve">nového druhu bytí jsoucna </w:t>
      </w:r>
      <w:r w:rsidR="008A3AE3" w:rsidRPr="003D1E07">
        <w:rPr>
          <w:rStyle w:val="addmd"/>
        </w:rPr>
        <w:t>(</w:t>
      </w:r>
      <w:r w:rsidR="00991373" w:rsidRPr="003D1E07">
        <w:rPr>
          <w:rStyle w:val="addmd"/>
        </w:rPr>
        <w:t xml:space="preserve">viz </w:t>
      </w:r>
      <w:r w:rsidR="00BE5D91" w:rsidRPr="003D1E07">
        <w:rPr>
          <w:rStyle w:val="addmd"/>
        </w:rPr>
        <w:t xml:space="preserve">významy </w:t>
      </w:r>
      <w:r w:rsidR="089153FF" w:rsidRPr="003D1E07">
        <w:rPr>
          <w:rStyle w:val="addmd"/>
        </w:rPr>
        <w:t xml:space="preserve">slovesa </w:t>
      </w:r>
      <w:r w:rsidR="008A3AE3" w:rsidRPr="003D1E07">
        <w:rPr>
          <w:rStyle w:val="addmd"/>
          <w:i/>
        </w:rPr>
        <w:t>comito</w:t>
      </w:r>
      <w:r w:rsidR="008A3AE3" w:rsidRPr="003D1E07">
        <w:rPr>
          <w:rStyle w:val="addmd"/>
        </w:rPr>
        <w:t xml:space="preserve">) </w:t>
      </w:r>
      <w:r w:rsidR="08606C74" w:rsidRPr="003D1E07">
        <w:rPr>
          <w:rStyle w:val="addmd"/>
        </w:rPr>
        <w:t xml:space="preserve">je dána v modu </w:t>
      </w:r>
      <w:r w:rsidR="08CC30B3" w:rsidRPr="003D1E07">
        <w:rPr>
          <w:rStyle w:val="addmd"/>
        </w:rPr>
        <w:t>univoc</w:t>
      </w:r>
      <w:r w:rsidR="086C4CEA" w:rsidRPr="003D1E07">
        <w:rPr>
          <w:rStyle w:val="addmd"/>
        </w:rPr>
        <w:t>ity</w:t>
      </w:r>
      <w:r w:rsidR="00FB6F76" w:rsidRPr="003D1E07">
        <w:rPr>
          <w:rStyle w:val="addmd"/>
        </w:rPr>
        <w:t>. Komitace zakládá výše uvedenou jistotu</w:t>
      </w:r>
      <w:r w:rsidR="00733BE1" w:rsidRPr="003D1E07">
        <w:rPr>
          <w:rStyle w:val="addmd"/>
        </w:rPr>
        <w:t xml:space="preserve"> </w:t>
      </w:r>
      <w:r w:rsidR="00FB6F76" w:rsidRPr="003D1E07">
        <w:rPr>
          <w:rStyle w:val="addmd"/>
        </w:rPr>
        <w:t>eidetického náhledu, v němž se zjevuje objektivní substance</w:t>
      </w:r>
      <w:r w:rsidR="08D51591" w:rsidRPr="003D1E07">
        <w:rPr>
          <w:rStyle w:val="addmd"/>
        </w:rPr>
        <w:t xml:space="preserve">. </w:t>
      </w:r>
      <w:r w:rsidR="082E3FA2" w:rsidRPr="003D1E07">
        <w:rPr>
          <w:rStyle w:val="addmd"/>
        </w:rPr>
        <w:t xml:space="preserve">Tato jistota je dána jak na straně našeho poznání, tak i v objektivním bytí samotné věci dané jako jsoucno třetího druhu. </w:t>
      </w:r>
      <w:r w:rsidR="08A60F98" w:rsidRPr="003D1E07">
        <w:rPr>
          <w:rStyle w:val="addmd"/>
        </w:rPr>
        <w:t xml:space="preserve">Hermeneutika odvozuje toto </w:t>
      </w:r>
      <w:r w:rsidR="089153FF" w:rsidRPr="003D1E07">
        <w:rPr>
          <w:rStyle w:val="addmd"/>
        </w:rPr>
        <w:t xml:space="preserve">pojetí </w:t>
      </w:r>
      <w:r w:rsidR="08A60F98" w:rsidRPr="003D1E07">
        <w:rPr>
          <w:rStyle w:val="addmd"/>
        </w:rPr>
        <w:t xml:space="preserve">objektivní </w:t>
      </w:r>
      <w:r w:rsidR="089153FF" w:rsidRPr="003D1E07">
        <w:rPr>
          <w:rStyle w:val="addmd"/>
        </w:rPr>
        <w:t>komitace od Heide</w:t>
      </w:r>
      <w:r w:rsidR="08214DB4" w:rsidRPr="003D1E07">
        <w:rPr>
          <w:rStyle w:val="addmd"/>
        </w:rPr>
        <w:t>gge</w:t>
      </w:r>
      <w:r w:rsidR="089153FF" w:rsidRPr="003D1E07">
        <w:rPr>
          <w:rStyle w:val="addmd"/>
        </w:rPr>
        <w:t xml:space="preserve">rova pojmu </w:t>
      </w:r>
      <w:r w:rsidR="08A349CC" w:rsidRPr="003D1E07">
        <w:rPr>
          <w:rStyle w:val="addmd"/>
          <w:i/>
        </w:rPr>
        <w:t>Ge-Stell</w:t>
      </w:r>
      <w:r w:rsidR="089153FF" w:rsidRPr="003D1E07">
        <w:rPr>
          <w:rStyle w:val="addmd"/>
          <w:i/>
        </w:rPr>
        <w:fldChar w:fldCharType="begin"/>
      </w:r>
      <w:r w:rsidR="089153FF" w:rsidRPr="003D1E07">
        <w:instrText xml:space="preserve"> XE "</w:instrText>
      </w:r>
      <w:r w:rsidR="08A349CC" w:rsidRPr="003D1E07">
        <w:rPr>
          <w:rStyle w:val="addmd"/>
          <w:i/>
        </w:rPr>
        <w:instrText>Ge-Stell</w:instrText>
      </w:r>
      <w:r w:rsidR="089153FF" w:rsidRPr="003D1E07">
        <w:instrText xml:space="preserve">" </w:instrText>
      </w:r>
      <w:r w:rsidR="089153FF" w:rsidRPr="003D1E07">
        <w:rPr>
          <w:rStyle w:val="addmd"/>
          <w:i/>
        </w:rPr>
        <w:fldChar w:fldCharType="end"/>
      </w:r>
      <w:r w:rsidR="08A60F98" w:rsidRPr="003D1E07">
        <w:rPr>
          <w:rStyle w:val="addmd"/>
        </w:rPr>
        <w:t>, který</w:t>
      </w:r>
      <w:r w:rsidR="089153FF" w:rsidRPr="003D1E07">
        <w:rPr>
          <w:rStyle w:val="addmd"/>
        </w:rPr>
        <w:t xml:space="preserve"> </w:t>
      </w:r>
      <w:r w:rsidR="08214DB4" w:rsidRPr="003D1E07">
        <w:rPr>
          <w:rStyle w:val="addmd"/>
        </w:rPr>
        <w:t xml:space="preserve">v nihilistické epoše metafyziky </w:t>
      </w:r>
      <w:r w:rsidR="089153FF" w:rsidRPr="003D1E07">
        <w:rPr>
          <w:rStyle w:val="addmd"/>
        </w:rPr>
        <w:t>uka</w:t>
      </w:r>
      <w:r w:rsidR="08A60F98" w:rsidRPr="003D1E07">
        <w:rPr>
          <w:rStyle w:val="addmd"/>
        </w:rPr>
        <w:t>z</w:t>
      </w:r>
      <w:r w:rsidR="08214DB4" w:rsidRPr="003D1E07">
        <w:rPr>
          <w:rStyle w:val="addmd"/>
        </w:rPr>
        <w:t>uje demiurgický pří-</w:t>
      </w:r>
      <w:r w:rsidR="089153FF" w:rsidRPr="003D1E07">
        <w:rPr>
          <w:rStyle w:val="addmd"/>
        </w:rPr>
        <w:t>sun jsoucna před vědecko-technický intelekt západního demiurga (kap.</w:t>
      </w:r>
      <w:r w:rsidR="082E3FA2" w:rsidRPr="003D1E07">
        <w:rPr>
          <w:rStyle w:val="addmd"/>
        </w:rPr>
        <w:t xml:space="preserve"> </w:t>
      </w:r>
      <w:r w:rsidR="084E7952" w:rsidRPr="003D1E07">
        <w:rPr>
          <w:rStyle w:val="addmd"/>
        </w:rPr>
        <w:t>1.2</w:t>
      </w:r>
      <w:r w:rsidR="089153FF" w:rsidRPr="003D1E07">
        <w:rPr>
          <w:rStyle w:val="addmd"/>
        </w:rPr>
        <w:t xml:space="preserve">). </w:t>
      </w:r>
      <w:r w:rsidR="00A410FB">
        <w:rPr>
          <w:rStyle w:val="addmd"/>
        </w:rPr>
        <w:t xml:space="preserve">Nový subjekt jako generální dodavatel smyslu světa založil objektivní afirmaci takto dodaného jsoucna v moderní formě </w:t>
      </w:r>
      <w:r w:rsidR="00A410FB" w:rsidRPr="00A410FB">
        <w:rPr>
          <w:rStyle w:val="addmd"/>
          <w:i/>
        </w:rPr>
        <w:t>modus ponens</w:t>
      </w:r>
      <w:r w:rsidR="00A410FB">
        <w:rPr>
          <w:rStyle w:val="addmd"/>
          <w:i/>
        </w:rPr>
        <w:fldChar w:fldCharType="begin"/>
      </w:r>
      <w:r w:rsidR="00A410FB">
        <w:instrText xml:space="preserve"> XE "</w:instrText>
      </w:r>
      <w:r w:rsidR="00A410FB" w:rsidRPr="00C57161">
        <w:rPr>
          <w:rStyle w:val="addmd"/>
          <w:i/>
        </w:rPr>
        <w:instrText>modus ponens</w:instrText>
      </w:r>
      <w:r w:rsidR="00A410FB">
        <w:instrText xml:space="preserve">" </w:instrText>
      </w:r>
      <w:r w:rsidR="00A410FB">
        <w:rPr>
          <w:rStyle w:val="addmd"/>
          <w:i/>
        </w:rPr>
        <w:fldChar w:fldCharType="end"/>
      </w:r>
      <w:r w:rsidR="00A410FB">
        <w:rPr>
          <w:rStyle w:val="addmd"/>
        </w:rPr>
        <w:t xml:space="preserve">. </w:t>
      </w:r>
      <w:r w:rsidR="086B4CB5" w:rsidRPr="003D1E07">
        <w:rPr>
          <w:rStyle w:val="addmd"/>
        </w:rPr>
        <w:t>N</w:t>
      </w:r>
      <w:r w:rsidR="089B32AA" w:rsidRPr="003D1E07">
        <w:rPr>
          <w:rStyle w:val="addmd"/>
        </w:rPr>
        <w:t xml:space="preserve">áhled intenduje bytí věci v její </w:t>
      </w:r>
      <w:r w:rsidR="08C41261" w:rsidRPr="003D1E07">
        <w:rPr>
          <w:rStyle w:val="addmd"/>
        </w:rPr>
        <w:t xml:space="preserve">bytostné </w:t>
      </w:r>
      <w:r w:rsidR="089B32AA" w:rsidRPr="003D1E07">
        <w:rPr>
          <w:rStyle w:val="addmd"/>
        </w:rPr>
        <w:t xml:space="preserve">jistotě jako A, které je odlišné od </w:t>
      </w:r>
      <w:r w:rsidR="08C41261" w:rsidRPr="003D1E07">
        <w:rPr>
          <w:rStyle w:val="addmd"/>
        </w:rPr>
        <w:t xml:space="preserve">jiné singulární </w:t>
      </w:r>
      <w:r w:rsidR="089B32AA" w:rsidRPr="003D1E07">
        <w:rPr>
          <w:rStyle w:val="addmd"/>
        </w:rPr>
        <w:t>jistoty dan</w:t>
      </w:r>
      <w:r w:rsidR="082D17CC" w:rsidRPr="003D1E07">
        <w:rPr>
          <w:rStyle w:val="addmd"/>
        </w:rPr>
        <w:t>é</w:t>
      </w:r>
      <w:r w:rsidR="089B32AA" w:rsidRPr="003D1E07">
        <w:rPr>
          <w:rStyle w:val="addmd"/>
        </w:rPr>
        <w:t xml:space="preserve"> ve věci B. Toto </w:t>
      </w:r>
      <w:r w:rsidR="081721E3" w:rsidRPr="003D1E07">
        <w:rPr>
          <w:rStyle w:val="addmd"/>
        </w:rPr>
        <w:t xml:space="preserve">objektivní </w:t>
      </w:r>
      <w:r w:rsidR="089B32AA" w:rsidRPr="003D1E07">
        <w:rPr>
          <w:rStyle w:val="addmd"/>
        </w:rPr>
        <w:t xml:space="preserve">bytí </w:t>
      </w:r>
      <w:r w:rsidR="08D74232" w:rsidRPr="003D1E07">
        <w:rPr>
          <w:rStyle w:val="addmd"/>
        </w:rPr>
        <w:t xml:space="preserve">dané v </w:t>
      </w:r>
      <w:r w:rsidR="00FA312D" w:rsidRPr="003D1E07">
        <w:rPr>
          <w:rStyle w:val="addmd"/>
        </w:rPr>
        <w:t xml:space="preserve">modu objektivní </w:t>
      </w:r>
      <w:r w:rsidR="08D74232" w:rsidRPr="003D1E07">
        <w:rPr>
          <w:rStyle w:val="addmd"/>
        </w:rPr>
        <w:t>identity (A</w:t>
      </w:r>
      <w:r w:rsidR="00DE70E1" w:rsidRPr="003D1E07">
        <w:rPr>
          <w:rStyle w:val="addmd"/>
        </w:rPr>
        <w:t xml:space="preserve"> </w:t>
      </w:r>
      <w:r w:rsidR="08D74232" w:rsidRPr="003D1E07">
        <w:rPr>
          <w:rStyle w:val="addmd"/>
        </w:rPr>
        <w:t>=</w:t>
      </w:r>
      <w:r w:rsidR="00DE70E1" w:rsidRPr="003D1E07">
        <w:rPr>
          <w:rStyle w:val="addmd"/>
        </w:rPr>
        <w:t xml:space="preserve"> </w:t>
      </w:r>
      <w:r w:rsidR="08D74232" w:rsidRPr="003D1E07">
        <w:rPr>
          <w:rStyle w:val="addmd"/>
        </w:rPr>
        <w:t>A) a různosti (A</w:t>
      </w:r>
      <w:r w:rsidR="00DE70E1" w:rsidRPr="003D1E07">
        <w:rPr>
          <w:rStyle w:val="addmd"/>
        </w:rPr>
        <w:t xml:space="preserve"> </w:t>
      </w:r>
      <w:r w:rsidR="08D74232" w:rsidRPr="003D1E07">
        <w:rPr>
          <w:rStyle w:val="addmd"/>
        </w:rPr>
        <w:t>≠</w:t>
      </w:r>
      <w:r w:rsidR="00DE70E1" w:rsidRPr="003D1E07">
        <w:rPr>
          <w:rStyle w:val="addmd"/>
        </w:rPr>
        <w:t xml:space="preserve"> non A</w:t>
      </w:r>
      <w:r w:rsidR="08D74232" w:rsidRPr="003D1E07">
        <w:rPr>
          <w:rStyle w:val="addmd"/>
        </w:rPr>
        <w:t xml:space="preserve">) </w:t>
      </w:r>
      <w:r w:rsidR="00544E45" w:rsidRPr="003D1E07">
        <w:rPr>
          <w:rStyle w:val="addmd"/>
        </w:rPr>
        <w:t>je nazírané</w:t>
      </w:r>
      <w:r w:rsidR="089B32AA" w:rsidRPr="003D1E07">
        <w:rPr>
          <w:rStyle w:val="addmd"/>
        </w:rPr>
        <w:t xml:space="preserve"> v novém druhu intencionality, jejíž postmoderní verzi známe od Descarta</w:t>
      </w:r>
      <w:r w:rsidR="006E6202" w:rsidRPr="003D1E07">
        <w:rPr>
          <w:rStyle w:val="addmd"/>
        </w:rPr>
        <w:fldChar w:fldCharType="begin"/>
      </w:r>
      <w:r w:rsidR="006E6202" w:rsidRPr="003D1E07">
        <w:instrText xml:space="preserve"> XE "</w:instrText>
      </w:r>
      <w:r w:rsidR="006E6202" w:rsidRPr="003D1E07">
        <w:rPr>
          <w:rStyle w:val="addmd"/>
        </w:rPr>
        <w:instrText>Descartes, R.</w:instrText>
      </w:r>
      <w:r w:rsidR="006E6202" w:rsidRPr="003D1E07">
        <w:instrText xml:space="preserve">" </w:instrText>
      </w:r>
      <w:r w:rsidR="006E6202" w:rsidRPr="003D1E07">
        <w:rPr>
          <w:rStyle w:val="addmd"/>
        </w:rPr>
        <w:fldChar w:fldCharType="end"/>
      </w:r>
      <w:r w:rsidR="089B32AA" w:rsidRPr="003D1E07">
        <w:rPr>
          <w:rStyle w:val="addmd"/>
        </w:rPr>
        <w:t xml:space="preserve"> a Husserla</w:t>
      </w:r>
      <w:r w:rsidR="006E6202" w:rsidRPr="003D1E07">
        <w:rPr>
          <w:rStyle w:val="addmd"/>
          <w:i/>
        </w:rPr>
        <w:fldChar w:fldCharType="begin"/>
      </w:r>
      <w:r w:rsidR="006E6202" w:rsidRPr="003D1E07">
        <w:instrText xml:space="preserve"> XE "Husserl, E." </w:instrText>
      </w:r>
      <w:r w:rsidR="006E6202" w:rsidRPr="003D1E07">
        <w:rPr>
          <w:rStyle w:val="addmd"/>
          <w:i/>
        </w:rPr>
        <w:fldChar w:fldCharType="end"/>
      </w:r>
      <w:r w:rsidR="089B32AA" w:rsidRPr="003D1E07">
        <w:rPr>
          <w:rStyle w:val="addmd"/>
        </w:rPr>
        <w:t>.</w:t>
      </w:r>
      <w:r w:rsidR="08F553D6" w:rsidRPr="003D1E07">
        <w:rPr>
          <w:rStyle w:val="addmd"/>
        </w:rPr>
        <w:t xml:space="preserve"> </w:t>
      </w:r>
      <w:r w:rsidR="00623C8D" w:rsidRPr="003D1E07">
        <w:rPr>
          <w:rStyle w:val="addmd"/>
        </w:rPr>
        <w:t xml:space="preserve">Moderní logika </w:t>
      </w:r>
      <w:r w:rsidR="001F0015" w:rsidRPr="003D1E07">
        <w:rPr>
          <w:rStyle w:val="addmd"/>
        </w:rPr>
        <w:t xml:space="preserve"> sáhla do </w:t>
      </w:r>
      <w:r w:rsidR="00874074" w:rsidRPr="003D1E07">
        <w:rPr>
          <w:rStyle w:val="addmd"/>
        </w:rPr>
        <w:t>neoplatonsk</w:t>
      </w:r>
      <w:r w:rsidR="001F0015" w:rsidRPr="003D1E07">
        <w:rPr>
          <w:rStyle w:val="addmd"/>
        </w:rPr>
        <w:t>é metafyziky, v níž existují rodové hypostáze a transcendentáli</w:t>
      </w:r>
      <w:r w:rsidR="00F96CDF" w:rsidRPr="003D1E07">
        <w:rPr>
          <w:rStyle w:val="addmd"/>
        </w:rPr>
        <w:t>a</w:t>
      </w:r>
      <w:r w:rsidR="00F96CDF" w:rsidRPr="003D1E07">
        <w:rPr>
          <w:rStyle w:val="addmd"/>
        </w:rPr>
        <w:fldChar w:fldCharType="begin"/>
      </w:r>
      <w:r w:rsidR="00F96CDF" w:rsidRPr="003D1E07">
        <w:instrText xml:space="preserve"> XE "</w:instrText>
      </w:r>
      <w:r w:rsidR="00F96CDF" w:rsidRPr="003D1E07">
        <w:rPr>
          <w:rStyle w:val="addmd"/>
        </w:rPr>
        <w:instrText>transcendentália</w:instrText>
      </w:r>
      <w:r w:rsidR="00F96CDF" w:rsidRPr="003D1E07">
        <w:instrText xml:space="preserve">" </w:instrText>
      </w:r>
      <w:r w:rsidR="00F96CDF" w:rsidRPr="003D1E07">
        <w:rPr>
          <w:rStyle w:val="addmd"/>
        </w:rPr>
        <w:fldChar w:fldCharType="end"/>
      </w:r>
      <w:r w:rsidR="001F0015" w:rsidRPr="003D1E07">
        <w:rPr>
          <w:rStyle w:val="addmd"/>
        </w:rPr>
        <w:t xml:space="preserve"> jako primární vlastnosti jsoucna (</w:t>
      </w:r>
      <w:r w:rsidR="001F0015" w:rsidRPr="003D1E07">
        <w:rPr>
          <w:rStyle w:val="addmd"/>
          <w:i/>
        </w:rPr>
        <w:t>passiones entis</w:t>
      </w:r>
      <w:r w:rsidR="001F0015" w:rsidRPr="003D1E07">
        <w:rPr>
          <w:rStyle w:val="addmd"/>
          <w:i/>
        </w:rPr>
        <w:fldChar w:fldCharType="begin"/>
      </w:r>
      <w:r w:rsidR="001F0015" w:rsidRPr="003D1E07">
        <w:instrText xml:space="preserve"> XE "</w:instrText>
      </w:r>
      <w:r w:rsidR="001F0015" w:rsidRPr="003D1E07">
        <w:rPr>
          <w:rStyle w:val="addmd"/>
          <w:i/>
        </w:rPr>
        <w:instrText>passiones entis</w:instrText>
      </w:r>
      <w:r w:rsidR="001F0015" w:rsidRPr="003D1E07">
        <w:instrText xml:space="preserve">" </w:instrText>
      </w:r>
      <w:r w:rsidR="001F0015" w:rsidRPr="003D1E07">
        <w:rPr>
          <w:rStyle w:val="addmd"/>
          <w:i/>
        </w:rPr>
        <w:fldChar w:fldCharType="end"/>
      </w:r>
      <w:r w:rsidR="001F0015" w:rsidRPr="003D1E07">
        <w:rPr>
          <w:rStyle w:val="addmd"/>
        </w:rPr>
        <w:t xml:space="preserve">). </w:t>
      </w:r>
      <w:r w:rsidR="00E0260E" w:rsidRPr="003D1E07">
        <w:rPr>
          <w:rStyle w:val="addmd"/>
        </w:rPr>
        <w:t xml:space="preserve">Nová první věda o jsoucnu tím </w:t>
      </w:r>
      <w:r w:rsidR="00623C8D" w:rsidRPr="003D1E07">
        <w:rPr>
          <w:rStyle w:val="addmd"/>
        </w:rPr>
        <w:t xml:space="preserve">obešla dispozici klasické logiky dané vyloučením třetího mezi první a druhou substancí. </w:t>
      </w:r>
      <w:r w:rsidR="08F553D6" w:rsidRPr="003D1E07">
        <w:rPr>
          <w:rStyle w:val="addmd"/>
        </w:rPr>
        <w:t>Avicenna definuje</w:t>
      </w:r>
      <w:r w:rsidR="08E869DD" w:rsidRPr="003D1E07">
        <w:rPr>
          <w:rStyle w:val="addmd"/>
        </w:rPr>
        <w:t xml:space="preserve"> v rámci </w:t>
      </w:r>
      <w:r w:rsidR="00B66063" w:rsidRPr="003D1E07">
        <w:rPr>
          <w:rStyle w:val="addmd"/>
        </w:rPr>
        <w:t xml:space="preserve">nové </w:t>
      </w:r>
      <w:r w:rsidR="08E869DD" w:rsidRPr="003D1E07">
        <w:rPr>
          <w:rStyle w:val="addmd"/>
        </w:rPr>
        <w:t>intencionality</w:t>
      </w:r>
      <w:r w:rsidR="08F553D6" w:rsidRPr="003D1E07">
        <w:rPr>
          <w:rStyle w:val="addmd"/>
        </w:rPr>
        <w:t xml:space="preserve"> </w:t>
      </w:r>
      <w:r w:rsidR="00B66063" w:rsidRPr="003D1E07">
        <w:rPr>
          <w:rStyle w:val="addmd"/>
        </w:rPr>
        <w:t xml:space="preserve">i </w:t>
      </w:r>
      <w:r w:rsidR="08F553D6" w:rsidRPr="003D1E07">
        <w:rPr>
          <w:rStyle w:val="addmd"/>
        </w:rPr>
        <w:t xml:space="preserve">nové </w:t>
      </w:r>
      <w:r w:rsidR="001B349B" w:rsidRPr="003D1E07">
        <w:rPr>
          <w:rStyle w:val="addmd"/>
        </w:rPr>
        <w:t xml:space="preserve">metafyzické </w:t>
      </w:r>
      <w:r w:rsidR="08F553D6" w:rsidRPr="003D1E07">
        <w:rPr>
          <w:rStyle w:val="addmd"/>
        </w:rPr>
        <w:t xml:space="preserve">určení pro </w:t>
      </w:r>
      <w:r w:rsidR="08D1653C" w:rsidRPr="003D1E07">
        <w:rPr>
          <w:rStyle w:val="addmd"/>
        </w:rPr>
        <w:t xml:space="preserve">jsoucno jako </w:t>
      </w:r>
      <w:r w:rsidR="08F553D6" w:rsidRPr="003D1E07">
        <w:rPr>
          <w:rStyle w:val="addmd"/>
        </w:rPr>
        <w:t>věc (</w:t>
      </w:r>
      <w:r w:rsidR="08F553D6" w:rsidRPr="003D1E07">
        <w:rPr>
          <w:rStyle w:val="addmd"/>
          <w:i/>
        </w:rPr>
        <w:t>res</w:t>
      </w:r>
      <w:r w:rsidR="006E6202" w:rsidRPr="003D1E07">
        <w:rPr>
          <w:rStyle w:val="addmd"/>
          <w:i/>
        </w:rPr>
        <w:fldChar w:fldCharType="begin"/>
      </w:r>
      <w:r w:rsidR="006E6202" w:rsidRPr="003D1E07">
        <w:instrText xml:space="preserve"> XE "věc:objektivní </w:instrText>
      </w:r>
      <w:r w:rsidR="006E6202" w:rsidRPr="003D1E07">
        <w:rPr>
          <w:i/>
        </w:rPr>
        <w:instrText>res</w:instrText>
      </w:r>
      <w:r w:rsidR="006E6202" w:rsidRPr="003D1E07">
        <w:instrText xml:space="preserve">" </w:instrText>
      </w:r>
      <w:r w:rsidR="006E6202" w:rsidRPr="003D1E07">
        <w:rPr>
          <w:rStyle w:val="addmd"/>
          <w:i/>
        </w:rPr>
        <w:fldChar w:fldCharType="end"/>
      </w:r>
      <w:r w:rsidR="08F553D6" w:rsidRPr="003D1E07">
        <w:rPr>
          <w:rStyle w:val="addmd"/>
        </w:rPr>
        <w:t xml:space="preserve">). </w:t>
      </w:r>
      <w:r w:rsidR="001B349B" w:rsidRPr="003D1E07">
        <w:rPr>
          <w:rStyle w:val="addmd"/>
        </w:rPr>
        <w:t xml:space="preserve">Citujme </w:t>
      </w:r>
      <w:r w:rsidR="00E74385" w:rsidRPr="003D1E07">
        <w:rPr>
          <w:rStyle w:val="addmd"/>
        </w:rPr>
        <w:t xml:space="preserve">singulárně-univerzální </w:t>
      </w:r>
      <w:r w:rsidR="08AC3F3C" w:rsidRPr="003D1E07">
        <w:rPr>
          <w:rStyle w:val="addmd"/>
        </w:rPr>
        <w:t xml:space="preserve">definici </w:t>
      </w:r>
      <w:r w:rsidR="001B349B" w:rsidRPr="003D1E07">
        <w:rPr>
          <w:rStyle w:val="addmd"/>
          <w:i/>
        </w:rPr>
        <w:t>res</w:t>
      </w:r>
      <w:r w:rsidR="001B349B" w:rsidRPr="003D1E07">
        <w:rPr>
          <w:rStyle w:val="addmd"/>
        </w:rPr>
        <w:t xml:space="preserve"> jako </w:t>
      </w:r>
      <w:r w:rsidR="081966C8" w:rsidRPr="003D1E07">
        <w:rPr>
          <w:rStyle w:val="addmd"/>
        </w:rPr>
        <w:t xml:space="preserve">další </w:t>
      </w:r>
      <w:r w:rsidR="001B349B" w:rsidRPr="003D1E07">
        <w:rPr>
          <w:rStyle w:val="addmd"/>
        </w:rPr>
        <w:t xml:space="preserve">formy objektivního určení jsoucna, kterou později převezme nauka o transcendentáliích. </w:t>
      </w:r>
    </w:p>
    <w:p w14:paraId="2AAC049B" w14:textId="77777777" w:rsidR="082D17CC" w:rsidRPr="003D1E07" w:rsidRDefault="082D17CC" w:rsidP="00C3143B">
      <w:pPr>
        <w:pStyle w:val="Citace"/>
        <w:rPr>
          <w:rStyle w:val="addmd"/>
          <w:noProof/>
          <w:lang w:val="cs-CZ"/>
        </w:rPr>
      </w:pPr>
      <w:r w:rsidRPr="003D1E07">
        <w:rPr>
          <w:rStyle w:val="addmd"/>
          <w:noProof/>
          <w:lang w:val="cs-CZ"/>
        </w:rPr>
        <w:t>„</w:t>
      </w:r>
      <w:r w:rsidR="081342E4" w:rsidRPr="003D1E07">
        <w:rPr>
          <w:rStyle w:val="addmd"/>
          <w:noProof/>
          <w:lang w:val="cs-CZ"/>
        </w:rPr>
        <w:t>Kdyby totiž nebyla tato propozice a toto s</w:t>
      </w:r>
      <w:r w:rsidR="08C41261" w:rsidRPr="003D1E07">
        <w:rPr>
          <w:rStyle w:val="addmd"/>
          <w:noProof/>
          <w:lang w:val="cs-CZ"/>
        </w:rPr>
        <w:t>pojení obou, pak bychom nevěd</w:t>
      </w:r>
      <w:r w:rsidR="081342E4" w:rsidRPr="003D1E07">
        <w:rPr>
          <w:rStyle w:val="addmd"/>
          <w:noProof/>
          <w:lang w:val="cs-CZ"/>
        </w:rPr>
        <w:t>ěli, co je věc, na kterou míříme</w:t>
      </w:r>
      <w:r w:rsidR="00FB7A73" w:rsidRPr="003D1E07">
        <w:rPr>
          <w:rStyle w:val="addmd"/>
          <w:noProof/>
          <w:lang w:val="cs-CZ"/>
        </w:rPr>
        <w:t xml:space="preserve"> naší intencí. A</w:t>
      </w:r>
      <w:r w:rsidR="084D7E2B" w:rsidRPr="003D1E07">
        <w:rPr>
          <w:rStyle w:val="addmd"/>
          <w:noProof/>
          <w:lang w:val="cs-CZ"/>
        </w:rPr>
        <w:t xml:space="preserve">ni bychom nemohli oddělit </w:t>
      </w:r>
      <w:r w:rsidR="08D8691D" w:rsidRPr="003D1E07">
        <w:rPr>
          <w:rStyle w:val="addmd"/>
          <w:noProof/>
          <w:lang w:val="cs-CZ"/>
        </w:rPr>
        <w:t>určení daná</w:t>
      </w:r>
      <w:r w:rsidR="084D7E2B" w:rsidRPr="003D1E07">
        <w:rPr>
          <w:rStyle w:val="addmd"/>
          <w:noProof/>
          <w:lang w:val="cs-CZ"/>
        </w:rPr>
        <w:t xml:space="preserve"> komitací </w:t>
      </w:r>
      <w:r w:rsidR="08D8691D" w:rsidRPr="003D1E07">
        <w:rPr>
          <w:rStyle w:val="addmd"/>
          <w:noProof/>
          <w:lang w:val="cs-CZ"/>
        </w:rPr>
        <w:t xml:space="preserve">od </w:t>
      </w:r>
      <w:r w:rsidR="084D7E2B" w:rsidRPr="003D1E07">
        <w:rPr>
          <w:rStyle w:val="addmd"/>
          <w:noProof/>
          <w:lang w:val="cs-CZ"/>
        </w:rPr>
        <w:t>výše uvedené</w:t>
      </w:r>
      <w:r w:rsidR="08D8691D" w:rsidRPr="003D1E07">
        <w:rPr>
          <w:rStyle w:val="addmd"/>
          <w:noProof/>
          <w:lang w:val="cs-CZ"/>
        </w:rPr>
        <w:t>ho</w:t>
      </w:r>
      <w:r w:rsidR="084D7E2B" w:rsidRPr="003D1E07">
        <w:rPr>
          <w:rStyle w:val="addmd"/>
          <w:noProof/>
          <w:lang w:val="cs-CZ"/>
        </w:rPr>
        <w:t xml:space="preserve"> porozumění jsoucna </w:t>
      </w:r>
      <w:r w:rsidR="081342E4" w:rsidRPr="003D1E07">
        <w:rPr>
          <w:rStyle w:val="addmd"/>
          <w:noProof/>
          <w:lang w:val="cs-CZ"/>
        </w:rPr>
        <w:t>(</w:t>
      </w:r>
      <w:r w:rsidR="081342E4" w:rsidRPr="003D1E07">
        <w:rPr>
          <w:rStyle w:val="addmd"/>
          <w:i/>
          <w:noProof/>
          <w:lang w:val="cs-CZ"/>
        </w:rPr>
        <w:t>nec separabitur a comitantia intelligendi ens</w:t>
      </w:r>
      <w:r w:rsidR="081342E4" w:rsidRPr="003D1E07">
        <w:rPr>
          <w:rStyle w:val="addmd"/>
          <w:noProof/>
          <w:lang w:val="cs-CZ"/>
        </w:rPr>
        <w:t xml:space="preserve">), </w:t>
      </w:r>
      <w:r w:rsidR="088C2714" w:rsidRPr="003D1E07">
        <w:rPr>
          <w:rStyle w:val="addmd"/>
          <w:noProof/>
          <w:lang w:val="cs-CZ"/>
        </w:rPr>
        <w:t xml:space="preserve">protože intelekt vždy přidává toto </w:t>
      </w:r>
      <w:r w:rsidR="084D7E2B" w:rsidRPr="003D1E07">
        <w:rPr>
          <w:rStyle w:val="addmd"/>
          <w:noProof/>
          <w:lang w:val="cs-CZ"/>
        </w:rPr>
        <w:t xml:space="preserve">komitační určení </w:t>
      </w:r>
      <w:r w:rsidR="088C2714" w:rsidRPr="003D1E07">
        <w:rPr>
          <w:rStyle w:val="addmd"/>
          <w:noProof/>
          <w:lang w:val="cs-CZ"/>
        </w:rPr>
        <w:t xml:space="preserve">bytí směrem od </w:t>
      </w:r>
      <w:r w:rsidR="084D7E2B" w:rsidRPr="003D1E07">
        <w:rPr>
          <w:rStyle w:val="addmd"/>
          <w:noProof/>
          <w:lang w:val="cs-CZ"/>
        </w:rPr>
        <w:t xml:space="preserve">poznané </w:t>
      </w:r>
      <w:r w:rsidR="088C2714" w:rsidRPr="003D1E07">
        <w:rPr>
          <w:rStyle w:val="addmd"/>
          <w:noProof/>
          <w:lang w:val="cs-CZ"/>
        </w:rPr>
        <w:t>věci (</w:t>
      </w:r>
      <w:r w:rsidR="088C2714" w:rsidRPr="003D1E07">
        <w:rPr>
          <w:rStyle w:val="addmd"/>
          <w:i/>
          <w:noProof/>
          <w:lang w:val="cs-CZ"/>
        </w:rPr>
        <w:t>intellectus de ente semper comitabitur illam</w:t>
      </w:r>
      <w:r w:rsidR="088C2714" w:rsidRPr="003D1E07">
        <w:rPr>
          <w:rStyle w:val="addmd"/>
          <w:noProof/>
          <w:lang w:val="cs-CZ"/>
        </w:rPr>
        <w:t xml:space="preserve">). </w:t>
      </w:r>
      <w:r w:rsidR="08917E25" w:rsidRPr="003D1E07">
        <w:rPr>
          <w:rStyle w:val="addmd"/>
          <w:noProof/>
          <w:lang w:val="cs-CZ"/>
        </w:rPr>
        <w:lastRenderedPageBreak/>
        <w:t>J</w:t>
      </w:r>
      <w:r w:rsidR="081342E4" w:rsidRPr="003D1E07">
        <w:rPr>
          <w:rStyle w:val="addmd"/>
          <w:noProof/>
          <w:lang w:val="cs-CZ"/>
        </w:rPr>
        <w:t xml:space="preserve">soucno má bytí buď v jednotlivinách, nebo v představivosti, nebo v intelektu. Ale kdyby nemělo onu </w:t>
      </w:r>
      <w:r w:rsidR="08A062BA" w:rsidRPr="003D1E07">
        <w:rPr>
          <w:rStyle w:val="addmd"/>
          <w:noProof/>
          <w:lang w:val="cs-CZ"/>
        </w:rPr>
        <w:t xml:space="preserve">vlastní </w:t>
      </w:r>
      <w:r w:rsidR="08917E25" w:rsidRPr="003D1E07">
        <w:rPr>
          <w:rStyle w:val="addmd"/>
          <w:noProof/>
          <w:lang w:val="cs-CZ"/>
        </w:rPr>
        <w:t xml:space="preserve">komitační </w:t>
      </w:r>
      <w:r w:rsidR="081342E4" w:rsidRPr="003D1E07">
        <w:rPr>
          <w:rStyle w:val="addmd"/>
          <w:noProof/>
          <w:lang w:val="cs-CZ"/>
        </w:rPr>
        <w:t>identitu, nebylo by věcí</w:t>
      </w:r>
      <w:r w:rsidR="08FE741D" w:rsidRPr="003D1E07">
        <w:rPr>
          <w:rStyle w:val="addmd"/>
          <w:noProof/>
          <w:lang w:val="cs-CZ"/>
        </w:rPr>
        <w:t xml:space="preserve"> (</w:t>
      </w:r>
      <w:r w:rsidR="08FE741D" w:rsidRPr="003D1E07">
        <w:rPr>
          <w:rStyle w:val="addmd"/>
          <w:i/>
          <w:noProof/>
          <w:lang w:val="cs-CZ"/>
        </w:rPr>
        <w:t>non esset ita, tunc non esset res</w:t>
      </w:r>
      <w:r w:rsidR="08FE741D" w:rsidRPr="003D1E07">
        <w:rPr>
          <w:rStyle w:val="addmd"/>
          <w:noProof/>
          <w:lang w:val="cs-CZ"/>
        </w:rPr>
        <w:t>)</w:t>
      </w:r>
      <w:r w:rsidR="081342E4" w:rsidRPr="003D1E07">
        <w:rPr>
          <w:rStyle w:val="addmd"/>
          <w:noProof/>
          <w:lang w:val="cs-CZ"/>
        </w:rPr>
        <w:t>.“</w:t>
      </w:r>
      <w:r w:rsidR="0037587F" w:rsidRPr="003D1E07">
        <w:rPr>
          <w:rStyle w:val="addmd"/>
          <w:noProof/>
          <w:lang w:val="cs-CZ"/>
        </w:rPr>
        <w:t> </w:t>
      </w:r>
      <w:r w:rsidR="081342E4" w:rsidRPr="003D1E07">
        <w:rPr>
          <w:rStyle w:val="Znakapoznpodarou"/>
          <w:noProof/>
          <w:lang w:val="cs-CZ"/>
        </w:rPr>
        <w:footnoteReference w:id="156"/>
      </w:r>
    </w:p>
    <w:p w14:paraId="243984A1" w14:textId="4DF1522E" w:rsidR="08955F1A" w:rsidRPr="003D1E07" w:rsidRDefault="000D2640" w:rsidP="00803D96">
      <w:r w:rsidRPr="003D1E07">
        <w:t>Klíčové místo ukazuje, odkud k věci přichází její jsoucnost</w:t>
      </w:r>
      <w:r w:rsidR="0815645E" w:rsidRPr="003D1E07">
        <w:t xml:space="preserve"> </w:t>
      </w:r>
      <w:r w:rsidR="0037587F" w:rsidRPr="003D1E07">
        <w:t>daná v rámci „doprovázení“</w:t>
      </w:r>
      <w:r w:rsidR="00A11EA6" w:rsidRPr="003D1E07">
        <w:t xml:space="preserve"> či „přidávání“ </w:t>
      </w:r>
      <w:r w:rsidR="0037587F" w:rsidRPr="003D1E07">
        <w:t>(</w:t>
      </w:r>
      <w:r w:rsidR="0037587F" w:rsidRPr="003D1E07">
        <w:rPr>
          <w:rStyle w:val="addmd"/>
          <w:i/>
        </w:rPr>
        <w:t>comitantia</w:t>
      </w:r>
      <w:r w:rsidR="0037587F" w:rsidRPr="003D1E07">
        <w:t xml:space="preserve">) nového druhu bytí jsoucna. Takto </w:t>
      </w:r>
      <w:r w:rsidR="004602D7" w:rsidRPr="003D1E07">
        <w:t xml:space="preserve">založená </w:t>
      </w:r>
      <w:r w:rsidR="0037587F" w:rsidRPr="003D1E07">
        <w:t xml:space="preserve">jsoucnost zakládá porozumění </w:t>
      </w:r>
      <w:r w:rsidR="0868408B" w:rsidRPr="003D1E07">
        <w:t>věci</w:t>
      </w:r>
      <w:r w:rsidR="004602D7" w:rsidRPr="003D1E07">
        <w:t xml:space="preserve"> třetího druhu </w:t>
      </w:r>
      <w:r w:rsidR="0037587F" w:rsidRPr="003D1E07">
        <w:t xml:space="preserve">před </w:t>
      </w:r>
      <w:r w:rsidR="0868408B" w:rsidRPr="003D1E07">
        <w:t xml:space="preserve">klasickou trojí </w:t>
      </w:r>
      <w:r w:rsidR="0815645E" w:rsidRPr="003D1E07">
        <w:t xml:space="preserve">daností </w:t>
      </w:r>
      <w:r w:rsidR="0037587F" w:rsidRPr="003D1E07">
        <w:t xml:space="preserve">věci buď </w:t>
      </w:r>
      <w:r w:rsidR="0815645E" w:rsidRPr="003D1E07">
        <w:rPr>
          <w:rStyle w:val="addmd"/>
        </w:rPr>
        <w:t xml:space="preserve">v </w:t>
      </w:r>
      <w:r w:rsidR="00231B94" w:rsidRPr="003D1E07">
        <w:rPr>
          <w:rStyle w:val="addmd"/>
        </w:rPr>
        <w:t>reálných věcech,</w:t>
      </w:r>
      <w:r w:rsidR="0815645E" w:rsidRPr="003D1E07">
        <w:rPr>
          <w:rStyle w:val="addmd"/>
        </w:rPr>
        <w:t xml:space="preserve"> nebo v</w:t>
      </w:r>
      <w:r w:rsidR="0868408B" w:rsidRPr="003D1E07">
        <w:rPr>
          <w:rStyle w:val="addmd"/>
        </w:rPr>
        <w:t xml:space="preserve">e smyslové </w:t>
      </w:r>
      <w:r w:rsidR="0815645E" w:rsidRPr="003D1E07">
        <w:rPr>
          <w:rStyle w:val="addmd"/>
        </w:rPr>
        <w:t xml:space="preserve">představivosti, nebo v </w:t>
      </w:r>
      <w:r w:rsidR="0868408B" w:rsidRPr="003D1E07">
        <w:rPr>
          <w:rStyle w:val="addmd"/>
        </w:rPr>
        <w:t xml:space="preserve">nemateriálním </w:t>
      </w:r>
      <w:r w:rsidR="0815645E" w:rsidRPr="003D1E07">
        <w:rPr>
          <w:rStyle w:val="addmd"/>
        </w:rPr>
        <w:t>intelektu</w:t>
      </w:r>
      <w:r w:rsidRPr="003D1E07">
        <w:t xml:space="preserve">. Intelekt aktualizuje nejen formu poznání, ale i minimální porci </w:t>
      </w:r>
      <w:r w:rsidR="00E63B21">
        <w:t xml:space="preserve">esentiality, která </w:t>
      </w:r>
      <w:r w:rsidR="0063679A" w:rsidRPr="003D1E07">
        <w:t xml:space="preserve">tvoří </w:t>
      </w:r>
      <w:r w:rsidR="002E40D0" w:rsidRPr="003D1E07">
        <w:t xml:space="preserve">bytí samotné věci </w:t>
      </w:r>
      <w:r w:rsidRPr="003D1E07">
        <w:t>(</w:t>
      </w:r>
      <w:r w:rsidRPr="003D1E07">
        <w:rPr>
          <w:rStyle w:val="addmd"/>
          <w:i/>
        </w:rPr>
        <w:t>intellectus de ente semper comitabitur illam</w:t>
      </w:r>
      <w:r w:rsidR="00AC54FC" w:rsidRPr="003D1E07">
        <w:rPr>
          <w:rStyle w:val="addmd"/>
        </w:rPr>
        <w:t xml:space="preserve">). </w:t>
      </w:r>
      <w:r w:rsidR="08D9599E" w:rsidRPr="003D1E07">
        <w:rPr>
          <w:rStyle w:val="addmd"/>
        </w:rPr>
        <w:t xml:space="preserve">Příslovce </w:t>
      </w:r>
      <w:r w:rsidR="0094141D" w:rsidRPr="003D1E07">
        <w:rPr>
          <w:rStyle w:val="addmd"/>
          <w:i/>
        </w:rPr>
        <w:t>semper</w:t>
      </w:r>
      <w:r w:rsidR="0094141D" w:rsidRPr="003D1E07">
        <w:rPr>
          <w:rStyle w:val="addmd"/>
        </w:rPr>
        <w:t xml:space="preserve"> má klíčový význam, protože zakládá nové určení jsoucna</w:t>
      </w:r>
      <w:r w:rsidR="00297C03" w:rsidRPr="003D1E07">
        <w:rPr>
          <w:rStyle w:val="addmd"/>
        </w:rPr>
        <w:t xml:space="preserve"> v modu objektivní věcnosti</w:t>
      </w:r>
      <w:r w:rsidR="0094141D" w:rsidRPr="003D1E07">
        <w:rPr>
          <w:rStyle w:val="addmd"/>
        </w:rPr>
        <w:t xml:space="preserve">. </w:t>
      </w:r>
      <w:r w:rsidR="00504AE8" w:rsidRPr="003D1E07">
        <w:rPr>
          <w:rStyle w:val="addmd"/>
        </w:rPr>
        <w:t>Porretáni z něj udělají modu</w:t>
      </w:r>
      <w:r w:rsidR="006D0848" w:rsidRPr="003D1E07">
        <w:rPr>
          <w:rStyle w:val="addmd"/>
        </w:rPr>
        <w:t>s</w:t>
      </w:r>
      <w:r w:rsidR="08D9599E" w:rsidRPr="003D1E07">
        <w:rPr>
          <w:rStyle w:val="addmd"/>
        </w:rPr>
        <w:t xml:space="preserve"> predikace </w:t>
      </w:r>
      <w:r w:rsidR="00504AE8" w:rsidRPr="003D1E07">
        <w:rPr>
          <w:rStyle w:val="addmd"/>
          <w:i/>
        </w:rPr>
        <w:t>semel</w:t>
      </w:r>
      <w:r w:rsidR="00E27852" w:rsidRPr="003D1E07">
        <w:rPr>
          <w:rStyle w:val="addmd"/>
          <w:i/>
        </w:rPr>
        <w:t xml:space="preserve"> verum</w:t>
      </w:r>
      <w:r w:rsidR="00504AE8" w:rsidRPr="003D1E07">
        <w:rPr>
          <w:rStyle w:val="addmd"/>
        </w:rPr>
        <w:t>‒</w:t>
      </w:r>
      <w:r w:rsidR="00504AE8" w:rsidRPr="003D1E07">
        <w:rPr>
          <w:rStyle w:val="addmd"/>
          <w:i/>
        </w:rPr>
        <w:t>semper</w:t>
      </w:r>
      <w:r w:rsidR="08D9599E" w:rsidRPr="003D1E07">
        <w:rPr>
          <w:rStyle w:val="addmd"/>
          <w:i/>
        </w:rPr>
        <w:t xml:space="preserve"> verum</w:t>
      </w:r>
      <w:r w:rsidR="00504AE8" w:rsidRPr="003D1E07">
        <w:rPr>
          <w:rStyle w:val="addmd"/>
        </w:rPr>
        <w:fldChar w:fldCharType="begin"/>
      </w:r>
      <w:r w:rsidR="00504AE8" w:rsidRPr="003D1E07">
        <w:instrText xml:space="preserve"> XE "</w:instrText>
      </w:r>
      <w:r w:rsidR="00504AE8" w:rsidRPr="003D1E07">
        <w:rPr>
          <w:rStyle w:val="addmd"/>
        </w:rPr>
        <w:instrText>predikace:</w:instrText>
      </w:r>
      <w:r w:rsidR="00504AE8" w:rsidRPr="003D1E07">
        <w:rPr>
          <w:rStyle w:val="addmd"/>
          <w:i/>
        </w:rPr>
        <w:instrText>semel</w:instrText>
      </w:r>
      <w:r w:rsidR="00504AE8" w:rsidRPr="003D1E07">
        <w:rPr>
          <w:rStyle w:val="addmd"/>
        </w:rPr>
        <w:instrText>‒</w:instrText>
      </w:r>
      <w:r w:rsidR="00504AE8" w:rsidRPr="003D1E07">
        <w:rPr>
          <w:rStyle w:val="addmd"/>
          <w:i/>
        </w:rPr>
        <w:instrText>semper</w:instrText>
      </w:r>
      <w:r w:rsidR="00504AE8" w:rsidRPr="003D1E07">
        <w:instrText xml:space="preserve">" </w:instrText>
      </w:r>
      <w:r w:rsidR="00504AE8" w:rsidRPr="003D1E07">
        <w:rPr>
          <w:rStyle w:val="addmd"/>
        </w:rPr>
        <w:fldChar w:fldCharType="end"/>
      </w:r>
      <w:r w:rsidR="006D0848" w:rsidRPr="003D1E07">
        <w:rPr>
          <w:rStyle w:val="addmd"/>
        </w:rPr>
        <w:t xml:space="preserve"> (</w:t>
      </w:r>
      <w:r w:rsidR="08F5528A" w:rsidRPr="003D1E07">
        <w:rPr>
          <w:rStyle w:val="addmd"/>
        </w:rPr>
        <w:t xml:space="preserve">OBJ II, </w:t>
      </w:r>
      <w:r w:rsidR="08F5528A" w:rsidRPr="003D1E07">
        <w:rPr>
          <w:rStyle w:val="FontStyle129"/>
          <w:rFonts w:ascii="Calibri" w:hAnsi="Calibri"/>
          <w:sz w:val="24"/>
        </w:rPr>
        <w:t>kap. 2</w:t>
      </w:r>
      <w:r w:rsidR="006D0848" w:rsidRPr="003D1E07">
        <w:rPr>
          <w:rStyle w:val="FontStyle129"/>
          <w:rFonts w:ascii="Calibri" w:hAnsi="Calibri"/>
          <w:sz w:val="24"/>
        </w:rPr>
        <w:t>.3.1</w:t>
      </w:r>
      <w:r w:rsidR="006D0848" w:rsidRPr="003D1E07">
        <w:rPr>
          <w:rStyle w:val="addmd"/>
        </w:rPr>
        <w:t xml:space="preserve">). </w:t>
      </w:r>
      <w:r w:rsidR="00297C03" w:rsidRPr="003D1E07">
        <w:rPr>
          <w:rStyle w:val="addmd"/>
        </w:rPr>
        <w:t>Henry z Gentu toto určení upraví v závislosti na Simplikiov</w:t>
      </w:r>
      <w:r w:rsidR="00E60E36" w:rsidRPr="003D1E07">
        <w:rPr>
          <w:rStyle w:val="addmd"/>
        </w:rPr>
        <w:t xml:space="preserve">ě </w:t>
      </w:r>
      <w:r w:rsidR="00E60E36" w:rsidRPr="003D1E07">
        <w:rPr>
          <w:rStyle w:val="addmd"/>
          <w:i/>
        </w:rPr>
        <w:t>K</w:t>
      </w:r>
      <w:r w:rsidR="007E222C" w:rsidRPr="003D1E07">
        <w:rPr>
          <w:rStyle w:val="addmd"/>
          <w:i/>
        </w:rPr>
        <w:t>omentáři</w:t>
      </w:r>
      <w:r w:rsidR="00EF4104" w:rsidRPr="003D1E07">
        <w:rPr>
          <w:rStyle w:val="addmd"/>
          <w:i/>
        </w:rPr>
        <w:t xml:space="preserve"> ke Kategoriím</w:t>
      </w:r>
      <w:r w:rsidR="00EF4104" w:rsidRPr="003D1E07">
        <w:rPr>
          <w:rStyle w:val="addmd"/>
        </w:rPr>
        <w:t xml:space="preserve"> </w:t>
      </w:r>
      <w:r w:rsidR="00297C03" w:rsidRPr="003D1E07">
        <w:rPr>
          <w:rStyle w:val="addmd"/>
        </w:rPr>
        <w:t xml:space="preserve">v </w:t>
      </w:r>
      <w:r w:rsidR="08DB473C" w:rsidRPr="003D1E07">
        <w:rPr>
          <w:rStyle w:val="addmd"/>
        </w:rPr>
        <w:t xml:space="preserve">modu </w:t>
      </w:r>
      <w:r w:rsidR="00297C03" w:rsidRPr="003D1E07">
        <w:rPr>
          <w:rStyle w:val="addmd"/>
          <w:i/>
        </w:rPr>
        <w:t>res a reor reris</w:t>
      </w:r>
      <w:r w:rsidR="00EF4104" w:rsidRPr="003D1E07">
        <w:rPr>
          <w:rStyle w:val="addmd"/>
          <w:i/>
        </w:rPr>
        <w:t xml:space="preserve"> dicta</w:t>
      </w:r>
      <w:r w:rsidR="00EF4104" w:rsidRPr="003D1E07">
        <w:rPr>
          <w:rStyle w:val="addmd"/>
        </w:rPr>
        <w:t xml:space="preserve">, </w:t>
      </w:r>
      <w:r w:rsidR="00297C03" w:rsidRPr="003D1E07">
        <w:rPr>
          <w:rStyle w:val="addmd"/>
        </w:rPr>
        <w:t xml:space="preserve">a tím vytvoří první koncept objektivity </w:t>
      </w:r>
      <w:r w:rsidR="08DB473C" w:rsidRPr="003D1E07">
        <w:rPr>
          <w:rStyle w:val="addmd"/>
        </w:rPr>
        <w:t xml:space="preserve">na latinském Západě </w:t>
      </w:r>
      <w:r w:rsidR="00297C03" w:rsidRPr="003D1E07">
        <w:rPr>
          <w:rStyle w:val="addmd"/>
        </w:rPr>
        <w:t>(</w:t>
      </w:r>
      <w:r w:rsidR="08F5528A" w:rsidRPr="003D1E07">
        <w:rPr>
          <w:rStyle w:val="addmd"/>
        </w:rPr>
        <w:t>OBJ III, kap. 5</w:t>
      </w:r>
      <w:r w:rsidR="00297C03" w:rsidRPr="003D1E07">
        <w:rPr>
          <w:rStyle w:val="addmd"/>
        </w:rPr>
        <w:t xml:space="preserve">.2.1). </w:t>
      </w:r>
      <w:r w:rsidR="08C6751F" w:rsidRPr="003D1E07">
        <w:rPr>
          <w:rStyle w:val="addmd"/>
        </w:rPr>
        <w:t>Avicennistická k</w:t>
      </w:r>
      <w:r w:rsidR="004A055A" w:rsidRPr="003D1E07">
        <w:rPr>
          <w:rStyle w:val="addmd"/>
        </w:rPr>
        <w:t>omita</w:t>
      </w:r>
      <w:r w:rsidR="083678E0" w:rsidRPr="003D1E07">
        <w:rPr>
          <w:rStyle w:val="addmd"/>
        </w:rPr>
        <w:t>ce</w:t>
      </w:r>
      <w:r w:rsidR="007C6FEA" w:rsidRPr="003D1E07">
        <w:rPr>
          <w:rStyle w:val="addmd"/>
        </w:rPr>
        <w:fldChar w:fldCharType="begin"/>
      </w:r>
      <w:r w:rsidR="007C6FEA" w:rsidRPr="003D1E07">
        <w:instrText xml:space="preserve"> XE "</w:instrText>
      </w:r>
      <w:r w:rsidR="007C6FEA" w:rsidRPr="003D1E07">
        <w:rPr>
          <w:rStyle w:val="addmd"/>
        </w:rPr>
        <w:instrText>komitace</w:instrText>
      </w:r>
      <w:r w:rsidR="007C6FEA" w:rsidRPr="003D1E07">
        <w:instrText xml:space="preserve">" </w:instrText>
      </w:r>
      <w:r w:rsidR="007C6FEA" w:rsidRPr="003D1E07">
        <w:rPr>
          <w:rStyle w:val="addmd"/>
        </w:rPr>
        <w:fldChar w:fldCharType="end"/>
      </w:r>
      <w:r w:rsidR="083678E0" w:rsidRPr="003D1E07">
        <w:rPr>
          <w:rStyle w:val="addmd"/>
        </w:rPr>
        <w:t xml:space="preserve"> </w:t>
      </w:r>
      <w:r w:rsidR="08C6751F" w:rsidRPr="003D1E07">
        <w:rPr>
          <w:rStyle w:val="addmd"/>
        </w:rPr>
        <w:t xml:space="preserve">nahradila aristotelskou kategoriální predikaci. Nové určení objektivní věci </w:t>
      </w:r>
      <w:r w:rsidR="083678E0" w:rsidRPr="003D1E07">
        <w:rPr>
          <w:rStyle w:val="addmd"/>
        </w:rPr>
        <w:t xml:space="preserve">odpovídá na rovině druhé intencionality </w:t>
      </w:r>
      <w:r w:rsidR="00AC54FC" w:rsidRPr="003D1E07">
        <w:rPr>
          <w:rStyle w:val="addmd"/>
        </w:rPr>
        <w:t xml:space="preserve">výše uvedenému </w:t>
      </w:r>
      <w:r w:rsidR="08172E56" w:rsidRPr="003D1E07">
        <w:rPr>
          <w:rStyle w:val="addmd"/>
        </w:rPr>
        <w:t>náhledu, v ní</w:t>
      </w:r>
      <w:r w:rsidR="083646D3" w:rsidRPr="003D1E07">
        <w:rPr>
          <w:rStyle w:val="addmd"/>
        </w:rPr>
        <w:t>mž</w:t>
      </w:r>
      <w:r w:rsidR="083678E0" w:rsidRPr="003D1E07">
        <w:rPr>
          <w:rStyle w:val="addmd"/>
        </w:rPr>
        <w:t xml:space="preserve"> vzniká nové pojetí </w:t>
      </w:r>
      <w:r w:rsidR="00AC54FC" w:rsidRPr="003D1E07">
        <w:rPr>
          <w:rStyle w:val="addmd"/>
        </w:rPr>
        <w:t>univerzality (</w:t>
      </w:r>
      <w:r w:rsidR="08E97453" w:rsidRPr="003D1E07">
        <w:rPr>
          <w:i/>
        </w:rPr>
        <w:t>accidit universalitas</w:t>
      </w:r>
      <w:r w:rsidR="08E97453" w:rsidRPr="003D1E07">
        <w:rPr>
          <w:rStyle w:val="addmd"/>
        </w:rPr>
        <w:t xml:space="preserve">, </w:t>
      </w:r>
      <w:r w:rsidR="00AC54FC" w:rsidRPr="003D1E07">
        <w:rPr>
          <w:rStyle w:val="addmd"/>
        </w:rPr>
        <w:t>kap. 2.3.1)</w:t>
      </w:r>
      <w:r w:rsidR="083678E0" w:rsidRPr="003D1E07">
        <w:rPr>
          <w:rStyle w:val="addmd"/>
        </w:rPr>
        <w:t xml:space="preserve">. </w:t>
      </w:r>
      <w:r w:rsidR="00282301">
        <w:t>Věc je nasvícena</w:t>
      </w:r>
      <w:r w:rsidR="00F37663" w:rsidRPr="003D1E07">
        <w:t xml:space="preserve"> intelektem z hlediska minimálního smyslu </w:t>
      </w:r>
      <w:r w:rsidR="08B66303" w:rsidRPr="003D1E07">
        <w:t xml:space="preserve">zcela jisté </w:t>
      </w:r>
      <w:r w:rsidR="00F37663" w:rsidRPr="003D1E07">
        <w:t>jsoucnosti</w:t>
      </w:r>
      <w:r w:rsidR="08B66303" w:rsidRPr="003D1E07">
        <w:t>, která</w:t>
      </w:r>
      <w:r w:rsidR="0841141C" w:rsidRPr="003D1E07">
        <w:t xml:space="preserve"> stojí mimo všechny osta</w:t>
      </w:r>
      <w:r w:rsidR="08E214A5" w:rsidRPr="003D1E07">
        <w:t>tní manifest</w:t>
      </w:r>
      <w:r w:rsidR="0841141C" w:rsidRPr="003D1E07">
        <w:t xml:space="preserve">ace </w:t>
      </w:r>
      <w:r w:rsidR="00300869" w:rsidRPr="003D1E07">
        <w:t xml:space="preserve">bytí </w:t>
      </w:r>
      <w:r w:rsidR="0841141C" w:rsidRPr="003D1E07">
        <w:t>jsoucna</w:t>
      </w:r>
      <w:r w:rsidR="00300869" w:rsidRPr="003D1E07">
        <w:t xml:space="preserve"> dané bu</w:t>
      </w:r>
      <w:r w:rsidR="006C4C29" w:rsidRPr="003D1E07">
        <w:t>ď v jedno</w:t>
      </w:r>
      <w:r w:rsidR="00300869" w:rsidRPr="003D1E07">
        <w:t>t</w:t>
      </w:r>
      <w:r w:rsidR="006C4C29" w:rsidRPr="003D1E07">
        <w:t>l</w:t>
      </w:r>
      <w:r w:rsidR="00300869" w:rsidRPr="003D1E07">
        <w:t>ivinách, nebo v univerzáliích</w:t>
      </w:r>
      <w:r w:rsidR="00F37663" w:rsidRPr="003D1E07">
        <w:t xml:space="preserve">. </w:t>
      </w:r>
      <w:r w:rsidR="08172E56" w:rsidRPr="003D1E07">
        <w:t xml:space="preserve">Náhled na novou substanci třetího druhu je nutné kategoriálně predikovat, což obstarává komitace. </w:t>
      </w:r>
      <w:r w:rsidR="002E0953" w:rsidRPr="003D1E07">
        <w:t xml:space="preserve">Minimální jsoucnost </w:t>
      </w:r>
      <w:r w:rsidR="00C3143B" w:rsidRPr="003D1E07">
        <w:t xml:space="preserve">je </w:t>
      </w:r>
      <w:r w:rsidR="00AD2221" w:rsidRPr="003D1E07">
        <w:t>komitační</w:t>
      </w:r>
      <w:r w:rsidR="00C3143B" w:rsidRPr="003D1E07">
        <w:t xml:space="preserve"> </w:t>
      </w:r>
      <w:r w:rsidRPr="003D1E07">
        <w:t>vlastnost každé entity</w:t>
      </w:r>
      <w:r w:rsidR="089530FD" w:rsidRPr="003D1E07">
        <w:t xml:space="preserve"> dané v modu </w:t>
      </w:r>
      <w:r w:rsidR="089530FD" w:rsidRPr="003D1E07">
        <w:rPr>
          <w:i/>
        </w:rPr>
        <w:t>ens</w:t>
      </w:r>
      <w:r w:rsidR="00DA0B56" w:rsidRPr="003D1E07">
        <w:t xml:space="preserve">  a </w:t>
      </w:r>
      <w:r w:rsidR="00DA0B56" w:rsidRPr="003D1E07">
        <w:rPr>
          <w:i/>
        </w:rPr>
        <w:t>res</w:t>
      </w:r>
      <w:r w:rsidR="004A2E76">
        <w:t xml:space="preserve">. Tyto </w:t>
      </w:r>
      <w:r w:rsidR="00644E63">
        <w:t xml:space="preserve">amfibolní </w:t>
      </w:r>
      <w:r w:rsidR="004A2E76">
        <w:t xml:space="preserve">významy jsou hypostázovány </w:t>
      </w:r>
      <w:r w:rsidR="08385737" w:rsidRPr="003D1E07">
        <w:t xml:space="preserve">v modu absolutně jednoduché identity posledního dále nedělitelného významu </w:t>
      </w:r>
      <w:r w:rsidR="00644E63">
        <w:t xml:space="preserve">určeného jako </w:t>
      </w:r>
      <w:r w:rsidR="08385737" w:rsidRPr="00644E63">
        <w:rPr>
          <w:i/>
        </w:rPr>
        <w:t>individuum</w:t>
      </w:r>
      <w:r w:rsidR="08385737" w:rsidRPr="003D1E07">
        <w:t xml:space="preserve">. </w:t>
      </w:r>
      <w:r w:rsidR="089530FD" w:rsidRPr="003D1E07">
        <w:t>K</w:t>
      </w:r>
      <w:r w:rsidR="00BA7DC0" w:rsidRPr="003D1E07">
        <w:t xml:space="preserve">aždá určitelná </w:t>
      </w:r>
      <w:r w:rsidR="002E0953" w:rsidRPr="003D1E07">
        <w:t xml:space="preserve">věc </w:t>
      </w:r>
      <w:r w:rsidR="00BA7DC0" w:rsidRPr="003D1E07">
        <w:t xml:space="preserve">jako </w:t>
      </w:r>
      <w:r w:rsidR="00A85D0D">
        <w:t>objektivně určitelná</w:t>
      </w:r>
      <w:r w:rsidR="00DB19C1" w:rsidRPr="003D1E07">
        <w:t xml:space="preserve"> </w:t>
      </w:r>
      <w:r w:rsidR="00A85D0D">
        <w:t xml:space="preserve">„tato </w:t>
      </w:r>
      <w:r w:rsidR="00A85D0D" w:rsidRPr="00A85D0D">
        <w:rPr>
          <w:i/>
        </w:rPr>
        <w:t>res</w:t>
      </w:r>
      <w:r w:rsidR="00014B5D" w:rsidRPr="003D1E07">
        <w:t xml:space="preserve"> zde“ </w:t>
      </w:r>
      <w:r w:rsidR="002E0953" w:rsidRPr="003D1E07">
        <w:t xml:space="preserve">vždy existuje </w:t>
      </w:r>
      <w:r w:rsidR="005F0281" w:rsidRPr="003D1E07">
        <w:t xml:space="preserve">alespoň </w:t>
      </w:r>
      <w:r w:rsidR="002E0953" w:rsidRPr="003D1E07">
        <w:t xml:space="preserve">ve formě </w:t>
      </w:r>
      <w:r w:rsidR="006C4C29" w:rsidRPr="003D1E07">
        <w:t xml:space="preserve">vymezeného </w:t>
      </w:r>
      <w:r w:rsidR="00DD08B3" w:rsidRPr="003D1E07">
        <w:t>obsahu poznání</w:t>
      </w:r>
      <w:r w:rsidR="006C4C29" w:rsidRPr="003D1E07">
        <w:t xml:space="preserve">, které nelze oddělit od bytí </w:t>
      </w:r>
      <w:r w:rsidR="00A85D0D">
        <w:t xml:space="preserve">této </w:t>
      </w:r>
      <w:r w:rsidR="006C4C29" w:rsidRPr="003D1E07">
        <w:t>věci</w:t>
      </w:r>
      <w:r w:rsidR="00DD08B3" w:rsidRPr="003D1E07">
        <w:t xml:space="preserve"> </w:t>
      </w:r>
      <w:r w:rsidRPr="003D1E07">
        <w:t>(</w:t>
      </w:r>
      <w:r w:rsidRPr="003D1E07">
        <w:rPr>
          <w:rStyle w:val="addmd"/>
          <w:i/>
        </w:rPr>
        <w:t>nec separabitur a comitantia intelligendi ens</w:t>
      </w:r>
      <w:r w:rsidRPr="003D1E07">
        <w:t xml:space="preserve">). </w:t>
      </w:r>
      <w:r w:rsidR="00DB19C1" w:rsidRPr="003D1E07">
        <w:t>Vytvořením nové atomární substance</w:t>
      </w:r>
      <w:r w:rsidR="00A70FA4" w:rsidRPr="003D1E07">
        <w:fldChar w:fldCharType="begin"/>
      </w:r>
      <w:r w:rsidR="00A70FA4" w:rsidRPr="003D1E07">
        <w:instrText xml:space="preserve"> XE "substance</w:instrText>
      </w:r>
      <w:r w:rsidR="005701D8" w:rsidRPr="003D1E07">
        <w:instrText>:třetího druhu</w:instrText>
      </w:r>
      <w:r w:rsidR="00A70FA4" w:rsidRPr="003D1E07">
        <w:instrText xml:space="preserve">" </w:instrText>
      </w:r>
      <w:r w:rsidR="00A70FA4" w:rsidRPr="003D1E07">
        <w:fldChar w:fldCharType="end"/>
      </w:r>
      <w:r w:rsidR="00DB19C1" w:rsidRPr="003D1E07">
        <w:t xml:space="preserve"> třetího druhu </w:t>
      </w:r>
      <w:r w:rsidR="00243E52" w:rsidRPr="003D1E07">
        <w:t xml:space="preserve">vznikl </w:t>
      </w:r>
      <w:r w:rsidR="00DB19C1" w:rsidRPr="003D1E07">
        <w:t xml:space="preserve">i </w:t>
      </w:r>
      <w:r w:rsidR="00243E52" w:rsidRPr="003D1E07">
        <w:t>nový pojem jsoucnosti třetího druhu, který nutně, vždy a všude doprovází singulární nebo univerzální bytí jsoucna v modu</w:t>
      </w:r>
      <w:r w:rsidR="00243E52" w:rsidRPr="003D1E07">
        <w:rPr>
          <w:i/>
        </w:rPr>
        <w:t xml:space="preserve"> per prius</w:t>
      </w:r>
      <w:r w:rsidR="005701D8" w:rsidRPr="003D1E07">
        <w:rPr>
          <w:rStyle w:val="addmd"/>
          <w:i/>
        </w:rPr>
        <w:fldChar w:fldCharType="begin"/>
      </w:r>
      <w:r w:rsidR="005701D8" w:rsidRPr="003D1E07">
        <w:instrText xml:space="preserve"> XE "predikace:objektivní" </w:instrText>
      </w:r>
      <w:r w:rsidR="005701D8" w:rsidRPr="003D1E07">
        <w:rPr>
          <w:rStyle w:val="addmd"/>
          <w:i/>
        </w:rPr>
        <w:fldChar w:fldCharType="end"/>
      </w:r>
      <w:r w:rsidR="00243E52" w:rsidRPr="003D1E07">
        <w:t xml:space="preserve">. </w:t>
      </w:r>
      <w:r w:rsidRPr="003D1E07">
        <w:t>Tato mi</w:t>
      </w:r>
      <w:r w:rsidR="00334227" w:rsidRPr="003D1E07">
        <w:t xml:space="preserve">nimální existence věci je vždy </w:t>
      </w:r>
      <w:r w:rsidRPr="003D1E07">
        <w:t>nějak</w:t>
      </w:r>
      <w:r w:rsidR="00334227" w:rsidRPr="003D1E07">
        <w:t xml:space="preserve"> daná, </w:t>
      </w:r>
      <w:r w:rsidR="00013EB2" w:rsidRPr="003D1E07">
        <w:t xml:space="preserve">a to </w:t>
      </w:r>
      <w:r w:rsidR="00334227" w:rsidRPr="003D1E07">
        <w:t xml:space="preserve">výše uvedeným komitačním způsobem </w:t>
      </w:r>
      <w:r w:rsidRPr="003D1E07">
        <w:t>(</w:t>
      </w:r>
      <w:r w:rsidRPr="003D1E07">
        <w:rPr>
          <w:rStyle w:val="addmd"/>
          <w:i/>
        </w:rPr>
        <w:t>cum illa ullo modo</w:t>
      </w:r>
      <w:r w:rsidRPr="003D1E07">
        <w:t>)</w:t>
      </w:r>
      <w:r w:rsidR="007503DF" w:rsidRPr="003D1E07">
        <w:t>. P</w:t>
      </w:r>
      <w:r w:rsidR="004522D8" w:rsidRPr="003D1E07">
        <w:t>ak je úplně jedno</w:t>
      </w:r>
      <w:r w:rsidRPr="003D1E07">
        <w:t xml:space="preserve">, jestli je </w:t>
      </w:r>
      <w:r w:rsidR="004522D8" w:rsidRPr="003D1E07">
        <w:t xml:space="preserve">toto objektivní </w:t>
      </w:r>
      <w:r w:rsidRPr="003D1E07">
        <w:t xml:space="preserve">bytí jsoucna dáno v reálné věci, </w:t>
      </w:r>
      <w:r w:rsidR="08E46A69" w:rsidRPr="003D1E07">
        <w:t>v</w:t>
      </w:r>
      <w:r w:rsidR="00644E63">
        <w:t> kosmickém d</w:t>
      </w:r>
      <w:r w:rsidR="08E46A69" w:rsidRPr="003D1E07">
        <w:t xml:space="preserve">árci forem, </w:t>
      </w:r>
      <w:r w:rsidRPr="003D1E07">
        <w:t>v představivosti n</w:t>
      </w:r>
      <w:r w:rsidR="00C3143B" w:rsidRPr="003D1E07">
        <w:t>ebo v</w:t>
      </w:r>
      <w:r w:rsidRPr="003D1E07">
        <w:t xml:space="preserve"> intelektuálním poznání</w:t>
      </w:r>
      <w:r w:rsidR="005F0281" w:rsidRPr="003D1E07">
        <w:t xml:space="preserve"> (</w:t>
      </w:r>
      <w:r w:rsidR="005F0281" w:rsidRPr="003D1E07">
        <w:rPr>
          <w:rStyle w:val="addmd"/>
          <w:i/>
        </w:rPr>
        <w:t>in singularibus vel in aestimatione vel intellectu</w:t>
      </w:r>
      <w:r w:rsidR="005F0281" w:rsidRPr="003D1E07">
        <w:t>)</w:t>
      </w:r>
      <w:r w:rsidRPr="003D1E07">
        <w:t xml:space="preserve">. </w:t>
      </w:r>
      <w:r w:rsidR="005F0281" w:rsidRPr="003D1E07">
        <w:t xml:space="preserve">Pokud by </w:t>
      </w:r>
      <w:r w:rsidR="005F0281" w:rsidRPr="003D1E07">
        <w:lastRenderedPageBreak/>
        <w:t xml:space="preserve">neplatilo </w:t>
      </w:r>
      <w:r w:rsidR="007422E0" w:rsidRPr="003D1E07">
        <w:t xml:space="preserve">toto </w:t>
      </w:r>
      <w:r w:rsidR="007503DF" w:rsidRPr="003D1E07">
        <w:t xml:space="preserve">objektivní </w:t>
      </w:r>
      <w:r w:rsidR="005F0281" w:rsidRPr="003D1E07">
        <w:t xml:space="preserve">určení esenciality, věc by </w:t>
      </w:r>
      <w:r w:rsidR="086C01D4" w:rsidRPr="003D1E07">
        <w:t xml:space="preserve">neexistovala, protože by </w:t>
      </w:r>
      <w:r w:rsidR="005F0281" w:rsidRPr="003D1E07">
        <w:t>nebyla definovatelná z hlediska minimální jsoucnosti (</w:t>
      </w:r>
      <w:r w:rsidR="005F0281" w:rsidRPr="003D1E07">
        <w:rPr>
          <w:rStyle w:val="addmd"/>
          <w:i/>
        </w:rPr>
        <w:t>si autem non esset ita, tunc non esset res</w:t>
      </w:r>
      <w:r w:rsidR="005F0281" w:rsidRPr="003D1E07">
        <w:t xml:space="preserve">). </w:t>
      </w:r>
      <w:r w:rsidR="08A8295F" w:rsidRPr="003D1E07">
        <w:rPr>
          <w:szCs w:val="24"/>
        </w:rPr>
        <w:t xml:space="preserve">Zavedením komitace do určení objektivní substance začala platit Parmenidova moudrost </w:t>
      </w:r>
      <w:r w:rsidR="00D81123" w:rsidRPr="003D1E07">
        <w:rPr>
          <w:szCs w:val="24"/>
        </w:rPr>
        <w:t>o dvojhlavých lidech</w:t>
      </w:r>
      <w:r w:rsidR="00786F69">
        <w:rPr>
          <w:szCs w:val="24"/>
        </w:rPr>
        <w:t>, kteří jdou cestou nejsoucna</w:t>
      </w:r>
      <w:r w:rsidR="00D81123" w:rsidRPr="003D1E07">
        <w:rPr>
          <w:szCs w:val="24"/>
        </w:rPr>
        <w:t xml:space="preserve">. </w:t>
      </w:r>
      <w:r w:rsidR="00786F69" w:rsidRPr="003D1E07">
        <w:rPr>
          <w:szCs w:val="24"/>
        </w:rPr>
        <w:t>Co není v subjektivní výpovědi o</w:t>
      </w:r>
      <w:r w:rsidR="00B02C7C">
        <w:rPr>
          <w:szCs w:val="24"/>
        </w:rPr>
        <w:t xml:space="preserve"> komitativně určeném </w:t>
      </w:r>
      <w:r w:rsidR="00786F69" w:rsidRPr="003D1E07">
        <w:rPr>
          <w:szCs w:val="24"/>
        </w:rPr>
        <w:t xml:space="preserve">jsoucnu, to </w:t>
      </w:r>
      <w:r w:rsidR="00786F69">
        <w:rPr>
          <w:szCs w:val="24"/>
        </w:rPr>
        <w:t xml:space="preserve">objektivně </w:t>
      </w:r>
      <w:r w:rsidR="00786F69" w:rsidRPr="003D1E07">
        <w:rPr>
          <w:szCs w:val="24"/>
        </w:rPr>
        <w:t>neexistuje.</w:t>
      </w:r>
      <w:r w:rsidR="00786F69" w:rsidRPr="003D1E07">
        <w:t xml:space="preserve"> </w:t>
      </w:r>
      <w:r w:rsidR="00B21895" w:rsidRPr="003D1E07">
        <w:rPr>
          <w:szCs w:val="24"/>
        </w:rPr>
        <w:t xml:space="preserve">Božská komedie metafyziky se stala postmoderní tragikomedií (kap. 1.2). </w:t>
      </w:r>
      <w:r w:rsidR="009E481E" w:rsidRPr="003D1E07">
        <w:t xml:space="preserve">Objektivní </w:t>
      </w:r>
      <w:r w:rsidR="008F338D" w:rsidRPr="003D1E07">
        <w:t>určení</w:t>
      </w:r>
      <w:r w:rsidR="00111EB4" w:rsidRPr="003D1E07">
        <w:t xml:space="preserve"> </w:t>
      </w:r>
      <w:r w:rsidR="009E481E" w:rsidRPr="003D1E07">
        <w:t>věci</w:t>
      </w:r>
      <w:r w:rsidR="005701D8" w:rsidRPr="003D1E07">
        <w:rPr>
          <w:rStyle w:val="addmd"/>
          <w:i/>
        </w:rPr>
        <w:fldChar w:fldCharType="begin"/>
      </w:r>
      <w:r w:rsidR="005701D8" w:rsidRPr="003D1E07">
        <w:instrText xml:space="preserve"> XE "věc:objektivní </w:instrText>
      </w:r>
      <w:r w:rsidR="005701D8" w:rsidRPr="003D1E07">
        <w:rPr>
          <w:i/>
        </w:rPr>
        <w:instrText>res</w:instrText>
      </w:r>
      <w:r w:rsidR="005701D8" w:rsidRPr="003D1E07">
        <w:instrText xml:space="preserve">" </w:instrText>
      </w:r>
      <w:r w:rsidR="005701D8" w:rsidRPr="003D1E07">
        <w:rPr>
          <w:rStyle w:val="addmd"/>
          <w:i/>
        </w:rPr>
        <w:fldChar w:fldCharType="end"/>
      </w:r>
      <w:r w:rsidR="009E481E" w:rsidRPr="003D1E07">
        <w:t xml:space="preserve"> jako nové atomární substance </w:t>
      </w:r>
      <w:r w:rsidR="00111EB4" w:rsidRPr="003D1E07">
        <w:t xml:space="preserve">se predikuje </w:t>
      </w:r>
      <w:r w:rsidR="008F338D" w:rsidRPr="003D1E07">
        <w:t xml:space="preserve">v modu </w:t>
      </w:r>
      <w:r w:rsidR="008F338D" w:rsidRPr="003D1E07">
        <w:rPr>
          <w:i/>
        </w:rPr>
        <w:t>simpliciter</w:t>
      </w:r>
      <w:r w:rsidR="008F338D" w:rsidRPr="003D1E07">
        <w:t xml:space="preserve">, stejně jako první a druhá substance. </w:t>
      </w:r>
      <w:r w:rsidR="003A32D8" w:rsidRPr="003D1E07">
        <w:t xml:space="preserve">Z </w:t>
      </w:r>
      <w:r w:rsidR="08BB4052" w:rsidRPr="003D1E07">
        <w:t xml:space="preserve">klasického </w:t>
      </w:r>
      <w:r w:rsidR="003A32D8" w:rsidRPr="003D1E07">
        <w:t xml:space="preserve">určení jsoucna jako druhé substance nutné pro kategoriální predikaci </w:t>
      </w:r>
      <w:r w:rsidR="08BB4052" w:rsidRPr="003D1E07">
        <w:t xml:space="preserve">vznikla nová forma jsoucna třetího druhu. </w:t>
      </w:r>
      <w:r w:rsidR="009048A7" w:rsidRPr="003D1E07">
        <w:t xml:space="preserve">Predikace </w:t>
      </w:r>
      <w:r w:rsidR="08EB3DB2" w:rsidRPr="003D1E07">
        <w:rPr>
          <w:rStyle w:val="addmd"/>
        </w:rPr>
        <w:t xml:space="preserve">substance </w:t>
      </w:r>
      <w:r w:rsidR="00E379A1">
        <w:rPr>
          <w:rStyle w:val="addmd"/>
        </w:rPr>
        <w:t>v rámci komitačně při</w:t>
      </w:r>
      <w:r w:rsidR="08EC5770" w:rsidRPr="003D1E07">
        <w:rPr>
          <w:rStyle w:val="addmd"/>
        </w:rPr>
        <w:t xml:space="preserve">čítaných vlastností </w:t>
      </w:r>
      <w:r w:rsidR="00E379A1">
        <w:rPr>
          <w:rStyle w:val="addmd"/>
        </w:rPr>
        <w:t xml:space="preserve">je daná </w:t>
      </w:r>
      <w:r w:rsidR="08EC5770" w:rsidRPr="003D1E07">
        <w:rPr>
          <w:rStyle w:val="addmd"/>
        </w:rPr>
        <w:t xml:space="preserve">vzhledem k primátu </w:t>
      </w:r>
      <w:r w:rsidR="009048A7" w:rsidRPr="003D1E07">
        <w:rPr>
          <w:rStyle w:val="addmd"/>
        </w:rPr>
        <w:t xml:space="preserve">objektivní </w:t>
      </w:r>
      <w:r w:rsidR="003A32D8" w:rsidRPr="003D1E07">
        <w:rPr>
          <w:rStyle w:val="addmd"/>
          <w:i/>
        </w:rPr>
        <w:t>res</w:t>
      </w:r>
      <w:r w:rsidR="00E379A1">
        <w:rPr>
          <w:rStyle w:val="addmd"/>
        </w:rPr>
        <w:t xml:space="preserve">. Proto </w:t>
      </w:r>
      <w:r w:rsidR="08EB3DB2" w:rsidRPr="003D1E07">
        <w:rPr>
          <w:rStyle w:val="addmd"/>
        </w:rPr>
        <w:t>nepotřebuje první aktuální su</w:t>
      </w:r>
      <w:r w:rsidR="00E87DB7" w:rsidRPr="003D1E07">
        <w:rPr>
          <w:rStyle w:val="addmd"/>
        </w:rPr>
        <w:t>bstanci danou v reálu</w:t>
      </w:r>
      <w:r w:rsidR="08EC5770" w:rsidRPr="003D1E07">
        <w:rPr>
          <w:rStyle w:val="addmd"/>
        </w:rPr>
        <w:t>, ani druhou kategoriální substanci</w:t>
      </w:r>
      <w:r w:rsidR="00007003" w:rsidRPr="003D1E07">
        <w:rPr>
          <w:rStyle w:val="addmd"/>
        </w:rPr>
        <w:fldChar w:fldCharType="begin"/>
      </w:r>
      <w:r w:rsidR="00007003" w:rsidRPr="003D1E07">
        <w:instrText xml:space="preserve"> XE "predikace:objektivní" </w:instrText>
      </w:r>
      <w:r w:rsidR="00007003" w:rsidRPr="003D1E07">
        <w:rPr>
          <w:rStyle w:val="addmd"/>
        </w:rPr>
        <w:fldChar w:fldCharType="end"/>
      </w:r>
      <w:r w:rsidR="00E87DB7" w:rsidRPr="003D1E07">
        <w:rPr>
          <w:rStyle w:val="addmd"/>
        </w:rPr>
        <w:t>. O</w:t>
      </w:r>
      <w:r w:rsidR="08EB3DB2" w:rsidRPr="003D1E07">
        <w:rPr>
          <w:rStyle w:val="addmd"/>
        </w:rPr>
        <w:t>bjektiv</w:t>
      </w:r>
      <w:r w:rsidR="00DC3883" w:rsidRPr="003D1E07">
        <w:rPr>
          <w:rStyle w:val="addmd"/>
        </w:rPr>
        <w:t xml:space="preserve">ní bytí formy lze nazírat přímo, buď </w:t>
      </w:r>
      <w:r w:rsidR="08EB3DB2" w:rsidRPr="003D1E07">
        <w:rPr>
          <w:rStyle w:val="addmd"/>
        </w:rPr>
        <w:t>v intelektu</w:t>
      </w:r>
      <w:r w:rsidR="00DC3883" w:rsidRPr="003D1E07">
        <w:rPr>
          <w:rStyle w:val="addmd"/>
        </w:rPr>
        <w:t xml:space="preserve">, </w:t>
      </w:r>
      <w:r w:rsidR="08734283" w:rsidRPr="003D1E07">
        <w:rPr>
          <w:rStyle w:val="addmd"/>
        </w:rPr>
        <w:t>v</w:t>
      </w:r>
      <w:r w:rsidR="00013C64">
        <w:rPr>
          <w:rStyle w:val="addmd"/>
        </w:rPr>
        <w:t xml:space="preserve"> moderním </w:t>
      </w:r>
      <w:r w:rsidR="08734283" w:rsidRPr="003D1E07">
        <w:rPr>
          <w:rStyle w:val="addmd"/>
        </w:rPr>
        <w:t xml:space="preserve">bohu, </w:t>
      </w:r>
      <w:r w:rsidR="00DC3883" w:rsidRPr="003D1E07">
        <w:rPr>
          <w:rStyle w:val="addmd"/>
        </w:rPr>
        <w:t>nebo v reálné věci</w:t>
      </w:r>
      <w:r w:rsidR="08EB3DB2" w:rsidRPr="003D1E07">
        <w:rPr>
          <w:rStyle w:val="addmd"/>
        </w:rPr>
        <w:t xml:space="preserve">. Nové vidění jsoucna </w:t>
      </w:r>
      <w:r w:rsidR="08571ED4" w:rsidRPr="003D1E07">
        <w:rPr>
          <w:rStyle w:val="addmd"/>
        </w:rPr>
        <w:t xml:space="preserve">dostalo </w:t>
      </w:r>
      <w:r w:rsidR="001E5E39">
        <w:rPr>
          <w:rStyle w:val="addmd"/>
        </w:rPr>
        <w:t>„</w:t>
      </w:r>
      <w:r w:rsidR="08571ED4" w:rsidRPr="003D1E07">
        <w:rPr>
          <w:rStyle w:val="addmd"/>
        </w:rPr>
        <w:t>hyparchickou</w:t>
      </w:r>
      <w:r w:rsidR="00AB048B" w:rsidRPr="003D1E07">
        <w:rPr>
          <w:rStyle w:val="addmd"/>
        </w:rPr>
        <w:t xml:space="preserve"> </w:t>
      </w:r>
      <w:r w:rsidR="001E5E39">
        <w:rPr>
          <w:rStyle w:val="addmd"/>
        </w:rPr>
        <w:t xml:space="preserve">exsistenci“ </w:t>
      </w:r>
      <w:r w:rsidR="08EB3DB2" w:rsidRPr="003D1E07">
        <w:rPr>
          <w:rStyle w:val="addmd"/>
        </w:rPr>
        <w:t xml:space="preserve">v modu </w:t>
      </w:r>
      <w:r w:rsidR="08EB3DB2" w:rsidRPr="003D1E07">
        <w:rPr>
          <w:rStyle w:val="addmd"/>
          <w:i/>
        </w:rPr>
        <w:t>per prius</w:t>
      </w:r>
      <w:r w:rsidR="00AB048B" w:rsidRPr="003D1E07">
        <w:rPr>
          <w:rStyle w:val="addmd"/>
        </w:rPr>
        <w:t xml:space="preserve"> </w:t>
      </w:r>
      <w:r w:rsidR="0035272C" w:rsidRPr="003D1E07">
        <w:rPr>
          <w:rStyle w:val="addmd"/>
        </w:rPr>
        <w:t>od subjektu</w:t>
      </w:r>
      <w:r w:rsidR="007F01CD" w:rsidRPr="003D1E07">
        <w:rPr>
          <w:rStyle w:val="addmd"/>
        </w:rPr>
        <w:t xml:space="preserve">, </w:t>
      </w:r>
      <w:r w:rsidR="00E87DB7" w:rsidRPr="003D1E07">
        <w:rPr>
          <w:rStyle w:val="addmd"/>
        </w:rPr>
        <w:t xml:space="preserve">tedy </w:t>
      </w:r>
      <w:r w:rsidR="007F01CD" w:rsidRPr="003D1E07">
        <w:rPr>
          <w:rStyle w:val="addmd"/>
        </w:rPr>
        <w:t>mimo jednotlivinu a univerzália</w:t>
      </w:r>
      <w:r w:rsidR="00574E40" w:rsidRPr="003D1E07">
        <w:rPr>
          <w:rStyle w:val="addmd"/>
        </w:rPr>
        <w:t>. Definic</w:t>
      </w:r>
      <w:r w:rsidR="00AB048B" w:rsidRPr="003D1E07">
        <w:rPr>
          <w:rStyle w:val="addmd"/>
        </w:rPr>
        <w:t xml:space="preserve">e jsoucna je dána v minimálním rozsahu a v tomto rozsahu je také evidentní a zcela jistá. </w:t>
      </w:r>
      <w:r w:rsidR="00FF176D" w:rsidRPr="003D1E07">
        <w:rPr>
          <w:rStyle w:val="addmd"/>
        </w:rPr>
        <w:t xml:space="preserve">Nové </w:t>
      </w:r>
      <w:r w:rsidR="00AB048B" w:rsidRPr="003D1E07">
        <w:rPr>
          <w:rStyle w:val="addmd"/>
        </w:rPr>
        <w:t>bytí jsoucna</w:t>
      </w:r>
      <w:r w:rsidR="00C05DEC" w:rsidRPr="003D1E07">
        <w:rPr>
          <w:rStyle w:val="addmd"/>
        </w:rPr>
        <w:t xml:space="preserve"> nutně doprováz</w:t>
      </w:r>
      <w:r w:rsidR="00AB048B" w:rsidRPr="003D1E07">
        <w:rPr>
          <w:rStyle w:val="addmd"/>
        </w:rPr>
        <w:t>í v modu komitace</w:t>
      </w:r>
      <w:r w:rsidR="00EB71B3" w:rsidRPr="003D1E07">
        <w:rPr>
          <w:rStyle w:val="addmd"/>
        </w:rPr>
        <w:fldChar w:fldCharType="begin"/>
      </w:r>
      <w:r w:rsidR="00EB71B3" w:rsidRPr="003D1E07">
        <w:instrText xml:space="preserve"> XE "komitace" </w:instrText>
      </w:r>
      <w:r w:rsidR="00EB71B3" w:rsidRPr="003D1E07">
        <w:rPr>
          <w:rStyle w:val="addmd"/>
        </w:rPr>
        <w:fldChar w:fldCharType="end"/>
      </w:r>
      <w:r w:rsidR="00AB048B" w:rsidRPr="003D1E07">
        <w:rPr>
          <w:rStyle w:val="addmd"/>
        </w:rPr>
        <w:t xml:space="preserve"> </w:t>
      </w:r>
      <w:r w:rsidR="00C368CA" w:rsidRPr="003D1E07">
        <w:rPr>
          <w:rStyle w:val="addmd"/>
        </w:rPr>
        <w:t>k</w:t>
      </w:r>
      <w:r w:rsidR="00750A8C" w:rsidRPr="003D1E07">
        <w:rPr>
          <w:rStyle w:val="addmd"/>
        </w:rPr>
        <w:t>aždou univerzální a individuální substanci</w:t>
      </w:r>
      <w:r w:rsidR="00AB048B" w:rsidRPr="003D1E07">
        <w:rPr>
          <w:rStyle w:val="addmd"/>
        </w:rPr>
        <w:t>.</w:t>
      </w:r>
      <w:r w:rsidR="08A85ED1" w:rsidRPr="003D1E07">
        <w:rPr>
          <w:rStyle w:val="addmd"/>
        </w:rPr>
        <w:t xml:space="preserve"> </w:t>
      </w:r>
      <w:r w:rsidR="08543C92" w:rsidRPr="003D1E07">
        <w:rPr>
          <w:rStyle w:val="addmd"/>
        </w:rPr>
        <w:t xml:space="preserve">Model kategoriální komitace se změnil na transcendentální a univoční predikaci čehokoliv </w:t>
      </w:r>
      <w:r w:rsidR="083904D1" w:rsidRPr="003D1E07">
        <w:rPr>
          <w:rStyle w:val="addmd"/>
        </w:rPr>
        <w:t>jistě pozna</w:t>
      </w:r>
      <w:r w:rsidR="001505ED">
        <w:rPr>
          <w:rStyle w:val="addmd"/>
        </w:rPr>
        <w:t xml:space="preserve">ného, co je </w:t>
      </w:r>
      <w:r w:rsidR="08543C92" w:rsidRPr="003D1E07">
        <w:rPr>
          <w:rStyle w:val="addmd"/>
        </w:rPr>
        <w:t>takto</w:t>
      </w:r>
      <w:r w:rsidR="001505ED">
        <w:rPr>
          <w:rStyle w:val="addmd"/>
        </w:rPr>
        <w:t xml:space="preserve"> paranoicky</w:t>
      </w:r>
      <w:r w:rsidR="08543C92" w:rsidRPr="003D1E07">
        <w:rPr>
          <w:rStyle w:val="addmd"/>
        </w:rPr>
        <w:t xml:space="preserve"> </w:t>
      </w:r>
      <w:r w:rsidR="083904D1" w:rsidRPr="003D1E07">
        <w:rPr>
          <w:rStyle w:val="addmd"/>
        </w:rPr>
        <w:t xml:space="preserve">(čili </w:t>
      </w:r>
      <w:r w:rsidR="08543C92" w:rsidRPr="003D1E07">
        <w:rPr>
          <w:rStyle w:val="addmd"/>
        </w:rPr>
        <w:t>objektivně</w:t>
      </w:r>
      <w:r w:rsidR="083904D1" w:rsidRPr="003D1E07">
        <w:rPr>
          <w:rStyle w:val="addmd"/>
        </w:rPr>
        <w:t>)</w:t>
      </w:r>
      <w:r w:rsidR="08543C92" w:rsidRPr="003D1E07">
        <w:rPr>
          <w:rStyle w:val="addmd"/>
        </w:rPr>
        <w:t xml:space="preserve"> </w:t>
      </w:r>
      <w:r w:rsidR="001505ED">
        <w:rPr>
          <w:rStyle w:val="addmd"/>
        </w:rPr>
        <w:t>přisunuté k modernímu subjektu</w:t>
      </w:r>
      <w:r w:rsidR="00E4261C">
        <w:rPr>
          <w:rStyle w:val="addmd"/>
        </w:rPr>
        <w:t xml:space="preserve"> </w:t>
      </w:r>
      <w:r w:rsidR="00E4261C">
        <w:rPr>
          <w:noProof w:val="0"/>
          <w:lang w:val="en-US" w:eastAsia="x-none"/>
        </w:rPr>
        <w:t>(</w:t>
      </w:r>
      <w:r w:rsidR="00E4261C">
        <w:rPr>
          <w:i/>
          <w:noProof w:val="0"/>
          <w:lang w:val="en-US" w:eastAsia="x-none"/>
        </w:rPr>
        <w:t>Ge-Stell</w:t>
      </w:r>
      <w:r w:rsidR="00E4261C">
        <w:rPr>
          <w:i/>
          <w:noProof w:val="0"/>
          <w:lang w:val="en-US" w:eastAsia="x-none"/>
        </w:rPr>
        <w:fldChar w:fldCharType="begin"/>
      </w:r>
      <w:r w:rsidR="00E4261C">
        <w:instrText xml:space="preserve"> XE "</w:instrText>
      </w:r>
      <w:r w:rsidR="00E4261C">
        <w:rPr>
          <w:i/>
          <w:noProof w:val="0"/>
          <w:lang w:val="en-US" w:eastAsia="x-none"/>
        </w:rPr>
        <w:instrText>Ge-Stell</w:instrText>
      </w:r>
      <w:r w:rsidR="00E4261C">
        <w:instrText xml:space="preserve">" </w:instrText>
      </w:r>
      <w:r w:rsidR="00E4261C">
        <w:rPr>
          <w:i/>
          <w:noProof w:val="0"/>
          <w:lang w:val="en-US" w:eastAsia="x-none"/>
        </w:rPr>
        <w:fldChar w:fldCharType="end"/>
      </w:r>
      <w:r w:rsidR="00E4261C">
        <w:rPr>
          <w:noProof w:val="0"/>
          <w:lang w:val="en-US" w:eastAsia="x-none"/>
        </w:rPr>
        <w:t>)</w:t>
      </w:r>
      <w:r w:rsidR="001505ED">
        <w:rPr>
          <w:rStyle w:val="addmd"/>
        </w:rPr>
        <w:t>.</w:t>
      </w:r>
      <w:r w:rsidR="009D76C1">
        <w:rPr>
          <w:rStyle w:val="addmd"/>
        </w:rPr>
        <w:t xml:space="preserve"> Tím vznikl výše uvedený inviziční model moderní vědy jako </w:t>
      </w:r>
      <w:r w:rsidR="009D76C1" w:rsidRPr="003D1E07">
        <w:t>součást</w:t>
      </w:r>
      <w:r w:rsidR="009D76C1">
        <w:t>i</w:t>
      </w:r>
      <w:r w:rsidR="009D76C1" w:rsidRPr="003D1E07">
        <w:t xml:space="preserve"> </w:t>
      </w:r>
      <w:r w:rsidR="009D76C1">
        <w:t xml:space="preserve">vyššího reflexivního </w:t>
      </w:r>
      <w:r w:rsidR="009D76C1" w:rsidRPr="003D1E07">
        <w:t>intelektu (</w:t>
      </w:r>
      <w:r w:rsidR="009D76C1" w:rsidRPr="003D1E07">
        <w:rPr>
          <w:i/>
        </w:rPr>
        <w:t>intellecto inquisito</w:t>
      </w:r>
      <w:r w:rsidR="009D76C1" w:rsidRPr="003D1E07">
        <w:t>)</w:t>
      </w:r>
      <w:r w:rsidR="009D76C1">
        <w:rPr>
          <w:rStyle w:val="addmd"/>
        </w:rPr>
        <w:t xml:space="preserve">. Každý poznatek musí před takto paranoickým tribunálem „rozumu“ ospravedlnit svou „objetivní exsistenci“. </w:t>
      </w:r>
      <w:r w:rsidR="08543C92" w:rsidRPr="003D1E07">
        <w:rPr>
          <w:rStyle w:val="addmd"/>
        </w:rPr>
        <w:t xml:space="preserve">Avicennovské </w:t>
      </w:r>
      <w:r w:rsidR="08543C92" w:rsidRPr="003D1E07">
        <w:rPr>
          <w:rStyle w:val="addmd"/>
          <w:i/>
        </w:rPr>
        <w:t>tertium ens</w:t>
      </w:r>
      <w:r w:rsidR="08543C92" w:rsidRPr="003D1E07">
        <w:rPr>
          <w:rStyle w:val="addmd"/>
        </w:rPr>
        <w:t xml:space="preserve"> je dáno jako „věc“ (</w:t>
      </w:r>
      <w:r w:rsidR="08543C92" w:rsidRPr="003D1E07">
        <w:rPr>
          <w:rStyle w:val="addmd"/>
          <w:i/>
        </w:rPr>
        <w:t>res</w:t>
      </w:r>
      <w:r w:rsidR="08543C92" w:rsidRPr="003D1E07">
        <w:rPr>
          <w:rStyle w:val="addmd"/>
        </w:rPr>
        <w:t>) a je nazíráno skrze objektivní náhled na jsoucno v jeho nepochybné generické individualitě (</w:t>
      </w:r>
      <w:r w:rsidR="08543C92" w:rsidRPr="003D1E07">
        <w:rPr>
          <w:rStyle w:val="addmd"/>
          <w:i/>
        </w:rPr>
        <w:t>esse tantum</w:t>
      </w:r>
      <w:r w:rsidR="08543C92" w:rsidRPr="003D1E07">
        <w:rPr>
          <w:rStyle w:val="addmd"/>
          <w:i/>
        </w:rPr>
        <w:fldChar w:fldCharType="begin"/>
      </w:r>
      <w:r w:rsidR="08543C92" w:rsidRPr="003D1E07">
        <w:instrText xml:space="preserve"> XE "</w:instrText>
      </w:r>
      <w:r w:rsidR="08543C92" w:rsidRPr="003D1E07">
        <w:rPr>
          <w:rStyle w:val="addmd"/>
          <w:i/>
        </w:rPr>
        <w:instrText>tantum esse</w:instrText>
      </w:r>
      <w:r w:rsidR="08543C92" w:rsidRPr="003D1E07">
        <w:instrText xml:space="preserve">" </w:instrText>
      </w:r>
      <w:r w:rsidR="08543C92" w:rsidRPr="003D1E07">
        <w:rPr>
          <w:rStyle w:val="addmd"/>
          <w:i/>
        </w:rPr>
        <w:fldChar w:fldCharType="end"/>
      </w:r>
      <w:r w:rsidR="08543C92" w:rsidRPr="003D1E07">
        <w:rPr>
          <w:rStyle w:val="addmd"/>
        </w:rPr>
        <w:t>).</w:t>
      </w:r>
      <w:r w:rsidR="00346373">
        <w:t xml:space="preserve"> Existuje jednota vidění a jsoucnosti</w:t>
      </w:r>
      <w:r w:rsidR="00346373" w:rsidRPr="00346373">
        <w:t xml:space="preserve">, kterou </w:t>
      </w:r>
      <w:r w:rsidR="00346373">
        <w:t xml:space="preserve">ilumináti </w:t>
      </w:r>
      <w:r w:rsidR="00346373" w:rsidRPr="00346373">
        <w:t xml:space="preserve">na úrovni individua (ἄτομος οὐσία), aby vytvořili novou formu </w:t>
      </w:r>
      <w:r w:rsidR="00346373" w:rsidRPr="00346373">
        <w:rPr>
          <w:i/>
        </w:rPr>
        <w:t>ens</w:t>
      </w:r>
      <w:r w:rsidR="00346373" w:rsidRPr="00346373">
        <w:t xml:space="preserve">, </w:t>
      </w:r>
      <w:r w:rsidR="00346373" w:rsidRPr="00346373">
        <w:rPr>
          <w:i/>
        </w:rPr>
        <w:t>res</w:t>
      </w:r>
      <w:r w:rsidR="00346373" w:rsidRPr="00346373">
        <w:t xml:space="preserve"> atd.. Tato amfibolia souvisejí se sekundárními intencemi, které jsou kontemplovány v osvojeném intelektu (</w:t>
      </w:r>
      <w:r w:rsidR="00346373" w:rsidRPr="00346373">
        <w:rPr>
          <w:i/>
        </w:rPr>
        <w:t>intellectus adeptus</w:t>
      </w:r>
      <w:r w:rsidR="00346373" w:rsidRPr="00346373">
        <w:t>).</w:t>
      </w:r>
      <w:r w:rsidR="00346373">
        <w:t xml:space="preserve"> </w:t>
      </w:r>
      <w:r w:rsidR="00D301DE">
        <w:t xml:space="preserve">Nová </w:t>
      </w:r>
      <w:r w:rsidR="00233C98">
        <w:t>pr</w:t>
      </w:r>
      <w:r w:rsidR="00D301DE">
        <w:t>edikace transcendálních entit se děje s</w:t>
      </w:r>
      <w:r w:rsidR="083F6ACF" w:rsidRPr="003D1E07">
        <w:rPr>
          <w:rStyle w:val="addmd"/>
        </w:rPr>
        <w:t>krze komitaci</w:t>
      </w:r>
      <w:r w:rsidR="00D301DE">
        <w:rPr>
          <w:rStyle w:val="addmd"/>
        </w:rPr>
        <w:t>. Tím vznikla p</w:t>
      </w:r>
      <w:r w:rsidR="08A85ED1" w:rsidRPr="003D1E07">
        <w:rPr>
          <w:rStyle w:val="addmd"/>
        </w:rPr>
        <w:t xml:space="preserve">rvní podoba metafyziky jako </w:t>
      </w:r>
      <w:r w:rsidR="08A85ED1" w:rsidRPr="003D1E07">
        <w:rPr>
          <w:rStyle w:val="addmd"/>
          <w:i/>
        </w:rPr>
        <w:t>scientia transcendens</w:t>
      </w:r>
      <w:r w:rsidR="08A85ED1" w:rsidRPr="003D1E07">
        <w:rPr>
          <w:rStyle w:val="addmd"/>
          <w:i/>
        </w:rPr>
        <w:fldChar w:fldCharType="begin"/>
      </w:r>
      <w:r w:rsidR="08A85ED1" w:rsidRPr="003D1E07">
        <w:instrText xml:space="preserve"> XE "</w:instrText>
      </w:r>
      <w:r w:rsidR="08A85ED1" w:rsidRPr="003D1E07">
        <w:rPr>
          <w:rStyle w:val="addmd"/>
          <w:i/>
        </w:rPr>
        <w:instrText>scientia transcendens</w:instrText>
      </w:r>
      <w:r w:rsidR="08A85ED1" w:rsidRPr="003D1E07">
        <w:instrText xml:space="preserve">" </w:instrText>
      </w:r>
      <w:r w:rsidR="08A85ED1" w:rsidRPr="003D1E07">
        <w:rPr>
          <w:rStyle w:val="addmd"/>
          <w:i/>
        </w:rPr>
        <w:fldChar w:fldCharType="end"/>
      </w:r>
      <w:r w:rsidR="00287895">
        <w:rPr>
          <w:rStyle w:val="addmd"/>
        </w:rPr>
        <w:t>.</w:t>
      </w:r>
      <w:r w:rsidR="00803D96">
        <w:rPr>
          <w:rStyle w:val="addmd"/>
        </w:rPr>
        <w:t xml:space="preserve"> </w:t>
      </w:r>
      <w:r w:rsidR="08955F1A" w:rsidRPr="003D1E07">
        <w:rPr>
          <w:rStyle w:val="addmd"/>
        </w:rPr>
        <w:t xml:space="preserve">Tato transcendentální metafyzika nemůže mít po zatmění první substance jiného garanta jednoty a smyslu jsoucna než je </w:t>
      </w:r>
      <w:r w:rsidR="00D55563">
        <w:rPr>
          <w:rStyle w:val="addmd"/>
        </w:rPr>
        <w:t xml:space="preserve">plně objektivní </w:t>
      </w:r>
      <w:r w:rsidR="08955F1A" w:rsidRPr="003D1E07">
        <w:rPr>
          <w:rStyle w:val="addmd"/>
        </w:rPr>
        <w:t xml:space="preserve">bůh </w:t>
      </w:r>
      <w:r w:rsidR="08955F1A" w:rsidRPr="003D1E07">
        <w:rPr>
          <w:rStyle w:val="addmd"/>
          <w:i/>
        </w:rPr>
        <w:t>Modernorum</w:t>
      </w:r>
      <w:r w:rsidR="009F4C06">
        <w:rPr>
          <w:rStyle w:val="addmd"/>
        </w:rPr>
        <w:t xml:space="preserve">. </w:t>
      </w:r>
      <w:r w:rsidR="00F052C6">
        <w:rPr>
          <w:rStyle w:val="addmd"/>
        </w:rPr>
        <w:t>Paranoidní modern</w:t>
      </w:r>
      <w:r w:rsidR="00F052C6" w:rsidRPr="00F052C6">
        <w:rPr>
          <w:rStyle w:val="addmd"/>
        </w:rPr>
        <w:t>a si vytvořila božstvo k</w:t>
      </w:r>
      <w:r w:rsidR="00F052C6">
        <w:rPr>
          <w:rStyle w:val="addmd"/>
        </w:rPr>
        <w:t>e svému obrazu</w:t>
      </w:r>
      <w:r w:rsidR="00F052C6" w:rsidRPr="00F052C6">
        <w:rPr>
          <w:rStyle w:val="addmd"/>
        </w:rPr>
        <w:t xml:space="preserve">. </w:t>
      </w:r>
      <w:r w:rsidR="009F4C06">
        <w:rPr>
          <w:rStyle w:val="addmd"/>
        </w:rPr>
        <w:t xml:space="preserve">Tento dárce objektivních forem </w:t>
      </w:r>
      <w:r w:rsidR="004D2922">
        <w:rPr>
          <w:rStyle w:val="addmd"/>
        </w:rPr>
        <w:t>vznikl v mysli iluminátů</w:t>
      </w:r>
      <w:r w:rsidR="08190C64" w:rsidRPr="003D1E07">
        <w:rPr>
          <w:rStyle w:val="addmd"/>
        </w:rPr>
        <w:t xml:space="preserve"> jako </w:t>
      </w:r>
      <w:r w:rsidR="004D2922">
        <w:rPr>
          <w:rStyle w:val="addmd"/>
        </w:rPr>
        <w:t xml:space="preserve">jejich </w:t>
      </w:r>
      <w:r w:rsidR="08DF5613" w:rsidRPr="003D1E07">
        <w:rPr>
          <w:rStyle w:val="addmd"/>
        </w:rPr>
        <w:t xml:space="preserve">zakládající </w:t>
      </w:r>
      <w:r w:rsidR="089E5B4E" w:rsidRPr="003D1E07">
        <w:rPr>
          <w:rStyle w:val="addmd"/>
          <w:i/>
        </w:rPr>
        <w:t>factum</w:t>
      </w:r>
      <w:r w:rsidR="000A32B0">
        <w:rPr>
          <w:rStyle w:val="addmd"/>
        </w:rPr>
        <w:t xml:space="preserve">, aby </w:t>
      </w:r>
      <w:r w:rsidR="004D2922">
        <w:rPr>
          <w:rStyle w:val="addmd"/>
        </w:rPr>
        <w:t xml:space="preserve">vytvořil ontoteologický základ pro </w:t>
      </w:r>
      <w:r w:rsidR="000A32B0">
        <w:rPr>
          <w:rStyle w:val="addmd"/>
        </w:rPr>
        <w:t xml:space="preserve">novou formu </w:t>
      </w:r>
      <w:r w:rsidR="08DF5613" w:rsidRPr="003D1E07">
        <w:rPr>
          <w:rStyle w:val="addmd"/>
        </w:rPr>
        <w:t xml:space="preserve">deduktivní spekulace. Viz Heideggerovo určení metafyziky v pojmech </w:t>
      </w:r>
      <w:r w:rsidR="08DF5613" w:rsidRPr="003D1E07">
        <w:rPr>
          <w:rStyle w:val="addmd"/>
          <w:i/>
        </w:rPr>
        <w:t>Gr</w:t>
      </w:r>
      <w:r w:rsidR="08DF5613" w:rsidRPr="003D1E07">
        <w:rPr>
          <w:rStyle w:val="addmd"/>
          <w:rFonts w:cs="Calibri"/>
          <w:i/>
        </w:rPr>
        <w:t>ü</w:t>
      </w:r>
      <w:r w:rsidR="08DF5613" w:rsidRPr="003D1E07">
        <w:rPr>
          <w:rStyle w:val="addmd"/>
          <w:i/>
        </w:rPr>
        <w:t>ndung</w:t>
      </w:r>
      <w:r w:rsidR="08DF5613" w:rsidRPr="003D1E07">
        <w:rPr>
          <w:rStyle w:val="addmd"/>
          <w:i/>
        </w:rPr>
        <w:fldChar w:fldCharType="begin"/>
      </w:r>
      <w:r w:rsidR="08DF5613" w:rsidRPr="003D1E07">
        <w:instrText xml:space="preserve"> XE "</w:instrText>
      </w:r>
      <w:r w:rsidR="08DF5613" w:rsidRPr="003D1E07">
        <w:rPr>
          <w:rStyle w:val="addmd"/>
          <w:i/>
        </w:rPr>
        <w:instrText>Gr</w:instrText>
      </w:r>
      <w:r w:rsidR="08DF5613" w:rsidRPr="003D1E07">
        <w:rPr>
          <w:rStyle w:val="addmd"/>
          <w:rFonts w:cs="Calibri"/>
          <w:i/>
        </w:rPr>
        <w:instrText>ü</w:instrText>
      </w:r>
      <w:r w:rsidR="08DF5613" w:rsidRPr="003D1E07">
        <w:rPr>
          <w:rStyle w:val="addmd"/>
          <w:i/>
        </w:rPr>
        <w:instrText>ndung</w:instrText>
      </w:r>
      <w:r w:rsidR="08DF5613" w:rsidRPr="003D1E07">
        <w:instrText xml:space="preserve">" </w:instrText>
      </w:r>
      <w:r w:rsidR="08DF5613" w:rsidRPr="003D1E07">
        <w:rPr>
          <w:rStyle w:val="addmd"/>
          <w:i/>
        </w:rPr>
        <w:fldChar w:fldCharType="end"/>
      </w:r>
      <w:r w:rsidR="08DF5613" w:rsidRPr="003D1E07">
        <w:rPr>
          <w:rStyle w:val="addmd"/>
        </w:rPr>
        <w:t xml:space="preserve"> a </w:t>
      </w:r>
      <w:r w:rsidR="08DF5613" w:rsidRPr="003D1E07">
        <w:rPr>
          <w:rStyle w:val="addmd"/>
          <w:i/>
        </w:rPr>
        <w:t>Grund</w:t>
      </w:r>
      <w:r w:rsidR="08DF5613" w:rsidRPr="003D1E07">
        <w:rPr>
          <w:rStyle w:val="addmd"/>
        </w:rPr>
        <w:t xml:space="preserve"> (kap. 1.2)</w:t>
      </w:r>
      <w:r w:rsidR="087949EB" w:rsidRPr="003D1E07">
        <w:rPr>
          <w:rStyle w:val="addmd"/>
        </w:rPr>
        <w:t xml:space="preserve">. </w:t>
      </w:r>
      <w:r w:rsidR="08DF5613" w:rsidRPr="003D1E07">
        <w:rPr>
          <w:rStyle w:val="addmd"/>
        </w:rPr>
        <w:t xml:space="preserve">Avicenna stvořil boha </w:t>
      </w:r>
      <w:r w:rsidR="08DF5613" w:rsidRPr="003D1E07">
        <w:rPr>
          <w:rStyle w:val="addmd"/>
          <w:i/>
        </w:rPr>
        <w:lastRenderedPageBreak/>
        <w:t>Modernorum</w:t>
      </w:r>
      <w:r w:rsidR="08DF5613" w:rsidRPr="003D1E07">
        <w:rPr>
          <w:rStyle w:val="addmd"/>
        </w:rPr>
        <w:t xml:space="preserve"> definovaného vzhledem k objektivnímu lidskému poznání. </w:t>
      </w:r>
      <w:r w:rsidR="08190C64" w:rsidRPr="003D1E07">
        <w:rPr>
          <w:rStyle w:val="addmd"/>
        </w:rPr>
        <w:t xml:space="preserve">Bůh se stal v Avicennově </w:t>
      </w:r>
      <w:r w:rsidR="08D12F18" w:rsidRPr="003D1E07">
        <w:rPr>
          <w:rStyle w:val="addmd"/>
        </w:rPr>
        <w:t xml:space="preserve">ontoteologické </w:t>
      </w:r>
      <w:r w:rsidR="08190C64" w:rsidRPr="003D1E07">
        <w:rPr>
          <w:rStyle w:val="addmd"/>
        </w:rPr>
        <w:t>metafyzice objektivním faktem</w:t>
      </w:r>
      <w:r w:rsidR="08402CF9" w:rsidRPr="003D1E07">
        <w:rPr>
          <w:rStyle w:val="addmd"/>
        </w:rPr>
        <w:t xml:space="preserve"> </w:t>
      </w:r>
      <w:r w:rsidR="08D12F18" w:rsidRPr="003D1E07">
        <w:rPr>
          <w:rStyle w:val="addmd"/>
        </w:rPr>
        <w:t xml:space="preserve">a </w:t>
      </w:r>
      <w:r w:rsidR="08402CF9" w:rsidRPr="003D1E07">
        <w:rPr>
          <w:rStyle w:val="addmd"/>
        </w:rPr>
        <w:t>dostal charakter jsoucna třetího druhu</w:t>
      </w:r>
      <w:r w:rsidR="002D4D2B">
        <w:rPr>
          <w:rStyle w:val="addmd"/>
        </w:rPr>
        <w:t xml:space="preserve">. Tím nutně a zcela fatálně začala i </w:t>
      </w:r>
      <w:r w:rsidR="08190C64" w:rsidRPr="003D1E07">
        <w:rPr>
          <w:rStyle w:val="addmd"/>
        </w:rPr>
        <w:t>smrt</w:t>
      </w:r>
      <w:r w:rsidR="002D4D2B">
        <w:rPr>
          <w:rStyle w:val="addmd"/>
        </w:rPr>
        <w:t xml:space="preserve"> tohoto onteologického konstruktu</w:t>
      </w:r>
      <w:r w:rsidR="08190C64" w:rsidRPr="003D1E07">
        <w:rPr>
          <w:rStyle w:val="addmd"/>
        </w:rPr>
        <w:fldChar w:fldCharType="begin"/>
      </w:r>
      <w:r w:rsidR="08190C64" w:rsidRPr="003D1E07">
        <w:instrText xml:space="preserve"> XE "</w:instrText>
      </w:r>
      <w:r w:rsidR="08190C64" w:rsidRPr="003D1E07">
        <w:rPr>
          <w:rStyle w:val="addmd"/>
        </w:rPr>
        <w:instrText>smrt boha</w:instrText>
      </w:r>
      <w:r w:rsidR="08190C64" w:rsidRPr="003D1E07">
        <w:instrText xml:space="preserve">" </w:instrText>
      </w:r>
      <w:r w:rsidR="08190C64" w:rsidRPr="003D1E07">
        <w:rPr>
          <w:rStyle w:val="addmd"/>
        </w:rPr>
        <w:fldChar w:fldCharType="end"/>
      </w:r>
      <w:r w:rsidR="08402CF9" w:rsidRPr="003D1E07">
        <w:rPr>
          <w:rStyle w:val="addmd"/>
        </w:rPr>
        <w:t>, což přesně viděl</w:t>
      </w:r>
      <w:r w:rsidR="005B3DCE">
        <w:rPr>
          <w:rStyle w:val="addmd"/>
        </w:rPr>
        <w:t>i</w:t>
      </w:r>
      <w:r w:rsidR="08402CF9" w:rsidRPr="003D1E07">
        <w:rPr>
          <w:rStyle w:val="addmd"/>
        </w:rPr>
        <w:t xml:space="preserve"> a o</w:t>
      </w:r>
      <w:r w:rsidR="08190C64" w:rsidRPr="003D1E07">
        <w:rPr>
          <w:rStyle w:val="addmd"/>
        </w:rPr>
        <w:t>dm</w:t>
      </w:r>
      <w:r w:rsidR="08402CF9" w:rsidRPr="003D1E07">
        <w:rPr>
          <w:rStyle w:val="addmd"/>
        </w:rPr>
        <w:t>ítl</w:t>
      </w:r>
      <w:r w:rsidR="005B3DCE">
        <w:rPr>
          <w:rStyle w:val="addmd"/>
        </w:rPr>
        <w:t>i</w:t>
      </w:r>
      <w:r w:rsidR="08402CF9" w:rsidRPr="003D1E07">
        <w:rPr>
          <w:rStyle w:val="addmd"/>
        </w:rPr>
        <w:t xml:space="preserve"> </w:t>
      </w:r>
      <w:r w:rsidR="005B3DCE">
        <w:rPr>
          <w:rStyle w:val="addmd"/>
        </w:rPr>
        <w:t xml:space="preserve">jak </w:t>
      </w:r>
      <w:r w:rsidR="08402CF9" w:rsidRPr="003D1E07">
        <w:rPr>
          <w:rStyle w:val="addmd"/>
        </w:rPr>
        <w:t>Al-Gha</w:t>
      </w:r>
      <w:r w:rsidR="08190C64" w:rsidRPr="003D1E07">
        <w:rPr>
          <w:rStyle w:val="addmd"/>
        </w:rPr>
        <w:t xml:space="preserve">zálí </w:t>
      </w:r>
      <w:r w:rsidR="005B3DCE">
        <w:rPr>
          <w:rStyle w:val="addmd"/>
        </w:rPr>
        <w:t>tak</w:t>
      </w:r>
      <w:r w:rsidR="08190C64" w:rsidRPr="003D1E07">
        <w:rPr>
          <w:rStyle w:val="addmd"/>
        </w:rPr>
        <w:t>a Averroes</w:t>
      </w:r>
      <w:r w:rsidR="000432C0" w:rsidRPr="003D1E07">
        <w:rPr>
          <w:rStyle w:val="addmd"/>
        </w:rPr>
        <w:t xml:space="preserve"> skrze jejich fatwu proti modernismu</w:t>
      </w:r>
      <w:r w:rsidR="08190C64" w:rsidRPr="003D1E07">
        <w:rPr>
          <w:rStyle w:val="addmd"/>
        </w:rPr>
        <w:t xml:space="preserve">. </w:t>
      </w:r>
      <w:r w:rsidR="08955F1A" w:rsidRPr="003D1E07">
        <w:t>Avicennova monoteistická metafyzika předpokládá</w:t>
      </w:r>
      <w:r w:rsidR="08653B11" w:rsidRPr="003D1E07">
        <w:t xml:space="preserve"> ve výše uvedené </w:t>
      </w:r>
      <w:r w:rsidR="08955F1A" w:rsidRPr="003D1E07">
        <w:t xml:space="preserve">linii Ibn Ádího, že jsoucno musí v jeho objektivně-specifické podobě myslet alespoň bůh, aby bylo univerzální věcí vybavenou základní ontologickou jistotou. Proto Descartes potřebuje ideu kauzálně působícího a reálně existujícího boha mimo nás. Jistotu deduktivního a čistě spekulativního poznání ilumináta-troglodyta dlícího v jeskyni vlastního </w:t>
      </w:r>
      <w:r w:rsidR="08955F1A" w:rsidRPr="003D1E07">
        <w:rPr>
          <w:i/>
        </w:rPr>
        <w:t>cogito</w:t>
      </w:r>
      <w:r w:rsidR="08955F1A" w:rsidRPr="003D1E07">
        <w:t xml:space="preserve"> musí založit pre</w:t>
      </w:r>
      <w:r w:rsidR="08955F1A" w:rsidRPr="003D1E07">
        <w:noBreakHyphen/>
        <w:t xml:space="preserve">existence nějaké věci dané mimo mysl v objektivním modu </w:t>
      </w:r>
      <w:r w:rsidR="08955F1A" w:rsidRPr="003D1E07">
        <w:rPr>
          <w:i/>
        </w:rPr>
        <w:t>per prius</w:t>
      </w:r>
      <w:r w:rsidR="08955F1A" w:rsidRPr="003D1E07">
        <w:t xml:space="preserve">. Hermeneutika zdůrazňuje fakt, že tento modus boží či jiné kauzality </w:t>
      </w:r>
      <w:r w:rsidR="08C61637" w:rsidRPr="003D1E07">
        <w:t xml:space="preserve">je nutně </w:t>
      </w:r>
      <w:r w:rsidR="08955F1A" w:rsidRPr="003D1E07">
        <w:t>objektivní</w:t>
      </w:r>
      <w:r w:rsidR="08C61637" w:rsidRPr="003D1E07">
        <w:t>,</w:t>
      </w:r>
      <w:r w:rsidR="08955F1A" w:rsidRPr="003D1E07">
        <w:t xml:space="preserve"> a nikoliv reálný. Z avicennovského schématu poznání </w:t>
      </w:r>
      <w:r w:rsidR="08C61637" w:rsidRPr="003D1E07">
        <w:t xml:space="preserve">daného skrze </w:t>
      </w:r>
      <w:r w:rsidR="08C61637" w:rsidRPr="003D1E07">
        <w:rPr>
          <w:i/>
        </w:rPr>
        <w:t>epoché</w:t>
      </w:r>
      <w:r w:rsidR="08C61637" w:rsidRPr="003D1E07">
        <w:t xml:space="preserve"> od těla a od smyslů </w:t>
      </w:r>
      <w:r w:rsidR="08955F1A" w:rsidRPr="003D1E07">
        <w:t>vypadla aristotelská kauzalita poznání dan</w:t>
      </w:r>
      <w:r w:rsidR="08C61637" w:rsidRPr="003D1E07">
        <w:t>á</w:t>
      </w:r>
      <w:r w:rsidR="08955F1A" w:rsidRPr="003D1E07">
        <w:t xml:space="preserve"> nasvícením zepředu od smyslů a tím i od reálných prvních substancí. Po smrti boha</w:t>
      </w:r>
      <w:r w:rsidR="08C61637" w:rsidRPr="003D1E07">
        <w:t xml:space="preserve"> moderny</w:t>
      </w:r>
      <w:r w:rsidR="08955F1A" w:rsidRPr="003D1E07">
        <w:rPr>
          <w:color w:val="000000"/>
        </w:rPr>
        <w:fldChar w:fldCharType="begin"/>
      </w:r>
      <w:r w:rsidR="08955F1A" w:rsidRPr="003D1E07">
        <w:instrText xml:space="preserve"> XE "smrt boha" </w:instrText>
      </w:r>
      <w:r w:rsidR="08955F1A" w:rsidRPr="003D1E07">
        <w:rPr>
          <w:color w:val="000000"/>
        </w:rPr>
        <w:fldChar w:fldCharType="end"/>
      </w:r>
      <w:r w:rsidR="08955F1A" w:rsidRPr="003D1E07">
        <w:t>, ve věku dokonaného nihilismu metafyziky a úpadku filosofického myšlení, tuto roli posledního objektivního zajišťovatele jsoucnosti převezme matematika</w:t>
      </w:r>
      <w:r w:rsidR="08955F1A" w:rsidRPr="003D1E07">
        <w:fldChar w:fldCharType="begin"/>
      </w:r>
      <w:r w:rsidR="08955F1A" w:rsidRPr="003D1E07">
        <w:instrText xml:space="preserve"> XE "matematika" </w:instrText>
      </w:r>
      <w:r w:rsidR="08955F1A" w:rsidRPr="003D1E07">
        <w:fldChar w:fldCharType="end"/>
      </w:r>
      <w:r w:rsidR="08955F1A" w:rsidRPr="003D1E07">
        <w:t xml:space="preserve"> a neurovědy. Tyto nové formy objektivity nahradí upadlou objektivní teologii, překonanou metafyziku, první filosofii redukovanou na jazykové hrátky a na myšlenkové experimenty narcistního subjektu</w:t>
      </w:r>
      <w:r w:rsidR="00677109">
        <w:t>. Tento paranoický subjekt objektivního Absolutna se dává skrze stále nové metafyzické avatary, protože moderní pokrok nelze zastavit. Moderní vtělení absolutní objektiovity je nov</w:t>
      </w:r>
      <w:r w:rsidR="00803D96">
        <w:t>ý „</w:t>
      </w:r>
      <w:r w:rsidR="00803D96">
        <w:rPr>
          <w:i/>
        </w:rPr>
        <w:t>Atlas Shrugged</w:t>
      </w:r>
      <w:r w:rsidR="00803D96">
        <w:t>“ (Ayn Rand, 1957)</w:t>
      </w:r>
      <w:r w:rsidR="00677109">
        <w:t>, který nese</w:t>
      </w:r>
      <w:r w:rsidR="00D66775" w:rsidRPr="003D1E07">
        <w:t xml:space="preserve"> </w:t>
      </w:r>
      <w:r w:rsidR="08955F1A" w:rsidRPr="003D1E07">
        <w:t xml:space="preserve">na svých bedrech </w:t>
      </w:r>
      <w:r w:rsidR="08281032" w:rsidRPr="003D1E07">
        <w:t>myt</w:t>
      </w:r>
      <w:r w:rsidR="080F67E5" w:rsidRPr="003D1E07">
        <w:t>opo</w:t>
      </w:r>
      <w:r w:rsidR="08955F1A" w:rsidRPr="003D1E07">
        <w:t>etickou iracionalitu postmoderny. Avicenna nastavil cestu myšlení směrem k současnému post</w:t>
      </w:r>
      <w:r w:rsidR="08955F1A" w:rsidRPr="003D1E07">
        <w:noBreakHyphen/>
        <w:t xml:space="preserve">metafyzickému nihilismu produkujícího současný matrixový svět moci, financí a </w:t>
      </w:r>
      <w:r w:rsidR="00293DF2">
        <w:t xml:space="preserve">falešného </w:t>
      </w:r>
      <w:r w:rsidR="08955F1A" w:rsidRPr="003D1E07">
        <w:t>vědění.</w:t>
      </w:r>
    </w:p>
    <w:p w14:paraId="4DA1E88F" w14:textId="2B1CF96E" w:rsidR="08483A3D" w:rsidRPr="003D1E07" w:rsidRDefault="005A04BB" w:rsidP="08483A3D">
      <w:pPr>
        <w:rPr>
          <w:rStyle w:val="FontStyle129"/>
          <w:rFonts w:ascii="Calibri" w:hAnsi="Calibri"/>
          <w:sz w:val="24"/>
        </w:rPr>
      </w:pPr>
      <w:r>
        <w:tab/>
        <w:t xml:space="preserve">Avicennova metafyzika </w:t>
      </w:r>
      <w:r w:rsidR="08955F1A" w:rsidRPr="003D1E07">
        <w:t xml:space="preserve">vznikla jako </w:t>
      </w:r>
      <w:r w:rsidR="08955F1A" w:rsidRPr="003D1E07">
        <w:rPr>
          <w:i/>
        </w:rPr>
        <w:t>obiectum</w:t>
      </w:r>
      <w:r w:rsidR="08955F1A" w:rsidRPr="003D1E07">
        <w:t xml:space="preserve"> epochálně nové poznávací intence, protože by</w:t>
      </w:r>
      <w:r w:rsidR="08EB3DB2" w:rsidRPr="003D1E07">
        <w:t xml:space="preserve">tí jsoucna </w:t>
      </w:r>
      <w:r w:rsidR="08EB3DB2" w:rsidRPr="003D1E07">
        <w:rPr>
          <w:rStyle w:val="addmd"/>
        </w:rPr>
        <w:t>je napojeno na zvláštní druh intence</w:t>
      </w:r>
      <w:r w:rsidR="08955F1A" w:rsidRPr="003D1E07">
        <w:rPr>
          <w:rStyle w:val="addmd"/>
        </w:rPr>
        <w:t xml:space="preserve"> dané j</w:t>
      </w:r>
      <w:r w:rsidR="08EB3DB2" w:rsidRPr="003D1E07">
        <w:rPr>
          <w:rStyle w:val="addmd"/>
        </w:rPr>
        <w:t>ako nový pohled na jsoucno (</w:t>
      </w:r>
      <w:r w:rsidR="08EB3DB2" w:rsidRPr="003D1E07">
        <w:rPr>
          <w:rStyle w:val="addmd"/>
          <w:i/>
        </w:rPr>
        <w:t>Vor-blickbahn</w:t>
      </w:r>
      <w:r w:rsidR="006B28CF" w:rsidRPr="003D1E07">
        <w:rPr>
          <w:rStyle w:val="addmd"/>
          <w:i/>
        </w:rPr>
        <w:fldChar w:fldCharType="begin"/>
      </w:r>
      <w:r w:rsidR="006B28CF" w:rsidRPr="003D1E07">
        <w:instrText xml:space="preserve"> XE "</w:instrText>
      </w:r>
      <w:r w:rsidR="08106DC9" w:rsidRPr="003D1E07">
        <w:rPr>
          <w:i/>
        </w:rPr>
        <w:instrText>Vor-</w:instrText>
      </w:r>
      <w:r w:rsidR="006B28CF" w:rsidRPr="003D1E07">
        <w:rPr>
          <w:i/>
        </w:rPr>
        <w:instrText>b</w:instrText>
      </w:r>
      <w:r w:rsidR="006B28CF" w:rsidRPr="003D1E07">
        <w:rPr>
          <w:i/>
          <w:iCs/>
        </w:rPr>
        <w:instrText>lickbahn</w:instrText>
      </w:r>
      <w:r w:rsidR="00FE30CE" w:rsidRPr="003D1E07">
        <w:rPr>
          <w:iCs/>
        </w:rPr>
        <w:instrText>:</w:instrText>
      </w:r>
      <w:r w:rsidR="08A53AA0" w:rsidRPr="003D1E07">
        <w:rPr>
          <w:iCs/>
        </w:rPr>
        <w:instrText>Avicenna</w:instrText>
      </w:r>
      <w:r w:rsidR="006B28CF" w:rsidRPr="003D1E07">
        <w:instrText xml:space="preserve">" </w:instrText>
      </w:r>
      <w:r w:rsidR="006B28CF" w:rsidRPr="003D1E07">
        <w:rPr>
          <w:rStyle w:val="addmd"/>
          <w:i/>
        </w:rPr>
        <w:fldChar w:fldCharType="end"/>
      </w:r>
      <w:r w:rsidR="08EB3DB2" w:rsidRPr="003D1E07">
        <w:rPr>
          <w:rStyle w:val="addmd"/>
        </w:rPr>
        <w:t xml:space="preserve">). </w:t>
      </w:r>
      <w:r w:rsidR="08232F7C" w:rsidRPr="003D1E07">
        <w:rPr>
          <w:rStyle w:val="addmd"/>
        </w:rPr>
        <w:t>N</w:t>
      </w:r>
      <w:r w:rsidR="006B3623" w:rsidRPr="003D1E07">
        <w:t>áhled osvíceného intelektu (</w:t>
      </w:r>
      <w:r w:rsidR="006B3623" w:rsidRPr="003D1E07">
        <w:rPr>
          <w:i/>
        </w:rPr>
        <w:t>ilhām, illuminatio</w:t>
      </w:r>
      <w:r w:rsidR="08F45C89" w:rsidRPr="003D1E07">
        <w:t>) založil onto</w:t>
      </w:r>
      <w:r w:rsidR="006B3623" w:rsidRPr="003D1E07">
        <w:t>teologické pojetí metafyziky jako mysticko-filosofického místa zjevování jsoucna v</w:t>
      </w:r>
      <w:r w:rsidR="007F6838">
        <w:t xml:space="preserve"> jeho nutnosti a jednoduchosti. </w:t>
      </w:r>
      <w:r w:rsidR="006B2A6A">
        <w:t>D</w:t>
      </w:r>
      <w:r w:rsidR="006B2A6A" w:rsidRPr="003D1E07">
        <w:t xml:space="preserve">íky nové predikaci </w:t>
      </w:r>
      <w:r w:rsidR="006B2A6A" w:rsidRPr="003D1E07">
        <w:rPr>
          <w:i/>
        </w:rPr>
        <w:t>per prius</w:t>
      </w:r>
      <w:r w:rsidR="006B2A6A" w:rsidRPr="003D1E07">
        <w:t xml:space="preserve"> </w:t>
      </w:r>
      <w:r w:rsidR="00674881">
        <w:t>napojené na komitaci</w:t>
      </w:r>
      <w:r w:rsidR="00D43FFF">
        <w:t xml:space="preserve"> </w:t>
      </w:r>
      <w:r w:rsidR="006B2A6A" w:rsidRPr="003D1E07">
        <w:t xml:space="preserve">předchází </w:t>
      </w:r>
      <w:r w:rsidR="00D43FFF">
        <w:t xml:space="preserve">nový </w:t>
      </w:r>
      <w:r w:rsidR="007F6838">
        <w:t xml:space="preserve">smysl jsoucna </w:t>
      </w:r>
      <w:r w:rsidR="006B3623" w:rsidRPr="003D1E07">
        <w:t>všechna další určení</w:t>
      </w:r>
      <w:r w:rsidR="00674881">
        <w:t xml:space="preserve"> metafyziky</w:t>
      </w:r>
      <w:r w:rsidR="00EB71B3" w:rsidRPr="003D1E07">
        <w:fldChar w:fldCharType="begin"/>
      </w:r>
      <w:r w:rsidR="00EB71B3" w:rsidRPr="003D1E07">
        <w:instrText xml:space="preserve"> XE "komitace" </w:instrText>
      </w:r>
      <w:r w:rsidR="00EB71B3" w:rsidRPr="003D1E07">
        <w:fldChar w:fldCharType="end"/>
      </w:r>
      <w:r w:rsidR="006B3623" w:rsidRPr="003D1E07">
        <w:t xml:space="preserve">. </w:t>
      </w:r>
      <w:r w:rsidR="008B12D2" w:rsidRPr="003D1E07">
        <w:t>Neoplatonsk</w:t>
      </w:r>
      <w:r w:rsidR="001D70A9" w:rsidRPr="003D1E07">
        <w:t>é Jedno se stalo t</w:t>
      </w:r>
      <w:r w:rsidR="00D16B46" w:rsidRPr="003D1E07">
        <w:t>ělem, tedy Jednotou, která objek</w:t>
      </w:r>
      <w:r w:rsidR="001D70A9" w:rsidRPr="003D1E07">
        <w:t>tiv</w:t>
      </w:r>
      <w:r w:rsidR="00E26E7F" w:rsidRPr="003D1E07">
        <w:t xml:space="preserve">ně začala přebývat mezi námi. A </w:t>
      </w:r>
      <w:r w:rsidR="001D70A9" w:rsidRPr="003D1E07">
        <w:t xml:space="preserve">my jsme okouzleni její </w:t>
      </w:r>
      <w:r w:rsidR="00485EF9" w:rsidRPr="003D1E07">
        <w:t xml:space="preserve">epochální </w:t>
      </w:r>
      <w:r w:rsidR="00E26E7F" w:rsidRPr="003D1E07">
        <w:t xml:space="preserve">jistotou, kterou produkujeme sami v sobě </w:t>
      </w:r>
      <w:r w:rsidR="08BE08F2" w:rsidRPr="003D1E07">
        <w:t xml:space="preserve">jako novou </w:t>
      </w:r>
      <w:r w:rsidR="001D70A9" w:rsidRPr="003D1E07">
        <w:t>odkrytost bytí jsoucna</w:t>
      </w:r>
      <w:r w:rsidR="08BE08F2" w:rsidRPr="003D1E07">
        <w:t xml:space="preserve"> (</w:t>
      </w:r>
      <w:r w:rsidR="08BE08F2" w:rsidRPr="003D1E07">
        <w:rPr>
          <w:i/>
        </w:rPr>
        <w:t>alétheia</w:t>
      </w:r>
      <w:r w:rsidR="08BE08F2" w:rsidRPr="003D1E07">
        <w:t>)</w:t>
      </w:r>
      <w:r w:rsidR="001D70A9" w:rsidRPr="003D1E07">
        <w:t xml:space="preserve">. </w:t>
      </w:r>
      <w:r w:rsidR="08232F7C" w:rsidRPr="003D1E07">
        <w:rPr>
          <w:rStyle w:val="addmd"/>
        </w:rPr>
        <w:t xml:space="preserve">Západní </w:t>
      </w:r>
      <w:r w:rsidR="08232F7C" w:rsidRPr="003D1E07">
        <w:rPr>
          <w:rStyle w:val="addmd"/>
        </w:rPr>
        <w:lastRenderedPageBreak/>
        <w:t xml:space="preserve">moderna </w:t>
      </w:r>
      <w:r w:rsidR="00411B70" w:rsidRPr="003D1E07">
        <w:rPr>
          <w:rStyle w:val="addmd"/>
        </w:rPr>
        <w:t xml:space="preserve">inspirovaná Avicennovou metafyzikou </w:t>
      </w:r>
      <w:r w:rsidR="08232F7C" w:rsidRPr="003D1E07">
        <w:rPr>
          <w:rStyle w:val="addmd"/>
        </w:rPr>
        <w:t xml:space="preserve">vytvořila </w:t>
      </w:r>
      <w:r w:rsidR="089B571F" w:rsidRPr="003D1E07">
        <w:rPr>
          <w:rStyle w:val="addmd"/>
        </w:rPr>
        <w:t xml:space="preserve">novou formu </w:t>
      </w:r>
      <w:r w:rsidR="089B571F" w:rsidRPr="003D1E07">
        <w:rPr>
          <w:rStyle w:val="addmd"/>
          <w:i/>
        </w:rPr>
        <w:t>philosophia prima</w:t>
      </w:r>
      <w:r w:rsidR="089B571F" w:rsidRPr="003D1E07">
        <w:rPr>
          <w:rStyle w:val="addmd"/>
        </w:rPr>
        <w:t>, kterou známe z její postmoderní podoby Descarta</w:t>
      </w:r>
      <w:r w:rsidR="006E6202" w:rsidRPr="003D1E07">
        <w:rPr>
          <w:rStyle w:val="addmd"/>
        </w:rPr>
        <w:fldChar w:fldCharType="begin"/>
      </w:r>
      <w:r w:rsidR="006E6202" w:rsidRPr="003D1E07">
        <w:instrText xml:space="preserve"> XE "</w:instrText>
      </w:r>
      <w:r w:rsidR="006E6202" w:rsidRPr="003D1E07">
        <w:rPr>
          <w:rStyle w:val="addmd"/>
        </w:rPr>
        <w:instrText>Descartes, R.</w:instrText>
      </w:r>
      <w:r w:rsidR="006E6202" w:rsidRPr="003D1E07">
        <w:instrText xml:space="preserve">" </w:instrText>
      </w:r>
      <w:r w:rsidR="006E6202" w:rsidRPr="003D1E07">
        <w:rPr>
          <w:rStyle w:val="addmd"/>
        </w:rPr>
        <w:fldChar w:fldCharType="end"/>
      </w:r>
      <w:r w:rsidR="089B571F" w:rsidRPr="003D1E07">
        <w:rPr>
          <w:rStyle w:val="addmd"/>
        </w:rPr>
        <w:t xml:space="preserve"> a Husserla</w:t>
      </w:r>
      <w:r w:rsidR="00E75B24" w:rsidRPr="003D1E07">
        <w:rPr>
          <w:rStyle w:val="addmd"/>
        </w:rPr>
        <w:fldChar w:fldCharType="begin"/>
      </w:r>
      <w:r w:rsidR="00E75B24" w:rsidRPr="003D1E07">
        <w:instrText xml:space="preserve"> XE "Husserl, E." </w:instrText>
      </w:r>
      <w:r w:rsidR="00E75B24" w:rsidRPr="003D1E07">
        <w:rPr>
          <w:rStyle w:val="addmd"/>
        </w:rPr>
        <w:fldChar w:fldCharType="end"/>
      </w:r>
      <w:r w:rsidR="089B571F" w:rsidRPr="003D1E07">
        <w:rPr>
          <w:rStyle w:val="addmd"/>
        </w:rPr>
        <w:t>.</w:t>
      </w:r>
      <w:r w:rsidR="08E37533" w:rsidRPr="003D1E07">
        <w:rPr>
          <w:rStyle w:val="addmd"/>
        </w:rPr>
        <w:t xml:space="preserve"> </w:t>
      </w:r>
      <w:r w:rsidR="08483A3D" w:rsidRPr="003D1E07">
        <w:rPr>
          <w:rStyle w:val="FontStyle129"/>
          <w:rFonts w:ascii="Calibri" w:hAnsi="Calibri"/>
          <w:sz w:val="24"/>
        </w:rPr>
        <w:t xml:space="preserve">Avicennou tematizované </w:t>
      </w:r>
      <w:r w:rsidR="08483A3D" w:rsidRPr="003D1E07">
        <w:rPr>
          <w:rStyle w:val="FontStyle129"/>
          <w:rFonts w:ascii="Calibri" w:hAnsi="Calibri"/>
          <w:i/>
          <w:sz w:val="24"/>
        </w:rPr>
        <w:t>tertium ens</w:t>
      </w:r>
      <w:r w:rsidR="08483A3D" w:rsidRPr="003D1E07">
        <w:rPr>
          <w:rStyle w:val="FontStyle129"/>
          <w:rFonts w:ascii="Calibri" w:hAnsi="Calibri"/>
          <w:sz w:val="24"/>
        </w:rPr>
        <w:t xml:space="preserve"> se manifestuje jednak skrze novou formu </w:t>
      </w:r>
      <w:r w:rsidR="08483A3D" w:rsidRPr="003D1E07">
        <w:rPr>
          <w:rStyle w:val="FontStyle129"/>
          <w:rFonts w:ascii="Calibri" w:hAnsi="Calibri"/>
          <w:i/>
          <w:sz w:val="24"/>
        </w:rPr>
        <w:t>absolute</w:t>
      </w:r>
      <w:r w:rsidR="08483A3D" w:rsidRPr="003D1E07">
        <w:rPr>
          <w:rStyle w:val="FontStyle129"/>
          <w:rFonts w:ascii="Calibri" w:hAnsi="Calibri"/>
          <w:sz w:val="24"/>
        </w:rPr>
        <w:t xml:space="preserve"> dané substance</w:t>
      </w:r>
      <w:r w:rsidR="00A70FA4" w:rsidRPr="003D1E07">
        <w:rPr>
          <w:rStyle w:val="FontStyle129"/>
          <w:rFonts w:ascii="Calibri" w:hAnsi="Calibri"/>
          <w:sz w:val="24"/>
        </w:rPr>
        <w:fldChar w:fldCharType="begin"/>
      </w:r>
      <w:r w:rsidR="00A70FA4" w:rsidRPr="003D1E07">
        <w:instrText xml:space="preserve"> XE "substance</w:instrText>
      </w:r>
      <w:r w:rsidR="004E2BC4" w:rsidRPr="003D1E07">
        <w:instrText>:</w:instrText>
      </w:r>
      <w:r w:rsidR="004E2BC4" w:rsidRPr="003D1E07">
        <w:rPr>
          <w:i/>
        </w:rPr>
        <w:instrText>absolute</w:instrText>
      </w:r>
      <w:r w:rsidR="00A70FA4" w:rsidRPr="003D1E07">
        <w:instrText xml:space="preserve">" </w:instrText>
      </w:r>
      <w:r w:rsidR="00A70FA4" w:rsidRPr="003D1E07">
        <w:rPr>
          <w:rStyle w:val="FontStyle129"/>
          <w:rFonts w:ascii="Calibri" w:hAnsi="Calibri"/>
          <w:sz w:val="24"/>
        </w:rPr>
        <w:fldChar w:fldCharType="end"/>
      </w:r>
      <w:r w:rsidR="08483A3D" w:rsidRPr="003D1E07">
        <w:rPr>
          <w:rStyle w:val="FontStyle129"/>
          <w:rFonts w:ascii="Calibri" w:hAnsi="Calibri"/>
          <w:sz w:val="24"/>
        </w:rPr>
        <w:t xml:space="preserve"> (</w:t>
      </w:r>
      <w:r w:rsidR="08483A3D" w:rsidRPr="003D1E07">
        <w:rPr>
          <w:rStyle w:val="FontStyle129"/>
          <w:rFonts w:ascii="Calibri" w:hAnsi="Calibri"/>
          <w:i/>
          <w:sz w:val="24"/>
        </w:rPr>
        <w:t>equinitas tantum</w:t>
      </w:r>
      <w:r w:rsidR="08483A3D" w:rsidRPr="003D1E07">
        <w:rPr>
          <w:rStyle w:val="FontStyle129"/>
          <w:rFonts w:ascii="Calibri" w:hAnsi="Calibri"/>
          <w:sz w:val="24"/>
        </w:rPr>
        <w:t>)</w:t>
      </w:r>
      <w:r w:rsidR="00931A55" w:rsidRPr="003D1E07">
        <w:rPr>
          <w:rStyle w:val="FontStyle129"/>
          <w:rFonts w:ascii="Calibri" w:hAnsi="Calibri"/>
          <w:sz w:val="24"/>
        </w:rPr>
        <w:t>,</w:t>
      </w:r>
      <w:r w:rsidR="08483A3D" w:rsidRPr="003D1E07">
        <w:rPr>
          <w:rStyle w:val="FontStyle129"/>
          <w:rFonts w:ascii="Calibri" w:hAnsi="Calibri"/>
          <w:sz w:val="24"/>
        </w:rPr>
        <w:t xml:space="preserve"> a jednak skrze novou vizi celku jsoucího</w:t>
      </w:r>
      <w:r w:rsidR="00006370">
        <w:rPr>
          <w:rStyle w:val="FontStyle129"/>
          <w:rFonts w:ascii="Calibri" w:hAnsi="Calibri"/>
          <w:sz w:val="24"/>
        </w:rPr>
        <w:t xml:space="preserve"> shromážděnou v aktivním intelektu</w:t>
      </w:r>
      <w:r w:rsidR="08483A3D" w:rsidRPr="003D1E07">
        <w:rPr>
          <w:rStyle w:val="FontStyle129"/>
          <w:rFonts w:ascii="Calibri" w:hAnsi="Calibri"/>
          <w:sz w:val="24"/>
        </w:rPr>
        <w:t xml:space="preserve">. </w:t>
      </w:r>
      <w:r w:rsidR="083D5994" w:rsidRPr="003D1E07">
        <w:rPr>
          <w:rStyle w:val="FontStyle129"/>
          <w:rFonts w:ascii="Calibri" w:hAnsi="Calibri"/>
          <w:sz w:val="24"/>
        </w:rPr>
        <w:t>Avicenna našel individuum-esenci</w:t>
      </w:r>
      <w:r w:rsidR="08B81AA2" w:rsidRPr="003D1E07">
        <w:rPr>
          <w:rStyle w:val="FontStyle129"/>
          <w:rFonts w:ascii="Calibri" w:hAnsi="Calibri"/>
          <w:sz w:val="24"/>
        </w:rPr>
        <w:t xml:space="preserve"> jako novou druhou substanci. S</w:t>
      </w:r>
      <w:r w:rsidR="083D5994" w:rsidRPr="003D1E07">
        <w:rPr>
          <w:rStyle w:val="FontStyle129"/>
          <w:rFonts w:ascii="Calibri" w:hAnsi="Calibri"/>
          <w:sz w:val="24"/>
        </w:rPr>
        <w:t xml:space="preserve">krze komitaci posledního dále nedělitelného významu </w:t>
      </w:r>
      <w:r w:rsidR="08B81AA2" w:rsidRPr="003D1E07">
        <w:rPr>
          <w:rStyle w:val="FontStyle129"/>
          <w:rFonts w:ascii="Calibri" w:hAnsi="Calibri"/>
          <w:sz w:val="24"/>
        </w:rPr>
        <w:t xml:space="preserve">objektivně dané „druhé substance“ vznikla </w:t>
      </w:r>
      <w:r w:rsidR="083D5994" w:rsidRPr="003D1E07">
        <w:rPr>
          <w:rStyle w:val="FontStyle129"/>
          <w:rFonts w:ascii="Calibri" w:hAnsi="Calibri"/>
          <w:sz w:val="24"/>
        </w:rPr>
        <w:t>nov</w:t>
      </w:r>
      <w:r w:rsidR="08B81AA2" w:rsidRPr="003D1E07">
        <w:rPr>
          <w:rStyle w:val="FontStyle129"/>
          <w:rFonts w:ascii="Calibri" w:hAnsi="Calibri"/>
          <w:sz w:val="24"/>
        </w:rPr>
        <w:t>á</w:t>
      </w:r>
      <w:r w:rsidR="083D5994" w:rsidRPr="003D1E07">
        <w:rPr>
          <w:rStyle w:val="FontStyle129"/>
          <w:rFonts w:ascii="Calibri" w:hAnsi="Calibri"/>
          <w:sz w:val="24"/>
        </w:rPr>
        <w:t xml:space="preserve"> </w:t>
      </w:r>
      <w:r w:rsidR="08B81AA2" w:rsidRPr="003D1E07">
        <w:rPr>
          <w:rStyle w:val="FontStyle129"/>
          <w:rFonts w:ascii="Calibri" w:hAnsi="Calibri"/>
          <w:sz w:val="24"/>
        </w:rPr>
        <w:t xml:space="preserve">pseudo-aristotelská kategoriální </w:t>
      </w:r>
      <w:r w:rsidR="083D5994" w:rsidRPr="003D1E07">
        <w:rPr>
          <w:rStyle w:val="FontStyle129"/>
          <w:rFonts w:ascii="Calibri" w:hAnsi="Calibri"/>
          <w:sz w:val="24"/>
        </w:rPr>
        <w:t>predikac</w:t>
      </w:r>
      <w:r w:rsidR="08B81AA2" w:rsidRPr="003D1E07">
        <w:rPr>
          <w:rStyle w:val="FontStyle129"/>
          <w:rFonts w:ascii="Calibri" w:hAnsi="Calibri"/>
          <w:sz w:val="24"/>
        </w:rPr>
        <w:t>e</w:t>
      </w:r>
      <w:r w:rsidR="084C7D62" w:rsidRPr="003D1E07">
        <w:rPr>
          <w:rStyle w:val="FontStyle129"/>
          <w:rFonts w:ascii="Calibri" w:hAnsi="Calibri"/>
          <w:sz w:val="24"/>
        </w:rPr>
        <w:t xml:space="preserve">, která </w:t>
      </w:r>
      <w:r w:rsidR="08B81AA2" w:rsidRPr="003D1E07">
        <w:rPr>
          <w:rStyle w:val="FontStyle129"/>
          <w:rFonts w:ascii="Calibri" w:hAnsi="Calibri"/>
          <w:sz w:val="24"/>
        </w:rPr>
        <w:t xml:space="preserve">založila </w:t>
      </w:r>
      <w:r w:rsidR="083D5994" w:rsidRPr="003D1E07">
        <w:rPr>
          <w:rStyle w:val="FontStyle129"/>
          <w:rFonts w:ascii="Calibri" w:hAnsi="Calibri"/>
          <w:sz w:val="24"/>
        </w:rPr>
        <w:t>nové určení první filosofie. Určení metafyziky dostalo</w:t>
      </w:r>
      <w:r w:rsidR="08483A3D" w:rsidRPr="003D1E07">
        <w:rPr>
          <w:rStyle w:val="FontStyle129"/>
          <w:rFonts w:ascii="Calibri" w:hAnsi="Calibri"/>
          <w:sz w:val="24"/>
        </w:rPr>
        <w:t xml:space="preserve"> novou podobu, která jen částečně navazuje na aristotelskou tradici hledání první vědy</w:t>
      </w:r>
      <w:r w:rsidR="00542D12" w:rsidRPr="003D1E07">
        <w:fldChar w:fldCharType="begin"/>
      </w:r>
      <w:r w:rsidR="00542D12" w:rsidRPr="003D1E07">
        <w:instrText xml:space="preserve"> XE "metafyzika:první věda" </w:instrText>
      </w:r>
      <w:r w:rsidR="00542D12" w:rsidRPr="003D1E07">
        <w:fldChar w:fldCharType="end"/>
      </w:r>
      <w:r w:rsidR="08483A3D" w:rsidRPr="003D1E07">
        <w:rPr>
          <w:rStyle w:val="FontStyle129"/>
          <w:rFonts w:ascii="Calibri" w:hAnsi="Calibri"/>
          <w:sz w:val="24"/>
        </w:rPr>
        <w:t xml:space="preserve">. </w:t>
      </w:r>
    </w:p>
    <w:p w14:paraId="57638825" w14:textId="62921C5C" w:rsidR="08483A3D" w:rsidRPr="003D1E07" w:rsidRDefault="08483A3D" w:rsidP="08483A3D">
      <w:pPr>
        <w:pStyle w:val="Citace"/>
        <w:rPr>
          <w:noProof/>
          <w:lang w:val="cs-CZ"/>
        </w:rPr>
      </w:pPr>
      <w:r w:rsidRPr="003D1E07">
        <w:rPr>
          <w:rStyle w:val="FontStyle129"/>
          <w:rFonts w:ascii="Calibri" w:hAnsi="Calibri"/>
          <w:noProof/>
          <w:sz w:val="24"/>
          <w:lang w:val="cs-CZ"/>
        </w:rPr>
        <w:t>„</w:t>
      </w:r>
      <w:r w:rsidRPr="003D1E07">
        <w:rPr>
          <w:noProof/>
          <w:lang w:val="cs-CZ"/>
        </w:rPr>
        <w:t>Prvním předmětem této vědy je jsoucno</w:t>
      </w:r>
      <w:r w:rsidR="0007072D" w:rsidRPr="003D1E07">
        <w:rPr>
          <w:noProof/>
          <w:lang w:val="cs-CZ"/>
        </w:rPr>
        <w:t xml:space="preserve"> (</w:t>
      </w:r>
      <w:r w:rsidR="0007072D" w:rsidRPr="003D1E07">
        <w:rPr>
          <w:i/>
          <w:lang w:val="cs-CZ"/>
        </w:rPr>
        <w:t>primum subiectum huius scientiae est ens</w:t>
      </w:r>
      <w:r w:rsidR="0007072D" w:rsidRPr="003D1E07">
        <w:rPr>
          <w:noProof/>
          <w:lang w:val="cs-CZ"/>
        </w:rPr>
        <w:t xml:space="preserve">). A </w:t>
      </w:r>
      <w:r w:rsidRPr="003D1E07">
        <w:rPr>
          <w:noProof/>
          <w:lang w:val="cs-CZ"/>
        </w:rPr>
        <w:t xml:space="preserve">to, co </w:t>
      </w:r>
      <w:r w:rsidR="00BE07FC" w:rsidRPr="003D1E07">
        <w:rPr>
          <w:noProof/>
          <w:lang w:val="cs-CZ"/>
        </w:rPr>
        <w:t xml:space="preserve">tato </w:t>
      </w:r>
      <w:r w:rsidR="0007072D" w:rsidRPr="003D1E07">
        <w:rPr>
          <w:noProof/>
          <w:lang w:val="cs-CZ"/>
        </w:rPr>
        <w:t xml:space="preserve">první věda </w:t>
      </w:r>
      <w:r w:rsidRPr="003D1E07">
        <w:rPr>
          <w:noProof/>
          <w:lang w:val="cs-CZ"/>
        </w:rPr>
        <w:t xml:space="preserve">hledá, jsou </w:t>
      </w:r>
      <w:r w:rsidR="00A70221">
        <w:rPr>
          <w:rFonts w:cs="Calibri"/>
          <w:lang w:val="de-LU"/>
        </w:rPr>
        <w:t>[objektivní]</w:t>
      </w:r>
      <w:r w:rsidR="00A70221">
        <w:rPr>
          <w:lang w:val="de-LU"/>
        </w:rPr>
        <w:t xml:space="preserve"> </w:t>
      </w:r>
      <w:r w:rsidRPr="003D1E07">
        <w:rPr>
          <w:noProof/>
          <w:lang w:val="cs-CZ"/>
        </w:rPr>
        <w:t>důsledky bytí jsoucna</w:t>
      </w:r>
      <w:r w:rsidR="002D1710" w:rsidRPr="003D1E07">
        <w:rPr>
          <w:noProof/>
          <w:lang w:val="cs-CZ"/>
        </w:rPr>
        <w:t xml:space="preserve"> (</w:t>
      </w:r>
      <w:r w:rsidR="002D1710" w:rsidRPr="003D1E07">
        <w:rPr>
          <w:i/>
          <w:lang w:val="cs-CZ"/>
        </w:rPr>
        <w:t>consequentia ens</w:t>
      </w:r>
      <w:r w:rsidR="002D1710" w:rsidRPr="003D1E07">
        <w:rPr>
          <w:noProof/>
          <w:lang w:val="cs-CZ"/>
        </w:rPr>
        <w:t>)</w:t>
      </w:r>
      <w:r w:rsidR="00BE07FC" w:rsidRPr="003D1E07">
        <w:rPr>
          <w:noProof/>
          <w:lang w:val="cs-CZ"/>
        </w:rPr>
        <w:t>,</w:t>
      </w:r>
      <w:r w:rsidRPr="003D1E07">
        <w:rPr>
          <w:noProof/>
          <w:lang w:val="cs-CZ"/>
        </w:rPr>
        <w:t xml:space="preserve"> nakolik je jsoucí</w:t>
      </w:r>
      <w:r w:rsidR="00EE509C">
        <w:rPr>
          <w:noProof/>
          <w:lang w:val="cs-CZ"/>
        </w:rPr>
        <w:t xml:space="preserve"> o sobě</w:t>
      </w:r>
      <w:r w:rsidRPr="003D1E07">
        <w:rPr>
          <w:noProof/>
          <w:lang w:val="cs-CZ"/>
        </w:rPr>
        <w:t>, bez jakýchkoliv určení</w:t>
      </w:r>
      <w:r w:rsidR="0007072D" w:rsidRPr="003D1E07">
        <w:rPr>
          <w:noProof/>
          <w:lang w:val="cs-CZ"/>
        </w:rPr>
        <w:t xml:space="preserve"> (</w:t>
      </w:r>
      <w:r w:rsidR="0007072D" w:rsidRPr="003D1E07">
        <w:rPr>
          <w:i/>
          <w:lang w:val="cs-CZ"/>
        </w:rPr>
        <w:t>inquantum est ens, sine conditione</w:t>
      </w:r>
      <w:r w:rsidR="0007072D" w:rsidRPr="003D1E07">
        <w:rPr>
          <w:noProof/>
          <w:lang w:val="cs-CZ"/>
        </w:rPr>
        <w:t>)</w:t>
      </w:r>
      <w:r w:rsidRPr="003D1E07">
        <w:rPr>
          <w:noProof/>
          <w:lang w:val="cs-CZ"/>
        </w:rPr>
        <w:t xml:space="preserve">.“ </w:t>
      </w:r>
      <w:r w:rsidRPr="003D1E07">
        <w:rPr>
          <w:rStyle w:val="Znakapoznpodarou"/>
          <w:noProof/>
          <w:lang w:val="cs-CZ"/>
        </w:rPr>
        <w:footnoteReference w:id="157"/>
      </w:r>
    </w:p>
    <w:p w14:paraId="206AD740" w14:textId="630820CA" w:rsidR="006B3623" w:rsidRPr="003D1E07" w:rsidRDefault="08955F1A" w:rsidP="00EC33E7">
      <w:r w:rsidRPr="003D1E07">
        <w:rPr>
          <w:rStyle w:val="FontStyle129"/>
          <w:rFonts w:ascii="Calibri" w:hAnsi="Calibri"/>
          <w:sz w:val="24"/>
        </w:rPr>
        <w:t>Nová metafyzika chápe jsoucno v jeho čisté jsoucnosti, jak se</w:t>
      </w:r>
      <w:r w:rsidR="08534C2E" w:rsidRPr="003D1E07">
        <w:rPr>
          <w:rStyle w:val="FontStyle129"/>
          <w:rFonts w:ascii="Calibri" w:hAnsi="Calibri"/>
          <w:sz w:val="24"/>
        </w:rPr>
        <w:t xml:space="preserve"> zjevuje v nové formě náhledu  v rámci denudace a komitace </w:t>
      </w:r>
      <w:r w:rsidRPr="003D1E07">
        <w:rPr>
          <w:rStyle w:val="FontStyle129"/>
          <w:rFonts w:ascii="Calibri" w:hAnsi="Calibri"/>
          <w:sz w:val="24"/>
        </w:rPr>
        <w:t>(</w:t>
      </w:r>
      <w:r w:rsidRPr="003D1E07">
        <w:rPr>
          <w:rStyle w:val="FontStyle129"/>
          <w:rFonts w:ascii="Calibri" w:hAnsi="Calibri"/>
          <w:i/>
          <w:sz w:val="24"/>
        </w:rPr>
        <w:t>ens inquantum ens</w:t>
      </w:r>
      <w:r w:rsidRPr="003D1E07">
        <w:rPr>
          <w:rStyle w:val="FontStyle129"/>
          <w:rFonts w:ascii="Calibri" w:hAnsi="Calibri"/>
          <w:sz w:val="24"/>
        </w:rPr>
        <w:t xml:space="preserve">). Toto nové bytí jsoucna třetího druhu je dáno v bezpodmínečně nutném modu </w:t>
      </w:r>
      <w:r w:rsidRPr="003D1E07">
        <w:rPr>
          <w:rStyle w:val="FontStyle129"/>
          <w:rFonts w:ascii="Calibri" w:hAnsi="Calibri"/>
          <w:i/>
          <w:sz w:val="24"/>
        </w:rPr>
        <w:t>sine conditione</w:t>
      </w:r>
      <w:r w:rsidRPr="003D1E07">
        <w:rPr>
          <w:rStyle w:val="FontStyle129"/>
          <w:rFonts w:ascii="Calibri" w:hAnsi="Calibri"/>
          <w:sz w:val="24"/>
        </w:rPr>
        <w:t xml:space="preserve">, tj. mimo původní spor </w:t>
      </w:r>
      <w:r w:rsidRPr="003D1E07">
        <w:rPr>
          <w:rStyle w:val="FontStyle129"/>
          <w:rFonts w:ascii="Calibri" w:hAnsi="Calibri"/>
          <w:i/>
          <w:sz w:val="24"/>
        </w:rPr>
        <w:t>Kategorií</w:t>
      </w:r>
      <w:r w:rsidRPr="003D1E07">
        <w:rPr>
          <w:rStyle w:val="FontStyle129"/>
          <w:rFonts w:ascii="Calibri" w:hAnsi="Calibri"/>
          <w:sz w:val="24"/>
        </w:rPr>
        <w:t xml:space="preserve"> o první a druhou substanci. </w:t>
      </w:r>
      <w:r w:rsidR="00E11E42" w:rsidRPr="003D1E07">
        <w:rPr>
          <w:rStyle w:val="FontStyle129"/>
          <w:rFonts w:ascii="Calibri" w:hAnsi="Calibri"/>
          <w:sz w:val="24"/>
        </w:rPr>
        <w:t xml:space="preserve">Avicennova </w:t>
      </w:r>
      <w:r w:rsidR="000776D7" w:rsidRPr="003D1E07">
        <w:rPr>
          <w:rStyle w:val="FontStyle129"/>
          <w:rFonts w:ascii="Calibri" w:hAnsi="Calibri"/>
          <w:sz w:val="24"/>
        </w:rPr>
        <w:t xml:space="preserve">definice metafyziky je ve skutečnosti skrytou formou </w:t>
      </w:r>
      <w:r w:rsidR="00874074" w:rsidRPr="003D1E07">
        <w:rPr>
          <w:rStyle w:val="FontStyle129"/>
          <w:rFonts w:ascii="Calibri" w:hAnsi="Calibri"/>
          <w:sz w:val="24"/>
        </w:rPr>
        <w:t>neoplatonsk</w:t>
      </w:r>
      <w:r w:rsidR="000776D7" w:rsidRPr="003D1E07">
        <w:rPr>
          <w:rStyle w:val="FontStyle129"/>
          <w:rFonts w:ascii="Calibri" w:hAnsi="Calibri"/>
          <w:sz w:val="24"/>
        </w:rPr>
        <w:t xml:space="preserve">é dedukce od Jednoho, což </w:t>
      </w:r>
      <w:r w:rsidR="00835EFF" w:rsidRPr="003D1E07">
        <w:rPr>
          <w:rStyle w:val="FontStyle129"/>
          <w:rFonts w:ascii="Calibri" w:hAnsi="Calibri"/>
          <w:sz w:val="24"/>
        </w:rPr>
        <w:t>ve falsaf</w:t>
      </w:r>
      <w:r w:rsidR="00E11E42" w:rsidRPr="003D1E07">
        <w:rPr>
          <w:rStyle w:val="FontStyle129"/>
          <w:rFonts w:ascii="Calibri" w:hAnsi="Calibri"/>
          <w:sz w:val="24"/>
        </w:rPr>
        <w:t>ě zá</w:t>
      </w:r>
      <w:r w:rsidR="00835EFF" w:rsidRPr="003D1E07">
        <w:rPr>
          <w:rStyle w:val="FontStyle129"/>
          <w:rFonts w:ascii="Calibri" w:hAnsi="Calibri"/>
          <w:sz w:val="24"/>
        </w:rPr>
        <w:t>s</w:t>
      </w:r>
      <w:r w:rsidR="00E11E42" w:rsidRPr="003D1E07">
        <w:rPr>
          <w:rStyle w:val="FontStyle129"/>
          <w:rFonts w:ascii="Calibri" w:hAnsi="Calibri"/>
          <w:sz w:val="24"/>
        </w:rPr>
        <w:t>adně odmítl</w:t>
      </w:r>
      <w:r w:rsidR="00835EFF" w:rsidRPr="003D1E07">
        <w:rPr>
          <w:rStyle w:val="FontStyle129"/>
          <w:rFonts w:ascii="Calibri" w:hAnsi="Calibri"/>
          <w:sz w:val="24"/>
        </w:rPr>
        <w:t>i</w:t>
      </w:r>
      <w:r w:rsidR="083E1BE0" w:rsidRPr="003D1E07">
        <w:rPr>
          <w:rStyle w:val="FontStyle129"/>
          <w:rFonts w:ascii="Calibri" w:hAnsi="Calibri"/>
          <w:sz w:val="24"/>
        </w:rPr>
        <w:t xml:space="preserve"> Al-</w:t>
      </w:r>
      <w:r w:rsidR="08B4042F" w:rsidRPr="003D1E07">
        <w:rPr>
          <w:rStyle w:val="FontStyle129"/>
          <w:rFonts w:ascii="Calibri" w:hAnsi="Calibri"/>
          <w:sz w:val="24"/>
        </w:rPr>
        <w:t>Ghazál</w:t>
      </w:r>
      <w:r w:rsidR="080319F1" w:rsidRPr="003D1E07">
        <w:rPr>
          <w:rStyle w:val="FontStyle129"/>
          <w:rFonts w:ascii="Calibri" w:hAnsi="Calibri"/>
          <w:sz w:val="24"/>
        </w:rPr>
        <w:t>í</w:t>
      </w:r>
      <w:r w:rsidR="08B4042F" w:rsidRPr="003D1E07">
        <w:rPr>
          <w:rStyle w:val="FontStyle129"/>
          <w:rFonts w:ascii="Calibri" w:hAnsi="Calibri"/>
          <w:sz w:val="24"/>
        </w:rPr>
        <w:t xml:space="preserve"> </w:t>
      </w:r>
      <w:r w:rsidR="001507D0" w:rsidRPr="003D1E07">
        <w:rPr>
          <w:rStyle w:val="FontStyle129"/>
          <w:rFonts w:ascii="Calibri" w:hAnsi="Calibri"/>
          <w:sz w:val="24"/>
        </w:rPr>
        <w:fldChar w:fldCharType="begin"/>
      </w:r>
      <w:r w:rsidR="001507D0" w:rsidRPr="003D1E07">
        <w:instrText xml:space="preserve"> XE "</w:instrText>
      </w:r>
      <w:r w:rsidR="001507D0" w:rsidRPr="003D1E07">
        <w:rPr>
          <w:rStyle w:val="FontStyle129"/>
          <w:rFonts w:ascii="Calibri" w:hAnsi="Calibri"/>
          <w:sz w:val="24"/>
        </w:rPr>
        <w:instrText>Al-Ghazálí</w:instrText>
      </w:r>
      <w:r w:rsidR="001507D0" w:rsidRPr="003D1E07">
        <w:instrText xml:space="preserve">" </w:instrText>
      </w:r>
      <w:r w:rsidR="001507D0" w:rsidRPr="003D1E07">
        <w:rPr>
          <w:rStyle w:val="FontStyle129"/>
          <w:rFonts w:ascii="Calibri" w:hAnsi="Calibri"/>
          <w:sz w:val="24"/>
        </w:rPr>
        <w:fldChar w:fldCharType="end"/>
      </w:r>
      <w:r w:rsidR="00835EFF" w:rsidRPr="003D1E07">
        <w:rPr>
          <w:rStyle w:val="FontStyle129"/>
          <w:rFonts w:ascii="Calibri" w:hAnsi="Calibri"/>
          <w:sz w:val="24"/>
        </w:rPr>
        <w:t xml:space="preserve"> </w:t>
      </w:r>
      <w:r w:rsidR="08B4042F" w:rsidRPr="003D1E07">
        <w:rPr>
          <w:rStyle w:val="FontStyle129"/>
          <w:rFonts w:ascii="Calibri" w:hAnsi="Calibri"/>
          <w:sz w:val="24"/>
        </w:rPr>
        <w:t xml:space="preserve">a </w:t>
      </w:r>
      <w:r w:rsidR="002E3B62" w:rsidRPr="003D1E07">
        <w:rPr>
          <w:rStyle w:val="FontStyle129"/>
          <w:rFonts w:ascii="Calibri" w:hAnsi="Calibri"/>
          <w:sz w:val="24"/>
        </w:rPr>
        <w:t>Averroes</w:t>
      </w:r>
      <w:r w:rsidR="00E11E42" w:rsidRPr="003D1E07">
        <w:rPr>
          <w:rStyle w:val="FontStyle129"/>
          <w:rFonts w:ascii="Calibri" w:hAnsi="Calibri"/>
          <w:sz w:val="24"/>
        </w:rPr>
        <w:t xml:space="preserve">. </w:t>
      </w:r>
      <w:r w:rsidR="084C7D62" w:rsidRPr="003D1E07">
        <w:rPr>
          <w:rStyle w:val="FontStyle129"/>
          <w:rFonts w:ascii="Calibri" w:hAnsi="Calibri"/>
          <w:sz w:val="24"/>
        </w:rPr>
        <w:t>N</w:t>
      </w:r>
      <w:r w:rsidR="00E11E42" w:rsidRPr="003D1E07">
        <w:rPr>
          <w:rStyle w:val="FontStyle129"/>
          <w:rFonts w:ascii="Calibri" w:hAnsi="Calibri"/>
          <w:sz w:val="24"/>
        </w:rPr>
        <w:t xml:space="preserve">a latinském Západě tuto dedukci </w:t>
      </w:r>
      <w:r w:rsidR="009B7767" w:rsidRPr="003D1E07">
        <w:rPr>
          <w:rStyle w:val="FontStyle129"/>
          <w:rFonts w:ascii="Calibri" w:hAnsi="Calibri"/>
          <w:sz w:val="24"/>
        </w:rPr>
        <w:t>tematizoval</w:t>
      </w:r>
      <w:r w:rsidR="08F422BF" w:rsidRPr="003D1E07">
        <w:rPr>
          <w:rStyle w:val="FontStyle129"/>
          <w:rFonts w:ascii="Calibri" w:hAnsi="Calibri"/>
          <w:sz w:val="24"/>
        </w:rPr>
        <w:t>a škola druhé</w:t>
      </w:r>
      <w:r w:rsidR="084C7D62" w:rsidRPr="003D1E07">
        <w:rPr>
          <w:rStyle w:val="FontStyle129"/>
          <w:rFonts w:ascii="Calibri" w:hAnsi="Calibri"/>
          <w:sz w:val="24"/>
        </w:rPr>
        <w:t>ho</w:t>
      </w:r>
      <w:r w:rsidR="08F422BF" w:rsidRPr="003D1E07">
        <w:rPr>
          <w:rStyle w:val="FontStyle129"/>
          <w:rFonts w:ascii="Calibri" w:hAnsi="Calibri"/>
          <w:sz w:val="24"/>
        </w:rPr>
        <w:t xml:space="preserve"> averroismu a </w:t>
      </w:r>
      <w:r w:rsidR="009B7767" w:rsidRPr="003D1E07">
        <w:rPr>
          <w:rStyle w:val="FontStyle129"/>
          <w:rFonts w:ascii="Calibri" w:hAnsi="Calibri"/>
          <w:sz w:val="24"/>
        </w:rPr>
        <w:t xml:space="preserve">první moderní metafyzik </w:t>
      </w:r>
      <w:r w:rsidR="000776D7" w:rsidRPr="003D1E07">
        <w:rPr>
          <w:rStyle w:val="FontStyle129"/>
          <w:rFonts w:ascii="Calibri" w:hAnsi="Calibri"/>
          <w:sz w:val="24"/>
        </w:rPr>
        <w:t>Duns Scotus</w:t>
      </w:r>
      <w:r w:rsidR="0007319B" w:rsidRPr="003D1E07">
        <w:rPr>
          <w:rStyle w:val="FontStyle129"/>
          <w:rFonts w:ascii="Calibri" w:hAnsi="Calibri"/>
          <w:sz w:val="24"/>
        </w:rPr>
        <w:t xml:space="preserve">. </w:t>
      </w:r>
      <w:r w:rsidR="006B3623" w:rsidRPr="003D1E07">
        <w:t>Následující citát ukazuje dějiné možnos</w:t>
      </w:r>
      <w:r w:rsidR="08CF7AFB" w:rsidRPr="003D1E07">
        <w:t>ti</w:t>
      </w:r>
      <w:r w:rsidR="08791B2F" w:rsidRPr="003D1E07">
        <w:t xml:space="preserve"> nového metafyzického rozvrhu. J</w:t>
      </w:r>
      <w:r w:rsidR="08CF7AFB" w:rsidRPr="003D1E07">
        <w:t xml:space="preserve">eho jádro tvoří nová forma </w:t>
      </w:r>
      <w:r w:rsidR="08CF7AFB" w:rsidRPr="003D1E07">
        <w:rPr>
          <w:i/>
        </w:rPr>
        <w:t>tertium ens</w:t>
      </w:r>
      <w:r w:rsidR="003F16A5" w:rsidRPr="003D1E07">
        <w:rPr>
          <w:i/>
        </w:rPr>
        <w:fldChar w:fldCharType="begin"/>
      </w:r>
      <w:r w:rsidR="003F16A5" w:rsidRPr="003D1E07">
        <w:instrText xml:space="preserve"> XE "</w:instrText>
      </w:r>
      <w:r w:rsidR="003F16A5" w:rsidRPr="003D1E07">
        <w:rPr>
          <w:rStyle w:val="Zvraznn"/>
        </w:rPr>
        <w:instrText>tertium ens</w:instrText>
      </w:r>
      <w:r w:rsidR="0051245C" w:rsidRPr="003D1E07">
        <w:rPr>
          <w:rStyle w:val="Zvraznn"/>
          <w:i w:val="0"/>
        </w:rPr>
        <w:instrText>:Avicenna</w:instrText>
      </w:r>
      <w:r w:rsidR="003F16A5" w:rsidRPr="003D1E07">
        <w:instrText xml:space="preserve">" </w:instrText>
      </w:r>
      <w:r w:rsidR="003F16A5" w:rsidRPr="003D1E07">
        <w:rPr>
          <w:i/>
        </w:rPr>
        <w:fldChar w:fldCharType="end"/>
      </w:r>
      <w:r w:rsidR="084E58E0" w:rsidRPr="003D1E07">
        <w:t>. Eidetický náhled</w:t>
      </w:r>
      <w:r w:rsidR="08DD4460" w:rsidRPr="003D1E07">
        <w:t xml:space="preserve"> prvního objektivně vidoucího ilumináta Západu</w:t>
      </w:r>
      <w:r w:rsidR="084E58E0" w:rsidRPr="003D1E07">
        <w:t xml:space="preserve"> „vidí“ novou substanci</w:t>
      </w:r>
      <w:r w:rsidR="08DD4460" w:rsidRPr="003D1E07">
        <w:t xml:space="preserve">. </w:t>
      </w:r>
    </w:p>
    <w:p w14:paraId="3DD063A1" w14:textId="551A7151" w:rsidR="0809437A" w:rsidRPr="003D1E07" w:rsidRDefault="006B3623" w:rsidP="00393E21">
      <w:pPr>
        <w:pStyle w:val="Citace"/>
        <w:rPr>
          <w:rStyle w:val="FontStyle129"/>
          <w:rFonts w:ascii="Calibri" w:hAnsi="Calibri"/>
          <w:sz w:val="22"/>
          <w:lang w:val="cs-CZ"/>
        </w:rPr>
      </w:pPr>
      <w:r w:rsidRPr="003D1E07">
        <w:rPr>
          <w:rStyle w:val="FontStyle129"/>
          <w:rFonts w:ascii="Calibri" w:hAnsi="Calibri"/>
          <w:noProof/>
          <w:sz w:val="21"/>
          <w:lang w:val="cs-CZ"/>
        </w:rPr>
        <w:t xml:space="preserve"> </w:t>
      </w:r>
      <w:r w:rsidRPr="003D1E07">
        <w:rPr>
          <w:rStyle w:val="FontStyle129"/>
          <w:rFonts w:ascii="Calibri" w:hAnsi="Calibri"/>
          <w:sz w:val="22"/>
          <w:lang w:val="cs-CZ"/>
        </w:rPr>
        <w:t>„</w:t>
      </w:r>
      <w:r w:rsidR="00F121D4" w:rsidRPr="003D1E07">
        <w:rPr>
          <w:rStyle w:val="FontStyle129"/>
          <w:rFonts w:ascii="Calibri" w:hAnsi="Calibri"/>
          <w:sz w:val="22"/>
          <w:lang w:val="cs-CZ"/>
        </w:rPr>
        <w:t xml:space="preserve">Z </w:t>
      </w:r>
      <w:r w:rsidR="08255890" w:rsidRPr="003D1E07">
        <w:rPr>
          <w:rStyle w:val="FontStyle129"/>
          <w:rFonts w:ascii="Calibri" w:hAnsi="Calibri"/>
          <w:sz w:val="22"/>
          <w:lang w:val="cs-CZ"/>
        </w:rPr>
        <w:t xml:space="preserve">tohoto bytí není ani rod, ani </w:t>
      </w:r>
      <w:r w:rsidR="00F214C5" w:rsidRPr="003D1E07">
        <w:rPr>
          <w:rStyle w:val="FontStyle129"/>
          <w:rFonts w:ascii="Calibri" w:hAnsi="Calibri"/>
          <w:sz w:val="22"/>
          <w:lang w:val="cs-CZ"/>
        </w:rPr>
        <w:t>species</w:t>
      </w:r>
      <w:r w:rsidR="08255890" w:rsidRPr="003D1E07">
        <w:rPr>
          <w:rStyle w:val="FontStyle129"/>
          <w:rFonts w:ascii="Calibri" w:hAnsi="Calibri"/>
          <w:sz w:val="22"/>
          <w:lang w:val="cs-CZ"/>
        </w:rPr>
        <w:t>, ani jednotlivina, ani jedno, ani mnohé; ale z tohoto bytí je živočich jako takový a člověk jako takový</w:t>
      </w:r>
      <w:r w:rsidR="08D8441C" w:rsidRPr="003D1E07">
        <w:rPr>
          <w:rStyle w:val="FontStyle129"/>
          <w:rFonts w:ascii="Calibri" w:hAnsi="Calibri"/>
          <w:sz w:val="22"/>
          <w:lang w:val="cs-CZ"/>
        </w:rPr>
        <w:t xml:space="preserve"> (</w:t>
      </w:r>
      <w:r w:rsidR="08D8441C" w:rsidRPr="003D1E07">
        <w:rPr>
          <w:rStyle w:val="FontStyle129"/>
          <w:rFonts w:ascii="Calibri" w:hAnsi="Calibri"/>
          <w:i/>
          <w:sz w:val="22"/>
          <w:lang w:val="cs-CZ"/>
        </w:rPr>
        <w:t>ex hoc esse est tantum animal et tantum homo</w:t>
      </w:r>
      <w:r w:rsidR="08D8441C" w:rsidRPr="003D1E07">
        <w:rPr>
          <w:rStyle w:val="FontStyle129"/>
          <w:rFonts w:ascii="Calibri" w:hAnsi="Calibri"/>
          <w:sz w:val="22"/>
          <w:lang w:val="cs-CZ"/>
        </w:rPr>
        <w:t>)</w:t>
      </w:r>
      <w:r w:rsidR="08255890" w:rsidRPr="003D1E07">
        <w:rPr>
          <w:rStyle w:val="FontStyle129"/>
          <w:rFonts w:ascii="Calibri" w:hAnsi="Calibri"/>
          <w:sz w:val="22"/>
          <w:lang w:val="cs-CZ"/>
        </w:rPr>
        <w:t xml:space="preserve">. Ale člověku se samozřejmě přičítá </w:t>
      </w:r>
      <w:r w:rsidR="08F422BF" w:rsidRPr="003D1E07">
        <w:rPr>
          <w:rStyle w:val="FontStyle129"/>
          <w:rFonts w:ascii="Calibri" w:hAnsi="Calibri"/>
          <w:sz w:val="22"/>
          <w:lang w:val="cs-CZ"/>
        </w:rPr>
        <w:t xml:space="preserve">reálné </w:t>
      </w:r>
      <w:r w:rsidR="08255890" w:rsidRPr="003D1E07">
        <w:rPr>
          <w:rStyle w:val="FontStyle129"/>
          <w:rFonts w:ascii="Calibri" w:hAnsi="Calibri"/>
          <w:sz w:val="22"/>
          <w:lang w:val="cs-CZ"/>
        </w:rPr>
        <w:t>bytí jako jednotlivině nebo obecnině</w:t>
      </w:r>
      <w:r w:rsidR="00410A34" w:rsidRPr="003D1E07">
        <w:rPr>
          <w:rStyle w:val="FontStyle129"/>
          <w:rFonts w:ascii="Calibri" w:hAnsi="Calibri"/>
          <w:sz w:val="22"/>
          <w:lang w:val="cs-CZ"/>
        </w:rPr>
        <w:t xml:space="preserve"> (</w:t>
      </w:r>
      <w:r w:rsidR="00410A34" w:rsidRPr="003D1E07">
        <w:rPr>
          <w:rStyle w:val="FontStyle129"/>
          <w:rFonts w:ascii="Calibri" w:hAnsi="Calibri"/>
          <w:i/>
          <w:sz w:val="22"/>
          <w:lang w:val="cs-CZ"/>
        </w:rPr>
        <w:t>comitatur illud sine dubio</w:t>
      </w:r>
      <w:r w:rsidR="00410A34" w:rsidRPr="003D1E07">
        <w:rPr>
          <w:rStyle w:val="FontStyle129"/>
          <w:rFonts w:ascii="Calibri" w:hAnsi="Calibri"/>
          <w:i/>
          <w:sz w:val="22"/>
          <w:szCs w:val="20"/>
          <w:lang w:val="cs-CZ"/>
        </w:rPr>
        <w:t xml:space="preserve"> </w:t>
      </w:r>
      <w:r w:rsidR="00410A34" w:rsidRPr="003D1E07">
        <w:rPr>
          <w:rStyle w:val="FontStyle129"/>
          <w:rFonts w:ascii="Calibri" w:hAnsi="Calibri"/>
          <w:i/>
          <w:sz w:val="22"/>
          <w:lang w:val="cs-CZ"/>
        </w:rPr>
        <w:t>esse unum vel multa</w:t>
      </w:r>
      <w:r w:rsidR="00410A34" w:rsidRPr="003D1E07">
        <w:rPr>
          <w:rStyle w:val="FontStyle129"/>
          <w:rFonts w:ascii="Calibri" w:hAnsi="Calibri"/>
          <w:sz w:val="22"/>
          <w:lang w:val="cs-CZ"/>
        </w:rPr>
        <w:t>)</w:t>
      </w:r>
      <w:r w:rsidR="08255890" w:rsidRPr="003D1E07">
        <w:rPr>
          <w:rStyle w:val="FontStyle129"/>
          <w:rFonts w:ascii="Calibri" w:hAnsi="Calibri"/>
          <w:sz w:val="22"/>
          <w:lang w:val="cs-CZ"/>
        </w:rPr>
        <w:t xml:space="preserve">, protože není možné, aby bytí </w:t>
      </w:r>
      <w:r w:rsidR="087620EF" w:rsidRPr="003D1E07">
        <w:rPr>
          <w:rStyle w:val="FontStyle129"/>
          <w:rFonts w:ascii="Calibri" w:hAnsi="Calibri"/>
          <w:sz w:val="22"/>
          <w:lang w:val="cs-CZ"/>
        </w:rPr>
        <w:t xml:space="preserve">existovalo či neexistovalo jako </w:t>
      </w:r>
      <w:r w:rsidR="00E74E39" w:rsidRPr="003D1E07">
        <w:rPr>
          <w:rStyle w:val="FontStyle129"/>
          <w:rFonts w:ascii="Calibri" w:hAnsi="Calibri"/>
          <w:sz w:val="22"/>
          <w:lang w:val="cs-CZ"/>
        </w:rPr>
        <w:t xml:space="preserve">něco </w:t>
      </w:r>
      <w:r w:rsidR="00FC36C9">
        <w:rPr>
          <w:rStyle w:val="FontStyle129"/>
          <w:rFonts w:ascii="Calibri" w:hAnsi="Calibri"/>
          <w:sz w:val="22"/>
          <w:lang w:val="cs-CZ"/>
        </w:rPr>
        <w:t xml:space="preserve">reálného mimo toto dvojí </w:t>
      </w:r>
      <w:r w:rsidR="00F121D4" w:rsidRPr="003D1E07">
        <w:rPr>
          <w:rStyle w:val="FontStyle129"/>
          <w:rFonts w:ascii="Calibri" w:hAnsi="Calibri"/>
          <w:sz w:val="22"/>
          <w:lang w:val="cs-CZ"/>
        </w:rPr>
        <w:t>určení.</w:t>
      </w:r>
      <w:r w:rsidR="08255890" w:rsidRPr="003D1E07">
        <w:rPr>
          <w:rStyle w:val="FontStyle129"/>
          <w:rFonts w:ascii="Calibri" w:hAnsi="Calibri"/>
          <w:sz w:val="22"/>
          <w:lang w:val="cs-CZ"/>
        </w:rPr>
        <w:t>“</w:t>
      </w:r>
      <w:r w:rsidR="00F121D4" w:rsidRPr="003D1E07">
        <w:rPr>
          <w:rStyle w:val="FontStyle129"/>
          <w:rFonts w:ascii="Calibri" w:hAnsi="Calibri"/>
          <w:sz w:val="22"/>
          <w:lang w:val="cs-CZ"/>
        </w:rPr>
        <w:t> </w:t>
      </w:r>
      <w:r w:rsidR="08255890" w:rsidRPr="003D1E07">
        <w:rPr>
          <w:rStyle w:val="Znakapoznpodarou"/>
          <w:lang w:val="cs-CZ"/>
        </w:rPr>
        <w:footnoteReference w:id="158"/>
      </w:r>
    </w:p>
    <w:p w14:paraId="1F30419F" w14:textId="048C6C72" w:rsidR="003D6BD8" w:rsidRDefault="006B3623" w:rsidP="00691CD0">
      <w:pPr>
        <w:rPr>
          <w:rStyle w:val="addmd"/>
        </w:rPr>
      </w:pPr>
      <w:r w:rsidRPr="003D1E07">
        <w:t xml:space="preserve">Avicenna našel v rámci nově založené predikace </w:t>
      </w:r>
      <w:r w:rsidRPr="003D1E07">
        <w:rPr>
          <w:i/>
        </w:rPr>
        <w:t>per prius</w:t>
      </w:r>
      <w:r w:rsidRPr="003D1E07">
        <w:t xml:space="preserve"> sféru bytí, která je primárním zdrojem všech</w:t>
      </w:r>
      <w:r w:rsidR="089060A7" w:rsidRPr="003D1E07">
        <w:t xml:space="preserve"> ontologických významů j</w:t>
      </w:r>
      <w:r w:rsidR="08B7160B" w:rsidRPr="003D1E07">
        <w:t xml:space="preserve">soucna. Toto jsoucno třetího druhu </w:t>
      </w:r>
      <w:r w:rsidR="08901741" w:rsidRPr="003D1E07">
        <w:t xml:space="preserve">„existuje“ </w:t>
      </w:r>
      <w:r w:rsidR="08B7160B" w:rsidRPr="003D1E07">
        <w:t>p</w:t>
      </w:r>
      <w:r w:rsidRPr="003D1E07">
        <w:t xml:space="preserve">řed </w:t>
      </w:r>
      <w:r w:rsidRPr="003D1E07">
        <w:lastRenderedPageBreak/>
        <w:t xml:space="preserve">reálnou existencí jednotlivin </w:t>
      </w:r>
      <w:r w:rsidR="08D51960" w:rsidRPr="003D1E07">
        <w:t xml:space="preserve">a </w:t>
      </w:r>
      <w:r w:rsidR="08B7160B" w:rsidRPr="003D1E07">
        <w:t xml:space="preserve">před obecnou existencí obou druhů </w:t>
      </w:r>
      <w:r w:rsidR="08D51960" w:rsidRPr="003D1E07">
        <w:t xml:space="preserve">univerzálií </w:t>
      </w:r>
      <w:r w:rsidRPr="003D1E07">
        <w:t>(</w:t>
      </w:r>
      <w:r w:rsidR="007C03AA" w:rsidRPr="003D1E07">
        <w:rPr>
          <w:i/>
        </w:rPr>
        <w:t>nec</w:t>
      </w:r>
      <w:r w:rsidRPr="003D1E07">
        <w:rPr>
          <w:i/>
        </w:rPr>
        <w:t>... nec... nec...</w:t>
      </w:r>
      <w:r w:rsidRPr="003D1E07">
        <w:rPr>
          <w:rStyle w:val="FontStyle129"/>
          <w:rFonts w:ascii="Calibri" w:hAnsi="Calibri"/>
          <w:sz w:val="24"/>
        </w:rPr>
        <w:t xml:space="preserve">). </w:t>
      </w:r>
      <w:r w:rsidR="004B024B" w:rsidRPr="003D1E07">
        <w:rPr>
          <w:rStyle w:val="FontStyle129"/>
          <w:rFonts w:ascii="Calibri" w:hAnsi="Calibri"/>
          <w:sz w:val="24"/>
        </w:rPr>
        <w:t>Substance přestává platit jak</w:t>
      </w:r>
      <w:r w:rsidR="00C6264F" w:rsidRPr="003D1E07">
        <w:rPr>
          <w:rStyle w:val="FontStyle129"/>
          <w:rFonts w:ascii="Calibri" w:hAnsi="Calibri"/>
          <w:sz w:val="24"/>
        </w:rPr>
        <w:t>o reálná esence</w:t>
      </w:r>
      <w:r w:rsidR="00F81A31" w:rsidRPr="003D1E07">
        <w:rPr>
          <w:rStyle w:val="FontStyle129"/>
          <w:rFonts w:ascii="Calibri" w:hAnsi="Calibri"/>
          <w:sz w:val="24"/>
        </w:rPr>
        <w:t>, protože Al-</w:t>
      </w:r>
      <w:r w:rsidR="008E02F5" w:rsidRPr="003D1E07">
        <w:rPr>
          <w:rStyle w:val="FontStyle129"/>
          <w:rFonts w:ascii="Calibri" w:hAnsi="Calibri"/>
          <w:sz w:val="24"/>
        </w:rPr>
        <w:t>Fárábí</w:t>
      </w:r>
      <w:r w:rsidR="08955F1A" w:rsidRPr="003D1E07">
        <w:rPr>
          <w:rStyle w:val="FontStyle129"/>
          <w:rFonts w:ascii="Calibri" w:hAnsi="Calibri"/>
          <w:sz w:val="24"/>
        </w:rPr>
        <w:t xml:space="preserve">ho určení ve třetím </w:t>
      </w:r>
      <w:r w:rsidR="00F81A31" w:rsidRPr="003D1E07">
        <w:rPr>
          <w:rStyle w:val="FontStyle129"/>
          <w:rFonts w:ascii="Calibri" w:hAnsi="Calibri"/>
          <w:sz w:val="24"/>
        </w:rPr>
        <w:t xml:space="preserve">modu </w:t>
      </w:r>
      <w:r w:rsidR="00F81A31" w:rsidRPr="003D1E07">
        <w:rPr>
          <w:rStyle w:val="FontStyle129"/>
          <w:rFonts w:ascii="Calibri" w:hAnsi="Calibri"/>
          <w:i/>
          <w:sz w:val="24"/>
        </w:rPr>
        <w:t>aliud esse</w:t>
      </w:r>
      <w:r w:rsidR="0051245C" w:rsidRPr="003D1E07">
        <w:rPr>
          <w:rStyle w:val="FontStyle129"/>
          <w:rFonts w:ascii="Calibri" w:hAnsi="Calibri"/>
          <w:i/>
          <w:sz w:val="24"/>
        </w:rPr>
        <w:fldChar w:fldCharType="begin"/>
      </w:r>
      <w:r w:rsidR="0051245C" w:rsidRPr="003D1E07">
        <w:instrText xml:space="preserve"> XE "</w:instrText>
      </w:r>
      <w:r w:rsidR="0051245C" w:rsidRPr="003D1E07">
        <w:rPr>
          <w:rStyle w:val="FontStyle129"/>
          <w:rFonts w:ascii="Calibri" w:hAnsi="Calibri"/>
          <w:i/>
          <w:sz w:val="24"/>
        </w:rPr>
        <w:instrText>aliud esse</w:instrText>
      </w:r>
      <w:r w:rsidR="082A00C2" w:rsidRPr="003D1E07">
        <w:rPr>
          <w:rStyle w:val="FontStyle129"/>
          <w:rFonts w:ascii="Calibri" w:hAnsi="Calibri"/>
          <w:sz w:val="24"/>
        </w:rPr>
        <w:instrText>:Avicenna</w:instrText>
      </w:r>
      <w:r w:rsidR="0051245C" w:rsidRPr="003D1E07">
        <w:instrText xml:space="preserve">" </w:instrText>
      </w:r>
      <w:r w:rsidR="0051245C" w:rsidRPr="003D1E07">
        <w:rPr>
          <w:rStyle w:val="FontStyle129"/>
          <w:rFonts w:ascii="Calibri" w:hAnsi="Calibri"/>
          <w:i/>
          <w:sz w:val="24"/>
        </w:rPr>
        <w:fldChar w:fldCharType="end"/>
      </w:r>
      <w:r w:rsidR="00F81A31" w:rsidRPr="003D1E07">
        <w:rPr>
          <w:rStyle w:val="FontStyle129"/>
          <w:rFonts w:ascii="Calibri" w:hAnsi="Calibri"/>
          <w:sz w:val="24"/>
        </w:rPr>
        <w:t xml:space="preserve"> dostalo charakter objektivity (kap. 2.1.2). </w:t>
      </w:r>
      <w:r w:rsidR="08177825" w:rsidRPr="003D1E07">
        <w:rPr>
          <w:rStyle w:val="FontStyle129"/>
          <w:rFonts w:ascii="Calibri" w:hAnsi="Calibri"/>
          <w:sz w:val="24"/>
        </w:rPr>
        <w:t>P</w:t>
      </w:r>
      <w:r w:rsidR="00C6264F" w:rsidRPr="003D1E07">
        <w:rPr>
          <w:rStyle w:val="FontStyle129"/>
          <w:rFonts w:ascii="Calibri" w:hAnsi="Calibri"/>
          <w:sz w:val="24"/>
        </w:rPr>
        <w:t>rvní urč</w:t>
      </w:r>
      <w:r w:rsidR="004B024B" w:rsidRPr="003D1E07">
        <w:rPr>
          <w:rStyle w:val="FontStyle129"/>
          <w:rFonts w:ascii="Calibri" w:hAnsi="Calibri"/>
          <w:sz w:val="24"/>
        </w:rPr>
        <w:t xml:space="preserve">ení jsoucna přechází na nově určenou </w:t>
      </w:r>
      <w:r w:rsidR="0059547F" w:rsidRPr="003D1E07">
        <w:rPr>
          <w:rStyle w:val="FontStyle129"/>
          <w:rFonts w:ascii="Calibri" w:hAnsi="Calibri"/>
          <w:sz w:val="24"/>
        </w:rPr>
        <w:t xml:space="preserve">objektivitu </w:t>
      </w:r>
      <w:r w:rsidR="004B024B" w:rsidRPr="003D1E07">
        <w:rPr>
          <w:rStyle w:val="FontStyle129"/>
          <w:rFonts w:ascii="Calibri" w:hAnsi="Calibri"/>
          <w:sz w:val="24"/>
        </w:rPr>
        <w:t>jsoucího (</w:t>
      </w:r>
      <w:r w:rsidR="004B024B" w:rsidRPr="003D1E07">
        <w:rPr>
          <w:i/>
        </w:rPr>
        <w:t xml:space="preserve">hoc esse est </w:t>
      </w:r>
      <w:r w:rsidR="08A443E7" w:rsidRPr="003D1E07">
        <w:rPr>
          <w:i/>
        </w:rPr>
        <w:t xml:space="preserve">homo </w:t>
      </w:r>
      <w:r w:rsidR="004B024B" w:rsidRPr="003D1E07">
        <w:rPr>
          <w:i/>
        </w:rPr>
        <w:t>tantum</w:t>
      </w:r>
      <w:r w:rsidR="082A00C2" w:rsidRPr="003D1E07">
        <w:rPr>
          <w:i/>
        </w:rPr>
        <w:fldChar w:fldCharType="begin"/>
      </w:r>
      <w:r w:rsidR="082A00C2" w:rsidRPr="003D1E07">
        <w:instrText xml:space="preserve"> XE "</w:instrText>
      </w:r>
      <w:r w:rsidR="082A00C2" w:rsidRPr="003D1E07">
        <w:rPr>
          <w:rStyle w:val="FontStyle129"/>
          <w:rFonts w:ascii="Calibri" w:hAnsi="Calibri"/>
          <w:i/>
          <w:sz w:val="24"/>
        </w:rPr>
        <w:instrText>tantum esse</w:instrText>
      </w:r>
      <w:r w:rsidR="082A00C2" w:rsidRPr="003D1E07">
        <w:instrText xml:space="preserve">" </w:instrText>
      </w:r>
      <w:r w:rsidR="082A00C2" w:rsidRPr="003D1E07">
        <w:rPr>
          <w:i/>
        </w:rPr>
        <w:fldChar w:fldCharType="end"/>
      </w:r>
      <w:r w:rsidR="004B024B" w:rsidRPr="003D1E07">
        <w:rPr>
          <w:rStyle w:val="FontStyle129"/>
          <w:rFonts w:ascii="Calibri" w:hAnsi="Calibri"/>
          <w:sz w:val="24"/>
        </w:rPr>
        <w:t xml:space="preserve">). </w:t>
      </w:r>
      <w:r w:rsidR="00C6264F" w:rsidRPr="003D1E07">
        <w:rPr>
          <w:rStyle w:val="FontStyle129"/>
          <w:rFonts w:ascii="Calibri" w:hAnsi="Calibri"/>
          <w:sz w:val="24"/>
        </w:rPr>
        <w:t xml:space="preserve">Hermeneutika musí najít ontologické určení tohoto </w:t>
      </w:r>
      <w:r w:rsidR="00C6264F" w:rsidRPr="003D1E07">
        <w:rPr>
          <w:i/>
        </w:rPr>
        <w:t>hoc esse</w:t>
      </w:r>
      <w:r w:rsidR="00C6264F" w:rsidRPr="003D1E07">
        <w:t xml:space="preserve"> </w:t>
      </w:r>
      <w:r w:rsidR="00FB535D" w:rsidRPr="003D1E07">
        <w:t xml:space="preserve">a moderního člověka </w:t>
      </w:r>
      <w:r w:rsidR="00C6264F" w:rsidRPr="003D1E07">
        <w:t xml:space="preserve">tím, že </w:t>
      </w:r>
      <w:r w:rsidR="00DA6C89">
        <w:t xml:space="preserve">porovná </w:t>
      </w:r>
      <w:r w:rsidR="00C6264F" w:rsidRPr="003D1E07">
        <w:t xml:space="preserve">nové určení jsoucna </w:t>
      </w:r>
      <w:r w:rsidR="00DA6C89">
        <w:t>s Aristotelovým</w:t>
      </w:r>
      <w:r w:rsidR="00C6264F" w:rsidRPr="003D1E07">
        <w:t xml:space="preserve"> určení</w:t>
      </w:r>
      <w:r w:rsidR="00DA6C89">
        <w:t>m</w:t>
      </w:r>
      <w:r w:rsidR="00C6264F" w:rsidRPr="003D1E07">
        <w:t xml:space="preserve"> </w:t>
      </w:r>
      <w:r w:rsidR="00BF0089">
        <w:t xml:space="preserve">reálné </w:t>
      </w:r>
      <w:r w:rsidR="00C6264F" w:rsidRPr="003D1E07">
        <w:t>substance jako „toto zde“ (τόδε τι</w:t>
      </w:r>
      <w:r w:rsidR="00500B31" w:rsidRPr="003D1E07">
        <w:fldChar w:fldCharType="begin"/>
      </w:r>
      <w:r w:rsidR="00500B31" w:rsidRPr="003D1E07">
        <w:instrText xml:space="preserve"> XE "substance:τόδε τι" </w:instrText>
      </w:r>
      <w:r w:rsidR="00500B31" w:rsidRPr="003D1E07">
        <w:fldChar w:fldCharType="end"/>
      </w:r>
      <w:r w:rsidR="00C6264F" w:rsidRPr="003D1E07">
        <w:t xml:space="preserve">). </w:t>
      </w:r>
      <w:r w:rsidR="008168E1" w:rsidRPr="003D1E07">
        <w:rPr>
          <w:rStyle w:val="FontStyle129"/>
          <w:rFonts w:ascii="Calibri" w:hAnsi="Calibri"/>
          <w:sz w:val="24"/>
        </w:rPr>
        <w:t>Vraťme se k</w:t>
      </w:r>
      <w:r w:rsidR="004B024B" w:rsidRPr="003D1E07">
        <w:rPr>
          <w:rStyle w:val="FontStyle129"/>
          <w:rFonts w:ascii="Calibri" w:hAnsi="Calibri"/>
          <w:sz w:val="24"/>
        </w:rPr>
        <w:t xml:space="preserve"> původní </w:t>
      </w:r>
      <w:r w:rsidR="008168E1" w:rsidRPr="003D1E07">
        <w:rPr>
          <w:rStyle w:val="FontStyle129"/>
          <w:rFonts w:ascii="Calibri" w:hAnsi="Calibri"/>
          <w:sz w:val="24"/>
        </w:rPr>
        <w:t xml:space="preserve">kategoriální </w:t>
      </w:r>
      <w:r w:rsidR="004B024B" w:rsidRPr="003D1E07">
        <w:rPr>
          <w:rStyle w:val="FontStyle129"/>
          <w:rFonts w:ascii="Calibri" w:hAnsi="Calibri"/>
          <w:sz w:val="24"/>
        </w:rPr>
        <w:t>predika</w:t>
      </w:r>
      <w:r w:rsidR="001A595B" w:rsidRPr="003D1E07">
        <w:rPr>
          <w:rStyle w:val="FontStyle129"/>
          <w:rFonts w:ascii="Calibri" w:hAnsi="Calibri"/>
          <w:sz w:val="24"/>
        </w:rPr>
        <w:t>ci</w:t>
      </w:r>
      <w:r w:rsidR="004B024B" w:rsidRPr="003D1E07">
        <w:rPr>
          <w:rStyle w:val="FontStyle129"/>
          <w:rFonts w:ascii="Calibri" w:hAnsi="Calibri"/>
          <w:sz w:val="24"/>
        </w:rPr>
        <w:t xml:space="preserve"> </w:t>
      </w:r>
      <w:r w:rsidR="004B024B" w:rsidRPr="003D1E07">
        <w:rPr>
          <w:rStyle w:val="FontStyle129"/>
          <w:rFonts w:ascii="Calibri" w:hAnsi="Calibri"/>
          <w:i/>
          <w:sz w:val="24"/>
        </w:rPr>
        <w:t>per prius</w:t>
      </w:r>
      <w:r w:rsidR="004B024B" w:rsidRPr="003D1E07">
        <w:rPr>
          <w:rStyle w:val="FontStyle129"/>
          <w:rFonts w:ascii="Calibri" w:hAnsi="Calibri"/>
          <w:sz w:val="24"/>
        </w:rPr>
        <w:t xml:space="preserve"> </w:t>
      </w:r>
      <w:r w:rsidR="08C44BD1" w:rsidRPr="003D1E07">
        <w:rPr>
          <w:rStyle w:val="FontStyle129"/>
          <w:rFonts w:ascii="Calibri" w:hAnsi="Calibri"/>
          <w:sz w:val="24"/>
        </w:rPr>
        <w:t>v</w:t>
      </w:r>
      <w:r w:rsidR="00EB2F02" w:rsidRPr="003D1E07">
        <w:rPr>
          <w:rStyle w:val="FontStyle129"/>
          <w:rFonts w:ascii="Calibri" w:hAnsi="Calibri"/>
          <w:sz w:val="24"/>
        </w:rPr>
        <w:t>z</w:t>
      </w:r>
      <w:r w:rsidR="08C44BD1" w:rsidRPr="003D1E07">
        <w:rPr>
          <w:rStyle w:val="FontStyle129"/>
          <w:rFonts w:ascii="Calibri" w:hAnsi="Calibri"/>
          <w:sz w:val="24"/>
        </w:rPr>
        <w:t xml:space="preserve">hledem ke druhé </w:t>
      </w:r>
      <w:r w:rsidR="001A595B" w:rsidRPr="003D1E07">
        <w:rPr>
          <w:rStyle w:val="FontStyle129"/>
          <w:rFonts w:ascii="Calibri" w:hAnsi="Calibri"/>
          <w:sz w:val="24"/>
        </w:rPr>
        <w:t>substanci</w:t>
      </w:r>
      <w:r w:rsidR="004B024B" w:rsidRPr="003D1E07">
        <w:rPr>
          <w:rStyle w:val="FontStyle129"/>
          <w:rFonts w:ascii="Calibri" w:hAnsi="Calibri"/>
          <w:sz w:val="24"/>
        </w:rPr>
        <w:t xml:space="preserve"> </w:t>
      </w:r>
      <w:r w:rsidR="08C44BD1" w:rsidRPr="003D1E07">
        <w:rPr>
          <w:rStyle w:val="FontStyle129"/>
          <w:rFonts w:ascii="Calibri" w:hAnsi="Calibri"/>
          <w:sz w:val="24"/>
        </w:rPr>
        <w:t xml:space="preserve">jako </w:t>
      </w:r>
      <w:r w:rsidR="00847CE8">
        <w:rPr>
          <w:rStyle w:val="FontStyle129"/>
          <w:rFonts w:ascii="Calibri" w:hAnsi="Calibri"/>
          <w:sz w:val="24"/>
        </w:rPr>
        <w:t>nejvyššího rodu. Tato supozice</w:t>
      </w:r>
      <w:r w:rsidR="0077454F">
        <w:rPr>
          <w:rStyle w:val="FontStyle129"/>
          <w:rFonts w:ascii="Calibri" w:hAnsi="Calibri"/>
          <w:sz w:val="24"/>
        </w:rPr>
        <w:t xml:space="preserve"> významu</w:t>
      </w:r>
      <w:r w:rsidR="00847CE8">
        <w:rPr>
          <w:rStyle w:val="FontStyle129"/>
          <w:rFonts w:ascii="Calibri" w:hAnsi="Calibri"/>
          <w:sz w:val="24"/>
        </w:rPr>
        <w:t xml:space="preserve"> g</w:t>
      </w:r>
      <w:r w:rsidR="008168E1" w:rsidRPr="003D1E07">
        <w:rPr>
          <w:rStyle w:val="FontStyle129"/>
          <w:rFonts w:ascii="Calibri" w:hAnsi="Calibri"/>
          <w:sz w:val="24"/>
        </w:rPr>
        <w:t>arantuj</w:t>
      </w:r>
      <w:r w:rsidR="00847CE8">
        <w:rPr>
          <w:rStyle w:val="FontStyle129"/>
          <w:rFonts w:ascii="Calibri" w:hAnsi="Calibri"/>
          <w:sz w:val="24"/>
        </w:rPr>
        <w:t>e</w:t>
      </w:r>
      <w:r w:rsidR="008168E1" w:rsidRPr="003D1E07">
        <w:rPr>
          <w:rStyle w:val="FontStyle129"/>
          <w:rFonts w:ascii="Calibri" w:hAnsi="Calibri"/>
          <w:sz w:val="24"/>
        </w:rPr>
        <w:t xml:space="preserve"> poslední možnou </w:t>
      </w:r>
      <w:r w:rsidR="001A595B" w:rsidRPr="003D1E07">
        <w:rPr>
          <w:rStyle w:val="FontStyle129"/>
          <w:rFonts w:ascii="Calibri" w:hAnsi="Calibri"/>
          <w:sz w:val="24"/>
        </w:rPr>
        <w:t>univocitu jsoucna</w:t>
      </w:r>
      <w:r w:rsidR="082416F0" w:rsidRPr="003D1E07">
        <w:rPr>
          <w:rStyle w:val="FontStyle129"/>
          <w:rFonts w:ascii="Calibri" w:hAnsi="Calibri"/>
          <w:sz w:val="24"/>
        </w:rPr>
        <w:t xml:space="preserve"> (</w:t>
      </w:r>
      <w:r w:rsidR="082416F0" w:rsidRPr="003D1E07">
        <w:t>kap. 1.</w:t>
      </w:r>
      <w:r w:rsidR="08AF6B7D" w:rsidRPr="003D1E07">
        <w:t>3</w:t>
      </w:r>
      <w:r w:rsidR="082416F0" w:rsidRPr="003D1E07">
        <w:rPr>
          <w:rStyle w:val="FontStyle129"/>
          <w:rFonts w:ascii="Calibri" w:hAnsi="Calibri"/>
          <w:sz w:val="24"/>
        </w:rPr>
        <w:t>)</w:t>
      </w:r>
      <w:r w:rsidR="008168E1" w:rsidRPr="003D1E07">
        <w:rPr>
          <w:rStyle w:val="FontStyle129"/>
          <w:rFonts w:ascii="Calibri" w:hAnsi="Calibri"/>
          <w:sz w:val="24"/>
        </w:rPr>
        <w:t>. Nové určení jsoucna v rámci zvláštního druhu esence</w:t>
      </w:r>
      <w:r w:rsidR="00485643" w:rsidRPr="003D1E07">
        <w:rPr>
          <w:i/>
          <w:iCs/>
        </w:rPr>
        <w:fldChar w:fldCharType="begin"/>
      </w:r>
      <w:r w:rsidR="00485643" w:rsidRPr="003D1E07">
        <w:instrText xml:space="preserve"> XE "esence:falsafa" </w:instrText>
      </w:r>
      <w:r w:rsidR="00485643" w:rsidRPr="003D1E07">
        <w:rPr>
          <w:i/>
          <w:iCs/>
        </w:rPr>
        <w:fldChar w:fldCharType="end"/>
      </w:r>
      <w:r w:rsidR="008168E1" w:rsidRPr="003D1E07">
        <w:rPr>
          <w:rStyle w:val="FontStyle129"/>
          <w:rFonts w:ascii="Calibri" w:hAnsi="Calibri"/>
          <w:sz w:val="24"/>
        </w:rPr>
        <w:t xml:space="preserve"> </w:t>
      </w:r>
      <w:r w:rsidR="004B024B" w:rsidRPr="003D1E07">
        <w:rPr>
          <w:rStyle w:val="FontStyle129"/>
          <w:rFonts w:ascii="Calibri" w:hAnsi="Calibri"/>
          <w:sz w:val="24"/>
        </w:rPr>
        <w:t>vylouč</w:t>
      </w:r>
      <w:r w:rsidR="008168E1" w:rsidRPr="003D1E07">
        <w:rPr>
          <w:rStyle w:val="FontStyle129"/>
          <w:rFonts w:ascii="Calibri" w:hAnsi="Calibri"/>
          <w:sz w:val="24"/>
        </w:rPr>
        <w:t xml:space="preserve">ilo </w:t>
      </w:r>
      <w:r w:rsidR="00962894" w:rsidRPr="003D1E07">
        <w:rPr>
          <w:rStyle w:val="FontStyle129"/>
          <w:rFonts w:ascii="Calibri" w:hAnsi="Calibri"/>
          <w:sz w:val="24"/>
        </w:rPr>
        <w:t xml:space="preserve">univerzální </w:t>
      </w:r>
      <w:r w:rsidR="008168E1" w:rsidRPr="003D1E07">
        <w:rPr>
          <w:rStyle w:val="FontStyle129"/>
          <w:rFonts w:ascii="Calibri" w:hAnsi="Calibri"/>
          <w:sz w:val="24"/>
        </w:rPr>
        <w:t xml:space="preserve">druhou substanci ze </w:t>
      </w:r>
      <w:r w:rsidR="004B024B" w:rsidRPr="003D1E07">
        <w:rPr>
          <w:rStyle w:val="FontStyle129"/>
          <w:rFonts w:ascii="Calibri" w:hAnsi="Calibri"/>
          <w:sz w:val="24"/>
        </w:rPr>
        <w:t xml:space="preserve">systému </w:t>
      </w:r>
      <w:r w:rsidR="00962894" w:rsidRPr="003D1E07">
        <w:rPr>
          <w:rStyle w:val="FontStyle129"/>
          <w:rFonts w:ascii="Calibri" w:hAnsi="Calibri"/>
          <w:sz w:val="24"/>
        </w:rPr>
        <w:t xml:space="preserve">nové </w:t>
      </w:r>
      <w:r w:rsidR="004B024B" w:rsidRPr="003D1E07">
        <w:rPr>
          <w:rStyle w:val="FontStyle129"/>
          <w:rFonts w:ascii="Calibri" w:hAnsi="Calibri"/>
          <w:sz w:val="24"/>
        </w:rPr>
        <w:t>predikace</w:t>
      </w:r>
      <w:r w:rsidR="08456603" w:rsidRPr="003D1E07">
        <w:rPr>
          <w:rStyle w:val="FontStyle129"/>
          <w:rFonts w:ascii="Calibri" w:hAnsi="Calibri"/>
          <w:sz w:val="24"/>
        </w:rPr>
        <w:t xml:space="preserve">. </w:t>
      </w:r>
      <w:r w:rsidR="003C3977" w:rsidRPr="003D1E07">
        <w:rPr>
          <w:rStyle w:val="FontStyle129"/>
          <w:rFonts w:ascii="Calibri" w:hAnsi="Calibri"/>
          <w:sz w:val="24"/>
        </w:rPr>
        <w:t>Avicenna navazuje na Al</w:t>
      </w:r>
      <w:r w:rsidR="003C3977" w:rsidRPr="003D1E07">
        <w:rPr>
          <w:rStyle w:val="FontStyle129"/>
          <w:rFonts w:ascii="Calibri" w:hAnsi="Calibri"/>
          <w:sz w:val="24"/>
        </w:rPr>
        <w:noBreakHyphen/>
      </w:r>
      <w:r w:rsidR="008E02F5" w:rsidRPr="003D1E07">
        <w:rPr>
          <w:rStyle w:val="FontStyle129"/>
          <w:rFonts w:ascii="Calibri" w:hAnsi="Calibri"/>
          <w:sz w:val="24"/>
        </w:rPr>
        <w:t>Fárábí</w:t>
      </w:r>
      <w:r w:rsidR="003C3977" w:rsidRPr="003D1E07">
        <w:rPr>
          <w:rStyle w:val="FontStyle129"/>
          <w:rFonts w:ascii="Calibri" w:hAnsi="Calibri"/>
          <w:sz w:val="24"/>
        </w:rPr>
        <w:t xml:space="preserve">ho tím, že rozvíjí třetí možnost </w:t>
      </w:r>
      <w:r w:rsidR="004469E5" w:rsidRPr="003D1E07">
        <w:rPr>
          <w:rStyle w:val="FontStyle129"/>
          <w:rFonts w:ascii="Calibri" w:hAnsi="Calibri"/>
          <w:sz w:val="24"/>
        </w:rPr>
        <w:t xml:space="preserve">výkladu </w:t>
      </w:r>
      <w:r w:rsidR="003C3977" w:rsidRPr="003D1E07">
        <w:rPr>
          <w:i/>
        </w:rPr>
        <w:t>aliud esse</w:t>
      </w:r>
      <w:r w:rsidR="003C3977" w:rsidRPr="003D1E07">
        <w:t xml:space="preserve"> (kap. 2.1.2). </w:t>
      </w:r>
      <w:r w:rsidR="004469E5" w:rsidRPr="003D1E07">
        <w:t xml:space="preserve">Mezi </w:t>
      </w:r>
      <w:r w:rsidR="004469E5" w:rsidRPr="003D1E07">
        <w:rPr>
          <w:rStyle w:val="FontStyle129"/>
          <w:rFonts w:ascii="Calibri" w:hAnsi="Calibri"/>
          <w:sz w:val="24"/>
        </w:rPr>
        <w:t xml:space="preserve">první a druhou substanci přišla </w:t>
      </w:r>
      <w:r w:rsidR="004B024B" w:rsidRPr="003D1E07">
        <w:rPr>
          <w:rStyle w:val="FontStyle129"/>
          <w:rFonts w:ascii="Calibri" w:hAnsi="Calibri"/>
          <w:sz w:val="24"/>
        </w:rPr>
        <w:t xml:space="preserve">nová forma </w:t>
      </w:r>
      <w:r w:rsidR="00874074" w:rsidRPr="003D1E07">
        <w:rPr>
          <w:rStyle w:val="FontStyle129"/>
          <w:rFonts w:ascii="Calibri" w:hAnsi="Calibri"/>
          <w:sz w:val="24"/>
        </w:rPr>
        <w:t>neoplatonsk</w:t>
      </w:r>
      <w:r w:rsidR="004469E5" w:rsidRPr="003D1E07">
        <w:rPr>
          <w:rStyle w:val="FontStyle129"/>
          <w:rFonts w:ascii="Calibri" w:hAnsi="Calibri"/>
          <w:sz w:val="24"/>
        </w:rPr>
        <w:t xml:space="preserve">é kvazi-substance </w:t>
      </w:r>
      <w:r w:rsidR="004B024B" w:rsidRPr="003D1E07">
        <w:rPr>
          <w:rStyle w:val="FontStyle129"/>
          <w:rFonts w:ascii="Calibri" w:hAnsi="Calibri"/>
          <w:sz w:val="24"/>
        </w:rPr>
        <w:t>ja</w:t>
      </w:r>
      <w:r w:rsidR="083A3A8E" w:rsidRPr="003D1E07">
        <w:rPr>
          <w:rStyle w:val="FontStyle129"/>
          <w:rFonts w:ascii="Calibri" w:hAnsi="Calibri"/>
          <w:sz w:val="24"/>
        </w:rPr>
        <w:t>ko</w:t>
      </w:r>
      <w:r w:rsidR="00AE3C69" w:rsidRPr="003D1E07">
        <w:rPr>
          <w:rStyle w:val="FontStyle129"/>
          <w:rFonts w:ascii="Calibri" w:hAnsi="Calibri"/>
          <w:sz w:val="24"/>
        </w:rPr>
        <w:t xml:space="preserve"> čistá forma jsoucnosti</w:t>
      </w:r>
      <w:r w:rsidR="08456603" w:rsidRPr="003D1E07">
        <w:rPr>
          <w:rStyle w:val="FontStyle129"/>
          <w:rFonts w:ascii="Calibri" w:hAnsi="Calibri"/>
          <w:sz w:val="24"/>
        </w:rPr>
        <w:t xml:space="preserve"> (</w:t>
      </w:r>
      <w:r w:rsidR="08456603" w:rsidRPr="003D1E07">
        <w:rPr>
          <w:rStyle w:val="FontStyle129"/>
          <w:rFonts w:ascii="Calibri" w:hAnsi="Calibri"/>
          <w:i/>
          <w:sz w:val="24"/>
        </w:rPr>
        <w:t xml:space="preserve">hoc esse </w:t>
      </w:r>
      <w:r w:rsidR="084215A9" w:rsidRPr="003D1E07">
        <w:rPr>
          <w:rStyle w:val="FontStyle129"/>
          <w:rFonts w:ascii="Calibri" w:hAnsi="Calibri"/>
          <w:i/>
          <w:sz w:val="24"/>
        </w:rPr>
        <w:t xml:space="preserve">est </w:t>
      </w:r>
      <w:r w:rsidR="08456603" w:rsidRPr="003D1E07">
        <w:rPr>
          <w:rStyle w:val="FontStyle129"/>
          <w:rFonts w:ascii="Calibri" w:hAnsi="Calibri"/>
          <w:i/>
          <w:sz w:val="24"/>
        </w:rPr>
        <w:t>tantum</w:t>
      </w:r>
      <w:r w:rsidR="00FB1B0D" w:rsidRPr="003D1E07">
        <w:rPr>
          <w:rStyle w:val="FontStyle129"/>
          <w:rFonts w:ascii="Calibri" w:hAnsi="Calibri"/>
          <w:i/>
          <w:sz w:val="24"/>
        </w:rPr>
        <w:fldChar w:fldCharType="begin"/>
      </w:r>
      <w:r w:rsidR="00FB1B0D" w:rsidRPr="003D1E07">
        <w:instrText xml:space="preserve"> XE "</w:instrText>
      </w:r>
      <w:r w:rsidR="00FB1B0D" w:rsidRPr="003D1E07">
        <w:rPr>
          <w:rStyle w:val="FontStyle129"/>
          <w:rFonts w:ascii="Calibri" w:hAnsi="Calibri"/>
          <w:i/>
          <w:sz w:val="24"/>
        </w:rPr>
        <w:instrText>tantum</w:instrText>
      </w:r>
      <w:r w:rsidR="082A00C2" w:rsidRPr="003D1E07">
        <w:rPr>
          <w:rStyle w:val="FontStyle129"/>
          <w:rFonts w:ascii="Calibri" w:hAnsi="Calibri"/>
          <w:i/>
          <w:sz w:val="24"/>
        </w:rPr>
        <w:instrText xml:space="preserve"> esse</w:instrText>
      </w:r>
      <w:r w:rsidR="00FB1B0D" w:rsidRPr="003D1E07">
        <w:instrText xml:space="preserve">" </w:instrText>
      </w:r>
      <w:r w:rsidR="00FB1B0D" w:rsidRPr="003D1E07">
        <w:rPr>
          <w:rStyle w:val="FontStyle129"/>
          <w:rFonts w:ascii="Calibri" w:hAnsi="Calibri"/>
          <w:i/>
          <w:sz w:val="24"/>
        </w:rPr>
        <w:fldChar w:fldCharType="end"/>
      </w:r>
      <w:r w:rsidR="08456603" w:rsidRPr="003D1E07">
        <w:rPr>
          <w:rStyle w:val="FontStyle129"/>
          <w:rFonts w:ascii="Calibri" w:hAnsi="Calibri"/>
          <w:sz w:val="24"/>
        </w:rPr>
        <w:t>)</w:t>
      </w:r>
      <w:r w:rsidR="080B376B" w:rsidRPr="003D1E07">
        <w:rPr>
          <w:rStyle w:val="FontStyle129"/>
          <w:rFonts w:ascii="Calibri" w:hAnsi="Calibri"/>
          <w:sz w:val="24"/>
        </w:rPr>
        <w:t>, která</w:t>
      </w:r>
      <w:r w:rsidR="08456603" w:rsidRPr="003D1E07">
        <w:rPr>
          <w:rStyle w:val="FontStyle129"/>
          <w:rFonts w:ascii="Calibri" w:hAnsi="Calibri"/>
          <w:sz w:val="24"/>
        </w:rPr>
        <w:t xml:space="preserve"> má poslední, dále nedělitelnou jistotu vlastní identity</w:t>
      </w:r>
      <w:r w:rsidR="00DA6C89">
        <w:rPr>
          <w:rStyle w:val="FontStyle129"/>
          <w:rFonts w:ascii="Calibri" w:hAnsi="Calibri"/>
          <w:sz w:val="24"/>
        </w:rPr>
        <w:t xml:space="preserve">. Tato nedělitelnost je v novém způsobu predikace chápána </w:t>
      </w:r>
      <w:r w:rsidR="00EB272E" w:rsidRPr="003D1E07">
        <w:rPr>
          <w:rStyle w:val="FontStyle129"/>
          <w:rFonts w:ascii="Calibri" w:hAnsi="Calibri"/>
          <w:sz w:val="24"/>
        </w:rPr>
        <w:t>v</w:t>
      </w:r>
      <w:r w:rsidR="00DA6C89">
        <w:rPr>
          <w:rStyle w:val="FontStyle129"/>
          <w:rFonts w:ascii="Calibri" w:hAnsi="Calibri"/>
          <w:sz w:val="24"/>
        </w:rPr>
        <w:t> analogickém modu k hylemorficky určené substanci</w:t>
      </w:r>
      <w:r w:rsidR="089E63AC" w:rsidRPr="003D1E07">
        <w:rPr>
          <w:rStyle w:val="FontStyle129"/>
          <w:rFonts w:ascii="Calibri" w:hAnsi="Calibri"/>
          <w:sz w:val="24"/>
        </w:rPr>
        <w:t>.</w:t>
      </w:r>
      <w:r w:rsidR="00AE3C69" w:rsidRPr="003D1E07">
        <w:rPr>
          <w:rStyle w:val="FontStyle129"/>
          <w:rFonts w:ascii="Calibri" w:hAnsi="Calibri"/>
          <w:sz w:val="24"/>
        </w:rPr>
        <w:t xml:space="preserve"> </w:t>
      </w:r>
      <w:r w:rsidR="080B376B" w:rsidRPr="003D1E07">
        <w:rPr>
          <w:rStyle w:val="FontStyle129"/>
          <w:rFonts w:ascii="Calibri" w:hAnsi="Calibri"/>
          <w:sz w:val="24"/>
        </w:rPr>
        <w:t>Hermeneutika zdůrazňuje čistý nihilismus této defin</w:t>
      </w:r>
      <w:r w:rsidR="082E66EE" w:rsidRPr="003D1E07">
        <w:rPr>
          <w:rStyle w:val="FontStyle129"/>
          <w:rFonts w:ascii="Calibri" w:hAnsi="Calibri"/>
          <w:sz w:val="24"/>
        </w:rPr>
        <w:t>i</w:t>
      </w:r>
      <w:r w:rsidR="080B376B" w:rsidRPr="003D1E07">
        <w:rPr>
          <w:rStyle w:val="FontStyle129"/>
          <w:rFonts w:ascii="Calibri" w:hAnsi="Calibri"/>
          <w:sz w:val="24"/>
        </w:rPr>
        <w:t xml:space="preserve">ce vzniklé </w:t>
      </w:r>
      <w:r w:rsidR="080B376B" w:rsidRPr="003D1E07">
        <w:rPr>
          <w:rStyle w:val="FontStyle129"/>
          <w:rFonts w:ascii="Calibri" w:hAnsi="Calibri"/>
          <w:i/>
          <w:sz w:val="24"/>
        </w:rPr>
        <w:t>absolute</w:t>
      </w:r>
      <w:r w:rsidR="004E2BC4" w:rsidRPr="003D1E07">
        <w:rPr>
          <w:rStyle w:val="addmd"/>
          <w:i/>
        </w:rPr>
        <w:fldChar w:fldCharType="begin"/>
      </w:r>
      <w:r w:rsidR="004E2BC4" w:rsidRPr="003D1E07">
        <w:instrText xml:space="preserve"> XE "predikace:modus </w:instrText>
      </w:r>
      <w:r w:rsidR="004E2BC4" w:rsidRPr="003D1E07">
        <w:rPr>
          <w:i/>
        </w:rPr>
        <w:instrText>absolute</w:instrText>
      </w:r>
      <w:r w:rsidR="004E2BC4" w:rsidRPr="003D1E07">
        <w:instrText xml:space="preserve">" </w:instrText>
      </w:r>
      <w:r w:rsidR="004E2BC4" w:rsidRPr="003D1E07">
        <w:rPr>
          <w:rStyle w:val="addmd"/>
          <w:i/>
        </w:rPr>
        <w:fldChar w:fldCharType="end"/>
      </w:r>
      <w:r w:rsidR="080B376B" w:rsidRPr="003D1E07">
        <w:rPr>
          <w:rStyle w:val="FontStyle129"/>
          <w:rFonts w:ascii="Calibri" w:hAnsi="Calibri"/>
          <w:sz w:val="24"/>
        </w:rPr>
        <w:t xml:space="preserve">, tedy </w:t>
      </w:r>
      <w:r w:rsidR="00027A5A" w:rsidRPr="003D1E07">
        <w:rPr>
          <w:rStyle w:val="FontStyle129"/>
          <w:rFonts w:ascii="Calibri" w:hAnsi="Calibri"/>
          <w:sz w:val="24"/>
        </w:rPr>
        <w:t xml:space="preserve">zásadním </w:t>
      </w:r>
      <w:r w:rsidR="080B376B" w:rsidRPr="003D1E07">
        <w:rPr>
          <w:rStyle w:val="FontStyle129"/>
          <w:rFonts w:ascii="Calibri" w:hAnsi="Calibri"/>
          <w:sz w:val="24"/>
        </w:rPr>
        <w:t xml:space="preserve">oddělením od </w:t>
      </w:r>
      <w:r w:rsidR="00027A5A" w:rsidRPr="003D1E07">
        <w:rPr>
          <w:rStyle w:val="FontStyle129"/>
          <w:rFonts w:ascii="Calibri" w:hAnsi="Calibri"/>
          <w:sz w:val="24"/>
        </w:rPr>
        <w:t xml:space="preserve">všech </w:t>
      </w:r>
      <w:r w:rsidR="080B376B" w:rsidRPr="003D1E07">
        <w:rPr>
          <w:rStyle w:val="FontStyle129"/>
          <w:rFonts w:ascii="Calibri" w:hAnsi="Calibri"/>
          <w:sz w:val="24"/>
        </w:rPr>
        <w:t>klasických významů jsoucna</w:t>
      </w:r>
      <w:r w:rsidR="00027A5A" w:rsidRPr="003D1E07">
        <w:rPr>
          <w:rStyle w:val="FontStyle129"/>
          <w:rFonts w:ascii="Calibri" w:hAnsi="Calibri"/>
          <w:sz w:val="24"/>
        </w:rPr>
        <w:t xml:space="preserve"> daných buď </w:t>
      </w:r>
      <w:r w:rsidR="001C451A">
        <w:rPr>
          <w:rStyle w:val="FontStyle129"/>
          <w:rFonts w:ascii="Calibri" w:hAnsi="Calibri"/>
          <w:sz w:val="24"/>
        </w:rPr>
        <w:t>kategoriální impozicí z reálných věcí</w:t>
      </w:r>
      <w:r w:rsidR="00027A5A" w:rsidRPr="003D1E07">
        <w:rPr>
          <w:rStyle w:val="FontStyle129"/>
          <w:rFonts w:ascii="Calibri" w:hAnsi="Calibri"/>
          <w:sz w:val="24"/>
        </w:rPr>
        <w:t xml:space="preserve">, nebo </w:t>
      </w:r>
      <w:r w:rsidR="001C451A">
        <w:rPr>
          <w:rStyle w:val="FontStyle129"/>
          <w:rFonts w:ascii="Calibri" w:hAnsi="Calibri"/>
          <w:sz w:val="24"/>
        </w:rPr>
        <w:t xml:space="preserve">supozicí </w:t>
      </w:r>
      <w:r w:rsidR="00027A5A" w:rsidRPr="003D1E07">
        <w:rPr>
          <w:rStyle w:val="FontStyle129"/>
          <w:rFonts w:ascii="Calibri" w:hAnsi="Calibri"/>
          <w:sz w:val="24"/>
        </w:rPr>
        <w:t>v univerzálních pojmech</w:t>
      </w:r>
      <w:r w:rsidR="082E66EE" w:rsidRPr="003D1E07">
        <w:rPr>
          <w:rStyle w:val="FontStyle129"/>
          <w:rFonts w:ascii="Calibri" w:hAnsi="Calibri"/>
          <w:sz w:val="24"/>
        </w:rPr>
        <w:t xml:space="preserve">. </w:t>
      </w:r>
      <w:r w:rsidR="000849B8">
        <w:rPr>
          <w:rStyle w:val="FontStyle129"/>
          <w:rFonts w:ascii="Calibri" w:hAnsi="Calibri"/>
          <w:sz w:val="24"/>
        </w:rPr>
        <w:t>N</w:t>
      </w:r>
      <w:r w:rsidR="000849B8" w:rsidRPr="003D1E07">
        <w:rPr>
          <w:rStyle w:val="FontStyle129"/>
          <w:rFonts w:ascii="Calibri" w:hAnsi="Calibri"/>
          <w:sz w:val="24"/>
        </w:rPr>
        <w:t xml:space="preserve">edělitelná univerzální jednotka významu nenese na rozdíl od species už téměř žádný univerzální význam (kap. 1.3). </w:t>
      </w:r>
      <w:r w:rsidR="08F4106C" w:rsidRPr="003D1E07">
        <w:rPr>
          <w:rStyle w:val="FontStyle129"/>
          <w:rFonts w:ascii="Calibri" w:hAnsi="Calibri"/>
          <w:sz w:val="24"/>
        </w:rPr>
        <w:t xml:space="preserve">Znovu platí základní určení individua daného v </w:t>
      </w:r>
      <w:r w:rsidR="08F4106C" w:rsidRPr="003D1E07">
        <w:rPr>
          <w:rStyle w:val="FontStyle129"/>
          <w:rFonts w:ascii="Calibri" w:hAnsi="Calibri"/>
          <w:i/>
          <w:sz w:val="24"/>
        </w:rPr>
        <w:t>Isagoge</w:t>
      </w:r>
      <w:r w:rsidR="08F4106C" w:rsidRPr="003D1E07">
        <w:rPr>
          <w:rStyle w:val="FontStyle129"/>
          <w:rFonts w:ascii="Calibri" w:hAnsi="Calibri"/>
          <w:sz w:val="24"/>
        </w:rPr>
        <w:t xml:space="preserve">, </w:t>
      </w:r>
      <w:r w:rsidR="0049366E">
        <w:rPr>
          <w:rStyle w:val="FontStyle129"/>
          <w:rFonts w:ascii="Calibri" w:hAnsi="Calibri"/>
          <w:sz w:val="24"/>
        </w:rPr>
        <w:t xml:space="preserve">ale na </w:t>
      </w:r>
      <w:r w:rsidR="000849B8">
        <w:rPr>
          <w:rStyle w:val="FontStyle129"/>
          <w:rFonts w:ascii="Calibri" w:hAnsi="Calibri"/>
          <w:sz w:val="24"/>
        </w:rPr>
        <w:t>moderní</w:t>
      </w:r>
      <w:r w:rsidR="0049366E">
        <w:rPr>
          <w:rStyle w:val="FontStyle129"/>
          <w:rFonts w:ascii="Calibri" w:hAnsi="Calibri"/>
          <w:sz w:val="24"/>
        </w:rPr>
        <w:t xml:space="preserve"> a úplně absurní způsob.</w:t>
      </w:r>
      <w:r w:rsidR="00693270">
        <w:rPr>
          <w:rStyle w:val="FontStyle129"/>
          <w:rFonts w:ascii="Calibri" w:hAnsi="Calibri"/>
          <w:sz w:val="24"/>
        </w:rPr>
        <w:t xml:space="preserve"> </w:t>
      </w:r>
      <w:r w:rsidR="082E66EE" w:rsidRPr="003D1E07">
        <w:rPr>
          <w:rStyle w:val="FontStyle129"/>
          <w:rFonts w:ascii="Calibri" w:hAnsi="Calibri"/>
          <w:sz w:val="24"/>
        </w:rPr>
        <w:t xml:space="preserve">Nové určení jsoucna není </w:t>
      </w:r>
      <w:r w:rsidR="080B376B" w:rsidRPr="003D1E07">
        <w:t xml:space="preserve">ani rod, ani </w:t>
      </w:r>
      <w:r w:rsidR="00F214C5" w:rsidRPr="003D1E07">
        <w:t>species</w:t>
      </w:r>
      <w:r w:rsidR="080B376B" w:rsidRPr="003D1E07">
        <w:t>, ani jednotlivina, ani jedno, ani mnohé</w:t>
      </w:r>
      <w:r w:rsidR="080B376B" w:rsidRPr="003D1E07">
        <w:rPr>
          <w:rStyle w:val="FontStyle129"/>
          <w:rFonts w:ascii="Calibri" w:hAnsi="Calibri"/>
          <w:sz w:val="24"/>
        </w:rPr>
        <w:t xml:space="preserve">. </w:t>
      </w:r>
      <w:r w:rsidR="00CB2FF2">
        <w:rPr>
          <w:rStyle w:val="FontStyle129"/>
          <w:rFonts w:ascii="Calibri" w:hAnsi="Calibri"/>
          <w:sz w:val="24"/>
        </w:rPr>
        <w:t xml:space="preserve">Poslední </w:t>
      </w:r>
      <w:r w:rsidR="00CB2FF2" w:rsidRPr="003D1E07">
        <w:rPr>
          <w:rStyle w:val="FontStyle129"/>
          <w:rFonts w:ascii="Calibri" w:hAnsi="Calibri"/>
          <w:sz w:val="24"/>
        </w:rPr>
        <w:t xml:space="preserve">atomární význam </w:t>
      </w:r>
      <w:r w:rsidR="00CB2FF2">
        <w:rPr>
          <w:rStyle w:val="FontStyle129"/>
          <w:rFonts w:ascii="Calibri" w:hAnsi="Calibri"/>
          <w:sz w:val="24"/>
        </w:rPr>
        <w:t xml:space="preserve">odděluje novou „první substanci“ </w:t>
      </w:r>
      <w:r w:rsidR="00CB2FF2" w:rsidRPr="003D1E07">
        <w:rPr>
          <w:rStyle w:val="FontStyle129"/>
          <w:rFonts w:ascii="Calibri" w:hAnsi="Calibri"/>
          <w:sz w:val="24"/>
        </w:rPr>
        <w:t>už pouze od nicoty</w:t>
      </w:r>
      <w:r w:rsidR="00CB2FF2">
        <w:rPr>
          <w:rStyle w:val="FontStyle129"/>
          <w:rFonts w:ascii="Calibri" w:hAnsi="Calibri"/>
          <w:sz w:val="24"/>
        </w:rPr>
        <w:t xml:space="preserve">. </w:t>
      </w:r>
      <w:r w:rsidR="00B32BFA" w:rsidRPr="003D1E07">
        <w:t xml:space="preserve">Metafyzika daná modelem </w:t>
      </w:r>
      <w:r w:rsidR="080B376B" w:rsidRPr="003D1E07">
        <w:t xml:space="preserve">klasické </w:t>
      </w:r>
      <w:r w:rsidR="00B32BFA" w:rsidRPr="003D1E07">
        <w:t xml:space="preserve">identity </w:t>
      </w:r>
      <w:r w:rsidR="001F0BF6" w:rsidRPr="003D1E07">
        <w:t>první ne</w:t>
      </w:r>
      <w:r w:rsidR="000A7D1D" w:rsidRPr="003D1E07">
        <w:t xml:space="preserve">bo druhé substance </w:t>
      </w:r>
      <w:r w:rsidR="00B32BFA" w:rsidRPr="003D1E07">
        <w:t xml:space="preserve">vzniká až ve druhém kroku, kdy přestane platit </w:t>
      </w:r>
      <w:r w:rsidR="00C60E1F" w:rsidRPr="003D1E07">
        <w:t xml:space="preserve">absolutně vylučovací nihilistický </w:t>
      </w:r>
      <w:r w:rsidR="00B32BFA" w:rsidRPr="003D1E07">
        <w:t>zápor „</w:t>
      </w:r>
      <w:r w:rsidR="00B32BFA" w:rsidRPr="003D1E07">
        <w:rPr>
          <w:i/>
        </w:rPr>
        <w:t>nec</w:t>
      </w:r>
      <w:r w:rsidR="080B376B" w:rsidRPr="003D1E07">
        <w:rPr>
          <w:i/>
        </w:rPr>
        <w:t>...nec</w:t>
      </w:r>
      <w:r w:rsidR="00D33E7F" w:rsidRPr="003D1E07">
        <w:t>“</w:t>
      </w:r>
      <w:r w:rsidR="00F13E35" w:rsidRPr="003D1E07">
        <w:fldChar w:fldCharType="begin"/>
      </w:r>
      <w:r w:rsidR="00F13E35" w:rsidRPr="003D1E07">
        <w:instrText xml:space="preserve"> XE "substance:nihilismus" </w:instrText>
      </w:r>
      <w:r w:rsidR="00F13E35" w:rsidRPr="003D1E07">
        <w:fldChar w:fldCharType="end"/>
      </w:r>
      <w:r w:rsidR="00D33E7F" w:rsidRPr="003D1E07">
        <w:t>. Pak se m</w:t>
      </w:r>
      <w:r w:rsidR="00B32BFA" w:rsidRPr="003D1E07">
        <w:t xml:space="preserve">yšlení jednoty dostane na </w:t>
      </w:r>
      <w:r w:rsidR="00DA6C89">
        <w:t xml:space="preserve">další </w:t>
      </w:r>
      <w:r w:rsidR="00B32BFA" w:rsidRPr="003D1E07">
        <w:t>úroveň kategoriální predikace</w:t>
      </w:r>
      <w:r w:rsidR="00294CEB" w:rsidRPr="003D1E07">
        <w:t xml:space="preserve"> určené aristotelskou logikou danou od existence </w:t>
      </w:r>
      <w:r w:rsidR="00DD5864" w:rsidRPr="003D1E07">
        <w:t xml:space="preserve">první nebo </w:t>
      </w:r>
      <w:r w:rsidR="00294CEB" w:rsidRPr="003D1E07">
        <w:t>druhé substance</w:t>
      </w:r>
      <w:r w:rsidR="00B32BFA" w:rsidRPr="003D1E07">
        <w:t xml:space="preserve">. </w:t>
      </w:r>
      <w:r w:rsidR="08511707" w:rsidRPr="003D1E07">
        <w:t>Na rovině</w:t>
      </w:r>
      <w:r w:rsidR="003E0BBB">
        <w:t xml:space="preserve"> klasického významu </w:t>
      </w:r>
      <w:r w:rsidR="00A37B70">
        <w:t xml:space="preserve">daného jako </w:t>
      </w:r>
      <w:r w:rsidR="003E0BBB">
        <w:t xml:space="preserve">species nebo genus </w:t>
      </w:r>
      <w:r w:rsidR="08511707" w:rsidRPr="003D1E07">
        <w:t xml:space="preserve">jsoucno třetího druhu </w:t>
      </w:r>
      <w:r w:rsidR="083A3A8E" w:rsidRPr="003D1E07">
        <w:t>z</w:t>
      </w:r>
      <w:r w:rsidR="08511707" w:rsidRPr="003D1E07">
        <w:t>t</w:t>
      </w:r>
      <w:r w:rsidR="08BC740C" w:rsidRPr="003D1E07">
        <w:t>ratí svou původní jednoduchost</w:t>
      </w:r>
      <w:r w:rsidR="002C3CFE">
        <w:t xml:space="preserve"> individua</w:t>
      </w:r>
      <w:r w:rsidR="005C2102" w:rsidRPr="003D1E07">
        <w:t>,</w:t>
      </w:r>
      <w:r w:rsidR="004B5E0F">
        <w:t xml:space="preserve"> a z ní vyplývající „</w:t>
      </w:r>
      <w:r w:rsidR="002C3CFE">
        <w:t>ex</w:t>
      </w:r>
      <w:r w:rsidR="004B5E0F">
        <w:t>s</w:t>
      </w:r>
      <w:r w:rsidR="002C3CFE">
        <w:t>istenci</w:t>
      </w:r>
      <w:r w:rsidR="004B5E0F">
        <w:t>“</w:t>
      </w:r>
      <w:r w:rsidR="005C2102" w:rsidRPr="003D1E07">
        <w:t xml:space="preserve"> třetího druhu</w:t>
      </w:r>
      <w:r w:rsidR="08BC740C" w:rsidRPr="003D1E07">
        <w:t>. Jsoucno zač</w:t>
      </w:r>
      <w:r w:rsidR="08511707" w:rsidRPr="003D1E07">
        <w:t>ne existovat na nějakém substrátu (materie, mysl, bůh)</w:t>
      </w:r>
      <w:r w:rsidR="08614F4E" w:rsidRPr="003D1E07">
        <w:t>,</w:t>
      </w:r>
      <w:r w:rsidR="08BC740C" w:rsidRPr="003D1E07">
        <w:t xml:space="preserve"> a tím je určené </w:t>
      </w:r>
      <w:r w:rsidR="00951A7D">
        <w:t>v modu vyloučeného třetího jako klasická predikace</w:t>
      </w:r>
      <w:r w:rsidR="08511707" w:rsidRPr="003D1E07">
        <w:t xml:space="preserve">. </w:t>
      </w:r>
      <w:r w:rsidR="00B32BFA" w:rsidRPr="003D1E07">
        <w:t>Transcen</w:t>
      </w:r>
      <w:r w:rsidR="08203F49" w:rsidRPr="003D1E07">
        <w:t xml:space="preserve">dentální určení jsoucna v modu </w:t>
      </w:r>
      <w:r w:rsidR="00F96A10">
        <w:t>„</w:t>
      </w:r>
      <w:r w:rsidR="00B32BFA" w:rsidRPr="003D1E07">
        <w:rPr>
          <w:i/>
        </w:rPr>
        <w:t>hoc esse est tantum</w:t>
      </w:r>
      <w:r w:rsidR="00F96A10">
        <w:t>“</w:t>
      </w:r>
      <w:r w:rsidR="00FB1B0D" w:rsidRPr="003D1E07">
        <w:rPr>
          <w:i/>
        </w:rPr>
        <w:fldChar w:fldCharType="begin"/>
      </w:r>
      <w:r w:rsidR="00FB1B0D" w:rsidRPr="003D1E07">
        <w:instrText xml:space="preserve"> XE "</w:instrText>
      </w:r>
      <w:r w:rsidR="082A00C2" w:rsidRPr="003D1E07">
        <w:rPr>
          <w:i/>
        </w:rPr>
        <w:instrText>tantum</w:instrText>
      </w:r>
      <w:r w:rsidR="082A00C2" w:rsidRPr="003D1E07">
        <w:instrText xml:space="preserve"> </w:instrText>
      </w:r>
      <w:r w:rsidR="00FB1B0D" w:rsidRPr="003D1E07">
        <w:rPr>
          <w:rStyle w:val="FontStyle129"/>
          <w:rFonts w:ascii="Calibri" w:hAnsi="Calibri"/>
          <w:i/>
          <w:sz w:val="24"/>
        </w:rPr>
        <w:instrText>esse</w:instrText>
      </w:r>
      <w:r w:rsidR="00FB1B0D" w:rsidRPr="003D1E07">
        <w:instrText xml:space="preserve">" </w:instrText>
      </w:r>
      <w:r w:rsidR="00FB1B0D" w:rsidRPr="003D1E07">
        <w:rPr>
          <w:i/>
        </w:rPr>
        <w:fldChar w:fldCharType="end"/>
      </w:r>
      <w:r w:rsidR="00B32BFA" w:rsidRPr="003D1E07">
        <w:rPr>
          <w:rStyle w:val="FontStyle129"/>
          <w:rFonts w:ascii="Calibri" w:hAnsi="Calibri"/>
          <w:sz w:val="24"/>
        </w:rPr>
        <w:t xml:space="preserve"> je a není subs</w:t>
      </w:r>
      <w:r w:rsidR="00244BBB">
        <w:rPr>
          <w:rStyle w:val="FontStyle129"/>
          <w:rFonts w:ascii="Calibri" w:hAnsi="Calibri"/>
          <w:sz w:val="24"/>
        </w:rPr>
        <w:t xml:space="preserve">tancí. Je substancí, protože </w:t>
      </w:r>
      <w:r w:rsidR="00B32BFA" w:rsidRPr="003D1E07">
        <w:rPr>
          <w:rStyle w:val="FontStyle129"/>
          <w:rFonts w:ascii="Calibri" w:hAnsi="Calibri"/>
          <w:sz w:val="24"/>
        </w:rPr>
        <w:t>supluje</w:t>
      </w:r>
      <w:r w:rsidR="00D32931">
        <w:rPr>
          <w:rStyle w:val="FontStyle129"/>
          <w:rFonts w:ascii="Calibri" w:hAnsi="Calibri"/>
          <w:sz w:val="24"/>
        </w:rPr>
        <w:t xml:space="preserve"> klasickou substanci. Vzinl nový m</w:t>
      </w:r>
      <w:r w:rsidR="00B32BFA" w:rsidRPr="003D1E07">
        <w:rPr>
          <w:rStyle w:val="FontStyle129"/>
          <w:rFonts w:ascii="Calibri" w:hAnsi="Calibri"/>
          <w:sz w:val="24"/>
        </w:rPr>
        <w:t>odu</w:t>
      </w:r>
      <w:r w:rsidR="00D32931">
        <w:rPr>
          <w:rStyle w:val="FontStyle129"/>
          <w:rFonts w:ascii="Calibri" w:hAnsi="Calibri"/>
          <w:sz w:val="24"/>
        </w:rPr>
        <w:t>s</w:t>
      </w:r>
      <w:r w:rsidR="00B32BFA" w:rsidRPr="003D1E07">
        <w:rPr>
          <w:rStyle w:val="FontStyle129"/>
          <w:rFonts w:ascii="Calibri" w:hAnsi="Calibri"/>
          <w:sz w:val="24"/>
        </w:rPr>
        <w:t xml:space="preserve"> metafyzického určení</w:t>
      </w:r>
      <w:r w:rsidR="00B7019F">
        <w:rPr>
          <w:rStyle w:val="FontStyle129"/>
          <w:rFonts w:ascii="Calibri" w:hAnsi="Calibri"/>
          <w:sz w:val="24"/>
        </w:rPr>
        <w:t xml:space="preserve"> jsoucna</w:t>
      </w:r>
      <w:r w:rsidR="00B32BFA" w:rsidRPr="003D1E07">
        <w:rPr>
          <w:rStyle w:val="FontStyle129"/>
          <w:rFonts w:ascii="Calibri" w:hAnsi="Calibri"/>
          <w:sz w:val="24"/>
        </w:rPr>
        <w:t xml:space="preserve">, který není </w:t>
      </w:r>
      <w:r w:rsidR="000B766B" w:rsidRPr="003D1E07">
        <w:rPr>
          <w:rStyle w:val="FontStyle129"/>
          <w:rFonts w:ascii="Calibri" w:hAnsi="Calibri"/>
          <w:sz w:val="24"/>
        </w:rPr>
        <w:t xml:space="preserve">ani </w:t>
      </w:r>
      <w:r w:rsidR="00B32BFA" w:rsidRPr="003D1E07">
        <w:rPr>
          <w:rStyle w:val="FontStyle129"/>
          <w:rFonts w:ascii="Calibri" w:hAnsi="Calibri"/>
          <w:sz w:val="24"/>
        </w:rPr>
        <w:t xml:space="preserve">aristotelský, </w:t>
      </w:r>
      <w:r w:rsidR="000B766B" w:rsidRPr="003D1E07">
        <w:rPr>
          <w:rStyle w:val="FontStyle129"/>
          <w:rFonts w:ascii="Calibri" w:hAnsi="Calibri"/>
          <w:sz w:val="24"/>
        </w:rPr>
        <w:t xml:space="preserve">ani </w:t>
      </w:r>
      <w:r w:rsidR="00874074" w:rsidRPr="003D1E07">
        <w:rPr>
          <w:rStyle w:val="FontStyle129"/>
          <w:rFonts w:ascii="Calibri" w:hAnsi="Calibri"/>
          <w:sz w:val="24"/>
        </w:rPr>
        <w:t>neoplatonsk</w:t>
      </w:r>
      <w:r w:rsidR="00B32BFA" w:rsidRPr="003D1E07">
        <w:rPr>
          <w:rStyle w:val="FontStyle129"/>
          <w:rFonts w:ascii="Calibri" w:hAnsi="Calibri"/>
          <w:sz w:val="24"/>
        </w:rPr>
        <w:t>ý.</w:t>
      </w:r>
      <w:r w:rsidR="00ED55D2" w:rsidRPr="003D1E07">
        <w:rPr>
          <w:rStyle w:val="FontStyle129"/>
          <w:rFonts w:ascii="Calibri" w:hAnsi="Calibri"/>
          <w:sz w:val="24"/>
        </w:rPr>
        <w:t xml:space="preserve"> </w:t>
      </w:r>
      <w:r w:rsidR="00F92D7E" w:rsidRPr="003D1E07">
        <w:rPr>
          <w:rStyle w:val="FontStyle129"/>
          <w:rFonts w:ascii="Calibri" w:hAnsi="Calibri"/>
          <w:sz w:val="24"/>
        </w:rPr>
        <w:t xml:space="preserve">Vzorem pro Avicennovu komitaci objektivního modu jsoucnosti je </w:t>
      </w:r>
      <w:r w:rsidR="00BB45B1" w:rsidRPr="003D1E07">
        <w:rPr>
          <w:rStyle w:val="FontStyle129"/>
          <w:rFonts w:ascii="Calibri" w:hAnsi="Calibri"/>
          <w:sz w:val="24"/>
        </w:rPr>
        <w:t>Porfyri</w:t>
      </w:r>
      <w:r w:rsidR="00F92D7E" w:rsidRPr="003D1E07">
        <w:rPr>
          <w:rStyle w:val="FontStyle129"/>
          <w:rFonts w:ascii="Calibri" w:hAnsi="Calibri"/>
          <w:sz w:val="24"/>
        </w:rPr>
        <w:t xml:space="preserve">ův </w:t>
      </w:r>
      <w:r w:rsidR="00F92D7E" w:rsidRPr="003D1E07">
        <w:rPr>
          <w:rStyle w:val="FontStyle129"/>
          <w:rFonts w:ascii="Calibri" w:hAnsi="Calibri"/>
          <w:sz w:val="24"/>
        </w:rPr>
        <w:lastRenderedPageBreak/>
        <w:t xml:space="preserve">koncept </w:t>
      </w:r>
      <w:r w:rsidR="08203F49" w:rsidRPr="003D1E07">
        <w:t>zdvojeného byt</w:t>
      </w:r>
      <w:r w:rsidR="08045E8E" w:rsidRPr="003D1E07">
        <w:t>í</w:t>
      </w:r>
      <w:r w:rsidR="08045E8E" w:rsidRPr="003D1E07">
        <w:rPr>
          <w:rStyle w:val="addmd"/>
        </w:rPr>
        <w:t>, který napojil</w:t>
      </w:r>
      <w:r w:rsidR="00F92D7E" w:rsidRPr="003D1E07">
        <w:rPr>
          <w:rStyle w:val="addmd"/>
        </w:rPr>
        <w:t xml:space="preserve"> </w:t>
      </w:r>
      <w:r w:rsidR="00874074" w:rsidRPr="003D1E07">
        <w:rPr>
          <w:rStyle w:val="addmd"/>
        </w:rPr>
        <w:t>neoplatonsk</w:t>
      </w:r>
      <w:r w:rsidR="00F92D7E" w:rsidRPr="003D1E07">
        <w:rPr>
          <w:rStyle w:val="addmd"/>
        </w:rPr>
        <w:t>é bytí Jednoho na hyparchické bytí první substance</w:t>
      </w:r>
      <w:r w:rsidR="08AF6B7D" w:rsidRPr="003D1E07">
        <w:rPr>
          <w:rStyle w:val="addmd"/>
        </w:rPr>
        <w:t xml:space="preserve"> (kap. 1.3</w:t>
      </w:r>
      <w:r w:rsidR="00F92D7E" w:rsidRPr="003D1E07">
        <w:rPr>
          <w:rStyle w:val="addmd"/>
        </w:rPr>
        <w:t>).</w:t>
      </w:r>
      <w:r w:rsidR="086D572D" w:rsidRPr="003D1E07">
        <w:rPr>
          <w:rStyle w:val="addmd"/>
        </w:rPr>
        <w:t xml:space="preserve"> Avicenna zavedl komitaci </w:t>
      </w:r>
      <w:r w:rsidR="00A86D21">
        <w:rPr>
          <w:rStyle w:val="addmd"/>
        </w:rPr>
        <w:t xml:space="preserve">podobným </w:t>
      </w:r>
      <w:r w:rsidR="086D572D" w:rsidRPr="003D1E07">
        <w:rPr>
          <w:rStyle w:val="addmd"/>
        </w:rPr>
        <w:t>způsobem jako Porfýrius</w:t>
      </w:r>
      <w:r w:rsidR="00930EB6">
        <w:rPr>
          <w:rStyle w:val="addmd"/>
        </w:rPr>
        <w:t xml:space="preserve">, aby </w:t>
      </w:r>
      <w:r w:rsidR="086D572D" w:rsidRPr="003D1E07">
        <w:rPr>
          <w:rStyle w:val="addmd"/>
        </w:rPr>
        <w:t xml:space="preserve">vytvořil </w:t>
      </w:r>
      <w:r w:rsidR="00A86D21">
        <w:rPr>
          <w:rStyle w:val="addmd"/>
        </w:rPr>
        <w:t xml:space="preserve">novou </w:t>
      </w:r>
      <w:r w:rsidR="086D572D" w:rsidRPr="003D1E07">
        <w:rPr>
          <w:rStyle w:val="addmd"/>
        </w:rPr>
        <w:fldChar w:fldCharType="begin"/>
      </w:r>
      <w:r w:rsidR="086D572D" w:rsidRPr="003D1E07">
        <w:instrText xml:space="preserve"> XE "komitace" </w:instrText>
      </w:r>
      <w:r w:rsidR="086D572D" w:rsidRPr="003D1E07">
        <w:rPr>
          <w:rStyle w:val="addmd"/>
        </w:rPr>
        <w:fldChar w:fldCharType="end"/>
      </w:r>
      <w:r w:rsidR="086D572D" w:rsidRPr="003D1E07">
        <w:rPr>
          <w:rStyle w:val="addmd"/>
        </w:rPr>
        <w:t>pro</w:t>
      </w:r>
      <w:r w:rsidR="003E2655" w:rsidRPr="003D1E07">
        <w:rPr>
          <w:rStyle w:val="addmd"/>
        </w:rPr>
        <w:t>hyp</w:t>
      </w:r>
      <w:r w:rsidR="086D572D" w:rsidRPr="003D1E07">
        <w:rPr>
          <w:rStyle w:val="addmd"/>
        </w:rPr>
        <w:t>archickou predikaci objektivně dané jsoucnosti</w:t>
      </w:r>
      <w:r w:rsidR="086D572D" w:rsidRPr="003D1E07">
        <w:fldChar w:fldCharType="begin"/>
      </w:r>
      <w:r w:rsidR="086D572D" w:rsidRPr="003D1E07">
        <w:instrText xml:space="preserve"> XE "</w:instrText>
      </w:r>
      <w:r w:rsidR="00503C55" w:rsidRPr="003D1E07">
        <w:instrText>predikace:prohyparchická</w:instrText>
      </w:r>
      <w:r w:rsidR="086D572D" w:rsidRPr="003D1E07">
        <w:instrText xml:space="preserve">" </w:instrText>
      </w:r>
      <w:r w:rsidR="086D572D" w:rsidRPr="003D1E07">
        <w:fldChar w:fldCharType="end"/>
      </w:r>
      <w:r w:rsidR="086D572D" w:rsidRPr="003D1E07">
        <w:t xml:space="preserve">. Rozdíl </w:t>
      </w:r>
      <w:r w:rsidR="00480401">
        <w:t xml:space="preserve">od Porfýria </w:t>
      </w:r>
      <w:r w:rsidR="086D572D" w:rsidRPr="003D1E07">
        <w:t xml:space="preserve">je pouze v tom, nová forma vystupuje jako transcendentální predikace </w:t>
      </w:r>
      <w:r w:rsidR="08213F5E" w:rsidRPr="003D1E07">
        <w:t xml:space="preserve">ze školy Druhého mistra </w:t>
      </w:r>
      <w:r w:rsidR="086D572D" w:rsidRPr="003D1E07">
        <w:t xml:space="preserve">a ne jako mystické vidění ilumináta z Plotinovy školy. </w:t>
      </w:r>
      <w:r w:rsidR="00615694" w:rsidRPr="003D1E07">
        <w:rPr>
          <w:rStyle w:val="addmd"/>
        </w:rPr>
        <w:t>Zdvojením bytí jsoucna u Avice</w:t>
      </w:r>
      <w:r w:rsidR="008520B1" w:rsidRPr="003D1E07">
        <w:rPr>
          <w:rStyle w:val="addmd"/>
        </w:rPr>
        <w:t>n</w:t>
      </w:r>
      <w:r w:rsidR="00615694" w:rsidRPr="003D1E07">
        <w:rPr>
          <w:rStyle w:val="addmd"/>
        </w:rPr>
        <w:t xml:space="preserve">ny </w:t>
      </w:r>
      <w:r w:rsidR="00ED55D2" w:rsidRPr="003D1E07">
        <w:rPr>
          <w:rStyle w:val="FontStyle129"/>
          <w:rFonts w:ascii="Calibri" w:hAnsi="Calibri"/>
          <w:sz w:val="24"/>
        </w:rPr>
        <w:t>v</w:t>
      </w:r>
      <w:r w:rsidR="008520B1" w:rsidRPr="003D1E07">
        <w:rPr>
          <w:rStyle w:val="FontStyle129"/>
          <w:rFonts w:ascii="Calibri" w:hAnsi="Calibri"/>
          <w:sz w:val="24"/>
        </w:rPr>
        <w:t xml:space="preserve">znikla </w:t>
      </w:r>
      <w:r w:rsidR="00B21BDF" w:rsidRPr="003D1E07">
        <w:rPr>
          <w:rStyle w:val="FontStyle129"/>
          <w:rFonts w:ascii="Calibri" w:hAnsi="Calibri"/>
          <w:sz w:val="24"/>
        </w:rPr>
        <w:t>první forma objektivní metafyziky vázané</w:t>
      </w:r>
      <w:r w:rsidR="00632B30">
        <w:rPr>
          <w:rStyle w:val="FontStyle129"/>
          <w:rFonts w:ascii="Calibri" w:hAnsi="Calibri"/>
          <w:sz w:val="24"/>
        </w:rPr>
        <w:t xml:space="preserve"> na nové</w:t>
      </w:r>
      <w:r w:rsidR="00ED55D2" w:rsidRPr="003D1E07">
        <w:rPr>
          <w:rStyle w:val="FontStyle129"/>
          <w:rFonts w:ascii="Calibri" w:hAnsi="Calibri"/>
          <w:sz w:val="24"/>
        </w:rPr>
        <w:t xml:space="preserve"> určení jsoucna třetího druhu.</w:t>
      </w:r>
      <w:r w:rsidR="08203F49" w:rsidRPr="003D1E07">
        <w:rPr>
          <w:rStyle w:val="FontStyle129"/>
          <w:rFonts w:ascii="Calibri" w:hAnsi="Calibri"/>
          <w:sz w:val="24"/>
        </w:rPr>
        <w:t xml:space="preserve"> </w:t>
      </w:r>
      <w:r w:rsidR="08DC1D8E" w:rsidRPr="003D1E07">
        <w:rPr>
          <w:rStyle w:val="FontStyle129"/>
          <w:rFonts w:ascii="Calibri" w:hAnsi="Calibri"/>
          <w:sz w:val="24"/>
        </w:rPr>
        <w:t xml:space="preserve">Na </w:t>
      </w:r>
      <w:r w:rsidR="08203F49" w:rsidRPr="003D1E07">
        <w:rPr>
          <w:rStyle w:val="FontStyle129"/>
          <w:rFonts w:ascii="Calibri" w:hAnsi="Calibri"/>
          <w:sz w:val="24"/>
        </w:rPr>
        <w:t xml:space="preserve">úrovni </w:t>
      </w:r>
      <w:r w:rsidR="08DC1D8E" w:rsidRPr="003D1E07">
        <w:rPr>
          <w:rStyle w:val="FontStyle129"/>
          <w:rFonts w:ascii="Calibri" w:hAnsi="Calibri"/>
          <w:sz w:val="24"/>
        </w:rPr>
        <w:t xml:space="preserve">komitace </w:t>
      </w:r>
      <w:r w:rsidR="08203F49" w:rsidRPr="003D1E07">
        <w:rPr>
          <w:rStyle w:val="FontStyle129"/>
          <w:rFonts w:ascii="Calibri" w:hAnsi="Calibri"/>
          <w:sz w:val="24"/>
        </w:rPr>
        <w:t xml:space="preserve">platí scénář Ibn </w:t>
      </w:r>
      <w:r w:rsidR="08DC1D8E" w:rsidRPr="003D1E07">
        <w:rPr>
          <w:rStyle w:val="FontStyle129"/>
          <w:rFonts w:ascii="Calibri" w:hAnsi="Calibri"/>
          <w:sz w:val="24"/>
        </w:rPr>
        <w:t>Ádího, který</w:t>
      </w:r>
      <w:r w:rsidR="08203F49" w:rsidRPr="003D1E07">
        <w:rPr>
          <w:rStyle w:val="FontStyle129"/>
          <w:rFonts w:ascii="Calibri" w:hAnsi="Calibri"/>
          <w:sz w:val="24"/>
        </w:rPr>
        <w:t xml:space="preserve"> v modu </w:t>
      </w:r>
      <w:r w:rsidR="08203F49" w:rsidRPr="003D1E07">
        <w:rPr>
          <w:rStyle w:val="FontStyle129"/>
          <w:rFonts w:ascii="Calibri" w:hAnsi="Calibri"/>
          <w:i/>
          <w:sz w:val="24"/>
        </w:rPr>
        <w:t>esse ad</w:t>
      </w:r>
      <w:r w:rsidR="08203F49" w:rsidRPr="003D1E07">
        <w:rPr>
          <w:i/>
        </w:rPr>
        <w:fldChar w:fldCharType="begin"/>
      </w:r>
      <w:r w:rsidR="08203F49" w:rsidRPr="003D1E07">
        <w:instrText xml:space="preserve"> XE "</w:instrText>
      </w:r>
      <w:r w:rsidR="08203F49" w:rsidRPr="003D1E07">
        <w:rPr>
          <w:i/>
        </w:rPr>
        <w:instrText>esse ad</w:instrText>
      </w:r>
      <w:r w:rsidR="08203F49" w:rsidRPr="003D1E07">
        <w:instrText xml:space="preserve">:Ibn Ádí" </w:instrText>
      </w:r>
      <w:r w:rsidR="08203F49" w:rsidRPr="003D1E07">
        <w:rPr>
          <w:i/>
        </w:rPr>
        <w:fldChar w:fldCharType="end"/>
      </w:r>
      <w:r w:rsidR="08203F49" w:rsidRPr="003D1E07">
        <w:rPr>
          <w:rStyle w:val="FontStyle129"/>
          <w:rFonts w:ascii="Calibri" w:hAnsi="Calibri"/>
          <w:sz w:val="24"/>
        </w:rPr>
        <w:t xml:space="preserve"> oddělil </w:t>
      </w:r>
      <w:r w:rsidR="00056390">
        <w:rPr>
          <w:rStyle w:val="FontStyle129"/>
          <w:rFonts w:ascii="Calibri" w:hAnsi="Calibri"/>
          <w:sz w:val="24"/>
        </w:rPr>
        <w:t xml:space="preserve">božské </w:t>
      </w:r>
      <w:r w:rsidR="08203F49" w:rsidRPr="003D1E07">
        <w:rPr>
          <w:rStyle w:val="FontStyle129"/>
          <w:rFonts w:ascii="Calibri" w:hAnsi="Calibri"/>
          <w:sz w:val="24"/>
        </w:rPr>
        <w:t xml:space="preserve">intence stvoření od boží esence (kap. 2.2). </w:t>
      </w:r>
      <w:r w:rsidR="08E027D7" w:rsidRPr="003D1E07">
        <w:t xml:space="preserve">Reflexivní schopnost božského a lidského intelektu u Ibn Ádího založila novou predikaci </w:t>
      </w:r>
      <w:r w:rsidR="08E027D7" w:rsidRPr="003D1E07">
        <w:rPr>
          <w:i/>
        </w:rPr>
        <w:t>per prius</w:t>
      </w:r>
      <w:r w:rsidR="08E027D7" w:rsidRPr="003D1E07">
        <w:t>, která platí kategoriálně. Primární mnohost vznikla přímo uvnitř božího intelektu, protože boží osoby v Trojici tvoří jednu substanci a dělí se pouze odlišným aktem sebereflexe. Až ve druhém kroku vzniká díky božímu stvořitelskému myšlení řada diferencí hierarchicky</w:t>
      </w:r>
      <w:r w:rsidR="08E027D7" w:rsidRPr="003D1E07">
        <w:rPr>
          <w:sz w:val="22"/>
        </w:rPr>
        <w:t xml:space="preserve"> </w:t>
      </w:r>
      <w:r w:rsidR="08E027D7" w:rsidRPr="003D1E07">
        <w:t>závislých na prvním aktu myšlení. Avicenna přebírá tuto nauku o činném intelektu</w:t>
      </w:r>
      <w:r w:rsidR="089703D7" w:rsidRPr="003D1E07">
        <w:t>, který produkuje</w:t>
      </w:r>
      <w:r w:rsidR="08E027D7" w:rsidRPr="003D1E07">
        <w:t xml:space="preserve"> imanentní obsahy</w:t>
      </w:r>
      <w:r w:rsidR="089703D7" w:rsidRPr="003D1E07">
        <w:t>. Tato nauka tvoří společný základ</w:t>
      </w:r>
      <w:r w:rsidR="08E027D7" w:rsidRPr="003D1E07">
        <w:t xml:space="preserve"> </w:t>
      </w:r>
      <w:r w:rsidR="00CF76C0">
        <w:t>moderní ontoteologie</w:t>
      </w:r>
      <w:r w:rsidR="006E5109">
        <w:t>. M</w:t>
      </w:r>
      <w:r w:rsidR="00CF76C0">
        <w:t xml:space="preserve">oderní </w:t>
      </w:r>
      <w:r w:rsidR="08E027D7" w:rsidRPr="003D1E07">
        <w:t>b</w:t>
      </w:r>
      <w:r w:rsidR="089703D7" w:rsidRPr="003D1E07">
        <w:t>ůh</w:t>
      </w:r>
      <w:r w:rsidR="08A31CB0" w:rsidRPr="003D1E07">
        <w:t xml:space="preserve"> objektivně tvoří</w:t>
      </w:r>
      <w:r w:rsidR="08E027D7" w:rsidRPr="003D1E07">
        <w:t xml:space="preserve"> svět v</w:t>
      </w:r>
      <w:r w:rsidR="006E5109">
        <w:t xml:space="preserve"> bizarním </w:t>
      </w:r>
      <w:r w:rsidR="089703D7" w:rsidRPr="003D1E07">
        <w:rPr>
          <w:i/>
        </w:rPr>
        <w:t>creatio</w:t>
      </w:r>
      <w:r w:rsidR="089703D7" w:rsidRPr="003D1E07">
        <w:t xml:space="preserve"> </w:t>
      </w:r>
      <w:r w:rsidR="08E027D7" w:rsidRPr="003D1E07">
        <w:rPr>
          <w:i/>
        </w:rPr>
        <w:t>ex nihilo</w:t>
      </w:r>
      <w:r w:rsidR="08E027D7" w:rsidRPr="003D1E07">
        <w:rPr>
          <w:i/>
          <w:lang w:eastAsia="en-US"/>
        </w:rPr>
        <w:fldChar w:fldCharType="begin"/>
      </w:r>
      <w:r w:rsidR="08E027D7" w:rsidRPr="003D1E07">
        <w:instrText xml:space="preserve"> XE "</w:instrText>
      </w:r>
      <w:r w:rsidR="08E027D7" w:rsidRPr="003D1E07">
        <w:rPr>
          <w:i/>
        </w:rPr>
        <w:instrText>creatio ex nihilo</w:instrText>
      </w:r>
      <w:r w:rsidR="08E027D7" w:rsidRPr="003D1E07">
        <w:instrText xml:space="preserve">" </w:instrText>
      </w:r>
      <w:r w:rsidR="08E027D7" w:rsidRPr="003D1E07">
        <w:rPr>
          <w:i/>
          <w:lang w:eastAsia="en-US"/>
        </w:rPr>
        <w:fldChar w:fldCharType="end"/>
      </w:r>
      <w:r w:rsidR="00F80626">
        <w:t xml:space="preserve"> daném v jeho osvícené mysli</w:t>
      </w:r>
      <w:r w:rsidR="006E5109">
        <w:t xml:space="preserve">. </w:t>
      </w:r>
      <w:r w:rsidR="00F80626">
        <w:t xml:space="preserve">Na štěstí je u toho alespoň jeden osvícený akademik a může ve druhém kroku podpořit toto objektivní </w:t>
      </w:r>
      <w:r w:rsidR="00F80626" w:rsidRPr="00F80626">
        <w:rPr>
          <w:i/>
        </w:rPr>
        <w:t>creatio</w:t>
      </w:r>
      <w:r w:rsidR="00F80626">
        <w:t xml:space="preserve">. </w:t>
      </w:r>
      <w:r w:rsidR="08203F49" w:rsidRPr="003D1E07">
        <w:rPr>
          <w:rStyle w:val="FontStyle129"/>
          <w:rFonts w:ascii="Calibri" w:hAnsi="Calibri"/>
          <w:sz w:val="24"/>
        </w:rPr>
        <w:t>N</w:t>
      </w:r>
      <w:r w:rsidR="008520B1" w:rsidRPr="003D1E07">
        <w:rPr>
          <w:rStyle w:val="addmd"/>
        </w:rPr>
        <w:t xml:space="preserve">a </w:t>
      </w:r>
      <w:r w:rsidR="006A3E15" w:rsidRPr="003D1E07">
        <w:rPr>
          <w:rStyle w:val="addmd"/>
        </w:rPr>
        <w:t xml:space="preserve">predikaci </w:t>
      </w:r>
      <w:r w:rsidR="008520B1" w:rsidRPr="003D1E07">
        <w:rPr>
          <w:rStyle w:val="addmd"/>
          <w:i/>
        </w:rPr>
        <w:t>per prius</w:t>
      </w:r>
      <w:r w:rsidR="008520B1" w:rsidRPr="003D1E07">
        <w:rPr>
          <w:rStyle w:val="addmd"/>
        </w:rPr>
        <w:t xml:space="preserve"> </w:t>
      </w:r>
      <w:r w:rsidR="006A3E15" w:rsidRPr="003D1E07">
        <w:rPr>
          <w:rStyle w:val="addmd"/>
        </w:rPr>
        <w:t xml:space="preserve">danou v modu </w:t>
      </w:r>
      <w:r w:rsidR="008520B1" w:rsidRPr="003D1E07">
        <w:rPr>
          <w:rStyle w:val="addmd"/>
        </w:rPr>
        <w:t xml:space="preserve">objektivního jsoucna </w:t>
      </w:r>
      <w:r w:rsidR="006A3E15" w:rsidRPr="003D1E07">
        <w:rPr>
          <w:rStyle w:val="addmd"/>
        </w:rPr>
        <w:t xml:space="preserve">musí navázat predikace v modu </w:t>
      </w:r>
      <w:r w:rsidR="006A3E15" w:rsidRPr="003D1E07">
        <w:rPr>
          <w:rStyle w:val="addmd"/>
          <w:i/>
        </w:rPr>
        <w:t>per posterius</w:t>
      </w:r>
      <w:r w:rsidR="006A3E15" w:rsidRPr="003D1E07">
        <w:rPr>
          <w:rStyle w:val="addmd"/>
        </w:rPr>
        <w:t xml:space="preserve">, jinak nevznikne metafyzika </w:t>
      </w:r>
      <w:r w:rsidR="006A3E15" w:rsidRPr="003D1E07">
        <w:rPr>
          <w:rStyle w:val="addmd"/>
          <w:i/>
        </w:rPr>
        <w:t>Modernorum</w:t>
      </w:r>
      <w:r w:rsidR="006A3E15" w:rsidRPr="003D1E07">
        <w:rPr>
          <w:rStyle w:val="addmd"/>
        </w:rPr>
        <w:t>.</w:t>
      </w:r>
    </w:p>
    <w:p w14:paraId="3351A667" w14:textId="77777777" w:rsidR="00D95BBD" w:rsidRPr="003D1E07" w:rsidRDefault="00D95BBD" w:rsidP="00D95BBD">
      <w:pPr>
        <w:ind w:firstLine="397"/>
        <w:rPr>
          <w:rStyle w:val="addmd"/>
          <w:lang w:eastAsia="en-US"/>
        </w:rPr>
      </w:pPr>
      <w:r w:rsidRPr="003D1E07">
        <w:rPr>
          <w:lang w:eastAsia="en-US"/>
        </w:rPr>
        <w:t xml:space="preserve">Avicenna stejně jako neoplatonici musí po etablování nového určení věci zavést i novou formu fyziky vztaženou k tělesu třetího druhu (kap. 1.3.3). Jeho </w:t>
      </w:r>
      <w:r w:rsidRPr="003D1E07">
        <w:rPr>
          <w:rFonts w:eastAsia="NewAster"/>
        </w:rPr>
        <w:t xml:space="preserve">určení objetivního tělesa navázalo na neoplatonskou tradici </w:t>
      </w:r>
      <w:r w:rsidRPr="003D1E07">
        <w:rPr>
          <w:rFonts w:eastAsia="NewAster"/>
          <w:i/>
        </w:rPr>
        <w:t>Isagoge</w:t>
      </w:r>
      <w:r w:rsidRPr="003D1E07">
        <w:rPr>
          <w:rFonts w:eastAsia="NewAster"/>
        </w:rPr>
        <w:t xml:space="preserve"> danou ve falsafě od Al-Kindího a Hunajna Ibn-Išáka. </w:t>
      </w:r>
      <w:r w:rsidRPr="003D1E07">
        <w:t>Islámská m</w:t>
      </w:r>
      <w:r w:rsidRPr="003D1E07">
        <w:rPr>
          <w:lang w:eastAsia="en-US"/>
        </w:rPr>
        <w:t xml:space="preserve">oderna převzala </w:t>
      </w:r>
      <w:r w:rsidRPr="003D1E07">
        <w:t>Simplikiovu teorii rozsažnosti, která definuje těleso v prostředí objektivních určení demiurgického diakosmu</w:t>
      </w:r>
      <w:r w:rsidRPr="003D1E07">
        <w:fldChar w:fldCharType="begin"/>
      </w:r>
      <w:r w:rsidRPr="003D1E07">
        <w:instrText xml:space="preserve"> XE "diakosmos" </w:instrText>
      </w:r>
      <w:r w:rsidRPr="003D1E07">
        <w:fldChar w:fldCharType="end"/>
      </w:r>
      <w:r w:rsidRPr="003D1E07">
        <w:t>,  tedy mimo aktuální danost materiálního tělesa</w:t>
      </w:r>
      <w:r>
        <w:t xml:space="preserve"> </w:t>
      </w:r>
      <w:r w:rsidRPr="003D1E07">
        <w:rPr>
          <w:rStyle w:val="addmd"/>
        </w:rPr>
        <w:t>(</w:t>
      </w:r>
      <w:r w:rsidRPr="003D1E07">
        <w:t>kap. 1.3.2</w:t>
      </w:r>
      <w:r w:rsidRPr="003D1E07">
        <w:rPr>
          <w:rStyle w:val="addmd"/>
        </w:rPr>
        <w:t>)</w:t>
      </w:r>
      <w:r w:rsidRPr="003D1E07">
        <w:t xml:space="preserve">. Klíčový princip zavedl Jamblichos v modu „Omezené‒Neomezené“. Neoplatonismus a po něm falsafa </w:t>
      </w:r>
      <w:r w:rsidRPr="003D1E07">
        <w:rPr>
          <w:rStyle w:val="addmd"/>
        </w:rPr>
        <w:t xml:space="preserve">vytvořila materii třetího druhu tím, že neurčené první látce přidala substanciální určení nové formy. Avicenna postupuje při určení objektivního tělesa podobným způsobem jako Simplikius. Díky výše uvedené minimální jsoucnosti a komitaci akcidentálních vlastností </w:t>
      </w:r>
      <w:r w:rsidRPr="003D1E07">
        <w:rPr>
          <w:rStyle w:val="addmd"/>
          <w:i/>
        </w:rPr>
        <w:t>per posterius</w:t>
      </w:r>
      <w:r w:rsidRPr="003D1E07">
        <w:rPr>
          <w:rStyle w:val="addmd"/>
        </w:rPr>
        <w:t xml:space="preserve"> vzniká objektivní určení tělesa jako nové</w:t>
      </w:r>
      <w:r>
        <w:rPr>
          <w:rStyle w:val="addmd"/>
        </w:rPr>
        <w:t xml:space="preserve"> substance </w:t>
      </w:r>
      <w:r w:rsidRPr="003D1E07">
        <w:rPr>
          <w:rStyle w:val="addmd"/>
        </w:rPr>
        <w:t>třetího druhu</w:t>
      </w:r>
      <w:r w:rsidRPr="003D1E07">
        <w:rPr>
          <w:rFonts w:eastAsia="NewAster"/>
        </w:rPr>
        <w:fldChar w:fldCharType="begin"/>
      </w:r>
      <w:r w:rsidRPr="003D1E07">
        <w:instrText xml:space="preserve"> XE "</w:instrText>
      </w:r>
      <w:r w:rsidRPr="003D1E07">
        <w:rPr>
          <w:rFonts w:eastAsia="NewAster"/>
        </w:rPr>
        <w:instrText>těleso:objektivní</w:instrText>
      </w:r>
      <w:r w:rsidRPr="003D1E07">
        <w:instrText xml:space="preserve">" </w:instrText>
      </w:r>
      <w:r w:rsidRPr="003D1E07">
        <w:rPr>
          <w:rFonts w:eastAsia="NewAster"/>
        </w:rPr>
        <w:fldChar w:fldCharType="end"/>
      </w:r>
      <w:r w:rsidRPr="003D1E07">
        <w:rPr>
          <w:rStyle w:val="addmd"/>
        </w:rPr>
        <w:t>.</w:t>
      </w:r>
    </w:p>
    <w:p w14:paraId="5E69881F" w14:textId="77777777" w:rsidR="00D95BBD" w:rsidRPr="003D1E07" w:rsidRDefault="00D95BBD" w:rsidP="00D95BBD">
      <w:pPr>
        <w:pStyle w:val="Citace"/>
        <w:rPr>
          <w:noProof/>
          <w:lang w:val="cs-CZ"/>
        </w:rPr>
      </w:pPr>
      <w:r w:rsidRPr="003D1E07">
        <w:rPr>
          <w:noProof/>
          <w:lang w:val="cs-CZ"/>
        </w:rPr>
        <w:t>„Pravá jistota o objektivně subsistujícím tělese (</w:t>
      </w:r>
      <w:r w:rsidRPr="003D1E07">
        <w:rPr>
          <w:i/>
          <w:lang w:val="cs-CZ"/>
        </w:rPr>
        <w:t>ipsum essendi corpus</w:t>
      </w:r>
      <w:r w:rsidRPr="003D1E07">
        <w:rPr>
          <w:noProof/>
          <w:lang w:val="cs-CZ"/>
        </w:rPr>
        <w:t>) a naše poznání tohoto objektivního tělesa nemá zapotřebí, aby těleso bylo dáno jako reálně určené (</w:t>
      </w:r>
      <w:r w:rsidRPr="003D1E07">
        <w:rPr>
          <w:i/>
          <w:noProof/>
          <w:lang w:val="cs-CZ"/>
        </w:rPr>
        <w:t>non eget ut sit finitum</w:t>
      </w:r>
      <w:r w:rsidRPr="003D1E07">
        <w:rPr>
          <w:noProof/>
          <w:lang w:val="cs-CZ"/>
        </w:rPr>
        <w:t>). Konečnost je akcidentální určení, které je materiálnímu tělesu přiřazeno v modu komitace (</w:t>
      </w:r>
      <w:r w:rsidRPr="003D1E07">
        <w:rPr>
          <w:i/>
          <w:noProof/>
          <w:lang w:val="cs-CZ"/>
        </w:rPr>
        <w:t xml:space="preserve">finitio </w:t>
      </w:r>
      <w:r w:rsidRPr="003D1E07">
        <w:rPr>
          <w:i/>
          <w:noProof/>
          <w:lang w:val="cs-CZ"/>
        </w:rPr>
        <w:lastRenderedPageBreak/>
        <w:t>enim accidentale est ei et comitans</w:t>
      </w:r>
      <w:r w:rsidRPr="003D1E07">
        <w:rPr>
          <w:noProof/>
          <w:lang w:val="cs-CZ"/>
        </w:rPr>
        <w:t>). K představě tělesa není třeba konečného tělesa. Kdo si představuje nekonečné těleso, tak nevytváří neexistující těleso, ani nepopírá konečné těleso tím, že vytváří novou představu.“ </w:t>
      </w:r>
      <w:r w:rsidRPr="003D1E07">
        <w:rPr>
          <w:rStyle w:val="Znakapoznpodarou"/>
          <w:noProof/>
          <w:lang w:val="cs-CZ"/>
        </w:rPr>
        <w:footnoteReference w:id="159"/>
      </w:r>
    </w:p>
    <w:p w14:paraId="1197EAC6" w14:textId="77777777" w:rsidR="00D95BBD" w:rsidRPr="003D1E07" w:rsidRDefault="00D95BBD" w:rsidP="00D95BBD">
      <w:pPr>
        <w:rPr>
          <w:rStyle w:val="addmd"/>
        </w:rPr>
      </w:pPr>
      <w:r w:rsidRPr="003D1E07">
        <w:rPr>
          <w:rStyle w:val="addmd"/>
        </w:rPr>
        <w:t>Citát prohlašuje konečnost tělesa za pouhý akcident daný v řádu formálního určení a za přidanou vlastnost (</w:t>
      </w:r>
      <w:r w:rsidRPr="003D1E07">
        <w:rPr>
          <w:i/>
        </w:rPr>
        <w:t>accidentale et comitans</w:t>
      </w:r>
      <w:r w:rsidRPr="003D1E07">
        <w:rPr>
          <w:rStyle w:val="addmd"/>
        </w:rPr>
        <w:t>). Komitace</w:t>
      </w:r>
      <w:r w:rsidRPr="003D1E07">
        <w:rPr>
          <w:rStyle w:val="addmd"/>
        </w:rPr>
        <w:fldChar w:fldCharType="begin"/>
      </w:r>
      <w:r w:rsidRPr="003D1E07">
        <w:instrText xml:space="preserve"> XE "komitace" </w:instrText>
      </w:r>
      <w:r w:rsidRPr="003D1E07">
        <w:rPr>
          <w:rStyle w:val="addmd"/>
        </w:rPr>
        <w:fldChar w:fldCharType="end"/>
      </w:r>
      <w:r w:rsidRPr="003D1E07">
        <w:rPr>
          <w:rStyle w:val="addmd"/>
        </w:rPr>
        <w:t xml:space="preserve"> formálních určení daných </w:t>
      </w:r>
      <w:r w:rsidRPr="003D1E07">
        <w:rPr>
          <w:rStyle w:val="addmd"/>
          <w:i/>
        </w:rPr>
        <w:t>per posterius</w:t>
      </w:r>
      <w:r w:rsidRPr="003D1E07">
        <w:rPr>
          <w:rStyle w:val="addmd"/>
        </w:rPr>
        <w:t xml:space="preserve"> vytváří v subjektivním modu </w:t>
      </w:r>
      <w:r w:rsidRPr="003D1E07">
        <w:rPr>
          <w:rStyle w:val="addmd"/>
          <w:i/>
        </w:rPr>
        <w:t>ex nihilo</w:t>
      </w:r>
      <w:r w:rsidRPr="003D1E07">
        <w:rPr>
          <w:rStyle w:val="addmd"/>
        </w:rPr>
        <w:t xml:space="preserve"> objektivní určení reálně existující jednotliviny. Fantazijní typ komitace nahradil původní komitaci Ibn Ádího danou na úrovni boží stvořitelské intence a reflexe (kap. 2.2). Formálně může být těleso i nekonečné, protože si je můžeme jako takové představit v imaginaci, i když v reálu neexistuje. Jediná formální podmínka nutná pro tuto nihilistickou kreaci kontradiktorního tělesa je dána skrze theurgickou diferenci mezi omezeným a neomezeným bytím jsoucna</w:t>
      </w:r>
      <w:r>
        <w:rPr>
          <w:rStyle w:val="addmd"/>
        </w:rPr>
        <w:t>, kter</w:t>
      </w:r>
      <w:r w:rsidRPr="003D1E07">
        <w:rPr>
          <w:rStyle w:val="addmd"/>
        </w:rPr>
        <w:t xml:space="preserve">ou vytvořil Jamblichos. Koncept objektivně nekonečného tělesa obsahuje subjektivní definici kvazi-fyzikálního tělesa </w:t>
      </w:r>
      <w:r>
        <w:rPr>
          <w:rStyle w:val="addmd"/>
        </w:rPr>
        <w:t xml:space="preserve">vytvořenou </w:t>
      </w:r>
      <w:r w:rsidRPr="003D1E07">
        <w:rPr>
          <w:rStyle w:val="addmd"/>
        </w:rPr>
        <w:t xml:space="preserve">prostřednictvím formální diference. </w:t>
      </w:r>
      <w:r>
        <w:rPr>
          <w:rStyle w:val="addmd"/>
        </w:rPr>
        <w:t xml:space="preserve">K tomu postačuje koncept </w:t>
      </w:r>
      <w:r w:rsidRPr="003D1E07">
        <w:rPr>
          <w:rStyle w:val="addmd"/>
        </w:rPr>
        <w:t>minimální jsoucnosti, která nahradila reálné těleso a hyparchickou predikaci</w:t>
      </w:r>
      <w:r>
        <w:rPr>
          <w:rStyle w:val="addmd"/>
        </w:rPr>
        <w:t xml:space="preserve"> danou skrze impozici</w:t>
      </w:r>
      <w:r w:rsidRPr="003D1E07">
        <w:rPr>
          <w:rStyle w:val="addmd"/>
        </w:rPr>
        <w:t>. Objektivní predikace je založena na formálním rozdílu, kterým se jedno objektivní těleso liší od druhého. Tento mentálně vytvořený předmět vzniká v mysli jako intence vztažená k objektivní esenci tělesa</w:t>
      </w:r>
      <w:r>
        <w:rPr>
          <w:rStyle w:val="addmd"/>
        </w:rPr>
        <w:t>. I</w:t>
      </w:r>
      <w:r w:rsidRPr="003D1E07">
        <w:rPr>
          <w:rStyle w:val="addmd"/>
        </w:rPr>
        <w:t xml:space="preserve">ntence objektivní </w:t>
      </w:r>
      <w:r w:rsidRPr="003D1E07">
        <w:rPr>
          <w:rStyle w:val="addmd"/>
          <w:i/>
        </w:rPr>
        <w:t>res</w:t>
      </w:r>
      <w:r w:rsidRPr="003D1E07">
        <w:rPr>
          <w:rStyle w:val="addmd"/>
        </w:rPr>
        <w:t xml:space="preserve"> stačí k tomu, aby intelekt vytvořil pro nekonečné těleso alespoň minimum jsoucnosti dané </w:t>
      </w:r>
      <w:r>
        <w:rPr>
          <w:rStyle w:val="addmd"/>
        </w:rPr>
        <w:t xml:space="preserve">posledním </w:t>
      </w:r>
      <w:r w:rsidRPr="003D1E07">
        <w:rPr>
          <w:rStyle w:val="addmd"/>
        </w:rPr>
        <w:t>rozdílem od nicoty (</w:t>
      </w:r>
      <w:r w:rsidRPr="003D1E07">
        <w:rPr>
          <w:i/>
        </w:rPr>
        <w:t>non imaginat corpus non corpus</w:t>
      </w:r>
      <w:r w:rsidRPr="003D1E07">
        <w:rPr>
          <w:rStyle w:val="addmd"/>
        </w:rPr>
        <w:t xml:space="preserve">). V této operaci se skrývá </w:t>
      </w:r>
      <w:r w:rsidRPr="003D1E07">
        <w:rPr>
          <w:rStyle w:val="addmd"/>
          <w:i/>
        </w:rPr>
        <w:t>Lichtung</w:t>
      </w:r>
      <w:r w:rsidRPr="003D1E07">
        <w:rPr>
          <w:rStyle w:val="addmd"/>
        </w:rPr>
        <w:t xml:space="preserve"> pravdy a nepravdy budoucího infinitezimálního počtu daného derivací a integrací</w:t>
      </w:r>
      <w:r w:rsidRPr="003D1E07">
        <w:rPr>
          <w:rStyle w:val="addmd"/>
        </w:rPr>
        <w:fldChar w:fldCharType="begin"/>
      </w:r>
      <w:r w:rsidRPr="003D1E07">
        <w:instrText xml:space="preserve"> XE "derivace" </w:instrText>
      </w:r>
      <w:r w:rsidRPr="003D1E07">
        <w:rPr>
          <w:rStyle w:val="addmd"/>
        </w:rPr>
        <w:fldChar w:fldCharType="end"/>
      </w:r>
      <w:r w:rsidRPr="003D1E07">
        <w:rPr>
          <w:rStyle w:val="addmd"/>
        </w:rPr>
        <w:t xml:space="preserve"> (OBJ II, kap. 1.4). Klíčové je užití dvou záporů </w:t>
      </w:r>
      <w:r w:rsidRPr="003D1E07">
        <w:rPr>
          <w:rStyle w:val="addmd"/>
          <w:i/>
        </w:rPr>
        <w:t>non</w:t>
      </w:r>
      <w:r w:rsidRPr="003D1E07">
        <w:rPr>
          <w:rStyle w:val="addmd"/>
        </w:rPr>
        <w:t>...</w:t>
      </w:r>
      <w:r w:rsidRPr="003D1E07">
        <w:rPr>
          <w:rStyle w:val="addmd"/>
          <w:i/>
        </w:rPr>
        <w:t>non</w:t>
      </w:r>
      <w:r>
        <w:rPr>
          <w:rStyle w:val="addmd"/>
        </w:rPr>
        <w:t xml:space="preserve">. Dvojnásobný zápor dává klad. Tato logická operace založila nový </w:t>
      </w:r>
      <w:r w:rsidRPr="00D44F94">
        <w:rPr>
          <w:rStyle w:val="addmd"/>
          <w:i/>
        </w:rPr>
        <w:t>modus ponens</w:t>
      </w:r>
      <w:r>
        <w:rPr>
          <w:rStyle w:val="addmd"/>
        </w:rPr>
        <w:t>, který vytvořil objektivní těleso</w:t>
      </w:r>
      <w:r w:rsidRPr="003D1E07">
        <w:rPr>
          <w:rStyle w:val="addmd"/>
        </w:rPr>
        <w:t xml:space="preserve"> třetího druhu. </w:t>
      </w:r>
      <w:r>
        <w:rPr>
          <w:rStyle w:val="addmd"/>
        </w:rPr>
        <w:t>Logickým v</w:t>
      </w:r>
      <w:r w:rsidRPr="003D1E07">
        <w:rPr>
          <w:rStyle w:val="addmd"/>
        </w:rPr>
        <w:t xml:space="preserve">yloučením třetího v dualistickém modu „minimální jsoucno </w:t>
      </w:r>
      <w:r w:rsidRPr="003D1E07">
        <w:t>–</w:t>
      </w:r>
      <w:r w:rsidRPr="003D1E07">
        <w:rPr>
          <w:rStyle w:val="addmd"/>
        </w:rPr>
        <w:t xml:space="preserve"> nejsoucno“ vznikl zcela formální význam tělesa vytvořený </w:t>
      </w:r>
      <w:r w:rsidRPr="003D1E07">
        <w:rPr>
          <w:rStyle w:val="addmd"/>
          <w:i/>
        </w:rPr>
        <w:t>ex nihilo</w:t>
      </w:r>
      <w:r w:rsidRPr="003D1E07">
        <w:rPr>
          <w:rStyle w:val="addmd"/>
          <w:i/>
        </w:rPr>
        <w:fldChar w:fldCharType="begin"/>
      </w:r>
      <w:r w:rsidRPr="003D1E07">
        <w:instrText xml:space="preserve"> XE "</w:instrText>
      </w:r>
      <w:r w:rsidRPr="003D1E07">
        <w:rPr>
          <w:rStyle w:val="addmd"/>
          <w:i/>
        </w:rPr>
        <w:instrText>creatio ex nihilo</w:instrText>
      </w:r>
      <w:r w:rsidRPr="003D1E07">
        <w:instrText xml:space="preserve">" </w:instrText>
      </w:r>
      <w:r w:rsidRPr="003D1E07">
        <w:rPr>
          <w:rStyle w:val="addmd"/>
          <w:i/>
        </w:rPr>
        <w:fldChar w:fldCharType="end"/>
      </w:r>
      <w:r w:rsidRPr="003D1E07">
        <w:rPr>
          <w:rStyle w:val="addmd"/>
        </w:rPr>
        <w:t>. Takový nihilismus by pro fyziku jistě odmítl Aristoteles a totéž udělali aristotelikové falsafy a scholastiky. Avicennovo určení jsoucna naopak přijal moderní Bonaventura a Olivi při predikaci minimální porce jsoucnosti, které stačí pouhý formální rozdíl od nicoty (</w:t>
      </w:r>
      <w:r w:rsidRPr="003D1E07">
        <w:rPr>
          <w:rStyle w:val="addmd"/>
          <w:i/>
        </w:rPr>
        <w:t>non repugnat esse</w:t>
      </w:r>
      <w:r w:rsidRPr="003D1E07">
        <w:rPr>
          <w:rStyle w:val="addmd"/>
          <w:i/>
        </w:rPr>
        <w:fldChar w:fldCharType="begin"/>
      </w:r>
      <w:r w:rsidRPr="003D1E07">
        <w:instrText xml:space="preserve"> XE "</w:instrText>
      </w:r>
      <w:r w:rsidRPr="003D1E07">
        <w:rPr>
          <w:rStyle w:val="addmd"/>
          <w:i/>
        </w:rPr>
        <w:instrText>non repugnat esse</w:instrText>
      </w:r>
      <w:r w:rsidRPr="003D1E07">
        <w:instrText xml:space="preserve">" </w:instrText>
      </w:r>
      <w:r w:rsidRPr="003D1E07">
        <w:rPr>
          <w:rStyle w:val="addmd"/>
          <w:i/>
        </w:rPr>
        <w:fldChar w:fldCharType="end"/>
      </w:r>
      <w:r w:rsidRPr="003D1E07">
        <w:rPr>
          <w:rStyle w:val="addmd"/>
        </w:rPr>
        <w:t>; OBJ III, kap. 5.1.1). Oddělení minimální porce jsoucnosti (</w:t>
      </w:r>
      <w:r w:rsidRPr="003D1E07">
        <w:rPr>
          <w:rStyle w:val="addmd"/>
          <w:i/>
        </w:rPr>
        <w:t>corpus</w:t>
      </w:r>
      <w:r>
        <w:rPr>
          <w:rStyle w:val="addmd"/>
          <w:i/>
        </w:rPr>
        <w:t xml:space="preserve"> </w:t>
      </w:r>
      <w:r>
        <w:rPr>
          <w:rStyle w:val="addmd"/>
        </w:rPr>
        <w:t xml:space="preserve">– </w:t>
      </w:r>
      <w:r w:rsidRPr="003D1E07">
        <w:rPr>
          <w:rStyle w:val="addmd"/>
          <w:i/>
        </w:rPr>
        <w:t>non corpus</w:t>
      </w:r>
      <w:r w:rsidRPr="003D1E07">
        <w:rPr>
          <w:rStyle w:val="addmd"/>
        </w:rPr>
        <w:t>) dané na úrovni druhé intence (</w:t>
      </w:r>
      <w:r w:rsidRPr="003D1E07">
        <w:rPr>
          <w:i/>
        </w:rPr>
        <w:t>ad imaginandum</w:t>
      </w:r>
      <w:r w:rsidRPr="003D1E07">
        <w:rPr>
          <w:rStyle w:val="addmd"/>
        </w:rPr>
        <w:t xml:space="preserve">) začalo hrát klíčovou </w:t>
      </w:r>
      <w:r w:rsidRPr="003D1E07">
        <w:rPr>
          <w:rStyle w:val="addmd"/>
        </w:rPr>
        <w:lastRenderedPageBreak/>
        <w:t>úlohu v myšlení Henryho z Gentu a Dunse Scota. Avicenna založil skrze minimální porci jsoucnosti moderní „metafyziku chiméry</w:t>
      </w:r>
      <w:r w:rsidRPr="003D1E07">
        <w:rPr>
          <w:rStyle w:val="addmd"/>
        </w:rPr>
        <w:fldChar w:fldCharType="begin"/>
      </w:r>
      <w:r w:rsidRPr="003D1E07">
        <w:instrText xml:space="preserve"> XE "chiméra" </w:instrText>
      </w:r>
      <w:r w:rsidRPr="003D1E07">
        <w:rPr>
          <w:rStyle w:val="addmd"/>
        </w:rPr>
        <w:fldChar w:fldCharType="end"/>
      </w:r>
      <w:r w:rsidRPr="003D1E07">
        <w:rPr>
          <w:rStyle w:val="addmd"/>
        </w:rPr>
        <w:t xml:space="preserve">“, kterou dokončí Gandavus (OBJ III, kap. 5.2.1). Al-Fárábího náhled formy skrze </w:t>
      </w:r>
      <w:r w:rsidRPr="003D1E07">
        <w:rPr>
          <w:rStyle w:val="addmd"/>
          <w:i/>
        </w:rPr>
        <w:t>intellectus adeptus</w:t>
      </w:r>
      <w:r w:rsidRPr="003D1E07">
        <w:rPr>
          <w:rStyle w:val="addmd"/>
        </w:rPr>
        <w:t xml:space="preserve"> dostal objektivní výměr, protože Avicenna vybavil objekt druhé intence </w:t>
      </w:r>
      <w:r>
        <w:rPr>
          <w:rStyle w:val="addmd"/>
        </w:rPr>
        <w:t>minimální dávkou jsoucnosti</w:t>
      </w:r>
      <w:r w:rsidRPr="003D1E07">
        <w:rPr>
          <w:rStyle w:val="addmd"/>
        </w:rPr>
        <w:t xml:space="preserve">. </w:t>
      </w:r>
      <w:r w:rsidRPr="003D1E07">
        <w:t>Nové bytí jsoucího determinuje minimální kvantum jsoucnosti, kterou stačí determinovat aktem pouhé formální denominace.</w:t>
      </w:r>
      <w:r w:rsidRPr="003D1E07">
        <w:rPr>
          <w:rStyle w:val="Znakapoznpodarou"/>
        </w:rPr>
        <w:footnoteReference w:id="160"/>
      </w:r>
      <w:r w:rsidRPr="003D1E07">
        <w:t xml:space="preserve"> </w:t>
      </w:r>
      <w:r>
        <w:t xml:space="preserve">Moderní fyzika </w:t>
      </w:r>
      <w:r w:rsidRPr="003D1E07">
        <w:rPr>
          <w:rStyle w:val="addmd"/>
        </w:rPr>
        <w:t>nepotřebuje pro abstrakci aktuální rozsažnost danou skrze aktuální první substanci, ale pouze logicky a formálně určenou rozsažnost danou intencionálním významem objektivního tělesa</w:t>
      </w:r>
      <w:r w:rsidRPr="003D1E07">
        <w:rPr>
          <w:rFonts w:eastAsia="NewAster"/>
        </w:rPr>
        <w:fldChar w:fldCharType="begin"/>
      </w:r>
      <w:r w:rsidRPr="003D1E07">
        <w:instrText xml:space="preserve"> XE "</w:instrText>
      </w:r>
      <w:r w:rsidRPr="003D1E07">
        <w:rPr>
          <w:rFonts w:eastAsia="NewAster"/>
        </w:rPr>
        <w:instrText>rozsažnost</w:instrText>
      </w:r>
      <w:r w:rsidRPr="003D1E07">
        <w:instrText xml:space="preserve">" </w:instrText>
      </w:r>
      <w:r w:rsidRPr="003D1E07">
        <w:rPr>
          <w:rFonts w:eastAsia="NewAster"/>
        </w:rPr>
        <w:fldChar w:fldCharType="end"/>
      </w:r>
      <w:r w:rsidRPr="003D1E07">
        <w:rPr>
          <w:rStyle w:val="addmd"/>
        </w:rPr>
        <w:t xml:space="preserve">. </w:t>
      </w:r>
      <w:r w:rsidRPr="003D1E07">
        <w:t>Těleso se definuje jako nedělitelná atomární substance</w:t>
      </w:r>
      <w:r w:rsidRPr="003D1E07">
        <w:fldChar w:fldCharType="begin"/>
      </w:r>
      <w:r w:rsidRPr="003D1E07">
        <w:instrText xml:space="preserve"> XE "těleso:třetího druhu" </w:instrText>
      </w:r>
      <w:r w:rsidRPr="003D1E07">
        <w:fldChar w:fldCharType="end"/>
      </w:r>
      <w:r w:rsidRPr="003D1E07">
        <w:t xml:space="preserve"> třetího druhu ve stylu neoplatonismu (kap. 1.3.1). </w:t>
      </w:r>
      <w:r w:rsidRPr="003D1E07">
        <w:rPr>
          <w:rStyle w:val="addmd"/>
        </w:rPr>
        <w:t>Avicennův citát ukazuje, že těleso třetího druhu může být vybavené i vlastnostmi, které nejsou možné pro reálné hylemorfické těleso, jako například nekonečnost (</w:t>
      </w:r>
      <w:r w:rsidRPr="003D1E07">
        <w:rPr>
          <w:i/>
        </w:rPr>
        <w:t>corpus infinitum</w:t>
      </w:r>
      <w:r w:rsidRPr="003D1E07">
        <w:t xml:space="preserve">). </w:t>
      </w:r>
      <w:r w:rsidRPr="003D1E07">
        <w:rPr>
          <w:rStyle w:val="addmd"/>
        </w:rPr>
        <w:t xml:space="preserve">Objektivní představivost Avicenny tím zavedla </w:t>
      </w:r>
      <w:r w:rsidRPr="003D1E07">
        <w:t xml:space="preserve">pojem fyzikální nekonečnosti nutný pro západní objektivní vědu, který pro latinskou scholastiku etabluje Bonaventura (OBJ III, kap. 4.1.1). </w:t>
      </w:r>
      <w:r w:rsidRPr="003D1E07">
        <w:rPr>
          <w:rStyle w:val="addmd"/>
        </w:rPr>
        <w:t>Reálně existující tělesa jsou určena aktuální třídimenzionalitou. Ale tato vlastnost je sama o sobě oddělena od nového určení tělesnosti dané mimo aktuální těleso, což poprvé provedli Simplikius a Filoponus (kap. 1.3.3). Koncept rozsažnosti jako čisté formy dané v náhledu mimo realitu determinuje formální logika typu „A</w:t>
      </w:r>
      <w:r>
        <w:rPr>
          <w:rStyle w:val="addmd"/>
        </w:rPr>
        <w:t xml:space="preserve"> </w:t>
      </w:r>
      <w:r w:rsidRPr="003D1E07">
        <w:rPr>
          <w:rStyle w:val="addmd"/>
          <w:rFonts w:cs="Calibri"/>
        </w:rPr>
        <w:t>≠</w:t>
      </w:r>
      <w:r>
        <w:rPr>
          <w:rStyle w:val="addmd"/>
          <w:rFonts w:cs="Calibri"/>
        </w:rPr>
        <w:t xml:space="preserve"> </w:t>
      </w:r>
      <w:r w:rsidRPr="003D1E07">
        <w:rPr>
          <w:rStyle w:val="addmd"/>
        </w:rPr>
        <w:t xml:space="preserve">non-A“. Neexistující imaginární nekonečné těleso je vzato o sobě, a dokonce dostane kvazi-aktuální existenci díky iluminaci od aktivního intelektu, který působí v duši skrze individuálně darovaný intelekt. Avicenna zakládá metafyzickou linii „Scotus-Descartes“ tím, že primární určení jsoucna probíhá na úrovni intelektu postaveného do vědecky pojaté imaginace. Platonská mytopoetika daná podobenstvím o </w:t>
      </w:r>
      <w:r>
        <w:rPr>
          <w:rStyle w:val="addmd"/>
        </w:rPr>
        <w:t xml:space="preserve">akademické </w:t>
      </w:r>
      <w:r w:rsidRPr="003D1E07">
        <w:rPr>
          <w:rStyle w:val="addmd"/>
        </w:rPr>
        <w:t>jeskyni dostala pod vedením Fúrií obje</w:t>
      </w:r>
      <w:r>
        <w:rPr>
          <w:rStyle w:val="addmd"/>
        </w:rPr>
        <w:t xml:space="preserve">ktivní a </w:t>
      </w:r>
      <w:r w:rsidRPr="003D1E07">
        <w:rPr>
          <w:rStyle w:val="addmd"/>
        </w:rPr>
        <w:t xml:space="preserve">vědeckou podobu </w:t>
      </w:r>
      <w:r>
        <w:rPr>
          <w:rStyle w:val="addmd"/>
        </w:rPr>
        <w:t xml:space="preserve">určenou zapomenutím reálného tělesa </w:t>
      </w:r>
      <w:r w:rsidRPr="003D1E07">
        <w:rPr>
          <w:rStyle w:val="addmd"/>
        </w:rPr>
        <w:t>(</w:t>
      </w:r>
      <w:r w:rsidRPr="003D1E07">
        <w:rPr>
          <w:bCs/>
          <w:i/>
          <w:szCs w:val="24"/>
        </w:rPr>
        <w:t>Seinsvergessenheit</w:t>
      </w:r>
      <w:r w:rsidRPr="003D1E07">
        <w:rPr>
          <w:bCs/>
          <w:i/>
          <w:szCs w:val="24"/>
        </w:rPr>
        <w:fldChar w:fldCharType="begin"/>
      </w:r>
      <w:r w:rsidRPr="003D1E07">
        <w:instrText xml:space="preserve"> XE "</w:instrText>
      </w:r>
      <w:r w:rsidRPr="003D1E07">
        <w:rPr>
          <w:bCs/>
          <w:i/>
          <w:szCs w:val="24"/>
        </w:rPr>
        <w:instrText>Seinsvergessenheit</w:instrText>
      </w:r>
      <w:r w:rsidRPr="003D1E07">
        <w:instrText xml:space="preserve">" </w:instrText>
      </w:r>
      <w:r w:rsidRPr="003D1E07">
        <w:rPr>
          <w:bCs/>
          <w:i/>
          <w:szCs w:val="24"/>
        </w:rPr>
        <w:fldChar w:fldCharType="end"/>
      </w:r>
      <w:r w:rsidRPr="003D1E07">
        <w:rPr>
          <w:bCs/>
          <w:szCs w:val="24"/>
        </w:rPr>
        <w:t>, kap. 1.2)</w:t>
      </w:r>
      <w:r w:rsidRPr="003D1E07">
        <w:rPr>
          <w:rStyle w:val="addmd"/>
        </w:rPr>
        <w:t>. Intelekt v rámci přímého náhledu na quidditu věcí (</w:t>
      </w:r>
      <w:r w:rsidRPr="003D1E07">
        <w:rPr>
          <w:rStyle w:val="addmd"/>
          <w:i/>
        </w:rPr>
        <w:t>denudatio</w:t>
      </w:r>
      <w:r w:rsidRPr="003D1E07">
        <w:rPr>
          <w:rStyle w:val="addmd"/>
        </w:rPr>
        <w:t>) nachází absolutní jistotu oddělenou od primární e</w:t>
      </w:r>
      <w:r>
        <w:rPr>
          <w:rStyle w:val="addmd"/>
        </w:rPr>
        <w:t xml:space="preserve">xistence jak jednotlivin, tak </w:t>
      </w:r>
      <w:r w:rsidRPr="003D1E07">
        <w:rPr>
          <w:rStyle w:val="addmd"/>
        </w:rPr>
        <w:t xml:space="preserve">univerzálií. </w:t>
      </w:r>
      <w:r w:rsidRPr="003D1E07">
        <w:rPr>
          <w:bCs/>
          <w:szCs w:val="24"/>
        </w:rPr>
        <w:t xml:space="preserve">Avicenna změnil aristotelské pojetí </w:t>
      </w:r>
      <w:r w:rsidRPr="003D1E07">
        <w:t xml:space="preserve">metafyzického </w:t>
      </w:r>
      <w:r w:rsidRPr="003D1E07">
        <w:rPr>
          <w:bCs/>
          <w:szCs w:val="24"/>
        </w:rPr>
        <w:t>dativu</w:t>
      </w:r>
      <w:r w:rsidRPr="003D1E07">
        <w:rPr>
          <w:bCs/>
          <w:szCs w:val="24"/>
        </w:rPr>
        <w:fldChar w:fldCharType="begin"/>
      </w:r>
      <w:r w:rsidRPr="003D1E07">
        <w:instrText xml:space="preserve"> XE "</w:instrText>
      </w:r>
      <w:r w:rsidRPr="003D1E07">
        <w:rPr>
          <w:i/>
        </w:rPr>
        <w:instrText>dativus metaphysicus</w:instrText>
      </w:r>
      <w:r w:rsidRPr="003D1E07">
        <w:instrText xml:space="preserve">" </w:instrText>
      </w:r>
      <w:r w:rsidRPr="003D1E07">
        <w:rPr>
          <w:bCs/>
          <w:szCs w:val="24"/>
        </w:rPr>
        <w:fldChar w:fldCharType="end"/>
      </w:r>
      <w:r w:rsidRPr="003D1E07">
        <w:rPr>
          <w:bCs/>
          <w:szCs w:val="24"/>
        </w:rPr>
        <w:t xml:space="preserve"> od první substance k Dárci forem. </w:t>
      </w:r>
      <w:r w:rsidRPr="003D1E07">
        <w:t>Určení kombinující Aristotelovu první a druhou substanci má minimální porci jsoucnosti danou čistě formálně</w:t>
      </w:r>
      <w:r>
        <w:t xml:space="preserve">. Nová fyzika začíná </w:t>
      </w:r>
      <w:r w:rsidRPr="003D1E07">
        <w:t>na rovině identity dané j</w:t>
      </w:r>
      <w:r>
        <w:t xml:space="preserve">ako minimální porce esenciality. Ta stačí </w:t>
      </w:r>
      <w:r w:rsidRPr="003D1E07">
        <w:t xml:space="preserve">k jednoznačné </w:t>
      </w:r>
      <w:r>
        <w:t>logické identitě objektivního individua</w:t>
      </w:r>
      <w:r w:rsidRPr="003D1E07">
        <w:t xml:space="preserve"> (</w:t>
      </w:r>
      <w:r w:rsidRPr="003D1E07">
        <w:rPr>
          <w:i/>
        </w:rPr>
        <w:t>est id quod est</w:t>
      </w:r>
      <w:r w:rsidRPr="003D1E07">
        <w:t>).</w:t>
      </w:r>
    </w:p>
    <w:p w14:paraId="0C167BC9" w14:textId="77777777" w:rsidR="00D95BBD" w:rsidRPr="003D1E07" w:rsidRDefault="00D95BBD" w:rsidP="00D95BBD">
      <w:pPr>
        <w:pStyle w:val="Citace"/>
        <w:rPr>
          <w:rStyle w:val="addmd"/>
          <w:noProof/>
          <w:lang w:val="cs-CZ"/>
        </w:rPr>
      </w:pPr>
      <w:r w:rsidRPr="003D1E07">
        <w:rPr>
          <w:rStyle w:val="addmd"/>
          <w:noProof/>
          <w:lang w:val="cs-CZ"/>
        </w:rPr>
        <w:lastRenderedPageBreak/>
        <w:t>„Těleso je třeba chápat jako substanci a její formální akt objektivní existence (</w:t>
      </w:r>
      <w:r w:rsidRPr="003D1E07">
        <w:rPr>
          <w:rStyle w:val="addmd"/>
          <w:i/>
          <w:noProof/>
          <w:lang w:val="cs-CZ"/>
        </w:rPr>
        <w:t>qua est</w:t>
      </w:r>
      <w:r w:rsidRPr="003D1E07">
        <w:rPr>
          <w:rStyle w:val="addmd"/>
          <w:noProof/>
          <w:lang w:val="cs-CZ"/>
        </w:rPr>
        <w:t>) je dán tím, čím je tato věc jako taková (</w:t>
      </w:r>
      <w:r w:rsidRPr="003D1E07">
        <w:rPr>
          <w:i/>
          <w:noProof/>
          <w:lang w:val="cs-CZ"/>
        </w:rPr>
        <w:t xml:space="preserve">id </w:t>
      </w:r>
      <w:r w:rsidRPr="003D1E07">
        <w:rPr>
          <w:i/>
          <w:lang w:val="cs-CZ"/>
        </w:rPr>
        <w:t>quod est</w:t>
      </w:r>
      <w:r w:rsidRPr="003D1E07">
        <w:rPr>
          <w:rStyle w:val="addmd"/>
          <w:noProof/>
          <w:lang w:val="cs-CZ"/>
        </w:rPr>
        <w:t xml:space="preserve">).“ </w:t>
      </w:r>
      <w:r w:rsidRPr="003D1E07">
        <w:rPr>
          <w:rStyle w:val="Znakapoznpodarou"/>
          <w:noProof/>
          <w:lang w:val="cs-CZ"/>
        </w:rPr>
        <w:footnoteReference w:id="161"/>
      </w:r>
    </w:p>
    <w:p w14:paraId="559776EE" w14:textId="77777777" w:rsidR="00D95BBD" w:rsidRDefault="00D95BBD" w:rsidP="00D95BBD">
      <w:r w:rsidRPr="003D1E07">
        <w:rPr>
          <w:rStyle w:val="addmd"/>
        </w:rPr>
        <w:t>Zdrojem objektivní existence tělesa třetího druhu se stává subsistentní forma, která má sama o sobě individuální určení (</w:t>
      </w:r>
      <w:r w:rsidRPr="003D1E07">
        <w:rPr>
          <w:i/>
        </w:rPr>
        <w:t>substantia cuius haec est forma</w:t>
      </w:r>
      <w:r w:rsidRPr="003D1E07">
        <w:rPr>
          <w:rStyle w:val="addmd"/>
        </w:rPr>
        <w:t>). Avicenna vytvořil po Simplikiovi nový druh substance-species</w:t>
      </w:r>
      <w:r w:rsidRPr="003D1E07">
        <w:rPr>
          <w:rStyle w:val="addmd"/>
          <w:i/>
        </w:rPr>
        <w:fldChar w:fldCharType="begin"/>
      </w:r>
      <w:r w:rsidRPr="003D1E07">
        <w:instrText xml:space="preserve"> XE "substance:Avicenna" </w:instrText>
      </w:r>
      <w:r w:rsidRPr="003D1E07">
        <w:rPr>
          <w:rStyle w:val="addmd"/>
          <w:i/>
        </w:rPr>
        <w:fldChar w:fldCharType="end"/>
      </w:r>
      <w:r w:rsidRPr="003D1E07">
        <w:rPr>
          <w:rStyle w:val="addmd"/>
        </w:rPr>
        <w:t xml:space="preserve">. </w:t>
      </w:r>
      <w:r w:rsidRPr="0044588B">
        <w:rPr>
          <w:rStyle w:val="addmd"/>
        </w:rPr>
        <w:t xml:space="preserve">Citát </w:t>
      </w:r>
      <w:r>
        <w:rPr>
          <w:rStyle w:val="addmd"/>
        </w:rPr>
        <w:t>po</w:t>
      </w:r>
      <w:r w:rsidRPr="0044588B">
        <w:rPr>
          <w:rStyle w:val="addmd"/>
        </w:rPr>
        <w:t xml:space="preserve">užívá modernizovaný </w:t>
      </w:r>
      <w:r w:rsidRPr="0044588B">
        <w:rPr>
          <w:rStyle w:val="addmd"/>
          <w:i/>
        </w:rPr>
        <w:t>modus essendi</w:t>
      </w:r>
      <w:r>
        <w:rPr>
          <w:rStyle w:val="addmd"/>
          <w:i/>
        </w:rPr>
        <w:fldChar w:fldCharType="begin"/>
      </w:r>
      <w:r>
        <w:instrText xml:space="preserve"> XE "</w:instrText>
      </w:r>
      <w:r w:rsidRPr="00792FF3">
        <w:rPr>
          <w:rStyle w:val="addmd"/>
          <w:i/>
        </w:rPr>
        <w:instrText>modus essendi</w:instrText>
      </w:r>
      <w:r>
        <w:instrText xml:space="preserve">" </w:instrText>
      </w:r>
      <w:r>
        <w:rPr>
          <w:rStyle w:val="addmd"/>
          <w:i/>
        </w:rPr>
        <w:fldChar w:fldCharType="end"/>
      </w:r>
      <w:r w:rsidRPr="0044588B">
        <w:rPr>
          <w:rStyle w:val="addmd"/>
        </w:rPr>
        <w:t xml:space="preserve"> (</w:t>
      </w:r>
      <w:r w:rsidRPr="0044588B">
        <w:rPr>
          <w:rStyle w:val="addmd"/>
          <w:i/>
        </w:rPr>
        <w:t>qua est</w:t>
      </w:r>
      <w:r w:rsidRPr="0044588B">
        <w:rPr>
          <w:rStyle w:val="addmd"/>
        </w:rPr>
        <w:t xml:space="preserve">), který v klasické metafyzice definuje pouze hyparchickou </w:t>
      </w:r>
      <w:r>
        <w:rPr>
          <w:rStyle w:val="addmd"/>
        </w:rPr>
        <w:t xml:space="preserve">první </w:t>
      </w:r>
      <w:r w:rsidRPr="0044588B">
        <w:rPr>
          <w:rStyle w:val="addmd"/>
        </w:rPr>
        <w:t>substanci.</w:t>
      </w:r>
      <w:r>
        <w:rPr>
          <w:rStyle w:val="addmd"/>
        </w:rPr>
        <w:t xml:space="preserve"> Nová f</w:t>
      </w:r>
      <w:r w:rsidRPr="003D1E07">
        <w:t xml:space="preserve">orma je sama o sobě subsistentním jsoucnem v objektivním modu aristotelské </w:t>
      </w:r>
      <w:r w:rsidRPr="003D1E07">
        <w:rPr>
          <w:i/>
        </w:rPr>
        <w:t>quidditas</w:t>
      </w:r>
      <w:r w:rsidRPr="003D1E07">
        <w:t xml:space="preserve"> a tím zakládá existenci tělesa (kap. 1.2). Definice tohoto tělesa třetího druhu obsahuje </w:t>
      </w:r>
      <w:r>
        <w:t>t</w:t>
      </w:r>
      <w:r w:rsidRPr="003D1E07">
        <w:t xml:space="preserve">rvalou objektivní formu s vlastním aktem </w:t>
      </w:r>
      <w:r>
        <w:t xml:space="preserve">minimálního </w:t>
      </w:r>
      <w:r w:rsidRPr="003D1E07">
        <w:t>bytí</w:t>
      </w:r>
      <w:r>
        <w:t xml:space="preserve">. Ta se pak kontigentně vyskytuje </w:t>
      </w:r>
      <w:r w:rsidRPr="003D1E07">
        <w:t xml:space="preserve">v materii. </w:t>
      </w:r>
      <w:r w:rsidRPr="003D1E07">
        <w:rPr>
          <w:rStyle w:val="addmd"/>
        </w:rPr>
        <w:t xml:space="preserve">Avicenna vytvořil novou </w:t>
      </w:r>
      <w:r w:rsidRPr="003D1E07">
        <w:t>komitaci</w:t>
      </w:r>
      <w:r w:rsidRPr="003D1E07">
        <w:fldChar w:fldCharType="begin"/>
      </w:r>
      <w:r w:rsidRPr="003D1E07">
        <w:instrText xml:space="preserve"> XE "komitace" </w:instrText>
      </w:r>
      <w:r w:rsidRPr="003D1E07">
        <w:fldChar w:fldCharType="end"/>
      </w:r>
      <w:r w:rsidRPr="003D1E07">
        <w:t xml:space="preserve"> ve sféře prototypické boží intencionality a současně změnil aristotelské pojetí materie. Ta dostala dualistickou podobu buď čisté intencionální potence nebo aktuální jednotliviny. Pak je materie určena buď hyleformicky na tělese, nebo objektivně v systému kosmických forem</w:t>
      </w:r>
      <w:r w:rsidRPr="003D1E07">
        <w:rPr>
          <w:rFonts w:eastAsia="NewAster"/>
        </w:rPr>
        <w:fldChar w:fldCharType="begin"/>
      </w:r>
      <w:r w:rsidRPr="003D1E07">
        <w:instrText xml:space="preserve"> XE "materie:třetího druhu" </w:instrText>
      </w:r>
      <w:r w:rsidRPr="003D1E07">
        <w:rPr>
          <w:rFonts w:eastAsia="NewAster"/>
        </w:rPr>
        <w:fldChar w:fldCharType="end"/>
      </w:r>
      <w:r w:rsidRPr="003D1E07">
        <w:t>.</w:t>
      </w:r>
      <w:r w:rsidRPr="003D1E07">
        <w:rPr>
          <w:rStyle w:val="Znakapoznpodarou"/>
        </w:rPr>
        <w:footnoteReference w:id="162"/>
      </w:r>
      <w:r w:rsidRPr="003D1E07">
        <w:t xml:space="preserve"> Látka jako čistá možnost recepce byla poprvé určena </w:t>
      </w:r>
      <w:r>
        <w:t>pro</w:t>
      </w:r>
      <w:r w:rsidRPr="003D1E07">
        <w:t xml:space="preserve">hyparchicky jako </w:t>
      </w:r>
      <w:r w:rsidRPr="003D1E07">
        <w:rPr>
          <w:i/>
        </w:rPr>
        <w:t>hypodoché</w:t>
      </w:r>
      <w:r w:rsidRPr="003D1E07">
        <w:rPr>
          <w:i/>
        </w:rPr>
        <w:fldChar w:fldCharType="begin"/>
      </w:r>
      <w:r w:rsidRPr="003D1E07">
        <w:instrText xml:space="preserve"> XE "</w:instrText>
      </w:r>
      <w:r w:rsidRPr="003D1E07">
        <w:rPr>
          <w:i/>
        </w:rPr>
        <w:instrText>hypodoché</w:instrText>
      </w:r>
      <w:r w:rsidRPr="003D1E07">
        <w:instrText xml:space="preserve">" </w:instrText>
      </w:r>
      <w:r w:rsidRPr="003D1E07">
        <w:rPr>
          <w:i/>
        </w:rPr>
        <w:fldChar w:fldCharType="end"/>
      </w:r>
      <w:r w:rsidRPr="003D1E07">
        <w:t xml:space="preserve"> v dialogu </w:t>
      </w:r>
      <w:r w:rsidRPr="003D1E07">
        <w:rPr>
          <w:i/>
        </w:rPr>
        <w:t>Timaios</w:t>
      </w:r>
      <w:r w:rsidRPr="003D1E07">
        <w:t xml:space="preserve"> (kap. 1.3.3). Tato hypostázovaná receptivita platonské materie byla doplněna o logickou </w:t>
      </w:r>
      <w:r>
        <w:t xml:space="preserve">a objektivní </w:t>
      </w:r>
      <w:r w:rsidRPr="003D1E07">
        <w:t>nutnost, která je původně dána v </w:t>
      </w:r>
      <w:r>
        <w:t xml:space="preserve">moderním bohu jako dárci </w:t>
      </w:r>
      <w:r w:rsidRPr="003D1E07">
        <w:t xml:space="preserve">forem. </w:t>
      </w:r>
      <w:r w:rsidRPr="00CE4DBD">
        <w:t xml:space="preserve">Kosmos modernistů představuje hermeneutickou elipsu se dvěma absurdními póly. Prvním pólem je neexistující </w:t>
      </w:r>
      <w:r w:rsidRPr="00CE4DBD">
        <w:rPr>
          <w:i/>
        </w:rPr>
        <w:t>materia prima</w:t>
      </w:r>
      <w:r w:rsidRPr="00CE4DBD">
        <w:t xml:space="preserve"> a druhým pólem je neexistující </w:t>
      </w:r>
      <w:r w:rsidRPr="00CE4DBD">
        <w:rPr>
          <w:i/>
        </w:rPr>
        <w:t>dator formarum</w:t>
      </w:r>
      <w:r w:rsidRPr="00CE4DBD">
        <w:t>.</w:t>
      </w:r>
      <w:r>
        <w:t xml:space="preserve"> </w:t>
      </w:r>
      <w:r w:rsidRPr="003D1E07">
        <w:t xml:space="preserve">Ontologický statut látky jako objektivní potence později využila škola </w:t>
      </w:r>
      <w:r w:rsidRPr="003D1E07">
        <w:rPr>
          <w:i/>
        </w:rPr>
        <w:t>Nominales</w:t>
      </w:r>
      <w:r w:rsidRPr="003D1E07">
        <w:t>, kde tato materie třetího druhu tvoří klíčovou složku pro tvorbu objektivního jsoucna (OBJ II, kap. 1.4). Z této koncepce vzniká kolem 1240 pojetí univerzálního hylemorfismu</w:t>
      </w:r>
      <w:r w:rsidRPr="003D1E07">
        <w:fldChar w:fldCharType="begin"/>
      </w:r>
      <w:r w:rsidRPr="003D1E07">
        <w:instrText xml:space="preserve"> XE "univerzální hylemorfismus" </w:instrText>
      </w:r>
      <w:r w:rsidRPr="003D1E07">
        <w:fldChar w:fldCharType="end"/>
      </w:r>
      <w:r w:rsidRPr="003D1E07">
        <w:t xml:space="preserve"> založené na desinterpretaci Averroesovy </w:t>
      </w:r>
      <w:r w:rsidRPr="003D1E07">
        <w:rPr>
          <w:i/>
        </w:rPr>
        <w:t>materia prima</w:t>
      </w:r>
      <w:r w:rsidRPr="003D1E07">
        <w:rPr>
          <w:i/>
        </w:rPr>
        <w:fldChar w:fldCharType="begin"/>
      </w:r>
      <w:r w:rsidRPr="003D1E07">
        <w:instrText xml:space="preserve"> XE "materie</w:instrText>
      </w:r>
      <w:r w:rsidRPr="003D1E07">
        <w:rPr>
          <w:i/>
        </w:rPr>
        <w:instrText>:materia prima</w:instrText>
      </w:r>
      <w:r w:rsidRPr="003D1E07">
        <w:instrText xml:space="preserve">" </w:instrText>
      </w:r>
      <w:r w:rsidRPr="003D1E07">
        <w:rPr>
          <w:i/>
        </w:rPr>
        <w:fldChar w:fldCharType="end"/>
      </w:r>
      <w:r w:rsidRPr="003D1E07">
        <w:t>. Modernisté vyložili tento koncept podle Avicennova modelu látky jako čisté potence, kterou ale hypostázovali do podoby substance třetího druhu (OBJ II, kap. 3.2). Pojetí materie a tělesa jako jsoucna třetího druhu bylo pro klasický aristotelismus nepřijatelné. Ibn Ádí kritizoval tehdejší neoplatoniky, kteří hypostázovali určení fyzikální substance (kap. 2.2)</w:t>
      </w:r>
      <w:r>
        <w:t>. Averroes zásadně odmítl</w:t>
      </w:r>
      <w:r w:rsidRPr="003D1E07">
        <w:t xml:space="preserve"> unifikaci jsoucna danou Avicennovým pojetím </w:t>
      </w:r>
      <w:r w:rsidRPr="003D1E07">
        <w:rPr>
          <w:i/>
        </w:rPr>
        <w:lastRenderedPageBreak/>
        <w:t>tertium ens</w:t>
      </w:r>
      <w:r w:rsidRPr="003D1E07">
        <w:t xml:space="preserve"> a považuje ji za tragický omyl myšlení (kap. 2.4.1). Al-Ghazálí a Averroes kritizovali moderní neoplatoniky a avicennisty ve falsafě.</w:t>
      </w:r>
      <w:r w:rsidRPr="003D1E07">
        <w:rPr>
          <w:rStyle w:val="addmd"/>
        </w:rPr>
        <w:t xml:space="preserve"> </w:t>
      </w:r>
      <w:r w:rsidRPr="003D1E07">
        <w:t xml:space="preserve">Školu latinských </w:t>
      </w:r>
      <w:r w:rsidRPr="003D1E07">
        <w:rPr>
          <w:i/>
        </w:rPr>
        <w:t>Modernorum</w:t>
      </w:r>
      <w:r w:rsidRPr="003D1E07">
        <w:t xml:space="preserve"> pak kritizují Roger Bacon, Albert Veliký, Tomáš Akvinský a Siger z Brabantu z podobného důvodu jako aristotelikové falsafy</w:t>
      </w:r>
      <w:r>
        <w:t>.</w:t>
      </w:r>
    </w:p>
    <w:p w14:paraId="5EF5ADC7" w14:textId="2EBA690B" w:rsidR="00D95BBD" w:rsidRDefault="00D95BBD" w:rsidP="00D95BBD">
      <w:pPr>
        <w:ind w:firstLine="397"/>
      </w:pPr>
      <w:r w:rsidRPr="003D1E07">
        <w:t>Aristotelova aktuálně existující první substance (τόδε τι</w:t>
      </w:r>
      <w:r w:rsidRPr="003D1E07">
        <w:fldChar w:fldCharType="begin"/>
      </w:r>
      <w:r w:rsidRPr="003D1E07">
        <w:instrText xml:space="preserve"> XE "substance:τόδε τι" </w:instrText>
      </w:r>
      <w:r w:rsidRPr="003D1E07">
        <w:fldChar w:fldCharType="end"/>
      </w:r>
      <w:r w:rsidRPr="003D1E07">
        <w:t>) dostala čistě formální obsah logicky odlišný od jiného formálního obsahu.</w:t>
      </w:r>
      <w:r w:rsidRPr="003D1E07">
        <w:rPr>
          <w:rStyle w:val="addmd"/>
        </w:rPr>
        <w:t xml:space="preserve"> Těleso třetího druhu nemůže mít aktuální rozsažnost. Ale může mít objektivně určenou rozsažnost. Ta se stala aktuální a subsistentní formou oddělenou od reálně existujícího tělesa (</w:t>
      </w:r>
      <w:r w:rsidRPr="003D1E07">
        <w:rPr>
          <w:i/>
        </w:rPr>
        <w:t>ad hoc ut ipsum sit corpus in effectu</w:t>
      </w:r>
      <w:r w:rsidRPr="003D1E07">
        <w:rPr>
          <w:rStyle w:val="addmd"/>
        </w:rPr>
        <w:t>).</w:t>
      </w:r>
      <w:r w:rsidRPr="003D1E07">
        <w:rPr>
          <w:rStyle w:val="Znakapoznpodarou"/>
        </w:rPr>
        <w:footnoteReference w:id="163"/>
      </w:r>
      <w:r w:rsidRPr="003D1E07">
        <w:rPr>
          <w:rStyle w:val="addmd"/>
        </w:rPr>
        <w:t xml:space="preserve"> </w:t>
      </w:r>
      <w:r w:rsidRPr="003D1E07">
        <w:t>Kvantita je chápána stejně jako čistá forma, tj. ve zvláštní formě „akcidence“, která v aktu objektivní vize světa připadne fantazijně představenému jsoucnu jako jeho nová vlastnost.</w:t>
      </w:r>
      <w:r w:rsidRPr="003D1E07">
        <w:rPr>
          <w:rStyle w:val="addmd"/>
        </w:rPr>
        <w:t xml:space="preserve"> Těleso určuje pouze fakt danosti nové kvazi-formy, která sama o sobě stačí k definici tělesa jako objektivně určené substance</w:t>
      </w:r>
      <w:r w:rsidRPr="003D1E07">
        <w:rPr>
          <w:rStyle w:val="addmd"/>
        </w:rPr>
        <w:fldChar w:fldCharType="begin"/>
      </w:r>
      <w:r w:rsidRPr="003D1E07">
        <w:instrText xml:space="preserve"> XE "substance:třetího druhu" </w:instrText>
      </w:r>
      <w:r w:rsidRPr="003D1E07">
        <w:rPr>
          <w:rStyle w:val="addmd"/>
        </w:rPr>
        <w:fldChar w:fldCharType="end"/>
      </w:r>
      <w:r w:rsidRPr="003D1E07">
        <w:rPr>
          <w:rStyle w:val="addmd"/>
        </w:rPr>
        <w:t xml:space="preserve"> (</w:t>
      </w:r>
      <w:r w:rsidRPr="003D1E07">
        <w:rPr>
          <w:i/>
        </w:rPr>
        <w:t>non est necesse esse in corpore tres dimensiones in effectu</w:t>
      </w:r>
      <w:r w:rsidRPr="003D1E07">
        <w:rPr>
          <w:rStyle w:val="addmd"/>
        </w:rPr>
        <w:t>).</w:t>
      </w:r>
      <w:r w:rsidRPr="003D1E07">
        <w:t xml:space="preserve"> Avicenna je zakladatelem vědecké představivosti založené objektivně. Imaginární těleso a jeho objektivní  nekonečnost založí u Bonaventury a později u Scota novou formu západní vědy. Tím vzniklo nové simulákrum vidění a vědění metafyziky jako další objektivní forma platonské mytopoetiky. Predikace minimální kvantity dané univerzálně (</w:t>
      </w:r>
      <w:r w:rsidRPr="003D1E07">
        <w:rPr>
          <w:i/>
        </w:rPr>
        <w:t>sunt ea quae accidunt quantitati ex hoc quos est quantitas</w:t>
      </w:r>
      <w:r w:rsidRPr="003D1E07">
        <w:t>) nepotřebuje určení dané na úrovni aktuálního materiálního tělesa (</w:t>
      </w:r>
      <w:r w:rsidRPr="003D1E07">
        <w:rPr>
          <w:i/>
        </w:rPr>
        <w:t xml:space="preserve">in definitione quarum non invenitur </w:t>
      </w:r>
      <w:r w:rsidRPr="003D1E07">
        <w:t>species</w:t>
      </w:r>
      <w:r w:rsidRPr="003D1E07">
        <w:rPr>
          <w:i/>
        </w:rPr>
        <w:t xml:space="preserve"> materiae nec virtus motus</w:t>
      </w:r>
      <w:r w:rsidRPr="003D1E07">
        <w:t xml:space="preserve">; </w:t>
      </w:r>
      <w:r w:rsidRPr="003D1E07">
        <w:rPr>
          <w:i/>
        </w:rPr>
        <w:t>Liber de philosophia prima</w:t>
      </w:r>
      <w:r w:rsidRPr="003D1E07">
        <w:t xml:space="preserve"> I.1, p. 2.27–28</w:t>
      </w:r>
      <w:r w:rsidRPr="003D1E07">
        <w:rPr>
          <w:rFonts w:eastAsia="NewAster"/>
        </w:rPr>
        <w:fldChar w:fldCharType="begin"/>
      </w:r>
      <w:r w:rsidRPr="003D1E07">
        <w:instrText xml:space="preserve"> XE "Avicenna:</w:instrText>
      </w:r>
      <w:r w:rsidRPr="003D1E07">
        <w:rPr>
          <w:i/>
        </w:rPr>
        <w:instrText>Liber de philosophia prima</w:instrText>
      </w:r>
      <w:r w:rsidRPr="003D1E07">
        <w:instrText xml:space="preserve"> 2.27‒28" </w:instrText>
      </w:r>
      <w:r w:rsidRPr="003D1E07">
        <w:rPr>
          <w:rFonts w:eastAsia="NewAster"/>
        </w:rPr>
        <w:fldChar w:fldCharType="end"/>
      </w:r>
      <w:r w:rsidRPr="003D1E07">
        <w:t xml:space="preserve">). Zásadní rozdíl mezi Simplikiem a Avicennou je v tom, že perský myslitel už nepotřebuje Jamblichovo schéma </w:t>
      </w:r>
      <w:r w:rsidRPr="003D1E07">
        <w:rPr>
          <w:rStyle w:val="addmd"/>
        </w:rPr>
        <w:t>„Omezené‒Neomezené</w:t>
      </w:r>
      <w:r w:rsidRPr="003D1E07">
        <w:rPr>
          <w:rStyle w:val="addmd"/>
        </w:rPr>
        <w:fldChar w:fldCharType="begin"/>
      </w:r>
      <w:r w:rsidRPr="003D1E07">
        <w:instrText xml:space="preserve"> XE "</w:instrText>
      </w:r>
      <w:r w:rsidRPr="003D1E07">
        <w:rPr>
          <w:rStyle w:val="addmd"/>
        </w:rPr>
        <w:instrText>Omezené‒Neomezené</w:instrText>
      </w:r>
      <w:r w:rsidRPr="003D1E07">
        <w:instrText xml:space="preserve">" </w:instrText>
      </w:r>
      <w:r w:rsidRPr="003D1E07">
        <w:rPr>
          <w:rStyle w:val="addmd"/>
        </w:rPr>
        <w:fldChar w:fldCharType="end"/>
      </w:r>
      <w:r w:rsidRPr="003D1E07">
        <w:rPr>
          <w:rStyle w:val="addmd"/>
        </w:rPr>
        <w:t>“, které tvoří formální určení substance na demiurgické úrovni (kap. 1.3.1). Osvícený intelekt má ve snu</w:t>
      </w:r>
      <w:r>
        <w:rPr>
          <w:rStyle w:val="addmd"/>
        </w:rPr>
        <w:t xml:space="preserve">, </w:t>
      </w:r>
      <w:r w:rsidRPr="003D1E07">
        <w:rPr>
          <w:rStyle w:val="addmd"/>
        </w:rPr>
        <w:t>v mystickém vidění</w:t>
      </w:r>
      <w:r>
        <w:rPr>
          <w:rStyle w:val="addmd"/>
        </w:rPr>
        <w:t xml:space="preserve"> nebo ve vědecké imaginaci </w:t>
      </w:r>
      <w:r w:rsidRPr="003D1E07">
        <w:rPr>
          <w:rStyle w:val="addmd"/>
        </w:rPr>
        <w:t>přímý intuitivní náhled do říše čistých forem (</w:t>
      </w:r>
      <w:r w:rsidRPr="003D1E07">
        <w:rPr>
          <w:i/>
        </w:rPr>
        <w:t>equinitas tantum</w:t>
      </w:r>
      <w:r w:rsidRPr="003D1E07">
        <w:rPr>
          <w:rStyle w:val="FontStyle129"/>
          <w:rFonts w:ascii="Calibri" w:hAnsi="Calibri"/>
          <w:i/>
          <w:sz w:val="22"/>
        </w:rPr>
        <w:fldChar w:fldCharType="begin"/>
      </w:r>
      <w:r w:rsidRPr="003D1E07">
        <w:instrText xml:space="preserve"> XE "objektivita:</w:instrText>
      </w:r>
      <w:r w:rsidRPr="003D1E07">
        <w:rPr>
          <w:i/>
        </w:rPr>
        <w:instrText>equinitas tantum</w:instrText>
      </w:r>
      <w:r w:rsidRPr="003D1E07">
        <w:instrText xml:space="preserve">" </w:instrText>
      </w:r>
      <w:r w:rsidRPr="003D1E07">
        <w:rPr>
          <w:rStyle w:val="FontStyle129"/>
          <w:rFonts w:ascii="Calibri" w:hAnsi="Calibri"/>
          <w:i/>
          <w:sz w:val="22"/>
        </w:rPr>
        <w:fldChar w:fldCharType="end"/>
      </w:r>
      <w:r w:rsidRPr="003D1E07">
        <w:t xml:space="preserve">). Avicenna našel </w:t>
      </w:r>
      <w:r w:rsidRPr="003D1E07">
        <w:rPr>
          <w:rStyle w:val="addmd"/>
        </w:rPr>
        <w:t>určení substance v řádu pouhé jsoucnosti jako takové (</w:t>
      </w:r>
      <w:r w:rsidRPr="003D1E07">
        <w:rPr>
          <w:rStyle w:val="addmd"/>
          <w:i/>
        </w:rPr>
        <w:t>hoc esse tantum</w:t>
      </w:r>
      <w:r w:rsidRPr="003D1E07">
        <w:rPr>
          <w:rStyle w:val="addmd"/>
          <w:i/>
        </w:rPr>
        <w:fldChar w:fldCharType="begin"/>
      </w:r>
      <w:r w:rsidRPr="003D1E07">
        <w:instrText xml:space="preserve"> XE "</w:instrText>
      </w:r>
      <w:r w:rsidRPr="003D1E07">
        <w:rPr>
          <w:i/>
          <w:lang w:eastAsia="en-US"/>
        </w:rPr>
        <w:instrText>hoc esse tantum</w:instrText>
      </w:r>
      <w:r w:rsidRPr="003D1E07">
        <w:instrText xml:space="preserve">" </w:instrText>
      </w:r>
      <w:r w:rsidRPr="003D1E07">
        <w:rPr>
          <w:rStyle w:val="addmd"/>
          <w:i/>
        </w:rPr>
        <w:fldChar w:fldCharType="end"/>
      </w:r>
      <w:r w:rsidRPr="003D1E07">
        <w:rPr>
          <w:rStyle w:val="addmd"/>
        </w:rPr>
        <w:t xml:space="preserve">). Této čisté vize bytí dosáhl eidetický náhled v rámci nového pojetí intencionality dané po uzávorkování smyslové reality. Objektivní forma bytí jsoucna vznikla formálním rozdílem mezi libovolným jsoucnem a čistou nicotou. Antičtí ilumináti se na materiální svět dívali z pozice božího oka v modu mystického sestupu subsistentních forem. Iluminát potřebuje moderního boha proto, aby mohl vstoupit do jeho demiurgické mysli na počátek stvoření, kdy je myšlená věc v božím intelektu oddělena pouze od nebytí. </w:t>
      </w:r>
      <w:r w:rsidRPr="003D1E07">
        <w:lastRenderedPageBreak/>
        <w:t xml:space="preserve">Avicennovo pojetí dedukce jako vyvádění forem z původního základu čisté jsoucnosti později přeberou latinští avicennisté. </w:t>
      </w:r>
      <w:r w:rsidRPr="003D1E07">
        <w:rPr>
          <w:rStyle w:val="addmd"/>
        </w:rPr>
        <w:t xml:space="preserve">Jindřich z Gentu a Duns Scotus dají po vzoru Avicenny minimální porci </w:t>
      </w:r>
      <w:r>
        <w:rPr>
          <w:rStyle w:val="addmd"/>
        </w:rPr>
        <w:t xml:space="preserve">jsoucnosti </w:t>
      </w:r>
      <w:r w:rsidRPr="003D1E07">
        <w:rPr>
          <w:rStyle w:val="addmd"/>
        </w:rPr>
        <w:t>(</w:t>
      </w:r>
      <w:r w:rsidRPr="003D1E07">
        <w:rPr>
          <w:i/>
        </w:rPr>
        <w:t>hoc esse est tantum</w:t>
      </w:r>
      <w:r w:rsidRPr="003D1E07">
        <w:rPr>
          <w:i/>
        </w:rPr>
        <w:fldChar w:fldCharType="begin"/>
      </w:r>
      <w:r w:rsidRPr="003D1E07">
        <w:instrText xml:space="preserve"> XE "</w:instrText>
      </w:r>
      <w:r w:rsidRPr="003D1E07">
        <w:rPr>
          <w:rStyle w:val="FontStyle129"/>
          <w:rFonts w:ascii="Calibri" w:hAnsi="Calibri"/>
          <w:i/>
          <w:sz w:val="24"/>
        </w:rPr>
        <w:instrText>tantum esse</w:instrText>
      </w:r>
      <w:r w:rsidRPr="003D1E07">
        <w:instrText xml:space="preserve">" </w:instrText>
      </w:r>
      <w:r w:rsidRPr="003D1E07">
        <w:rPr>
          <w:i/>
        </w:rPr>
        <w:fldChar w:fldCharType="end"/>
      </w:r>
      <w:r w:rsidRPr="003D1E07">
        <w:rPr>
          <w:rStyle w:val="addmd"/>
        </w:rPr>
        <w:t xml:space="preserve">) do </w:t>
      </w:r>
      <w:r>
        <w:rPr>
          <w:rStyle w:val="addmd"/>
        </w:rPr>
        <w:t xml:space="preserve">moderního </w:t>
      </w:r>
      <w:r w:rsidRPr="003D1E07">
        <w:rPr>
          <w:rStyle w:val="addmd"/>
        </w:rPr>
        <w:t>boha</w:t>
      </w:r>
      <w:r>
        <w:rPr>
          <w:rStyle w:val="addmd"/>
        </w:rPr>
        <w:t xml:space="preserve">. Toto objektivně zajištěné jsoucno </w:t>
      </w:r>
      <w:r w:rsidRPr="003D1E07">
        <w:rPr>
          <w:rStyle w:val="addmd"/>
        </w:rPr>
        <w:t>(</w:t>
      </w:r>
      <w:r w:rsidRPr="003D1E07">
        <w:rPr>
          <w:rStyle w:val="addmd"/>
          <w:i/>
        </w:rPr>
        <w:t>ens ratum</w:t>
      </w:r>
      <w:r w:rsidRPr="003D1E07">
        <w:rPr>
          <w:rStyle w:val="addmd"/>
          <w:i/>
        </w:rPr>
        <w:fldChar w:fldCharType="begin"/>
      </w:r>
      <w:r w:rsidRPr="003D1E07">
        <w:instrText xml:space="preserve"> XE "</w:instrText>
      </w:r>
      <w:r w:rsidRPr="003D1E07">
        <w:rPr>
          <w:rStyle w:val="addmd"/>
          <w:i/>
        </w:rPr>
        <w:instrText>ens ratum</w:instrText>
      </w:r>
      <w:r w:rsidRPr="003D1E07">
        <w:instrText xml:space="preserve">" </w:instrText>
      </w:r>
      <w:r w:rsidRPr="003D1E07">
        <w:rPr>
          <w:rStyle w:val="addmd"/>
          <w:i/>
        </w:rPr>
        <w:fldChar w:fldCharType="end"/>
      </w:r>
      <w:r>
        <w:rPr>
          <w:rStyle w:val="addmd"/>
        </w:rPr>
        <w:t xml:space="preserve">) </w:t>
      </w:r>
      <w:r w:rsidRPr="003D1E07">
        <w:rPr>
          <w:rStyle w:val="addmd"/>
        </w:rPr>
        <w:t xml:space="preserve">vytvoří </w:t>
      </w:r>
      <w:r>
        <w:rPr>
          <w:rStyle w:val="addmd"/>
        </w:rPr>
        <w:t xml:space="preserve">základ pro </w:t>
      </w:r>
      <w:r w:rsidRPr="003D1E07">
        <w:rPr>
          <w:rStyle w:val="addmd"/>
        </w:rPr>
        <w:t xml:space="preserve">objektivní metafyziku latinské moderny. Avicennista Duns Scotus reagující na kritiku Rogera Bacona, Alberta Velikého a dalších aristoteliků se musel vrátit k Jamblichovu schématu „Omezené‒Neomezené“, ale změnil neoplatonské pojetí obou principů na aristotelské. Avicennovští modernisté vytvořili první ontoteologickou stavbu metafyziky tím, že stvořili moderního boha </w:t>
      </w:r>
      <w:r w:rsidRPr="003D1E07">
        <w:rPr>
          <w:rStyle w:val="addmd"/>
          <w:i/>
        </w:rPr>
        <w:t>ex nihilo</w:t>
      </w:r>
      <w:r w:rsidRPr="003D1E07">
        <w:rPr>
          <w:rStyle w:val="addmd"/>
        </w:rPr>
        <w:t>. Tato modla modernistů vytváří první určení jsoucna ve své nekonečné m</w:t>
      </w:r>
      <w:r>
        <w:rPr>
          <w:rStyle w:val="addmd"/>
        </w:rPr>
        <w:t>ysli a intencionalitě a tím určuje konečné stvoření. Tak vznikl koncept objektivně určeného tělesa, který založil objektivní historii západní vědy</w:t>
      </w:r>
      <w:r w:rsidRPr="003D1E07">
        <w:rPr>
          <w:rFonts w:eastAsia="NewAster"/>
        </w:rPr>
        <w:fldChar w:fldCharType="begin"/>
      </w:r>
      <w:r w:rsidRPr="003D1E07">
        <w:instrText xml:space="preserve"> XE "ontoteologie:Avicenna" </w:instrText>
      </w:r>
      <w:r w:rsidRPr="003D1E07">
        <w:rPr>
          <w:rFonts w:eastAsia="NewAster"/>
        </w:rPr>
        <w:fldChar w:fldCharType="end"/>
      </w:r>
      <w:r w:rsidRPr="003D1E07">
        <w:rPr>
          <w:rStyle w:val="addmd"/>
        </w:rPr>
        <w:t>.</w:t>
      </w:r>
    </w:p>
    <w:p w14:paraId="7E8AE5DC" w14:textId="3C918778" w:rsidR="08FA1368" w:rsidRPr="0049366E" w:rsidRDefault="006B3623" w:rsidP="003D6BD8">
      <w:pPr>
        <w:ind w:firstLine="397"/>
        <w:rPr>
          <w:szCs w:val="18"/>
        </w:rPr>
      </w:pPr>
      <w:r w:rsidRPr="003D1E07">
        <w:t xml:space="preserve">Proces </w:t>
      </w:r>
      <w:r w:rsidR="00491CB8">
        <w:t xml:space="preserve">sekundárního </w:t>
      </w:r>
      <w:r w:rsidRPr="003D1E07">
        <w:t>odvozování (</w:t>
      </w:r>
      <w:r w:rsidRPr="003D1E07">
        <w:rPr>
          <w:i/>
        </w:rPr>
        <w:t>comitatio</w:t>
      </w:r>
      <w:r w:rsidRPr="003D1E07">
        <w:t xml:space="preserve">) </w:t>
      </w:r>
      <w:r w:rsidR="00491CB8">
        <w:t xml:space="preserve">běží </w:t>
      </w:r>
      <w:r w:rsidR="00C55BF2" w:rsidRPr="003D1E07">
        <w:rPr>
          <w:i/>
        </w:rPr>
        <w:t>per posterius</w:t>
      </w:r>
      <w:r w:rsidR="00C55BF2" w:rsidRPr="003D1E07">
        <w:t xml:space="preserve"> </w:t>
      </w:r>
      <w:r w:rsidR="00F13E35" w:rsidRPr="003D1E07">
        <w:fldChar w:fldCharType="begin"/>
      </w:r>
      <w:r w:rsidR="00F13E35" w:rsidRPr="003D1E07">
        <w:instrText xml:space="preserve"> XE "predikace:</w:instrText>
      </w:r>
      <w:r w:rsidR="00F13E35" w:rsidRPr="003D1E07">
        <w:rPr>
          <w:i/>
        </w:rPr>
        <w:instrText>per posterius</w:instrText>
      </w:r>
      <w:r w:rsidR="00F13E35" w:rsidRPr="003D1E07">
        <w:instrText xml:space="preserve">" </w:instrText>
      </w:r>
      <w:r w:rsidR="00F13E35" w:rsidRPr="003D1E07">
        <w:fldChar w:fldCharType="end"/>
      </w:r>
      <w:r w:rsidR="00C55BF2" w:rsidRPr="003D1E07">
        <w:t xml:space="preserve">v rámci </w:t>
      </w:r>
      <w:r w:rsidRPr="003D1E07">
        <w:t>kategoriálních, formálních a ontologických určení</w:t>
      </w:r>
      <w:r w:rsidR="00491CB8">
        <w:t xml:space="preserve">. Ta jsou vyvozena </w:t>
      </w:r>
      <w:r w:rsidRPr="003D1E07">
        <w:t xml:space="preserve">od </w:t>
      </w:r>
      <w:r w:rsidR="00CC3C49" w:rsidRPr="003D1E07">
        <w:t xml:space="preserve">objektivního </w:t>
      </w:r>
      <w:r w:rsidR="001554E9">
        <w:t>významu na rovině „</w:t>
      </w:r>
      <w:r w:rsidR="00ED55D2" w:rsidRPr="003D1E07">
        <w:rPr>
          <w:i/>
        </w:rPr>
        <w:t>esse tantum</w:t>
      </w:r>
      <w:r w:rsidR="001554E9" w:rsidRPr="001554E9">
        <w:t>“</w:t>
      </w:r>
      <w:r w:rsidRPr="003D1E07">
        <w:t xml:space="preserve"> </w:t>
      </w:r>
      <w:r w:rsidR="00491CB8">
        <w:t xml:space="preserve">a lze je </w:t>
      </w:r>
      <w:r w:rsidRPr="003D1E07">
        <w:t xml:space="preserve">chápat různými způsoby. </w:t>
      </w:r>
      <w:r w:rsidR="08EE1889" w:rsidRPr="003D1E07">
        <w:t>T</w:t>
      </w:r>
      <w:r w:rsidRPr="003D1E07">
        <w:t>ranscendentální určení</w:t>
      </w:r>
      <w:r w:rsidR="00FD492E" w:rsidRPr="003D1E07">
        <w:t xml:space="preserve"> jsoucna lze chápat ve stylu Al</w:t>
      </w:r>
      <w:r w:rsidR="00FD492E" w:rsidRPr="003D1E07">
        <w:noBreakHyphen/>
      </w:r>
      <w:r w:rsidR="008E02F5" w:rsidRPr="003D1E07">
        <w:t>Fárábí</w:t>
      </w:r>
      <w:r w:rsidRPr="003D1E07">
        <w:t xml:space="preserve">ho jako zvláštní způsob predikace čisté jsoucnosti od Jednoho směrem k věčným </w:t>
      </w:r>
      <w:r w:rsidR="00552325" w:rsidRPr="003D1E07">
        <w:t xml:space="preserve">kosmickým formám </w:t>
      </w:r>
      <w:r w:rsidR="003E5569" w:rsidRPr="003D1E07">
        <w:t xml:space="preserve">a </w:t>
      </w:r>
      <w:r w:rsidR="00552325" w:rsidRPr="003D1E07">
        <w:t xml:space="preserve">inteligencím, </w:t>
      </w:r>
      <w:r w:rsidRPr="003D1E07">
        <w:t xml:space="preserve">a </w:t>
      </w:r>
      <w:r w:rsidR="003E5569" w:rsidRPr="003D1E07">
        <w:t xml:space="preserve">pak </w:t>
      </w:r>
      <w:r w:rsidRPr="003D1E07">
        <w:t xml:space="preserve">i směrem ke složeným </w:t>
      </w:r>
      <w:r w:rsidR="003E5569" w:rsidRPr="003D1E07">
        <w:t xml:space="preserve">hyleformickým </w:t>
      </w:r>
      <w:r w:rsidRPr="003D1E07">
        <w:t>substancím.</w:t>
      </w:r>
      <w:r w:rsidR="00FC6DA5" w:rsidRPr="003D1E07">
        <w:t xml:space="preserve"> </w:t>
      </w:r>
      <w:r w:rsidR="00535FC1" w:rsidRPr="003D1E07">
        <w:t xml:space="preserve">Středové postavení intelektu mezi světem materiálních a nemateriálních forem jsme analyzovali v díle </w:t>
      </w:r>
      <w:r w:rsidR="00535FC1" w:rsidRPr="003D1E07">
        <w:rPr>
          <w:i/>
        </w:rPr>
        <w:t>De intellectu et intellecto</w:t>
      </w:r>
      <w:r w:rsidR="00B568C5" w:rsidRPr="003D1E07">
        <w:t>, kde Al</w:t>
      </w:r>
      <w:r w:rsidR="00B568C5" w:rsidRPr="003D1E07">
        <w:noBreakHyphen/>
        <w:t>Fá</w:t>
      </w:r>
      <w:r w:rsidR="00535FC1" w:rsidRPr="003D1E07">
        <w:t xml:space="preserve">rábí novým způsobem situoval </w:t>
      </w:r>
      <w:r w:rsidR="00535FC1" w:rsidRPr="003D1E07">
        <w:rPr>
          <w:i/>
        </w:rPr>
        <w:t xml:space="preserve">intellectus adeptus </w:t>
      </w:r>
      <w:r w:rsidR="00535FC1" w:rsidRPr="003D1E07">
        <w:t>(kap. 2.1</w:t>
      </w:r>
      <w:r w:rsidR="08E027D7" w:rsidRPr="003D1E07">
        <w:t>.2</w:t>
      </w:r>
      <w:r w:rsidR="00535FC1" w:rsidRPr="003D1E07">
        <w:t>).</w:t>
      </w:r>
      <w:r w:rsidR="002336C9" w:rsidRPr="003D1E07">
        <w:t xml:space="preserve"> </w:t>
      </w:r>
      <w:r w:rsidRPr="003D1E07">
        <w:t xml:space="preserve">Viz uvedenou citaci z </w:t>
      </w:r>
      <w:r w:rsidR="001F61DE" w:rsidRPr="003D1E07">
        <w:t xml:space="preserve">jeho díla </w:t>
      </w:r>
      <w:r w:rsidR="0050360B" w:rsidRPr="003D1E07">
        <w:rPr>
          <w:i/>
        </w:rPr>
        <w:t>De intell</w:t>
      </w:r>
      <w:r w:rsidRPr="003D1E07">
        <w:rPr>
          <w:i/>
        </w:rPr>
        <w:t>ectu et intellecto</w:t>
      </w:r>
      <w:r w:rsidRPr="003D1E07">
        <w:t>, v níž se poznané jsoucno stává něčím jiným (</w:t>
      </w:r>
      <w:r w:rsidRPr="003D1E07">
        <w:rPr>
          <w:rStyle w:val="st"/>
          <w:i/>
        </w:rPr>
        <w:t>aliud esse</w:t>
      </w:r>
      <w:r w:rsidR="00F13E35" w:rsidRPr="003D1E07">
        <w:fldChar w:fldCharType="begin"/>
      </w:r>
      <w:r w:rsidR="00F13E35" w:rsidRPr="003D1E07">
        <w:instrText xml:space="preserve"> XE "</w:instrText>
      </w:r>
      <w:r w:rsidR="00F13E35" w:rsidRPr="003D1E07">
        <w:rPr>
          <w:rStyle w:val="st"/>
          <w:i/>
        </w:rPr>
        <w:instrText>aliud esse</w:instrText>
      </w:r>
      <w:r w:rsidR="08A53AA0" w:rsidRPr="003D1E07">
        <w:rPr>
          <w:rStyle w:val="st"/>
        </w:rPr>
        <w:instrText>:Avicenna</w:instrText>
      </w:r>
      <w:r w:rsidR="00F13E35" w:rsidRPr="003D1E07">
        <w:instrText xml:space="preserve">" </w:instrText>
      </w:r>
      <w:r w:rsidR="00F13E35" w:rsidRPr="003D1E07">
        <w:fldChar w:fldCharType="end"/>
      </w:r>
      <w:r w:rsidRPr="003D1E07">
        <w:rPr>
          <w:rStyle w:val="st"/>
        </w:rPr>
        <w:t xml:space="preserve">). </w:t>
      </w:r>
      <w:r w:rsidR="001F61DE" w:rsidRPr="003D1E07">
        <w:t xml:space="preserve">Tím vznikla nová signifikace </w:t>
      </w:r>
      <w:r w:rsidR="08A31CB0" w:rsidRPr="003D1E07">
        <w:t xml:space="preserve">objektivního </w:t>
      </w:r>
      <w:r w:rsidR="001F61DE" w:rsidRPr="003D1E07">
        <w:t>jsoucna postavenéh</w:t>
      </w:r>
      <w:r w:rsidR="08E027D7" w:rsidRPr="003D1E07">
        <w:t>o „za“ klasickou první substancí</w:t>
      </w:r>
      <w:r w:rsidR="001F61DE" w:rsidRPr="003D1E07">
        <w:t xml:space="preserve"> a za jejím hyparchickým bytím. </w:t>
      </w:r>
      <w:r w:rsidRPr="003D1E07">
        <w:rPr>
          <w:rStyle w:val="st"/>
        </w:rPr>
        <w:t xml:space="preserve">Avicenna vychází z této </w:t>
      </w:r>
      <w:r w:rsidR="08546275" w:rsidRPr="003D1E07">
        <w:rPr>
          <w:rStyle w:val="st"/>
        </w:rPr>
        <w:t xml:space="preserve">formy darovaného </w:t>
      </w:r>
      <w:r w:rsidRPr="003D1E07">
        <w:rPr>
          <w:rStyle w:val="st"/>
        </w:rPr>
        <w:t>intelektu</w:t>
      </w:r>
      <w:r w:rsidR="08546275" w:rsidRPr="003D1E07">
        <w:rPr>
          <w:rStyle w:val="st"/>
        </w:rPr>
        <w:t xml:space="preserve"> a odpovídajícího diakosmu</w:t>
      </w:r>
      <w:r w:rsidR="08E027D7" w:rsidRPr="003D1E07">
        <w:rPr>
          <w:rStyle w:val="st"/>
        </w:rPr>
        <w:t xml:space="preserve"> daného </w:t>
      </w:r>
      <w:r w:rsidR="083B608E" w:rsidRPr="003D1E07">
        <w:rPr>
          <w:rStyle w:val="st"/>
        </w:rPr>
        <w:t xml:space="preserve">u Druhého mistra </w:t>
      </w:r>
      <w:r w:rsidR="08E027D7" w:rsidRPr="003D1E07">
        <w:rPr>
          <w:rStyle w:val="st"/>
        </w:rPr>
        <w:t xml:space="preserve">jako třetí forma </w:t>
      </w:r>
      <w:r w:rsidR="08E027D7" w:rsidRPr="003D1E07">
        <w:rPr>
          <w:rStyle w:val="st"/>
          <w:i/>
        </w:rPr>
        <w:t>aliud esse</w:t>
      </w:r>
      <w:r w:rsidR="08546275" w:rsidRPr="003D1E07">
        <w:rPr>
          <w:rStyle w:val="st"/>
        </w:rPr>
        <w:t xml:space="preserve">. </w:t>
      </w:r>
      <w:r w:rsidR="08EE1889" w:rsidRPr="003D1E07">
        <w:t xml:space="preserve">To potvrzuje kosmologický rozvrh </w:t>
      </w:r>
      <w:r w:rsidR="08E027D7" w:rsidRPr="003D1E07">
        <w:t xml:space="preserve">Avicennovy </w:t>
      </w:r>
      <w:r w:rsidR="00E72A59" w:rsidRPr="003D1E07">
        <w:t xml:space="preserve">první </w:t>
      </w:r>
      <w:r w:rsidR="00DC0B24" w:rsidRPr="003D1E07">
        <w:t xml:space="preserve">filosofie </w:t>
      </w:r>
      <w:r w:rsidR="08EE1889" w:rsidRPr="003D1E07">
        <w:t xml:space="preserve">analyzovaný v následující kapitole. Koncept </w:t>
      </w:r>
      <w:r w:rsidR="08EE1889" w:rsidRPr="003D1E07">
        <w:rPr>
          <w:i/>
        </w:rPr>
        <w:t>tertium ens</w:t>
      </w:r>
      <w:r w:rsidR="003F16A5" w:rsidRPr="003D1E07">
        <w:rPr>
          <w:i/>
        </w:rPr>
        <w:fldChar w:fldCharType="begin"/>
      </w:r>
      <w:r w:rsidR="003F16A5" w:rsidRPr="003D1E07">
        <w:instrText xml:space="preserve"> XE "</w:instrText>
      </w:r>
      <w:r w:rsidR="003F16A5" w:rsidRPr="003D1E07">
        <w:rPr>
          <w:rStyle w:val="Zvraznn"/>
        </w:rPr>
        <w:instrText>tertium ens</w:instrText>
      </w:r>
      <w:r w:rsidR="00F13E35" w:rsidRPr="003D1E07">
        <w:rPr>
          <w:rStyle w:val="Zvraznn"/>
          <w:i w:val="0"/>
        </w:rPr>
        <w:instrText>:emanace</w:instrText>
      </w:r>
      <w:r w:rsidR="003F16A5" w:rsidRPr="003D1E07">
        <w:instrText xml:space="preserve">" </w:instrText>
      </w:r>
      <w:r w:rsidR="003F16A5" w:rsidRPr="003D1E07">
        <w:rPr>
          <w:i/>
        </w:rPr>
        <w:fldChar w:fldCharType="end"/>
      </w:r>
      <w:r w:rsidR="08EE1889" w:rsidRPr="003D1E07">
        <w:t xml:space="preserve"> generuje </w:t>
      </w:r>
      <w:r w:rsidR="08DE394A" w:rsidRPr="003D1E07">
        <w:t xml:space="preserve">ontoteologická </w:t>
      </w:r>
      <w:r w:rsidR="08EE1889" w:rsidRPr="003D1E07">
        <w:t xml:space="preserve">určení </w:t>
      </w:r>
      <w:r w:rsidR="0846613D" w:rsidRPr="003D1E07">
        <w:t>jsoucna</w:t>
      </w:r>
      <w:r w:rsidR="08EE1889" w:rsidRPr="003D1E07">
        <w:t xml:space="preserve"> v rámci </w:t>
      </w:r>
      <w:r w:rsidR="00874074" w:rsidRPr="003D1E07">
        <w:t>neoplatonsk</w:t>
      </w:r>
      <w:r w:rsidR="08EE1889" w:rsidRPr="003D1E07">
        <w:t>é stvořitelské emanace od Jednoho</w:t>
      </w:r>
      <w:r w:rsidR="00AB4BF6" w:rsidRPr="003D1E07">
        <w:t xml:space="preserve"> jako svrchovaného Dárce forem</w:t>
      </w:r>
      <w:r w:rsidR="00B467C9" w:rsidRPr="003D1E07">
        <w:fldChar w:fldCharType="begin"/>
      </w:r>
      <w:r w:rsidR="00B467C9" w:rsidRPr="003D1E07">
        <w:instrText xml:space="preserve"> XE "</w:instrText>
      </w:r>
      <w:r w:rsidR="00B467C9" w:rsidRPr="003D1E07">
        <w:rPr>
          <w:i/>
        </w:rPr>
        <w:instrText>Dator formarum</w:instrText>
      </w:r>
      <w:r w:rsidR="00B467C9" w:rsidRPr="003D1E07">
        <w:instrText xml:space="preserve">" </w:instrText>
      </w:r>
      <w:r w:rsidR="00B467C9" w:rsidRPr="003D1E07">
        <w:fldChar w:fldCharType="end"/>
      </w:r>
      <w:r w:rsidR="00AB4BF6" w:rsidRPr="003D1E07">
        <w:t>.</w:t>
      </w:r>
      <w:r w:rsidR="00B1167E" w:rsidRPr="003D1E07">
        <w:t xml:space="preserve"> </w:t>
      </w:r>
      <w:r w:rsidR="00A77F89" w:rsidRPr="003D1E07">
        <w:rPr>
          <w:lang w:eastAsia="en-US"/>
        </w:rPr>
        <w:t>V</w:t>
      </w:r>
      <w:r w:rsidR="00F512FC" w:rsidRPr="003D1E07">
        <w:rPr>
          <w:lang w:eastAsia="en-US"/>
        </w:rPr>
        <w:t>zniká nový</w:t>
      </w:r>
      <w:r w:rsidR="00D356A4" w:rsidRPr="003D1E07">
        <w:rPr>
          <w:lang w:eastAsia="en-US"/>
        </w:rPr>
        <w:t xml:space="preserve"> </w:t>
      </w:r>
      <w:r w:rsidR="00053782" w:rsidRPr="003D1E07">
        <w:rPr>
          <w:lang w:eastAsia="en-US"/>
        </w:rPr>
        <w:t xml:space="preserve">pohled na svět, kdy </w:t>
      </w:r>
      <w:r w:rsidR="08087655" w:rsidRPr="003D1E07">
        <w:rPr>
          <w:lang w:eastAsia="en-US"/>
        </w:rPr>
        <w:t xml:space="preserve">Al-Fárábího amfibolická </w:t>
      </w:r>
      <w:r w:rsidR="00053782" w:rsidRPr="003D1E07">
        <w:rPr>
          <w:lang w:eastAsia="en-US"/>
        </w:rPr>
        <w:t>jsoucno</w:t>
      </w:r>
      <w:r w:rsidR="08087655" w:rsidRPr="003D1E07">
        <w:rPr>
          <w:lang w:eastAsia="en-US"/>
        </w:rPr>
        <w:t>st</w:t>
      </w:r>
      <w:r w:rsidR="00053782" w:rsidRPr="003D1E07">
        <w:rPr>
          <w:lang w:eastAsia="en-US"/>
        </w:rPr>
        <w:t xml:space="preserve"> </w:t>
      </w:r>
      <w:r w:rsidR="08087655" w:rsidRPr="003D1E07">
        <w:rPr>
          <w:lang w:eastAsia="en-US"/>
        </w:rPr>
        <w:t xml:space="preserve">jako nová </w:t>
      </w:r>
      <w:r w:rsidR="000403AA" w:rsidRPr="003D1E07">
        <w:rPr>
          <w:lang w:eastAsia="en-US"/>
        </w:rPr>
        <w:t>věc (</w:t>
      </w:r>
      <w:r w:rsidR="000403AA" w:rsidRPr="003D1E07">
        <w:rPr>
          <w:i/>
          <w:lang w:eastAsia="en-US"/>
        </w:rPr>
        <w:t>res</w:t>
      </w:r>
      <w:r w:rsidR="00873D30" w:rsidRPr="003D1E07">
        <w:rPr>
          <w:rStyle w:val="addmd"/>
          <w:i/>
        </w:rPr>
        <w:fldChar w:fldCharType="begin"/>
      </w:r>
      <w:r w:rsidR="00873D30" w:rsidRPr="003D1E07">
        <w:instrText xml:space="preserve"> XE "věc:objektivní </w:instrText>
      </w:r>
      <w:r w:rsidR="00873D30" w:rsidRPr="003D1E07">
        <w:rPr>
          <w:i/>
        </w:rPr>
        <w:instrText>res</w:instrText>
      </w:r>
      <w:r w:rsidR="00873D30" w:rsidRPr="003D1E07">
        <w:instrText xml:space="preserve">" </w:instrText>
      </w:r>
      <w:r w:rsidR="00873D30" w:rsidRPr="003D1E07">
        <w:rPr>
          <w:rStyle w:val="addmd"/>
          <w:i/>
        </w:rPr>
        <w:fldChar w:fldCharType="end"/>
      </w:r>
      <w:r w:rsidR="000403AA" w:rsidRPr="003D1E07">
        <w:rPr>
          <w:lang w:eastAsia="en-US"/>
        </w:rPr>
        <w:t xml:space="preserve">) metafyziky </w:t>
      </w:r>
      <w:r w:rsidR="00053782" w:rsidRPr="003D1E07">
        <w:rPr>
          <w:lang w:eastAsia="en-US"/>
        </w:rPr>
        <w:t xml:space="preserve">dostává smysl skrze akt </w:t>
      </w:r>
      <w:r w:rsidR="00F512FC" w:rsidRPr="003D1E07">
        <w:rPr>
          <w:lang w:eastAsia="en-US"/>
        </w:rPr>
        <w:t>nasvícení zezadu</w:t>
      </w:r>
      <w:r w:rsidR="005D6A44" w:rsidRPr="003D1E07">
        <w:rPr>
          <w:i/>
          <w:lang w:eastAsia="en-US"/>
        </w:rPr>
        <w:fldChar w:fldCharType="begin"/>
      </w:r>
      <w:r w:rsidR="005D6A44" w:rsidRPr="003D1E07">
        <w:instrText xml:space="preserve"> XE "zjevování:nasvícení zezadu" </w:instrText>
      </w:r>
      <w:r w:rsidR="005D6A44" w:rsidRPr="003D1E07">
        <w:rPr>
          <w:i/>
          <w:lang w:eastAsia="en-US"/>
        </w:rPr>
        <w:fldChar w:fldCharType="end"/>
      </w:r>
      <w:r w:rsidR="00053782" w:rsidRPr="003D1E07">
        <w:rPr>
          <w:lang w:eastAsia="en-US"/>
        </w:rPr>
        <w:t xml:space="preserve">. </w:t>
      </w:r>
      <w:r w:rsidR="0075188D" w:rsidRPr="003D1E07">
        <w:rPr>
          <w:lang w:eastAsia="en-US"/>
        </w:rPr>
        <w:t>V</w:t>
      </w:r>
      <w:r w:rsidRPr="003D1E07">
        <w:rPr>
          <w:lang w:eastAsia="en-US"/>
        </w:rPr>
        <w:t>iz vý</w:t>
      </w:r>
      <w:r w:rsidR="08F006BC" w:rsidRPr="003D1E07">
        <w:rPr>
          <w:lang w:eastAsia="en-US"/>
        </w:rPr>
        <w:t>še uvedený způsob, jak na mysl přichází</w:t>
      </w:r>
      <w:r w:rsidRPr="003D1E07">
        <w:rPr>
          <w:lang w:eastAsia="en-US"/>
        </w:rPr>
        <w:t xml:space="preserve"> (</w:t>
      </w:r>
      <w:r w:rsidRPr="003D1E07">
        <w:rPr>
          <w:i/>
          <w:lang w:eastAsia="en-US"/>
        </w:rPr>
        <w:t>accidit</w:t>
      </w:r>
      <w:r w:rsidR="00DA5ACB" w:rsidRPr="003D1E07">
        <w:rPr>
          <w:lang w:eastAsia="en-US"/>
        </w:rPr>
        <w:t>) nová forma koňovitosti</w:t>
      </w:r>
      <w:r w:rsidR="00F512FC" w:rsidRPr="003D1E07">
        <w:rPr>
          <w:lang w:eastAsia="en-US"/>
        </w:rPr>
        <w:t>. Nové určení jsoucna se pochopitelně týká i určení člověka, protože zakládá formu objektivně pojatého humanismu. T</w:t>
      </w:r>
      <w:r w:rsidR="08F006BC" w:rsidRPr="003D1E07">
        <w:rPr>
          <w:lang w:eastAsia="en-US"/>
        </w:rPr>
        <w:t xml:space="preserve">ermín </w:t>
      </w:r>
      <w:r w:rsidR="00337EC6">
        <w:rPr>
          <w:lang w:eastAsia="en-US"/>
        </w:rPr>
        <w:t>„</w:t>
      </w:r>
      <w:r w:rsidRPr="003D1E07">
        <w:rPr>
          <w:i/>
          <w:lang w:eastAsia="en-US"/>
        </w:rPr>
        <w:t xml:space="preserve">humanitas </w:t>
      </w:r>
      <w:r w:rsidRPr="003D1E07">
        <w:rPr>
          <w:i/>
          <w:lang w:eastAsia="en-US"/>
        </w:rPr>
        <w:lastRenderedPageBreak/>
        <w:t>tantum</w:t>
      </w:r>
      <w:r w:rsidR="00337EC6">
        <w:rPr>
          <w:lang w:eastAsia="en-US"/>
        </w:rPr>
        <w:t>“</w:t>
      </w:r>
      <w:r w:rsidR="08203F49" w:rsidRPr="003D1E07">
        <w:rPr>
          <w:i/>
          <w:lang w:eastAsia="en-US"/>
        </w:rPr>
        <w:fldChar w:fldCharType="begin"/>
      </w:r>
      <w:r w:rsidR="08203F49" w:rsidRPr="003D1E07">
        <w:instrText xml:space="preserve"> XE "</w:instrText>
      </w:r>
      <w:r w:rsidR="08203F49" w:rsidRPr="003D1E07">
        <w:rPr>
          <w:i/>
        </w:rPr>
        <w:instrText>humanitas:</w:instrText>
      </w:r>
      <w:r w:rsidR="08203F49" w:rsidRPr="003D1E07">
        <w:instrText xml:space="preserve">Avicenna" </w:instrText>
      </w:r>
      <w:r w:rsidR="08203F49" w:rsidRPr="003D1E07">
        <w:rPr>
          <w:i/>
          <w:lang w:eastAsia="en-US"/>
        </w:rPr>
        <w:fldChar w:fldCharType="end"/>
      </w:r>
      <w:r w:rsidR="00955EBA" w:rsidRPr="003D1E07">
        <w:rPr>
          <w:lang w:eastAsia="en-US"/>
        </w:rPr>
        <w:t xml:space="preserve">, </w:t>
      </w:r>
      <w:r w:rsidRPr="003D1E07">
        <w:rPr>
          <w:lang w:eastAsia="en-US"/>
        </w:rPr>
        <w:t>stoj</w:t>
      </w:r>
      <w:r w:rsidR="002B35A8" w:rsidRPr="003D1E07">
        <w:rPr>
          <w:lang w:eastAsia="en-US"/>
        </w:rPr>
        <w:t xml:space="preserve">í jak mimo universália, </w:t>
      </w:r>
      <w:r w:rsidRPr="003D1E07">
        <w:rPr>
          <w:lang w:eastAsia="en-US"/>
        </w:rPr>
        <w:t xml:space="preserve">tak i mimo </w:t>
      </w:r>
      <w:r w:rsidR="002B35A8" w:rsidRPr="003D1E07">
        <w:rPr>
          <w:lang w:eastAsia="en-US"/>
        </w:rPr>
        <w:t xml:space="preserve">konkrétního </w:t>
      </w:r>
      <w:r w:rsidR="008E02F5" w:rsidRPr="003D1E07">
        <w:rPr>
          <w:lang w:eastAsia="en-US"/>
        </w:rPr>
        <w:t>Platon</w:t>
      </w:r>
      <w:r w:rsidR="0823601B" w:rsidRPr="003D1E07">
        <w:rPr>
          <w:lang w:eastAsia="en-US"/>
        </w:rPr>
        <w:t>a nebo So</w:t>
      </w:r>
      <w:r w:rsidRPr="003D1E07">
        <w:rPr>
          <w:lang w:eastAsia="en-US"/>
        </w:rPr>
        <w:t>krata.</w:t>
      </w:r>
      <w:r w:rsidR="00622CE8" w:rsidRPr="003D1E07">
        <w:rPr>
          <w:rStyle w:val="Znakapoznpodarou"/>
          <w:lang w:eastAsia="en-US"/>
        </w:rPr>
        <w:footnoteReference w:id="164"/>
      </w:r>
      <w:r w:rsidRPr="003D1E07">
        <w:rPr>
          <w:lang w:eastAsia="en-US"/>
        </w:rPr>
        <w:t xml:space="preserve"> </w:t>
      </w:r>
      <w:r w:rsidR="006700F3" w:rsidRPr="003D1E07">
        <w:rPr>
          <w:lang w:eastAsia="en-US"/>
        </w:rPr>
        <w:t>U</w:t>
      </w:r>
      <w:r w:rsidRPr="003D1E07">
        <w:rPr>
          <w:lang w:eastAsia="en-US"/>
        </w:rPr>
        <w:t xml:space="preserve">rčení </w:t>
      </w:r>
      <w:r w:rsidR="006700F3" w:rsidRPr="003D1E07">
        <w:rPr>
          <w:lang w:eastAsia="en-US"/>
        </w:rPr>
        <w:t xml:space="preserve">lidskosti </w:t>
      </w:r>
      <w:r w:rsidR="00337EC6">
        <w:rPr>
          <w:lang w:eastAsia="en-US"/>
        </w:rPr>
        <w:t>dané na úrovni „</w:t>
      </w:r>
      <w:r w:rsidR="00337EC6" w:rsidRPr="00337EC6">
        <w:rPr>
          <w:i/>
          <w:lang w:eastAsia="en-US"/>
        </w:rPr>
        <w:t>esse</w:t>
      </w:r>
      <w:r w:rsidR="00337EC6">
        <w:rPr>
          <w:lang w:eastAsia="en-US"/>
        </w:rPr>
        <w:t xml:space="preserve"> </w:t>
      </w:r>
      <w:r w:rsidRPr="003D1E07">
        <w:rPr>
          <w:i/>
          <w:lang w:eastAsia="en-US"/>
        </w:rPr>
        <w:t>tantum</w:t>
      </w:r>
      <w:r w:rsidR="00337EC6" w:rsidRPr="00337EC6">
        <w:rPr>
          <w:lang w:eastAsia="en-US"/>
        </w:rPr>
        <w:t>“</w:t>
      </w:r>
      <w:r w:rsidRPr="003D1E07">
        <w:rPr>
          <w:lang w:eastAsia="en-US"/>
        </w:rPr>
        <w:t xml:space="preserve"> sto</w:t>
      </w:r>
      <w:r w:rsidR="0823601B" w:rsidRPr="003D1E07">
        <w:rPr>
          <w:lang w:eastAsia="en-US"/>
        </w:rPr>
        <w:t>jí vůči reálnému So</w:t>
      </w:r>
      <w:r w:rsidRPr="003D1E07">
        <w:rPr>
          <w:lang w:eastAsia="en-US"/>
        </w:rPr>
        <w:t>kratovi zvnějšku (</w:t>
      </w:r>
      <w:r w:rsidRPr="003D1E07">
        <w:rPr>
          <w:i/>
        </w:rPr>
        <w:t>extrinsecum est</w:t>
      </w:r>
      <w:r w:rsidRPr="003D1E07">
        <w:rPr>
          <w:lang w:eastAsia="en-US"/>
        </w:rPr>
        <w:t xml:space="preserve">) a její definice je determinována pouze z formy čistého </w:t>
      </w:r>
      <w:r w:rsidR="007C7203">
        <w:rPr>
          <w:lang w:eastAsia="en-US"/>
        </w:rPr>
        <w:t xml:space="preserve">eidetického </w:t>
      </w:r>
      <w:r w:rsidRPr="003D1E07">
        <w:rPr>
          <w:lang w:eastAsia="en-US"/>
        </w:rPr>
        <w:t>náhledu (</w:t>
      </w:r>
      <w:r w:rsidRPr="003D1E07">
        <w:rPr>
          <w:i/>
        </w:rPr>
        <w:t>ex hoc quod est humanitas</w:t>
      </w:r>
      <w:r w:rsidRPr="003D1E07">
        <w:rPr>
          <w:lang w:eastAsia="en-US"/>
        </w:rPr>
        <w:t xml:space="preserve">). Tento třetí druh </w:t>
      </w:r>
      <w:r w:rsidR="00C6520D" w:rsidRPr="003D1E07">
        <w:rPr>
          <w:lang w:eastAsia="en-US"/>
        </w:rPr>
        <w:t xml:space="preserve">jsoucna </w:t>
      </w:r>
      <w:r w:rsidRPr="003D1E07">
        <w:rPr>
          <w:lang w:eastAsia="en-US"/>
        </w:rPr>
        <w:t>poprvé zmínil Al-</w:t>
      </w:r>
      <w:r w:rsidR="008E02F5" w:rsidRPr="003D1E07">
        <w:rPr>
          <w:lang w:eastAsia="en-US"/>
        </w:rPr>
        <w:t>Fárábí</w:t>
      </w:r>
      <w:r w:rsidRPr="003D1E07">
        <w:rPr>
          <w:lang w:eastAsia="en-US"/>
        </w:rPr>
        <w:t xml:space="preserve">, aniž by dal onomu </w:t>
      </w:r>
      <w:r w:rsidRPr="003D1E07">
        <w:rPr>
          <w:i/>
          <w:lang w:eastAsia="en-US"/>
        </w:rPr>
        <w:t>aliud esse</w:t>
      </w:r>
      <w:r w:rsidRPr="003D1E07">
        <w:rPr>
          <w:lang w:eastAsia="en-US"/>
        </w:rPr>
        <w:t xml:space="preserve"> jasně definovaný </w:t>
      </w:r>
      <w:r w:rsidR="08F006BC" w:rsidRPr="003D1E07">
        <w:rPr>
          <w:lang w:eastAsia="en-US"/>
        </w:rPr>
        <w:t xml:space="preserve">metafyzický </w:t>
      </w:r>
      <w:r w:rsidRPr="003D1E07">
        <w:rPr>
          <w:lang w:eastAsia="en-US"/>
        </w:rPr>
        <w:t xml:space="preserve">status. </w:t>
      </w:r>
      <w:r w:rsidRPr="003D1E07">
        <w:rPr>
          <w:rStyle w:val="st"/>
        </w:rPr>
        <w:t xml:space="preserve">Co učitel pouze naznačil, to jeho žák </w:t>
      </w:r>
      <w:r w:rsidR="004E6DF0" w:rsidRPr="003D1E07">
        <w:rPr>
          <w:rStyle w:val="st"/>
        </w:rPr>
        <w:t>kategorizoval</w:t>
      </w:r>
      <w:r w:rsidRPr="003D1E07">
        <w:rPr>
          <w:rStyle w:val="st"/>
        </w:rPr>
        <w:t xml:space="preserve">. </w:t>
      </w:r>
      <w:r w:rsidR="004E6DF0" w:rsidRPr="003D1E07">
        <w:rPr>
          <w:rStyle w:val="st"/>
        </w:rPr>
        <w:t>O</w:t>
      </w:r>
      <w:r w:rsidR="00160A2B" w:rsidRPr="003D1E07">
        <w:rPr>
          <w:lang w:eastAsia="en-US"/>
        </w:rPr>
        <w:t xml:space="preserve">svícené poznání směruje k </w:t>
      </w:r>
      <w:r w:rsidR="08F006BC" w:rsidRPr="003D1E07">
        <w:rPr>
          <w:lang w:eastAsia="en-US"/>
        </w:rPr>
        <w:t xml:space="preserve">individuální </w:t>
      </w:r>
      <w:r w:rsidR="00160A2B" w:rsidRPr="003D1E07">
        <w:rPr>
          <w:lang w:eastAsia="en-US"/>
        </w:rPr>
        <w:t xml:space="preserve">jednoduchosti nového předmětu myšlení </w:t>
      </w:r>
      <w:r w:rsidR="08F006BC" w:rsidRPr="003D1E07">
        <w:rPr>
          <w:lang w:eastAsia="en-US"/>
        </w:rPr>
        <w:t xml:space="preserve">daného nasvícením zezadu </w:t>
      </w:r>
      <w:r w:rsidR="00160A2B" w:rsidRPr="003D1E07">
        <w:rPr>
          <w:lang w:eastAsia="en-US"/>
        </w:rPr>
        <w:t>(</w:t>
      </w:r>
      <w:r w:rsidR="001B3DF7" w:rsidRPr="003D1E07">
        <w:rPr>
          <w:i/>
        </w:rPr>
        <w:t>abstractio ab intelligentia agente</w:t>
      </w:r>
      <w:r w:rsidR="00160A2B" w:rsidRPr="003D1E07">
        <w:rPr>
          <w:lang w:eastAsia="en-US"/>
        </w:rPr>
        <w:t xml:space="preserve">). </w:t>
      </w:r>
      <w:r w:rsidRPr="003D1E07">
        <w:rPr>
          <w:lang w:eastAsia="en-US"/>
        </w:rPr>
        <w:t>Adaptovaný intelekt musí toto bytí jsoucna (</w:t>
      </w:r>
      <w:r w:rsidRPr="003D1E07">
        <w:rPr>
          <w:i/>
          <w:lang w:eastAsia="en-US"/>
        </w:rPr>
        <w:t xml:space="preserve">aliud esse </w:t>
      </w:r>
      <w:r w:rsidRPr="003D1E07">
        <w:rPr>
          <w:lang w:eastAsia="en-US"/>
        </w:rPr>
        <w:t>Al-</w:t>
      </w:r>
      <w:r w:rsidR="008E02F5" w:rsidRPr="003D1E07">
        <w:rPr>
          <w:lang w:eastAsia="en-US"/>
        </w:rPr>
        <w:t>Fárábí</w:t>
      </w:r>
      <w:r w:rsidRPr="003D1E07">
        <w:rPr>
          <w:lang w:eastAsia="en-US"/>
        </w:rPr>
        <w:t xml:space="preserve">ho, </w:t>
      </w:r>
      <w:r w:rsidRPr="003D1E07">
        <w:rPr>
          <w:i/>
          <w:lang w:eastAsia="en-US"/>
        </w:rPr>
        <w:t xml:space="preserve">hoc esse </w:t>
      </w:r>
      <w:r w:rsidR="00BB5EDE" w:rsidRPr="003D1E07">
        <w:rPr>
          <w:i/>
          <w:lang w:eastAsia="en-US"/>
        </w:rPr>
        <w:t>tantum</w:t>
      </w:r>
      <w:r w:rsidR="00C63957" w:rsidRPr="003D1E07">
        <w:rPr>
          <w:i/>
          <w:lang w:eastAsia="en-US"/>
        </w:rPr>
        <w:fldChar w:fldCharType="begin"/>
      </w:r>
      <w:r w:rsidR="00C63957" w:rsidRPr="003D1E07">
        <w:instrText xml:space="preserve"> XE "</w:instrText>
      </w:r>
      <w:r w:rsidR="00C63957" w:rsidRPr="003D1E07">
        <w:rPr>
          <w:i/>
          <w:lang w:eastAsia="en-US"/>
        </w:rPr>
        <w:instrText>esse tantum</w:instrText>
      </w:r>
      <w:r w:rsidR="00C63957" w:rsidRPr="003D1E07">
        <w:instrText xml:space="preserve">" </w:instrText>
      </w:r>
      <w:r w:rsidR="00C63957" w:rsidRPr="003D1E07">
        <w:rPr>
          <w:i/>
          <w:lang w:eastAsia="en-US"/>
        </w:rPr>
        <w:fldChar w:fldCharType="end"/>
      </w:r>
      <w:r w:rsidR="00BB5EDE" w:rsidRPr="003D1E07">
        <w:rPr>
          <w:i/>
          <w:lang w:eastAsia="en-US"/>
        </w:rPr>
        <w:t xml:space="preserve"> </w:t>
      </w:r>
      <w:r w:rsidRPr="003D1E07">
        <w:rPr>
          <w:lang w:eastAsia="en-US"/>
        </w:rPr>
        <w:t xml:space="preserve">Avicenny) správně nasvítit, aby se mohlo zjevit ve své čisté </w:t>
      </w:r>
      <w:r w:rsidR="00BF40DB" w:rsidRPr="003D1E07">
        <w:rPr>
          <w:lang w:eastAsia="en-US"/>
        </w:rPr>
        <w:t xml:space="preserve">identitě </w:t>
      </w:r>
      <w:r w:rsidRPr="003D1E07">
        <w:rPr>
          <w:lang w:eastAsia="en-US"/>
        </w:rPr>
        <w:t xml:space="preserve">významu, tj. v čisté univerzální formě oddělené od smyslové abstrakce. </w:t>
      </w:r>
      <w:r w:rsidR="004E6DF0" w:rsidRPr="003D1E07">
        <w:rPr>
          <w:lang w:eastAsia="en-US"/>
        </w:rPr>
        <w:t xml:space="preserve">Osvícením </w:t>
      </w:r>
      <w:r w:rsidR="0047153C" w:rsidRPr="003D1E07">
        <w:rPr>
          <w:lang w:eastAsia="en-US"/>
        </w:rPr>
        <w:t xml:space="preserve">objektivně myslícího a vidoucího ilumináta </w:t>
      </w:r>
      <w:r w:rsidR="00EF7590" w:rsidRPr="003D1E07">
        <w:rPr>
          <w:lang w:eastAsia="en-US"/>
        </w:rPr>
        <w:t>vznik</w:t>
      </w:r>
      <w:r w:rsidR="0088648A" w:rsidRPr="003D1E07">
        <w:rPr>
          <w:lang w:eastAsia="en-US"/>
        </w:rPr>
        <w:t xml:space="preserve">á </w:t>
      </w:r>
      <w:r w:rsidR="00EF7590" w:rsidRPr="003D1E07">
        <w:rPr>
          <w:lang w:eastAsia="en-US"/>
        </w:rPr>
        <w:t>nov</w:t>
      </w:r>
      <w:r w:rsidR="003C27FA" w:rsidRPr="003D1E07">
        <w:rPr>
          <w:lang w:eastAsia="en-US"/>
        </w:rPr>
        <w:t>ý celek jsoucna</w:t>
      </w:r>
      <w:r w:rsidR="004E6DF0" w:rsidRPr="003D1E07">
        <w:rPr>
          <w:lang w:eastAsia="en-US"/>
        </w:rPr>
        <w:t>, kte</w:t>
      </w:r>
      <w:r w:rsidR="003C27FA" w:rsidRPr="003D1E07">
        <w:rPr>
          <w:lang w:eastAsia="en-US"/>
        </w:rPr>
        <w:t>rý</w:t>
      </w:r>
      <w:r w:rsidR="004E6DF0" w:rsidRPr="003D1E07">
        <w:rPr>
          <w:lang w:eastAsia="en-US"/>
        </w:rPr>
        <w:t xml:space="preserve"> </w:t>
      </w:r>
      <w:r w:rsidR="003C27FA" w:rsidRPr="003D1E07">
        <w:rPr>
          <w:lang w:eastAsia="en-US"/>
        </w:rPr>
        <w:t>je nazírán</w:t>
      </w:r>
      <w:r w:rsidR="0088648A" w:rsidRPr="003D1E07">
        <w:rPr>
          <w:lang w:eastAsia="en-US"/>
        </w:rPr>
        <w:t xml:space="preserve"> skrze </w:t>
      </w:r>
      <w:r w:rsidR="0047153C" w:rsidRPr="003D1E07">
        <w:rPr>
          <w:lang w:eastAsia="en-US"/>
        </w:rPr>
        <w:t xml:space="preserve">darovaný </w:t>
      </w:r>
      <w:r w:rsidR="0088648A" w:rsidRPr="003D1E07">
        <w:rPr>
          <w:lang w:eastAsia="en-US"/>
        </w:rPr>
        <w:t>intelekt jako kvazi-</w:t>
      </w:r>
      <w:r w:rsidR="08F006BC" w:rsidRPr="003D1E07">
        <w:rPr>
          <w:lang w:eastAsia="en-US"/>
        </w:rPr>
        <w:t>substrát poznání nového druhu</w:t>
      </w:r>
      <w:r w:rsidR="08332A80" w:rsidRPr="003D1E07">
        <w:rPr>
          <w:lang w:eastAsia="en-US"/>
        </w:rPr>
        <w:t xml:space="preserve"> (</w:t>
      </w:r>
      <w:r w:rsidR="08332A80" w:rsidRPr="003D1E07">
        <w:rPr>
          <w:i/>
          <w:lang w:eastAsia="en-US"/>
        </w:rPr>
        <w:t>aliud esse</w:t>
      </w:r>
      <w:r w:rsidR="08332A80" w:rsidRPr="003D1E07">
        <w:rPr>
          <w:lang w:eastAsia="en-US"/>
        </w:rPr>
        <w:t>)</w:t>
      </w:r>
      <w:r w:rsidR="08F006BC" w:rsidRPr="003D1E07">
        <w:rPr>
          <w:lang w:eastAsia="en-US"/>
        </w:rPr>
        <w:t>. V tomto poli iluminace je jsoucno nasvíceno v objektivním aspektu čisté jsoucnosti (</w:t>
      </w:r>
      <w:r w:rsidR="08F006BC" w:rsidRPr="003D1E07">
        <w:rPr>
          <w:i/>
          <w:lang w:eastAsia="en-US"/>
        </w:rPr>
        <w:t>ens inquatum ens</w:t>
      </w:r>
      <w:r w:rsidR="08F006BC" w:rsidRPr="003D1E07">
        <w:rPr>
          <w:lang w:eastAsia="en-US"/>
        </w:rPr>
        <w:t xml:space="preserve">). </w:t>
      </w:r>
      <w:r w:rsidR="08145C53" w:rsidRPr="003D1E07">
        <w:rPr>
          <w:lang w:eastAsia="en-US"/>
        </w:rPr>
        <w:t xml:space="preserve">V modu pravdy jako objektivní jistoty a adekvace platí, že jsoucno třetího druhu musí také poznat intelekt daný jako entita třetího druhu. </w:t>
      </w:r>
      <w:r w:rsidR="0086332E" w:rsidRPr="003D1E07">
        <w:rPr>
          <w:i/>
        </w:rPr>
        <w:t>Metafyzika</w:t>
      </w:r>
      <w:r w:rsidRPr="003D1E07">
        <w:t xml:space="preserve"> </w:t>
      </w:r>
      <w:r w:rsidRPr="003D1E07">
        <w:rPr>
          <w:i/>
        </w:rPr>
        <w:t>al-</w:t>
      </w:r>
      <w:r w:rsidR="0020712B" w:rsidRPr="003D1E07">
        <w:rPr>
          <w:i/>
        </w:rPr>
        <w:t>Šifá</w:t>
      </w:r>
      <w:r w:rsidRPr="003D1E07">
        <w:t xml:space="preserve"> V.1 ukazuje, že nový náhled jsoucna je postavený mimo určení druhé substance</w:t>
      </w:r>
      <w:r w:rsidR="00A70FA4" w:rsidRPr="003D1E07">
        <w:fldChar w:fldCharType="begin"/>
      </w:r>
      <w:r w:rsidR="00A70FA4" w:rsidRPr="003D1E07">
        <w:instrText xml:space="preserve"> XE "substance</w:instrText>
      </w:r>
      <w:r w:rsidR="00AF0359" w:rsidRPr="003D1E07">
        <w:instrText>:druhá</w:instrText>
      </w:r>
      <w:r w:rsidR="00A70FA4" w:rsidRPr="003D1E07">
        <w:instrText xml:space="preserve">" </w:instrText>
      </w:r>
      <w:r w:rsidR="00A70FA4" w:rsidRPr="003D1E07">
        <w:fldChar w:fldCharType="end"/>
      </w:r>
      <w:r w:rsidR="08092C1B" w:rsidRPr="003D1E07">
        <w:t xml:space="preserve"> dané</w:t>
      </w:r>
      <w:r w:rsidRPr="003D1E07">
        <w:t xml:space="preserve"> v rámci </w:t>
      </w:r>
      <w:r w:rsidR="08092C1B" w:rsidRPr="003D1E07">
        <w:t xml:space="preserve">univocity </w:t>
      </w:r>
      <w:r w:rsidRPr="003D1E07">
        <w:t xml:space="preserve">kategorií, mimo individuální bytí první substance v reálu, a také mimo obecnost danou pouze v abstrahující mysli. Ale toto nové bytí jsoucna už nemůže být </w:t>
      </w:r>
      <w:r w:rsidR="006E407D" w:rsidRPr="003D1E07">
        <w:t xml:space="preserve">čistou </w:t>
      </w:r>
      <w:r w:rsidRPr="003D1E07">
        <w:t>nicotou, protože má vlastní definici a tím i minimální obsah jsoucnosti. Avicenna zdůrazňuje na mnoha místech, že tato univerzální forma nemá jinou existenci než v intelektu (</w:t>
      </w:r>
      <w:r w:rsidRPr="003D1E07">
        <w:rPr>
          <w:i/>
        </w:rPr>
        <w:t>haec universalitas non habet esse nisi in anima</w:t>
      </w:r>
      <w:r w:rsidR="006D3B18" w:rsidRPr="003D1E07">
        <w:t>;</w:t>
      </w:r>
      <w:r w:rsidR="00126A25" w:rsidRPr="003D1E07">
        <w:t xml:space="preserve"> </w:t>
      </w:r>
      <w:r w:rsidR="00126A25" w:rsidRPr="003D1E07">
        <w:rPr>
          <w:i/>
        </w:rPr>
        <w:t>Liber de philosophia prima</w:t>
      </w:r>
      <w:r w:rsidR="006D3B18" w:rsidRPr="003D1E07">
        <w:t xml:space="preserve"> </w:t>
      </w:r>
      <w:r w:rsidRPr="003D1E07">
        <w:t>V.2</w:t>
      </w:r>
      <w:r w:rsidR="00DC3E03" w:rsidRPr="003D1E07">
        <w:t xml:space="preserve">, </w:t>
      </w:r>
      <w:r w:rsidR="00126A25" w:rsidRPr="003D1E07">
        <w:t xml:space="preserve">p. </w:t>
      </w:r>
      <w:r w:rsidRPr="003D1E07">
        <w:t>239</w:t>
      </w:r>
      <w:r w:rsidR="002626BA" w:rsidRPr="003D1E07">
        <w:t>.</w:t>
      </w:r>
      <w:r w:rsidR="00A145AF" w:rsidRPr="003D1E07">
        <w:t>71</w:t>
      </w:r>
      <w:r w:rsidR="00C63957" w:rsidRPr="003D1E07">
        <w:rPr>
          <w:i/>
          <w:lang w:eastAsia="en-US"/>
        </w:rPr>
        <w:fldChar w:fldCharType="begin"/>
      </w:r>
      <w:r w:rsidR="00C63957" w:rsidRPr="003D1E07">
        <w:instrText xml:space="preserve"> XE "Avicenna:</w:instrText>
      </w:r>
      <w:r w:rsidR="00C63957" w:rsidRPr="003D1E07">
        <w:rPr>
          <w:i/>
        </w:rPr>
        <w:instrText>Liber de philosophia prima</w:instrText>
      </w:r>
      <w:r w:rsidR="00C5554F" w:rsidRPr="003D1E07">
        <w:rPr>
          <w:i/>
        </w:rPr>
        <w:instrText xml:space="preserve"> </w:instrText>
      </w:r>
      <w:r w:rsidR="00C63957" w:rsidRPr="003D1E07">
        <w:instrText xml:space="preserve">239.71" </w:instrText>
      </w:r>
      <w:r w:rsidR="00C63957" w:rsidRPr="003D1E07">
        <w:rPr>
          <w:i/>
          <w:lang w:eastAsia="en-US"/>
        </w:rPr>
        <w:fldChar w:fldCharType="end"/>
      </w:r>
      <w:r w:rsidR="00A145AF" w:rsidRPr="003D1E07">
        <w:t xml:space="preserve">). </w:t>
      </w:r>
      <w:r w:rsidR="00F6275E" w:rsidRPr="003D1E07">
        <w:t xml:space="preserve">Nová predikace </w:t>
      </w:r>
      <w:r w:rsidR="00F6275E" w:rsidRPr="003D1E07">
        <w:rPr>
          <w:i/>
        </w:rPr>
        <w:t>per prius</w:t>
      </w:r>
      <w:r w:rsidR="00F6275E" w:rsidRPr="003D1E07">
        <w:t xml:space="preserve"> </w:t>
      </w:r>
      <w:r w:rsidR="085158CA" w:rsidRPr="003D1E07">
        <w:t xml:space="preserve">napojuje toto bytí jsoucna </w:t>
      </w:r>
      <w:r w:rsidR="00F6275E" w:rsidRPr="003D1E07">
        <w:t>na u</w:t>
      </w:r>
      <w:r w:rsidR="085158CA" w:rsidRPr="003D1E07">
        <w:t>niverzální a absolutně jednoduše dan</w:t>
      </w:r>
      <w:r w:rsidR="00F6275E" w:rsidRPr="003D1E07">
        <w:t>ý</w:t>
      </w:r>
      <w:r w:rsidR="085158CA" w:rsidRPr="003D1E07">
        <w:t xml:space="preserve"> význam jsoucího. </w:t>
      </w:r>
      <w:r w:rsidR="00095551" w:rsidRPr="003D1E07">
        <w:t>Znov</w:t>
      </w:r>
      <w:r w:rsidR="08801F4E" w:rsidRPr="003D1E07">
        <w:t xml:space="preserve">u se objevuje determinace typu </w:t>
      </w:r>
      <w:r w:rsidR="00095551" w:rsidRPr="003D1E07">
        <w:rPr>
          <w:i/>
          <w:lang w:eastAsia="en-US"/>
        </w:rPr>
        <w:t>humanitas</w:t>
      </w:r>
      <w:r w:rsidR="00095551" w:rsidRPr="003D1E07">
        <w:rPr>
          <w:i/>
          <w:lang w:eastAsia="en-US"/>
        </w:rPr>
        <w:fldChar w:fldCharType="begin"/>
      </w:r>
      <w:r w:rsidR="00095551" w:rsidRPr="003D1E07">
        <w:instrText xml:space="preserve"> XE "</w:instrText>
      </w:r>
      <w:r w:rsidR="00095551" w:rsidRPr="003D1E07">
        <w:rPr>
          <w:i/>
        </w:rPr>
        <w:instrText>humanitas:</w:instrText>
      </w:r>
      <w:r w:rsidR="00095551" w:rsidRPr="003D1E07">
        <w:instrText xml:space="preserve">Avicenna" </w:instrText>
      </w:r>
      <w:r w:rsidR="00095551" w:rsidRPr="003D1E07">
        <w:rPr>
          <w:i/>
          <w:lang w:eastAsia="en-US"/>
        </w:rPr>
        <w:fldChar w:fldCharType="end"/>
      </w:r>
      <w:r w:rsidR="00095551" w:rsidRPr="003D1E07">
        <w:rPr>
          <w:i/>
          <w:lang w:eastAsia="en-US"/>
        </w:rPr>
        <w:t xml:space="preserve"> tantum </w:t>
      </w:r>
      <w:r w:rsidR="00095551" w:rsidRPr="003D1E07">
        <w:rPr>
          <w:lang w:eastAsia="en-US"/>
        </w:rPr>
        <w:t>nebo</w:t>
      </w:r>
      <w:r w:rsidR="00095551" w:rsidRPr="003D1E07">
        <w:rPr>
          <w:i/>
          <w:lang w:eastAsia="en-US"/>
        </w:rPr>
        <w:t xml:space="preserve"> hoc esse tantum</w:t>
      </w:r>
      <w:r w:rsidR="00095551" w:rsidRPr="003D1E07">
        <w:rPr>
          <w:lang w:eastAsia="en-US"/>
        </w:rPr>
        <w:t xml:space="preserve"> daná aktem komitace</w:t>
      </w:r>
      <w:r w:rsidR="00095551" w:rsidRPr="003D1E07">
        <w:rPr>
          <w:lang w:eastAsia="en-US"/>
        </w:rPr>
        <w:fldChar w:fldCharType="begin"/>
      </w:r>
      <w:r w:rsidR="00095551" w:rsidRPr="003D1E07">
        <w:instrText xml:space="preserve"> XE "komitace" </w:instrText>
      </w:r>
      <w:r w:rsidR="00095551" w:rsidRPr="003D1E07">
        <w:rPr>
          <w:lang w:eastAsia="en-US"/>
        </w:rPr>
        <w:fldChar w:fldCharType="end"/>
      </w:r>
      <w:r w:rsidR="00095551" w:rsidRPr="003D1E07">
        <w:rPr>
          <w:lang w:eastAsia="en-US"/>
        </w:rPr>
        <w:t xml:space="preserve"> jednoduchého bytí ke každé věci. </w:t>
      </w:r>
      <w:r w:rsidR="00FD1920" w:rsidRPr="003D1E07">
        <w:t>Vznik nového jsoucna třetího dru</w:t>
      </w:r>
      <w:r w:rsidR="08777B7E" w:rsidRPr="003D1E07">
        <w:t xml:space="preserve">hu lze demonstrovat na termínu </w:t>
      </w:r>
      <w:r w:rsidR="00F214C5" w:rsidRPr="00A86430">
        <w:rPr>
          <w:i/>
        </w:rPr>
        <w:t>species</w:t>
      </w:r>
      <w:r w:rsidR="00FD1920" w:rsidRPr="003D1E07">
        <w:rPr>
          <w:i/>
        </w:rPr>
        <w:t xml:space="preserve"> specialissima</w:t>
      </w:r>
      <w:r w:rsidR="00C63957" w:rsidRPr="003D1E07">
        <w:rPr>
          <w:i/>
        </w:rPr>
        <w:fldChar w:fldCharType="begin"/>
      </w:r>
      <w:r w:rsidR="00C63957" w:rsidRPr="003D1E07">
        <w:instrText xml:space="preserve"> XE "</w:instrText>
      </w:r>
      <w:r w:rsidR="00C63957" w:rsidRPr="003D1E07">
        <w:rPr>
          <w:i/>
        </w:rPr>
        <w:instrText>species specialissima</w:instrText>
      </w:r>
      <w:r w:rsidR="00C63957" w:rsidRPr="003D1E07">
        <w:instrText xml:space="preserve">" </w:instrText>
      </w:r>
      <w:r w:rsidR="00C63957" w:rsidRPr="003D1E07">
        <w:rPr>
          <w:i/>
        </w:rPr>
        <w:fldChar w:fldCharType="end"/>
      </w:r>
      <w:r w:rsidR="004C0D3E" w:rsidRPr="003D1E07">
        <w:t xml:space="preserve"> (</w:t>
      </w:r>
      <w:r w:rsidR="006C04FF" w:rsidRPr="003D1E07">
        <w:rPr>
          <w:i/>
        </w:rPr>
        <w:t>nawʿ al-anwā</w:t>
      </w:r>
      <w:r w:rsidR="006C04FF" w:rsidRPr="003D1E07">
        <w:t>ʿ</w:t>
      </w:r>
      <w:r w:rsidR="004C0D3E" w:rsidRPr="003D1E07">
        <w:t>)</w:t>
      </w:r>
      <w:r w:rsidR="00FD1920" w:rsidRPr="003D1E07">
        <w:t xml:space="preserve">, který bude </w:t>
      </w:r>
      <w:r w:rsidR="004F1AB3" w:rsidRPr="003D1E07">
        <w:t xml:space="preserve">hrát </w:t>
      </w:r>
      <w:r w:rsidR="00FD1920" w:rsidRPr="003D1E07">
        <w:t xml:space="preserve">důležitou roli v dalších </w:t>
      </w:r>
      <w:r w:rsidR="08F61EBC" w:rsidRPr="003D1E07">
        <w:t xml:space="preserve">fázích </w:t>
      </w:r>
      <w:r w:rsidR="00FD1920" w:rsidRPr="003D1E07">
        <w:t>objekti</w:t>
      </w:r>
      <w:r w:rsidR="08777B7E" w:rsidRPr="003D1E07">
        <w:t xml:space="preserve">vity. Avicenna vztahuje termín </w:t>
      </w:r>
      <w:r w:rsidR="00A86430">
        <w:t>„</w:t>
      </w:r>
      <w:r w:rsidR="00F214C5" w:rsidRPr="00A86430">
        <w:rPr>
          <w:i/>
        </w:rPr>
        <w:t>species</w:t>
      </w:r>
      <w:r w:rsidR="00A86430">
        <w:t xml:space="preserve">“ </w:t>
      </w:r>
      <w:r w:rsidR="00FD1920" w:rsidRPr="003D1E07">
        <w:t xml:space="preserve">nejprve nejprve k bytí věci v intelektu, kde je chápáno v univerzálním modu definovaném specifickou diferencí od rodu. Ale </w:t>
      </w:r>
      <w:r w:rsidR="00F214C5" w:rsidRPr="00A86430">
        <w:t>species</w:t>
      </w:r>
      <w:r w:rsidR="00FD1920" w:rsidRPr="003D1E07">
        <w:t xml:space="preserve"> zvláštním způsobem univočně signifikuje i reálné bytí </w:t>
      </w:r>
      <w:r w:rsidR="00FD1920" w:rsidRPr="003D1E07">
        <w:lastRenderedPageBreak/>
        <w:t>individuální věci (</w:t>
      </w:r>
      <w:r w:rsidR="00FD1920" w:rsidRPr="003D1E07">
        <w:rPr>
          <w:i/>
        </w:rPr>
        <w:t>per quae natura indiuiduatur et fit designata</w:t>
      </w:r>
      <w:r w:rsidR="00A23A9B" w:rsidRPr="003D1E07">
        <w:rPr>
          <w:i/>
        </w:rPr>
        <w:t>; Liber de philosophia prima</w:t>
      </w:r>
      <w:r w:rsidR="00A23A9B" w:rsidRPr="003D1E07">
        <w:t xml:space="preserve"> V.4; p. 264.47</w:t>
      </w:r>
      <w:r w:rsidR="00A23A9B" w:rsidRPr="003D1E07">
        <w:rPr>
          <w:i/>
          <w:lang w:eastAsia="en-US"/>
        </w:rPr>
        <w:fldChar w:fldCharType="begin"/>
      </w:r>
      <w:r w:rsidR="00A23A9B" w:rsidRPr="003D1E07">
        <w:instrText xml:space="preserve"> XE "Avicenna:</w:instrText>
      </w:r>
      <w:r w:rsidR="00A23A9B" w:rsidRPr="003D1E07">
        <w:rPr>
          <w:i/>
        </w:rPr>
        <w:instrText xml:space="preserve">Liber de philosophia prima </w:instrText>
      </w:r>
      <w:r w:rsidR="00A23A9B" w:rsidRPr="003D1E07">
        <w:instrText xml:space="preserve">264.47" </w:instrText>
      </w:r>
      <w:r w:rsidR="00A23A9B" w:rsidRPr="003D1E07">
        <w:rPr>
          <w:i/>
          <w:lang w:eastAsia="en-US"/>
        </w:rPr>
        <w:fldChar w:fldCharType="end"/>
      </w:r>
      <w:r w:rsidR="00A23A9B" w:rsidRPr="003D1E07">
        <w:t xml:space="preserve">). </w:t>
      </w:r>
      <w:r w:rsidR="008B12D2" w:rsidRPr="003D1E07">
        <w:t>Neoplatonsk</w:t>
      </w:r>
      <w:r w:rsidR="009A6274" w:rsidRPr="003D1E07">
        <w:t xml:space="preserve">é pojetí </w:t>
      </w:r>
      <w:r w:rsidR="00F214C5" w:rsidRPr="003D1E07">
        <w:t>species</w:t>
      </w:r>
      <w:r w:rsidR="009A6274" w:rsidRPr="003D1E07">
        <w:t xml:space="preserve"> jako atomární substance Avicenna aktualizuje tím, že novému substrátu </w:t>
      </w:r>
      <w:r w:rsidR="00FD1920" w:rsidRPr="003D1E07">
        <w:t>přičít</w:t>
      </w:r>
      <w:r w:rsidR="009A6274" w:rsidRPr="003D1E07">
        <w:t>á</w:t>
      </w:r>
      <w:r w:rsidR="00FD1920" w:rsidRPr="003D1E07">
        <w:t xml:space="preserve"> formalizované vlastnosti determinující materiální jednotlivinu (</w:t>
      </w:r>
      <w:r w:rsidR="00FD1920" w:rsidRPr="003D1E07">
        <w:rPr>
          <w:i/>
        </w:rPr>
        <w:t>accident ei comitantia ex proprietatibus et accidentibus</w:t>
      </w:r>
      <w:r w:rsidR="00FB2F22" w:rsidRPr="003D1E07">
        <w:rPr>
          <w:i/>
        </w:rPr>
        <w:t>,</w:t>
      </w:r>
      <w:r w:rsidR="00404139" w:rsidRPr="003D1E07">
        <w:rPr>
          <w:i/>
        </w:rPr>
        <w:t xml:space="preserve"> </w:t>
      </w:r>
      <w:r w:rsidR="00404139" w:rsidRPr="003D1E07">
        <w:t>ibid</w:t>
      </w:r>
      <w:r w:rsidR="00404139" w:rsidRPr="003D1E07">
        <w:rPr>
          <w:i/>
        </w:rPr>
        <w:t xml:space="preserve">. </w:t>
      </w:r>
      <w:r w:rsidR="00404139" w:rsidRPr="003D1E07">
        <w:t>264.46</w:t>
      </w:r>
      <w:r w:rsidR="00404139" w:rsidRPr="003D1E07">
        <w:rPr>
          <w:i/>
          <w:lang w:eastAsia="en-US"/>
        </w:rPr>
        <w:fldChar w:fldCharType="begin"/>
      </w:r>
      <w:r w:rsidR="00404139" w:rsidRPr="003D1E07">
        <w:instrText xml:space="preserve"> XE "Avicenna:</w:instrText>
      </w:r>
      <w:r w:rsidR="00404139" w:rsidRPr="003D1E07">
        <w:rPr>
          <w:i/>
        </w:rPr>
        <w:instrText xml:space="preserve">Liber de philosophia prima </w:instrText>
      </w:r>
      <w:r w:rsidR="00404139" w:rsidRPr="003D1E07">
        <w:instrText xml:space="preserve">264.46" </w:instrText>
      </w:r>
      <w:r w:rsidR="00404139" w:rsidRPr="003D1E07">
        <w:rPr>
          <w:i/>
          <w:lang w:eastAsia="en-US"/>
        </w:rPr>
        <w:fldChar w:fldCharType="end"/>
      </w:r>
      <w:r w:rsidR="00FD1920" w:rsidRPr="003D1E07">
        <w:t xml:space="preserve">). </w:t>
      </w:r>
      <w:r w:rsidR="004826AD" w:rsidRPr="003D1E07">
        <w:rPr>
          <w:lang w:eastAsia="en-US"/>
        </w:rPr>
        <w:t>Komitace</w:t>
      </w:r>
      <w:r w:rsidR="006E6202" w:rsidRPr="003D1E07">
        <w:rPr>
          <w:lang w:eastAsia="en-US"/>
        </w:rPr>
        <w:fldChar w:fldCharType="begin"/>
      </w:r>
      <w:r w:rsidR="006E6202" w:rsidRPr="003D1E07">
        <w:instrText xml:space="preserve"> XE "predikace:objektivní" </w:instrText>
      </w:r>
      <w:r w:rsidR="006E6202" w:rsidRPr="003D1E07">
        <w:rPr>
          <w:lang w:eastAsia="en-US"/>
        </w:rPr>
        <w:fldChar w:fldCharType="end"/>
      </w:r>
      <w:r w:rsidR="004826AD" w:rsidRPr="003D1E07">
        <w:rPr>
          <w:lang w:eastAsia="en-US"/>
        </w:rPr>
        <w:t xml:space="preserve"> generického a přitom individuálního bytí zajišťuje, že </w:t>
      </w:r>
      <w:r w:rsidR="00FD1920" w:rsidRPr="003D1E07">
        <w:rPr>
          <w:lang w:eastAsia="en-US"/>
        </w:rPr>
        <w:t>každá věc m</w:t>
      </w:r>
      <w:r w:rsidR="004826AD" w:rsidRPr="003D1E07">
        <w:rPr>
          <w:lang w:eastAsia="en-US"/>
        </w:rPr>
        <w:t xml:space="preserve">ůže </w:t>
      </w:r>
      <w:r w:rsidR="08777B7E" w:rsidRPr="003D1E07">
        <w:rPr>
          <w:lang w:eastAsia="en-US"/>
        </w:rPr>
        <w:t>být</w:t>
      </w:r>
      <w:r w:rsidR="00FD1920" w:rsidRPr="003D1E07">
        <w:rPr>
          <w:lang w:eastAsia="en-US"/>
        </w:rPr>
        <w:t xml:space="preserve"> v minimální porci jsoucnosti a jistoty </w:t>
      </w:r>
      <w:r w:rsidR="00896CBE" w:rsidRPr="003D1E07">
        <w:rPr>
          <w:lang w:eastAsia="en-US"/>
        </w:rPr>
        <w:t>své vlastní existence. V</w:t>
      </w:r>
      <w:r w:rsidR="00FD1920" w:rsidRPr="003D1E07">
        <w:rPr>
          <w:lang w:eastAsia="en-US"/>
        </w:rPr>
        <w:t xml:space="preserve">ěcnost věci </w:t>
      </w:r>
      <w:r w:rsidR="00896CBE" w:rsidRPr="003D1E07">
        <w:rPr>
          <w:lang w:eastAsia="en-US"/>
        </w:rPr>
        <w:t>(</w:t>
      </w:r>
      <w:r w:rsidR="00896CBE" w:rsidRPr="003D1E07">
        <w:rPr>
          <w:i/>
          <w:lang w:eastAsia="en-US"/>
        </w:rPr>
        <w:t>res</w:t>
      </w:r>
      <w:r w:rsidR="00873D30" w:rsidRPr="003D1E07">
        <w:rPr>
          <w:rStyle w:val="addmd"/>
          <w:i/>
        </w:rPr>
        <w:fldChar w:fldCharType="begin"/>
      </w:r>
      <w:r w:rsidR="00873D30" w:rsidRPr="003D1E07">
        <w:instrText xml:space="preserve"> XE "věc:objektivní </w:instrText>
      </w:r>
      <w:r w:rsidR="00873D30" w:rsidRPr="003D1E07">
        <w:rPr>
          <w:i/>
        </w:rPr>
        <w:instrText>res</w:instrText>
      </w:r>
      <w:r w:rsidR="00873D30" w:rsidRPr="003D1E07">
        <w:instrText xml:space="preserve">" </w:instrText>
      </w:r>
      <w:r w:rsidR="00873D30" w:rsidRPr="003D1E07">
        <w:rPr>
          <w:rStyle w:val="addmd"/>
          <w:i/>
        </w:rPr>
        <w:fldChar w:fldCharType="end"/>
      </w:r>
      <w:r w:rsidR="00896CBE" w:rsidRPr="003D1E07">
        <w:rPr>
          <w:lang w:eastAsia="en-US"/>
        </w:rPr>
        <w:t xml:space="preserve">) je dána </w:t>
      </w:r>
      <w:r w:rsidR="00FD1920" w:rsidRPr="003D1E07">
        <w:rPr>
          <w:lang w:eastAsia="en-US"/>
        </w:rPr>
        <w:t xml:space="preserve">v řádu univoční signifikace, která je schopna definovat i nedělitelnou jednotlivinu. </w:t>
      </w:r>
      <w:r w:rsidR="083326B3" w:rsidRPr="003D1E07">
        <w:t>Věc jako taková obsahuje minimální j</w:t>
      </w:r>
      <w:r w:rsidR="085158CA" w:rsidRPr="003D1E07">
        <w:t>s</w:t>
      </w:r>
      <w:r w:rsidR="083326B3" w:rsidRPr="003D1E07">
        <w:t>o</w:t>
      </w:r>
      <w:r w:rsidR="085158CA" w:rsidRPr="003D1E07">
        <w:t>u</w:t>
      </w:r>
      <w:r w:rsidR="00877CC8" w:rsidRPr="003D1E07">
        <w:t xml:space="preserve">cnost danou před všemi ostatními určeními. Ty </w:t>
      </w:r>
      <w:r w:rsidR="085158CA" w:rsidRPr="003D1E07">
        <w:t>definují</w:t>
      </w:r>
      <w:r w:rsidR="00877CC8" w:rsidRPr="003D1E07">
        <w:t xml:space="preserve"> jsoucno </w:t>
      </w:r>
      <w:r w:rsidR="00877CC8" w:rsidRPr="003D1E07">
        <w:rPr>
          <w:i/>
        </w:rPr>
        <w:t>per posterius</w:t>
      </w:r>
      <w:r w:rsidR="085158CA" w:rsidRPr="003D1E07">
        <w:t xml:space="preserve">, </w:t>
      </w:r>
      <w:r w:rsidR="00877CC8" w:rsidRPr="003D1E07">
        <w:t xml:space="preserve">protože </w:t>
      </w:r>
      <w:r w:rsidR="009138FD">
        <w:t>jejich významy se vztahují až k pozitivně určenému nositeli (</w:t>
      </w:r>
      <w:r w:rsidR="009138FD" w:rsidRPr="009138FD">
        <w:rPr>
          <w:i/>
        </w:rPr>
        <w:t>subiectum</w:t>
      </w:r>
      <w:r w:rsidR="009138FD">
        <w:t>).</w:t>
      </w:r>
      <w:r w:rsidR="00F77E7E">
        <w:t xml:space="preserve"> </w:t>
      </w:r>
      <w:r w:rsidR="00FB423F" w:rsidRPr="003D1E07">
        <w:t>Objektivní určení</w:t>
      </w:r>
      <w:r w:rsidR="00877CC8" w:rsidRPr="003D1E07">
        <w:t xml:space="preserve"> </w:t>
      </w:r>
      <w:r w:rsidR="00FB423F" w:rsidRPr="003D1E07">
        <w:t xml:space="preserve">se </w:t>
      </w:r>
      <w:r w:rsidR="00877CC8" w:rsidRPr="003D1E07">
        <w:t>od</w:t>
      </w:r>
      <w:r w:rsidR="00FB423F" w:rsidRPr="003D1E07">
        <w:t>děluje</w:t>
      </w:r>
      <w:r w:rsidR="00890690" w:rsidRPr="003D1E07">
        <w:t xml:space="preserve"> absolutní jednoduchostí </w:t>
      </w:r>
      <w:r w:rsidR="00FB423F" w:rsidRPr="003D1E07">
        <w:t xml:space="preserve">od všech </w:t>
      </w:r>
      <w:r w:rsidR="00890690" w:rsidRPr="003D1E07">
        <w:t xml:space="preserve">následných </w:t>
      </w:r>
      <w:r w:rsidR="00FB423F" w:rsidRPr="003D1E07">
        <w:t xml:space="preserve">určení jsoucna. </w:t>
      </w:r>
      <w:r w:rsidR="08442546" w:rsidRPr="003D1E07">
        <w:rPr>
          <w:lang w:eastAsia="en-US"/>
        </w:rPr>
        <w:t xml:space="preserve">Tento nový pohled na jsoucno dostane moderní podobu v Rufusově predikaci </w:t>
      </w:r>
      <w:r w:rsidR="08442546" w:rsidRPr="003D1E07">
        <w:rPr>
          <w:i/>
        </w:rPr>
        <w:t>per modum concretum</w:t>
      </w:r>
      <w:r w:rsidR="08442546" w:rsidRPr="003D1E07">
        <w:rPr>
          <w:i/>
          <w:lang w:eastAsia="en-US"/>
        </w:rPr>
        <w:fldChar w:fldCharType="begin"/>
      </w:r>
      <w:r w:rsidR="08442546" w:rsidRPr="003D1E07">
        <w:instrText xml:space="preserve"> XE "predikace:konkrétní" </w:instrText>
      </w:r>
      <w:r w:rsidR="08442546" w:rsidRPr="003D1E07">
        <w:rPr>
          <w:i/>
          <w:lang w:eastAsia="en-US"/>
        </w:rPr>
        <w:fldChar w:fldCharType="end"/>
      </w:r>
      <w:r w:rsidR="08442546" w:rsidRPr="003D1E07">
        <w:rPr>
          <w:lang w:eastAsia="en-US"/>
        </w:rPr>
        <w:t xml:space="preserve"> (</w:t>
      </w:r>
      <w:r w:rsidR="08F5528A" w:rsidRPr="003D1E07">
        <w:rPr>
          <w:lang w:eastAsia="en-US"/>
        </w:rPr>
        <w:t xml:space="preserve">OBJ II, </w:t>
      </w:r>
      <w:r w:rsidR="08442546" w:rsidRPr="003D1E07">
        <w:rPr>
          <w:lang w:eastAsia="en-US"/>
        </w:rPr>
        <w:t xml:space="preserve">kap. </w:t>
      </w:r>
      <w:r w:rsidR="08F5528A" w:rsidRPr="003D1E07">
        <w:rPr>
          <w:lang w:eastAsia="en-US"/>
        </w:rPr>
        <w:t>3</w:t>
      </w:r>
      <w:r w:rsidR="08442546" w:rsidRPr="003D1E07">
        <w:rPr>
          <w:lang w:eastAsia="en-US"/>
        </w:rPr>
        <w:t xml:space="preserve">.3.2). </w:t>
      </w:r>
      <w:r w:rsidR="08442546" w:rsidRPr="003D1E07">
        <w:t xml:space="preserve">Objektivní význam se manifestuje „konkrétně“ a „individuálně“, tedy mimo bytí univerzálie a mimo bytí reálné jednotliviny. </w:t>
      </w:r>
      <w:r w:rsidR="00750C1E" w:rsidRPr="003D1E07">
        <w:rPr>
          <w:lang w:eastAsia="en-US"/>
        </w:rPr>
        <w:t>Minimální bytí se následně rozvine tím, že k němu přidávají další určení na způsob aristotelské akcidentální predikace</w:t>
      </w:r>
      <w:r w:rsidR="00212BCE" w:rsidRPr="003D1E07">
        <w:rPr>
          <w:lang w:eastAsia="en-US"/>
        </w:rPr>
        <w:t>.</w:t>
      </w:r>
      <w:r w:rsidR="0823601B" w:rsidRPr="003D1E07">
        <w:rPr>
          <w:lang w:eastAsia="en-US"/>
        </w:rPr>
        <w:t xml:space="preserve"> </w:t>
      </w:r>
      <w:r w:rsidR="00750C1E" w:rsidRPr="003D1E07">
        <w:t>Avicennou založená moderna se rozešla s Aristotelovou definicí první substance jako aktuální jednotliviny (τόδε τι</w:t>
      </w:r>
      <w:r w:rsidR="00500B31" w:rsidRPr="003D1E07">
        <w:fldChar w:fldCharType="begin"/>
      </w:r>
      <w:r w:rsidR="00500B31" w:rsidRPr="003D1E07">
        <w:instrText xml:space="preserve"> XE "substance:τόδε τι" </w:instrText>
      </w:r>
      <w:r w:rsidR="00500B31" w:rsidRPr="003D1E07">
        <w:fldChar w:fldCharType="end"/>
      </w:r>
      <w:r w:rsidR="00750C1E" w:rsidRPr="003D1E07">
        <w:t>) existující odděleně od primární signifikace substance (καθ' αυτό) a jejích sekundárních akcidentů (πρός τι</w:t>
      </w:r>
      <w:r w:rsidR="003F03DC" w:rsidRPr="003D1E07">
        <w:fldChar w:fldCharType="begin"/>
      </w:r>
      <w:r w:rsidR="003F03DC" w:rsidRPr="003D1E07">
        <w:instrText xml:space="preserve"> XE "substance:πρός τι" </w:instrText>
      </w:r>
      <w:r w:rsidR="003F03DC" w:rsidRPr="003D1E07">
        <w:fldChar w:fldCharType="end"/>
      </w:r>
      <w:r w:rsidR="00750C1E" w:rsidRPr="003D1E07">
        <w:t xml:space="preserve">). </w:t>
      </w:r>
      <w:r w:rsidR="00065897" w:rsidRPr="003D1E07">
        <w:rPr>
          <w:lang w:eastAsia="en-US"/>
        </w:rPr>
        <w:t xml:space="preserve">Porretáni a spis </w:t>
      </w:r>
      <w:r w:rsidR="00065897" w:rsidRPr="003D1E07">
        <w:rPr>
          <w:i/>
        </w:rPr>
        <w:t>Dialogus Ratii et Everardi</w:t>
      </w:r>
      <w:r w:rsidR="00065897" w:rsidRPr="003D1E07">
        <w:rPr>
          <w:lang w:eastAsia="en-US"/>
        </w:rPr>
        <w:t xml:space="preserve"> ve druhé polovině 12. století pochopí revoluční význam </w:t>
      </w:r>
      <w:r w:rsidR="00EE2A51" w:rsidRPr="003D1E07">
        <w:rPr>
          <w:lang w:eastAsia="en-US"/>
        </w:rPr>
        <w:t xml:space="preserve">Avicennova </w:t>
      </w:r>
      <w:r w:rsidR="00065897" w:rsidRPr="003D1E07">
        <w:rPr>
          <w:lang w:eastAsia="en-US"/>
        </w:rPr>
        <w:t xml:space="preserve">určování jsoucna </w:t>
      </w:r>
      <w:r w:rsidR="00973A2D">
        <w:rPr>
          <w:lang w:eastAsia="en-US"/>
        </w:rPr>
        <w:t xml:space="preserve">a vytviří prrčvní koncept objektivní individua na latinském Západě. Tuto substanci třetího druhu pak napojí </w:t>
      </w:r>
      <w:r w:rsidR="00065897" w:rsidRPr="003D1E07">
        <w:rPr>
          <w:lang w:eastAsia="en-US"/>
        </w:rPr>
        <w:t xml:space="preserve">na dělení univerzálií v rámci </w:t>
      </w:r>
      <w:r w:rsidR="00065897" w:rsidRPr="003D1E07">
        <w:rPr>
          <w:i/>
          <w:lang w:eastAsia="en-US"/>
        </w:rPr>
        <w:t>Arbor Porphyriana</w:t>
      </w:r>
      <w:r w:rsidR="00B65DFD" w:rsidRPr="003D1E07">
        <w:rPr>
          <w:i/>
          <w:lang w:eastAsia="en-US"/>
        </w:rPr>
        <w:fldChar w:fldCharType="begin"/>
      </w:r>
      <w:r w:rsidR="00B65DFD" w:rsidRPr="003D1E07">
        <w:instrText xml:space="preserve"> XE "</w:instrText>
      </w:r>
      <w:r w:rsidR="00B65DFD" w:rsidRPr="003D1E07">
        <w:rPr>
          <w:i/>
        </w:rPr>
        <w:instrText>Arbor Porphyriana</w:instrText>
      </w:r>
      <w:r w:rsidR="00B65DFD" w:rsidRPr="003D1E07">
        <w:instrText xml:space="preserve">" </w:instrText>
      </w:r>
      <w:r w:rsidR="00B65DFD" w:rsidRPr="003D1E07">
        <w:rPr>
          <w:i/>
          <w:lang w:eastAsia="en-US"/>
        </w:rPr>
        <w:fldChar w:fldCharType="end"/>
      </w:r>
      <w:r w:rsidR="00DD1541" w:rsidRPr="003D1E07">
        <w:rPr>
          <w:lang w:eastAsia="en-US"/>
        </w:rPr>
        <w:t xml:space="preserve"> (</w:t>
      </w:r>
      <w:r w:rsidR="08F5528A" w:rsidRPr="003D1E07">
        <w:rPr>
          <w:lang w:eastAsia="en-US"/>
        </w:rPr>
        <w:t>OBJ II, kap. 1</w:t>
      </w:r>
      <w:r w:rsidR="00DD1541" w:rsidRPr="003D1E07">
        <w:rPr>
          <w:lang w:eastAsia="en-US"/>
        </w:rPr>
        <w:t xml:space="preserve">.5). </w:t>
      </w:r>
      <w:r w:rsidR="00877CC8" w:rsidRPr="003D1E07">
        <w:t xml:space="preserve">Negující postup </w:t>
      </w:r>
      <w:r w:rsidR="009010DC" w:rsidRPr="003D1E07">
        <w:t xml:space="preserve">nové metafyziky </w:t>
      </w:r>
      <w:r w:rsidR="003D2D0E">
        <w:t xml:space="preserve">ve výše citovaném </w:t>
      </w:r>
      <w:r w:rsidR="00877CC8" w:rsidRPr="003D1E07">
        <w:t>modu „</w:t>
      </w:r>
      <w:r w:rsidR="00877CC8" w:rsidRPr="003D1E07">
        <w:rPr>
          <w:i/>
        </w:rPr>
        <w:t>nec</w:t>
      </w:r>
      <w:r w:rsidR="00877CC8" w:rsidRPr="003D1E07">
        <w:t>...</w:t>
      </w:r>
      <w:r w:rsidR="00877CC8" w:rsidRPr="003D1E07">
        <w:rPr>
          <w:i/>
        </w:rPr>
        <w:t>nec</w:t>
      </w:r>
      <w:r w:rsidR="00877CC8" w:rsidRPr="003D1E07">
        <w:t>...</w:t>
      </w:r>
      <w:r w:rsidR="00877CC8" w:rsidRPr="003D1E07">
        <w:rPr>
          <w:i/>
        </w:rPr>
        <w:t>nec</w:t>
      </w:r>
      <w:r w:rsidR="00877CC8" w:rsidRPr="003D1E07">
        <w:t xml:space="preserve">“ doložil,  že nové určení v modu </w:t>
      </w:r>
      <w:r w:rsidR="00877CC8" w:rsidRPr="003D1E07">
        <w:rPr>
          <w:i/>
        </w:rPr>
        <w:t>per prius</w:t>
      </w:r>
      <w:r w:rsidR="00877CC8" w:rsidRPr="003D1E07">
        <w:t xml:space="preserve"> je </w:t>
      </w:r>
      <w:r w:rsidR="007C6C55" w:rsidRPr="003D1E07">
        <w:t>odlišeno skrze čistou negaci od všech kladných kategoriálních určeních</w:t>
      </w:r>
      <w:r w:rsidR="00877CC8" w:rsidRPr="003D1E07">
        <w:t xml:space="preserve"> jsoucna. </w:t>
      </w:r>
      <w:r w:rsidR="00A24A88" w:rsidRPr="003D1E07">
        <w:t xml:space="preserve">Akceptací této </w:t>
      </w:r>
      <w:r w:rsidR="007C6C55" w:rsidRPr="003D1E07">
        <w:t xml:space="preserve">negace </w:t>
      </w:r>
      <w:r w:rsidR="00A24A88" w:rsidRPr="003D1E07">
        <w:t xml:space="preserve">v modu moderního nihilismu </w:t>
      </w:r>
      <w:r w:rsidR="085158CA" w:rsidRPr="003D1E07">
        <w:t xml:space="preserve">vznikla nová forma metafyziky založená na </w:t>
      </w:r>
      <w:r w:rsidR="00CB42D8" w:rsidRPr="003D1E07">
        <w:t xml:space="preserve">definici </w:t>
      </w:r>
      <w:r w:rsidR="085158CA" w:rsidRPr="003D1E07">
        <w:rPr>
          <w:i/>
        </w:rPr>
        <w:t>omnis determinatio est negatio</w:t>
      </w:r>
      <w:r w:rsidR="081C1BC0" w:rsidRPr="003D1E07">
        <w:t xml:space="preserve">, kterou rozvine </w:t>
      </w:r>
      <w:r w:rsidR="084E4AAB" w:rsidRPr="003D1E07">
        <w:t xml:space="preserve">modernista </w:t>
      </w:r>
      <w:r w:rsidR="081C1BC0" w:rsidRPr="003D1E07">
        <w:t>Henry z Gentu</w:t>
      </w:r>
      <w:r w:rsidR="083C2621" w:rsidRPr="003D1E07">
        <w:t xml:space="preserve"> </w:t>
      </w:r>
      <w:r w:rsidR="009010DC" w:rsidRPr="003D1E07">
        <w:t xml:space="preserve">a po něm postmoderní Spinoza </w:t>
      </w:r>
      <w:r w:rsidR="083C2621" w:rsidRPr="003D1E07">
        <w:t>(</w:t>
      </w:r>
      <w:r w:rsidR="08F5528A" w:rsidRPr="003D1E07">
        <w:t>OBJ III, kap. 5</w:t>
      </w:r>
      <w:r w:rsidR="083C2621" w:rsidRPr="003D1E07">
        <w:t>.2.1)</w:t>
      </w:r>
      <w:r w:rsidR="085158CA" w:rsidRPr="003D1E07">
        <w:t xml:space="preserve">. </w:t>
      </w:r>
      <w:r w:rsidR="00B60D5A" w:rsidRPr="003D1E07">
        <w:t>Nihilistické určení jsoucna po zatmění první substance</w:t>
      </w:r>
      <w:r w:rsidR="00E27ABC" w:rsidRPr="003D1E07">
        <w:fldChar w:fldCharType="begin"/>
      </w:r>
      <w:r w:rsidR="00E27ABC" w:rsidRPr="003D1E07">
        <w:instrText xml:space="preserve"> XE "zatmění</w:instrText>
      </w:r>
      <w:r w:rsidR="00AF0359" w:rsidRPr="003D1E07">
        <w:instrText>:</w:instrText>
      </w:r>
      <w:r w:rsidR="00E27ABC" w:rsidRPr="003D1E07">
        <w:instrText xml:space="preserve">substance" </w:instrText>
      </w:r>
      <w:r w:rsidR="00E27ABC" w:rsidRPr="003D1E07">
        <w:fldChar w:fldCharType="end"/>
      </w:r>
      <w:r w:rsidR="00B96E77" w:rsidRPr="003D1E07">
        <w:t xml:space="preserve"> už garantuje pouze moderní sub</w:t>
      </w:r>
      <w:r w:rsidR="00B60D5A" w:rsidRPr="003D1E07">
        <w:t>jekt</w:t>
      </w:r>
      <w:r w:rsidR="00B96E77" w:rsidRPr="003D1E07">
        <w:t xml:space="preserve"> díky svému náhledu </w:t>
      </w:r>
      <w:r w:rsidR="00B71584">
        <w:t>na jsoucno</w:t>
      </w:r>
      <w:r w:rsidR="00B96E77" w:rsidRPr="003D1E07">
        <w:t xml:space="preserve"> třetího druhu</w:t>
      </w:r>
      <w:r w:rsidR="00B60D5A" w:rsidRPr="003D1E07">
        <w:t xml:space="preserve">. </w:t>
      </w:r>
      <w:r w:rsidRPr="003D1E07">
        <w:t xml:space="preserve">Subjektivní poznání intelektu </w:t>
      </w:r>
      <w:r w:rsidR="00751B34" w:rsidRPr="003D1E07">
        <w:t xml:space="preserve">a </w:t>
      </w:r>
      <w:r w:rsidR="00B96E77" w:rsidRPr="003D1E07">
        <w:t xml:space="preserve">následná </w:t>
      </w:r>
      <w:r w:rsidRPr="003D1E07">
        <w:t>otázka jistoty, evidence</w:t>
      </w:r>
      <w:r w:rsidR="00433872" w:rsidRPr="003D1E07">
        <w:fldChar w:fldCharType="begin"/>
      </w:r>
      <w:r w:rsidR="00433872" w:rsidRPr="003D1E07">
        <w:instrText xml:space="preserve"> XE "evidence:Avicenna" </w:instrText>
      </w:r>
      <w:r w:rsidR="00433872" w:rsidRPr="003D1E07">
        <w:fldChar w:fldCharType="end"/>
      </w:r>
      <w:r w:rsidRPr="003D1E07">
        <w:t xml:space="preserve">, intuice </w:t>
      </w:r>
      <w:r w:rsidR="00751B34" w:rsidRPr="003D1E07">
        <w:t xml:space="preserve">plně </w:t>
      </w:r>
      <w:r w:rsidR="00B96E77" w:rsidRPr="003D1E07">
        <w:t>nahrad</w:t>
      </w:r>
      <w:r w:rsidR="001319F7" w:rsidRPr="003D1E07">
        <w:t>í</w:t>
      </w:r>
      <w:r w:rsidR="00B96E77" w:rsidRPr="003D1E07">
        <w:t xml:space="preserve"> </w:t>
      </w:r>
      <w:r w:rsidRPr="003D1E07">
        <w:t>poznání determinov</w:t>
      </w:r>
      <w:r w:rsidR="08FA1368" w:rsidRPr="003D1E07">
        <w:t>ané aktualitou první substance.</w:t>
      </w:r>
    </w:p>
    <w:p w14:paraId="31A128FA" w14:textId="77533749" w:rsidR="00AB14F3" w:rsidRPr="00CB1F0A" w:rsidRDefault="006C0F35" w:rsidP="00CB1F0A">
      <w:pPr>
        <w:ind w:firstLine="397"/>
        <w:rPr>
          <w:rStyle w:val="FontStyle129"/>
          <w:rFonts w:ascii="Calibri" w:hAnsi="Calibri"/>
          <w:sz w:val="24"/>
        </w:rPr>
      </w:pPr>
      <w:r>
        <w:rPr>
          <w:rStyle w:val="addmd"/>
        </w:rPr>
        <w:t xml:space="preserve">Nová metafyzika </w:t>
      </w:r>
      <w:r w:rsidR="0094116F" w:rsidRPr="003D1E07">
        <w:rPr>
          <w:rStyle w:val="FontStyle129"/>
          <w:rFonts w:ascii="Calibri" w:hAnsi="Calibri"/>
          <w:sz w:val="24"/>
        </w:rPr>
        <w:t xml:space="preserve">má </w:t>
      </w:r>
      <w:r w:rsidR="00874074" w:rsidRPr="003D1E07">
        <w:rPr>
          <w:rStyle w:val="FontStyle129"/>
          <w:rFonts w:ascii="Calibri" w:hAnsi="Calibri"/>
          <w:sz w:val="24"/>
        </w:rPr>
        <w:t>neoplatonsk</w:t>
      </w:r>
      <w:r w:rsidR="0094116F" w:rsidRPr="003D1E07">
        <w:rPr>
          <w:rStyle w:val="FontStyle129"/>
          <w:rFonts w:ascii="Calibri" w:hAnsi="Calibri"/>
          <w:sz w:val="24"/>
        </w:rPr>
        <w:t xml:space="preserve">ý </w:t>
      </w:r>
      <w:r w:rsidR="087726A5" w:rsidRPr="003D1E07">
        <w:rPr>
          <w:rStyle w:val="FontStyle129"/>
          <w:rFonts w:ascii="Calibri" w:hAnsi="Calibri"/>
          <w:sz w:val="24"/>
        </w:rPr>
        <w:t xml:space="preserve">iluminační </w:t>
      </w:r>
      <w:r w:rsidR="0094116F" w:rsidRPr="003D1E07">
        <w:rPr>
          <w:rStyle w:val="FontStyle129"/>
          <w:rFonts w:ascii="Calibri" w:hAnsi="Calibri"/>
          <w:sz w:val="24"/>
        </w:rPr>
        <w:t>charakter daný vzhledem k univerzální formě, viz Avicennovo pojetí abstrakce, intelektu a pravdy jako jistoty. Osvícený intelekt formálně správně nazírá esence (</w:t>
      </w:r>
      <w:r w:rsidR="0094116F" w:rsidRPr="003D1E07">
        <w:rPr>
          <w:rStyle w:val="FontStyle129"/>
          <w:rFonts w:ascii="Calibri" w:hAnsi="Calibri"/>
          <w:i/>
          <w:sz w:val="24"/>
        </w:rPr>
        <w:t>dispositio intellectus</w:t>
      </w:r>
      <w:r w:rsidR="0094116F" w:rsidRPr="003D1E07">
        <w:rPr>
          <w:rStyle w:val="FontStyle129"/>
          <w:rFonts w:ascii="Calibri" w:hAnsi="Calibri"/>
          <w:sz w:val="24"/>
        </w:rPr>
        <w:t xml:space="preserve">) a konstatuje </w:t>
      </w:r>
      <w:r w:rsidR="00F648B1" w:rsidRPr="003D1E07">
        <w:rPr>
          <w:rStyle w:val="FontStyle129"/>
          <w:rFonts w:ascii="Calibri" w:hAnsi="Calibri"/>
          <w:sz w:val="24"/>
        </w:rPr>
        <w:t xml:space="preserve">jejich identitu </w:t>
      </w:r>
      <w:r w:rsidR="0094116F" w:rsidRPr="003D1E07">
        <w:rPr>
          <w:rStyle w:val="FontStyle129"/>
          <w:rFonts w:ascii="Calibri" w:hAnsi="Calibri"/>
          <w:sz w:val="24"/>
        </w:rPr>
        <w:t>(</w:t>
      </w:r>
      <w:r w:rsidR="0094116F" w:rsidRPr="003D1E07">
        <w:rPr>
          <w:rStyle w:val="FontStyle129"/>
          <w:rFonts w:ascii="Calibri" w:hAnsi="Calibri"/>
          <w:i/>
          <w:sz w:val="24"/>
        </w:rPr>
        <w:t xml:space="preserve">significat </w:t>
      </w:r>
      <w:r w:rsidR="0094116F" w:rsidRPr="003D1E07">
        <w:rPr>
          <w:rStyle w:val="FontStyle129"/>
          <w:rFonts w:ascii="Calibri" w:hAnsi="Calibri"/>
          <w:i/>
          <w:sz w:val="24"/>
        </w:rPr>
        <w:lastRenderedPageBreak/>
        <w:t>dispositionem</w:t>
      </w:r>
      <w:r w:rsidR="0094116F" w:rsidRPr="003D1E07">
        <w:rPr>
          <w:rStyle w:val="FontStyle129"/>
          <w:rFonts w:ascii="Calibri" w:hAnsi="Calibri"/>
          <w:sz w:val="24"/>
        </w:rPr>
        <w:t>)</w:t>
      </w:r>
      <w:r w:rsidR="00F648B1" w:rsidRPr="003D1E07">
        <w:rPr>
          <w:rStyle w:val="FontStyle129"/>
          <w:rFonts w:ascii="Calibri" w:hAnsi="Calibri"/>
          <w:sz w:val="24"/>
        </w:rPr>
        <w:t>.</w:t>
      </w:r>
      <w:r w:rsidR="00FF76BA" w:rsidRPr="003D1E07">
        <w:rPr>
          <w:rStyle w:val="FontStyle129"/>
          <w:rFonts w:ascii="Calibri" w:hAnsi="Calibri"/>
          <w:sz w:val="24"/>
        </w:rPr>
        <w:t xml:space="preserve"> </w:t>
      </w:r>
      <w:r w:rsidR="00F648B1" w:rsidRPr="003D1E07">
        <w:rPr>
          <w:rStyle w:val="FontStyle129"/>
          <w:rFonts w:ascii="Calibri" w:hAnsi="Calibri"/>
          <w:sz w:val="24"/>
        </w:rPr>
        <w:t>Tento d</w:t>
      </w:r>
      <w:r w:rsidR="001A1D43">
        <w:rPr>
          <w:rStyle w:val="FontStyle129"/>
          <w:rFonts w:ascii="Calibri" w:hAnsi="Calibri"/>
          <w:sz w:val="24"/>
        </w:rPr>
        <w:t xml:space="preserve">ispozitiv identity je dán </w:t>
      </w:r>
      <w:r w:rsidR="001A1D43">
        <w:rPr>
          <w:i/>
        </w:rPr>
        <w:t>per prius</w:t>
      </w:r>
      <w:r w:rsidR="00F648B1" w:rsidRPr="003D1E07">
        <w:rPr>
          <w:rStyle w:val="FontStyle129"/>
          <w:rFonts w:ascii="Calibri" w:hAnsi="Calibri"/>
          <w:sz w:val="24"/>
        </w:rPr>
        <w:t xml:space="preserve">, protože </w:t>
      </w:r>
      <w:r w:rsidR="00CB1F0A">
        <w:rPr>
          <w:rStyle w:val="FontStyle129"/>
          <w:rFonts w:ascii="Calibri" w:hAnsi="Calibri"/>
          <w:sz w:val="24"/>
        </w:rPr>
        <w:t>je nazírána přímo. O</w:t>
      </w:r>
      <w:r w:rsidR="00F648B1" w:rsidRPr="003D1E07">
        <w:rPr>
          <w:rStyle w:val="FontStyle129"/>
          <w:rFonts w:ascii="Calibri" w:hAnsi="Calibri"/>
          <w:sz w:val="24"/>
        </w:rPr>
        <w:t xml:space="preserve">bjektivní pravdivost je založena na jistotě </w:t>
      </w:r>
      <w:r w:rsidR="0094116F" w:rsidRPr="003D1E07">
        <w:rPr>
          <w:rStyle w:val="FontStyle129"/>
          <w:rFonts w:ascii="Calibri" w:hAnsi="Calibri"/>
          <w:sz w:val="24"/>
        </w:rPr>
        <w:t>významu, kte</w:t>
      </w:r>
      <w:r w:rsidR="00315166" w:rsidRPr="003D1E07">
        <w:rPr>
          <w:rStyle w:val="FontStyle129"/>
          <w:rFonts w:ascii="Calibri" w:hAnsi="Calibri"/>
          <w:sz w:val="24"/>
        </w:rPr>
        <w:t xml:space="preserve">rý je věčně a neproměnně daný ve </w:t>
      </w:r>
      <w:r w:rsidR="0094116F" w:rsidRPr="003D1E07">
        <w:rPr>
          <w:rStyle w:val="FontStyle129"/>
          <w:rFonts w:ascii="Calibri" w:hAnsi="Calibri"/>
          <w:sz w:val="24"/>
        </w:rPr>
        <w:t xml:space="preserve">vnější </w:t>
      </w:r>
      <w:r w:rsidR="00315166" w:rsidRPr="003D1E07">
        <w:rPr>
          <w:rStyle w:val="FontStyle129"/>
          <w:rFonts w:ascii="Calibri" w:hAnsi="Calibri"/>
          <w:sz w:val="24"/>
        </w:rPr>
        <w:t xml:space="preserve">a objektivní </w:t>
      </w:r>
      <w:r w:rsidR="0094116F" w:rsidRPr="003D1E07">
        <w:rPr>
          <w:rStyle w:val="FontStyle129"/>
          <w:rFonts w:ascii="Calibri" w:hAnsi="Calibri"/>
          <w:sz w:val="24"/>
        </w:rPr>
        <w:t>věci (</w:t>
      </w:r>
      <w:r w:rsidR="0094116F" w:rsidRPr="003D1E07">
        <w:rPr>
          <w:rStyle w:val="FontStyle129"/>
          <w:rFonts w:ascii="Calibri" w:hAnsi="Calibri"/>
          <w:i/>
          <w:sz w:val="24"/>
        </w:rPr>
        <w:t>in re</w:t>
      </w:r>
      <w:r w:rsidR="00873D30" w:rsidRPr="003D1E07">
        <w:rPr>
          <w:rStyle w:val="FontStyle129"/>
          <w:rFonts w:ascii="Calibri" w:hAnsi="Calibri"/>
          <w:sz w:val="24"/>
        </w:rPr>
        <w:fldChar w:fldCharType="begin"/>
      </w:r>
      <w:r w:rsidR="00873D30" w:rsidRPr="003D1E07">
        <w:instrText xml:space="preserve"> XE "</w:instrText>
      </w:r>
      <w:r w:rsidR="00611133" w:rsidRPr="003D1E07">
        <w:instrText xml:space="preserve">spor o </w:instrText>
      </w:r>
      <w:r w:rsidR="00873D30" w:rsidRPr="003D1E07">
        <w:instrText xml:space="preserve">univerzália" </w:instrText>
      </w:r>
      <w:r w:rsidR="00873D30" w:rsidRPr="003D1E07">
        <w:rPr>
          <w:rStyle w:val="FontStyle129"/>
          <w:rFonts w:ascii="Calibri" w:hAnsi="Calibri"/>
          <w:sz w:val="24"/>
        </w:rPr>
        <w:fldChar w:fldCharType="end"/>
      </w:r>
      <w:r w:rsidR="0094116F" w:rsidRPr="003D1E07">
        <w:rPr>
          <w:rStyle w:val="FontStyle129"/>
          <w:rFonts w:ascii="Calibri" w:hAnsi="Calibri"/>
          <w:sz w:val="24"/>
        </w:rPr>
        <w:t xml:space="preserve">). </w:t>
      </w:r>
      <w:r w:rsidR="0094116F" w:rsidRPr="003D1E07">
        <w:t>Předešlé analýzy Avic</w:t>
      </w:r>
      <w:r w:rsidR="08573C1A" w:rsidRPr="003D1E07">
        <w:t xml:space="preserve">ennovy </w:t>
      </w:r>
      <w:r w:rsidR="0094116F" w:rsidRPr="003D1E07">
        <w:rPr>
          <w:i/>
        </w:rPr>
        <w:t>res</w:t>
      </w:r>
      <w:r w:rsidR="0094116F" w:rsidRPr="003D1E07">
        <w:t xml:space="preserve"> ukázaly její určení v rámci nového jsoucna třetího druhu. </w:t>
      </w:r>
      <w:r w:rsidR="0074535B" w:rsidRPr="003D1E07">
        <w:rPr>
          <w:rStyle w:val="FontStyle129"/>
          <w:rFonts w:ascii="Calibri" w:hAnsi="Calibri"/>
          <w:sz w:val="24"/>
        </w:rPr>
        <w:t>Pravda není aristotelská</w:t>
      </w:r>
      <w:r w:rsidR="081F4F04" w:rsidRPr="003D1E07">
        <w:rPr>
          <w:rStyle w:val="FontStyle129"/>
          <w:rFonts w:ascii="Calibri" w:hAnsi="Calibri"/>
          <w:sz w:val="24"/>
        </w:rPr>
        <w:t xml:space="preserve"> podobnost</w:t>
      </w:r>
      <w:r w:rsidR="080E533E" w:rsidRPr="003D1E07">
        <w:rPr>
          <w:rStyle w:val="FontStyle129"/>
          <w:rFonts w:ascii="Calibri" w:hAnsi="Calibri"/>
          <w:sz w:val="24"/>
        </w:rPr>
        <w:t xml:space="preserve"> </w:t>
      </w:r>
      <w:r w:rsidR="0074535B" w:rsidRPr="003D1E07">
        <w:rPr>
          <w:rStyle w:val="FontStyle129"/>
          <w:rFonts w:ascii="Calibri" w:hAnsi="Calibri"/>
          <w:sz w:val="24"/>
        </w:rPr>
        <w:t xml:space="preserve">intelektu a </w:t>
      </w:r>
      <w:r w:rsidR="00D2384E" w:rsidRPr="003D1E07">
        <w:rPr>
          <w:rStyle w:val="FontStyle129"/>
          <w:rFonts w:ascii="Calibri" w:hAnsi="Calibri"/>
          <w:sz w:val="24"/>
        </w:rPr>
        <w:t xml:space="preserve">pochopené </w:t>
      </w:r>
      <w:r w:rsidR="0074535B" w:rsidRPr="003D1E07">
        <w:rPr>
          <w:rStyle w:val="FontStyle129"/>
          <w:rFonts w:ascii="Calibri" w:hAnsi="Calibri"/>
          <w:sz w:val="24"/>
        </w:rPr>
        <w:t xml:space="preserve">věci </w:t>
      </w:r>
      <w:r w:rsidR="080E533E" w:rsidRPr="003D1E07">
        <w:rPr>
          <w:rStyle w:val="FontStyle129"/>
          <w:rFonts w:ascii="Calibri" w:hAnsi="Calibri"/>
          <w:sz w:val="24"/>
        </w:rPr>
        <w:t>skrze abstrakci od smyslů</w:t>
      </w:r>
      <w:r w:rsidR="00446C7B" w:rsidRPr="003D1E07">
        <w:rPr>
          <w:rStyle w:val="FontStyle129"/>
          <w:rFonts w:ascii="Calibri" w:hAnsi="Calibri"/>
          <w:sz w:val="24"/>
        </w:rPr>
        <w:t xml:space="preserve"> a intelektu</w:t>
      </w:r>
      <w:r w:rsidR="081F4F04" w:rsidRPr="003D1E07">
        <w:rPr>
          <w:rStyle w:val="FontStyle129"/>
          <w:rFonts w:ascii="Calibri" w:hAnsi="Calibri"/>
          <w:sz w:val="24"/>
        </w:rPr>
        <w:t xml:space="preserve">. </w:t>
      </w:r>
      <w:r w:rsidR="08FF029B" w:rsidRPr="003D1E07">
        <w:rPr>
          <w:rStyle w:val="FontStyle129"/>
          <w:rFonts w:ascii="Calibri" w:hAnsi="Calibri"/>
          <w:sz w:val="24"/>
        </w:rPr>
        <w:t>Avicen</w:t>
      </w:r>
      <w:r w:rsidR="008E3D1B" w:rsidRPr="003D1E07">
        <w:rPr>
          <w:rStyle w:val="FontStyle129"/>
          <w:rFonts w:ascii="Calibri" w:hAnsi="Calibri"/>
          <w:sz w:val="24"/>
        </w:rPr>
        <w:t>nu nezajímá proměnlivá první substance</w:t>
      </w:r>
      <w:r w:rsidR="00A70FA4" w:rsidRPr="003D1E07">
        <w:rPr>
          <w:rStyle w:val="FontStyle129"/>
          <w:rFonts w:ascii="Calibri" w:hAnsi="Calibri"/>
          <w:sz w:val="24"/>
        </w:rPr>
        <w:fldChar w:fldCharType="begin"/>
      </w:r>
      <w:r w:rsidR="00A70FA4" w:rsidRPr="003D1E07">
        <w:instrText xml:space="preserve"> XE "substance</w:instrText>
      </w:r>
      <w:r w:rsidR="009F4F19" w:rsidRPr="003D1E07">
        <w:instrText>:Avicenna</w:instrText>
      </w:r>
      <w:r w:rsidR="00A70FA4" w:rsidRPr="003D1E07">
        <w:instrText xml:space="preserve">" </w:instrText>
      </w:r>
      <w:r w:rsidR="00A70FA4" w:rsidRPr="003D1E07">
        <w:rPr>
          <w:rStyle w:val="FontStyle129"/>
          <w:rFonts w:ascii="Calibri" w:hAnsi="Calibri"/>
          <w:sz w:val="24"/>
        </w:rPr>
        <w:fldChar w:fldCharType="end"/>
      </w:r>
      <w:r w:rsidR="08FF029B" w:rsidRPr="003D1E07">
        <w:rPr>
          <w:rStyle w:val="FontStyle129"/>
          <w:rFonts w:ascii="Calibri" w:hAnsi="Calibri"/>
          <w:sz w:val="24"/>
        </w:rPr>
        <w:t xml:space="preserve">, protože takové určení pravdy není dostatečně pravdivé. Pravda </w:t>
      </w:r>
      <w:r w:rsidR="0013770B" w:rsidRPr="003D1E07">
        <w:rPr>
          <w:rStyle w:val="FontStyle129"/>
          <w:rFonts w:ascii="Calibri" w:hAnsi="Calibri"/>
          <w:sz w:val="24"/>
        </w:rPr>
        <w:t xml:space="preserve">není </w:t>
      </w:r>
      <w:r w:rsidR="08041395" w:rsidRPr="003D1E07">
        <w:rPr>
          <w:rStyle w:val="FontStyle129"/>
          <w:rFonts w:ascii="Calibri" w:hAnsi="Calibri"/>
          <w:sz w:val="24"/>
        </w:rPr>
        <w:t xml:space="preserve">adekvace intelektu </w:t>
      </w:r>
      <w:r w:rsidR="08FF029B" w:rsidRPr="003D1E07">
        <w:rPr>
          <w:rStyle w:val="FontStyle129"/>
          <w:rFonts w:ascii="Calibri" w:hAnsi="Calibri"/>
          <w:sz w:val="24"/>
        </w:rPr>
        <w:t xml:space="preserve">se smyslově vnímanou věcí, ale </w:t>
      </w:r>
      <w:r w:rsidR="0013770B" w:rsidRPr="003D1E07">
        <w:rPr>
          <w:rStyle w:val="FontStyle129"/>
          <w:rFonts w:ascii="Calibri" w:hAnsi="Calibri"/>
          <w:sz w:val="24"/>
        </w:rPr>
        <w:t>přímé nazírání plné a věčné toto</w:t>
      </w:r>
      <w:r w:rsidR="08FF029B" w:rsidRPr="003D1E07">
        <w:rPr>
          <w:rStyle w:val="FontStyle129"/>
          <w:rFonts w:ascii="Calibri" w:hAnsi="Calibri"/>
          <w:sz w:val="24"/>
        </w:rPr>
        <w:t>žnosti eidetických forem</w:t>
      </w:r>
      <w:r w:rsidR="002606D4" w:rsidRPr="003D1E07">
        <w:rPr>
          <w:rStyle w:val="FontStyle129"/>
          <w:rFonts w:ascii="Calibri" w:hAnsi="Calibri"/>
          <w:sz w:val="24"/>
        </w:rPr>
        <w:t>. Porovná</w:t>
      </w:r>
      <w:r w:rsidR="00352503" w:rsidRPr="003D1E07">
        <w:rPr>
          <w:rStyle w:val="FontStyle129"/>
          <w:rFonts w:ascii="Calibri" w:hAnsi="Calibri"/>
          <w:sz w:val="24"/>
        </w:rPr>
        <w:t>ní</w:t>
      </w:r>
      <w:r w:rsidR="002606D4" w:rsidRPr="003D1E07">
        <w:rPr>
          <w:rStyle w:val="FontStyle129"/>
          <w:rFonts w:ascii="Calibri" w:hAnsi="Calibri"/>
          <w:sz w:val="24"/>
        </w:rPr>
        <w:t xml:space="preserve"> těchto objektivních esencí se provádí </w:t>
      </w:r>
      <w:r w:rsidR="08FF029B" w:rsidRPr="003D1E07">
        <w:rPr>
          <w:rStyle w:val="FontStyle129"/>
          <w:rFonts w:ascii="Calibri" w:hAnsi="Calibri"/>
          <w:sz w:val="24"/>
        </w:rPr>
        <w:t xml:space="preserve">v procesu abstrakce jako </w:t>
      </w:r>
      <w:r w:rsidR="08FF029B" w:rsidRPr="003D1E07">
        <w:rPr>
          <w:rStyle w:val="FontStyle129"/>
          <w:rFonts w:ascii="Calibri" w:hAnsi="Calibri"/>
          <w:i/>
          <w:sz w:val="24"/>
        </w:rPr>
        <w:t>denudatio</w:t>
      </w:r>
      <w:r w:rsidR="00D44795" w:rsidRPr="003D1E07">
        <w:rPr>
          <w:rStyle w:val="FontStyle129"/>
          <w:rFonts w:ascii="Calibri" w:hAnsi="Calibri"/>
          <w:i/>
          <w:sz w:val="24"/>
        </w:rPr>
        <w:fldChar w:fldCharType="begin"/>
      </w:r>
      <w:r w:rsidR="00D44795" w:rsidRPr="003D1E07">
        <w:instrText xml:space="preserve"> XE "</w:instrText>
      </w:r>
      <w:r w:rsidR="00D44795" w:rsidRPr="003D1E07">
        <w:rPr>
          <w:i/>
        </w:rPr>
        <w:instrText>denudatio</w:instrText>
      </w:r>
      <w:r w:rsidR="00D44795" w:rsidRPr="003D1E07">
        <w:instrText xml:space="preserve">" </w:instrText>
      </w:r>
      <w:r w:rsidR="00D44795" w:rsidRPr="003D1E07">
        <w:rPr>
          <w:rStyle w:val="FontStyle129"/>
          <w:rFonts w:ascii="Calibri" w:hAnsi="Calibri"/>
          <w:i/>
          <w:sz w:val="24"/>
        </w:rPr>
        <w:fldChar w:fldCharType="end"/>
      </w:r>
      <w:r w:rsidR="08FF029B" w:rsidRPr="003D1E07">
        <w:rPr>
          <w:rStyle w:val="FontStyle129"/>
          <w:rFonts w:ascii="Calibri" w:hAnsi="Calibri"/>
          <w:sz w:val="24"/>
        </w:rPr>
        <w:t xml:space="preserve">. </w:t>
      </w:r>
      <w:r w:rsidR="08FE0020" w:rsidRPr="003D1E07">
        <w:rPr>
          <w:rStyle w:val="FontStyle129"/>
          <w:rFonts w:ascii="Calibri" w:hAnsi="Calibri"/>
          <w:sz w:val="24"/>
        </w:rPr>
        <w:t>D</w:t>
      </w:r>
      <w:r w:rsidR="081E703E" w:rsidRPr="003D1E07">
        <w:rPr>
          <w:rStyle w:val="FontStyle129"/>
          <w:rFonts w:ascii="Calibri" w:hAnsi="Calibri"/>
          <w:sz w:val="24"/>
        </w:rPr>
        <w:t>ráha nasvícení jsoucna je dána zezadu, od věčných forem</w:t>
      </w:r>
      <w:r w:rsidR="004926F6" w:rsidRPr="003D1E07">
        <w:rPr>
          <w:rStyle w:val="FontStyle129"/>
          <w:rFonts w:ascii="Calibri" w:hAnsi="Calibri"/>
          <w:sz w:val="24"/>
        </w:rPr>
        <w:t xml:space="preserve">. </w:t>
      </w:r>
      <w:r w:rsidR="00BB1F6E">
        <w:rPr>
          <w:rStyle w:val="FontStyle129"/>
          <w:rFonts w:ascii="Calibri" w:hAnsi="Calibri"/>
          <w:sz w:val="24"/>
        </w:rPr>
        <w:t xml:space="preserve">Jejich další podoba je dána </w:t>
      </w:r>
      <w:r w:rsidR="08A22967" w:rsidRPr="003D1E07">
        <w:rPr>
          <w:rStyle w:val="FontStyle129"/>
          <w:rFonts w:ascii="Calibri" w:hAnsi="Calibri"/>
          <w:sz w:val="24"/>
        </w:rPr>
        <w:t>v materiálních substancích</w:t>
      </w:r>
      <w:r w:rsidR="00B64D3D" w:rsidRPr="003D1E07">
        <w:rPr>
          <w:rStyle w:val="FontStyle129"/>
          <w:rFonts w:ascii="Calibri" w:hAnsi="Calibri"/>
          <w:sz w:val="24"/>
        </w:rPr>
        <w:t xml:space="preserve">. </w:t>
      </w:r>
      <w:r w:rsidR="004926F6" w:rsidRPr="003D1E07">
        <w:rPr>
          <w:rStyle w:val="FontStyle129"/>
          <w:rFonts w:ascii="Calibri" w:hAnsi="Calibri"/>
          <w:sz w:val="24"/>
        </w:rPr>
        <w:t>Proto je pravd</w:t>
      </w:r>
      <w:r w:rsidR="00B64D3D" w:rsidRPr="003D1E07">
        <w:rPr>
          <w:rStyle w:val="FontStyle129"/>
          <w:rFonts w:ascii="Calibri" w:hAnsi="Calibri"/>
          <w:sz w:val="24"/>
        </w:rPr>
        <w:t>a definována</w:t>
      </w:r>
      <w:r w:rsidR="004926F6" w:rsidRPr="003D1E07">
        <w:rPr>
          <w:rStyle w:val="FontStyle129"/>
          <w:rFonts w:ascii="Calibri" w:hAnsi="Calibri"/>
          <w:sz w:val="24"/>
        </w:rPr>
        <w:t xml:space="preserve"> jako identitární shoda objektivních esencí, a ne jako univoční podobnost intelektu a reálné materiální věci. Moderní </w:t>
      </w:r>
      <w:r w:rsidR="00AA71D0" w:rsidRPr="003D1E07">
        <w:rPr>
          <w:rStyle w:val="FontStyle129"/>
          <w:rFonts w:ascii="Calibri" w:hAnsi="Calibri"/>
          <w:sz w:val="24"/>
        </w:rPr>
        <w:t xml:space="preserve">definici pravdy vezme škola </w:t>
      </w:r>
      <w:r w:rsidR="00AA71D0" w:rsidRPr="003D1E07">
        <w:rPr>
          <w:rStyle w:val="FontStyle129"/>
          <w:rFonts w:ascii="Calibri" w:hAnsi="Calibri"/>
          <w:i/>
          <w:sz w:val="24"/>
        </w:rPr>
        <w:t>Nominales</w:t>
      </w:r>
      <w:r w:rsidR="00AA71D0" w:rsidRPr="003D1E07">
        <w:rPr>
          <w:rStyle w:val="FontStyle129"/>
          <w:rFonts w:ascii="Calibri" w:hAnsi="Calibri"/>
          <w:sz w:val="24"/>
        </w:rPr>
        <w:t xml:space="preserve"> na přelomu 12. a 13. století v kanonické verzi „</w:t>
      </w:r>
      <w:r w:rsidR="00AA71D0" w:rsidRPr="003D1E07">
        <w:rPr>
          <w:rStyle w:val="FontStyle129"/>
          <w:rFonts w:ascii="Calibri" w:hAnsi="Calibri"/>
          <w:i/>
          <w:sz w:val="24"/>
        </w:rPr>
        <w:t>semel verum</w:t>
      </w:r>
      <w:r w:rsidR="009F4F19" w:rsidRPr="003D1E07">
        <w:rPr>
          <w:rStyle w:val="FontStyle129"/>
          <w:rFonts w:ascii="Calibri" w:hAnsi="Calibri"/>
          <w:i/>
          <w:sz w:val="24"/>
        </w:rPr>
        <w:fldChar w:fldCharType="begin"/>
      </w:r>
      <w:r w:rsidR="009F4F19" w:rsidRPr="003D1E07">
        <w:instrText xml:space="preserve"> XE "</w:instrText>
      </w:r>
      <w:r w:rsidR="009F4F19" w:rsidRPr="003D1E07">
        <w:rPr>
          <w:rStyle w:val="FontStyle129"/>
          <w:rFonts w:ascii="Calibri" w:hAnsi="Calibri"/>
          <w:i/>
          <w:sz w:val="24"/>
        </w:rPr>
        <w:instrText>pravda:</w:instrText>
      </w:r>
      <w:r w:rsidR="006F1348" w:rsidRPr="003D1E07">
        <w:rPr>
          <w:i/>
        </w:rPr>
        <w:instrText>semel‒semper</w:instrText>
      </w:r>
      <w:r w:rsidR="009F4F19" w:rsidRPr="003D1E07">
        <w:instrText xml:space="preserve">" </w:instrText>
      </w:r>
      <w:r w:rsidR="009F4F19" w:rsidRPr="003D1E07">
        <w:rPr>
          <w:rStyle w:val="FontStyle129"/>
          <w:rFonts w:ascii="Calibri" w:hAnsi="Calibri"/>
          <w:i/>
          <w:sz w:val="24"/>
        </w:rPr>
        <w:fldChar w:fldCharType="end"/>
      </w:r>
      <w:r w:rsidR="00AA71D0" w:rsidRPr="003D1E07">
        <w:rPr>
          <w:rStyle w:val="FontStyle129"/>
          <w:rFonts w:ascii="Calibri" w:hAnsi="Calibri"/>
          <w:i/>
          <w:sz w:val="24"/>
        </w:rPr>
        <w:t xml:space="preserve"> ‒ semper verum</w:t>
      </w:r>
      <w:r w:rsidR="00AA71D0" w:rsidRPr="003D1E07">
        <w:rPr>
          <w:rStyle w:val="FontStyle129"/>
          <w:rFonts w:ascii="Calibri" w:hAnsi="Calibri"/>
          <w:sz w:val="24"/>
        </w:rPr>
        <w:t>“</w:t>
      </w:r>
      <w:r w:rsidR="006D0848" w:rsidRPr="003D1E07">
        <w:rPr>
          <w:rStyle w:val="FontStyle129"/>
          <w:rFonts w:ascii="Calibri" w:hAnsi="Calibri"/>
          <w:sz w:val="24"/>
        </w:rPr>
        <w:t xml:space="preserve"> (</w:t>
      </w:r>
      <w:r w:rsidR="08F5528A" w:rsidRPr="003D1E07">
        <w:rPr>
          <w:rStyle w:val="FontStyle129"/>
          <w:rFonts w:ascii="Calibri" w:hAnsi="Calibri"/>
          <w:sz w:val="24"/>
        </w:rPr>
        <w:t>OBJ II, kap. 2</w:t>
      </w:r>
      <w:r w:rsidR="006D0848" w:rsidRPr="003D1E07">
        <w:rPr>
          <w:rStyle w:val="FontStyle129"/>
          <w:rFonts w:ascii="Calibri" w:hAnsi="Calibri"/>
          <w:sz w:val="24"/>
        </w:rPr>
        <w:t>.3.1)</w:t>
      </w:r>
      <w:r w:rsidR="00AA71D0" w:rsidRPr="003D1E07">
        <w:rPr>
          <w:rStyle w:val="FontStyle129"/>
          <w:rFonts w:ascii="Calibri" w:hAnsi="Calibri"/>
          <w:sz w:val="24"/>
        </w:rPr>
        <w:t xml:space="preserve">. </w:t>
      </w:r>
      <w:r w:rsidR="007C1D10" w:rsidRPr="003D1E07">
        <w:rPr>
          <w:rStyle w:val="FontStyle129"/>
          <w:rFonts w:ascii="Calibri" w:hAnsi="Calibri"/>
          <w:sz w:val="24"/>
        </w:rPr>
        <w:t xml:space="preserve">Tuto identitární teorii pravdy </w:t>
      </w:r>
      <w:r w:rsidR="00AA71D0" w:rsidRPr="003D1E07">
        <w:rPr>
          <w:rStyle w:val="FontStyle129"/>
          <w:rFonts w:ascii="Calibri" w:hAnsi="Calibri"/>
          <w:sz w:val="24"/>
        </w:rPr>
        <w:t xml:space="preserve">modifikuje Rufus z Cornwallu </w:t>
      </w:r>
      <w:r w:rsidR="00DD1D45" w:rsidRPr="003D1E07">
        <w:rPr>
          <w:rStyle w:val="FontStyle129"/>
          <w:rFonts w:ascii="Calibri" w:hAnsi="Calibri"/>
          <w:sz w:val="24"/>
        </w:rPr>
        <w:t xml:space="preserve">citovaným </w:t>
      </w:r>
      <w:r w:rsidR="007434BE" w:rsidRPr="003D1E07">
        <w:rPr>
          <w:rStyle w:val="FontStyle129"/>
          <w:rFonts w:ascii="Calibri" w:hAnsi="Calibri"/>
          <w:sz w:val="24"/>
        </w:rPr>
        <w:t xml:space="preserve">termínem </w:t>
      </w:r>
      <w:r w:rsidR="007C1D10" w:rsidRPr="003D1E07">
        <w:rPr>
          <w:rStyle w:val="FontStyle129"/>
          <w:rFonts w:ascii="Calibri" w:hAnsi="Calibri"/>
          <w:i/>
          <w:sz w:val="24"/>
        </w:rPr>
        <w:t>coaequatio</w:t>
      </w:r>
      <w:r w:rsidR="00433872" w:rsidRPr="003D1E07">
        <w:rPr>
          <w:rStyle w:val="FontStyle129"/>
          <w:rFonts w:ascii="Calibri" w:hAnsi="Calibri"/>
          <w:i/>
          <w:sz w:val="24"/>
        </w:rPr>
        <w:fldChar w:fldCharType="begin"/>
      </w:r>
      <w:r w:rsidR="00433872" w:rsidRPr="003D1E07">
        <w:instrText xml:space="preserve"> XE "</w:instrText>
      </w:r>
      <w:r w:rsidR="009F4F19" w:rsidRPr="003D1E07">
        <w:instrText>pravda:</w:instrText>
      </w:r>
      <w:r w:rsidR="00433872" w:rsidRPr="003D1E07">
        <w:rPr>
          <w:i/>
        </w:rPr>
        <w:instrText>coaequatio</w:instrText>
      </w:r>
      <w:r w:rsidR="00433872" w:rsidRPr="003D1E07">
        <w:instrText xml:space="preserve">" </w:instrText>
      </w:r>
      <w:r w:rsidR="00433872" w:rsidRPr="003D1E07">
        <w:rPr>
          <w:rStyle w:val="FontStyle129"/>
          <w:rFonts w:ascii="Calibri" w:hAnsi="Calibri"/>
          <w:i/>
          <w:sz w:val="24"/>
        </w:rPr>
        <w:fldChar w:fldCharType="end"/>
      </w:r>
      <w:r w:rsidR="007434BE" w:rsidRPr="003D1E07">
        <w:rPr>
          <w:rStyle w:val="FontStyle129"/>
          <w:rFonts w:ascii="Calibri" w:hAnsi="Calibri"/>
          <w:sz w:val="24"/>
        </w:rPr>
        <w:t xml:space="preserve"> (</w:t>
      </w:r>
      <w:r w:rsidR="08F5528A" w:rsidRPr="003D1E07">
        <w:rPr>
          <w:rStyle w:val="FontStyle129"/>
          <w:rFonts w:ascii="Calibri" w:hAnsi="Calibri"/>
          <w:sz w:val="24"/>
        </w:rPr>
        <w:t>OBJ II, kap. 3</w:t>
      </w:r>
      <w:r w:rsidR="00AA71D0" w:rsidRPr="003D1E07">
        <w:rPr>
          <w:rStyle w:val="FontStyle129"/>
          <w:rFonts w:ascii="Calibri" w:hAnsi="Calibri"/>
          <w:sz w:val="24"/>
        </w:rPr>
        <w:t xml:space="preserve">.3.2). </w:t>
      </w:r>
      <w:r w:rsidR="008E02F5" w:rsidRPr="003D1E07">
        <w:t>Aristoteles</w:t>
      </w:r>
      <w:r w:rsidR="002F6608" w:rsidRPr="003D1E07">
        <w:t xml:space="preserve"> </w:t>
      </w:r>
      <w:r w:rsidR="002C1DFF" w:rsidRPr="003D1E07">
        <w:t xml:space="preserve">stavěl </w:t>
      </w:r>
      <w:r w:rsidR="002F6608" w:rsidRPr="003D1E07">
        <w:t xml:space="preserve">metafyziku </w:t>
      </w:r>
      <w:r w:rsidR="002C1DFF" w:rsidRPr="003D1E07">
        <w:t>na aktualitě první substance tím, že hledal „meta-fyzickou“ jednotu jsoucna</w:t>
      </w:r>
      <w:r w:rsidR="001D45E2" w:rsidRPr="003D1E07">
        <w:t xml:space="preserve"> za první substancí. Avicenna má</w:t>
      </w:r>
      <w:r w:rsidR="002C1DFF" w:rsidRPr="003D1E07">
        <w:t xml:space="preserve"> jiné pojetí</w:t>
      </w:r>
      <w:r w:rsidR="001D45E2" w:rsidRPr="003D1E07">
        <w:t xml:space="preserve"> první vědy</w:t>
      </w:r>
      <w:r w:rsidR="002C1DFF" w:rsidRPr="003D1E07">
        <w:t xml:space="preserve">, které staví na jistotě poznání minimálního jsoucna v </w:t>
      </w:r>
      <w:r w:rsidR="08207467" w:rsidRPr="003D1E07">
        <w:t xml:space="preserve">eidetickém </w:t>
      </w:r>
      <w:r w:rsidR="002C1DFF" w:rsidRPr="003D1E07">
        <w:t xml:space="preserve">náhledu.  </w:t>
      </w:r>
      <w:r w:rsidR="00DD1D45" w:rsidRPr="003D1E07">
        <w:t xml:space="preserve">Vidění objektivní jsoucnosti </w:t>
      </w:r>
      <w:r w:rsidR="08207467" w:rsidRPr="003D1E07">
        <w:rPr>
          <w:rStyle w:val="FontStyle129"/>
          <w:rFonts w:ascii="Calibri" w:hAnsi="Calibri"/>
          <w:sz w:val="24"/>
        </w:rPr>
        <w:t xml:space="preserve">zakládá </w:t>
      </w:r>
      <w:r w:rsidR="08207467" w:rsidRPr="003D1E07">
        <w:t xml:space="preserve">moderní pojetí pravdy jako jistoty </w:t>
      </w:r>
      <w:r w:rsidR="08532AAC" w:rsidRPr="003D1E07">
        <w:t>jsoucna</w:t>
      </w:r>
      <w:r w:rsidR="088A6FD0" w:rsidRPr="003D1E07">
        <w:t xml:space="preserve"> </w:t>
      </w:r>
      <w:r w:rsidR="00DD1D45" w:rsidRPr="003D1E07">
        <w:t xml:space="preserve">třetího druhu </w:t>
      </w:r>
      <w:r w:rsidR="088A6FD0" w:rsidRPr="003D1E07">
        <w:t xml:space="preserve">zjeveného v intelektu skrze </w:t>
      </w:r>
      <w:r w:rsidR="00A57A6F" w:rsidRPr="003D1E07">
        <w:t xml:space="preserve">náhled objektivně dané </w:t>
      </w:r>
      <w:r w:rsidR="088A6FD0" w:rsidRPr="003D1E07">
        <w:t xml:space="preserve">věcnosti </w:t>
      </w:r>
      <w:r w:rsidR="085D0330" w:rsidRPr="003D1E07">
        <w:t>(</w:t>
      </w:r>
      <w:r w:rsidR="085D0330" w:rsidRPr="003D1E07">
        <w:rPr>
          <w:i/>
        </w:rPr>
        <w:t>veritas respectu comparationis rei ad ipsam</w:t>
      </w:r>
      <w:r w:rsidR="085D0330" w:rsidRPr="003D1E07">
        <w:t>)</w:t>
      </w:r>
      <w:r w:rsidR="08207467" w:rsidRPr="003D1E07">
        <w:t>.</w:t>
      </w:r>
      <w:r w:rsidR="08207467" w:rsidRPr="003D1E07">
        <w:rPr>
          <w:rStyle w:val="Znakapoznpodarou"/>
        </w:rPr>
        <w:footnoteReference w:id="165"/>
      </w:r>
      <w:r w:rsidR="08207467" w:rsidRPr="003D1E07">
        <w:t xml:space="preserve"> </w:t>
      </w:r>
      <w:r w:rsidR="00C733EA" w:rsidRPr="00C733EA">
        <w:t>Absolutně daná jistota vzniká v odděleném uvažování o objektivní</w:t>
      </w:r>
      <w:r w:rsidR="00C733EA">
        <w:t xml:space="preserve">m jsoucnu, které obnovuje v mysli věc danou o </w:t>
      </w:r>
      <w:r w:rsidR="00C733EA" w:rsidRPr="00C733EA">
        <w:t>sobě (</w:t>
      </w:r>
      <w:r w:rsidR="00C733EA" w:rsidRPr="00C733EA">
        <w:rPr>
          <w:i/>
        </w:rPr>
        <w:t>ipsa res</w:t>
      </w:r>
      <w:r w:rsidR="00C733EA" w:rsidRPr="00C733EA">
        <w:t xml:space="preserve">). Této totožnosti věčných hypostatických forem lze dosáhnout i poznáním ze směru speciálních věd a hylemorfních substancí. </w:t>
      </w:r>
      <w:r w:rsidR="00C733EA">
        <w:t xml:space="preserve">Ale objektivní </w:t>
      </w:r>
      <w:r w:rsidR="00C733EA" w:rsidRPr="00C733EA">
        <w:t xml:space="preserve">jistota je oddělena od nižší formy </w:t>
      </w:r>
      <w:r w:rsidR="00C733EA">
        <w:t>poznání založeného na aristotelské</w:t>
      </w:r>
      <w:r w:rsidR="00C733EA" w:rsidRPr="00C733EA">
        <w:t xml:space="preserve"> abstrakce </w:t>
      </w:r>
      <w:r w:rsidR="00C733EA">
        <w:t>dané skrze smyslovou zkušenost</w:t>
      </w:r>
      <w:r w:rsidR="00C733EA" w:rsidRPr="00C733EA">
        <w:t xml:space="preserve"> věcí ve světě.</w:t>
      </w:r>
      <w:r w:rsidR="00C733EA">
        <w:t xml:space="preserve"> Moderna je pravdivá paranoicky a absolutně, tedy plným oddělením (</w:t>
      </w:r>
      <w:r w:rsidR="00C733EA" w:rsidRPr="00C733EA">
        <w:rPr>
          <w:i/>
        </w:rPr>
        <w:t>absolute</w:t>
      </w:r>
      <w:r w:rsidR="00C733EA">
        <w:t xml:space="preserve">) od všech předešlých pojetí pravdivosti. </w:t>
      </w:r>
      <w:r w:rsidR="0842796F" w:rsidRPr="003D1E07">
        <w:t xml:space="preserve">Tím definitivně zmizela zprostředkující úloha diafanum, kterou nahradilo nasvícení jsoucna zezadu od </w:t>
      </w:r>
      <w:r w:rsidR="003F455D">
        <w:t xml:space="preserve">hypostatického </w:t>
      </w:r>
      <w:r w:rsidR="0842796F" w:rsidRPr="003D1E07">
        <w:t>intelektu-slunce (</w:t>
      </w:r>
      <w:r w:rsidR="0842796F" w:rsidRPr="003D1E07">
        <w:rPr>
          <w:i/>
        </w:rPr>
        <w:t>comparacio irradiacionis</w:t>
      </w:r>
      <w:r w:rsidR="0842796F" w:rsidRPr="003D1E07">
        <w:t xml:space="preserve">, kap. 2.1.1). </w:t>
      </w:r>
      <w:r w:rsidR="009B169E" w:rsidRPr="003D1E07">
        <w:t xml:space="preserve">Nově </w:t>
      </w:r>
      <w:r w:rsidR="088763AB" w:rsidRPr="003D1E07">
        <w:t>definované m</w:t>
      </w:r>
      <w:r w:rsidR="00DB2FF3" w:rsidRPr="003D1E07">
        <w:rPr>
          <w:color w:val="000000"/>
        </w:rPr>
        <w:t>etafy</w:t>
      </w:r>
      <w:r w:rsidR="088763AB" w:rsidRPr="003D1E07">
        <w:rPr>
          <w:color w:val="000000"/>
        </w:rPr>
        <w:t xml:space="preserve">zické vědění </w:t>
      </w:r>
      <w:r w:rsidR="00FF0BC7" w:rsidRPr="003D1E07">
        <w:rPr>
          <w:color w:val="000000"/>
        </w:rPr>
        <w:t xml:space="preserve">v modu </w:t>
      </w:r>
      <w:r w:rsidR="00FF0BC7" w:rsidRPr="003D1E07">
        <w:rPr>
          <w:i/>
          <w:color w:val="000000"/>
        </w:rPr>
        <w:t>absolute</w:t>
      </w:r>
      <w:r w:rsidR="00FF0BC7" w:rsidRPr="003D1E07">
        <w:rPr>
          <w:color w:val="000000"/>
        </w:rPr>
        <w:t xml:space="preserve"> </w:t>
      </w:r>
      <w:r w:rsidR="004E2BC4" w:rsidRPr="003D1E07">
        <w:rPr>
          <w:rStyle w:val="addmd"/>
          <w:i/>
        </w:rPr>
        <w:fldChar w:fldCharType="begin"/>
      </w:r>
      <w:r w:rsidR="004E2BC4" w:rsidRPr="003D1E07">
        <w:instrText xml:space="preserve"> XE "</w:instrText>
      </w:r>
      <w:r w:rsidR="0080614E" w:rsidRPr="003D1E07">
        <w:instrText>predikace</w:instrText>
      </w:r>
      <w:r w:rsidR="004E2BC4" w:rsidRPr="003D1E07">
        <w:instrText xml:space="preserve">:modus </w:instrText>
      </w:r>
      <w:r w:rsidR="004E2BC4" w:rsidRPr="003D1E07">
        <w:rPr>
          <w:i/>
        </w:rPr>
        <w:instrText>absolute</w:instrText>
      </w:r>
      <w:r w:rsidR="004E2BC4" w:rsidRPr="003D1E07">
        <w:instrText xml:space="preserve">" </w:instrText>
      </w:r>
      <w:r w:rsidR="004E2BC4" w:rsidRPr="003D1E07">
        <w:rPr>
          <w:rStyle w:val="addmd"/>
          <w:i/>
        </w:rPr>
        <w:fldChar w:fldCharType="end"/>
      </w:r>
      <w:r w:rsidR="00DB2FF3" w:rsidRPr="003D1E07">
        <w:rPr>
          <w:color w:val="000000"/>
        </w:rPr>
        <w:t>tv</w:t>
      </w:r>
      <w:r w:rsidR="00430032" w:rsidRPr="003D1E07">
        <w:rPr>
          <w:color w:val="000000"/>
        </w:rPr>
        <w:t>oří deduktivní princip</w:t>
      </w:r>
      <w:r w:rsidR="00692DB7" w:rsidRPr="003D1E07">
        <w:rPr>
          <w:color w:val="000000"/>
        </w:rPr>
        <w:t xml:space="preserve"> osvíceného intelektu</w:t>
      </w:r>
      <w:r w:rsidR="0842796F" w:rsidRPr="003D1E07">
        <w:rPr>
          <w:color w:val="000000"/>
        </w:rPr>
        <w:t>-slunce</w:t>
      </w:r>
      <w:r w:rsidR="00430032" w:rsidRPr="003D1E07">
        <w:rPr>
          <w:color w:val="000000"/>
        </w:rPr>
        <w:t>, od něho</w:t>
      </w:r>
      <w:r w:rsidR="00DB2FF3" w:rsidRPr="003D1E07">
        <w:rPr>
          <w:color w:val="000000"/>
        </w:rPr>
        <w:t>ž j</w:t>
      </w:r>
      <w:r w:rsidR="00430032" w:rsidRPr="003D1E07">
        <w:rPr>
          <w:color w:val="000000"/>
        </w:rPr>
        <w:t xml:space="preserve">sou </w:t>
      </w:r>
      <w:r w:rsidR="088763AB" w:rsidRPr="003D1E07">
        <w:rPr>
          <w:color w:val="000000"/>
        </w:rPr>
        <w:t>odvozena</w:t>
      </w:r>
      <w:r w:rsidR="00DB2FF3" w:rsidRPr="003D1E07">
        <w:rPr>
          <w:color w:val="000000"/>
        </w:rPr>
        <w:t xml:space="preserve"> </w:t>
      </w:r>
      <w:r w:rsidR="088763AB" w:rsidRPr="003D1E07">
        <w:rPr>
          <w:color w:val="000000"/>
        </w:rPr>
        <w:t>všechna</w:t>
      </w:r>
      <w:r w:rsidR="00DB2FF3" w:rsidRPr="003D1E07">
        <w:rPr>
          <w:color w:val="000000"/>
        </w:rPr>
        <w:t xml:space="preserve"> další určení </w:t>
      </w:r>
      <w:r w:rsidR="00DB2FF3" w:rsidRPr="003D1E07">
        <w:rPr>
          <w:color w:val="000000"/>
        </w:rPr>
        <w:lastRenderedPageBreak/>
        <w:t>jsoucna</w:t>
      </w:r>
      <w:r w:rsidR="00430032" w:rsidRPr="003D1E07">
        <w:rPr>
          <w:color w:val="000000"/>
        </w:rPr>
        <w:t>.</w:t>
      </w:r>
      <w:r w:rsidR="088763AB" w:rsidRPr="003D1E07">
        <w:rPr>
          <w:rStyle w:val="Znakapoznpodarou"/>
        </w:rPr>
        <w:footnoteReference w:id="166"/>
      </w:r>
      <w:r w:rsidR="00430032" w:rsidRPr="003D1E07">
        <w:rPr>
          <w:color w:val="000000"/>
        </w:rPr>
        <w:t xml:space="preserve"> </w:t>
      </w:r>
      <w:r w:rsidR="00E91FE1" w:rsidRPr="003D1E07">
        <w:rPr>
          <w:color w:val="000000"/>
        </w:rPr>
        <w:t xml:space="preserve">Absolutně </w:t>
      </w:r>
      <w:r w:rsidR="00430032" w:rsidRPr="003D1E07">
        <w:rPr>
          <w:color w:val="000000"/>
        </w:rPr>
        <w:t>založená první věda</w:t>
      </w:r>
      <w:r w:rsidR="00546ABB" w:rsidRPr="003D1E07">
        <w:rPr>
          <w:color w:val="000000"/>
        </w:rPr>
        <w:fldChar w:fldCharType="begin"/>
      </w:r>
      <w:r w:rsidR="00546ABB" w:rsidRPr="003D1E07">
        <w:instrText xml:space="preserve"> XE "metafyzika:první věda" </w:instrText>
      </w:r>
      <w:r w:rsidR="00546ABB" w:rsidRPr="003D1E07">
        <w:rPr>
          <w:color w:val="000000"/>
        </w:rPr>
        <w:fldChar w:fldCharType="end"/>
      </w:r>
      <w:r w:rsidR="08A67D38" w:rsidRPr="003D1E07">
        <w:rPr>
          <w:color w:val="000000"/>
        </w:rPr>
        <w:t xml:space="preserve"> slouží </w:t>
      </w:r>
      <w:r w:rsidR="00E91FE1" w:rsidRPr="003D1E07">
        <w:rPr>
          <w:color w:val="000000"/>
        </w:rPr>
        <w:t xml:space="preserve">pak v modu dedukce </w:t>
      </w:r>
      <w:r w:rsidR="08A67D38" w:rsidRPr="003D1E07">
        <w:rPr>
          <w:color w:val="000000"/>
        </w:rPr>
        <w:t xml:space="preserve">jako </w:t>
      </w:r>
      <w:r w:rsidR="00C97BFE" w:rsidRPr="003D1E07">
        <w:rPr>
          <w:color w:val="000000"/>
        </w:rPr>
        <w:t xml:space="preserve">evidentní </w:t>
      </w:r>
      <w:r w:rsidR="00DB2FF3" w:rsidRPr="003D1E07">
        <w:rPr>
          <w:color w:val="000000"/>
        </w:rPr>
        <w:t xml:space="preserve">princip </w:t>
      </w:r>
      <w:r w:rsidR="08A67D38" w:rsidRPr="003D1E07">
        <w:rPr>
          <w:color w:val="000000"/>
        </w:rPr>
        <w:t>určující</w:t>
      </w:r>
      <w:r w:rsidR="00E91FE1" w:rsidRPr="003D1E07">
        <w:rPr>
          <w:color w:val="000000"/>
        </w:rPr>
        <w:t xml:space="preserve"> následné </w:t>
      </w:r>
      <w:r w:rsidR="00DB2FF3" w:rsidRPr="003D1E07">
        <w:rPr>
          <w:color w:val="000000"/>
        </w:rPr>
        <w:t>znalosti speciálních věd (</w:t>
      </w:r>
      <w:r w:rsidR="00590EF9" w:rsidRPr="003D1E07">
        <w:rPr>
          <w:i/>
        </w:rPr>
        <w:t>principium certi</w:t>
      </w:r>
      <w:r w:rsidR="00DB2FF3" w:rsidRPr="003D1E07">
        <w:rPr>
          <w:i/>
        </w:rPr>
        <w:t>tudinis sciendi illas</w:t>
      </w:r>
      <w:r w:rsidR="00DB2FF3" w:rsidRPr="003D1E07">
        <w:rPr>
          <w:color w:val="000000"/>
        </w:rPr>
        <w:t xml:space="preserve">). </w:t>
      </w:r>
      <w:r w:rsidR="00B44952" w:rsidRPr="003D1E07">
        <w:rPr>
          <w:color w:val="000000"/>
        </w:rPr>
        <w:t>Tím došlo k</w:t>
      </w:r>
      <w:r w:rsidR="002D6895" w:rsidRPr="003D1E07">
        <w:rPr>
          <w:color w:val="000000"/>
        </w:rPr>
        <w:t> moderní události pravdy (</w:t>
      </w:r>
      <w:r w:rsidR="002D6895" w:rsidRPr="003D1E07">
        <w:rPr>
          <w:i/>
          <w:color w:val="000000"/>
        </w:rPr>
        <w:t>Ereignis</w:t>
      </w:r>
      <w:r w:rsidR="002D6895" w:rsidRPr="003D1E07">
        <w:rPr>
          <w:color w:val="000000"/>
        </w:rPr>
        <w:t xml:space="preserve">) </w:t>
      </w:r>
      <w:r w:rsidR="00B44952" w:rsidRPr="003D1E07">
        <w:rPr>
          <w:color w:val="000000"/>
        </w:rPr>
        <w:t>jako identitě mezi</w:t>
      </w:r>
      <w:r w:rsidR="00EC1F60" w:rsidRPr="003D1E07">
        <w:rPr>
          <w:rStyle w:val="FontStyle129"/>
          <w:rFonts w:ascii="Calibri" w:hAnsi="Calibri"/>
          <w:sz w:val="24"/>
        </w:rPr>
        <w:t xml:space="preserve"> </w:t>
      </w:r>
      <w:r w:rsidR="00B44952" w:rsidRPr="003D1E07">
        <w:rPr>
          <w:rStyle w:val="FontStyle129"/>
          <w:rFonts w:ascii="Calibri" w:hAnsi="Calibri"/>
          <w:sz w:val="24"/>
        </w:rPr>
        <w:t xml:space="preserve">dvěma </w:t>
      </w:r>
      <w:r w:rsidR="002D6895" w:rsidRPr="003D1E07">
        <w:rPr>
          <w:rStyle w:val="FontStyle129"/>
          <w:rFonts w:ascii="Calibri" w:hAnsi="Calibri"/>
          <w:sz w:val="24"/>
        </w:rPr>
        <w:t xml:space="preserve">póly hermeneutické elipsy, které jsou založeny skrze dvojí pojetí </w:t>
      </w:r>
      <w:r w:rsidR="00B44952" w:rsidRPr="003D1E07">
        <w:rPr>
          <w:rStyle w:val="FontStyle129"/>
          <w:rFonts w:ascii="Calibri" w:hAnsi="Calibri"/>
          <w:i/>
          <w:sz w:val="24"/>
        </w:rPr>
        <w:t>tertium ens</w:t>
      </w:r>
      <w:r w:rsidR="00B44952" w:rsidRPr="003D1E07">
        <w:rPr>
          <w:rStyle w:val="FontStyle129"/>
          <w:rFonts w:ascii="Calibri" w:hAnsi="Calibri"/>
          <w:sz w:val="24"/>
        </w:rPr>
        <w:t>.</w:t>
      </w:r>
      <w:r w:rsidR="002D6895" w:rsidRPr="003D1E07">
        <w:rPr>
          <w:rStyle w:val="FontStyle129"/>
          <w:rFonts w:ascii="Calibri" w:hAnsi="Calibri"/>
          <w:sz w:val="24"/>
        </w:rPr>
        <w:t xml:space="preserve"> </w:t>
      </w:r>
      <w:r w:rsidR="00836C81" w:rsidRPr="00836C81">
        <w:rPr>
          <w:rStyle w:val="FontStyle129"/>
          <w:rFonts w:ascii="Calibri" w:hAnsi="Calibri"/>
          <w:sz w:val="24"/>
        </w:rPr>
        <w:t xml:space="preserve">Prvním pólem elipsy je hypostatický intelekt jako substance třetího druhu, která tvoří součást moderního subjektu; druhým pólem je objektivní pojem </w:t>
      </w:r>
      <w:r w:rsidR="00836C81" w:rsidRPr="00836C81">
        <w:rPr>
          <w:rStyle w:val="FontStyle129"/>
          <w:rFonts w:ascii="Calibri" w:hAnsi="Calibri"/>
          <w:i/>
          <w:sz w:val="24"/>
        </w:rPr>
        <w:t>tertium ens</w:t>
      </w:r>
      <w:r w:rsidR="00836C81" w:rsidRPr="00836C81">
        <w:rPr>
          <w:rStyle w:val="FontStyle129"/>
          <w:rFonts w:ascii="Calibri" w:hAnsi="Calibri"/>
          <w:sz w:val="24"/>
        </w:rPr>
        <w:t xml:space="preserve"> vy</w:t>
      </w:r>
      <w:r w:rsidR="00836C81">
        <w:rPr>
          <w:rStyle w:val="FontStyle129"/>
          <w:rFonts w:ascii="Calibri" w:hAnsi="Calibri"/>
          <w:sz w:val="24"/>
        </w:rPr>
        <w:t>tvořené</w:t>
      </w:r>
      <w:r w:rsidR="00836C81" w:rsidRPr="00836C81">
        <w:rPr>
          <w:rStyle w:val="FontStyle129"/>
          <w:rFonts w:ascii="Calibri" w:hAnsi="Calibri"/>
          <w:sz w:val="24"/>
        </w:rPr>
        <w:t xml:space="preserve"> tímto subjektem</w:t>
      </w:r>
      <w:r w:rsidR="00836C81">
        <w:rPr>
          <w:rStyle w:val="FontStyle129"/>
          <w:rFonts w:ascii="Calibri" w:hAnsi="Calibri"/>
          <w:sz w:val="24"/>
        </w:rPr>
        <w:t xml:space="preserve"> a </w:t>
      </w:r>
      <w:r w:rsidR="00836C81" w:rsidRPr="00836C81">
        <w:rPr>
          <w:rStyle w:val="FontStyle129"/>
          <w:rFonts w:ascii="Calibri" w:hAnsi="Calibri"/>
          <w:sz w:val="24"/>
        </w:rPr>
        <w:t>je reprezentován</w:t>
      </w:r>
      <w:r w:rsidR="00836C81">
        <w:rPr>
          <w:rStyle w:val="FontStyle129"/>
          <w:rFonts w:ascii="Calibri" w:hAnsi="Calibri"/>
          <w:sz w:val="24"/>
        </w:rPr>
        <w:t>o</w:t>
      </w:r>
      <w:r w:rsidR="00836C81" w:rsidRPr="00836C81">
        <w:rPr>
          <w:rStyle w:val="FontStyle129"/>
          <w:rFonts w:ascii="Calibri" w:hAnsi="Calibri"/>
          <w:sz w:val="24"/>
        </w:rPr>
        <w:t xml:space="preserve"> jako transcendentál</w:t>
      </w:r>
      <w:r w:rsidR="00836C81">
        <w:rPr>
          <w:rStyle w:val="FontStyle129"/>
          <w:rFonts w:ascii="Calibri" w:hAnsi="Calibri"/>
          <w:sz w:val="24"/>
        </w:rPr>
        <w:t>ní entita. Tento moderní vztah „</w:t>
      </w:r>
      <w:r w:rsidR="00836C81" w:rsidRPr="00836C81">
        <w:rPr>
          <w:rStyle w:val="FontStyle129"/>
          <w:rFonts w:ascii="Calibri" w:hAnsi="Calibri"/>
          <w:sz w:val="24"/>
        </w:rPr>
        <w:t>subjekt</w:t>
      </w:r>
      <w:r w:rsidR="00836C81">
        <w:rPr>
          <w:rStyle w:val="FontStyle129"/>
          <w:rFonts w:ascii="Calibri" w:hAnsi="Calibri"/>
          <w:sz w:val="24"/>
        </w:rPr>
        <w:t>–objekt“</w:t>
      </w:r>
      <w:r w:rsidR="00836C81" w:rsidRPr="00836C81">
        <w:rPr>
          <w:rStyle w:val="FontStyle129"/>
          <w:rFonts w:ascii="Calibri" w:hAnsi="Calibri"/>
          <w:sz w:val="24"/>
        </w:rPr>
        <w:t xml:space="preserve"> zahrnuje veškeré možné bytí, </w:t>
      </w:r>
      <w:r w:rsidR="00836C81">
        <w:rPr>
          <w:rStyle w:val="FontStyle129"/>
          <w:rFonts w:ascii="Calibri" w:hAnsi="Calibri"/>
          <w:sz w:val="24"/>
        </w:rPr>
        <w:t xml:space="preserve">včetně analogické </w:t>
      </w:r>
      <w:r w:rsidR="00A94B76">
        <w:rPr>
          <w:rStyle w:val="FontStyle129"/>
          <w:rFonts w:ascii="Calibri" w:hAnsi="Calibri"/>
          <w:sz w:val="24"/>
        </w:rPr>
        <w:t xml:space="preserve">formy věčné </w:t>
      </w:r>
      <w:r w:rsidR="00836C81">
        <w:rPr>
          <w:rStyle w:val="FontStyle129"/>
          <w:rFonts w:ascii="Calibri" w:hAnsi="Calibri"/>
          <w:sz w:val="24"/>
        </w:rPr>
        <w:t>reflexe, kterou</w:t>
      </w:r>
      <w:r w:rsidR="00836C81" w:rsidRPr="00836C81">
        <w:rPr>
          <w:rStyle w:val="FontStyle129"/>
          <w:rFonts w:ascii="Calibri" w:hAnsi="Calibri"/>
          <w:sz w:val="24"/>
        </w:rPr>
        <w:t xml:space="preserve"> </w:t>
      </w:r>
      <w:r w:rsidR="00836C81">
        <w:rPr>
          <w:rStyle w:val="FontStyle129"/>
          <w:rFonts w:ascii="Calibri" w:hAnsi="Calibri"/>
          <w:sz w:val="24"/>
        </w:rPr>
        <w:t xml:space="preserve">provádí </w:t>
      </w:r>
      <w:r w:rsidR="00836C81" w:rsidRPr="00836C81">
        <w:rPr>
          <w:rStyle w:val="FontStyle129"/>
          <w:rFonts w:ascii="Calibri" w:hAnsi="Calibri"/>
          <w:sz w:val="24"/>
        </w:rPr>
        <w:t xml:space="preserve">moderní </w:t>
      </w:r>
      <w:r w:rsidR="00836C81">
        <w:rPr>
          <w:rStyle w:val="FontStyle129"/>
          <w:rFonts w:ascii="Calibri" w:hAnsi="Calibri"/>
          <w:sz w:val="24"/>
        </w:rPr>
        <w:t>bůh</w:t>
      </w:r>
      <w:r w:rsidR="00836C81" w:rsidRPr="00836C81">
        <w:rPr>
          <w:rStyle w:val="FontStyle129"/>
          <w:rFonts w:ascii="Calibri" w:hAnsi="Calibri"/>
          <w:sz w:val="24"/>
        </w:rPr>
        <w:t>.</w:t>
      </w:r>
      <w:r w:rsidR="00836C81">
        <w:rPr>
          <w:rStyle w:val="FontStyle129"/>
          <w:rFonts w:ascii="Calibri" w:hAnsi="Calibri"/>
          <w:sz w:val="24"/>
        </w:rPr>
        <w:t xml:space="preserve"> </w:t>
      </w:r>
      <w:r w:rsidR="002D6895" w:rsidRPr="003D1E07">
        <w:rPr>
          <w:rStyle w:val="FontStyle129"/>
          <w:rFonts w:ascii="Calibri" w:hAnsi="Calibri"/>
          <w:sz w:val="24"/>
        </w:rPr>
        <w:t>Toto zjevení moderní nepravdy (</w:t>
      </w:r>
      <w:r w:rsidR="002D6895" w:rsidRPr="003D1E07">
        <w:rPr>
          <w:rStyle w:val="FontStyle129"/>
          <w:rFonts w:ascii="Calibri" w:hAnsi="Calibri"/>
          <w:i/>
          <w:sz w:val="24"/>
        </w:rPr>
        <w:t>Lichtung</w:t>
      </w:r>
      <w:r w:rsidR="002D6895" w:rsidRPr="003D1E07">
        <w:rPr>
          <w:rStyle w:val="FontStyle129"/>
          <w:rFonts w:ascii="Calibri" w:hAnsi="Calibri"/>
          <w:sz w:val="24"/>
        </w:rPr>
        <w:t xml:space="preserve">) má zásadní dějinný význam v epochálním modu </w:t>
      </w:r>
      <w:r w:rsidR="002D6895" w:rsidRPr="003D1E07">
        <w:rPr>
          <w:rStyle w:val="FontStyle129"/>
          <w:rFonts w:ascii="Calibri" w:hAnsi="Calibri"/>
          <w:i/>
          <w:sz w:val="24"/>
        </w:rPr>
        <w:t>Irrtum</w:t>
      </w:r>
      <w:r w:rsidR="002D6895" w:rsidRPr="003D1E07">
        <w:rPr>
          <w:rStyle w:val="FontStyle129"/>
          <w:rFonts w:ascii="Calibri" w:hAnsi="Calibri"/>
          <w:sz w:val="24"/>
        </w:rPr>
        <w:t xml:space="preserve">, protože bylo provedeno v modu </w:t>
      </w:r>
      <w:r w:rsidR="002D6895" w:rsidRPr="003D1E07">
        <w:rPr>
          <w:rStyle w:val="FontStyle129"/>
          <w:rFonts w:ascii="Calibri" w:hAnsi="Calibri"/>
          <w:i/>
          <w:sz w:val="24"/>
        </w:rPr>
        <w:t>absolute</w:t>
      </w:r>
      <w:r w:rsidR="002D6895" w:rsidRPr="003D1E07">
        <w:rPr>
          <w:rStyle w:val="FontStyle129"/>
          <w:rFonts w:ascii="Calibri" w:hAnsi="Calibri"/>
          <w:sz w:val="24"/>
        </w:rPr>
        <w:t xml:space="preserve">. </w:t>
      </w:r>
      <w:r w:rsidR="006D78ED" w:rsidRPr="003D1E07">
        <w:rPr>
          <w:rStyle w:val="FontStyle129"/>
          <w:rFonts w:ascii="Calibri" w:hAnsi="Calibri"/>
          <w:sz w:val="24"/>
        </w:rPr>
        <w:t xml:space="preserve">Pravdu určuje </w:t>
      </w:r>
      <w:r w:rsidR="006D78ED" w:rsidRPr="003D1E07">
        <w:rPr>
          <w:rStyle w:val="FontStyle129"/>
          <w:rFonts w:ascii="Calibri" w:hAnsi="Calibri"/>
          <w:i/>
          <w:sz w:val="24"/>
        </w:rPr>
        <w:t>per prius</w:t>
      </w:r>
      <w:r w:rsidR="006D78ED" w:rsidRPr="003D1E07">
        <w:rPr>
          <w:rStyle w:val="FontStyle129"/>
          <w:rFonts w:ascii="Calibri" w:hAnsi="Calibri"/>
          <w:sz w:val="24"/>
        </w:rPr>
        <w:t xml:space="preserve"> </w:t>
      </w:r>
      <w:r w:rsidR="008353BC" w:rsidRPr="003D1E07">
        <w:rPr>
          <w:rStyle w:val="FontStyle129"/>
          <w:rFonts w:ascii="Calibri" w:hAnsi="Calibri"/>
          <w:sz w:val="24"/>
        </w:rPr>
        <w:t xml:space="preserve">a přímo </w:t>
      </w:r>
      <w:r w:rsidR="00627ED7" w:rsidRPr="003D1E07">
        <w:rPr>
          <w:rStyle w:val="FontStyle129"/>
          <w:rFonts w:ascii="Calibri" w:hAnsi="Calibri"/>
          <w:sz w:val="24"/>
        </w:rPr>
        <w:t xml:space="preserve">osvícená </w:t>
      </w:r>
      <w:r w:rsidR="006D78ED" w:rsidRPr="003D1E07">
        <w:rPr>
          <w:rStyle w:val="FontStyle129"/>
          <w:rFonts w:ascii="Calibri" w:hAnsi="Calibri"/>
          <w:sz w:val="24"/>
        </w:rPr>
        <w:t xml:space="preserve">mysl </w:t>
      </w:r>
      <w:r w:rsidR="00627ED7" w:rsidRPr="003D1E07">
        <w:rPr>
          <w:rStyle w:val="FontStyle129"/>
          <w:rFonts w:ascii="Calibri" w:hAnsi="Calibri"/>
          <w:sz w:val="24"/>
        </w:rPr>
        <w:t>moderního demiurga</w:t>
      </w:r>
      <w:r w:rsidR="00640BE5" w:rsidRPr="003D1E07">
        <w:rPr>
          <w:rStyle w:val="FontStyle129"/>
          <w:rFonts w:ascii="Calibri" w:hAnsi="Calibri"/>
          <w:sz w:val="24"/>
        </w:rPr>
        <w:fldChar w:fldCharType="begin"/>
      </w:r>
      <w:r w:rsidR="00640BE5" w:rsidRPr="003D1E07">
        <w:instrText xml:space="preserve"> XE "</w:instrText>
      </w:r>
      <w:r w:rsidR="00640BE5" w:rsidRPr="003D1E07">
        <w:rPr>
          <w:rStyle w:val="addmd"/>
        </w:rPr>
        <w:instrText>demiurg</w:instrText>
      </w:r>
      <w:r w:rsidR="00640BE5" w:rsidRPr="003D1E07">
        <w:instrText xml:space="preserve">" </w:instrText>
      </w:r>
      <w:r w:rsidR="00640BE5" w:rsidRPr="003D1E07">
        <w:rPr>
          <w:rStyle w:val="FontStyle129"/>
          <w:rFonts w:ascii="Calibri" w:hAnsi="Calibri"/>
          <w:sz w:val="24"/>
        </w:rPr>
        <w:fldChar w:fldCharType="end"/>
      </w:r>
      <w:r w:rsidR="08CA3615" w:rsidRPr="003D1E07">
        <w:rPr>
          <w:rStyle w:val="FontStyle129"/>
          <w:rFonts w:ascii="Calibri" w:hAnsi="Calibri"/>
          <w:sz w:val="24"/>
        </w:rPr>
        <w:t xml:space="preserve"> podle identitární teorie pravdy</w:t>
      </w:r>
      <w:r w:rsidR="00C301C6" w:rsidRPr="003D1E07">
        <w:rPr>
          <w:rStyle w:val="FontStyle129"/>
          <w:rFonts w:ascii="Calibri" w:hAnsi="Calibri"/>
          <w:sz w:val="24"/>
        </w:rPr>
        <w:t xml:space="preserve"> v modu </w:t>
      </w:r>
      <w:r w:rsidR="00C301C6" w:rsidRPr="003D1E07">
        <w:rPr>
          <w:i/>
        </w:rPr>
        <w:t>aequaliter</w:t>
      </w:r>
      <w:r w:rsidR="08CA3615" w:rsidRPr="003D1E07">
        <w:rPr>
          <w:rStyle w:val="FontStyle129"/>
          <w:rFonts w:ascii="Calibri" w:hAnsi="Calibri"/>
          <w:sz w:val="24"/>
        </w:rPr>
        <w:t xml:space="preserve">. </w:t>
      </w:r>
      <w:r w:rsidR="089B1957" w:rsidRPr="003D1E07">
        <w:rPr>
          <w:rStyle w:val="FontStyle129"/>
          <w:rFonts w:ascii="Calibri" w:hAnsi="Calibri"/>
          <w:sz w:val="24"/>
        </w:rPr>
        <w:t xml:space="preserve">Mysl </w:t>
      </w:r>
      <w:r w:rsidR="00B36D15" w:rsidRPr="003D1E07">
        <w:rPr>
          <w:rStyle w:val="FontStyle129"/>
          <w:rFonts w:ascii="Calibri" w:hAnsi="Calibri"/>
          <w:sz w:val="24"/>
        </w:rPr>
        <w:t xml:space="preserve">si pro sebe vytvoří </w:t>
      </w:r>
      <w:r w:rsidR="089B1957" w:rsidRPr="003D1E07">
        <w:rPr>
          <w:rStyle w:val="FontStyle129"/>
          <w:rFonts w:ascii="Calibri" w:hAnsi="Calibri"/>
          <w:sz w:val="24"/>
        </w:rPr>
        <w:t xml:space="preserve">věčnou identitu </w:t>
      </w:r>
      <w:r w:rsidR="00406DD5">
        <w:rPr>
          <w:rStyle w:val="FontStyle129"/>
          <w:rFonts w:ascii="Calibri" w:hAnsi="Calibri"/>
          <w:sz w:val="24"/>
        </w:rPr>
        <w:t xml:space="preserve">objektivní </w:t>
      </w:r>
      <w:r w:rsidR="089B1957" w:rsidRPr="003D1E07">
        <w:rPr>
          <w:rStyle w:val="FontStyle129"/>
          <w:rFonts w:ascii="Calibri" w:hAnsi="Calibri"/>
          <w:sz w:val="24"/>
        </w:rPr>
        <w:t>věci</w:t>
      </w:r>
      <w:r w:rsidR="08CA3615" w:rsidRPr="003D1E07">
        <w:rPr>
          <w:rStyle w:val="FontStyle129"/>
          <w:rFonts w:ascii="Calibri" w:hAnsi="Calibri"/>
          <w:sz w:val="24"/>
        </w:rPr>
        <w:t xml:space="preserve"> danou v modu absolutního a minimálního bytí (</w:t>
      </w:r>
      <w:r w:rsidR="08CA3615" w:rsidRPr="003D1E07">
        <w:rPr>
          <w:rStyle w:val="FontStyle129"/>
          <w:rFonts w:ascii="Calibri" w:hAnsi="Calibri"/>
          <w:i/>
          <w:sz w:val="24"/>
        </w:rPr>
        <w:t>hoc esse tantum</w:t>
      </w:r>
      <w:r w:rsidR="00C63957" w:rsidRPr="003D1E07">
        <w:rPr>
          <w:rStyle w:val="FontStyle129"/>
          <w:rFonts w:ascii="Calibri" w:hAnsi="Calibri"/>
          <w:i/>
          <w:sz w:val="24"/>
        </w:rPr>
        <w:fldChar w:fldCharType="begin"/>
      </w:r>
      <w:r w:rsidR="00C63957" w:rsidRPr="003D1E07">
        <w:instrText xml:space="preserve"> XE "</w:instrText>
      </w:r>
      <w:r w:rsidR="08A53AA0" w:rsidRPr="003D1E07">
        <w:rPr>
          <w:i/>
          <w:lang w:eastAsia="en-US"/>
        </w:rPr>
        <w:instrText>tantum e</w:instrText>
      </w:r>
      <w:r w:rsidR="00C63957" w:rsidRPr="003D1E07">
        <w:rPr>
          <w:i/>
          <w:lang w:eastAsia="en-US"/>
        </w:rPr>
        <w:instrText>sse</w:instrText>
      </w:r>
      <w:r w:rsidR="00C63957" w:rsidRPr="003D1E07">
        <w:instrText xml:space="preserve">" </w:instrText>
      </w:r>
      <w:r w:rsidR="00C63957" w:rsidRPr="003D1E07">
        <w:rPr>
          <w:rStyle w:val="FontStyle129"/>
          <w:rFonts w:ascii="Calibri" w:hAnsi="Calibri"/>
          <w:i/>
          <w:sz w:val="24"/>
        </w:rPr>
        <w:fldChar w:fldCharType="end"/>
      </w:r>
      <w:r w:rsidR="08CA3615" w:rsidRPr="003D1E07">
        <w:rPr>
          <w:rStyle w:val="FontStyle129"/>
          <w:rFonts w:ascii="Calibri" w:hAnsi="Calibri"/>
          <w:sz w:val="24"/>
        </w:rPr>
        <w:t>)</w:t>
      </w:r>
      <w:r w:rsidR="00B36D15" w:rsidRPr="003D1E07">
        <w:rPr>
          <w:rStyle w:val="FontStyle129"/>
          <w:rFonts w:ascii="Calibri" w:hAnsi="Calibri"/>
          <w:sz w:val="24"/>
        </w:rPr>
        <w:t xml:space="preserve">. Tuto identitu pak porovnává </w:t>
      </w:r>
      <w:r w:rsidR="08CA3615" w:rsidRPr="003D1E07">
        <w:rPr>
          <w:rStyle w:val="FontStyle129"/>
          <w:rFonts w:ascii="Calibri" w:hAnsi="Calibri"/>
          <w:sz w:val="24"/>
        </w:rPr>
        <w:t xml:space="preserve">s jiným výskytem téže </w:t>
      </w:r>
      <w:r w:rsidR="089B1957" w:rsidRPr="003D1E07">
        <w:rPr>
          <w:rStyle w:val="FontStyle129"/>
          <w:rFonts w:ascii="Calibri" w:hAnsi="Calibri"/>
          <w:sz w:val="24"/>
        </w:rPr>
        <w:t>individuální jednoty minimálního významu</w:t>
      </w:r>
      <w:r w:rsidR="0004001C" w:rsidRPr="003D1E07">
        <w:rPr>
          <w:rStyle w:val="FontStyle129"/>
          <w:rFonts w:ascii="Calibri" w:hAnsi="Calibri"/>
          <w:sz w:val="24"/>
        </w:rPr>
        <w:t xml:space="preserve">: </w:t>
      </w:r>
      <w:r w:rsidR="08CA3615" w:rsidRPr="003D1E07">
        <w:rPr>
          <w:rStyle w:val="FontStyle129"/>
          <w:rFonts w:ascii="Calibri" w:hAnsi="Calibri"/>
          <w:sz w:val="24"/>
        </w:rPr>
        <w:t xml:space="preserve">v materiálním substrátu, v </w:t>
      </w:r>
      <w:r w:rsidR="00D25A15" w:rsidRPr="003D1E07">
        <w:rPr>
          <w:rStyle w:val="FontStyle129"/>
          <w:rFonts w:ascii="Calibri" w:hAnsi="Calibri"/>
          <w:sz w:val="24"/>
        </w:rPr>
        <w:t xml:space="preserve">lidské </w:t>
      </w:r>
      <w:r w:rsidR="08CA3615" w:rsidRPr="003D1E07">
        <w:rPr>
          <w:rStyle w:val="FontStyle129"/>
          <w:rFonts w:ascii="Calibri" w:hAnsi="Calibri"/>
          <w:sz w:val="24"/>
        </w:rPr>
        <w:t>mysli, v p</w:t>
      </w:r>
      <w:r w:rsidR="0004001C" w:rsidRPr="003D1E07">
        <w:rPr>
          <w:rStyle w:val="FontStyle129"/>
          <w:rFonts w:ascii="Calibri" w:hAnsi="Calibri"/>
          <w:sz w:val="24"/>
        </w:rPr>
        <w:t>r</w:t>
      </w:r>
      <w:r w:rsidR="08CA3615" w:rsidRPr="003D1E07">
        <w:rPr>
          <w:rStyle w:val="FontStyle129"/>
          <w:rFonts w:ascii="Calibri" w:hAnsi="Calibri"/>
          <w:sz w:val="24"/>
        </w:rPr>
        <w:t>ostředí kosmických věčných forem, v boží mysli</w:t>
      </w:r>
      <w:r w:rsidR="008353BC" w:rsidRPr="003D1E07">
        <w:rPr>
          <w:rStyle w:val="FontStyle129"/>
          <w:rFonts w:ascii="Calibri" w:hAnsi="Calibri"/>
          <w:sz w:val="24"/>
        </w:rPr>
        <w:t xml:space="preserve">. </w:t>
      </w:r>
      <w:r w:rsidR="008D36B2">
        <w:rPr>
          <w:rStyle w:val="FontStyle129"/>
          <w:rFonts w:ascii="Calibri" w:hAnsi="Calibri"/>
          <w:sz w:val="24"/>
        </w:rPr>
        <w:t>M</w:t>
      </w:r>
      <w:r w:rsidR="00AC4734">
        <w:rPr>
          <w:rStyle w:val="FontStyle129"/>
          <w:rFonts w:ascii="Calibri" w:hAnsi="Calibri"/>
          <w:sz w:val="24"/>
        </w:rPr>
        <w:t xml:space="preserve">oderní </w:t>
      </w:r>
      <w:r w:rsidR="00C22406" w:rsidRPr="003D1E07">
        <w:rPr>
          <w:rStyle w:val="FontStyle129"/>
          <w:rFonts w:ascii="Calibri" w:hAnsi="Calibri"/>
          <w:sz w:val="24"/>
        </w:rPr>
        <w:t xml:space="preserve">adekvace </w:t>
      </w:r>
      <w:r w:rsidR="00AC4734">
        <w:rPr>
          <w:noProof w:val="0"/>
          <w:lang w:val="fr-FR" w:eastAsia="en-US"/>
        </w:rPr>
        <w:t>(</w:t>
      </w:r>
      <w:r w:rsidR="00AC4734">
        <w:rPr>
          <w:i/>
          <w:noProof w:val="0"/>
          <w:lang w:val="fr-FR" w:eastAsia="en-US"/>
        </w:rPr>
        <w:t>adaequatio</w:t>
      </w:r>
      <w:r w:rsidR="00AC4734">
        <w:rPr>
          <w:noProof w:val="0"/>
          <w:lang w:val="fr-FR" w:eastAsia="en-US"/>
        </w:rPr>
        <w:t xml:space="preserve">) </w:t>
      </w:r>
      <w:r w:rsidR="00C22406" w:rsidRPr="003D1E07">
        <w:rPr>
          <w:rStyle w:val="FontStyle129"/>
          <w:rFonts w:ascii="Calibri" w:hAnsi="Calibri"/>
          <w:sz w:val="24"/>
        </w:rPr>
        <w:t>nejde k první substanci, ale k různě hypostázovaným formám</w:t>
      </w:r>
      <w:r w:rsidR="008D36B2">
        <w:rPr>
          <w:rStyle w:val="FontStyle129"/>
          <w:rFonts w:ascii="Calibri" w:hAnsi="Calibri"/>
          <w:sz w:val="24"/>
        </w:rPr>
        <w:t xml:space="preserve">. </w:t>
      </w:r>
      <w:r w:rsidR="00A619B0">
        <w:rPr>
          <w:rStyle w:val="FontStyle129"/>
          <w:rFonts w:ascii="Calibri" w:hAnsi="Calibri"/>
          <w:sz w:val="24"/>
        </w:rPr>
        <w:t>O</w:t>
      </w:r>
      <w:r w:rsidR="008D36B2">
        <w:rPr>
          <w:rStyle w:val="FontStyle129"/>
          <w:rFonts w:ascii="Calibri" w:hAnsi="Calibri"/>
          <w:sz w:val="24"/>
        </w:rPr>
        <w:t xml:space="preserve">svícená mysl proto </w:t>
      </w:r>
      <w:r w:rsidR="00C22406" w:rsidRPr="003D1E07">
        <w:rPr>
          <w:rStyle w:val="FontStyle129"/>
          <w:rFonts w:ascii="Calibri" w:hAnsi="Calibri"/>
          <w:sz w:val="24"/>
        </w:rPr>
        <w:t xml:space="preserve">nehledá </w:t>
      </w:r>
      <w:r w:rsidR="00A619B0">
        <w:rPr>
          <w:rStyle w:val="FontStyle129"/>
          <w:rFonts w:ascii="Calibri" w:hAnsi="Calibri"/>
          <w:sz w:val="24"/>
        </w:rPr>
        <w:t xml:space="preserve">pravdu jako </w:t>
      </w:r>
      <w:r w:rsidR="0063517F">
        <w:rPr>
          <w:rStyle w:val="FontStyle129"/>
          <w:rFonts w:ascii="Calibri" w:hAnsi="Calibri"/>
          <w:sz w:val="24"/>
        </w:rPr>
        <w:t>korespondenci</w:t>
      </w:r>
      <w:r w:rsidR="00C22406" w:rsidRPr="003D1E07">
        <w:rPr>
          <w:rStyle w:val="FontStyle129"/>
          <w:rFonts w:ascii="Calibri" w:hAnsi="Calibri"/>
          <w:sz w:val="24"/>
        </w:rPr>
        <w:t xml:space="preserve">, ale plnou </w:t>
      </w:r>
      <w:r w:rsidR="0063517F">
        <w:rPr>
          <w:rStyle w:val="FontStyle129"/>
          <w:rFonts w:ascii="Calibri" w:hAnsi="Calibri"/>
          <w:sz w:val="24"/>
        </w:rPr>
        <w:t xml:space="preserve">identitu </w:t>
      </w:r>
      <w:r w:rsidR="00C22406" w:rsidRPr="003D1E07">
        <w:rPr>
          <w:rStyle w:val="FontStyle129"/>
          <w:rFonts w:ascii="Calibri" w:hAnsi="Calibri"/>
          <w:sz w:val="24"/>
        </w:rPr>
        <w:t>jedné formy s druhou.</w:t>
      </w:r>
      <w:r w:rsidR="082A28BF" w:rsidRPr="003D1E07">
        <w:rPr>
          <w:rStyle w:val="FontStyle129"/>
          <w:rFonts w:ascii="Calibri" w:hAnsi="Calibri"/>
          <w:sz w:val="24"/>
        </w:rPr>
        <w:t xml:space="preserve"> Nové pojetí pravdy jako univerzální shody forem posunulo původní </w:t>
      </w:r>
      <w:r w:rsidR="082A28BF" w:rsidRPr="003D1E07">
        <w:rPr>
          <w:rStyle w:val="FontStyle129"/>
          <w:rFonts w:ascii="Calibri" w:hAnsi="Calibri"/>
          <w:i/>
          <w:sz w:val="24"/>
        </w:rPr>
        <w:t>Lichtung</w:t>
      </w:r>
      <w:r w:rsidR="082A28BF" w:rsidRPr="003D1E07">
        <w:rPr>
          <w:rStyle w:val="FontStyle129"/>
          <w:rFonts w:ascii="Calibri" w:hAnsi="Calibri"/>
          <w:sz w:val="24"/>
        </w:rPr>
        <w:t xml:space="preserve"> objektivního skrývání a odkrývání jsoucna u Al</w:t>
      </w:r>
      <w:r w:rsidR="082A28BF" w:rsidRPr="003D1E07">
        <w:rPr>
          <w:rStyle w:val="FontStyle129"/>
          <w:rFonts w:ascii="Calibri" w:hAnsi="Calibri"/>
          <w:sz w:val="24"/>
        </w:rPr>
        <w:noBreakHyphen/>
        <w:t xml:space="preserve">Fárábího k nové formě </w:t>
      </w:r>
      <w:r w:rsidR="00C63ED5" w:rsidRPr="003D1E07">
        <w:rPr>
          <w:rStyle w:val="FontStyle129"/>
          <w:rFonts w:ascii="Calibri" w:hAnsi="Calibri"/>
          <w:sz w:val="24"/>
        </w:rPr>
        <w:t xml:space="preserve">čistě subjektivně určené </w:t>
      </w:r>
      <w:r w:rsidR="082A28BF" w:rsidRPr="003D1E07">
        <w:rPr>
          <w:rStyle w:val="FontStyle129"/>
          <w:rFonts w:ascii="Calibri" w:hAnsi="Calibri"/>
          <w:i/>
          <w:sz w:val="24"/>
        </w:rPr>
        <w:t>alétheia</w:t>
      </w:r>
      <w:r w:rsidR="082A28BF" w:rsidRPr="003D1E07">
        <w:rPr>
          <w:rStyle w:val="FontStyle129"/>
          <w:rFonts w:ascii="Calibri" w:hAnsi="Calibri"/>
          <w:sz w:val="24"/>
        </w:rPr>
        <w:t>.</w:t>
      </w:r>
      <w:r w:rsidR="0829315B" w:rsidRPr="003D1E07">
        <w:rPr>
          <w:rStyle w:val="FontStyle129"/>
          <w:rFonts w:ascii="Calibri" w:hAnsi="Calibri"/>
          <w:sz w:val="24"/>
        </w:rPr>
        <w:t xml:space="preserve"> </w:t>
      </w:r>
      <w:r w:rsidR="00C63ED5" w:rsidRPr="003D1E07">
        <w:rPr>
          <w:rStyle w:val="FontStyle129"/>
          <w:rFonts w:ascii="Calibri" w:hAnsi="Calibri"/>
          <w:sz w:val="24"/>
        </w:rPr>
        <w:t xml:space="preserve">Pravda je přisunována či posunována od jednoho </w:t>
      </w:r>
      <w:r w:rsidR="00C63ED5" w:rsidRPr="003D1E07">
        <w:rPr>
          <w:rStyle w:val="FontStyle129"/>
          <w:rFonts w:ascii="Calibri" w:hAnsi="Calibri"/>
          <w:i/>
          <w:sz w:val="24"/>
        </w:rPr>
        <w:t>tertium ens</w:t>
      </w:r>
      <w:r w:rsidR="00C63ED5" w:rsidRPr="003D1E07">
        <w:rPr>
          <w:rStyle w:val="FontStyle129"/>
          <w:rFonts w:ascii="Calibri" w:hAnsi="Calibri"/>
          <w:sz w:val="24"/>
        </w:rPr>
        <w:t xml:space="preserve"> </w:t>
      </w:r>
      <w:r w:rsidR="00470966" w:rsidRPr="003D1E07">
        <w:rPr>
          <w:rStyle w:val="FontStyle129"/>
          <w:rFonts w:ascii="Calibri" w:hAnsi="Calibri"/>
          <w:sz w:val="24"/>
        </w:rPr>
        <w:t xml:space="preserve">metaforicky </w:t>
      </w:r>
      <w:r w:rsidR="00C63ED5" w:rsidRPr="003D1E07">
        <w:rPr>
          <w:rStyle w:val="FontStyle129"/>
          <w:rFonts w:ascii="Calibri" w:hAnsi="Calibri"/>
          <w:sz w:val="24"/>
        </w:rPr>
        <w:t>ke druhému (</w:t>
      </w:r>
      <w:r w:rsidR="00C63ED5" w:rsidRPr="003D1E07">
        <w:rPr>
          <w:rStyle w:val="FontStyle129"/>
          <w:rFonts w:ascii="Calibri" w:hAnsi="Calibri"/>
          <w:i/>
          <w:sz w:val="24"/>
        </w:rPr>
        <w:t>Ge-Stell</w:t>
      </w:r>
      <w:r w:rsidR="00C63ED5" w:rsidRPr="003D1E07">
        <w:rPr>
          <w:rStyle w:val="FontStyle129"/>
          <w:rFonts w:ascii="Calibri" w:hAnsi="Calibri"/>
          <w:i/>
          <w:sz w:val="24"/>
        </w:rPr>
        <w:fldChar w:fldCharType="begin"/>
      </w:r>
      <w:r w:rsidR="00C63ED5" w:rsidRPr="003D1E07">
        <w:instrText xml:space="preserve"> XE "</w:instrText>
      </w:r>
      <w:r w:rsidR="00C63ED5" w:rsidRPr="003D1E07">
        <w:rPr>
          <w:rStyle w:val="FontStyle129"/>
          <w:rFonts w:ascii="Calibri" w:hAnsi="Calibri"/>
          <w:i/>
          <w:sz w:val="24"/>
        </w:rPr>
        <w:instrText>Ge-Stell</w:instrText>
      </w:r>
      <w:r w:rsidR="00C63ED5" w:rsidRPr="003D1E07">
        <w:instrText xml:space="preserve">" </w:instrText>
      </w:r>
      <w:r w:rsidR="00C63ED5" w:rsidRPr="003D1E07">
        <w:rPr>
          <w:rStyle w:val="FontStyle129"/>
          <w:rFonts w:ascii="Calibri" w:hAnsi="Calibri"/>
          <w:i/>
          <w:sz w:val="24"/>
        </w:rPr>
        <w:fldChar w:fldCharType="end"/>
      </w:r>
      <w:r w:rsidR="00C63ED5" w:rsidRPr="003D1E07">
        <w:rPr>
          <w:rStyle w:val="FontStyle129"/>
          <w:rFonts w:ascii="Calibri" w:hAnsi="Calibri"/>
          <w:sz w:val="24"/>
        </w:rPr>
        <w:t xml:space="preserve">, kap. 1.2). </w:t>
      </w:r>
      <w:r w:rsidR="0829315B" w:rsidRPr="003D1E07">
        <w:rPr>
          <w:rStyle w:val="FontStyle129"/>
          <w:rFonts w:ascii="Calibri" w:hAnsi="Calibri"/>
          <w:sz w:val="24"/>
        </w:rPr>
        <w:t xml:space="preserve">Definice pravdy jako univerzální totožnosti </w:t>
      </w:r>
      <w:r w:rsidR="003718DF" w:rsidRPr="003D1E07">
        <w:rPr>
          <w:rStyle w:val="FontStyle129"/>
          <w:rFonts w:ascii="Calibri" w:hAnsi="Calibri"/>
          <w:sz w:val="24"/>
        </w:rPr>
        <w:t xml:space="preserve">objektivních </w:t>
      </w:r>
      <w:r w:rsidR="0829315B" w:rsidRPr="003D1E07">
        <w:rPr>
          <w:rStyle w:val="FontStyle129"/>
          <w:rFonts w:ascii="Calibri" w:hAnsi="Calibri"/>
          <w:sz w:val="24"/>
        </w:rPr>
        <w:t>forem je garantovaná pouze lidským intelektem, a ne vnější věcí. Z po</w:t>
      </w:r>
      <w:r w:rsidR="0829315B" w:rsidRPr="003D1E07">
        <w:rPr>
          <w:rStyle w:val="FontStyle129"/>
          <w:rFonts w:ascii="Calibri" w:hAnsi="Calibri"/>
          <w:sz w:val="24"/>
        </w:rPr>
        <w:noBreakHyphen/>
        <w:t>o</w:t>
      </w:r>
      <w:r w:rsidR="08044918" w:rsidRPr="003D1E07">
        <w:rPr>
          <w:rStyle w:val="FontStyle129"/>
          <w:rFonts w:ascii="Calibri" w:hAnsi="Calibri"/>
          <w:sz w:val="24"/>
        </w:rPr>
        <w:t>dhalenosti první substance u Al-</w:t>
      </w:r>
      <w:r w:rsidR="0829315B" w:rsidRPr="003D1E07">
        <w:rPr>
          <w:rStyle w:val="FontStyle129"/>
          <w:rFonts w:ascii="Calibri" w:hAnsi="Calibri"/>
          <w:sz w:val="24"/>
        </w:rPr>
        <w:t>Fárábího (</w:t>
      </w:r>
      <w:r w:rsidR="0829315B" w:rsidRPr="003D1E07">
        <w:rPr>
          <w:rStyle w:val="FontStyle129"/>
          <w:rFonts w:ascii="Calibri" w:hAnsi="Calibri"/>
          <w:i/>
          <w:sz w:val="24"/>
        </w:rPr>
        <w:t>a/létheia</w:t>
      </w:r>
      <w:r w:rsidR="0829315B" w:rsidRPr="003D1E07">
        <w:rPr>
          <w:rStyle w:val="addmd"/>
          <w:i/>
        </w:rPr>
        <w:fldChar w:fldCharType="begin"/>
      </w:r>
      <w:r w:rsidR="0829315B" w:rsidRPr="003D1E07">
        <w:instrText xml:space="preserve"> XE "pravda:Al-Fárábí" </w:instrText>
      </w:r>
      <w:r w:rsidR="0829315B" w:rsidRPr="003D1E07">
        <w:rPr>
          <w:rStyle w:val="addmd"/>
          <w:i/>
        </w:rPr>
        <w:fldChar w:fldCharType="end"/>
      </w:r>
      <w:r w:rsidR="0829315B" w:rsidRPr="003D1E07">
        <w:rPr>
          <w:rStyle w:val="FontStyle129"/>
          <w:rFonts w:ascii="Calibri" w:hAnsi="Calibri"/>
          <w:sz w:val="24"/>
        </w:rPr>
        <w:t>) se stala plná odhalenost (</w:t>
      </w:r>
      <w:r w:rsidR="0829315B" w:rsidRPr="003D1E07">
        <w:rPr>
          <w:rStyle w:val="FontStyle129"/>
          <w:rFonts w:ascii="Calibri" w:hAnsi="Calibri"/>
          <w:i/>
          <w:sz w:val="24"/>
        </w:rPr>
        <w:t>alétheia</w:t>
      </w:r>
      <w:r w:rsidR="003718DF" w:rsidRPr="003D1E07">
        <w:rPr>
          <w:rStyle w:val="FontStyle129"/>
          <w:rFonts w:ascii="Calibri" w:hAnsi="Calibri"/>
          <w:sz w:val="24"/>
        </w:rPr>
        <w:t xml:space="preserve">) minimálního konceptu jsoucna. Tato neexistující mytopoetická entita zajišťuje </w:t>
      </w:r>
      <w:r w:rsidR="0829315B" w:rsidRPr="003D1E07">
        <w:rPr>
          <w:rStyle w:val="FontStyle129"/>
          <w:rFonts w:ascii="Calibri" w:hAnsi="Calibri"/>
          <w:sz w:val="24"/>
        </w:rPr>
        <w:t>univerzální identitu moderně pojaté „věci“ (</w:t>
      </w:r>
      <w:r w:rsidR="0829315B" w:rsidRPr="003D1E07">
        <w:rPr>
          <w:rStyle w:val="FontStyle129"/>
          <w:rFonts w:ascii="Calibri" w:hAnsi="Calibri"/>
          <w:i/>
          <w:sz w:val="24"/>
        </w:rPr>
        <w:t>res</w:t>
      </w:r>
      <w:r w:rsidR="0829315B" w:rsidRPr="003D1E07">
        <w:rPr>
          <w:rStyle w:val="addmd"/>
          <w:i/>
        </w:rPr>
        <w:fldChar w:fldCharType="begin"/>
      </w:r>
      <w:r w:rsidR="0829315B" w:rsidRPr="003D1E07">
        <w:instrText xml:space="preserve"> XE "věc:objektivní </w:instrText>
      </w:r>
      <w:r w:rsidR="0829315B" w:rsidRPr="003D1E07">
        <w:rPr>
          <w:i/>
        </w:rPr>
        <w:instrText>res</w:instrText>
      </w:r>
      <w:r w:rsidR="0829315B" w:rsidRPr="003D1E07">
        <w:instrText xml:space="preserve">" </w:instrText>
      </w:r>
      <w:r w:rsidR="0829315B" w:rsidRPr="003D1E07">
        <w:rPr>
          <w:rStyle w:val="addmd"/>
          <w:i/>
        </w:rPr>
        <w:fldChar w:fldCharType="end"/>
      </w:r>
      <w:r w:rsidR="0829315B" w:rsidRPr="003D1E07">
        <w:rPr>
          <w:rStyle w:val="FontStyle129"/>
          <w:rFonts w:ascii="Calibri" w:hAnsi="Calibri"/>
          <w:sz w:val="24"/>
        </w:rPr>
        <w:t>)</w:t>
      </w:r>
      <w:r w:rsidR="085C6641" w:rsidRPr="003D1E07">
        <w:rPr>
          <w:rStyle w:val="FontStyle129"/>
          <w:rFonts w:ascii="Calibri" w:hAnsi="Calibri"/>
          <w:sz w:val="24"/>
        </w:rPr>
        <w:t xml:space="preserve"> jako jsoucna třetího druhu</w:t>
      </w:r>
      <w:r w:rsidR="0829315B" w:rsidRPr="003D1E07">
        <w:rPr>
          <w:rStyle w:val="FontStyle129"/>
          <w:rFonts w:ascii="Calibri" w:hAnsi="Calibri"/>
          <w:sz w:val="24"/>
        </w:rPr>
        <w:t>.</w:t>
      </w:r>
      <w:r w:rsidR="002735A4" w:rsidRPr="003D1E07">
        <w:rPr>
          <w:rStyle w:val="FontStyle129"/>
          <w:rFonts w:ascii="Calibri" w:hAnsi="Calibri"/>
          <w:sz w:val="24"/>
        </w:rPr>
        <w:t xml:space="preserve"> </w:t>
      </w:r>
      <w:r w:rsidR="00AB14F3" w:rsidRPr="003D1E07">
        <w:rPr>
          <w:rStyle w:val="FontStyle129"/>
          <w:rFonts w:ascii="Calibri" w:hAnsi="Calibri"/>
          <w:sz w:val="24"/>
        </w:rPr>
        <w:t>Zatmění první substance (</w:t>
      </w:r>
      <w:r w:rsidR="00AB14F3" w:rsidRPr="003D1E07">
        <w:rPr>
          <w:rStyle w:val="FontStyle129"/>
          <w:rFonts w:ascii="Calibri" w:hAnsi="Calibri"/>
          <w:i/>
          <w:sz w:val="24"/>
        </w:rPr>
        <w:t>epoch</w:t>
      </w:r>
      <w:r w:rsidR="00A50900">
        <w:rPr>
          <w:rStyle w:val="FontStyle129"/>
          <w:rFonts w:ascii="Calibri" w:hAnsi="Calibri"/>
          <w:i/>
          <w:sz w:val="24"/>
        </w:rPr>
        <w:t>é</w:t>
      </w:r>
      <w:r w:rsidR="002735A4" w:rsidRPr="003D1E07">
        <w:rPr>
          <w:rStyle w:val="FontStyle129"/>
          <w:rFonts w:ascii="Calibri" w:hAnsi="Calibri"/>
          <w:i/>
          <w:sz w:val="24"/>
        </w:rPr>
        <w:fldChar w:fldCharType="begin"/>
      </w:r>
      <w:r w:rsidR="002735A4" w:rsidRPr="003D1E07">
        <w:instrText xml:space="preserve"> XE "</w:instrText>
      </w:r>
      <w:r w:rsidR="002735A4" w:rsidRPr="003D1E07">
        <w:rPr>
          <w:rStyle w:val="FontStyle129"/>
          <w:rFonts w:ascii="Calibri" w:hAnsi="Calibri"/>
          <w:i/>
          <w:sz w:val="24"/>
        </w:rPr>
        <w:instrText>epochē</w:instrText>
      </w:r>
      <w:r w:rsidR="002735A4" w:rsidRPr="003D1E07">
        <w:instrText xml:space="preserve">" </w:instrText>
      </w:r>
      <w:r w:rsidR="002735A4" w:rsidRPr="003D1E07">
        <w:rPr>
          <w:rStyle w:val="FontStyle129"/>
          <w:rFonts w:ascii="Calibri" w:hAnsi="Calibri"/>
          <w:i/>
          <w:sz w:val="24"/>
        </w:rPr>
        <w:fldChar w:fldCharType="end"/>
      </w:r>
      <w:r w:rsidR="00AB14F3" w:rsidRPr="003D1E07">
        <w:rPr>
          <w:rStyle w:val="FontStyle129"/>
          <w:rFonts w:ascii="Calibri" w:hAnsi="Calibri"/>
          <w:sz w:val="24"/>
        </w:rPr>
        <w:t xml:space="preserve">) nastalo v modu epochální po-odhalenosti nové formy </w:t>
      </w:r>
      <w:r w:rsidR="00AB14F3" w:rsidRPr="003D1E07">
        <w:rPr>
          <w:rStyle w:val="FontStyle129"/>
          <w:rFonts w:ascii="Calibri" w:hAnsi="Calibri"/>
          <w:i/>
          <w:sz w:val="24"/>
        </w:rPr>
        <w:t>tertium ens</w:t>
      </w:r>
      <w:r w:rsidR="00AB14F3" w:rsidRPr="003D1E07">
        <w:rPr>
          <w:rStyle w:val="FontStyle129"/>
          <w:rFonts w:ascii="Calibri" w:hAnsi="Calibri"/>
          <w:sz w:val="24"/>
        </w:rPr>
        <w:t xml:space="preserve">. V této temnotě kritického myšlení se subjektivní pravda zjevila jako moderní </w:t>
      </w:r>
      <w:r w:rsidR="00AB14F3" w:rsidRPr="003D1E07">
        <w:rPr>
          <w:rStyle w:val="FontStyle129"/>
          <w:rFonts w:ascii="Calibri" w:hAnsi="Calibri"/>
          <w:i/>
          <w:sz w:val="24"/>
        </w:rPr>
        <w:t>veritas</w:t>
      </w:r>
      <w:r w:rsidR="00AB14F3" w:rsidRPr="003D1E07">
        <w:rPr>
          <w:rStyle w:val="FontStyle129"/>
          <w:rFonts w:ascii="Calibri" w:hAnsi="Calibri"/>
          <w:sz w:val="24"/>
        </w:rPr>
        <w:t xml:space="preserve">. Pojem pravdy jako </w:t>
      </w:r>
      <w:r w:rsidR="00AB14F3" w:rsidRPr="003D1E07">
        <w:rPr>
          <w:rStyle w:val="FontStyle129"/>
          <w:rFonts w:ascii="Calibri" w:hAnsi="Calibri"/>
          <w:i/>
          <w:sz w:val="24"/>
        </w:rPr>
        <w:t>veritas</w:t>
      </w:r>
      <w:r w:rsidR="00AB14F3" w:rsidRPr="003D1E07">
        <w:rPr>
          <w:rStyle w:val="FontStyle129"/>
          <w:rFonts w:ascii="Calibri" w:hAnsi="Calibri"/>
          <w:sz w:val="24"/>
        </w:rPr>
        <w:t xml:space="preserve"> je dán na základě jistoty moderního subjektu (</w:t>
      </w:r>
      <w:r w:rsidR="00AB14F3" w:rsidRPr="003D1E07">
        <w:rPr>
          <w:rStyle w:val="FontStyle129"/>
          <w:rFonts w:ascii="Calibri" w:hAnsi="Calibri"/>
          <w:i/>
          <w:sz w:val="24"/>
        </w:rPr>
        <w:t>certitudo</w:t>
      </w:r>
      <w:r w:rsidR="00AB14F3" w:rsidRPr="003D1E07">
        <w:rPr>
          <w:rStyle w:val="FontStyle129"/>
          <w:rFonts w:ascii="Calibri" w:hAnsi="Calibri"/>
          <w:sz w:val="24"/>
        </w:rPr>
        <w:t>). Ilumináti porovnávají jednotlivé esence mezi sebou ve výše zmíněném modu plné objektivity a identity (</w:t>
      </w:r>
      <w:r w:rsidR="00AB14F3" w:rsidRPr="003D1E07">
        <w:rPr>
          <w:rStyle w:val="FontStyle129"/>
          <w:rFonts w:ascii="Calibri" w:hAnsi="Calibri"/>
          <w:i/>
          <w:sz w:val="24"/>
        </w:rPr>
        <w:t>respectu comparationis rei ad ipsam</w:t>
      </w:r>
      <w:r w:rsidR="00AB14F3" w:rsidRPr="003D1E07">
        <w:rPr>
          <w:rStyle w:val="FontStyle129"/>
          <w:rFonts w:ascii="Calibri" w:hAnsi="Calibri"/>
          <w:sz w:val="24"/>
        </w:rPr>
        <w:t xml:space="preserve">). </w:t>
      </w:r>
      <w:r w:rsidR="002735A4" w:rsidRPr="003D1E07">
        <w:rPr>
          <w:rStyle w:val="FontStyle129"/>
          <w:rFonts w:ascii="Calibri" w:hAnsi="Calibri"/>
          <w:sz w:val="24"/>
        </w:rPr>
        <w:t>Us</w:t>
      </w:r>
      <w:r w:rsidR="00AB14F3" w:rsidRPr="003D1E07">
        <w:rPr>
          <w:rStyle w:val="FontStyle129"/>
          <w:rFonts w:ascii="Calibri" w:hAnsi="Calibri"/>
          <w:sz w:val="24"/>
        </w:rPr>
        <w:t xml:space="preserve">tanovení pravdy jako </w:t>
      </w:r>
      <w:r w:rsidR="00AB14F3" w:rsidRPr="003D1E07">
        <w:rPr>
          <w:rStyle w:val="FontStyle129"/>
          <w:rFonts w:ascii="Calibri" w:hAnsi="Calibri"/>
          <w:i/>
          <w:sz w:val="24"/>
        </w:rPr>
        <w:t>veritas</w:t>
      </w:r>
      <w:r w:rsidR="002735A4" w:rsidRPr="003D1E07">
        <w:rPr>
          <w:rStyle w:val="FontStyle129"/>
          <w:rFonts w:ascii="Calibri" w:hAnsi="Calibri"/>
          <w:sz w:val="24"/>
        </w:rPr>
        <w:t xml:space="preserve"> </w:t>
      </w:r>
      <w:r w:rsidR="00E60C0D">
        <w:rPr>
          <w:rStyle w:val="FontStyle129"/>
          <w:rFonts w:ascii="Calibri" w:hAnsi="Calibri"/>
          <w:sz w:val="24"/>
        </w:rPr>
        <w:t xml:space="preserve">založilo </w:t>
      </w:r>
      <w:r w:rsidR="008B7EB9">
        <w:rPr>
          <w:rStyle w:val="FontStyle129"/>
          <w:rFonts w:ascii="Calibri" w:hAnsi="Calibri"/>
          <w:sz w:val="24"/>
        </w:rPr>
        <w:t xml:space="preserve">bludnou </w:t>
      </w:r>
      <w:r w:rsidR="00E60C0D">
        <w:rPr>
          <w:rStyle w:val="FontStyle129"/>
          <w:rFonts w:ascii="Calibri" w:hAnsi="Calibri"/>
          <w:sz w:val="24"/>
        </w:rPr>
        <w:t xml:space="preserve">cestu </w:t>
      </w:r>
      <w:r w:rsidR="00E60C0D">
        <w:rPr>
          <w:rStyle w:val="FontStyle129"/>
          <w:rFonts w:ascii="Calibri" w:hAnsi="Calibri"/>
          <w:sz w:val="24"/>
        </w:rPr>
        <w:lastRenderedPageBreak/>
        <w:t>Moderních (</w:t>
      </w:r>
      <w:r w:rsidR="00E60C0D" w:rsidRPr="00E60C0D">
        <w:rPr>
          <w:rStyle w:val="FontStyle129"/>
          <w:rFonts w:ascii="Calibri" w:hAnsi="Calibri"/>
          <w:i/>
          <w:sz w:val="24"/>
        </w:rPr>
        <w:t>via Modernorum</w:t>
      </w:r>
      <w:r w:rsidR="00E60C0D">
        <w:rPr>
          <w:rStyle w:val="FontStyle129"/>
          <w:rFonts w:ascii="Calibri" w:hAnsi="Calibri"/>
          <w:sz w:val="24"/>
        </w:rPr>
        <w:t>)</w:t>
      </w:r>
      <w:r w:rsidR="00AB14F3" w:rsidRPr="003D1E07">
        <w:rPr>
          <w:rStyle w:val="FontStyle129"/>
          <w:rFonts w:ascii="Calibri" w:hAnsi="Calibri"/>
          <w:sz w:val="24"/>
        </w:rPr>
        <w:t xml:space="preserve">. Zatmění první substance </w:t>
      </w:r>
      <w:r w:rsidR="002735A4" w:rsidRPr="003D1E07">
        <w:rPr>
          <w:rStyle w:val="FontStyle129"/>
          <w:rFonts w:ascii="Calibri" w:hAnsi="Calibri"/>
          <w:sz w:val="24"/>
        </w:rPr>
        <w:t>utváří éru plně rozvinuté zapomenutosti</w:t>
      </w:r>
      <w:r w:rsidR="00AB14F3" w:rsidRPr="003D1E07">
        <w:rPr>
          <w:rStyle w:val="FontStyle129"/>
          <w:rFonts w:ascii="Calibri" w:hAnsi="Calibri"/>
          <w:sz w:val="24"/>
        </w:rPr>
        <w:t xml:space="preserve"> </w:t>
      </w:r>
      <w:r w:rsidR="00844B0C">
        <w:rPr>
          <w:rStyle w:val="FontStyle129"/>
          <w:rFonts w:ascii="Calibri" w:hAnsi="Calibri"/>
          <w:sz w:val="24"/>
        </w:rPr>
        <w:t xml:space="preserve">první substance </w:t>
      </w:r>
      <w:r w:rsidR="002735A4" w:rsidRPr="003D1E07">
        <w:rPr>
          <w:rStyle w:val="FontStyle129"/>
          <w:rFonts w:ascii="Calibri" w:hAnsi="Calibri"/>
          <w:sz w:val="24"/>
        </w:rPr>
        <w:t>(</w:t>
      </w:r>
      <w:r w:rsidR="002735A4" w:rsidRPr="003D1E07">
        <w:rPr>
          <w:rStyle w:val="FontStyle129"/>
          <w:rFonts w:ascii="Calibri" w:hAnsi="Calibri"/>
          <w:i/>
          <w:sz w:val="24"/>
        </w:rPr>
        <w:t>Seinsvergessenheit</w:t>
      </w:r>
      <w:r w:rsidR="002735A4" w:rsidRPr="003D1E07">
        <w:rPr>
          <w:rStyle w:val="FontStyle129"/>
          <w:rFonts w:ascii="Calibri" w:hAnsi="Calibri"/>
          <w:i/>
          <w:sz w:val="24"/>
        </w:rPr>
        <w:fldChar w:fldCharType="begin"/>
      </w:r>
      <w:r w:rsidR="002735A4" w:rsidRPr="003D1E07">
        <w:instrText xml:space="preserve"> XE "</w:instrText>
      </w:r>
      <w:r w:rsidR="002735A4" w:rsidRPr="003D1E07">
        <w:rPr>
          <w:rStyle w:val="FontStyle129"/>
          <w:rFonts w:ascii="Calibri" w:hAnsi="Calibri"/>
          <w:i/>
          <w:sz w:val="24"/>
        </w:rPr>
        <w:instrText>Seinsvergessenheit</w:instrText>
      </w:r>
      <w:r w:rsidR="002735A4" w:rsidRPr="003D1E07">
        <w:instrText xml:space="preserve">" </w:instrText>
      </w:r>
      <w:r w:rsidR="002735A4" w:rsidRPr="003D1E07">
        <w:rPr>
          <w:rStyle w:val="FontStyle129"/>
          <w:rFonts w:ascii="Calibri" w:hAnsi="Calibri"/>
          <w:i/>
          <w:sz w:val="24"/>
        </w:rPr>
        <w:fldChar w:fldCharType="end"/>
      </w:r>
      <w:r w:rsidR="002735A4" w:rsidRPr="003D1E07">
        <w:rPr>
          <w:rStyle w:val="FontStyle129"/>
          <w:rFonts w:ascii="Calibri" w:hAnsi="Calibri"/>
          <w:sz w:val="24"/>
        </w:rPr>
        <w:t>)</w:t>
      </w:r>
      <w:r w:rsidR="006D6F91">
        <w:rPr>
          <w:rStyle w:val="FontStyle129"/>
          <w:rFonts w:ascii="Calibri" w:hAnsi="Calibri"/>
          <w:sz w:val="24"/>
        </w:rPr>
        <w:t>. Takový omyl byl v</w:t>
      </w:r>
      <w:r w:rsidR="00AB14F3" w:rsidRPr="003D1E07">
        <w:rPr>
          <w:rStyle w:val="FontStyle129"/>
          <w:rFonts w:ascii="Calibri" w:hAnsi="Calibri"/>
          <w:sz w:val="24"/>
        </w:rPr>
        <w:t xml:space="preserve"> aristotelské metafyzice</w:t>
      </w:r>
      <w:r w:rsidR="006D6F91">
        <w:rPr>
          <w:rStyle w:val="FontStyle129"/>
          <w:rFonts w:ascii="Calibri" w:hAnsi="Calibri"/>
          <w:sz w:val="24"/>
        </w:rPr>
        <w:t xml:space="preserve"> </w:t>
      </w:r>
      <w:r w:rsidR="001A66C9">
        <w:rPr>
          <w:rStyle w:val="FontStyle129"/>
          <w:rFonts w:ascii="Calibri" w:hAnsi="Calibri"/>
          <w:sz w:val="24"/>
        </w:rPr>
        <w:t>zcela vyloučen</w:t>
      </w:r>
      <w:r w:rsidR="00C8280E" w:rsidRPr="003D1E07">
        <w:rPr>
          <w:rStyle w:val="FontStyle129"/>
          <w:rFonts w:ascii="Calibri" w:hAnsi="Calibri"/>
          <w:sz w:val="24"/>
        </w:rPr>
        <w:t xml:space="preserve">. </w:t>
      </w:r>
      <w:r w:rsidR="00AF19D3" w:rsidRPr="003D1E07">
        <w:rPr>
          <w:rStyle w:val="FontStyle129"/>
          <w:rFonts w:ascii="Calibri" w:hAnsi="Calibri"/>
          <w:sz w:val="24"/>
        </w:rPr>
        <w:t xml:space="preserve">Dějiny západní civilizace nyní určuje </w:t>
      </w:r>
      <w:r w:rsidR="00AF19D3" w:rsidRPr="003D1E07">
        <w:rPr>
          <w:rStyle w:val="FontStyle129"/>
          <w:rFonts w:ascii="Calibri" w:hAnsi="Calibri"/>
          <w:i/>
          <w:sz w:val="24"/>
        </w:rPr>
        <w:t>Seinsvergessenheit</w:t>
      </w:r>
      <w:r w:rsidR="00AF19D3" w:rsidRPr="003D1E07">
        <w:rPr>
          <w:rStyle w:val="FontStyle129"/>
          <w:rFonts w:ascii="Calibri" w:hAnsi="Calibri"/>
          <w:sz w:val="24"/>
        </w:rPr>
        <w:t xml:space="preserve"> na dané v epoše metafyzického omylu (</w:t>
      </w:r>
      <w:r w:rsidR="00AF19D3" w:rsidRPr="003D1E07">
        <w:rPr>
          <w:rStyle w:val="FontStyle129"/>
          <w:rFonts w:ascii="Calibri" w:hAnsi="Calibri"/>
          <w:i/>
          <w:sz w:val="24"/>
        </w:rPr>
        <w:t>Irrtum</w:t>
      </w:r>
      <w:r w:rsidR="00AF19D3" w:rsidRPr="003D1E07">
        <w:rPr>
          <w:rStyle w:val="FontStyle129"/>
          <w:rFonts w:ascii="Calibri" w:hAnsi="Calibri"/>
          <w:sz w:val="24"/>
        </w:rPr>
        <w:t>), který pochází z paranoidního myšlení moderny (</w:t>
      </w:r>
      <w:r w:rsidR="00AF19D3" w:rsidRPr="003D1E07">
        <w:rPr>
          <w:rStyle w:val="FontStyle129"/>
          <w:rFonts w:ascii="Calibri" w:hAnsi="Calibri"/>
          <w:i/>
          <w:sz w:val="24"/>
        </w:rPr>
        <w:t>Irre</w:t>
      </w:r>
      <w:r w:rsidR="00AF19D3" w:rsidRPr="003D1E07">
        <w:rPr>
          <w:rStyle w:val="FontStyle129"/>
          <w:rFonts w:ascii="Calibri" w:hAnsi="Calibri"/>
          <w:sz w:val="24"/>
        </w:rPr>
        <w:t xml:space="preserve">). </w:t>
      </w:r>
      <w:r w:rsidR="008B42EB" w:rsidRPr="003D1E07">
        <w:rPr>
          <w:rStyle w:val="FontStyle129"/>
          <w:rFonts w:ascii="Calibri" w:hAnsi="Calibri"/>
          <w:sz w:val="24"/>
        </w:rPr>
        <w:t xml:space="preserve">Tato událost na úrovni dějinnosti bytí má epochální charakter </w:t>
      </w:r>
      <w:r w:rsidR="00A14C60" w:rsidRPr="003D1E07">
        <w:rPr>
          <w:rStyle w:val="FontStyle129"/>
          <w:rFonts w:ascii="Calibri" w:hAnsi="Calibri"/>
          <w:sz w:val="24"/>
        </w:rPr>
        <w:t>určený</w:t>
      </w:r>
      <w:r w:rsidR="008B42EB" w:rsidRPr="003D1E07">
        <w:rPr>
          <w:rStyle w:val="FontStyle129"/>
          <w:rFonts w:ascii="Calibri" w:hAnsi="Calibri"/>
          <w:sz w:val="24"/>
        </w:rPr>
        <w:t xml:space="preserve"> nastolením nihilismu v otázce pravdy. </w:t>
      </w:r>
      <w:r w:rsidR="00AB14F3" w:rsidRPr="003D1E07">
        <w:rPr>
          <w:rStyle w:val="FontStyle129"/>
          <w:rFonts w:ascii="Calibri" w:hAnsi="Calibri"/>
          <w:sz w:val="24"/>
        </w:rPr>
        <w:t xml:space="preserve">Avicenna vytvořil novou metafyziku, která </w:t>
      </w:r>
      <w:r w:rsidR="004D7732" w:rsidRPr="003D1E07">
        <w:rPr>
          <w:rStyle w:val="FontStyle129"/>
          <w:rFonts w:ascii="Calibri" w:hAnsi="Calibri"/>
          <w:sz w:val="24"/>
        </w:rPr>
        <w:t xml:space="preserve">zahájila epochu </w:t>
      </w:r>
      <w:r w:rsidR="008A2E36" w:rsidRPr="003D1E07">
        <w:rPr>
          <w:rStyle w:val="FontStyle129"/>
          <w:rFonts w:ascii="Calibri" w:hAnsi="Calibri"/>
          <w:sz w:val="24"/>
        </w:rPr>
        <w:t>západní modern</w:t>
      </w:r>
      <w:r w:rsidR="00AB14F3" w:rsidRPr="003D1E07">
        <w:rPr>
          <w:rStyle w:val="FontStyle129"/>
          <w:rFonts w:ascii="Calibri" w:hAnsi="Calibri"/>
          <w:sz w:val="24"/>
        </w:rPr>
        <w:t>y.</w:t>
      </w:r>
    </w:p>
    <w:p w14:paraId="0EADC2A2" w14:textId="77777777" w:rsidR="00140C25" w:rsidRPr="003D1E07" w:rsidRDefault="08FD76BF" w:rsidP="001D4506">
      <w:pPr>
        <w:rPr>
          <w:rStyle w:val="FontStyle129"/>
          <w:rFonts w:ascii="Calibri" w:hAnsi="Calibri"/>
          <w:sz w:val="24"/>
        </w:rPr>
      </w:pPr>
      <w:r w:rsidRPr="003D1E07">
        <w:rPr>
          <w:rStyle w:val="FontStyle129"/>
          <w:rFonts w:ascii="Calibri" w:hAnsi="Calibri"/>
          <w:sz w:val="24"/>
        </w:rPr>
        <w:tab/>
      </w:r>
      <w:r w:rsidR="00CA3693" w:rsidRPr="003D1E07">
        <w:rPr>
          <w:rStyle w:val="FontStyle129"/>
          <w:rFonts w:ascii="Calibri" w:hAnsi="Calibri"/>
          <w:sz w:val="24"/>
        </w:rPr>
        <w:t>Shrňme dosavadní</w:t>
      </w:r>
      <w:r w:rsidR="0806764E" w:rsidRPr="003D1E07">
        <w:rPr>
          <w:rStyle w:val="FontStyle129"/>
          <w:rFonts w:ascii="Calibri" w:hAnsi="Calibri"/>
          <w:sz w:val="24"/>
        </w:rPr>
        <w:t xml:space="preserve"> nálezy v pojetí hermeneutické triády (kap. 1.2). S</w:t>
      </w:r>
      <w:r w:rsidR="00C739A8" w:rsidRPr="003D1E07">
        <w:rPr>
          <w:rStyle w:val="FontStyle129"/>
          <w:rFonts w:ascii="Calibri" w:hAnsi="Calibri"/>
          <w:sz w:val="24"/>
        </w:rPr>
        <w:t>krytá dějinnost bytí jsoucna zakládá nové dějiny filosofie a prozatím skrytou historii moderny</w:t>
      </w:r>
      <w:r w:rsidR="00CA3693" w:rsidRPr="003D1E07">
        <w:rPr>
          <w:rStyle w:val="FontStyle129"/>
          <w:rFonts w:ascii="Calibri" w:hAnsi="Calibri"/>
          <w:sz w:val="24"/>
        </w:rPr>
        <w:t xml:space="preserve">. Dějinnost </w:t>
      </w:r>
      <w:r w:rsidR="00114D5B" w:rsidRPr="003D1E07">
        <w:rPr>
          <w:rStyle w:val="FontStyle129"/>
          <w:rFonts w:ascii="Calibri" w:hAnsi="Calibri"/>
          <w:sz w:val="24"/>
        </w:rPr>
        <w:t xml:space="preserve">objektivně otevřená </w:t>
      </w:r>
      <w:r w:rsidR="00CA3693" w:rsidRPr="003D1E07">
        <w:rPr>
          <w:rStyle w:val="FontStyle129"/>
          <w:rFonts w:ascii="Calibri" w:hAnsi="Calibri"/>
          <w:sz w:val="24"/>
        </w:rPr>
        <w:t>Avicennou dala do nové formy nepravdy (</w:t>
      </w:r>
      <w:r w:rsidR="00381EBA" w:rsidRPr="003D1E07">
        <w:rPr>
          <w:rStyle w:val="FontStyle129"/>
          <w:rFonts w:ascii="Calibri" w:hAnsi="Calibri"/>
          <w:i/>
          <w:sz w:val="24"/>
        </w:rPr>
        <w:t>léthe</w:t>
      </w:r>
      <w:r w:rsidR="00CA3693" w:rsidRPr="003D1E07">
        <w:rPr>
          <w:rStyle w:val="FontStyle129"/>
          <w:rFonts w:ascii="Calibri" w:hAnsi="Calibri"/>
          <w:sz w:val="24"/>
        </w:rPr>
        <w:t xml:space="preserve">) pojetí pravdy </w:t>
      </w:r>
      <w:r w:rsidR="088176FF" w:rsidRPr="003D1E07">
        <w:rPr>
          <w:rStyle w:val="FontStyle129"/>
          <w:rFonts w:ascii="Calibri" w:hAnsi="Calibri"/>
          <w:sz w:val="24"/>
        </w:rPr>
        <w:t>Druhého mistra. Jeho hledání nové podoby metafyziky určuje složité</w:t>
      </w:r>
      <w:r w:rsidR="00CB3D46" w:rsidRPr="003D1E07">
        <w:rPr>
          <w:rStyle w:val="FontStyle129"/>
          <w:rFonts w:ascii="Calibri" w:hAnsi="Calibri"/>
          <w:sz w:val="24"/>
        </w:rPr>
        <w:t xml:space="preserve"> balancování mezi různými pojet</w:t>
      </w:r>
      <w:r w:rsidR="00CA3693" w:rsidRPr="003D1E07">
        <w:rPr>
          <w:rStyle w:val="FontStyle129"/>
          <w:rFonts w:ascii="Calibri" w:hAnsi="Calibri"/>
          <w:sz w:val="24"/>
        </w:rPr>
        <w:t>ími intelektu, sub</w:t>
      </w:r>
      <w:r w:rsidR="00CB3D46" w:rsidRPr="003D1E07">
        <w:rPr>
          <w:rStyle w:val="FontStyle129"/>
          <w:rFonts w:ascii="Calibri" w:hAnsi="Calibri"/>
          <w:sz w:val="24"/>
        </w:rPr>
        <w:t>s</w:t>
      </w:r>
      <w:r w:rsidR="00CA3693" w:rsidRPr="003D1E07">
        <w:rPr>
          <w:rStyle w:val="FontStyle129"/>
          <w:rFonts w:ascii="Calibri" w:hAnsi="Calibri"/>
          <w:sz w:val="24"/>
        </w:rPr>
        <w:t xml:space="preserve">tance a esence (kap. 2.1.2). </w:t>
      </w:r>
      <w:r w:rsidR="00BB4481" w:rsidRPr="003D1E07">
        <w:rPr>
          <w:rStyle w:val="FontStyle129"/>
          <w:rFonts w:ascii="Calibri" w:hAnsi="Calibri"/>
          <w:sz w:val="24"/>
        </w:rPr>
        <w:t>Avicenna nalezl nové určení první vědy, protože našel nové určení metafyziky. Moderní metafyzika má jako předmět pseudomystické zjevení objektivního bytí</w:t>
      </w:r>
      <w:r w:rsidR="001B06AF" w:rsidRPr="003D1E07">
        <w:rPr>
          <w:rStyle w:val="FontStyle129"/>
          <w:rFonts w:ascii="Calibri" w:hAnsi="Calibri"/>
          <w:sz w:val="24"/>
        </w:rPr>
        <w:t xml:space="preserve"> </w:t>
      </w:r>
      <w:r w:rsidR="001B06AF" w:rsidRPr="003D1E07">
        <w:rPr>
          <w:noProof w:val="0"/>
          <w:lang w:eastAsia="en-US"/>
        </w:rPr>
        <w:t>(</w:t>
      </w:r>
      <w:r w:rsidR="001B06AF" w:rsidRPr="003D1E07">
        <w:rPr>
          <w:i/>
          <w:noProof w:val="0"/>
          <w:lang w:eastAsia="en-US"/>
        </w:rPr>
        <w:t>ens inquantum ens</w:t>
      </w:r>
      <w:r w:rsidR="001B06AF" w:rsidRPr="003D1E07">
        <w:rPr>
          <w:i/>
          <w:lang w:eastAsia="en-US"/>
        </w:rPr>
        <w:fldChar w:fldCharType="begin"/>
      </w:r>
      <w:r w:rsidR="001B06AF" w:rsidRPr="003D1E07">
        <w:instrText xml:space="preserve"> XE "</w:instrText>
      </w:r>
      <w:r w:rsidR="001B06AF" w:rsidRPr="003D1E07">
        <w:rPr>
          <w:i/>
          <w:noProof w:val="0"/>
          <w:lang w:eastAsia="en-US"/>
        </w:rPr>
        <w:instrText>ens inquantum ens</w:instrText>
      </w:r>
      <w:r w:rsidR="001B06AF" w:rsidRPr="003D1E07">
        <w:instrText xml:space="preserve">" </w:instrText>
      </w:r>
      <w:r w:rsidR="001B06AF" w:rsidRPr="003D1E07">
        <w:rPr>
          <w:i/>
          <w:lang w:eastAsia="en-US"/>
        </w:rPr>
        <w:fldChar w:fldCharType="end"/>
      </w:r>
      <w:r w:rsidR="001B06AF" w:rsidRPr="003D1E07">
        <w:rPr>
          <w:noProof w:val="0"/>
          <w:lang w:eastAsia="en-US"/>
        </w:rPr>
        <w:t>)</w:t>
      </w:r>
      <w:r w:rsidR="00BB4481" w:rsidRPr="003D1E07">
        <w:rPr>
          <w:rStyle w:val="FontStyle129"/>
          <w:rFonts w:ascii="Calibri" w:hAnsi="Calibri"/>
          <w:sz w:val="24"/>
        </w:rPr>
        <w:t xml:space="preserve">. </w:t>
      </w:r>
      <w:r w:rsidR="08F61EBC" w:rsidRPr="003D1E07">
        <w:rPr>
          <w:rStyle w:val="FontStyle129"/>
          <w:rFonts w:ascii="Calibri" w:hAnsi="Calibri"/>
          <w:sz w:val="24"/>
        </w:rPr>
        <w:t xml:space="preserve">Máme jeden způsob </w:t>
      </w:r>
      <w:r w:rsidR="00C7544F" w:rsidRPr="003D1E07">
        <w:rPr>
          <w:rStyle w:val="FontStyle129"/>
          <w:rFonts w:ascii="Calibri" w:hAnsi="Calibri"/>
          <w:sz w:val="24"/>
        </w:rPr>
        <w:t>zjevování, tj. intelektuální lidskou duši aktualizovanou pozn</w:t>
      </w:r>
      <w:r w:rsidR="002E0656" w:rsidRPr="003D1E07">
        <w:rPr>
          <w:rStyle w:val="FontStyle129"/>
          <w:rFonts w:ascii="Calibri" w:hAnsi="Calibri"/>
          <w:sz w:val="24"/>
        </w:rPr>
        <w:t xml:space="preserve">áním nemateriálních forem. </w:t>
      </w:r>
      <w:r w:rsidR="00E84329" w:rsidRPr="003D1E07">
        <w:rPr>
          <w:rStyle w:val="FontStyle129"/>
          <w:rFonts w:ascii="Calibri" w:hAnsi="Calibri"/>
          <w:sz w:val="24"/>
        </w:rPr>
        <w:t>R</w:t>
      </w:r>
      <w:r w:rsidR="00C7544F" w:rsidRPr="003D1E07">
        <w:rPr>
          <w:rStyle w:val="FontStyle129"/>
          <w:rFonts w:ascii="Calibri" w:hAnsi="Calibri"/>
          <w:sz w:val="24"/>
        </w:rPr>
        <w:t>ozum tyto formy nazírá</w:t>
      </w:r>
      <w:r w:rsidR="00E84329" w:rsidRPr="003D1E07">
        <w:rPr>
          <w:rStyle w:val="FontStyle129"/>
          <w:rFonts w:ascii="Calibri" w:hAnsi="Calibri"/>
          <w:sz w:val="24"/>
        </w:rPr>
        <w:t xml:space="preserve"> </w:t>
      </w:r>
      <w:r w:rsidR="08C80F1F" w:rsidRPr="003D1E07">
        <w:rPr>
          <w:rStyle w:val="FontStyle129"/>
          <w:rFonts w:ascii="Calibri" w:hAnsi="Calibri"/>
          <w:sz w:val="24"/>
        </w:rPr>
        <w:t>dvojím způsobem</w:t>
      </w:r>
      <w:r w:rsidR="00C7544F" w:rsidRPr="003D1E07">
        <w:rPr>
          <w:rStyle w:val="FontStyle129"/>
          <w:rFonts w:ascii="Calibri" w:hAnsi="Calibri"/>
          <w:sz w:val="24"/>
        </w:rPr>
        <w:t>. Buď je intelekt nasvícen od smyslově vnímaných věcí</w:t>
      </w:r>
      <w:r w:rsidR="00F110F9" w:rsidRPr="003D1E07">
        <w:rPr>
          <w:rStyle w:val="FontStyle129"/>
          <w:rFonts w:ascii="Calibri" w:hAnsi="Calibri"/>
          <w:sz w:val="24"/>
        </w:rPr>
        <w:t xml:space="preserve">; </w:t>
      </w:r>
      <w:r w:rsidR="08C8494F" w:rsidRPr="003D1E07">
        <w:rPr>
          <w:rStyle w:val="FontStyle129"/>
          <w:rFonts w:ascii="Calibri" w:hAnsi="Calibri"/>
          <w:sz w:val="24"/>
        </w:rPr>
        <w:t>n</w:t>
      </w:r>
      <w:r w:rsidR="00C7544F" w:rsidRPr="003D1E07">
        <w:rPr>
          <w:rStyle w:val="FontStyle129"/>
          <w:rFonts w:ascii="Calibri" w:hAnsi="Calibri"/>
          <w:sz w:val="24"/>
        </w:rPr>
        <w:t xml:space="preserve">ebo </w:t>
      </w:r>
      <w:r w:rsidR="00F110F9" w:rsidRPr="003D1E07">
        <w:rPr>
          <w:rStyle w:val="FontStyle129"/>
          <w:rFonts w:ascii="Calibri" w:hAnsi="Calibri"/>
          <w:sz w:val="24"/>
        </w:rPr>
        <w:t xml:space="preserve">přímo </w:t>
      </w:r>
      <w:r w:rsidR="08BD4EB4" w:rsidRPr="003D1E07">
        <w:rPr>
          <w:rStyle w:val="FontStyle129"/>
          <w:rFonts w:ascii="Calibri" w:hAnsi="Calibri"/>
          <w:sz w:val="24"/>
        </w:rPr>
        <w:t xml:space="preserve">nazírá v aktu osvícení aktuální </w:t>
      </w:r>
      <w:r w:rsidR="00F110F9" w:rsidRPr="003D1E07">
        <w:rPr>
          <w:rStyle w:val="FontStyle129"/>
          <w:rFonts w:ascii="Calibri" w:hAnsi="Calibri"/>
          <w:sz w:val="24"/>
        </w:rPr>
        <w:t xml:space="preserve">formy. </w:t>
      </w:r>
      <w:r w:rsidR="00D74B81" w:rsidRPr="003D1E07">
        <w:rPr>
          <w:rStyle w:val="FontStyle129"/>
          <w:rFonts w:ascii="Calibri" w:hAnsi="Calibri"/>
          <w:sz w:val="24"/>
        </w:rPr>
        <w:t>I</w:t>
      </w:r>
      <w:r w:rsidR="00F110F9" w:rsidRPr="003D1E07">
        <w:rPr>
          <w:rStyle w:val="FontStyle129"/>
          <w:rFonts w:ascii="Calibri" w:hAnsi="Calibri"/>
          <w:sz w:val="24"/>
        </w:rPr>
        <w:t>dentita</w:t>
      </w:r>
      <w:r w:rsidR="08BD4EB4" w:rsidRPr="003D1E07">
        <w:rPr>
          <w:rStyle w:val="FontStyle129"/>
          <w:rFonts w:ascii="Calibri" w:hAnsi="Calibri"/>
          <w:sz w:val="24"/>
        </w:rPr>
        <w:t xml:space="preserve"> věci </w:t>
      </w:r>
      <w:r w:rsidR="00F110F9" w:rsidRPr="003D1E07">
        <w:rPr>
          <w:rStyle w:val="FontStyle129"/>
          <w:rFonts w:ascii="Calibri" w:hAnsi="Calibri"/>
          <w:sz w:val="24"/>
        </w:rPr>
        <w:t xml:space="preserve">je tím odhalena </w:t>
      </w:r>
      <w:r w:rsidR="00C7544F" w:rsidRPr="003D1E07">
        <w:rPr>
          <w:rStyle w:val="FontStyle129"/>
          <w:rFonts w:ascii="Calibri" w:hAnsi="Calibri"/>
          <w:sz w:val="24"/>
        </w:rPr>
        <w:t>díky činnosti odděleného vyššího intelektu</w:t>
      </w:r>
      <w:r w:rsidR="00DA7E72" w:rsidRPr="003D1E07">
        <w:rPr>
          <w:rStyle w:val="FontStyle129"/>
          <w:rFonts w:ascii="Calibri" w:hAnsi="Calibri"/>
          <w:sz w:val="24"/>
        </w:rPr>
        <w:t xml:space="preserve">. Ten </w:t>
      </w:r>
      <w:r w:rsidR="00C7544F" w:rsidRPr="003D1E07">
        <w:rPr>
          <w:rStyle w:val="FontStyle129"/>
          <w:rFonts w:ascii="Calibri" w:hAnsi="Calibri"/>
          <w:sz w:val="24"/>
        </w:rPr>
        <w:t>duši aktualizuje zcela autonomně</w:t>
      </w:r>
      <w:r w:rsidR="00DA7E72" w:rsidRPr="003D1E07">
        <w:rPr>
          <w:rStyle w:val="FontStyle129"/>
          <w:rFonts w:ascii="Calibri" w:hAnsi="Calibri"/>
          <w:sz w:val="24"/>
        </w:rPr>
        <w:t>,</w:t>
      </w:r>
      <w:r w:rsidR="00894B4D" w:rsidRPr="003D1E07">
        <w:rPr>
          <w:rStyle w:val="FontStyle129"/>
          <w:rFonts w:ascii="Calibri" w:hAnsi="Calibri"/>
          <w:sz w:val="24"/>
        </w:rPr>
        <w:t xml:space="preserve"> skrze darovaný intelekt</w:t>
      </w:r>
      <w:r w:rsidR="00C7544F" w:rsidRPr="003D1E07">
        <w:rPr>
          <w:rStyle w:val="FontStyle129"/>
          <w:rFonts w:ascii="Calibri" w:hAnsi="Calibri"/>
          <w:sz w:val="24"/>
        </w:rPr>
        <w:t>.</w:t>
      </w:r>
      <w:r w:rsidR="00C7544F" w:rsidRPr="003D1E07">
        <w:t xml:space="preserve"> </w:t>
      </w:r>
      <w:r w:rsidR="00DA7E72" w:rsidRPr="003D1E07">
        <w:t xml:space="preserve">V tomto druhém případě </w:t>
      </w:r>
      <w:r w:rsidR="00724A80" w:rsidRPr="003D1E07">
        <w:t>nepoznává</w:t>
      </w:r>
      <w:r w:rsidR="00A57A58" w:rsidRPr="003D1E07">
        <w:t xml:space="preserve"> duše reálnou první substanci </w:t>
      </w:r>
      <w:r w:rsidR="00724A80" w:rsidRPr="003D1E07">
        <w:t xml:space="preserve">v modu </w:t>
      </w:r>
      <w:r w:rsidR="00724A80" w:rsidRPr="003D1E07">
        <w:rPr>
          <w:i/>
        </w:rPr>
        <w:t>per prius</w:t>
      </w:r>
      <w:r w:rsidR="08322FA8" w:rsidRPr="003D1E07">
        <w:t xml:space="preserve">. Náhled ilumináta jde k </w:t>
      </w:r>
      <w:r w:rsidR="00724A80" w:rsidRPr="003D1E07">
        <w:t>moderní „věc</w:t>
      </w:r>
      <w:r w:rsidR="08322FA8" w:rsidRPr="003D1E07">
        <w:t>i samé</w:t>
      </w:r>
      <w:r w:rsidR="00354A18" w:rsidRPr="003D1E07">
        <w:t xml:space="preserve">“, která </w:t>
      </w:r>
      <w:r w:rsidR="08322FA8" w:rsidRPr="003D1E07">
        <w:t>je jsoucnem třetího druhu daným</w:t>
      </w:r>
      <w:r w:rsidR="00354A18" w:rsidRPr="003D1E07">
        <w:t xml:space="preserve"> v nové formě eidetického</w:t>
      </w:r>
      <w:r w:rsidR="000A1531" w:rsidRPr="003D1E07">
        <w:t xml:space="preserve"> náhledu</w:t>
      </w:r>
      <w:r w:rsidR="00354A18" w:rsidRPr="003D1E07">
        <w:t xml:space="preserve">. V </w:t>
      </w:r>
      <w:r w:rsidR="00C34394" w:rsidRPr="003D1E07">
        <w:t xml:space="preserve">modu identitárně dané pravdy subjektu </w:t>
      </w:r>
      <w:r w:rsidR="00354A18" w:rsidRPr="003D1E07">
        <w:t xml:space="preserve">pak </w:t>
      </w:r>
      <w:r w:rsidR="00C34394" w:rsidRPr="003D1E07">
        <w:t xml:space="preserve">porovnáváme objektivní bytí </w:t>
      </w:r>
      <w:r w:rsidR="00724A80" w:rsidRPr="003D1E07">
        <w:t>jsouc</w:t>
      </w:r>
      <w:r w:rsidR="00C34394" w:rsidRPr="003D1E07">
        <w:t>e</w:t>
      </w:r>
      <w:r w:rsidR="00724A80" w:rsidRPr="003D1E07">
        <w:t>n třetího druhu</w:t>
      </w:r>
      <w:r w:rsidR="00604B33" w:rsidRPr="003D1E07">
        <w:t xml:space="preserve"> (</w:t>
      </w:r>
      <w:r w:rsidR="00604B33" w:rsidRPr="003D1E07">
        <w:rPr>
          <w:i/>
        </w:rPr>
        <w:t>comparatio rei ad ipsam</w:t>
      </w:r>
      <w:r w:rsidR="00604B33" w:rsidRPr="003D1E07">
        <w:t>)</w:t>
      </w:r>
      <w:r w:rsidR="00724A80" w:rsidRPr="003D1E07">
        <w:t>.</w:t>
      </w:r>
      <w:r w:rsidR="082D1409" w:rsidRPr="003D1E07">
        <w:t xml:space="preserve"> </w:t>
      </w:r>
      <w:r w:rsidR="000F52FC" w:rsidRPr="003D1E07">
        <w:t xml:space="preserve">Identitární náhled </w:t>
      </w:r>
      <w:r w:rsidR="082D1409" w:rsidRPr="003D1E07">
        <w:t>nejde k aristotelské reáln</w:t>
      </w:r>
      <w:r w:rsidR="000F52FC" w:rsidRPr="003D1E07">
        <w:t>é první substanci, ale k čisté esenci</w:t>
      </w:r>
      <w:r w:rsidR="00964F7C" w:rsidRPr="003D1E07">
        <w:t xml:space="preserve"> jako individuálnímu jsoucnu</w:t>
      </w:r>
      <w:r w:rsidR="082D1409" w:rsidRPr="003D1E07">
        <w:t xml:space="preserve">. </w:t>
      </w:r>
      <w:r w:rsidR="001979D2" w:rsidRPr="003D1E07">
        <w:t xml:space="preserve">Postavení </w:t>
      </w:r>
      <w:r w:rsidR="001B41C1" w:rsidRPr="003D1E07">
        <w:rPr>
          <w:rStyle w:val="FontStyle129"/>
          <w:rFonts w:ascii="Calibri" w:hAnsi="Calibri"/>
          <w:sz w:val="24"/>
        </w:rPr>
        <w:t>možného či materiálního intelektu (</w:t>
      </w:r>
      <w:r w:rsidR="001B41C1" w:rsidRPr="003D1E07">
        <w:rPr>
          <w:rStyle w:val="FontStyle129"/>
          <w:rFonts w:ascii="Calibri" w:hAnsi="Calibri"/>
          <w:i/>
          <w:sz w:val="24"/>
        </w:rPr>
        <w:t>intellectus possibilis</w:t>
      </w:r>
      <w:r w:rsidR="009D323B" w:rsidRPr="003D1E07">
        <w:rPr>
          <w:rStyle w:val="FontStyle129"/>
          <w:rFonts w:ascii="Calibri" w:hAnsi="Calibri"/>
          <w:i/>
          <w:sz w:val="24"/>
        </w:rPr>
        <w:fldChar w:fldCharType="begin"/>
      </w:r>
      <w:r w:rsidR="009D323B" w:rsidRPr="003D1E07">
        <w:instrText xml:space="preserve"> XE "</w:instrText>
      </w:r>
      <w:r w:rsidR="009D323B" w:rsidRPr="003D1E07">
        <w:rPr>
          <w:i/>
        </w:rPr>
        <w:instrText>intellectus possibilis</w:instrText>
      </w:r>
      <w:r w:rsidR="00873D30" w:rsidRPr="003D1E07">
        <w:instrText>:Avicenna</w:instrText>
      </w:r>
      <w:r w:rsidR="009D323B" w:rsidRPr="003D1E07">
        <w:instrText xml:space="preserve">" </w:instrText>
      </w:r>
      <w:r w:rsidR="009D323B" w:rsidRPr="003D1E07">
        <w:rPr>
          <w:rStyle w:val="FontStyle129"/>
          <w:rFonts w:ascii="Calibri" w:hAnsi="Calibri"/>
          <w:i/>
          <w:sz w:val="24"/>
        </w:rPr>
        <w:fldChar w:fldCharType="end"/>
      </w:r>
      <w:r w:rsidR="001B41C1" w:rsidRPr="003D1E07">
        <w:rPr>
          <w:rStyle w:val="FontStyle129"/>
          <w:rFonts w:ascii="Calibri" w:hAnsi="Calibri"/>
          <w:sz w:val="24"/>
        </w:rPr>
        <w:t>) hraje klíčovou roli v</w:t>
      </w:r>
      <w:r w:rsidR="00006917" w:rsidRPr="003D1E07">
        <w:rPr>
          <w:rStyle w:val="FontStyle129"/>
          <w:rFonts w:ascii="Calibri" w:hAnsi="Calibri"/>
          <w:sz w:val="24"/>
        </w:rPr>
        <w:t xml:space="preserve"> celém procesu určování jsoucna</w:t>
      </w:r>
      <w:r w:rsidR="001B41C1" w:rsidRPr="003D1E07">
        <w:rPr>
          <w:rStyle w:val="FontStyle129"/>
          <w:rFonts w:ascii="Calibri" w:hAnsi="Calibri"/>
          <w:sz w:val="24"/>
        </w:rPr>
        <w:t xml:space="preserve">. </w:t>
      </w:r>
      <w:r w:rsidR="00DC403D" w:rsidRPr="003D1E07">
        <w:rPr>
          <w:rStyle w:val="FontStyle129"/>
          <w:rFonts w:ascii="Calibri" w:hAnsi="Calibri"/>
          <w:sz w:val="24"/>
        </w:rPr>
        <w:t xml:space="preserve">Buď </w:t>
      </w:r>
      <w:r w:rsidR="00006917" w:rsidRPr="003D1E07">
        <w:rPr>
          <w:rStyle w:val="FontStyle129"/>
          <w:rFonts w:ascii="Calibri" w:hAnsi="Calibri"/>
          <w:sz w:val="24"/>
        </w:rPr>
        <w:t>je poznání za</w:t>
      </w:r>
      <w:r w:rsidR="00DC403D" w:rsidRPr="003D1E07">
        <w:rPr>
          <w:rStyle w:val="FontStyle129"/>
          <w:rFonts w:ascii="Calibri" w:hAnsi="Calibri"/>
          <w:sz w:val="24"/>
        </w:rPr>
        <w:t>l</w:t>
      </w:r>
      <w:r w:rsidR="00006917" w:rsidRPr="003D1E07">
        <w:rPr>
          <w:rStyle w:val="FontStyle129"/>
          <w:rFonts w:ascii="Calibri" w:hAnsi="Calibri"/>
          <w:sz w:val="24"/>
        </w:rPr>
        <w:t xml:space="preserve">oženo abstrakcí inteligibilní </w:t>
      </w:r>
      <w:r w:rsidR="00DC403D" w:rsidRPr="003D1E07">
        <w:rPr>
          <w:rStyle w:val="FontStyle129"/>
          <w:rFonts w:ascii="Calibri" w:hAnsi="Calibri"/>
          <w:sz w:val="24"/>
        </w:rPr>
        <w:t>formy směrem od reálně existující věci</w:t>
      </w:r>
      <w:r w:rsidR="0061213C" w:rsidRPr="003D1E07">
        <w:rPr>
          <w:rStyle w:val="FontStyle129"/>
          <w:rFonts w:ascii="Calibri" w:hAnsi="Calibri"/>
          <w:sz w:val="24"/>
        </w:rPr>
        <w:t>. N</w:t>
      </w:r>
      <w:r w:rsidR="00DC403D" w:rsidRPr="003D1E07">
        <w:rPr>
          <w:rStyle w:val="FontStyle129"/>
          <w:rFonts w:ascii="Calibri" w:hAnsi="Calibri"/>
          <w:sz w:val="24"/>
        </w:rPr>
        <w:t xml:space="preserve">ebo je </w:t>
      </w:r>
      <w:r w:rsidR="0061213C" w:rsidRPr="003D1E07">
        <w:rPr>
          <w:rStyle w:val="FontStyle129"/>
          <w:rFonts w:ascii="Calibri" w:hAnsi="Calibri"/>
          <w:sz w:val="24"/>
        </w:rPr>
        <w:t xml:space="preserve">receptivní intelekt </w:t>
      </w:r>
      <w:r w:rsidR="08C80F1F" w:rsidRPr="003D1E07">
        <w:rPr>
          <w:rStyle w:val="FontStyle129"/>
          <w:rFonts w:ascii="Calibri" w:hAnsi="Calibri"/>
          <w:sz w:val="24"/>
        </w:rPr>
        <w:t xml:space="preserve">a koncept diafanum </w:t>
      </w:r>
      <w:r w:rsidR="00A700E5" w:rsidRPr="003D1E07">
        <w:rPr>
          <w:rStyle w:val="FontStyle129"/>
          <w:rFonts w:ascii="Calibri" w:hAnsi="Calibri"/>
          <w:sz w:val="24"/>
        </w:rPr>
        <w:t xml:space="preserve">zbytečný, protože </w:t>
      </w:r>
      <w:r w:rsidR="00DC403D" w:rsidRPr="003D1E07">
        <w:rPr>
          <w:rStyle w:val="FontStyle129"/>
          <w:rFonts w:ascii="Calibri" w:hAnsi="Calibri"/>
          <w:sz w:val="24"/>
        </w:rPr>
        <w:t>darovan</w:t>
      </w:r>
      <w:r w:rsidR="00A700E5" w:rsidRPr="003D1E07">
        <w:rPr>
          <w:rStyle w:val="FontStyle129"/>
          <w:rFonts w:ascii="Calibri" w:hAnsi="Calibri"/>
          <w:sz w:val="24"/>
        </w:rPr>
        <w:t>ý i</w:t>
      </w:r>
      <w:r w:rsidR="00DC403D" w:rsidRPr="003D1E07">
        <w:rPr>
          <w:rStyle w:val="FontStyle129"/>
          <w:rFonts w:ascii="Calibri" w:hAnsi="Calibri"/>
          <w:sz w:val="24"/>
        </w:rPr>
        <w:t>ntelekt</w:t>
      </w:r>
      <w:r w:rsidR="00A700E5" w:rsidRPr="003D1E07">
        <w:rPr>
          <w:rStyle w:val="FontStyle129"/>
          <w:rFonts w:ascii="Calibri" w:hAnsi="Calibri"/>
          <w:sz w:val="24"/>
        </w:rPr>
        <w:t xml:space="preserve"> dostává </w:t>
      </w:r>
      <w:r w:rsidR="00DC403D" w:rsidRPr="003D1E07">
        <w:rPr>
          <w:rStyle w:val="FontStyle129"/>
          <w:rFonts w:ascii="Calibri" w:hAnsi="Calibri"/>
          <w:sz w:val="24"/>
        </w:rPr>
        <w:t>formu od činného intelektu</w:t>
      </w:r>
      <w:r w:rsidR="00A700E5" w:rsidRPr="003D1E07">
        <w:rPr>
          <w:rStyle w:val="FontStyle129"/>
          <w:rFonts w:ascii="Calibri" w:hAnsi="Calibri"/>
          <w:sz w:val="24"/>
        </w:rPr>
        <w:t xml:space="preserve"> v aktu iluminace</w:t>
      </w:r>
      <w:r w:rsidR="00DC403D" w:rsidRPr="003D1E07">
        <w:rPr>
          <w:rStyle w:val="FontStyle129"/>
          <w:rFonts w:ascii="Calibri" w:hAnsi="Calibri"/>
          <w:sz w:val="24"/>
        </w:rPr>
        <w:t>.</w:t>
      </w:r>
      <w:r w:rsidR="00947D17" w:rsidRPr="003D1E07">
        <w:rPr>
          <w:rStyle w:val="FontStyle129"/>
          <w:rFonts w:ascii="Calibri" w:hAnsi="Calibri"/>
          <w:sz w:val="24"/>
        </w:rPr>
        <w:t xml:space="preserve"> </w:t>
      </w:r>
      <w:r w:rsidR="089108A9" w:rsidRPr="003D1E07">
        <w:t xml:space="preserve">Metafyzický </w:t>
      </w:r>
      <w:r w:rsidR="08E8196B" w:rsidRPr="003D1E07">
        <w:rPr>
          <w:szCs w:val="24"/>
        </w:rPr>
        <w:t>dativ</w:t>
      </w:r>
      <w:r w:rsidR="080E3BD1" w:rsidRPr="003D1E07">
        <w:rPr>
          <w:szCs w:val="24"/>
        </w:rPr>
        <w:fldChar w:fldCharType="begin"/>
      </w:r>
      <w:r w:rsidR="080E3BD1" w:rsidRPr="003D1E07">
        <w:instrText xml:space="preserve"> XE "</w:instrText>
      </w:r>
      <w:r w:rsidR="089108A9" w:rsidRPr="003D1E07">
        <w:rPr>
          <w:i/>
        </w:rPr>
        <w:instrText>dativus metaphysi</w:instrText>
      </w:r>
      <w:r w:rsidR="080E3BD1" w:rsidRPr="003D1E07">
        <w:rPr>
          <w:i/>
        </w:rPr>
        <w:instrText>cus</w:instrText>
      </w:r>
      <w:r w:rsidR="080E3BD1" w:rsidRPr="003D1E07">
        <w:instrText xml:space="preserve">" </w:instrText>
      </w:r>
      <w:r w:rsidR="080E3BD1" w:rsidRPr="003D1E07">
        <w:rPr>
          <w:szCs w:val="24"/>
        </w:rPr>
        <w:fldChar w:fldCharType="end"/>
      </w:r>
      <w:r w:rsidR="08E8196B" w:rsidRPr="003D1E07">
        <w:rPr>
          <w:szCs w:val="24"/>
        </w:rPr>
        <w:t xml:space="preserve"> </w:t>
      </w:r>
      <w:r w:rsidR="080E3BD1" w:rsidRPr="003D1E07">
        <w:rPr>
          <w:szCs w:val="24"/>
        </w:rPr>
        <w:t xml:space="preserve">podle Aristotela je neslučitelný s moderní formou </w:t>
      </w:r>
      <w:r w:rsidR="089108A9" w:rsidRPr="003D1E07">
        <w:t xml:space="preserve">metafyzického </w:t>
      </w:r>
      <w:r w:rsidR="080E3BD1" w:rsidRPr="003D1E07">
        <w:rPr>
          <w:szCs w:val="24"/>
        </w:rPr>
        <w:t xml:space="preserve">dativu založenou čistě subjektivně. </w:t>
      </w:r>
      <w:r w:rsidR="00947D17" w:rsidRPr="003D1E07">
        <w:rPr>
          <w:rStyle w:val="FontStyle129"/>
          <w:rFonts w:ascii="Calibri" w:hAnsi="Calibri"/>
          <w:sz w:val="24"/>
        </w:rPr>
        <w:t xml:space="preserve">Tato základní forma vyloučeného třetího </w:t>
      </w:r>
      <w:r w:rsidR="00140C25" w:rsidRPr="003D1E07">
        <w:rPr>
          <w:rStyle w:val="FontStyle129"/>
          <w:rFonts w:ascii="Calibri" w:hAnsi="Calibri"/>
          <w:sz w:val="24"/>
        </w:rPr>
        <w:t xml:space="preserve">ustavuje </w:t>
      </w:r>
      <w:r w:rsidR="00BD7362" w:rsidRPr="003D1E07">
        <w:rPr>
          <w:rStyle w:val="FontStyle129"/>
          <w:rFonts w:ascii="Calibri" w:hAnsi="Calibri"/>
          <w:sz w:val="24"/>
        </w:rPr>
        <w:t xml:space="preserve">jak </w:t>
      </w:r>
      <w:r w:rsidR="00140C25" w:rsidRPr="003D1E07">
        <w:rPr>
          <w:rStyle w:val="FontStyle129"/>
          <w:rFonts w:ascii="Calibri" w:hAnsi="Calibri"/>
          <w:sz w:val="24"/>
        </w:rPr>
        <w:t>prostor zjevování západní metafyziky</w:t>
      </w:r>
      <w:r w:rsidR="00A16F56" w:rsidRPr="003D1E07">
        <w:rPr>
          <w:rStyle w:val="FontStyle129"/>
          <w:rFonts w:ascii="Calibri" w:hAnsi="Calibri"/>
          <w:sz w:val="24"/>
        </w:rPr>
        <w:t xml:space="preserve"> </w:t>
      </w:r>
      <w:r w:rsidR="00A16F56" w:rsidRPr="003D1E07">
        <w:t>(</w:t>
      </w:r>
      <w:r w:rsidR="00A16F56" w:rsidRPr="003D1E07">
        <w:rPr>
          <w:i/>
        </w:rPr>
        <w:t>Lichtung</w:t>
      </w:r>
      <w:r w:rsidR="00A16F56" w:rsidRPr="003D1E07">
        <w:fldChar w:fldCharType="begin"/>
      </w:r>
      <w:r w:rsidR="00A16F56" w:rsidRPr="003D1E07">
        <w:instrText xml:space="preserve"> XE "</w:instrText>
      </w:r>
      <w:r w:rsidR="00A16F56" w:rsidRPr="003D1E07">
        <w:rPr>
          <w:i/>
        </w:rPr>
        <w:instrText>Lichtung</w:instrText>
      </w:r>
      <w:r w:rsidR="00A16F56" w:rsidRPr="003D1E07">
        <w:instrText xml:space="preserve">" </w:instrText>
      </w:r>
      <w:r w:rsidR="00A16F56" w:rsidRPr="003D1E07">
        <w:fldChar w:fldCharType="end"/>
      </w:r>
      <w:r w:rsidR="00A16F56" w:rsidRPr="003D1E07">
        <w:t>)</w:t>
      </w:r>
      <w:r w:rsidR="00AE5AD7" w:rsidRPr="003D1E07">
        <w:rPr>
          <w:rStyle w:val="FontStyle129"/>
          <w:rFonts w:ascii="Calibri" w:hAnsi="Calibri"/>
          <w:sz w:val="24"/>
        </w:rPr>
        <w:t>.</w:t>
      </w:r>
      <w:r w:rsidR="006323FB" w:rsidRPr="003D1E07">
        <w:rPr>
          <w:rStyle w:val="FontStyle129"/>
          <w:rFonts w:ascii="Calibri" w:hAnsi="Calibri"/>
          <w:sz w:val="24"/>
        </w:rPr>
        <w:t xml:space="preserve"> </w:t>
      </w:r>
      <w:r w:rsidR="00AE5AD7" w:rsidRPr="003D1E07">
        <w:rPr>
          <w:rStyle w:val="FontStyle129"/>
          <w:rFonts w:ascii="Calibri" w:hAnsi="Calibri"/>
          <w:sz w:val="24"/>
        </w:rPr>
        <w:t>Buď metafyzika postupuje v duchu autentického aristotelismu a s ním spojených forem vědy. Nebo se ubírá směrem epochálního bloudění (</w:t>
      </w:r>
      <w:r w:rsidR="00AE5AD7" w:rsidRPr="003D1E07">
        <w:rPr>
          <w:rStyle w:val="FontStyle129"/>
          <w:rFonts w:ascii="Calibri" w:hAnsi="Calibri"/>
          <w:i/>
          <w:sz w:val="24"/>
        </w:rPr>
        <w:t>Irre</w:t>
      </w:r>
      <w:r w:rsidR="006323FB" w:rsidRPr="003D1E07">
        <w:rPr>
          <w:rStyle w:val="FontStyle129"/>
          <w:rFonts w:ascii="Calibri" w:hAnsi="Calibri"/>
          <w:i/>
          <w:sz w:val="24"/>
        </w:rPr>
        <w:fldChar w:fldCharType="begin"/>
      </w:r>
      <w:r w:rsidR="006323FB" w:rsidRPr="003D1E07">
        <w:instrText xml:space="preserve"> XE "</w:instrText>
      </w:r>
      <w:r w:rsidR="006323FB" w:rsidRPr="003D1E07">
        <w:rPr>
          <w:rStyle w:val="FontStyle129"/>
          <w:rFonts w:ascii="Calibri" w:hAnsi="Calibri"/>
          <w:i/>
          <w:sz w:val="24"/>
        </w:rPr>
        <w:instrText>Irre</w:instrText>
      </w:r>
      <w:r w:rsidR="006323FB" w:rsidRPr="003D1E07">
        <w:instrText xml:space="preserve">" </w:instrText>
      </w:r>
      <w:r w:rsidR="006323FB" w:rsidRPr="003D1E07">
        <w:rPr>
          <w:rStyle w:val="FontStyle129"/>
          <w:rFonts w:ascii="Calibri" w:hAnsi="Calibri"/>
          <w:i/>
          <w:sz w:val="24"/>
        </w:rPr>
        <w:fldChar w:fldCharType="end"/>
      </w:r>
      <w:r w:rsidR="00AE5AD7" w:rsidRPr="003D1E07">
        <w:rPr>
          <w:rStyle w:val="FontStyle129"/>
          <w:rFonts w:ascii="Calibri" w:hAnsi="Calibri"/>
          <w:sz w:val="24"/>
        </w:rPr>
        <w:t xml:space="preserve">), který vytváří různé formy metafyzického </w:t>
      </w:r>
      <w:r w:rsidR="00AE5AD7" w:rsidRPr="003D1E07">
        <w:rPr>
          <w:rStyle w:val="FontStyle129"/>
          <w:rFonts w:ascii="Calibri" w:hAnsi="Calibri"/>
          <w:sz w:val="24"/>
        </w:rPr>
        <w:lastRenderedPageBreak/>
        <w:t>omylu (</w:t>
      </w:r>
      <w:r w:rsidR="00AE5AD7" w:rsidRPr="003D1E07">
        <w:rPr>
          <w:rStyle w:val="FontStyle129"/>
          <w:rFonts w:ascii="Calibri" w:hAnsi="Calibri"/>
          <w:i/>
          <w:sz w:val="24"/>
        </w:rPr>
        <w:t>Irrtum</w:t>
      </w:r>
      <w:r w:rsidR="006323FB" w:rsidRPr="003D1E07">
        <w:rPr>
          <w:rStyle w:val="FontStyle129"/>
          <w:rFonts w:ascii="Calibri" w:hAnsi="Calibri"/>
          <w:i/>
          <w:sz w:val="24"/>
        </w:rPr>
        <w:fldChar w:fldCharType="begin"/>
      </w:r>
      <w:r w:rsidR="006323FB" w:rsidRPr="003D1E07">
        <w:instrText xml:space="preserve"> XE "</w:instrText>
      </w:r>
      <w:r w:rsidR="006323FB" w:rsidRPr="003D1E07">
        <w:rPr>
          <w:rStyle w:val="FontStyle129"/>
          <w:rFonts w:ascii="Calibri" w:hAnsi="Calibri"/>
          <w:i/>
          <w:sz w:val="24"/>
        </w:rPr>
        <w:instrText>Irrtum</w:instrText>
      </w:r>
      <w:r w:rsidR="006323FB" w:rsidRPr="003D1E07">
        <w:instrText xml:space="preserve">" </w:instrText>
      </w:r>
      <w:r w:rsidR="006323FB" w:rsidRPr="003D1E07">
        <w:rPr>
          <w:rStyle w:val="FontStyle129"/>
          <w:rFonts w:ascii="Calibri" w:hAnsi="Calibri"/>
          <w:i/>
          <w:sz w:val="24"/>
        </w:rPr>
        <w:fldChar w:fldCharType="end"/>
      </w:r>
      <w:r w:rsidR="00AE5AD7" w:rsidRPr="003D1E07">
        <w:rPr>
          <w:rStyle w:val="FontStyle129"/>
          <w:rFonts w:ascii="Calibri" w:hAnsi="Calibri"/>
          <w:sz w:val="24"/>
        </w:rPr>
        <w:t xml:space="preserve">). </w:t>
      </w:r>
      <w:r w:rsidR="001B541C" w:rsidRPr="003D1E07">
        <w:rPr>
          <w:rStyle w:val="FontStyle129"/>
          <w:rFonts w:ascii="Calibri" w:hAnsi="Calibri"/>
          <w:sz w:val="24"/>
        </w:rPr>
        <w:t>Původní dění dějinnosti po</w:t>
      </w:r>
      <w:r w:rsidR="001B541C" w:rsidRPr="003D1E07">
        <w:rPr>
          <w:rStyle w:val="FontStyle129"/>
          <w:rFonts w:ascii="Calibri" w:hAnsi="Calibri"/>
          <w:sz w:val="24"/>
        </w:rPr>
        <w:noBreakHyphen/>
        <w:t xml:space="preserve">odhaleně manifestuje trojí typ určení jsoucna v epoše moderní </w:t>
      </w:r>
      <w:r w:rsidR="000A18A3" w:rsidRPr="003D1E07">
        <w:rPr>
          <w:rStyle w:val="FontStyle129"/>
          <w:rFonts w:ascii="Calibri" w:hAnsi="Calibri"/>
          <w:sz w:val="24"/>
        </w:rPr>
        <w:t xml:space="preserve">zapomenutosti </w:t>
      </w:r>
      <w:r w:rsidR="00021CF8" w:rsidRPr="003D1E07">
        <w:rPr>
          <w:rStyle w:val="FontStyle129"/>
          <w:rFonts w:ascii="Calibri" w:hAnsi="Calibri"/>
          <w:sz w:val="24"/>
        </w:rPr>
        <w:t xml:space="preserve">reálného </w:t>
      </w:r>
      <w:r w:rsidR="000A18A3" w:rsidRPr="003D1E07">
        <w:rPr>
          <w:rStyle w:val="FontStyle129"/>
          <w:rFonts w:ascii="Calibri" w:hAnsi="Calibri"/>
          <w:sz w:val="24"/>
        </w:rPr>
        <w:t>jsoucna nasto</w:t>
      </w:r>
      <w:r w:rsidR="001B541C" w:rsidRPr="003D1E07">
        <w:rPr>
          <w:rStyle w:val="FontStyle129"/>
          <w:rFonts w:ascii="Calibri" w:hAnsi="Calibri"/>
          <w:sz w:val="24"/>
        </w:rPr>
        <w:t>lené Avicennou</w:t>
      </w:r>
      <w:r w:rsidR="00F2613B" w:rsidRPr="003D1E07">
        <w:rPr>
          <w:rStyle w:val="FontStyle129"/>
          <w:rFonts w:ascii="Calibri" w:hAnsi="Calibri"/>
          <w:sz w:val="24"/>
        </w:rPr>
        <w:t xml:space="preserve"> (</w:t>
      </w:r>
      <w:r w:rsidR="00F2613B" w:rsidRPr="003D1E07">
        <w:rPr>
          <w:rStyle w:val="FontStyle129"/>
          <w:rFonts w:ascii="Calibri" w:hAnsi="Calibri"/>
          <w:i/>
          <w:sz w:val="24"/>
        </w:rPr>
        <w:t>Ereignis</w:t>
      </w:r>
      <w:r w:rsidR="00F2613B" w:rsidRPr="003D1E07">
        <w:rPr>
          <w:rStyle w:val="FontStyle129"/>
          <w:rFonts w:ascii="Calibri" w:hAnsi="Calibri"/>
          <w:sz w:val="24"/>
        </w:rPr>
        <w:t>)</w:t>
      </w:r>
      <w:r w:rsidR="001B541C" w:rsidRPr="003D1E07">
        <w:rPr>
          <w:rStyle w:val="FontStyle129"/>
          <w:rFonts w:ascii="Calibri" w:hAnsi="Calibri"/>
          <w:sz w:val="24"/>
        </w:rPr>
        <w:t xml:space="preserve">. </w:t>
      </w:r>
      <w:r w:rsidR="00947D17" w:rsidRPr="003D1E07">
        <w:rPr>
          <w:rStyle w:val="FontStyle129"/>
          <w:rFonts w:ascii="Calibri" w:hAnsi="Calibri"/>
          <w:sz w:val="24"/>
        </w:rPr>
        <w:t xml:space="preserve">Metafyzický smysl jsoucího je v duši </w:t>
      </w:r>
      <w:r w:rsidR="00D6382C" w:rsidRPr="003D1E07">
        <w:rPr>
          <w:rStyle w:val="FontStyle129"/>
          <w:rFonts w:ascii="Calibri" w:hAnsi="Calibri"/>
          <w:sz w:val="24"/>
        </w:rPr>
        <w:t xml:space="preserve">ilumináta </w:t>
      </w:r>
      <w:r w:rsidR="00947D17" w:rsidRPr="003D1E07">
        <w:rPr>
          <w:rStyle w:val="FontStyle129"/>
          <w:rFonts w:ascii="Calibri" w:hAnsi="Calibri"/>
          <w:sz w:val="24"/>
        </w:rPr>
        <w:t>zjeven třemi způsoby</w:t>
      </w:r>
      <w:r w:rsidR="00D6382C" w:rsidRPr="003D1E07">
        <w:rPr>
          <w:rStyle w:val="FontStyle129"/>
          <w:rFonts w:ascii="Calibri" w:hAnsi="Calibri"/>
          <w:sz w:val="24"/>
        </w:rPr>
        <w:t xml:space="preserve">, které </w:t>
      </w:r>
      <w:r w:rsidR="00006917" w:rsidRPr="003D1E07">
        <w:rPr>
          <w:rStyle w:val="FontStyle129"/>
          <w:rFonts w:ascii="Calibri" w:hAnsi="Calibri"/>
          <w:sz w:val="24"/>
        </w:rPr>
        <w:t>společně zakládají moderní pojetí pravdy</w:t>
      </w:r>
      <w:r w:rsidR="00BD73D1" w:rsidRPr="003D1E07">
        <w:rPr>
          <w:rStyle w:val="FontStyle129"/>
          <w:rFonts w:ascii="Calibri" w:hAnsi="Calibri"/>
          <w:sz w:val="24"/>
        </w:rPr>
        <w:t xml:space="preserve"> a světonáhledu</w:t>
      </w:r>
      <w:r w:rsidR="00947D17" w:rsidRPr="003D1E07">
        <w:rPr>
          <w:rStyle w:val="FontStyle129"/>
          <w:rFonts w:ascii="Calibri" w:hAnsi="Calibri"/>
          <w:sz w:val="24"/>
        </w:rPr>
        <w:t>.</w:t>
      </w:r>
    </w:p>
    <w:p w14:paraId="3B108317" w14:textId="1BD32D08" w:rsidR="00140C25" w:rsidRPr="003D1E07" w:rsidRDefault="00A93CE1" w:rsidP="00202920">
      <w:pPr>
        <w:numPr>
          <w:ilvl w:val="0"/>
          <w:numId w:val="4"/>
        </w:numPr>
        <w:rPr>
          <w:rStyle w:val="FontStyle129"/>
          <w:rFonts w:ascii="Calibri" w:hAnsi="Calibri"/>
          <w:sz w:val="24"/>
        </w:rPr>
      </w:pPr>
      <w:r w:rsidRPr="003D1E07">
        <w:rPr>
          <w:rStyle w:val="FontStyle129"/>
          <w:rFonts w:ascii="Calibri" w:hAnsi="Calibri"/>
          <w:sz w:val="24"/>
        </w:rPr>
        <w:t xml:space="preserve">Aristotelský </w:t>
      </w:r>
      <w:r w:rsidR="00BF29B5" w:rsidRPr="003D1E07">
        <w:rPr>
          <w:rStyle w:val="FontStyle129"/>
          <w:rFonts w:ascii="Calibri" w:hAnsi="Calibri"/>
          <w:sz w:val="24"/>
        </w:rPr>
        <w:t>smysl jsoucího j</w:t>
      </w:r>
      <w:r w:rsidR="00140C25" w:rsidRPr="003D1E07">
        <w:rPr>
          <w:rStyle w:val="FontStyle129"/>
          <w:rFonts w:ascii="Calibri" w:hAnsi="Calibri"/>
          <w:sz w:val="24"/>
        </w:rPr>
        <w:t>e</w:t>
      </w:r>
      <w:r w:rsidR="00140C25" w:rsidRPr="003D1E07">
        <w:rPr>
          <w:rStyle w:val="FontStyle129"/>
          <w:rFonts w:ascii="Calibri" w:hAnsi="Calibri"/>
          <w:i/>
          <w:sz w:val="24"/>
        </w:rPr>
        <w:t xml:space="preserve"> </w:t>
      </w:r>
      <w:r w:rsidR="08876C0F" w:rsidRPr="003D1E07">
        <w:rPr>
          <w:rStyle w:val="FontStyle129"/>
          <w:rFonts w:ascii="Calibri" w:hAnsi="Calibri"/>
          <w:sz w:val="24"/>
        </w:rPr>
        <w:t xml:space="preserve">kauzálně </w:t>
      </w:r>
      <w:r w:rsidR="00406ED9" w:rsidRPr="003D1E07">
        <w:rPr>
          <w:rStyle w:val="FontStyle129"/>
          <w:rFonts w:ascii="Calibri" w:hAnsi="Calibri"/>
          <w:sz w:val="24"/>
        </w:rPr>
        <w:t xml:space="preserve">abstrahován </w:t>
      </w:r>
      <w:r w:rsidR="00D70581" w:rsidRPr="003D1E07">
        <w:rPr>
          <w:rStyle w:val="FontStyle129"/>
          <w:rFonts w:ascii="Calibri" w:hAnsi="Calibri"/>
          <w:sz w:val="24"/>
        </w:rPr>
        <w:t xml:space="preserve">od </w:t>
      </w:r>
      <w:r w:rsidR="003C2103" w:rsidRPr="003D1E07">
        <w:rPr>
          <w:rStyle w:val="FontStyle129"/>
          <w:rFonts w:ascii="Calibri" w:hAnsi="Calibri"/>
          <w:sz w:val="24"/>
        </w:rPr>
        <w:t xml:space="preserve">existující </w:t>
      </w:r>
      <w:r w:rsidR="00DB6B18" w:rsidRPr="003D1E07">
        <w:rPr>
          <w:rStyle w:val="FontStyle129"/>
          <w:rFonts w:ascii="Calibri" w:hAnsi="Calibri"/>
          <w:sz w:val="24"/>
        </w:rPr>
        <w:t>věci</w:t>
      </w:r>
      <w:r w:rsidR="00CF639E" w:rsidRPr="003D1E07">
        <w:rPr>
          <w:rStyle w:val="FontStyle129"/>
          <w:rFonts w:ascii="Calibri" w:hAnsi="Calibri"/>
          <w:sz w:val="24"/>
        </w:rPr>
        <w:t xml:space="preserve"> </w:t>
      </w:r>
      <w:r w:rsidR="00AE0D89" w:rsidRPr="003D1E07">
        <w:rPr>
          <w:rStyle w:val="FontStyle129"/>
          <w:rFonts w:ascii="Calibri" w:hAnsi="Calibri"/>
          <w:sz w:val="24"/>
        </w:rPr>
        <w:t xml:space="preserve">tím, že </w:t>
      </w:r>
      <w:r w:rsidR="00313D75" w:rsidRPr="003D1E07">
        <w:rPr>
          <w:rStyle w:val="FontStyle129"/>
          <w:rFonts w:ascii="Calibri" w:hAnsi="Calibri"/>
          <w:sz w:val="24"/>
        </w:rPr>
        <w:t>smysl</w:t>
      </w:r>
      <w:r w:rsidR="00140C25" w:rsidRPr="003D1E07">
        <w:rPr>
          <w:rStyle w:val="FontStyle129"/>
          <w:rFonts w:ascii="Calibri" w:hAnsi="Calibri"/>
          <w:sz w:val="24"/>
        </w:rPr>
        <w:t>y</w:t>
      </w:r>
      <w:r w:rsidR="00313D75" w:rsidRPr="003D1E07">
        <w:rPr>
          <w:rStyle w:val="FontStyle129"/>
          <w:rFonts w:ascii="Calibri" w:hAnsi="Calibri"/>
          <w:sz w:val="24"/>
        </w:rPr>
        <w:t xml:space="preserve"> zakoušená věc </w:t>
      </w:r>
      <w:r w:rsidR="00AE0D89" w:rsidRPr="003D1E07">
        <w:rPr>
          <w:rStyle w:val="FontStyle129"/>
          <w:rFonts w:ascii="Calibri" w:hAnsi="Calibri"/>
          <w:sz w:val="24"/>
        </w:rPr>
        <w:t xml:space="preserve">aktualizuje možnost poznání </w:t>
      </w:r>
      <w:r w:rsidR="00313D75" w:rsidRPr="003D1E07">
        <w:rPr>
          <w:rStyle w:val="FontStyle129"/>
          <w:rFonts w:ascii="Calibri" w:hAnsi="Calibri"/>
          <w:sz w:val="24"/>
        </w:rPr>
        <w:t>v</w:t>
      </w:r>
      <w:r w:rsidR="00406ED9" w:rsidRPr="003D1E07">
        <w:rPr>
          <w:rStyle w:val="FontStyle129"/>
          <w:rFonts w:ascii="Calibri" w:hAnsi="Calibri"/>
          <w:sz w:val="24"/>
        </w:rPr>
        <w:t> nejprve v p</w:t>
      </w:r>
      <w:r w:rsidR="00313D75" w:rsidRPr="003D1E07">
        <w:rPr>
          <w:rStyle w:val="FontStyle129"/>
          <w:rFonts w:ascii="Calibri" w:hAnsi="Calibri"/>
          <w:sz w:val="24"/>
        </w:rPr>
        <w:t xml:space="preserve">asivním intelektu </w:t>
      </w:r>
      <w:r w:rsidR="00CF639E" w:rsidRPr="003D1E07">
        <w:rPr>
          <w:rStyle w:val="FontStyle129"/>
          <w:rFonts w:ascii="Calibri" w:hAnsi="Calibri"/>
          <w:sz w:val="24"/>
        </w:rPr>
        <w:t>(</w:t>
      </w:r>
      <w:r w:rsidR="00BA5923" w:rsidRPr="003D1E07">
        <w:rPr>
          <w:rStyle w:val="FontStyle129"/>
          <w:rFonts w:ascii="Calibri" w:hAnsi="Calibri"/>
          <w:i/>
          <w:sz w:val="24"/>
        </w:rPr>
        <w:t>intellectus</w:t>
      </w:r>
      <w:r w:rsidR="00CF639E" w:rsidRPr="003D1E07">
        <w:rPr>
          <w:rStyle w:val="FontStyle129"/>
          <w:rFonts w:ascii="Calibri" w:hAnsi="Calibri"/>
          <w:i/>
          <w:sz w:val="24"/>
        </w:rPr>
        <w:t xml:space="preserve"> possibilis</w:t>
      </w:r>
      <w:r w:rsidR="00CF639E" w:rsidRPr="003D1E07">
        <w:rPr>
          <w:rStyle w:val="FontStyle129"/>
          <w:rFonts w:ascii="Calibri" w:hAnsi="Calibri"/>
          <w:sz w:val="24"/>
        </w:rPr>
        <w:t>)</w:t>
      </w:r>
      <w:r w:rsidR="08AF4285" w:rsidRPr="003D1E07">
        <w:rPr>
          <w:rStyle w:val="FontStyle129"/>
          <w:rFonts w:ascii="Calibri" w:hAnsi="Calibri"/>
          <w:sz w:val="24"/>
        </w:rPr>
        <w:t>.</w:t>
      </w:r>
      <w:r w:rsidR="002A70FB" w:rsidRPr="003D1E07">
        <w:rPr>
          <w:rStyle w:val="FontStyle129"/>
          <w:rFonts w:ascii="Calibri" w:hAnsi="Calibri"/>
          <w:sz w:val="24"/>
        </w:rPr>
        <w:t xml:space="preserve"> </w:t>
      </w:r>
      <w:r w:rsidR="08831D13" w:rsidRPr="003D1E07">
        <w:rPr>
          <w:rStyle w:val="FontStyle129"/>
          <w:rFonts w:ascii="Calibri" w:hAnsi="Calibri"/>
          <w:sz w:val="24"/>
        </w:rPr>
        <w:t xml:space="preserve">Smyslové poznání </w:t>
      </w:r>
      <w:r w:rsidR="002A70FB" w:rsidRPr="003D1E07">
        <w:rPr>
          <w:rStyle w:val="FontStyle129"/>
          <w:rFonts w:ascii="Calibri" w:hAnsi="Calibri"/>
          <w:sz w:val="24"/>
        </w:rPr>
        <w:t xml:space="preserve">reálné věci zakládá </w:t>
      </w:r>
      <w:r w:rsidR="002D70E8" w:rsidRPr="003D1E07">
        <w:rPr>
          <w:rStyle w:val="FontStyle129"/>
          <w:rFonts w:ascii="Calibri" w:hAnsi="Calibri"/>
          <w:sz w:val="24"/>
        </w:rPr>
        <w:t xml:space="preserve">nižší </w:t>
      </w:r>
      <w:r w:rsidR="00E301FC" w:rsidRPr="003D1E07">
        <w:rPr>
          <w:rStyle w:val="FontStyle129"/>
          <w:rFonts w:ascii="Calibri" w:hAnsi="Calibri"/>
          <w:sz w:val="24"/>
        </w:rPr>
        <w:t xml:space="preserve">formu </w:t>
      </w:r>
      <w:r w:rsidR="002A70FB" w:rsidRPr="003D1E07">
        <w:rPr>
          <w:rStyle w:val="FontStyle129"/>
          <w:rFonts w:ascii="Calibri" w:hAnsi="Calibri"/>
          <w:sz w:val="24"/>
        </w:rPr>
        <w:t>vědění</w:t>
      </w:r>
      <w:r w:rsidR="002D70E8" w:rsidRPr="003D1E07">
        <w:rPr>
          <w:rStyle w:val="FontStyle129"/>
          <w:rFonts w:ascii="Calibri" w:hAnsi="Calibri"/>
          <w:sz w:val="24"/>
        </w:rPr>
        <w:t xml:space="preserve"> moderního ilumináta</w:t>
      </w:r>
      <w:r w:rsidR="00C03ABE" w:rsidRPr="003D1E07">
        <w:rPr>
          <w:rStyle w:val="FontStyle129"/>
          <w:rFonts w:ascii="Calibri" w:hAnsi="Calibri"/>
          <w:sz w:val="24"/>
        </w:rPr>
        <w:t xml:space="preserve">. </w:t>
      </w:r>
      <w:r w:rsidR="002D3C7B">
        <w:rPr>
          <w:rStyle w:val="FontStyle129"/>
          <w:rFonts w:ascii="Calibri" w:hAnsi="Calibri"/>
          <w:sz w:val="24"/>
        </w:rPr>
        <w:t xml:space="preserve">Díky </w:t>
      </w:r>
      <w:r w:rsidR="006668DB" w:rsidRPr="003D1E07">
        <w:rPr>
          <w:rStyle w:val="FontStyle129"/>
          <w:rFonts w:ascii="Calibri" w:hAnsi="Calibri"/>
          <w:sz w:val="24"/>
        </w:rPr>
        <w:t xml:space="preserve">aristotelské </w:t>
      </w:r>
      <w:r w:rsidR="00032B10" w:rsidRPr="003D1E07">
        <w:rPr>
          <w:rStyle w:val="FontStyle129"/>
          <w:rFonts w:ascii="Calibri" w:hAnsi="Calibri"/>
          <w:sz w:val="24"/>
        </w:rPr>
        <w:t>abstrakci</w:t>
      </w:r>
      <w:r w:rsidR="00801173" w:rsidRPr="003D1E07">
        <w:rPr>
          <w:rStyle w:val="FontStyle129"/>
          <w:rFonts w:ascii="Calibri" w:hAnsi="Calibri"/>
          <w:sz w:val="24"/>
        </w:rPr>
        <w:t xml:space="preserve"> má </w:t>
      </w:r>
      <w:r w:rsidR="00E301FC" w:rsidRPr="003D1E07">
        <w:rPr>
          <w:rStyle w:val="FontStyle129"/>
          <w:rFonts w:ascii="Calibri" w:hAnsi="Calibri"/>
          <w:sz w:val="24"/>
        </w:rPr>
        <w:t xml:space="preserve">tato pravda </w:t>
      </w:r>
      <w:r w:rsidR="00801173" w:rsidRPr="003D1E07">
        <w:rPr>
          <w:rStyle w:val="FontStyle129"/>
          <w:rFonts w:ascii="Calibri" w:hAnsi="Calibri"/>
          <w:sz w:val="24"/>
        </w:rPr>
        <w:t>p</w:t>
      </w:r>
      <w:r w:rsidR="00E301FC" w:rsidRPr="003D1E07">
        <w:rPr>
          <w:rStyle w:val="FontStyle129"/>
          <w:rFonts w:ascii="Calibri" w:hAnsi="Calibri"/>
          <w:sz w:val="24"/>
        </w:rPr>
        <w:t>ouze kontingentní charakter</w:t>
      </w:r>
      <w:r w:rsidR="002D3C7B">
        <w:rPr>
          <w:rStyle w:val="FontStyle129"/>
          <w:rFonts w:ascii="Calibri" w:hAnsi="Calibri"/>
          <w:sz w:val="24"/>
        </w:rPr>
        <w:t xml:space="preserve"> adekvace dané v mysli, ale ta je určená kauzalitou reálné věci zprostředkované skrze smysly</w:t>
      </w:r>
      <w:r w:rsidR="002A70FB" w:rsidRPr="003D1E07">
        <w:rPr>
          <w:rStyle w:val="FontStyle129"/>
          <w:rFonts w:ascii="Calibri" w:hAnsi="Calibri"/>
          <w:sz w:val="24"/>
        </w:rPr>
        <w:t>.</w:t>
      </w:r>
    </w:p>
    <w:p w14:paraId="0381D2B7" w14:textId="77777777" w:rsidR="004957C8" w:rsidRPr="003D1E07" w:rsidRDefault="00A93CE1" w:rsidP="00202920">
      <w:pPr>
        <w:numPr>
          <w:ilvl w:val="0"/>
          <w:numId w:val="4"/>
        </w:numPr>
        <w:rPr>
          <w:rStyle w:val="FontStyle129"/>
          <w:rFonts w:ascii="Calibri" w:hAnsi="Calibri"/>
          <w:sz w:val="24"/>
        </w:rPr>
      </w:pPr>
      <w:r w:rsidRPr="003D1E07">
        <w:rPr>
          <w:rStyle w:val="FontStyle129"/>
          <w:rFonts w:ascii="Calibri" w:hAnsi="Calibri"/>
          <w:sz w:val="24"/>
        </w:rPr>
        <w:t xml:space="preserve">Jamblichův smysl </w:t>
      </w:r>
      <w:r w:rsidR="004E4B6D" w:rsidRPr="003D1E07">
        <w:rPr>
          <w:rStyle w:val="FontStyle129"/>
          <w:rFonts w:ascii="Calibri" w:hAnsi="Calibri"/>
          <w:sz w:val="24"/>
        </w:rPr>
        <w:t xml:space="preserve">jsoucna </w:t>
      </w:r>
      <w:r w:rsidRPr="003D1E07">
        <w:rPr>
          <w:rStyle w:val="FontStyle129"/>
          <w:rFonts w:ascii="Calibri" w:hAnsi="Calibri"/>
          <w:sz w:val="24"/>
        </w:rPr>
        <w:t xml:space="preserve">je </w:t>
      </w:r>
      <w:r w:rsidR="005B702F" w:rsidRPr="003D1E07">
        <w:rPr>
          <w:rStyle w:val="FontStyle129"/>
          <w:rFonts w:ascii="Calibri" w:hAnsi="Calibri"/>
          <w:sz w:val="24"/>
        </w:rPr>
        <w:t>gnosticko-</w:t>
      </w:r>
      <w:r w:rsidR="00955F49" w:rsidRPr="003D1E07">
        <w:rPr>
          <w:rStyle w:val="FontStyle129"/>
          <w:rFonts w:ascii="Calibri" w:hAnsi="Calibri"/>
          <w:sz w:val="24"/>
        </w:rPr>
        <w:t xml:space="preserve">mysticky </w:t>
      </w:r>
      <w:r w:rsidR="000E5787" w:rsidRPr="003D1E07">
        <w:rPr>
          <w:rStyle w:val="FontStyle129"/>
          <w:rFonts w:ascii="Calibri" w:hAnsi="Calibri"/>
          <w:sz w:val="24"/>
        </w:rPr>
        <w:t xml:space="preserve">nazírán </w:t>
      </w:r>
      <w:r w:rsidR="005B702F" w:rsidRPr="003D1E07">
        <w:rPr>
          <w:rStyle w:val="FontStyle129"/>
          <w:rFonts w:ascii="Calibri" w:hAnsi="Calibri"/>
          <w:sz w:val="24"/>
        </w:rPr>
        <w:t xml:space="preserve">v prorocké představivosti aktualizované </w:t>
      </w:r>
      <w:r w:rsidR="00091334" w:rsidRPr="003D1E07">
        <w:rPr>
          <w:rStyle w:val="FontStyle129"/>
          <w:rFonts w:ascii="Calibri" w:hAnsi="Calibri"/>
          <w:sz w:val="24"/>
        </w:rPr>
        <w:t xml:space="preserve">spojením </w:t>
      </w:r>
      <w:r w:rsidR="00F40809" w:rsidRPr="003D1E07">
        <w:rPr>
          <w:rStyle w:val="FontStyle129"/>
          <w:rFonts w:ascii="Calibri" w:hAnsi="Calibri"/>
          <w:sz w:val="24"/>
        </w:rPr>
        <w:t>daným přímo a bezprostředně (</w:t>
      </w:r>
      <w:r w:rsidR="00F40809" w:rsidRPr="003D1E07">
        <w:rPr>
          <w:rStyle w:val="FontStyle129"/>
          <w:rFonts w:ascii="Calibri" w:hAnsi="Calibri"/>
          <w:i/>
          <w:sz w:val="24"/>
        </w:rPr>
        <w:t>ittisāl</w:t>
      </w:r>
      <w:r w:rsidR="00F40809" w:rsidRPr="003D1E07">
        <w:rPr>
          <w:rStyle w:val="FontStyle129"/>
          <w:rFonts w:ascii="Calibri" w:hAnsi="Calibri"/>
          <w:sz w:val="24"/>
        </w:rPr>
        <w:t xml:space="preserve">, </w:t>
      </w:r>
      <w:r w:rsidR="00F40809" w:rsidRPr="003D1E07">
        <w:rPr>
          <w:rStyle w:val="FontStyle129"/>
          <w:rFonts w:ascii="Calibri" w:hAnsi="Calibri"/>
          <w:i/>
          <w:sz w:val="24"/>
        </w:rPr>
        <w:t>conjuctio</w:t>
      </w:r>
      <w:r w:rsidR="00873D30" w:rsidRPr="003D1E07">
        <w:rPr>
          <w:rStyle w:val="addmd"/>
          <w:i/>
        </w:rPr>
        <w:fldChar w:fldCharType="begin"/>
      </w:r>
      <w:r w:rsidR="00873D30" w:rsidRPr="003D1E07">
        <w:instrText xml:space="preserve"> XE "zjevování:iluminace" </w:instrText>
      </w:r>
      <w:r w:rsidR="00873D30" w:rsidRPr="003D1E07">
        <w:rPr>
          <w:rStyle w:val="addmd"/>
          <w:i/>
        </w:rPr>
        <w:fldChar w:fldCharType="end"/>
      </w:r>
      <w:r w:rsidR="00F40809" w:rsidRPr="003D1E07">
        <w:rPr>
          <w:rStyle w:val="FontStyle129"/>
          <w:rFonts w:ascii="Calibri" w:hAnsi="Calibri"/>
          <w:sz w:val="24"/>
        </w:rPr>
        <w:t xml:space="preserve">) </w:t>
      </w:r>
      <w:r w:rsidR="005B702F" w:rsidRPr="003D1E07">
        <w:rPr>
          <w:rStyle w:val="FontStyle129"/>
          <w:rFonts w:ascii="Calibri" w:hAnsi="Calibri"/>
          <w:sz w:val="24"/>
        </w:rPr>
        <w:t xml:space="preserve">s činným </w:t>
      </w:r>
      <w:r w:rsidR="00CC325B" w:rsidRPr="003D1E07">
        <w:rPr>
          <w:rStyle w:val="FontStyle129"/>
          <w:rFonts w:ascii="Calibri" w:hAnsi="Calibri"/>
          <w:sz w:val="24"/>
        </w:rPr>
        <w:t xml:space="preserve"> intele</w:t>
      </w:r>
      <w:r w:rsidR="005B702F" w:rsidRPr="003D1E07">
        <w:rPr>
          <w:rStyle w:val="FontStyle129"/>
          <w:rFonts w:ascii="Calibri" w:hAnsi="Calibri"/>
          <w:sz w:val="24"/>
        </w:rPr>
        <w:t>ktem</w:t>
      </w:r>
      <w:r w:rsidR="00CC325B" w:rsidRPr="003D1E07">
        <w:rPr>
          <w:rStyle w:val="FontStyle129"/>
          <w:rFonts w:ascii="Calibri" w:hAnsi="Calibri"/>
          <w:sz w:val="24"/>
        </w:rPr>
        <w:t xml:space="preserve"> (</w:t>
      </w:r>
      <w:r w:rsidR="00CC325B" w:rsidRPr="003D1E07">
        <w:rPr>
          <w:rStyle w:val="FontStyle129"/>
          <w:rFonts w:ascii="Calibri" w:hAnsi="Calibri"/>
          <w:i/>
          <w:sz w:val="24"/>
        </w:rPr>
        <w:t>intellectus agens</w:t>
      </w:r>
      <w:r w:rsidR="00CC325B" w:rsidRPr="003D1E07">
        <w:rPr>
          <w:rStyle w:val="FontStyle129"/>
          <w:rFonts w:ascii="Calibri" w:hAnsi="Calibri"/>
          <w:sz w:val="24"/>
        </w:rPr>
        <w:t>)</w:t>
      </w:r>
      <w:r w:rsidR="000411C8" w:rsidRPr="003D1E07">
        <w:rPr>
          <w:rStyle w:val="FontStyle129"/>
          <w:rFonts w:ascii="Calibri" w:hAnsi="Calibri"/>
          <w:sz w:val="24"/>
        </w:rPr>
        <w:t xml:space="preserve">, a to pomocí individuální mystické schopnosti či daru zvaného </w:t>
      </w:r>
      <w:r w:rsidR="000411C8" w:rsidRPr="003D1E07">
        <w:rPr>
          <w:i/>
        </w:rPr>
        <w:t>intellectus sanctus</w:t>
      </w:r>
      <w:r w:rsidR="00AE6EEC" w:rsidRPr="003D1E07">
        <w:rPr>
          <w:i/>
        </w:rPr>
        <w:fldChar w:fldCharType="begin"/>
      </w:r>
      <w:r w:rsidR="00AE6EEC" w:rsidRPr="003D1E07">
        <w:instrText xml:space="preserve"> XE "</w:instrText>
      </w:r>
      <w:r w:rsidR="00AE6EEC" w:rsidRPr="003D1E07">
        <w:rPr>
          <w:i/>
        </w:rPr>
        <w:instrText>intellectus sanctus</w:instrText>
      </w:r>
      <w:r w:rsidR="00AE6EEC" w:rsidRPr="003D1E07">
        <w:instrText xml:space="preserve">" </w:instrText>
      </w:r>
      <w:r w:rsidR="00AE6EEC" w:rsidRPr="003D1E07">
        <w:rPr>
          <w:i/>
        </w:rPr>
        <w:fldChar w:fldCharType="end"/>
      </w:r>
      <w:r w:rsidR="08AF4285" w:rsidRPr="003D1E07">
        <w:rPr>
          <w:rStyle w:val="FontStyle129"/>
          <w:rFonts w:ascii="Calibri" w:hAnsi="Calibri"/>
          <w:sz w:val="24"/>
        </w:rPr>
        <w:t>.</w:t>
      </w:r>
      <w:r w:rsidR="002A70FB" w:rsidRPr="003D1E07">
        <w:rPr>
          <w:rStyle w:val="FontStyle129"/>
          <w:rFonts w:ascii="Calibri" w:hAnsi="Calibri"/>
          <w:sz w:val="24"/>
        </w:rPr>
        <w:t xml:space="preserve"> </w:t>
      </w:r>
      <w:r w:rsidR="00306287" w:rsidRPr="003D1E07">
        <w:rPr>
          <w:rStyle w:val="FontStyle129"/>
          <w:rFonts w:ascii="Calibri" w:hAnsi="Calibri"/>
          <w:sz w:val="24"/>
        </w:rPr>
        <w:t>Toto v</w:t>
      </w:r>
      <w:r w:rsidR="002A70FB" w:rsidRPr="003D1E07">
        <w:rPr>
          <w:rStyle w:val="FontStyle129"/>
          <w:rFonts w:ascii="Calibri" w:hAnsi="Calibri"/>
          <w:sz w:val="24"/>
        </w:rPr>
        <w:t xml:space="preserve">idění </w:t>
      </w:r>
      <w:r w:rsidR="002D70E8" w:rsidRPr="003D1E07">
        <w:rPr>
          <w:rStyle w:val="FontStyle129"/>
          <w:rFonts w:ascii="Calibri" w:hAnsi="Calibri"/>
          <w:sz w:val="24"/>
        </w:rPr>
        <w:t>zakládá vyšší vědění moderního ilumináta</w:t>
      </w:r>
      <w:r w:rsidR="004D0C52" w:rsidRPr="003D1E07">
        <w:rPr>
          <w:rStyle w:val="FontStyle129"/>
          <w:rFonts w:ascii="Calibri" w:hAnsi="Calibri"/>
          <w:sz w:val="24"/>
        </w:rPr>
        <w:t xml:space="preserve"> nebo dnešního teoretického matematika</w:t>
      </w:r>
      <w:r w:rsidR="00CB7F51" w:rsidRPr="003D1E07">
        <w:rPr>
          <w:rStyle w:val="FontStyle129"/>
          <w:rFonts w:ascii="Calibri" w:hAnsi="Calibri"/>
          <w:sz w:val="24"/>
        </w:rPr>
        <w:t xml:space="preserve">, </w:t>
      </w:r>
      <w:r w:rsidR="00AF7D93" w:rsidRPr="003D1E07">
        <w:rPr>
          <w:rStyle w:val="FontStyle129"/>
          <w:rFonts w:ascii="Calibri" w:hAnsi="Calibri"/>
          <w:sz w:val="24"/>
        </w:rPr>
        <w:t>fyzika</w:t>
      </w:r>
      <w:r w:rsidR="00B44EB0" w:rsidRPr="003D1E07">
        <w:rPr>
          <w:rStyle w:val="FontStyle129"/>
          <w:rFonts w:ascii="Calibri" w:hAnsi="Calibri"/>
          <w:sz w:val="24"/>
        </w:rPr>
        <w:t>,</w:t>
      </w:r>
      <w:r w:rsidR="00CB7F51" w:rsidRPr="003D1E07">
        <w:rPr>
          <w:rStyle w:val="FontStyle129"/>
          <w:rFonts w:ascii="Calibri" w:hAnsi="Calibri"/>
          <w:sz w:val="24"/>
        </w:rPr>
        <w:t xml:space="preserve"> či</w:t>
      </w:r>
      <w:r w:rsidR="00B44EB0" w:rsidRPr="003D1E07">
        <w:rPr>
          <w:rStyle w:val="FontStyle129"/>
          <w:rFonts w:ascii="Calibri" w:hAnsi="Calibri"/>
          <w:sz w:val="24"/>
        </w:rPr>
        <w:t xml:space="preserve"> experta na virtuální realitu všeho druhu. </w:t>
      </w:r>
      <w:r w:rsidR="0076634C" w:rsidRPr="003D1E07">
        <w:rPr>
          <w:rStyle w:val="FontStyle129"/>
          <w:rFonts w:ascii="Calibri" w:hAnsi="Calibri"/>
          <w:sz w:val="24"/>
        </w:rPr>
        <w:t>Mystické nebo virtuální poznání iluminátů nepotřebuje k zajištění pravdivosti žádný odkaz na hylemorfní realitu. Jejich osvícená mysl spekulativně vytváří jistotu pravdy. Mysl iluminátů je zrcadlem (</w:t>
      </w:r>
      <w:r w:rsidR="0076634C" w:rsidRPr="003D1E07">
        <w:rPr>
          <w:rStyle w:val="FontStyle129"/>
          <w:rFonts w:ascii="Calibri" w:hAnsi="Calibri"/>
          <w:i/>
          <w:sz w:val="24"/>
        </w:rPr>
        <w:t>speculum</w:t>
      </w:r>
      <w:r w:rsidR="0076634C" w:rsidRPr="003D1E07">
        <w:rPr>
          <w:rStyle w:val="FontStyle129"/>
          <w:rFonts w:ascii="Calibri" w:hAnsi="Calibri"/>
          <w:sz w:val="24"/>
        </w:rPr>
        <w:t>) virtuální reality.</w:t>
      </w:r>
    </w:p>
    <w:p w14:paraId="267D634A" w14:textId="0E635871" w:rsidR="00140C25" w:rsidRPr="003D1E07" w:rsidRDefault="004F0FA8" w:rsidP="00202920">
      <w:pPr>
        <w:numPr>
          <w:ilvl w:val="0"/>
          <w:numId w:val="4"/>
        </w:numPr>
        <w:rPr>
          <w:rStyle w:val="FontStyle129"/>
          <w:rFonts w:ascii="Calibri" w:hAnsi="Calibri"/>
          <w:sz w:val="24"/>
        </w:rPr>
      </w:pPr>
      <w:r w:rsidRPr="003D1E07">
        <w:rPr>
          <w:rStyle w:val="FontStyle129"/>
          <w:rFonts w:ascii="Calibri" w:hAnsi="Calibri"/>
          <w:sz w:val="24"/>
        </w:rPr>
        <w:t xml:space="preserve">Alfarabius a Avicenna </w:t>
      </w:r>
      <w:r w:rsidR="000B5232" w:rsidRPr="003D1E07">
        <w:rPr>
          <w:rStyle w:val="FontStyle129"/>
          <w:rFonts w:ascii="Calibri" w:hAnsi="Calibri"/>
          <w:sz w:val="24"/>
        </w:rPr>
        <w:t xml:space="preserve">vytvořili </w:t>
      </w:r>
      <w:r w:rsidRPr="003D1E07">
        <w:rPr>
          <w:rStyle w:val="FontStyle129"/>
          <w:rFonts w:ascii="Calibri" w:hAnsi="Calibri"/>
          <w:sz w:val="24"/>
        </w:rPr>
        <w:t>objektivní smysl jsoucna pomocí darovaného intelektu (</w:t>
      </w:r>
      <w:r w:rsidRPr="003D1E07">
        <w:rPr>
          <w:rStyle w:val="FontStyle129"/>
          <w:rFonts w:ascii="Calibri" w:hAnsi="Calibri"/>
          <w:i/>
          <w:sz w:val="24"/>
        </w:rPr>
        <w:t>intellectus adeptus</w:t>
      </w:r>
      <w:r w:rsidRPr="003D1E07">
        <w:rPr>
          <w:rStyle w:val="FontStyle129"/>
          <w:rFonts w:ascii="Calibri" w:hAnsi="Calibri"/>
          <w:sz w:val="24"/>
        </w:rPr>
        <w:t xml:space="preserve">). Objektivní osvícení dostává aktuální podobu od vnějšího </w:t>
      </w:r>
      <w:r w:rsidRPr="003D1E07">
        <w:rPr>
          <w:rStyle w:val="FontStyle129"/>
          <w:rFonts w:ascii="Calibri" w:hAnsi="Calibri"/>
          <w:i/>
          <w:sz w:val="24"/>
        </w:rPr>
        <w:t>intellectus agens</w:t>
      </w:r>
      <w:r w:rsidRPr="003D1E07">
        <w:rPr>
          <w:rStyle w:val="FontStyle129"/>
          <w:rFonts w:ascii="Calibri" w:hAnsi="Calibri"/>
          <w:sz w:val="24"/>
        </w:rPr>
        <w:t xml:space="preserve"> v procesu pravdy jako jistoty. Pravdivost je dána bezprostředním uznáním minimálního bytí věci (</w:t>
      </w:r>
      <w:r w:rsidR="0019698A" w:rsidRPr="003D1E07">
        <w:rPr>
          <w:i/>
          <w:noProof w:val="0"/>
          <w:lang w:eastAsia="en-US"/>
        </w:rPr>
        <w:t xml:space="preserve">esse tale, </w:t>
      </w:r>
      <w:r w:rsidR="002B2764">
        <w:rPr>
          <w:i/>
          <w:noProof w:val="0"/>
          <w:lang w:eastAsia="en-US"/>
        </w:rPr>
        <w:t xml:space="preserve">ens </w:t>
      </w:r>
      <w:r w:rsidR="0019698A" w:rsidRPr="003D1E07">
        <w:rPr>
          <w:i/>
          <w:noProof w:val="0"/>
          <w:lang w:eastAsia="en-US"/>
        </w:rPr>
        <w:t>diminutum</w:t>
      </w:r>
      <w:r w:rsidRPr="003D1E07">
        <w:rPr>
          <w:rStyle w:val="FontStyle129"/>
          <w:rFonts w:ascii="Calibri" w:hAnsi="Calibri"/>
          <w:sz w:val="24"/>
        </w:rPr>
        <w:t xml:space="preserve">). Kontemplace </w:t>
      </w:r>
      <w:r w:rsidR="00F31388" w:rsidRPr="003D1E07">
        <w:rPr>
          <w:rStyle w:val="FontStyle129"/>
          <w:rFonts w:ascii="Calibri" w:hAnsi="Calibri"/>
          <w:sz w:val="24"/>
        </w:rPr>
        <w:t xml:space="preserve">jsoucna </w:t>
      </w:r>
      <w:r w:rsidRPr="003D1E07">
        <w:rPr>
          <w:rStyle w:val="FontStyle129"/>
          <w:rFonts w:ascii="Calibri" w:hAnsi="Calibri"/>
          <w:sz w:val="24"/>
        </w:rPr>
        <w:t>třetího druhu zakládá objektivní poznání, neboť proces den</w:t>
      </w:r>
      <w:r w:rsidR="00F31388" w:rsidRPr="003D1E07">
        <w:rPr>
          <w:rStyle w:val="FontStyle129"/>
          <w:rFonts w:ascii="Calibri" w:hAnsi="Calibri"/>
          <w:sz w:val="24"/>
        </w:rPr>
        <w:t>udace odhaluje objektivní formy</w:t>
      </w:r>
      <w:r w:rsidRPr="003D1E07">
        <w:rPr>
          <w:rStyle w:val="FontStyle129"/>
          <w:rFonts w:ascii="Calibri" w:hAnsi="Calibri"/>
          <w:sz w:val="24"/>
        </w:rPr>
        <w:t xml:space="preserve">. </w:t>
      </w:r>
      <w:r w:rsidR="00F31388" w:rsidRPr="003D1E07">
        <w:rPr>
          <w:rStyle w:val="FontStyle129"/>
          <w:rFonts w:ascii="Calibri" w:hAnsi="Calibri"/>
          <w:sz w:val="24"/>
        </w:rPr>
        <w:t>Intelekt přímo pozoruje tu</w:t>
      </w:r>
      <w:r w:rsidRPr="003D1E07">
        <w:rPr>
          <w:rStyle w:val="FontStyle129"/>
          <w:rFonts w:ascii="Calibri" w:hAnsi="Calibri"/>
          <w:sz w:val="24"/>
        </w:rPr>
        <w:t xml:space="preserve">to minimální a determinovanou formu bytí </w:t>
      </w:r>
      <w:r w:rsidR="00CB2629" w:rsidRPr="003D1E07">
        <w:rPr>
          <w:rStyle w:val="FontStyle129"/>
          <w:rFonts w:ascii="Calibri" w:hAnsi="Calibri"/>
          <w:sz w:val="24"/>
        </w:rPr>
        <w:t>sám v sobě. T</w:t>
      </w:r>
      <w:r w:rsidR="00F31388" w:rsidRPr="003D1E07">
        <w:rPr>
          <w:rStyle w:val="FontStyle129"/>
          <w:rFonts w:ascii="Calibri" w:hAnsi="Calibri"/>
          <w:sz w:val="24"/>
        </w:rPr>
        <w:t xml:space="preserve">aké ji „vidí“ </w:t>
      </w:r>
      <w:r w:rsidRPr="003D1E07">
        <w:rPr>
          <w:rStyle w:val="FontStyle129"/>
          <w:rFonts w:ascii="Calibri" w:hAnsi="Calibri"/>
          <w:sz w:val="24"/>
        </w:rPr>
        <w:t>v reálných věcech</w:t>
      </w:r>
      <w:r w:rsidR="00CB2629" w:rsidRPr="003D1E07">
        <w:rPr>
          <w:rStyle w:val="FontStyle129"/>
          <w:rFonts w:ascii="Calibri" w:hAnsi="Calibri"/>
          <w:sz w:val="24"/>
        </w:rPr>
        <w:t xml:space="preserve"> jako objektivní </w:t>
      </w:r>
      <w:r w:rsidR="00CB2629" w:rsidRPr="003D1E07">
        <w:rPr>
          <w:rStyle w:val="FontStyle129"/>
          <w:rFonts w:ascii="Calibri" w:hAnsi="Calibri"/>
          <w:i/>
          <w:sz w:val="24"/>
        </w:rPr>
        <w:t>individuum</w:t>
      </w:r>
      <w:r w:rsidR="00E04A11" w:rsidRPr="003D1E07">
        <w:rPr>
          <w:rStyle w:val="FontStyle129"/>
          <w:rFonts w:ascii="Calibri" w:hAnsi="Calibri"/>
          <w:i/>
          <w:sz w:val="24"/>
        </w:rPr>
        <w:fldChar w:fldCharType="begin"/>
      </w:r>
      <w:r w:rsidR="00E04A11" w:rsidRPr="003D1E07">
        <w:instrText xml:space="preserve"> XE "</w:instrText>
      </w:r>
      <w:r w:rsidR="00E04A11" w:rsidRPr="003D1E07">
        <w:rPr>
          <w:rStyle w:val="FontStyle129"/>
          <w:rFonts w:ascii="Calibri" w:hAnsi="Calibri"/>
          <w:i/>
          <w:sz w:val="24"/>
        </w:rPr>
        <w:instrText>individuum</w:instrText>
      </w:r>
      <w:r w:rsidR="00E04A11" w:rsidRPr="003D1E07">
        <w:instrText xml:space="preserve">" </w:instrText>
      </w:r>
      <w:r w:rsidR="00E04A11" w:rsidRPr="003D1E07">
        <w:rPr>
          <w:rStyle w:val="FontStyle129"/>
          <w:rFonts w:ascii="Calibri" w:hAnsi="Calibri"/>
          <w:i/>
          <w:sz w:val="24"/>
        </w:rPr>
        <w:fldChar w:fldCharType="end"/>
      </w:r>
      <w:r w:rsidRPr="003D1E07">
        <w:rPr>
          <w:rStyle w:val="FontStyle129"/>
          <w:rFonts w:ascii="Calibri" w:hAnsi="Calibri"/>
          <w:sz w:val="24"/>
        </w:rPr>
        <w:t xml:space="preserve">, bez neoplatónské emanace a teurgie. Identitární pravda jako asimilace a komitace potřebuje aktivního demiurga. Objektivista musí neustále nahrazovat jeden smysl objektivního bytí jiným v modu </w:t>
      </w:r>
      <w:r w:rsidRPr="003D1E07">
        <w:rPr>
          <w:rStyle w:val="FontStyle129"/>
          <w:rFonts w:ascii="Calibri" w:hAnsi="Calibri"/>
          <w:i/>
          <w:sz w:val="24"/>
        </w:rPr>
        <w:t>Ge-Stell</w:t>
      </w:r>
      <w:r w:rsidR="00E04A11" w:rsidRPr="003D1E07">
        <w:rPr>
          <w:rStyle w:val="FontStyle129"/>
          <w:rFonts w:ascii="Calibri" w:hAnsi="Calibri"/>
          <w:i/>
          <w:sz w:val="24"/>
        </w:rPr>
        <w:fldChar w:fldCharType="begin"/>
      </w:r>
      <w:r w:rsidR="00E04A11" w:rsidRPr="003D1E07">
        <w:instrText xml:space="preserve"> XE "</w:instrText>
      </w:r>
      <w:r w:rsidR="00E04A11" w:rsidRPr="003D1E07">
        <w:rPr>
          <w:rStyle w:val="FontStyle129"/>
          <w:rFonts w:ascii="Calibri" w:hAnsi="Calibri"/>
          <w:i/>
          <w:sz w:val="24"/>
        </w:rPr>
        <w:instrText>Ge-Stell</w:instrText>
      </w:r>
      <w:r w:rsidR="00E04A11" w:rsidRPr="003D1E07">
        <w:instrText xml:space="preserve">" </w:instrText>
      </w:r>
      <w:r w:rsidR="00E04A11" w:rsidRPr="003D1E07">
        <w:rPr>
          <w:rStyle w:val="FontStyle129"/>
          <w:rFonts w:ascii="Calibri" w:hAnsi="Calibri"/>
          <w:i/>
          <w:sz w:val="24"/>
        </w:rPr>
        <w:fldChar w:fldCharType="end"/>
      </w:r>
      <w:r w:rsidRPr="003D1E07">
        <w:rPr>
          <w:rStyle w:val="FontStyle129"/>
          <w:rFonts w:ascii="Calibri" w:hAnsi="Calibri"/>
          <w:sz w:val="24"/>
        </w:rPr>
        <w:t xml:space="preserve">. Metafyzický nihilismus vědy a techniky se tak stává nezbytnou součástí objektivní metafyziky, která </w:t>
      </w:r>
      <w:r w:rsidR="00B914C6">
        <w:rPr>
          <w:rStyle w:val="FontStyle129"/>
          <w:rFonts w:ascii="Calibri" w:hAnsi="Calibri"/>
          <w:sz w:val="24"/>
        </w:rPr>
        <w:t xml:space="preserve">metodicky </w:t>
      </w:r>
      <w:r w:rsidRPr="003D1E07">
        <w:rPr>
          <w:rStyle w:val="FontStyle129"/>
          <w:rFonts w:ascii="Calibri" w:hAnsi="Calibri"/>
          <w:sz w:val="24"/>
        </w:rPr>
        <w:t xml:space="preserve">postupuje v modu </w:t>
      </w:r>
      <w:r w:rsidR="005670F8">
        <w:rPr>
          <w:rStyle w:val="FontStyle129"/>
          <w:rFonts w:ascii="Calibri" w:hAnsi="Calibri"/>
          <w:sz w:val="24"/>
        </w:rPr>
        <w:t xml:space="preserve">nihilistického </w:t>
      </w:r>
      <w:r w:rsidRPr="003D1E07">
        <w:rPr>
          <w:rStyle w:val="FontStyle129"/>
          <w:rFonts w:ascii="Calibri" w:hAnsi="Calibri"/>
          <w:i/>
          <w:sz w:val="24"/>
        </w:rPr>
        <w:t>circulus vitiosus</w:t>
      </w:r>
      <w:r w:rsidR="00401D26" w:rsidRPr="003D1E07">
        <w:rPr>
          <w:rStyle w:val="FontStyle129"/>
          <w:rFonts w:ascii="Calibri" w:hAnsi="Calibri"/>
          <w:i/>
          <w:sz w:val="24"/>
        </w:rPr>
        <w:fldChar w:fldCharType="begin"/>
      </w:r>
      <w:r w:rsidR="00401D26" w:rsidRPr="003D1E07">
        <w:instrText xml:space="preserve"> XE "</w:instrText>
      </w:r>
      <w:r w:rsidR="00401D26" w:rsidRPr="003D1E07">
        <w:rPr>
          <w:rStyle w:val="FontStyle129"/>
          <w:rFonts w:ascii="Calibri" w:hAnsi="Calibri"/>
          <w:i/>
          <w:sz w:val="24"/>
        </w:rPr>
        <w:instrText>circulus vitiosus</w:instrText>
      </w:r>
      <w:r w:rsidR="00401D26" w:rsidRPr="003D1E07">
        <w:instrText xml:space="preserve">" </w:instrText>
      </w:r>
      <w:r w:rsidR="00401D26" w:rsidRPr="003D1E07">
        <w:rPr>
          <w:rStyle w:val="FontStyle129"/>
          <w:rFonts w:ascii="Calibri" w:hAnsi="Calibri"/>
          <w:i/>
          <w:sz w:val="24"/>
        </w:rPr>
        <w:fldChar w:fldCharType="end"/>
      </w:r>
      <w:r w:rsidRPr="003D1E07">
        <w:rPr>
          <w:rStyle w:val="FontStyle129"/>
          <w:rFonts w:ascii="Calibri" w:hAnsi="Calibri"/>
          <w:sz w:val="24"/>
        </w:rPr>
        <w:t>.</w:t>
      </w:r>
    </w:p>
    <w:p w14:paraId="2E7CABAA" w14:textId="77777777" w:rsidR="002D3C7B" w:rsidRDefault="00B01DF5" w:rsidP="00B66C06">
      <w:pPr>
        <w:rPr>
          <w:rStyle w:val="FontStyle129"/>
          <w:rFonts w:ascii="Calibri" w:hAnsi="Calibri"/>
          <w:sz w:val="24"/>
        </w:rPr>
      </w:pPr>
      <w:r w:rsidRPr="003D1E07">
        <w:rPr>
          <w:rStyle w:val="FontStyle129"/>
          <w:rFonts w:ascii="Calibri" w:hAnsi="Calibri"/>
          <w:sz w:val="24"/>
        </w:rPr>
        <w:lastRenderedPageBreak/>
        <w:t xml:space="preserve">V obou </w:t>
      </w:r>
      <w:r w:rsidR="0064280B" w:rsidRPr="003D1E07">
        <w:rPr>
          <w:rStyle w:val="FontStyle129"/>
          <w:rFonts w:ascii="Calibri" w:hAnsi="Calibri"/>
          <w:sz w:val="24"/>
        </w:rPr>
        <w:t xml:space="preserve">výše uvedených </w:t>
      </w:r>
      <w:r w:rsidRPr="003D1E07">
        <w:rPr>
          <w:rStyle w:val="FontStyle129"/>
          <w:rFonts w:ascii="Calibri" w:hAnsi="Calibri"/>
          <w:sz w:val="24"/>
        </w:rPr>
        <w:t>případech</w:t>
      </w:r>
      <w:r w:rsidR="004A5C41" w:rsidRPr="003D1E07">
        <w:rPr>
          <w:rStyle w:val="FontStyle129"/>
          <w:rFonts w:ascii="Calibri" w:hAnsi="Calibri"/>
          <w:sz w:val="24"/>
        </w:rPr>
        <w:t xml:space="preserve"> </w:t>
      </w:r>
      <w:r w:rsidR="00657AEE" w:rsidRPr="003D1E07">
        <w:rPr>
          <w:rStyle w:val="FontStyle129"/>
          <w:rFonts w:ascii="Calibri" w:hAnsi="Calibri"/>
          <w:sz w:val="24"/>
        </w:rPr>
        <w:t xml:space="preserve">iluminace platí, že </w:t>
      </w:r>
      <w:r w:rsidR="004A5C41" w:rsidRPr="003D1E07">
        <w:rPr>
          <w:rStyle w:val="FontStyle129"/>
          <w:rFonts w:ascii="Calibri" w:hAnsi="Calibri"/>
          <w:sz w:val="24"/>
        </w:rPr>
        <w:t>reálně existující věci vnímané smyslově</w:t>
      </w:r>
      <w:r w:rsidR="0094032D" w:rsidRPr="003D1E07">
        <w:rPr>
          <w:rStyle w:val="FontStyle129"/>
          <w:rFonts w:ascii="Calibri" w:hAnsi="Calibri"/>
          <w:sz w:val="24"/>
        </w:rPr>
        <w:t xml:space="preserve"> </w:t>
      </w:r>
      <w:r w:rsidR="004A5C41" w:rsidRPr="003D1E07">
        <w:rPr>
          <w:rStyle w:val="FontStyle129"/>
          <w:rFonts w:ascii="Calibri" w:hAnsi="Calibri"/>
          <w:sz w:val="24"/>
        </w:rPr>
        <w:t>h</w:t>
      </w:r>
      <w:r w:rsidR="00E2125C" w:rsidRPr="003D1E07">
        <w:rPr>
          <w:rStyle w:val="FontStyle129"/>
          <w:rFonts w:ascii="Calibri" w:hAnsi="Calibri"/>
          <w:sz w:val="24"/>
        </w:rPr>
        <w:t>r</w:t>
      </w:r>
      <w:r w:rsidR="00A4265A" w:rsidRPr="003D1E07">
        <w:rPr>
          <w:rStyle w:val="FontStyle129"/>
          <w:rFonts w:ascii="Calibri" w:hAnsi="Calibri"/>
          <w:sz w:val="24"/>
        </w:rPr>
        <w:t xml:space="preserve">ají </w:t>
      </w:r>
      <w:r w:rsidR="00A257DC" w:rsidRPr="003D1E07">
        <w:rPr>
          <w:rStyle w:val="FontStyle129"/>
          <w:rFonts w:ascii="Calibri" w:hAnsi="Calibri"/>
          <w:sz w:val="24"/>
        </w:rPr>
        <w:t xml:space="preserve">v </w:t>
      </w:r>
      <w:r w:rsidR="00657AEE" w:rsidRPr="003D1E07">
        <w:rPr>
          <w:rStyle w:val="FontStyle129"/>
          <w:rFonts w:ascii="Calibri" w:hAnsi="Calibri"/>
          <w:sz w:val="24"/>
        </w:rPr>
        <w:t xml:space="preserve">obou typech poznání </w:t>
      </w:r>
      <w:r w:rsidR="00A257DC" w:rsidRPr="003D1E07">
        <w:rPr>
          <w:rStyle w:val="FontStyle129"/>
          <w:rFonts w:ascii="Calibri" w:hAnsi="Calibri"/>
          <w:sz w:val="24"/>
        </w:rPr>
        <w:t xml:space="preserve">(mystické, objektivní) </w:t>
      </w:r>
      <w:r w:rsidR="00A4265A" w:rsidRPr="003D1E07">
        <w:rPr>
          <w:rStyle w:val="FontStyle129"/>
          <w:rFonts w:ascii="Calibri" w:hAnsi="Calibri"/>
          <w:sz w:val="24"/>
        </w:rPr>
        <w:t>pouze sekundární roli. S</w:t>
      </w:r>
      <w:r w:rsidR="004247B5" w:rsidRPr="003D1E07">
        <w:rPr>
          <w:rStyle w:val="FontStyle129"/>
          <w:rFonts w:ascii="Calibri" w:hAnsi="Calibri"/>
          <w:sz w:val="24"/>
        </w:rPr>
        <w:t>louží pouze jako předehra</w:t>
      </w:r>
      <w:r w:rsidR="00E2125C" w:rsidRPr="003D1E07">
        <w:rPr>
          <w:rStyle w:val="FontStyle129"/>
          <w:rFonts w:ascii="Calibri" w:hAnsi="Calibri"/>
          <w:sz w:val="24"/>
        </w:rPr>
        <w:t xml:space="preserve"> </w:t>
      </w:r>
      <w:r w:rsidR="00EA5A20" w:rsidRPr="003D1E07">
        <w:rPr>
          <w:rStyle w:val="FontStyle129"/>
          <w:rFonts w:ascii="Calibri" w:hAnsi="Calibri"/>
          <w:sz w:val="24"/>
        </w:rPr>
        <w:t xml:space="preserve">druhé </w:t>
      </w:r>
      <w:r w:rsidR="00E2125C" w:rsidRPr="003D1E07">
        <w:rPr>
          <w:rStyle w:val="FontStyle129"/>
          <w:rFonts w:ascii="Calibri" w:hAnsi="Calibri"/>
          <w:sz w:val="24"/>
        </w:rPr>
        <w:t>abstrakce</w:t>
      </w:r>
      <w:r w:rsidR="00B70517" w:rsidRPr="003D1E07">
        <w:rPr>
          <w:rStyle w:val="FontStyle129"/>
          <w:rFonts w:ascii="Calibri" w:hAnsi="Calibri"/>
          <w:sz w:val="24"/>
        </w:rPr>
        <w:t xml:space="preserve"> nebo přímého nazírání, které jsou více či méně </w:t>
      </w:r>
      <w:r w:rsidR="00EA5A20" w:rsidRPr="003D1E07">
        <w:rPr>
          <w:rStyle w:val="FontStyle129"/>
          <w:rFonts w:ascii="Calibri" w:hAnsi="Calibri"/>
          <w:sz w:val="24"/>
        </w:rPr>
        <w:t>auto</w:t>
      </w:r>
      <w:r w:rsidR="003114FA" w:rsidRPr="003D1E07">
        <w:rPr>
          <w:rStyle w:val="FontStyle129"/>
          <w:rFonts w:ascii="Calibri" w:hAnsi="Calibri"/>
          <w:sz w:val="24"/>
        </w:rPr>
        <w:t>no</w:t>
      </w:r>
      <w:r w:rsidR="00EA5A20" w:rsidRPr="003D1E07">
        <w:rPr>
          <w:rStyle w:val="FontStyle129"/>
          <w:rFonts w:ascii="Calibri" w:hAnsi="Calibri"/>
          <w:sz w:val="24"/>
        </w:rPr>
        <w:t>mní</w:t>
      </w:r>
      <w:r w:rsidR="00273EA5" w:rsidRPr="003D1E07">
        <w:rPr>
          <w:rStyle w:val="FontStyle129"/>
          <w:rFonts w:ascii="Calibri" w:hAnsi="Calibri"/>
          <w:sz w:val="24"/>
        </w:rPr>
        <w:t xml:space="preserve"> činností rozumu</w:t>
      </w:r>
      <w:r w:rsidR="00250C71" w:rsidRPr="003D1E07">
        <w:rPr>
          <w:rStyle w:val="FontStyle129"/>
          <w:rFonts w:ascii="Calibri" w:hAnsi="Calibri"/>
          <w:sz w:val="24"/>
        </w:rPr>
        <w:t xml:space="preserve">. </w:t>
      </w:r>
      <w:r w:rsidR="00033DA2" w:rsidRPr="003D1E07">
        <w:rPr>
          <w:rStyle w:val="FontStyle129"/>
          <w:rFonts w:ascii="Calibri" w:hAnsi="Calibri"/>
          <w:sz w:val="24"/>
        </w:rPr>
        <w:t>A</w:t>
      </w:r>
      <w:r w:rsidR="00FE56CC" w:rsidRPr="003D1E07">
        <w:rPr>
          <w:rStyle w:val="FontStyle129"/>
          <w:rFonts w:ascii="Calibri" w:hAnsi="Calibri"/>
          <w:sz w:val="24"/>
        </w:rPr>
        <w:t>l-</w:t>
      </w:r>
      <w:r w:rsidR="00AC582C" w:rsidRPr="003D1E07">
        <w:rPr>
          <w:rStyle w:val="FontStyle129"/>
          <w:rFonts w:ascii="Calibri" w:hAnsi="Calibri"/>
          <w:sz w:val="24"/>
        </w:rPr>
        <w:t>F</w:t>
      </w:r>
      <w:r w:rsidR="004B7CA0" w:rsidRPr="003D1E07">
        <w:rPr>
          <w:rStyle w:val="FontStyle129"/>
          <w:rFonts w:ascii="Calibri" w:hAnsi="Calibri"/>
          <w:sz w:val="24"/>
        </w:rPr>
        <w:t>á</w:t>
      </w:r>
      <w:r w:rsidR="008E02F5" w:rsidRPr="003D1E07">
        <w:rPr>
          <w:rStyle w:val="FontStyle129"/>
          <w:rFonts w:ascii="Calibri" w:hAnsi="Calibri"/>
          <w:sz w:val="24"/>
        </w:rPr>
        <w:t>rábí</w:t>
      </w:r>
      <w:r w:rsidR="00033DA2" w:rsidRPr="003D1E07">
        <w:rPr>
          <w:rStyle w:val="FontStyle129"/>
          <w:rFonts w:ascii="Calibri" w:hAnsi="Calibri"/>
          <w:sz w:val="24"/>
        </w:rPr>
        <w:t xml:space="preserve"> trval na tom, že individuální formy poznání z první abstrakce </w:t>
      </w:r>
      <w:r w:rsidR="009351BF" w:rsidRPr="003D1E07">
        <w:rPr>
          <w:rStyle w:val="FontStyle129"/>
          <w:rFonts w:ascii="Calibri" w:hAnsi="Calibri"/>
          <w:sz w:val="24"/>
        </w:rPr>
        <w:t>musí aktualizovat</w:t>
      </w:r>
      <w:r w:rsidR="00033DA2" w:rsidRPr="003D1E07">
        <w:rPr>
          <w:rStyle w:val="FontStyle129"/>
          <w:rFonts w:ascii="Calibri" w:hAnsi="Calibri"/>
          <w:sz w:val="24"/>
        </w:rPr>
        <w:t xml:space="preserve"> i druhé patro abstrakce</w:t>
      </w:r>
      <w:r w:rsidR="00512CB4" w:rsidRPr="003D1E07">
        <w:rPr>
          <w:rStyle w:val="FontStyle129"/>
          <w:rFonts w:ascii="Calibri" w:hAnsi="Calibri"/>
          <w:sz w:val="24"/>
        </w:rPr>
        <w:t xml:space="preserve"> (kap. 2.1.1)</w:t>
      </w:r>
      <w:r w:rsidR="00033DA2" w:rsidRPr="003D1E07">
        <w:rPr>
          <w:rStyle w:val="FontStyle129"/>
          <w:rFonts w:ascii="Calibri" w:hAnsi="Calibri"/>
          <w:sz w:val="24"/>
        </w:rPr>
        <w:t xml:space="preserve">. </w:t>
      </w:r>
      <w:r w:rsidR="00A92A68" w:rsidRPr="003D1E07">
        <w:rPr>
          <w:rStyle w:val="FontStyle129"/>
          <w:rFonts w:ascii="Calibri" w:hAnsi="Calibri"/>
          <w:sz w:val="24"/>
        </w:rPr>
        <w:t xml:space="preserve">Avicenna to už nepotřebuje, protože </w:t>
      </w:r>
      <w:r w:rsidR="084F618C" w:rsidRPr="003D1E07">
        <w:rPr>
          <w:rStyle w:val="FontStyle129"/>
          <w:rFonts w:ascii="Calibri" w:hAnsi="Calibri"/>
          <w:sz w:val="24"/>
        </w:rPr>
        <w:t>smyslové a intelektuální poznání úplně rozdělil</w:t>
      </w:r>
      <w:r w:rsidR="00A92A68" w:rsidRPr="003D1E07">
        <w:rPr>
          <w:rStyle w:val="FontStyle129"/>
          <w:rFonts w:ascii="Calibri" w:hAnsi="Calibri"/>
          <w:sz w:val="24"/>
        </w:rPr>
        <w:t xml:space="preserve">. </w:t>
      </w:r>
      <w:r w:rsidR="00F54421" w:rsidRPr="003D1E07">
        <w:rPr>
          <w:rStyle w:val="FontStyle129"/>
          <w:rFonts w:ascii="Calibri" w:hAnsi="Calibri"/>
          <w:sz w:val="24"/>
        </w:rPr>
        <w:t>Ze schématu poznání vypadla</w:t>
      </w:r>
      <w:r w:rsidR="00A4265A" w:rsidRPr="003D1E07">
        <w:rPr>
          <w:rStyle w:val="FontStyle129"/>
          <w:rFonts w:ascii="Calibri" w:hAnsi="Calibri"/>
          <w:sz w:val="24"/>
        </w:rPr>
        <w:t xml:space="preserve"> role </w:t>
      </w:r>
      <w:r w:rsidR="00A4265A" w:rsidRPr="003D1E07">
        <w:rPr>
          <w:rStyle w:val="FontStyle129"/>
          <w:rFonts w:ascii="Calibri" w:hAnsi="Calibri"/>
          <w:i/>
          <w:sz w:val="24"/>
        </w:rPr>
        <w:t>intellectus possibilis</w:t>
      </w:r>
      <w:r w:rsidR="00A4265A" w:rsidRPr="003D1E07">
        <w:rPr>
          <w:rStyle w:val="FontStyle129"/>
          <w:rFonts w:ascii="Calibri" w:hAnsi="Calibri"/>
          <w:sz w:val="24"/>
        </w:rPr>
        <w:t xml:space="preserve">, který byl v </w:t>
      </w:r>
      <w:r w:rsidR="00B713C5" w:rsidRPr="003D1E07">
        <w:rPr>
          <w:rStyle w:val="FontStyle129"/>
          <w:rFonts w:ascii="Calibri" w:hAnsi="Calibri"/>
          <w:i/>
          <w:sz w:val="24"/>
        </w:rPr>
        <w:t>De anima</w:t>
      </w:r>
      <w:r w:rsidR="00A4265A" w:rsidRPr="003D1E07">
        <w:rPr>
          <w:rStyle w:val="FontStyle129"/>
          <w:rFonts w:ascii="Calibri" w:hAnsi="Calibri"/>
          <w:sz w:val="24"/>
        </w:rPr>
        <w:t xml:space="preserve"> nutný </w:t>
      </w:r>
      <w:r w:rsidR="00E15675" w:rsidRPr="003D1E07">
        <w:rPr>
          <w:rStyle w:val="FontStyle129"/>
          <w:rFonts w:ascii="Calibri" w:hAnsi="Calibri"/>
          <w:sz w:val="24"/>
        </w:rPr>
        <w:t xml:space="preserve">pro </w:t>
      </w:r>
      <w:r w:rsidR="00A4265A" w:rsidRPr="003D1E07">
        <w:rPr>
          <w:rStyle w:val="FontStyle129"/>
          <w:rFonts w:ascii="Calibri" w:hAnsi="Calibri"/>
          <w:sz w:val="24"/>
        </w:rPr>
        <w:t xml:space="preserve">recepci </w:t>
      </w:r>
      <w:r w:rsidR="00F214C5" w:rsidRPr="003D1E07">
        <w:rPr>
          <w:rStyle w:val="FontStyle129"/>
          <w:rFonts w:ascii="Calibri" w:hAnsi="Calibri"/>
          <w:sz w:val="24"/>
        </w:rPr>
        <w:t>species</w:t>
      </w:r>
      <w:r w:rsidR="00A4265A" w:rsidRPr="003D1E07">
        <w:rPr>
          <w:rStyle w:val="FontStyle129"/>
          <w:rFonts w:ascii="Calibri" w:hAnsi="Calibri"/>
          <w:i/>
          <w:sz w:val="24"/>
        </w:rPr>
        <w:t xml:space="preserve"> sensibilis</w:t>
      </w:r>
      <w:r w:rsidR="008061D5" w:rsidRPr="003D1E07">
        <w:rPr>
          <w:rStyle w:val="FontStyle129"/>
          <w:rFonts w:ascii="Calibri" w:hAnsi="Calibri"/>
          <w:i/>
          <w:sz w:val="24"/>
        </w:rPr>
        <w:fldChar w:fldCharType="begin"/>
      </w:r>
      <w:r w:rsidR="008061D5" w:rsidRPr="003D1E07">
        <w:instrText xml:space="preserve"> XE "</w:instrText>
      </w:r>
      <w:r w:rsidR="008061D5" w:rsidRPr="003D1E07">
        <w:rPr>
          <w:i/>
        </w:rPr>
        <w:instrText>species sensibilis</w:instrText>
      </w:r>
      <w:r w:rsidR="008061D5" w:rsidRPr="003D1E07">
        <w:instrText xml:space="preserve">" </w:instrText>
      </w:r>
      <w:r w:rsidR="008061D5" w:rsidRPr="003D1E07">
        <w:rPr>
          <w:rStyle w:val="FontStyle129"/>
          <w:rFonts w:ascii="Calibri" w:hAnsi="Calibri"/>
          <w:i/>
          <w:sz w:val="24"/>
        </w:rPr>
        <w:fldChar w:fldCharType="end"/>
      </w:r>
      <w:r w:rsidR="00DC3FD2">
        <w:rPr>
          <w:rStyle w:val="FontStyle129"/>
          <w:rFonts w:ascii="Calibri" w:hAnsi="Calibri"/>
          <w:sz w:val="24"/>
        </w:rPr>
        <w:t xml:space="preserve"> a následně pro její</w:t>
      </w:r>
      <w:r w:rsidR="00A4265A" w:rsidRPr="003D1E07">
        <w:rPr>
          <w:rStyle w:val="FontStyle129"/>
          <w:rFonts w:ascii="Calibri" w:hAnsi="Calibri"/>
          <w:sz w:val="24"/>
        </w:rPr>
        <w:t xml:space="preserve"> přev</w:t>
      </w:r>
      <w:r w:rsidR="00DC3FD2">
        <w:rPr>
          <w:rStyle w:val="FontStyle129"/>
          <w:rFonts w:ascii="Calibri" w:hAnsi="Calibri"/>
          <w:sz w:val="24"/>
        </w:rPr>
        <w:t>edení do čistě formální</w:t>
      </w:r>
      <w:r w:rsidR="00A4265A" w:rsidRPr="003D1E07">
        <w:rPr>
          <w:rStyle w:val="FontStyle129"/>
          <w:rFonts w:ascii="Calibri" w:hAnsi="Calibri"/>
          <w:sz w:val="24"/>
        </w:rPr>
        <w:t xml:space="preserve"> </w:t>
      </w:r>
      <w:r w:rsidR="00F214C5" w:rsidRPr="0019056C">
        <w:rPr>
          <w:rStyle w:val="FontStyle129"/>
          <w:rFonts w:ascii="Calibri" w:hAnsi="Calibri"/>
          <w:i/>
          <w:sz w:val="24"/>
        </w:rPr>
        <w:t>species</w:t>
      </w:r>
      <w:r w:rsidR="00A4265A" w:rsidRPr="003D1E07">
        <w:rPr>
          <w:rStyle w:val="FontStyle129"/>
          <w:rFonts w:ascii="Calibri" w:hAnsi="Calibri"/>
          <w:i/>
          <w:sz w:val="24"/>
        </w:rPr>
        <w:t xml:space="preserve"> intelligibilis</w:t>
      </w:r>
      <w:r w:rsidR="008061D5" w:rsidRPr="003D1E07">
        <w:rPr>
          <w:rStyle w:val="FontStyle129"/>
          <w:rFonts w:ascii="Calibri" w:hAnsi="Calibri"/>
          <w:i/>
          <w:sz w:val="24"/>
        </w:rPr>
        <w:fldChar w:fldCharType="begin"/>
      </w:r>
      <w:r w:rsidR="008061D5" w:rsidRPr="003D1E07">
        <w:instrText xml:space="preserve"> XE "</w:instrText>
      </w:r>
      <w:r w:rsidR="008061D5" w:rsidRPr="003D1E07">
        <w:rPr>
          <w:i/>
        </w:rPr>
        <w:instrText>species intelligibilis:</w:instrText>
      </w:r>
      <w:r w:rsidR="008061D5" w:rsidRPr="003D1E07">
        <w:instrText xml:space="preserve">Avicenna" </w:instrText>
      </w:r>
      <w:r w:rsidR="008061D5" w:rsidRPr="003D1E07">
        <w:rPr>
          <w:rStyle w:val="FontStyle129"/>
          <w:rFonts w:ascii="Calibri" w:hAnsi="Calibri"/>
          <w:i/>
          <w:sz w:val="24"/>
        </w:rPr>
        <w:fldChar w:fldCharType="end"/>
      </w:r>
      <w:r w:rsidR="00A4265A" w:rsidRPr="003D1E07">
        <w:rPr>
          <w:rStyle w:val="FontStyle129"/>
          <w:rFonts w:ascii="Calibri" w:hAnsi="Calibri"/>
          <w:sz w:val="24"/>
        </w:rPr>
        <w:t xml:space="preserve">. </w:t>
      </w:r>
      <w:r w:rsidR="00E15675" w:rsidRPr="003D1E07">
        <w:rPr>
          <w:rStyle w:val="FontStyle129"/>
          <w:rFonts w:ascii="Calibri" w:hAnsi="Calibri"/>
          <w:sz w:val="24"/>
        </w:rPr>
        <w:t>V novém schématu působí na receptivní intelekt přímo a bezprostředně aktivní složka intelektu (</w:t>
      </w:r>
      <w:r w:rsidR="00E15675" w:rsidRPr="003D1E07">
        <w:rPr>
          <w:rStyle w:val="FontStyle129"/>
          <w:rFonts w:ascii="Calibri" w:hAnsi="Calibri"/>
          <w:i/>
          <w:sz w:val="24"/>
        </w:rPr>
        <w:t>intellectus agens</w:t>
      </w:r>
      <w:r w:rsidR="00E15675" w:rsidRPr="003D1E07">
        <w:rPr>
          <w:rStyle w:val="FontStyle129"/>
          <w:rFonts w:ascii="Calibri" w:hAnsi="Calibri"/>
          <w:sz w:val="24"/>
        </w:rPr>
        <w:t xml:space="preserve">). </w:t>
      </w:r>
      <w:r w:rsidR="00250C71" w:rsidRPr="003D1E07">
        <w:rPr>
          <w:rStyle w:val="FontStyle129"/>
          <w:rFonts w:ascii="Calibri" w:hAnsi="Calibri"/>
          <w:sz w:val="24"/>
        </w:rPr>
        <w:t>D</w:t>
      </w:r>
      <w:r w:rsidR="00FA180E" w:rsidRPr="003D1E07">
        <w:rPr>
          <w:rStyle w:val="FontStyle129"/>
          <w:rFonts w:ascii="Calibri" w:hAnsi="Calibri"/>
          <w:sz w:val="24"/>
        </w:rPr>
        <w:t xml:space="preserve">arovaná forma </w:t>
      </w:r>
      <w:r w:rsidR="00DF3967" w:rsidRPr="003D1E07">
        <w:rPr>
          <w:rStyle w:val="FontStyle129"/>
          <w:rFonts w:ascii="Calibri" w:hAnsi="Calibri"/>
          <w:sz w:val="24"/>
        </w:rPr>
        <w:t xml:space="preserve">intelektu </w:t>
      </w:r>
      <w:r w:rsidR="00E15675" w:rsidRPr="003D1E07">
        <w:rPr>
          <w:rStyle w:val="FontStyle129"/>
          <w:rFonts w:ascii="Calibri" w:hAnsi="Calibri"/>
          <w:sz w:val="24"/>
        </w:rPr>
        <w:t>(</w:t>
      </w:r>
      <w:r w:rsidR="00E15675" w:rsidRPr="003D1E07">
        <w:rPr>
          <w:rStyle w:val="FontStyle129"/>
          <w:rFonts w:ascii="Calibri" w:hAnsi="Calibri"/>
          <w:i/>
          <w:sz w:val="24"/>
        </w:rPr>
        <w:t>intellectus adeptus</w:t>
      </w:r>
      <w:r w:rsidR="00E15675" w:rsidRPr="003D1E07">
        <w:rPr>
          <w:rStyle w:val="FontStyle129"/>
          <w:rFonts w:ascii="Calibri" w:hAnsi="Calibri"/>
          <w:sz w:val="24"/>
        </w:rPr>
        <w:t xml:space="preserve">) </w:t>
      </w:r>
      <w:r w:rsidR="00FA180E" w:rsidRPr="003D1E07">
        <w:rPr>
          <w:rStyle w:val="FontStyle129"/>
          <w:rFonts w:ascii="Calibri" w:hAnsi="Calibri"/>
          <w:sz w:val="24"/>
        </w:rPr>
        <w:t xml:space="preserve">je sice aktualizovaná </w:t>
      </w:r>
      <w:r w:rsidR="00384D88" w:rsidRPr="003D1E07">
        <w:rPr>
          <w:rStyle w:val="FontStyle129"/>
          <w:rFonts w:ascii="Calibri" w:hAnsi="Calibri"/>
          <w:sz w:val="24"/>
        </w:rPr>
        <w:t>v duši, ale nikoliv její vlastní činností</w:t>
      </w:r>
      <w:r w:rsidR="00051961" w:rsidRPr="003D1E07">
        <w:rPr>
          <w:rStyle w:val="FontStyle129"/>
          <w:rFonts w:ascii="Calibri" w:hAnsi="Calibri"/>
          <w:sz w:val="24"/>
        </w:rPr>
        <w:t xml:space="preserve"> nebo </w:t>
      </w:r>
      <w:r w:rsidR="00033DA2" w:rsidRPr="003D1E07">
        <w:rPr>
          <w:rStyle w:val="FontStyle129"/>
          <w:rFonts w:ascii="Calibri" w:hAnsi="Calibri"/>
          <w:sz w:val="24"/>
        </w:rPr>
        <w:t xml:space="preserve">činností </w:t>
      </w:r>
      <w:r w:rsidR="00704F21" w:rsidRPr="003D1E07">
        <w:rPr>
          <w:rStyle w:val="FontStyle129"/>
          <w:rFonts w:ascii="Calibri" w:hAnsi="Calibri"/>
          <w:sz w:val="24"/>
        </w:rPr>
        <w:t xml:space="preserve">materiálního </w:t>
      </w:r>
      <w:r w:rsidR="00051961" w:rsidRPr="003D1E07">
        <w:rPr>
          <w:rStyle w:val="FontStyle129"/>
          <w:rFonts w:ascii="Calibri" w:hAnsi="Calibri"/>
          <w:sz w:val="24"/>
        </w:rPr>
        <w:t>intelektu ve smyslu individuální poznávací schopnosti</w:t>
      </w:r>
      <w:r w:rsidR="0002446E" w:rsidRPr="003D1E07">
        <w:rPr>
          <w:rStyle w:val="FontStyle129"/>
          <w:rFonts w:ascii="Calibri" w:hAnsi="Calibri"/>
          <w:sz w:val="24"/>
        </w:rPr>
        <w:t>.</w:t>
      </w:r>
      <w:r w:rsidR="00D0625A" w:rsidRPr="003D1E07">
        <w:rPr>
          <w:rStyle w:val="FontStyle129"/>
          <w:rFonts w:ascii="Calibri" w:hAnsi="Calibri"/>
          <w:sz w:val="24"/>
        </w:rPr>
        <w:t xml:space="preserve"> </w:t>
      </w:r>
      <w:r w:rsidR="000C4B2E" w:rsidRPr="003D1E07">
        <w:rPr>
          <w:rStyle w:val="FontStyle129"/>
          <w:rFonts w:ascii="Calibri" w:hAnsi="Calibri"/>
          <w:sz w:val="24"/>
        </w:rPr>
        <w:t>Toto mí</w:t>
      </w:r>
      <w:r w:rsidR="00CD7CD1" w:rsidRPr="003D1E07">
        <w:rPr>
          <w:rStyle w:val="FontStyle129"/>
          <w:rFonts w:ascii="Calibri" w:hAnsi="Calibri"/>
          <w:sz w:val="24"/>
        </w:rPr>
        <w:t>nus je ovšem i velké plus. D</w:t>
      </w:r>
      <w:r w:rsidR="00FC7702" w:rsidRPr="003D1E07">
        <w:rPr>
          <w:rStyle w:val="FontStyle129"/>
          <w:rFonts w:ascii="Calibri" w:hAnsi="Calibri"/>
          <w:sz w:val="24"/>
        </w:rPr>
        <w:t xml:space="preserve">uše aktualizovaná činným intelektem </w:t>
      </w:r>
      <w:r w:rsidR="00CD7CD1" w:rsidRPr="003D1E07">
        <w:rPr>
          <w:rStyle w:val="FontStyle129"/>
          <w:rFonts w:ascii="Calibri" w:hAnsi="Calibri"/>
          <w:sz w:val="24"/>
        </w:rPr>
        <w:t xml:space="preserve">může dosáhnout </w:t>
      </w:r>
      <w:r w:rsidR="00FC7702" w:rsidRPr="003D1E07">
        <w:rPr>
          <w:rStyle w:val="FontStyle129"/>
          <w:rFonts w:ascii="Calibri" w:hAnsi="Calibri"/>
          <w:sz w:val="24"/>
        </w:rPr>
        <w:t>vyšší</w:t>
      </w:r>
      <w:r w:rsidR="00CD7CD1" w:rsidRPr="003D1E07">
        <w:rPr>
          <w:rStyle w:val="FontStyle129"/>
          <w:rFonts w:ascii="Calibri" w:hAnsi="Calibri"/>
          <w:sz w:val="24"/>
        </w:rPr>
        <w:t xml:space="preserve">ho stupně </w:t>
      </w:r>
      <w:r w:rsidR="00D0625A" w:rsidRPr="003D1E07">
        <w:rPr>
          <w:rStyle w:val="FontStyle129"/>
          <w:rFonts w:ascii="Calibri" w:hAnsi="Calibri"/>
          <w:sz w:val="24"/>
        </w:rPr>
        <w:t>sebereflexe</w:t>
      </w:r>
      <w:r w:rsidR="006240EC" w:rsidRPr="003D1E07">
        <w:rPr>
          <w:rStyle w:val="FontStyle129"/>
          <w:rFonts w:ascii="Calibri" w:hAnsi="Calibri"/>
          <w:sz w:val="24"/>
        </w:rPr>
        <w:t xml:space="preserve"> a sebeuvědomění</w:t>
      </w:r>
      <w:r w:rsidR="00AA3B73" w:rsidRPr="003D1E07">
        <w:rPr>
          <w:rStyle w:val="FontStyle129"/>
          <w:rFonts w:ascii="Calibri" w:hAnsi="Calibri"/>
          <w:sz w:val="24"/>
        </w:rPr>
        <w:t xml:space="preserve">. </w:t>
      </w:r>
      <w:r w:rsidR="00CC31DF" w:rsidRPr="003D1E07">
        <w:rPr>
          <w:rStyle w:val="FontStyle129"/>
          <w:rFonts w:ascii="Calibri" w:hAnsi="Calibri"/>
          <w:sz w:val="24"/>
        </w:rPr>
        <w:t xml:space="preserve">Tím </w:t>
      </w:r>
      <w:r w:rsidR="007B4865" w:rsidRPr="003D1E07">
        <w:rPr>
          <w:rStyle w:val="FontStyle129"/>
          <w:rFonts w:ascii="Calibri" w:hAnsi="Calibri"/>
          <w:sz w:val="24"/>
        </w:rPr>
        <w:t xml:space="preserve">se otevírá oblast jistoty </w:t>
      </w:r>
      <w:r w:rsidR="00D44FAA">
        <w:rPr>
          <w:rStyle w:val="FontStyle129"/>
          <w:rFonts w:ascii="Calibri" w:hAnsi="Calibri"/>
          <w:sz w:val="24"/>
        </w:rPr>
        <w:t>post</w:t>
      </w:r>
      <w:r w:rsidR="00927A8D" w:rsidRPr="003D1E07">
        <w:rPr>
          <w:rStyle w:val="FontStyle129"/>
          <w:rFonts w:ascii="Calibri" w:hAnsi="Calibri"/>
          <w:sz w:val="24"/>
        </w:rPr>
        <w:t xml:space="preserve">moderního </w:t>
      </w:r>
      <w:r w:rsidR="00CC31DF" w:rsidRPr="003D1E07">
        <w:rPr>
          <w:rStyle w:val="FontStyle129"/>
          <w:rFonts w:ascii="Calibri" w:hAnsi="Calibri"/>
          <w:sz w:val="24"/>
        </w:rPr>
        <w:t>kartez</w:t>
      </w:r>
      <w:r w:rsidR="0026504E" w:rsidRPr="003D1E07">
        <w:rPr>
          <w:rStyle w:val="FontStyle129"/>
          <w:rFonts w:ascii="Calibri" w:hAnsi="Calibri"/>
          <w:sz w:val="24"/>
        </w:rPr>
        <w:t xml:space="preserve">iánského </w:t>
      </w:r>
      <w:r w:rsidR="007B4865" w:rsidRPr="003D1E07">
        <w:rPr>
          <w:rStyle w:val="FontStyle129"/>
          <w:rFonts w:ascii="Calibri" w:hAnsi="Calibri"/>
          <w:sz w:val="24"/>
        </w:rPr>
        <w:t>poznání (</w:t>
      </w:r>
      <w:r w:rsidR="007B4865" w:rsidRPr="003D1E07">
        <w:rPr>
          <w:rStyle w:val="FontStyle129"/>
          <w:rFonts w:ascii="Calibri" w:hAnsi="Calibri"/>
          <w:i/>
          <w:sz w:val="24"/>
        </w:rPr>
        <w:t>certitudo</w:t>
      </w:r>
      <w:r w:rsidR="00873D30" w:rsidRPr="003D1E07">
        <w:rPr>
          <w:rStyle w:val="addmd"/>
          <w:i/>
        </w:rPr>
        <w:fldChar w:fldCharType="begin"/>
      </w:r>
      <w:r w:rsidR="00873D30" w:rsidRPr="003D1E07">
        <w:instrText xml:space="preserve"> XE "pravda:</w:instrText>
      </w:r>
      <w:r w:rsidR="00873D30" w:rsidRPr="003D1E07">
        <w:rPr>
          <w:i/>
        </w:rPr>
        <w:instrText>certitudo</w:instrText>
      </w:r>
      <w:r w:rsidR="00873D30" w:rsidRPr="003D1E07">
        <w:instrText xml:space="preserve">" </w:instrText>
      </w:r>
      <w:r w:rsidR="00873D30" w:rsidRPr="003D1E07">
        <w:rPr>
          <w:rStyle w:val="addmd"/>
          <w:i/>
        </w:rPr>
        <w:fldChar w:fldCharType="end"/>
      </w:r>
      <w:r w:rsidR="007B4865" w:rsidRPr="003D1E07">
        <w:rPr>
          <w:rStyle w:val="FontStyle129"/>
          <w:rFonts w:ascii="Calibri" w:hAnsi="Calibri"/>
          <w:sz w:val="24"/>
        </w:rPr>
        <w:t>)</w:t>
      </w:r>
      <w:r w:rsidR="004920CD" w:rsidRPr="003D1E07">
        <w:rPr>
          <w:rStyle w:val="FontStyle129"/>
          <w:rFonts w:ascii="Calibri" w:hAnsi="Calibri"/>
          <w:sz w:val="24"/>
        </w:rPr>
        <w:t xml:space="preserve"> navázaná na sebevědomého moderního demiurga</w:t>
      </w:r>
      <w:r w:rsidR="00640BE5" w:rsidRPr="003D1E07">
        <w:rPr>
          <w:rStyle w:val="FontStyle129"/>
          <w:rFonts w:ascii="Calibri" w:hAnsi="Calibri"/>
          <w:sz w:val="24"/>
        </w:rPr>
        <w:fldChar w:fldCharType="begin"/>
      </w:r>
      <w:r w:rsidR="00640BE5" w:rsidRPr="003D1E07">
        <w:instrText xml:space="preserve"> XE "</w:instrText>
      </w:r>
      <w:r w:rsidR="00640BE5" w:rsidRPr="003D1E07">
        <w:rPr>
          <w:rStyle w:val="addmd"/>
        </w:rPr>
        <w:instrText>demiurg</w:instrText>
      </w:r>
      <w:r w:rsidR="00640BE5" w:rsidRPr="003D1E07">
        <w:instrText xml:space="preserve">" </w:instrText>
      </w:r>
      <w:r w:rsidR="00640BE5" w:rsidRPr="003D1E07">
        <w:rPr>
          <w:rStyle w:val="FontStyle129"/>
          <w:rFonts w:ascii="Calibri" w:hAnsi="Calibri"/>
          <w:sz w:val="24"/>
        </w:rPr>
        <w:fldChar w:fldCharType="end"/>
      </w:r>
      <w:r w:rsidR="007B4865" w:rsidRPr="003D1E07">
        <w:rPr>
          <w:rStyle w:val="FontStyle129"/>
          <w:rFonts w:ascii="Calibri" w:hAnsi="Calibri"/>
          <w:sz w:val="24"/>
        </w:rPr>
        <w:t xml:space="preserve">. </w:t>
      </w:r>
      <w:r w:rsidR="00B66C06" w:rsidRPr="003D1E07">
        <w:rPr>
          <w:rStyle w:val="FontStyle129"/>
          <w:rFonts w:ascii="Calibri" w:hAnsi="Calibri"/>
          <w:sz w:val="24"/>
        </w:rPr>
        <w:t xml:space="preserve">Nový tvůrce není vázán principem reality, který je tvořen kauzalitou první substance. </w:t>
      </w:r>
      <w:r w:rsidR="00E64285" w:rsidRPr="003D1E07">
        <w:rPr>
          <w:rStyle w:val="FontStyle129"/>
          <w:rFonts w:ascii="Calibri" w:hAnsi="Calibri"/>
          <w:sz w:val="24"/>
        </w:rPr>
        <w:t xml:space="preserve">Jeho </w:t>
      </w:r>
      <w:r w:rsidR="00C65538" w:rsidRPr="003D1E07">
        <w:rPr>
          <w:rStyle w:val="FontStyle129"/>
          <w:rFonts w:ascii="Calibri" w:hAnsi="Calibri"/>
          <w:sz w:val="24"/>
        </w:rPr>
        <w:t xml:space="preserve">jistota </w:t>
      </w:r>
      <w:r w:rsidR="088A587A" w:rsidRPr="003D1E07">
        <w:rPr>
          <w:rStyle w:val="FontStyle129"/>
          <w:rFonts w:ascii="Calibri" w:hAnsi="Calibri"/>
          <w:sz w:val="24"/>
        </w:rPr>
        <w:t xml:space="preserve">pochází shůry a pak ji predikuje </w:t>
      </w:r>
      <w:r w:rsidR="00F57EE7">
        <w:rPr>
          <w:rStyle w:val="FontStyle129"/>
          <w:rFonts w:ascii="Calibri" w:hAnsi="Calibri"/>
          <w:sz w:val="24"/>
        </w:rPr>
        <w:t xml:space="preserve">směrem dolů </w:t>
      </w:r>
      <w:r w:rsidR="088A587A" w:rsidRPr="003D1E07">
        <w:rPr>
          <w:rStyle w:val="FontStyle129"/>
          <w:rFonts w:ascii="Calibri" w:hAnsi="Calibri"/>
          <w:sz w:val="24"/>
        </w:rPr>
        <w:t xml:space="preserve">v modu komitace. </w:t>
      </w:r>
      <w:r w:rsidR="00C65538" w:rsidRPr="003D1E07">
        <w:rPr>
          <w:rStyle w:val="FontStyle129"/>
          <w:rFonts w:ascii="Calibri" w:hAnsi="Calibri"/>
          <w:sz w:val="24"/>
        </w:rPr>
        <w:t>I</w:t>
      </w:r>
      <w:r w:rsidR="00D54938" w:rsidRPr="003D1E07">
        <w:rPr>
          <w:rStyle w:val="FontStyle129"/>
          <w:rFonts w:ascii="Calibri" w:hAnsi="Calibri"/>
          <w:sz w:val="24"/>
        </w:rPr>
        <w:t xml:space="preserve">ntelekt </w:t>
      </w:r>
      <w:r w:rsidR="00C65538" w:rsidRPr="003D1E07">
        <w:rPr>
          <w:rStyle w:val="FontStyle129"/>
          <w:rFonts w:ascii="Calibri" w:hAnsi="Calibri"/>
          <w:sz w:val="24"/>
        </w:rPr>
        <w:t xml:space="preserve">moderního ilumináta </w:t>
      </w:r>
      <w:r w:rsidR="00720B2D" w:rsidRPr="003D1E07">
        <w:rPr>
          <w:rStyle w:val="FontStyle129"/>
          <w:rFonts w:ascii="Calibri" w:hAnsi="Calibri"/>
          <w:sz w:val="24"/>
        </w:rPr>
        <w:t xml:space="preserve">nepotřebuje </w:t>
      </w:r>
      <w:r w:rsidR="00F57EE7">
        <w:rPr>
          <w:rStyle w:val="FontStyle129"/>
          <w:rFonts w:ascii="Calibri" w:hAnsi="Calibri"/>
          <w:sz w:val="24"/>
        </w:rPr>
        <w:t xml:space="preserve">primárně </w:t>
      </w:r>
      <w:r w:rsidR="00C65538" w:rsidRPr="003D1E07">
        <w:rPr>
          <w:rStyle w:val="FontStyle129"/>
          <w:rFonts w:ascii="Calibri" w:hAnsi="Calibri"/>
          <w:sz w:val="24"/>
        </w:rPr>
        <w:t xml:space="preserve">poznávat </w:t>
      </w:r>
      <w:r w:rsidR="005246B0" w:rsidRPr="003D1E07">
        <w:rPr>
          <w:rStyle w:val="FontStyle129"/>
          <w:rFonts w:ascii="Calibri" w:hAnsi="Calibri"/>
          <w:sz w:val="24"/>
        </w:rPr>
        <w:t>smyslový svět a jeho kauzalitu</w:t>
      </w:r>
      <w:r w:rsidR="006B70E6" w:rsidRPr="003D1E07">
        <w:rPr>
          <w:rStyle w:val="FontStyle129"/>
          <w:rFonts w:ascii="Calibri" w:hAnsi="Calibri"/>
          <w:sz w:val="24"/>
        </w:rPr>
        <w:t xml:space="preserve">. </w:t>
      </w:r>
      <w:r w:rsidR="00C14576" w:rsidRPr="003D1E07">
        <w:rPr>
          <w:rStyle w:val="FontStyle129"/>
          <w:rFonts w:ascii="Calibri" w:hAnsi="Calibri"/>
          <w:sz w:val="24"/>
        </w:rPr>
        <w:t>D</w:t>
      </w:r>
      <w:r w:rsidR="006B70E6" w:rsidRPr="003D1E07">
        <w:rPr>
          <w:rStyle w:val="FontStyle129"/>
          <w:rFonts w:ascii="Calibri" w:hAnsi="Calibri"/>
          <w:sz w:val="24"/>
        </w:rPr>
        <w:t xml:space="preserve">uše </w:t>
      </w:r>
      <w:r w:rsidR="00C14576" w:rsidRPr="003D1E07">
        <w:rPr>
          <w:rStyle w:val="FontStyle129"/>
          <w:rFonts w:ascii="Calibri" w:hAnsi="Calibri"/>
          <w:sz w:val="24"/>
        </w:rPr>
        <w:t xml:space="preserve">nazírá </w:t>
      </w:r>
      <w:r w:rsidR="00387D56" w:rsidRPr="003D1E07">
        <w:rPr>
          <w:rStyle w:val="FontStyle129"/>
          <w:rFonts w:ascii="Calibri" w:hAnsi="Calibri"/>
          <w:sz w:val="24"/>
        </w:rPr>
        <w:t>stejně jako boží i</w:t>
      </w:r>
      <w:r w:rsidR="009F793D" w:rsidRPr="003D1E07">
        <w:rPr>
          <w:rStyle w:val="FontStyle129"/>
          <w:rFonts w:ascii="Calibri" w:hAnsi="Calibri"/>
          <w:sz w:val="24"/>
        </w:rPr>
        <w:t xml:space="preserve">ntelekt Ibn </w:t>
      </w:r>
      <w:r w:rsidR="00D5682D" w:rsidRPr="003D1E07">
        <w:rPr>
          <w:rStyle w:val="FontStyle129"/>
          <w:rFonts w:ascii="Calibri" w:hAnsi="Calibri"/>
          <w:sz w:val="24"/>
        </w:rPr>
        <w:t>Ádí</w:t>
      </w:r>
      <w:r w:rsidR="009F793D" w:rsidRPr="003D1E07">
        <w:rPr>
          <w:rStyle w:val="FontStyle129"/>
          <w:rFonts w:ascii="Calibri" w:hAnsi="Calibri"/>
          <w:sz w:val="24"/>
        </w:rPr>
        <w:t xml:space="preserve">ho </w:t>
      </w:r>
      <w:r w:rsidR="00F825E2" w:rsidRPr="003D1E07">
        <w:rPr>
          <w:rStyle w:val="FontStyle129"/>
          <w:rFonts w:ascii="Calibri" w:hAnsi="Calibri"/>
          <w:sz w:val="24"/>
        </w:rPr>
        <w:t xml:space="preserve">(kap. 2.1) </w:t>
      </w:r>
      <w:r w:rsidR="009F793D" w:rsidRPr="003D1E07">
        <w:rPr>
          <w:rStyle w:val="FontStyle129"/>
          <w:rFonts w:ascii="Calibri" w:hAnsi="Calibri"/>
          <w:sz w:val="24"/>
        </w:rPr>
        <w:t xml:space="preserve">sama sebe a </w:t>
      </w:r>
      <w:r w:rsidR="006B70E6" w:rsidRPr="003D1E07">
        <w:rPr>
          <w:rStyle w:val="FontStyle129"/>
          <w:rFonts w:ascii="Calibri" w:hAnsi="Calibri"/>
          <w:sz w:val="24"/>
        </w:rPr>
        <w:t xml:space="preserve">ve stejné aktualitě vnímá i </w:t>
      </w:r>
      <w:r w:rsidR="009F793D" w:rsidRPr="003D1E07">
        <w:rPr>
          <w:rStyle w:val="FontStyle129"/>
          <w:rFonts w:ascii="Calibri" w:hAnsi="Calibri"/>
          <w:sz w:val="24"/>
        </w:rPr>
        <w:t>předmět svého myšlení</w:t>
      </w:r>
      <w:r w:rsidR="00D0625A" w:rsidRPr="003D1E07">
        <w:rPr>
          <w:rStyle w:val="FontStyle129"/>
          <w:rFonts w:ascii="Calibri" w:hAnsi="Calibri"/>
          <w:sz w:val="24"/>
        </w:rPr>
        <w:t>.</w:t>
      </w:r>
      <w:r w:rsidR="00D0625A" w:rsidRPr="003D1E07">
        <w:rPr>
          <w:rStyle w:val="Znakapoznpodarou"/>
          <w:szCs w:val="18"/>
        </w:rPr>
        <w:footnoteReference w:id="167"/>
      </w:r>
      <w:r w:rsidR="008C7801" w:rsidRPr="003D1E07">
        <w:rPr>
          <w:rStyle w:val="FontStyle129"/>
          <w:rFonts w:ascii="Calibri" w:hAnsi="Calibri"/>
          <w:sz w:val="24"/>
        </w:rPr>
        <w:t xml:space="preserve"> V této sebereflexi </w:t>
      </w:r>
      <w:r w:rsidR="00E9648A" w:rsidRPr="003D1E07">
        <w:rPr>
          <w:rStyle w:val="FontStyle129"/>
          <w:rFonts w:ascii="Calibri" w:hAnsi="Calibri"/>
          <w:sz w:val="24"/>
        </w:rPr>
        <w:t xml:space="preserve">intelektu </w:t>
      </w:r>
      <w:r w:rsidR="008C7801" w:rsidRPr="003D1E07">
        <w:rPr>
          <w:rStyle w:val="FontStyle129"/>
          <w:rFonts w:ascii="Calibri" w:hAnsi="Calibri"/>
          <w:sz w:val="24"/>
        </w:rPr>
        <w:t xml:space="preserve">postaveného mimo svět </w:t>
      </w:r>
      <w:r w:rsidR="00D0625A" w:rsidRPr="003D1E07">
        <w:rPr>
          <w:rStyle w:val="FontStyle129"/>
          <w:rFonts w:ascii="Calibri" w:hAnsi="Calibri"/>
          <w:sz w:val="24"/>
        </w:rPr>
        <w:t xml:space="preserve">leží základ </w:t>
      </w:r>
      <w:r w:rsidR="005D03D9" w:rsidRPr="003D1E07">
        <w:rPr>
          <w:rStyle w:val="FontStyle129"/>
          <w:rFonts w:ascii="Calibri" w:hAnsi="Calibri"/>
          <w:sz w:val="24"/>
        </w:rPr>
        <w:t>kartezi</w:t>
      </w:r>
      <w:r w:rsidR="00D0625A" w:rsidRPr="003D1E07">
        <w:rPr>
          <w:rStyle w:val="FontStyle129"/>
          <w:rFonts w:ascii="Calibri" w:hAnsi="Calibri"/>
          <w:sz w:val="24"/>
        </w:rPr>
        <w:t>ánského dualismu</w:t>
      </w:r>
      <w:r w:rsidR="00F37596" w:rsidRPr="003D1E07">
        <w:rPr>
          <w:rStyle w:val="FontStyle129"/>
          <w:rFonts w:ascii="Calibri" w:hAnsi="Calibri"/>
          <w:sz w:val="24"/>
        </w:rPr>
        <w:t xml:space="preserve"> zná</w:t>
      </w:r>
      <w:r w:rsidR="003658CD" w:rsidRPr="003D1E07">
        <w:rPr>
          <w:rStyle w:val="FontStyle129"/>
          <w:rFonts w:ascii="Calibri" w:hAnsi="Calibri"/>
          <w:sz w:val="24"/>
        </w:rPr>
        <w:t>m</w:t>
      </w:r>
      <w:r w:rsidR="00F37596" w:rsidRPr="003D1E07">
        <w:rPr>
          <w:rStyle w:val="FontStyle129"/>
          <w:rFonts w:ascii="Calibri" w:hAnsi="Calibri"/>
          <w:sz w:val="24"/>
        </w:rPr>
        <w:t>é</w:t>
      </w:r>
      <w:r w:rsidR="003658CD" w:rsidRPr="003D1E07">
        <w:rPr>
          <w:rStyle w:val="FontStyle129"/>
          <w:rFonts w:ascii="Calibri" w:hAnsi="Calibri"/>
          <w:sz w:val="24"/>
        </w:rPr>
        <w:t>ho od Avicennova myšlenkového experimentu „létajícího muže</w:t>
      </w:r>
      <w:r w:rsidR="00652149" w:rsidRPr="003D1E07">
        <w:rPr>
          <w:rStyle w:val="FontStyle129"/>
          <w:rFonts w:ascii="Calibri" w:hAnsi="Calibri"/>
          <w:sz w:val="24"/>
        </w:rPr>
        <w:fldChar w:fldCharType="begin"/>
      </w:r>
      <w:r w:rsidR="00652149" w:rsidRPr="003D1E07">
        <w:instrText xml:space="preserve"> XE "</w:instrText>
      </w:r>
      <w:r w:rsidR="00652149" w:rsidRPr="003D1E07">
        <w:rPr>
          <w:rStyle w:val="FontStyle129"/>
          <w:rFonts w:ascii="Calibri" w:hAnsi="Calibri"/>
          <w:sz w:val="24"/>
        </w:rPr>
        <w:instrText>létající muž</w:instrText>
      </w:r>
      <w:r w:rsidR="00652149" w:rsidRPr="003D1E07">
        <w:instrText xml:space="preserve">" </w:instrText>
      </w:r>
      <w:r w:rsidR="00652149" w:rsidRPr="003D1E07">
        <w:rPr>
          <w:rStyle w:val="FontStyle129"/>
          <w:rFonts w:ascii="Calibri" w:hAnsi="Calibri"/>
          <w:sz w:val="24"/>
        </w:rPr>
        <w:fldChar w:fldCharType="end"/>
      </w:r>
      <w:r w:rsidR="003658CD" w:rsidRPr="003D1E07">
        <w:rPr>
          <w:rStyle w:val="FontStyle129"/>
          <w:rFonts w:ascii="Calibri" w:hAnsi="Calibri"/>
          <w:sz w:val="24"/>
        </w:rPr>
        <w:t>“</w:t>
      </w:r>
      <w:r w:rsidR="00D0625A" w:rsidRPr="003D1E07">
        <w:rPr>
          <w:rStyle w:val="FontStyle129"/>
          <w:rFonts w:ascii="Calibri" w:hAnsi="Calibri"/>
          <w:sz w:val="24"/>
        </w:rPr>
        <w:t>.</w:t>
      </w:r>
      <w:r w:rsidR="001C6653" w:rsidRPr="003D1E07">
        <w:rPr>
          <w:rStyle w:val="FontStyle129"/>
          <w:rFonts w:ascii="Calibri" w:hAnsi="Calibri"/>
          <w:sz w:val="24"/>
        </w:rPr>
        <w:t xml:space="preserve"> </w:t>
      </w:r>
      <w:r w:rsidR="00FA180E" w:rsidRPr="003D1E07">
        <w:rPr>
          <w:rStyle w:val="FontStyle129"/>
          <w:rFonts w:ascii="Calibri" w:hAnsi="Calibri"/>
          <w:sz w:val="24"/>
        </w:rPr>
        <w:t xml:space="preserve">V tomto pojetí abstrakce se </w:t>
      </w:r>
      <w:r w:rsidR="00925EF6" w:rsidRPr="003D1E07">
        <w:rPr>
          <w:rStyle w:val="FontStyle129"/>
          <w:rFonts w:ascii="Calibri" w:hAnsi="Calibri"/>
          <w:sz w:val="24"/>
        </w:rPr>
        <w:t xml:space="preserve">bytí poznávané věci </w:t>
      </w:r>
      <w:r w:rsidR="00C109EE" w:rsidRPr="003D1E07">
        <w:rPr>
          <w:rStyle w:val="FontStyle129"/>
          <w:rFonts w:ascii="Calibri" w:hAnsi="Calibri"/>
          <w:sz w:val="24"/>
        </w:rPr>
        <w:t xml:space="preserve">a činnost </w:t>
      </w:r>
      <w:r w:rsidR="00A579DF" w:rsidRPr="003D1E07">
        <w:rPr>
          <w:rStyle w:val="FontStyle129"/>
          <w:rFonts w:ascii="Calibri" w:hAnsi="Calibri"/>
          <w:sz w:val="24"/>
        </w:rPr>
        <w:t xml:space="preserve">individuální </w:t>
      </w:r>
      <w:r w:rsidR="00C109EE" w:rsidRPr="003D1E07">
        <w:rPr>
          <w:rStyle w:val="FontStyle129"/>
          <w:rFonts w:ascii="Calibri" w:hAnsi="Calibri"/>
          <w:sz w:val="24"/>
        </w:rPr>
        <w:t xml:space="preserve">duše </w:t>
      </w:r>
      <w:r w:rsidR="00FA180E" w:rsidRPr="003D1E07">
        <w:rPr>
          <w:rStyle w:val="FontStyle129"/>
          <w:rFonts w:ascii="Calibri" w:hAnsi="Calibri"/>
          <w:sz w:val="24"/>
        </w:rPr>
        <w:t xml:space="preserve">stává </w:t>
      </w:r>
      <w:r w:rsidR="00925EF6" w:rsidRPr="003D1E07">
        <w:rPr>
          <w:rStyle w:val="FontStyle129"/>
          <w:rFonts w:ascii="Calibri" w:hAnsi="Calibri"/>
          <w:sz w:val="24"/>
        </w:rPr>
        <w:t>pouhý</w:t>
      </w:r>
      <w:r w:rsidR="00FA180E" w:rsidRPr="003D1E07">
        <w:rPr>
          <w:rStyle w:val="FontStyle129"/>
          <w:rFonts w:ascii="Calibri" w:hAnsi="Calibri"/>
          <w:sz w:val="24"/>
        </w:rPr>
        <w:t>m</w:t>
      </w:r>
      <w:r w:rsidR="00925EF6" w:rsidRPr="003D1E07">
        <w:rPr>
          <w:rStyle w:val="FontStyle129"/>
          <w:rFonts w:ascii="Calibri" w:hAnsi="Calibri"/>
          <w:sz w:val="24"/>
        </w:rPr>
        <w:t xml:space="preserve"> akcident</w:t>
      </w:r>
      <w:r w:rsidR="00FA180E" w:rsidRPr="003D1E07">
        <w:rPr>
          <w:rStyle w:val="FontStyle129"/>
          <w:rFonts w:ascii="Calibri" w:hAnsi="Calibri"/>
          <w:sz w:val="24"/>
        </w:rPr>
        <w:t>em</w:t>
      </w:r>
      <w:r w:rsidR="005D5FFE" w:rsidRPr="003D1E07">
        <w:rPr>
          <w:rStyle w:val="FontStyle129"/>
          <w:rFonts w:ascii="Calibri" w:hAnsi="Calibri"/>
          <w:sz w:val="24"/>
        </w:rPr>
        <w:t>, protože abstrakce běží směrem od činného intelektu</w:t>
      </w:r>
      <w:r w:rsidR="00DF386D" w:rsidRPr="003D1E07">
        <w:rPr>
          <w:rStyle w:val="FontStyle129"/>
          <w:rFonts w:ascii="Calibri" w:hAnsi="Calibri"/>
          <w:sz w:val="24"/>
        </w:rPr>
        <w:t xml:space="preserve">. </w:t>
      </w:r>
      <w:r w:rsidR="00C845E1" w:rsidRPr="003D1E07">
        <w:rPr>
          <w:rStyle w:val="FontStyle129"/>
          <w:rFonts w:ascii="Calibri" w:hAnsi="Calibri"/>
          <w:sz w:val="24"/>
        </w:rPr>
        <w:t>Podle Avicenny se prorok a osvícený učenec jako vynikající mudrc liší od pouhého praktikujícího a obyčejného mudrce okamžitým a téměř spontánním přístupe</w:t>
      </w:r>
      <w:r w:rsidR="002D3C7B">
        <w:rPr>
          <w:rStyle w:val="FontStyle129"/>
          <w:rFonts w:ascii="Calibri" w:hAnsi="Calibri"/>
          <w:sz w:val="24"/>
        </w:rPr>
        <w:t>m k této vyšší formě intelektu.</w:t>
      </w:r>
    </w:p>
    <w:p w14:paraId="3356D930" w14:textId="7FD25B97" w:rsidR="007A5A34" w:rsidRPr="003D1E07" w:rsidRDefault="08C610C0" w:rsidP="002D3C7B">
      <w:pPr>
        <w:ind w:firstLine="397"/>
        <w:rPr>
          <w:szCs w:val="18"/>
        </w:rPr>
      </w:pPr>
      <w:r w:rsidRPr="003D1E07">
        <w:rPr>
          <w:rStyle w:val="FontStyle129"/>
          <w:rFonts w:ascii="Calibri" w:hAnsi="Calibri"/>
          <w:sz w:val="24"/>
        </w:rPr>
        <w:t xml:space="preserve">Nasvícení zezadu a jeho různá modalita </w:t>
      </w:r>
      <w:r w:rsidR="00390BC6" w:rsidRPr="003D1E07">
        <w:rPr>
          <w:rStyle w:val="FontStyle129"/>
          <w:rFonts w:ascii="Calibri" w:hAnsi="Calibri"/>
          <w:sz w:val="24"/>
        </w:rPr>
        <w:t>zakládá figuru západního inte</w:t>
      </w:r>
      <w:r w:rsidR="00863417" w:rsidRPr="003D1E07">
        <w:rPr>
          <w:rStyle w:val="FontStyle129"/>
          <w:rFonts w:ascii="Calibri" w:hAnsi="Calibri"/>
          <w:sz w:val="24"/>
        </w:rPr>
        <w:t>le</w:t>
      </w:r>
      <w:r w:rsidR="00390BC6" w:rsidRPr="003D1E07">
        <w:rPr>
          <w:rStyle w:val="FontStyle129"/>
          <w:rFonts w:ascii="Calibri" w:hAnsi="Calibri"/>
          <w:sz w:val="24"/>
        </w:rPr>
        <w:t>ktuála</w:t>
      </w:r>
      <w:r w:rsidR="00863417" w:rsidRPr="003D1E07">
        <w:rPr>
          <w:rStyle w:val="FontStyle129"/>
          <w:rFonts w:ascii="Calibri" w:hAnsi="Calibri"/>
          <w:sz w:val="24"/>
        </w:rPr>
        <w:t xml:space="preserve"> zcela odlišného od humanistické verze Al-</w:t>
      </w:r>
      <w:r w:rsidR="008E02F5" w:rsidRPr="003D1E07">
        <w:rPr>
          <w:rStyle w:val="FontStyle129"/>
          <w:rFonts w:ascii="Calibri" w:hAnsi="Calibri"/>
          <w:sz w:val="24"/>
        </w:rPr>
        <w:t>Fárábí</w:t>
      </w:r>
      <w:r w:rsidR="00863417" w:rsidRPr="003D1E07">
        <w:rPr>
          <w:rStyle w:val="FontStyle129"/>
          <w:rFonts w:ascii="Calibri" w:hAnsi="Calibri"/>
          <w:sz w:val="24"/>
        </w:rPr>
        <w:t xml:space="preserve">ho </w:t>
      </w:r>
      <w:r w:rsidR="00874D2B" w:rsidRPr="003D1E07">
        <w:rPr>
          <w:rStyle w:val="FontStyle129"/>
          <w:rFonts w:ascii="Calibri" w:hAnsi="Calibri"/>
          <w:sz w:val="24"/>
        </w:rPr>
        <w:t>(</w:t>
      </w:r>
      <w:r w:rsidR="00C638B4" w:rsidRPr="003D1E07">
        <w:rPr>
          <w:rStyle w:val="FontStyle129"/>
          <w:rFonts w:ascii="Calibri" w:hAnsi="Calibri"/>
          <w:sz w:val="24"/>
        </w:rPr>
        <w:t>kap. 2.1.1</w:t>
      </w:r>
      <w:r w:rsidR="00874D2B" w:rsidRPr="003D1E07">
        <w:rPr>
          <w:rStyle w:val="FontStyle129"/>
          <w:rFonts w:ascii="Calibri" w:hAnsi="Calibri"/>
          <w:sz w:val="24"/>
        </w:rPr>
        <w:t xml:space="preserve">) </w:t>
      </w:r>
      <w:r w:rsidR="00863417" w:rsidRPr="003D1E07">
        <w:rPr>
          <w:rStyle w:val="FontStyle129"/>
          <w:rFonts w:ascii="Calibri" w:hAnsi="Calibri"/>
          <w:sz w:val="24"/>
        </w:rPr>
        <w:t xml:space="preserve">později </w:t>
      </w:r>
      <w:r w:rsidR="008D3931" w:rsidRPr="003D1E07">
        <w:rPr>
          <w:rStyle w:val="FontStyle129"/>
          <w:rFonts w:ascii="Calibri" w:hAnsi="Calibri"/>
          <w:sz w:val="24"/>
        </w:rPr>
        <w:t xml:space="preserve">aktualizované </w:t>
      </w:r>
      <w:r w:rsidR="00874D2B" w:rsidRPr="003D1E07">
        <w:rPr>
          <w:rStyle w:val="FontStyle129"/>
          <w:rFonts w:ascii="Calibri" w:hAnsi="Calibri"/>
          <w:sz w:val="24"/>
        </w:rPr>
        <w:t>Siger</w:t>
      </w:r>
      <w:r w:rsidR="006242CB" w:rsidRPr="003D1E07">
        <w:rPr>
          <w:rStyle w:val="FontStyle129"/>
          <w:rFonts w:ascii="Calibri" w:hAnsi="Calibri"/>
          <w:sz w:val="24"/>
        </w:rPr>
        <w:t xml:space="preserve">em </w:t>
      </w:r>
      <w:r w:rsidR="00874D2B" w:rsidRPr="003D1E07">
        <w:rPr>
          <w:rStyle w:val="FontStyle129"/>
          <w:rFonts w:ascii="Calibri" w:hAnsi="Calibri"/>
          <w:sz w:val="24"/>
        </w:rPr>
        <w:t xml:space="preserve">a </w:t>
      </w:r>
      <w:r w:rsidR="006242CB" w:rsidRPr="003D1E07">
        <w:rPr>
          <w:rStyle w:val="FontStyle129"/>
          <w:rFonts w:ascii="Calibri" w:hAnsi="Calibri"/>
          <w:sz w:val="24"/>
        </w:rPr>
        <w:t>Dantem</w:t>
      </w:r>
      <w:r w:rsidR="00863417" w:rsidRPr="003D1E07">
        <w:rPr>
          <w:rStyle w:val="FontStyle129"/>
          <w:rFonts w:ascii="Calibri" w:hAnsi="Calibri"/>
          <w:sz w:val="24"/>
        </w:rPr>
        <w:t xml:space="preserve">. </w:t>
      </w:r>
      <w:r w:rsidR="0079538A" w:rsidRPr="003D1E07">
        <w:t xml:space="preserve">Darovaný intelekt </w:t>
      </w:r>
      <w:r w:rsidR="001E60F8" w:rsidRPr="003D1E07">
        <w:rPr>
          <w:rStyle w:val="FontStyle129"/>
          <w:rFonts w:ascii="Calibri" w:hAnsi="Calibri"/>
          <w:sz w:val="24"/>
        </w:rPr>
        <w:t xml:space="preserve">Avicenny </w:t>
      </w:r>
      <w:r w:rsidR="0079538A" w:rsidRPr="003D1E07">
        <w:t xml:space="preserve">umožňuje výstup ke světu čistých </w:t>
      </w:r>
      <w:r w:rsidR="00F20FB6">
        <w:t>forem, kde se připodobňuje d</w:t>
      </w:r>
      <w:r w:rsidR="00B467C9" w:rsidRPr="003D1E07">
        <w:t>árci</w:t>
      </w:r>
      <w:r w:rsidR="0079538A" w:rsidRPr="003D1E07">
        <w:t xml:space="preserve"> forem</w:t>
      </w:r>
      <w:r w:rsidR="00B467C9" w:rsidRPr="003D1E07">
        <w:fldChar w:fldCharType="begin"/>
      </w:r>
      <w:r w:rsidR="00B467C9" w:rsidRPr="003D1E07">
        <w:instrText xml:space="preserve"> XE "</w:instrText>
      </w:r>
      <w:r w:rsidR="00B467C9" w:rsidRPr="003D1E07">
        <w:rPr>
          <w:i/>
        </w:rPr>
        <w:instrText>Dator formarum</w:instrText>
      </w:r>
      <w:r w:rsidR="00B467C9" w:rsidRPr="003D1E07">
        <w:instrText xml:space="preserve">" </w:instrText>
      </w:r>
      <w:r w:rsidR="00B467C9" w:rsidRPr="003D1E07">
        <w:fldChar w:fldCharType="end"/>
      </w:r>
      <w:r w:rsidR="0079538A" w:rsidRPr="003D1E07">
        <w:t xml:space="preserve"> (</w:t>
      </w:r>
      <w:r w:rsidR="0079538A" w:rsidRPr="003D1E07">
        <w:rPr>
          <w:i/>
        </w:rPr>
        <w:t>intellectus sanctus</w:t>
      </w:r>
      <w:r w:rsidR="00AE6EEC" w:rsidRPr="003D1E07">
        <w:rPr>
          <w:i/>
        </w:rPr>
        <w:fldChar w:fldCharType="begin"/>
      </w:r>
      <w:r w:rsidR="00AE6EEC" w:rsidRPr="003D1E07">
        <w:instrText xml:space="preserve"> XE "</w:instrText>
      </w:r>
      <w:r w:rsidR="00AE6EEC" w:rsidRPr="003D1E07">
        <w:rPr>
          <w:i/>
        </w:rPr>
        <w:instrText>intellectus sanctus</w:instrText>
      </w:r>
      <w:r w:rsidR="00AE6EEC" w:rsidRPr="003D1E07">
        <w:instrText xml:space="preserve">" </w:instrText>
      </w:r>
      <w:r w:rsidR="00AE6EEC" w:rsidRPr="003D1E07">
        <w:rPr>
          <w:i/>
        </w:rPr>
        <w:fldChar w:fldCharType="end"/>
      </w:r>
      <w:r w:rsidR="0079538A" w:rsidRPr="003D1E07">
        <w:t xml:space="preserve">). </w:t>
      </w:r>
      <w:r w:rsidR="00BC61FF" w:rsidRPr="003D1E07">
        <w:t>Dosáhnout této roviny</w:t>
      </w:r>
      <w:r w:rsidR="0079538A" w:rsidRPr="003D1E07">
        <w:t xml:space="preserve"> poznání znamená, že </w:t>
      </w:r>
      <w:r w:rsidR="00BC61FF" w:rsidRPr="003D1E07">
        <w:lastRenderedPageBreak/>
        <w:t xml:space="preserve">vznikne </w:t>
      </w:r>
      <w:r w:rsidR="0079538A" w:rsidRPr="003D1E07">
        <w:t>spojení imaginace a intelektu s Prvním činným intelektem (</w:t>
      </w:r>
      <w:r w:rsidR="0079538A" w:rsidRPr="003D1E07">
        <w:rPr>
          <w:i/>
        </w:rPr>
        <w:t>al-'aql al-awwal</w:t>
      </w:r>
      <w:r w:rsidR="00D46C85" w:rsidRPr="003D1E07">
        <w:rPr>
          <w:rStyle w:val="FontStyle129"/>
          <w:rFonts w:ascii="Calibri" w:hAnsi="Calibri"/>
          <w:i/>
          <w:sz w:val="24"/>
        </w:rPr>
        <w:fldChar w:fldCharType="begin"/>
      </w:r>
      <w:r w:rsidR="00D46C85" w:rsidRPr="003D1E07">
        <w:instrText xml:space="preserve"> XE "</w:instrText>
      </w:r>
      <w:r w:rsidR="00D46C85" w:rsidRPr="003D1E07">
        <w:rPr>
          <w:i/>
        </w:rPr>
        <w:instrText>intellectus agens</w:instrText>
      </w:r>
      <w:r w:rsidR="00D46C85" w:rsidRPr="003D1E07">
        <w:instrText xml:space="preserve">:Avicenna" </w:instrText>
      </w:r>
      <w:r w:rsidR="00D46C85" w:rsidRPr="003D1E07">
        <w:rPr>
          <w:rStyle w:val="FontStyle129"/>
          <w:rFonts w:ascii="Calibri" w:hAnsi="Calibri"/>
          <w:i/>
          <w:sz w:val="24"/>
        </w:rPr>
        <w:fldChar w:fldCharType="end"/>
      </w:r>
      <w:r w:rsidR="0079538A" w:rsidRPr="003D1E07">
        <w:t>). Intelektuální mystik musí prohloubit duchovní imaginaci a osvícení (</w:t>
      </w:r>
      <w:r w:rsidR="0079538A" w:rsidRPr="003D1E07">
        <w:rPr>
          <w:i/>
        </w:rPr>
        <w:t>ilhām</w:t>
      </w:r>
      <w:r w:rsidR="0079538A" w:rsidRPr="003D1E07">
        <w:t>), aby mohl přejít k plnému spojení s aktivním intelektem nemateriálních substancí (</w:t>
      </w:r>
      <w:r w:rsidR="0079538A" w:rsidRPr="003D1E07">
        <w:rPr>
          <w:i/>
        </w:rPr>
        <w:t>al-'uqūlu al-fa'āl</w:t>
      </w:r>
      <w:r w:rsidR="0079538A" w:rsidRPr="003D1E07">
        <w:t xml:space="preserve">). </w:t>
      </w:r>
      <w:r w:rsidR="00EE779D" w:rsidRPr="003D1E07">
        <w:t>Tento odd</w:t>
      </w:r>
      <w:r w:rsidR="0079538A" w:rsidRPr="003D1E07">
        <w:rPr>
          <w:rStyle w:val="FontStyle129"/>
          <w:rFonts w:ascii="Calibri" w:hAnsi="Calibri"/>
          <w:sz w:val="24"/>
        </w:rPr>
        <w:t xml:space="preserve">ělený </w:t>
      </w:r>
      <w:r w:rsidR="00E87EED" w:rsidRPr="003D1E07">
        <w:rPr>
          <w:rStyle w:val="FontStyle129"/>
          <w:rFonts w:ascii="Calibri" w:hAnsi="Calibri"/>
          <w:sz w:val="24"/>
        </w:rPr>
        <w:t xml:space="preserve">kosmický </w:t>
      </w:r>
      <w:r w:rsidR="0079538A" w:rsidRPr="003D1E07">
        <w:rPr>
          <w:rStyle w:val="FontStyle129"/>
          <w:rFonts w:ascii="Calibri" w:hAnsi="Calibri"/>
          <w:i/>
          <w:sz w:val="24"/>
        </w:rPr>
        <w:t>intellectus agens</w:t>
      </w:r>
      <w:r w:rsidR="0079538A" w:rsidRPr="003D1E07">
        <w:rPr>
          <w:rStyle w:val="FontStyle129"/>
          <w:rFonts w:ascii="Calibri" w:hAnsi="Calibri"/>
          <w:sz w:val="24"/>
        </w:rPr>
        <w:t xml:space="preserve"> </w:t>
      </w:r>
      <w:r w:rsidR="00EE779D" w:rsidRPr="003D1E07">
        <w:rPr>
          <w:rStyle w:val="FontStyle129"/>
          <w:rFonts w:ascii="Calibri" w:hAnsi="Calibri"/>
          <w:sz w:val="24"/>
        </w:rPr>
        <w:t xml:space="preserve">přináší </w:t>
      </w:r>
      <w:r w:rsidR="0079538A" w:rsidRPr="003D1E07">
        <w:rPr>
          <w:rStyle w:val="FontStyle129"/>
          <w:rFonts w:ascii="Calibri" w:hAnsi="Calibri"/>
          <w:sz w:val="24"/>
        </w:rPr>
        <w:t xml:space="preserve">aktualizované formy do lidské duše. </w:t>
      </w:r>
      <w:r w:rsidR="0079538A" w:rsidRPr="003D1E07">
        <w:t>Tím duše získá prorocké vidění (</w:t>
      </w:r>
      <w:r w:rsidR="0079538A" w:rsidRPr="003D1E07">
        <w:rPr>
          <w:i/>
        </w:rPr>
        <w:t>waḥy</w:t>
      </w:r>
      <w:r w:rsidR="0079538A" w:rsidRPr="003D1E07">
        <w:t>), které umožní komunikaci proroka se světem andělských bytostí (Gardet 1951, 90‒94). V mystice súfismu</w:t>
      </w:r>
      <w:r w:rsidR="08D06F69" w:rsidRPr="003D1E07">
        <w:t xml:space="preserve"> jde o to, aby lidský intelekt viděl anděla jako božího posla a naslouchal</w:t>
      </w:r>
      <w:r w:rsidR="0079538A" w:rsidRPr="003D1E07">
        <w:t xml:space="preserve"> jeho hlasu stejně jako prorok Mohamed</w:t>
      </w:r>
      <w:r w:rsidR="006555A0" w:rsidRPr="003D1E07">
        <w:rPr>
          <w:rStyle w:val="addmd"/>
          <w:i/>
        </w:rPr>
        <w:fldChar w:fldCharType="begin"/>
      </w:r>
      <w:r w:rsidR="006555A0" w:rsidRPr="003D1E07">
        <w:instrText xml:space="preserve"> XE "</w:instrText>
      </w:r>
      <w:r w:rsidR="00720A10" w:rsidRPr="003D1E07">
        <w:instrText>súfismus</w:instrText>
      </w:r>
      <w:r w:rsidR="006555A0" w:rsidRPr="003D1E07">
        <w:instrText xml:space="preserve">" </w:instrText>
      </w:r>
      <w:r w:rsidR="006555A0" w:rsidRPr="003D1E07">
        <w:rPr>
          <w:rStyle w:val="addmd"/>
          <w:i/>
        </w:rPr>
        <w:fldChar w:fldCharType="end"/>
      </w:r>
      <w:r w:rsidR="0079538A" w:rsidRPr="003D1E07">
        <w:t>. Představivost, v neoplatonismu zcela vedlejší činnost vázaná na smysly, dostane v novém schématu mystiky důležitou roli.</w:t>
      </w:r>
      <w:r w:rsidR="00E57120" w:rsidRPr="003D1E07">
        <w:t xml:space="preserve"> </w:t>
      </w:r>
      <w:r w:rsidR="000241CA" w:rsidRPr="003D1E07">
        <w:t xml:space="preserve">Avicennův postup zkoumání </w:t>
      </w:r>
      <w:r w:rsidR="08445B31" w:rsidRPr="003D1E07">
        <w:t>skrze zjevení ve snu měl pro něj fundamentální význam.</w:t>
      </w:r>
      <w:r w:rsidR="08445B31" w:rsidRPr="003D1E07">
        <w:rPr>
          <w:rStyle w:val="Znakapoznpodarou"/>
          <w:szCs w:val="18"/>
        </w:rPr>
        <w:footnoteReference w:id="168"/>
      </w:r>
      <w:r w:rsidR="08445B31" w:rsidRPr="003D1E07">
        <w:t xml:space="preserve"> </w:t>
      </w:r>
      <w:r w:rsidR="086E6BC7" w:rsidRPr="003D1E07">
        <w:t xml:space="preserve">Avicenna zdůrazňuje, že ve snu dostával přímý náhled do středního členu soudu, což hermeneutika vyložila jako základ jeho metafyziky postavené na průsečíku darovaného a činného intelektu. </w:t>
      </w:r>
      <w:r w:rsidR="08445B31" w:rsidRPr="003D1E07">
        <w:t xml:space="preserve">Hledání intuitivního náhledu do objektivní formy vědeckého poznání neprobíhalo v realitě, ale ve snu. </w:t>
      </w:r>
      <w:r w:rsidR="00022AD3" w:rsidRPr="003D1E07">
        <w:t xml:space="preserve">Descartes vytvořil jeho </w:t>
      </w:r>
      <w:r w:rsidR="08445B31" w:rsidRPr="003D1E07">
        <w:t xml:space="preserve">postmoderní </w:t>
      </w:r>
      <w:r w:rsidR="000241CA" w:rsidRPr="003D1E07">
        <w:t xml:space="preserve">obdobu v </w:t>
      </w:r>
      <w:r w:rsidR="000241CA" w:rsidRPr="003D1E07">
        <w:rPr>
          <w:i/>
        </w:rPr>
        <w:t>Rozpravě o metodě</w:t>
      </w:r>
      <w:r w:rsidR="00E12B8C" w:rsidRPr="003D1E07">
        <w:rPr>
          <w:i/>
        </w:rPr>
        <w:t xml:space="preserve"> </w:t>
      </w:r>
      <w:r w:rsidR="00E12B8C" w:rsidRPr="003D1E07">
        <w:t xml:space="preserve">na základě svých snů </w:t>
      </w:r>
      <w:r w:rsidR="00C13FDD" w:rsidRPr="003D1E07">
        <w:rPr>
          <w:rStyle w:val="st"/>
        </w:rPr>
        <w:t xml:space="preserve">daných </w:t>
      </w:r>
      <w:r w:rsidR="00B21D5B" w:rsidRPr="003D1E07">
        <w:rPr>
          <w:rStyle w:val="st"/>
        </w:rPr>
        <w:t xml:space="preserve">v noci 10. listopadu </w:t>
      </w:r>
      <w:r w:rsidR="00E12B8C" w:rsidRPr="003D1E07">
        <w:rPr>
          <w:rStyle w:val="st"/>
        </w:rPr>
        <w:t>1619</w:t>
      </w:r>
      <w:r w:rsidR="000241CA" w:rsidRPr="003D1E07">
        <w:t xml:space="preserve">. </w:t>
      </w:r>
      <w:r w:rsidR="08E266AA" w:rsidRPr="003D1E07">
        <w:t xml:space="preserve">Metafyzické </w:t>
      </w:r>
      <w:r w:rsidR="08E266AA" w:rsidRPr="003D1E07">
        <w:rPr>
          <w:i/>
        </w:rPr>
        <w:t>Gründung</w:t>
      </w:r>
      <w:r w:rsidR="08E266AA" w:rsidRPr="003D1E07">
        <w:t xml:space="preserve"> objektivní vědy </w:t>
      </w:r>
      <w:r w:rsidR="00C13FDD" w:rsidRPr="003D1E07">
        <w:t xml:space="preserve">stojí na dvojím snu </w:t>
      </w:r>
      <w:r w:rsidR="00ED4B96" w:rsidRPr="003D1E07">
        <w:t>prvního modernisty a prvního postmodernisty</w:t>
      </w:r>
      <w:r w:rsidR="00F67ED8" w:rsidRPr="003D1E07">
        <w:t xml:space="preserve">. </w:t>
      </w:r>
      <w:r w:rsidR="085D1176" w:rsidRPr="003D1E07">
        <w:t>Objektivitu</w:t>
      </w:r>
      <w:r w:rsidR="086D3474" w:rsidRPr="003D1E07">
        <w:t xml:space="preserve"> zakládají </w:t>
      </w:r>
      <w:r w:rsidR="00022AD3" w:rsidRPr="003D1E07">
        <w:t xml:space="preserve">iracionální </w:t>
      </w:r>
      <w:r w:rsidR="086D3474" w:rsidRPr="003D1E07">
        <w:t xml:space="preserve">síly skrze oniricky daný význam reality. </w:t>
      </w:r>
      <w:r w:rsidR="00D41EB4" w:rsidRPr="003D1E07">
        <w:t>Archaická h</w:t>
      </w:r>
      <w:r w:rsidR="086D3474" w:rsidRPr="003D1E07">
        <w:t xml:space="preserve">ermeneutika musí řešit otázku, zda moderní oneirologii Avicenny a Descarta řídí múzické síly Pravdy nebo božské síly Pomsty. </w:t>
      </w:r>
      <w:r w:rsidR="08FE6E76" w:rsidRPr="003D1E07">
        <w:t>G</w:t>
      </w:r>
      <w:r w:rsidR="08FE6E76" w:rsidRPr="003D1E07">
        <w:rPr>
          <w:rStyle w:val="FontStyle129"/>
          <w:rFonts w:ascii="Calibri" w:hAnsi="Calibri"/>
          <w:sz w:val="24"/>
        </w:rPr>
        <w:t>nostické vidění neoplatonských modernistů odsoudil ve věku metafyzického nihilismu Nietzsche, který zásadně odmítl toto zásvětí intelektuálních „neurasteniků“ propadlých různých formám platonismu.</w:t>
      </w:r>
      <w:r w:rsidR="08FE6E76" w:rsidRPr="003D1E07">
        <w:rPr>
          <w:rStyle w:val="Znakapoznpodarou"/>
        </w:rPr>
        <w:footnoteReference w:id="169"/>
      </w:r>
      <w:r w:rsidR="08FE6E76" w:rsidRPr="003D1E07">
        <w:rPr>
          <w:rStyle w:val="FontStyle129"/>
          <w:rFonts w:ascii="Calibri" w:hAnsi="Calibri"/>
          <w:sz w:val="24"/>
        </w:rPr>
        <w:t xml:space="preserve"> </w:t>
      </w:r>
      <w:r w:rsidR="08FE6E76" w:rsidRPr="003D1E07">
        <w:t xml:space="preserve">Gandavova metafyzika chiméry (OBJ III, kap. 5.2.2) založila kompletní figuru moderního výkladu světa. </w:t>
      </w:r>
      <w:r w:rsidR="086F749A" w:rsidRPr="003D1E07">
        <w:t>Založení objektivity pomocí epochálního snění obou iluminátů ukazuje</w:t>
      </w:r>
      <w:r w:rsidR="007E634E" w:rsidRPr="003D1E07">
        <w:t>, že s</w:t>
      </w:r>
      <w:r w:rsidR="086D5D52" w:rsidRPr="003D1E07">
        <w:rPr>
          <w:rStyle w:val="FontStyle129"/>
          <w:rFonts w:ascii="Calibri" w:hAnsi="Calibri"/>
          <w:sz w:val="24"/>
        </w:rPr>
        <w:t xml:space="preserve">íla </w:t>
      </w:r>
      <w:r w:rsidR="08072C35" w:rsidRPr="003D1E07">
        <w:rPr>
          <w:rStyle w:val="FontStyle129"/>
          <w:rFonts w:ascii="Calibri" w:hAnsi="Calibri"/>
          <w:sz w:val="24"/>
        </w:rPr>
        <w:t xml:space="preserve">objektivního </w:t>
      </w:r>
      <w:r w:rsidR="000C6631" w:rsidRPr="003D1E07">
        <w:rPr>
          <w:rStyle w:val="FontStyle129"/>
          <w:rFonts w:ascii="Calibri" w:hAnsi="Calibri"/>
          <w:sz w:val="24"/>
        </w:rPr>
        <w:t xml:space="preserve">poznání </w:t>
      </w:r>
      <w:r w:rsidR="086D5D52" w:rsidRPr="003D1E07">
        <w:rPr>
          <w:rStyle w:val="FontStyle129"/>
          <w:rFonts w:ascii="Calibri" w:hAnsi="Calibri"/>
          <w:sz w:val="24"/>
        </w:rPr>
        <w:t xml:space="preserve">je nepřímo úměrná </w:t>
      </w:r>
      <w:r w:rsidR="00C55F58">
        <w:rPr>
          <w:rStyle w:val="FontStyle129"/>
          <w:rFonts w:ascii="Calibri" w:hAnsi="Calibri"/>
          <w:sz w:val="24"/>
        </w:rPr>
        <w:t xml:space="preserve">vlivu </w:t>
      </w:r>
      <w:r w:rsidR="00E20E9E">
        <w:rPr>
          <w:rStyle w:val="FontStyle129"/>
          <w:rFonts w:ascii="Calibri" w:hAnsi="Calibri"/>
          <w:sz w:val="24"/>
        </w:rPr>
        <w:t>externí realit</w:t>
      </w:r>
      <w:r w:rsidR="00C55F58">
        <w:rPr>
          <w:rStyle w:val="FontStyle129"/>
          <w:rFonts w:ascii="Calibri" w:hAnsi="Calibri"/>
          <w:sz w:val="24"/>
        </w:rPr>
        <w:t xml:space="preserve">y na </w:t>
      </w:r>
      <w:r w:rsidR="00E20E9E">
        <w:rPr>
          <w:rStyle w:val="FontStyle129"/>
          <w:rFonts w:ascii="Calibri" w:hAnsi="Calibri"/>
          <w:sz w:val="24"/>
        </w:rPr>
        <w:t>moderní myšlení</w:t>
      </w:r>
      <w:r w:rsidR="086D5D52" w:rsidRPr="003D1E07">
        <w:rPr>
          <w:rStyle w:val="FontStyle129"/>
          <w:rFonts w:ascii="Calibri" w:hAnsi="Calibri"/>
          <w:sz w:val="24"/>
        </w:rPr>
        <w:t>.</w:t>
      </w:r>
      <w:r w:rsidR="08E02D89" w:rsidRPr="003D1E07">
        <w:rPr>
          <w:rStyle w:val="FontStyle129"/>
          <w:rFonts w:ascii="Calibri" w:hAnsi="Calibri"/>
          <w:sz w:val="24"/>
        </w:rPr>
        <w:t xml:space="preserve"> </w:t>
      </w:r>
    </w:p>
    <w:p w14:paraId="25D6CEF8" w14:textId="7B6A7E08" w:rsidR="002A4E50" w:rsidRPr="003D1E07" w:rsidRDefault="00B85318" w:rsidP="086C1F19">
      <w:pPr>
        <w:pStyle w:val="Nadpis3"/>
        <w:rPr>
          <w:lang w:val="cs-CZ"/>
        </w:rPr>
      </w:pPr>
      <w:r w:rsidRPr="003D1E07">
        <w:rPr>
          <w:lang w:val="cs-CZ"/>
        </w:rPr>
        <w:br w:type="page"/>
      </w:r>
      <w:bookmarkStart w:id="54" w:name="_Toc93747281"/>
      <w:bookmarkStart w:id="55" w:name="_Toc102906171"/>
      <w:r w:rsidR="006214BC" w:rsidRPr="003D1E07">
        <w:rPr>
          <w:lang w:val="cs-CZ"/>
        </w:rPr>
        <w:lastRenderedPageBreak/>
        <w:t>2.3.3</w:t>
      </w:r>
      <w:r w:rsidR="002A4E50" w:rsidRPr="003D1E07">
        <w:rPr>
          <w:lang w:val="cs-CZ"/>
        </w:rPr>
        <w:t xml:space="preserve"> </w:t>
      </w:r>
      <w:r w:rsidR="00E336C2">
        <w:rPr>
          <w:lang w:val="cs-CZ"/>
        </w:rPr>
        <w:t>O</w:t>
      </w:r>
      <w:r w:rsidR="002A4E50" w:rsidRPr="003D1E07">
        <w:rPr>
          <w:lang w:val="cs-CZ"/>
        </w:rPr>
        <w:t>ntoteologie</w:t>
      </w:r>
      <w:bookmarkEnd w:id="54"/>
      <w:r w:rsidR="00E336C2">
        <w:rPr>
          <w:lang w:val="cs-CZ"/>
        </w:rPr>
        <w:t xml:space="preserve"> a moderní bůh</w:t>
      </w:r>
      <w:bookmarkEnd w:id="55"/>
    </w:p>
    <w:p w14:paraId="07E58BD6" w14:textId="7D7EA063" w:rsidR="00D95BBD" w:rsidRDefault="00D95BBD" w:rsidP="00750C68">
      <w:pPr>
        <w:rPr>
          <w:rStyle w:val="FontStyle129"/>
          <w:rFonts w:ascii="Calibri" w:hAnsi="Calibri"/>
          <w:sz w:val="24"/>
        </w:rPr>
      </w:pPr>
      <w:r w:rsidRPr="003D1E07">
        <w:t>Avicennův epochální obrat od primárního myšlení k sekundárnímu reálnému bytí dává základ postmoderní první filosofie, kterou aktualizuje Descartes</w:t>
      </w:r>
      <w:r w:rsidRPr="003D1E07">
        <w:fldChar w:fldCharType="begin"/>
      </w:r>
      <w:r w:rsidRPr="003D1E07">
        <w:instrText xml:space="preserve"> XE "Descartes, R." </w:instrText>
      </w:r>
      <w:r w:rsidRPr="003D1E07">
        <w:fldChar w:fldCharType="end"/>
      </w:r>
      <w:r w:rsidRPr="003D1E07">
        <w:t xml:space="preserve"> a po něm Husserl</w:t>
      </w:r>
      <w:r w:rsidRPr="003D1E07">
        <w:fldChar w:fldCharType="begin"/>
      </w:r>
      <w:r w:rsidRPr="003D1E07">
        <w:instrText xml:space="preserve"> XE "Husserl, E." </w:instrText>
      </w:r>
      <w:r w:rsidRPr="003D1E07">
        <w:fldChar w:fldCharType="end"/>
      </w:r>
      <w:r w:rsidRPr="003D1E07">
        <w:t>. M</w:t>
      </w:r>
      <w:r w:rsidRPr="003D1E07">
        <w:rPr>
          <w:rStyle w:val="FontStyle129"/>
          <w:rFonts w:ascii="Calibri" w:hAnsi="Calibri"/>
          <w:sz w:val="24"/>
        </w:rPr>
        <w:t>oderna se rozhodla pro přímou cestu poznání, k tzv. „věcem samým“ (</w:t>
      </w:r>
      <w:r w:rsidRPr="003D1E07">
        <w:rPr>
          <w:rStyle w:val="FontStyle129"/>
          <w:rFonts w:ascii="Calibri" w:hAnsi="Calibri"/>
          <w:i/>
          <w:sz w:val="24"/>
        </w:rPr>
        <w:t>zur Sachen selbst</w:t>
      </w:r>
      <w:r w:rsidRPr="003D1E07">
        <w:rPr>
          <w:rStyle w:val="FontStyle129"/>
          <w:rFonts w:ascii="Calibri" w:hAnsi="Calibri"/>
          <w:sz w:val="24"/>
        </w:rPr>
        <w:t xml:space="preserve">). Protože uzávorkovala smyslovou realitu, pak je jasné, že touto „věcí“ nemůže být Aristotelova první substance, ale sofistické simulákrum. Objektivní určení individua v singulárně-univerzálním modu zakládá objektivní teorii pravdy jako evidentní jistoty poznání. Avicenna musel najít nový způsob adekvace mysli k objektivně určenému jsoucnu třetího druhu. První moderní iluminát  odkazuje Západu identitární teorii pravdy, kterou </w:t>
      </w:r>
      <w:r w:rsidRPr="003D1E07">
        <w:t xml:space="preserve">zavedlo do scholastiky dílo </w:t>
      </w:r>
      <w:r w:rsidRPr="003D1E07">
        <w:rPr>
          <w:i/>
        </w:rPr>
        <w:t>Summa de bono</w:t>
      </w:r>
      <w:r w:rsidRPr="003D1E07">
        <w:t xml:space="preserve"> od Filipa Kancléře psané okolo 1230. </w:t>
      </w:r>
      <w:r w:rsidRPr="003D1E07">
        <w:rPr>
          <w:rStyle w:val="FontStyle129"/>
          <w:rFonts w:ascii="Calibri" w:hAnsi="Calibri"/>
          <w:sz w:val="24"/>
        </w:rPr>
        <w:t>Avicenna nemá pravdu jako podobnost věci a intelektu danou z hlediska hyparchické impozice významu směrem od první substance. Avicenna nemá shodu myšlení a věci, ale identitu dvou jsoucen třetího druhu. Aristotelská abstrakce byla nahrazena moderní denudací, která vidí a porovnává čisté esence. Pravda znamená nikoliv abstrakci inteligibilních forem existujících pouze v intelektu, ale rovnost objektivních forem nazíraných přímým náhledem (</w:t>
      </w:r>
      <w:r w:rsidRPr="003D1E07">
        <w:rPr>
          <w:rStyle w:val="FontStyle129"/>
          <w:rFonts w:ascii="Calibri" w:hAnsi="Calibri"/>
          <w:i/>
          <w:sz w:val="24"/>
        </w:rPr>
        <w:t>aequatio</w:t>
      </w:r>
      <w:r w:rsidRPr="003D1E07">
        <w:rPr>
          <w:rStyle w:val="FontStyle129"/>
          <w:rFonts w:ascii="Calibri" w:hAnsi="Calibri"/>
          <w:sz w:val="24"/>
        </w:rPr>
        <w:t>). Následují citát zakládá první moderní teorii pravdy</w:t>
      </w:r>
      <w:r w:rsidRPr="003D1E07">
        <w:rPr>
          <w:rStyle w:val="FontStyle129"/>
          <w:rFonts w:ascii="Calibri" w:hAnsi="Calibri"/>
          <w:sz w:val="24"/>
        </w:rPr>
        <w:fldChar w:fldCharType="begin"/>
      </w:r>
      <w:r w:rsidRPr="003D1E07">
        <w:instrText xml:space="preserve"> XE "</w:instrText>
      </w:r>
      <w:r w:rsidRPr="003D1E07">
        <w:rPr>
          <w:rStyle w:val="FontStyle129"/>
          <w:rFonts w:ascii="Calibri" w:hAnsi="Calibri"/>
          <w:sz w:val="24"/>
        </w:rPr>
        <w:instrText>pravda:Avicenna</w:instrText>
      </w:r>
      <w:r w:rsidRPr="003D1E07">
        <w:instrText xml:space="preserve">" </w:instrText>
      </w:r>
      <w:r w:rsidRPr="003D1E07">
        <w:rPr>
          <w:rStyle w:val="FontStyle129"/>
          <w:rFonts w:ascii="Calibri" w:hAnsi="Calibri"/>
          <w:sz w:val="24"/>
        </w:rPr>
        <w:fldChar w:fldCharType="end"/>
      </w:r>
      <w:r w:rsidRPr="003D1E07">
        <w:rPr>
          <w:rStyle w:val="FontStyle129"/>
          <w:rFonts w:ascii="Calibri" w:hAnsi="Calibri"/>
          <w:sz w:val="24"/>
        </w:rPr>
        <w:t xml:space="preserve">, která chápe rovnost jako objektivní shodu danou v modu </w:t>
      </w:r>
      <w:r w:rsidRPr="003D1E07">
        <w:rPr>
          <w:rStyle w:val="FontStyle129"/>
          <w:rFonts w:ascii="Calibri" w:hAnsi="Calibri"/>
          <w:i/>
          <w:sz w:val="24"/>
        </w:rPr>
        <w:t>per prius</w:t>
      </w:r>
      <w:r w:rsidRPr="003D1E07">
        <w:rPr>
          <w:rStyle w:val="FontStyle129"/>
          <w:rFonts w:ascii="Calibri" w:hAnsi="Calibri"/>
          <w:sz w:val="24"/>
        </w:rPr>
        <w:t xml:space="preserve"> mimo reálnou věc.</w:t>
      </w:r>
      <w:r w:rsidRPr="003D1E07">
        <w:rPr>
          <w:rStyle w:val="Znakapoznpodarou"/>
          <w:szCs w:val="18"/>
        </w:rPr>
        <w:footnoteReference w:id="170"/>
      </w:r>
      <w:r w:rsidRPr="003D1E07">
        <w:rPr>
          <w:rStyle w:val="FontStyle129"/>
          <w:rFonts w:ascii="Calibri" w:hAnsi="Calibri"/>
          <w:sz w:val="24"/>
        </w:rPr>
        <w:t xml:space="preserve"> Uvedená citace definuje pojem pravdy u Avicenny a plně potvrzuje moderní sofistiku danou ekvivokací termínu </w:t>
      </w:r>
      <w:r w:rsidRPr="003D1E07">
        <w:rPr>
          <w:rStyle w:val="FontStyle129"/>
          <w:rFonts w:ascii="Calibri" w:hAnsi="Calibri"/>
          <w:i/>
          <w:sz w:val="24"/>
        </w:rPr>
        <w:t>res</w:t>
      </w:r>
      <w:r w:rsidRPr="003D1E07">
        <w:rPr>
          <w:rStyle w:val="FontStyle129"/>
          <w:rFonts w:ascii="Calibri" w:hAnsi="Calibri"/>
          <w:sz w:val="24"/>
        </w:rPr>
        <w:t>. Definice pravdy začíná výměrem objektivní jsoucnosti oddělené od reálných substancí (</w:t>
      </w:r>
      <w:r w:rsidRPr="003D1E07">
        <w:rPr>
          <w:i/>
        </w:rPr>
        <w:t>esse absolute in singularibus</w:t>
      </w:r>
      <w:r w:rsidRPr="003D1E07">
        <w:rPr>
          <w:rStyle w:val="FontStyle129"/>
          <w:rFonts w:ascii="Calibri" w:hAnsi="Calibri"/>
          <w:sz w:val="24"/>
        </w:rPr>
        <w:t>). Pak pokračuje aristotelskou korespondenční teorií jako adekvace výroku a vnější věci (</w:t>
      </w:r>
      <w:r w:rsidRPr="003D1E07">
        <w:rPr>
          <w:i/>
        </w:rPr>
        <w:t>dispositio dictionis vel intellectus qui significat dispositionem in re exteriore cum est ei aequalis</w:t>
      </w:r>
      <w:r>
        <w:rPr>
          <w:rStyle w:val="FontStyle129"/>
          <w:rFonts w:ascii="Calibri" w:hAnsi="Calibri"/>
          <w:sz w:val="24"/>
        </w:rPr>
        <w:t xml:space="preserve">). Ale tato pravda </w:t>
      </w:r>
      <w:r w:rsidRPr="003D1E07">
        <w:rPr>
          <w:rStyle w:val="FontStyle129"/>
          <w:rFonts w:ascii="Calibri" w:hAnsi="Calibri"/>
          <w:sz w:val="24"/>
        </w:rPr>
        <w:t xml:space="preserve">není </w:t>
      </w:r>
      <w:r>
        <w:rPr>
          <w:rStyle w:val="FontStyle129"/>
          <w:rFonts w:ascii="Calibri" w:hAnsi="Calibri"/>
          <w:sz w:val="24"/>
        </w:rPr>
        <w:t>kompletní. D</w:t>
      </w:r>
      <w:r w:rsidRPr="003D1E07">
        <w:rPr>
          <w:rStyle w:val="FontStyle129"/>
          <w:rFonts w:ascii="Calibri" w:hAnsi="Calibri"/>
          <w:sz w:val="24"/>
        </w:rPr>
        <w:t xml:space="preserve">efinice musí jít o jedno patro výše, kde je definována </w:t>
      </w:r>
      <w:r>
        <w:rPr>
          <w:rStyle w:val="FontStyle129"/>
          <w:rFonts w:ascii="Calibri" w:hAnsi="Calibri"/>
          <w:sz w:val="24"/>
        </w:rPr>
        <w:t xml:space="preserve">moderní </w:t>
      </w:r>
      <w:r w:rsidRPr="003D1E07">
        <w:rPr>
          <w:rStyle w:val="FontStyle129"/>
          <w:rFonts w:ascii="Calibri" w:hAnsi="Calibri"/>
          <w:sz w:val="24"/>
        </w:rPr>
        <w:t>„pravda o sobě“ vázaná na objektivně danou nutnost (</w:t>
      </w:r>
      <w:r w:rsidRPr="003D1E07">
        <w:rPr>
          <w:i/>
        </w:rPr>
        <w:t>necesse esse est id quod per seipsum est veritas semper</w:t>
      </w:r>
      <w:r w:rsidRPr="003D1E07">
        <w:rPr>
          <w:rStyle w:val="FontStyle129"/>
          <w:rFonts w:ascii="Calibri" w:hAnsi="Calibri"/>
          <w:sz w:val="24"/>
        </w:rPr>
        <w:t xml:space="preserve">). Na této rovině vzniká nové pojetí pravdy už nikoliv jako aristotelské adekvace, ale plné identity v modu </w:t>
      </w:r>
      <w:r w:rsidRPr="003D1E07">
        <w:rPr>
          <w:rStyle w:val="FontStyle129"/>
          <w:rFonts w:ascii="Calibri" w:hAnsi="Calibri"/>
          <w:i/>
          <w:sz w:val="24"/>
        </w:rPr>
        <w:t>certitudo</w:t>
      </w:r>
      <w:r w:rsidRPr="003D1E07">
        <w:rPr>
          <w:rStyle w:val="FontStyle129"/>
          <w:rFonts w:ascii="Calibri" w:hAnsi="Calibri"/>
          <w:sz w:val="24"/>
        </w:rPr>
        <w:t xml:space="preserve"> určené logicky (</w:t>
      </w:r>
      <w:r w:rsidRPr="003D1E07">
        <w:rPr>
          <w:i/>
        </w:rPr>
        <w:t xml:space="preserve">veritas autem quae adaequatur rei, illa est </w:t>
      </w:r>
      <w:r w:rsidRPr="003D1E07">
        <w:rPr>
          <w:i/>
        </w:rPr>
        <w:lastRenderedPageBreak/>
        <w:t>certa</w:t>
      </w:r>
      <w:r w:rsidRPr="003D1E07">
        <w:rPr>
          <w:rStyle w:val="FontStyle129"/>
          <w:rFonts w:ascii="Calibri" w:hAnsi="Calibri"/>
          <w:sz w:val="24"/>
        </w:rPr>
        <w:t xml:space="preserve">). </w:t>
      </w:r>
      <w:r>
        <w:rPr>
          <w:rStyle w:val="FontStyle129"/>
          <w:rFonts w:ascii="Calibri" w:hAnsi="Calibri"/>
          <w:sz w:val="24"/>
        </w:rPr>
        <w:t xml:space="preserve">Tak vzniklo nové určení pravdy jako </w:t>
      </w:r>
      <w:r>
        <w:rPr>
          <w:i/>
          <w:lang w:val="fr-FR" w:eastAsia="en-US"/>
        </w:rPr>
        <w:t>adaequatio</w:t>
      </w:r>
      <w:r w:rsidRPr="004E7EAA">
        <w:rPr>
          <w:lang w:val="fr-FR" w:eastAsia="en-US"/>
        </w:rPr>
        <w:t>.</w:t>
      </w:r>
      <w:r>
        <w:rPr>
          <w:rStyle w:val="FontStyle129"/>
          <w:rFonts w:ascii="Calibri" w:hAnsi="Calibri"/>
          <w:sz w:val="24"/>
        </w:rPr>
        <w:t xml:space="preserve"> </w:t>
      </w:r>
      <w:r w:rsidRPr="003D1E07">
        <w:rPr>
          <w:rStyle w:val="FontStyle129"/>
          <w:rFonts w:ascii="Calibri" w:hAnsi="Calibri"/>
          <w:sz w:val="24"/>
        </w:rPr>
        <w:t>Termín „</w:t>
      </w:r>
      <w:r w:rsidRPr="00553684">
        <w:rPr>
          <w:rStyle w:val="FontStyle129"/>
          <w:rFonts w:ascii="Calibri" w:hAnsi="Calibri"/>
          <w:i/>
          <w:sz w:val="24"/>
        </w:rPr>
        <w:t>ipsa</w:t>
      </w:r>
      <w:r>
        <w:rPr>
          <w:rStyle w:val="FontStyle129"/>
          <w:rFonts w:ascii="Calibri" w:hAnsi="Calibri"/>
          <w:sz w:val="24"/>
        </w:rPr>
        <w:t xml:space="preserve"> </w:t>
      </w:r>
      <w:r w:rsidRPr="003D1E07">
        <w:rPr>
          <w:rStyle w:val="FontStyle129"/>
          <w:rFonts w:ascii="Calibri" w:hAnsi="Calibri"/>
          <w:i/>
          <w:sz w:val="24"/>
        </w:rPr>
        <w:t>res</w:t>
      </w:r>
      <w:r w:rsidRPr="003D1E07">
        <w:rPr>
          <w:rStyle w:val="FontStyle129"/>
          <w:rFonts w:ascii="Calibri" w:hAnsi="Calibri"/>
          <w:sz w:val="24"/>
        </w:rPr>
        <w:t>“ nyní dostal objektivní charakter oddělený od první substance (</w:t>
      </w:r>
      <w:r w:rsidRPr="003D1E07">
        <w:rPr>
          <w:i/>
        </w:rPr>
        <w:t>veritas respectu comparationis rei ad ipsam</w:t>
      </w:r>
      <w:r w:rsidRPr="003D1E07">
        <w:rPr>
          <w:rStyle w:val="FontStyle129"/>
          <w:rFonts w:ascii="Calibri" w:hAnsi="Calibri"/>
          <w:sz w:val="24"/>
        </w:rPr>
        <w:t>). Logika a metafyzika tvoří u modernistů plnou jednotu. Pak platí, že identita založená na esenciální nutnosti a jistotě má věčný charakter (</w:t>
      </w:r>
      <w:r w:rsidRPr="003D1E07">
        <w:rPr>
          <w:i/>
        </w:rPr>
        <w:t>dici vera cuius certitudo est semper</w:t>
      </w:r>
      <w:r w:rsidRPr="003D1E07">
        <w:rPr>
          <w:rStyle w:val="FontStyle129"/>
          <w:rFonts w:ascii="Calibri" w:hAnsi="Calibri"/>
          <w:sz w:val="24"/>
        </w:rPr>
        <w:t>). V definici pravdy nyní místo adekvace funguje identita. Tato moderní pravda založená identitárně má primát nad aristotelskou pravdou jako adekvací (</w:t>
      </w:r>
      <w:r w:rsidRPr="003D1E07">
        <w:rPr>
          <w:i/>
        </w:rPr>
        <w:t>dignior est ad hoc est illa cuius certitudo est prima</w:t>
      </w:r>
      <w:r w:rsidRPr="003D1E07">
        <w:rPr>
          <w:rStyle w:val="FontStyle129"/>
          <w:rFonts w:ascii="Calibri" w:hAnsi="Calibri"/>
          <w:sz w:val="24"/>
        </w:rPr>
        <w:t>). Tato nedokonalá pravda stojí na kauzalitě určené reálnou interakcí prvních substancí (</w:t>
      </w:r>
      <w:r w:rsidRPr="003D1E07">
        <w:rPr>
          <w:i/>
        </w:rPr>
        <w:t>non per causam</w:t>
      </w:r>
      <w:r w:rsidRPr="003D1E07">
        <w:rPr>
          <w:rStyle w:val="FontStyle129"/>
          <w:rFonts w:ascii="Calibri" w:hAnsi="Calibri"/>
          <w:sz w:val="24"/>
        </w:rPr>
        <w:t>). Nové pojetí pravdy zrušilo platnost metafyzického dativu. Ten determinoval pravdivou výpověď na základě minulostního rázu kauzality dané reálně ve věcech a pak predikované v rámci hyparchické kategoriální výpovědi. Avicennovo pojetí pravdy primárně určuje vidění intelektu, a nikoliv aktuální danost reálné věci v modu kategoriální impozice. Klíčovou roli hraje supozice</w:t>
      </w:r>
      <w:r w:rsidRPr="003D1E07">
        <w:rPr>
          <w:rStyle w:val="FontStyle129"/>
          <w:rFonts w:ascii="Calibri" w:hAnsi="Calibri"/>
          <w:sz w:val="24"/>
        </w:rPr>
        <w:fldChar w:fldCharType="begin"/>
      </w:r>
      <w:r w:rsidRPr="003D1E07">
        <w:instrText xml:space="preserve"> XE "</w:instrText>
      </w:r>
      <w:r w:rsidRPr="003D1E07">
        <w:rPr>
          <w:rStyle w:val="FontStyle129"/>
          <w:rFonts w:ascii="Calibri" w:hAnsi="Calibri"/>
          <w:sz w:val="24"/>
        </w:rPr>
        <w:instrText>supozice:Avicenna</w:instrText>
      </w:r>
      <w:r w:rsidRPr="003D1E07">
        <w:instrText xml:space="preserve">" </w:instrText>
      </w:r>
      <w:r w:rsidRPr="003D1E07">
        <w:rPr>
          <w:rStyle w:val="FontStyle129"/>
          <w:rFonts w:ascii="Calibri" w:hAnsi="Calibri"/>
          <w:sz w:val="24"/>
        </w:rPr>
        <w:fldChar w:fldCharType="end"/>
      </w:r>
      <w:r w:rsidRPr="003D1E07">
        <w:rPr>
          <w:rStyle w:val="FontStyle129"/>
          <w:rFonts w:ascii="Calibri" w:hAnsi="Calibri"/>
          <w:sz w:val="24"/>
        </w:rPr>
        <w:t xml:space="preserve"> objektivně pojaté jsoucnosti</w:t>
      </w:r>
      <w:r>
        <w:rPr>
          <w:rStyle w:val="FontStyle129"/>
          <w:rFonts w:ascii="Calibri" w:hAnsi="Calibri"/>
          <w:sz w:val="24"/>
        </w:rPr>
        <w:t xml:space="preserve">. Takto unifikovaný smysl jsoucna se manifestuje v osvíceném subjektu jako </w:t>
      </w:r>
      <w:r w:rsidRPr="003D1E07">
        <w:rPr>
          <w:rStyle w:val="FontStyle129"/>
          <w:rFonts w:ascii="Calibri" w:hAnsi="Calibri"/>
          <w:sz w:val="24"/>
        </w:rPr>
        <w:t>parusie</w:t>
      </w:r>
      <w:r>
        <w:rPr>
          <w:rStyle w:val="FontStyle129"/>
          <w:rFonts w:ascii="Calibri" w:hAnsi="Calibri"/>
          <w:sz w:val="24"/>
        </w:rPr>
        <w:t xml:space="preserve"> </w:t>
      </w:r>
      <w:r w:rsidRPr="003D1E07">
        <w:rPr>
          <w:rStyle w:val="FontStyle129"/>
          <w:rFonts w:ascii="Calibri" w:hAnsi="Calibri"/>
          <w:sz w:val="24"/>
        </w:rPr>
        <w:t>objektivní</w:t>
      </w:r>
      <w:r>
        <w:rPr>
          <w:rStyle w:val="FontStyle129"/>
          <w:rFonts w:ascii="Calibri" w:hAnsi="Calibri"/>
          <w:sz w:val="24"/>
        </w:rPr>
        <w:t xml:space="preserve">ch entit. Tyto entity třetího druhu se zjevují skrze komitaci esenciálních významů v moderním hypostatickém a paranoickém intelektu. </w:t>
      </w:r>
      <w:r w:rsidRPr="003D1E07">
        <w:rPr>
          <w:rStyle w:val="FontStyle129"/>
          <w:rFonts w:ascii="Calibri" w:hAnsi="Calibri"/>
          <w:sz w:val="24"/>
        </w:rPr>
        <w:t xml:space="preserve">Parousijně dané jsoucno má univerzálně generický a amfibolní charakter v modu </w:t>
      </w:r>
      <w:r w:rsidRPr="003D1E07">
        <w:rPr>
          <w:rStyle w:val="FontStyle129"/>
          <w:rFonts w:ascii="Calibri" w:hAnsi="Calibri"/>
          <w:i/>
          <w:sz w:val="24"/>
        </w:rPr>
        <w:t>ens inquantum ens</w:t>
      </w:r>
      <w:r w:rsidRPr="003D1E07">
        <w:rPr>
          <w:rStyle w:val="FontStyle129"/>
          <w:rFonts w:ascii="Calibri" w:hAnsi="Calibri"/>
          <w:sz w:val="24"/>
        </w:rPr>
        <w:t xml:space="preserve">, proto je možné porovnávat všechny objektivně dané jednoduché esence mezi sebou. Avicenna epochálně nově definuje pravdu jako rovnost nazíraných </w:t>
      </w:r>
      <w:r w:rsidRPr="00572107">
        <w:rPr>
          <w:rStyle w:val="FontStyle129"/>
          <w:rFonts w:ascii="Calibri" w:hAnsi="Calibri"/>
          <w:i/>
          <w:sz w:val="24"/>
        </w:rPr>
        <w:t>tertium ens</w:t>
      </w:r>
      <w:r>
        <w:rPr>
          <w:rStyle w:val="FontStyle129"/>
          <w:rFonts w:ascii="Calibri" w:hAnsi="Calibri"/>
          <w:sz w:val="24"/>
        </w:rPr>
        <w:t xml:space="preserve"> v</w:t>
      </w:r>
      <w:r w:rsidRPr="003D1E07">
        <w:rPr>
          <w:rStyle w:val="FontStyle129"/>
          <w:rFonts w:ascii="Calibri" w:hAnsi="Calibri"/>
          <w:sz w:val="24"/>
        </w:rPr>
        <w:t>zhledem k centrálnímu postavení nazírajícího intelektu (</w:t>
      </w:r>
      <w:r w:rsidRPr="003D1E07">
        <w:rPr>
          <w:i/>
        </w:rPr>
        <w:t>cum est ei aequalis</w:t>
      </w:r>
      <w:r w:rsidRPr="003D1E07">
        <w:rPr>
          <w:rStyle w:val="FontStyle129"/>
          <w:rFonts w:ascii="Calibri" w:hAnsi="Calibri"/>
          <w:sz w:val="24"/>
        </w:rPr>
        <w:t>). Tím se aktualizovalo vidění božského muže Jamblicha, který v aktu synoptického theurgického vidění s</w:t>
      </w:r>
      <w:r w:rsidRPr="003D1E07">
        <w:rPr>
          <w:rStyle w:val="addmd"/>
        </w:rPr>
        <w:t>hromažďuje všechny protiklady v jedné formě intelektuálního náhledu (</w:t>
      </w:r>
      <w:r w:rsidRPr="003D1E07">
        <w:t>kap. 1.3</w:t>
      </w:r>
      <w:r w:rsidRPr="003D1E07">
        <w:rPr>
          <w:rStyle w:val="addmd"/>
        </w:rPr>
        <w:t>). Avicenna udělal z</w:t>
      </w:r>
      <w:r>
        <w:rPr>
          <w:rStyle w:val="addmd"/>
        </w:rPr>
        <w:t xml:space="preserve"> neoplatonského </w:t>
      </w:r>
      <w:r w:rsidRPr="003D1E07">
        <w:rPr>
          <w:rStyle w:val="addmd"/>
        </w:rPr>
        <w:t xml:space="preserve">mystického vidění objektivní intelektuální formu pro obecný akademický lid, který </w:t>
      </w:r>
      <w:r>
        <w:rPr>
          <w:rStyle w:val="addmd"/>
        </w:rPr>
        <w:t xml:space="preserve">bohužel </w:t>
      </w:r>
      <w:r w:rsidRPr="003D1E07">
        <w:rPr>
          <w:rStyle w:val="addmd"/>
        </w:rPr>
        <w:t xml:space="preserve">postrádá vyšší formu </w:t>
      </w:r>
      <w:r>
        <w:rPr>
          <w:rStyle w:val="addmd"/>
        </w:rPr>
        <w:t xml:space="preserve">mystické </w:t>
      </w:r>
      <w:r w:rsidRPr="003D1E07">
        <w:rPr>
          <w:rStyle w:val="addmd"/>
        </w:rPr>
        <w:t xml:space="preserve">iluminace skrze </w:t>
      </w:r>
      <w:r w:rsidRPr="003D1E07">
        <w:rPr>
          <w:rStyle w:val="addmd"/>
          <w:i/>
        </w:rPr>
        <w:t>intellectus sanctus</w:t>
      </w:r>
      <w:r w:rsidRPr="003D1E07">
        <w:rPr>
          <w:rStyle w:val="addmd"/>
        </w:rPr>
        <w:t xml:space="preserve">. </w:t>
      </w:r>
      <w:r w:rsidRPr="00A36805">
        <w:rPr>
          <w:rStyle w:val="addmd"/>
        </w:rPr>
        <w:t xml:space="preserve">Tento nedostatek božsky osvíceného ducha je </w:t>
      </w:r>
      <w:r>
        <w:rPr>
          <w:rStyle w:val="addmd"/>
        </w:rPr>
        <w:t xml:space="preserve">ale kompenzován </w:t>
      </w:r>
      <w:r w:rsidRPr="00A36805">
        <w:rPr>
          <w:rStyle w:val="addmd"/>
        </w:rPr>
        <w:t xml:space="preserve">moderním vzděláním, jehož </w:t>
      </w:r>
      <w:r w:rsidRPr="00A36805">
        <w:rPr>
          <w:rStyle w:val="addmd"/>
          <w:i/>
        </w:rPr>
        <w:t>apaideusía</w:t>
      </w:r>
      <w:r>
        <w:rPr>
          <w:rStyle w:val="addmd"/>
          <w:i/>
        </w:rPr>
        <w:fldChar w:fldCharType="begin"/>
      </w:r>
      <w:r>
        <w:instrText xml:space="preserve"> XE "</w:instrText>
      </w:r>
      <w:r w:rsidRPr="008B2507">
        <w:rPr>
          <w:rStyle w:val="addmd"/>
          <w:i/>
        </w:rPr>
        <w:instrText>apaideusía</w:instrText>
      </w:r>
      <w:r>
        <w:instrText xml:space="preserve">" </w:instrText>
      </w:r>
      <w:r>
        <w:rPr>
          <w:rStyle w:val="addmd"/>
          <w:i/>
        </w:rPr>
        <w:fldChar w:fldCharType="end"/>
      </w:r>
      <w:r w:rsidRPr="00A36805">
        <w:rPr>
          <w:rStyle w:val="addmd"/>
        </w:rPr>
        <w:t xml:space="preserve"> (kap. 1.2) produkuje téměř božské akademiky.</w:t>
      </w:r>
    </w:p>
    <w:p w14:paraId="356F609C" w14:textId="6275DCE2" w:rsidR="0020299E" w:rsidRPr="000006B7" w:rsidRDefault="009665FC" w:rsidP="000006B7">
      <w:pPr>
        <w:ind w:firstLine="397"/>
        <w:rPr>
          <w:szCs w:val="18"/>
        </w:rPr>
      </w:pPr>
      <w:r w:rsidRPr="003D1E07">
        <w:rPr>
          <w:rStyle w:val="FontStyle129"/>
          <w:rFonts w:ascii="Calibri" w:hAnsi="Calibri"/>
          <w:sz w:val="24"/>
        </w:rPr>
        <w:t>Avicenna převedl ontoteologické určení jsoucna Ibn Ádího (kap. 2.2) z b</w:t>
      </w:r>
      <w:r w:rsidR="086839E4" w:rsidRPr="003D1E07">
        <w:rPr>
          <w:rStyle w:val="FontStyle129"/>
          <w:rFonts w:ascii="Calibri" w:hAnsi="Calibri"/>
          <w:sz w:val="24"/>
        </w:rPr>
        <w:t>oží mysli do lidské</w:t>
      </w:r>
      <w:r w:rsidR="00CA777C" w:rsidRPr="003D1E07">
        <w:rPr>
          <w:rStyle w:val="FontStyle129"/>
          <w:rFonts w:ascii="Calibri" w:hAnsi="Calibri"/>
          <w:sz w:val="24"/>
        </w:rPr>
        <w:t xml:space="preserve">ho intelektu. </w:t>
      </w:r>
      <w:r w:rsidR="00EE28F6">
        <w:rPr>
          <w:rStyle w:val="FontStyle129"/>
          <w:rFonts w:ascii="Calibri" w:hAnsi="Calibri"/>
          <w:sz w:val="24"/>
        </w:rPr>
        <w:t xml:space="preserve">Moderní </w:t>
      </w:r>
      <w:r w:rsidR="00673726" w:rsidRPr="003D1E07">
        <w:rPr>
          <w:rStyle w:val="FontStyle129"/>
          <w:rFonts w:ascii="Calibri" w:hAnsi="Calibri"/>
          <w:sz w:val="24"/>
        </w:rPr>
        <w:t>b</w:t>
      </w:r>
      <w:r w:rsidR="00EE28F6">
        <w:rPr>
          <w:rStyle w:val="FontStyle129"/>
          <w:rFonts w:ascii="Calibri" w:hAnsi="Calibri"/>
          <w:sz w:val="24"/>
        </w:rPr>
        <w:t xml:space="preserve">ůh začal </w:t>
      </w:r>
      <w:r w:rsidR="00CA777C" w:rsidRPr="003D1E07">
        <w:rPr>
          <w:rStyle w:val="FontStyle129"/>
          <w:rFonts w:ascii="Calibri" w:hAnsi="Calibri"/>
          <w:sz w:val="24"/>
        </w:rPr>
        <w:t>pracova</w:t>
      </w:r>
      <w:r w:rsidR="00EE28F6">
        <w:rPr>
          <w:rStyle w:val="FontStyle129"/>
          <w:rFonts w:ascii="Calibri" w:hAnsi="Calibri"/>
          <w:sz w:val="24"/>
        </w:rPr>
        <w:t>t</w:t>
      </w:r>
      <w:r w:rsidR="00CA777C" w:rsidRPr="003D1E07">
        <w:rPr>
          <w:rStyle w:val="FontStyle129"/>
          <w:rFonts w:ascii="Calibri" w:hAnsi="Calibri"/>
          <w:sz w:val="24"/>
        </w:rPr>
        <w:t xml:space="preserve"> podle vzoru neoplatónské teurgie</w:t>
      </w:r>
      <w:r w:rsidR="003049F5">
        <w:rPr>
          <w:rStyle w:val="FontStyle129"/>
          <w:rFonts w:ascii="Calibri" w:hAnsi="Calibri"/>
          <w:sz w:val="24"/>
        </w:rPr>
        <w:t>, což mu vydrželo přibližně tisíc let</w:t>
      </w:r>
      <w:r w:rsidR="00CA777C" w:rsidRPr="003D1E07">
        <w:rPr>
          <w:rStyle w:val="FontStyle129"/>
          <w:rFonts w:ascii="Calibri" w:hAnsi="Calibri"/>
          <w:sz w:val="24"/>
        </w:rPr>
        <w:t>. To byla podle aristotelské falsafy jasná hereze.</w:t>
      </w:r>
      <w:r w:rsidR="00673726" w:rsidRPr="003D1E07">
        <w:rPr>
          <w:rStyle w:val="FontStyle129"/>
          <w:rFonts w:ascii="Calibri" w:hAnsi="Calibri"/>
          <w:sz w:val="24"/>
        </w:rPr>
        <w:t xml:space="preserve"> </w:t>
      </w:r>
      <w:r w:rsidR="08FE3D15" w:rsidRPr="003D1E07">
        <w:rPr>
          <w:rStyle w:val="FontStyle129"/>
          <w:rFonts w:ascii="Calibri" w:hAnsi="Calibri"/>
          <w:sz w:val="24"/>
        </w:rPr>
        <w:t xml:space="preserve">Nová forma theurgie má objektivní charakter, protože první intence zatím neexistujícího stvoření je dána pouze v božím intelektu. </w:t>
      </w:r>
      <w:r w:rsidR="00A86C07" w:rsidRPr="003D1E07">
        <w:rPr>
          <w:rStyle w:val="FontStyle129"/>
          <w:rFonts w:ascii="Calibri" w:hAnsi="Calibri"/>
          <w:sz w:val="24"/>
        </w:rPr>
        <w:t xml:space="preserve">Avicenna jako </w:t>
      </w:r>
      <w:r w:rsidR="009D5FFE" w:rsidRPr="003D1E07">
        <w:rPr>
          <w:rStyle w:val="FontStyle129"/>
          <w:rFonts w:ascii="Calibri" w:hAnsi="Calibri"/>
          <w:sz w:val="24"/>
        </w:rPr>
        <w:t>m</w:t>
      </w:r>
      <w:r w:rsidR="000D3EC2" w:rsidRPr="003D1E07">
        <w:t xml:space="preserve">onoteistický </w:t>
      </w:r>
      <w:r w:rsidR="002642E1" w:rsidRPr="003D1E07">
        <w:t xml:space="preserve">filosof </w:t>
      </w:r>
      <w:r w:rsidR="000D3EC2" w:rsidRPr="003D1E07">
        <w:t>buduje ontoteologii</w:t>
      </w:r>
      <w:r w:rsidR="00640BE5" w:rsidRPr="003D1E07">
        <w:fldChar w:fldCharType="begin"/>
      </w:r>
      <w:r w:rsidR="00640BE5" w:rsidRPr="003D1E07">
        <w:instrText xml:space="preserve"> XE "</w:instrText>
      </w:r>
      <w:r w:rsidR="00640BE5" w:rsidRPr="003D1E07">
        <w:rPr>
          <w:rStyle w:val="addmd"/>
        </w:rPr>
        <w:instrText>ontoteologie:</w:instrText>
      </w:r>
      <w:r w:rsidR="00E6051F" w:rsidRPr="003D1E07">
        <w:rPr>
          <w:rStyle w:val="addmd"/>
        </w:rPr>
        <w:instrText>Avicenna</w:instrText>
      </w:r>
      <w:r w:rsidR="00640BE5" w:rsidRPr="003D1E07">
        <w:instrText xml:space="preserve">" </w:instrText>
      </w:r>
      <w:r w:rsidR="00640BE5" w:rsidRPr="003D1E07">
        <w:fldChar w:fldCharType="end"/>
      </w:r>
      <w:r w:rsidR="000D3EC2" w:rsidRPr="003D1E07">
        <w:t xml:space="preserve"> odlišnou od </w:t>
      </w:r>
      <w:r w:rsidR="002642E1" w:rsidRPr="003D1E07">
        <w:t xml:space="preserve">pozdně antického </w:t>
      </w:r>
      <w:r w:rsidR="000D3EC2" w:rsidRPr="003D1E07">
        <w:t>neoplatonismu</w:t>
      </w:r>
      <w:r w:rsidR="00744940" w:rsidRPr="003D1E07">
        <w:t xml:space="preserve">, který spojil mystéria a božské kulty tehdy známých </w:t>
      </w:r>
      <w:r w:rsidR="00744940" w:rsidRPr="003D1E07">
        <w:lastRenderedPageBreak/>
        <w:t xml:space="preserve">civilizací </w:t>
      </w:r>
      <w:r w:rsidR="000B5DF8" w:rsidRPr="003D1E07">
        <w:t xml:space="preserve">a kultur </w:t>
      </w:r>
      <w:r w:rsidR="00744940" w:rsidRPr="003D1E07">
        <w:t>do filosofick</w:t>
      </w:r>
      <w:r w:rsidR="002642E1" w:rsidRPr="003D1E07">
        <w:t>ého synkretismu</w:t>
      </w:r>
      <w:r w:rsidR="000D3EC2" w:rsidRPr="003D1E07">
        <w:t xml:space="preserve">. </w:t>
      </w:r>
      <w:r w:rsidR="00792E07" w:rsidRPr="003D1E07">
        <w:t>K</w:t>
      </w:r>
      <w:r w:rsidR="000D3EC2" w:rsidRPr="003D1E07">
        <w:t xml:space="preserve">oncept </w:t>
      </w:r>
      <w:r w:rsidR="000D3EC2" w:rsidRPr="003D1E07">
        <w:rPr>
          <w:i/>
        </w:rPr>
        <w:t>tertium ens</w:t>
      </w:r>
      <w:r w:rsidR="003F16A5" w:rsidRPr="003D1E07">
        <w:rPr>
          <w:i/>
        </w:rPr>
        <w:fldChar w:fldCharType="begin"/>
      </w:r>
      <w:r w:rsidR="003F16A5" w:rsidRPr="003D1E07">
        <w:instrText xml:space="preserve"> XE "</w:instrText>
      </w:r>
      <w:r w:rsidR="003F16A5" w:rsidRPr="003D1E07">
        <w:rPr>
          <w:rStyle w:val="Zvraznn"/>
        </w:rPr>
        <w:instrText>tertium ens</w:instrText>
      </w:r>
      <w:r w:rsidR="00E6051F" w:rsidRPr="003D1E07">
        <w:rPr>
          <w:rStyle w:val="addmd"/>
        </w:rPr>
        <w:instrText>:Avicenna</w:instrText>
      </w:r>
      <w:r w:rsidR="003F16A5" w:rsidRPr="003D1E07">
        <w:instrText xml:space="preserve">" </w:instrText>
      </w:r>
      <w:r w:rsidR="003F16A5" w:rsidRPr="003D1E07">
        <w:rPr>
          <w:i/>
        </w:rPr>
        <w:fldChar w:fldCharType="end"/>
      </w:r>
      <w:r w:rsidR="000D3EC2" w:rsidRPr="003D1E07">
        <w:t xml:space="preserve"> </w:t>
      </w:r>
      <w:r w:rsidR="00792E07" w:rsidRPr="003D1E07">
        <w:t xml:space="preserve">existuje </w:t>
      </w:r>
      <w:r w:rsidR="000D3EC2" w:rsidRPr="003D1E07">
        <w:t xml:space="preserve">v modu radikálně nové univocity zasazené do ontoteologické struktury </w:t>
      </w:r>
      <w:r w:rsidR="00792E07" w:rsidRPr="003D1E07">
        <w:t xml:space="preserve">monoteistické </w:t>
      </w:r>
      <w:r w:rsidR="000D3EC2" w:rsidRPr="003D1E07">
        <w:t>metafyziky</w:t>
      </w:r>
      <w:r w:rsidR="009D5FFE" w:rsidRPr="003D1E07">
        <w:t xml:space="preserve">. Tu </w:t>
      </w:r>
      <w:r w:rsidR="00DE716B" w:rsidRPr="003D1E07">
        <w:t>založili myslitelé Al-</w:t>
      </w:r>
      <w:r w:rsidR="008E02F5" w:rsidRPr="003D1E07">
        <w:t>Fárábí</w:t>
      </w:r>
      <w:r w:rsidR="00EB36B4" w:rsidRPr="003D1E07">
        <w:t xml:space="preserve"> a Ibn </w:t>
      </w:r>
      <w:r w:rsidR="00791C13" w:rsidRPr="003D1E07">
        <w:t>Ádí</w:t>
      </w:r>
      <w:r w:rsidR="0093763D" w:rsidRPr="003D1E07">
        <w:t xml:space="preserve"> v modu filosofické ekumeny</w:t>
      </w:r>
      <w:r w:rsidR="0887661A" w:rsidRPr="003D1E07">
        <w:t xml:space="preserve"> dané stiktním monoteismem</w:t>
      </w:r>
      <w:r w:rsidR="00791C13" w:rsidRPr="003D1E07">
        <w:t xml:space="preserve">. </w:t>
      </w:r>
      <w:r w:rsidR="004C1C3A" w:rsidRPr="003D1E07">
        <w:t>Pojetí intencionální preexistence světa v bohu je zajištěno díky</w:t>
      </w:r>
      <w:r w:rsidR="009733AC">
        <w:t xml:space="preserve"> amfibolické predikaci a jistotě</w:t>
      </w:r>
      <w:r w:rsidR="004C1C3A" w:rsidRPr="003D1E07">
        <w:t xml:space="preserve"> poznání</w:t>
      </w:r>
      <w:r w:rsidR="009733AC">
        <w:t xml:space="preserve">. </w:t>
      </w:r>
      <w:r w:rsidR="009733AC" w:rsidRPr="009733AC">
        <w:t xml:space="preserve">Objektivní intencionální obsahy v božské mysli jsou </w:t>
      </w:r>
      <w:r w:rsidR="009733AC">
        <w:t xml:space="preserve">neseny </w:t>
      </w:r>
      <w:r w:rsidR="009733AC" w:rsidRPr="009733AC">
        <w:t>zcela jedinečným božským subjektem.</w:t>
      </w:r>
      <w:r w:rsidR="009733AC">
        <w:t xml:space="preserve"> </w:t>
      </w:r>
      <w:r w:rsidR="004C1C3A" w:rsidRPr="003D1E07">
        <w:t xml:space="preserve">Avicenna k božskému subjektu logicky a nutně přidal subjekt osvíceného ilumináta. Ten pozoruje objektivně osvícenou část minimální bytosti </w:t>
      </w:r>
      <w:r w:rsidR="00FF5AC4">
        <w:t>na božské úrovni</w:t>
      </w:r>
      <w:r w:rsidR="004C1C3A" w:rsidRPr="003D1E07">
        <w:t xml:space="preserve">. Kritická falsafa rozhodně odmítla </w:t>
      </w:r>
      <w:r w:rsidR="000422BD">
        <w:t xml:space="preserve">extrémní </w:t>
      </w:r>
      <w:r w:rsidR="004C1C3A" w:rsidRPr="003D1E07">
        <w:t xml:space="preserve">antropomorfismus Avicenny. Jeho </w:t>
      </w:r>
      <w:r w:rsidR="007766E4" w:rsidRPr="003D1E07">
        <w:t xml:space="preserve">proces </w:t>
      </w:r>
      <w:r w:rsidR="004C1C3A" w:rsidRPr="003D1E07">
        <w:t>i</w:t>
      </w:r>
      <w:r w:rsidR="000D3EC2" w:rsidRPr="003D1E07">
        <w:rPr>
          <w:lang w:eastAsia="en-US"/>
        </w:rPr>
        <w:t>ndividuace nejde od první substance</w:t>
      </w:r>
      <w:r w:rsidR="00A70FA4" w:rsidRPr="003D1E07">
        <w:rPr>
          <w:lang w:eastAsia="en-US"/>
        </w:rPr>
        <w:fldChar w:fldCharType="begin"/>
      </w:r>
      <w:r w:rsidR="00A70FA4" w:rsidRPr="003D1E07">
        <w:instrText xml:space="preserve"> XE "substance</w:instrText>
      </w:r>
      <w:r w:rsidR="00E6051F" w:rsidRPr="003D1E07">
        <w:instrText>:první</w:instrText>
      </w:r>
      <w:r w:rsidR="00A70FA4" w:rsidRPr="003D1E07">
        <w:instrText xml:space="preserve">" </w:instrText>
      </w:r>
      <w:r w:rsidR="00A70FA4" w:rsidRPr="003D1E07">
        <w:rPr>
          <w:lang w:eastAsia="en-US"/>
        </w:rPr>
        <w:fldChar w:fldCharType="end"/>
      </w:r>
      <w:r w:rsidR="000D3EC2" w:rsidRPr="003D1E07">
        <w:rPr>
          <w:lang w:eastAsia="en-US"/>
        </w:rPr>
        <w:t xml:space="preserve"> dané </w:t>
      </w:r>
      <w:r w:rsidR="000D3EC2" w:rsidRPr="003D1E07">
        <w:rPr>
          <w:i/>
          <w:lang w:eastAsia="en-US"/>
        </w:rPr>
        <w:t>simpliciter</w:t>
      </w:r>
      <w:r w:rsidR="000D3EC2" w:rsidRPr="003D1E07">
        <w:rPr>
          <w:lang w:eastAsia="en-US"/>
        </w:rPr>
        <w:t xml:space="preserve"> v aktualitě, ale od univerzálního světa forem</w:t>
      </w:r>
      <w:r w:rsidR="00EA6F5F" w:rsidRPr="003D1E07">
        <w:rPr>
          <w:lang w:eastAsia="en-US"/>
        </w:rPr>
        <w:t xml:space="preserve">. </w:t>
      </w:r>
      <w:r w:rsidR="001C36AA" w:rsidRPr="003D1E07">
        <w:rPr>
          <w:lang w:eastAsia="en-US"/>
        </w:rPr>
        <w:t xml:space="preserve">Ty </w:t>
      </w:r>
      <w:r w:rsidR="000D3EC2" w:rsidRPr="003D1E07">
        <w:rPr>
          <w:lang w:eastAsia="en-US"/>
        </w:rPr>
        <w:t>musí existovat alespoň v jednom exempláři</w:t>
      </w:r>
      <w:r w:rsidR="001C36AA" w:rsidRPr="003D1E07">
        <w:rPr>
          <w:lang w:eastAsia="en-US"/>
        </w:rPr>
        <w:t xml:space="preserve"> a to v intelektu jako kosmického </w:t>
      </w:r>
      <w:r w:rsidR="004319BF" w:rsidRPr="004319BF">
        <w:rPr>
          <w:i/>
          <w:lang w:eastAsia="en-US"/>
        </w:rPr>
        <w:t>Dator formarum</w:t>
      </w:r>
      <w:r w:rsidR="001C36AA" w:rsidRPr="003D1E07">
        <w:rPr>
          <w:i/>
          <w:lang w:eastAsia="en-US"/>
        </w:rPr>
        <w:fldChar w:fldCharType="begin"/>
      </w:r>
      <w:r w:rsidR="001C36AA" w:rsidRPr="003D1E07">
        <w:instrText xml:space="preserve"> XE "</w:instrText>
      </w:r>
      <w:r w:rsidR="004319BF" w:rsidRPr="004319BF">
        <w:rPr>
          <w:i/>
          <w:lang w:eastAsia="en-US"/>
        </w:rPr>
        <w:instrText>Dator formarum</w:instrText>
      </w:r>
      <w:r w:rsidR="001C36AA" w:rsidRPr="003D1E07">
        <w:instrText xml:space="preserve">" </w:instrText>
      </w:r>
      <w:r w:rsidR="001C36AA" w:rsidRPr="003D1E07">
        <w:rPr>
          <w:i/>
          <w:lang w:eastAsia="en-US"/>
        </w:rPr>
        <w:fldChar w:fldCharType="end"/>
      </w:r>
      <w:r w:rsidR="000D3EC2" w:rsidRPr="003D1E07">
        <w:rPr>
          <w:lang w:eastAsia="en-US"/>
        </w:rPr>
        <w:t xml:space="preserve">. Připomeňme použití </w:t>
      </w:r>
      <w:r w:rsidR="000D3EC2" w:rsidRPr="003D1E07">
        <w:rPr>
          <w:i/>
          <w:lang w:eastAsia="en-US"/>
        </w:rPr>
        <w:t>modus ponens</w:t>
      </w:r>
      <w:r w:rsidR="007109A6" w:rsidRPr="003D1E07">
        <w:rPr>
          <w:i/>
          <w:lang w:eastAsia="en-US"/>
        </w:rPr>
        <w:fldChar w:fldCharType="begin"/>
      </w:r>
      <w:r w:rsidR="007109A6" w:rsidRPr="003D1E07">
        <w:instrText xml:space="preserve"> XE "</w:instrText>
      </w:r>
      <w:r w:rsidR="007109A6" w:rsidRPr="003D1E07">
        <w:rPr>
          <w:i/>
        </w:rPr>
        <w:instrText>modus ponens</w:instrText>
      </w:r>
      <w:r w:rsidR="007109A6" w:rsidRPr="003D1E07">
        <w:instrText xml:space="preserve">" </w:instrText>
      </w:r>
      <w:r w:rsidR="007109A6" w:rsidRPr="003D1E07">
        <w:rPr>
          <w:i/>
          <w:lang w:eastAsia="en-US"/>
        </w:rPr>
        <w:fldChar w:fldCharType="end"/>
      </w:r>
      <w:r w:rsidR="00BE6D46" w:rsidRPr="003D1E07">
        <w:rPr>
          <w:lang w:eastAsia="en-US"/>
        </w:rPr>
        <w:t xml:space="preserve"> pro jedinečnou nebeskou </w:t>
      </w:r>
      <w:r w:rsidR="0066552C" w:rsidRPr="003D1E07">
        <w:rPr>
          <w:lang w:eastAsia="en-US"/>
        </w:rPr>
        <w:t xml:space="preserve">první </w:t>
      </w:r>
      <w:r w:rsidR="00BE6D46" w:rsidRPr="003D1E07">
        <w:rPr>
          <w:lang w:eastAsia="en-US"/>
        </w:rPr>
        <w:t>substanci</w:t>
      </w:r>
      <w:r w:rsidR="000D3EC2" w:rsidRPr="003D1E07">
        <w:rPr>
          <w:lang w:eastAsia="en-US"/>
        </w:rPr>
        <w:t xml:space="preserve">, která </w:t>
      </w:r>
      <w:r w:rsidR="001A7818" w:rsidRPr="003D1E07">
        <w:rPr>
          <w:lang w:eastAsia="en-US"/>
        </w:rPr>
        <w:t xml:space="preserve">podle Simplikia </w:t>
      </w:r>
      <w:r w:rsidR="000D3EC2" w:rsidRPr="003D1E07">
        <w:rPr>
          <w:lang w:eastAsia="en-US"/>
        </w:rPr>
        <w:t xml:space="preserve">garantuje trvalost univerzálního významu její esence a </w:t>
      </w:r>
      <w:r w:rsidR="00F214C5" w:rsidRPr="003D1E07">
        <w:rPr>
          <w:lang w:eastAsia="en-US"/>
        </w:rPr>
        <w:t>species</w:t>
      </w:r>
      <w:r w:rsidR="08AF6B7D" w:rsidRPr="003D1E07">
        <w:rPr>
          <w:lang w:eastAsia="en-US"/>
        </w:rPr>
        <w:t xml:space="preserve"> (kap. 1.3</w:t>
      </w:r>
      <w:r w:rsidR="00C7202F" w:rsidRPr="003D1E07">
        <w:rPr>
          <w:lang w:eastAsia="en-US"/>
        </w:rPr>
        <w:t>.1</w:t>
      </w:r>
      <w:r w:rsidR="000D3EC2" w:rsidRPr="003D1E07">
        <w:rPr>
          <w:lang w:eastAsia="en-US"/>
        </w:rPr>
        <w:t xml:space="preserve">). </w:t>
      </w:r>
      <w:r w:rsidR="08D123E3" w:rsidRPr="003D1E07">
        <w:rPr>
          <w:lang w:eastAsia="en-US"/>
        </w:rPr>
        <w:t>Přeložení dedukce do boží sféry objektivity způsobilo, že h</w:t>
      </w:r>
      <w:r w:rsidR="00F95922" w:rsidRPr="003D1E07">
        <w:rPr>
          <w:lang w:eastAsia="en-US"/>
        </w:rPr>
        <w:t xml:space="preserve">ylemorfická substance už nemá v nové metafyzice </w:t>
      </w:r>
      <w:r w:rsidR="08080E45" w:rsidRPr="003D1E07">
        <w:rPr>
          <w:lang w:eastAsia="en-US"/>
        </w:rPr>
        <w:t xml:space="preserve">zakládající </w:t>
      </w:r>
      <w:r w:rsidR="00F95922" w:rsidRPr="003D1E07">
        <w:rPr>
          <w:lang w:eastAsia="en-US"/>
        </w:rPr>
        <w:t>význam</w:t>
      </w:r>
      <w:r w:rsidR="080A192E" w:rsidRPr="003D1E07">
        <w:rPr>
          <w:lang w:eastAsia="en-US"/>
        </w:rPr>
        <w:t xml:space="preserve"> pro </w:t>
      </w:r>
      <w:r w:rsidR="00FD363C" w:rsidRPr="003D1E07">
        <w:rPr>
          <w:lang w:eastAsia="en-US"/>
        </w:rPr>
        <w:t>první vědu</w:t>
      </w:r>
      <w:r w:rsidR="00F95922" w:rsidRPr="003D1E07">
        <w:rPr>
          <w:lang w:eastAsia="en-US"/>
        </w:rPr>
        <w:t>.</w:t>
      </w:r>
      <w:r w:rsidR="00FD363C" w:rsidRPr="003D1E07">
        <w:rPr>
          <w:lang w:eastAsia="en-US"/>
        </w:rPr>
        <w:t xml:space="preserve"> Nová substance třetího druhu (</w:t>
      </w:r>
      <w:r w:rsidR="00FD363C" w:rsidRPr="003D1E07">
        <w:rPr>
          <w:i/>
          <w:lang w:eastAsia="en-US"/>
        </w:rPr>
        <w:t>equinitas tantum</w:t>
      </w:r>
      <w:r w:rsidR="00FD363C" w:rsidRPr="003D1E07">
        <w:rPr>
          <w:i/>
          <w:lang w:eastAsia="en-US"/>
        </w:rPr>
        <w:fldChar w:fldCharType="begin"/>
      </w:r>
      <w:r w:rsidR="00FD363C" w:rsidRPr="003D1E07">
        <w:instrText xml:space="preserve"> XE "</w:instrText>
      </w:r>
      <w:r w:rsidR="00FD363C" w:rsidRPr="003D1E07">
        <w:rPr>
          <w:i/>
          <w:lang w:eastAsia="en-US"/>
        </w:rPr>
        <w:instrText>equinitas tantum</w:instrText>
      </w:r>
      <w:r w:rsidR="00FD363C" w:rsidRPr="003D1E07">
        <w:instrText xml:space="preserve">" </w:instrText>
      </w:r>
      <w:r w:rsidR="00FD363C" w:rsidRPr="003D1E07">
        <w:rPr>
          <w:i/>
          <w:lang w:eastAsia="en-US"/>
        </w:rPr>
        <w:fldChar w:fldCharType="end"/>
      </w:r>
      <w:r w:rsidR="00C92AE4" w:rsidRPr="003D1E07">
        <w:rPr>
          <w:lang w:eastAsia="en-US"/>
        </w:rPr>
        <w:t>) existuje v moderním b</w:t>
      </w:r>
      <w:r w:rsidR="00FD363C" w:rsidRPr="003D1E07">
        <w:rPr>
          <w:lang w:eastAsia="en-US"/>
        </w:rPr>
        <w:t>ohu jako objektivní entita (</w:t>
      </w:r>
      <w:r w:rsidR="00FD363C" w:rsidRPr="003D1E07">
        <w:rPr>
          <w:i/>
          <w:lang w:eastAsia="en-US"/>
        </w:rPr>
        <w:t>individuum</w:t>
      </w:r>
      <w:r w:rsidR="00FD363C" w:rsidRPr="003D1E07">
        <w:rPr>
          <w:i/>
          <w:lang w:eastAsia="en-US"/>
        </w:rPr>
        <w:fldChar w:fldCharType="begin"/>
      </w:r>
      <w:r w:rsidR="00FD363C" w:rsidRPr="003D1E07">
        <w:instrText xml:space="preserve"> XE "</w:instrText>
      </w:r>
      <w:r w:rsidR="00FD363C" w:rsidRPr="003D1E07">
        <w:rPr>
          <w:i/>
          <w:lang w:eastAsia="en-US"/>
        </w:rPr>
        <w:instrText>individuum</w:instrText>
      </w:r>
      <w:r w:rsidR="00FD363C" w:rsidRPr="003D1E07">
        <w:instrText xml:space="preserve">" </w:instrText>
      </w:r>
      <w:r w:rsidR="00FD363C" w:rsidRPr="003D1E07">
        <w:rPr>
          <w:i/>
          <w:lang w:eastAsia="en-US"/>
        </w:rPr>
        <w:fldChar w:fldCharType="end"/>
      </w:r>
      <w:r w:rsidR="00FD363C" w:rsidRPr="003D1E07">
        <w:rPr>
          <w:lang w:eastAsia="en-US"/>
        </w:rPr>
        <w:t>) prostřednictvím intencionální formy</w:t>
      </w:r>
      <w:r w:rsidR="006E70F1">
        <w:rPr>
          <w:lang w:eastAsia="en-US"/>
        </w:rPr>
        <w:t xml:space="preserve">. Tento </w:t>
      </w:r>
      <w:r w:rsidR="00D97D2C" w:rsidRPr="003D1E07">
        <w:rPr>
          <w:lang w:eastAsia="en-US"/>
        </w:rPr>
        <w:t xml:space="preserve">podivuhodný </w:t>
      </w:r>
      <w:r w:rsidR="00C92AE4" w:rsidRPr="003D1E07">
        <w:rPr>
          <w:lang w:eastAsia="en-US"/>
        </w:rPr>
        <w:t xml:space="preserve">výtvor modernistů </w:t>
      </w:r>
      <w:r w:rsidR="006E70F1">
        <w:rPr>
          <w:lang w:eastAsia="en-US"/>
        </w:rPr>
        <w:t xml:space="preserve">pak moderní bůh i akademik </w:t>
      </w:r>
      <w:r w:rsidR="006E70F1" w:rsidRPr="003D1E07">
        <w:rPr>
          <w:lang w:eastAsia="en-US"/>
        </w:rPr>
        <w:t>inten</w:t>
      </w:r>
      <w:r w:rsidR="006E70F1">
        <w:rPr>
          <w:lang w:eastAsia="en-US"/>
        </w:rPr>
        <w:t xml:space="preserve">dují společně, </w:t>
      </w:r>
      <w:r w:rsidR="00FD363C" w:rsidRPr="003D1E07">
        <w:rPr>
          <w:lang w:eastAsia="en-US"/>
        </w:rPr>
        <w:t xml:space="preserve">věčně a </w:t>
      </w:r>
      <w:r w:rsidR="006E70F1">
        <w:rPr>
          <w:lang w:eastAsia="en-US"/>
        </w:rPr>
        <w:t>naprosto spolehlivě</w:t>
      </w:r>
      <w:r w:rsidR="00FD363C" w:rsidRPr="003D1E07">
        <w:rPr>
          <w:lang w:eastAsia="en-US"/>
        </w:rPr>
        <w:t>.</w:t>
      </w:r>
      <w:r w:rsidR="0845721E" w:rsidRPr="003D1E07">
        <w:rPr>
          <w:lang w:eastAsia="en-US"/>
        </w:rPr>
        <w:t xml:space="preserve"> Moderní bůh svým proudem intencionálních forem </w:t>
      </w:r>
      <w:r w:rsidR="00061DFC" w:rsidRPr="003D1E07">
        <w:rPr>
          <w:lang w:eastAsia="en-US"/>
        </w:rPr>
        <w:t xml:space="preserve">zakládá </w:t>
      </w:r>
      <w:r w:rsidR="000D3EC2" w:rsidRPr="003D1E07">
        <w:rPr>
          <w:lang w:eastAsia="en-US"/>
        </w:rPr>
        <w:t xml:space="preserve">trvalost </w:t>
      </w:r>
      <w:r w:rsidR="00F214C5" w:rsidRPr="003D1E07">
        <w:rPr>
          <w:lang w:eastAsia="en-US"/>
        </w:rPr>
        <w:t>species</w:t>
      </w:r>
      <w:r w:rsidR="00F17993" w:rsidRPr="003D1E07">
        <w:rPr>
          <w:lang w:eastAsia="en-US"/>
        </w:rPr>
        <w:t xml:space="preserve">, </w:t>
      </w:r>
      <w:r w:rsidR="00F95922" w:rsidRPr="003D1E07">
        <w:rPr>
          <w:lang w:eastAsia="en-US"/>
        </w:rPr>
        <w:t xml:space="preserve">které jsou </w:t>
      </w:r>
      <w:r w:rsidR="00F17993" w:rsidRPr="003D1E07">
        <w:rPr>
          <w:lang w:eastAsia="en-US"/>
        </w:rPr>
        <w:t>dány v</w:t>
      </w:r>
      <w:r w:rsidR="086F57F0" w:rsidRPr="003D1E07">
        <w:rPr>
          <w:lang w:eastAsia="en-US"/>
        </w:rPr>
        <w:t xml:space="preserve">zhledem k </w:t>
      </w:r>
      <w:r w:rsidR="00F17993" w:rsidRPr="003D1E07">
        <w:rPr>
          <w:lang w:eastAsia="en-US"/>
        </w:rPr>
        <w:t>boží mysli</w:t>
      </w:r>
      <w:r w:rsidR="086F57F0" w:rsidRPr="003D1E07">
        <w:rPr>
          <w:lang w:eastAsia="en-US"/>
        </w:rPr>
        <w:t xml:space="preserve"> v modu </w:t>
      </w:r>
      <w:r w:rsidR="086F57F0" w:rsidRPr="003D1E07">
        <w:rPr>
          <w:i/>
          <w:lang w:eastAsia="en-US"/>
        </w:rPr>
        <w:t>esse ad</w:t>
      </w:r>
      <w:r w:rsidR="0856111B" w:rsidRPr="003D1E07">
        <w:rPr>
          <w:i/>
          <w:lang w:eastAsia="en-US"/>
        </w:rPr>
        <w:fldChar w:fldCharType="begin"/>
      </w:r>
      <w:r w:rsidR="0856111B" w:rsidRPr="003D1E07">
        <w:instrText xml:space="preserve"> XE "</w:instrText>
      </w:r>
      <w:r w:rsidR="0856111B" w:rsidRPr="003D1E07">
        <w:rPr>
          <w:i/>
          <w:lang w:eastAsia="en-US"/>
        </w:rPr>
        <w:instrText>esse ad</w:instrText>
      </w:r>
      <w:r w:rsidR="0856111B" w:rsidRPr="003D1E07">
        <w:rPr>
          <w:lang w:eastAsia="en-US"/>
        </w:rPr>
        <w:instrText>:Avicenna</w:instrText>
      </w:r>
      <w:r w:rsidR="0856111B" w:rsidRPr="003D1E07">
        <w:instrText xml:space="preserve">" </w:instrText>
      </w:r>
      <w:r w:rsidR="0856111B" w:rsidRPr="003D1E07">
        <w:rPr>
          <w:i/>
          <w:lang w:eastAsia="en-US"/>
        </w:rPr>
        <w:fldChar w:fldCharType="end"/>
      </w:r>
      <w:r w:rsidR="00F17993" w:rsidRPr="003D1E07">
        <w:rPr>
          <w:lang w:eastAsia="en-US"/>
        </w:rPr>
        <w:t xml:space="preserve">. </w:t>
      </w:r>
      <w:r w:rsidR="00126FEE" w:rsidRPr="003D1E07">
        <w:rPr>
          <w:lang w:eastAsia="en-US"/>
        </w:rPr>
        <w:t xml:space="preserve">Tato mytopoetická </w:t>
      </w:r>
      <w:r w:rsidR="004951EA" w:rsidRPr="003D1E07">
        <w:t>jsoucnost</w:t>
      </w:r>
      <w:r w:rsidR="000D3EC2" w:rsidRPr="003D1E07">
        <w:t xml:space="preserve"> </w:t>
      </w:r>
      <w:r w:rsidR="00126FEE" w:rsidRPr="003D1E07">
        <w:t xml:space="preserve">má </w:t>
      </w:r>
      <w:r w:rsidR="000D3EC2" w:rsidRPr="003D1E07">
        <w:t xml:space="preserve">vlastní subsistenci </w:t>
      </w:r>
      <w:r w:rsidR="00126FEE" w:rsidRPr="003D1E07">
        <w:t>v d</w:t>
      </w:r>
      <w:r w:rsidR="004951EA" w:rsidRPr="003D1E07">
        <w:t>árci</w:t>
      </w:r>
      <w:r w:rsidR="00126FEE" w:rsidRPr="003D1E07">
        <w:t xml:space="preserve"> forem, který ve své mysli vytváří proud trvale emanujících objektivních </w:t>
      </w:r>
      <w:r w:rsidR="004951EA" w:rsidRPr="003D1E07">
        <w:t>intencí a species</w:t>
      </w:r>
      <w:r w:rsidR="00B467C9" w:rsidRPr="003D1E07">
        <w:fldChar w:fldCharType="begin"/>
      </w:r>
      <w:r w:rsidR="00B467C9" w:rsidRPr="003D1E07">
        <w:instrText xml:space="preserve"> XE "</w:instrText>
      </w:r>
      <w:r w:rsidR="00B467C9" w:rsidRPr="003D1E07">
        <w:rPr>
          <w:i/>
        </w:rPr>
        <w:instrText>Dator formarum</w:instrText>
      </w:r>
      <w:r w:rsidR="00B467C9" w:rsidRPr="003D1E07">
        <w:instrText xml:space="preserve">" </w:instrText>
      </w:r>
      <w:r w:rsidR="00B467C9" w:rsidRPr="003D1E07">
        <w:fldChar w:fldCharType="end"/>
      </w:r>
      <w:r w:rsidR="000D3EC2" w:rsidRPr="003D1E07">
        <w:t>.</w:t>
      </w:r>
      <w:r w:rsidR="000D3EC2" w:rsidRPr="003D1E07">
        <w:rPr>
          <w:rStyle w:val="Znakapoznpodarou"/>
        </w:rPr>
        <w:footnoteReference w:id="171"/>
      </w:r>
      <w:r w:rsidR="000D3EC2" w:rsidRPr="003D1E07">
        <w:t xml:space="preserve"> </w:t>
      </w:r>
      <w:r w:rsidR="003F6C75" w:rsidRPr="003D1E07">
        <w:t xml:space="preserve">Hermeneutika objektivity tím našla původní </w:t>
      </w:r>
      <w:r w:rsidR="003F6C75" w:rsidRPr="003D1E07">
        <w:rPr>
          <w:i/>
        </w:rPr>
        <w:t>Ge-Stell</w:t>
      </w:r>
      <w:r w:rsidR="003F6C75" w:rsidRPr="003D1E07">
        <w:rPr>
          <w:i/>
        </w:rPr>
        <w:fldChar w:fldCharType="begin"/>
      </w:r>
      <w:r w:rsidR="003F6C75" w:rsidRPr="003D1E07">
        <w:instrText xml:space="preserve"> XE "</w:instrText>
      </w:r>
      <w:r w:rsidR="003F6C75" w:rsidRPr="003D1E07">
        <w:rPr>
          <w:i/>
        </w:rPr>
        <w:instrText>Ge-Stell</w:instrText>
      </w:r>
      <w:r w:rsidR="003F6C75" w:rsidRPr="003D1E07">
        <w:instrText xml:space="preserve">" </w:instrText>
      </w:r>
      <w:r w:rsidR="003F6C75" w:rsidRPr="003D1E07">
        <w:rPr>
          <w:i/>
        </w:rPr>
        <w:fldChar w:fldCharType="end"/>
      </w:r>
      <w:r w:rsidR="003F6C75" w:rsidRPr="003D1E07">
        <w:rPr>
          <w:i/>
        </w:rPr>
        <w:fldChar w:fldCharType="begin"/>
      </w:r>
      <w:r w:rsidR="003F6C75" w:rsidRPr="003D1E07">
        <w:instrText xml:space="preserve"> XE "</w:instrText>
      </w:r>
      <w:r w:rsidR="003F6C75" w:rsidRPr="003D1E07">
        <w:rPr>
          <w:i/>
        </w:rPr>
        <w:instrText>Ge-Stell</w:instrText>
      </w:r>
      <w:r w:rsidR="003F6C75" w:rsidRPr="003D1E07">
        <w:instrText xml:space="preserve">" </w:instrText>
      </w:r>
      <w:r w:rsidR="003F6C75" w:rsidRPr="003D1E07">
        <w:rPr>
          <w:i/>
        </w:rPr>
        <w:fldChar w:fldCharType="end"/>
      </w:r>
      <w:r w:rsidR="003F6C75" w:rsidRPr="003D1E07">
        <w:t xml:space="preserve"> moderny, odkud se děje přísun mytopoetického jsoucna do </w:t>
      </w:r>
      <w:r w:rsidR="00B4523B">
        <w:t>akademického diakosmu</w:t>
      </w:r>
      <w:r w:rsidR="003F6C75" w:rsidRPr="003D1E07">
        <w:t>. R</w:t>
      </w:r>
      <w:r w:rsidR="000D3EC2" w:rsidRPr="003D1E07">
        <w:rPr>
          <w:lang w:eastAsia="en-US"/>
        </w:rPr>
        <w:t xml:space="preserve">oli garanta univerzálních </w:t>
      </w:r>
      <w:r w:rsidR="00F214C5" w:rsidRPr="003D1E07">
        <w:rPr>
          <w:lang w:eastAsia="en-US"/>
        </w:rPr>
        <w:t>species</w:t>
      </w:r>
      <w:r w:rsidR="000D3EC2" w:rsidRPr="003D1E07">
        <w:rPr>
          <w:lang w:eastAsia="en-US"/>
        </w:rPr>
        <w:t xml:space="preserve"> sehraje boží mysl a ve scholastice i lidská paměť v podobě </w:t>
      </w:r>
      <w:r w:rsidR="000D3EC2" w:rsidRPr="003D1E07">
        <w:t xml:space="preserve">augustiniánské </w:t>
      </w:r>
      <w:r w:rsidR="000D3EC2" w:rsidRPr="003D1E07">
        <w:rPr>
          <w:i/>
        </w:rPr>
        <w:t>memoria</w:t>
      </w:r>
      <w:r w:rsidR="00E6051F" w:rsidRPr="003D1E07">
        <w:rPr>
          <w:i/>
        </w:rPr>
        <w:fldChar w:fldCharType="begin"/>
      </w:r>
      <w:r w:rsidR="00E6051F" w:rsidRPr="003D1E07">
        <w:instrText xml:space="preserve"> XE "</w:instrText>
      </w:r>
      <w:r w:rsidR="00E6051F" w:rsidRPr="003D1E07">
        <w:rPr>
          <w:i/>
        </w:rPr>
        <w:instrText>memoria:</w:instrText>
      </w:r>
      <w:r w:rsidR="00E6051F" w:rsidRPr="003D1E07">
        <w:instrText xml:space="preserve">druhý averroismus" </w:instrText>
      </w:r>
      <w:r w:rsidR="00E6051F" w:rsidRPr="003D1E07">
        <w:rPr>
          <w:i/>
        </w:rPr>
        <w:fldChar w:fldCharType="end"/>
      </w:r>
      <w:r w:rsidR="000D3EC2" w:rsidRPr="003D1E07">
        <w:t xml:space="preserve">, která se stala zásobárnou nemateriálních </w:t>
      </w:r>
      <w:r w:rsidR="00F214C5" w:rsidRPr="003D1E07">
        <w:t>species</w:t>
      </w:r>
      <w:r w:rsidR="000D3EC2" w:rsidRPr="003D1E07">
        <w:t xml:space="preserve"> (</w:t>
      </w:r>
      <w:r w:rsidR="000D3EC2" w:rsidRPr="003D1E07">
        <w:rPr>
          <w:i/>
        </w:rPr>
        <w:t>locus specierum</w:t>
      </w:r>
      <w:r w:rsidR="00CC2962" w:rsidRPr="003D1E07">
        <w:rPr>
          <w:i/>
        </w:rPr>
        <w:fldChar w:fldCharType="begin"/>
      </w:r>
      <w:r w:rsidR="00CC2962" w:rsidRPr="003D1E07">
        <w:instrText xml:space="preserve"> XE "</w:instrText>
      </w:r>
      <w:r w:rsidR="00CC2962" w:rsidRPr="003D1E07">
        <w:rPr>
          <w:i/>
        </w:rPr>
        <w:instrText>locus specierum</w:instrText>
      </w:r>
      <w:r w:rsidR="00CC2962" w:rsidRPr="003D1E07">
        <w:instrText xml:space="preserve">" </w:instrText>
      </w:r>
      <w:r w:rsidR="00CC2962" w:rsidRPr="003D1E07">
        <w:rPr>
          <w:i/>
        </w:rPr>
        <w:fldChar w:fldCharType="end"/>
      </w:r>
      <w:r w:rsidR="08F5528A" w:rsidRPr="003D1E07">
        <w:t>; OBJ III, kap. 4</w:t>
      </w:r>
      <w:r w:rsidR="000D3EC2" w:rsidRPr="003D1E07">
        <w:t>.3.1). A</w:t>
      </w:r>
      <w:r w:rsidR="009F0578" w:rsidRPr="003D1E07">
        <w:rPr>
          <w:rStyle w:val="FontStyle129"/>
          <w:rFonts w:ascii="Calibri" w:hAnsi="Calibri"/>
          <w:sz w:val="24"/>
        </w:rPr>
        <w:t>rchitektura</w:t>
      </w:r>
      <w:r w:rsidR="000D3EC2" w:rsidRPr="003D1E07">
        <w:rPr>
          <w:rStyle w:val="FontStyle129"/>
          <w:rFonts w:ascii="Calibri" w:hAnsi="Calibri"/>
          <w:sz w:val="24"/>
        </w:rPr>
        <w:t xml:space="preserve"> </w:t>
      </w:r>
      <w:r w:rsidR="00056E5D" w:rsidRPr="003D1E07">
        <w:rPr>
          <w:rStyle w:val="FontStyle129"/>
          <w:rFonts w:ascii="Calibri" w:hAnsi="Calibri"/>
          <w:sz w:val="24"/>
        </w:rPr>
        <w:t xml:space="preserve">aktivních </w:t>
      </w:r>
      <w:r w:rsidR="000D3EC2" w:rsidRPr="003D1E07">
        <w:rPr>
          <w:rStyle w:val="FontStyle129"/>
          <w:rFonts w:ascii="Calibri" w:hAnsi="Calibri"/>
          <w:sz w:val="24"/>
        </w:rPr>
        <w:t>inteligencí je dána zhora dolů</w:t>
      </w:r>
      <w:r w:rsidR="00056E5D" w:rsidRPr="003D1E07">
        <w:rPr>
          <w:rStyle w:val="FontStyle129"/>
          <w:rFonts w:ascii="Calibri" w:hAnsi="Calibri"/>
          <w:sz w:val="24"/>
        </w:rPr>
        <w:t xml:space="preserve">, protože aktualita </w:t>
      </w:r>
      <w:r w:rsidR="00767192" w:rsidRPr="003D1E07">
        <w:rPr>
          <w:rStyle w:val="FontStyle129"/>
          <w:rFonts w:ascii="Calibri" w:hAnsi="Calibri"/>
          <w:sz w:val="24"/>
        </w:rPr>
        <w:t xml:space="preserve">kosmických </w:t>
      </w:r>
      <w:r w:rsidR="00056E5D" w:rsidRPr="003D1E07">
        <w:rPr>
          <w:rStyle w:val="FontStyle129"/>
          <w:rFonts w:ascii="Calibri" w:hAnsi="Calibri"/>
          <w:sz w:val="24"/>
        </w:rPr>
        <w:t xml:space="preserve">forem je dána </w:t>
      </w:r>
      <w:r w:rsidR="00FC742F" w:rsidRPr="003D1E07">
        <w:rPr>
          <w:rStyle w:val="FontStyle129"/>
          <w:rFonts w:ascii="Calibri" w:hAnsi="Calibri"/>
          <w:sz w:val="24"/>
        </w:rPr>
        <w:t xml:space="preserve">demiurgickým </w:t>
      </w:r>
      <w:r w:rsidR="00056E5D" w:rsidRPr="003D1E07">
        <w:rPr>
          <w:rStyle w:val="FontStyle129"/>
          <w:rFonts w:ascii="Calibri" w:hAnsi="Calibri"/>
          <w:sz w:val="24"/>
        </w:rPr>
        <w:t>způsobem</w:t>
      </w:r>
      <w:r w:rsidR="08BD3348" w:rsidRPr="003D1E07">
        <w:rPr>
          <w:rStyle w:val="FontStyle129"/>
          <w:rFonts w:ascii="Calibri" w:hAnsi="Calibri"/>
          <w:sz w:val="24"/>
        </w:rPr>
        <w:t xml:space="preserve"> podle dialogu </w:t>
      </w:r>
      <w:r w:rsidR="08BD3348" w:rsidRPr="003D1E07">
        <w:rPr>
          <w:rStyle w:val="FontStyle129"/>
          <w:rFonts w:ascii="Calibri" w:hAnsi="Calibri"/>
          <w:i/>
          <w:sz w:val="24"/>
        </w:rPr>
        <w:t>Timaios</w:t>
      </w:r>
      <w:r w:rsidR="000D3EC2" w:rsidRPr="003D1E07">
        <w:rPr>
          <w:rStyle w:val="FontStyle129"/>
          <w:rFonts w:ascii="Calibri" w:hAnsi="Calibri"/>
          <w:sz w:val="24"/>
        </w:rPr>
        <w:t xml:space="preserve">. </w:t>
      </w:r>
      <w:r w:rsidR="08BD3348" w:rsidRPr="003D1E07">
        <w:rPr>
          <w:rStyle w:val="FontStyle129"/>
          <w:rFonts w:ascii="Calibri" w:hAnsi="Calibri"/>
          <w:sz w:val="24"/>
        </w:rPr>
        <w:t>Kosmický a lidský ř</w:t>
      </w:r>
      <w:r w:rsidR="00FC742F" w:rsidRPr="003D1E07">
        <w:rPr>
          <w:rStyle w:val="FontStyle129"/>
          <w:rFonts w:ascii="Calibri" w:hAnsi="Calibri"/>
          <w:sz w:val="24"/>
        </w:rPr>
        <w:t xml:space="preserve">emeslník má ve svém intelektu tvůrčí ideu, a tu vtiskuje do materie všeho druhu. </w:t>
      </w:r>
      <w:r w:rsidR="00F76636" w:rsidRPr="003D1E07">
        <w:rPr>
          <w:rStyle w:val="FontStyle129"/>
          <w:rFonts w:ascii="Calibri" w:hAnsi="Calibri"/>
          <w:sz w:val="24"/>
        </w:rPr>
        <w:t xml:space="preserve">Avicenna vzal tento demiurgický postup poznání jako základ pro svou metafyziku podle díla </w:t>
      </w:r>
      <w:r w:rsidR="00F76636" w:rsidRPr="003D1E07">
        <w:rPr>
          <w:rStyle w:val="FontStyle129"/>
          <w:rFonts w:ascii="Calibri" w:hAnsi="Calibri"/>
          <w:i/>
          <w:sz w:val="24"/>
        </w:rPr>
        <w:t>Liber de causis</w:t>
      </w:r>
      <w:r w:rsidR="00F76636" w:rsidRPr="003D1E07">
        <w:rPr>
          <w:rStyle w:val="FontStyle129"/>
          <w:rFonts w:ascii="Calibri" w:hAnsi="Calibri"/>
          <w:sz w:val="24"/>
        </w:rPr>
        <w:t xml:space="preserve">. </w:t>
      </w:r>
      <w:r w:rsidR="000D3EC2" w:rsidRPr="003D1E07">
        <w:rPr>
          <w:rStyle w:val="FontStyle129"/>
          <w:rFonts w:ascii="Calibri" w:hAnsi="Calibri"/>
          <w:sz w:val="24"/>
        </w:rPr>
        <w:t xml:space="preserve">Vyšší složky </w:t>
      </w:r>
      <w:r w:rsidR="000D3EC2" w:rsidRPr="003D1E07">
        <w:rPr>
          <w:rStyle w:val="FontStyle129"/>
          <w:rFonts w:ascii="Calibri" w:hAnsi="Calibri"/>
          <w:sz w:val="24"/>
        </w:rPr>
        <w:lastRenderedPageBreak/>
        <w:t>intelektu svou subsistentní aktualitou ovládají a determinují práci nižších složek poznání.</w:t>
      </w:r>
      <w:r w:rsidR="000D3EC2" w:rsidRPr="003D1E07">
        <w:rPr>
          <w:rStyle w:val="Znakapoznpodarou"/>
          <w:szCs w:val="18"/>
        </w:rPr>
        <w:footnoteReference w:id="172"/>
      </w:r>
      <w:r w:rsidR="000D3EC2" w:rsidRPr="003D1E07">
        <w:rPr>
          <w:rStyle w:val="FontStyle129"/>
          <w:rFonts w:ascii="Calibri" w:hAnsi="Calibri"/>
          <w:sz w:val="24"/>
        </w:rPr>
        <w:t xml:space="preserve"> </w:t>
      </w:r>
      <w:r w:rsidR="081227A4" w:rsidRPr="003D1E07">
        <w:rPr>
          <w:rStyle w:val="FontStyle129"/>
          <w:rFonts w:ascii="Calibri" w:hAnsi="Calibri"/>
          <w:sz w:val="24"/>
        </w:rPr>
        <w:t>K</w:t>
      </w:r>
      <w:r w:rsidR="00F76636" w:rsidRPr="003D1E07">
        <w:rPr>
          <w:rStyle w:val="FontStyle129"/>
          <w:rFonts w:ascii="Calibri" w:hAnsi="Calibri"/>
          <w:sz w:val="24"/>
        </w:rPr>
        <w:t xml:space="preserve">lasický aristotelismus </w:t>
      </w:r>
      <w:r w:rsidR="002E3B62" w:rsidRPr="003D1E07">
        <w:rPr>
          <w:rStyle w:val="FontStyle129"/>
          <w:rFonts w:ascii="Calibri" w:hAnsi="Calibri"/>
          <w:sz w:val="24"/>
        </w:rPr>
        <w:t>Averroes</w:t>
      </w:r>
      <w:r w:rsidR="00664D0B" w:rsidRPr="003D1E07">
        <w:rPr>
          <w:rStyle w:val="FontStyle129"/>
          <w:rFonts w:ascii="Calibri" w:hAnsi="Calibri"/>
          <w:sz w:val="24"/>
        </w:rPr>
        <w:t xml:space="preserve">e a latinské scholastiky </w:t>
      </w:r>
      <w:r w:rsidR="00F76636" w:rsidRPr="003D1E07">
        <w:rPr>
          <w:rStyle w:val="FontStyle129"/>
          <w:rFonts w:ascii="Calibri" w:hAnsi="Calibri"/>
          <w:sz w:val="24"/>
        </w:rPr>
        <w:t>tento postup pozná</w:t>
      </w:r>
      <w:r w:rsidR="08762A4E" w:rsidRPr="003D1E07">
        <w:rPr>
          <w:rStyle w:val="FontStyle129"/>
          <w:rFonts w:ascii="Calibri" w:hAnsi="Calibri"/>
          <w:sz w:val="24"/>
        </w:rPr>
        <w:t xml:space="preserve">ní zásadně odmítl. Kauzalita a </w:t>
      </w:r>
      <w:r w:rsidR="00F76636" w:rsidRPr="003D1E07">
        <w:rPr>
          <w:rStyle w:val="FontStyle129"/>
          <w:rFonts w:ascii="Calibri" w:hAnsi="Calibri"/>
          <w:sz w:val="24"/>
        </w:rPr>
        <w:t xml:space="preserve">predikace </w:t>
      </w:r>
      <w:r w:rsidR="08F15D2E" w:rsidRPr="003D1E07">
        <w:rPr>
          <w:rStyle w:val="FontStyle129"/>
          <w:rFonts w:ascii="Calibri" w:hAnsi="Calibri"/>
          <w:sz w:val="24"/>
        </w:rPr>
        <w:t xml:space="preserve">v modu </w:t>
      </w:r>
      <w:r w:rsidR="00F76636" w:rsidRPr="003D1E07">
        <w:rPr>
          <w:rStyle w:val="FontStyle129"/>
          <w:rFonts w:ascii="Calibri" w:hAnsi="Calibri"/>
          <w:i/>
          <w:sz w:val="24"/>
        </w:rPr>
        <w:t>in artificialibus</w:t>
      </w:r>
      <w:r w:rsidR="00F76636" w:rsidRPr="003D1E07">
        <w:rPr>
          <w:rStyle w:val="FontStyle129"/>
          <w:rFonts w:ascii="Calibri" w:hAnsi="Calibri"/>
          <w:i/>
          <w:sz w:val="24"/>
        </w:rPr>
        <w:fldChar w:fldCharType="begin"/>
      </w:r>
      <w:r w:rsidR="00F76636" w:rsidRPr="003D1E07">
        <w:instrText xml:space="preserve"> XE "</w:instrText>
      </w:r>
      <w:r w:rsidR="00F76636" w:rsidRPr="003D1E07">
        <w:rPr>
          <w:rStyle w:val="FontStyle129"/>
          <w:rFonts w:ascii="Calibri" w:hAnsi="Calibri"/>
          <w:sz w:val="24"/>
        </w:rPr>
        <w:instrText>predikace:</w:instrText>
      </w:r>
      <w:r w:rsidR="00F76636" w:rsidRPr="003D1E07">
        <w:rPr>
          <w:rStyle w:val="FontStyle129"/>
          <w:rFonts w:ascii="Calibri" w:hAnsi="Calibri"/>
          <w:i/>
          <w:sz w:val="24"/>
        </w:rPr>
        <w:instrText>in artificialibus</w:instrText>
      </w:r>
      <w:r w:rsidR="00F76636" w:rsidRPr="003D1E07">
        <w:instrText xml:space="preserve">" </w:instrText>
      </w:r>
      <w:r w:rsidR="00F76636" w:rsidRPr="003D1E07">
        <w:rPr>
          <w:rStyle w:val="FontStyle129"/>
          <w:rFonts w:ascii="Calibri" w:hAnsi="Calibri"/>
          <w:i/>
          <w:sz w:val="24"/>
        </w:rPr>
        <w:fldChar w:fldCharType="end"/>
      </w:r>
      <w:r w:rsidR="00F76636" w:rsidRPr="003D1E07">
        <w:rPr>
          <w:rStyle w:val="FontStyle129"/>
          <w:rFonts w:ascii="Calibri" w:hAnsi="Calibri"/>
          <w:sz w:val="24"/>
        </w:rPr>
        <w:t xml:space="preserve"> tvoří velmi specifickou oblast lidského poznání a činnosti a </w:t>
      </w:r>
      <w:r w:rsidR="00D11112" w:rsidRPr="003D1E07">
        <w:rPr>
          <w:rStyle w:val="FontStyle129"/>
          <w:rFonts w:ascii="Calibri" w:hAnsi="Calibri"/>
          <w:sz w:val="24"/>
        </w:rPr>
        <w:t xml:space="preserve">toto </w:t>
      </w:r>
      <w:r w:rsidR="00F5217E" w:rsidRPr="003D1E07">
        <w:rPr>
          <w:rStyle w:val="FontStyle129"/>
          <w:rFonts w:ascii="Calibri" w:hAnsi="Calibri"/>
          <w:sz w:val="24"/>
        </w:rPr>
        <w:t xml:space="preserve">demiurgické </w:t>
      </w:r>
      <w:r w:rsidR="00D11112" w:rsidRPr="003D1E07">
        <w:rPr>
          <w:rStyle w:val="FontStyle129"/>
          <w:rFonts w:ascii="Calibri" w:hAnsi="Calibri"/>
          <w:sz w:val="24"/>
        </w:rPr>
        <w:t xml:space="preserve">poznání </w:t>
      </w:r>
      <w:r w:rsidR="00F71D4E" w:rsidRPr="003D1E07">
        <w:rPr>
          <w:rStyle w:val="FontStyle129"/>
          <w:rFonts w:ascii="Calibri" w:hAnsi="Calibri"/>
          <w:sz w:val="24"/>
        </w:rPr>
        <w:t xml:space="preserve">nemůže mít </w:t>
      </w:r>
      <w:r w:rsidR="00D11112" w:rsidRPr="003D1E07">
        <w:rPr>
          <w:rStyle w:val="FontStyle129"/>
          <w:rFonts w:ascii="Calibri" w:hAnsi="Calibri"/>
          <w:sz w:val="24"/>
        </w:rPr>
        <w:t>un</w:t>
      </w:r>
      <w:r w:rsidR="00F76636" w:rsidRPr="003D1E07">
        <w:rPr>
          <w:rStyle w:val="FontStyle129"/>
          <w:rFonts w:ascii="Calibri" w:hAnsi="Calibri"/>
          <w:sz w:val="24"/>
        </w:rPr>
        <w:t>i</w:t>
      </w:r>
      <w:r w:rsidR="00D11112" w:rsidRPr="003D1E07">
        <w:rPr>
          <w:rStyle w:val="FontStyle129"/>
          <w:rFonts w:ascii="Calibri" w:hAnsi="Calibri"/>
          <w:sz w:val="24"/>
        </w:rPr>
        <w:t>verzáln</w:t>
      </w:r>
      <w:r w:rsidR="00F76636" w:rsidRPr="003D1E07">
        <w:rPr>
          <w:rStyle w:val="FontStyle129"/>
          <w:rFonts w:ascii="Calibri" w:hAnsi="Calibri"/>
          <w:sz w:val="24"/>
        </w:rPr>
        <w:t>í charakter.</w:t>
      </w:r>
      <w:r w:rsidR="08146E88" w:rsidRPr="003D1E07">
        <w:rPr>
          <w:rStyle w:val="FontStyle129"/>
          <w:rFonts w:ascii="Calibri" w:hAnsi="Calibri"/>
          <w:sz w:val="24"/>
          <w:szCs w:val="20"/>
        </w:rPr>
        <w:t xml:space="preserve"> </w:t>
      </w:r>
      <w:r w:rsidR="008F0EE1" w:rsidRPr="003D1E07">
        <w:t xml:space="preserve">Zavedení denudace a objektivně pojaté intencionality do schématu poznání založilo nový diakosmos. </w:t>
      </w:r>
      <w:r w:rsidR="001D4506" w:rsidRPr="003D1E07">
        <w:rPr>
          <w:rFonts w:eastAsia="NewAster"/>
        </w:rPr>
        <w:t>A</w:t>
      </w:r>
      <w:r w:rsidR="080E184C" w:rsidRPr="003D1E07">
        <w:t xml:space="preserve">rabský překlad </w:t>
      </w:r>
      <w:r w:rsidR="080E184C" w:rsidRPr="003D1E07">
        <w:rPr>
          <w:i/>
        </w:rPr>
        <w:t>Isagoge</w:t>
      </w:r>
      <w:r w:rsidR="001D4506" w:rsidRPr="003D1E07">
        <w:t xml:space="preserve"> z 10. století sledoval tradici neoplatonismu </w:t>
      </w:r>
      <w:r w:rsidR="00E906D0" w:rsidRPr="003D1E07">
        <w:t xml:space="preserve">skrze Eliasův komentář </w:t>
      </w:r>
      <w:r w:rsidR="00E906D0" w:rsidRPr="003D1E07">
        <w:rPr>
          <w:i/>
        </w:rPr>
        <w:t>Kategorií</w:t>
      </w:r>
      <w:r w:rsidR="00E906D0" w:rsidRPr="003D1E07">
        <w:t xml:space="preserve"> </w:t>
      </w:r>
      <w:r w:rsidR="001D4506" w:rsidRPr="003D1E07">
        <w:t>a zrušil hyparchickou diferenci mezi první a druhou substancí</w:t>
      </w:r>
      <w:r w:rsidR="003C0ABA" w:rsidRPr="003D1E07">
        <w:t xml:space="preserve"> (kap. 2.1.2)</w:t>
      </w:r>
      <w:r w:rsidR="001D4506" w:rsidRPr="003D1E07">
        <w:t xml:space="preserve">. Škola </w:t>
      </w:r>
      <w:r w:rsidR="001D4506" w:rsidRPr="003D1E07">
        <w:rPr>
          <w:rFonts w:eastAsia="NewAster"/>
        </w:rPr>
        <w:t>Al</w:t>
      </w:r>
      <w:r w:rsidR="001D4506" w:rsidRPr="003D1E07">
        <w:rPr>
          <w:rFonts w:eastAsia="NewAster"/>
        </w:rPr>
        <w:noBreakHyphen/>
        <w:t>Kindího</w:t>
      </w:r>
      <w:r w:rsidR="00E6051F" w:rsidRPr="003D1E07">
        <w:rPr>
          <w:rFonts w:eastAsia="NewAster"/>
        </w:rPr>
        <w:fldChar w:fldCharType="begin"/>
      </w:r>
      <w:r w:rsidR="00E6051F" w:rsidRPr="003D1E07">
        <w:instrText xml:space="preserve"> XE "</w:instrText>
      </w:r>
      <w:r w:rsidR="00A334C6" w:rsidRPr="003D1E07">
        <w:rPr>
          <w:rFonts w:eastAsia="NewAster"/>
        </w:rPr>
        <w:instrText>Al-</w:instrText>
      </w:r>
      <w:r w:rsidR="00E6051F" w:rsidRPr="003D1E07">
        <w:rPr>
          <w:rFonts w:eastAsia="NewAster"/>
        </w:rPr>
        <w:instrText>Kindí</w:instrText>
      </w:r>
      <w:r w:rsidR="00E6051F" w:rsidRPr="003D1E07">
        <w:instrText xml:space="preserve">" </w:instrText>
      </w:r>
      <w:r w:rsidR="00E6051F" w:rsidRPr="003D1E07">
        <w:rPr>
          <w:rFonts w:eastAsia="NewAster"/>
        </w:rPr>
        <w:fldChar w:fldCharType="end"/>
      </w:r>
      <w:r w:rsidR="001D4506" w:rsidRPr="003D1E07">
        <w:rPr>
          <w:rFonts w:eastAsia="NewAster"/>
        </w:rPr>
        <w:t xml:space="preserve"> u</w:t>
      </w:r>
      <w:r w:rsidR="001D4506" w:rsidRPr="003D1E07">
        <w:t xml:space="preserve">chopila jsoucno jako nejvyšší rod a ten pojala místo substance jako </w:t>
      </w:r>
      <w:r w:rsidR="001D4506" w:rsidRPr="003D1E07">
        <w:rPr>
          <w:i/>
        </w:rPr>
        <w:t>terminus</w:t>
      </w:r>
      <w:r w:rsidR="001D4506" w:rsidRPr="003D1E07">
        <w:t xml:space="preserve"> transcendentální predikace univočně vztažené k Jednomu. </w:t>
      </w:r>
      <w:r w:rsidR="00534D8F" w:rsidRPr="003D1E07">
        <w:t xml:space="preserve">Tím vznikla možnost amfibolní predikace </w:t>
      </w:r>
      <w:r w:rsidR="087B327B" w:rsidRPr="003D1E07">
        <w:fldChar w:fldCharType="begin"/>
      </w:r>
      <w:r w:rsidR="087B327B" w:rsidRPr="003D1E07">
        <w:instrText xml:space="preserve"> XE "predikace:amfibolní" </w:instrText>
      </w:r>
      <w:r w:rsidR="087B327B" w:rsidRPr="003D1E07">
        <w:fldChar w:fldCharType="end"/>
      </w:r>
      <w:r w:rsidR="00534D8F" w:rsidRPr="003D1E07">
        <w:t xml:space="preserve">rodových </w:t>
      </w:r>
      <w:r w:rsidR="089860B1" w:rsidRPr="003D1E07">
        <w:t xml:space="preserve">a individuálních </w:t>
      </w:r>
      <w:r w:rsidR="00534D8F" w:rsidRPr="003D1E07">
        <w:t xml:space="preserve">určení pojatých jako aristotelské kategorie, což zásadně odmítla klasická škola aristoteliků jako byl Ibn Ádí. </w:t>
      </w:r>
      <w:r w:rsidR="00AC26D9" w:rsidRPr="003D1E07">
        <w:t>Fal</w:t>
      </w:r>
      <w:r w:rsidR="087B327B" w:rsidRPr="003D1E07">
        <w:t xml:space="preserve">safou zavedený model predikace </w:t>
      </w:r>
      <w:r w:rsidR="00AC26D9" w:rsidRPr="003D1E07">
        <w:rPr>
          <w:i/>
        </w:rPr>
        <w:t>ad unum</w:t>
      </w:r>
      <w:r w:rsidR="00AC26D9" w:rsidRPr="003D1E07">
        <w:t xml:space="preserve"> </w:t>
      </w:r>
      <w:r w:rsidR="00AC26D9" w:rsidRPr="003D1E07">
        <w:rPr>
          <w:rFonts w:eastAsia="NewAster"/>
        </w:rPr>
        <w:fldChar w:fldCharType="begin"/>
      </w:r>
      <w:r w:rsidR="00AC26D9" w:rsidRPr="003D1E07">
        <w:instrText xml:space="preserve"> XE "</w:instrText>
      </w:r>
      <w:r w:rsidR="00AC26D9" w:rsidRPr="003D1E07">
        <w:rPr>
          <w:rFonts w:eastAsia="NewAster"/>
        </w:rPr>
        <w:instrText>predikace:</w:instrText>
      </w:r>
      <w:r w:rsidR="00AC26D9" w:rsidRPr="003D1E07">
        <w:rPr>
          <w:rFonts w:eastAsia="NewAster"/>
          <w:i/>
        </w:rPr>
        <w:instrText>ad unum</w:instrText>
      </w:r>
      <w:r w:rsidR="00AC26D9" w:rsidRPr="003D1E07">
        <w:instrText xml:space="preserve">" </w:instrText>
      </w:r>
      <w:r w:rsidR="00AC26D9" w:rsidRPr="003D1E07">
        <w:rPr>
          <w:rFonts w:eastAsia="NewAster"/>
        </w:rPr>
        <w:fldChar w:fldCharType="end"/>
      </w:r>
      <w:r w:rsidR="00AC26D9" w:rsidRPr="003D1E07">
        <w:rPr>
          <w:rFonts w:eastAsia="NewAster"/>
        </w:rPr>
        <w:t xml:space="preserve"> v modu amfibolií </w:t>
      </w:r>
      <w:r w:rsidR="00AC26D9" w:rsidRPr="003D1E07">
        <w:t>zahájil u Al-</w:t>
      </w:r>
      <w:r w:rsidR="008E02F5" w:rsidRPr="003D1E07">
        <w:t>Fárábí</w:t>
      </w:r>
      <w:r w:rsidR="00AC26D9" w:rsidRPr="003D1E07">
        <w:t>ho moderní přeměnu substance na jsoucno třetího druhu</w:t>
      </w:r>
      <w:r w:rsidR="00AC26D9" w:rsidRPr="003D1E07">
        <w:rPr>
          <w:rFonts w:eastAsia="NewAster"/>
        </w:rPr>
        <w:fldChar w:fldCharType="begin"/>
      </w:r>
      <w:r w:rsidR="00AC26D9" w:rsidRPr="003D1E07">
        <w:instrText xml:space="preserve"> XE "</w:instrText>
      </w:r>
      <w:r w:rsidR="00AC26D9" w:rsidRPr="003D1E07">
        <w:rPr>
          <w:rFonts w:eastAsia="NewAster"/>
        </w:rPr>
        <w:instrText>amfibolia</w:instrText>
      </w:r>
      <w:r w:rsidR="00AC26D9" w:rsidRPr="003D1E07">
        <w:instrText xml:space="preserve">" </w:instrText>
      </w:r>
      <w:r w:rsidR="00AC26D9" w:rsidRPr="003D1E07">
        <w:rPr>
          <w:rFonts w:eastAsia="NewAster"/>
        </w:rPr>
        <w:fldChar w:fldCharType="end"/>
      </w:r>
      <w:r w:rsidR="0020299E">
        <w:rPr>
          <w:rFonts w:eastAsia="NewAster"/>
        </w:rPr>
        <w:t>.</w:t>
      </w:r>
    </w:p>
    <w:p w14:paraId="7D323B7F" w14:textId="49010B68" w:rsidR="00A75C87" w:rsidRPr="003D1E07" w:rsidRDefault="08700BD0" w:rsidP="00A75C87">
      <w:pPr>
        <w:rPr>
          <w:lang w:eastAsia="en-US"/>
        </w:rPr>
      </w:pPr>
      <w:r w:rsidRPr="003D1E07">
        <w:rPr>
          <w:rStyle w:val="addmd"/>
        </w:rPr>
        <w:tab/>
      </w:r>
      <w:r w:rsidR="084D7119" w:rsidRPr="003D1E07">
        <w:t>Avicenna vytvořil na úro</w:t>
      </w:r>
      <w:r w:rsidR="00C1039E" w:rsidRPr="003D1E07">
        <w:t xml:space="preserve">vni objektivní fyziky </w:t>
      </w:r>
      <w:r w:rsidR="001306DB" w:rsidRPr="003D1E07">
        <w:t xml:space="preserve">a objektivní mystiky </w:t>
      </w:r>
      <w:r w:rsidR="084D7119" w:rsidRPr="003D1E07">
        <w:t xml:space="preserve">nové určení jsoucna a novou verzi </w:t>
      </w:r>
      <w:r w:rsidR="08E83980" w:rsidRPr="003D1E07">
        <w:t xml:space="preserve">neoplatonského </w:t>
      </w:r>
      <w:r w:rsidR="084D7119" w:rsidRPr="003D1E07">
        <w:t>d</w:t>
      </w:r>
      <w:r w:rsidR="001C672F" w:rsidRPr="003D1E07">
        <w:t>ia</w:t>
      </w:r>
      <w:r w:rsidR="084D7119" w:rsidRPr="003D1E07">
        <w:t xml:space="preserve">kosmu složenou z objektivní verze </w:t>
      </w:r>
      <w:r w:rsidR="084D7119" w:rsidRPr="003D1E07">
        <w:rPr>
          <w:i/>
        </w:rPr>
        <w:t>tertium ens</w:t>
      </w:r>
      <w:r w:rsidR="084D7119" w:rsidRPr="003D1E07">
        <w:t xml:space="preserve">. </w:t>
      </w:r>
      <w:r w:rsidR="00D72E48" w:rsidRPr="003D1E07">
        <w:t>Tím v</w:t>
      </w:r>
      <w:r w:rsidR="00E544D6" w:rsidRPr="003D1E07">
        <w:t xml:space="preserve">ytvořil modernistickou </w:t>
      </w:r>
      <w:r w:rsidR="0034397D" w:rsidRPr="003D1E07">
        <w:t xml:space="preserve">metafyziku islámského monoteismu, která </w:t>
      </w:r>
      <w:r w:rsidR="084D7119" w:rsidRPr="003D1E07">
        <w:t>překročil</w:t>
      </w:r>
      <w:r w:rsidR="08E83980" w:rsidRPr="003D1E07">
        <w:t>a</w:t>
      </w:r>
      <w:r w:rsidR="084D7119" w:rsidRPr="003D1E07">
        <w:t xml:space="preserve"> hor</w:t>
      </w:r>
      <w:r w:rsidR="002177B2" w:rsidRPr="003D1E07">
        <w:t xml:space="preserve">izont </w:t>
      </w:r>
      <w:r w:rsidR="00D60B97">
        <w:t xml:space="preserve">polyteistického </w:t>
      </w:r>
      <w:r w:rsidR="002177B2" w:rsidRPr="003D1E07">
        <w:t xml:space="preserve">neoplatonismu. </w:t>
      </w:r>
      <w:r w:rsidR="08E83980" w:rsidRPr="003D1E07">
        <w:t xml:space="preserve">Avicenna </w:t>
      </w:r>
      <w:r w:rsidR="084D7119" w:rsidRPr="003D1E07">
        <w:t xml:space="preserve">musel najít do nové jednoty stvoření také nového monotheistického demiurga </w:t>
      </w:r>
      <w:r w:rsidR="001C672F" w:rsidRPr="003D1E07">
        <w:t xml:space="preserve">a </w:t>
      </w:r>
      <w:r w:rsidR="084D7119" w:rsidRPr="003D1E07">
        <w:t xml:space="preserve">novou pseudo-aristotelskou verzi věčné a zcela oddělené </w:t>
      </w:r>
      <w:r w:rsidR="084D7119" w:rsidRPr="003D1E07">
        <w:rPr>
          <w:i/>
        </w:rPr>
        <w:t>causa prima</w:t>
      </w:r>
      <w:r w:rsidR="084D7119" w:rsidRPr="003D1E07">
        <w:rPr>
          <w:i/>
        </w:rPr>
        <w:fldChar w:fldCharType="begin"/>
      </w:r>
      <w:r w:rsidR="084D7119" w:rsidRPr="003D1E07">
        <w:instrText xml:space="preserve"> XE "</w:instrText>
      </w:r>
      <w:r w:rsidR="084D7119" w:rsidRPr="003D1E07">
        <w:rPr>
          <w:i/>
        </w:rPr>
        <w:instrText>causa prima</w:instrText>
      </w:r>
      <w:r w:rsidR="084D7119" w:rsidRPr="003D1E07">
        <w:instrText xml:space="preserve">" </w:instrText>
      </w:r>
      <w:r w:rsidR="084D7119" w:rsidRPr="003D1E07">
        <w:rPr>
          <w:i/>
        </w:rPr>
        <w:fldChar w:fldCharType="end"/>
      </w:r>
      <w:r w:rsidR="084D7119" w:rsidRPr="003D1E07">
        <w:t xml:space="preserve">. </w:t>
      </w:r>
      <w:r w:rsidR="08BB6635" w:rsidRPr="003D1E07">
        <w:t xml:space="preserve">Integrací </w:t>
      </w:r>
      <w:r w:rsidR="002177B2" w:rsidRPr="003D1E07">
        <w:t xml:space="preserve">moderního </w:t>
      </w:r>
      <w:r w:rsidR="08BB6635" w:rsidRPr="003D1E07">
        <w:t>boha</w:t>
      </w:r>
      <w:r w:rsidR="002177B2" w:rsidRPr="003D1E07">
        <w:t xml:space="preserve"> jako objektivního </w:t>
      </w:r>
      <w:r w:rsidR="08BB6635" w:rsidRPr="003D1E07">
        <w:t xml:space="preserve">stvořitele do nové metafyziky </w:t>
      </w:r>
      <w:r w:rsidR="004D05AC" w:rsidRPr="003D1E07">
        <w:t>vz</w:t>
      </w:r>
      <w:r w:rsidR="08E83980" w:rsidRPr="003D1E07">
        <w:t>nikla</w:t>
      </w:r>
      <w:r w:rsidR="004D05AC" w:rsidRPr="003D1E07">
        <w:t xml:space="preserve"> </w:t>
      </w:r>
      <w:r w:rsidR="00615AC1" w:rsidRPr="003D1E07">
        <w:t xml:space="preserve">kompletní </w:t>
      </w:r>
      <w:r w:rsidR="004D05AC" w:rsidRPr="003D1E07">
        <w:t xml:space="preserve">forma predikace </w:t>
      </w:r>
      <w:r w:rsidR="004D05AC" w:rsidRPr="003D1E07">
        <w:rPr>
          <w:i/>
        </w:rPr>
        <w:t>per prius</w:t>
      </w:r>
      <w:r w:rsidR="004D05AC" w:rsidRPr="003D1E07">
        <w:t xml:space="preserve"> a </w:t>
      </w:r>
      <w:r w:rsidR="004D05AC" w:rsidRPr="003D1E07">
        <w:rPr>
          <w:i/>
        </w:rPr>
        <w:t>per posterius</w:t>
      </w:r>
      <w:r w:rsidR="005B7BEB" w:rsidRPr="003D1E07">
        <w:t>. Tato predikace má amfibolický a  transcendentá</w:t>
      </w:r>
      <w:r w:rsidR="00596E07" w:rsidRPr="003D1E07">
        <w:t xml:space="preserve">lní charakter a stojí </w:t>
      </w:r>
      <w:r w:rsidR="004D05AC" w:rsidRPr="003D1E07">
        <w:t xml:space="preserve">mimo </w:t>
      </w:r>
      <w:r w:rsidR="005B7BEB" w:rsidRPr="003D1E07">
        <w:t xml:space="preserve">aristotelskou </w:t>
      </w:r>
      <w:r w:rsidR="00596E07" w:rsidRPr="003D1E07">
        <w:t xml:space="preserve">první </w:t>
      </w:r>
      <w:r w:rsidR="005B7BEB" w:rsidRPr="003D1E07">
        <w:t xml:space="preserve">a druhou </w:t>
      </w:r>
      <w:r w:rsidR="004D05AC" w:rsidRPr="003D1E07">
        <w:t xml:space="preserve">substanci </w:t>
      </w:r>
      <w:r w:rsidR="005B7BEB" w:rsidRPr="003D1E07">
        <w:t xml:space="preserve">definovanou </w:t>
      </w:r>
      <w:r w:rsidR="004D05AC" w:rsidRPr="003D1E07">
        <w:t xml:space="preserve">jako </w:t>
      </w:r>
      <w:r w:rsidR="005B7BEB" w:rsidRPr="003D1E07">
        <w:t>základ metafyzické predikace</w:t>
      </w:r>
      <w:r w:rsidR="00D7410D" w:rsidRPr="003D1E07">
        <w:fldChar w:fldCharType="begin"/>
      </w:r>
      <w:r w:rsidR="00D7410D" w:rsidRPr="003D1E07">
        <w:instrText xml:space="preserve"> XE "predikace:objektivní" </w:instrText>
      </w:r>
      <w:r w:rsidR="00D7410D" w:rsidRPr="003D1E07">
        <w:fldChar w:fldCharType="end"/>
      </w:r>
      <w:r w:rsidR="004D05AC" w:rsidRPr="003D1E07">
        <w:t xml:space="preserve">. </w:t>
      </w:r>
      <w:r w:rsidR="001E3E19" w:rsidRPr="003D1E07">
        <w:t xml:space="preserve">Nová verze </w:t>
      </w:r>
      <w:r w:rsidR="00605D22" w:rsidRPr="003D1E07">
        <w:t xml:space="preserve">první filosofie </w:t>
      </w:r>
      <w:r w:rsidR="003E0D33" w:rsidRPr="003D1E07">
        <w:t xml:space="preserve">musí </w:t>
      </w:r>
      <w:r w:rsidR="00735808" w:rsidRPr="003D1E07">
        <w:t xml:space="preserve">zahrnovat jak kauzální </w:t>
      </w:r>
      <w:r w:rsidR="003E0D33" w:rsidRPr="003D1E07">
        <w:t>určení daná kategoriálně, tak i poslední vizi jednot</w:t>
      </w:r>
      <w:r w:rsidR="00A5706C" w:rsidRPr="003D1E07">
        <w:t xml:space="preserve">y danou čistě transcendentálně. </w:t>
      </w:r>
      <w:r w:rsidR="00052C6B" w:rsidRPr="003D1E07">
        <w:rPr>
          <w:lang w:eastAsia="en-US"/>
        </w:rPr>
        <w:t xml:space="preserve">Absolutní </w:t>
      </w:r>
      <w:r w:rsidR="00734E67" w:rsidRPr="003D1E07">
        <w:rPr>
          <w:lang w:eastAsia="en-US"/>
        </w:rPr>
        <w:t>a vě</w:t>
      </w:r>
      <w:r w:rsidR="00864797" w:rsidRPr="003D1E07">
        <w:rPr>
          <w:lang w:eastAsia="en-US"/>
        </w:rPr>
        <w:t xml:space="preserve">čný </w:t>
      </w:r>
      <w:r w:rsidR="00734E67" w:rsidRPr="003D1E07">
        <w:rPr>
          <w:lang w:eastAsia="en-US"/>
        </w:rPr>
        <w:t>je pouze bůh a jeho bytí. P</w:t>
      </w:r>
      <w:r w:rsidR="00052C6B" w:rsidRPr="003D1E07">
        <w:rPr>
          <w:lang w:eastAsia="en-US"/>
        </w:rPr>
        <w:t>roto je třeba vydělit boha z</w:t>
      </w:r>
      <w:r w:rsidR="00734E67" w:rsidRPr="003D1E07">
        <w:rPr>
          <w:lang w:eastAsia="en-US"/>
        </w:rPr>
        <w:t> </w:t>
      </w:r>
      <w:r w:rsidR="00052C6B" w:rsidRPr="003D1E07">
        <w:rPr>
          <w:lang w:eastAsia="en-US"/>
        </w:rPr>
        <w:t>metafyziky</w:t>
      </w:r>
      <w:r w:rsidR="00734E67" w:rsidRPr="003D1E07">
        <w:rPr>
          <w:lang w:eastAsia="en-US"/>
        </w:rPr>
        <w:t>,</w:t>
      </w:r>
      <w:r w:rsidR="00A852D0" w:rsidRPr="003D1E07">
        <w:rPr>
          <w:lang w:eastAsia="en-US"/>
        </w:rPr>
        <w:t xml:space="preserve"> která existuje </w:t>
      </w:r>
      <w:r w:rsidR="009F17C5" w:rsidRPr="003D1E07">
        <w:rPr>
          <w:lang w:eastAsia="en-US"/>
        </w:rPr>
        <w:t>na úrovni kategoriální predikace</w:t>
      </w:r>
      <w:r w:rsidR="002728F7" w:rsidRPr="003D1E07">
        <w:rPr>
          <w:lang w:eastAsia="en-US"/>
        </w:rPr>
        <w:t>.</w:t>
      </w:r>
      <w:r w:rsidR="006F1825" w:rsidRPr="003D1E07">
        <w:rPr>
          <w:lang w:eastAsia="en-US"/>
        </w:rPr>
        <w:t xml:space="preserve"> </w:t>
      </w:r>
      <w:r w:rsidR="00A53416" w:rsidRPr="003D1E07">
        <w:t xml:space="preserve">Podrobná analýza </w:t>
      </w:r>
      <w:r w:rsidR="00A53416" w:rsidRPr="003D1E07">
        <w:rPr>
          <w:i/>
        </w:rPr>
        <w:t>M</w:t>
      </w:r>
      <w:r w:rsidR="006F1825" w:rsidRPr="003D1E07">
        <w:rPr>
          <w:i/>
        </w:rPr>
        <w:t>etafyziky</w:t>
      </w:r>
      <w:r w:rsidR="006F1825" w:rsidRPr="003D1E07">
        <w:t xml:space="preserve"> </w:t>
      </w:r>
      <w:r w:rsidR="006F1825" w:rsidRPr="003D1E07">
        <w:rPr>
          <w:i/>
        </w:rPr>
        <w:t>al-Šifá</w:t>
      </w:r>
      <w:r w:rsidR="006F1825" w:rsidRPr="003D1E07">
        <w:t xml:space="preserve"> ukazuje, že Avicenna v duchu </w:t>
      </w:r>
      <w:r w:rsidR="006F1825" w:rsidRPr="003D1E07">
        <w:rPr>
          <w:i/>
        </w:rPr>
        <w:t>Druhých analytik</w:t>
      </w:r>
      <w:r w:rsidR="006F1825" w:rsidRPr="003D1E07">
        <w:t xml:space="preserve"> oddělil dvě pojetí první vědy na základě dvojího pojetí vědeckého důkazu.</w:t>
      </w:r>
      <w:r w:rsidR="002728F7" w:rsidRPr="003D1E07">
        <w:rPr>
          <w:rStyle w:val="Znakapoznpodarou"/>
        </w:rPr>
        <w:footnoteReference w:id="173"/>
      </w:r>
      <w:r w:rsidR="002728F7" w:rsidRPr="003D1E07">
        <w:rPr>
          <w:lang w:eastAsia="en-US"/>
        </w:rPr>
        <w:t xml:space="preserve"> </w:t>
      </w:r>
      <w:r w:rsidR="08101948" w:rsidRPr="003D1E07">
        <w:rPr>
          <w:lang w:eastAsia="en-US"/>
        </w:rPr>
        <w:t>Monoteistický Stvořitel nemůže tvořit substančního nositele</w:t>
      </w:r>
      <w:r w:rsidR="08960C51" w:rsidRPr="003D1E07">
        <w:rPr>
          <w:lang w:eastAsia="en-US"/>
        </w:rPr>
        <w:t xml:space="preserve"> (tj. </w:t>
      </w:r>
      <w:r w:rsidR="08101948" w:rsidRPr="003D1E07">
        <w:rPr>
          <w:lang w:eastAsia="en-US"/>
        </w:rPr>
        <w:t>subjekt</w:t>
      </w:r>
      <w:r w:rsidR="08960C51" w:rsidRPr="003D1E07">
        <w:rPr>
          <w:lang w:eastAsia="en-US"/>
        </w:rPr>
        <w:t xml:space="preserve">) nové </w:t>
      </w:r>
      <w:r w:rsidR="08960C51" w:rsidRPr="003D1E07">
        <w:rPr>
          <w:lang w:eastAsia="en-US"/>
        </w:rPr>
        <w:lastRenderedPageBreak/>
        <w:t>meta</w:t>
      </w:r>
      <w:r w:rsidR="08101948" w:rsidRPr="003D1E07">
        <w:rPr>
          <w:lang w:eastAsia="en-US"/>
        </w:rPr>
        <w:t xml:space="preserve">fyziky ve smyslu </w:t>
      </w:r>
      <w:r w:rsidR="08343E2C" w:rsidRPr="003D1E07">
        <w:rPr>
          <w:lang w:eastAsia="en-US"/>
        </w:rPr>
        <w:t xml:space="preserve">jejího </w:t>
      </w:r>
      <w:r w:rsidR="08101948" w:rsidRPr="003D1E07">
        <w:rPr>
          <w:lang w:eastAsia="en-US"/>
        </w:rPr>
        <w:t xml:space="preserve">ontického základu, viz Heideggerův </w:t>
      </w:r>
      <w:r w:rsidR="08101948" w:rsidRPr="003D1E07">
        <w:rPr>
          <w:i/>
          <w:lang w:eastAsia="en-US"/>
        </w:rPr>
        <w:t>Grund</w:t>
      </w:r>
      <w:r w:rsidR="08101948" w:rsidRPr="003D1E07">
        <w:rPr>
          <w:lang w:eastAsia="en-US"/>
        </w:rPr>
        <w:t xml:space="preserve"> (kap. 1.2). </w:t>
      </w:r>
      <w:r w:rsidR="009F17C5" w:rsidRPr="003D1E07">
        <w:rPr>
          <w:lang w:eastAsia="en-US"/>
        </w:rPr>
        <w:t xml:space="preserve">Ale </w:t>
      </w:r>
      <w:r w:rsidR="08890534" w:rsidRPr="003D1E07">
        <w:rPr>
          <w:lang w:eastAsia="en-US"/>
        </w:rPr>
        <w:t xml:space="preserve">monoteistický </w:t>
      </w:r>
      <w:r w:rsidR="009F17C5" w:rsidRPr="003D1E07">
        <w:rPr>
          <w:lang w:eastAsia="en-US"/>
        </w:rPr>
        <w:t>bůh do první vědy patří z titulu jejího zakladatele a posledního základu</w:t>
      </w:r>
      <w:r w:rsidR="00346C80" w:rsidRPr="003D1E07">
        <w:rPr>
          <w:lang w:eastAsia="en-US"/>
        </w:rPr>
        <w:t xml:space="preserve"> jednoty jsoucna</w:t>
      </w:r>
      <w:r w:rsidR="087E2F8A" w:rsidRPr="003D1E07">
        <w:rPr>
          <w:lang w:eastAsia="en-US"/>
        </w:rPr>
        <w:t xml:space="preserve"> v modu Heideggerova</w:t>
      </w:r>
      <w:r w:rsidR="009F17C5" w:rsidRPr="003D1E07">
        <w:rPr>
          <w:lang w:eastAsia="en-US"/>
        </w:rPr>
        <w:t xml:space="preserve"> </w:t>
      </w:r>
      <w:r w:rsidR="009F17C5" w:rsidRPr="003D1E07">
        <w:rPr>
          <w:i/>
          <w:lang w:eastAsia="en-US"/>
        </w:rPr>
        <w:t>Gründung</w:t>
      </w:r>
      <w:r w:rsidR="009F17C5" w:rsidRPr="003D1E07">
        <w:rPr>
          <w:i/>
        </w:rPr>
        <w:fldChar w:fldCharType="begin"/>
      </w:r>
      <w:r w:rsidR="009F17C5" w:rsidRPr="003D1E07">
        <w:instrText xml:space="preserve"> XE "metafyzika:</w:instrText>
      </w:r>
      <w:r w:rsidR="009F17C5" w:rsidRPr="003D1E07">
        <w:rPr>
          <w:i/>
        </w:rPr>
        <w:instrText>Gründung</w:instrText>
      </w:r>
      <w:r w:rsidR="009F17C5" w:rsidRPr="003D1E07">
        <w:instrText xml:space="preserve">" </w:instrText>
      </w:r>
      <w:r w:rsidR="009F17C5" w:rsidRPr="003D1E07">
        <w:rPr>
          <w:i/>
        </w:rPr>
        <w:fldChar w:fldCharType="end"/>
      </w:r>
      <w:r w:rsidR="009F17C5" w:rsidRPr="003D1E07">
        <w:rPr>
          <w:lang w:eastAsia="en-US"/>
        </w:rPr>
        <w:t>.</w:t>
      </w:r>
      <w:r w:rsidR="00656D42" w:rsidRPr="003D1E07">
        <w:rPr>
          <w:lang w:eastAsia="en-US"/>
        </w:rPr>
        <w:t xml:space="preserve"> </w:t>
      </w:r>
      <w:r w:rsidR="0087046F" w:rsidRPr="003D1E07">
        <w:rPr>
          <w:rStyle w:val="FontStyle129"/>
          <w:rFonts w:ascii="Calibri" w:hAnsi="Calibri"/>
          <w:sz w:val="24"/>
        </w:rPr>
        <w:t xml:space="preserve">Avicenna </w:t>
      </w:r>
      <w:r w:rsidR="0087046F" w:rsidRPr="003D1E07">
        <w:t>šel k poznání boha jinou cestou než „meta</w:t>
      </w:r>
      <w:r w:rsidR="0087046F" w:rsidRPr="003D1E07">
        <w:noBreakHyphen/>
        <w:t>fyzika“ první substance daná v </w:t>
      </w:r>
      <w:r w:rsidR="0087046F" w:rsidRPr="003D1E07">
        <w:rPr>
          <w:i/>
        </w:rPr>
        <w:t>Metafyzice</w:t>
      </w:r>
      <w:r w:rsidR="0087046F" w:rsidRPr="003D1E07">
        <w:t xml:space="preserve"> </w:t>
      </w:r>
      <w:r w:rsidR="0087046F" w:rsidRPr="003D1E07">
        <w:rPr>
          <w:i/>
        </w:rPr>
        <w:t>Lambda</w:t>
      </w:r>
      <w:r w:rsidR="08AC72D0" w:rsidRPr="003D1E07">
        <w:t xml:space="preserve">. Ta </w:t>
      </w:r>
      <w:r w:rsidR="0087046F" w:rsidRPr="003D1E07">
        <w:t>zkoumá vlastnosti nehybného Hybatele odděleného od schématu kauzality platné pro mobilní kosmos</w:t>
      </w:r>
      <w:r w:rsidR="00FD6B6C" w:rsidRPr="003D1E07">
        <w:t xml:space="preserve">. Aristotelská metafyzika přichází </w:t>
      </w:r>
      <w:r w:rsidR="083975A1" w:rsidRPr="003D1E07">
        <w:t xml:space="preserve">k tomuto zdroji </w:t>
      </w:r>
      <w:r w:rsidR="08210969" w:rsidRPr="003D1E07">
        <w:t xml:space="preserve">pohybu </w:t>
      </w:r>
      <w:r w:rsidR="083975A1" w:rsidRPr="003D1E07">
        <w:t>od poznání fyziky</w:t>
      </w:r>
      <w:r w:rsidR="0087046F" w:rsidRPr="003D1E07">
        <w:t xml:space="preserve">. </w:t>
      </w:r>
      <w:r w:rsidR="08E27C81" w:rsidRPr="003D1E07">
        <w:t xml:space="preserve">Avicenna </w:t>
      </w:r>
      <w:r w:rsidR="00CE5603" w:rsidRPr="003D1E07">
        <w:t xml:space="preserve">odmítl </w:t>
      </w:r>
      <w:r w:rsidR="00216E93" w:rsidRPr="003D1E07">
        <w:t xml:space="preserve">metodologický </w:t>
      </w:r>
      <w:r w:rsidR="00CE5603" w:rsidRPr="003D1E07">
        <w:t xml:space="preserve">postup </w:t>
      </w:r>
      <w:r w:rsidR="08E27C81" w:rsidRPr="003D1E07">
        <w:t>knihy</w:t>
      </w:r>
      <w:r w:rsidR="0087046F" w:rsidRPr="003D1E07">
        <w:t xml:space="preserve"> </w:t>
      </w:r>
      <w:r w:rsidR="0087046F" w:rsidRPr="003D1E07">
        <w:rPr>
          <w:i/>
        </w:rPr>
        <w:t>Lambda</w:t>
      </w:r>
      <w:r w:rsidR="00880A94" w:rsidRPr="003D1E07">
        <w:t xml:space="preserve"> a přijal pouze její závěry.</w:t>
      </w:r>
      <w:r w:rsidR="00216E93" w:rsidRPr="003D1E07">
        <w:t xml:space="preserve"> Objektivní </w:t>
      </w:r>
      <w:r w:rsidR="00880A94" w:rsidRPr="003D1E07">
        <w:t xml:space="preserve">perský </w:t>
      </w:r>
      <w:r w:rsidR="00216E93" w:rsidRPr="003D1E07">
        <w:t xml:space="preserve">mystik </w:t>
      </w:r>
      <w:r w:rsidR="00CE5603" w:rsidRPr="003D1E07">
        <w:t>hledal</w:t>
      </w:r>
      <w:r w:rsidR="08E27C81" w:rsidRPr="003D1E07">
        <w:t xml:space="preserve"> </w:t>
      </w:r>
      <w:r w:rsidR="0087046F" w:rsidRPr="003D1E07">
        <w:t>filosofickou definici boha mimo kauzalitu prvních substancí, tedy „za“ (</w:t>
      </w:r>
      <w:r w:rsidR="0087046F" w:rsidRPr="003D1E07">
        <w:rPr>
          <w:i/>
        </w:rPr>
        <w:t>trans</w:t>
      </w:r>
      <w:r w:rsidR="0087046F" w:rsidRPr="003D1E07">
        <w:t>) první vědou o jsoucnu</w:t>
      </w:r>
      <w:r w:rsidR="08DD6D27" w:rsidRPr="003D1E07">
        <w:t xml:space="preserve"> jako substanci</w:t>
      </w:r>
      <w:r w:rsidR="0087046F" w:rsidRPr="003D1E07">
        <w:t>. Podle Avicenny bůh nemůže být poznán jen z</w:t>
      </w:r>
      <w:r w:rsidR="00772CD8" w:rsidRPr="003D1E07">
        <w:t>e schématu kauzality, protože fyzika</w:t>
      </w:r>
      <w:r w:rsidR="0087046F" w:rsidRPr="003D1E07">
        <w:t xml:space="preserve"> je vázána pouze na kauzální působení dané v rámci prvních substancí. První věda musí přímo zkoumat bytí první příčiny, tak jak je dáno samo o sobě v modu první jednoty dané za substancí (ἐπέκεινα τῆς οὐσίας, </w:t>
      </w:r>
      <w:r w:rsidR="0087046F" w:rsidRPr="003D1E07">
        <w:rPr>
          <w:i/>
        </w:rPr>
        <w:t>Rep</w:t>
      </w:r>
      <w:r w:rsidR="0087046F" w:rsidRPr="003D1E07">
        <w:t>. 509b9</w:t>
      </w:r>
      <w:r w:rsidR="0087046F" w:rsidRPr="003D1E07">
        <w:fldChar w:fldCharType="begin"/>
      </w:r>
      <w:r w:rsidR="0087046F" w:rsidRPr="003D1E07">
        <w:instrText xml:space="preserve"> XE "</w:instrText>
      </w:r>
      <w:r w:rsidR="008E02F5" w:rsidRPr="003D1E07">
        <w:instrText>Platon</w:instrText>
      </w:r>
      <w:r w:rsidR="0087046F" w:rsidRPr="003D1E07">
        <w:instrText>:</w:instrText>
      </w:r>
      <w:r w:rsidR="0087046F" w:rsidRPr="003D1E07">
        <w:rPr>
          <w:i/>
        </w:rPr>
        <w:instrText>Rep</w:instrText>
      </w:r>
      <w:r w:rsidR="0087046F" w:rsidRPr="003D1E07">
        <w:instrText xml:space="preserve">. 509b9" </w:instrText>
      </w:r>
      <w:r w:rsidR="0087046F" w:rsidRPr="003D1E07">
        <w:fldChar w:fldCharType="end"/>
      </w:r>
      <w:r w:rsidR="0087046F" w:rsidRPr="003D1E07">
        <w:t xml:space="preserve">). </w:t>
      </w:r>
      <w:r w:rsidR="0807231D" w:rsidRPr="003D1E07">
        <w:t>Tím vznikla</w:t>
      </w:r>
      <w:r w:rsidR="004C3C63" w:rsidRPr="003D1E07">
        <w:t xml:space="preserve"> první moderní ontoteologie, z níž později </w:t>
      </w:r>
      <w:r w:rsidR="001131A2" w:rsidRPr="003D1E07">
        <w:t>Suárez</w:t>
      </w:r>
      <w:r w:rsidR="004C3C63" w:rsidRPr="003D1E07">
        <w:fldChar w:fldCharType="begin"/>
      </w:r>
      <w:r w:rsidR="004C3C63" w:rsidRPr="003D1E07">
        <w:instrText xml:space="preserve"> XE "</w:instrText>
      </w:r>
      <w:r w:rsidR="001131A2" w:rsidRPr="003D1E07">
        <w:instrText>Suárez</w:instrText>
      </w:r>
      <w:r w:rsidR="004C3C63" w:rsidRPr="003D1E07">
        <w:instrText xml:space="preserve">, F." </w:instrText>
      </w:r>
      <w:r w:rsidR="004C3C63" w:rsidRPr="003D1E07">
        <w:fldChar w:fldCharType="end"/>
      </w:r>
      <w:r w:rsidR="0807231D" w:rsidRPr="003D1E07">
        <w:t xml:space="preserve"> vytvořil</w:t>
      </w:r>
      <w:r w:rsidR="004C3C63" w:rsidRPr="003D1E07">
        <w:t xml:space="preserve"> postmoderní </w:t>
      </w:r>
      <w:r w:rsidR="00FD2D41" w:rsidRPr="003D1E07">
        <w:t xml:space="preserve">projekt </w:t>
      </w:r>
      <w:r w:rsidR="004C3C63" w:rsidRPr="003D1E07">
        <w:rPr>
          <w:i/>
        </w:rPr>
        <w:t>metaphysica generalis</w:t>
      </w:r>
      <w:r w:rsidR="004C3C63" w:rsidRPr="003D1E07">
        <w:t xml:space="preserve">. </w:t>
      </w:r>
      <w:r w:rsidR="0044721D">
        <w:t>Následující c</w:t>
      </w:r>
      <w:r w:rsidR="08380C15" w:rsidRPr="003D1E07">
        <w:t>itát ukazuje nový způsob, „jak“ (</w:t>
      </w:r>
      <w:r w:rsidR="08022975" w:rsidRPr="003D1E07">
        <w:t xml:space="preserve">hermeneutické </w:t>
      </w:r>
      <w:r w:rsidR="08380C15" w:rsidRPr="003D1E07">
        <w:rPr>
          <w:i/>
        </w:rPr>
        <w:t>Wie</w:t>
      </w:r>
      <w:r w:rsidR="007A46EC" w:rsidRPr="003D1E07">
        <w:t xml:space="preserve">) byl </w:t>
      </w:r>
      <w:r w:rsidR="089B2E1B" w:rsidRPr="003D1E07">
        <w:t xml:space="preserve">neoplatonský </w:t>
      </w:r>
      <w:r w:rsidR="08380C15" w:rsidRPr="003D1E07">
        <w:t xml:space="preserve">celek jsoucen </w:t>
      </w:r>
      <w:r w:rsidR="007A46EC" w:rsidRPr="003D1E07">
        <w:t>převeden do aristotelské dráhy</w:t>
      </w:r>
      <w:r w:rsidR="08380C15" w:rsidRPr="003D1E07">
        <w:t xml:space="preserve"> předchůdného náhledu (</w:t>
      </w:r>
      <w:r w:rsidR="08380C15" w:rsidRPr="003D1E07">
        <w:rPr>
          <w:i/>
        </w:rPr>
        <w:t>Vor-blickbahn</w:t>
      </w:r>
      <w:r w:rsidR="08380C15" w:rsidRPr="003D1E07">
        <w:rPr>
          <w:i/>
        </w:rPr>
        <w:fldChar w:fldCharType="begin"/>
      </w:r>
      <w:r w:rsidR="08380C15" w:rsidRPr="003D1E07">
        <w:instrText xml:space="preserve"> XE "</w:instrText>
      </w:r>
      <w:r w:rsidR="08380C15" w:rsidRPr="003D1E07">
        <w:rPr>
          <w:i/>
        </w:rPr>
        <w:instrText>Vor-blickbahn:</w:instrText>
      </w:r>
      <w:r w:rsidR="08380C15" w:rsidRPr="003D1E07">
        <w:instrText xml:space="preserve">Avicenna" </w:instrText>
      </w:r>
      <w:r w:rsidR="08380C15" w:rsidRPr="003D1E07">
        <w:rPr>
          <w:i/>
        </w:rPr>
        <w:fldChar w:fldCharType="end"/>
      </w:r>
      <w:r w:rsidR="08380C15" w:rsidRPr="003D1E07">
        <w:t xml:space="preserve">). </w:t>
      </w:r>
      <w:r w:rsidR="08203929" w:rsidRPr="003D1E07">
        <w:t xml:space="preserve">Rozvrh metafyziky jako první </w:t>
      </w:r>
      <w:r w:rsidR="08085D6C" w:rsidRPr="003D1E07">
        <w:t xml:space="preserve">mytopoetické a dogmatické </w:t>
      </w:r>
      <w:r w:rsidR="08F62EDA" w:rsidRPr="003D1E07">
        <w:t xml:space="preserve">ontoteologie </w:t>
      </w:r>
      <w:r w:rsidR="08203929" w:rsidRPr="003D1E07">
        <w:fldChar w:fldCharType="begin"/>
      </w:r>
      <w:r w:rsidR="08203929" w:rsidRPr="003D1E07">
        <w:instrText xml:space="preserve"> XE "</w:instrText>
      </w:r>
      <w:r w:rsidR="08C72D44" w:rsidRPr="003D1E07">
        <w:instrText>ontoteologie</w:instrText>
      </w:r>
      <w:r w:rsidR="08203929" w:rsidRPr="003D1E07">
        <w:instrText xml:space="preserve">:Avicenna" </w:instrText>
      </w:r>
      <w:r w:rsidR="08203929" w:rsidRPr="003D1E07">
        <w:fldChar w:fldCharType="end"/>
      </w:r>
      <w:r w:rsidR="08022975" w:rsidRPr="003D1E07">
        <w:t>má tento charakter</w:t>
      </w:r>
      <w:r w:rsidR="08203929" w:rsidRPr="003D1E07">
        <w:t>.</w:t>
      </w:r>
    </w:p>
    <w:p w14:paraId="0B2172FF" w14:textId="4D8D6312" w:rsidR="00A75C87" w:rsidRPr="003D1E07" w:rsidRDefault="001242DE" w:rsidP="00A75C87">
      <w:pPr>
        <w:pStyle w:val="Citace"/>
        <w:rPr>
          <w:noProof/>
          <w:lang w:val="cs-CZ"/>
        </w:rPr>
      </w:pPr>
      <w:r w:rsidRPr="003D1E07">
        <w:rPr>
          <w:noProof/>
          <w:lang w:val="cs-CZ"/>
        </w:rPr>
        <w:t>„Otázky</w:t>
      </w:r>
      <w:r w:rsidR="00A75C87" w:rsidRPr="003D1E07">
        <w:rPr>
          <w:noProof/>
          <w:lang w:val="cs-CZ"/>
        </w:rPr>
        <w:t xml:space="preserve"> této vědy jsou příčiny </w:t>
      </w:r>
      <w:r w:rsidR="007666E9">
        <w:rPr>
          <w:noProof/>
          <w:lang w:val="cs-CZ"/>
        </w:rPr>
        <w:t xml:space="preserve">jsoucna </w:t>
      </w:r>
      <w:r w:rsidR="08380C15" w:rsidRPr="003D1E07">
        <w:rPr>
          <w:noProof/>
          <w:lang w:val="cs-CZ"/>
        </w:rPr>
        <w:t>natolik</w:t>
      </w:r>
      <w:r w:rsidRPr="003D1E07">
        <w:rPr>
          <w:noProof/>
          <w:lang w:val="cs-CZ"/>
        </w:rPr>
        <w:t xml:space="preserve">, </w:t>
      </w:r>
      <w:r w:rsidR="08380C15" w:rsidRPr="003D1E07">
        <w:rPr>
          <w:noProof/>
          <w:lang w:val="cs-CZ"/>
        </w:rPr>
        <w:t xml:space="preserve">nakolik </w:t>
      </w:r>
      <w:r w:rsidR="007666E9">
        <w:rPr>
          <w:noProof/>
          <w:lang w:val="cs-CZ"/>
        </w:rPr>
        <w:t>jsou v každém jsoucnu dány</w:t>
      </w:r>
      <w:r w:rsidR="081840B5" w:rsidRPr="003D1E07">
        <w:rPr>
          <w:noProof/>
          <w:lang w:val="cs-CZ"/>
        </w:rPr>
        <w:t xml:space="preserve"> jako účinek </w:t>
      </w:r>
      <w:r w:rsidR="00A75C87" w:rsidRPr="003D1E07">
        <w:rPr>
          <w:noProof/>
          <w:lang w:val="cs-CZ"/>
        </w:rPr>
        <w:t>(</w:t>
      </w:r>
      <w:r w:rsidR="00A75C87" w:rsidRPr="003D1E07">
        <w:rPr>
          <w:i/>
          <w:noProof/>
          <w:szCs w:val="22"/>
          <w:lang w:val="cs-CZ"/>
        </w:rPr>
        <w:t>inquantum est esse causatum</w:t>
      </w:r>
      <w:r w:rsidR="00A75C87" w:rsidRPr="003D1E07">
        <w:rPr>
          <w:noProof/>
          <w:lang w:val="cs-CZ"/>
        </w:rPr>
        <w:t>)</w:t>
      </w:r>
      <w:r w:rsidR="00F63FBE" w:rsidRPr="003D1E07">
        <w:rPr>
          <w:noProof/>
          <w:lang w:val="cs-CZ"/>
        </w:rPr>
        <w:t xml:space="preserve"> a </w:t>
      </w:r>
      <w:r w:rsidR="007666E9">
        <w:rPr>
          <w:noProof/>
          <w:lang w:val="cs-CZ"/>
        </w:rPr>
        <w:t xml:space="preserve">nakolik tyto </w:t>
      </w:r>
      <w:r w:rsidR="00A75C87" w:rsidRPr="003D1E07">
        <w:rPr>
          <w:noProof/>
          <w:lang w:val="cs-CZ"/>
        </w:rPr>
        <w:t xml:space="preserve">příčiny </w:t>
      </w:r>
      <w:r w:rsidR="08380C15" w:rsidRPr="003D1E07">
        <w:rPr>
          <w:noProof/>
          <w:lang w:val="cs-CZ"/>
        </w:rPr>
        <w:t xml:space="preserve">jsou </w:t>
      </w:r>
      <w:r w:rsidR="00A75C87" w:rsidRPr="003D1E07">
        <w:rPr>
          <w:noProof/>
          <w:lang w:val="cs-CZ"/>
        </w:rPr>
        <w:t>akcidenty bytí</w:t>
      </w:r>
      <w:r w:rsidR="0026062F">
        <w:rPr>
          <w:noProof/>
          <w:lang w:val="cs-CZ"/>
        </w:rPr>
        <w:t xml:space="preserve"> (</w:t>
      </w:r>
      <w:r w:rsidR="0026062F" w:rsidRPr="0026062F">
        <w:rPr>
          <w:i/>
          <w:szCs w:val="22"/>
        </w:rPr>
        <w:t>sunt accidentalia esse</w:t>
      </w:r>
      <w:r w:rsidR="0026062F">
        <w:rPr>
          <w:noProof/>
          <w:lang w:val="cs-CZ"/>
        </w:rPr>
        <w:t>)</w:t>
      </w:r>
      <w:r w:rsidR="00A75C87" w:rsidRPr="003D1E07">
        <w:rPr>
          <w:noProof/>
          <w:lang w:val="cs-CZ"/>
        </w:rPr>
        <w:t xml:space="preserve"> a principy první vědy </w:t>
      </w:r>
      <w:r w:rsidR="08380C15" w:rsidRPr="003D1E07">
        <w:rPr>
          <w:noProof/>
          <w:lang w:val="cs-CZ"/>
        </w:rPr>
        <w:t>jsou principy jednotlivých věd.</w:t>
      </w:r>
      <w:r w:rsidR="08085D6C" w:rsidRPr="003D1E07">
        <w:rPr>
          <w:noProof/>
          <w:lang w:val="cs-CZ"/>
        </w:rPr>
        <w:t xml:space="preserve"> </w:t>
      </w:r>
      <w:r w:rsidR="007666E9">
        <w:rPr>
          <w:noProof/>
          <w:lang w:val="cs-CZ"/>
        </w:rPr>
        <w:t xml:space="preserve">Ty jsou založeny podle </w:t>
      </w:r>
      <w:r w:rsidR="08085D6C" w:rsidRPr="003D1E07">
        <w:rPr>
          <w:noProof/>
          <w:lang w:val="cs-CZ"/>
        </w:rPr>
        <w:t>uvedené nau</w:t>
      </w:r>
      <w:r w:rsidR="00D95D26">
        <w:rPr>
          <w:noProof/>
          <w:lang w:val="cs-CZ"/>
        </w:rPr>
        <w:t>ky</w:t>
      </w:r>
      <w:r w:rsidR="088C15B2" w:rsidRPr="003D1E07">
        <w:rPr>
          <w:noProof/>
          <w:lang w:val="cs-CZ"/>
        </w:rPr>
        <w:t xml:space="preserve"> (</w:t>
      </w:r>
      <w:r w:rsidR="088C15B2" w:rsidRPr="003D1E07">
        <w:rPr>
          <w:i/>
          <w:szCs w:val="22"/>
          <w:lang w:val="cs-CZ"/>
        </w:rPr>
        <w:t>in hoc magisterio</w:t>
      </w:r>
      <w:r w:rsidR="088C15B2" w:rsidRPr="003D1E07">
        <w:rPr>
          <w:noProof/>
          <w:lang w:val="cs-CZ"/>
        </w:rPr>
        <w:t>)</w:t>
      </w:r>
      <w:r w:rsidR="00D95D26">
        <w:rPr>
          <w:noProof/>
          <w:lang w:val="cs-CZ"/>
        </w:rPr>
        <w:t>. T</w:t>
      </w:r>
      <w:r w:rsidR="00A75C87" w:rsidRPr="003D1E07">
        <w:rPr>
          <w:noProof/>
          <w:lang w:val="cs-CZ"/>
        </w:rPr>
        <w:t>a</w:t>
      </w:r>
      <w:r w:rsidR="00D95D26">
        <w:rPr>
          <w:noProof/>
          <w:lang w:val="cs-CZ"/>
        </w:rPr>
        <w:t xml:space="preserve">to nauka </w:t>
      </w:r>
      <w:r w:rsidR="00A75C87" w:rsidRPr="003D1E07">
        <w:rPr>
          <w:noProof/>
          <w:lang w:val="cs-CZ"/>
        </w:rPr>
        <w:t>je první filosofií, protože je vědou o bytí první příčiny (</w:t>
      </w:r>
      <w:r w:rsidR="00A75C87" w:rsidRPr="003D1E07">
        <w:rPr>
          <w:i/>
          <w:noProof/>
          <w:szCs w:val="22"/>
          <w:lang w:val="cs-CZ"/>
        </w:rPr>
        <w:t>ipsa est scientia</w:t>
      </w:r>
      <w:r w:rsidR="00A75C87" w:rsidRPr="003D1E07">
        <w:rPr>
          <w:i/>
          <w:noProof/>
          <w:lang w:val="cs-CZ"/>
        </w:rPr>
        <w:t xml:space="preserve"> de prima causa esse</w:t>
      </w:r>
      <w:r w:rsidR="00A75C87" w:rsidRPr="003D1E07">
        <w:rPr>
          <w:noProof/>
          <w:lang w:val="cs-CZ"/>
        </w:rPr>
        <w:t>) a toto bytí je první příčina (</w:t>
      </w:r>
      <w:r w:rsidR="00A75C87" w:rsidRPr="003D1E07">
        <w:rPr>
          <w:i/>
          <w:noProof/>
          <w:lang w:val="cs-CZ"/>
        </w:rPr>
        <w:t>haec est prima causa</w:t>
      </w:r>
      <w:r w:rsidR="00A75C87" w:rsidRPr="003D1E07">
        <w:rPr>
          <w:noProof/>
          <w:lang w:val="cs-CZ"/>
        </w:rPr>
        <w:t>). První příčina v řádu univerzality je totiž bytí a jednota (</w:t>
      </w:r>
      <w:r w:rsidR="00A75C87" w:rsidRPr="003D1E07">
        <w:rPr>
          <w:i/>
          <w:noProof/>
          <w:lang w:val="cs-CZ"/>
        </w:rPr>
        <w:t>prima causa universitatis est esse et unitas</w:t>
      </w:r>
      <w:r w:rsidR="00A75C87" w:rsidRPr="003D1E07">
        <w:rPr>
          <w:noProof/>
          <w:lang w:val="cs-CZ"/>
        </w:rPr>
        <w:t>).</w:t>
      </w:r>
      <w:r w:rsidR="00350370" w:rsidRPr="003D1E07">
        <w:rPr>
          <w:noProof/>
          <w:lang w:val="cs-CZ"/>
        </w:rPr>
        <w:t>..</w:t>
      </w:r>
      <w:r w:rsidR="00A75C87" w:rsidRPr="003D1E07">
        <w:rPr>
          <w:noProof/>
          <w:lang w:val="cs-CZ"/>
        </w:rPr>
        <w:t>“ </w:t>
      </w:r>
      <w:r w:rsidR="00A75C87" w:rsidRPr="003D1E07">
        <w:rPr>
          <w:rStyle w:val="Znakapoznpodarou"/>
          <w:noProof/>
          <w:lang w:val="cs-CZ"/>
        </w:rPr>
        <w:footnoteReference w:id="174"/>
      </w:r>
    </w:p>
    <w:p w14:paraId="1D455DDB" w14:textId="66E7A6DE" w:rsidR="080765C7" w:rsidRPr="007D6A8D" w:rsidRDefault="00A75C87" w:rsidP="080765C7">
      <w:pPr>
        <w:rPr>
          <w:bCs/>
          <w:szCs w:val="24"/>
        </w:rPr>
      </w:pPr>
      <w:r w:rsidRPr="003D1E07">
        <w:t>Poznání první vědy jde k první kauze skrze kauzalitu stvořených první substancí.</w:t>
      </w:r>
      <w:r w:rsidR="00EB4110" w:rsidRPr="003D1E07">
        <w:t xml:space="preserve"> První věda Avicenny má jako vlastní úkol </w:t>
      </w:r>
      <w:r w:rsidRPr="003D1E07">
        <w:t xml:space="preserve">poznat </w:t>
      </w:r>
      <w:r w:rsidR="00CC17E9" w:rsidRPr="003D1E07">
        <w:t xml:space="preserve">objektivní </w:t>
      </w:r>
      <w:r w:rsidRPr="003D1E07">
        <w:t>bytí této kauzy (</w:t>
      </w:r>
      <w:r w:rsidRPr="003D1E07">
        <w:rPr>
          <w:i/>
        </w:rPr>
        <w:t>scientia de prima causa esse</w:t>
      </w:r>
      <w:r w:rsidRPr="003D1E07">
        <w:t xml:space="preserve">). </w:t>
      </w:r>
      <w:r w:rsidR="0813794F" w:rsidRPr="003D1E07">
        <w:rPr>
          <w:bCs/>
          <w:szCs w:val="24"/>
        </w:rPr>
        <w:t xml:space="preserve">Aristotelská metafyzika substance nejde bohužel až k čistému a oddělenému </w:t>
      </w:r>
      <w:r w:rsidR="0048753A" w:rsidRPr="003D1E07">
        <w:rPr>
          <w:bCs/>
          <w:szCs w:val="24"/>
        </w:rPr>
        <w:t xml:space="preserve">ontologickému </w:t>
      </w:r>
      <w:r w:rsidR="0813794F" w:rsidRPr="003D1E07">
        <w:rPr>
          <w:bCs/>
          <w:i/>
          <w:szCs w:val="24"/>
        </w:rPr>
        <w:t>esse</w:t>
      </w:r>
      <w:r w:rsidR="0813794F" w:rsidRPr="003D1E07">
        <w:rPr>
          <w:bCs/>
          <w:szCs w:val="24"/>
        </w:rPr>
        <w:t xml:space="preserve"> první příčiny, ale jen k její </w:t>
      </w:r>
      <w:r w:rsidR="0048753A" w:rsidRPr="003D1E07">
        <w:rPr>
          <w:bCs/>
          <w:szCs w:val="24"/>
        </w:rPr>
        <w:t xml:space="preserve">ontické </w:t>
      </w:r>
      <w:r w:rsidR="0813794F" w:rsidRPr="003D1E07">
        <w:rPr>
          <w:bCs/>
          <w:szCs w:val="24"/>
        </w:rPr>
        <w:t xml:space="preserve">jsoucnosti dané skrze </w:t>
      </w:r>
      <w:r w:rsidR="007D6A8D">
        <w:rPr>
          <w:bCs/>
          <w:szCs w:val="24"/>
        </w:rPr>
        <w:t xml:space="preserve">kauzalitu. </w:t>
      </w:r>
      <w:r w:rsidR="007D6A8D" w:rsidRPr="007D6A8D">
        <w:rPr>
          <w:bCs/>
          <w:szCs w:val="24"/>
        </w:rPr>
        <w:t xml:space="preserve">Definice zaměňuje skutečnou kauzalitu s jejím poznáním, </w:t>
      </w:r>
      <w:r w:rsidR="007D6A8D">
        <w:rPr>
          <w:bCs/>
          <w:szCs w:val="24"/>
        </w:rPr>
        <w:t xml:space="preserve">a tím </w:t>
      </w:r>
      <w:r w:rsidR="007D6A8D" w:rsidRPr="007D6A8D">
        <w:rPr>
          <w:bCs/>
          <w:szCs w:val="24"/>
        </w:rPr>
        <w:t>vytvořila falešnou jednotu (</w:t>
      </w:r>
      <w:r w:rsidR="007D6A8D" w:rsidRPr="007D6A8D">
        <w:rPr>
          <w:bCs/>
          <w:i/>
          <w:szCs w:val="24"/>
        </w:rPr>
        <w:t>accidentalia esse</w:t>
      </w:r>
      <w:r w:rsidR="007D6A8D" w:rsidRPr="007D6A8D">
        <w:rPr>
          <w:bCs/>
          <w:szCs w:val="24"/>
        </w:rPr>
        <w:t>)</w:t>
      </w:r>
      <w:r w:rsidR="007D6A8D">
        <w:rPr>
          <w:bCs/>
          <w:szCs w:val="24"/>
        </w:rPr>
        <w:t>, v níž neplatí s</w:t>
      </w:r>
      <w:r w:rsidR="007D6A8D" w:rsidRPr="007D6A8D">
        <w:rPr>
          <w:bCs/>
          <w:szCs w:val="24"/>
        </w:rPr>
        <w:t>ekun</w:t>
      </w:r>
      <w:r w:rsidR="007D6A8D">
        <w:rPr>
          <w:bCs/>
          <w:szCs w:val="24"/>
        </w:rPr>
        <w:t>dární řád predikace</w:t>
      </w:r>
      <w:r w:rsidR="007D6A8D" w:rsidRPr="007D6A8D">
        <w:rPr>
          <w:bCs/>
          <w:szCs w:val="24"/>
        </w:rPr>
        <w:t xml:space="preserve">. Tato falešná univocita zakládá </w:t>
      </w:r>
      <w:r w:rsidR="007D6A8D" w:rsidRPr="007D6A8D">
        <w:rPr>
          <w:bCs/>
          <w:szCs w:val="24"/>
        </w:rPr>
        <w:lastRenderedPageBreak/>
        <w:t>objektivní kauzalitu, kterou lz</w:t>
      </w:r>
      <w:r w:rsidR="007D6A8D">
        <w:rPr>
          <w:bCs/>
          <w:szCs w:val="24"/>
        </w:rPr>
        <w:t>e komitací redukovat na jakoukoliv</w:t>
      </w:r>
      <w:r w:rsidR="007D6A8D" w:rsidRPr="007D6A8D">
        <w:rPr>
          <w:bCs/>
          <w:szCs w:val="24"/>
        </w:rPr>
        <w:t xml:space="preserve"> </w:t>
      </w:r>
      <w:r w:rsidR="007D6A8D" w:rsidRPr="007D6A8D">
        <w:rPr>
          <w:bCs/>
          <w:i/>
          <w:szCs w:val="24"/>
        </w:rPr>
        <w:t>res</w:t>
      </w:r>
      <w:r w:rsidR="007D6A8D" w:rsidRPr="007D6A8D">
        <w:rPr>
          <w:bCs/>
          <w:szCs w:val="24"/>
        </w:rPr>
        <w:t xml:space="preserve"> třetího druhu. Moderní fyzika je objektivní, protože má ontoteologický a neoplatonický základ.</w:t>
      </w:r>
      <w:r w:rsidR="007D6A8D">
        <w:rPr>
          <w:bCs/>
          <w:szCs w:val="24"/>
        </w:rPr>
        <w:t xml:space="preserve"> </w:t>
      </w:r>
      <w:r w:rsidR="00925BCB" w:rsidRPr="003D1E07">
        <w:t>Poznání bytí a jednoty boha (</w:t>
      </w:r>
      <w:r w:rsidR="00925BCB" w:rsidRPr="003D1E07">
        <w:rPr>
          <w:i/>
        </w:rPr>
        <w:t>prima causa universitatis est esse et unitas</w:t>
      </w:r>
      <w:r w:rsidR="00925BCB" w:rsidRPr="003D1E07">
        <w:t xml:space="preserve">) stojí mimo kauzalitu. </w:t>
      </w:r>
      <w:r w:rsidR="08FE457A" w:rsidRPr="003D1E07">
        <w:rPr>
          <w:bCs/>
          <w:szCs w:val="24"/>
        </w:rPr>
        <w:t>Nové magisterium m</w:t>
      </w:r>
      <w:r w:rsidR="0813794F" w:rsidRPr="003D1E07">
        <w:rPr>
          <w:bCs/>
          <w:szCs w:val="24"/>
        </w:rPr>
        <w:t>od</w:t>
      </w:r>
      <w:r w:rsidR="08A142DD" w:rsidRPr="003D1E07">
        <w:rPr>
          <w:bCs/>
          <w:szCs w:val="24"/>
        </w:rPr>
        <w:t>erny dogmaticky tvrdí, že fyzika</w:t>
      </w:r>
      <w:r w:rsidR="0813794F" w:rsidRPr="003D1E07">
        <w:rPr>
          <w:bCs/>
          <w:szCs w:val="24"/>
        </w:rPr>
        <w:t xml:space="preserve"> nemůže založit metafyziku. Mytopoetické </w:t>
      </w:r>
      <w:r w:rsidR="08243429" w:rsidRPr="003D1E07">
        <w:t xml:space="preserve">bytí </w:t>
      </w:r>
      <w:r w:rsidR="08A142DD" w:rsidRPr="003D1E07">
        <w:t xml:space="preserve">první </w:t>
      </w:r>
      <w:r w:rsidR="08243429" w:rsidRPr="003D1E07">
        <w:t xml:space="preserve">kauzy </w:t>
      </w:r>
      <w:r w:rsidR="00EE2BAA" w:rsidRPr="003D1E07">
        <w:rPr>
          <w:lang w:eastAsia="en-US"/>
        </w:rPr>
        <w:t>(</w:t>
      </w:r>
      <w:r w:rsidR="00EE2BAA" w:rsidRPr="003D1E07">
        <w:rPr>
          <w:i/>
        </w:rPr>
        <w:t>prima causa esse</w:t>
      </w:r>
      <w:r w:rsidR="00EE2BAA" w:rsidRPr="003D1E07">
        <w:rPr>
          <w:lang w:eastAsia="en-US"/>
        </w:rPr>
        <w:t xml:space="preserve">) </w:t>
      </w:r>
      <w:r w:rsidR="08243429" w:rsidRPr="003D1E07">
        <w:t>je dáno v aktu přímé</w:t>
      </w:r>
      <w:r w:rsidR="08E466FC" w:rsidRPr="003D1E07">
        <w:t>ho</w:t>
      </w:r>
      <w:r w:rsidR="08243429" w:rsidRPr="003D1E07">
        <w:t xml:space="preserve"> eidetického náhle</w:t>
      </w:r>
      <w:r w:rsidR="08500AE6" w:rsidRPr="003D1E07">
        <w:t>du</w:t>
      </w:r>
      <w:r w:rsidR="08E466FC" w:rsidRPr="003D1E07">
        <w:t xml:space="preserve"> a nikol</w:t>
      </w:r>
      <w:r w:rsidR="08243429" w:rsidRPr="003D1E07">
        <w:t>i</w:t>
      </w:r>
      <w:r w:rsidR="08E466FC" w:rsidRPr="003D1E07">
        <w:t>v</w:t>
      </w:r>
      <w:r w:rsidR="08243429" w:rsidRPr="003D1E07">
        <w:t xml:space="preserve"> aristotelskou abstrakcí z materiálních substancí. </w:t>
      </w:r>
      <w:r w:rsidR="000C4AC4" w:rsidRPr="003D1E07">
        <w:t>Kopula „</w:t>
      </w:r>
      <w:r w:rsidR="000C4AC4" w:rsidRPr="003D1E07">
        <w:rPr>
          <w:i/>
        </w:rPr>
        <w:t>est</w:t>
      </w:r>
      <w:r w:rsidR="000C4AC4" w:rsidRPr="003D1E07">
        <w:t>“ univočně spojila aristotelské a neoplatonské určení jsoucna do jednoty dané ve formě logické ekvivocity. Tato logická jednota jsoucna ale existuje pouze v mysli. Avicenna ji omylem vydává za metafyzickou jednotu reálného bytí na úrovni reálných prvních substancí.</w:t>
      </w:r>
      <w:r w:rsidR="000C4AC4">
        <w:t xml:space="preserve"> </w:t>
      </w:r>
      <w:r w:rsidR="0058536B" w:rsidRPr="003D1E07">
        <w:t xml:space="preserve">Aristotelská metafyzika je vázaná na </w:t>
      </w:r>
      <w:r w:rsidRPr="003D1E07">
        <w:t xml:space="preserve">poznávané bytí kauzálně působící </w:t>
      </w:r>
      <w:r w:rsidR="005E5872" w:rsidRPr="003D1E07">
        <w:t xml:space="preserve">první </w:t>
      </w:r>
      <w:r w:rsidR="0058536B" w:rsidRPr="003D1E07">
        <w:t>substance</w:t>
      </w:r>
      <w:r w:rsidRPr="003D1E07">
        <w:t>.</w:t>
      </w:r>
      <w:r w:rsidR="080765C7" w:rsidRPr="003D1E07">
        <w:t xml:space="preserve"> </w:t>
      </w:r>
      <w:r w:rsidR="0058536B" w:rsidRPr="003D1E07">
        <w:t xml:space="preserve">Avicenna zavedl mystickou ontoteologii moderny jako novou formu metafyziky. </w:t>
      </w:r>
      <w:r w:rsidR="08800AAA" w:rsidRPr="003D1E07">
        <w:t xml:space="preserve"> Abstraktní spojení </w:t>
      </w:r>
      <w:r w:rsidR="00FE19F6" w:rsidRPr="003D1E07">
        <w:t xml:space="preserve">generického </w:t>
      </w:r>
      <w:r w:rsidR="08800AAA" w:rsidRPr="003D1E07">
        <w:t xml:space="preserve">bytí a </w:t>
      </w:r>
      <w:r w:rsidR="00FE19F6" w:rsidRPr="003D1E07">
        <w:t xml:space="preserve">logického </w:t>
      </w:r>
      <w:r w:rsidR="08800AAA" w:rsidRPr="003D1E07">
        <w:t xml:space="preserve">myšlení je </w:t>
      </w:r>
      <w:r w:rsidR="00D00778" w:rsidRPr="003D1E07">
        <w:t>dáno skrze objektivní formu jsoucnosti</w:t>
      </w:r>
      <w:r w:rsidR="08800AAA" w:rsidRPr="003D1E07">
        <w:t xml:space="preserve"> v kopule „e</w:t>
      </w:r>
      <w:r w:rsidR="000910AF">
        <w:t>x</w:t>
      </w:r>
      <w:r w:rsidR="08800AAA" w:rsidRPr="003D1E07">
        <w:t xml:space="preserve">sistenciálního“ soudu. </w:t>
      </w:r>
      <w:r w:rsidR="089A5791" w:rsidRPr="003D1E07">
        <w:t xml:space="preserve">Učená dogmatika </w:t>
      </w:r>
      <w:r w:rsidR="001747E6" w:rsidRPr="003D1E07">
        <w:t xml:space="preserve">tím vystupuje </w:t>
      </w:r>
      <w:r w:rsidR="089A5791" w:rsidRPr="003D1E07">
        <w:t>(</w:t>
      </w:r>
      <w:r w:rsidR="089A5791" w:rsidRPr="003D1E07">
        <w:rPr>
          <w:i/>
        </w:rPr>
        <w:t>exsistit</w:t>
      </w:r>
      <w:r w:rsidR="089A5791" w:rsidRPr="003D1E07">
        <w:t xml:space="preserve">) </w:t>
      </w:r>
      <w:r w:rsidR="001747E6" w:rsidRPr="003D1E07">
        <w:t xml:space="preserve">na scénu </w:t>
      </w:r>
      <w:r w:rsidR="00F60BFB" w:rsidRPr="003D1E07">
        <w:t xml:space="preserve">dějinně určeného </w:t>
      </w:r>
      <w:r w:rsidR="00F60BFB" w:rsidRPr="003D1E07">
        <w:rPr>
          <w:i/>
        </w:rPr>
        <w:t>Lichtung</w:t>
      </w:r>
      <w:r w:rsidR="008F2BB2" w:rsidRPr="003D1E07">
        <w:rPr>
          <w:i/>
        </w:rPr>
        <w:fldChar w:fldCharType="begin"/>
      </w:r>
      <w:r w:rsidR="008F2BB2" w:rsidRPr="003D1E07">
        <w:instrText xml:space="preserve"> XE "</w:instrText>
      </w:r>
      <w:r w:rsidR="008F2BB2" w:rsidRPr="003D1E07">
        <w:rPr>
          <w:i/>
        </w:rPr>
        <w:instrText>Lichtung</w:instrText>
      </w:r>
      <w:r w:rsidR="008F2BB2" w:rsidRPr="003D1E07">
        <w:instrText xml:space="preserve">" </w:instrText>
      </w:r>
      <w:r w:rsidR="008F2BB2" w:rsidRPr="003D1E07">
        <w:rPr>
          <w:i/>
        </w:rPr>
        <w:fldChar w:fldCharType="end"/>
      </w:r>
      <w:r w:rsidR="00F60BFB" w:rsidRPr="003D1E07">
        <w:t xml:space="preserve"> moderní nepravdy. Dějinné pochybení (</w:t>
      </w:r>
      <w:r w:rsidR="00F60BFB" w:rsidRPr="003D1E07">
        <w:rPr>
          <w:i/>
        </w:rPr>
        <w:t>Irrtum</w:t>
      </w:r>
      <w:r w:rsidR="00F60BFB" w:rsidRPr="003D1E07">
        <w:rPr>
          <w:i/>
        </w:rPr>
        <w:fldChar w:fldCharType="begin"/>
      </w:r>
      <w:r w:rsidR="00F60BFB" w:rsidRPr="003D1E07">
        <w:instrText xml:space="preserve"> XE "</w:instrText>
      </w:r>
      <w:r w:rsidR="00F60BFB" w:rsidRPr="003D1E07">
        <w:rPr>
          <w:i/>
        </w:rPr>
        <w:instrText>Irrtum</w:instrText>
      </w:r>
      <w:r w:rsidR="00F60BFB" w:rsidRPr="003D1E07">
        <w:instrText xml:space="preserve">" </w:instrText>
      </w:r>
      <w:r w:rsidR="00F60BFB" w:rsidRPr="003D1E07">
        <w:rPr>
          <w:i/>
        </w:rPr>
        <w:fldChar w:fldCharType="end"/>
      </w:r>
      <w:r w:rsidR="00F60BFB" w:rsidRPr="003D1E07">
        <w:t xml:space="preserve">) moderního myšlení spočívá v sofistické </w:t>
      </w:r>
      <w:r w:rsidR="00663CE4" w:rsidRPr="003D1E07">
        <w:t>mnohovýzn</w:t>
      </w:r>
      <w:r w:rsidR="00F60BFB" w:rsidRPr="003D1E07">
        <w:t>a</w:t>
      </w:r>
      <w:r w:rsidR="00663CE4" w:rsidRPr="003D1E07">
        <w:t>m</w:t>
      </w:r>
      <w:r w:rsidR="00F60BFB" w:rsidRPr="003D1E07">
        <w:t xml:space="preserve">nosti a ekvivalenci různých jsoucen třetího druhu. </w:t>
      </w:r>
      <w:r w:rsidR="08800AAA" w:rsidRPr="003D1E07">
        <w:t xml:space="preserve">Bytí reálné první substance bylo předtím utvářené podle </w:t>
      </w:r>
      <w:r w:rsidR="089108A9" w:rsidRPr="003D1E07">
        <w:t xml:space="preserve">metafyzického </w:t>
      </w:r>
      <w:r w:rsidR="08800AAA" w:rsidRPr="003D1E07">
        <w:t>dativu aristotelské me</w:t>
      </w:r>
      <w:r w:rsidR="00291FD8">
        <w:t xml:space="preserve">tafyziky (Alfarabius, Ibn Ádí). </w:t>
      </w:r>
      <w:r w:rsidR="08800AAA" w:rsidRPr="003D1E07">
        <w:t xml:space="preserve">Avicennovská substance vznikla v modu </w:t>
      </w:r>
      <w:r w:rsidR="08800AAA" w:rsidRPr="003D1E07">
        <w:rPr>
          <w:i/>
        </w:rPr>
        <w:t>Seinsvergessenheit</w:t>
      </w:r>
      <w:r w:rsidR="08800AAA" w:rsidRPr="003D1E07">
        <w:t xml:space="preserve"> vůči aristotelské metafyzice. Oddělením od </w:t>
      </w:r>
      <w:r w:rsidR="00687E12" w:rsidRPr="003D1E07">
        <w:t xml:space="preserve">bagdádské školy aristoteliků začali </w:t>
      </w:r>
      <w:r w:rsidR="08800AAA" w:rsidRPr="003D1E07">
        <w:t xml:space="preserve">avicennovští </w:t>
      </w:r>
      <w:r w:rsidR="08800AAA" w:rsidRPr="003D1E07">
        <w:rPr>
          <w:i/>
        </w:rPr>
        <w:t>Moderni</w:t>
      </w:r>
      <w:r w:rsidR="08800AAA" w:rsidRPr="003D1E07">
        <w:t xml:space="preserve"> </w:t>
      </w:r>
      <w:r w:rsidR="00687E12" w:rsidRPr="003D1E07">
        <w:t xml:space="preserve">sledovat neschůdnou cestu </w:t>
      </w:r>
      <w:r w:rsidR="08800AAA" w:rsidRPr="003D1E07">
        <w:t>Parmenid</w:t>
      </w:r>
      <w:r w:rsidR="000C5821" w:rsidRPr="003D1E07">
        <w:t>a vztaženou k archaickému</w:t>
      </w:r>
      <w:r w:rsidR="08800AAA" w:rsidRPr="003D1E07">
        <w:t xml:space="preserve"> celk</w:t>
      </w:r>
      <w:r w:rsidR="000C5821" w:rsidRPr="003D1E07">
        <w:t>u</w:t>
      </w:r>
      <w:r w:rsidR="08800AAA" w:rsidRPr="003D1E07">
        <w:t xml:space="preserve"> bytí (B 6.8</w:t>
      </w:r>
      <w:r w:rsidR="08800AAA" w:rsidRPr="003D1E07">
        <w:fldChar w:fldCharType="begin"/>
      </w:r>
      <w:r w:rsidR="08800AAA" w:rsidRPr="003D1E07">
        <w:instrText xml:space="preserve"> XE "Parmenides:B 6.8" </w:instrText>
      </w:r>
      <w:r w:rsidR="08800AAA" w:rsidRPr="003D1E07">
        <w:fldChar w:fldCharType="end"/>
      </w:r>
      <w:r w:rsidR="08800AAA" w:rsidRPr="003D1E07">
        <w:t xml:space="preserve">, kap. 1.2). </w:t>
      </w:r>
      <w:r w:rsidR="08CC2BB2" w:rsidRPr="003D1E07">
        <w:t xml:space="preserve">Moderní </w:t>
      </w:r>
      <w:r w:rsidR="00175C6A" w:rsidRPr="003D1E07">
        <w:t xml:space="preserve">kosmos </w:t>
      </w:r>
      <w:r w:rsidR="08800AAA" w:rsidRPr="003D1E07">
        <w:t>vznikl pod vlivem Fúrií</w:t>
      </w:r>
      <w:r w:rsidR="000F76FA">
        <w:t xml:space="preserve">, které působí absolutně subjektivně, a tím absolutně moderně. Nový kosmos je </w:t>
      </w:r>
      <w:r w:rsidR="08800AAA" w:rsidRPr="003D1E07">
        <w:t xml:space="preserve">logické simulákrum původní múzické podoby celku jsoucna zjevené v modu </w:t>
      </w:r>
      <w:r w:rsidR="08800AAA" w:rsidRPr="003D1E07">
        <w:rPr>
          <w:i/>
        </w:rPr>
        <w:t>a/létheia</w:t>
      </w:r>
      <w:r w:rsidR="08800AAA" w:rsidRPr="003D1E07">
        <w:t xml:space="preserve">. </w:t>
      </w:r>
      <w:r w:rsidR="00175C6A" w:rsidRPr="003D1E07">
        <w:t>J</w:t>
      </w:r>
      <w:r w:rsidR="08800AAA" w:rsidRPr="003D1E07">
        <w:t xml:space="preserve">ednota </w:t>
      </w:r>
      <w:r w:rsidR="00175C6A" w:rsidRPr="003D1E07">
        <w:t xml:space="preserve">objektivního </w:t>
      </w:r>
      <w:r w:rsidR="08800AAA" w:rsidRPr="003D1E07">
        <w:t xml:space="preserve">bytí jsoucna </w:t>
      </w:r>
      <w:r w:rsidR="00175C6A" w:rsidRPr="003D1E07">
        <w:t xml:space="preserve">existuje </w:t>
      </w:r>
      <w:r w:rsidR="08800AAA" w:rsidRPr="003D1E07">
        <w:t xml:space="preserve">pouze v mysli iluminátů. </w:t>
      </w:r>
      <w:r w:rsidR="08CC2BB2" w:rsidRPr="003D1E07">
        <w:t xml:space="preserve">Původní </w:t>
      </w:r>
      <w:r w:rsidR="08800AAA" w:rsidRPr="003D1E07">
        <w:t xml:space="preserve">verze aristotelského </w:t>
      </w:r>
      <w:r w:rsidR="089108A9" w:rsidRPr="003D1E07">
        <w:t xml:space="preserve">metafyzického </w:t>
      </w:r>
      <w:r w:rsidR="08800AAA" w:rsidRPr="003D1E07">
        <w:t>dativu</w:t>
      </w:r>
      <w:r w:rsidR="08800AAA" w:rsidRPr="003D1E07">
        <w:rPr>
          <w:bCs/>
          <w:szCs w:val="24"/>
        </w:rPr>
        <w:fldChar w:fldCharType="begin"/>
      </w:r>
      <w:r w:rsidR="08800AAA" w:rsidRPr="003D1E07">
        <w:instrText xml:space="preserve"> XE "</w:instrText>
      </w:r>
      <w:r w:rsidR="089108A9" w:rsidRPr="003D1E07">
        <w:rPr>
          <w:i/>
        </w:rPr>
        <w:instrText>dativus metaphysi</w:instrText>
      </w:r>
      <w:r w:rsidR="08800AAA" w:rsidRPr="003D1E07">
        <w:rPr>
          <w:i/>
        </w:rPr>
        <w:instrText>cus</w:instrText>
      </w:r>
      <w:r w:rsidR="08800AAA" w:rsidRPr="003D1E07">
        <w:instrText xml:space="preserve">" </w:instrText>
      </w:r>
      <w:r w:rsidR="08800AAA" w:rsidRPr="003D1E07">
        <w:rPr>
          <w:bCs/>
          <w:szCs w:val="24"/>
        </w:rPr>
        <w:fldChar w:fldCharType="end"/>
      </w:r>
      <w:r w:rsidR="08800AAA" w:rsidRPr="003D1E07">
        <w:rPr>
          <w:bCs/>
          <w:szCs w:val="24"/>
        </w:rPr>
        <w:t xml:space="preserve"> přešla do podoby epochálního </w:t>
      </w:r>
      <w:r w:rsidR="00900464">
        <w:rPr>
          <w:bCs/>
          <w:szCs w:val="24"/>
        </w:rPr>
        <w:t>metafyzického omylu (</w:t>
      </w:r>
      <w:r w:rsidR="08800AAA" w:rsidRPr="003D1E07">
        <w:rPr>
          <w:bCs/>
          <w:i/>
          <w:szCs w:val="24"/>
        </w:rPr>
        <w:t>Irrtum</w:t>
      </w:r>
      <w:r w:rsidR="08800AAA" w:rsidRPr="003D1E07">
        <w:rPr>
          <w:bCs/>
          <w:i/>
          <w:szCs w:val="24"/>
        </w:rPr>
        <w:fldChar w:fldCharType="begin"/>
      </w:r>
      <w:r w:rsidR="08800AAA" w:rsidRPr="003D1E07">
        <w:instrText xml:space="preserve"> XE "</w:instrText>
      </w:r>
      <w:r w:rsidR="08800AAA" w:rsidRPr="003D1E07">
        <w:rPr>
          <w:bCs/>
          <w:i/>
          <w:szCs w:val="24"/>
        </w:rPr>
        <w:instrText>Irrtum</w:instrText>
      </w:r>
      <w:r w:rsidR="08800AAA" w:rsidRPr="003D1E07">
        <w:instrText xml:space="preserve">" </w:instrText>
      </w:r>
      <w:r w:rsidR="08800AAA" w:rsidRPr="003D1E07">
        <w:rPr>
          <w:bCs/>
          <w:i/>
          <w:szCs w:val="24"/>
        </w:rPr>
        <w:fldChar w:fldCharType="end"/>
      </w:r>
      <w:r w:rsidR="00900464">
        <w:t xml:space="preserve">). </w:t>
      </w:r>
      <w:r w:rsidR="08800AAA" w:rsidRPr="003D1E07">
        <w:t xml:space="preserve"> </w:t>
      </w:r>
    </w:p>
    <w:p w14:paraId="092E5D66" w14:textId="2C56F48F" w:rsidR="00A75C87" w:rsidRPr="003D1E07" w:rsidRDefault="00A75C87" w:rsidP="00027153">
      <w:pPr>
        <w:ind w:firstLine="397"/>
      </w:pPr>
      <w:r w:rsidRPr="003D1E07">
        <w:t>Avicenn</w:t>
      </w:r>
      <w:r w:rsidR="009B1853">
        <w:t xml:space="preserve">a vytvořil moderního boha, který </w:t>
      </w:r>
      <w:r w:rsidRPr="003D1E07">
        <w:t xml:space="preserve">stojí </w:t>
      </w:r>
      <w:r w:rsidR="009B1853">
        <w:t xml:space="preserve">za </w:t>
      </w:r>
      <w:r w:rsidRPr="003D1E07">
        <w:t>principem kauzality</w:t>
      </w:r>
      <w:r w:rsidR="009B1853">
        <w:t xml:space="preserve">. Jeho </w:t>
      </w:r>
      <w:r w:rsidRPr="003D1E07">
        <w:t>henologická a pro</w:t>
      </w:r>
      <w:r w:rsidR="001F7CD9" w:rsidRPr="003D1E07">
        <w:t>hyp</w:t>
      </w:r>
      <w:r w:rsidRPr="003D1E07">
        <w:t xml:space="preserve">archická jednota je dána v řádu bytí a pravdy postavených </w:t>
      </w:r>
      <w:r w:rsidR="08500AE6" w:rsidRPr="003D1E07">
        <w:t xml:space="preserve">mimo </w:t>
      </w:r>
      <w:r w:rsidRPr="003D1E07">
        <w:t xml:space="preserve">substanci a mimo schéma první příčiny. Avicenna opustil Aristotelovo schéma hledání Nehybného hybatele a přijal ontoteologický scénář neoplatonismu. Boží bytí není </w:t>
      </w:r>
      <w:r w:rsidR="00027153">
        <w:t xml:space="preserve">v moderní metafyzice </w:t>
      </w:r>
      <w:r w:rsidR="00291FD8">
        <w:t>poznatelné skrze</w:t>
      </w:r>
      <w:r w:rsidRPr="003D1E07">
        <w:t xml:space="preserve"> kauzalitu </w:t>
      </w:r>
      <w:r w:rsidR="00027153">
        <w:t xml:space="preserve">prvních substancí. </w:t>
      </w:r>
      <w:r w:rsidR="00027153" w:rsidRPr="00027153">
        <w:t xml:space="preserve">Moderní bůh existuje sám o sobě, ale naštěstí myslí prostřednictvím intencionality, která je analogická akademickému myšlení. Lze </w:t>
      </w:r>
      <w:r w:rsidR="00027153">
        <w:t>mopderního boha klidně o</w:t>
      </w:r>
      <w:r w:rsidR="00027153" w:rsidRPr="00027153">
        <w:t xml:space="preserve">ddělit od stvořeného světa a od principu kauzality, protože je poznatelný </w:t>
      </w:r>
      <w:r w:rsidR="00027153" w:rsidRPr="00027153">
        <w:lastRenderedPageBreak/>
        <w:t xml:space="preserve">objektivně a přímo. </w:t>
      </w:r>
      <w:r w:rsidR="008F79EC" w:rsidRPr="003D1E07">
        <w:t>Avicenna tvrdí, že Bůh jako hledaná věc moderní metafyziky (</w:t>
      </w:r>
      <w:r w:rsidR="008F79EC" w:rsidRPr="003D1E07">
        <w:rPr>
          <w:i/>
        </w:rPr>
        <w:t>qu</w:t>
      </w:r>
      <w:r w:rsidR="00D45457">
        <w:rPr>
          <w:i/>
        </w:rPr>
        <w:t>a</w:t>
      </w:r>
      <w:r w:rsidR="008F79EC" w:rsidRPr="003D1E07">
        <w:rPr>
          <w:i/>
        </w:rPr>
        <w:t>esitum, ġaraḍ</w:t>
      </w:r>
      <w:r w:rsidR="008F79EC" w:rsidRPr="003D1E07">
        <w:t>) není definován ve stejném smyslu jako první princip aristotelské první vědy. Ne</w:t>
      </w:r>
      <w:r w:rsidR="00956A8C" w:rsidRPr="003D1E07">
        <w:t xml:space="preserve">hybný </w:t>
      </w:r>
      <w:r w:rsidR="008F79EC" w:rsidRPr="003D1E07">
        <w:t>hybatel je určen fyzikou jako původní základ kauzálně působící reality. Avicenna to však považuje za nižší stav bytí, který j</w:t>
      </w:r>
      <w:r w:rsidR="00956A8C" w:rsidRPr="003D1E07">
        <w:t>e dán omezeným bytím první substance</w:t>
      </w:r>
      <w:r w:rsidR="008F79EC" w:rsidRPr="003D1E07">
        <w:t>. Bůh moderny nemůže být předmětem aristotelské metafyziky (</w:t>
      </w:r>
      <w:r w:rsidR="008F79EC" w:rsidRPr="003D1E07">
        <w:rPr>
          <w:i/>
        </w:rPr>
        <w:t>impossibile esse ut ipse Deus sit subiectum huius scientiae</w:t>
      </w:r>
      <w:r w:rsidR="00956A8C" w:rsidRPr="003D1E07">
        <w:t>).</w:t>
      </w:r>
      <w:r w:rsidRPr="003D1E07">
        <w:rPr>
          <w:rStyle w:val="Znakapoznpodarou"/>
        </w:rPr>
        <w:footnoteReference w:id="175"/>
      </w:r>
      <w:r w:rsidRPr="003D1E07">
        <w:t xml:space="preserve"> Plnost bytí je neomezená a </w:t>
      </w:r>
      <w:r w:rsidR="00BA6DDC" w:rsidRPr="003D1E07">
        <w:t>přitom plně jednotná. P</w:t>
      </w:r>
      <w:r w:rsidRPr="003D1E07">
        <w:t>rvní věda</w:t>
      </w:r>
      <w:r w:rsidRPr="003D1E07">
        <w:fldChar w:fldCharType="begin"/>
      </w:r>
      <w:r w:rsidRPr="003D1E07">
        <w:instrText xml:space="preserve"> XE "metafyzika:první věda" </w:instrText>
      </w:r>
      <w:r w:rsidRPr="003D1E07">
        <w:fldChar w:fldCharType="end"/>
      </w:r>
      <w:r w:rsidRPr="003D1E07">
        <w:t xml:space="preserve"> určená principem kauzality pracuje s bytím, které již má určitá konkrétní určení (</w:t>
      </w:r>
      <w:r w:rsidRPr="003D1E07">
        <w:rPr>
          <w:i/>
        </w:rPr>
        <w:t>esse causatum</w:t>
      </w:r>
      <w:r w:rsidRPr="003D1E07">
        <w:t xml:space="preserve">). </w:t>
      </w:r>
      <w:r w:rsidR="00BA6DDC" w:rsidRPr="003D1E07">
        <w:t xml:space="preserve">Moderní božské </w:t>
      </w:r>
      <w:r w:rsidRPr="003D1E07">
        <w:t xml:space="preserve">Jedno se musí stát Mnohým </w:t>
      </w:r>
      <w:r w:rsidR="00927662" w:rsidRPr="003D1E07">
        <w:t xml:space="preserve">hned </w:t>
      </w:r>
      <w:r w:rsidRPr="003D1E07">
        <w:t xml:space="preserve">v primordiální sféře bytí. Avicenna se vrací k </w:t>
      </w:r>
      <w:r w:rsidR="00927662" w:rsidRPr="003D1E07">
        <w:t xml:space="preserve">sebereflexivnímu </w:t>
      </w:r>
      <w:r w:rsidR="08015154" w:rsidRPr="003D1E07">
        <w:t>pojetí B</w:t>
      </w:r>
      <w:r w:rsidRPr="003D1E07">
        <w:t>oží Trojice</w:t>
      </w:r>
      <w:r w:rsidR="08015154" w:rsidRPr="003D1E07">
        <w:rPr>
          <w:lang w:eastAsia="en-US"/>
        </w:rPr>
        <w:fldChar w:fldCharType="begin"/>
      </w:r>
      <w:r w:rsidR="08015154" w:rsidRPr="003D1E07">
        <w:instrText xml:space="preserve"> XE "</w:instrText>
      </w:r>
      <w:r w:rsidR="08015154" w:rsidRPr="003D1E07">
        <w:rPr>
          <w:lang w:eastAsia="en-US"/>
        </w:rPr>
        <w:instrText>Boží Trojice</w:instrText>
      </w:r>
      <w:r w:rsidR="08015154" w:rsidRPr="003D1E07">
        <w:instrText xml:space="preserve">" </w:instrText>
      </w:r>
      <w:r w:rsidR="08015154" w:rsidRPr="003D1E07">
        <w:rPr>
          <w:lang w:eastAsia="en-US"/>
        </w:rPr>
        <w:fldChar w:fldCharType="end"/>
      </w:r>
      <w:r w:rsidRPr="003D1E07">
        <w:t xml:space="preserve"> </w:t>
      </w:r>
      <w:r w:rsidR="00927662" w:rsidRPr="003D1E07">
        <w:t xml:space="preserve">a stvořitelské reflexe Ibn Ádího </w:t>
      </w:r>
      <w:r w:rsidRPr="003D1E07">
        <w:t xml:space="preserve">(kap. 2.2). </w:t>
      </w:r>
      <w:r w:rsidR="00D45457">
        <w:t>P</w:t>
      </w:r>
      <w:r w:rsidRPr="003D1E07">
        <w:t>rvní</w:t>
      </w:r>
      <w:r w:rsidR="00D45457">
        <w:t xml:space="preserve"> intelekt</w:t>
      </w:r>
      <w:r w:rsidRPr="003D1E07">
        <w:t xml:space="preserve"> zakládá </w:t>
      </w:r>
      <w:r w:rsidR="00D45457">
        <w:t xml:space="preserve">pluralitu přímo v sobě, </w:t>
      </w:r>
      <w:r w:rsidRPr="003D1E07">
        <w:t>protože poznává v modu případkové nutnosti (</w:t>
      </w:r>
      <w:r w:rsidRPr="003D1E07">
        <w:rPr>
          <w:i/>
        </w:rPr>
        <w:t>lāzim, comitans</w:t>
      </w:r>
      <w:r w:rsidRPr="003D1E07">
        <w:t>)</w:t>
      </w:r>
      <w:r w:rsidR="08E25E12" w:rsidRPr="003D1E07">
        <w:t xml:space="preserve"> vlastní archetypické ideje. Tyto intence božího myšlení </w:t>
      </w:r>
      <w:r w:rsidRPr="003D1E07">
        <w:t>jsou dané</w:t>
      </w:r>
      <w:r w:rsidR="089448FC" w:rsidRPr="003D1E07">
        <w:t xml:space="preserve"> objektivně</w:t>
      </w:r>
      <w:r w:rsidR="080015AB" w:rsidRPr="003D1E07">
        <w:t>-věčně</w:t>
      </w:r>
      <w:r w:rsidRPr="003D1E07">
        <w:t>, p</w:t>
      </w:r>
      <w:r w:rsidR="00BA2335">
        <w:t>rotože neobsahují žádnou vnější limitaci</w:t>
      </w:r>
      <w:r w:rsidRPr="003D1E07">
        <w:t xml:space="preserve">. Fundamentální smysl nového druhu jsoucna vzniklého ve sféře boží sebereflexe pre-existuje jako pouhá stvořitelská možnost. Zavedení potenciality do boha má naprosto zásadní charakter pro další dějiny objektivity. Model emanace </w:t>
      </w:r>
      <w:r w:rsidRPr="003D1E07">
        <w:rPr>
          <w:rStyle w:val="FontStyle129"/>
          <w:rFonts w:ascii="Calibri" w:hAnsi="Calibri"/>
          <w:sz w:val="24"/>
        </w:rPr>
        <w:fldChar w:fldCharType="begin"/>
      </w:r>
      <w:r w:rsidRPr="003D1E07">
        <w:instrText xml:space="preserve"> XE "</w:instrText>
      </w:r>
      <w:r w:rsidRPr="003D1E07">
        <w:rPr>
          <w:rStyle w:val="FontStyle129"/>
          <w:rFonts w:ascii="Calibri" w:hAnsi="Calibri"/>
          <w:sz w:val="24"/>
        </w:rPr>
        <w:instrText>emanace</w:instrText>
      </w:r>
      <w:r w:rsidRPr="003D1E07">
        <w:instrText xml:space="preserve">" </w:instrText>
      </w:r>
      <w:r w:rsidRPr="003D1E07">
        <w:rPr>
          <w:rStyle w:val="FontStyle129"/>
          <w:rFonts w:ascii="Calibri" w:hAnsi="Calibri"/>
          <w:sz w:val="24"/>
        </w:rPr>
        <w:fldChar w:fldCharType="end"/>
      </w:r>
      <w:r w:rsidR="000501D5" w:rsidRPr="003D1E07">
        <w:rPr>
          <w:rStyle w:val="FontStyle129"/>
          <w:rFonts w:ascii="Calibri" w:hAnsi="Calibri"/>
          <w:sz w:val="24"/>
        </w:rPr>
        <w:t xml:space="preserve">nesleduje </w:t>
      </w:r>
      <w:r w:rsidR="00874074" w:rsidRPr="003D1E07">
        <w:t>neoplatonsk</w:t>
      </w:r>
      <w:r w:rsidR="000501D5" w:rsidRPr="003D1E07">
        <w:t>ý scénář</w:t>
      </w:r>
      <w:r w:rsidR="007E70F0">
        <w:t xml:space="preserve"> daný aktuálně</w:t>
      </w:r>
      <w:r w:rsidR="084907D5" w:rsidRPr="003D1E07">
        <w:t>, ale</w:t>
      </w:r>
      <w:r w:rsidRPr="003D1E07">
        <w:t xml:space="preserve"> </w:t>
      </w:r>
      <w:r w:rsidR="000501D5" w:rsidRPr="003D1E07">
        <w:t>aristotelskou</w:t>
      </w:r>
      <w:r w:rsidRPr="003D1E07">
        <w:t xml:space="preserve"> diferenci mezi aktualitou a potencí</w:t>
      </w:r>
      <w:r w:rsidR="007E70F0">
        <w:t xml:space="preserve"> danou potenciálně</w:t>
      </w:r>
      <w:r w:rsidRPr="003D1E07">
        <w:t xml:space="preserve">. Ve sféře bytí spravované božským aktivním intelektem se myšlená esence každé prozatím nestvořené věci stává čistou možností, ale nikoliv </w:t>
      </w:r>
      <w:r w:rsidR="00484E49" w:rsidRPr="003D1E07">
        <w:t xml:space="preserve">aktuální </w:t>
      </w:r>
      <w:r w:rsidRPr="003D1E07">
        <w:t>realitou</w:t>
      </w:r>
      <w:r w:rsidRPr="003D1E07">
        <w:rPr>
          <w:i/>
          <w:iCs/>
        </w:rPr>
        <w:fldChar w:fldCharType="begin"/>
      </w:r>
      <w:r w:rsidRPr="003D1E07">
        <w:instrText xml:space="preserve"> XE "esence:falsafa" </w:instrText>
      </w:r>
      <w:r w:rsidRPr="003D1E07">
        <w:rPr>
          <w:i/>
          <w:iCs/>
        </w:rPr>
        <w:fldChar w:fldCharType="end"/>
      </w:r>
      <w:r w:rsidRPr="003D1E07">
        <w:t xml:space="preserve">. Věc myšlená v boží mysli nemusí aktuálně existovat, jen potenciálně. </w:t>
      </w:r>
      <w:r w:rsidR="009E0FBC">
        <w:t xml:space="preserve">Tím vznikl archetypický </w:t>
      </w:r>
      <w:r w:rsidRPr="003D1E07">
        <w:t>limbu</w:t>
      </w:r>
      <w:r w:rsidR="009E0FBC">
        <w:t>s</w:t>
      </w:r>
      <w:r w:rsidRPr="003D1E07">
        <w:t xml:space="preserve"> </w:t>
      </w:r>
      <w:r w:rsidR="009E0FBC">
        <w:t>objektivity, který „eksistuje“ (</w:t>
      </w:r>
      <w:r w:rsidR="009E0FBC" w:rsidRPr="009E0FBC">
        <w:rPr>
          <w:i/>
        </w:rPr>
        <w:t>exsistit</w:t>
      </w:r>
      <w:r w:rsidR="009E0FBC">
        <w:t xml:space="preserve">) </w:t>
      </w:r>
      <w:r w:rsidRPr="003D1E07">
        <w:t>v boží absolutní jednoduchosti</w:t>
      </w:r>
      <w:r w:rsidR="0022604C">
        <w:t xml:space="preserve">. Mytopoetická </w:t>
      </w:r>
      <w:r w:rsidRPr="003D1E07">
        <w:t>esenci</w:t>
      </w:r>
      <w:r w:rsidR="0022604C">
        <w:t xml:space="preserve">alita </w:t>
      </w:r>
      <w:r w:rsidRPr="003D1E07">
        <w:t xml:space="preserve">a plnost </w:t>
      </w:r>
      <w:r w:rsidR="08E16CAE" w:rsidRPr="003D1E07">
        <w:t xml:space="preserve">intencionálního božího </w:t>
      </w:r>
      <w:r w:rsidRPr="003D1E07">
        <w:t xml:space="preserve">bytí </w:t>
      </w:r>
      <w:r w:rsidR="0022604C">
        <w:t xml:space="preserve">produkuje </w:t>
      </w:r>
      <w:r w:rsidR="00E51172" w:rsidRPr="003D1E07">
        <w:t xml:space="preserve">objektivní </w:t>
      </w:r>
      <w:r w:rsidRPr="003D1E07">
        <w:rPr>
          <w:i/>
        </w:rPr>
        <w:t>tertium ens</w:t>
      </w:r>
      <w:r w:rsidRPr="003D1E07">
        <w:rPr>
          <w:i/>
        </w:rPr>
        <w:fldChar w:fldCharType="begin"/>
      </w:r>
      <w:r w:rsidRPr="003D1E07">
        <w:instrText xml:space="preserve"> XE "</w:instrText>
      </w:r>
      <w:r w:rsidRPr="003D1E07">
        <w:rPr>
          <w:rStyle w:val="Zvraznn"/>
        </w:rPr>
        <w:instrText>tertium ens</w:instrText>
      </w:r>
      <w:r w:rsidRPr="003D1E07">
        <w:rPr>
          <w:rStyle w:val="Zvraznn"/>
          <w:i w:val="0"/>
        </w:rPr>
        <w:instrText>:Avicenna</w:instrText>
      </w:r>
      <w:r w:rsidRPr="003D1E07">
        <w:instrText xml:space="preserve">" </w:instrText>
      </w:r>
      <w:r w:rsidRPr="003D1E07">
        <w:rPr>
          <w:i/>
        </w:rPr>
        <w:fldChar w:fldCharType="end"/>
      </w:r>
      <w:r w:rsidR="0022604C">
        <w:t xml:space="preserve">, které je ontoteologicky </w:t>
      </w:r>
      <w:r w:rsidRPr="003D1E07">
        <w:t xml:space="preserve">nekonečné, věčné a nutné. Citát z </w:t>
      </w:r>
      <w:r w:rsidRPr="003D1E07">
        <w:rPr>
          <w:i/>
        </w:rPr>
        <w:t>Metafyziky</w:t>
      </w:r>
      <w:r w:rsidRPr="003D1E07">
        <w:t xml:space="preserve"> </w:t>
      </w:r>
      <w:r w:rsidRPr="003D1E07">
        <w:rPr>
          <w:i/>
        </w:rPr>
        <w:t>al</w:t>
      </w:r>
      <w:r w:rsidRPr="003D1E07">
        <w:rPr>
          <w:i/>
        </w:rPr>
        <w:noBreakHyphen/>
        <w:t>Šifá</w:t>
      </w:r>
      <w:r w:rsidRPr="003D1E07">
        <w:t xml:space="preserve"> popisuje b</w:t>
      </w:r>
      <w:r w:rsidR="00CA5C64" w:rsidRPr="003D1E07">
        <w:t>oží reflexi prvních stvořených f</w:t>
      </w:r>
      <w:r w:rsidRPr="003D1E07">
        <w:t>orem následovně.</w:t>
      </w:r>
    </w:p>
    <w:p w14:paraId="52C1C66E" w14:textId="237ACCF1" w:rsidR="00A75C87" w:rsidRPr="003D1E07" w:rsidRDefault="00A75C87" w:rsidP="00A75C87">
      <w:pPr>
        <w:pStyle w:val="Citace"/>
        <w:rPr>
          <w:noProof/>
          <w:lang w:val="cs-CZ"/>
        </w:rPr>
      </w:pPr>
      <w:r w:rsidRPr="003D1E07">
        <w:rPr>
          <w:noProof/>
          <w:lang w:val="cs-CZ"/>
        </w:rPr>
        <w:t>„Boží esence je nedotčena vším, co je v pouhé potenci, jak jsme ukázali výše. Bůh rozumí všemu najednou v původní jednotě (</w:t>
      </w:r>
      <w:r w:rsidRPr="003D1E07">
        <w:rPr>
          <w:i/>
          <w:noProof/>
          <w:lang w:val="cs-CZ"/>
        </w:rPr>
        <w:t>intelligens omnia ut unum simul</w:t>
      </w:r>
      <w:r w:rsidRPr="003D1E07">
        <w:rPr>
          <w:noProof/>
          <w:lang w:val="cs-CZ"/>
        </w:rPr>
        <w:t>). Z toho, čemu takto rozumí, následuje řád dobra v</w:t>
      </w:r>
      <w:r w:rsidR="00A36DFB" w:rsidRPr="003D1E07">
        <w:rPr>
          <w:noProof/>
          <w:lang w:val="cs-CZ"/>
        </w:rPr>
        <w:t> říši jsoucen</w:t>
      </w:r>
      <w:r w:rsidR="08E16CAE" w:rsidRPr="003D1E07">
        <w:rPr>
          <w:noProof/>
          <w:lang w:val="cs-CZ"/>
        </w:rPr>
        <w:t xml:space="preserve"> (</w:t>
      </w:r>
      <w:r w:rsidR="08E16CAE" w:rsidRPr="003D1E07">
        <w:rPr>
          <w:i/>
          <w:noProof/>
          <w:lang w:val="cs-CZ"/>
        </w:rPr>
        <w:t>ordinatio bonitatis in esse</w:t>
      </w:r>
      <w:r w:rsidR="08E16CAE" w:rsidRPr="003D1E07">
        <w:rPr>
          <w:noProof/>
          <w:lang w:val="cs-CZ"/>
        </w:rPr>
        <w:t>)</w:t>
      </w:r>
      <w:r w:rsidRPr="003D1E07">
        <w:rPr>
          <w:noProof/>
          <w:lang w:val="cs-CZ"/>
        </w:rPr>
        <w:t>. Bůh tedy ví, že je zásadně možné a mnohem krásnější vyvést celek jsoucna podle úsudku svého intelektu.“ </w:t>
      </w:r>
      <w:r w:rsidRPr="003D1E07">
        <w:rPr>
          <w:rStyle w:val="Znakapoznpodarou"/>
          <w:noProof/>
          <w:lang w:val="cs-CZ"/>
        </w:rPr>
        <w:footnoteReference w:id="176"/>
      </w:r>
    </w:p>
    <w:p w14:paraId="49C36819" w14:textId="77777777" w:rsidR="00244C75" w:rsidRDefault="00A75C87" w:rsidP="00A75C87">
      <w:r w:rsidRPr="003D1E07">
        <w:lastRenderedPageBreak/>
        <w:t>Aristotelova diference mezi aktualitou a potencialitou určuje nový smysl js</w:t>
      </w:r>
      <w:r w:rsidR="00273D72" w:rsidRPr="003D1E07">
        <w:t xml:space="preserve">oucna, které se stalo absolutním </w:t>
      </w:r>
      <w:r w:rsidRPr="003D1E07">
        <w:t>objektem boží mysli. Prozatím neexistující svět (</w:t>
      </w:r>
      <w:r w:rsidRPr="003D1E07">
        <w:rPr>
          <w:i/>
        </w:rPr>
        <w:t>intelligit qualiter est possibile</w:t>
      </w:r>
      <w:r w:rsidR="007779E3" w:rsidRPr="003D1E07">
        <w:t xml:space="preserve">) je soupodstatný s božím bytím </w:t>
      </w:r>
      <w:r w:rsidRPr="003D1E07">
        <w:t>a zároveň již obsahuje</w:t>
      </w:r>
      <w:r w:rsidR="006C55BA" w:rsidRPr="003D1E07">
        <w:t xml:space="preserve"> základní mnohost. </w:t>
      </w:r>
      <w:r w:rsidR="009B5E1A" w:rsidRPr="009B5E1A">
        <w:t>Avicenna přenáší čistě logickou možnost stvoření do božského myšlení, aby ji změnil na kvazimetafyzickou (tj. mytologickou) možnost na úrovni arist</w:t>
      </w:r>
      <w:r w:rsidR="00737FA8">
        <w:t xml:space="preserve">otelské kategoriální impozice. Boží mysl obsahuje </w:t>
      </w:r>
      <w:r w:rsidRPr="003D1E07">
        <w:t xml:space="preserve">základní </w:t>
      </w:r>
      <w:r w:rsidR="006C55BA" w:rsidRPr="003D1E07">
        <w:t xml:space="preserve">možnost </w:t>
      </w:r>
      <w:r w:rsidRPr="003D1E07">
        <w:t xml:space="preserve">stvoření světa, který </w:t>
      </w:r>
      <w:r w:rsidR="006C55BA" w:rsidRPr="003D1E07">
        <w:t xml:space="preserve">již v tomto stavu musí mít </w:t>
      </w:r>
      <w:r w:rsidRPr="003D1E07">
        <w:t xml:space="preserve">bohem preferovanou eleganci a krásu. </w:t>
      </w:r>
      <w:r w:rsidR="008A0913">
        <w:t>Avicenna změnil</w:t>
      </w:r>
      <w:r w:rsidR="008A0913" w:rsidRPr="003D1E07">
        <w:t xml:space="preserve"> čistě aktuální status božího bytí tím, že do něj skrze akt komitace</w:t>
      </w:r>
      <w:r w:rsidR="008A0913" w:rsidRPr="003D1E07">
        <w:fldChar w:fldCharType="begin"/>
      </w:r>
      <w:r w:rsidR="008A0913" w:rsidRPr="003D1E07">
        <w:instrText xml:space="preserve"> XE "komitace" </w:instrText>
      </w:r>
      <w:r w:rsidR="008A0913" w:rsidRPr="003D1E07">
        <w:fldChar w:fldCharType="end"/>
      </w:r>
      <w:r w:rsidR="008A0913">
        <w:t xml:space="preserve"> nechal </w:t>
      </w:r>
      <w:r w:rsidR="008A0913" w:rsidRPr="003D1E07">
        <w:t xml:space="preserve">vejít potenciální </w:t>
      </w:r>
      <w:r w:rsidR="008A0913">
        <w:t>jsoucno</w:t>
      </w:r>
      <w:r w:rsidR="008A0913" w:rsidRPr="003D1E07">
        <w:t xml:space="preserve"> (</w:t>
      </w:r>
      <w:r w:rsidR="008A0913" w:rsidRPr="003D1E07">
        <w:rPr>
          <w:i/>
        </w:rPr>
        <w:t>qualiter est possibile...elegantius</w:t>
      </w:r>
      <w:r w:rsidR="008A0913" w:rsidRPr="003D1E07">
        <w:t xml:space="preserve">). </w:t>
      </w:r>
      <w:r w:rsidRPr="003D1E07">
        <w:t>Uvedený citát ukazuje základ Scotova a později i Leibnizova rozvrhu možných světů</w:t>
      </w:r>
      <w:r w:rsidRPr="003D1E07">
        <w:fldChar w:fldCharType="begin"/>
      </w:r>
      <w:r w:rsidRPr="003D1E07">
        <w:instrText xml:space="preserve"> XE "teorie možných světů" </w:instrText>
      </w:r>
      <w:r w:rsidRPr="003D1E07">
        <w:fldChar w:fldCharType="end"/>
      </w:r>
      <w:r w:rsidRPr="003D1E07">
        <w:t xml:space="preserve">. Pak je </w:t>
      </w:r>
      <w:r w:rsidR="005C0EF0">
        <w:t xml:space="preserve">„existence“ </w:t>
      </w:r>
      <w:r w:rsidRPr="003D1E07">
        <w:t>stvořených věcí chá</w:t>
      </w:r>
      <w:r w:rsidR="08C6333A" w:rsidRPr="003D1E07">
        <w:t>pána v jejich čisté možnosti</w:t>
      </w:r>
      <w:r w:rsidRPr="003D1E07">
        <w:t xml:space="preserve"> „</w:t>
      </w:r>
      <w:r w:rsidR="08C6333A" w:rsidRPr="003D1E07">
        <w:t>být něco</w:t>
      </w:r>
      <w:r w:rsidRPr="003D1E07">
        <w:t xml:space="preserve">“ mimo nicotu. Problematický scénář emanace se změnil na ontoteologický scénář monoteistického stvoření, a to dokonce stvoření </w:t>
      </w:r>
      <w:r w:rsidRPr="003D1E07">
        <w:rPr>
          <w:i/>
        </w:rPr>
        <w:t>ex nihilo</w:t>
      </w:r>
      <w:r w:rsidR="005022DD" w:rsidRPr="003D1E07">
        <w:rPr>
          <w:i/>
        </w:rPr>
        <w:fldChar w:fldCharType="begin"/>
      </w:r>
      <w:r w:rsidR="005022DD" w:rsidRPr="003D1E07">
        <w:instrText xml:space="preserve"> XE "</w:instrText>
      </w:r>
      <w:r w:rsidR="005022DD" w:rsidRPr="003D1E07">
        <w:rPr>
          <w:i/>
        </w:rPr>
        <w:instrText>creatio ex nihilo</w:instrText>
      </w:r>
      <w:r w:rsidR="005022DD" w:rsidRPr="003D1E07">
        <w:instrText xml:space="preserve">" </w:instrText>
      </w:r>
      <w:r w:rsidR="005022DD" w:rsidRPr="003D1E07">
        <w:rPr>
          <w:i/>
        </w:rPr>
        <w:fldChar w:fldCharType="end"/>
      </w:r>
      <w:r w:rsidRPr="003D1E07">
        <w:t xml:space="preserve">, pokud vezmeme tuto vizi jsoucna z hlediska aktuality. </w:t>
      </w:r>
      <w:r w:rsidR="08C5554C" w:rsidRPr="003D1E07">
        <w:rPr>
          <w:rStyle w:val="FontStyle129"/>
          <w:rFonts w:ascii="Calibri" w:hAnsi="Calibri"/>
          <w:sz w:val="24"/>
        </w:rPr>
        <w:t xml:space="preserve">Avicennovský a neoplatonský projekt světa odpovídá pozdější Leibnizově </w:t>
      </w:r>
      <w:r w:rsidR="009E2C87">
        <w:rPr>
          <w:rStyle w:val="FontStyle129"/>
          <w:rFonts w:ascii="Calibri" w:hAnsi="Calibri"/>
          <w:sz w:val="24"/>
        </w:rPr>
        <w:t>předzjednané harmonii (</w:t>
      </w:r>
      <w:r w:rsidR="08C5554C" w:rsidRPr="003D1E07">
        <w:rPr>
          <w:rStyle w:val="FontStyle129"/>
          <w:rFonts w:ascii="Calibri" w:hAnsi="Calibri"/>
          <w:i/>
          <w:sz w:val="24"/>
        </w:rPr>
        <w:t>harmonie préétablie</w:t>
      </w:r>
      <w:r w:rsidR="08C5554C" w:rsidRPr="003D1E07">
        <w:rPr>
          <w:rStyle w:val="FontStyle129"/>
          <w:rFonts w:ascii="Calibri" w:hAnsi="Calibri"/>
          <w:i/>
          <w:sz w:val="24"/>
        </w:rPr>
        <w:fldChar w:fldCharType="begin"/>
      </w:r>
      <w:r w:rsidR="08C5554C" w:rsidRPr="003D1E07">
        <w:instrText xml:space="preserve"> XE "</w:instrText>
      </w:r>
      <w:r w:rsidR="08C5554C" w:rsidRPr="003D1E07">
        <w:rPr>
          <w:rStyle w:val="FontStyle129"/>
          <w:rFonts w:ascii="Calibri" w:hAnsi="Calibri"/>
          <w:i/>
          <w:sz w:val="24"/>
        </w:rPr>
        <w:instrText>harmonie préétablie</w:instrText>
      </w:r>
      <w:r w:rsidR="08C5554C" w:rsidRPr="003D1E07">
        <w:instrText xml:space="preserve">" </w:instrText>
      </w:r>
      <w:r w:rsidR="08C5554C" w:rsidRPr="003D1E07">
        <w:rPr>
          <w:rStyle w:val="FontStyle129"/>
          <w:rFonts w:ascii="Calibri" w:hAnsi="Calibri"/>
          <w:i/>
          <w:sz w:val="24"/>
        </w:rPr>
        <w:fldChar w:fldCharType="end"/>
      </w:r>
      <w:r w:rsidR="009E2C87">
        <w:rPr>
          <w:rStyle w:val="FontStyle129"/>
          <w:rFonts w:ascii="Calibri" w:hAnsi="Calibri"/>
          <w:sz w:val="24"/>
        </w:rPr>
        <w:t xml:space="preserve">). </w:t>
      </w:r>
      <w:r w:rsidRPr="003D1E07">
        <w:t>Jedno je Mnohým pouze potenciálně</w:t>
      </w:r>
      <w:r w:rsidR="00A515A9">
        <w:t>. A</w:t>
      </w:r>
      <w:r w:rsidRPr="003D1E07">
        <w:t xml:space="preserve">le na prototypické rovině je možné odvodit </w:t>
      </w:r>
      <w:r w:rsidR="00E26AD5" w:rsidRPr="003D1E07">
        <w:t>řád bytí z původní intence objek</w:t>
      </w:r>
      <w:r w:rsidRPr="003D1E07">
        <w:t xml:space="preserve">tivně </w:t>
      </w:r>
      <w:r w:rsidR="0096346E">
        <w:t>myslícího boha</w:t>
      </w:r>
      <w:r w:rsidRPr="003D1E07">
        <w:t>. Toto pojetí převezme a upraví Filip Kancléř</w:t>
      </w:r>
      <w:r w:rsidRPr="003D1E07">
        <w:fldChar w:fldCharType="begin"/>
      </w:r>
      <w:r w:rsidRPr="003D1E07">
        <w:instrText xml:space="preserve"> XE "Filip Kancléř" </w:instrText>
      </w:r>
      <w:r w:rsidRPr="003D1E07">
        <w:fldChar w:fldCharType="end"/>
      </w:r>
      <w:r w:rsidRPr="003D1E07">
        <w:t xml:space="preserve"> kolem 1230 pro první moderní dedukci </w:t>
      </w:r>
      <w:r w:rsidR="003875CE">
        <w:t xml:space="preserve">genericky pojatého </w:t>
      </w:r>
      <w:r w:rsidRPr="003D1E07">
        <w:t>jsoucna (</w:t>
      </w:r>
      <w:r w:rsidRPr="003D1E07">
        <w:rPr>
          <w:i/>
        </w:rPr>
        <w:t>resolutio</w:t>
      </w:r>
      <w:r w:rsidRPr="003D1E07">
        <w:rPr>
          <w:i/>
        </w:rPr>
        <w:fldChar w:fldCharType="begin"/>
      </w:r>
      <w:r w:rsidRPr="003D1E07">
        <w:instrText xml:space="preserve"> XE "</w:instrText>
      </w:r>
      <w:r w:rsidRPr="003D1E07">
        <w:rPr>
          <w:i/>
        </w:rPr>
        <w:instrText>resolutio:</w:instrText>
      </w:r>
      <w:r w:rsidRPr="003D1E07">
        <w:instrText xml:space="preserve">Filip Kancléř" </w:instrText>
      </w:r>
      <w:r w:rsidRPr="003D1E07">
        <w:rPr>
          <w:i/>
        </w:rPr>
        <w:fldChar w:fldCharType="end"/>
      </w:r>
      <w:r w:rsidRPr="003D1E07">
        <w:t xml:space="preserve">). </w:t>
      </w:r>
      <w:r w:rsidR="00F553FE">
        <w:t xml:space="preserve">Neoplatonik </w:t>
      </w:r>
      <w:r w:rsidRPr="003D1E07">
        <w:t>Filip vyjde z objektivně pojaté jedn</w:t>
      </w:r>
      <w:r w:rsidR="08AA0AF4" w:rsidRPr="003D1E07">
        <w:t>oduchosti bytí jsoucna, kterou rozloží</w:t>
      </w:r>
      <w:r w:rsidRPr="003D1E07">
        <w:t xml:space="preserve"> (</w:t>
      </w:r>
      <w:r w:rsidRPr="003D1E07">
        <w:rPr>
          <w:i/>
        </w:rPr>
        <w:t>resolvere</w:t>
      </w:r>
      <w:r w:rsidRPr="003D1E07">
        <w:t>) na několik základních transcendentální</w:t>
      </w:r>
      <w:r w:rsidR="00E26AD5" w:rsidRPr="003D1E07">
        <w:t>ch</w:t>
      </w:r>
      <w:r w:rsidRPr="003D1E07">
        <w:t xml:space="preserve"> určení pod </w:t>
      </w:r>
      <w:r w:rsidR="00E00161" w:rsidRPr="003D1E07">
        <w:t xml:space="preserve">superioritou Dobra </w:t>
      </w:r>
      <w:r w:rsidRPr="003D1E07">
        <w:t>(</w:t>
      </w:r>
      <w:r w:rsidR="08697DFA" w:rsidRPr="003D1E07">
        <w:t>OBJ II, kap. 2</w:t>
      </w:r>
      <w:r w:rsidRPr="003D1E07">
        <w:t xml:space="preserve">.3.2). </w:t>
      </w:r>
      <w:r w:rsidR="002072D2">
        <w:t>Avicennův r</w:t>
      </w:r>
      <w:r w:rsidRPr="003D1E07">
        <w:t xml:space="preserve">ozdíl mezi aktualitou a potencialitou dal do boží jednoty potřebnou mnohost, a toto řešení dalo ontoteologický základ pro ustavení objektivity. Ale tuto novou, čistě formální predikaci </w:t>
      </w:r>
      <w:r w:rsidRPr="003D1E07">
        <w:rPr>
          <w:i/>
        </w:rPr>
        <w:t>per prius</w:t>
      </w:r>
      <w:r w:rsidRPr="003D1E07">
        <w:t xml:space="preserve"> řídí unitární princip převzatý z neoplatonismu. </w:t>
      </w:r>
      <w:r w:rsidRPr="003D1E07">
        <w:rPr>
          <w:rStyle w:val="Zvraznn"/>
          <w:i w:val="0"/>
        </w:rPr>
        <w:t xml:space="preserve">Od Jednoho může vyjít pouze jednota, protože ta je </w:t>
      </w:r>
      <w:r w:rsidR="00E00161" w:rsidRPr="003D1E07">
        <w:rPr>
          <w:rStyle w:val="Zvraznn"/>
          <w:i w:val="0"/>
        </w:rPr>
        <w:t xml:space="preserve">podle Avicenny </w:t>
      </w:r>
      <w:r w:rsidRPr="003D1E07">
        <w:rPr>
          <w:rStyle w:val="Zvraznn"/>
          <w:i w:val="0"/>
        </w:rPr>
        <w:t xml:space="preserve">nejvyšším principem ontoteologie </w:t>
      </w:r>
      <w:r w:rsidRPr="003D1E07">
        <w:t>(</w:t>
      </w:r>
      <w:r w:rsidRPr="003D1E07">
        <w:rPr>
          <w:i/>
        </w:rPr>
        <w:t>ex uno, secundum quod est unum, non est nisi unum; Liber de philosophia prima</w:t>
      </w:r>
      <w:r w:rsidR="08FE457A" w:rsidRPr="003D1E07">
        <w:t xml:space="preserve"> IX.4, </w:t>
      </w:r>
      <w:r w:rsidRPr="003D1E07">
        <w:t>p. 481.50–51</w:t>
      </w:r>
      <w:r w:rsidRPr="003D1E07">
        <w:rPr>
          <w:i/>
        </w:rPr>
        <w:fldChar w:fldCharType="begin"/>
      </w:r>
      <w:r w:rsidRPr="003D1E07">
        <w:instrText xml:space="preserve"> XE "Avicenna:</w:instrText>
      </w:r>
      <w:r w:rsidRPr="003D1E07">
        <w:rPr>
          <w:i/>
        </w:rPr>
        <w:instrText>Liber de philosophia prima</w:instrText>
      </w:r>
      <w:r w:rsidRPr="003D1E07">
        <w:instrText xml:space="preserve"> 481.50–51" </w:instrText>
      </w:r>
      <w:r w:rsidRPr="003D1E07">
        <w:rPr>
          <w:i/>
        </w:rPr>
        <w:fldChar w:fldCharType="end"/>
      </w:r>
      <w:r w:rsidRPr="003D1E07">
        <w:t>)</w:t>
      </w:r>
      <w:r w:rsidRPr="003D1E07">
        <w:rPr>
          <w:rStyle w:val="Zvraznn"/>
          <w:i w:val="0"/>
        </w:rPr>
        <w:t>. Ontologicky n</w:t>
      </w:r>
      <w:r w:rsidRPr="003D1E07">
        <w:t>eutrální a mimočasová mnohost transcendentálních predikací jsoucna preexistuje v boží intencionalitě jako formálně určená potence</w:t>
      </w:r>
      <w:r w:rsidR="00AA2EAD">
        <w:t xml:space="preserve"> </w:t>
      </w:r>
      <w:r w:rsidR="00AA2EAD">
        <w:rPr>
          <w:noProof w:val="0"/>
          <w:lang w:val="fr-FR" w:eastAsia="en-US"/>
        </w:rPr>
        <w:t>(</w:t>
      </w:r>
      <w:r w:rsidR="00AA2EAD">
        <w:rPr>
          <w:i/>
          <w:noProof w:val="0"/>
          <w:lang w:val="fr-FR" w:eastAsia="en-US"/>
        </w:rPr>
        <w:t>individuum</w:t>
      </w:r>
      <w:r w:rsidR="00AA2EAD">
        <w:rPr>
          <w:noProof w:val="0"/>
          <w:lang w:val="fr-FR" w:eastAsia="en-US"/>
        </w:rPr>
        <w:t>)</w:t>
      </w:r>
      <w:r w:rsidRPr="003D1E07">
        <w:t>. Archetypická minimální jsoucnost je dána čistě negativním určením substance</w:t>
      </w:r>
      <w:r w:rsidRPr="003D1E07">
        <w:fldChar w:fldCharType="begin"/>
      </w:r>
      <w:r w:rsidRPr="003D1E07">
        <w:instrText xml:space="preserve"> XE "substance:nihilismus" </w:instrText>
      </w:r>
      <w:r w:rsidRPr="003D1E07">
        <w:fldChar w:fldCharType="end"/>
      </w:r>
      <w:r w:rsidR="08751FE6" w:rsidRPr="003D1E07">
        <w:t xml:space="preserve"> </w:t>
      </w:r>
      <w:r w:rsidR="000E5E80">
        <w:t>„</w:t>
      </w:r>
      <w:r w:rsidR="08751FE6" w:rsidRPr="003D1E07">
        <w:t>být něčím</w:t>
      </w:r>
      <w:r w:rsidR="000E5E80">
        <w:t xml:space="preserve">“ </w:t>
      </w:r>
      <w:r w:rsidR="000E5E80">
        <w:rPr>
          <w:noProof w:val="0"/>
          <w:lang w:val="fr-FR" w:eastAsia="en-US"/>
        </w:rPr>
        <w:t>(</w:t>
      </w:r>
      <w:r w:rsidR="000E5E80">
        <w:rPr>
          <w:i/>
          <w:noProof w:val="0"/>
          <w:lang w:val="fr-FR" w:eastAsia="en-US"/>
        </w:rPr>
        <w:t>unum</w:t>
      </w:r>
      <w:r w:rsidR="000E5E80">
        <w:rPr>
          <w:noProof w:val="0"/>
          <w:lang w:val="fr-FR" w:eastAsia="en-US"/>
        </w:rPr>
        <w:t xml:space="preserve">, </w:t>
      </w:r>
      <w:r w:rsidR="000E5E80">
        <w:rPr>
          <w:i/>
          <w:noProof w:val="0"/>
          <w:lang w:val="fr-FR" w:eastAsia="en-US"/>
        </w:rPr>
        <w:t>res</w:t>
      </w:r>
      <w:r w:rsidR="000E5E80">
        <w:rPr>
          <w:noProof w:val="0"/>
          <w:lang w:val="fr-FR" w:eastAsia="en-US"/>
        </w:rPr>
        <w:t>)</w:t>
      </w:r>
      <w:r w:rsidR="08751FE6" w:rsidRPr="003D1E07">
        <w:t xml:space="preserve"> mimo nicotu</w:t>
      </w:r>
      <w:r w:rsidRPr="003D1E07">
        <w:t xml:space="preserve">. Intence v boží </w:t>
      </w:r>
      <w:r w:rsidR="00217DDE" w:rsidRPr="003D1E07">
        <w:t xml:space="preserve">mysli </w:t>
      </w:r>
      <w:r w:rsidRPr="003D1E07">
        <w:t>nemůže být substancí, protože to by způsobilo nepřijatelnou subsistentní mnohost v čistém Jednom. Boží intence z hlediska substanciálního bytí neexistuje, a zároveň preexistuje jako</w:t>
      </w:r>
      <w:r w:rsidR="08751FE6" w:rsidRPr="003D1E07">
        <w:t xml:space="preserve"> intencionálně daná</w:t>
      </w:r>
      <w:r w:rsidRPr="003D1E07">
        <w:t xml:space="preserve"> možnost bytí stvořené substance</w:t>
      </w:r>
      <w:r w:rsidR="00155057" w:rsidRPr="003D1E07">
        <w:t xml:space="preserve"> v boží mysli</w:t>
      </w:r>
      <w:r w:rsidRPr="003D1E07">
        <w:t xml:space="preserve">. </w:t>
      </w:r>
      <w:r w:rsidR="0031429E" w:rsidRPr="003D1E07">
        <w:t>Avicenna vytvořil po Ibn Ádím novou verzi pro</w:t>
      </w:r>
      <w:r w:rsidR="008167CC" w:rsidRPr="003D1E07">
        <w:t>hyp</w:t>
      </w:r>
      <w:r w:rsidR="0031429E" w:rsidRPr="003D1E07">
        <w:t>archického</w:t>
      </w:r>
      <w:r w:rsidR="0031429E" w:rsidRPr="003D1E07">
        <w:fldChar w:fldCharType="begin"/>
      </w:r>
      <w:r w:rsidR="0031429E" w:rsidRPr="003D1E07">
        <w:instrText xml:space="preserve"> XE "</w:instrText>
      </w:r>
      <w:r w:rsidR="00503C55" w:rsidRPr="003D1E07">
        <w:instrText>predikace:prohyparchická</w:instrText>
      </w:r>
      <w:r w:rsidR="0031429E" w:rsidRPr="003D1E07">
        <w:instrText xml:space="preserve">" </w:instrText>
      </w:r>
      <w:r w:rsidR="0031429E" w:rsidRPr="003D1E07">
        <w:fldChar w:fldCharType="end"/>
      </w:r>
      <w:r w:rsidR="0031429E" w:rsidRPr="003D1E07">
        <w:t xml:space="preserve"> bytí Jednoho, kterou měl </w:t>
      </w:r>
      <w:r w:rsidR="00BB45B1" w:rsidRPr="003D1E07">
        <w:t>Porfyri</w:t>
      </w:r>
      <w:r w:rsidR="00FF2D04" w:rsidRPr="003D1E07">
        <w:t>us</w:t>
      </w:r>
      <w:r w:rsidR="0031429E" w:rsidRPr="003D1E07">
        <w:t xml:space="preserve">. </w:t>
      </w:r>
      <w:r w:rsidR="08D93C60" w:rsidRPr="003D1E07">
        <w:t xml:space="preserve">Perský myslitel vnesl </w:t>
      </w:r>
      <w:r w:rsidR="002C2F50" w:rsidRPr="003D1E07">
        <w:t xml:space="preserve">pluralitu do </w:t>
      </w:r>
      <w:r w:rsidR="002C2F50" w:rsidRPr="003D1E07">
        <w:lastRenderedPageBreak/>
        <w:t>p</w:t>
      </w:r>
      <w:r w:rsidR="08D93C60" w:rsidRPr="003D1E07">
        <w:t xml:space="preserve">rvního bytí, ale jinak než </w:t>
      </w:r>
      <w:r w:rsidR="00D16056">
        <w:t xml:space="preserve">neoplatonský </w:t>
      </w:r>
      <w:r w:rsidR="08D93C60" w:rsidRPr="003D1E07">
        <w:t>Porfyrius</w:t>
      </w:r>
      <w:r w:rsidR="08D93C60" w:rsidRPr="003D1E07">
        <w:fldChar w:fldCharType="begin"/>
      </w:r>
      <w:r w:rsidR="08D93C60" w:rsidRPr="003D1E07">
        <w:instrText xml:space="preserve"> XE "</w:instrText>
      </w:r>
      <w:r w:rsidR="088B254C" w:rsidRPr="003D1E07">
        <w:instrText>Porfyrius</w:instrText>
      </w:r>
      <w:r w:rsidR="08D93C60" w:rsidRPr="003D1E07">
        <w:instrText xml:space="preserve">" </w:instrText>
      </w:r>
      <w:r w:rsidR="08D93C60" w:rsidRPr="003D1E07">
        <w:fldChar w:fldCharType="end"/>
      </w:r>
      <w:r w:rsidR="08D93C60" w:rsidRPr="003D1E07">
        <w:t xml:space="preserve">. </w:t>
      </w:r>
      <w:r w:rsidR="00FF2D04" w:rsidRPr="003D1E07">
        <w:t xml:space="preserve">Jeho </w:t>
      </w:r>
      <w:r w:rsidR="08D93C60" w:rsidRPr="003D1E07">
        <w:t xml:space="preserve">emanační rozvrh </w:t>
      </w:r>
      <w:r w:rsidR="00FF5EC4" w:rsidRPr="003D1E07">
        <w:t xml:space="preserve">měl dvojí podobu. </w:t>
      </w:r>
      <w:r w:rsidR="00CB6BCF" w:rsidRPr="003D1E07">
        <w:t>B</w:t>
      </w:r>
      <w:r w:rsidR="08D93C60" w:rsidRPr="003D1E07">
        <w:t>ytí</w:t>
      </w:r>
      <w:r w:rsidR="00CB6BCF" w:rsidRPr="003D1E07">
        <w:t xml:space="preserve">-Jedno </w:t>
      </w:r>
      <w:r w:rsidR="08D93C60" w:rsidRPr="003D1E07">
        <w:t xml:space="preserve">díky své aktualitě </w:t>
      </w:r>
      <w:r w:rsidR="00CB6BCF" w:rsidRPr="003D1E07">
        <w:t xml:space="preserve">existence zakládá </w:t>
      </w:r>
      <w:r w:rsidR="08D93C60" w:rsidRPr="003D1E07">
        <w:t xml:space="preserve">celek jsoucna a zároveň </w:t>
      </w:r>
      <w:r w:rsidR="00CB6BCF" w:rsidRPr="003D1E07">
        <w:t xml:space="preserve">díky své reflexivitě </w:t>
      </w:r>
      <w:r w:rsidR="08D93C60" w:rsidRPr="003D1E07">
        <w:t>bytuje jako oddělená idea Jednoho</w:t>
      </w:r>
      <w:r w:rsidR="08AF6B7D" w:rsidRPr="003D1E07">
        <w:t xml:space="preserve"> (kap. 1.3</w:t>
      </w:r>
      <w:r w:rsidR="08D93C60" w:rsidRPr="003D1E07">
        <w:t xml:space="preserve">.1). </w:t>
      </w:r>
      <w:r w:rsidR="08D93C60" w:rsidRPr="003D1E07">
        <w:rPr>
          <w:rStyle w:val="FontStyle129"/>
          <w:rFonts w:ascii="Calibri" w:hAnsi="Calibri"/>
          <w:sz w:val="24"/>
        </w:rPr>
        <w:t>A</w:t>
      </w:r>
      <w:r w:rsidR="08D93C60" w:rsidRPr="003D1E07">
        <w:t xml:space="preserve">vicenna považuje Porfyriovo pojetí božího intelektu za chybné, viz jeho tvrdá kritika týrského filosofa v </w:t>
      </w:r>
      <w:r w:rsidR="08D93C60" w:rsidRPr="003D1E07">
        <w:rPr>
          <w:i/>
        </w:rPr>
        <w:t>Metafyzice</w:t>
      </w:r>
      <w:r w:rsidR="08D93C60" w:rsidRPr="003D1E07">
        <w:t xml:space="preserve"> </w:t>
      </w:r>
      <w:r w:rsidR="08D93C60" w:rsidRPr="003D1E07">
        <w:rPr>
          <w:i/>
        </w:rPr>
        <w:t>al-Šifá</w:t>
      </w:r>
      <w:r w:rsidR="08D93C60" w:rsidRPr="003D1E07">
        <w:t xml:space="preserve"> a hlavně v díle </w:t>
      </w:r>
      <w:r w:rsidR="08D93C60" w:rsidRPr="003D1E07">
        <w:rPr>
          <w:i/>
        </w:rPr>
        <w:t>Al-Isharat wa'l-tanbihat</w:t>
      </w:r>
      <w:r w:rsidR="08D93C60" w:rsidRPr="003D1E07">
        <w:t xml:space="preserve"> (</w:t>
      </w:r>
      <w:r w:rsidR="08D93C60" w:rsidRPr="003D1E07">
        <w:rPr>
          <w:rStyle w:val="st"/>
        </w:rPr>
        <w:t>Finnegan 1956</w:t>
      </w:r>
      <w:r w:rsidR="08D93C60" w:rsidRPr="003D1E07">
        <w:t xml:space="preserve">). Celkovou </w:t>
      </w:r>
      <w:r w:rsidR="00EB0030">
        <w:t xml:space="preserve">novou </w:t>
      </w:r>
      <w:r w:rsidR="08D93C60" w:rsidRPr="003D1E07">
        <w:t xml:space="preserve">architekturu jsoucna nakonec představuje </w:t>
      </w:r>
      <w:r w:rsidR="08D93C60" w:rsidRPr="003D1E07">
        <w:rPr>
          <w:i/>
        </w:rPr>
        <w:t>Metafyzika</w:t>
      </w:r>
      <w:r w:rsidR="08D93C60" w:rsidRPr="003D1E07">
        <w:t xml:space="preserve"> </w:t>
      </w:r>
      <w:r w:rsidR="08D93C60" w:rsidRPr="003D1E07">
        <w:rPr>
          <w:i/>
        </w:rPr>
        <w:t>al-Šifá</w:t>
      </w:r>
      <w:r w:rsidR="08D93C60" w:rsidRPr="003D1E07">
        <w:t>, která odmítla scénář emanace a nahradila jej aristotelským pohybem v rámci stvořitelské aktuality a potence. Ale neoplatonská forma intelektu přesto zůstala v celkové architektuře nové ontoteologie</w:t>
      </w:r>
      <w:r w:rsidR="08D93C60" w:rsidRPr="003D1E07">
        <w:fldChar w:fldCharType="begin"/>
      </w:r>
      <w:r w:rsidR="08D93C60" w:rsidRPr="003D1E07">
        <w:instrText xml:space="preserve"> XE "ontoteologie:Avicenna" </w:instrText>
      </w:r>
      <w:r w:rsidR="08D93C60" w:rsidRPr="003D1E07">
        <w:fldChar w:fldCharType="end"/>
      </w:r>
      <w:r w:rsidR="08D93C60" w:rsidRPr="003D1E07">
        <w:t xml:space="preserve">. </w:t>
      </w:r>
      <w:r w:rsidR="005A004D" w:rsidRPr="003D1E07">
        <w:t>Ibn Ádí vytvořil nové pojetí božího intelektu v trinitární podobě</w:t>
      </w:r>
      <w:r w:rsidR="00862811">
        <w:t xml:space="preserve">, což Avicenna </w:t>
      </w:r>
      <w:r w:rsidR="005F69BD">
        <w:t>adaptoval na novou formu metafyziky</w:t>
      </w:r>
      <w:r w:rsidR="005A004D" w:rsidRPr="003D1E07">
        <w:t xml:space="preserve">. </w:t>
      </w:r>
      <w:r w:rsidR="08D93C60" w:rsidRPr="003D1E07">
        <w:rPr>
          <w:rStyle w:val="FontStyle129"/>
          <w:rFonts w:ascii="Calibri" w:hAnsi="Calibri"/>
          <w:sz w:val="24"/>
        </w:rPr>
        <w:t>Porfyriovo zdvojení bytí</w:t>
      </w:r>
      <w:r w:rsidR="08D93C60" w:rsidRPr="003D1E07">
        <w:rPr>
          <w:rStyle w:val="FontStyle129"/>
          <w:rFonts w:ascii="Calibri" w:hAnsi="Calibri"/>
          <w:sz w:val="24"/>
        </w:rPr>
        <w:fldChar w:fldCharType="begin"/>
      </w:r>
      <w:r w:rsidR="08D93C60" w:rsidRPr="003D1E07">
        <w:instrText xml:space="preserve"> XE "</w:instrText>
      </w:r>
      <w:r w:rsidR="08D93C60" w:rsidRPr="003D1E07">
        <w:rPr>
          <w:rStyle w:val="FontStyle129"/>
          <w:rFonts w:ascii="Calibri" w:hAnsi="Calibri"/>
          <w:sz w:val="24"/>
        </w:rPr>
        <w:instrText>zdvojení bytí</w:instrText>
      </w:r>
      <w:r w:rsidR="08D93C60" w:rsidRPr="003D1E07">
        <w:instrText xml:space="preserve">" </w:instrText>
      </w:r>
      <w:r w:rsidR="08D93C60" w:rsidRPr="003D1E07">
        <w:rPr>
          <w:rStyle w:val="FontStyle129"/>
          <w:rFonts w:ascii="Calibri" w:hAnsi="Calibri"/>
          <w:sz w:val="24"/>
        </w:rPr>
        <w:fldChar w:fldCharType="end"/>
      </w:r>
      <w:r w:rsidR="08D93C60" w:rsidRPr="003D1E07">
        <w:rPr>
          <w:rStyle w:val="FontStyle129"/>
          <w:rFonts w:ascii="Calibri" w:hAnsi="Calibri"/>
          <w:sz w:val="24"/>
        </w:rPr>
        <w:t xml:space="preserve"> dostalo u Avicenny radikálně nový obsah napojením na Aristotelovu diferenci mezi potencí a aktualitou. </w:t>
      </w:r>
      <w:r w:rsidR="08D93C60" w:rsidRPr="003D1E07">
        <w:t>Uvnitř boha jako jedné nutné esence vznik</w:t>
      </w:r>
      <w:r w:rsidR="00325B2D" w:rsidRPr="003D1E07">
        <w:t xml:space="preserve">ly </w:t>
      </w:r>
      <w:r w:rsidR="08D93C60" w:rsidRPr="003D1E07">
        <w:t>diference specifickým zaměřením mysli na tu či onu formální esenci danou intencionálně v boží mysli</w:t>
      </w:r>
      <w:r w:rsidR="007E6BB8">
        <w:t xml:space="preserve"> </w:t>
      </w:r>
      <w:r w:rsidR="007E6BB8">
        <w:rPr>
          <w:noProof w:val="0"/>
          <w:lang w:val="fr-FR" w:eastAsia="en-US"/>
        </w:rPr>
        <w:t>(</w:t>
      </w:r>
      <w:r w:rsidR="007E6BB8">
        <w:rPr>
          <w:i/>
          <w:noProof w:val="0"/>
          <w:lang w:val="fr-FR" w:eastAsia="en-US"/>
        </w:rPr>
        <w:t>esse ad</w:t>
      </w:r>
      <w:r w:rsidR="007E6BB8">
        <w:rPr>
          <w:i/>
          <w:noProof w:val="0"/>
          <w:lang w:val="fr-FR" w:eastAsia="en-US"/>
        </w:rPr>
        <w:fldChar w:fldCharType="begin"/>
      </w:r>
      <w:r w:rsidR="007E6BB8">
        <w:instrText xml:space="preserve"> XE "</w:instrText>
      </w:r>
      <w:r w:rsidR="007E6BB8">
        <w:rPr>
          <w:i/>
          <w:noProof w:val="0"/>
          <w:lang w:val="fr-FR" w:eastAsia="en-US"/>
        </w:rPr>
        <w:instrText>esse ad</w:instrText>
      </w:r>
      <w:r w:rsidR="007E6BB8">
        <w:instrText xml:space="preserve">" </w:instrText>
      </w:r>
      <w:r w:rsidR="007E6BB8">
        <w:rPr>
          <w:i/>
          <w:noProof w:val="0"/>
          <w:lang w:val="fr-FR" w:eastAsia="en-US"/>
        </w:rPr>
        <w:fldChar w:fldCharType="end"/>
      </w:r>
      <w:r w:rsidR="007E6BB8">
        <w:rPr>
          <w:noProof w:val="0"/>
          <w:lang w:val="fr-FR" w:eastAsia="en-US"/>
        </w:rPr>
        <w:t>)</w:t>
      </w:r>
      <w:r w:rsidR="00325B2D" w:rsidRPr="003D1E07">
        <w:t xml:space="preserve">. </w:t>
      </w:r>
      <w:r w:rsidR="08D93C60" w:rsidRPr="003D1E07">
        <w:t xml:space="preserve"> </w:t>
      </w:r>
      <w:r w:rsidR="009B0DA8" w:rsidRPr="003D1E07">
        <w:t xml:space="preserve">Moderní metafyzika změnila </w:t>
      </w:r>
      <w:r w:rsidR="00011066">
        <w:t>monoteistického B</w:t>
      </w:r>
      <w:r w:rsidR="009B0DA8" w:rsidRPr="003D1E07">
        <w:t xml:space="preserve">oha na objektivní </w:t>
      </w:r>
      <w:r w:rsidR="00613678" w:rsidRPr="003D1E07">
        <w:rPr>
          <w:lang w:eastAsia="en-US"/>
        </w:rPr>
        <w:t>antropomor</w:t>
      </w:r>
      <w:r w:rsidR="0050637D" w:rsidRPr="003D1E07">
        <w:rPr>
          <w:lang w:eastAsia="en-US"/>
        </w:rPr>
        <w:t xml:space="preserve">fické </w:t>
      </w:r>
      <w:r w:rsidR="009B0DA8" w:rsidRPr="003D1E07">
        <w:t xml:space="preserve">simulákrum, což byl </w:t>
      </w:r>
      <w:r w:rsidR="009B0DA8" w:rsidRPr="003D1E07">
        <w:fldChar w:fldCharType="begin"/>
      </w:r>
      <w:r w:rsidR="009B0DA8" w:rsidRPr="003D1E07">
        <w:instrText xml:space="preserve"> XE "smrt boha" </w:instrText>
      </w:r>
      <w:r w:rsidR="009B0DA8" w:rsidRPr="003D1E07">
        <w:fldChar w:fldCharType="end"/>
      </w:r>
      <w:r w:rsidR="009B0DA8" w:rsidRPr="003D1E07">
        <w:t xml:space="preserve">zásadní omyl neoplatonské falsafy. </w:t>
      </w:r>
      <w:r w:rsidR="08D93C60" w:rsidRPr="003D1E07">
        <w:t xml:space="preserve">Koncept </w:t>
      </w:r>
      <w:r w:rsidR="004E5CBC">
        <w:t>„</w:t>
      </w:r>
      <w:r w:rsidR="08D93C60" w:rsidRPr="003D1E07">
        <w:t>koňovitosti</w:t>
      </w:r>
      <w:r w:rsidR="004E5CBC">
        <w:t>“</w:t>
      </w:r>
      <w:r w:rsidR="08D93C60" w:rsidRPr="003D1E07">
        <w:t xml:space="preserve"> ukázal, že tato intence obsahuje minimální porci jsoucnosti, jistoty a tím i vlastní identity, která odlišuje tento obsah boží</w:t>
      </w:r>
      <w:r w:rsidR="00E20D92" w:rsidRPr="003D1E07">
        <w:t xml:space="preserve"> mysli od jiné takto vytvořené entity</w:t>
      </w:r>
      <w:r w:rsidR="08D93C60" w:rsidRPr="003D1E07">
        <w:t>. Aristotelik Algazel a Averroes odmítli zavést intencionalitu do boha tímto antropocentrickým způsobem</w:t>
      </w:r>
      <w:r w:rsidR="00FD1928">
        <w:t>. První substance a v První kauza definovaná</w:t>
      </w:r>
      <w:r w:rsidR="08D93C60" w:rsidRPr="003D1E07">
        <w:t xml:space="preserve"> </w:t>
      </w:r>
      <w:r w:rsidR="08D93C60" w:rsidRPr="003D1E07">
        <w:rPr>
          <w:i/>
        </w:rPr>
        <w:t>Metafyzikou Lambda</w:t>
      </w:r>
      <w:r w:rsidR="00FD1928">
        <w:t xml:space="preserve"> nemůže obsahovat</w:t>
      </w:r>
      <w:r w:rsidR="08D93C60" w:rsidRPr="003D1E07">
        <w:t xml:space="preserve"> nic potenciálního. Avicenna zrušil schéma kauzality vztažené k bytí Ar</w:t>
      </w:r>
      <w:r w:rsidR="004E5CBC">
        <w:t xml:space="preserve">istotelova Nehybného hybatele. Jeho </w:t>
      </w:r>
      <w:r w:rsidR="08D93C60" w:rsidRPr="003D1E07">
        <w:t xml:space="preserve">moderní bůh se stal </w:t>
      </w:r>
      <w:r w:rsidR="004E5CBC">
        <w:t xml:space="preserve">objektivním </w:t>
      </w:r>
      <w:r w:rsidR="08D93C60" w:rsidRPr="003D1E07">
        <w:t xml:space="preserve">Jedním a Mnohým. </w:t>
      </w:r>
      <w:r w:rsidRPr="003D1E07">
        <w:t>Popřením princip</w:t>
      </w:r>
      <w:r w:rsidR="08751FE6" w:rsidRPr="003D1E07">
        <w:t xml:space="preserve">u vyloučeného třetího vzniklo v boží mysli </w:t>
      </w:r>
      <w:r w:rsidRPr="003D1E07">
        <w:t xml:space="preserve">nové </w:t>
      </w:r>
      <w:r w:rsidRPr="003D1E07">
        <w:rPr>
          <w:i/>
        </w:rPr>
        <w:t>tertium ens</w:t>
      </w:r>
      <w:r w:rsidRPr="003D1E07">
        <w:t>, které latinská scholastika nazve termínem „minimální jsoucno“ (</w:t>
      </w:r>
      <w:r w:rsidRPr="003D1E07">
        <w:rPr>
          <w:i/>
        </w:rPr>
        <w:t>ens diminutum</w:t>
      </w:r>
      <w:r w:rsidRPr="003D1E07">
        <w:rPr>
          <w:rStyle w:val="Zvraznn"/>
          <w:i w:val="0"/>
        </w:rPr>
        <w:fldChar w:fldCharType="begin"/>
      </w:r>
      <w:r w:rsidRPr="003D1E07">
        <w:instrText xml:space="preserve"> XE "</w:instrText>
      </w:r>
      <w:r w:rsidRPr="003D1E07">
        <w:rPr>
          <w:i/>
        </w:rPr>
        <w:instrText>ens diminutum</w:instrText>
      </w:r>
      <w:r w:rsidRPr="003D1E07">
        <w:instrText xml:space="preserve">" </w:instrText>
      </w:r>
      <w:r w:rsidRPr="003D1E07">
        <w:rPr>
          <w:rStyle w:val="Zvraznn"/>
          <w:i w:val="0"/>
        </w:rPr>
        <w:fldChar w:fldCharType="end"/>
      </w:r>
      <w:r w:rsidRPr="003D1E07">
        <w:rPr>
          <w:rStyle w:val="Zvraznn"/>
          <w:i w:val="0"/>
        </w:rPr>
        <w:t>)</w:t>
      </w:r>
      <w:r w:rsidRPr="003D1E07">
        <w:t xml:space="preserve">. Výklad komentáře k </w:t>
      </w:r>
      <w:r w:rsidRPr="003D1E07">
        <w:rPr>
          <w:i/>
        </w:rPr>
        <w:t>De anima</w:t>
      </w:r>
      <w:r w:rsidR="003E098C" w:rsidRPr="003D1E07">
        <w:t xml:space="preserve"> a </w:t>
      </w:r>
      <w:r w:rsidR="003E098C" w:rsidRPr="003D1E07">
        <w:rPr>
          <w:i/>
        </w:rPr>
        <w:t>M</w:t>
      </w:r>
      <w:r w:rsidRPr="003D1E07">
        <w:rPr>
          <w:i/>
        </w:rPr>
        <w:t>etafyziky</w:t>
      </w:r>
      <w:r w:rsidRPr="003D1E07">
        <w:t xml:space="preserve"> </w:t>
      </w:r>
      <w:r w:rsidRPr="003D1E07">
        <w:rPr>
          <w:i/>
        </w:rPr>
        <w:t>al-Šifá</w:t>
      </w:r>
      <w:r w:rsidRPr="003D1E07">
        <w:t xml:space="preserve"> ukázal, že objektivní bytí jsoucna vzniká díky novému náhledu daného v podobě gnostické iluminace. </w:t>
      </w:r>
      <w:r w:rsidR="08E30EAE" w:rsidRPr="003D1E07">
        <w:t>Formální podobnost lidského a božského procesu poznání konstatoval Ibn Ádí (kap. 2.2)</w:t>
      </w:r>
      <w:r w:rsidR="00B04C39">
        <w:t>, ale pouze z lidské strany jako analogii</w:t>
      </w:r>
      <w:r w:rsidR="08E30EAE" w:rsidRPr="003D1E07">
        <w:t xml:space="preserve">. </w:t>
      </w:r>
      <w:r w:rsidR="00B04C39">
        <w:t xml:space="preserve">Avicenna udělal z analogie objektivní identitu. </w:t>
      </w:r>
      <w:r w:rsidR="0882203E" w:rsidRPr="003D1E07">
        <w:t>Co vidí bůh u sebe ve vlastní stvořitelské reflexi, to vidí i jeho osvícený objektivní služebník Avicenna, zejména díky prorockým snům. Aktuální poznání na úrovni pozemské</w:t>
      </w:r>
      <w:r w:rsidR="08373F09" w:rsidRPr="003D1E07">
        <w:t xml:space="preserve"> formy je převedeno do formálního </w:t>
      </w:r>
      <w:r w:rsidR="0882203E" w:rsidRPr="003D1E07">
        <w:t>poznání duše na úrovni čisté jsoucnosti postavené mimo univoční formy substanciální predikace (</w:t>
      </w:r>
      <w:r w:rsidR="0882203E" w:rsidRPr="003D1E07">
        <w:rPr>
          <w:i/>
        </w:rPr>
        <w:t>hoc esse est tantum</w:t>
      </w:r>
      <w:r w:rsidR="082A00C2" w:rsidRPr="003D1E07">
        <w:rPr>
          <w:i/>
        </w:rPr>
        <w:fldChar w:fldCharType="begin"/>
      </w:r>
      <w:r w:rsidR="082A00C2" w:rsidRPr="003D1E07">
        <w:instrText xml:space="preserve"> XE "</w:instrText>
      </w:r>
      <w:r w:rsidR="082A00C2" w:rsidRPr="003D1E07">
        <w:rPr>
          <w:rStyle w:val="FontStyle129"/>
          <w:rFonts w:ascii="Calibri" w:hAnsi="Calibri"/>
          <w:i/>
          <w:sz w:val="24"/>
        </w:rPr>
        <w:instrText>tantum esse</w:instrText>
      </w:r>
      <w:r w:rsidR="082A00C2" w:rsidRPr="003D1E07">
        <w:instrText xml:space="preserve">" </w:instrText>
      </w:r>
      <w:r w:rsidR="082A00C2" w:rsidRPr="003D1E07">
        <w:rPr>
          <w:i/>
        </w:rPr>
        <w:fldChar w:fldCharType="end"/>
      </w:r>
      <w:r w:rsidR="0882203E" w:rsidRPr="003D1E07">
        <w:t>). Toto čisté jsoucno je nazírané v duši skrze akt iluminace prováděné směr</w:t>
      </w:r>
      <w:r w:rsidR="00244C75">
        <w:t>em od činného božího intelektu.</w:t>
      </w:r>
    </w:p>
    <w:p w14:paraId="6EE64286" w14:textId="4E890C11" w:rsidR="00A75C87" w:rsidRPr="003D1E07" w:rsidRDefault="00F647AE" w:rsidP="00470328">
      <w:pPr>
        <w:ind w:firstLine="397"/>
      </w:pPr>
      <w:r w:rsidRPr="003D1E07">
        <w:lastRenderedPageBreak/>
        <w:t>P</w:t>
      </w:r>
      <w:r w:rsidR="00A75C87" w:rsidRPr="003D1E07">
        <w:t>rvní věda</w:t>
      </w:r>
      <w:r w:rsidR="00A75C87" w:rsidRPr="003D1E07">
        <w:fldChar w:fldCharType="begin"/>
      </w:r>
      <w:r w:rsidR="00A75C87" w:rsidRPr="003D1E07">
        <w:instrText xml:space="preserve"> XE "metafyzika:první věda" </w:instrText>
      </w:r>
      <w:r w:rsidR="00A75C87" w:rsidRPr="003D1E07">
        <w:fldChar w:fldCharType="end"/>
      </w:r>
      <w:r w:rsidR="00A75C87" w:rsidRPr="003D1E07">
        <w:t xml:space="preserve"> o </w:t>
      </w:r>
      <w:r w:rsidR="08D63F82" w:rsidRPr="003D1E07">
        <w:t xml:space="preserve">objektivním </w:t>
      </w:r>
      <w:r w:rsidR="00A75C87" w:rsidRPr="003D1E07">
        <w:t>jsoucnu je založena na bytí jsoucna</w:t>
      </w:r>
      <w:r w:rsidR="0030417A" w:rsidRPr="003D1E07">
        <w:t xml:space="preserve"> </w:t>
      </w:r>
      <w:r w:rsidR="00A75C87" w:rsidRPr="003D1E07">
        <w:t>pojaté</w:t>
      </w:r>
      <w:r w:rsidR="0030417A" w:rsidRPr="003D1E07">
        <w:t xml:space="preserve">ho </w:t>
      </w:r>
      <w:r w:rsidR="00A75C87" w:rsidRPr="003D1E07">
        <w:t xml:space="preserve">v absolutní </w:t>
      </w:r>
      <w:r w:rsidR="0040107B" w:rsidRPr="003D1E07">
        <w:t xml:space="preserve">simplicitě. </w:t>
      </w:r>
      <w:r w:rsidR="00A75C87" w:rsidRPr="003D1E07">
        <w:t xml:space="preserve">Demiurgický intelekt nazírá </w:t>
      </w:r>
      <w:r w:rsidR="00586A38" w:rsidRPr="003D1E07">
        <w:t>své intence v aktu sebereflexe. Tato osvícená aktuální přítomnost vědění</w:t>
      </w:r>
      <w:r w:rsidR="00A75C87" w:rsidRPr="003D1E07">
        <w:t xml:space="preserve"> (παρουσία</w:t>
      </w:r>
      <w:r w:rsidR="00A75C87" w:rsidRPr="003D1E07">
        <w:fldChar w:fldCharType="begin"/>
      </w:r>
      <w:r w:rsidR="00A75C87" w:rsidRPr="003D1E07">
        <w:instrText xml:space="preserve"> XE "substance:</w:instrText>
      </w:r>
      <w:r w:rsidR="00A75C87" w:rsidRPr="003D1E07">
        <w:rPr>
          <w:i/>
        </w:rPr>
        <w:instrText>parousía</w:instrText>
      </w:r>
      <w:r w:rsidR="00A75C87" w:rsidRPr="003D1E07">
        <w:instrText xml:space="preserve">" </w:instrText>
      </w:r>
      <w:r w:rsidR="00A75C87" w:rsidRPr="003D1E07">
        <w:fldChar w:fldCharType="end"/>
      </w:r>
      <w:r w:rsidR="00E26AD5" w:rsidRPr="003D1E07">
        <w:t xml:space="preserve">) </w:t>
      </w:r>
      <w:r w:rsidR="00586A38" w:rsidRPr="003D1E07">
        <w:t xml:space="preserve">tvoří </w:t>
      </w:r>
      <w:r w:rsidR="00A75C87" w:rsidRPr="003D1E07">
        <w:t xml:space="preserve">metafyzický základ budoucího stvoření. </w:t>
      </w:r>
      <w:r w:rsidR="003315C9" w:rsidRPr="003D1E07">
        <w:t>Objektivně pojatá ontoteologie dokonala z</w:t>
      </w:r>
      <w:r w:rsidR="00A75C87" w:rsidRPr="003D1E07">
        <w:t xml:space="preserve">atmění první </w:t>
      </w:r>
      <w:r w:rsidR="003315C9" w:rsidRPr="003D1E07">
        <w:t>substance</w:t>
      </w:r>
      <w:r w:rsidR="00A75C87" w:rsidRPr="003D1E07">
        <w:t xml:space="preserve">. Aristotelská </w:t>
      </w:r>
      <w:r w:rsidR="003315C9" w:rsidRPr="003D1E07">
        <w:rPr>
          <w:i/>
        </w:rPr>
        <w:t>ou</w:t>
      </w:r>
      <w:r w:rsidR="08B46B78" w:rsidRPr="003D1E07">
        <w:rPr>
          <w:i/>
        </w:rPr>
        <w:t>sía</w:t>
      </w:r>
      <w:r w:rsidR="084404A1" w:rsidRPr="003D1E07">
        <w:t xml:space="preserve"> se skrze</w:t>
      </w:r>
      <w:r w:rsidR="00A75C87" w:rsidRPr="003D1E07">
        <w:t xml:space="preserve"> proces demiurgické antropomorfizace stává parusií správnosti a univerzální rovnosti všeho se vším v modu </w:t>
      </w:r>
      <w:r w:rsidR="00A75C87" w:rsidRPr="003D1E07">
        <w:rPr>
          <w:i/>
        </w:rPr>
        <w:t>ens inquantum ens</w:t>
      </w:r>
      <w:r w:rsidR="00A75C87" w:rsidRPr="003D1E07">
        <w:rPr>
          <w:i/>
        </w:rPr>
        <w:fldChar w:fldCharType="begin"/>
      </w:r>
      <w:r w:rsidR="00A75C87" w:rsidRPr="003D1E07">
        <w:instrText xml:space="preserve"> XE "</w:instrText>
      </w:r>
      <w:r w:rsidR="00A75C87" w:rsidRPr="003D1E07">
        <w:rPr>
          <w:i/>
        </w:rPr>
        <w:instrText>ens inquantum ens</w:instrText>
      </w:r>
      <w:r w:rsidR="00A75C87" w:rsidRPr="003D1E07">
        <w:instrText xml:space="preserve">" </w:instrText>
      </w:r>
      <w:r w:rsidR="00A75C87" w:rsidRPr="003D1E07">
        <w:rPr>
          <w:i/>
        </w:rPr>
        <w:fldChar w:fldCharType="end"/>
      </w:r>
      <w:r w:rsidR="00A75C87" w:rsidRPr="003D1E07">
        <w:t>. V takto ustavené ontoteologii</w:t>
      </w:r>
      <w:r w:rsidR="00A75C87" w:rsidRPr="003D1E07">
        <w:fldChar w:fldCharType="begin"/>
      </w:r>
      <w:r w:rsidR="00A75C87" w:rsidRPr="003D1E07">
        <w:instrText xml:space="preserve"> XE "</w:instrText>
      </w:r>
      <w:r w:rsidR="00A75C87" w:rsidRPr="003D1E07">
        <w:rPr>
          <w:rStyle w:val="addmd"/>
        </w:rPr>
        <w:instrText>ontoteologie:Avicenna</w:instrText>
      </w:r>
      <w:r w:rsidR="00A75C87" w:rsidRPr="003D1E07">
        <w:instrText xml:space="preserve">" </w:instrText>
      </w:r>
      <w:r w:rsidR="00A75C87" w:rsidRPr="003D1E07">
        <w:fldChar w:fldCharType="end"/>
      </w:r>
      <w:r w:rsidR="00A75C87" w:rsidRPr="003D1E07">
        <w:t xml:space="preserve"> vzniká nový objekt poznání daný v kvazi-formě jsoucnosti a </w:t>
      </w:r>
      <w:r w:rsidR="00422A8C" w:rsidRPr="003D1E07">
        <w:t xml:space="preserve">objektivní </w:t>
      </w:r>
      <w:r w:rsidR="00A75C87" w:rsidRPr="003D1E07">
        <w:t xml:space="preserve">identity. </w:t>
      </w:r>
      <w:r w:rsidR="00607F9E" w:rsidRPr="003D1E07">
        <w:t>Původním s</w:t>
      </w:r>
      <w:r w:rsidR="00BC5B2D" w:rsidRPr="003D1E07">
        <w:t>ubjektem</w:t>
      </w:r>
      <w:r w:rsidR="00A75C87" w:rsidRPr="003D1E07">
        <w:t>, čili aristotelsk</w:t>
      </w:r>
      <w:r w:rsidR="00BC5B2D" w:rsidRPr="003D1E07">
        <w:t>ým substrátem</w:t>
      </w:r>
      <w:r w:rsidR="00A75C87" w:rsidRPr="003D1E07">
        <w:t xml:space="preserve"> (ὑποκείμενον) tohoto </w:t>
      </w:r>
      <w:r w:rsidR="00A75C87" w:rsidRPr="003D1E07">
        <w:rPr>
          <w:i/>
        </w:rPr>
        <w:t>tertium ens</w:t>
      </w:r>
      <w:r w:rsidR="00D94C8E" w:rsidRPr="003D1E07">
        <w:t xml:space="preserve"> je sféra boží intencionality</w:t>
      </w:r>
      <w:r w:rsidR="00A75C87" w:rsidRPr="003D1E07">
        <w:rPr>
          <w:i/>
        </w:rPr>
        <w:fldChar w:fldCharType="begin"/>
      </w:r>
      <w:r w:rsidR="00A75C87" w:rsidRPr="003D1E07">
        <w:instrText xml:space="preserve"> XE "intencionalita:boží" </w:instrText>
      </w:r>
      <w:r w:rsidR="00A75C87" w:rsidRPr="003D1E07">
        <w:rPr>
          <w:i/>
        </w:rPr>
        <w:fldChar w:fldCharType="end"/>
      </w:r>
      <w:r w:rsidR="00A75C87" w:rsidRPr="003D1E07">
        <w:t xml:space="preserve">. </w:t>
      </w:r>
      <w:r w:rsidR="00A75C87" w:rsidRPr="003D1E07">
        <w:rPr>
          <w:rStyle w:val="FontStyle129"/>
          <w:rFonts w:ascii="Calibri" w:hAnsi="Calibri"/>
          <w:sz w:val="24"/>
        </w:rPr>
        <w:t xml:space="preserve">Kategorie objektivity je ustavena tím, že neexistující jsoucno postavené mimo nicotu se stalo čistým objektem boží mysli. Následně existuje </w:t>
      </w:r>
      <w:r w:rsidR="00A75C87" w:rsidRPr="003D1E07">
        <w:t>rozdíl mezi modem potenciální-komitace</w:t>
      </w:r>
      <w:r w:rsidR="00A75C87" w:rsidRPr="003D1E07">
        <w:fldChar w:fldCharType="begin"/>
      </w:r>
      <w:r w:rsidR="00A75C87" w:rsidRPr="003D1E07">
        <w:instrText xml:space="preserve"> XE "komitace" </w:instrText>
      </w:r>
      <w:r w:rsidR="00A75C87" w:rsidRPr="003D1E07">
        <w:fldChar w:fldCharType="end"/>
      </w:r>
      <w:r w:rsidR="00A75C87" w:rsidRPr="003D1E07">
        <w:t xml:space="preserve"> dané v boží mysli v podobě jsoucna třetího druhu, </w:t>
      </w:r>
      <w:r w:rsidR="00A75C87" w:rsidRPr="003D1E07">
        <w:rPr>
          <w:rStyle w:val="FontStyle129"/>
          <w:rFonts w:ascii="Calibri" w:hAnsi="Calibri"/>
          <w:sz w:val="24"/>
        </w:rPr>
        <w:t xml:space="preserve">a mezi existencí již realizované </w:t>
      </w:r>
      <w:r w:rsidR="00A75C87" w:rsidRPr="003D1E07">
        <w:t xml:space="preserve">komitace danou ve stvoření v podobě </w:t>
      </w:r>
      <w:r w:rsidR="00A7200A">
        <w:t>ir</w:t>
      </w:r>
      <w:r w:rsidR="00A75C87" w:rsidRPr="003D1E07">
        <w:t xml:space="preserve">reálné první substance. </w:t>
      </w:r>
      <w:r w:rsidR="004A1EE8" w:rsidRPr="003D1E07">
        <w:t>Opět je třeba sáhnout do systému metafyziky Ibn Ádího, který tuto přeměnu poprvé konceptualizoval skrze obranu boží inkarnace</w:t>
      </w:r>
      <w:r w:rsidR="004259B6" w:rsidRPr="003D1E07">
        <w:t xml:space="preserve"> do světa</w:t>
      </w:r>
      <w:r w:rsidR="004A1EE8" w:rsidRPr="003D1E07">
        <w:t xml:space="preserve">. </w:t>
      </w:r>
      <w:r w:rsidR="00247EB0" w:rsidRPr="00247EB0">
        <w:t xml:space="preserve">Avicenna zobecnil scénář vtělení pro každý </w:t>
      </w:r>
      <w:r w:rsidR="00247EB0">
        <w:t xml:space="preserve">intencionální </w:t>
      </w:r>
      <w:r w:rsidR="00247EB0" w:rsidRPr="00247EB0">
        <w:t xml:space="preserve">objekt </w:t>
      </w:r>
      <w:r w:rsidR="00247EB0">
        <w:t xml:space="preserve">myšlený </w:t>
      </w:r>
      <w:r w:rsidR="00247EB0" w:rsidRPr="00247EB0">
        <w:t xml:space="preserve">v božském intelektu. </w:t>
      </w:r>
      <w:r w:rsidR="00A75C87" w:rsidRPr="003D1E07">
        <w:t xml:space="preserve">Působící boží idea ve stvoření je pochopitelně aktuální </w:t>
      </w:r>
      <w:r w:rsidR="08E166B6" w:rsidRPr="003D1E07">
        <w:t>nemateriální či hylemorfickou substancí</w:t>
      </w:r>
      <w:r w:rsidR="00A75C87" w:rsidRPr="003D1E07">
        <w:t xml:space="preserve">, a proto je vždy daná </w:t>
      </w:r>
      <w:r w:rsidR="084348DB" w:rsidRPr="003D1E07">
        <w:t xml:space="preserve">reálně </w:t>
      </w:r>
      <w:r w:rsidR="00A75C87" w:rsidRPr="003D1E07">
        <w:t>v podobě vyloučeného třetího</w:t>
      </w:r>
      <w:r w:rsidR="084348DB" w:rsidRPr="003D1E07">
        <w:t>: buď existuje nebo neexistuje</w:t>
      </w:r>
      <w:r w:rsidR="00A75C87" w:rsidRPr="003D1E07">
        <w:rPr>
          <w:rStyle w:val="FontStyle129"/>
          <w:rFonts w:ascii="Calibri" w:hAnsi="Calibri"/>
          <w:sz w:val="24"/>
        </w:rPr>
        <w:t xml:space="preserve">. Potenciální pre-existence nestvořené věci v bohu nemá stejnou ontologickou valenci jako aktuální existence stvořené věci v realitě. </w:t>
      </w:r>
      <w:r w:rsidR="00736652" w:rsidRPr="003D1E07">
        <w:rPr>
          <w:rStyle w:val="FontStyle129"/>
          <w:rFonts w:ascii="Calibri" w:hAnsi="Calibri"/>
          <w:sz w:val="24"/>
        </w:rPr>
        <w:t xml:space="preserve">Objekt myšlení </w:t>
      </w:r>
      <w:r w:rsidR="00A75C87" w:rsidRPr="003D1E07">
        <w:rPr>
          <w:rStyle w:val="FontStyle129"/>
          <w:rFonts w:ascii="Calibri" w:hAnsi="Calibri"/>
          <w:sz w:val="24"/>
        </w:rPr>
        <w:t>dan</w:t>
      </w:r>
      <w:r w:rsidR="00736652" w:rsidRPr="003D1E07">
        <w:rPr>
          <w:rStyle w:val="FontStyle129"/>
          <w:rFonts w:ascii="Calibri" w:hAnsi="Calibri"/>
          <w:sz w:val="24"/>
        </w:rPr>
        <w:t xml:space="preserve">ý </w:t>
      </w:r>
      <w:r w:rsidR="00A75C87" w:rsidRPr="003D1E07">
        <w:rPr>
          <w:rStyle w:val="FontStyle129"/>
          <w:rFonts w:ascii="Calibri" w:hAnsi="Calibri"/>
          <w:sz w:val="24"/>
        </w:rPr>
        <w:t xml:space="preserve">sebereflexivně v boží mysli je současně božím subjektem, ale nesplývá s ním, protože je daný pouze intencionálně. To ukázaly termíny </w:t>
      </w:r>
      <w:r w:rsidR="00A75C87" w:rsidRPr="003D1E07">
        <w:rPr>
          <w:rStyle w:val="Zvraznn"/>
          <w:i w:val="0"/>
        </w:rPr>
        <w:t>druhé</w:t>
      </w:r>
      <w:r w:rsidR="08751FE6" w:rsidRPr="003D1E07">
        <w:rPr>
          <w:rStyle w:val="Zvraznn"/>
          <w:i w:val="0"/>
        </w:rPr>
        <w:t xml:space="preserve"> intence</w:t>
      </w:r>
      <w:r w:rsidR="00A75C87" w:rsidRPr="003D1E07">
        <w:rPr>
          <w:rStyle w:val="Zvraznn"/>
          <w:i w:val="0"/>
        </w:rPr>
        <w:t xml:space="preserve"> </w:t>
      </w:r>
      <w:r w:rsidR="00A75C87" w:rsidRPr="003D1E07">
        <w:rPr>
          <w:rStyle w:val="FontStyle129"/>
          <w:rFonts w:ascii="Calibri" w:hAnsi="Calibri"/>
          <w:sz w:val="24"/>
        </w:rPr>
        <w:t>u Al-</w:t>
      </w:r>
      <w:r w:rsidR="008E02F5" w:rsidRPr="003D1E07">
        <w:rPr>
          <w:rStyle w:val="FontStyle129"/>
          <w:rFonts w:ascii="Calibri" w:hAnsi="Calibri"/>
          <w:sz w:val="24"/>
        </w:rPr>
        <w:t>Fárábí</w:t>
      </w:r>
      <w:r w:rsidR="00A75C87" w:rsidRPr="003D1E07">
        <w:rPr>
          <w:rStyle w:val="FontStyle129"/>
          <w:rFonts w:ascii="Calibri" w:hAnsi="Calibri"/>
          <w:sz w:val="24"/>
        </w:rPr>
        <w:t xml:space="preserve">ho, nebo pojetí </w:t>
      </w:r>
      <w:r w:rsidR="00A75C87" w:rsidRPr="003D1E07">
        <w:t>Ducha svatého jako interního předmětu a výkonu myšlení Trojice u Ibn Ádího</w:t>
      </w:r>
      <w:r w:rsidR="00A75C87" w:rsidRPr="003D1E07">
        <w:rPr>
          <w:i/>
        </w:rPr>
        <w:fldChar w:fldCharType="begin"/>
      </w:r>
      <w:r w:rsidR="00A75C87" w:rsidRPr="003D1E07">
        <w:instrText xml:space="preserve"> XE "intencionalita:Ibn-Ádí" </w:instrText>
      </w:r>
      <w:r w:rsidR="00A75C87" w:rsidRPr="003D1E07">
        <w:rPr>
          <w:i/>
        </w:rPr>
        <w:fldChar w:fldCharType="end"/>
      </w:r>
      <w:r w:rsidR="00A75C87" w:rsidRPr="003D1E07">
        <w:rPr>
          <w:rStyle w:val="FontStyle129"/>
          <w:rFonts w:ascii="Calibri" w:hAnsi="Calibri"/>
          <w:sz w:val="24"/>
        </w:rPr>
        <w:t xml:space="preserve">. Tyto aristotelské </w:t>
      </w:r>
      <w:r w:rsidR="084348DB" w:rsidRPr="003D1E07">
        <w:rPr>
          <w:rStyle w:val="FontStyle129"/>
          <w:rFonts w:ascii="Calibri" w:hAnsi="Calibri"/>
          <w:sz w:val="24"/>
        </w:rPr>
        <w:t xml:space="preserve">koncepty potencionality a intencionality přepracoval </w:t>
      </w:r>
      <w:r w:rsidR="00A75C87" w:rsidRPr="003D1E07">
        <w:rPr>
          <w:rStyle w:val="FontStyle129"/>
          <w:rFonts w:ascii="Calibri" w:hAnsi="Calibri"/>
          <w:sz w:val="24"/>
        </w:rPr>
        <w:t xml:space="preserve">Ibn Sína do objektivní formy diakosmu daného v boží mysli. </w:t>
      </w:r>
      <w:r w:rsidR="083E3EBF" w:rsidRPr="003D1E07">
        <w:rPr>
          <w:rStyle w:val="FontStyle129"/>
          <w:rFonts w:ascii="Calibri" w:hAnsi="Calibri"/>
          <w:sz w:val="24"/>
        </w:rPr>
        <w:t>Objektivní i</w:t>
      </w:r>
      <w:r w:rsidR="00A75C87" w:rsidRPr="003D1E07">
        <w:rPr>
          <w:rStyle w:val="FontStyle129"/>
          <w:rFonts w:ascii="Calibri" w:hAnsi="Calibri"/>
          <w:sz w:val="24"/>
        </w:rPr>
        <w:t xml:space="preserve">ntence v boží sféře myšlení </w:t>
      </w:r>
      <w:r w:rsidR="00A75C87" w:rsidRPr="003D1E07">
        <w:t xml:space="preserve">vytvořila most mezi nutností a kontigencí. Nutnost daná </w:t>
      </w:r>
      <w:r w:rsidR="000F1AD1" w:rsidRPr="003D1E07">
        <w:t xml:space="preserve">boží </w:t>
      </w:r>
      <w:r w:rsidR="0849674E" w:rsidRPr="003D1E07">
        <w:t>intencí je pravdivá vždy</w:t>
      </w:r>
      <w:r w:rsidR="000F1AD1" w:rsidRPr="003D1E07">
        <w:t xml:space="preserve"> a věčně</w:t>
      </w:r>
      <w:r w:rsidR="00A75C87" w:rsidRPr="003D1E07">
        <w:rPr>
          <w:i/>
        </w:rPr>
        <w:fldChar w:fldCharType="begin"/>
      </w:r>
      <w:r w:rsidR="00A75C87" w:rsidRPr="003D1E07">
        <w:instrText xml:space="preserve"> XE "</w:instrText>
      </w:r>
      <w:r w:rsidR="00A75C87" w:rsidRPr="003D1E07">
        <w:rPr>
          <w:i/>
        </w:rPr>
        <w:instrText>creatio ex nihilo</w:instrText>
      </w:r>
      <w:r w:rsidR="00A75C87" w:rsidRPr="003D1E07">
        <w:instrText xml:space="preserve">" </w:instrText>
      </w:r>
      <w:r w:rsidR="00A75C87" w:rsidRPr="003D1E07">
        <w:rPr>
          <w:i/>
        </w:rPr>
        <w:fldChar w:fldCharType="end"/>
      </w:r>
      <w:r w:rsidR="00A75C87" w:rsidRPr="003D1E07">
        <w:t xml:space="preserve">. Logická valence možnosti ještě není určena </w:t>
      </w:r>
      <w:r w:rsidR="007D4807">
        <w:t>jako aktuální stav „nastalo</w:t>
      </w:r>
      <w:r w:rsidR="00DF00F9" w:rsidRPr="003D1E07">
        <w:rPr>
          <w:rFonts w:cs="Calibri"/>
        </w:rPr>
        <w:t>–</w:t>
      </w:r>
      <w:r w:rsidR="00DF00F9" w:rsidRPr="003D1E07">
        <w:t>nenastalo</w:t>
      </w:r>
      <w:r w:rsidR="00A75C87" w:rsidRPr="003D1E07">
        <w:t>“</w:t>
      </w:r>
      <w:r w:rsidR="00131FE4" w:rsidRPr="003D1E07">
        <w:t xml:space="preserve">. </w:t>
      </w:r>
      <w:r w:rsidR="00FB208A" w:rsidRPr="003D1E07">
        <w:t>Boží i</w:t>
      </w:r>
      <w:r w:rsidR="00131FE4" w:rsidRPr="003D1E07">
        <w:t xml:space="preserve">ntence ale </w:t>
      </w:r>
      <w:r w:rsidR="00A75C87" w:rsidRPr="003D1E07">
        <w:t xml:space="preserve">již má </w:t>
      </w:r>
      <w:r w:rsidR="009E006D" w:rsidRPr="003D1E07">
        <w:t xml:space="preserve">jednoznačně </w:t>
      </w:r>
      <w:r w:rsidR="00A75C87" w:rsidRPr="003D1E07">
        <w:t xml:space="preserve">daný logický význam vztažený k nutnosti dané v novém metafyzickém rozvrhu. Ať objektivní idea bude realizována nebo ne, její intencionální bytí v bohu </w:t>
      </w:r>
      <w:r w:rsidR="084A20DA" w:rsidRPr="003D1E07">
        <w:t xml:space="preserve">už </w:t>
      </w:r>
      <w:r w:rsidR="00A75C87" w:rsidRPr="003D1E07">
        <w:t xml:space="preserve">má </w:t>
      </w:r>
      <w:r w:rsidR="084A20DA" w:rsidRPr="003D1E07">
        <w:t xml:space="preserve">vždy </w:t>
      </w:r>
      <w:r w:rsidR="00A75C87" w:rsidRPr="003D1E07">
        <w:t>charakter objektivní nutnosti</w:t>
      </w:r>
      <w:r w:rsidR="00BD6B5A">
        <w:t xml:space="preserve"> a určenosti</w:t>
      </w:r>
      <w:r w:rsidR="00A75C87" w:rsidRPr="003D1E07">
        <w:t>. V bohu jako dárci forem  jsou dány neměnné logické valence pravdy a nepravdy</w:t>
      </w:r>
      <w:r w:rsidR="009E006D" w:rsidRPr="003D1E07">
        <w:t xml:space="preserve">. </w:t>
      </w:r>
      <w:r w:rsidR="00A75C87" w:rsidRPr="003D1E07">
        <w:t>Moderní fo</w:t>
      </w:r>
      <w:r w:rsidR="083A6B51" w:rsidRPr="003D1E07">
        <w:t>rma logiky vznikla</w:t>
      </w:r>
      <w:r w:rsidR="00A75C87" w:rsidRPr="003D1E07">
        <w:t xml:space="preserve"> popřením aristotelské logiky, protože musí zajistit platnost jsoucna třetího druhu</w:t>
      </w:r>
      <w:r w:rsidR="00470328">
        <w:t xml:space="preserve">. </w:t>
      </w:r>
      <w:r w:rsidR="00470328" w:rsidRPr="00470328">
        <w:t xml:space="preserve">Božská sféra </w:t>
      </w:r>
      <w:r w:rsidR="00470328" w:rsidRPr="00470328">
        <w:rPr>
          <w:i/>
        </w:rPr>
        <w:t>tertium ens</w:t>
      </w:r>
      <w:r w:rsidR="00470328" w:rsidRPr="00470328">
        <w:t xml:space="preserve"> musí </w:t>
      </w:r>
      <w:r w:rsidR="00470328">
        <w:t xml:space="preserve">být pravdivá ve smyslu </w:t>
      </w:r>
      <w:r w:rsidR="00470328" w:rsidRPr="00470328">
        <w:rPr>
          <w:i/>
        </w:rPr>
        <w:t>absolute</w:t>
      </w:r>
      <w:r w:rsidR="00470328" w:rsidRPr="00470328">
        <w:t>. Proto Avicenna zavedl nové pojetí pravdy, a</w:t>
      </w:r>
      <w:r w:rsidR="00470328">
        <w:t xml:space="preserve">by se oddělil od aristotelské pravdy </w:t>
      </w:r>
      <w:r w:rsidR="00470328">
        <w:lastRenderedPageBreak/>
        <w:t>jako adekvace</w:t>
      </w:r>
      <w:r w:rsidR="00470328" w:rsidRPr="00470328">
        <w:t>.</w:t>
      </w:r>
      <w:r w:rsidR="00470328">
        <w:t xml:space="preserve"> </w:t>
      </w:r>
      <w:r w:rsidR="00A75C87" w:rsidRPr="003D1E07">
        <w:rPr>
          <w:rStyle w:val="FontStyle129"/>
          <w:rFonts w:ascii="Calibri" w:hAnsi="Calibri"/>
          <w:sz w:val="24"/>
        </w:rPr>
        <w:t xml:space="preserve">Aktualizaci primárních obsahů boží mysli určených ke stvořitelské komitaci provádí </w:t>
      </w:r>
      <w:r w:rsidR="00A75C87" w:rsidRPr="003D1E07">
        <w:t xml:space="preserve">kosmický </w:t>
      </w:r>
      <w:r w:rsidR="00A75C87" w:rsidRPr="003D1E07">
        <w:rPr>
          <w:i/>
        </w:rPr>
        <w:t>intellectus agens</w:t>
      </w:r>
      <w:r w:rsidR="00A75C87" w:rsidRPr="003D1E07">
        <w:t xml:space="preserve"> jako </w:t>
      </w:r>
      <w:r w:rsidR="00C75192" w:rsidRPr="003D1E07">
        <w:t>d</w:t>
      </w:r>
      <w:r w:rsidR="00A75C87" w:rsidRPr="003D1E07">
        <w:t>árce stvořitelských forem (</w:t>
      </w:r>
      <w:r w:rsidR="00A75C87" w:rsidRPr="003D1E07">
        <w:rPr>
          <w:rStyle w:val="Zvraznn"/>
        </w:rPr>
        <w:t>wāhib al-ṣ</w:t>
      </w:r>
      <w:r w:rsidR="00C75192" w:rsidRPr="003D1E07">
        <w:rPr>
          <w:rStyle w:val="Zvraznn"/>
        </w:rPr>
        <w:t xml:space="preserve">uwar, </w:t>
      </w:r>
      <w:r w:rsidR="004319BF" w:rsidRPr="004319BF">
        <w:rPr>
          <w:rStyle w:val="Zvraznn"/>
        </w:rPr>
        <w:t>Dator formarum</w:t>
      </w:r>
      <w:r w:rsidR="00A75C87" w:rsidRPr="003D1E07">
        <w:rPr>
          <w:rStyle w:val="Zvraznn"/>
        </w:rPr>
        <w:fldChar w:fldCharType="begin"/>
      </w:r>
      <w:r w:rsidR="00A75C87" w:rsidRPr="003D1E07">
        <w:instrText xml:space="preserve"> XE "</w:instrText>
      </w:r>
      <w:r w:rsidR="00A75C87" w:rsidRPr="003D1E07">
        <w:rPr>
          <w:i/>
        </w:rPr>
        <w:instrText>Dator formarum</w:instrText>
      </w:r>
      <w:r w:rsidR="00A75C87" w:rsidRPr="003D1E07">
        <w:instrText xml:space="preserve">" </w:instrText>
      </w:r>
      <w:r w:rsidR="00A75C87" w:rsidRPr="003D1E07">
        <w:rPr>
          <w:rStyle w:val="Zvraznn"/>
        </w:rPr>
        <w:fldChar w:fldCharType="end"/>
      </w:r>
      <w:r w:rsidR="00F50E6F" w:rsidRPr="003D1E07">
        <w:t xml:space="preserve">). </w:t>
      </w:r>
      <w:r w:rsidR="00075D8F" w:rsidRPr="003D1E07">
        <w:t xml:space="preserve">Grosseteste převzal projekt Avicennovy ontoteologie a zavedl jej do okruhu iluminátů na Oxfordu (OBJ II, kap. 3.1.2). </w:t>
      </w:r>
      <w:r w:rsidR="00F50E6F" w:rsidRPr="003D1E07">
        <w:t xml:space="preserve">Heideggerovo </w:t>
      </w:r>
      <w:r w:rsidR="00F50E6F" w:rsidRPr="003D1E07">
        <w:rPr>
          <w:i/>
        </w:rPr>
        <w:t>Gründung</w:t>
      </w:r>
      <w:r w:rsidR="00F50E6F" w:rsidRPr="003D1E07">
        <w:t xml:space="preserve"> metafyziky v Avicennově verzi určené objektivním základem jsoucna určuje směr metafyziky na další tisíciletí. </w:t>
      </w:r>
      <w:r w:rsidR="008132A0">
        <w:t>P</w:t>
      </w:r>
      <w:r w:rsidR="008132A0" w:rsidRPr="003D1E07">
        <w:t>o smrti boha</w:t>
      </w:r>
      <w:r w:rsidR="008132A0" w:rsidRPr="003D1E07">
        <w:rPr>
          <w:color w:val="000000"/>
        </w:rPr>
        <w:fldChar w:fldCharType="begin"/>
      </w:r>
      <w:r w:rsidR="008132A0" w:rsidRPr="003D1E07">
        <w:instrText xml:space="preserve"> XE "smrt boha" </w:instrText>
      </w:r>
      <w:r w:rsidR="008132A0" w:rsidRPr="003D1E07">
        <w:rPr>
          <w:color w:val="000000"/>
        </w:rPr>
        <w:fldChar w:fldCharType="end"/>
      </w:r>
      <w:r w:rsidR="008132A0" w:rsidRPr="003D1E07">
        <w:t>, který se zadusil teologií (Nietzsche</w:t>
      </w:r>
      <w:r w:rsidR="008132A0">
        <w:t xml:space="preserve"> dixit</w:t>
      </w:r>
      <w:r w:rsidR="008132A0" w:rsidRPr="003D1E07">
        <w:t>)</w:t>
      </w:r>
      <w:r w:rsidR="008132A0">
        <w:t>, nihilismus změnil</w:t>
      </w:r>
      <w:r w:rsidR="00FE5EDD" w:rsidRPr="003D1E07">
        <w:t xml:space="preserve"> tuto sféru produkující </w:t>
      </w:r>
      <w:r w:rsidR="00FE5EDD" w:rsidRPr="003D1E07">
        <w:rPr>
          <w:i/>
        </w:rPr>
        <w:t>tertium ens</w:t>
      </w:r>
      <w:r w:rsidR="00FE5EDD" w:rsidRPr="003D1E07">
        <w:t xml:space="preserve"> na karteziánské nebo husserliánské </w:t>
      </w:r>
      <w:r w:rsidR="00FE5EDD" w:rsidRPr="003D1E07">
        <w:rPr>
          <w:i/>
        </w:rPr>
        <w:t>cogito</w:t>
      </w:r>
      <w:r w:rsidR="00FE5EDD" w:rsidRPr="003D1E07">
        <w:rPr>
          <w:i/>
        </w:rPr>
        <w:fldChar w:fldCharType="begin"/>
      </w:r>
      <w:r w:rsidR="00FE5EDD" w:rsidRPr="003D1E07">
        <w:instrText xml:space="preserve"> XE "</w:instrText>
      </w:r>
      <w:r w:rsidR="00FE5EDD" w:rsidRPr="003D1E07">
        <w:rPr>
          <w:i/>
        </w:rPr>
        <w:instrText>cogito</w:instrText>
      </w:r>
      <w:r w:rsidR="00FE5EDD" w:rsidRPr="003D1E07">
        <w:instrText xml:space="preserve">" </w:instrText>
      </w:r>
      <w:r w:rsidR="00FE5EDD" w:rsidRPr="003D1E07">
        <w:rPr>
          <w:i/>
        </w:rPr>
        <w:fldChar w:fldCharType="end"/>
      </w:r>
      <w:r w:rsidR="005B71C5" w:rsidRPr="003D1E07">
        <w:t xml:space="preserve">. Moderní bůh znovu ožil </w:t>
      </w:r>
      <w:r w:rsidR="00FE5EDD" w:rsidRPr="003D1E07">
        <w:t xml:space="preserve">v podobě transcendentální egologie. </w:t>
      </w:r>
      <w:r w:rsidR="00A75C87" w:rsidRPr="003D1E07">
        <w:t xml:space="preserve">Místo </w:t>
      </w:r>
      <w:r w:rsidR="00921B7F" w:rsidRPr="003D1E07">
        <w:t xml:space="preserve">moderního </w:t>
      </w:r>
      <w:r w:rsidR="007A7517">
        <w:t xml:space="preserve">mrtvého </w:t>
      </w:r>
      <w:r w:rsidR="00A75C87" w:rsidRPr="003D1E07">
        <w:t xml:space="preserve">boha </w:t>
      </w:r>
      <w:r w:rsidR="00635406">
        <w:t xml:space="preserve">pak </w:t>
      </w:r>
      <w:r w:rsidR="00A75C87" w:rsidRPr="003D1E07">
        <w:t>g</w:t>
      </w:r>
      <w:r w:rsidR="00921B7F" w:rsidRPr="003D1E07">
        <w:t>a</w:t>
      </w:r>
      <w:r w:rsidR="00A75C87" w:rsidRPr="003D1E07">
        <w:t xml:space="preserve">rantuje </w:t>
      </w:r>
      <w:r w:rsidR="00FE5EDD" w:rsidRPr="003D1E07">
        <w:t xml:space="preserve">pravdu jsoucna </w:t>
      </w:r>
      <w:r w:rsidR="007A7517">
        <w:t>dobře živený iluminát</w:t>
      </w:r>
      <w:r w:rsidR="00C50FC9">
        <w:t xml:space="preserve">. Ten tvoří </w:t>
      </w:r>
      <w:r w:rsidR="00D53B06" w:rsidRPr="003D1E07">
        <w:t xml:space="preserve">další </w:t>
      </w:r>
      <w:r w:rsidR="005B71C5" w:rsidRPr="003D1E07">
        <w:t xml:space="preserve">božský </w:t>
      </w:r>
      <w:r w:rsidR="00A75C87" w:rsidRPr="003D1E07">
        <w:t>subjekt nihilistické formy postmoderní metafyziky a technovědy.</w:t>
      </w:r>
      <w:r w:rsidR="00C50FC9">
        <w:t xml:space="preserve"> </w:t>
      </w:r>
      <w:r w:rsidR="00113446">
        <w:t xml:space="preserve">Pro tuto tragikomedii plně platí známé heslo: </w:t>
      </w:r>
      <w:r w:rsidR="00C50FC9" w:rsidRPr="00C50FC9">
        <w:rPr>
          <w:i/>
        </w:rPr>
        <w:t xml:space="preserve">Plus ça change, plus </w:t>
      </w:r>
      <w:r w:rsidR="00C50FC9">
        <w:rPr>
          <w:i/>
        </w:rPr>
        <w:t>c</w:t>
      </w:r>
      <w:r w:rsidR="00C50FC9">
        <w:rPr>
          <w:rFonts w:cs="Calibri"/>
          <w:i/>
        </w:rPr>
        <w:t>’</w:t>
      </w:r>
      <w:r w:rsidR="00C50FC9" w:rsidRPr="00C50FC9">
        <w:rPr>
          <w:i/>
        </w:rPr>
        <w:t>est la même chose.</w:t>
      </w:r>
    </w:p>
    <w:p w14:paraId="03A2E8E7" w14:textId="08C8A5B0" w:rsidR="005B08DA" w:rsidRDefault="00A75C87" w:rsidP="00E27DC1">
      <w:r w:rsidRPr="003D1E07">
        <w:rPr>
          <w:lang w:eastAsia="en-US"/>
        </w:rPr>
        <w:tab/>
      </w:r>
      <w:r w:rsidR="08A765DF" w:rsidRPr="003D1E07">
        <w:rPr>
          <w:rStyle w:val="Zvraznn"/>
          <w:i w:val="0"/>
        </w:rPr>
        <w:t>Avicennou vytvořená s</w:t>
      </w:r>
      <w:r w:rsidR="08A765DF" w:rsidRPr="003D1E07">
        <w:t>féra intencionality v</w:t>
      </w:r>
      <w:r w:rsidR="000E1446">
        <w:t xml:space="preserve"> moderním </w:t>
      </w:r>
      <w:r w:rsidR="08A765DF" w:rsidRPr="003D1E07">
        <w:t xml:space="preserve">bohu představuje </w:t>
      </w:r>
      <w:r w:rsidR="08A765DF" w:rsidRPr="003D1E07">
        <w:rPr>
          <w:i/>
        </w:rPr>
        <w:t>Lichtung</w:t>
      </w:r>
      <w:r w:rsidR="08A765DF" w:rsidRPr="003D1E07">
        <w:t xml:space="preserve"> pravdy a nepravdy moderní objektivity. Její nepravdu odmítl Algazel a Averroes, její pravdu přijali všichni následní modernisté zakládající epochu nihilistického myšlení. Emanační teorie založená na demiurgické intencionalitě se spojila s aristotelským sc</w:t>
      </w:r>
      <w:r w:rsidR="00F00749" w:rsidRPr="003D1E07">
        <w:t xml:space="preserve">énářem aktuality a potenciality. Toto spojení je </w:t>
      </w:r>
      <w:r w:rsidR="00B71257">
        <w:t xml:space="preserve">predikováno </w:t>
      </w:r>
      <w:r w:rsidR="00F00749" w:rsidRPr="003D1E07">
        <w:t xml:space="preserve">skrze </w:t>
      </w:r>
      <w:r w:rsidR="00B71257">
        <w:t>kategoriální comitaci pojatou jako kvazi-aristotelské kategorie</w:t>
      </w:r>
      <w:r w:rsidR="08A765DF" w:rsidRPr="003D1E07">
        <w:t xml:space="preserve">. </w:t>
      </w:r>
      <w:r w:rsidR="00F00749" w:rsidRPr="003D1E07">
        <w:t>Nový význam je v bohu dán</w:t>
      </w:r>
      <w:r w:rsidR="08A765DF" w:rsidRPr="003D1E07">
        <w:t xml:space="preserve"> čistě intencionálně v modu jeho specifické denudace pojaté archetypicky-objektivně. Tím vznikl základní </w:t>
      </w:r>
      <w:r w:rsidR="08A765DF" w:rsidRPr="003D1E07">
        <w:rPr>
          <w:i/>
        </w:rPr>
        <w:t>Irrtum</w:t>
      </w:r>
      <w:r w:rsidR="08A765DF" w:rsidRPr="003D1E07">
        <w:rPr>
          <w:i/>
        </w:rPr>
        <w:fldChar w:fldCharType="begin"/>
      </w:r>
      <w:r w:rsidR="08A765DF" w:rsidRPr="003D1E07">
        <w:instrText xml:space="preserve"> XE "</w:instrText>
      </w:r>
      <w:r w:rsidR="08A765DF" w:rsidRPr="003D1E07">
        <w:rPr>
          <w:i/>
        </w:rPr>
        <w:instrText>Irrtum</w:instrText>
      </w:r>
      <w:r w:rsidR="08A765DF" w:rsidRPr="003D1E07">
        <w:instrText xml:space="preserve">:moderna" </w:instrText>
      </w:r>
      <w:r w:rsidR="08A765DF" w:rsidRPr="003D1E07">
        <w:rPr>
          <w:i/>
        </w:rPr>
        <w:fldChar w:fldCharType="end"/>
      </w:r>
      <w:r w:rsidR="08A765DF" w:rsidRPr="003D1E07">
        <w:t xml:space="preserve"> objektivní metafyziky</w:t>
      </w:r>
      <w:r w:rsidR="00792BE5">
        <w:t xml:space="preserve">. Tento první moderní, a proto zcela božský </w:t>
      </w:r>
      <w:r w:rsidR="00792BE5" w:rsidRPr="00792BE5">
        <w:rPr>
          <w:i/>
        </w:rPr>
        <w:t>think-tank</w:t>
      </w:r>
      <w:r w:rsidR="00792BE5">
        <w:t xml:space="preserve"> produkuje všechna ontoteologická</w:t>
      </w:r>
      <w:r w:rsidR="00B71257">
        <w:t xml:space="preserve"> určení jsoucna třetího druhu. </w:t>
      </w:r>
      <w:r w:rsidR="0076484E">
        <w:t>Intencionalita m</w:t>
      </w:r>
      <w:r w:rsidR="00A92239" w:rsidRPr="003D1E07">
        <w:t>oderní</w:t>
      </w:r>
      <w:r w:rsidR="0076484E">
        <w:t>ho boha</w:t>
      </w:r>
      <w:r w:rsidR="00A92239" w:rsidRPr="003D1E07">
        <w:t xml:space="preserve"> je </w:t>
      </w:r>
      <w:r w:rsidR="00B71257">
        <w:t xml:space="preserve">primární </w:t>
      </w:r>
      <w:r w:rsidR="009240B9">
        <w:t xml:space="preserve">producent jsoucen </w:t>
      </w:r>
      <w:r w:rsidR="08A765DF" w:rsidRPr="003D1E07">
        <w:t>třetího druhu</w:t>
      </w:r>
      <w:r w:rsidR="0076484E">
        <w:t xml:space="preserve"> </w:t>
      </w:r>
      <w:r w:rsidR="0076484E">
        <w:rPr>
          <w:noProof w:val="0"/>
          <w:lang w:val="fr-FR" w:eastAsia="en-US"/>
        </w:rPr>
        <w:t>(</w:t>
      </w:r>
      <w:r w:rsidR="0076484E" w:rsidRPr="00C4144D">
        <w:rPr>
          <w:i/>
          <w:noProof w:val="0"/>
          <w:lang w:val="fr-FR" w:eastAsia="en-US"/>
        </w:rPr>
        <w:t>species specialissima</w:t>
      </w:r>
      <w:r w:rsidR="0076484E">
        <w:rPr>
          <w:i/>
          <w:noProof w:val="0"/>
          <w:lang w:val="fr-FR" w:eastAsia="en-US"/>
        </w:rPr>
        <w:fldChar w:fldCharType="begin"/>
      </w:r>
      <w:r w:rsidR="0076484E">
        <w:instrText xml:space="preserve"> XE "</w:instrText>
      </w:r>
      <w:r w:rsidR="0076484E" w:rsidRPr="002370EE">
        <w:rPr>
          <w:i/>
          <w:noProof w:val="0"/>
          <w:lang w:val="fr-FR" w:eastAsia="en-US"/>
        </w:rPr>
        <w:instrText>species specialissima</w:instrText>
      </w:r>
      <w:r w:rsidR="0076484E">
        <w:instrText xml:space="preserve">" </w:instrText>
      </w:r>
      <w:r w:rsidR="0076484E">
        <w:rPr>
          <w:i/>
          <w:noProof w:val="0"/>
          <w:lang w:val="fr-FR" w:eastAsia="en-US"/>
        </w:rPr>
        <w:fldChar w:fldCharType="end"/>
      </w:r>
      <w:r w:rsidR="0076484E">
        <w:rPr>
          <w:noProof w:val="0"/>
          <w:lang w:val="fr-FR" w:eastAsia="en-US"/>
        </w:rPr>
        <w:t>)</w:t>
      </w:r>
      <w:r w:rsidR="00792BE5">
        <w:rPr>
          <w:noProof w:val="0"/>
          <w:lang w:val="fr-FR" w:eastAsia="en-US"/>
        </w:rPr>
        <w:t xml:space="preserve">, protože </w:t>
      </w:r>
      <w:r w:rsidR="00A84F77">
        <w:rPr>
          <w:noProof w:val="0"/>
          <w:lang w:val="fr-FR" w:eastAsia="en-US"/>
        </w:rPr>
        <w:t xml:space="preserve">každé </w:t>
      </w:r>
      <w:r w:rsidR="009240B9">
        <w:t>potenciální a individuálně-generické jsou</w:t>
      </w:r>
      <w:r w:rsidR="0072663E">
        <w:t>cno</w:t>
      </w:r>
      <w:r w:rsidR="009240B9">
        <w:t xml:space="preserve"> </w:t>
      </w:r>
      <w:r w:rsidR="00C5023C" w:rsidRPr="003D1E07">
        <w:t xml:space="preserve">je </w:t>
      </w:r>
      <w:r w:rsidR="0072663E">
        <w:t>přímo napojeno</w:t>
      </w:r>
      <w:r w:rsidR="08A765DF" w:rsidRPr="003D1E07">
        <w:t xml:space="preserve"> na stvořitelský činný intelekt</w:t>
      </w:r>
      <w:r w:rsidR="00C5023C" w:rsidRPr="003D1E07">
        <w:t xml:space="preserve">. </w:t>
      </w:r>
      <w:r w:rsidR="00A07CF1">
        <w:t>P</w:t>
      </w:r>
      <w:r w:rsidR="004C26B0" w:rsidRPr="003D1E07">
        <w:t xml:space="preserve">seudo-mystická spekulace </w:t>
      </w:r>
      <w:r w:rsidR="08A765DF" w:rsidRPr="003D1E07">
        <w:t xml:space="preserve">zakládá Heideggerem </w:t>
      </w:r>
      <w:r w:rsidR="00424B88" w:rsidRPr="003D1E07">
        <w:t xml:space="preserve">definovanou </w:t>
      </w:r>
      <w:r w:rsidR="08A765DF" w:rsidRPr="003D1E07">
        <w:t>ontoteologick</w:t>
      </w:r>
      <w:r w:rsidR="00424B88" w:rsidRPr="003D1E07">
        <w:t xml:space="preserve">ou strukturu </w:t>
      </w:r>
      <w:r w:rsidR="08A765DF" w:rsidRPr="003D1E07">
        <w:t xml:space="preserve">novověké </w:t>
      </w:r>
      <w:r w:rsidR="00424B88" w:rsidRPr="003D1E07">
        <w:t xml:space="preserve">metafyziky </w:t>
      </w:r>
      <w:r w:rsidR="08A765DF" w:rsidRPr="003D1E07">
        <w:t>(</w:t>
      </w:r>
      <w:r w:rsidR="08A765DF" w:rsidRPr="003D1E07">
        <w:rPr>
          <w:i/>
        </w:rPr>
        <w:t>Gründung</w:t>
      </w:r>
      <w:r w:rsidR="08A765DF" w:rsidRPr="003D1E07">
        <w:t xml:space="preserve">, </w:t>
      </w:r>
      <w:r w:rsidR="08A765DF" w:rsidRPr="003D1E07">
        <w:rPr>
          <w:i/>
        </w:rPr>
        <w:fldChar w:fldCharType="begin"/>
      </w:r>
      <w:r w:rsidR="08A765DF" w:rsidRPr="003D1E07">
        <w:instrText xml:space="preserve"> XE "metafyzika:</w:instrText>
      </w:r>
      <w:r w:rsidR="08A765DF" w:rsidRPr="003D1E07">
        <w:rPr>
          <w:i/>
        </w:rPr>
        <w:instrText>Gründung</w:instrText>
      </w:r>
      <w:r w:rsidR="08A765DF" w:rsidRPr="003D1E07">
        <w:instrText xml:space="preserve">" </w:instrText>
      </w:r>
      <w:r w:rsidR="08A765DF" w:rsidRPr="003D1E07">
        <w:rPr>
          <w:i/>
        </w:rPr>
        <w:fldChar w:fldCharType="end"/>
      </w:r>
      <w:r w:rsidR="084E7952" w:rsidRPr="003D1E07">
        <w:t>kap. 1.2</w:t>
      </w:r>
      <w:r w:rsidR="08A765DF" w:rsidRPr="003D1E07">
        <w:t xml:space="preserve">). Avicenna vyznávající nauku </w:t>
      </w:r>
      <w:r w:rsidR="08A765DF" w:rsidRPr="003D1E07">
        <w:rPr>
          <w:i/>
        </w:rPr>
        <w:t>creatio ex nihilo</w:t>
      </w:r>
      <w:r w:rsidR="08A765DF" w:rsidRPr="003D1E07">
        <w:rPr>
          <w:i/>
        </w:rPr>
        <w:fldChar w:fldCharType="begin"/>
      </w:r>
      <w:r w:rsidR="08A765DF" w:rsidRPr="003D1E07">
        <w:instrText xml:space="preserve"> XE "</w:instrText>
      </w:r>
      <w:r w:rsidR="08A765DF" w:rsidRPr="003D1E07">
        <w:rPr>
          <w:i/>
        </w:rPr>
        <w:instrText>creatio ex nihilo</w:instrText>
      </w:r>
      <w:r w:rsidR="08A765DF" w:rsidRPr="003D1E07">
        <w:instrText xml:space="preserve">" </w:instrText>
      </w:r>
      <w:r w:rsidR="08A765DF" w:rsidRPr="003D1E07">
        <w:rPr>
          <w:i/>
        </w:rPr>
        <w:fldChar w:fldCharType="end"/>
      </w:r>
      <w:r w:rsidR="08A765DF" w:rsidRPr="003D1E07">
        <w:t xml:space="preserve"> </w:t>
      </w:r>
      <w:r w:rsidR="009A26E5" w:rsidRPr="003D1E07">
        <w:t>provedenou absolutně všemohoucím</w:t>
      </w:r>
      <w:r w:rsidR="08A765DF" w:rsidRPr="003D1E07">
        <w:t xml:space="preserve"> a oddělen</w:t>
      </w:r>
      <w:r w:rsidR="009A26E5" w:rsidRPr="003D1E07">
        <w:t>ým</w:t>
      </w:r>
      <w:r w:rsidR="08A765DF" w:rsidRPr="003D1E07">
        <w:t xml:space="preserve"> Stvořitel</w:t>
      </w:r>
      <w:r w:rsidR="009A26E5" w:rsidRPr="003D1E07">
        <w:t>em</w:t>
      </w:r>
      <w:r w:rsidR="08A765DF" w:rsidRPr="003D1E07">
        <w:t xml:space="preserve"> nemohl </w:t>
      </w:r>
      <w:r w:rsidR="001D4BA7" w:rsidRPr="003D1E07">
        <w:t xml:space="preserve">přijmout </w:t>
      </w:r>
      <w:r w:rsidR="08A765DF" w:rsidRPr="003D1E07">
        <w:t>neoplatonsk</w:t>
      </w:r>
      <w:r w:rsidR="001D4BA7" w:rsidRPr="003D1E07">
        <w:t>é emanace</w:t>
      </w:r>
      <w:r w:rsidR="00E46B86" w:rsidRPr="003D1E07">
        <w:t xml:space="preserve">. Proto </w:t>
      </w:r>
      <w:r w:rsidR="08A765DF" w:rsidRPr="003D1E07">
        <w:t>muse</w:t>
      </w:r>
      <w:r w:rsidR="00400A9C">
        <w:t xml:space="preserve">l z boha udělat moderní subjekt, z něhož </w:t>
      </w:r>
      <w:r w:rsidR="00A04337">
        <w:t xml:space="preserve">později </w:t>
      </w:r>
      <w:r w:rsidR="00400A9C">
        <w:t xml:space="preserve">vznikla Descartova </w:t>
      </w:r>
      <w:r w:rsidR="08A765DF" w:rsidRPr="003D1E07">
        <w:rPr>
          <w:i/>
        </w:rPr>
        <w:t>res cogitans</w:t>
      </w:r>
      <w:r w:rsidR="08A765DF" w:rsidRPr="003D1E07">
        <w:t xml:space="preserve">. Ibn Síná vzal aristotelské schéma potenciality a přesunul </w:t>
      </w:r>
      <w:r w:rsidR="003C53AA" w:rsidRPr="003D1E07">
        <w:t>Jamblichův diakosmos</w:t>
      </w:r>
      <w:r w:rsidR="08A765DF" w:rsidRPr="003D1E07">
        <w:t xml:space="preserve"> </w:t>
      </w:r>
      <w:r w:rsidR="08A765DF" w:rsidRPr="003D1E07">
        <w:rPr>
          <w:i/>
        </w:rPr>
        <w:fldChar w:fldCharType="begin"/>
      </w:r>
      <w:r w:rsidR="08A765DF" w:rsidRPr="003D1E07">
        <w:instrText xml:space="preserve"> XE "diakosmos" </w:instrText>
      </w:r>
      <w:r w:rsidR="08A765DF" w:rsidRPr="003D1E07">
        <w:rPr>
          <w:i/>
        </w:rPr>
        <w:fldChar w:fldCharType="end"/>
      </w:r>
      <w:r w:rsidR="08A765DF" w:rsidRPr="003D1E07">
        <w:t>přímo do boží mysli a před akt stvoření, již daný substanciálně a aktuálně. Originální forma intencionality a komitace vytvořila novou věc (</w:t>
      </w:r>
      <w:r w:rsidR="08A765DF" w:rsidRPr="003D1E07">
        <w:rPr>
          <w:i/>
        </w:rPr>
        <w:t>al-šaj</w:t>
      </w:r>
      <w:r w:rsidR="08A765DF" w:rsidRPr="003D1E07">
        <w:rPr>
          <w:i/>
        </w:rPr>
        <w:fldChar w:fldCharType="begin"/>
      </w:r>
      <w:r w:rsidR="08A765DF" w:rsidRPr="003D1E07">
        <w:instrText xml:space="preserve"> XE "věc:objektivní </w:instrText>
      </w:r>
      <w:r w:rsidR="08A765DF" w:rsidRPr="003D1E07">
        <w:rPr>
          <w:i/>
        </w:rPr>
        <w:instrText>res</w:instrText>
      </w:r>
      <w:r w:rsidR="08A765DF" w:rsidRPr="003D1E07">
        <w:instrText xml:space="preserve">" </w:instrText>
      </w:r>
      <w:r w:rsidR="08A765DF" w:rsidRPr="003D1E07">
        <w:rPr>
          <w:i/>
        </w:rPr>
        <w:fldChar w:fldCharType="end"/>
      </w:r>
      <w:r w:rsidR="08A765DF" w:rsidRPr="003D1E07">
        <w:t>) s minimálním rozsahem jsoucnosti</w:t>
      </w:r>
      <w:r w:rsidR="0054575B">
        <w:t>. Moderní bůh ji objektivně intenduje a může nebo nemusí ji někdy reálně stvořit</w:t>
      </w:r>
      <w:r w:rsidR="08A765DF" w:rsidRPr="003D1E07">
        <w:t xml:space="preserve">. Boží intence je aristotelskou čistou potencí, která již má vlastní identitu, ale zatím neexistuje jako stvořená substance. Každá </w:t>
      </w:r>
      <w:r w:rsidR="008B12C4">
        <w:lastRenderedPageBreak/>
        <w:t>potenciální</w:t>
      </w:r>
      <w:r w:rsidR="008B12C4" w:rsidRPr="003D1E07">
        <w:t xml:space="preserve"> </w:t>
      </w:r>
      <w:r w:rsidR="008B12C4">
        <w:t>či reálná</w:t>
      </w:r>
      <w:r w:rsidR="08A765DF" w:rsidRPr="003D1E07">
        <w:t xml:space="preserve"> </w:t>
      </w:r>
      <w:r w:rsidR="008B12C4">
        <w:t xml:space="preserve">věc </w:t>
      </w:r>
      <w:r w:rsidR="08A765DF" w:rsidRPr="003D1E07">
        <w:t xml:space="preserve">má zajištěnu minimální porci </w:t>
      </w:r>
      <w:r w:rsidR="008B12C4">
        <w:t>existence</w:t>
      </w:r>
      <w:r w:rsidR="008B12C4" w:rsidRPr="003D1E07">
        <w:t xml:space="preserve"> </w:t>
      </w:r>
      <w:r w:rsidR="08A765DF" w:rsidRPr="003D1E07">
        <w:t>v rá</w:t>
      </w:r>
      <w:r w:rsidR="0080723D">
        <w:t xml:space="preserve">mci boží archetypické intencionality. Z tohoto zázračného pramene moderny vyvěrá primární objektivní jsoucnost vybavená </w:t>
      </w:r>
      <w:r w:rsidR="08A765DF" w:rsidRPr="003D1E07">
        <w:t xml:space="preserve">absolutní </w:t>
      </w:r>
      <w:r w:rsidR="00304E09" w:rsidRPr="003D1E07">
        <w:t>nutnost</w:t>
      </w:r>
      <w:r w:rsidR="00304E09">
        <w:t xml:space="preserve">í a </w:t>
      </w:r>
      <w:r w:rsidR="0080723D">
        <w:t>akademickou jistotou</w:t>
      </w:r>
      <w:r w:rsidR="08A765DF" w:rsidRPr="003D1E07">
        <w:t>. To ukazuje výše citovaný</w:t>
      </w:r>
      <w:r w:rsidR="004E4D16">
        <w:t xml:space="preserve"> akt komitace, který zakládá „ek</w:t>
      </w:r>
      <w:r w:rsidR="08A765DF" w:rsidRPr="003D1E07">
        <w:t>sistenci“ jednotlivin v jejich původní identitě</w:t>
      </w:r>
      <w:r w:rsidR="0847481D" w:rsidRPr="003D1E07">
        <w:t xml:space="preserve"> jsoucna třetího druhu</w:t>
      </w:r>
      <w:r w:rsidR="08A765DF" w:rsidRPr="003D1E07">
        <w:t xml:space="preserve">. Bůh tuto komitaci </w:t>
      </w:r>
      <w:r w:rsidR="084E6592" w:rsidRPr="003D1E07">
        <w:t xml:space="preserve">objektivní existence </w:t>
      </w:r>
      <w:r w:rsidR="08A765DF" w:rsidRPr="003D1E07">
        <w:t>provádí archetypicky tím, že vytvoří díky demiurgické intencionalitě ve svém intelektu minimální jsoucnost každé věci. Tato minimální porce intendované jsoucnosti (</w:t>
      </w:r>
      <w:r w:rsidR="08A765DF" w:rsidRPr="003D1E07">
        <w:rPr>
          <w:i/>
        </w:rPr>
        <w:t>hoc esse est tantum</w:t>
      </w:r>
      <w:r w:rsidR="082A00C2" w:rsidRPr="003D1E07">
        <w:rPr>
          <w:i/>
        </w:rPr>
        <w:fldChar w:fldCharType="begin"/>
      </w:r>
      <w:r w:rsidR="082A00C2" w:rsidRPr="003D1E07">
        <w:instrText xml:space="preserve"> XE "</w:instrText>
      </w:r>
      <w:r w:rsidR="082A00C2" w:rsidRPr="003D1E07">
        <w:rPr>
          <w:rStyle w:val="FontStyle129"/>
          <w:rFonts w:ascii="Calibri" w:hAnsi="Calibri"/>
          <w:i/>
          <w:sz w:val="24"/>
        </w:rPr>
        <w:instrText>tantum esse</w:instrText>
      </w:r>
      <w:r w:rsidR="082A00C2" w:rsidRPr="003D1E07">
        <w:instrText xml:space="preserve">" </w:instrText>
      </w:r>
      <w:r w:rsidR="082A00C2" w:rsidRPr="003D1E07">
        <w:rPr>
          <w:i/>
        </w:rPr>
        <w:fldChar w:fldCharType="end"/>
      </w:r>
      <w:r w:rsidR="08A765DF" w:rsidRPr="003D1E07">
        <w:t>) čeká v metafyzicko-teologickém limbu na to, zda dostane aktuální existenci jako stvořitelský dar. V této čisté formalizaci nazírané skrze druhou rovinu abstrakce dostává jsoucno ontoteologický smysl napojením na tzv. „třetí svět“ (</w:t>
      </w:r>
      <w:r w:rsidR="08A765DF" w:rsidRPr="003D1E07">
        <w:rPr>
          <w:i/>
          <w:iCs/>
        </w:rPr>
        <w:t>'ālam al-mithāl</w:t>
      </w:r>
      <w:r w:rsidR="08A765DF" w:rsidRPr="003D1E07">
        <w:t>) recipovaný skrze intelektuální imaginaci duše o</w:t>
      </w:r>
      <w:r w:rsidR="004677FA">
        <w:t>svícené aktivním intelektem.</w:t>
      </w:r>
      <w:r w:rsidR="00E27DC1">
        <w:t xml:space="preserve"> </w:t>
      </w:r>
      <w:r w:rsidR="08A765DF" w:rsidRPr="003D1E07">
        <w:t xml:space="preserve">Avicenna vytvořil objektivní demiurgický mezisvět </w:t>
      </w:r>
      <w:r w:rsidR="004A3CCE">
        <w:t>tím</w:t>
      </w:r>
      <w:r w:rsidR="00B90ECB">
        <w:t>,</w:t>
      </w:r>
      <w:r w:rsidR="004A3CCE">
        <w:t xml:space="preserve"> že radikálně změnil</w:t>
      </w:r>
      <w:r w:rsidR="08A765DF" w:rsidRPr="003D1E07">
        <w:t xml:space="preserve"> dialog </w:t>
      </w:r>
      <w:r w:rsidR="08A765DF" w:rsidRPr="003D1E07">
        <w:rPr>
          <w:i/>
        </w:rPr>
        <w:t>Timaios</w:t>
      </w:r>
      <w:r w:rsidR="00CC5D59" w:rsidRPr="003D1E07">
        <w:rPr>
          <w:i/>
        </w:rPr>
        <w:t xml:space="preserve">. </w:t>
      </w:r>
      <w:r w:rsidR="00CC5D59" w:rsidRPr="003D1E07">
        <w:t xml:space="preserve">Modernizoval </w:t>
      </w:r>
      <w:r w:rsidR="08A765DF" w:rsidRPr="003D1E07">
        <w:t xml:space="preserve">Jamblichův </w:t>
      </w:r>
      <w:r w:rsidR="08E94FD4" w:rsidRPr="003D1E07">
        <w:t xml:space="preserve">diakosmos </w:t>
      </w:r>
      <w:r w:rsidR="08A765DF" w:rsidRPr="003D1E07">
        <w:t>a mezisvět-</w:t>
      </w:r>
      <w:r w:rsidR="08A765DF" w:rsidRPr="003D1E07">
        <w:rPr>
          <w:i/>
        </w:rPr>
        <w:t>barzach</w:t>
      </w:r>
      <w:r w:rsidR="08A765DF" w:rsidRPr="003D1E07">
        <w:t xml:space="preserve"> v Koránu</w:t>
      </w:r>
      <w:r w:rsidR="00CC5D59" w:rsidRPr="003D1E07">
        <w:t xml:space="preserve"> tím, že k němu přidal </w:t>
      </w:r>
      <w:r w:rsidR="00081158" w:rsidRPr="003D1E07">
        <w:t xml:space="preserve">další </w:t>
      </w:r>
      <w:r w:rsidR="084404A1" w:rsidRPr="003D1E07">
        <w:t>mytopo</w:t>
      </w:r>
      <w:r w:rsidR="08A765DF" w:rsidRPr="003D1E07">
        <w:t>etickou verzi</w:t>
      </w:r>
      <w:r w:rsidR="00CC5D59" w:rsidRPr="003D1E07">
        <w:t xml:space="preserve"> </w:t>
      </w:r>
      <w:r w:rsidR="008306CB" w:rsidRPr="003D1E07">
        <w:t xml:space="preserve">vytvořenou </w:t>
      </w:r>
      <w:r w:rsidR="00CC5D59" w:rsidRPr="003D1E07">
        <w:t>v metafyzice</w:t>
      </w:r>
      <w:r w:rsidR="08A765DF" w:rsidRPr="003D1E07">
        <w:fldChar w:fldCharType="begin"/>
      </w:r>
      <w:r w:rsidR="08A765DF" w:rsidRPr="003D1E07">
        <w:instrText xml:space="preserve"> XE "Korán" </w:instrText>
      </w:r>
      <w:r w:rsidR="08A765DF" w:rsidRPr="003D1E07">
        <w:fldChar w:fldCharType="end"/>
      </w:r>
      <w:r w:rsidR="08A765DF" w:rsidRPr="003D1E07">
        <w:t xml:space="preserve">. Jsoucno třetího druhu je mysticky spojeno se střední sférou </w:t>
      </w:r>
      <w:r w:rsidR="004677FA" w:rsidRPr="003D1E07">
        <w:t>(</w:t>
      </w:r>
      <w:r w:rsidR="004677FA" w:rsidRPr="003D1E07">
        <w:rPr>
          <w:rStyle w:val="st"/>
          <w:bCs/>
          <w:i/>
        </w:rPr>
        <w:t>mala</w:t>
      </w:r>
      <w:r w:rsidR="004677FA" w:rsidRPr="003D1E07">
        <w:rPr>
          <w:rStyle w:val="st"/>
          <w:i/>
        </w:rPr>
        <w:t>'</w:t>
      </w:r>
      <w:r w:rsidR="004677FA" w:rsidRPr="003D1E07">
        <w:rPr>
          <w:rStyle w:val="st"/>
          <w:bCs/>
          <w:i/>
        </w:rPr>
        <w:t>ikat a-l'izza</w:t>
      </w:r>
      <w:r w:rsidR="004677FA" w:rsidRPr="003D1E07">
        <w:rPr>
          <w:rStyle w:val="st"/>
          <w:bCs/>
        </w:rPr>
        <w:t>,</w:t>
      </w:r>
      <w:r w:rsidR="004677FA" w:rsidRPr="003D1E07">
        <w:rPr>
          <w:rStyle w:val="st"/>
          <w:b/>
          <w:bCs/>
        </w:rPr>
        <w:t xml:space="preserve"> </w:t>
      </w:r>
      <w:r w:rsidR="004677FA" w:rsidRPr="003D1E07">
        <w:rPr>
          <w:i/>
        </w:rPr>
        <w:t>angeli coelestes</w:t>
      </w:r>
      <w:r w:rsidR="004677FA" w:rsidRPr="003D1E07">
        <w:t>)</w:t>
      </w:r>
      <w:r w:rsidR="004677FA">
        <w:t xml:space="preserve"> </w:t>
      </w:r>
      <w:r w:rsidR="08A765DF" w:rsidRPr="003D1E07">
        <w:t xml:space="preserve">kosmických inteligencí a se světem nebeských andělů </w:t>
      </w:r>
      <w:r w:rsidR="004677FA" w:rsidRPr="003D1E07">
        <w:t>(Corbin 1964)</w:t>
      </w:r>
      <w:r w:rsidR="08A765DF" w:rsidRPr="003D1E07">
        <w:t xml:space="preserve">. Tento mystický </w:t>
      </w:r>
      <w:r w:rsidR="00AA65B9">
        <w:t>„</w:t>
      </w:r>
      <w:r w:rsidR="08A765DF" w:rsidRPr="003D1E07">
        <w:rPr>
          <w:i/>
          <w:iCs/>
        </w:rPr>
        <w:t>mundus imaginalis</w:t>
      </w:r>
      <w:r w:rsidR="00AA65B9">
        <w:rPr>
          <w:iCs/>
        </w:rPr>
        <w:t>“</w:t>
      </w:r>
      <w:r w:rsidR="08A765DF" w:rsidRPr="003D1E07">
        <w:rPr>
          <w:i/>
          <w:iCs/>
        </w:rPr>
        <w:fldChar w:fldCharType="begin"/>
      </w:r>
      <w:r w:rsidR="08A765DF" w:rsidRPr="003D1E07">
        <w:instrText xml:space="preserve"> XE "</w:instrText>
      </w:r>
      <w:r w:rsidR="08A765DF" w:rsidRPr="003D1E07">
        <w:rPr>
          <w:i/>
          <w:iCs/>
        </w:rPr>
        <w:instrText>mundus imaginalis</w:instrText>
      </w:r>
      <w:r w:rsidR="08A765DF" w:rsidRPr="003D1E07">
        <w:instrText xml:space="preserve">" </w:instrText>
      </w:r>
      <w:r w:rsidR="08A765DF" w:rsidRPr="003D1E07">
        <w:rPr>
          <w:i/>
          <w:iCs/>
        </w:rPr>
        <w:fldChar w:fldCharType="end"/>
      </w:r>
      <w:r w:rsidR="08A765DF" w:rsidRPr="003D1E07">
        <w:rPr>
          <w:i/>
          <w:iCs/>
        </w:rPr>
        <w:t xml:space="preserve"> </w:t>
      </w:r>
      <w:r w:rsidR="08A765DF" w:rsidRPr="003D1E07">
        <w:rPr>
          <w:iCs/>
        </w:rPr>
        <w:t>súfismu</w:t>
      </w:r>
      <w:r w:rsidR="08A765DF" w:rsidRPr="003D1E07">
        <w:rPr>
          <w:iCs/>
        </w:rPr>
        <w:fldChar w:fldCharType="begin"/>
      </w:r>
      <w:r w:rsidR="08A765DF" w:rsidRPr="003D1E07">
        <w:instrText xml:space="preserve"> XE "súfismus" </w:instrText>
      </w:r>
      <w:r w:rsidR="08A765DF" w:rsidRPr="003D1E07">
        <w:rPr>
          <w:iCs/>
        </w:rPr>
        <w:fldChar w:fldCharType="end"/>
      </w:r>
      <w:r w:rsidR="08A765DF" w:rsidRPr="003D1E07">
        <w:t xml:space="preserve">, jak zní </w:t>
      </w:r>
      <w:r w:rsidR="00461646">
        <w:t xml:space="preserve">krásný </w:t>
      </w:r>
      <w:r w:rsidR="08A765DF" w:rsidRPr="003D1E07">
        <w:t xml:space="preserve">překlad Henryho </w:t>
      </w:r>
      <w:r w:rsidR="08A765DF" w:rsidRPr="003D1E07">
        <w:rPr>
          <w:iCs/>
        </w:rPr>
        <w:t xml:space="preserve">Corbina, </w:t>
      </w:r>
      <w:r w:rsidR="08A765DF" w:rsidRPr="003D1E07">
        <w:t>se stal místem nového zjevování jsoucna třetího druhu.</w:t>
      </w:r>
      <w:r w:rsidR="000B0656" w:rsidRPr="003D1E07">
        <w:t xml:space="preserve"> </w:t>
      </w:r>
      <w:r w:rsidR="08A765DF" w:rsidRPr="003D1E07">
        <w:t>Avicenna přetavil do perské</w:t>
      </w:r>
      <w:r w:rsidR="0882444C" w:rsidRPr="003D1E07">
        <w:t xml:space="preserve"> falsafy náboženskou představu </w:t>
      </w:r>
      <w:r w:rsidR="08A765DF" w:rsidRPr="003D1E07">
        <w:t>mezisvěta známého z tripartitního rozdělení kosmu v Koránu</w:t>
      </w:r>
      <w:r w:rsidR="08A765DF" w:rsidRPr="003D1E07">
        <w:fldChar w:fldCharType="begin"/>
      </w:r>
      <w:r w:rsidR="08A765DF" w:rsidRPr="003D1E07">
        <w:instrText xml:space="preserve"> XE "Korán" </w:instrText>
      </w:r>
      <w:r w:rsidR="08A765DF" w:rsidRPr="003D1E07">
        <w:fldChar w:fldCharType="end"/>
      </w:r>
      <w:r w:rsidR="08A765DF" w:rsidRPr="003D1E07">
        <w:t>: vezdejší svět (</w:t>
      </w:r>
      <w:r w:rsidR="08A765DF" w:rsidRPr="003D1E07">
        <w:rPr>
          <w:i/>
        </w:rPr>
        <w:t>donya</w:t>
      </w:r>
      <w:r w:rsidR="08A765DF" w:rsidRPr="003D1E07">
        <w:t>), mezisvět (</w:t>
      </w:r>
      <w:r w:rsidR="08A765DF" w:rsidRPr="003D1E07">
        <w:rPr>
          <w:i/>
        </w:rPr>
        <w:t>barzach</w:t>
      </w:r>
      <w:r w:rsidR="08A765DF" w:rsidRPr="003D1E07">
        <w:t>) a nebeské zásvětí (</w:t>
      </w:r>
      <w:r w:rsidR="08A765DF" w:rsidRPr="003D1E07">
        <w:rPr>
          <w:i/>
        </w:rPr>
        <w:t>akhira</w:t>
      </w:r>
      <w:r w:rsidR="08A765DF" w:rsidRPr="003D1E07">
        <w:t xml:space="preserve">). Spojení tří světů (stvořený svět materiálních a nemateriálních forem, oddělené nemateriální a věčné nebeské substance, jedno nestvořené nutné a věčné Bytí) se děje pomocí různých úkonů intelektu. Nižší forma poznání je podle </w:t>
      </w:r>
      <w:r w:rsidR="001813F0">
        <w:t xml:space="preserve">Avicenny dána ve smyslové duši. Ta je bohužel vázána na materiální tělo, proto stojí </w:t>
      </w:r>
      <w:r w:rsidR="08A765DF" w:rsidRPr="003D1E07">
        <w:t>mimo svět čistých aktuálních forem a oddělen</w:t>
      </w:r>
      <w:r w:rsidR="001813F0">
        <w:t xml:space="preserve">ých nebeských substancí. Pravdivé poznání </w:t>
      </w:r>
      <w:r w:rsidR="08A765DF" w:rsidRPr="003D1E07">
        <w:t>vzniká napojením mikrokosmu lidské duše</w:t>
      </w:r>
      <w:r w:rsidR="005334D4" w:rsidRPr="003D1E07">
        <w:t xml:space="preserve"> na makrokosmos </w:t>
      </w:r>
      <w:r w:rsidR="08A765DF" w:rsidRPr="003D1E07">
        <w:t xml:space="preserve">nebeských sfér skrze </w:t>
      </w:r>
      <w:r w:rsidR="00F3517F" w:rsidRPr="003D1E07">
        <w:t xml:space="preserve">nejvyšší </w:t>
      </w:r>
      <w:r w:rsidR="08A765DF" w:rsidRPr="003D1E07">
        <w:t>intelekt (</w:t>
      </w:r>
      <w:r w:rsidR="08A765DF" w:rsidRPr="003D1E07">
        <w:rPr>
          <w:i/>
        </w:rPr>
        <w:t>intellectus sanctus</w:t>
      </w:r>
      <w:r w:rsidR="08A765DF" w:rsidRPr="003D1E07">
        <w:rPr>
          <w:i/>
        </w:rPr>
        <w:fldChar w:fldCharType="begin"/>
      </w:r>
      <w:r w:rsidR="08A765DF" w:rsidRPr="003D1E07">
        <w:instrText xml:space="preserve"> XE "</w:instrText>
      </w:r>
      <w:r w:rsidR="08A765DF" w:rsidRPr="003D1E07">
        <w:rPr>
          <w:i/>
        </w:rPr>
        <w:instrText>intellectus sanctus</w:instrText>
      </w:r>
      <w:r w:rsidR="08A765DF" w:rsidRPr="003D1E07">
        <w:instrText xml:space="preserve">" </w:instrText>
      </w:r>
      <w:r w:rsidR="08A765DF" w:rsidRPr="003D1E07">
        <w:rPr>
          <w:i/>
        </w:rPr>
        <w:fldChar w:fldCharType="end"/>
      </w:r>
      <w:r w:rsidR="08A765DF" w:rsidRPr="003D1E07">
        <w:t xml:space="preserve">). Skrze tento intelekt </w:t>
      </w:r>
      <w:r w:rsidR="00F3517F" w:rsidRPr="003D1E07">
        <w:t xml:space="preserve">přicházející </w:t>
      </w:r>
      <w:r w:rsidR="08A765DF" w:rsidRPr="003D1E07">
        <w:t>z vyšších sfér se duše pozvedne v nové formě abstrakce až do světa aktuálních a oddělených forem a andělských duší. Intelekt darovaný smyslové duši shůry ji umožň</w:t>
      </w:r>
      <w:r w:rsidR="004A7FB6">
        <w:t>uje výstup do světa andělských d</w:t>
      </w:r>
      <w:r w:rsidR="08A765DF" w:rsidRPr="003D1E07">
        <w:t>uší, nás</w:t>
      </w:r>
      <w:r w:rsidR="004A7FB6">
        <w:t>ledně do patra intelektuálních c</w:t>
      </w:r>
      <w:r w:rsidR="08A765DF" w:rsidRPr="003D1E07">
        <w:t xml:space="preserve">herubů a jiných duchových Inteligencí napojených na věčný a neměnný </w:t>
      </w:r>
      <w:r w:rsidR="08A765DF" w:rsidRPr="003D1E07">
        <w:rPr>
          <w:i/>
        </w:rPr>
        <w:t>intellectus agens</w:t>
      </w:r>
      <w:r w:rsidR="08A765DF" w:rsidRPr="003D1E07">
        <w:rPr>
          <w:i/>
        </w:rPr>
        <w:fldChar w:fldCharType="begin"/>
      </w:r>
      <w:r w:rsidR="08A765DF" w:rsidRPr="003D1E07">
        <w:instrText xml:space="preserve"> XE "</w:instrText>
      </w:r>
      <w:r w:rsidR="08A765DF" w:rsidRPr="003D1E07">
        <w:rPr>
          <w:i/>
        </w:rPr>
        <w:instrText>intellectus agens:</w:instrText>
      </w:r>
      <w:r w:rsidR="08A765DF" w:rsidRPr="003D1E07">
        <w:instrText xml:space="preserve">neoplatonismus" </w:instrText>
      </w:r>
      <w:r w:rsidR="08A765DF" w:rsidRPr="003D1E07">
        <w:rPr>
          <w:i/>
        </w:rPr>
        <w:fldChar w:fldCharType="end"/>
      </w:r>
      <w:r w:rsidR="08A765DF" w:rsidRPr="003D1E07">
        <w:rPr>
          <w:i/>
        </w:rPr>
        <w:t xml:space="preserve"> </w:t>
      </w:r>
      <w:r w:rsidR="08A765DF" w:rsidRPr="003D1E07">
        <w:t>hvězdných sfér a na První intelekt, a to v novém aktu nejvyššího lidsky možného nazírání (</w:t>
      </w:r>
      <w:r w:rsidR="08A765DF" w:rsidRPr="003D1E07">
        <w:rPr>
          <w:i/>
        </w:rPr>
        <w:t>al-'aql al-qudsi, intellectus sanctus</w:t>
      </w:r>
      <w:r w:rsidR="08A765DF" w:rsidRPr="003D1E07">
        <w:rPr>
          <w:i/>
        </w:rPr>
        <w:fldChar w:fldCharType="begin"/>
      </w:r>
      <w:r w:rsidR="08A765DF" w:rsidRPr="003D1E07">
        <w:instrText xml:space="preserve"> XE "</w:instrText>
      </w:r>
      <w:r w:rsidR="08A765DF" w:rsidRPr="003D1E07">
        <w:rPr>
          <w:i/>
        </w:rPr>
        <w:instrText>intellectus sanctus</w:instrText>
      </w:r>
      <w:r w:rsidR="08A765DF" w:rsidRPr="003D1E07">
        <w:instrText xml:space="preserve">" </w:instrText>
      </w:r>
      <w:r w:rsidR="08A765DF" w:rsidRPr="003D1E07">
        <w:rPr>
          <w:i/>
        </w:rPr>
        <w:fldChar w:fldCharType="end"/>
      </w:r>
      <w:r w:rsidR="08A765DF" w:rsidRPr="003D1E07">
        <w:t xml:space="preserve">). Boží intelekt </w:t>
      </w:r>
      <w:r w:rsidR="00F45009">
        <w:t>jako d</w:t>
      </w:r>
      <w:r w:rsidR="00F45009" w:rsidRPr="003D1E07">
        <w:t>árce for</w:t>
      </w:r>
      <w:r w:rsidR="00F45009">
        <w:t>em</w:t>
      </w:r>
      <w:r w:rsidR="08A765DF" w:rsidRPr="003D1E07">
        <w:t xml:space="preserve"> </w:t>
      </w:r>
      <w:r w:rsidR="00F45009">
        <w:t xml:space="preserve">a </w:t>
      </w:r>
      <w:r w:rsidR="08A765DF" w:rsidRPr="003D1E07">
        <w:t>lidský</w:t>
      </w:r>
      <w:r w:rsidR="00772CC2">
        <w:t xml:space="preserve"> </w:t>
      </w:r>
      <w:r w:rsidR="00F45009">
        <w:t xml:space="preserve">darovaný </w:t>
      </w:r>
      <w:r w:rsidR="00772CC2">
        <w:t xml:space="preserve">intelekt </w:t>
      </w:r>
      <w:r w:rsidR="00F45009">
        <w:t xml:space="preserve">jsou spojeni </w:t>
      </w:r>
      <w:r w:rsidR="008A2E76">
        <w:t xml:space="preserve">objektivně a </w:t>
      </w:r>
      <w:r w:rsidR="00F45009">
        <w:t>analogicky</w:t>
      </w:r>
      <w:r w:rsidR="000105E9">
        <w:t xml:space="preserve">. </w:t>
      </w:r>
      <w:r w:rsidR="00F45009">
        <w:t>Interní objekt poznání je p</w:t>
      </w:r>
      <w:r w:rsidR="000105E9">
        <w:t xml:space="preserve">roto </w:t>
      </w:r>
      <w:r w:rsidR="08A765DF" w:rsidRPr="003D1E07">
        <w:t xml:space="preserve">je aktualizovaný </w:t>
      </w:r>
      <w:r w:rsidR="00F45009">
        <w:t xml:space="preserve">v modu </w:t>
      </w:r>
      <w:r w:rsidR="00F45009" w:rsidRPr="00F45009">
        <w:rPr>
          <w:i/>
        </w:rPr>
        <w:lastRenderedPageBreak/>
        <w:t>intellectum primum</w:t>
      </w:r>
      <w:r w:rsidR="000105E9">
        <w:t xml:space="preserve">. </w:t>
      </w:r>
      <w:r w:rsidR="00F45009">
        <w:t>Subjekt a objekt splývají</w:t>
      </w:r>
      <w:r w:rsidR="08A765DF" w:rsidRPr="003D1E07">
        <w:t xml:space="preserve"> v jediném mimočasovém aktu </w:t>
      </w:r>
      <w:r w:rsidR="08A765DF" w:rsidRPr="003D1E07">
        <w:rPr>
          <w:i/>
        </w:rPr>
        <w:t xml:space="preserve">intellectio </w:t>
      </w:r>
      <w:r w:rsidR="08A765DF" w:rsidRPr="003D1E07">
        <w:t>chápaného jako</w:t>
      </w:r>
      <w:r w:rsidR="00B241FE">
        <w:t xml:space="preserve"> mystické </w:t>
      </w:r>
      <w:r w:rsidR="08D12D9C" w:rsidRPr="003D1E07">
        <w:rPr>
          <w:i/>
        </w:rPr>
        <w:t>coniunctio</w:t>
      </w:r>
      <w:r w:rsidR="08A765DF" w:rsidRPr="003D1E07">
        <w:rPr>
          <w:i/>
        </w:rPr>
        <w:fldChar w:fldCharType="begin"/>
      </w:r>
      <w:r w:rsidR="08A765DF" w:rsidRPr="003D1E07">
        <w:instrText xml:space="preserve"> XE "</w:instrText>
      </w:r>
      <w:r w:rsidR="08D12D9C" w:rsidRPr="003D1E07">
        <w:rPr>
          <w:i/>
        </w:rPr>
        <w:instrText>coniunctio</w:instrText>
      </w:r>
      <w:r w:rsidR="08A765DF" w:rsidRPr="003D1E07">
        <w:rPr>
          <w:i/>
        </w:rPr>
        <w:instrText>:</w:instrText>
      </w:r>
      <w:r w:rsidR="08A765DF" w:rsidRPr="003D1E07">
        <w:instrText xml:space="preserve">Avicenna" </w:instrText>
      </w:r>
      <w:r w:rsidR="08A765DF" w:rsidRPr="003D1E07">
        <w:rPr>
          <w:i/>
        </w:rPr>
        <w:fldChar w:fldCharType="end"/>
      </w:r>
      <w:r w:rsidR="08A765DF" w:rsidRPr="003D1E07">
        <w:t>. Plné sjednocení duše s bohem podle Avicenny je završeno aktem mystické konjukce, v níž se l</w:t>
      </w:r>
      <w:r w:rsidR="00B241FE">
        <w:t>idský intelekt přemění do podobnosti s boží substancí</w:t>
      </w:r>
      <w:r w:rsidR="08A765DF" w:rsidRPr="003D1E07">
        <w:t>.</w:t>
      </w:r>
      <w:r w:rsidR="08A765DF" w:rsidRPr="003D1E07">
        <w:rPr>
          <w:rStyle w:val="Znakapoznpodarou"/>
        </w:rPr>
        <w:footnoteReference w:id="177"/>
      </w:r>
      <w:r w:rsidR="08A765DF" w:rsidRPr="003D1E07">
        <w:t xml:space="preserve"> Tím vznikne nová forma existence duchovního člověka, v níž je možné přecházet z tohoto materiálního světa do kosmu oddělených forem a inteligencí a zase zpět. Objektivní stavba jsoucna doplnila mystická vyprávění o skoku Mohamedova koně </w:t>
      </w:r>
      <w:r w:rsidR="08A765DF" w:rsidRPr="003D1E07">
        <w:rPr>
          <w:rStyle w:val="st"/>
        </w:rPr>
        <w:t xml:space="preserve">Al-Buráka </w:t>
      </w:r>
      <w:r w:rsidR="08A765DF" w:rsidRPr="003D1E07">
        <w:t>z jeruzalémské mešity Al-Aksa do sedmého nebe (</w:t>
      </w:r>
      <w:r w:rsidR="08A765DF" w:rsidRPr="00772CC2">
        <w:rPr>
          <w:i/>
        </w:rPr>
        <w:t>Korán</w:t>
      </w:r>
      <w:r w:rsidR="08A765DF" w:rsidRPr="003D1E07">
        <w:fldChar w:fldCharType="begin"/>
      </w:r>
      <w:r w:rsidR="08A765DF" w:rsidRPr="003D1E07">
        <w:instrText xml:space="preserve"> XE "Korán" </w:instrText>
      </w:r>
      <w:r w:rsidR="08A765DF" w:rsidRPr="003D1E07">
        <w:fldChar w:fldCharType="end"/>
      </w:r>
      <w:r w:rsidR="08A765DF" w:rsidRPr="003D1E07">
        <w:t>, Súra 17) či biblickou vizi jsoucna spojenou s chozením andělů nahoru a dolů po mystickém Jakubově žebříku</w:t>
      </w:r>
      <w:r w:rsidR="08A765DF" w:rsidRPr="003D1E07">
        <w:fldChar w:fldCharType="begin"/>
      </w:r>
      <w:r w:rsidR="08A765DF" w:rsidRPr="003D1E07">
        <w:instrText xml:space="preserve"> XE "Jakubův žebřík" </w:instrText>
      </w:r>
      <w:r w:rsidR="08A765DF" w:rsidRPr="003D1E07">
        <w:fldChar w:fldCharType="end"/>
      </w:r>
      <w:r w:rsidR="08A765DF" w:rsidRPr="003D1E07">
        <w:t xml:space="preserve"> (</w:t>
      </w:r>
      <w:r w:rsidR="00660DAA" w:rsidRPr="003D1E07">
        <w:rPr>
          <w:i/>
        </w:rPr>
        <w:t>Genesis</w:t>
      </w:r>
      <w:r w:rsidR="004B061D" w:rsidRPr="003D1E07">
        <w:t xml:space="preserve"> </w:t>
      </w:r>
      <w:r w:rsidR="08A765DF" w:rsidRPr="003D1E07">
        <w:t>28:12–18</w:t>
      </w:r>
      <w:r w:rsidR="08A765DF" w:rsidRPr="003D1E07">
        <w:fldChar w:fldCharType="begin"/>
      </w:r>
      <w:r w:rsidR="08A765DF" w:rsidRPr="003D1E07">
        <w:instrText xml:space="preserve"> XE "Starý zákon:Gn 28:12–18" </w:instrText>
      </w:r>
      <w:r w:rsidR="08A765DF" w:rsidRPr="003D1E07">
        <w:fldChar w:fldCharType="end"/>
      </w:r>
      <w:r w:rsidR="08A765DF" w:rsidRPr="003D1E07">
        <w:t>). Toto plně aktuální poznání duchovního člověka je mysticky završeno v gnostické formě spojení s</w:t>
      </w:r>
      <w:r w:rsidR="00ED4871">
        <w:t xml:space="preserve"> moderním </w:t>
      </w:r>
      <w:r w:rsidR="08A765DF" w:rsidRPr="003D1E07">
        <w:t>bohem skrze akt přímé iluminace lidského intelektu (</w:t>
      </w:r>
      <w:r w:rsidR="08A765DF" w:rsidRPr="003D1E07">
        <w:rPr>
          <w:i/>
        </w:rPr>
        <w:t>intellectus sanctus</w:t>
      </w:r>
      <w:r w:rsidR="08A765DF" w:rsidRPr="003D1E07">
        <w:t>).</w:t>
      </w:r>
      <w:r w:rsidR="08A765DF" w:rsidRPr="003D1E07">
        <w:rPr>
          <w:rStyle w:val="Znakapoznpodarou"/>
        </w:rPr>
        <w:footnoteReference w:id="178"/>
      </w:r>
      <w:r w:rsidR="08A765DF" w:rsidRPr="003D1E07">
        <w:t xml:space="preserve"> V </w:t>
      </w:r>
      <w:r w:rsidR="0042289A">
        <w:t xml:space="preserve">aktu osvícení splyne intelekt s dárcem forem. Ten </w:t>
      </w:r>
      <w:r w:rsidR="08A765DF" w:rsidRPr="003D1E07">
        <w:t xml:space="preserve">postupně aktualizoval intelektuální potence duše z primordiálního stavu smyslového poznání až </w:t>
      </w:r>
      <w:r w:rsidR="005B08DA">
        <w:t>do plnosti myšlení.</w:t>
      </w:r>
    </w:p>
    <w:p w14:paraId="1489187F" w14:textId="19221205" w:rsidR="00E27DC1" w:rsidRDefault="00E27DC1" w:rsidP="00E27DC1">
      <w:r w:rsidRPr="00E27DC1">
        <w:t xml:space="preserve">Moderní </w:t>
      </w:r>
      <w:r>
        <w:t xml:space="preserve">Fúrie </w:t>
      </w:r>
      <w:r w:rsidRPr="00E27DC1">
        <w:t xml:space="preserve">jsou však </w:t>
      </w:r>
      <w:r>
        <w:t xml:space="preserve">absolutně </w:t>
      </w:r>
      <w:r w:rsidRPr="00E27DC1">
        <w:t>subjektivní</w:t>
      </w:r>
      <w:r>
        <w:t xml:space="preserve"> a navíc objektivně vzdělané</w:t>
      </w:r>
      <w:r w:rsidR="00D1323F">
        <w:t>. A</w:t>
      </w:r>
      <w:r w:rsidR="00CE1718">
        <w:t xml:space="preserve">kademici </w:t>
      </w:r>
      <w:r w:rsidR="00D1323F">
        <w:t xml:space="preserve">usazení </w:t>
      </w:r>
      <w:r w:rsidRPr="00E27DC1">
        <w:t xml:space="preserve">ve své </w:t>
      </w:r>
      <w:r w:rsidR="00D1323F">
        <w:t xml:space="preserve">intelektuální </w:t>
      </w:r>
      <w:r>
        <w:t xml:space="preserve">hybris </w:t>
      </w:r>
      <w:r w:rsidRPr="00E27DC1">
        <w:t xml:space="preserve">chtějí být i mystiky. </w:t>
      </w:r>
      <w:r w:rsidRPr="00E27DC1">
        <w:rPr>
          <w:i/>
        </w:rPr>
        <w:t>Quod licet Jovi non licet bovi</w:t>
      </w:r>
      <w:r w:rsidRPr="00E27DC1">
        <w:t>.</w:t>
      </w:r>
    </w:p>
    <w:p w14:paraId="1B53DC34" w14:textId="2C01F617" w:rsidR="00F83B9A" w:rsidRDefault="08D630B9" w:rsidP="005B08DA">
      <w:pPr>
        <w:ind w:firstLine="360"/>
      </w:pPr>
      <w:r w:rsidRPr="003D1E07">
        <w:t xml:space="preserve">Nová metafyzika postuluje poznání boha z konceptu univerzálně pojatého jsoucna daného v modu univocity. </w:t>
      </w:r>
      <w:r w:rsidR="00A75C87" w:rsidRPr="003D1E07">
        <w:rPr>
          <w:lang w:eastAsia="en-US"/>
        </w:rPr>
        <w:t xml:space="preserve">Vytvoření boha jako </w:t>
      </w:r>
      <w:r w:rsidR="08D306CA" w:rsidRPr="003D1E07">
        <w:rPr>
          <w:lang w:eastAsia="en-US"/>
        </w:rPr>
        <w:t xml:space="preserve">modernistického simulákra </w:t>
      </w:r>
      <w:r w:rsidR="00885D5B" w:rsidRPr="003D1E07">
        <w:rPr>
          <w:lang w:eastAsia="en-US"/>
        </w:rPr>
        <w:t xml:space="preserve">je </w:t>
      </w:r>
      <w:r w:rsidR="00E04FB2" w:rsidRPr="003D1E07">
        <w:rPr>
          <w:lang w:eastAsia="en-US"/>
        </w:rPr>
        <w:t xml:space="preserve">objektivně </w:t>
      </w:r>
      <w:r w:rsidR="00B87BEB" w:rsidRPr="003D1E07">
        <w:rPr>
          <w:lang w:eastAsia="en-US"/>
        </w:rPr>
        <w:t>nutné k</w:t>
      </w:r>
      <w:r w:rsidR="00033CFA">
        <w:rPr>
          <w:lang w:eastAsia="en-US"/>
        </w:rPr>
        <w:t xml:space="preserve"> následnému </w:t>
      </w:r>
      <w:r w:rsidR="08227A22" w:rsidRPr="003D1E07">
        <w:rPr>
          <w:lang w:eastAsia="en-US"/>
        </w:rPr>
        <w:t>vyvedení</w:t>
      </w:r>
      <w:r w:rsidR="00B87BEB" w:rsidRPr="003D1E07">
        <w:rPr>
          <w:lang w:eastAsia="en-US"/>
        </w:rPr>
        <w:t xml:space="preserve"> (</w:t>
      </w:r>
      <w:r w:rsidR="00C95EF3" w:rsidRPr="003D1E07">
        <w:rPr>
          <w:i/>
          <w:lang w:eastAsia="en-US"/>
        </w:rPr>
        <w:t>deduc</w:t>
      </w:r>
      <w:r w:rsidR="00E04FB2" w:rsidRPr="003D1E07">
        <w:rPr>
          <w:i/>
          <w:lang w:eastAsia="en-US"/>
        </w:rPr>
        <w:t>ere</w:t>
      </w:r>
      <w:r w:rsidR="00753359" w:rsidRPr="003D1E07">
        <w:rPr>
          <w:lang w:eastAsia="en-US"/>
        </w:rPr>
        <w:t xml:space="preserve">) </w:t>
      </w:r>
      <w:r w:rsidR="00B87BEB" w:rsidRPr="003D1E07">
        <w:rPr>
          <w:lang w:eastAsia="en-US"/>
        </w:rPr>
        <w:t xml:space="preserve">jsoucna </w:t>
      </w:r>
      <w:r w:rsidR="00885D5B" w:rsidRPr="003D1E07">
        <w:rPr>
          <w:lang w:eastAsia="en-US"/>
        </w:rPr>
        <w:t xml:space="preserve">od moderního boha </w:t>
      </w:r>
      <w:r w:rsidR="00B87BEB" w:rsidRPr="003D1E07">
        <w:rPr>
          <w:lang w:eastAsia="en-US"/>
        </w:rPr>
        <w:t>do reality</w:t>
      </w:r>
      <w:r w:rsidR="00885D5B" w:rsidRPr="003D1E07">
        <w:rPr>
          <w:lang w:eastAsia="en-US"/>
        </w:rPr>
        <w:t xml:space="preserve">. Tato dedukce </w:t>
      </w:r>
      <w:r w:rsidR="00B87BEB" w:rsidRPr="003D1E07">
        <w:rPr>
          <w:lang w:eastAsia="en-US"/>
        </w:rPr>
        <w:t xml:space="preserve">představuje základní </w:t>
      </w:r>
      <w:r w:rsidR="00656D42" w:rsidRPr="003D1E07">
        <w:rPr>
          <w:lang w:eastAsia="en-US"/>
        </w:rPr>
        <w:t>důvod</w:t>
      </w:r>
      <w:r w:rsidR="00DF4776" w:rsidRPr="003D1E07">
        <w:rPr>
          <w:lang w:eastAsia="en-US"/>
        </w:rPr>
        <w:t xml:space="preserve">, </w:t>
      </w:r>
      <w:r w:rsidR="00656D42" w:rsidRPr="003D1E07">
        <w:rPr>
          <w:lang w:eastAsia="en-US"/>
        </w:rPr>
        <w:t xml:space="preserve">proč aristotelští teologové falsafy </w:t>
      </w:r>
      <w:r w:rsidR="00DF4776" w:rsidRPr="003D1E07">
        <w:rPr>
          <w:lang w:eastAsia="en-US"/>
        </w:rPr>
        <w:t>kritizoval</w:t>
      </w:r>
      <w:r w:rsidR="00656D42" w:rsidRPr="003D1E07">
        <w:rPr>
          <w:lang w:eastAsia="en-US"/>
        </w:rPr>
        <w:t>i</w:t>
      </w:r>
      <w:r w:rsidR="08B702F2" w:rsidRPr="003D1E07">
        <w:rPr>
          <w:lang w:eastAsia="en-US"/>
        </w:rPr>
        <w:t xml:space="preserve"> modernisty jako Avicenna. </w:t>
      </w:r>
      <w:r w:rsidR="08700220" w:rsidRPr="003D1E07">
        <w:rPr>
          <w:lang w:eastAsia="en-US"/>
        </w:rPr>
        <w:t xml:space="preserve">Modernisté chybně interpetovali vědecký důkaz podle </w:t>
      </w:r>
      <w:r w:rsidR="08700220" w:rsidRPr="003D1E07">
        <w:rPr>
          <w:i/>
          <w:lang w:eastAsia="en-US"/>
        </w:rPr>
        <w:t>Druhých analytik</w:t>
      </w:r>
      <w:r w:rsidR="006813D4">
        <w:rPr>
          <w:lang w:eastAsia="en-US"/>
        </w:rPr>
        <w:t xml:space="preserve">, proto </w:t>
      </w:r>
      <w:r w:rsidR="08700220" w:rsidRPr="003D1E07">
        <w:rPr>
          <w:lang w:eastAsia="en-US"/>
        </w:rPr>
        <w:t>mají chybně postavenou metafyziku.</w:t>
      </w:r>
      <w:r w:rsidR="08700220" w:rsidRPr="003D1E07">
        <w:rPr>
          <w:rStyle w:val="Znakapoznpodarou"/>
          <w:lang w:eastAsia="en-US"/>
        </w:rPr>
        <w:footnoteReference w:id="179"/>
      </w:r>
      <w:r w:rsidR="08B702F2" w:rsidRPr="003D1E07">
        <w:rPr>
          <w:lang w:eastAsia="en-US"/>
        </w:rPr>
        <w:t xml:space="preserve"> </w:t>
      </w:r>
      <w:r w:rsidR="004B061D" w:rsidRPr="003D1E07">
        <w:t>Al-Ghazálí</w:t>
      </w:r>
      <w:r w:rsidR="004B061D" w:rsidRPr="003D1E07">
        <w:fldChar w:fldCharType="begin"/>
      </w:r>
      <w:r w:rsidR="004B061D" w:rsidRPr="003D1E07">
        <w:instrText xml:space="preserve"> XE "</w:instrText>
      </w:r>
      <w:r w:rsidR="004B061D" w:rsidRPr="003D1E07">
        <w:rPr>
          <w:rStyle w:val="FontStyle129"/>
          <w:rFonts w:ascii="Calibri" w:hAnsi="Calibri"/>
          <w:sz w:val="24"/>
        </w:rPr>
        <w:instrText>Al-Ghazálí</w:instrText>
      </w:r>
      <w:r w:rsidR="004B061D" w:rsidRPr="003D1E07">
        <w:instrText xml:space="preserve">" </w:instrText>
      </w:r>
      <w:r w:rsidR="004B061D" w:rsidRPr="003D1E07">
        <w:fldChar w:fldCharType="end"/>
      </w:r>
      <w:r w:rsidR="004B061D" w:rsidRPr="003D1E07">
        <w:t xml:space="preserve"> a po něm Averroes zásadně odmítli </w:t>
      </w:r>
      <w:r w:rsidR="083E6000" w:rsidRPr="003D1E07">
        <w:t xml:space="preserve">herezi danou na úrovni objektivního antropomorfismu </w:t>
      </w:r>
      <w:r w:rsidR="004B061D" w:rsidRPr="003D1E07">
        <w:t xml:space="preserve">a vydali fatvy proti </w:t>
      </w:r>
      <w:r w:rsidR="008F2E13" w:rsidRPr="003D1E07">
        <w:t>A</w:t>
      </w:r>
      <w:r w:rsidR="004B061D" w:rsidRPr="003D1E07">
        <w:t>vicennově modernismu. A</w:t>
      </w:r>
      <w:r w:rsidR="08A13F23" w:rsidRPr="003D1E07">
        <w:t>l-Ghazálí</w:t>
      </w:r>
      <w:r w:rsidR="08A13F23" w:rsidRPr="003D1E07">
        <w:fldChar w:fldCharType="begin"/>
      </w:r>
      <w:r w:rsidR="08A13F23" w:rsidRPr="003D1E07">
        <w:instrText xml:space="preserve"> XE "Al-Ghazálí" </w:instrText>
      </w:r>
      <w:r w:rsidR="08A13F23" w:rsidRPr="003D1E07">
        <w:fldChar w:fldCharType="end"/>
      </w:r>
      <w:r w:rsidR="08A13F23" w:rsidRPr="003D1E07">
        <w:t xml:space="preserve"> vytvořil v díle </w:t>
      </w:r>
      <w:r w:rsidR="08C5554C" w:rsidRPr="003D1E07">
        <w:rPr>
          <w:i/>
          <w:iCs/>
        </w:rPr>
        <w:t>Tahāfut al-</w:t>
      </w:r>
      <w:r w:rsidR="08A13F23" w:rsidRPr="003D1E07">
        <w:rPr>
          <w:i/>
          <w:iCs/>
        </w:rPr>
        <w:t>Falāsifah</w:t>
      </w:r>
      <w:r w:rsidR="08A13F23" w:rsidRPr="003D1E07">
        <w:t xml:space="preserve"> (</w:t>
      </w:r>
      <w:r w:rsidR="08A13F23" w:rsidRPr="003D1E07">
        <w:rPr>
          <w:i/>
        </w:rPr>
        <w:t xml:space="preserve">Destructio </w:t>
      </w:r>
      <w:r w:rsidR="08A13F23" w:rsidRPr="003D1E07">
        <w:rPr>
          <w:i/>
        </w:rPr>
        <w:lastRenderedPageBreak/>
        <w:t>philosophorum</w:t>
      </w:r>
      <w:r w:rsidR="08A13F23" w:rsidRPr="003D1E07">
        <w:t xml:space="preserve">, asi 1095) seznam omylů Avicenny. Jeho  teologickou kritiku </w:t>
      </w:r>
      <w:r w:rsidR="00C410FB" w:rsidRPr="003D1E07">
        <w:t>Avicenn</w:t>
      </w:r>
      <w:r w:rsidR="08A13F23" w:rsidRPr="003D1E07">
        <w:t>y lze shrnout do třech základních omylů. Moderna popírá vinou emanací</w:t>
      </w:r>
      <w:r w:rsidR="08A13F23" w:rsidRPr="003D1E07">
        <w:fldChar w:fldCharType="begin"/>
      </w:r>
      <w:r w:rsidR="08A13F23" w:rsidRPr="003D1E07">
        <w:instrText xml:space="preserve"> XE "emanace" </w:instrText>
      </w:r>
      <w:r w:rsidR="08A13F23" w:rsidRPr="003D1E07">
        <w:fldChar w:fldCharType="end"/>
      </w:r>
      <w:r w:rsidR="08A13F23" w:rsidRPr="003D1E07">
        <w:t xml:space="preserve"> stvoření světa bohem v modu </w:t>
      </w:r>
      <w:r w:rsidR="08A13F23" w:rsidRPr="003D1E07">
        <w:rPr>
          <w:i/>
        </w:rPr>
        <w:t>ex nihilo</w:t>
      </w:r>
      <w:r w:rsidR="08A13F23" w:rsidRPr="003D1E07">
        <w:rPr>
          <w:i/>
        </w:rPr>
        <w:fldChar w:fldCharType="begin"/>
      </w:r>
      <w:r w:rsidR="08A13F23" w:rsidRPr="003D1E07">
        <w:instrText xml:space="preserve"> XE "</w:instrText>
      </w:r>
      <w:r w:rsidR="08A13F23" w:rsidRPr="003D1E07">
        <w:rPr>
          <w:i/>
        </w:rPr>
        <w:instrText>creatio ex nihilo</w:instrText>
      </w:r>
      <w:r w:rsidR="08A13F23" w:rsidRPr="003D1E07">
        <w:instrText xml:space="preserve">" </w:instrText>
      </w:r>
      <w:r w:rsidR="08A13F23" w:rsidRPr="003D1E07">
        <w:rPr>
          <w:i/>
        </w:rPr>
        <w:fldChar w:fldCharType="end"/>
      </w:r>
      <w:r w:rsidR="08A13F23" w:rsidRPr="003D1E07">
        <w:t>, deformovala boží atributy a neuznává vzkříšení těla. Filosofové ve své dvojakovosti či ambivalenci (</w:t>
      </w:r>
      <w:r w:rsidR="08A13F23" w:rsidRPr="003D1E07">
        <w:rPr>
          <w:i/>
        </w:rPr>
        <w:t>talbīs</w:t>
      </w:r>
      <w:r w:rsidR="08A13F23" w:rsidRPr="003D1E07">
        <w:t xml:space="preserve">) ukázali, že Nejvyšší nepoznává svět, který stvořil. </w:t>
      </w:r>
      <w:r w:rsidR="087510C6" w:rsidRPr="003D1E07">
        <w:t xml:space="preserve">Al-Ghazálí zásadně odmítl univocitu božího a stvořeného bytí pro definici </w:t>
      </w:r>
      <w:r w:rsidR="005A7DF4">
        <w:t>monoteistického Boha. Pokud se do B</w:t>
      </w:r>
      <w:r w:rsidR="087510C6" w:rsidRPr="003D1E07">
        <w:t xml:space="preserve">oha </w:t>
      </w:r>
      <w:r w:rsidR="005A7DF4">
        <w:t xml:space="preserve">proroků </w:t>
      </w:r>
      <w:r w:rsidR="087510C6" w:rsidRPr="003D1E07">
        <w:t xml:space="preserve">zavede potencialita v jakékoliv formě, jeho bytí se dostane do sféry nemateriálního bytí prvních inteligencí, a tím je dané na úrovni stvoření </w:t>
      </w:r>
      <w:r w:rsidR="087510C6" w:rsidRPr="003D1E07">
        <w:rPr>
          <w:rStyle w:val="FontStyle129"/>
          <w:rFonts w:ascii="Calibri" w:hAnsi="Calibri"/>
          <w:sz w:val="24"/>
        </w:rPr>
        <w:t>(</w:t>
      </w:r>
      <w:r w:rsidR="087510C6" w:rsidRPr="003D1E07">
        <w:rPr>
          <w:i/>
        </w:rPr>
        <w:t>this quiddity will be common to God and all the intelligences</w:t>
      </w:r>
      <w:r w:rsidR="087510C6" w:rsidRPr="003D1E07">
        <w:rPr>
          <w:rStyle w:val="FontStyle129"/>
          <w:rFonts w:ascii="Calibri" w:hAnsi="Calibri"/>
          <w:sz w:val="24"/>
        </w:rPr>
        <w:t>).</w:t>
      </w:r>
      <w:r w:rsidR="087510C6" w:rsidRPr="003D1E07">
        <w:rPr>
          <w:rStyle w:val="Znakapoznpodarou"/>
          <w:szCs w:val="18"/>
        </w:rPr>
        <w:footnoteReference w:id="180"/>
      </w:r>
      <w:r w:rsidR="08416990" w:rsidRPr="003D1E07">
        <w:t xml:space="preserve"> </w:t>
      </w:r>
      <w:r w:rsidR="00691230" w:rsidRPr="003D1E07">
        <w:rPr>
          <w:rStyle w:val="FontStyle129"/>
          <w:rFonts w:ascii="Calibri" w:hAnsi="Calibri"/>
          <w:sz w:val="24"/>
        </w:rPr>
        <w:t>Al-Ghazálí</w:t>
      </w:r>
      <w:r w:rsidR="00691230" w:rsidRPr="003D1E07">
        <w:rPr>
          <w:rStyle w:val="FontStyle129"/>
          <w:rFonts w:ascii="Calibri" w:hAnsi="Calibri"/>
          <w:sz w:val="24"/>
        </w:rPr>
        <w:fldChar w:fldCharType="begin"/>
      </w:r>
      <w:r w:rsidR="00691230" w:rsidRPr="003D1E07">
        <w:instrText xml:space="preserve"> XE "metafyzika:</w:instrText>
      </w:r>
      <w:r w:rsidR="00691230" w:rsidRPr="003D1E07">
        <w:rPr>
          <w:rStyle w:val="FontStyle129"/>
          <w:rFonts w:ascii="Calibri" w:hAnsi="Calibri"/>
          <w:sz w:val="24"/>
        </w:rPr>
        <w:instrText>Al-Ghazálí</w:instrText>
      </w:r>
      <w:r w:rsidR="00691230" w:rsidRPr="003D1E07">
        <w:instrText xml:space="preserve">" </w:instrText>
      </w:r>
      <w:r w:rsidR="00691230" w:rsidRPr="003D1E07">
        <w:rPr>
          <w:rStyle w:val="FontStyle129"/>
          <w:rFonts w:ascii="Calibri" w:hAnsi="Calibri"/>
          <w:sz w:val="24"/>
        </w:rPr>
        <w:fldChar w:fldCharType="end"/>
      </w:r>
      <w:r w:rsidR="00691230" w:rsidRPr="003D1E07">
        <w:rPr>
          <w:rStyle w:val="FontStyle129"/>
          <w:rFonts w:ascii="Calibri" w:hAnsi="Calibri"/>
          <w:sz w:val="24"/>
        </w:rPr>
        <w:t xml:space="preserve"> </w:t>
      </w:r>
      <w:r w:rsidR="00691230" w:rsidRPr="003D1E07">
        <w:t>jasně konstatoval</w:t>
      </w:r>
      <w:r w:rsidR="00691230" w:rsidRPr="003D1E07">
        <w:rPr>
          <w:rStyle w:val="FontStyle129"/>
          <w:rFonts w:ascii="Calibri" w:hAnsi="Calibri"/>
          <w:sz w:val="24"/>
        </w:rPr>
        <w:t xml:space="preserve">, že tehdejší modernisté jako Avicenna vytvořili skrze objektivistickou verzi ontoteologie antropomorfní obraz boha, v němž Stvořitele nešlo odlišit od stvoření. </w:t>
      </w:r>
      <w:r w:rsidR="00291779" w:rsidRPr="003D1E07">
        <w:t xml:space="preserve">Modernisté </w:t>
      </w:r>
      <w:r w:rsidR="087510C6" w:rsidRPr="003D1E07">
        <w:t>vytvořili univoční koncept božího bytí a jeho kauzality</w:t>
      </w:r>
      <w:r w:rsidR="00291779" w:rsidRPr="003D1E07">
        <w:t xml:space="preserve"> (</w:t>
      </w:r>
      <w:r w:rsidR="00291779" w:rsidRPr="003D1E07">
        <w:rPr>
          <w:i/>
        </w:rPr>
        <w:t>reality will include God and its first effect</w:t>
      </w:r>
      <w:r w:rsidR="00291779" w:rsidRPr="003D1E07">
        <w:t>).</w:t>
      </w:r>
      <w:r w:rsidR="00291779" w:rsidRPr="003D1E07">
        <w:rPr>
          <w:rStyle w:val="Znakapoznpodarou"/>
          <w:szCs w:val="18"/>
        </w:rPr>
        <w:footnoteReference w:id="181"/>
      </w:r>
      <w:r w:rsidR="00291779" w:rsidRPr="003D1E07">
        <w:t xml:space="preserve"> </w:t>
      </w:r>
      <w:r w:rsidR="08575A6D" w:rsidRPr="003D1E07">
        <w:t xml:space="preserve">V reakci na kritického Algazela vytvořil </w:t>
      </w:r>
      <w:r w:rsidR="08A13F23" w:rsidRPr="003D1E07">
        <w:t xml:space="preserve">Averroes </w:t>
      </w:r>
      <w:r w:rsidR="08575A6D" w:rsidRPr="003D1E07">
        <w:t xml:space="preserve">novou formu </w:t>
      </w:r>
      <w:r w:rsidR="08437700" w:rsidRPr="003D1E07">
        <w:t xml:space="preserve">filosofické teologie podle </w:t>
      </w:r>
      <w:r w:rsidR="08437700" w:rsidRPr="003D1E07">
        <w:rPr>
          <w:i/>
        </w:rPr>
        <w:t>Metafyziky Lambda</w:t>
      </w:r>
      <w:r w:rsidR="08437700" w:rsidRPr="003D1E07">
        <w:t xml:space="preserve"> </w:t>
      </w:r>
      <w:r w:rsidR="08A13F23" w:rsidRPr="003D1E07">
        <w:t xml:space="preserve">(kap. 2.4). </w:t>
      </w:r>
      <w:r w:rsidR="086B651F" w:rsidRPr="003D1E07">
        <w:t xml:space="preserve">Zatměním boha jako první substance definované v </w:t>
      </w:r>
      <w:r w:rsidR="086B651F" w:rsidRPr="003D1E07">
        <w:rPr>
          <w:i/>
        </w:rPr>
        <w:t xml:space="preserve">Metafyzice </w:t>
      </w:r>
      <w:r w:rsidR="086B651F" w:rsidRPr="003D1E07">
        <w:t>modernisté ztratili boží kauzalit</w:t>
      </w:r>
      <w:r w:rsidR="008C1C9E">
        <w:t>u, protože zrušili aristotelskou predikaci založenou na hyparchické první substanci</w:t>
      </w:r>
      <w:r w:rsidR="086B651F" w:rsidRPr="003D1E07">
        <w:t xml:space="preserve">. </w:t>
      </w:r>
      <w:r w:rsidR="00012B11">
        <w:t>M</w:t>
      </w:r>
      <w:r w:rsidR="005A7DF4">
        <w:t>onoteistický B</w:t>
      </w:r>
      <w:r w:rsidR="086B651F" w:rsidRPr="003D1E07">
        <w:t>ůh přišel o základní atributy jako je život, moudrost, vůle, a stal se vinou filosofie takřka mrtvou bytostí.</w:t>
      </w:r>
      <w:r w:rsidR="086B651F" w:rsidRPr="003D1E07">
        <w:rPr>
          <w:rStyle w:val="Znakapoznpodarou"/>
        </w:rPr>
        <w:footnoteReference w:id="182"/>
      </w:r>
      <w:r w:rsidR="086B651F" w:rsidRPr="003D1E07">
        <w:t xml:space="preserve"> </w:t>
      </w:r>
      <w:r w:rsidR="08EF0E84" w:rsidRPr="003D1E07">
        <w:t>Algazel přesně vidí začátek smrti objektivně definovaného boha</w:t>
      </w:r>
      <w:r w:rsidR="08EF0E84" w:rsidRPr="003D1E07">
        <w:fldChar w:fldCharType="begin"/>
      </w:r>
      <w:r w:rsidR="08EF0E84" w:rsidRPr="003D1E07">
        <w:instrText xml:space="preserve"> XE "smrt boha" </w:instrText>
      </w:r>
      <w:r w:rsidR="08EF0E84" w:rsidRPr="003D1E07">
        <w:fldChar w:fldCharType="end"/>
      </w:r>
      <w:r w:rsidR="08EF0E84" w:rsidRPr="003D1E07">
        <w:t xml:space="preserve"> v metafyzice </w:t>
      </w:r>
      <w:r w:rsidR="08EF0E84" w:rsidRPr="003D1E07">
        <w:rPr>
          <w:i/>
        </w:rPr>
        <w:t>Modernorum</w:t>
      </w:r>
      <w:r w:rsidR="08416990" w:rsidRPr="003D1E07">
        <w:t xml:space="preserve"> a z tohoto zák</w:t>
      </w:r>
      <w:r w:rsidR="082C0850" w:rsidRPr="003D1E07">
        <w:t>ladní</w:t>
      </w:r>
      <w:r w:rsidR="08416990" w:rsidRPr="003D1E07">
        <w:t>ho důvodu ji považuje za tragický omyl</w:t>
      </w:r>
      <w:r w:rsidR="082C0850" w:rsidRPr="003D1E07">
        <w:t>, podobě jako Averroes</w:t>
      </w:r>
      <w:r w:rsidR="08416990" w:rsidRPr="003D1E07">
        <w:t>.</w:t>
      </w:r>
      <w:r w:rsidR="08416990" w:rsidRPr="003D1E07">
        <w:rPr>
          <w:rStyle w:val="Znakapoznpodarou"/>
        </w:rPr>
        <w:footnoteReference w:id="183"/>
      </w:r>
      <w:r w:rsidR="082C0850" w:rsidRPr="003D1E07">
        <w:t xml:space="preserve"> </w:t>
      </w:r>
      <w:r w:rsidR="08EF0E84" w:rsidRPr="003D1E07">
        <w:t>Tento spor se znovu objeví okolo roku 1225 na latinském Západě, kdy Blundova</w:t>
      </w:r>
      <w:r w:rsidR="08DA142E" w:rsidRPr="003D1E07">
        <w:fldChar w:fldCharType="begin"/>
      </w:r>
      <w:r w:rsidR="08DA142E" w:rsidRPr="003D1E07">
        <w:instrText xml:space="preserve"> XE "Blund, J." </w:instrText>
      </w:r>
      <w:r w:rsidR="08DA142E" w:rsidRPr="003D1E07">
        <w:fldChar w:fldCharType="end"/>
      </w:r>
      <w:r w:rsidR="08EF0E84" w:rsidRPr="003D1E07">
        <w:t xml:space="preserve"> škola odkazem na Averroese brání učení osoby proti avicennistickým porretánům (</w:t>
      </w:r>
      <w:r w:rsidR="08697DFA" w:rsidRPr="003D1E07">
        <w:t>OBJ II, kap. 2</w:t>
      </w:r>
      <w:r w:rsidR="08EF0E84" w:rsidRPr="003D1E07">
        <w:t xml:space="preserve">.2.1). </w:t>
      </w:r>
      <w:r w:rsidR="08E30538" w:rsidRPr="003D1E07">
        <w:t xml:space="preserve">Emanační scénář neoplatonismu </w:t>
      </w:r>
      <w:r w:rsidR="08E30538" w:rsidRPr="003D1E07">
        <w:lastRenderedPageBreak/>
        <w:t xml:space="preserve">a avicennismu definoval boha jako čistou intelektuální formu, která se nijak neliší od objektivního diakosmu seskládaného ze jsoucen třetího druhu. Moderní bůh přišel o stvořitelskou kauzalitu danou pouze skrze první substance. </w:t>
      </w:r>
      <w:r w:rsidR="086F2D87" w:rsidRPr="003D1E07">
        <w:t xml:space="preserve">Bůh modernistů se stal demiurgickým snílkem a objektivním teoretikem bez aktuální a reálné existence. </w:t>
      </w:r>
      <w:r w:rsidR="08957AE5" w:rsidRPr="003D1E07">
        <w:t>Al</w:t>
      </w:r>
      <w:r w:rsidR="086B651F" w:rsidRPr="003D1E07">
        <w:t>gazel</w:t>
      </w:r>
      <w:r w:rsidR="08957AE5" w:rsidRPr="003D1E07">
        <w:t xml:space="preserve"> brání aristotelské pojetí první vědy založené na jednotě substance, protože </w:t>
      </w:r>
      <w:r w:rsidR="08957AE5" w:rsidRPr="003D1E07">
        <w:rPr>
          <w:rStyle w:val="FontStyle129"/>
          <w:rFonts w:ascii="Calibri" w:hAnsi="Calibri"/>
          <w:sz w:val="24"/>
        </w:rPr>
        <w:t>m</w:t>
      </w:r>
      <w:r w:rsidR="00653E41" w:rsidRPr="003D1E07">
        <w:rPr>
          <w:rStyle w:val="FontStyle129"/>
          <w:rFonts w:ascii="Calibri" w:hAnsi="Calibri"/>
          <w:sz w:val="24"/>
        </w:rPr>
        <w:t>atematická analogie a</w:t>
      </w:r>
      <w:r w:rsidR="00DD642C" w:rsidRPr="003D1E07">
        <w:rPr>
          <w:rStyle w:val="FontStyle129"/>
          <w:rFonts w:ascii="Calibri" w:hAnsi="Calibri"/>
          <w:sz w:val="24"/>
        </w:rPr>
        <w:t xml:space="preserve"> podobnost v rámci hypostázovaných akcidentů ne</w:t>
      </w:r>
      <w:r w:rsidR="08957AE5" w:rsidRPr="003D1E07">
        <w:rPr>
          <w:rStyle w:val="FontStyle129"/>
          <w:rFonts w:ascii="Calibri" w:hAnsi="Calibri"/>
          <w:sz w:val="24"/>
        </w:rPr>
        <w:t xml:space="preserve">mohou </w:t>
      </w:r>
      <w:r w:rsidR="00DD642C" w:rsidRPr="003D1E07">
        <w:rPr>
          <w:rStyle w:val="FontStyle129"/>
          <w:rFonts w:ascii="Calibri" w:hAnsi="Calibri"/>
          <w:sz w:val="24"/>
        </w:rPr>
        <w:t xml:space="preserve">založit </w:t>
      </w:r>
      <w:r w:rsidR="00653E41" w:rsidRPr="003D1E07">
        <w:rPr>
          <w:rStyle w:val="FontStyle129"/>
          <w:rFonts w:ascii="Calibri" w:hAnsi="Calibri"/>
          <w:sz w:val="24"/>
        </w:rPr>
        <w:t>metafyzik</w:t>
      </w:r>
      <w:r w:rsidR="00DD642C" w:rsidRPr="003D1E07">
        <w:rPr>
          <w:rStyle w:val="FontStyle129"/>
          <w:rFonts w:ascii="Calibri" w:hAnsi="Calibri"/>
          <w:sz w:val="24"/>
        </w:rPr>
        <w:t>u</w:t>
      </w:r>
      <w:r w:rsidR="00291779" w:rsidRPr="003D1E07">
        <w:rPr>
          <w:rStyle w:val="FontStyle129"/>
          <w:rFonts w:ascii="Calibri" w:hAnsi="Calibri"/>
          <w:sz w:val="24"/>
        </w:rPr>
        <w:t xml:space="preserve">. </w:t>
      </w:r>
      <w:r w:rsidR="08957AE5" w:rsidRPr="003D1E07">
        <w:rPr>
          <w:rStyle w:val="FontStyle129"/>
          <w:rFonts w:ascii="Calibri" w:hAnsi="Calibri"/>
          <w:sz w:val="24"/>
        </w:rPr>
        <w:t>Avicennovský a neopl</w:t>
      </w:r>
      <w:r w:rsidR="08C5554C" w:rsidRPr="003D1E07">
        <w:rPr>
          <w:rStyle w:val="FontStyle129"/>
          <w:rFonts w:ascii="Calibri" w:hAnsi="Calibri"/>
          <w:sz w:val="24"/>
        </w:rPr>
        <w:t>atonský projekt světa produkuje Leibnizovu</w:t>
      </w:r>
      <w:r w:rsidR="08957AE5" w:rsidRPr="003D1E07">
        <w:rPr>
          <w:rStyle w:val="FontStyle129"/>
          <w:rFonts w:ascii="Calibri" w:hAnsi="Calibri"/>
          <w:sz w:val="24"/>
        </w:rPr>
        <w:t xml:space="preserve"> </w:t>
      </w:r>
      <w:r w:rsidR="08957AE5" w:rsidRPr="003D1E07">
        <w:rPr>
          <w:rStyle w:val="FontStyle129"/>
          <w:rFonts w:ascii="Calibri" w:hAnsi="Calibri"/>
          <w:i/>
          <w:sz w:val="24"/>
        </w:rPr>
        <w:t>harmonie préétablie</w:t>
      </w:r>
      <w:r w:rsidR="08CF6ECD" w:rsidRPr="003D1E07">
        <w:rPr>
          <w:rStyle w:val="FontStyle129"/>
          <w:rFonts w:ascii="Calibri" w:hAnsi="Calibri"/>
          <w:i/>
          <w:sz w:val="24"/>
        </w:rPr>
        <w:fldChar w:fldCharType="begin"/>
      </w:r>
      <w:r w:rsidR="08CF6ECD" w:rsidRPr="003D1E07">
        <w:instrText xml:space="preserve"> XE "</w:instrText>
      </w:r>
      <w:r w:rsidR="08CF6ECD" w:rsidRPr="003D1E07">
        <w:rPr>
          <w:rStyle w:val="FontStyle129"/>
          <w:rFonts w:ascii="Calibri" w:hAnsi="Calibri"/>
          <w:i/>
          <w:sz w:val="24"/>
        </w:rPr>
        <w:instrText>harmonie préétablie</w:instrText>
      </w:r>
      <w:r w:rsidR="08CF6ECD" w:rsidRPr="003D1E07">
        <w:instrText xml:space="preserve">" </w:instrText>
      </w:r>
      <w:r w:rsidR="08CF6ECD" w:rsidRPr="003D1E07">
        <w:rPr>
          <w:rStyle w:val="FontStyle129"/>
          <w:rFonts w:ascii="Calibri" w:hAnsi="Calibri"/>
          <w:i/>
          <w:sz w:val="24"/>
        </w:rPr>
        <w:fldChar w:fldCharType="end"/>
      </w:r>
      <w:r w:rsidR="08957AE5" w:rsidRPr="003D1E07">
        <w:rPr>
          <w:rStyle w:val="FontStyle129"/>
          <w:rFonts w:ascii="Calibri" w:hAnsi="Calibri"/>
          <w:sz w:val="24"/>
        </w:rPr>
        <w:t xml:space="preserve">, což by znamenalo zrušení </w:t>
      </w:r>
      <w:r w:rsidR="0837424B" w:rsidRPr="003D1E07">
        <w:rPr>
          <w:rStyle w:val="FontStyle129"/>
          <w:rFonts w:ascii="Calibri" w:hAnsi="Calibri"/>
          <w:sz w:val="24"/>
        </w:rPr>
        <w:t xml:space="preserve">suverénní </w:t>
      </w:r>
      <w:r w:rsidR="08957AE5" w:rsidRPr="003D1E07">
        <w:rPr>
          <w:rStyle w:val="FontStyle129"/>
          <w:rFonts w:ascii="Calibri" w:hAnsi="Calibri"/>
          <w:sz w:val="24"/>
        </w:rPr>
        <w:t>boží stvořitelské vůle. Ta je navázána na jedinečno</w:t>
      </w:r>
      <w:r w:rsidR="0837424B" w:rsidRPr="003D1E07">
        <w:rPr>
          <w:rStyle w:val="FontStyle129"/>
          <w:rFonts w:ascii="Calibri" w:hAnsi="Calibri"/>
          <w:sz w:val="24"/>
        </w:rPr>
        <w:t>st</w:t>
      </w:r>
      <w:r w:rsidR="08957AE5" w:rsidRPr="003D1E07">
        <w:rPr>
          <w:rStyle w:val="FontStyle129"/>
          <w:rFonts w:ascii="Calibri" w:hAnsi="Calibri"/>
          <w:sz w:val="24"/>
        </w:rPr>
        <w:t xml:space="preserve"> </w:t>
      </w:r>
      <w:r w:rsidR="0837424B" w:rsidRPr="003D1E07">
        <w:rPr>
          <w:rStyle w:val="FontStyle129"/>
          <w:rFonts w:ascii="Calibri" w:hAnsi="Calibri"/>
          <w:sz w:val="24"/>
        </w:rPr>
        <w:t>existuj</w:t>
      </w:r>
      <w:r w:rsidR="08957AE5" w:rsidRPr="003D1E07">
        <w:rPr>
          <w:rStyle w:val="FontStyle129"/>
          <w:rFonts w:ascii="Calibri" w:hAnsi="Calibri"/>
          <w:sz w:val="24"/>
        </w:rPr>
        <w:t>í</w:t>
      </w:r>
      <w:r w:rsidR="0837424B" w:rsidRPr="003D1E07">
        <w:rPr>
          <w:rStyle w:val="FontStyle129"/>
          <w:rFonts w:ascii="Calibri" w:hAnsi="Calibri"/>
          <w:sz w:val="24"/>
        </w:rPr>
        <w:t xml:space="preserve">cí konstelace </w:t>
      </w:r>
      <w:r w:rsidR="089E56D4" w:rsidRPr="003D1E07">
        <w:rPr>
          <w:rStyle w:val="FontStyle129"/>
          <w:rFonts w:ascii="Calibri" w:hAnsi="Calibri"/>
          <w:sz w:val="24"/>
        </w:rPr>
        <w:t xml:space="preserve">takto stvořeného </w:t>
      </w:r>
      <w:r w:rsidR="0837424B" w:rsidRPr="003D1E07">
        <w:rPr>
          <w:rStyle w:val="FontStyle129"/>
          <w:rFonts w:ascii="Calibri" w:hAnsi="Calibri"/>
          <w:sz w:val="24"/>
        </w:rPr>
        <w:t>světa. S</w:t>
      </w:r>
      <w:r w:rsidR="08957AE5" w:rsidRPr="003D1E07">
        <w:rPr>
          <w:rStyle w:val="FontStyle129"/>
          <w:rFonts w:ascii="Calibri" w:hAnsi="Calibri"/>
          <w:sz w:val="24"/>
        </w:rPr>
        <w:t>pekulace o možných světech nemají hodnotu metafyzic</w:t>
      </w:r>
      <w:r w:rsidR="0837424B" w:rsidRPr="003D1E07">
        <w:rPr>
          <w:rStyle w:val="FontStyle129"/>
          <w:rFonts w:ascii="Calibri" w:hAnsi="Calibri"/>
          <w:sz w:val="24"/>
        </w:rPr>
        <w:t>ké reflexe odvozené od aktuální</w:t>
      </w:r>
      <w:r w:rsidR="08957AE5" w:rsidRPr="003D1E07">
        <w:rPr>
          <w:rStyle w:val="FontStyle129"/>
          <w:rFonts w:ascii="Calibri" w:hAnsi="Calibri"/>
          <w:sz w:val="24"/>
        </w:rPr>
        <w:t>ho stavu prvních kosmických substancí a jejich</w:t>
      </w:r>
      <w:r w:rsidR="0837424B" w:rsidRPr="003D1E07">
        <w:rPr>
          <w:rStyle w:val="FontStyle129"/>
          <w:rFonts w:ascii="Calibri" w:hAnsi="Calibri"/>
          <w:sz w:val="24"/>
        </w:rPr>
        <w:t xml:space="preserve"> kauzálně a tím i časově daného</w:t>
      </w:r>
      <w:r w:rsidR="08957AE5" w:rsidRPr="003D1E07">
        <w:rPr>
          <w:rStyle w:val="FontStyle129"/>
          <w:rFonts w:ascii="Calibri" w:hAnsi="Calibri"/>
          <w:sz w:val="24"/>
        </w:rPr>
        <w:t xml:space="preserve"> řádu.</w:t>
      </w:r>
      <w:r w:rsidR="08957AE5" w:rsidRPr="003D1E07">
        <w:rPr>
          <w:rStyle w:val="Znakapoznpodarou"/>
          <w:szCs w:val="18"/>
        </w:rPr>
        <w:footnoteReference w:id="184"/>
      </w:r>
      <w:r w:rsidR="08957AE5" w:rsidRPr="003D1E07">
        <w:rPr>
          <w:rStyle w:val="FontStyle129"/>
          <w:rFonts w:ascii="Calibri" w:hAnsi="Calibri"/>
          <w:sz w:val="24"/>
        </w:rPr>
        <w:t xml:space="preserve"> </w:t>
      </w:r>
      <w:r w:rsidR="08F935C2" w:rsidRPr="003D1E07">
        <w:rPr>
          <w:rStyle w:val="FontStyle129"/>
          <w:rFonts w:ascii="Calibri" w:hAnsi="Calibri"/>
          <w:sz w:val="24"/>
        </w:rPr>
        <w:t xml:space="preserve">Al-Ghazálího kritika Avicenny odmítá </w:t>
      </w:r>
      <w:r w:rsidR="08E30538" w:rsidRPr="003D1E07">
        <w:rPr>
          <w:rStyle w:val="FontStyle129"/>
          <w:rFonts w:ascii="Calibri" w:hAnsi="Calibri"/>
          <w:sz w:val="24"/>
        </w:rPr>
        <w:t>použití hypotetického syl</w:t>
      </w:r>
      <w:r w:rsidR="009D5A68" w:rsidRPr="003D1E07">
        <w:rPr>
          <w:rStyle w:val="FontStyle129"/>
          <w:rFonts w:ascii="Calibri" w:hAnsi="Calibri"/>
          <w:sz w:val="24"/>
        </w:rPr>
        <w:t>ogismu v moderních důkazech (ibid, 55‒56)</w:t>
      </w:r>
      <w:r w:rsidR="08F935C2" w:rsidRPr="003D1E07">
        <w:rPr>
          <w:rStyle w:val="FontStyle129"/>
          <w:rFonts w:ascii="Calibri" w:hAnsi="Calibri"/>
          <w:sz w:val="24"/>
        </w:rPr>
        <w:t xml:space="preserve">, což Grosseteste a Scotus zavedou po Avicennovi pro latinskou modernu. Spis odsuzující moderní omyly zásadně odmítá neoplatonské pojetí tělesa, času a rozsažnosti  a odmítá je s odkazem na fyzika Galéna jako nesmysl. </w:t>
      </w:r>
      <w:r w:rsidR="00291779" w:rsidRPr="003D1E07">
        <w:rPr>
          <w:rStyle w:val="FontStyle129"/>
          <w:rFonts w:ascii="Calibri" w:hAnsi="Calibri"/>
          <w:sz w:val="24"/>
        </w:rPr>
        <w:t>S</w:t>
      </w:r>
      <w:r w:rsidR="00653E41" w:rsidRPr="003D1E07">
        <w:rPr>
          <w:rStyle w:val="FontStyle129"/>
          <w:rFonts w:ascii="Calibri" w:hAnsi="Calibri"/>
          <w:sz w:val="24"/>
        </w:rPr>
        <w:t xml:space="preserve">eznam kritizovaných omylů </w:t>
      </w:r>
      <w:r w:rsidR="08A04DC6" w:rsidRPr="003D1E07">
        <w:rPr>
          <w:rStyle w:val="FontStyle129"/>
          <w:rFonts w:ascii="Calibri" w:hAnsi="Calibri"/>
          <w:sz w:val="24"/>
        </w:rPr>
        <w:t xml:space="preserve">v díle </w:t>
      </w:r>
      <w:r w:rsidR="08A04DC6" w:rsidRPr="003D1E07">
        <w:rPr>
          <w:i/>
        </w:rPr>
        <w:t>Tahāfut al-Falāsifah</w:t>
      </w:r>
      <w:r w:rsidR="08A04DC6" w:rsidRPr="003D1E07">
        <w:rPr>
          <w:rStyle w:val="FontStyle129"/>
          <w:rFonts w:ascii="Calibri" w:hAnsi="Calibri"/>
          <w:sz w:val="24"/>
        </w:rPr>
        <w:t xml:space="preserve"> </w:t>
      </w:r>
      <w:r w:rsidR="00F96E2F" w:rsidRPr="003D1E07">
        <w:rPr>
          <w:rStyle w:val="FontStyle129"/>
          <w:rFonts w:ascii="Calibri" w:hAnsi="Calibri"/>
          <w:sz w:val="24"/>
        </w:rPr>
        <w:t>(ibid, p. 11</w:t>
      </w:r>
      <w:r w:rsidR="007A313C" w:rsidRPr="003D1E07">
        <w:rPr>
          <w:rFonts w:eastAsia="NewAster"/>
        </w:rPr>
        <w:fldChar w:fldCharType="begin"/>
      </w:r>
      <w:r w:rsidR="007A313C" w:rsidRPr="003D1E07">
        <w:instrText xml:space="preserve"> XE "Al-Ghazálí:</w:instrText>
      </w:r>
      <w:r w:rsidR="007A313C" w:rsidRPr="003D1E07">
        <w:rPr>
          <w:i/>
        </w:rPr>
        <w:instrText>Tahāfut al-Falāsifah</w:instrText>
      </w:r>
      <w:r w:rsidR="007A313C" w:rsidRPr="003D1E07">
        <w:instrText xml:space="preserve"> 11" </w:instrText>
      </w:r>
      <w:r w:rsidR="007A313C" w:rsidRPr="003D1E07">
        <w:rPr>
          <w:rFonts w:eastAsia="NewAster"/>
        </w:rPr>
        <w:fldChar w:fldCharType="end"/>
      </w:r>
      <w:r w:rsidR="00F96E2F" w:rsidRPr="003D1E07">
        <w:rPr>
          <w:rStyle w:val="FontStyle129"/>
          <w:rFonts w:ascii="Calibri" w:hAnsi="Calibri"/>
          <w:sz w:val="24"/>
        </w:rPr>
        <w:t xml:space="preserve">) </w:t>
      </w:r>
      <w:r w:rsidR="004C2D3E" w:rsidRPr="003D1E07">
        <w:rPr>
          <w:rStyle w:val="FontStyle129"/>
          <w:rFonts w:ascii="Calibri" w:hAnsi="Calibri"/>
          <w:sz w:val="24"/>
        </w:rPr>
        <w:t xml:space="preserve">předznamenává </w:t>
      </w:r>
      <w:r w:rsidR="00653E41" w:rsidRPr="003D1E07">
        <w:rPr>
          <w:rStyle w:val="FontStyle129"/>
          <w:rFonts w:ascii="Calibri" w:hAnsi="Calibri"/>
          <w:sz w:val="24"/>
        </w:rPr>
        <w:t>klíčové spory v scholastice kolem 1270</w:t>
      </w:r>
      <w:r w:rsidR="001528EE" w:rsidRPr="003D1E07">
        <w:rPr>
          <w:rStyle w:val="FontStyle129"/>
          <w:rFonts w:ascii="Calibri" w:hAnsi="Calibri"/>
          <w:sz w:val="24"/>
        </w:rPr>
        <w:t xml:space="preserve"> mezi prvním a druhým averroismem</w:t>
      </w:r>
      <w:r w:rsidR="00653E41" w:rsidRPr="003D1E07">
        <w:rPr>
          <w:rStyle w:val="FontStyle129"/>
          <w:rFonts w:ascii="Calibri" w:hAnsi="Calibri"/>
          <w:sz w:val="24"/>
        </w:rPr>
        <w:t xml:space="preserve">. </w:t>
      </w:r>
      <w:r w:rsidR="088F6FA8" w:rsidRPr="003D1E07">
        <w:t xml:space="preserve">Aristotelikové </w:t>
      </w:r>
      <w:r w:rsidR="08D63EDA" w:rsidRPr="003D1E07">
        <w:t xml:space="preserve">falsafy </w:t>
      </w:r>
      <w:r w:rsidR="004D5A44" w:rsidRPr="003D1E07">
        <w:t xml:space="preserve">bránili argumentaci </w:t>
      </w:r>
      <w:r w:rsidR="004D5A44" w:rsidRPr="003D1E07">
        <w:rPr>
          <w:i/>
        </w:rPr>
        <w:t xml:space="preserve">Metafyziky Lambda </w:t>
      </w:r>
      <w:r w:rsidR="004D5A44" w:rsidRPr="003D1E07">
        <w:t xml:space="preserve">proti </w:t>
      </w:r>
      <w:r w:rsidR="08D63EDA" w:rsidRPr="003D1E07">
        <w:t xml:space="preserve">prvním </w:t>
      </w:r>
      <w:r w:rsidR="088F6FA8" w:rsidRPr="003D1E07">
        <w:t>modernistům</w:t>
      </w:r>
      <w:r w:rsidR="004D5A44" w:rsidRPr="003D1E07">
        <w:t>. Be</w:t>
      </w:r>
      <w:r w:rsidR="00FD431C" w:rsidRPr="003D1E07">
        <w:t xml:space="preserve">z </w:t>
      </w:r>
      <w:r w:rsidR="088F6FA8" w:rsidRPr="003D1E07">
        <w:t xml:space="preserve">reálné </w:t>
      </w:r>
      <w:r w:rsidR="00FD431C" w:rsidRPr="003D1E07">
        <w:t xml:space="preserve">kauzality </w:t>
      </w:r>
      <w:r w:rsidR="088F6FA8" w:rsidRPr="003D1E07">
        <w:t xml:space="preserve">a bez reálného světa </w:t>
      </w:r>
      <w:r w:rsidR="00FD431C" w:rsidRPr="003D1E07">
        <w:t xml:space="preserve">nemá </w:t>
      </w:r>
      <w:r w:rsidR="086F2D87" w:rsidRPr="003D1E07">
        <w:t xml:space="preserve">myšlení </w:t>
      </w:r>
      <w:r w:rsidR="00FD431C" w:rsidRPr="003D1E07">
        <w:t xml:space="preserve">žádný způsob, jak zajistit </w:t>
      </w:r>
      <w:r w:rsidR="08F44CD0" w:rsidRPr="003D1E07">
        <w:t xml:space="preserve">absolutně odlišné bytí </w:t>
      </w:r>
      <w:r w:rsidR="00FD431C" w:rsidRPr="003D1E07">
        <w:t xml:space="preserve">Nehybného hybatele. </w:t>
      </w:r>
      <w:r w:rsidR="08103249" w:rsidRPr="003D1E07">
        <w:rPr>
          <w:rStyle w:val="Zvraznn"/>
          <w:i w:val="0"/>
        </w:rPr>
        <w:t>Moderní koncept jsoucna nemá nic společného se skutečným bytí</w:t>
      </w:r>
      <w:r w:rsidR="0033010A">
        <w:rPr>
          <w:rStyle w:val="Zvraznn"/>
          <w:i w:val="0"/>
        </w:rPr>
        <w:t>m první substance, a tím méně s B</w:t>
      </w:r>
      <w:r w:rsidR="08103249" w:rsidRPr="003D1E07">
        <w:rPr>
          <w:rStyle w:val="Zvraznn"/>
          <w:i w:val="0"/>
        </w:rPr>
        <w:t>o</w:t>
      </w:r>
      <w:r w:rsidR="0033010A">
        <w:rPr>
          <w:rStyle w:val="Zvraznn"/>
          <w:i w:val="0"/>
        </w:rPr>
        <w:t>hem</w:t>
      </w:r>
      <w:r w:rsidR="00300C6B">
        <w:rPr>
          <w:rStyle w:val="Zvraznn"/>
          <w:i w:val="0"/>
        </w:rPr>
        <w:t xml:space="preserve"> p</w:t>
      </w:r>
      <w:r w:rsidR="00A05E54">
        <w:rPr>
          <w:rStyle w:val="Zvraznn"/>
          <w:i w:val="0"/>
        </w:rPr>
        <w:t>roroků</w:t>
      </w:r>
      <w:r w:rsidR="08103249" w:rsidRPr="003D1E07">
        <w:rPr>
          <w:rStyle w:val="Zvraznn"/>
          <w:i w:val="0"/>
        </w:rPr>
        <w:t xml:space="preserve">. </w:t>
      </w:r>
      <w:r w:rsidR="083637A3" w:rsidRPr="003D1E07">
        <w:rPr>
          <w:rStyle w:val="Zvraznn"/>
          <w:i w:val="0"/>
        </w:rPr>
        <w:t xml:space="preserve">Aristotelští teologové a filosofové falsafy jako Al-Ghazálí </w:t>
      </w:r>
      <w:r w:rsidR="08CB07FE" w:rsidRPr="003D1E07">
        <w:rPr>
          <w:rStyle w:val="Zvraznn"/>
          <w:i w:val="0"/>
        </w:rPr>
        <w:t xml:space="preserve">a Averroes </w:t>
      </w:r>
      <w:r w:rsidR="083637A3" w:rsidRPr="003D1E07">
        <w:rPr>
          <w:rStyle w:val="Zvraznn"/>
          <w:i w:val="0"/>
        </w:rPr>
        <w:t>jasně viděli</w:t>
      </w:r>
      <w:r w:rsidR="08C847C9" w:rsidRPr="003D1E07">
        <w:rPr>
          <w:rStyle w:val="Zvraznn"/>
          <w:i w:val="0"/>
        </w:rPr>
        <w:t xml:space="preserve"> na rozdíl od dnešních </w:t>
      </w:r>
      <w:r w:rsidR="08E93B7B" w:rsidRPr="003D1E07">
        <w:rPr>
          <w:rStyle w:val="Zvraznn"/>
          <w:i w:val="0"/>
        </w:rPr>
        <w:t xml:space="preserve">postmoderních </w:t>
      </w:r>
      <w:r w:rsidR="087A351C" w:rsidRPr="003D1E07">
        <w:rPr>
          <w:rStyle w:val="Zvraznn"/>
          <w:i w:val="0"/>
        </w:rPr>
        <w:t xml:space="preserve">a nihilistických </w:t>
      </w:r>
      <w:r w:rsidR="08C847C9" w:rsidRPr="003D1E07">
        <w:rPr>
          <w:rStyle w:val="Zvraznn"/>
          <w:i w:val="0"/>
        </w:rPr>
        <w:t>teologů</w:t>
      </w:r>
      <w:r w:rsidR="087A351C" w:rsidRPr="003D1E07">
        <w:rPr>
          <w:rStyle w:val="Zvraznn"/>
          <w:i w:val="0"/>
        </w:rPr>
        <w:t xml:space="preserve"> latinského Západu</w:t>
      </w:r>
      <w:r w:rsidR="083637A3" w:rsidRPr="003D1E07">
        <w:rPr>
          <w:rStyle w:val="Zvraznn"/>
          <w:i w:val="0"/>
        </w:rPr>
        <w:t>, že ontoteologická jednota jsoucna je dána pouz</w:t>
      </w:r>
      <w:r w:rsidR="08FB601D" w:rsidRPr="003D1E07">
        <w:rPr>
          <w:rStyle w:val="Zvraznn"/>
          <w:i w:val="0"/>
        </w:rPr>
        <w:t xml:space="preserve">e v mysli moderních iluminátů. </w:t>
      </w:r>
      <w:r w:rsidR="08C96A11" w:rsidRPr="003D1E07">
        <w:rPr>
          <w:rStyle w:val="Zvraznn"/>
          <w:i w:val="0"/>
        </w:rPr>
        <w:t xml:space="preserve">Antropomorfizace boha, navíc založená na chybné metafyzice, byla pro vzdělané aristotelské </w:t>
      </w:r>
      <w:r w:rsidR="00FD431C" w:rsidRPr="003D1E07">
        <w:t xml:space="preserve">teology kalámu </w:t>
      </w:r>
      <w:r w:rsidR="08C96A11" w:rsidRPr="003D1E07">
        <w:t>naprosto nepřijatelná</w:t>
      </w:r>
      <w:r w:rsidR="00FD431C" w:rsidRPr="003D1E07">
        <w:t xml:space="preserve">. </w:t>
      </w:r>
      <w:r w:rsidR="08C96A11" w:rsidRPr="003D1E07">
        <w:t>Al-</w:t>
      </w:r>
      <w:r w:rsidR="08FF6D13" w:rsidRPr="003D1E07">
        <w:t>Gh</w:t>
      </w:r>
      <w:r w:rsidR="08C96A11" w:rsidRPr="003D1E07">
        <w:t>azálí</w:t>
      </w:r>
      <w:r w:rsidR="085F5696" w:rsidRPr="003D1E07">
        <w:t xml:space="preserve">, Averroes </w:t>
      </w:r>
      <w:r w:rsidR="08FF6D13" w:rsidRPr="003D1E07">
        <w:t>a p</w:t>
      </w:r>
      <w:r w:rsidR="085F5696" w:rsidRPr="003D1E07">
        <w:t xml:space="preserve">o nich </w:t>
      </w:r>
      <w:r w:rsidR="08C96A11" w:rsidRPr="003D1E07">
        <w:t>latinští aristotelikové kritizují</w:t>
      </w:r>
      <w:r w:rsidR="08EB7FB3" w:rsidRPr="003D1E07">
        <w:t xml:space="preserve"> sofistické užití predikace</w:t>
      </w:r>
      <w:r w:rsidR="08FF6D13" w:rsidRPr="003D1E07">
        <w:t xml:space="preserve"> </w:t>
      </w:r>
      <w:r w:rsidR="080F6500" w:rsidRPr="003D1E07">
        <w:rPr>
          <w:i/>
        </w:rPr>
        <w:t>in artifici</w:t>
      </w:r>
      <w:r w:rsidR="08FF6D13" w:rsidRPr="003D1E07">
        <w:rPr>
          <w:i/>
        </w:rPr>
        <w:t>alibus</w:t>
      </w:r>
      <w:r w:rsidR="08FF6D13" w:rsidRPr="003D1E07">
        <w:fldChar w:fldCharType="begin"/>
      </w:r>
      <w:r w:rsidR="08FF6D13" w:rsidRPr="003D1E07">
        <w:instrText xml:space="preserve"> XE "predikace:</w:instrText>
      </w:r>
      <w:r w:rsidR="08FF6D13" w:rsidRPr="003D1E07">
        <w:rPr>
          <w:i/>
        </w:rPr>
        <w:instrText>in artific</w:instrText>
      </w:r>
      <w:r w:rsidR="080F6500" w:rsidRPr="003D1E07">
        <w:rPr>
          <w:i/>
        </w:rPr>
        <w:instrText>i</w:instrText>
      </w:r>
      <w:r w:rsidR="08FF6D13" w:rsidRPr="003D1E07">
        <w:rPr>
          <w:i/>
        </w:rPr>
        <w:instrText>alibus</w:instrText>
      </w:r>
      <w:r w:rsidR="08FF6D13" w:rsidRPr="003D1E07">
        <w:instrText xml:space="preserve">" </w:instrText>
      </w:r>
      <w:r w:rsidR="08FF6D13" w:rsidRPr="003D1E07">
        <w:fldChar w:fldCharType="end"/>
      </w:r>
      <w:r w:rsidR="08FF6D13" w:rsidRPr="003D1E07">
        <w:t xml:space="preserve">, která z </w:t>
      </w:r>
      <w:r w:rsidR="00F06B78">
        <w:t>B</w:t>
      </w:r>
      <w:r w:rsidR="08FF6D13" w:rsidRPr="003D1E07">
        <w:t xml:space="preserve">oha </w:t>
      </w:r>
      <w:r w:rsidR="00F06B78">
        <w:lastRenderedPageBreak/>
        <w:t xml:space="preserve">proroků </w:t>
      </w:r>
      <w:r w:rsidR="08FF6D13" w:rsidRPr="003D1E07">
        <w:t xml:space="preserve">udělala </w:t>
      </w:r>
      <w:r w:rsidR="08E10792" w:rsidRPr="003D1E07">
        <w:t xml:space="preserve">objektivního </w:t>
      </w:r>
      <w:r w:rsidR="08FF6D13" w:rsidRPr="003D1E07">
        <w:t>emanačního agenta.</w:t>
      </w:r>
      <w:r w:rsidR="08FF6D13" w:rsidRPr="003D1E07">
        <w:rPr>
          <w:rStyle w:val="Znakapoznpodarou"/>
        </w:rPr>
        <w:footnoteReference w:id="185"/>
      </w:r>
      <w:r w:rsidR="08FF6D13" w:rsidRPr="003D1E07">
        <w:t xml:space="preserve"> A tím spíše není možné dělat nějakou antropomorfní generickou predikaci spojující boží a lidský intelekt</w:t>
      </w:r>
      <w:r w:rsidR="0077224F" w:rsidRPr="003D1E07">
        <w:t xml:space="preserve">. Tuto herezi už odmítl </w:t>
      </w:r>
      <w:r w:rsidR="08785340" w:rsidRPr="003D1E07">
        <w:t xml:space="preserve">Ibn Ádí </w:t>
      </w:r>
      <w:r w:rsidR="0077224F" w:rsidRPr="003D1E07">
        <w:t xml:space="preserve">v debatě s ašaritskými neoplatoniky, kteří </w:t>
      </w:r>
      <w:r w:rsidR="08454DF8" w:rsidRPr="003D1E07">
        <w:t>háj</w:t>
      </w:r>
      <w:r w:rsidR="0077224F" w:rsidRPr="003D1E07">
        <w:t xml:space="preserve">ili </w:t>
      </w:r>
      <w:r w:rsidR="08454DF8" w:rsidRPr="003D1E07">
        <w:t xml:space="preserve">neoplatonské formy </w:t>
      </w:r>
      <w:r w:rsidR="088C4B87" w:rsidRPr="003D1E07">
        <w:t>emana</w:t>
      </w:r>
      <w:r w:rsidR="08454DF8" w:rsidRPr="003D1E07">
        <w:t>ce</w:t>
      </w:r>
      <w:r w:rsidR="08504EA7" w:rsidRPr="003D1E07">
        <w:t>. N</w:t>
      </w:r>
      <w:r w:rsidR="08ED2FA1" w:rsidRPr="003D1E07">
        <w:t xml:space="preserve">a latinském Západě završila </w:t>
      </w:r>
      <w:r w:rsidR="08504EA7" w:rsidRPr="003D1E07">
        <w:t xml:space="preserve">tento epochální omyl </w:t>
      </w:r>
      <w:r w:rsidR="08ED2FA1" w:rsidRPr="003D1E07">
        <w:t xml:space="preserve">Leibnizova avicennistická </w:t>
      </w:r>
      <w:r w:rsidR="08ED2FA1" w:rsidRPr="003D1E07">
        <w:rPr>
          <w:i/>
        </w:rPr>
        <w:t>mathesis universalis</w:t>
      </w:r>
      <w:r w:rsidR="08ED2FA1" w:rsidRPr="003D1E07">
        <w:rPr>
          <w:i/>
        </w:rPr>
        <w:fldChar w:fldCharType="begin"/>
      </w:r>
      <w:r w:rsidR="08ED2FA1" w:rsidRPr="003D1E07">
        <w:instrText xml:space="preserve"> XE "</w:instrText>
      </w:r>
      <w:r w:rsidR="08ED2FA1" w:rsidRPr="003D1E07">
        <w:rPr>
          <w:i/>
        </w:rPr>
        <w:instrText>mathesis universalis</w:instrText>
      </w:r>
      <w:r w:rsidR="08ED2FA1" w:rsidRPr="003D1E07">
        <w:instrText xml:space="preserve">" </w:instrText>
      </w:r>
      <w:r w:rsidR="08ED2FA1" w:rsidRPr="003D1E07">
        <w:rPr>
          <w:i/>
        </w:rPr>
        <w:fldChar w:fldCharType="end"/>
      </w:r>
      <w:r w:rsidR="089B4232" w:rsidRPr="003D1E07">
        <w:t xml:space="preserve"> a ve věku metafy</w:t>
      </w:r>
      <w:r w:rsidR="08504EA7" w:rsidRPr="003D1E07">
        <w:t xml:space="preserve">zického nihilismu tuto agónii boha </w:t>
      </w:r>
      <w:r w:rsidR="0855643D" w:rsidRPr="003D1E07">
        <w:rPr>
          <w:i/>
        </w:rPr>
        <w:t>M</w:t>
      </w:r>
      <w:r w:rsidR="08504EA7" w:rsidRPr="003D1E07">
        <w:rPr>
          <w:i/>
        </w:rPr>
        <w:t>odernorum</w:t>
      </w:r>
      <w:r w:rsidR="08504EA7" w:rsidRPr="003D1E07">
        <w:t xml:space="preserve"> prodlužují spekulace </w:t>
      </w:r>
      <w:r w:rsidR="08504EA7" w:rsidRPr="003D1E07">
        <w:rPr>
          <w:i/>
        </w:rPr>
        <w:t>Reformed Epistemology</w:t>
      </w:r>
      <w:r w:rsidR="08504EA7" w:rsidRPr="003D1E07">
        <w:rPr>
          <w:i/>
        </w:rPr>
        <w:fldChar w:fldCharType="begin"/>
      </w:r>
      <w:r w:rsidR="08504EA7" w:rsidRPr="003D1E07">
        <w:instrText xml:space="preserve"> XE "</w:instrText>
      </w:r>
      <w:r w:rsidR="08504EA7" w:rsidRPr="003D1E07">
        <w:rPr>
          <w:i/>
        </w:rPr>
        <w:instrText>Reformed Epistemology</w:instrText>
      </w:r>
      <w:r w:rsidR="08504EA7" w:rsidRPr="003D1E07">
        <w:instrText xml:space="preserve">" </w:instrText>
      </w:r>
      <w:r w:rsidR="08504EA7" w:rsidRPr="003D1E07">
        <w:rPr>
          <w:i/>
        </w:rPr>
        <w:fldChar w:fldCharType="end"/>
      </w:r>
      <w:r w:rsidR="08504EA7" w:rsidRPr="003D1E07">
        <w:t xml:space="preserve">. </w:t>
      </w:r>
      <w:r w:rsidR="08FF6D13" w:rsidRPr="003D1E07">
        <w:t xml:space="preserve">Vzdělaní aristotelští teologové </w:t>
      </w:r>
      <w:r w:rsidR="08742BE2" w:rsidRPr="003D1E07">
        <w:t xml:space="preserve">kalámu a </w:t>
      </w:r>
      <w:r w:rsidR="086632D5" w:rsidRPr="003D1E07">
        <w:t xml:space="preserve">perského </w:t>
      </w:r>
      <w:r w:rsidR="08742BE2" w:rsidRPr="003D1E07">
        <w:t xml:space="preserve">křesťanství </w:t>
      </w:r>
      <w:r w:rsidR="088F6FA8" w:rsidRPr="003D1E07">
        <w:t xml:space="preserve">během </w:t>
      </w:r>
      <w:r w:rsidR="08742BE2" w:rsidRPr="003D1E07">
        <w:t xml:space="preserve">10. a 11. století </w:t>
      </w:r>
      <w:r w:rsidR="08FF6D13" w:rsidRPr="003D1E07">
        <w:t>odmítli univoční rozvrh metafyziky</w:t>
      </w:r>
      <w:r w:rsidR="085B47DA" w:rsidRPr="003D1E07">
        <w:t xml:space="preserve"> uzavřený Avicenn</w:t>
      </w:r>
      <w:r w:rsidR="08B21C7E" w:rsidRPr="003D1E07">
        <w:t>ou. A</w:t>
      </w:r>
      <w:r w:rsidR="08342099" w:rsidRPr="003D1E07">
        <w:t xml:space="preserve">ntropomorfní </w:t>
      </w:r>
      <w:r w:rsidR="085B47DA" w:rsidRPr="003D1E07">
        <w:t xml:space="preserve">bůh </w:t>
      </w:r>
      <w:r w:rsidR="08342099" w:rsidRPr="003D1E07">
        <w:t xml:space="preserve">Modernistů přišel </w:t>
      </w:r>
      <w:r w:rsidR="08AA1CCC" w:rsidRPr="003D1E07">
        <w:t xml:space="preserve">v objektivní univoční metafyzice </w:t>
      </w:r>
      <w:r w:rsidR="08342099" w:rsidRPr="003D1E07">
        <w:t xml:space="preserve">o své </w:t>
      </w:r>
      <w:r w:rsidR="08AA1CCC" w:rsidRPr="003D1E07">
        <w:t xml:space="preserve">jedinečné </w:t>
      </w:r>
      <w:r w:rsidR="08342099" w:rsidRPr="003D1E07">
        <w:t xml:space="preserve">bytí a </w:t>
      </w:r>
      <w:r w:rsidR="085B47DA" w:rsidRPr="003D1E07">
        <w:t>dostal</w:t>
      </w:r>
      <w:r w:rsidR="08FF6D13" w:rsidRPr="003D1E07">
        <w:t xml:space="preserve"> </w:t>
      </w:r>
      <w:r w:rsidR="08782220" w:rsidRPr="003D1E07">
        <w:t xml:space="preserve">se </w:t>
      </w:r>
      <w:r w:rsidR="08FF6D13" w:rsidRPr="003D1E07">
        <w:t xml:space="preserve">na úroveň </w:t>
      </w:r>
      <w:r w:rsidR="08782220" w:rsidRPr="003D1E07">
        <w:t xml:space="preserve">fiktivně daného </w:t>
      </w:r>
      <w:r w:rsidR="08EA69E7" w:rsidRPr="003D1E07">
        <w:t xml:space="preserve">objektivního </w:t>
      </w:r>
      <w:r w:rsidR="08782220" w:rsidRPr="003D1E07">
        <w:t>jsoucna</w:t>
      </w:r>
      <w:r w:rsidR="08FF6D13" w:rsidRPr="003D1E07">
        <w:t xml:space="preserve">. </w:t>
      </w:r>
      <w:r w:rsidR="083D4405" w:rsidRPr="003D1E07">
        <w:t>Proto aristotelští mutazilité zásadně odmítli objektivní antropomorfismus modernistů jako</w:t>
      </w:r>
      <w:r w:rsidR="08B77C69" w:rsidRPr="003D1E07">
        <w:t xml:space="preserve"> byl</w:t>
      </w:r>
      <w:r w:rsidR="083D4405" w:rsidRPr="003D1E07">
        <w:t xml:space="preserve"> Avicenna. </w:t>
      </w:r>
      <w:r w:rsidR="00656D42" w:rsidRPr="003D1E07">
        <w:t>Al-G</w:t>
      </w:r>
      <w:r w:rsidR="002D71F1" w:rsidRPr="003D1E07">
        <w:t>h</w:t>
      </w:r>
      <w:r w:rsidR="00656D42" w:rsidRPr="003D1E07">
        <w:t>azálího</w:t>
      </w:r>
      <w:r w:rsidR="00BF6E3C" w:rsidRPr="003D1E07">
        <w:fldChar w:fldCharType="begin"/>
      </w:r>
      <w:r w:rsidR="00BF6E3C" w:rsidRPr="003D1E07">
        <w:instrText xml:space="preserve"> XE "</w:instrText>
      </w:r>
      <w:r w:rsidR="00247EF8" w:rsidRPr="003D1E07">
        <w:instrText>Al-</w:instrText>
      </w:r>
      <w:r w:rsidR="00BF6E3C" w:rsidRPr="003D1E07">
        <w:instrText xml:space="preserve">Ghazálí" </w:instrText>
      </w:r>
      <w:r w:rsidR="00BF6E3C" w:rsidRPr="003D1E07">
        <w:fldChar w:fldCharType="end"/>
      </w:r>
      <w:r w:rsidR="00656D42" w:rsidRPr="003D1E07">
        <w:t xml:space="preserve"> kritika neoplatoniků sleduje aristotelskou námitku o nemožnosti jednoty mimo </w:t>
      </w:r>
      <w:r w:rsidR="08742BE2" w:rsidRPr="003D1E07">
        <w:t xml:space="preserve">kauzalitu reálné </w:t>
      </w:r>
      <w:r w:rsidR="00656D42" w:rsidRPr="003D1E07">
        <w:t>p</w:t>
      </w:r>
      <w:r w:rsidR="08742BE2" w:rsidRPr="003D1E07">
        <w:t>rvní substance</w:t>
      </w:r>
      <w:r w:rsidR="00656D42" w:rsidRPr="003D1E07">
        <w:t xml:space="preserve">. </w:t>
      </w:r>
      <w:r w:rsidR="00782FFB" w:rsidRPr="003D1E07">
        <w:t xml:space="preserve">Pokud bůh ve světě </w:t>
      </w:r>
      <w:r w:rsidR="002047B6">
        <w:t xml:space="preserve">reálně </w:t>
      </w:r>
      <w:r w:rsidR="00782FFB" w:rsidRPr="003D1E07">
        <w:t xml:space="preserve">působí, pak jeho </w:t>
      </w:r>
      <w:r w:rsidR="00285025" w:rsidRPr="003D1E07">
        <w:t xml:space="preserve">teologicky definované </w:t>
      </w:r>
      <w:r w:rsidR="00782FFB" w:rsidRPr="003D1E07">
        <w:t xml:space="preserve">bytí musí být </w:t>
      </w:r>
      <w:r w:rsidR="00285025" w:rsidRPr="003D1E07">
        <w:t xml:space="preserve">zásadně </w:t>
      </w:r>
      <w:r w:rsidR="00782FFB" w:rsidRPr="003D1E07">
        <w:t xml:space="preserve">odděleno </w:t>
      </w:r>
      <w:r w:rsidR="00285025" w:rsidRPr="003D1E07">
        <w:t xml:space="preserve">od </w:t>
      </w:r>
      <w:r w:rsidR="007903C8" w:rsidRPr="003D1E07">
        <w:t>fantastiky predikujícího božského intelektu</w:t>
      </w:r>
      <w:r w:rsidR="08B77C69" w:rsidRPr="003D1E07">
        <w:t xml:space="preserve">. Přirozené poznání boha </w:t>
      </w:r>
      <w:r w:rsidR="00285025" w:rsidRPr="003D1E07">
        <w:t xml:space="preserve">jako </w:t>
      </w:r>
      <w:r w:rsidR="002001F6" w:rsidRPr="003D1E07">
        <w:rPr>
          <w:i/>
        </w:rPr>
        <w:t>c</w:t>
      </w:r>
      <w:r w:rsidR="00285025" w:rsidRPr="003D1E07">
        <w:rPr>
          <w:i/>
        </w:rPr>
        <w:t>ausa prima</w:t>
      </w:r>
      <w:r w:rsidR="00285025" w:rsidRPr="003D1E07">
        <w:rPr>
          <w:i/>
        </w:rPr>
        <w:fldChar w:fldCharType="begin"/>
      </w:r>
      <w:r w:rsidR="00285025" w:rsidRPr="003D1E07">
        <w:instrText xml:space="preserve"> XE "</w:instrText>
      </w:r>
      <w:r w:rsidR="00285025" w:rsidRPr="003D1E07">
        <w:rPr>
          <w:i/>
        </w:rPr>
        <w:instrText>causa prima</w:instrText>
      </w:r>
      <w:r w:rsidR="00285025" w:rsidRPr="003D1E07">
        <w:instrText xml:space="preserve">" </w:instrText>
      </w:r>
      <w:r w:rsidR="00285025" w:rsidRPr="003D1E07">
        <w:rPr>
          <w:i/>
        </w:rPr>
        <w:fldChar w:fldCharType="end"/>
      </w:r>
      <w:r w:rsidR="08B77C69" w:rsidRPr="003D1E07">
        <w:t xml:space="preserve"> predikuje podle </w:t>
      </w:r>
      <w:r w:rsidR="08B77C69" w:rsidRPr="003D1E07">
        <w:rPr>
          <w:i/>
        </w:rPr>
        <w:t>Druhých analytik</w:t>
      </w:r>
      <w:r w:rsidR="08B77C69" w:rsidRPr="003D1E07">
        <w:t xml:space="preserve"> </w:t>
      </w:r>
      <w:r w:rsidR="00285025" w:rsidRPr="003D1E07">
        <w:t>v</w:t>
      </w:r>
      <w:r w:rsidR="00782FFB" w:rsidRPr="003D1E07">
        <w:t>ědecky konstatovateln</w:t>
      </w:r>
      <w:r w:rsidR="00285025" w:rsidRPr="003D1E07">
        <w:t>ou</w:t>
      </w:r>
      <w:r w:rsidR="00782FFB" w:rsidRPr="003D1E07">
        <w:t xml:space="preserve"> kauzalit</w:t>
      </w:r>
      <w:r w:rsidR="00285025" w:rsidRPr="003D1E07">
        <w:t>u</w:t>
      </w:r>
      <w:r w:rsidR="00782FFB" w:rsidRPr="003D1E07">
        <w:t xml:space="preserve"> dan</w:t>
      </w:r>
      <w:r w:rsidR="00285025" w:rsidRPr="003D1E07">
        <w:t>ou</w:t>
      </w:r>
      <w:r w:rsidR="00782FFB" w:rsidRPr="003D1E07">
        <w:t xml:space="preserve"> na úrovni prvních substancí. </w:t>
      </w:r>
      <w:r w:rsidR="08605811" w:rsidRPr="003D1E07">
        <w:t xml:space="preserve">Co je boží bytí samo o sobě, to nepatří do filosofie zkoumající vědecky pouze svět </w:t>
      </w:r>
      <w:r w:rsidR="086E510D" w:rsidRPr="003D1E07">
        <w:t xml:space="preserve">aktuálních prvních </w:t>
      </w:r>
      <w:r w:rsidR="08605811" w:rsidRPr="003D1E07">
        <w:t>substancí</w:t>
      </w:r>
      <w:r w:rsidR="08FE5D8F" w:rsidRPr="003D1E07">
        <w:t xml:space="preserve"> a jejich kauzalitu</w:t>
      </w:r>
      <w:r w:rsidR="08605811" w:rsidRPr="003D1E07">
        <w:t xml:space="preserve">. Ontoteologie Avicenny </w:t>
      </w:r>
      <w:r w:rsidR="08FC7FBF" w:rsidRPr="003D1E07">
        <w:t xml:space="preserve">a tím i celé moderny </w:t>
      </w:r>
      <w:r w:rsidR="08605811" w:rsidRPr="003D1E07">
        <w:t xml:space="preserve">je proto principiálně mylná. </w:t>
      </w:r>
      <w:r w:rsidR="00A75C87" w:rsidRPr="003D1E07">
        <w:t xml:space="preserve">Al-Ghazálí je prvním představitelem teorie dvojí </w:t>
      </w:r>
      <w:r w:rsidR="0892322A" w:rsidRPr="003D1E07">
        <w:t>cesty k jedné pravdě</w:t>
      </w:r>
      <w:r w:rsidR="00A75C87" w:rsidRPr="003D1E07">
        <w:fldChar w:fldCharType="begin"/>
      </w:r>
      <w:r w:rsidR="00A75C87" w:rsidRPr="003D1E07">
        <w:instrText xml:space="preserve"> XE "teorie dvojí pravdy" </w:instrText>
      </w:r>
      <w:r w:rsidR="00A75C87" w:rsidRPr="003D1E07">
        <w:fldChar w:fldCharType="end"/>
      </w:r>
      <w:r w:rsidR="08FE5D8F" w:rsidRPr="003D1E07">
        <w:t>, která rozlišila</w:t>
      </w:r>
      <w:r w:rsidR="00A75C87" w:rsidRPr="003D1E07">
        <w:t xml:space="preserve"> rodově odlišné</w:t>
      </w:r>
      <w:r w:rsidR="08BB733D" w:rsidRPr="003D1E07">
        <w:t xml:space="preserve"> zkoumání teologie a filosofie.</w:t>
      </w:r>
    </w:p>
    <w:p w14:paraId="2F4672B9" w14:textId="3634BE0E" w:rsidR="00EE47DD" w:rsidRDefault="00C77F99" w:rsidP="00F83B9A">
      <w:pPr>
        <w:ind w:firstLine="360"/>
      </w:pPr>
      <w:r>
        <w:t>Ontoteologie moderního boha</w:t>
      </w:r>
      <w:r w:rsidR="08376A04" w:rsidRPr="003D1E07">
        <w:t xml:space="preserve"> vznikl</w:t>
      </w:r>
      <w:r>
        <w:t>a</w:t>
      </w:r>
      <w:r w:rsidR="08376A04" w:rsidRPr="003D1E07">
        <w:t xml:space="preserve"> v bagdádském Domě moudrosti, který za </w:t>
      </w:r>
      <w:r w:rsidR="00DC11E4">
        <w:t xml:space="preserve">neoplatonských </w:t>
      </w:r>
      <w:r w:rsidR="08376A04" w:rsidRPr="003D1E07">
        <w:t xml:space="preserve">ašaritů </w:t>
      </w:r>
      <w:r w:rsidR="00DC11E4">
        <w:t xml:space="preserve">vytvořil </w:t>
      </w:r>
      <w:r w:rsidR="08376A04" w:rsidRPr="003D1E07">
        <w:t xml:space="preserve">první dějství tragikomedie objektivity. Jakákoliv myšlenka je v bohu daná nutně, což </w:t>
      </w:r>
      <w:r w:rsidR="0851397E" w:rsidRPr="003D1E07">
        <w:t xml:space="preserve">zajišťuje každému takto myšlenému obsahu </w:t>
      </w:r>
      <w:r w:rsidR="08115562" w:rsidRPr="003D1E07">
        <w:t>minimání porci jsoucnosti</w:t>
      </w:r>
      <w:r w:rsidR="00C9019A" w:rsidRPr="003D1E07">
        <w:t xml:space="preserve">. </w:t>
      </w:r>
      <w:r w:rsidR="0836060D" w:rsidRPr="003D1E07">
        <w:t>Objektivně n</w:t>
      </w:r>
      <w:r w:rsidR="00C9019A" w:rsidRPr="003D1E07">
        <w:t xml:space="preserve">utné </w:t>
      </w:r>
      <w:r w:rsidR="0836060D" w:rsidRPr="003D1E07">
        <w:t>jsoucno</w:t>
      </w:r>
      <w:r w:rsidR="00C9019A" w:rsidRPr="003D1E07">
        <w:t xml:space="preserve"> m</w:t>
      </w:r>
      <w:r w:rsidR="0851397E" w:rsidRPr="003D1E07">
        <w:t xml:space="preserve">á důvod existence pouze v sobě, protože tvoří součást božího bytí. </w:t>
      </w:r>
      <w:r w:rsidR="00A46468" w:rsidRPr="003D1E07">
        <w:t>S</w:t>
      </w:r>
      <w:r w:rsidR="00C9019A" w:rsidRPr="003D1E07">
        <w:t>ingulární možnost</w:t>
      </w:r>
      <w:r w:rsidR="08820595" w:rsidRPr="003D1E07">
        <w:t xml:space="preserve"> </w:t>
      </w:r>
      <w:r w:rsidR="089D09F4" w:rsidRPr="003D1E07">
        <w:t>„</w:t>
      </w:r>
      <w:r w:rsidR="082F6C82" w:rsidRPr="003D1E07">
        <w:t>myslet</w:t>
      </w:r>
      <w:r w:rsidR="08820595" w:rsidRPr="003D1E07">
        <w:t xml:space="preserve"> </w:t>
      </w:r>
      <w:r w:rsidR="089D09F4" w:rsidRPr="003D1E07">
        <w:t>něco“ (</w:t>
      </w:r>
      <w:r w:rsidR="089D09F4" w:rsidRPr="003D1E07">
        <w:rPr>
          <w:i/>
        </w:rPr>
        <w:t>hoc esse tantum</w:t>
      </w:r>
      <w:r w:rsidR="089D09F4" w:rsidRPr="003D1E07">
        <w:t xml:space="preserve">) </w:t>
      </w:r>
      <w:r w:rsidR="000C7E53">
        <w:t>pak „</w:t>
      </w:r>
      <w:r w:rsidR="00A46468" w:rsidRPr="003D1E07">
        <w:t>ex</w:t>
      </w:r>
      <w:r w:rsidR="000C7E53">
        <w:t>s</w:t>
      </w:r>
      <w:r w:rsidR="00A46468" w:rsidRPr="003D1E07">
        <w:t>istuje</w:t>
      </w:r>
      <w:r w:rsidR="000C7E53">
        <w:t>“</w:t>
      </w:r>
      <w:r w:rsidR="00A46468" w:rsidRPr="003D1E07">
        <w:t xml:space="preserve"> </w:t>
      </w:r>
      <w:r w:rsidR="08820595" w:rsidRPr="003D1E07">
        <w:t xml:space="preserve">v modu </w:t>
      </w:r>
      <w:r w:rsidR="08820595" w:rsidRPr="003D1E07">
        <w:rPr>
          <w:i/>
        </w:rPr>
        <w:t>semel</w:t>
      </w:r>
      <w:r w:rsidR="08820595" w:rsidRPr="003D1E07">
        <w:t>‒</w:t>
      </w:r>
      <w:r w:rsidR="08820595" w:rsidRPr="003D1E07">
        <w:rPr>
          <w:i/>
        </w:rPr>
        <w:t>semper</w:t>
      </w:r>
      <w:r w:rsidR="082F6C82" w:rsidRPr="003D1E07">
        <w:t xml:space="preserve">. </w:t>
      </w:r>
      <w:r w:rsidR="007F3769" w:rsidRPr="003D1E07">
        <w:t xml:space="preserve">Emanační scénář </w:t>
      </w:r>
      <w:r w:rsidR="007F3769" w:rsidRPr="003D1E07">
        <w:rPr>
          <w:rStyle w:val="addmd"/>
          <w:i/>
        </w:rPr>
        <w:fldChar w:fldCharType="begin"/>
      </w:r>
      <w:r w:rsidR="007F3769" w:rsidRPr="003D1E07">
        <w:instrText xml:space="preserve"> XE "emanace" </w:instrText>
      </w:r>
      <w:r w:rsidR="007F3769" w:rsidRPr="003D1E07">
        <w:rPr>
          <w:rStyle w:val="addmd"/>
          <w:i/>
        </w:rPr>
        <w:fldChar w:fldCharType="end"/>
      </w:r>
      <w:r w:rsidR="007F3769" w:rsidRPr="003D1E07">
        <w:t xml:space="preserve"> moderny je daný v aristotelské verzi monoteismu, protože Avicenna zavrhl filosofický panteismus</w:t>
      </w:r>
      <w:r w:rsidR="007F3769" w:rsidRPr="003D1E07">
        <w:fldChar w:fldCharType="begin"/>
      </w:r>
      <w:r w:rsidR="007F3769" w:rsidRPr="003D1E07">
        <w:instrText xml:space="preserve"> XE "panteismus" </w:instrText>
      </w:r>
      <w:r w:rsidR="007F3769" w:rsidRPr="003D1E07">
        <w:fldChar w:fldCharType="end"/>
      </w:r>
      <w:r w:rsidR="007F3769" w:rsidRPr="003D1E07">
        <w:t xml:space="preserve"> Plotinových </w:t>
      </w:r>
      <w:r w:rsidR="007F3769" w:rsidRPr="003D1E07">
        <w:rPr>
          <w:i/>
        </w:rPr>
        <w:t>Enneád</w:t>
      </w:r>
      <w:r w:rsidR="007F3769" w:rsidRPr="003D1E07">
        <w:t xml:space="preserve">. </w:t>
      </w:r>
      <w:r w:rsidR="08E10A52" w:rsidRPr="003D1E07">
        <w:t xml:space="preserve">Neoplatonská emanace </w:t>
      </w:r>
      <w:r w:rsidR="008056ED">
        <w:t xml:space="preserve">je </w:t>
      </w:r>
      <w:r w:rsidR="08E10A52" w:rsidRPr="003D1E07">
        <w:t xml:space="preserve">daná </w:t>
      </w:r>
      <w:r w:rsidR="00AD5F69" w:rsidRPr="003D1E07">
        <w:t>jako aktuální forma</w:t>
      </w:r>
      <w:r w:rsidR="08E10A52" w:rsidRPr="003D1E07">
        <w:t xml:space="preserve">, </w:t>
      </w:r>
      <w:r w:rsidR="008056ED">
        <w:t xml:space="preserve">kdežto Avicenna nechává emanaci v rámci aristotelské potence. </w:t>
      </w:r>
      <w:r w:rsidR="08376A04" w:rsidRPr="003D1E07">
        <w:t xml:space="preserve"> </w:t>
      </w:r>
      <w:r w:rsidR="008056ED" w:rsidRPr="003D1E07">
        <w:lastRenderedPageBreak/>
        <w:t xml:space="preserve">V boží mysli vzniká intencionální určení identity věci. </w:t>
      </w:r>
      <w:r w:rsidR="008056ED">
        <w:t>I</w:t>
      </w:r>
      <w:r w:rsidR="00AD5F69" w:rsidRPr="003D1E07">
        <w:t xml:space="preserve">ntence </w:t>
      </w:r>
      <w:r w:rsidR="008056ED">
        <w:t xml:space="preserve">je daná pouze </w:t>
      </w:r>
      <w:r w:rsidR="08376A04" w:rsidRPr="003D1E07">
        <w:t>potenciálně</w:t>
      </w:r>
      <w:r w:rsidR="008056ED">
        <w:t xml:space="preserve"> a </w:t>
      </w:r>
      <w:r w:rsidR="00476E00" w:rsidRPr="003D1E07">
        <w:t xml:space="preserve">je zásadně oddělena </w:t>
      </w:r>
      <w:r w:rsidR="08E10A52" w:rsidRPr="003D1E07">
        <w:t xml:space="preserve">od aktu </w:t>
      </w:r>
      <w:r w:rsidR="00476E00" w:rsidRPr="003D1E07">
        <w:t>aktuálního tvoření</w:t>
      </w:r>
      <w:r w:rsidR="08E10A52" w:rsidRPr="003D1E07">
        <w:t xml:space="preserve">. </w:t>
      </w:r>
      <w:r w:rsidR="08EB211B" w:rsidRPr="003D1E07">
        <w:t xml:space="preserve">Boží myšlení potenciálního stvoření </w:t>
      </w:r>
      <w:r w:rsidR="08756BFB" w:rsidRPr="003D1E07">
        <w:t>se tím od</w:t>
      </w:r>
      <w:r w:rsidR="00826B20">
        <w:t xml:space="preserve">dělilo od aktuálně stvořeného </w:t>
      </w:r>
      <w:r w:rsidR="00476E00" w:rsidRPr="003D1E07">
        <w:t>světa</w:t>
      </w:r>
      <w:r w:rsidR="08EB211B" w:rsidRPr="003D1E07">
        <w:t xml:space="preserve">. </w:t>
      </w:r>
      <w:r w:rsidR="08E10A52" w:rsidRPr="003D1E07">
        <w:t xml:space="preserve">Minimální koncept takto intendovaného individua se již liší od jiného intencionálního obsahu, protože i toto prozatím neexistující A je nutně různé od non-A. </w:t>
      </w:r>
      <w:r w:rsidR="08481C9C" w:rsidRPr="003D1E07">
        <w:t xml:space="preserve">K </w:t>
      </w:r>
      <w:r w:rsidR="08E10A52" w:rsidRPr="003D1E07">
        <w:t xml:space="preserve">této minimální jsoucnosti věci v boží mysli se pak přidá aktualizace daného </w:t>
      </w:r>
      <w:r w:rsidR="08E10A52" w:rsidRPr="003D1E07">
        <w:rPr>
          <w:i/>
        </w:rPr>
        <w:t>tertium ens</w:t>
      </w:r>
      <w:r w:rsidR="08E10A52" w:rsidRPr="003D1E07">
        <w:t xml:space="preserve"> v čase božího stvoření nebo lidského tvoření. </w:t>
      </w:r>
      <w:r w:rsidR="00C9019A" w:rsidRPr="003D1E07">
        <w:t>Stvořitelský proces</w:t>
      </w:r>
      <w:r w:rsidR="004A055A" w:rsidRPr="003D1E07">
        <w:t xml:space="preserve"> běží cestou komita</w:t>
      </w:r>
      <w:r w:rsidR="089C0211" w:rsidRPr="003D1E07">
        <w:t>ce</w:t>
      </w:r>
      <w:r w:rsidR="00EB71B3" w:rsidRPr="003D1E07">
        <w:fldChar w:fldCharType="begin"/>
      </w:r>
      <w:r w:rsidR="00EB71B3" w:rsidRPr="003D1E07">
        <w:instrText xml:space="preserve"> XE "komitace" </w:instrText>
      </w:r>
      <w:r w:rsidR="00EB71B3" w:rsidRPr="003D1E07">
        <w:fldChar w:fldCharType="end"/>
      </w:r>
      <w:r w:rsidR="089C0211" w:rsidRPr="003D1E07">
        <w:t xml:space="preserve"> této identity směrem dolů</w:t>
      </w:r>
      <w:r w:rsidR="08453583" w:rsidRPr="003D1E07">
        <w:t xml:space="preserve">, kdy boží demiurgická </w:t>
      </w:r>
      <w:r w:rsidR="082C2A43" w:rsidRPr="003D1E07">
        <w:t xml:space="preserve">vůle vytváří </w:t>
      </w:r>
      <w:r w:rsidR="08453583" w:rsidRPr="003D1E07">
        <w:t>aktuální stav stvoření</w:t>
      </w:r>
      <w:r w:rsidR="089C0211" w:rsidRPr="003D1E07">
        <w:t xml:space="preserve">. </w:t>
      </w:r>
      <w:r w:rsidR="00CC1773" w:rsidRPr="003D1E07">
        <w:t>Původní rámec komitace najdeme u Jamblicha v jeho trinitárním modelu emanace</w:t>
      </w:r>
      <w:r w:rsidR="00CC1773" w:rsidRPr="003D1E07">
        <w:fldChar w:fldCharType="begin"/>
      </w:r>
      <w:r w:rsidR="00CC1773" w:rsidRPr="003D1E07">
        <w:instrText xml:space="preserve"> XE "emanace" </w:instrText>
      </w:r>
      <w:r w:rsidR="00CC1773" w:rsidRPr="003D1E07">
        <w:fldChar w:fldCharType="end"/>
      </w:r>
      <w:r w:rsidR="00CC1773" w:rsidRPr="003D1E07">
        <w:t xml:space="preserve"> intelektuálních obsahů směrem od Bytí-Jednoho (kap. 1.</w:t>
      </w:r>
      <w:r w:rsidR="08226779" w:rsidRPr="003D1E07">
        <w:t>3</w:t>
      </w:r>
      <w:r w:rsidR="00CC1773" w:rsidRPr="003D1E07">
        <w:t xml:space="preserve">.1). Falsafa znala </w:t>
      </w:r>
      <w:r w:rsidR="00874074" w:rsidRPr="003D1E07">
        <w:t>neoplatonsk</w:t>
      </w:r>
      <w:r w:rsidR="00CC1773" w:rsidRPr="003D1E07">
        <w:t xml:space="preserve">ou komitaci skrze dílo </w:t>
      </w:r>
      <w:r w:rsidR="00CC1773" w:rsidRPr="003D1E07">
        <w:rPr>
          <w:i/>
        </w:rPr>
        <w:t>Theologia Aristotelis</w:t>
      </w:r>
      <w:r w:rsidR="00CC1773" w:rsidRPr="003D1E07">
        <w:t>, kde v první emanaci Jednoho koexistuje vedle sebe intelekt, bytí a jeho hypostáze.</w:t>
      </w:r>
      <w:r w:rsidR="00CC1773" w:rsidRPr="003D1E07">
        <w:rPr>
          <w:rStyle w:val="Znakapoznpodarou"/>
        </w:rPr>
        <w:footnoteReference w:id="186"/>
      </w:r>
      <w:r w:rsidR="00CC1773" w:rsidRPr="003D1E07">
        <w:t xml:space="preserve"> </w:t>
      </w:r>
      <w:r w:rsidR="08342D28" w:rsidRPr="003D1E07">
        <w:t xml:space="preserve">Ibn Ádí zásadně přepracoval neoplatonský výklad Aristotelovy teologie tím, že změnil pojetí </w:t>
      </w:r>
      <w:r w:rsidR="00183EDA">
        <w:t xml:space="preserve">emanace </w:t>
      </w:r>
      <w:r w:rsidR="00193AE1">
        <w:t>na komitativní predikaci</w:t>
      </w:r>
      <w:r w:rsidR="00A93102">
        <w:t xml:space="preserve"> </w:t>
      </w:r>
      <w:r w:rsidR="00A93102" w:rsidRPr="003D1E07">
        <w:t>(kap. 2.2)</w:t>
      </w:r>
      <w:r w:rsidR="08640199" w:rsidRPr="003D1E07">
        <w:t xml:space="preserve">. Tento aristotelik vytvořil ve sféře Jednoho první model </w:t>
      </w:r>
      <w:r w:rsidR="08342D28" w:rsidRPr="003D1E07">
        <w:t xml:space="preserve">kategoriální </w:t>
      </w:r>
      <w:r w:rsidR="08640199" w:rsidRPr="003D1E07">
        <w:t>predikace založený na čistém nazírání diference dané buď sebereflexivně pro Boží Trojici</w:t>
      </w:r>
      <w:r w:rsidR="00A93102">
        <w:t xml:space="preserve"> (aktualita)</w:t>
      </w:r>
      <w:r w:rsidR="08640199" w:rsidRPr="003D1E07">
        <w:t xml:space="preserve">, nebo reflexivně pro stvoření </w:t>
      </w:r>
      <w:r w:rsidR="00A93102">
        <w:t>(potencialita)</w:t>
      </w:r>
      <w:r w:rsidR="08640199" w:rsidRPr="003D1E07">
        <w:t xml:space="preserve">. </w:t>
      </w:r>
      <w:r w:rsidR="00A50EBA">
        <w:t>M</w:t>
      </w:r>
      <w:r w:rsidR="001A0019">
        <w:t xml:space="preserve">odel komitace dostal </w:t>
      </w:r>
      <w:r w:rsidR="08342D28" w:rsidRPr="003D1E07">
        <w:t>epochálně nov</w:t>
      </w:r>
      <w:r w:rsidR="001A0019">
        <w:t xml:space="preserve">ou podobu </w:t>
      </w:r>
      <w:r w:rsidR="08342D28" w:rsidRPr="003D1E07">
        <w:t xml:space="preserve">v modu </w:t>
      </w:r>
      <w:r w:rsidR="08346258" w:rsidRPr="003D1E07">
        <w:rPr>
          <w:i/>
        </w:rPr>
        <w:t>esse ad</w:t>
      </w:r>
      <w:r w:rsidR="086A5BB4" w:rsidRPr="003D1E07">
        <w:rPr>
          <w:i/>
        </w:rPr>
        <w:fldChar w:fldCharType="begin"/>
      </w:r>
      <w:r w:rsidR="086A5BB4" w:rsidRPr="003D1E07">
        <w:instrText xml:space="preserve"> XE "</w:instrText>
      </w:r>
      <w:r w:rsidR="086A5BB4" w:rsidRPr="003D1E07">
        <w:rPr>
          <w:i/>
        </w:rPr>
        <w:instrText>esse ad</w:instrText>
      </w:r>
      <w:r w:rsidR="089E3CAC" w:rsidRPr="003D1E07">
        <w:instrText>:Ibn Ádí</w:instrText>
      </w:r>
      <w:r w:rsidR="086A5BB4" w:rsidRPr="003D1E07">
        <w:instrText xml:space="preserve">" </w:instrText>
      </w:r>
      <w:r w:rsidR="086A5BB4" w:rsidRPr="003D1E07">
        <w:rPr>
          <w:i/>
        </w:rPr>
        <w:fldChar w:fldCharType="end"/>
      </w:r>
      <w:r w:rsidR="08045A62" w:rsidRPr="003D1E07">
        <w:t xml:space="preserve">. V bohu vzniká nová sféra </w:t>
      </w:r>
      <w:r w:rsidR="088709EC" w:rsidRPr="003D1E07">
        <w:rPr>
          <w:i/>
        </w:rPr>
        <w:t>tertium ens</w:t>
      </w:r>
      <w:r w:rsidR="088709EC" w:rsidRPr="003D1E07">
        <w:t xml:space="preserve"> </w:t>
      </w:r>
      <w:r w:rsidR="08045A62" w:rsidRPr="003D1E07">
        <w:t>daná r</w:t>
      </w:r>
      <w:r w:rsidR="00CC1773" w:rsidRPr="003D1E07">
        <w:t xml:space="preserve">ozdílem mezi </w:t>
      </w:r>
      <w:r w:rsidR="08045A62" w:rsidRPr="003D1E07">
        <w:t xml:space="preserve">imanentní </w:t>
      </w:r>
      <w:r w:rsidR="00CC1773" w:rsidRPr="003D1E07">
        <w:t xml:space="preserve">boží esencí </w:t>
      </w:r>
      <w:r w:rsidR="0845725F" w:rsidRPr="003D1E07">
        <w:t>danou</w:t>
      </w:r>
      <w:r w:rsidR="088709EC" w:rsidRPr="003D1E07">
        <w:t xml:space="preserve"> v</w:t>
      </w:r>
      <w:r w:rsidR="08015154" w:rsidRPr="003D1E07">
        <w:t xml:space="preserve"> rámci B</w:t>
      </w:r>
      <w:r w:rsidR="0845725F" w:rsidRPr="003D1E07">
        <w:t>oží Trojice</w:t>
      </w:r>
      <w:r w:rsidR="08015154" w:rsidRPr="003D1E07">
        <w:rPr>
          <w:lang w:eastAsia="en-US"/>
        </w:rPr>
        <w:fldChar w:fldCharType="begin"/>
      </w:r>
      <w:r w:rsidR="08015154" w:rsidRPr="003D1E07">
        <w:instrText xml:space="preserve"> XE "</w:instrText>
      </w:r>
      <w:r w:rsidR="08015154" w:rsidRPr="003D1E07">
        <w:rPr>
          <w:lang w:eastAsia="en-US"/>
        </w:rPr>
        <w:instrText>Boží Trojice</w:instrText>
      </w:r>
      <w:r w:rsidR="08015154" w:rsidRPr="003D1E07">
        <w:instrText xml:space="preserve">" </w:instrText>
      </w:r>
      <w:r w:rsidR="08015154" w:rsidRPr="003D1E07">
        <w:rPr>
          <w:lang w:eastAsia="en-US"/>
        </w:rPr>
        <w:fldChar w:fldCharType="end"/>
      </w:r>
      <w:r w:rsidR="0845725F" w:rsidRPr="003D1E07">
        <w:t xml:space="preserve"> </w:t>
      </w:r>
      <w:r w:rsidR="00CC1773" w:rsidRPr="003D1E07">
        <w:t xml:space="preserve">a </w:t>
      </w:r>
      <w:r w:rsidR="089F1082" w:rsidRPr="003D1E07">
        <w:t xml:space="preserve">mezi </w:t>
      </w:r>
      <w:r w:rsidR="08B86709" w:rsidRPr="003D1E07">
        <w:t>transcendent</w:t>
      </w:r>
      <w:r w:rsidR="084F58AA" w:rsidRPr="003D1E07">
        <w:t>n</w:t>
      </w:r>
      <w:r w:rsidR="08B86709" w:rsidRPr="003D1E07">
        <w:t xml:space="preserve">í </w:t>
      </w:r>
      <w:r w:rsidR="088709EC" w:rsidRPr="003D1E07">
        <w:t>boží moudrost</w:t>
      </w:r>
      <w:r w:rsidR="08911BAA" w:rsidRPr="003D1E07">
        <w:t>í projektovanou směrem do světa</w:t>
      </w:r>
      <w:r w:rsidR="080D377B" w:rsidRPr="003D1E07">
        <w:t xml:space="preserve">. </w:t>
      </w:r>
      <w:r w:rsidR="084F58AA" w:rsidRPr="003D1E07">
        <w:t>S</w:t>
      </w:r>
      <w:r w:rsidR="085C5A3C" w:rsidRPr="003D1E07">
        <w:t xml:space="preserve">íla Ducha svatého jako třetí božské Osoby </w:t>
      </w:r>
      <w:r w:rsidR="080D377B" w:rsidRPr="003D1E07">
        <w:t xml:space="preserve">je </w:t>
      </w:r>
      <w:r w:rsidR="089F1082" w:rsidRPr="003D1E07">
        <w:t xml:space="preserve">vyvedena ze sféry boží imanence </w:t>
      </w:r>
      <w:r w:rsidR="080D377B" w:rsidRPr="003D1E07">
        <w:t>v modu intencionality</w:t>
      </w:r>
      <w:r w:rsidR="089F1082" w:rsidRPr="003D1E07">
        <w:t xml:space="preserve">. Nová forma </w:t>
      </w:r>
      <w:r w:rsidR="085212FE" w:rsidRPr="003D1E07">
        <w:t>čistě intenci</w:t>
      </w:r>
      <w:r w:rsidR="08741068" w:rsidRPr="003D1E07">
        <w:t>on</w:t>
      </w:r>
      <w:r w:rsidR="085212FE" w:rsidRPr="003D1E07">
        <w:t xml:space="preserve">ální </w:t>
      </w:r>
      <w:r w:rsidR="00C04880">
        <w:t xml:space="preserve">inkarnace Ježíše Krista </w:t>
      </w:r>
      <w:r w:rsidR="089F1082" w:rsidRPr="003D1E07">
        <w:t>jde</w:t>
      </w:r>
      <w:r w:rsidR="080D377B" w:rsidRPr="003D1E07">
        <w:t xml:space="preserve"> </w:t>
      </w:r>
      <w:r w:rsidR="08045A62" w:rsidRPr="003D1E07">
        <w:t>do stvoření</w:t>
      </w:r>
      <w:r w:rsidR="08B86709" w:rsidRPr="003D1E07">
        <w:t xml:space="preserve"> </w:t>
      </w:r>
      <w:r w:rsidR="004B1A19">
        <w:t>jako reálná</w:t>
      </w:r>
      <w:r w:rsidR="08770C0C" w:rsidRPr="003D1E07">
        <w:t xml:space="preserve"> </w:t>
      </w:r>
      <w:r w:rsidR="08B86709" w:rsidRPr="003D1E07">
        <w:t>Inkarnace druhé božské Osoby</w:t>
      </w:r>
      <w:r w:rsidR="00EE47DD">
        <w:t>.</w:t>
      </w:r>
    </w:p>
    <w:p w14:paraId="57992E23" w14:textId="77777777" w:rsidR="0079644D" w:rsidRDefault="00DA6683" w:rsidP="0079644D">
      <w:pPr>
        <w:ind w:firstLine="360"/>
      </w:pPr>
      <w:r>
        <w:t>Avicenna navázal</w:t>
      </w:r>
      <w:r w:rsidR="00CC1773" w:rsidRPr="003D1E07">
        <w:t xml:space="preserve"> na </w:t>
      </w:r>
      <w:r w:rsidR="085B082D" w:rsidRPr="003D1E07">
        <w:t xml:space="preserve">trinitární ontoteologii </w:t>
      </w:r>
      <w:r w:rsidR="00CC1773" w:rsidRPr="003D1E07">
        <w:t xml:space="preserve">Ibn Ádího novým způsobem. </w:t>
      </w:r>
      <w:r w:rsidR="08F87115" w:rsidRPr="003D1E07">
        <w:t>Nejprve e</w:t>
      </w:r>
      <w:r w:rsidR="00CC1773" w:rsidRPr="003D1E07">
        <w:t>tabloval jednotu boží substance podle Al-Kindího</w:t>
      </w:r>
      <w:r w:rsidR="00CC1773" w:rsidRPr="003D1E07">
        <w:fldChar w:fldCharType="begin"/>
      </w:r>
      <w:r w:rsidR="00CC1773" w:rsidRPr="003D1E07">
        <w:instrText xml:space="preserve"> XE "Al-Kindí" </w:instrText>
      </w:r>
      <w:r w:rsidR="00CC1773" w:rsidRPr="003D1E07">
        <w:fldChar w:fldCharType="end"/>
      </w:r>
      <w:r w:rsidR="00CC1773" w:rsidRPr="003D1E07">
        <w:t xml:space="preserve"> </w:t>
      </w:r>
      <w:r w:rsidR="00874074" w:rsidRPr="003D1E07">
        <w:t>neoplatonsk</w:t>
      </w:r>
      <w:r w:rsidR="00A23D60">
        <w:t>é školy. A</w:t>
      </w:r>
      <w:r w:rsidR="088B68C8" w:rsidRPr="003D1E07">
        <w:t xml:space="preserve">šaritská škola </w:t>
      </w:r>
      <w:r w:rsidR="0831649D" w:rsidRPr="003D1E07">
        <w:t>maximálně vyhovovala islámskému striktnímu monoteismu</w:t>
      </w:r>
      <w:r w:rsidR="00A23D60">
        <w:t>, kvůli neoplatonské separované henologii</w:t>
      </w:r>
      <w:r w:rsidR="0831649D" w:rsidRPr="003D1E07">
        <w:t xml:space="preserve">. </w:t>
      </w:r>
      <w:r w:rsidR="080543DE" w:rsidRPr="003D1E07">
        <w:t xml:space="preserve">Avicenna </w:t>
      </w:r>
      <w:r w:rsidR="08481C9C" w:rsidRPr="003D1E07">
        <w:t xml:space="preserve">ale </w:t>
      </w:r>
      <w:r w:rsidR="080543DE" w:rsidRPr="003D1E07">
        <w:t xml:space="preserve">nechal </w:t>
      </w:r>
      <w:r w:rsidR="0831649D" w:rsidRPr="003D1E07">
        <w:t xml:space="preserve">křesťanskou </w:t>
      </w:r>
      <w:r w:rsidR="089A472B" w:rsidRPr="003D1E07">
        <w:t>mnohost tří božských O</w:t>
      </w:r>
      <w:r w:rsidR="00CC1773" w:rsidRPr="003D1E07">
        <w:t xml:space="preserve">sob </w:t>
      </w:r>
      <w:r w:rsidR="080543DE" w:rsidRPr="003D1E07">
        <w:t xml:space="preserve">a </w:t>
      </w:r>
      <w:r w:rsidR="081D0F76" w:rsidRPr="003D1E07">
        <w:t xml:space="preserve">stvořitelskou a pneumatologickou transcendenci </w:t>
      </w:r>
      <w:r w:rsidR="089A472B" w:rsidRPr="003D1E07">
        <w:t xml:space="preserve">boha </w:t>
      </w:r>
      <w:r w:rsidR="00CC1773" w:rsidRPr="003D1E07">
        <w:t>v</w:t>
      </w:r>
      <w:r w:rsidR="081D0F76" w:rsidRPr="003D1E07">
        <w:t xml:space="preserve"> originálním </w:t>
      </w:r>
      <w:r w:rsidR="08481C9C" w:rsidRPr="003D1E07">
        <w:t xml:space="preserve">pojetí </w:t>
      </w:r>
      <w:r w:rsidR="088A0C16" w:rsidRPr="003D1E07">
        <w:t xml:space="preserve">objektivně pojaté </w:t>
      </w:r>
      <w:r w:rsidR="00CC1773" w:rsidRPr="003D1E07">
        <w:t>intencionality</w:t>
      </w:r>
      <w:r w:rsidR="08481C9C" w:rsidRPr="003D1E07">
        <w:t xml:space="preserve">. Bůh </w:t>
      </w:r>
      <w:r w:rsidR="08237035" w:rsidRPr="003D1E07">
        <w:t>intend</w:t>
      </w:r>
      <w:r w:rsidR="08481C9C" w:rsidRPr="003D1E07">
        <w:t xml:space="preserve">uje </w:t>
      </w:r>
      <w:r w:rsidR="00CC1773" w:rsidRPr="003D1E07">
        <w:t xml:space="preserve">bytí </w:t>
      </w:r>
      <w:r w:rsidR="08237035" w:rsidRPr="003D1E07">
        <w:t xml:space="preserve">stvoření </w:t>
      </w:r>
      <w:r w:rsidR="08481C9C" w:rsidRPr="003D1E07">
        <w:t>v modu aristotelské</w:t>
      </w:r>
      <w:r w:rsidR="00CC1773" w:rsidRPr="003D1E07">
        <w:t xml:space="preserve"> </w:t>
      </w:r>
      <w:r w:rsidR="08481C9C" w:rsidRPr="003D1E07">
        <w:t>potence</w:t>
      </w:r>
      <w:r w:rsidR="089947F2" w:rsidRPr="003D1E07">
        <w:t xml:space="preserve"> </w:t>
      </w:r>
      <w:r w:rsidR="08481C9C" w:rsidRPr="003D1E07">
        <w:t xml:space="preserve">dané </w:t>
      </w:r>
      <w:r w:rsidR="089947F2" w:rsidRPr="003D1E07">
        <w:t xml:space="preserve">v objektivním modu </w:t>
      </w:r>
      <w:r w:rsidR="089947F2" w:rsidRPr="003D1E07">
        <w:rPr>
          <w:i/>
        </w:rPr>
        <w:t>esse ad</w:t>
      </w:r>
      <w:r w:rsidR="08215590" w:rsidRPr="003D1E07">
        <w:rPr>
          <w:i/>
        </w:rPr>
        <w:fldChar w:fldCharType="begin"/>
      </w:r>
      <w:r w:rsidR="08215590" w:rsidRPr="003D1E07">
        <w:instrText xml:space="preserve"> XE "</w:instrText>
      </w:r>
      <w:r w:rsidR="08215590" w:rsidRPr="003D1E07">
        <w:rPr>
          <w:i/>
        </w:rPr>
        <w:instrText>esse ad</w:instrText>
      </w:r>
      <w:r w:rsidR="08215590" w:rsidRPr="003D1E07">
        <w:instrText xml:space="preserve">:Avicenna" </w:instrText>
      </w:r>
      <w:r w:rsidR="08215590" w:rsidRPr="003D1E07">
        <w:rPr>
          <w:i/>
        </w:rPr>
        <w:fldChar w:fldCharType="end"/>
      </w:r>
      <w:r w:rsidR="00CC1773" w:rsidRPr="003D1E07">
        <w:t>. Nový</w:t>
      </w:r>
      <w:r w:rsidR="082A35D2" w:rsidRPr="003D1E07">
        <w:t xml:space="preserve"> projekt ontoteologie umožnil </w:t>
      </w:r>
      <w:r w:rsidR="00CC1773" w:rsidRPr="003D1E07">
        <w:t>novou formu náhledu na smysl intencionálně</w:t>
      </w:r>
      <w:r w:rsidR="08071E51" w:rsidRPr="003D1E07">
        <w:t xml:space="preserve"> a </w:t>
      </w:r>
      <w:r w:rsidR="08071E51" w:rsidRPr="003D1E07">
        <w:lastRenderedPageBreak/>
        <w:t>o</w:t>
      </w:r>
      <w:r w:rsidR="00CC1773" w:rsidRPr="003D1E07">
        <w:t>ntoteologicky daného jsoucna</w:t>
      </w:r>
      <w:r w:rsidR="08F17E9D" w:rsidRPr="003D1E07">
        <w:t xml:space="preserve"> třetího druhu</w:t>
      </w:r>
      <w:r w:rsidR="08C01528" w:rsidRPr="003D1E07">
        <w:t>. V</w:t>
      </w:r>
      <w:r w:rsidR="08071E51" w:rsidRPr="003D1E07">
        <w:t xml:space="preserve"> moderním bohu</w:t>
      </w:r>
      <w:r w:rsidR="08C01528" w:rsidRPr="003D1E07">
        <w:t xml:space="preserve"> j</w:t>
      </w:r>
      <w:r w:rsidR="08071E51" w:rsidRPr="003D1E07">
        <w:t xml:space="preserve">sou dány v minimální a nutné jsoucnosti také </w:t>
      </w:r>
      <w:r w:rsidR="08D31355" w:rsidRPr="003D1E07">
        <w:t>g</w:t>
      </w:r>
      <w:r w:rsidR="00C9019A" w:rsidRPr="003D1E07">
        <w:t>enerická urče</w:t>
      </w:r>
      <w:r w:rsidR="08071E51" w:rsidRPr="003D1E07">
        <w:t>ní typu živočišnosti</w:t>
      </w:r>
      <w:r w:rsidR="00C9019A" w:rsidRPr="003D1E07">
        <w:t xml:space="preserve"> (</w:t>
      </w:r>
      <w:r w:rsidR="00C9019A" w:rsidRPr="003D1E07">
        <w:rPr>
          <w:i/>
        </w:rPr>
        <w:t>animalitas</w:t>
      </w:r>
      <w:r w:rsidR="00C9019A" w:rsidRPr="003D1E07">
        <w:t>)</w:t>
      </w:r>
      <w:r w:rsidR="08071E51" w:rsidRPr="003D1E07">
        <w:t xml:space="preserve"> a lidskosti (</w:t>
      </w:r>
      <w:r w:rsidR="08071E51" w:rsidRPr="003D1E07">
        <w:rPr>
          <w:i/>
        </w:rPr>
        <w:t>humanitas</w:t>
      </w:r>
      <w:r w:rsidR="08071E51" w:rsidRPr="003D1E07">
        <w:t>)</w:t>
      </w:r>
      <w:r w:rsidR="00C9019A" w:rsidRPr="003D1E07">
        <w:t xml:space="preserve">. </w:t>
      </w:r>
      <w:r w:rsidR="08AF1938" w:rsidRPr="003D1E07">
        <w:t>Reálné s</w:t>
      </w:r>
      <w:r w:rsidR="00C9019A" w:rsidRPr="003D1E07">
        <w:t xml:space="preserve">tvoření </w:t>
      </w:r>
      <w:r w:rsidR="08AF1938" w:rsidRPr="003D1E07">
        <w:t xml:space="preserve">vznikne tím, že </w:t>
      </w:r>
      <w:r w:rsidR="001D532F" w:rsidRPr="003D1E07">
        <w:t>o</w:t>
      </w:r>
      <w:r w:rsidR="008B59DA">
        <w:t xml:space="preserve">bjektivní, večné a nutné </w:t>
      </w:r>
      <w:r w:rsidR="001D532F" w:rsidRPr="003D1E07">
        <w:t>významy intendované</w:t>
      </w:r>
      <w:r w:rsidR="08AF1938" w:rsidRPr="003D1E07">
        <w:t xml:space="preserve"> v</w:t>
      </w:r>
      <w:r w:rsidR="008B59DA">
        <w:t xml:space="preserve"> moderním </w:t>
      </w:r>
      <w:r w:rsidR="08AF1938" w:rsidRPr="003D1E07">
        <w:t xml:space="preserve">bohu </w:t>
      </w:r>
      <w:r w:rsidR="001D532F" w:rsidRPr="003D1E07">
        <w:t xml:space="preserve">dostanou </w:t>
      </w:r>
      <w:r w:rsidR="08AF1938" w:rsidRPr="003D1E07">
        <w:t xml:space="preserve">další specifickou diferenci zvanou „aktuální existence“ </w:t>
      </w:r>
      <w:r w:rsidR="084623AA" w:rsidRPr="003D1E07">
        <w:t>(</w:t>
      </w:r>
      <w:r w:rsidR="00C9019A" w:rsidRPr="003D1E07">
        <w:rPr>
          <w:i/>
        </w:rPr>
        <w:t>esse in actu</w:t>
      </w:r>
      <w:r w:rsidR="084623AA" w:rsidRPr="003D1E07">
        <w:t xml:space="preserve">, </w:t>
      </w:r>
      <w:r w:rsidR="08CC661E" w:rsidRPr="003D1E07">
        <w:rPr>
          <w:i/>
        </w:rPr>
        <w:t>esse in effectu</w:t>
      </w:r>
      <w:r w:rsidR="084623AA" w:rsidRPr="003D1E07">
        <w:t>)</w:t>
      </w:r>
      <w:r w:rsidR="08CC661E" w:rsidRPr="003D1E07">
        <w:t>.</w:t>
      </w:r>
      <w:r w:rsidR="00C9019A" w:rsidRPr="003D1E07">
        <w:rPr>
          <w:rStyle w:val="Znakapoznpodarou"/>
        </w:rPr>
        <w:footnoteReference w:id="187"/>
      </w:r>
      <w:r w:rsidR="00C9019A" w:rsidRPr="003D1E07">
        <w:t xml:space="preserve"> </w:t>
      </w:r>
      <w:r w:rsidR="084E12E6" w:rsidRPr="003D1E07">
        <w:t>Objektivní r</w:t>
      </w:r>
      <w:r w:rsidR="00C9019A" w:rsidRPr="003D1E07">
        <w:t xml:space="preserve">odové určení se změní z potenciálního na aktuální tím, že </w:t>
      </w:r>
      <w:r w:rsidR="00C9019A" w:rsidRPr="003D1E07">
        <w:rPr>
          <w:i/>
        </w:rPr>
        <w:t>animalitas</w:t>
      </w:r>
      <w:r w:rsidR="00C9019A" w:rsidRPr="003D1E07">
        <w:t xml:space="preserve"> nyní funguje jako esence </w:t>
      </w:r>
      <w:r w:rsidR="00485643" w:rsidRPr="003D1E07">
        <w:rPr>
          <w:i/>
          <w:iCs/>
        </w:rPr>
        <w:fldChar w:fldCharType="begin"/>
      </w:r>
      <w:r w:rsidR="00485643" w:rsidRPr="003D1E07">
        <w:instrText xml:space="preserve"> XE "esence:falsafa" </w:instrText>
      </w:r>
      <w:r w:rsidR="00485643" w:rsidRPr="003D1E07">
        <w:rPr>
          <w:i/>
          <w:iCs/>
        </w:rPr>
        <w:fldChar w:fldCharType="end"/>
      </w:r>
      <w:r w:rsidR="00C9019A" w:rsidRPr="003D1E07">
        <w:t xml:space="preserve">existující substance toho či onoho živočicha (esse </w:t>
      </w:r>
      <w:r w:rsidR="00C9019A" w:rsidRPr="003D1E07">
        <w:rPr>
          <w:i/>
        </w:rPr>
        <w:t>in effectu per successionem essendi proprie</w:t>
      </w:r>
      <w:r w:rsidR="00C9019A" w:rsidRPr="003D1E07">
        <w:t xml:space="preserve">). Bůh tuto diferenci mezi generickým a </w:t>
      </w:r>
      <w:r w:rsidR="089B755C" w:rsidRPr="003D1E07">
        <w:t xml:space="preserve">objektivním </w:t>
      </w:r>
      <w:r w:rsidR="00C9019A" w:rsidRPr="003D1E07">
        <w:t xml:space="preserve">určením dělá absolutně, tj. v </w:t>
      </w:r>
      <w:r w:rsidR="00D87187" w:rsidRPr="003D1E07">
        <w:t xml:space="preserve">rámci stvoření nové věci. Člověk to </w:t>
      </w:r>
      <w:r w:rsidR="00C9019A" w:rsidRPr="003D1E07">
        <w:t>dělá</w:t>
      </w:r>
      <w:r w:rsidR="00D87187" w:rsidRPr="003D1E07">
        <w:t xml:space="preserve"> </w:t>
      </w:r>
      <w:r w:rsidR="00C9019A" w:rsidRPr="003D1E07">
        <w:t xml:space="preserve">pouze intelektuálně, protože myšlením nahlíží </w:t>
      </w:r>
      <w:r w:rsidR="00C9019A" w:rsidRPr="003D1E07">
        <w:rPr>
          <w:i/>
        </w:rPr>
        <w:t>ens rationale</w:t>
      </w:r>
      <w:r w:rsidR="00C9019A" w:rsidRPr="003D1E07">
        <w:t xml:space="preserve"> </w:t>
      </w:r>
      <w:r w:rsidR="00D87187" w:rsidRPr="003D1E07">
        <w:t>univerzální</w:t>
      </w:r>
      <w:r w:rsidR="00217B1E" w:rsidRPr="003D1E07">
        <w:t xml:space="preserve"> poj</w:t>
      </w:r>
      <w:r w:rsidR="00D87187" w:rsidRPr="003D1E07">
        <w:t>e</w:t>
      </w:r>
      <w:r w:rsidR="00C9019A" w:rsidRPr="003D1E07">
        <w:t>m.</w:t>
      </w:r>
      <w:r w:rsidR="00C9019A" w:rsidRPr="003D1E07">
        <w:rPr>
          <w:rStyle w:val="Znakapoznpodarou"/>
        </w:rPr>
        <w:footnoteReference w:id="188"/>
      </w:r>
      <w:r w:rsidR="00C9019A" w:rsidRPr="003D1E07">
        <w:t xml:space="preserve"> </w:t>
      </w:r>
      <w:r w:rsidR="003C1921" w:rsidRPr="003D1E07">
        <w:t>První komitaci aktuálního bytí k preexistující esenci-formě vytvořila na latinském Západě škola porretánů (</w:t>
      </w:r>
      <w:r w:rsidR="08552C4F" w:rsidRPr="003D1E07">
        <w:t>OBJ II, kap. 1</w:t>
      </w:r>
      <w:r w:rsidR="003C1921" w:rsidRPr="003D1E07">
        <w:t xml:space="preserve">.4). </w:t>
      </w:r>
      <w:r w:rsidR="00C9019A" w:rsidRPr="003D1E07">
        <w:t xml:space="preserve">Avicenna a po něm Leibniz </w:t>
      </w:r>
      <w:r w:rsidR="08513BFB" w:rsidRPr="003D1E07">
        <w:t xml:space="preserve">mysticky a logicky </w:t>
      </w:r>
      <w:r w:rsidR="00C9019A" w:rsidRPr="003D1E07">
        <w:t>vědí, že jsoucno třetího druhu mů</w:t>
      </w:r>
      <w:r w:rsidR="0067048A" w:rsidRPr="003D1E07">
        <w:t xml:space="preserve">že </w:t>
      </w:r>
      <w:r w:rsidR="009F4CA6" w:rsidRPr="003D1E07">
        <w:t xml:space="preserve">objektivně </w:t>
      </w:r>
      <w:r w:rsidR="00C9019A" w:rsidRPr="003D1E07">
        <w:t>existovat ve stvoření jen proto,</w:t>
      </w:r>
      <w:r w:rsidR="00B244AD" w:rsidRPr="003D1E07">
        <w:t xml:space="preserve"> že v nějaké primární formě pre</w:t>
      </w:r>
      <w:r w:rsidR="00C9019A" w:rsidRPr="003D1E07">
        <w:t>exi</w:t>
      </w:r>
      <w:r w:rsidR="00F9453C" w:rsidRPr="003D1E07">
        <w:t xml:space="preserve">stuje u boha. </w:t>
      </w:r>
      <w:r w:rsidR="080F41AF" w:rsidRPr="003D1E07">
        <w:t xml:space="preserve">Vyjmenované charakteristiky </w:t>
      </w:r>
      <w:r w:rsidR="080F41AF" w:rsidRPr="003D1E07">
        <w:rPr>
          <w:i/>
        </w:rPr>
        <w:t>tertium ens</w:t>
      </w:r>
      <w:r w:rsidR="080F41AF" w:rsidRPr="003D1E07">
        <w:t xml:space="preserve"> později zakládají Leibnizův princip dostatečného důvodu</w:t>
      </w:r>
      <w:r w:rsidR="00D70494" w:rsidRPr="003D1E07">
        <w:fldChar w:fldCharType="begin"/>
      </w:r>
      <w:r w:rsidR="00D70494" w:rsidRPr="003D1E07">
        <w:instrText xml:space="preserve"> XE "princip dostatečného důvodu" </w:instrText>
      </w:r>
      <w:r w:rsidR="00D70494" w:rsidRPr="003D1E07">
        <w:fldChar w:fldCharType="end"/>
      </w:r>
      <w:r w:rsidR="080F41AF" w:rsidRPr="003D1E07">
        <w:t xml:space="preserve"> (</w:t>
      </w:r>
      <w:r w:rsidR="0856502A" w:rsidRPr="003D1E07">
        <w:t xml:space="preserve">OBJ II, </w:t>
      </w:r>
      <w:r w:rsidR="08F3673B" w:rsidRPr="003D1E07">
        <w:t>kap. 3</w:t>
      </w:r>
      <w:r w:rsidR="080F41AF" w:rsidRPr="003D1E07">
        <w:t xml:space="preserve">.5). </w:t>
      </w:r>
      <w:r w:rsidR="00C9019A" w:rsidRPr="003D1E07">
        <w:t>Nejsoucno neexistuje</w:t>
      </w:r>
      <w:r w:rsidR="08A656E5" w:rsidRPr="003D1E07">
        <w:t xml:space="preserve"> a nelze je podle Parmenida ani myslet. P</w:t>
      </w:r>
      <w:r w:rsidR="00C9019A" w:rsidRPr="003D1E07">
        <w:t xml:space="preserve">roto musí </w:t>
      </w:r>
      <w:r w:rsidR="006E4FD2" w:rsidRPr="003D1E07">
        <w:t xml:space="preserve">každé potenciální jsoucno </w:t>
      </w:r>
      <w:r w:rsidR="00C9019A" w:rsidRPr="003D1E07">
        <w:t>d</w:t>
      </w:r>
      <w:r w:rsidR="006E4FD2" w:rsidRPr="003D1E07">
        <w:t xml:space="preserve">ostat dostatečný důvod k bytí ze sféry </w:t>
      </w:r>
      <w:r w:rsidR="0855015A" w:rsidRPr="003D1E07">
        <w:t xml:space="preserve">primární </w:t>
      </w:r>
      <w:r w:rsidR="00C9019A" w:rsidRPr="003D1E07">
        <w:t>ontoteologie</w:t>
      </w:r>
      <w:r w:rsidR="08BB1979" w:rsidRPr="003D1E07">
        <w:t xml:space="preserve"> v</w:t>
      </w:r>
      <w:r w:rsidR="085C76EC" w:rsidRPr="003D1E07">
        <w:t xml:space="preserve"> objektivním </w:t>
      </w:r>
      <w:r w:rsidR="08BB1979" w:rsidRPr="003D1E07">
        <w:t xml:space="preserve">modu </w:t>
      </w:r>
      <w:r w:rsidR="08BB1979" w:rsidRPr="003D1E07">
        <w:rPr>
          <w:i/>
        </w:rPr>
        <w:t>esse ad</w:t>
      </w:r>
      <w:r w:rsidR="00C9019A" w:rsidRPr="003D1E07">
        <w:t xml:space="preserve">. </w:t>
      </w:r>
      <w:r w:rsidR="085C76EC" w:rsidRPr="003D1E07">
        <w:t xml:space="preserve">Po smrti boha </w:t>
      </w:r>
      <w:r w:rsidR="085C76EC" w:rsidRPr="003D1E07">
        <w:rPr>
          <w:i/>
        </w:rPr>
        <w:t>Modernorum</w:t>
      </w:r>
      <w:r w:rsidR="085C76EC" w:rsidRPr="003D1E07">
        <w:t xml:space="preserve"> dostala tuto ospravedl</w:t>
      </w:r>
      <w:r w:rsidR="08C0537C" w:rsidRPr="003D1E07">
        <w:t>ňující funkci</w:t>
      </w:r>
      <w:r w:rsidR="084A3080" w:rsidRPr="003D1E07">
        <w:t xml:space="preserve"> matematika</w:t>
      </w:r>
      <w:r w:rsidR="007E03C6" w:rsidRPr="003D1E07">
        <w:t xml:space="preserve">. Její nositelé usedli na </w:t>
      </w:r>
      <w:r w:rsidR="00FF3C7E" w:rsidRPr="003D1E07">
        <w:t>prázdné místo po smrti moderního boha a nahradili křesťanskou nauku</w:t>
      </w:r>
      <w:r w:rsidR="08C0537C" w:rsidRPr="003D1E07">
        <w:t xml:space="preserve"> o ospravedlněné pouhou boží milostí (</w:t>
      </w:r>
      <w:r w:rsidR="08C0537C" w:rsidRPr="003D1E07">
        <w:rPr>
          <w:i/>
        </w:rPr>
        <w:t>sola gratia</w:t>
      </w:r>
      <w:r w:rsidR="08573BDA" w:rsidRPr="003D1E07">
        <w:rPr>
          <w:i/>
        </w:rPr>
        <w:fldChar w:fldCharType="begin"/>
      </w:r>
      <w:r w:rsidR="08573BDA" w:rsidRPr="003D1E07">
        <w:instrText xml:space="preserve"> XE "</w:instrText>
      </w:r>
      <w:r w:rsidR="08573BDA" w:rsidRPr="003D1E07">
        <w:rPr>
          <w:i/>
        </w:rPr>
        <w:instrText>sola gratia</w:instrText>
      </w:r>
      <w:r w:rsidR="08573BDA" w:rsidRPr="003D1E07">
        <w:instrText xml:space="preserve">" </w:instrText>
      </w:r>
      <w:r w:rsidR="08573BDA" w:rsidRPr="003D1E07">
        <w:rPr>
          <w:i/>
        </w:rPr>
        <w:fldChar w:fldCharType="end"/>
      </w:r>
      <w:r w:rsidR="08C0537C" w:rsidRPr="003D1E07">
        <w:t>)</w:t>
      </w:r>
      <w:r w:rsidR="084A3080" w:rsidRPr="003D1E07">
        <w:t xml:space="preserve">. </w:t>
      </w:r>
      <w:r w:rsidR="08675FA1" w:rsidRPr="003D1E07">
        <w:t xml:space="preserve">Po smrti boha nesou </w:t>
      </w:r>
      <w:r w:rsidR="08297B52" w:rsidRPr="003D1E07">
        <w:t xml:space="preserve">Akadémovi pohrobci </w:t>
      </w:r>
      <w:r w:rsidR="08675FA1" w:rsidRPr="003D1E07">
        <w:t xml:space="preserve">na svých bedrech </w:t>
      </w:r>
      <w:r w:rsidR="08DC46B8" w:rsidRPr="003D1E07">
        <w:t xml:space="preserve">digitální smysl veškerenstva </w:t>
      </w:r>
      <w:r w:rsidR="08297B52" w:rsidRPr="003D1E07">
        <w:t xml:space="preserve">skrze </w:t>
      </w:r>
      <w:r w:rsidR="08DC46B8" w:rsidRPr="003D1E07">
        <w:t xml:space="preserve">jimi spravované </w:t>
      </w:r>
      <w:r w:rsidR="08657B34" w:rsidRPr="003D1E07">
        <w:rPr>
          <w:i/>
        </w:rPr>
        <w:t>super</w:t>
      </w:r>
      <w:r w:rsidR="08E804AB" w:rsidRPr="003D1E07">
        <w:rPr>
          <w:i/>
        </w:rPr>
        <w:t>computers</w:t>
      </w:r>
      <w:r w:rsidR="088153C2" w:rsidRPr="003D1E07">
        <w:t xml:space="preserve"> a derivátové burzy.</w:t>
      </w:r>
      <w:r w:rsidR="08675FA1" w:rsidRPr="003D1E07">
        <w:t xml:space="preserve"> </w:t>
      </w:r>
      <w:r w:rsidR="00E43A62">
        <w:t xml:space="preserve">Epocha nihilismu uctívá místo mrtvého moderního boha vlastní virtuální realitu stvořenou </w:t>
      </w:r>
      <w:r w:rsidR="00E43A62" w:rsidRPr="00E43A62">
        <w:rPr>
          <w:i/>
        </w:rPr>
        <w:t>ex nih</w:t>
      </w:r>
      <w:r w:rsidR="00E43A62">
        <w:rPr>
          <w:i/>
        </w:rPr>
        <w:t>i</w:t>
      </w:r>
      <w:r w:rsidR="00E43A62" w:rsidRPr="00E43A62">
        <w:rPr>
          <w:i/>
        </w:rPr>
        <w:t>lo</w:t>
      </w:r>
      <w:r w:rsidR="00E43A62">
        <w:t>, které dala božské vlastnosti podle vlastního obrazu</w:t>
      </w:r>
      <w:r w:rsidR="08C35565" w:rsidRPr="003D1E07">
        <w:t xml:space="preserve">. Kritické myšlení dané </w:t>
      </w:r>
      <w:r w:rsidR="089108A9" w:rsidRPr="003D1E07">
        <w:t xml:space="preserve">metafyzickým </w:t>
      </w:r>
      <w:r w:rsidR="08C35565" w:rsidRPr="003D1E07">
        <w:t xml:space="preserve">dativem </w:t>
      </w:r>
      <w:r w:rsidR="00AD4A10" w:rsidRPr="003D1E07">
        <w:t xml:space="preserve">sleduje cestu </w:t>
      </w:r>
      <w:r w:rsidR="08494DD9" w:rsidRPr="003D1E07">
        <w:t>první</w:t>
      </w:r>
      <w:r w:rsidR="00AD4A10" w:rsidRPr="003D1E07">
        <w:t>ch substancí</w:t>
      </w:r>
      <w:r w:rsidR="08494DD9" w:rsidRPr="003D1E07">
        <w:t xml:space="preserve"> a činnost boha definuje </w:t>
      </w:r>
      <w:r w:rsidR="08BE611A" w:rsidRPr="003D1E07">
        <w:t xml:space="preserve">kauzálně </w:t>
      </w:r>
      <w:r w:rsidR="08494DD9" w:rsidRPr="003D1E07">
        <w:t xml:space="preserve">v pojmu první příčiny. </w:t>
      </w:r>
      <w:r w:rsidR="08531EA9" w:rsidRPr="003D1E07">
        <w:t>Avicenna povýšil matematiku na metafyziku</w:t>
      </w:r>
      <w:r w:rsidR="08B20F66" w:rsidRPr="003D1E07">
        <w:t xml:space="preserve"> v souladu s neoplatonismem</w:t>
      </w:r>
      <w:r w:rsidR="086C4DBE" w:rsidRPr="003D1E07">
        <w:t xml:space="preserve">, ale odmítl matematicko-analogickou determinaci forem daných skrze </w:t>
      </w:r>
      <w:r w:rsidR="08FE7937" w:rsidRPr="003D1E07">
        <w:t xml:space="preserve">Plotinovu </w:t>
      </w:r>
      <w:r w:rsidR="086C4DBE" w:rsidRPr="003D1E07">
        <w:t>emanaci</w:t>
      </w:r>
      <w:r w:rsidR="08531EA9" w:rsidRPr="003D1E07">
        <w:t xml:space="preserve">. </w:t>
      </w:r>
      <w:r w:rsidR="00E404B0">
        <w:t xml:space="preserve">Moderní </w:t>
      </w:r>
      <w:r w:rsidR="081A2551" w:rsidRPr="003D1E07">
        <w:t xml:space="preserve">intelekt přichází k mytopoetickém diakosmu </w:t>
      </w:r>
      <w:r w:rsidR="00712601" w:rsidRPr="003D1E07">
        <w:t xml:space="preserve">myšlených </w:t>
      </w:r>
      <w:r w:rsidR="0076076E" w:rsidRPr="003D1E07">
        <w:t xml:space="preserve">božích </w:t>
      </w:r>
      <w:r w:rsidR="00712601" w:rsidRPr="003D1E07">
        <w:t>forem cestou druhé abstrakce</w:t>
      </w:r>
      <w:r w:rsidR="00933B10" w:rsidRPr="003D1E07">
        <w:t xml:space="preserve">, kdy </w:t>
      </w:r>
      <w:r w:rsidR="00A23463" w:rsidRPr="003D1E07">
        <w:t xml:space="preserve">odkrývá </w:t>
      </w:r>
      <w:r w:rsidR="00933B10" w:rsidRPr="003D1E07">
        <w:t xml:space="preserve">již citovanou </w:t>
      </w:r>
      <w:r w:rsidR="00A23463" w:rsidRPr="003D1E07">
        <w:lastRenderedPageBreak/>
        <w:t>univerzální přirozenost věcí</w:t>
      </w:r>
      <w:r w:rsidR="009A2615" w:rsidRPr="003D1E07">
        <w:t xml:space="preserve"> (</w:t>
      </w:r>
      <w:r w:rsidR="009A2615" w:rsidRPr="003D1E07">
        <w:rPr>
          <w:i/>
        </w:rPr>
        <w:t>ad modum universalis</w:t>
      </w:r>
      <w:r w:rsidR="00D70494" w:rsidRPr="003D1E07">
        <w:rPr>
          <w:i/>
        </w:rPr>
        <w:fldChar w:fldCharType="begin"/>
      </w:r>
      <w:r w:rsidR="00D70494" w:rsidRPr="003D1E07">
        <w:instrText xml:space="preserve"> XE "predikace:</w:instrText>
      </w:r>
      <w:r w:rsidR="00D70494" w:rsidRPr="003D1E07">
        <w:rPr>
          <w:i/>
        </w:rPr>
        <w:instrText>ad modum universalis</w:instrText>
      </w:r>
      <w:r w:rsidR="00D70494" w:rsidRPr="003D1E07">
        <w:instrText xml:space="preserve">" </w:instrText>
      </w:r>
      <w:r w:rsidR="00D70494" w:rsidRPr="003D1E07">
        <w:rPr>
          <w:i/>
        </w:rPr>
        <w:fldChar w:fldCharType="end"/>
      </w:r>
      <w:r w:rsidR="009A2615" w:rsidRPr="003D1E07">
        <w:t>)</w:t>
      </w:r>
      <w:r w:rsidR="00A23463" w:rsidRPr="003D1E07">
        <w:t>.</w:t>
      </w:r>
      <w:r w:rsidR="001F4292" w:rsidRPr="003D1E07">
        <w:t xml:space="preserve"> </w:t>
      </w:r>
      <w:r w:rsidR="08C71B64" w:rsidRPr="003D1E07">
        <w:t>P</w:t>
      </w:r>
      <w:r w:rsidR="00877878" w:rsidRPr="003D1E07">
        <w:t xml:space="preserve">oznání </w:t>
      </w:r>
      <w:r w:rsidR="005E5CE2" w:rsidRPr="003D1E07">
        <w:t xml:space="preserve">tohoto </w:t>
      </w:r>
      <w:r w:rsidR="00877878" w:rsidRPr="003D1E07">
        <w:t>mezisvěta</w:t>
      </w:r>
      <w:r w:rsidR="00D70494" w:rsidRPr="003D1E07">
        <w:fldChar w:fldCharType="begin"/>
      </w:r>
      <w:r w:rsidR="00D70494" w:rsidRPr="003D1E07">
        <w:instrText xml:space="preserve"> XE "mezisvět" </w:instrText>
      </w:r>
      <w:r w:rsidR="00D70494" w:rsidRPr="003D1E07">
        <w:fldChar w:fldCharType="end"/>
      </w:r>
      <w:r w:rsidR="00877878" w:rsidRPr="003D1E07">
        <w:t xml:space="preserve"> intel</w:t>
      </w:r>
      <w:r w:rsidR="08D86934" w:rsidRPr="003D1E07">
        <w:t>ektuálních f</w:t>
      </w:r>
      <w:r w:rsidR="00294398" w:rsidRPr="003D1E07">
        <w:t xml:space="preserve">orem </w:t>
      </w:r>
      <w:r w:rsidR="08D86934" w:rsidRPr="003D1E07">
        <w:t xml:space="preserve">v boží intencionalitě vede k </w:t>
      </w:r>
      <w:r w:rsidR="088160E7" w:rsidRPr="003D1E07">
        <w:t xml:space="preserve">mystickému </w:t>
      </w:r>
      <w:r w:rsidR="08D86934" w:rsidRPr="003D1E07">
        <w:t xml:space="preserve">náhledu </w:t>
      </w:r>
      <w:r w:rsidR="08647F92" w:rsidRPr="003D1E07">
        <w:t xml:space="preserve">kontemplujícímu </w:t>
      </w:r>
      <w:r w:rsidR="001F4292" w:rsidRPr="003D1E07">
        <w:t>unive</w:t>
      </w:r>
      <w:r w:rsidR="00D325B2" w:rsidRPr="003D1E07">
        <w:t>r</w:t>
      </w:r>
      <w:r w:rsidR="08647F92" w:rsidRPr="003D1E07">
        <w:t>zální všeobecnost</w:t>
      </w:r>
      <w:r w:rsidR="001F4292" w:rsidRPr="003D1E07">
        <w:t xml:space="preserve"> věcí </w:t>
      </w:r>
      <w:r w:rsidR="00B8661B" w:rsidRPr="003D1E07">
        <w:t>(</w:t>
      </w:r>
      <w:r w:rsidR="00B8661B" w:rsidRPr="003D1E07">
        <w:rPr>
          <w:i/>
        </w:rPr>
        <w:t>universalis absolute</w:t>
      </w:r>
      <w:r w:rsidR="08D86934" w:rsidRPr="003D1E07">
        <w:t xml:space="preserve">). K tomuto přímému vidění boží </w:t>
      </w:r>
      <w:r w:rsidR="08B46B07" w:rsidRPr="003D1E07">
        <w:t xml:space="preserve">ideové </w:t>
      </w:r>
      <w:r w:rsidR="08D86934" w:rsidRPr="003D1E07">
        <w:t xml:space="preserve">potenciality </w:t>
      </w:r>
      <w:r w:rsidR="00294398" w:rsidRPr="003D1E07">
        <w:t>uschopňuje lidskou duši</w:t>
      </w:r>
      <w:r w:rsidR="00877878" w:rsidRPr="003D1E07">
        <w:t xml:space="preserve"> </w:t>
      </w:r>
      <w:r w:rsidR="00DF5370" w:rsidRPr="003D1E07">
        <w:rPr>
          <w:i/>
        </w:rPr>
        <w:t>intellectus sanc</w:t>
      </w:r>
      <w:r w:rsidR="00877878" w:rsidRPr="003D1E07">
        <w:rPr>
          <w:i/>
        </w:rPr>
        <w:t>tus</w:t>
      </w:r>
      <w:r w:rsidR="00332701" w:rsidRPr="003D1E07">
        <w:rPr>
          <w:i/>
        </w:rPr>
        <w:fldChar w:fldCharType="begin"/>
      </w:r>
      <w:r w:rsidR="00332701" w:rsidRPr="003D1E07">
        <w:instrText xml:space="preserve"> XE "</w:instrText>
      </w:r>
      <w:r w:rsidR="00332701" w:rsidRPr="003D1E07">
        <w:rPr>
          <w:i/>
        </w:rPr>
        <w:instrText xml:space="preserve">intellectus </w:instrText>
      </w:r>
      <w:r w:rsidR="00DF5370" w:rsidRPr="003D1E07">
        <w:rPr>
          <w:i/>
        </w:rPr>
        <w:instrText>sanctus</w:instrText>
      </w:r>
      <w:r w:rsidR="00332701" w:rsidRPr="003D1E07">
        <w:instrText xml:space="preserve">" </w:instrText>
      </w:r>
      <w:r w:rsidR="00332701" w:rsidRPr="003D1E07">
        <w:rPr>
          <w:i/>
        </w:rPr>
        <w:fldChar w:fldCharType="end"/>
      </w:r>
      <w:r w:rsidR="0044213E" w:rsidRPr="003D1E07">
        <w:t xml:space="preserve">. </w:t>
      </w:r>
      <w:r w:rsidR="08D51736" w:rsidRPr="003D1E07">
        <w:t>Nižší druh poznání aktualizuje pomíjivý materiální intelekt soupodstatný s individuální duší (</w:t>
      </w:r>
      <w:r w:rsidR="08D51736" w:rsidRPr="003D1E07">
        <w:rPr>
          <w:i/>
        </w:rPr>
        <w:t>intellectus possibilis</w:t>
      </w:r>
      <w:r w:rsidR="08D51736" w:rsidRPr="003D1E07">
        <w:t xml:space="preserve">). </w:t>
      </w:r>
      <w:r w:rsidR="08D51736" w:rsidRPr="003D1E07">
        <w:rPr>
          <w:rStyle w:val="FontStyle129"/>
          <w:rFonts w:ascii="Calibri" w:hAnsi="Calibri"/>
          <w:sz w:val="24"/>
        </w:rPr>
        <w:t xml:space="preserve">Lidský náhled se dostal až k ideálnímu </w:t>
      </w:r>
      <w:r w:rsidR="00B942B3" w:rsidRPr="003D1E07">
        <w:rPr>
          <w:rStyle w:val="FontStyle129"/>
          <w:rFonts w:ascii="Calibri" w:hAnsi="Calibri"/>
          <w:sz w:val="24"/>
        </w:rPr>
        <w:t xml:space="preserve">světu </w:t>
      </w:r>
      <w:r w:rsidR="08D51736" w:rsidRPr="003D1E07">
        <w:rPr>
          <w:rStyle w:val="FontStyle129"/>
          <w:rFonts w:ascii="Calibri" w:hAnsi="Calibri"/>
          <w:sz w:val="24"/>
        </w:rPr>
        <w:t xml:space="preserve"> pre</w:t>
      </w:r>
      <w:r w:rsidR="08D51736" w:rsidRPr="003D1E07">
        <w:rPr>
          <w:rStyle w:val="FontStyle129"/>
          <w:rFonts w:ascii="Calibri" w:hAnsi="Calibri"/>
          <w:sz w:val="24"/>
        </w:rPr>
        <w:noBreakHyphen/>
        <w:t xml:space="preserve">existujícímu v boží mysli před samotným stvořením. </w:t>
      </w:r>
      <w:r w:rsidR="00F51EC1" w:rsidRPr="003D1E07">
        <w:t xml:space="preserve">Nové </w:t>
      </w:r>
      <w:r w:rsidR="00386A86" w:rsidRPr="003D1E07">
        <w:t>pojetí abstrakce zrcadlí ontoteologi</w:t>
      </w:r>
      <w:r w:rsidR="00C43CC5" w:rsidRPr="003D1E07">
        <w:t>c</w:t>
      </w:r>
      <w:r w:rsidR="00664F59">
        <w:t>kou říši kosmických i</w:t>
      </w:r>
      <w:r w:rsidR="08F342BE" w:rsidRPr="003D1E07">
        <w:t xml:space="preserve">nteligencí, protože </w:t>
      </w:r>
      <w:r w:rsidR="00E17A36" w:rsidRPr="003D1E07">
        <w:t xml:space="preserve">v lidské duši vzniká specifická reflexe kosmické říše skrze </w:t>
      </w:r>
      <w:r w:rsidR="00C43905" w:rsidRPr="003D1E07">
        <w:t xml:space="preserve">jsoucno </w:t>
      </w:r>
      <w:r w:rsidR="00E17A36" w:rsidRPr="003D1E07">
        <w:t>třetího druhu</w:t>
      </w:r>
      <w:r w:rsidR="00FE4B63" w:rsidRPr="003D1E07">
        <w:t>.</w:t>
      </w:r>
      <w:r w:rsidR="00A32AC0" w:rsidRPr="003D1E07">
        <w:t xml:space="preserve"> </w:t>
      </w:r>
      <w:r w:rsidR="004F55B5" w:rsidRPr="003D1E07">
        <w:t>Toto první objektivní určení jsoucna v historii Západu se týká jsoucího jako jsoucího (</w:t>
      </w:r>
      <w:r w:rsidR="004F55B5" w:rsidRPr="003D1E07">
        <w:rPr>
          <w:i/>
        </w:rPr>
        <w:t>ens inquantum ens</w:t>
      </w:r>
      <w:r w:rsidR="00160B80" w:rsidRPr="003D1E07">
        <w:rPr>
          <w:i/>
        </w:rPr>
        <w:fldChar w:fldCharType="begin"/>
      </w:r>
      <w:r w:rsidR="00160B80" w:rsidRPr="003D1E07">
        <w:instrText xml:space="preserve"> XE "</w:instrText>
      </w:r>
      <w:r w:rsidR="00160B80" w:rsidRPr="003D1E07">
        <w:rPr>
          <w:i/>
        </w:rPr>
        <w:instrText>ens inquantum ens</w:instrText>
      </w:r>
      <w:r w:rsidR="00160B80" w:rsidRPr="003D1E07">
        <w:instrText xml:space="preserve">" </w:instrText>
      </w:r>
      <w:r w:rsidR="00160B80" w:rsidRPr="003D1E07">
        <w:rPr>
          <w:i/>
        </w:rPr>
        <w:fldChar w:fldCharType="end"/>
      </w:r>
      <w:r w:rsidR="005B16E0">
        <w:t>).</w:t>
      </w:r>
      <w:r w:rsidR="0079644D">
        <w:t xml:space="preserve"> </w:t>
      </w:r>
      <w:r w:rsidR="005B16E0" w:rsidRPr="003D1E07">
        <w:t>A</w:t>
      </w:r>
      <w:r w:rsidR="005B16E0">
        <w:t xml:space="preserve">vicennova první věda podřídila přirozenou teologii pod </w:t>
      </w:r>
      <w:r w:rsidR="007D6140" w:rsidRPr="003D1E07">
        <w:t>unitární ontoteologii</w:t>
      </w:r>
      <w:r w:rsidR="00E04E3D">
        <w:t xml:space="preserve">, což </w:t>
      </w:r>
      <w:r w:rsidR="007D6140" w:rsidRPr="003D1E07">
        <w:fldChar w:fldCharType="begin"/>
      </w:r>
      <w:r w:rsidR="007D6140" w:rsidRPr="003D1E07">
        <w:instrText xml:space="preserve"> XE "</w:instrText>
      </w:r>
      <w:r w:rsidR="007D6140" w:rsidRPr="003D1E07">
        <w:rPr>
          <w:rStyle w:val="addmd"/>
        </w:rPr>
        <w:instrText>ontoteologie:</w:instrText>
      </w:r>
      <w:r w:rsidR="005B16E0">
        <w:instrText>Avicenna</w:instrText>
      </w:r>
      <w:r w:rsidR="007D6140" w:rsidRPr="003D1E07">
        <w:instrText xml:space="preserve">" </w:instrText>
      </w:r>
      <w:r w:rsidR="007D6140" w:rsidRPr="003D1E07">
        <w:fldChar w:fldCharType="end"/>
      </w:r>
      <w:r w:rsidR="005B16E0">
        <w:t xml:space="preserve"> </w:t>
      </w:r>
      <w:r w:rsidR="007D6140" w:rsidRPr="003D1E07">
        <w:t>zásadně poznamenalo následnou objektivní historii západní metafyziky.</w:t>
      </w:r>
      <w:r w:rsidR="007D6140">
        <w:t xml:space="preserve"> </w:t>
      </w:r>
      <w:r w:rsidR="00A32AC0" w:rsidRPr="003D1E07">
        <w:t>Bůh jako první příčina, svrchované bytí a dárce forem</w:t>
      </w:r>
      <w:r w:rsidR="00524DCB" w:rsidRPr="003D1E07">
        <w:fldChar w:fldCharType="begin"/>
      </w:r>
      <w:r w:rsidR="00524DCB" w:rsidRPr="003D1E07">
        <w:instrText xml:space="preserve"> XE "intelekt:dárce forem" </w:instrText>
      </w:r>
      <w:r w:rsidR="00524DCB" w:rsidRPr="003D1E07">
        <w:fldChar w:fldCharType="end"/>
      </w:r>
      <w:r w:rsidR="00A32AC0" w:rsidRPr="003D1E07">
        <w:t xml:space="preserve"> </w:t>
      </w:r>
      <w:r w:rsidR="08B31584" w:rsidRPr="003D1E07">
        <w:t xml:space="preserve">byl do metafyziky </w:t>
      </w:r>
      <w:r w:rsidR="08371615" w:rsidRPr="003D1E07">
        <w:rPr>
          <w:i/>
        </w:rPr>
        <w:t>Modernorum</w:t>
      </w:r>
      <w:r w:rsidR="08371615" w:rsidRPr="003D1E07">
        <w:t xml:space="preserve"> </w:t>
      </w:r>
      <w:r w:rsidR="08B31584" w:rsidRPr="003D1E07">
        <w:t>včleněn objektivně</w:t>
      </w:r>
      <w:r w:rsidR="089B478F" w:rsidRPr="003D1E07">
        <w:t xml:space="preserve"> a </w:t>
      </w:r>
      <w:r w:rsidR="08170E61" w:rsidRPr="003D1E07">
        <w:t xml:space="preserve">na konci této tragikomedie také objektivně </w:t>
      </w:r>
      <w:r w:rsidR="089B478F" w:rsidRPr="003D1E07">
        <w:t>zemřel</w:t>
      </w:r>
      <w:r w:rsidR="08F374B4" w:rsidRPr="003D1E07">
        <w:t xml:space="preserve">. </w:t>
      </w:r>
      <w:r w:rsidR="086C5D7C" w:rsidRPr="003D1E07">
        <w:t>Pohřeb mu vystrojil brilatntní anti-platonik Nietzsche filosofující kladivem</w:t>
      </w:r>
      <w:r w:rsidR="00C961CB">
        <w:t>,</w:t>
      </w:r>
      <w:r w:rsidR="08C7497B" w:rsidRPr="003D1E07">
        <w:t xml:space="preserve"> a </w:t>
      </w:r>
      <w:r w:rsidR="086C5D7C" w:rsidRPr="003D1E07">
        <w:t xml:space="preserve">nikoliv </w:t>
      </w:r>
      <w:r w:rsidR="008617EA">
        <w:t xml:space="preserve">falešnými </w:t>
      </w:r>
      <w:r w:rsidR="086C5D7C" w:rsidRPr="003D1E07">
        <w:t xml:space="preserve">idejemi. </w:t>
      </w:r>
      <w:r w:rsidR="08F374B4" w:rsidRPr="003D1E07">
        <w:t xml:space="preserve">Moderní bůh </w:t>
      </w:r>
      <w:r w:rsidR="08B31584" w:rsidRPr="003D1E07">
        <w:t xml:space="preserve">ve své </w:t>
      </w:r>
      <w:r w:rsidR="08F342BE" w:rsidRPr="003D1E07">
        <w:t xml:space="preserve">antropocentricky dané </w:t>
      </w:r>
      <w:r w:rsidR="08B31584" w:rsidRPr="003D1E07">
        <w:t xml:space="preserve">mysli a intencionalitě </w:t>
      </w:r>
      <w:r w:rsidR="086A08BD" w:rsidRPr="003D1E07">
        <w:t xml:space="preserve">statečně </w:t>
      </w:r>
      <w:r w:rsidR="08F374B4" w:rsidRPr="003D1E07">
        <w:t>nesl po celá staletí</w:t>
      </w:r>
      <w:r w:rsidR="08B31584" w:rsidRPr="003D1E07">
        <w:t xml:space="preserve"> všechna </w:t>
      </w:r>
      <w:r w:rsidR="08DF5036" w:rsidRPr="003D1E07">
        <w:t xml:space="preserve">myslitelsky možná </w:t>
      </w:r>
      <w:r w:rsidR="00A32AC0" w:rsidRPr="003D1E07">
        <w:t>určení jsoucna</w:t>
      </w:r>
      <w:r w:rsidR="086A08BD" w:rsidRPr="003D1E07">
        <w:t xml:space="preserve"> v modu </w:t>
      </w:r>
      <w:r w:rsidR="086A08BD" w:rsidRPr="003D1E07">
        <w:rPr>
          <w:i/>
        </w:rPr>
        <w:t>semel</w:t>
      </w:r>
      <w:r w:rsidR="086A08BD" w:rsidRPr="003D1E07">
        <w:t>‒</w:t>
      </w:r>
      <w:r w:rsidR="086A08BD" w:rsidRPr="003D1E07">
        <w:rPr>
          <w:i/>
        </w:rPr>
        <w:t>semper</w:t>
      </w:r>
      <w:r w:rsidR="08DD4C2C" w:rsidRPr="003D1E07">
        <w:rPr>
          <w:bCs/>
          <w:i/>
          <w:szCs w:val="24"/>
        </w:rPr>
        <w:fldChar w:fldCharType="begin"/>
      </w:r>
      <w:r w:rsidR="08DD4C2C" w:rsidRPr="003D1E07">
        <w:instrText xml:space="preserve"> XE "pr</w:instrText>
      </w:r>
      <w:r w:rsidR="08DD4C2C" w:rsidRPr="003D1E07">
        <w:rPr>
          <w:rFonts w:cs="Calibri"/>
        </w:rPr>
        <w:instrText>e</w:instrText>
      </w:r>
      <w:r w:rsidR="08DD4C2C" w:rsidRPr="003D1E07">
        <w:instrText>dikace:</w:instrText>
      </w:r>
      <w:r w:rsidR="08DD4C2C" w:rsidRPr="003D1E07">
        <w:rPr>
          <w:bCs/>
          <w:i/>
          <w:szCs w:val="24"/>
        </w:rPr>
        <w:instrText>semel</w:instrText>
      </w:r>
      <w:r w:rsidR="08DD4C2C" w:rsidRPr="003D1E07">
        <w:rPr>
          <w:rFonts w:cs="Calibri"/>
          <w:bCs/>
          <w:i/>
          <w:szCs w:val="24"/>
        </w:rPr>
        <w:instrText>─</w:instrText>
      </w:r>
      <w:r w:rsidR="08DD4C2C" w:rsidRPr="003D1E07">
        <w:rPr>
          <w:bCs/>
          <w:i/>
          <w:szCs w:val="24"/>
        </w:rPr>
        <w:instrText>semper</w:instrText>
      </w:r>
      <w:r w:rsidR="08DD4C2C" w:rsidRPr="003D1E07">
        <w:instrText xml:space="preserve">" </w:instrText>
      </w:r>
      <w:r w:rsidR="08DD4C2C" w:rsidRPr="003D1E07">
        <w:rPr>
          <w:bCs/>
          <w:i/>
          <w:szCs w:val="24"/>
        </w:rPr>
        <w:fldChar w:fldCharType="end"/>
      </w:r>
      <w:r w:rsidR="00A32AC0" w:rsidRPr="003D1E07">
        <w:t xml:space="preserve">. </w:t>
      </w:r>
      <w:r w:rsidR="00C961CB">
        <w:t>V</w:t>
      </w:r>
      <w:r w:rsidR="00C961CB" w:rsidRPr="003D1E07">
        <w:t xml:space="preserve"> epoše nihilismu</w:t>
      </w:r>
      <w:r w:rsidR="00C961CB">
        <w:t xml:space="preserve"> </w:t>
      </w:r>
      <w:r w:rsidR="00C961CB" w:rsidRPr="003D1E07">
        <w:t xml:space="preserve">předal </w:t>
      </w:r>
      <w:r w:rsidR="08C04E02" w:rsidRPr="003D1E07">
        <w:t xml:space="preserve">tuto </w:t>
      </w:r>
      <w:r w:rsidR="08C7497B" w:rsidRPr="003D1E07">
        <w:t xml:space="preserve">herkulovskou úlohu </w:t>
      </w:r>
      <w:r w:rsidR="08C04E02" w:rsidRPr="003D1E07">
        <w:t>matematikům typu Leibnize a dnešním superkomputerům</w:t>
      </w:r>
      <w:r w:rsidR="005A5494">
        <w:t xml:space="preserve">. Pak </w:t>
      </w:r>
      <w:r w:rsidR="08C04E02" w:rsidRPr="003D1E07">
        <w:t>mohl konečně v klidu zemřít</w:t>
      </w:r>
      <w:r w:rsidR="005A5494">
        <w:t>, protože byl absolutně nezaměst</w:t>
      </w:r>
      <w:r w:rsidR="00554B35">
        <w:t>n</w:t>
      </w:r>
      <w:r w:rsidR="005A5494">
        <w:t>aný</w:t>
      </w:r>
      <w:r w:rsidR="08C04E02" w:rsidRPr="003D1E07">
        <w:fldChar w:fldCharType="begin"/>
      </w:r>
      <w:r w:rsidR="08C04E02" w:rsidRPr="003D1E07">
        <w:instrText xml:space="preserve"> XE "smrt boha" </w:instrText>
      </w:r>
      <w:r w:rsidR="08C04E02" w:rsidRPr="003D1E07">
        <w:fldChar w:fldCharType="end"/>
      </w:r>
      <w:r w:rsidR="08C04E02" w:rsidRPr="003D1E07">
        <w:t xml:space="preserve">. </w:t>
      </w:r>
      <w:r w:rsidR="082052B1" w:rsidRPr="003D1E07">
        <w:t>Avicenn</w:t>
      </w:r>
      <w:r w:rsidR="084E7A78" w:rsidRPr="003D1E07">
        <w:t>a zahajuje tento vývoj vedoucí ke smrti m</w:t>
      </w:r>
      <w:r w:rsidR="082052B1" w:rsidRPr="003D1E07">
        <w:t>oderní</w:t>
      </w:r>
      <w:r w:rsidR="084E7A78" w:rsidRPr="003D1E07">
        <w:t>ho</w:t>
      </w:r>
      <w:r w:rsidR="08813B8A" w:rsidRPr="003D1E07">
        <w:t xml:space="preserve"> bo</w:t>
      </w:r>
      <w:r w:rsidR="082052B1" w:rsidRPr="003D1E07">
        <w:t>h</w:t>
      </w:r>
      <w:r w:rsidR="084E7A78" w:rsidRPr="003D1E07">
        <w:t>a, který</w:t>
      </w:r>
      <w:r w:rsidR="082052B1" w:rsidRPr="003D1E07">
        <w:t xml:space="preserve"> byl </w:t>
      </w:r>
      <w:r w:rsidR="08491C43" w:rsidRPr="003D1E07">
        <w:t xml:space="preserve">vytvořen </w:t>
      </w:r>
      <w:r w:rsidR="08491C43" w:rsidRPr="003D1E07">
        <w:rPr>
          <w:i/>
        </w:rPr>
        <w:t>ex nihilo</w:t>
      </w:r>
      <w:r w:rsidR="08491C43" w:rsidRPr="003D1E07">
        <w:rPr>
          <w:i/>
        </w:rPr>
        <w:fldChar w:fldCharType="begin"/>
      </w:r>
      <w:r w:rsidR="08491C43" w:rsidRPr="003D1E07">
        <w:instrText xml:space="preserve"> XE "</w:instrText>
      </w:r>
      <w:r w:rsidR="08491C43" w:rsidRPr="003D1E07">
        <w:rPr>
          <w:i/>
        </w:rPr>
        <w:instrText>creatio ex nihilo</w:instrText>
      </w:r>
      <w:r w:rsidR="08491C43" w:rsidRPr="003D1E07">
        <w:instrText xml:space="preserve">" </w:instrText>
      </w:r>
      <w:r w:rsidR="08491C43" w:rsidRPr="003D1E07">
        <w:rPr>
          <w:i/>
        </w:rPr>
        <w:fldChar w:fldCharType="end"/>
      </w:r>
      <w:r w:rsidR="08491C43" w:rsidRPr="003D1E07">
        <w:t xml:space="preserve"> </w:t>
      </w:r>
      <w:r w:rsidR="082052B1" w:rsidRPr="003D1E07">
        <w:t xml:space="preserve">jako první </w:t>
      </w:r>
      <w:r w:rsidR="082052B1" w:rsidRPr="003D1E07">
        <w:rPr>
          <w:i/>
        </w:rPr>
        <w:t>subiectum</w:t>
      </w:r>
      <w:r w:rsidR="084E7A78" w:rsidRPr="003D1E07">
        <w:t xml:space="preserve"> </w:t>
      </w:r>
      <w:r w:rsidR="00655BDC">
        <w:t xml:space="preserve">moderní </w:t>
      </w:r>
      <w:r w:rsidR="084E7A78" w:rsidRPr="003D1E07">
        <w:t xml:space="preserve">metafyziky. Tuto antropomorfizaci </w:t>
      </w:r>
      <w:r w:rsidR="08813B8A" w:rsidRPr="003D1E07">
        <w:t xml:space="preserve">boha </w:t>
      </w:r>
      <w:r w:rsidR="082052B1" w:rsidRPr="003D1E07">
        <w:t xml:space="preserve">zásadně odmítla </w:t>
      </w:r>
      <w:r w:rsidR="084421F2" w:rsidRPr="003D1E07">
        <w:t xml:space="preserve">aristotelská falsafa </w:t>
      </w:r>
      <w:r w:rsidR="0878184A" w:rsidRPr="003D1E07">
        <w:t xml:space="preserve">a </w:t>
      </w:r>
      <w:r w:rsidR="082052B1" w:rsidRPr="003D1E07">
        <w:t xml:space="preserve">teologie </w:t>
      </w:r>
      <w:r w:rsidR="08843036" w:rsidRPr="003D1E07">
        <w:t xml:space="preserve">právnické školy </w:t>
      </w:r>
      <w:r w:rsidR="08843036" w:rsidRPr="003D1E07">
        <w:rPr>
          <w:i/>
        </w:rPr>
        <w:t>mutakallim</w:t>
      </w:r>
      <w:r w:rsidR="08843036" w:rsidRPr="003D1E07">
        <w:rPr>
          <w:i/>
        </w:rPr>
        <w:fldChar w:fldCharType="begin"/>
      </w:r>
      <w:r w:rsidR="08843036" w:rsidRPr="003D1E07">
        <w:instrText xml:space="preserve"> XE "</w:instrText>
      </w:r>
      <w:r w:rsidR="08843036" w:rsidRPr="003D1E07">
        <w:rPr>
          <w:i/>
        </w:rPr>
        <w:instrText>mutakallim</w:instrText>
      </w:r>
      <w:r w:rsidR="08843036" w:rsidRPr="003D1E07">
        <w:instrText xml:space="preserve">" </w:instrText>
      </w:r>
      <w:r w:rsidR="08843036" w:rsidRPr="003D1E07">
        <w:rPr>
          <w:i/>
        </w:rPr>
        <w:fldChar w:fldCharType="end"/>
      </w:r>
      <w:r w:rsidR="08843036" w:rsidRPr="003D1E07">
        <w:t xml:space="preserve"> </w:t>
      </w:r>
      <w:r w:rsidR="08E07BDA" w:rsidRPr="003D1E07">
        <w:t>v 11. století</w:t>
      </w:r>
      <w:r w:rsidR="082052B1" w:rsidRPr="003D1E07">
        <w:t xml:space="preserve">. </w:t>
      </w:r>
      <w:r w:rsidR="00AF3192" w:rsidRPr="00AF3192">
        <w:t>Tato gigantomachie zásadním způsobem poznamenala pozdější objektivní dějiny západní metafyziky.</w:t>
      </w:r>
      <w:r w:rsidR="00AF3192">
        <w:t xml:space="preserve"> </w:t>
      </w:r>
      <w:r w:rsidR="082F0FB0" w:rsidRPr="003D1E07">
        <w:t>Terminální fáze moderního boha začala smrtí teologie</w:t>
      </w:r>
      <w:r w:rsidR="00B05252" w:rsidRPr="003D1E07">
        <w:t xml:space="preserve"> v objektivistické filosofii. </w:t>
      </w:r>
      <w:r w:rsidR="082F0FB0" w:rsidRPr="003D1E07">
        <w:t>První představitel postmoderny Francisco Suárez</w:t>
      </w:r>
      <w:r w:rsidR="082F0FB0" w:rsidRPr="003D1E07">
        <w:fldChar w:fldCharType="begin"/>
      </w:r>
      <w:r w:rsidR="082F0FB0" w:rsidRPr="003D1E07">
        <w:instrText xml:space="preserve"> XE "Suárez, F." </w:instrText>
      </w:r>
      <w:r w:rsidR="082F0FB0" w:rsidRPr="003D1E07">
        <w:fldChar w:fldCharType="end"/>
      </w:r>
      <w:r w:rsidR="082F0FB0" w:rsidRPr="003D1E07">
        <w:t xml:space="preserve"> (†1617) subsumoval přirozené principy teologie pod </w:t>
      </w:r>
      <w:r w:rsidR="081E0A9A" w:rsidRPr="003D1E07">
        <w:t xml:space="preserve">nové určení jsoucna dané v rámci </w:t>
      </w:r>
      <w:r w:rsidR="082F0FB0" w:rsidRPr="003D1E07">
        <w:rPr>
          <w:i/>
        </w:rPr>
        <w:t>metaphysica generalis</w:t>
      </w:r>
      <w:r w:rsidR="087E76DC" w:rsidRPr="003D1E07">
        <w:rPr>
          <w:i/>
        </w:rPr>
        <w:fldChar w:fldCharType="begin"/>
      </w:r>
      <w:r w:rsidR="087E76DC" w:rsidRPr="003D1E07">
        <w:instrText xml:space="preserve"> XE "</w:instrText>
      </w:r>
      <w:r w:rsidR="087E76DC" w:rsidRPr="003D1E07">
        <w:rPr>
          <w:i/>
        </w:rPr>
        <w:instrText>metaphysica generalis</w:instrText>
      </w:r>
      <w:r w:rsidR="087E76DC" w:rsidRPr="003D1E07">
        <w:instrText xml:space="preserve">" </w:instrText>
      </w:r>
      <w:r w:rsidR="087E76DC" w:rsidRPr="003D1E07">
        <w:rPr>
          <w:i/>
        </w:rPr>
        <w:fldChar w:fldCharType="end"/>
      </w:r>
      <w:r w:rsidR="087E76DC" w:rsidRPr="003D1E07">
        <w:t xml:space="preserve"> (Courtine 1990, 429). Toto určení je dáno </w:t>
      </w:r>
      <w:r w:rsidR="082F0FB0" w:rsidRPr="003D1E07">
        <w:t xml:space="preserve">v avicennistickém modu </w:t>
      </w:r>
      <w:r w:rsidR="085F2470" w:rsidRPr="003D1E07">
        <w:rPr>
          <w:i/>
        </w:rPr>
        <w:t>ens</w:t>
      </w:r>
      <w:r w:rsidR="085F2470" w:rsidRPr="003D1E07">
        <w:t xml:space="preserve"> </w:t>
      </w:r>
      <w:r w:rsidR="082F0FB0" w:rsidRPr="003D1E07">
        <w:rPr>
          <w:i/>
        </w:rPr>
        <w:t>inquantum ens</w:t>
      </w:r>
      <w:r w:rsidR="0079644D">
        <w:t>.</w:t>
      </w:r>
    </w:p>
    <w:p w14:paraId="2B8D4307" w14:textId="2A8BE03D" w:rsidR="004A0D58" w:rsidRPr="003D1E07" w:rsidRDefault="082F0FB0" w:rsidP="0079644D">
      <w:pPr>
        <w:ind w:firstLine="360"/>
      </w:pPr>
      <w:r w:rsidRPr="003D1E07">
        <w:t xml:space="preserve">Avicenna stojí na začátku ontoteologické konstrukce </w:t>
      </w:r>
      <w:r w:rsidR="08A541C7" w:rsidRPr="003D1E07">
        <w:t xml:space="preserve">západní moderní </w:t>
      </w:r>
      <w:r w:rsidRPr="003D1E07">
        <w:t>metafyziky</w:t>
      </w:r>
      <w:r w:rsidR="08067983" w:rsidRPr="003D1E07">
        <w:t>. Její základní omyly diagn</w:t>
      </w:r>
      <w:r w:rsidR="08D453BF" w:rsidRPr="003D1E07">
        <w:t>ostikované jak Alga</w:t>
      </w:r>
      <w:r w:rsidR="08067983" w:rsidRPr="003D1E07">
        <w:t>ze</w:t>
      </w:r>
      <w:r w:rsidR="08D453BF" w:rsidRPr="003D1E07">
        <w:t>le</w:t>
      </w:r>
      <w:r w:rsidR="08067983" w:rsidRPr="003D1E07">
        <w:t>m tak Averroesem nutně vedly i k jejímu zániku</w:t>
      </w:r>
      <w:r w:rsidRPr="003D1E07">
        <w:t xml:space="preserve">. </w:t>
      </w:r>
      <w:r w:rsidR="08D04D64" w:rsidRPr="003D1E07">
        <w:t xml:space="preserve">Projekt </w:t>
      </w:r>
      <w:r w:rsidR="082D7FFA" w:rsidRPr="003D1E07">
        <w:t xml:space="preserve">substance </w:t>
      </w:r>
      <w:r w:rsidR="08D04D64" w:rsidRPr="003D1E07">
        <w:t xml:space="preserve">třetího druhu </w:t>
      </w:r>
      <w:r w:rsidR="082D7FFA" w:rsidRPr="003D1E07">
        <w:t xml:space="preserve">je osmyslněn v rámci unitárního ontoteologického rozvrhu jsoucna. </w:t>
      </w:r>
      <w:r w:rsidR="08D04D64" w:rsidRPr="003D1E07">
        <w:t>Objektivní substance-</w:t>
      </w:r>
      <w:r w:rsidR="08D04D64" w:rsidRPr="003D1E07">
        <w:rPr>
          <w:i/>
        </w:rPr>
        <w:t>individuum</w:t>
      </w:r>
      <w:r w:rsidR="08D04D64" w:rsidRPr="003D1E07">
        <w:t xml:space="preserve"> </w:t>
      </w:r>
      <w:r w:rsidR="082D7FFA" w:rsidRPr="003D1E07">
        <w:t>dostal</w:t>
      </w:r>
      <w:r w:rsidR="08D04D64" w:rsidRPr="003D1E07">
        <w:t>a</w:t>
      </w:r>
      <w:r w:rsidR="082D7FFA" w:rsidRPr="003D1E07">
        <w:t xml:space="preserve"> v ontoteologické predikaci </w:t>
      </w:r>
      <w:r w:rsidR="082D7FFA" w:rsidRPr="003D1E07">
        <w:rPr>
          <w:i/>
        </w:rPr>
        <w:t>per prius</w:t>
      </w:r>
      <w:r w:rsidR="082D7FFA" w:rsidRPr="003D1E07">
        <w:t xml:space="preserve"> novou věcnost a funguje jako kvazi-genus a kvazi-esence. </w:t>
      </w:r>
      <w:r w:rsidR="080250F6" w:rsidRPr="003D1E07">
        <w:t xml:space="preserve">V epoše metafyzického nihilismu a </w:t>
      </w:r>
      <w:r w:rsidR="080250F6" w:rsidRPr="003D1E07">
        <w:lastRenderedPageBreak/>
        <w:t>sekularizace</w:t>
      </w:r>
      <w:r w:rsidR="080250F6" w:rsidRPr="003D1E07">
        <w:fldChar w:fldCharType="begin"/>
      </w:r>
      <w:r w:rsidR="080250F6" w:rsidRPr="003D1E07">
        <w:instrText xml:space="preserve"> XE "sekularizace" </w:instrText>
      </w:r>
      <w:r w:rsidR="080250F6" w:rsidRPr="003D1E07">
        <w:fldChar w:fldCharType="end"/>
      </w:r>
      <w:r w:rsidR="080250F6" w:rsidRPr="003D1E07">
        <w:t xml:space="preserve"> tato ontoteologie ztratila poslední zbytky autonomie a svůj dějinný význam. Viz oprávněné kritiky Nietzscheho, Feuerbacha a Marxe postihující postmoderní teologii či </w:t>
      </w:r>
      <w:r w:rsidR="000E7AE2" w:rsidRPr="003D1E07">
        <w:t>sekulární ideologické pozůstatky post</w:t>
      </w:r>
      <w:r w:rsidR="080250F6" w:rsidRPr="003D1E07">
        <w:t xml:space="preserve">moderního avicennismu. </w:t>
      </w:r>
      <w:r w:rsidR="004A0D58" w:rsidRPr="003D1E07">
        <w:t xml:space="preserve">Vznik </w:t>
      </w:r>
      <w:r w:rsidR="006C6B3B" w:rsidRPr="003D1E07">
        <w:t xml:space="preserve">objektivně nazíraného </w:t>
      </w:r>
      <w:r w:rsidR="008340DB" w:rsidRPr="003D1E07">
        <w:t xml:space="preserve">smyslu </w:t>
      </w:r>
      <w:r w:rsidR="006C6B3B" w:rsidRPr="003D1E07">
        <w:t xml:space="preserve">jsoucna </w:t>
      </w:r>
      <w:r w:rsidR="083A6CF2" w:rsidRPr="003D1E07">
        <w:t xml:space="preserve">u Avicenny </w:t>
      </w:r>
      <w:r w:rsidR="004A0D58" w:rsidRPr="003D1E07">
        <w:t>je</w:t>
      </w:r>
      <w:r w:rsidR="00290065" w:rsidRPr="003D1E07">
        <w:t xml:space="preserve"> dán v následujících </w:t>
      </w:r>
      <w:r w:rsidR="087B7800" w:rsidRPr="003D1E07">
        <w:t xml:space="preserve">krocích, které ukazují </w:t>
      </w:r>
      <w:r w:rsidR="00041C08" w:rsidRPr="003D1E07">
        <w:t xml:space="preserve">epochální </w:t>
      </w:r>
      <w:r w:rsidR="087B7800" w:rsidRPr="003D1E07">
        <w:rPr>
          <w:i/>
        </w:rPr>
        <w:t>Ereignis</w:t>
      </w:r>
      <w:r w:rsidR="087B7800" w:rsidRPr="003D1E07">
        <w:t xml:space="preserve"> </w:t>
      </w:r>
      <w:r w:rsidR="00041C08" w:rsidRPr="003D1E07">
        <w:t>zatmění první substance</w:t>
      </w:r>
      <w:r w:rsidR="00E27ABC" w:rsidRPr="003D1E07">
        <w:fldChar w:fldCharType="begin"/>
      </w:r>
      <w:r w:rsidR="00E27ABC" w:rsidRPr="003D1E07">
        <w:instrText xml:space="preserve"> XE "</w:instrText>
      </w:r>
      <w:r w:rsidR="00284585" w:rsidRPr="003D1E07">
        <w:rPr>
          <w:i/>
        </w:rPr>
        <w:instrText>Lichtung</w:instrText>
      </w:r>
      <w:r w:rsidR="009B350B" w:rsidRPr="003D1E07">
        <w:instrText>:</w:instrText>
      </w:r>
      <w:r w:rsidR="00284585" w:rsidRPr="003D1E07">
        <w:instrText>objektivity</w:instrText>
      </w:r>
      <w:r w:rsidR="00E27ABC" w:rsidRPr="003D1E07">
        <w:instrText xml:space="preserve">" </w:instrText>
      </w:r>
      <w:r w:rsidR="00E27ABC" w:rsidRPr="003D1E07">
        <w:fldChar w:fldCharType="end"/>
      </w:r>
      <w:r w:rsidR="00041C08" w:rsidRPr="003D1E07">
        <w:t>.</w:t>
      </w:r>
      <w:r w:rsidR="00691358">
        <w:t xml:space="preserve"> </w:t>
      </w:r>
      <w:r w:rsidR="00691358" w:rsidRPr="00691358">
        <w:t>Zrekapitulujme první kroky modernity, které vedly k jejímu počátečnímu vzestupu.</w:t>
      </w:r>
    </w:p>
    <w:p w14:paraId="655140AD" w14:textId="194CD43A" w:rsidR="08736B5D" w:rsidRPr="003D1E07" w:rsidRDefault="087B7800" w:rsidP="00202920">
      <w:pPr>
        <w:numPr>
          <w:ilvl w:val="0"/>
          <w:numId w:val="3"/>
        </w:numPr>
      </w:pPr>
      <w:r w:rsidRPr="003D1E07">
        <w:t>Al-</w:t>
      </w:r>
      <w:r w:rsidR="008E02F5" w:rsidRPr="003D1E07">
        <w:t>Fárábí</w:t>
      </w:r>
      <w:r w:rsidR="00C97A6B" w:rsidRPr="003D1E07">
        <w:t xml:space="preserve">ho </w:t>
      </w:r>
      <w:r w:rsidR="00A7656B" w:rsidRPr="003D1E07">
        <w:t xml:space="preserve">receptivní </w:t>
      </w:r>
      <w:r w:rsidR="00213987" w:rsidRPr="003D1E07">
        <w:t>intelekt (</w:t>
      </w:r>
      <w:r w:rsidR="00213987" w:rsidRPr="003D1E07">
        <w:rPr>
          <w:i/>
        </w:rPr>
        <w:t xml:space="preserve">intellectus </w:t>
      </w:r>
      <w:r w:rsidR="08D31149" w:rsidRPr="003D1E07">
        <w:rPr>
          <w:i/>
        </w:rPr>
        <w:t>in potenc</w:t>
      </w:r>
      <w:r w:rsidR="00C97A6B" w:rsidRPr="003D1E07">
        <w:rPr>
          <w:i/>
        </w:rPr>
        <w:t>ia</w:t>
      </w:r>
      <w:r w:rsidR="00213987" w:rsidRPr="003D1E07">
        <w:t xml:space="preserve">) je zbytečný, protože jeho funkci hraje reflexivita nemateriální duše </w:t>
      </w:r>
      <w:r w:rsidR="0061502A" w:rsidRPr="003D1E07">
        <w:t>jako samostatné substance</w:t>
      </w:r>
      <w:r w:rsidR="00213987" w:rsidRPr="003D1E07">
        <w:t>. Její receptivita zahrnuje nižší formy uvažování (</w:t>
      </w:r>
      <w:r w:rsidR="00213987" w:rsidRPr="003D1E07">
        <w:rPr>
          <w:i/>
        </w:rPr>
        <w:t>cogitatio</w:t>
      </w:r>
      <w:r w:rsidR="00213987" w:rsidRPr="003D1E07">
        <w:t>), společnou představivost (</w:t>
      </w:r>
      <w:r w:rsidR="00213987" w:rsidRPr="003D1E07">
        <w:rPr>
          <w:i/>
        </w:rPr>
        <w:t>imaginatio</w:t>
      </w:r>
      <w:r w:rsidR="00213987" w:rsidRPr="003D1E07">
        <w:t>) a paměť (</w:t>
      </w:r>
      <w:r w:rsidR="00213987" w:rsidRPr="003D1E07">
        <w:rPr>
          <w:i/>
        </w:rPr>
        <w:t>memoria</w:t>
      </w:r>
      <w:r w:rsidR="00E6051F" w:rsidRPr="003D1E07">
        <w:rPr>
          <w:i/>
        </w:rPr>
        <w:fldChar w:fldCharType="begin"/>
      </w:r>
      <w:r w:rsidR="00E6051F" w:rsidRPr="003D1E07">
        <w:instrText xml:space="preserve"> XE "</w:instrText>
      </w:r>
      <w:r w:rsidR="00E6051F" w:rsidRPr="003D1E07">
        <w:rPr>
          <w:i/>
        </w:rPr>
        <w:instrText>memoria:</w:instrText>
      </w:r>
      <w:r w:rsidR="08C60DD9" w:rsidRPr="003D1E07">
        <w:instrText>Avicenna</w:instrText>
      </w:r>
      <w:r w:rsidR="00E6051F" w:rsidRPr="003D1E07">
        <w:instrText xml:space="preserve">" </w:instrText>
      </w:r>
      <w:r w:rsidR="00E6051F" w:rsidRPr="003D1E07">
        <w:rPr>
          <w:i/>
        </w:rPr>
        <w:fldChar w:fldCharType="end"/>
      </w:r>
      <w:r w:rsidR="00213987" w:rsidRPr="003D1E07">
        <w:t xml:space="preserve">). </w:t>
      </w:r>
      <w:r w:rsidR="00210690" w:rsidRPr="003D1E07">
        <w:t xml:space="preserve">Tyto formy poznání však ukazují </w:t>
      </w:r>
      <w:r w:rsidR="00BE341B" w:rsidRPr="003D1E07">
        <w:t xml:space="preserve">pouze </w:t>
      </w:r>
      <w:r w:rsidR="00F74267" w:rsidRPr="003D1E07">
        <w:t xml:space="preserve">vnější </w:t>
      </w:r>
      <w:r w:rsidR="00BE341B" w:rsidRPr="003D1E07">
        <w:t xml:space="preserve">podobnost </w:t>
      </w:r>
      <w:r w:rsidR="086617E9" w:rsidRPr="003D1E07">
        <w:t>(</w:t>
      </w:r>
      <w:r w:rsidR="086617E9" w:rsidRPr="003D1E07">
        <w:rPr>
          <w:i/>
        </w:rPr>
        <w:t>similitudo</w:t>
      </w:r>
      <w:r w:rsidR="086617E9" w:rsidRPr="003D1E07">
        <w:t>) poznání s akt</w:t>
      </w:r>
      <w:r w:rsidR="0831669C" w:rsidRPr="003D1E07">
        <w:t>u</w:t>
      </w:r>
      <w:r w:rsidR="086617E9" w:rsidRPr="003D1E07">
        <w:t>ální věcí vnímanou smysly</w:t>
      </w:r>
      <w:r w:rsidR="08736B5D" w:rsidRPr="003D1E07">
        <w:t>.</w:t>
      </w:r>
    </w:p>
    <w:p w14:paraId="792B2494" w14:textId="465FB603" w:rsidR="00BE341B" w:rsidRPr="003D1E07" w:rsidRDefault="08736B5D" w:rsidP="00202920">
      <w:pPr>
        <w:numPr>
          <w:ilvl w:val="0"/>
          <w:numId w:val="3"/>
        </w:numPr>
      </w:pPr>
      <w:r w:rsidRPr="003D1E07">
        <w:t xml:space="preserve">Individuální povaha </w:t>
      </w:r>
      <w:r w:rsidR="08A50323" w:rsidRPr="003D1E07">
        <w:t xml:space="preserve">intelektuální lidské </w:t>
      </w:r>
      <w:r w:rsidRPr="003D1E07">
        <w:t xml:space="preserve">duše vzniká </w:t>
      </w:r>
      <w:r w:rsidR="0831669C" w:rsidRPr="003D1E07">
        <w:t xml:space="preserve">díky </w:t>
      </w:r>
      <w:r w:rsidR="083248DD" w:rsidRPr="003D1E07">
        <w:t xml:space="preserve">aktu </w:t>
      </w:r>
      <w:r w:rsidR="0831669C" w:rsidRPr="003D1E07">
        <w:t xml:space="preserve">smyslově založeného </w:t>
      </w:r>
      <w:r w:rsidRPr="003D1E07">
        <w:t xml:space="preserve">uvažování </w:t>
      </w:r>
      <w:r w:rsidR="0831669C" w:rsidRPr="003D1E07">
        <w:t>(</w:t>
      </w:r>
      <w:r w:rsidR="0831669C" w:rsidRPr="003D1E07">
        <w:rPr>
          <w:i/>
        </w:rPr>
        <w:t>cogitatio</w:t>
      </w:r>
      <w:r w:rsidR="0831669C" w:rsidRPr="003D1E07">
        <w:t xml:space="preserve">) </w:t>
      </w:r>
      <w:r w:rsidRPr="003D1E07">
        <w:t xml:space="preserve">a </w:t>
      </w:r>
      <w:r w:rsidR="08A50323" w:rsidRPr="003D1E07">
        <w:t xml:space="preserve">díky </w:t>
      </w:r>
      <w:r w:rsidR="0831669C" w:rsidRPr="003D1E07">
        <w:t>osvícení in</w:t>
      </w:r>
      <w:r w:rsidR="003A18E3">
        <w:t>telektu skrze darovaný intelekt</w:t>
      </w:r>
      <w:r w:rsidRPr="003D1E07">
        <w:t xml:space="preserve">. Duše je spojena s tělem akcidentálně skrze smyslové </w:t>
      </w:r>
      <w:r w:rsidR="08BE3798" w:rsidRPr="003D1E07">
        <w:t xml:space="preserve">a tělesné </w:t>
      </w:r>
      <w:r w:rsidRPr="003D1E07">
        <w:rPr>
          <w:i/>
        </w:rPr>
        <w:t>cogitatio</w:t>
      </w:r>
      <w:r w:rsidR="001D7FFA">
        <w:t>. A</w:t>
      </w:r>
      <w:r w:rsidR="004F03D2">
        <w:t xml:space="preserve">le je od těla oddělena v aktu </w:t>
      </w:r>
      <w:r w:rsidR="08BE3798" w:rsidRPr="003D1E07">
        <w:t>nemateriální a hypostaticky-aktuální</w:t>
      </w:r>
      <w:r w:rsidR="00FF2A79">
        <w:t xml:space="preserve"> reflexe (</w:t>
      </w:r>
      <w:r w:rsidR="08BE3798" w:rsidRPr="003D1E07">
        <w:rPr>
          <w:i/>
        </w:rPr>
        <w:t>intellectio</w:t>
      </w:r>
      <w:r w:rsidR="00FF2A79">
        <w:t>).</w:t>
      </w:r>
      <w:r w:rsidR="08BE3798" w:rsidRPr="003D1E07">
        <w:t xml:space="preserve"> </w:t>
      </w:r>
      <w:r w:rsidRPr="003D1E07">
        <w:t>A</w:t>
      </w:r>
      <w:r w:rsidR="08BE3798" w:rsidRPr="003D1E07">
        <w:t xml:space="preserve">le </w:t>
      </w:r>
      <w:r w:rsidRPr="003D1E07">
        <w:t>to</w:t>
      </w:r>
      <w:r w:rsidR="08BE3798" w:rsidRPr="003D1E07">
        <w:t xml:space="preserve">to slabé pouto mezi </w:t>
      </w:r>
      <w:r w:rsidR="08211014" w:rsidRPr="003D1E07">
        <w:t xml:space="preserve">substančním </w:t>
      </w:r>
      <w:r w:rsidR="08BE3798" w:rsidRPr="003D1E07">
        <w:t xml:space="preserve">tělem a </w:t>
      </w:r>
      <w:r w:rsidR="08211014" w:rsidRPr="003D1E07">
        <w:t xml:space="preserve">substančním </w:t>
      </w:r>
      <w:r w:rsidR="08BE3798" w:rsidRPr="003D1E07">
        <w:t>intelektem</w:t>
      </w:r>
      <w:r w:rsidRPr="003D1E07">
        <w:t xml:space="preserve"> stačí na založení trvalé individuality </w:t>
      </w:r>
      <w:r w:rsidR="08BE3798" w:rsidRPr="003D1E07">
        <w:t xml:space="preserve">duše </w:t>
      </w:r>
      <w:r w:rsidRPr="003D1E07">
        <w:t>i po smrti</w:t>
      </w:r>
      <w:r w:rsidR="08BE3798" w:rsidRPr="003D1E07">
        <w:t>. I</w:t>
      </w:r>
      <w:r w:rsidRPr="003D1E07">
        <w:t>dentitu člověka nese nemateriální a věčná intelektuální složka přímo stvořená od boha.</w:t>
      </w:r>
    </w:p>
    <w:p w14:paraId="07274C03" w14:textId="77777777" w:rsidR="00E84998" w:rsidRPr="003D1E07" w:rsidRDefault="082A113C" w:rsidP="00202920">
      <w:pPr>
        <w:numPr>
          <w:ilvl w:val="0"/>
          <w:numId w:val="3"/>
        </w:numPr>
      </w:pPr>
      <w:r w:rsidRPr="003D1E07">
        <w:t xml:space="preserve">Duše disponovaná smyslovým poznáním přijímá emanaci aktuálních intelektuálních forem </w:t>
      </w:r>
      <w:r w:rsidRPr="003D1E07">
        <w:rPr>
          <w:i/>
        </w:rPr>
        <w:fldChar w:fldCharType="begin"/>
      </w:r>
      <w:r w:rsidRPr="003D1E07">
        <w:instrText xml:space="preserve"> XE "zjevování:iluminace" </w:instrText>
      </w:r>
      <w:r w:rsidRPr="003D1E07">
        <w:rPr>
          <w:i/>
        </w:rPr>
        <w:fldChar w:fldCharType="end"/>
      </w:r>
      <w:r w:rsidRPr="003D1E07">
        <w:t>původně daných v odděleném činném intelektu (</w:t>
      </w:r>
      <w:r w:rsidRPr="003D1E07">
        <w:rPr>
          <w:i/>
        </w:rPr>
        <w:t>illuminatio</w:t>
      </w:r>
      <w:r w:rsidRPr="003D1E07">
        <w:t>). Abstrakce jako pravdivý proces poznání oddělených forem (</w:t>
      </w:r>
      <w:r w:rsidRPr="003D1E07">
        <w:rPr>
          <w:i/>
        </w:rPr>
        <w:t>denudatio</w:t>
      </w:r>
      <w:r w:rsidRPr="003D1E07">
        <w:t xml:space="preserve">) je kauzálně dána </w:t>
      </w:r>
      <w:r w:rsidR="08606A6F" w:rsidRPr="003D1E07">
        <w:t>v modu aktualita</w:t>
      </w:r>
      <w:r w:rsidR="08606A6F" w:rsidRPr="003D1E07">
        <w:rPr>
          <w:rFonts w:cs="Calibri"/>
        </w:rPr>
        <w:t>─</w:t>
      </w:r>
      <w:r w:rsidR="08205B26" w:rsidRPr="003D1E07">
        <w:t xml:space="preserve">potence </w:t>
      </w:r>
      <w:r w:rsidRPr="003D1E07">
        <w:t xml:space="preserve">směrem od činného intelektu do darovaného intelektu. </w:t>
      </w:r>
    </w:p>
    <w:p w14:paraId="099BC784" w14:textId="6A176763" w:rsidR="004A0D58" w:rsidRPr="003D1E07" w:rsidRDefault="00AB0B62" w:rsidP="00202920">
      <w:pPr>
        <w:numPr>
          <w:ilvl w:val="0"/>
          <w:numId w:val="3"/>
        </w:numPr>
      </w:pPr>
      <w:r w:rsidRPr="003D1E07">
        <w:t>Na průsečíku</w:t>
      </w:r>
      <w:r w:rsidR="08220266" w:rsidRPr="003D1E07">
        <w:t xml:space="preserve"> činného a darovaného </w:t>
      </w:r>
      <w:r w:rsidRPr="003D1E07">
        <w:t xml:space="preserve">intelektu vzniká </w:t>
      </w:r>
      <w:r w:rsidR="08E028B1" w:rsidRPr="003D1E07">
        <w:t xml:space="preserve">univerzální </w:t>
      </w:r>
      <w:r w:rsidR="084C719F" w:rsidRPr="003D1E07">
        <w:t>substance-</w:t>
      </w:r>
      <w:r w:rsidR="08E028B1" w:rsidRPr="003D1E07">
        <w:rPr>
          <w:i/>
        </w:rPr>
        <w:t>individuum</w:t>
      </w:r>
      <w:r w:rsidR="08E028B1" w:rsidRPr="003D1E07">
        <w:t xml:space="preserve"> jako </w:t>
      </w:r>
      <w:r w:rsidRPr="003D1E07">
        <w:t>n</w:t>
      </w:r>
      <w:r w:rsidR="00290065" w:rsidRPr="003D1E07">
        <w:t xml:space="preserve">ový objekt </w:t>
      </w:r>
      <w:r w:rsidR="001D7FFA">
        <w:t xml:space="preserve">metafyziky </w:t>
      </w:r>
      <w:r w:rsidR="00F45699" w:rsidRPr="003D1E07">
        <w:t>(</w:t>
      </w:r>
      <w:r w:rsidR="00F45699" w:rsidRPr="003D1E07">
        <w:rPr>
          <w:i/>
        </w:rPr>
        <w:t>equinitas tantum</w:t>
      </w:r>
      <w:r w:rsidR="08DD29B0" w:rsidRPr="003D1E07">
        <w:rPr>
          <w:i/>
        </w:rPr>
        <w:fldChar w:fldCharType="begin"/>
      </w:r>
      <w:r w:rsidR="08DD29B0" w:rsidRPr="003D1E07">
        <w:instrText xml:space="preserve"> XE "</w:instrText>
      </w:r>
      <w:r w:rsidR="08DD29B0" w:rsidRPr="003D1E07">
        <w:rPr>
          <w:i/>
        </w:rPr>
        <w:instrText>equinitas tantum</w:instrText>
      </w:r>
      <w:r w:rsidR="08DD29B0" w:rsidRPr="003D1E07">
        <w:instrText xml:space="preserve">" </w:instrText>
      </w:r>
      <w:r w:rsidR="08DD29B0" w:rsidRPr="003D1E07">
        <w:rPr>
          <w:i/>
        </w:rPr>
        <w:fldChar w:fldCharType="end"/>
      </w:r>
      <w:r w:rsidR="00F45699" w:rsidRPr="003D1E07">
        <w:t>)</w:t>
      </w:r>
      <w:r w:rsidR="00C1663E" w:rsidRPr="003D1E07">
        <w:t>. T</w:t>
      </w:r>
      <w:r w:rsidR="08D202A3" w:rsidRPr="003D1E07">
        <w:t>o</w:t>
      </w:r>
      <w:r w:rsidR="00C1663E" w:rsidRPr="003D1E07">
        <w:t xml:space="preserve">to </w:t>
      </w:r>
      <w:r w:rsidR="08D202A3" w:rsidRPr="003D1E07">
        <w:t xml:space="preserve">jsoucno třetího druhu </w:t>
      </w:r>
      <w:r w:rsidR="001A695B" w:rsidRPr="003D1E07">
        <w:t xml:space="preserve">je </w:t>
      </w:r>
      <w:r w:rsidR="00F669C5">
        <w:t>poznáno</w:t>
      </w:r>
      <w:r w:rsidR="089F548F" w:rsidRPr="003D1E07">
        <w:t xml:space="preserve"> skrze abstrakci z re</w:t>
      </w:r>
      <w:r w:rsidR="0893271D" w:rsidRPr="003D1E07">
        <w:t>a</w:t>
      </w:r>
      <w:r w:rsidR="089F548F" w:rsidRPr="003D1E07">
        <w:t>lity, ale jen akcidentálně</w:t>
      </w:r>
      <w:r w:rsidR="08EC49EC" w:rsidRPr="003D1E07">
        <w:t xml:space="preserve">. </w:t>
      </w:r>
      <w:r w:rsidR="08D202A3" w:rsidRPr="003D1E07">
        <w:t>Kosmický č</w:t>
      </w:r>
      <w:r w:rsidR="089F548F" w:rsidRPr="003D1E07">
        <w:t xml:space="preserve">inný intelekt </w:t>
      </w:r>
      <w:r w:rsidR="08EC49EC" w:rsidRPr="003D1E07">
        <w:t xml:space="preserve">tuto formu </w:t>
      </w:r>
      <w:r w:rsidR="08160DC4" w:rsidRPr="003D1E07">
        <w:t xml:space="preserve">generuje </w:t>
      </w:r>
      <w:r w:rsidR="089F548F" w:rsidRPr="003D1E07">
        <w:t xml:space="preserve">esenciálně </w:t>
      </w:r>
      <w:r w:rsidR="08AD156F" w:rsidRPr="003D1E07">
        <w:t xml:space="preserve">a aktuálně </w:t>
      </w:r>
      <w:r w:rsidR="08354D42" w:rsidRPr="003D1E07">
        <w:t xml:space="preserve">v modu </w:t>
      </w:r>
      <w:r w:rsidR="08354D42" w:rsidRPr="003D1E07">
        <w:rPr>
          <w:i/>
        </w:rPr>
        <w:t>semel</w:t>
      </w:r>
      <w:r w:rsidR="08354D42" w:rsidRPr="003D1E07">
        <w:t>‒</w:t>
      </w:r>
      <w:r w:rsidR="08354D42" w:rsidRPr="003D1E07">
        <w:rPr>
          <w:i/>
        </w:rPr>
        <w:t>semper</w:t>
      </w:r>
      <w:r w:rsidR="08354D42" w:rsidRPr="003D1E07">
        <w:t xml:space="preserve"> </w:t>
      </w:r>
      <w:r w:rsidR="089F548F" w:rsidRPr="003D1E07">
        <w:t xml:space="preserve">a vtiskuje ji do individuální </w:t>
      </w:r>
      <w:r w:rsidR="00581B9E">
        <w:t xml:space="preserve">hypotázované </w:t>
      </w:r>
      <w:r w:rsidR="089F548F" w:rsidRPr="003D1E07">
        <w:t>duše</w:t>
      </w:r>
      <w:r w:rsidR="08EC49EC" w:rsidRPr="003D1E07">
        <w:t xml:space="preserve"> skrze darovaný intelekt</w:t>
      </w:r>
      <w:r w:rsidR="08FF00E2" w:rsidRPr="003D1E07">
        <w:t>.</w:t>
      </w:r>
    </w:p>
    <w:p w14:paraId="3841BDD0" w14:textId="786643C7" w:rsidR="08CD0857" w:rsidRPr="003D1E07" w:rsidRDefault="08AD156F" w:rsidP="00202920">
      <w:pPr>
        <w:numPr>
          <w:ilvl w:val="0"/>
          <w:numId w:val="3"/>
        </w:numPr>
      </w:pPr>
      <w:r w:rsidRPr="003D1E07">
        <w:t xml:space="preserve"> Tento obtisk </w:t>
      </w:r>
      <w:r w:rsidRPr="003D1E07">
        <w:rPr>
          <w:i/>
        </w:rPr>
        <w:t>tertium ens</w:t>
      </w:r>
      <w:r w:rsidRPr="003D1E07">
        <w:t xml:space="preserve"> </w:t>
      </w:r>
      <w:r w:rsidR="0042076E">
        <w:t xml:space="preserve">objektivně </w:t>
      </w:r>
      <w:r w:rsidR="007B40A4">
        <w:t xml:space="preserve">„eksistuje“ </w:t>
      </w:r>
      <w:r w:rsidR="0042076E">
        <w:t xml:space="preserve">v rámci </w:t>
      </w:r>
      <w:r w:rsidR="08B31178" w:rsidRPr="003D1E07">
        <w:t xml:space="preserve">subjektivní </w:t>
      </w:r>
      <w:r w:rsidR="0042076E">
        <w:t>jistoty moderního subjektu</w:t>
      </w:r>
      <w:r w:rsidR="007B40A4">
        <w:t xml:space="preserve"> (</w:t>
      </w:r>
      <w:r w:rsidR="007B40A4" w:rsidRPr="007B40A4">
        <w:rPr>
          <w:i/>
        </w:rPr>
        <w:t>certitudo</w:t>
      </w:r>
      <w:r w:rsidR="007B40A4">
        <w:t xml:space="preserve">). Subjekt pozoruje v této jistotě </w:t>
      </w:r>
      <w:r w:rsidR="00F669C5">
        <w:t>objektivně danou</w:t>
      </w:r>
      <w:r w:rsidR="08B31178" w:rsidRPr="003D1E07">
        <w:t xml:space="preserve"> </w:t>
      </w:r>
      <w:r w:rsidR="00F669C5">
        <w:t>minimální porci</w:t>
      </w:r>
      <w:r w:rsidR="081137B4" w:rsidRPr="003D1E07">
        <w:t xml:space="preserve"> j</w:t>
      </w:r>
      <w:r w:rsidR="08FF00E2" w:rsidRPr="003D1E07">
        <w:t>s</w:t>
      </w:r>
      <w:r w:rsidR="081137B4" w:rsidRPr="003D1E07">
        <w:t>o</w:t>
      </w:r>
      <w:r w:rsidR="08FF00E2" w:rsidRPr="003D1E07">
        <w:t>ucnosti</w:t>
      </w:r>
      <w:r w:rsidR="086767AD" w:rsidRPr="003D1E07">
        <w:t xml:space="preserve"> </w:t>
      </w:r>
      <w:r w:rsidR="001B4F95" w:rsidRPr="003D1E07">
        <w:rPr>
          <w:lang w:eastAsia="en-US"/>
        </w:rPr>
        <w:t>(</w:t>
      </w:r>
      <w:r w:rsidR="001B4F95" w:rsidRPr="003D1E07">
        <w:rPr>
          <w:i/>
          <w:lang w:eastAsia="en-US"/>
        </w:rPr>
        <w:t>esse diminutum</w:t>
      </w:r>
      <w:r w:rsidR="001B4F95" w:rsidRPr="003D1E07">
        <w:rPr>
          <w:i/>
          <w:lang w:eastAsia="en-US"/>
        </w:rPr>
        <w:fldChar w:fldCharType="begin"/>
      </w:r>
      <w:r w:rsidR="001B4F95" w:rsidRPr="003D1E07">
        <w:instrText xml:space="preserve"> XE "</w:instrText>
      </w:r>
      <w:r w:rsidR="001B4F95" w:rsidRPr="003D1E07">
        <w:rPr>
          <w:i/>
          <w:lang w:eastAsia="en-US"/>
        </w:rPr>
        <w:instrText>esse diminutum</w:instrText>
      </w:r>
      <w:r w:rsidR="001B4F95" w:rsidRPr="003D1E07">
        <w:instrText xml:space="preserve">" </w:instrText>
      </w:r>
      <w:r w:rsidR="001B4F95" w:rsidRPr="003D1E07">
        <w:rPr>
          <w:i/>
          <w:lang w:eastAsia="en-US"/>
        </w:rPr>
        <w:fldChar w:fldCharType="end"/>
      </w:r>
      <w:r w:rsidR="001B4F95" w:rsidRPr="003D1E07">
        <w:rPr>
          <w:lang w:eastAsia="en-US"/>
        </w:rPr>
        <w:t>)</w:t>
      </w:r>
      <w:r w:rsidR="08B31178" w:rsidRPr="003D1E07">
        <w:t>.</w:t>
      </w:r>
      <w:r w:rsidR="0042076E">
        <w:t xml:space="preserve"> Obtisk</w:t>
      </w:r>
      <w:r w:rsidR="0042076E" w:rsidRPr="003D1E07">
        <w:t xml:space="preserve"> jsoucna třetího druhu do </w:t>
      </w:r>
      <w:r w:rsidR="0042076E">
        <w:t xml:space="preserve">objektivní </w:t>
      </w:r>
      <w:r w:rsidR="0042076E" w:rsidRPr="003D1E07">
        <w:t>paměti</w:t>
      </w:r>
      <w:r w:rsidR="0042076E">
        <w:t xml:space="preserve"> </w:t>
      </w:r>
      <w:r w:rsidR="00621AB3" w:rsidRPr="003D1E07">
        <w:t>(</w:t>
      </w:r>
      <w:r w:rsidR="00621AB3" w:rsidRPr="003D1E07">
        <w:rPr>
          <w:i/>
        </w:rPr>
        <w:t>locus specierum</w:t>
      </w:r>
      <w:r w:rsidR="00621AB3" w:rsidRPr="003D1E07">
        <w:rPr>
          <w:i/>
        </w:rPr>
        <w:fldChar w:fldCharType="begin"/>
      </w:r>
      <w:r w:rsidR="00621AB3" w:rsidRPr="003D1E07">
        <w:instrText xml:space="preserve"> XE "</w:instrText>
      </w:r>
      <w:r w:rsidR="00621AB3" w:rsidRPr="003D1E07">
        <w:rPr>
          <w:i/>
        </w:rPr>
        <w:instrText>locus specierum</w:instrText>
      </w:r>
      <w:r w:rsidR="00621AB3" w:rsidRPr="003D1E07">
        <w:instrText xml:space="preserve">" </w:instrText>
      </w:r>
      <w:r w:rsidR="00621AB3" w:rsidRPr="003D1E07">
        <w:rPr>
          <w:i/>
        </w:rPr>
        <w:fldChar w:fldCharType="end"/>
      </w:r>
      <w:r w:rsidR="00621AB3">
        <w:t xml:space="preserve">) </w:t>
      </w:r>
      <w:r w:rsidR="0042076E">
        <w:t>je</w:t>
      </w:r>
      <w:r w:rsidR="00621AB3">
        <w:t xml:space="preserve"> dán skrze novu formu neoplaton</w:t>
      </w:r>
      <w:r w:rsidR="0042076E">
        <w:t xml:space="preserve">ské </w:t>
      </w:r>
      <w:r w:rsidR="00621AB3">
        <w:t>anamnéze</w:t>
      </w:r>
      <w:r w:rsidR="0042076E" w:rsidRPr="003D1E07">
        <w:t>.</w:t>
      </w:r>
    </w:p>
    <w:p w14:paraId="4D1BAA81" w14:textId="16E4488D" w:rsidR="08515213" w:rsidRPr="003D1E07" w:rsidRDefault="08B31178" w:rsidP="00202920">
      <w:pPr>
        <w:numPr>
          <w:ilvl w:val="0"/>
          <w:numId w:val="3"/>
        </w:numPr>
      </w:pPr>
      <w:r w:rsidRPr="003D1E07">
        <w:lastRenderedPageBreak/>
        <w:t xml:space="preserve">Toto existenční minimum jsoucnosti </w:t>
      </w:r>
      <w:r w:rsidR="08D51CC0" w:rsidRPr="003D1E07">
        <w:t xml:space="preserve">je </w:t>
      </w:r>
      <w:r w:rsidR="08CD0857" w:rsidRPr="003D1E07">
        <w:t>dáno</w:t>
      </w:r>
      <w:r w:rsidR="08D51CC0" w:rsidRPr="003D1E07">
        <w:t xml:space="preserve"> </w:t>
      </w:r>
      <w:r w:rsidR="001503ED" w:rsidRPr="003D1E07">
        <w:t xml:space="preserve">v modu </w:t>
      </w:r>
      <w:r w:rsidR="00AC08A6">
        <w:t>„</w:t>
      </w:r>
      <w:r w:rsidR="001503ED" w:rsidRPr="003D1E07">
        <w:t>subjekt–</w:t>
      </w:r>
      <w:r w:rsidR="08CD0857" w:rsidRPr="003D1E07">
        <w:t>objekt</w:t>
      </w:r>
      <w:r w:rsidR="00AC08A6">
        <w:t>“</w:t>
      </w:r>
      <w:r w:rsidR="008B014E">
        <w:t xml:space="preserve"> a </w:t>
      </w:r>
      <w:r w:rsidR="08CD0857" w:rsidRPr="003D1E07">
        <w:t xml:space="preserve">je </w:t>
      </w:r>
      <w:r w:rsidR="08FF00E2" w:rsidRPr="003D1E07">
        <w:t>nepoch</w:t>
      </w:r>
      <w:r w:rsidR="081137B4" w:rsidRPr="003D1E07">
        <w:t>y</w:t>
      </w:r>
      <w:r w:rsidR="08FF00E2" w:rsidRPr="003D1E07">
        <w:t xml:space="preserve">bně </w:t>
      </w:r>
      <w:r w:rsidR="08ED2511" w:rsidRPr="003D1E07">
        <w:t xml:space="preserve">a evidentně </w:t>
      </w:r>
      <w:r w:rsidR="08CD0857" w:rsidRPr="003D1E07">
        <w:t xml:space="preserve">dáno </w:t>
      </w:r>
      <w:r w:rsidR="08FF00E2" w:rsidRPr="003D1E07">
        <w:t>jak ve věci, tak i v poznávající mysli</w:t>
      </w:r>
      <w:r w:rsidR="007B40A4">
        <w:t xml:space="preserve">. </w:t>
      </w:r>
      <w:r w:rsidR="08FF00E2" w:rsidRPr="003D1E07">
        <w:t>Tím je zajištěn</w:t>
      </w:r>
      <w:r w:rsidR="08A97557" w:rsidRPr="003D1E07">
        <w:t>a</w:t>
      </w:r>
      <w:r w:rsidR="08FF00E2" w:rsidRPr="003D1E07">
        <w:t xml:space="preserve"> pravda jako </w:t>
      </w:r>
      <w:r w:rsidR="007B40A4">
        <w:t xml:space="preserve">objektivní identita </w:t>
      </w:r>
      <w:r w:rsidR="08FF00E2" w:rsidRPr="003D1E07">
        <w:t xml:space="preserve">dvojí jistoty </w:t>
      </w:r>
      <w:r w:rsidR="007B40A4">
        <w:t xml:space="preserve">jsoucna </w:t>
      </w:r>
      <w:r w:rsidR="00244464" w:rsidRPr="003D1E07">
        <w:t xml:space="preserve">jak v realitě, tak </w:t>
      </w:r>
      <w:r w:rsidR="08FF00E2" w:rsidRPr="003D1E07">
        <w:t>v poznávajícím intelektu</w:t>
      </w:r>
      <w:r w:rsidR="0059086B">
        <w:t xml:space="preserve"> </w:t>
      </w:r>
      <w:r w:rsidR="0059086B">
        <w:rPr>
          <w:bCs/>
          <w:szCs w:val="24"/>
        </w:rPr>
        <w:t>(</w:t>
      </w:r>
      <w:r w:rsidR="0059086B" w:rsidRPr="004472C9">
        <w:rPr>
          <w:bCs/>
          <w:i/>
          <w:szCs w:val="24"/>
        </w:rPr>
        <w:t>hoc esse est tantum</w:t>
      </w:r>
      <w:r w:rsidR="0059086B">
        <w:rPr>
          <w:bCs/>
          <w:szCs w:val="24"/>
        </w:rPr>
        <w:t>)</w:t>
      </w:r>
      <w:r w:rsidR="08FF00E2" w:rsidRPr="003D1E07">
        <w:t>.</w:t>
      </w:r>
      <w:r w:rsidR="08515213" w:rsidRPr="003D1E07">
        <w:t xml:space="preserve"> </w:t>
      </w:r>
      <w:r w:rsidR="08441960" w:rsidRPr="003D1E07">
        <w:t>Avicenna chápe u</w:t>
      </w:r>
      <w:r w:rsidR="007F6506" w:rsidRPr="003D1E07">
        <w:t>nivočně dané a transce</w:t>
      </w:r>
      <w:r w:rsidR="003E3213" w:rsidRPr="003D1E07">
        <w:t>n</w:t>
      </w:r>
      <w:r w:rsidR="007F6506" w:rsidRPr="003D1E07">
        <w:t xml:space="preserve">dentálně pravdivé </w:t>
      </w:r>
      <w:r w:rsidR="00EF766C" w:rsidRPr="003D1E07">
        <w:t>bytí jsouc</w:t>
      </w:r>
      <w:r w:rsidR="009215DE" w:rsidRPr="003D1E07">
        <w:t>ího</w:t>
      </w:r>
      <w:r w:rsidR="00DA10ED" w:rsidRPr="003D1E07">
        <w:t xml:space="preserve"> </w:t>
      </w:r>
      <w:r w:rsidR="003E3213" w:rsidRPr="003D1E07">
        <w:t xml:space="preserve">podle </w:t>
      </w:r>
      <w:r w:rsidR="003E3213" w:rsidRPr="003D1E07">
        <w:rPr>
          <w:i/>
        </w:rPr>
        <w:t>Met</w:t>
      </w:r>
      <w:r w:rsidR="003E3213" w:rsidRPr="003D1E07">
        <w:t xml:space="preserve">. VI.2 </w:t>
      </w:r>
      <w:r w:rsidR="00EF766C" w:rsidRPr="003D1E07">
        <w:t xml:space="preserve">jako původní smysl jsoucna </w:t>
      </w:r>
      <w:r w:rsidR="001E29D1" w:rsidRPr="003D1E07">
        <w:t xml:space="preserve">hledaný v </w:t>
      </w:r>
      <w:r w:rsidR="08A97557" w:rsidRPr="003D1E07">
        <w:t>Ar</w:t>
      </w:r>
      <w:r w:rsidR="08FF00E2" w:rsidRPr="003D1E07">
        <w:t>i</w:t>
      </w:r>
      <w:r w:rsidR="08A97557" w:rsidRPr="003D1E07">
        <w:t>s</w:t>
      </w:r>
      <w:r w:rsidR="08FF00E2" w:rsidRPr="003D1E07">
        <w:t xml:space="preserve">totelově </w:t>
      </w:r>
      <w:r w:rsidR="08A97557" w:rsidRPr="003D1E07">
        <w:rPr>
          <w:i/>
        </w:rPr>
        <w:t>Metafyzice</w:t>
      </w:r>
      <w:r w:rsidR="08515213" w:rsidRPr="003D1E07">
        <w:t>.</w:t>
      </w:r>
    </w:p>
    <w:p w14:paraId="3968FDD1" w14:textId="4276ED87" w:rsidR="004A0D58" w:rsidRPr="003D1E07" w:rsidRDefault="08515213" w:rsidP="00202920">
      <w:pPr>
        <w:numPr>
          <w:ilvl w:val="0"/>
          <w:numId w:val="3"/>
        </w:numPr>
      </w:pPr>
      <w:r w:rsidRPr="003D1E07">
        <w:t>Kategoriální p</w:t>
      </w:r>
      <w:r w:rsidR="00AF0F6D" w:rsidRPr="003D1E07">
        <w:t xml:space="preserve">redikací </w:t>
      </w:r>
      <w:r w:rsidR="08A97557" w:rsidRPr="003D1E07">
        <w:t xml:space="preserve">této absolutně jednoduché jsoucnosti v modu </w:t>
      </w:r>
      <w:r w:rsidR="00AF0F6D" w:rsidRPr="003D1E07">
        <w:rPr>
          <w:i/>
        </w:rPr>
        <w:t>per prius</w:t>
      </w:r>
      <w:r w:rsidR="00AF0F6D" w:rsidRPr="003D1E07">
        <w:t xml:space="preserve"> </w:t>
      </w:r>
      <w:r w:rsidR="001503ED" w:rsidRPr="003D1E07">
        <w:t>vzniká říše mytopoetických esencí daných jako rodov</w:t>
      </w:r>
      <w:r w:rsidR="00B05C47" w:rsidRPr="003D1E07">
        <w:t>á</w:t>
      </w:r>
      <w:r w:rsidR="00724434" w:rsidRPr="003D1E07">
        <w:t xml:space="preserve"> </w:t>
      </w:r>
      <w:r w:rsidR="00101E53" w:rsidRPr="003D1E07">
        <w:t xml:space="preserve">a </w:t>
      </w:r>
      <w:r w:rsidR="001503ED" w:rsidRPr="003D1E07">
        <w:t>druhová</w:t>
      </w:r>
      <w:r w:rsidR="00322E3A" w:rsidRPr="003D1E07">
        <w:t xml:space="preserve"> </w:t>
      </w:r>
      <w:r w:rsidR="00322E3A" w:rsidRPr="003D1E07">
        <w:rPr>
          <w:i/>
        </w:rPr>
        <w:t>quidditas</w:t>
      </w:r>
      <w:r w:rsidR="00782210" w:rsidRPr="003D1E07">
        <w:rPr>
          <w:i/>
        </w:rPr>
        <w:fldChar w:fldCharType="begin"/>
      </w:r>
      <w:r w:rsidR="00782210" w:rsidRPr="003D1E07">
        <w:instrText xml:space="preserve"> XE "</w:instrText>
      </w:r>
      <w:r w:rsidR="08E6733C" w:rsidRPr="003D1E07">
        <w:rPr>
          <w:i/>
        </w:rPr>
        <w:instrText>quidditas</w:instrText>
      </w:r>
      <w:r w:rsidR="00782210" w:rsidRPr="003D1E07">
        <w:instrText xml:space="preserve">" </w:instrText>
      </w:r>
      <w:r w:rsidR="00782210" w:rsidRPr="003D1E07">
        <w:rPr>
          <w:i/>
        </w:rPr>
        <w:fldChar w:fldCharType="end"/>
      </w:r>
      <w:r w:rsidR="001503ED" w:rsidRPr="003D1E07">
        <w:t xml:space="preserve">. Tím </w:t>
      </w:r>
      <w:r w:rsidR="007D3F84" w:rsidRPr="003D1E07">
        <w:t xml:space="preserve">vzniká </w:t>
      </w:r>
      <w:r w:rsidR="006E3968" w:rsidRPr="003D1E07">
        <w:t>první předmět</w:t>
      </w:r>
      <w:r w:rsidR="00E65CD1" w:rsidRPr="003D1E07">
        <w:t xml:space="preserve"> </w:t>
      </w:r>
      <w:r w:rsidR="08F13B1E" w:rsidRPr="003D1E07">
        <w:t xml:space="preserve">transcendentální </w:t>
      </w:r>
      <w:r w:rsidR="00E65CD1" w:rsidRPr="003D1E07">
        <w:t xml:space="preserve">metafyziky </w:t>
      </w:r>
      <w:r w:rsidR="007F5086">
        <w:t xml:space="preserve">jako genericky pojatá jsoucnost </w:t>
      </w:r>
      <w:r w:rsidR="08DA6A58" w:rsidRPr="003D1E07">
        <w:t>(</w:t>
      </w:r>
      <w:r w:rsidR="08DA6A58" w:rsidRPr="003D1E07">
        <w:rPr>
          <w:i/>
        </w:rPr>
        <w:t>ens inquantum ens</w:t>
      </w:r>
      <w:r w:rsidR="08313DE1" w:rsidRPr="003D1E07">
        <w:rPr>
          <w:i/>
        </w:rPr>
        <w:fldChar w:fldCharType="begin"/>
      </w:r>
      <w:r w:rsidR="08313DE1" w:rsidRPr="003D1E07">
        <w:instrText xml:space="preserve"> XE "</w:instrText>
      </w:r>
      <w:r w:rsidR="08313DE1" w:rsidRPr="003D1E07">
        <w:rPr>
          <w:i/>
        </w:rPr>
        <w:instrText>ens inquantum ens</w:instrText>
      </w:r>
      <w:r w:rsidR="08313DE1" w:rsidRPr="003D1E07">
        <w:instrText xml:space="preserve">" </w:instrText>
      </w:r>
      <w:r w:rsidR="08313DE1" w:rsidRPr="003D1E07">
        <w:rPr>
          <w:i/>
        </w:rPr>
        <w:fldChar w:fldCharType="end"/>
      </w:r>
      <w:r w:rsidR="08DA6A58" w:rsidRPr="003D1E07">
        <w:t>)</w:t>
      </w:r>
      <w:r w:rsidR="00D618E5" w:rsidRPr="003D1E07">
        <w:t>.</w:t>
      </w:r>
    </w:p>
    <w:p w14:paraId="5686875C" w14:textId="65AA0EA6" w:rsidR="00985E40" w:rsidRPr="00985E40" w:rsidRDefault="002E5FCC" w:rsidP="00985E40">
      <w:pPr>
        <w:numPr>
          <w:ilvl w:val="0"/>
          <w:numId w:val="3"/>
        </w:numPr>
        <w:rPr>
          <w:iCs/>
        </w:rPr>
      </w:pPr>
      <w:r w:rsidRPr="003D1E07">
        <w:t>M</w:t>
      </w:r>
      <w:r w:rsidR="00AD21E4" w:rsidRPr="003D1E07">
        <w:t xml:space="preserve">inimální jsoucnost tohoto </w:t>
      </w:r>
      <w:r w:rsidR="00AD21E4" w:rsidRPr="00985E40">
        <w:rPr>
          <w:i/>
        </w:rPr>
        <w:t>tertium ens</w:t>
      </w:r>
      <w:r w:rsidR="003F16A5" w:rsidRPr="00985E40">
        <w:rPr>
          <w:i/>
        </w:rPr>
        <w:fldChar w:fldCharType="begin"/>
      </w:r>
      <w:r w:rsidR="003F16A5" w:rsidRPr="003D1E07">
        <w:instrText xml:space="preserve"> XE "</w:instrText>
      </w:r>
      <w:r w:rsidR="003F16A5" w:rsidRPr="003D1E07">
        <w:rPr>
          <w:rStyle w:val="Zvraznn"/>
        </w:rPr>
        <w:instrText>tertium ens</w:instrText>
      </w:r>
      <w:r w:rsidR="006C6549" w:rsidRPr="00985E40">
        <w:rPr>
          <w:rStyle w:val="Zvraznn"/>
          <w:i w:val="0"/>
        </w:rPr>
        <w:instrText>:Avicenna</w:instrText>
      </w:r>
      <w:r w:rsidR="003F16A5" w:rsidRPr="003D1E07">
        <w:instrText xml:space="preserve">" </w:instrText>
      </w:r>
      <w:r w:rsidR="003F16A5" w:rsidRPr="00985E40">
        <w:rPr>
          <w:i/>
        </w:rPr>
        <w:fldChar w:fldCharType="end"/>
      </w:r>
      <w:r w:rsidR="00AD21E4" w:rsidRPr="003D1E07">
        <w:t xml:space="preserve"> </w:t>
      </w:r>
      <w:r w:rsidR="0051410B" w:rsidRPr="003D1E07">
        <w:t xml:space="preserve">zajišťuje </w:t>
      </w:r>
      <w:r w:rsidR="004A0D58" w:rsidRPr="003D1E07">
        <w:t>nový ontoteologický rozvrh</w:t>
      </w:r>
      <w:r w:rsidR="006C6B3B" w:rsidRPr="003D1E07">
        <w:t xml:space="preserve"> </w:t>
      </w:r>
      <w:r w:rsidR="0051410B" w:rsidRPr="003D1E07">
        <w:t xml:space="preserve">celku jsoucna daný v modu potenciální </w:t>
      </w:r>
      <w:r w:rsidR="004A055A" w:rsidRPr="003D1E07">
        <w:t>komitace</w:t>
      </w:r>
      <w:r w:rsidR="00EB71B3" w:rsidRPr="003D1E07">
        <w:fldChar w:fldCharType="begin"/>
      </w:r>
      <w:r w:rsidR="00EB71B3" w:rsidRPr="003D1E07">
        <w:instrText xml:space="preserve"> XE "komitace" </w:instrText>
      </w:r>
      <w:r w:rsidR="00EB71B3" w:rsidRPr="003D1E07">
        <w:fldChar w:fldCharType="end"/>
      </w:r>
      <w:r w:rsidR="083F103E" w:rsidRPr="003D1E07">
        <w:t xml:space="preserve">. Původní formu této komitace </w:t>
      </w:r>
      <w:r w:rsidR="00F45699" w:rsidRPr="003D1E07">
        <w:t>provádí aktuální stvořitel</w:t>
      </w:r>
      <w:r w:rsidR="00411688" w:rsidRPr="003D1E07">
        <w:t>s</w:t>
      </w:r>
      <w:r w:rsidR="00F45699" w:rsidRPr="003D1E07">
        <w:t xml:space="preserve">ký </w:t>
      </w:r>
      <w:r w:rsidR="00BA3D14" w:rsidRPr="003D1E07">
        <w:t xml:space="preserve">činný </w:t>
      </w:r>
      <w:r w:rsidR="00F45699" w:rsidRPr="003D1E07">
        <w:t xml:space="preserve">intelekt </w:t>
      </w:r>
      <w:r w:rsidR="00411688" w:rsidRPr="003D1E07">
        <w:t>(</w:t>
      </w:r>
      <w:r w:rsidR="004319BF" w:rsidRPr="004319BF">
        <w:rPr>
          <w:i/>
        </w:rPr>
        <w:t>Dator formarum</w:t>
      </w:r>
      <w:r w:rsidR="00160B80" w:rsidRPr="00985E40">
        <w:rPr>
          <w:i/>
        </w:rPr>
        <w:fldChar w:fldCharType="begin"/>
      </w:r>
      <w:r w:rsidR="00160B80" w:rsidRPr="003D1E07">
        <w:instrText xml:space="preserve"> XE "</w:instrText>
      </w:r>
      <w:r w:rsidR="00160B80" w:rsidRPr="00985E40">
        <w:rPr>
          <w:i/>
        </w:rPr>
        <w:instrText>Dator formarum</w:instrText>
      </w:r>
      <w:r w:rsidR="00160B80" w:rsidRPr="003D1E07">
        <w:instrText xml:space="preserve">" </w:instrText>
      </w:r>
      <w:r w:rsidR="00160B80" w:rsidRPr="00985E40">
        <w:rPr>
          <w:i/>
        </w:rPr>
        <w:fldChar w:fldCharType="end"/>
      </w:r>
      <w:r w:rsidR="007572B1" w:rsidRPr="003D1E07">
        <w:t>)</w:t>
      </w:r>
      <w:r w:rsidR="00985E40">
        <w:t>. N</w:t>
      </w:r>
      <w:r w:rsidR="004D2F15">
        <w:t>eo</w:t>
      </w:r>
      <w:r w:rsidR="00985E40">
        <w:t xml:space="preserve">platonský </w:t>
      </w:r>
      <w:r w:rsidR="007572B1" w:rsidRPr="003D1E07">
        <w:t>mytologick</w:t>
      </w:r>
      <w:r w:rsidR="00985E40">
        <w:t>ý scénář</w:t>
      </w:r>
      <w:r w:rsidR="00901353">
        <w:t xml:space="preserve"> </w:t>
      </w:r>
      <w:r w:rsidR="004D2F15">
        <w:t xml:space="preserve">Bytí-Jednoho </w:t>
      </w:r>
      <w:r w:rsidR="00985E40">
        <w:t>a jeho emanací je zásadně přepracován</w:t>
      </w:r>
      <w:r w:rsidR="00985E40" w:rsidRPr="00985E40">
        <w:rPr>
          <w:i/>
        </w:rPr>
        <w:t>.</w:t>
      </w:r>
    </w:p>
    <w:p w14:paraId="5F5CD111" w14:textId="76D53088" w:rsidR="0051410B" w:rsidRPr="00985E40" w:rsidRDefault="080719FD" w:rsidP="00202920">
      <w:pPr>
        <w:numPr>
          <w:ilvl w:val="0"/>
          <w:numId w:val="3"/>
        </w:numPr>
        <w:rPr>
          <w:iCs/>
        </w:rPr>
      </w:pPr>
      <w:r w:rsidRPr="003D1E07">
        <w:t>M</w:t>
      </w:r>
      <w:r w:rsidR="08CC09A1" w:rsidRPr="003D1E07">
        <w:t xml:space="preserve">oderní </w:t>
      </w:r>
      <w:r w:rsidRPr="003D1E07">
        <w:t xml:space="preserve">metafyzika </w:t>
      </w:r>
      <w:r w:rsidR="08CC09A1" w:rsidRPr="003D1E07">
        <w:t xml:space="preserve">vzniká skrze proces univoční </w:t>
      </w:r>
      <w:r w:rsidR="004A055A" w:rsidRPr="003D1E07">
        <w:t>komitace</w:t>
      </w:r>
      <w:r w:rsidR="08CC09A1" w:rsidRPr="003D1E07">
        <w:t xml:space="preserve"> tohoto minimálního intencionálního bytí od </w:t>
      </w:r>
      <w:r w:rsidR="005974D4">
        <w:t xml:space="preserve">moderního </w:t>
      </w:r>
      <w:r w:rsidR="006E005D">
        <w:t xml:space="preserve">boha k objektivnímu </w:t>
      </w:r>
      <w:r w:rsidR="08CC09A1" w:rsidRPr="003D1E07">
        <w:t>stvoření</w:t>
      </w:r>
      <w:r w:rsidR="087615E8" w:rsidRPr="003D1E07">
        <w:t xml:space="preserve"> provedený </w:t>
      </w:r>
      <w:r w:rsidR="087615E8" w:rsidRPr="00985E40">
        <w:rPr>
          <w:iCs/>
        </w:rPr>
        <w:t xml:space="preserve">na základě formální </w:t>
      </w:r>
      <w:r w:rsidR="0069181D">
        <w:rPr>
          <w:iCs/>
        </w:rPr>
        <w:t xml:space="preserve">podobnosti </w:t>
      </w:r>
      <w:r w:rsidR="087615E8" w:rsidRPr="00985E40">
        <w:rPr>
          <w:iCs/>
        </w:rPr>
        <w:t>boží a lidské intencionality</w:t>
      </w:r>
      <w:r w:rsidR="086540F1" w:rsidRPr="00985E40">
        <w:rPr>
          <w:iCs/>
        </w:rPr>
        <w:t xml:space="preserve"> (</w:t>
      </w:r>
      <w:r w:rsidR="086540F1" w:rsidRPr="00985E40">
        <w:rPr>
          <w:i/>
          <w:iCs/>
        </w:rPr>
        <w:t>esse ad</w:t>
      </w:r>
      <w:r w:rsidR="00A37B24" w:rsidRPr="00985E40">
        <w:rPr>
          <w:i/>
          <w:iCs/>
        </w:rPr>
        <w:fldChar w:fldCharType="begin"/>
      </w:r>
      <w:r w:rsidR="00A37B24" w:rsidRPr="003D1E07">
        <w:instrText xml:space="preserve"> XE "</w:instrText>
      </w:r>
      <w:r w:rsidR="00A37B24" w:rsidRPr="00985E40">
        <w:rPr>
          <w:i/>
          <w:iCs/>
        </w:rPr>
        <w:instrText>esse ad</w:instrText>
      </w:r>
      <w:r w:rsidR="00A37B24" w:rsidRPr="003D1E07">
        <w:instrText xml:space="preserve">" </w:instrText>
      </w:r>
      <w:r w:rsidR="00A37B24" w:rsidRPr="00985E40">
        <w:rPr>
          <w:i/>
          <w:iCs/>
        </w:rPr>
        <w:fldChar w:fldCharType="end"/>
      </w:r>
      <w:r w:rsidR="086540F1" w:rsidRPr="00985E40">
        <w:rPr>
          <w:iCs/>
        </w:rPr>
        <w:t>)</w:t>
      </w:r>
      <w:r w:rsidR="00BE565F" w:rsidRPr="00985E40">
        <w:rPr>
          <w:iCs/>
        </w:rPr>
        <w:t xml:space="preserve">. První intencionalita </w:t>
      </w:r>
      <w:r w:rsidR="08BC5704" w:rsidRPr="00985E40">
        <w:rPr>
          <w:iCs/>
        </w:rPr>
        <w:t xml:space="preserve">je </w:t>
      </w:r>
      <w:r w:rsidR="00BE565F" w:rsidRPr="00985E40">
        <w:rPr>
          <w:iCs/>
        </w:rPr>
        <w:t>ne</w:t>
      </w:r>
      <w:r w:rsidR="08BC5704" w:rsidRPr="00985E40">
        <w:rPr>
          <w:iCs/>
        </w:rPr>
        <w:t xml:space="preserve">konečná, druhá konečná, ale obě mají </w:t>
      </w:r>
      <w:r w:rsidR="00E30067" w:rsidRPr="00985E40">
        <w:rPr>
          <w:iCs/>
        </w:rPr>
        <w:t xml:space="preserve">esenciální </w:t>
      </w:r>
      <w:r w:rsidR="00FF34D6" w:rsidRPr="00985E40">
        <w:rPr>
          <w:iCs/>
        </w:rPr>
        <w:t xml:space="preserve">podobnost v modu </w:t>
      </w:r>
      <w:r w:rsidR="00E30067" w:rsidRPr="00985E40">
        <w:rPr>
          <w:iCs/>
        </w:rPr>
        <w:t xml:space="preserve">objektivní </w:t>
      </w:r>
      <w:r w:rsidR="00BE565F" w:rsidRPr="00985E40">
        <w:rPr>
          <w:iCs/>
        </w:rPr>
        <w:t>analogi</w:t>
      </w:r>
      <w:r w:rsidR="00FF34D6" w:rsidRPr="00985E40">
        <w:rPr>
          <w:iCs/>
        </w:rPr>
        <w:t>e</w:t>
      </w:r>
      <w:r w:rsidR="00E30067" w:rsidRPr="00985E40">
        <w:rPr>
          <w:iCs/>
        </w:rPr>
        <w:t xml:space="preserve"> </w:t>
      </w:r>
      <w:r w:rsidR="00E30067" w:rsidRPr="00985E40">
        <w:rPr>
          <w:bCs/>
          <w:szCs w:val="24"/>
        </w:rPr>
        <w:t>(</w:t>
      </w:r>
      <w:r w:rsidR="00E30067" w:rsidRPr="00985E40">
        <w:rPr>
          <w:bCs/>
          <w:i/>
          <w:szCs w:val="24"/>
        </w:rPr>
        <w:t>analogia entis</w:t>
      </w:r>
      <w:r w:rsidR="00E30067" w:rsidRPr="00985E40">
        <w:rPr>
          <w:bCs/>
          <w:i/>
          <w:szCs w:val="24"/>
        </w:rPr>
        <w:fldChar w:fldCharType="begin"/>
      </w:r>
      <w:r w:rsidR="00E30067" w:rsidRPr="003D1E07">
        <w:instrText xml:space="preserve"> XE "</w:instrText>
      </w:r>
      <w:r w:rsidR="00E30067" w:rsidRPr="00985E40">
        <w:rPr>
          <w:bCs/>
          <w:i/>
          <w:szCs w:val="24"/>
        </w:rPr>
        <w:instrText>analogia entis</w:instrText>
      </w:r>
      <w:r w:rsidR="00E30067" w:rsidRPr="003D1E07">
        <w:instrText xml:space="preserve">" </w:instrText>
      </w:r>
      <w:r w:rsidR="00E30067" w:rsidRPr="00985E40">
        <w:rPr>
          <w:bCs/>
          <w:i/>
          <w:szCs w:val="24"/>
        </w:rPr>
        <w:fldChar w:fldCharType="end"/>
      </w:r>
      <w:r w:rsidR="00E30067" w:rsidRPr="00985E40">
        <w:rPr>
          <w:bCs/>
          <w:szCs w:val="24"/>
        </w:rPr>
        <w:t>)</w:t>
      </w:r>
      <w:r w:rsidR="08BC5704" w:rsidRPr="00985E40">
        <w:rPr>
          <w:iCs/>
        </w:rPr>
        <w:t xml:space="preserve">. </w:t>
      </w:r>
    </w:p>
    <w:p w14:paraId="06CD629B" w14:textId="7F29156C" w:rsidR="00957D3A" w:rsidRPr="003D1E07" w:rsidRDefault="00B13FCA" w:rsidP="00202920">
      <w:pPr>
        <w:numPr>
          <w:ilvl w:val="0"/>
          <w:numId w:val="3"/>
        </w:numPr>
        <w:rPr>
          <w:iCs/>
        </w:rPr>
      </w:pPr>
      <w:r w:rsidRPr="003D1E07">
        <w:rPr>
          <w:iCs/>
        </w:rPr>
        <w:t>R</w:t>
      </w:r>
      <w:r w:rsidR="088D7461" w:rsidRPr="003D1E07">
        <w:rPr>
          <w:iCs/>
        </w:rPr>
        <w:t xml:space="preserve">acionální </w:t>
      </w:r>
      <w:r w:rsidR="00953110" w:rsidRPr="003D1E07">
        <w:rPr>
          <w:iCs/>
        </w:rPr>
        <w:t xml:space="preserve">ontoteologie </w:t>
      </w:r>
      <w:r w:rsidR="00AE1AE1">
        <w:rPr>
          <w:iCs/>
        </w:rPr>
        <w:t xml:space="preserve">je vytvořena </w:t>
      </w:r>
      <w:r w:rsidRPr="003D1E07">
        <w:rPr>
          <w:iCs/>
        </w:rPr>
        <w:t xml:space="preserve">na bázi </w:t>
      </w:r>
      <w:r w:rsidR="00AE1AE1">
        <w:rPr>
          <w:iCs/>
        </w:rPr>
        <w:t xml:space="preserve">moderního </w:t>
      </w:r>
      <w:r w:rsidR="009B0127" w:rsidRPr="003D1E07">
        <w:rPr>
          <w:iCs/>
        </w:rPr>
        <w:t xml:space="preserve">psychologického </w:t>
      </w:r>
      <w:r w:rsidR="087A5BAF" w:rsidRPr="003D1E07">
        <w:rPr>
          <w:iCs/>
        </w:rPr>
        <w:t xml:space="preserve">antropomorfismu </w:t>
      </w:r>
      <w:r w:rsidR="00AE1AE1">
        <w:rPr>
          <w:iCs/>
        </w:rPr>
        <w:t xml:space="preserve">a podává </w:t>
      </w:r>
      <w:r w:rsidR="00953110" w:rsidRPr="003D1E07">
        <w:rPr>
          <w:iCs/>
        </w:rPr>
        <w:t xml:space="preserve">poslední </w:t>
      </w:r>
      <w:r w:rsidRPr="003D1E07">
        <w:rPr>
          <w:iCs/>
        </w:rPr>
        <w:t xml:space="preserve">zdůvodnění objektivního </w:t>
      </w:r>
      <w:r w:rsidR="08565EB3" w:rsidRPr="003D1E07">
        <w:rPr>
          <w:iCs/>
        </w:rPr>
        <w:t xml:space="preserve">smyslu </w:t>
      </w:r>
      <w:r w:rsidRPr="003D1E07">
        <w:rPr>
          <w:iCs/>
        </w:rPr>
        <w:t xml:space="preserve">jsoucna. Tím </w:t>
      </w:r>
      <w:r w:rsidR="08C62C9E" w:rsidRPr="003D1E07">
        <w:rPr>
          <w:iCs/>
        </w:rPr>
        <w:t>vznikl</w:t>
      </w:r>
      <w:r w:rsidR="00746ED9" w:rsidRPr="003D1E07">
        <w:rPr>
          <w:iCs/>
        </w:rPr>
        <w:t xml:space="preserve"> </w:t>
      </w:r>
      <w:r w:rsidR="004E0E8D" w:rsidRPr="003D1E07">
        <w:rPr>
          <w:iCs/>
        </w:rPr>
        <w:t>unifikova</w:t>
      </w:r>
      <w:r w:rsidR="006230FE" w:rsidRPr="003D1E07">
        <w:rPr>
          <w:iCs/>
        </w:rPr>
        <w:t>n</w:t>
      </w:r>
      <w:r w:rsidR="004E0E8D" w:rsidRPr="003D1E07">
        <w:rPr>
          <w:iCs/>
        </w:rPr>
        <w:t xml:space="preserve">ý </w:t>
      </w:r>
      <w:r w:rsidR="00746ED9" w:rsidRPr="003D1E07">
        <w:rPr>
          <w:iCs/>
        </w:rPr>
        <w:t xml:space="preserve">rozvrh </w:t>
      </w:r>
      <w:r w:rsidR="08612AC2" w:rsidRPr="003D1E07">
        <w:rPr>
          <w:iCs/>
        </w:rPr>
        <w:t xml:space="preserve">metafyziky jako </w:t>
      </w:r>
      <w:r w:rsidR="00746ED9" w:rsidRPr="003D1E07">
        <w:rPr>
          <w:iCs/>
        </w:rPr>
        <w:t xml:space="preserve">první </w:t>
      </w:r>
      <w:r w:rsidR="00F174D1" w:rsidRPr="003D1E07">
        <w:rPr>
          <w:iCs/>
        </w:rPr>
        <w:t xml:space="preserve">všeobecné a objektivistické </w:t>
      </w:r>
      <w:r w:rsidR="00746ED9" w:rsidRPr="003D1E07">
        <w:rPr>
          <w:iCs/>
        </w:rPr>
        <w:t xml:space="preserve">vědy </w:t>
      </w:r>
      <w:r w:rsidR="00953110" w:rsidRPr="003D1E07">
        <w:rPr>
          <w:iCs/>
        </w:rPr>
        <w:t>(</w:t>
      </w:r>
      <w:r w:rsidR="0051410B" w:rsidRPr="003D1E07">
        <w:rPr>
          <w:i/>
          <w:iCs/>
        </w:rPr>
        <w:t>metaphysica generalis</w:t>
      </w:r>
      <w:r w:rsidR="009B350B" w:rsidRPr="003D1E07">
        <w:rPr>
          <w:i/>
          <w:iCs/>
        </w:rPr>
        <w:fldChar w:fldCharType="begin"/>
      </w:r>
      <w:r w:rsidR="009B350B" w:rsidRPr="003D1E07">
        <w:instrText xml:space="preserve"> XE "</w:instrText>
      </w:r>
      <w:r w:rsidR="009B350B" w:rsidRPr="003D1E07">
        <w:rPr>
          <w:i/>
        </w:rPr>
        <w:instrText>metaphysica generalis</w:instrText>
      </w:r>
      <w:r w:rsidR="009B350B" w:rsidRPr="003D1E07">
        <w:instrText xml:space="preserve">" </w:instrText>
      </w:r>
      <w:r w:rsidR="009B350B" w:rsidRPr="003D1E07">
        <w:rPr>
          <w:i/>
          <w:iCs/>
        </w:rPr>
        <w:fldChar w:fldCharType="end"/>
      </w:r>
      <w:r w:rsidR="00953110" w:rsidRPr="003D1E07">
        <w:rPr>
          <w:iCs/>
        </w:rPr>
        <w:t>)</w:t>
      </w:r>
      <w:r w:rsidR="084F7134" w:rsidRPr="003D1E07">
        <w:rPr>
          <w:iCs/>
        </w:rPr>
        <w:t xml:space="preserve">. Tento projekt </w:t>
      </w:r>
      <w:r w:rsidR="088731EA" w:rsidRPr="003D1E07">
        <w:rPr>
          <w:iCs/>
        </w:rPr>
        <w:t xml:space="preserve">do sebe zahrnul </w:t>
      </w:r>
      <w:r w:rsidR="0051410B" w:rsidRPr="003D1E07">
        <w:rPr>
          <w:iCs/>
        </w:rPr>
        <w:t xml:space="preserve">i </w:t>
      </w:r>
      <w:r w:rsidR="00A86C7F" w:rsidRPr="003D1E07">
        <w:rPr>
          <w:iCs/>
        </w:rPr>
        <w:t xml:space="preserve">monoteistickou teologii </w:t>
      </w:r>
      <w:r w:rsidR="005501E9">
        <w:rPr>
          <w:iCs/>
        </w:rPr>
        <w:t xml:space="preserve">objektivního demiurga </w:t>
      </w:r>
      <w:r w:rsidR="00BB434B" w:rsidRPr="003D1E07">
        <w:rPr>
          <w:iCs/>
        </w:rPr>
        <w:t>(</w:t>
      </w:r>
      <w:r w:rsidR="00BB434B" w:rsidRPr="003D1E07">
        <w:rPr>
          <w:i/>
          <w:iCs/>
        </w:rPr>
        <w:t>theologia naturalis</w:t>
      </w:r>
      <w:r w:rsidR="006C6549" w:rsidRPr="003D1E07">
        <w:rPr>
          <w:i/>
          <w:iCs/>
        </w:rPr>
        <w:fldChar w:fldCharType="begin"/>
      </w:r>
      <w:r w:rsidR="006C6549" w:rsidRPr="003D1E07">
        <w:instrText xml:space="preserve"> XE "</w:instrText>
      </w:r>
      <w:r w:rsidR="006C6549" w:rsidRPr="003D1E07">
        <w:rPr>
          <w:i/>
          <w:iCs/>
        </w:rPr>
        <w:instrText>theologia naturalis</w:instrText>
      </w:r>
      <w:r w:rsidR="006C6549" w:rsidRPr="003D1E07">
        <w:instrText xml:space="preserve">" </w:instrText>
      </w:r>
      <w:r w:rsidR="006C6549" w:rsidRPr="003D1E07">
        <w:rPr>
          <w:i/>
          <w:iCs/>
        </w:rPr>
        <w:fldChar w:fldCharType="end"/>
      </w:r>
      <w:r w:rsidR="00BB434B" w:rsidRPr="003D1E07">
        <w:rPr>
          <w:iCs/>
        </w:rPr>
        <w:t>)</w:t>
      </w:r>
      <w:r w:rsidR="00957D3A" w:rsidRPr="003D1E07">
        <w:rPr>
          <w:iCs/>
        </w:rPr>
        <w:t>.</w:t>
      </w:r>
      <w:r w:rsidR="005D5F91" w:rsidRPr="003D1E07">
        <w:rPr>
          <w:iCs/>
        </w:rPr>
        <w:t xml:space="preserve"> </w:t>
      </w:r>
    </w:p>
    <w:p w14:paraId="104C773A" w14:textId="6FD34FEB" w:rsidR="00616C68" w:rsidRPr="003D1E07" w:rsidRDefault="004A0D58" w:rsidP="00691CD0">
      <w:r w:rsidRPr="003D1E07">
        <w:rPr>
          <w:iCs/>
        </w:rPr>
        <w:t xml:space="preserve">Těmito kroky </w:t>
      </w:r>
      <w:r w:rsidR="0030241F" w:rsidRPr="003D1E07">
        <w:t xml:space="preserve">dal </w:t>
      </w:r>
      <w:r w:rsidR="00F31B16" w:rsidRPr="003D1E07">
        <w:t xml:space="preserve">filosofický </w:t>
      </w:r>
      <w:r w:rsidR="00BE39D7" w:rsidRPr="003D1E07">
        <w:t xml:space="preserve">mystik </w:t>
      </w:r>
      <w:r w:rsidR="083A73A5" w:rsidRPr="003D1E07">
        <w:t xml:space="preserve">Avicenna lidstvu nový </w:t>
      </w:r>
      <w:r w:rsidR="007B41B5" w:rsidRPr="003D1E07">
        <w:t>předmět</w:t>
      </w:r>
      <w:r w:rsidR="006C6B3B" w:rsidRPr="003D1E07">
        <w:t xml:space="preserve"> (</w:t>
      </w:r>
      <w:r w:rsidR="006C6B3B" w:rsidRPr="003D1E07">
        <w:rPr>
          <w:i/>
        </w:rPr>
        <w:t>ġaraḍ</w:t>
      </w:r>
      <w:r w:rsidR="006C6B3B" w:rsidRPr="003D1E07">
        <w:t>) metafyziky jako první vědy.</w:t>
      </w:r>
      <w:r w:rsidR="00E13422" w:rsidRPr="003D1E07">
        <w:t xml:space="preserve"> </w:t>
      </w:r>
      <w:r w:rsidR="004F6CEE">
        <w:t>Moderní b</w:t>
      </w:r>
      <w:r w:rsidR="08565EB3" w:rsidRPr="003D1E07">
        <w:rPr>
          <w:iCs/>
        </w:rPr>
        <w:t xml:space="preserve">ůh se stal </w:t>
      </w:r>
      <w:r w:rsidR="004F6CEE">
        <w:rPr>
          <w:iCs/>
        </w:rPr>
        <w:t xml:space="preserve">paranoickým </w:t>
      </w:r>
      <w:r w:rsidR="08565EB3" w:rsidRPr="003D1E07">
        <w:rPr>
          <w:iCs/>
        </w:rPr>
        <w:t>subjektem, což mu přivodilo nevyhnutelnou smrt z</w:t>
      </w:r>
      <w:r w:rsidR="00C52845" w:rsidRPr="003D1E07">
        <w:rPr>
          <w:iCs/>
        </w:rPr>
        <w:t xml:space="preserve"> výše uvedených </w:t>
      </w:r>
      <w:r w:rsidR="08565EB3" w:rsidRPr="003D1E07">
        <w:rPr>
          <w:iCs/>
        </w:rPr>
        <w:t>důvod</w:t>
      </w:r>
      <w:r w:rsidR="00C52845" w:rsidRPr="003D1E07">
        <w:rPr>
          <w:iCs/>
        </w:rPr>
        <w:t>ů</w:t>
      </w:r>
      <w:r w:rsidR="08565EB3" w:rsidRPr="003D1E07">
        <w:rPr>
          <w:iCs/>
        </w:rPr>
        <w:t xml:space="preserve">. </w:t>
      </w:r>
      <w:r w:rsidR="00957D3A" w:rsidRPr="003D1E07">
        <w:t>Toto pojetí metafyziky jako objektivní ontoteologie zásadně odmítl teolog Al-Ghazálí</w:t>
      </w:r>
      <w:r w:rsidR="00271F74" w:rsidRPr="003D1E07">
        <w:fldChar w:fldCharType="begin"/>
      </w:r>
      <w:r w:rsidR="00271F74" w:rsidRPr="003D1E07">
        <w:instrText xml:space="preserve"> XE "</w:instrText>
      </w:r>
      <w:r w:rsidR="00271F74" w:rsidRPr="003D1E07">
        <w:rPr>
          <w:rStyle w:val="FontStyle129"/>
          <w:rFonts w:ascii="Calibri" w:hAnsi="Calibri"/>
          <w:sz w:val="24"/>
        </w:rPr>
        <w:instrText>Al-Ghazálí</w:instrText>
      </w:r>
      <w:r w:rsidR="00271F74" w:rsidRPr="003D1E07">
        <w:instrText xml:space="preserve">" </w:instrText>
      </w:r>
      <w:r w:rsidR="00271F74" w:rsidRPr="003D1E07">
        <w:fldChar w:fldCharType="end"/>
      </w:r>
      <w:r w:rsidR="00271F74" w:rsidRPr="003D1E07">
        <w:t xml:space="preserve">. Jeho </w:t>
      </w:r>
      <w:r w:rsidR="00957D3A" w:rsidRPr="003D1E07">
        <w:t xml:space="preserve"> </w:t>
      </w:r>
      <w:r w:rsidR="00271F74" w:rsidRPr="003D1E07">
        <w:t>k</w:t>
      </w:r>
      <w:r w:rsidR="00957D3A" w:rsidRPr="003D1E07">
        <w:t xml:space="preserve">ritiku </w:t>
      </w:r>
      <w:r w:rsidR="00F529CC" w:rsidRPr="003D1E07">
        <w:t xml:space="preserve">zásadních omylů moderní filosofie </w:t>
      </w:r>
      <w:r w:rsidR="00957D3A" w:rsidRPr="003D1E07">
        <w:t xml:space="preserve">korigoval </w:t>
      </w:r>
      <w:r w:rsidR="00271F74" w:rsidRPr="003D1E07">
        <w:t>Averroes jako nejlepší aristotelik všech dob</w:t>
      </w:r>
      <w:r w:rsidR="00957D3A" w:rsidRPr="003D1E07">
        <w:t xml:space="preserve">. </w:t>
      </w:r>
      <w:r w:rsidR="002E3B62" w:rsidRPr="003D1E07">
        <w:t>Averroes</w:t>
      </w:r>
      <w:r w:rsidR="005D13E3" w:rsidRPr="003D1E07">
        <w:t xml:space="preserve"> </w:t>
      </w:r>
      <w:r w:rsidR="00BE39D7" w:rsidRPr="003D1E07">
        <w:t xml:space="preserve">pochopitelně </w:t>
      </w:r>
      <w:r w:rsidR="005D13E3" w:rsidRPr="003D1E07">
        <w:t xml:space="preserve">napadne nejslabší (a </w:t>
      </w:r>
      <w:r w:rsidR="00CD2AD7" w:rsidRPr="003D1E07">
        <w:t xml:space="preserve">proto </w:t>
      </w:r>
      <w:r w:rsidR="005D13E3" w:rsidRPr="003D1E07">
        <w:t xml:space="preserve">nejvíce mystické) místo </w:t>
      </w:r>
      <w:r w:rsidR="00616C68" w:rsidRPr="003D1E07">
        <w:t xml:space="preserve">Avicennovy </w:t>
      </w:r>
      <w:r w:rsidR="005D13E3" w:rsidRPr="003D1E07">
        <w:t xml:space="preserve">univoční predikace </w:t>
      </w:r>
      <w:r w:rsidR="005D13E3" w:rsidRPr="003D1E07">
        <w:rPr>
          <w:i/>
        </w:rPr>
        <w:t>per prius</w:t>
      </w:r>
      <w:r w:rsidR="00A11A95" w:rsidRPr="003D1E07">
        <w:rPr>
          <w:i/>
        </w:rPr>
        <w:t xml:space="preserve"> </w:t>
      </w:r>
      <w:r w:rsidR="00A11A95" w:rsidRPr="003D1E07">
        <w:t>a</w:t>
      </w:r>
      <w:r w:rsidR="00A11A95" w:rsidRPr="003D1E07">
        <w:rPr>
          <w:i/>
        </w:rPr>
        <w:t xml:space="preserve"> per posterius</w:t>
      </w:r>
      <w:r w:rsidR="005D13E3" w:rsidRPr="003D1E07">
        <w:t>.</w:t>
      </w:r>
      <w:r w:rsidR="00552E44" w:rsidRPr="003D1E07">
        <w:t xml:space="preserve"> </w:t>
      </w:r>
      <w:r w:rsidR="00AD3655" w:rsidRPr="003D1E07">
        <w:t>K</w:t>
      </w:r>
      <w:r w:rsidR="08EF245D" w:rsidRPr="003D1E07">
        <w:t xml:space="preserve">omentátor </w:t>
      </w:r>
      <w:r w:rsidR="006965A1" w:rsidRPr="003D1E07">
        <w:t>s</w:t>
      </w:r>
      <w:r w:rsidR="0098319D" w:rsidRPr="003D1E07">
        <w:t>práv</w:t>
      </w:r>
      <w:r w:rsidR="08CB04CD" w:rsidRPr="003D1E07">
        <w:t>ně pochopil na základě četby Al-</w:t>
      </w:r>
      <w:r w:rsidR="008E02F5" w:rsidRPr="003D1E07">
        <w:t>Fárábí</w:t>
      </w:r>
      <w:r w:rsidR="0098319D" w:rsidRPr="003D1E07">
        <w:t>ho</w:t>
      </w:r>
      <w:r w:rsidR="00AD74DD" w:rsidRPr="003D1E07">
        <w:t xml:space="preserve"> a Aristotela</w:t>
      </w:r>
      <w:r w:rsidR="0098319D" w:rsidRPr="003D1E07">
        <w:t xml:space="preserve">, že jsoucno </w:t>
      </w:r>
      <w:r w:rsidR="00BF5DCA" w:rsidRPr="003D1E07">
        <w:t xml:space="preserve">třetího druhu </w:t>
      </w:r>
      <w:r w:rsidR="0098319D" w:rsidRPr="003D1E07">
        <w:lastRenderedPageBreak/>
        <w:t>neexistuje</w:t>
      </w:r>
      <w:r w:rsidR="00C9789A" w:rsidRPr="003D1E07">
        <w:t>. E</w:t>
      </w:r>
      <w:r w:rsidR="00776604" w:rsidRPr="003D1E07">
        <w:t xml:space="preserve">xistenci </w:t>
      </w:r>
      <w:r w:rsidR="00C9789A" w:rsidRPr="003D1E07">
        <w:t xml:space="preserve">čehokoliv </w:t>
      </w:r>
      <w:r w:rsidR="00776604" w:rsidRPr="003D1E07">
        <w:t>známe pouze z reálné první substance</w:t>
      </w:r>
      <w:r w:rsidR="00A70FA4" w:rsidRPr="003D1E07">
        <w:fldChar w:fldCharType="begin"/>
      </w:r>
      <w:r w:rsidR="00A70FA4" w:rsidRPr="003D1E07">
        <w:instrText xml:space="preserve"> XE "substance</w:instrText>
      </w:r>
      <w:r w:rsidR="00002079" w:rsidRPr="003D1E07">
        <w:instrText>:první</w:instrText>
      </w:r>
      <w:r w:rsidR="00A70FA4" w:rsidRPr="003D1E07">
        <w:instrText xml:space="preserve">" </w:instrText>
      </w:r>
      <w:r w:rsidR="00A70FA4" w:rsidRPr="003D1E07">
        <w:fldChar w:fldCharType="end"/>
      </w:r>
      <w:r w:rsidR="00EE0851" w:rsidRPr="003D1E07">
        <w:t>, a ne z mystického vidění</w:t>
      </w:r>
      <w:r w:rsidR="00776604" w:rsidRPr="003D1E07">
        <w:t xml:space="preserve"> </w:t>
      </w:r>
      <w:r w:rsidR="004C58F5" w:rsidRPr="003D1E07">
        <w:t xml:space="preserve">čistého </w:t>
      </w:r>
      <w:r w:rsidR="00776604" w:rsidRPr="003D1E07">
        <w:t>jsoucna jako takového</w:t>
      </w:r>
      <w:r w:rsidR="0098319D" w:rsidRPr="003D1E07">
        <w:t xml:space="preserve">. </w:t>
      </w:r>
      <w:r w:rsidR="00552E44" w:rsidRPr="003D1E07">
        <w:t xml:space="preserve">A jak dále uvidíme, podobný spor v pojetí angelologie, materie a vztahu lidského intelektu k nebeskému </w:t>
      </w:r>
      <w:r w:rsidR="00552E44" w:rsidRPr="003D1E07">
        <w:rPr>
          <w:i/>
        </w:rPr>
        <w:t>intellectus agens</w:t>
      </w:r>
      <w:r w:rsidR="00552E44" w:rsidRPr="003D1E07">
        <w:t xml:space="preserve"> zažije západ</w:t>
      </w:r>
      <w:r w:rsidR="003A25E1" w:rsidRPr="003D1E07">
        <w:t>ní scholastika</w:t>
      </w:r>
      <w:r w:rsidR="00D35BC3" w:rsidRPr="003D1E07">
        <w:t xml:space="preserve"> po 1250</w:t>
      </w:r>
      <w:r w:rsidR="00552E44" w:rsidRPr="003D1E07">
        <w:t>.</w:t>
      </w:r>
      <w:r w:rsidR="00E824BF" w:rsidRPr="003D1E07">
        <w:t xml:space="preserve"> </w:t>
      </w:r>
      <w:r w:rsidR="000C11EE" w:rsidRPr="003D1E07">
        <w:t xml:space="preserve">Jenže nepřítelem </w:t>
      </w:r>
      <w:r w:rsidR="08B222BD" w:rsidRPr="003D1E07">
        <w:t xml:space="preserve">scholastického Západu </w:t>
      </w:r>
      <w:r w:rsidR="00330A6E" w:rsidRPr="003D1E07">
        <w:t>očarovaného</w:t>
      </w:r>
      <w:r w:rsidR="00067BF6" w:rsidRPr="003D1E07">
        <w:t xml:space="preserve"> kouzl</w:t>
      </w:r>
      <w:r w:rsidR="00330A6E" w:rsidRPr="003D1E07">
        <w:t>em</w:t>
      </w:r>
      <w:r w:rsidR="00067BF6" w:rsidRPr="003D1E07">
        <w:t xml:space="preserve"> </w:t>
      </w:r>
      <w:r w:rsidR="08B61C8E" w:rsidRPr="003D1E07">
        <w:t xml:space="preserve">mystické </w:t>
      </w:r>
      <w:r w:rsidR="00067BF6" w:rsidRPr="003D1E07">
        <w:t xml:space="preserve">objektivity </w:t>
      </w:r>
      <w:r w:rsidR="000C11EE" w:rsidRPr="003D1E07">
        <w:t xml:space="preserve">se </w:t>
      </w:r>
      <w:r w:rsidR="00067BF6" w:rsidRPr="003D1E07">
        <w:t>ne</w:t>
      </w:r>
      <w:r w:rsidR="000C11EE" w:rsidRPr="003D1E07">
        <w:t xml:space="preserve">stane </w:t>
      </w:r>
      <w:r w:rsidR="00067BF6" w:rsidRPr="003D1E07">
        <w:t xml:space="preserve">Avicenna, nýbrž </w:t>
      </w:r>
      <w:r w:rsidR="002E3B62" w:rsidRPr="003D1E07">
        <w:t>Averroes</w:t>
      </w:r>
      <w:r w:rsidR="000C11EE" w:rsidRPr="003D1E07">
        <w:t>.</w:t>
      </w:r>
    </w:p>
    <w:p w14:paraId="6086B845" w14:textId="5875BC2F" w:rsidR="00BD2D2A" w:rsidRPr="003D1E07" w:rsidRDefault="08A678DB" w:rsidP="00691CD0">
      <w:pPr>
        <w:pStyle w:val="Nadpis2"/>
        <w:rPr>
          <w:rStyle w:val="Zkladntext1"/>
          <w:rFonts w:ascii="Cambria" w:eastAsia="Times" w:hAnsi="Cambria"/>
          <w:color w:val="auto"/>
          <w:spacing w:val="0"/>
          <w:sz w:val="24"/>
          <w:szCs w:val="20"/>
          <w:u w:val="none"/>
          <w:lang w:val="cs-CZ"/>
        </w:rPr>
      </w:pPr>
      <w:r w:rsidRPr="003D1E07">
        <w:rPr>
          <w:rStyle w:val="Zkladntext1"/>
          <w:rFonts w:ascii="Cambria" w:eastAsia="Times" w:hAnsi="Cambria"/>
          <w:color w:val="auto"/>
          <w:spacing w:val="0"/>
          <w:sz w:val="24"/>
          <w:szCs w:val="20"/>
          <w:u w:val="none"/>
          <w:lang w:val="cs-CZ"/>
        </w:rPr>
        <w:br w:type="page"/>
      </w:r>
      <w:bookmarkStart w:id="56" w:name="_Toc93747282"/>
      <w:bookmarkStart w:id="57" w:name="_Toc102906172"/>
      <w:r w:rsidR="00BD2D2A" w:rsidRPr="003D1E07">
        <w:rPr>
          <w:rStyle w:val="Zkladntext1"/>
          <w:rFonts w:ascii="Cambria" w:eastAsia="Times" w:hAnsi="Cambria"/>
          <w:color w:val="auto"/>
          <w:spacing w:val="0"/>
          <w:sz w:val="24"/>
          <w:szCs w:val="20"/>
          <w:u w:val="none"/>
          <w:lang w:val="cs-CZ"/>
        </w:rPr>
        <w:lastRenderedPageBreak/>
        <w:t xml:space="preserve">2.4 </w:t>
      </w:r>
      <w:r w:rsidR="00FB518F">
        <w:rPr>
          <w:rStyle w:val="Zkladntext1"/>
          <w:rFonts w:ascii="Cambria" w:eastAsia="Times" w:hAnsi="Cambria"/>
          <w:color w:val="auto"/>
          <w:spacing w:val="0"/>
          <w:sz w:val="24"/>
          <w:szCs w:val="20"/>
          <w:u w:val="none"/>
          <w:lang w:val="cs-CZ"/>
        </w:rPr>
        <w:t xml:space="preserve">Jednota </w:t>
      </w:r>
      <w:r w:rsidR="00172A3A" w:rsidRPr="003D1E07">
        <w:rPr>
          <w:rStyle w:val="Zkladntext1"/>
          <w:rFonts w:ascii="Cambria" w:eastAsia="Times" w:hAnsi="Cambria"/>
          <w:color w:val="auto"/>
          <w:spacing w:val="0"/>
          <w:sz w:val="24"/>
          <w:szCs w:val="20"/>
          <w:u w:val="none"/>
          <w:lang w:val="cs-CZ"/>
        </w:rPr>
        <w:t>první vědy</w:t>
      </w:r>
      <w:r w:rsidR="00172A3A">
        <w:rPr>
          <w:rStyle w:val="Zkladntext1"/>
          <w:rFonts w:ascii="Cambria" w:eastAsia="Times" w:hAnsi="Cambria"/>
          <w:color w:val="auto"/>
          <w:spacing w:val="0"/>
          <w:sz w:val="24"/>
          <w:szCs w:val="20"/>
          <w:u w:val="none"/>
          <w:lang w:val="cs-CZ"/>
        </w:rPr>
        <w:t xml:space="preserve"> a </w:t>
      </w:r>
      <w:r w:rsidR="00FB518F">
        <w:rPr>
          <w:rStyle w:val="Zkladntext1"/>
          <w:rFonts w:ascii="Cambria" w:eastAsia="Times" w:hAnsi="Cambria"/>
          <w:color w:val="auto"/>
          <w:spacing w:val="0"/>
          <w:sz w:val="24"/>
          <w:szCs w:val="20"/>
          <w:u w:val="none"/>
          <w:lang w:val="cs-CZ"/>
        </w:rPr>
        <w:t xml:space="preserve">poznání </w:t>
      </w:r>
      <w:bookmarkEnd w:id="56"/>
      <w:bookmarkEnd w:id="57"/>
      <w:r w:rsidR="00FB518F">
        <w:rPr>
          <w:rStyle w:val="Zkladntext1"/>
          <w:rFonts w:ascii="Cambria" w:eastAsia="Times" w:hAnsi="Cambria"/>
          <w:color w:val="auto"/>
          <w:spacing w:val="0"/>
          <w:sz w:val="24"/>
          <w:szCs w:val="20"/>
          <w:u w:val="none"/>
          <w:lang w:val="cs-CZ"/>
        </w:rPr>
        <w:t>(</w:t>
      </w:r>
      <w:r w:rsidR="00FB518F" w:rsidRPr="003D1E07">
        <w:rPr>
          <w:rStyle w:val="Zkladntext1"/>
          <w:rFonts w:ascii="Cambria" w:eastAsia="Times" w:hAnsi="Cambria"/>
          <w:color w:val="auto"/>
          <w:spacing w:val="0"/>
          <w:sz w:val="24"/>
          <w:szCs w:val="20"/>
          <w:u w:val="none"/>
          <w:lang w:val="cs-CZ"/>
        </w:rPr>
        <w:t>Averroes</w:t>
      </w:r>
      <w:r w:rsidR="00FB518F">
        <w:rPr>
          <w:rStyle w:val="Zkladntext1"/>
          <w:rFonts w:ascii="Cambria" w:eastAsia="Times" w:hAnsi="Cambria"/>
          <w:color w:val="auto"/>
          <w:spacing w:val="0"/>
          <w:sz w:val="24"/>
          <w:szCs w:val="20"/>
          <w:u w:val="none"/>
          <w:lang w:val="cs-CZ"/>
        </w:rPr>
        <w:t>)</w:t>
      </w:r>
    </w:p>
    <w:p w14:paraId="2716E3C4" w14:textId="4ADA7605" w:rsidR="00B72C8F" w:rsidRDefault="00F83B9A" w:rsidP="00B72C8F">
      <w:r w:rsidRPr="003D1E07">
        <w:t>Spory mezi školou islámských tradicionalistů a filosoficky vzdělaných teologů se dostaly do další fáze vážného konfliktu. Škola mutazilitů se rozdělila na aristotelské neoplatoniky a na kritické aristoteliky. Spor různých škol Koránu</w:t>
      </w:r>
      <w:r w:rsidRPr="003D1E07">
        <w:fldChar w:fldCharType="begin"/>
      </w:r>
      <w:r w:rsidRPr="003D1E07">
        <w:instrText xml:space="preserve"> XE "Korán" </w:instrText>
      </w:r>
      <w:r w:rsidRPr="003D1E07">
        <w:fldChar w:fldCharType="end"/>
      </w:r>
      <w:r w:rsidRPr="003D1E07">
        <w:t xml:space="preserve"> ukazuje kritické dílo perského teologa jménem Muḥammad ibn Jarīr al-Ṭabarī</w:t>
      </w:r>
      <w:r w:rsidRPr="003D1E07">
        <w:fldChar w:fldCharType="begin"/>
      </w:r>
      <w:r w:rsidRPr="003D1E07">
        <w:instrText xml:space="preserve"> XE " Muḥammad ibn Jarīr al-Ṭabarī" </w:instrText>
      </w:r>
      <w:r w:rsidRPr="003D1E07">
        <w:fldChar w:fldCharType="end"/>
      </w:r>
      <w:r w:rsidRPr="003D1E07">
        <w:t xml:space="preserve"> (†923) působícího v Bagdádu. </w:t>
      </w:r>
      <w:r w:rsidR="00860D62">
        <w:t xml:space="preserve">Důležitý </w:t>
      </w:r>
      <w:r w:rsidRPr="003D1E07">
        <w:t>se stal jeho spor s tamější školou teologa Dawud al-Zahiri</w:t>
      </w:r>
      <w:r w:rsidRPr="003D1E07">
        <w:fldChar w:fldCharType="begin"/>
      </w:r>
      <w:r w:rsidRPr="003D1E07">
        <w:instrText xml:space="preserve"> XE "Dawud al-Zahiri" </w:instrText>
      </w:r>
      <w:r w:rsidRPr="003D1E07">
        <w:fldChar w:fldCharType="end"/>
      </w:r>
      <w:r w:rsidRPr="003D1E07">
        <w:t xml:space="preserve"> (†883) danou v linii sunnitských právníků a teologů (Abu Hanifa</w:t>
      </w:r>
      <w:r w:rsidRPr="003D1E07">
        <w:fldChar w:fldCharType="begin"/>
      </w:r>
      <w:r w:rsidRPr="003D1E07">
        <w:instrText xml:space="preserve"> XE "Abu Hanifa" </w:instrText>
      </w:r>
      <w:r w:rsidRPr="003D1E07">
        <w:fldChar w:fldCharType="end"/>
      </w:r>
      <w:r w:rsidRPr="003D1E07">
        <w:t>, Malik bin Anas, Al-Shafi'i, Ahmad ibn Hanbal). Tato právní škola (</w:t>
      </w:r>
      <w:r w:rsidRPr="003D1E07">
        <w:rPr>
          <w:rStyle w:val="unicode"/>
          <w:i/>
          <w:iCs/>
        </w:rPr>
        <w:t>maḏhab</w:t>
      </w:r>
      <w:r w:rsidRPr="003D1E07">
        <w:t>) založená na orálních tradicích Koránu</w:t>
      </w:r>
      <w:r w:rsidRPr="003D1E07">
        <w:fldChar w:fldCharType="begin"/>
      </w:r>
      <w:r w:rsidRPr="003D1E07">
        <w:instrText xml:space="preserve"> XE "Korán" </w:instrText>
      </w:r>
      <w:r w:rsidRPr="003D1E07">
        <w:fldChar w:fldCharType="end"/>
      </w:r>
      <w:r w:rsidRPr="003D1E07">
        <w:t xml:space="preserve"> (</w:t>
      </w:r>
      <w:r w:rsidRPr="003D1E07">
        <w:rPr>
          <w:rStyle w:val="st"/>
          <w:rFonts w:cs="Calibri"/>
          <w:bCs/>
          <w:i/>
        </w:rPr>
        <w:t>ḥ</w:t>
      </w:r>
      <w:r w:rsidRPr="003D1E07">
        <w:rPr>
          <w:rStyle w:val="st"/>
          <w:bCs/>
          <w:i/>
        </w:rPr>
        <w:t>adīth</w:t>
      </w:r>
      <w:r w:rsidRPr="003D1E07">
        <w:rPr>
          <w:rStyle w:val="st"/>
          <w:bCs/>
          <w:i/>
        </w:rPr>
        <w:fldChar w:fldCharType="begin"/>
      </w:r>
      <w:r w:rsidRPr="003D1E07">
        <w:instrText xml:space="preserve"> XE "</w:instrText>
      </w:r>
      <w:r w:rsidRPr="003D1E07">
        <w:rPr>
          <w:rStyle w:val="st"/>
          <w:rFonts w:cs="Calibri"/>
          <w:bCs/>
          <w:i/>
        </w:rPr>
        <w:instrText>ḥ</w:instrText>
      </w:r>
      <w:r w:rsidRPr="003D1E07">
        <w:rPr>
          <w:rStyle w:val="st"/>
          <w:bCs/>
          <w:i/>
        </w:rPr>
        <w:instrText>adīth</w:instrText>
      </w:r>
      <w:r w:rsidRPr="003D1E07">
        <w:instrText xml:space="preserve">" </w:instrText>
      </w:r>
      <w:r w:rsidRPr="003D1E07">
        <w:rPr>
          <w:rStyle w:val="st"/>
          <w:bCs/>
          <w:i/>
        </w:rPr>
        <w:fldChar w:fldCharType="end"/>
      </w:r>
      <w:r w:rsidRPr="003D1E07">
        <w:t>) se vymezila proti racionální škole teologů (</w:t>
      </w:r>
      <w:r w:rsidRPr="003D1E07">
        <w:rPr>
          <w:rStyle w:val="st"/>
          <w:i/>
        </w:rPr>
        <w:t>al-muʿtazilah</w:t>
      </w:r>
      <w:r w:rsidRPr="003D1E07">
        <w:rPr>
          <w:rStyle w:val="st"/>
          <w:i/>
        </w:rPr>
        <w:fldChar w:fldCharType="begin"/>
      </w:r>
      <w:r w:rsidRPr="003D1E07">
        <w:instrText xml:space="preserve"> XE "</w:instrText>
      </w:r>
      <w:r w:rsidRPr="003D1E07">
        <w:rPr>
          <w:rStyle w:val="st"/>
          <w:i/>
        </w:rPr>
        <w:instrText>al-muʿtazilah</w:instrText>
      </w:r>
      <w:r w:rsidRPr="003D1E07">
        <w:instrText xml:space="preserve">" </w:instrText>
      </w:r>
      <w:r w:rsidRPr="003D1E07">
        <w:rPr>
          <w:rStyle w:val="st"/>
          <w:i/>
        </w:rPr>
        <w:fldChar w:fldCharType="end"/>
      </w:r>
      <w:r w:rsidRPr="003D1E07">
        <w:rPr>
          <w:rStyle w:val="st"/>
        </w:rPr>
        <w:t>)</w:t>
      </w:r>
      <w:r w:rsidRPr="003D1E07">
        <w:t>, která za chalífátu Abbasidovců začala být kritizovaná jako heretická kolem roku 850. Klíčový rozdíl mezi oběma školami bylo pojetí Koránu jako přímo daného božího slova. Toto pojetí bránily právnické školy teologů opřené o kmenové tradice islámu</w:t>
      </w:r>
      <w:r>
        <w:t xml:space="preserve"> </w:t>
      </w:r>
      <w:r w:rsidRPr="003D1E07">
        <w:t xml:space="preserve">(Bangert 2016, 100–103). Ale i tyto čistě teologické školy z linie </w:t>
      </w:r>
      <w:r w:rsidRPr="003D1E07">
        <w:rPr>
          <w:rStyle w:val="unicode"/>
          <w:i/>
          <w:iCs/>
        </w:rPr>
        <w:t>maḏhab</w:t>
      </w:r>
      <w:r w:rsidRPr="003D1E07">
        <w:t xml:space="preserve"> kriticky rozlišovaly mezi mytopoetickou a múzickou podobou orálně předávané pravdy.</w:t>
      </w:r>
      <w:r w:rsidRPr="003D1E07">
        <w:rPr>
          <w:rStyle w:val="Znakapoznpodarou"/>
        </w:rPr>
        <w:footnoteReference w:id="189"/>
      </w:r>
      <w:r w:rsidRPr="003D1E07">
        <w:t xml:space="preserve"> Oba druhy archaické po-odkrytosti (</w:t>
      </w:r>
      <w:r w:rsidRPr="003D1E07">
        <w:rPr>
          <w:i/>
        </w:rPr>
        <w:t>a/létheia</w:t>
      </w:r>
      <w:r w:rsidRPr="003D1E07">
        <w:rPr>
          <w:bCs/>
          <w:i/>
          <w:szCs w:val="24"/>
        </w:rPr>
        <w:fldChar w:fldCharType="begin"/>
      </w:r>
      <w:r w:rsidRPr="003D1E07">
        <w:instrText xml:space="preserve"> XE "</w:instrText>
      </w:r>
      <w:r w:rsidRPr="003D1E07">
        <w:rPr>
          <w:bCs/>
          <w:i/>
          <w:szCs w:val="24"/>
        </w:rPr>
        <w:instrText>a/létheia</w:instrText>
      </w:r>
      <w:r w:rsidRPr="003D1E07">
        <w:instrText xml:space="preserve">" </w:instrText>
      </w:r>
      <w:r w:rsidRPr="003D1E07">
        <w:rPr>
          <w:bCs/>
          <w:i/>
          <w:szCs w:val="24"/>
        </w:rPr>
        <w:fldChar w:fldCharType="end"/>
      </w:r>
      <w:r w:rsidRPr="003D1E07">
        <w:t>) působily v počáteční dějinnosti</w:t>
      </w:r>
      <w:r w:rsidRPr="003D1E07">
        <w:fldChar w:fldCharType="begin"/>
      </w:r>
      <w:r w:rsidRPr="003D1E07">
        <w:instrText xml:space="preserve"> XE "dějinnost" </w:instrText>
      </w:r>
      <w:r w:rsidRPr="003D1E07">
        <w:fldChar w:fldCharType="end"/>
      </w:r>
      <w:r w:rsidRPr="003D1E07">
        <w:t xml:space="preserve"> islámu</w:t>
      </w:r>
      <w:r>
        <w:t xml:space="preserve"> a </w:t>
      </w:r>
      <w:r w:rsidRPr="003D1E07">
        <w:t>byly obsaženy</w:t>
      </w:r>
      <w:r w:rsidR="00846765">
        <w:t xml:space="preserve"> v orálních kmenových tradicích, které měly charakter závazné, lokálně určené nauky (</w:t>
      </w:r>
      <w:r w:rsidRPr="003D1E07">
        <w:rPr>
          <w:rStyle w:val="st"/>
          <w:rFonts w:cs="Calibri"/>
          <w:bCs/>
          <w:i/>
        </w:rPr>
        <w:t>ḥ</w:t>
      </w:r>
      <w:r w:rsidRPr="003D1E07">
        <w:rPr>
          <w:rStyle w:val="st"/>
          <w:bCs/>
          <w:i/>
        </w:rPr>
        <w:t>adīth</w:t>
      </w:r>
      <w:r w:rsidR="00846765">
        <w:t>).</w:t>
      </w:r>
      <w:r w:rsidRPr="003D1E07">
        <w:t xml:space="preserve"> Původní pravda </w:t>
      </w:r>
      <w:r w:rsidR="00846765">
        <w:t xml:space="preserve">Koránu měla archaický charakter, v němž bylo třeba přesně rozlišit </w:t>
      </w:r>
      <w:r w:rsidR="00A304D0">
        <w:t xml:space="preserve">božskou </w:t>
      </w:r>
      <w:r w:rsidRPr="003D1E07">
        <w:t>pravd</w:t>
      </w:r>
      <w:r w:rsidR="00A304D0">
        <w:t xml:space="preserve">ou a lidským </w:t>
      </w:r>
      <w:r w:rsidRPr="003D1E07">
        <w:t>klam</w:t>
      </w:r>
      <w:r w:rsidR="00A304D0">
        <w:t>em</w:t>
      </w:r>
      <w:r w:rsidRPr="003D1E07">
        <w:t xml:space="preserve">. </w:t>
      </w:r>
      <w:r w:rsidR="00846765">
        <w:t xml:space="preserve">To znamenalo převod pravdivé podoby Božího slova zvěstovaného </w:t>
      </w:r>
      <w:r w:rsidR="00551548">
        <w:t>Mohamedem do kanociké po</w:t>
      </w:r>
      <w:r w:rsidR="00846765">
        <w:t>d</w:t>
      </w:r>
      <w:r w:rsidR="00551548">
        <w:t>o</w:t>
      </w:r>
      <w:r w:rsidR="00846765">
        <w:t xml:space="preserve">by jedné nauky. </w:t>
      </w:r>
      <w:r w:rsidRPr="003D1E07">
        <w:rPr>
          <w:rStyle w:val="st"/>
          <w:bCs/>
        </w:rPr>
        <w:t xml:space="preserve">Po kritické práci tehdejších mudrců všech směrů a škol přešly tyto tradice v plně rozlišené a tedy kritické formě </w:t>
      </w:r>
      <w:r w:rsidRPr="003D1E07">
        <w:rPr>
          <w:rStyle w:val="st"/>
          <w:bCs/>
          <w:i/>
        </w:rPr>
        <w:t>alétheia</w:t>
      </w:r>
      <w:r w:rsidRPr="003D1E07">
        <w:rPr>
          <w:rStyle w:val="st"/>
          <w:bCs/>
        </w:rPr>
        <w:t xml:space="preserve"> do </w:t>
      </w:r>
      <w:r w:rsidRPr="003D1E07">
        <w:t>písemně zachyceného Koránu. Po vzniku Koránu začala epocha plně zjevných dějin islámu a pův</w:t>
      </w:r>
      <w:r>
        <w:t xml:space="preserve">odní dějinnost prorockého vidění </w:t>
      </w:r>
      <w:r w:rsidRPr="003D1E07">
        <w:t xml:space="preserve">přešla do epochální </w:t>
      </w:r>
      <w:r w:rsidRPr="003D1E07">
        <w:rPr>
          <w:i/>
        </w:rPr>
        <w:t>léthe</w:t>
      </w:r>
      <w:r w:rsidRPr="003D1E07">
        <w:t>. Pro bagdádskou ekumenickou filosofickou školu mutazilitů byla nepřijatelná jakékoliv divinizace textu vzniklého díky lidskému porozumění a interpretaci. Ašaridští myslitelé ze školy mutazilitů byli očitými svědky sestavování písemného korpusu Koránu v jeho klíčové redakční fázi, tedy na začátku 8. století po ukončení vlády chalífa Abd al-Malika (</w:t>
      </w:r>
      <w:r w:rsidRPr="003D1E07">
        <w:rPr>
          <w:rFonts w:cs="Calibri"/>
        </w:rPr>
        <w:t>†</w:t>
      </w:r>
      <w:r w:rsidRPr="003D1E07">
        <w:t xml:space="preserve">705). Tito vzdělanci </w:t>
      </w:r>
      <w:r w:rsidR="00FF43B3">
        <w:t xml:space="preserve">byli </w:t>
      </w:r>
      <w:r w:rsidRPr="003D1E07">
        <w:t>znalci archaického arabského písma daného bez interpunkce a s nejasným významem mnohých znaků (</w:t>
      </w:r>
      <w:r w:rsidRPr="003D1E07">
        <w:rPr>
          <w:i/>
        </w:rPr>
        <w:t>scriptio defectiva</w:t>
      </w:r>
      <w:r w:rsidRPr="003D1E07">
        <w:t>)</w:t>
      </w:r>
      <w:r w:rsidR="00FF43B3">
        <w:t xml:space="preserve">. Tito učenci </w:t>
      </w:r>
      <w:r w:rsidRPr="003D1E07">
        <w:t xml:space="preserve">se účastnili </w:t>
      </w:r>
      <w:r w:rsidR="00FF43B3">
        <w:t xml:space="preserve">závazné </w:t>
      </w:r>
      <w:r w:rsidRPr="003D1E07">
        <w:t>interpretace tehdejších tradic islámu. Přechod na novou interpunkci s diaktrickými znaky byl dokončen v 10. století (</w:t>
      </w:r>
      <w:r w:rsidRPr="003D1E07">
        <w:rPr>
          <w:i/>
        </w:rPr>
        <w:t xml:space="preserve">scriptio </w:t>
      </w:r>
      <w:r w:rsidRPr="003D1E07">
        <w:rPr>
          <w:i/>
        </w:rPr>
        <w:lastRenderedPageBreak/>
        <w:t>plena</w:t>
      </w:r>
      <w:r w:rsidRPr="003D1E07">
        <w:t>). To byl také důvod jejich kritického postoje vůči dogmatickému výkladu teologů tehdy vznikající Knihy. Společně s teology jako Ibn Kullāb (</w:t>
      </w:r>
      <w:r w:rsidRPr="003D1E07">
        <w:rPr>
          <w:rFonts w:cs="Calibri"/>
        </w:rPr>
        <w:t>†855</w:t>
      </w:r>
      <w:r w:rsidRPr="003D1E07">
        <w:t xml:space="preserve">) rozlišovali mezi věčným zjevením a lidsky danou formou </w:t>
      </w:r>
      <w:r w:rsidRPr="003D1E07">
        <w:rPr>
          <w:i/>
          <w:iCs/>
        </w:rPr>
        <w:t>(ʿibāra)</w:t>
      </w:r>
      <w:r w:rsidRPr="003D1E07">
        <w:t xml:space="preserve"> a bránili jedinečnost a nadřazené postavení Koránu proti ostatním náboženstvím (</w:t>
      </w:r>
      <w:r w:rsidRPr="003D1E07">
        <w:rPr>
          <w:i/>
          <w:iCs/>
        </w:rPr>
        <w:t>iʿdschāz al-qurʾān</w:t>
      </w:r>
      <w:r w:rsidRPr="003D1E07">
        <w:t>). Racionální škola ašaritů bránila autonomní lidskou přirozenost a kritické myšlení. Neoplatonští ašarité ze školy křesťanského filosofa Hunaina Ibn Išáka (†873) z bagdádského Domu moudrosti však</w:t>
      </w:r>
      <w:r w:rsidRPr="003D1E07">
        <w:rPr>
          <w:b/>
          <w:bCs/>
        </w:rPr>
        <w:t xml:space="preserve"> </w:t>
      </w:r>
      <w:r w:rsidRPr="003D1E07">
        <w:t xml:space="preserve">skončili u platonské dialektiky. Vrcholným představitelem této neoplatonské školy byl Avicenna, jehož modernistickou filosofii zásadně kritizovala škola teologů z racionální školy </w:t>
      </w:r>
      <w:r w:rsidRPr="003D1E07">
        <w:rPr>
          <w:i/>
        </w:rPr>
        <w:t>mutakallim</w:t>
      </w:r>
      <w:r w:rsidRPr="003D1E07">
        <w:t xml:space="preserve"> pod vedením Algazela. Problematický platonismus ašaritů také odmítla škola aristotelské falsafy pod vedením Al-Fárábího a </w:t>
      </w:r>
      <w:r w:rsidR="005B1CB1">
        <w:t xml:space="preserve">jakobitského křesťana </w:t>
      </w:r>
      <w:r w:rsidRPr="003D1E07">
        <w:t>Ibn Ádího, kteří vedli bagdádský Dům moudrosti (</w:t>
      </w:r>
      <w:r w:rsidRPr="003D1E07">
        <w:rPr>
          <w:i/>
        </w:rPr>
        <w:t>Bajt al-Hikma</w:t>
      </w:r>
      <w:r w:rsidRPr="003D1E07">
        <w:rPr>
          <w:i/>
        </w:rPr>
        <w:fldChar w:fldCharType="begin"/>
      </w:r>
      <w:r w:rsidRPr="003D1E07">
        <w:instrText xml:space="preserve"> XE "</w:instrText>
      </w:r>
      <w:r w:rsidRPr="003D1E07">
        <w:rPr>
          <w:i/>
        </w:rPr>
        <w:instrText>Bajt al-Hikma</w:instrText>
      </w:r>
      <w:r w:rsidRPr="003D1E07">
        <w:instrText xml:space="preserve">" </w:instrText>
      </w:r>
      <w:r w:rsidRPr="003D1E07">
        <w:rPr>
          <w:i/>
        </w:rPr>
        <w:fldChar w:fldCharType="end"/>
      </w:r>
      <w:r w:rsidR="00307D56">
        <w:t>) po ašaritské škole.</w:t>
      </w:r>
      <w:r w:rsidR="003C33D6">
        <w:t xml:space="preserve"> </w:t>
      </w:r>
      <w:r w:rsidRPr="003D1E07">
        <w:t xml:space="preserve">V teologii jedné zjevené pravdy Koránu bráněné podle škol </w:t>
      </w:r>
      <w:r w:rsidRPr="003D1E07">
        <w:rPr>
          <w:i/>
        </w:rPr>
        <w:t>Ilm al-Kalām</w:t>
      </w:r>
      <w:r w:rsidRPr="003D1E07">
        <w:t xml:space="preserve"> a učenci typu </w:t>
      </w:r>
      <w:r w:rsidRPr="003D1E07">
        <w:rPr>
          <w:i/>
        </w:rPr>
        <w:t>mutakallim</w:t>
      </w:r>
      <w:r w:rsidRPr="003D1E07">
        <w:rPr>
          <w:i/>
        </w:rPr>
        <w:fldChar w:fldCharType="begin"/>
      </w:r>
      <w:r w:rsidRPr="003D1E07">
        <w:instrText xml:space="preserve"> XE "</w:instrText>
      </w:r>
      <w:r w:rsidRPr="003D1E07">
        <w:rPr>
          <w:i/>
        </w:rPr>
        <w:instrText>mutakallim</w:instrText>
      </w:r>
      <w:r w:rsidRPr="003D1E07">
        <w:instrText xml:space="preserve">" </w:instrText>
      </w:r>
      <w:r w:rsidRPr="003D1E07">
        <w:rPr>
          <w:i/>
        </w:rPr>
        <w:fldChar w:fldCharType="end"/>
      </w:r>
      <w:r w:rsidR="00AF46D1">
        <w:t xml:space="preserve"> byl B</w:t>
      </w:r>
      <w:r w:rsidRPr="003D1E07">
        <w:t xml:space="preserve">agdádský dům filosofické moudrosti místem problematických nauk. Podle brilantních súfijských teologů a myslitelů jako byl Al-Ghazálí se stal Dům moudrosti v Bagdádu sídlem pošetilosti, protože jej ovládali modernisté typu Avicenny. Islámští chalífové, právníci a teologové zasáhli v zájmu jedné zjevené pravdy proti modernistům. Představitelé kalámu však vylili z vaničky moderní vodu i s aristotelským dítětem. Ale teologičtí právníci škol </w:t>
      </w:r>
      <w:r w:rsidRPr="003D1E07">
        <w:rPr>
          <w:rStyle w:val="st"/>
          <w:rFonts w:cs="Calibri"/>
          <w:bCs/>
          <w:i/>
        </w:rPr>
        <w:t>ḥ</w:t>
      </w:r>
      <w:r w:rsidRPr="003D1E07">
        <w:rPr>
          <w:rStyle w:val="st"/>
          <w:bCs/>
          <w:i/>
        </w:rPr>
        <w:t>adīth</w:t>
      </w:r>
      <w:r w:rsidRPr="003D1E07">
        <w:rPr>
          <w:rStyle w:val="st"/>
          <w:bCs/>
          <w:i/>
        </w:rPr>
        <w:fldChar w:fldCharType="begin"/>
      </w:r>
      <w:r w:rsidRPr="003D1E07">
        <w:instrText xml:space="preserve"> XE "</w:instrText>
      </w:r>
      <w:r w:rsidRPr="003D1E07">
        <w:rPr>
          <w:rStyle w:val="st"/>
          <w:rFonts w:cs="Calibri"/>
          <w:bCs/>
          <w:i/>
        </w:rPr>
        <w:instrText>ḥ</w:instrText>
      </w:r>
      <w:r w:rsidRPr="003D1E07">
        <w:rPr>
          <w:rStyle w:val="st"/>
          <w:bCs/>
          <w:i/>
        </w:rPr>
        <w:instrText>adīth</w:instrText>
      </w:r>
      <w:r w:rsidRPr="003D1E07">
        <w:instrText xml:space="preserve">" </w:instrText>
      </w:r>
      <w:r w:rsidRPr="003D1E07">
        <w:rPr>
          <w:rStyle w:val="st"/>
          <w:bCs/>
          <w:i/>
        </w:rPr>
        <w:fldChar w:fldCharType="end"/>
      </w:r>
      <w:r w:rsidRPr="003D1E07">
        <w:t xml:space="preserve"> alespoň zachránili teologickou moudrost islámu danou staletými kmenovými a kulturními tradicemi myšlení.</w:t>
      </w:r>
      <w:r w:rsidR="00B72C8F">
        <w:t xml:space="preserve"> Chalífové se postavil za teologické školy kalámu a šaríi. Mocenský zásah chalífů proti tehdejší moderně zajistil, že moderní bůh v islámu nezvítězil. To je také důvod, proč </w:t>
      </w:r>
      <w:r w:rsidR="004825CE">
        <w:fldChar w:fldCharType="begin"/>
      </w:r>
      <w:r w:rsidR="004825CE">
        <w:instrText xml:space="preserve"> XE "</w:instrText>
      </w:r>
      <w:r w:rsidR="004825CE" w:rsidRPr="00B2333B">
        <w:instrText>smrt boha</w:instrText>
      </w:r>
      <w:r w:rsidR="004825CE">
        <w:instrText xml:space="preserve">" </w:instrText>
      </w:r>
      <w:r w:rsidR="004825CE">
        <w:fldChar w:fldCharType="end"/>
      </w:r>
      <w:r w:rsidR="00B72C8F">
        <w:t>moderní bůh nezemřel v islámské civilizaci stejnou smrtí jako na postmoderním Západě.</w:t>
      </w:r>
    </w:p>
    <w:p w14:paraId="061F6188" w14:textId="4B6497E4" w:rsidR="00F83B9A" w:rsidRDefault="00B72C8F" w:rsidP="003C33D6">
      <w:r>
        <w:tab/>
        <w:t xml:space="preserve">Averroes byl bezpochyby nejgeniálnějším myslitelem Falsafy, neboť vytvořil jedinečnou a </w:t>
      </w:r>
      <w:r w:rsidR="00AA2199">
        <w:t>zatím ne</w:t>
      </w:r>
      <w:r>
        <w:t xml:space="preserve">překonanou syntézu aristotelské metafyziky. Proto musel </w:t>
      </w:r>
      <w:r w:rsidRPr="003D1E07">
        <w:t xml:space="preserve">napravit </w:t>
      </w:r>
      <w:r>
        <w:t>o</w:t>
      </w:r>
      <w:r w:rsidR="00F83B9A" w:rsidRPr="003D1E07">
        <w:t xml:space="preserve">myly moderních filosofů jako Avicenna v dalším kole polemiky </w:t>
      </w:r>
      <w:r>
        <w:t>s kritickými islámskými teology</w:t>
      </w:r>
      <w:r w:rsidR="00F83B9A" w:rsidRPr="003D1E07">
        <w:t xml:space="preserve">. Pro záchranu falsafy to bylo už pozdě. Po smrti Komentátora islámští teologové definitivně zvítězili a vyhlásili nad nad Averrosesem první </w:t>
      </w:r>
      <w:r w:rsidR="00F83B9A" w:rsidRPr="003D1E07">
        <w:rPr>
          <w:i/>
        </w:rPr>
        <w:t>damnatio memoriae</w:t>
      </w:r>
      <w:r w:rsidR="00F83B9A" w:rsidRPr="003D1E07">
        <w:rPr>
          <w:i/>
        </w:rPr>
        <w:fldChar w:fldCharType="begin"/>
      </w:r>
      <w:r w:rsidR="00F83B9A" w:rsidRPr="003D1E07">
        <w:instrText xml:space="preserve"> XE "</w:instrText>
      </w:r>
      <w:r w:rsidR="00F83B9A" w:rsidRPr="003D1E07">
        <w:rPr>
          <w:i/>
        </w:rPr>
        <w:instrText>damnatio memoriae</w:instrText>
      </w:r>
      <w:r w:rsidR="00F83B9A" w:rsidRPr="003D1E07">
        <w:instrText xml:space="preserve">" </w:instrText>
      </w:r>
      <w:r w:rsidR="00F83B9A" w:rsidRPr="003D1E07">
        <w:rPr>
          <w:i/>
        </w:rPr>
        <w:fldChar w:fldCharType="end"/>
      </w:r>
      <w:r w:rsidR="00F83B9A" w:rsidRPr="003D1E07">
        <w:t>. Na latinském Západě proběhl  podobný vývoj o dvě století později, v letech 1250‒70. Komentátorovu metafyziku správně pochopila škola prvního averroismu na latinském Západě, která zakládala Pařížskou univerzitu (Johannes Blund</w:t>
      </w:r>
      <w:r w:rsidR="00F83B9A" w:rsidRPr="003D1E07">
        <w:fldChar w:fldCharType="begin"/>
      </w:r>
      <w:r w:rsidR="00F83B9A" w:rsidRPr="003D1E07">
        <w:instrText xml:space="preserve"> XE "Blund, J." </w:instrText>
      </w:r>
      <w:r w:rsidR="00F83B9A" w:rsidRPr="003D1E07">
        <w:fldChar w:fldCharType="end"/>
      </w:r>
      <w:r w:rsidR="00F83B9A" w:rsidRPr="003D1E07">
        <w:t>, William z Auvergne). Plné pochopení jednoty aristotelské metafyziky měli v následující generaci Roger Bacon, Albert Veliký a Siger z Brabantu. Ale tato skupina následovala osud falsafy a prohrála svůj boj s moderni</w:t>
      </w:r>
      <w:r w:rsidR="00F83B9A">
        <w:t>s</w:t>
      </w:r>
      <w:r w:rsidR="00F83B9A" w:rsidRPr="003D1E07">
        <w:t xml:space="preserve">ty. Latinští modernisté </w:t>
      </w:r>
      <w:r w:rsidR="00F83B9A" w:rsidRPr="003D1E07">
        <w:lastRenderedPageBreak/>
        <w:t xml:space="preserve">zvítězili nad aristoteliky skrze Avicennovu objektivní filosofii. </w:t>
      </w:r>
      <w:r w:rsidR="00EE16AE">
        <w:t>Moderní b</w:t>
      </w:r>
      <w:r w:rsidR="00EE16AE" w:rsidRPr="003D1E07">
        <w:t>ůh se prosadil skrze objektivní myšlení</w:t>
      </w:r>
      <w:r w:rsidR="00EE16AE">
        <w:t xml:space="preserve"> </w:t>
      </w:r>
      <w:r w:rsidR="00F83B9A" w:rsidRPr="003D1E07">
        <w:t>v klášterních školách mendikant</w:t>
      </w:r>
      <w:r w:rsidR="00F83B9A">
        <w:t>s</w:t>
      </w:r>
      <w:r w:rsidR="00EE16AE">
        <w:t>kých řádů na Oxfordu a v Paříži</w:t>
      </w:r>
      <w:r w:rsidR="00F83B9A" w:rsidRPr="003D1E07">
        <w:t xml:space="preserve">. Tento zápas dosvědčuje titul </w:t>
      </w:r>
      <w:r w:rsidR="00F83B9A" w:rsidRPr="003D1E07">
        <w:rPr>
          <w:i/>
        </w:rPr>
        <w:t>sophistae Latini</w:t>
      </w:r>
      <w:r w:rsidR="00F83B9A" w:rsidRPr="003D1E07">
        <w:rPr>
          <w:i/>
        </w:rPr>
        <w:fldChar w:fldCharType="begin"/>
      </w:r>
      <w:r w:rsidR="00F83B9A" w:rsidRPr="003D1E07">
        <w:instrText xml:space="preserve"> XE "</w:instrText>
      </w:r>
      <w:r w:rsidR="00F83B9A" w:rsidRPr="003D1E07">
        <w:rPr>
          <w:i/>
        </w:rPr>
        <w:instrText>sophistae Latini</w:instrText>
      </w:r>
      <w:r w:rsidR="00F83B9A" w:rsidRPr="003D1E07">
        <w:instrText xml:space="preserve">" </w:instrText>
      </w:r>
      <w:r w:rsidR="00F83B9A" w:rsidRPr="003D1E07">
        <w:rPr>
          <w:i/>
        </w:rPr>
        <w:fldChar w:fldCharType="end"/>
      </w:r>
      <w:r w:rsidR="00F83B9A" w:rsidRPr="003D1E07">
        <w:t>, který v modu apoll</w:t>
      </w:r>
      <w:r w:rsidR="005E5039">
        <w:t xml:space="preserve">inské sémantiky poukazuje na dějině pravdivý </w:t>
      </w:r>
      <w:r w:rsidR="00F83B9A" w:rsidRPr="003D1E07">
        <w:t>zápas teologického aristotelismu (OBJ II, kap. 2.3.1). Moudrý pařížský biskup William z Auvergne sehrál v kritice modernistů podobnou dějinnou roli jako učenec Al-Ghazálí ve falsafě. Nevděčnou roli při obraně Averroesovy filosofie hráli tzv. „averroisté“ na artistické fakultě v Rue du Fouarre. Jejich tragický zánik a vyhnání z univerzity uzavře první kolo objektivní tragikomedie Západu. Hermeneutika bude sledovat zejména myšlení Sigera z</w:t>
      </w:r>
      <w:r w:rsidR="00EE16AE">
        <w:t> </w:t>
      </w:r>
      <w:r w:rsidR="00F83B9A" w:rsidRPr="003D1E07">
        <w:t>Brabantu</w:t>
      </w:r>
      <w:r w:rsidR="00EE16AE">
        <w:t xml:space="preserve">. Ten se </w:t>
      </w:r>
      <w:r w:rsidR="00F83B9A" w:rsidRPr="003D1E07">
        <w:t>stal nedostižným komentátorem Komentátora</w:t>
      </w:r>
      <w:r w:rsidR="00EE16AE">
        <w:t xml:space="preserve"> a pak sdílel jeho filosofický osud</w:t>
      </w:r>
      <w:r w:rsidR="00F83B9A" w:rsidRPr="003D1E07">
        <w:t xml:space="preserve">. Avicennova verze metafyziky jde cestou jedné mytopoetické pravdy a stejnou cestou jde </w:t>
      </w:r>
      <w:r w:rsidR="00F83B9A" w:rsidRPr="003D1E07">
        <w:rPr>
          <w:i/>
        </w:rPr>
        <w:t>via Modernorum</w:t>
      </w:r>
      <w:r w:rsidR="00F83B9A" w:rsidRPr="003D1E07">
        <w:t xml:space="preserve">. </w:t>
      </w:r>
      <w:r w:rsidR="00581003" w:rsidRPr="00581003">
        <w:t>Obě školy měly jen jednu pravdu, která byla vnucena Západu. Tato božská pra</w:t>
      </w:r>
      <w:r w:rsidR="00581003">
        <w:t xml:space="preserve">vda byla rozdělena na dvě říše. V jedné </w:t>
      </w:r>
      <w:r w:rsidR="00581003" w:rsidRPr="00581003">
        <w:t>vládli moudří a vítězní teologové islámu a</w:t>
      </w:r>
      <w:r w:rsidR="00581003">
        <w:t xml:space="preserve"> ve druhé </w:t>
      </w:r>
      <w:r w:rsidR="00581003" w:rsidRPr="00581003">
        <w:t>nemoudří, modernističtí a vítězní teologové latinského křesťanství.</w:t>
      </w:r>
      <w:r w:rsidR="00581003">
        <w:t xml:space="preserve"> </w:t>
      </w:r>
      <w:r w:rsidR="003F108E">
        <w:t>Moderní bůh zemřel na latinském Západě</w:t>
      </w:r>
      <w:r w:rsidR="00B91C57">
        <w:t xml:space="preserve">, který </w:t>
      </w:r>
      <w:r w:rsidR="003F108E">
        <w:t xml:space="preserve">vytvořil současnou epochu antropocénu. </w:t>
      </w:r>
      <w:r w:rsidR="001C2A6D" w:rsidRPr="003D1E07">
        <w:rPr>
          <w:lang w:eastAsia="en-US"/>
        </w:rPr>
        <w:t>Ve falsafě běž</w:t>
      </w:r>
      <w:r w:rsidR="00581003">
        <w:rPr>
          <w:lang w:eastAsia="en-US"/>
        </w:rPr>
        <w:t>el</w:t>
      </w:r>
      <w:r w:rsidR="001C2A6D" w:rsidRPr="003D1E07">
        <w:rPr>
          <w:lang w:eastAsia="en-US"/>
        </w:rPr>
        <w:t xml:space="preserve"> spor o statut moderního boha zhruba o dvě století dříve než na latinském Západě.</w:t>
      </w:r>
      <w:r w:rsidR="001C2A6D">
        <w:rPr>
          <w:lang w:eastAsia="en-US"/>
        </w:rPr>
        <w:t xml:space="preserve"> </w:t>
      </w:r>
      <w:r w:rsidR="004C1A4E" w:rsidRPr="003D1E07">
        <w:t xml:space="preserve">Hermeneutika bude následovat v dalších fázích této gigantomachie o substanci na latinském Západě. </w:t>
      </w:r>
      <w:r w:rsidR="00F83B9A" w:rsidRPr="003D1E07">
        <w:t>Západní ontoteologie byla oddělena od islámské teologie od 13. století a toto oddělení bylo zpečetěno opakovanými křížovými výpravami. Filosofičtí sofisté vyhráli mocenský boj za jedinou pravdu ontoteologie skrze odsouzení aristotelismu v Paříži a v Oxfordu dané roku 1277</w:t>
      </w:r>
      <w:r w:rsidR="00F83B9A" w:rsidRPr="003D1E07">
        <w:fldChar w:fldCharType="begin"/>
      </w:r>
      <w:r w:rsidR="00F83B9A" w:rsidRPr="003D1E07">
        <w:instrText xml:space="preserve"> XE "odsouzení 1277" </w:instrText>
      </w:r>
      <w:r w:rsidR="00F83B9A" w:rsidRPr="003D1E07">
        <w:fldChar w:fldCharType="end"/>
      </w:r>
      <w:r w:rsidR="00F83B9A" w:rsidRPr="003D1E07">
        <w:t xml:space="preserve">. </w:t>
      </w:r>
      <w:r w:rsidR="001C2A6D">
        <w:rPr>
          <w:lang w:eastAsia="en-US"/>
        </w:rPr>
        <w:t>Objektivní simulá</w:t>
      </w:r>
      <w:r w:rsidR="001C2A6D" w:rsidRPr="003D1E07">
        <w:rPr>
          <w:lang w:eastAsia="en-US"/>
        </w:rPr>
        <w:t xml:space="preserve">krum známé jako bůh </w:t>
      </w:r>
      <w:r w:rsidR="001C2A6D" w:rsidRPr="003D1E07">
        <w:rPr>
          <w:i/>
          <w:lang w:eastAsia="en-US"/>
        </w:rPr>
        <w:t>Modernorum</w:t>
      </w:r>
      <w:r w:rsidR="001C2A6D" w:rsidRPr="003D1E07">
        <w:rPr>
          <w:lang w:eastAsia="en-US"/>
        </w:rPr>
        <w:t xml:space="preserve"> bylo vytvořeno podle Avicennovy metafyziky a založilo směr zvaný </w:t>
      </w:r>
      <w:r w:rsidR="001C2A6D" w:rsidRPr="003D1E07">
        <w:rPr>
          <w:i/>
          <w:lang w:eastAsia="en-US"/>
        </w:rPr>
        <w:t>via Modernorum</w:t>
      </w:r>
      <w:r w:rsidR="001C2A6D" w:rsidRPr="003D1E07">
        <w:rPr>
          <w:lang w:eastAsia="en-US"/>
        </w:rPr>
        <w:t xml:space="preserve">. </w:t>
      </w:r>
      <w:r w:rsidR="00F83B9A" w:rsidRPr="003D1E07">
        <w:t>R</w:t>
      </w:r>
      <w:r w:rsidR="00F83B9A" w:rsidRPr="003D1E07">
        <w:rPr>
          <w:lang w:eastAsia="en-US"/>
        </w:rPr>
        <w:t xml:space="preserve">oli kritického Averroese převezmou aristotelští představitelé prvního averroismu (Alvernus, Bacon, Albert, </w:t>
      </w:r>
      <w:r w:rsidR="00527808">
        <w:rPr>
          <w:lang w:eastAsia="en-US"/>
        </w:rPr>
        <w:t xml:space="preserve">částečně </w:t>
      </w:r>
      <w:r w:rsidR="00F83B9A" w:rsidRPr="003D1E07">
        <w:rPr>
          <w:lang w:eastAsia="en-US"/>
        </w:rPr>
        <w:t>Akvinský) kritizující avicennisty druhého averroismu (Rufus, Kilwar</w:t>
      </w:r>
      <w:r w:rsidR="00DE2DD7">
        <w:rPr>
          <w:lang w:eastAsia="en-US"/>
        </w:rPr>
        <w:t>dby, Bonaventura, Pecham). Celou dedukci</w:t>
      </w:r>
      <w:r w:rsidR="00F83B9A" w:rsidRPr="003D1E07">
        <w:rPr>
          <w:lang w:eastAsia="en-US"/>
        </w:rPr>
        <w:t xml:space="preserve"> </w:t>
      </w:r>
      <w:r w:rsidR="00DE2DD7" w:rsidRPr="003D1E07">
        <w:rPr>
          <w:lang w:eastAsia="en-US"/>
        </w:rPr>
        <w:t>po</w:t>
      </w:r>
      <w:r w:rsidR="00DE2DD7">
        <w:rPr>
          <w:lang w:eastAsia="en-US"/>
        </w:rPr>
        <w:t xml:space="preserve">dle Avicenny provedl </w:t>
      </w:r>
      <w:r w:rsidR="00F83B9A" w:rsidRPr="003D1E07">
        <w:rPr>
          <w:lang w:eastAsia="en-US"/>
        </w:rPr>
        <w:t xml:space="preserve">latinský modernista Duns Scotus (OBJ III, kap. 5.3.2). Výsledkem dedukce objektivní metafyziky se stal bůh bez vlastní existence. Tento nejvyšší akademik je ztracen v potenciálním světě objektivního myšlení a proto nemá čas na reálné tvoření </w:t>
      </w:r>
      <w:r w:rsidR="00244949">
        <w:rPr>
          <w:lang w:eastAsia="en-US"/>
        </w:rPr>
        <w:t>ve světě</w:t>
      </w:r>
      <w:r w:rsidR="000F7827">
        <w:rPr>
          <w:lang w:eastAsia="en-US"/>
        </w:rPr>
        <w:t xml:space="preserve"> </w:t>
      </w:r>
      <w:r w:rsidR="00F83B9A" w:rsidRPr="003D1E07">
        <w:rPr>
          <w:lang w:eastAsia="en-US"/>
        </w:rPr>
        <w:t>(</w:t>
      </w:r>
      <w:r w:rsidR="00F83B9A" w:rsidRPr="003D1E07">
        <w:rPr>
          <w:i/>
          <w:lang w:eastAsia="en-US"/>
        </w:rPr>
        <w:t>deus otiosus</w:t>
      </w:r>
      <w:r w:rsidR="00F83B9A" w:rsidRPr="003D1E07">
        <w:rPr>
          <w:i/>
          <w:lang w:eastAsia="en-US"/>
        </w:rPr>
        <w:fldChar w:fldCharType="begin"/>
      </w:r>
      <w:r w:rsidR="00F83B9A" w:rsidRPr="003D1E07">
        <w:instrText xml:space="preserve"> XE "</w:instrText>
      </w:r>
      <w:r w:rsidR="00F83B9A" w:rsidRPr="003D1E07">
        <w:rPr>
          <w:i/>
          <w:lang w:eastAsia="en-US"/>
        </w:rPr>
        <w:instrText>deus otiosus</w:instrText>
      </w:r>
      <w:r w:rsidR="00F83B9A" w:rsidRPr="003D1E07">
        <w:instrText xml:space="preserve">" </w:instrText>
      </w:r>
      <w:r w:rsidR="00F83B9A" w:rsidRPr="003D1E07">
        <w:rPr>
          <w:i/>
          <w:lang w:eastAsia="en-US"/>
        </w:rPr>
        <w:fldChar w:fldCharType="end"/>
      </w:r>
      <w:r w:rsidR="00F83B9A" w:rsidRPr="003D1E07">
        <w:rPr>
          <w:i/>
          <w:lang w:eastAsia="en-US"/>
        </w:rPr>
        <w:t xml:space="preserve">, </w:t>
      </w:r>
      <w:r w:rsidR="00F83B9A" w:rsidRPr="003D1E07">
        <w:t>kap. 1.1)</w:t>
      </w:r>
      <w:r w:rsidR="00F83B9A" w:rsidRPr="003D1E07">
        <w:rPr>
          <w:lang w:eastAsia="en-US"/>
        </w:rPr>
        <w:t xml:space="preserve">. </w:t>
      </w:r>
      <w:r w:rsidR="001C2A6D" w:rsidRPr="003D1E07">
        <w:rPr>
          <w:lang w:eastAsia="en-US"/>
        </w:rPr>
        <w:t xml:space="preserve">Nihilistický metafyzik Nietzsche byl po al-Ghazálím a Averroesovi </w:t>
      </w:r>
      <w:r w:rsidR="00816436">
        <w:rPr>
          <w:lang w:eastAsia="en-US"/>
        </w:rPr>
        <w:t xml:space="preserve">filosofickým hrobařem </w:t>
      </w:r>
      <w:r w:rsidR="001C2A6D" w:rsidRPr="003D1E07">
        <w:rPr>
          <w:lang w:eastAsia="en-US"/>
        </w:rPr>
        <w:t xml:space="preserve">moderního boha. </w:t>
      </w:r>
    </w:p>
    <w:p w14:paraId="5C85210A" w14:textId="121A49A1" w:rsidR="00054C4E" w:rsidRDefault="00A74327" w:rsidP="00F83B9A">
      <w:pPr>
        <w:ind w:firstLine="397"/>
        <w:rPr>
          <w:lang w:eastAsia="en-US"/>
        </w:rPr>
      </w:pPr>
      <w:r>
        <w:rPr>
          <w:lang w:eastAsia="en-US"/>
        </w:rPr>
        <w:t>Avicennovo zavedení moderní metafyziky</w:t>
      </w:r>
      <w:r w:rsidR="00FF7168" w:rsidRPr="003D1E07">
        <w:rPr>
          <w:lang w:eastAsia="en-US"/>
        </w:rPr>
        <w:t xml:space="preserve"> skrze nové formy </w:t>
      </w:r>
      <w:r w:rsidR="00FF7168" w:rsidRPr="003D1E07">
        <w:rPr>
          <w:i/>
          <w:lang w:eastAsia="en-US"/>
        </w:rPr>
        <w:t>tertium ens</w:t>
      </w:r>
      <w:r w:rsidR="00FF7168" w:rsidRPr="003D1E07">
        <w:rPr>
          <w:lang w:eastAsia="en-US"/>
        </w:rPr>
        <w:t xml:space="preserve"> dovršuje hledání jednoty bytí v perské </w:t>
      </w:r>
      <w:r w:rsidR="00046078">
        <w:rPr>
          <w:lang w:eastAsia="en-US"/>
        </w:rPr>
        <w:t xml:space="preserve">neoplatonské </w:t>
      </w:r>
      <w:r w:rsidR="00FF7168" w:rsidRPr="003D1E07">
        <w:rPr>
          <w:lang w:eastAsia="en-US"/>
        </w:rPr>
        <w:t xml:space="preserve">falsafě. Moderna spojila neoplatonskou henologii a </w:t>
      </w:r>
      <w:r w:rsidR="00FF7168" w:rsidRPr="003D1E07">
        <w:rPr>
          <w:lang w:eastAsia="en-US"/>
        </w:rPr>
        <w:lastRenderedPageBreak/>
        <w:t>aristotelskou kategoriální predikaci do nového celku první vědy</w:t>
      </w:r>
      <w:r w:rsidR="00651D2A" w:rsidRPr="003D1E07">
        <w:rPr>
          <w:lang w:eastAsia="en-US"/>
        </w:rPr>
        <w:t xml:space="preserve">. </w:t>
      </w:r>
      <w:r w:rsidR="082C2ABC" w:rsidRPr="003D1E07">
        <w:rPr>
          <w:lang w:eastAsia="en-US"/>
        </w:rPr>
        <w:t>Avicennovo řešení završuje v perské falsafě hledání univoční jednoty jsoucna dané spojením neoplato</w:t>
      </w:r>
      <w:r w:rsidR="00190791" w:rsidRPr="003D1E07">
        <w:rPr>
          <w:lang w:eastAsia="en-US"/>
        </w:rPr>
        <w:t xml:space="preserve">nismu a kategoriální predikace. Předchozí kapitoly ukázaly, že transcendentální metafyzika postavila hledanou jednotu a smysl jsoucna mimo svět reálných substancí. </w:t>
      </w:r>
      <w:r w:rsidR="00E11D61" w:rsidRPr="003D1E07">
        <w:rPr>
          <w:lang w:eastAsia="en-US"/>
        </w:rPr>
        <w:t>Avic</w:t>
      </w:r>
      <w:r w:rsidR="004D6611" w:rsidRPr="003D1E07">
        <w:rPr>
          <w:lang w:eastAsia="en-US"/>
        </w:rPr>
        <w:t xml:space="preserve">enna </w:t>
      </w:r>
      <w:r w:rsidR="08882F89" w:rsidRPr="003D1E07">
        <w:rPr>
          <w:lang w:eastAsia="en-US"/>
        </w:rPr>
        <w:t xml:space="preserve">se stal </w:t>
      </w:r>
      <w:r w:rsidR="004D6611" w:rsidRPr="003D1E07">
        <w:rPr>
          <w:lang w:eastAsia="en-US"/>
        </w:rPr>
        <w:t xml:space="preserve">otcem </w:t>
      </w:r>
      <w:r w:rsidR="002B6619" w:rsidRPr="003D1E07">
        <w:rPr>
          <w:lang w:eastAsia="en-US"/>
        </w:rPr>
        <w:t xml:space="preserve">západní </w:t>
      </w:r>
      <w:r w:rsidR="004D6611" w:rsidRPr="003D1E07">
        <w:rPr>
          <w:lang w:eastAsia="en-US"/>
        </w:rPr>
        <w:t>objektivity</w:t>
      </w:r>
      <w:r w:rsidR="003F01E5" w:rsidRPr="003D1E07">
        <w:rPr>
          <w:lang w:eastAsia="en-US"/>
        </w:rPr>
        <w:t xml:space="preserve">, protože </w:t>
      </w:r>
      <w:r w:rsidR="002B6619" w:rsidRPr="003D1E07">
        <w:rPr>
          <w:lang w:eastAsia="en-US"/>
        </w:rPr>
        <w:t xml:space="preserve">zanechal následovníkům </w:t>
      </w:r>
      <w:r w:rsidR="00B96381" w:rsidRPr="003D1E07">
        <w:rPr>
          <w:lang w:eastAsia="en-US"/>
        </w:rPr>
        <w:t xml:space="preserve">první </w:t>
      </w:r>
      <w:r w:rsidR="00473D40" w:rsidRPr="003D1E07">
        <w:rPr>
          <w:lang w:eastAsia="en-US"/>
        </w:rPr>
        <w:t>obje</w:t>
      </w:r>
      <w:r w:rsidR="004179DD" w:rsidRPr="003D1E07">
        <w:rPr>
          <w:lang w:eastAsia="en-US"/>
        </w:rPr>
        <w:t>ktivně pojatý smysl jsoucího</w:t>
      </w:r>
      <w:r w:rsidR="004D6611" w:rsidRPr="003D1E07">
        <w:rPr>
          <w:lang w:eastAsia="en-US"/>
        </w:rPr>
        <w:t>.</w:t>
      </w:r>
      <w:r w:rsidR="00607470" w:rsidRPr="003D1E07">
        <w:rPr>
          <w:lang w:eastAsia="en-US"/>
        </w:rPr>
        <w:t xml:space="preserve"> </w:t>
      </w:r>
      <w:r w:rsidR="08735C4E" w:rsidRPr="003D1E07">
        <w:rPr>
          <w:lang w:eastAsia="en-US"/>
        </w:rPr>
        <w:t xml:space="preserve">Konflikt mezi Avicennou a Averroesem vycházel z aristotelského rozporu v pojetí pravdy, který řešil už Al-Fárábí. </w:t>
      </w:r>
      <w:r w:rsidR="08B05F22" w:rsidRPr="003D1E07">
        <w:rPr>
          <w:lang w:eastAsia="en-US"/>
        </w:rPr>
        <w:t xml:space="preserve">Citovaná pasáž </w:t>
      </w:r>
      <w:r w:rsidR="08B05F22" w:rsidRPr="003D1E07">
        <w:rPr>
          <w:i/>
          <w:lang w:eastAsia="en-US"/>
        </w:rPr>
        <w:t>Met</w:t>
      </w:r>
      <w:r w:rsidR="08B05F22" w:rsidRPr="003D1E07">
        <w:rPr>
          <w:lang w:eastAsia="en-US"/>
        </w:rPr>
        <w:t>. 1026a33</w:t>
      </w:r>
      <w:r w:rsidR="00DA2740">
        <w:rPr>
          <w:lang w:eastAsia="en-US"/>
        </w:rPr>
        <w:t xml:space="preserve">–b2 (kap. 2.1) </w:t>
      </w:r>
      <w:r w:rsidR="08B05F22" w:rsidRPr="003D1E07">
        <w:rPr>
          <w:i/>
          <w:lang w:eastAsia="en-US"/>
        </w:rPr>
        <w:fldChar w:fldCharType="begin"/>
      </w:r>
      <w:r w:rsidR="08B05F22" w:rsidRPr="003D1E07">
        <w:instrText xml:space="preserve"> XE "</w:instrText>
      </w:r>
      <w:r w:rsidR="08B05F22" w:rsidRPr="003D1E07">
        <w:rPr>
          <w:rStyle w:val="Zvraznn"/>
          <w:i w:val="0"/>
        </w:rPr>
        <w:instrText>Aristoteles:</w:instrText>
      </w:r>
      <w:r w:rsidR="08B05F22" w:rsidRPr="003D1E07">
        <w:rPr>
          <w:i/>
          <w:lang w:eastAsia="en-US"/>
        </w:rPr>
        <w:instrText>Met</w:instrText>
      </w:r>
      <w:r w:rsidR="08B05F22" w:rsidRPr="003D1E07">
        <w:rPr>
          <w:lang w:eastAsia="en-US"/>
        </w:rPr>
        <w:instrText>. 1026a33–b2</w:instrText>
      </w:r>
      <w:r w:rsidR="08B05F22" w:rsidRPr="003D1E07">
        <w:instrText xml:space="preserve">" </w:instrText>
      </w:r>
      <w:r w:rsidR="08B05F22" w:rsidRPr="003D1E07">
        <w:rPr>
          <w:i/>
          <w:lang w:eastAsia="en-US"/>
        </w:rPr>
        <w:fldChar w:fldCharType="end"/>
      </w:r>
      <w:r w:rsidR="00E73C6D">
        <w:rPr>
          <w:lang w:eastAsia="en-US"/>
        </w:rPr>
        <w:t xml:space="preserve">považuje pravdivou výpověď </w:t>
      </w:r>
      <w:r w:rsidR="08B05F22" w:rsidRPr="003D1E07">
        <w:rPr>
          <w:lang w:eastAsia="en-US"/>
        </w:rPr>
        <w:t xml:space="preserve">a </w:t>
      </w:r>
      <w:r w:rsidR="00E73C6D">
        <w:rPr>
          <w:lang w:eastAsia="en-US"/>
        </w:rPr>
        <w:t xml:space="preserve">určení </w:t>
      </w:r>
      <w:r w:rsidR="0023518A">
        <w:rPr>
          <w:lang w:eastAsia="en-US"/>
        </w:rPr>
        <w:t xml:space="preserve">první </w:t>
      </w:r>
      <w:r w:rsidR="00E73C6D">
        <w:rPr>
          <w:lang w:eastAsia="en-US"/>
        </w:rPr>
        <w:t>substance</w:t>
      </w:r>
      <w:r w:rsidR="08B05F22" w:rsidRPr="003D1E07">
        <w:rPr>
          <w:lang w:eastAsia="en-US"/>
        </w:rPr>
        <w:fldChar w:fldCharType="begin"/>
      </w:r>
      <w:r w:rsidR="08B05F22" w:rsidRPr="003D1E07">
        <w:instrText xml:space="preserve"> XE "pravda:transcendentália" </w:instrText>
      </w:r>
      <w:r w:rsidR="08B05F22" w:rsidRPr="003D1E07">
        <w:rPr>
          <w:lang w:eastAsia="en-US"/>
        </w:rPr>
        <w:fldChar w:fldCharType="end"/>
      </w:r>
      <w:r w:rsidR="08B05F22" w:rsidRPr="003D1E07">
        <w:rPr>
          <w:lang w:eastAsia="en-US"/>
        </w:rPr>
        <w:t xml:space="preserve"> </w:t>
      </w:r>
      <w:r w:rsidR="007A5727" w:rsidRPr="003D1E07">
        <w:rPr>
          <w:lang w:eastAsia="en-US"/>
        </w:rPr>
        <w:t xml:space="preserve">za ontologicky rovnocenné </w:t>
      </w:r>
      <w:r w:rsidR="08B05F22" w:rsidRPr="003D1E07">
        <w:rPr>
          <w:lang w:eastAsia="en-US"/>
        </w:rPr>
        <w:t>(</w:t>
      </w:r>
      <w:r w:rsidR="08B05F22" w:rsidRPr="003D1E07">
        <w:t xml:space="preserve">ἁπλῶς λεγόμενον, </w:t>
      </w:r>
      <w:r w:rsidR="08B05F22" w:rsidRPr="003D1E07">
        <w:rPr>
          <w:i/>
        </w:rPr>
        <w:t>Met</w:t>
      </w:r>
      <w:r w:rsidR="08B05F22" w:rsidRPr="003D1E07">
        <w:t xml:space="preserve">. </w:t>
      </w:r>
      <w:r w:rsidR="08B05F22" w:rsidRPr="003D1E07">
        <w:rPr>
          <w:lang w:eastAsia="en-US"/>
        </w:rPr>
        <w:t>1026a33</w:t>
      </w:r>
      <w:r w:rsidR="08B05F22" w:rsidRPr="003D1E07">
        <w:rPr>
          <w:i/>
          <w:lang w:eastAsia="en-US"/>
        </w:rPr>
        <w:fldChar w:fldCharType="begin"/>
      </w:r>
      <w:r w:rsidR="08B05F22" w:rsidRPr="003D1E07">
        <w:instrText xml:space="preserve"> XE "</w:instrText>
      </w:r>
      <w:r w:rsidR="08B05F22" w:rsidRPr="003D1E07">
        <w:rPr>
          <w:rStyle w:val="Zvraznn"/>
          <w:i w:val="0"/>
        </w:rPr>
        <w:instrText>Aristoteles:</w:instrText>
      </w:r>
      <w:r w:rsidR="08B05F22" w:rsidRPr="003D1E07">
        <w:rPr>
          <w:i/>
          <w:lang w:eastAsia="en-US"/>
        </w:rPr>
        <w:instrText>Met</w:instrText>
      </w:r>
      <w:r w:rsidR="08B05F22" w:rsidRPr="003D1E07">
        <w:rPr>
          <w:lang w:eastAsia="en-US"/>
        </w:rPr>
        <w:instrText>. 1026a33</w:instrText>
      </w:r>
      <w:r w:rsidR="08B05F22" w:rsidRPr="003D1E07">
        <w:instrText xml:space="preserve">" </w:instrText>
      </w:r>
      <w:r w:rsidR="08B05F22" w:rsidRPr="003D1E07">
        <w:rPr>
          <w:i/>
          <w:lang w:eastAsia="en-US"/>
        </w:rPr>
        <w:fldChar w:fldCharType="end"/>
      </w:r>
      <w:r w:rsidR="08B05F22" w:rsidRPr="003D1E07">
        <w:rPr>
          <w:lang w:eastAsia="en-US"/>
        </w:rPr>
        <w:t>). P</w:t>
      </w:r>
      <w:r w:rsidR="08605780" w:rsidRPr="003D1E07">
        <w:rPr>
          <w:lang w:eastAsia="en-US"/>
        </w:rPr>
        <w:t xml:space="preserve">okud lze pravdu predikovat </w:t>
      </w:r>
      <w:r w:rsidR="08B05F22" w:rsidRPr="003D1E07">
        <w:rPr>
          <w:lang w:eastAsia="en-US"/>
        </w:rPr>
        <w:t>v modu amfibolní predikace</w:t>
      </w:r>
      <w:r w:rsidR="08B05F22" w:rsidRPr="003D1E07">
        <w:rPr>
          <w:rStyle w:val="Zkladntext158dkovn0pt"/>
          <w:color w:val="auto"/>
          <w:spacing w:val="0"/>
          <w:sz w:val="24"/>
          <w:lang w:val="cs-CZ"/>
        </w:rPr>
        <w:fldChar w:fldCharType="begin"/>
      </w:r>
      <w:r w:rsidR="08B05F22" w:rsidRPr="003D1E07">
        <w:instrText xml:space="preserve"> XE "</w:instrText>
      </w:r>
      <w:r w:rsidR="08B05F22" w:rsidRPr="003D1E07">
        <w:rPr>
          <w:rStyle w:val="Zkladntext158dkovn0pt"/>
          <w:color w:val="auto"/>
          <w:spacing w:val="0"/>
          <w:sz w:val="24"/>
          <w:lang w:val="cs-CZ"/>
        </w:rPr>
        <w:instrText>predikace:amfibolní</w:instrText>
      </w:r>
      <w:r w:rsidR="08B05F22" w:rsidRPr="003D1E07">
        <w:instrText xml:space="preserve">" </w:instrText>
      </w:r>
      <w:r w:rsidR="08B05F22" w:rsidRPr="003D1E07">
        <w:rPr>
          <w:rStyle w:val="Zkladntext158dkovn0pt"/>
          <w:color w:val="auto"/>
          <w:spacing w:val="0"/>
          <w:sz w:val="24"/>
          <w:lang w:val="cs-CZ"/>
        </w:rPr>
        <w:fldChar w:fldCharType="end"/>
      </w:r>
      <w:r w:rsidR="08B05F22" w:rsidRPr="003D1E07">
        <w:rPr>
          <w:lang w:eastAsia="en-US"/>
        </w:rPr>
        <w:t>, pak patří do kategoriální výpovědi na úrovni univerzální druhé substance</w:t>
      </w:r>
      <w:r w:rsidR="0023518A">
        <w:rPr>
          <w:lang w:eastAsia="en-US"/>
        </w:rPr>
        <w:t xml:space="preserve"> a </w:t>
      </w:r>
      <w:r w:rsidR="00475F5F">
        <w:rPr>
          <w:lang w:eastAsia="en-US"/>
        </w:rPr>
        <w:t xml:space="preserve">současně </w:t>
      </w:r>
      <w:r w:rsidR="0023518A">
        <w:rPr>
          <w:lang w:eastAsia="en-US"/>
        </w:rPr>
        <w:t>reáln</w:t>
      </w:r>
      <w:r w:rsidR="00475F5F">
        <w:rPr>
          <w:lang w:eastAsia="en-US"/>
        </w:rPr>
        <w:t>é</w:t>
      </w:r>
      <w:r w:rsidR="0023518A">
        <w:rPr>
          <w:lang w:eastAsia="en-US"/>
        </w:rPr>
        <w:t xml:space="preserve"> první substance</w:t>
      </w:r>
      <w:r w:rsidR="08B05F22" w:rsidRPr="003D1E07">
        <w:rPr>
          <w:lang w:eastAsia="en-US"/>
        </w:rPr>
        <w:t xml:space="preserve">. Tím vzniklo u Avicenny a v následné moderně asimilační pojetí pravdy, které popírá aristotelskou adekvaci. </w:t>
      </w:r>
      <w:r w:rsidR="0001066E" w:rsidRPr="003D1E07">
        <w:rPr>
          <w:lang w:eastAsia="en-US"/>
        </w:rPr>
        <w:t xml:space="preserve">Moderní intelekt </w:t>
      </w:r>
      <w:r w:rsidR="08F81350" w:rsidRPr="003D1E07">
        <w:rPr>
          <w:lang w:eastAsia="en-US"/>
        </w:rPr>
        <w:t xml:space="preserve">pravdu </w:t>
      </w:r>
      <w:r w:rsidR="0001066E" w:rsidRPr="003D1E07">
        <w:rPr>
          <w:lang w:eastAsia="en-US"/>
        </w:rPr>
        <w:t xml:space="preserve">sbírá do celku vytvořeného </w:t>
      </w:r>
      <w:r w:rsidR="08F81350" w:rsidRPr="003D1E07">
        <w:t>jsoucn</w:t>
      </w:r>
      <w:r w:rsidR="002374D9">
        <w:t>em</w:t>
      </w:r>
      <w:r w:rsidR="000C65D8">
        <w:t xml:space="preserve"> třetího druhu</w:t>
      </w:r>
      <w:r w:rsidR="08F81350" w:rsidRPr="003D1E07">
        <w:t xml:space="preserve">. </w:t>
      </w:r>
      <w:r w:rsidR="081E3E3E" w:rsidRPr="003D1E07">
        <w:t xml:space="preserve">Přímé spojení s objektivním jsoucnem nahradilo aristotelský </w:t>
      </w:r>
      <w:r w:rsidR="089108A9" w:rsidRPr="003D1E07">
        <w:t xml:space="preserve">metafyzický </w:t>
      </w:r>
      <w:r w:rsidR="00500A73">
        <w:t>dativ. T</w:t>
      </w:r>
      <w:r w:rsidR="081E3E3E" w:rsidRPr="003D1E07">
        <w:t xml:space="preserve">ím </w:t>
      </w:r>
      <w:r w:rsidR="00500A73">
        <w:t>zanikla aristotelská kategoritální a</w:t>
      </w:r>
      <w:r w:rsidR="081E3E3E" w:rsidRPr="003D1E07">
        <w:t>dekv</w:t>
      </w:r>
      <w:r w:rsidR="00500A73">
        <w:t xml:space="preserve">ace založená na impozici významu od hyparchických </w:t>
      </w:r>
      <w:r w:rsidR="081E3E3E" w:rsidRPr="003D1E07">
        <w:t>první</w:t>
      </w:r>
      <w:r w:rsidR="00500A73">
        <w:t xml:space="preserve">ch </w:t>
      </w:r>
      <w:r w:rsidR="081E3E3E" w:rsidRPr="003D1E07">
        <w:t>substanc</w:t>
      </w:r>
      <w:r w:rsidR="00500A73">
        <w:t>í na univerzální druhou substanci</w:t>
      </w:r>
      <w:r w:rsidR="081E3E3E" w:rsidRPr="003D1E07">
        <w:rPr>
          <w:lang w:eastAsia="en-US"/>
        </w:rPr>
        <w:t xml:space="preserve">. Spojení se jsoucnem třetího druhu se děje skrze </w:t>
      </w:r>
      <w:r w:rsidR="081E3E3E" w:rsidRPr="003D1E07">
        <w:t xml:space="preserve">přímé spojení </w:t>
      </w:r>
      <w:r w:rsidR="081E3E3E" w:rsidRPr="003D1E07">
        <w:rPr>
          <w:lang w:eastAsia="en-US"/>
        </w:rPr>
        <w:t>(</w:t>
      </w:r>
      <w:r w:rsidR="081E3E3E" w:rsidRPr="003D1E07">
        <w:rPr>
          <w:i/>
          <w:lang w:eastAsia="en-US"/>
        </w:rPr>
        <w:t>coniunctio</w:t>
      </w:r>
      <w:r w:rsidR="081E3E3E" w:rsidRPr="003D1E07">
        <w:rPr>
          <w:lang w:eastAsia="en-US"/>
        </w:rPr>
        <w:t>)</w:t>
      </w:r>
      <w:r w:rsidR="081E3E3E" w:rsidRPr="003D1E07">
        <w:t xml:space="preserve"> </w:t>
      </w:r>
      <w:r w:rsidR="081E3E3E" w:rsidRPr="003D1E07">
        <w:rPr>
          <w:lang w:eastAsia="en-US"/>
        </w:rPr>
        <w:t>individuálního darovaného intelektu</w:t>
      </w:r>
      <w:r w:rsidR="081E3E3E" w:rsidRPr="003D1E07">
        <w:t xml:space="preserve"> (</w:t>
      </w:r>
      <w:r w:rsidR="081E3E3E" w:rsidRPr="003D1E07">
        <w:rPr>
          <w:i/>
        </w:rPr>
        <w:t>intellectus adeptus</w:t>
      </w:r>
      <w:r w:rsidR="081E3E3E" w:rsidRPr="003D1E07">
        <w:t>) s činným intelektem (</w:t>
      </w:r>
      <w:r w:rsidR="081E3E3E" w:rsidRPr="003D1E07">
        <w:rPr>
          <w:i/>
        </w:rPr>
        <w:t>intellectus agens</w:t>
      </w:r>
      <w:r w:rsidR="081E3E3E" w:rsidRPr="003D1E07">
        <w:t>). Toto spojení probíhá v procesu osvícení (</w:t>
      </w:r>
      <w:r w:rsidR="081E3E3E" w:rsidRPr="003D1E07">
        <w:rPr>
          <w:i/>
        </w:rPr>
        <w:t>illuminatio</w:t>
      </w:r>
      <w:r w:rsidR="081E3E3E" w:rsidRPr="003D1E07">
        <w:t xml:space="preserve">) darovaného intelektu </w:t>
      </w:r>
      <w:r w:rsidR="008E433F">
        <w:t xml:space="preserve">v člověku </w:t>
      </w:r>
      <w:r w:rsidR="081E3E3E" w:rsidRPr="003D1E07">
        <w:t xml:space="preserve">skrze </w:t>
      </w:r>
      <w:r w:rsidR="081E3E3E" w:rsidRPr="003D1E07">
        <w:rPr>
          <w:lang w:eastAsia="en-US"/>
        </w:rPr>
        <w:t>oddělený činný intelekt kosmických inteligencí.</w:t>
      </w:r>
      <w:r w:rsidR="08403E01" w:rsidRPr="003D1E07">
        <w:rPr>
          <w:szCs w:val="24"/>
        </w:rPr>
        <w:t xml:space="preserve"> </w:t>
      </w:r>
      <w:r w:rsidR="003B3585" w:rsidRPr="003D1E07">
        <w:rPr>
          <w:lang w:eastAsia="en-US"/>
        </w:rPr>
        <w:t xml:space="preserve">Na druhé straně </w:t>
      </w:r>
      <w:r w:rsidR="005C2AE0" w:rsidRPr="003D1E07">
        <w:rPr>
          <w:lang w:eastAsia="en-US"/>
        </w:rPr>
        <w:t xml:space="preserve">ovšem </w:t>
      </w:r>
      <w:r w:rsidR="003B3585" w:rsidRPr="003D1E07">
        <w:rPr>
          <w:lang w:eastAsia="en-US"/>
        </w:rPr>
        <w:t xml:space="preserve">stojí tvrzení téže </w:t>
      </w:r>
      <w:r w:rsidR="001A29C1" w:rsidRPr="003D1E07">
        <w:rPr>
          <w:lang w:eastAsia="en-US"/>
        </w:rPr>
        <w:t xml:space="preserve">knihy </w:t>
      </w:r>
      <w:r w:rsidR="00DC6C3B" w:rsidRPr="003D1E07">
        <w:rPr>
          <w:i/>
          <w:lang w:eastAsia="en-US"/>
        </w:rPr>
        <w:t>Metafyziky</w:t>
      </w:r>
      <w:r w:rsidR="00DC6C3B" w:rsidRPr="003D1E07">
        <w:rPr>
          <w:lang w:eastAsia="en-US"/>
        </w:rPr>
        <w:t xml:space="preserve"> </w:t>
      </w:r>
      <w:r w:rsidR="005C2AE0" w:rsidRPr="003D1E07">
        <w:rPr>
          <w:lang w:eastAsia="en-US"/>
        </w:rPr>
        <w:t>E</w:t>
      </w:r>
      <w:r w:rsidR="003B3585" w:rsidRPr="003D1E07">
        <w:rPr>
          <w:lang w:eastAsia="en-US"/>
        </w:rPr>
        <w:t xml:space="preserve">, která vylučuje </w:t>
      </w:r>
      <w:r w:rsidR="005908D2" w:rsidRPr="003D1E07">
        <w:rPr>
          <w:lang w:eastAsia="en-US"/>
        </w:rPr>
        <w:t xml:space="preserve">určení </w:t>
      </w:r>
      <w:r w:rsidR="00085BF1" w:rsidRPr="003D1E07">
        <w:rPr>
          <w:lang w:eastAsia="en-US"/>
        </w:rPr>
        <w:t>pravdy</w:t>
      </w:r>
      <w:r w:rsidR="00351DB9" w:rsidRPr="003D1E07">
        <w:rPr>
          <w:lang w:eastAsia="en-US"/>
        </w:rPr>
        <w:t xml:space="preserve"> </w:t>
      </w:r>
      <w:r w:rsidR="007036AA" w:rsidRPr="003D1E07">
        <w:rPr>
          <w:lang w:eastAsia="en-US"/>
        </w:rPr>
        <w:t xml:space="preserve">jako hypostatického jsoucna </w:t>
      </w:r>
      <w:r w:rsidR="00427A44" w:rsidRPr="003D1E07">
        <w:rPr>
          <w:lang w:eastAsia="en-US"/>
        </w:rPr>
        <w:t xml:space="preserve">z </w:t>
      </w:r>
      <w:r w:rsidR="009D4ACF" w:rsidRPr="003D1E07">
        <w:rPr>
          <w:lang w:eastAsia="en-US"/>
        </w:rPr>
        <w:t>první vědy</w:t>
      </w:r>
      <w:r w:rsidR="006340BA" w:rsidRPr="003D1E07">
        <w:rPr>
          <w:lang w:eastAsia="en-US"/>
        </w:rPr>
        <w:t>. P</w:t>
      </w:r>
      <w:r w:rsidR="00BB44FB" w:rsidRPr="003D1E07">
        <w:rPr>
          <w:lang w:eastAsia="en-US"/>
        </w:rPr>
        <w:t>ravda a nepravda nejsou ve věcech</w:t>
      </w:r>
      <w:r w:rsidR="000A2145" w:rsidRPr="003D1E07">
        <w:rPr>
          <w:lang w:eastAsia="en-US"/>
        </w:rPr>
        <w:t xml:space="preserve"> (</w:t>
      </w:r>
      <w:r w:rsidR="000A2145" w:rsidRPr="003D1E07">
        <w:t>οὐ γάρ ἐστι τὸ ψεῦδος καὶ τὸ ἀληθὲς ἐν τοῖς πράγμασιν</w:t>
      </w:r>
      <w:r w:rsidR="000A2145" w:rsidRPr="003D1E07">
        <w:rPr>
          <w:lang w:eastAsia="en-US"/>
        </w:rPr>
        <w:t>)</w:t>
      </w:r>
      <w:r w:rsidR="00BB44FB" w:rsidRPr="003D1E07">
        <w:rPr>
          <w:lang w:eastAsia="en-US"/>
        </w:rPr>
        <w:t>, ale v myšlení (</w:t>
      </w:r>
      <w:r w:rsidR="000A2145" w:rsidRPr="003D1E07">
        <w:t xml:space="preserve">ἀλλ' ἐν διανοίᾳ, </w:t>
      </w:r>
      <w:r w:rsidR="00CB4B33" w:rsidRPr="003D1E07">
        <w:rPr>
          <w:i/>
        </w:rPr>
        <w:t>Met</w:t>
      </w:r>
      <w:r w:rsidR="00CB4B33" w:rsidRPr="003D1E07">
        <w:t xml:space="preserve">. </w:t>
      </w:r>
      <w:r w:rsidR="00BB44FB" w:rsidRPr="003D1E07">
        <w:rPr>
          <w:lang w:eastAsia="en-US"/>
        </w:rPr>
        <w:t>1027b</w:t>
      </w:r>
      <w:r w:rsidR="00653677" w:rsidRPr="003D1E07">
        <w:rPr>
          <w:lang w:eastAsia="en-US"/>
        </w:rPr>
        <w:t>2</w:t>
      </w:r>
      <w:r w:rsidR="00BB44FB" w:rsidRPr="003D1E07">
        <w:rPr>
          <w:lang w:eastAsia="en-US"/>
        </w:rPr>
        <w:t>5</w:t>
      </w:r>
      <w:r w:rsidR="002E49B4" w:rsidRPr="003D1E07">
        <w:rPr>
          <w:lang w:eastAsia="en-US"/>
        </w:rPr>
        <w:t>–</w:t>
      </w:r>
      <w:r w:rsidR="000A2145" w:rsidRPr="003D1E07">
        <w:rPr>
          <w:lang w:eastAsia="en-US"/>
        </w:rPr>
        <w:t>27</w:t>
      </w:r>
      <w:r w:rsidR="001E16F9" w:rsidRPr="003D1E07">
        <w:rPr>
          <w:i/>
          <w:lang w:eastAsia="en-US"/>
        </w:rPr>
        <w:fldChar w:fldCharType="begin"/>
      </w:r>
      <w:r w:rsidR="001E16F9" w:rsidRPr="003D1E07">
        <w:instrText xml:space="preserve"> XE "</w:instrText>
      </w:r>
      <w:r w:rsidR="008E02F5" w:rsidRPr="003D1E07">
        <w:rPr>
          <w:rStyle w:val="Zvraznn"/>
          <w:i w:val="0"/>
        </w:rPr>
        <w:instrText>Aristoteles</w:instrText>
      </w:r>
      <w:r w:rsidR="001E16F9" w:rsidRPr="003D1E07">
        <w:rPr>
          <w:rStyle w:val="Zvraznn"/>
          <w:i w:val="0"/>
        </w:rPr>
        <w:instrText>:</w:instrText>
      </w:r>
      <w:r w:rsidR="001E16F9" w:rsidRPr="003D1E07">
        <w:rPr>
          <w:i/>
          <w:lang w:eastAsia="en-US"/>
        </w:rPr>
        <w:instrText>Met</w:instrText>
      </w:r>
      <w:r w:rsidR="001E16F9" w:rsidRPr="003D1E07">
        <w:rPr>
          <w:lang w:eastAsia="en-US"/>
        </w:rPr>
        <w:instrText>. 1026b25–27</w:instrText>
      </w:r>
      <w:r w:rsidR="001E16F9" w:rsidRPr="003D1E07">
        <w:instrText xml:space="preserve">" </w:instrText>
      </w:r>
      <w:r w:rsidR="001E16F9" w:rsidRPr="003D1E07">
        <w:rPr>
          <w:i/>
          <w:lang w:eastAsia="en-US"/>
        </w:rPr>
        <w:fldChar w:fldCharType="end"/>
      </w:r>
      <w:r w:rsidR="00BB44FB" w:rsidRPr="003D1E07">
        <w:rPr>
          <w:lang w:eastAsia="en-US"/>
        </w:rPr>
        <w:t>).</w:t>
      </w:r>
      <w:r w:rsidR="000A2145" w:rsidRPr="003D1E07">
        <w:rPr>
          <w:lang w:eastAsia="en-US"/>
        </w:rPr>
        <w:t xml:space="preserve"> </w:t>
      </w:r>
      <w:r w:rsidR="002B7662" w:rsidRPr="003D1E07">
        <w:rPr>
          <w:lang w:eastAsia="en-US"/>
        </w:rPr>
        <w:t xml:space="preserve">Určení </w:t>
      </w:r>
      <w:r w:rsidR="00DE4CEA" w:rsidRPr="003D1E07">
        <w:rPr>
          <w:lang w:eastAsia="en-US"/>
        </w:rPr>
        <w:t xml:space="preserve">pravdy </w:t>
      </w:r>
      <w:r w:rsidR="08125DB1" w:rsidRPr="003D1E07">
        <w:rPr>
          <w:lang w:eastAsia="en-US"/>
        </w:rPr>
        <w:t xml:space="preserve">pouze </w:t>
      </w:r>
      <w:r w:rsidR="00111D2A" w:rsidRPr="003D1E07">
        <w:rPr>
          <w:lang w:eastAsia="en-US"/>
        </w:rPr>
        <w:t xml:space="preserve">v myšlení se </w:t>
      </w:r>
      <w:r w:rsidR="00D40241" w:rsidRPr="003D1E07">
        <w:rPr>
          <w:lang w:eastAsia="en-US"/>
        </w:rPr>
        <w:t xml:space="preserve">zásadně </w:t>
      </w:r>
      <w:r w:rsidR="00111D2A" w:rsidRPr="003D1E07">
        <w:rPr>
          <w:lang w:eastAsia="en-US"/>
        </w:rPr>
        <w:t xml:space="preserve">liší od </w:t>
      </w:r>
      <w:r w:rsidR="00211571" w:rsidRPr="003D1E07">
        <w:rPr>
          <w:lang w:eastAsia="en-US"/>
        </w:rPr>
        <w:t xml:space="preserve">bytí </w:t>
      </w:r>
      <w:r w:rsidR="00111D2A" w:rsidRPr="003D1E07">
        <w:rPr>
          <w:lang w:eastAsia="en-US"/>
        </w:rPr>
        <w:t>r</w:t>
      </w:r>
      <w:r w:rsidR="00411EA3" w:rsidRPr="003D1E07">
        <w:rPr>
          <w:lang w:eastAsia="en-US"/>
        </w:rPr>
        <w:t>eálné sub</w:t>
      </w:r>
      <w:r w:rsidR="00111D2A" w:rsidRPr="003D1E07">
        <w:rPr>
          <w:lang w:eastAsia="en-US"/>
        </w:rPr>
        <w:t>stance, která obsahuje</w:t>
      </w:r>
      <w:r w:rsidR="001C3BF3" w:rsidRPr="003D1E07">
        <w:rPr>
          <w:lang w:eastAsia="en-US"/>
        </w:rPr>
        <w:t xml:space="preserve"> původní jed</w:t>
      </w:r>
      <w:r w:rsidR="001A326A" w:rsidRPr="003D1E07">
        <w:rPr>
          <w:lang w:eastAsia="en-US"/>
        </w:rPr>
        <w:t xml:space="preserve">notu </w:t>
      </w:r>
      <w:r w:rsidR="00111D2A" w:rsidRPr="003D1E07">
        <w:rPr>
          <w:lang w:eastAsia="en-US"/>
        </w:rPr>
        <w:t>jsoucího</w:t>
      </w:r>
      <w:r w:rsidR="00DE4CEA" w:rsidRPr="003D1E07">
        <w:rPr>
          <w:lang w:eastAsia="en-US"/>
        </w:rPr>
        <w:t xml:space="preserve">. Dělení bytí </w:t>
      </w:r>
      <w:r w:rsidR="081159F8" w:rsidRPr="003D1E07">
        <w:rPr>
          <w:lang w:eastAsia="en-US"/>
        </w:rPr>
        <w:t xml:space="preserve">v rámci univerzální kategoriální predikace </w:t>
      </w:r>
      <w:r w:rsidR="005E0F36">
        <w:rPr>
          <w:lang w:eastAsia="en-US"/>
        </w:rPr>
        <w:t xml:space="preserve">proto </w:t>
      </w:r>
      <w:r w:rsidR="00A008B8" w:rsidRPr="003D1E07">
        <w:rPr>
          <w:lang w:eastAsia="en-US"/>
        </w:rPr>
        <w:t xml:space="preserve">není </w:t>
      </w:r>
      <w:r w:rsidR="005E0F36">
        <w:rPr>
          <w:lang w:eastAsia="en-US"/>
        </w:rPr>
        <w:t xml:space="preserve">na úrovni existence </w:t>
      </w:r>
      <w:r w:rsidR="00DE4CEA" w:rsidRPr="003D1E07">
        <w:rPr>
          <w:lang w:eastAsia="en-US"/>
        </w:rPr>
        <w:t>první substance</w:t>
      </w:r>
      <w:r w:rsidR="00111D2A" w:rsidRPr="003D1E07">
        <w:rPr>
          <w:lang w:eastAsia="en-US"/>
        </w:rPr>
        <w:t xml:space="preserve"> </w:t>
      </w:r>
      <w:r w:rsidR="001C3BF3" w:rsidRPr="003D1E07">
        <w:rPr>
          <w:lang w:eastAsia="en-US"/>
        </w:rPr>
        <w:t>(</w:t>
      </w:r>
      <w:r w:rsidR="001C3BF3" w:rsidRPr="003D1E07">
        <w:t xml:space="preserve">διαίρεσις ἐν διανοίᾳ ἀλλ' οὐκ ἐν τοῖς πράγμασι, </w:t>
      </w:r>
      <w:r w:rsidR="006F4A00" w:rsidRPr="003D1E07">
        <w:rPr>
          <w:i/>
        </w:rPr>
        <w:t>Met</w:t>
      </w:r>
      <w:r w:rsidR="006F4A00" w:rsidRPr="003D1E07">
        <w:t xml:space="preserve">. </w:t>
      </w:r>
      <w:r w:rsidR="001C3BF3" w:rsidRPr="003D1E07">
        <w:t>1027b30</w:t>
      </w:r>
      <w:r w:rsidR="002E49B4" w:rsidRPr="003D1E07">
        <w:t>–</w:t>
      </w:r>
      <w:r w:rsidR="001C3BF3" w:rsidRPr="003D1E07">
        <w:t>31</w:t>
      </w:r>
      <w:r w:rsidR="001E16F9" w:rsidRPr="003D1E07">
        <w:rPr>
          <w:i/>
          <w:lang w:eastAsia="en-US"/>
        </w:rPr>
        <w:fldChar w:fldCharType="begin"/>
      </w:r>
      <w:r w:rsidR="001E16F9" w:rsidRPr="003D1E07">
        <w:instrText xml:space="preserve"> XE "</w:instrText>
      </w:r>
      <w:r w:rsidR="008E02F5" w:rsidRPr="003D1E07">
        <w:rPr>
          <w:rStyle w:val="Zvraznn"/>
          <w:i w:val="0"/>
        </w:rPr>
        <w:instrText>Aristoteles</w:instrText>
      </w:r>
      <w:r w:rsidR="001E16F9" w:rsidRPr="003D1E07">
        <w:rPr>
          <w:rStyle w:val="Zvraznn"/>
          <w:i w:val="0"/>
        </w:rPr>
        <w:instrText>:</w:instrText>
      </w:r>
      <w:r w:rsidR="001E16F9" w:rsidRPr="003D1E07">
        <w:rPr>
          <w:i/>
          <w:lang w:eastAsia="en-US"/>
        </w:rPr>
        <w:instrText>Met</w:instrText>
      </w:r>
      <w:r w:rsidR="001E16F9" w:rsidRPr="003D1E07">
        <w:rPr>
          <w:lang w:eastAsia="en-US"/>
        </w:rPr>
        <w:instrText>. 1026b30–31</w:instrText>
      </w:r>
      <w:r w:rsidR="001E16F9" w:rsidRPr="003D1E07">
        <w:instrText xml:space="preserve">" </w:instrText>
      </w:r>
      <w:r w:rsidR="001E16F9" w:rsidRPr="003D1E07">
        <w:rPr>
          <w:i/>
          <w:lang w:eastAsia="en-US"/>
        </w:rPr>
        <w:fldChar w:fldCharType="end"/>
      </w:r>
      <w:r w:rsidR="001C3BF3" w:rsidRPr="003D1E07">
        <w:t xml:space="preserve">). </w:t>
      </w:r>
      <w:r w:rsidR="008E02F5" w:rsidRPr="003D1E07">
        <w:rPr>
          <w:lang w:eastAsia="en-US"/>
        </w:rPr>
        <w:t>Aristoteles</w:t>
      </w:r>
      <w:r w:rsidR="009D4ACF" w:rsidRPr="003D1E07">
        <w:rPr>
          <w:lang w:eastAsia="en-US"/>
        </w:rPr>
        <w:t xml:space="preserve"> </w:t>
      </w:r>
      <w:r w:rsidR="00DE4CEA" w:rsidRPr="003D1E07">
        <w:rPr>
          <w:lang w:eastAsia="en-US"/>
        </w:rPr>
        <w:t xml:space="preserve">proto na konci této pasáže </w:t>
      </w:r>
      <w:r w:rsidR="009D4ACF" w:rsidRPr="003D1E07">
        <w:rPr>
          <w:lang w:eastAsia="en-US"/>
        </w:rPr>
        <w:t>výslovně říká, že problém</w:t>
      </w:r>
      <w:r w:rsidR="009F7A95" w:rsidRPr="003D1E07">
        <w:rPr>
          <w:lang w:eastAsia="en-US"/>
        </w:rPr>
        <w:t xml:space="preserve"> bytí jako pravdivého je třeba </w:t>
      </w:r>
      <w:r w:rsidR="00DD17A5" w:rsidRPr="003D1E07">
        <w:rPr>
          <w:lang w:eastAsia="en-US"/>
        </w:rPr>
        <w:t>nechat stranou a z</w:t>
      </w:r>
      <w:r w:rsidR="009D4ACF" w:rsidRPr="003D1E07">
        <w:rPr>
          <w:lang w:eastAsia="en-US"/>
        </w:rPr>
        <w:t>koumání se má soustředit na existující substanci</w:t>
      </w:r>
      <w:r w:rsidR="00DD17A5" w:rsidRPr="003D1E07">
        <w:rPr>
          <w:lang w:eastAsia="en-US"/>
        </w:rPr>
        <w:t xml:space="preserve"> (</w:t>
      </w:r>
      <w:r w:rsidR="00DD17A5" w:rsidRPr="003D1E07">
        <w:rPr>
          <w:i/>
          <w:lang w:eastAsia="en-US"/>
        </w:rPr>
        <w:t>Met</w:t>
      </w:r>
      <w:r w:rsidR="00DD17A5" w:rsidRPr="003D1E07">
        <w:rPr>
          <w:lang w:eastAsia="en-US"/>
        </w:rPr>
        <w:t>. 1027b34</w:t>
      </w:r>
      <w:r w:rsidR="001E16F9" w:rsidRPr="003D1E07">
        <w:rPr>
          <w:i/>
          <w:lang w:eastAsia="en-US"/>
        </w:rPr>
        <w:fldChar w:fldCharType="begin"/>
      </w:r>
      <w:r w:rsidR="001E16F9" w:rsidRPr="003D1E07">
        <w:instrText xml:space="preserve"> XE "</w:instrText>
      </w:r>
      <w:r w:rsidR="008E02F5" w:rsidRPr="003D1E07">
        <w:rPr>
          <w:rStyle w:val="Zvraznn"/>
          <w:i w:val="0"/>
        </w:rPr>
        <w:instrText>Aristoteles</w:instrText>
      </w:r>
      <w:r w:rsidR="001E16F9" w:rsidRPr="003D1E07">
        <w:rPr>
          <w:rStyle w:val="Zvraznn"/>
          <w:i w:val="0"/>
        </w:rPr>
        <w:instrText>:</w:instrText>
      </w:r>
      <w:r w:rsidR="001E16F9" w:rsidRPr="003D1E07">
        <w:rPr>
          <w:i/>
          <w:lang w:eastAsia="en-US"/>
        </w:rPr>
        <w:instrText>Met</w:instrText>
      </w:r>
      <w:r w:rsidR="001E16F9" w:rsidRPr="003D1E07">
        <w:rPr>
          <w:lang w:eastAsia="en-US"/>
        </w:rPr>
        <w:instrText>. 1026b34</w:instrText>
      </w:r>
      <w:r w:rsidR="001E16F9" w:rsidRPr="003D1E07">
        <w:instrText xml:space="preserve">" </w:instrText>
      </w:r>
      <w:r w:rsidR="001E16F9" w:rsidRPr="003D1E07">
        <w:rPr>
          <w:i/>
          <w:lang w:eastAsia="en-US"/>
        </w:rPr>
        <w:fldChar w:fldCharType="end"/>
      </w:r>
      <w:r w:rsidR="00DD17A5" w:rsidRPr="003D1E07">
        <w:rPr>
          <w:lang w:eastAsia="en-US"/>
        </w:rPr>
        <w:t>)</w:t>
      </w:r>
      <w:r w:rsidR="009D4ACF" w:rsidRPr="003D1E07">
        <w:rPr>
          <w:lang w:eastAsia="en-US"/>
        </w:rPr>
        <w:t xml:space="preserve">. </w:t>
      </w:r>
      <w:r w:rsidR="007F782C">
        <w:rPr>
          <w:lang w:eastAsia="en-US"/>
        </w:rPr>
        <w:t xml:space="preserve">Pojem pravdy </w:t>
      </w:r>
      <w:r w:rsidR="00B15A82" w:rsidRPr="003D1E07">
        <w:rPr>
          <w:lang w:eastAsia="en-US"/>
        </w:rPr>
        <w:t>nemůže na</w:t>
      </w:r>
      <w:r w:rsidR="00E1349D" w:rsidRPr="003D1E07">
        <w:rPr>
          <w:lang w:eastAsia="en-US"/>
        </w:rPr>
        <w:t>hradit ak</w:t>
      </w:r>
      <w:r w:rsidR="00B15A82" w:rsidRPr="003D1E07">
        <w:rPr>
          <w:lang w:eastAsia="en-US"/>
        </w:rPr>
        <w:t>tuální existenci věci</w:t>
      </w:r>
      <w:r w:rsidR="00787AF8">
        <w:rPr>
          <w:lang w:eastAsia="en-US"/>
        </w:rPr>
        <w:t xml:space="preserve">. Ta </w:t>
      </w:r>
      <w:r w:rsidR="00B15A82" w:rsidRPr="003D1E07">
        <w:rPr>
          <w:lang w:eastAsia="en-US"/>
        </w:rPr>
        <w:t>se stává bezprostředně zjevnou</w:t>
      </w:r>
      <w:r w:rsidR="00A46FB4" w:rsidRPr="003D1E07">
        <w:rPr>
          <w:lang w:eastAsia="en-US"/>
        </w:rPr>
        <w:t xml:space="preserve"> </w:t>
      </w:r>
      <w:r w:rsidR="00E1349D" w:rsidRPr="003D1E07">
        <w:rPr>
          <w:lang w:eastAsia="en-US"/>
        </w:rPr>
        <w:t>jednoduše tím, že</w:t>
      </w:r>
      <w:r w:rsidR="00787AF8">
        <w:rPr>
          <w:lang w:eastAsia="en-US"/>
        </w:rPr>
        <w:t xml:space="preserve"> vůbec exist</w:t>
      </w:r>
      <w:r w:rsidR="00B9719D">
        <w:rPr>
          <w:lang w:eastAsia="en-US"/>
        </w:rPr>
        <w:t>uje</w:t>
      </w:r>
      <w:r w:rsidR="005C4EF4">
        <w:rPr>
          <w:lang w:eastAsia="en-US"/>
        </w:rPr>
        <w:t xml:space="preserve">. </w:t>
      </w:r>
      <w:r w:rsidR="00CD640D" w:rsidRPr="003D1E07">
        <w:rPr>
          <w:lang w:eastAsia="en-US"/>
        </w:rPr>
        <w:t>K</w:t>
      </w:r>
      <w:r w:rsidR="08B67CF9" w:rsidRPr="003D1E07">
        <w:rPr>
          <w:lang w:eastAsia="en-US"/>
        </w:rPr>
        <w:t>ritéri</w:t>
      </w:r>
      <w:r w:rsidR="00CD640D" w:rsidRPr="003D1E07">
        <w:rPr>
          <w:lang w:eastAsia="en-US"/>
        </w:rPr>
        <w:t xml:space="preserve">um </w:t>
      </w:r>
      <w:r w:rsidR="0010459F" w:rsidRPr="003D1E07">
        <w:rPr>
          <w:lang w:eastAsia="en-US"/>
        </w:rPr>
        <w:t xml:space="preserve">pravdivosti jako sekundárního určení jsoucna </w:t>
      </w:r>
      <w:r w:rsidR="08C15890" w:rsidRPr="003D1E07">
        <w:t>potvrzuje primát první substance</w:t>
      </w:r>
      <w:r w:rsidR="0010459F" w:rsidRPr="003D1E07">
        <w:t xml:space="preserve">, který tvoří jádro gigantomachie </w:t>
      </w:r>
      <w:r w:rsidR="009F5138" w:rsidRPr="003D1E07">
        <w:t>mezi platonismem a aristotelismem</w:t>
      </w:r>
      <w:r w:rsidR="0010459F" w:rsidRPr="003D1E07">
        <w:t xml:space="preserve">. </w:t>
      </w:r>
      <w:r w:rsidR="009877B6" w:rsidRPr="003D1E07">
        <w:rPr>
          <w:lang w:eastAsia="en-US"/>
        </w:rPr>
        <w:t xml:space="preserve">Hledané principy první vědy o jsoucnu musí být podle </w:t>
      </w:r>
      <w:r w:rsidR="00DE1BA9" w:rsidRPr="003D1E07">
        <w:rPr>
          <w:i/>
          <w:lang w:eastAsia="en-US"/>
        </w:rPr>
        <w:t>Fyziky</w:t>
      </w:r>
      <w:r w:rsidR="00DE1BA9" w:rsidRPr="003D1E07">
        <w:rPr>
          <w:lang w:eastAsia="en-US"/>
        </w:rPr>
        <w:t xml:space="preserve"> a </w:t>
      </w:r>
      <w:r w:rsidR="00DE1BA9" w:rsidRPr="003D1E07">
        <w:rPr>
          <w:i/>
          <w:lang w:eastAsia="en-US"/>
        </w:rPr>
        <w:t>Metafyziky</w:t>
      </w:r>
      <w:r w:rsidR="00DE1BA9" w:rsidRPr="003D1E07">
        <w:rPr>
          <w:lang w:eastAsia="en-US"/>
        </w:rPr>
        <w:t xml:space="preserve"> </w:t>
      </w:r>
      <w:r w:rsidR="00F14EAC">
        <w:rPr>
          <w:lang w:eastAsia="en-US"/>
        </w:rPr>
        <w:t>v reálných věcech</w:t>
      </w:r>
      <w:r w:rsidR="009877B6" w:rsidRPr="003D1E07">
        <w:rPr>
          <w:lang w:eastAsia="en-US"/>
        </w:rPr>
        <w:t>, jinak jde hledání zpět k různým formám platonismu.</w:t>
      </w:r>
      <w:r w:rsidR="009877B6" w:rsidRPr="003D1E07">
        <w:t xml:space="preserve"> </w:t>
      </w:r>
      <w:r w:rsidR="00F57FCF" w:rsidRPr="003D1E07">
        <w:t>Jedině p</w:t>
      </w:r>
      <w:r w:rsidR="00FD749E" w:rsidRPr="003D1E07">
        <w:rPr>
          <w:lang w:eastAsia="en-US"/>
        </w:rPr>
        <w:t xml:space="preserve">redikace </w:t>
      </w:r>
      <w:r w:rsidR="00FD749E" w:rsidRPr="003D1E07">
        <w:rPr>
          <w:i/>
          <w:lang w:eastAsia="en-US"/>
        </w:rPr>
        <w:t xml:space="preserve">per </w:t>
      </w:r>
      <w:r w:rsidR="00FD749E" w:rsidRPr="003D1E07">
        <w:rPr>
          <w:i/>
          <w:lang w:eastAsia="en-US"/>
        </w:rPr>
        <w:lastRenderedPageBreak/>
        <w:t>prius</w:t>
      </w:r>
      <w:r w:rsidR="005A0271" w:rsidRPr="003D1E07">
        <w:rPr>
          <w:lang w:eastAsia="en-US"/>
        </w:rPr>
        <w:t xml:space="preserve"> vztažená k první </w:t>
      </w:r>
      <w:r w:rsidR="00FD749E" w:rsidRPr="003D1E07">
        <w:rPr>
          <w:lang w:eastAsia="en-US"/>
        </w:rPr>
        <w:t xml:space="preserve">substanci dává </w:t>
      </w:r>
      <w:r w:rsidR="001B587F" w:rsidRPr="003D1E07">
        <w:rPr>
          <w:lang w:eastAsia="en-US"/>
        </w:rPr>
        <w:t xml:space="preserve">odpověď na </w:t>
      </w:r>
      <w:r w:rsidR="086E4050" w:rsidRPr="003D1E07">
        <w:rPr>
          <w:lang w:eastAsia="en-US"/>
        </w:rPr>
        <w:t xml:space="preserve">Sokratovu </w:t>
      </w:r>
      <w:r w:rsidR="001B587F" w:rsidRPr="003D1E07">
        <w:rPr>
          <w:lang w:eastAsia="en-US"/>
        </w:rPr>
        <w:t>otázku po existující esenci: Co je to</w:t>
      </w:r>
      <w:r w:rsidR="0072078B" w:rsidRPr="003D1E07">
        <w:rPr>
          <w:lang w:eastAsia="en-US"/>
        </w:rPr>
        <w:t xml:space="preserve"> </w:t>
      </w:r>
      <w:r w:rsidR="08403E01" w:rsidRPr="003D1E07">
        <w:rPr>
          <w:szCs w:val="24"/>
        </w:rPr>
        <w:t>(τί ἐστι; kap. 1.2</w:t>
      </w:r>
      <w:r w:rsidR="08403E01" w:rsidRPr="003D1E07">
        <w:rPr>
          <w:i/>
          <w:szCs w:val="24"/>
        </w:rPr>
        <w:fldChar w:fldCharType="begin"/>
      </w:r>
      <w:r w:rsidR="08403E01" w:rsidRPr="003D1E07">
        <w:rPr>
          <w:szCs w:val="24"/>
        </w:rPr>
        <w:instrText xml:space="preserve"> XE "Substanz:τί ἐστι" </w:instrText>
      </w:r>
      <w:r w:rsidR="08403E01" w:rsidRPr="003D1E07">
        <w:rPr>
          <w:i/>
          <w:szCs w:val="24"/>
        </w:rPr>
        <w:fldChar w:fldCharType="end"/>
      </w:r>
      <w:r w:rsidR="08403E01" w:rsidRPr="003D1E07">
        <w:rPr>
          <w:szCs w:val="24"/>
        </w:rPr>
        <w:t xml:space="preserve">)? </w:t>
      </w:r>
      <w:r w:rsidR="0059627F" w:rsidRPr="003D1E07">
        <w:t xml:space="preserve">Hledání první vědy v </w:t>
      </w:r>
      <w:r w:rsidR="0059627F" w:rsidRPr="003D1E07">
        <w:rPr>
          <w:lang w:eastAsia="en-US"/>
        </w:rPr>
        <w:t xml:space="preserve">knihách </w:t>
      </w:r>
      <w:r w:rsidR="0059627F" w:rsidRPr="003D1E07">
        <w:rPr>
          <w:i/>
          <w:lang w:eastAsia="en-US"/>
        </w:rPr>
        <w:t>Metafyziky</w:t>
      </w:r>
      <w:r w:rsidR="0059627F" w:rsidRPr="003D1E07">
        <w:rPr>
          <w:lang w:eastAsia="en-US"/>
        </w:rPr>
        <w:t xml:space="preserve"> Γ, Z</w:t>
      </w:r>
      <w:r w:rsidR="00BA6372" w:rsidRPr="003D1E07">
        <w:rPr>
          <w:lang w:eastAsia="en-US"/>
        </w:rPr>
        <w:t xml:space="preserve">, </w:t>
      </w:r>
      <w:r w:rsidR="0059627F" w:rsidRPr="003D1E07">
        <w:rPr>
          <w:lang w:eastAsia="en-US"/>
        </w:rPr>
        <w:t>H</w:t>
      </w:r>
      <w:r w:rsidR="00F476E7" w:rsidRPr="003D1E07">
        <w:rPr>
          <w:lang w:eastAsia="en-US"/>
        </w:rPr>
        <w:t>,</w:t>
      </w:r>
      <w:r w:rsidR="00BA6372" w:rsidRPr="003D1E07">
        <w:rPr>
          <w:lang w:eastAsia="en-US"/>
        </w:rPr>
        <w:t xml:space="preserve"> a </w:t>
      </w:r>
      <w:r w:rsidR="0054511D">
        <w:rPr>
          <w:lang w:eastAsia="en-US"/>
        </w:rPr>
        <w:t>především kniha</w:t>
      </w:r>
      <w:r w:rsidR="00F476E7" w:rsidRPr="003D1E07">
        <w:rPr>
          <w:lang w:eastAsia="en-US"/>
        </w:rPr>
        <w:t xml:space="preserve"> </w:t>
      </w:r>
      <w:r w:rsidR="00BA6372" w:rsidRPr="003D1E07">
        <w:rPr>
          <w:i/>
          <w:lang w:eastAsia="en-US"/>
        </w:rPr>
        <w:t>Lambda</w:t>
      </w:r>
      <w:r w:rsidR="0059627F" w:rsidRPr="003D1E07">
        <w:rPr>
          <w:lang w:eastAsia="en-US"/>
        </w:rPr>
        <w:t xml:space="preserve"> jde tímto směrem</w:t>
      </w:r>
      <w:r w:rsidR="00B540FE" w:rsidRPr="003D1E07">
        <w:rPr>
          <w:lang w:eastAsia="en-US"/>
        </w:rPr>
        <w:t>. Citované knihy zkoumají</w:t>
      </w:r>
      <w:r w:rsidR="0059627F" w:rsidRPr="003D1E07">
        <w:rPr>
          <w:lang w:eastAsia="en-US"/>
        </w:rPr>
        <w:t xml:space="preserve"> otázku primárních určení existující substance</w:t>
      </w:r>
      <w:r w:rsidR="008A5109" w:rsidRPr="003D1E07">
        <w:rPr>
          <w:lang w:eastAsia="en-US"/>
        </w:rPr>
        <w:t xml:space="preserve"> jako poslední zdroj jednoty </w:t>
      </w:r>
      <w:r w:rsidR="0059627F" w:rsidRPr="003D1E07">
        <w:rPr>
          <w:lang w:eastAsia="en-US"/>
        </w:rPr>
        <w:t>jsoucího.</w:t>
      </w:r>
    </w:p>
    <w:p w14:paraId="2B5824DB" w14:textId="5B0C3D8D" w:rsidR="00AC72D0" w:rsidRPr="003D1E07" w:rsidRDefault="00CE0C3F" w:rsidP="00F83B9A">
      <w:pPr>
        <w:ind w:firstLine="397"/>
        <w:rPr>
          <w:lang w:eastAsia="en-US"/>
        </w:rPr>
      </w:pPr>
      <w:r w:rsidRPr="003D1E07">
        <w:rPr>
          <w:lang w:eastAsia="en-US"/>
        </w:rPr>
        <w:t>Al-</w:t>
      </w:r>
      <w:r w:rsidR="008E02F5" w:rsidRPr="003D1E07">
        <w:rPr>
          <w:lang w:eastAsia="en-US"/>
        </w:rPr>
        <w:t>Fárábí</w:t>
      </w:r>
      <w:r w:rsidRPr="003D1E07">
        <w:rPr>
          <w:lang w:eastAsia="en-US"/>
        </w:rPr>
        <w:t xml:space="preserve"> stojí na křižovatce obou linií metafyziky</w:t>
      </w:r>
      <w:r w:rsidR="081D223F" w:rsidRPr="003D1E07">
        <w:rPr>
          <w:lang w:eastAsia="en-US"/>
        </w:rPr>
        <w:t xml:space="preserve">, protože se snaží harmonizovat učení obou velikánů. </w:t>
      </w:r>
      <w:r w:rsidR="000F66E4" w:rsidRPr="003D1E07">
        <w:t xml:space="preserve">Abunaserovo přesné shrnutí statutu první a druhé substance komentářem </w:t>
      </w:r>
      <w:r w:rsidR="000F66E4" w:rsidRPr="003D1E07">
        <w:rPr>
          <w:i/>
        </w:rPr>
        <w:t>Kategorií</w:t>
      </w:r>
      <w:r w:rsidR="000F66E4" w:rsidRPr="003D1E07">
        <w:t xml:space="preserve"> (</w:t>
      </w:r>
      <w:r w:rsidR="000F66E4" w:rsidRPr="003D1E07">
        <w:rPr>
          <w:i/>
        </w:rPr>
        <w:t>Cat</w:t>
      </w:r>
      <w:r w:rsidR="000F66E4" w:rsidRPr="003D1E07">
        <w:t>. 2a11–16</w:t>
      </w:r>
      <w:r w:rsidR="001E16F9" w:rsidRPr="003D1E07">
        <w:rPr>
          <w:i/>
          <w:lang w:eastAsia="en-US"/>
        </w:rPr>
        <w:fldChar w:fldCharType="begin"/>
      </w:r>
      <w:r w:rsidR="001E16F9" w:rsidRPr="003D1E07">
        <w:instrText xml:space="preserve"> XE "</w:instrText>
      </w:r>
      <w:r w:rsidR="008E02F5" w:rsidRPr="003D1E07">
        <w:rPr>
          <w:rStyle w:val="Zvraznn"/>
          <w:i w:val="0"/>
        </w:rPr>
        <w:instrText>Aristoteles</w:instrText>
      </w:r>
      <w:r w:rsidR="001E16F9" w:rsidRPr="003D1E07">
        <w:rPr>
          <w:rStyle w:val="Zvraznn"/>
          <w:i w:val="0"/>
        </w:rPr>
        <w:instrText>:</w:instrText>
      </w:r>
      <w:r w:rsidR="001E16F9" w:rsidRPr="003D1E07">
        <w:rPr>
          <w:i/>
        </w:rPr>
        <w:instrText>Cat</w:instrText>
      </w:r>
      <w:r w:rsidR="001E16F9" w:rsidRPr="003D1E07">
        <w:instrText xml:space="preserve">. 2a11–16" </w:instrText>
      </w:r>
      <w:r w:rsidR="001E16F9" w:rsidRPr="003D1E07">
        <w:rPr>
          <w:i/>
          <w:lang w:eastAsia="en-US"/>
        </w:rPr>
        <w:fldChar w:fldCharType="end"/>
      </w:r>
      <w:r w:rsidR="000F66E4" w:rsidRPr="003D1E07">
        <w:t xml:space="preserve">) </w:t>
      </w:r>
      <w:r w:rsidR="00A951C8" w:rsidRPr="003D1E07">
        <w:t xml:space="preserve">bylo ukázáno výše </w:t>
      </w:r>
      <w:r w:rsidR="000F66E4" w:rsidRPr="003D1E07">
        <w:t xml:space="preserve">(kap. 2.1). </w:t>
      </w:r>
      <w:r w:rsidR="00D20E95" w:rsidRPr="003D1E07">
        <w:t>Al</w:t>
      </w:r>
      <w:r w:rsidR="00D20E95" w:rsidRPr="003D1E07">
        <w:noBreakHyphen/>
      </w:r>
      <w:r w:rsidR="008E02F5" w:rsidRPr="003D1E07">
        <w:t>Fárábí</w:t>
      </w:r>
      <w:r w:rsidR="002148D7" w:rsidRPr="003D1E07">
        <w:t xml:space="preserve"> v</w:t>
      </w:r>
      <w:r w:rsidR="081D223F" w:rsidRPr="003D1E07">
        <w:rPr>
          <w:lang w:eastAsia="en-US"/>
        </w:rPr>
        <w:t xml:space="preserve">iděl zásadní význam kategoriální predikace </w:t>
      </w:r>
      <w:r w:rsidR="08605892" w:rsidRPr="003D1E07">
        <w:rPr>
          <w:lang w:eastAsia="en-US"/>
        </w:rPr>
        <w:t>při zakládání první vědy. A</w:t>
      </w:r>
      <w:r w:rsidR="081D223F" w:rsidRPr="003D1E07">
        <w:rPr>
          <w:lang w:eastAsia="en-US"/>
        </w:rPr>
        <w:t xml:space="preserve">le </w:t>
      </w:r>
      <w:r w:rsidRPr="003D1E07">
        <w:rPr>
          <w:lang w:eastAsia="en-US"/>
        </w:rPr>
        <w:t>n</w:t>
      </w:r>
      <w:r w:rsidR="00423EE8" w:rsidRPr="003D1E07">
        <w:rPr>
          <w:lang w:eastAsia="en-US"/>
        </w:rPr>
        <w:t xml:space="preserve">echtěl </w:t>
      </w:r>
      <w:r w:rsidR="081D223F" w:rsidRPr="003D1E07">
        <w:rPr>
          <w:lang w:eastAsia="en-US"/>
        </w:rPr>
        <w:t xml:space="preserve">se </w:t>
      </w:r>
      <w:r w:rsidR="00423EE8" w:rsidRPr="003D1E07">
        <w:rPr>
          <w:lang w:eastAsia="en-US"/>
        </w:rPr>
        <w:t xml:space="preserve">rozloučit s </w:t>
      </w:r>
      <w:r w:rsidR="00874074" w:rsidRPr="003D1E07">
        <w:rPr>
          <w:lang w:eastAsia="en-US"/>
        </w:rPr>
        <w:t>neoplatonsk</w:t>
      </w:r>
      <w:r w:rsidR="00423EE8" w:rsidRPr="003D1E07">
        <w:rPr>
          <w:lang w:eastAsia="en-US"/>
        </w:rPr>
        <w:t xml:space="preserve">ým pojetím pravdy </w:t>
      </w:r>
      <w:r w:rsidR="0082442C" w:rsidRPr="003D1E07">
        <w:rPr>
          <w:lang w:eastAsia="en-US"/>
        </w:rPr>
        <w:t>jako fundamentálního</w:t>
      </w:r>
      <w:r w:rsidR="00BD1E93" w:rsidRPr="003D1E07">
        <w:rPr>
          <w:lang w:eastAsia="en-US"/>
        </w:rPr>
        <w:t xml:space="preserve"> určení</w:t>
      </w:r>
      <w:r w:rsidR="0082442C" w:rsidRPr="003D1E07">
        <w:rPr>
          <w:lang w:eastAsia="en-US"/>
        </w:rPr>
        <w:t xml:space="preserve"> Jednoho</w:t>
      </w:r>
      <w:r w:rsidR="00BD1E93" w:rsidRPr="003D1E07">
        <w:rPr>
          <w:lang w:eastAsia="en-US"/>
        </w:rPr>
        <w:t>-Bytí</w:t>
      </w:r>
      <w:r w:rsidRPr="003D1E07">
        <w:rPr>
          <w:lang w:eastAsia="en-US"/>
        </w:rPr>
        <w:t>.</w:t>
      </w:r>
      <w:r w:rsidR="00787743" w:rsidRPr="003D1E07">
        <w:rPr>
          <w:lang w:eastAsia="en-US"/>
        </w:rPr>
        <w:t xml:space="preserve"> </w:t>
      </w:r>
      <w:r w:rsidR="002E3B62" w:rsidRPr="003D1E07">
        <w:rPr>
          <w:lang w:eastAsia="en-US"/>
        </w:rPr>
        <w:t>Averroes</w:t>
      </w:r>
      <w:r w:rsidR="00787743" w:rsidRPr="003D1E07">
        <w:rPr>
          <w:lang w:eastAsia="en-US"/>
        </w:rPr>
        <w:t xml:space="preserve"> tento </w:t>
      </w:r>
      <w:r w:rsidR="08605892" w:rsidRPr="003D1E07">
        <w:rPr>
          <w:lang w:eastAsia="en-US"/>
        </w:rPr>
        <w:t xml:space="preserve">druhý </w:t>
      </w:r>
      <w:r w:rsidR="00787743" w:rsidRPr="003D1E07">
        <w:rPr>
          <w:lang w:eastAsia="en-US"/>
        </w:rPr>
        <w:t>krok udělal a vytvořil novou verzi metafyziky.</w:t>
      </w:r>
      <w:r w:rsidR="00E45B01" w:rsidRPr="003D1E07">
        <w:rPr>
          <w:lang w:eastAsia="en-US"/>
        </w:rPr>
        <w:t xml:space="preserve"> </w:t>
      </w:r>
      <w:r w:rsidR="00E700F5" w:rsidRPr="003D1E07">
        <w:rPr>
          <w:lang w:eastAsia="en-US"/>
        </w:rPr>
        <w:t xml:space="preserve">Odmítl dualismus daný dvojím výkladem </w:t>
      </w:r>
      <w:r w:rsidR="00E700F5" w:rsidRPr="003D1E07">
        <w:rPr>
          <w:i/>
          <w:lang w:eastAsia="en-US"/>
        </w:rPr>
        <w:t>Metafyziky</w:t>
      </w:r>
      <w:r w:rsidR="00E700F5" w:rsidRPr="003D1E07">
        <w:rPr>
          <w:lang w:eastAsia="en-US"/>
        </w:rPr>
        <w:t xml:space="preserve"> a primát dal pouze aktuální substanci jako jedinému zdroji univoční predikace. </w:t>
      </w:r>
      <w:r w:rsidR="00C6135D" w:rsidRPr="003D1E07">
        <w:rPr>
          <w:lang w:eastAsia="en-US"/>
        </w:rPr>
        <w:t xml:space="preserve">Filosof </w:t>
      </w:r>
      <w:r w:rsidR="085D284B" w:rsidRPr="003D1E07">
        <w:rPr>
          <w:lang w:eastAsia="en-US"/>
        </w:rPr>
        <w:t xml:space="preserve">Manlius Boethius </w:t>
      </w:r>
      <w:r w:rsidR="00C6135D" w:rsidRPr="003D1E07">
        <w:rPr>
          <w:lang w:eastAsia="en-US"/>
        </w:rPr>
        <w:t xml:space="preserve">na latinském Západě </w:t>
      </w:r>
      <w:r w:rsidR="085D284B" w:rsidRPr="003D1E07">
        <w:rPr>
          <w:lang w:eastAsia="en-US"/>
        </w:rPr>
        <w:t>(</w:t>
      </w:r>
      <w:r w:rsidR="08ED12B2" w:rsidRPr="003D1E07">
        <w:rPr>
          <w:lang w:eastAsia="en-US"/>
        </w:rPr>
        <w:t>OBJ II, kap. 1</w:t>
      </w:r>
      <w:r w:rsidR="085D284B" w:rsidRPr="003D1E07">
        <w:rPr>
          <w:lang w:eastAsia="en-US"/>
        </w:rPr>
        <w:t xml:space="preserve">.1) a </w:t>
      </w:r>
      <w:r w:rsidR="08003E12" w:rsidRPr="003D1E07">
        <w:rPr>
          <w:lang w:eastAsia="en-US"/>
        </w:rPr>
        <w:t xml:space="preserve">Komentátor </w:t>
      </w:r>
      <w:r w:rsidR="00C6135D" w:rsidRPr="003D1E07">
        <w:rPr>
          <w:lang w:eastAsia="en-US"/>
        </w:rPr>
        <w:t xml:space="preserve">ve falsafě </w:t>
      </w:r>
      <w:r w:rsidR="08003E12" w:rsidRPr="003D1E07">
        <w:rPr>
          <w:lang w:eastAsia="en-US"/>
        </w:rPr>
        <w:t>b</w:t>
      </w:r>
      <w:r w:rsidR="008A718D" w:rsidRPr="003D1E07">
        <w:rPr>
          <w:lang w:eastAsia="en-US"/>
        </w:rPr>
        <w:t>yl</w:t>
      </w:r>
      <w:r w:rsidR="085D284B" w:rsidRPr="003D1E07">
        <w:rPr>
          <w:lang w:eastAsia="en-US"/>
        </w:rPr>
        <w:t>i</w:t>
      </w:r>
      <w:r w:rsidR="008A718D" w:rsidRPr="003D1E07">
        <w:rPr>
          <w:lang w:eastAsia="en-US"/>
        </w:rPr>
        <w:t xml:space="preserve"> první filosof</w:t>
      </w:r>
      <w:r w:rsidR="085D284B" w:rsidRPr="003D1E07">
        <w:rPr>
          <w:lang w:eastAsia="en-US"/>
        </w:rPr>
        <w:t>ové</w:t>
      </w:r>
      <w:r w:rsidR="0097267C" w:rsidRPr="003D1E07">
        <w:rPr>
          <w:lang w:eastAsia="en-US"/>
        </w:rPr>
        <w:t xml:space="preserve"> po antice</w:t>
      </w:r>
      <w:r w:rsidR="085D284B" w:rsidRPr="003D1E07">
        <w:rPr>
          <w:lang w:eastAsia="en-US"/>
        </w:rPr>
        <w:t xml:space="preserve">, kteří </w:t>
      </w:r>
      <w:r w:rsidR="008A718D" w:rsidRPr="003D1E07">
        <w:rPr>
          <w:lang w:eastAsia="en-US"/>
        </w:rPr>
        <w:t>metafyzickou volbu vztaženou k</w:t>
      </w:r>
      <w:r w:rsidR="08582338" w:rsidRPr="003D1E07">
        <w:rPr>
          <w:lang w:eastAsia="en-US"/>
        </w:rPr>
        <w:t xml:space="preserve"> první </w:t>
      </w:r>
      <w:r w:rsidR="008A718D" w:rsidRPr="003D1E07">
        <w:rPr>
          <w:lang w:eastAsia="en-US"/>
        </w:rPr>
        <w:t xml:space="preserve">substanci </w:t>
      </w:r>
      <w:r w:rsidR="085B0376" w:rsidRPr="003D1E07">
        <w:rPr>
          <w:lang w:eastAsia="en-US"/>
        </w:rPr>
        <w:t>pochopil</w:t>
      </w:r>
      <w:r w:rsidR="085D284B" w:rsidRPr="003D1E07">
        <w:rPr>
          <w:lang w:eastAsia="en-US"/>
        </w:rPr>
        <w:t>i</w:t>
      </w:r>
      <w:r w:rsidR="085B0376" w:rsidRPr="003D1E07">
        <w:rPr>
          <w:lang w:eastAsia="en-US"/>
        </w:rPr>
        <w:t xml:space="preserve"> </w:t>
      </w:r>
      <w:r w:rsidR="008A718D" w:rsidRPr="003D1E07">
        <w:rPr>
          <w:lang w:eastAsia="en-US"/>
        </w:rPr>
        <w:t xml:space="preserve">jako </w:t>
      </w:r>
      <w:r w:rsidR="00183B85" w:rsidRPr="003D1E07">
        <w:rPr>
          <w:lang w:eastAsia="en-US"/>
        </w:rPr>
        <w:t xml:space="preserve">fundamentální </w:t>
      </w:r>
      <w:r w:rsidR="008A718D" w:rsidRPr="003D1E07">
        <w:rPr>
          <w:lang w:eastAsia="en-US"/>
        </w:rPr>
        <w:t xml:space="preserve">projekt </w:t>
      </w:r>
      <w:r w:rsidR="002166C0" w:rsidRPr="003D1E07">
        <w:rPr>
          <w:i/>
          <w:lang w:eastAsia="en-US"/>
        </w:rPr>
        <w:t>Fyziky</w:t>
      </w:r>
      <w:r w:rsidR="002166C0" w:rsidRPr="003D1E07">
        <w:rPr>
          <w:lang w:eastAsia="en-US"/>
        </w:rPr>
        <w:t xml:space="preserve"> a </w:t>
      </w:r>
      <w:r w:rsidR="002166C0" w:rsidRPr="003D1E07">
        <w:rPr>
          <w:i/>
          <w:lang w:eastAsia="en-US"/>
        </w:rPr>
        <w:t>Metafyziky</w:t>
      </w:r>
      <w:r w:rsidR="002166C0" w:rsidRPr="003D1E07">
        <w:rPr>
          <w:lang w:eastAsia="en-US"/>
        </w:rPr>
        <w:t xml:space="preserve"> a výkladu poznání podle </w:t>
      </w:r>
      <w:r w:rsidR="002166C0" w:rsidRPr="003D1E07">
        <w:rPr>
          <w:i/>
          <w:lang w:eastAsia="en-US"/>
        </w:rPr>
        <w:t>De anima</w:t>
      </w:r>
      <w:r w:rsidR="002166C0" w:rsidRPr="003D1E07">
        <w:rPr>
          <w:lang w:eastAsia="en-US"/>
        </w:rPr>
        <w:t xml:space="preserve">. </w:t>
      </w:r>
      <w:r w:rsidR="002E3B62" w:rsidRPr="003D1E07">
        <w:t>Averroes</w:t>
      </w:r>
      <w:r w:rsidR="08D50CB7" w:rsidRPr="003D1E07">
        <w:t>ův raný komentář k </w:t>
      </w:r>
      <w:r w:rsidR="08D50CB7" w:rsidRPr="003D1E07">
        <w:rPr>
          <w:i/>
        </w:rPr>
        <w:t>Metafyzice</w:t>
      </w:r>
      <w:r w:rsidR="08D50CB7" w:rsidRPr="003D1E07">
        <w:t xml:space="preserve"> zná </w:t>
      </w:r>
      <w:r w:rsidR="001E16F9" w:rsidRPr="003D1E07">
        <w:t xml:space="preserve">citovanou </w:t>
      </w:r>
      <w:r w:rsidR="08D50CB7" w:rsidRPr="003D1E07">
        <w:t xml:space="preserve">aporii </w:t>
      </w:r>
      <w:r w:rsidR="001E16F9" w:rsidRPr="003D1E07">
        <w:t xml:space="preserve">ohledně pravdy </w:t>
      </w:r>
      <w:r w:rsidR="08D50CB7" w:rsidRPr="003D1E07">
        <w:t>z knihy E</w:t>
      </w:r>
      <w:r w:rsidR="00881EAF" w:rsidRPr="003D1E07">
        <w:t>, ale s</w:t>
      </w:r>
      <w:r w:rsidR="08D50CB7" w:rsidRPr="003D1E07">
        <w:t xml:space="preserve">pis </w:t>
      </w:r>
      <w:r w:rsidR="08D50CB7" w:rsidRPr="003D1E07">
        <w:rPr>
          <w:i/>
        </w:rPr>
        <w:t>Epitome</w:t>
      </w:r>
      <w:r w:rsidR="08D50CB7" w:rsidRPr="003D1E07">
        <w:t xml:space="preserve"> ji vysvětluje podle </w:t>
      </w:r>
      <w:r w:rsidR="00D81F1D" w:rsidRPr="003D1E07">
        <w:t>hyparchické predikace dané od první substance</w:t>
      </w:r>
      <w:r w:rsidR="08D50CB7" w:rsidRPr="003D1E07">
        <w:t>.</w:t>
      </w:r>
      <w:r w:rsidR="00D81F1D" w:rsidRPr="003D1E07">
        <w:rPr>
          <w:rStyle w:val="Znakapoznpodarou"/>
          <w:lang w:eastAsia="en-US"/>
        </w:rPr>
        <w:footnoteReference w:id="190"/>
      </w:r>
      <w:r w:rsidR="00D81F1D" w:rsidRPr="003D1E07">
        <w:t xml:space="preserve"> </w:t>
      </w:r>
      <w:r w:rsidR="08411F5D" w:rsidRPr="003D1E07">
        <w:rPr>
          <w:lang w:eastAsia="en-US"/>
        </w:rPr>
        <w:t xml:space="preserve">Důvod volby pro tuto variantu výkladu </w:t>
      </w:r>
      <w:r w:rsidR="08411F5D" w:rsidRPr="003D1E07">
        <w:rPr>
          <w:i/>
          <w:lang w:eastAsia="en-US"/>
        </w:rPr>
        <w:t>Metafyziky</w:t>
      </w:r>
      <w:r w:rsidR="08411F5D" w:rsidRPr="003D1E07">
        <w:rPr>
          <w:lang w:eastAsia="en-US"/>
        </w:rPr>
        <w:t xml:space="preserve"> je </w:t>
      </w:r>
      <w:r w:rsidR="081D7D85" w:rsidRPr="003D1E07">
        <w:rPr>
          <w:lang w:eastAsia="en-US"/>
        </w:rPr>
        <w:t xml:space="preserve">daný podle primátu aristotelského </w:t>
      </w:r>
      <w:r w:rsidR="089108A9" w:rsidRPr="003D1E07">
        <w:t xml:space="preserve">metafyzického </w:t>
      </w:r>
      <w:r w:rsidR="081D7D85" w:rsidRPr="003D1E07">
        <w:rPr>
          <w:lang w:eastAsia="en-US"/>
        </w:rPr>
        <w:t>dativu</w:t>
      </w:r>
      <w:r w:rsidR="08411F5D" w:rsidRPr="003D1E07">
        <w:rPr>
          <w:lang w:eastAsia="en-US"/>
        </w:rPr>
        <w:t xml:space="preserve">. Predikace </w:t>
      </w:r>
      <w:r w:rsidR="08411F5D" w:rsidRPr="003D1E07">
        <w:rPr>
          <w:i/>
          <w:lang w:eastAsia="en-US"/>
        </w:rPr>
        <w:t>per prius</w:t>
      </w:r>
      <w:r w:rsidR="08411F5D" w:rsidRPr="003D1E07">
        <w:rPr>
          <w:lang w:eastAsia="en-US"/>
        </w:rPr>
        <w:t xml:space="preserve"> </w:t>
      </w:r>
      <w:r w:rsidR="001E16F9" w:rsidRPr="003D1E07">
        <w:rPr>
          <w:i/>
          <w:lang w:eastAsia="en-US"/>
        </w:rPr>
        <w:fldChar w:fldCharType="begin"/>
      </w:r>
      <w:r w:rsidR="001E16F9" w:rsidRPr="003D1E07">
        <w:instrText xml:space="preserve"> XE "predikace:</w:instrText>
      </w:r>
      <w:r w:rsidR="001E16F9" w:rsidRPr="003D1E07">
        <w:rPr>
          <w:i/>
        </w:rPr>
        <w:instrText>per prius</w:instrText>
      </w:r>
      <w:r w:rsidR="001E16F9" w:rsidRPr="003D1E07">
        <w:instrText xml:space="preserve">" </w:instrText>
      </w:r>
      <w:r w:rsidR="001E16F9" w:rsidRPr="003D1E07">
        <w:rPr>
          <w:i/>
          <w:lang w:eastAsia="en-US"/>
        </w:rPr>
        <w:fldChar w:fldCharType="end"/>
      </w:r>
      <w:r w:rsidR="08411F5D" w:rsidRPr="003D1E07">
        <w:rPr>
          <w:lang w:eastAsia="en-US"/>
        </w:rPr>
        <w:t xml:space="preserve">jde nejprve k aktuální substanci, protože bez její reálné existence bychom o pravdivosti </w:t>
      </w:r>
      <w:r w:rsidR="089C041A" w:rsidRPr="003D1E07">
        <w:rPr>
          <w:lang w:eastAsia="en-US"/>
        </w:rPr>
        <w:t>nic nevěděli</w:t>
      </w:r>
      <w:r w:rsidR="08411F5D" w:rsidRPr="003D1E07">
        <w:rPr>
          <w:lang w:eastAsia="en-US"/>
        </w:rPr>
        <w:t xml:space="preserve">. </w:t>
      </w:r>
      <w:r w:rsidR="00AF7515" w:rsidRPr="003D1E07">
        <w:rPr>
          <w:lang w:eastAsia="en-US"/>
        </w:rPr>
        <w:t>D</w:t>
      </w:r>
      <w:r w:rsidR="00B8494F" w:rsidRPr="003D1E07">
        <w:rPr>
          <w:lang w:eastAsia="en-US"/>
        </w:rPr>
        <w:t xml:space="preserve">anost aktuální věci v reálu nemůže být </w:t>
      </w:r>
      <w:r w:rsidR="0076332F" w:rsidRPr="003D1E07">
        <w:rPr>
          <w:lang w:eastAsia="en-US"/>
        </w:rPr>
        <w:t xml:space="preserve">nejasná nebo </w:t>
      </w:r>
      <w:r w:rsidR="00B8494F" w:rsidRPr="003D1E07">
        <w:rPr>
          <w:lang w:eastAsia="en-US"/>
        </w:rPr>
        <w:t>mylná</w:t>
      </w:r>
      <w:r w:rsidR="00AF7515" w:rsidRPr="003D1E07">
        <w:rPr>
          <w:lang w:eastAsia="en-US"/>
        </w:rPr>
        <w:t>, protože věc je tím, čím sama je</w:t>
      </w:r>
      <w:r w:rsidR="0076332F" w:rsidRPr="003D1E07">
        <w:rPr>
          <w:lang w:eastAsia="en-US"/>
        </w:rPr>
        <w:t>. O</w:t>
      </w:r>
      <w:r w:rsidR="00B8494F" w:rsidRPr="003D1E07">
        <w:rPr>
          <w:lang w:eastAsia="en-US"/>
        </w:rPr>
        <w:t xml:space="preserve">myl vzniká </w:t>
      </w:r>
      <w:r w:rsidR="084A15A4" w:rsidRPr="003D1E07">
        <w:rPr>
          <w:lang w:eastAsia="en-US"/>
        </w:rPr>
        <w:t xml:space="preserve">podle </w:t>
      </w:r>
      <w:r w:rsidR="080619BB" w:rsidRPr="003D1E07">
        <w:rPr>
          <w:lang w:eastAsia="en-US"/>
        </w:rPr>
        <w:t xml:space="preserve">výkladu </w:t>
      </w:r>
      <w:r w:rsidR="080619BB" w:rsidRPr="003D1E07">
        <w:rPr>
          <w:i/>
          <w:lang w:eastAsia="en-US"/>
        </w:rPr>
        <w:t>Metafyziky</w:t>
      </w:r>
      <w:r w:rsidR="080619BB" w:rsidRPr="003D1E07">
        <w:rPr>
          <w:lang w:eastAsia="en-US"/>
        </w:rPr>
        <w:t xml:space="preserve"> </w:t>
      </w:r>
      <w:r w:rsidR="00B8494F" w:rsidRPr="003D1E07">
        <w:rPr>
          <w:lang w:eastAsia="en-US"/>
        </w:rPr>
        <w:t>až v mysli poznávajícího (</w:t>
      </w:r>
      <w:r w:rsidR="00B8494F" w:rsidRPr="003D1E07">
        <w:rPr>
          <w:i/>
        </w:rPr>
        <w:t>Met</w:t>
      </w:r>
      <w:r w:rsidR="00B8494F" w:rsidRPr="003D1E07">
        <w:t>. 1027b30–31</w:t>
      </w:r>
      <w:r w:rsidR="001E16F9" w:rsidRPr="003D1E07">
        <w:rPr>
          <w:i/>
          <w:lang w:eastAsia="en-US"/>
        </w:rPr>
        <w:fldChar w:fldCharType="begin"/>
      </w:r>
      <w:r w:rsidR="001E16F9" w:rsidRPr="003D1E07">
        <w:instrText xml:space="preserve"> XE "</w:instrText>
      </w:r>
      <w:r w:rsidR="008E02F5" w:rsidRPr="003D1E07">
        <w:rPr>
          <w:rStyle w:val="Zvraznn"/>
          <w:i w:val="0"/>
        </w:rPr>
        <w:instrText>Aristoteles</w:instrText>
      </w:r>
      <w:r w:rsidR="001E16F9" w:rsidRPr="003D1E07">
        <w:rPr>
          <w:rStyle w:val="Zvraznn"/>
          <w:i w:val="0"/>
        </w:rPr>
        <w:instrText>:</w:instrText>
      </w:r>
      <w:r w:rsidR="001E16F9" w:rsidRPr="003D1E07">
        <w:rPr>
          <w:i/>
          <w:lang w:eastAsia="en-US"/>
        </w:rPr>
        <w:instrText>Met</w:instrText>
      </w:r>
      <w:r w:rsidR="001E16F9" w:rsidRPr="003D1E07">
        <w:rPr>
          <w:lang w:eastAsia="en-US"/>
        </w:rPr>
        <w:instrText>. 1026b30–31</w:instrText>
      </w:r>
      <w:r w:rsidR="001E16F9" w:rsidRPr="003D1E07">
        <w:instrText xml:space="preserve">" </w:instrText>
      </w:r>
      <w:r w:rsidR="001E16F9" w:rsidRPr="003D1E07">
        <w:rPr>
          <w:i/>
          <w:lang w:eastAsia="en-US"/>
        </w:rPr>
        <w:fldChar w:fldCharType="end"/>
      </w:r>
      <w:r w:rsidR="00B8494F" w:rsidRPr="003D1E07">
        <w:rPr>
          <w:lang w:eastAsia="en-US"/>
        </w:rPr>
        <w:t>).</w:t>
      </w:r>
      <w:bookmarkStart w:id="58" w:name="_Ref377722435"/>
      <w:r w:rsidR="00B8494F" w:rsidRPr="003D1E07">
        <w:rPr>
          <w:rStyle w:val="Znakapoznpodarou"/>
          <w:lang w:eastAsia="en-US"/>
        </w:rPr>
        <w:footnoteReference w:id="191"/>
      </w:r>
      <w:bookmarkEnd w:id="58"/>
      <w:r w:rsidR="00B8494F" w:rsidRPr="003D1E07">
        <w:rPr>
          <w:lang w:eastAsia="en-US"/>
        </w:rPr>
        <w:t xml:space="preserve"> </w:t>
      </w:r>
      <w:r w:rsidR="00AA700F" w:rsidRPr="003D1E07">
        <w:rPr>
          <w:lang w:eastAsia="en-US"/>
        </w:rPr>
        <w:t xml:space="preserve">Za bytím </w:t>
      </w:r>
      <w:r w:rsidR="003E5511" w:rsidRPr="003D1E07">
        <w:rPr>
          <w:lang w:eastAsia="en-US"/>
        </w:rPr>
        <w:t xml:space="preserve">reálné </w:t>
      </w:r>
      <w:r w:rsidR="00AA700F" w:rsidRPr="003D1E07">
        <w:rPr>
          <w:lang w:eastAsia="en-US"/>
        </w:rPr>
        <w:t>první</w:t>
      </w:r>
      <w:r w:rsidR="008A718D" w:rsidRPr="003D1E07">
        <w:rPr>
          <w:lang w:eastAsia="en-US"/>
        </w:rPr>
        <w:t xml:space="preserve"> substance už nic </w:t>
      </w:r>
      <w:r w:rsidR="00036852" w:rsidRPr="003D1E07">
        <w:rPr>
          <w:lang w:eastAsia="en-US"/>
        </w:rPr>
        <w:t xml:space="preserve">aktuálně </w:t>
      </w:r>
      <w:r w:rsidR="008A718D" w:rsidRPr="003D1E07">
        <w:rPr>
          <w:lang w:eastAsia="en-US"/>
        </w:rPr>
        <w:t>reálného není</w:t>
      </w:r>
      <w:r w:rsidR="081D7D85" w:rsidRPr="003D1E07">
        <w:rPr>
          <w:lang w:eastAsia="en-US"/>
        </w:rPr>
        <w:t xml:space="preserve">. Objektivní bytí </w:t>
      </w:r>
      <w:r w:rsidR="002A5B46" w:rsidRPr="003D1E07">
        <w:rPr>
          <w:lang w:eastAsia="en-US"/>
        </w:rPr>
        <w:t xml:space="preserve">nemá </w:t>
      </w:r>
      <w:r w:rsidR="081D7D85" w:rsidRPr="003D1E07">
        <w:rPr>
          <w:lang w:eastAsia="en-US"/>
        </w:rPr>
        <w:t xml:space="preserve">žádnou možnost, jak aktuálně být na </w:t>
      </w:r>
      <w:r w:rsidR="00CB61F6" w:rsidRPr="003D1E07">
        <w:rPr>
          <w:lang w:eastAsia="en-US"/>
        </w:rPr>
        <w:t>úrovni prvních substancí, ať už materiálních nebo nemateriálních</w:t>
      </w:r>
      <w:r w:rsidR="003E5511" w:rsidRPr="003D1E07">
        <w:rPr>
          <w:lang w:eastAsia="en-US"/>
        </w:rPr>
        <w:t>.</w:t>
      </w:r>
      <w:r w:rsidR="00AA700F" w:rsidRPr="003D1E07">
        <w:rPr>
          <w:lang w:eastAsia="en-US"/>
        </w:rPr>
        <w:t xml:space="preserve"> </w:t>
      </w:r>
      <w:r w:rsidR="00BB04B0" w:rsidRPr="003D1E07">
        <w:rPr>
          <w:lang w:eastAsia="en-US"/>
        </w:rPr>
        <w:t>Poznání začíná u existence těles vnímaných smysly a postupuje k nemateriálním a</w:t>
      </w:r>
      <w:r w:rsidR="00F6311E" w:rsidRPr="003D1E07">
        <w:rPr>
          <w:lang w:eastAsia="en-US"/>
        </w:rPr>
        <w:t xml:space="preserve"> odděleným kosmickým substancím</w:t>
      </w:r>
      <w:r w:rsidR="00BB04B0" w:rsidRPr="003D1E07">
        <w:rPr>
          <w:lang w:eastAsia="en-US"/>
        </w:rPr>
        <w:t xml:space="preserve">. </w:t>
      </w:r>
      <w:r w:rsidR="0032057C" w:rsidRPr="003D1E07">
        <w:rPr>
          <w:lang w:eastAsia="en-US"/>
        </w:rPr>
        <w:t>Tento směr Aristotelovy fi</w:t>
      </w:r>
      <w:r w:rsidR="00193B13" w:rsidRPr="003D1E07">
        <w:rPr>
          <w:lang w:eastAsia="en-US"/>
        </w:rPr>
        <w:t>l</w:t>
      </w:r>
      <w:r w:rsidR="0032057C" w:rsidRPr="003D1E07">
        <w:rPr>
          <w:lang w:eastAsia="en-US"/>
        </w:rPr>
        <w:t>o</w:t>
      </w:r>
      <w:r w:rsidR="00193B13" w:rsidRPr="003D1E07">
        <w:rPr>
          <w:lang w:eastAsia="en-US"/>
        </w:rPr>
        <w:t>s</w:t>
      </w:r>
      <w:r w:rsidR="0032057C" w:rsidRPr="003D1E07">
        <w:rPr>
          <w:lang w:eastAsia="en-US"/>
        </w:rPr>
        <w:t>ofie jsme označili te</w:t>
      </w:r>
      <w:r w:rsidR="00193B13" w:rsidRPr="003D1E07">
        <w:rPr>
          <w:lang w:eastAsia="en-US"/>
        </w:rPr>
        <w:t>rm</w:t>
      </w:r>
      <w:r w:rsidR="0032057C" w:rsidRPr="003D1E07">
        <w:rPr>
          <w:lang w:eastAsia="en-US"/>
        </w:rPr>
        <w:t xml:space="preserve">ínem </w:t>
      </w:r>
      <w:r w:rsidR="00DE1A56">
        <w:rPr>
          <w:lang w:eastAsia="en-US"/>
        </w:rPr>
        <w:t>„</w:t>
      </w:r>
      <w:r w:rsidR="0032057C" w:rsidRPr="003D1E07">
        <w:rPr>
          <w:lang w:eastAsia="en-US"/>
        </w:rPr>
        <w:t>nasvícení smyslu jsoucna zepředu</w:t>
      </w:r>
      <w:r w:rsidR="00DE1A56">
        <w:rPr>
          <w:lang w:eastAsia="en-US"/>
        </w:rPr>
        <w:t>“</w:t>
      </w:r>
      <w:r w:rsidR="0032057C" w:rsidRPr="003D1E07">
        <w:rPr>
          <w:lang w:eastAsia="en-US"/>
        </w:rPr>
        <w:fldChar w:fldCharType="begin"/>
      </w:r>
      <w:r w:rsidR="0032057C" w:rsidRPr="003D1E07">
        <w:instrText xml:space="preserve"> XE "</w:instrText>
      </w:r>
      <w:r w:rsidR="0032057C" w:rsidRPr="003D1E07">
        <w:rPr>
          <w:lang w:eastAsia="en-US"/>
        </w:rPr>
        <w:instrText>zjevování:nasvícení zepředu</w:instrText>
      </w:r>
      <w:r w:rsidR="0032057C" w:rsidRPr="003D1E07">
        <w:instrText xml:space="preserve">" </w:instrText>
      </w:r>
      <w:r w:rsidR="0032057C" w:rsidRPr="003D1E07">
        <w:rPr>
          <w:lang w:eastAsia="en-US"/>
        </w:rPr>
        <w:fldChar w:fldCharType="end"/>
      </w:r>
      <w:r w:rsidR="00887E53">
        <w:rPr>
          <w:lang w:eastAsia="en-US"/>
        </w:rPr>
        <w:t xml:space="preserve">, </w:t>
      </w:r>
      <w:r w:rsidR="0032057C" w:rsidRPr="003D1E07">
        <w:rPr>
          <w:lang w:eastAsia="en-US"/>
        </w:rPr>
        <w:t xml:space="preserve">od </w:t>
      </w:r>
      <w:r w:rsidR="00D85CE4" w:rsidRPr="003D1E07">
        <w:rPr>
          <w:lang w:eastAsia="en-US"/>
        </w:rPr>
        <w:t>reálných substancí</w:t>
      </w:r>
      <w:r w:rsidR="0032057C" w:rsidRPr="003D1E07">
        <w:rPr>
          <w:lang w:eastAsia="en-US"/>
        </w:rPr>
        <w:t xml:space="preserve">. </w:t>
      </w:r>
      <w:r w:rsidR="003E5511" w:rsidRPr="003D1E07">
        <w:rPr>
          <w:lang w:eastAsia="en-US"/>
        </w:rPr>
        <w:t>H</w:t>
      </w:r>
      <w:r w:rsidR="00AA700F" w:rsidRPr="003D1E07">
        <w:rPr>
          <w:lang w:eastAsia="en-US"/>
        </w:rPr>
        <w:t xml:space="preserve">yparchická predikace </w:t>
      </w:r>
      <w:r w:rsidR="00AA700F" w:rsidRPr="003D1E07">
        <w:rPr>
          <w:i/>
          <w:lang w:eastAsia="en-US"/>
        </w:rPr>
        <w:t>per prius</w:t>
      </w:r>
      <w:r w:rsidR="00AA700F" w:rsidRPr="003D1E07">
        <w:rPr>
          <w:lang w:eastAsia="en-US"/>
        </w:rPr>
        <w:t xml:space="preserve"> </w:t>
      </w:r>
      <w:r w:rsidR="003B3B7E" w:rsidRPr="003D1E07">
        <w:rPr>
          <w:lang w:eastAsia="en-US"/>
        </w:rPr>
        <w:t xml:space="preserve">daná impozicí první substance </w:t>
      </w:r>
      <w:r w:rsidR="00AA700F" w:rsidRPr="003D1E07">
        <w:rPr>
          <w:lang w:eastAsia="en-US"/>
        </w:rPr>
        <w:t xml:space="preserve">zakládá poslední rovinu </w:t>
      </w:r>
      <w:r w:rsidR="08393BC6" w:rsidRPr="003D1E07">
        <w:rPr>
          <w:lang w:eastAsia="en-US"/>
        </w:rPr>
        <w:t>univocit</w:t>
      </w:r>
      <w:r w:rsidR="00AA700F" w:rsidRPr="003D1E07">
        <w:rPr>
          <w:lang w:eastAsia="en-US"/>
        </w:rPr>
        <w:t>y jsoucna</w:t>
      </w:r>
      <w:r w:rsidR="08393BC6" w:rsidRPr="003D1E07">
        <w:rPr>
          <w:lang w:eastAsia="en-US"/>
        </w:rPr>
        <w:t xml:space="preserve">. </w:t>
      </w:r>
      <w:r w:rsidR="008B3322" w:rsidRPr="003D1E07">
        <w:rPr>
          <w:lang w:eastAsia="en-US"/>
        </w:rPr>
        <w:t xml:space="preserve">Univocita existuje pouze v rámci rodu, tedy na </w:t>
      </w:r>
      <w:r w:rsidR="008B3322" w:rsidRPr="003D1E07">
        <w:rPr>
          <w:lang w:eastAsia="en-US"/>
        </w:rPr>
        <w:lastRenderedPageBreak/>
        <w:t xml:space="preserve">kategoriální úrovni predikace </w:t>
      </w:r>
      <w:r w:rsidR="00FD0B36" w:rsidRPr="003D1E07">
        <w:rPr>
          <w:lang w:eastAsia="en-US"/>
        </w:rPr>
        <w:t>druhé substance</w:t>
      </w:r>
      <w:r w:rsidR="008B3322" w:rsidRPr="003D1E07">
        <w:rPr>
          <w:lang w:eastAsia="en-US"/>
        </w:rPr>
        <w:t xml:space="preserve">. </w:t>
      </w:r>
      <w:r w:rsidR="08393BC6" w:rsidRPr="003D1E07">
        <w:rPr>
          <w:lang w:eastAsia="en-US"/>
        </w:rPr>
        <w:t>D</w:t>
      </w:r>
      <w:r w:rsidR="084317B0" w:rsidRPr="003D1E07">
        <w:rPr>
          <w:lang w:eastAsia="en-US"/>
        </w:rPr>
        <w:t xml:space="preserve">alší určení </w:t>
      </w:r>
      <w:r w:rsidR="00A453FC" w:rsidRPr="003D1E07">
        <w:rPr>
          <w:lang w:eastAsia="en-US"/>
        </w:rPr>
        <w:t xml:space="preserve">mimo první a druhou substanci </w:t>
      </w:r>
      <w:r w:rsidR="084317B0" w:rsidRPr="003D1E07">
        <w:rPr>
          <w:lang w:eastAsia="en-US"/>
        </w:rPr>
        <w:t xml:space="preserve">jsou </w:t>
      </w:r>
      <w:r w:rsidR="081C3390" w:rsidRPr="003D1E07">
        <w:rPr>
          <w:lang w:eastAsia="en-US"/>
        </w:rPr>
        <w:t>dána</w:t>
      </w:r>
      <w:r w:rsidR="081F410A" w:rsidRPr="003D1E07">
        <w:rPr>
          <w:lang w:eastAsia="en-US"/>
        </w:rPr>
        <w:t xml:space="preserve"> </w:t>
      </w:r>
      <w:r w:rsidR="08393BC6" w:rsidRPr="003D1E07">
        <w:rPr>
          <w:lang w:eastAsia="en-US"/>
        </w:rPr>
        <w:t>pouze ekvivočně</w:t>
      </w:r>
      <w:r w:rsidR="00494851">
        <w:rPr>
          <w:lang w:eastAsia="en-US"/>
        </w:rPr>
        <w:t>. U</w:t>
      </w:r>
      <w:r w:rsidR="081F410A" w:rsidRPr="003D1E07">
        <w:rPr>
          <w:lang w:eastAsia="en-US"/>
        </w:rPr>
        <w:t xml:space="preserve">niverzální smysl bytí </w:t>
      </w:r>
      <w:r w:rsidR="00494851">
        <w:rPr>
          <w:lang w:eastAsia="en-US"/>
        </w:rPr>
        <w:t xml:space="preserve">je v tomto případě </w:t>
      </w:r>
      <w:r w:rsidR="081F410A" w:rsidRPr="003D1E07">
        <w:rPr>
          <w:lang w:eastAsia="en-US"/>
        </w:rPr>
        <w:t xml:space="preserve">daný </w:t>
      </w:r>
      <w:r w:rsidR="00D438B5" w:rsidRPr="003D1E07">
        <w:rPr>
          <w:lang w:eastAsia="en-US"/>
        </w:rPr>
        <w:t xml:space="preserve">pouze </w:t>
      </w:r>
      <w:r w:rsidR="081F410A" w:rsidRPr="003D1E07">
        <w:rPr>
          <w:lang w:eastAsia="en-US"/>
        </w:rPr>
        <w:t xml:space="preserve">v </w:t>
      </w:r>
      <w:r w:rsidR="084317B0" w:rsidRPr="003D1E07">
        <w:rPr>
          <w:lang w:eastAsia="en-US"/>
        </w:rPr>
        <w:t>mysl</w:t>
      </w:r>
      <w:r w:rsidR="081F410A" w:rsidRPr="003D1E07">
        <w:rPr>
          <w:lang w:eastAsia="en-US"/>
        </w:rPr>
        <w:t>i</w:t>
      </w:r>
      <w:r w:rsidR="084317B0" w:rsidRPr="003D1E07">
        <w:rPr>
          <w:lang w:eastAsia="en-US"/>
        </w:rPr>
        <w:t xml:space="preserve"> poznávajícího</w:t>
      </w:r>
      <w:r w:rsidR="089A446D" w:rsidRPr="003D1E07">
        <w:rPr>
          <w:lang w:eastAsia="en-US"/>
        </w:rPr>
        <w:t>,</w:t>
      </w:r>
      <w:r w:rsidR="00D438B5" w:rsidRPr="003D1E07">
        <w:rPr>
          <w:lang w:eastAsia="en-US"/>
        </w:rPr>
        <w:t xml:space="preserve"> a nikoliv v realitě prvních substancí</w:t>
      </w:r>
      <w:r w:rsidR="008A718D" w:rsidRPr="003D1E07">
        <w:rPr>
          <w:lang w:eastAsia="en-US"/>
        </w:rPr>
        <w:t xml:space="preserve">. </w:t>
      </w:r>
      <w:r w:rsidR="00775983" w:rsidRPr="003D1E07">
        <w:rPr>
          <w:lang w:eastAsia="en-US"/>
        </w:rPr>
        <w:t xml:space="preserve">Signifikace daná v této </w:t>
      </w:r>
      <w:r w:rsidR="00D85CE4" w:rsidRPr="003D1E07">
        <w:rPr>
          <w:lang w:eastAsia="en-US"/>
        </w:rPr>
        <w:t xml:space="preserve">homonymické </w:t>
      </w:r>
      <w:r w:rsidR="00775983" w:rsidRPr="003D1E07">
        <w:rPr>
          <w:lang w:eastAsia="en-US"/>
        </w:rPr>
        <w:t>podobě není kauzálně determinována žádnou impozicí směrem od reálné první substance</w:t>
      </w:r>
      <w:r w:rsidR="00AB5712" w:rsidRPr="003D1E07">
        <w:rPr>
          <w:lang w:eastAsia="en-US"/>
        </w:rPr>
        <w:t xml:space="preserve">. Homonymická </w:t>
      </w:r>
      <w:r w:rsidR="00775983" w:rsidRPr="003D1E07">
        <w:rPr>
          <w:lang w:eastAsia="en-US"/>
        </w:rPr>
        <w:t xml:space="preserve">jednota (například v modu analogie) zůstává </w:t>
      </w:r>
      <w:r w:rsidR="00AB5712" w:rsidRPr="003D1E07">
        <w:rPr>
          <w:lang w:eastAsia="en-US"/>
        </w:rPr>
        <w:t xml:space="preserve">pravdivá pouze </w:t>
      </w:r>
      <w:r w:rsidR="00775983" w:rsidRPr="003D1E07">
        <w:rPr>
          <w:lang w:eastAsia="en-US"/>
        </w:rPr>
        <w:t>na úrovni pouhé logické či matematické abstrakce</w:t>
      </w:r>
      <w:r w:rsidR="00D173AC" w:rsidRPr="003D1E07">
        <w:rPr>
          <w:i/>
          <w:lang w:eastAsia="en-US"/>
        </w:rPr>
        <w:fldChar w:fldCharType="begin"/>
      </w:r>
      <w:r w:rsidR="00D173AC" w:rsidRPr="003D1E07">
        <w:instrText xml:space="preserve"> XE "impozice:</w:instrText>
      </w:r>
      <w:r w:rsidR="002E3B62" w:rsidRPr="003D1E07">
        <w:rPr>
          <w:rStyle w:val="Zvraznn"/>
          <w:i w:val="0"/>
        </w:rPr>
        <w:instrText>Averroes</w:instrText>
      </w:r>
      <w:r w:rsidR="00D173AC" w:rsidRPr="003D1E07">
        <w:instrText xml:space="preserve">" </w:instrText>
      </w:r>
      <w:r w:rsidR="00D173AC" w:rsidRPr="003D1E07">
        <w:rPr>
          <w:i/>
          <w:lang w:eastAsia="en-US"/>
        </w:rPr>
        <w:fldChar w:fldCharType="end"/>
      </w:r>
      <w:r w:rsidR="00775983" w:rsidRPr="003D1E07">
        <w:rPr>
          <w:lang w:eastAsia="en-US"/>
        </w:rPr>
        <w:t xml:space="preserve">. </w:t>
      </w:r>
      <w:r w:rsidR="00D438B5" w:rsidRPr="003D1E07">
        <w:rPr>
          <w:lang w:eastAsia="en-US"/>
        </w:rPr>
        <w:t>Ten</w:t>
      </w:r>
      <w:r w:rsidR="088C1B48" w:rsidRPr="003D1E07">
        <w:rPr>
          <w:lang w:eastAsia="en-US"/>
        </w:rPr>
        <w:t xml:space="preserve">to směr jsme označili termínem </w:t>
      </w:r>
      <w:r w:rsidR="00DE1A56">
        <w:rPr>
          <w:lang w:eastAsia="en-US"/>
        </w:rPr>
        <w:t>„</w:t>
      </w:r>
      <w:r w:rsidR="00D438B5" w:rsidRPr="003D1E07">
        <w:rPr>
          <w:lang w:eastAsia="en-US"/>
        </w:rPr>
        <w:t>nasvícení s</w:t>
      </w:r>
      <w:r w:rsidR="088C1B48" w:rsidRPr="003D1E07">
        <w:rPr>
          <w:lang w:eastAsia="en-US"/>
        </w:rPr>
        <w:t>myslu jsoucna zezadu</w:t>
      </w:r>
      <w:r w:rsidR="00DE1A56">
        <w:rPr>
          <w:lang w:eastAsia="en-US"/>
        </w:rPr>
        <w:t>“</w:t>
      </w:r>
      <w:r w:rsidR="00D438B5" w:rsidRPr="003D1E07">
        <w:rPr>
          <w:lang w:eastAsia="en-US"/>
        </w:rPr>
        <w:fldChar w:fldCharType="begin"/>
      </w:r>
      <w:r w:rsidR="00D438B5" w:rsidRPr="003D1E07">
        <w:instrText xml:space="preserve"> XE "</w:instrText>
      </w:r>
      <w:r w:rsidR="00D438B5" w:rsidRPr="003D1E07">
        <w:rPr>
          <w:lang w:eastAsia="en-US"/>
        </w:rPr>
        <w:instrText>zjevování:nasvícení zezadu</w:instrText>
      </w:r>
      <w:r w:rsidR="00D438B5" w:rsidRPr="003D1E07">
        <w:instrText xml:space="preserve">" </w:instrText>
      </w:r>
      <w:r w:rsidR="00D438B5" w:rsidRPr="003D1E07">
        <w:rPr>
          <w:lang w:eastAsia="en-US"/>
        </w:rPr>
        <w:fldChar w:fldCharType="end"/>
      </w:r>
      <w:r w:rsidR="088C1B48" w:rsidRPr="003D1E07">
        <w:rPr>
          <w:lang w:eastAsia="en-US"/>
        </w:rPr>
        <w:t>. S</w:t>
      </w:r>
      <w:r w:rsidR="00D438B5" w:rsidRPr="003D1E07">
        <w:rPr>
          <w:lang w:eastAsia="en-US"/>
        </w:rPr>
        <w:t>upozice této jednoty je daná pouze v mysli</w:t>
      </w:r>
      <w:r w:rsidR="00235723" w:rsidRPr="003D1E07">
        <w:rPr>
          <w:lang w:eastAsia="en-US"/>
        </w:rPr>
        <w:t xml:space="preserve"> a i</w:t>
      </w:r>
      <w:r w:rsidR="00A41C06" w:rsidRPr="003D1E07">
        <w:rPr>
          <w:lang w:eastAsia="en-US"/>
        </w:rPr>
        <w:t>mpozice od reality prvních substancí chybí úplně</w:t>
      </w:r>
      <w:r w:rsidR="00D438B5" w:rsidRPr="003D1E07">
        <w:rPr>
          <w:lang w:eastAsia="en-US"/>
        </w:rPr>
        <w:t xml:space="preserve">. </w:t>
      </w:r>
      <w:r w:rsidR="008A718D" w:rsidRPr="003D1E07">
        <w:rPr>
          <w:lang w:eastAsia="en-US"/>
        </w:rPr>
        <w:t xml:space="preserve">Avicennova jednota jsoucího daná v modelu nově vzniklého </w:t>
      </w:r>
      <w:r w:rsidR="008A718D" w:rsidRPr="003D1E07">
        <w:rPr>
          <w:i/>
          <w:lang w:eastAsia="en-US"/>
        </w:rPr>
        <w:t xml:space="preserve">tertium ens </w:t>
      </w:r>
      <w:r w:rsidR="008A718D" w:rsidRPr="003D1E07">
        <w:rPr>
          <w:lang w:eastAsia="en-US"/>
        </w:rPr>
        <w:t>a příslušné ontoteolog</w:t>
      </w:r>
      <w:r w:rsidR="08E24B70" w:rsidRPr="003D1E07">
        <w:rPr>
          <w:lang w:eastAsia="en-US"/>
        </w:rPr>
        <w:t xml:space="preserve">ie stojí podle </w:t>
      </w:r>
      <w:r w:rsidR="080E0257" w:rsidRPr="003D1E07">
        <w:rPr>
          <w:lang w:eastAsia="en-US"/>
        </w:rPr>
        <w:t xml:space="preserve">Komentátora </w:t>
      </w:r>
      <w:r w:rsidR="008A718D" w:rsidRPr="003D1E07">
        <w:rPr>
          <w:lang w:eastAsia="en-US"/>
        </w:rPr>
        <w:t>mimo svět reálných substancí</w:t>
      </w:r>
      <w:r w:rsidR="08C47A8F" w:rsidRPr="003D1E07">
        <w:rPr>
          <w:lang w:eastAsia="en-US"/>
        </w:rPr>
        <w:t xml:space="preserve">. </w:t>
      </w:r>
      <w:r w:rsidR="00C4528C" w:rsidRPr="003D1E07">
        <w:rPr>
          <w:lang w:eastAsia="en-US"/>
        </w:rPr>
        <w:t xml:space="preserve">Výše zmíněný rozdíl mezi impozicí a supozicí je zásadně důležitý pro vysvětlení rozdílu mezi metafyzikou Avicenny a Averroese. </w:t>
      </w:r>
      <w:r w:rsidR="08C47A8F" w:rsidRPr="003D1E07">
        <w:rPr>
          <w:lang w:eastAsia="en-US"/>
        </w:rPr>
        <w:t xml:space="preserve">Avicenna </w:t>
      </w:r>
      <w:r w:rsidR="008B3322" w:rsidRPr="003D1E07">
        <w:rPr>
          <w:lang w:eastAsia="en-US"/>
        </w:rPr>
        <w:t xml:space="preserve">neoprávněně </w:t>
      </w:r>
      <w:r w:rsidR="00CD2D14" w:rsidRPr="003D1E07">
        <w:rPr>
          <w:lang w:eastAsia="en-US"/>
        </w:rPr>
        <w:t xml:space="preserve">rozšiřuje </w:t>
      </w:r>
      <w:r w:rsidR="003600B3" w:rsidRPr="003D1E07">
        <w:rPr>
          <w:lang w:eastAsia="en-US"/>
        </w:rPr>
        <w:t>univoční predikaci</w:t>
      </w:r>
      <w:r w:rsidR="00EC299D" w:rsidRPr="003D1E07">
        <w:rPr>
          <w:lang w:eastAsia="en-US"/>
        </w:rPr>
        <w:t xml:space="preserve"> </w:t>
      </w:r>
      <w:r w:rsidR="005E708C" w:rsidRPr="003D1E07">
        <w:rPr>
          <w:lang w:eastAsia="en-US"/>
        </w:rPr>
        <w:t xml:space="preserve">a zahrnuje do ní i </w:t>
      </w:r>
      <w:r w:rsidR="00BC336F" w:rsidRPr="003D1E07">
        <w:rPr>
          <w:lang w:eastAsia="en-US"/>
        </w:rPr>
        <w:t>ekvivoční a analogick</w:t>
      </w:r>
      <w:r w:rsidR="00DC151B" w:rsidRPr="003D1E07">
        <w:rPr>
          <w:lang w:eastAsia="en-US"/>
        </w:rPr>
        <w:t>é</w:t>
      </w:r>
      <w:r w:rsidR="005B6584" w:rsidRPr="003D1E07">
        <w:rPr>
          <w:lang w:eastAsia="en-US"/>
        </w:rPr>
        <w:t xml:space="preserve"> </w:t>
      </w:r>
      <w:r w:rsidR="00BC336F" w:rsidRPr="003D1E07">
        <w:rPr>
          <w:lang w:eastAsia="en-US"/>
        </w:rPr>
        <w:t>významy</w:t>
      </w:r>
      <w:r w:rsidR="008F718B" w:rsidRPr="003D1E07">
        <w:rPr>
          <w:lang w:eastAsia="en-US"/>
        </w:rPr>
        <w:t xml:space="preserve"> </w:t>
      </w:r>
      <w:r w:rsidR="00BC336F" w:rsidRPr="003D1E07">
        <w:rPr>
          <w:lang w:eastAsia="en-US"/>
        </w:rPr>
        <w:t>dané</w:t>
      </w:r>
      <w:r w:rsidR="005E708C" w:rsidRPr="003D1E07">
        <w:rPr>
          <w:lang w:eastAsia="en-US"/>
        </w:rPr>
        <w:t xml:space="preserve"> pouze </w:t>
      </w:r>
      <w:r w:rsidR="00EC299D" w:rsidRPr="003D1E07">
        <w:rPr>
          <w:lang w:eastAsia="en-US"/>
        </w:rPr>
        <w:t>v mysli poznávajícího</w:t>
      </w:r>
      <w:r w:rsidR="0041610B" w:rsidRPr="003D1E07">
        <w:rPr>
          <w:lang w:eastAsia="en-US"/>
        </w:rPr>
        <w:t>.</w:t>
      </w:r>
      <w:r w:rsidR="003600B3" w:rsidRPr="003D1E07">
        <w:rPr>
          <w:lang w:eastAsia="en-US"/>
        </w:rPr>
        <w:t xml:space="preserve"> </w:t>
      </w:r>
      <w:r w:rsidR="001F15F2" w:rsidRPr="003D1E07">
        <w:rPr>
          <w:lang w:eastAsia="en-US"/>
        </w:rPr>
        <w:t>Analýza pouhé homonymie</w:t>
      </w:r>
      <w:r w:rsidR="00447BAB" w:rsidRPr="003D1E07">
        <w:rPr>
          <w:lang w:eastAsia="en-US"/>
        </w:rPr>
        <w:fldChar w:fldCharType="begin"/>
      </w:r>
      <w:r w:rsidR="00447BAB" w:rsidRPr="003D1E07">
        <w:instrText xml:space="preserve"> XE "homonymie" </w:instrText>
      </w:r>
      <w:r w:rsidR="00447BAB" w:rsidRPr="003D1E07">
        <w:rPr>
          <w:lang w:eastAsia="en-US"/>
        </w:rPr>
        <w:fldChar w:fldCharType="end"/>
      </w:r>
      <w:r w:rsidR="001F15F2" w:rsidRPr="003D1E07">
        <w:rPr>
          <w:lang w:eastAsia="en-US"/>
        </w:rPr>
        <w:t xml:space="preserve"> idejí a definic oddělených od reálných substancí </w:t>
      </w:r>
      <w:r w:rsidR="00376649">
        <w:rPr>
          <w:lang w:eastAsia="en-US"/>
        </w:rPr>
        <w:t>nemůže za</w:t>
      </w:r>
      <w:r w:rsidR="001F15F2" w:rsidRPr="003D1E07">
        <w:rPr>
          <w:lang w:eastAsia="en-US"/>
        </w:rPr>
        <w:t xml:space="preserve">ložit jednotu </w:t>
      </w:r>
      <w:r w:rsidR="000F4D78">
        <w:rPr>
          <w:lang w:eastAsia="en-US"/>
        </w:rPr>
        <w:t xml:space="preserve">poznání nutnou pro vybudování </w:t>
      </w:r>
      <w:r w:rsidR="002D0EFE">
        <w:rPr>
          <w:lang w:eastAsia="en-US"/>
        </w:rPr>
        <w:t xml:space="preserve">kritické </w:t>
      </w:r>
      <w:r w:rsidR="08672910" w:rsidRPr="003D1E07">
        <w:rPr>
          <w:lang w:eastAsia="en-US"/>
        </w:rPr>
        <w:t>vědy</w:t>
      </w:r>
      <w:r w:rsidR="001F15F2" w:rsidRPr="003D1E07">
        <w:rPr>
          <w:lang w:eastAsia="en-US"/>
        </w:rPr>
        <w:t xml:space="preserve">. </w:t>
      </w:r>
      <w:r w:rsidR="00097D01" w:rsidRPr="003D1E07">
        <w:rPr>
          <w:lang w:eastAsia="en-US"/>
        </w:rPr>
        <w:t xml:space="preserve">Proto není možná </w:t>
      </w:r>
      <w:r w:rsidR="00874074" w:rsidRPr="003D1E07">
        <w:rPr>
          <w:lang w:eastAsia="en-US"/>
        </w:rPr>
        <w:t>neoplatonsk</w:t>
      </w:r>
      <w:r w:rsidR="00097D01" w:rsidRPr="003D1E07">
        <w:rPr>
          <w:lang w:eastAsia="en-US"/>
        </w:rPr>
        <w:t>á, analogická, mystická, gnostická, ilu</w:t>
      </w:r>
      <w:r w:rsidR="0020208C">
        <w:rPr>
          <w:lang w:eastAsia="en-US"/>
        </w:rPr>
        <w:t>minační atd. predikace jednoty</w:t>
      </w:r>
      <w:r w:rsidR="00097D01" w:rsidRPr="003D1E07">
        <w:rPr>
          <w:lang w:eastAsia="en-US"/>
        </w:rPr>
        <w:t xml:space="preserve"> jsoucna</w:t>
      </w:r>
      <w:r w:rsidR="08D07C6D" w:rsidRPr="003D1E07">
        <w:rPr>
          <w:lang w:eastAsia="en-US"/>
        </w:rPr>
        <w:t>. A</w:t>
      </w:r>
      <w:r w:rsidR="08FC6969" w:rsidRPr="003D1E07">
        <w:rPr>
          <w:lang w:eastAsia="en-US"/>
        </w:rPr>
        <w:t>vicenn</w:t>
      </w:r>
      <w:r w:rsidR="00162F94">
        <w:rPr>
          <w:lang w:eastAsia="en-US"/>
        </w:rPr>
        <w:t xml:space="preserve">ova </w:t>
      </w:r>
      <w:r w:rsidR="00251150" w:rsidRPr="003D1E07">
        <w:rPr>
          <w:lang w:eastAsia="en-US"/>
        </w:rPr>
        <w:t xml:space="preserve">první věda </w:t>
      </w:r>
      <w:r w:rsidR="08D07C6D" w:rsidRPr="003D1E07">
        <w:rPr>
          <w:lang w:eastAsia="en-US"/>
        </w:rPr>
        <w:t xml:space="preserve">našla </w:t>
      </w:r>
      <w:r w:rsidR="080B3546" w:rsidRPr="003D1E07">
        <w:rPr>
          <w:lang w:eastAsia="en-US"/>
        </w:rPr>
        <w:t>objek</w:t>
      </w:r>
      <w:r w:rsidR="08D07C6D" w:rsidRPr="003D1E07">
        <w:rPr>
          <w:lang w:eastAsia="en-US"/>
        </w:rPr>
        <w:t xml:space="preserve">tivní jednotu </w:t>
      </w:r>
      <w:r w:rsidR="00251150" w:rsidRPr="003D1E07">
        <w:rPr>
          <w:lang w:eastAsia="en-US"/>
        </w:rPr>
        <w:t xml:space="preserve">na </w:t>
      </w:r>
      <w:r w:rsidR="00293649" w:rsidRPr="003D1E07">
        <w:rPr>
          <w:lang w:eastAsia="en-US"/>
        </w:rPr>
        <w:t>úrovni metafyziky</w:t>
      </w:r>
      <w:r w:rsidR="081C3390" w:rsidRPr="003D1E07">
        <w:rPr>
          <w:lang w:eastAsia="en-US"/>
        </w:rPr>
        <w:t xml:space="preserve"> podané v modu </w:t>
      </w:r>
      <w:r w:rsidR="081C3390" w:rsidRPr="003D1E07">
        <w:rPr>
          <w:i/>
          <w:lang w:eastAsia="en-US"/>
        </w:rPr>
        <w:t>ens inquantum ens</w:t>
      </w:r>
      <w:r w:rsidR="081C3390" w:rsidRPr="003D1E07">
        <w:rPr>
          <w:i/>
          <w:lang w:eastAsia="en-US"/>
        </w:rPr>
        <w:fldChar w:fldCharType="begin"/>
      </w:r>
      <w:r w:rsidR="081C3390" w:rsidRPr="003D1E07">
        <w:instrText xml:space="preserve"> XE "</w:instrText>
      </w:r>
      <w:r w:rsidR="081C3390" w:rsidRPr="003D1E07">
        <w:rPr>
          <w:i/>
          <w:lang w:eastAsia="en-US"/>
        </w:rPr>
        <w:instrText>ens inquantum ens</w:instrText>
      </w:r>
      <w:r w:rsidR="081C3390" w:rsidRPr="003D1E07">
        <w:instrText xml:space="preserve">" </w:instrText>
      </w:r>
      <w:r w:rsidR="081C3390" w:rsidRPr="003D1E07">
        <w:rPr>
          <w:i/>
          <w:lang w:eastAsia="en-US"/>
        </w:rPr>
        <w:fldChar w:fldCharType="end"/>
      </w:r>
      <w:r w:rsidR="00097D01" w:rsidRPr="003D1E07">
        <w:rPr>
          <w:lang w:eastAsia="en-US"/>
        </w:rPr>
        <w:t xml:space="preserve">. </w:t>
      </w:r>
      <w:r w:rsidR="08110FB3" w:rsidRPr="003D1E07">
        <w:rPr>
          <w:lang w:eastAsia="en-US"/>
        </w:rPr>
        <w:t xml:space="preserve">Z hlediska kategoriální </w:t>
      </w:r>
      <w:r w:rsidR="08047CC3" w:rsidRPr="003D1E07">
        <w:rPr>
          <w:lang w:eastAsia="en-US"/>
        </w:rPr>
        <w:t xml:space="preserve">aristotelské </w:t>
      </w:r>
      <w:r w:rsidR="08110FB3" w:rsidRPr="003D1E07">
        <w:rPr>
          <w:lang w:eastAsia="en-US"/>
        </w:rPr>
        <w:t xml:space="preserve">predikace představuje koncept Avicennovy univerzality a objektivní formalizace </w:t>
      </w:r>
      <w:r w:rsidR="081C3390" w:rsidRPr="003D1E07">
        <w:rPr>
          <w:lang w:eastAsia="en-US"/>
        </w:rPr>
        <w:t>ekvivoční kategorizaci dělanou n</w:t>
      </w:r>
      <w:r w:rsidR="08110FB3" w:rsidRPr="003D1E07">
        <w:rPr>
          <w:lang w:eastAsia="en-US"/>
        </w:rPr>
        <w:t>a základ</w:t>
      </w:r>
      <w:r w:rsidR="081C3390" w:rsidRPr="003D1E07">
        <w:rPr>
          <w:lang w:eastAsia="en-US"/>
        </w:rPr>
        <w:t xml:space="preserve">ě analogicky pojaté podobnosti. Ale tato forma podobnosti </w:t>
      </w:r>
      <w:r w:rsidR="08110FB3" w:rsidRPr="003D1E07">
        <w:rPr>
          <w:lang w:eastAsia="en-US"/>
        </w:rPr>
        <w:t xml:space="preserve">existuje pouze v mysli a nikoliv v reálu. </w:t>
      </w:r>
      <w:r w:rsidR="00496C83" w:rsidRPr="003D1E07">
        <w:rPr>
          <w:lang w:eastAsia="en-US"/>
        </w:rPr>
        <w:t xml:space="preserve">Věci jsou vztaženy k abstraktnímu </w:t>
      </w:r>
      <w:r w:rsidR="003334AB" w:rsidRPr="003D1E07">
        <w:rPr>
          <w:lang w:eastAsia="en-US"/>
        </w:rPr>
        <w:t>pojmu</w:t>
      </w:r>
      <w:r w:rsidR="00496C83" w:rsidRPr="003D1E07">
        <w:rPr>
          <w:lang w:eastAsia="en-US"/>
        </w:rPr>
        <w:t>, stejně jako je výživa nebo tělo vztažená ke zdraví</w:t>
      </w:r>
      <w:r w:rsidR="0079228A">
        <w:rPr>
          <w:lang w:eastAsia="en-US"/>
        </w:rPr>
        <w:t xml:space="preserve"> podle </w:t>
      </w:r>
      <w:r w:rsidR="0079228A" w:rsidRPr="0079228A">
        <w:rPr>
          <w:i/>
          <w:lang w:eastAsia="en-US"/>
        </w:rPr>
        <w:t>Etiky Nikomachovy</w:t>
      </w:r>
      <w:r w:rsidR="0079228A">
        <w:rPr>
          <w:lang w:eastAsia="en-US"/>
        </w:rPr>
        <w:t xml:space="preserve"> (kap. 1.3.1)</w:t>
      </w:r>
      <w:r w:rsidR="00496C83" w:rsidRPr="003D1E07">
        <w:rPr>
          <w:lang w:eastAsia="en-US"/>
        </w:rPr>
        <w:t>.</w:t>
      </w:r>
      <w:r w:rsidR="08A37A4F" w:rsidRPr="003D1E07">
        <w:rPr>
          <w:lang w:eastAsia="en-US"/>
        </w:rPr>
        <w:t xml:space="preserve"> Do homonymické analogické predikace lze zavést pořadí </w:t>
      </w:r>
      <w:r w:rsidR="08A37A4F" w:rsidRPr="003D1E07">
        <w:rPr>
          <w:i/>
          <w:lang w:eastAsia="en-US"/>
        </w:rPr>
        <w:t>per prius</w:t>
      </w:r>
      <w:r w:rsidR="08A37A4F" w:rsidRPr="003D1E07">
        <w:rPr>
          <w:lang w:eastAsia="en-US"/>
        </w:rPr>
        <w:t xml:space="preserve">, protože lze najít původní </w:t>
      </w:r>
      <w:r w:rsidR="08E6491C" w:rsidRPr="003D1E07">
        <w:rPr>
          <w:lang w:eastAsia="en-US"/>
        </w:rPr>
        <w:t>akcident</w:t>
      </w:r>
      <w:r w:rsidR="08A37A4F" w:rsidRPr="003D1E07">
        <w:rPr>
          <w:lang w:eastAsia="en-US"/>
        </w:rPr>
        <w:t>, který je v</w:t>
      </w:r>
      <w:r w:rsidR="08E6491C" w:rsidRPr="003D1E07">
        <w:rPr>
          <w:lang w:eastAsia="en-US"/>
        </w:rPr>
        <w:t>á</w:t>
      </w:r>
      <w:r w:rsidR="08A37A4F" w:rsidRPr="003D1E07">
        <w:rPr>
          <w:lang w:eastAsia="en-US"/>
        </w:rPr>
        <w:t xml:space="preserve">zaný na </w:t>
      </w:r>
      <w:r w:rsidR="08E6491C" w:rsidRPr="003D1E07">
        <w:rPr>
          <w:lang w:eastAsia="en-US"/>
        </w:rPr>
        <w:t xml:space="preserve">první </w:t>
      </w:r>
      <w:r w:rsidR="08226779" w:rsidRPr="003D1E07">
        <w:rPr>
          <w:lang w:eastAsia="en-US"/>
        </w:rPr>
        <w:t>substanci (kap. 1.3</w:t>
      </w:r>
      <w:r w:rsidR="08A37A4F" w:rsidRPr="003D1E07">
        <w:rPr>
          <w:lang w:eastAsia="en-US"/>
        </w:rPr>
        <w:t xml:space="preserve">). Ale tato jednota je </w:t>
      </w:r>
      <w:r w:rsidR="08E6491C" w:rsidRPr="003D1E07">
        <w:rPr>
          <w:lang w:eastAsia="en-US"/>
        </w:rPr>
        <w:t xml:space="preserve">za prvé pouze akcidentální a za druhé je </w:t>
      </w:r>
      <w:r w:rsidR="08A37A4F" w:rsidRPr="003D1E07">
        <w:rPr>
          <w:lang w:eastAsia="en-US"/>
        </w:rPr>
        <w:t xml:space="preserve">vytvořena pouze v mysli na úrovni potenciality, </w:t>
      </w:r>
      <w:r w:rsidR="08E6491C" w:rsidRPr="003D1E07">
        <w:rPr>
          <w:lang w:eastAsia="en-US"/>
        </w:rPr>
        <w:t xml:space="preserve">protože </w:t>
      </w:r>
      <w:r w:rsidR="08A37A4F" w:rsidRPr="003D1E07">
        <w:rPr>
          <w:lang w:eastAsia="en-US"/>
        </w:rPr>
        <w:t>není dána aktuálním bytím su</w:t>
      </w:r>
      <w:r w:rsidR="0079228A">
        <w:rPr>
          <w:lang w:eastAsia="en-US"/>
        </w:rPr>
        <w:t xml:space="preserve">bstance v realitě. </w:t>
      </w:r>
      <w:r w:rsidR="08097352" w:rsidRPr="003D1E07">
        <w:rPr>
          <w:lang w:eastAsia="en-US"/>
        </w:rPr>
        <w:t xml:space="preserve">Intuice celku jsoucna daná skrze náhled neoplatonských univerzálií nezakládá </w:t>
      </w:r>
      <w:r w:rsidR="00572A53">
        <w:rPr>
          <w:lang w:eastAsia="en-US"/>
        </w:rPr>
        <w:t xml:space="preserve">podle Averroese vědecké poznání. To je </w:t>
      </w:r>
      <w:r w:rsidR="08097352" w:rsidRPr="003D1E07">
        <w:rPr>
          <w:lang w:eastAsia="en-US"/>
        </w:rPr>
        <w:t>založené na deduktivních, či aspoň induktivních důkazech opřených o zkoumání reálné substance a jejích vlastností.</w:t>
      </w:r>
      <w:r w:rsidR="085554FA" w:rsidRPr="003D1E07">
        <w:rPr>
          <w:lang w:eastAsia="en-US"/>
        </w:rPr>
        <w:t xml:space="preserve"> </w:t>
      </w:r>
      <w:r w:rsidR="08A37A4F" w:rsidRPr="003D1E07">
        <w:rPr>
          <w:lang w:eastAsia="en-US"/>
        </w:rPr>
        <w:t xml:space="preserve">Díky </w:t>
      </w:r>
      <w:r w:rsidR="004A4528" w:rsidRPr="003D1E07">
        <w:rPr>
          <w:lang w:eastAsia="en-US"/>
        </w:rPr>
        <w:t xml:space="preserve">chybnému </w:t>
      </w:r>
      <w:r w:rsidR="08A37A4F" w:rsidRPr="003D1E07">
        <w:rPr>
          <w:lang w:eastAsia="en-US"/>
        </w:rPr>
        <w:t xml:space="preserve">výkladu Aristotela považuje Averroes svého předchůdce za velmi problematického filosofa, který se dopustil naprosto zásadních chyb při výstavbě metafyziky. </w:t>
      </w:r>
      <w:r w:rsidR="08CA3AC9" w:rsidRPr="003D1E07">
        <w:rPr>
          <w:lang w:eastAsia="en-US"/>
        </w:rPr>
        <w:t xml:space="preserve">Určení </w:t>
      </w:r>
      <w:r w:rsidR="00DC151B" w:rsidRPr="003D1E07">
        <w:rPr>
          <w:lang w:eastAsia="en-US"/>
        </w:rPr>
        <w:t xml:space="preserve">pravdy jako hyparchického jsoucna </w:t>
      </w:r>
      <w:r w:rsidR="08CA3AC9" w:rsidRPr="003D1E07">
        <w:rPr>
          <w:lang w:eastAsia="en-US"/>
        </w:rPr>
        <w:t xml:space="preserve">není podle druhé linie </w:t>
      </w:r>
      <w:r w:rsidR="08CA3AC9" w:rsidRPr="003D1E07">
        <w:rPr>
          <w:i/>
          <w:lang w:eastAsia="en-US"/>
        </w:rPr>
        <w:t>Metafyziky</w:t>
      </w:r>
      <w:r w:rsidR="08CA3AC9" w:rsidRPr="003D1E07">
        <w:rPr>
          <w:lang w:eastAsia="en-US"/>
        </w:rPr>
        <w:t xml:space="preserve"> VI.2 dáno ve věcech, ale existuje pouze v mysli, kde je smysl jsoucího </w:t>
      </w:r>
      <w:r w:rsidR="08FB425A" w:rsidRPr="003D1E07">
        <w:rPr>
          <w:lang w:eastAsia="en-US"/>
        </w:rPr>
        <w:t>kategoriálně predikován podle kauzality prvních substancí.</w:t>
      </w:r>
      <w:r w:rsidR="08CA3AC9" w:rsidRPr="003D1E07">
        <w:rPr>
          <w:lang w:eastAsia="en-US"/>
        </w:rPr>
        <w:t xml:space="preserve"> </w:t>
      </w:r>
      <w:r w:rsidR="08312CFC" w:rsidRPr="003D1E07">
        <w:rPr>
          <w:lang w:eastAsia="en-US"/>
        </w:rPr>
        <w:t>Aktuální j</w:t>
      </w:r>
      <w:r w:rsidR="08CA3AC9" w:rsidRPr="003D1E07">
        <w:rPr>
          <w:lang w:eastAsia="en-US"/>
        </w:rPr>
        <w:t xml:space="preserve">soucno jako existující a </w:t>
      </w:r>
      <w:r w:rsidR="08312CFC" w:rsidRPr="003D1E07">
        <w:rPr>
          <w:lang w:eastAsia="en-US"/>
        </w:rPr>
        <w:t xml:space="preserve">potenciální </w:t>
      </w:r>
      <w:r w:rsidR="08CA3AC9" w:rsidRPr="003D1E07">
        <w:rPr>
          <w:lang w:eastAsia="en-US"/>
        </w:rPr>
        <w:t xml:space="preserve">jsoucno jako </w:t>
      </w:r>
      <w:r w:rsidR="08CA3AC9" w:rsidRPr="003D1E07">
        <w:rPr>
          <w:lang w:eastAsia="en-US"/>
        </w:rPr>
        <w:lastRenderedPageBreak/>
        <w:t xml:space="preserve">pravdivé představují </w:t>
      </w:r>
      <w:r w:rsidR="00FE4917" w:rsidRPr="003D1E07">
        <w:rPr>
          <w:lang w:eastAsia="en-US"/>
        </w:rPr>
        <w:t xml:space="preserve">metafyzicky zcela </w:t>
      </w:r>
      <w:r w:rsidR="08CA3AC9" w:rsidRPr="003D1E07">
        <w:rPr>
          <w:lang w:eastAsia="en-US"/>
        </w:rPr>
        <w:t xml:space="preserve">odlišné mody bytí jsoucího. Oba mody musí být adekvátně objasněny vzhledem k apodiktickému poznání </w:t>
      </w:r>
      <w:r w:rsidR="08097352" w:rsidRPr="003D1E07">
        <w:rPr>
          <w:lang w:eastAsia="en-US"/>
        </w:rPr>
        <w:t xml:space="preserve">první a druhé </w:t>
      </w:r>
      <w:r w:rsidR="08CA3AC9" w:rsidRPr="003D1E07">
        <w:rPr>
          <w:lang w:eastAsia="en-US"/>
        </w:rPr>
        <w:t>substance</w:t>
      </w:r>
      <w:r w:rsidR="006300EE" w:rsidRPr="003D1E07">
        <w:rPr>
          <w:lang w:eastAsia="en-US"/>
        </w:rPr>
        <w:t>. Její pravdu vyjadřuje logický soud na kategoriální úrovni.</w:t>
      </w:r>
      <w:r w:rsidR="007716E0">
        <w:rPr>
          <w:lang w:eastAsia="en-US"/>
        </w:rPr>
        <w:t xml:space="preserve"> Jenže tam je predikace daná na úrovni čisté homonymie konceptu.</w:t>
      </w:r>
      <w:r w:rsidR="006300EE" w:rsidRPr="003D1E07">
        <w:rPr>
          <w:lang w:eastAsia="en-US"/>
        </w:rPr>
        <w:t xml:space="preserve"> N</w:t>
      </w:r>
      <w:r w:rsidR="00501D51" w:rsidRPr="003D1E07">
        <w:rPr>
          <w:lang w:eastAsia="en-US"/>
        </w:rPr>
        <w:t>a úrovni v</w:t>
      </w:r>
      <w:r w:rsidR="006300EE" w:rsidRPr="003D1E07">
        <w:rPr>
          <w:lang w:eastAsia="en-US"/>
        </w:rPr>
        <w:t>ědeckého poz</w:t>
      </w:r>
      <w:r w:rsidR="009E2C8A" w:rsidRPr="003D1E07">
        <w:rPr>
          <w:lang w:eastAsia="en-US"/>
        </w:rPr>
        <w:t>n</w:t>
      </w:r>
      <w:r w:rsidR="006300EE" w:rsidRPr="003D1E07">
        <w:rPr>
          <w:lang w:eastAsia="en-US"/>
        </w:rPr>
        <w:t xml:space="preserve">ání garantuje pravdu </w:t>
      </w:r>
      <w:r w:rsidR="00501D51" w:rsidRPr="003D1E07">
        <w:rPr>
          <w:lang w:eastAsia="en-US"/>
        </w:rPr>
        <w:t xml:space="preserve">demonstrativní deduktivní sylogismus podle </w:t>
      </w:r>
      <w:r w:rsidR="00501D51" w:rsidRPr="003D1E07">
        <w:rPr>
          <w:i/>
          <w:lang w:eastAsia="en-US"/>
        </w:rPr>
        <w:t>Druhých analytik</w:t>
      </w:r>
      <w:r w:rsidR="006300EE" w:rsidRPr="003D1E07">
        <w:rPr>
          <w:lang w:eastAsia="en-US"/>
        </w:rPr>
        <w:t xml:space="preserve"> založený na predikaci kauzality mezi prvními substancemi</w:t>
      </w:r>
      <w:r w:rsidR="08CA3AC9" w:rsidRPr="003D1E07">
        <w:rPr>
          <w:lang w:eastAsia="en-US"/>
        </w:rPr>
        <w:t xml:space="preserve">. </w:t>
      </w:r>
      <w:r w:rsidR="002E3B62" w:rsidRPr="003D1E07">
        <w:rPr>
          <w:lang w:eastAsia="en-US"/>
        </w:rPr>
        <w:t>Averroes</w:t>
      </w:r>
      <w:r w:rsidR="005C2E09" w:rsidRPr="003D1E07">
        <w:rPr>
          <w:lang w:eastAsia="en-US"/>
        </w:rPr>
        <w:t xml:space="preserve"> je </w:t>
      </w:r>
      <w:r w:rsidR="08C44DB6" w:rsidRPr="003D1E07">
        <w:rPr>
          <w:lang w:eastAsia="en-US"/>
        </w:rPr>
        <w:t xml:space="preserve">po Boethiovi </w:t>
      </w:r>
      <w:r w:rsidR="005C2E09" w:rsidRPr="003D1E07">
        <w:rPr>
          <w:lang w:eastAsia="en-US"/>
        </w:rPr>
        <w:t xml:space="preserve">první myslitel Západu, který </w:t>
      </w:r>
      <w:r w:rsidR="089F42DC" w:rsidRPr="003D1E07">
        <w:rPr>
          <w:lang w:eastAsia="en-US"/>
        </w:rPr>
        <w:t xml:space="preserve">radikálně </w:t>
      </w:r>
      <w:r w:rsidR="005C2E09" w:rsidRPr="003D1E07">
        <w:rPr>
          <w:lang w:eastAsia="en-US"/>
        </w:rPr>
        <w:t xml:space="preserve">oddělil původní výklad Aristotela od </w:t>
      </w:r>
      <w:r w:rsidR="00874074" w:rsidRPr="003D1E07">
        <w:rPr>
          <w:lang w:eastAsia="en-US"/>
        </w:rPr>
        <w:t>neoplatonsk</w:t>
      </w:r>
      <w:r w:rsidR="005C2E09" w:rsidRPr="003D1E07">
        <w:rPr>
          <w:lang w:eastAsia="en-US"/>
        </w:rPr>
        <w:t xml:space="preserve">ých tendencí. Po něm toto dílo zopakují </w:t>
      </w:r>
      <w:r w:rsidR="002E1A49">
        <w:rPr>
          <w:lang w:eastAsia="en-US"/>
        </w:rPr>
        <w:t xml:space="preserve">první </w:t>
      </w:r>
      <w:r w:rsidR="005C2E09" w:rsidRPr="003D1E07">
        <w:rPr>
          <w:lang w:eastAsia="en-US"/>
        </w:rPr>
        <w:t xml:space="preserve">znalci </w:t>
      </w:r>
      <w:r w:rsidR="002E3B62" w:rsidRPr="003D1E07">
        <w:rPr>
          <w:lang w:eastAsia="en-US"/>
        </w:rPr>
        <w:t>Averroes</w:t>
      </w:r>
      <w:r w:rsidR="005C2E09" w:rsidRPr="003D1E07">
        <w:rPr>
          <w:lang w:eastAsia="en-US"/>
        </w:rPr>
        <w:t xml:space="preserve">ova díla v Paříži reprezentovaní </w:t>
      </w:r>
      <w:r w:rsidR="0040492F" w:rsidRPr="003D1E07">
        <w:rPr>
          <w:lang w:eastAsia="en-US"/>
        </w:rPr>
        <w:t>kancléřem Pař</w:t>
      </w:r>
      <w:r w:rsidR="005C2E09" w:rsidRPr="003D1E07">
        <w:rPr>
          <w:lang w:eastAsia="en-US"/>
        </w:rPr>
        <w:t>ížské univerzity a zdej</w:t>
      </w:r>
      <w:r w:rsidR="00AC72D0" w:rsidRPr="003D1E07">
        <w:rPr>
          <w:lang w:eastAsia="en-US"/>
        </w:rPr>
        <w:t>ším biskupem Alvernem, Rogerem Baconem a Albertem Velikým</w:t>
      </w:r>
      <w:r w:rsidR="005C2E09" w:rsidRPr="003D1E07">
        <w:rPr>
          <w:lang w:eastAsia="en-US"/>
        </w:rPr>
        <w:t>.</w:t>
      </w:r>
      <w:r w:rsidR="008D6276">
        <w:rPr>
          <w:lang w:eastAsia="en-US"/>
        </w:rPr>
        <w:t xml:space="preserve"> Jejich boj proti modernistickým „ašaritům“ v Oxfordu a v Paříři dnes tvoří prakticky zapomenutou kapitolu dějin filosofie, které plně redigují vítězní modernisté.</w:t>
      </w:r>
    </w:p>
    <w:p w14:paraId="50875449" w14:textId="77777777" w:rsidR="007475B0" w:rsidRDefault="00AC72D0" w:rsidP="085F5642">
      <w:r w:rsidRPr="003D1E07">
        <w:rPr>
          <w:lang w:eastAsia="en-US"/>
        </w:rPr>
        <w:tab/>
      </w:r>
      <w:r w:rsidR="00F74BBF">
        <w:rPr>
          <w:lang w:eastAsia="en-US"/>
        </w:rPr>
        <w:t xml:space="preserve">Hermeneutika objektivty </w:t>
      </w:r>
      <w:r w:rsidR="0013084A" w:rsidRPr="003D1E07">
        <w:t xml:space="preserve">retrospektivně hledá původní místo, odkud se rozbíhá nový typ vidění metafyziky, který na latinském Západě reprezentuje škola prvního averroismu. </w:t>
      </w:r>
      <w:r w:rsidR="00C862D3" w:rsidRPr="003D1E07">
        <w:rPr>
          <w:lang w:eastAsia="en-US"/>
        </w:rPr>
        <w:t xml:space="preserve">Francouzské vydání </w:t>
      </w:r>
      <w:r w:rsidR="002E3B62" w:rsidRPr="003D1E07">
        <w:rPr>
          <w:lang w:eastAsia="en-US"/>
        </w:rPr>
        <w:t>Averroes</w:t>
      </w:r>
      <w:r w:rsidR="089B1742" w:rsidRPr="003D1E07">
        <w:rPr>
          <w:lang w:eastAsia="en-US"/>
        </w:rPr>
        <w:t>ových s</w:t>
      </w:r>
      <w:r w:rsidR="00C862D3" w:rsidRPr="003D1E07">
        <w:rPr>
          <w:lang w:eastAsia="en-US"/>
        </w:rPr>
        <w:t xml:space="preserve">pisů o blaženosti duše dochovaných v hebrejských překladech ze 13. století mluví o dvou zásadních volbách, které lze najít v </w:t>
      </w:r>
      <w:r w:rsidR="002E3B62" w:rsidRPr="003D1E07">
        <w:rPr>
          <w:lang w:eastAsia="en-US"/>
        </w:rPr>
        <w:t>Averroes</w:t>
      </w:r>
      <w:r w:rsidR="00C862D3" w:rsidRPr="003D1E07">
        <w:rPr>
          <w:lang w:eastAsia="en-US"/>
        </w:rPr>
        <w:t xml:space="preserve">ově filosofii. </w:t>
      </w:r>
      <w:r w:rsidR="08BD1890" w:rsidRPr="003D1E07">
        <w:rPr>
          <w:lang w:eastAsia="en-US"/>
        </w:rPr>
        <w:t>První ontologická volba</w:t>
      </w:r>
      <w:r w:rsidR="00A62B69" w:rsidRPr="003D1E07">
        <w:rPr>
          <w:lang w:eastAsia="en-US"/>
        </w:rPr>
        <w:t xml:space="preserve"> (</w:t>
      </w:r>
      <w:r w:rsidR="00A62B69" w:rsidRPr="003D1E07">
        <w:rPr>
          <w:i/>
          <w:lang w:eastAsia="en-US"/>
        </w:rPr>
        <w:t>décision ontologique</w:t>
      </w:r>
      <w:r w:rsidR="00D75899" w:rsidRPr="003D1E07">
        <w:rPr>
          <w:i/>
          <w:lang w:eastAsia="en-US"/>
        </w:rPr>
        <w:fldChar w:fldCharType="begin"/>
      </w:r>
      <w:r w:rsidR="00D75899" w:rsidRPr="003D1E07">
        <w:instrText xml:space="preserve"> XE "</w:instrText>
      </w:r>
      <w:r w:rsidR="00D75899" w:rsidRPr="003D1E07">
        <w:rPr>
          <w:i/>
          <w:lang w:eastAsia="en-US"/>
        </w:rPr>
        <w:instrText>décision ontologique</w:instrText>
      </w:r>
      <w:r w:rsidR="00D75899" w:rsidRPr="003D1E07">
        <w:instrText xml:space="preserve">" </w:instrText>
      </w:r>
      <w:r w:rsidR="00D75899" w:rsidRPr="003D1E07">
        <w:rPr>
          <w:i/>
          <w:lang w:eastAsia="en-US"/>
        </w:rPr>
        <w:fldChar w:fldCharType="end"/>
      </w:r>
      <w:r w:rsidR="00A62B69" w:rsidRPr="003D1E07">
        <w:rPr>
          <w:lang w:eastAsia="en-US"/>
        </w:rPr>
        <w:t xml:space="preserve">) se týká </w:t>
      </w:r>
      <w:r w:rsidR="00D34B08">
        <w:rPr>
          <w:lang w:eastAsia="en-US"/>
        </w:rPr>
        <w:t xml:space="preserve">fyzikálního </w:t>
      </w:r>
      <w:r w:rsidR="00A62B69" w:rsidRPr="003D1E07">
        <w:rPr>
          <w:lang w:eastAsia="en-US"/>
        </w:rPr>
        <w:t>tělesa, které nemůže mít jinou formu než materiální (</w:t>
      </w:r>
      <w:r w:rsidR="00A62B69" w:rsidRPr="003D1E07">
        <w:t xml:space="preserve">Geoffroy&amp;Steel </w:t>
      </w:r>
      <w:r w:rsidR="00A62B69" w:rsidRPr="003D1E07">
        <w:rPr>
          <w:lang w:eastAsia="en-US"/>
        </w:rPr>
        <w:t>2001, 4</w:t>
      </w:r>
      <w:r w:rsidR="004A76CB" w:rsidRPr="003D1E07">
        <w:rPr>
          <w:lang w:eastAsia="en-US"/>
        </w:rPr>
        <w:t>7</w:t>
      </w:r>
      <w:r w:rsidR="004A76CB" w:rsidRPr="003D1E07">
        <w:t>–</w:t>
      </w:r>
      <w:r w:rsidR="004A76CB" w:rsidRPr="003D1E07">
        <w:rPr>
          <w:lang w:eastAsia="en-US"/>
        </w:rPr>
        <w:t>4</w:t>
      </w:r>
      <w:r w:rsidR="00A62B69" w:rsidRPr="003D1E07">
        <w:rPr>
          <w:lang w:eastAsia="en-US"/>
        </w:rPr>
        <w:t xml:space="preserve">8). </w:t>
      </w:r>
      <w:r w:rsidR="002E3B62" w:rsidRPr="003D1E07">
        <w:rPr>
          <w:lang w:eastAsia="en-US"/>
        </w:rPr>
        <w:t>Averroes</w:t>
      </w:r>
      <w:r w:rsidR="006F0376" w:rsidRPr="003D1E07">
        <w:rPr>
          <w:lang w:eastAsia="en-US"/>
        </w:rPr>
        <w:t xml:space="preserve">ova metafyzická volba jasně odděluje po vzoru </w:t>
      </w:r>
      <w:r w:rsidR="006F0376" w:rsidRPr="003D1E07">
        <w:rPr>
          <w:i/>
          <w:lang w:eastAsia="en-US"/>
        </w:rPr>
        <w:t>Kategorií</w:t>
      </w:r>
      <w:r w:rsidR="006F0376" w:rsidRPr="003D1E07">
        <w:rPr>
          <w:lang w:eastAsia="en-US"/>
        </w:rPr>
        <w:t xml:space="preserve"> nedělitelnou první substanci </w:t>
      </w:r>
      <w:r w:rsidR="00CF0C81" w:rsidRPr="003D1E07">
        <w:rPr>
          <w:lang w:eastAsia="en-US"/>
        </w:rPr>
        <w:t xml:space="preserve">od </w:t>
      </w:r>
      <w:r w:rsidR="006F0376" w:rsidRPr="003D1E07">
        <w:rPr>
          <w:lang w:eastAsia="en-US"/>
        </w:rPr>
        <w:t>konceptuální</w:t>
      </w:r>
      <w:r w:rsidR="00CF0C81" w:rsidRPr="003D1E07">
        <w:rPr>
          <w:lang w:eastAsia="en-US"/>
        </w:rPr>
        <w:t>ho</w:t>
      </w:r>
      <w:r w:rsidR="006F0376" w:rsidRPr="003D1E07">
        <w:rPr>
          <w:lang w:eastAsia="en-US"/>
        </w:rPr>
        <w:t xml:space="preserve"> poznání. </w:t>
      </w:r>
      <w:r w:rsidR="08B41C09" w:rsidRPr="003D1E07">
        <w:rPr>
          <w:lang w:eastAsia="en-US"/>
        </w:rPr>
        <w:t xml:space="preserve">Totéž platí i pro určení </w:t>
      </w:r>
      <w:r w:rsidR="001A4B95" w:rsidRPr="003D1E07">
        <w:rPr>
          <w:lang w:eastAsia="en-US"/>
        </w:rPr>
        <w:t xml:space="preserve">reálného </w:t>
      </w:r>
      <w:r w:rsidR="08B41C09" w:rsidRPr="003D1E07">
        <w:rPr>
          <w:lang w:eastAsia="en-US"/>
        </w:rPr>
        <w:t xml:space="preserve">člověka a </w:t>
      </w:r>
      <w:r w:rsidR="001A4B95" w:rsidRPr="003D1E07">
        <w:rPr>
          <w:lang w:eastAsia="en-US"/>
        </w:rPr>
        <w:t xml:space="preserve">našeho </w:t>
      </w:r>
      <w:r w:rsidR="08B41C09" w:rsidRPr="003D1E07">
        <w:rPr>
          <w:lang w:eastAsia="en-US"/>
        </w:rPr>
        <w:t xml:space="preserve">poznání. </w:t>
      </w:r>
      <w:r w:rsidR="006F0376" w:rsidRPr="003D1E07">
        <w:rPr>
          <w:lang w:eastAsia="en-US"/>
        </w:rPr>
        <w:t xml:space="preserve">Duše je forma existujícího těla, nikoliv Avicennova oddělená </w:t>
      </w:r>
      <w:r w:rsidR="085A2D16" w:rsidRPr="003D1E07">
        <w:rPr>
          <w:lang w:eastAsia="en-US"/>
        </w:rPr>
        <w:t xml:space="preserve">objektivní </w:t>
      </w:r>
      <w:r w:rsidR="006F0376" w:rsidRPr="003D1E07">
        <w:rPr>
          <w:lang w:eastAsia="en-US"/>
        </w:rPr>
        <w:t>substance</w:t>
      </w:r>
      <w:r w:rsidR="00A70FA4" w:rsidRPr="003D1E07">
        <w:rPr>
          <w:lang w:eastAsia="en-US"/>
        </w:rPr>
        <w:fldChar w:fldCharType="begin"/>
      </w:r>
      <w:r w:rsidR="00A70FA4" w:rsidRPr="003D1E07">
        <w:instrText xml:space="preserve"> XE "substance</w:instrText>
      </w:r>
      <w:r w:rsidR="00D173AC" w:rsidRPr="003D1E07">
        <w:instrText>:Avicenna</w:instrText>
      </w:r>
      <w:r w:rsidR="00A70FA4" w:rsidRPr="003D1E07">
        <w:instrText xml:space="preserve">" </w:instrText>
      </w:r>
      <w:r w:rsidR="00A70FA4" w:rsidRPr="003D1E07">
        <w:rPr>
          <w:lang w:eastAsia="en-US"/>
        </w:rPr>
        <w:fldChar w:fldCharType="end"/>
      </w:r>
      <w:r w:rsidR="006F0376" w:rsidRPr="003D1E07">
        <w:rPr>
          <w:lang w:eastAsia="en-US"/>
        </w:rPr>
        <w:t xml:space="preserve">. </w:t>
      </w:r>
      <w:r w:rsidR="08A97A3B" w:rsidRPr="003D1E07">
        <w:rPr>
          <w:lang w:eastAsia="en-US"/>
        </w:rPr>
        <w:t xml:space="preserve">Lidské tělo je jedno, živé a poznávající skrze intelektuální </w:t>
      </w:r>
      <w:r w:rsidR="08C431C9" w:rsidRPr="003D1E07">
        <w:rPr>
          <w:lang w:eastAsia="en-US"/>
        </w:rPr>
        <w:t>duši, jež tvoří aktuální formu „</w:t>
      </w:r>
      <w:r w:rsidR="08A97A3B" w:rsidRPr="003D1E07">
        <w:rPr>
          <w:lang w:eastAsia="en-US"/>
        </w:rPr>
        <w:t xml:space="preserve">tohoto“ těla určující jedinečnou osobu. Toto pojetí vylučuje zdvojení formy či substance v člověku </w:t>
      </w:r>
      <w:r w:rsidR="00A032BB">
        <w:rPr>
          <w:lang w:eastAsia="en-US"/>
        </w:rPr>
        <w:t xml:space="preserve">jako </w:t>
      </w:r>
      <w:r w:rsidR="08A97A3B" w:rsidRPr="003D1E07">
        <w:rPr>
          <w:lang w:eastAsia="en-US"/>
        </w:rPr>
        <w:t xml:space="preserve">první </w:t>
      </w:r>
      <w:r w:rsidR="00A032BB">
        <w:rPr>
          <w:lang w:eastAsia="en-US"/>
        </w:rPr>
        <w:t>a objektivní substanci</w:t>
      </w:r>
      <w:r w:rsidR="08A97A3B" w:rsidRPr="003D1E07">
        <w:rPr>
          <w:lang w:eastAsia="en-US"/>
        </w:rPr>
        <w:t xml:space="preserve">. </w:t>
      </w:r>
      <w:r w:rsidR="00A032BB">
        <w:rPr>
          <w:lang w:eastAsia="en-US"/>
        </w:rPr>
        <w:t>H</w:t>
      </w:r>
      <w:r w:rsidR="006F0376" w:rsidRPr="003D1E07">
        <w:rPr>
          <w:lang w:eastAsia="en-US"/>
        </w:rPr>
        <w:t>y</w:t>
      </w:r>
      <w:r w:rsidR="08C733C0" w:rsidRPr="003D1E07">
        <w:rPr>
          <w:lang w:eastAsia="en-US"/>
        </w:rPr>
        <w:t xml:space="preserve">lemorfická jednota existující osoby </w:t>
      </w:r>
      <w:r w:rsidR="006F0376" w:rsidRPr="003D1E07">
        <w:rPr>
          <w:lang w:eastAsia="en-US"/>
        </w:rPr>
        <w:t xml:space="preserve">je reálná, proto nemůže být narušena žádným konceptuálním přídavkem, který by do ní vnesl mnohost </w:t>
      </w:r>
      <w:r w:rsidR="002608B9">
        <w:rPr>
          <w:lang w:eastAsia="en-US"/>
        </w:rPr>
        <w:t xml:space="preserve">hypostázovaných </w:t>
      </w:r>
      <w:r w:rsidR="006F0376" w:rsidRPr="003D1E07">
        <w:rPr>
          <w:lang w:eastAsia="en-US"/>
        </w:rPr>
        <w:t>forem</w:t>
      </w:r>
      <w:r w:rsidR="00695269" w:rsidRPr="003D1E07">
        <w:rPr>
          <w:lang w:eastAsia="en-US"/>
        </w:rPr>
        <w:fldChar w:fldCharType="begin"/>
      </w:r>
      <w:r w:rsidR="00695269" w:rsidRPr="003D1E07">
        <w:instrText xml:space="preserve"> XE "substance:první" </w:instrText>
      </w:r>
      <w:r w:rsidR="00695269" w:rsidRPr="003D1E07">
        <w:rPr>
          <w:lang w:eastAsia="en-US"/>
        </w:rPr>
        <w:fldChar w:fldCharType="end"/>
      </w:r>
      <w:r w:rsidR="006F0376" w:rsidRPr="003D1E07">
        <w:rPr>
          <w:lang w:eastAsia="en-US"/>
        </w:rPr>
        <w:t xml:space="preserve">. </w:t>
      </w:r>
      <w:r w:rsidR="006517F9" w:rsidRPr="003D1E07">
        <w:rPr>
          <w:lang w:eastAsia="en-US"/>
        </w:rPr>
        <w:t xml:space="preserve">Druhá ontologická volba zmíněná francouzskými komentátory se týkala změněného statutu Alexandrova materiálního intelektu. Protože intelekt přijímá inteligibilní formy, musí mít nemateriální povahu podobně jako kosmický aktivní intelekt. </w:t>
      </w:r>
      <w:r w:rsidR="002E3B62" w:rsidRPr="003D1E07">
        <w:rPr>
          <w:lang w:eastAsia="en-US"/>
        </w:rPr>
        <w:t>Averroes</w:t>
      </w:r>
      <w:r w:rsidR="006517F9" w:rsidRPr="003D1E07">
        <w:rPr>
          <w:lang w:eastAsia="en-US"/>
        </w:rPr>
        <w:t xml:space="preserve"> tvrdí ve shodě s Alexandrem, že inteligibilia jsou nemateriální povahy. </w:t>
      </w:r>
      <w:r w:rsidR="00CF0C81" w:rsidRPr="003D1E07">
        <w:rPr>
          <w:lang w:eastAsia="en-US"/>
        </w:rPr>
        <w:t>A z</w:t>
      </w:r>
      <w:r w:rsidR="006517F9" w:rsidRPr="003D1E07">
        <w:rPr>
          <w:lang w:eastAsia="en-US"/>
        </w:rPr>
        <w:t>ároveň tvrdí s Themistiem, že intelekt je poznávající dispozice duše vázaná na individuální materiální tělo podléhající vzniku a zániku (</w:t>
      </w:r>
      <w:r w:rsidR="006517F9" w:rsidRPr="003D1E07">
        <w:t xml:space="preserve">Geoffroy&amp;Steel </w:t>
      </w:r>
      <w:r w:rsidR="006517F9" w:rsidRPr="003D1E07">
        <w:rPr>
          <w:lang w:eastAsia="en-US"/>
        </w:rPr>
        <w:t>2001, 64</w:t>
      </w:r>
      <w:r w:rsidR="006517F9" w:rsidRPr="003D1E07">
        <w:t>–67</w:t>
      </w:r>
      <w:r w:rsidR="006517F9" w:rsidRPr="003D1E07">
        <w:rPr>
          <w:lang w:eastAsia="en-US"/>
        </w:rPr>
        <w:t xml:space="preserve">). </w:t>
      </w:r>
      <w:r w:rsidR="00B34ED0" w:rsidRPr="003D1E07">
        <w:rPr>
          <w:lang w:eastAsia="en-US"/>
        </w:rPr>
        <w:t xml:space="preserve">Vázanost myšlení na </w:t>
      </w:r>
      <w:r w:rsidR="0034600E" w:rsidRPr="003D1E07">
        <w:rPr>
          <w:lang w:eastAsia="en-US"/>
        </w:rPr>
        <w:t xml:space="preserve">jedinečnou substanci </w:t>
      </w:r>
      <w:r w:rsidR="00A61CA6" w:rsidRPr="003D1E07">
        <w:rPr>
          <w:lang w:eastAsia="en-US"/>
        </w:rPr>
        <w:t xml:space="preserve">člověka </w:t>
      </w:r>
      <w:r w:rsidR="0034600E" w:rsidRPr="003D1E07">
        <w:rPr>
          <w:lang w:eastAsia="en-US"/>
        </w:rPr>
        <w:t xml:space="preserve">s duší jako </w:t>
      </w:r>
      <w:r w:rsidR="08EF6204" w:rsidRPr="003D1E07">
        <w:rPr>
          <w:lang w:eastAsia="en-US"/>
        </w:rPr>
        <w:t xml:space="preserve">entelechickou </w:t>
      </w:r>
      <w:r w:rsidR="00E47B47" w:rsidRPr="003D1E07">
        <w:rPr>
          <w:lang w:eastAsia="en-US"/>
        </w:rPr>
        <w:t xml:space="preserve">formou </w:t>
      </w:r>
      <w:r w:rsidR="00ED5939">
        <w:rPr>
          <w:lang w:eastAsia="en-US"/>
        </w:rPr>
        <w:t>je velmi důležitý poznatek</w:t>
      </w:r>
      <w:r w:rsidR="00821ECB" w:rsidRPr="003D1E07">
        <w:rPr>
          <w:lang w:eastAsia="en-US"/>
        </w:rPr>
        <w:t xml:space="preserve">. </w:t>
      </w:r>
      <w:r w:rsidR="00821ECB" w:rsidRPr="003D1E07">
        <w:rPr>
          <w:lang w:eastAsia="en-US"/>
        </w:rPr>
        <w:lastRenderedPageBreak/>
        <w:t xml:space="preserve">Důraz na </w:t>
      </w:r>
      <w:r w:rsidR="0034600E" w:rsidRPr="003D1E07">
        <w:rPr>
          <w:lang w:eastAsia="en-US"/>
        </w:rPr>
        <w:t>jedinečné materiální</w:t>
      </w:r>
      <w:r w:rsidR="00821ECB" w:rsidRPr="003D1E07">
        <w:rPr>
          <w:lang w:eastAsia="en-US"/>
        </w:rPr>
        <w:t xml:space="preserve"> tělo jako jedinou substanci </w:t>
      </w:r>
      <w:r w:rsidR="00B34ED0" w:rsidRPr="003D1E07">
        <w:rPr>
          <w:lang w:eastAsia="en-US"/>
        </w:rPr>
        <w:t>zrušil Alexandrovo pojetí materiálního intelektu</w:t>
      </w:r>
      <w:r w:rsidR="00695269" w:rsidRPr="003D1E07">
        <w:rPr>
          <w:lang w:eastAsia="en-US"/>
        </w:rPr>
        <w:fldChar w:fldCharType="begin"/>
      </w:r>
      <w:r w:rsidR="00695269" w:rsidRPr="003D1E07">
        <w:instrText xml:space="preserve"> XE "</w:instrText>
      </w:r>
      <w:r w:rsidR="00695269" w:rsidRPr="003D1E07">
        <w:rPr>
          <w:i/>
        </w:rPr>
        <w:instrText>intellectus materialis</w:instrText>
      </w:r>
      <w:r w:rsidR="00695269" w:rsidRPr="003D1E07">
        <w:instrText>:</w:instrText>
      </w:r>
      <w:r w:rsidR="002E3B62" w:rsidRPr="003D1E07">
        <w:instrText>Averroes</w:instrText>
      </w:r>
      <w:r w:rsidR="00695269" w:rsidRPr="003D1E07">
        <w:instrText xml:space="preserve">" </w:instrText>
      </w:r>
      <w:r w:rsidR="00695269" w:rsidRPr="003D1E07">
        <w:rPr>
          <w:lang w:eastAsia="en-US"/>
        </w:rPr>
        <w:fldChar w:fldCharType="end"/>
      </w:r>
      <w:r w:rsidR="0034600E" w:rsidRPr="003D1E07">
        <w:rPr>
          <w:lang w:eastAsia="en-US"/>
        </w:rPr>
        <w:t xml:space="preserve">. </w:t>
      </w:r>
      <w:r w:rsidR="00821ECB" w:rsidRPr="003D1E07">
        <w:rPr>
          <w:lang w:eastAsia="en-US"/>
        </w:rPr>
        <w:t xml:space="preserve">Alexandrův hylický intelekt </w:t>
      </w:r>
      <w:r w:rsidR="001A5A6E" w:rsidRPr="003D1E07">
        <w:rPr>
          <w:lang w:eastAsia="en-US"/>
        </w:rPr>
        <w:t>by se stal samostatným substrátem myšlení</w:t>
      </w:r>
      <w:r w:rsidR="00946B83" w:rsidRPr="003D1E07">
        <w:rPr>
          <w:lang w:eastAsia="en-US"/>
        </w:rPr>
        <w:t xml:space="preserve"> </w:t>
      </w:r>
      <w:r w:rsidR="001A5A6E" w:rsidRPr="003D1E07">
        <w:rPr>
          <w:lang w:eastAsia="en-US"/>
        </w:rPr>
        <w:t>n</w:t>
      </w:r>
      <w:r w:rsidR="00946B83" w:rsidRPr="003D1E07">
        <w:rPr>
          <w:lang w:eastAsia="en-US"/>
        </w:rPr>
        <w:t>a</w:t>
      </w:r>
      <w:r w:rsidR="00821ECB" w:rsidRPr="003D1E07">
        <w:rPr>
          <w:lang w:eastAsia="en-US"/>
        </w:rPr>
        <w:t xml:space="preserve"> způsob aktuální </w:t>
      </w:r>
      <w:r w:rsidR="003E3C68" w:rsidRPr="003D1E07">
        <w:rPr>
          <w:lang w:eastAsia="en-US"/>
        </w:rPr>
        <w:t>formy</w:t>
      </w:r>
      <w:r w:rsidR="00A61CA6" w:rsidRPr="003D1E07">
        <w:rPr>
          <w:lang w:eastAsia="en-US"/>
        </w:rPr>
        <w:t xml:space="preserve">. Toto </w:t>
      </w:r>
      <w:r w:rsidR="00722B30" w:rsidRPr="003D1E07">
        <w:rPr>
          <w:lang w:eastAsia="en-US"/>
        </w:rPr>
        <w:t xml:space="preserve">fatální </w:t>
      </w:r>
      <w:r w:rsidR="00A61CA6" w:rsidRPr="003D1E07">
        <w:rPr>
          <w:lang w:eastAsia="en-US"/>
        </w:rPr>
        <w:t xml:space="preserve">modernistické řešení </w:t>
      </w:r>
      <w:r w:rsidR="0825297E" w:rsidRPr="003D1E07">
        <w:rPr>
          <w:lang w:eastAsia="en-US"/>
        </w:rPr>
        <w:t xml:space="preserve">nechtěně </w:t>
      </w:r>
      <w:r w:rsidR="00A61CA6" w:rsidRPr="003D1E07">
        <w:rPr>
          <w:lang w:eastAsia="en-US"/>
        </w:rPr>
        <w:t xml:space="preserve">zavedl </w:t>
      </w:r>
      <w:r w:rsidR="08244F03" w:rsidRPr="003D1E07">
        <w:rPr>
          <w:lang w:eastAsia="en-US"/>
        </w:rPr>
        <w:t>Al-</w:t>
      </w:r>
      <w:r w:rsidR="008E02F5" w:rsidRPr="003D1E07">
        <w:rPr>
          <w:lang w:eastAsia="en-US"/>
        </w:rPr>
        <w:t>Fárábí</w:t>
      </w:r>
      <w:r w:rsidR="00007B6D" w:rsidRPr="003D1E07">
        <w:rPr>
          <w:lang w:eastAsia="en-US"/>
        </w:rPr>
        <w:t xml:space="preserve">, </w:t>
      </w:r>
      <w:r w:rsidR="00A61CA6" w:rsidRPr="003D1E07">
        <w:rPr>
          <w:lang w:eastAsia="en-US"/>
        </w:rPr>
        <w:t xml:space="preserve">který se snažil spojit </w:t>
      </w:r>
      <w:r w:rsidR="00B37527" w:rsidRPr="003D1E07">
        <w:rPr>
          <w:lang w:eastAsia="en-US"/>
        </w:rPr>
        <w:t xml:space="preserve">Aristotela i </w:t>
      </w:r>
      <w:r w:rsidR="008E02F5" w:rsidRPr="003D1E07">
        <w:rPr>
          <w:lang w:eastAsia="en-US"/>
        </w:rPr>
        <w:t>Platon</w:t>
      </w:r>
      <w:r w:rsidR="00B37527" w:rsidRPr="003D1E07">
        <w:rPr>
          <w:lang w:eastAsia="en-US"/>
        </w:rPr>
        <w:t xml:space="preserve">a </w:t>
      </w:r>
      <w:r w:rsidR="00A61CA6" w:rsidRPr="003D1E07">
        <w:rPr>
          <w:lang w:eastAsia="en-US"/>
        </w:rPr>
        <w:t xml:space="preserve">a vytvořil tímto synkretismem novou </w:t>
      </w:r>
      <w:r w:rsidR="00B37527" w:rsidRPr="003D1E07">
        <w:rPr>
          <w:lang w:eastAsia="en-US"/>
        </w:rPr>
        <w:t>receptivní složku</w:t>
      </w:r>
      <w:r w:rsidR="009954AF" w:rsidRPr="003D1E07">
        <w:rPr>
          <w:lang w:eastAsia="en-US"/>
        </w:rPr>
        <w:t xml:space="preserve"> poznání </w:t>
      </w:r>
      <w:r w:rsidR="001A5A6E" w:rsidRPr="003D1E07">
        <w:rPr>
          <w:lang w:eastAsia="en-US"/>
        </w:rPr>
        <w:t xml:space="preserve">(kap. </w:t>
      </w:r>
      <w:r w:rsidR="00B240BB" w:rsidRPr="003D1E07">
        <w:rPr>
          <w:lang w:eastAsia="en-US"/>
        </w:rPr>
        <w:t>2.1.1</w:t>
      </w:r>
      <w:r w:rsidR="001A5A6E" w:rsidRPr="003D1E07">
        <w:rPr>
          <w:lang w:eastAsia="en-US"/>
        </w:rPr>
        <w:t xml:space="preserve">). </w:t>
      </w:r>
      <w:r w:rsidR="002E3B62" w:rsidRPr="003D1E07">
        <w:rPr>
          <w:lang w:eastAsia="en-US"/>
        </w:rPr>
        <w:t>Averroes</w:t>
      </w:r>
      <w:r w:rsidR="00CF0EC9" w:rsidRPr="003D1E07">
        <w:rPr>
          <w:lang w:eastAsia="en-US"/>
        </w:rPr>
        <w:t xml:space="preserve"> ve </w:t>
      </w:r>
      <w:r w:rsidR="00CF0EC9" w:rsidRPr="003D1E07">
        <w:rPr>
          <w:i/>
          <w:lang w:eastAsia="en-US"/>
        </w:rPr>
        <w:t>V</w:t>
      </w:r>
      <w:r w:rsidR="00A773FC" w:rsidRPr="003D1E07">
        <w:rPr>
          <w:i/>
          <w:lang w:eastAsia="en-US"/>
        </w:rPr>
        <w:t>elkém komentáři k</w:t>
      </w:r>
      <w:r w:rsidR="00A773FC" w:rsidRPr="003D1E07">
        <w:rPr>
          <w:lang w:eastAsia="en-US"/>
        </w:rPr>
        <w:t xml:space="preserve"> </w:t>
      </w:r>
      <w:r w:rsidR="00B713C5" w:rsidRPr="003D1E07">
        <w:rPr>
          <w:i/>
          <w:lang w:eastAsia="en-US"/>
        </w:rPr>
        <w:t>De anima</w:t>
      </w:r>
      <w:r w:rsidR="00A773FC" w:rsidRPr="003D1E07">
        <w:rPr>
          <w:lang w:eastAsia="en-US"/>
        </w:rPr>
        <w:t xml:space="preserve"> </w:t>
      </w:r>
      <w:r w:rsidR="00A3727B" w:rsidRPr="003D1E07">
        <w:rPr>
          <w:lang w:eastAsia="en-US"/>
        </w:rPr>
        <w:t xml:space="preserve">(dále CMDA) </w:t>
      </w:r>
      <w:r w:rsidR="00A773FC" w:rsidRPr="003D1E07">
        <w:rPr>
          <w:lang w:eastAsia="en-US"/>
        </w:rPr>
        <w:t xml:space="preserve">zařadil Alexandrův materiální intelekt do smyslové části duše a </w:t>
      </w:r>
      <w:r w:rsidR="00AD199F" w:rsidRPr="003D1E07">
        <w:rPr>
          <w:lang w:eastAsia="en-US"/>
        </w:rPr>
        <w:t xml:space="preserve">transformoval </w:t>
      </w:r>
      <w:r w:rsidR="08244F03" w:rsidRPr="003D1E07">
        <w:rPr>
          <w:lang w:eastAsia="en-US"/>
        </w:rPr>
        <w:t>Al-</w:t>
      </w:r>
      <w:r w:rsidR="008E02F5" w:rsidRPr="003D1E07">
        <w:rPr>
          <w:lang w:eastAsia="en-US"/>
        </w:rPr>
        <w:t>Fárábí</w:t>
      </w:r>
      <w:r w:rsidR="003F769C" w:rsidRPr="003D1E07">
        <w:rPr>
          <w:lang w:eastAsia="en-US"/>
        </w:rPr>
        <w:t xml:space="preserve">ho </w:t>
      </w:r>
      <w:r w:rsidR="00AD199F" w:rsidRPr="003D1E07">
        <w:rPr>
          <w:i/>
          <w:lang w:eastAsia="en-US"/>
        </w:rPr>
        <w:t>intelle</w:t>
      </w:r>
      <w:r w:rsidR="0897372E" w:rsidRPr="003D1E07">
        <w:rPr>
          <w:i/>
          <w:lang w:eastAsia="en-US"/>
        </w:rPr>
        <w:t>ctus in potenc</w:t>
      </w:r>
      <w:r w:rsidR="00AD199F" w:rsidRPr="003D1E07">
        <w:rPr>
          <w:i/>
          <w:lang w:eastAsia="en-US"/>
        </w:rPr>
        <w:t>ia</w:t>
      </w:r>
      <w:r w:rsidR="00AD199F" w:rsidRPr="003D1E07">
        <w:rPr>
          <w:lang w:eastAsia="en-US"/>
        </w:rPr>
        <w:t xml:space="preserve"> na novou formu receptivní schopnosti duše </w:t>
      </w:r>
      <w:r w:rsidR="00A773FC" w:rsidRPr="003D1E07">
        <w:rPr>
          <w:lang w:eastAsia="en-US"/>
        </w:rPr>
        <w:t>(</w:t>
      </w:r>
      <w:r w:rsidR="00A773FC" w:rsidRPr="003D1E07">
        <w:rPr>
          <w:i/>
          <w:lang w:eastAsia="en-US"/>
        </w:rPr>
        <w:t>intellectus possibilis</w:t>
      </w:r>
      <w:r w:rsidR="009D323B" w:rsidRPr="003D1E07">
        <w:rPr>
          <w:i/>
          <w:lang w:eastAsia="en-US"/>
        </w:rPr>
        <w:fldChar w:fldCharType="begin"/>
      </w:r>
      <w:r w:rsidR="009D323B" w:rsidRPr="003D1E07">
        <w:instrText xml:space="preserve"> XE "</w:instrText>
      </w:r>
      <w:r w:rsidR="009D323B" w:rsidRPr="003D1E07">
        <w:rPr>
          <w:i/>
        </w:rPr>
        <w:instrText>intellectus possibilis</w:instrText>
      </w:r>
      <w:r w:rsidR="00695269" w:rsidRPr="003D1E07">
        <w:instrText>:</w:instrText>
      </w:r>
      <w:r w:rsidR="002E3B62" w:rsidRPr="003D1E07">
        <w:instrText>Averroes</w:instrText>
      </w:r>
      <w:r w:rsidR="009D323B" w:rsidRPr="003D1E07">
        <w:instrText xml:space="preserve">" </w:instrText>
      </w:r>
      <w:r w:rsidR="009D323B" w:rsidRPr="003D1E07">
        <w:rPr>
          <w:i/>
          <w:lang w:eastAsia="en-US"/>
        </w:rPr>
        <w:fldChar w:fldCharType="end"/>
      </w:r>
      <w:r w:rsidR="00A773FC" w:rsidRPr="003D1E07">
        <w:rPr>
          <w:lang w:eastAsia="en-US"/>
        </w:rPr>
        <w:t xml:space="preserve">). Nemateriální duše přijímá smyslové formy a pak z nich abstrahuje </w:t>
      </w:r>
      <w:r w:rsidR="004C2CFE" w:rsidRPr="003D1E07">
        <w:rPr>
          <w:lang w:eastAsia="en-US"/>
        </w:rPr>
        <w:t>nemateriální formy v prostředí pasivního intelektu</w:t>
      </w:r>
      <w:r w:rsidR="00A773FC" w:rsidRPr="003D1E07">
        <w:rPr>
          <w:lang w:eastAsia="en-US"/>
        </w:rPr>
        <w:t xml:space="preserve">. Výsledná jednota smyslového a intelektuálního poznání je dána tím, že </w:t>
      </w:r>
      <w:r w:rsidR="00F94FA9" w:rsidRPr="003D1E07">
        <w:rPr>
          <w:lang w:eastAsia="en-US"/>
        </w:rPr>
        <w:t xml:space="preserve">nemateriální </w:t>
      </w:r>
      <w:r w:rsidR="00A773FC" w:rsidRPr="003D1E07">
        <w:rPr>
          <w:lang w:eastAsia="en-US"/>
        </w:rPr>
        <w:t xml:space="preserve">intelekt přítomný v individuální duši </w:t>
      </w:r>
      <w:r w:rsidR="00AB048F" w:rsidRPr="003D1E07">
        <w:rPr>
          <w:lang w:eastAsia="en-US"/>
        </w:rPr>
        <w:t xml:space="preserve">je v modu </w:t>
      </w:r>
      <w:r w:rsidR="00AB048F" w:rsidRPr="003D1E07">
        <w:rPr>
          <w:i/>
          <w:lang w:eastAsia="en-US"/>
        </w:rPr>
        <w:t>per prius</w:t>
      </w:r>
      <w:r w:rsidR="00AB048F" w:rsidRPr="003D1E07">
        <w:rPr>
          <w:lang w:eastAsia="en-US"/>
        </w:rPr>
        <w:t xml:space="preserve"> determinován jako čistá potence</w:t>
      </w:r>
      <w:r w:rsidR="00A773FC" w:rsidRPr="003D1E07">
        <w:rPr>
          <w:lang w:eastAsia="en-US"/>
        </w:rPr>
        <w:t xml:space="preserve">. Receptivita vázaná na úkon </w:t>
      </w:r>
      <w:r w:rsidR="00A773FC" w:rsidRPr="003D1E07">
        <w:rPr>
          <w:i/>
          <w:lang w:eastAsia="en-US"/>
        </w:rPr>
        <w:t>intellectus possibilis</w:t>
      </w:r>
      <w:r w:rsidR="00A773FC" w:rsidRPr="003D1E07">
        <w:rPr>
          <w:lang w:eastAsia="en-US"/>
        </w:rPr>
        <w:t xml:space="preserve"> způsobí, že mysl je disponována k přijetí </w:t>
      </w:r>
      <w:r w:rsidR="08A97A3B" w:rsidRPr="003D1E07">
        <w:rPr>
          <w:lang w:eastAsia="en-US"/>
        </w:rPr>
        <w:t xml:space="preserve">všech </w:t>
      </w:r>
      <w:r w:rsidR="00A773FC" w:rsidRPr="003D1E07">
        <w:rPr>
          <w:lang w:eastAsia="en-US"/>
        </w:rPr>
        <w:t xml:space="preserve">nemateriálních forem. </w:t>
      </w:r>
      <w:r w:rsidR="08A97A3B" w:rsidRPr="003D1E07">
        <w:rPr>
          <w:lang w:eastAsia="en-US"/>
        </w:rPr>
        <w:t>Neoplatonská m</w:t>
      </w:r>
      <w:r w:rsidR="002A5A38" w:rsidRPr="003D1E07">
        <w:rPr>
          <w:lang w:eastAsia="en-US"/>
        </w:rPr>
        <w:t xml:space="preserve">nohost forem </w:t>
      </w:r>
      <w:r w:rsidR="08A97A3B" w:rsidRPr="003D1E07">
        <w:rPr>
          <w:lang w:eastAsia="en-US"/>
        </w:rPr>
        <w:t>či dokonce substancí</w:t>
      </w:r>
      <w:r w:rsidR="00CD3317" w:rsidRPr="003D1E07">
        <w:rPr>
          <w:lang w:eastAsia="en-US"/>
        </w:rPr>
        <w:t xml:space="preserve"> </w:t>
      </w:r>
      <w:r w:rsidR="002A5A38" w:rsidRPr="003D1E07">
        <w:rPr>
          <w:lang w:eastAsia="en-US"/>
        </w:rPr>
        <w:t>by způsobila, že p</w:t>
      </w:r>
      <w:r w:rsidR="00016108" w:rsidRPr="003D1E07">
        <w:rPr>
          <w:lang w:eastAsia="en-US"/>
        </w:rPr>
        <w:t>oznání p</w:t>
      </w:r>
      <w:r w:rsidR="00D73126" w:rsidRPr="003D1E07">
        <w:rPr>
          <w:lang w:eastAsia="en-US"/>
        </w:rPr>
        <w:t xml:space="preserve">řidané </w:t>
      </w:r>
      <w:r w:rsidR="00016108" w:rsidRPr="003D1E07">
        <w:rPr>
          <w:lang w:eastAsia="en-US"/>
        </w:rPr>
        <w:t>z</w:t>
      </w:r>
      <w:r w:rsidR="00D73126" w:rsidRPr="003D1E07">
        <w:rPr>
          <w:lang w:eastAsia="en-US"/>
        </w:rPr>
        <w:t>v</w:t>
      </w:r>
      <w:r w:rsidR="00016108" w:rsidRPr="003D1E07">
        <w:rPr>
          <w:lang w:eastAsia="en-US"/>
        </w:rPr>
        <w:t>nějšku by bylo v nejlepším případě pouhým akcidentem</w:t>
      </w:r>
      <w:r w:rsidR="005C1714" w:rsidRPr="003D1E07">
        <w:rPr>
          <w:lang w:eastAsia="en-US"/>
        </w:rPr>
        <w:t xml:space="preserve">. Pak </w:t>
      </w:r>
      <w:r w:rsidR="00016108" w:rsidRPr="003D1E07">
        <w:rPr>
          <w:lang w:eastAsia="en-US"/>
        </w:rPr>
        <w:t xml:space="preserve">by </w:t>
      </w:r>
      <w:r w:rsidR="005C1714" w:rsidRPr="003D1E07">
        <w:rPr>
          <w:lang w:eastAsia="en-US"/>
        </w:rPr>
        <w:t xml:space="preserve">nemateriální </w:t>
      </w:r>
      <w:r w:rsidR="00016108" w:rsidRPr="003D1E07">
        <w:rPr>
          <w:lang w:eastAsia="en-US"/>
        </w:rPr>
        <w:t>intelekt v podobě oddělené formy někdy v těle působil</w:t>
      </w:r>
      <w:r w:rsidR="083441CA" w:rsidRPr="003D1E07">
        <w:rPr>
          <w:lang w:eastAsia="en-US"/>
        </w:rPr>
        <w:t>,</w:t>
      </w:r>
      <w:r w:rsidR="00016108" w:rsidRPr="003D1E07">
        <w:rPr>
          <w:lang w:eastAsia="en-US"/>
        </w:rPr>
        <w:t xml:space="preserve"> a jindy nikoliv. </w:t>
      </w:r>
      <w:r w:rsidR="08970157" w:rsidRPr="003D1E07">
        <w:rPr>
          <w:lang w:eastAsia="en-US"/>
        </w:rPr>
        <w:t xml:space="preserve">Teorie </w:t>
      </w:r>
      <w:r w:rsidR="08F23A05" w:rsidRPr="003D1E07">
        <w:rPr>
          <w:lang w:eastAsia="en-US"/>
        </w:rPr>
        <w:t xml:space="preserve">odděleného </w:t>
      </w:r>
      <w:r w:rsidR="00B37FBD" w:rsidRPr="003D1E07">
        <w:rPr>
          <w:lang w:eastAsia="en-US"/>
        </w:rPr>
        <w:t xml:space="preserve">intelektu </w:t>
      </w:r>
      <w:r w:rsidR="08F23A05" w:rsidRPr="003D1E07">
        <w:rPr>
          <w:lang w:eastAsia="en-US"/>
        </w:rPr>
        <w:t xml:space="preserve">stojí v rozporu se zakoušeným </w:t>
      </w:r>
      <w:r w:rsidR="004D4D5A" w:rsidRPr="003D1E07">
        <w:rPr>
          <w:lang w:eastAsia="en-US"/>
        </w:rPr>
        <w:t>volní</w:t>
      </w:r>
      <w:r w:rsidR="08F23A05" w:rsidRPr="003D1E07">
        <w:rPr>
          <w:lang w:eastAsia="en-US"/>
        </w:rPr>
        <w:t>m</w:t>
      </w:r>
      <w:r w:rsidR="004D4D5A" w:rsidRPr="003D1E07">
        <w:rPr>
          <w:lang w:eastAsia="en-US"/>
        </w:rPr>
        <w:t xml:space="preserve"> akt</w:t>
      </w:r>
      <w:r w:rsidR="08F23A05" w:rsidRPr="003D1E07">
        <w:rPr>
          <w:lang w:eastAsia="en-US"/>
        </w:rPr>
        <w:t>em</w:t>
      </w:r>
      <w:r w:rsidR="004D4D5A" w:rsidRPr="003D1E07">
        <w:rPr>
          <w:lang w:eastAsia="en-US"/>
        </w:rPr>
        <w:t xml:space="preserve"> myšlení</w:t>
      </w:r>
      <w:r w:rsidR="003C4C97" w:rsidRPr="003D1E07">
        <w:rPr>
          <w:lang w:eastAsia="en-US"/>
        </w:rPr>
        <w:t>, které z nás vychází</w:t>
      </w:r>
      <w:r w:rsidR="08762BB4" w:rsidRPr="003D1E07">
        <w:rPr>
          <w:lang w:eastAsia="en-US"/>
        </w:rPr>
        <w:t>. Tento rozpor viděl už Al-</w:t>
      </w:r>
      <w:r w:rsidR="008E02F5" w:rsidRPr="003D1E07">
        <w:rPr>
          <w:lang w:eastAsia="en-US"/>
        </w:rPr>
        <w:t>Fárábí</w:t>
      </w:r>
      <w:r w:rsidR="00CD7B89" w:rsidRPr="003D1E07">
        <w:rPr>
          <w:lang w:eastAsia="en-US"/>
        </w:rPr>
        <w:t xml:space="preserve"> </w:t>
      </w:r>
      <w:r w:rsidR="08762BB4" w:rsidRPr="003D1E07">
        <w:rPr>
          <w:lang w:eastAsia="en-US"/>
        </w:rPr>
        <w:t xml:space="preserve">a řešil jej </w:t>
      </w:r>
      <w:r w:rsidR="00901202" w:rsidRPr="003D1E07">
        <w:rPr>
          <w:lang w:eastAsia="en-US"/>
        </w:rPr>
        <w:t xml:space="preserve">v rámci </w:t>
      </w:r>
      <w:r w:rsidR="08970157" w:rsidRPr="003D1E07">
        <w:rPr>
          <w:i/>
          <w:lang w:eastAsia="en-US"/>
        </w:rPr>
        <w:t>intellectus in potenc</w:t>
      </w:r>
      <w:r w:rsidR="00140B2E" w:rsidRPr="003D1E07">
        <w:rPr>
          <w:i/>
          <w:lang w:eastAsia="en-US"/>
        </w:rPr>
        <w:t>ia</w:t>
      </w:r>
      <w:r w:rsidR="00AF3CCB" w:rsidRPr="003D1E07">
        <w:rPr>
          <w:i/>
          <w:lang w:eastAsia="en-US"/>
        </w:rPr>
        <w:fldChar w:fldCharType="begin"/>
      </w:r>
      <w:r w:rsidR="00AF3CCB" w:rsidRPr="003D1E07">
        <w:instrText xml:space="preserve"> XE "</w:instrText>
      </w:r>
      <w:r w:rsidR="00AF3CCB" w:rsidRPr="003D1E07">
        <w:rPr>
          <w:i/>
        </w:rPr>
        <w:instrText>intellectus in potentia</w:instrText>
      </w:r>
      <w:r w:rsidR="00AF3CCB" w:rsidRPr="003D1E07">
        <w:instrText>:Al-</w:instrText>
      </w:r>
      <w:r w:rsidR="008E02F5" w:rsidRPr="003D1E07">
        <w:instrText>Fárábí</w:instrText>
      </w:r>
      <w:r w:rsidR="00AF3CCB" w:rsidRPr="003D1E07">
        <w:instrText xml:space="preserve">" </w:instrText>
      </w:r>
      <w:r w:rsidR="00AF3CCB" w:rsidRPr="003D1E07">
        <w:rPr>
          <w:i/>
          <w:lang w:eastAsia="en-US"/>
        </w:rPr>
        <w:fldChar w:fldCharType="end"/>
      </w:r>
      <w:r w:rsidR="006517F9" w:rsidRPr="003D1E07">
        <w:rPr>
          <w:lang w:eastAsia="en-US"/>
        </w:rPr>
        <w:t xml:space="preserve">, který je individuální schopností abstrakce </w:t>
      </w:r>
      <w:r w:rsidR="00AC69A8" w:rsidRPr="003D1E07">
        <w:rPr>
          <w:lang w:eastAsia="en-US"/>
        </w:rPr>
        <w:t>(kap. 2.1.1)</w:t>
      </w:r>
      <w:r w:rsidR="080E3BB5" w:rsidRPr="003D1E07">
        <w:rPr>
          <w:lang w:eastAsia="en-US"/>
        </w:rPr>
        <w:t>. V oduševnělém těle jako jediném substrátu existuje n</w:t>
      </w:r>
      <w:r w:rsidR="08D460B9" w:rsidRPr="003D1E07">
        <w:rPr>
          <w:lang w:eastAsia="en-US"/>
        </w:rPr>
        <w:t xml:space="preserve">emateriální </w:t>
      </w:r>
      <w:r w:rsidR="080E3BB5" w:rsidRPr="003D1E07">
        <w:rPr>
          <w:lang w:eastAsia="en-US"/>
        </w:rPr>
        <w:t xml:space="preserve">poznání intelektu, </w:t>
      </w:r>
      <w:r w:rsidR="00502982" w:rsidRPr="003D1E07">
        <w:rPr>
          <w:lang w:eastAsia="en-US"/>
        </w:rPr>
        <w:t xml:space="preserve">a ne </w:t>
      </w:r>
      <w:r w:rsidR="08F25E81" w:rsidRPr="003D1E07">
        <w:rPr>
          <w:lang w:eastAsia="en-US"/>
        </w:rPr>
        <w:t xml:space="preserve">oddělený </w:t>
      </w:r>
      <w:r w:rsidR="00502982" w:rsidRPr="003D1E07">
        <w:rPr>
          <w:lang w:eastAsia="en-US"/>
        </w:rPr>
        <w:t>intelekt jako další přidaná forma</w:t>
      </w:r>
      <w:r w:rsidR="08C57972" w:rsidRPr="003D1E07">
        <w:rPr>
          <w:lang w:eastAsia="en-US"/>
        </w:rPr>
        <w:t xml:space="preserve"> nebo substance</w:t>
      </w:r>
      <w:r w:rsidR="00502982" w:rsidRPr="003D1E07">
        <w:rPr>
          <w:lang w:eastAsia="en-US"/>
        </w:rPr>
        <w:t xml:space="preserve">. </w:t>
      </w:r>
      <w:r w:rsidR="08DF0FC1" w:rsidRPr="003D1E07">
        <w:rPr>
          <w:lang w:eastAsia="en-US"/>
        </w:rPr>
        <w:t xml:space="preserve">Jinak </w:t>
      </w:r>
      <w:r w:rsidR="00D8678B" w:rsidRPr="003D1E07">
        <w:rPr>
          <w:lang w:eastAsia="en-US"/>
        </w:rPr>
        <w:t xml:space="preserve">myšlení </w:t>
      </w:r>
      <w:r w:rsidR="08DF0FC1" w:rsidRPr="003D1E07">
        <w:rPr>
          <w:lang w:eastAsia="en-US"/>
        </w:rPr>
        <w:t xml:space="preserve">nebude svobodnou volní činností </w:t>
      </w:r>
      <w:r w:rsidR="085E2D1A" w:rsidRPr="003D1E07">
        <w:rPr>
          <w:lang w:eastAsia="en-US"/>
        </w:rPr>
        <w:t>jedinečné existující osoby definované</w:t>
      </w:r>
      <w:r w:rsidR="00DD5AB5" w:rsidRPr="003D1E07">
        <w:rPr>
          <w:lang w:eastAsia="en-US"/>
        </w:rPr>
        <w:t xml:space="preserve"> </w:t>
      </w:r>
      <w:r w:rsidR="085E2D1A" w:rsidRPr="003D1E07">
        <w:rPr>
          <w:lang w:eastAsia="en-US"/>
        </w:rPr>
        <w:t>jako aristotelská</w:t>
      </w:r>
      <w:r w:rsidR="00DD5AB5" w:rsidRPr="003D1E07">
        <w:rPr>
          <w:lang w:eastAsia="en-US"/>
        </w:rPr>
        <w:t xml:space="preserve"> první substance </w:t>
      </w:r>
      <w:r w:rsidR="00DD5AB5" w:rsidRPr="003D1E07">
        <w:t>(τόδε τι</w:t>
      </w:r>
      <w:r w:rsidR="00DD5AB5" w:rsidRPr="003D1E07">
        <w:fldChar w:fldCharType="begin"/>
      </w:r>
      <w:r w:rsidR="00DD5AB5" w:rsidRPr="003D1E07">
        <w:instrText xml:space="preserve"> XE "substance:τόδε τι" </w:instrText>
      </w:r>
      <w:r w:rsidR="00DD5AB5" w:rsidRPr="003D1E07">
        <w:fldChar w:fldCharType="end"/>
      </w:r>
      <w:r w:rsidR="00DD5AB5" w:rsidRPr="003D1E07">
        <w:t>)</w:t>
      </w:r>
      <w:r w:rsidR="08DF0FC1" w:rsidRPr="003D1E07">
        <w:rPr>
          <w:lang w:eastAsia="en-US"/>
        </w:rPr>
        <w:t xml:space="preserve">. </w:t>
      </w:r>
      <w:r w:rsidR="0846520C" w:rsidRPr="003D1E07">
        <w:rPr>
          <w:lang w:eastAsia="en-US"/>
        </w:rPr>
        <w:t>Receptivní výkon myšlení vázaný na smysly tvoří nemateriální část individuální duše a zakládá pasiv</w:t>
      </w:r>
      <w:r w:rsidR="085E2D1A" w:rsidRPr="003D1E07">
        <w:rPr>
          <w:lang w:eastAsia="en-US"/>
        </w:rPr>
        <w:t xml:space="preserve">ně-aktivní schopnost intelektu. </w:t>
      </w:r>
      <w:r w:rsidR="00041814" w:rsidRPr="003D1E07">
        <w:rPr>
          <w:lang w:eastAsia="en-US"/>
        </w:rPr>
        <w:t xml:space="preserve">Změněným statutem metafyziky a intelektu </w:t>
      </w:r>
      <w:r w:rsidR="00D66281" w:rsidRPr="003D1E07">
        <w:rPr>
          <w:lang w:eastAsia="en-US"/>
        </w:rPr>
        <w:t xml:space="preserve">se </w:t>
      </w:r>
      <w:r w:rsidR="088A039E" w:rsidRPr="003D1E07">
        <w:rPr>
          <w:lang w:eastAsia="en-US"/>
        </w:rPr>
        <w:t xml:space="preserve">geniální </w:t>
      </w:r>
      <w:r w:rsidR="08CC2276" w:rsidRPr="003D1E07">
        <w:rPr>
          <w:lang w:eastAsia="en-US"/>
        </w:rPr>
        <w:t xml:space="preserve">Komentátor </w:t>
      </w:r>
      <w:r w:rsidR="00D66281" w:rsidRPr="003D1E07">
        <w:rPr>
          <w:lang w:eastAsia="en-US"/>
        </w:rPr>
        <w:t>definitivně rozešel s předešlou arabskou tradicí (</w:t>
      </w:r>
      <w:r w:rsidR="00DD0F1D" w:rsidRPr="003D1E07">
        <w:rPr>
          <w:lang w:eastAsia="en-US"/>
        </w:rPr>
        <w:t>Al-</w:t>
      </w:r>
      <w:r w:rsidR="008E02F5" w:rsidRPr="003D1E07">
        <w:rPr>
          <w:lang w:eastAsia="en-US"/>
        </w:rPr>
        <w:t>Fárábí</w:t>
      </w:r>
      <w:r w:rsidR="00DD0F1D" w:rsidRPr="003D1E07">
        <w:rPr>
          <w:lang w:eastAsia="en-US"/>
        </w:rPr>
        <w:t xml:space="preserve">, </w:t>
      </w:r>
      <w:r w:rsidR="00D66281" w:rsidRPr="003D1E07">
        <w:rPr>
          <w:lang w:eastAsia="en-US"/>
        </w:rPr>
        <w:t>Avicenna, Ibn Bája</w:t>
      </w:r>
      <w:r w:rsidR="008702D7" w:rsidRPr="003D1E07">
        <w:rPr>
          <w:lang w:eastAsia="en-US"/>
        </w:rPr>
        <w:fldChar w:fldCharType="begin"/>
      </w:r>
      <w:r w:rsidR="008702D7" w:rsidRPr="003D1E07">
        <w:instrText xml:space="preserve"> XE "Ibn Bája" </w:instrText>
      </w:r>
      <w:r w:rsidR="008702D7" w:rsidRPr="003D1E07">
        <w:rPr>
          <w:lang w:eastAsia="en-US"/>
        </w:rPr>
        <w:fldChar w:fldCharType="end"/>
      </w:r>
      <w:r w:rsidR="00D66281" w:rsidRPr="003D1E07">
        <w:rPr>
          <w:lang w:eastAsia="en-US"/>
        </w:rPr>
        <w:t xml:space="preserve">), která </w:t>
      </w:r>
      <w:r w:rsidR="08C30E14" w:rsidRPr="003D1E07">
        <w:rPr>
          <w:lang w:eastAsia="en-US"/>
        </w:rPr>
        <w:t xml:space="preserve">definovala </w:t>
      </w:r>
      <w:r w:rsidR="082B33FE" w:rsidRPr="003D1E07">
        <w:rPr>
          <w:lang w:eastAsia="en-US"/>
        </w:rPr>
        <w:t xml:space="preserve">člověka dualisticky. </w:t>
      </w:r>
      <w:r w:rsidR="08757C91" w:rsidRPr="003D1E07">
        <w:rPr>
          <w:lang w:eastAsia="en-US"/>
        </w:rPr>
        <w:t xml:space="preserve">Modernisté falsafy chápali poznání pouze na základě spojení dvou nemateriálních substancí. </w:t>
      </w:r>
      <w:r w:rsidR="08C30E14" w:rsidRPr="003D1E07">
        <w:rPr>
          <w:lang w:eastAsia="en-US"/>
        </w:rPr>
        <w:t>Oddělená</w:t>
      </w:r>
      <w:r w:rsidR="082B33FE" w:rsidRPr="003D1E07">
        <w:rPr>
          <w:lang w:eastAsia="en-US"/>
        </w:rPr>
        <w:t xml:space="preserve"> a samostatně subsistující </w:t>
      </w:r>
      <w:r w:rsidR="08C30E14" w:rsidRPr="003D1E07">
        <w:rPr>
          <w:lang w:eastAsia="en-US"/>
        </w:rPr>
        <w:t>lidská</w:t>
      </w:r>
      <w:r w:rsidR="00D66281" w:rsidRPr="003D1E07">
        <w:rPr>
          <w:lang w:eastAsia="en-US"/>
        </w:rPr>
        <w:t xml:space="preserve"> duše </w:t>
      </w:r>
      <w:r w:rsidR="08C30E14" w:rsidRPr="003D1E07">
        <w:rPr>
          <w:lang w:eastAsia="en-US"/>
        </w:rPr>
        <w:t xml:space="preserve">se spojovala </w:t>
      </w:r>
      <w:r w:rsidR="082B33FE" w:rsidRPr="003D1E07">
        <w:rPr>
          <w:lang w:eastAsia="en-US"/>
        </w:rPr>
        <w:t xml:space="preserve">se stejně odděleným a subsistujícím </w:t>
      </w:r>
      <w:r w:rsidR="00D66281" w:rsidRPr="003D1E07">
        <w:rPr>
          <w:lang w:eastAsia="en-US"/>
        </w:rPr>
        <w:t xml:space="preserve">aktivním intelektem </w:t>
      </w:r>
      <w:r w:rsidR="08CA0A0F" w:rsidRPr="003D1E07">
        <w:rPr>
          <w:lang w:eastAsia="en-US"/>
        </w:rPr>
        <w:t xml:space="preserve">v aktu osvícení a </w:t>
      </w:r>
      <w:r w:rsidR="086761BE" w:rsidRPr="003D1E07">
        <w:rPr>
          <w:lang w:eastAsia="en-US"/>
        </w:rPr>
        <w:t xml:space="preserve">vzájemného </w:t>
      </w:r>
      <w:r w:rsidR="08CA0A0F" w:rsidRPr="003D1E07">
        <w:rPr>
          <w:lang w:eastAsia="en-US"/>
        </w:rPr>
        <w:t xml:space="preserve">spojení </w:t>
      </w:r>
      <w:r w:rsidR="00915009" w:rsidRPr="003D1E07">
        <w:rPr>
          <w:lang w:eastAsia="en-US"/>
        </w:rPr>
        <w:t>(</w:t>
      </w:r>
      <w:r w:rsidR="00915009" w:rsidRPr="003D1E07">
        <w:rPr>
          <w:i/>
        </w:rPr>
        <w:t>ittiṣāl</w:t>
      </w:r>
      <w:r w:rsidR="00DD4EDB" w:rsidRPr="003D1E07">
        <w:rPr>
          <w:i/>
        </w:rPr>
        <w:fldChar w:fldCharType="begin"/>
      </w:r>
      <w:r w:rsidR="00DD4EDB" w:rsidRPr="003D1E07">
        <w:instrText xml:space="preserve"> XE "</w:instrText>
      </w:r>
      <w:r w:rsidR="00DD4EDB" w:rsidRPr="003D1E07">
        <w:rPr>
          <w:i/>
        </w:rPr>
        <w:instrText>ittiṣāl</w:instrText>
      </w:r>
      <w:r w:rsidR="00DD4EDB" w:rsidRPr="003D1E07">
        <w:instrText xml:space="preserve">" </w:instrText>
      </w:r>
      <w:r w:rsidR="00DD4EDB" w:rsidRPr="003D1E07">
        <w:rPr>
          <w:i/>
        </w:rPr>
        <w:fldChar w:fldCharType="end"/>
      </w:r>
      <w:r w:rsidR="00915009" w:rsidRPr="003D1E07">
        <w:rPr>
          <w:i/>
        </w:rPr>
        <w:t>, ittiḥād</w:t>
      </w:r>
      <w:r w:rsidR="082B33FE" w:rsidRPr="003D1E07">
        <w:rPr>
          <w:lang w:eastAsia="en-US"/>
        </w:rPr>
        <w:t xml:space="preserve">). </w:t>
      </w:r>
      <w:r w:rsidR="08C30E14" w:rsidRPr="003D1E07">
        <w:rPr>
          <w:lang w:eastAsia="en-US"/>
        </w:rPr>
        <w:t xml:space="preserve">Adekvace darovaného a aktivního intelektu </w:t>
      </w:r>
      <w:r w:rsidR="087802D1" w:rsidRPr="003D1E07">
        <w:rPr>
          <w:lang w:eastAsia="en-US"/>
        </w:rPr>
        <w:t xml:space="preserve">skrze </w:t>
      </w:r>
      <w:r w:rsidR="08D12D9C" w:rsidRPr="003D1E07">
        <w:rPr>
          <w:i/>
          <w:lang w:eastAsia="en-US"/>
        </w:rPr>
        <w:t>coniunctio</w:t>
      </w:r>
      <w:r w:rsidR="00604FAF" w:rsidRPr="003D1E07">
        <w:rPr>
          <w:i/>
          <w:lang w:eastAsia="en-US"/>
        </w:rPr>
        <w:fldChar w:fldCharType="begin"/>
      </w:r>
      <w:r w:rsidR="00604FAF" w:rsidRPr="003D1E07">
        <w:instrText xml:space="preserve"> XE "</w:instrText>
      </w:r>
      <w:r w:rsidR="08D12D9C" w:rsidRPr="003D1E07">
        <w:rPr>
          <w:i/>
        </w:rPr>
        <w:instrText>coniunctio</w:instrText>
      </w:r>
      <w:r w:rsidR="00604FAF" w:rsidRPr="003D1E07">
        <w:rPr>
          <w:i/>
        </w:rPr>
        <w:instrText>:</w:instrText>
      </w:r>
      <w:r w:rsidR="00604FAF" w:rsidRPr="003D1E07">
        <w:instrText xml:space="preserve">Avicenna" </w:instrText>
      </w:r>
      <w:r w:rsidR="00604FAF" w:rsidRPr="003D1E07">
        <w:rPr>
          <w:i/>
          <w:lang w:eastAsia="en-US"/>
        </w:rPr>
        <w:fldChar w:fldCharType="end"/>
      </w:r>
      <w:r w:rsidR="084D2FC6" w:rsidRPr="003D1E07">
        <w:rPr>
          <w:lang w:eastAsia="en-US"/>
        </w:rPr>
        <w:t xml:space="preserve"> dvou intelektů </w:t>
      </w:r>
      <w:r w:rsidR="08C30E14" w:rsidRPr="003D1E07">
        <w:rPr>
          <w:lang w:eastAsia="en-US"/>
        </w:rPr>
        <w:t xml:space="preserve">umožnila </w:t>
      </w:r>
      <w:r w:rsidR="00D66281" w:rsidRPr="003D1E07">
        <w:rPr>
          <w:lang w:eastAsia="en-US"/>
        </w:rPr>
        <w:t>poznání nemateriálních forem</w:t>
      </w:r>
      <w:r w:rsidR="08AE2FEC" w:rsidRPr="003D1E07">
        <w:rPr>
          <w:lang w:eastAsia="en-US"/>
        </w:rPr>
        <w:t>. T</w:t>
      </w:r>
      <w:r w:rsidR="08C30E14" w:rsidRPr="003D1E07">
        <w:rPr>
          <w:lang w:eastAsia="en-US"/>
        </w:rPr>
        <w:t>ělo a smysly nehrály</w:t>
      </w:r>
      <w:r w:rsidR="08AE2FEC" w:rsidRPr="003D1E07">
        <w:rPr>
          <w:lang w:eastAsia="en-US"/>
        </w:rPr>
        <w:t xml:space="preserve"> a dodnes nehrají</w:t>
      </w:r>
      <w:r w:rsidR="08C30E14" w:rsidRPr="003D1E07">
        <w:rPr>
          <w:lang w:eastAsia="en-US"/>
        </w:rPr>
        <w:t xml:space="preserve"> v tomto </w:t>
      </w:r>
      <w:r w:rsidR="00874074" w:rsidRPr="003D1E07">
        <w:rPr>
          <w:lang w:eastAsia="en-US"/>
        </w:rPr>
        <w:t>neoplatonsk</w:t>
      </w:r>
      <w:r w:rsidR="08C30E14" w:rsidRPr="003D1E07">
        <w:rPr>
          <w:lang w:eastAsia="en-US"/>
        </w:rPr>
        <w:t>ém</w:t>
      </w:r>
      <w:r w:rsidR="007C5D0D" w:rsidRPr="003D1E07">
        <w:rPr>
          <w:lang w:eastAsia="en-US"/>
        </w:rPr>
        <w:t xml:space="preserve">, avicennistickém </w:t>
      </w:r>
      <w:r w:rsidR="08AE2FEC" w:rsidRPr="003D1E07">
        <w:rPr>
          <w:lang w:eastAsia="en-US"/>
        </w:rPr>
        <w:t xml:space="preserve">a karteziánském </w:t>
      </w:r>
      <w:r w:rsidR="08C30E14" w:rsidRPr="003D1E07">
        <w:rPr>
          <w:lang w:eastAsia="en-US"/>
        </w:rPr>
        <w:t>schématu žádnou důležitou roli</w:t>
      </w:r>
      <w:r w:rsidR="009F0810" w:rsidRPr="003D1E07">
        <w:rPr>
          <w:lang w:eastAsia="en-US"/>
        </w:rPr>
        <w:t>.</w:t>
      </w:r>
      <w:r w:rsidR="085F5642" w:rsidRPr="003D1E07">
        <w:rPr>
          <w:lang w:eastAsia="en-US"/>
        </w:rPr>
        <w:t xml:space="preserve"> Hermeneutika </w:t>
      </w:r>
      <w:r w:rsidR="00380D91">
        <w:rPr>
          <w:lang w:eastAsia="en-US"/>
        </w:rPr>
        <w:t xml:space="preserve">objektivity </w:t>
      </w:r>
      <w:r w:rsidR="085F5642" w:rsidRPr="003D1E07">
        <w:rPr>
          <w:lang w:eastAsia="en-US"/>
        </w:rPr>
        <w:t xml:space="preserve">tvrdí, že výklad pravdivého poznání je alfou a omegou Averroesovy filosofie. </w:t>
      </w:r>
      <w:r w:rsidR="00F21355" w:rsidRPr="003D1E07">
        <w:t xml:space="preserve">Úvod k anglickému překladu </w:t>
      </w:r>
      <w:r w:rsidR="00F21355" w:rsidRPr="003D1E07">
        <w:rPr>
          <w:i/>
        </w:rPr>
        <w:t>Velkého k</w:t>
      </w:r>
      <w:r w:rsidR="085F5642" w:rsidRPr="003D1E07">
        <w:rPr>
          <w:i/>
        </w:rPr>
        <w:t>omentáře k De anima</w:t>
      </w:r>
      <w:r w:rsidR="085F5642" w:rsidRPr="003D1E07">
        <w:t xml:space="preserve"> </w:t>
      </w:r>
      <w:r w:rsidR="085F5642" w:rsidRPr="003D1E07">
        <w:lastRenderedPageBreak/>
        <w:t>(dále LCDA) připomíná, že nejméně 8 dochovaných děl Averroese se zabývá povahou intelektu a otázkou poznání (Taylor 2009, XXII).</w:t>
      </w:r>
      <w:r w:rsidR="085F5642" w:rsidRPr="003D1E07">
        <w:rPr>
          <w:lang w:eastAsia="en-US"/>
        </w:rPr>
        <w:t xml:space="preserve"> Trpělivý proces postupného opouštění všech tehdy uctívaných filosofických autorit vysvětluje, proč Averroes vytvořil minimálně tři komentáře ke spisu </w:t>
      </w:r>
      <w:r w:rsidR="085F5642" w:rsidRPr="003D1E07">
        <w:rPr>
          <w:i/>
          <w:lang w:eastAsia="en-US"/>
        </w:rPr>
        <w:t>De anima</w:t>
      </w:r>
      <w:r w:rsidR="085F5642" w:rsidRPr="003D1E07">
        <w:rPr>
          <w:lang w:eastAsia="en-US"/>
        </w:rPr>
        <w:t xml:space="preserve">. Malý  komentář vznikl </w:t>
      </w:r>
      <w:r w:rsidR="089815F8" w:rsidRPr="003D1E07">
        <w:rPr>
          <w:lang w:eastAsia="en-US"/>
        </w:rPr>
        <w:t xml:space="preserve"> v letech </w:t>
      </w:r>
      <w:r w:rsidR="085F5642" w:rsidRPr="003D1E07">
        <w:rPr>
          <w:lang w:eastAsia="en-US"/>
        </w:rPr>
        <w:t xml:space="preserve">1158–60 (ed. Nogales 1985), střední komentář </w:t>
      </w:r>
      <w:r w:rsidR="089815F8" w:rsidRPr="003D1E07">
        <w:rPr>
          <w:lang w:eastAsia="en-US"/>
        </w:rPr>
        <w:t xml:space="preserve">někdy roku </w:t>
      </w:r>
      <w:r w:rsidR="085F5642" w:rsidRPr="003D1E07">
        <w:rPr>
          <w:lang w:eastAsia="en-US"/>
        </w:rPr>
        <w:t xml:space="preserve">1181 (ed. Ivry 2002) a velký komentář </w:t>
      </w:r>
      <w:r w:rsidR="089815F8" w:rsidRPr="003D1E07">
        <w:rPr>
          <w:lang w:eastAsia="en-US"/>
        </w:rPr>
        <w:t>o</w:t>
      </w:r>
      <w:r w:rsidR="085F5642" w:rsidRPr="003D1E07">
        <w:rPr>
          <w:lang w:eastAsia="en-US"/>
        </w:rPr>
        <w:t>kol</w:t>
      </w:r>
      <w:r w:rsidR="089815F8" w:rsidRPr="003D1E07">
        <w:rPr>
          <w:lang w:eastAsia="en-US"/>
        </w:rPr>
        <w:t xml:space="preserve">o roku </w:t>
      </w:r>
      <w:r w:rsidR="085F5642" w:rsidRPr="003D1E07">
        <w:rPr>
          <w:lang w:eastAsia="en-US"/>
        </w:rPr>
        <w:t xml:space="preserve">1186 (ed. </w:t>
      </w:r>
      <w:r w:rsidR="085F5642" w:rsidRPr="003D1E07">
        <w:t xml:space="preserve">Crawford </w:t>
      </w:r>
      <w:r w:rsidR="085F5642" w:rsidRPr="003D1E07">
        <w:rPr>
          <w:lang w:eastAsia="en-US"/>
        </w:rPr>
        <w:t xml:space="preserve">1953). Obecně přijatá datace komentářů k </w:t>
      </w:r>
      <w:r w:rsidR="085F5642" w:rsidRPr="003D1E07">
        <w:rPr>
          <w:i/>
          <w:lang w:eastAsia="en-US"/>
        </w:rPr>
        <w:t>De anima</w:t>
      </w:r>
      <w:r w:rsidR="085F5642" w:rsidRPr="003D1E07">
        <w:rPr>
          <w:lang w:eastAsia="en-US"/>
        </w:rPr>
        <w:t xml:space="preserve"> vychází z předpokladu, že střední komentář patří mezi pozdní střední komentáře Aristotelových hlavních děl, zatímco </w:t>
      </w:r>
      <w:r w:rsidR="085F5642" w:rsidRPr="003D1E07">
        <w:rPr>
          <w:i/>
        </w:rPr>
        <w:t>Commentarium magnum in Aristotelis De anima libros</w:t>
      </w:r>
      <w:r w:rsidR="085F5642" w:rsidRPr="003D1E07">
        <w:t xml:space="preserve"> (CMDA) </w:t>
      </w:r>
      <w:r w:rsidR="085F5642" w:rsidRPr="003D1E07">
        <w:rPr>
          <w:lang w:eastAsia="en-US"/>
        </w:rPr>
        <w:t xml:space="preserve">je naopak nejmladší ze série tzv. velkých komentářů završených komentáři k </w:t>
      </w:r>
      <w:r w:rsidR="085F5642" w:rsidRPr="003D1E07">
        <w:rPr>
          <w:i/>
          <w:lang w:eastAsia="en-US"/>
        </w:rPr>
        <w:t>Fyzice</w:t>
      </w:r>
      <w:r w:rsidR="085F5642" w:rsidRPr="003D1E07">
        <w:rPr>
          <w:lang w:eastAsia="en-US"/>
        </w:rPr>
        <w:t xml:space="preserve"> a k </w:t>
      </w:r>
      <w:r w:rsidR="085F5642" w:rsidRPr="003D1E07">
        <w:rPr>
          <w:i/>
          <w:lang w:eastAsia="en-US"/>
        </w:rPr>
        <w:t>Metafyzice</w:t>
      </w:r>
      <w:r w:rsidR="085F5642" w:rsidRPr="003D1E07">
        <w:rPr>
          <w:lang w:eastAsia="en-US"/>
        </w:rPr>
        <w:t xml:space="preserve"> (Glasner 2004, 59). Definitivní figuru metafyziky završila série velkých komentářů k </w:t>
      </w:r>
      <w:r w:rsidR="085F5642" w:rsidRPr="003D1E07">
        <w:rPr>
          <w:i/>
          <w:lang w:eastAsia="en-US"/>
        </w:rPr>
        <w:t>De caelo</w:t>
      </w:r>
      <w:r w:rsidR="085F5642" w:rsidRPr="003D1E07">
        <w:rPr>
          <w:lang w:eastAsia="en-US"/>
        </w:rPr>
        <w:t xml:space="preserve"> a k </w:t>
      </w:r>
      <w:r w:rsidR="085F5642" w:rsidRPr="003D1E07">
        <w:rPr>
          <w:i/>
          <w:lang w:eastAsia="en-US"/>
        </w:rPr>
        <w:t>Metafyzice</w:t>
      </w:r>
      <w:r w:rsidR="085F5642" w:rsidRPr="003D1E07">
        <w:rPr>
          <w:lang w:eastAsia="en-US"/>
        </w:rPr>
        <w:t xml:space="preserve"> psaných s velkou pravděpodobností po roce 1190. Uvedená datace ukazuje na klíčové postavení spisu </w:t>
      </w:r>
      <w:r w:rsidR="085F5642" w:rsidRPr="003D1E07">
        <w:rPr>
          <w:i/>
          <w:lang w:eastAsia="en-US"/>
        </w:rPr>
        <w:t>De anima</w:t>
      </w:r>
      <w:r w:rsidR="085F5642" w:rsidRPr="003D1E07">
        <w:rPr>
          <w:lang w:eastAsia="en-US"/>
        </w:rPr>
        <w:t xml:space="preserve"> v genezi Averroes</w:t>
      </w:r>
      <w:r w:rsidR="08D76456" w:rsidRPr="003D1E07">
        <w:rPr>
          <w:lang w:eastAsia="en-US"/>
        </w:rPr>
        <w:t xml:space="preserve">ovy metafyziky. Kompozice </w:t>
      </w:r>
      <w:r w:rsidR="085F5642" w:rsidRPr="003D1E07">
        <w:rPr>
          <w:lang w:eastAsia="en-US"/>
        </w:rPr>
        <w:t xml:space="preserve">CMDA patří na začátek vrcholného tvůrčího období, které završily oba velké komentáře k </w:t>
      </w:r>
      <w:r w:rsidR="085F5642" w:rsidRPr="003D1E07">
        <w:rPr>
          <w:i/>
          <w:lang w:eastAsia="en-US"/>
        </w:rPr>
        <w:t>Fyzice</w:t>
      </w:r>
      <w:r w:rsidR="085F5642" w:rsidRPr="003D1E07">
        <w:rPr>
          <w:lang w:eastAsia="en-US"/>
        </w:rPr>
        <w:t xml:space="preserve"> a k </w:t>
      </w:r>
      <w:r w:rsidR="085F5642" w:rsidRPr="003D1E07">
        <w:rPr>
          <w:i/>
          <w:lang w:eastAsia="en-US"/>
        </w:rPr>
        <w:t>Metafyzice</w:t>
      </w:r>
      <w:r w:rsidR="085F5642" w:rsidRPr="003D1E07">
        <w:rPr>
          <w:lang w:eastAsia="en-US"/>
        </w:rPr>
        <w:t xml:space="preserve">. Předložená hermeneutika CMDA stojí na této dataci a předpokládá, že střední a zejména velký komentář k </w:t>
      </w:r>
      <w:r w:rsidR="085F5642" w:rsidRPr="003D1E07">
        <w:rPr>
          <w:i/>
          <w:lang w:eastAsia="en-US"/>
        </w:rPr>
        <w:t>De anima</w:t>
      </w:r>
      <w:r w:rsidR="085F5642" w:rsidRPr="003D1E07">
        <w:rPr>
          <w:lang w:eastAsia="en-US"/>
        </w:rPr>
        <w:t xml:space="preserve"> vytvořil základní dráhu náhledu na jsoucno (</w:t>
      </w:r>
      <w:r w:rsidR="088C7F15" w:rsidRPr="003D1E07">
        <w:rPr>
          <w:i/>
          <w:lang w:eastAsia="en-US"/>
        </w:rPr>
        <w:t>Vor-</w:t>
      </w:r>
      <w:r w:rsidR="085F5642" w:rsidRPr="003D1E07">
        <w:rPr>
          <w:i/>
          <w:lang w:eastAsia="en-US"/>
        </w:rPr>
        <w:t>blickbahn</w:t>
      </w:r>
      <w:r w:rsidR="085F5642" w:rsidRPr="003D1E07">
        <w:rPr>
          <w:i/>
          <w:lang w:eastAsia="en-US"/>
        </w:rPr>
        <w:fldChar w:fldCharType="begin"/>
      </w:r>
      <w:r w:rsidR="085F5642" w:rsidRPr="003D1E07">
        <w:instrText xml:space="preserve"> XE "</w:instrText>
      </w:r>
      <w:r w:rsidR="08106DC9" w:rsidRPr="003D1E07">
        <w:rPr>
          <w:i/>
        </w:rPr>
        <w:instrText>Vor-</w:instrText>
      </w:r>
      <w:r w:rsidR="085F5642" w:rsidRPr="003D1E07">
        <w:rPr>
          <w:i/>
        </w:rPr>
        <w:instrText>b</w:instrText>
      </w:r>
      <w:r w:rsidR="085F5642" w:rsidRPr="003D1E07">
        <w:rPr>
          <w:i/>
          <w:iCs/>
        </w:rPr>
        <w:instrText>lickbahn</w:instrText>
      </w:r>
      <w:r w:rsidR="085F5642" w:rsidRPr="003D1E07">
        <w:rPr>
          <w:iCs/>
        </w:rPr>
        <w:instrText>:Averroes</w:instrText>
      </w:r>
      <w:r w:rsidR="085F5642" w:rsidRPr="003D1E07">
        <w:instrText xml:space="preserve">" </w:instrText>
      </w:r>
      <w:r w:rsidR="085F5642" w:rsidRPr="003D1E07">
        <w:rPr>
          <w:i/>
          <w:lang w:eastAsia="en-US"/>
        </w:rPr>
        <w:fldChar w:fldCharType="end"/>
      </w:r>
      <w:r w:rsidR="085F5642" w:rsidRPr="003D1E07">
        <w:rPr>
          <w:lang w:eastAsia="en-US"/>
        </w:rPr>
        <w:t xml:space="preserve">) hledané první vědy. </w:t>
      </w:r>
      <w:r w:rsidR="00F91DA7" w:rsidRPr="003D1E07">
        <w:rPr>
          <w:lang w:eastAsia="en-US"/>
        </w:rPr>
        <w:t xml:space="preserve">Proto </w:t>
      </w:r>
      <w:r w:rsidR="08353FC3" w:rsidRPr="003D1E07">
        <w:rPr>
          <w:lang w:eastAsia="en-US"/>
        </w:rPr>
        <w:t xml:space="preserve">je třeba chápat velký komentář k </w:t>
      </w:r>
      <w:r w:rsidR="08353FC3" w:rsidRPr="003D1E07">
        <w:rPr>
          <w:i/>
          <w:lang w:eastAsia="en-US"/>
        </w:rPr>
        <w:t>De anima</w:t>
      </w:r>
      <w:r w:rsidR="08353FC3" w:rsidRPr="003D1E07">
        <w:rPr>
          <w:lang w:eastAsia="en-US"/>
        </w:rPr>
        <w:t xml:space="preserve"> prospektivně, protože otevřel náhled na nové zjevování smyslu jsoucího. Novou podobu první vědy završily velké </w:t>
      </w:r>
      <w:r w:rsidR="08353FC3" w:rsidRPr="003D1E07">
        <w:t xml:space="preserve">komentáře ke klíčovým dílům Korpusu, jako byla </w:t>
      </w:r>
      <w:r w:rsidR="08353FC3" w:rsidRPr="003D1E07">
        <w:rPr>
          <w:i/>
        </w:rPr>
        <w:t>Fyzika</w:t>
      </w:r>
      <w:r w:rsidR="08353FC3" w:rsidRPr="003D1E07">
        <w:t xml:space="preserve">, spis </w:t>
      </w:r>
      <w:r w:rsidR="08353FC3" w:rsidRPr="003D1E07">
        <w:rPr>
          <w:i/>
        </w:rPr>
        <w:t>De caelo</w:t>
      </w:r>
      <w:r w:rsidR="08353FC3" w:rsidRPr="003D1E07">
        <w:t xml:space="preserve"> a </w:t>
      </w:r>
      <w:r w:rsidR="08353FC3" w:rsidRPr="003D1E07">
        <w:rPr>
          <w:i/>
        </w:rPr>
        <w:t>Metafyzika</w:t>
      </w:r>
      <w:r w:rsidR="08353FC3" w:rsidRPr="003D1E07">
        <w:t xml:space="preserve">. </w:t>
      </w:r>
      <w:r w:rsidR="085F5642" w:rsidRPr="003D1E07">
        <w:rPr>
          <w:lang w:eastAsia="en-US"/>
        </w:rPr>
        <w:t xml:space="preserve">Datace vzniku </w:t>
      </w:r>
      <w:r w:rsidR="08716A56" w:rsidRPr="003D1E07">
        <w:rPr>
          <w:lang w:eastAsia="en-US"/>
        </w:rPr>
        <w:t xml:space="preserve">CMDA </w:t>
      </w:r>
      <w:r w:rsidR="085F5642" w:rsidRPr="003D1E07">
        <w:rPr>
          <w:lang w:eastAsia="en-US"/>
        </w:rPr>
        <w:t xml:space="preserve">ukazuje na klíčovou pozici zjevování jsoucna v </w:t>
      </w:r>
      <w:r w:rsidR="085F5642" w:rsidRPr="003D1E07">
        <w:rPr>
          <w:i/>
          <w:lang w:eastAsia="en-US"/>
        </w:rPr>
        <w:t>Lichtung</w:t>
      </w:r>
      <w:r w:rsidR="00302387" w:rsidRPr="003D1E07">
        <w:rPr>
          <w:lang w:eastAsia="en-US"/>
        </w:rPr>
        <w:t xml:space="preserve"> nově podané metafyziky</w:t>
      </w:r>
      <w:r w:rsidR="002F370F">
        <w:rPr>
          <w:lang w:eastAsia="en-US"/>
        </w:rPr>
        <w:t>. To z</w:t>
      </w:r>
      <w:r w:rsidR="085F5642" w:rsidRPr="003D1E07">
        <w:rPr>
          <w:lang w:eastAsia="en-US"/>
        </w:rPr>
        <w:t xml:space="preserve">avršilo hledání nové perspektivy latentně přítomné již v obou předchozích komentářích k </w:t>
      </w:r>
      <w:r w:rsidR="085F5642" w:rsidRPr="003D1E07">
        <w:rPr>
          <w:i/>
          <w:lang w:eastAsia="en-US"/>
        </w:rPr>
        <w:t>De anima</w:t>
      </w:r>
      <w:r w:rsidR="085F5642" w:rsidRPr="003D1E07">
        <w:rPr>
          <w:lang w:eastAsia="en-US"/>
        </w:rPr>
        <w:t xml:space="preserve">. </w:t>
      </w:r>
      <w:r w:rsidR="085F5642" w:rsidRPr="003D1E07">
        <w:t>Klíčovou dobou zrání nové formy metafyziky je kompozice středních komentářů a krátkých statí o intelektu (</w:t>
      </w:r>
      <w:r w:rsidR="085F5642" w:rsidRPr="003D1E07">
        <w:rPr>
          <w:i/>
        </w:rPr>
        <w:t>La béatitude de l’âme</w:t>
      </w:r>
      <w:r w:rsidR="001A29B0">
        <w:t xml:space="preserve">, </w:t>
      </w:r>
      <w:r w:rsidR="085F5642" w:rsidRPr="003D1E07">
        <w:t xml:space="preserve">Geoffroy&amp;Steel </w:t>
      </w:r>
      <w:r w:rsidR="085F5642" w:rsidRPr="003D1E07">
        <w:rPr>
          <w:lang w:eastAsia="en-US"/>
        </w:rPr>
        <w:t>2001</w:t>
      </w:r>
      <w:r w:rsidR="085F5642" w:rsidRPr="003D1E07">
        <w:t xml:space="preserve">). </w:t>
      </w:r>
      <w:r w:rsidR="085F5642" w:rsidRPr="003D1E07">
        <w:rPr>
          <w:lang w:eastAsia="en-US"/>
        </w:rPr>
        <w:t xml:space="preserve">Novou podobu metafyzického náhledu završuje velký komentář </w:t>
      </w:r>
      <w:r w:rsidR="085F5642" w:rsidRPr="003D1E07">
        <w:rPr>
          <w:i/>
          <w:lang w:eastAsia="en-US"/>
        </w:rPr>
        <w:t>De anima</w:t>
      </w:r>
      <w:r w:rsidR="00AB2096" w:rsidRPr="003D1E07">
        <w:rPr>
          <w:lang w:eastAsia="en-US"/>
        </w:rPr>
        <w:t xml:space="preserve">. Ten </w:t>
      </w:r>
      <w:r w:rsidR="085F5642" w:rsidRPr="003D1E07">
        <w:rPr>
          <w:lang w:eastAsia="en-US"/>
        </w:rPr>
        <w:t xml:space="preserve">jako jediný z celé trojice znali latinští scholastikové v anonymním překladu možná už </w:t>
      </w:r>
      <w:r w:rsidR="08D76456" w:rsidRPr="003D1E07">
        <w:rPr>
          <w:lang w:eastAsia="en-US"/>
        </w:rPr>
        <w:t xml:space="preserve">okolo roku </w:t>
      </w:r>
      <w:r w:rsidR="085F5642" w:rsidRPr="003D1E07">
        <w:rPr>
          <w:lang w:eastAsia="en-US"/>
        </w:rPr>
        <w:t xml:space="preserve">1220 (Hasse 2010). Scholastikové </w:t>
      </w:r>
      <w:r w:rsidR="00AB2096" w:rsidRPr="003D1E07">
        <w:rPr>
          <w:lang w:eastAsia="en-US"/>
        </w:rPr>
        <w:t xml:space="preserve">pochopitelně </w:t>
      </w:r>
      <w:r w:rsidR="085F5642" w:rsidRPr="003D1E07">
        <w:rPr>
          <w:lang w:eastAsia="en-US"/>
        </w:rPr>
        <w:t xml:space="preserve">znali Avicennův komentář k </w:t>
      </w:r>
      <w:r w:rsidR="085F5642" w:rsidRPr="003D1E07">
        <w:rPr>
          <w:i/>
          <w:lang w:eastAsia="en-US"/>
        </w:rPr>
        <w:t>De anima</w:t>
      </w:r>
      <w:r w:rsidR="085F5642" w:rsidRPr="003D1E07">
        <w:rPr>
          <w:lang w:eastAsia="en-US"/>
        </w:rPr>
        <w:t xml:space="preserve"> (</w:t>
      </w:r>
      <w:r w:rsidR="085F5642" w:rsidRPr="003D1E07">
        <w:rPr>
          <w:i/>
        </w:rPr>
        <w:t>Liber de anima seu Sextus de naturalibus</w:t>
      </w:r>
      <w:r w:rsidR="085F5642" w:rsidRPr="003D1E07">
        <w:rPr>
          <w:lang w:eastAsia="en-US"/>
        </w:rPr>
        <w:t>)</w:t>
      </w:r>
      <w:r w:rsidR="082E576A" w:rsidRPr="003D1E07">
        <w:rPr>
          <w:lang w:eastAsia="en-US"/>
        </w:rPr>
        <w:t xml:space="preserve"> z překladu Toledské školy (kap.</w:t>
      </w:r>
      <w:r w:rsidR="0872324D" w:rsidRPr="003D1E07">
        <w:rPr>
          <w:lang w:eastAsia="en-US"/>
        </w:rPr>
        <w:t xml:space="preserve"> 2.3</w:t>
      </w:r>
      <w:r w:rsidR="082E576A" w:rsidRPr="003D1E07">
        <w:rPr>
          <w:lang w:eastAsia="en-US"/>
        </w:rPr>
        <w:t xml:space="preserve">.1). </w:t>
      </w:r>
      <w:r w:rsidR="085F5642" w:rsidRPr="003D1E07">
        <w:t>P</w:t>
      </w:r>
      <w:r w:rsidR="085F5642" w:rsidRPr="003D1E07">
        <w:rPr>
          <w:lang w:eastAsia="en-US"/>
        </w:rPr>
        <w:t xml:space="preserve">ředporozumění Aristotelova </w:t>
      </w:r>
      <w:r w:rsidR="00DD308C" w:rsidRPr="003D1E07">
        <w:rPr>
          <w:lang w:eastAsia="en-US"/>
        </w:rPr>
        <w:t xml:space="preserve">komentáře </w:t>
      </w:r>
      <w:r w:rsidR="085F5642" w:rsidRPr="003D1E07">
        <w:rPr>
          <w:i/>
          <w:lang w:eastAsia="en-US"/>
        </w:rPr>
        <w:t>De anima</w:t>
      </w:r>
      <w:r w:rsidR="085F5642" w:rsidRPr="003D1E07">
        <w:rPr>
          <w:lang w:eastAsia="en-US"/>
        </w:rPr>
        <w:t xml:space="preserve"> bylo dáno na latinském Západě neoplatonským Avicennou a teprve následně aristotelským Averroesem. To </w:t>
      </w:r>
      <w:r w:rsidR="0095632D" w:rsidRPr="003D1E07">
        <w:rPr>
          <w:lang w:eastAsia="en-US"/>
        </w:rPr>
        <w:t xml:space="preserve">pořadí </w:t>
      </w:r>
      <w:r w:rsidR="085F5642" w:rsidRPr="003D1E07">
        <w:rPr>
          <w:lang w:eastAsia="en-US"/>
        </w:rPr>
        <w:t>bohužel platí i pro dnešní objektivní přístup</w:t>
      </w:r>
      <w:r w:rsidR="00582A37">
        <w:rPr>
          <w:lang w:eastAsia="en-US"/>
        </w:rPr>
        <w:t xml:space="preserve"> v rámci metafyzického nihilismu, který </w:t>
      </w:r>
      <w:r w:rsidR="085F5642" w:rsidRPr="003D1E07">
        <w:rPr>
          <w:lang w:eastAsia="en-US"/>
        </w:rPr>
        <w:t>vzeš</w:t>
      </w:r>
      <w:r w:rsidR="0095632D" w:rsidRPr="003D1E07">
        <w:rPr>
          <w:lang w:eastAsia="en-US"/>
        </w:rPr>
        <w:t>e</w:t>
      </w:r>
      <w:r w:rsidR="085F5642" w:rsidRPr="003D1E07">
        <w:rPr>
          <w:lang w:eastAsia="en-US"/>
        </w:rPr>
        <w:t>l</w:t>
      </w:r>
      <w:r w:rsidR="0095632D" w:rsidRPr="003D1E07">
        <w:rPr>
          <w:lang w:eastAsia="en-US"/>
        </w:rPr>
        <w:t xml:space="preserve"> </w:t>
      </w:r>
      <w:r w:rsidR="085F5642" w:rsidRPr="003D1E07">
        <w:rPr>
          <w:lang w:eastAsia="en-US"/>
        </w:rPr>
        <w:t>z prostředí avicennistické postmoderny</w:t>
      </w:r>
      <w:r w:rsidR="0095632D" w:rsidRPr="003D1E07">
        <w:rPr>
          <w:lang w:eastAsia="en-US"/>
        </w:rPr>
        <w:t xml:space="preserve"> Descarta</w:t>
      </w:r>
      <w:r w:rsidR="085F5642" w:rsidRPr="003D1E07">
        <w:rPr>
          <w:lang w:eastAsia="en-US"/>
        </w:rPr>
        <w:t xml:space="preserve">. Výklad vzniku objektivity se snaží najít základní linii Ibn Rušdových výkladů </w:t>
      </w:r>
      <w:r w:rsidR="085F5642" w:rsidRPr="003D1E07">
        <w:rPr>
          <w:i/>
          <w:lang w:eastAsia="en-US"/>
        </w:rPr>
        <w:t>De anima</w:t>
      </w:r>
      <w:r w:rsidR="00DE01AF">
        <w:rPr>
          <w:lang w:eastAsia="en-US"/>
        </w:rPr>
        <w:t xml:space="preserve">. To </w:t>
      </w:r>
      <w:r w:rsidR="085F5642" w:rsidRPr="003D1E07">
        <w:rPr>
          <w:lang w:eastAsia="en-US"/>
        </w:rPr>
        <w:t xml:space="preserve">je </w:t>
      </w:r>
      <w:r w:rsidR="08942A9C" w:rsidRPr="003D1E07">
        <w:rPr>
          <w:lang w:eastAsia="en-US"/>
        </w:rPr>
        <w:t xml:space="preserve">dnes </w:t>
      </w:r>
      <w:r w:rsidR="085F5642" w:rsidRPr="003D1E07">
        <w:rPr>
          <w:lang w:eastAsia="en-US"/>
        </w:rPr>
        <w:t>o to snadnější, že m</w:t>
      </w:r>
      <w:r w:rsidR="085F5642" w:rsidRPr="003D1E07">
        <w:t xml:space="preserve">nozí autoři dnes zdůrazňují </w:t>
      </w:r>
      <w:r w:rsidR="085F5642" w:rsidRPr="003D1E07">
        <w:lastRenderedPageBreak/>
        <w:t>nepopiratelnou kontinuitu všech tří komentářů.</w:t>
      </w:r>
      <w:r w:rsidR="085F5642" w:rsidRPr="003D1E07">
        <w:rPr>
          <w:rStyle w:val="Znakapoznpodarou"/>
          <w:lang w:eastAsia="en-US"/>
        </w:rPr>
        <w:footnoteReference w:id="192"/>
      </w:r>
      <w:r w:rsidR="085F5642" w:rsidRPr="003D1E07">
        <w:t xml:space="preserve"> </w:t>
      </w:r>
      <w:r w:rsidR="00E75103" w:rsidRPr="003D1E07">
        <w:t xml:space="preserve"> V</w:t>
      </w:r>
      <w:r w:rsidR="085F5642" w:rsidRPr="003D1E07">
        <w:t>šechny komentáře drží individuáln</w:t>
      </w:r>
      <w:r w:rsidR="080B64B6" w:rsidRPr="003D1E07">
        <w:t>í formu poznání skrze práci intelektu v nás</w:t>
      </w:r>
      <w:r w:rsidR="085F5642" w:rsidRPr="003D1E07">
        <w:t xml:space="preserve"> (</w:t>
      </w:r>
      <w:r w:rsidR="085F5642" w:rsidRPr="003D1E07">
        <w:rPr>
          <w:i/>
          <w:lang w:eastAsia="en-US"/>
        </w:rPr>
        <w:t>intellectus qui est in nobis</w:t>
      </w:r>
      <w:r w:rsidR="085F5642" w:rsidRPr="003D1E07">
        <w:t>).</w:t>
      </w:r>
      <w:r w:rsidR="00283BAB" w:rsidRPr="003D1E07">
        <w:rPr>
          <w:lang w:eastAsia="en-US"/>
        </w:rPr>
        <w:t xml:space="preserve"> </w:t>
      </w:r>
      <w:r w:rsidR="00DE1A38" w:rsidRPr="003D1E07">
        <w:t xml:space="preserve">Společným jmenovatelem je kritický přístup Komentátora k Alexandrovu a k Themistiovu výkladu </w:t>
      </w:r>
      <w:r w:rsidR="00DE1A38" w:rsidRPr="003D1E07">
        <w:rPr>
          <w:i/>
        </w:rPr>
        <w:t>De anima</w:t>
      </w:r>
      <w:r w:rsidR="00DE1A38" w:rsidRPr="003D1E07">
        <w:t xml:space="preserve">. </w:t>
      </w:r>
      <w:r w:rsidR="00283BAB" w:rsidRPr="003D1E07">
        <w:rPr>
          <w:lang w:eastAsia="en-US"/>
        </w:rPr>
        <w:t>P</w:t>
      </w:r>
      <w:r w:rsidR="00283BAB" w:rsidRPr="003D1E07">
        <w:t>rvní fáze</w:t>
      </w:r>
      <w:r w:rsidR="085F5642" w:rsidRPr="003D1E07">
        <w:t xml:space="preserve"> výkladu </w:t>
      </w:r>
      <w:r w:rsidR="085F5642" w:rsidRPr="003D1E07">
        <w:rPr>
          <w:i/>
        </w:rPr>
        <w:t>De anima</w:t>
      </w:r>
      <w:r w:rsidR="085F5642" w:rsidRPr="003D1E07">
        <w:t xml:space="preserve"> </w:t>
      </w:r>
      <w:r w:rsidR="00F91DA7" w:rsidRPr="003D1E07">
        <w:t>podpo</w:t>
      </w:r>
      <w:r w:rsidR="00283BAB" w:rsidRPr="003D1E07">
        <w:t xml:space="preserve">ruje teorii </w:t>
      </w:r>
      <w:r w:rsidR="085F5642" w:rsidRPr="003D1E07">
        <w:t xml:space="preserve">intelektu </w:t>
      </w:r>
      <w:r w:rsidR="00F45048" w:rsidRPr="003D1E07">
        <w:t xml:space="preserve">podle </w:t>
      </w:r>
      <w:r w:rsidR="00283BAB" w:rsidRPr="003D1E07">
        <w:t>Ibn Báji</w:t>
      </w:r>
      <w:r w:rsidR="085F5642" w:rsidRPr="003D1E07">
        <w:fldChar w:fldCharType="begin"/>
      </w:r>
      <w:r w:rsidR="085F5642" w:rsidRPr="003D1E07">
        <w:instrText xml:space="preserve"> XE "Ibn Bája" </w:instrText>
      </w:r>
      <w:r w:rsidR="085F5642" w:rsidRPr="003D1E07">
        <w:fldChar w:fldCharType="end"/>
      </w:r>
      <w:r w:rsidR="085F5642" w:rsidRPr="003D1E07">
        <w:t xml:space="preserve"> a Alexandr</w:t>
      </w:r>
      <w:r w:rsidR="00283BAB" w:rsidRPr="003D1E07">
        <w:t>a Afrodisiase</w:t>
      </w:r>
      <w:r w:rsidR="085F5642" w:rsidRPr="003D1E07">
        <w:t xml:space="preserve">. Materiální intelekt tvoří součást smyslového poznání a inteligibilia jsou díky </w:t>
      </w:r>
      <w:r w:rsidR="00DF36B0" w:rsidRPr="003D1E07">
        <w:t xml:space="preserve">jejich </w:t>
      </w:r>
      <w:r w:rsidR="085F5642" w:rsidRPr="003D1E07">
        <w:t xml:space="preserve">nematerialitě oddělena od smyslového poznání. Spojení obou obsahů v individuálním aktu poznání je dáno jako pouhá dispozice materiálního intelektu vzhledem k suverénní činnosti odděleného </w:t>
      </w:r>
      <w:r w:rsidR="085F5642" w:rsidRPr="003D1E07">
        <w:rPr>
          <w:i/>
        </w:rPr>
        <w:t>intellectus agens</w:t>
      </w:r>
      <w:r w:rsidR="085F5642" w:rsidRPr="003D1E07">
        <w:t xml:space="preserve"> (Taylor 2005, 32–33). Druhá fáze Averroesovy pozorné četby </w:t>
      </w:r>
      <w:r w:rsidR="085F5642" w:rsidRPr="003D1E07">
        <w:rPr>
          <w:i/>
        </w:rPr>
        <w:t>De anima</w:t>
      </w:r>
      <w:r w:rsidR="085F5642" w:rsidRPr="003D1E07">
        <w:t xml:space="preserve"> ukazuje postupný rozchod s oběma mysliteli na základě četby Themistia</w:t>
      </w:r>
      <w:r w:rsidR="085F5642" w:rsidRPr="003D1E07">
        <w:fldChar w:fldCharType="begin"/>
      </w:r>
      <w:r w:rsidR="085F5642" w:rsidRPr="003D1E07">
        <w:instrText xml:space="preserve"> XE "Themistius" </w:instrText>
      </w:r>
      <w:r w:rsidR="085F5642" w:rsidRPr="003D1E07">
        <w:fldChar w:fldCharType="end"/>
      </w:r>
      <w:r w:rsidR="085F5642" w:rsidRPr="003D1E07">
        <w:t xml:space="preserve"> a díky přepracování koncepce hylického intelektu</w:t>
      </w:r>
      <w:r w:rsidR="08D20FA0" w:rsidRPr="003D1E07">
        <w:t>, který</w:t>
      </w:r>
      <w:r w:rsidR="08BE6CAA" w:rsidRPr="003D1E07">
        <w:t xml:space="preserve"> zavrhl už Al-Fá</w:t>
      </w:r>
      <w:r w:rsidR="08D20FA0" w:rsidRPr="003D1E07">
        <w:t>rábí (kap. 2.1.1)</w:t>
      </w:r>
      <w:r w:rsidR="085F5642" w:rsidRPr="003D1E07">
        <w:t xml:space="preserve">. Nová podoba materiálního intelektu jako </w:t>
      </w:r>
      <w:r w:rsidR="085F5642" w:rsidRPr="003D1E07">
        <w:rPr>
          <w:i/>
        </w:rPr>
        <w:t>intellectus possibilis</w:t>
      </w:r>
      <w:r w:rsidR="085F5642" w:rsidRPr="003D1E07">
        <w:t xml:space="preserve"> </w:t>
      </w:r>
      <w:r w:rsidR="001115B2">
        <w:t xml:space="preserve">zrušila </w:t>
      </w:r>
      <w:r w:rsidR="085F5642" w:rsidRPr="003D1E07">
        <w:t xml:space="preserve">oddělení receptivního </w:t>
      </w:r>
      <w:r w:rsidR="00782233" w:rsidRPr="003D1E07">
        <w:rPr>
          <w:i/>
          <w:lang w:eastAsia="en-US"/>
        </w:rPr>
        <w:t>intellectus materialis</w:t>
      </w:r>
      <w:r w:rsidR="00E249D0" w:rsidRPr="003D1E07">
        <w:rPr>
          <w:i/>
          <w:lang w:eastAsia="en-US"/>
        </w:rPr>
        <w:fldChar w:fldCharType="begin"/>
      </w:r>
      <w:r w:rsidR="00E249D0" w:rsidRPr="003D1E07">
        <w:instrText xml:space="preserve"> XE "</w:instrText>
      </w:r>
      <w:r w:rsidR="00E249D0" w:rsidRPr="003D1E07">
        <w:rPr>
          <w:i/>
          <w:lang w:eastAsia="en-US"/>
        </w:rPr>
        <w:instrText>intellectus materialis</w:instrText>
      </w:r>
      <w:r w:rsidR="00E249D0" w:rsidRPr="003D1E07">
        <w:instrText xml:space="preserve">" </w:instrText>
      </w:r>
      <w:r w:rsidR="00E249D0" w:rsidRPr="003D1E07">
        <w:rPr>
          <w:i/>
          <w:lang w:eastAsia="en-US"/>
        </w:rPr>
        <w:fldChar w:fldCharType="end"/>
      </w:r>
      <w:r w:rsidR="00782233" w:rsidRPr="003D1E07">
        <w:rPr>
          <w:i/>
          <w:lang w:eastAsia="en-US"/>
        </w:rPr>
        <w:t xml:space="preserve"> </w:t>
      </w:r>
      <w:r w:rsidR="085F5642" w:rsidRPr="003D1E07">
        <w:t>od aktivního intelektu.</w:t>
      </w:r>
      <w:r w:rsidR="085F5642" w:rsidRPr="003D1E07">
        <w:rPr>
          <w:rStyle w:val="Znakapoznpodarou"/>
          <w:lang w:eastAsia="en-US"/>
        </w:rPr>
        <w:footnoteReference w:id="193"/>
      </w:r>
      <w:r w:rsidR="085F5642" w:rsidRPr="003D1E07">
        <w:t xml:space="preserve"> Tato etapa hledání je již přítomná v </w:t>
      </w:r>
      <w:r w:rsidR="085F5642" w:rsidRPr="003D1E07">
        <w:rPr>
          <w:i/>
        </w:rPr>
        <w:t>Epitome</w:t>
      </w:r>
      <w:r w:rsidR="085F5642" w:rsidRPr="003D1E07">
        <w:t xml:space="preserve"> </w:t>
      </w:r>
      <w:r w:rsidR="085F5642" w:rsidRPr="00BE0152">
        <w:rPr>
          <w:i/>
        </w:rPr>
        <w:t>k</w:t>
      </w:r>
      <w:r w:rsidR="085F5642" w:rsidRPr="003D1E07">
        <w:t xml:space="preserve"> </w:t>
      </w:r>
      <w:r w:rsidR="085F5642" w:rsidRPr="003D1E07">
        <w:rPr>
          <w:i/>
        </w:rPr>
        <w:t>Metafyzice</w:t>
      </w:r>
      <w:r w:rsidR="085F5642" w:rsidRPr="003D1E07">
        <w:t xml:space="preserve"> a v krátkých pojednáních o duši. Rozchod s celou předešlou tradicí je nakonec završen originální syntézou poznání v CMDA, kterou převezmou finální velké komentáře k </w:t>
      </w:r>
      <w:r w:rsidR="085F5642" w:rsidRPr="003D1E07">
        <w:rPr>
          <w:i/>
        </w:rPr>
        <w:t>Fyzice</w:t>
      </w:r>
      <w:r w:rsidR="085F5642" w:rsidRPr="003D1E07">
        <w:t xml:space="preserve"> a k </w:t>
      </w:r>
      <w:r w:rsidR="085F5642" w:rsidRPr="003D1E07">
        <w:rPr>
          <w:i/>
        </w:rPr>
        <w:t>Metafyzice</w:t>
      </w:r>
      <w:r w:rsidR="085F5642" w:rsidRPr="003D1E07">
        <w:t>. Hermeneutika v</w:t>
      </w:r>
      <w:r w:rsidR="085F5642" w:rsidRPr="003D1E07">
        <w:rPr>
          <w:lang w:eastAsia="en-US"/>
        </w:rPr>
        <w:t xml:space="preserve">elkého komentáře k </w:t>
      </w:r>
      <w:r w:rsidR="085F5642" w:rsidRPr="003D1E07">
        <w:rPr>
          <w:i/>
          <w:lang w:eastAsia="en-US"/>
        </w:rPr>
        <w:t>De anima</w:t>
      </w:r>
      <w:r w:rsidR="085F5642" w:rsidRPr="003D1E07">
        <w:rPr>
          <w:lang w:eastAsia="en-US"/>
        </w:rPr>
        <w:t xml:space="preserve"> musí ukázat, jak vznikla finální koncepce Averroesova metafyzického náhledu </w:t>
      </w:r>
      <w:r w:rsidR="002F2A51" w:rsidRPr="003D1E07">
        <w:rPr>
          <w:lang w:eastAsia="en-US"/>
        </w:rPr>
        <w:t>na jsoucno</w:t>
      </w:r>
      <w:r w:rsidR="085F5642" w:rsidRPr="003D1E07">
        <w:rPr>
          <w:lang w:eastAsia="en-US"/>
        </w:rPr>
        <w:t xml:space="preserve">. Ibn Rušd harmonicky spojil </w:t>
      </w:r>
      <w:r w:rsidR="08B4019B" w:rsidRPr="003D1E07">
        <w:rPr>
          <w:lang w:eastAsia="en-US"/>
        </w:rPr>
        <w:t xml:space="preserve">aristotelskou </w:t>
      </w:r>
      <w:r w:rsidR="08B4019B" w:rsidRPr="003D1E07">
        <w:rPr>
          <w:i/>
          <w:lang w:eastAsia="en-US"/>
        </w:rPr>
        <w:t>Fyziku</w:t>
      </w:r>
      <w:r w:rsidR="08B4019B" w:rsidRPr="003D1E07">
        <w:rPr>
          <w:lang w:eastAsia="en-US"/>
        </w:rPr>
        <w:t xml:space="preserve"> a </w:t>
      </w:r>
      <w:r w:rsidR="08B4019B" w:rsidRPr="003D1E07">
        <w:rPr>
          <w:i/>
          <w:lang w:eastAsia="en-US"/>
        </w:rPr>
        <w:t>M</w:t>
      </w:r>
      <w:r w:rsidR="085F5642" w:rsidRPr="003D1E07">
        <w:rPr>
          <w:i/>
          <w:lang w:eastAsia="en-US"/>
        </w:rPr>
        <w:t>etafyziku</w:t>
      </w:r>
      <w:r w:rsidR="085F5642" w:rsidRPr="003D1E07">
        <w:rPr>
          <w:lang w:eastAsia="en-US"/>
        </w:rPr>
        <w:t xml:space="preserve"> do jednoho cíle (</w:t>
      </w:r>
      <w:r w:rsidR="085F5642" w:rsidRPr="003D1E07">
        <w:t xml:space="preserve">σκωπός, </w:t>
      </w:r>
      <w:r w:rsidR="085F5642" w:rsidRPr="003D1E07">
        <w:rPr>
          <w:i/>
        </w:rPr>
        <w:t>ġaraḍ</w:t>
      </w:r>
      <w:r w:rsidR="085F5642" w:rsidRPr="003D1E07">
        <w:rPr>
          <w:lang w:eastAsia="en-US"/>
        </w:rPr>
        <w:t>) hledané první vědy</w:t>
      </w:r>
      <w:r w:rsidR="085F5642" w:rsidRPr="003D1E07">
        <w:rPr>
          <w:lang w:eastAsia="en-US"/>
        </w:rPr>
        <w:fldChar w:fldCharType="begin"/>
      </w:r>
      <w:r w:rsidR="085F5642" w:rsidRPr="003D1E07">
        <w:instrText xml:space="preserve"> XE "metafyzika:Averroes" </w:instrText>
      </w:r>
      <w:r w:rsidR="085F5642" w:rsidRPr="003D1E07">
        <w:rPr>
          <w:lang w:eastAsia="en-US"/>
        </w:rPr>
        <w:fldChar w:fldCharType="end"/>
      </w:r>
      <w:r w:rsidR="085F5642" w:rsidRPr="003D1E07">
        <w:rPr>
          <w:lang w:eastAsia="en-US"/>
        </w:rPr>
        <w:t xml:space="preserve">. Její jednotu završuje </w:t>
      </w:r>
      <w:r w:rsidR="00EF608A">
        <w:rPr>
          <w:lang w:eastAsia="en-US"/>
        </w:rPr>
        <w:t>po napsání CMDA následná</w:t>
      </w:r>
      <w:r w:rsidR="00EF608A" w:rsidRPr="003D1E07">
        <w:rPr>
          <w:lang w:eastAsia="en-US"/>
        </w:rPr>
        <w:t xml:space="preserve"> </w:t>
      </w:r>
      <w:r w:rsidR="085F5642" w:rsidRPr="003D1E07">
        <w:rPr>
          <w:lang w:eastAsia="en-US"/>
        </w:rPr>
        <w:t>série velkých komentářů klíčových děl Korpusu</w:t>
      </w:r>
      <w:r w:rsidR="0033022D">
        <w:rPr>
          <w:lang w:eastAsia="en-US"/>
        </w:rPr>
        <w:t xml:space="preserve">. Ty vytvořily </w:t>
      </w:r>
      <w:r w:rsidR="085F5642" w:rsidRPr="003D1E07">
        <w:rPr>
          <w:lang w:eastAsia="en-US"/>
        </w:rPr>
        <w:t xml:space="preserve">pro latinský Západ novou, a dnes prakticky zapomenutou podobu metafyziky. </w:t>
      </w:r>
      <w:r w:rsidR="085F5642" w:rsidRPr="003D1E07">
        <w:t>Objektivita zvítězila mimo jiné i proto, že na muslimském Západě přestalo na začátku 13. století existovat systematické myšlení filosofických škol falsafy</w:t>
      </w:r>
      <w:r w:rsidR="0094325F">
        <w:t>. Už zde neby</w:t>
      </w:r>
      <w:r w:rsidR="005A450E" w:rsidRPr="003D1E07">
        <w:t>l prakticky nikdo, kdo by kriticky zkoumal</w:t>
      </w:r>
      <w:r w:rsidR="085F5642" w:rsidRPr="003D1E07">
        <w:t xml:space="preserve"> jednotu první filosofie na prvních západních univerzitách</w:t>
      </w:r>
      <w:r w:rsidR="0094325F">
        <w:t xml:space="preserve">, jako byl </w:t>
      </w:r>
      <w:r w:rsidR="085F5642" w:rsidRPr="003D1E07">
        <w:t xml:space="preserve"> </w:t>
      </w:r>
      <w:r w:rsidR="0094325F">
        <w:t>bagdádský Dům</w:t>
      </w:r>
      <w:r w:rsidR="085F5642" w:rsidRPr="003D1E07">
        <w:t xml:space="preserve"> moudrosti. V prostředí nového typu intelektu založeného Averroesem vzniklo odlišné </w:t>
      </w:r>
      <w:r w:rsidR="085F5642" w:rsidRPr="003D1E07">
        <w:rPr>
          <w:i/>
        </w:rPr>
        <w:t>Lichtung</w:t>
      </w:r>
      <w:r w:rsidR="085F5642" w:rsidRPr="003D1E07">
        <w:t>, v němž smy</w:t>
      </w:r>
      <w:r w:rsidR="007475B0">
        <w:t>sl jsoucna dostal novou podobu.</w:t>
      </w:r>
    </w:p>
    <w:p w14:paraId="6F8AADB6" w14:textId="72B94C8F" w:rsidR="085F5642" w:rsidRPr="003D1E07" w:rsidRDefault="085F5642" w:rsidP="007475B0">
      <w:pPr>
        <w:ind w:firstLine="397"/>
      </w:pPr>
      <w:r w:rsidRPr="003D1E07">
        <w:lastRenderedPageBreak/>
        <w:t xml:space="preserve">Citujme větu CMDA ohledně statutu </w:t>
      </w:r>
      <w:r w:rsidRPr="003D1E07">
        <w:rPr>
          <w:i/>
        </w:rPr>
        <w:t>intellectus possibilis</w:t>
      </w:r>
      <w:r w:rsidRPr="003D1E07">
        <w:rPr>
          <w:i/>
        </w:rPr>
        <w:fldChar w:fldCharType="begin"/>
      </w:r>
      <w:r w:rsidRPr="003D1E07">
        <w:instrText xml:space="preserve"> XE "</w:instrText>
      </w:r>
      <w:r w:rsidRPr="003D1E07">
        <w:rPr>
          <w:i/>
        </w:rPr>
        <w:instrText>intellectus possibilis</w:instrText>
      </w:r>
      <w:r w:rsidRPr="003D1E07">
        <w:instrText xml:space="preserve">:Averroes" </w:instrText>
      </w:r>
      <w:r w:rsidRPr="003D1E07">
        <w:rPr>
          <w:i/>
        </w:rPr>
        <w:fldChar w:fldCharType="end"/>
      </w:r>
      <w:r w:rsidRPr="003D1E07">
        <w:t>, která představuje místo původní pravdy a nepravdy sporu o tzv. „averroismus“. Citát obsahuje jádro budouc</w:t>
      </w:r>
      <w:r w:rsidR="00A760C1">
        <w:t>ího sporu o objektivitu ve školách</w:t>
      </w:r>
      <w:r w:rsidRPr="003D1E07">
        <w:t xml:space="preserve"> modern</w:t>
      </w:r>
      <w:r w:rsidR="00A760C1">
        <w:t>y</w:t>
      </w:r>
      <w:r w:rsidRPr="003D1E07">
        <w:t xml:space="preserve"> a postmodern</w:t>
      </w:r>
      <w:r w:rsidR="00A760C1">
        <w:t>y</w:t>
      </w:r>
      <w:r w:rsidRPr="003D1E07">
        <w:fldChar w:fldCharType="begin"/>
      </w:r>
      <w:r w:rsidRPr="003D1E07">
        <w:instrText xml:space="preserve"> XE "</w:instrText>
      </w:r>
      <w:r w:rsidR="08DE18BB" w:rsidRPr="003D1E07">
        <w:instrText>alexandrovci</w:instrText>
      </w:r>
      <w:r w:rsidRPr="003D1E07">
        <w:instrText xml:space="preserve">" </w:instrText>
      </w:r>
      <w:r w:rsidRPr="003D1E07">
        <w:fldChar w:fldCharType="end"/>
      </w:r>
      <w:r w:rsidR="00A760C1">
        <w:t>. Tyto školy převzaly</w:t>
      </w:r>
      <w:r w:rsidRPr="003D1E07">
        <w:t xml:space="preserve"> metafyzický projekt Avicenny jako autentického pokračovatele Aristotelova hledání první vědy</w:t>
      </w:r>
      <w:r w:rsidRPr="003D1E07">
        <w:rPr>
          <w:i/>
        </w:rPr>
        <w:fldChar w:fldCharType="begin"/>
      </w:r>
      <w:r w:rsidRPr="003D1E07">
        <w:instrText xml:space="preserve"> XE "averroismus:</w:instrText>
      </w:r>
      <w:r w:rsidRPr="003D1E07">
        <w:rPr>
          <w:i/>
        </w:rPr>
        <w:instrText>Moderni</w:instrText>
      </w:r>
      <w:r w:rsidRPr="003D1E07">
        <w:instrText xml:space="preserve">" </w:instrText>
      </w:r>
      <w:r w:rsidRPr="003D1E07">
        <w:rPr>
          <w:i/>
        </w:rPr>
        <w:fldChar w:fldCharType="end"/>
      </w:r>
      <w:r w:rsidRPr="003D1E07">
        <w:t>.</w:t>
      </w:r>
    </w:p>
    <w:p w14:paraId="36371C40" w14:textId="77777777" w:rsidR="085F5642" w:rsidRPr="003D1E07" w:rsidRDefault="085F5642" w:rsidP="085F5642">
      <w:pPr>
        <w:pStyle w:val="Citace"/>
        <w:rPr>
          <w:noProof/>
          <w:lang w:val="cs-CZ"/>
        </w:rPr>
      </w:pPr>
      <w:r w:rsidRPr="003D1E07">
        <w:rPr>
          <w:noProof/>
          <w:lang w:val="cs-CZ"/>
        </w:rPr>
        <w:t>„To je opak toho, co se stalo moderním myslitelům (</w:t>
      </w:r>
      <w:r w:rsidRPr="003D1E07">
        <w:rPr>
          <w:i/>
          <w:noProof/>
          <w:lang w:val="cs-CZ"/>
        </w:rPr>
        <w:t>quod contingit</w:t>
      </w:r>
      <w:r w:rsidRPr="003D1E07">
        <w:rPr>
          <w:noProof/>
          <w:lang w:val="cs-CZ"/>
        </w:rPr>
        <w:t xml:space="preserve"> </w:t>
      </w:r>
      <w:r w:rsidRPr="003D1E07">
        <w:rPr>
          <w:i/>
          <w:noProof/>
          <w:lang w:val="cs-CZ"/>
        </w:rPr>
        <w:t>Modernis</w:t>
      </w:r>
      <w:r w:rsidRPr="003D1E07">
        <w:rPr>
          <w:noProof/>
          <w:lang w:val="cs-CZ"/>
        </w:rPr>
        <w:t>). Mezi nimi nikdo není považován za myslitele a za dokonalého (</w:t>
      </w:r>
      <w:r w:rsidRPr="003D1E07">
        <w:rPr>
          <w:i/>
          <w:noProof/>
          <w:lang w:val="cs-CZ"/>
        </w:rPr>
        <w:t>nullus enim est sciens et perfectus apud eos</w:t>
      </w:r>
      <w:r w:rsidRPr="003D1E07">
        <w:rPr>
          <w:noProof/>
          <w:lang w:val="cs-CZ"/>
        </w:rPr>
        <w:t xml:space="preserve">), pokud není </w:t>
      </w:r>
      <w:r w:rsidR="08DE18BB" w:rsidRPr="003D1E07">
        <w:rPr>
          <w:noProof/>
          <w:lang w:val="cs-CZ"/>
        </w:rPr>
        <w:t>alexandrovc</w:t>
      </w:r>
      <w:r w:rsidRPr="003D1E07">
        <w:rPr>
          <w:noProof/>
          <w:lang w:val="cs-CZ"/>
        </w:rPr>
        <w:t>em (</w:t>
      </w:r>
      <w:r w:rsidRPr="003D1E07">
        <w:rPr>
          <w:i/>
          <w:noProof/>
          <w:lang w:val="cs-CZ"/>
        </w:rPr>
        <w:t>nisi qui est Alexandreus</w:t>
      </w:r>
      <w:r w:rsidRPr="003D1E07">
        <w:rPr>
          <w:noProof/>
          <w:lang w:val="cs-CZ"/>
        </w:rPr>
        <w:t xml:space="preserve">). Důvodem je pověst tohoto muže a fakt, že je považován za jednoho z </w:t>
      </w:r>
      <w:r w:rsidR="082621FB" w:rsidRPr="003D1E07">
        <w:rPr>
          <w:noProof/>
          <w:lang w:val="cs-CZ"/>
        </w:rPr>
        <w:t xml:space="preserve">opravdu </w:t>
      </w:r>
      <w:r w:rsidRPr="003D1E07">
        <w:rPr>
          <w:noProof/>
          <w:lang w:val="cs-CZ"/>
        </w:rPr>
        <w:t>dobrých komentátorů.“ </w:t>
      </w:r>
      <w:r w:rsidRPr="003D1E07">
        <w:rPr>
          <w:rStyle w:val="Znakapoznpodarou"/>
          <w:noProof/>
          <w:lang w:val="cs-CZ"/>
        </w:rPr>
        <w:footnoteReference w:id="194"/>
      </w:r>
    </w:p>
    <w:p w14:paraId="7B4383E9" w14:textId="38089A63" w:rsidR="085F5642" w:rsidRPr="003D1E07" w:rsidRDefault="085F5642" w:rsidP="085F5642">
      <w:r w:rsidRPr="003D1E07">
        <w:t xml:space="preserve">V pojetí Ibn Rušda jsou avicennisté moderní stoupenci dualismu podle Alexandrova výkladu </w:t>
      </w:r>
      <w:r w:rsidRPr="003D1E07">
        <w:rPr>
          <w:i/>
        </w:rPr>
        <w:t>De anima</w:t>
      </w:r>
      <w:r w:rsidRPr="003D1E07">
        <w:t xml:space="preserve">. Tito </w:t>
      </w:r>
      <w:r w:rsidR="08DE18BB" w:rsidRPr="003D1E07">
        <w:t>alexandrovc</w:t>
      </w:r>
      <w:r w:rsidRPr="003D1E07">
        <w:t>i</w:t>
      </w:r>
      <w:r w:rsidRPr="003D1E07">
        <w:fldChar w:fldCharType="begin"/>
      </w:r>
      <w:r w:rsidRPr="003D1E07">
        <w:instrText xml:space="preserve"> XE "</w:instrText>
      </w:r>
      <w:r w:rsidR="08DE18BB" w:rsidRPr="003D1E07">
        <w:instrText>alexandrovci</w:instrText>
      </w:r>
      <w:r w:rsidRPr="003D1E07">
        <w:instrText xml:space="preserve">" </w:instrText>
      </w:r>
      <w:r w:rsidRPr="003D1E07">
        <w:fldChar w:fldCharType="end"/>
      </w:r>
      <w:r w:rsidRPr="003D1E07">
        <w:t xml:space="preserve">, jak je budeme dále nazývat, nebyli schopni reagovat na základní nesrovnalosti Alexandrova a po něm Avicennova sporného projektu metafyziky. Tato situace se po dvou stoletích </w:t>
      </w:r>
      <w:r w:rsidR="00D81E22">
        <w:t>opakovala</w:t>
      </w:r>
      <w:r w:rsidRPr="003D1E07">
        <w:t xml:space="preserve"> na latinském Západě, který odmítl přijmout myslitelskou výzvu Averroese. </w:t>
      </w:r>
      <w:r w:rsidR="0894556C" w:rsidRPr="003D1E07">
        <w:t xml:space="preserve">Jeho </w:t>
      </w:r>
      <w:r w:rsidRPr="003D1E07">
        <w:t xml:space="preserve">dílo se stává novým kamenem úrazu od roku 1230, protože latinští sofisté v Oxfordu a v Paříži nebyli schopni pochopit Komentátorovo myšlení do patřičné hloubky. Albert a Bacon po vzoru Averroese zařadí latinské avicennisty vyznávající pomýlenou jednotu intelektu pod podobnou figuru opět zvanou </w:t>
      </w:r>
      <w:r w:rsidRPr="003D1E07">
        <w:rPr>
          <w:i/>
        </w:rPr>
        <w:t>Moderni</w:t>
      </w:r>
      <w:r w:rsidRPr="003D1E07">
        <w:rPr>
          <w:i/>
        </w:rPr>
        <w:fldChar w:fldCharType="begin"/>
      </w:r>
      <w:r w:rsidRPr="003D1E07">
        <w:instrText xml:space="preserve"> XE "averroismus:</w:instrText>
      </w:r>
      <w:r w:rsidRPr="003D1E07">
        <w:rPr>
          <w:i/>
        </w:rPr>
        <w:instrText>Moderni</w:instrText>
      </w:r>
      <w:r w:rsidRPr="003D1E07">
        <w:instrText xml:space="preserve">" </w:instrText>
      </w:r>
      <w:r w:rsidRPr="003D1E07">
        <w:rPr>
          <w:i/>
        </w:rPr>
        <w:fldChar w:fldCharType="end"/>
      </w:r>
      <w:r w:rsidRPr="003D1E07">
        <w:t>. Latinští modernisté sdružení ve škole druhého averroismu vytvoří místo Averroesova učení sofistické simulákrum</w:t>
      </w:r>
      <w:r w:rsidRPr="003D1E07">
        <w:fldChar w:fldCharType="begin"/>
      </w:r>
      <w:r w:rsidRPr="003D1E07">
        <w:instrText xml:space="preserve"> XE "simulákrum" </w:instrText>
      </w:r>
      <w:r w:rsidRPr="003D1E07">
        <w:fldChar w:fldCharType="end"/>
      </w:r>
      <w:r w:rsidRPr="003D1E07">
        <w:t xml:space="preserve">, které postupně medializují na Oxfordské a na Pařížské univerzitě. </w:t>
      </w:r>
      <w:r w:rsidRPr="003D1E07">
        <w:rPr>
          <w:lang w:eastAsia="en-US"/>
        </w:rPr>
        <w:t xml:space="preserve">Hermeneutika objektivity se plně a bez výhrad </w:t>
      </w:r>
      <w:r w:rsidR="08B13606" w:rsidRPr="003D1E07">
        <w:rPr>
          <w:lang w:eastAsia="en-US"/>
        </w:rPr>
        <w:t xml:space="preserve">hlásí ke </w:t>
      </w:r>
      <w:r w:rsidRPr="003D1E07">
        <w:rPr>
          <w:lang w:eastAsia="en-US"/>
        </w:rPr>
        <w:t>známé poznámce S. G. Nogalese a A. R. Gauthiera</w:t>
      </w:r>
      <w:r w:rsidRPr="003D1E07">
        <w:rPr>
          <w:lang w:eastAsia="en-US"/>
        </w:rPr>
        <w:fldChar w:fldCharType="begin"/>
      </w:r>
      <w:r w:rsidRPr="003D1E07">
        <w:instrText xml:space="preserve"> XE "</w:instrText>
      </w:r>
      <w:r w:rsidRPr="003D1E07">
        <w:rPr>
          <w:lang w:eastAsia="en-US"/>
        </w:rPr>
        <w:instrText>Gauthier, A. R.</w:instrText>
      </w:r>
      <w:r w:rsidRPr="003D1E07">
        <w:instrText xml:space="preserve">" </w:instrText>
      </w:r>
      <w:r w:rsidRPr="003D1E07">
        <w:rPr>
          <w:lang w:eastAsia="en-US"/>
        </w:rPr>
        <w:fldChar w:fldCharType="end"/>
      </w:r>
      <w:r w:rsidRPr="003D1E07">
        <w:rPr>
          <w:lang w:eastAsia="en-US"/>
        </w:rPr>
        <w:t>, že Averroes nebyl averroristou.</w:t>
      </w:r>
      <w:r w:rsidRPr="003D1E07">
        <w:rPr>
          <w:rStyle w:val="Znakapoznpodarou"/>
          <w:lang w:eastAsia="en-US"/>
        </w:rPr>
        <w:footnoteReference w:id="195"/>
      </w:r>
      <w:r w:rsidRPr="003D1E07">
        <w:rPr>
          <w:lang w:eastAsia="en-US"/>
        </w:rPr>
        <w:t xml:space="preserve"> Předložená </w:t>
      </w:r>
      <w:r w:rsidRPr="003D1E07">
        <w:t xml:space="preserve">četba mapující vznik objektivity </w:t>
      </w:r>
      <w:r w:rsidR="08CE29D2" w:rsidRPr="003D1E07">
        <w:t>musí být anti-</w:t>
      </w:r>
      <w:r w:rsidR="086D4FED" w:rsidRPr="003D1E07">
        <w:t>averroistická</w:t>
      </w:r>
      <w:r w:rsidRPr="003D1E07">
        <w:t xml:space="preserve"> v úplně jiném smyslu, než byl spor o latinský averroismus</w:t>
      </w:r>
      <w:r w:rsidRPr="003D1E07">
        <w:fldChar w:fldCharType="begin"/>
      </w:r>
      <w:r w:rsidRPr="003D1E07">
        <w:instrText xml:space="preserve"> XE "averroismus:latinský" </w:instrText>
      </w:r>
      <w:r w:rsidRPr="003D1E07">
        <w:fldChar w:fldCharType="end"/>
      </w:r>
      <w:r w:rsidRPr="003D1E07">
        <w:t xml:space="preserve">. Proto je třeba odpovět v této a v dalších </w:t>
      </w:r>
      <w:r w:rsidR="08F61EBC" w:rsidRPr="003D1E07">
        <w:t>čá</w:t>
      </w:r>
      <w:r w:rsidR="001D3E29" w:rsidRPr="003D1E07">
        <w:t>s</w:t>
      </w:r>
      <w:r w:rsidR="08F61EBC" w:rsidRPr="003D1E07">
        <w:t xml:space="preserve">tech </w:t>
      </w:r>
      <w:r w:rsidRPr="003D1E07">
        <w:t>na základní otázky, které vycházejí z hermeneutické triády</w:t>
      </w:r>
      <w:r w:rsidRPr="003D1E07">
        <w:fldChar w:fldCharType="begin"/>
      </w:r>
      <w:r w:rsidRPr="003D1E07">
        <w:instrText xml:space="preserve"> XE "hermeneutická triáda" </w:instrText>
      </w:r>
      <w:r w:rsidRPr="003D1E07">
        <w:fldChar w:fldCharType="end"/>
      </w:r>
      <w:r w:rsidRPr="003D1E07">
        <w:t xml:space="preserve"> dějinnosti, dějin a historie</w:t>
      </w:r>
      <w:r w:rsidR="00A30DDB">
        <w:t xml:space="preserve"> vzhledem k objektivitě</w:t>
      </w:r>
      <w:r w:rsidRPr="003D1E07">
        <w:t>.</w:t>
      </w:r>
    </w:p>
    <w:p w14:paraId="09A461EF" w14:textId="003CD1C9" w:rsidR="00CC1F6F" w:rsidRPr="003D1E07" w:rsidRDefault="00CC1F6F" w:rsidP="00202920">
      <w:pPr>
        <w:numPr>
          <w:ilvl w:val="0"/>
          <w:numId w:val="7"/>
        </w:numPr>
      </w:pPr>
      <w:r w:rsidRPr="003D1E07">
        <w:t xml:space="preserve">Jak byla obnovena </w:t>
      </w:r>
      <w:r w:rsidR="085F5642" w:rsidRPr="003D1E07">
        <w:rPr>
          <w:i/>
        </w:rPr>
        <w:t>alétheia</w:t>
      </w:r>
      <w:r w:rsidR="085F5642" w:rsidRPr="003D1E07">
        <w:t xml:space="preserve"> </w:t>
      </w:r>
      <w:r w:rsidRPr="003D1E07">
        <w:t>aristotelské první substance</w:t>
      </w:r>
      <w:r w:rsidR="00DB6AE0">
        <w:t xml:space="preserve"> v hlavních spisech Averroése</w:t>
      </w:r>
      <w:r w:rsidR="085F5642" w:rsidRPr="003D1E07">
        <w:t>?</w:t>
      </w:r>
    </w:p>
    <w:p w14:paraId="73A2E3D1" w14:textId="62A907FD" w:rsidR="085F5642" w:rsidRPr="003D1E07" w:rsidRDefault="00CC1F6F" w:rsidP="00202920">
      <w:pPr>
        <w:numPr>
          <w:ilvl w:val="0"/>
          <w:numId w:val="7"/>
        </w:numPr>
      </w:pPr>
      <w:r w:rsidRPr="003D1E07">
        <w:t xml:space="preserve">Jaký smysl jsoucna zjevuje CMDA skrze novou podobu </w:t>
      </w:r>
      <w:r w:rsidRPr="003D1E07">
        <w:rPr>
          <w:i/>
        </w:rPr>
        <w:t>intellectus possibilis</w:t>
      </w:r>
      <w:r w:rsidRPr="003D1E07">
        <w:t>?</w:t>
      </w:r>
    </w:p>
    <w:p w14:paraId="4B0AC0A9" w14:textId="77449545" w:rsidR="085F5642" w:rsidRPr="003D1E07" w:rsidRDefault="085F5642" w:rsidP="00202920">
      <w:pPr>
        <w:numPr>
          <w:ilvl w:val="0"/>
          <w:numId w:val="7"/>
        </w:numPr>
      </w:pPr>
      <w:r w:rsidRPr="003D1E07">
        <w:lastRenderedPageBreak/>
        <w:t xml:space="preserve">Jak se stalo, že Averroesova forma </w:t>
      </w:r>
      <w:r w:rsidRPr="003D1E07">
        <w:rPr>
          <w:i/>
        </w:rPr>
        <w:t>intellectus possibilis</w:t>
      </w:r>
      <w:r w:rsidRPr="003D1E07">
        <w:t xml:space="preserve"> byla mylně interpretována </w:t>
      </w:r>
      <w:r w:rsidR="00807E00" w:rsidRPr="003D1E07">
        <w:t xml:space="preserve">v latinském </w:t>
      </w:r>
      <w:r w:rsidRPr="003D1E07">
        <w:t>avicennismu</w:t>
      </w:r>
      <w:r w:rsidRPr="003D1E07">
        <w:fldChar w:fldCharType="begin"/>
      </w:r>
      <w:r w:rsidRPr="003D1E07">
        <w:instrText xml:space="preserve"> XE "latinský avicennismus" </w:instrText>
      </w:r>
      <w:r w:rsidRPr="003D1E07">
        <w:fldChar w:fldCharType="end"/>
      </w:r>
      <w:r w:rsidRPr="003D1E07">
        <w:t>?</w:t>
      </w:r>
    </w:p>
    <w:p w14:paraId="768DF76C" w14:textId="7E3F9861" w:rsidR="085F5642" w:rsidRPr="003D1E07" w:rsidRDefault="085F5642" w:rsidP="00202920">
      <w:pPr>
        <w:numPr>
          <w:ilvl w:val="0"/>
          <w:numId w:val="7"/>
        </w:numPr>
      </w:pPr>
      <w:r w:rsidRPr="003D1E07">
        <w:t>Jak se stal Averroes averroistou a co to znamenalo pro vývoj objektivity na latinském Západě?</w:t>
      </w:r>
    </w:p>
    <w:p w14:paraId="5812C758" w14:textId="77777777" w:rsidR="00364E46" w:rsidRDefault="00A95AA7" w:rsidP="08AD1FC7">
      <w:pPr>
        <w:rPr>
          <w:lang w:eastAsia="en-US"/>
        </w:rPr>
      </w:pPr>
      <w:r w:rsidRPr="003D1E07">
        <w:t xml:space="preserve">Filosofické dějiny gigantomachie </w:t>
      </w:r>
      <w:r w:rsidR="005C77B3" w:rsidRPr="003D1E07">
        <w:t xml:space="preserve">o substanci </w:t>
      </w:r>
      <w:r w:rsidRPr="003D1E07">
        <w:t xml:space="preserve">jsou určeny změnami </w:t>
      </w:r>
      <w:r w:rsidR="00FC4863">
        <w:t xml:space="preserve">náhledu na </w:t>
      </w:r>
      <w:r w:rsidRPr="003D1E07">
        <w:t>bytí jsoucna. K</w:t>
      </w:r>
      <w:r w:rsidR="005C77B3" w:rsidRPr="003D1E07">
        <w:t>aždá</w:t>
      </w:r>
      <w:r w:rsidRPr="003D1E07">
        <w:t xml:space="preserve"> změna tohoto typu zakládá novou podobu dějinnosti</w:t>
      </w:r>
      <w:r w:rsidR="00A05EC1" w:rsidRPr="003D1E07">
        <w:t xml:space="preserve"> myšlení</w:t>
      </w:r>
      <w:r w:rsidRPr="003D1E07">
        <w:t xml:space="preserve">. </w:t>
      </w:r>
      <w:r w:rsidR="005C77B3" w:rsidRPr="003D1E07">
        <w:t xml:space="preserve">Dějiny </w:t>
      </w:r>
      <w:r w:rsidRPr="003D1E07">
        <w:t xml:space="preserve">jsoucna </w:t>
      </w:r>
      <w:r w:rsidR="084337BD" w:rsidRPr="003D1E07">
        <w:fldChar w:fldCharType="begin"/>
      </w:r>
      <w:r w:rsidR="084337BD" w:rsidRPr="003D1E07">
        <w:instrText xml:space="preserve"> XE "dějinnost" </w:instrText>
      </w:r>
      <w:r w:rsidR="084337BD" w:rsidRPr="003D1E07">
        <w:fldChar w:fldCharType="end"/>
      </w:r>
      <w:r w:rsidRPr="003D1E07">
        <w:t xml:space="preserve">v </w:t>
      </w:r>
      <w:r w:rsidR="085F5642" w:rsidRPr="003D1E07">
        <w:t xml:space="preserve">metafyzice </w:t>
      </w:r>
      <w:r w:rsidR="0889511D" w:rsidRPr="003D1E07">
        <w:t xml:space="preserve">Avicenny a Averroese </w:t>
      </w:r>
      <w:r w:rsidR="005C77B3" w:rsidRPr="003D1E07">
        <w:t>mají</w:t>
      </w:r>
      <w:r w:rsidRPr="003D1E07">
        <w:t xml:space="preserve"> zásadní charakter, protože jejich spor převzal</w:t>
      </w:r>
      <w:r w:rsidR="00BB1940" w:rsidRPr="003D1E07">
        <w:t xml:space="preserve"> latinský Západ</w:t>
      </w:r>
      <w:r w:rsidR="0889511D" w:rsidRPr="003D1E07">
        <w:t xml:space="preserve">. </w:t>
      </w:r>
      <w:r w:rsidR="085F5642" w:rsidRPr="003D1E07">
        <w:fldChar w:fldCharType="begin"/>
      </w:r>
      <w:r w:rsidR="085F5642" w:rsidRPr="003D1E07">
        <w:instrText xml:space="preserve"> XE "intelekt:gigantomachie" </w:instrText>
      </w:r>
      <w:r w:rsidR="085F5642" w:rsidRPr="003D1E07">
        <w:fldChar w:fldCharType="end"/>
      </w:r>
      <w:r w:rsidR="085F5642" w:rsidRPr="003D1E07">
        <w:t xml:space="preserve">Gigantomachie </w:t>
      </w:r>
      <w:r w:rsidRPr="003D1E07">
        <w:t xml:space="preserve">o </w:t>
      </w:r>
      <w:r w:rsidR="009A7E8D">
        <w:t xml:space="preserve">objektivní </w:t>
      </w:r>
      <w:r w:rsidRPr="003D1E07">
        <w:t xml:space="preserve">substanci </w:t>
      </w:r>
      <w:r w:rsidR="085F5642" w:rsidRPr="003D1E07">
        <w:t>probíhá nejprve ve falsafě, pak ve škol</w:t>
      </w:r>
      <w:r w:rsidR="00C74EF0" w:rsidRPr="003D1E07">
        <w:t>ách prvního a druhého averroismu</w:t>
      </w:r>
      <w:r w:rsidR="085F5642" w:rsidRPr="003D1E07">
        <w:t xml:space="preserve">. Výsledek tohoto zápasu objektivně utváří historickou podobu západní vědy a vzdělanosti v modu epochálního metafyzického </w:t>
      </w:r>
      <w:r w:rsidR="085F5642" w:rsidRPr="003D1E07">
        <w:rPr>
          <w:i/>
        </w:rPr>
        <w:t>Irrtum</w:t>
      </w:r>
      <w:r w:rsidR="085F5642" w:rsidRPr="003D1E07">
        <w:t>.</w:t>
      </w:r>
      <w:r w:rsidR="085F5642" w:rsidRPr="003D1E07">
        <w:rPr>
          <w:lang w:eastAsia="en-US"/>
        </w:rPr>
        <w:t xml:space="preserve"> </w:t>
      </w:r>
      <w:r w:rsidR="00A240E5" w:rsidRPr="003D1E07">
        <w:rPr>
          <w:lang w:eastAsia="en-US"/>
        </w:rPr>
        <w:t>H</w:t>
      </w:r>
      <w:r w:rsidR="00AC0D2E" w:rsidRPr="003D1E07">
        <w:rPr>
          <w:lang w:eastAsia="en-US"/>
        </w:rPr>
        <w:t xml:space="preserve">ermeneutika objektivity </w:t>
      </w:r>
      <w:r w:rsidR="00A240E5" w:rsidRPr="003D1E07">
        <w:rPr>
          <w:lang w:eastAsia="en-US"/>
        </w:rPr>
        <w:t xml:space="preserve">musí vyložit </w:t>
      </w:r>
      <w:r w:rsidR="08C44A9F" w:rsidRPr="003D1E07">
        <w:rPr>
          <w:lang w:eastAsia="en-US"/>
        </w:rPr>
        <w:t xml:space="preserve">dvojí </w:t>
      </w:r>
      <w:r w:rsidR="08085E50" w:rsidRPr="003D1E07">
        <w:rPr>
          <w:lang w:eastAsia="en-US"/>
        </w:rPr>
        <w:t>zakládání metafyziky (</w:t>
      </w:r>
      <w:r w:rsidR="08085E50" w:rsidRPr="003D1E07">
        <w:rPr>
          <w:i/>
          <w:lang w:eastAsia="en-US"/>
        </w:rPr>
        <w:t>Gründung</w:t>
      </w:r>
      <w:r w:rsidR="005B2B7D" w:rsidRPr="003D1E07">
        <w:rPr>
          <w:i/>
        </w:rPr>
        <w:fldChar w:fldCharType="begin"/>
      </w:r>
      <w:r w:rsidR="005B2B7D" w:rsidRPr="003D1E07">
        <w:instrText xml:space="preserve"> XE "metafyzika:</w:instrText>
      </w:r>
      <w:r w:rsidR="005B2B7D" w:rsidRPr="003D1E07">
        <w:rPr>
          <w:i/>
        </w:rPr>
        <w:instrText>Gründung</w:instrText>
      </w:r>
      <w:r w:rsidR="005B2B7D" w:rsidRPr="003D1E07">
        <w:instrText xml:space="preserve">" </w:instrText>
      </w:r>
      <w:r w:rsidR="005B2B7D" w:rsidRPr="003D1E07">
        <w:rPr>
          <w:i/>
        </w:rPr>
        <w:fldChar w:fldCharType="end"/>
      </w:r>
      <w:r w:rsidR="08085E50" w:rsidRPr="003D1E07">
        <w:rPr>
          <w:lang w:eastAsia="en-US"/>
        </w:rPr>
        <w:t>)</w:t>
      </w:r>
      <w:r w:rsidR="00A240E5" w:rsidRPr="003D1E07">
        <w:rPr>
          <w:lang w:eastAsia="en-US"/>
        </w:rPr>
        <w:t xml:space="preserve"> daný v Avicennově a </w:t>
      </w:r>
      <w:r w:rsidR="002E3B62" w:rsidRPr="003D1E07">
        <w:rPr>
          <w:lang w:eastAsia="en-US"/>
        </w:rPr>
        <w:t>Averroes</w:t>
      </w:r>
      <w:r w:rsidR="00A240E5" w:rsidRPr="003D1E07">
        <w:rPr>
          <w:lang w:eastAsia="en-US"/>
        </w:rPr>
        <w:t>ově verzi metafyziky</w:t>
      </w:r>
      <w:r w:rsidR="08C44A9F" w:rsidRPr="003D1E07">
        <w:rPr>
          <w:lang w:eastAsia="en-US"/>
        </w:rPr>
        <w:t xml:space="preserve">. </w:t>
      </w:r>
      <w:r w:rsidR="08DA354D" w:rsidRPr="003D1E07">
        <w:rPr>
          <w:lang w:eastAsia="en-US"/>
        </w:rPr>
        <w:t xml:space="preserve">Komentátorovo </w:t>
      </w:r>
      <w:r w:rsidR="00AC0D2E" w:rsidRPr="003D1E07">
        <w:rPr>
          <w:lang w:eastAsia="en-US"/>
        </w:rPr>
        <w:t xml:space="preserve">pojetí metafyziky </w:t>
      </w:r>
      <w:r w:rsidR="00054655" w:rsidRPr="003D1E07">
        <w:rPr>
          <w:lang w:eastAsia="en-US"/>
        </w:rPr>
        <w:t>završil</w:t>
      </w:r>
      <w:r w:rsidR="004943ED" w:rsidRPr="003D1E07">
        <w:rPr>
          <w:lang w:eastAsia="en-US"/>
        </w:rPr>
        <w:t>o</w:t>
      </w:r>
      <w:r w:rsidR="00407325" w:rsidRPr="003D1E07">
        <w:rPr>
          <w:lang w:eastAsia="en-US"/>
        </w:rPr>
        <w:t xml:space="preserve"> aristotelskou tradici první vědy</w:t>
      </w:r>
      <w:r w:rsidR="00054655" w:rsidRPr="003D1E07">
        <w:rPr>
          <w:lang w:eastAsia="en-US"/>
        </w:rPr>
        <w:t xml:space="preserve">. </w:t>
      </w:r>
      <w:r w:rsidR="08DA354D" w:rsidRPr="003D1E07">
        <w:rPr>
          <w:lang w:eastAsia="en-US"/>
        </w:rPr>
        <w:t xml:space="preserve">Averroesovo řešení poznání </w:t>
      </w:r>
      <w:r w:rsidR="009B6A57" w:rsidRPr="003D1E07">
        <w:rPr>
          <w:lang w:eastAsia="en-US"/>
        </w:rPr>
        <w:t xml:space="preserve">na základě spisu </w:t>
      </w:r>
      <w:r w:rsidR="009B6A57" w:rsidRPr="003D1E07">
        <w:rPr>
          <w:i/>
          <w:lang w:eastAsia="en-US"/>
        </w:rPr>
        <w:t>De anima</w:t>
      </w:r>
      <w:r w:rsidR="009B6A57" w:rsidRPr="003D1E07">
        <w:rPr>
          <w:lang w:eastAsia="en-US"/>
        </w:rPr>
        <w:t xml:space="preserve"> </w:t>
      </w:r>
      <w:r w:rsidR="0046496A" w:rsidRPr="003D1E07">
        <w:rPr>
          <w:lang w:eastAsia="en-US"/>
        </w:rPr>
        <w:t xml:space="preserve">obsahuje jednotu </w:t>
      </w:r>
      <w:r w:rsidR="08DA354D" w:rsidRPr="003D1E07">
        <w:rPr>
          <w:lang w:eastAsia="en-US"/>
        </w:rPr>
        <w:t xml:space="preserve">osoby, </w:t>
      </w:r>
      <w:r w:rsidR="0046496A" w:rsidRPr="003D1E07">
        <w:rPr>
          <w:lang w:eastAsia="en-US"/>
        </w:rPr>
        <w:t xml:space="preserve">kterou </w:t>
      </w:r>
      <w:r w:rsidR="009B6A57" w:rsidRPr="003D1E07">
        <w:rPr>
          <w:lang w:eastAsia="en-US"/>
        </w:rPr>
        <w:t xml:space="preserve">Aristotelův originál </w:t>
      </w:r>
      <w:r w:rsidR="0046496A" w:rsidRPr="003D1E07">
        <w:rPr>
          <w:lang w:eastAsia="en-US"/>
        </w:rPr>
        <w:t>výslovně nemá</w:t>
      </w:r>
      <w:r w:rsidR="08DA354D" w:rsidRPr="003D1E07">
        <w:rPr>
          <w:lang w:eastAsia="en-US"/>
        </w:rPr>
        <w:t>. Jak dále uvidíme, semiaverroisté</w:t>
      </w:r>
      <w:r w:rsidR="08DA354D" w:rsidRPr="003D1E07">
        <w:rPr>
          <w:lang w:eastAsia="en-US"/>
        </w:rPr>
        <w:fldChar w:fldCharType="begin"/>
      </w:r>
      <w:r w:rsidR="08DA354D" w:rsidRPr="003D1E07">
        <w:instrText xml:space="preserve"> XE "</w:instrText>
      </w:r>
      <w:r w:rsidR="08DA354D" w:rsidRPr="003D1E07">
        <w:rPr>
          <w:lang w:eastAsia="en-US"/>
        </w:rPr>
        <w:instrText>semiaverroismus</w:instrText>
      </w:r>
      <w:r w:rsidR="08DA354D" w:rsidRPr="003D1E07">
        <w:instrText xml:space="preserve">" </w:instrText>
      </w:r>
      <w:r w:rsidR="08DA354D" w:rsidRPr="003D1E07">
        <w:rPr>
          <w:lang w:eastAsia="en-US"/>
        </w:rPr>
        <w:fldChar w:fldCharType="end"/>
      </w:r>
      <w:r w:rsidR="08DA354D" w:rsidRPr="003D1E07">
        <w:rPr>
          <w:lang w:eastAsia="en-US"/>
        </w:rPr>
        <w:t xml:space="preserve"> ze školy prvního averroismu ovlivněného schématem poznání podle Avicenny odmítli geniální Averroesovo řešení jednoty osoby. Tomáš Akvinský a Aegidius Romanus ponechali v linii obj</w:t>
      </w:r>
      <w:r w:rsidR="006E639F" w:rsidRPr="003D1E07">
        <w:rPr>
          <w:lang w:eastAsia="en-US"/>
        </w:rPr>
        <w:t xml:space="preserve">ektivního aristotelismu nejasnosti </w:t>
      </w:r>
      <w:r w:rsidR="08DA354D" w:rsidRPr="003D1E07">
        <w:rPr>
          <w:lang w:eastAsia="en-US"/>
        </w:rPr>
        <w:t xml:space="preserve">dané v originále </w:t>
      </w:r>
      <w:r w:rsidR="08DA354D" w:rsidRPr="003D1E07">
        <w:rPr>
          <w:i/>
          <w:lang w:eastAsia="en-US"/>
        </w:rPr>
        <w:t>De anima</w:t>
      </w:r>
      <w:r w:rsidR="08DA354D" w:rsidRPr="003D1E07">
        <w:rPr>
          <w:lang w:eastAsia="en-US"/>
        </w:rPr>
        <w:t>, především</w:t>
      </w:r>
      <w:r w:rsidR="08DA354D" w:rsidRPr="003D1E07">
        <w:rPr>
          <w:i/>
          <w:lang w:eastAsia="en-US"/>
        </w:rPr>
        <w:t xml:space="preserve"> </w:t>
      </w:r>
      <w:r w:rsidR="08DA354D" w:rsidRPr="003D1E07">
        <w:rPr>
          <w:lang w:eastAsia="en-US"/>
        </w:rPr>
        <w:t xml:space="preserve">dualismus dvou hypostázovaných forem v duši. Siger z Brabantu jako </w:t>
      </w:r>
      <w:r w:rsidR="00AD4D61" w:rsidRPr="003D1E07">
        <w:rPr>
          <w:lang w:eastAsia="en-US"/>
        </w:rPr>
        <w:t xml:space="preserve">nejlepší </w:t>
      </w:r>
      <w:r w:rsidR="08DA354D" w:rsidRPr="003D1E07">
        <w:rPr>
          <w:lang w:eastAsia="en-US"/>
        </w:rPr>
        <w:t>komentátor Komentátora jasně viděl a odmítl všechny dualistické teorie svých současníků</w:t>
      </w:r>
      <w:r w:rsidR="08E62055" w:rsidRPr="003D1E07">
        <w:rPr>
          <w:lang w:eastAsia="en-US"/>
        </w:rPr>
        <w:t xml:space="preserve">. Modernisté </w:t>
      </w:r>
      <w:r w:rsidR="08DA354D" w:rsidRPr="003D1E07">
        <w:rPr>
          <w:lang w:eastAsia="en-US"/>
        </w:rPr>
        <w:t xml:space="preserve">proto tohoto magistra </w:t>
      </w:r>
      <w:r w:rsidR="08DA354D" w:rsidRPr="003D1E07">
        <w:rPr>
          <w:i/>
          <w:lang w:eastAsia="en-US"/>
        </w:rPr>
        <w:t>Moderni</w:t>
      </w:r>
      <w:r w:rsidR="084A4C0C" w:rsidRPr="003D1E07">
        <w:rPr>
          <w:lang w:eastAsia="en-US"/>
        </w:rPr>
        <w:t xml:space="preserve"> zavrhli jako </w:t>
      </w:r>
      <w:r w:rsidR="08E62055" w:rsidRPr="003D1E07">
        <w:rPr>
          <w:lang w:eastAsia="en-US"/>
        </w:rPr>
        <w:t>„</w:t>
      </w:r>
      <w:r w:rsidR="084A4C0C" w:rsidRPr="003D1E07">
        <w:rPr>
          <w:lang w:eastAsia="en-US"/>
        </w:rPr>
        <w:t>averroistu</w:t>
      </w:r>
      <w:r w:rsidR="08E62055" w:rsidRPr="003D1E07">
        <w:rPr>
          <w:lang w:eastAsia="en-US"/>
        </w:rPr>
        <w:t>“</w:t>
      </w:r>
      <w:r w:rsidR="08DA354D" w:rsidRPr="003D1E07">
        <w:rPr>
          <w:lang w:eastAsia="en-US"/>
        </w:rPr>
        <w:t xml:space="preserve"> a uvalili na něj akademické </w:t>
      </w:r>
      <w:r w:rsidR="08DA354D" w:rsidRPr="003D1E07">
        <w:rPr>
          <w:i/>
          <w:lang w:eastAsia="en-US"/>
        </w:rPr>
        <w:t>damnatio memoriae</w:t>
      </w:r>
      <w:r w:rsidR="08DA354D" w:rsidRPr="003D1E07">
        <w:rPr>
          <w:i/>
          <w:lang w:eastAsia="en-US"/>
        </w:rPr>
        <w:fldChar w:fldCharType="begin"/>
      </w:r>
      <w:r w:rsidR="08DA354D" w:rsidRPr="003D1E07">
        <w:instrText xml:space="preserve"> XE "</w:instrText>
      </w:r>
      <w:r w:rsidR="08DA354D" w:rsidRPr="003D1E07">
        <w:rPr>
          <w:i/>
          <w:lang w:eastAsia="en-US"/>
        </w:rPr>
        <w:instrText>damnatio memoriae</w:instrText>
      </w:r>
      <w:r w:rsidR="08DA354D" w:rsidRPr="003D1E07">
        <w:instrText xml:space="preserve">" </w:instrText>
      </w:r>
      <w:r w:rsidR="08DA354D" w:rsidRPr="003D1E07">
        <w:rPr>
          <w:i/>
          <w:lang w:eastAsia="en-US"/>
        </w:rPr>
        <w:fldChar w:fldCharType="end"/>
      </w:r>
      <w:r w:rsidR="08DA354D" w:rsidRPr="003D1E07">
        <w:rPr>
          <w:lang w:eastAsia="en-US"/>
        </w:rPr>
        <w:t xml:space="preserve">. </w:t>
      </w:r>
      <w:r w:rsidR="00054655" w:rsidRPr="003D1E07">
        <w:rPr>
          <w:lang w:eastAsia="en-US"/>
        </w:rPr>
        <w:t>N</w:t>
      </w:r>
      <w:r w:rsidR="084A4C0C" w:rsidRPr="003D1E07">
        <w:rPr>
          <w:lang w:eastAsia="en-US"/>
        </w:rPr>
        <w:t xml:space="preserve">epravda daná ve sporu o </w:t>
      </w:r>
      <w:r w:rsidR="08E62055" w:rsidRPr="003D1E07">
        <w:rPr>
          <w:lang w:eastAsia="en-US"/>
        </w:rPr>
        <w:t>o tzv. „</w:t>
      </w:r>
      <w:r w:rsidR="084A4C0C" w:rsidRPr="003D1E07">
        <w:rPr>
          <w:lang w:eastAsia="en-US"/>
        </w:rPr>
        <w:t>averroismus</w:t>
      </w:r>
      <w:r w:rsidR="08E62055" w:rsidRPr="003D1E07">
        <w:rPr>
          <w:lang w:eastAsia="en-US"/>
        </w:rPr>
        <w:t>“</w:t>
      </w:r>
      <w:r w:rsidR="00054655" w:rsidRPr="003D1E07">
        <w:rPr>
          <w:lang w:eastAsia="en-US"/>
        </w:rPr>
        <w:t xml:space="preserve"> otevřela cestu k objektivní metafyzice tím, že </w:t>
      </w:r>
      <w:r w:rsidR="002E3B62" w:rsidRPr="003D1E07">
        <w:rPr>
          <w:lang w:eastAsia="en-US"/>
        </w:rPr>
        <w:t>Averroes</w:t>
      </w:r>
      <w:r w:rsidR="086F5E05" w:rsidRPr="003D1E07">
        <w:rPr>
          <w:lang w:eastAsia="en-US"/>
        </w:rPr>
        <w:t>ovu</w:t>
      </w:r>
      <w:r w:rsidR="00054655" w:rsidRPr="003D1E07">
        <w:rPr>
          <w:lang w:eastAsia="en-US"/>
        </w:rPr>
        <w:t xml:space="preserve"> metafyziku vyložila sofistickým způsobem</w:t>
      </w:r>
      <w:r w:rsidR="08793400" w:rsidRPr="003D1E07">
        <w:rPr>
          <w:lang w:eastAsia="en-US"/>
        </w:rPr>
        <w:t xml:space="preserve">. </w:t>
      </w:r>
      <w:r w:rsidR="00054655" w:rsidRPr="003D1E07">
        <w:rPr>
          <w:lang w:eastAsia="en-US"/>
        </w:rPr>
        <w:t>Tuto nepr</w:t>
      </w:r>
      <w:r w:rsidR="0068393E" w:rsidRPr="003D1E07">
        <w:rPr>
          <w:lang w:eastAsia="en-US"/>
        </w:rPr>
        <w:t xml:space="preserve">avdu již zažil samotný </w:t>
      </w:r>
      <w:r w:rsidR="002E3B62" w:rsidRPr="003D1E07">
        <w:rPr>
          <w:lang w:eastAsia="en-US"/>
        </w:rPr>
        <w:t>Averroes</w:t>
      </w:r>
      <w:r w:rsidR="00054655" w:rsidRPr="003D1E07">
        <w:rPr>
          <w:lang w:eastAsia="en-US"/>
        </w:rPr>
        <w:t xml:space="preserve"> ke konci života, když marocký chalíf Al-Mansúr </w:t>
      </w:r>
      <w:r w:rsidR="08F8054D" w:rsidRPr="003D1E07">
        <w:rPr>
          <w:lang w:eastAsia="en-US"/>
        </w:rPr>
        <w:t xml:space="preserve">roku </w:t>
      </w:r>
      <w:r w:rsidR="00054655" w:rsidRPr="003D1E07">
        <w:rPr>
          <w:lang w:eastAsia="en-US"/>
        </w:rPr>
        <w:t xml:space="preserve">1197 nařídil veřejně spálit </w:t>
      </w:r>
      <w:r w:rsidR="0068393E" w:rsidRPr="003D1E07">
        <w:rPr>
          <w:lang w:eastAsia="en-US"/>
        </w:rPr>
        <w:t xml:space="preserve">jeho </w:t>
      </w:r>
      <w:r w:rsidR="00364E46">
        <w:rPr>
          <w:lang w:eastAsia="en-US"/>
        </w:rPr>
        <w:t>spisy jako heretické.</w:t>
      </w:r>
    </w:p>
    <w:p w14:paraId="3F59D6E1" w14:textId="6376727A" w:rsidR="08AD1FC7" w:rsidRPr="003D1E07" w:rsidRDefault="00915E09" w:rsidP="00364E46">
      <w:pPr>
        <w:ind w:firstLine="397"/>
      </w:pPr>
      <w:r w:rsidRPr="003D1E07">
        <w:t xml:space="preserve">Projektem nové </w:t>
      </w:r>
      <w:r w:rsidR="00BA75EF" w:rsidRPr="003D1E07">
        <w:t>první filosofie odp</w:t>
      </w:r>
      <w:r w:rsidR="00F15EC6" w:rsidRPr="003D1E07">
        <w:t>ov</w:t>
      </w:r>
      <w:r w:rsidR="084A4C0C" w:rsidRPr="003D1E07">
        <w:t xml:space="preserve">ěděl </w:t>
      </w:r>
      <w:r w:rsidR="08BF3457" w:rsidRPr="003D1E07">
        <w:t xml:space="preserve">Komentátor </w:t>
      </w:r>
      <w:r w:rsidR="08147886" w:rsidRPr="003D1E07">
        <w:t>na kritiku Al</w:t>
      </w:r>
      <w:r w:rsidR="08CE29D2" w:rsidRPr="003D1E07">
        <w:t>-</w:t>
      </w:r>
      <w:r w:rsidR="006056DF" w:rsidRPr="003D1E07">
        <w:t>Ghazál</w:t>
      </w:r>
      <w:r w:rsidR="00F15EC6" w:rsidRPr="003D1E07">
        <w:t>í</w:t>
      </w:r>
      <w:r w:rsidR="003D377D" w:rsidRPr="003D1E07">
        <w:t>ho</w:t>
      </w:r>
      <w:r w:rsidR="00BF6E3C" w:rsidRPr="003D1E07">
        <w:fldChar w:fldCharType="begin"/>
      </w:r>
      <w:r w:rsidR="00BF6E3C" w:rsidRPr="003D1E07">
        <w:instrText xml:space="preserve"> XE "</w:instrText>
      </w:r>
      <w:r w:rsidR="00247EF8" w:rsidRPr="003D1E07">
        <w:instrText>Al-</w:instrText>
      </w:r>
      <w:r w:rsidR="00BF6E3C" w:rsidRPr="003D1E07">
        <w:instrText xml:space="preserve">Ghazálí" </w:instrText>
      </w:r>
      <w:r w:rsidR="00BF6E3C" w:rsidRPr="003D1E07">
        <w:fldChar w:fldCharType="end"/>
      </w:r>
      <w:r w:rsidR="003D377D" w:rsidRPr="003D1E07">
        <w:t xml:space="preserve"> </w:t>
      </w:r>
      <w:r w:rsidR="00F07F75" w:rsidRPr="003D1E07">
        <w:t>(</w:t>
      </w:r>
      <w:r w:rsidR="00F07F75" w:rsidRPr="003D1E07">
        <w:rPr>
          <w:i/>
          <w:iCs/>
        </w:rPr>
        <w:t>Tahāfut al-Falāsifah</w:t>
      </w:r>
      <w:r w:rsidR="00F07F75" w:rsidRPr="003D1E07">
        <w:t xml:space="preserve">) </w:t>
      </w:r>
      <w:r w:rsidR="003F43E4" w:rsidRPr="003D1E07">
        <w:t>vzhledem k filosofii, a to sepsáním antinomického</w:t>
      </w:r>
      <w:r w:rsidR="00F07F75" w:rsidRPr="003D1E07">
        <w:t xml:space="preserve"> </w:t>
      </w:r>
      <w:r w:rsidR="003F43E4" w:rsidRPr="003D1E07">
        <w:t>díla</w:t>
      </w:r>
      <w:r w:rsidR="003D377D" w:rsidRPr="003D1E07">
        <w:t xml:space="preserve"> </w:t>
      </w:r>
      <w:r w:rsidR="00F07F75" w:rsidRPr="003D1E07">
        <w:rPr>
          <w:i/>
          <w:iCs/>
        </w:rPr>
        <w:t>Tahāfut al-Tahāfut.</w:t>
      </w:r>
      <w:r w:rsidR="00F07F75" w:rsidRPr="003D1E07">
        <w:t xml:space="preserve"> </w:t>
      </w:r>
      <w:r w:rsidR="00E6106D" w:rsidRPr="003D1E07">
        <w:t xml:space="preserve">Tato polemická práce obsahuje </w:t>
      </w:r>
      <w:r w:rsidR="087C60C7" w:rsidRPr="003D1E07">
        <w:t>kritiku islánských modernistů, kterou</w:t>
      </w:r>
      <w:r w:rsidR="00E6106D" w:rsidRPr="003D1E07">
        <w:t xml:space="preserve"> později převezme škola</w:t>
      </w:r>
      <w:r w:rsidR="000A63DB" w:rsidRPr="003D1E07">
        <w:t xml:space="preserve"> prvního averro</w:t>
      </w:r>
      <w:r w:rsidR="00E6106D" w:rsidRPr="003D1E07">
        <w:t>i</w:t>
      </w:r>
      <w:r w:rsidR="000A63DB" w:rsidRPr="003D1E07">
        <w:t>sm</w:t>
      </w:r>
      <w:r w:rsidR="00E6106D" w:rsidRPr="003D1E07">
        <w:t>u proti latinským modernistům druhého averroismu.</w:t>
      </w:r>
      <w:r w:rsidR="000A63DB" w:rsidRPr="003D1E07">
        <w:t xml:space="preserve"> Citujme jádro této gigantomachie ve falsafě, která se týkala moderní nutnosti vázané na esenci, místo na </w:t>
      </w:r>
      <w:r w:rsidR="000A63DB" w:rsidRPr="003D1E07">
        <w:lastRenderedPageBreak/>
        <w:t>působení reálné substance.</w:t>
      </w:r>
      <w:r w:rsidR="000A63DB" w:rsidRPr="003D1E07">
        <w:rPr>
          <w:rStyle w:val="Znakapoznpodarou"/>
        </w:rPr>
        <w:footnoteReference w:id="196"/>
      </w:r>
      <w:r w:rsidR="000A63DB" w:rsidRPr="003D1E07">
        <w:t xml:space="preserve"> </w:t>
      </w:r>
      <w:r w:rsidR="00E71D5C" w:rsidRPr="003D1E07">
        <w:t xml:space="preserve">Averroes </w:t>
      </w:r>
      <w:r w:rsidR="000A63DB" w:rsidRPr="003D1E07">
        <w:t xml:space="preserve">správně viděl, že </w:t>
      </w:r>
      <w:r w:rsidR="087C60C7" w:rsidRPr="003D1E07">
        <w:t xml:space="preserve">oddělením existence od substance </w:t>
      </w:r>
      <w:r w:rsidR="000A63DB" w:rsidRPr="003D1E07">
        <w:t xml:space="preserve">nastala smrt boha v metafyzice </w:t>
      </w:r>
      <w:r w:rsidR="000A63DB" w:rsidRPr="003D1E07">
        <w:rPr>
          <w:i/>
        </w:rPr>
        <w:t>Modernorum</w:t>
      </w:r>
      <w:r w:rsidR="000A63DB" w:rsidRPr="003D1E07">
        <w:t>.</w:t>
      </w:r>
      <w:r w:rsidR="00E6106D" w:rsidRPr="003D1E07">
        <w:t xml:space="preserve"> </w:t>
      </w:r>
      <w:r w:rsidR="08695AD9" w:rsidRPr="003D1E07">
        <w:t xml:space="preserve">Averroes </w:t>
      </w:r>
      <w:r w:rsidR="080A0C73" w:rsidRPr="003D1E07">
        <w:t xml:space="preserve">obhájil proti Avicennovi vizi aristotelské první vědy, kterou před ním načrtnul Al-Fárábí, ale kvůli neoplatonskému </w:t>
      </w:r>
      <w:r w:rsidR="08437C2B" w:rsidRPr="003D1E07">
        <w:t>vlivu ji nemohl dokončit. Al-</w:t>
      </w:r>
      <w:r w:rsidR="080A0C73" w:rsidRPr="003D1E07">
        <w:t xml:space="preserve">Fárábího pojetí metafyziky bylo dotaženo do nové formy tím, že Averroesova interpretace podává odpověď na všechny klíčové omyly Avicenny. </w:t>
      </w:r>
      <w:r w:rsidR="006A227D">
        <w:t xml:space="preserve">Ale na druhé straně </w:t>
      </w:r>
      <w:r w:rsidR="006A227D" w:rsidRPr="003D1E07">
        <w:t xml:space="preserve">Averroes odmítl fundamentalistickou tezi teologů o boží nevyzpytatelné všemohoucnosti, kterou reagovali na Avicennovo antropologické pojetí moderního boha (kap. 2.3.3). </w:t>
      </w:r>
      <w:r w:rsidR="08437C2B" w:rsidRPr="003D1E07">
        <w:t xml:space="preserve">Příroda by nemohla sledovat běh přirozených příčin, protože ty by v konečném důsledku zcela závisely na boží prozřetelnosti a na jeho nevyzpytatelnosti. Zrušení kauzality by znemožnilo přírodní vědy i metafyziku. </w:t>
      </w:r>
      <w:r w:rsidR="08767DA7" w:rsidRPr="003D1E07">
        <w:t xml:space="preserve">Aristotelik </w:t>
      </w:r>
      <w:r w:rsidR="002E3B62" w:rsidRPr="003D1E07">
        <w:t>Averroes</w:t>
      </w:r>
      <w:r w:rsidR="000E5301" w:rsidRPr="003D1E07">
        <w:t xml:space="preserve"> </w:t>
      </w:r>
      <w:r w:rsidR="08767DA7" w:rsidRPr="003D1E07">
        <w:t xml:space="preserve">v odpovědi na Algazelovu kritiku modernistů </w:t>
      </w:r>
      <w:r w:rsidR="000E5301" w:rsidRPr="003D1E07">
        <w:t xml:space="preserve">stanovuje pro teologii a filosofii pouze jedinou pravdu a cíl poznání podle </w:t>
      </w:r>
      <w:r w:rsidR="000E5301" w:rsidRPr="003D1E07">
        <w:rPr>
          <w:i/>
        </w:rPr>
        <w:t>Metafyziky</w:t>
      </w:r>
      <w:r w:rsidR="08B20B0B" w:rsidRPr="003D1E07">
        <w:t xml:space="preserve"> </w:t>
      </w:r>
      <w:r w:rsidR="000E5301" w:rsidRPr="003D1E07">
        <w:rPr>
          <w:i/>
        </w:rPr>
        <w:t>Lambda</w:t>
      </w:r>
      <w:r w:rsidR="000E5301" w:rsidRPr="003D1E07">
        <w:t xml:space="preserve">, ale zdůrazňuje odlišné dvě cesty k První příčině a dvě formy poznání Nehybného hybatele. </w:t>
      </w:r>
      <w:r w:rsidR="00E1296C" w:rsidRPr="003D1E07">
        <w:t xml:space="preserve">Tato debata o autonomii filosofie </w:t>
      </w:r>
      <w:r w:rsidR="000E5301" w:rsidRPr="003D1E07">
        <w:t>a teologie</w:t>
      </w:r>
      <w:r w:rsidR="00E1296C" w:rsidRPr="003D1E07">
        <w:t xml:space="preserve"> </w:t>
      </w:r>
      <w:r w:rsidR="00A5731D" w:rsidRPr="003D1E07">
        <w:t>předznamenala</w:t>
      </w:r>
      <w:r w:rsidR="00E1296C" w:rsidRPr="003D1E07">
        <w:t xml:space="preserve"> </w:t>
      </w:r>
      <w:r w:rsidR="08510F58" w:rsidRPr="003D1E07">
        <w:t xml:space="preserve">spor o </w:t>
      </w:r>
      <w:r w:rsidR="000E5301" w:rsidRPr="003D1E07">
        <w:t>dvojí pravdu</w:t>
      </w:r>
      <w:r w:rsidR="008E02F5" w:rsidRPr="003D1E07">
        <w:fldChar w:fldCharType="begin"/>
      </w:r>
      <w:r w:rsidR="008E02F5" w:rsidRPr="003D1E07">
        <w:instrText xml:space="preserve"> XE "teorie dvojí pravdy" </w:instrText>
      </w:r>
      <w:r w:rsidR="008E02F5" w:rsidRPr="003D1E07">
        <w:fldChar w:fldCharType="end"/>
      </w:r>
      <w:r w:rsidR="008E02F5" w:rsidRPr="003D1E07">
        <w:t xml:space="preserve"> </w:t>
      </w:r>
      <w:r w:rsidR="00944D6C" w:rsidRPr="003D1E07">
        <w:t>na latinském Západě</w:t>
      </w:r>
      <w:r w:rsidR="007F69FD" w:rsidRPr="003D1E07">
        <w:t xml:space="preserve">. </w:t>
      </w:r>
      <w:r w:rsidR="08767DA7" w:rsidRPr="003D1E07">
        <w:t xml:space="preserve">Viz následující </w:t>
      </w:r>
      <w:r w:rsidR="08F61EBC" w:rsidRPr="003D1E07">
        <w:t xml:space="preserve">díly </w:t>
      </w:r>
      <w:r w:rsidR="08767DA7" w:rsidRPr="003D1E07">
        <w:t xml:space="preserve">věnované </w:t>
      </w:r>
      <w:r w:rsidR="00763733">
        <w:t>odsouzení z roku 1277</w:t>
      </w:r>
      <w:r w:rsidR="00BE6065">
        <w:t xml:space="preserve">. </w:t>
      </w:r>
      <w:r w:rsidR="00763733">
        <w:t xml:space="preserve">Tím </w:t>
      </w:r>
      <w:r w:rsidR="00763733" w:rsidRPr="003D1E07">
        <w:t xml:space="preserve">vykročil </w:t>
      </w:r>
      <w:r w:rsidR="08767DA7" w:rsidRPr="003D1E07">
        <w:t xml:space="preserve">do světa </w:t>
      </w:r>
      <w:r w:rsidR="003C0238">
        <w:t xml:space="preserve">objektivní </w:t>
      </w:r>
      <w:r w:rsidR="08767DA7" w:rsidRPr="003D1E07">
        <w:t xml:space="preserve">avicennismus latinských </w:t>
      </w:r>
      <w:r w:rsidR="08767DA7" w:rsidRPr="003D1E07">
        <w:rPr>
          <w:i/>
        </w:rPr>
        <w:t>Modernorum</w:t>
      </w:r>
      <w:r w:rsidR="08767DA7" w:rsidRPr="003D1E07">
        <w:t xml:space="preserve">, jaký měla </w:t>
      </w:r>
      <w:r w:rsidR="08406EF2" w:rsidRPr="003D1E07">
        <w:t xml:space="preserve">neoplatonská </w:t>
      </w:r>
      <w:r w:rsidR="08767DA7" w:rsidRPr="003D1E07">
        <w:t xml:space="preserve">falsafa o dvě století dříve. </w:t>
      </w:r>
      <w:r w:rsidR="0042448D" w:rsidRPr="003D1E07">
        <w:rPr>
          <w:lang w:eastAsia="en-US"/>
        </w:rPr>
        <w:t xml:space="preserve">V centru výkladu stojí </w:t>
      </w:r>
      <w:r w:rsidR="08F366A9" w:rsidRPr="003D1E07">
        <w:rPr>
          <w:lang w:eastAsia="en-US"/>
        </w:rPr>
        <w:t>metafyzický status</w:t>
      </w:r>
      <w:r w:rsidR="00665463" w:rsidRPr="003D1E07">
        <w:rPr>
          <w:lang w:eastAsia="en-US"/>
        </w:rPr>
        <w:t xml:space="preserve"> </w:t>
      </w:r>
      <w:r w:rsidR="08C62124" w:rsidRPr="003D1E07">
        <w:rPr>
          <w:lang w:eastAsia="en-US"/>
        </w:rPr>
        <w:t xml:space="preserve">první </w:t>
      </w:r>
      <w:r w:rsidR="00665463" w:rsidRPr="003D1E07">
        <w:rPr>
          <w:lang w:eastAsia="en-US"/>
        </w:rPr>
        <w:t>substance</w:t>
      </w:r>
      <w:r w:rsidR="00767F4D" w:rsidRPr="003D1E07">
        <w:rPr>
          <w:lang w:eastAsia="en-US"/>
        </w:rPr>
        <w:t xml:space="preserve"> a </w:t>
      </w:r>
      <w:r w:rsidR="08F366A9" w:rsidRPr="003D1E07">
        <w:rPr>
          <w:lang w:eastAsia="en-US"/>
        </w:rPr>
        <w:t xml:space="preserve">správné určení </w:t>
      </w:r>
      <w:r w:rsidR="00767F4D" w:rsidRPr="003D1E07">
        <w:rPr>
          <w:i/>
          <w:lang w:eastAsia="en-US"/>
        </w:rPr>
        <w:t>intellectus possibilis</w:t>
      </w:r>
      <w:r w:rsidR="00767F4D" w:rsidRPr="003D1E07">
        <w:rPr>
          <w:lang w:eastAsia="en-US"/>
        </w:rPr>
        <w:t>,</w:t>
      </w:r>
      <w:r w:rsidR="08F366A9" w:rsidRPr="003D1E07">
        <w:rPr>
          <w:lang w:eastAsia="en-US"/>
        </w:rPr>
        <w:t xml:space="preserve"> v němž </w:t>
      </w:r>
      <w:r w:rsidR="00767F4D" w:rsidRPr="003D1E07">
        <w:rPr>
          <w:lang w:eastAsia="en-US"/>
        </w:rPr>
        <w:t xml:space="preserve">se </w:t>
      </w:r>
      <w:r w:rsidR="08F366A9" w:rsidRPr="003D1E07">
        <w:rPr>
          <w:lang w:eastAsia="en-US"/>
        </w:rPr>
        <w:t xml:space="preserve">adekvátně zjevuje </w:t>
      </w:r>
      <w:r w:rsidR="08C62124" w:rsidRPr="003D1E07">
        <w:rPr>
          <w:lang w:eastAsia="en-US"/>
        </w:rPr>
        <w:t xml:space="preserve">první </w:t>
      </w:r>
      <w:r w:rsidR="00767F4D" w:rsidRPr="003D1E07">
        <w:rPr>
          <w:lang w:eastAsia="en-US"/>
        </w:rPr>
        <w:t>substance</w:t>
      </w:r>
      <w:r w:rsidR="08F366A9" w:rsidRPr="003D1E07">
        <w:rPr>
          <w:lang w:eastAsia="en-US"/>
        </w:rPr>
        <w:t xml:space="preserve"> pro naše poznání</w:t>
      </w:r>
      <w:r w:rsidR="00767F4D" w:rsidRPr="003D1E07">
        <w:rPr>
          <w:lang w:eastAsia="en-US"/>
        </w:rPr>
        <w:t xml:space="preserve">. </w:t>
      </w:r>
      <w:r w:rsidR="08AD1FC7" w:rsidRPr="003D1E07">
        <w:rPr>
          <w:lang w:eastAsia="en-US"/>
        </w:rPr>
        <w:t xml:space="preserve">Obě centrální otázky </w:t>
      </w:r>
      <w:r w:rsidR="08A54B67" w:rsidRPr="003D1E07">
        <w:rPr>
          <w:lang w:eastAsia="en-US"/>
        </w:rPr>
        <w:t xml:space="preserve">po substanci a jejím poznání </w:t>
      </w:r>
      <w:r w:rsidR="08AD1FC7" w:rsidRPr="003D1E07">
        <w:rPr>
          <w:lang w:eastAsia="en-US"/>
        </w:rPr>
        <w:t>podávají základní strukturu Averroesovy metafyziky. Spor obou koncepcí začne po příchodu Averroesových spisů na latinský Západ zhruba od roku 1220</w:t>
      </w:r>
      <w:r w:rsidR="00D34F8A" w:rsidRPr="003D1E07">
        <w:rPr>
          <w:lang w:eastAsia="en-US"/>
        </w:rPr>
        <w:t>–30. L</w:t>
      </w:r>
      <w:r w:rsidR="08AD1FC7" w:rsidRPr="003D1E07">
        <w:rPr>
          <w:lang w:eastAsia="en-US"/>
        </w:rPr>
        <w:t>atinští a</w:t>
      </w:r>
      <w:r w:rsidR="00D34F8A" w:rsidRPr="003D1E07">
        <w:rPr>
          <w:lang w:eastAsia="en-US"/>
        </w:rPr>
        <w:t xml:space="preserve">ristotelikové </w:t>
      </w:r>
      <w:r w:rsidR="08AD1FC7" w:rsidRPr="003D1E07">
        <w:rPr>
          <w:lang w:eastAsia="en-US"/>
        </w:rPr>
        <w:t xml:space="preserve">Blundovy školy </w:t>
      </w:r>
      <w:r w:rsidR="085B394D" w:rsidRPr="003D1E07">
        <w:rPr>
          <w:lang w:eastAsia="en-US"/>
        </w:rPr>
        <w:t xml:space="preserve">v Paříži </w:t>
      </w:r>
      <w:r w:rsidR="08AD1FC7" w:rsidRPr="003D1E07">
        <w:rPr>
          <w:lang w:eastAsia="en-US"/>
        </w:rPr>
        <w:t xml:space="preserve">zrevidovali </w:t>
      </w:r>
      <w:r w:rsidR="00D34F8A" w:rsidRPr="003D1E07">
        <w:rPr>
          <w:lang w:eastAsia="en-US"/>
        </w:rPr>
        <w:t>zavedenou in</w:t>
      </w:r>
      <w:r w:rsidR="08AD1FC7" w:rsidRPr="003D1E07">
        <w:rPr>
          <w:lang w:eastAsia="en-US"/>
        </w:rPr>
        <w:t>terpretaci Aristotelovy metafyziky</w:t>
      </w:r>
      <w:r w:rsidR="00DF6EEA">
        <w:rPr>
          <w:lang w:eastAsia="en-US"/>
        </w:rPr>
        <w:t xml:space="preserve"> v duchu Komentátora. Jejich spor s latinskými sofisty a modernisty rozběhl další kolo gigantomachie o substanci.</w:t>
      </w:r>
    </w:p>
    <w:p w14:paraId="74955E43" w14:textId="2E9E6500" w:rsidR="00141D48" w:rsidRPr="003D1E07" w:rsidRDefault="00463E22" w:rsidP="086C1F19">
      <w:pPr>
        <w:pStyle w:val="Nadpis3"/>
        <w:rPr>
          <w:lang w:val="cs-CZ"/>
        </w:rPr>
      </w:pPr>
      <w:r w:rsidRPr="003D1E07">
        <w:rPr>
          <w:lang w:val="cs-CZ"/>
        </w:rPr>
        <w:br w:type="page"/>
      </w:r>
      <w:bookmarkStart w:id="59" w:name="_Toc93747283"/>
      <w:bookmarkStart w:id="60" w:name="_Toc102906173"/>
      <w:r w:rsidR="00141D48" w:rsidRPr="003D1E07">
        <w:rPr>
          <w:lang w:val="cs-CZ"/>
        </w:rPr>
        <w:lastRenderedPageBreak/>
        <w:t xml:space="preserve">2.4.1 Metafyzika </w:t>
      </w:r>
      <w:r w:rsidR="08E23954" w:rsidRPr="003D1E07">
        <w:rPr>
          <w:lang w:val="cs-CZ"/>
        </w:rPr>
        <w:t xml:space="preserve">první </w:t>
      </w:r>
      <w:r w:rsidR="00141D48" w:rsidRPr="003D1E07">
        <w:rPr>
          <w:lang w:val="cs-CZ"/>
        </w:rPr>
        <w:t>substance</w:t>
      </w:r>
      <w:bookmarkEnd w:id="59"/>
      <w:bookmarkEnd w:id="60"/>
    </w:p>
    <w:p w14:paraId="4748ADB6" w14:textId="1E0C5F0D" w:rsidR="002309FF" w:rsidRDefault="00377430" w:rsidP="004F7C68">
      <w:pPr>
        <w:rPr>
          <w:lang w:eastAsia="en-US"/>
        </w:rPr>
      </w:pPr>
      <w:r w:rsidRPr="003D1E07">
        <w:t xml:space="preserve">Gigantomachii </w:t>
      </w:r>
      <w:r w:rsidR="085D0994" w:rsidRPr="003D1E07">
        <w:rPr>
          <w:lang w:eastAsia="en-US"/>
        </w:rPr>
        <w:t xml:space="preserve">mezi oběma </w:t>
      </w:r>
      <w:r w:rsidRPr="003D1E07">
        <w:rPr>
          <w:lang w:eastAsia="en-US"/>
        </w:rPr>
        <w:t xml:space="preserve">největšími </w:t>
      </w:r>
      <w:r w:rsidR="085D0994" w:rsidRPr="003D1E07">
        <w:rPr>
          <w:lang w:eastAsia="en-US"/>
        </w:rPr>
        <w:t xml:space="preserve">arabskými </w:t>
      </w:r>
      <w:r w:rsidRPr="003D1E07">
        <w:rPr>
          <w:lang w:eastAsia="en-US"/>
        </w:rPr>
        <w:t xml:space="preserve">filosofy </w:t>
      </w:r>
      <w:r w:rsidR="085D0994" w:rsidRPr="003D1E07">
        <w:rPr>
          <w:lang w:eastAsia="en-US"/>
        </w:rPr>
        <w:t xml:space="preserve">je třeba vyložit v souladu s provedenou analýzou </w:t>
      </w:r>
      <w:r w:rsidR="000940B8">
        <w:rPr>
          <w:lang w:eastAsia="en-US"/>
        </w:rPr>
        <w:t>různorodých proudů falsafy</w:t>
      </w:r>
      <w:r w:rsidR="085D0994" w:rsidRPr="003D1E07">
        <w:rPr>
          <w:lang w:eastAsia="en-US"/>
        </w:rPr>
        <w:t xml:space="preserve">. </w:t>
      </w:r>
      <w:r w:rsidR="00D66F44" w:rsidRPr="003D1E07">
        <w:t xml:space="preserve">Averroesova filosofie zásadně odmítla jakoukoliv odchylku metafyziky k neoplatonismu. </w:t>
      </w:r>
      <w:r w:rsidR="085D0994" w:rsidRPr="003D1E07">
        <w:rPr>
          <w:lang w:eastAsia="en-US"/>
        </w:rPr>
        <w:t xml:space="preserve">Modernistické </w:t>
      </w:r>
      <w:r w:rsidR="085D0994" w:rsidRPr="003D1E07">
        <w:t xml:space="preserve">pojetí metafyziky </w:t>
      </w:r>
      <w:r w:rsidR="085D0994" w:rsidRPr="003D1E07">
        <w:rPr>
          <w:i/>
          <w:lang w:eastAsia="en-US"/>
        </w:rPr>
        <w:fldChar w:fldCharType="begin"/>
      </w:r>
      <w:r w:rsidR="085D0994" w:rsidRPr="003D1E07">
        <w:instrText xml:space="preserve"> XE "metafyzika:Averroes" </w:instrText>
      </w:r>
      <w:r w:rsidR="085D0994" w:rsidRPr="003D1E07">
        <w:rPr>
          <w:i/>
          <w:lang w:eastAsia="en-US"/>
        </w:rPr>
        <w:fldChar w:fldCharType="end"/>
      </w:r>
      <w:r w:rsidR="085D0994" w:rsidRPr="003D1E07">
        <w:t>je podle Averroese v rozporu s aristotelským proudem tehdejší falsafy</w:t>
      </w:r>
      <w:r w:rsidR="084851DE" w:rsidRPr="003D1E07">
        <w:t xml:space="preserve"> reprezentovaným Druhým mistrem</w:t>
      </w:r>
      <w:r w:rsidR="085D0994" w:rsidRPr="003D1E07">
        <w:t>.</w:t>
      </w:r>
      <w:r w:rsidR="085D0994" w:rsidRPr="003D1E07">
        <w:rPr>
          <w:lang w:eastAsia="en-US"/>
        </w:rPr>
        <w:t xml:space="preserve"> </w:t>
      </w:r>
      <w:r w:rsidR="08306D99" w:rsidRPr="003D1E07">
        <w:rPr>
          <w:lang w:eastAsia="en-US"/>
        </w:rPr>
        <w:t>Averroes se odděluje od Alexandra</w:t>
      </w:r>
      <w:r w:rsidR="08306D99" w:rsidRPr="003D1E07">
        <w:fldChar w:fldCharType="begin"/>
      </w:r>
      <w:r w:rsidR="08306D99" w:rsidRPr="003D1E07">
        <w:instrText xml:space="preserve"> XE "Alexander Afrodisias" </w:instrText>
      </w:r>
      <w:r w:rsidR="08306D99" w:rsidRPr="003D1E07">
        <w:fldChar w:fldCharType="end"/>
      </w:r>
      <w:r w:rsidR="08306D99" w:rsidRPr="003D1E07">
        <w:rPr>
          <w:lang w:eastAsia="en-US"/>
        </w:rPr>
        <w:t xml:space="preserve"> Afrodisiase, od Themistia</w:t>
      </w:r>
      <w:r w:rsidR="08306D99" w:rsidRPr="003D1E07">
        <w:rPr>
          <w:lang w:eastAsia="en-US"/>
        </w:rPr>
        <w:fldChar w:fldCharType="begin"/>
      </w:r>
      <w:r w:rsidR="08306D99" w:rsidRPr="003D1E07">
        <w:instrText xml:space="preserve"> XE "Themistius" </w:instrText>
      </w:r>
      <w:r w:rsidR="08306D99" w:rsidRPr="003D1E07">
        <w:rPr>
          <w:lang w:eastAsia="en-US"/>
        </w:rPr>
        <w:fldChar w:fldCharType="end"/>
      </w:r>
      <w:r w:rsidR="08306D99" w:rsidRPr="003D1E07">
        <w:rPr>
          <w:lang w:eastAsia="en-US"/>
        </w:rPr>
        <w:t xml:space="preserve">, a pochopitelně od Avicenny. </w:t>
      </w:r>
      <w:r w:rsidR="08306D99" w:rsidRPr="003D1E07">
        <w:t xml:space="preserve">Viz synoptický přehled klíčových pasáží ze spisu </w:t>
      </w:r>
      <w:r w:rsidR="08306D99" w:rsidRPr="003D1E07">
        <w:rPr>
          <w:i/>
        </w:rPr>
        <w:t>Tafsīr</w:t>
      </w:r>
      <w:r w:rsidR="08306D99" w:rsidRPr="003D1E07">
        <w:t xml:space="preserve"> (</w:t>
      </w:r>
      <w:r w:rsidR="08306D99" w:rsidRPr="003D1E07">
        <w:rPr>
          <w:rStyle w:val="st"/>
          <w:i/>
        </w:rPr>
        <w:t>Long Commentary on the Metaphysics</w:t>
      </w:r>
      <w:r w:rsidR="08306D99" w:rsidRPr="003D1E07">
        <w:t>), v nichž Averroes kritizuje Avicennu, včetně tří hlavních témat jeho kritiky a moderní bibliografie věnované této kritice (Bertolacci 2014, 114–20).</w:t>
      </w:r>
      <w:r w:rsidR="08306D99" w:rsidRPr="003D1E07">
        <w:rPr>
          <w:lang w:eastAsia="en-US"/>
        </w:rPr>
        <w:t xml:space="preserve"> </w:t>
      </w:r>
      <w:r w:rsidR="085D0994" w:rsidRPr="003D1E07">
        <w:t>P</w:t>
      </w:r>
      <w:r w:rsidR="085D0994" w:rsidRPr="003D1E07">
        <w:rPr>
          <w:lang w:eastAsia="en-US"/>
        </w:rPr>
        <w:t xml:space="preserve">ředložená hermeneutika sleduje dva základní body Averroesovy polemiky s Avicennou. Za prvé. Avicenna zrušil hyparchický charakter první substance tím, že metafyziku vybudoval na univerzální supozici </w:t>
      </w:r>
      <w:r w:rsidR="085D0994" w:rsidRPr="003D1E07">
        <w:rPr>
          <w:i/>
          <w:lang w:eastAsia="en-US"/>
        </w:rPr>
        <w:t>ens inquantum ens</w:t>
      </w:r>
      <w:r w:rsidR="085D0994" w:rsidRPr="003D1E07">
        <w:rPr>
          <w:i/>
          <w:lang w:eastAsia="en-US"/>
        </w:rPr>
        <w:fldChar w:fldCharType="begin"/>
      </w:r>
      <w:r w:rsidR="085D0994" w:rsidRPr="003D1E07">
        <w:instrText xml:space="preserve"> XE "</w:instrText>
      </w:r>
      <w:r w:rsidR="085D0994" w:rsidRPr="003D1E07">
        <w:rPr>
          <w:i/>
        </w:rPr>
        <w:instrText>ens inquantum ens</w:instrText>
      </w:r>
      <w:r w:rsidR="085D0994" w:rsidRPr="003D1E07">
        <w:instrText xml:space="preserve">" </w:instrText>
      </w:r>
      <w:r w:rsidR="085D0994" w:rsidRPr="003D1E07">
        <w:rPr>
          <w:i/>
          <w:lang w:eastAsia="en-US"/>
        </w:rPr>
        <w:fldChar w:fldCharType="end"/>
      </w:r>
      <w:r w:rsidR="085D0994" w:rsidRPr="003D1E07">
        <w:rPr>
          <w:lang w:eastAsia="en-US"/>
        </w:rPr>
        <w:t xml:space="preserve">. Averroes namítá, že Avicenna tím destruoval definici metafyziky jako </w:t>
      </w:r>
      <w:r w:rsidR="08336DDC" w:rsidRPr="003D1E07">
        <w:rPr>
          <w:lang w:eastAsia="en-US"/>
        </w:rPr>
        <w:t xml:space="preserve">aristotelské </w:t>
      </w:r>
      <w:r w:rsidR="08A4007A" w:rsidRPr="003D1E07">
        <w:rPr>
          <w:lang w:eastAsia="en-US"/>
        </w:rPr>
        <w:t>první vědy</w:t>
      </w:r>
      <w:r w:rsidR="085D0994" w:rsidRPr="003D1E07">
        <w:rPr>
          <w:lang w:eastAsia="en-US"/>
        </w:rPr>
        <w:t xml:space="preserve">. Za druhé. </w:t>
      </w:r>
      <w:r w:rsidR="085F5946" w:rsidRPr="003D1E07">
        <w:rPr>
          <w:lang w:eastAsia="en-US"/>
        </w:rPr>
        <w:t>P</w:t>
      </w:r>
      <w:r w:rsidR="08B6679D" w:rsidRPr="003D1E07">
        <w:rPr>
          <w:lang w:eastAsia="en-US"/>
        </w:rPr>
        <w:t xml:space="preserve">ojetí </w:t>
      </w:r>
      <w:r w:rsidR="082748CC" w:rsidRPr="003D1E07">
        <w:rPr>
          <w:lang w:eastAsia="en-US"/>
        </w:rPr>
        <w:t xml:space="preserve">osoby </w:t>
      </w:r>
      <w:r w:rsidR="08E73A00" w:rsidRPr="003D1E07">
        <w:rPr>
          <w:lang w:eastAsia="en-US"/>
        </w:rPr>
        <w:t xml:space="preserve">je principiálně chybné, protože </w:t>
      </w:r>
      <w:r w:rsidR="085F5946" w:rsidRPr="003D1E07">
        <w:rPr>
          <w:lang w:eastAsia="en-US"/>
        </w:rPr>
        <w:t xml:space="preserve">Avicenna </w:t>
      </w:r>
      <w:r w:rsidR="085D0994" w:rsidRPr="003D1E07">
        <w:rPr>
          <w:lang w:eastAsia="en-US"/>
        </w:rPr>
        <w:t xml:space="preserve">zavedl do </w:t>
      </w:r>
      <w:r w:rsidR="08377A71" w:rsidRPr="003D1E07">
        <w:rPr>
          <w:lang w:eastAsia="en-US"/>
        </w:rPr>
        <w:t xml:space="preserve">lidského poznání </w:t>
      </w:r>
      <w:r w:rsidR="085D0994" w:rsidRPr="003D1E07">
        <w:rPr>
          <w:lang w:eastAsia="en-US"/>
        </w:rPr>
        <w:t xml:space="preserve">nepřípustný dualismus. </w:t>
      </w:r>
      <w:r w:rsidR="00304E0C" w:rsidRPr="003D1E07">
        <w:rPr>
          <w:lang w:eastAsia="en-US"/>
        </w:rPr>
        <w:t xml:space="preserve">Zavedením nové formy </w:t>
      </w:r>
      <w:r w:rsidR="00304E0C" w:rsidRPr="003D1E07">
        <w:rPr>
          <w:i/>
          <w:lang w:eastAsia="en-US"/>
        </w:rPr>
        <w:t>intellectus possibilis</w:t>
      </w:r>
      <w:r w:rsidR="00304E0C" w:rsidRPr="003D1E07">
        <w:rPr>
          <w:lang w:eastAsia="en-US"/>
        </w:rPr>
        <w:t xml:space="preserve"> vyloučil Ibn Rušd </w:t>
      </w:r>
      <w:r w:rsidR="08B6679D" w:rsidRPr="003D1E07">
        <w:rPr>
          <w:lang w:eastAsia="en-US"/>
        </w:rPr>
        <w:t xml:space="preserve">všechny formy jsoucna třetího druhu. </w:t>
      </w:r>
      <w:r w:rsidR="085D0994" w:rsidRPr="003D1E07">
        <w:rPr>
          <w:lang w:eastAsia="en-US"/>
        </w:rPr>
        <w:t xml:space="preserve">Oba postuláty ukazují, že struktura metafyziky stojí na odlišném pojetí predikace </w:t>
      </w:r>
      <w:r w:rsidR="085D0994" w:rsidRPr="003D1E07">
        <w:rPr>
          <w:i/>
          <w:lang w:eastAsia="en-US"/>
        </w:rPr>
        <w:t>per prius</w:t>
      </w:r>
      <w:r w:rsidR="085D0994" w:rsidRPr="003D1E07">
        <w:rPr>
          <w:lang w:eastAsia="en-US"/>
        </w:rPr>
        <w:t xml:space="preserve"> a </w:t>
      </w:r>
      <w:r w:rsidR="085D0994" w:rsidRPr="003D1E07">
        <w:rPr>
          <w:i/>
          <w:lang w:eastAsia="en-US"/>
        </w:rPr>
        <w:t>per posterius</w:t>
      </w:r>
      <w:r w:rsidR="085D0994" w:rsidRPr="003D1E07">
        <w:rPr>
          <w:lang w:eastAsia="en-US"/>
        </w:rPr>
        <w:t xml:space="preserve"> a zásadně odmítla univoční ontoteologický model moderny. Komentátor </w:t>
      </w:r>
      <w:r w:rsidR="00281A36" w:rsidRPr="003D1E07">
        <w:rPr>
          <w:lang w:eastAsia="en-US"/>
        </w:rPr>
        <w:t>definoval první věd</w:t>
      </w:r>
      <w:r w:rsidR="00C279BE">
        <w:rPr>
          <w:lang w:eastAsia="en-US"/>
        </w:rPr>
        <w:t>u, která</w:t>
      </w:r>
      <w:r w:rsidR="00104FDA" w:rsidRPr="003D1E07">
        <w:rPr>
          <w:lang w:eastAsia="en-US"/>
        </w:rPr>
        <w:t xml:space="preserve"> sleduje stejnou výstavbu jednoty jsoucího jako </w:t>
      </w:r>
      <w:r w:rsidR="00057483" w:rsidRPr="003D1E07">
        <w:rPr>
          <w:lang w:eastAsia="en-US"/>
        </w:rPr>
        <w:t xml:space="preserve">Aristotelovy spisy </w:t>
      </w:r>
      <w:r w:rsidR="00B713C5" w:rsidRPr="003D1E07">
        <w:rPr>
          <w:i/>
          <w:lang w:eastAsia="en-US"/>
        </w:rPr>
        <w:t>De anima</w:t>
      </w:r>
      <w:r w:rsidR="00104FDA" w:rsidRPr="003D1E07">
        <w:rPr>
          <w:lang w:eastAsia="en-US"/>
        </w:rPr>
        <w:t xml:space="preserve">, </w:t>
      </w:r>
      <w:r w:rsidR="00104FDA" w:rsidRPr="003D1E07">
        <w:rPr>
          <w:i/>
          <w:lang w:eastAsia="en-US"/>
        </w:rPr>
        <w:t>Fyzika</w:t>
      </w:r>
      <w:r w:rsidR="00104FDA" w:rsidRPr="003D1E07">
        <w:rPr>
          <w:lang w:eastAsia="en-US"/>
        </w:rPr>
        <w:t xml:space="preserve"> a </w:t>
      </w:r>
      <w:r w:rsidR="00104FDA" w:rsidRPr="003D1E07">
        <w:rPr>
          <w:i/>
          <w:lang w:eastAsia="en-US"/>
        </w:rPr>
        <w:t>Metafyzika</w:t>
      </w:r>
      <w:r w:rsidR="00104FDA" w:rsidRPr="003D1E07">
        <w:rPr>
          <w:lang w:eastAsia="en-US"/>
        </w:rPr>
        <w:t xml:space="preserve">. Principy takto daného poznání jsou dány na základě </w:t>
      </w:r>
      <w:r w:rsidR="00C279BE">
        <w:rPr>
          <w:lang w:eastAsia="en-US"/>
        </w:rPr>
        <w:t>„</w:t>
      </w:r>
      <w:r w:rsidR="00104FDA" w:rsidRPr="003D1E07">
        <w:rPr>
          <w:lang w:eastAsia="en-US"/>
        </w:rPr>
        <w:t xml:space="preserve">substance </w:t>
      </w:r>
      <w:r w:rsidR="00104FDA" w:rsidRPr="003D1E07">
        <w:rPr>
          <w:i/>
          <w:lang w:eastAsia="en-US"/>
        </w:rPr>
        <w:t>qua</w:t>
      </w:r>
      <w:r w:rsidR="082E4E3D" w:rsidRPr="003D1E07">
        <w:rPr>
          <w:lang w:eastAsia="en-US"/>
        </w:rPr>
        <w:t xml:space="preserve"> substance</w:t>
      </w:r>
      <w:r w:rsidR="00C279BE">
        <w:rPr>
          <w:lang w:eastAsia="en-US"/>
        </w:rPr>
        <w:t>“</w:t>
      </w:r>
      <w:r w:rsidR="00044D37" w:rsidRPr="003D1E07">
        <w:rPr>
          <w:lang w:eastAsia="en-US"/>
        </w:rPr>
        <w:fldChar w:fldCharType="begin"/>
      </w:r>
      <w:r w:rsidR="00044D37" w:rsidRPr="003D1E07">
        <w:instrText xml:space="preserve"> XE "substance:</w:instrText>
      </w:r>
      <w:r w:rsidR="00044D37" w:rsidRPr="003D1E07">
        <w:rPr>
          <w:i/>
        </w:rPr>
        <w:instrText>qua</w:instrText>
      </w:r>
      <w:r w:rsidR="00044D37" w:rsidRPr="003D1E07">
        <w:instrText xml:space="preserve"> substance" </w:instrText>
      </w:r>
      <w:r w:rsidR="00044D37" w:rsidRPr="003D1E07">
        <w:rPr>
          <w:lang w:eastAsia="en-US"/>
        </w:rPr>
        <w:fldChar w:fldCharType="end"/>
      </w:r>
      <w:r w:rsidR="082E4E3D" w:rsidRPr="003D1E07">
        <w:rPr>
          <w:lang w:eastAsia="en-US"/>
        </w:rPr>
        <w:t>.</w:t>
      </w:r>
    </w:p>
    <w:p w14:paraId="214E1918" w14:textId="4E403435" w:rsidR="009170D8" w:rsidRPr="003D1E07" w:rsidRDefault="08DA5F9D" w:rsidP="002309FF">
      <w:pPr>
        <w:ind w:firstLine="397"/>
        <w:rPr>
          <w:lang w:eastAsia="en-US"/>
        </w:rPr>
      </w:pPr>
      <w:r w:rsidRPr="003D1E07">
        <w:rPr>
          <w:lang w:eastAsia="en-US"/>
        </w:rPr>
        <w:t>S</w:t>
      </w:r>
      <w:r w:rsidR="082C3809" w:rsidRPr="003D1E07">
        <w:rPr>
          <w:lang w:eastAsia="en-US"/>
        </w:rPr>
        <w:t xml:space="preserve">por mezi oběma mysliteli proběhl nejprve na úrovni základního zaměření první vědy o jsoucnu. </w:t>
      </w:r>
      <w:r w:rsidR="002E3B62" w:rsidRPr="003D1E07">
        <w:rPr>
          <w:lang w:eastAsia="en-US"/>
        </w:rPr>
        <w:t>Averroes</w:t>
      </w:r>
      <w:r w:rsidR="00CE4403" w:rsidRPr="003D1E07">
        <w:rPr>
          <w:lang w:eastAsia="en-US"/>
        </w:rPr>
        <w:t xml:space="preserve">ův velký komentář k výkladu </w:t>
      </w:r>
      <w:r w:rsidR="00CE4403" w:rsidRPr="003D1E07">
        <w:rPr>
          <w:i/>
          <w:lang w:eastAsia="en-US"/>
        </w:rPr>
        <w:t xml:space="preserve">Metafyziky </w:t>
      </w:r>
      <w:r w:rsidR="08FC4CCE" w:rsidRPr="003D1E07">
        <w:rPr>
          <w:i/>
          <w:lang w:eastAsia="en-US"/>
        </w:rPr>
        <w:t>Lambda</w:t>
      </w:r>
      <w:r w:rsidR="08FC4CCE" w:rsidRPr="003D1E07">
        <w:rPr>
          <w:lang w:eastAsia="en-US"/>
        </w:rPr>
        <w:t xml:space="preserve"> </w:t>
      </w:r>
      <w:r w:rsidR="082E0A83" w:rsidRPr="003D1E07">
        <w:rPr>
          <w:lang w:eastAsia="en-US"/>
        </w:rPr>
        <w:t>(</w:t>
      </w:r>
      <w:r w:rsidR="082E0A83" w:rsidRPr="003D1E07">
        <w:rPr>
          <w:i/>
          <w:lang w:eastAsia="en-US"/>
        </w:rPr>
        <w:t>Met</w:t>
      </w:r>
      <w:r w:rsidR="082E0A83" w:rsidRPr="003D1E07">
        <w:rPr>
          <w:lang w:eastAsia="en-US"/>
        </w:rPr>
        <w:t xml:space="preserve">. </w:t>
      </w:r>
      <w:r w:rsidR="082E0A83" w:rsidRPr="003D1E07">
        <w:t>1069a18–1072b16</w:t>
      </w:r>
      <w:r w:rsidR="00BF6E3C" w:rsidRPr="003D1E07">
        <w:rPr>
          <w:i/>
          <w:lang w:eastAsia="en-US"/>
        </w:rPr>
        <w:fldChar w:fldCharType="begin"/>
      </w:r>
      <w:r w:rsidR="00BF6E3C" w:rsidRPr="003D1E07">
        <w:instrText xml:space="preserve"> XE "</w:instrText>
      </w:r>
      <w:r w:rsidR="008E02F5" w:rsidRPr="003D1E07">
        <w:rPr>
          <w:rStyle w:val="Zvraznn"/>
          <w:i w:val="0"/>
        </w:rPr>
        <w:instrText>Aristoteles</w:instrText>
      </w:r>
      <w:r w:rsidR="00BF6E3C" w:rsidRPr="003D1E07">
        <w:rPr>
          <w:rStyle w:val="Zvraznn"/>
          <w:i w:val="0"/>
        </w:rPr>
        <w:instrText>:</w:instrText>
      </w:r>
      <w:r w:rsidR="00BF6E3C" w:rsidRPr="003D1E07">
        <w:rPr>
          <w:i/>
          <w:lang w:eastAsia="en-US"/>
        </w:rPr>
        <w:instrText>Met</w:instrText>
      </w:r>
      <w:r w:rsidR="00BF6E3C" w:rsidRPr="003D1E07">
        <w:rPr>
          <w:lang w:eastAsia="en-US"/>
        </w:rPr>
        <w:instrText>. 1069a18–</w:instrText>
      </w:r>
      <w:r w:rsidR="00BF6E3C" w:rsidRPr="003D1E07">
        <w:instrText xml:space="preserve">1072b16" </w:instrText>
      </w:r>
      <w:r w:rsidR="00BF6E3C" w:rsidRPr="003D1E07">
        <w:rPr>
          <w:i/>
          <w:lang w:eastAsia="en-US"/>
        </w:rPr>
        <w:fldChar w:fldCharType="end"/>
      </w:r>
      <w:r w:rsidR="082E0A83" w:rsidRPr="003D1E07">
        <w:rPr>
          <w:lang w:eastAsia="en-US"/>
        </w:rPr>
        <w:t xml:space="preserve">) </w:t>
      </w:r>
      <w:r w:rsidRPr="003D1E07">
        <w:rPr>
          <w:lang w:eastAsia="en-US"/>
        </w:rPr>
        <w:t xml:space="preserve">je </w:t>
      </w:r>
      <w:r w:rsidR="00CE4403" w:rsidRPr="003D1E07">
        <w:rPr>
          <w:lang w:eastAsia="en-US"/>
        </w:rPr>
        <w:t xml:space="preserve">založený na překladu, kterým bagdádský křesťanský aristotelik </w:t>
      </w:r>
      <w:r w:rsidR="00B5386B" w:rsidRPr="003D1E07">
        <w:t>Abú Bišr Mattá</w:t>
      </w:r>
      <w:r w:rsidR="00233C64" w:rsidRPr="003D1E07">
        <w:fldChar w:fldCharType="begin"/>
      </w:r>
      <w:r w:rsidR="00233C64" w:rsidRPr="003D1E07">
        <w:instrText xml:space="preserve"> XE "Abú Bišr Mattá" </w:instrText>
      </w:r>
      <w:r w:rsidR="00233C64" w:rsidRPr="003D1E07">
        <w:fldChar w:fldCharType="end"/>
      </w:r>
      <w:r w:rsidR="00CE4403" w:rsidRPr="003D1E07">
        <w:t xml:space="preserve"> (</w:t>
      </w:r>
      <w:r w:rsidR="08F8787F" w:rsidRPr="003D1E07">
        <w:t xml:space="preserve">asi </w:t>
      </w:r>
      <w:r w:rsidR="083017A5" w:rsidRPr="003D1E07">
        <w:t>†</w:t>
      </w:r>
      <w:r w:rsidR="00CE4403" w:rsidRPr="003D1E07">
        <w:t xml:space="preserve">940) převedl </w:t>
      </w:r>
      <w:r w:rsidR="08DA01A3" w:rsidRPr="003D1E07">
        <w:rPr>
          <w:lang w:eastAsia="en-US"/>
        </w:rPr>
        <w:t>do arabštiny</w:t>
      </w:r>
      <w:r w:rsidR="08DA01A3" w:rsidRPr="003D1E07">
        <w:t xml:space="preserve"> </w:t>
      </w:r>
      <w:r w:rsidR="00CE4403" w:rsidRPr="003D1E07">
        <w:t xml:space="preserve">komentář </w:t>
      </w:r>
      <w:r w:rsidR="00283EC9" w:rsidRPr="003D1E07">
        <w:rPr>
          <w:lang w:eastAsia="en-US"/>
        </w:rPr>
        <w:t>Alexandra Afrodisia</w:t>
      </w:r>
      <w:r w:rsidR="00955903" w:rsidRPr="003D1E07">
        <w:fldChar w:fldCharType="begin"/>
      </w:r>
      <w:r w:rsidR="00955903" w:rsidRPr="003D1E07">
        <w:instrText xml:space="preserve"> XE "Alexander</w:instrText>
      </w:r>
      <w:r w:rsidR="087759F1" w:rsidRPr="003D1E07">
        <w:instrText xml:space="preserve"> </w:instrText>
      </w:r>
      <w:r w:rsidR="00955903" w:rsidRPr="003D1E07">
        <w:instrText xml:space="preserve">Afrodisias" </w:instrText>
      </w:r>
      <w:r w:rsidR="00955903" w:rsidRPr="003D1E07">
        <w:fldChar w:fldCharType="end"/>
      </w:r>
      <w:r w:rsidR="00CE4403" w:rsidRPr="003D1E07">
        <w:rPr>
          <w:lang w:eastAsia="en-US"/>
        </w:rPr>
        <w:t xml:space="preserve">. </w:t>
      </w:r>
      <w:r w:rsidR="08AD0180" w:rsidRPr="003D1E07">
        <w:t xml:space="preserve">Originální Alexandrův </w:t>
      </w:r>
      <w:r w:rsidR="002E4D4F" w:rsidRPr="003D1E07">
        <w:t>komentář</w:t>
      </w:r>
      <w:r w:rsidR="00522A73" w:rsidRPr="003D1E07">
        <w:t xml:space="preserve"> </w:t>
      </w:r>
      <w:r w:rsidR="00233C64" w:rsidRPr="003D1E07">
        <w:rPr>
          <w:i/>
        </w:rPr>
        <w:t>Metafyziky</w:t>
      </w:r>
      <w:r w:rsidR="00233C64" w:rsidRPr="003D1E07">
        <w:t xml:space="preserve"> </w:t>
      </w:r>
      <w:r w:rsidR="00522A73" w:rsidRPr="003D1E07">
        <w:t>praví, že f</w:t>
      </w:r>
      <w:r w:rsidR="00D35B69" w:rsidRPr="003D1E07">
        <w:t>yzik</w:t>
      </w:r>
      <w:r w:rsidR="003E36F9" w:rsidRPr="003D1E07">
        <w:t>a</w:t>
      </w:r>
      <w:r w:rsidR="00D35B69" w:rsidRPr="003D1E07">
        <w:t xml:space="preserve"> nemůže nahlížet principy </w:t>
      </w:r>
      <w:r w:rsidR="00F17BBE" w:rsidRPr="003D1E07">
        <w:t xml:space="preserve">božské a čistě intelektuální </w:t>
      </w:r>
      <w:r w:rsidR="00D35B69" w:rsidRPr="003D1E07">
        <w:t>substa</w:t>
      </w:r>
      <w:r w:rsidR="08586219" w:rsidRPr="003D1E07">
        <w:t>n</w:t>
      </w:r>
      <w:r w:rsidR="00D35B69" w:rsidRPr="003D1E07">
        <w:t>ce</w:t>
      </w:r>
      <w:r w:rsidR="08E401E6" w:rsidRPr="003D1E07">
        <w:t xml:space="preserve"> (ἡ δὲ νοητὴ καὶ θεία οὐσία οὐ τῆς φυσικῆς)</w:t>
      </w:r>
      <w:r w:rsidR="08AD0180" w:rsidRPr="003D1E07">
        <w:t xml:space="preserve">, protože to může </w:t>
      </w:r>
      <w:r w:rsidR="00F17BBE" w:rsidRPr="003D1E07">
        <w:t>pouze filosofie (ἀλλὰ τῆς προκειμένης φιλοσοφίας</w:t>
      </w:r>
      <w:r w:rsidR="08E65075" w:rsidRPr="003D1E07">
        <w:t xml:space="preserve">, </w:t>
      </w:r>
      <w:r w:rsidR="00BE7D87" w:rsidRPr="003D1E07">
        <w:rPr>
          <w:i/>
        </w:rPr>
        <w:t>Alex.</w:t>
      </w:r>
      <w:r w:rsidR="00BE7D87" w:rsidRPr="003D1E07">
        <w:t xml:space="preserve"> </w:t>
      </w:r>
      <w:r w:rsidR="00BE7D87" w:rsidRPr="003D1E07">
        <w:rPr>
          <w:i/>
        </w:rPr>
        <w:t>i</w:t>
      </w:r>
      <w:r w:rsidR="08E65075" w:rsidRPr="003D1E07">
        <w:rPr>
          <w:i/>
        </w:rPr>
        <w:t>n Met</w:t>
      </w:r>
      <w:r w:rsidR="08E65075" w:rsidRPr="003D1E07">
        <w:t>. 671.12</w:t>
      </w:r>
      <w:r w:rsidR="08BF3E94" w:rsidRPr="003D1E07">
        <w:t>‒13</w:t>
      </w:r>
      <w:r w:rsidR="00BF6E3C" w:rsidRPr="003D1E07">
        <w:rPr>
          <w:i/>
          <w:lang w:eastAsia="en-US"/>
        </w:rPr>
        <w:fldChar w:fldCharType="begin"/>
      </w:r>
      <w:r w:rsidR="00BF6E3C" w:rsidRPr="003D1E07">
        <w:instrText xml:space="preserve"> XE "</w:instrText>
      </w:r>
      <w:r w:rsidR="00BF6E3C" w:rsidRPr="003D1E07">
        <w:rPr>
          <w:rStyle w:val="Zvraznn"/>
          <w:i w:val="0"/>
        </w:rPr>
        <w:instrText>Alexander Afrodisias:</w:instrText>
      </w:r>
      <w:r w:rsidR="00BF6E3C" w:rsidRPr="003D1E07">
        <w:rPr>
          <w:i/>
        </w:rPr>
        <w:instrText>Alex.</w:instrText>
      </w:r>
      <w:r w:rsidR="00BF6E3C" w:rsidRPr="003D1E07">
        <w:instrText xml:space="preserve"> </w:instrText>
      </w:r>
      <w:r w:rsidR="00BF6E3C" w:rsidRPr="003D1E07">
        <w:rPr>
          <w:i/>
        </w:rPr>
        <w:instrText>in Met</w:instrText>
      </w:r>
      <w:r w:rsidR="00BF6E3C" w:rsidRPr="003D1E07">
        <w:instrText xml:space="preserve">. 671.12‒13" </w:instrText>
      </w:r>
      <w:r w:rsidR="00BF6E3C" w:rsidRPr="003D1E07">
        <w:rPr>
          <w:i/>
          <w:lang w:eastAsia="en-US"/>
        </w:rPr>
        <w:fldChar w:fldCharType="end"/>
      </w:r>
      <w:r w:rsidR="08E65075" w:rsidRPr="003D1E07">
        <w:t>). F</w:t>
      </w:r>
      <w:r w:rsidR="00F17BBE" w:rsidRPr="003D1E07">
        <w:t xml:space="preserve">yzik nemá náhled do principů takto dané substance </w:t>
      </w:r>
      <w:r w:rsidR="00D35B69" w:rsidRPr="003D1E07">
        <w:t>(</w:t>
      </w:r>
      <w:r w:rsidR="00F17BBE" w:rsidRPr="003D1E07">
        <w:t>μὴ τῆς φυσικῆς εἶναι τὸ περὶ αὐτῆς θεωρεῖ</w:t>
      </w:r>
      <w:r w:rsidR="00F024BF" w:rsidRPr="003D1E07">
        <w:t xml:space="preserve">ν, </w:t>
      </w:r>
      <w:r w:rsidR="00BE7D87" w:rsidRPr="003D1E07">
        <w:t xml:space="preserve">ibid. </w:t>
      </w:r>
      <w:r w:rsidR="00F024BF" w:rsidRPr="003D1E07">
        <w:t>671.13</w:t>
      </w:r>
      <w:r w:rsidR="00BF6E3C" w:rsidRPr="003D1E07">
        <w:rPr>
          <w:i/>
          <w:lang w:eastAsia="en-US"/>
        </w:rPr>
        <w:fldChar w:fldCharType="begin"/>
      </w:r>
      <w:r w:rsidR="00BF6E3C" w:rsidRPr="003D1E07">
        <w:instrText xml:space="preserve"> XE "</w:instrText>
      </w:r>
      <w:r w:rsidR="00BF6E3C" w:rsidRPr="003D1E07">
        <w:rPr>
          <w:rStyle w:val="Zvraznn"/>
          <w:i w:val="0"/>
        </w:rPr>
        <w:instrText>Alexander Afrodisias:</w:instrText>
      </w:r>
      <w:r w:rsidR="00BF6E3C" w:rsidRPr="003D1E07">
        <w:rPr>
          <w:i/>
        </w:rPr>
        <w:instrText>Alex.</w:instrText>
      </w:r>
      <w:r w:rsidR="00BF6E3C" w:rsidRPr="003D1E07">
        <w:instrText xml:space="preserve"> </w:instrText>
      </w:r>
      <w:r w:rsidR="00BF6E3C" w:rsidRPr="003D1E07">
        <w:rPr>
          <w:i/>
        </w:rPr>
        <w:instrText>in Met</w:instrText>
      </w:r>
      <w:r w:rsidR="00BF6E3C" w:rsidRPr="003D1E07">
        <w:instrText xml:space="preserve">. 671.13" </w:instrText>
      </w:r>
      <w:r w:rsidR="00BF6E3C" w:rsidRPr="003D1E07">
        <w:rPr>
          <w:i/>
          <w:lang w:eastAsia="en-US"/>
        </w:rPr>
        <w:fldChar w:fldCharType="end"/>
      </w:r>
      <w:r w:rsidR="00F17BBE" w:rsidRPr="003D1E07">
        <w:t xml:space="preserve">). </w:t>
      </w:r>
      <w:r w:rsidR="08CF50D5" w:rsidRPr="003D1E07">
        <w:t>N</w:t>
      </w:r>
      <w:r w:rsidR="08586219" w:rsidRPr="003D1E07">
        <w:t xml:space="preserve">ásledující </w:t>
      </w:r>
      <w:r w:rsidR="08CF50D5" w:rsidRPr="003D1E07">
        <w:t xml:space="preserve">argumentace </w:t>
      </w:r>
      <w:r w:rsidR="08586219" w:rsidRPr="003D1E07">
        <w:t>upřes</w:t>
      </w:r>
      <w:r w:rsidR="08CF50D5" w:rsidRPr="003D1E07">
        <w:t>ňuje rozdíl mezi fyzikou a metafyzikou</w:t>
      </w:r>
      <w:r w:rsidR="08941380" w:rsidRPr="003D1E07">
        <w:t xml:space="preserve"> z hlediska </w:t>
      </w:r>
      <w:r w:rsidR="00067FC0" w:rsidRPr="003D1E07">
        <w:t xml:space="preserve">prvních </w:t>
      </w:r>
      <w:r w:rsidR="00FF53D7" w:rsidRPr="003D1E07">
        <w:t>principů jsoucna</w:t>
      </w:r>
      <w:r w:rsidR="08586219" w:rsidRPr="003D1E07">
        <w:t xml:space="preserve">. </w:t>
      </w:r>
      <w:r w:rsidR="00F17BBE" w:rsidRPr="003D1E07">
        <w:t>P</w:t>
      </w:r>
      <w:r w:rsidR="00CF6729" w:rsidRPr="003D1E07">
        <w:t xml:space="preserve">ohyblivá substance zkoumaná fyzikou nemá </w:t>
      </w:r>
      <w:r w:rsidR="0019776E" w:rsidRPr="003D1E07">
        <w:t>společné principy, které by zahrnuly také úroveň</w:t>
      </w:r>
      <w:r w:rsidR="00CF6729" w:rsidRPr="003D1E07">
        <w:t xml:space="preserve"> intelektuální nehybné substance (οὐδαμῶς κατ' οὐδὲν ἡ αἰσθητὴ οὐσία κοινωνεῖ τῇ νοητῇ</w:t>
      </w:r>
      <w:r w:rsidR="00D35B69" w:rsidRPr="003D1E07">
        <w:t xml:space="preserve">, </w:t>
      </w:r>
      <w:r w:rsidR="00A84A9E" w:rsidRPr="003D1E07">
        <w:t xml:space="preserve">ibid. </w:t>
      </w:r>
      <w:r w:rsidR="00FC1EA9" w:rsidRPr="003D1E07">
        <w:t>671.</w:t>
      </w:r>
      <w:r w:rsidR="00D35B69" w:rsidRPr="003D1E07">
        <w:t>15</w:t>
      </w:r>
      <w:r w:rsidR="00BF6E3C" w:rsidRPr="003D1E07">
        <w:rPr>
          <w:i/>
          <w:lang w:eastAsia="en-US"/>
        </w:rPr>
        <w:fldChar w:fldCharType="begin"/>
      </w:r>
      <w:r w:rsidR="00BF6E3C" w:rsidRPr="003D1E07">
        <w:instrText xml:space="preserve"> XE "</w:instrText>
      </w:r>
      <w:r w:rsidR="00BF6E3C" w:rsidRPr="003D1E07">
        <w:rPr>
          <w:rStyle w:val="Zvraznn"/>
          <w:i w:val="0"/>
        </w:rPr>
        <w:instrText>Alexander Afrodisias:</w:instrText>
      </w:r>
      <w:r w:rsidR="00BF6E3C" w:rsidRPr="003D1E07">
        <w:rPr>
          <w:i/>
        </w:rPr>
        <w:instrText>Alex.</w:instrText>
      </w:r>
      <w:r w:rsidR="00BF6E3C" w:rsidRPr="003D1E07">
        <w:instrText xml:space="preserve"> </w:instrText>
      </w:r>
      <w:r w:rsidR="00BF6E3C" w:rsidRPr="003D1E07">
        <w:rPr>
          <w:i/>
        </w:rPr>
        <w:instrText>in Met</w:instrText>
      </w:r>
      <w:r w:rsidR="00FC1EA9" w:rsidRPr="003D1E07">
        <w:instrText>. 671.</w:instrText>
      </w:r>
      <w:r w:rsidR="00BF6E3C" w:rsidRPr="003D1E07">
        <w:instrText xml:space="preserve">15" </w:instrText>
      </w:r>
      <w:r w:rsidR="00BF6E3C" w:rsidRPr="003D1E07">
        <w:rPr>
          <w:i/>
          <w:lang w:eastAsia="en-US"/>
        </w:rPr>
        <w:fldChar w:fldCharType="end"/>
      </w:r>
      <w:r w:rsidR="00D35B69" w:rsidRPr="003D1E07">
        <w:t xml:space="preserve">). </w:t>
      </w:r>
      <w:r w:rsidR="0019776E" w:rsidRPr="003D1E07">
        <w:t>P</w:t>
      </w:r>
      <w:r w:rsidR="00CF6729" w:rsidRPr="003D1E07">
        <w:t xml:space="preserve">ohyblivé substance </w:t>
      </w:r>
      <w:r w:rsidR="00C44DF9" w:rsidRPr="003D1E07">
        <w:t>pozná</w:t>
      </w:r>
      <w:r w:rsidR="00773CF8" w:rsidRPr="003D1E07">
        <w:t>vané</w:t>
      </w:r>
      <w:r w:rsidR="00C44DF9" w:rsidRPr="003D1E07">
        <w:t xml:space="preserve"> smysly </w:t>
      </w:r>
      <w:r w:rsidR="00CF6729" w:rsidRPr="003D1E07">
        <w:t xml:space="preserve">a nepohyblivá </w:t>
      </w:r>
      <w:r w:rsidR="00CF6729" w:rsidRPr="003D1E07">
        <w:lastRenderedPageBreak/>
        <w:t xml:space="preserve">substance </w:t>
      </w:r>
      <w:r w:rsidR="00C44DF9" w:rsidRPr="003D1E07">
        <w:t xml:space="preserve">poznávaná pouze rozumem </w:t>
      </w:r>
      <w:r w:rsidR="001B7CA8" w:rsidRPr="003D1E07">
        <w:t xml:space="preserve">nemají žádný společný </w:t>
      </w:r>
      <w:r w:rsidR="00CF6729" w:rsidRPr="003D1E07">
        <w:t>princip</w:t>
      </w:r>
      <w:r w:rsidR="00DD07CD" w:rsidRPr="003D1E07">
        <w:t>, který</w:t>
      </w:r>
      <w:r w:rsidR="00CF6729" w:rsidRPr="003D1E07">
        <w:t xml:space="preserve"> </w:t>
      </w:r>
      <w:r w:rsidR="001B7CA8" w:rsidRPr="003D1E07">
        <w:t xml:space="preserve">by mohla poznávat </w:t>
      </w:r>
      <w:r w:rsidR="00CF6729" w:rsidRPr="003D1E07">
        <w:t xml:space="preserve">fyzika pohyblivých těles (οὐδέ ἐστί τις αὐταῖς ἀρχὴ κοινή, οὐκ ἂν εἴη τῆς φυσικῆς, </w:t>
      </w:r>
      <w:r w:rsidR="00A84A9E" w:rsidRPr="003D1E07">
        <w:t xml:space="preserve">ibid. </w:t>
      </w:r>
      <w:r w:rsidR="00806875" w:rsidRPr="003D1E07">
        <w:t>671.16</w:t>
      </w:r>
      <w:r w:rsidR="00BF6E3C" w:rsidRPr="003D1E07">
        <w:rPr>
          <w:i/>
          <w:lang w:eastAsia="en-US"/>
        </w:rPr>
        <w:fldChar w:fldCharType="begin"/>
      </w:r>
      <w:r w:rsidR="00BF6E3C" w:rsidRPr="003D1E07">
        <w:instrText xml:space="preserve"> XE "</w:instrText>
      </w:r>
      <w:r w:rsidR="00BF6E3C" w:rsidRPr="003D1E07">
        <w:rPr>
          <w:rStyle w:val="Zvraznn"/>
          <w:i w:val="0"/>
        </w:rPr>
        <w:instrText>Alexander Afrodisias:</w:instrText>
      </w:r>
      <w:r w:rsidR="00BF6E3C" w:rsidRPr="003D1E07">
        <w:rPr>
          <w:i/>
        </w:rPr>
        <w:instrText>Alex.</w:instrText>
      </w:r>
      <w:r w:rsidR="00BF6E3C" w:rsidRPr="003D1E07">
        <w:instrText xml:space="preserve"> </w:instrText>
      </w:r>
      <w:r w:rsidR="00BF6E3C" w:rsidRPr="003D1E07">
        <w:rPr>
          <w:i/>
        </w:rPr>
        <w:instrText>in Met</w:instrText>
      </w:r>
      <w:r w:rsidR="00806875" w:rsidRPr="003D1E07">
        <w:instrText>. 671.16</w:instrText>
      </w:r>
      <w:r w:rsidR="00BF6E3C" w:rsidRPr="003D1E07">
        <w:instrText xml:space="preserve">" </w:instrText>
      </w:r>
      <w:r w:rsidR="00BF6E3C" w:rsidRPr="003D1E07">
        <w:rPr>
          <w:i/>
          <w:lang w:eastAsia="en-US"/>
        </w:rPr>
        <w:fldChar w:fldCharType="end"/>
      </w:r>
      <w:r w:rsidR="00C42F9C" w:rsidRPr="003D1E07">
        <w:t xml:space="preserve">). </w:t>
      </w:r>
      <w:r w:rsidR="083445C3" w:rsidRPr="003D1E07">
        <w:t>Alexander z toho vyvozuje, že obě vědy je třeba zásadně o</w:t>
      </w:r>
      <w:r w:rsidR="08E32962" w:rsidRPr="003D1E07">
        <w:t xml:space="preserve">ddělit, což provedl Avicenna v </w:t>
      </w:r>
      <w:r w:rsidR="083445C3" w:rsidRPr="003D1E07">
        <w:t xml:space="preserve">projektu první vědy. </w:t>
      </w:r>
      <w:r w:rsidR="00C04D7F" w:rsidRPr="003D1E07">
        <w:t xml:space="preserve">První věda </w:t>
      </w:r>
      <w:r w:rsidR="00C42F9C" w:rsidRPr="003D1E07">
        <w:t xml:space="preserve">se stala v pojetí Alexandra a Avicenny absolutní vědou ve smyslu latinského </w:t>
      </w:r>
      <w:r w:rsidR="00C42F9C" w:rsidRPr="003D1E07">
        <w:rPr>
          <w:i/>
        </w:rPr>
        <w:t>absolutum</w:t>
      </w:r>
      <w:r w:rsidR="00C42F9C" w:rsidRPr="003D1E07">
        <w:t xml:space="preserve">, protože je oddělená od fyziky. </w:t>
      </w:r>
      <w:r w:rsidR="002E3B62" w:rsidRPr="003D1E07">
        <w:t>Averroes</w:t>
      </w:r>
      <w:r w:rsidR="08592E1C" w:rsidRPr="003D1E07">
        <w:t xml:space="preserve">ův výklad </w:t>
      </w:r>
      <w:r w:rsidR="086956A5" w:rsidRPr="003D1E07">
        <w:t>sleduje Alexandrův komentář do klíčového bodu, kde Afrodisias</w:t>
      </w:r>
      <w:r w:rsidR="00571550" w:rsidRPr="003D1E07">
        <w:fldChar w:fldCharType="begin"/>
      </w:r>
      <w:r w:rsidR="00571550" w:rsidRPr="003D1E07">
        <w:instrText xml:space="preserve"> XE "Alexander Afrodisias" </w:instrText>
      </w:r>
      <w:r w:rsidR="00571550" w:rsidRPr="003D1E07">
        <w:fldChar w:fldCharType="end"/>
      </w:r>
      <w:r w:rsidR="086956A5" w:rsidRPr="003D1E07">
        <w:t xml:space="preserve"> radikálně odděluje zkoumání fyziky a metafyziky</w:t>
      </w:r>
      <w:r w:rsidR="08946F79" w:rsidRPr="003D1E07">
        <w:t xml:space="preserve"> kvůli nesourodosti jejich principů</w:t>
      </w:r>
      <w:r w:rsidR="086956A5" w:rsidRPr="003D1E07">
        <w:t xml:space="preserve">. </w:t>
      </w:r>
      <w:r w:rsidR="08946F79" w:rsidRPr="003D1E07">
        <w:t xml:space="preserve">Tuto tezi </w:t>
      </w:r>
      <w:r w:rsidR="002E3B62" w:rsidRPr="003D1E07">
        <w:t>Averroes</w:t>
      </w:r>
      <w:r w:rsidR="08946F79" w:rsidRPr="003D1E07">
        <w:t xml:space="preserve"> zásadně </w:t>
      </w:r>
      <w:r w:rsidR="08EB6AB6" w:rsidRPr="003D1E07">
        <w:t xml:space="preserve">kritizuje </w:t>
      </w:r>
      <w:r w:rsidR="00107E8A" w:rsidRPr="003D1E07">
        <w:t xml:space="preserve">a </w:t>
      </w:r>
      <w:r w:rsidR="08EB6AB6" w:rsidRPr="003D1E07">
        <w:t xml:space="preserve">odmítne </w:t>
      </w:r>
      <w:r w:rsidR="00AE0E72" w:rsidRPr="003D1E07">
        <w:t>metafyzik</w:t>
      </w:r>
      <w:r w:rsidR="08EB6AB6" w:rsidRPr="003D1E07">
        <w:t>u</w:t>
      </w:r>
      <w:r w:rsidR="00AE0E72" w:rsidRPr="003D1E07">
        <w:t xml:space="preserve"> Alexandra</w:t>
      </w:r>
      <w:r w:rsidR="00955903" w:rsidRPr="003D1E07">
        <w:fldChar w:fldCharType="begin"/>
      </w:r>
      <w:r w:rsidR="00955903" w:rsidRPr="003D1E07">
        <w:instrText xml:space="preserve"> XE "Alexander Afrodisias" </w:instrText>
      </w:r>
      <w:r w:rsidR="00955903" w:rsidRPr="003D1E07">
        <w:fldChar w:fldCharType="end"/>
      </w:r>
      <w:r w:rsidR="00AE0E72" w:rsidRPr="003D1E07">
        <w:t xml:space="preserve"> a </w:t>
      </w:r>
      <w:r w:rsidR="00107E8A" w:rsidRPr="003D1E07">
        <w:t>Avicenny</w:t>
      </w:r>
      <w:r w:rsidR="005801F9" w:rsidRPr="003D1E07">
        <w:t>.</w:t>
      </w:r>
      <w:r w:rsidR="00AE0E72" w:rsidRPr="003D1E07">
        <w:t xml:space="preserve"> </w:t>
      </w:r>
      <w:r w:rsidR="008E02F5" w:rsidRPr="003D1E07">
        <w:rPr>
          <w:lang w:eastAsia="en-US"/>
        </w:rPr>
        <w:t>Aristoteles</w:t>
      </w:r>
      <w:r w:rsidR="00512F3B" w:rsidRPr="003D1E07">
        <w:rPr>
          <w:lang w:eastAsia="en-US"/>
        </w:rPr>
        <w:t xml:space="preserve"> drží jednotu zkoumání první vědy o jsoucnu, proto</w:t>
      </w:r>
      <w:r w:rsidR="00BE7ABB" w:rsidRPr="003D1E07">
        <w:rPr>
          <w:lang w:eastAsia="en-US"/>
        </w:rPr>
        <w:t>že</w:t>
      </w:r>
      <w:r w:rsidR="00512F3B" w:rsidRPr="003D1E07">
        <w:rPr>
          <w:lang w:eastAsia="en-US"/>
        </w:rPr>
        <w:t xml:space="preserve"> </w:t>
      </w:r>
      <w:r w:rsidR="081D3B09" w:rsidRPr="003D1E07">
        <w:rPr>
          <w:i/>
          <w:lang w:eastAsia="en-US"/>
        </w:rPr>
        <w:t>Metafyzika</w:t>
      </w:r>
      <w:r w:rsidR="081D3B09" w:rsidRPr="003D1E07">
        <w:rPr>
          <w:lang w:eastAsia="en-US"/>
        </w:rPr>
        <w:t xml:space="preserve"> </w:t>
      </w:r>
      <w:r w:rsidR="00512F3B" w:rsidRPr="003D1E07">
        <w:rPr>
          <w:i/>
          <w:lang w:eastAsia="en-US"/>
        </w:rPr>
        <w:t>Lambda</w:t>
      </w:r>
      <w:r w:rsidR="00512F3B" w:rsidRPr="003D1E07">
        <w:rPr>
          <w:lang w:eastAsia="en-US"/>
        </w:rPr>
        <w:t xml:space="preserve"> začíná tam, kde </w:t>
      </w:r>
      <w:r w:rsidR="08723620" w:rsidRPr="003D1E07">
        <w:rPr>
          <w:i/>
          <w:lang w:eastAsia="en-US"/>
        </w:rPr>
        <w:t>Fyz</w:t>
      </w:r>
      <w:r w:rsidR="00512F3B" w:rsidRPr="003D1E07">
        <w:rPr>
          <w:i/>
          <w:lang w:eastAsia="en-US"/>
        </w:rPr>
        <w:t>ika</w:t>
      </w:r>
      <w:r w:rsidR="00512F3B" w:rsidRPr="003D1E07">
        <w:rPr>
          <w:lang w:eastAsia="en-US"/>
        </w:rPr>
        <w:t xml:space="preserve"> končí, totiž u zkoumání oddělené substance jako posledního zdroje pohybu.</w:t>
      </w:r>
      <w:r w:rsidR="00DE4AB3" w:rsidRPr="003D1E07">
        <w:rPr>
          <w:lang w:eastAsia="en-US"/>
        </w:rPr>
        <w:t xml:space="preserve"> </w:t>
      </w:r>
      <w:r w:rsidR="080A614F" w:rsidRPr="003D1E07">
        <w:rPr>
          <w:lang w:eastAsia="en-US"/>
        </w:rPr>
        <w:t xml:space="preserve">Uvedený citát </w:t>
      </w:r>
      <w:r w:rsidR="080A614F" w:rsidRPr="003D1E07">
        <w:rPr>
          <w:i/>
        </w:rPr>
        <w:t>Metafyziky</w:t>
      </w:r>
      <w:r w:rsidR="080A614F" w:rsidRPr="003D1E07">
        <w:t xml:space="preserve"> XII.3 </w:t>
      </w:r>
      <w:r w:rsidR="08703C0F" w:rsidRPr="003D1E07">
        <w:rPr>
          <w:lang w:eastAsia="en-US"/>
        </w:rPr>
        <w:t xml:space="preserve">končí tím, že myšlení </w:t>
      </w:r>
      <w:r w:rsidR="0851692C" w:rsidRPr="003D1E07">
        <w:rPr>
          <w:lang w:eastAsia="en-US"/>
        </w:rPr>
        <w:t xml:space="preserve">fyziky </w:t>
      </w:r>
      <w:r w:rsidR="08703C0F" w:rsidRPr="003D1E07">
        <w:rPr>
          <w:lang w:eastAsia="en-US"/>
        </w:rPr>
        <w:t xml:space="preserve">se musí zastavit v momentu, kdy přechází </w:t>
      </w:r>
      <w:r w:rsidR="08CA71A2" w:rsidRPr="003D1E07">
        <w:rPr>
          <w:lang w:eastAsia="en-US"/>
        </w:rPr>
        <w:t>mimo pohyb</w:t>
      </w:r>
      <w:r w:rsidR="087A5EC7" w:rsidRPr="003D1E07">
        <w:rPr>
          <w:lang w:eastAsia="en-US"/>
        </w:rPr>
        <w:t xml:space="preserve">, vznikání a zanikání přirozených těles </w:t>
      </w:r>
      <w:r w:rsidR="08703C0F" w:rsidRPr="003D1E07">
        <w:rPr>
          <w:lang w:eastAsia="en-US"/>
        </w:rPr>
        <w:t>(</w:t>
      </w:r>
      <w:r w:rsidR="08703C0F" w:rsidRPr="003D1E07">
        <w:t>ἀνάγκη δὴ στῆναι</w:t>
      </w:r>
      <w:r w:rsidR="080A614F" w:rsidRPr="003D1E07">
        <w:t xml:space="preserve">, </w:t>
      </w:r>
      <w:r w:rsidR="080A614F" w:rsidRPr="003D1E07">
        <w:rPr>
          <w:i/>
          <w:lang w:eastAsia="en-US"/>
        </w:rPr>
        <w:t>Met</w:t>
      </w:r>
      <w:r w:rsidR="080A614F" w:rsidRPr="003D1E07">
        <w:rPr>
          <w:lang w:eastAsia="en-US"/>
        </w:rPr>
        <w:t>. 1070a4</w:t>
      </w:r>
      <w:r w:rsidR="00BF6E3C" w:rsidRPr="003D1E07">
        <w:rPr>
          <w:i/>
          <w:lang w:eastAsia="en-US"/>
        </w:rPr>
        <w:fldChar w:fldCharType="begin"/>
      </w:r>
      <w:r w:rsidR="00BF6E3C" w:rsidRPr="003D1E07">
        <w:instrText xml:space="preserve"> XE "</w:instrText>
      </w:r>
      <w:r w:rsidR="008E02F5" w:rsidRPr="003D1E07">
        <w:instrText>Aristoteles</w:instrText>
      </w:r>
      <w:r w:rsidR="00BF6E3C" w:rsidRPr="003D1E07">
        <w:instrText>:</w:instrText>
      </w:r>
      <w:r w:rsidR="00BF6E3C" w:rsidRPr="003D1E07">
        <w:rPr>
          <w:i/>
        </w:rPr>
        <w:instrText>Met</w:instrText>
      </w:r>
      <w:r w:rsidR="00BF6E3C" w:rsidRPr="003D1E07">
        <w:instrText xml:space="preserve">. 1070a4" </w:instrText>
      </w:r>
      <w:r w:rsidR="00BF6E3C" w:rsidRPr="003D1E07">
        <w:rPr>
          <w:i/>
          <w:lang w:eastAsia="en-US"/>
        </w:rPr>
        <w:fldChar w:fldCharType="end"/>
      </w:r>
      <w:r w:rsidR="08703C0F" w:rsidRPr="003D1E07">
        <w:rPr>
          <w:lang w:eastAsia="en-US"/>
        </w:rPr>
        <w:t xml:space="preserve">). </w:t>
      </w:r>
      <w:r w:rsidR="0863560B" w:rsidRPr="003D1E07">
        <w:rPr>
          <w:lang w:eastAsia="en-US"/>
        </w:rPr>
        <w:t xml:space="preserve">Otázka je, zda </w:t>
      </w:r>
      <w:r w:rsidR="08215D45" w:rsidRPr="003D1E07">
        <w:rPr>
          <w:lang w:eastAsia="en-US"/>
        </w:rPr>
        <w:t xml:space="preserve">toto zastavení dedukce </w:t>
      </w:r>
      <w:r w:rsidR="08D15A20" w:rsidRPr="003D1E07">
        <w:rPr>
          <w:lang w:eastAsia="en-US"/>
        </w:rPr>
        <w:t xml:space="preserve">směrem k prvnímu principu </w:t>
      </w:r>
      <w:r w:rsidR="08C37D75" w:rsidRPr="003D1E07">
        <w:rPr>
          <w:lang w:eastAsia="en-US"/>
        </w:rPr>
        <w:t xml:space="preserve">pohybu </w:t>
      </w:r>
      <w:r w:rsidR="08215D45" w:rsidRPr="003D1E07">
        <w:rPr>
          <w:lang w:eastAsia="en-US"/>
        </w:rPr>
        <w:t xml:space="preserve">znamená </w:t>
      </w:r>
      <w:r w:rsidR="0851692C" w:rsidRPr="003D1E07">
        <w:rPr>
          <w:lang w:eastAsia="en-US"/>
        </w:rPr>
        <w:t xml:space="preserve">zlom </w:t>
      </w:r>
      <w:r w:rsidR="08215D45" w:rsidRPr="003D1E07">
        <w:rPr>
          <w:lang w:eastAsia="en-US"/>
        </w:rPr>
        <w:t xml:space="preserve">mezi fyzikou a metafyzikou </w:t>
      </w:r>
      <w:r w:rsidR="0851692C" w:rsidRPr="003D1E07">
        <w:rPr>
          <w:lang w:eastAsia="en-US"/>
        </w:rPr>
        <w:t>(Alexander, neoplatonismus, Avice</w:t>
      </w:r>
      <w:r w:rsidR="0863560B" w:rsidRPr="003D1E07">
        <w:rPr>
          <w:lang w:eastAsia="en-US"/>
        </w:rPr>
        <w:t>nna</w:t>
      </w:r>
      <w:r w:rsidR="0851692C" w:rsidRPr="003D1E07">
        <w:rPr>
          <w:lang w:eastAsia="en-US"/>
        </w:rPr>
        <w:t>)</w:t>
      </w:r>
      <w:r w:rsidR="089A0109" w:rsidRPr="003D1E07">
        <w:rPr>
          <w:lang w:eastAsia="en-US"/>
        </w:rPr>
        <w:t>. N</w:t>
      </w:r>
      <w:r w:rsidR="0851692C" w:rsidRPr="003D1E07">
        <w:rPr>
          <w:lang w:eastAsia="en-US"/>
        </w:rPr>
        <w:t xml:space="preserve">ebo </w:t>
      </w:r>
      <w:r w:rsidR="089A0109" w:rsidRPr="003D1E07">
        <w:rPr>
          <w:lang w:eastAsia="en-US"/>
        </w:rPr>
        <w:t xml:space="preserve">zda </w:t>
      </w:r>
      <w:r w:rsidR="08D15A20" w:rsidRPr="003D1E07">
        <w:rPr>
          <w:lang w:eastAsia="en-US"/>
        </w:rPr>
        <w:t>předs</w:t>
      </w:r>
      <w:r w:rsidR="08215D45" w:rsidRPr="003D1E07">
        <w:rPr>
          <w:lang w:eastAsia="en-US"/>
        </w:rPr>
        <w:t xml:space="preserve">tavuje </w:t>
      </w:r>
      <w:r w:rsidR="0851692C" w:rsidRPr="003D1E07">
        <w:rPr>
          <w:lang w:eastAsia="en-US"/>
        </w:rPr>
        <w:t xml:space="preserve">rozběh do myšlení první substance </w:t>
      </w:r>
      <w:r w:rsidR="08960E81" w:rsidRPr="003D1E07">
        <w:rPr>
          <w:lang w:eastAsia="en-US"/>
        </w:rPr>
        <w:t>za</w:t>
      </w:r>
      <w:r w:rsidR="0851692C" w:rsidRPr="003D1E07">
        <w:rPr>
          <w:lang w:eastAsia="en-US"/>
        </w:rPr>
        <w:t xml:space="preserve"> fyzikou (</w:t>
      </w:r>
      <w:r w:rsidR="08AE46FA" w:rsidRPr="003D1E07">
        <w:rPr>
          <w:lang w:eastAsia="en-US"/>
        </w:rPr>
        <w:t>Al-</w:t>
      </w:r>
      <w:r w:rsidR="008E02F5" w:rsidRPr="003D1E07">
        <w:rPr>
          <w:lang w:eastAsia="en-US"/>
        </w:rPr>
        <w:t>Fárábí</w:t>
      </w:r>
      <w:r w:rsidR="08AE46FA" w:rsidRPr="003D1E07">
        <w:rPr>
          <w:lang w:eastAsia="en-US"/>
        </w:rPr>
        <w:t xml:space="preserve">, </w:t>
      </w:r>
      <w:r w:rsidR="002E3B62" w:rsidRPr="003D1E07">
        <w:rPr>
          <w:lang w:eastAsia="en-US"/>
        </w:rPr>
        <w:t>Averroes</w:t>
      </w:r>
      <w:r w:rsidR="0851692C" w:rsidRPr="003D1E07">
        <w:rPr>
          <w:lang w:eastAsia="en-US"/>
        </w:rPr>
        <w:t xml:space="preserve">). </w:t>
      </w:r>
      <w:r w:rsidR="00661A3B">
        <w:rPr>
          <w:lang w:eastAsia="en-US"/>
        </w:rPr>
        <w:t>P</w:t>
      </w:r>
      <w:r w:rsidR="00661A3B" w:rsidRPr="003D1E07">
        <w:rPr>
          <w:lang w:eastAsia="en-US"/>
        </w:rPr>
        <w:t>odle Averroese</w:t>
      </w:r>
      <w:r w:rsidR="00661A3B">
        <w:rPr>
          <w:lang w:eastAsia="en-US"/>
        </w:rPr>
        <w:t>, j</w:t>
      </w:r>
      <w:r w:rsidR="00A43521">
        <w:rPr>
          <w:lang w:eastAsia="en-US"/>
        </w:rPr>
        <w:t xml:space="preserve">ednota </w:t>
      </w:r>
      <w:r w:rsidR="08806001" w:rsidRPr="003D1E07">
        <w:rPr>
          <w:lang w:eastAsia="en-US"/>
        </w:rPr>
        <w:t>Aristotelem hledané</w:t>
      </w:r>
      <w:r w:rsidR="00A43521">
        <w:rPr>
          <w:lang w:eastAsia="en-US"/>
        </w:rPr>
        <w:t xml:space="preserve"> </w:t>
      </w:r>
      <w:r w:rsidR="08806001" w:rsidRPr="003D1E07">
        <w:rPr>
          <w:lang w:eastAsia="en-US"/>
        </w:rPr>
        <w:t>metafyziky (</w:t>
      </w:r>
      <w:r w:rsidR="08806001" w:rsidRPr="003D1E07">
        <w:t>πρὸς ἓν καὶ μίαν τινὰ φύσιν</w:t>
      </w:r>
      <w:r w:rsidR="08806001" w:rsidRPr="003D1E07">
        <w:rPr>
          <w:i/>
          <w:lang w:eastAsia="en-US"/>
        </w:rPr>
        <w:t>, Met.</w:t>
      </w:r>
      <w:r w:rsidR="08806001" w:rsidRPr="003D1E07">
        <w:rPr>
          <w:lang w:eastAsia="en-US"/>
        </w:rPr>
        <w:t xml:space="preserve"> 1003a33‒34</w:t>
      </w:r>
      <w:r w:rsidR="08806001" w:rsidRPr="003D1E07">
        <w:rPr>
          <w:i/>
          <w:lang w:eastAsia="en-US"/>
        </w:rPr>
        <w:fldChar w:fldCharType="begin"/>
      </w:r>
      <w:r w:rsidR="08806001" w:rsidRPr="003D1E07">
        <w:instrText xml:space="preserve"> XE "Aristoteles:</w:instrText>
      </w:r>
      <w:r w:rsidR="08806001" w:rsidRPr="003D1E07">
        <w:rPr>
          <w:i/>
        </w:rPr>
        <w:instrText>Met.</w:instrText>
      </w:r>
      <w:r w:rsidR="08806001" w:rsidRPr="003D1E07">
        <w:instrText xml:space="preserve"> 1033a33‒34" </w:instrText>
      </w:r>
      <w:r w:rsidR="08806001" w:rsidRPr="003D1E07">
        <w:rPr>
          <w:i/>
          <w:lang w:eastAsia="en-US"/>
        </w:rPr>
        <w:fldChar w:fldCharType="end"/>
      </w:r>
      <w:r w:rsidR="08806001" w:rsidRPr="003D1E07">
        <w:rPr>
          <w:lang w:eastAsia="en-US"/>
        </w:rPr>
        <w:t xml:space="preserve">) končí u substance jako posledního zdroje jednotného významu. </w:t>
      </w:r>
      <w:r w:rsidR="084F4718" w:rsidRPr="003D1E07">
        <w:rPr>
          <w:lang w:eastAsia="en-US"/>
        </w:rPr>
        <w:t xml:space="preserve">Avicennova metafyzika našla podle Ibn Rušda smysl jsoucího v modelu analogie, jejímž původním zdrojem je </w:t>
      </w:r>
      <w:r w:rsidR="084F4718" w:rsidRPr="003D1E07">
        <w:t>Alexander Afrodisias</w:t>
      </w:r>
      <w:r w:rsidR="084F4718" w:rsidRPr="003D1E07">
        <w:fldChar w:fldCharType="begin"/>
      </w:r>
      <w:r w:rsidR="084F4718" w:rsidRPr="003D1E07">
        <w:instrText xml:space="preserve"> XE "Alexander Afrodisias" </w:instrText>
      </w:r>
      <w:r w:rsidR="084F4718" w:rsidRPr="003D1E07">
        <w:fldChar w:fldCharType="end"/>
      </w:r>
      <w:r w:rsidR="084F4718" w:rsidRPr="003D1E07">
        <w:t>.</w:t>
      </w:r>
      <w:r w:rsidR="084F4718" w:rsidRPr="003D1E07">
        <w:rPr>
          <w:rStyle w:val="Znakapoznpodarou"/>
          <w:lang w:eastAsia="en-US"/>
        </w:rPr>
        <w:footnoteReference w:id="197"/>
      </w:r>
      <w:r w:rsidR="084F4718" w:rsidRPr="003D1E07">
        <w:rPr>
          <w:lang w:eastAsia="en-US"/>
        </w:rPr>
        <w:t xml:space="preserve"> </w:t>
      </w:r>
      <w:r w:rsidR="08003D3F" w:rsidRPr="003D1E07">
        <w:rPr>
          <w:lang w:eastAsia="en-US"/>
        </w:rPr>
        <w:t xml:space="preserve">Bytí není </w:t>
      </w:r>
      <w:r w:rsidR="00636BD4" w:rsidRPr="003D1E07">
        <w:rPr>
          <w:lang w:eastAsia="en-US"/>
        </w:rPr>
        <w:t>genus</w:t>
      </w:r>
      <w:r w:rsidR="08003D3F" w:rsidRPr="003D1E07">
        <w:rPr>
          <w:lang w:eastAsia="en-US"/>
        </w:rPr>
        <w:t xml:space="preserve">, který by transcendoval substanci k nějaké formě falešné univocity dané analogicky. </w:t>
      </w:r>
      <w:r w:rsidR="002E3B62" w:rsidRPr="003D1E07">
        <w:rPr>
          <w:lang w:eastAsia="en-US"/>
        </w:rPr>
        <w:t>Averroes</w:t>
      </w:r>
      <w:r w:rsidR="006E6B1D" w:rsidRPr="003D1E07">
        <w:rPr>
          <w:lang w:eastAsia="en-US"/>
        </w:rPr>
        <w:t xml:space="preserve"> </w:t>
      </w:r>
      <w:r w:rsidR="087B121D" w:rsidRPr="003D1E07">
        <w:rPr>
          <w:lang w:eastAsia="en-US"/>
        </w:rPr>
        <w:t xml:space="preserve">si udržuje </w:t>
      </w:r>
      <w:r w:rsidR="0029653F" w:rsidRPr="003D1E07">
        <w:rPr>
          <w:lang w:eastAsia="en-US"/>
        </w:rPr>
        <w:t xml:space="preserve">v tomto klíčovém bodě </w:t>
      </w:r>
      <w:r w:rsidR="087B121D" w:rsidRPr="003D1E07">
        <w:rPr>
          <w:lang w:eastAsia="en-US"/>
        </w:rPr>
        <w:t>kritický odstup od obou předchůdců</w:t>
      </w:r>
      <w:r w:rsidR="08515BAB" w:rsidRPr="003D1E07">
        <w:rPr>
          <w:lang w:eastAsia="en-US"/>
        </w:rPr>
        <w:t>, od Alexandra</w:t>
      </w:r>
      <w:r w:rsidR="00955903" w:rsidRPr="003D1E07">
        <w:fldChar w:fldCharType="begin"/>
      </w:r>
      <w:r w:rsidR="00955903" w:rsidRPr="003D1E07">
        <w:instrText xml:space="preserve"> XE "Alexander Afrodisias" </w:instrText>
      </w:r>
      <w:r w:rsidR="00955903" w:rsidRPr="003D1E07">
        <w:fldChar w:fldCharType="end"/>
      </w:r>
      <w:r w:rsidR="087B121D" w:rsidRPr="003D1E07">
        <w:rPr>
          <w:lang w:eastAsia="en-US"/>
        </w:rPr>
        <w:t xml:space="preserve"> i </w:t>
      </w:r>
      <w:r w:rsidR="08515BAB" w:rsidRPr="003D1E07">
        <w:rPr>
          <w:lang w:eastAsia="en-US"/>
        </w:rPr>
        <w:t xml:space="preserve">od </w:t>
      </w:r>
      <w:r w:rsidR="087B121D" w:rsidRPr="003D1E07">
        <w:rPr>
          <w:lang w:eastAsia="en-US"/>
        </w:rPr>
        <w:t>Avicenn</w:t>
      </w:r>
      <w:r w:rsidR="08515BAB" w:rsidRPr="003D1E07">
        <w:rPr>
          <w:lang w:eastAsia="en-US"/>
        </w:rPr>
        <w:t>y</w:t>
      </w:r>
      <w:r w:rsidR="087B121D" w:rsidRPr="003D1E07">
        <w:rPr>
          <w:lang w:eastAsia="en-US"/>
        </w:rPr>
        <w:t xml:space="preserve">. </w:t>
      </w:r>
      <w:r w:rsidR="084F4718" w:rsidRPr="003D1E07">
        <w:rPr>
          <w:lang w:eastAsia="en-US"/>
        </w:rPr>
        <w:t xml:space="preserve">Střední komentář k </w:t>
      </w:r>
      <w:r w:rsidR="084F4718" w:rsidRPr="003D1E07">
        <w:rPr>
          <w:i/>
          <w:lang w:eastAsia="en-US"/>
        </w:rPr>
        <w:t>Metafyzice</w:t>
      </w:r>
      <w:r w:rsidR="084F4718" w:rsidRPr="003D1E07">
        <w:rPr>
          <w:lang w:eastAsia="en-US"/>
        </w:rPr>
        <w:t xml:space="preserve"> (</w:t>
      </w:r>
      <w:r w:rsidR="084F4718" w:rsidRPr="003D1E07">
        <w:rPr>
          <w:i/>
        </w:rPr>
        <w:t>Epitome</w:t>
      </w:r>
      <w:r w:rsidR="084F4718" w:rsidRPr="003D1E07">
        <w:rPr>
          <w:lang w:eastAsia="en-US"/>
        </w:rPr>
        <w:t>) kritizuje Avicennu za to, že bytí udělal nejvyšší rod a že</w:t>
      </w:r>
      <w:r w:rsidR="084F4718" w:rsidRPr="003D1E07">
        <w:t xml:space="preserve"> směšuje zásadně rozdílné věci.</w:t>
      </w:r>
      <w:r w:rsidR="084F4718" w:rsidRPr="003D1E07">
        <w:rPr>
          <w:rStyle w:val="Znakapoznpodarou"/>
          <w:lang w:eastAsia="en-US"/>
        </w:rPr>
        <w:footnoteReference w:id="198"/>
      </w:r>
      <w:r w:rsidR="084F4718" w:rsidRPr="003D1E07">
        <w:t xml:space="preserve"> Také v</w:t>
      </w:r>
      <w:r w:rsidR="00DE4AB3" w:rsidRPr="003D1E07">
        <w:t xml:space="preserve">elký komentář k </w:t>
      </w:r>
      <w:r w:rsidR="00DE4AB3" w:rsidRPr="003D1E07">
        <w:rPr>
          <w:i/>
        </w:rPr>
        <w:lastRenderedPageBreak/>
        <w:t>Metafyzice</w:t>
      </w:r>
      <w:r w:rsidR="00DE4AB3" w:rsidRPr="003D1E07">
        <w:t xml:space="preserve"> </w:t>
      </w:r>
      <w:r w:rsidR="082B2A42" w:rsidRPr="003D1E07">
        <w:t>v</w:t>
      </w:r>
      <w:r w:rsidR="08FF0AD3" w:rsidRPr="003D1E07">
        <w:t xml:space="preserve">ýslovně </w:t>
      </w:r>
      <w:r w:rsidR="00D871A7" w:rsidRPr="003D1E07">
        <w:t xml:space="preserve">odmítá </w:t>
      </w:r>
      <w:r w:rsidR="08FF0AD3" w:rsidRPr="003D1E07">
        <w:t xml:space="preserve">zatmění jsoucna v </w:t>
      </w:r>
      <w:r w:rsidR="00693DE5" w:rsidRPr="003D1E07">
        <w:t>metafyzice</w:t>
      </w:r>
      <w:r w:rsidR="08FF0AD3" w:rsidRPr="003D1E07">
        <w:t xml:space="preserve"> </w:t>
      </w:r>
      <w:r w:rsidR="00693DE5" w:rsidRPr="003D1E07">
        <w:t>Avicenny</w:t>
      </w:r>
      <w:r w:rsidR="08FF0AD3" w:rsidRPr="003D1E07">
        <w:t>.</w:t>
      </w:r>
      <w:r w:rsidR="08530603" w:rsidRPr="003D1E07">
        <w:rPr>
          <w:lang w:eastAsia="en-US"/>
        </w:rPr>
        <w:t xml:space="preserve"> Komentář </w:t>
      </w:r>
      <w:r w:rsidR="08DE5332" w:rsidRPr="003D1E07">
        <w:rPr>
          <w:lang w:eastAsia="en-US"/>
        </w:rPr>
        <w:t xml:space="preserve">zmiňuje </w:t>
      </w:r>
      <w:r w:rsidR="08243CC8" w:rsidRPr="003D1E07">
        <w:rPr>
          <w:lang w:eastAsia="en-US"/>
        </w:rPr>
        <w:t>temnotu</w:t>
      </w:r>
      <w:r w:rsidR="08530603" w:rsidRPr="003D1E07">
        <w:rPr>
          <w:lang w:eastAsia="en-US"/>
        </w:rPr>
        <w:t xml:space="preserve"> (</w:t>
      </w:r>
      <w:r w:rsidR="08530603" w:rsidRPr="003D1E07">
        <w:rPr>
          <w:i/>
          <w:lang w:eastAsia="en-US"/>
        </w:rPr>
        <w:t>obscurity</w:t>
      </w:r>
      <w:r w:rsidR="00B86F73" w:rsidRPr="003D1E07">
        <w:rPr>
          <w:i/>
          <w:lang w:eastAsia="en-US"/>
        </w:rPr>
        <w:fldChar w:fldCharType="begin"/>
      </w:r>
      <w:r w:rsidR="00B86F73" w:rsidRPr="003D1E07">
        <w:instrText xml:space="preserve"> XE "zatmění:substance" </w:instrText>
      </w:r>
      <w:r w:rsidR="00B86F73" w:rsidRPr="003D1E07">
        <w:rPr>
          <w:i/>
          <w:lang w:eastAsia="en-US"/>
        </w:rPr>
        <w:fldChar w:fldCharType="end"/>
      </w:r>
      <w:r w:rsidR="08530603" w:rsidRPr="003D1E07">
        <w:rPr>
          <w:lang w:eastAsia="en-US"/>
        </w:rPr>
        <w:t>), která zmýlila Avicennu.</w:t>
      </w:r>
    </w:p>
    <w:p w14:paraId="4C255ECC" w14:textId="77777777" w:rsidR="009170D8" w:rsidRPr="003D1E07" w:rsidRDefault="009170D8" w:rsidP="009170D8">
      <w:pPr>
        <w:pStyle w:val="Citace"/>
        <w:rPr>
          <w:lang w:val="cs-CZ" w:eastAsia="en-US"/>
        </w:rPr>
      </w:pPr>
      <w:r w:rsidRPr="003D1E07">
        <w:rPr>
          <w:noProof/>
          <w:lang w:val="cs-CZ"/>
        </w:rPr>
        <w:t>„</w:t>
      </w:r>
      <w:r w:rsidRPr="003D1E07">
        <w:rPr>
          <w:lang w:val="cs-CZ"/>
        </w:rPr>
        <w:t xml:space="preserve">Je pochopitelné, že principy obou věd jsou různé. Tím myslím způsob, jak tyto vědy nazíráme, nikoliv jejich samotnou podstatu. Proto je Alexandrův komentář v tomto bodě velmi nejasný, pokud se </w:t>
      </w:r>
      <w:r w:rsidR="007B0A9F" w:rsidRPr="003D1E07">
        <w:rPr>
          <w:lang w:val="cs-CZ"/>
        </w:rPr>
        <w:t xml:space="preserve">nezavede </w:t>
      </w:r>
      <w:r w:rsidRPr="003D1E07">
        <w:rPr>
          <w:lang w:val="cs-CZ"/>
        </w:rPr>
        <w:t xml:space="preserve">tento způsob rozlišení. Tato nejasnost </w:t>
      </w:r>
      <w:r w:rsidR="08175A4D" w:rsidRPr="003D1E07">
        <w:rPr>
          <w:lang w:val="cs-CZ"/>
        </w:rPr>
        <w:t>(</w:t>
      </w:r>
      <w:r w:rsidR="08175A4D" w:rsidRPr="003D1E07">
        <w:rPr>
          <w:i/>
          <w:lang w:val="cs-CZ"/>
        </w:rPr>
        <w:t>obscurity</w:t>
      </w:r>
      <w:r w:rsidR="08175A4D" w:rsidRPr="003D1E07">
        <w:rPr>
          <w:lang w:val="cs-CZ"/>
        </w:rPr>
        <w:t xml:space="preserve">) </w:t>
      </w:r>
      <w:r w:rsidRPr="003D1E07">
        <w:rPr>
          <w:lang w:val="cs-CZ"/>
        </w:rPr>
        <w:t>zmýlila Avicennu, jak bylo řečeno výše.“ </w:t>
      </w:r>
      <w:r w:rsidR="00113737" w:rsidRPr="003D1E07">
        <w:rPr>
          <w:rStyle w:val="Znakapoznpodarou"/>
          <w:lang w:val="cs-CZ" w:eastAsia="en-US"/>
        </w:rPr>
        <w:footnoteReference w:id="199"/>
      </w:r>
    </w:p>
    <w:p w14:paraId="50B290F9" w14:textId="71E3FAB1" w:rsidR="087C4C94" w:rsidRPr="003D1E07" w:rsidRDefault="007621F9" w:rsidP="009170D8">
      <w:pPr>
        <w:rPr>
          <w:lang w:eastAsia="en-US"/>
        </w:rPr>
      </w:pPr>
      <w:r w:rsidRPr="003D1E07">
        <w:rPr>
          <w:lang w:eastAsia="en-US"/>
        </w:rPr>
        <w:t xml:space="preserve">Kritická distinkce etablovaná </w:t>
      </w:r>
      <w:r w:rsidR="002E3B62" w:rsidRPr="003D1E07">
        <w:rPr>
          <w:lang w:eastAsia="en-US"/>
        </w:rPr>
        <w:t>Averroes</w:t>
      </w:r>
      <w:r w:rsidRPr="003D1E07">
        <w:rPr>
          <w:lang w:eastAsia="en-US"/>
        </w:rPr>
        <w:t xml:space="preserve">em proti Alexandrovi se týká </w:t>
      </w:r>
      <w:r w:rsidR="08DE5332" w:rsidRPr="003D1E07">
        <w:rPr>
          <w:lang w:eastAsia="en-US"/>
        </w:rPr>
        <w:t xml:space="preserve">spojení </w:t>
      </w:r>
      <w:r w:rsidR="08DE5332" w:rsidRPr="003D1E07">
        <w:rPr>
          <w:i/>
          <w:lang w:eastAsia="en-US"/>
        </w:rPr>
        <w:t>Fyziky</w:t>
      </w:r>
      <w:r w:rsidR="08DE5332" w:rsidRPr="003D1E07">
        <w:rPr>
          <w:lang w:eastAsia="en-US"/>
        </w:rPr>
        <w:t xml:space="preserve"> a </w:t>
      </w:r>
      <w:r w:rsidR="08DE5332" w:rsidRPr="003D1E07">
        <w:rPr>
          <w:i/>
          <w:lang w:eastAsia="en-US"/>
        </w:rPr>
        <w:t>M</w:t>
      </w:r>
      <w:r w:rsidRPr="003D1E07">
        <w:rPr>
          <w:i/>
          <w:lang w:eastAsia="en-US"/>
        </w:rPr>
        <w:t>etafyziky</w:t>
      </w:r>
      <w:r w:rsidR="00CB2444" w:rsidRPr="003D1E07">
        <w:rPr>
          <w:lang w:eastAsia="en-US"/>
        </w:rPr>
        <w:t>. E</w:t>
      </w:r>
      <w:r w:rsidRPr="003D1E07">
        <w:rPr>
          <w:lang w:eastAsia="en-US"/>
        </w:rPr>
        <w:t xml:space="preserve">minentní antický vykladač Aristotela chápal </w:t>
      </w:r>
      <w:r w:rsidR="00CB2444" w:rsidRPr="003D1E07">
        <w:rPr>
          <w:lang w:eastAsia="en-US"/>
        </w:rPr>
        <w:t xml:space="preserve">jejich vztah </w:t>
      </w:r>
      <w:r w:rsidRPr="003D1E07">
        <w:rPr>
          <w:lang w:eastAsia="en-US"/>
        </w:rPr>
        <w:t xml:space="preserve">disjunktivně. </w:t>
      </w:r>
      <w:r w:rsidR="002E3B62" w:rsidRPr="003D1E07">
        <w:rPr>
          <w:lang w:eastAsia="en-US"/>
        </w:rPr>
        <w:t>Averroes</w:t>
      </w:r>
      <w:r w:rsidR="004268EE" w:rsidRPr="003D1E07">
        <w:t xml:space="preserve">ův </w:t>
      </w:r>
      <w:r w:rsidR="005B70E9" w:rsidRPr="003D1E07">
        <w:rPr>
          <w:i/>
        </w:rPr>
        <w:t>V</w:t>
      </w:r>
      <w:r w:rsidR="004268EE" w:rsidRPr="003D1E07">
        <w:rPr>
          <w:i/>
        </w:rPr>
        <w:t>elký komentář Metafyzi</w:t>
      </w:r>
      <w:r w:rsidR="002212DE" w:rsidRPr="003D1E07">
        <w:rPr>
          <w:i/>
        </w:rPr>
        <w:t>ky</w:t>
      </w:r>
      <w:r w:rsidR="004268EE" w:rsidRPr="003D1E07">
        <w:t xml:space="preserve"> vychází z jiného pojetí než Avicenna (</w:t>
      </w:r>
      <w:r w:rsidR="004268EE" w:rsidRPr="003D1E07">
        <w:rPr>
          <w:i/>
          <w:lang w:eastAsia="en-US"/>
        </w:rPr>
        <w:t>this obscurity that misled Ibn Sīn</w:t>
      </w:r>
      <w:r w:rsidR="004268EE" w:rsidRPr="003D1E07">
        <w:rPr>
          <w:i/>
          <w:iCs/>
        </w:rPr>
        <w:t>ā</w:t>
      </w:r>
      <w:r w:rsidR="004268EE" w:rsidRPr="003D1E07">
        <w:t>), a upřesňuje Alexandrovo pojetí (</w:t>
      </w:r>
      <w:r w:rsidR="004268EE" w:rsidRPr="003D1E07">
        <w:rPr>
          <w:i/>
          <w:lang w:eastAsia="en-US"/>
        </w:rPr>
        <w:t>unless one establishes this distinction</w:t>
      </w:r>
      <w:r w:rsidR="004268EE" w:rsidRPr="003D1E07">
        <w:t xml:space="preserve">). </w:t>
      </w:r>
      <w:r w:rsidR="002E3B62" w:rsidRPr="003D1E07">
        <w:rPr>
          <w:lang w:eastAsia="en-US"/>
        </w:rPr>
        <w:t>Averroes</w:t>
      </w:r>
      <w:r w:rsidR="08BE41B4" w:rsidRPr="003D1E07">
        <w:rPr>
          <w:lang w:eastAsia="en-US"/>
        </w:rPr>
        <w:t xml:space="preserve"> tvrdí, že existuje jeden</w:t>
      </w:r>
      <w:r w:rsidR="006A471D" w:rsidRPr="003D1E07">
        <w:rPr>
          <w:lang w:eastAsia="en-US"/>
        </w:rPr>
        <w:t xml:space="preserve"> společný</w:t>
      </w:r>
      <w:r w:rsidR="08BE41B4" w:rsidRPr="003D1E07">
        <w:rPr>
          <w:lang w:eastAsia="en-US"/>
        </w:rPr>
        <w:t xml:space="preserve"> předmět první vědy (</w:t>
      </w:r>
      <w:r w:rsidR="08BE41B4" w:rsidRPr="003D1E07">
        <w:rPr>
          <w:i/>
          <w:lang w:eastAsia="en-US"/>
        </w:rPr>
        <w:t>two sciences are different... not in their being</w:t>
      </w:r>
      <w:r w:rsidR="08BE41B4" w:rsidRPr="003D1E07">
        <w:rPr>
          <w:lang w:eastAsia="en-US"/>
        </w:rPr>
        <w:t xml:space="preserve">), kterým je zkoumání tří druhů substance. </w:t>
      </w:r>
      <w:r w:rsidR="080258A3" w:rsidRPr="003D1E07">
        <w:rPr>
          <w:lang w:eastAsia="en-US"/>
        </w:rPr>
        <w:t xml:space="preserve">Ibn Rušd mluví o trojím rozdělení </w:t>
      </w:r>
      <w:r w:rsidR="08671F3D" w:rsidRPr="003D1E07">
        <w:rPr>
          <w:lang w:eastAsia="en-US"/>
        </w:rPr>
        <w:t xml:space="preserve">reálné první </w:t>
      </w:r>
      <w:r w:rsidR="080258A3" w:rsidRPr="003D1E07">
        <w:rPr>
          <w:lang w:eastAsia="en-US"/>
        </w:rPr>
        <w:t>substance: pohybli</w:t>
      </w:r>
      <w:r w:rsidR="00DF1155" w:rsidRPr="003D1E07">
        <w:rPr>
          <w:lang w:eastAsia="en-US"/>
        </w:rPr>
        <w:t>vé</w:t>
      </w:r>
      <w:r w:rsidR="080258A3" w:rsidRPr="003D1E07">
        <w:rPr>
          <w:lang w:eastAsia="en-US"/>
        </w:rPr>
        <w:t xml:space="preserve"> </w:t>
      </w:r>
      <w:r w:rsidR="00DF1155" w:rsidRPr="003D1E07">
        <w:rPr>
          <w:lang w:eastAsia="en-US"/>
        </w:rPr>
        <w:t>pomíjivé substance</w:t>
      </w:r>
      <w:r w:rsidR="080258A3" w:rsidRPr="003D1E07">
        <w:rPr>
          <w:lang w:eastAsia="en-US"/>
        </w:rPr>
        <w:t>, pohybli</w:t>
      </w:r>
      <w:r w:rsidR="00DF1155" w:rsidRPr="003D1E07">
        <w:rPr>
          <w:lang w:eastAsia="en-US"/>
        </w:rPr>
        <w:t>vé věčné substance</w:t>
      </w:r>
      <w:r w:rsidR="080258A3" w:rsidRPr="003D1E07">
        <w:rPr>
          <w:lang w:eastAsia="en-US"/>
        </w:rPr>
        <w:t>, nehybná substance</w:t>
      </w:r>
      <w:r w:rsidR="08EC48F8" w:rsidRPr="003D1E07">
        <w:rPr>
          <w:lang w:eastAsia="en-US"/>
        </w:rPr>
        <w:t xml:space="preserve"> jako první příčina pohybu</w:t>
      </w:r>
      <w:r w:rsidR="080258A3" w:rsidRPr="003D1E07">
        <w:rPr>
          <w:lang w:eastAsia="en-US"/>
        </w:rPr>
        <w:t xml:space="preserve">. </w:t>
      </w:r>
      <w:r w:rsidR="08EC48F8" w:rsidRPr="003D1E07">
        <w:rPr>
          <w:lang w:eastAsia="en-US"/>
        </w:rPr>
        <w:t xml:space="preserve">Monoteistický bůh poznaný skrze zjevení </w:t>
      </w:r>
      <w:r w:rsidR="00E07F42">
        <w:rPr>
          <w:lang w:eastAsia="en-US"/>
        </w:rPr>
        <w:t xml:space="preserve">proroků </w:t>
      </w:r>
      <w:r w:rsidR="08EC48F8" w:rsidRPr="003D1E07">
        <w:rPr>
          <w:lang w:eastAsia="en-US"/>
        </w:rPr>
        <w:t xml:space="preserve">existuje odděleně od poznání první filosofie. Metafyzika odpovídá v řádu přirozeného poznání pouze na otázku po prvních příčinách bytí substance. </w:t>
      </w:r>
      <w:r w:rsidR="08E144F2" w:rsidRPr="003D1E07">
        <w:rPr>
          <w:lang w:eastAsia="en-US"/>
        </w:rPr>
        <w:t xml:space="preserve">V řádu jsoucna existují </w:t>
      </w:r>
      <w:r w:rsidR="00EF6EAB" w:rsidRPr="003D1E07">
        <w:rPr>
          <w:lang w:eastAsia="en-US"/>
        </w:rPr>
        <w:t>materiál</w:t>
      </w:r>
      <w:r w:rsidR="006D7B0F" w:rsidRPr="003D1E07">
        <w:rPr>
          <w:lang w:eastAsia="en-US"/>
        </w:rPr>
        <w:t>ní a nemater</w:t>
      </w:r>
      <w:r w:rsidR="00C0024A">
        <w:rPr>
          <w:lang w:eastAsia="en-US"/>
        </w:rPr>
        <w:t>i</w:t>
      </w:r>
      <w:r w:rsidR="006D7B0F" w:rsidRPr="003D1E07">
        <w:rPr>
          <w:lang w:eastAsia="en-US"/>
        </w:rPr>
        <w:t xml:space="preserve">ální </w:t>
      </w:r>
      <w:r w:rsidR="08E144F2" w:rsidRPr="003D1E07">
        <w:t xml:space="preserve">substance a nakonec i jedinečná oddělená nemateriální substance. </w:t>
      </w:r>
      <w:r w:rsidR="082D3E35" w:rsidRPr="003D1E07">
        <w:rPr>
          <w:lang w:eastAsia="en-US"/>
        </w:rPr>
        <w:t xml:space="preserve">Všechny tři substance reálně existují v řádu prvních substancí, jak je definuje spis </w:t>
      </w:r>
      <w:r w:rsidR="082D3E35" w:rsidRPr="003D1E07">
        <w:rPr>
          <w:i/>
          <w:lang w:eastAsia="en-US"/>
        </w:rPr>
        <w:t>Kategorie</w:t>
      </w:r>
      <w:r w:rsidR="008A08F7">
        <w:rPr>
          <w:lang w:eastAsia="en-US"/>
        </w:rPr>
        <w:t xml:space="preserve">, tedy v jejich </w:t>
      </w:r>
      <w:r w:rsidR="082D3E35" w:rsidRPr="003D1E07">
        <w:rPr>
          <w:lang w:eastAsia="en-US"/>
        </w:rPr>
        <w:t xml:space="preserve">původní a reálně dané </w:t>
      </w:r>
      <w:r w:rsidR="08226779" w:rsidRPr="003D1E07">
        <w:rPr>
          <w:lang w:eastAsia="en-US"/>
        </w:rPr>
        <w:t>jednoduchosti (kap. 1.3</w:t>
      </w:r>
      <w:r w:rsidR="082D3E35" w:rsidRPr="003D1E07">
        <w:rPr>
          <w:lang w:eastAsia="en-US"/>
        </w:rPr>
        <w:t xml:space="preserve">). Oddělená první substance má jedinečné vlastní bytí a přitom je zdrojem pohybu pro ostatní podřazené sféry. </w:t>
      </w:r>
      <w:r w:rsidR="082D3E35" w:rsidRPr="003D1E07">
        <w:t xml:space="preserve">Na tuto první </w:t>
      </w:r>
      <w:r w:rsidR="0864299E" w:rsidRPr="003D1E07">
        <w:t xml:space="preserve">oddělenou a nehybnou </w:t>
      </w:r>
      <w:r w:rsidR="082D3E35" w:rsidRPr="003D1E07">
        <w:t xml:space="preserve">substanci danou </w:t>
      </w:r>
      <w:r w:rsidR="082D3E35" w:rsidRPr="003D1E07">
        <w:rPr>
          <w:i/>
        </w:rPr>
        <w:t>per prius</w:t>
      </w:r>
      <w:r w:rsidR="082D3E35" w:rsidRPr="003D1E07">
        <w:t xml:space="preserve"> </w:t>
      </w:r>
      <w:r w:rsidR="086E0666" w:rsidRPr="003D1E07">
        <w:t xml:space="preserve">jsou možné dva různé náhledy proto, že </w:t>
      </w:r>
      <w:r w:rsidR="086E0666" w:rsidRPr="003D1E07">
        <w:rPr>
          <w:lang w:eastAsia="en-US"/>
        </w:rPr>
        <w:t xml:space="preserve">existují dva různé </w:t>
      </w:r>
      <w:r w:rsidR="0864299E" w:rsidRPr="003D1E07">
        <w:rPr>
          <w:lang w:eastAsia="en-US"/>
        </w:rPr>
        <w:t xml:space="preserve">vědecké </w:t>
      </w:r>
      <w:r w:rsidR="086E0666" w:rsidRPr="003D1E07">
        <w:rPr>
          <w:lang w:eastAsia="en-US"/>
        </w:rPr>
        <w:t>pohledy na bytí první substance (</w:t>
      </w:r>
      <w:r w:rsidR="086E0666" w:rsidRPr="003D1E07">
        <w:rPr>
          <w:i/>
          <w:lang w:eastAsia="en-US"/>
        </w:rPr>
        <w:t>two sciences are different... in the manner one envisages them only</w:t>
      </w:r>
      <w:r w:rsidR="086E0666" w:rsidRPr="003D1E07">
        <w:rPr>
          <w:lang w:eastAsia="en-US"/>
        </w:rPr>
        <w:t xml:space="preserve">). </w:t>
      </w:r>
      <w:r w:rsidR="088E7DEB" w:rsidRPr="003D1E07">
        <w:rPr>
          <w:lang w:eastAsia="en-US"/>
        </w:rPr>
        <w:t xml:space="preserve">První pohled na nehybnou nemateriální substanci dává fyzika a druhý metafyzika. </w:t>
      </w:r>
      <w:r w:rsidR="082D3E35" w:rsidRPr="003D1E07">
        <w:t xml:space="preserve">Fyzika zkoumá první oddělenou substanci </w:t>
      </w:r>
      <w:r w:rsidR="082D3E35" w:rsidRPr="003D1E07">
        <w:rPr>
          <w:lang w:eastAsia="en-US"/>
        </w:rPr>
        <w:t>z hlediska kauzality jako první příčinu kosmického pohybu, vznikání a zanikání. Metafyzika definuje tuto první substanci z hlediska prvních principů poznání a bytí</w:t>
      </w:r>
      <w:r w:rsidR="00100825" w:rsidRPr="003D1E07">
        <w:rPr>
          <w:lang w:eastAsia="en-US"/>
        </w:rPr>
        <w:t xml:space="preserve"> jsoucna</w:t>
      </w:r>
      <w:r w:rsidR="082D3E35" w:rsidRPr="003D1E07">
        <w:rPr>
          <w:lang w:eastAsia="en-US"/>
        </w:rPr>
        <w:t xml:space="preserve">. Tato jednota předmětu zkoumání první vědy umožňuje dvojí náhled na </w:t>
      </w:r>
      <w:r w:rsidR="088E7DEB" w:rsidRPr="003D1E07">
        <w:rPr>
          <w:lang w:eastAsia="en-US"/>
        </w:rPr>
        <w:t xml:space="preserve">každou </w:t>
      </w:r>
      <w:r w:rsidR="082D3E35" w:rsidRPr="003D1E07">
        <w:rPr>
          <w:lang w:eastAsia="en-US"/>
        </w:rPr>
        <w:t>první substanci</w:t>
      </w:r>
      <w:r w:rsidR="088E7DEB" w:rsidRPr="003D1E07">
        <w:rPr>
          <w:lang w:eastAsia="en-US"/>
        </w:rPr>
        <w:t xml:space="preserve"> </w:t>
      </w:r>
      <w:r w:rsidR="082D3E35" w:rsidRPr="003D1E07">
        <w:rPr>
          <w:lang w:eastAsia="en-US"/>
        </w:rPr>
        <w:t xml:space="preserve">z hlediska pohybu </w:t>
      </w:r>
      <w:r w:rsidR="08096EEB" w:rsidRPr="003D1E07">
        <w:rPr>
          <w:lang w:eastAsia="en-US"/>
        </w:rPr>
        <w:t xml:space="preserve">(fyzika) </w:t>
      </w:r>
      <w:r w:rsidR="082D3E35" w:rsidRPr="003D1E07">
        <w:rPr>
          <w:lang w:eastAsia="en-US"/>
        </w:rPr>
        <w:t>a z hlediska prvních principů</w:t>
      </w:r>
      <w:r w:rsidR="08096EEB" w:rsidRPr="003D1E07">
        <w:rPr>
          <w:lang w:eastAsia="en-US"/>
        </w:rPr>
        <w:t xml:space="preserve"> (metafyzika)</w:t>
      </w:r>
      <w:r w:rsidR="082D3E35" w:rsidRPr="003D1E07">
        <w:rPr>
          <w:lang w:eastAsia="en-US"/>
        </w:rPr>
        <w:t xml:space="preserve">. </w:t>
      </w:r>
      <w:r w:rsidR="08096EEB" w:rsidRPr="003D1E07">
        <w:rPr>
          <w:lang w:eastAsia="en-US"/>
        </w:rPr>
        <w:t xml:space="preserve">První věda </w:t>
      </w:r>
      <w:r w:rsidR="08816A56" w:rsidRPr="003D1E07">
        <w:rPr>
          <w:lang w:eastAsia="en-US"/>
        </w:rPr>
        <w:t>zkoumající reálnou jedno</w:t>
      </w:r>
      <w:r w:rsidR="083F3AEB" w:rsidRPr="003D1E07">
        <w:rPr>
          <w:lang w:eastAsia="en-US"/>
        </w:rPr>
        <w:t xml:space="preserve">tu </w:t>
      </w:r>
      <w:r w:rsidR="083F3AEB" w:rsidRPr="003D1E07">
        <w:rPr>
          <w:lang w:eastAsia="en-US"/>
        </w:rPr>
        <w:lastRenderedPageBreak/>
        <w:t xml:space="preserve">první substance existuje </w:t>
      </w:r>
      <w:r w:rsidR="08816A56" w:rsidRPr="003D1E07">
        <w:rPr>
          <w:lang w:eastAsia="en-US"/>
        </w:rPr>
        <w:t xml:space="preserve">proto, že </w:t>
      </w:r>
      <w:r w:rsidR="08635AAC" w:rsidRPr="003D1E07">
        <w:rPr>
          <w:lang w:eastAsia="en-US"/>
        </w:rPr>
        <w:t xml:space="preserve">její zkoumání </w:t>
      </w:r>
      <w:r w:rsidR="08816A56" w:rsidRPr="003D1E07">
        <w:rPr>
          <w:lang w:eastAsia="en-US"/>
        </w:rPr>
        <w:t>vychází z fyziky reálných těles. Proto je metafyzika aristotelskou první vědou</w:t>
      </w:r>
      <w:r w:rsidR="08131721" w:rsidRPr="003D1E07">
        <w:rPr>
          <w:lang w:eastAsia="en-US"/>
        </w:rPr>
        <w:t xml:space="preserve"> podle v</w:t>
      </w:r>
      <w:r w:rsidR="08E97184" w:rsidRPr="003D1E07">
        <w:rPr>
          <w:lang w:eastAsia="en-US"/>
        </w:rPr>
        <w:t>ě</w:t>
      </w:r>
      <w:r w:rsidR="08131721" w:rsidRPr="003D1E07">
        <w:rPr>
          <w:lang w:eastAsia="en-US"/>
        </w:rPr>
        <w:t xml:space="preserve">decké metodiky </w:t>
      </w:r>
      <w:r w:rsidR="08131721" w:rsidRPr="003D1E07">
        <w:rPr>
          <w:i/>
          <w:lang w:eastAsia="en-US"/>
        </w:rPr>
        <w:t>Druhých analytik</w:t>
      </w:r>
      <w:r w:rsidR="08816A56" w:rsidRPr="003D1E07">
        <w:rPr>
          <w:lang w:eastAsia="en-US"/>
        </w:rPr>
        <w:t xml:space="preserve">, a ne </w:t>
      </w:r>
      <w:r w:rsidR="08834B64" w:rsidRPr="003D1E07">
        <w:rPr>
          <w:lang w:eastAsia="en-US"/>
        </w:rPr>
        <w:t xml:space="preserve">v aktu </w:t>
      </w:r>
      <w:r w:rsidR="08816A56" w:rsidRPr="003D1E07">
        <w:rPr>
          <w:lang w:eastAsia="en-US"/>
        </w:rPr>
        <w:t>avicennistick</w:t>
      </w:r>
      <w:r w:rsidR="08834B64" w:rsidRPr="003D1E07">
        <w:rPr>
          <w:lang w:eastAsia="en-US"/>
        </w:rPr>
        <w:t>é</w:t>
      </w:r>
      <w:r w:rsidR="08816A56" w:rsidRPr="003D1E07">
        <w:rPr>
          <w:lang w:eastAsia="en-US"/>
        </w:rPr>
        <w:t xml:space="preserve"> spekulac</w:t>
      </w:r>
      <w:r w:rsidR="08834B64" w:rsidRPr="003D1E07">
        <w:rPr>
          <w:lang w:eastAsia="en-US"/>
        </w:rPr>
        <w:t>e</w:t>
      </w:r>
      <w:r w:rsidR="08131721" w:rsidRPr="003D1E07">
        <w:rPr>
          <w:lang w:eastAsia="en-US"/>
        </w:rPr>
        <w:t xml:space="preserve"> dan</w:t>
      </w:r>
      <w:r w:rsidR="08834B64" w:rsidRPr="003D1E07">
        <w:rPr>
          <w:lang w:eastAsia="en-US"/>
        </w:rPr>
        <w:t>é</w:t>
      </w:r>
      <w:r w:rsidR="08131721" w:rsidRPr="003D1E07">
        <w:rPr>
          <w:lang w:eastAsia="en-US"/>
        </w:rPr>
        <w:t xml:space="preserve"> mystickým náhledem na </w:t>
      </w:r>
      <w:r w:rsidR="08866806" w:rsidRPr="003D1E07">
        <w:rPr>
          <w:lang w:eastAsia="en-US"/>
        </w:rPr>
        <w:t xml:space="preserve">amfibolní </w:t>
      </w:r>
      <w:r w:rsidR="08131721" w:rsidRPr="003D1E07">
        <w:rPr>
          <w:lang w:eastAsia="en-US"/>
        </w:rPr>
        <w:t>vlastnosti jsoucna</w:t>
      </w:r>
      <w:r w:rsidR="08816A56" w:rsidRPr="003D1E07">
        <w:rPr>
          <w:lang w:eastAsia="en-US"/>
        </w:rPr>
        <w:t xml:space="preserve">. </w:t>
      </w:r>
      <w:r w:rsidR="08751820" w:rsidRPr="003D1E07">
        <w:rPr>
          <w:lang w:eastAsia="en-US"/>
        </w:rPr>
        <w:t xml:space="preserve">Proto se tyto vědy nemohou lišit principiálně, jak to mylně postuloval Avicenna a jak to nedomyslel Alexander. Oba myslitelé jsou kritizováni za to, že zatemnili vztah myšlení k první substanci. </w:t>
      </w:r>
      <w:r w:rsidR="08806001" w:rsidRPr="003D1E07">
        <w:rPr>
          <w:lang w:eastAsia="en-US"/>
        </w:rPr>
        <w:t xml:space="preserve">Komentátor </w:t>
      </w:r>
      <w:r w:rsidR="009C7E03" w:rsidRPr="003D1E07">
        <w:rPr>
          <w:lang w:eastAsia="en-US"/>
        </w:rPr>
        <w:t>završuje část Al-</w:t>
      </w:r>
      <w:r w:rsidR="008E02F5" w:rsidRPr="003D1E07">
        <w:rPr>
          <w:lang w:eastAsia="en-US"/>
        </w:rPr>
        <w:t>Fárábí</w:t>
      </w:r>
      <w:r w:rsidR="009C7E03" w:rsidRPr="003D1E07">
        <w:rPr>
          <w:lang w:eastAsia="en-US"/>
        </w:rPr>
        <w:t>ho projektu metafyziky, kterou již obsahuje Al-</w:t>
      </w:r>
      <w:r w:rsidR="008E02F5" w:rsidRPr="003D1E07">
        <w:rPr>
          <w:lang w:eastAsia="en-US"/>
        </w:rPr>
        <w:t>Fárábí</w:t>
      </w:r>
      <w:r w:rsidR="009C7E03" w:rsidRPr="003D1E07">
        <w:rPr>
          <w:lang w:eastAsia="en-US"/>
        </w:rPr>
        <w:t xml:space="preserve">ho spis  </w:t>
      </w:r>
      <w:r w:rsidR="009C7E03" w:rsidRPr="003D1E07">
        <w:rPr>
          <w:i/>
          <w:lang w:eastAsia="en-US"/>
        </w:rPr>
        <w:t>De ortu scientiarum</w:t>
      </w:r>
      <w:r w:rsidR="009C7E03" w:rsidRPr="003D1E07">
        <w:rPr>
          <w:lang w:eastAsia="en-US"/>
        </w:rPr>
        <w:t xml:space="preserve"> (kap. 2.1). M</w:t>
      </w:r>
      <w:r w:rsidR="009C7E03" w:rsidRPr="003D1E07">
        <w:t>áme jednu věčnou, oddělenou a nehybnou substanci</w:t>
      </w:r>
      <w:r w:rsidR="009C7E03" w:rsidRPr="003D1E07">
        <w:rPr>
          <w:i/>
          <w:lang w:eastAsia="en-US"/>
        </w:rPr>
        <w:fldChar w:fldCharType="begin"/>
      </w:r>
      <w:r w:rsidR="009C7E03" w:rsidRPr="003D1E07">
        <w:instrText xml:space="preserve"> XE "substance:nehybná" </w:instrText>
      </w:r>
      <w:r w:rsidR="009C7E03" w:rsidRPr="003D1E07">
        <w:rPr>
          <w:i/>
          <w:lang w:eastAsia="en-US"/>
        </w:rPr>
        <w:fldChar w:fldCharType="end"/>
      </w:r>
      <w:r w:rsidR="009C7E03" w:rsidRPr="003D1E07">
        <w:t xml:space="preserve">, kterou zkoumá jak poslední </w:t>
      </w:r>
      <w:r w:rsidR="088610A6" w:rsidRPr="003D1E07">
        <w:t xml:space="preserve">osmá </w:t>
      </w:r>
      <w:r w:rsidR="009C7E03" w:rsidRPr="003D1E07">
        <w:t xml:space="preserve">kniha </w:t>
      </w:r>
      <w:r w:rsidR="009C7E03" w:rsidRPr="003D1E07">
        <w:rPr>
          <w:i/>
        </w:rPr>
        <w:t>Fyziky</w:t>
      </w:r>
      <w:r w:rsidR="009C7E03" w:rsidRPr="003D1E07">
        <w:t xml:space="preserve">, tak </w:t>
      </w:r>
      <w:r w:rsidR="009C7E03" w:rsidRPr="003D1E07">
        <w:rPr>
          <w:i/>
        </w:rPr>
        <w:t>Metafyzika</w:t>
      </w:r>
      <w:r w:rsidR="009C7E03" w:rsidRPr="003D1E07">
        <w:rPr>
          <w:lang w:eastAsia="en-US"/>
        </w:rPr>
        <w:t xml:space="preserve"> Z, H a pochopitelně kniha </w:t>
      </w:r>
      <w:r w:rsidR="009C7E03" w:rsidRPr="003D1E07">
        <w:rPr>
          <w:i/>
          <w:lang w:eastAsia="en-US"/>
        </w:rPr>
        <w:t>Lambda</w:t>
      </w:r>
      <w:r w:rsidR="009C7E03" w:rsidRPr="003D1E07">
        <w:rPr>
          <w:lang w:eastAsia="en-US"/>
        </w:rPr>
        <w:t xml:space="preserve">. </w:t>
      </w:r>
      <w:r w:rsidR="002E3B62" w:rsidRPr="003D1E07">
        <w:rPr>
          <w:lang w:eastAsia="en-US"/>
        </w:rPr>
        <w:t>Averroes</w:t>
      </w:r>
      <w:r w:rsidR="009C7E03" w:rsidRPr="003D1E07">
        <w:rPr>
          <w:lang w:eastAsia="en-US"/>
        </w:rPr>
        <w:t xml:space="preserve"> zkoumá první substanci nejprve ve fyzice a poté i skrze metafyziku. </w:t>
      </w:r>
      <w:r w:rsidR="00505AB7" w:rsidRPr="003D1E07">
        <w:t xml:space="preserve">Avicenna </w:t>
      </w:r>
      <w:r w:rsidR="009C7E03" w:rsidRPr="003D1E07">
        <w:t xml:space="preserve">naopak </w:t>
      </w:r>
      <w:r w:rsidR="0807525B" w:rsidRPr="003D1E07">
        <w:t xml:space="preserve">oddělil první vědu od fyziky a tím ztratil její vědecký charakter daný </w:t>
      </w:r>
      <w:r w:rsidR="088610A6" w:rsidRPr="003D1E07">
        <w:t xml:space="preserve">zakládajícím významem </w:t>
      </w:r>
      <w:r w:rsidR="0807525B" w:rsidRPr="003D1E07">
        <w:t xml:space="preserve">reálné první substance. </w:t>
      </w:r>
      <w:r w:rsidR="088610A6" w:rsidRPr="003D1E07">
        <w:t xml:space="preserve">Avicennova </w:t>
      </w:r>
      <w:r w:rsidR="0807525B" w:rsidRPr="003D1E07">
        <w:t xml:space="preserve">denudace </w:t>
      </w:r>
      <w:r w:rsidR="00505AB7" w:rsidRPr="003D1E07">
        <w:t xml:space="preserve">směšuje </w:t>
      </w:r>
      <w:r w:rsidR="002071B3">
        <w:t xml:space="preserve">koncept </w:t>
      </w:r>
      <w:r w:rsidR="00EF2FC9" w:rsidRPr="003D1E07">
        <w:t xml:space="preserve">substance jako </w:t>
      </w:r>
      <w:r w:rsidR="00636BD4" w:rsidRPr="003D1E07">
        <w:t>genus</w:t>
      </w:r>
      <w:r w:rsidR="004A1292" w:rsidRPr="003D1E07">
        <w:t xml:space="preserve"> s existencí</w:t>
      </w:r>
      <w:r w:rsidR="00505AB7" w:rsidRPr="003D1E07">
        <w:t xml:space="preserve"> jedinečné jednotliviny. </w:t>
      </w:r>
      <w:r w:rsidR="087E6CA2" w:rsidRPr="003D1E07">
        <w:t xml:space="preserve">Jsoucno třetího druhu vzniklo tím, že Avicenna </w:t>
      </w:r>
      <w:r w:rsidR="0807525B" w:rsidRPr="003D1E07">
        <w:t xml:space="preserve">spojil </w:t>
      </w:r>
      <w:r w:rsidR="00F31046" w:rsidRPr="003D1E07">
        <w:t>kategoriální predikaci</w:t>
      </w:r>
      <w:r w:rsidR="00EF2FC9" w:rsidRPr="003D1E07">
        <w:t xml:space="preserve"> </w:t>
      </w:r>
      <w:r w:rsidR="00EF2FC9" w:rsidRPr="003D1E07">
        <w:rPr>
          <w:i/>
        </w:rPr>
        <w:t>per prius</w:t>
      </w:r>
      <w:r w:rsidR="00EF2FC9" w:rsidRPr="003D1E07">
        <w:t xml:space="preserve"> pro substanci a </w:t>
      </w:r>
      <w:r w:rsidR="00F65B65" w:rsidRPr="003D1E07">
        <w:t xml:space="preserve">predikaci </w:t>
      </w:r>
      <w:r w:rsidR="00EF2FC9" w:rsidRPr="003D1E07">
        <w:rPr>
          <w:i/>
        </w:rPr>
        <w:t>per posterius</w:t>
      </w:r>
      <w:r w:rsidR="00EF2FC9" w:rsidRPr="003D1E07">
        <w:t xml:space="preserve"> p</w:t>
      </w:r>
      <w:r w:rsidR="00505AB7" w:rsidRPr="003D1E07">
        <w:t>ro její akcidenty</w:t>
      </w:r>
      <w:r w:rsidR="0053669D">
        <w:t xml:space="preserve">, a </w:t>
      </w:r>
      <w:r w:rsidR="003E21E3" w:rsidRPr="003D1E07">
        <w:t>navíc vy</w:t>
      </w:r>
      <w:r w:rsidR="006D314E" w:rsidRPr="003D1E07">
        <w:t xml:space="preserve">tvořil falešnou </w:t>
      </w:r>
      <w:r w:rsidR="00EF2FC9" w:rsidRPr="003D1E07">
        <w:t>analogickou jednotu</w:t>
      </w:r>
      <w:r w:rsidR="007C03D0" w:rsidRPr="003D1E07">
        <w:t xml:space="preserve"> bytí</w:t>
      </w:r>
      <w:r w:rsidR="0053669D">
        <w:t xml:space="preserve">. Universální </w:t>
      </w:r>
      <w:r w:rsidR="006D314E" w:rsidRPr="003D1E07">
        <w:t>esenc</w:t>
      </w:r>
      <w:r w:rsidR="0053669D">
        <w:t>e</w:t>
      </w:r>
      <w:r w:rsidR="009665F7" w:rsidRPr="003D1E07">
        <w:t xml:space="preserve"> </w:t>
      </w:r>
      <w:r w:rsidR="006D314E" w:rsidRPr="003D1E07">
        <w:t>a jedinečné bytí reálné věci</w:t>
      </w:r>
      <w:r w:rsidR="088C346D" w:rsidRPr="003D1E07">
        <w:t xml:space="preserve"> </w:t>
      </w:r>
      <w:r w:rsidR="0053669D">
        <w:t>se pojilo do čistého bytí jsoucna jako „</w:t>
      </w:r>
      <w:r w:rsidR="088C346D" w:rsidRPr="003D1E07">
        <w:rPr>
          <w:i/>
        </w:rPr>
        <w:t>hoc esse tantum</w:t>
      </w:r>
      <w:r w:rsidR="0053669D">
        <w:t>“</w:t>
      </w:r>
      <w:r w:rsidR="00152B9D">
        <w:t>.</w:t>
      </w:r>
      <w:r w:rsidR="000D5954" w:rsidRPr="003D1E07">
        <w:rPr>
          <w:lang w:eastAsia="en-US"/>
        </w:rPr>
        <w:t xml:space="preserve"> </w:t>
      </w:r>
      <w:r w:rsidR="007F1821" w:rsidRPr="003D1E07">
        <w:rPr>
          <w:lang w:eastAsia="en-US"/>
        </w:rPr>
        <w:t xml:space="preserve">Výsledkem </w:t>
      </w:r>
      <w:r w:rsidR="007C03D0" w:rsidRPr="003D1E07">
        <w:rPr>
          <w:lang w:eastAsia="en-US"/>
        </w:rPr>
        <w:t xml:space="preserve">těchto </w:t>
      </w:r>
      <w:r w:rsidR="08EC5415" w:rsidRPr="003D1E07">
        <w:rPr>
          <w:lang w:eastAsia="en-US"/>
        </w:rPr>
        <w:t xml:space="preserve">fundamentálních omylů </w:t>
      </w:r>
      <w:r w:rsidR="007F1821" w:rsidRPr="003D1E07">
        <w:rPr>
          <w:lang w:eastAsia="en-US"/>
        </w:rPr>
        <w:t xml:space="preserve">je </w:t>
      </w:r>
      <w:r w:rsidR="00427867" w:rsidRPr="003D1E07">
        <w:rPr>
          <w:lang w:eastAsia="en-US"/>
        </w:rPr>
        <w:t xml:space="preserve">podle </w:t>
      </w:r>
      <w:r w:rsidR="002E3B62" w:rsidRPr="003D1E07">
        <w:rPr>
          <w:lang w:eastAsia="en-US"/>
        </w:rPr>
        <w:t>Averroes</w:t>
      </w:r>
      <w:r w:rsidR="00427867" w:rsidRPr="003D1E07">
        <w:rPr>
          <w:lang w:eastAsia="en-US"/>
        </w:rPr>
        <w:t xml:space="preserve">e </w:t>
      </w:r>
      <w:r w:rsidR="007F1821" w:rsidRPr="003D1E07">
        <w:rPr>
          <w:lang w:eastAsia="en-US"/>
        </w:rPr>
        <w:t xml:space="preserve">obskurní metafyzika, která nerespektuje základní principy </w:t>
      </w:r>
      <w:r w:rsidR="08140544" w:rsidRPr="003D1E07">
        <w:rPr>
          <w:lang w:eastAsia="en-US"/>
        </w:rPr>
        <w:t xml:space="preserve">aktuálního </w:t>
      </w:r>
      <w:r w:rsidR="007F1821" w:rsidRPr="003D1E07">
        <w:rPr>
          <w:lang w:eastAsia="en-US"/>
        </w:rPr>
        <w:t xml:space="preserve">bytí </w:t>
      </w:r>
      <w:r w:rsidR="08140544" w:rsidRPr="003D1E07">
        <w:rPr>
          <w:lang w:eastAsia="en-US"/>
        </w:rPr>
        <w:t xml:space="preserve">substance v realitě </w:t>
      </w:r>
      <w:r w:rsidR="007F1821" w:rsidRPr="003D1E07">
        <w:rPr>
          <w:lang w:eastAsia="en-US"/>
        </w:rPr>
        <w:t xml:space="preserve">a </w:t>
      </w:r>
      <w:r w:rsidR="08140544" w:rsidRPr="003D1E07">
        <w:rPr>
          <w:lang w:eastAsia="en-US"/>
        </w:rPr>
        <w:t xml:space="preserve">její </w:t>
      </w:r>
      <w:r w:rsidR="00F31046" w:rsidRPr="003D1E07">
        <w:rPr>
          <w:lang w:eastAsia="en-US"/>
        </w:rPr>
        <w:t>potenciální a univerzální signifikaci</w:t>
      </w:r>
      <w:r w:rsidR="08140544" w:rsidRPr="003D1E07">
        <w:rPr>
          <w:lang w:eastAsia="en-US"/>
        </w:rPr>
        <w:t xml:space="preserve"> v poznávajícím intelektu</w:t>
      </w:r>
      <w:r w:rsidR="007F1821" w:rsidRPr="003D1E07">
        <w:rPr>
          <w:lang w:eastAsia="en-US"/>
        </w:rPr>
        <w:t xml:space="preserve">. </w:t>
      </w:r>
      <w:r w:rsidR="087E6CA2" w:rsidRPr="003D1E07">
        <w:rPr>
          <w:szCs w:val="24"/>
        </w:rPr>
        <w:t xml:space="preserve">Ibn Rušd etabloval v plné síle aristotelský </w:t>
      </w:r>
      <w:r w:rsidR="089108A9" w:rsidRPr="003D1E07">
        <w:t xml:space="preserve">metafyzický </w:t>
      </w:r>
      <w:r w:rsidR="087E6CA2" w:rsidRPr="003D1E07">
        <w:rPr>
          <w:szCs w:val="24"/>
        </w:rPr>
        <w:t xml:space="preserve">dativ </w:t>
      </w:r>
      <w:r w:rsidR="087E6CA2" w:rsidRPr="003D1E07">
        <w:rPr>
          <w:szCs w:val="24"/>
        </w:rPr>
        <w:fldChar w:fldCharType="begin"/>
      </w:r>
      <w:r w:rsidR="087E6CA2" w:rsidRPr="003D1E07">
        <w:instrText xml:space="preserve"> XE "</w:instrText>
      </w:r>
      <w:r w:rsidR="089108A9" w:rsidRPr="003D1E07">
        <w:rPr>
          <w:i/>
        </w:rPr>
        <w:instrText>dativus metaphysi</w:instrText>
      </w:r>
      <w:r w:rsidR="087E6CA2" w:rsidRPr="003D1E07">
        <w:rPr>
          <w:i/>
        </w:rPr>
        <w:instrText>cus</w:instrText>
      </w:r>
      <w:r w:rsidR="087E6CA2" w:rsidRPr="003D1E07">
        <w:instrText xml:space="preserve">" </w:instrText>
      </w:r>
      <w:r w:rsidR="087E6CA2" w:rsidRPr="003D1E07">
        <w:rPr>
          <w:szCs w:val="24"/>
        </w:rPr>
        <w:fldChar w:fldCharType="end"/>
      </w:r>
      <w:r w:rsidR="087E6CA2" w:rsidRPr="003D1E07">
        <w:rPr>
          <w:szCs w:val="24"/>
        </w:rPr>
        <w:t xml:space="preserve">, který Druhý mistr respektoval v nedostatečné míře. </w:t>
      </w:r>
      <w:r w:rsidR="002E3B62" w:rsidRPr="003D1E07">
        <w:rPr>
          <w:lang w:eastAsia="en-US"/>
        </w:rPr>
        <w:t>Averroes</w:t>
      </w:r>
      <w:r w:rsidR="00FB1D3F" w:rsidRPr="003D1E07">
        <w:rPr>
          <w:lang w:eastAsia="en-US"/>
        </w:rPr>
        <w:t xml:space="preserve"> jasně konstatuje</w:t>
      </w:r>
      <w:r w:rsidR="00BE5F8F" w:rsidRPr="003D1E07">
        <w:rPr>
          <w:lang w:eastAsia="en-US"/>
        </w:rPr>
        <w:t xml:space="preserve">, že za </w:t>
      </w:r>
      <w:r w:rsidR="0804565A" w:rsidRPr="003D1E07">
        <w:rPr>
          <w:lang w:eastAsia="en-US"/>
        </w:rPr>
        <w:t xml:space="preserve">druhou </w:t>
      </w:r>
      <w:r w:rsidR="00BE5F8F" w:rsidRPr="003D1E07">
        <w:rPr>
          <w:lang w:eastAsia="en-US"/>
        </w:rPr>
        <w:t>substancí existuje pouze pluralita</w:t>
      </w:r>
      <w:r w:rsidR="0804565A" w:rsidRPr="003D1E07">
        <w:rPr>
          <w:lang w:eastAsia="en-US"/>
        </w:rPr>
        <w:t xml:space="preserve"> spekulativních významů</w:t>
      </w:r>
      <w:r w:rsidR="00BE5F8F" w:rsidRPr="003D1E07">
        <w:rPr>
          <w:lang w:eastAsia="en-US"/>
        </w:rPr>
        <w:t xml:space="preserve">, </w:t>
      </w:r>
      <w:r w:rsidR="00DB0841" w:rsidRPr="003D1E07">
        <w:rPr>
          <w:lang w:eastAsia="en-US"/>
        </w:rPr>
        <w:t xml:space="preserve">kde už </w:t>
      </w:r>
      <w:r w:rsidR="0804565A" w:rsidRPr="003D1E07">
        <w:rPr>
          <w:lang w:eastAsia="en-US"/>
        </w:rPr>
        <w:t xml:space="preserve">nelze </w:t>
      </w:r>
      <w:r w:rsidR="00BE5F8F" w:rsidRPr="003D1E07">
        <w:rPr>
          <w:lang w:eastAsia="en-US"/>
        </w:rPr>
        <w:t>kategoriálně predikovat jednotu jsoucna</w:t>
      </w:r>
      <w:r w:rsidR="0804565A" w:rsidRPr="003D1E07">
        <w:rPr>
          <w:lang w:eastAsia="en-US"/>
        </w:rPr>
        <w:t xml:space="preserve"> v modu univocity</w:t>
      </w:r>
      <w:r w:rsidR="00BE5F8F" w:rsidRPr="003D1E07">
        <w:rPr>
          <w:lang w:eastAsia="en-US"/>
        </w:rPr>
        <w:t xml:space="preserve">. Jednotu bytí za substancí lze chápat buď čistě homonymicky nebo nanejvýš analogicky. </w:t>
      </w:r>
      <w:r w:rsidR="004F56A2">
        <w:rPr>
          <w:lang w:eastAsia="en-US"/>
        </w:rPr>
        <w:t>Neexistuje univocita</w:t>
      </w:r>
      <w:r w:rsidR="08A81A3A" w:rsidRPr="003D1E07">
        <w:rPr>
          <w:lang w:eastAsia="en-US"/>
        </w:rPr>
        <w:t xml:space="preserve"> na úrovni transcend</w:t>
      </w:r>
      <w:r w:rsidR="083D2DE7" w:rsidRPr="003D1E07">
        <w:rPr>
          <w:lang w:eastAsia="en-US"/>
        </w:rPr>
        <w:t>e</w:t>
      </w:r>
      <w:r w:rsidR="08A81A3A" w:rsidRPr="003D1E07">
        <w:rPr>
          <w:lang w:eastAsia="en-US"/>
        </w:rPr>
        <w:t xml:space="preserve">ntální predikace </w:t>
      </w:r>
      <w:r w:rsidR="08A81A3A" w:rsidRPr="003D1E07">
        <w:rPr>
          <w:i/>
          <w:lang w:eastAsia="en-US"/>
        </w:rPr>
        <w:t>per prius</w:t>
      </w:r>
      <w:r w:rsidR="004F56A2">
        <w:rPr>
          <w:lang w:eastAsia="en-US"/>
        </w:rPr>
        <w:t xml:space="preserve">. Proto nelze </w:t>
      </w:r>
      <w:r w:rsidR="002734B9" w:rsidRPr="003D1E07">
        <w:rPr>
          <w:lang w:eastAsia="en-US"/>
        </w:rPr>
        <w:t xml:space="preserve">zkoumat nikoliv </w:t>
      </w:r>
      <w:r w:rsidR="00CE0CD0">
        <w:rPr>
          <w:lang w:eastAsia="en-US"/>
        </w:rPr>
        <w:t>jsoucno v jeho genericky pojaté jsoucnosti (</w:t>
      </w:r>
      <w:r w:rsidR="002734B9" w:rsidRPr="003D1E07">
        <w:rPr>
          <w:i/>
          <w:lang w:eastAsia="en-US"/>
        </w:rPr>
        <w:t>ens inquantum ens</w:t>
      </w:r>
      <w:r w:rsidR="00160B80" w:rsidRPr="003D1E07">
        <w:rPr>
          <w:i/>
          <w:lang w:eastAsia="en-US"/>
        </w:rPr>
        <w:fldChar w:fldCharType="begin"/>
      </w:r>
      <w:r w:rsidR="00160B80" w:rsidRPr="003D1E07">
        <w:instrText xml:space="preserve"> XE "</w:instrText>
      </w:r>
      <w:r w:rsidR="00160B80" w:rsidRPr="003D1E07">
        <w:rPr>
          <w:i/>
        </w:rPr>
        <w:instrText>ens inquantum ens</w:instrText>
      </w:r>
      <w:r w:rsidR="00160B80" w:rsidRPr="003D1E07">
        <w:instrText xml:space="preserve">" </w:instrText>
      </w:r>
      <w:r w:rsidR="00160B80" w:rsidRPr="003D1E07">
        <w:rPr>
          <w:i/>
          <w:lang w:eastAsia="en-US"/>
        </w:rPr>
        <w:fldChar w:fldCharType="end"/>
      </w:r>
      <w:r w:rsidR="00CE0CD0">
        <w:rPr>
          <w:lang w:eastAsia="en-US"/>
        </w:rPr>
        <w:t xml:space="preserve">) </w:t>
      </w:r>
      <w:r w:rsidR="002734B9" w:rsidRPr="003D1E07">
        <w:rPr>
          <w:lang w:eastAsia="en-US"/>
        </w:rPr>
        <w:t xml:space="preserve">jako </w:t>
      </w:r>
      <w:r w:rsidR="004F56A2">
        <w:rPr>
          <w:lang w:eastAsia="en-US"/>
        </w:rPr>
        <w:t>to mylně tvrdí Avicennova metafyzika</w:t>
      </w:r>
      <w:r w:rsidR="00775A9A">
        <w:rPr>
          <w:lang w:eastAsia="en-US"/>
        </w:rPr>
        <w:t>.</w:t>
      </w:r>
      <w:r w:rsidR="002734B9" w:rsidRPr="003D1E07">
        <w:rPr>
          <w:lang w:eastAsia="en-US"/>
        </w:rPr>
        <w:t xml:space="preserve"> </w:t>
      </w:r>
      <w:r w:rsidR="004F56A2">
        <w:rPr>
          <w:lang w:eastAsia="en-US"/>
        </w:rPr>
        <w:t>B</w:t>
      </w:r>
      <w:r w:rsidR="00775A9A">
        <w:rPr>
          <w:lang w:eastAsia="en-US"/>
        </w:rPr>
        <w:t>ytí reálné substance jako zdroje kosmického pohybu odkazuje na první principy metafyziky</w:t>
      </w:r>
      <w:r w:rsidR="004F56A2">
        <w:rPr>
          <w:lang w:eastAsia="en-US"/>
        </w:rPr>
        <w:t xml:space="preserve"> hledané v rámci vědeckého důkazu založeného na reálné kauzalitě fyzikálních těles</w:t>
      </w:r>
      <w:r w:rsidR="00775A9A">
        <w:rPr>
          <w:lang w:eastAsia="en-US"/>
        </w:rPr>
        <w:t xml:space="preserve">. </w:t>
      </w:r>
      <w:r w:rsidR="005C138D">
        <w:rPr>
          <w:lang w:eastAsia="en-US"/>
        </w:rPr>
        <w:t>Prot</w:t>
      </w:r>
      <w:r w:rsidR="004F56A2">
        <w:rPr>
          <w:lang w:eastAsia="en-US"/>
        </w:rPr>
        <w:t>o je tře</w:t>
      </w:r>
      <w:r w:rsidR="00775A9A">
        <w:rPr>
          <w:lang w:eastAsia="en-US"/>
        </w:rPr>
        <w:t xml:space="preserve">ba zkoumat </w:t>
      </w:r>
      <w:r w:rsidR="004F56A2">
        <w:rPr>
          <w:lang w:eastAsia="en-US"/>
        </w:rPr>
        <w:t>„</w:t>
      </w:r>
      <w:r w:rsidR="002734B9" w:rsidRPr="003D1E07">
        <w:rPr>
          <w:lang w:eastAsia="en-US"/>
        </w:rPr>
        <w:t>substanci</w:t>
      </w:r>
      <w:r w:rsidR="002734B9" w:rsidRPr="003D1E07">
        <w:rPr>
          <w:i/>
          <w:lang w:eastAsia="en-US"/>
        </w:rPr>
        <w:t xml:space="preserve"> qua </w:t>
      </w:r>
      <w:r w:rsidR="002734B9" w:rsidRPr="003D1E07">
        <w:rPr>
          <w:lang w:eastAsia="en-US"/>
        </w:rPr>
        <w:t>substanci</w:t>
      </w:r>
      <w:r w:rsidR="004F56A2">
        <w:rPr>
          <w:lang w:eastAsia="en-US"/>
        </w:rPr>
        <w:t>“</w:t>
      </w:r>
      <w:r w:rsidR="008609D8" w:rsidRPr="003D1E07">
        <w:rPr>
          <w:lang w:eastAsia="en-US"/>
        </w:rPr>
        <w:fldChar w:fldCharType="begin"/>
      </w:r>
      <w:r w:rsidR="008609D8" w:rsidRPr="003D1E07">
        <w:instrText xml:space="preserve"> XE "substance:</w:instrText>
      </w:r>
      <w:r w:rsidR="008609D8" w:rsidRPr="003D1E07">
        <w:rPr>
          <w:i/>
        </w:rPr>
        <w:instrText>qua</w:instrText>
      </w:r>
      <w:r w:rsidR="008609D8" w:rsidRPr="003D1E07">
        <w:instrText xml:space="preserve"> substance" </w:instrText>
      </w:r>
      <w:r w:rsidR="008609D8" w:rsidRPr="003D1E07">
        <w:rPr>
          <w:lang w:eastAsia="en-US"/>
        </w:rPr>
        <w:fldChar w:fldCharType="end"/>
      </w:r>
      <w:r w:rsidR="002734B9" w:rsidRPr="003D1E07">
        <w:rPr>
          <w:lang w:eastAsia="en-US"/>
        </w:rPr>
        <w:t xml:space="preserve">, jak </w:t>
      </w:r>
      <w:r w:rsidR="00B73CDA" w:rsidRPr="003D1E07">
        <w:rPr>
          <w:lang w:eastAsia="en-US"/>
        </w:rPr>
        <w:t xml:space="preserve">to </w:t>
      </w:r>
      <w:r w:rsidR="08A66167" w:rsidRPr="003D1E07">
        <w:rPr>
          <w:lang w:eastAsia="en-US"/>
        </w:rPr>
        <w:t xml:space="preserve">opakuje na mnoha místech </w:t>
      </w:r>
      <w:r w:rsidR="002E3B62" w:rsidRPr="003D1E07">
        <w:rPr>
          <w:lang w:eastAsia="en-US"/>
        </w:rPr>
        <w:t>Averroes</w:t>
      </w:r>
      <w:r w:rsidR="00CB04E0" w:rsidRPr="003D1E07">
        <w:rPr>
          <w:lang w:eastAsia="en-US"/>
        </w:rPr>
        <w:t xml:space="preserve">ův </w:t>
      </w:r>
      <w:r w:rsidR="00E64EB6" w:rsidRPr="003D1E07">
        <w:rPr>
          <w:lang w:eastAsia="en-US"/>
        </w:rPr>
        <w:t xml:space="preserve">velký komentář </w:t>
      </w:r>
      <w:r w:rsidR="08C13D06" w:rsidRPr="003D1E07">
        <w:rPr>
          <w:i/>
          <w:lang w:eastAsia="en-US"/>
        </w:rPr>
        <w:t>Metafyziky</w:t>
      </w:r>
      <w:r w:rsidR="002734B9" w:rsidRPr="003D1E07">
        <w:rPr>
          <w:lang w:eastAsia="en-US"/>
        </w:rPr>
        <w:t>.</w:t>
      </w:r>
      <w:r w:rsidR="08B60D0E" w:rsidRPr="003D1E07">
        <w:rPr>
          <w:lang w:eastAsia="en-US"/>
        </w:rPr>
        <w:t xml:space="preserve"> Citujme krátké shrnutí hlavního argumentu pro</w:t>
      </w:r>
      <w:r w:rsidR="00162BFD" w:rsidRPr="003D1E07">
        <w:rPr>
          <w:lang w:eastAsia="en-US"/>
        </w:rPr>
        <w:t>t</w:t>
      </w:r>
      <w:r w:rsidR="08B60D0E" w:rsidRPr="003D1E07">
        <w:rPr>
          <w:lang w:eastAsia="en-US"/>
        </w:rPr>
        <w:t xml:space="preserve">i Avicennovi v latinském překladu velkého komentáře k </w:t>
      </w:r>
      <w:r w:rsidR="08B60D0E" w:rsidRPr="003D1E07">
        <w:rPr>
          <w:i/>
          <w:lang w:eastAsia="en-US"/>
        </w:rPr>
        <w:t>Metafyzice</w:t>
      </w:r>
      <w:r w:rsidR="08B60D0E" w:rsidRPr="003D1E07">
        <w:rPr>
          <w:lang w:eastAsia="en-US"/>
        </w:rPr>
        <w:t xml:space="preserve">. Latinský text je důležitý, protože </w:t>
      </w:r>
      <w:r w:rsidR="08484ACE" w:rsidRPr="003D1E07">
        <w:rPr>
          <w:lang w:eastAsia="en-US"/>
        </w:rPr>
        <w:t xml:space="preserve">generace sofisticky argumentujících </w:t>
      </w:r>
      <w:r w:rsidR="08484ACE" w:rsidRPr="003D1E07">
        <w:rPr>
          <w:i/>
          <w:lang w:eastAsia="en-US"/>
        </w:rPr>
        <w:t>doctores Latini</w:t>
      </w:r>
      <w:r w:rsidR="08484ACE" w:rsidRPr="003D1E07">
        <w:rPr>
          <w:lang w:eastAsia="en-US"/>
        </w:rPr>
        <w:t xml:space="preserve"> měla tento text před očima, ale neměl pro ně žádný význam. </w:t>
      </w:r>
      <w:r w:rsidR="00C21EB9">
        <w:rPr>
          <w:lang w:eastAsia="en-US"/>
        </w:rPr>
        <w:t>N</w:t>
      </w:r>
      <w:r w:rsidR="00C21EB9" w:rsidRPr="003D1E07">
        <w:rPr>
          <w:lang w:eastAsia="en-US"/>
        </w:rPr>
        <w:t>a rozdíl od tehdejších a dnešních modernistů</w:t>
      </w:r>
      <w:r w:rsidR="00C21EB9">
        <w:rPr>
          <w:lang w:eastAsia="en-US"/>
        </w:rPr>
        <w:t xml:space="preserve"> </w:t>
      </w:r>
      <w:r w:rsidR="089B2741" w:rsidRPr="003D1E07">
        <w:rPr>
          <w:lang w:eastAsia="en-US"/>
        </w:rPr>
        <w:t>škola prvního averroismu</w:t>
      </w:r>
      <w:r w:rsidR="00C21EB9">
        <w:rPr>
          <w:lang w:eastAsia="en-US"/>
        </w:rPr>
        <w:t xml:space="preserve"> </w:t>
      </w:r>
      <w:r w:rsidR="089B2741" w:rsidRPr="003D1E07">
        <w:rPr>
          <w:lang w:eastAsia="en-US"/>
        </w:rPr>
        <w:t xml:space="preserve">pochopila zásadní </w:t>
      </w:r>
      <w:r w:rsidR="089B2741" w:rsidRPr="003D1E07">
        <w:rPr>
          <w:lang w:eastAsia="en-US"/>
        </w:rPr>
        <w:lastRenderedPageBreak/>
        <w:t xml:space="preserve">metafyzický omyl Avicenny. </w:t>
      </w:r>
      <w:r w:rsidR="087C4C94" w:rsidRPr="003D1E07">
        <w:rPr>
          <w:lang w:eastAsia="en-US"/>
        </w:rPr>
        <w:t xml:space="preserve">Komitace hypostázovaných esencí daných pouze v mysli není aristotelská predikace </w:t>
      </w:r>
      <w:r w:rsidR="000F5A3E">
        <w:rPr>
          <w:lang w:eastAsia="en-US"/>
        </w:rPr>
        <w:t>kategorií</w:t>
      </w:r>
      <w:r w:rsidR="005C138D">
        <w:rPr>
          <w:lang w:eastAsia="en-US"/>
        </w:rPr>
        <w:t xml:space="preserve">, která v modu impozice </w:t>
      </w:r>
      <w:r w:rsidR="087C4C94" w:rsidRPr="003D1E07">
        <w:rPr>
          <w:lang w:eastAsia="en-US"/>
        </w:rPr>
        <w:t xml:space="preserve">sledují nutnost </w:t>
      </w:r>
      <w:r w:rsidR="089108A9" w:rsidRPr="003D1E07">
        <w:t xml:space="preserve">metafyzického </w:t>
      </w:r>
      <w:r w:rsidR="087C4C94" w:rsidRPr="003D1E07">
        <w:rPr>
          <w:lang w:eastAsia="en-US"/>
        </w:rPr>
        <w:t>dativu.</w:t>
      </w:r>
    </w:p>
    <w:p w14:paraId="6D708AA1" w14:textId="271CFD20" w:rsidR="086D0871" w:rsidRPr="003D1E07" w:rsidRDefault="08B60D0E" w:rsidP="08B60D0E">
      <w:pPr>
        <w:pStyle w:val="Citace"/>
        <w:rPr>
          <w:noProof/>
          <w:lang w:val="cs-CZ"/>
        </w:rPr>
      </w:pPr>
      <w:r w:rsidRPr="003D1E07">
        <w:rPr>
          <w:noProof/>
          <w:lang w:val="cs-CZ"/>
        </w:rPr>
        <w:t xml:space="preserve">„Avicenna </w:t>
      </w:r>
      <w:r w:rsidR="086D0871" w:rsidRPr="003D1E07">
        <w:rPr>
          <w:noProof/>
          <w:lang w:val="cs-CZ"/>
        </w:rPr>
        <w:t xml:space="preserve">se zásadně zmýlil </w:t>
      </w:r>
      <w:r w:rsidR="00B26B1A" w:rsidRPr="003D1E07">
        <w:rPr>
          <w:lang w:eastAsia="en-US"/>
        </w:rPr>
        <w:t>(</w:t>
      </w:r>
      <w:r w:rsidR="00B26B1A" w:rsidRPr="003D1E07">
        <w:rPr>
          <w:i/>
          <w:lang w:eastAsia="en-US"/>
        </w:rPr>
        <w:t>peccavit multum</w:t>
      </w:r>
      <w:r w:rsidR="00B26B1A" w:rsidRPr="003D1E07">
        <w:rPr>
          <w:lang w:eastAsia="en-US"/>
        </w:rPr>
        <w:t xml:space="preserve">) </w:t>
      </w:r>
      <w:r w:rsidR="086D0871" w:rsidRPr="003D1E07">
        <w:rPr>
          <w:noProof/>
          <w:lang w:val="cs-CZ"/>
        </w:rPr>
        <w:t>v tom, že tvrdil, že jedno</w:t>
      </w:r>
      <w:r w:rsidR="00855C26">
        <w:rPr>
          <w:noProof/>
          <w:lang w:val="cs-CZ"/>
        </w:rPr>
        <w:t xml:space="preserve">ta </w:t>
      </w:r>
      <w:r w:rsidR="086D0871" w:rsidRPr="003D1E07">
        <w:rPr>
          <w:noProof/>
          <w:lang w:val="cs-CZ"/>
        </w:rPr>
        <w:t xml:space="preserve">a </w:t>
      </w:r>
      <w:r w:rsidR="00855C26">
        <w:rPr>
          <w:noProof/>
          <w:lang w:val="cs-CZ"/>
        </w:rPr>
        <w:t xml:space="preserve">existence </w:t>
      </w:r>
      <w:r w:rsidR="003C5B06">
        <w:rPr>
          <w:noProof/>
          <w:lang w:val="cs-CZ"/>
        </w:rPr>
        <w:t xml:space="preserve">znamenají </w:t>
      </w:r>
      <w:r w:rsidR="086D0871" w:rsidRPr="003D1E07">
        <w:rPr>
          <w:noProof/>
          <w:lang w:val="cs-CZ"/>
        </w:rPr>
        <w:t>dispozice přidané k esenci věci</w:t>
      </w:r>
      <w:r w:rsidR="00D832BF" w:rsidRPr="003D1E07">
        <w:rPr>
          <w:noProof/>
          <w:lang w:val="cs-CZ"/>
        </w:rPr>
        <w:t xml:space="preserve"> (</w:t>
      </w:r>
      <w:r w:rsidR="00D832BF" w:rsidRPr="003D1E07">
        <w:rPr>
          <w:i/>
          <w:lang w:val="cs-CZ"/>
        </w:rPr>
        <w:t>unum et ens significant dispositiones additas essentiae rei</w:t>
      </w:r>
      <w:r w:rsidR="00D832BF" w:rsidRPr="003D1E07">
        <w:rPr>
          <w:noProof/>
          <w:lang w:val="cs-CZ"/>
        </w:rPr>
        <w:t>)</w:t>
      </w:r>
      <w:r w:rsidR="086D0871" w:rsidRPr="003D1E07">
        <w:rPr>
          <w:noProof/>
          <w:lang w:val="cs-CZ"/>
        </w:rPr>
        <w:t>.“</w:t>
      </w:r>
      <w:r w:rsidR="00162BFD" w:rsidRPr="003D1E07">
        <w:rPr>
          <w:noProof/>
          <w:lang w:val="cs-CZ"/>
        </w:rPr>
        <w:t> </w:t>
      </w:r>
      <w:r w:rsidR="086D0871" w:rsidRPr="003D1E07">
        <w:rPr>
          <w:rStyle w:val="Znakapoznpodarou"/>
          <w:noProof/>
          <w:lang w:val="cs-CZ"/>
        </w:rPr>
        <w:footnoteReference w:id="200"/>
      </w:r>
    </w:p>
    <w:p w14:paraId="11832B17" w14:textId="21B265B3" w:rsidR="081349B9" w:rsidRPr="003D1E07" w:rsidRDefault="00B26B1A" w:rsidP="004F7C68">
      <w:r>
        <w:rPr>
          <w:lang w:eastAsia="en-US"/>
        </w:rPr>
        <w:t>V čem je z</w:t>
      </w:r>
      <w:r w:rsidR="00961608" w:rsidRPr="003D1E07">
        <w:rPr>
          <w:lang w:eastAsia="en-US"/>
        </w:rPr>
        <w:t>ásadní o</w:t>
      </w:r>
      <w:r w:rsidR="08B60D0E" w:rsidRPr="003D1E07">
        <w:rPr>
          <w:lang w:eastAsia="en-US"/>
        </w:rPr>
        <w:t>myl Avicenny</w:t>
      </w:r>
      <w:r>
        <w:rPr>
          <w:lang w:eastAsia="en-US"/>
        </w:rPr>
        <w:t>? D</w:t>
      </w:r>
      <w:r w:rsidR="00961608" w:rsidRPr="003D1E07">
        <w:rPr>
          <w:lang w:eastAsia="en-US"/>
        </w:rPr>
        <w:t>omníval</w:t>
      </w:r>
      <w:r>
        <w:rPr>
          <w:lang w:eastAsia="en-US"/>
        </w:rPr>
        <w:t xml:space="preserve"> se</w:t>
      </w:r>
      <w:r w:rsidR="00961608" w:rsidRPr="003D1E07">
        <w:rPr>
          <w:lang w:eastAsia="en-US"/>
        </w:rPr>
        <w:t xml:space="preserve">, že </w:t>
      </w:r>
      <w:r w:rsidR="08B60D0E" w:rsidRPr="003D1E07">
        <w:rPr>
          <w:lang w:eastAsia="en-US"/>
        </w:rPr>
        <w:t xml:space="preserve">transcendentální </w:t>
      </w:r>
      <w:r w:rsidR="08890E77" w:rsidRPr="003D1E07">
        <w:rPr>
          <w:lang w:eastAsia="en-US"/>
        </w:rPr>
        <w:t xml:space="preserve">či amfibolní </w:t>
      </w:r>
      <w:r w:rsidR="08B60D0E" w:rsidRPr="003D1E07">
        <w:rPr>
          <w:lang w:eastAsia="en-US"/>
        </w:rPr>
        <w:t>určení jsoucna typu jednoho a bytí (</w:t>
      </w:r>
      <w:r w:rsidR="083D2DE7" w:rsidRPr="003D1E07">
        <w:rPr>
          <w:i/>
          <w:lang w:eastAsia="en-US"/>
        </w:rPr>
        <w:t>unum et</w:t>
      </w:r>
      <w:r w:rsidR="08B60D0E" w:rsidRPr="003D1E07">
        <w:rPr>
          <w:i/>
          <w:lang w:eastAsia="en-US"/>
        </w:rPr>
        <w:t xml:space="preserve"> ens</w:t>
      </w:r>
      <w:r w:rsidR="08B60D0E" w:rsidRPr="003D1E07">
        <w:rPr>
          <w:lang w:eastAsia="en-US"/>
        </w:rPr>
        <w:t xml:space="preserve">) představují vlastnosti bytí </w:t>
      </w:r>
      <w:r w:rsidR="088063A7" w:rsidRPr="003D1E07">
        <w:rPr>
          <w:lang w:eastAsia="en-US"/>
        </w:rPr>
        <w:t xml:space="preserve">jsoucna </w:t>
      </w:r>
      <w:r w:rsidR="08B60D0E" w:rsidRPr="003D1E07">
        <w:rPr>
          <w:lang w:eastAsia="en-US"/>
        </w:rPr>
        <w:t xml:space="preserve">jako takového, které lze libovolně přičítat každé </w:t>
      </w:r>
      <w:r w:rsidR="083D2DE7" w:rsidRPr="003D1E07">
        <w:rPr>
          <w:lang w:eastAsia="en-US"/>
        </w:rPr>
        <w:t xml:space="preserve">reálně existující </w:t>
      </w:r>
      <w:r w:rsidR="08B60D0E" w:rsidRPr="003D1E07">
        <w:rPr>
          <w:lang w:eastAsia="en-US"/>
        </w:rPr>
        <w:t>věci (</w:t>
      </w:r>
      <w:r w:rsidR="08B60D0E" w:rsidRPr="003D1E07">
        <w:rPr>
          <w:i/>
        </w:rPr>
        <w:t>dispositiones additas essentiae rei</w:t>
      </w:r>
      <w:r w:rsidR="08B60D0E" w:rsidRPr="003D1E07">
        <w:rPr>
          <w:lang w:eastAsia="en-US"/>
        </w:rPr>
        <w:t>).</w:t>
      </w:r>
      <w:r w:rsidR="009E6613" w:rsidRPr="003D1E07">
        <w:rPr>
          <w:lang w:eastAsia="en-US"/>
        </w:rPr>
        <w:t xml:space="preserve"> </w:t>
      </w:r>
      <w:r w:rsidR="00F00EAE" w:rsidRPr="003D1E07">
        <w:rPr>
          <w:lang w:eastAsia="en-US"/>
        </w:rPr>
        <w:t xml:space="preserve">Generická </w:t>
      </w:r>
      <w:r w:rsidR="085F2AD1" w:rsidRPr="003D1E07">
        <w:rPr>
          <w:szCs w:val="24"/>
        </w:rPr>
        <w:t xml:space="preserve">jednota je oddělena od kriticky zkoumané </w:t>
      </w:r>
      <w:r w:rsidR="00EB0BEC">
        <w:rPr>
          <w:szCs w:val="24"/>
        </w:rPr>
        <w:t xml:space="preserve">metafyzické </w:t>
      </w:r>
      <w:r w:rsidR="085F2AD1" w:rsidRPr="003D1E07">
        <w:rPr>
          <w:szCs w:val="24"/>
        </w:rPr>
        <w:t>jednoty</w:t>
      </w:r>
      <w:r w:rsidR="00EB0BEC">
        <w:rPr>
          <w:szCs w:val="24"/>
        </w:rPr>
        <w:t>. Ta je daná skrze aristotelskou shod</w:t>
      </w:r>
      <w:r w:rsidR="085F2AD1" w:rsidRPr="003D1E07">
        <w:rPr>
          <w:szCs w:val="24"/>
        </w:rPr>
        <w:t xml:space="preserve">u první a druhé substance. </w:t>
      </w:r>
      <w:r w:rsidR="004A415B">
        <w:rPr>
          <w:szCs w:val="24"/>
        </w:rPr>
        <w:t>Tak zvaná „</w:t>
      </w:r>
      <w:r w:rsidR="004A415B">
        <w:rPr>
          <w:lang w:eastAsia="en-US"/>
        </w:rPr>
        <w:t>v</w:t>
      </w:r>
      <w:r w:rsidR="08B60D0E" w:rsidRPr="003D1E07">
        <w:rPr>
          <w:lang w:eastAsia="en-US"/>
        </w:rPr>
        <w:t>ěc</w:t>
      </w:r>
      <w:r w:rsidR="004A415B">
        <w:rPr>
          <w:lang w:eastAsia="en-US"/>
        </w:rPr>
        <w:t>“ (</w:t>
      </w:r>
      <w:r w:rsidR="004A415B" w:rsidRPr="004A415B">
        <w:rPr>
          <w:i/>
          <w:lang w:eastAsia="en-US"/>
        </w:rPr>
        <w:t>res</w:t>
      </w:r>
      <w:r w:rsidR="004A415B">
        <w:rPr>
          <w:lang w:eastAsia="en-US"/>
        </w:rPr>
        <w:t>) Avicenny</w:t>
      </w:r>
      <w:r w:rsidR="08B60D0E" w:rsidRPr="003D1E07">
        <w:rPr>
          <w:lang w:eastAsia="en-US"/>
        </w:rPr>
        <w:t xml:space="preserve"> </w:t>
      </w:r>
      <w:r w:rsidR="004A415B">
        <w:rPr>
          <w:lang w:eastAsia="en-US"/>
        </w:rPr>
        <w:t xml:space="preserve">je </w:t>
      </w:r>
      <w:r w:rsidR="08B60D0E" w:rsidRPr="003D1E07">
        <w:rPr>
          <w:lang w:eastAsia="en-US"/>
        </w:rPr>
        <w:t>definovaná jako jsoucno třetího druhu</w:t>
      </w:r>
      <w:r w:rsidR="004A415B">
        <w:rPr>
          <w:lang w:eastAsia="en-US"/>
        </w:rPr>
        <w:t>, protože</w:t>
      </w:r>
      <w:r w:rsidR="08B60D0E" w:rsidRPr="003D1E07">
        <w:rPr>
          <w:lang w:eastAsia="en-US"/>
        </w:rPr>
        <w:t xml:space="preserve"> získala </w:t>
      </w:r>
      <w:r w:rsidR="004A415B" w:rsidRPr="003D1E07">
        <w:rPr>
          <w:lang w:eastAsia="en-US"/>
        </w:rPr>
        <w:t>kategoriální určení jsoucn</w:t>
      </w:r>
      <w:r w:rsidR="004A415B">
        <w:rPr>
          <w:lang w:eastAsia="en-US"/>
        </w:rPr>
        <w:t xml:space="preserve">a </w:t>
      </w:r>
      <w:r w:rsidR="08B60D0E" w:rsidRPr="003D1E07">
        <w:rPr>
          <w:lang w:eastAsia="en-US"/>
        </w:rPr>
        <w:t xml:space="preserve">pomocí </w:t>
      </w:r>
      <w:r w:rsidR="08ED3D3B" w:rsidRPr="003D1E07">
        <w:rPr>
          <w:lang w:eastAsia="en-US"/>
        </w:rPr>
        <w:t xml:space="preserve">hypostázované </w:t>
      </w:r>
      <w:r w:rsidR="0073303E" w:rsidRPr="003D1E07">
        <w:rPr>
          <w:lang w:eastAsia="en-US"/>
        </w:rPr>
        <w:t>komitace</w:t>
      </w:r>
      <w:r w:rsidR="00EB71B3" w:rsidRPr="003D1E07">
        <w:rPr>
          <w:lang w:eastAsia="en-US"/>
        </w:rPr>
        <w:fldChar w:fldCharType="begin"/>
      </w:r>
      <w:r w:rsidR="00EB71B3" w:rsidRPr="003D1E07">
        <w:instrText xml:space="preserve"> XE "komitace" </w:instrText>
      </w:r>
      <w:r w:rsidR="00EB71B3" w:rsidRPr="003D1E07">
        <w:rPr>
          <w:lang w:eastAsia="en-US"/>
        </w:rPr>
        <w:fldChar w:fldCharType="end"/>
      </w:r>
      <w:r w:rsidR="009339BD" w:rsidRPr="003D1E07">
        <w:rPr>
          <w:lang w:eastAsia="en-US"/>
        </w:rPr>
        <w:t xml:space="preserve">. Tyto elementární vlastnosti vztažené k samotnému bytí věci </w:t>
      </w:r>
      <w:r w:rsidR="009339BD" w:rsidRPr="003D1E07">
        <w:t>(</w:t>
      </w:r>
      <w:r w:rsidR="009339BD" w:rsidRPr="003D1E07">
        <w:rPr>
          <w:i/>
        </w:rPr>
        <w:t>essentia rei</w:t>
      </w:r>
      <w:r w:rsidR="009339BD" w:rsidRPr="003D1E07">
        <w:t xml:space="preserve">) se predikují  novému jsoucnu, které není ani první ani druhou substancí. </w:t>
      </w:r>
      <w:r w:rsidR="080920C3" w:rsidRPr="003D1E07">
        <w:rPr>
          <w:lang w:eastAsia="en-US"/>
        </w:rPr>
        <w:t>To je možné jen v případě zavedení s</w:t>
      </w:r>
      <w:r w:rsidR="08226779" w:rsidRPr="003D1E07">
        <w:rPr>
          <w:lang w:eastAsia="en-US"/>
        </w:rPr>
        <w:t>ubstance třetího druhu (kap. 1.3</w:t>
      </w:r>
      <w:r w:rsidR="080920C3" w:rsidRPr="003D1E07">
        <w:rPr>
          <w:lang w:eastAsia="en-US"/>
        </w:rPr>
        <w:t xml:space="preserve">.1). </w:t>
      </w:r>
      <w:r w:rsidR="08B60D0E" w:rsidRPr="003D1E07">
        <w:rPr>
          <w:lang w:eastAsia="en-US"/>
        </w:rPr>
        <w:t xml:space="preserve">Tento postup jsme analyzovali </w:t>
      </w:r>
      <w:r w:rsidR="00DF4FA0" w:rsidRPr="003D1E07">
        <w:rPr>
          <w:lang w:eastAsia="en-US"/>
        </w:rPr>
        <w:t xml:space="preserve">v metafyzice </w:t>
      </w:r>
      <w:r w:rsidR="08D71915" w:rsidRPr="003D1E07">
        <w:rPr>
          <w:lang w:eastAsia="en-US"/>
        </w:rPr>
        <w:t xml:space="preserve">Avicenny </w:t>
      </w:r>
      <w:r w:rsidR="08B60D0E" w:rsidRPr="003D1E07">
        <w:rPr>
          <w:lang w:eastAsia="en-US"/>
        </w:rPr>
        <w:t xml:space="preserve">na příkladu </w:t>
      </w:r>
      <w:r w:rsidR="08B60D0E" w:rsidRPr="003D1E07">
        <w:t xml:space="preserve">univoční </w:t>
      </w:r>
      <w:r w:rsidR="004A055A" w:rsidRPr="003D1E07">
        <w:t>komitace</w:t>
      </w:r>
      <w:r w:rsidR="08B60D0E" w:rsidRPr="003D1E07">
        <w:t xml:space="preserve"> minimálního intencionálního bytí (</w:t>
      </w:r>
      <w:r w:rsidR="00B86B63" w:rsidRPr="003D1E07">
        <w:rPr>
          <w:i/>
          <w:noProof w:val="0"/>
          <w:lang w:eastAsia="en-US"/>
        </w:rPr>
        <w:t>esse diminutum</w:t>
      </w:r>
      <w:r w:rsidR="00B86B63" w:rsidRPr="003D1E07">
        <w:rPr>
          <w:i/>
          <w:noProof w:val="0"/>
          <w:lang w:eastAsia="en-US"/>
        </w:rPr>
        <w:fldChar w:fldCharType="begin"/>
      </w:r>
      <w:r w:rsidR="00B86B63" w:rsidRPr="003D1E07">
        <w:instrText xml:space="preserve"> XE "</w:instrText>
      </w:r>
      <w:r w:rsidR="00B86B63" w:rsidRPr="003D1E07">
        <w:rPr>
          <w:i/>
          <w:noProof w:val="0"/>
          <w:lang w:eastAsia="en-US"/>
        </w:rPr>
        <w:instrText>esse diminutum</w:instrText>
      </w:r>
      <w:r w:rsidR="00B86B63" w:rsidRPr="003D1E07">
        <w:instrText xml:space="preserve">" </w:instrText>
      </w:r>
      <w:r w:rsidR="00B86B63" w:rsidRPr="003D1E07">
        <w:rPr>
          <w:i/>
          <w:noProof w:val="0"/>
          <w:lang w:eastAsia="en-US"/>
        </w:rPr>
        <w:fldChar w:fldCharType="end"/>
      </w:r>
      <w:r w:rsidR="00B86B63" w:rsidRPr="003D1E07">
        <w:rPr>
          <w:i/>
          <w:noProof w:val="0"/>
          <w:lang w:eastAsia="en-US"/>
        </w:rPr>
        <w:t xml:space="preserve">, </w:t>
      </w:r>
      <w:r w:rsidR="08B60D0E" w:rsidRPr="003D1E07">
        <w:t xml:space="preserve">kap. 2.3.3). </w:t>
      </w:r>
      <w:r w:rsidR="08DC65F5" w:rsidRPr="003D1E07">
        <w:rPr>
          <w:lang w:eastAsia="en-US"/>
        </w:rPr>
        <w:t xml:space="preserve">Kritizovaný omyl zopakují představitelé školy </w:t>
      </w:r>
      <w:r w:rsidR="08DC65F5" w:rsidRPr="003D1E07">
        <w:rPr>
          <w:i/>
          <w:lang w:eastAsia="en-US"/>
        </w:rPr>
        <w:t>Nominales</w:t>
      </w:r>
      <w:r w:rsidR="08DC65F5" w:rsidRPr="003D1E07">
        <w:rPr>
          <w:lang w:eastAsia="en-US"/>
        </w:rPr>
        <w:t xml:space="preserve"> a později i modernisté ze školy druhého averroismu. </w:t>
      </w:r>
      <w:r w:rsidR="00A141EA" w:rsidRPr="003D1E07">
        <w:t xml:space="preserve">Predikace </w:t>
      </w:r>
      <w:r w:rsidR="08D05C5A" w:rsidRPr="003D1E07">
        <w:t>univerzálních pojm</w:t>
      </w:r>
      <w:r w:rsidR="00A141EA" w:rsidRPr="003D1E07">
        <w:t>ů do</w:t>
      </w:r>
      <w:r w:rsidR="080B6AF3" w:rsidRPr="003D1E07">
        <w:t xml:space="preserve"> aktuálně dané první substance je z hlediska spisu </w:t>
      </w:r>
      <w:r w:rsidR="080B6AF3" w:rsidRPr="003D1E07">
        <w:rPr>
          <w:i/>
        </w:rPr>
        <w:t>Kategorie</w:t>
      </w:r>
      <w:r w:rsidR="080B6AF3" w:rsidRPr="003D1E07">
        <w:t xml:space="preserve"> </w:t>
      </w:r>
      <w:r w:rsidR="083E4014" w:rsidRPr="003D1E07">
        <w:t xml:space="preserve">naprosto </w:t>
      </w:r>
      <w:r w:rsidR="080B6AF3" w:rsidRPr="003D1E07">
        <w:t xml:space="preserve">nepřijatelná. První substance má hyparchickou funkci pro kategorickou predikaci právě proto, že </w:t>
      </w:r>
      <w:r w:rsidR="083E4014" w:rsidRPr="003D1E07">
        <w:t xml:space="preserve">je </w:t>
      </w:r>
      <w:r w:rsidR="080B6AF3" w:rsidRPr="003D1E07">
        <w:t xml:space="preserve">absolutně jednoduchá a je daná </w:t>
      </w:r>
      <w:r w:rsidR="08D65D82" w:rsidRPr="003D1E07">
        <w:t xml:space="preserve">aktuálně, </w:t>
      </w:r>
      <w:r w:rsidR="080B6AF3" w:rsidRPr="003D1E07">
        <w:rPr>
          <w:i/>
        </w:rPr>
        <w:t>simpli</w:t>
      </w:r>
      <w:r w:rsidR="083E4014" w:rsidRPr="003D1E07">
        <w:rPr>
          <w:i/>
        </w:rPr>
        <w:t>ci</w:t>
      </w:r>
      <w:r w:rsidR="080B6AF3" w:rsidRPr="003D1E07">
        <w:rPr>
          <w:i/>
        </w:rPr>
        <w:t>ter</w:t>
      </w:r>
      <w:r w:rsidR="080B6AF3" w:rsidRPr="003D1E07">
        <w:t xml:space="preserve"> a </w:t>
      </w:r>
      <w:r w:rsidR="080B6AF3" w:rsidRPr="003D1E07">
        <w:rPr>
          <w:i/>
        </w:rPr>
        <w:t>per se</w:t>
      </w:r>
      <w:r w:rsidR="080B6AF3" w:rsidRPr="003D1E07">
        <w:t xml:space="preserve">. </w:t>
      </w:r>
      <w:r w:rsidR="082D2E6A" w:rsidRPr="003D1E07">
        <w:t>Reálná věc n</w:t>
      </w:r>
      <w:r w:rsidR="087F4F14" w:rsidRPr="003D1E07">
        <w:t>emůže přijmout žádná</w:t>
      </w:r>
      <w:r w:rsidR="080B6AF3" w:rsidRPr="003D1E07">
        <w:t xml:space="preserve"> </w:t>
      </w:r>
      <w:r w:rsidR="08BC29AE" w:rsidRPr="003D1E07">
        <w:t>univerzální určení</w:t>
      </w:r>
      <w:r w:rsidR="085F2AD1" w:rsidRPr="003D1E07">
        <w:t xml:space="preserve">. První substance zakládá </w:t>
      </w:r>
      <w:r w:rsidR="08823B39" w:rsidRPr="003D1E07">
        <w:t xml:space="preserve">svou aktualitou </w:t>
      </w:r>
      <w:r w:rsidR="08BC29AE" w:rsidRPr="003D1E07">
        <w:t xml:space="preserve">kategoriální predikaci </w:t>
      </w:r>
      <w:r w:rsidR="08FE2C67" w:rsidRPr="003D1E07">
        <w:t xml:space="preserve">skrze </w:t>
      </w:r>
      <w:r w:rsidR="08823B39" w:rsidRPr="003D1E07">
        <w:t xml:space="preserve">kauzální </w:t>
      </w:r>
      <w:r w:rsidR="080B6AF3" w:rsidRPr="003D1E07">
        <w:t>působ</w:t>
      </w:r>
      <w:r w:rsidR="08823B39" w:rsidRPr="003D1E07">
        <w:t xml:space="preserve">ení </w:t>
      </w:r>
      <w:r w:rsidR="080B6AF3" w:rsidRPr="003D1E07">
        <w:t>na smysly</w:t>
      </w:r>
      <w:r w:rsidR="08226779" w:rsidRPr="003D1E07">
        <w:t xml:space="preserve"> </w:t>
      </w:r>
      <w:r w:rsidR="088803DF" w:rsidRPr="003D1E07">
        <w:t xml:space="preserve">a na intelekt </w:t>
      </w:r>
      <w:r w:rsidR="08340CF8" w:rsidRPr="003D1E07">
        <w:t xml:space="preserve">v modu </w:t>
      </w:r>
      <w:r w:rsidR="089108A9" w:rsidRPr="003D1E07">
        <w:t xml:space="preserve">metafyzického </w:t>
      </w:r>
      <w:r w:rsidR="08340CF8" w:rsidRPr="003D1E07">
        <w:t xml:space="preserve">dativu </w:t>
      </w:r>
      <w:r w:rsidR="08226779" w:rsidRPr="003D1E07">
        <w:t>(kap. 1.3</w:t>
      </w:r>
      <w:r w:rsidR="087F4F14" w:rsidRPr="003D1E07">
        <w:t>)</w:t>
      </w:r>
      <w:r w:rsidR="080B6AF3" w:rsidRPr="003D1E07">
        <w:t xml:space="preserve">. </w:t>
      </w:r>
      <w:r w:rsidR="0886321A" w:rsidRPr="003D1E07">
        <w:rPr>
          <w:lang w:eastAsia="en-US"/>
        </w:rPr>
        <w:t xml:space="preserve">Substance se v pojetí Avicenny stala </w:t>
      </w:r>
      <w:r w:rsidR="00CE03DE" w:rsidRPr="003D1E07">
        <w:rPr>
          <w:lang w:eastAsia="en-US"/>
        </w:rPr>
        <w:t xml:space="preserve">konglomerátem </w:t>
      </w:r>
      <w:r w:rsidR="08FE2C67" w:rsidRPr="003D1E07">
        <w:rPr>
          <w:lang w:eastAsia="en-US"/>
        </w:rPr>
        <w:t xml:space="preserve">individuálních </w:t>
      </w:r>
      <w:r w:rsidR="00A41071" w:rsidRPr="003D1E07">
        <w:rPr>
          <w:lang w:eastAsia="en-US"/>
        </w:rPr>
        <w:t>a univerzálních určení třetího druhu. P</w:t>
      </w:r>
      <w:r w:rsidR="00E56B50" w:rsidRPr="003D1E07">
        <w:rPr>
          <w:lang w:eastAsia="en-US"/>
        </w:rPr>
        <w:t xml:space="preserve">redikace vzhledem k </w:t>
      </w:r>
      <w:r w:rsidR="00A41071" w:rsidRPr="003D1E07">
        <w:rPr>
          <w:lang w:eastAsia="en-US"/>
        </w:rPr>
        <w:t xml:space="preserve">takto danému </w:t>
      </w:r>
      <w:r w:rsidR="00A41071" w:rsidRPr="003D1E07">
        <w:rPr>
          <w:i/>
          <w:lang w:eastAsia="en-US"/>
        </w:rPr>
        <w:t>tertium ens</w:t>
      </w:r>
      <w:r w:rsidR="00A41071" w:rsidRPr="003D1E07">
        <w:rPr>
          <w:lang w:eastAsia="en-US"/>
        </w:rPr>
        <w:t xml:space="preserve"> </w:t>
      </w:r>
      <w:r w:rsidR="00E56B50" w:rsidRPr="003D1E07">
        <w:rPr>
          <w:lang w:eastAsia="en-US"/>
        </w:rPr>
        <w:t>zakládá poslední stupeň jednoty.</w:t>
      </w:r>
      <w:r w:rsidR="00E56B50" w:rsidRPr="003D1E07">
        <w:rPr>
          <w:rStyle w:val="Znakapoznpodarou"/>
        </w:rPr>
        <w:footnoteReference w:id="201"/>
      </w:r>
      <w:r w:rsidR="00E56B50" w:rsidRPr="003D1E07">
        <w:rPr>
          <w:lang w:eastAsia="en-US"/>
        </w:rPr>
        <w:t xml:space="preserve"> </w:t>
      </w:r>
      <w:r w:rsidR="002E3B62" w:rsidRPr="003D1E07">
        <w:rPr>
          <w:lang w:eastAsia="en-US"/>
        </w:rPr>
        <w:t>Averroes</w:t>
      </w:r>
      <w:r w:rsidR="00E56B50" w:rsidRPr="003D1E07">
        <w:rPr>
          <w:lang w:eastAsia="en-US"/>
        </w:rPr>
        <w:t xml:space="preserve"> přesně vidí základní metafyzický omyl Avic</w:t>
      </w:r>
      <w:r w:rsidR="00F16481" w:rsidRPr="003D1E07">
        <w:rPr>
          <w:lang w:eastAsia="en-US"/>
        </w:rPr>
        <w:t xml:space="preserve">enny, který vyjadřuje termín </w:t>
      </w:r>
      <w:r w:rsidR="00E56B50" w:rsidRPr="003D1E07">
        <w:rPr>
          <w:i/>
          <w:lang w:eastAsia="en-US"/>
        </w:rPr>
        <w:t>Oxfordian Fallacy</w:t>
      </w:r>
      <w:r w:rsidR="00924399" w:rsidRPr="003D1E07">
        <w:rPr>
          <w:i/>
          <w:lang w:eastAsia="en-US"/>
        </w:rPr>
        <w:fldChar w:fldCharType="begin"/>
      </w:r>
      <w:r w:rsidR="00924399" w:rsidRPr="003D1E07">
        <w:instrText xml:space="preserve"> XE "</w:instrText>
      </w:r>
      <w:r w:rsidR="00924399" w:rsidRPr="003D1E07">
        <w:rPr>
          <w:i/>
        </w:rPr>
        <w:instrText>Oxfordian Fallacy:</w:instrText>
      </w:r>
      <w:r w:rsidR="00924399" w:rsidRPr="003D1E07">
        <w:instrText xml:space="preserve">původ" </w:instrText>
      </w:r>
      <w:r w:rsidR="00924399" w:rsidRPr="003D1E07">
        <w:rPr>
          <w:i/>
          <w:lang w:eastAsia="en-US"/>
        </w:rPr>
        <w:fldChar w:fldCharType="end"/>
      </w:r>
      <w:r w:rsidR="00E56B50" w:rsidRPr="003D1E07">
        <w:rPr>
          <w:lang w:eastAsia="en-US"/>
        </w:rPr>
        <w:t xml:space="preserve"> (</w:t>
      </w:r>
      <w:r w:rsidR="08ED12B2" w:rsidRPr="003D1E07">
        <w:rPr>
          <w:lang w:eastAsia="en-US"/>
        </w:rPr>
        <w:t>OBJ II, kap. 3</w:t>
      </w:r>
      <w:r w:rsidR="00E56B50" w:rsidRPr="003D1E07">
        <w:rPr>
          <w:lang w:eastAsia="en-US"/>
        </w:rPr>
        <w:t xml:space="preserve">.1.1) a který završí Scotus v nové metafyzice. </w:t>
      </w:r>
      <w:r w:rsidR="085963FF" w:rsidRPr="003D1E07">
        <w:t xml:space="preserve">Neoplatonská filosofie vytvořila nikoliv metafyzickou, ale pouze logickou </w:t>
      </w:r>
      <w:r w:rsidR="082032DE" w:rsidRPr="003D1E07">
        <w:t xml:space="preserve">či esenciální </w:t>
      </w:r>
      <w:r w:rsidR="085963FF" w:rsidRPr="003D1E07">
        <w:lastRenderedPageBreak/>
        <w:t>jedn</w:t>
      </w:r>
      <w:r w:rsidR="005E0197">
        <w:t>otu bytí jsoucna</w:t>
      </w:r>
      <w:r w:rsidR="08052C9D" w:rsidRPr="003D1E07">
        <w:t>. P</w:t>
      </w:r>
      <w:r w:rsidR="08502250" w:rsidRPr="003D1E07">
        <w:t>ost</w:t>
      </w:r>
      <w:r w:rsidR="08052C9D" w:rsidRPr="003D1E07">
        <w:t>moderna</w:t>
      </w:r>
      <w:r w:rsidR="08502250" w:rsidRPr="003D1E07">
        <w:t xml:space="preserve"> </w:t>
      </w:r>
      <w:r w:rsidR="08052C9D" w:rsidRPr="003D1E07">
        <w:t xml:space="preserve">zopakovala tento </w:t>
      </w:r>
      <w:r w:rsidR="08052C9D" w:rsidRPr="003D1E07">
        <w:rPr>
          <w:i/>
        </w:rPr>
        <w:t>Irrtum</w:t>
      </w:r>
      <w:r w:rsidR="08052C9D" w:rsidRPr="003D1E07">
        <w:t xml:space="preserve"> </w:t>
      </w:r>
      <w:r w:rsidR="08502250" w:rsidRPr="003D1E07">
        <w:t xml:space="preserve">v Suárezově verzi </w:t>
      </w:r>
      <w:r w:rsidR="08502250" w:rsidRPr="003D1E07">
        <w:rPr>
          <w:i/>
        </w:rPr>
        <w:t>metaphysica generalis</w:t>
      </w:r>
      <w:r w:rsidR="08502250" w:rsidRPr="003D1E07">
        <w:rPr>
          <w:i/>
        </w:rPr>
        <w:fldChar w:fldCharType="begin"/>
      </w:r>
      <w:r w:rsidR="08502250" w:rsidRPr="003D1E07">
        <w:instrText xml:space="preserve"> XE "</w:instrText>
      </w:r>
      <w:r w:rsidR="08502250" w:rsidRPr="003D1E07">
        <w:rPr>
          <w:i/>
        </w:rPr>
        <w:instrText>metaphysica generalis</w:instrText>
      </w:r>
      <w:r w:rsidR="08502250" w:rsidRPr="003D1E07">
        <w:instrText xml:space="preserve">" </w:instrText>
      </w:r>
      <w:r w:rsidR="08502250" w:rsidRPr="003D1E07">
        <w:rPr>
          <w:i/>
        </w:rPr>
        <w:fldChar w:fldCharType="end"/>
      </w:r>
      <w:r w:rsidR="08052C9D" w:rsidRPr="003D1E07">
        <w:rPr>
          <w:i/>
        </w:rPr>
        <w:t xml:space="preserve"> </w:t>
      </w:r>
      <w:r w:rsidR="08052C9D" w:rsidRPr="003D1E07">
        <w:t xml:space="preserve">a následně v nihilistické verzi téže tragikomedie dané jako </w:t>
      </w:r>
      <w:r w:rsidR="08052C9D" w:rsidRPr="003D1E07">
        <w:rPr>
          <w:i/>
        </w:rPr>
        <w:t>Unified Science</w:t>
      </w:r>
      <w:r w:rsidR="08052C9D" w:rsidRPr="003D1E07">
        <w:rPr>
          <w:i/>
        </w:rPr>
        <w:fldChar w:fldCharType="begin"/>
      </w:r>
      <w:r w:rsidR="08052C9D" w:rsidRPr="003D1E07">
        <w:instrText xml:space="preserve"> XE "</w:instrText>
      </w:r>
      <w:r w:rsidR="08052C9D" w:rsidRPr="003D1E07">
        <w:rPr>
          <w:i/>
        </w:rPr>
        <w:instrText>Unified Science</w:instrText>
      </w:r>
      <w:r w:rsidR="08052C9D" w:rsidRPr="003D1E07">
        <w:instrText xml:space="preserve">" </w:instrText>
      </w:r>
      <w:r w:rsidR="08052C9D" w:rsidRPr="003D1E07">
        <w:rPr>
          <w:i/>
        </w:rPr>
        <w:fldChar w:fldCharType="end"/>
      </w:r>
      <w:r w:rsidR="085963FF" w:rsidRPr="003D1E07">
        <w:t xml:space="preserve">. </w:t>
      </w:r>
      <w:r w:rsidR="004F421A" w:rsidRPr="003D1E07">
        <w:t xml:space="preserve">Averroes hájí proti Avicennovi teorii dvojí metody a jediné pravdy. Odděluje úroveň metafyzické abstrakce, která je nezbytná pro pojetí první vědy. Je to metafyzika substance </w:t>
      </w:r>
      <w:r w:rsidR="004F421A" w:rsidRPr="003D1E07">
        <w:rPr>
          <w:i/>
        </w:rPr>
        <w:t>qua</w:t>
      </w:r>
      <w:r w:rsidR="004F421A" w:rsidRPr="003D1E07">
        <w:t xml:space="preserve"> substance založená na zkoumání pohyblivé substance ve fyzice. Metafyzika substance odporuje Avicennově mytopoetické metafyzice založené na logické abstrakci </w:t>
      </w:r>
      <w:r w:rsidR="004F421A" w:rsidRPr="003D1E07">
        <w:rPr>
          <w:i/>
        </w:rPr>
        <w:t>ens inquantum ens</w:t>
      </w:r>
      <w:r w:rsidR="004F421A" w:rsidRPr="003D1E07">
        <w:t xml:space="preserve">. </w:t>
      </w:r>
      <w:r w:rsidR="08C13D06" w:rsidRPr="003D1E07">
        <w:rPr>
          <w:lang w:eastAsia="en-US"/>
        </w:rPr>
        <w:t xml:space="preserve">Pojďme k </w:t>
      </w:r>
      <w:r w:rsidR="00F67730" w:rsidRPr="003D1E07">
        <w:rPr>
          <w:lang w:eastAsia="en-US"/>
        </w:rPr>
        <w:t xml:space="preserve">historicky </w:t>
      </w:r>
      <w:r w:rsidR="08C13D06" w:rsidRPr="003D1E07">
        <w:rPr>
          <w:lang w:eastAsia="en-US"/>
        </w:rPr>
        <w:t>poslednímu předsta</w:t>
      </w:r>
      <w:r w:rsidR="082F58C3" w:rsidRPr="003D1E07">
        <w:rPr>
          <w:lang w:eastAsia="en-US"/>
        </w:rPr>
        <w:t>vit</w:t>
      </w:r>
      <w:r w:rsidR="087F4F14" w:rsidRPr="003D1E07">
        <w:rPr>
          <w:lang w:eastAsia="en-US"/>
        </w:rPr>
        <w:t>eli</w:t>
      </w:r>
      <w:r w:rsidR="00624ACE" w:rsidRPr="003D1E07">
        <w:rPr>
          <w:lang w:eastAsia="en-US"/>
        </w:rPr>
        <w:t xml:space="preserve"> prvního averroismu</w:t>
      </w:r>
      <w:r w:rsidR="08C13D06" w:rsidRPr="003D1E07">
        <w:rPr>
          <w:lang w:eastAsia="en-US"/>
        </w:rPr>
        <w:t xml:space="preserve">, který tento rozdíl mezi Avicennou a </w:t>
      </w:r>
      <w:r w:rsidR="002E3B62" w:rsidRPr="003D1E07">
        <w:rPr>
          <w:lang w:eastAsia="en-US"/>
        </w:rPr>
        <w:t>Averroes</w:t>
      </w:r>
      <w:r w:rsidR="08C13D06" w:rsidRPr="003D1E07">
        <w:rPr>
          <w:lang w:eastAsia="en-US"/>
        </w:rPr>
        <w:t xml:space="preserve">em přesně znal a citoval. </w:t>
      </w:r>
      <w:r w:rsidR="08A85D71" w:rsidRPr="003D1E07">
        <w:rPr>
          <w:lang w:eastAsia="en-US"/>
        </w:rPr>
        <w:t>William Ockham</w:t>
      </w:r>
      <w:r w:rsidR="00FB30DA" w:rsidRPr="003D1E07">
        <w:rPr>
          <w:lang w:eastAsia="en-US"/>
        </w:rPr>
        <w:fldChar w:fldCharType="begin"/>
      </w:r>
      <w:r w:rsidR="00FB30DA" w:rsidRPr="003D1E07">
        <w:instrText xml:space="preserve"> XE "</w:instrText>
      </w:r>
      <w:r w:rsidR="08917067" w:rsidRPr="003D1E07">
        <w:rPr>
          <w:lang w:eastAsia="en-US"/>
        </w:rPr>
        <w:instrText>Ockham, W.</w:instrText>
      </w:r>
      <w:r w:rsidR="00FB30DA" w:rsidRPr="003D1E07">
        <w:instrText xml:space="preserve">" </w:instrText>
      </w:r>
      <w:r w:rsidR="00FB30DA" w:rsidRPr="003D1E07">
        <w:rPr>
          <w:lang w:eastAsia="en-US"/>
        </w:rPr>
        <w:fldChar w:fldCharType="end"/>
      </w:r>
      <w:r w:rsidR="08A85D71" w:rsidRPr="003D1E07">
        <w:rPr>
          <w:lang w:eastAsia="en-US"/>
        </w:rPr>
        <w:t xml:space="preserve"> jménem </w:t>
      </w:r>
      <w:r w:rsidR="08E511D4" w:rsidRPr="003D1E07">
        <w:rPr>
          <w:lang w:eastAsia="en-US"/>
        </w:rPr>
        <w:t xml:space="preserve">kritické </w:t>
      </w:r>
      <w:r w:rsidR="08A85D71" w:rsidRPr="003D1E07">
        <w:rPr>
          <w:lang w:eastAsia="en-US"/>
        </w:rPr>
        <w:t xml:space="preserve">scholastiky </w:t>
      </w:r>
      <w:r w:rsidR="081349B9" w:rsidRPr="003D1E07">
        <w:rPr>
          <w:lang w:eastAsia="en-US"/>
        </w:rPr>
        <w:t xml:space="preserve">cituje </w:t>
      </w:r>
      <w:r w:rsidR="086E498B" w:rsidRPr="003D1E07">
        <w:rPr>
          <w:lang w:eastAsia="en-US"/>
        </w:rPr>
        <w:t xml:space="preserve">kanonické </w:t>
      </w:r>
      <w:r w:rsidR="081349B9" w:rsidRPr="003D1E07">
        <w:rPr>
          <w:lang w:eastAsia="en-US"/>
        </w:rPr>
        <w:t xml:space="preserve">shrnutí </w:t>
      </w:r>
      <w:r w:rsidR="08E511D4" w:rsidRPr="003D1E07">
        <w:rPr>
          <w:lang w:eastAsia="en-US"/>
        </w:rPr>
        <w:t xml:space="preserve">Aristotelovy </w:t>
      </w:r>
      <w:r w:rsidR="081349B9" w:rsidRPr="003D1E07">
        <w:rPr>
          <w:lang w:eastAsia="en-US"/>
        </w:rPr>
        <w:t>metafyziky</w:t>
      </w:r>
      <w:r w:rsidR="08A85D71" w:rsidRPr="003D1E07">
        <w:rPr>
          <w:lang w:eastAsia="en-US"/>
        </w:rPr>
        <w:t xml:space="preserve"> </w:t>
      </w:r>
      <w:r w:rsidR="086E498B" w:rsidRPr="003D1E07">
        <w:rPr>
          <w:lang w:eastAsia="en-US"/>
        </w:rPr>
        <w:t xml:space="preserve">podle </w:t>
      </w:r>
      <w:r w:rsidR="002E3B62" w:rsidRPr="003D1E07">
        <w:rPr>
          <w:lang w:eastAsia="en-US"/>
        </w:rPr>
        <w:t>Averroes</w:t>
      </w:r>
      <w:r w:rsidR="086E498B" w:rsidRPr="003D1E07">
        <w:rPr>
          <w:lang w:eastAsia="en-US"/>
        </w:rPr>
        <w:t xml:space="preserve">e </w:t>
      </w:r>
      <w:r w:rsidR="08443D0D" w:rsidRPr="003D1E07">
        <w:rPr>
          <w:lang w:eastAsia="en-US"/>
        </w:rPr>
        <w:t>proti tehdejším avicennistů</w:t>
      </w:r>
      <w:r w:rsidR="086B6661" w:rsidRPr="003D1E07">
        <w:rPr>
          <w:lang w:eastAsia="en-US"/>
        </w:rPr>
        <w:t>m</w:t>
      </w:r>
      <w:r w:rsidR="08443D0D" w:rsidRPr="003D1E07">
        <w:rPr>
          <w:lang w:eastAsia="en-US"/>
        </w:rPr>
        <w:t xml:space="preserve"> na Oxfordu</w:t>
      </w:r>
      <w:r w:rsidR="08CD78D9" w:rsidRPr="003D1E07">
        <w:rPr>
          <w:lang w:eastAsia="en-US"/>
        </w:rPr>
        <w:t xml:space="preserve"> </w:t>
      </w:r>
      <w:r w:rsidR="08FC179C" w:rsidRPr="003D1E07">
        <w:rPr>
          <w:lang w:eastAsia="en-US"/>
        </w:rPr>
        <w:t>reprezentovaných</w:t>
      </w:r>
      <w:r w:rsidR="086B6661" w:rsidRPr="003D1E07">
        <w:rPr>
          <w:lang w:eastAsia="en-US"/>
        </w:rPr>
        <w:t xml:space="preserve"> </w:t>
      </w:r>
      <w:r w:rsidR="008A3899" w:rsidRPr="003D1E07">
        <w:rPr>
          <w:lang w:eastAsia="en-US"/>
        </w:rPr>
        <w:t xml:space="preserve">modernistickou školou </w:t>
      </w:r>
      <w:r w:rsidR="086B6661" w:rsidRPr="003D1E07">
        <w:rPr>
          <w:lang w:eastAsia="en-US"/>
        </w:rPr>
        <w:t>Dunse Scot</w:t>
      </w:r>
      <w:r w:rsidR="008A3899" w:rsidRPr="003D1E07">
        <w:rPr>
          <w:lang w:eastAsia="en-US"/>
        </w:rPr>
        <w:t>a</w:t>
      </w:r>
      <w:r w:rsidR="08A85D71" w:rsidRPr="003D1E07">
        <w:rPr>
          <w:lang w:eastAsia="en-US"/>
        </w:rPr>
        <w:t>.</w:t>
      </w:r>
    </w:p>
    <w:p w14:paraId="7018DAB5" w14:textId="49093D9B" w:rsidR="086B6661" w:rsidRPr="003D1E07" w:rsidRDefault="081349B9" w:rsidP="081349B9">
      <w:pPr>
        <w:pStyle w:val="Citace"/>
        <w:rPr>
          <w:noProof/>
          <w:lang w:val="cs-CZ"/>
        </w:rPr>
      </w:pPr>
      <w:r w:rsidRPr="003D1E07">
        <w:rPr>
          <w:noProof/>
          <w:lang w:val="cs-CZ"/>
        </w:rPr>
        <w:t>„</w:t>
      </w:r>
      <w:r w:rsidR="086B6661" w:rsidRPr="003D1E07">
        <w:rPr>
          <w:noProof/>
          <w:lang w:val="cs-CZ"/>
        </w:rPr>
        <w:t>Je zřejmé, že prv</w:t>
      </w:r>
      <w:r w:rsidR="00113737" w:rsidRPr="003D1E07">
        <w:rPr>
          <w:noProof/>
          <w:lang w:val="cs-CZ"/>
        </w:rPr>
        <w:t>ní určení, kterému patří pojem 'jsoucno'</w:t>
      </w:r>
      <w:r w:rsidR="086B6661" w:rsidRPr="003D1E07">
        <w:rPr>
          <w:noProof/>
          <w:lang w:val="cs-CZ"/>
        </w:rPr>
        <w:t xml:space="preserve"> v plné jednoduchosti a primár</w:t>
      </w:r>
      <w:r w:rsidR="08CC442C" w:rsidRPr="003D1E07">
        <w:rPr>
          <w:noProof/>
          <w:lang w:val="cs-CZ"/>
        </w:rPr>
        <w:t xml:space="preserve">ně je to, kterým se odpovídá </w:t>
      </w:r>
      <w:r w:rsidR="086B6661" w:rsidRPr="003D1E07">
        <w:rPr>
          <w:noProof/>
          <w:lang w:val="cs-CZ"/>
        </w:rPr>
        <w:t>na otázku</w:t>
      </w:r>
      <w:r w:rsidR="00B42F1C">
        <w:rPr>
          <w:noProof/>
          <w:lang w:val="cs-CZ"/>
        </w:rPr>
        <w:t>: C</w:t>
      </w:r>
      <w:r w:rsidR="086B6661" w:rsidRPr="003D1E07">
        <w:rPr>
          <w:noProof/>
          <w:lang w:val="cs-CZ"/>
        </w:rPr>
        <w:t>o je to</w:t>
      </w:r>
      <w:r w:rsidR="00430E99" w:rsidRPr="003D1E07">
        <w:rPr>
          <w:noProof/>
          <w:lang w:val="cs-CZ"/>
        </w:rPr>
        <w:t>to</w:t>
      </w:r>
      <w:r w:rsidR="086B6661" w:rsidRPr="003D1E07">
        <w:rPr>
          <w:noProof/>
          <w:lang w:val="cs-CZ"/>
        </w:rPr>
        <w:t xml:space="preserve"> nedělitelné, které evi</w:t>
      </w:r>
      <w:r w:rsidR="00B42F1C">
        <w:rPr>
          <w:noProof/>
          <w:lang w:val="cs-CZ"/>
        </w:rPr>
        <w:t>dentně existuje skrze sebe samo?</w:t>
      </w:r>
      <w:r w:rsidR="086B6661" w:rsidRPr="003D1E07">
        <w:rPr>
          <w:noProof/>
          <w:lang w:val="cs-CZ"/>
        </w:rPr>
        <w:t xml:space="preserve"> A toto tázání je o </w:t>
      </w:r>
      <w:r w:rsidR="081A29BF" w:rsidRPr="003D1E07">
        <w:rPr>
          <w:noProof/>
          <w:lang w:val="cs-CZ"/>
        </w:rPr>
        <w:t xml:space="preserve">první </w:t>
      </w:r>
      <w:r w:rsidR="086B6661" w:rsidRPr="003D1E07">
        <w:rPr>
          <w:noProof/>
          <w:lang w:val="cs-CZ"/>
        </w:rPr>
        <w:t>substanci.“</w:t>
      </w:r>
      <w:r w:rsidR="00A672FE" w:rsidRPr="003D1E07">
        <w:rPr>
          <w:noProof/>
          <w:lang w:val="cs-CZ"/>
        </w:rPr>
        <w:t> </w:t>
      </w:r>
      <w:r w:rsidR="086B6661" w:rsidRPr="003D1E07">
        <w:rPr>
          <w:rStyle w:val="Znakapoznpodarou"/>
          <w:noProof/>
          <w:lang w:val="cs-CZ"/>
        </w:rPr>
        <w:footnoteReference w:id="202"/>
      </w:r>
    </w:p>
    <w:p w14:paraId="048B4B4B" w14:textId="75BEF278" w:rsidR="08B47AE3" w:rsidRPr="003D1E07" w:rsidRDefault="08416D68" w:rsidP="00E04CA4">
      <w:pPr>
        <w:rPr>
          <w:lang w:eastAsia="en-US"/>
        </w:rPr>
      </w:pPr>
      <w:r w:rsidRPr="003D1E07">
        <w:rPr>
          <w:lang w:eastAsia="en-US"/>
        </w:rPr>
        <w:t xml:space="preserve">První a </w:t>
      </w:r>
      <w:r w:rsidR="081A29BF" w:rsidRPr="003D1E07">
        <w:rPr>
          <w:lang w:eastAsia="en-US"/>
        </w:rPr>
        <w:t xml:space="preserve">základní určení jsoucna v modu </w:t>
      </w:r>
      <w:r w:rsidRPr="003D1E07">
        <w:rPr>
          <w:i/>
        </w:rPr>
        <w:t>simpliciter et principaliter</w:t>
      </w:r>
      <w:r w:rsidRPr="003D1E07">
        <w:t xml:space="preserve"> </w:t>
      </w:r>
      <w:r w:rsidRPr="003D1E07">
        <w:rPr>
          <w:lang w:eastAsia="en-US"/>
        </w:rPr>
        <w:t>je dáno pro substanci existu</w:t>
      </w:r>
      <w:r w:rsidR="00675A7C" w:rsidRPr="003D1E07">
        <w:rPr>
          <w:lang w:eastAsia="en-US"/>
        </w:rPr>
        <w:t>jící v realitě. Pouze a jedině jsoucno</w:t>
      </w:r>
      <w:r w:rsidR="088F4BFB" w:rsidRPr="003D1E07">
        <w:rPr>
          <w:lang w:eastAsia="en-US"/>
        </w:rPr>
        <w:t xml:space="preserve"> jako „toto zde“ </w:t>
      </w:r>
      <w:r w:rsidR="0824296E" w:rsidRPr="003D1E07">
        <w:rPr>
          <w:lang w:eastAsia="en-US"/>
        </w:rPr>
        <w:t xml:space="preserve">plně odpovídá na otázku </w:t>
      </w:r>
      <w:r w:rsidR="00BE01CA">
        <w:rPr>
          <w:lang w:eastAsia="en-US"/>
        </w:rPr>
        <w:t>„</w:t>
      </w:r>
      <w:r w:rsidR="00BE01CA">
        <w:rPr>
          <w:i/>
          <w:lang w:eastAsia="en-US"/>
        </w:rPr>
        <w:t>Q</w:t>
      </w:r>
      <w:r w:rsidRPr="003D1E07">
        <w:rPr>
          <w:i/>
          <w:lang w:eastAsia="en-US"/>
        </w:rPr>
        <w:t>uid est</w:t>
      </w:r>
      <w:r w:rsidR="00BE01CA">
        <w:rPr>
          <w:i/>
          <w:lang w:eastAsia="en-US"/>
        </w:rPr>
        <w:t>?</w:t>
      </w:r>
      <w:r w:rsidR="00BE01CA" w:rsidRPr="00BE01CA">
        <w:rPr>
          <w:lang w:eastAsia="en-US"/>
        </w:rPr>
        <w:t>“</w:t>
      </w:r>
      <w:r w:rsidR="00BE01CA">
        <w:rPr>
          <w:lang w:eastAsia="en-US"/>
        </w:rPr>
        <w:t>,</w:t>
      </w:r>
      <w:r w:rsidR="08970B56" w:rsidRPr="003D1E07">
        <w:rPr>
          <w:lang w:eastAsia="en-US"/>
        </w:rPr>
        <w:t xml:space="preserve"> díky evidentní </w:t>
      </w:r>
      <w:r w:rsidRPr="003D1E07">
        <w:rPr>
          <w:lang w:eastAsia="en-US"/>
        </w:rPr>
        <w:t xml:space="preserve">existenci </w:t>
      </w:r>
      <w:r w:rsidR="08BD1D64" w:rsidRPr="003D1E07">
        <w:rPr>
          <w:lang w:eastAsia="en-US"/>
        </w:rPr>
        <w:t>aktuálního individua (</w:t>
      </w:r>
      <w:r w:rsidR="08BD1D64" w:rsidRPr="003D1E07">
        <w:rPr>
          <w:i/>
        </w:rPr>
        <w:t>hoc individuum demonstratum</w:t>
      </w:r>
      <w:r w:rsidR="08BD1D64" w:rsidRPr="003D1E07">
        <w:rPr>
          <w:lang w:eastAsia="en-US"/>
        </w:rPr>
        <w:t xml:space="preserve">) </w:t>
      </w:r>
      <w:r w:rsidR="08970B56" w:rsidRPr="003D1E07">
        <w:rPr>
          <w:lang w:eastAsia="en-US"/>
        </w:rPr>
        <w:t xml:space="preserve">dané </w:t>
      </w:r>
      <w:r w:rsidR="088F4BFB" w:rsidRPr="003D1E07">
        <w:rPr>
          <w:lang w:eastAsia="en-US"/>
        </w:rPr>
        <w:t xml:space="preserve">skrze vlastní akt bytující jsoucnosti </w:t>
      </w:r>
      <w:r w:rsidRPr="003D1E07">
        <w:rPr>
          <w:lang w:eastAsia="en-US"/>
        </w:rPr>
        <w:t>(</w:t>
      </w:r>
      <w:r w:rsidRPr="003D1E07">
        <w:rPr>
          <w:i/>
        </w:rPr>
        <w:t>exsistens per se</w:t>
      </w:r>
      <w:r w:rsidRPr="003D1E07">
        <w:rPr>
          <w:lang w:eastAsia="en-US"/>
        </w:rPr>
        <w:t xml:space="preserve">). </w:t>
      </w:r>
      <w:r w:rsidR="00FE4B7E" w:rsidRPr="003D1E07">
        <w:rPr>
          <w:lang w:eastAsia="en-US"/>
        </w:rPr>
        <w:t xml:space="preserve">Znovu je ve </w:t>
      </w:r>
      <w:r w:rsidR="08696347" w:rsidRPr="003D1E07">
        <w:rPr>
          <w:lang w:eastAsia="en-US"/>
        </w:rPr>
        <w:t xml:space="preserve">hře </w:t>
      </w:r>
      <w:r w:rsidR="00FE4B7E" w:rsidRPr="003D1E07">
        <w:rPr>
          <w:lang w:eastAsia="en-US"/>
        </w:rPr>
        <w:t xml:space="preserve">zásadní spor </w:t>
      </w:r>
      <w:r w:rsidR="00BB45B1" w:rsidRPr="003D1E07">
        <w:rPr>
          <w:lang w:eastAsia="en-US"/>
        </w:rPr>
        <w:t>Porfyri</w:t>
      </w:r>
      <w:r w:rsidR="00FE4B7E" w:rsidRPr="003D1E07">
        <w:rPr>
          <w:lang w:eastAsia="en-US"/>
        </w:rPr>
        <w:t xml:space="preserve">a a neoplatoniků o statut nedělitelné první substance. Co do smyslu tento výrok odpovídá </w:t>
      </w:r>
      <w:r w:rsidR="002E3B62" w:rsidRPr="003D1E07">
        <w:rPr>
          <w:lang w:eastAsia="en-US"/>
        </w:rPr>
        <w:t>Averroes</w:t>
      </w:r>
      <w:r w:rsidR="00FE4B7E" w:rsidRPr="003D1E07">
        <w:rPr>
          <w:lang w:eastAsia="en-US"/>
        </w:rPr>
        <w:t xml:space="preserve">ovu komentáři k </w:t>
      </w:r>
      <w:r w:rsidR="00FE4B7E" w:rsidRPr="003D1E07">
        <w:rPr>
          <w:i/>
          <w:lang w:eastAsia="en-US"/>
        </w:rPr>
        <w:t>Met. VII</w:t>
      </w:r>
      <w:r w:rsidR="08B47AE3" w:rsidRPr="003D1E07">
        <w:rPr>
          <w:lang w:eastAsia="en-US"/>
        </w:rPr>
        <w:t>, který tvrdí toto.</w:t>
      </w:r>
    </w:p>
    <w:p w14:paraId="6ED42155" w14:textId="5B326075" w:rsidR="08B47AE3" w:rsidRPr="003D1E07" w:rsidRDefault="00FE4B7E" w:rsidP="08B47AE3">
      <w:pPr>
        <w:pStyle w:val="Citace"/>
        <w:rPr>
          <w:lang w:val="cs-CZ"/>
        </w:rPr>
      </w:pPr>
      <w:r w:rsidRPr="003D1E07">
        <w:rPr>
          <w:lang w:val="cs-CZ"/>
        </w:rPr>
        <w:t>„A když zkoumáme, co je jsoucno existují</w:t>
      </w:r>
      <w:r w:rsidR="08DE6784" w:rsidRPr="003D1E07">
        <w:rPr>
          <w:lang w:val="cs-CZ"/>
        </w:rPr>
        <w:t xml:space="preserve">cí nedělitelně v realitě, pak </w:t>
      </w:r>
      <w:r w:rsidRPr="003D1E07">
        <w:rPr>
          <w:lang w:val="cs-CZ"/>
        </w:rPr>
        <w:t>na tuto o</w:t>
      </w:r>
      <w:r w:rsidR="085B5D6B" w:rsidRPr="003D1E07">
        <w:rPr>
          <w:lang w:val="cs-CZ"/>
        </w:rPr>
        <w:t xml:space="preserve">tázku </w:t>
      </w:r>
      <w:r w:rsidR="087C18C5" w:rsidRPr="003D1E07">
        <w:rPr>
          <w:lang w:val="cs-CZ"/>
        </w:rPr>
        <w:t xml:space="preserve">neexistuje žádná odpověď mimo </w:t>
      </w:r>
      <w:r w:rsidR="00D33FB7">
        <w:rPr>
          <w:lang w:val="cs-CZ"/>
        </w:rPr>
        <w:t xml:space="preserve">existenci </w:t>
      </w:r>
      <w:r w:rsidR="08A24872" w:rsidRPr="003D1E07">
        <w:rPr>
          <w:lang w:val="cs-CZ"/>
        </w:rPr>
        <w:t xml:space="preserve">aktuální </w:t>
      </w:r>
      <w:r w:rsidR="085B5D6B" w:rsidRPr="003D1E07">
        <w:rPr>
          <w:lang w:val="cs-CZ"/>
        </w:rPr>
        <w:t>věci</w:t>
      </w:r>
      <w:r w:rsidR="08EB7626" w:rsidRPr="003D1E07">
        <w:rPr>
          <w:lang w:val="cs-CZ"/>
        </w:rPr>
        <w:t>.</w:t>
      </w:r>
      <w:r w:rsidRPr="003D1E07">
        <w:rPr>
          <w:lang w:val="cs-CZ"/>
        </w:rPr>
        <w:t xml:space="preserve">“ </w:t>
      </w:r>
      <w:r w:rsidRPr="003D1E07">
        <w:rPr>
          <w:rStyle w:val="Znakapoznpodarou"/>
          <w:lang w:val="cs-CZ"/>
        </w:rPr>
        <w:footnoteReference w:id="203"/>
      </w:r>
    </w:p>
    <w:p w14:paraId="27A93566" w14:textId="536198F6" w:rsidR="00B758D9" w:rsidRDefault="08EB7626" w:rsidP="00E04CA4">
      <w:r w:rsidRPr="003D1E07">
        <w:t xml:space="preserve">Podobnou tezi </w:t>
      </w:r>
      <w:r w:rsidR="005E1268" w:rsidRPr="003D1E07">
        <w:rPr>
          <w:lang w:eastAsia="en-US"/>
        </w:rPr>
        <w:t>najde</w:t>
      </w:r>
      <w:r w:rsidR="000976D9" w:rsidRPr="003D1E07">
        <w:rPr>
          <w:lang w:eastAsia="en-US"/>
        </w:rPr>
        <w:t>me</w:t>
      </w:r>
      <w:r w:rsidR="005E1268" w:rsidRPr="003D1E07">
        <w:rPr>
          <w:lang w:eastAsia="en-US"/>
        </w:rPr>
        <w:t xml:space="preserve"> v centr</w:t>
      </w:r>
      <w:r w:rsidR="00521BAA" w:rsidRPr="003D1E07">
        <w:rPr>
          <w:lang w:eastAsia="en-US"/>
        </w:rPr>
        <w:t xml:space="preserve">ální části </w:t>
      </w:r>
      <w:r w:rsidR="002E3B62" w:rsidRPr="003D1E07">
        <w:rPr>
          <w:lang w:eastAsia="en-US"/>
        </w:rPr>
        <w:t>Averroes</w:t>
      </w:r>
      <w:r w:rsidR="00521BAA" w:rsidRPr="003D1E07">
        <w:rPr>
          <w:lang w:eastAsia="en-US"/>
        </w:rPr>
        <w:t>ova ko</w:t>
      </w:r>
      <w:r w:rsidR="000976D9" w:rsidRPr="003D1E07">
        <w:rPr>
          <w:lang w:eastAsia="en-US"/>
        </w:rPr>
        <w:t>mentář</w:t>
      </w:r>
      <w:r w:rsidR="005E1268" w:rsidRPr="003D1E07">
        <w:rPr>
          <w:lang w:eastAsia="en-US"/>
        </w:rPr>
        <w:t xml:space="preserve">e ke </w:t>
      </w:r>
      <w:r w:rsidR="005E1268" w:rsidRPr="003D1E07">
        <w:rPr>
          <w:i/>
          <w:lang w:eastAsia="en-US"/>
        </w:rPr>
        <w:t>Kategoriím</w:t>
      </w:r>
      <w:r w:rsidR="005E1268" w:rsidRPr="003D1E07">
        <w:rPr>
          <w:lang w:eastAsia="en-US"/>
        </w:rPr>
        <w:t xml:space="preserve">, kde </w:t>
      </w:r>
      <w:r w:rsidR="00521BAA" w:rsidRPr="003D1E07">
        <w:rPr>
          <w:lang w:eastAsia="en-US"/>
        </w:rPr>
        <w:t>se vykládá klíčová</w:t>
      </w:r>
      <w:r w:rsidR="005E1268" w:rsidRPr="003D1E07">
        <w:rPr>
          <w:lang w:eastAsia="en-US"/>
        </w:rPr>
        <w:t xml:space="preserve"> část hyparchické predikace </w:t>
      </w:r>
      <w:r w:rsidR="005E1268" w:rsidRPr="003D1E07">
        <w:rPr>
          <w:i/>
          <w:lang w:eastAsia="en-US"/>
        </w:rPr>
        <w:t>Cat</w:t>
      </w:r>
      <w:r w:rsidR="005E1268" w:rsidRPr="003D1E07">
        <w:rPr>
          <w:lang w:eastAsia="en-US"/>
        </w:rPr>
        <w:t>. 2a14‒16</w:t>
      </w:r>
      <w:r w:rsidR="00072C5A" w:rsidRPr="003D1E07">
        <w:rPr>
          <w:lang w:eastAsia="en-US"/>
        </w:rPr>
        <w:fldChar w:fldCharType="begin"/>
      </w:r>
      <w:r w:rsidR="00072C5A" w:rsidRPr="003D1E07">
        <w:instrText xml:space="preserve"> XE "</w:instrText>
      </w:r>
      <w:r w:rsidR="008E02F5" w:rsidRPr="003D1E07">
        <w:instrText>Aristoteles</w:instrText>
      </w:r>
      <w:r w:rsidR="00072C5A" w:rsidRPr="003D1E07">
        <w:instrText>:</w:instrText>
      </w:r>
      <w:r w:rsidR="00072C5A" w:rsidRPr="003D1E07">
        <w:rPr>
          <w:i/>
          <w:lang w:eastAsia="en-US"/>
        </w:rPr>
        <w:instrText>Cat</w:instrText>
      </w:r>
      <w:r w:rsidR="00072C5A" w:rsidRPr="003D1E07">
        <w:rPr>
          <w:lang w:eastAsia="en-US"/>
        </w:rPr>
        <w:instrText>. 2a14‒16</w:instrText>
      </w:r>
      <w:r w:rsidR="00072C5A" w:rsidRPr="003D1E07">
        <w:instrText xml:space="preserve">" </w:instrText>
      </w:r>
      <w:r w:rsidR="00072C5A" w:rsidRPr="003D1E07">
        <w:rPr>
          <w:lang w:eastAsia="en-US"/>
        </w:rPr>
        <w:fldChar w:fldCharType="end"/>
      </w:r>
      <w:r w:rsidR="008D3C8B" w:rsidRPr="003D1E07">
        <w:rPr>
          <w:lang w:eastAsia="en-US"/>
        </w:rPr>
        <w:t xml:space="preserve">, kterou </w:t>
      </w:r>
      <w:r w:rsidR="003C19B6" w:rsidRPr="003D1E07">
        <w:rPr>
          <w:lang w:eastAsia="en-US"/>
        </w:rPr>
        <w:t xml:space="preserve">předtím komentoval </w:t>
      </w:r>
      <w:r w:rsidR="083822E6" w:rsidRPr="003D1E07">
        <w:rPr>
          <w:lang w:eastAsia="en-US"/>
        </w:rPr>
        <w:t>Al-</w:t>
      </w:r>
      <w:r w:rsidR="008E02F5" w:rsidRPr="003D1E07">
        <w:rPr>
          <w:lang w:eastAsia="en-US"/>
        </w:rPr>
        <w:t>Fárábí</w:t>
      </w:r>
      <w:r w:rsidR="005E1268" w:rsidRPr="003D1E07">
        <w:rPr>
          <w:lang w:eastAsia="en-US"/>
        </w:rPr>
        <w:t>.</w:t>
      </w:r>
      <w:r w:rsidR="08226A0D" w:rsidRPr="003D1E07">
        <w:rPr>
          <w:lang w:eastAsia="en-US"/>
        </w:rPr>
        <w:t xml:space="preserve"> Komentátor stejně jako Druhý mistr zásadně trvá na rozdílu </w:t>
      </w:r>
      <w:r w:rsidR="08226A0D" w:rsidRPr="003D1E07">
        <w:rPr>
          <w:i/>
        </w:rPr>
        <w:t>secundum modum similitudinis</w:t>
      </w:r>
      <w:r w:rsidR="08226A0D" w:rsidRPr="003D1E07">
        <w:rPr>
          <w:lang w:eastAsia="en-US"/>
        </w:rPr>
        <w:t xml:space="preserve"> mezi první a druhou substancí.</w:t>
      </w:r>
      <w:r w:rsidR="08226A0D" w:rsidRPr="003D1E07">
        <w:rPr>
          <w:rStyle w:val="Znakapoznpodarou"/>
          <w:lang w:eastAsia="en-US"/>
        </w:rPr>
        <w:footnoteReference w:id="204"/>
      </w:r>
      <w:r w:rsidR="08226A0D" w:rsidRPr="003D1E07">
        <w:rPr>
          <w:lang w:eastAsia="en-US"/>
        </w:rPr>
        <w:t xml:space="preserve"> </w:t>
      </w:r>
      <w:r w:rsidR="00B83CAB">
        <w:rPr>
          <w:lang w:eastAsia="en-US"/>
        </w:rPr>
        <w:t xml:space="preserve">Impozice významu na </w:t>
      </w:r>
      <w:r w:rsidR="00B83CAB">
        <w:t>druhou substanci</w:t>
      </w:r>
      <w:r w:rsidR="08226A0D" w:rsidRPr="003D1E07">
        <w:fldChar w:fldCharType="begin"/>
      </w:r>
      <w:r w:rsidR="08226A0D" w:rsidRPr="003D1E07">
        <w:instrText xml:space="preserve"> XE "substance:druhá" </w:instrText>
      </w:r>
      <w:r w:rsidR="08226A0D" w:rsidRPr="003D1E07">
        <w:fldChar w:fldCharType="end"/>
      </w:r>
      <w:r w:rsidR="08226A0D" w:rsidRPr="003D1E07">
        <w:t xml:space="preserve"> by </w:t>
      </w:r>
      <w:r w:rsidR="08226A0D" w:rsidRPr="003D1E07">
        <w:lastRenderedPageBreak/>
        <w:t>přestala exis</w:t>
      </w:r>
      <w:r w:rsidR="005C7994">
        <w:t>tovat, kdyby zmizelo hyparchické bytí první substance.</w:t>
      </w:r>
      <w:r w:rsidR="087C18C5" w:rsidRPr="003D1E07">
        <w:t xml:space="preserve"> </w:t>
      </w:r>
      <w:r w:rsidR="00EA05EF">
        <w:t>A</w:t>
      </w:r>
      <w:r w:rsidR="089957CF" w:rsidRPr="003D1E07">
        <w:t xml:space="preserve">dekvátní </w:t>
      </w:r>
      <w:r w:rsidR="08887392" w:rsidRPr="003D1E07">
        <w:t xml:space="preserve">a proto kategoriální </w:t>
      </w:r>
      <w:r w:rsidR="087C18C5" w:rsidRPr="003D1E07">
        <w:t xml:space="preserve">vztah </w:t>
      </w:r>
      <w:r w:rsidR="00EA05EF">
        <w:t xml:space="preserve">první a druhé substance </w:t>
      </w:r>
      <w:r w:rsidR="089957CF" w:rsidRPr="003D1E07">
        <w:t xml:space="preserve">vzniká na úrovni poznání </w:t>
      </w:r>
      <w:r w:rsidR="08887392" w:rsidRPr="003D1E07">
        <w:t xml:space="preserve">a </w:t>
      </w:r>
      <w:r w:rsidR="087C18C5" w:rsidRPr="003D1E07">
        <w:t xml:space="preserve">je daný </w:t>
      </w:r>
      <w:r w:rsidR="08226A0D" w:rsidRPr="003D1E07">
        <w:t xml:space="preserve">v modu </w:t>
      </w:r>
      <w:r w:rsidR="087C18C5" w:rsidRPr="003D1E07">
        <w:t xml:space="preserve">kauzálně působícího </w:t>
      </w:r>
      <w:r w:rsidR="089108A9" w:rsidRPr="003D1E07">
        <w:t xml:space="preserve">metafyzického </w:t>
      </w:r>
      <w:r w:rsidR="087C18C5" w:rsidRPr="003D1E07">
        <w:t xml:space="preserve">dativu. </w:t>
      </w:r>
      <w:r w:rsidR="08226A0D" w:rsidRPr="003D1E07">
        <w:t xml:space="preserve">Protože je dán fenomén v realitě, pak může existovat jeho </w:t>
      </w:r>
      <w:r w:rsidR="00AB44AA">
        <w:t>poznání v</w:t>
      </w:r>
      <w:r w:rsidR="08226A0D" w:rsidRPr="003D1E07">
        <w:t xml:space="preserve"> mysli.</w:t>
      </w:r>
      <w:r w:rsidR="08847253" w:rsidRPr="003D1E07">
        <w:rPr>
          <w:lang w:eastAsia="en-US"/>
        </w:rPr>
        <w:t xml:space="preserve"> Vraťme se původnímu rozdělení první a druhé substance, které načrtnul Al-Fárábí</w:t>
      </w:r>
      <w:r w:rsidR="08847253" w:rsidRPr="003D1E07">
        <w:rPr>
          <w:lang w:eastAsia="en-US"/>
        </w:rPr>
        <w:fldChar w:fldCharType="begin"/>
      </w:r>
      <w:r w:rsidR="08847253" w:rsidRPr="003D1E07">
        <w:instrText xml:space="preserve"> XE "substance:Al-Fárábí" </w:instrText>
      </w:r>
      <w:r w:rsidR="08847253" w:rsidRPr="003D1E07">
        <w:rPr>
          <w:lang w:eastAsia="en-US"/>
        </w:rPr>
        <w:fldChar w:fldCharType="end"/>
      </w:r>
      <w:r w:rsidR="08847253" w:rsidRPr="003D1E07">
        <w:rPr>
          <w:lang w:eastAsia="en-US"/>
        </w:rPr>
        <w:t xml:space="preserve"> jako základní program pro metafyzické zkoumání Západu. Klíčová citace Abunaserova komentáře </w:t>
      </w:r>
      <w:r w:rsidR="08847253" w:rsidRPr="003D1E07">
        <w:rPr>
          <w:i/>
          <w:lang w:eastAsia="en-US"/>
        </w:rPr>
        <w:t>Kategorií</w:t>
      </w:r>
      <w:r w:rsidR="08847253" w:rsidRPr="003D1E07">
        <w:rPr>
          <w:lang w:eastAsia="en-US"/>
        </w:rPr>
        <w:t xml:space="preserve"> (</w:t>
      </w:r>
      <w:r w:rsidR="08847253" w:rsidRPr="003D1E07">
        <w:rPr>
          <w:i/>
          <w:lang w:eastAsia="en-US"/>
        </w:rPr>
        <w:t>Cat</w:t>
      </w:r>
      <w:r w:rsidR="08847253" w:rsidRPr="003D1E07">
        <w:rPr>
          <w:lang w:eastAsia="en-US"/>
        </w:rPr>
        <w:t xml:space="preserve">. </w:t>
      </w:r>
      <w:r w:rsidR="08847253" w:rsidRPr="003D1E07">
        <w:t>2a11–16</w:t>
      </w:r>
      <w:r w:rsidR="08847253" w:rsidRPr="003D1E07">
        <w:rPr>
          <w:lang w:eastAsia="en-US"/>
        </w:rPr>
        <w:fldChar w:fldCharType="begin"/>
      </w:r>
      <w:r w:rsidR="08847253" w:rsidRPr="003D1E07">
        <w:instrText xml:space="preserve"> XE "Aristoteles:</w:instrText>
      </w:r>
      <w:r w:rsidR="08847253" w:rsidRPr="003D1E07">
        <w:rPr>
          <w:i/>
          <w:lang w:eastAsia="en-US"/>
        </w:rPr>
        <w:instrText>Cat</w:instrText>
      </w:r>
      <w:r w:rsidR="08847253" w:rsidRPr="003D1E07">
        <w:rPr>
          <w:lang w:eastAsia="en-US"/>
        </w:rPr>
        <w:instrText xml:space="preserve">. </w:instrText>
      </w:r>
      <w:r w:rsidR="08847253" w:rsidRPr="003D1E07">
        <w:instrText xml:space="preserve">2a11–16" </w:instrText>
      </w:r>
      <w:r w:rsidR="08847253" w:rsidRPr="003D1E07">
        <w:rPr>
          <w:lang w:eastAsia="en-US"/>
        </w:rPr>
        <w:fldChar w:fldCharType="end"/>
      </w:r>
      <w:r w:rsidR="08847253" w:rsidRPr="003D1E07">
        <w:rPr>
          <w:lang w:eastAsia="en-US"/>
        </w:rPr>
        <w:t>) dostala v pojetí Averroesovy metafyziky nový smysl</w:t>
      </w:r>
      <w:r w:rsidR="08847253" w:rsidRPr="003D1E07">
        <w:t xml:space="preserve">. Substance je definována v citátu predikací </w:t>
      </w:r>
      <w:r w:rsidR="08847253" w:rsidRPr="003D1E07">
        <w:rPr>
          <w:i/>
        </w:rPr>
        <w:t>per prius</w:t>
      </w:r>
      <w:r w:rsidR="08847253" w:rsidRPr="003D1E07">
        <w:t xml:space="preserve"> a </w:t>
      </w:r>
      <w:r w:rsidR="08847253" w:rsidRPr="003D1E07">
        <w:rPr>
          <w:i/>
        </w:rPr>
        <w:t>per posterius</w:t>
      </w:r>
      <w:r w:rsidR="08847253" w:rsidRPr="003D1E07">
        <w:t xml:space="preserve"> vztažené jinak k první a jinak ke druhé substanci. </w:t>
      </w:r>
      <w:r w:rsidR="0824291C" w:rsidRPr="003D1E07">
        <w:rPr>
          <w:lang w:eastAsia="en-US"/>
        </w:rPr>
        <w:t xml:space="preserve">Averroes </w:t>
      </w:r>
      <w:r w:rsidR="0824291C" w:rsidRPr="003D1E07">
        <w:t xml:space="preserve">vyšetřuje substanci </w:t>
      </w:r>
      <w:r w:rsidR="0824291C" w:rsidRPr="003D1E07">
        <w:rPr>
          <w:i/>
        </w:rPr>
        <w:t>qua</w:t>
      </w:r>
      <w:r w:rsidR="0824291C" w:rsidRPr="003D1E07">
        <w:t xml:space="preserve"> substanci a proto </w:t>
      </w:r>
      <w:r w:rsidR="08BD445B" w:rsidRPr="003D1E07">
        <w:t>zkoumá Al-</w:t>
      </w:r>
      <w:r w:rsidR="08847253" w:rsidRPr="003D1E07">
        <w:t xml:space="preserve">Fárábím hledané </w:t>
      </w:r>
      <w:r w:rsidR="08497A0D" w:rsidRPr="003D1E07">
        <w:t>univerzální určení substance (</w:t>
      </w:r>
      <w:r w:rsidR="08847253" w:rsidRPr="003D1E07">
        <w:rPr>
          <w:i/>
        </w:rPr>
        <w:t>die allgemeinen Begriffe der Substanzen</w:t>
      </w:r>
      <w:r w:rsidR="08497A0D" w:rsidRPr="003D1E07">
        <w:rPr>
          <w:lang w:eastAsia="en-US"/>
        </w:rPr>
        <w:t>, kap. 2.1)</w:t>
      </w:r>
      <w:r w:rsidR="08847253" w:rsidRPr="003D1E07">
        <w:fldChar w:fldCharType="begin"/>
      </w:r>
      <w:r w:rsidR="08847253" w:rsidRPr="003D1E07">
        <w:instrText xml:space="preserve"> XE "substance:</w:instrText>
      </w:r>
      <w:r w:rsidR="08847253" w:rsidRPr="003D1E07">
        <w:rPr>
          <w:i/>
        </w:rPr>
        <w:instrText>qua</w:instrText>
      </w:r>
      <w:r w:rsidR="08847253" w:rsidRPr="003D1E07">
        <w:instrText xml:space="preserve"> substance" </w:instrText>
      </w:r>
      <w:r w:rsidR="08847253" w:rsidRPr="003D1E07">
        <w:fldChar w:fldCharType="end"/>
      </w:r>
      <w:r w:rsidR="08847253" w:rsidRPr="003D1E07">
        <w:t xml:space="preserve">. Averroes drží stejně jako Al-Fárábí klasické pojetí existující substance </w:t>
      </w:r>
      <w:r w:rsidR="08847253" w:rsidRPr="003D1E07">
        <w:rPr>
          <w:i/>
        </w:rPr>
        <w:t>per se</w:t>
      </w:r>
      <w:r w:rsidR="08847253" w:rsidRPr="003D1E07">
        <w:t xml:space="preserve"> (kap. 2.1.1). Z hlediska Averroes</w:t>
      </w:r>
      <w:r w:rsidR="08AC4F31" w:rsidRPr="003D1E07">
        <w:t>e znamená termín „vyšší“ v Al-</w:t>
      </w:r>
      <w:r w:rsidR="08847253" w:rsidRPr="003D1E07">
        <w:t>Fárábího definici substance (</w:t>
      </w:r>
      <w:r w:rsidR="08847253" w:rsidRPr="003D1E07">
        <w:rPr>
          <w:i/>
          <w:szCs w:val="26"/>
        </w:rPr>
        <w:t>des Namens 'Substanz' würdiger als die Individuen</w:t>
      </w:r>
      <w:r w:rsidR="08847253" w:rsidRPr="003D1E07">
        <w:t xml:space="preserve">) jednoznačně naplnění linie </w:t>
      </w:r>
      <w:r w:rsidR="08847253" w:rsidRPr="003D1E07">
        <w:rPr>
          <w:i/>
        </w:rPr>
        <w:t>Phys</w:t>
      </w:r>
      <w:r w:rsidR="08847253" w:rsidRPr="003D1E07">
        <w:t xml:space="preserve">. VIII a rovněž </w:t>
      </w:r>
      <w:r w:rsidR="08847253" w:rsidRPr="003D1E07">
        <w:rPr>
          <w:i/>
        </w:rPr>
        <w:t>Met</w:t>
      </w:r>
      <w:r w:rsidR="08847253" w:rsidRPr="003D1E07">
        <w:t>. IV, VIII a XII. Od zkoumání pohyblivé substance (porušitelné, neporušitelné) přešla první věda</w:t>
      </w:r>
      <w:r w:rsidR="08847253" w:rsidRPr="003D1E07">
        <w:fldChar w:fldCharType="begin"/>
      </w:r>
      <w:r w:rsidR="08847253" w:rsidRPr="003D1E07">
        <w:instrText xml:space="preserve"> XE "metafyzika:první věda" </w:instrText>
      </w:r>
      <w:r w:rsidR="08847253" w:rsidRPr="003D1E07">
        <w:fldChar w:fldCharType="end"/>
      </w:r>
      <w:r w:rsidR="08847253" w:rsidRPr="003D1E07">
        <w:t xml:space="preserve"> ke zkoumání nehybné a zcela jedinečné substance, kterou může zkoumat jak fyzik, tak zejména metafyzik. Termín „vyšší substance“ neznamená oddělené bytí pojaté transcendentálně (</w:t>
      </w:r>
      <w:r w:rsidR="08847253" w:rsidRPr="003D1E07">
        <w:rPr>
          <w:i/>
        </w:rPr>
        <w:t xml:space="preserve">ens </w:t>
      </w:r>
      <w:r w:rsidR="081649AF" w:rsidRPr="003D1E07">
        <w:rPr>
          <w:i/>
        </w:rPr>
        <w:t xml:space="preserve">inquantum </w:t>
      </w:r>
      <w:r w:rsidR="08847253" w:rsidRPr="003D1E07">
        <w:rPr>
          <w:i/>
        </w:rPr>
        <w:t>ens</w:t>
      </w:r>
      <w:r w:rsidR="08847253" w:rsidRPr="003D1E07">
        <w:t>) jako u Avicenny. Metafyzik má tu přednost, že je schopen zkoumat apodiktické principy první nemateriální substance, které fyzik pracující s materiálními substancemi pouze předpokládá. Averroes</w:t>
      </w:r>
      <w:r w:rsidR="086D2850" w:rsidRPr="003D1E07">
        <w:t xml:space="preserve"> proto řadí metafyziku za</w:t>
      </w:r>
      <w:r w:rsidR="08847253" w:rsidRPr="003D1E07">
        <w:t xml:space="preserve"> fyzikou, ale jedna věda se nemůže obejít bez druhé. </w:t>
      </w:r>
      <w:r w:rsidR="00BF0BEC" w:rsidRPr="00BF0BEC">
        <w:t xml:space="preserve">Tento postup je naprosto správný, protože se řídí základním </w:t>
      </w:r>
      <w:r w:rsidR="00BF0BEC">
        <w:t xml:space="preserve">významem spisu </w:t>
      </w:r>
      <w:r w:rsidR="00BF0BEC" w:rsidRPr="00BF0BEC">
        <w:rPr>
          <w:i/>
        </w:rPr>
        <w:t>Kategori</w:t>
      </w:r>
      <w:r w:rsidR="00BF0BEC">
        <w:rPr>
          <w:i/>
        </w:rPr>
        <w:t>e</w:t>
      </w:r>
      <w:r w:rsidR="00BF0BEC" w:rsidRPr="00BF0BEC">
        <w:t xml:space="preserve">. </w:t>
      </w:r>
      <w:r w:rsidR="00BF0BEC">
        <w:t xml:space="preserve">Geneze </w:t>
      </w:r>
      <w:r w:rsidR="00BF0BEC" w:rsidRPr="00BF0BEC">
        <w:t xml:space="preserve">významu </w:t>
      </w:r>
      <w:r w:rsidR="00BF0BEC">
        <w:t xml:space="preserve">jde </w:t>
      </w:r>
      <w:r w:rsidR="00BF0BEC" w:rsidRPr="00BF0BEC">
        <w:t xml:space="preserve">z první substance </w:t>
      </w:r>
      <w:r w:rsidR="00BF0BEC">
        <w:t xml:space="preserve">a přechází nejprve na species, tj. na fyziku, neboť species </w:t>
      </w:r>
      <w:r w:rsidR="00BF0BEC" w:rsidRPr="00BF0BEC">
        <w:t xml:space="preserve">a fyzika stojí </w:t>
      </w:r>
      <w:r w:rsidR="00BF0BEC">
        <w:t xml:space="preserve">hned </w:t>
      </w:r>
      <w:r w:rsidR="00BF0BEC" w:rsidRPr="00BF0BEC">
        <w:t xml:space="preserve">vedle první substance. Po správném provedení </w:t>
      </w:r>
      <w:r w:rsidR="00BF0BEC">
        <w:t xml:space="preserve">impozice kategorálního významu </w:t>
      </w:r>
      <w:r w:rsidR="00BF0BEC" w:rsidRPr="00BF0BEC">
        <w:t>z reálného světa (</w:t>
      </w:r>
      <w:r w:rsidR="00BF0BEC" w:rsidRPr="00BF0BEC">
        <w:rPr>
          <w:i/>
        </w:rPr>
        <w:t>Fyzika VIII</w:t>
      </w:r>
      <w:r w:rsidR="00BF0BEC" w:rsidRPr="00BF0BEC">
        <w:t xml:space="preserve">) může reflexe začít na úrovni obecné </w:t>
      </w:r>
      <w:r w:rsidR="00BF0BEC">
        <w:t>supozice</w:t>
      </w:r>
      <w:r w:rsidR="00BF0BEC" w:rsidRPr="00BF0BEC">
        <w:t xml:space="preserve">, </w:t>
      </w:r>
      <w:r w:rsidR="00BF0BEC">
        <w:t>což znamená zkoumání</w:t>
      </w:r>
      <w:r w:rsidR="00BF0BEC" w:rsidRPr="00BF0BEC">
        <w:t xml:space="preserve"> nejvyšší</w:t>
      </w:r>
      <w:r w:rsidR="00BF0BEC">
        <w:t>ch principů</w:t>
      </w:r>
      <w:r w:rsidR="00BF0BEC" w:rsidRPr="00BF0BEC">
        <w:t xml:space="preserve"> bytí </w:t>
      </w:r>
      <w:r w:rsidR="00BF0BEC">
        <w:t xml:space="preserve">jsoucna </w:t>
      </w:r>
      <w:r w:rsidR="0043732A">
        <w:t xml:space="preserve">na úrovni rodu </w:t>
      </w:r>
      <w:r w:rsidR="00BF0BEC" w:rsidRPr="00BF0BEC">
        <w:t>(</w:t>
      </w:r>
      <w:r w:rsidR="00BF0BEC" w:rsidRPr="00BF0BEC">
        <w:rPr>
          <w:i/>
        </w:rPr>
        <w:t>Metafyzika Gamma, Lambda</w:t>
      </w:r>
      <w:r w:rsidR="00BF0BEC" w:rsidRPr="00BF0BEC">
        <w:t>).</w:t>
      </w:r>
      <w:r w:rsidR="00BF0BEC">
        <w:t xml:space="preserve"> </w:t>
      </w:r>
      <w:r w:rsidR="08847253" w:rsidRPr="003D1E07">
        <w:t xml:space="preserve">Oba apodiktické mody zkoumání první substance mají jeden reálný předmět zkoumaný ze dvou stran. </w:t>
      </w:r>
      <w:r w:rsidR="00E400BE">
        <w:t xml:space="preserve">Specifickou impozici významu zajišťuje fyzika, generickou supozici významu </w:t>
      </w:r>
      <w:r w:rsidR="002A2EC9">
        <w:t xml:space="preserve">zajišťuje </w:t>
      </w:r>
      <w:r w:rsidR="00E400BE">
        <w:t xml:space="preserve">metafyzika. </w:t>
      </w:r>
      <w:r w:rsidR="002A2EC9">
        <w:t xml:space="preserve">Nyní je jasné, proč se metafyzika neobejde bez fyziky a v čem se zásadně mýlili Alexander a Avicenna. Navrhli zcela nerealistickou metafyziku moderny. </w:t>
      </w:r>
      <w:r w:rsidR="08C835B8" w:rsidRPr="003D1E07">
        <w:t xml:space="preserve">Metafyzika Averroese ve smyslu </w:t>
      </w:r>
      <w:r w:rsidR="00E36D31">
        <w:t>„</w:t>
      </w:r>
      <w:r w:rsidR="00BA3248">
        <w:t xml:space="preserve">substance </w:t>
      </w:r>
      <w:r w:rsidR="08C835B8" w:rsidRPr="003D1E07">
        <w:rPr>
          <w:i/>
          <w:szCs w:val="24"/>
        </w:rPr>
        <w:t xml:space="preserve">qua </w:t>
      </w:r>
      <w:r w:rsidR="00BA3248" w:rsidRPr="00BA3248">
        <w:rPr>
          <w:szCs w:val="24"/>
        </w:rPr>
        <w:t>substance</w:t>
      </w:r>
      <w:r w:rsidR="00E36D31">
        <w:rPr>
          <w:szCs w:val="24"/>
        </w:rPr>
        <w:t>“</w:t>
      </w:r>
      <w:r w:rsidR="08B71E1D" w:rsidRPr="00BA3248">
        <w:fldChar w:fldCharType="begin"/>
      </w:r>
      <w:r w:rsidR="08B71E1D" w:rsidRPr="00BA3248">
        <w:instrText xml:space="preserve"> XE "</w:instrText>
      </w:r>
      <w:r w:rsidR="00AF7D2C">
        <w:instrText>substance qua substance</w:instrText>
      </w:r>
      <w:r w:rsidR="08B71E1D" w:rsidRPr="00BA3248">
        <w:instrText xml:space="preserve">" </w:instrText>
      </w:r>
      <w:r w:rsidR="08B71E1D" w:rsidRPr="00BA3248">
        <w:fldChar w:fldCharType="end"/>
      </w:r>
      <w:r w:rsidR="08C835B8" w:rsidRPr="003D1E07">
        <w:rPr>
          <w:szCs w:val="24"/>
        </w:rPr>
        <w:t xml:space="preserve"> a metafyzika Avicenny ve smyslu </w:t>
      </w:r>
      <w:r w:rsidR="00E36D31">
        <w:rPr>
          <w:szCs w:val="24"/>
        </w:rPr>
        <w:t>„</w:t>
      </w:r>
      <w:r w:rsidR="08C835B8" w:rsidRPr="003D1E07">
        <w:rPr>
          <w:i/>
          <w:szCs w:val="24"/>
        </w:rPr>
        <w:t>ens inquantum ens</w:t>
      </w:r>
      <w:r w:rsidR="00E36D31" w:rsidRPr="00E36D31">
        <w:rPr>
          <w:i/>
          <w:szCs w:val="24"/>
        </w:rPr>
        <w:t>“</w:t>
      </w:r>
      <w:r w:rsidR="08C835B8" w:rsidRPr="003D1E07">
        <w:rPr>
          <w:szCs w:val="24"/>
        </w:rPr>
        <w:t xml:space="preserve"> jsou dva </w:t>
      </w:r>
      <w:r w:rsidR="08C835B8" w:rsidRPr="003D1E07">
        <w:rPr>
          <w:szCs w:val="24"/>
        </w:rPr>
        <w:lastRenderedPageBreak/>
        <w:t>naprosto odlišné projekty první vědy</w:t>
      </w:r>
      <w:r w:rsidR="0098720F">
        <w:rPr>
          <w:szCs w:val="24"/>
        </w:rPr>
        <w:t>, která pojednávají</w:t>
      </w:r>
      <w:r w:rsidR="085F04BD" w:rsidRPr="003D1E07">
        <w:rPr>
          <w:szCs w:val="24"/>
        </w:rPr>
        <w:t xml:space="preserve"> poslední jednotu jsoucna</w:t>
      </w:r>
      <w:r w:rsidR="08C835B8" w:rsidRPr="003D1E07">
        <w:rPr>
          <w:szCs w:val="24"/>
        </w:rPr>
        <w:t xml:space="preserve">. </w:t>
      </w:r>
      <w:r w:rsidR="08847253" w:rsidRPr="003D1E07">
        <w:t>Proto označujeme Averroesovo pojetí první vědy</w:t>
      </w:r>
      <w:r w:rsidR="08AC4F31" w:rsidRPr="003D1E07">
        <w:t xml:space="preserve"> termínem „meta-</w:t>
      </w:r>
      <w:r w:rsidR="08847253" w:rsidRPr="003D1E07">
        <w:t>fyzika“</w:t>
      </w:r>
      <w:r w:rsidR="08847253" w:rsidRPr="003D1E07">
        <w:fldChar w:fldCharType="begin"/>
      </w:r>
      <w:r w:rsidR="08847253" w:rsidRPr="003D1E07">
        <w:instrText xml:space="preserve"> XE "metafyzika:Averroes" </w:instrText>
      </w:r>
      <w:r w:rsidR="08847253" w:rsidRPr="003D1E07">
        <w:fldChar w:fldCharType="end"/>
      </w:r>
      <w:r w:rsidR="081A76EC" w:rsidRPr="003D1E07">
        <w:t xml:space="preserve">. Tento název </w:t>
      </w:r>
      <w:r w:rsidR="08847253" w:rsidRPr="003D1E07">
        <w:t xml:space="preserve">původně použil Andronikos z Rhodu pro zařazení Aristotelových spisů věnovaných hledání první vědy o substanci. </w:t>
      </w:r>
      <w:r w:rsidR="08D04042" w:rsidRPr="003D1E07">
        <w:t>Avicennova „metafy</w:t>
      </w:r>
      <w:r w:rsidR="08AC4F31" w:rsidRPr="003D1E07">
        <w:t>zika“ se stala simulákrem „meta-</w:t>
      </w:r>
      <w:r w:rsidR="08D04042" w:rsidRPr="003D1E07">
        <w:t>fyziky“</w:t>
      </w:r>
      <w:r w:rsidR="00E03CD6">
        <w:t xml:space="preserve"> Averroese</w:t>
      </w:r>
      <w:r w:rsidR="08D04042" w:rsidRPr="003D1E07">
        <w:t xml:space="preserve">. </w:t>
      </w:r>
      <w:r w:rsidR="000B29EE" w:rsidRPr="003D1E07">
        <w:t xml:space="preserve">Rozdělovník symbolizuje archaickou sémantiku </w:t>
      </w:r>
      <w:r w:rsidR="08A4123B" w:rsidRPr="003D1E07">
        <w:t xml:space="preserve">v modu apollinského spojení s počátkem </w:t>
      </w:r>
      <w:r w:rsidR="00F15013" w:rsidRPr="003D1E07">
        <w:t>(</w:t>
      </w:r>
      <w:r w:rsidR="00F15013" w:rsidRPr="003D1E07">
        <w:rPr>
          <w:i/>
        </w:rPr>
        <w:t>Anfang</w:t>
      </w:r>
      <w:r w:rsidR="00F15013" w:rsidRPr="003D1E07">
        <w:t xml:space="preserve">) aristotelské </w:t>
      </w:r>
      <w:r w:rsidR="08A4123B" w:rsidRPr="003D1E07">
        <w:t>metafyziky (</w:t>
      </w:r>
      <w:r w:rsidR="000B29EE" w:rsidRPr="003D1E07">
        <w:rPr>
          <w:i/>
        </w:rPr>
        <w:t>sýmbolon</w:t>
      </w:r>
      <w:r w:rsidR="00786BA8" w:rsidRPr="003D1E07">
        <w:rPr>
          <w:i/>
        </w:rPr>
        <w:fldChar w:fldCharType="begin"/>
      </w:r>
      <w:r w:rsidR="00786BA8" w:rsidRPr="003D1E07">
        <w:instrText xml:space="preserve"> XE "</w:instrText>
      </w:r>
      <w:r w:rsidR="00786BA8" w:rsidRPr="003D1E07">
        <w:rPr>
          <w:i/>
        </w:rPr>
        <w:instrText>sýmbolon</w:instrText>
      </w:r>
      <w:r w:rsidR="00786BA8" w:rsidRPr="003D1E07">
        <w:instrText xml:space="preserve">" </w:instrText>
      </w:r>
      <w:r w:rsidR="00786BA8" w:rsidRPr="003D1E07">
        <w:rPr>
          <w:i/>
        </w:rPr>
        <w:fldChar w:fldCharType="end"/>
      </w:r>
      <w:r w:rsidR="000B29EE" w:rsidRPr="003D1E07">
        <w:t>). Symbolika u</w:t>
      </w:r>
      <w:r w:rsidR="08D04042" w:rsidRPr="003D1E07">
        <w:t xml:space="preserve">kazuje na </w:t>
      </w:r>
      <w:r w:rsidR="08A4123B" w:rsidRPr="003D1E07">
        <w:t xml:space="preserve">skryté </w:t>
      </w:r>
      <w:r w:rsidR="08D04042" w:rsidRPr="003D1E07">
        <w:t xml:space="preserve">působení </w:t>
      </w:r>
      <w:r w:rsidR="000B29EE" w:rsidRPr="003D1E07">
        <w:t>Múz, které poznamenaly začátek (</w:t>
      </w:r>
      <w:r w:rsidR="000B29EE" w:rsidRPr="003D1E07">
        <w:rPr>
          <w:i/>
        </w:rPr>
        <w:t>Beginn</w:t>
      </w:r>
      <w:r w:rsidR="00786BA8" w:rsidRPr="003D1E07">
        <w:rPr>
          <w:i/>
        </w:rPr>
        <w:fldChar w:fldCharType="begin"/>
      </w:r>
      <w:r w:rsidR="00786BA8" w:rsidRPr="003D1E07">
        <w:instrText xml:space="preserve"> XE "</w:instrText>
      </w:r>
      <w:r w:rsidR="00786BA8" w:rsidRPr="003D1E07">
        <w:rPr>
          <w:i/>
        </w:rPr>
        <w:instrText>Anfang/Beginn</w:instrText>
      </w:r>
      <w:r w:rsidR="00786BA8" w:rsidRPr="003D1E07">
        <w:instrText xml:space="preserve">" </w:instrText>
      </w:r>
      <w:r w:rsidR="00786BA8" w:rsidRPr="003D1E07">
        <w:rPr>
          <w:i/>
        </w:rPr>
        <w:fldChar w:fldCharType="end"/>
      </w:r>
      <w:r w:rsidR="000B29EE" w:rsidRPr="003D1E07">
        <w:t>) moderní metafyziky skrze působení pohyně</w:t>
      </w:r>
      <w:r w:rsidR="08D04042" w:rsidRPr="003D1E07">
        <w:t xml:space="preserve"> Pomsty</w:t>
      </w:r>
      <w:r w:rsidR="00786BA8" w:rsidRPr="003D1E07">
        <w:fldChar w:fldCharType="begin"/>
      </w:r>
      <w:r w:rsidR="00786BA8" w:rsidRPr="003D1E07">
        <w:instrText xml:space="preserve"> XE "Fúrie" </w:instrText>
      </w:r>
      <w:r w:rsidR="00786BA8" w:rsidRPr="003D1E07">
        <w:fldChar w:fldCharType="end"/>
      </w:r>
      <w:r w:rsidR="08D04042" w:rsidRPr="003D1E07">
        <w:t xml:space="preserve"> (kap. 1.2). </w:t>
      </w:r>
      <w:r w:rsidR="080C5561" w:rsidRPr="003D1E07">
        <w:t>Poznání v modu a</w:t>
      </w:r>
      <w:r w:rsidR="08391671" w:rsidRPr="003D1E07">
        <w:t>dekvace jde od reálné první substance nasvícením zepředu směrem ke kategoriálně predikované druhé sub</w:t>
      </w:r>
      <w:r w:rsidR="086F6274" w:rsidRPr="003D1E07">
        <w:t>s</w:t>
      </w:r>
      <w:r w:rsidR="08391671" w:rsidRPr="003D1E07">
        <w:t xml:space="preserve">tanci. </w:t>
      </w:r>
      <w:r w:rsidR="00DD025C" w:rsidRPr="00DD025C">
        <w:t xml:space="preserve">Proto </w:t>
      </w:r>
      <w:r w:rsidR="00DD025C" w:rsidRPr="00DD025C">
        <w:rPr>
          <w:i/>
        </w:rPr>
        <w:t>Velký komentář k De anima</w:t>
      </w:r>
      <w:r w:rsidR="00DD025C" w:rsidRPr="00DD025C">
        <w:t xml:space="preserve"> (CMDA) zdůrazňuje, že musí existovat alespoň jeden skutečně myslící člověk, aby byla zajištěna existence hmotného intelektu jako univerzálního druhu. V tomto případě se existence filosofie jako obecné vědy uskutečňuje </w:t>
      </w:r>
      <w:r w:rsidR="00DD025C">
        <w:t xml:space="preserve">impozicí </w:t>
      </w:r>
      <w:r w:rsidR="00DD025C" w:rsidRPr="00DD025C">
        <w:t xml:space="preserve">smyslu </w:t>
      </w:r>
      <w:r w:rsidR="00DD025C">
        <w:t xml:space="preserve">od </w:t>
      </w:r>
      <w:r w:rsidR="00DD025C" w:rsidRPr="00DD025C">
        <w:t xml:space="preserve">skutečně existujícího myšlení. Tato shoda se skutečností zajišťuje </w:t>
      </w:r>
      <w:r w:rsidR="00DD025C">
        <w:t>deduktivní důkaz univerzálně daného</w:t>
      </w:r>
      <w:r w:rsidR="00DD025C" w:rsidRPr="00DD025C">
        <w:t xml:space="preserve"> intelekt</w:t>
      </w:r>
      <w:r w:rsidR="00B758D9">
        <w:t>u (kap. 2.4.3).</w:t>
      </w:r>
    </w:p>
    <w:p w14:paraId="72414718" w14:textId="77777777" w:rsidR="00504E57" w:rsidRDefault="00031096" w:rsidP="00B758D9">
      <w:pPr>
        <w:ind w:firstLine="397"/>
      </w:pPr>
      <w:r w:rsidRPr="003D1E07">
        <w:rPr>
          <w:lang w:eastAsia="en-US"/>
        </w:rPr>
        <w:t>Co tedy zmýlilo Avicennu</w:t>
      </w:r>
      <w:r w:rsidR="00476546" w:rsidRPr="003D1E07">
        <w:rPr>
          <w:lang w:eastAsia="en-US"/>
        </w:rPr>
        <w:t xml:space="preserve"> a způsobilo, že jeho projekt metafyziky je zásadně chybný</w:t>
      </w:r>
      <w:r w:rsidRPr="003D1E07">
        <w:rPr>
          <w:lang w:eastAsia="en-US"/>
        </w:rPr>
        <w:t>?</w:t>
      </w:r>
      <w:r w:rsidR="00747389" w:rsidRPr="003D1E07">
        <w:rPr>
          <w:lang w:eastAsia="en-US"/>
        </w:rPr>
        <w:t xml:space="preserve"> </w:t>
      </w:r>
      <w:r w:rsidR="00380969" w:rsidRPr="003D1E07">
        <w:rPr>
          <w:lang w:eastAsia="en-US"/>
        </w:rPr>
        <w:t>Zásadní a</w:t>
      </w:r>
      <w:r w:rsidR="00372EBC" w:rsidRPr="003D1E07">
        <w:rPr>
          <w:lang w:eastAsia="en-US"/>
        </w:rPr>
        <w:t xml:space="preserve">rgumentaci proti Avicennovi najdeme </w:t>
      </w:r>
      <w:r w:rsidR="08357F4D" w:rsidRPr="003D1E07">
        <w:rPr>
          <w:lang w:eastAsia="en-US"/>
        </w:rPr>
        <w:t>v</w:t>
      </w:r>
      <w:r w:rsidR="00A33554">
        <w:rPr>
          <w:lang w:eastAsia="en-US"/>
        </w:rPr>
        <w:t xml:space="preserve">e </w:t>
      </w:r>
      <w:r w:rsidR="00A33554" w:rsidRPr="00A33554">
        <w:rPr>
          <w:i/>
          <w:lang w:eastAsia="en-US"/>
        </w:rPr>
        <w:t>V</w:t>
      </w:r>
      <w:r w:rsidR="08357F4D" w:rsidRPr="00A33554">
        <w:rPr>
          <w:i/>
          <w:lang w:eastAsia="en-US"/>
        </w:rPr>
        <w:t>elkém komentáři</w:t>
      </w:r>
      <w:r w:rsidR="00B62A55" w:rsidRPr="00A33554">
        <w:rPr>
          <w:i/>
          <w:lang w:eastAsia="en-US"/>
        </w:rPr>
        <w:t xml:space="preserve"> k </w:t>
      </w:r>
      <w:r w:rsidR="00B62A55" w:rsidRPr="003D1E07">
        <w:rPr>
          <w:i/>
          <w:lang w:eastAsia="en-US"/>
        </w:rPr>
        <w:t>Metafyzice</w:t>
      </w:r>
      <w:r w:rsidR="00C31352" w:rsidRPr="003D1E07">
        <w:rPr>
          <w:lang w:eastAsia="en-US"/>
        </w:rPr>
        <w:t xml:space="preserve">, který jsme citovali výše. </w:t>
      </w:r>
      <w:r w:rsidR="00B62A55" w:rsidRPr="003D1E07">
        <w:rPr>
          <w:lang w:eastAsia="en-US"/>
        </w:rPr>
        <w:t>Z</w:t>
      </w:r>
      <w:r w:rsidR="00372EBC" w:rsidRPr="003D1E07">
        <w:rPr>
          <w:lang w:eastAsia="en-US"/>
        </w:rPr>
        <w:t>ávěr citace</w:t>
      </w:r>
      <w:r w:rsidR="00380969" w:rsidRPr="003D1E07">
        <w:rPr>
          <w:lang w:eastAsia="en-US"/>
        </w:rPr>
        <w:t xml:space="preserve"> </w:t>
      </w:r>
      <w:r w:rsidR="085B2686" w:rsidRPr="003D1E07">
        <w:rPr>
          <w:lang w:eastAsia="en-US"/>
        </w:rPr>
        <w:t xml:space="preserve">zmiňuje </w:t>
      </w:r>
      <w:r w:rsidR="00F15013" w:rsidRPr="003D1E07">
        <w:rPr>
          <w:lang w:eastAsia="en-US"/>
        </w:rPr>
        <w:t>temnotu či nej</w:t>
      </w:r>
      <w:r w:rsidR="00D14259" w:rsidRPr="003D1E07">
        <w:rPr>
          <w:lang w:eastAsia="en-US"/>
        </w:rPr>
        <w:t>a</w:t>
      </w:r>
      <w:r w:rsidR="00F15013" w:rsidRPr="003D1E07">
        <w:rPr>
          <w:lang w:eastAsia="en-US"/>
        </w:rPr>
        <w:t>snost (</w:t>
      </w:r>
      <w:r w:rsidR="00F15013" w:rsidRPr="003D1E07">
        <w:rPr>
          <w:i/>
          <w:lang w:eastAsia="en-US"/>
        </w:rPr>
        <w:t>obscurity</w:t>
      </w:r>
      <w:r w:rsidR="00F15013" w:rsidRPr="003D1E07">
        <w:rPr>
          <w:lang w:eastAsia="en-US"/>
        </w:rPr>
        <w:t>)</w:t>
      </w:r>
      <w:r w:rsidR="00380969" w:rsidRPr="003D1E07">
        <w:rPr>
          <w:lang w:eastAsia="en-US"/>
        </w:rPr>
        <w:t>, která zmýli</w:t>
      </w:r>
      <w:r w:rsidR="00B62A55" w:rsidRPr="003D1E07">
        <w:rPr>
          <w:lang w:eastAsia="en-US"/>
        </w:rPr>
        <w:t>la Avicennu</w:t>
      </w:r>
      <w:r w:rsidR="085B2686" w:rsidRPr="003D1E07">
        <w:rPr>
          <w:lang w:eastAsia="en-US"/>
        </w:rPr>
        <w:t xml:space="preserve">. </w:t>
      </w:r>
      <w:r w:rsidR="002E3B62" w:rsidRPr="003D1E07">
        <w:t>Averroes</w:t>
      </w:r>
      <w:r w:rsidR="004F7C68" w:rsidRPr="003D1E07">
        <w:t xml:space="preserve"> napadá </w:t>
      </w:r>
      <w:r w:rsidR="002C4966" w:rsidRPr="003D1E07">
        <w:t>oddělení fyziky od metafyziky, proto</w:t>
      </w:r>
      <w:r w:rsidR="00EC309C" w:rsidRPr="003D1E07">
        <w:t>že</w:t>
      </w:r>
      <w:r w:rsidR="004F7C68" w:rsidRPr="003D1E07">
        <w:t xml:space="preserve"> Avicenna </w:t>
      </w:r>
      <w:r w:rsidR="08833BBC" w:rsidRPr="003D1E07">
        <w:t>ne</w:t>
      </w:r>
      <w:r w:rsidR="004F7C68" w:rsidRPr="003D1E07">
        <w:t>pochopil původní architekturu Aristotelova myšlení.</w:t>
      </w:r>
      <w:r w:rsidR="08DC5538" w:rsidRPr="003D1E07">
        <w:t xml:space="preserve"> </w:t>
      </w:r>
      <w:r w:rsidR="00DD5EC8" w:rsidRPr="003D1E07">
        <w:rPr>
          <w:lang w:eastAsia="en-US"/>
        </w:rPr>
        <w:t>Avicenna</w:t>
      </w:r>
      <w:r w:rsidR="08755F32" w:rsidRPr="003D1E07">
        <w:rPr>
          <w:lang w:eastAsia="en-US"/>
        </w:rPr>
        <w:t xml:space="preserve"> anuluje metafyzickou aspiraci </w:t>
      </w:r>
      <w:r w:rsidR="08755F32" w:rsidRPr="003D1E07">
        <w:rPr>
          <w:i/>
          <w:lang w:eastAsia="en-US"/>
        </w:rPr>
        <w:t>F</w:t>
      </w:r>
      <w:r w:rsidR="00DD5EC8" w:rsidRPr="003D1E07">
        <w:rPr>
          <w:i/>
          <w:lang w:eastAsia="en-US"/>
        </w:rPr>
        <w:t>yziky</w:t>
      </w:r>
      <w:r w:rsidR="00DD5EC8" w:rsidRPr="003D1E07">
        <w:rPr>
          <w:lang w:eastAsia="en-US"/>
        </w:rPr>
        <w:t xml:space="preserve"> </w:t>
      </w:r>
      <w:r w:rsidR="08833BBC" w:rsidRPr="003D1E07">
        <w:rPr>
          <w:lang w:eastAsia="en-US"/>
        </w:rPr>
        <w:t xml:space="preserve">VIII </w:t>
      </w:r>
      <w:r w:rsidR="00DD5EC8" w:rsidRPr="003D1E07">
        <w:rPr>
          <w:lang w:eastAsia="en-US"/>
        </w:rPr>
        <w:t xml:space="preserve">tvrzením z </w:t>
      </w:r>
      <w:r w:rsidR="00DD5EC8" w:rsidRPr="003D1E07">
        <w:rPr>
          <w:i/>
          <w:lang w:eastAsia="en-US"/>
        </w:rPr>
        <w:t>Metafyziky</w:t>
      </w:r>
      <w:r w:rsidR="08755F32" w:rsidRPr="003D1E07">
        <w:rPr>
          <w:lang w:eastAsia="en-US"/>
        </w:rPr>
        <w:t xml:space="preserve">, že je nemožné ve speciální </w:t>
      </w:r>
      <w:r w:rsidR="00DD5EC8" w:rsidRPr="003D1E07">
        <w:rPr>
          <w:lang w:eastAsia="en-US"/>
        </w:rPr>
        <w:t>vědě dokázat první principy. Vznikl by nekonečný regres a tím by padla samotná možnost vědeckého důkazu.</w:t>
      </w:r>
      <w:r w:rsidR="00DD5EC8" w:rsidRPr="003D1E07">
        <w:rPr>
          <w:rStyle w:val="Znakapoznpodarou"/>
          <w:lang w:eastAsia="en-US"/>
        </w:rPr>
        <w:footnoteReference w:id="205"/>
      </w:r>
      <w:r w:rsidR="00DD5EC8" w:rsidRPr="003D1E07">
        <w:rPr>
          <w:lang w:eastAsia="en-US"/>
        </w:rPr>
        <w:t xml:space="preserve"> </w:t>
      </w:r>
      <w:r w:rsidR="002E3B62" w:rsidRPr="003D1E07">
        <w:rPr>
          <w:lang w:eastAsia="en-US"/>
        </w:rPr>
        <w:t>Averroes</w:t>
      </w:r>
      <w:r w:rsidR="000E5B97" w:rsidRPr="003D1E07">
        <w:rPr>
          <w:lang w:eastAsia="en-US"/>
        </w:rPr>
        <w:t xml:space="preserve"> souhlasí s Alexandrovou a Avicennovou argumentací, že studium pohybu patří do smyslově podmíněného poznání, na rozdíl od rozumově dané první vědy. Podřízený statut fyziky však není důvod k tomu, aby byla vyřazena z nároku na první vědu, protože i fyzika zkoumá určité </w:t>
      </w:r>
      <w:r w:rsidR="08A33268" w:rsidRPr="003D1E07">
        <w:rPr>
          <w:lang w:eastAsia="en-US"/>
        </w:rPr>
        <w:t>univer</w:t>
      </w:r>
      <w:r w:rsidR="087B20E5" w:rsidRPr="003D1E07">
        <w:rPr>
          <w:lang w:eastAsia="en-US"/>
        </w:rPr>
        <w:t>z</w:t>
      </w:r>
      <w:r w:rsidR="08A33268" w:rsidRPr="003D1E07">
        <w:rPr>
          <w:lang w:eastAsia="en-US"/>
        </w:rPr>
        <w:t xml:space="preserve">ální </w:t>
      </w:r>
      <w:r w:rsidR="00D03F5B">
        <w:rPr>
          <w:lang w:eastAsia="en-US"/>
        </w:rPr>
        <w:t xml:space="preserve">aspekty první substance, </w:t>
      </w:r>
      <w:r w:rsidR="000E5B97" w:rsidRPr="003D1E07">
        <w:rPr>
          <w:lang w:eastAsia="en-US"/>
        </w:rPr>
        <w:t xml:space="preserve">například kauzalitu. </w:t>
      </w:r>
      <w:r w:rsidR="002E3B62" w:rsidRPr="003D1E07">
        <w:rPr>
          <w:lang w:eastAsia="en-US"/>
        </w:rPr>
        <w:t>Averroes</w:t>
      </w:r>
      <w:r w:rsidR="00DD5EC8" w:rsidRPr="003D1E07">
        <w:rPr>
          <w:lang w:eastAsia="en-US"/>
        </w:rPr>
        <w:t xml:space="preserve"> tvrdí, že </w:t>
      </w:r>
      <w:r w:rsidR="08DB29B0" w:rsidRPr="003D1E07">
        <w:t>tázá</w:t>
      </w:r>
      <w:r w:rsidR="08DC5538" w:rsidRPr="003D1E07">
        <w:t xml:space="preserve">ní po první vědě </w:t>
      </w:r>
      <w:r w:rsidR="00DD5EC8" w:rsidRPr="003D1E07">
        <w:t xml:space="preserve">nezačíná </w:t>
      </w:r>
      <w:r w:rsidR="08DC5538" w:rsidRPr="003D1E07">
        <w:t>u abstraktních principů jsoucího jako jsoucího, ale rozborem existující substance.</w:t>
      </w:r>
      <w:r w:rsidR="00113737" w:rsidRPr="003D1E07">
        <w:rPr>
          <w:rStyle w:val="Znakapoznpodarou"/>
        </w:rPr>
        <w:footnoteReference w:id="206"/>
      </w:r>
      <w:r w:rsidR="00113737" w:rsidRPr="003D1E07">
        <w:rPr>
          <w:lang w:eastAsia="en-US"/>
        </w:rPr>
        <w:t xml:space="preserve"> </w:t>
      </w:r>
      <w:r w:rsidR="00882A76" w:rsidRPr="003D1E07">
        <w:rPr>
          <w:lang w:eastAsia="en-US"/>
        </w:rPr>
        <w:t xml:space="preserve">Metafyzika v návaznosti na fyziku hledá </w:t>
      </w:r>
      <w:r w:rsidR="000A7EA1" w:rsidRPr="003D1E07">
        <w:rPr>
          <w:lang w:eastAsia="en-US"/>
        </w:rPr>
        <w:t xml:space="preserve">vědecky </w:t>
      </w:r>
      <w:r w:rsidR="000D1457" w:rsidRPr="003D1E07">
        <w:rPr>
          <w:lang w:eastAsia="en-US"/>
        </w:rPr>
        <w:t xml:space="preserve">zdůvodněné </w:t>
      </w:r>
      <w:r w:rsidR="00882A76" w:rsidRPr="003D1E07">
        <w:rPr>
          <w:lang w:eastAsia="en-US"/>
        </w:rPr>
        <w:t xml:space="preserve">principy </w:t>
      </w:r>
      <w:r w:rsidR="00882A76" w:rsidRPr="003D1E07">
        <w:rPr>
          <w:lang w:eastAsia="en-US"/>
        </w:rPr>
        <w:lastRenderedPageBreak/>
        <w:t xml:space="preserve">substance a tím se stává první vědou. </w:t>
      </w:r>
      <w:r w:rsidR="088D529E" w:rsidRPr="003D1E07">
        <w:t>Zn</w:t>
      </w:r>
      <w:r w:rsidR="081057E4" w:rsidRPr="003D1E07">
        <w:t>ovu se vrací na scénu herme</w:t>
      </w:r>
      <w:r w:rsidR="088D529E" w:rsidRPr="003D1E07">
        <w:t>n</w:t>
      </w:r>
      <w:r w:rsidR="081057E4" w:rsidRPr="003D1E07">
        <w:t>eut</w:t>
      </w:r>
      <w:r w:rsidR="088D529E" w:rsidRPr="003D1E07">
        <w:t>i</w:t>
      </w:r>
      <w:r w:rsidR="081057E4" w:rsidRPr="003D1E07">
        <w:t>c</w:t>
      </w:r>
      <w:r w:rsidR="088D529E" w:rsidRPr="003D1E07">
        <w:t>ká dráha náhledu (</w:t>
      </w:r>
      <w:r w:rsidR="08EB68BD" w:rsidRPr="003D1E07">
        <w:rPr>
          <w:i/>
        </w:rPr>
        <w:t>Vor</w:t>
      </w:r>
      <w:r w:rsidR="08EB68BD" w:rsidRPr="003D1E07">
        <w:rPr>
          <w:i/>
        </w:rPr>
        <w:noBreakHyphen/>
      </w:r>
      <w:r w:rsidR="088D529E" w:rsidRPr="003D1E07">
        <w:rPr>
          <w:i/>
        </w:rPr>
        <w:t>blickbahn</w:t>
      </w:r>
      <w:r w:rsidR="006B28CF" w:rsidRPr="003D1E07">
        <w:rPr>
          <w:i/>
        </w:rPr>
        <w:fldChar w:fldCharType="begin"/>
      </w:r>
      <w:r w:rsidR="006B28CF" w:rsidRPr="003D1E07">
        <w:instrText xml:space="preserve"> XE "</w:instrText>
      </w:r>
      <w:r w:rsidR="08106DC9" w:rsidRPr="003D1E07">
        <w:rPr>
          <w:i/>
        </w:rPr>
        <w:instrText>Vor-</w:instrText>
      </w:r>
      <w:r w:rsidR="006B28CF" w:rsidRPr="003D1E07">
        <w:rPr>
          <w:i/>
        </w:rPr>
        <w:instrText>b</w:instrText>
      </w:r>
      <w:r w:rsidR="006B28CF" w:rsidRPr="003D1E07">
        <w:rPr>
          <w:i/>
          <w:iCs/>
        </w:rPr>
        <w:instrText>lickbahn</w:instrText>
      </w:r>
      <w:r w:rsidR="00924B43" w:rsidRPr="003D1E07">
        <w:rPr>
          <w:i/>
          <w:iCs/>
        </w:rPr>
        <w:instrText>:</w:instrText>
      </w:r>
      <w:r w:rsidR="002E3B62" w:rsidRPr="003D1E07">
        <w:rPr>
          <w:iCs/>
        </w:rPr>
        <w:instrText>Averroes</w:instrText>
      </w:r>
      <w:r w:rsidR="006B28CF" w:rsidRPr="003D1E07">
        <w:instrText xml:space="preserve">" </w:instrText>
      </w:r>
      <w:r w:rsidR="006B28CF" w:rsidRPr="003D1E07">
        <w:rPr>
          <w:i/>
        </w:rPr>
        <w:fldChar w:fldCharType="end"/>
      </w:r>
      <w:r w:rsidR="088D529E" w:rsidRPr="003D1E07">
        <w:t xml:space="preserve">), </w:t>
      </w:r>
      <w:r w:rsidR="00477F0D" w:rsidRPr="003D1E07">
        <w:t xml:space="preserve">tedy směr, </w:t>
      </w:r>
      <w:r w:rsidR="08EB68BD" w:rsidRPr="003D1E07">
        <w:t>odku</w:t>
      </w:r>
      <w:r w:rsidR="081057E4" w:rsidRPr="003D1E07">
        <w:t>d</w:t>
      </w:r>
      <w:r w:rsidR="088D529E" w:rsidRPr="003D1E07">
        <w:t xml:space="preserve"> je </w:t>
      </w:r>
      <w:r w:rsidR="00012167" w:rsidRPr="003D1E07">
        <w:t xml:space="preserve">nasvícen ontologický </w:t>
      </w:r>
      <w:r w:rsidR="088D529E" w:rsidRPr="003D1E07">
        <w:t>smysl jsoucna</w:t>
      </w:r>
      <w:r w:rsidR="00DF143F">
        <w:t xml:space="preserve"> </w:t>
      </w:r>
      <w:r w:rsidR="00DF143F">
        <w:rPr>
          <w:noProof w:val="0"/>
          <w:lang w:val="fr-FR" w:eastAsia="en-US"/>
        </w:rPr>
        <w:t>(</w:t>
      </w:r>
      <w:r w:rsidR="00DF143F" w:rsidRPr="009B0D13">
        <w:rPr>
          <w:i/>
          <w:noProof w:val="0"/>
          <w:lang w:val="fr-FR" w:eastAsia="en-US"/>
        </w:rPr>
        <w:t>Bezugssinn</w:t>
      </w:r>
      <w:r w:rsidR="00DF143F">
        <w:rPr>
          <w:i/>
          <w:noProof w:val="0"/>
          <w:lang w:val="fr-FR" w:eastAsia="en-US"/>
        </w:rPr>
        <w:fldChar w:fldCharType="begin"/>
      </w:r>
      <w:r w:rsidR="00DF143F">
        <w:instrText xml:space="preserve"> XE "</w:instrText>
      </w:r>
      <w:r w:rsidR="00DF143F" w:rsidRPr="003C5AB7">
        <w:rPr>
          <w:i/>
          <w:noProof w:val="0"/>
          <w:lang w:val="fr-FR" w:eastAsia="en-US"/>
        </w:rPr>
        <w:instrText>Bezugssinn</w:instrText>
      </w:r>
      <w:r w:rsidR="00DF143F">
        <w:instrText xml:space="preserve">" </w:instrText>
      </w:r>
      <w:r w:rsidR="00DF143F">
        <w:rPr>
          <w:i/>
          <w:noProof w:val="0"/>
          <w:lang w:val="fr-FR" w:eastAsia="en-US"/>
        </w:rPr>
        <w:fldChar w:fldCharType="end"/>
      </w:r>
      <w:r w:rsidR="00DF143F">
        <w:rPr>
          <w:noProof w:val="0"/>
          <w:lang w:val="fr-FR" w:eastAsia="en-US"/>
        </w:rPr>
        <w:t>)</w:t>
      </w:r>
      <w:r w:rsidR="08C40D5A" w:rsidRPr="003D1E07">
        <w:t xml:space="preserve">. </w:t>
      </w:r>
      <w:r w:rsidR="08BC0159" w:rsidRPr="003D1E07">
        <w:t xml:space="preserve">Komentátor zakládá metafyziku od </w:t>
      </w:r>
      <w:r w:rsidR="088D529E" w:rsidRPr="003D1E07">
        <w:t xml:space="preserve">aktuální </w:t>
      </w:r>
      <w:r w:rsidR="08EB68BD" w:rsidRPr="003D1E07">
        <w:t xml:space="preserve">první </w:t>
      </w:r>
      <w:r w:rsidR="088D529E" w:rsidRPr="003D1E07">
        <w:t>su</w:t>
      </w:r>
      <w:r w:rsidR="081057E4" w:rsidRPr="003D1E07">
        <w:t>b</w:t>
      </w:r>
      <w:r w:rsidR="08D84297" w:rsidRPr="003D1E07">
        <w:t>s</w:t>
      </w:r>
      <w:r w:rsidR="088D529E" w:rsidRPr="003D1E07">
        <w:t>t</w:t>
      </w:r>
      <w:r w:rsidR="081057E4" w:rsidRPr="003D1E07">
        <w:t>a</w:t>
      </w:r>
      <w:r w:rsidR="088D529E" w:rsidRPr="003D1E07">
        <w:t>nce</w:t>
      </w:r>
      <w:r w:rsidR="082A7AC0" w:rsidRPr="003D1E07">
        <w:t xml:space="preserve"> </w:t>
      </w:r>
      <w:r w:rsidR="00D03F5B">
        <w:t xml:space="preserve">jako aktuálního bytí jsoucna </w:t>
      </w:r>
      <w:r w:rsidR="082A7AC0" w:rsidRPr="003D1E07">
        <w:t>(</w:t>
      </w:r>
      <w:r w:rsidR="00AF7D2C">
        <w:t xml:space="preserve">substance </w:t>
      </w:r>
      <w:r w:rsidR="082A7AC0" w:rsidRPr="003D1E07">
        <w:rPr>
          <w:i/>
        </w:rPr>
        <w:t xml:space="preserve">qua </w:t>
      </w:r>
      <w:r w:rsidR="00AF7D2C" w:rsidRPr="00AF7D2C">
        <w:t>substance</w:t>
      </w:r>
      <w:r w:rsidR="08B71E1D" w:rsidRPr="003D1E07">
        <w:rPr>
          <w:i/>
        </w:rPr>
        <w:fldChar w:fldCharType="begin"/>
      </w:r>
      <w:r w:rsidR="08B71E1D" w:rsidRPr="003D1E07">
        <w:instrText xml:space="preserve"> XE "</w:instrText>
      </w:r>
      <w:r w:rsidR="00AF7D2C" w:rsidRPr="00AF7D2C">
        <w:instrText xml:space="preserve">substance </w:instrText>
      </w:r>
      <w:r w:rsidR="00AF7D2C" w:rsidRPr="00AF7D2C">
        <w:rPr>
          <w:i/>
        </w:rPr>
        <w:instrText>qua</w:instrText>
      </w:r>
      <w:r w:rsidR="00AF7D2C" w:rsidRPr="00AF7D2C">
        <w:instrText xml:space="preserve"> substance</w:instrText>
      </w:r>
      <w:r w:rsidR="08B71E1D" w:rsidRPr="003D1E07">
        <w:instrText xml:space="preserve">" </w:instrText>
      </w:r>
      <w:r w:rsidR="08B71E1D" w:rsidRPr="003D1E07">
        <w:rPr>
          <w:i/>
        </w:rPr>
        <w:fldChar w:fldCharType="end"/>
      </w:r>
      <w:r w:rsidR="082A7AC0" w:rsidRPr="003D1E07">
        <w:t xml:space="preserve">). </w:t>
      </w:r>
      <w:r w:rsidR="08BC0159" w:rsidRPr="003D1E07">
        <w:t xml:space="preserve">Avicenna </w:t>
      </w:r>
      <w:r w:rsidR="082A7AC0" w:rsidRPr="003D1E07">
        <w:t xml:space="preserve">vidí smysl jsoucna </w:t>
      </w:r>
      <w:r w:rsidR="08BC0159" w:rsidRPr="003D1E07">
        <w:t xml:space="preserve">od logického konceptu </w:t>
      </w:r>
      <w:r w:rsidR="00836A8A">
        <w:t xml:space="preserve">generické </w:t>
      </w:r>
      <w:r w:rsidR="00D03F5B">
        <w:t xml:space="preserve">jsoucnosti </w:t>
      </w:r>
      <w:r w:rsidR="08B71E1D" w:rsidRPr="003D1E07">
        <w:t>(</w:t>
      </w:r>
      <w:r w:rsidR="08BC0159" w:rsidRPr="003D1E07">
        <w:rPr>
          <w:i/>
        </w:rPr>
        <w:t>ens inquantum ens</w:t>
      </w:r>
      <w:r w:rsidR="08BC0159" w:rsidRPr="003D1E07">
        <w:rPr>
          <w:i/>
        </w:rPr>
        <w:fldChar w:fldCharType="begin"/>
      </w:r>
      <w:r w:rsidR="08BC0159" w:rsidRPr="003D1E07">
        <w:instrText xml:space="preserve"> XE "</w:instrText>
      </w:r>
      <w:r w:rsidR="08BC0159" w:rsidRPr="003D1E07">
        <w:rPr>
          <w:i/>
        </w:rPr>
        <w:instrText>ens inquantum ens</w:instrText>
      </w:r>
      <w:r w:rsidR="08BC0159" w:rsidRPr="003D1E07">
        <w:instrText xml:space="preserve">" </w:instrText>
      </w:r>
      <w:r w:rsidR="08BC0159" w:rsidRPr="003D1E07">
        <w:rPr>
          <w:i/>
        </w:rPr>
        <w:fldChar w:fldCharType="end"/>
      </w:r>
      <w:r w:rsidR="08B71E1D" w:rsidRPr="003D1E07">
        <w:t>)</w:t>
      </w:r>
      <w:r w:rsidR="088D529E" w:rsidRPr="003D1E07">
        <w:t xml:space="preserve">. </w:t>
      </w:r>
      <w:r w:rsidR="002E3B62" w:rsidRPr="003D1E07">
        <w:t>Averroes</w:t>
      </w:r>
      <w:r w:rsidR="081057E4" w:rsidRPr="003D1E07">
        <w:t xml:space="preserve">ova pozice </w:t>
      </w:r>
      <w:r w:rsidR="08B0595C" w:rsidRPr="003D1E07">
        <w:t xml:space="preserve">v tomto bodě </w:t>
      </w:r>
      <w:r w:rsidR="084043C1" w:rsidRPr="003D1E07">
        <w:t xml:space="preserve">naprosto jasně sleduje impozici významu danou skrze </w:t>
      </w:r>
      <w:r w:rsidR="089108A9" w:rsidRPr="003D1E07">
        <w:t xml:space="preserve">metafyzický </w:t>
      </w:r>
      <w:r w:rsidR="084043C1" w:rsidRPr="003D1E07">
        <w:t>dativ</w:t>
      </w:r>
      <w:r w:rsidR="084043C1" w:rsidRPr="003D1E07">
        <w:fldChar w:fldCharType="begin"/>
      </w:r>
      <w:r w:rsidR="084043C1" w:rsidRPr="003D1E07">
        <w:instrText xml:space="preserve"> XE "</w:instrText>
      </w:r>
      <w:r w:rsidR="089108A9" w:rsidRPr="003D1E07">
        <w:rPr>
          <w:i/>
        </w:rPr>
        <w:instrText>dativus metaphysi</w:instrText>
      </w:r>
      <w:r w:rsidR="084043C1" w:rsidRPr="003D1E07">
        <w:rPr>
          <w:i/>
        </w:rPr>
        <w:instrText>cus</w:instrText>
      </w:r>
      <w:r w:rsidR="084043C1" w:rsidRPr="003D1E07">
        <w:instrText xml:space="preserve">" </w:instrText>
      </w:r>
      <w:r w:rsidR="084043C1" w:rsidRPr="003D1E07">
        <w:fldChar w:fldCharType="end"/>
      </w:r>
      <w:r w:rsidR="084043C1" w:rsidRPr="003D1E07">
        <w:t xml:space="preserve"> podle Aristotela (kap. 1.1). P</w:t>
      </w:r>
      <w:r w:rsidR="082172DD" w:rsidRPr="003D1E07">
        <w:t>roto kritiz</w:t>
      </w:r>
      <w:r w:rsidR="088523CA" w:rsidRPr="003D1E07">
        <w:t xml:space="preserve">uje </w:t>
      </w:r>
      <w:r w:rsidR="08A32F50" w:rsidRPr="003D1E07">
        <w:t xml:space="preserve">neoplatonský </w:t>
      </w:r>
      <w:r w:rsidR="082172DD" w:rsidRPr="003D1E07">
        <w:t xml:space="preserve">projekt </w:t>
      </w:r>
      <w:r w:rsidR="08752C0F" w:rsidRPr="003D1E07">
        <w:t xml:space="preserve">a Avicennův </w:t>
      </w:r>
      <w:r w:rsidR="082172DD" w:rsidRPr="003D1E07">
        <w:t>metafyziky jako zásadně mylný</w:t>
      </w:r>
      <w:r w:rsidR="00636E26" w:rsidRPr="003D1E07">
        <w:t>.</w:t>
      </w:r>
      <w:r w:rsidR="00DD5EC8" w:rsidRPr="003D1E07">
        <w:t xml:space="preserve"> </w:t>
      </w:r>
      <w:r w:rsidR="081057E4" w:rsidRPr="003D1E07">
        <w:t>N</w:t>
      </w:r>
      <w:r w:rsidR="088D529E" w:rsidRPr="003D1E07">
        <w:t>asvícení</w:t>
      </w:r>
      <w:r w:rsidR="081057E4" w:rsidRPr="003D1E07">
        <w:t xml:space="preserve">m </w:t>
      </w:r>
      <w:r w:rsidR="088D529E" w:rsidRPr="003D1E07">
        <w:t xml:space="preserve">jsoucna zezadu </w:t>
      </w:r>
      <w:r w:rsidR="08160338" w:rsidRPr="003D1E07">
        <w:t xml:space="preserve">se </w:t>
      </w:r>
      <w:r w:rsidR="08E20868" w:rsidRPr="003D1E07">
        <w:rPr>
          <w:lang w:eastAsia="en-US"/>
        </w:rPr>
        <w:t xml:space="preserve">zatemnil </w:t>
      </w:r>
      <w:r w:rsidR="00372EBC" w:rsidRPr="003D1E07">
        <w:rPr>
          <w:lang w:eastAsia="en-US"/>
        </w:rPr>
        <w:t xml:space="preserve">projekt první vědy, protože </w:t>
      </w:r>
      <w:r w:rsidR="08160338" w:rsidRPr="003D1E07">
        <w:rPr>
          <w:lang w:eastAsia="en-US"/>
        </w:rPr>
        <w:t xml:space="preserve">Avicenna </w:t>
      </w:r>
      <w:r w:rsidR="00372EBC" w:rsidRPr="003D1E07">
        <w:rPr>
          <w:lang w:eastAsia="en-US"/>
        </w:rPr>
        <w:t>se dopustil několika zásadních chyb najednou. Opustil zkoumání substance,</w:t>
      </w:r>
      <w:r w:rsidR="00621EF9" w:rsidRPr="003D1E07">
        <w:rPr>
          <w:lang w:eastAsia="en-US"/>
        </w:rPr>
        <w:t xml:space="preserve"> což je původní cíl první vědy.</w:t>
      </w:r>
      <w:r w:rsidR="00890AC0" w:rsidRPr="003D1E07">
        <w:rPr>
          <w:rStyle w:val="Znakapoznpodarou"/>
          <w:lang w:eastAsia="en-US"/>
        </w:rPr>
        <w:footnoteReference w:id="207"/>
      </w:r>
      <w:r w:rsidR="00621EF9" w:rsidRPr="003D1E07">
        <w:rPr>
          <w:lang w:eastAsia="en-US"/>
        </w:rPr>
        <w:t xml:space="preserve"> Z</w:t>
      </w:r>
      <w:r w:rsidR="00372EBC" w:rsidRPr="003D1E07">
        <w:rPr>
          <w:lang w:eastAsia="en-US"/>
        </w:rPr>
        <w:t xml:space="preserve">avedl </w:t>
      </w:r>
      <w:r w:rsidR="00D1726B">
        <w:rPr>
          <w:lang w:eastAsia="en-US"/>
        </w:rPr>
        <w:t xml:space="preserve">hypostatickou hierachii </w:t>
      </w:r>
      <w:r w:rsidR="00372EBC" w:rsidRPr="003D1E07">
        <w:rPr>
          <w:lang w:eastAsia="en-US"/>
        </w:rPr>
        <w:t xml:space="preserve">jsoucího </w:t>
      </w:r>
      <w:r w:rsidR="00D1726B">
        <w:rPr>
          <w:lang w:eastAsia="en-US"/>
        </w:rPr>
        <w:t>založenou na ekvivocitě</w:t>
      </w:r>
      <w:r w:rsidR="00372EBC" w:rsidRPr="003D1E07">
        <w:rPr>
          <w:lang w:eastAsia="en-US"/>
        </w:rPr>
        <w:t xml:space="preserve"> významu „být“, čímž znejasnil zkoumání </w:t>
      </w:r>
      <w:r w:rsidR="0034079C" w:rsidRPr="003D1E07">
        <w:rPr>
          <w:lang w:eastAsia="en-US"/>
        </w:rPr>
        <w:t xml:space="preserve">poslední </w:t>
      </w:r>
      <w:r w:rsidR="00372EBC" w:rsidRPr="003D1E07">
        <w:rPr>
          <w:lang w:eastAsia="en-US"/>
        </w:rPr>
        <w:t>jednoty</w:t>
      </w:r>
      <w:r w:rsidR="006128C2">
        <w:rPr>
          <w:lang w:eastAsia="en-US"/>
        </w:rPr>
        <w:t xml:space="preserve"> jsoucna. Zkoumání metafyziky přestalo být apodiktické a vědecky kritické. </w:t>
      </w:r>
      <w:r w:rsidR="001D327E">
        <w:rPr>
          <w:lang w:eastAsia="en-US"/>
        </w:rPr>
        <w:t>Avicenna p</w:t>
      </w:r>
      <w:r w:rsidR="08BB1D01" w:rsidRPr="003D1E07">
        <w:rPr>
          <w:lang w:eastAsia="en-US"/>
        </w:rPr>
        <w:t>odobně jako Alexande</w:t>
      </w:r>
      <w:r w:rsidR="00372EBC" w:rsidRPr="003D1E07">
        <w:rPr>
          <w:lang w:eastAsia="en-US"/>
        </w:rPr>
        <w:t>r oddělil studium fyziky a metafyziky</w:t>
      </w:r>
      <w:r w:rsidR="00621EF9" w:rsidRPr="003D1E07">
        <w:rPr>
          <w:lang w:eastAsia="en-US"/>
        </w:rPr>
        <w:t>,</w:t>
      </w:r>
      <w:r w:rsidR="00372EBC" w:rsidRPr="003D1E07">
        <w:rPr>
          <w:lang w:eastAsia="en-US"/>
        </w:rPr>
        <w:t xml:space="preserve"> a tak zrušil jednotu první vědy.</w:t>
      </w:r>
      <w:r w:rsidR="08ED385E" w:rsidRPr="003D1E07">
        <w:rPr>
          <w:lang w:eastAsia="en-US"/>
        </w:rPr>
        <w:t xml:space="preserve"> </w:t>
      </w:r>
      <w:r w:rsidR="002E3B62" w:rsidRPr="003D1E07">
        <w:rPr>
          <w:lang w:eastAsia="en-US"/>
        </w:rPr>
        <w:t>Averroes</w:t>
      </w:r>
      <w:r w:rsidR="00890AC0" w:rsidRPr="003D1E07">
        <w:rPr>
          <w:lang w:eastAsia="en-US"/>
        </w:rPr>
        <w:t xml:space="preserve"> jasně vidí, že Avicenna nemá </w:t>
      </w:r>
      <w:r w:rsidR="00EF7C0A" w:rsidRPr="003D1E07">
        <w:rPr>
          <w:lang w:eastAsia="en-US"/>
        </w:rPr>
        <w:t>aristotelskou</w:t>
      </w:r>
      <w:r w:rsidR="08B460CB" w:rsidRPr="003D1E07">
        <w:rPr>
          <w:lang w:eastAsia="en-US"/>
        </w:rPr>
        <w:t xml:space="preserve"> kategoriální </w:t>
      </w:r>
      <w:r w:rsidR="00EF7C0A" w:rsidRPr="003D1E07">
        <w:rPr>
          <w:lang w:eastAsia="en-US"/>
        </w:rPr>
        <w:t>identitu, která</w:t>
      </w:r>
      <w:r w:rsidR="08B460CB" w:rsidRPr="003D1E07">
        <w:rPr>
          <w:lang w:eastAsia="en-US"/>
        </w:rPr>
        <w:t xml:space="preserve"> se váže </w:t>
      </w:r>
      <w:r w:rsidR="084963E4" w:rsidRPr="003D1E07">
        <w:rPr>
          <w:lang w:eastAsia="en-US"/>
        </w:rPr>
        <w:t>na realitu první substance</w:t>
      </w:r>
      <w:r w:rsidR="08B460CB" w:rsidRPr="003D1E07">
        <w:rPr>
          <w:lang w:eastAsia="en-US"/>
        </w:rPr>
        <w:t>. Avicenna koncipuje identitu substance čistě logick</w:t>
      </w:r>
      <w:r w:rsidR="08BC1F3B" w:rsidRPr="003D1E07">
        <w:rPr>
          <w:lang w:eastAsia="en-US"/>
        </w:rPr>
        <w:t xml:space="preserve">y. V obou případech platí, že </w:t>
      </w:r>
      <w:r w:rsidR="08B460CB" w:rsidRPr="003D1E07">
        <w:rPr>
          <w:lang w:eastAsia="en-US"/>
        </w:rPr>
        <w:t xml:space="preserve">věta o identitě substance </w:t>
      </w:r>
      <w:r w:rsidR="08B460CB" w:rsidRPr="003D1E07">
        <w:rPr>
          <w:szCs w:val="24"/>
        </w:rPr>
        <w:t>(A=A)</w:t>
      </w:r>
      <w:r w:rsidR="08AB1309" w:rsidRPr="003D1E07">
        <w:rPr>
          <w:szCs w:val="24"/>
        </w:rPr>
        <w:t xml:space="preserve"> je dána ve stejném smyslu</w:t>
      </w:r>
      <w:r w:rsidR="08B460CB" w:rsidRPr="003D1E07">
        <w:rPr>
          <w:szCs w:val="24"/>
        </w:rPr>
        <w:t xml:space="preserve">. </w:t>
      </w:r>
      <w:r w:rsidR="083C1242" w:rsidRPr="003D1E07">
        <w:rPr>
          <w:szCs w:val="24"/>
        </w:rPr>
        <w:t xml:space="preserve">Ale identita </w:t>
      </w:r>
      <w:r w:rsidR="00D40429" w:rsidRPr="003D1E07">
        <w:rPr>
          <w:szCs w:val="24"/>
        </w:rPr>
        <w:t xml:space="preserve">logické </w:t>
      </w:r>
      <w:r w:rsidR="083C1242" w:rsidRPr="003D1E07">
        <w:rPr>
          <w:szCs w:val="24"/>
        </w:rPr>
        <w:t xml:space="preserve">substance a metafyzická </w:t>
      </w:r>
      <w:r w:rsidR="00D40429" w:rsidRPr="003D1E07">
        <w:rPr>
          <w:szCs w:val="24"/>
        </w:rPr>
        <w:t>i</w:t>
      </w:r>
      <w:r w:rsidR="007942FA">
        <w:rPr>
          <w:szCs w:val="24"/>
        </w:rPr>
        <w:t xml:space="preserve">pseita </w:t>
      </w:r>
      <w:r w:rsidR="00D40429" w:rsidRPr="003D1E07">
        <w:rPr>
          <w:szCs w:val="24"/>
        </w:rPr>
        <w:t xml:space="preserve">druhé </w:t>
      </w:r>
      <w:r w:rsidR="083C1242" w:rsidRPr="003D1E07">
        <w:rPr>
          <w:szCs w:val="24"/>
        </w:rPr>
        <w:t>substance se od sebe zásadně liší v</w:t>
      </w:r>
      <w:r w:rsidR="00C47D85">
        <w:rPr>
          <w:szCs w:val="24"/>
        </w:rPr>
        <w:t xml:space="preserve"> kategoriální </w:t>
      </w:r>
      <w:r w:rsidR="08927C1E" w:rsidRPr="003D1E07">
        <w:rPr>
          <w:szCs w:val="24"/>
        </w:rPr>
        <w:t xml:space="preserve">predikaci. Hyparchický modus </w:t>
      </w:r>
      <w:r w:rsidR="08927C1E" w:rsidRPr="003D1E07">
        <w:rPr>
          <w:i/>
          <w:szCs w:val="24"/>
        </w:rPr>
        <w:t xml:space="preserve">qua </w:t>
      </w:r>
      <w:r w:rsidR="08927C1E" w:rsidRPr="003D1E07">
        <w:rPr>
          <w:szCs w:val="24"/>
        </w:rPr>
        <w:t xml:space="preserve">je daný </w:t>
      </w:r>
      <w:r w:rsidR="08927C1E" w:rsidRPr="003D1E07">
        <w:t xml:space="preserve">nasvícením </w:t>
      </w:r>
      <w:r w:rsidR="08C64549" w:rsidRPr="003D1E07">
        <w:t xml:space="preserve">jsoucna </w:t>
      </w:r>
      <w:r w:rsidR="08927C1E" w:rsidRPr="003D1E07">
        <w:t>zepředu od první substance</w:t>
      </w:r>
      <w:r w:rsidR="00C95D59" w:rsidRPr="003D1E07">
        <w:t>, kde je kauzalita daná reálně. L</w:t>
      </w:r>
      <w:r w:rsidR="08C64549" w:rsidRPr="003D1E07">
        <w:t xml:space="preserve">ogický modus </w:t>
      </w:r>
      <w:r w:rsidR="083C1242" w:rsidRPr="003D1E07">
        <w:rPr>
          <w:i/>
          <w:szCs w:val="24"/>
        </w:rPr>
        <w:t>inquantum</w:t>
      </w:r>
      <w:r w:rsidR="00786BA8" w:rsidRPr="003D1E07">
        <w:rPr>
          <w:i/>
          <w:szCs w:val="24"/>
        </w:rPr>
        <w:fldChar w:fldCharType="begin"/>
      </w:r>
      <w:r w:rsidR="00786BA8" w:rsidRPr="003D1E07">
        <w:instrText xml:space="preserve"> XE "</w:instrText>
      </w:r>
      <w:r w:rsidR="00786BA8" w:rsidRPr="003D1E07">
        <w:rPr>
          <w:i/>
          <w:szCs w:val="24"/>
        </w:rPr>
        <w:instrText>inquantum/qua</w:instrText>
      </w:r>
      <w:r w:rsidR="00786BA8" w:rsidRPr="003D1E07">
        <w:instrText xml:space="preserve">" </w:instrText>
      </w:r>
      <w:r w:rsidR="00786BA8" w:rsidRPr="003D1E07">
        <w:rPr>
          <w:i/>
          <w:szCs w:val="24"/>
        </w:rPr>
        <w:fldChar w:fldCharType="end"/>
      </w:r>
      <w:r w:rsidR="083C1242" w:rsidRPr="003D1E07">
        <w:rPr>
          <w:szCs w:val="24"/>
        </w:rPr>
        <w:t xml:space="preserve"> </w:t>
      </w:r>
      <w:r w:rsidR="08C64549" w:rsidRPr="003D1E07">
        <w:rPr>
          <w:szCs w:val="24"/>
        </w:rPr>
        <w:t>je daný nasvícením zezadu od r</w:t>
      </w:r>
      <w:r w:rsidR="00C95D59" w:rsidRPr="003D1E07">
        <w:rPr>
          <w:szCs w:val="24"/>
        </w:rPr>
        <w:t>odového významu</w:t>
      </w:r>
      <w:r w:rsidR="083C1242" w:rsidRPr="003D1E07">
        <w:rPr>
          <w:szCs w:val="24"/>
        </w:rPr>
        <w:t xml:space="preserve">. </w:t>
      </w:r>
      <w:r w:rsidR="00C95D59" w:rsidRPr="003D1E07">
        <w:rPr>
          <w:szCs w:val="24"/>
        </w:rPr>
        <w:t xml:space="preserve">Pak je kauzalita </w:t>
      </w:r>
      <w:r w:rsidR="008546E2">
        <w:rPr>
          <w:szCs w:val="24"/>
        </w:rPr>
        <w:t xml:space="preserve">daná pouze jako supozice </w:t>
      </w:r>
      <w:r w:rsidR="00C95D59" w:rsidRPr="003D1E07">
        <w:rPr>
          <w:szCs w:val="24"/>
        </w:rPr>
        <w:t xml:space="preserve">v abstrahující mysli. </w:t>
      </w:r>
      <w:r w:rsidR="088C2E92" w:rsidRPr="003D1E07">
        <w:rPr>
          <w:szCs w:val="24"/>
        </w:rPr>
        <w:t xml:space="preserve">Tyto dva náhledy na jsoucno nejsou slučitelné do jednoho </w:t>
      </w:r>
      <w:r w:rsidR="088C2E92" w:rsidRPr="003D1E07">
        <w:rPr>
          <w:i/>
          <w:szCs w:val="24"/>
        </w:rPr>
        <w:t>modus ponens</w:t>
      </w:r>
      <w:r w:rsidR="088C2E92" w:rsidRPr="003D1E07">
        <w:rPr>
          <w:i/>
          <w:szCs w:val="24"/>
        </w:rPr>
        <w:fldChar w:fldCharType="begin"/>
      </w:r>
      <w:r w:rsidR="088C2E92" w:rsidRPr="003D1E07">
        <w:instrText xml:space="preserve"> XE "</w:instrText>
      </w:r>
      <w:r w:rsidR="088C2E92" w:rsidRPr="003D1E07">
        <w:rPr>
          <w:i/>
          <w:szCs w:val="24"/>
        </w:rPr>
        <w:instrText>modus ponens</w:instrText>
      </w:r>
      <w:r w:rsidR="088C2E92" w:rsidRPr="003D1E07">
        <w:instrText xml:space="preserve">" </w:instrText>
      </w:r>
      <w:r w:rsidR="088C2E92" w:rsidRPr="003D1E07">
        <w:rPr>
          <w:i/>
          <w:szCs w:val="24"/>
        </w:rPr>
        <w:fldChar w:fldCharType="end"/>
      </w:r>
      <w:r w:rsidR="088C2E92" w:rsidRPr="003D1E07">
        <w:rPr>
          <w:szCs w:val="24"/>
        </w:rPr>
        <w:t xml:space="preserve">, protože smysl jsoucna není </w:t>
      </w:r>
      <w:r w:rsidR="08BE61C4" w:rsidRPr="003D1E07">
        <w:rPr>
          <w:szCs w:val="24"/>
        </w:rPr>
        <w:t xml:space="preserve">kladen </w:t>
      </w:r>
      <w:r w:rsidR="00FA765B">
        <w:rPr>
          <w:szCs w:val="24"/>
        </w:rPr>
        <w:t>ve stejné formě predikace. M</w:t>
      </w:r>
      <w:r w:rsidR="088C2E92" w:rsidRPr="003D1E07">
        <w:rPr>
          <w:szCs w:val="24"/>
        </w:rPr>
        <w:t>etafyzická</w:t>
      </w:r>
      <w:r w:rsidR="00FA765B">
        <w:rPr>
          <w:szCs w:val="24"/>
        </w:rPr>
        <w:t xml:space="preserve"> predikace stojí na impozici významu od první substance, </w:t>
      </w:r>
      <w:r w:rsidR="088C2E92" w:rsidRPr="003D1E07">
        <w:rPr>
          <w:szCs w:val="24"/>
        </w:rPr>
        <w:t>logická</w:t>
      </w:r>
      <w:r w:rsidR="00FA765B">
        <w:rPr>
          <w:szCs w:val="24"/>
        </w:rPr>
        <w:t xml:space="preserve"> predikace pracuje se supozicí významu od druhé substance</w:t>
      </w:r>
      <w:r w:rsidR="088C2E92" w:rsidRPr="003D1E07">
        <w:rPr>
          <w:szCs w:val="24"/>
        </w:rPr>
        <w:t xml:space="preserve">. </w:t>
      </w:r>
      <w:r w:rsidR="083C1242" w:rsidRPr="003D1E07">
        <w:rPr>
          <w:szCs w:val="24"/>
        </w:rPr>
        <w:t>Epochální</w:t>
      </w:r>
      <w:r w:rsidR="08A05282" w:rsidRPr="003D1E07">
        <w:rPr>
          <w:szCs w:val="24"/>
        </w:rPr>
        <w:t xml:space="preserve"> pochybení (</w:t>
      </w:r>
      <w:r w:rsidR="083C1242" w:rsidRPr="003D1E07">
        <w:rPr>
          <w:i/>
          <w:szCs w:val="24"/>
        </w:rPr>
        <w:t>Irrtum</w:t>
      </w:r>
      <w:r w:rsidR="00786BA8" w:rsidRPr="003D1E07">
        <w:rPr>
          <w:i/>
          <w:szCs w:val="24"/>
        </w:rPr>
        <w:fldChar w:fldCharType="begin"/>
      </w:r>
      <w:r w:rsidR="00786BA8" w:rsidRPr="003D1E07">
        <w:instrText xml:space="preserve"> XE "</w:instrText>
      </w:r>
      <w:r w:rsidR="00786BA8" w:rsidRPr="003D1E07">
        <w:rPr>
          <w:i/>
          <w:szCs w:val="24"/>
        </w:rPr>
        <w:instrText>Irrtum</w:instrText>
      </w:r>
      <w:r w:rsidR="00786BA8" w:rsidRPr="003D1E07">
        <w:instrText xml:space="preserve">" </w:instrText>
      </w:r>
      <w:r w:rsidR="00786BA8" w:rsidRPr="003D1E07">
        <w:rPr>
          <w:i/>
          <w:szCs w:val="24"/>
        </w:rPr>
        <w:fldChar w:fldCharType="end"/>
      </w:r>
      <w:r w:rsidR="08A05282" w:rsidRPr="003D1E07">
        <w:rPr>
          <w:szCs w:val="24"/>
        </w:rPr>
        <w:t xml:space="preserve">) moderny </w:t>
      </w:r>
      <w:r w:rsidR="083C1242" w:rsidRPr="003D1E07">
        <w:rPr>
          <w:szCs w:val="24"/>
        </w:rPr>
        <w:t>je dán</w:t>
      </w:r>
      <w:r w:rsidR="08A05282" w:rsidRPr="003D1E07">
        <w:rPr>
          <w:szCs w:val="24"/>
        </w:rPr>
        <w:t>o</w:t>
      </w:r>
      <w:r w:rsidR="083C1242" w:rsidRPr="003D1E07">
        <w:rPr>
          <w:szCs w:val="24"/>
        </w:rPr>
        <w:t xml:space="preserve"> v chybně koncipované verzi </w:t>
      </w:r>
      <w:r w:rsidR="083C1242" w:rsidRPr="003D1E07">
        <w:rPr>
          <w:i/>
          <w:szCs w:val="24"/>
        </w:rPr>
        <w:t>modus ponens</w:t>
      </w:r>
      <w:r w:rsidR="00060543">
        <w:rPr>
          <w:szCs w:val="24"/>
        </w:rPr>
        <w:t xml:space="preserve">, která zaměnila logickou predikaci za metafyzickou. </w:t>
      </w:r>
      <w:r w:rsidR="088419B6" w:rsidRPr="003D1E07">
        <w:rPr>
          <w:szCs w:val="24"/>
        </w:rPr>
        <w:t>Avicenna začal moderní bloudění metafyziky (</w:t>
      </w:r>
      <w:r w:rsidR="088419B6" w:rsidRPr="003D1E07">
        <w:rPr>
          <w:i/>
          <w:szCs w:val="24"/>
        </w:rPr>
        <w:t>Irre</w:t>
      </w:r>
      <w:r w:rsidR="088419B6" w:rsidRPr="003D1E07">
        <w:rPr>
          <w:i/>
          <w:szCs w:val="24"/>
        </w:rPr>
        <w:fldChar w:fldCharType="begin"/>
      </w:r>
      <w:r w:rsidR="088419B6" w:rsidRPr="003D1E07">
        <w:instrText xml:space="preserve"> XE "</w:instrText>
      </w:r>
      <w:r w:rsidR="088419B6" w:rsidRPr="003D1E07">
        <w:rPr>
          <w:i/>
          <w:szCs w:val="24"/>
        </w:rPr>
        <w:instrText>Irre</w:instrText>
      </w:r>
      <w:r w:rsidR="088419B6" w:rsidRPr="003D1E07">
        <w:instrText xml:space="preserve">" </w:instrText>
      </w:r>
      <w:r w:rsidR="088419B6" w:rsidRPr="003D1E07">
        <w:rPr>
          <w:i/>
          <w:szCs w:val="24"/>
        </w:rPr>
        <w:fldChar w:fldCharType="end"/>
      </w:r>
      <w:r w:rsidR="08A05282" w:rsidRPr="003D1E07">
        <w:rPr>
          <w:szCs w:val="24"/>
        </w:rPr>
        <w:t>), které Averroes</w:t>
      </w:r>
      <w:r w:rsidR="088419B6" w:rsidRPr="003D1E07">
        <w:rPr>
          <w:szCs w:val="24"/>
        </w:rPr>
        <w:t xml:space="preserve"> </w:t>
      </w:r>
      <w:r w:rsidR="001770D7">
        <w:rPr>
          <w:szCs w:val="24"/>
        </w:rPr>
        <w:t xml:space="preserve">kategoricky </w:t>
      </w:r>
      <w:r w:rsidR="088419B6" w:rsidRPr="003D1E07">
        <w:rPr>
          <w:szCs w:val="24"/>
        </w:rPr>
        <w:t xml:space="preserve">odmítl. </w:t>
      </w:r>
      <w:r w:rsidR="087C563E" w:rsidRPr="003D1E07">
        <w:rPr>
          <w:lang w:eastAsia="en-US"/>
        </w:rPr>
        <w:t xml:space="preserve">Logické myšlení modernistů stojí v tomto klíčovém bodě v rozporu s aristotelskou konstrukcí metafyziky jako první vědy o </w:t>
      </w:r>
      <w:r w:rsidR="00334A29">
        <w:rPr>
          <w:lang w:eastAsia="en-US"/>
        </w:rPr>
        <w:t xml:space="preserve">reálném </w:t>
      </w:r>
      <w:r w:rsidR="087C563E" w:rsidRPr="003D1E07">
        <w:rPr>
          <w:lang w:eastAsia="en-US"/>
        </w:rPr>
        <w:t xml:space="preserve">jsoucnu. </w:t>
      </w:r>
      <w:r w:rsidR="084963E4" w:rsidRPr="003D1E07">
        <w:rPr>
          <w:lang w:eastAsia="en-US"/>
        </w:rPr>
        <w:t xml:space="preserve">Spis </w:t>
      </w:r>
      <w:r w:rsidR="00BF387E" w:rsidRPr="003D1E07">
        <w:rPr>
          <w:i/>
        </w:rPr>
        <w:t>Metafyzika</w:t>
      </w:r>
      <w:r w:rsidR="00BF387E" w:rsidRPr="003D1E07">
        <w:t xml:space="preserve"> vidí jako nemožné, že by zkoumání</w:t>
      </w:r>
      <w:r w:rsidR="00874830" w:rsidRPr="003D1E07">
        <w:t xml:space="preserve"> mohlo začít od celku </w:t>
      </w:r>
      <w:r w:rsidR="00874830" w:rsidRPr="003D1E07">
        <w:lastRenderedPageBreak/>
        <w:t>jsoucna</w:t>
      </w:r>
      <w:r w:rsidR="08AA4510" w:rsidRPr="003D1E07">
        <w:t>.</w:t>
      </w:r>
      <w:r w:rsidR="08AA4510" w:rsidRPr="003D1E07">
        <w:rPr>
          <w:rStyle w:val="Znakapoznpodarou"/>
        </w:rPr>
        <w:footnoteReference w:id="208"/>
      </w:r>
      <w:r w:rsidR="08AA4510" w:rsidRPr="003D1E07">
        <w:t xml:space="preserve"> Na platonské úrovni nejvyšších rodů </w:t>
      </w:r>
      <w:r w:rsidR="08EC2356" w:rsidRPr="003D1E07">
        <w:t xml:space="preserve">daných pouze v mysli </w:t>
      </w:r>
      <w:r w:rsidR="08AA4510" w:rsidRPr="003D1E07">
        <w:t>jsoucna nelze založit vědecký důkaz</w:t>
      </w:r>
      <w:r w:rsidR="001D63E0" w:rsidRPr="003D1E07">
        <w:t xml:space="preserve">, který se </w:t>
      </w:r>
      <w:r w:rsidR="08AA4510" w:rsidRPr="003D1E07">
        <w:t>zásadně op</w:t>
      </w:r>
      <w:r w:rsidR="001D63E0" w:rsidRPr="003D1E07">
        <w:t xml:space="preserve">írá </w:t>
      </w:r>
      <w:r w:rsidR="08AA4510" w:rsidRPr="003D1E07">
        <w:t>o kauzalitu reálných prvních substancí. P</w:t>
      </w:r>
      <w:r w:rsidR="001C73C4" w:rsidRPr="003D1E07">
        <w:t>rvní věda</w:t>
      </w:r>
      <w:r w:rsidR="08AA4510" w:rsidRPr="003D1E07">
        <w:t xml:space="preserve"> </w:t>
      </w:r>
      <w:r w:rsidR="001D63E0" w:rsidRPr="003D1E07">
        <w:t xml:space="preserve">nemůže být založena na logické </w:t>
      </w:r>
      <w:r w:rsidR="08AA4510" w:rsidRPr="003D1E07">
        <w:t>spekulaci</w:t>
      </w:r>
      <w:r w:rsidR="001D63E0" w:rsidRPr="003D1E07">
        <w:t xml:space="preserve">. Na </w:t>
      </w:r>
      <w:r w:rsidR="00874830" w:rsidRPr="003D1E07">
        <w:t xml:space="preserve">úrovni </w:t>
      </w:r>
      <w:r w:rsidR="08AA4510" w:rsidRPr="003D1E07">
        <w:t xml:space="preserve">logické abstrakce </w:t>
      </w:r>
      <w:r w:rsidR="00874830" w:rsidRPr="003D1E07">
        <w:t xml:space="preserve">nelze </w:t>
      </w:r>
      <w:r w:rsidR="00BF387E" w:rsidRPr="003D1E07">
        <w:t xml:space="preserve">najít potřebnou </w:t>
      </w:r>
      <w:r w:rsidR="08AA4510" w:rsidRPr="003D1E07">
        <w:t xml:space="preserve">metafyzickou </w:t>
      </w:r>
      <w:r w:rsidR="00BF387E" w:rsidRPr="003D1E07">
        <w:t>jistotu prvních principů</w:t>
      </w:r>
      <w:r w:rsidR="002B043B" w:rsidRPr="003D1E07">
        <w:t>, které se musí vztahovat k aktuálně danému stavu světa</w:t>
      </w:r>
      <w:r w:rsidR="00BF387E" w:rsidRPr="003D1E07">
        <w:t xml:space="preserve">. Podle citované pasáže knihy </w:t>
      </w:r>
      <w:r w:rsidR="00BF387E" w:rsidRPr="003D1E07">
        <w:rPr>
          <w:i/>
        </w:rPr>
        <w:t>Gamma</w:t>
      </w:r>
      <w:r w:rsidR="00BF387E" w:rsidRPr="003D1E07">
        <w:t xml:space="preserve"> by došlo</w:t>
      </w:r>
      <w:r w:rsidR="00504E57">
        <w:t xml:space="preserve"> k nekonečnému regresu poznání.</w:t>
      </w:r>
    </w:p>
    <w:p w14:paraId="5B0FB6B5" w14:textId="4D515755" w:rsidR="00763838" w:rsidRPr="00DD025C" w:rsidRDefault="08017897" w:rsidP="00B758D9">
      <w:pPr>
        <w:ind w:firstLine="397"/>
      </w:pPr>
      <w:r w:rsidRPr="003D1E07">
        <w:t xml:space="preserve">Avicennova, Scotova a Descartova metafyzika vzala </w:t>
      </w:r>
      <w:r w:rsidR="084A14A3" w:rsidRPr="003D1E07">
        <w:t xml:space="preserve">toto </w:t>
      </w:r>
      <w:r w:rsidR="081C706E" w:rsidRPr="003D1E07">
        <w:t xml:space="preserve">mylné </w:t>
      </w:r>
      <w:r w:rsidR="081C706E" w:rsidRPr="003D1E07">
        <w:rPr>
          <w:i/>
        </w:rPr>
        <w:t>Gründung</w:t>
      </w:r>
      <w:r w:rsidR="08AF72BE" w:rsidRPr="003D1E07">
        <w:rPr>
          <w:i/>
        </w:rPr>
        <w:fldChar w:fldCharType="begin"/>
      </w:r>
      <w:r w:rsidR="08AF72BE" w:rsidRPr="003D1E07">
        <w:instrText xml:space="preserve"> XE "metafyzika:</w:instrText>
      </w:r>
      <w:r w:rsidR="08AF72BE" w:rsidRPr="003D1E07">
        <w:rPr>
          <w:i/>
        </w:rPr>
        <w:instrText>Gründung</w:instrText>
      </w:r>
      <w:r w:rsidR="08AF72BE" w:rsidRPr="003D1E07">
        <w:instrText xml:space="preserve">" </w:instrText>
      </w:r>
      <w:r w:rsidR="08AF72BE" w:rsidRPr="003D1E07">
        <w:rPr>
          <w:i/>
        </w:rPr>
        <w:fldChar w:fldCharType="end"/>
      </w:r>
      <w:r w:rsidR="081C706E" w:rsidRPr="003D1E07">
        <w:t xml:space="preserve"> první vědy postavené mimo realitu první substance </w:t>
      </w:r>
      <w:r w:rsidR="00BF387E" w:rsidRPr="003D1E07">
        <w:t>jako základní program</w:t>
      </w:r>
      <w:r w:rsidR="006D37FF" w:rsidRPr="003D1E07">
        <w:t xml:space="preserve"> pro ustavení první vědy o jsoucnu</w:t>
      </w:r>
      <w:r w:rsidR="007B4815" w:rsidRPr="003D1E07">
        <w:t xml:space="preserve">. Moderna vyšla z obecného určení jsoucna </w:t>
      </w:r>
      <w:r w:rsidR="00824B76" w:rsidRPr="003D1E07">
        <w:t xml:space="preserve">v modu </w:t>
      </w:r>
      <w:r w:rsidR="007B4815" w:rsidRPr="003D1E07">
        <w:rPr>
          <w:i/>
        </w:rPr>
        <w:t>ens inquantum ens</w:t>
      </w:r>
      <w:r w:rsidR="00160B80" w:rsidRPr="003D1E07">
        <w:rPr>
          <w:i/>
        </w:rPr>
        <w:fldChar w:fldCharType="begin"/>
      </w:r>
      <w:r w:rsidR="00160B80" w:rsidRPr="003D1E07">
        <w:instrText xml:space="preserve"> XE "</w:instrText>
      </w:r>
      <w:r w:rsidR="00160B80" w:rsidRPr="003D1E07">
        <w:rPr>
          <w:i/>
        </w:rPr>
        <w:instrText>ens inquantum ens</w:instrText>
      </w:r>
      <w:r w:rsidR="00160B80" w:rsidRPr="003D1E07">
        <w:instrText xml:space="preserve">" </w:instrText>
      </w:r>
      <w:r w:rsidR="00160B80" w:rsidRPr="003D1E07">
        <w:rPr>
          <w:i/>
        </w:rPr>
        <w:fldChar w:fldCharType="end"/>
      </w:r>
      <w:r w:rsidR="00043080" w:rsidRPr="003D1E07">
        <w:t xml:space="preserve">. Avicenna </w:t>
      </w:r>
      <w:r w:rsidR="00390869" w:rsidRPr="003D1E07">
        <w:t>naš</w:t>
      </w:r>
      <w:r w:rsidR="00043080" w:rsidRPr="003D1E07">
        <w:t>el</w:t>
      </w:r>
      <w:r w:rsidR="00390869" w:rsidRPr="003D1E07">
        <w:t xml:space="preserve"> nový evidentní princip </w:t>
      </w:r>
      <w:r w:rsidR="08531A5D" w:rsidRPr="003D1E07">
        <w:t>non-</w:t>
      </w:r>
      <w:r w:rsidR="00043080" w:rsidRPr="003D1E07">
        <w:t xml:space="preserve">kontradikce sám v </w:t>
      </w:r>
      <w:r w:rsidR="00390869" w:rsidRPr="003D1E07">
        <w:t>sobě, a ne v</w:t>
      </w:r>
      <w:r w:rsidR="00E545F4">
        <w:t xml:space="preserve"> bytí </w:t>
      </w:r>
      <w:r w:rsidR="00390869" w:rsidRPr="003D1E07">
        <w:t>reálné první substanc</w:t>
      </w:r>
      <w:r w:rsidR="00E545F4">
        <w:t>e</w:t>
      </w:r>
      <w:r w:rsidR="08E03F56" w:rsidRPr="003D1E07">
        <w:t xml:space="preserve"> </w:t>
      </w:r>
      <w:r w:rsidR="08E03F56" w:rsidRPr="003D1E07">
        <w:rPr>
          <w:szCs w:val="24"/>
        </w:rPr>
        <w:t>(</w:t>
      </w:r>
      <w:r w:rsidR="00AF7D2C" w:rsidRPr="00AF7D2C">
        <w:rPr>
          <w:szCs w:val="24"/>
        </w:rPr>
        <w:t>substance qua substance</w:t>
      </w:r>
      <w:r w:rsidR="08E03F56" w:rsidRPr="003D1E07">
        <w:rPr>
          <w:i/>
          <w:szCs w:val="24"/>
        </w:rPr>
        <w:fldChar w:fldCharType="begin"/>
      </w:r>
      <w:r w:rsidR="08E03F56" w:rsidRPr="003D1E07">
        <w:instrText xml:space="preserve"> XE "</w:instrText>
      </w:r>
      <w:r w:rsidR="00AF7D2C" w:rsidRPr="00AF7D2C">
        <w:rPr>
          <w:szCs w:val="24"/>
        </w:rPr>
        <w:instrText xml:space="preserve">substance </w:instrText>
      </w:r>
      <w:r w:rsidR="00AF7D2C" w:rsidRPr="00AF7D2C">
        <w:rPr>
          <w:i/>
          <w:szCs w:val="24"/>
        </w:rPr>
        <w:instrText>qua</w:instrText>
      </w:r>
      <w:r w:rsidR="00AF7D2C" w:rsidRPr="00AF7D2C">
        <w:rPr>
          <w:szCs w:val="24"/>
        </w:rPr>
        <w:instrText xml:space="preserve"> substance</w:instrText>
      </w:r>
      <w:r w:rsidR="08E03F56" w:rsidRPr="003D1E07">
        <w:instrText xml:space="preserve">" </w:instrText>
      </w:r>
      <w:r w:rsidR="08E03F56" w:rsidRPr="003D1E07">
        <w:rPr>
          <w:i/>
          <w:szCs w:val="24"/>
        </w:rPr>
        <w:fldChar w:fldCharType="end"/>
      </w:r>
      <w:r w:rsidR="08E03F56" w:rsidRPr="003D1E07">
        <w:rPr>
          <w:szCs w:val="24"/>
        </w:rPr>
        <w:t>)</w:t>
      </w:r>
      <w:r w:rsidR="00586DF0" w:rsidRPr="003D1E07">
        <w:t>. Připomeňme Averroesovu dále citovanou klíčovou větu, že Avicenna začal metafyziku sám od sebe (</w:t>
      </w:r>
      <w:r w:rsidR="00586DF0" w:rsidRPr="003D1E07">
        <w:rPr>
          <w:i/>
        </w:rPr>
        <w:t>incepit quasi a se</w:t>
      </w:r>
      <w:r w:rsidR="00586DF0" w:rsidRPr="003D1E07">
        <w:t xml:space="preserve">, kap. 2.4.4). </w:t>
      </w:r>
      <w:r w:rsidR="08A5509A" w:rsidRPr="003D1E07">
        <w:t>Tím vznikla m</w:t>
      </w:r>
      <w:r w:rsidR="08D93164" w:rsidRPr="003D1E07">
        <w:t>etafyzik</w:t>
      </w:r>
      <w:r w:rsidR="08A5509A" w:rsidRPr="003D1E07">
        <w:t xml:space="preserve">a </w:t>
      </w:r>
      <w:r w:rsidR="08D93164" w:rsidRPr="003D1E07">
        <w:t xml:space="preserve">jako moderní </w:t>
      </w:r>
      <w:r w:rsidR="08D93164" w:rsidRPr="003D1E07">
        <w:rPr>
          <w:i/>
        </w:rPr>
        <w:t>epistém</w:t>
      </w:r>
      <w:r w:rsidR="0077444A" w:rsidRPr="003D1E07">
        <w:rPr>
          <w:i/>
        </w:rPr>
        <w:t>e</w:t>
      </w:r>
      <w:r w:rsidR="08D93164" w:rsidRPr="003D1E07">
        <w:rPr>
          <w:i/>
        </w:rPr>
        <w:fldChar w:fldCharType="begin"/>
      </w:r>
      <w:r w:rsidR="08D93164" w:rsidRPr="003D1E07">
        <w:instrText xml:space="preserve"> XE "</w:instrText>
      </w:r>
      <w:r w:rsidR="08D93164" w:rsidRPr="003D1E07">
        <w:rPr>
          <w:i/>
        </w:rPr>
        <w:instrText>epistémé</w:instrText>
      </w:r>
      <w:r w:rsidR="08D93164" w:rsidRPr="003D1E07">
        <w:instrText xml:space="preserve">" </w:instrText>
      </w:r>
      <w:r w:rsidR="08D93164" w:rsidRPr="003D1E07">
        <w:rPr>
          <w:i/>
        </w:rPr>
        <w:fldChar w:fldCharType="end"/>
      </w:r>
      <w:r w:rsidR="08D93164" w:rsidRPr="003D1E07">
        <w:t xml:space="preserve">, </w:t>
      </w:r>
      <w:r w:rsidR="08A5509A" w:rsidRPr="003D1E07">
        <w:t xml:space="preserve">která </w:t>
      </w:r>
      <w:r w:rsidR="08D93164" w:rsidRPr="003D1E07">
        <w:t xml:space="preserve">dělí a poznává jsoucna třetího druhu a </w:t>
      </w:r>
      <w:r w:rsidR="001A5C65">
        <w:t xml:space="preserve">jen </w:t>
      </w:r>
      <w:r w:rsidR="08D93164" w:rsidRPr="003D1E07">
        <w:t>sekundárně ověřuje jejich k</w:t>
      </w:r>
      <w:r w:rsidR="004706BA" w:rsidRPr="003D1E07">
        <w:t>ontingentní existenci v realitě</w:t>
      </w:r>
      <w:r w:rsidR="08D93164" w:rsidRPr="003D1E07">
        <w:t xml:space="preserve">. Tento fatální obrat </w:t>
      </w:r>
      <w:r w:rsidR="08D93164" w:rsidRPr="003D1E07">
        <w:rPr>
          <w:i/>
        </w:rPr>
        <w:t>Modernorum</w:t>
      </w:r>
      <w:r w:rsidR="08D93164" w:rsidRPr="003D1E07">
        <w:t xml:space="preserve"> na latinském Západě analyzují pasáže věnované rozboru </w:t>
      </w:r>
      <w:r w:rsidR="08D93164" w:rsidRPr="003D1E07">
        <w:rPr>
          <w:i/>
        </w:rPr>
        <w:t>Oxfordian Fallacy</w:t>
      </w:r>
      <w:r w:rsidR="08D93164" w:rsidRPr="003D1E07">
        <w:rPr>
          <w:i/>
        </w:rPr>
        <w:fldChar w:fldCharType="begin"/>
      </w:r>
      <w:r w:rsidR="08D93164" w:rsidRPr="003D1E07">
        <w:instrText xml:space="preserve"> XE "</w:instrText>
      </w:r>
      <w:r w:rsidR="08D93164" w:rsidRPr="003D1E07">
        <w:rPr>
          <w:i/>
        </w:rPr>
        <w:instrText>Oxfordian Fallacy:</w:instrText>
      </w:r>
      <w:r w:rsidR="08D93164" w:rsidRPr="003D1E07">
        <w:instrText xml:space="preserve">původ" </w:instrText>
      </w:r>
      <w:r w:rsidR="08D93164" w:rsidRPr="003D1E07">
        <w:rPr>
          <w:i/>
        </w:rPr>
        <w:fldChar w:fldCharType="end"/>
      </w:r>
      <w:r w:rsidR="08D93164" w:rsidRPr="003D1E07">
        <w:t xml:space="preserve">. </w:t>
      </w:r>
      <w:r w:rsidR="005117CE" w:rsidRPr="003D1E07">
        <w:t>Poslední</w:t>
      </w:r>
      <w:r w:rsidR="00D043B6" w:rsidRPr="003D1E07">
        <w:t xml:space="preserve"> </w:t>
      </w:r>
      <w:r w:rsidR="00890AC0" w:rsidRPr="003D1E07">
        <w:t xml:space="preserve">hledání jednoty </w:t>
      </w:r>
      <w:r w:rsidR="005117CE" w:rsidRPr="003D1E07">
        <w:t>začíná</w:t>
      </w:r>
      <w:r w:rsidR="00E1442C" w:rsidRPr="003D1E07">
        <w:t xml:space="preserve"> </w:t>
      </w:r>
      <w:r w:rsidR="005117CE" w:rsidRPr="003D1E07">
        <w:t xml:space="preserve">ve </w:t>
      </w:r>
      <w:r w:rsidR="005117CE" w:rsidRPr="003D1E07">
        <w:rPr>
          <w:i/>
        </w:rPr>
        <w:t>F</w:t>
      </w:r>
      <w:r w:rsidR="08B53FA4" w:rsidRPr="003D1E07">
        <w:rPr>
          <w:i/>
        </w:rPr>
        <w:t>yzice</w:t>
      </w:r>
      <w:r w:rsidR="00D043B6" w:rsidRPr="003D1E07">
        <w:t>, jak nazval Andronikos z Rhodu</w:t>
      </w:r>
      <w:r w:rsidR="006B026E" w:rsidRPr="003D1E07">
        <w:fldChar w:fldCharType="begin"/>
      </w:r>
      <w:r w:rsidR="006B026E" w:rsidRPr="003D1E07">
        <w:instrText xml:space="preserve"> XE "Andronikos z Rhodu" </w:instrText>
      </w:r>
      <w:r w:rsidR="006B026E" w:rsidRPr="003D1E07">
        <w:fldChar w:fldCharType="end"/>
      </w:r>
      <w:r w:rsidR="00D043B6" w:rsidRPr="003D1E07">
        <w:t xml:space="preserve"> </w:t>
      </w:r>
      <w:r w:rsidR="009F3DBD" w:rsidRPr="003D1E07">
        <w:t xml:space="preserve">spisy </w:t>
      </w:r>
      <w:r w:rsidR="00535E97">
        <w:t xml:space="preserve">Aristotela </w:t>
      </w:r>
      <w:r w:rsidR="009F3DBD" w:rsidRPr="003D1E07">
        <w:t xml:space="preserve">věnované tomuto </w:t>
      </w:r>
      <w:r w:rsidR="00766A32" w:rsidRPr="003D1E07">
        <w:t xml:space="preserve">zkoumání. </w:t>
      </w:r>
      <w:r w:rsidR="00D043B6" w:rsidRPr="003D1E07">
        <w:t>Metafyzik</w:t>
      </w:r>
      <w:r w:rsidR="00535E97">
        <w:t>a</w:t>
      </w:r>
      <w:r w:rsidR="00D043B6" w:rsidRPr="003D1E07">
        <w:t xml:space="preserve"> </w:t>
      </w:r>
      <w:r w:rsidR="00EE42A6" w:rsidRPr="003D1E07">
        <w:t xml:space="preserve">hledá </w:t>
      </w:r>
      <w:r w:rsidR="083C0E2C" w:rsidRPr="003D1E07">
        <w:t xml:space="preserve">první principy jsoucna </w:t>
      </w:r>
      <w:r w:rsidR="08D96C20" w:rsidRPr="003D1E07">
        <w:t xml:space="preserve">ve vědě za fyzikou </w:t>
      </w:r>
      <w:r w:rsidR="005117CE" w:rsidRPr="003D1E07">
        <w:rPr>
          <w:noProof w:val="0"/>
          <w:lang w:eastAsia="en-US"/>
        </w:rPr>
        <w:t>(</w:t>
      </w:r>
      <w:r w:rsidR="0087022B">
        <w:rPr>
          <w:i/>
        </w:rPr>
        <w:t>tá metá tá</w:t>
      </w:r>
      <w:r w:rsidR="005117CE" w:rsidRPr="003D1E07">
        <w:rPr>
          <w:i/>
        </w:rPr>
        <w:t xml:space="preserve"> physiká</w:t>
      </w:r>
      <w:r w:rsidR="006B026E" w:rsidRPr="003D1E07">
        <w:rPr>
          <w:i/>
        </w:rPr>
        <w:fldChar w:fldCharType="begin"/>
      </w:r>
      <w:r w:rsidR="006B026E" w:rsidRPr="003D1E07">
        <w:instrText xml:space="preserve"> XE "</w:instrText>
      </w:r>
      <w:r w:rsidR="00A018B3">
        <w:rPr>
          <w:i/>
        </w:rPr>
        <w:instrText>tá metá tá</w:instrText>
      </w:r>
      <w:r w:rsidR="006B026E" w:rsidRPr="003D1E07">
        <w:rPr>
          <w:i/>
        </w:rPr>
        <w:instrText xml:space="preserve"> physiká</w:instrText>
      </w:r>
      <w:r w:rsidR="006B026E" w:rsidRPr="003D1E07">
        <w:instrText xml:space="preserve">" </w:instrText>
      </w:r>
      <w:r w:rsidR="006B026E" w:rsidRPr="003D1E07">
        <w:rPr>
          <w:i/>
        </w:rPr>
        <w:fldChar w:fldCharType="end"/>
      </w:r>
      <w:r w:rsidR="005117CE" w:rsidRPr="003D1E07">
        <w:rPr>
          <w:noProof w:val="0"/>
          <w:lang w:eastAsia="en-US"/>
        </w:rPr>
        <w:t xml:space="preserve">) </w:t>
      </w:r>
      <w:r w:rsidR="08D96C20" w:rsidRPr="003D1E07">
        <w:t xml:space="preserve">v závislosti na </w:t>
      </w:r>
      <w:r w:rsidR="00535E97">
        <w:t xml:space="preserve">zkoumání </w:t>
      </w:r>
      <w:r w:rsidR="005117CE" w:rsidRPr="003D1E07">
        <w:t>ne</w:t>
      </w:r>
      <w:r w:rsidR="083C0E2C" w:rsidRPr="003D1E07">
        <w:t xml:space="preserve">pohyblivé </w:t>
      </w:r>
      <w:r w:rsidR="005117CE" w:rsidRPr="003D1E07">
        <w:t>ne</w:t>
      </w:r>
      <w:r w:rsidR="00535E97">
        <w:t>materiální substance</w:t>
      </w:r>
      <w:r w:rsidR="083C0E2C" w:rsidRPr="003D1E07">
        <w:t xml:space="preserve">. </w:t>
      </w:r>
      <w:r w:rsidR="08D56BCE" w:rsidRPr="003D1E07">
        <w:rPr>
          <w:szCs w:val="24"/>
        </w:rPr>
        <w:t xml:space="preserve">Klasická metafyzika sleduje cestu </w:t>
      </w:r>
      <w:r w:rsidR="089108A9" w:rsidRPr="003D1E07">
        <w:t xml:space="preserve">metafyzického </w:t>
      </w:r>
      <w:r w:rsidR="08D56BCE" w:rsidRPr="003D1E07">
        <w:rPr>
          <w:szCs w:val="24"/>
        </w:rPr>
        <w:t>dativu</w:t>
      </w:r>
      <w:r w:rsidR="086C7F22" w:rsidRPr="003D1E07">
        <w:rPr>
          <w:szCs w:val="24"/>
        </w:rPr>
        <w:fldChar w:fldCharType="begin"/>
      </w:r>
      <w:r w:rsidR="086C7F22" w:rsidRPr="003D1E07">
        <w:instrText xml:space="preserve"> XE "</w:instrText>
      </w:r>
      <w:r w:rsidR="086C7F22" w:rsidRPr="003D1E07">
        <w:rPr>
          <w:i/>
        </w:rPr>
        <w:instrText>dativ</w:instrText>
      </w:r>
      <w:r w:rsidR="089108A9" w:rsidRPr="003D1E07">
        <w:rPr>
          <w:i/>
        </w:rPr>
        <w:instrText>us metaphysicus</w:instrText>
      </w:r>
      <w:r w:rsidR="086C7F22" w:rsidRPr="003D1E07">
        <w:instrText xml:space="preserve">" </w:instrText>
      </w:r>
      <w:r w:rsidR="086C7F22" w:rsidRPr="003D1E07">
        <w:rPr>
          <w:szCs w:val="24"/>
        </w:rPr>
        <w:fldChar w:fldCharType="end"/>
      </w:r>
      <w:r w:rsidR="087842EA" w:rsidRPr="003D1E07">
        <w:rPr>
          <w:szCs w:val="24"/>
        </w:rPr>
        <w:t xml:space="preserve"> v modu adekvace</w:t>
      </w:r>
      <w:r w:rsidR="086C7F22" w:rsidRPr="003D1E07">
        <w:rPr>
          <w:szCs w:val="24"/>
        </w:rPr>
        <w:t xml:space="preserve"> první a druhé substance</w:t>
      </w:r>
      <w:r w:rsidR="08C70B43" w:rsidRPr="003D1E07">
        <w:rPr>
          <w:szCs w:val="24"/>
        </w:rPr>
        <w:t xml:space="preserve">. První věda je vázaná principem reality, </w:t>
      </w:r>
      <w:r w:rsidR="08D56BCE" w:rsidRPr="003D1E07">
        <w:rPr>
          <w:szCs w:val="24"/>
        </w:rPr>
        <w:t>proto nemá absolutní pravdu jako moderní logika</w:t>
      </w:r>
      <w:r w:rsidR="087842EA" w:rsidRPr="003D1E07">
        <w:rPr>
          <w:szCs w:val="24"/>
        </w:rPr>
        <w:t>, která je principiálně oddělená od reality</w:t>
      </w:r>
      <w:r w:rsidR="08146945" w:rsidRPr="003D1E07">
        <w:rPr>
          <w:szCs w:val="24"/>
        </w:rPr>
        <w:t xml:space="preserve"> v modu </w:t>
      </w:r>
      <w:r w:rsidR="08146945" w:rsidRPr="003D1E07">
        <w:rPr>
          <w:i/>
          <w:szCs w:val="24"/>
        </w:rPr>
        <w:t>absolute</w:t>
      </w:r>
      <w:r w:rsidR="08D56BCE" w:rsidRPr="003D1E07">
        <w:rPr>
          <w:szCs w:val="24"/>
        </w:rPr>
        <w:t xml:space="preserve">. </w:t>
      </w:r>
      <w:r w:rsidR="006E4998">
        <w:rPr>
          <w:szCs w:val="24"/>
        </w:rPr>
        <w:t xml:space="preserve">Moderna </w:t>
      </w:r>
      <w:r w:rsidR="08740B10" w:rsidRPr="003D1E07">
        <w:rPr>
          <w:szCs w:val="24"/>
        </w:rPr>
        <w:t>může být vůči realitě paranoická</w:t>
      </w:r>
      <w:r w:rsidR="08B31FEB" w:rsidRPr="003D1E07">
        <w:rPr>
          <w:szCs w:val="24"/>
        </w:rPr>
        <w:t xml:space="preserve"> a přitom myslí </w:t>
      </w:r>
      <w:r w:rsidR="00E13F3F">
        <w:rPr>
          <w:szCs w:val="24"/>
        </w:rPr>
        <w:t xml:space="preserve">logicky </w:t>
      </w:r>
      <w:r w:rsidR="08B31FEB" w:rsidRPr="003D1E07">
        <w:rPr>
          <w:szCs w:val="24"/>
        </w:rPr>
        <w:t xml:space="preserve">správně, což se </w:t>
      </w:r>
      <w:r w:rsidR="08740B10" w:rsidRPr="003D1E07">
        <w:rPr>
          <w:szCs w:val="24"/>
        </w:rPr>
        <w:t xml:space="preserve">nemůže stát v pojetí </w:t>
      </w:r>
      <w:r w:rsidR="085C5328" w:rsidRPr="003D1E07">
        <w:rPr>
          <w:szCs w:val="24"/>
        </w:rPr>
        <w:t>pravdy pod</w:t>
      </w:r>
      <w:r w:rsidR="08740B10" w:rsidRPr="003D1E07">
        <w:rPr>
          <w:szCs w:val="24"/>
        </w:rPr>
        <w:t>l</w:t>
      </w:r>
      <w:r w:rsidR="085C5328" w:rsidRPr="003D1E07">
        <w:rPr>
          <w:szCs w:val="24"/>
        </w:rPr>
        <w:t>e</w:t>
      </w:r>
      <w:r w:rsidR="08740B10" w:rsidRPr="003D1E07">
        <w:rPr>
          <w:szCs w:val="24"/>
        </w:rPr>
        <w:t xml:space="preserve"> klasické metafyziky</w:t>
      </w:r>
      <w:r w:rsidR="08B31FEB" w:rsidRPr="003D1E07">
        <w:rPr>
          <w:szCs w:val="24"/>
        </w:rPr>
        <w:t xml:space="preserve">. </w:t>
      </w:r>
      <w:r w:rsidR="002E3B62" w:rsidRPr="003D1E07">
        <w:t>Averroes</w:t>
      </w:r>
      <w:r w:rsidR="00F307DA" w:rsidRPr="003D1E07">
        <w:t xml:space="preserve"> tvrdí, že zde tkví druhý omyl Avicenny, který v</w:t>
      </w:r>
      <w:r w:rsidR="00E942A2" w:rsidRPr="003D1E07">
        <w:t>yplývá z jeho prvního omylu, tedy</w:t>
      </w:r>
      <w:r w:rsidR="00F307DA" w:rsidRPr="003D1E07">
        <w:t xml:space="preserve"> ze znehodnocení fyziky.</w:t>
      </w:r>
      <w:r w:rsidR="00F307DA" w:rsidRPr="003D1E07">
        <w:rPr>
          <w:rStyle w:val="Znakapoznpodarou"/>
        </w:rPr>
        <w:footnoteReference w:id="209"/>
      </w:r>
      <w:r w:rsidR="00F307DA" w:rsidRPr="003D1E07">
        <w:t xml:space="preserve"> </w:t>
      </w:r>
      <w:r w:rsidR="00D97C42" w:rsidRPr="003D1E07">
        <w:t>M</w:t>
      </w:r>
      <w:r w:rsidR="00853273" w:rsidRPr="003D1E07">
        <w:rPr>
          <w:lang w:eastAsia="en-US"/>
        </w:rPr>
        <w:t xml:space="preserve">etafyziku lze založit </w:t>
      </w:r>
      <w:r w:rsidR="00200E00" w:rsidRPr="003D1E07">
        <w:rPr>
          <w:lang w:eastAsia="en-US"/>
        </w:rPr>
        <w:t>apodikticky jako první vědu</w:t>
      </w:r>
      <w:r w:rsidR="00D10B0C" w:rsidRPr="003D1E07">
        <w:rPr>
          <w:lang w:eastAsia="en-US"/>
        </w:rPr>
        <w:t xml:space="preserve"> </w:t>
      </w:r>
      <w:r w:rsidR="08877073" w:rsidRPr="003D1E07">
        <w:rPr>
          <w:lang w:eastAsia="en-US"/>
        </w:rPr>
        <w:t xml:space="preserve">jen </w:t>
      </w:r>
      <w:r w:rsidR="007E565A" w:rsidRPr="003D1E07">
        <w:rPr>
          <w:lang w:eastAsia="en-US"/>
        </w:rPr>
        <w:t xml:space="preserve">a pouze </w:t>
      </w:r>
      <w:r w:rsidR="007A1E67" w:rsidRPr="003D1E07">
        <w:rPr>
          <w:lang w:eastAsia="en-US"/>
        </w:rPr>
        <w:t xml:space="preserve">v návaznosti na fyzice. Ta </w:t>
      </w:r>
      <w:r w:rsidR="08877073" w:rsidRPr="003D1E07">
        <w:rPr>
          <w:lang w:eastAsia="en-US"/>
        </w:rPr>
        <w:t>zkoumá první principy bytí substance, jako je kauzalita a pohyb</w:t>
      </w:r>
      <w:r w:rsidR="08F54783" w:rsidRPr="003D1E07">
        <w:rPr>
          <w:lang w:eastAsia="en-US"/>
        </w:rPr>
        <w:t xml:space="preserve">. </w:t>
      </w:r>
      <w:r w:rsidR="00D67970" w:rsidRPr="003D1E07">
        <w:rPr>
          <w:lang w:eastAsia="en-US"/>
        </w:rPr>
        <w:t>Reálná s</w:t>
      </w:r>
      <w:r w:rsidR="08AA013F" w:rsidRPr="003D1E07">
        <w:rPr>
          <w:lang w:eastAsia="en-US"/>
        </w:rPr>
        <w:t xml:space="preserve">ubstance je primární a </w:t>
      </w:r>
      <w:r w:rsidR="007A1E67" w:rsidRPr="003D1E07">
        <w:rPr>
          <w:lang w:eastAsia="en-US"/>
        </w:rPr>
        <w:t xml:space="preserve">existuje </w:t>
      </w:r>
      <w:r w:rsidR="08AA013F" w:rsidRPr="003D1E07">
        <w:rPr>
          <w:i/>
          <w:lang w:eastAsia="en-US"/>
        </w:rPr>
        <w:t>per se</w:t>
      </w:r>
      <w:r w:rsidR="00C15E5E" w:rsidRPr="003D1E07">
        <w:rPr>
          <w:i/>
          <w:lang w:eastAsia="en-US"/>
        </w:rPr>
        <w:fldChar w:fldCharType="begin"/>
      </w:r>
      <w:r w:rsidR="00C15E5E" w:rsidRPr="003D1E07">
        <w:instrText xml:space="preserve"> XE "substance:první" </w:instrText>
      </w:r>
      <w:r w:rsidR="00C15E5E" w:rsidRPr="003D1E07">
        <w:rPr>
          <w:i/>
          <w:lang w:eastAsia="en-US"/>
        </w:rPr>
        <w:fldChar w:fldCharType="end"/>
      </w:r>
      <w:r w:rsidR="08AA013F" w:rsidRPr="003D1E07">
        <w:rPr>
          <w:lang w:eastAsia="en-US"/>
        </w:rPr>
        <w:t xml:space="preserve">. </w:t>
      </w:r>
      <w:r w:rsidR="08F54783" w:rsidRPr="003D1E07">
        <w:rPr>
          <w:lang w:eastAsia="en-US"/>
        </w:rPr>
        <w:t>N</w:t>
      </w:r>
      <w:r w:rsidR="08877073" w:rsidRPr="003D1E07">
        <w:rPr>
          <w:lang w:eastAsia="en-US"/>
        </w:rPr>
        <w:t xml:space="preserve">ekonečný regres </w:t>
      </w:r>
      <w:r w:rsidR="00943D7D" w:rsidRPr="003D1E07">
        <w:rPr>
          <w:lang w:eastAsia="en-US"/>
        </w:rPr>
        <w:t xml:space="preserve">v první vědě </w:t>
      </w:r>
      <w:r w:rsidR="08877073" w:rsidRPr="003D1E07">
        <w:rPr>
          <w:lang w:eastAsia="en-US"/>
        </w:rPr>
        <w:t xml:space="preserve">neexistuje, protože </w:t>
      </w:r>
      <w:r w:rsidR="08815EC8" w:rsidRPr="003D1E07">
        <w:rPr>
          <w:lang w:eastAsia="en-US"/>
        </w:rPr>
        <w:t>kniha</w:t>
      </w:r>
      <w:r w:rsidR="00943D7D" w:rsidRPr="003D1E07">
        <w:rPr>
          <w:lang w:eastAsia="en-US"/>
        </w:rPr>
        <w:t xml:space="preserve"> </w:t>
      </w:r>
      <w:r w:rsidR="00943D7D" w:rsidRPr="003D1E07">
        <w:rPr>
          <w:i/>
          <w:lang w:eastAsia="en-US"/>
        </w:rPr>
        <w:t>Lambda</w:t>
      </w:r>
      <w:r w:rsidR="00943D7D" w:rsidRPr="003D1E07">
        <w:rPr>
          <w:lang w:eastAsia="en-US"/>
        </w:rPr>
        <w:t xml:space="preserve"> zkoumá </w:t>
      </w:r>
      <w:r w:rsidR="08877073" w:rsidRPr="003D1E07">
        <w:rPr>
          <w:lang w:eastAsia="en-US"/>
        </w:rPr>
        <w:t xml:space="preserve">principy </w:t>
      </w:r>
      <w:r w:rsidR="00A6039E" w:rsidRPr="003D1E07">
        <w:rPr>
          <w:lang w:eastAsia="en-US"/>
        </w:rPr>
        <w:t xml:space="preserve">vzhledem k </w:t>
      </w:r>
      <w:r w:rsidR="089C4BE6" w:rsidRPr="003D1E07">
        <w:rPr>
          <w:lang w:eastAsia="en-US"/>
        </w:rPr>
        <w:t>oddělené nemateriální první substanci</w:t>
      </w:r>
      <w:r w:rsidR="00B80EA9" w:rsidRPr="003D1E07">
        <w:rPr>
          <w:lang w:eastAsia="en-US"/>
        </w:rPr>
        <w:t xml:space="preserve"> </w:t>
      </w:r>
      <w:r w:rsidR="00B80EA9" w:rsidRPr="003D1E07">
        <w:rPr>
          <w:lang w:eastAsia="en-US"/>
        </w:rPr>
        <w:lastRenderedPageBreak/>
        <w:t>Nehybného hybatele</w:t>
      </w:r>
      <w:r w:rsidR="08877073" w:rsidRPr="003D1E07">
        <w:rPr>
          <w:lang w:eastAsia="en-US"/>
        </w:rPr>
        <w:t xml:space="preserve">. </w:t>
      </w:r>
      <w:r w:rsidR="00AD7789">
        <w:rPr>
          <w:lang w:eastAsia="en-US"/>
        </w:rPr>
        <w:t>První p</w:t>
      </w:r>
      <w:r w:rsidR="08201048" w:rsidRPr="003D1E07">
        <w:t xml:space="preserve">rincipy jsoucna </w:t>
      </w:r>
      <w:r w:rsidR="00993D1E" w:rsidRPr="003D1E07">
        <w:t xml:space="preserve">existují </w:t>
      </w:r>
      <w:r w:rsidR="00966B24" w:rsidRPr="003D1E07">
        <w:t xml:space="preserve">proto, že existuje </w:t>
      </w:r>
      <w:r w:rsidR="000D5A5C">
        <w:t>aktuální</w:t>
      </w:r>
      <w:r w:rsidR="084D38E2" w:rsidRPr="003D1E07">
        <w:t xml:space="preserve"> </w:t>
      </w:r>
      <w:r w:rsidR="08201048" w:rsidRPr="003D1E07">
        <w:t>bytí</w:t>
      </w:r>
      <w:r w:rsidR="00966B24" w:rsidRPr="003D1E07">
        <w:t xml:space="preserve"> p</w:t>
      </w:r>
      <w:r w:rsidR="00993D1E" w:rsidRPr="003D1E07">
        <w:t>rvní substance</w:t>
      </w:r>
      <w:r w:rsidR="00966B24" w:rsidRPr="003D1E07">
        <w:t xml:space="preserve">. Při správně provedené adekvaci bytí a myšlení </w:t>
      </w:r>
      <w:r w:rsidR="00993D1E" w:rsidRPr="003D1E07">
        <w:t xml:space="preserve">pochopitelně nemůže </w:t>
      </w:r>
      <w:r w:rsidR="00966B24" w:rsidRPr="003D1E07">
        <w:t xml:space="preserve">dojít k žádnému nekonečnému </w:t>
      </w:r>
      <w:r w:rsidR="00993D1E" w:rsidRPr="003D1E07">
        <w:t>regres</w:t>
      </w:r>
      <w:r w:rsidR="00966B24" w:rsidRPr="003D1E07">
        <w:t>u</w:t>
      </w:r>
      <w:r w:rsidR="00993D1E" w:rsidRPr="003D1E07">
        <w:t>. Metafyzika musí najít formu predikace, která na úrovni druh</w:t>
      </w:r>
      <w:r w:rsidR="00156D8F" w:rsidRPr="003D1E07">
        <w:t>é substance odpovídá existenci první substance</w:t>
      </w:r>
      <w:r w:rsidR="00993D1E" w:rsidRPr="003D1E07">
        <w:t xml:space="preserve">. </w:t>
      </w:r>
      <w:r w:rsidR="00D76278" w:rsidRPr="003D1E07">
        <w:t>Univerzální p</w:t>
      </w:r>
      <w:r w:rsidR="08FA5CE5" w:rsidRPr="003D1E07">
        <w:rPr>
          <w:lang w:eastAsia="en-US"/>
        </w:rPr>
        <w:t xml:space="preserve">rincipy </w:t>
      </w:r>
      <w:r w:rsidR="00156D8F" w:rsidRPr="003D1E07">
        <w:rPr>
          <w:lang w:eastAsia="en-US"/>
        </w:rPr>
        <w:t xml:space="preserve">se týkají jedné </w:t>
      </w:r>
      <w:r w:rsidR="00D76278" w:rsidRPr="003D1E07">
        <w:rPr>
          <w:lang w:eastAsia="en-US"/>
        </w:rPr>
        <w:t xml:space="preserve">reálné </w:t>
      </w:r>
      <w:r w:rsidR="08FA5CE5" w:rsidRPr="003D1E07">
        <w:rPr>
          <w:lang w:eastAsia="en-US"/>
        </w:rPr>
        <w:t xml:space="preserve">materiální </w:t>
      </w:r>
      <w:r w:rsidR="0075704C" w:rsidRPr="003D1E07">
        <w:rPr>
          <w:lang w:eastAsia="en-US"/>
        </w:rPr>
        <w:t xml:space="preserve">či nemateriální </w:t>
      </w:r>
      <w:r w:rsidR="08FA5CE5" w:rsidRPr="003D1E07">
        <w:rPr>
          <w:lang w:eastAsia="en-US"/>
        </w:rPr>
        <w:t>substance</w:t>
      </w:r>
      <w:r w:rsidR="00AF4422" w:rsidRPr="003D1E07">
        <w:rPr>
          <w:lang w:eastAsia="en-US"/>
        </w:rPr>
        <w:t xml:space="preserve">, ale patří </w:t>
      </w:r>
      <w:r w:rsidR="00156D8F" w:rsidRPr="003D1E07">
        <w:rPr>
          <w:lang w:eastAsia="en-US"/>
        </w:rPr>
        <w:t>do dvou různých věd</w:t>
      </w:r>
      <w:r w:rsidR="002547BA" w:rsidRPr="003D1E07">
        <w:rPr>
          <w:lang w:eastAsia="en-US"/>
        </w:rPr>
        <w:t xml:space="preserve">. </w:t>
      </w:r>
      <w:r w:rsidR="08FA5CE5" w:rsidRPr="003D1E07">
        <w:rPr>
          <w:lang w:eastAsia="en-US"/>
        </w:rPr>
        <w:t>O</w:t>
      </w:r>
      <w:r w:rsidR="002547BA" w:rsidRPr="003D1E07">
        <w:rPr>
          <w:lang w:eastAsia="en-US"/>
        </w:rPr>
        <w:t xml:space="preserve">bě pojetí vycházejí z primátu první substance, která určuje myšlení a poznání dvojím způsobem. </w:t>
      </w:r>
      <w:r w:rsidR="00D12DCD" w:rsidRPr="003D1E07">
        <w:rPr>
          <w:lang w:eastAsia="en-US"/>
        </w:rPr>
        <w:t xml:space="preserve">Fyzika </w:t>
      </w:r>
      <w:r w:rsidR="00D369E5" w:rsidRPr="003D1E07">
        <w:rPr>
          <w:i/>
          <w:lang w:eastAsia="en-US"/>
        </w:rPr>
        <w:t>a posteriori</w:t>
      </w:r>
      <w:r w:rsidR="00D369E5" w:rsidRPr="003D1E07">
        <w:rPr>
          <w:lang w:eastAsia="en-US"/>
        </w:rPr>
        <w:t xml:space="preserve"> </w:t>
      </w:r>
      <w:r w:rsidR="00D12DCD" w:rsidRPr="003D1E07">
        <w:rPr>
          <w:lang w:eastAsia="en-US"/>
        </w:rPr>
        <w:t>předpoklád</w:t>
      </w:r>
      <w:r w:rsidR="00BA34E0" w:rsidRPr="003D1E07">
        <w:rPr>
          <w:lang w:eastAsia="en-US"/>
        </w:rPr>
        <w:t>á</w:t>
      </w:r>
      <w:r w:rsidR="008D143A" w:rsidRPr="003D1E07">
        <w:rPr>
          <w:lang w:eastAsia="en-US"/>
        </w:rPr>
        <w:t xml:space="preserve"> a pracuje s tím</w:t>
      </w:r>
      <w:r w:rsidR="00BA34E0" w:rsidRPr="003D1E07">
        <w:rPr>
          <w:lang w:eastAsia="en-US"/>
        </w:rPr>
        <w:t xml:space="preserve">, že existují </w:t>
      </w:r>
      <w:r w:rsidR="00D369E5" w:rsidRPr="003D1E07">
        <w:rPr>
          <w:i/>
          <w:lang w:eastAsia="en-US"/>
        </w:rPr>
        <w:t>a priori</w:t>
      </w:r>
      <w:r w:rsidR="00D369E5" w:rsidRPr="003D1E07">
        <w:rPr>
          <w:lang w:eastAsia="en-US"/>
        </w:rPr>
        <w:t xml:space="preserve"> </w:t>
      </w:r>
      <w:r w:rsidR="00EC7BE0" w:rsidRPr="003D1E07">
        <w:rPr>
          <w:lang w:eastAsia="en-US"/>
        </w:rPr>
        <w:t xml:space="preserve">dané první </w:t>
      </w:r>
      <w:r w:rsidR="008D143A" w:rsidRPr="003D1E07">
        <w:rPr>
          <w:lang w:eastAsia="en-US"/>
        </w:rPr>
        <w:t>principy substance</w:t>
      </w:r>
      <w:r w:rsidR="00C15E5E" w:rsidRPr="003D1E07">
        <w:rPr>
          <w:i/>
          <w:lang w:eastAsia="en-US"/>
        </w:rPr>
        <w:fldChar w:fldCharType="begin"/>
      </w:r>
      <w:r w:rsidR="00C15E5E" w:rsidRPr="003D1E07">
        <w:instrText xml:space="preserve"> XE "zjevování:nasvícení zepředu" </w:instrText>
      </w:r>
      <w:r w:rsidR="00C15E5E" w:rsidRPr="003D1E07">
        <w:rPr>
          <w:i/>
          <w:lang w:eastAsia="en-US"/>
        </w:rPr>
        <w:fldChar w:fldCharType="end"/>
      </w:r>
      <w:r w:rsidR="008D143A" w:rsidRPr="003D1E07">
        <w:rPr>
          <w:lang w:eastAsia="en-US"/>
        </w:rPr>
        <w:t xml:space="preserve">. Ty dokazuje </w:t>
      </w:r>
      <w:r w:rsidR="00D12DCD" w:rsidRPr="003D1E07">
        <w:rPr>
          <w:lang w:eastAsia="en-US"/>
        </w:rPr>
        <w:t xml:space="preserve">metafyzik </w:t>
      </w:r>
      <w:r w:rsidR="00872580" w:rsidRPr="003D1E07">
        <w:rPr>
          <w:lang w:eastAsia="en-US"/>
        </w:rPr>
        <w:t xml:space="preserve">apodiktickým </w:t>
      </w:r>
      <w:r w:rsidR="00D12DCD" w:rsidRPr="003D1E07">
        <w:rPr>
          <w:lang w:eastAsia="en-US"/>
        </w:rPr>
        <w:t>způsobem, tj. r</w:t>
      </w:r>
      <w:r w:rsidR="00D66518" w:rsidRPr="003D1E07">
        <w:rPr>
          <w:lang w:eastAsia="en-US"/>
        </w:rPr>
        <w:t xml:space="preserve">ozborem nehybné </w:t>
      </w:r>
      <w:r w:rsidR="003B7EB1" w:rsidRPr="003D1E07">
        <w:rPr>
          <w:lang w:eastAsia="en-US"/>
        </w:rPr>
        <w:t xml:space="preserve">a nemateriální </w:t>
      </w:r>
      <w:r w:rsidR="00D66518" w:rsidRPr="003D1E07">
        <w:rPr>
          <w:lang w:eastAsia="en-US"/>
        </w:rPr>
        <w:t>substance jako ultimativ</w:t>
      </w:r>
      <w:r w:rsidR="00D12DCD" w:rsidRPr="003D1E07">
        <w:rPr>
          <w:lang w:eastAsia="en-US"/>
        </w:rPr>
        <w:t xml:space="preserve">ního zdroje </w:t>
      </w:r>
      <w:r w:rsidR="003B7EB1" w:rsidRPr="003D1E07">
        <w:rPr>
          <w:lang w:eastAsia="en-US"/>
        </w:rPr>
        <w:t xml:space="preserve">kosmického </w:t>
      </w:r>
      <w:r w:rsidR="00D12DCD" w:rsidRPr="003D1E07">
        <w:rPr>
          <w:lang w:eastAsia="en-US"/>
        </w:rPr>
        <w:t>pohybu</w:t>
      </w:r>
      <w:r w:rsidR="00DF53EE" w:rsidRPr="003D1E07">
        <w:rPr>
          <w:lang w:eastAsia="en-US"/>
        </w:rPr>
        <w:t>.</w:t>
      </w:r>
      <w:r w:rsidR="009F5B41" w:rsidRPr="003D1E07">
        <w:rPr>
          <w:rStyle w:val="Znakapoznpodarou"/>
          <w:lang w:eastAsia="en-US"/>
        </w:rPr>
        <w:footnoteReference w:id="210"/>
      </w:r>
      <w:r w:rsidR="00DF53EE" w:rsidRPr="003D1E07">
        <w:rPr>
          <w:lang w:eastAsia="en-US"/>
        </w:rPr>
        <w:t xml:space="preserve"> </w:t>
      </w:r>
      <w:r w:rsidR="002E3B62" w:rsidRPr="003D1E07">
        <w:rPr>
          <w:lang w:eastAsia="en-US"/>
        </w:rPr>
        <w:t>Averroes</w:t>
      </w:r>
      <w:r w:rsidR="00D76278" w:rsidRPr="003D1E07">
        <w:rPr>
          <w:lang w:eastAsia="en-US"/>
        </w:rPr>
        <w:t xml:space="preserve"> výslovně poznamenává</w:t>
      </w:r>
      <w:r w:rsidR="00DC59F8" w:rsidRPr="003D1E07">
        <w:rPr>
          <w:lang w:eastAsia="en-US"/>
        </w:rPr>
        <w:t xml:space="preserve">, že toto zanedbání </w:t>
      </w:r>
      <w:r w:rsidR="003A3BFB" w:rsidRPr="003D1E07">
        <w:rPr>
          <w:lang w:eastAsia="en-US"/>
        </w:rPr>
        <w:t xml:space="preserve">architektonické výstavby vědeckého důkazu </w:t>
      </w:r>
      <w:r w:rsidR="00CF6DD2" w:rsidRPr="003D1E07">
        <w:rPr>
          <w:lang w:eastAsia="en-US"/>
        </w:rPr>
        <w:t xml:space="preserve">od fyziky k metafyzice </w:t>
      </w:r>
      <w:r w:rsidR="001A371F" w:rsidRPr="003D1E07">
        <w:rPr>
          <w:lang w:eastAsia="en-US"/>
        </w:rPr>
        <w:t>tvoří základní nejasnost u Alexandra</w:t>
      </w:r>
      <w:r w:rsidR="00955903" w:rsidRPr="003D1E07">
        <w:fldChar w:fldCharType="begin"/>
      </w:r>
      <w:r w:rsidR="00955903" w:rsidRPr="003D1E07">
        <w:instrText xml:space="preserve"> XE "Alexander Afrodisias" </w:instrText>
      </w:r>
      <w:r w:rsidR="00955903" w:rsidRPr="003D1E07">
        <w:fldChar w:fldCharType="end"/>
      </w:r>
      <w:r w:rsidR="001A371F" w:rsidRPr="003D1E07">
        <w:rPr>
          <w:lang w:eastAsia="en-US"/>
        </w:rPr>
        <w:t xml:space="preserve"> a </w:t>
      </w:r>
      <w:r w:rsidR="00DC59F8" w:rsidRPr="003D1E07">
        <w:rPr>
          <w:lang w:eastAsia="en-US"/>
        </w:rPr>
        <w:t xml:space="preserve">uvedlo Avicennu v </w:t>
      </w:r>
      <w:r w:rsidR="08575B09" w:rsidRPr="003D1E07">
        <w:rPr>
          <w:lang w:eastAsia="en-US"/>
        </w:rPr>
        <w:t xml:space="preserve">principiální </w:t>
      </w:r>
      <w:r w:rsidR="00DC59F8" w:rsidRPr="003D1E07">
        <w:rPr>
          <w:lang w:eastAsia="en-US"/>
        </w:rPr>
        <w:t>omyl</w:t>
      </w:r>
      <w:r w:rsidR="08E02511" w:rsidRPr="003D1E07">
        <w:rPr>
          <w:lang w:eastAsia="en-US"/>
        </w:rPr>
        <w:t>.</w:t>
      </w:r>
    </w:p>
    <w:p w14:paraId="04E12F46" w14:textId="77777777" w:rsidR="00635D93" w:rsidRPr="003D1E07" w:rsidRDefault="00763838" w:rsidP="00635D93">
      <w:pPr>
        <w:pStyle w:val="Citace"/>
        <w:rPr>
          <w:lang w:val="cs-CZ" w:eastAsia="en-US"/>
        </w:rPr>
      </w:pPr>
      <w:r w:rsidRPr="003D1E07">
        <w:rPr>
          <w:lang w:val="cs-CZ"/>
        </w:rPr>
        <w:t>„</w:t>
      </w:r>
      <w:r w:rsidR="00635D93" w:rsidRPr="003D1E07">
        <w:rPr>
          <w:lang w:val="cs-CZ"/>
        </w:rPr>
        <w:t>Alexander snad myslí tento bod, když říká, že znalec metafyziky vysvětluje, co jsou principy první substance, ale že přírodní filosof nemůže postulovat tento druh tázání</w:t>
      </w:r>
      <w:r w:rsidR="00D13647" w:rsidRPr="003D1E07">
        <w:rPr>
          <w:lang w:val="cs-CZ"/>
        </w:rPr>
        <w:t xml:space="preserve">, </w:t>
      </w:r>
      <w:r w:rsidR="00635D93" w:rsidRPr="003D1E07">
        <w:rPr>
          <w:lang w:val="cs-CZ"/>
        </w:rPr>
        <w:t>a</w:t>
      </w:r>
      <w:r w:rsidR="00D13647" w:rsidRPr="003D1E07">
        <w:rPr>
          <w:lang w:val="cs-CZ"/>
        </w:rPr>
        <w:t xml:space="preserve"> vlastně ho ani </w:t>
      </w:r>
      <w:r w:rsidR="00635D93" w:rsidRPr="003D1E07">
        <w:rPr>
          <w:lang w:val="cs-CZ"/>
        </w:rPr>
        <w:t>nepotřebuje. Možná tím myslí, že přírodní filosof zkoumá, jaké jsou principy substance podrobené vzniku a zániku podle přiměřené metody, tedy podle nejbližších principů. Proto prohlašuje</w:t>
      </w:r>
      <w:r w:rsidR="084A1B66" w:rsidRPr="003D1E07">
        <w:rPr>
          <w:lang w:val="cs-CZ"/>
        </w:rPr>
        <w:t xml:space="preserve">, že </w:t>
      </w:r>
      <w:r w:rsidR="00635D93" w:rsidRPr="003D1E07">
        <w:rPr>
          <w:lang w:val="cs-CZ"/>
        </w:rPr>
        <w:t xml:space="preserve">nehybná substance je princip pohyblivé substance. Takto je třeba chápat jeho slova, jinak jsou velmi nejasná. Toto </w:t>
      </w:r>
      <w:r w:rsidR="000A0C6A" w:rsidRPr="003D1E07">
        <w:rPr>
          <w:lang w:val="cs-CZ"/>
        </w:rPr>
        <w:t xml:space="preserve">uvedlo </w:t>
      </w:r>
      <w:r w:rsidR="00635D93" w:rsidRPr="003D1E07">
        <w:rPr>
          <w:lang w:val="cs-CZ"/>
        </w:rPr>
        <w:t>Avicennu v omyl.“ </w:t>
      </w:r>
      <w:r w:rsidR="08E02511" w:rsidRPr="003D1E07">
        <w:rPr>
          <w:rStyle w:val="Znakapoznpodarou"/>
          <w:lang w:val="cs-CZ" w:eastAsia="en-US"/>
        </w:rPr>
        <w:footnoteReference w:id="211"/>
      </w:r>
      <w:r w:rsidR="00635D93" w:rsidRPr="003D1E07">
        <w:rPr>
          <w:lang w:val="cs-CZ" w:eastAsia="en-US"/>
        </w:rPr>
        <w:t xml:space="preserve"> </w:t>
      </w:r>
    </w:p>
    <w:p w14:paraId="4DDF4B06" w14:textId="243A689D" w:rsidR="009A3316" w:rsidRPr="003D1E07" w:rsidRDefault="00DB2D4B" w:rsidP="00E04CA4">
      <w:pPr>
        <w:rPr>
          <w:rStyle w:val="ZkladntextKurzvadkovn0pt"/>
          <w:rFonts w:ascii="Calibri" w:eastAsia="Times" w:hAnsi="Calibri"/>
          <w:i w:val="0"/>
          <w:iCs w:val="0"/>
          <w:color w:val="auto"/>
          <w:spacing w:val="0"/>
          <w:sz w:val="24"/>
          <w:szCs w:val="20"/>
          <w:u w:val="none"/>
          <w:lang w:val="cs-CZ" w:eastAsia="en-US"/>
        </w:rPr>
      </w:pPr>
      <w:r w:rsidRPr="003D1E07">
        <w:rPr>
          <w:lang w:eastAsia="en-US"/>
        </w:rPr>
        <w:t xml:space="preserve">Substance </w:t>
      </w:r>
      <w:r w:rsidR="086C7F22" w:rsidRPr="003D1E07">
        <w:rPr>
          <w:lang w:eastAsia="en-US"/>
        </w:rPr>
        <w:t xml:space="preserve">reálně </w:t>
      </w:r>
      <w:r w:rsidRPr="003D1E07">
        <w:rPr>
          <w:lang w:eastAsia="en-US"/>
        </w:rPr>
        <w:t xml:space="preserve">existují a </w:t>
      </w:r>
      <w:r w:rsidR="00C53125" w:rsidRPr="003D1E07">
        <w:rPr>
          <w:lang w:eastAsia="en-US"/>
        </w:rPr>
        <w:t xml:space="preserve">to </w:t>
      </w:r>
      <w:r w:rsidRPr="003D1E07">
        <w:rPr>
          <w:lang w:eastAsia="en-US"/>
        </w:rPr>
        <w:t>ve třech základních rodech</w:t>
      </w:r>
      <w:r w:rsidR="08FE47BF" w:rsidRPr="003D1E07">
        <w:rPr>
          <w:lang w:eastAsia="en-US"/>
        </w:rPr>
        <w:t xml:space="preserve"> (</w:t>
      </w:r>
      <w:r w:rsidR="002B6612" w:rsidRPr="003D1E07">
        <w:rPr>
          <w:lang w:eastAsia="en-US"/>
        </w:rPr>
        <w:t xml:space="preserve">substance </w:t>
      </w:r>
      <w:r w:rsidR="08FE47BF" w:rsidRPr="003D1E07">
        <w:rPr>
          <w:lang w:eastAsia="en-US"/>
        </w:rPr>
        <w:t xml:space="preserve">materiální, nemateriální, oddělená </w:t>
      </w:r>
      <w:r w:rsidR="002B6612" w:rsidRPr="003D1E07">
        <w:rPr>
          <w:lang w:eastAsia="en-US"/>
        </w:rPr>
        <w:t xml:space="preserve">a immobilní </w:t>
      </w:r>
      <w:r w:rsidR="08FE47BF" w:rsidRPr="003D1E07">
        <w:rPr>
          <w:lang w:eastAsia="en-US"/>
        </w:rPr>
        <w:t>první substance)</w:t>
      </w:r>
      <w:r w:rsidR="080748B5" w:rsidRPr="003D1E07">
        <w:rPr>
          <w:lang w:eastAsia="en-US"/>
        </w:rPr>
        <w:t>. Proto je možné jejich vědecké zkoumání jak ve fyzice, tak v metafyzice</w:t>
      </w:r>
      <w:r w:rsidRPr="003D1E07">
        <w:rPr>
          <w:lang w:eastAsia="en-US"/>
        </w:rPr>
        <w:t xml:space="preserve">. </w:t>
      </w:r>
      <w:r w:rsidR="00A66A78" w:rsidRPr="003D1E07">
        <w:rPr>
          <w:lang w:eastAsia="en-US"/>
        </w:rPr>
        <w:t>P</w:t>
      </w:r>
      <w:r w:rsidR="00463FB2" w:rsidRPr="003D1E07">
        <w:rPr>
          <w:lang w:eastAsia="en-US"/>
        </w:rPr>
        <w:t xml:space="preserve">redikace bytí jako rodu postaveného </w:t>
      </w:r>
      <w:r w:rsidR="00C343B4" w:rsidRPr="003D1E07">
        <w:rPr>
          <w:lang w:eastAsia="en-US"/>
        </w:rPr>
        <w:t>mimo substanci je podle Aristo</w:t>
      </w:r>
      <w:r w:rsidR="00F26836" w:rsidRPr="003D1E07">
        <w:rPr>
          <w:lang w:eastAsia="en-US"/>
        </w:rPr>
        <w:t>lela pouze homonymická</w:t>
      </w:r>
      <w:r w:rsidR="00290612" w:rsidRPr="003D1E07">
        <w:rPr>
          <w:lang w:eastAsia="en-US"/>
        </w:rPr>
        <w:t>. Začít z</w:t>
      </w:r>
      <w:r w:rsidR="00DB55D9" w:rsidRPr="003D1E07">
        <w:rPr>
          <w:lang w:eastAsia="en-US"/>
        </w:rPr>
        <w:t xml:space="preserve">koumání </w:t>
      </w:r>
      <w:r w:rsidR="002011FE" w:rsidRPr="003D1E07">
        <w:rPr>
          <w:lang w:eastAsia="en-US"/>
        </w:rPr>
        <w:t xml:space="preserve">jednoty </w:t>
      </w:r>
      <w:r w:rsidR="00DB55D9" w:rsidRPr="003D1E07">
        <w:rPr>
          <w:lang w:eastAsia="en-US"/>
        </w:rPr>
        <w:t xml:space="preserve">jsoucna </w:t>
      </w:r>
      <w:r w:rsidR="002011FE" w:rsidRPr="003D1E07">
        <w:rPr>
          <w:lang w:eastAsia="en-US"/>
        </w:rPr>
        <w:t xml:space="preserve">tímto způsobem </w:t>
      </w:r>
      <w:r w:rsidR="00DB55D9" w:rsidRPr="003D1E07">
        <w:rPr>
          <w:lang w:eastAsia="en-US"/>
        </w:rPr>
        <w:t xml:space="preserve">znamená, že </w:t>
      </w:r>
      <w:r w:rsidR="00290612" w:rsidRPr="003D1E07">
        <w:rPr>
          <w:lang w:eastAsia="en-US"/>
        </w:rPr>
        <w:t xml:space="preserve">poznání </w:t>
      </w:r>
      <w:r w:rsidR="00DB55D9" w:rsidRPr="003D1E07">
        <w:rPr>
          <w:lang w:eastAsia="en-US"/>
        </w:rPr>
        <w:t>skončí v nekonečném</w:t>
      </w:r>
      <w:r w:rsidR="00290612" w:rsidRPr="003D1E07">
        <w:rPr>
          <w:lang w:eastAsia="en-US"/>
        </w:rPr>
        <w:t xml:space="preserve"> regresu, což citovaný passus </w:t>
      </w:r>
      <w:r w:rsidR="00290612" w:rsidRPr="003D1E07">
        <w:rPr>
          <w:i/>
          <w:lang w:eastAsia="en-US"/>
        </w:rPr>
        <w:t>Metafyziky</w:t>
      </w:r>
      <w:r w:rsidR="00290612" w:rsidRPr="003D1E07">
        <w:rPr>
          <w:lang w:eastAsia="en-US"/>
        </w:rPr>
        <w:t xml:space="preserve"> IV.4 výslovně zapovídá. </w:t>
      </w:r>
      <w:r w:rsidR="00964BF7" w:rsidRPr="003D1E07">
        <w:rPr>
          <w:lang w:eastAsia="en-US"/>
        </w:rPr>
        <w:t>Hledaná první věda</w:t>
      </w:r>
      <w:r w:rsidR="00546ABB" w:rsidRPr="003D1E07">
        <w:rPr>
          <w:lang w:eastAsia="en-US"/>
        </w:rPr>
        <w:fldChar w:fldCharType="begin"/>
      </w:r>
      <w:r w:rsidR="00546ABB" w:rsidRPr="003D1E07">
        <w:instrText xml:space="preserve"> XE "metafyzika:první věda" </w:instrText>
      </w:r>
      <w:r w:rsidR="00546ABB" w:rsidRPr="003D1E07">
        <w:rPr>
          <w:lang w:eastAsia="en-US"/>
        </w:rPr>
        <w:fldChar w:fldCharType="end"/>
      </w:r>
      <w:r w:rsidR="00964BF7" w:rsidRPr="003D1E07">
        <w:rPr>
          <w:lang w:eastAsia="en-US"/>
        </w:rPr>
        <w:t xml:space="preserve"> skutečné jednoty jsoucího nemůže stát na pochybné univocitě postavené mimo </w:t>
      </w:r>
      <w:r w:rsidR="00134581">
        <w:rPr>
          <w:lang w:eastAsia="en-US"/>
        </w:rPr>
        <w:t xml:space="preserve">kategoriální </w:t>
      </w:r>
      <w:r w:rsidR="009B386A">
        <w:rPr>
          <w:lang w:eastAsia="en-US"/>
        </w:rPr>
        <w:t xml:space="preserve">význam </w:t>
      </w:r>
      <w:r w:rsidR="00964BF7" w:rsidRPr="003D1E07">
        <w:rPr>
          <w:lang w:eastAsia="en-US"/>
        </w:rPr>
        <w:t>existující</w:t>
      </w:r>
      <w:r w:rsidR="009B386A">
        <w:rPr>
          <w:lang w:eastAsia="en-US"/>
        </w:rPr>
        <w:t>ch substancí</w:t>
      </w:r>
      <w:r w:rsidR="00964BF7" w:rsidRPr="003D1E07">
        <w:rPr>
          <w:lang w:eastAsia="en-US"/>
        </w:rPr>
        <w:t xml:space="preserve">. </w:t>
      </w:r>
      <w:r w:rsidR="081F059E" w:rsidRPr="003D1E07">
        <w:rPr>
          <w:lang w:eastAsia="en-US"/>
        </w:rPr>
        <w:t xml:space="preserve">Fyzik </w:t>
      </w:r>
      <w:r w:rsidR="081F059E" w:rsidRPr="003D1E07">
        <w:rPr>
          <w:lang w:eastAsia="en-US"/>
        </w:rPr>
        <w:lastRenderedPageBreak/>
        <w:t xml:space="preserve">dokazuje, že separovaná nehybná substance je principem pohybu pro všechny porušitelné i neporušitelné substance. </w:t>
      </w:r>
      <w:r w:rsidRPr="003D1E07">
        <w:rPr>
          <w:lang w:eastAsia="en-US"/>
        </w:rPr>
        <w:t>M</w:t>
      </w:r>
      <w:r w:rsidR="00DC568C" w:rsidRPr="003D1E07">
        <w:rPr>
          <w:lang w:eastAsia="en-US"/>
        </w:rPr>
        <w:t>etafyzik hledá principy substance</w:t>
      </w:r>
      <w:r w:rsidR="00A70FA4" w:rsidRPr="003D1E07">
        <w:rPr>
          <w:lang w:eastAsia="en-US"/>
        </w:rPr>
        <w:fldChar w:fldCharType="begin"/>
      </w:r>
      <w:r w:rsidR="00A70FA4" w:rsidRPr="003D1E07">
        <w:instrText xml:space="preserve"> XE "</w:instrText>
      </w:r>
      <w:r w:rsidR="00863CC6" w:rsidRPr="003D1E07">
        <w:instrText>metafyzika:</w:instrText>
      </w:r>
      <w:r w:rsidR="002E3B62" w:rsidRPr="003D1E07">
        <w:instrText>Averroes</w:instrText>
      </w:r>
      <w:r w:rsidR="00A70FA4" w:rsidRPr="003D1E07">
        <w:instrText xml:space="preserve">" </w:instrText>
      </w:r>
      <w:r w:rsidR="00A70FA4" w:rsidRPr="003D1E07">
        <w:rPr>
          <w:lang w:eastAsia="en-US"/>
        </w:rPr>
        <w:fldChar w:fldCharType="end"/>
      </w:r>
      <w:r w:rsidR="081F059E" w:rsidRPr="003D1E07">
        <w:rPr>
          <w:lang w:eastAsia="en-US"/>
        </w:rPr>
        <w:t xml:space="preserve"> </w:t>
      </w:r>
      <w:r w:rsidR="00DE673D" w:rsidRPr="003D1E07">
        <w:rPr>
          <w:i/>
          <w:lang w:eastAsia="en-US"/>
        </w:rPr>
        <w:t>qua</w:t>
      </w:r>
      <w:r w:rsidR="00DE673D" w:rsidRPr="003D1E07">
        <w:rPr>
          <w:lang w:eastAsia="en-US"/>
        </w:rPr>
        <w:t xml:space="preserve"> </w:t>
      </w:r>
      <w:r w:rsidR="081F059E" w:rsidRPr="003D1E07">
        <w:rPr>
          <w:lang w:eastAsia="en-US"/>
        </w:rPr>
        <w:t>substance</w:t>
      </w:r>
      <w:r w:rsidR="08F725DE" w:rsidRPr="003D1E07">
        <w:rPr>
          <w:lang w:eastAsia="en-US"/>
        </w:rPr>
        <w:t xml:space="preserve"> mimo jiné i na základě</w:t>
      </w:r>
      <w:r w:rsidR="081F059E" w:rsidRPr="003D1E07">
        <w:rPr>
          <w:lang w:eastAsia="en-US"/>
        </w:rPr>
        <w:t xml:space="preserve"> </w:t>
      </w:r>
      <w:r w:rsidR="00747057" w:rsidRPr="003D1E07">
        <w:rPr>
          <w:lang w:eastAsia="en-US"/>
        </w:rPr>
        <w:t>vlastností nehybné a oddělené P</w:t>
      </w:r>
      <w:r w:rsidR="081F059E" w:rsidRPr="003D1E07">
        <w:rPr>
          <w:lang w:eastAsia="en-US"/>
        </w:rPr>
        <w:t>rvní substance</w:t>
      </w:r>
      <w:r w:rsidR="00863CC6" w:rsidRPr="003D1E07">
        <w:rPr>
          <w:lang w:eastAsia="en-US"/>
        </w:rPr>
        <w:fldChar w:fldCharType="begin"/>
      </w:r>
      <w:r w:rsidR="00863CC6" w:rsidRPr="003D1E07">
        <w:instrText xml:space="preserve"> XE "substance:nehybná" </w:instrText>
      </w:r>
      <w:r w:rsidR="00863CC6" w:rsidRPr="003D1E07">
        <w:rPr>
          <w:lang w:eastAsia="en-US"/>
        </w:rPr>
        <w:fldChar w:fldCharType="end"/>
      </w:r>
      <w:r w:rsidR="0088568B" w:rsidRPr="003D1E07">
        <w:rPr>
          <w:lang w:eastAsia="en-US"/>
        </w:rPr>
        <w:t>.</w:t>
      </w:r>
      <w:r w:rsidR="008E38E3" w:rsidRPr="003D1E07">
        <w:rPr>
          <w:lang w:eastAsia="en-US"/>
        </w:rPr>
        <w:t xml:space="preserve"> </w:t>
      </w:r>
      <w:r w:rsidR="08C34295" w:rsidRPr="003D1E07">
        <w:rPr>
          <w:lang w:eastAsia="en-US"/>
        </w:rPr>
        <w:t xml:space="preserve">Pak v řádu pravdy existuje dvojí zkoumání aktuálně existující substance, kterou jinak zkoumá fyzika (substance v různorodém druhu pohybu, vznikání, zanikání, </w:t>
      </w:r>
      <w:r w:rsidR="003D60AD">
        <w:rPr>
          <w:lang w:eastAsia="en-US"/>
        </w:rPr>
        <w:t xml:space="preserve">věčné </w:t>
      </w:r>
      <w:r w:rsidR="08C34295" w:rsidRPr="003D1E07">
        <w:rPr>
          <w:lang w:eastAsia="en-US"/>
        </w:rPr>
        <w:t xml:space="preserve">trvání) a jinak metafyzika (substance </w:t>
      </w:r>
      <w:r w:rsidR="08C34295" w:rsidRPr="003D1E07">
        <w:rPr>
          <w:i/>
          <w:lang w:eastAsia="en-US"/>
        </w:rPr>
        <w:t>qua</w:t>
      </w:r>
      <w:r w:rsidR="08401D62" w:rsidRPr="003D1E07">
        <w:rPr>
          <w:lang w:eastAsia="en-US"/>
        </w:rPr>
        <w:t xml:space="preserve"> substance</w:t>
      </w:r>
      <w:r w:rsidR="00044D37" w:rsidRPr="003D1E07">
        <w:rPr>
          <w:lang w:eastAsia="en-US"/>
        </w:rPr>
        <w:fldChar w:fldCharType="begin"/>
      </w:r>
      <w:r w:rsidR="00044D37" w:rsidRPr="003D1E07">
        <w:instrText xml:space="preserve"> XE "substance:</w:instrText>
      </w:r>
      <w:r w:rsidR="00044D37" w:rsidRPr="003D1E07">
        <w:rPr>
          <w:i/>
        </w:rPr>
        <w:instrText>qua</w:instrText>
      </w:r>
      <w:r w:rsidR="00044D37" w:rsidRPr="003D1E07">
        <w:instrText xml:space="preserve"> substance" </w:instrText>
      </w:r>
      <w:r w:rsidR="00044D37" w:rsidRPr="003D1E07">
        <w:rPr>
          <w:lang w:eastAsia="en-US"/>
        </w:rPr>
        <w:fldChar w:fldCharType="end"/>
      </w:r>
      <w:r w:rsidR="08401D62" w:rsidRPr="003D1E07">
        <w:rPr>
          <w:lang w:eastAsia="en-US"/>
        </w:rPr>
        <w:t>).</w:t>
      </w:r>
      <w:r w:rsidR="00607B9E" w:rsidRPr="003D1E07">
        <w:rPr>
          <w:lang w:eastAsia="en-US"/>
        </w:rPr>
        <w:t xml:space="preserve"> </w:t>
      </w:r>
      <w:r w:rsidR="002E3B62" w:rsidRPr="003D1E07">
        <w:t>Averroes</w:t>
      </w:r>
      <w:r w:rsidR="00286229" w:rsidRPr="003D1E07">
        <w:t xml:space="preserve"> </w:t>
      </w:r>
      <w:r w:rsidR="086C405B" w:rsidRPr="003D1E07">
        <w:rPr>
          <w:lang w:eastAsia="en-US"/>
        </w:rPr>
        <w:t xml:space="preserve">odmítl </w:t>
      </w:r>
      <w:r w:rsidR="00286229" w:rsidRPr="003D1E07">
        <w:rPr>
          <w:lang w:eastAsia="en-US"/>
        </w:rPr>
        <w:t>Avicennův chybný projekt metafyziky rozborem kategoriálních a rodových určení substance</w:t>
      </w:r>
      <w:r w:rsidR="00A70FA4" w:rsidRPr="003D1E07">
        <w:rPr>
          <w:lang w:eastAsia="en-US"/>
        </w:rPr>
        <w:fldChar w:fldCharType="begin"/>
      </w:r>
      <w:r w:rsidR="00A70FA4" w:rsidRPr="003D1E07">
        <w:instrText xml:space="preserve"> XE "substance</w:instrText>
      </w:r>
      <w:r w:rsidR="00FF4B59" w:rsidRPr="003D1E07">
        <w:instrText>:</w:instrText>
      </w:r>
      <w:r w:rsidR="002E3B62" w:rsidRPr="003D1E07">
        <w:instrText>Averroes</w:instrText>
      </w:r>
      <w:r w:rsidR="00A70FA4" w:rsidRPr="003D1E07">
        <w:instrText xml:space="preserve">" </w:instrText>
      </w:r>
      <w:r w:rsidR="00A70FA4" w:rsidRPr="003D1E07">
        <w:rPr>
          <w:lang w:eastAsia="en-US"/>
        </w:rPr>
        <w:fldChar w:fldCharType="end"/>
      </w:r>
      <w:r w:rsidR="00286229" w:rsidRPr="003D1E07">
        <w:rPr>
          <w:lang w:eastAsia="en-US"/>
        </w:rPr>
        <w:t>. Tuto negativní tezi doplnil pozitivní možností, jak spojit zkoumání substance</w:t>
      </w:r>
      <w:r w:rsidR="00286229" w:rsidRPr="003D1E07">
        <w:rPr>
          <w:i/>
          <w:lang w:eastAsia="en-US"/>
        </w:rPr>
        <w:t xml:space="preserve"> qua </w:t>
      </w:r>
      <w:r w:rsidR="00286229" w:rsidRPr="003D1E07">
        <w:rPr>
          <w:lang w:eastAsia="en-US"/>
        </w:rPr>
        <w:t>substance do jednoty první vědy.</w:t>
      </w:r>
      <w:r w:rsidR="00286229" w:rsidRPr="003D1E07">
        <w:rPr>
          <w:rStyle w:val="Znakapoznpodarou"/>
          <w:lang w:eastAsia="en-US"/>
        </w:rPr>
        <w:footnoteReference w:id="212"/>
      </w:r>
      <w:r w:rsidR="00286229" w:rsidRPr="003D1E07">
        <w:rPr>
          <w:lang w:eastAsia="en-US"/>
        </w:rPr>
        <w:t xml:space="preserve"> Jeho postup </w:t>
      </w:r>
      <w:r w:rsidR="004B5B85" w:rsidRPr="003D1E07">
        <w:rPr>
          <w:lang w:eastAsia="en-US"/>
        </w:rPr>
        <w:t xml:space="preserve">přebírá </w:t>
      </w:r>
      <w:r w:rsidR="00286229" w:rsidRPr="003D1E07">
        <w:rPr>
          <w:lang w:eastAsia="en-US"/>
        </w:rPr>
        <w:t>Aristotelovo zkoumání příčin pohybu vedoucí až první příčině (</w:t>
      </w:r>
      <w:r w:rsidR="00286229" w:rsidRPr="003D1E07">
        <w:rPr>
          <w:i/>
          <w:lang w:eastAsia="en-US"/>
        </w:rPr>
        <w:t>Phys</w:t>
      </w:r>
      <w:r w:rsidR="00286229" w:rsidRPr="003D1E07">
        <w:rPr>
          <w:lang w:eastAsia="en-US"/>
        </w:rPr>
        <w:t>. VIII), které končí zkoumáním principů této nehybné substance (</w:t>
      </w:r>
      <w:r w:rsidR="00286229" w:rsidRPr="003D1E07">
        <w:rPr>
          <w:i/>
          <w:lang w:eastAsia="en-US"/>
        </w:rPr>
        <w:t>Met</w:t>
      </w:r>
      <w:r w:rsidR="00286229" w:rsidRPr="003D1E07">
        <w:rPr>
          <w:lang w:eastAsia="en-US"/>
        </w:rPr>
        <w:t xml:space="preserve">. XII).  Z hlediska posloupnosti predikace </w:t>
      </w:r>
      <w:r w:rsidR="00286229" w:rsidRPr="003D1E07">
        <w:rPr>
          <w:i/>
          <w:lang w:eastAsia="en-US"/>
        </w:rPr>
        <w:t>per prius</w:t>
      </w:r>
      <w:r w:rsidR="00286229" w:rsidRPr="003D1E07">
        <w:rPr>
          <w:lang w:eastAsia="en-US"/>
        </w:rPr>
        <w:t xml:space="preserve"> a </w:t>
      </w:r>
      <w:r w:rsidR="00286229" w:rsidRPr="003D1E07">
        <w:rPr>
          <w:i/>
          <w:lang w:eastAsia="en-US"/>
        </w:rPr>
        <w:t>per posterius</w:t>
      </w:r>
      <w:r w:rsidR="00286229" w:rsidRPr="003D1E07">
        <w:rPr>
          <w:lang w:eastAsia="en-US"/>
        </w:rPr>
        <w:t xml:space="preserve"> platí, že fyz</w:t>
      </w:r>
      <w:r w:rsidR="0082426F" w:rsidRPr="003D1E07">
        <w:rPr>
          <w:lang w:eastAsia="en-US"/>
        </w:rPr>
        <w:t xml:space="preserve">ika </w:t>
      </w:r>
      <w:r w:rsidR="00ED1645" w:rsidRPr="003D1E07">
        <w:rPr>
          <w:lang w:eastAsia="en-US"/>
        </w:rPr>
        <w:t xml:space="preserve">má </w:t>
      </w:r>
      <w:r w:rsidR="0012353E" w:rsidRPr="003D1E07">
        <w:rPr>
          <w:lang w:eastAsia="en-US"/>
        </w:rPr>
        <w:t>impozici</w:t>
      </w:r>
      <w:r w:rsidR="00686E5A" w:rsidRPr="003D1E07">
        <w:rPr>
          <w:lang w:eastAsia="en-US"/>
        </w:rPr>
        <w:fldChar w:fldCharType="begin"/>
      </w:r>
      <w:r w:rsidR="00686E5A" w:rsidRPr="003D1E07">
        <w:instrText xml:space="preserve"> XE "</w:instrText>
      </w:r>
      <w:r w:rsidR="00686E5A" w:rsidRPr="003D1E07">
        <w:rPr>
          <w:lang w:eastAsia="en-US"/>
        </w:rPr>
        <w:instrText>impozice:</w:instrText>
      </w:r>
      <w:r w:rsidR="002E3B62" w:rsidRPr="003D1E07">
        <w:rPr>
          <w:lang w:eastAsia="en-US"/>
        </w:rPr>
        <w:instrText>Averroes</w:instrText>
      </w:r>
      <w:r w:rsidR="00686E5A" w:rsidRPr="003D1E07">
        <w:instrText xml:space="preserve">" </w:instrText>
      </w:r>
      <w:r w:rsidR="00686E5A" w:rsidRPr="003D1E07">
        <w:rPr>
          <w:lang w:eastAsia="en-US"/>
        </w:rPr>
        <w:fldChar w:fldCharType="end"/>
      </w:r>
      <w:r w:rsidR="0082426F" w:rsidRPr="003D1E07">
        <w:rPr>
          <w:lang w:eastAsia="en-US"/>
        </w:rPr>
        <w:t xml:space="preserve"> významu od první substance</w:t>
      </w:r>
      <w:r w:rsidR="00286229" w:rsidRPr="003D1E07">
        <w:rPr>
          <w:lang w:eastAsia="en-US"/>
        </w:rPr>
        <w:t>.</w:t>
      </w:r>
      <w:r w:rsidR="00286229" w:rsidRPr="003D1E07">
        <w:rPr>
          <w:rStyle w:val="Znakapoznpodarou"/>
          <w:lang w:eastAsia="en-US"/>
        </w:rPr>
        <w:footnoteReference w:id="213"/>
      </w:r>
      <w:r w:rsidR="00286229" w:rsidRPr="003D1E07">
        <w:rPr>
          <w:lang w:eastAsia="en-US"/>
        </w:rPr>
        <w:t xml:space="preserve"> </w:t>
      </w:r>
      <w:r w:rsidR="00286229" w:rsidRPr="003D1E07">
        <w:rPr>
          <w:rStyle w:val="ZkladntextKurzvadkovn0pt"/>
          <w:rFonts w:ascii="Calibri" w:eastAsia="Times" w:hAnsi="Calibri"/>
          <w:i w:val="0"/>
          <w:iCs w:val="0"/>
          <w:color w:val="auto"/>
          <w:spacing w:val="0"/>
          <w:sz w:val="24"/>
          <w:u w:val="none"/>
          <w:lang w:val="cs-CZ"/>
        </w:rPr>
        <w:t xml:space="preserve">Akvinský postupoval stejným způsobem, protože měl </w:t>
      </w:r>
      <w:r w:rsidR="00186D0C" w:rsidRPr="003D1E07">
        <w:rPr>
          <w:rStyle w:val="ZkladntextKurzvadkovn0pt"/>
          <w:rFonts w:ascii="Calibri" w:eastAsia="Times" w:hAnsi="Calibri"/>
          <w:i w:val="0"/>
          <w:iCs w:val="0"/>
          <w:color w:val="auto"/>
          <w:spacing w:val="0"/>
          <w:sz w:val="24"/>
          <w:u w:val="none"/>
          <w:lang w:val="cs-CZ"/>
        </w:rPr>
        <w:t xml:space="preserve">v tomto bodě podobnou </w:t>
      </w:r>
      <w:r w:rsidR="00286229" w:rsidRPr="003D1E07">
        <w:rPr>
          <w:rStyle w:val="ZkladntextKurzvadkovn0pt"/>
          <w:rFonts w:ascii="Calibri" w:eastAsia="Times" w:hAnsi="Calibri"/>
          <w:i w:val="0"/>
          <w:iCs w:val="0"/>
          <w:color w:val="auto"/>
          <w:spacing w:val="0"/>
          <w:sz w:val="24"/>
          <w:u w:val="none"/>
          <w:lang w:val="cs-CZ"/>
        </w:rPr>
        <w:t xml:space="preserve">vizi metafyziky jako </w:t>
      </w:r>
      <w:r w:rsidR="002E3B62" w:rsidRPr="003D1E07">
        <w:rPr>
          <w:rStyle w:val="ZkladntextKurzvadkovn0pt"/>
          <w:rFonts w:ascii="Calibri" w:eastAsia="Times" w:hAnsi="Calibri"/>
          <w:i w:val="0"/>
          <w:iCs w:val="0"/>
          <w:color w:val="auto"/>
          <w:spacing w:val="0"/>
          <w:sz w:val="24"/>
          <w:u w:val="none"/>
          <w:lang w:val="cs-CZ"/>
        </w:rPr>
        <w:t>Averroes</w:t>
      </w:r>
      <w:r w:rsidR="083D13C0" w:rsidRPr="003D1E07">
        <w:rPr>
          <w:rStyle w:val="ZkladntextKurzvadkovn0pt"/>
          <w:rFonts w:ascii="Calibri" w:eastAsia="Times" w:hAnsi="Calibri"/>
          <w:i w:val="0"/>
          <w:iCs w:val="0"/>
          <w:color w:val="auto"/>
          <w:spacing w:val="0"/>
          <w:sz w:val="24"/>
          <w:u w:val="none"/>
          <w:lang w:val="cs-CZ"/>
        </w:rPr>
        <w:t>. Předlohu známých pěti cest</w:t>
      </w:r>
      <w:r w:rsidR="00286229" w:rsidRPr="003D1E07">
        <w:rPr>
          <w:rStyle w:val="ZkladntextKurzvadkovn0pt"/>
          <w:rFonts w:ascii="Calibri" w:eastAsia="Times" w:hAnsi="Calibri"/>
          <w:i w:val="0"/>
          <w:iCs w:val="0"/>
          <w:color w:val="auto"/>
          <w:spacing w:val="0"/>
          <w:sz w:val="24"/>
          <w:u w:val="none"/>
          <w:lang w:val="cs-CZ"/>
        </w:rPr>
        <w:t xml:space="preserve"> (</w:t>
      </w:r>
      <w:r w:rsidR="00286229" w:rsidRPr="003D1E07">
        <w:rPr>
          <w:bCs/>
          <w:i/>
          <w:iCs/>
        </w:rPr>
        <w:t>quinque viae</w:t>
      </w:r>
      <w:r w:rsidR="0008664F" w:rsidRPr="003D1E07">
        <w:rPr>
          <w:bCs/>
          <w:i/>
          <w:iCs/>
        </w:rPr>
        <w:fldChar w:fldCharType="begin"/>
      </w:r>
      <w:r w:rsidR="0008664F" w:rsidRPr="003D1E07">
        <w:instrText xml:space="preserve"> XE "</w:instrText>
      </w:r>
      <w:r w:rsidR="0008664F" w:rsidRPr="003D1E07">
        <w:rPr>
          <w:bCs/>
          <w:i/>
          <w:iCs/>
        </w:rPr>
        <w:instrText>quinque viae</w:instrText>
      </w:r>
      <w:r w:rsidR="0008664F" w:rsidRPr="003D1E07">
        <w:instrText xml:space="preserve">" </w:instrText>
      </w:r>
      <w:r w:rsidR="0008664F" w:rsidRPr="003D1E07">
        <w:rPr>
          <w:bCs/>
          <w:i/>
          <w:iCs/>
        </w:rPr>
        <w:fldChar w:fldCharType="end"/>
      </w:r>
      <w:r w:rsidR="00286229" w:rsidRPr="003D1E07">
        <w:rPr>
          <w:rStyle w:val="ZkladntextKurzvadkovn0pt"/>
          <w:rFonts w:ascii="Calibri" w:eastAsia="Times" w:hAnsi="Calibri"/>
          <w:i w:val="0"/>
          <w:iCs w:val="0"/>
          <w:color w:val="auto"/>
          <w:spacing w:val="0"/>
          <w:sz w:val="24"/>
          <w:u w:val="none"/>
          <w:lang w:val="cs-CZ"/>
        </w:rPr>
        <w:t>) Akvinského</w:t>
      </w:r>
      <w:r w:rsidR="006B026E" w:rsidRPr="003D1E07">
        <w:rPr>
          <w:rStyle w:val="ZkladntextKurzvadkovn0pt"/>
          <w:rFonts w:ascii="Calibri" w:eastAsia="Times" w:hAnsi="Calibri"/>
          <w:i w:val="0"/>
          <w:iCs w:val="0"/>
          <w:color w:val="auto"/>
          <w:spacing w:val="0"/>
          <w:sz w:val="24"/>
          <w:u w:val="none"/>
          <w:lang w:val="cs-CZ"/>
        </w:rPr>
        <w:fldChar w:fldCharType="begin"/>
      </w:r>
      <w:r w:rsidR="006B026E" w:rsidRPr="003D1E07">
        <w:instrText xml:space="preserve"> XE "</w:instrText>
      </w:r>
      <w:r w:rsidR="006B026E" w:rsidRPr="003D1E07">
        <w:rPr>
          <w:rStyle w:val="ZkladntextKurzvadkovn0pt"/>
          <w:rFonts w:ascii="Calibri" w:eastAsia="Times" w:hAnsi="Calibri"/>
          <w:i w:val="0"/>
          <w:iCs w:val="0"/>
          <w:color w:val="auto"/>
          <w:spacing w:val="0"/>
          <w:sz w:val="24"/>
          <w:u w:val="none"/>
          <w:lang w:val="cs-CZ"/>
        </w:rPr>
        <w:instrText>Akvinský, T.</w:instrText>
      </w:r>
      <w:r w:rsidR="006B026E" w:rsidRPr="003D1E07">
        <w:instrText xml:space="preserve">" </w:instrText>
      </w:r>
      <w:r w:rsidR="006B026E" w:rsidRPr="003D1E07">
        <w:rPr>
          <w:rStyle w:val="ZkladntextKurzvadkovn0pt"/>
          <w:rFonts w:ascii="Calibri" w:eastAsia="Times" w:hAnsi="Calibri"/>
          <w:i w:val="0"/>
          <w:iCs w:val="0"/>
          <w:color w:val="auto"/>
          <w:spacing w:val="0"/>
          <w:sz w:val="24"/>
          <w:u w:val="none"/>
          <w:lang w:val="cs-CZ"/>
        </w:rPr>
        <w:fldChar w:fldCharType="end"/>
      </w:r>
      <w:r w:rsidR="00286229" w:rsidRPr="003D1E07">
        <w:rPr>
          <w:rStyle w:val="ZkladntextKurzvadkovn0pt"/>
          <w:rFonts w:ascii="Calibri" w:eastAsia="Times" w:hAnsi="Calibri"/>
          <w:i w:val="0"/>
          <w:iCs w:val="0"/>
          <w:color w:val="auto"/>
          <w:spacing w:val="0"/>
          <w:sz w:val="24"/>
          <w:u w:val="none"/>
          <w:lang w:val="cs-CZ"/>
        </w:rPr>
        <w:t xml:space="preserve"> najdeme v této citaci </w:t>
      </w:r>
      <w:r w:rsidR="002E3B62" w:rsidRPr="003D1E07">
        <w:rPr>
          <w:rStyle w:val="ZkladntextKurzvadkovn0pt"/>
          <w:rFonts w:ascii="Calibri" w:eastAsia="Times" w:hAnsi="Calibri"/>
          <w:i w:val="0"/>
          <w:iCs w:val="0"/>
          <w:color w:val="auto"/>
          <w:spacing w:val="0"/>
          <w:sz w:val="24"/>
          <w:u w:val="none"/>
          <w:lang w:val="cs-CZ"/>
        </w:rPr>
        <w:t>Averroes</w:t>
      </w:r>
      <w:r w:rsidR="005C3317" w:rsidRPr="003D1E07">
        <w:rPr>
          <w:rStyle w:val="ZkladntextKurzvadkovn0pt"/>
          <w:rFonts w:ascii="Calibri" w:eastAsia="Times" w:hAnsi="Calibri"/>
          <w:i w:val="0"/>
          <w:iCs w:val="0"/>
          <w:color w:val="auto"/>
          <w:spacing w:val="0"/>
          <w:sz w:val="24"/>
          <w:u w:val="none"/>
          <w:lang w:val="cs-CZ"/>
        </w:rPr>
        <w:t>ova velkého komentáře k</w:t>
      </w:r>
      <w:r w:rsidR="00286229" w:rsidRPr="003D1E07">
        <w:rPr>
          <w:rStyle w:val="ZkladntextKurzvadkovn0pt"/>
          <w:rFonts w:ascii="Calibri" w:eastAsia="Times" w:hAnsi="Calibri"/>
          <w:i w:val="0"/>
          <w:iCs w:val="0"/>
          <w:color w:val="auto"/>
          <w:spacing w:val="0"/>
          <w:sz w:val="24"/>
          <w:u w:val="none"/>
          <w:lang w:val="cs-CZ"/>
        </w:rPr>
        <w:t xml:space="preserve"> </w:t>
      </w:r>
      <w:r w:rsidR="00286229" w:rsidRPr="003D1E07">
        <w:rPr>
          <w:rStyle w:val="ZkladntextKurzvadkovn0pt"/>
          <w:rFonts w:ascii="Calibri" w:eastAsia="Times" w:hAnsi="Calibri"/>
          <w:iCs w:val="0"/>
          <w:color w:val="auto"/>
          <w:spacing w:val="0"/>
          <w:sz w:val="24"/>
          <w:u w:val="none"/>
          <w:lang w:val="cs-CZ"/>
        </w:rPr>
        <w:t>Metafyzice</w:t>
      </w:r>
      <w:r w:rsidR="00286229" w:rsidRPr="003D1E07">
        <w:rPr>
          <w:rStyle w:val="ZkladntextKurzvadkovn0pt"/>
          <w:rFonts w:ascii="Calibri" w:eastAsia="Times" w:hAnsi="Calibri"/>
          <w:i w:val="0"/>
          <w:iCs w:val="0"/>
          <w:color w:val="auto"/>
          <w:spacing w:val="0"/>
          <w:sz w:val="24"/>
          <w:u w:val="none"/>
          <w:lang w:val="cs-CZ"/>
        </w:rPr>
        <w:t>.</w:t>
      </w:r>
      <w:r w:rsidR="00286229" w:rsidRPr="003D1E07">
        <w:rPr>
          <w:rStyle w:val="Znakapoznpodarou"/>
          <w:szCs w:val="17"/>
        </w:rPr>
        <w:footnoteReference w:id="214"/>
      </w:r>
      <w:r w:rsidR="00286229" w:rsidRPr="003D1E07">
        <w:rPr>
          <w:rStyle w:val="ZkladntextKurzvadkovn0pt"/>
          <w:rFonts w:ascii="Calibri" w:eastAsia="Times" w:hAnsi="Calibri"/>
          <w:i w:val="0"/>
          <w:iCs w:val="0"/>
          <w:color w:val="auto"/>
          <w:spacing w:val="0"/>
          <w:sz w:val="24"/>
          <w:szCs w:val="20"/>
          <w:u w:val="none"/>
          <w:lang w:val="cs-CZ" w:eastAsia="en-US"/>
        </w:rPr>
        <w:t xml:space="preserve"> </w:t>
      </w:r>
      <w:r w:rsidR="00286229" w:rsidRPr="003D1E07">
        <w:rPr>
          <w:rStyle w:val="ZkladntextKurzvadkovn0pt"/>
          <w:rFonts w:ascii="Calibri" w:eastAsia="Times" w:hAnsi="Calibri"/>
          <w:i w:val="0"/>
          <w:iCs w:val="0"/>
          <w:color w:val="auto"/>
          <w:spacing w:val="0"/>
          <w:sz w:val="24"/>
          <w:u w:val="none"/>
          <w:lang w:val="cs-CZ"/>
        </w:rPr>
        <w:t>Termín „</w:t>
      </w:r>
      <w:r w:rsidR="00D17B26" w:rsidRPr="003D1E07">
        <w:rPr>
          <w:rStyle w:val="ZkladntextKurzvadkovn0pt"/>
          <w:rFonts w:ascii="Calibri" w:eastAsia="Times" w:hAnsi="Calibri"/>
          <w:i w:val="0"/>
          <w:iCs w:val="0"/>
          <w:color w:val="auto"/>
          <w:spacing w:val="0"/>
          <w:sz w:val="24"/>
          <w:u w:val="none"/>
          <w:lang w:val="cs-CZ"/>
        </w:rPr>
        <w:t>důkaz</w:t>
      </w:r>
      <w:r w:rsidR="00286229" w:rsidRPr="003D1E07">
        <w:rPr>
          <w:rStyle w:val="ZkladntextKurzvadkovn0pt"/>
          <w:rFonts w:ascii="Calibri" w:eastAsia="Times" w:hAnsi="Calibri"/>
          <w:i w:val="0"/>
          <w:iCs w:val="0"/>
          <w:color w:val="auto"/>
          <w:spacing w:val="0"/>
          <w:sz w:val="24"/>
          <w:u w:val="none"/>
          <w:lang w:val="cs-CZ"/>
        </w:rPr>
        <w:t xml:space="preserve">“ </w:t>
      </w:r>
      <w:r w:rsidR="00286229" w:rsidRPr="003D1E07">
        <w:rPr>
          <w:rStyle w:val="Zkladntext1"/>
          <w:rFonts w:ascii="Calibri" w:eastAsia="Times" w:hAnsi="Calibri"/>
          <w:color w:val="auto"/>
          <w:spacing w:val="0"/>
          <w:sz w:val="24"/>
          <w:u w:val="none"/>
          <w:lang w:val="cs-CZ"/>
        </w:rPr>
        <w:t>(</w:t>
      </w:r>
      <w:r w:rsidR="00286229" w:rsidRPr="003D1E07">
        <w:rPr>
          <w:rStyle w:val="ZkladntextKurzvadkovn0pt"/>
          <w:rFonts w:ascii="Calibri" w:eastAsia="Times" w:hAnsi="Calibri"/>
          <w:iCs w:val="0"/>
          <w:color w:val="auto"/>
          <w:spacing w:val="0"/>
          <w:sz w:val="24"/>
          <w:u w:val="none"/>
          <w:lang w:val="cs-CZ"/>
        </w:rPr>
        <w:t>dalā'il</w:t>
      </w:r>
      <w:r w:rsidR="00365B25" w:rsidRPr="003D1E07">
        <w:rPr>
          <w:rStyle w:val="ZkladntextKurzvadkovn0pt"/>
          <w:rFonts w:ascii="Calibri" w:eastAsia="Times" w:hAnsi="Calibri"/>
          <w:iCs w:val="0"/>
          <w:color w:val="auto"/>
          <w:spacing w:val="0"/>
          <w:sz w:val="24"/>
          <w:u w:val="none"/>
          <w:lang w:val="cs-CZ"/>
        </w:rPr>
        <w:fldChar w:fldCharType="begin"/>
      </w:r>
      <w:r w:rsidR="00365B25" w:rsidRPr="003D1E07">
        <w:instrText xml:space="preserve"> XE "</w:instrText>
      </w:r>
      <w:r w:rsidR="00365B25" w:rsidRPr="003D1E07">
        <w:rPr>
          <w:rStyle w:val="ZkladntextKurzvadkovn0pt"/>
          <w:rFonts w:ascii="Calibri" w:eastAsia="Times" w:hAnsi="Calibri"/>
          <w:iCs w:val="0"/>
          <w:color w:val="auto"/>
          <w:spacing w:val="0"/>
          <w:sz w:val="24"/>
          <w:u w:val="none"/>
          <w:lang w:val="cs-CZ"/>
        </w:rPr>
        <w:instrText>dalā'il</w:instrText>
      </w:r>
      <w:r w:rsidR="00365B25" w:rsidRPr="003D1E07">
        <w:instrText xml:space="preserve">" </w:instrText>
      </w:r>
      <w:r w:rsidR="00365B25" w:rsidRPr="003D1E07">
        <w:rPr>
          <w:rStyle w:val="ZkladntextKurzvadkovn0pt"/>
          <w:rFonts w:ascii="Calibri" w:eastAsia="Times" w:hAnsi="Calibri"/>
          <w:iCs w:val="0"/>
          <w:color w:val="auto"/>
          <w:spacing w:val="0"/>
          <w:sz w:val="24"/>
          <w:u w:val="none"/>
          <w:lang w:val="cs-CZ"/>
        </w:rPr>
        <w:fldChar w:fldCharType="end"/>
      </w:r>
      <w:r w:rsidR="00286229" w:rsidRPr="003D1E07">
        <w:rPr>
          <w:rStyle w:val="ZkladntextKurzvadkovn0pt"/>
          <w:rFonts w:ascii="Calibri" w:eastAsia="Times" w:hAnsi="Calibri"/>
          <w:i w:val="0"/>
          <w:iCs w:val="0"/>
          <w:color w:val="auto"/>
          <w:spacing w:val="0"/>
          <w:sz w:val="24"/>
          <w:u w:val="none"/>
          <w:lang w:val="cs-CZ"/>
        </w:rPr>
        <w:t xml:space="preserve">) </w:t>
      </w:r>
      <w:r w:rsidR="007B3C4B" w:rsidRPr="003D1E07">
        <w:rPr>
          <w:rStyle w:val="ZkladntextKurzvadkovn0pt"/>
          <w:rFonts w:ascii="Calibri" w:eastAsia="Times" w:hAnsi="Calibri"/>
          <w:i w:val="0"/>
          <w:iCs w:val="0"/>
          <w:color w:val="auto"/>
          <w:spacing w:val="0"/>
          <w:sz w:val="24"/>
          <w:u w:val="none"/>
          <w:lang w:val="cs-CZ"/>
        </w:rPr>
        <w:t>později Siger a Akvinský definovali j</w:t>
      </w:r>
      <w:r w:rsidR="086C405B" w:rsidRPr="003D1E07">
        <w:rPr>
          <w:rStyle w:val="ZkladntextKurzvadkovn0pt"/>
          <w:rFonts w:ascii="Calibri" w:eastAsia="Times" w:hAnsi="Calibri"/>
          <w:i w:val="0"/>
          <w:iCs w:val="0"/>
          <w:color w:val="auto"/>
          <w:spacing w:val="0"/>
          <w:sz w:val="24"/>
          <w:u w:val="none"/>
          <w:lang w:val="cs-CZ"/>
        </w:rPr>
        <w:t>ako cestu</w:t>
      </w:r>
      <w:r w:rsidR="00286229" w:rsidRPr="003D1E07">
        <w:rPr>
          <w:rStyle w:val="ZkladntextKurzvadkovn0pt"/>
          <w:rFonts w:ascii="Calibri" w:eastAsia="Times" w:hAnsi="Calibri"/>
          <w:i w:val="0"/>
          <w:iCs w:val="0"/>
          <w:color w:val="auto"/>
          <w:spacing w:val="0"/>
          <w:sz w:val="24"/>
          <w:u w:val="none"/>
          <w:lang w:val="cs-CZ"/>
        </w:rPr>
        <w:t xml:space="preserve"> (</w:t>
      </w:r>
      <w:r w:rsidR="00286229" w:rsidRPr="003D1E07">
        <w:rPr>
          <w:rStyle w:val="ZkladntextKurzvadkovn0pt"/>
          <w:rFonts w:ascii="Calibri" w:eastAsia="Times" w:hAnsi="Calibri"/>
          <w:iCs w:val="0"/>
          <w:color w:val="auto"/>
          <w:spacing w:val="0"/>
          <w:sz w:val="24"/>
          <w:u w:val="none"/>
          <w:lang w:val="cs-CZ"/>
        </w:rPr>
        <w:t>via</w:t>
      </w:r>
      <w:r w:rsidR="00286229" w:rsidRPr="003D1E07">
        <w:rPr>
          <w:rStyle w:val="ZkladntextKurzvadkovn0pt"/>
          <w:rFonts w:ascii="Calibri" w:eastAsia="Times" w:hAnsi="Calibri"/>
          <w:i w:val="0"/>
          <w:iCs w:val="0"/>
          <w:color w:val="auto"/>
          <w:spacing w:val="0"/>
          <w:sz w:val="24"/>
          <w:u w:val="none"/>
          <w:lang w:val="cs-CZ"/>
        </w:rPr>
        <w:t>) směrem k oddělené existenci boha, který se ukazuje apodiktickému myšlení v modu kauzality jako První hybatel</w:t>
      </w:r>
      <w:r w:rsidR="086C405B" w:rsidRPr="003D1E07">
        <w:rPr>
          <w:rStyle w:val="ZkladntextKurzvadkovn0pt"/>
          <w:rFonts w:ascii="Calibri" w:eastAsia="Times" w:hAnsi="Calibri"/>
          <w:i w:val="0"/>
          <w:iCs w:val="0"/>
          <w:color w:val="auto"/>
          <w:spacing w:val="0"/>
          <w:sz w:val="24"/>
          <w:u w:val="none"/>
          <w:lang w:val="cs-CZ"/>
        </w:rPr>
        <w:t>. Vědecké poukazy</w:t>
      </w:r>
      <w:r w:rsidR="00286229" w:rsidRPr="003D1E07">
        <w:rPr>
          <w:rStyle w:val="ZkladntextKurzvadkovn0pt"/>
          <w:rFonts w:ascii="Calibri" w:eastAsia="Times" w:hAnsi="Calibri"/>
          <w:i w:val="0"/>
          <w:iCs w:val="0"/>
          <w:color w:val="auto"/>
          <w:spacing w:val="0"/>
          <w:sz w:val="24"/>
          <w:u w:val="none"/>
          <w:lang w:val="cs-CZ"/>
        </w:rPr>
        <w:t xml:space="preserve"> n</w:t>
      </w:r>
      <w:r w:rsidR="086C405B" w:rsidRPr="003D1E07">
        <w:rPr>
          <w:rStyle w:val="ZkladntextKurzvadkovn0pt"/>
          <w:rFonts w:ascii="Calibri" w:eastAsia="Times" w:hAnsi="Calibri"/>
          <w:i w:val="0"/>
          <w:iCs w:val="0"/>
          <w:color w:val="auto"/>
          <w:spacing w:val="0"/>
          <w:sz w:val="24"/>
          <w:u w:val="none"/>
          <w:lang w:val="cs-CZ"/>
        </w:rPr>
        <w:t>a první nehybnou substanci, či cesty</w:t>
      </w:r>
      <w:r w:rsidR="00286229" w:rsidRPr="003D1E07">
        <w:rPr>
          <w:rStyle w:val="ZkladntextKurzvadkovn0pt"/>
          <w:rFonts w:ascii="Calibri" w:eastAsia="Times" w:hAnsi="Calibri"/>
          <w:i w:val="0"/>
          <w:iCs w:val="0"/>
          <w:color w:val="auto"/>
          <w:spacing w:val="0"/>
          <w:sz w:val="24"/>
          <w:u w:val="none"/>
          <w:lang w:val="cs-CZ"/>
        </w:rPr>
        <w:t xml:space="preserve"> k ní, jsou založeny na různých pojetích pohybu</w:t>
      </w:r>
      <w:r w:rsidR="005A5012" w:rsidRPr="003D1E07">
        <w:rPr>
          <w:rStyle w:val="ZkladntextKurzvadkovn0pt"/>
          <w:rFonts w:ascii="Calibri" w:eastAsia="Times" w:hAnsi="Calibri"/>
          <w:i w:val="0"/>
          <w:iCs w:val="0"/>
          <w:color w:val="auto"/>
          <w:spacing w:val="0"/>
          <w:sz w:val="24"/>
          <w:u w:val="none"/>
          <w:lang w:val="cs-CZ"/>
        </w:rPr>
        <w:t xml:space="preserve"> a kauzality, kterou původně známe z fyziky reálných těles</w:t>
      </w:r>
      <w:r w:rsidR="00286229" w:rsidRPr="003D1E07">
        <w:rPr>
          <w:rStyle w:val="ZkladntextKurzvadkovn0pt"/>
          <w:rFonts w:ascii="Calibri" w:eastAsia="Times" w:hAnsi="Calibri"/>
          <w:i w:val="0"/>
          <w:iCs w:val="0"/>
          <w:color w:val="auto"/>
          <w:spacing w:val="0"/>
          <w:sz w:val="24"/>
          <w:u w:val="none"/>
          <w:lang w:val="cs-CZ"/>
        </w:rPr>
        <w:t xml:space="preserve">. </w:t>
      </w:r>
      <w:r w:rsidR="005A5012" w:rsidRPr="003D1E07">
        <w:rPr>
          <w:rStyle w:val="ZkladntextKurzvadkovn0pt"/>
          <w:rFonts w:ascii="Calibri" w:eastAsia="Times" w:hAnsi="Calibri"/>
          <w:i w:val="0"/>
          <w:iCs w:val="0"/>
          <w:color w:val="auto"/>
          <w:spacing w:val="0"/>
          <w:sz w:val="24"/>
          <w:u w:val="none"/>
          <w:lang w:val="cs-CZ"/>
        </w:rPr>
        <w:t xml:space="preserve">Tuto kauzalitu </w:t>
      </w:r>
      <w:r w:rsidR="00286229" w:rsidRPr="003D1E07">
        <w:rPr>
          <w:rStyle w:val="ZkladntextKurzvadkovn0pt"/>
          <w:rFonts w:ascii="Calibri" w:eastAsia="Times" w:hAnsi="Calibri"/>
          <w:i w:val="0"/>
          <w:iCs w:val="0"/>
          <w:color w:val="auto"/>
          <w:spacing w:val="0"/>
          <w:sz w:val="24"/>
          <w:u w:val="none"/>
          <w:lang w:val="cs-CZ"/>
        </w:rPr>
        <w:t xml:space="preserve">je ovšem třeba chápat v rámci predikace </w:t>
      </w:r>
      <w:r w:rsidR="00286229" w:rsidRPr="003D1E07">
        <w:rPr>
          <w:rStyle w:val="ZkladntextKurzvadkovn0pt"/>
          <w:rFonts w:ascii="Calibri" w:eastAsia="Times" w:hAnsi="Calibri"/>
          <w:iCs w:val="0"/>
          <w:color w:val="auto"/>
          <w:spacing w:val="0"/>
          <w:sz w:val="24"/>
          <w:u w:val="none"/>
          <w:lang w:val="cs-CZ"/>
        </w:rPr>
        <w:t>per posterius</w:t>
      </w:r>
      <w:r w:rsidR="00286229" w:rsidRPr="003D1E07">
        <w:rPr>
          <w:rStyle w:val="ZkladntextKurzvadkovn0pt"/>
          <w:rFonts w:ascii="Calibri" w:eastAsia="Times" w:hAnsi="Calibri"/>
          <w:i w:val="0"/>
          <w:iCs w:val="0"/>
          <w:color w:val="auto"/>
          <w:spacing w:val="0"/>
          <w:sz w:val="24"/>
          <w:u w:val="none"/>
          <w:lang w:val="cs-CZ"/>
        </w:rPr>
        <w:t xml:space="preserve"> vztažené k oddělené boží substanci, kterou můžeme </w:t>
      </w:r>
      <w:r w:rsidR="005A5012" w:rsidRPr="003D1E07">
        <w:rPr>
          <w:rStyle w:val="ZkladntextKurzvadkovn0pt"/>
          <w:rFonts w:ascii="Calibri" w:eastAsia="Times" w:hAnsi="Calibri"/>
          <w:i w:val="0"/>
          <w:iCs w:val="0"/>
          <w:color w:val="auto"/>
          <w:spacing w:val="0"/>
          <w:sz w:val="24"/>
          <w:u w:val="none"/>
          <w:lang w:val="cs-CZ"/>
        </w:rPr>
        <w:t xml:space="preserve">v modu metafyziky </w:t>
      </w:r>
      <w:r w:rsidR="00286229" w:rsidRPr="003D1E07">
        <w:rPr>
          <w:rStyle w:val="ZkladntextKurzvadkovn0pt"/>
          <w:rFonts w:ascii="Calibri" w:eastAsia="Times" w:hAnsi="Calibri"/>
          <w:i w:val="0"/>
          <w:iCs w:val="0"/>
          <w:color w:val="auto"/>
          <w:spacing w:val="0"/>
          <w:sz w:val="24"/>
          <w:u w:val="none"/>
          <w:lang w:val="cs-CZ"/>
        </w:rPr>
        <w:t xml:space="preserve">nahlížet pouze nepřímo. Zkoumání </w:t>
      </w:r>
      <w:r w:rsidR="00286229" w:rsidRPr="003D1E07">
        <w:rPr>
          <w:rStyle w:val="ZkladntextKurzvadkovn0pt"/>
          <w:rFonts w:ascii="Calibri" w:eastAsia="Times" w:hAnsi="Calibri"/>
          <w:iCs w:val="0"/>
          <w:color w:val="auto"/>
          <w:spacing w:val="0"/>
          <w:sz w:val="24"/>
          <w:u w:val="none"/>
          <w:lang w:val="cs-CZ"/>
        </w:rPr>
        <w:t>per prius</w:t>
      </w:r>
      <w:r w:rsidR="00286229" w:rsidRPr="003D1E07">
        <w:rPr>
          <w:rStyle w:val="ZkladntextKurzvadkovn0pt"/>
          <w:rFonts w:ascii="Calibri" w:eastAsia="Times" w:hAnsi="Calibri"/>
          <w:i w:val="0"/>
          <w:iCs w:val="0"/>
          <w:color w:val="auto"/>
          <w:spacing w:val="0"/>
          <w:sz w:val="24"/>
          <w:u w:val="none"/>
          <w:lang w:val="cs-CZ"/>
        </w:rPr>
        <w:t xml:space="preserve"> vztažené k principům první substance provádí kniha </w:t>
      </w:r>
      <w:r w:rsidR="00286229" w:rsidRPr="003D1E07">
        <w:rPr>
          <w:rStyle w:val="ZkladntextKurzvadkovn0pt"/>
          <w:rFonts w:ascii="Calibri" w:eastAsia="Times" w:hAnsi="Calibri"/>
          <w:iCs w:val="0"/>
          <w:color w:val="auto"/>
          <w:spacing w:val="0"/>
          <w:sz w:val="24"/>
          <w:u w:val="none"/>
          <w:lang w:val="cs-CZ"/>
        </w:rPr>
        <w:t>Lambda</w:t>
      </w:r>
      <w:r w:rsidR="00286229" w:rsidRPr="003D1E07">
        <w:rPr>
          <w:rStyle w:val="ZkladntextKurzvadkovn0pt"/>
          <w:rFonts w:ascii="Calibri" w:eastAsia="Times" w:hAnsi="Calibri"/>
          <w:i w:val="0"/>
          <w:iCs w:val="0"/>
          <w:color w:val="auto"/>
          <w:spacing w:val="0"/>
          <w:sz w:val="24"/>
          <w:u w:val="none"/>
          <w:lang w:val="cs-CZ"/>
        </w:rPr>
        <w:t xml:space="preserve"> v části věnované Nehybnému hybateli. Typ důkazů daných skrze fyziku má apodiktickou platnost i v metafyzice, protože existence prvních principů jakékoliv vědy je nedokazatelná. Proto fyzika </w:t>
      </w:r>
      <w:r w:rsidR="007A161A" w:rsidRPr="003D1E07">
        <w:rPr>
          <w:rStyle w:val="ZkladntextKurzvadkovn0pt"/>
          <w:rFonts w:ascii="Calibri" w:eastAsia="Times" w:hAnsi="Calibri"/>
          <w:i w:val="0"/>
          <w:iCs w:val="0"/>
          <w:color w:val="auto"/>
          <w:spacing w:val="0"/>
          <w:sz w:val="24"/>
          <w:u w:val="none"/>
          <w:lang w:val="cs-CZ"/>
        </w:rPr>
        <w:t>před</w:t>
      </w:r>
      <w:r w:rsidR="00286229" w:rsidRPr="003D1E07">
        <w:rPr>
          <w:rStyle w:val="ZkladntextKurzvadkovn0pt"/>
          <w:rFonts w:ascii="Calibri" w:eastAsia="Times" w:hAnsi="Calibri"/>
          <w:i w:val="0"/>
          <w:iCs w:val="0"/>
          <w:color w:val="auto"/>
          <w:spacing w:val="0"/>
          <w:sz w:val="24"/>
          <w:u w:val="none"/>
          <w:lang w:val="cs-CZ"/>
        </w:rPr>
        <w:t>chází metafyziku</w:t>
      </w:r>
      <w:r w:rsidR="007A161A" w:rsidRPr="003D1E07">
        <w:rPr>
          <w:rStyle w:val="ZkladntextKurzvadkovn0pt"/>
          <w:rFonts w:ascii="Calibri" w:eastAsia="Times" w:hAnsi="Calibri"/>
          <w:i w:val="0"/>
          <w:iCs w:val="0"/>
          <w:color w:val="auto"/>
          <w:spacing w:val="0"/>
          <w:sz w:val="24"/>
          <w:u w:val="none"/>
          <w:lang w:val="cs-CZ"/>
        </w:rPr>
        <w:t xml:space="preserve"> a </w:t>
      </w:r>
      <w:r w:rsidR="00E40922">
        <w:rPr>
          <w:rStyle w:val="ZkladntextKurzvadkovn0pt"/>
          <w:rFonts w:ascii="Calibri" w:eastAsia="Times" w:hAnsi="Calibri"/>
          <w:i w:val="0"/>
          <w:iCs w:val="0"/>
          <w:color w:val="auto"/>
          <w:spacing w:val="0"/>
          <w:sz w:val="24"/>
          <w:u w:val="none"/>
          <w:lang w:val="cs-CZ"/>
        </w:rPr>
        <w:t xml:space="preserve">pak </w:t>
      </w:r>
      <w:r w:rsidR="007A161A" w:rsidRPr="003D1E07">
        <w:rPr>
          <w:rStyle w:val="ZkladntextKurzvadkovn0pt"/>
          <w:rFonts w:ascii="Calibri" w:eastAsia="Times" w:hAnsi="Calibri"/>
          <w:i w:val="0"/>
          <w:iCs w:val="0"/>
          <w:color w:val="auto"/>
          <w:spacing w:val="0"/>
          <w:sz w:val="24"/>
          <w:u w:val="none"/>
          <w:lang w:val="cs-CZ"/>
        </w:rPr>
        <w:t xml:space="preserve">přechází v </w:t>
      </w:r>
      <w:r w:rsidR="007A161A" w:rsidRPr="003D1E07">
        <w:rPr>
          <w:rStyle w:val="ZkladntextKurzvadkovn0pt"/>
          <w:rFonts w:ascii="Calibri" w:eastAsia="Times" w:hAnsi="Calibri"/>
          <w:i w:val="0"/>
          <w:iCs w:val="0"/>
          <w:color w:val="auto"/>
          <w:spacing w:val="0"/>
          <w:sz w:val="24"/>
          <w:u w:val="none"/>
          <w:lang w:val="cs-CZ"/>
        </w:rPr>
        <w:lastRenderedPageBreak/>
        <w:t>metafyziku</w:t>
      </w:r>
      <w:r w:rsidR="00286229" w:rsidRPr="003D1E07">
        <w:rPr>
          <w:rStyle w:val="ZkladntextKurzvadkovn0pt"/>
          <w:rFonts w:ascii="Calibri" w:eastAsia="Times" w:hAnsi="Calibri"/>
          <w:i w:val="0"/>
          <w:iCs w:val="0"/>
          <w:color w:val="auto"/>
          <w:spacing w:val="0"/>
          <w:sz w:val="24"/>
          <w:u w:val="none"/>
          <w:lang w:val="cs-CZ"/>
        </w:rPr>
        <w:t xml:space="preserve">. Fyzika a metafyzika se doplňují, protože predikace </w:t>
      </w:r>
      <w:r w:rsidR="00286229" w:rsidRPr="003D1E07">
        <w:rPr>
          <w:rStyle w:val="ZkladntextKurzvadkovn0pt"/>
          <w:rFonts w:ascii="Calibri" w:eastAsia="Times" w:hAnsi="Calibri"/>
          <w:iCs w:val="0"/>
          <w:color w:val="auto"/>
          <w:spacing w:val="0"/>
          <w:sz w:val="24"/>
          <w:u w:val="none"/>
          <w:lang w:val="cs-CZ"/>
        </w:rPr>
        <w:t>per prius</w:t>
      </w:r>
      <w:r w:rsidR="00286229" w:rsidRPr="003D1E07">
        <w:rPr>
          <w:rStyle w:val="ZkladntextKurzvadkovn0pt"/>
          <w:rFonts w:ascii="Calibri" w:eastAsia="Times" w:hAnsi="Calibri"/>
          <w:i w:val="0"/>
          <w:iCs w:val="0"/>
          <w:color w:val="auto"/>
          <w:spacing w:val="0"/>
          <w:sz w:val="24"/>
          <w:u w:val="none"/>
          <w:lang w:val="cs-CZ"/>
        </w:rPr>
        <w:t xml:space="preserve"> a </w:t>
      </w:r>
      <w:r w:rsidR="00286229" w:rsidRPr="003D1E07">
        <w:rPr>
          <w:rStyle w:val="ZkladntextKurzvadkovn0pt"/>
          <w:rFonts w:ascii="Calibri" w:eastAsia="Times" w:hAnsi="Calibri"/>
          <w:iCs w:val="0"/>
          <w:color w:val="auto"/>
          <w:spacing w:val="0"/>
          <w:sz w:val="24"/>
          <w:u w:val="none"/>
          <w:lang w:val="cs-CZ"/>
        </w:rPr>
        <w:t>per posterius</w:t>
      </w:r>
      <w:r w:rsidR="00286229" w:rsidRPr="003D1E07">
        <w:rPr>
          <w:rStyle w:val="ZkladntextKurzvadkovn0pt"/>
          <w:rFonts w:ascii="Calibri" w:eastAsia="Times" w:hAnsi="Calibri"/>
          <w:i w:val="0"/>
          <w:iCs w:val="0"/>
          <w:color w:val="auto"/>
          <w:spacing w:val="0"/>
          <w:sz w:val="24"/>
          <w:u w:val="none"/>
          <w:lang w:val="cs-CZ"/>
        </w:rPr>
        <w:t xml:space="preserve"> má různou podobu pravdivosti vztažené k reálné věci existující mimo poznání. Induktivní zkoumání jde směrem od pohyblivé substance k nepohyblivé substanci za fyzikou. Deduktivní zkoumání principů substance začíná v metafyzice, která hledá primární určení substance jako takové </w:t>
      </w:r>
      <w:r w:rsidR="00DF0126" w:rsidRPr="003D1E07">
        <w:rPr>
          <w:rStyle w:val="ZkladntextKurzvadkovn0pt"/>
          <w:rFonts w:ascii="Calibri" w:eastAsia="Times" w:hAnsi="Calibri"/>
          <w:i w:val="0"/>
          <w:iCs w:val="0"/>
          <w:color w:val="auto"/>
          <w:spacing w:val="0"/>
          <w:sz w:val="24"/>
          <w:u w:val="none"/>
          <w:lang w:val="cs-CZ"/>
        </w:rPr>
        <w:t xml:space="preserve">(substance </w:t>
      </w:r>
      <w:r w:rsidR="00DF0126" w:rsidRPr="003D1E07">
        <w:rPr>
          <w:rStyle w:val="ZkladntextKurzvadkovn0pt"/>
          <w:rFonts w:ascii="Calibri" w:eastAsia="Times" w:hAnsi="Calibri"/>
          <w:iCs w:val="0"/>
          <w:color w:val="auto"/>
          <w:spacing w:val="0"/>
          <w:sz w:val="24"/>
          <w:u w:val="none"/>
          <w:lang w:val="cs-CZ"/>
        </w:rPr>
        <w:t>qua</w:t>
      </w:r>
      <w:r w:rsidR="00DF0126" w:rsidRPr="003D1E07">
        <w:rPr>
          <w:rStyle w:val="ZkladntextKurzvadkovn0pt"/>
          <w:rFonts w:ascii="Calibri" w:eastAsia="Times" w:hAnsi="Calibri"/>
          <w:i w:val="0"/>
          <w:iCs w:val="0"/>
          <w:color w:val="auto"/>
          <w:spacing w:val="0"/>
          <w:sz w:val="24"/>
          <w:u w:val="none"/>
          <w:lang w:val="cs-CZ"/>
        </w:rPr>
        <w:t xml:space="preserve"> substance</w:t>
      </w:r>
      <w:r w:rsidR="00DF0126" w:rsidRPr="003D1E07">
        <w:rPr>
          <w:rStyle w:val="ZkladntextKurzvadkovn0pt"/>
          <w:rFonts w:ascii="Calibri" w:eastAsia="Times" w:hAnsi="Calibri"/>
          <w:i w:val="0"/>
          <w:iCs w:val="0"/>
          <w:color w:val="auto"/>
          <w:spacing w:val="0"/>
          <w:sz w:val="24"/>
          <w:u w:val="none"/>
          <w:lang w:val="cs-CZ"/>
        </w:rPr>
        <w:fldChar w:fldCharType="begin"/>
      </w:r>
      <w:r w:rsidR="00DF0126" w:rsidRPr="003D1E07">
        <w:instrText xml:space="preserve"> XE "</w:instrText>
      </w:r>
      <w:r w:rsidR="00DF0126" w:rsidRPr="003D1E07">
        <w:rPr>
          <w:rStyle w:val="ZkladntextKurzvadkovn0pt"/>
          <w:rFonts w:ascii="Calibri" w:eastAsia="Times" w:hAnsi="Calibri"/>
          <w:i w:val="0"/>
          <w:iCs w:val="0"/>
          <w:color w:val="auto"/>
          <w:spacing w:val="0"/>
          <w:sz w:val="24"/>
          <w:u w:val="none"/>
          <w:lang w:val="cs-CZ"/>
        </w:rPr>
        <w:instrText>substance:</w:instrText>
      </w:r>
      <w:r w:rsidR="00DF0126" w:rsidRPr="003D1E07">
        <w:rPr>
          <w:rStyle w:val="ZkladntextKurzvadkovn0pt"/>
          <w:rFonts w:ascii="Calibri" w:eastAsia="Times" w:hAnsi="Calibri"/>
          <w:iCs w:val="0"/>
          <w:color w:val="auto"/>
          <w:spacing w:val="0"/>
          <w:sz w:val="24"/>
          <w:u w:val="none"/>
          <w:lang w:val="cs-CZ"/>
        </w:rPr>
        <w:instrText>qua</w:instrText>
      </w:r>
      <w:r w:rsidR="00DF0126" w:rsidRPr="003D1E07">
        <w:rPr>
          <w:rStyle w:val="ZkladntextKurzvadkovn0pt"/>
          <w:rFonts w:ascii="Calibri" w:eastAsia="Times" w:hAnsi="Calibri"/>
          <w:i w:val="0"/>
          <w:iCs w:val="0"/>
          <w:color w:val="auto"/>
          <w:spacing w:val="0"/>
          <w:sz w:val="24"/>
          <w:u w:val="none"/>
          <w:lang w:val="cs-CZ"/>
        </w:rPr>
        <w:instrText xml:space="preserve"> substance</w:instrText>
      </w:r>
      <w:r w:rsidR="00DF0126" w:rsidRPr="003D1E07">
        <w:instrText xml:space="preserve">" </w:instrText>
      </w:r>
      <w:r w:rsidR="00DF0126" w:rsidRPr="003D1E07">
        <w:rPr>
          <w:rStyle w:val="ZkladntextKurzvadkovn0pt"/>
          <w:rFonts w:ascii="Calibri" w:eastAsia="Times" w:hAnsi="Calibri"/>
          <w:i w:val="0"/>
          <w:iCs w:val="0"/>
          <w:color w:val="auto"/>
          <w:spacing w:val="0"/>
          <w:sz w:val="24"/>
          <w:u w:val="none"/>
          <w:lang w:val="cs-CZ"/>
        </w:rPr>
        <w:fldChar w:fldCharType="end"/>
      </w:r>
      <w:r w:rsidR="00DF0126" w:rsidRPr="003D1E07">
        <w:rPr>
          <w:rStyle w:val="ZkladntextKurzvadkovn0pt"/>
          <w:rFonts w:ascii="Calibri" w:eastAsia="Times" w:hAnsi="Calibri"/>
          <w:i w:val="0"/>
          <w:iCs w:val="0"/>
          <w:color w:val="auto"/>
          <w:spacing w:val="0"/>
          <w:sz w:val="24"/>
          <w:u w:val="none"/>
          <w:lang w:val="cs-CZ"/>
        </w:rPr>
        <w:t xml:space="preserve">) </w:t>
      </w:r>
      <w:r w:rsidR="00286229" w:rsidRPr="003D1E07">
        <w:rPr>
          <w:rStyle w:val="ZkladntextKurzvadkovn0pt"/>
          <w:rFonts w:ascii="Calibri" w:eastAsia="Times" w:hAnsi="Calibri"/>
          <w:i w:val="0"/>
          <w:iCs w:val="0"/>
          <w:color w:val="auto"/>
          <w:spacing w:val="0"/>
          <w:sz w:val="24"/>
          <w:u w:val="none"/>
          <w:lang w:val="cs-CZ"/>
        </w:rPr>
        <w:t>a pracuje s nimi jako apodiktickými principy.</w:t>
      </w:r>
      <w:r w:rsidR="086C405B" w:rsidRPr="003D1E07">
        <w:rPr>
          <w:rStyle w:val="ZkladntextKurzvadkovn0pt"/>
          <w:rFonts w:ascii="Calibri" w:eastAsia="Times" w:hAnsi="Calibri"/>
          <w:i w:val="0"/>
          <w:iCs w:val="0"/>
          <w:color w:val="auto"/>
          <w:spacing w:val="0"/>
          <w:sz w:val="24"/>
          <w:u w:val="none"/>
          <w:lang w:val="cs-CZ"/>
        </w:rPr>
        <w:t xml:space="preserve"> </w:t>
      </w:r>
      <w:r w:rsidR="086C405B" w:rsidRPr="003D1E07">
        <w:rPr>
          <w:lang w:eastAsia="en-US"/>
        </w:rPr>
        <w:t xml:space="preserve">Averroes zavedl epochální rozdíl v modu metafyzického </w:t>
      </w:r>
      <w:r w:rsidR="086C405B" w:rsidRPr="003D1E07">
        <w:rPr>
          <w:i/>
          <w:lang w:eastAsia="en-US"/>
        </w:rPr>
        <w:t>Bildung</w:t>
      </w:r>
      <w:r w:rsidR="086C405B" w:rsidRPr="003D1E07">
        <w:rPr>
          <w:lang w:eastAsia="en-US"/>
        </w:rPr>
        <w:fldChar w:fldCharType="begin"/>
      </w:r>
      <w:r w:rsidR="086C405B" w:rsidRPr="003D1E07">
        <w:instrText xml:space="preserve"> XE "pravda:</w:instrText>
      </w:r>
      <w:r w:rsidR="086C405B" w:rsidRPr="003D1E07">
        <w:rPr>
          <w:i/>
        </w:rPr>
        <w:instrText>Bildung</w:instrText>
      </w:r>
      <w:r w:rsidR="086C405B" w:rsidRPr="003D1E07">
        <w:instrText xml:space="preserve">" </w:instrText>
      </w:r>
      <w:r w:rsidR="086C405B" w:rsidRPr="003D1E07">
        <w:rPr>
          <w:lang w:eastAsia="en-US"/>
        </w:rPr>
        <w:fldChar w:fldCharType="end"/>
      </w:r>
      <w:r w:rsidR="086C405B" w:rsidRPr="003D1E07">
        <w:rPr>
          <w:lang w:eastAsia="en-US"/>
        </w:rPr>
        <w:t xml:space="preserve"> mezi klasickou </w:t>
      </w:r>
      <w:r w:rsidR="086C405B" w:rsidRPr="003D1E07">
        <w:rPr>
          <w:i/>
          <w:lang w:eastAsia="en-US"/>
        </w:rPr>
        <w:t>paideía</w:t>
      </w:r>
      <w:r w:rsidR="086C405B" w:rsidRPr="003D1E07">
        <w:rPr>
          <w:lang w:eastAsia="en-US"/>
        </w:rPr>
        <w:t xml:space="preserve"> a moderní </w:t>
      </w:r>
      <w:r w:rsidR="086C405B" w:rsidRPr="003D1E07">
        <w:rPr>
          <w:i/>
          <w:lang w:eastAsia="en-US"/>
        </w:rPr>
        <w:t>apaideusía (</w:t>
      </w:r>
      <w:r w:rsidR="086C405B" w:rsidRPr="003D1E07">
        <w:rPr>
          <w:i/>
        </w:rPr>
        <w:t>Met</w:t>
      </w:r>
      <w:r w:rsidR="086C405B" w:rsidRPr="003D1E07">
        <w:t>. 1006a6</w:t>
      </w:r>
      <w:r w:rsidR="086C405B" w:rsidRPr="003D1E07">
        <w:rPr>
          <w:i/>
        </w:rPr>
        <w:fldChar w:fldCharType="begin"/>
      </w:r>
      <w:r w:rsidR="086C405B" w:rsidRPr="003D1E07">
        <w:instrText xml:space="preserve"> XE "Aristoteles:</w:instrText>
      </w:r>
      <w:r w:rsidR="086C405B" w:rsidRPr="003D1E07">
        <w:rPr>
          <w:i/>
        </w:rPr>
        <w:instrText>Met</w:instrText>
      </w:r>
      <w:r w:rsidR="086C405B" w:rsidRPr="003D1E07">
        <w:instrText xml:space="preserve">. 1006a6" </w:instrText>
      </w:r>
      <w:r w:rsidR="086C405B" w:rsidRPr="003D1E07">
        <w:rPr>
          <w:i/>
        </w:rPr>
        <w:fldChar w:fldCharType="end"/>
      </w:r>
      <w:r w:rsidR="086C405B" w:rsidRPr="003D1E07">
        <w:t>)</w:t>
      </w:r>
      <w:r w:rsidR="086C405B" w:rsidRPr="003D1E07">
        <w:rPr>
          <w:lang w:eastAsia="en-US"/>
        </w:rPr>
        <w:t xml:space="preserve">, která nepotřebuje </w:t>
      </w:r>
      <w:r w:rsidR="00B72324">
        <w:rPr>
          <w:lang w:eastAsia="en-US"/>
        </w:rPr>
        <w:t xml:space="preserve">impozici </w:t>
      </w:r>
      <w:r w:rsidR="003C3104">
        <w:rPr>
          <w:lang w:eastAsia="en-US"/>
        </w:rPr>
        <w:t xml:space="preserve">významu </w:t>
      </w:r>
      <w:r w:rsidR="086C405B" w:rsidRPr="003D1E07">
        <w:rPr>
          <w:lang w:eastAsia="en-US"/>
        </w:rPr>
        <w:t>z r</w:t>
      </w:r>
      <w:r w:rsidR="084E7952" w:rsidRPr="003D1E07">
        <w:rPr>
          <w:lang w:eastAsia="en-US"/>
        </w:rPr>
        <w:t>eality první substance (kap. 1.2</w:t>
      </w:r>
      <w:r w:rsidR="086C405B" w:rsidRPr="003D1E07">
        <w:rPr>
          <w:lang w:eastAsia="en-US"/>
        </w:rPr>
        <w:t xml:space="preserve">). </w:t>
      </w:r>
      <w:r w:rsidR="08D46858" w:rsidRPr="003D1E07">
        <w:rPr>
          <w:lang w:eastAsia="en-US"/>
        </w:rPr>
        <w:t xml:space="preserve">Averroesův přístup k metafyzice shrnuje tato věta </w:t>
      </w:r>
      <w:r w:rsidR="08D46858" w:rsidRPr="003D1E07">
        <w:rPr>
          <w:i/>
          <w:lang w:eastAsia="en-US"/>
        </w:rPr>
        <w:t>Druhých Analytik</w:t>
      </w:r>
      <w:r w:rsidR="08D46858" w:rsidRPr="003D1E07">
        <w:rPr>
          <w:lang w:eastAsia="en-US"/>
        </w:rPr>
        <w:t>: „Zkoumat, čím věc je, a přitom nevědět, zda vůbec existuje, to není vůbec žádné zkoumání“ (</w:t>
      </w:r>
      <w:r w:rsidR="08D46858" w:rsidRPr="003D1E07">
        <w:t xml:space="preserve">τὸ δὲ ζητεῖν τί ἐστι μὴ ἔχοντας ὅτι ἔστι, μηδὲν ζητεῖν ἐστιν, </w:t>
      </w:r>
      <w:r w:rsidR="08D46858" w:rsidRPr="003D1E07">
        <w:rPr>
          <w:rStyle w:val="Zvraznn"/>
          <w:bCs/>
          <w:szCs w:val="24"/>
        </w:rPr>
        <w:t>Anal</w:t>
      </w:r>
      <w:r w:rsidR="08D46858" w:rsidRPr="003D1E07">
        <w:rPr>
          <w:bCs/>
          <w:szCs w:val="24"/>
        </w:rPr>
        <w:t xml:space="preserve">. </w:t>
      </w:r>
      <w:r w:rsidR="08D46858" w:rsidRPr="003D1E07">
        <w:rPr>
          <w:rStyle w:val="Zvraznn"/>
          <w:bCs/>
          <w:szCs w:val="24"/>
        </w:rPr>
        <w:t>Post.</w:t>
      </w:r>
      <w:r w:rsidR="08D46858" w:rsidRPr="003D1E07">
        <w:rPr>
          <w:rStyle w:val="Zvraznn"/>
          <w:bCs/>
          <w:i w:val="0"/>
          <w:szCs w:val="24"/>
        </w:rPr>
        <w:t xml:space="preserve"> </w:t>
      </w:r>
      <w:r w:rsidR="08D46858" w:rsidRPr="003D1E07">
        <w:rPr>
          <w:bCs/>
          <w:szCs w:val="24"/>
        </w:rPr>
        <w:t>93a26–27</w:t>
      </w:r>
      <w:r w:rsidR="08D46858" w:rsidRPr="003D1E07">
        <w:rPr>
          <w:i/>
          <w:lang w:eastAsia="en-US"/>
        </w:rPr>
        <w:fldChar w:fldCharType="begin"/>
      </w:r>
      <w:r w:rsidR="08D46858" w:rsidRPr="003D1E07">
        <w:instrText xml:space="preserve"> XE "Aristoteles:</w:instrText>
      </w:r>
      <w:r w:rsidR="08D46858" w:rsidRPr="003D1E07">
        <w:rPr>
          <w:rStyle w:val="Zvraznn"/>
          <w:bCs/>
          <w:szCs w:val="24"/>
        </w:rPr>
        <w:instrText>Anal</w:instrText>
      </w:r>
      <w:r w:rsidR="08D46858" w:rsidRPr="003D1E07">
        <w:rPr>
          <w:bCs/>
          <w:szCs w:val="24"/>
        </w:rPr>
        <w:instrText xml:space="preserve">. </w:instrText>
      </w:r>
      <w:r w:rsidR="08D46858" w:rsidRPr="003D1E07">
        <w:rPr>
          <w:rStyle w:val="Zvraznn"/>
          <w:bCs/>
          <w:szCs w:val="24"/>
        </w:rPr>
        <w:instrText>Post.</w:instrText>
      </w:r>
      <w:r w:rsidR="08D46858" w:rsidRPr="003D1E07">
        <w:rPr>
          <w:rStyle w:val="Zvraznn"/>
          <w:bCs/>
          <w:i w:val="0"/>
          <w:szCs w:val="24"/>
        </w:rPr>
        <w:instrText xml:space="preserve"> </w:instrText>
      </w:r>
      <w:r w:rsidR="08D46858" w:rsidRPr="003D1E07">
        <w:rPr>
          <w:bCs/>
          <w:szCs w:val="24"/>
        </w:rPr>
        <w:instrText>93a26–27</w:instrText>
      </w:r>
      <w:r w:rsidR="08D46858" w:rsidRPr="003D1E07">
        <w:instrText xml:space="preserve">" </w:instrText>
      </w:r>
      <w:r w:rsidR="08D46858" w:rsidRPr="003D1E07">
        <w:rPr>
          <w:i/>
          <w:lang w:eastAsia="en-US"/>
        </w:rPr>
        <w:fldChar w:fldCharType="end"/>
      </w:r>
      <w:r w:rsidR="08D46858" w:rsidRPr="003D1E07">
        <w:rPr>
          <w:lang w:eastAsia="en-US"/>
        </w:rPr>
        <w:t xml:space="preserve">). </w:t>
      </w:r>
      <w:r w:rsidR="08444BFB" w:rsidRPr="003D1E07">
        <w:rPr>
          <w:lang w:eastAsia="en-US"/>
        </w:rPr>
        <w:t xml:space="preserve">Komentátorova kritika Avicenny ukazuje </w:t>
      </w:r>
      <w:r w:rsidR="00F42F5C" w:rsidRPr="003D1E07">
        <w:rPr>
          <w:lang w:eastAsia="en-US"/>
        </w:rPr>
        <w:t xml:space="preserve">moderní </w:t>
      </w:r>
      <w:r w:rsidR="086C405B" w:rsidRPr="003D1E07">
        <w:rPr>
          <w:i/>
          <w:lang w:eastAsia="en-US"/>
        </w:rPr>
        <w:t>Lichtung</w:t>
      </w:r>
      <w:r w:rsidR="086C405B" w:rsidRPr="003D1E07">
        <w:rPr>
          <w:lang w:eastAsia="en-US"/>
        </w:rPr>
        <w:t xml:space="preserve"> západní metafyziky</w:t>
      </w:r>
      <w:r w:rsidR="00880487" w:rsidRPr="003D1E07">
        <w:rPr>
          <w:lang w:eastAsia="en-US"/>
        </w:rPr>
        <w:t xml:space="preserve">. Zatměním první substance došlo k </w:t>
      </w:r>
      <w:r w:rsidR="086C405B" w:rsidRPr="003D1E07">
        <w:rPr>
          <w:lang w:eastAsia="en-US"/>
        </w:rPr>
        <w:t xml:space="preserve">epochální </w:t>
      </w:r>
      <w:r w:rsidR="086C405B" w:rsidRPr="003D1E07">
        <w:rPr>
          <w:i/>
          <w:lang w:eastAsia="en-US"/>
        </w:rPr>
        <w:t>Irre</w:t>
      </w:r>
      <w:r w:rsidR="086C405B" w:rsidRPr="003D1E07">
        <w:rPr>
          <w:i/>
          <w:lang w:eastAsia="en-US"/>
        </w:rPr>
        <w:fldChar w:fldCharType="begin"/>
      </w:r>
      <w:r w:rsidR="086C405B" w:rsidRPr="003D1E07">
        <w:instrText xml:space="preserve"> XE "</w:instrText>
      </w:r>
      <w:r w:rsidR="086C405B" w:rsidRPr="003D1E07">
        <w:rPr>
          <w:i/>
          <w:lang w:eastAsia="en-US"/>
        </w:rPr>
        <w:instrText>Irre</w:instrText>
      </w:r>
      <w:r w:rsidR="086C405B" w:rsidRPr="003D1E07">
        <w:instrText xml:space="preserve">" </w:instrText>
      </w:r>
      <w:r w:rsidR="086C405B" w:rsidRPr="003D1E07">
        <w:rPr>
          <w:i/>
          <w:lang w:eastAsia="en-US"/>
        </w:rPr>
        <w:fldChar w:fldCharType="end"/>
      </w:r>
      <w:r w:rsidR="00880487" w:rsidRPr="003D1E07">
        <w:rPr>
          <w:lang w:eastAsia="en-US"/>
        </w:rPr>
        <w:t xml:space="preserve"> moderny, která založila první vědu </w:t>
      </w:r>
      <w:r w:rsidR="0028081A" w:rsidRPr="003D1E07">
        <w:rPr>
          <w:lang w:eastAsia="en-US"/>
        </w:rPr>
        <w:t>zásadně chybným způsobem</w:t>
      </w:r>
      <w:r w:rsidR="086C405B" w:rsidRPr="003D1E07">
        <w:rPr>
          <w:lang w:eastAsia="en-US"/>
        </w:rPr>
        <w:t>.</w:t>
      </w:r>
    </w:p>
    <w:p w14:paraId="0A4E00AC" w14:textId="2631DEC8" w:rsidR="0862075E" w:rsidRPr="003D1E07" w:rsidRDefault="009A3316" w:rsidP="00E04CA4">
      <w:r w:rsidRPr="003D1E07">
        <w:rPr>
          <w:rStyle w:val="ZkladntextKurzvadkovn0pt"/>
          <w:rFonts w:ascii="Calibri" w:eastAsia="Times" w:hAnsi="Calibri"/>
          <w:i w:val="0"/>
          <w:iCs w:val="0"/>
          <w:color w:val="auto"/>
          <w:spacing w:val="0"/>
          <w:sz w:val="24"/>
          <w:u w:val="none"/>
          <w:lang w:val="cs-CZ"/>
        </w:rPr>
        <w:tab/>
      </w:r>
      <w:r w:rsidR="08FE2B8A" w:rsidRPr="003D1E07">
        <w:rPr>
          <w:lang w:eastAsia="en-US"/>
        </w:rPr>
        <w:t>Komentátor považuje Avicennovu metafyziku za omyl myšlení</w:t>
      </w:r>
      <w:r w:rsidR="0034485A" w:rsidRPr="003D1E07">
        <w:rPr>
          <w:lang w:eastAsia="en-US"/>
        </w:rPr>
        <w:t xml:space="preserve">. Proto </w:t>
      </w:r>
      <w:r w:rsidR="08FE2B8A" w:rsidRPr="003D1E07">
        <w:rPr>
          <w:lang w:eastAsia="en-US"/>
        </w:rPr>
        <w:t>nemůže přijat jeho teorii pravdy jako inte</w:t>
      </w:r>
      <w:r w:rsidR="00AB46D2" w:rsidRPr="003D1E07">
        <w:rPr>
          <w:lang w:eastAsia="en-US"/>
        </w:rPr>
        <w:t>lektuální asimilace a iluminace</w:t>
      </w:r>
      <w:r w:rsidR="002723B0">
        <w:rPr>
          <w:lang w:eastAsia="en-US"/>
        </w:rPr>
        <w:t xml:space="preserve"> </w:t>
      </w:r>
      <w:r w:rsidR="002723B0">
        <w:t>(kap. 2.3.3)</w:t>
      </w:r>
      <w:r w:rsidR="00AB46D2" w:rsidRPr="003D1E07">
        <w:rPr>
          <w:lang w:eastAsia="en-US"/>
        </w:rPr>
        <w:t>. I</w:t>
      </w:r>
      <w:r w:rsidR="00A51EBD">
        <w:rPr>
          <w:lang w:eastAsia="en-US"/>
        </w:rPr>
        <w:t>dentit</w:t>
      </w:r>
      <w:r w:rsidR="001B3C21">
        <w:rPr>
          <w:lang w:eastAsia="en-US"/>
        </w:rPr>
        <w:t xml:space="preserve">ární teorie pravdy </w:t>
      </w:r>
      <w:r w:rsidR="00A50675">
        <w:rPr>
          <w:lang w:eastAsia="en-US"/>
        </w:rPr>
        <w:t>vznik</w:t>
      </w:r>
      <w:r w:rsidR="00AB46D2" w:rsidRPr="003D1E07">
        <w:rPr>
          <w:lang w:eastAsia="en-US"/>
        </w:rPr>
        <w:t xml:space="preserve">á </w:t>
      </w:r>
      <w:r w:rsidR="003B7987" w:rsidRPr="003D1E07">
        <w:rPr>
          <w:lang w:eastAsia="en-US"/>
        </w:rPr>
        <w:t xml:space="preserve">v diakosmu objektivních </w:t>
      </w:r>
      <w:r w:rsidR="08FE2B8A" w:rsidRPr="003D1E07">
        <w:rPr>
          <w:lang w:eastAsia="en-US"/>
        </w:rPr>
        <w:t>forem</w:t>
      </w:r>
      <w:r w:rsidR="00934534">
        <w:rPr>
          <w:lang w:eastAsia="en-US"/>
        </w:rPr>
        <w:t xml:space="preserve"> a </w:t>
      </w:r>
      <w:r w:rsidR="00AB46D2" w:rsidRPr="003D1E07">
        <w:rPr>
          <w:lang w:eastAsia="en-US"/>
        </w:rPr>
        <w:t xml:space="preserve">skládá </w:t>
      </w:r>
      <w:r w:rsidR="00934534">
        <w:rPr>
          <w:lang w:eastAsia="en-US"/>
        </w:rPr>
        <w:t xml:space="preserve">dohromady </w:t>
      </w:r>
      <w:r w:rsidR="08FE2B8A" w:rsidRPr="003D1E07">
        <w:rPr>
          <w:lang w:eastAsia="en-US"/>
        </w:rPr>
        <w:t>jsoucn</w:t>
      </w:r>
      <w:r w:rsidR="00934534">
        <w:rPr>
          <w:lang w:eastAsia="en-US"/>
        </w:rPr>
        <w:t>a</w:t>
      </w:r>
      <w:r w:rsidR="08FE2B8A" w:rsidRPr="003D1E07">
        <w:rPr>
          <w:lang w:eastAsia="en-US"/>
        </w:rPr>
        <w:t xml:space="preserve"> třetího druhu. Avicenna nasvěcuje celek jsoucna z principů, které stojí za první substancí. Averroes trvá na tom, že metafyzika musí hledat reálnou jednotu jsoucna na úrovni </w:t>
      </w:r>
      <w:r w:rsidR="00494A9E">
        <w:rPr>
          <w:lang w:eastAsia="en-US"/>
        </w:rPr>
        <w:t xml:space="preserve">kategoriálních výpovědí o </w:t>
      </w:r>
      <w:r w:rsidR="08FE2B8A" w:rsidRPr="003D1E07">
        <w:rPr>
          <w:lang w:eastAsia="en-US"/>
        </w:rPr>
        <w:t xml:space="preserve">prvních </w:t>
      </w:r>
      <w:r w:rsidR="00494A9E">
        <w:rPr>
          <w:lang w:eastAsia="en-US"/>
        </w:rPr>
        <w:t xml:space="preserve">hyparchických </w:t>
      </w:r>
      <w:r w:rsidR="08FE2B8A" w:rsidRPr="003D1E07">
        <w:rPr>
          <w:lang w:eastAsia="en-US"/>
        </w:rPr>
        <w:t>substancí</w:t>
      </w:r>
      <w:r w:rsidR="00494A9E">
        <w:rPr>
          <w:lang w:eastAsia="en-US"/>
        </w:rPr>
        <w:t>ch</w:t>
      </w:r>
      <w:r w:rsidR="08FE2B8A" w:rsidRPr="003D1E07">
        <w:rPr>
          <w:lang w:eastAsia="en-US"/>
        </w:rPr>
        <w:t xml:space="preserve">. Oba zakladatelé západní metafyziky vycházejí z </w:t>
      </w:r>
      <w:r w:rsidR="007275C0" w:rsidRPr="003D1E07">
        <w:rPr>
          <w:lang w:eastAsia="en-US"/>
        </w:rPr>
        <w:t>po</w:t>
      </w:r>
      <w:r w:rsidR="08FE2B8A" w:rsidRPr="003D1E07">
        <w:rPr>
          <w:lang w:eastAsia="en-US"/>
        </w:rPr>
        <w:t xml:space="preserve">odkrytosti </w:t>
      </w:r>
      <w:r w:rsidR="007275C0" w:rsidRPr="003D1E07">
        <w:rPr>
          <w:lang w:eastAsia="en-US"/>
        </w:rPr>
        <w:t xml:space="preserve">metafyzického </w:t>
      </w:r>
      <w:r w:rsidR="08FE2B8A" w:rsidRPr="003D1E07">
        <w:rPr>
          <w:lang w:eastAsia="en-US"/>
        </w:rPr>
        <w:t>jsoucna (</w:t>
      </w:r>
      <w:r w:rsidR="007275C0" w:rsidRPr="003D1E07">
        <w:rPr>
          <w:i/>
          <w:lang w:eastAsia="en-US"/>
        </w:rPr>
        <w:t>a</w:t>
      </w:r>
      <w:r w:rsidR="08FE2B8A" w:rsidRPr="003D1E07">
        <w:rPr>
          <w:i/>
          <w:lang w:eastAsia="en-US"/>
        </w:rPr>
        <w:t>létheia</w:t>
      </w:r>
      <w:r w:rsidR="08FE2B8A" w:rsidRPr="003D1E07">
        <w:rPr>
          <w:lang w:eastAsia="en-US"/>
        </w:rPr>
        <w:fldChar w:fldCharType="begin"/>
      </w:r>
      <w:r w:rsidR="08FE2B8A" w:rsidRPr="003D1E07">
        <w:instrText xml:space="preserve"> XE "pravda:po-odkrytost" </w:instrText>
      </w:r>
      <w:r w:rsidR="08FE2B8A" w:rsidRPr="003D1E07">
        <w:rPr>
          <w:lang w:eastAsia="en-US"/>
        </w:rPr>
        <w:fldChar w:fldCharType="end"/>
      </w:r>
      <w:r w:rsidR="08FE2B8A" w:rsidRPr="003D1E07">
        <w:rPr>
          <w:lang w:eastAsia="en-US"/>
        </w:rPr>
        <w:t xml:space="preserve">), které </w:t>
      </w:r>
      <w:r w:rsidR="086C7F22" w:rsidRPr="003D1E07">
        <w:t>Západu předal Al-</w:t>
      </w:r>
      <w:r w:rsidR="08FE2B8A" w:rsidRPr="003D1E07">
        <w:t xml:space="preserve">Fárábí. </w:t>
      </w:r>
      <w:r w:rsidR="000F4E18" w:rsidRPr="003D1E07">
        <w:t>U</w:t>
      </w:r>
      <w:r w:rsidR="08C34295" w:rsidRPr="003D1E07">
        <w:rPr>
          <w:lang w:eastAsia="en-US"/>
        </w:rPr>
        <w:t xml:space="preserve">rčení metafyziky </w:t>
      </w:r>
      <w:r w:rsidR="00BF319F" w:rsidRPr="003D1E07">
        <w:rPr>
          <w:lang w:eastAsia="en-US"/>
        </w:rPr>
        <w:t>směrem od první substance</w:t>
      </w:r>
      <w:r w:rsidR="00A70FA4" w:rsidRPr="003D1E07">
        <w:rPr>
          <w:lang w:eastAsia="en-US"/>
        </w:rPr>
        <w:fldChar w:fldCharType="begin"/>
      </w:r>
      <w:r w:rsidR="00A70FA4" w:rsidRPr="003D1E07">
        <w:instrText xml:space="preserve"> XE "</w:instrText>
      </w:r>
      <w:r w:rsidR="00DF0126" w:rsidRPr="003D1E07">
        <w:instrText>metafyzika</w:instrText>
      </w:r>
      <w:r w:rsidR="0008664F" w:rsidRPr="003D1E07">
        <w:instrText>:</w:instrText>
      </w:r>
      <w:r w:rsidR="002E3B62" w:rsidRPr="003D1E07">
        <w:instrText>Averroes</w:instrText>
      </w:r>
      <w:r w:rsidR="00A70FA4" w:rsidRPr="003D1E07">
        <w:instrText xml:space="preserve">" </w:instrText>
      </w:r>
      <w:r w:rsidR="00A70FA4" w:rsidRPr="003D1E07">
        <w:rPr>
          <w:lang w:eastAsia="en-US"/>
        </w:rPr>
        <w:fldChar w:fldCharType="end"/>
      </w:r>
      <w:r w:rsidR="00BF319F" w:rsidRPr="003D1E07">
        <w:rPr>
          <w:lang w:eastAsia="en-US"/>
        </w:rPr>
        <w:t xml:space="preserve"> </w:t>
      </w:r>
      <w:r w:rsidR="08C34295" w:rsidRPr="003D1E07">
        <w:rPr>
          <w:lang w:eastAsia="en-US"/>
        </w:rPr>
        <w:t xml:space="preserve">determinuje adekvační teorii pravdy, která se zásadně liší od Avicennova postupu. </w:t>
      </w:r>
      <w:r w:rsidR="086A4346" w:rsidRPr="003D1E07">
        <w:rPr>
          <w:lang w:eastAsia="en-US"/>
        </w:rPr>
        <w:t xml:space="preserve">Západ zná </w:t>
      </w:r>
      <w:r w:rsidR="002E3B62" w:rsidRPr="003D1E07">
        <w:rPr>
          <w:lang w:eastAsia="en-US"/>
        </w:rPr>
        <w:t>Averroes</w:t>
      </w:r>
      <w:r w:rsidR="086A4346" w:rsidRPr="003D1E07">
        <w:rPr>
          <w:lang w:eastAsia="en-US"/>
        </w:rPr>
        <w:t>ovu definici pravdy mn</w:t>
      </w:r>
      <w:r w:rsidR="08CA1426" w:rsidRPr="003D1E07">
        <w:rPr>
          <w:lang w:eastAsia="en-US"/>
        </w:rPr>
        <w:t>ohem později než Avicennovu</w:t>
      </w:r>
      <w:r w:rsidR="00390D16" w:rsidRPr="003D1E07">
        <w:rPr>
          <w:lang w:eastAsia="en-US"/>
        </w:rPr>
        <w:t xml:space="preserve">. Zdroj je v Averroesově díle </w:t>
      </w:r>
      <w:r w:rsidR="085F7367" w:rsidRPr="003D1E07">
        <w:rPr>
          <w:i/>
          <w:iCs/>
        </w:rPr>
        <w:t>Tahāfut al-Tahāfut</w:t>
      </w:r>
      <w:r w:rsidR="085F7367" w:rsidRPr="003D1E07">
        <w:rPr>
          <w:i/>
        </w:rPr>
        <w:t xml:space="preserve"> </w:t>
      </w:r>
      <w:r w:rsidR="086A4346" w:rsidRPr="003D1E07">
        <w:t>(</w:t>
      </w:r>
      <w:r w:rsidR="085F7367" w:rsidRPr="003D1E07">
        <w:rPr>
          <w:i/>
        </w:rPr>
        <w:t>Destructio Destructionum,</w:t>
      </w:r>
      <w:r w:rsidR="085F7367" w:rsidRPr="003D1E07">
        <w:t xml:space="preserve"> </w:t>
      </w:r>
      <w:r w:rsidR="00390D16" w:rsidRPr="003D1E07">
        <w:t xml:space="preserve">Venetia 1492), kterým korigoval </w:t>
      </w:r>
      <w:r w:rsidR="086A4346" w:rsidRPr="003D1E07">
        <w:t>Al</w:t>
      </w:r>
      <w:r w:rsidR="0824167D" w:rsidRPr="003D1E07">
        <w:t>-</w:t>
      </w:r>
      <w:r w:rsidR="086A4346" w:rsidRPr="003D1E07">
        <w:t>G</w:t>
      </w:r>
      <w:r w:rsidR="002D71F1" w:rsidRPr="003D1E07">
        <w:t>h</w:t>
      </w:r>
      <w:r w:rsidR="00390D16" w:rsidRPr="003D1E07">
        <w:t>azálího</w:t>
      </w:r>
      <w:r w:rsidR="00247EF8" w:rsidRPr="003D1E07">
        <w:fldChar w:fldCharType="begin"/>
      </w:r>
      <w:r w:rsidR="00247EF8" w:rsidRPr="003D1E07">
        <w:instrText xml:space="preserve"> XE "Al-Ghazálí" </w:instrText>
      </w:r>
      <w:r w:rsidR="00247EF8" w:rsidRPr="003D1E07">
        <w:fldChar w:fldCharType="end"/>
      </w:r>
      <w:r w:rsidR="085F7367" w:rsidRPr="003D1E07">
        <w:t xml:space="preserve"> </w:t>
      </w:r>
      <w:r w:rsidR="088A73E1" w:rsidRPr="003D1E07">
        <w:t xml:space="preserve">spis </w:t>
      </w:r>
      <w:r w:rsidR="088A73E1" w:rsidRPr="003D1E07">
        <w:rPr>
          <w:i/>
          <w:iCs/>
        </w:rPr>
        <w:t>Tahāfut al-Falāsifah</w:t>
      </w:r>
      <w:r w:rsidR="088A73E1" w:rsidRPr="003D1E07">
        <w:t xml:space="preserve"> o omylech filosofů</w:t>
      </w:r>
      <w:r w:rsidR="085F7367" w:rsidRPr="003D1E07">
        <w:rPr>
          <w:i/>
          <w:iCs/>
        </w:rPr>
        <w:t>.</w:t>
      </w:r>
      <w:r w:rsidR="086A4346" w:rsidRPr="003D1E07">
        <w:rPr>
          <w:rStyle w:val="Znakapoznpodarou"/>
        </w:rPr>
        <w:footnoteReference w:id="215"/>
      </w:r>
      <w:r w:rsidR="086A4346" w:rsidRPr="003D1E07">
        <w:t xml:space="preserve"> </w:t>
      </w:r>
      <w:r w:rsidR="006B5A9F" w:rsidRPr="003D1E07">
        <w:t>T</w:t>
      </w:r>
      <w:r w:rsidR="083616C7" w:rsidRPr="003D1E07">
        <w:t xml:space="preserve">eorie </w:t>
      </w:r>
      <w:r w:rsidR="006B5A9F" w:rsidRPr="003D1E07">
        <w:t xml:space="preserve">pravdy podle </w:t>
      </w:r>
      <w:r w:rsidR="002E3B62" w:rsidRPr="003D1E07">
        <w:t>Averroes</w:t>
      </w:r>
      <w:r w:rsidR="08507E2E" w:rsidRPr="003D1E07">
        <w:t>e je formálně stejná jako v</w:t>
      </w:r>
      <w:r w:rsidR="083616C7" w:rsidRPr="003D1E07">
        <w:t xml:space="preserve">  </w:t>
      </w:r>
      <w:r w:rsidR="083616C7" w:rsidRPr="003D1E07">
        <w:rPr>
          <w:rStyle w:val="FontStyle129"/>
          <w:rFonts w:ascii="Calibri" w:hAnsi="Calibri"/>
          <w:i/>
          <w:sz w:val="24"/>
        </w:rPr>
        <w:t>Liber de Philosophia prima</w:t>
      </w:r>
      <w:r w:rsidR="083616C7" w:rsidRPr="003D1E07">
        <w:rPr>
          <w:rStyle w:val="FontStyle129"/>
          <w:rFonts w:ascii="Calibri" w:hAnsi="Calibri"/>
          <w:sz w:val="24"/>
        </w:rPr>
        <w:t xml:space="preserve"> I.8</w:t>
      </w:r>
      <w:r w:rsidR="00BA0A5F">
        <w:rPr>
          <w:rStyle w:val="FontStyle129"/>
          <w:rFonts w:ascii="Calibri" w:hAnsi="Calibri"/>
          <w:sz w:val="24"/>
        </w:rPr>
        <w:t xml:space="preserve"> od </w:t>
      </w:r>
      <w:r w:rsidR="00BA0A5F">
        <w:t>Avicenny</w:t>
      </w:r>
      <w:r w:rsidR="00FF5A9B" w:rsidRPr="003D1E07">
        <w:t xml:space="preserve">. </w:t>
      </w:r>
      <w:r w:rsidR="007945FD" w:rsidRPr="003D1E07">
        <w:t xml:space="preserve">Hermeneutika </w:t>
      </w:r>
      <w:r w:rsidR="00934534">
        <w:t>ale musí sledovat</w:t>
      </w:r>
      <w:r w:rsidR="08CB1AD2" w:rsidRPr="003D1E07">
        <w:t xml:space="preserve"> Heideggerův způsob,</w:t>
      </w:r>
      <w:r w:rsidR="08507E2E" w:rsidRPr="003D1E07">
        <w:t xml:space="preserve"> „j</w:t>
      </w:r>
      <w:r w:rsidR="083616C7" w:rsidRPr="003D1E07">
        <w:t>ak“ (</w:t>
      </w:r>
      <w:r w:rsidR="083616C7" w:rsidRPr="003D1E07">
        <w:rPr>
          <w:i/>
        </w:rPr>
        <w:t>Wie</w:t>
      </w:r>
      <w:r w:rsidR="083616C7" w:rsidRPr="003D1E07">
        <w:t>) je dána adekvace myšlení a věci</w:t>
      </w:r>
      <w:r w:rsidR="007945FD" w:rsidRPr="003D1E07">
        <w:t xml:space="preserve">. </w:t>
      </w:r>
      <w:r w:rsidR="00D95B6C">
        <w:t xml:space="preserve">Smysl </w:t>
      </w:r>
      <w:r w:rsidR="00572C56" w:rsidRPr="003D1E07">
        <w:t xml:space="preserve">pravdy </w:t>
      </w:r>
      <w:r w:rsidR="007945FD" w:rsidRPr="003D1E07">
        <w:t xml:space="preserve">na úrovni </w:t>
      </w:r>
      <w:r w:rsidR="007945FD" w:rsidRPr="003D1E07">
        <w:rPr>
          <w:i/>
        </w:rPr>
        <w:t>Bezugssinn</w:t>
      </w:r>
      <w:r w:rsidR="007B3701" w:rsidRPr="003D1E07">
        <w:rPr>
          <w:i/>
        </w:rPr>
        <w:fldChar w:fldCharType="begin"/>
      </w:r>
      <w:r w:rsidR="007B3701" w:rsidRPr="003D1E07">
        <w:instrText xml:space="preserve"> XE "</w:instrText>
      </w:r>
      <w:r w:rsidR="007B3701" w:rsidRPr="003D1E07">
        <w:rPr>
          <w:i/>
        </w:rPr>
        <w:instrText>Bezugssinn</w:instrText>
      </w:r>
      <w:r w:rsidR="007B3701" w:rsidRPr="003D1E07">
        <w:instrText xml:space="preserve">" </w:instrText>
      </w:r>
      <w:r w:rsidR="007B3701" w:rsidRPr="003D1E07">
        <w:rPr>
          <w:i/>
        </w:rPr>
        <w:fldChar w:fldCharType="end"/>
      </w:r>
      <w:r w:rsidR="007945FD" w:rsidRPr="003D1E07">
        <w:t xml:space="preserve"> a </w:t>
      </w:r>
      <w:r w:rsidR="007945FD" w:rsidRPr="003D1E07">
        <w:rPr>
          <w:i/>
        </w:rPr>
        <w:t>Vollzugssinn</w:t>
      </w:r>
      <w:r w:rsidR="007B3701" w:rsidRPr="003D1E07">
        <w:rPr>
          <w:i/>
        </w:rPr>
        <w:fldChar w:fldCharType="begin"/>
      </w:r>
      <w:r w:rsidR="007B3701" w:rsidRPr="003D1E07">
        <w:instrText xml:space="preserve"> XE "</w:instrText>
      </w:r>
      <w:r w:rsidR="007B3701" w:rsidRPr="003D1E07">
        <w:rPr>
          <w:i/>
        </w:rPr>
        <w:instrText>Vollzugssinn</w:instrText>
      </w:r>
      <w:r w:rsidR="007B3701" w:rsidRPr="003D1E07">
        <w:instrText xml:space="preserve">" </w:instrText>
      </w:r>
      <w:r w:rsidR="007B3701" w:rsidRPr="003D1E07">
        <w:rPr>
          <w:i/>
        </w:rPr>
        <w:fldChar w:fldCharType="end"/>
      </w:r>
      <w:r w:rsidR="007945FD" w:rsidRPr="003D1E07">
        <w:t xml:space="preserve"> </w:t>
      </w:r>
      <w:r w:rsidR="008A2DA0" w:rsidRPr="003D1E07">
        <w:t xml:space="preserve">(kap. 1) </w:t>
      </w:r>
      <w:r w:rsidR="083616C7" w:rsidRPr="003D1E07">
        <w:t xml:space="preserve">se zásadně liší od Avicenny. </w:t>
      </w:r>
      <w:r w:rsidR="002E3B62" w:rsidRPr="003D1E07">
        <w:rPr>
          <w:lang w:eastAsia="en-US"/>
        </w:rPr>
        <w:t>Averroes</w:t>
      </w:r>
      <w:r w:rsidR="00D574DF" w:rsidRPr="003D1E07">
        <w:rPr>
          <w:lang w:eastAsia="en-US"/>
        </w:rPr>
        <w:t xml:space="preserve"> </w:t>
      </w:r>
      <w:r w:rsidR="083616C7" w:rsidRPr="003D1E07">
        <w:t xml:space="preserve">bere naprosto vážně fakt, že podle </w:t>
      </w:r>
      <w:r w:rsidR="00807037" w:rsidRPr="003D1E07">
        <w:t xml:space="preserve">výše citované pasáže </w:t>
      </w:r>
      <w:r w:rsidR="083616C7" w:rsidRPr="003D1E07">
        <w:rPr>
          <w:i/>
        </w:rPr>
        <w:t>Metafyziky</w:t>
      </w:r>
      <w:r w:rsidR="083616C7" w:rsidRPr="003D1E07">
        <w:t xml:space="preserve"> </w:t>
      </w:r>
      <w:r w:rsidR="00807037" w:rsidRPr="003D1E07">
        <w:t>(</w:t>
      </w:r>
      <w:r w:rsidR="00794EEE" w:rsidRPr="003D1E07">
        <w:t>kap. 2.1</w:t>
      </w:r>
      <w:r w:rsidR="00807037" w:rsidRPr="003D1E07">
        <w:t xml:space="preserve">) </w:t>
      </w:r>
      <w:r w:rsidR="083616C7" w:rsidRPr="003D1E07">
        <w:t xml:space="preserve">je pravda v myšlení, a ne ve věci. </w:t>
      </w:r>
      <w:r w:rsidR="003459AE" w:rsidRPr="003D1E07">
        <w:rPr>
          <w:lang w:eastAsia="en-US"/>
        </w:rPr>
        <w:t xml:space="preserve">Substance existuje, proto můžeme pravdivě poznat </w:t>
      </w:r>
      <w:r w:rsidR="001E4DC5" w:rsidRPr="003D1E07">
        <w:rPr>
          <w:lang w:eastAsia="en-US"/>
        </w:rPr>
        <w:t xml:space="preserve">a vědecky </w:t>
      </w:r>
      <w:r w:rsidR="001E4DC5" w:rsidRPr="003D1E07">
        <w:rPr>
          <w:lang w:eastAsia="en-US"/>
        </w:rPr>
        <w:lastRenderedPageBreak/>
        <w:t xml:space="preserve">predikovat </w:t>
      </w:r>
      <w:r w:rsidR="003459AE" w:rsidRPr="003D1E07">
        <w:rPr>
          <w:lang w:eastAsia="en-US"/>
        </w:rPr>
        <w:t>její kauzá</w:t>
      </w:r>
      <w:r w:rsidR="08CC1B10" w:rsidRPr="003D1E07">
        <w:rPr>
          <w:lang w:eastAsia="en-US"/>
        </w:rPr>
        <w:t xml:space="preserve">lní působení a pohyb. Jednota substance </w:t>
      </w:r>
      <w:r w:rsidR="003459AE" w:rsidRPr="003D1E07">
        <w:rPr>
          <w:lang w:eastAsia="en-US"/>
        </w:rPr>
        <w:t>je prvním rodem v řádu univoční predikace jsoucího a prvním k</w:t>
      </w:r>
      <w:r w:rsidR="08CC1B10" w:rsidRPr="003D1E07">
        <w:rPr>
          <w:lang w:eastAsia="en-US"/>
        </w:rPr>
        <w:t xml:space="preserve">ategoriálním určením akcidentů. Proto </w:t>
      </w:r>
      <w:r w:rsidR="003459AE" w:rsidRPr="003D1E07">
        <w:rPr>
          <w:lang w:eastAsia="en-US"/>
        </w:rPr>
        <w:t xml:space="preserve">je možné i metafyzické určení </w:t>
      </w:r>
      <w:r w:rsidR="08CC1B10" w:rsidRPr="003D1E07">
        <w:rPr>
          <w:lang w:eastAsia="en-US"/>
        </w:rPr>
        <w:t xml:space="preserve">takto predikované substance </w:t>
      </w:r>
      <w:r w:rsidR="003459AE" w:rsidRPr="003D1E07">
        <w:rPr>
          <w:lang w:eastAsia="en-US"/>
        </w:rPr>
        <w:t xml:space="preserve">dané apodikticky. </w:t>
      </w:r>
      <w:r w:rsidR="003459AE" w:rsidRPr="003D1E07">
        <w:t>A</w:t>
      </w:r>
      <w:r w:rsidR="08CC1B10" w:rsidRPr="003D1E07">
        <w:t>vicennova definice</w:t>
      </w:r>
      <w:r w:rsidR="085D4AD2" w:rsidRPr="003D1E07">
        <w:t xml:space="preserve"> pravdy </w:t>
      </w:r>
      <w:r w:rsidR="08CC1B10" w:rsidRPr="003D1E07">
        <w:t xml:space="preserve">jde přesně opačně, </w:t>
      </w:r>
      <w:r w:rsidR="08D63EB1" w:rsidRPr="003D1E07">
        <w:t xml:space="preserve">tedy </w:t>
      </w:r>
      <w:r w:rsidR="08CC1B10" w:rsidRPr="003D1E07">
        <w:t>od in</w:t>
      </w:r>
      <w:r w:rsidR="00102FD6" w:rsidRPr="003D1E07">
        <w:t>telektu k</w:t>
      </w:r>
      <w:r w:rsidR="009C61CF" w:rsidRPr="003D1E07">
        <w:t xml:space="preserve"> reálné </w:t>
      </w:r>
      <w:r w:rsidR="00102FD6" w:rsidRPr="003D1E07">
        <w:t xml:space="preserve">věci </w:t>
      </w:r>
      <w:r w:rsidR="08CC1B10" w:rsidRPr="003D1E07">
        <w:t xml:space="preserve">(kap. 2.3.2). </w:t>
      </w:r>
      <w:r w:rsidR="00991796" w:rsidRPr="003D1E07">
        <w:t>Hermeneutika objektivity sleduje dvě zásadně odlišné dráhy náhledu (</w:t>
      </w:r>
      <w:r w:rsidR="00991796" w:rsidRPr="003D1E07">
        <w:rPr>
          <w:i/>
        </w:rPr>
        <w:t>Vor-blickbahn</w:t>
      </w:r>
      <w:r w:rsidR="00991796" w:rsidRPr="003D1E07">
        <w:t xml:space="preserve">) na definici pravdy, protože metafyzika není logika. </w:t>
      </w:r>
      <w:r w:rsidR="08CC1B10" w:rsidRPr="003D1E07">
        <w:t xml:space="preserve">Pak </w:t>
      </w:r>
      <w:r w:rsidR="08445DDD" w:rsidRPr="003D1E07">
        <w:t xml:space="preserve">existuje </w:t>
      </w:r>
      <w:r w:rsidR="08CC1B10" w:rsidRPr="003D1E07">
        <w:t xml:space="preserve">ve formálně stejné identitní definici pravdy </w:t>
      </w:r>
      <w:r w:rsidR="0076615B" w:rsidRPr="003D1E07">
        <w:t xml:space="preserve">zásadní rozdíl mezi </w:t>
      </w:r>
      <w:r w:rsidR="003459AE" w:rsidRPr="003D1E07">
        <w:t xml:space="preserve">primátu </w:t>
      </w:r>
      <w:r w:rsidR="0036221F" w:rsidRPr="003D1E07">
        <w:t xml:space="preserve">singulárního jsoucna (Porfýrovo </w:t>
      </w:r>
      <w:r w:rsidR="0036221F" w:rsidRPr="003D1E07">
        <w:rPr>
          <w:i/>
        </w:rPr>
        <w:t>individuum</w:t>
      </w:r>
      <w:r w:rsidR="00D57B85" w:rsidRPr="003D1E07">
        <w:rPr>
          <w:i/>
        </w:rPr>
        <w:fldChar w:fldCharType="begin"/>
      </w:r>
      <w:r w:rsidR="00D57B85" w:rsidRPr="003D1E07">
        <w:instrText xml:space="preserve"> XE "</w:instrText>
      </w:r>
      <w:r w:rsidR="00D57B85" w:rsidRPr="003D1E07">
        <w:rPr>
          <w:i/>
        </w:rPr>
        <w:instrText>individuum</w:instrText>
      </w:r>
      <w:r w:rsidR="00D57B85" w:rsidRPr="003D1E07">
        <w:instrText xml:space="preserve">" </w:instrText>
      </w:r>
      <w:r w:rsidR="00D57B85" w:rsidRPr="003D1E07">
        <w:rPr>
          <w:i/>
        </w:rPr>
        <w:fldChar w:fldCharType="end"/>
      </w:r>
      <w:r w:rsidR="0036221F" w:rsidRPr="003D1E07">
        <w:t xml:space="preserve">) </w:t>
      </w:r>
      <w:r w:rsidR="003459AE" w:rsidRPr="003D1E07">
        <w:t xml:space="preserve">a </w:t>
      </w:r>
      <w:r w:rsidR="0076615B" w:rsidRPr="003D1E07">
        <w:t xml:space="preserve">primátem </w:t>
      </w:r>
      <w:r w:rsidR="003459AE" w:rsidRPr="003D1E07">
        <w:t>aktuální první substance</w:t>
      </w:r>
      <w:r w:rsidR="00DA40C1">
        <w:t xml:space="preserve"> (</w:t>
      </w:r>
      <w:r w:rsidR="003033BC">
        <w:t xml:space="preserve">Aristotelova </w:t>
      </w:r>
      <w:r w:rsidR="00DA40C1" w:rsidRPr="00DA40C1">
        <w:rPr>
          <w:i/>
        </w:rPr>
        <w:t>o</w:t>
      </w:r>
      <w:r w:rsidR="00DA40C1">
        <w:rPr>
          <w:i/>
        </w:rPr>
        <w:t>u</w:t>
      </w:r>
      <w:r w:rsidR="00DA40C1" w:rsidRPr="00DA40C1">
        <w:rPr>
          <w:i/>
        </w:rPr>
        <w:t>sía</w:t>
      </w:r>
      <w:r w:rsidR="00DA40C1">
        <w:t>)</w:t>
      </w:r>
      <w:r w:rsidR="08CC1B10" w:rsidRPr="003D1E07">
        <w:t xml:space="preserve">. </w:t>
      </w:r>
      <w:r w:rsidR="00305A87" w:rsidRPr="003D1E07">
        <w:t xml:space="preserve">Určení jsoucna vychází z reálného světa a směřuje klasickou metafyziku do trajektorie </w:t>
      </w:r>
      <w:r w:rsidR="00A50675">
        <w:t xml:space="preserve">porozumění </w:t>
      </w:r>
      <w:r w:rsidR="00305A87" w:rsidRPr="003D1E07">
        <w:t xml:space="preserve">v modu </w:t>
      </w:r>
      <w:r w:rsidR="00305A87" w:rsidRPr="003D1E07">
        <w:rPr>
          <w:i/>
        </w:rPr>
        <w:t>qua</w:t>
      </w:r>
      <w:r w:rsidR="00305A87" w:rsidRPr="003D1E07">
        <w:t xml:space="preserve">. Tuto cestu určuje </w:t>
      </w:r>
      <w:r w:rsidR="00305A87" w:rsidRPr="003D1E07">
        <w:rPr>
          <w:i/>
        </w:rPr>
        <w:t>dativus metaphysicus</w:t>
      </w:r>
      <w:r w:rsidR="00305A87" w:rsidRPr="003D1E07">
        <w:t xml:space="preserve"> prostřednictvím aktuální donace porozumění (τό τί ἦν εἶναι, </w:t>
      </w:r>
      <w:r w:rsidR="00305A87" w:rsidRPr="003D1E07">
        <w:rPr>
          <w:i/>
        </w:rPr>
        <w:t>quidditas</w:t>
      </w:r>
      <w:r w:rsidR="00305A87" w:rsidRPr="003D1E07">
        <w:t xml:space="preserve">), která je konstruována na základě aktuální kauzality </w:t>
      </w:r>
      <w:r w:rsidR="00E36AB0" w:rsidRPr="003D1E07">
        <w:t xml:space="preserve">jsoucna </w:t>
      </w:r>
      <w:r w:rsidR="00305A87" w:rsidRPr="003D1E07">
        <w:t xml:space="preserve">(τό τί, </w:t>
      </w:r>
      <w:r w:rsidR="00305A87" w:rsidRPr="003D1E07">
        <w:rPr>
          <w:i/>
        </w:rPr>
        <w:t>qua</w:t>
      </w:r>
      <w:r w:rsidR="00305A87" w:rsidRPr="003D1E07">
        <w:t xml:space="preserve">). Klasická metafyzika </w:t>
      </w:r>
      <w:r w:rsidR="00E36AB0" w:rsidRPr="003D1E07">
        <w:t>zná t</w:t>
      </w:r>
      <w:r w:rsidR="00305A87" w:rsidRPr="003D1E07">
        <w:t xml:space="preserve">uto hyparchickou perspektivu </w:t>
      </w:r>
      <w:r w:rsidR="00E36AB0" w:rsidRPr="003D1E07">
        <w:t xml:space="preserve">porozumění skrze </w:t>
      </w:r>
      <w:r w:rsidR="00305A87" w:rsidRPr="003D1E07">
        <w:t xml:space="preserve">termín </w:t>
      </w:r>
      <w:r w:rsidR="00305A87" w:rsidRPr="003D1E07">
        <w:rPr>
          <w:i/>
        </w:rPr>
        <w:t>modus essendi</w:t>
      </w:r>
      <w:r w:rsidR="00305A87" w:rsidRPr="003D1E07">
        <w:t xml:space="preserve">. </w:t>
      </w:r>
      <w:r w:rsidR="00E36AB0" w:rsidRPr="003D1E07">
        <w:t>V klasické metafyzice vzniká u</w:t>
      </w:r>
      <w:r w:rsidR="00305A87" w:rsidRPr="003D1E07">
        <w:t xml:space="preserve">rčení významu na základě aktuálnosti reálného světa </w:t>
      </w:r>
      <w:r w:rsidR="00E36AB0" w:rsidRPr="003D1E07">
        <w:t xml:space="preserve">skrze </w:t>
      </w:r>
      <w:r w:rsidR="00305A87" w:rsidRPr="003D1E07">
        <w:t xml:space="preserve">primární trajektorii vidění v modu </w:t>
      </w:r>
      <w:r w:rsidR="00305A87" w:rsidRPr="003D1E07">
        <w:rPr>
          <w:i/>
        </w:rPr>
        <w:t>qua</w:t>
      </w:r>
      <w:r w:rsidR="00305A87" w:rsidRPr="003D1E07">
        <w:t>. Ve druhé fázi následuje obecné a poten</w:t>
      </w:r>
      <w:r w:rsidR="00E36AB0" w:rsidRPr="003D1E07">
        <w:t>ciální poznání intelektu v modu</w:t>
      </w:r>
      <w:r w:rsidR="00305A87" w:rsidRPr="003D1E07">
        <w:t xml:space="preserve"> </w:t>
      </w:r>
      <w:r w:rsidR="00305A87" w:rsidRPr="003D1E07">
        <w:rPr>
          <w:i/>
        </w:rPr>
        <w:t>inquantum</w:t>
      </w:r>
      <w:r w:rsidR="00D57B85" w:rsidRPr="003D1E07">
        <w:rPr>
          <w:i/>
        </w:rPr>
        <w:fldChar w:fldCharType="begin"/>
      </w:r>
      <w:r w:rsidR="00D57B85" w:rsidRPr="003D1E07">
        <w:instrText xml:space="preserve"> XE "</w:instrText>
      </w:r>
      <w:r w:rsidR="00D57B85" w:rsidRPr="003D1E07">
        <w:rPr>
          <w:i/>
        </w:rPr>
        <w:instrText>qua/inquantum</w:instrText>
      </w:r>
      <w:r w:rsidR="00D57B85" w:rsidRPr="003D1E07">
        <w:instrText xml:space="preserve">" </w:instrText>
      </w:r>
      <w:r w:rsidR="00D57B85" w:rsidRPr="003D1E07">
        <w:rPr>
          <w:i/>
        </w:rPr>
        <w:fldChar w:fldCharType="end"/>
      </w:r>
      <w:r w:rsidR="00305A87" w:rsidRPr="003D1E07">
        <w:t xml:space="preserve">. Klasická metafyzika pojmenovává tuto logickou perspektivu chápání termínem </w:t>
      </w:r>
      <w:r w:rsidR="00305A87" w:rsidRPr="003D1E07">
        <w:rPr>
          <w:i/>
        </w:rPr>
        <w:t>modus cognoscendi</w:t>
      </w:r>
      <w:r w:rsidR="008B4A4D" w:rsidRPr="003D1E07">
        <w:rPr>
          <w:i/>
        </w:rPr>
        <w:fldChar w:fldCharType="begin"/>
      </w:r>
      <w:r w:rsidR="008B4A4D" w:rsidRPr="003D1E07">
        <w:instrText xml:space="preserve"> XE "</w:instrText>
      </w:r>
      <w:r w:rsidR="008B4A4D" w:rsidRPr="003D1E07">
        <w:rPr>
          <w:i/>
        </w:rPr>
        <w:instrText>modus essendi/cognoscendi</w:instrText>
      </w:r>
      <w:r w:rsidR="008B4A4D" w:rsidRPr="003D1E07">
        <w:instrText xml:space="preserve">" </w:instrText>
      </w:r>
      <w:r w:rsidR="008B4A4D" w:rsidRPr="003D1E07">
        <w:rPr>
          <w:i/>
        </w:rPr>
        <w:fldChar w:fldCharType="end"/>
      </w:r>
      <w:r w:rsidR="008B4A4D" w:rsidRPr="003D1E07">
        <w:t xml:space="preserve">. </w:t>
      </w:r>
      <w:r w:rsidR="0818185F" w:rsidRPr="003D1E07">
        <w:t>Impozice metafyzického smyslu jsoucna v</w:t>
      </w:r>
      <w:r w:rsidR="00B55FC5" w:rsidRPr="003D1E07">
        <w:t xml:space="preserve"> hyparchickém </w:t>
      </w:r>
      <w:r w:rsidR="0818185F" w:rsidRPr="003D1E07">
        <w:t xml:space="preserve">modu </w:t>
      </w:r>
      <w:r w:rsidR="0818185F" w:rsidRPr="003D1E07">
        <w:rPr>
          <w:i/>
        </w:rPr>
        <w:t>ipse</w:t>
      </w:r>
      <w:r w:rsidR="0818185F" w:rsidRPr="003D1E07">
        <w:t xml:space="preserve"> není totéž jako supozice logického významu pojmu v modu </w:t>
      </w:r>
      <w:r w:rsidR="0818185F" w:rsidRPr="003D1E07">
        <w:rPr>
          <w:i/>
        </w:rPr>
        <w:t>idem</w:t>
      </w:r>
      <w:r w:rsidR="0818185F" w:rsidRPr="003D1E07">
        <w:t xml:space="preserve">. </w:t>
      </w:r>
      <w:r w:rsidR="08A701DD" w:rsidRPr="003D1E07">
        <w:t>První věda</w:t>
      </w:r>
      <w:r w:rsidR="0818185F" w:rsidRPr="003D1E07">
        <w:t xml:space="preserve"> musí hledat </w:t>
      </w:r>
      <w:r w:rsidR="08552CE7" w:rsidRPr="003D1E07">
        <w:t xml:space="preserve">jednotu na základě </w:t>
      </w:r>
      <w:r w:rsidR="0818185F" w:rsidRPr="003D1E07">
        <w:t>reál</w:t>
      </w:r>
      <w:r w:rsidR="08552CE7" w:rsidRPr="003D1E07">
        <w:t>né</w:t>
      </w:r>
      <w:r w:rsidR="0818185F" w:rsidRPr="003D1E07">
        <w:t xml:space="preserve"> </w:t>
      </w:r>
      <w:r w:rsidR="004F1FBC" w:rsidRPr="003D1E07">
        <w:t xml:space="preserve">existence </w:t>
      </w:r>
      <w:r w:rsidR="08552CE7" w:rsidRPr="003D1E07">
        <w:t xml:space="preserve">jsoucna a nestačí jí abstrakce celku založená na </w:t>
      </w:r>
      <w:r w:rsidR="008228AB">
        <w:t xml:space="preserve">logické </w:t>
      </w:r>
      <w:r w:rsidR="08552CE7" w:rsidRPr="003D1E07">
        <w:t>identitě</w:t>
      </w:r>
      <w:r w:rsidR="0818185F" w:rsidRPr="003D1E07">
        <w:t xml:space="preserve">. </w:t>
      </w:r>
      <w:r w:rsidR="00BE6DB2" w:rsidRPr="003D1E07">
        <w:t xml:space="preserve">Taková identita předpokládá abstrakci na druhou. </w:t>
      </w:r>
      <w:r w:rsidR="00407B12" w:rsidRPr="003D1E07">
        <w:rPr>
          <w:lang w:eastAsia="en-US"/>
        </w:rPr>
        <w:t xml:space="preserve">Hermeneutika </w:t>
      </w:r>
      <w:r w:rsidR="004F3316" w:rsidRPr="003D1E07">
        <w:rPr>
          <w:lang w:eastAsia="en-US"/>
        </w:rPr>
        <w:t xml:space="preserve">považuje </w:t>
      </w:r>
      <w:r w:rsidR="08090C06" w:rsidRPr="003D1E07">
        <w:rPr>
          <w:lang w:eastAsia="en-US"/>
        </w:rPr>
        <w:t xml:space="preserve">Averroesovo a Avicennovo </w:t>
      </w:r>
      <w:r w:rsidR="00407B12" w:rsidRPr="003D1E07">
        <w:rPr>
          <w:lang w:eastAsia="en-US"/>
        </w:rPr>
        <w:t xml:space="preserve">pojetí </w:t>
      </w:r>
      <w:r w:rsidR="08991721" w:rsidRPr="003D1E07">
        <w:rPr>
          <w:lang w:eastAsia="en-US"/>
        </w:rPr>
        <w:t xml:space="preserve">pravdy </w:t>
      </w:r>
      <w:r w:rsidR="004F3316" w:rsidRPr="003D1E07">
        <w:rPr>
          <w:lang w:eastAsia="en-US"/>
        </w:rPr>
        <w:t xml:space="preserve">za </w:t>
      </w:r>
      <w:r w:rsidR="00F10D21" w:rsidRPr="003D1E07">
        <w:rPr>
          <w:lang w:eastAsia="en-US"/>
        </w:rPr>
        <w:t xml:space="preserve">naprosto </w:t>
      </w:r>
      <w:r w:rsidR="00407B12" w:rsidRPr="003D1E07">
        <w:rPr>
          <w:lang w:eastAsia="en-US"/>
        </w:rPr>
        <w:t>neslučitelné</w:t>
      </w:r>
      <w:r w:rsidR="00F10D21" w:rsidRPr="003D1E07">
        <w:rPr>
          <w:lang w:eastAsia="en-US"/>
        </w:rPr>
        <w:t xml:space="preserve">. Oba </w:t>
      </w:r>
      <w:r w:rsidR="08090C06" w:rsidRPr="003D1E07">
        <w:rPr>
          <w:lang w:eastAsia="en-US"/>
        </w:rPr>
        <w:t xml:space="preserve">myslitelé </w:t>
      </w:r>
      <w:r w:rsidR="00AE22F2" w:rsidRPr="003D1E07">
        <w:rPr>
          <w:lang w:eastAsia="en-US"/>
        </w:rPr>
        <w:t xml:space="preserve">mají </w:t>
      </w:r>
      <w:r w:rsidR="00407B12" w:rsidRPr="003D1E07">
        <w:rPr>
          <w:lang w:eastAsia="en-US"/>
        </w:rPr>
        <w:t>z</w:t>
      </w:r>
      <w:r w:rsidR="00CB5464" w:rsidRPr="003D1E07">
        <w:rPr>
          <w:lang w:eastAsia="en-US"/>
        </w:rPr>
        <w:t xml:space="preserve">ásadně odlišnou dráhu </w:t>
      </w:r>
      <w:r w:rsidR="00407B12" w:rsidRPr="003D1E07">
        <w:rPr>
          <w:lang w:eastAsia="en-US"/>
        </w:rPr>
        <w:t>náhled</w:t>
      </w:r>
      <w:r w:rsidR="00CB5464" w:rsidRPr="003D1E07">
        <w:rPr>
          <w:lang w:eastAsia="en-US"/>
        </w:rPr>
        <w:t>u (</w:t>
      </w:r>
      <w:r w:rsidR="00CB5464" w:rsidRPr="003D1E07">
        <w:rPr>
          <w:i/>
        </w:rPr>
        <w:t>Vor-blickbahn</w:t>
      </w:r>
      <w:r w:rsidR="000F6119" w:rsidRPr="003D1E07">
        <w:rPr>
          <w:i/>
        </w:rPr>
        <w:fldChar w:fldCharType="begin"/>
      </w:r>
      <w:r w:rsidR="000F6119" w:rsidRPr="003D1E07">
        <w:instrText xml:space="preserve"> XE "</w:instrText>
      </w:r>
      <w:r w:rsidR="000F6119" w:rsidRPr="003D1E07">
        <w:rPr>
          <w:i/>
        </w:rPr>
        <w:instrText>Vor-blickbahn</w:instrText>
      </w:r>
      <w:r w:rsidR="000F6119" w:rsidRPr="003D1E07">
        <w:instrText xml:space="preserve">" </w:instrText>
      </w:r>
      <w:r w:rsidR="000F6119" w:rsidRPr="003D1E07">
        <w:rPr>
          <w:i/>
        </w:rPr>
        <w:fldChar w:fldCharType="end"/>
      </w:r>
      <w:r w:rsidR="00CB5464" w:rsidRPr="003D1E07">
        <w:rPr>
          <w:lang w:eastAsia="en-US"/>
        </w:rPr>
        <w:t>)</w:t>
      </w:r>
      <w:r w:rsidR="00407B12" w:rsidRPr="003D1E07">
        <w:rPr>
          <w:lang w:eastAsia="en-US"/>
        </w:rPr>
        <w:t xml:space="preserve"> na smysl jsoucna. </w:t>
      </w:r>
      <w:r w:rsidR="003459AE" w:rsidRPr="003D1E07">
        <w:rPr>
          <w:lang w:eastAsia="en-US"/>
        </w:rPr>
        <w:t xml:space="preserve">Pravdivost </w:t>
      </w:r>
      <w:r w:rsidR="0815104B" w:rsidRPr="003D1E07">
        <w:rPr>
          <w:lang w:eastAsia="en-US"/>
        </w:rPr>
        <w:t xml:space="preserve">podle Averroese </w:t>
      </w:r>
      <w:r w:rsidR="003459AE" w:rsidRPr="003D1E07">
        <w:rPr>
          <w:lang w:eastAsia="en-US"/>
        </w:rPr>
        <w:t xml:space="preserve">vzniká v mysli na úrovni pojmového souzení a tento druh </w:t>
      </w:r>
      <w:r w:rsidR="0815104B" w:rsidRPr="003D1E07">
        <w:rPr>
          <w:lang w:eastAsia="en-US"/>
        </w:rPr>
        <w:t xml:space="preserve">univerzální </w:t>
      </w:r>
      <w:r w:rsidR="003459AE" w:rsidRPr="003D1E07">
        <w:rPr>
          <w:lang w:eastAsia="en-US"/>
        </w:rPr>
        <w:t xml:space="preserve">signifikace je závislý na existenci první substance. </w:t>
      </w:r>
      <w:r w:rsidR="00380045" w:rsidRPr="003D1E07">
        <w:rPr>
          <w:lang w:eastAsia="en-US"/>
        </w:rPr>
        <w:t>D</w:t>
      </w:r>
      <w:r w:rsidR="0815104B" w:rsidRPr="003D1E07">
        <w:rPr>
          <w:lang w:eastAsia="en-US"/>
        </w:rPr>
        <w:t xml:space="preserve">eterminace pravdy </w:t>
      </w:r>
      <w:r w:rsidR="00380045" w:rsidRPr="003D1E07">
        <w:rPr>
          <w:lang w:eastAsia="en-US"/>
        </w:rPr>
        <w:t xml:space="preserve">jde </w:t>
      </w:r>
      <w:r w:rsidR="0815104B" w:rsidRPr="003D1E07">
        <w:rPr>
          <w:lang w:eastAsia="en-US"/>
        </w:rPr>
        <w:t xml:space="preserve">od reality </w:t>
      </w:r>
      <w:r w:rsidR="00380045" w:rsidRPr="003D1E07">
        <w:rPr>
          <w:lang w:eastAsia="en-US"/>
        </w:rPr>
        <w:t xml:space="preserve">přes smysly </w:t>
      </w:r>
      <w:r w:rsidR="0815104B" w:rsidRPr="003D1E07">
        <w:rPr>
          <w:lang w:eastAsia="en-US"/>
        </w:rPr>
        <w:t>k</w:t>
      </w:r>
      <w:r w:rsidR="00380045" w:rsidRPr="003D1E07">
        <w:rPr>
          <w:lang w:eastAsia="en-US"/>
        </w:rPr>
        <w:t> </w:t>
      </w:r>
      <w:r w:rsidR="0815104B" w:rsidRPr="003D1E07">
        <w:rPr>
          <w:lang w:eastAsia="en-US"/>
        </w:rPr>
        <w:t>pojmu</w:t>
      </w:r>
      <w:r w:rsidR="00380045" w:rsidRPr="003D1E07">
        <w:rPr>
          <w:lang w:eastAsia="en-US"/>
        </w:rPr>
        <w:t xml:space="preserve">. </w:t>
      </w:r>
      <w:r w:rsidR="00B94650">
        <w:rPr>
          <w:lang w:eastAsia="en-US"/>
        </w:rPr>
        <w:t>Averroésův komentář k </w:t>
      </w:r>
      <w:r w:rsidR="00B94650" w:rsidRPr="00B94650">
        <w:rPr>
          <w:i/>
          <w:lang w:eastAsia="en-US"/>
        </w:rPr>
        <w:t>Metafyzice</w:t>
      </w:r>
      <w:r w:rsidR="00B94650">
        <w:rPr>
          <w:lang w:eastAsia="en-US"/>
        </w:rPr>
        <w:t xml:space="preserve"> </w:t>
      </w:r>
      <w:r w:rsidR="003459AE" w:rsidRPr="003D1E07">
        <w:rPr>
          <w:lang w:eastAsia="en-US"/>
        </w:rPr>
        <w:t xml:space="preserve">ukazuje na </w:t>
      </w:r>
      <w:r w:rsidR="00380045" w:rsidRPr="003D1E07">
        <w:rPr>
          <w:lang w:eastAsia="en-US"/>
        </w:rPr>
        <w:t>sekundární postavení pravdy</w:t>
      </w:r>
      <w:r w:rsidR="003459AE" w:rsidRPr="003D1E07">
        <w:rPr>
          <w:lang w:eastAsia="en-US"/>
        </w:rPr>
        <w:t xml:space="preserve"> vůči </w:t>
      </w:r>
      <w:r w:rsidR="002C00D4" w:rsidRPr="003D1E07">
        <w:rPr>
          <w:lang w:eastAsia="en-US"/>
        </w:rPr>
        <w:t xml:space="preserve">existující </w:t>
      </w:r>
      <w:r w:rsidR="003459AE" w:rsidRPr="003D1E07">
        <w:rPr>
          <w:lang w:eastAsia="en-US"/>
        </w:rPr>
        <w:t>první substanci.</w:t>
      </w:r>
    </w:p>
    <w:p w14:paraId="6D7C71A4" w14:textId="77777777" w:rsidR="0862075E" w:rsidRPr="003D1E07" w:rsidRDefault="0862075E" w:rsidP="0862075E">
      <w:pPr>
        <w:pStyle w:val="Citace"/>
        <w:rPr>
          <w:noProof/>
          <w:lang w:val="cs-CZ"/>
        </w:rPr>
      </w:pPr>
      <w:r w:rsidRPr="003D1E07">
        <w:rPr>
          <w:noProof/>
          <w:lang w:val="cs-CZ"/>
        </w:rPr>
        <w:t>„Pravda a omyl není ve věcech, stejně jako dobro a zlo, kdy pravda je jako dobro a omyl jako zlo; ale jsou v poznání.“</w:t>
      </w:r>
      <w:r w:rsidRPr="003D1E07">
        <w:rPr>
          <w:rStyle w:val="Znakapoznpodarou"/>
          <w:noProof/>
          <w:lang w:val="cs-CZ"/>
        </w:rPr>
        <w:t xml:space="preserve"> </w:t>
      </w:r>
      <w:r w:rsidRPr="003D1E07">
        <w:rPr>
          <w:rStyle w:val="Znakapoznpodarou"/>
          <w:noProof/>
          <w:lang w:val="cs-CZ"/>
        </w:rPr>
        <w:footnoteReference w:id="216"/>
      </w:r>
    </w:p>
    <w:p w14:paraId="5774033E" w14:textId="77777777" w:rsidR="003E6769" w:rsidRDefault="0862075E" w:rsidP="085334A0">
      <w:r w:rsidRPr="003D1E07">
        <w:t xml:space="preserve">Na rozdíl od Avicenny tvoří </w:t>
      </w:r>
      <w:r w:rsidRPr="003D1E07">
        <w:rPr>
          <w:i/>
        </w:rPr>
        <w:t>intellectus possibilis</w:t>
      </w:r>
      <w:r w:rsidR="009D323B" w:rsidRPr="003D1E07">
        <w:rPr>
          <w:i/>
        </w:rPr>
        <w:fldChar w:fldCharType="begin"/>
      </w:r>
      <w:r w:rsidR="009D323B" w:rsidRPr="003D1E07">
        <w:instrText xml:space="preserve"> XE "</w:instrText>
      </w:r>
      <w:r w:rsidR="009D323B" w:rsidRPr="003D1E07">
        <w:rPr>
          <w:i/>
        </w:rPr>
        <w:instrText>intellectus possibilis</w:instrText>
      </w:r>
      <w:r w:rsidR="006458AB" w:rsidRPr="003D1E07">
        <w:rPr>
          <w:i/>
        </w:rPr>
        <w:instrText>:</w:instrText>
      </w:r>
      <w:r w:rsidR="002E3B62" w:rsidRPr="003D1E07">
        <w:instrText>Averroes</w:instrText>
      </w:r>
      <w:r w:rsidR="009D323B" w:rsidRPr="003D1E07">
        <w:instrText xml:space="preserve">" </w:instrText>
      </w:r>
      <w:r w:rsidR="009D323B" w:rsidRPr="003D1E07">
        <w:rPr>
          <w:i/>
        </w:rPr>
        <w:fldChar w:fldCharType="end"/>
      </w:r>
      <w:r w:rsidRPr="003D1E07">
        <w:t xml:space="preserve"> </w:t>
      </w:r>
      <w:r w:rsidR="005A71C0" w:rsidRPr="003D1E07">
        <w:t xml:space="preserve">zásadní podmínku pro </w:t>
      </w:r>
      <w:r w:rsidRPr="003D1E07">
        <w:t>adekvac</w:t>
      </w:r>
      <w:r w:rsidR="005A71C0" w:rsidRPr="003D1E07">
        <w:t xml:space="preserve">i mezi realitou a myšlením, </w:t>
      </w:r>
      <w:r w:rsidR="08FB19A4" w:rsidRPr="003D1E07">
        <w:t>viz následující kapitoly</w:t>
      </w:r>
      <w:r w:rsidRPr="003D1E07">
        <w:t xml:space="preserve">. </w:t>
      </w:r>
      <w:r w:rsidR="003459AE" w:rsidRPr="003D1E07">
        <w:rPr>
          <w:lang w:eastAsia="en-US"/>
        </w:rPr>
        <w:t xml:space="preserve">Následně běží zkoumání jsoucna jako pravdivého </w:t>
      </w:r>
      <w:r w:rsidR="00C90592" w:rsidRPr="003D1E07">
        <w:rPr>
          <w:lang w:eastAsia="en-US"/>
        </w:rPr>
        <w:t xml:space="preserve">podle </w:t>
      </w:r>
      <w:r w:rsidR="00C90592" w:rsidRPr="003D1E07">
        <w:rPr>
          <w:lang w:eastAsia="en-US"/>
        </w:rPr>
        <w:lastRenderedPageBreak/>
        <w:t xml:space="preserve">druhého postupu </w:t>
      </w:r>
      <w:r w:rsidR="00C90592" w:rsidRPr="003D1E07">
        <w:rPr>
          <w:i/>
          <w:lang w:eastAsia="en-US"/>
        </w:rPr>
        <w:t>Metafyziky</w:t>
      </w:r>
      <w:r w:rsidR="00C90592" w:rsidRPr="003D1E07">
        <w:rPr>
          <w:lang w:eastAsia="en-US"/>
        </w:rPr>
        <w:t xml:space="preserve"> </w:t>
      </w:r>
      <w:r w:rsidR="003459AE" w:rsidRPr="003D1E07">
        <w:rPr>
          <w:lang w:eastAsia="en-US"/>
        </w:rPr>
        <w:t>(</w:t>
      </w:r>
      <w:r w:rsidR="003459AE" w:rsidRPr="003D1E07">
        <w:rPr>
          <w:i/>
          <w:lang w:eastAsia="en-US"/>
        </w:rPr>
        <w:t>Met</w:t>
      </w:r>
      <w:r w:rsidR="003459AE" w:rsidRPr="003D1E07">
        <w:rPr>
          <w:lang w:eastAsia="en-US"/>
        </w:rPr>
        <w:t xml:space="preserve">. </w:t>
      </w:r>
      <w:r w:rsidR="003459AE" w:rsidRPr="003D1E07">
        <w:t>1027b30–31</w:t>
      </w:r>
      <w:r w:rsidR="00D57B85" w:rsidRPr="003D1E07">
        <w:fldChar w:fldCharType="begin"/>
      </w:r>
      <w:r w:rsidR="00D57B85" w:rsidRPr="003D1E07">
        <w:instrText xml:space="preserve"> XE "</w:instrText>
      </w:r>
      <w:r w:rsidR="00D57B85" w:rsidRPr="003D1E07">
        <w:rPr>
          <w:lang w:eastAsia="en-US"/>
        </w:rPr>
        <w:instrText>Aristoteles:</w:instrText>
      </w:r>
      <w:r w:rsidR="00D57B85" w:rsidRPr="003D1E07">
        <w:rPr>
          <w:i/>
          <w:lang w:eastAsia="en-US"/>
        </w:rPr>
        <w:instrText>Met</w:instrText>
      </w:r>
      <w:r w:rsidR="00D57B85" w:rsidRPr="003D1E07">
        <w:rPr>
          <w:lang w:eastAsia="en-US"/>
        </w:rPr>
        <w:instrText xml:space="preserve">. </w:instrText>
      </w:r>
      <w:r w:rsidR="00D57B85" w:rsidRPr="003D1E07">
        <w:instrText xml:space="preserve">1027b30–31" </w:instrText>
      </w:r>
      <w:r w:rsidR="00D57B85" w:rsidRPr="003D1E07">
        <w:fldChar w:fldCharType="end"/>
      </w:r>
      <w:r w:rsidR="003459AE" w:rsidRPr="003D1E07">
        <w:t>)</w:t>
      </w:r>
      <w:r w:rsidR="003459AE" w:rsidRPr="003D1E07">
        <w:rPr>
          <w:lang w:eastAsia="en-US"/>
        </w:rPr>
        <w:t>.</w:t>
      </w:r>
      <w:r w:rsidR="00F4122C" w:rsidRPr="003D1E07">
        <w:rPr>
          <w:lang w:eastAsia="en-US"/>
        </w:rPr>
        <w:t xml:space="preserve"> </w:t>
      </w:r>
      <w:r w:rsidR="00371351" w:rsidRPr="003D1E07">
        <w:rPr>
          <w:lang w:eastAsia="en-US"/>
        </w:rPr>
        <w:t xml:space="preserve">První věda zkoumá existující první substanci a omyl a pravda vznikají až v mysli. </w:t>
      </w:r>
      <w:r w:rsidR="00407B12" w:rsidRPr="003D1E07">
        <w:rPr>
          <w:lang w:eastAsia="en-US"/>
        </w:rPr>
        <w:t xml:space="preserve">Avicenna </w:t>
      </w:r>
      <w:r w:rsidR="00AC6DA7" w:rsidRPr="003D1E07">
        <w:rPr>
          <w:lang w:eastAsia="en-US"/>
        </w:rPr>
        <w:t xml:space="preserve">tvrdil podle </w:t>
      </w:r>
      <w:r w:rsidR="00407B12" w:rsidRPr="003D1E07">
        <w:rPr>
          <w:lang w:eastAsia="en-US"/>
        </w:rPr>
        <w:t>Alexandr</w:t>
      </w:r>
      <w:r w:rsidR="00AC6DA7" w:rsidRPr="003D1E07">
        <w:rPr>
          <w:lang w:eastAsia="en-US"/>
        </w:rPr>
        <w:t>a</w:t>
      </w:r>
      <w:r w:rsidR="00955903" w:rsidRPr="003D1E07">
        <w:fldChar w:fldCharType="begin"/>
      </w:r>
      <w:r w:rsidR="00955903" w:rsidRPr="003D1E07">
        <w:instrText xml:space="preserve"> XE "Alexander Afrodisias" </w:instrText>
      </w:r>
      <w:r w:rsidR="00955903" w:rsidRPr="003D1E07">
        <w:fldChar w:fldCharType="end"/>
      </w:r>
      <w:r w:rsidR="00AC6DA7" w:rsidRPr="003D1E07">
        <w:rPr>
          <w:lang w:eastAsia="en-US"/>
        </w:rPr>
        <w:t xml:space="preserve">, že </w:t>
      </w:r>
      <w:r w:rsidR="00407B12" w:rsidRPr="003D1E07">
        <w:rPr>
          <w:lang w:eastAsia="en-US"/>
        </w:rPr>
        <w:t>fyzik</w:t>
      </w:r>
      <w:r w:rsidR="00AC6DA7" w:rsidRPr="003D1E07">
        <w:rPr>
          <w:lang w:eastAsia="en-US"/>
        </w:rPr>
        <w:t xml:space="preserve">a nemůže </w:t>
      </w:r>
      <w:r w:rsidR="00407B12" w:rsidRPr="003D1E07">
        <w:rPr>
          <w:lang w:eastAsia="en-US"/>
        </w:rPr>
        <w:t>nahlédnout do prvních principů substance</w:t>
      </w:r>
      <w:r w:rsidR="00C63325" w:rsidRPr="003D1E07">
        <w:rPr>
          <w:lang w:eastAsia="en-US"/>
        </w:rPr>
        <w:t xml:space="preserve">. Proto </w:t>
      </w:r>
      <w:r w:rsidR="00407B12" w:rsidRPr="003D1E07">
        <w:rPr>
          <w:lang w:eastAsia="en-US"/>
        </w:rPr>
        <w:t>bere pravdu jako základní určení samotného jsoucna</w:t>
      </w:r>
      <w:r w:rsidR="00C63325" w:rsidRPr="003D1E07">
        <w:rPr>
          <w:lang w:eastAsia="en-US"/>
        </w:rPr>
        <w:t xml:space="preserve"> </w:t>
      </w:r>
      <w:r w:rsidR="00407B12" w:rsidRPr="003D1E07">
        <w:rPr>
          <w:lang w:eastAsia="en-US"/>
        </w:rPr>
        <w:t xml:space="preserve">podle </w:t>
      </w:r>
      <w:r w:rsidR="00C63325" w:rsidRPr="003D1E07">
        <w:rPr>
          <w:lang w:eastAsia="en-US"/>
        </w:rPr>
        <w:t xml:space="preserve">výše </w:t>
      </w:r>
      <w:r w:rsidR="00407B12" w:rsidRPr="003D1E07">
        <w:rPr>
          <w:lang w:eastAsia="en-US"/>
        </w:rPr>
        <w:t xml:space="preserve">citované pasáže </w:t>
      </w:r>
      <w:r w:rsidR="00407B12" w:rsidRPr="003D1E07">
        <w:rPr>
          <w:i/>
          <w:lang w:eastAsia="en-US"/>
        </w:rPr>
        <w:t>Metafyziky</w:t>
      </w:r>
      <w:r w:rsidR="00C63325" w:rsidRPr="003D1E07">
        <w:rPr>
          <w:lang w:eastAsia="en-US"/>
        </w:rPr>
        <w:t xml:space="preserve"> VI.2 (kap. 2.4). Avicenna tvrdí, že </w:t>
      </w:r>
      <w:r w:rsidR="08745AA3" w:rsidRPr="003D1E07">
        <w:rPr>
          <w:lang w:eastAsia="en-US"/>
        </w:rPr>
        <w:t>žádná věda nemůže</w:t>
      </w:r>
      <w:r w:rsidR="009A626E" w:rsidRPr="003D1E07">
        <w:rPr>
          <w:lang w:eastAsia="en-US"/>
        </w:rPr>
        <w:t xml:space="preserve"> dokázat své vlastní principy. P</w:t>
      </w:r>
      <w:r w:rsidR="08745AA3" w:rsidRPr="003D1E07">
        <w:rPr>
          <w:lang w:eastAsia="en-US"/>
        </w:rPr>
        <w:t>roto je metafyzika první vědou oddělenou od ostatních způsobů zkoumání</w:t>
      </w:r>
      <w:r w:rsidR="08117322" w:rsidRPr="003D1E07">
        <w:rPr>
          <w:lang w:eastAsia="en-US"/>
        </w:rPr>
        <w:t xml:space="preserve"> v modu </w:t>
      </w:r>
      <w:r w:rsidR="00A11A45" w:rsidRPr="003D1E07">
        <w:rPr>
          <w:i/>
          <w:lang w:eastAsia="en-US"/>
        </w:rPr>
        <w:t>ens</w:t>
      </w:r>
      <w:r w:rsidR="00A11A45" w:rsidRPr="003D1E07">
        <w:rPr>
          <w:lang w:eastAsia="en-US"/>
        </w:rPr>
        <w:t xml:space="preserve"> </w:t>
      </w:r>
      <w:r w:rsidR="08117322" w:rsidRPr="003D1E07">
        <w:rPr>
          <w:i/>
          <w:lang w:eastAsia="en-US"/>
        </w:rPr>
        <w:t>inquantum</w:t>
      </w:r>
      <w:r w:rsidR="00A11A45" w:rsidRPr="003D1E07">
        <w:rPr>
          <w:i/>
          <w:lang w:eastAsia="en-US"/>
        </w:rPr>
        <w:t xml:space="preserve"> ens</w:t>
      </w:r>
      <w:r w:rsidR="00A11A45" w:rsidRPr="003D1E07">
        <w:rPr>
          <w:i/>
          <w:lang w:eastAsia="en-US"/>
        </w:rPr>
        <w:fldChar w:fldCharType="begin"/>
      </w:r>
      <w:r w:rsidR="00A11A45" w:rsidRPr="003D1E07">
        <w:instrText xml:space="preserve"> XE "</w:instrText>
      </w:r>
      <w:r w:rsidR="00A11A45" w:rsidRPr="003D1E07">
        <w:rPr>
          <w:i/>
          <w:lang w:eastAsia="en-US"/>
        </w:rPr>
        <w:instrText>ens</w:instrText>
      </w:r>
      <w:r w:rsidR="00A11A45" w:rsidRPr="003D1E07">
        <w:rPr>
          <w:lang w:eastAsia="en-US"/>
        </w:rPr>
        <w:instrText xml:space="preserve"> </w:instrText>
      </w:r>
      <w:r w:rsidR="00A11A45" w:rsidRPr="003D1E07">
        <w:rPr>
          <w:i/>
          <w:lang w:eastAsia="en-US"/>
        </w:rPr>
        <w:instrText>inquantum ens</w:instrText>
      </w:r>
      <w:r w:rsidR="00A11A45" w:rsidRPr="003D1E07">
        <w:instrText xml:space="preserve">" </w:instrText>
      </w:r>
      <w:r w:rsidR="00A11A45" w:rsidRPr="003D1E07">
        <w:rPr>
          <w:i/>
          <w:lang w:eastAsia="en-US"/>
        </w:rPr>
        <w:fldChar w:fldCharType="end"/>
      </w:r>
      <w:r w:rsidR="08745AA3" w:rsidRPr="003D1E07">
        <w:rPr>
          <w:lang w:eastAsia="en-US"/>
        </w:rPr>
        <w:t xml:space="preserve">. </w:t>
      </w:r>
      <w:r w:rsidR="002E3B62" w:rsidRPr="003D1E07">
        <w:rPr>
          <w:lang w:eastAsia="en-US"/>
        </w:rPr>
        <w:t>Averroes</w:t>
      </w:r>
      <w:r w:rsidR="08DE2C31" w:rsidRPr="003D1E07">
        <w:rPr>
          <w:lang w:eastAsia="en-US"/>
        </w:rPr>
        <w:t xml:space="preserve"> naopak bez zkoumání fyziky nemůže metafyziku</w:t>
      </w:r>
      <w:r w:rsidR="08293089" w:rsidRPr="003D1E07">
        <w:rPr>
          <w:lang w:eastAsia="en-US"/>
        </w:rPr>
        <w:t xml:space="preserve"> vůbec </w:t>
      </w:r>
      <w:r w:rsidR="08DE2C31" w:rsidRPr="003D1E07">
        <w:rPr>
          <w:lang w:eastAsia="en-US"/>
        </w:rPr>
        <w:t>založit</w:t>
      </w:r>
      <w:r w:rsidR="08293089" w:rsidRPr="003D1E07">
        <w:rPr>
          <w:lang w:eastAsia="en-US"/>
        </w:rPr>
        <w:t xml:space="preserve">, protože </w:t>
      </w:r>
      <w:r w:rsidR="08DE2C31" w:rsidRPr="003D1E07">
        <w:rPr>
          <w:lang w:eastAsia="en-US"/>
        </w:rPr>
        <w:t xml:space="preserve">první věda o reálné substanci </w:t>
      </w:r>
      <w:r w:rsidR="08293089" w:rsidRPr="003D1E07">
        <w:rPr>
          <w:lang w:eastAsia="en-US"/>
        </w:rPr>
        <w:t xml:space="preserve">by neměla žádné </w:t>
      </w:r>
      <w:r w:rsidR="084103BA" w:rsidRPr="003D1E07">
        <w:rPr>
          <w:lang w:eastAsia="en-US"/>
        </w:rPr>
        <w:t xml:space="preserve">apodikticky a </w:t>
      </w:r>
      <w:r w:rsidR="0089491E" w:rsidRPr="003D1E07">
        <w:rPr>
          <w:lang w:eastAsia="en-US"/>
        </w:rPr>
        <w:t xml:space="preserve">kauzálně dané </w:t>
      </w:r>
      <w:r w:rsidR="08293089" w:rsidRPr="003D1E07">
        <w:rPr>
          <w:lang w:eastAsia="en-US"/>
        </w:rPr>
        <w:t>předpoklady a principy, na nichž by mohla stavět.</w:t>
      </w:r>
      <w:r w:rsidR="00075D5B" w:rsidRPr="003D1E07">
        <w:rPr>
          <w:lang w:eastAsia="en-US"/>
        </w:rPr>
        <w:t xml:space="preserve"> </w:t>
      </w:r>
      <w:r w:rsidR="08117322" w:rsidRPr="003D1E07">
        <w:rPr>
          <w:lang w:eastAsia="en-US"/>
        </w:rPr>
        <w:t xml:space="preserve">Metafyziku je možné budovat pouze v perspektivě náhledu </w:t>
      </w:r>
      <w:r w:rsidR="08726EB6" w:rsidRPr="003D1E07">
        <w:rPr>
          <w:lang w:eastAsia="en-US"/>
        </w:rPr>
        <w:t xml:space="preserve">daného skrze </w:t>
      </w:r>
      <w:r w:rsidR="08246808" w:rsidRPr="003D1E07">
        <w:rPr>
          <w:lang w:eastAsia="en-US"/>
        </w:rPr>
        <w:t xml:space="preserve">náhled substance </w:t>
      </w:r>
      <w:r w:rsidR="08117322" w:rsidRPr="003D1E07">
        <w:rPr>
          <w:i/>
          <w:lang w:eastAsia="en-US"/>
        </w:rPr>
        <w:t>qua</w:t>
      </w:r>
      <w:r w:rsidR="08246808" w:rsidRPr="003D1E07">
        <w:rPr>
          <w:i/>
          <w:lang w:eastAsia="en-US"/>
        </w:rPr>
        <w:t xml:space="preserve"> </w:t>
      </w:r>
      <w:r w:rsidR="08246808" w:rsidRPr="003D1E07">
        <w:rPr>
          <w:lang w:eastAsia="en-US"/>
        </w:rPr>
        <w:t>substance</w:t>
      </w:r>
      <w:r w:rsidR="08117322" w:rsidRPr="003D1E07">
        <w:rPr>
          <w:lang w:eastAsia="en-US"/>
        </w:rPr>
        <w:t xml:space="preserve">. </w:t>
      </w:r>
      <w:r w:rsidR="005C341E" w:rsidRPr="003D1E07">
        <w:rPr>
          <w:lang w:eastAsia="en-US"/>
        </w:rPr>
        <w:t xml:space="preserve">Reálná </w:t>
      </w:r>
      <w:r w:rsidR="005C341E" w:rsidRPr="003D1E07">
        <w:t>substance je jednotná</w:t>
      </w:r>
      <w:r w:rsidR="00104FDA" w:rsidRPr="003D1E07">
        <w:t xml:space="preserve"> </w:t>
      </w:r>
      <w:r w:rsidR="005C341E" w:rsidRPr="003D1E07">
        <w:t>jako absolutně jednoduchá</w:t>
      </w:r>
      <w:r w:rsidR="00104FDA" w:rsidRPr="003D1E07">
        <w:t xml:space="preserve"> p</w:t>
      </w:r>
      <w:r w:rsidR="08D711C1" w:rsidRPr="003D1E07">
        <w:t xml:space="preserve">rvní substance podle </w:t>
      </w:r>
      <w:r w:rsidR="00104FDA" w:rsidRPr="003D1E07">
        <w:rPr>
          <w:i/>
        </w:rPr>
        <w:t>Cat</w:t>
      </w:r>
      <w:r w:rsidR="00104FDA" w:rsidRPr="003D1E07">
        <w:t>. 2a11</w:t>
      </w:r>
      <w:r w:rsidR="002E49B4" w:rsidRPr="003D1E07">
        <w:t>–</w:t>
      </w:r>
      <w:r w:rsidR="00104FDA" w:rsidRPr="003D1E07">
        <w:t>16</w:t>
      </w:r>
      <w:r w:rsidR="00DF7E78" w:rsidRPr="003D1E07">
        <w:rPr>
          <w:lang w:eastAsia="en-US"/>
        </w:rPr>
        <w:fldChar w:fldCharType="begin"/>
      </w:r>
      <w:r w:rsidR="00DF7E78" w:rsidRPr="003D1E07">
        <w:instrText xml:space="preserve"> XE "</w:instrText>
      </w:r>
      <w:r w:rsidR="008E02F5" w:rsidRPr="003D1E07">
        <w:instrText>Aristoteles</w:instrText>
      </w:r>
      <w:r w:rsidR="00DF7E78" w:rsidRPr="003D1E07">
        <w:instrText>:</w:instrText>
      </w:r>
      <w:r w:rsidR="00DF7E78" w:rsidRPr="003D1E07">
        <w:rPr>
          <w:i/>
          <w:lang w:eastAsia="en-US"/>
        </w:rPr>
        <w:instrText>Cat</w:instrText>
      </w:r>
      <w:r w:rsidR="00DF7E78" w:rsidRPr="003D1E07">
        <w:rPr>
          <w:lang w:eastAsia="en-US"/>
        </w:rPr>
        <w:instrText xml:space="preserve">. </w:instrText>
      </w:r>
      <w:r w:rsidR="00DF7E78" w:rsidRPr="003D1E07">
        <w:instrText xml:space="preserve">2a11–16" </w:instrText>
      </w:r>
      <w:r w:rsidR="00DF7E78" w:rsidRPr="003D1E07">
        <w:rPr>
          <w:lang w:eastAsia="en-US"/>
        </w:rPr>
        <w:fldChar w:fldCharType="end"/>
      </w:r>
      <w:r w:rsidR="08D711C1" w:rsidRPr="003D1E07">
        <w:t>. A</w:t>
      </w:r>
      <w:r w:rsidR="00104FDA" w:rsidRPr="003D1E07">
        <w:t>le existují dva druhy náhledu pro její zkoumání. Metafyzika</w:t>
      </w:r>
      <w:r w:rsidR="00104FDA" w:rsidRPr="003D1E07">
        <w:rPr>
          <w:i/>
        </w:rPr>
        <w:t xml:space="preserve"> </w:t>
      </w:r>
      <w:r w:rsidR="00104FDA" w:rsidRPr="003D1E07">
        <w:t xml:space="preserve">vypovídá </w:t>
      </w:r>
      <w:r w:rsidR="00104FDA" w:rsidRPr="003D1E07">
        <w:rPr>
          <w:i/>
        </w:rPr>
        <w:t>per prius</w:t>
      </w:r>
      <w:r w:rsidR="00104FDA" w:rsidRPr="003D1E07">
        <w:t xml:space="preserve"> o principech substance, fyzika</w:t>
      </w:r>
      <w:r w:rsidR="00104FDA" w:rsidRPr="003D1E07">
        <w:rPr>
          <w:i/>
        </w:rPr>
        <w:t xml:space="preserve"> per posterius </w:t>
      </w:r>
      <w:r w:rsidR="00104FDA" w:rsidRPr="003D1E07">
        <w:t>zkoumá její pohyb</w:t>
      </w:r>
      <w:r w:rsidR="001C7C81" w:rsidRPr="003D1E07">
        <w:t xml:space="preserve"> a kauzalitu</w:t>
      </w:r>
      <w:r w:rsidR="00104FDA" w:rsidRPr="003D1E07">
        <w:t xml:space="preserve">. </w:t>
      </w:r>
      <w:r w:rsidR="00C039EA" w:rsidRPr="003D1E07">
        <w:t>Bytí první substance tvoří základní příčinu jednoty. Pak existují dva pohledy z hlediska hyparchické signifikace (</w:t>
      </w:r>
      <w:r w:rsidR="00C039EA" w:rsidRPr="003D1E07">
        <w:rPr>
          <w:i/>
        </w:rPr>
        <w:t>impositio</w:t>
      </w:r>
      <w:r w:rsidR="00C039EA" w:rsidRPr="003D1E07">
        <w:rPr>
          <w:lang w:eastAsia="en-US"/>
        </w:rPr>
        <w:fldChar w:fldCharType="begin"/>
      </w:r>
      <w:r w:rsidR="00C039EA" w:rsidRPr="003D1E07">
        <w:instrText xml:space="preserve"> XE "impozice:Averroes" </w:instrText>
      </w:r>
      <w:r w:rsidR="00C039EA" w:rsidRPr="003D1E07">
        <w:rPr>
          <w:lang w:eastAsia="en-US"/>
        </w:rPr>
        <w:fldChar w:fldCharType="end"/>
      </w:r>
      <w:r w:rsidR="00C039EA" w:rsidRPr="003D1E07">
        <w:t xml:space="preserve">) dané jinak pro fyziku a jinak pro metafyziku. </w:t>
      </w:r>
      <w:r w:rsidR="00104FDA" w:rsidRPr="003D1E07">
        <w:t>Dvojí smysl první substance zůstává zachován, proto</w:t>
      </w:r>
      <w:r w:rsidR="00846212" w:rsidRPr="003D1E07">
        <w:t xml:space="preserve">že </w:t>
      </w:r>
      <w:r w:rsidR="08EB76A2" w:rsidRPr="003D1E07">
        <w:t xml:space="preserve">máme jeden předmět zkoumání, tedy </w:t>
      </w:r>
      <w:r w:rsidR="00104FDA" w:rsidRPr="003D1E07">
        <w:t>jednoduchou první substanci ve třech rodech</w:t>
      </w:r>
      <w:r w:rsidR="00846212" w:rsidRPr="003D1E07">
        <w:t xml:space="preserve"> (materiální, nemateriální, zcela oddělená</w:t>
      </w:r>
      <w:r w:rsidR="088A337D" w:rsidRPr="003D1E07">
        <w:t xml:space="preserve"> nemateriální</w:t>
      </w:r>
      <w:r w:rsidR="00104FDA" w:rsidRPr="003D1E07">
        <w:t>)</w:t>
      </w:r>
      <w:r w:rsidR="00846212" w:rsidRPr="003D1E07">
        <w:t xml:space="preserve">. </w:t>
      </w:r>
      <w:r w:rsidR="00467A2E" w:rsidRPr="003D1E07">
        <w:t xml:space="preserve">Impozice substance </w:t>
      </w:r>
      <w:r w:rsidR="00634629" w:rsidRPr="003D1E07">
        <w:t xml:space="preserve">se ve </w:t>
      </w:r>
      <w:r w:rsidR="088B306E" w:rsidRPr="003D1E07">
        <w:t>fyzi</w:t>
      </w:r>
      <w:r w:rsidR="00634629" w:rsidRPr="003D1E07">
        <w:t xml:space="preserve">ce </w:t>
      </w:r>
      <w:r w:rsidR="00467A2E" w:rsidRPr="003D1E07">
        <w:t>a</w:t>
      </w:r>
      <w:r w:rsidR="00634629" w:rsidRPr="003D1E07">
        <w:t xml:space="preserve"> v</w:t>
      </w:r>
      <w:r w:rsidR="00467A2E" w:rsidRPr="003D1E07">
        <w:t xml:space="preserve"> </w:t>
      </w:r>
      <w:r w:rsidR="00634629" w:rsidRPr="003D1E07">
        <w:t>metafyzice</w:t>
      </w:r>
      <w:r w:rsidR="00467A2E" w:rsidRPr="003D1E07">
        <w:t xml:space="preserve"> </w:t>
      </w:r>
      <w:r w:rsidR="088D4DBE" w:rsidRPr="003D1E07">
        <w:t xml:space="preserve">se </w:t>
      </w:r>
      <w:r w:rsidR="00467A2E" w:rsidRPr="003D1E07">
        <w:t xml:space="preserve">liší </w:t>
      </w:r>
      <w:r w:rsidR="088D4DBE" w:rsidRPr="003D1E07">
        <w:t xml:space="preserve">z hlediska </w:t>
      </w:r>
      <w:r w:rsidR="08FD3345" w:rsidRPr="003D1E07">
        <w:t xml:space="preserve">zkoumající </w:t>
      </w:r>
      <w:r w:rsidR="088D4DBE" w:rsidRPr="003D1E07">
        <w:t>vědy</w:t>
      </w:r>
      <w:r w:rsidR="00100002" w:rsidRPr="003D1E07">
        <w:t xml:space="preserve">, protože jde </w:t>
      </w:r>
      <w:r w:rsidR="00437621" w:rsidRPr="003D1E07">
        <w:t xml:space="preserve">o dva </w:t>
      </w:r>
      <w:r w:rsidR="088D4DBE" w:rsidRPr="003D1E07">
        <w:t xml:space="preserve">rodově </w:t>
      </w:r>
      <w:r w:rsidR="00437621" w:rsidRPr="003D1E07">
        <w:t>odlišné náhledy</w:t>
      </w:r>
      <w:r w:rsidR="00100002" w:rsidRPr="003D1E07">
        <w:t xml:space="preserve"> na smysl</w:t>
      </w:r>
      <w:r w:rsidR="088D4DBE" w:rsidRPr="003D1E07">
        <w:t xml:space="preserve"> první substance</w:t>
      </w:r>
      <w:r w:rsidR="00845C49" w:rsidRPr="003D1E07">
        <w:t xml:space="preserve">. </w:t>
      </w:r>
      <w:r w:rsidR="088D4DBE" w:rsidRPr="003D1E07">
        <w:t>Jednou je jejím kategoriálně predikova</w:t>
      </w:r>
      <w:r w:rsidR="08EB3845" w:rsidRPr="003D1E07">
        <w:t>n</w:t>
      </w:r>
      <w:r w:rsidR="088D4DBE" w:rsidRPr="003D1E07">
        <w:t xml:space="preserve">ým rodem obor fyzikálních vlastností </w:t>
      </w:r>
      <w:r w:rsidR="08FD3345" w:rsidRPr="003D1E07">
        <w:t xml:space="preserve">na úrovni tělesa </w:t>
      </w:r>
      <w:r w:rsidR="088D4DBE" w:rsidRPr="003D1E07">
        <w:t>a jindy její poslední metafyzické principy</w:t>
      </w:r>
      <w:r w:rsidR="08FD3345" w:rsidRPr="003D1E07">
        <w:t xml:space="preserve"> na úrovni oddělené substance</w:t>
      </w:r>
      <w:r w:rsidR="088D4DBE" w:rsidRPr="003D1E07">
        <w:t xml:space="preserve">. </w:t>
      </w:r>
      <w:r w:rsidR="00845C49" w:rsidRPr="003D1E07">
        <w:t>Ú</w:t>
      </w:r>
      <w:r w:rsidR="00434E91" w:rsidRPr="003D1E07">
        <w:t xml:space="preserve">vodní citát </w:t>
      </w:r>
      <w:r w:rsidR="00BA4C98" w:rsidRPr="003D1E07">
        <w:t xml:space="preserve">věnovaný </w:t>
      </w:r>
      <w:r w:rsidR="00434E91" w:rsidRPr="003D1E07">
        <w:t xml:space="preserve">Alexandrově komentáři </w:t>
      </w:r>
      <w:r w:rsidR="00434E91" w:rsidRPr="003D1E07">
        <w:rPr>
          <w:i/>
        </w:rPr>
        <w:t>Metafyziky</w:t>
      </w:r>
      <w:r w:rsidR="00434E91" w:rsidRPr="003D1E07">
        <w:t xml:space="preserve"> zdůraznil, že </w:t>
      </w:r>
      <w:r w:rsidR="003C5034" w:rsidRPr="003D1E07">
        <w:t xml:space="preserve">fyzika i metafyzika </w:t>
      </w:r>
      <w:r w:rsidR="00BA4C98" w:rsidRPr="003D1E07">
        <w:t xml:space="preserve">pojednávají </w:t>
      </w:r>
      <w:r w:rsidR="00434E91" w:rsidRPr="003D1E07">
        <w:t>první substanci. Principy obou věd jsou různé, ale mají stejný předmět zkoumání</w:t>
      </w:r>
      <w:r w:rsidR="08B049E7" w:rsidRPr="003D1E07">
        <w:t>, tedy bytí první substance</w:t>
      </w:r>
      <w:r w:rsidR="00434E91" w:rsidRPr="003D1E07">
        <w:t xml:space="preserve">. </w:t>
      </w:r>
      <w:r w:rsidR="00104FDA" w:rsidRPr="003D1E07">
        <w:t xml:space="preserve">Protože poznání začíná u smyslů, </w:t>
      </w:r>
      <w:r w:rsidR="08B46213" w:rsidRPr="003D1E07">
        <w:t xml:space="preserve">fundamentální </w:t>
      </w:r>
      <w:r w:rsidR="00104FDA" w:rsidRPr="003D1E07">
        <w:t>pohled</w:t>
      </w:r>
      <w:r w:rsidR="08B46213" w:rsidRPr="003D1E07">
        <w:t xml:space="preserve"> na jsoucno </w:t>
      </w:r>
      <w:r w:rsidR="08F80F56" w:rsidRPr="003D1E07">
        <w:t xml:space="preserve">zakládá dvojí predikaci, kterou známe z rozboru spisu </w:t>
      </w:r>
      <w:r w:rsidR="08F80F56" w:rsidRPr="003D1E07">
        <w:rPr>
          <w:i/>
        </w:rPr>
        <w:t>Kategorie</w:t>
      </w:r>
      <w:r w:rsidR="08226779" w:rsidRPr="003D1E07">
        <w:t xml:space="preserve"> (kap. 1.3</w:t>
      </w:r>
      <w:r w:rsidR="08F80F56" w:rsidRPr="003D1E07">
        <w:t>)</w:t>
      </w:r>
      <w:r w:rsidR="00104FDA" w:rsidRPr="003D1E07">
        <w:t>. Ne</w:t>
      </w:r>
      <w:r w:rsidR="001A3CE5" w:rsidRPr="003D1E07">
        <w:t>j</w:t>
      </w:r>
      <w:r w:rsidR="00104FDA" w:rsidRPr="003D1E07">
        <w:t xml:space="preserve">prve vzniká poznání </w:t>
      </w:r>
      <w:r w:rsidR="00104FDA" w:rsidRPr="003D1E07">
        <w:rPr>
          <w:i/>
        </w:rPr>
        <w:t>per prius</w:t>
      </w:r>
      <w:r w:rsidR="00104FDA" w:rsidRPr="003D1E07">
        <w:t xml:space="preserve"> </w:t>
      </w:r>
      <w:r w:rsidR="00DF7E78" w:rsidRPr="003D1E07">
        <w:rPr>
          <w:lang w:eastAsia="en-US"/>
        </w:rPr>
        <w:fldChar w:fldCharType="begin"/>
      </w:r>
      <w:r w:rsidR="00DF7E78" w:rsidRPr="003D1E07">
        <w:instrText xml:space="preserve"> XE "predikace:</w:instrText>
      </w:r>
      <w:r w:rsidR="002E3B62" w:rsidRPr="003D1E07">
        <w:instrText>Averroes</w:instrText>
      </w:r>
      <w:r w:rsidR="00DF7E78" w:rsidRPr="003D1E07">
        <w:instrText xml:space="preserve">" </w:instrText>
      </w:r>
      <w:r w:rsidR="00DF7E78" w:rsidRPr="003D1E07">
        <w:rPr>
          <w:lang w:eastAsia="en-US"/>
        </w:rPr>
        <w:fldChar w:fldCharType="end"/>
      </w:r>
      <w:r w:rsidR="00104FDA" w:rsidRPr="003D1E07">
        <w:t>pohyblivých substancí (porušitelných a neporušitelných)</w:t>
      </w:r>
      <w:r w:rsidR="086C45C7" w:rsidRPr="003D1E07">
        <w:t>,</w:t>
      </w:r>
      <w:r w:rsidR="00104FDA" w:rsidRPr="003D1E07">
        <w:t xml:space="preserve"> pak následuje metafyzické vyšetřování </w:t>
      </w:r>
      <w:r w:rsidR="00104FDA" w:rsidRPr="003D1E07">
        <w:rPr>
          <w:i/>
        </w:rPr>
        <w:t>per posterius</w:t>
      </w:r>
      <w:r w:rsidR="00104FDA" w:rsidRPr="003D1E07">
        <w:t xml:space="preserve"> čistě intelektuálních principů první </w:t>
      </w:r>
      <w:r w:rsidR="08537F3C" w:rsidRPr="003D1E07">
        <w:t xml:space="preserve">nemateriální, neporušitelné a </w:t>
      </w:r>
      <w:r w:rsidR="00104FDA" w:rsidRPr="003D1E07">
        <w:t xml:space="preserve">nehybné substance. Tuto cestu jasně indikuje postup zkoumání v knize </w:t>
      </w:r>
      <w:r w:rsidR="00104FDA" w:rsidRPr="003D1E07">
        <w:rPr>
          <w:i/>
        </w:rPr>
        <w:t>Lambda</w:t>
      </w:r>
      <w:r w:rsidR="00104FDA" w:rsidRPr="003D1E07">
        <w:t xml:space="preserve">, která začíná smyslovou </w:t>
      </w:r>
      <w:r w:rsidR="08396856" w:rsidRPr="003D1E07">
        <w:t xml:space="preserve">substancí </w:t>
      </w:r>
      <w:r w:rsidR="00104FDA" w:rsidRPr="003D1E07">
        <w:t xml:space="preserve">a končí zkoumáním Nehybného Hybatele. </w:t>
      </w:r>
      <w:r w:rsidR="00F936D6" w:rsidRPr="003D1E07">
        <w:t>Také d</w:t>
      </w:r>
      <w:r w:rsidR="002E50BA" w:rsidRPr="003D1E07">
        <w:t xml:space="preserve">ůležitá pasáž v </w:t>
      </w:r>
      <w:r w:rsidR="002E50BA" w:rsidRPr="003D1E07">
        <w:rPr>
          <w:i/>
        </w:rPr>
        <w:t>Metafyzice</w:t>
      </w:r>
      <w:r w:rsidR="08A15FBD" w:rsidRPr="003D1E07">
        <w:t xml:space="preserve"> VI.1 jasně určuje </w:t>
      </w:r>
      <w:r w:rsidR="002E50BA" w:rsidRPr="003D1E07">
        <w:t>pořadí obou věd vzhledem k jednotě poznání</w:t>
      </w:r>
      <w:r w:rsidR="00607337" w:rsidRPr="003D1E07">
        <w:t>. M</w:t>
      </w:r>
      <w:r w:rsidR="006A0B0E" w:rsidRPr="003D1E07">
        <w:t xml:space="preserve">etafyzika nehybné substance zakládá poslední </w:t>
      </w:r>
      <w:r w:rsidR="00FD1AF4" w:rsidRPr="003D1E07">
        <w:t xml:space="preserve">hyparchickou </w:t>
      </w:r>
      <w:r w:rsidR="006A0B0E" w:rsidRPr="003D1E07">
        <w:t xml:space="preserve">rovinu zkoumání </w:t>
      </w:r>
      <w:r w:rsidR="08F51979" w:rsidRPr="003D1E07">
        <w:t xml:space="preserve">jednoty </w:t>
      </w:r>
      <w:r w:rsidR="006A0B0E" w:rsidRPr="003D1E07">
        <w:t>jsoucího.</w:t>
      </w:r>
      <w:r w:rsidR="00F936D6" w:rsidRPr="003D1E07">
        <w:rPr>
          <w:rStyle w:val="Znakapoznpodarou"/>
        </w:rPr>
        <w:footnoteReference w:id="217"/>
      </w:r>
      <w:r w:rsidR="006A0B0E" w:rsidRPr="003D1E07">
        <w:t xml:space="preserve"> </w:t>
      </w:r>
      <w:r w:rsidR="08BF6D77" w:rsidRPr="003D1E07">
        <w:rPr>
          <w:szCs w:val="24"/>
        </w:rPr>
        <w:lastRenderedPageBreak/>
        <w:t>Averro</w:t>
      </w:r>
      <w:r w:rsidR="08BF6D77" w:rsidRPr="003D1E07">
        <w:rPr>
          <w:rFonts w:cs="Calibri"/>
          <w:szCs w:val="24"/>
        </w:rPr>
        <w:t>e</w:t>
      </w:r>
      <w:r w:rsidR="08BF6D77" w:rsidRPr="003D1E07">
        <w:rPr>
          <w:szCs w:val="24"/>
        </w:rPr>
        <w:t>s vykládá metafyzické určení substance (</w:t>
      </w:r>
      <w:r w:rsidR="08BF6D77" w:rsidRPr="003D1E07">
        <w:t xml:space="preserve">ὄντος ᾗ ὂν, </w:t>
      </w:r>
      <w:r w:rsidR="00AF7D2C" w:rsidRPr="00AF7D2C">
        <w:t>substance qua substance</w:t>
      </w:r>
      <w:r w:rsidR="08BF6D77" w:rsidRPr="003D1E07">
        <w:rPr>
          <w:i/>
        </w:rPr>
        <w:fldChar w:fldCharType="begin"/>
      </w:r>
      <w:r w:rsidR="08BF6D77" w:rsidRPr="003D1E07">
        <w:instrText xml:space="preserve"> XE "</w:instrText>
      </w:r>
      <w:r w:rsidR="00AF7D2C" w:rsidRPr="00AF7D2C">
        <w:instrText xml:space="preserve">substance </w:instrText>
      </w:r>
      <w:r w:rsidR="00AF7D2C" w:rsidRPr="00AF7D2C">
        <w:rPr>
          <w:i/>
        </w:rPr>
        <w:instrText>qua</w:instrText>
      </w:r>
      <w:r w:rsidR="00AF7D2C" w:rsidRPr="00AF7D2C">
        <w:instrText xml:space="preserve"> substance</w:instrText>
      </w:r>
      <w:r w:rsidR="08BF6D77" w:rsidRPr="003D1E07">
        <w:instrText xml:space="preserve">" </w:instrText>
      </w:r>
      <w:r w:rsidR="08BF6D77" w:rsidRPr="003D1E07">
        <w:rPr>
          <w:i/>
        </w:rPr>
        <w:fldChar w:fldCharType="end"/>
      </w:r>
      <w:r w:rsidR="08BF6D77" w:rsidRPr="003D1E07">
        <w:rPr>
          <w:szCs w:val="24"/>
        </w:rPr>
        <w:t xml:space="preserve">) </w:t>
      </w:r>
      <w:r w:rsidR="00E35F16" w:rsidRPr="003D1E07">
        <w:rPr>
          <w:szCs w:val="24"/>
        </w:rPr>
        <w:t>v</w:t>
      </w:r>
      <w:r w:rsidR="007F37AF" w:rsidRPr="003D1E07">
        <w:rPr>
          <w:szCs w:val="24"/>
        </w:rPr>
        <w:t> </w:t>
      </w:r>
      <w:r w:rsidR="00E35F16" w:rsidRPr="003D1E07">
        <w:rPr>
          <w:szCs w:val="24"/>
        </w:rPr>
        <w:t>aristotelsk</w:t>
      </w:r>
      <w:r w:rsidR="007F37AF" w:rsidRPr="003D1E07">
        <w:rPr>
          <w:szCs w:val="24"/>
        </w:rPr>
        <w:t xml:space="preserve">ém existenciálním modu </w:t>
      </w:r>
      <w:r w:rsidR="00E35F16" w:rsidRPr="003D1E07">
        <w:rPr>
          <w:i/>
          <w:szCs w:val="24"/>
        </w:rPr>
        <w:t>qua</w:t>
      </w:r>
      <w:r w:rsidR="08BF6D77" w:rsidRPr="003D1E07">
        <w:rPr>
          <w:szCs w:val="24"/>
        </w:rPr>
        <w:t xml:space="preserve">, a nikoliv </w:t>
      </w:r>
      <w:r w:rsidR="00E35F16" w:rsidRPr="003D1E07">
        <w:rPr>
          <w:szCs w:val="24"/>
        </w:rPr>
        <w:t>v </w:t>
      </w:r>
      <w:r w:rsidR="08BF6D77" w:rsidRPr="003D1E07">
        <w:rPr>
          <w:szCs w:val="24"/>
        </w:rPr>
        <w:t>neopla</w:t>
      </w:r>
      <w:r w:rsidR="00E35F16" w:rsidRPr="003D1E07">
        <w:rPr>
          <w:szCs w:val="24"/>
        </w:rPr>
        <w:t xml:space="preserve">tonském modu generické </w:t>
      </w:r>
      <w:r w:rsidR="00C97106" w:rsidRPr="003D1E07">
        <w:rPr>
          <w:szCs w:val="24"/>
        </w:rPr>
        <w:t xml:space="preserve">a analogické </w:t>
      </w:r>
      <w:r w:rsidR="00E35F16" w:rsidRPr="003D1E07">
        <w:rPr>
          <w:szCs w:val="24"/>
        </w:rPr>
        <w:t>podobnosti (</w:t>
      </w:r>
      <w:r w:rsidR="00E35F16" w:rsidRPr="003D1E07">
        <w:rPr>
          <w:i/>
          <w:szCs w:val="24"/>
        </w:rPr>
        <w:t>inquantum</w:t>
      </w:r>
      <w:r w:rsidR="00E35F16" w:rsidRPr="003D1E07">
        <w:rPr>
          <w:szCs w:val="24"/>
        </w:rPr>
        <w:t>)</w:t>
      </w:r>
      <w:r w:rsidR="08B90E05" w:rsidRPr="003D1E07">
        <w:rPr>
          <w:szCs w:val="24"/>
        </w:rPr>
        <w:t xml:space="preserve"> jako </w:t>
      </w:r>
      <w:r w:rsidR="00D4533D" w:rsidRPr="003D1E07">
        <w:rPr>
          <w:szCs w:val="24"/>
        </w:rPr>
        <w:t xml:space="preserve">to dělají </w:t>
      </w:r>
      <w:r w:rsidR="08B90E05" w:rsidRPr="003D1E07">
        <w:rPr>
          <w:szCs w:val="24"/>
        </w:rPr>
        <w:t xml:space="preserve">modernisté. </w:t>
      </w:r>
      <w:r w:rsidR="08BF6D77" w:rsidRPr="003D1E07">
        <w:rPr>
          <w:szCs w:val="24"/>
        </w:rPr>
        <w:t>Tautologický o</w:t>
      </w:r>
      <w:r w:rsidR="00104FDA" w:rsidRPr="003D1E07">
        <w:t xml:space="preserve">myl Avicenny </w:t>
      </w:r>
      <w:r w:rsidR="08BF6D77" w:rsidRPr="003D1E07">
        <w:t>(viz citované</w:t>
      </w:r>
      <w:r w:rsidR="006121BE" w:rsidRPr="003D1E07">
        <w:t xml:space="preserve"> ὂν ταύτης</w:t>
      </w:r>
      <w:r w:rsidR="08BF6D77" w:rsidRPr="003D1E07">
        <w:t xml:space="preserve">) </w:t>
      </w:r>
      <w:r w:rsidR="005F6049" w:rsidRPr="003D1E07">
        <w:t xml:space="preserve">byl </w:t>
      </w:r>
      <w:r w:rsidR="00D13C4D" w:rsidRPr="003D1E07">
        <w:t xml:space="preserve">a je </w:t>
      </w:r>
      <w:r w:rsidR="003A2B21" w:rsidRPr="003D1E07">
        <w:t xml:space="preserve">naprosto </w:t>
      </w:r>
      <w:r w:rsidR="00D13C4D" w:rsidRPr="003D1E07">
        <w:t>evidentní</w:t>
      </w:r>
      <w:r w:rsidR="00CF6FEA">
        <w:t xml:space="preserve"> pro kritické aristoteliky</w:t>
      </w:r>
      <w:r w:rsidR="00D13C4D" w:rsidRPr="003D1E07">
        <w:t xml:space="preserve">. </w:t>
      </w:r>
      <w:r w:rsidR="003E6769" w:rsidRPr="003D1E07">
        <w:rPr>
          <w:szCs w:val="24"/>
        </w:rPr>
        <w:t xml:space="preserve">Logická identita substance v modu </w:t>
      </w:r>
      <w:r w:rsidR="003E6769" w:rsidRPr="003D1E07">
        <w:rPr>
          <w:i/>
          <w:szCs w:val="24"/>
        </w:rPr>
        <w:t>inquantum</w:t>
      </w:r>
      <w:r w:rsidR="003E6769" w:rsidRPr="003D1E07">
        <w:rPr>
          <w:szCs w:val="24"/>
        </w:rPr>
        <w:t xml:space="preserve"> není metafyzická ipseita v modu </w:t>
      </w:r>
      <w:r w:rsidR="003E6769" w:rsidRPr="003D1E07">
        <w:rPr>
          <w:i/>
          <w:szCs w:val="24"/>
        </w:rPr>
        <w:t>qua</w:t>
      </w:r>
      <w:r w:rsidR="003E6769" w:rsidRPr="003D1E07">
        <w:rPr>
          <w:szCs w:val="24"/>
        </w:rPr>
        <w:t xml:space="preserve">. </w:t>
      </w:r>
      <w:r w:rsidR="00D13C4D" w:rsidRPr="003D1E07">
        <w:t>Avicenna n</w:t>
      </w:r>
      <w:r w:rsidR="00104FDA" w:rsidRPr="003D1E07">
        <w:t>eprovedl apodiktické zkoumání</w:t>
      </w:r>
      <w:r w:rsidR="00DF7E78" w:rsidRPr="003D1E07">
        <w:fldChar w:fldCharType="begin"/>
      </w:r>
      <w:r w:rsidR="00DF7E78" w:rsidRPr="003D1E07">
        <w:instrText xml:space="preserve"> XE "apodiktické zkoumání" </w:instrText>
      </w:r>
      <w:r w:rsidR="00DF7E78" w:rsidRPr="003D1E07">
        <w:fldChar w:fldCharType="end"/>
      </w:r>
      <w:r w:rsidR="00104FDA" w:rsidRPr="003D1E07">
        <w:t xml:space="preserve"> prvních principů substance jako substance</w:t>
      </w:r>
      <w:r w:rsidR="00D13C4D" w:rsidRPr="003D1E07">
        <w:t>. N</w:t>
      </w:r>
      <w:r w:rsidR="00104FDA" w:rsidRPr="003D1E07">
        <w:t xml:space="preserve">avíc zaměnil formální zkoumání principů </w:t>
      </w:r>
      <w:r w:rsidR="08B90E05" w:rsidRPr="003D1E07">
        <w:t xml:space="preserve">abstraktně pojatého pojmu </w:t>
      </w:r>
      <w:r w:rsidR="00104FDA" w:rsidRPr="003D1E07">
        <w:t>jsoucna</w:t>
      </w:r>
      <w:r w:rsidR="00D13C4D" w:rsidRPr="003D1E07">
        <w:t xml:space="preserve"> za reálnou existenci substance</w:t>
      </w:r>
      <w:r w:rsidR="003E6769">
        <w:t>.</w:t>
      </w:r>
    </w:p>
    <w:p w14:paraId="215F1088" w14:textId="77777777" w:rsidR="00190263" w:rsidRDefault="08BF6D77" w:rsidP="003E6769">
      <w:pPr>
        <w:ind w:firstLine="397"/>
      </w:pPr>
      <w:r w:rsidRPr="003D1E07">
        <w:rPr>
          <w:szCs w:val="24"/>
        </w:rPr>
        <w:t xml:space="preserve">Tento zásadní rozdíl </w:t>
      </w:r>
      <w:r w:rsidR="082D1DD9" w:rsidRPr="003D1E07">
        <w:rPr>
          <w:szCs w:val="24"/>
        </w:rPr>
        <w:t xml:space="preserve">v pojetí </w:t>
      </w:r>
      <w:r w:rsidR="00DF2741" w:rsidRPr="003D1E07">
        <w:rPr>
          <w:szCs w:val="24"/>
        </w:rPr>
        <w:t>p</w:t>
      </w:r>
      <w:r w:rsidR="082D1DD9" w:rsidRPr="003D1E07">
        <w:rPr>
          <w:szCs w:val="24"/>
        </w:rPr>
        <w:t xml:space="preserve">rvní substance </w:t>
      </w:r>
      <w:r w:rsidR="006E1881">
        <w:rPr>
          <w:szCs w:val="24"/>
        </w:rPr>
        <w:t>se týká i definice osoby.</w:t>
      </w:r>
      <w:r w:rsidR="003E6769">
        <w:rPr>
          <w:szCs w:val="24"/>
        </w:rPr>
        <w:t xml:space="preserve"> </w:t>
      </w:r>
      <w:r w:rsidR="00DF2741" w:rsidRPr="003D1E07">
        <w:rPr>
          <w:szCs w:val="24"/>
        </w:rPr>
        <w:t>B</w:t>
      </w:r>
      <w:r w:rsidRPr="003D1E07">
        <w:rPr>
          <w:szCs w:val="24"/>
        </w:rPr>
        <w:t>rila</w:t>
      </w:r>
      <w:r w:rsidR="088662B8" w:rsidRPr="003D1E07">
        <w:rPr>
          <w:szCs w:val="24"/>
        </w:rPr>
        <w:t>n</w:t>
      </w:r>
      <w:r w:rsidRPr="003D1E07">
        <w:rPr>
          <w:szCs w:val="24"/>
        </w:rPr>
        <w:t>tní aristotelik Siger z Braba</w:t>
      </w:r>
      <w:r w:rsidR="088662B8" w:rsidRPr="003D1E07">
        <w:rPr>
          <w:szCs w:val="24"/>
        </w:rPr>
        <w:t xml:space="preserve">ntu </w:t>
      </w:r>
      <w:r w:rsidR="00666F84" w:rsidRPr="003D1E07">
        <w:rPr>
          <w:szCs w:val="24"/>
        </w:rPr>
        <w:t xml:space="preserve">jasně </w:t>
      </w:r>
      <w:r w:rsidR="00DF2741" w:rsidRPr="003D1E07">
        <w:rPr>
          <w:szCs w:val="24"/>
        </w:rPr>
        <w:t>definoval m</w:t>
      </w:r>
      <w:r w:rsidR="084E7D15" w:rsidRPr="003D1E07">
        <w:rPr>
          <w:szCs w:val="24"/>
        </w:rPr>
        <w:t>etafyzickou</w:t>
      </w:r>
      <w:r w:rsidR="00666F84" w:rsidRPr="003D1E07">
        <w:rPr>
          <w:szCs w:val="24"/>
        </w:rPr>
        <w:t xml:space="preserve"> jednotu osoby jako první substance podle p</w:t>
      </w:r>
      <w:r w:rsidR="00DF2741" w:rsidRPr="003D1E07">
        <w:rPr>
          <w:szCs w:val="24"/>
        </w:rPr>
        <w:t>rincip</w:t>
      </w:r>
      <w:r w:rsidR="00666F84" w:rsidRPr="003D1E07">
        <w:rPr>
          <w:szCs w:val="24"/>
        </w:rPr>
        <w:t>u</w:t>
      </w:r>
      <w:r w:rsidR="00DF2741" w:rsidRPr="003D1E07">
        <w:rPr>
          <w:szCs w:val="24"/>
        </w:rPr>
        <w:t xml:space="preserve"> aristotelské metafyzik</w:t>
      </w:r>
      <w:r w:rsidR="00666F84" w:rsidRPr="003D1E07">
        <w:rPr>
          <w:szCs w:val="24"/>
        </w:rPr>
        <w:t>y (OBJ III, kap. 4.4.1)</w:t>
      </w:r>
      <w:r w:rsidR="00DF2741" w:rsidRPr="003D1E07">
        <w:rPr>
          <w:szCs w:val="24"/>
        </w:rPr>
        <w:t xml:space="preserve">. </w:t>
      </w:r>
      <w:r w:rsidR="084E7D15" w:rsidRPr="003D1E07">
        <w:rPr>
          <w:szCs w:val="24"/>
        </w:rPr>
        <w:t xml:space="preserve">Siger </w:t>
      </w:r>
      <w:r w:rsidR="00666F84" w:rsidRPr="003D1E07">
        <w:rPr>
          <w:szCs w:val="24"/>
        </w:rPr>
        <w:t xml:space="preserve">definoval jednotu osoby </w:t>
      </w:r>
      <w:r w:rsidRPr="003D1E07">
        <w:rPr>
          <w:szCs w:val="24"/>
        </w:rPr>
        <w:t xml:space="preserve">proti moderním </w:t>
      </w:r>
      <w:r w:rsidR="0880516A" w:rsidRPr="003D1E07">
        <w:rPr>
          <w:szCs w:val="24"/>
        </w:rPr>
        <w:t xml:space="preserve">avicennistům </w:t>
      </w:r>
      <w:r w:rsidRPr="003D1E07">
        <w:rPr>
          <w:szCs w:val="24"/>
        </w:rPr>
        <w:t>a proti semiaverro</w:t>
      </w:r>
      <w:r w:rsidR="088662B8" w:rsidRPr="003D1E07">
        <w:rPr>
          <w:szCs w:val="24"/>
        </w:rPr>
        <w:t>i</w:t>
      </w:r>
      <w:r w:rsidRPr="003D1E07">
        <w:rPr>
          <w:szCs w:val="24"/>
        </w:rPr>
        <w:t xml:space="preserve">stům </w:t>
      </w:r>
      <w:r w:rsidR="001D260E" w:rsidRPr="003D1E07">
        <w:rPr>
          <w:szCs w:val="24"/>
        </w:rPr>
        <w:t xml:space="preserve">(Albert Veliký, Tomáš Akvinský) v modu </w:t>
      </w:r>
      <w:r w:rsidR="001D260E" w:rsidRPr="003D1E07">
        <w:rPr>
          <w:i/>
          <w:szCs w:val="24"/>
        </w:rPr>
        <w:t>qua</w:t>
      </w:r>
      <w:r w:rsidR="001D260E" w:rsidRPr="003D1E07">
        <w:rPr>
          <w:szCs w:val="24"/>
        </w:rPr>
        <w:t xml:space="preserve"> </w:t>
      </w:r>
      <w:r w:rsidRPr="003D1E07">
        <w:rPr>
          <w:szCs w:val="24"/>
        </w:rPr>
        <w:t>(</w:t>
      </w:r>
      <w:r w:rsidR="088662B8" w:rsidRPr="003D1E07">
        <w:t xml:space="preserve">τῆς τοιαύτης ψυχῆς ἔργον, </w:t>
      </w:r>
      <w:r w:rsidR="088662B8" w:rsidRPr="003D1E07">
        <w:rPr>
          <w:i/>
        </w:rPr>
        <w:t>De generatione animalium</w:t>
      </w:r>
      <w:r w:rsidR="088662B8" w:rsidRPr="003D1E07">
        <w:t xml:space="preserve"> 736b12</w:t>
      </w:r>
      <w:r w:rsidR="088662B8" w:rsidRPr="003D1E07">
        <w:fldChar w:fldCharType="begin"/>
      </w:r>
      <w:r w:rsidR="088662B8" w:rsidRPr="003D1E07">
        <w:instrText xml:space="preserve"> XE "Aristoteles:</w:instrText>
      </w:r>
      <w:r w:rsidR="088662B8" w:rsidRPr="003D1E07">
        <w:rPr>
          <w:i/>
        </w:rPr>
        <w:instrText>De generatione animalium</w:instrText>
      </w:r>
      <w:r w:rsidR="088662B8" w:rsidRPr="003D1E07">
        <w:instrText xml:space="preserve"> 736b12" </w:instrText>
      </w:r>
      <w:r w:rsidR="088662B8" w:rsidRPr="003D1E07">
        <w:fldChar w:fldCharType="end"/>
      </w:r>
      <w:r w:rsidRPr="003D1E07">
        <w:rPr>
          <w:szCs w:val="24"/>
        </w:rPr>
        <w:t xml:space="preserve">). </w:t>
      </w:r>
      <w:r w:rsidR="08F51979" w:rsidRPr="003D1E07">
        <w:t xml:space="preserve">Avicenna a moderní metafyzika uvěřila ve všemocnou sílu </w:t>
      </w:r>
      <w:r w:rsidR="08643184" w:rsidRPr="003D1E07">
        <w:t xml:space="preserve">formální </w:t>
      </w:r>
      <w:r w:rsidR="08F51979" w:rsidRPr="003D1E07">
        <w:t>supozice</w:t>
      </w:r>
      <w:r w:rsidR="00653F03" w:rsidRPr="003D1E07">
        <w:t xml:space="preserve">. Proto </w:t>
      </w:r>
      <w:r w:rsidR="08F51979" w:rsidRPr="003D1E07">
        <w:t xml:space="preserve">mysticky či </w:t>
      </w:r>
      <w:r w:rsidR="00653F03" w:rsidRPr="003D1E07">
        <w:t xml:space="preserve">později objektivně </w:t>
      </w:r>
      <w:r w:rsidR="08F51979" w:rsidRPr="003D1E07">
        <w:t xml:space="preserve">nazírají </w:t>
      </w:r>
      <w:r w:rsidR="00DC6BF9" w:rsidRPr="003D1E07">
        <w:t xml:space="preserve">mytopoetický </w:t>
      </w:r>
      <w:r w:rsidR="08F51979" w:rsidRPr="003D1E07">
        <w:t>c</w:t>
      </w:r>
      <w:r w:rsidR="00653F03" w:rsidRPr="003D1E07">
        <w:t xml:space="preserve">elek </w:t>
      </w:r>
      <w:r w:rsidR="00DC6BF9" w:rsidRPr="003D1E07">
        <w:t>bytí</w:t>
      </w:r>
      <w:r w:rsidR="00653F03" w:rsidRPr="003D1E07">
        <w:t>, místo aby šli</w:t>
      </w:r>
      <w:r w:rsidR="08F51979" w:rsidRPr="003D1E07">
        <w:t xml:space="preserve"> cestou </w:t>
      </w:r>
      <w:r w:rsidR="08643184" w:rsidRPr="003D1E07">
        <w:t xml:space="preserve">metafyzické </w:t>
      </w:r>
      <w:r w:rsidR="08091257" w:rsidRPr="003D1E07">
        <w:t xml:space="preserve">impozice významu od </w:t>
      </w:r>
      <w:r w:rsidR="08F51979" w:rsidRPr="003D1E07">
        <w:t>reáln</w:t>
      </w:r>
      <w:r w:rsidR="08091257" w:rsidRPr="003D1E07">
        <w:t xml:space="preserve">é kauzality </w:t>
      </w:r>
      <w:r w:rsidR="08F51979" w:rsidRPr="003D1E07">
        <w:t xml:space="preserve">první substance. </w:t>
      </w:r>
      <w:r w:rsidR="00FC4A50" w:rsidRPr="003D1E07">
        <w:t xml:space="preserve">Zmatek v impozici </w:t>
      </w:r>
      <w:r w:rsidR="08643184" w:rsidRPr="003D1E07">
        <w:t xml:space="preserve">a supozici </w:t>
      </w:r>
      <w:r w:rsidR="00FC4A50" w:rsidRPr="003D1E07">
        <w:t xml:space="preserve">substance </w:t>
      </w:r>
      <w:r w:rsidR="003C43E6" w:rsidRPr="003D1E07">
        <w:t xml:space="preserve">způsobil </w:t>
      </w:r>
      <w:r w:rsidR="00FC4A50" w:rsidRPr="003D1E07">
        <w:t>destrukci meta</w:t>
      </w:r>
      <w:r w:rsidR="009922A7" w:rsidRPr="003D1E07">
        <w:t>fyziky</w:t>
      </w:r>
      <w:r w:rsidR="00EC1F5F" w:rsidRPr="003D1E07">
        <w:t xml:space="preserve"> u Avicenny</w:t>
      </w:r>
      <w:r w:rsidR="009922A7" w:rsidRPr="003D1E07">
        <w:t>.</w:t>
      </w:r>
      <w:r w:rsidR="00AD271D" w:rsidRPr="003D1E07">
        <w:t xml:space="preserve"> </w:t>
      </w:r>
      <w:r w:rsidR="00A554A8" w:rsidRPr="003D1E07">
        <w:t>T</w:t>
      </w:r>
      <w:r w:rsidR="006669FB">
        <w:t xml:space="preserve">ato </w:t>
      </w:r>
      <w:r w:rsidR="00A554A8" w:rsidRPr="003D1E07">
        <w:t>kritik</w:t>
      </w:r>
      <w:r w:rsidR="006669FB">
        <w:t>a</w:t>
      </w:r>
      <w:r w:rsidR="00A554A8" w:rsidRPr="003D1E07">
        <w:t xml:space="preserve"> je vidět u</w:t>
      </w:r>
      <w:r w:rsidR="006669FB">
        <w:t xml:space="preserve">ž v jeho </w:t>
      </w:r>
      <w:r w:rsidR="00C827B8">
        <w:t xml:space="preserve">stručném </w:t>
      </w:r>
      <w:r w:rsidR="00300252" w:rsidRPr="003D1E07">
        <w:t>komentáři k </w:t>
      </w:r>
      <w:r w:rsidR="00300252" w:rsidRPr="003D1E07">
        <w:rPr>
          <w:i/>
        </w:rPr>
        <w:t>Metafyzice</w:t>
      </w:r>
      <w:r w:rsidR="00300252" w:rsidRPr="003D1E07">
        <w:t xml:space="preserve"> </w:t>
      </w:r>
      <w:r w:rsidR="00104FDA" w:rsidRPr="003D1E07">
        <w:t>psan</w:t>
      </w:r>
      <w:r w:rsidR="00300252" w:rsidRPr="003D1E07">
        <w:t>é</w:t>
      </w:r>
      <w:r w:rsidR="00104FDA" w:rsidRPr="003D1E07">
        <w:t>m kolem 1180</w:t>
      </w:r>
      <w:r w:rsidR="002E49B4" w:rsidRPr="003D1E07">
        <w:t>–</w:t>
      </w:r>
      <w:r w:rsidR="00A554A8" w:rsidRPr="003D1E07">
        <w:t>86</w:t>
      </w:r>
      <w:r w:rsidR="084E7D15" w:rsidRPr="003D1E07">
        <w:t xml:space="preserve">. Odmítnutí současníků jako byl Avicenna je spojeno s kritikou </w:t>
      </w:r>
      <w:r w:rsidR="084E7D15" w:rsidRPr="003D1E07">
        <w:rPr>
          <w:i/>
          <w:szCs w:val="24"/>
        </w:rPr>
        <w:t>tertium ens</w:t>
      </w:r>
      <w:r w:rsidR="08E35360" w:rsidRPr="003D1E07">
        <w:rPr>
          <w:i/>
        </w:rPr>
        <w:fldChar w:fldCharType="begin"/>
      </w:r>
      <w:r w:rsidR="08E35360" w:rsidRPr="003D1E07">
        <w:instrText xml:space="preserve"> XE "</w:instrText>
      </w:r>
      <w:r w:rsidR="08E35360" w:rsidRPr="003D1E07">
        <w:rPr>
          <w:rStyle w:val="Zvraznn"/>
        </w:rPr>
        <w:instrText>tertium ens</w:instrText>
      </w:r>
      <w:r w:rsidR="08E35360" w:rsidRPr="003D1E07">
        <w:rPr>
          <w:rStyle w:val="Zvraznn"/>
          <w:i w:val="0"/>
        </w:rPr>
        <w:instrText>:kritika Averroese</w:instrText>
      </w:r>
      <w:r w:rsidR="08E35360" w:rsidRPr="003D1E07">
        <w:instrText xml:space="preserve">" </w:instrText>
      </w:r>
      <w:r w:rsidR="08E35360" w:rsidRPr="003D1E07">
        <w:rPr>
          <w:i/>
        </w:rPr>
        <w:fldChar w:fldCharType="end"/>
      </w:r>
      <w:r w:rsidR="084E7D15" w:rsidRPr="003D1E07">
        <w:rPr>
          <w:szCs w:val="24"/>
        </w:rPr>
        <w:t xml:space="preserve">. Spor s modernisty se týkal neoplatonského statutu tělesa. </w:t>
      </w:r>
      <w:r w:rsidR="002E3B62" w:rsidRPr="003D1E07">
        <w:t>Averroes</w:t>
      </w:r>
      <w:r w:rsidR="084A775E" w:rsidRPr="003D1E07">
        <w:t xml:space="preserve"> odmítl </w:t>
      </w:r>
      <w:r w:rsidR="00874074" w:rsidRPr="003D1E07">
        <w:t>neoplatonsk</w:t>
      </w:r>
      <w:r w:rsidR="084A775E" w:rsidRPr="003D1E07">
        <w:t>ý primát matematiky stejně jako Al-</w:t>
      </w:r>
      <w:r w:rsidR="008E02F5" w:rsidRPr="003D1E07">
        <w:t>Fárábí</w:t>
      </w:r>
      <w:r w:rsidR="084A775E" w:rsidRPr="003D1E07">
        <w:t xml:space="preserve"> (kap. 2.1.2). Matematika je založena na mentální abstrakci a její předmět je pouhá druhá intence, na rozdíl od samostatně existujících substancí.</w:t>
      </w:r>
      <w:r w:rsidR="084A775E" w:rsidRPr="003D1E07">
        <w:rPr>
          <w:rStyle w:val="Znakapoznpodarou"/>
        </w:rPr>
        <w:footnoteReference w:id="218"/>
      </w:r>
      <w:r w:rsidR="084A775E" w:rsidRPr="003D1E07">
        <w:t xml:space="preserve"> Dílo </w:t>
      </w:r>
      <w:r w:rsidR="00104FDA" w:rsidRPr="003D1E07">
        <w:rPr>
          <w:i/>
        </w:rPr>
        <w:t>Epitome</w:t>
      </w:r>
      <w:r w:rsidR="084A775E" w:rsidRPr="003D1E07">
        <w:rPr>
          <w:i/>
        </w:rPr>
        <w:t xml:space="preserve"> </w:t>
      </w:r>
      <w:r w:rsidR="00104FDA" w:rsidRPr="003D1E07">
        <w:t xml:space="preserve">výslovně odmítá </w:t>
      </w:r>
      <w:r w:rsidR="00E57E7B" w:rsidRPr="003D1E07">
        <w:t>Simplik</w:t>
      </w:r>
      <w:r w:rsidR="00104FDA" w:rsidRPr="003D1E07">
        <w:t>io</w:t>
      </w:r>
      <w:r w:rsidR="009048FA" w:rsidRPr="003D1E07">
        <w:t>vu tezi, že by existovaly</w:t>
      </w:r>
      <w:r w:rsidR="00B51680" w:rsidRPr="003D1E07">
        <w:t xml:space="preserve"> nějaké</w:t>
      </w:r>
      <w:r w:rsidR="00104FDA" w:rsidRPr="003D1E07">
        <w:t xml:space="preserve"> primární </w:t>
      </w:r>
      <w:r w:rsidR="00B51680" w:rsidRPr="003D1E07">
        <w:t xml:space="preserve">kvality jako </w:t>
      </w:r>
      <w:r w:rsidR="00104FDA" w:rsidRPr="003D1E07">
        <w:t xml:space="preserve">rozsažnost a tělesnost </w:t>
      </w:r>
      <w:r w:rsidR="00B51680" w:rsidRPr="003D1E07">
        <w:t>nezávisle na složenině</w:t>
      </w:r>
      <w:r w:rsidR="00104FDA" w:rsidRPr="003D1E07">
        <w:t xml:space="preserve"> formy a látky (</w:t>
      </w:r>
      <w:r w:rsidR="08226779" w:rsidRPr="003D1E07">
        <w:t>kap. 1.3</w:t>
      </w:r>
      <w:r w:rsidR="008E5CD8" w:rsidRPr="003D1E07">
        <w:t>.3</w:t>
      </w:r>
      <w:r w:rsidR="085014C7" w:rsidRPr="003D1E07">
        <w:t xml:space="preserve">). Omyl </w:t>
      </w:r>
      <w:r w:rsidR="00104FDA" w:rsidRPr="003D1E07">
        <w:t>se týk</w:t>
      </w:r>
      <w:r w:rsidR="085014C7" w:rsidRPr="003D1E07">
        <w:t>á</w:t>
      </w:r>
      <w:r w:rsidR="00104FDA" w:rsidRPr="003D1E07">
        <w:t xml:space="preserve"> </w:t>
      </w:r>
      <w:r w:rsidR="00DB32AD" w:rsidRPr="003D1E07">
        <w:t xml:space="preserve">také </w:t>
      </w:r>
      <w:r w:rsidR="00A92518" w:rsidRPr="003D1E07">
        <w:t xml:space="preserve">určení </w:t>
      </w:r>
      <w:r w:rsidR="00104FDA" w:rsidRPr="003D1E07">
        <w:t>primární materie</w:t>
      </w:r>
      <w:r w:rsidR="00D156AF" w:rsidRPr="003D1E07">
        <w:rPr>
          <w:rStyle w:val="addmd"/>
        </w:rPr>
        <w:fldChar w:fldCharType="begin"/>
      </w:r>
      <w:r w:rsidR="00D156AF" w:rsidRPr="003D1E07">
        <w:instrText xml:space="preserve"> XE "</w:instrText>
      </w:r>
      <w:r w:rsidR="00D156AF" w:rsidRPr="003D1E07">
        <w:rPr>
          <w:rStyle w:val="addmd"/>
        </w:rPr>
        <w:instrText>materie:primární</w:instrText>
      </w:r>
      <w:r w:rsidR="00D156AF" w:rsidRPr="003D1E07">
        <w:instrText xml:space="preserve">" </w:instrText>
      </w:r>
      <w:r w:rsidR="00D156AF" w:rsidRPr="003D1E07">
        <w:rPr>
          <w:rStyle w:val="addmd"/>
        </w:rPr>
        <w:fldChar w:fldCharType="end"/>
      </w:r>
      <w:r w:rsidR="000F4EA5" w:rsidRPr="003D1E07">
        <w:t xml:space="preserve">, která dostává </w:t>
      </w:r>
      <w:r w:rsidR="00A92518" w:rsidRPr="003D1E07">
        <w:t xml:space="preserve">aktuální formu </w:t>
      </w:r>
      <w:r w:rsidR="000F4EA5" w:rsidRPr="003D1E07">
        <w:t xml:space="preserve">skrze aritmetické poměry a geometrické </w:t>
      </w:r>
      <w:r w:rsidR="00A92518" w:rsidRPr="003D1E07">
        <w:t>figur</w:t>
      </w:r>
      <w:r w:rsidR="000F4EA5" w:rsidRPr="003D1E07">
        <w:t>y</w:t>
      </w:r>
      <w:r w:rsidR="00A92518" w:rsidRPr="003D1E07">
        <w:t xml:space="preserve">. </w:t>
      </w:r>
      <w:r w:rsidR="08F75798" w:rsidRPr="003D1E07">
        <w:t>P</w:t>
      </w:r>
      <w:r w:rsidR="085014C7" w:rsidRPr="003D1E07">
        <w:t xml:space="preserve">odle výše uvedené </w:t>
      </w:r>
      <w:r w:rsidR="08C32C36" w:rsidRPr="003D1E07">
        <w:t xml:space="preserve">teze </w:t>
      </w:r>
      <w:r w:rsidR="085014C7" w:rsidRPr="003D1E07">
        <w:t xml:space="preserve">Avicenny </w:t>
      </w:r>
      <w:r w:rsidR="088B49CC" w:rsidRPr="003D1E07">
        <w:t>po</w:t>
      </w:r>
      <w:r w:rsidR="08E86A0D" w:rsidRPr="003D1E07">
        <w:t xml:space="preserve">dané </w:t>
      </w:r>
      <w:r w:rsidR="08F75798" w:rsidRPr="003D1E07">
        <w:t xml:space="preserve">v komentáři </w:t>
      </w:r>
      <w:r w:rsidR="08F75798" w:rsidRPr="003D1E07">
        <w:rPr>
          <w:i/>
        </w:rPr>
        <w:t>Tafsír</w:t>
      </w:r>
      <w:r w:rsidR="08F75798" w:rsidRPr="003D1E07">
        <w:t xml:space="preserve"> </w:t>
      </w:r>
      <w:r w:rsidR="08C32C36" w:rsidRPr="003D1E07">
        <w:rPr>
          <w:lang w:eastAsia="en-US"/>
        </w:rPr>
        <w:t xml:space="preserve">existují objektivně-fyzikální </w:t>
      </w:r>
      <w:r w:rsidR="085014C7" w:rsidRPr="003D1E07">
        <w:rPr>
          <w:lang w:eastAsia="en-US"/>
        </w:rPr>
        <w:t xml:space="preserve">vlastnosti </w:t>
      </w:r>
      <w:r w:rsidR="00D958E1">
        <w:rPr>
          <w:lang w:eastAsia="en-US"/>
        </w:rPr>
        <w:t>tělesa v modu jsoucího jako jsoucího</w:t>
      </w:r>
      <w:r w:rsidR="08C32C36" w:rsidRPr="003D1E07">
        <w:rPr>
          <w:lang w:eastAsia="en-US"/>
        </w:rPr>
        <w:t xml:space="preserve">. </w:t>
      </w:r>
      <w:r w:rsidR="08C32C36" w:rsidRPr="003D1E07">
        <w:rPr>
          <w:lang w:eastAsia="en-US"/>
        </w:rPr>
        <w:lastRenderedPageBreak/>
        <w:t xml:space="preserve">Tyto hypostázované vlastnosti pak lze v modu komitace </w:t>
      </w:r>
      <w:r w:rsidR="085014C7" w:rsidRPr="003D1E07">
        <w:rPr>
          <w:lang w:eastAsia="en-US"/>
        </w:rPr>
        <w:t>přičítat každé reálně existující věci (</w:t>
      </w:r>
      <w:r w:rsidR="085014C7" w:rsidRPr="003D1E07">
        <w:rPr>
          <w:i/>
        </w:rPr>
        <w:t>dispositiones additas essentiae rei</w:t>
      </w:r>
      <w:r w:rsidR="08643184" w:rsidRPr="003D1E07">
        <w:rPr>
          <w:i/>
        </w:rPr>
        <w:t xml:space="preserve">, </w:t>
      </w:r>
      <w:r w:rsidR="08643184" w:rsidRPr="003D1E07">
        <w:rPr>
          <w:lang w:eastAsia="en-US"/>
        </w:rPr>
        <w:t>kap. 2.3.2</w:t>
      </w:r>
      <w:r w:rsidR="085014C7" w:rsidRPr="003D1E07">
        <w:rPr>
          <w:lang w:eastAsia="en-US"/>
        </w:rPr>
        <w:t xml:space="preserve">). </w:t>
      </w:r>
      <w:r w:rsidR="002419A7" w:rsidRPr="003D1E07">
        <w:t xml:space="preserve">Předešlá kapitola ukázala, že </w:t>
      </w:r>
      <w:r w:rsidR="005D619D">
        <w:t xml:space="preserve">toto </w:t>
      </w:r>
      <w:r w:rsidR="002419A7" w:rsidRPr="003D1E07">
        <w:t xml:space="preserve">mentální určení </w:t>
      </w:r>
      <w:r w:rsidR="005D619D">
        <w:t xml:space="preserve">jsoucna </w:t>
      </w:r>
      <w:r w:rsidR="002419A7" w:rsidRPr="003D1E07">
        <w:t>stačilo Avicennovi na defi</w:t>
      </w:r>
      <w:r w:rsidR="005D619D">
        <w:t xml:space="preserve">nici minimální porce jsoucnosti, která určuje </w:t>
      </w:r>
      <w:r w:rsidR="005D619D" w:rsidRPr="005D619D">
        <w:t>identitu každé možné substance.</w:t>
      </w:r>
      <w:r w:rsidR="005D619D">
        <w:t xml:space="preserve"> </w:t>
      </w:r>
      <w:r w:rsidR="00104FDA" w:rsidRPr="003D1E07">
        <w:t xml:space="preserve">Avicenna udělal z tělesnosti a </w:t>
      </w:r>
      <w:r w:rsidR="0096163A" w:rsidRPr="003D1E07">
        <w:t xml:space="preserve">z </w:t>
      </w:r>
      <w:r w:rsidR="00104FDA" w:rsidRPr="003D1E07">
        <w:t xml:space="preserve">rozsažnosti zvláštní kvazi-formu, která přímo určuje </w:t>
      </w:r>
      <w:r w:rsidR="00104FDA" w:rsidRPr="003D1E07">
        <w:rPr>
          <w:i/>
        </w:rPr>
        <w:t>materia prima</w:t>
      </w:r>
      <w:r w:rsidR="08D704BF" w:rsidRPr="003D1E07">
        <w:rPr>
          <w:i/>
        </w:rPr>
        <w:fldChar w:fldCharType="begin"/>
      </w:r>
      <w:r w:rsidR="08D704BF" w:rsidRPr="003D1E07">
        <w:instrText xml:space="preserve"> XE "materie</w:instrText>
      </w:r>
      <w:r w:rsidR="08D704BF" w:rsidRPr="003D1E07">
        <w:rPr>
          <w:i/>
        </w:rPr>
        <w:instrText>:materia prima</w:instrText>
      </w:r>
      <w:r w:rsidR="08D704BF" w:rsidRPr="003D1E07">
        <w:instrText xml:space="preserve">" </w:instrText>
      </w:r>
      <w:r w:rsidR="08D704BF" w:rsidRPr="003D1E07">
        <w:rPr>
          <w:i/>
        </w:rPr>
        <w:fldChar w:fldCharType="end"/>
      </w:r>
      <w:r w:rsidR="00A740F6" w:rsidRPr="003D1E07">
        <w:t>.</w:t>
      </w:r>
      <w:r w:rsidR="00A92518" w:rsidRPr="003D1E07">
        <w:t xml:space="preserve"> </w:t>
      </w:r>
      <w:r w:rsidR="08B61BA4" w:rsidRPr="003D1E07">
        <w:t xml:space="preserve">Toto určení </w:t>
      </w:r>
      <w:r w:rsidR="08B61BA4" w:rsidRPr="003D1E07">
        <w:rPr>
          <w:i/>
        </w:rPr>
        <w:t>materia prima</w:t>
      </w:r>
      <w:r w:rsidR="08B61BA4" w:rsidRPr="003D1E07">
        <w:t xml:space="preserve"> skrze formální princip </w:t>
      </w:r>
      <w:r w:rsidR="08B61BA4" w:rsidRPr="003D1E07">
        <w:rPr>
          <w:rStyle w:val="addmd"/>
        </w:rPr>
        <w:t>„Omezené‒Neomezené</w:t>
      </w:r>
      <w:r w:rsidR="00640BE5" w:rsidRPr="003D1E07">
        <w:rPr>
          <w:rStyle w:val="addmd"/>
        </w:rPr>
        <w:fldChar w:fldCharType="begin"/>
      </w:r>
      <w:r w:rsidR="00640BE5" w:rsidRPr="003D1E07">
        <w:instrText xml:space="preserve"> XE "</w:instrText>
      </w:r>
      <w:r w:rsidR="00640BE5" w:rsidRPr="003D1E07">
        <w:rPr>
          <w:rStyle w:val="addmd"/>
        </w:rPr>
        <w:instrText>Omezené‒Neomezené</w:instrText>
      </w:r>
      <w:r w:rsidR="00640BE5" w:rsidRPr="003D1E07">
        <w:instrText xml:space="preserve">" </w:instrText>
      </w:r>
      <w:r w:rsidR="00640BE5" w:rsidRPr="003D1E07">
        <w:rPr>
          <w:rStyle w:val="addmd"/>
        </w:rPr>
        <w:fldChar w:fldCharType="end"/>
      </w:r>
      <w:r w:rsidR="08B61BA4" w:rsidRPr="003D1E07">
        <w:rPr>
          <w:rStyle w:val="addmd"/>
        </w:rPr>
        <w:t>“ se poprv</w:t>
      </w:r>
      <w:r w:rsidR="08226779" w:rsidRPr="003D1E07">
        <w:rPr>
          <w:rStyle w:val="addmd"/>
        </w:rPr>
        <w:t>é objevuje u Jamblicha (kap. 1.3</w:t>
      </w:r>
      <w:r w:rsidR="08B61BA4" w:rsidRPr="003D1E07">
        <w:rPr>
          <w:rStyle w:val="addmd"/>
        </w:rPr>
        <w:t xml:space="preserve">.1). </w:t>
      </w:r>
      <w:r w:rsidR="002E3B62" w:rsidRPr="003D1E07">
        <w:t>Averroes</w:t>
      </w:r>
      <w:r w:rsidR="006020A1" w:rsidRPr="003D1E07">
        <w:t xml:space="preserve"> bere za svou kritiku neoplatoniků </w:t>
      </w:r>
      <w:r w:rsidR="00D770C5" w:rsidRPr="003D1E07">
        <w:t xml:space="preserve">podle </w:t>
      </w:r>
      <w:r w:rsidR="00FC3311" w:rsidRPr="003D1E07">
        <w:t xml:space="preserve">aristotelika </w:t>
      </w:r>
      <w:r w:rsidR="006020A1" w:rsidRPr="003D1E07">
        <w:t>Alexandra</w:t>
      </w:r>
      <w:r w:rsidR="00955903" w:rsidRPr="003D1E07">
        <w:fldChar w:fldCharType="begin"/>
      </w:r>
      <w:r w:rsidR="00955903" w:rsidRPr="003D1E07">
        <w:instrText xml:space="preserve"> XE "Alexander Afrodisias" </w:instrText>
      </w:r>
      <w:r w:rsidR="00955903" w:rsidRPr="003D1E07">
        <w:fldChar w:fldCharType="end"/>
      </w:r>
      <w:r w:rsidR="006020A1" w:rsidRPr="003D1E07">
        <w:t xml:space="preserve"> Afrodisia, který váže jakoukoliv aktuální mater</w:t>
      </w:r>
      <w:r w:rsidR="003F5F2B" w:rsidRPr="003D1E07">
        <w:t xml:space="preserve">ii </w:t>
      </w:r>
      <w:r w:rsidR="006020A1" w:rsidRPr="003D1E07">
        <w:t xml:space="preserve">jedině na existující těleso. </w:t>
      </w:r>
      <w:r w:rsidR="006F7530" w:rsidRPr="003D1E07">
        <w:t xml:space="preserve">Spis </w:t>
      </w:r>
      <w:r w:rsidR="006F7530" w:rsidRPr="003D1E07">
        <w:rPr>
          <w:i/>
        </w:rPr>
        <w:t>Epitom</w:t>
      </w:r>
      <w:r w:rsidR="00F5739C" w:rsidRPr="003D1E07">
        <w:rPr>
          <w:i/>
        </w:rPr>
        <w:t>e</w:t>
      </w:r>
      <w:r w:rsidR="006F7530" w:rsidRPr="003D1E07">
        <w:t xml:space="preserve"> </w:t>
      </w:r>
      <w:r w:rsidR="08961751" w:rsidRPr="003D1E07">
        <w:t xml:space="preserve">považuje </w:t>
      </w:r>
      <w:r w:rsidR="00BB45B1" w:rsidRPr="003D1E07">
        <w:t>Porfyri</w:t>
      </w:r>
      <w:r w:rsidR="00B9494A" w:rsidRPr="003D1E07">
        <w:t xml:space="preserve">a za </w:t>
      </w:r>
      <w:r w:rsidR="008C0D48" w:rsidRPr="003D1E07">
        <w:t xml:space="preserve">pravdivého </w:t>
      </w:r>
      <w:r w:rsidR="00B9494A" w:rsidRPr="003D1E07">
        <w:t xml:space="preserve">vykladače </w:t>
      </w:r>
      <w:r w:rsidR="00B20AFD" w:rsidRPr="003D1E07">
        <w:t xml:space="preserve">druhé </w:t>
      </w:r>
      <w:r w:rsidR="00D370B8" w:rsidRPr="003D1E07">
        <w:t>substance</w:t>
      </w:r>
      <w:r w:rsidR="004109F3" w:rsidRPr="003D1E07">
        <w:t xml:space="preserve"> v </w:t>
      </w:r>
      <w:r w:rsidR="00B9494A" w:rsidRPr="003D1E07">
        <w:t>univerzálním</w:t>
      </w:r>
      <w:r w:rsidR="00B20AFD" w:rsidRPr="003D1E07">
        <w:t xml:space="preserve"> </w:t>
      </w:r>
      <w:r w:rsidR="004109F3" w:rsidRPr="003D1E07">
        <w:t>modu</w:t>
      </w:r>
      <w:r w:rsidR="00B9494A" w:rsidRPr="003D1E07">
        <w:t xml:space="preserve"> podle </w:t>
      </w:r>
      <w:r w:rsidR="003B59E9" w:rsidRPr="003D1E07">
        <w:t xml:space="preserve">hyparchické predikace </w:t>
      </w:r>
      <w:r w:rsidR="00B9494A" w:rsidRPr="003D1E07">
        <w:rPr>
          <w:i/>
        </w:rPr>
        <w:t>Cat</w:t>
      </w:r>
      <w:r w:rsidR="00B9494A" w:rsidRPr="003D1E07">
        <w:t>. 2a14–15</w:t>
      </w:r>
      <w:r w:rsidR="00D156AF" w:rsidRPr="003D1E07">
        <w:rPr>
          <w:lang w:eastAsia="en-US"/>
        </w:rPr>
        <w:fldChar w:fldCharType="begin"/>
      </w:r>
      <w:r w:rsidR="00D156AF" w:rsidRPr="003D1E07">
        <w:instrText xml:space="preserve"> XE "</w:instrText>
      </w:r>
      <w:r w:rsidR="008E02F5" w:rsidRPr="003D1E07">
        <w:instrText>Aristoteles</w:instrText>
      </w:r>
      <w:r w:rsidR="00D156AF" w:rsidRPr="003D1E07">
        <w:instrText>:</w:instrText>
      </w:r>
      <w:r w:rsidR="00D156AF" w:rsidRPr="003D1E07">
        <w:rPr>
          <w:i/>
          <w:lang w:eastAsia="en-US"/>
        </w:rPr>
        <w:instrText>Cat</w:instrText>
      </w:r>
      <w:r w:rsidR="00D156AF" w:rsidRPr="003D1E07">
        <w:rPr>
          <w:lang w:eastAsia="en-US"/>
        </w:rPr>
        <w:instrText xml:space="preserve">. </w:instrText>
      </w:r>
      <w:r w:rsidR="00D156AF" w:rsidRPr="003D1E07">
        <w:instrText xml:space="preserve">2a14–15" </w:instrText>
      </w:r>
      <w:r w:rsidR="00D156AF" w:rsidRPr="003D1E07">
        <w:rPr>
          <w:lang w:eastAsia="en-US"/>
        </w:rPr>
        <w:fldChar w:fldCharType="end"/>
      </w:r>
      <w:r w:rsidR="00B9494A" w:rsidRPr="003D1E07">
        <w:t xml:space="preserve"> (πρώτως οὐσίαι λεγόμεναι ὑπάρχουσιν, kap. 1.</w:t>
      </w:r>
      <w:r w:rsidR="08226779" w:rsidRPr="003D1E07">
        <w:t>3</w:t>
      </w:r>
      <w:r w:rsidR="00B9494A" w:rsidRPr="003D1E07">
        <w:t>)</w:t>
      </w:r>
      <w:r w:rsidR="00B20AFD" w:rsidRPr="003D1E07">
        <w:t xml:space="preserve">. </w:t>
      </w:r>
      <w:r w:rsidR="00AF399E" w:rsidRPr="003D1E07">
        <w:t>V</w:t>
      </w:r>
      <w:r w:rsidR="00B9494A" w:rsidRPr="003D1E07">
        <w:t xml:space="preserve">ýklad </w:t>
      </w:r>
      <w:r w:rsidR="00B9494A" w:rsidRPr="003D1E07">
        <w:rPr>
          <w:i/>
        </w:rPr>
        <w:t>Kategorií</w:t>
      </w:r>
      <w:r w:rsidR="00B9494A" w:rsidRPr="003D1E07">
        <w:t xml:space="preserve"> </w:t>
      </w:r>
      <w:r w:rsidR="00156487">
        <w:t>podle Porfýria</w:t>
      </w:r>
      <w:r w:rsidR="00AF399E" w:rsidRPr="003D1E07">
        <w:t xml:space="preserve"> se proto </w:t>
      </w:r>
      <w:r w:rsidR="00B9494A" w:rsidRPr="003D1E07">
        <w:t xml:space="preserve">odlišuje </w:t>
      </w:r>
      <w:r w:rsidR="08B413B8" w:rsidRPr="003D1E07">
        <w:t xml:space="preserve">od pozdějšího vývoje </w:t>
      </w:r>
      <w:r w:rsidR="00874074" w:rsidRPr="003D1E07">
        <w:t>neoplatonsk</w:t>
      </w:r>
      <w:r w:rsidR="08BC5D05" w:rsidRPr="003D1E07">
        <w:t xml:space="preserve">ých vykladačů </w:t>
      </w:r>
      <w:r w:rsidR="00AF399E" w:rsidRPr="003D1E07">
        <w:t xml:space="preserve">založeném na </w:t>
      </w:r>
      <w:r w:rsidR="004A2AFC" w:rsidRPr="003D1E07">
        <w:t xml:space="preserve">metafyzice </w:t>
      </w:r>
      <w:r w:rsidR="08B413B8" w:rsidRPr="003D1E07">
        <w:rPr>
          <w:i/>
        </w:rPr>
        <w:t>tertium ens</w:t>
      </w:r>
      <w:r w:rsidR="001C3D3B" w:rsidRPr="003D1E07">
        <w:t>.</w:t>
      </w:r>
      <w:r w:rsidR="08331AC0" w:rsidRPr="003D1E07">
        <w:rPr>
          <w:rStyle w:val="Znakapoznpodarou"/>
        </w:rPr>
        <w:footnoteReference w:id="219"/>
      </w:r>
      <w:r w:rsidR="005B1AD4" w:rsidRPr="003D1E07">
        <w:t xml:space="preserve"> </w:t>
      </w:r>
      <w:r w:rsidR="006F7530" w:rsidRPr="003D1E07">
        <w:t>Citovaná pasáž</w:t>
      </w:r>
      <w:r w:rsidR="086200ED" w:rsidRPr="003D1E07">
        <w:t xml:space="preserve"> kritizuje Avicennovu definici tělesa </w:t>
      </w:r>
      <w:r w:rsidR="081B0F2D" w:rsidRPr="003D1E07">
        <w:t>založenou</w:t>
      </w:r>
      <w:r w:rsidR="086200ED" w:rsidRPr="003D1E07">
        <w:t xml:space="preserve"> pouze formálně, </w:t>
      </w:r>
      <w:r w:rsidR="089A26A2" w:rsidRPr="003D1E07">
        <w:t xml:space="preserve">tedy </w:t>
      </w:r>
      <w:r w:rsidR="086200ED" w:rsidRPr="003D1E07">
        <w:t xml:space="preserve">bez ohledu na existenci aktuálního materiálního tělesa. </w:t>
      </w:r>
      <w:r w:rsidR="005879EB" w:rsidRPr="003D1E07">
        <w:t xml:space="preserve">Pro </w:t>
      </w:r>
      <w:r w:rsidR="002E3B62" w:rsidRPr="003D1E07">
        <w:t>Averroes</w:t>
      </w:r>
      <w:r w:rsidR="005879EB" w:rsidRPr="003D1E07">
        <w:t xml:space="preserve">e jsou </w:t>
      </w:r>
      <w:r w:rsidR="002A0749" w:rsidRPr="003D1E07">
        <w:t xml:space="preserve">podobné definice </w:t>
      </w:r>
      <w:r w:rsidR="005879EB" w:rsidRPr="003D1E07">
        <w:t>pouhou dia</w:t>
      </w:r>
      <w:r w:rsidR="08AE0704" w:rsidRPr="003D1E07">
        <w:t>lektickou hru se slovy na úrovni</w:t>
      </w:r>
      <w:r w:rsidR="005879EB" w:rsidRPr="003D1E07">
        <w:t xml:space="preserve"> paronymie</w:t>
      </w:r>
      <w:r w:rsidR="00BD7F8D" w:rsidRPr="003D1E07">
        <w:t xml:space="preserve">. To </w:t>
      </w:r>
      <w:r w:rsidR="005879EB" w:rsidRPr="003D1E07">
        <w:t xml:space="preserve">odpovídá Aristotelovu </w:t>
      </w:r>
      <w:r w:rsidR="00BD7F8D" w:rsidRPr="003D1E07">
        <w:t>pojetí univerzálií postavených</w:t>
      </w:r>
      <w:r w:rsidR="005879EB" w:rsidRPr="003D1E07">
        <w:t xml:space="preserve"> mimo </w:t>
      </w:r>
      <w:r w:rsidR="002A0749" w:rsidRPr="003D1E07">
        <w:t>kategoriální predikaci</w:t>
      </w:r>
      <w:r w:rsidR="005879EB" w:rsidRPr="003D1E07">
        <w:t xml:space="preserve">. Citovali jsme úvodní pasáž </w:t>
      </w:r>
      <w:r w:rsidR="005879EB" w:rsidRPr="003D1E07">
        <w:rPr>
          <w:i/>
        </w:rPr>
        <w:t>Kategorií</w:t>
      </w:r>
      <w:r w:rsidR="005879EB" w:rsidRPr="003D1E07">
        <w:t>, která chápe bělobu člověka a koně pouze jako nominální rozdíl mezi slovy, který neumožňuje kvůli odlišné substanci žádnou společnou predikaci (</w:t>
      </w:r>
      <w:r w:rsidR="005879EB" w:rsidRPr="003D1E07">
        <w:rPr>
          <w:i/>
        </w:rPr>
        <w:t>Cat</w:t>
      </w:r>
      <w:r w:rsidR="005879EB" w:rsidRPr="003D1E07">
        <w:t>. 1a1</w:t>
      </w:r>
      <w:r w:rsidR="009024AC" w:rsidRPr="003D1E07">
        <w:t>2</w:t>
      </w:r>
      <w:r w:rsidR="00886CA8" w:rsidRPr="003D1E07">
        <w:rPr>
          <w:lang w:eastAsia="en-US"/>
        </w:rPr>
        <w:fldChar w:fldCharType="begin"/>
      </w:r>
      <w:r w:rsidR="00886CA8" w:rsidRPr="003D1E07">
        <w:instrText xml:space="preserve"> XE "</w:instrText>
      </w:r>
      <w:r w:rsidR="008E02F5" w:rsidRPr="003D1E07">
        <w:instrText>Aristoteles</w:instrText>
      </w:r>
      <w:r w:rsidR="00886CA8" w:rsidRPr="003D1E07">
        <w:instrText>:</w:instrText>
      </w:r>
      <w:r w:rsidR="00886CA8" w:rsidRPr="003D1E07">
        <w:rPr>
          <w:i/>
        </w:rPr>
        <w:instrText>Cat</w:instrText>
      </w:r>
      <w:r w:rsidR="009024AC" w:rsidRPr="003D1E07">
        <w:instrText>. 1a12</w:instrText>
      </w:r>
      <w:r w:rsidR="00886CA8" w:rsidRPr="003D1E07">
        <w:instrText xml:space="preserve">" </w:instrText>
      </w:r>
      <w:r w:rsidR="00886CA8" w:rsidRPr="003D1E07">
        <w:rPr>
          <w:lang w:eastAsia="en-US"/>
        </w:rPr>
        <w:fldChar w:fldCharType="end"/>
      </w:r>
      <w:r w:rsidR="005879EB" w:rsidRPr="003D1E07">
        <w:t>).</w:t>
      </w:r>
      <w:r w:rsidR="005051D9" w:rsidRPr="003D1E07">
        <w:t xml:space="preserve"> </w:t>
      </w:r>
      <w:r w:rsidR="002E3B62" w:rsidRPr="003D1E07">
        <w:t>Averroes</w:t>
      </w:r>
      <w:r w:rsidR="00B620EC" w:rsidRPr="003D1E07">
        <w:t xml:space="preserve"> četl spis </w:t>
      </w:r>
      <w:r w:rsidR="00B620EC" w:rsidRPr="003D1E07">
        <w:rPr>
          <w:i/>
        </w:rPr>
        <w:t>Kategorie</w:t>
      </w:r>
      <w:r w:rsidR="00B620EC" w:rsidRPr="003D1E07">
        <w:t xml:space="preserve"> aristotelsky</w:t>
      </w:r>
      <w:r w:rsidR="00FE4205" w:rsidRPr="003D1E07">
        <w:t>,</w:t>
      </w:r>
      <w:r w:rsidR="00B620EC" w:rsidRPr="003D1E07">
        <w:t xml:space="preserve"> nikoliv </w:t>
      </w:r>
      <w:r w:rsidR="00874074" w:rsidRPr="003D1E07">
        <w:t>neoplatonsk</w:t>
      </w:r>
      <w:r w:rsidR="00625DCA" w:rsidRPr="003D1E07">
        <w:t>y</w:t>
      </w:r>
      <w:r w:rsidR="000062E3" w:rsidRPr="003D1E07">
        <w:t xml:space="preserve"> nebo moderně</w:t>
      </w:r>
      <w:r w:rsidR="00625DCA" w:rsidRPr="003D1E07">
        <w:t>. Tvrdí, že b</w:t>
      </w:r>
      <w:r w:rsidR="00E32C9D" w:rsidRPr="003D1E07">
        <w:t xml:space="preserve">ez reálné substance není možná </w:t>
      </w:r>
      <w:r w:rsidR="00A663F6" w:rsidRPr="003D1E07">
        <w:t xml:space="preserve">kategoriální </w:t>
      </w:r>
      <w:r w:rsidR="00E32C9D" w:rsidRPr="003D1E07">
        <w:t>predikace</w:t>
      </w:r>
      <w:r w:rsidR="0087512C" w:rsidRPr="003D1E07">
        <w:t xml:space="preserve"> substance jako tělesa</w:t>
      </w:r>
      <w:r w:rsidR="00E32C9D" w:rsidRPr="003D1E07">
        <w:t>.</w:t>
      </w:r>
      <w:r w:rsidR="08B61BA4" w:rsidRPr="003D1E07">
        <w:t xml:space="preserve"> </w:t>
      </w:r>
      <w:r w:rsidR="007B772A" w:rsidRPr="003D1E07">
        <w:t>Neoplaton</w:t>
      </w:r>
      <w:r w:rsidR="00A663F6" w:rsidRPr="003D1E07">
        <w:t>ské těleso</w:t>
      </w:r>
      <w:r w:rsidR="082019BF" w:rsidRPr="003D1E07">
        <w:t xml:space="preserve"> </w:t>
      </w:r>
      <w:r w:rsidR="00A663F6" w:rsidRPr="003D1E07">
        <w:t xml:space="preserve">jako </w:t>
      </w:r>
      <w:r w:rsidR="08952797" w:rsidRPr="003D1E07">
        <w:t>Simplikiov</w:t>
      </w:r>
      <w:r w:rsidR="00A663F6" w:rsidRPr="003D1E07">
        <w:t>o</w:t>
      </w:r>
      <w:r w:rsidR="08952797" w:rsidRPr="003D1E07">
        <w:t xml:space="preserve"> </w:t>
      </w:r>
      <w:r w:rsidR="007B772A" w:rsidRPr="003D1E07">
        <w:rPr>
          <w:i/>
        </w:rPr>
        <w:t>tertium ens</w:t>
      </w:r>
      <w:r w:rsidR="007B772A" w:rsidRPr="003D1E07">
        <w:t xml:space="preserve"> je podle </w:t>
      </w:r>
      <w:r w:rsidR="002E3B62" w:rsidRPr="003D1E07">
        <w:t>Averroes</w:t>
      </w:r>
      <w:r w:rsidR="007B772A" w:rsidRPr="003D1E07">
        <w:t xml:space="preserve">e velký omyl. </w:t>
      </w:r>
      <w:r w:rsidR="00A46E21" w:rsidRPr="003D1E07">
        <w:t xml:space="preserve">Následující citace </w:t>
      </w:r>
      <w:r w:rsidR="00566297">
        <w:t xml:space="preserve">z krátkého </w:t>
      </w:r>
      <w:r w:rsidR="081F1DA1" w:rsidRPr="003D1E07">
        <w:t xml:space="preserve">komentáře k </w:t>
      </w:r>
      <w:r w:rsidR="081F1DA1" w:rsidRPr="003D1E07">
        <w:rPr>
          <w:i/>
        </w:rPr>
        <w:t>Metafyzice</w:t>
      </w:r>
      <w:r w:rsidR="081F1DA1" w:rsidRPr="003D1E07">
        <w:t xml:space="preserve"> kriticky </w:t>
      </w:r>
      <w:r w:rsidR="00A46E21" w:rsidRPr="003D1E07">
        <w:t xml:space="preserve">shrnuje </w:t>
      </w:r>
      <w:r w:rsidR="081F1DA1" w:rsidRPr="003D1E07">
        <w:t xml:space="preserve">již podaný </w:t>
      </w:r>
      <w:r w:rsidR="00A46E21" w:rsidRPr="003D1E07">
        <w:t>vývoj k abstraktnímu pojetí tělesa u Dexippa</w:t>
      </w:r>
      <w:r w:rsidR="08472372" w:rsidRPr="003D1E07">
        <w:t xml:space="preserve">, Filopona a </w:t>
      </w:r>
      <w:r w:rsidR="00A46E21" w:rsidRPr="003D1E07">
        <w:t>Simpliki</w:t>
      </w:r>
      <w:r w:rsidR="08472372" w:rsidRPr="003D1E07">
        <w:t>a</w:t>
      </w:r>
      <w:r w:rsidR="00A46E21" w:rsidRPr="003D1E07">
        <w:t xml:space="preserve">. Tyto </w:t>
      </w:r>
      <w:r w:rsidR="0871745C" w:rsidRPr="003D1E07">
        <w:t xml:space="preserve">antické neoplatoniky </w:t>
      </w:r>
      <w:r w:rsidR="002E3B62" w:rsidRPr="003D1E07">
        <w:t>Averroes</w:t>
      </w:r>
      <w:r w:rsidR="00A46E21" w:rsidRPr="003D1E07">
        <w:t xml:space="preserve"> přímo nejmenuje, ale výslovně </w:t>
      </w:r>
      <w:r w:rsidR="08D712F1" w:rsidRPr="003D1E07">
        <w:t xml:space="preserve">k nim </w:t>
      </w:r>
      <w:r w:rsidR="00A46E21" w:rsidRPr="003D1E07">
        <w:t>přidává Avicennu.</w:t>
      </w:r>
      <w:r w:rsidR="00A46E21" w:rsidRPr="003D1E07">
        <w:rPr>
          <w:rStyle w:val="Znakapoznpodarou"/>
        </w:rPr>
        <w:footnoteReference w:id="220"/>
      </w:r>
      <w:r w:rsidR="00A46E21" w:rsidRPr="003D1E07">
        <w:rPr>
          <w:lang w:eastAsia="en-US"/>
        </w:rPr>
        <w:t xml:space="preserve"> </w:t>
      </w:r>
      <w:r w:rsidR="007864E7" w:rsidRPr="003D1E07">
        <w:t xml:space="preserve">Potvrzení této </w:t>
      </w:r>
      <w:r w:rsidR="00CF52D1" w:rsidRPr="003D1E07">
        <w:t xml:space="preserve">kritiky </w:t>
      </w:r>
      <w:r w:rsidR="007864E7" w:rsidRPr="003D1E07">
        <w:t xml:space="preserve">obsahuje </w:t>
      </w:r>
      <w:r w:rsidR="002E3B62" w:rsidRPr="003D1E07">
        <w:t>Averroes</w:t>
      </w:r>
      <w:r w:rsidR="087E11B5" w:rsidRPr="003D1E07">
        <w:t xml:space="preserve">ův </w:t>
      </w:r>
      <w:r w:rsidR="007864E7" w:rsidRPr="003D1E07">
        <w:t xml:space="preserve">spis </w:t>
      </w:r>
      <w:r w:rsidR="00B15379" w:rsidRPr="003D1E07">
        <w:rPr>
          <w:i/>
        </w:rPr>
        <w:t>De substantia o</w:t>
      </w:r>
      <w:r w:rsidR="007864E7" w:rsidRPr="003D1E07">
        <w:rPr>
          <w:i/>
        </w:rPr>
        <w:t>rbis</w:t>
      </w:r>
      <w:r w:rsidR="007864E7" w:rsidRPr="003D1E07">
        <w:t>, k</w:t>
      </w:r>
      <w:r w:rsidR="00B15379" w:rsidRPr="003D1E07">
        <w:t xml:space="preserve">terý rozlišuje mezi </w:t>
      </w:r>
      <w:r w:rsidR="007864E7" w:rsidRPr="003D1E07">
        <w:t xml:space="preserve">abstrakcí </w:t>
      </w:r>
      <w:r w:rsidR="00767EAB" w:rsidRPr="003D1E07">
        <w:t>neo</w:t>
      </w:r>
      <w:r w:rsidR="00054089" w:rsidRPr="003D1E07">
        <w:t>p</w:t>
      </w:r>
      <w:r w:rsidR="00767EAB" w:rsidRPr="003D1E07">
        <w:t xml:space="preserve">latoniků </w:t>
      </w:r>
      <w:r w:rsidR="007864E7" w:rsidRPr="003D1E07">
        <w:t xml:space="preserve">a </w:t>
      </w:r>
      <w:r w:rsidR="00B15379" w:rsidRPr="003D1E07">
        <w:t xml:space="preserve">mezi </w:t>
      </w:r>
      <w:r w:rsidR="007864E7" w:rsidRPr="003D1E07">
        <w:t xml:space="preserve">skutečnou vědou podle </w:t>
      </w:r>
      <w:r w:rsidR="007864E7" w:rsidRPr="003D1E07">
        <w:rPr>
          <w:i/>
        </w:rPr>
        <w:t>Druhých analytik</w:t>
      </w:r>
      <w:r w:rsidR="007864E7" w:rsidRPr="003D1E07">
        <w:t xml:space="preserve"> </w:t>
      </w:r>
      <w:r w:rsidR="007864E7" w:rsidRPr="003D1E07">
        <w:lastRenderedPageBreak/>
        <w:t>založenou na kauzalitě prvních substancí existující</w:t>
      </w:r>
      <w:r w:rsidR="00B15379" w:rsidRPr="003D1E07">
        <w:t>ch v realitě</w:t>
      </w:r>
      <w:r w:rsidR="007864E7" w:rsidRPr="003D1E07">
        <w:t>.</w:t>
      </w:r>
      <w:r w:rsidR="08BF6A62" w:rsidRPr="003D1E07">
        <w:t xml:space="preserve"> Matematická určení patří do logické formy abstrakce dané </w:t>
      </w:r>
      <w:r w:rsidR="08BF6A62" w:rsidRPr="003D1E07">
        <w:rPr>
          <w:i/>
        </w:rPr>
        <w:t>per posterius</w:t>
      </w:r>
      <w:r w:rsidR="08BF6A62" w:rsidRPr="003D1E07">
        <w:t xml:space="preserve"> a v identitním modu </w:t>
      </w:r>
      <w:r w:rsidR="08BF6A62" w:rsidRPr="003D1E07">
        <w:rPr>
          <w:i/>
        </w:rPr>
        <w:t>inquantum</w:t>
      </w:r>
      <w:r w:rsidR="08BF6A62" w:rsidRPr="003D1E07">
        <w:t>. Proto je tato forma abstrakce oddělena od působení reálné substance</w:t>
      </w:r>
      <w:r w:rsidR="00833520">
        <w:t xml:space="preserve"> v modu </w:t>
      </w:r>
      <w:r w:rsidR="00833520" w:rsidRPr="00833520">
        <w:rPr>
          <w:i/>
        </w:rPr>
        <w:t>qua</w:t>
      </w:r>
      <w:r w:rsidR="08BF6A62" w:rsidRPr="003D1E07">
        <w:t xml:space="preserve">. Metafyzická abstrakce první vědy </w:t>
      </w:r>
      <w:r w:rsidR="00D9284C" w:rsidRPr="003D1E07">
        <w:t xml:space="preserve">sleduje a působení </w:t>
      </w:r>
      <w:r w:rsidR="08BF6A62" w:rsidRPr="003D1E07">
        <w:t>reálně existující substance</w:t>
      </w:r>
      <w:r w:rsidR="000235B1">
        <w:t xml:space="preserve"> </w:t>
      </w:r>
      <w:r w:rsidR="000235B1">
        <w:rPr>
          <w:noProof w:val="0"/>
          <w:lang w:val="fr-FR" w:eastAsia="en-US"/>
        </w:rPr>
        <w:t>(</w:t>
      </w:r>
      <w:r w:rsidR="000235B1" w:rsidRPr="00102DCF">
        <w:rPr>
          <w:i/>
          <w:noProof w:val="0"/>
          <w:lang w:val="fr-FR" w:eastAsia="en-US"/>
        </w:rPr>
        <w:t>actus essendi</w:t>
      </w:r>
      <w:r w:rsidR="000235B1">
        <w:rPr>
          <w:i/>
          <w:noProof w:val="0"/>
          <w:lang w:val="fr-FR" w:eastAsia="en-US"/>
        </w:rPr>
        <w:fldChar w:fldCharType="begin"/>
      </w:r>
      <w:r w:rsidR="000235B1">
        <w:instrText xml:space="preserve"> XE "</w:instrText>
      </w:r>
      <w:r w:rsidR="000235B1" w:rsidRPr="00BB3ECE">
        <w:rPr>
          <w:i/>
          <w:noProof w:val="0"/>
          <w:lang w:val="fr-FR" w:eastAsia="en-US"/>
        </w:rPr>
        <w:instrText>actus essendi</w:instrText>
      </w:r>
      <w:r w:rsidR="000235B1">
        <w:instrText xml:space="preserve">" </w:instrText>
      </w:r>
      <w:r w:rsidR="000235B1">
        <w:rPr>
          <w:i/>
          <w:noProof w:val="0"/>
          <w:lang w:val="fr-FR" w:eastAsia="en-US"/>
        </w:rPr>
        <w:fldChar w:fldCharType="end"/>
      </w:r>
      <w:r w:rsidR="000235B1">
        <w:rPr>
          <w:noProof w:val="0"/>
          <w:lang w:val="fr-FR" w:eastAsia="en-US"/>
        </w:rPr>
        <w:t>)</w:t>
      </w:r>
      <w:r w:rsidR="08BF6A62" w:rsidRPr="003D1E07">
        <w:t xml:space="preserve">. Proto platí její určení </w:t>
      </w:r>
      <w:r w:rsidR="005D025B">
        <w:t>hyparchické</w:t>
      </w:r>
      <w:r w:rsidR="005D025B" w:rsidRPr="003D1E07">
        <w:t xml:space="preserve"> </w:t>
      </w:r>
      <w:r w:rsidR="005D025B">
        <w:t xml:space="preserve">substance, které je skrze impozici </w:t>
      </w:r>
      <w:r w:rsidR="00513636" w:rsidRPr="003D1E07">
        <w:t xml:space="preserve">kategoriálně </w:t>
      </w:r>
      <w:r w:rsidR="005D025B">
        <w:t xml:space="preserve">dáno </w:t>
      </w:r>
      <w:r w:rsidR="08BF6A62" w:rsidRPr="003D1E07">
        <w:rPr>
          <w:i/>
        </w:rPr>
        <w:t>per prius</w:t>
      </w:r>
      <w:r w:rsidR="08BF6A62" w:rsidRPr="003D1E07">
        <w:t xml:space="preserve">. První věda nutně </w:t>
      </w:r>
      <w:r w:rsidR="00293DEE" w:rsidRPr="003D1E07">
        <w:t xml:space="preserve">pojednává první </w:t>
      </w:r>
      <w:r w:rsidR="08BF6A62" w:rsidRPr="003D1E07">
        <w:t>substanci v</w:t>
      </w:r>
      <w:r w:rsidR="00513636" w:rsidRPr="003D1E07">
        <w:t xml:space="preserve"> metafyzickém </w:t>
      </w:r>
      <w:r w:rsidR="08BF6A62" w:rsidRPr="003D1E07">
        <w:t xml:space="preserve">modu </w:t>
      </w:r>
      <w:r w:rsidR="08BF6A62" w:rsidRPr="003D1E07">
        <w:rPr>
          <w:i/>
        </w:rPr>
        <w:t>qua</w:t>
      </w:r>
      <w:r w:rsidR="00BB01C6" w:rsidRPr="003D1E07">
        <w:t xml:space="preserve">. Metafyzika sleduje </w:t>
      </w:r>
      <w:r w:rsidR="00C1265C" w:rsidRPr="003D1E07">
        <w:t>působení metafyzického dativu</w:t>
      </w:r>
      <w:r w:rsidR="00BB01C6" w:rsidRPr="003D1E07">
        <w:rPr>
          <w:i/>
        </w:rPr>
        <w:fldChar w:fldCharType="begin"/>
      </w:r>
      <w:r w:rsidR="00BB01C6" w:rsidRPr="003D1E07">
        <w:instrText xml:space="preserve"> XE "</w:instrText>
      </w:r>
      <w:r w:rsidR="00BB01C6" w:rsidRPr="003D1E07">
        <w:rPr>
          <w:i/>
        </w:rPr>
        <w:instrText>dativus metaphysicus</w:instrText>
      </w:r>
      <w:r w:rsidR="00BB01C6" w:rsidRPr="003D1E07">
        <w:instrText xml:space="preserve">" </w:instrText>
      </w:r>
      <w:r w:rsidR="00BB01C6" w:rsidRPr="003D1E07">
        <w:rPr>
          <w:i/>
        </w:rPr>
        <w:fldChar w:fldCharType="end"/>
      </w:r>
      <w:r w:rsidR="00BB01C6" w:rsidRPr="003D1E07">
        <w:rPr>
          <w:i/>
        </w:rPr>
        <w:t xml:space="preserve"> </w:t>
      </w:r>
      <w:r w:rsidR="00BB01C6" w:rsidRPr="003D1E07">
        <w:t xml:space="preserve">a podle něj vytváří </w:t>
      </w:r>
      <w:r w:rsidR="00C1265C" w:rsidRPr="003D1E07">
        <w:t>predik</w:t>
      </w:r>
      <w:r w:rsidR="00766074" w:rsidRPr="003D1E07">
        <w:t>aci</w:t>
      </w:r>
      <w:r w:rsidR="00C1265C" w:rsidRPr="003D1E07">
        <w:t xml:space="preserve"> na základě </w:t>
      </w:r>
      <w:r w:rsidR="00C1265C" w:rsidRPr="003D1E07">
        <w:rPr>
          <w:i/>
        </w:rPr>
        <w:t>actus essendi</w:t>
      </w:r>
      <w:r w:rsidR="00C1265C" w:rsidRPr="003D1E07">
        <w:rPr>
          <w:i/>
        </w:rPr>
        <w:fldChar w:fldCharType="begin"/>
      </w:r>
      <w:r w:rsidR="00C1265C" w:rsidRPr="003D1E07">
        <w:instrText xml:space="preserve"> XE "</w:instrText>
      </w:r>
      <w:r w:rsidR="00C1265C" w:rsidRPr="003D1E07">
        <w:rPr>
          <w:i/>
        </w:rPr>
        <w:instrText>actus essendi</w:instrText>
      </w:r>
      <w:r w:rsidR="00C1265C" w:rsidRPr="003D1E07">
        <w:instrText xml:space="preserve">" </w:instrText>
      </w:r>
      <w:r w:rsidR="00C1265C" w:rsidRPr="003D1E07">
        <w:rPr>
          <w:i/>
        </w:rPr>
        <w:fldChar w:fldCharType="end"/>
      </w:r>
      <w:r w:rsidR="00C1265C" w:rsidRPr="003D1E07">
        <w:t xml:space="preserve"> reálné věci.</w:t>
      </w:r>
      <w:r w:rsidR="08BF6A62" w:rsidRPr="003D1E07">
        <w:t xml:space="preserve"> Metafyzická abstrakce proto determinuje všechny ostatní způsoby poznání a predikace, protože </w:t>
      </w:r>
      <w:r w:rsidR="00174035" w:rsidRPr="003D1E07">
        <w:t xml:space="preserve">jako jediná sleduje </w:t>
      </w:r>
      <w:r w:rsidR="08BF6A62" w:rsidRPr="003D1E07">
        <w:t xml:space="preserve">časovou souslednost </w:t>
      </w:r>
      <w:r w:rsidR="08EC7132" w:rsidRPr="003D1E07">
        <w:t>reálné kauzality</w:t>
      </w:r>
      <w:r w:rsidR="004D4CF3" w:rsidRPr="003D1E07">
        <w:t>.</w:t>
      </w:r>
      <w:r w:rsidR="004D4CF3" w:rsidRPr="003D1E07">
        <w:rPr>
          <w:rStyle w:val="Znakapoznpodarou"/>
        </w:rPr>
        <w:footnoteReference w:id="221"/>
      </w:r>
      <w:r w:rsidR="004D4CF3" w:rsidRPr="003D1E07">
        <w:t xml:space="preserve"> </w:t>
      </w:r>
      <w:r w:rsidR="007864E7" w:rsidRPr="003D1E07">
        <w:t xml:space="preserve">Použití analogické formy rozsažnosti </w:t>
      </w:r>
      <w:r w:rsidR="00B15379" w:rsidRPr="003D1E07">
        <w:t xml:space="preserve">je možné </w:t>
      </w:r>
      <w:r w:rsidR="007864E7" w:rsidRPr="003D1E07">
        <w:t xml:space="preserve">pouze </w:t>
      </w:r>
      <w:r w:rsidR="00FE3ABD" w:rsidRPr="003D1E07">
        <w:t>sekundárně</w:t>
      </w:r>
      <w:r w:rsidR="00B15379" w:rsidRPr="003D1E07">
        <w:t xml:space="preserve">, protože jde o </w:t>
      </w:r>
      <w:r w:rsidR="089C2068" w:rsidRPr="003D1E07">
        <w:t xml:space="preserve">logickou či matematickou </w:t>
      </w:r>
      <w:r w:rsidR="00B15379" w:rsidRPr="003D1E07">
        <w:t>abst</w:t>
      </w:r>
      <w:r w:rsidR="08992D8A" w:rsidRPr="003D1E07">
        <w:t>rakci od reálný</w:t>
      </w:r>
      <w:r w:rsidR="00B15379" w:rsidRPr="003D1E07">
        <w:t>ch vztahů</w:t>
      </w:r>
      <w:r w:rsidR="08992D8A" w:rsidRPr="003D1E07">
        <w:t xml:space="preserve"> mezi substancemi</w:t>
      </w:r>
      <w:r w:rsidR="00B15379" w:rsidRPr="003D1E07">
        <w:t xml:space="preserve">. </w:t>
      </w:r>
      <w:r w:rsidR="081E4C05" w:rsidRPr="003D1E07">
        <w:t>Metafyzická p</w:t>
      </w:r>
      <w:r w:rsidR="007864E7" w:rsidRPr="003D1E07">
        <w:t xml:space="preserve">redikace </w:t>
      </w:r>
      <w:r w:rsidR="007864E7" w:rsidRPr="003D1E07">
        <w:rPr>
          <w:i/>
        </w:rPr>
        <w:t>per prius</w:t>
      </w:r>
      <w:r w:rsidR="007864E7" w:rsidRPr="003D1E07">
        <w:t xml:space="preserve"> je</w:t>
      </w:r>
      <w:r w:rsidR="00B15379" w:rsidRPr="003D1E07">
        <w:t xml:space="preserve"> vztažená </w:t>
      </w:r>
      <w:r w:rsidR="007864E7" w:rsidRPr="003D1E07">
        <w:t>k první substanci.</w:t>
      </w:r>
      <w:r w:rsidR="001C3DD7" w:rsidRPr="003D1E07">
        <w:rPr>
          <w:lang w:eastAsia="en-US"/>
        </w:rPr>
        <w:t xml:space="preserve"> </w:t>
      </w:r>
      <w:r w:rsidR="007B772A" w:rsidRPr="003D1E07">
        <w:t>Všechna abstraktní určení sub</w:t>
      </w:r>
      <w:r w:rsidR="00577548" w:rsidRPr="003D1E07">
        <w:t xml:space="preserve">stance, která zakládají </w:t>
      </w:r>
      <w:r w:rsidR="00874074" w:rsidRPr="003D1E07">
        <w:t>neoplatonsk</w:t>
      </w:r>
      <w:r w:rsidR="007B772A" w:rsidRPr="003D1E07">
        <w:t>á určení kva</w:t>
      </w:r>
      <w:r w:rsidR="00067236" w:rsidRPr="003D1E07">
        <w:t xml:space="preserve">zi-formy, jsou jen </w:t>
      </w:r>
      <w:r w:rsidR="00F027A2" w:rsidRPr="003D1E07">
        <w:t xml:space="preserve">analogická </w:t>
      </w:r>
      <w:r w:rsidR="00300DB0" w:rsidRPr="003D1E07">
        <w:rPr>
          <w:lang w:eastAsia="en-US"/>
        </w:rPr>
        <w:fldChar w:fldCharType="begin"/>
      </w:r>
      <w:r w:rsidR="00300DB0" w:rsidRPr="003D1E07">
        <w:instrText xml:space="preserve"> XE "predikace:analogická" </w:instrText>
      </w:r>
      <w:r w:rsidR="00300DB0" w:rsidRPr="003D1E07">
        <w:rPr>
          <w:lang w:eastAsia="en-US"/>
        </w:rPr>
        <w:fldChar w:fldCharType="end"/>
      </w:r>
      <w:r w:rsidR="00067236" w:rsidRPr="003D1E07">
        <w:t xml:space="preserve">určení daná </w:t>
      </w:r>
      <w:r w:rsidR="00F027A2" w:rsidRPr="003D1E07">
        <w:rPr>
          <w:i/>
        </w:rPr>
        <w:t>per posterius</w:t>
      </w:r>
      <w:r w:rsidR="00F027A2" w:rsidRPr="003D1E07">
        <w:t xml:space="preserve"> </w:t>
      </w:r>
      <w:r w:rsidR="00067236" w:rsidRPr="003D1E07">
        <w:t>v řádu matematické abstrakce</w:t>
      </w:r>
      <w:r w:rsidR="00EB4045" w:rsidRPr="003D1E07">
        <w:fldChar w:fldCharType="begin"/>
      </w:r>
      <w:r w:rsidR="00EB4045" w:rsidRPr="003D1E07">
        <w:instrText xml:space="preserve"> XE "abstrakce:matematická" </w:instrText>
      </w:r>
      <w:r w:rsidR="00EB4045" w:rsidRPr="003D1E07">
        <w:fldChar w:fldCharType="end"/>
      </w:r>
      <w:r w:rsidR="00FF5E32">
        <w:t xml:space="preserve">. </w:t>
      </w:r>
      <w:r w:rsidR="0032497E" w:rsidRPr="003D1E07">
        <w:t xml:space="preserve">Jejich vztah ke skutečnosti nezahrnuje hyparchickou </w:t>
      </w:r>
      <w:r w:rsidR="003E0170">
        <w:t>hodnotu impozice</w:t>
      </w:r>
      <w:r w:rsidR="0032497E" w:rsidRPr="003D1E07">
        <w:t>, která se ke skutečnosti vztahuje prostřednictvím vědeckého důkazu (</w:t>
      </w:r>
      <w:r w:rsidR="0032497E" w:rsidRPr="003D1E07">
        <w:rPr>
          <w:i/>
        </w:rPr>
        <w:t>demonstratio</w:t>
      </w:r>
      <w:r w:rsidR="00190263">
        <w:t>).</w:t>
      </w:r>
    </w:p>
    <w:p w14:paraId="5A209265" w14:textId="5709E94D" w:rsidR="002471D8" w:rsidRPr="003D1E07" w:rsidRDefault="0032497E" w:rsidP="003E6769">
      <w:pPr>
        <w:ind w:firstLine="397"/>
        <w:rPr>
          <w:szCs w:val="24"/>
        </w:rPr>
      </w:pPr>
      <w:r w:rsidRPr="003D1E07">
        <w:t>Averroes odmítá matematické entity, které získaly vlastnosti kvazi-substancí, jako je tomu u Avicenny</w:t>
      </w:r>
      <w:r w:rsidR="000B4B6E" w:rsidRPr="003D1E07">
        <w:t>.</w:t>
      </w:r>
      <w:r w:rsidR="000B4B6E" w:rsidRPr="003D1E07">
        <w:rPr>
          <w:rStyle w:val="Znakapoznpodarou"/>
        </w:rPr>
        <w:footnoteReference w:id="222"/>
      </w:r>
      <w:r w:rsidR="000B4B6E" w:rsidRPr="003D1E07">
        <w:t xml:space="preserve"> To by znamenalo, že substanční určení by existovala mimo první substanci jako </w:t>
      </w:r>
      <w:r w:rsidR="08C01515" w:rsidRPr="003D1E07">
        <w:t>p</w:t>
      </w:r>
      <w:r w:rsidR="00210CD1" w:rsidRPr="003D1E07">
        <w:t>latonské</w:t>
      </w:r>
      <w:r w:rsidR="000B4B6E" w:rsidRPr="003D1E07">
        <w:t xml:space="preserve"> ideje. </w:t>
      </w:r>
      <w:r w:rsidR="00577548" w:rsidRPr="003D1E07">
        <w:t>S</w:t>
      </w:r>
      <w:r w:rsidR="00E245EC" w:rsidRPr="003D1E07">
        <w:t xml:space="preserve">pis </w:t>
      </w:r>
      <w:r w:rsidR="007F0799" w:rsidRPr="003D1E07">
        <w:rPr>
          <w:i/>
        </w:rPr>
        <w:t>Epitome</w:t>
      </w:r>
      <w:r w:rsidR="00577548" w:rsidRPr="003D1E07">
        <w:t xml:space="preserve"> </w:t>
      </w:r>
      <w:r w:rsidR="00E245EC" w:rsidRPr="003D1E07">
        <w:t xml:space="preserve">výslovně odmítá Avicennovo pojetí rozsažnosti třetího druhu danou na základě </w:t>
      </w:r>
      <w:r w:rsidR="00874074" w:rsidRPr="003D1E07">
        <w:t>neoplatonsk</w:t>
      </w:r>
      <w:r w:rsidR="00E245EC" w:rsidRPr="003D1E07">
        <w:t>é d</w:t>
      </w:r>
      <w:r w:rsidR="00E245EC" w:rsidRPr="003D1E07">
        <w:rPr>
          <w:rStyle w:val="addmd"/>
        </w:rPr>
        <w:t>efinice tělesa třetího druhu (</w:t>
      </w:r>
      <w:r w:rsidR="00E245EC" w:rsidRPr="003D1E07">
        <w:rPr>
          <w:i/>
        </w:rPr>
        <w:t>non est necesse esse in corpore tres dimensiones in effectu</w:t>
      </w:r>
      <w:r w:rsidR="00E245EC" w:rsidRPr="003D1E07">
        <w:rPr>
          <w:rStyle w:val="addmd"/>
        </w:rPr>
        <w:t>, k</w:t>
      </w:r>
      <w:r w:rsidR="00E245EC" w:rsidRPr="003D1E07">
        <w:t>ap. 2.3.2).</w:t>
      </w:r>
      <w:r w:rsidR="001C3DD7" w:rsidRPr="003D1E07">
        <w:t xml:space="preserve"> </w:t>
      </w:r>
      <w:r w:rsidR="002E3B62" w:rsidRPr="003D1E07">
        <w:t>Averroes</w:t>
      </w:r>
      <w:r w:rsidR="00FA1C3A" w:rsidRPr="003D1E07">
        <w:t xml:space="preserve"> odmítá </w:t>
      </w:r>
      <w:r w:rsidR="081E4C05" w:rsidRPr="003D1E07">
        <w:t xml:space="preserve">všechna fyzikální </w:t>
      </w:r>
      <w:r w:rsidR="00FA1C3A" w:rsidRPr="003D1E07">
        <w:t xml:space="preserve">určení jsoucna, která by fungovala mimo první substanci </w:t>
      </w:r>
      <w:r w:rsidR="008B45EA" w:rsidRPr="003D1E07">
        <w:t xml:space="preserve">a predikovala by se v modu </w:t>
      </w:r>
      <w:r w:rsidR="008B45EA" w:rsidRPr="003D1E07">
        <w:rPr>
          <w:i/>
        </w:rPr>
        <w:t>per prius</w:t>
      </w:r>
      <w:r w:rsidR="008B45EA" w:rsidRPr="003D1E07">
        <w:t xml:space="preserve"> vzhledem k n</w:t>
      </w:r>
      <w:r w:rsidR="00FA1C3A" w:rsidRPr="003D1E07">
        <w:t>ějaké kvazi-substanci.</w:t>
      </w:r>
      <w:r w:rsidR="08113CE3" w:rsidRPr="003D1E07">
        <w:rPr>
          <w:rStyle w:val="Znakapoznpodarou"/>
        </w:rPr>
        <w:footnoteReference w:id="223"/>
      </w:r>
      <w:r w:rsidR="00FA1C3A" w:rsidRPr="003D1E07">
        <w:t xml:space="preserve"> </w:t>
      </w:r>
      <w:r w:rsidR="004D512F" w:rsidRPr="003D1E07">
        <w:t xml:space="preserve">Taková kategoriální predikace založila </w:t>
      </w:r>
      <w:r w:rsidR="00FA1C3A" w:rsidRPr="003D1E07">
        <w:t xml:space="preserve">paralelní </w:t>
      </w:r>
      <w:r w:rsidR="004D512F" w:rsidRPr="003D1E07">
        <w:lastRenderedPageBreak/>
        <w:t xml:space="preserve">diakosmos </w:t>
      </w:r>
      <w:r w:rsidR="0013259F" w:rsidRPr="003D1E07">
        <w:t>neoplatoniků</w:t>
      </w:r>
      <w:r w:rsidR="00A45E6B" w:rsidRPr="003D1E07">
        <w:t xml:space="preserve">. </w:t>
      </w:r>
      <w:r w:rsidR="000A4FB3" w:rsidRPr="003D1E07">
        <w:t xml:space="preserve">Predikace hypostázovaných vlastností podle Avicenny </w:t>
      </w:r>
      <w:r w:rsidR="00FA1C3A" w:rsidRPr="003D1E07">
        <w:t>vedl</w:t>
      </w:r>
      <w:r w:rsidR="000A4FB3" w:rsidRPr="003D1E07">
        <w:t>a</w:t>
      </w:r>
      <w:r w:rsidR="00FA1C3A" w:rsidRPr="003D1E07">
        <w:t xml:space="preserve"> </w:t>
      </w:r>
      <w:r w:rsidR="00A45E6B" w:rsidRPr="003D1E07">
        <w:t xml:space="preserve">na latinském Západě </w:t>
      </w:r>
      <w:r w:rsidR="082D2031" w:rsidRPr="003D1E07">
        <w:t xml:space="preserve">kolem 1240 k vytvoření prvního konceptu </w:t>
      </w:r>
      <w:r w:rsidR="00F631F7" w:rsidRPr="003D1E07">
        <w:t>objektivního</w:t>
      </w:r>
      <w:r w:rsidR="082D2031" w:rsidRPr="003D1E07">
        <w:t xml:space="preserve"> jsoucna</w:t>
      </w:r>
      <w:r w:rsidR="00FA1C3A" w:rsidRPr="003D1E07">
        <w:t>.</w:t>
      </w:r>
      <w:r w:rsidR="00AE768A" w:rsidRPr="003D1E07">
        <w:t xml:space="preserve"> </w:t>
      </w:r>
      <w:r w:rsidR="002E3B62" w:rsidRPr="003D1E07">
        <w:t>Averroes</w:t>
      </w:r>
      <w:r w:rsidR="002471D8" w:rsidRPr="003D1E07">
        <w:t xml:space="preserve"> kritizuje neoplatoniky a avicennisty</w:t>
      </w:r>
      <w:r w:rsidR="08F76E18" w:rsidRPr="003D1E07">
        <w:t xml:space="preserve"> za určení tělesa třetího druhu</w:t>
      </w:r>
      <w:r w:rsidR="00300DB0" w:rsidRPr="003D1E07">
        <w:rPr>
          <w:lang w:eastAsia="en-US"/>
        </w:rPr>
        <w:fldChar w:fldCharType="begin"/>
      </w:r>
      <w:r w:rsidR="00300DB0" w:rsidRPr="003D1E07">
        <w:instrText xml:space="preserve"> XE "těleso:objektivní" </w:instrText>
      </w:r>
      <w:r w:rsidR="00300DB0" w:rsidRPr="003D1E07">
        <w:rPr>
          <w:lang w:eastAsia="en-US"/>
        </w:rPr>
        <w:fldChar w:fldCharType="end"/>
      </w:r>
      <w:r w:rsidR="08F76E18" w:rsidRPr="003D1E07">
        <w:rPr>
          <w:lang w:eastAsia="en-US"/>
        </w:rPr>
        <w:t xml:space="preserve"> </w:t>
      </w:r>
      <w:r w:rsidR="002471D8" w:rsidRPr="003D1E07">
        <w:t xml:space="preserve">a za predikaci „kvazi-fyzikálních“ vlastností daných v objektivním diakosmu Jamblicha a Simplikia. </w:t>
      </w:r>
      <w:r w:rsidR="08AB0BB9" w:rsidRPr="003D1E07">
        <w:t>Následu</w:t>
      </w:r>
      <w:r w:rsidR="08324F36" w:rsidRPr="003D1E07">
        <w:t xml:space="preserve">jící citát odmítá </w:t>
      </w:r>
      <w:r w:rsidR="08AB0BB9" w:rsidRPr="003D1E07">
        <w:t>vývoj moderny směrem k objektivitě.</w:t>
      </w:r>
    </w:p>
    <w:p w14:paraId="2E9D033C" w14:textId="3E398023" w:rsidR="002471D8" w:rsidRPr="003D1E07" w:rsidRDefault="002471D8" w:rsidP="002471D8">
      <w:pPr>
        <w:pStyle w:val="Citace"/>
        <w:rPr>
          <w:lang w:val="cs-CZ"/>
        </w:rPr>
      </w:pPr>
      <w:r w:rsidRPr="003D1E07">
        <w:rPr>
          <w:noProof/>
          <w:lang w:val="cs-CZ"/>
        </w:rPr>
        <w:t xml:space="preserve">„Jejich chyba byla v tom, že vzali tělesnost jako rodový význam. Proto ji považovali neporušitelnou nebo trvalou i jako akcident a její neporušitelnost vzali na úrovni samotné formy. Podle tohoto názoru je třeba </w:t>
      </w:r>
      <w:r w:rsidR="00B10853" w:rsidRPr="003D1E07">
        <w:rPr>
          <w:noProof/>
          <w:lang w:val="cs-CZ"/>
        </w:rPr>
        <w:t xml:space="preserve">chápat </w:t>
      </w:r>
      <w:r w:rsidRPr="003D1E07">
        <w:rPr>
          <w:noProof/>
          <w:lang w:val="cs-CZ"/>
        </w:rPr>
        <w:t xml:space="preserve">formaci první materie nejen skrze tělesné rozměry, ale </w:t>
      </w:r>
      <w:r w:rsidR="003D169D">
        <w:rPr>
          <w:noProof/>
          <w:lang w:val="cs-CZ"/>
        </w:rPr>
        <w:t xml:space="preserve">také </w:t>
      </w:r>
      <w:r w:rsidRPr="003D1E07">
        <w:rPr>
          <w:noProof/>
          <w:lang w:val="cs-CZ"/>
        </w:rPr>
        <w:t>skrze řadu akcident</w:t>
      </w:r>
      <w:r w:rsidR="00B10853" w:rsidRPr="003D1E07">
        <w:rPr>
          <w:noProof/>
          <w:lang w:val="cs-CZ"/>
        </w:rPr>
        <w:t>ů</w:t>
      </w:r>
      <w:r w:rsidRPr="003D1E07">
        <w:rPr>
          <w:noProof/>
          <w:lang w:val="cs-CZ"/>
        </w:rPr>
        <w:t xml:space="preserve">, které nelze oddělit od první látky a která jsou </w:t>
      </w:r>
      <w:r w:rsidR="000B6ECF">
        <w:rPr>
          <w:noProof/>
          <w:lang w:val="cs-CZ"/>
        </w:rPr>
        <w:t xml:space="preserve">univočně </w:t>
      </w:r>
      <w:r w:rsidRPr="003D1E07">
        <w:rPr>
          <w:noProof/>
          <w:lang w:val="cs-CZ"/>
        </w:rPr>
        <w:t>společná tělesům jako čistým formám.“ </w:t>
      </w:r>
      <w:r w:rsidR="001C3DD7" w:rsidRPr="003D1E07">
        <w:rPr>
          <w:rStyle w:val="Znakapoznpodarou"/>
          <w:lang w:val="cs-CZ"/>
        </w:rPr>
        <w:footnoteReference w:id="224"/>
      </w:r>
      <w:r w:rsidR="00AE768A" w:rsidRPr="003D1E07">
        <w:rPr>
          <w:lang w:val="cs-CZ"/>
        </w:rPr>
        <w:t xml:space="preserve"> </w:t>
      </w:r>
    </w:p>
    <w:p w14:paraId="16A0A9FD" w14:textId="77777777" w:rsidR="004D541B" w:rsidRDefault="00C269A7" w:rsidP="085334A0">
      <w:r w:rsidRPr="003D1E07">
        <w:t>První materie ne</w:t>
      </w:r>
      <w:r w:rsidR="00A41EE5" w:rsidRPr="003D1E07">
        <w:t>může hrát úlohu</w:t>
      </w:r>
      <w:r w:rsidRPr="003D1E07">
        <w:t xml:space="preserve"> nějaké kvazi-formy, jak to post</w:t>
      </w:r>
      <w:r w:rsidR="08D62D6F" w:rsidRPr="003D1E07">
        <w:t xml:space="preserve">ulovali pozdní neoplatonikové, </w:t>
      </w:r>
      <w:r w:rsidRPr="003D1E07">
        <w:t>po nich Avicenna</w:t>
      </w:r>
      <w:r w:rsidR="08D62D6F" w:rsidRPr="003D1E07">
        <w:t xml:space="preserve"> a pak latinská moderna</w:t>
      </w:r>
      <w:r w:rsidRPr="003D1E07">
        <w:t xml:space="preserve">. </w:t>
      </w:r>
      <w:r w:rsidR="00C4487D" w:rsidRPr="003D1E07">
        <w:t>Avicenna přes</w:t>
      </w:r>
      <w:r w:rsidR="08C31E17" w:rsidRPr="003D1E07">
        <w:t xml:space="preserve">kočil Aristotelovu </w:t>
      </w:r>
      <w:r w:rsidR="08C31E17" w:rsidRPr="003D1E07">
        <w:rPr>
          <w:i/>
        </w:rPr>
        <w:t>Fyziku</w:t>
      </w:r>
      <w:r w:rsidR="08C31E17" w:rsidRPr="003D1E07">
        <w:t xml:space="preserve"> a </w:t>
      </w:r>
      <w:r w:rsidR="002F2D24" w:rsidRPr="003D1E07">
        <w:t xml:space="preserve">našel </w:t>
      </w:r>
      <w:r w:rsidR="00C4487D" w:rsidRPr="003D1E07">
        <w:t>apodiktické principy jsoucna</w:t>
      </w:r>
      <w:r w:rsidR="002F2D24" w:rsidRPr="003D1E07">
        <w:t xml:space="preserve"> v univerzálním určení jsoucího jako jsoucího</w:t>
      </w:r>
      <w:r w:rsidR="00B13822" w:rsidRPr="003D1E07">
        <w:t>. Proto postul</w:t>
      </w:r>
      <w:r w:rsidR="0033651A" w:rsidRPr="003D1E07">
        <w:t xml:space="preserve">uje </w:t>
      </w:r>
      <w:r w:rsidR="00B13822" w:rsidRPr="003D1E07">
        <w:rPr>
          <w:i/>
        </w:rPr>
        <w:t>materia prima</w:t>
      </w:r>
      <w:r w:rsidR="08D704BF" w:rsidRPr="003D1E07">
        <w:rPr>
          <w:i/>
        </w:rPr>
        <w:fldChar w:fldCharType="begin"/>
      </w:r>
      <w:r w:rsidR="08D704BF" w:rsidRPr="003D1E07">
        <w:instrText xml:space="preserve"> XE "materie</w:instrText>
      </w:r>
      <w:r w:rsidR="08D704BF" w:rsidRPr="003D1E07">
        <w:rPr>
          <w:i/>
        </w:rPr>
        <w:instrText>:materia prima</w:instrText>
      </w:r>
      <w:r w:rsidR="08D704BF" w:rsidRPr="003D1E07">
        <w:instrText xml:space="preserve">" </w:instrText>
      </w:r>
      <w:r w:rsidR="08D704BF" w:rsidRPr="003D1E07">
        <w:rPr>
          <w:i/>
        </w:rPr>
        <w:fldChar w:fldCharType="end"/>
      </w:r>
      <w:r w:rsidR="00B13822" w:rsidRPr="003D1E07">
        <w:t xml:space="preserve"> jako čistou potenci</w:t>
      </w:r>
      <w:r w:rsidR="0033651A" w:rsidRPr="003D1E07">
        <w:t xml:space="preserve"> a </w:t>
      </w:r>
      <w:r w:rsidR="00B13822" w:rsidRPr="003D1E07">
        <w:t xml:space="preserve">přitom z ní </w:t>
      </w:r>
      <w:r w:rsidR="0033651A" w:rsidRPr="003D1E07">
        <w:t>udělá</w:t>
      </w:r>
      <w:r w:rsidR="00B13822" w:rsidRPr="003D1E07">
        <w:t xml:space="preserve"> kvazi-substrát, aby </w:t>
      </w:r>
      <w:r w:rsidR="0033651A" w:rsidRPr="003D1E07">
        <w:t>potenciální materie daná ve formě substance</w:t>
      </w:r>
      <w:r w:rsidR="00A70FA4" w:rsidRPr="003D1E07">
        <w:fldChar w:fldCharType="begin"/>
      </w:r>
      <w:r w:rsidR="00A70FA4" w:rsidRPr="003D1E07">
        <w:instrText xml:space="preserve"> XE "</w:instrText>
      </w:r>
      <w:r w:rsidR="00300DB0" w:rsidRPr="003D1E07">
        <w:instrText>materie:primární</w:instrText>
      </w:r>
      <w:r w:rsidR="00A70FA4" w:rsidRPr="003D1E07">
        <w:instrText xml:space="preserve">" </w:instrText>
      </w:r>
      <w:r w:rsidR="00A70FA4" w:rsidRPr="003D1E07">
        <w:fldChar w:fldCharType="end"/>
      </w:r>
      <w:r w:rsidR="0033651A" w:rsidRPr="003D1E07">
        <w:t xml:space="preserve"> </w:t>
      </w:r>
      <w:r w:rsidR="00B13822" w:rsidRPr="003D1E07">
        <w:t>mohla přijmout obecná formální určení</w:t>
      </w:r>
      <w:r w:rsidR="00C4487D" w:rsidRPr="003D1E07">
        <w:t xml:space="preserve">. </w:t>
      </w:r>
      <w:r w:rsidR="085A6D81" w:rsidRPr="003D1E07">
        <w:t xml:space="preserve">Komentátor </w:t>
      </w:r>
      <w:r w:rsidR="00A31369" w:rsidRPr="003D1E07">
        <w:t xml:space="preserve">striktně odmítl </w:t>
      </w:r>
      <w:r w:rsidR="000A4FB3" w:rsidRPr="003D1E07">
        <w:t>vznik</w:t>
      </w:r>
      <w:r w:rsidR="00A31369" w:rsidRPr="003D1E07">
        <w:t xml:space="preserve"> </w:t>
      </w:r>
      <w:r w:rsidR="00A31369" w:rsidRPr="003D1E07">
        <w:rPr>
          <w:i/>
        </w:rPr>
        <w:t>tertium ens</w:t>
      </w:r>
      <w:r w:rsidR="08E35360" w:rsidRPr="003D1E07">
        <w:rPr>
          <w:i/>
        </w:rPr>
        <w:fldChar w:fldCharType="begin"/>
      </w:r>
      <w:r w:rsidR="08E35360" w:rsidRPr="003D1E07">
        <w:instrText xml:space="preserve"> XE "</w:instrText>
      </w:r>
      <w:r w:rsidR="08E35360" w:rsidRPr="003D1E07">
        <w:rPr>
          <w:rStyle w:val="Zvraznn"/>
        </w:rPr>
        <w:instrText>tertium ens</w:instrText>
      </w:r>
      <w:r w:rsidR="08E35360" w:rsidRPr="003D1E07">
        <w:rPr>
          <w:rStyle w:val="Zvraznn"/>
          <w:i w:val="0"/>
        </w:rPr>
        <w:instrText>:kritika Averroese</w:instrText>
      </w:r>
      <w:r w:rsidR="08E35360" w:rsidRPr="003D1E07">
        <w:instrText xml:space="preserve">" </w:instrText>
      </w:r>
      <w:r w:rsidR="08E35360" w:rsidRPr="003D1E07">
        <w:rPr>
          <w:i/>
        </w:rPr>
        <w:fldChar w:fldCharType="end"/>
      </w:r>
      <w:r w:rsidR="00A31369" w:rsidRPr="003D1E07">
        <w:t xml:space="preserve">. Viz následující pasáž, kde </w:t>
      </w:r>
      <w:r w:rsidR="00A31369" w:rsidRPr="003D1E07">
        <w:rPr>
          <w:i/>
        </w:rPr>
        <w:t>Epitome</w:t>
      </w:r>
      <w:r w:rsidR="00A31369" w:rsidRPr="003D1E07">
        <w:t xml:space="preserve"> odmítá základní předpoklady </w:t>
      </w:r>
      <w:r w:rsidR="00A31369" w:rsidRPr="003D1E07">
        <w:rPr>
          <w:i/>
        </w:rPr>
        <w:t>tertium ens</w:t>
      </w:r>
      <w:r w:rsidR="00A31369" w:rsidRPr="003D1E07">
        <w:t>, tj. kvazi-těleso a kvazi-substanci podle Avicenny.</w:t>
      </w:r>
      <w:r w:rsidR="00A31369" w:rsidRPr="003D1E07">
        <w:rPr>
          <w:rStyle w:val="Znakapoznpodarou"/>
        </w:rPr>
        <w:footnoteReference w:id="225"/>
      </w:r>
      <w:r w:rsidR="00A31369" w:rsidRPr="003D1E07">
        <w:t xml:space="preserve"> Neexistuje </w:t>
      </w:r>
      <w:r w:rsidR="08B329EB" w:rsidRPr="003D1E07">
        <w:t xml:space="preserve">kategoriální predikace jsoucna třetího druhu, </w:t>
      </w:r>
      <w:r w:rsidR="00A31369" w:rsidRPr="003D1E07">
        <w:t xml:space="preserve">ale pouze </w:t>
      </w:r>
      <w:r w:rsidR="08B329EB" w:rsidRPr="003D1E07">
        <w:t>významy dané vzhled</w:t>
      </w:r>
      <w:r w:rsidR="085367A2" w:rsidRPr="003D1E07">
        <w:t>em</w:t>
      </w:r>
      <w:r w:rsidR="08B329EB" w:rsidRPr="003D1E07">
        <w:t xml:space="preserve"> k </w:t>
      </w:r>
      <w:r w:rsidR="00A31369" w:rsidRPr="003D1E07">
        <w:t xml:space="preserve">bytí reálné substance. </w:t>
      </w:r>
      <w:r w:rsidR="080C2A43" w:rsidRPr="003D1E07">
        <w:t xml:space="preserve">Avicenna pracoval s formální a s finální kauzalitou </w:t>
      </w:r>
      <w:r w:rsidR="00445B3E">
        <w:t xml:space="preserve">na úrovni existence reálných substancí </w:t>
      </w:r>
      <w:r w:rsidR="080C2A43" w:rsidRPr="003D1E07">
        <w:t xml:space="preserve">a </w:t>
      </w:r>
      <w:r w:rsidR="00445B3E">
        <w:t xml:space="preserve">tím </w:t>
      </w:r>
      <w:r w:rsidR="080C2A43" w:rsidRPr="003D1E07">
        <w:t xml:space="preserve">zredukoval metafyziku na dialektiku. </w:t>
      </w:r>
      <w:r w:rsidR="00DA25A0" w:rsidRPr="003D1E07">
        <w:t xml:space="preserve">Transcendentální </w:t>
      </w:r>
      <w:r w:rsidR="002E4E08" w:rsidRPr="003D1E07">
        <w:t xml:space="preserve">predikace </w:t>
      </w:r>
      <w:r w:rsidR="00DA25A0" w:rsidRPr="003D1E07">
        <w:t>obje</w:t>
      </w:r>
      <w:r w:rsidR="08871CC3" w:rsidRPr="003D1E07">
        <w:t>k</w:t>
      </w:r>
      <w:r w:rsidR="00DA25A0" w:rsidRPr="003D1E07">
        <w:t xml:space="preserve">tivně nedělitelné </w:t>
      </w:r>
      <w:r w:rsidR="002E4E08" w:rsidRPr="003D1E07">
        <w:t xml:space="preserve">substance a </w:t>
      </w:r>
      <w:r w:rsidR="085367A2" w:rsidRPr="003D1E07">
        <w:t xml:space="preserve">komitace </w:t>
      </w:r>
      <w:r w:rsidR="00DA25A0" w:rsidRPr="003D1E07">
        <w:t xml:space="preserve">hypostázovaných </w:t>
      </w:r>
      <w:r w:rsidR="002E4E08" w:rsidRPr="003D1E07">
        <w:t xml:space="preserve">akcidentů </w:t>
      </w:r>
      <w:r w:rsidR="00DA25A0" w:rsidRPr="003D1E07">
        <w:t xml:space="preserve">není založena na hyparchickém </w:t>
      </w:r>
      <w:r w:rsidR="002E4E08" w:rsidRPr="003D1E07">
        <w:t>vztah</w:t>
      </w:r>
      <w:r w:rsidR="00DA25A0" w:rsidRPr="003D1E07">
        <w:t>u</w:t>
      </w:r>
      <w:r w:rsidR="002E4E08" w:rsidRPr="003D1E07">
        <w:t xml:space="preserve"> k první substanci</w:t>
      </w:r>
      <w:r w:rsidR="00733D59" w:rsidRPr="003D1E07">
        <w:t xml:space="preserve">. Substrátem </w:t>
      </w:r>
      <w:r w:rsidR="00C57081" w:rsidRPr="003D1E07">
        <w:t xml:space="preserve">modernistů </w:t>
      </w:r>
      <w:r w:rsidR="00733D59" w:rsidRPr="003D1E07">
        <w:t xml:space="preserve">je abstraktní pojem jsoucna v modu </w:t>
      </w:r>
      <w:r w:rsidR="00F05640" w:rsidRPr="003D1E07">
        <w:t xml:space="preserve">logické </w:t>
      </w:r>
      <w:r w:rsidR="00733D59" w:rsidRPr="003D1E07">
        <w:t>supozice</w:t>
      </w:r>
      <w:r w:rsidR="002E4E08" w:rsidRPr="003D1E07">
        <w:t xml:space="preserve">. </w:t>
      </w:r>
      <w:r w:rsidR="00BB7640" w:rsidRPr="003D1E07">
        <w:t>A</w:t>
      </w:r>
      <w:r w:rsidR="002E4E08" w:rsidRPr="003D1E07">
        <w:t xml:space="preserve">bstrakce na úrovni </w:t>
      </w:r>
      <w:r w:rsidR="008D5D53" w:rsidRPr="003D1E07">
        <w:t xml:space="preserve">Avicennovy </w:t>
      </w:r>
      <w:r w:rsidR="002E4E08" w:rsidRPr="003D1E07">
        <w:t xml:space="preserve">druhé </w:t>
      </w:r>
      <w:r w:rsidR="00C71056" w:rsidRPr="003D1E07">
        <w:t xml:space="preserve">intence </w:t>
      </w:r>
      <w:r w:rsidR="002E4E08" w:rsidRPr="003D1E07">
        <w:t xml:space="preserve">není </w:t>
      </w:r>
      <w:r w:rsidR="00C71056" w:rsidRPr="003D1E07">
        <w:lastRenderedPageBreak/>
        <w:t xml:space="preserve">podle </w:t>
      </w:r>
      <w:r w:rsidR="002E3B62" w:rsidRPr="003D1E07">
        <w:t>Averroes</w:t>
      </w:r>
      <w:r w:rsidR="00C71056" w:rsidRPr="003D1E07">
        <w:t xml:space="preserve">e </w:t>
      </w:r>
      <w:r w:rsidR="00C057E8" w:rsidRPr="003D1E07">
        <w:t>metafyzicky pravdivá</w:t>
      </w:r>
      <w:r w:rsidR="008D5D53" w:rsidRPr="003D1E07">
        <w:t xml:space="preserve">. </w:t>
      </w:r>
      <w:r w:rsidR="00F41CA2" w:rsidRPr="003D1E07">
        <w:t xml:space="preserve">Supozičně postulovaná </w:t>
      </w:r>
      <w:r w:rsidR="00D90127" w:rsidRPr="003D1E07">
        <w:t>homonomie</w:t>
      </w:r>
      <w:r w:rsidR="00E552DD" w:rsidRPr="003D1E07">
        <w:fldChar w:fldCharType="begin"/>
      </w:r>
      <w:r w:rsidR="00E552DD" w:rsidRPr="003D1E07">
        <w:instrText xml:space="preserve"> XE "homonymie" </w:instrText>
      </w:r>
      <w:r w:rsidR="00E552DD" w:rsidRPr="003D1E07">
        <w:fldChar w:fldCharType="end"/>
      </w:r>
      <w:r w:rsidR="00D90127" w:rsidRPr="003D1E07">
        <w:t xml:space="preserve"> </w:t>
      </w:r>
      <w:r w:rsidR="00F41CA2" w:rsidRPr="003D1E07">
        <w:t xml:space="preserve">jsoucna </w:t>
      </w:r>
      <w:r w:rsidR="081F3AB2" w:rsidRPr="003D1E07">
        <w:t xml:space="preserve">zajišťuje pravdivost </w:t>
      </w:r>
      <w:r w:rsidR="00F41CA2" w:rsidRPr="003D1E07">
        <w:t xml:space="preserve">pouze na úrovni druhé </w:t>
      </w:r>
      <w:r w:rsidR="082D5846" w:rsidRPr="003D1E07">
        <w:t xml:space="preserve">(tj. logické) </w:t>
      </w:r>
      <w:r w:rsidR="00F41CA2" w:rsidRPr="003D1E07">
        <w:t>intence</w:t>
      </w:r>
      <w:r w:rsidR="08C66EF1" w:rsidRPr="003D1E07">
        <w:t xml:space="preserve"> v modu </w:t>
      </w:r>
      <w:r w:rsidR="08C66EF1" w:rsidRPr="003D1E07">
        <w:rPr>
          <w:i/>
        </w:rPr>
        <w:t>inquantum</w:t>
      </w:r>
      <w:r w:rsidR="0064063A" w:rsidRPr="003D1E07">
        <w:t xml:space="preserve">. Tím vznikl </w:t>
      </w:r>
      <w:r w:rsidR="00315473" w:rsidRPr="003D1E07">
        <w:t xml:space="preserve">chybný </w:t>
      </w:r>
      <w:r w:rsidR="0064063A" w:rsidRPr="003D1E07">
        <w:t xml:space="preserve">systém </w:t>
      </w:r>
      <w:r w:rsidR="00E552DD" w:rsidRPr="003D1E07">
        <w:t>moderní metafyz</w:t>
      </w:r>
      <w:r w:rsidR="00CF37C8" w:rsidRPr="003D1E07">
        <w:t xml:space="preserve">iky, která stojí na analogické jednotě </w:t>
      </w:r>
      <w:r w:rsidR="0064063A" w:rsidRPr="003D1E07">
        <w:t>objektivního jsoucna</w:t>
      </w:r>
      <w:r w:rsidR="00E552DD" w:rsidRPr="003D1E07">
        <w:t xml:space="preserve"> (</w:t>
      </w:r>
      <w:r w:rsidR="00E552DD" w:rsidRPr="003D1E07">
        <w:rPr>
          <w:i/>
        </w:rPr>
        <w:t>analogia entis</w:t>
      </w:r>
      <w:r w:rsidR="00E552DD" w:rsidRPr="003D1E07">
        <w:rPr>
          <w:i/>
        </w:rPr>
        <w:fldChar w:fldCharType="begin"/>
      </w:r>
      <w:r w:rsidR="00E552DD" w:rsidRPr="003D1E07">
        <w:instrText xml:space="preserve"> XE "</w:instrText>
      </w:r>
      <w:r w:rsidR="00E552DD" w:rsidRPr="003D1E07">
        <w:rPr>
          <w:i/>
        </w:rPr>
        <w:instrText>analogia entis</w:instrText>
      </w:r>
      <w:r w:rsidR="00E552DD" w:rsidRPr="003D1E07">
        <w:instrText xml:space="preserve">" </w:instrText>
      </w:r>
      <w:r w:rsidR="00E552DD" w:rsidRPr="003D1E07">
        <w:rPr>
          <w:i/>
        </w:rPr>
        <w:fldChar w:fldCharType="end"/>
      </w:r>
      <w:r w:rsidR="00E552DD" w:rsidRPr="003D1E07">
        <w:t>)</w:t>
      </w:r>
      <w:r w:rsidR="00F41CA2" w:rsidRPr="003D1E07">
        <w:t xml:space="preserve">. Výklad metafyziky tvrdí v linii Ibn Ádího kritiky </w:t>
      </w:r>
      <w:r w:rsidR="00874074" w:rsidRPr="003D1E07">
        <w:t>neoplatonsk</w:t>
      </w:r>
      <w:r w:rsidR="00F41CA2" w:rsidRPr="003D1E07">
        <w:t>ého pojetí přirozenosti, že supozice esence na úrovni univerzality nemůže nahradit impozici kategoriálního významu vztaženou k realitě první substance</w:t>
      </w:r>
      <w:r w:rsidR="08950D61" w:rsidRPr="003D1E07">
        <w:t xml:space="preserve"> (kap. 2.2)</w:t>
      </w:r>
      <w:r w:rsidR="00F41CA2" w:rsidRPr="003D1E07">
        <w:t xml:space="preserve">. </w:t>
      </w:r>
      <w:r w:rsidR="00733D59" w:rsidRPr="003D1E07">
        <w:t xml:space="preserve">Analogická </w:t>
      </w:r>
      <w:r w:rsidR="080C2A43" w:rsidRPr="003D1E07">
        <w:t>predikace existuje pouze v mysli</w:t>
      </w:r>
      <w:r w:rsidR="08A36501" w:rsidRPr="003D1E07">
        <w:t xml:space="preserve"> a není dán</w:t>
      </w:r>
      <w:r w:rsidR="00733D59" w:rsidRPr="003D1E07">
        <w:t>a</w:t>
      </w:r>
      <w:r w:rsidR="08A36501" w:rsidRPr="003D1E07">
        <w:t xml:space="preserve"> </w:t>
      </w:r>
      <w:r w:rsidR="00890EF1" w:rsidRPr="003D1E07">
        <w:t xml:space="preserve">v modu impozice </w:t>
      </w:r>
      <w:r w:rsidR="0842088E" w:rsidRPr="003D1E07">
        <w:t>skrze predikaci kategoriálních určení druhé substance</w:t>
      </w:r>
      <w:r w:rsidR="080C2A43" w:rsidRPr="003D1E07">
        <w:t>.</w:t>
      </w:r>
      <w:r w:rsidR="000F142D" w:rsidRPr="003D1E07">
        <w:t xml:space="preserve"> Spis </w:t>
      </w:r>
      <w:r w:rsidR="000F142D" w:rsidRPr="003D1E07">
        <w:rPr>
          <w:i/>
        </w:rPr>
        <w:t>Epitome</w:t>
      </w:r>
      <w:r w:rsidR="000F142D" w:rsidRPr="003D1E07">
        <w:t xml:space="preserve"> jasně stanovuje rozdíl mezi první a druhou intencí na základě rozdílu mezi kategoriální a logickou predikací.</w:t>
      </w:r>
      <w:r w:rsidR="080C2A43" w:rsidRPr="003D1E07">
        <w:rPr>
          <w:rStyle w:val="Znakapoznpodarou"/>
        </w:rPr>
        <w:footnoteReference w:id="226"/>
      </w:r>
      <w:r w:rsidR="080C2A43" w:rsidRPr="003D1E07">
        <w:t xml:space="preserve"> </w:t>
      </w:r>
      <w:r w:rsidR="082C6557" w:rsidRPr="003D1E07">
        <w:t>Univerzália neexistují mimo mysl</w:t>
      </w:r>
      <w:r w:rsidR="08FC10B4" w:rsidRPr="003D1E07">
        <w:t>, proto na ta</w:t>
      </w:r>
      <w:r w:rsidR="082C6557" w:rsidRPr="003D1E07">
        <w:t xml:space="preserve">kto daných určeních </w:t>
      </w:r>
      <w:r w:rsidR="008C3541" w:rsidRPr="003D1E07">
        <w:t xml:space="preserve">jsoucna </w:t>
      </w:r>
      <w:r w:rsidR="082C6557" w:rsidRPr="003D1E07">
        <w:t xml:space="preserve">nelze založit metafyziku jako vědu. </w:t>
      </w:r>
      <w:r w:rsidR="088E65F3" w:rsidRPr="003D1E07">
        <w:t xml:space="preserve">Avicenna založil metafyziky právě tímto pochybným způsobem a proto je </w:t>
      </w:r>
      <w:r w:rsidR="00CA31CA" w:rsidRPr="003D1E07">
        <w:t>jeho pr</w:t>
      </w:r>
      <w:r w:rsidR="08704234" w:rsidRPr="003D1E07">
        <w:t xml:space="preserve">ojekt metafyziky </w:t>
      </w:r>
      <w:r w:rsidR="00981E6D" w:rsidRPr="003D1E07">
        <w:t>zásadně chybný</w:t>
      </w:r>
      <w:r w:rsidR="00300DB0" w:rsidRPr="003D1E07">
        <w:rPr>
          <w:lang w:eastAsia="en-US"/>
        </w:rPr>
        <w:fldChar w:fldCharType="begin"/>
      </w:r>
      <w:r w:rsidR="00300DB0" w:rsidRPr="003D1E07">
        <w:instrText xml:space="preserve"> XE "metafyzika:</w:instrText>
      </w:r>
      <w:r w:rsidR="082D5846" w:rsidRPr="003D1E07">
        <w:instrText>Avicenna</w:instrText>
      </w:r>
      <w:r w:rsidR="00300DB0" w:rsidRPr="003D1E07">
        <w:instrText xml:space="preserve">" </w:instrText>
      </w:r>
      <w:r w:rsidR="00300DB0" w:rsidRPr="003D1E07">
        <w:rPr>
          <w:lang w:eastAsia="en-US"/>
        </w:rPr>
        <w:fldChar w:fldCharType="end"/>
      </w:r>
      <w:r w:rsidR="004D541B">
        <w:t>.</w:t>
      </w:r>
    </w:p>
    <w:p w14:paraId="5891E6C4" w14:textId="49E14F0C" w:rsidR="085334A0" w:rsidRPr="003D1E07" w:rsidRDefault="08FC10B4" w:rsidP="004D541B">
      <w:pPr>
        <w:ind w:firstLine="397"/>
      </w:pPr>
      <w:r w:rsidRPr="003D1E07">
        <w:t xml:space="preserve">Komentáře </w:t>
      </w:r>
      <w:r w:rsidR="080827CB" w:rsidRPr="003D1E07">
        <w:t xml:space="preserve">k </w:t>
      </w:r>
      <w:r w:rsidR="080827CB" w:rsidRPr="003D1E07">
        <w:rPr>
          <w:i/>
        </w:rPr>
        <w:t>Metafyzice</w:t>
      </w:r>
      <w:r w:rsidR="080827CB" w:rsidRPr="003D1E07">
        <w:t xml:space="preserve"> </w:t>
      </w:r>
      <w:r w:rsidRPr="003D1E07">
        <w:t>odmítají A</w:t>
      </w:r>
      <w:r w:rsidR="082C6557" w:rsidRPr="003D1E07">
        <w:t xml:space="preserve">vicennu jako chybujícího dialektika, který </w:t>
      </w:r>
      <w:r w:rsidR="009B6231" w:rsidRPr="003D1E07">
        <w:t xml:space="preserve">v žádném případě </w:t>
      </w:r>
      <w:r w:rsidR="082C6557" w:rsidRPr="003D1E07">
        <w:t xml:space="preserve">nedosahuje </w:t>
      </w:r>
      <w:r w:rsidR="00353313" w:rsidRPr="003D1E07">
        <w:t xml:space="preserve">úrovně </w:t>
      </w:r>
      <w:r w:rsidR="00287A3D" w:rsidRPr="003D1E07">
        <w:t xml:space="preserve">aristotelského teologa </w:t>
      </w:r>
      <w:r w:rsidR="08F76E18" w:rsidRPr="003D1E07">
        <w:t>Al-</w:t>
      </w:r>
      <w:r w:rsidR="082C6557" w:rsidRPr="003D1E07">
        <w:t>G</w:t>
      </w:r>
      <w:r w:rsidR="001F6374" w:rsidRPr="003D1E07">
        <w:t>h</w:t>
      </w:r>
      <w:r w:rsidR="082C6557" w:rsidRPr="003D1E07">
        <w:t>azálího</w:t>
      </w:r>
      <w:r w:rsidR="00BF6E3C" w:rsidRPr="003D1E07">
        <w:fldChar w:fldCharType="begin"/>
      </w:r>
      <w:r w:rsidR="00BF6E3C" w:rsidRPr="003D1E07">
        <w:instrText xml:space="preserve"> XE "</w:instrText>
      </w:r>
      <w:r w:rsidR="00247EF8" w:rsidRPr="003D1E07">
        <w:instrText>Al-</w:instrText>
      </w:r>
      <w:r w:rsidR="00BF6E3C" w:rsidRPr="003D1E07">
        <w:instrText xml:space="preserve">Ghazálí" </w:instrText>
      </w:r>
      <w:r w:rsidR="00BF6E3C" w:rsidRPr="003D1E07">
        <w:fldChar w:fldCharType="end"/>
      </w:r>
      <w:r w:rsidR="082C6557" w:rsidRPr="003D1E07">
        <w:t>.</w:t>
      </w:r>
      <w:r w:rsidR="082C6557" w:rsidRPr="003D1E07">
        <w:rPr>
          <w:rStyle w:val="Znakapoznpodarou"/>
        </w:rPr>
        <w:footnoteReference w:id="227"/>
      </w:r>
      <w:r w:rsidR="082C6557" w:rsidRPr="003D1E07">
        <w:t xml:space="preserve"> </w:t>
      </w:r>
      <w:r w:rsidR="08723DAD" w:rsidRPr="003D1E07">
        <w:t xml:space="preserve">Dialektika je pro dokazování první vědy nepřijatelná, protože vědění prvních principů musí být postaveno na apodiktickém důkazu, jak jej postulují </w:t>
      </w:r>
      <w:r w:rsidR="08723DAD" w:rsidRPr="003D1E07">
        <w:rPr>
          <w:i/>
        </w:rPr>
        <w:t>Druhé Analytiky</w:t>
      </w:r>
      <w:r w:rsidR="08723DAD" w:rsidRPr="003D1E07">
        <w:t xml:space="preserve">. Apodiktický důkaz nehybné první substance, a tudíž i zkoumání jejích principů, je možné jedině za předpokladu, že existuje </w:t>
      </w:r>
      <w:r w:rsidR="0077700A" w:rsidRPr="003D1E07">
        <w:t>reálná</w:t>
      </w:r>
      <w:r w:rsidR="0036219D" w:rsidRPr="003D1E07">
        <w:t xml:space="preserve"> první </w:t>
      </w:r>
      <w:r w:rsidR="08723DAD" w:rsidRPr="003D1E07">
        <w:t>substance</w:t>
      </w:r>
      <w:r w:rsidR="00601EFC" w:rsidRPr="003D1E07">
        <w:t xml:space="preserve"> a že je </w:t>
      </w:r>
      <w:r w:rsidR="00F75F2F" w:rsidRPr="003D1E07">
        <w:t xml:space="preserve">predikována v obecných soudech </w:t>
      </w:r>
      <w:r w:rsidR="00601EFC" w:rsidRPr="003D1E07">
        <w:t xml:space="preserve">skrze </w:t>
      </w:r>
      <w:r w:rsidR="00F75F2F" w:rsidRPr="003D1E07">
        <w:t xml:space="preserve">jedinečnou </w:t>
      </w:r>
      <w:r w:rsidR="00601EFC" w:rsidRPr="003D1E07">
        <w:t>kauzalitu a pohyb</w:t>
      </w:r>
      <w:r w:rsidR="084B40BF" w:rsidRPr="003D1E07">
        <w:t xml:space="preserve"> v realitě</w:t>
      </w:r>
      <w:r w:rsidR="08723DAD" w:rsidRPr="003D1E07">
        <w:t xml:space="preserve">. </w:t>
      </w:r>
      <w:r w:rsidR="00372223" w:rsidRPr="003D1E07">
        <w:t>E</w:t>
      </w:r>
      <w:r w:rsidR="00C4487D" w:rsidRPr="003D1E07">
        <w:t>xistence Prvního hybatele</w:t>
      </w:r>
      <w:r w:rsidR="00300DB0" w:rsidRPr="003D1E07">
        <w:fldChar w:fldCharType="begin"/>
      </w:r>
      <w:r w:rsidR="00300DB0" w:rsidRPr="003D1E07">
        <w:instrText xml:space="preserve"> XE "První hybatel" </w:instrText>
      </w:r>
      <w:r w:rsidR="00300DB0" w:rsidRPr="003D1E07">
        <w:fldChar w:fldCharType="end"/>
      </w:r>
      <w:r w:rsidR="00C4487D" w:rsidRPr="003D1E07">
        <w:t xml:space="preserve"> je na základě pohybu dokázána </w:t>
      </w:r>
      <w:r w:rsidR="00AC0EB1" w:rsidRPr="003D1E07">
        <w:t xml:space="preserve">už v Aristotelově </w:t>
      </w:r>
      <w:r w:rsidR="00C4487D" w:rsidRPr="003D1E07">
        <w:rPr>
          <w:i/>
        </w:rPr>
        <w:t>Fyzice</w:t>
      </w:r>
      <w:r w:rsidR="00C4487D" w:rsidRPr="003D1E07">
        <w:t xml:space="preserve">. </w:t>
      </w:r>
      <w:r w:rsidR="00F03F59" w:rsidRPr="003D1E07">
        <w:t xml:space="preserve">Prvním důkazem je účinek materiální a efektivní kauzality. Bez ní </w:t>
      </w:r>
      <w:r w:rsidR="00ED4DE2" w:rsidRPr="003D1E07">
        <w:t xml:space="preserve">by vůbec nebyla </w:t>
      </w:r>
      <w:r w:rsidR="00F03F59" w:rsidRPr="003D1E07">
        <w:t xml:space="preserve">možná apodiktická konstrukce metafyziky v knize </w:t>
      </w:r>
      <w:r w:rsidR="00F03F59" w:rsidRPr="003D1E07">
        <w:rPr>
          <w:i/>
        </w:rPr>
        <w:t>Lambda</w:t>
      </w:r>
      <w:r w:rsidR="00F03F59" w:rsidRPr="003D1E07">
        <w:t xml:space="preserve">, kde je definována první věda. </w:t>
      </w:r>
      <w:r w:rsidR="006E7032" w:rsidRPr="003D1E07">
        <w:t xml:space="preserve">Avicennovi chybí impozice </w:t>
      </w:r>
      <w:r w:rsidR="00FC2B09" w:rsidRPr="003D1E07">
        <w:t xml:space="preserve">metafyzického </w:t>
      </w:r>
      <w:r w:rsidR="006E7032" w:rsidRPr="003D1E07">
        <w:t>významu z reality, proto je jeho metafyzika jeden velký omyl.</w:t>
      </w:r>
      <w:r w:rsidR="008478C9" w:rsidRPr="003D1E07">
        <w:t xml:space="preserve"> </w:t>
      </w:r>
      <w:r w:rsidR="002E3B62" w:rsidRPr="003D1E07">
        <w:t>Averroes</w:t>
      </w:r>
      <w:r w:rsidR="080C41F1" w:rsidRPr="003D1E07">
        <w:t xml:space="preserve"> </w:t>
      </w:r>
      <w:r w:rsidR="00A94AB4" w:rsidRPr="003D1E07">
        <w:t xml:space="preserve">definitivně překonává jak </w:t>
      </w:r>
      <w:r w:rsidR="00FD060F" w:rsidRPr="003D1E07">
        <w:t>modernizovaný neoplatonismus</w:t>
      </w:r>
      <w:r w:rsidR="088E4990" w:rsidRPr="003D1E07">
        <w:t xml:space="preserve"> </w:t>
      </w:r>
      <w:r w:rsidR="00FD060F" w:rsidRPr="003D1E07">
        <w:t>Avicenny</w:t>
      </w:r>
      <w:r w:rsidR="00A94AB4" w:rsidRPr="003D1E07">
        <w:t xml:space="preserve">, tak i </w:t>
      </w:r>
      <w:r w:rsidR="00DE634B" w:rsidRPr="003D1E07">
        <w:t xml:space="preserve">jeho dialekticky </w:t>
      </w:r>
      <w:r w:rsidR="00A94AB4" w:rsidRPr="003D1E07">
        <w:t>správnou, ale filosoficky nedostačující dialektiku Al-</w:t>
      </w:r>
      <w:r w:rsidR="081C6151" w:rsidRPr="003D1E07">
        <w:t>G</w:t>
      </w:r>
      <w:r w:rsidR="001F6374" w:rsidRPr="003D1E07">
        <w:t>h</w:t>
      </w:r>
      <w:r w:rsidR="00A94AB4" w:rsidRPr="003D1E07">
        <w:t>azálího</w:t>
      </w:r>
      <w:r w:rsidR="00BF6E3C" w:rsidRPr="003D1E07">
        <w:fldChar w:fldCharType="begin"/>
      </w:r>
      <w:r w:rsidR="00BF6E3C" w:rsidRPr="003D1E07">
        <w:instrText xml:space="preserve"> XE "</w:instrText>
      </w:r>
      <w:r w:rsidR="00247EF8" w:rsidRPr="003D1E07">
        <w:instrText>Al-</w:instrText>
      </w:r>
      <w:r w:rsidR="00BF6E3C" w:rsidRPr="003D1E07">
        <w:instrText xml:space="preserve">Ghazálí" </w:instrText>
      </w:r>
      <w:r w:rsidR="00BF6E3C" w:rsidRPr="003D1E07">
        <w:fldChar w:fldCharType="end"/>
      </w:r>
      <w:r w:rsidR="00657F68" w:rsidRPr="003D1E07">
        <w:t xml:space="preserve">. </w:t>
      </w:r>
      <w:r w:rsidR="00104FDA" w:rsidRPr="003D1E07">
        <w:t>Totéž stanovisko ohledně apodiktického statu</w:t>
      </w:r>
      <w:r w:rsidR="00773BEC" w:rsidRPr="003D1E07">
        <w:t>tu první vědy založené na studiu</w:t>
      </w:r>
      <w:r w:rsidR="00104FDA" w:rsidRPr="003D1E07">
        <w:t xml:space="preserve"> principů reálné substance přináší mnohem propracovaněji velký komentář k </w:t>
      </w:r>
      <w:r w:rsidR="00104FDA" w:rsidRPr="003D1E07">
        <w:rPr>
          <w:i/>
        </w:rPr>
        <w:t>Metafyzice</w:t>
      </w:r>
      <w:r w:rsidR="00104FDA" w:rsidRPr="003D1E07">
        <w:t xml:space="preserve"> psaný někdy po roce </w:t>
      </w:r>
      <w:r w:rsidR="00104FDA" w:rsidRPr="003D1E07">
        <w:lastRenderedPageBreak/>
        <w:t>1190, který ke kritice Avicenny přidává</w:t>
      </w:r>
      <w:r w:rsidR="002C75FC" w:rsidRPr="003D1E07">
        <w:t xml:space="preserve"> i výše uvedenou kritiku Alexandra</w:t>
      </w:r>
      <w:r w:rsidR="00955903" w:rsidRPr="003D1E07">
        <w:fldChar w:fldCharType="begin"/>
      </w:r>
      <w:r w:rsidR="00955903" w:rsidRPr="003D1E07">
        <w:instrText xml:space="preserve"> XE "Alexander Afrodisias" </w:instrText>
      </w:r>
      <w:r w:rsidR="00955903" w:rsidRPr="003D1E07">
        <w:fldChar w:fldCharType="end"/>
      </w:r>
      <w:r w:rsidR="002C75FC" w:rsidRPr="003D1E07">
        <w:t xml:space="preserve"> Afrodisia. </w:t>
      </w:r>
      <w:r w:rsidR="009A2EBD" w:rsidRPr="003D1E07">
        <w:t xml:space="preserve">Jádro kritiky je stejné jako v </w:t>
      </w:r>
      <w:r w:rsidR="009A2EBD" w:rsidRPr="003D1E07">
        <w:rPr>
          <w:i/>
        </w:rPr>
        <w:t>Epitome</w:t>
      </w:r>
      <w:r w:rsidR="003E7838" w:rsidRPr="003D1E07">
        <w:t xml:space="preserve">, ale velký komentář vytváří kompletní architekturu první vědy na základě apodiktického zkoumání. </w:t>
      </w:r>
      <w:r w:rsidR="00104FDA" w:rsidRPr="003D1E07">
        <w:t xml:space="preserve">Avicennova dráha </w:t>
      </w:r>
      <w:r w:rsidR="00A54BA7" w:rsidRPr="003D1E07">
        <w:t>metafyzického ná</w:t>
      </w:r>
      <w:r w:rsidR="00104FDA" w:rsidRPr="003D1E07">
        <w:t xml:space="preserve">hledu </w:t>
      </w:r>
      <w:r w:rsidR="00CE77C3" w:rsidRPr="003D1E07">
        <w:t>po</w:t>
      </w:r>
      <w:r w:rsidR="00104FDA" w:rsidRPr="003D1E07">
        <w:t xml:space="preserve">minula </w:t>
      </w:r>
      <w:r w:rsidR="00CE77C3" w:rsidRPr="003D1E07">
        <w:t xml:space="preserve">reálnou </w:t>
      </w:r>
      <w:r w:rsidR="00104FDA" w:rsidRPr="003D1E07">
        <w:t xml:space="preserve">substanci a šla k abstrakci typu </w:t>
      </w:r>
      <w:r w:rsidR="00104FDA" w:rsidRPr="003D1E07">
        <w:rPr>
          <w:i/>
        </w:rPr>
        <w:t>ens simpliciter</w:t>
      </w:r>
      <w:r w:rsidR="00104FDA" w:rsidRPr="003D1E07">
        <w:t xml:space="preserve">. Jenže takto vytvořené univerzálie existují pouze v mysli a nikde jinde. </w:t>
      </w:r>
      <w:r w:rsidR="002E3B62" w:rsidRPr="003D1E07">
        <w:t>Averroes</w:t>
      </w:r>
      <w:r w:rsidR="00104FDA" w:rsidRPr="003D1E07">
        <w:t xml:space="preserve">ův </w:t>
      </w:r>
      <w:r w:rsidR="08C86FD2" w:rsidRPr="003D1E07">
        <w:rPr>
          <w:i/>
        </w:rPr>
        <w:t>Tafsír</w:t>
      </w:r>
      <w:r w:rsidR="08C86FD2" w:rsidRPr="003D1E07">
        <w:t xml:space="preserve"> </w:t>
      </w:r>
      <w:r w:rsidR="00104FDA" w:rsidRPr="003D1E07">
        <w:t xml:space="preserve">to zdůrazňuje na mnoha místech, a navíc v přímé návaznosti na </w:t>
      </w:r>
      <w:r w:rsidR="008A3842" w:rsidRPr="003D1E07">
        <w:t xml:space="preserve">předcházející </w:t>
      </w:r>
      <w:r w:rsidR="002E3B62" w:rsidRPr="003D1E07">
        <w:t>Averroes</w:t>
      </w:r>
      <w:r w:rsidR="00B717EB" w:rsidRPr="003D1E07">
        <w:t xml:space="preserve">ovy </w:t>
      </w:r>
      <w:r w:rsidR="00104FDA" w:rsidRPr="003D1E07">
        <w:t xml:space="preserve">komentáře ke spisu </w:t>
      </w:r>
      <w:r w:rsidR="00B713C5" w:rsidRPr="003D1E07">
        <w:rPr>
          <w:i/>
        </w:rPr>
        <w:t>De anima</w:t>
      </w:r>
      <w:r w:rsidR="00104FDA" w:rsidRPr="003D1E07">
        <w:t>.</w:t>
      </w:r>
      <w:r w:rsidR="00104FDA" w:rsidRPr="003D1E07">
        <w:rPr>
          <w:rStyle w:val="Znakapoznpodarou"/>
        </w:rPr>
        <w:footnoteReference w:id="228"/>
      </w:r>
      <w:r w:rsidR="00064D44" w:rsidRPr="003D1E07">
        <w:t xml:space="preserve"> </w:t>
      </w:r>
      <w:r w:rsidR="08934684" w:rsidRPr="003D1E07">
        <w:t xml:space="preserve">Hermeneutika objektivity konstatuje, že </w:t>
      </w:r>
      <w:r w:rsidR="002E3B62" w:rsidRPr="003D1E07">
        <w:t>Averroes</w:t>
      </w:r>
      <w:r w:rsidR="08934684" w:rsidRPr="003D1E07">
        <w:t xml:space="preserve">ovy rané komentáře </w:t>
      </w:r>
      <w:r w:rsidR="08F03041" w:rsidRPr="003D1E07">
        <w:t xml:space="preserve">k aristotelskému Korpusu </w:t>
      </w:r>
      <w:r w:rsidR="08934684" w:rsidRPr="003D1E07">
        <w:t xml:space="preserve">zásadně odmítají klíčové ontologické předpoklady Avicennova pojetí objektivity, což potvrzuje </w:t>
      </w:r>
      <w:r w:rsidR="00590B49" w:rsidRPr="003D1E07">
        <w:t xml:space="preserve">CMDA </w:t>
      </w:r>
      <w:r w:rsidR="08934684" w:rsidRPr="003D1E07">
        <w:t xml:space="preserve">i pro průběh poznání. </w:t>
      </w:r>
      <w:r w:rsidR="0825467F" w:rsidRPr="003D1E07">
        <w:t>P</w:t>
      </w:r>
      <w:r w:rsidR="0865070C" w:rsidRPr="003D1E07">
        <w:t xml:space="preserve">odívejme se na pasáž CMDA </w:t>
      </w:r>
      <w:r w:rsidR="085334A0" w:rsidRPr="003D1E07">
        <w:t>shrn</w:t>
      </w:r>
      <w:r w:rsidR="0865070C" w:rsidRPr="003D1E07">
        <w:t>ující</w:t>
      </w:r>
      <w:r w:rsidR="001F6DC1" w:rsidRPr="003D1E07">
        <w:t xml:space="preserve"> </w:t>
      </w:r>
      <w:r w:rsidR="085334A0" w:rsidRPr="003D1E07">
        <w:t>všechny základní principy určení jsoucna.</w:t>
      </w:r>
    </w:p>
    <w:p w14:paraId="704EE277" w14:textId="1E5891B8" w:rsidR="001C26F4" w:rsidRPr="003D1E07" w:rsidRDefault="085334A0" w:rsidP="001C26F4">
      <w:pPr>
        <w:pStyle w:val="Citace"/>
        <w:rPr>
          <w:noProof/>
          <w:lang w:val="cs-CZ"/>
        </w:rPr>
      </w:pPr>
      <w:r w:rsidRPr="003D1E07">
        <w:rPr>
          <w:noProof/>
          <w:lang w:val="cs-CZ"/>
        </w:rPr>
        <w:t>„</w:t>
      </w:r>
      <w:r w:rsidR="001C3DD7" w:rsidRPr="003D1E07">
        <w:rPr>
          <w:noProof/>
          <w:lang w:val="cs-CZ"/>
        </w:rPr>
        <w:t xml:space="preserve">Dále </w:t>
      </w:r>
      <w:r w:rsidR="008E02F5" w:rsidRPr="003D1E07">
        <w:rPr>
          <w:noProof/>
          <w:lang w:val="cs-CZ"/>
        </w:rPr>
        <w:t>Aristoteles</w:t>
      </w:r>
      <w:r w:rsidR="001C3DD7" w:rsidRPr="003D1E07">
        <w:rPr>
          <w:noProof/>
          <w:lang w:val="cs-CZ"/>
        </w:rPr>
        <w:t xml:space="preserve"> řekl: </w:t>
      </w:r>
      <w:r w:rsidR="001C3DD7" w:rsidRPr="003D1E07">
        <w:rPr>
          <w:i/>
          <w:noProof/>
          <w:lang w:val="cs-CZ"/>
        </w:rPr>
        <w:t xml:space="preserve">Všechno, co je živým jsoucnem </w:t>
      </w:r>
      <w:r w:rsidR="001C3DD7" w:rsidRPr="003D1E07">
        <w:rPr>
          <w:noProof/>
          <w:lang w:val="cs-CZ"/>
        </w:rPr>
        <w:t>atd. To znamená, že definice rodu a druhu pro něj nejsou definice univerzálně pojatých věcí, které by existovaly mimo lidskou duši (</w:t>
      </w:r>
      <w:r w:rsidR="001C3DD7" w:rsidRPr="003D1E07">
        <w:rPr>
          <w:i/>
          <w:noProof/>
          <w:lang w:val="cs-CZ"/>
        </w:rPr>
        <w:t>existentium extra animam</w:t>
      </w:r>
      <w:r w:rsidR="001C3DD7" w:rsidRPr="003D1E07">
        <w:rPr>
          <w:noProof/>
          <w:lang w:val="cs-CZ"/>
        </w:rPr>
        <w:t xml:space="preserve">). </w:t>
      </w:r>
      <w:r w:rsidR="08B16FCC" w:rsidRPr="003D1E07">
        <w:rPr>
          <w:noProof/>
          <w:lang w:val="cs-CZ"/>
        </w:rPr>
        <w:t>J</w:t>
      </w:r>
      <w:r w:rsidR="000475C8" w:rsidRPr="003D1E07">
        <w:rPr>
          <w:noProof/>
          <w:lang w:val="cs-CZ"/>
        </w:rPr>
        <w:t>sou defin</w:t>
      </w:r>
      <w:r w:rsidR="00411086" w:rsidRPr="003D1E07">
        <w:rPr>
          <w:noProof/>
          <w:lang w:val="cs-CZ"/>
        </w:rPr>
        <w:t>ic</w:t>
      </w:r>
      <w:r w:rsidR="000475C8" w:rsidRPr="003D1E07">
        <w:rPr>
          <w:noProof/>
          <w:lang w:val="cs-CZ"/>
        </w:rPr>
        <w:t xml:space="preserve">emi </w:t>
      </w:r>
      <w:r w:rsidR="00D544D5">
        <w:rPr>
          <w:noProof/>
          <w:lang w:val="cs-CZ"/>
        </w:rPr>
        <w:t xml:space="preserve">reálných </w:t>
      </w:r>
      <w:r w:rsidR="000475C8" w:rsidRPr="003D1E07">
        <w:rPr>
          <w:noProof/>
          <w:lang w:val="cs-CZ"/>
        </w:rPr>
        <w:t>věcí daných mimo intelekt, ale je to intelekt, který v těchto věcech produkuje univerzalitu (</w:t>
      </w:r>
      <w:r w:rsidR="000475C8" w:rsidRPr="003D1E07">
        <w:rPr>
          <w:i/>
          <w:noProof/>
          <w:lang w:val="cs-CZ"/>
        </w:rPr>
        <w:t>qui agit in eis universalitatem</w:t>
      </w:r>
      <w:r w:rsidR="000475C8" w:rsidRPr="003D1E07">
        <w:rPr>
          <w:noProof/>
          <w:lang w:val="cs-CZ"/>
        </w:rPr>
        <w:t>). Živá bytost pojatá univerzálně buď není vůbec ničím (</w:t>
      </w:r>
      <w:r w:rsidR="000475C8" w:rsidRPr="003D1E07">
        <w:rPr>
          <w:i/>
          <w:noProof/>
          <w:lang w:val="cs-CZ"/>
        </w:rPr>
        <w:t>aut nichil est omnino</w:t>
      </w:r>
      <w:r w:rsidR="000475C8" w:rsidRPr="003D1E07">
        <w:rPr>
          <w:noProof/>
          <w:lang w:val="cs-CZ"/>
        </w:rPr>
        <w:t>), nebo je její obecné bytí dáno až po bytí reálné věci (</w:t>
      </w:r>
      <w:r w:rsidR="000475C8" w:rsidRPr="003D1E07">
        <w:rPr>
          <w:i/>
          <w:noProof/>
          <w:lang w:val="cs-CZ"/>
        </w:rPr>
        <w:t>esse eius est posterius</w:t>
      </w:r>
      <w:r w:rsidR="000475C8" w:rsidRPr="003D1E07">
        <w:rPr>
          <w:noProof/>
          <w:lang w:val="cs-CZ"/>
        </w:rPr>
        <w:t>), pokud má vůbec univerzální jsoucno nějak existovat.“</w:t>
      </w:r>
      <w:r w:rsidR="00B0620A" w:rsidRPr="003D1E07">
        <w:rPr>
          <w:noProof/>
          <w:lang w:val="cs-CZ"/>
        </w:rPr>
        <w:t xml:space="preserve"> </w:t>
      </w:r>
      <w:r w:rsidR="00B0620A" w:rsidRPr="003D1E07">
        <w:rPr>
          <w:rStyle w:val="Znakapoznpodarou"/>
          <w:noProof/>
          <w:lang w:val="cs-CZ"/>
        </w:rPr>
        <w:footnoteReference w:id="229"/>
      </w:r>
      <w:r w:rsidR="001C26F4" w:rsidRPr="003D1E07">
        <w:rPr>
          <w:noProof/>
          <w:lang w:val="cs-CZ"/>
        </w:rPr>
        <w:t xml:space="preserve"> </w:t>
      </w:r>
    </w:p>
    <w:p w14:paraId="75FCD6E6" w14:textId="5FBFB8B7" w:rsidR="005A5B5E" w:rsidRDefault="085334A0" w:rsidP="00104FDA">
      <w:r w:rsidRPr="003D1E07">
        <w:t xml:space="preserve">V realitě existují jen první substance a univerzália existují jen v lidské mysli, protože vznikají prací abstrahujícího intelektu. Závěrečná věta je zcela kategorická: buď univerzália neexistují vůbec, nebo jsou pouze v lidské mysli. Avicennou postulovaná existence univerzálií </w:t>
      </w:r>
      <w:r w:rsidR="007304A7" w:rsidRPr="003D1E07">
        <w:t xml:space="preserve">skrze objektivní predikaci danou v modu </w:t>
      </w:r>
      <w:r w:rsidRPr="003D1E07">
        <w:rPr>
          <w:i/>
        </w:rPr>
        <w:t>per prius</w:t>
      </w:r>
      <w:r w:rsidR="007304A7" w:rsidRPr="003D1E07">
        <w:t xml:space="preserve"> není možná. V </w:t>
      </w:r>
      <w:r w:rsidRPr="003D1E07">
        <w:t xml:space="preserve">modu </w:t>
      </w:r>
      <w:r w:rsidRPr="003D1E07">
        <w:rPr>
          <w:i/>
        </w:rPr>
        <w:t>per prius</w:t>
      </w:r>
      <w:r w:rsidRPr="003D1E07">
        <w:t xml:space="preserve"> jsou dány pouze první substance a všechno lidské porozumění je predikováno pouze v modu </w:t>
      </w:r>
      <w:r w:rsidRPr="003D1E07">
        <w:rPr>
          <w:i/>
        </w:rPr>
        <w:t>per posterius</w:t>
      </w:r>
      <w:r w:rsidRPr="003D1E07">
        <w:t xml:space="preserve"> </w:t>
      </w:r>
      <w:r w:rsidR="00074719" w:rsidRPr="003D1E07">
        <w:fldChar w:fldCharType="begin"/>
      </w:r>
      <w:r w:rsidR="00074719" w:rsidRPr="003D1E07">
        <w:instrText xml:space="preserve"> XE "predikace:</w:instrText>
      </w:r>
      <w:r w:rsidR="00074719" w:rsidRPr="003D1E07">
        <w:rPr>
          <w:i/>
        </w:rPr>
        <w:instrText>per posterius</w:instrText>
      </w:r>
      <w:r w:rsidR="00074719" w:rsidRPr="003D1E07">
        <w:instrText xml:space="preserve">" </w:instrText>
      </w:r>
      <w:r w:rsidR="00074719" w:rsidRPr="003D1E07">
        <w:fldChar w:fldCharType="end"/>
      </w:r>
      <w:r w:rsidRPr="003D1E07">
        <w:t>vzhledem k primální ak</w:t>
      </w:r>
      <w:r w:rsidR="00AC5A5E" w:rsidRPr="003D1E07">
        <w:t>tualitě prvních substancí.</w:t>
      </w:r>
      <w:r w:rsidR="089369B5" w:rsidRPr="003D1E07">
        <w:t xml:space="preserve"> </w:t>
      </w:r>
      <w:r w:rsidR="0020379B" w:rsidRPr="003D1E07">
        <w:t xml:space="preserve">Avicenna rozbil </w:t>
      </w:r>
      <w:r w:rsidR="08360DC7" w:rsidRPr="003D1E07">
        <w:t xml:space="preserve">podle </w:t>
      </w:r>
      <w:r w:rsidR="002E3B62" w:rsidRPr="003D1E07">
        <w:t>Averroes</w:t>
      </w:r>
      <w:r w:rsidR="08360DC7" w:rsidRPr="003D1E07">
        <w:t xml:space="preserve">e </w:t>
      </w:r>
      <w:r w:rsidR="0020379B" w:rsidRPr="003D1E07">
        <w:t xml:space="preserve">jednotu metafyziky dvojím </w:t>
      </w:r>
      <w:r w:rsidR="08F7046A" w:rsidRPr="003D1E07">
        <w:t xml:space="preserve">zásadním </w:t>
      </w:r>
      <w:r w:rsidR="08501C38" w:rsidRPr="003D1E07">
        <w:t>omylem. P</w:t>
      </w:r>
      <w:r w:rsidR="08F7046A" w:rsidRPr="003D1E07">
        <w:t xml:space="preserve">ominul zkoumání </w:t>
      </w:r>
      <w:r w:rsidR="005503E7">
        <w:t xml:space="preserve">první reálné </w:t>
      </w:r>
      <w:r w:rsidR="00104FDA" w:rsidRPr="003D1E07">
        <w:t>substance</w:t>
      </w:r>
      <w:r w:rsidR="00A70FA4" w:rsidRPr="003D1E07">
        <w:fldChar w:fldCharType="begin"/>
      </w:r>
      <w:r w:rsidR="00A70FA4" w:rsidRPr="003D1E07">
        <w:instrText xml:space="preserve"> XE "substance</w:instrText>
      </w:r>
      <w:r w:rsidR="00074719" w:rsidRPr="003D1E07">
        <w:instrText>:</w:instrText>
      </w:r>
      <w:r w:rsidR="002E3B62" w:rsidRPr="003D1E07">
        <w:instrText>Averroes</w:instrText>
      </w:r>
      <w:r w:rsidR="00A70FA4" w:rsidRPr="003D1E07">
        <w:instrText xml:space="preserve">" </w:instrText>
      </w:r>
      <w:r w:rsidR="00A70FA4" w:rsidRPr="003D1E07">
        <w:fldChar w:fldCharType="end"/>
      </w:r>
      <w:r w:rsidR="00104FDA" w:rsidRPr="003D1E07">
        <w:t xml:space="preserve"> a </w:t>
      </w:r>
      <w:r w:rsidR="08F7046A" w:rsidRPr="003D1E07">
        <w:t>zrušil metafyzik</w:t>
      </w:r>
      <w:r w:rsidR="0893307B" w:rsidRPr="003D1E07">
        <w:t>u jako vědu</w:t>
      </w:r>
      <w:r w:rsidR="08F7046A" w:rsidRPr="003D1E07">
        <w:t xml:space="preserve"> postavenou na fyzice</w:t>
      </w:r>
      <w:r w:rsidR="0020379B" w:rsidRPr="003D1E07">
        <w:t xml:space="preserve">. Oba tyto předpoklady </w:t>
      </w:r>
      <w:r w:rsidR="00D85695" w:rsidRPr="003D1E07">
        <w:t xml:space="preserve">první vědy </w:t>
      </w:r>
      <w:r w:rsidR="0020379B" w:rsidRPr="003D1E07">
        <w:t xml:space="preserve">správně </w:t>
      </w:r>
      <w:r w:rsidR="00104FDA" w:rsidRPr="003D1E07">
        <w:t>postuloval</w:t>
      </w:r>
      <w:r w:rsidR="085B021C" w:rsidRPr="003D1E07">
        <w:t xml:space="preserve"> Druhý mistr</w:t>
      </w:r>
      <w:r w:rsidR="00ED3A76" w:rsidRPr="003D1E07">
        <w:t>, proto s</w:t>
      </w:r>
      <w:r w:rsidR="00537B49" w:rsidRPr="003D1E07">
        <w:t xml:space="preserve">e </w:t>
      </w:r>
      <w:r w:rsidR="085B021C" w:rsidRPr="003D1E07">
        <w:t xml:space="preserve">Komentátor </w:t>
      </w:r>
      <w:r w:rsidR="00537B49" w:rsidRPr="003D1E07">
        <w:t>považuje za jeho nástupce</w:t>
      </w:r>
      <w:r w:rsidR="00104FDA" w:rsidRPr="003D1E07">
        <w:t xml:space="preserve">. </w:t>
      </w:r>
      <w:r w:rsidR="00CE3541" w:rsidRPr="003D1E07">
        <w:t>Avicennova t</w:t>
      </w:r>
      <w:r w:rsidR="00104FDA" w:rsidRPr="003D1E07">
        <w:t xml:space="preserve">ranscendentální predikace k abstraktnímu pojetí </w:t>
      </w:r>
      <w:r w:rsidR="00104FDA" w:rsidRPr="003D1E07">
        <w:rPr>
          <w:i/>
        </w:rPr>
        <w:t>ens inquantum ens</w:t>
      </w:r>
      <w:r w:rsidR="00160B80" w:rsidRPr="003D1E07">
        <w:rPr>
          <w:i/>
        </w:rPr>
        <w:fldChar w:fldCharType="begin"/>
      </w:r>
      <w:r w:rsidR="00160B80" w:rsidRPr="003D1E07">
        <w:instrText xml:space="preserve"> XE "</w:instrText>
      </w:r>
      <w:r w:rsidR="00160B80" w:rsidRPr="003D1E07">
        <w:rPr>
          <w:i/>
        </w:rPr>
        <w:instrText>ens inquantum ens</w:instrText>
      </w:r>
      <w:r w:rsidR="00160B80" w:rsidRPr="003D1E07">
        <w:instrText xml:space="preserve">" </w:instrText>
      </w:r>
      <w:r w:rsidR="00160B80" w:rsidRPr="003D1E07">
        <w:rPr>
          <w:i/>
        </w:rPr>
        <w:fldChar w:fldCharType="end"/>
      </w:r>
      <w:r w:rsidR="00104FDA" w:rsidRPr="003D1E07">
        <w:t xml:space="preserve"> vytváří v lepším případě </w:t>
      </w:r>
      <w:r w:rsidR="00104FDA" w:rsidRPr="003D1E07">
        <w:lastRenderedPageBreak/>
        <w:t xml:space="preserve">analogii a v horším případě pouhou </w:t>
      </w:r>
      <w:r w:rsidR="08220D78" w:rsidRPr="003D1E07">
        <w:t xml:space="preserve">homonymii jednoty jsoucího. </w:t>
      </w:r>
      <w:r w:rsidR="00854CDE" w:rsidRPr="003D1E07">
        <w:t xml:space="preserve">Analogie nedělá vědu, ale exemplifikaci; homonymie vytváří už jen </w:t>
      </w:r>
      <w:r w:rsidR="007866A9" w:rsidRPr="003D1E07">
        <w:t xml:space="preserve">akademickou </w:t>
      </w:r>
      <w:r w:rsidR="00854CDE" w:rsidRPr="003D1E07">
        <w:t xml:space="preserve">pohádku. </w:t>
      </w:r>
      <w:r w:rsidR="00545610" w:rsidRPr="003D1E07">
        <w:t>Aristoteles jednoznačně odmítl o</w:t>
      </w:r>
      <w:r w:rsidR="08220D78" w:rsidRPr="003D1E07">
        <w:t xml:space="preserve">bě formy predikace </w:t>
      </w:r>
      <w:r w:rsidR="00104FDA" w:rsidRPr="003D1E07">
        <w:t>pro první vědu</w:t>
      </w:r>
      <w:r w:rsidR="08B752B8" w:rsidRPr="003D1E07">
        <w:t xml:space="preserve"> o su</w:t>
      </w:r>
      <w:r w:rsidR="084520FF" w:rsidRPr="003D1E07">
        <w:t>bstanci</w:t>
      </w:r>
      <w:r w:rsidR="00545610" w:rsidRPr="003D1E07">
        <w:t xml:space="preserve">. </w:t>
      </w:r>
      <w:r w:rsidR="00DB01BC" w:rsidRPr="003D1E07">
        <w:t>Taková věda není</w:t>
      </w:r>
      <w:r w:rsidR="08220D78" w:rsidRPr="003D1E07">
        <w:t xml:space="preserve"> vědeckým poznáním</w:t>
      </w:r>
      <w:r w:rsidR="00DB01BC" w:rsidRPr="003D1E07">
        <w:t xml:space="preserve"> a nemá apodi</w:t>
      </w:r>
      <w:r w:rsidR="008C1400" w:rsidRPr="003D1E07">
        <w:t>k</w:t>
      </w:r>
      <w:r w:rsidR="00DB01BC" w:rsidRPr="003D1E07">
        <w:t>tický důkaz</w:t>
      </w:r>
      <w:r w:rsidR="084520FF" w:rsidRPr="003D1E07">
        <w:t xml:space="preserve">, ale </w:t>
      </w:r>
      <w:r w:rsidR="00DB01BC" w:rsidRPr="003D1E07">
        <w:t xml:space="preserve">je </w:t>
      </w:r>
      <w:r w:rsidR="08B752B8" w:rsidRPr="003D1E07">
        <w:t>neo</w:t>
      </w:r>
      <w:r w:rsidR="084520FF" w:rsidRPr="003D1E07">
        <w:t>platonskou spekulací</w:t>
      </w:r>
      <w:r w:rsidR="0820270D" w:rsidRPr="003D1E07">
        <w:t xml:space="preserve"> </w:t>
      </w:r>
      <w:r w:rsidR="00545610" w:rsidRPr="003D1E07">
        <w:t>na způsob mytopoetiky</w:t>
      </w:r>
      <w:r w:rsidR="08616081" w:rsidRPr="003D1E07">
        <w:fldChar w:fldCharType="begin"/>
      </w:r>
      <w:r w:rsidR="08616081" w:rsidRPr="003D1E07">
        <w:instrText xml:space="preserve"> XE "mytopoiesis" </w:instrText>
      </w:r>
      <w:r w:rsidR="08616081" w:rsidRPr="003D1E07">
        <w:fldChar w:fldCharType="end"/>
      </w:r>
      <w:r w:rsidR="0820270D" w:rsidRPr="003D1E07">
        <w:t xml:space="preserve"> dialogu </w:t>
      </w:r>
      <w:r w:rsidR="0820270D" w:rsidRPr="003D1E07">
        <w:rPr>
          <w:i/>
        </w:rPr>
        <w:t>Timaios</w:t>
      </w:r>
      <w:r w:rsidR="00104FDA" w:rsidRPr="003D1E07">
        <w:t xml:space="preserve">. První vědu </w:t>
      </w:r>
      <w:r w:rsidR="08220D78" w:rsidRPr="003D1E07">
        <w:t xml:space="preserve">také </w:t>
      </w:r>
      <w:r w:rsidR="00104FDA" w:rsidRPr="003D1E07">
        <w:t xml:space="preserve">není možné budovat na </w:t>
      </w:r>
      <w:r w:rsidR="00590AC4" w:rsidRPr="003D1E07">
        <w:t xml:space="preserve">pouhé </w:t>
      </w:r>
      <w:r w:rsidR="08220D78" w:rsidRPr="003D1E07">
        <w:t>dialektice nejvyšších rodů bytí, jako to měl platonismus</w:t>
      </w:r>
      <w:r w:rsidR="00104FDA" w:rsidRPr="003D1E07">
        <w:t xml:space="preserve">. </w:t>
      </w:r>
      <w:r w:rsidR="089369B5" w:rsidRPr="003D1E07">
        <w:t>Teorie poznání musí najít způsob originální recepce světa</w:t>
      </w:r>
      <w:r w:rsidR="000669F0">
        <w:t xml:space="preserve">. To předpokládá </w:t>
      </w:r>
      <w:r w:rsidR="089369B5" w:rsidRPr="003D1E07">
        <w:t xml:space="preserve">založení „meta-fyziky“ </w:t>
      </w:r>
      <w:r w:rsidR="00F15E7F" w:rsidRPr="003D1E07">
        <w:t xml:space="preserve">na základě </w:t>
      </w:r>
      <w:r w:rsidR="089369B5" w:rsidRPr="003D1E07">
        <w:t xml:space="preserve">první substance </w:t>
      </w:r>
      <w:r w:rsidR="00F15E7F" w:rsidRPr="003D1E07">
        <w:t xml:space="preserve">a </w:t>
      </w:r>
      <w:r w:rsidR="000669F0">
        <w:t>podle p</w:t>
      </w:r>
      <w:r w:rsidR="089369B5" w:rsidRPr="003D1E07">
        <w:t>ravdy jako adekvace</w:t>
      </w:r>
      <w:r w:rsidR="008B1E65">
        <w:t xml:space="preserve"> reality a myšlení</w:t>
      </w:r>
      <w:r w:rsidR="089369B5" w:rsidRPr="003D1E07">
        <w:t xml:space="preserve">. </w:t>
      </w:r>
      <w:r w:rsidR="00032024" w:rsidRPr="003D1E07">
        <w:rPr>
          <w:lang w:eastAsia="en-US"/>
        </w:rPr>
        <w:t xml:space="preserve">Gigantomachie mezi oběma mysliteli falsafy vedla na latinském Západě ve škole </w:t>
      </w:r>
      <w:r w:rsidR="00032024" w:rsidRPr="003D1E07">
        <w:rPr>
          <w:i/>
          <w:lang w:eastAsia="en-US"/>
        </w:rPr>
        <w:t>Modernorum</w:t>
      </w:r>
      <w:r w:rsidR="00032024" w:rsidRPr="003D1E07">
        <w:rPr>
          <w:lang w:eastAsia="en-US"/>
        </w:rPr>
        <w:t xml:space="preserve"> k zatmění </w:t>
      </w:r>
      <w:r w:rsidR="00032024">
        <w:rPr>
          <w:lang w:eastAsia="en-US"/>
        </w:rPr>
        <w:t xml:space="preserve">první substance </w:t>
      </w:r>
      <w:r w:rsidR="00032024" w:rsidRPr="003D1E07">
        <w:rPr>
          <w:lang w:eastAsia="en-US"/>
        </w:rPr>
        <w:t xml:space="preserve">v </w:t>
      </w:r>
      <w:r w:rsidR="00032024">
        <w:rPr>
          <w:lang w:eastAsia="en-US"/>
        </w:rPr>
        <w:t xml:space="preserve">objektivně založené metafyzice. </w:t>
      </w:r>
      <w:r w:rsidR="00032024" w:rsidRPr="00AB6B83">
        <w:rPr>
          <w:lang w:eastAsia="en-US"/>
        </w:rPr>
        <w:t xml:space="preserve">Heideggerův termín </w:t>
      </w:r>
      <w:r w:rsidR="00032024" w:rsidRPr="00AB6B83">
        <w:rPr>
          <w:i/>
          <w:lang w:eastAsia="en-US"/>
        </w:rPr>
        <w:t>Irre</w:t>
      </w:r>
      <w:r w:rsidR="00032024" w:rsidRPr="003D1E07">
        <w:rPr>
          <w:i/>
          <w:lang w:eastAsia="en-US"/>
        </w:rPr>
        <w:fldChar w:fldCharType="begin"/>
      </w:r>
      <w:r w:rsidR="00032024" w:rsidRPr="003D1E07">
        <w:instrText xml:space="preserve"> XE "</w:instrText>
      </w:r>
      <w:r w:rsidR="00032024" w:rsidRPr="003D1E07">
        <w:rPr>
          <w:i/>
          <w:lang w:eastAsia="en-US"/>
        </w:rPr>
        <w:instrText>Irre</w:instrText>
      </w:r>
      <w:r w:rsidR="00032024" w:rsidRPr="003D1E07">
        <w:instrText xml:space="preserve">" </w:instrText>
      </w:r>
      <w:r w:rsidR="00032024" w:rsidRPr="003D1E07">
        <w:rPr>
          <w:i/>
          <w:lang w:eastAsia="en-US"/>
        </w:rPr>
        <w:fldChar w:fldCharType="end"/>
      </w:r>
      <w:r w:rsidR="00032024" w:rsidRPr="00AB6B83">
        <w:rPr>
          <w:lang w:eastAsia="en-US"/>
        </w:rPr>
        <w:t>, který se týká zatmění Bytí v Platónově metafyzice (</w:t>
      </w:r>
      <w:r w:rsidR="00032024" w:rsidRPr="00AB6B83">
        <w:rPr>
          <w:i/>
          <w:lang w:eastAsia="en-US"/>
        </w:rPr>
        <w:t>Seinsverlassenheit</w:t>
      </w:r>
      <w:r w:rsidR="00032024" w:rsidRPr="003D1E07">
        <w:rPr>
          <w:i/>
          <w:lang w:eastAsia="en-US"/>
        </w:rPr>
        <w:fldChar w:fldCharType="begin"/>
      </w:r>
      <w:r w:rsidR="00032024" w:rsidRPr="003D1E07">
        <w:instrText xml:space="preserve"> XE "</w:instrText>
      </w:r>
      <w:r w:rsidR="00032024" w:rsidRPr="003D1E07">
        <w:rPr>
          <w:i/>
          <w:lang w:eastAsia="en-US"/>
        </w:rPr>
        <w:instrText>Seinsverlassenheit</w:instrText>
      </w:r>
      <w:r w:rsidR="00032024" w:rsidRPr="003D1E07">
        <w:instrText xml:space="preserve">" </w:instrText>
      </w:r>
      <w:r w:rsidR="00032024" w:rsidRPr="003D1E07">
        <w:rPr>
          <w:i/>
          <w:lang w:eastAsia="en-US"/>
        </w:rPr>
        <w:fldChar w:fldCharType="end"/>
      </w:r>
      <w:r w:rsidR="00032024" w:rsidRPr="00AB6B83">
        <w:rPr>
          <w:lang w:eastAsia="en-US"/>
        </w:rPr>
        <w:t>), jsme interpretovali ve smyslu řecké tragédie p</w:t>
      </w:r>
      <w:r w:rsidR="00032024">
        <w:rPr>
          <w:lang w:eastAsia="en-US"/>
        </w:rPr>
        <w:t>ojaté božstvy Chaosu a Pomsty</w:t>
      </w:r>
      <w:r w:rsidR="00032024" w:rsidRPr="00AB6B83">
        <w:rPr>
          <w:lang w:eastAsia="en-US"/>
        </w:rPr>
        <w:t>. Dosud však neexistuje úplný výklad, který by vysvětloval paranoidní a tragické bloudění (</w:t>
      </w:r>
      <w:r w:rsidR="00032024" w:rsidRPr="00AB6B83">
        <w:rPr>
          <w:i/>
          <w:lang w:eastAsia="en-US"/>
        </w:rPr>
        <w:t>Irre</w:t>
      </w:r>
      <w:r w:rsidR="00032024" w:rsidRPr="00AB6B83">
        <w:rPr>
          <w:lang w:eastAsia="en-US"/>
        </w:rPr>
        <w:t>) modernistů na Západě.</w:t>
      </w:r>
      <w:r w:rsidR="00032024">
        <w:rPr>
          <w:lang w:eastAsia="en-US"/>
        </w:rPr>
        <w:t xml:space="preserve"> </w:t>
      </w:r>
      <w:r w:rsidR="00032024" w:rsidRPr="003D1E07">
        <w:rPr>
          <w:lang w:eastAsia="en-US"/>
        </w:rPr>
        <w:t>Ale zatím chybí odpovídající výklad poznání, který by překonal omyl Modernistů daný úmyslným opomenutím aristotelské první substance (</w:t>
      </w:r>
      <w:r w:rsidR="00032024" w:rsidRPr="003D1E07">
        <w:rPr>
          <w:i/>
          <w:lang w:eastAsia="en-US"/>
        </w:rPr>
        <w:t>Seinvergessenheit</w:t>
      </w:r>
      <w:r w:rsidR="00032024" w:rsidRPr="003D1E07">
        <w:rPr>
          <w:i/>
        </w:rPr>
        <w:fldChar w:fldCharType="begin"/>
      </w:r>
      <w:r w:rsidR="00032024" w:rsidRPr="003D1E07">
        <w:instrText xml:space="preserve"> XE "</w:instrText>
      </w:r>
      <w:r w:rsidR="00032024" w:rsidRPr="003D1E07">
        <w:rPr>
          <w:i/>
        </w:rPr>
        <w:instrText>Seinsvergessenheit</w:instrText>
      </w:r>
      <w:r w:rsidR="00032024" w:rsidRPr="003D1E07">
        <w:instrText xml:space="preserve">" </w:instrText>
      </w:r>
      <w:r w:rsidR="00032024" w:rsidRPr="003D1E07">
        <w:rPr>
          <w:i/>
        </w:rPr>
        <w:fldChar w:fldCharType="end"/>
      </w:r>
      <w:r w:rsidR="00032024" w:rsidRPr="003D1E07">
        <w:rPr>
          <w:lang w:eastAsia="en-US"/>
        </w:rPr>
        <w:t xml:space="preserve">). Volba objektivní </w:t>
      </w:r>
      <w:r w:rsidR="00032024">
        <w:rPr>
          <w:lang w:eastAsia="en-US"/>
        </w:rPr>
        <w:t xml:space="preserve">formy </w:t>
      </w:r>
      <w:r w:rsidR="00032024" w:rsidRPr="003D1E07">
        <w:rPr>
          <w:lang w:eastAsia="en-US"/>
        </w:rPr>
        <w:t xml:space="preserve">první vědy byla vědomým aktem určité skupiny myslitelů Západu, kteří neviděli nebo nechtěli vidět omyl Avicennovy metafyziky. </w:t>
      </w:r>
      <w:r w:rsidR="00032024" w:rsidRPr="003D1E07">
        <w:t>Hermeneutika vykládá dějinné působení moderní formy objektivity v jejím skrytém počátku (</w:t>
      </w:r>
      <w:r w:rsidR="00032024" w:rsidRPr="003D1E07">
        <w:rPr>
          <w:i/>
        </w:rPr>
        <w:t>Beginn</w:t>
      </w:r>
      <w:r w:rsidR="00032024" w:rsidRPr="003D1E07">
        <w:rPr>
          <w:i/>
        </w:rPr>
        <w:fldChar w:fldCharType="begin"/>
      </w:r>
      <w:r w:rsidR="00032024" w:rsidRPr="003D1E07">
        <w:instrText xml:space="preserve"> XE "objektivita:</w:instrText>
      </w:r>
      <w:r w:rsidR="00032024" w:rsidRPr="003D1E07">
        <w:rPr>
          <w:i/>
        </w:rPr>
        <w:instrText>Anfang/Beginn</w:instrText>
      </w:r>
      <w:r w:rsidR="00032024" w:rsidRPr="003D1E07">
        <w:instrText xml:space="preserve">" </w:instrText>
      </w:r>
      <w:r w:rsidR="00032024" w:rsidRPr="003D1E07">
        <w:rPr>
          <w:i/>
        </w:rPr>
        <w:fldChar w:fldCharType="end"/>
      </w:r>
      <w:r w:rsidR="00032024" w:rsidRPr="003D1E07">
        <w:t>) skrze poodkrytost (</w:t>
      </w:r>
      <w:r w:rsidR="00032024" w:rsidRPr="003D1E07">
        <w:rPr>
          <w:i/>
        </w:rPr>
        <w:t>alétheia</w:t>
      </w:r>
      <w:r w:rsidR="00032024" w:rsidRPr="003D1E07">
        <w:t>) gigantomachie o substanci</w:t>
      </w:r>
      <w:r w:rsidR="00032024" w:rsidRPr="003D1E07">
        <w:rPr>
          <w:i/>
        </w:rPr>
        <w:fldChar w:fldCharType="begin"/>
      </w:r>
      <w:r w:rsidR="00032024" w:rsidRPr="003D1E07">
        <w:instrText xml:space="preserve"> XE "metafyzika:gigantomachie" </w:instrText>
      </w:r>
      <w:r w:rsidR="00032024" w:rsidRPr="003D1E07">
        <w:rPr>
          <w:i/>
        </w:rPr>
        <w:fldChar w:fldCharType="end"/>
      </w:r>
      <w:r w:rsidR="00032024" w:rsidRPr="003D1E07">
        <w:t>. Myšlení tehdejší moderny ustavilo</w:t>
      </w:r>
      <w:r w:rsidR="00032024">
        <w:t xml:space="preserve"> postmodernu a nakonec současnou</w:t>
      </w:r>
      <w:r w:rsidR="00032024" w:rsidRPr="003D1E07">
        <w:t xml:space="preserve"> nihilistickou etapu </w:t>
      </w:r>
      <w:r w:rsidR="00032024">
        <w:t>myšlení</w:t>
      </w:r>
      <w:r w:rsidR="00032024" w:rsidRPr="003D1E07">
        <w:t xml:space="preserve">. </w:t>
      </w:r>
      <w:r w:rsidR="00032024" w:rsidRPr="003D1E07">
        <w:rPr>
          <w:lang w:eastAsia="en-US"/>
        </w:rPr>
        <w:t>Hermeneutická archeologie musí najít zakládající událost (</w:t>
      </w:r>
      <w:r w:rsidR="00032024" w:rsidRPr="003D1E07">
        <w:rPr>
          <w:i/>
          <w:lang w:eastAsia="en-US"/>
        </w:rPr>
        <w:t>Ereignis</w:t>
      </w:r>
      <w:r w:rsidR="00032024" w:rsidRPr="003D1E07">
        <w:rPr>
          <w:i/>
          <w:lang w:eastAsia="en-US"/>
        </w:rPr>
        <w:fldChar w:fldCharType="begin"/>
      </w:r>
      <w:r w:rsidR="00032024" w:rsidRPr="003D1E07">
        <w:instrText xml:space="preserve"> XE "</w:instrText>
      </w:r>
      <w:r w:rsidR="00032024" w:rsidRPr="003D1E07">
        <w:rPr>
          <w:i/>
          <w:lang w:eastAsia="en-US"/>
        </w:rPr>
        <w:instrText>Ereignis</w:instrText>
      </w:r>
      <w:r w:rsidR="00032024" w:rsidRPr="003D1E07">
        <w:instrText xml:space="preserve">" </w:instrText>
      </w:r>
      <w:r w:rsidR="00032024" w:rsidRPr="003D1E07">
        <w:rPr>
          <w:i/>
          <w:lang w:eastAsia="en-US"/>
        </w:rPr>
        <w:fldChar w:fldCharType="end"/>
      </w:r>
      <w:r w:rsidR="00032024" w:rsidRPr="003D1E07">
        <w:rPr>
          <w:lang w:eastAsia="en-US"/>
        </w:rPr>
        <w:t>), která zahájila bloudění modernistů ve falsafě (</w:t>
      </w:r>
      <w:r w:rsidR="00032024" w:rsidRPr="003D1E07">
        <w:rPr>
          <w:i/>
          <w:lang w:eastAsia="en-US"/>
        </w:rPr>
        <w:t>Irre</w:t>
      </w:r>
      <w:r w:rsidR="00032024" w:rsidRPr="003D1E07">
        <w:rPr>
          <w:i/>
          <w:lang w:eastAsia="en-US"/>
        </w:rPr>
        <w:fldChar w:fldCharType="begin"/>
      </w:r>
      <w:r w:rsidR="00032024" w:rsidRPr="003D1E07">
        <w:instrText xml:space="preserve"> XE "</w:instrText>
      </w:r>
      <w:r w:rsidR="00032024" w:rsidRPr="003D1E07">
        <w:rPr>
          <w:i/>
          <w:lang w:eastAsia="en-US"/>
        </w:rPr>
        <w:instrText>Irre</w:instrText>
      </w:r>
      <w:r w:rsidR="00032024" w:rsidRPr="003D1E07">
        <w:instrText xml:space="preserve">" </w:instrText>
      </w:r>
      <w:r w:rsidR="00032024" w:rsidRPr="003D1E07">
        <w:rPr>
          <w:i/>
          <w:lang w:eastAsia="en-US"/>
        </w:rPr>
        <w:fldChar w:fldCharType="end"/>
      </w:r>
      <w:r w:rsidR="00032024" w:rsidRPr="003D1E07">
        <w:rPr>
          <w:lang w:eastAsia="en-US"/>
        </w:rPr>
        <w:t>) v modu objektivního omylu (</w:t>
      </w:r>
      <w:r w:rsidR="00032024" w:rsidRPr="003D1E07">
        <w:rPr>
          <w:i/>
          <w:lang w:eastAsia="en-US"/>
        </w:rPr>
        <w:t>Irrtum</w:t>
      </w:r>
      <w:r w:rsidR="00032024" w:rsidRPr="003D1E07">
        <w:rPr>
          <w:i/>
          <w:lang w:eastAsia="en-US"/>
        </w:rPr>
        <w:fldChar w:fldCharType="begin"/>
      </w:r>
      <w:r w:rsidR="00032024" w:rsidRPr="003D1E07">
        <w:instrText xml:space="preserve"> XE "</w:instrText>
      </w:r>
      <w:r w:rsidR="00032024" w:rsidRPr="003D1E07">
        <w:rPr>
          <w:i/>
          <w:lang w:eastAsia="en-US"/>
        </w:rPr>
        <w:instrText>Irrtum</w:instrText>
      </w:r>
      <w:r w:rsidR="00032024" w:rsidRPr="003D1E07">
        <w:instrText xml:space="preserve">" </w:instrText>
      </w:r>
      <w:r w:rsidR="00032024" w:rsidRPr="003D1E07">
        <w:rPr>
          <w:i/>
          <w:lang w:eastAsia="en-US"/>
        </w:rPr>
        <w:fldChar w:fldCharType="end"/>
      </w:r>
      <w:r w:rsidR="00032024" w:rsidRPr="003D1E07">
        <w:rPr>
          <w:lang w:eastAsia="en-US"/>
        </w:rPr>
        <w:t>). Sofisté latinského Západu přebrali avicennistický náhled na genericky definované jsoucno i přes výslovnou kritiku aristotelské školy založené na Komentátorovi. Myslitele navazující na Avicennu nazval Averroes generickým termínem „současníci“ (</w:t>
      </w:r>
      <w:r w:rsidR="00032024" w:rsidRPr="003D1E07">
        <w:rPr>
          <w:i/>
          <w:lang w:eastAsia="en-US"/>
        </w:rPr>
        <w:t>Moderni</w:t>
      </w:r>
      <w:r w:rsidR="00032024" w:rsidRPr="003D1E07">
        <w:rPr>
          <w:i/>
          <w:lang w:eastAsia="en-US"/>
        </w:rPr>
        <w:fldChar w:fldCharType="begin"/>
      </w:r>
      <w:r w:rsidR="00032024" w:rsidRPr="003D1E07">
        <w:instrText xml:space="preserve"> XE "averroismus:</w:instrText>
      </w:r>
      <w:r w:rsidR="00032024" w:rsidRPr="003D1E07">
        <w:rPr>
          <w:i/>
        </w:rPr>
        <w:instrText>Moderni</w:instrText>
      </w:r>
      <w:r w:rsidR="00032024" w:rsidRPr="003D1E07">
        <w:instrText xml:space="preserve">" </w:instrText>
      </w:r>
      <w:r w:rsidR="00032024" w:rsidRPr="003D1E07">
        <w:rPr>
          <w:i/>
          <w:lang w:eastAsia="en-US"/>
        </w:rPr>
        <w:fldChar w:fldCharType="end"/>
      </w:r>
      <w:r w:rsidR="00032024" w:rsidRPr="003D1E07">
        <w:rPr>
          <w:lang w:eastAsia="en-US"/>
        </w:rPr>
        <w:t>). Po něm toto pojmenování přejali latinští znalci Averroese jako byli Albert Veliký</w:t>
      </w:r>
      <w:r w:rsidR="00032024" w:rsidRPr="003D1E07">
        <w:rPr>
          <w:lang w:eastAsia="en-US"/>
        </w:rPr>
        <w:fldChar w:fldCharType="begin"/>
      </w:r>
      <w:r w:rsidR="00032024" w:rsidRPr="003D1E07">
        <w:instrText xml:space="preserve"> XE "</w:instrText>
      </w:r>
      <w:r w:rsidR="00032024" w:rsidRPr="003D1E07">
        <w:rPr>
          <w:lang w:eastAsia="en-US"/>
        </w:rPr>
        <w:instrText>Albert Veliký</w:instrText>
      </w:r>
      <w:r w:rsidR="00032024" w:rsidRPr="003D1E07">
        <w:instrText xml:space="preserve">" </w:instrText>
      </w:r>
      <w:r w:rsidR="00032024" w:rsidRPr="003D1E07">
        <w:rPr>
          <w:lang w:eastAsia="en-US"/>
        </w:rPr>
        <w:fldChar w:fldCharType="end"/>
      </w:r>
      <w:r w:rsidR="00032024" w:rsidRPr="003D1E07">
        <w:rPr>
          <w:lang w:eastAsia="en-US"/>
        </w:rPr>
        <w:t xml:space="preserve"> a Roger Bacon</w:t>
      </w:r>
      <w:r w:rsidR="00032024" w:rsidRPr="003D1E07">
        <w:rPr>
          <w:lang w:eastAsia="en-US"/>
        </w:rPr>
        <w:fldChar w:fldCharType="begin"/>
      </w:r>
      <w:r w:rsidR="00032024" w:rsidRPr="003D1E07">
        <w:instrText xml:space="preserve"> XE "Bacon, R." </w:instrText>
      </w:r>
      <w:r w:rsidR="00032024" w:rsidRPr="003D1E07">
        <w:rPr>
          <w:lang w:eastAsia="en-US"/>
        </w:rPr>
        <w:fldChar w:fldCharType="end"/>
      </w:r>
      <w:r w:rsidR="00032024" w:rsidRPr="003D1E07">
        <w:rPr>
          <w:lang w:eastAsia="en-US"/>
        </w:rPr>
        <w:t xml:space="preserve"> pro novou školu avicennistů na latinském Západě.</w:t>
      </w:r>
    </w:p>
    <w:p w14:paraId="7FCD2498" w14:textId="77777777" w:rsidR="005A5B5E" w:rsidRPr="003D1E07" w:rsidRDefault="005A5B5E" w:rsidP="00104FDA"/>
    <w:p w14:paraId="0D82577F" w14:textId="03200F42" w:rsidR="08126A94" w:rsidRPr="003D1E07" w:rsidRDefault="00854CDE" w:rsidP="08126A94">
      <w:pPr>
        <w:pStyle w:val="Nadpis3"/>
        <w:rPr>
          <w:lang w:val="cs-CZ"/>
        </w:rPr>
      </w:pPr>
      <w:r w:rsidRPr="003D1E07">
        <w:rPr>
          <w:lang w:val="cs-CZ"/>
        </w:rPr>
        <w:br w:type="page"/>
      </w:r>
      <w:bookmarkStart w:id="61" w:name="_Toc93747284"/>
      <w:bookmarkStart w:id="62" w:name="_Toc102906174"/>
      <w:r w:rsidR="08126A94" w:rsidRPr="003D1E07">
        <w:rPr>
          <w:lang w:val="cs-CZ"/>
        </w:rPr>
        <w:lastRenderedPageBreak/>
        <w:t>2.4.2 Pravdivé poznání reality</w:t>
      </w:r>
      <w:bookmarkEnd w:id="61"/>
      <w:bookmarkEnd w:id="62"/>
    </w:p>
    <w:p w14:paraId="172C4A24" w14:textId="1F717C71" w:rsidR="006E50DE" w:rsidRDefault="08126A94" w:rsidP="006E50DE">
      <w:r w:rsidRPr="003D1E07">
        <w:rPr>
          <w:lang w:eastAsia="en-US"/>
        </w:rPr>
        <w:t xml:space="preserve">Averroes pečlivým studiem Aristotela přišel k jedinému možnému závěru, který zásadně poznamenal spor o první </w:t>
      </w:r>
      <w:r w:rsidR="08F61EBC" w:rsidRPr="003D1E07">
        <w:rPr>
          <w:lang w:eastAsia="en-US"/>
        </w:rPr>
        <w:t xml:space="preserve">formu </w:t>
      </w:r>
      <w:r w:rsidRPr="003D1E07">
        <w:rPr>
          <w:lang w:eastAsia="en-US"/>
        </w:rPr>
        <w:t xml:space="preserve">objektivity. Je třeba zkoumat kauzální vztah daný jak na úrovni materiálních těles, tak i na úrovni čistých forem nemateriálních substancí kosmických inteligencí. První věda musí najít </w:t>
      </w:r>
      <w:r w:rsidR="00F1792F" w:rsidRPr="003D1E07">
        <w:rPr>
          <w:lang w:eastAsia="en-US"/>
        </w:rPr>
        <w:t xml:space="preserve">adekvátní formu predikace </w:t>
      </w:r>
      <w:r w:rsidRPr="003D1E07">
        <w:rPr>
          <w:lang w:eastAsia="en-US"/>
        </w:rPr>
        <w:t>pro</w:t>
      </w:r>
      <w:r w:rsidR="00F1792F" w:rsidRPr="003D1E07">
        <w:rPr>
          <w:lang w:eastAsia="en-US"/>
        </w:rPr>
        <w:t xml:space="preserve"> všechny existující první substance</w:t>
      </w:r>
      <w:r w:rsidRPr="003D1E07">
        <w:rPr>
          <w:lang w:eastAsia="en-US"/>
        </w:rPr>
        <w:t xml:space="preserve">. Jediným kandidátem na tento typ adekvace myšlení a aktuální věci je </w:t>
      </w:r>
      <w:r w:rsidR="000B20E9" w:rsidRPr="003D1E07">
        <w:rPr>
          <w:lang w:eastAsia="en-US"/>
        </w:rPr>
        <w:t xml:space="preserve">metafyzická kategoriální predikace. Vztahuje se k </w:t>
      </w:r>
      <w:r w:rsidRPr="003D1E07">
        <w:rPr>
          <w:lang w:eastAsia="en-US"/>
        </w:rPr>
        <w:t xml:space="preserve">existující první </w:t>
      </w:r>
      <w:r w:rsidR="000B20E9" w:rsidRPr="003D1E07">
        <w:rPr>
          <w:lang w:eastAsia="en-US"/>
        </w:rPr>
        <w:t xml:space="preserve">substanci, která se pravdivě poznává </w:t>
      </w:r>
      <w:r w:rsidRPr="003D1E07">
        <w:rPr>
          <w:lang w:eastAsia="en-US"/>
        </w:rPr>
        <w:t xml:space="preserve">v </w:t>
      </w:r>
      <w:r w:rsidR="000B20E9" w:rsidRPr="003D1E07">
        <w:rPr>
          <w:lang w:eastAsia="en-US"/>
        </w:rPr>
        <w:t>apodiktickém</w:t>
      </w:r>
      <w:r w:rsidRPr="003D1E07">
        <w:rPr>
          <w:lang w:eastAsia="en-US"/>
        </w:rPr>
        <w:t xml:space="preserve"> zkoumání fyziky a metafyziky. Adekvační teorie pravdy vylučuje jak </w:t>
      </w:r>
      <w:r w:rsidRPr="003D1E07">
        <w:t xml:space="preserve">jsoucno třetího druhu tak ontoteologickou strukturu metafyziky. </w:t>
      </w:r>
      <w:r w:rsidR="00C1073C" w:rsidRPr="003D1E07">
        <w:t>O</w:t>
      </w:r>
      <w:r w:rsidRPr="003D1E07">
        <w:t>dmítnutím neoplatonského pojetí metafyziky rep</w:t>
      </w:r>
      <w:r w:rsidR="00C1073C" w:rsidRPr="003D1E07">
        <w:t>rezentované Avicennou vznikla ve falsafě</w:t>
      </w:r>
      <w:r w:rsidRPr="003D1E07">
        <w:t xml:space="preserve"> nová gigantomachie o substanci</w:t>
      </w:r>
      <w:r w:rsidR="00754E38" w:rsidRPr="003D1E07">
        <w:t xml:space="preserve">, kterou zopakoval </w:t>
      </w:r>
      <w:r w:rsidRPr="003D1E07">
        <w:t>latinský Západ. Averroes provedl novou syntézu metafyziky podle primátu první substance</w:t>
      </w:r>
      <w:r w:rsidRPr="003D1E07">
        <w:fldChar w:fldCharType="begin"/>
      </w:r>
      <w:r w:rsidRPr="003D1E07">
        <w:instrText xml:space="preserve"> XE "substance:první" </w:instrText>
      </w:r>
      <w:r w:rsidRPr="003D1E07">
        <w:fldChar w:fldCharType="end"/>
      </w:r>
      <w:r w:rsidRPr="003D1E07">
        <w:t xml:space="preserve">, kterou do jisté míry obhajoval Al-Fárábí. </w:t>
      </w:r>
      <w:r w:rsidRPr="003D1E07">
        <w:rPr>
          <w:lang w:eastAsia="en-US"/>
        </w:rPr>
        <w:t xml:space="preserve">Modus </w:t>
      </w:r>
      <w:r w:rsidRPr="003D1E07">
        <w:rPr>
          <w:i/>
          <w:lang w:eastAsia="en-US"/>
        </w:rPr>
        <w:t xml:space="preserve">per prius </w:t>
      </w:r>
      <w:r w:rsidRPr="003D1E07">
        <w:rPr>
          <w:lang w:eastAsia="en-US"/>
        </w:rPr>
        <w:t xml:space="preserve">sleduje cestu </w:t>
      </w:r>
      <w:r w:rsidR="089108A9" w:rsidRPr="003D1E07">
        <w:t xml:space="preserve">metafyzického </w:t>
      </w:r>
      <w:r w:rsidRPr="003D1E07">
        <w:rPr>
          <w:lang w:eastAsia="en-US"/>
        </w:rPr>
        <w:t xml:space="preserve">dativu, v němž je impozice dána </w:t>
      </w:r>
      <w:r w:rsidR="00813EC1" w:rsidRPr="003D1E07">
        <w:rPr>
          <w:lang w:eastAsia="en-US"/>
        </w:rPr>
        <w:t xml:space="preserve">od </w:t>
      </w:r>
      <w:r w:rsidRPr="003D1E07">
        <w:rPr>
          <w:lang w:eastAsia="en-US"/>
        </w:rPr>
        <w:t xml:space="preserve">hyparchicky dané </w:t>
      </w:r>
      <w:r w:rsidR="00813EC1" w:rsidRPr="003D1E07">
        <w:rPr>
          <w:lang w:eastAsia="en-US"/>
        </w:rPr>
        <w:t>první substance</w:t>
      </w:r>
      <w:r w:rsidRPr="003D1E07">
        <w:fldChar w:fldCharType="begin"/>
      </w:r>
      <w:r w:rsidRPr="003D1E07">
        <w:instrText xml:space="preserve"> XE "predikace:hyparchická" </w:instrText>
      </w:r>
      <w:r w:rsidRPr="003D1E07">
        <w:fldChar w:fldCharType="end"/>
      </w:r>
      <w:r w:rsidRPr="003D1E07">
        <w:rPr>
          <w:lang w:eastAsia="en-US"/>
        </w:rPr>
        <w:t xml:space="preserve">. Poslední aktuální substancí tohoto typu </w:t>
      </w:r>
      <w:r w:rsidR="00CA21C1" w:rsidRPr="003D1E07">
        <w:rPr>
          <w:lang w:eastAsia="en-US"/>
        </w:rPr>
        <w:t>je Nehybný Hybatel oddělený svou exkluzívní existencí</w:t>
      </w:r>
      <w:r w:rsidRPr="003D1E07">
        <w:rPr>
          <w:lang w:eastAsia="en-US"/>
        </w:rPr>
        <w:t xml:space="preserve"> od první sféry kosmických inteligencí. Tato forma kategoriální predikace odmítla analogický a dialektický model Avicennovy ontoteologie. Dráha náhledu na celek jsoucna začíná </w:t>
      </w:r>
      <w:r w:rsidR="00460839" w:rsidRPr="003D1E07">
        <w:rPr>
          <w:lang w:eastAsia="en-US"/>
        </w:rPr>
        <w:t xml:space="preserve">u materiální první substance </w:t>
      </w:r>
      <w:r w:rsidRPr="003D1E07">
        <w:rPr>
          <w:lang w:eastAsia="en-US"/>
        </w:rPr>
        <w:t xml:space="preserve">a končí u </w:t>
      </w:r>
      <w:r w:rsidR="00460839" w:rsidRPr="003D1E07">
        <w:rPr>
          <w:lang w:eastAsia="en-US"/>
        </w:rPr>
        <w:t>nemateriální první substance</w:t>
      </w:r>
      <w:r w:rsidRPr="003D1E07">
        <w:rPr>
          <w:i/>
          <w:lang w:eastAsia="en-US"/>
        </w:rPr>
        <w:fldChar w:fldCharType="begin"/>
      </w:r>
      <w:r w:rsidRPr="003D1E07">
        <w:instrText xml:space="preserve"> XE "</w:instrText>
      </w:r>
      <w:r w:rsidRPr="003D1E07">
        <w:rPr>
          <w:i/>
        </w:rPr>
        <w:instrText>ens inquantum ens</w:instrText>
      </w:r>
      <w:r w:rsidRPr="003D1E07">
        <w:instrText xml:space="preserve">" </w:instrText>
      </w:r>
      <w:r w:rsidRPr="003D1E07">
        <w:rPr>
          <w:i/>
          <w:lang w:eastAsia="en-US"/>
        </w:rPr>
        <w:fldChar w:fldCharType="end"/>
      </w:r>
      <w:r w:rsidRPr="003D1E07">
        <w:rPr>
          <w:lang w:eastAsia="en-US"/>
        </w:rPr>
        <w:t xml:space="preserve">. Averroes </w:t>
      </w:r>
      <w:r w:rsidR="00641131" w:rsidRPr="003D1E07">
        <w:rPr>
          <w:lang w:eastAsia="en-US"/>
        </w:rPr>
        <w:t>vidí jednotu jdoucna skrze spojení</w:t>
      </w:r>
      <w:r w:rsidRPr="003D1E07">
        <w:rPr>
          <w:lang w:eastAsia="en-US"/>
        </w:rPr>
        <w:t xml:space="preserve"> </w:t>
      </w:r>
      <w:r w:rsidRPr="003D1E07">
        <w:rPr>
          <w:i/>
          <w:lang w:eastAsia="en-US"/>
        </w:rPr>
        <w:t>Fyziky</w:t>
      </w:r>
      <w:r w:rsidRPr="003D1E07">
        <w:rPr>
          <w:lang w:eastAsia="en-US"/>
        </w:rPr>
        <w:t xml:space="preserve"> VIII a </w:t>
      </w:r>
      <w:r w:rsidRPr="003D1E07">
        <w:rPr>
          <w:i/>
          <w:lang w:eastAsia="en-US"/>
        </w:rPr>
        <w:t>Metafyziky</w:t>
      </w:r>
      <w:r w:rsidRPr="003D1E07">
        <w:rPr>
          <w:lang w:eastAsia="en-US"/>
        </w:rPr>
        <w:t xml:space="preserve"> XII, protože </w:t>
      </w:r>
      <w:r w:rsidR="00641131" w:rsidRPr="003D1E07">
        <w:rPr>
          <w:lang w:eastAsia="en-US"/>
        </w:rPr>
        <w:t xml:space="preserve">hledal první principy </w:t>
      </w:r>
      <w:r w:rsidRPr="003D1E07">
        <w:rPr>
          <w:lang w:eastAsia="en-US"/>
        </w:rPr>
        <w:t xml:space="preserve">existující substance. </w:t>
      </w:r>
      <w:r w:rsidRPr="003D1E07">
        <w:rPr>
          <w:szCs w:val="24"/>
        </w:rPr>
        <w:t xml:space="preserve">Tento definitivní rozchod </w:t>
      </w:r>
      <w:r w:rsidR="0097677B" w:rsidRPr="003D1E07">
        <w:rPr>
          <w:szCs w:val="24"/>
        </w:rPr>
        <w:t>s</w:t>
      </w:r>
      <w:r w:rsidR="00C7068A" w:rsidRPr="003D1E07">
        <w:rPr>
          <w:szCs w:val="24"/>
        </w:rPr>
        <w:t> oběma</w:t>
      </w:r>
      <w:r w:rsidRPr="003D1E07">
        <w:rPr>
          <w:szCs w:val="24"/>
        </w:rPr>
        <w:t xml:space="preserve"> metafyzik</w:t>
      </w:r>
      <w:r w:rsidR="00C7068A" w:rsidRPr="003D1E07">
        <w:rPr>
          <w:szCs w:val="24"/>
        </w:rPr>
        <w:t>ami</w:t>
      </w:r>
      <w:r w:rsidRPr="003D1E07">
        <w:rPr>
          <w:szCs w:val="24"/>
        </w:rPr>
        <w:t xml:space="preserve"> falsafy </w:t>
      </w:r>
      <w:r w:rsidR="00DD045D" w:rsidRPr="003D1E07">
        <w:t xml:space="preserve">(Alfarabius, Avicenna) </w:t>
      </w:r>
      <w:r w:rsidRPr="003D1E07">
        <w:rPr>
          <w:szCs w:val="24"/>
        </w:rPr>
        <w:t xml:space="preserve">popsala předešlá kapitola </w:t>
      </w:r>
      <w:r w:rsidR="08814B05" w:rsidRPr="003D1E07">
        <w:t xml:space="preserve">v rozdílu </w:t>
      </w:r>
      <w:r w:rsidR="08426AE7" w:rsidRPr="003D1E07">
        <w:t xml:space="preserve">dvou </w:t>
      </w:r>
      <w:r w:rsidR="00DD045D" w:rsidRPr="003D1E07">
        <w:t>náhledů</w:t>
      </w:r>
      <w:r w:rsidR="00AD48B6">
        <w:t xml:space="preserve"> na poslední cíl metafyziky</w:t>
      </w:r>
      <w:r w:rsidR="08426AE7" w:rsidRPr="003D1E07">
        <w:t xml:space="preserve">. Impozice </w:t>
      </w:r>
      <w:r w:rsidR="005049C4" w:rsidRPr="003D1E07">
        <w:t xml:space="preserve">Averroese </w:t>
      </w:r>
      <w:r w:rsidR="08426AE7" w:rsidRPr="003D1E07">
        <w:t xml:space="preserve">běží v </w:t>
      </w:r>
      <w:r w:rsidR="08814B05" w:rsidRPr="003D1E07">
        <w:t xml:space="preserve">modu </w:t>
      </w:r>
      <w:r w:rsidR="00AF7D2C" w:rsidRPr="00AF7D2C">
        <w:t xml:space="preserve">substance </w:t>
      </w:r>
      <w:r w:rsidR="00AF7D2C" w:rsidRPr="00AF7D2C">
        <w:rPr>
          <w:i/>
        </w:rPr>
        <w:t>qua</w:t>
      </w:r>
      <w:r w:rsidR="00AF7D2C" w:rsidRPr="00AF7D2C">
        <w:t xml:space="preserve"> substance</w:t>
      </w:r>
      <w:r w:rsidR="08426AE7" w:rsidRPr="003D1E07">
        <w:rPr>
          <w:szCs w:val="24"/>
        </w:rPr>
        <w:t xml:space="preserve"> </w:t>
      </w:r>
      <w:r w:rsidR="08426AE7" w:rsidRPr="003D1E07">
        <w:t>a supozice</w:t>
      </w:r>
      <w:r w:rsidR="08814B05" w:rsidRPr="003D1E07">
        <w:t xml:space="preserve"> </w:t>
      </w:r>
      <w:r w:rsidR="005049C4" w:rsidRPr="003D1E07">
        <w:t xml:space="preserve">Avicenny </w:t>
      </w:r>
      <w:r w:rsidR="003F304A">
        <w:t xml:space="preserve">naopak </w:t>
      </w:r>
      <w:r w:rsidR="08814B05" w:rsidRPr="003D1E07">
        <w:t>v modu</w:t>
      </w:r>
      <w:r w:rsidR="08814B05" w:rsidRPr="003D1E07">
        <w:rPr>
          <w:i/>
          <w:szCs w:val="24"/>
        </w:rPr>
        <w:t xml:space="preserve"> </w:t>
      </w:r>
      <w:r w:rsidR="08426AE7" w:rsidRPr="003D1E07">
        <w:rPr>
          <w:i/>
          <w:szCs w:val="24"/>
        </w:rPr>
        <w:t xml:space="preserve">ens </w:t>
      </w:r>
      <w:r w:rsidRPr="003D1E07">
        <w:rPr>
          <w:i/>
          <w:szCs w:val="24"/>
        </w:rPr>
        <w:t>inquantum</w:t>
      </w:r>
      <w:r w:rsidR="08426AE7" w:rsidRPr="003D1E07">
        <w:rPr>
          <w:i/>
          <w:szCs w:val="24"/>
        </w:rPr>
        <w:t xml:space="preserve"> ens</w:t>
      </w:r>
      <w:r w:rsidRPr="003D1E07">
        <w:t xml:space="preserve">. </w:t>
      </w:r>
      <w:r w:rsidR="00C12389">
        <w:t>Pro aristotelskou predikaci platí, že i</w:t>
      </w:r>
      <w:r w:rsidR="00917015" w:rsidRPr="003D1E07">
        <w:t>mpozice není supozice a logické jsou</w:t>
      </w:r>
      <w:r w:rsidR="006E50DE">
        <w:t>cno není metafyzická substance.</w:t>
      </w:r>
      <w:r w:rsidR="00AA335C">
        <w:t xml:space="preserve"> </w:t>
      </w:r>
      <w:r w:rsidR="00AA335C" w:rsidRPr="003D1E07">
        <w:t xml:space="preserve"> Adekvace jde nejprve k fyzikálně zkoumané první substanci a pak k metafyzickým principům této substance. Nehybný hybatel představuje v nové jednotě </w:t>
      </w:r>
      <w:r w:rsidR="00AA335C" w:rsidRPr="003D1E07">
        <w:rPr>
          <w:i/>
        </w:rPr>
        <w:t>ad unum</w:t>
      </w:r>
      <w:r w:rsidR="00AA335C" w:rsidRPr="003D1E07">
        <w:t xml:space="preserve"> poslední instanci aristotelského principu </w:t>
      </w:r>
      <w:r w:rsidR="00AA335C" w:rsidRPr="003D1E07">
        <w:rPr>
          <w:i/>
        </w:rPr>
        <w:t>ex inmediatis</w:t>
      </w:r>
      <w:r w:rsidR="00AA335C" w:rsidRPr="003D1E07">
        <w:rPr>
          <w:i/>
        </w:rPr>
        <w:fldChar w:fldCharType="begin"/>
      </w:r>
      <w:r w:rsidR="00AA335C" w:rsidRPr="003D1E07">
        <w:instrText xml:space="preserve"> XE "princip </w:instrText>
      </w:r>
      <w:r w:rsidR="00AA335C" w:rsidRPr="003D1E07">
        <w:rPr>
          <w:i/>
        </w:rPr>
        <w:instrText>ex inmediatis</w:instrText>
      </w:r>
      <w:r w:rsidR="00AA335C" w:rsidRPr="003D1E07">
        <w:instrText xml:space="preserve">" </w:instrText>
      </w:r>
      <w:r w:rsidR="00AA335C" w:rsidRPr="003D1E07">
        <w:rPr>
          <w:i/>
        </w:rPr>
        <w:fldChar w:fldCharType="end"/>
      </w:r>
      <w:r w:rsidR="00AA335C" w:rsidRPr="003D1E07">
        <w:t xml:space="preserve"> (kap. 1.3). Tento princip definuje adekvační modus pravdy v </w:t>
      </w:r>
      <w:r w:rsidR="00AA335C" w:rsidRPr="003D1E07">
        <w:rPr>
          <w:i/>
        </w:rPr>
        <w:t>Kategoriích</w:t>
      </w:r>
      <w:r w:rsidR="00AA335C" w:rsidRPr="003D1E07">
        <w:t>, protože sleduje kauzalitu určenou metafyzickým dativem na rovině univerzality (</w:t>
      </w:r>
      <w:r w:rsidR="00AA335C" w:rsidRPr="003D1E07">
        <w:rPr>
          <w:i/>
        </w:rPr>
        <w:t>quidditas</w:t>
      </w:r>
      <w:r w:rsidR="00AA335C" w:rsidRPr="003D1E07">
        <w:rPr>
          <w:i/>
        </w:rPr>
        <w:fldChar w:fldCharType="begin"/>
      </w:r>
      <w:r w:rsidR="00AA335C" w:rsidRPr="003D1E07">
        <w:instrText xml:space="preserve"> XE "</w:instrText>
      </w:r>
      <w:r w:rsidR="00AA335C" w:rsidRPr="003D1E07">
        <w:rPr>
          <w:i/>
        </w:rPr>
        <w:instrText>quidditas</w:instrText>
      </w:r>
      <w:r w:rsidR="00AA335C" w:rsidRPr="003D1E07">
        <w:instrText xml:space="preserve">" </w:instrText>
      </w:r>
      <w:r w:rsidR="00AA335C" w:rsidRPr="003D1E07">
        <w:rPr>
          <w:i/>
        </w:rPr>
        <w:fldChar w:fldCharType="end"/>
      </w:r>
      <w:r w:rsidR="00AA335C" w:rsidRPr="003D1E07">
        <w:rPr>
          <w:i/>
        </w:rPr>
        <w:t xml:space="preserve">, </w:t>
      </w:r>
      <w:r w:rsidR="00AA335C" w:rsidRPr="003D1E07">
        <w:t xml:space="preserve">kap. 1.1). Reprezentace kauzality ve středním členu demonstrativního vědeckého soudu je dána v univerzálním modu </w:t>
      </w:r>
      <w:r w:rsidR="00AA335C" w:rsidRPr="003D1E07">
        <w:rPr>
          <w:i/>
        </w:rPr>
        <w:t>per prius</w:t>
      </w:r>
      <w:r w:rsidR="00AA335C" w:rsidRPr="003D1E07">
        <w:t>.</w:t>
      </w:r>
      <w:r w:rsidR="00AA335C">
        <w:t xml:space="preserve"> </w:t>
      </w:r>
      <w:r w:rsidR="00AA335C" w:rsidRPr="003D1E07">
        <w:rPr>
          <w:lang w:eastAsia="en-US"/>
        </w:rPr>
        <w:t>R</w:t>
      </w:r>
      <w:r w:rsidR="00AA335C" w:rsidRPr="003D1E07">
        <w:t>eálná kauzalita první substance je respektována v maximální míře.</w:t>
      </w:r>
    </w:p>
    <w:p w14:paraId="751B642E" w14:textId="546CFEB1" w:rsidR="00A051C5" w:rsidRDefault="08126A94" w:rsidP="006E50DE">
      <w:pPr>
        <w:ind w:firstLine="360"/>
        <w:rPr>
          <w:lang w:eastAsia="en-US"/>
        </w:rPr>
      </w:pPr>
      <w:r w:rsidRPr="003D1E07">
        <w:lastRenderedPageBreak/>
        <w:t>Averroes začíná epochu velkých komentářů k aristotelskému Korpusu dílem</w:t>
      </w:r>
      <w:r w:rsidR="007D3146" w:rsidRPr="003D1E07">
        <w:t xml:space="preserve">, které </w:t>
      </w:r>
      <w:r w:rsidR="00DF5B42" w:rsidRPr="003D1E07">
        <w:t>navrhlo nový</w:t>
      </w:r>
      <w:r w:rsidR="007D3146" w:rsidRPr="003D1E07">
        <w:t xml:space="preserve"> způsob</w:t>
      </w:r>
      <w:r w:rsidRPr="003D1E07">
        <w:t xml:space="preserve"> poznání podle </w:t>
      </w:r>
      <w:r w:rsidR="007D3146" w:rsidRPr="003D1E07">
        <w:t xml:space="preserve">nově vyložené filosofie </w:t>
      </w:r>
      <w:r w:rsidRPr="003D1E07">
        <w:t xml:space="preserve">Aristotela. Nový výklad </w:t>
      </w:r>
      <w:r w:rsidR="00721CC2" w:rsidRPr="003D1E07">
        <w:rPr>
          <w:i/>
        </w:rPr>
        <w:t>De anima</w:t>
      </w:r>
      <w:r w:rsidR="00721CC2" w:rsidRPr="003D1E07">
        <w:t xml:space="preserve"> </w:t>
      </w:r>
      <w:r w:rsidRPr="003D1E07">
        <w:t xml:space="preserve">se vrátil k původní metafyzické a kategoriální formě </w:t>
      </w:r>
      <w:r w:rsidR="089108A9" w:rsidRPr="003D1E07">
        <w:t xml:space="preserve">metafyzického </w:t>
      </w:r>
      <w:r w:rsidRPr="003D1E07">
        <w:t>dativu</w:t>
      </w:r>
      <w:r w:rsidRPr="003D1E07">
        <w:fldChar w:fldCharType="begin"/>
      </w:r>
      <w:r w:rsidRPr="003D1E07">
        <w:instrText xml:space="preserve"> XE "</w:instrText>
      </w:r>
      <w:r w:rsidR="089108A9" w:rsidRPr="003D1E07">
        <w:rPr>
          <w:i/>
        </w:rPr>
        <w:instrText>dativus metaphysicus</w:instrText>
      </w:r>
      <w:r w:rsidRPr="003D1E07">
        <w:instrText xml:space="preserve">" </w:instrText>
      </w:r>
      <w:r w:rsidRPr="003D1E07">
        <w:fldChar w:fldCharType="end"/>
      </w:r>
      <w:r w:rsidRPr="003D1E07">
        <w:t xml:space="preserve">. </w:t>
      </w:r>
      <w:r w:rsidR="00AB63DF" w:rsidRPr="003D1E07">
        <w:t xml:space="preserve">Poznání světa </w:t>
      </w:r>
      <w:r w:rsidRPr="003D1E07">
        <w:rPr>
          <w:lang w:eastAsia="en-US"/>
        </w:rPr>
        <w:t xml:space="preserve">v lidském intelektu </w:t>
      </w:r>
      <w:r w:rsidR="00FB46FB" w:rsidRPr="003D1E07">
        <w:rPr>
          <w:lang w:eastAsia="en-US"/>
        </w:rPr>
        <w:t xml:space="preserve">musí být </w:t>
      </w:r>
      <w:r w:rsidRPr="003D1E07">
        <w:rPr>
          <w:lang w:eastAsia="en-US"/>
        </w:rPr>
        <w:t>v souladu s</w:t>
      </w:r>
      <w:r w:rsidR="00BB11E8">
        <w:rPr>
          <w:lang w:eastAsia="en-US"/>
        </w:rPr>
        <w:t xml:space="preserve"> tímto </w:t>
      </w:r>
      <w:r w:rsidRPr="003D1E07">
        <w:rPr>
          <w:lang w:eastAsia="en-US"/>
        </w:rPr>
        <w:t>celkovým zaměřením Averroes</w:t>
      </w:r>
      <w:r w:rsidR="005B6978" w:rsidRPr="003D1E07">
        <w:rPr>
          <w:lang w:eastAsia="en-US"/>
        </w:rPr>
        <w:t>ovy metafyziky.</w:t>
      </w:r>
      <w:r w:rsidR="00EB4976">
        <w:rPr>
          <w:lang w:eastAsia="en-US"/>
        </w:rPr>
        <w:t xml:space="preserve"> </w:t>
      </w:r>
      <w:r w:rsidRPr="003D1E07">
        <w:rPr>
          <w:lang w:eastAsia="en-US"/>
        </w:rPr>
        <w:t xml:space="preserve">Komentátor odmítl jak Alexandrovu disjunkci mezi fyzikou a metafyzikou, tak i Avicennův abstraktní přístup postavený mimo existující substanci. Oba přístupy se zakládají na jednom zásadním omylu daném z hlediska poznání. </w:t>
      </w:r>
      <w:r w:rsidR="00E842C2" w:rsidRPr="003D1E07">
        <w:rPr>
          <w:lang w:eastAsia="en-US"/>
        </w:rPr>
        <w:t>Moderní Alexandrovci rozdělili</w:t>
      </w:r>
      <w:r w:rsidRPr="003D1E07">
        <w:rPr>
          <w:lang w:eastAsia="en-US"/>
        </w:rPr>
        <w:t xml:space="preserve"> realitu na smyslovou (fyzika) a na intelektuální (metafyzika) a tím</w:t>
      </w:r>
      <w:r w:rsidR="00604184">
        <w:rPr>
          <w:lang w:eastAsia="en-US"/>
        </w:rPr>
        <w:t>to fundamentálním omylem nechali</w:t>
      </w:r>
      <w:r w:rsidRPr="003D1E07">
        <w:rPr>
          <w:lang w:eastAsia="en-US"/>
        </w:rPr>
        <w:t xml:space="preserve"> padnout jednotu první vědy. </w:t>
      </w:r>
      <w:r w:rsidR="00CE2DA9" w:rsidRPr="003D1E07">
        <w:rPr>
          <w:lang w:eastAsia="en-US"/>
        </w:rPr>
        <w:t xml:space="preserve">Averroesův </w:t>
      </w:r>
      <w:r w:rsidR="00971FD1">
        <w:rPr>
          <w:lang w:eastAsia="en-US"/>
        </w:rPr>
        <w:t xml:space="preserve">krátký </w:t>
      </w:r>
      <w:r w:rsidR="00CE2DA9" w:rsidRPr="003D1E07">
        <w:rPr>
          <w:lang w:eastAsia="en-US"/>
        </w:rPr>
        <w:t xml:space="preserve">komentář k </w:t>
      </w:r>
      <w:r w:rsidR="00CE2DA9" w:rsidRPr="003D1E07">
        <w:rPr>
          <w:i/>
          <w:lang w:eastAsia="en-US"/>
        </w:rPr>
        <w:t>Metafyzice</w:t>
      </w:r>
      <w:r w:rsidR="00CE2DA9" w:rsidRPr="003D1E07">
        <w:rPr>
          <w:lang w:eastAsia="en-US"/>
        </w:rPr>
        <w:t xml:space="preserve"> </w:t>
      </w:r>
      <w:r w:rsidR="00A53DDD">
        <w:rPr>
          <w:lang w:eastAsia="en-US"/>
        </w:rPr>
        <w:t>(</w:t>
      </w:r>
      <w:r w:rsidR="00A53DDD" w:rsidRPr="00A53DDD">
        <w:rPr>
          <w:i/>
          <w:lang w:eastAsia="en-US"/>
        </w:rPr>
        <w:t>Epitomé</w:t>
      </w:r>
      <w:r w:rsidR="00A53DDD">
        <w:rPr>
          <w:lang w:eastAsia="en-US"/>
        </w:rPr>
        <w:t xml:space="preserve">) </w:t>
      </w:r>
      <w:r w:rsidR="00CE2DA9" w:rsidRPr="003D1E07">
        <w:rPr>
          <w:lang w:eastAsia="en-US"/>
        </w:rPr>
        <w:t>zásadně odmítl Avicennovu metafyziku jako neoplat</w:t>
      </w:r>
      <w:r w:rsidR="001A75BC">
        <w:rPr>
          <w:lang w:eastAsia="en-US"/>
        </w:rPr>
        <w:t xml:space="preserve">ónskou konstrukci (kap. 2.4.1). </w:t>
      </w:r>
      <w:r w:rsidRPr="003D1E07">
        <w:rPr>
          <w:lang w:eastAsia="en-US"/>
        </w:rPr>
        <w:t xml:space="preserve">Předešlé kapitoly ukázaly, že objektivní náhled na jsoucno vznikl v intelektuálním prostředí </w:t>
      </w:r>
      <w:r w:rsidR="008B3DC6" w:rsidRPr="003D1E07">
        <w:rPr>
          <w:lang w:eastAsia="en-US"/>
        </w:rPr>
        <w:t>neoplatonské nauky</w:t>
      </w:r>
      <w:r w:rsidRPr="003D1E07">
        <w:rPr>
          <w:lang w:eastAsia="en-US"/>
        </w:rPr>
        <w:t xml:space="preserve"> o darovaném intelektu (</w:t>
      </w:r>
      <w:r w:rsidRPr="003D1E07">
        <w:rPr>
          <w:i/>
          <w:lang w:eastAsia="en-US"/>
        </w:rPr>
        <w:t>intellectus adeptus</w:t>
      </w:r>
      <w:r w:rsidRPr="003D1E07">
        <w:rPr>
          <w:i/>
          <w:lang w:eastAsia="en-US"/>
        </w:rPr>
        <w:fldChar w:fldCharType="begin"/>
      </w:r>
      <w:r w:rsidRPr="003D1E07">
        <w:instrText xml:space="preserve"> XE "</w:instrText>
      </w:r>
      <w:r w:rsidRPr="003D1E07">
        <w:rPr>
          <w:i/>
        </w:rPr>
        <w:instrText>intellectus adeptus</w:instrText>
      </w:r>
      <w:r w:rsidRPr="003D1E07">
        <w:instrText xml:space="preserve">:Avicenna" </w:instrText>
      </w:r>
      <w:r w:rsidRPr="003D1E07">
        <w:rPr>
          <w:i/>
          <w:lang w:eastAsia="en-US"/>
        </w:rPr>
        <w:fldChar w:fldCharType="end"/>
      </w:r>
      <w:r w:rsidRPr="003D1E07">
        <w:rPr>
          <w:lang w:eastAsia="en-US"/>
        </w:rPr>
        <w:t xml:space="preserve">). Tento epochálně nový pohled přebral Avicenna od neoplatoniků z Al-Kindího školy a také od Al-Fárábího. </w:t>
      </w:r>
      <w:r w:rsidR="006F1A44" w:rsidRPr="003D1E07">
        <w:rPr>
          <w:lang w:eastAsia="en-US"/>
        </w:rPr>
        <w:t xml:space="preserve">Vytvořil přímé poznání </w:t>
      </w:r>
      <w:r w:rsidRPr="003D1E07">
        <w:rPr>
          <w:lang w:eastAsia="en-US"/>
        </w:rPr>
        <w:t>minimální</w:t>
      </w:r>
      <w:r w:rsidR="006F1A44" w:rsidRPr="003D1E07">
        <w:rPr>
          <w:lang w:eastAsia="en-US"/>
        </w:rPr>
        <w:t>ho jsoucna</w:t>
      </w:r>
      <w:r w:rsidRPr="003D1E07">
        <w:rPr>
          <w:lang w:eastAsia="en-US"/>
        </w:rPr>
        <w:t xml:space="preserve">, protože moderní substance daná jako </w:t>
      </w:r>
      <w:r w:rsidR="009320BE" w:rsidRPr="003D1E07">
        <w:rPr>
          <w:lang w:eastAsia="en-US"/>
        </w:rPr>
        <w:t xml:space="preserve">objektivní </w:t>
      </w:r>
      <w:r w:rsidRPr="003D1E07">
        <w:rPr>
          <w:i/>
          <w:lang w:eastAsia="en-US"/>
        </w:rPr>
        <w:t>individuum</w:t>
      </w:r>
      <w:r w:rsidRPr="003D1E07">
        <w:rPr>
          <w:lang w:eastAsia="en-US"/>
        </w:rPr>
        <w:t xml:space="preserve"> stojí mimo smyslovou zkušenost (kap. 2.3.2). Avicenna radikalizoval původní Al-Fárábího schéma dané v díle </w:t>
      </w:r>
      <w:r w:rsidRPr="003D1E07">
        <w:rPr>
          <w:i/>
          <w:lang w:eastAsia="en-US"/>
        </w:rPr>
        <w:t>De intellectu et intellecto</w:t>
      </w:r>
      <w:r w:rsidRPr="003D1E07">
        <w:rPr>
          <w:lang w:eastAsia="en-US"/>
        </w:rPr>
        <w:t xml:space="preserve"> podle dichotomického Alexandrova výkladu </w:t>
      </w:r>
      <w:r w:rsidRPr="003D1E07">
        <w:rPr>
          <w:i/>
          <w:lang w:eastAsia="en-US"/>
        </w:rPr>
        <w:t>De anima</w:t>
      </w:r>
      <w:r w:rsidRPr="003D1E07">
        <w:rPr>
          <w:lang w:eastAsia="en-US"/>
        </w:rPr>
        <w:t xml:space="preserve">. </w:t>
      </w:r>
      <w:r w:rsidR="0031244F" w:rsidRPr="003D1E07">
        <w:rPr>
          <w:lang w:eastAsia="en-US"/>
        </w:rPr>
        <w:t>Metafyzika</w:t>
      </w:r>
      <w:r w:rsidRPr="003D1E07">
        <w:rPr>
          <w:lang w:eastAsia="en-US"/>
        </w:rPr>
        <w:t xml:space="preserve"> Alexandra a Avicenny </w:t>
      </w:r>
      <w:r w:rsidR="0031244F" w:rsidRPr="003D1E07">
        <w:rPr>
          <w:lang w:eastAsia="en-US"/>
        </w:rPr>
        <w:t xml:space="preserve">se oddělila </w:t>
      </w:r>
      <w:r w:rsidRPr="003D1E07">
        <w:rPr>
          <w:lang w:eastAsia="en-US"/>
        </w:rPr>
        <w:t>od fyziky</w:t>
      </w:r>
      <w:r w:rsidR="0031244F" w:rsidRPr="003D1E07">
        <w:rPr>
          <w:lang w:eastAsia="en-US"/>
        </w:rPr>
        <w:t xml:space="preserve">. </w:t>
      </w:r>
      <w:r w:rsidR="00452D1E" w:rsidRPr="003D1E07">
        <w:rPr>
          <w:lang w:eastAsia="en-US"/>
        </w:rPr>
        <w:t xml:space="preserve">Mytopoetika nových iluminátů </w:t>
      </w:r>
      <w:r w:rsidR="00452D1E">
        <w:t>už nepotřebuje</w:t>
      </w:r>
      <w:r w:rsidR="00452D1E" w:rsidRPr="003D1E07">
        <w:t xml:space="preserve"> </w:t>
      </w:r>
      <w:r w:rsidR="00452D1E">
        <w:t>kategoriální impozici danou</w:t>
      </w:r>
      <w:r w:rsidR="00452D1E" w:rsidRPr="003D1E07">
        <w:t xml:space="preserve"> </w:t>
      </w:r>
      <w:r w:rsidR="00452D1E" w:rsidRPr="003D1E07">
        <w:rPr>
          <w:lang w:eastAsia="en-US"/>
        </w:rPr>
        <w:t>nasvícení</w:t>
      </w:r>
      <w:r w:rsidR="00452D1E" w:rsidRPr="003D1E07">
        <w:t>m</w:t>
      </w:r>
      <w:r w:rsidR="00452D1E" w:rsidRPr="003D1E07">
        <w:rPr>
          <w:lang w:eastAsia="en-US"/>
        </w:rPr>
        <w:t xml:space="preserve"> jsoucna směrem od první substance</w:t>
      </w:r>
      <w:r w:rsidR="00452D1E">
        <w:rPr>
          <w:lang w:eastAsia="en-US"/>
        </w:rPr>
        <w:t>, aby byla pravdivá</w:t>
      </w:r>
      <w:r w:rsidR="00452D1E" w:rsidRPr="003D1E07">
        <w:rPr>
          <w:lang w:eastAsia="en-US"/>
        </w:rPr>
        <w:t xml:space="preserve">. Averroes na konci období středních komentářů ke Korpusu jasně viděl, že metafyzika modernistů je založena na vykonstruované substanci jako </w:t>
      </w:r>
      <w:r w:rsidR="00452D1E" w:rsidRPr="003D1E07">
        <w:rPr>
          <w:i/>
          <w:lang w:eastAsia="en-US"/>
        </w:rPr>
        <w:t>individuum</w:t>
      </w:r>
      <w:r w:rsidR="00452D1E" w:rsidRPr="003D1E07">
        <w:rPr>
          <w:lang w:eastAsia="en-US"/>
        </w:rPr>
        <w:t>.</w:t>
      </w:r>
      <w:r w:rsidR="00452D1E">
        <w:rPr>
          <w:lang w:eastAsia="en-US"/>
        </w:rPr>
        <w:t xml:space="preserve"> </w:t>
      </w:r>
      <w:r w:rsidR="0031244F" w:rsidRPr="003D1E07">
        <w:rPr>
          <w:lang w:eastAsia="en-US"/>
        </w:rPr>
        <w:t xml:space="preserve">Ve druhém a logicky nutném kroku došlo k dichotomii poznání. </w:t>
      </w:r>
      <w:r w:rsidR="00757B19">
        <w:rPr>
          <w:lang w:eastAsia="en-US"/>
        </w:rPr>
        <w:t>Roz</w:t>
      </w:r>
      <w:r w:rsidR="00323039" w:rsidRPr="003D1E07">
        <w:rPr>
          <w:lang w:eastAsia="en-US"/>
        </w:rPr>
        <w:t>dělená fyzika a metafyzika</w:t>
      </w:r>
      <w:r w:rsidRPr="003D1E07">
        <w:rPr>
          <w:lang w:eastAsia="en-US"/>
        </w:rPr>
        <w:t xml:space="preserve"> </w:t>
      </w:r>
      <w:r w:rsidR="00C43090">
        <w:rPr>
          <w:lang w:eastAsia="en-US"/>
        </w:rPr>
        <w:t xml:space="preserve">stojí na </w:t>
      </w:r>
      <w:r w:rsidR="00757B19">
        <w:rPr>
          <w:lang w:eastAsia="en-US"/>
        </w:rPr>
        <w:t xml:space="preserve">odděleném </w:t>
      </w:r>
      <w:r w:rsidRPr="003D1E07">
        <w:rPr>
          <w:lang w:eastAsia="en-US"/>
        </w:rPr>
        <w:t>smyslové</w:t>
      </w:r>
      <w:r w:rsidR="00C43090">
        <w:rPr>
          <w:lang w:eastAsia="en-US"/>
        </w:rPr>
        <w:t>m</w:t>
      </w:r>
      <w:r w:rsidR="00323039" w:rsidRPr="003D1E07">
        <w:rPr>
          <w:lang w:eastAsia="en-US"/>
        </w:rPr>
        <w:t xml:space="preserve"> a inteligibilní</w:t>
      </w:r>
      <w:r w:rsidR="00C43090">
        <w:rPr>
          <w:lang w:eastAsia="en-US"/>
        </w:rPr>
        <w:t>m</w:t>
      </w:r>
      <w:r w:rsidR="0071196B" w:rsidRPr="003D1E07">
        <w:rPr>
          <w:lang w:eastAsia="en-US"/>
        </w:rPr>
        <w:t xml:space="preserve"> poznání</w:t>
      </w:r>
      <w:r w:rsidRPr="003D1E07">
        <w:rPr>
          <w:lang w:eastAsia="en-US"/>
        </w:rPr>
        <w:t xml:space="preserve">. Destrukce jednotné výstavby fyziky a metafyziky způsobila, že </w:t>
      </w:r>
      <w:r w:rsidRPr="003D1E07">
        <w:t xml:space="preserve">úkon </w:t>
      </w:r>
      <w:r w:rsidRPr="003D1E07">
        <w:rPr>
          <w:lang w:eastAsia="en-US"/>
        </w:rPr>
        <w:t xml:space="preserve">poznání dostal dichotomický charakter podle modernistické verze </w:t>
      </w:r>
      <w:r w:rsidR="00B9798E">
        <w:rPr>
          <w:lang w:eastAsia="en-US"/>
        </w:rPr>
        <w:t xml:space="preserve">rozdělené </w:t>
      </w:r>
      <w:r w:rsidR="00452D1E">
        <w:rPr>
          <w:lang w:eastAsia="en-US"/>
        </w:rPr>
        <w:t xml:space="preserve">první vědy. </w:t>
      </w:r>
      <w:r w:rsidR="005209F4" w:rsidRPr="003D1E07">
        <w:rPr>
          <w:lang w:eastAsia="en-US"/>
        </w:rPr>
        <w:t>P</w:t>
      </w:r>
      <w:r w:rsidRPr="003D1E07">
        <w:rPr>
          <w:lang w:eastAsia="en-US"/>
        </w:rPr>
        <w:t>oznání čistých inteligibilních forem běží skrze darovaný intelekt nasvícený zezadu (</w:t>
      </w:r>
      <w:r w:rsidRPr="003D1E07">
        <w:rPr>
          <w:i/>
          <w:lang w:eastAsia="en-US"/>
        </w:rPr>
        <w:t>intellectus adeptus</w:t>
      </w:r>
      <w:r w:rsidRPr="003D1E07">
        <w:rPr>
          <w:i/>
        </w:rPr>
        <w:fldChar w:fldCharType="begin"/>
      </w:r>
      <w:r w:rsidRPr="003D1E07">
        <w:instrText xml:space="preserve"> XE "</w:instrText>
      </w:r>
      <w:r w:rsidRPr="003D1E07">
        <w:rPr>
          <w:i/>
          <w:lang w:eastAsia="en-US"/>
        </w:rPr>
        <w:instrText>intellectus adeptus</w:instrText>
      </w:r>
      <w:r w:rsidRPr="003D1E07">
        <w:instrText xml:space="preserve">:Avicenna" </w:instrText>
      </w:r>
      <w:r w:rsidRPr="003D1E07">
        <w:rPr>
          <w:i/>
        </w:rPr>
        <w:fldChar w:fldCharType="end"/>
      </w:r>
      <w:r w:rsidR="00F20DE5" w:rsidRPr="003D1E07">
        <w:rPr>
          <w:lang w:eastAsia="en-US"/>
        </w:rPr>
        <w:t>). P</w:t>
      </w:r>
      <w:r w:rsidRPr="003D1E07">
        <w:rPr>
          <w:lang w:eastAsia="en-US"/>
        </w:rPr>
        <w:t xml:space="preserve">roto </w:t>
      </w:r>
      <w:r w:rsidR="006748E0" w:rsidRPr="003D1E07">
        <w:rPr>
          <w:lang w:eastAsia="en-US"/>
        </w:rPr>
        <w:t xml:space="preserve">moderní poznání </w:t>
      </w:r>
      <w:r w:rsidRPr="003D1E07">
        <w:rPr>
          <w:lang w:eastAsia="en-US"/>
        </w:rPr>
        <w:t xml:space="preserve">nepotřebuje </w:t>
      </w:r>
      <w:r w:rsidR="005D7748" w:rsidRPr="003D1E07">
        <w:rPr>
          <w:lang w:eastAsia="en-US"/>
        </w:rPr>
        <w:t>smyslově vnímanou realit</w:t>
      </w:r>
      <w:r w:rsidRPr="003D1E07">
        <w:rPr>
          <w:lang w:eastAsia="en-US"/>
        </w:rPr>
        <w:t xml:space="preserve">u. Nasvícení objektivního jsoucna je dáno u Avicenny skrze oddělený </w:t>
      </w:r>
      <w:r w:rsidRPr="003D1E07">
        <w:rPr>
          <w:i/>
          <w:lang w:eastAsia="en-US"/>
        </w:rPr>
        <w:t>intellectus agens</w:t>
      </w:r>
      <w:r w:rsidRPr="003D1E07">
        <w:rPr>
          <w:i/>
          <w:lang w:eastAsia="en-US"/>
        </w:rPr>
        <w:fldChar w:fldCharType="begin"/>
      </w:r>
      <w:r w:rsidRPr="003D1E07">
        <w:instrText xml:space="preserve"> XE "</w:instrText>
      </w:r>
      <w:r w:rsidRPr="003D1E07">
        <w:rPr>
          <w:i/>
        </w:rPr>
        <w:instrText>intellectus agens</w:instrText>
      </w:r>
      <w:r w:rsidRPr="003D1E07">
        <w:instrText xml:space="preserve">:Avicenna " </w:instrText>
      </w:r>
      <w:r w:rsidRPr="003D1E07">
        <w:rPr>
          <w:i/>
          <w:lang w:eastAsia="en-US"/>
        </w:rPr>
        <w:fldChar w:fldCharType="end"/>
      </w:r>
      <w:r w:rsidRPr="003D1E07">
        <w:rPr>
          <w:lang w:eastAsia="en-US"/>
        </w:rPr>
        <w:t xml:space="preserve"> (kap. 2.3.1). Moderní mytopoetika odmítla kauzalitu aristotelského myšlení, které adekvátně následuje dění dané v realitě. </w:t>
      </w:r>
      <w:r w:rsidR="004619CA" w:rsidRPr="003D1E07">
        <w:rPr>
          <w:lang w:eastAsia="en-US"/>
        </w:rPr>
        <w:t xml:space="preserve">Metafyzik určuje působení </w:t>
      </w:r>
      <w:r w:rsidRPr="003D1E07">
        <w:rPr>
          <w:lang w:eastAsia="en-US"/>
        </w:rPr>
        <w:t xml:space="preserve">prvních substancí a </w:t>
      </w:r>
      <w:r w:rsidR="004619CA" w:rsidRPr="003D1E07">
        <w:rPr>
          <w:lang w:eastAsia="en-US"/>
        </w:rPr>
        <w:t>jejich univerzální smysl</w:t>
      </w:r>
      <w:r w:rsidRPr="003D1E07">
        <w:rPr>
          <w:lang w:eastAsia="en-US"/>
        </w:rPr>
        <w:t xml:space="preserve">. </w:t>
      </w:r>
      <w:r w:rsidR="006D297E" w:rsidRPr="003D1E07">
        <w:rPr>
          <w:lang w:eastAsia="en-US"/>
        </w:rPr>
        <w:t xml:space="preserve">Nová metafyzika dostala jako </w:t>
      </w:r>
      <w:r w:rsidRPr="003D1E07">
        <w:rPr>
          <w:lang w:eastAsia="en-US"/>
        </w:rPr>
        <w:t xml:space="preserve">ontoteologický základ </w:t>
      </w:r>
      <w:r w:rsidR="006D297E" w:rsidRPr="003D1E07">
        <w:rPr>
          <w:lang w:eastAsia="en-US"/>
        </w:rPr>
        <w:t>(</w:t>
      </w:r>
      <w:r w:rsidR="006D297E" w:rsidRPr="003D1E07">
        <w:rPr>
          <w:i/>
          <w:lang w:eastAsia="en-US"/>
        </w:rPr>
        <w:t>Grund</w:t>
      </w:r>
      <w:r w:rsidR="002078BB" w:rsidRPr="003D1E07">
        <w:rPr>
          <w:i/>
          <w:lang w:eastAsia="en-US"/>
        </w:rPr>
        <w:fldChar w:fldCharType="begin"/>
      </w:r>
      <w:r w:rsidR="002078BB" w:rsidRPr="003D1E07">
        <w:instrText xml:space="preserve"> XE "</w:instrText>
      </w:r>
      <w:r w:rsidR="002078BB" w:rsidRPr="003D1E07">
        <w:rPr>
          <w:i/>
          <w:lang w:eastAsia="en-US"/>
        </w:rPr>
        <w:instrText>Grund</w:instrText>
      </w:r>
      <w:r w:rsidR="002078BB" w:rsidRPr="003D1E07">
        <w:instrText xml:space="preserve">" </w:instrText>
      </w:r>
      <w:r w:rsidR="002078BB" w:rsidRPr="003D1E07">
        <w:rPr>
          <w:i/>
          <w:lang w:eastAsia="en-US"/>
        </w:rPr>
        <w:fldChar w:fldCharType="end"/>
      </w:r>
      <w:r w:rsidR="006D297E" w:rsidRPr="003D1E07">
        <w:rPr>
          <w:lang w:eastAsia="en-US"/>
        </w:rPr>
        <w:t xml:space="preserve">) mytopoetické </w:t>
      </w:r>
      <w:r w:rsidR="00D13BCF" w:rsidRPr="003D1E07">
        <w:rPr>
          <w:i/>
          <w:lang w:eastAsia="en-US"/>
        </w:rPr>
        <w:t>tertium ens</w:t>
      </w:r>
      <w:r w:rsidRPr="003D1E07">
        <w:rPr>
          <w:lang w:eastAsia="en-US"/>
        </w:rPr>
        <w:t xml:space="preserve">. Algazel vyvodil </w:t>
      </w:r>
      <w:r w:rsidR="00B956EB" w:rsidRPr="003D1E07">
        <w:rPr>
          <w:lang w:eastAsia="en-US"/>
        </w:rPr>
        <w:t>z </w:t>
      </w:r>
      <w:r w:rsidR="00D913F5" w:rsidRPr="003D1E07">
        <w:rPr>
          <w:lang w:eastAsia="en-US"/>
        </w:rPr>
        <w:t xml:space="preserve">ontoteologie </w:t>
      </w:r>
      <w:r w:rsidR="00B956EB" w:rsidRPr="003D1E07">
        <w:rPr>
          <w:lang w:eastAsia="en-US"/>
        </w:rPr>
        <w:t xml:space="preserve">modernistů </w:t>
      </w:r>
      <w:r w:rsidR="00C33EE5" w:rsidRPr="003D1E07">
        <w:rPr>
          <w:lang w:eastAsia="en-US"/>
        </w:rPr>
        <w:t xml:space="preserve">správný závěr, že </w:t>
      </w:r>
      <w:r w:rsidR="00B956EB" w:rsidRPr="003D1E07">
        <w:rPr>
          <w:lang w:eastAsia="en-US"/>
        </w:rPr>
        <w:t xml:space="preserve">jejich </w:t>
      </w:r>
      <w:r w:rsidR="00C33EE5" w:rsidRPr="003D1E07">
        <w:rPr>
          <w:lang w:eastAsia="en-US"/>
        </w:rPr>
        <w:t>mytopoetický bůh musí nutně zemřít</w:t>
      </w:r>
      <w:r w:rsidR="007825EF" w:rsidRPr="003D1E07">
        <w:rPr>
          <w:lang w:eastAsia="en-US"/>
        </w:rPr>
        <w:t xml:space="preserve">, protože nikdy neexistoval </w:t>
      </w:r>
      <w:r w:rsidRPr="003D1E07">
        <w:rPr>
          <w:lang w:eastAsia="en-US"/>
        </w:rPr>
        <w:t xml:space="preserve">(kap. 2.3.3). </w:t>
      </w:r>
      <w:r w:rsidR="00D913F5" w:rsidRPr="003D1E07">
        <w:rPr>
          <w:lang w:eastAsia="en-US"/>
        </w:rPr>
        <w:t xml:space="preserve">Neoplatonská </w:t>
      </w:r>
      <w:r w:rsidR="00D913F5" w:rsidRPr="003D1E07">
        <w:rPr>
          <w:lang w:eastAsia="en-US"/>
        </w:rPr>
        <w:lastRenderedPageBreak/>
        <w:t>podoba abstrakce</w:t>
      </w:r>
      <w:r w:rsidR="00D913F5" w:rsidRPr="003D1E07">
        <w:rPr>
          <w:szCs w:val="24"/>
        </w:rPr>
        <w:t xml:space="preserve"> (</w:t>
      </w:r>
      <w:r w:rsidR="00D913F5" w:rsidRPr="003D1E07">
        <w:rPr>
          <w:i/>
          <w:szCs w:val="24"/>
        </w:rPr>
        <w:t>denudatio</w:t>
      </w:r>
      <w:r w:rsidR="00D913F5" w:rsidRPr="003D1E07">
        <w:rPr>
          <w:szCs w:val="24"/>
        </w:rPr>
        <w:t xml:space="preserve">) </w:t>
      </w:r>
      <w:r w:rsidR="00D913F5" w:rsidRPr="003D1E07">
        <w:rPr>
          <w:lang w:eastAsia="en-US"/>
        </w:rPr>
        <w:t xml:space="preserve">určuje ontologickou </w:t>
      </w:r>
      <w:r w:rsidRPr="003D1E07">
        <w:rPr>
          <w:lang w:eastAsia="en-US"/>
        </w:rPr>
        <w:t>dráhu náhledu (</w:t>
      </w:r>
      <w:r w:rsidRPr="003D1E07">
        <w:rPr>
          <w:i/>
          <w:lang w:eastAsia="en-US"/>
        </w:rPr>
        <w:t>Vor-blickbahn</w:t>
      </w:r>
      <w:r w:rsidR="00066BED" w:rsidRPr="003D1E07">
        <w:rPr>
          <w:lang w:eastAsia="en-US"/>
        </w:rPr>
        <w:t>), která založila západní objektivitu</w:t>
      </w:r>
      <w:r w:rsidR="00D913F5" w:rsidRPr="003D1E07">
        <w:rPr>
          <w:lang w:eastAsia="en-US"/>
        </w:rPr>
        <w:t xml:space="preserve">. </w:t>
      </w:r>
      <w:r w:rsidRPr="003D1E07">
        <w:rPr>
          <w:szCs w:val="24"/>
        </w:rPr>
        <w:t xml:space="preserve">Zavedení této moderní formy abstrakce jsme vyložili u Alfarábího a Avicenny. </w:t>
      </w:r>
      <w:r w:rsidRPr="003D1E07">
        <w:rPr>
          <w:lang w:eastAsia="en-US"/>
        </w:rPr>
        <w:t xml:space="preserve">Averroes naopak staví metafyziku na apodiktickém poznání prvních principů reálné substance. </w:t>
      </w:r>
      <w:r w:rsidR="00B149D8" w:rsidRPr="003D1E07">
        <w:rPr>
          <w:lang w:eastAsia="en-US"/>
        </w:rPr>
        <w:t>Je</w:t>
      </w:r>
      <w:r w:rsidR="00C745BD" w:rsidRPr="003D1E07">
        <w:rPr>
          <w:lang w:eastAsia="en-US"/>
        </w:rPr>
        <w:t>ho</w:t>
      </w:r>
      <w:r w:rsidR="00B149D8" w:rsidRPr="003D1E07">
        <w:rPr>
          <w:lang w:eastAsia="en-US"/>
        </w:rPr>
        <w:t xml:space="preserve"> verze </w:t>
      </w:r>
      <w:r w:rsidRPr="003D1E07">
        <w:rPr>
          <w:lang w:eastAsia="en-US"/>
        </w:rPr>
        <w:t xml:space="preserve">první vědy spojuje poslední knihu </w:t>
      </w:r>
      <w:r w:rsidRPr="003D1E07">
        <w:rPr>
          <w:i/>
          <w:lang w:eastAsia="en-US"/>
        </w:rPr>
        <w:t>Fyziky</w:t>
      </w:r>
      <w:r w:rsidR="002078BB" w:rsidRPr="003D1E07">
        <w:rPr>
          <w:lang w:eastAsia="en-US"/>
        </w:rPr>
        <w:t xml:space="preserve"> a </w:t>
      </w:r>
      <w:r w:rsidR="002078BB" w:rsidRPr="003D1E07">
        <w:rPr>
          <w:i/>
          <w:lang w:eastAsia="en-US"/>
        </w:rPr>
        <w:t>Metafyzik</w:t>
      </w:r>
      <w:r w:rsidRPr="003D1E07">
        <w:rPr>
          <w:i/>
          <w:lang w:eastAsia="en-US"/>
        </w:rPr>
        <w:t>u Lambda</w:t>
      </w:r>
      <w:r w:rsidRPr="003D1E07">
        <w:rPr>
          <w:lang w:eastAsia="en-US"/>
        </w:rPr>
        <w:t xml:space="preserve">. První věda zkoumající určení první substance za fyzikou odmítá každou projekci </w:t>
      </w:r>
      <w:r w:rsidRPr="003D1E07">
        <w:rPr>
          <w:i/>
          <w:lang w:eastAsia="en-US"/>
        </w:rPr>
        <w:t>tertium ens</w:t>
      </w:r>
      <w:r w:rsidRPr="003D1E07">
        <w:rPr>
          <w:lang w:eastAsia="en-US"/>
        </w:rPr>
        <w:t xml:space="preserve"> d</w:t>
      </w:r>
      <w:r w:rsidR="008A275F" w:rsidRPr="003D1E07">
        <w:rPr>
          <w:lang w:eastAsia="en-US"/>
        </w:rPr>
        <w:t>o metafyziky</w:t>
      </w:r>
      <w:r w:rsidRPr="003D1E07">
        <w:rPr>
          <w:lang w:eastAsia="en-US"/>
        </w:rPr>
        <w:t xml:space="preserve">. Jsoucno třetího druhu nemá v první vědě o reálné substanci žádnou možnost, jak by mohlo existovat. Není první substancí existující reálně, proto nemá pravdivý způsob </w:t>
      </w:r>
      <w:r w:rsidR="00EE4CFC" w:rsidRPr="003D1E07">
        <w:rPr>
          <w:lang w:eastAsia="en-US"/>
        </w:rPr>
        <w:t xml:space="preserve">metafyzické </w:t>
      </w:r>
      <w:r w:rsidRPr="003D1E07">
        <w:rPr>
          <w:lang w:eastAsia="en-US"/>
        </w:rPr>
        <w:t>manifestace</w:t>
      </w:r>
      <w:r w:rsidR="00322505">
        <w:rPr>
          <w:lang w:eastAsia="en-US"/>
        </w:rPr>
        <w:t xml:space="preserve">. Nejde </w:t>
      </w:r>
      <w:r w:rsidR="0036755F">
        <w:rPr>
          <w:lang w:eastAsia="en-US"/>
        </w:rPr>
        <w:t xml:space="preserve">pravdivě </w:t>
      </w:r>
      <w:r w:rsidR="00322505">
        <w:rPr>
          <w:lang w:eastAsia="en-US"/>
        </w:rPr>
        <w:t>udělat adekvaci</w:t>
      </w:r>
      <w:r w:rsidRPr="003D1E07">
        <w:rPr>
          <w:lang w:eastAsia="en-US"/>
        </w:rPr>
        <w:t xml:space="preserve"> myšlení k tomu, co aktuálně </w:t>
      </w:r>
      <w:r w:rsidR="00322505">
        <w:rPr>
          <w:lang w:eastAsia="en-US"/>
        </w:rPr>
        <w:t>ne</w:t>
      </w:r>
      <w:r w:rsidRPr="003D1E07">
        <w:rPr>
          <w:lang w:eastAsia="en-US"/>
        </w:rPr>
        <w:t xml:space="preserve">existuje. </w:t>
      </w:r>
      <w:r w:rsidR="00322505">
        <w:rPr>
          <w:lang w:eastAsia="en-US"/>
        </w:rPr>
        <w:t xml:space="preserve">Jsoucno </w:t>
      </w:r>
      <w:r w:rsidR="00322505" w:rsidRPr="00322505">
        <w:rPr>
          <w:lang w:eastAsia="en-US"/>
        </w:rPr>
        <w:t xml:space="preserve">třetího druhu postrádá metafyzickou pravdu, která je dána shodou myšlení s tím, co skutečně existuje. </w:t>
      </w:r>
      <w:r w:rsidRPr="003D1E07">
        <w:rPr>
          <w:lang w:eastAsia="en-US"/>
        </w:rPr>
        <w:t>Averroesova „meta-fyzika“</w:t>
      </w:r>
      <w:r w:rsidRPr="003D1E07">
        <w:rPr>
          <w:lang w:eastAsia="en-US"/>
        </w:rPr>
        <w:fldChar w:fldCharType="begin"/>
      </w:r>
      <w:r w:rsidRPr="003D1E07">
        <w:instrText xml:space="preserve"> XE "metafyzika:Averroes" </w:instrText>
      </w:r>
      <w:r w:rsidRPr="003D1E07">
        <w:rPr>
          <w:lang w:eastAsia="en-US"/>
        </w:rPr>
        <w:fldChar w:fldCharType="end"/>
      </w:r>
      <w:r w:rsidRPr="003D1E07">
        <w:rPr>
          <w:lang w:eastAsia="en-US"/>
        </w:rPr>
        <w:t xml:space="preserve"> založená n</w:t>
      </w:r>
      <w:r w:rsidR="004326E1" w:rsidRPr="003D1E07">
        <w:rPr>
          <w:lang w:eastAsia="en-US"/>
        </w:rPr>
        <w:t>a primátu první substance odmítla</w:t>
      </w:r>
      <w:r w:rsidRPr="003D1E07">
        <w:rPr>
          <w:lang w:eastAsia="en-US"/>
        </w:rPr>
        <w:t xml:space="preserve"> přímý náhled do esenciality první substance. Tento intuitivní náhled postihuje bytí univerzální substance dané pouze v mysli. Univerzální koncept kauzality v logickém modu </w:t>
      </w:r>
      <w:r w:rsidRPr="003D1E07">
        <w:rPr>
          <w:i/>
          <w:lang w:eastAsia="en-US"/>
        </w:rPr>
        <w:t>idem</w:t>
      </w:r>
      <w:r w:rsidRPr="003D1E07">
        <w:rPr>
          <w:lang w:eastAsia="en-US"/>
        </w:rPr>
        <w:t xml:space="preserve"> není totéž, co reálné působení kauzality v modu </w:t>
      </w:r>
      <w:r w:rsidRPr="003D1E07">
        <w:rPr>
          <w:i/>
          <w:lang w:eastAsia="en-US"/>
        </w:rPr>
        <w:t>ipse</w:t>
      </w:r>
      <w:r w:rsidR="00EA56A7" w:rsidRPr="003D1E07">
        <w:rPr>
          <w:i/>
          <w:lang w:eastAsia="en-US"/>
        </w:rPr>
        <w:fldChar w:fldCharType="begin"/>
      </w:r>
      <w:r w:rsidR="00EA56A7" w:rsidRPr="003D1E07">
        <w:instrText xml:space="preserve"> XE "</w:instrText>
      </w:r>
      <w:r w:rsidR="00EA56A7" w:rsidRPr="003D1E07">
        <w:rPr>
          <w:i/>
          <w:lang w:eastAsia="en-US"/>
        </w:rPr>
        <w:instrText>ipse/idem</w:instrText>
      </w:r>
      <w:r w:rsidR="00EA56A7" w:rsidRPr="003D1E07">
        <w:instrText xml:space="preserve">" </w:instrText>
      </w:r>
      <w:r w:rsidR="00EA56A7" w:rsidRPr="003D1E07">
        <w:rPr>
          <w:i/>
          <w:lang w:eastAsia="en-US"/>
        </w:rPr>
        <w:fldChar w:fldCharType="end"/>
      </w:r>
      <w:r w:rsidRPr="003D1E07">
        <w:rPr>
          <w:lang w:eastAsia="en-US"/>
        </w:rPr>
        <w:t xml:space="preserve">. Identita </w:t>
      </w:r>
      <w:r w:rsidR="005C7045" w:rsidRPr="003D1E07">
        <w:rPr>
          <w:lang w:eastAsia="en-US"/>
        </w:rPr>
        <w:t xml:space="preserve">logické </w:t>
      </w:r>
      <w:r w:rsidRPr="003D1E07">
        <w:rPr>
          <w:lang w:eastAsia="en-US"/>
        </w:rPr>
        <w:t xml:space="preserve">substance není její </w:t>
      </w:r>
      <w:r w:rsidR="00A157D0" w:rsidRPr="003D1E07">
        <w:rPr>
          <w:lang w:eastAsia="en-US"/>
        </w:rPr>
        <w:t xml:space="preserve">metafyzická </w:t>
      </w:r>
      <w:r w:rsidRPr="003D1E07">
        <w:rPr>
          <w:lang w:eastAsia="en-US"/>
        </w:rPr>
        <w:t xml:space="preserve">ipseita, což mylně předpokládá </w:t>
      </w:r>
      <w:r w:rsidRPr="003D1E07">
        <w:rPr>
          <w:i/>
          <w:lang w:eastAsia="en-US"/>
        </w:rPr>
        <w:t>modus ponens</w:t>
      </w:r>
      <w:r w:rsidRPr="003D1E07">
        <w:rPr>
          <w:i/>
          <w:lang w:eastAsia="en-US"/>
        </w:rPr>
        <w:fldChar w:fldCharType="begin"/>
      </w:r>
      <w:r w:rsidRPr="003D1E07">
        <w:instrText xml:space="preserve"> XE "</w:instrText>
      </w:r>
      <w:r w:rsidRPr="003D1E07">
        <w:rPr>
          <w:i/>
          <w:lang w:eastAsia="en-US"/>
        </w:rPr>
        <w:instrText>modus ponens</w:instrText>
      </w:r>
      <w:r w:rsidRPr="003D1E07">
        <w:instrText xml:space="preserve">" </w:instrText>
      </w:r>
      <w:r w:rsidRPr="003D1E07">
        <w:rPr>
          <w:i/>
          <w:lang w:eastAsia="en-US"/>
        </w:rPr>
        <w:fldChar w:fldCharType="end"/>
      </w:r>
      <w:r w:rsidRPr="003D1E07">
        <w:rPr>
          <w:lang w:eastAsia="en-US"/>
        </w:rPr>
        <w:t xml:space="preserve"> modernistů. </w:t>
      </w:r>
      <w:r w:rsidR="00124634" w:rsidRPr="003D1E07">
        <w:rPr>
          <w:lang w:eastAsia="en-US"/>
        </w:rPr>
        <w:t xml:space="preserve">Moderně </w:t>
      </w:r>
      <w:r w:rsidRPr="003D1E07">
        <w:rPr>
          <w:lang w:eastAsia="en-US"/>
        </w:rPr>
        <w:t xml:space="preserve">chybí kauzální působení </w:t>
      </w:r>
      <w:r w:rsidR="089108A9" w:rsidRPr="003D1E07">
        <w:t xml:space="preserve">metafyzického </w:t>
      </w:r>
      <w:r w:rsidR="003C0D6F" w:rsidRPr="003D1E07">
        <w:rPr>
          <w:lang w:eastAsia="en-US"/>
        </w:rPr>
        <w:t>dativu na myšlení. T</w:t>
      </w:r>
      <w:r w:rsidR="00124634" w:rsidRPr="003D1E07">
        <w:rPr>
          <w:lang w:eastAsia="en-US"/>
        </w:rPr>
        <w:t xml:space="preserve">ím zmizelo </w:t>
      </w:r>
      <w:r w:rsidRPr="003D1E07">
        <w:rPr>
          <w:lang w:eastAsia="en-US"/>
        </w:rPr>
        <w:t>pojetí pravdy jako adekvace substančního bytí a myšlení. Substance je složena z materie a formy, s výjimkou existence Prvního hybatele</w:t>
      </w:r>
      <w:r w:rsidRPr="003D1E07">
        <w:rPr>
          <w:lang w:eastAsia="en-US"/>
        </w:rPr>
        <w:fldChar w:fldCharType="begin"/>
      </w:r>
      <w:r w:rsidRPr="003D1E07">
        <w:instrText xml:space="preserve"> XE "První hybatel" </w:instrText>
      </w:r>
      <w:r w:rsidRPr="003D1E07">
        <w:rPr>
          <w:lang w:eastAsia="en-US"/>
        </w:rPr>
        <w:fldChar w:fldCharType="end"/>
      </w:r>
      <w:r w:rsidRPr="003D1E07">
        <w:rPr>
          <w:lang w:eastAsia="en-US"/>
        </w:rPr>
        <w:t>, který bytuj</w:t>
      </w:r>
      <w:r w:rsidR="00D83707">
        <w:rPr>
          <w:lang w:eastAsia="en-US"/>
        </w:rPr>
        <w:t>e jako čistý akt myšlení a bytí</w:t>
      </w:r>
      <w:r w:rsidRPr="003D1E07">
        <w:rPr>
          <w:lang w:eastAsia="en-US"/>
        </w:rPr>
        <w:t>.</w:t>
      </w:r>
      <w:r w:rsidR="005C7045" w:rsidRPr="003D1E07">
        <w:rPr>
          <w:lang w:eastAsia="en-US"/>
        </w:rPr>
        <w:t xml:space="preserve"> </w:t>
      </w:r>
      <w:r w:rsidRPr="003D1E07">
        <w:rPr>
          <w:lang w:eastAsia="en-US"/>
        </w:rPr>
        <w:t>Každý konstrukt poznání daný mimo reálnou substanci neguje původní aristotelský smysl univoční signifikace a kategorizace založené vztahem k první substanci. Místo reálné jednoty jsoucna dané v substanci staví Avicenna mytopoetick</w:t>
      </w:r>
      <w:r w:rsidR="00CA1086" w:rsidRPr="003D1E07">
        <w:rPr>
          <w:lang w:eastAsia="en-US"/>
        </w:rPr>
        <w:t>ou</w:t>
      </w:r>
      <w:r w:rsidRPr="003D1E07">
        <w:rPr>
          <w:lang w:eastAsia="en-US"/>
        </w:rPr>
        <w:t xml:space="preserve"> </w:t>
      </w:r>
      <w:r w:rsidR="00CA1086" w:rsidRPr="003D1E07">
        <w:rPr>
          <w:lang w:eastAsia="en-US"/>
        </w:rPr>
        <w:t xml:space="preserve">jednotu </w:t>
      </w:r>
      <w:r w:rsidR="00124634" w:rsidRPr="003D1E07">
        <w:rPr>
          <w:lang w:eastAsia="en-US"/>
        </w:rPr>
        <w:t xml:space="preserve">genericky a logicky definovaného </w:t>
      </w:r>
      <w:r w:rsidR="00CA1086" w:rsidRPr="003D1E07">
        <w:rPr>
          <w:lang w:eastAsia="en-US"/>
        </w:rPr>
        <w:t>jsoucna</w:t>
      </w:r>
      <w:r w:rsidR="00594FB3" w:rsidRPr="003D1E07">
        <w:rPr>
          <w:lang w:eastAsia="en-US"/>
        </w:rPr>
        <w:t xml:space="preserve">. Taková jednota </w:t>
      </w:r>
      <w:r w:rsidR="00CA1086" w:rsidRPr="003D1E07">
        <w:rPr>
          <w:lang w:eastAsia="en-US"/>
        </w:rPr>
        <w:t>je</w:t>
      </w:r>
      <w:r w:rsidRPr="003D1E07">
        <w:rPr>
          <w:lang w:eastAsia="en-US"/>
        </w:rPr>
        <w:t xml:space="preserve"> podle Averroes</w:t>
      </w:r>
      <w:r w:rsidR="00CA1086" w:rsidRPr="003D1E07">
        <w:rPr>
          <w:lang w:eastAsia="en-US"/>
        </w:rPr>
        <w:t>e daná</w:t>
      </w:r>
      <w:r w:rsidRPr="003D1E07">
        <w:rPr>
          <w:lang w:eastAsia="en-US"/>
        </w:rPr>
        <w:t xml:space="preserve"> nanejvýš analogicky</w:t>
      </w:r>
      <w:r w:rsidRPr="003D1E07">
        <w:rPr>
          <w:lang w:eastAsia="en-US"/>
        </w:rPr>
        <w:fldChar w:fldCharType="begin"/>
      </w:r>
      <w:r w:rsidRPr="003D1E07">
        <w:instrText xml:space="preserve"> XE "</w:instrText>
      </w:r>
      <w:r w:rsidRPr="003D1E07">
        <w:rPr>
          <w:lang w:eastAsia="en-US"/>
        </w:rPr>
        <w:instrText>predikace:analogická</w:instrText>
      </w:r>
      <w:r w:rsidRPr="003D1E07">
        <w:instrText xml:space="preserve">" </w:instrText>
      </w:r>
      <w:r w:rsidRPr="003D1E07">
        <w:rPr>
          <w:lang w:eastAsia="en-US"/>
        </w:rPr>
        <w:fldChar w:fldCharType="end"/>
      </w:r>
      <w:r w:rsidRPr="003D1E07">
        <w:rPr>
          <w:lang w:eastAsia="en-US"/>
        </w:rPr>
        <w:t xml:space="preserve">. Aristotelikové respektující </w:t>
      </w:r>
      <w:r w:rsidR="089108A9" w:rsidRPr="003D1E07">
        <w:t xml:space="preserve">metafyzický </w:t>
      </w:r>
      <w:r w:rsidRPr="003D1E07">
        <w:rPr>
          <w:lang w:eastAsia="en-US"/>
        </w:rPr>
        <w:t>dativ</w:t>
      </w:r>
      <w:r w:rsidRPr="003D1E07">
        <w:rPr>
          <w:lang w:eastAsia="en-US"/>
        </w:rPr>
        <w:fldChar w:fldCharType="begin"/>
      </w:r>
      <w:r w:rsidRPr="003D1E07">
        <w:instrText xml:space="preserve"> XE "</w:instrText>
      </w:r>
      <w:r w:rsidR="089108A9" w:rsidRPr="003D1E07">
        <w:rPr>
          <w:i/>
          <w:lang w:eastAsia="en-US"/>
        </w:rPr>
        <w:instrText>dativus metaphysicus</w:instrText>
      </w:r>
      <w:r w:rsidRPr="003D1E07">
        <w:instrText xml:space="preserve">" </w:instrText>
      </w:r>
      <w:r w:rsidRPr="003D1E07">
        <w:rPr>
          <w:lang w:eastAsia="en-US"/>
        </w:rPr>
        <w:fldChar w:fldCharType="end"/>
      </w:r>
      <w:r w:rsidRPr="003D1E07">
        <w:rPr>
          <w:lang w:eastAsia="en-US"/>
        </w:rPr>
        <w:t xml:space="preserve"> nemohou vytvářet </w:t>
      </w:r>
      <w:r w:rsidR="00E734F3" w:rsidRPr="003D1E07">
        <w:rPr>
          <w:lang w:eastAsia="en-US"/>
        </w:rPr>
        <w:t>minimální existenci</w:t>
      </w:r>
      <w:r w:rsidRPr="003D1E07">
        <w:rPr>
          <w:lang w:eastAsia="en-US"/>
        </w:rPr>
        <w:t xml:space="preserve"> věci v boží mysli, jako to měl Avicenna a po něm škola druhého averroismu na latinském Západě. Myšlení je společné všem lidem na základě jejich přirozeně daného intelektuálního poznání determ</w:t>
      </w:r>
      <w:r w:rsidR="00061C09" w:rsidRPr="003D1E07">
        <w:rPr>
          <w:lang w:eastAsia="en-US"/>
        </w:rPr>
        <w:t xml:space="preserve">inovaného reálným stavem světa. </w:t>
      </w:r>
      <w:r w:rsidR="000874AA" w:rsidRPr="003D1E07">
        <w:t xml:space="preserve">Averroesův </w:t>
      </w:r>
      <w:r w:rsidRPr="003D1E07">
        <w:t xml:space="preserve">výklad </w:t>
      </w:r>
      <w:r w:rsidRPr="003D1E07">
        <w:rPr>
          <w:i/>
        </w:rPr>
        <w:t xml:space="preserve">De anima </w:t>
      </w:r>
      <w:r w:rsidR="000874AA" w:rsidRPr="003D1E07">
        <w:t>odmítl</w:t>
      </w:r>
      <w:r w:rsidRPr="003D1E07">
        <w:t xml:space="preserve"> </w:t>
      </w:r>
      <w:r w:rsidR="00156DF0">
        <w:t xml:space="preserve">spekulace </w:t>
      </w:r>
      <w:r w:rsidRPr="003D1E07">
        <w:t xml:space="preserve">modernistických </w:t>
      </w:r>
      <w:r w:rsidR="005B1855" w:rsidRPr="003D1E07">
        <w:t>vykladačů</w:t>
      </w:r>
      <w:r w:rsidRPr="003D1E07">
        <w:t xml:space="preserve">. Neexistuje </w:t>
      </w:r>
      <w:r w:rsidRPr="003D1E07">
        <w:rPr>
          <w:lang w:eastAsia="en-US"/>
        </w:rPr>
        <w:t>jeden intelekt jako jsoucno třetího druhu, které je ekvivočně</w:t>
      </w:r>
      <w:r w:rsidR="00FA4271" w:rsidRPr="003D1E07">
        <w:rPr>
          <w:lang w:eastAsia="en-US"/>
        </w:rPr>
        <w:t xml:space="preserve"> vlastní všem lidem</w:t>
      </w:r>
      <w:r w:rsidRPr="003D1E07">
        <w:rPr>
          <w:lang w:eastAsia="en-US"/>
        </w:rPr>
        <w:t xml:space="preserve">. Buď existuje reálná a pravdivá jednota lidského poznání; nebo pouze analogická a proto metafyzicky nepravdivá jednota </w:t>
      </w:r>
      <w:r w:rsidR="004F25F0">
        <w:rPr>
          <w:lang w:eastAsia="en-US"/>
        </w:rPr>
        <w:t xml:space="preserve">jakéhosi </w:t>
      </w:r>
      <w:r w:rsidR="00783146">
        <w:rPr>
          <w:lang w:eastAsia="en-US"/>
        </w:rPr>
        <w:t>objektivně určeného intelektu</w:t>
      </w:r>
      <w:r w:rsidRPr="003D1E07">
        <w:rPr>
          <w:lang w:eastAsia="en-US"/>
        </w:rPr>
        <w:t>. Intelekt představuje schopnost duše a tato potence je determinována smyslov</w:t>
      </w:r>
      <w:r w:rsidR="00295B67" w:rsidRPr="003D1E07">
        <w:rPr>
          <w:lang w:eastAsia="en-US"/>
        </w:rPr>
        <w:t>ým</w:t>
      </w:r>
      <w:r w:rsidR="00A051C5">
        <w:rPr>
          <w:lang w:eastAsia="en-US"/>
        </w:rPr>
        <w:t xml:space="preserve"> poznáním reálné věci.</w:t>
      </w:r>
    </w:p>
    <w:p w14:paraId="4723F5F2" w14:textId="19CD125C" w:rsidR="08126A94" w:rsidRPr="003D1E07" w:rsidRDefault="08126A94" w:rsidP="00683DA2">
      <w:pPr>
        <w:ind w:firstLine="360"/>
        <w:rPr>
          <w:lang w:eastAsia="en-US"/>
        </w:rPr>
      </w:pPr>
      <w:r w:rsidRPr="003D1E07">
        <w:rPr>
          <w:lang w:eastAsia="en-US"/>
        </w:rPr>
        <w:lastRenderedPageBreak/>
        <w:t xml:space="preserve">Předchozí rozbor Averroesovy metafyziky ukázal, že </w:t>
      </w:r>
      <w:r w:rsidRPr="003D1E07">
        <w:t xml:space="preserve">komentáře k </w:t>
      </w:r>
      <w:r w:rsidRPr="003D1E07">
        <w:rPr>
          <w:i/>
        </w:rPr>
        <w:t>Metafyzice</w:t>
      </w:r>
      <w:r w:rsidRPr="003D1E07">
        <w:t xml:space="preserve"> odmítly univoční koncepty</w:t>
      </w:r>
      <w:r w:rsidRPr="003D1E07">
        <w:rPr>
          <w:i/>
        </w:rPr>
        <w:t xml:space="preserve"> tertium ens</w:t>
      </w:r>
      <w:r w:rsidRPr="003D1E07">
        <w:rPr>
          <w:i/>
        </w:rPr>
        <w:fldChar w:fldCharType="begin"/>
      </w:r>
      <w:r w:rsidRPr="003D1E07">
        <w:instrText xml:space="preserve"> XE "</w:instrText>
      </w:r>
      <w:r w:rsidRPr="003D1E07">
        <w:rPr>
          <w:rStyle w:val="Zvraznn"/>
        </w:rPr>
        <w:instrText>tertium ens</w:instrText>
      </w:r>
      <w:r w:rsidRPr="003D1E07">
        <w:rPr>
          <w:rStyle w:val="Zvraznn"/>
          <w:i w:val="0"/>
        </w:rPr>
        <w:instrText>:kritika Averroese</w:instrText>
      </w:r>
      <w:r w:rsidRPr="003D1E07">
        <w:instrText xml:space="preserve">" </w:instrText>
      </w:r>
      <w:r w:rsidRPr="003D1E07">
        <w:rPr>
          <w:i/>
        </w:rPr>
        <w:fldChar w:fldCharType="end"/>
      </w:r>
      <w:r w:rsidRPr="003D1E07">
        <w:t>, které Avicenna vytvořil v linii neoplatonismu. Pak ale nem</w:t>
      </w:r>
      <w:r w:rsidR="008D5F56" w:rsidRPr="003D1E07">
        <w:t xml:space="preserve">ůže </w:t>
      </w:r>
      <w:r w:rsidRPr="003D1E07">
        <w:t xml:space="preserve">existovat </w:t>
      </w:r>
      <w:r w:rsidR="00037520" w:rsidRPr="003D1E07">
        <w:t>avicennovsk</w:t>
      </w:r>
      <w:r w:rsidR="008D5F56" w:rsidRPr="003D1E07">
        <w:t>ý intelekt, který</w:t>
      </w:r>
      <w:r w:rsidRPr="003D1E07">
        <w:t xml:space="preserve"> </w:t>
      </w:r>
      <w:r w:rsidR="008D5F56" w:rsidRPr="003D1E07">
        <w:t>produkuje neexistující simulákra</w:t>
      </w:r>
      <w:r w:rsidRPr="003D1E07">
        <w:t xml:space="preserve">. Averroes odmítl Avicennovu architekturu různých intelektů třetího druhu založených na hypostázovaných formách sebereflexe. Cíl první vědy určuje jednota daná vzhledem k první substanci. Stejný postup zkoumání zachovávají Ibn Rušdovy komentáře </w:t>
      </w:r>
      <w:r w:rsidRPr="003D1E07">
        <w:rPr>
          <w:i/>
        </w:rPr>
        <w:t>De anima</w:t>
      </w:r>
      <w:r w:rsidRPr="003D1E07">
        <w:t xml:space="preserve">, které sledují fundamentální postup Aristotelova myšlení. Spisy </w:t>
      </w:r>
      <w:r w:rsidR="00145A12">
        <w:t xml:space="preserve">aristotelského </w:t>
      </w:r>
      <w:r w:rsidR="00524A45" w:rsidRPr="003D1E07">
        <w:t xml:space="preserve">Korpusu </w:t>
      </w:r>
      <w:r w:rsidRPr="003D1E07">
        <w:t>věnované poznání směřují od smyslového uchopení hylemorfické substance</w:t>
      </w:r>
      <w:r w:rsidRPr="003D1E07">
        <w:fldChar w:fldCharType="begin"/>
      </w:r>
      <w:r w:rsidRPr="003D1E07">
        <w:instrText xml:space="preserve"> XE "substance:hylemorfická" </w:instrText>
      </w:r>
      <w:r w:rsidRPr="003D1E07">
        <w:fldChar w:fldCharType="end"/>
      </w:r>
      <w:r w:rsidRPr="003D1E07">
        <w:t xml:space="preserve"> (</w:t>
      </w:r>
      <w:r w:rsidRPr="003D1E07">
        <w:rPr>
          <w:i/>
        </w:rPr>
        <w:t>De sensu et sensato</w:t>
      </w:r>
      <w:r w:rsidRPr="003D1E07">
        <w:t>), až k intelektuálnímu uchopení jsoucího (</w:t>
      </w:r>
      <w:r w:rsidRPr="003D1E07">
        <w:rPr>
          <w:i/>
        </w:rPr>
        <w:t>De anima</w:t>
      </w:r>
      <w:r w:rsidRPr="003D1E07">
        <w:t xml:space="preserve">). </w:t>
      </w:r>
      <w:r w:rsidR="00670131" w:rsidRPr="003D1E07">
        <w:t>D</w:t>
      </w:r>
      <w:r w:rsidRPr="003D1E07">
        <w:t xml:space="preserve">ráha slunce na obloze a poznání skrze </w:t>
      </w:r>
      <w:r w:rsidR="089108A9" w:rsidRPr="003D1E07">
        <w:t xml:space="preserve">metafyzický </w:t>
      </w:r>
      <w:r w:rsidRPr="003D1E07">
        <w:t xml:space="preserve">dativ jdou jen jedním směrem. Proto je třeba číst </w:t>
      </w:r>
      <w:r w:rsidRPr="003D1E07">
        <w:rPr>
          <w:i/>
          <w:szCs w:val="24"/>
        </w:rPr>
        <w:t>De anima</w:t>
      </w:r>
      <w:r w:rsidRPr="003D1E07">
        <w:t xml:space="preserve"> od první knihy ke třetí a ne naopak, jak to dělají moderní ilumináti. Nový projekt spojuje tři vrstvy </w:t>
      </w:r>
      <w:r w:rsidR="00802B9D" w:rsidRPr="003D1E07">
        <w:t>poznání</w:t>
      </w:r>
      <w:r w:rsidRPr="003D1E07">
        <w:t>: bytí reálné věci; její s</w:t>
      </w:r>
      <w:r w:rsidR="00DF304C" w:rsidRPr="003D1E07">
        <w:t xml:space="preserve">myslové </w:t>
      </w:r>
      <w:r w:rsidR="0055299C" w:rsidRPr="003D1E07">
        <w:t xml:space="preserve">a proto materiální </w:t>
      </w:r>
      <w:r w:rsidR="00DF304C" w:rsidRPr="003D1E07">
        <w:t>poznání</w:t>
      </w:r>
      <w:r w:rsidRPr="003D1E07">
        <w:t>; nem</w:t>
      </w:r>
      <w:r w:rsidR="00FE5346" w:rsidRPr="003D1E07">
        <w:t>ateriální intelektuální poznání</w:t>
      </w:r>
      <w:r w:rsidR="00DF304C" w:rsidRPr="003D1E07">
        <w:t>.</w:t>
      </w:r>
      <w:r w:rsidRPr="003D1E07">
        <w:t xml:space="preserve"> O božím myšlení nevíme filosoficky </w:t>
      </w:r>
      <w:r w:rsidR="00843EF0">
        <w:t xml:space="preserve">vůbec </w:t>
      </w:r>
      <w:r w:rsidRPr="003D1E07">
        <w:t xml:space="preserve">nic, protože jsme smrtelné a smyslově založené bytosti. Postup poznání determinuje nasvícení zepředu od první substance, která je dána </w:t>
      </w:r>
      <w:r w:rsidRPr="003D1E07">
        <w:rPr>
          <w:i/>
        </w:rPr>
        <w:t>per prius</w:t>
      </w:r>
      <w:r w:rsidR="00860A3D" w:rsidRPr="003D1E07">
        <w:t xml:space="preserve"> díky své aktualitě</w:t>
      </w:r>
      <w:r w:rsidRPr="003D1E07">
        <w:t xml:space="preserve">. Výsledná jednota poznání je dána tím, že všechny tři stupně poznání tvoří hierachicky seřazené schopnosti striktně osobní (a ne pouze individuální) duše jako nemateriální formy těla. Tyto tři roviny poznání jsou na sobě vzájemně závislé v modu predikace </w:t>
      </w:r>
      <w:r w:rsidRPr="003D1E07">
        <w:rPr>
          <w:i/>
        </w:rPr>
        <w:t>per prius</w:t>
      </w:r>
      <w:r w:rsidRPr="003D1E07">
        <w:t xml:space="preserve"> a </w:t>
      </w:r>
      <w:r w:rsidRPr="003D1E07">
        <w:rPr>
          <w:i/>
        </w:rPr>
        <w:t>per posterius</w:t>
      </w:r>
      <w:r w:rsidRPr="003D1E07">
        <w:t xml:space="preserve">. </w:t>
      </w:r>
      <w:r w:rsidR="008E143E">
        <w:t>S</w:t>
      </w:r>
      <w:r w:rsidRPr="003D1E07">
        <w:t>truktura lidského intelektu podle CMDA vypadá následovně.</w:t>
      </w:r>
    </w:p>
    <w:p w14:paraId="499F20DA" w14:textId="01656706" w:rsidR="08126A94" w:rsidRPr="003D1E07" w:rsidRDefault="08126A94" w:rsidP="00202920">
      <w:pPr>
        <w:numPr>
          <w:ilvl w:val="0"/>
          <w:numId w:val="8"/>
        </w:numPr>
      </w:pPr>
      <w:r w:rsidRPr="003D1E07">
        <w:t>Smyslové poznání a jeho upamatování a zpracování (</w:t>
      </w:r>
      <w:r w:rsidRPr="003D1E07">
        <w:rPr>
          <w:i/>
        </w:rPr>
        <w:t>wahm</w:t>
      </w:r>
      <w:r w:rsidRPr="003D1E07">
        <w:rPr>
          <w:i/>
        </w:rPr>
        <w:fldChar w:fldCharType="begin"/>
      </w:r>
      <w:r w:rsidRPr="003D1E07">
        <w:instrText xml:space="preserve"> XE "</w:instrText>
      </w:r>
      <w:r w:rsidRPr="003D1E07">
        <w:rPr>
          <w:i/>
        </w:rPr>
        <w:instrText>wahm</w:instrText>
      </w:r>
      <w:r w:rsidRPr="003D1E07">
        <w:instrText xml:space="preserve">" </w:instrText>
      </w:r>
      <w:r w:rsidRPr="003D1E07">
        <w:rPr>
          <w:i/>
        </w:rPr>
        <w:fldChar w:fldCharType="end"/>
      </w:r>
      <w:r w:rsidRPr="003D1E07">
        <w:t xml:space="preserve">, </w:t>
      </w:r>
      <w:r w:rsidRPr="003D1E07">
        <w:rPr>
          <w:i/>
        </w:rPr>
        <w:t>cogitatio</w:t>
      </w:r>
      <w:r w:rsidRPr="003D1E07">
        <w:t xml:space="preserve">) v rámci nižších kombinačních schopností úsudku, představivosti a paměti zvané </w:t>
      </w:r>
      <w:r w:rsidRPr="003D1E07">
        <w:rPr>
          <w:i/>
        </w:rPr>
        <w:t>intellectus in habitu</w:t>
      </w:r>
      <w:r w:rsidRPr="003D1E07">
        <w:t xml:space="preserve">. Toto poznání zakládá animální </w:t>
      </w:r>
      <w:r w:rsidR="00E0510E" w:rsidRPr="003D1E07">
        <w:t xml:space="preserve">identitu </w:t>
      </w:r>
      <w:r w:rsidR="008A590F">
        <w:t>a tedy specificky-</w:t>
      </w:r>
      <w:r w:rsidRPr="003D1E07">
        <w:t xml:space="preserve">individuální </w:t>
      </w:r>
      <w:r w:rsidR="00E0510E">
        <w:t xml:space="preserve">povahu </w:t>
      </w:r>
      <w:r w:rsidRPr="003D1E07">
        <w:t>duše.</w:t>
      </w:r>
    </w:p>
    <w:p w14:paraId="78BC2029" w14:textId="77777777" w:rsidR="08126A94" w:rsidRPr="003D1E07" w:rsidRDefault="08126A94" w:rsidP="00202920">
      <w:pPr>
        <w:numPr>
          <w:ilvl w:val="0"/>
          <w:numId w:val="8"/>
        </w:numPr>
      </w:pPr>
      <w:r w:rsidRPr="003D1E07">
        <w:t>Abstrakce nemateriální formy z externích věcí v rámci pasivního či materiálního intelektu (</w:t>
      </w:r>
      <w:r w:rsidRPr="003D1E07">
        <w:rPr>
          <w:i/>
        </w:rPr>
        <w:t>abstractio</w:t>
      </w:r>
      <w:r w:rsidRPr="003D1E07">
        <w:t xml:space="preserve">, </w:t>
      </w:r>
      <w:r w:rsidRPr="003D1E07">
        <w:rPr>
          <w:i/>
        </w:rPr>
        <w:t>formare per intellectum</w:t>
      </w:r>
      <w:r w:rsidRPr="003D1E07">
        <w:t xml:space="preserve">). Abstrakce běží v rámci nově definovaného </w:t>
      </w:r>
      <w:r w:rsidRPr="003D1E07">
        <w:rPr>
          <w:i/>
        </w:rPr>
        <w:t>intellectus materialis</w:t>
      </w:r>
      <w:r w:rsidRPr="003D1E07">
        <w:t xml:space="preserve"> (Al-Fárábího </w:t>
      </w:r>
      <w:r w:rsidRPr="003D1E07">
        <w:rPr>
          <w:i/>
        </w:rPr>
        <w:t>intellectus in potencia</w:t>
      </w:r>
      <w:r w:rsidRPr="003D1E07">
        <w:rPr>
          <w:i/>
        </w:rPr>
        <w:fldChar w:fldCharType="begin"/>
      </w:r>
      <w:r w:rsidRPr="003D1E07">
        <w:instrText xml:space="preserve"> XE "intelekt:</w:instrText>
      </w:r>
      <w:r w:rsidRPr="003D1E07">
        <w:rPr>
          <w:i/>
        </w:rPr>
        <w:instrText>intellectus in potentia</w:instrText>
      </w:r>
      <w:r w:rsidRPr="003D1E07">
        <w:instrText xml:space="preserve">" </w:instrText>
      </w:r>
      <w:r w:rsidRPr="003D1E07">
        <w:rPr>
          <w:i/>
        </w:rPr>
        <w:fldChar w:fldCharType="end"/>
      </w:r>
      <w:r w:rsidRPr="003D1E07">
        <w:t xml:space="preserve">), který Averroes změnil na novou formu </w:t>
      </w:r>
      <w:r w:rsidRPr="003D1E07">
        <w:rPr>
          <w:i/>
        </w:rPr>
        <w:t>intellectus possibilis</w:t>
      </w:r>
      <w:r w:rsidRPr="003D1E07">
        <w:t>.</w:t>
      </w:r>
    </w:p>
    <w:p w14:paraId="642AC458" w14:textId="30DB7C0D" w:rsidR="08126A94" w:rsidRPr="003D1E07" w:rsidRDefault="08126A94" w:rsidP="00202920">
      <w:pPr>
        <w:numPr>
          <w:ilvl w:val="0"/>
          <w:numId w:val="8"/>
        </w:numPr>
      </w:pPr>
      <w:r w:rsidRPr="003D1E07">
        <w:t>Proces abstrakce nemateriální formy je završen intelektuálním poznáním (</w:t>
      </w:r>
      <w:r w:rsidRPr="003D1E07">
        <w:rPr>
          <w:i/>
        </w:rPr>
        <w:t>intellectio</w:t>
      </w:r>
      <w:r w:rsidRPr="003D1E07">
        <w:t xml:space="preserve">) skrze nově definovaný </w:t>
      </w:r>
      <w:r w:rsidRPr="003D1E07">
        <w:rPr>
          <w:i/>
        </w:rPr>
        <w:t xml:space="preserve">intellectus </w:t>
      </w:r>
      <w:r w:rsidR="00132CDC">
        <w:rPr>
          <w:i/>
        </w:rPr>
        <w:t>agens</w:t>
      </w:r>
      <w:r w:rsidRPr="003D1E07">
        <w:rPr>
          <w:i/>
        </w:rPr>
        <w:fldChar w:fldCharType="begin"/>
      </w:r>
      <w:r w:rsidRPr="003D1E07">
        <w:instrText xml:space="preserve"> XE "</w:instrText>
      </w:r>
      <w:r w:rsidRPr="003D1E07">
        <w:rPr>
          <w:i/>
        </w:rPr>
        <w:instrText xml:space="preserve">intellectus </w:instrText>
      </w:r>
      <w:r w:rsidR="00132CDC">
        <w:rPr>
          <w:i/>
        </w:rPr>
        <w:instrText>agens</w:instrText>
      </w:r>
      <w:r w:rsidRPr="003D1E07">
        <w:instrText xml:space="preserve">" </w:instrText>
      </w:r>
      <w:r w:rsidRPr="003D1E07">
        <w:rPr>
          <w:i/>
        </w:rPr>
        <w:fldChar w:fldCharType="end"/>
      </w:r>
      <w:r w:rsidRPr="003D1E07">
        <w:t>. Toto poznání zakládá ipseitu osob</w:t>
      </w:r>
      <w:r w:rsidR="0031484B" w:rsidRPr="003D1E07">
        <w:t>y</w:t>
      </w:r>
      <w:r w:rsidR="087E6285" w:rsidRPr="003D1E07">
        <w:fldChar w:fldCharType="begin"/>
      </w:r>
      <w:r w:rsidR="087E6285" w:rsidRPr="003D1E07">
        <w:instrText xml:space="preserve"> XE "osoba</w:instrText>
      </w:r>
      <w:r w:rsidR="08702EC1" w:rsidRPr="003D1E07">
        <w:instrText>:první substance</w:instrText>
      </w:r>
      <w:r w:rsidR="087E6285" w:rsidRPr="003D1E07">
        <w:instrText xml:space="preserve">" </w:instrText>
      </w:r>
      <w:r w:rsidR="087E6285" w:rsidRPr="003D1E07">
        <w:fldChar w:fldCharType="end"/>
      </w:r>
      <w:r w:rsidRPr="003D1E07">
        <w:t xml:space="preserve"> </w:t>
      </w:r>
      <w:r w:rsidR="0031484B" w:rsidRPr="003D1E07">
        <w:t>jako nedělitelné první substance</w:t>
      </w:r>
      <w:r w:rsidRPr="003D1E07">
        <w:t xml:space="preserve"> existující </w:t>
      </w:r>
      <w:r w:rsidRPr="003D1E07">
        <w:rPr>
          <w:i/>
        </w:rPr>
        <w:t>per se</w:t>
      </w:r>
      <w:r w:rsidRPr="003D1E07">
        <w:t xml:space="preserve"> (Boethius).</w:t>
      </w:r>
    </w:p>
    <w:p w14:paraId="57BB631F" w14:textId="5D61BFCB" w:rsidR="08126A94" w:rsidRPr="003D1E07" w:rsidRDefault="08126A94" w:rsidP="08126A94">
      <w:r w:rsidRPr="003D1E07">
        <w:t>Nová architektura poznání pozitivně odpověděla na dichotomii smyslov</w:t>
      </w:r>
      <w:r w:rsidR="00071D7F" w:rsidRPr="003D1E07">
        <w:t xml:space="preserve">ého a intelektuálního poznání podle </w:t>
      </w:r>
      <w:r w:rsidRPr="003D1E07">
        <w:rPr>
          <w:i/>
        </w:rPr>
        <w:t>Modernorum</w:t>
      </w:r>
      <w:r w:rsidRPr="003D1E07">
        <w:t xml:space="preserve">. Averroes postupuje v následujících krocích. Nejprve etabluje </w:t>
      </w:r>
      <w:r w:rsidRPr="003D1E07">
        <w:lastRenderedPageBreak/>
        <w:t>novou figuru materiálního intelektu (</w:t>
      </w:r>
      <w:r w:rsidRPr="003D1E07">
        <w:rPr>
          <w:i/>
        </w:rPr>
        <w:t>intellectus materialis</w:t>
      </w:r>
      <w:r w:rsidRPr="003D1E07">
        <w:rPr>
          <w:i/>
        </w:rPr>
        <w:fldChar w:fldCharType="begin"/>
      </w:r>
      <w:r w:rsidRPr="003D1E07">
        <w:instrText xml:space="preserve"> XE "</w:instrText>
      </w:r>
      <w:r w:rsidRPr="003D1E07">
        <w:rPr>
          <w:i/>
        </w:rPr>
        <w:instrText>intellectus materialis:</w:instrText>
      </w:r>
      <w:r w:rsidRPr="003D1E07">
        <w:instrText xml:space="preserve">Averroes" </w:instrText>
      </w:r>
      <w:r w:rsidRPr="003D1E07">
        <w:rPr>
          <w:i/>
        </w:rPr>
        <w:fldChar w:fldCharType="end"/>
      </w:r>
      <w:r w:rsidRPr="003D1E07">
        <w:t xml:space="preserve">) proti Alexandrovi a proti Themistiovi. Přitom odmítne teorie arabských současníků zvaných </w:t>
      </w:r>
      <w:r w:rsidRPr="003D1E07">
        <w:rPr>
          <w:i/>
        </w:rPr>
        <w:t>Moderni</w:t>
      </w:r>
      <w:r w:rsidRPr="003D1E07">
        <w:rPr>
          <w:i/>
        </w:rPr>
        <w:fldChar w:fldCharType="begin"/>
      </w:r>
      <w:r w:rsidRPr="003D1E07">
        <w:instrText xml:space="preserve"> XE "averroismus:</w:instrText>
      </w:r>
      <w:r w:rsidRPr="003D1E07">
        <w:rPr>
          <w:i/>
        </w:rPr>
        <w:instrText>Moderni</w:instrText>
      </w:r>
      <w:r w:rsidRPr="003D1E07">
        <w:instrText xml:space="preserve">" </w:instrText>
      </w:r>
      <w:r w:rsidRPr="003D1E07">
        <w:rPr>
          <w:i/>
        </w:rPr>
        <w:fldChar w:fldCharType="end"/>
      </w:r>
      <w:r w:rsidRPr="003D1E07">
        <w:t xml:space="preserve"> nebo alexandrovci</w:t>
      </w:r>
      <w:r w:rsidRPr="003D1E07">
        <w:fldChar w:fldCharType="begin"/>
      </w:r>
      <w:r w:rsidRPr="003D1E07">
        <w:instrText xml:space="preserve"> XE "alexandrovci" </w:instrText>
      </w:r>
      <w:r w:rsidRPr="003D1E07">
        <w:fldChar w:fldCharType="end"/>
      </w:r>
      <w:r w:rsidRPr="003D1E07">
        <w:t>, což je hlavně Avicenna a Ibn Bája</w:t>
      </w:r>
      <w:r w:rsidRPr="003D1E07">
        <w:fldChar w:fldCharType="begin"/>
      </w:r>
      <w:r w:rsidRPr="003D1E07">
        <w:instrText xml:space="preserve"> XE "Ibn Bája" </w:instrText>
      </w:r>
      <w:r w:rsidRPr="003D1E07">
        <w:fldChar w:fldCharType="end"/>
      </w:r>
      <w:r w:rsidRPr="003D1E07">
        <w:t>.</w:t>
      </w:r>
      <w:bookmarkStart w:id="63" w:name="_Ref380237988"/>
      <w:r w:rsidRPr="003D1E07">
        <w:t xml:space="preserve"> </w:t>
      </w:r>
      <w:bookmarkEnd w:id="63"/>
      <w:r w:rsidR="00AA4DE2">
        <w:t>K</w:t>
      </w:r>
      <w:r w:rsidRPr="003D1E07">
        <w:t xml:space="preserve">omentář </w:t>
      </w:r>
      <w:r w:rsidR="00AA4DE2">
        <w:t xml:space="preserve">CMDA </w:t>
      </w:r>
      <w:r w:rsidRPr="003D1E07">
        <w:t xml:space="preserve">pokračuje tím, že </w:t>
      </w:r>
      <w:r w:rsidRPr="003D1E07">
        <w:rPr>
          <w:i/>
        </w:rPr>
        <w:t>intellectus materialis</w:t>
      </w:r>
      <w:r w:rsidRPr="003D1E07">
        <w:t xml:space="preserve"> zasadí do kategoriální predikace </w:t>
      </w:r>
      <w:r w:rsidRPr="003D1E07">
        <w:rPr>
          <w:i/>
        </w:rPr>
        <w:t>per prius</w:t>
      </w:r>
      <w:r w:rsidRPr="003D1E07">
        <w:t xml:space="preserve"> a </w:t>
      </w:r>
      <w:r w:rsidRPr="003D1E07">
        <w:rPr>
          <w:i/>
        </w:rPr>
        <w:t>per posterius</w:t>
      </w:r>
      <w:r w:rsidRPr="003D1E07">
        <w:t xml:space="preserve">, podle logiky spisu </w:t>
      </w:r>
      <w:r w:rsidRPr="003D1E07">
        <w:rPr>
          <w:i/>
        </w:rPr>
        <w:t>Kategorie</w:t>
      </w:r>
      <w:r w:rsidRPr="003D1E07">
        <w:t xml:space="preserve"> (kap. 1.3). Poznáváme </w:t>
      </w:r>
      <w:r w:rsidR="00473D10">
        <w:t xml:space="preserve">svět </w:t>
      </w:r>
      <w:r w:rsidRPr="003D1E07">
        <w:t xml:space="preserve">nejprve smyslově, protože </w:t>
      </w:r>
      <w:r w:rsidR="00473D10">
        <w:t xml:space="preserve">nejprve je dána </w:t>
      </w:r>
      <w:r w:rsidRPr="003D1E07">
        <w:t>aktualita existující věci</w:t>
      </w:r>
      <w:r w:rsidR="00473D10">
        <w:t>. Impozice významu jde skrze metafyzický</w:t>
      </w:r>
      <w:r w:rsidR="089108A9" w:rsidRPr="003D1E07">
        <w:t xml:space="preserve"> </w:t>
      </w:r>
      <w:r w:rsidRPr="003D1E07">
        <w:t>dativ</w:t>
      </w:r>
      <w:r w:rsidRPr="003D1E07">
        <w:fldChar w:fldCharType="begin"/>
      </w:r>
      <w:r w:rsidRPr="003D1E07">
        <w:instrText xml:space="preserve"> XE "</w:instrText>
      </w:r>
      <w:r w:rsidR="089108A9" w:rsidRPr="003D1E07">
        <w:rPr>
          <w:i/>
        </w:rPr>
        <w:instrText>dativus metaphysi</w:instrText>
      </w:r>
      <w:r w:rsidRPr="003D1E07">
        <w:rPr>
          <w:i/>
        </w:rPr>
        <w:instrText>cus</w:instrText>
      </w:r>
      <w:r w:rsidRPr="003D1E07">
        <w:instrText xml:space="preserve">" </w:instrText>
      </w:r>
      <w:r w:rsidRPr="003D1E07">
        <w:fldChar w:fldCharType="end"/>
      </w:r>
      <w:r w:rsidRPr="003D1E07">
        <w:t xml:space="preserve"> </w:t>
      </w:r>
      <w:r w:rsidR="00473D10">
        <w:t xml:space="preserve">a jeho první fáze vzniká </w:t>
      </w:r>
      <w:r w:rsidRPr="003D1E07">
        <w:t xml:space="preserve">skrze smysly aktualizované v modu </w:t>
      </w:r>
      <w:r w:rsidRPr="003D1E07">
        <w:rPr>
          <w:i/>
        </w:rPr>
        <w:t xml:space="preserve">per prius </w:t>
      </w:r>
      <w:r w:rsidRPr="003D1E07">
        <w:t xml:space="preserve">skrze smyslové orgány dané v těle. </w:t>
      </w:r>
      <w:r w:rsidR="0090659B" w:rsidRPr="003D1E07">
        <w:t>I</w:t>
      </w:r>
      <w:r w:rsidR="0091203C">
        <w:t>ntelektuální</w:t>
      </w:r>
      <w:r w:rsidRPr="003D1E07">
        <w:t xml:space="preserve"> poznání </w:t>
      </w:r>
      <w:r w:rsidR="0090659B" w:rsidRPr="003D1E07">
        <w:t xml:space="preserve">přijde </w:t>
      </w:r>
      <w:r w:rsidRPr="003D1E07">
        <w:rPr>
          <w:i/>
        </w:rPr>
        <w:t>per posterius</w:t>
      </w:r>
      <w:r w:rsidR="0090659B" w:rsidRPr="003D1E07">
        <w:t xml:space="preserve">, protože </w:t>
      </w:r>
      <w:r w:rsidRPr="003D1E07">
        <w:t>univerzální pojem dosvědčuje nematerialitu lidského i</w:t>
      </w:r>
      <w:r w:rsidR="00B31AFD">
        <w:t>ntelektu. Averroes traktuje r</w:t>
      </w:r>
      <w:r w:rsidRPr="003D1E07">
        <w:t xml:space="preserve">ozdíl v obou modech poznání </w:t>
      </w:r>
      <w:r w:rsidR="00B31AFD">
        <w:t>skrze figuru</w:t>
      </w:r>
      <w:r w:rsidRPr="003D1E07">
        <w:t xml:space="preserve"> intelektu definovaného jako </w:t>
      </w:r>
      <w:r w:rsidRPr="003D1E07">
        <w:rPr>
          <w:i/>
        </w:rPr>
        <w:t xml:space="preserve">tertium </w:t>
      </w:r>
      <w:r w:rsidR="00636BD4" w:rsidRPr="00B31AFD">
        <w:rPr>
          <w:i/>
        </w:rPr>
        <w:t>genus</w:t>
      </w:r>
      <w:r w:rsidRPr="00B31AFD">
        <w:rPr>
          <w:i/>
        </w:rPr>
        <w:fldChar w:fldCharType="begin"/>
      </w:r>
      <w:r w:rsidRPr="00B31AFD">
        <w:rPr>
          <w:i/>
        </w:rPr>
        <w:instrText xml:space="preserve"> XE "tertium genus" </w:instrText>
      </w:r>
      <w:r w:rsidRPr="00B31AFD">
        <w:rPr>
          <w:i/>
        </w:rPr>
        <w:fldChar w:fldCharType="end"/>
      </w:r>
      <w:r w:rsidRPr="003D1E07">
        <w:t xml:space="preserve"> a </w:t>
      </w:r>
      <w:r w:rsidRPr="003D1E07">
        <w:rPr>
          <w:i/>
        </w:rPr>
        <w:t xml:space="preserve">quartum </w:t>
      </w:r>
      <w:r w:rsidR="00636BD4" w:rsidRPr="00B31AFD">
        <w:rPr>
          <w:i/>
        </w:rPr>
        <w:t>genus</w:t>
      </w:r>
      <w:r w:rsidRPr="003D1E07">
        <w:rPr>
          <w:i/>
        </w:rPr>
        <w:fldChar w:fldCharType="begin"/>
      </w:r>
      <w:r w:rsidRPr="003D1E07">
        <w:instrText xml:space="preserve"> XE "</w:instrText>
      </w:r>
      <w:r w:rsidRPr="003D1E07">
        <w:rPr>
          <w:i/>
        </w:rPr>
        <w:instrText>quartum genus</w:instrText>
      </w:r>
      <w:r w:rsidRPr="003D1E07">
        <w:instrText xml:space="preserve">" </w:instrText>
      </w:r>
      <w:r w:rsidRPr="003D1E07">
        <w:rPr>
          <w:i/>
        </w:rPr>
        <w:fldChar w:fldCharType="end"/>
      </w:r>
      <w:r w:rsidRPr="003D1E07">
        <w:t xml:space="preserve">. </w:t>
      </w:r>
      <w:r w:rsidR="00973FCC" w:rsidRPr="003D1E07">
        <w:t xml:space="preserve">Materiální intelekt existuje pouze v modu </w:t>
      </w:r>
      <w:r w:rsidR="00973FCC" w:rsidRPr="003D1E07">
        <w:rPr>
          <w:i/>
        </w:rPr>
        <w:t>ipse</w:t>
      </w:r>
      <w:r w:rsidR="00973FCC" w:rsidRPr="003D1E07">
        <w:t>, neboť jsme živou první substancí, když něco osobně poznáváme (</w:t>
      </w:r>
      <w:r w:rsidR="00973FCC" w:rsidRPr="003D1E07">
        <w:rPr>
          <w:i/>
        </w:rPr>
        <w:t>tertium genus</w:t>
      </w:r>
      <w:r w:rsidR="000550BF" w:rsidRPr="003D1E07">
        <w:rPr>
          <w:i/>
        </w:rPr>
        <w:fldChar w:fldCharType="begin"/>
      </w:r>
      <w:r w:rsidR="000550BF" w:rsidRPr="003D1E07">
        <w:instrText xml:space="preserve"> XE "</w:instrText>
      </w:r>
      <w:r w:rsidR="000550BF" w:rsidRPr="003D1E07">
        <w:rPr>
          <w:i/>
        </w:rPr>
        <w:instrText>tertium genus</w:instrText>
      </w:r>
      <w:r w:rsidR="000550BF" w:rsidRPr="003D1E07">
        <w:instrText xml:space="preserve">" </w:instrText>
      </w:r>
      <w:r w:rsidR="000550BF" w:rsidRPr="003D1E07">
        <w:rPr>
          <w:i/>
        </w:rPr>
        <w:fldChar w:fldCharType="end"/>
      </w:r>
      <w:r w:rsidR="000550BF" w:rsidRPr="003D1E07">
        <w:t xml:space="preserve">). </w:t>
      </w:r>
      <w:r w:rsidR="00973FCC" w:rsidRPr="003D1E07">
        <w:t>Poté můžeme z tohoto existenciálního poznání vytvořit abstrakci</w:t>
      </w:r>
      <w:r w:rsidR="00EF5655" w:rsidRPr="003D1E07">
        <w:t>, včetně našeho intelektu</w:t>
      </w:r>
      <w:r w:rsidR="00973FCC" w:rsidRPr="003D1E07">
        <w:t xml:space="preserve"> (</w:t>
      </w:r>
      <w:r w:rsidR="00973FCC" w:rsidRPr="003D1E07">
        <w:rPr>
          <w:i/>
        </w:rPr>
        <w:t>quartum genus</w:t>
      </w:r>
      <w:r w:rsidR="000550BF" w:rsidRPr="003D1E07">
        <w:rPr>
          <w:i/>
        </w:rPr>
        <w:fldChar w:fldCharType="begin"/>
      </w:r>
      <w:r w:rsidR="000550BF" w:rsidRPr="003D1E07">
        <w:instrText xml:space="preserve"> XE "</w:instrText>
      </w:r>
      <w:r w:rsidR="000550BF" w:rsidRPr="003D1E07">
        <w:rPr>
          <w:i/>
        </w:rPr>
        <w:instrText>quartum genus</w:instrText>
      </w:r>
      <w:r w:rsidR="000550BF" w:rsidRPr="003D1E07">
        <w:instrText xml:space="preserve">" </w:instrText>
      </w:r>
      <w:r w:rsidR="000550BF" w:rsidRPr="003D1E07">
        <w:rPr>
          <w:i/>
        </w:rPr>
        <w:fldChar w:fldCharType="end"/>
      </w:r>
      <w:r w:rsidR="00973FCC" w:rsidRPr="003D1E07">
        <w:t xml:space="preserve">). </w:t>
      </w:r>
      <w:r w:rsidR="004C2E8C">
        <w:t xml:space="preserve">Tato absolutně základní metafyzická predikace intelektu v modu </w:t>
      </w:r>
      <w:r w:rsidR="00B82545">
        <w:t xml:space="preserve">metafyzické </w:t>
      </w:r>
      <w:r w:rsidR="004C2E8C">
        <w:t xml:space="preserve">impozice a </w:t>
      </w:r>
      <w:r w:rsidR="00B82545">
        <w:t xml:space="preserve">logické </w:t>
      </w:r>
      <w:r w:rsidR="004C2E8C">
        <w:t xml:space="preserve">supozice </w:t>
      </w:r>
      <w:r w:rsidR="00411159">
        <w:t xml:space="preserve">určuje kategorální predikaci poznání. Dvojí perspektiva </w:t>
      </w:r>
      <w:r w:rsidRPr="003D1E07">
        <w:t xml:space="preserve">odpovídá ve schématu CMDA kategoriální diferenci </w:t>
      </w:r>
      <w:r w:rsidR="004C2E8C">
        <w:t xml:space="preserve">mezi první a druhou substancí </w:t>
      </w:r>
      <w:r w:rsidR="004C2E8C" w:rsidRPr="003D1E07">
        <w:t>(</w:t>
      </w:r>
      <w:r w:rsidR="004C2E8C" w:rsidRPr="003D1E07">
        <w:rPr>
          <w:i/>
        </w:rPr>
        <w:t>Cat</w:t>
      </w:r>
      <w:r w:rsidR="004C2E8C" w:rsidRPr="003D1E07">
        <w:t>. 2a11–16)</w:t>
      </w:r>
      <w:r w:rsidR="004C2E8C" w:rsidRPr="003D1E07">
        <w:rPr>
          <w:szCs w:val="15"/>
        </w:rPr>
        <w:fldChar w:fldCharType="begin"/>
      </w:r>
      <w:r w:rsidR="004C2E8C" w:rsidRPr="003D1E07">
        <w:instrText xml:space="preserve"> XE "Aristoteles:</w:instrText>
      </w:r>
      <w:r w:rsidR="004C2E8C" w:rsidRPr="003D1E07">
        <w:rPr>
          <w:i/>
        </w:rPr>
        <w:instrText>Cat</w:instrText>
      </w:r>
      <w:r w:rsidR="004C2E8C" w:rsidRPr="003D1E07">
        <w:instrText xml:space="preserve">. 2a11–16" </w:instrText>
      </w:r>
      <w:r w:rsidR="004C2E8C" w:rsidRPr="003D1E07">
        <w:rPr>
          <w:szCs w:val="15"/>
        </w:rPr>
        <w:fldChar w:fldCharType="end"/>
      </w:r>
      <w:r w:rsidR="004C2E8C" w:rsidRPr="003D1E07">
        <w:t>.</w:t>
      </w:r>
      <w:r w:rsidR="004C2E8C">
        <w:t xml:space="preserve"> Dvojí podoba</w:t>
      </w:r>
      <w:r w:rsidRPr="003D1E07">
        <w:t xml:space="preserve"> predikace </w:t>
      </w:r>
      <w:r w:rsidR="004C2E8C">
        <w:t>je daná</w:t>
      </w:r>
      <w:r w:rsidRPr="003D1E07">
        <w:t xml:space="preserve"> buď hyparchicky </w:t>
      </w:r>
      <w:r w:rsidR="004C2E8C">
        <w:t xml:space="preserve">(tj. existenciálně) </w:t>
      </w:r>
      <w:r w:rsidRPr="003D1E07">
        <w:t xml:space="preserve">nebo univerzálně </w:t>
      </w:r>
      <w:r w:rsidR="004C2E8C">
        <w:t>abstraktně.</w:t>
      </w:r>
      <w:r w:rsidRPr="003D1E07">
        <w:t xml:space="preserve"> Averroes geniálně převedl výše citovaný výklad </w:t>
      </w:r>
      <w:r w:rsidRPr="003D1E07">
        <w:rPr>
          <w:i/>
        </w:rPr>
        <w:t>Kategorií</w:t>
      </w:r>
      <w:r w:rsidRPr="003D1E07">
        <w:t xml:space="preserve"> podle Druhého mistra (kap. 2.1) do nauky o dvou rodech intelektu. Poslední část </w:t>
      </w:r>
      <w:r w:rsidR="00973FCC" w:rsidRPr="003D1E07">
        <w:t xml:space="preserve">velkého </w:t>
      </w:r>
      <w:r w:rsidRPr="003D1E07">
        <w:t xml:space="preserve">komentáře interpretuje </w:t>
      </w:r>
      <w:r w:rsidRPr="003D1E07">
        <w:rPr>
          <w:i/>
        </w:rPr>
        <w:t>intellectus possibilis</w:t>
      </w:r>
      <w:r w:rsidRPr="003D1E07">
        <w:t xml:space="preserve"> v novém vztahu k metafoře slunce. Rozbor diafanum</w:t>
      </w:r>
      <w:r w:rsidRPr="003D1E07">
        <w:fldChar w:fldCharType="begin"/>
      </w:r>
      <w:r w:rsidRPr="003D1E07">
        <w:instrText xml:space="preserve"> XE "diafanum:Averroes" </w:instrText>
      </w:r>
      <w:r w:rsidRPr="003D1E07">
        <w:fldChar w:fldCharType="end"/>
      </w:r>
      <w:r w:rsidRPr="003D1E07">
        <w:t xml:space="preserve"> (</w:t>
      </w:r>
      <w:r w:rsidRPr="003D1E07">
        <w:rPr>
          <w:i/>
        </w:rPr>
        <w:t>diaffonum</w:t>
      </w:r>
      <w:r w:rsidRPr="003D1E07">
        <w:t xml:space="preserve">) </w:t>
      </w:r>
      <w:r w:rsidR="00973FCC" w:rsidRPr="003D1E07">
        <w:t>je nutný</w:t>
      </w:r>
      <w:r w:rsidRPr="003D1E07">
        <w:t xml:space="preserve"> pro poznání b</w:t>
      </w:r>
      <w:r w:rsidR="00973FCC" w:rsidRPr="003D1E07">
        <w:t>arev a analogicky vysvětluje</w:t>
      </w:r>
      <w:r w:rsidRPr="003D1E07">
        <w:t xml:space="preserve"> poznání inteligibilií</w:t>
      </w:r>
      <w:r w:rsidR="00973FCC" w:rsidRPr="003D1E07">
        <w:t>.</w:t>
      </w:r>
      <w:r w:rsidR="00723539" w:rsidRPr="003D1E07">
        <w:t xml:space="preserve"> Averroes ukázal</w:t>
      </w:r>
      <w:r w:rsidRPr="003D1E07">
        <w:t xml:space="preserve">, jak uvnitř totální </w:t>
      </w:r>
      <w:r w:rsidR="004A61F1">
        <w:t xml:space="preserve">jasnosti </w:t>
      </w:r>
      <w:r w:rsidRPr="003D1E07">
        <w:t>neoplatonské metafory intelektu-slunce</w:t>
      </w:r>
      <w:r w:rsidRPr="003D1E07">
        <w:fldChar w:fldCharType="begin"/>
      </w:r>
      <w:r w:rsidRPr="003D1E07">
        <w:instrText xml:space="preserve"> XE "intelekt-slunce" </w:instrText>
      </w:r>
      <w:r w:rsidRPr="003D1E07">
        <w:fldChar w:fldCharType="end"/>
      </w:r>
      <w:r w:rsidRPr="003D1E07">
        <w:t xml:space="preserve"> vznikla citovaná </w:t>
      </w:r>
      <w:r w:rsidR="004A61F1">
        <w:t>„temnota“ (</w:t>
      </w:r>
      <w:r w:rsidRPr="003D1E07">
        <w:rPr>
          <w:i/>
        </w:rPr>
        <w:t>obscurity</w:t>
      </w:r>
      <w:r w:rsidRPr="003D1E07">
        <w:rPr>
          <w:i/>
        </w:rPr>
        <w:fldChar w:fldCharType="begin"/>
      </w:r>
      <w:r w:rsidRPr="003D1E07">
        <w:instrText xml:space="preserve"> XE "zatmění:substance" </w:instrText>
      </w:r>
      <w:r w:rsidRPr="003D1E07">
        <w:rPr>
          <w:i/>
        </w:rPr>
        <w:fldChar w:fldCharType="end"/>
      </w:r>
      <w:r w:rsidR="004A61F1">
        <w:t>) moderní metafyziky</w:t>
      </w:r>
      <w:r w:rsidR="000A622B" w:rsidRPr="003D1E07">
        <w:t xml:space="preserve">, </w:t>
      </w:r>
      <w:r w:rsidRPr="003D1E07">
        <w:t xml:space="preserve">kterou kritizuje u Avicenny. Avicennův rozbor </w:t>
      </w:r>
      <w:r w:rsidRPr="003D1E07">
        <w:rPr>
          <w:i/>
        </w:rPr>
        <w:t>De anima</w:t>
      </w:r>
      <w:r w:rsidRPr="003D1E07">
        <w:t xml:space="preserve"> určil osud západní metafyziky tím, že odmítl Aristotelovo </w:t>
      </w:r>
      <w:r w:rsidR="00BD21C7">
        <w:t xml:space="preserve">a Abunaserovo </w:t>
      </w:r>
      <w:r w:rsidRPr="003D1E07">
        <w:t xml:space="preserve">řešení receptivního intelektu. Avicennův komentář k </w:t>
      </w:r>
      <w:r w:rsidRPr="003D1E07">
        <w:rPr>
          <w:i/>
        </w:rPr>
        <w:t>De anima</w:t>
      </w:r>
      <w:r w:rsidR="00794050">
        <w:t xml:space="preserve"> po</w:t>
      </w:r>
      <w:r w:rsidRPr="003D1E07">
        <w:t>stavil nasvícení smyslu jsoucna zezadu</w:t>
      </w:r>
      <w:r w:rsidR="008A58B5" w:rsidRPr="003D1E07">
        <w:t xml:space="preserve">. Poznání přechází ze směru nehmotného aktuálního a aktivního intelektu jako </w:t>
      </w:r>
      <w:r w:rsidR="004319BF" w:rsidRPr="004319BF">
        <w:rPr>
          <w:i/>
        </w:rPr>
        <w:t>Dator formarum</w:t>
      </w:r>
      <w:r w:rsidR="008A58B5" w:rsidRPr="003D1E07">
        <w:rPr>
          <w:i/>
        </w:rPr>
        <w:fldChar w:fldCharType="begin"/>
      </w:r>
      <w:r w:rsidR="008A58B5" w:rsidRPr="003D1E07">
        <w:instrText xml:space="preserve"> XE "</w:instrText>
      </w:r>
      <w:r w:rsidR="004319BF" w:rsidRPr="004319BF">
        <w:rPr>
          <w:i/>
        </w:rPr>
        <w:instrText>Dator formarum</w:instrText>
      </w:r>
      <w:r w:rsidR="008A58B5" w:rsidRPr="003D1E07">
        <w:instrText xml:space="preserve">" </w:instrText>
      </w:r>
      <w:r w:rsidR="008A58B5" w:rsidRPr="003D1E07">
        <w:rPr>
          <w:i/>
        </w:rPr>
        <w:fldChar w:fldCharType="end"/>
      </w:r>
      <w:r w:rsidR="008A58B5" w:rsidRPr="003D1E07">
        <w:t xml:space="preserve"> do hypostatické formy získaného intelektu umístěného v lidské duši (</w:t>
      </w:r>
      <w:r w:rsidR="008A58B5" w:rsidRPr="003D1E07">
        <w:rPr>
          <w:i/>
        </w:rPr>
        <w:t>intellectus adeptus</w:t>
      </w:r>
      <w:r w:rsidR="008A58B5" w:rsidRPr="003D1E07">
        <w:rPr>
          <w:i/>
        </w:rPr>
        <w:fldChar w:fldCharType="begin"/>
      </w:r>
      <w:r w:rsidR="008A58B5" w:rsidRPr="003D1E07">
        <w:instrText xml:space="preserve"> XE "</w:instrText>
      </w:r>
      <w:r w:rsidR="008A58B5" w:rsidRPr="003D1E07">
        <w:rPr>
          <w:i/>
        </w:rPr>
        <w:instrText>intellectus adeptus</w:instrText>
      </w:r>
      <w:r w:rsidR="008A58B5" w:rsidRPr="003D1E07">
        <w:instrText xml:space="preserve">" </w:instrText>
      </w:r>
      <w:r w:rsidR="008A58B5" w:rsidRPr="003D1E07">
        <w:rPr>
          <w:i/>
        </w:rPr>
        <w:fldChar w:fldCharType="end"/>
      </w:r>
      <w:r w:rsidR="008A58B5" w:rsidRPr="003D1E07">
        <w:t xml:space="preserve">, kap. 2.3.1). </w:t>
      </w:r>
      <w:r w:rsidRPr="003D1E07">
        <w:t>Averroes</w:t>
      </w:r>
      <w:r w:rsidR="004B51FA" w:rsidRPr="003D1E07">
        <w:t xml:space="preserve"> ukázal</w:t>
      </w:r>
      <w:r w:rsidRPr="003D1E07">
        <w:t xml:space="preserve"> základní slepotu tohoto schématu poznání, které si moderna nebyla a dodnes není vědoma. Výklad Avicennovy teorie poznání vzhledem k zatmění první substance završí hledání nové formy metafyziky ve falsafě. Moderna a postmoderna provede vytěsnění Komentátorova schématu poznání v rámci výše uvedeného Freudova mechanismu </w:t>
      </w:r>
      <w:r w:rsidRPr="003D1E07">
        <w:rPr>
          <w:rStyle w:val="Zvraznn"/>
        </w:rPr>
        <w:t>Verkehrung ins Gegenteil</w:t>
      </w:r>
      <w:r w:rsidRPr="003D1E07">
        <w:rPr>
          <w:rStyle w:val="Zvraznn"/>
          <w:i w:val="0"/>
        </w:rPr>
        <w:fldChar w:fldCharType="begin"/>
      </w:r>
      <w:r w:rsidRPr="003D1E07">
        <w:rPr>
          <w:i/>
        </w:rPr>
        <w:instrText xml:space="preserve"> XE "</w:instrText>
      </w:r>
      <w:r w:rsidRPr="003D1E07">
        <w:rPr>
          <w:rStyle w:val="Zvraznn"/>
        </w:rPr>
        <w:instrText>Verkehrung ins Gegenteil</w:instrText>
      </w:r>
      <w:r w:rsidRPr="003D1E07">
        <w:rPr>
          <w:i/>
        </w:rPr>
        <w:instrText xml:space="preserve">" </w:instrText>
      </w:r>
      <w:r w:rsidRPr="003D1E07">
        <w:rPr>
          <w:rStyle w:val="Zvraznn"/>
          <w:i w:val="0"/>
        </w:rPr>
        <w:fldChar w:fldCharType="end"/>
      </w:r>
      <w:r w:rsidR="00C50180">
        <w:rPr>
          <w:rStyle w:val="Zvraznn"/>
          <w:i w:val="0"/>
        </w:rPr>
        <w:t xml:space="preserve"> </w:t>
      </w:r>
      <w:r w:rsidR="00C50180">
        <w:rPr>
          <w:noProof w:val="0"/>
          <w:lang w:val="fr-FR"/>
        </w:rPr>
        <w:t xml:space="preserve">(kap. 1.2). </w:t>
      </w:r>
      <w:r w:rsidR="00133AC3" w:rsidRPr="003D1E07">
        <w:rPr>
          <w:rStyle w:val="Zvraznn"/>
          <w:i w:val="0"/>
        </w:rPr>
        <w:t xml:space="preserve">Mytopoeticky schopní </w:t>
      </w:r>
      <w:r w:rsidR="00133AC3" w:rsidRPr="003D1E07">
        <w:rPr>
          <w:rStyle w:val="Zvraznn"/>
          <w:i w:val="0"/>
        </w:rPr>
        <w:lastRenderedPageBreak/>
        <w:t>a</w:t>
      </w:r>
      <w:r w:rsidR="00D73CAE" w:rsidRPr="003D1E07">
        <w:t xml:space="preserve">vicennisté vytvořili </w:t>
      </w:r>
      <w:r w:rsidR="007122E7" w:rsidRPr="003D1E07">
        <w:t xml:space="preserve">objektivní </w:t>
      </w:r>
      <w:r w:rsidR="00133AC3" w:rsidRPr="003D1E07">
        <w:t>simulákrum Averroese skrze figuru latinského averroismu</w:t>
      </w:r>
      <w:r w:rsidR="007122E7" w:rsidRPr="003D1E07">
        <w:t xml:space="preserve">. Tento omyl bohužel </w:t>
      </w:r>
      <w:r w:rsidR="00133AC3" w:rsidRPr="003D1E07">
        <w:t>produk</w:t>
      </w:r>
      <w:r w:rsidR="007122E7" w:rsidRPr="003D1E07">
        <w:t xml:space="preserve">uje reálné </w:t>
      </w:r>
      <w:r w:rsidRPr="003D1E07">
        <w:rPr>
          <w:i/>
        </w:rPr>
        <w:t>damnatio memoriae</w:t>
      </w:r>
      <w:r w:rsidRPr="003D1E07">
        <w:rPr>
          <w:i/>
        </w:rPr>
        <w:fldChar w:fldCharType="begin"/>
      </w:r>
      <w:r w:rsidRPr="003D1E07">
        <w:instrText xml:space="preserve"> XE "</w:instrText>
      </w:r>
      <w:r w:rsidRPr="003D1E07">
        <w:rPr>
          <w:i/>
        </w:rPr>
        <w:instrText>damnatio memoriae</w:instrText>
      </w:r>
      <w:r w:rsidRPr="003D1E07">
        <w:instrText xml:space="preserve">" </w:instrText>
      </w:r>
      <w:r w:rsidRPr="003D1E07">
        <w:rPr>
          <w:i/>
        </w:rPr>
        <w:fldChar w:fldCharType="end"/>
      </w:r>
      <w:r w:rsidR="0016486A" w:rsidRPr="003D1E07">
        <w:t xml:space="preserve"> jeho metafyziky. </w:t>
      </w:r>
      <w:r w:rsidR="00D73CAE" w:rsidRPr="003D1E07">
        <w:t>Moderní latinští sofisté vytvořili</w:t>
      </w:r>
      <w:r w:rsidRPr="003D1E07">
        <w:t xml:space="preserve"> pod vedením akademicky vzdělaných Fúrií dokonalé simulákrum Averroese</w:t>
      </w:r>
      <w:r w:rsidR="00F66C55">
        <w:t>. Tento modernistický idol se postupně diabolizuje</w:t>
      </w:r>
      <w:r w:rsidRPr="003D1E07">
        <w:t xml:space="preserve"> </w:t>
      </w:r>
      <w:r w:rsidR="00326B22">
        <w:t>nebo dnes rehabilituj</w:t>
      </w:r>
      <w:r w:rsidR="00F66C55">
        <w:t xml:space="preserve">e </w:t>
      </w:r>
      <w:r w:rsidRPr="003D1E07">
        <w:t xml:space="preserve">až do tragikomické karikatury. </w:t>
      </w:r>
      <w:r w:rsidR="005B1490">
        <w:t>S</w:t>
      </w:r>
      <w:r w:rsidRPr="003D1E07">
        <w:t>ofistický výplod modernistů a postmodernistů spolehlivě zakryl jak původní smysl Averroesova díla, tak i tradici danou skutečnými latinskými znalci Komentátorova myšlení do konce 13. století. Vítězství</w:t>
      </w:r>
      <w:r w:rsidR="00443761" w:rsidRPr="003D1E07">
        <w:t>m avicennistické moderny vznikl</w:t>
      </w:r>
      <w:r w:rsidR="008F778E" w:rsidRPr="003D1E07">
        <w:t>a</w:t>
      </w:r>
      <w:r w:rsidRPr="003D1E07">
        <w:t xml:space="preserve"> v metafyzice latinského Západu </w:t>
      </w:r>
      <w:r w:rsidR="008F778E" w:rsidRPr="003D1E07">
        <w:t xml:space="preserve">epocha </w:t>
      </w:r>
      <w:r w:rsidRPr="003D1E07">
        <w:t xml:space="preserve">zapomenutí </w:t>
      </w:r>
      <w:r w:rsidR="00443761" w:rsidRPr="003D1E07">
        <w:t xml:space="preserve">první substance </w:t>
      </w:r>
      <w:r w:rsidRPr="003D1E07">
        <w:t>(</w:t>
      </w:r>
      <w:r w:rsidRPr="003D1E07">
        <w:rPr>
          <w:i/>
        </w:rPr>
        <w:t>Seinsvergessenheit</w:t>
      </w:r>
      <w:r w:rsidRPr="003D1E07">
        <w:rPr>
          <w:i/>
        </w:rPr>
        <w:fldChar w:fldCharType="begin"/>
      </w:r>
      <w:r w:rsidRPr="003D1E07">
        <w:instrText xml:space="preserve"> XE "</w:instrText>
      </w:r>
      <w:r w:rsidRPr="003D1E07">
        <w:rPr>
          <w:i/>
        </w:rPr>
        <w:instrText>Seinsvergessenheit</w:instrText>
      </w:r>
      <w:r w:rsidRPr="003D1E07">
        <w:instrText xml:space="preserve">" </w:instrText>
      </w:r>
      <w:r w:rsidRPr="003D1E07">
        <w:rPr>
          <w:i/>
        </w:rPr>
        <w:fldChar w:fldCharType="end"/>
      </w:r>
      <w:r w:rsidRPr="003D1E07">
        <w:t xml:space="preserve">) v modu objektivního </w:t>
      </w:r>
      <w:r w:rsidRPr="003D1E07">
        <w:rPr>
          <w:i/>
        </w:rPr>
        <w:t>Irrtum</w:t>
      </w:r>
      <w:r w:rsidR="08636E05" w:rsidRPr="003D1E07">
        <w:t>. Spokojené Eríny</w:t>
      </w:r>
      <w:r w:rsidRPr="003D1E07">
        <w:t>e</w:t>
      </w:r>
      <w:r w:rsidRPr="003D1E07">
        <w:fldChar w:fldCharType="begin"/>
      </w:r>
      <w:r w:rsidR="08636E05" w:rsidRPr="003D1E07">
        <w:instrText xml:space="preserve"> XE "Eríny</w:instrText>
      </w:r>
      <w:r w:rsidRPr="003D1E07">
        <w:instrText xml:space="preserve">e" </w:instrText>
      </w:r>
      <w:r w:rsidRPr="003D1E07">
        <w:fldChar w:fldCharType="end"/>
      </w:r>
      <w:r w:rsidRPr="003D1E07">
        <w:t xml:space="preserve"> odešly do objektivně neexistujícího podsvětí, kde mají stálý domov v archaické </w:t>
      </w:r>
      <w:r w:rsidR="00381EBA" w:rsidRPr="003D1E07">
        <w:rPr>
          <w:i/>
        </w:rPr>
        <w:t>léthe</w:t>
      </w:r>
      <w:r w:rsidRPr="003D1E07">
        <w:t xml:space="preserve">. </w:t>
      </w:r>
      <w:r w:rsidR="00A03885" w:rsidRPr="003D1E07">
        <w:t>N</w:t>
      </w:r>
      <w:r w:rsidRPr="003D1E07">
        <w:t>ihilistický model metafyzi</w:t>
      </w:r>
      <w:r w:rsidR="00A03885" w:rsidRPr="003D1E07">
        <w:t xml:space="preserve">ky </w:t>
      </w:r>
      <w:r w:rsidR="001C6385" w:rsidRPr="003D1E07">
        <w:t xml:space="preserve">dokončuje dílo božských Fúrií </w:t>
      </w:r>
      <w:r w:rsidRPr="003D1E07">
        <w:t>v posledních časech postmoderní nevzdělanosti (ἀπαιδευσία</w:t>
      </w:r>
      <w:r w:rsidRPr="003D1E07">
        <w:rPr>
          <w:lang w:eastAsia="en-US"/>
        </w:rPr>
        <w:fldChar w:fldCharType="begin"/>
      </w:r>
      <w:r w:rsidRPr="003D1E07">
        <w:instrText xml:space="preserve"> XE "</w:instrText>
      </w:r>
      <w:r w:rsidRPr="003D1E07">
        <w:rPr>
          <w:i/>
        </w:rPr>
        <w:instrText>apaideusía</w:instrText>
      </w:r>
      <w:r w:rsidRPr="003D1E07">
        <w:instrText xml:space="preserve">" </w:instrText>
      </w:r>
      <w:r w:rsidRPr="003D1E07">
        <w:rPr>
          <w:lang w:eastAsia="en-US"/>
        </w:rPr>
        <w:fldChar w:fldCharType="end"/>
      </w:r>
      <w:r w:rsidRPr="003D1E07">
        <w:t xml:space="preserve">, </w:t>
      </w:r>
      <w:r w:rsidRPr="003D1E07">
        <w:rPr>
          <w:i/>
        </w:rPr>
        <w:t>Met</w:t>
      </w:r>
      <w:r w:rsidRPr="003D1E07">
        <w:t>. 1006a6</w:t>
      </w:r>
      <w:r w:rsidRPr="003D1E07">
        <w:rPr>
          <w:i/>
        </w:rPr>
        <w:fldChar w:fldCharType="begin"/>
      </w:r>
      <w:r w:rsidRPr="003D1E07">
        <w:instrText xml:space="preserve"> XE "Aristoteles:</w:instrText>
      </w:r>
      <w:r w:rsidRPr="003D1E07">
        <w:rPr>
          <w:i/>
        </w:rPr>
        <w:instrText>Met</w:instrText>
      </w:r>
      <w:r w:rsidRPr="003D1E07">
        <w:instrText xml:space="preserve">. 1006a6" </w:instrText>
      </w:r>
      <w:r w:rsidRPr="003D1E07">
        <w:rPr>
          <w:i/>
        </w:rPr>
        <w:fldChar w:fldCharType="end"/>
      </w:r>
      <w:r w:rsidR="001C6385" w:rsidRPr="003D1E07">
        <w:t>)</w:t>
      </w:r>
      <w:r w:rsidRPr="003D1E07">
        <w:t xml:space="preserve">. </w:t>
      </w:r>
    </w:p>
    <w:p w14:paraId="4AD67F77" w14:textId="23EF00D3" w:rsidR="08126A94" w:rsidRPr="003D1E07" w:rsidRDefault="00011A7B" w:rsidP="08B53411">
      <w:pPr>
        <w:ind w:firstLine="397"/>
      </w:pPr>
      <w:r>
        <w:t xml:space="preserve">Proveďme </w:t>
      </w:r>
      <w:r w:rsidR="08126A94" w:rsidRPr="003D1E07">
        <w:t>rozbor gigantomachie</w:t>
      </w:r>
      <w:r w:rsidR="08126A94" w:rsidRPr="003D1E07">
        <w:fldChar w:fldCharType="begin"/>
      </w:r>
      <w:r w:rsidR="08126A94" w:rsidRPr="003D1E07">
        <w:instrText xml:space="preserve"> XE "substance:gigantomachie" </w:instrText>
      </w:r>
      <w:r w:rsidR="08126A94" w:rsidRPr="003D1E07">
        <w:fldChar w:fldCharType="end"/>
      </w:r>
      <w:r w:rsidR="08126A94" w:rsidRPr="003D1E07">
        <w:t xml:space="preserve"> mezi Avicennou a Averroesem podle spisu CMDA. Zjevování jsoucna v</w:t>
      </w:r>
      <w:r w:rsidR="00112CE0" w:rsidRPr="003D1E07">
        <w:t xml:space="preserve"> lidském </w:t>
      </w:r>
      <w:r w:rsidR="08126A94" w:rsidRPr="003D1E07">
        <w:t>intelektu závisí na správné</w:t>
      </w:r>
      <w:r w:rsidR="00D11BF5">
        <w:t xml:space="preserve"> interpretaci procesu </w:t>
      </w:r>
      <w:r w:rsidR="08126A94" w:rsidRPr="003D1E07">
        <w:t xml:space="preserve">abstrakce. Averroesův komentář klíčové pasáže </w:t>
      </w:r>
      <w:r w:rsidR="08126A94" w:rsidRPr="003D1E07">
        <w:rPr>
          <w:i/>
        </w:rPr>
        <w:t>De anima</w:t>
      </w:r>
      <w:r w:rsidR="08126A94" w:rsidRPr="003D1E07">
        <w:t xml:space="preserve"> II.5 (417a1‒2)</w:t>
      </w:r>
      <w:r w:rsidR="08126A94" w:rsidRPr="003D1E07">
        <w:fldChar w:fldCharType="begin"/>
      </w:r>
      <w:r w:rsidR="08126A94" w:rsidRPr="003D1E07">
        <w:instrText xml:space="preserve"> XE "Aristoteles:</w:instrText>
      </w:r>
      <w:r w:rsidR="08126A94" w:rsidRPr="003D1E07">
        <w:rPr>
          <w:i/>
        </w:rPr>
        <w:instrText>De anima</w:instrText>
      </w:r>
      <w:r w:rsidR="08126A94" w:rsidRPr="003D1E07">
        <w:instrText xml:space="preserve"> 417a1‒2" </w:instrText>
      </w:r>
      <w:r w:rsidR="08126A94" w:rsidRPr="003D1E07">
        <w:fldChar w:fldCharType="end"/>
      </w:r>
      <w:r w:rsidR="08126A94" w:rsidRPr="003D1E07">
        <w:t xml:space="preserve"> má jiný smysl než Avicennova denudace. Komentátor nasvítil smysl jsoucna zepředu</w:t>
      </w:r>
      <w:r w:rsidR="08126A94" w:rsidRPr="003D1E07">
        <w:fldChar w:fldCharType="begin"/>
      </w:r>
      <w:r w:rsidR="08126A94" w:rsidRPr="003D1E07">
        <w:instrText xml:space="preserve"> XE "zjevování:nasvícení zepředu" </w:instrText>
      </w:r>
      <w:r w:rsidR="08126A94" w:rsidRPr="003D1E07">
        <w:fldChar w:fldCharType="end"/>
      </w:r>
      <w:r w:rsidR="08126A94" w:rsidRPr="003D1E07">
        <w:t xml:space="preserve"> od smyslového poznání hylemorfické první substance. Citace </w:t>
      </w:r>
      <w:r w:rsidR="08126A94" w:rsidRPr="003D1E07">
        <w:rPr>
          <w:i/>
        </w:rPr>
        <w:t>De anima</w:t>
      </w:r>
      <w:r w:rsidR="08126A94" w:rsidRPr="003D1E07">
        <w:t xml:space="preserve"> o povaze smyslů dané </w:t>
      </w:r>
      <w:r w:rsidR="08126A94" w:rsidRPr="003D1E07">
        <w:rPr>
          <w:i/>
        </w:rPr>
        <w:t>in potentia</w:t>
      </w:r>
      <w:r w:rsidR="08126A94" w:rsidRPr="003D1E07">
        <w:t xml:space="preserve"> definuje podstatu smyslové abstrakce následovně.</w:t>
      </w:r>
    </w:p>
    <w:p w14:paraId="21E4E4F4" w14:textId="05AF38E3" w:rsidR="08126A94" w:rsidRPr="003D1E07" w:rsidRDefault="08126A94" w:rsidP="08126A94">
      <w:pPr>
        <w:pStyle w:val="Citace"/>
        <w:rPr>
          <w:noProof/>
          <w:lang w:val="cs-CZ"/>
        </w:rPr>
      </w:pPr>
      <w:r w:rsidRPr="003D1E07">
        <w:rPr>
          <w:noProof/>
          <w:lang w:val="cs-CZ"/>
        </w:rPr>
        <w:t xml:space="preserve">„Dále řekl: </w:t>
      </w:r>
      <w:r w:rsidRPr="003D1E07">
        <w:rPr>
          <w:i/>
          <w:noProof/>
          <w:lang w:val="cs-CZ"/>
        </w:rPr>
        <w:t>Proto nejsou smysly v aktualitě, ale v potenci</w:t>
      </w:r>
      <w:r w:rsidRPr="003D1E07">
        <w:rPr>
          <w:noProof/>
          <w:lang w:val="cs-CZ"/>
        </w:rPr>
        <w:t xml:space="preserve"> atd. Na to odpovězme, že smyslové vnímání není dáno jako aktivní schopnost (</w:t>
      </w:r>
      <w:r w:rsidRPr="003D1E07">
        <w:rPr>
          <w:i/>
          <w:noProof/>
          <w:lang w:val="cs-CZ"/>
        </w:rPr>
        <w:t>sensus non est ex virtutibus activis</w:t>
      </w:r>
      <w:r w:rsidRPr="003D1E07">
        <w:rPr>
          <w:noProof/>
          <w:lang w:val="cs-CZ"/>
        </w:rPr>
        <w:t>), která by jednala sama ze sebe (</w:t>
      </w:r>
      <w:r w:rsidRPr="003D1E07">
        <w:rPr>
          <w:i/>
          <w:noProof/>
          <w:lang w:val="cs-CZ"/>
        </w:rPr>
        <w:t>que agunt ex se</w:t>
      </w:r>
      <w:r w:rsidRPr="003D1E07">
        <w:rPr>
          <w:noProof/>
          <w:lang w:val="cs-CZ"/>
        </w:rPr>
        <w:t xml:space="preserve">) a bez externího hybatele nutného pro </w:t>
      </w:r>
      <w:r w:rsidR="00EA30FE">
        <w:rPr>
          <w:noProof/>
          <w:lang w:val="cs-CZ"/>
        </w:rPr>
        <w:t>smyslové poznání</w:t>
      </w:r>
      <w:r w:rsidRPr="003D1E07">
        <w:rPr>
          <w:noProof/>
          <w:lang w:val="cs-CZ"/>
        </w:rPr>
        <w:t>. Smysly jsou pasivními schopnostmi, které potřebují vnějšího hybatele (</w:t>
      </w:r>
      <w:r w:rsidRPr="003D1E07">
        <w:rPr>
          <w:i/>
          <w:noProof/>
          <w:lang w:val="cs-CZ"/>
        </w:rPr>
        <w:t>sunt ex virtutibus passivis, que indigent motore extrinseco</w:t>
      </w:r>
      <w:r w:rsidRPr="003D1E07">
        <w:rPr>
          <w:noProof/>
          <w:lang w:val="cs-CZ"/>
        </w:rPr>
        <w:t xml:space="preserve">), proto nemají </w:t>
      </w:r>
      <w:r w:rsidR="00B66B3C">
        <w:rPr>
          <w:noProof/>
          <w:lang w:val="cs-CZ"/>
        </w:rPr>
        <w:t xml:space="preserve">vnímání </w:t>
      </w:r>
      <w:r w:rsidRPr="003D1E07">
        <w:rPr>
          <w:noProof/>
          <w:lang w:val="cs-CZ"/>
        </w:rPr>
        <w:t>samy ze sebe. Dřevo také nehoří samo od sebe, ale potřebuje k tomu vnějšího činitele, totiž oheň.“ </w:t>
      </w:r>
      <w:r w:rsidRPr="003D1E07">
        <w:rPr>
          <w:rStyle w:val="Znakapoznpodarou"/>
          <w:lang w:val="cs-CZ"/>
        </w:rPr>
        <w:footnoteReference w:id="230"/>
      </w:r>
    </w:p>
    <w:p w14:paraId="6C27C000" w14:textId="77777777" w:rsidR="0098170A" w:rsidRDefault="08126A94" w:rsidP="00063D0D">
      <w:r w:rsidRPr="003D1E07">
        <w:t>Smysly nemají za základ aktivní složku (</w:t>
      </w:r>
      <w:r w:rsidRPr="003D1E07">
        <w:rPr>
          <w:i/>
        </w:rPr>
        <w:t>non est ex virtutibus activis</w:t>
      </w:r>
      <w:r w:rsidRPr="003D1E07">
        <w:t>), která by jednala v duši sama ze sebe. To by znamenalo, že smysly obsahují vlastní aktualitu danou subsistencí na způsob substance (</w:t>
      </w:r>
      <w:r w:rsidRPr="003D1E07">
        <w:rPr>
          <w:i/>
        </w:rPr>
        <w:t>agunt ex se</w:t>
      </w:r>
      <w:r w:rsidRPr="003D1E07">
        <w:t xml:space="preserve">). Pak by </w:t>
      </w:r>
      <w:r w:rsidR="00806A9F" w:rsidRPr="003D1E07">
        <w:t xml:space="preserve">hypostázované </w:t>
      </w:r>
      <w:r w:rsidRPr="003D1E07">
        <w:t xml:space="preserve">smysly potřebovaly vnější věc jen jako doplněk vlastní aktuality. To odporuje skutečnému průběhu poznání iniciovaného v modu </w:t>
      </w:r>
      <w:r w:rsidRPr="003D1E07">
        <w:rPr>
          <w:i/>
        </w:rPr>
        <w:t>per prius</w:t>
      </w:r>
      <w:r w:rsidRPr="003D1E07">
        <w:t xml:space="preserve"> první substancí danou mimo smysly (</w:t>
      </w:r>
      <w:r w:rsidRPr="003D1E07">
        <w:rPr>
          <w:i/>
        </w:rPr>
        <w:t>provenit ab eis motore extrinseco</w:t>
      </w:r>
      <w:r w:rsidRPr="003D1E07">
        <w:t xml:space="preserve">). Smysly a </w:t>
      </w:r>
      <w:r w:rsidRPr="003D1E07">
        <w:lastRenderedPageBreak/>
        <w:t>po nich i intelekt mají fundamentálně receptivní charakter (</w:t>
      </w:r>
      <w:r w:rsidRPr="003D1E07">
        <w:rPr>
          <w:i/>
        </w:rPr>
        <w:t>sunt ex virtutibus passivis</w:t>
      </w:r>
      <w:r w:rsidRPr="003D1E07">
        <w:t>). Proto smysly potřebují vnější aktuální substanci, aby mohly poznávat (</w:t>
      </w:r>
      <w:r w:rsidRPr="003D1E07">
        <w:rPr>
          <w:i/>
        </w:rPr>
        <w:t>indigent motore extrinseco</w:t>
      </w:r>
      <w:r w:rsidRPr="003D1E07">
        <w:t>). Jen tak může vzniknout pravda jako adekvátní vztah (</w:t>
      </w:r>
      <w:r w:rsidRPr="003D1E07">
        <w:rPr>
          <w:i/>
        </w:rPr>
        <w:t>proportio</w:t>
      </w:r>
      <w:r w:rsidRPr="003D1E07">
        <w:rPr>
          <w:i/>
        </w:rPr>
        <w:fldChar w:fldCharType="begin"/>
      </w:r>
      <w:r w:rsidRPr="003D1E07">
        <w:instrText xml:space="preserve"> XE "pravda:</w:instrText>
      </w:r>
      <w:r w:rsidRPr="003D1E07">
        <w:rPr>
          <w:i/>
        </w:rPr>
        <w:instrText>proportio</w:instrText>
      </w:r>
      <w:r w:rsidRPr="003D1E07">
        <w:instrText xml:space="preserve">" </w:instrText>
      </w:r>
      <w:r w:rsidRPr="003D1E07">
        <w:rPr>
          <w:i/>
        </w:rPr>
        <w:fldChar w:fldCharType="end"/>
      </w:r>
      <w:r w:rsidRPr="003D1E07">
        <w:t>) mezi aktuální první substancí a mezi její nejprve smyslovou, a pak i intelektuální recepcí. Uvedená citace CMDA staví na první místo smyslové poznání. Výklad musí zajistit kauzální působení první substance na smysly a na intelekt, protože metafyzika vychází z kauz</w:t>
      </w:r>
      <w:r w:rsidR="0098170A">
        <w:t>ality těles zkoumaných fyzikou.</w:t>
      </w:r>
    </w:p>
    <w:p w14:paraId="461C5A5C" w14:textId="4BFDBA82" w:rsidR="002979C8" w:rsidRDefault="08126A94" w:rsidP="0098170A">
      <w:pPr>
        <w:ind w:firstLine="397"/>
      </w:pPr>
      <w:r w:rsidRPr="003D1E07">
        <w:t>T</w:t>
      </w:r>
      <w:r w:rsidR="00304F54" w:rsidRPr="003D1E07">
        <w:t>uto determinaci</w:t>
      </w:r>
      <w:r w:rsidRPr="003D1E07">
        <w:t xml:space="preserve"> poznání podle </w:t>
      </w:r>
      <w:r w:rsidR="089108A9" w:rsidRPr="003D1E07">
        <w:t xml:space="preserve">metafyzického </w:t>
      </w:r>
      <w:r w:rsidRPr="003D1E07">
        <w:t>dativu</w:t>
      </w:r>
      <w:r w:rsidRPr="003D1E07">
        <w:fldChar w:fldCharType="begin"/>
      </w:r>
      <w:r w:rsidRPr="003D1E07">
        <w:instrText xml:space="preserve"> XE "</w:instrText>
      </w:r>
      <w:r w:rsidR="089108A9" w:rsidRPr="003D1E07">
        <w:rPr>
          <w:i/>
        </w:rPr>
        <w:instrText>dativus metaphysi</w:instrText>
      </w:r>
      <w:r w:rsidRPr="003D1E07">
        <w:rPr>
          <w:i/>
        </w:rPr>
        <w:instrText>cus</w:instrText>
      </w:r>
      <w:r w:rsidRPr="003D1E07">
        <w:instrText xml:space="preserve">" </w:instrText>
      </w:r>
      <w:r w:rsidRPr="003D1E07">
        <w:fldChar w:fldCharType="end"/>
      </w:r>
      <w:r w:rsidRPr="003D1E07">
        <w:t xml:space="preserve"> měl pouze Themistius, jehož </w:t>
      </w:r>
      <w:r w:rsidRPr="003D1E07">
        <w:rPr>
          <w:i/>
        </w:rPr>
        <w:t>intellectus materialis</w:t>
      </w:r>
      <w:r w:rsidRPr="003D1E07">
        <w:t xml:space="preserve"> zajistil přechod smyslové aktuality do receptivity duše. Averroes si přijetím Themistiova schématu zajistil klíčový fakt, že poznání je plně v naší moci a že receptivní intelekt není oddělená kosmická substance na způsob Alexandra. Komentář k citované části </w:t>
      </w:r>
      <w:r w:rsidRPr="003D1E07">
        <w:rPr>
          <w:i/>
        </w:rPr>
        <w:t>De anima</w:t>
      </w:r>
      <w:r w:rsidRPr="003D1E07">
        <w:t xml:space="preserve"> </w:t>
      </w:r>
      <w:r w:rsidRPr="003D1E07">
        <w:rPr>
          <w:rStyle w:val="TextpoznpodarouChar"/>
        </w:rPr>
        <w:t xml:space="preserve">429a18 </w:t>
      </w:r>
      <w:r w:rsidRPr="003D1E07">
        <w:rPr>
          <w:i/>
        </w:rPr>
        <w:fldChar w:fldCharType="begin"/>
      </w:r>
      <w:r w:rsidRPr="003D1E07">
        <w:instrText xml:space="preserve"> XE "Aristoteles:</w:instrText>
      </w:r>
      <w:r w:rsidRPr="003D1E07">
        <w:rPr>
          <w:i/>
        </w:rPr>
        <w:instrText>De anima</w:instrText>
      </w:r>
      <w:r w:rsidRPr="003D1E07">
        <w:instrText xml:space="preserve"> </w:instrText>
      </w:r>
      <w:r w:rsidRPr="003D1E07">
        <w:rPr>
          <w:rStyle w:val="TextpoznpodarouChar"/>
        </w:rPr>
        <w:instrText>429a18</w:instrText>
      </w:r>
      <w:r w:rsidRPr="003D1E07">
        <w:instrText xml:space="preserve">" </w:instrText>
      </w:r>
      <w:r w:rsidRPr="003D1E07">
        <w:rPr>
          <w:i/>
        </w:rPr>
        <w:fldChar w:fldCharType="end"/>
      </w:r>
      <w:r w:rsidRPr="003D1E07">
        <w:rPr>
          <w:rStyle w:val="TextpoznpodarouChar"/>
        </w:rPr>
        <w:t xml:space="preserve">potvrzuje, že </w:t>
      </w:r>
      <w:r w:rsidRPr="003D1E07">
        <w:t xml:space="preserve">adekvace </w:t>
      </w:r>
      <w:r w:rsidR="00CE3E67" w:rsidRPr="003D1E07">
        <w:t xml:space="preserve">běží </w:t>
      </w:r>
      <w:r w:rsidRPr="003D1E07">
        <w:t>směrem od reálné substance k jejímu poznání (</w:t>
      </w:r>
      <w:r w:rsidRPr="003D1E07">
        <w:rPr>
          <w:i/>
        </w:rPr>
        <w:t>sicut sensus apud sensibilia, sic intellectus apud intelligibilia</w:t>
      </w:r>
      <w:r w:rsidRPr="003D1E07">
        <w:t>).</w:t>
      </w:r>
      <w:r w:rsidRPr="003D1E07">
        <w:rPr>
          <w:rStyle w:val="Znakapoznpodarou"/>
        </w:rPr>
        <w:footnoteReference w:id="231"/>
      </w:r>
      <w:r w:rsidRPr="003D1E07">
        <w:t xml:space="preserve"> Adekvace intelektu k reálné věci začíná smyslovým poznáním externě existující první substance, která proporcionálně determinuje její univerzální poznání v intelektu. Tuto kauzální a proto také pravdivou vazbu mezi první a druhou substancí potvrzují hojně užívané termíny CMDA: </w:t>
      </w:r>
      <w:r w:rsidRPr="003D1E07">
        <w:rPr>
          <w:i/>
        </w:rPr>
        <w:t>proportio</w:t>
      </w:r>
      <w:r w:rsidRPr="003D1E07">
        <w:t xml:space="preserve">, </w:t>
      </w:r>
      <w:r w:rsidRPr="003D1E07">
        <w:rPr>
          <w:i/>
        </w:rPr>
        <w:t>dispositio</w:t>
      </w:r>
      <w:r w:rsidRPr="003D1E07">
        <w:rPr>
          <w:i/>
        </w:rPr>
        <w:fldChar w:fldCharType="begin"/>
      </w:r>
      <w:r w:rsidRPr="003D1E07">
        <w:instrText xml:space="preserve"> XE "pravda:</w:instrText>
      </w:r>
      <w:r w:rsidRPr="003D1E07">
        <w:rPr>
          <w:i/>
        </w:rPr>
        <w:instrText>dispositio</w:instrText>
      </w:r>
      <w:r w:rsidRPr="003D1E07">
        <w:instrText xml:space="preserve">" </w:instrText>
      </w:r>
      <w:r w:rsidRPr="003D1E07">
        <w:rPr>
          <w:i/>
        </w:rPr>
        <w:fldChar w:fldCharType="end"/>
      </w:r>
      <w:r w:rsidRPr="003D1E07">
        <w:t xml:space="preserve"> či </w:t>
      </w:r>
      <w:r w:rsidRPr="003D1E07">
        <w:rPr>
          <w:i/>
        </w:rPr>
        <w:t>similitudo</w:t>
      </w:r>
      <w:r w:rsidRPr="003D1E07">
        <w:rPr>
          <w:i/>
        </w:rPr>
        <w:fldChar w:fldCharType="begin"/>
      </w:r>
      <w:r w:rsidRPr="003D1E07">
        <w:instrText xml:space="preserve"> XE "pravda:</w:instrText>
      </w:r>
      <w:r w:rsidRPr="003D1E07">
        <w:rPr>
          <w:i/>
        </w:rPr>
        <w:instrText>similitudo</w:instrText>
      </w:r>
      <w:r w:rsidRPr="003D1E07">
        <w:instrText xml:space="preserve">" </w:instrText>
      </w:r>
      <w:r w:rsidRPr="003D1E07">
        <w:rPr>
          <w:i/>
        </w:rPr>
        <w:fldChar w:fldCharType="end"/>
      </w:r>
      <w:r w:rsidRPr="003D1E07">
        <w:t xml:space="preserve">. Averroesovo pojetí pravdy v rámci </w:t>
      </w:r>
      <w:r w:rsidRPr="003D1E07">
        <w:rPr>
          <w:i/>
        </w:rPr>
        <w:t>proportio</w:t>
      </w:r>
      <w:r w:rsidRPr="003D1E07">
        <w:t xml:space="preserve"> se opírá o pasáže </w:t>
      </w:r>
      <w:r w:rsidRPr="003D1E07">
        <w:rPr>
          <w:i/>
        </w:rPr>
        <w:t>De anima</w:t>
      </w:r>
      <w:r w:rsidRPr="003D1E07">
        <w:t xml:space="preserve"> </w:t>
      </w:r>
      <w:r w:rsidRPr="003D1E07">
        <w:rPr>
          <w:rStyle w:val="TextpoznpodarouChar"/>
        </w:rPr>
        <w:t>zdůrazňující vazbu mezi smyslovým a rozumovým poznáním</w:t>
      </w:r>
      <w:r w:rsidRPr="003D1E07">
        <w:t xml:space="preserve">. Odůvodnění tohoto </w:t>
      </w:r>
      <w:r w:rsidRPr="003D1E07">
        <w:rPr>
          <w:i/>
        </w:rPr>
        <w:t>proportio</w:t>
      </w:r>
      <w:r w:rsidRPr="003D1E07">
        <w:t xml:space="preserve"> podává originál </w:t>
      </w:r>
      <w:r w:rsidRPr="003D1E07">
        <w:rPr>
          <w:rStyle w:val="TextpoznpodarouChar"/>
          <w:i/>
        </w:rPr>
        <w:t>De anima</w:t>
      </w:r>
      <w:r w:rsidRPr="003D1E07">
        <w:rPr>
          <w:rStyle w:val="TextpoznpodarouChar"/>
        </w:rPr>
        <w:t xml:space="preserve"> </w:t>
      </w:r>
      <w:r w:rsidR="0048689E">
        <w:t xml:space="preserve">429a14–18 </w:t>
      </w:r>
      <w:r w:rsidR="00904B0E" w:rsidRPr="003D1E07">
        <w:rPr>
          <w:rStyle w:val="TextpoznpodarouChar"/>
        </w:rPr>
        <w:t xml:space="preserve">jako podobnost </w:t>
      </w:r>
      <w:r w:rsidRPr="003D1E07">
        <w:rPr>
          <w:rStyle w:val="TextpoznpodarouChar"/>
        </w:rPr>
        <w:t>(ὁμοίως ἔχειν) mezi smyslovým a rozumovým poznáním</w:t>
      </w:r>
      <w:r w:rsidRPr="003D1E07">
        <w:t>.</w:t>
      </w:r>
      <w:r w:rsidRPr="003D1E07">
        <w:rPr>
          <w:rStyle w:val="Znakapoznpodarou"/>
        </w:rPr>
        <w:footnoteReference w:id="232"/>
      </w:r>
      <w:r w:rsidRPr="003D1E07">
        <w:t xml:space="preserve"> </w:t>
      </w:r>
      <w:r w:rsidR="0048689E" w:rsidRPr="003D1E07">
        <w:rPr>
          <w:rStyle w:val="TextpoznpodarouChar"/>
        </w:rPr>
        <w:t xml:space="preserve">Oxfordský překlad poslední věty zcela klíčové pro výklad </w:t>
      </w:r>
      <w:r w:rsidR="0048689E" w:rsidRPr="003D1E07">
        <w:rPr>
          <w:rStyle w:val="TextpoznpodarouChar"/>
          <w:i/>
        </w:rPr>
        <w:t>De anima</w:t>
      </w:r>
      <w:r w:rsidR="0048689E" w:rsidRPr="003D1E07">
        <w:rPr>
          <w:rStyle w:val="TextpoznpodarouChar"/>
        </w:rPr>
        <w:t xml:space="preserve"> je charakteristický v modu </w:t>
      </w:r>
      <w:r w:rsidR="0048689E" w:rsidRPr="003D1E07">
        <w:rPr>
          <w:rStyle w:val="TextpoznpodarouChar"/>
          <w:i/>
        </w:rPr>
        <w:t>Oxfordian Fallacy</w:t>
      </w:r>
      <w:r w:rsidR="0048689E">
        <w:rPr>
          <w:rStyle w:val="TextpoznpodarouChar"/>
        </w:rPr>
        <w:t>, protože jeho dráha náhledu (</w:t>
      </w:r>
      <w:r w:rsidR="0048689E" w:rsidRPr="0048689E">
        <w:rPr>
          <w:rStyle w:val="TextpoznpodarouChar"/>
          <w:i/>
        </w:rPr>
        <w:t>Vor-blickbahn, Bezugssinn</w:t>
      </w:r>
      <w:r w:rsidR="0048689E">
        <w:rPr>
          <w:rStyle w:val="TextpoznpodarouChar"/>
          <w:i/>
        </w:rPr>
        <w:fldChar w:fldCharType="begin"/>
      </w:r>
      <w:r w:rsidR="0048689E">
        <w:instrText xml:space="preserve"> XE "</w:instrText>
      </w:r>
      <w:r w:rsidR="0048689E" w:rsidRPr="00A84750">
        <w:rPr>
          <w:rStyle w:val="TextpoznpodarouChar"/>
          <w:i/>
        </w:rPr>
        <w:instrText>Bezugssinn</w:instrText>
      </w:r>
      <w:r w:rsidR="0048689E">
        <w:instrText xml:space="preserve">" </w:instrText>
      </w:r>
      <w:r w:rsidR="0048689E">
        <w:rPr>
          <w:rStyle w:val="TextpoznpodarouChar"/>
          <w:i/>
        </w:rPr>
        <w:fldChar w:fldCharType="end"/>
      </w:r>
      <w:r w:rsidR="0048689E">
        <w:rPr>
          <w:rStyle w:val="TextpoznpodarouChar"/>
        </w:rPr>
        <w:t xml:space="preserve">) je dána od intelektu iluminátů k reálné věci. </w:t>
      </w:r>
      <w:r w:rsidRPr="003D1E07">
        <w:t>Vyložení této podobnosti (</w:t>
      </w:r>
      <w:r w:rsidRPr="003D1E07">
        <w:rPr>
          <w:rStyle w:val="TextpoznpodarouChar"/>
        </w:rPr>
        <w:t xml:space="preserve">ὁμοίως, </w:t>
      </w:r>
      <w:r w:rsidRPr="003D1E07">
        <w:rPr>
          <w:rStyle w:val="TextpoznpodarouChar"/>
          <w:i/>
        </w:rPr>
        <w:t>similiter</w:t>
      </w:r>
      <w:r w:rsidRPr="003D1E07">
        <w:t xml:space="preserve">) mezi smysly a intelektem ukazuje na základní rozdíl mezi Komentátorem a moderními alexandrovci. </w:t>
      </w:r>
      <w:r w:rsidR="00A926AB" w:rsidRPr="003D1E07">
        <w:rPr>
          <w:rStyle w:val="TextpoznpodarouChar"/>
        </w:rPr>
        <w:t>Překlad z</w:t>
      </w:r>
      <w:r w:rsidRPr="003D1E07">
        <w:rPr>
          <w:rStyle w:val="TextpoznpodarouChar"/>
        </w:rPr>
        <w:t>aměnil pořadí poznání, který má řecký originál nejprve směrem od smyslů</w:t>
      </w:r>
      <w:r w:rsidR="00890DE2">
        <w:rPr>
          <w:rStyle w:val="TextpoznpodarouChar"/>
        </w:rPr>
        <w:t xml:space="preserve"> a ne směrem od intelektu</w:t>
      </w:r>
      <w:r w:rsidRPr="003D1E07">
        <w:rPr>
          <w:rStyle w:val="TextpoznpodarouChar"/>
        </w:rPr>
        <w:t xml:space="preserve">. </w:t>
      </w:r>
      <w:r w:rsidRPr="003D1E07">
        <w:t>Moderna poch</w:t>
      </w:r>
      <w:r w:rsidR="00A10CA3" w:rsidRPr="003D1E07">
        <w:t xml:space="preserve">opila toto spojení neoplatonsky, tj. </w:t>
      </w:r>
      <w:r w:rsidRPr="003D1E07">
        <w:t xml:space="preserve">v konfliktním modu „materiální smyslové versus nemateriální </w:t>
      </w:r>
      <w:r w:rsidRPr="003D1E07">
        <w:lastRenderedPageBreak/>
        <w:t xml:space="preserve">inteligibilní poznání“. Avicennisté od sebe oddělili obě složky poznání a postavili je proti sobě. Moderna spojuje smysly a intelekt pouze propedeuticky a metaforicky, na způsob </w:t>
      </w:r>
      <w:r w:rsidR="00FD7C76">
        <w:t xml:space="preserve">externího </w:t>
      </w:r>
      <w:r w:rsidRPr="003D1E07">
        <w:rPr>
          <w:i/>
        </w:rPr>
        <w:t>coniunctio</w:t>
      </w:r>
      <w:r w:rsidRPr="003D1E07">
        <w:t xml:space="preserve"> duše a těla. Averroes je zásadně proti</w:t>
      </w:r>
      <w:r w:rsidR="00173380">
        <w:t xml:space="preserve"> tomuto postupu</w:t>
      </w:r>
      <w:r w:rsidRPr="003D1E07">
        <w:t xml:space="preserve">, protože není moderním averroistou na způsob Avicenny. Průběh adekvace od smyslů ukazuje, že receptivní intelekt nemůže být materie ve smyslu Alexandrova </w:t>
      </w:r>
      <w:r w:rsidR="00350F8D">
        <w:t xml:space="preserve">nesmyslného </w:t>
      </w:r>
      <w:r w:rsidRPr="003D1E07">
        <w:t>pojetí hylického intelektu jako potenciální substance (</w:t>
      </w:r>
      <w:r w:rsidRPr="003D1E07">
        <w:rPr>
          <w:i/>
        </w:rPr>
        <w:t>hoc aliquid</w:t>
      </w:r>
      <w:r w:rsidRPr="003D1E07">
        <w:fldChar w:fldCharType="begin"/>
      </w:r>
      <w:r w:rsidRPr="003D1E07">
        <w:instrText xml:space="preserve"> XE "</w:instrText>
      </w:r>
      <w:r w:rsidRPr="003D1E07">
        <w:rPr>
          <w:i/>
        </w:rPr>
        <w:instrText>hoc aliquid</w:instrText>
      </w:r>
      <w:r w:rsidRPr="003D1E07">
        <w:instrText xml:space="preserve">:Avicenna" </w:instrText>
      </w:r>
      <w:r w:rsidRPr="003D1E07">
        <w:fldChar w:fldCharType="end"/>
      </w:r>
      <w:r w:rsidRPr="003D1E07">
        <w:t xml:space="preserve">) vnějšně spojené s tělem. Toto pojetí hypostázovaného </w:t>
      </w:r>
      <w:r w:rsidRPr="003D1E07">
        <w:rPr>
          <w:i/>
        </w:rPr>
        <w:t>intellectus in potencia</w:t>
      </w:r>
      <w:r w:rsidRPr="003D1E07">
        <w:t xml:space="preserve"> odmítl Al-Fárábího výklad </w:t>
      </w:r>
      <w:r w:rsidRPr="003D1E07">
        <w:rPr>
          <w:i/>
        </w:rPr>
        <w:t>De anima</w:t>
      </w:r>
      <w:r w:rsidRPr="003D1E07">
        <w:t xml:space="preserve">  (kap. 2.1.1). Poznání nevzniká skrze nějaký přidaný hypostázovaný či darovaný intelekt alexandrovců, protože ten by měl vlastní aktualitu danou v podobě nemateriální formy. Zavedení nové substance nebo hypostáze do definice člověka </w:t>
      </w:r>
      <w:r w:rsidR="00347776" w:rsidRPr="003D1E07">
        <w:t xml:space="preserve">jako </w:t>
      </w:r>
      <w:r w:rsidRPr="003D1E07">
        <w:t xml:space="preserve">vrozených prvních principů poznání nebo karteziánského </w:t>
      </w:r>
      <w:r w:rsidRPr="003D1E07">
        <w:rPr>
          <w:i/>
        </w:rPr>
        <w:t xml:space="preserve">cogito </w:t>
      </w:r>
      <w:r w:rsidRPr="003D1E07">
        <w:t xml:space="preserve">by znemožnilo univerzální poznání duše </w:t>
      </w:r>
      <w:r w:rsidR="004A516D" w:rsidRPr="003D1E07">
        <w:t xml:space="preserve">podle teze </w:t>
      </w:r>
      <w:r w:rsidR="005415E1" w:rsidRPr="003D1E07">
        <w:t>„</w:t>
      </w:r>
      <w:r w:rsidRPr="003D1E07">
        <w:rPr>
          <w:rStyle w:val="st"/>
          <w:bCs/>
          <w:i/>
        </w:rPr>
        <w:t>anima</w:t>
      </w:r>
      <w:r w:rsidRPr="003D1E07">
        <w:rPr>
          <w:rStyle w:val="st"/>
          <w:i/>
        </w:rPr>
        <w:t xml:space="preserve"> est </w:t>
      </w:r>
      <w:r w:rsidRPr="003D1E07">
        <w:rPr>
          <w:rStyle w:val="st"/>
          <w:bCs/>
          <w:i/>
        </w:rPr>
        <w:t>quodammodo omnia</w:t>
      </w:r>
      <w:r w:rsidR="005415E1" w:rsidRPr="003D1E07">
        <w:rPr>
          <w:rStyle w:val="st"/>
          <w:bCs/>
        </w:rPr>
        <w:t>“</w:t>
      </w:r>
      <w:r w:rsidRPr="003D1E07">
        <w:rPr>
          <w:rStyle w:val="FontStyle129"/>
          <w:sz w:val="24"/>
        </w:rPr>
        <w:t xml:space="preserve"> </w:t>
      </w:r>
      <w:r w:rsidRPr="003D1E07">
        <w:t>(</w:t>
      </w:r>
      <w:r w:rsidRPr="003D1E07">
        <w:rPr>
          <w:i/>
        </w:rPr>
        <w:t>De anima</w:t>
      </w:r>
      <w:r w:rsidRPr="003D1E07">
        <w:t xml:space="preserve"> 431b21</w:t>
      </w:r>
      <w:r w:rsidRPr="003D1E07">
        <w:fldChar w:fldCharType="begin"/>
      </w:r>
      <w:r w:rsidRPr="003D1E07">
        <w:instrText xml:space="preserve"> XE "Aristoteles:</w:instrText>
      </w:r>
      <w:r w:rsidRPr="003D1E07">
        <w:rPr>
          <w:i/>
        </w:rPr>
        <w:instrText>De anima</w:instrText>
      </w:r>
      <w:r w:rsidRPr="003D1E07">
        <w:instrText xml:space="preserve"> 431b21" </w:instrText>
      </w:r>
      <w:r w:rsidRPr="003D1E07">
        <w:fldChar w:fldCharType="end"/>
      </w:r>
      <w:r w:rsidRPr="003D1E07">
        <w:t xml:space="preserve">). </w:t>
      </w:r>
      <w:r w:rsidR="00347776" w:rsidRPr="003D1E07">
        <w:t xml:space="preserve">Averroes nemohl </w:t>
      </w:r>
      <w:r w:rsidRPr="003D1E07">
        <w:t>přijat argumentaci Themistia a Theofrasta</w:t>
      </w:r>
      <w:r w:rsidR="00347776" w:rsidRPr="003D1E07">
        <w:t xml:space="preserve">. Ti </w:t>
      </w:r>
      <w:r w:rsidRPr="003D1E07">
        <w:t xml:space="preserve">sice </w:t>
      </w:r>
      <w:r w:rsidR="00347776" w:rsidRPr="003D1E07">
        <w:t xml:space="preserve">uznali </w:t>
      </w:r>
      <w:r w:rsidRPr="003D1E07">
        <w:t xml:space="preserve">aktualizaci poznání ze smyslů, ale nakonec v duši oddělili inteligibilní sféru od smyslů. </w:t>
      </w:r>
      <w:r w:rsidR="003F0AB6" w:rsidRPr="003D1E07">
        <w:t>J</w:t>
      </w:r>
      <w:r w:rsidRPr="003D1E07">
        <w:t xml:space="preserve">ejich </w:t>
      </w:r>
      <w:r w:rsidRPr="003D1E07">
        <w:rPr>
          <w:i/>
        </w:rPr>
        <w:t>intellectus materialis</w:t>
      </w:r>
      <w:r w:rsidRPr="003D1E07">
        <w:t xml:space="preserve"> byl zcela oddělen od kosmického a nemateriálního </w:t>
      </w:r>
      <w:r w:rsidRPr="003D1E07">
        <w:rPr>
          <w:i/>
        </w:rPr>
        <w:t>intellectus possibilis</w:t>
      </w:r>
      <w:r w:rsidRPr="003D1E07">
        <w:t>. Tento nemateriální receptivní intelekt byl nutně poj</w:t>
      </w:r>
      <w:r w:rsidR="00065D10" w:rsidRPr="003D1E07">
        <w:t xml:space="preserve">atý jako neoplatonská hypostáze nebo </w:t>
      </w:r>
      <w:r w:rsidRPr="003D1E07">
        <w:t xml:space="preserve">substance společná pro všechny lidi. Darovaný a </w:t>
      </w:r>
      <w:r w:rsidR="00CF60C6">
        <w:t xml:space="preserve">tím i </w:t>
      </w:r>
      <w:r w:rsidRPr="003D1E07">
        <w:t>receptivní intelekt neoplatoniků přijímá univerzální a hy</w:t>
      </w:r>
      <w:r w:rsidR="00065D10" w:rsidRPr="003D1E07">
        <w:t>postázované inteligibilní formy v modu asimilace</w:t>
      </w:r>
      <w:r w:rsidR="002979C8">
        <w:t>.</w:t>
      </w:r>
    </w:p>
    <w:p w14:paraId="2D9FED73" w14:textId="77777777" w:rsidR="00964CAD" w:rsidRDefault="006F31E8" w:rsidP="002979C8">
      <w:pPr>
        <w:ind w:firstLine="397"/>
        <w:rPr>
          <w:rStyle w:val="TextpoznpodarouChar"/>
        </w:rPr>
      </w:pPr>
      <w:r w:rsidRPr="003D1E07">
        <w:t>Averroes nemohl</w:t>
      </w:r>
      <w:r w:rsidR="08126A94" w:rsidRPr="003D1E07">
        <w:t xml:space="preserve"> připustit žádnou formu </w:t>
      </w:r>
      <w:r w:rsidR="08126A94" w:rsidRPr="003D1E07">
        <w:rPr>
          <w:i/>
        </w:rPr>
        <w:t>tertium ens</w:t>
      </w:r>
      <w:r w:rsidR="08126A94" w:rsidRPr="003D1E07">
        <w:t xml:space="preserve"> v metafyzice a tím ani v procesu poznání. Argumentace proti neoplatonikům a proti jejich modernistické verzi ve falsafě (Ibn Bája</w:t>
      </w:r>
      <w:r w:rsidR="08126A94" w:rsidRPr="003D1E07">
        <w:fldChar w:fldCharType="begin"/>
      </w:r>
      <w:r w:rsidR="08126A94" w:rsidRPr="003D1E07">
        <w:instrText xml:space="preserve"> XE "Ibn Bája" </w:instrText>
      </w:r>
      <w:r w:rsidR="08126A94" w:rsidRPr="003D1E07">
        <w:fldChar w:fldCharType="end"/>
      </w:r>
      <w:r w:rsidR="08126A94" w:rsidRPr="003D1E07">
        <w:t xml:space="preserve">, Avicenna) zdůrazňuje, že intelekt v člověku není aktuální nemateriální substance nebo forma. Receptivní složka duše musí adekvátně (tj. pravdivě a univerzálně) poznat všechny aktuální substance z hlediska jejich materiální i nemateriální formy. Tato složka duše musí být v absolutním smyslu slova receptivní, tedy v inteligibilní potenci oddělené od jakékoliv aktuality. Proto nemůže receptivní složka duše sama ze sebe aktuální, protože pak by poznání přestalo být univerzální. Argument vylučuje receptivní intelekt jako samostatnou substanci či hypostázi na způsob moderních a postmoderních alexandrovců. Komentář obhajuje rozdělení dvou schopností poznání (νοῦς τῷ πάντα γίνεσθαι, ὁ δὲ τῷ πάντα ποιεῖν, </w:t>
      </w:r>
      <w:r w:rsidR="08126A94" w:rsidRPr="003D1E07">
        <w:rPr>
          <w:i/>
        </w:rPr>
        <w:t>De anima</w:t>
      </w:r>
      <w:r w:rsidR="08126A94" w:rsidRPr="003D1E07">
        <w:t xml:space="preserve"> 430a14–15</w:t>
      </w:r>
      <w:r w:rsidR="08126A94" w:rsidRPr="003D1E07">
        <w:rPr>
          <w:i/>
        </w:rPr>
        <w:fldChar w:fldCharType="begin"/>
      </w:r>
      <w:r w:rsidR="08126A94" w:rsidRPr="003D1E07">
        <w:instrText xml:space="preserve"> XE "Aristoteles:</w:instrText>
      </w:r>
      <w:r w:rsidR="08126A94" w:rsidRPr="003D1E07">
        <w:rPr>
          <w:i/>
        </w:rPr>
        <w:instrText>De anima</w:instrText>
      </w:r>
      <w:r w:rsidR="08126A94" w:rsidRPr="003D1E07">
        <w:instrText xml:space="preserve"> </w:instrText>
      </w:r>
      <w:r w:rsidR="08126A94" w:rsidRPr="003D1E07">
        <w:rPr>
          <w:rStyle w:val="TextpoznpodarouChar"/>
        </w:rPr>
        <w:instrText>430a14‒15</w:instrText>
      </w:r>
      <w:r w:rsidR="08126A94" w:rsidRPr="003D1E07">
        <w:instrText xml:space="preserve">" </w:instrText>
      </w:r>
      <w:r w:rsidR="08126A94" w:rsidRPr="003D1E07">
        <w:rPr>
          <w:i/>
        </w:rPr>
        <w:fldChar w:fldCharType="end"/>
      </w:r>
      <w:r w:rsidR="08126A94" w:rsidRPr="003D1E07">
        <w:t>) na receptivní (γίνεσθαι</w:t>
      </w:r>
      <w:r w:rsidR="08126A94" w:rsidRPr="003D1E07">
        <w:rPr>
          <w:i/>
        </w:rPr>
        <w:t>, potentia</w:t>
      </w:r>
      <w:r w:rsidR="08126A94" w:rsidRPr="003D1E07">
        <w:t>) a syntetické (ποιεῖν</w:t>
      </w:r>
      <w:r w:rsidR="08126A94" w:rsidRPr="003D1E07">
        <w:rPr>
          <w:i/>
        </w:rPr>
        <w:t>, actus</w:t>
      </w:r>
      <w:r w:rsidR="08126A94" w:rsidRPr="003D1E07">
        <w:t xml:space="preserve">). Modernistům chybí toto základní rozdělení existenciálního </w:t>
      </w:r>
      <w:r w:rsidR="08126A94" w:rsidRPr="003D1E07">
        <w:rPr>
          <w:i/>
        </w:rPr>
        <w:t>výkonu</w:t>
      </w:r>
      <w:r w:rsidR="08126A94" w:rsidRPr="003D1E07">
        <w:t xml:space="preserve"> poznání osoby v modu </w:t>
      </w:r>
      <w:r w:rsidR="08126A94" w:rsidRPr="003D1E07">
        <w:rPr>
          <w:i/>
        </w:rPr>
        <w:t>ipse</w:t>
      </w:r>
      <w:r w:rsidR="08126A94" w:rsidRPr="003D1E07">
        <w:t xml:space="preserve"> na </w:t>
      </w:r>
      <w:r w:rsidR="08126A94" w:rsidRPr="003D1E07">
        <w:rPr>
          <w:i/>
        </w:rPr>
        <w:t>dvě</w:t>
      </w:r>
      <w:r w:rsidR="08126A94" w:rsidRPr="003D1E07">
        <w:t xml:space="preserve"> schopnosti duše jako </w:t>
      </w:r>
      <w:r w:rsidR="00AC2F79" w:rsidRPr="003D1E07">
        <w:rPr>
          <w:i/>
        </w:rPr>
        <w:t>nemateriální</w:t>
      </w:r>
      <w:r w:rsidR="00AC2F79" w:rsidRPr="003D1E07">
        <w:t xml:space="preserve"> </w:t>
      </w:r>
      <w:r w:rsidR="08126A94" w:rsidRPr="003D1E07">
        <w:t xml:space="preserve">formy </w:t>
      </w:r>
      <w:r w:rsidR="08126A94" w:rsidRPr="003D1E07">
        <w:rPr>
          <w:i/>
        </w:rPr>
        <w:t>tohoto</w:t>
      </w:r>
      <w:r w:rsidR="08126A94" w:rsidRPr="003D1E07">
        <w:t xml:space="preserve"> těla. Jak dále uvidíme, každé </w:t>
      </w:r>
      <w:r w:rsidR="08126A94" w:rsidRPr="003D1E07">
        <w:lastRenderedPageBreak/>
        <w:t>slovo zdůrazněné kurzívou bude mít fundamentální význam v následných sporech scholastiky o tzv. „averroismus“. Vinou špatně pochopené aristotelské metafyziky představuje hypostázovaný intelekt další pseudo-substanci. Toto jsoucno třetího druhu je v modu avicennistické komitace přidáno k mytopoetické sbírce objektivních určení zvané „člověk“. Božská komedie moderny schizofrenicky rozdělila člověka na dvě či dokonce několik substancí</w:t>
      </w:r>
      <w:r w:rsidR="08126A94" w:rsidRPr="003D1E07">
        <w:fldChar w:fldCharType="begin"/>
      </w:r>
      <w:r w:rsidR="08126A94" w:rsidRPr="003D1E07">
        <w:instrText xml:space="preserve"> XE "osoba:pluralita substancí" </w:instrText>
      </w:r>
      <w:r w:rsidR="08126A94" w:rsidRPr="003D1E07">
        <w:fldChar w:fldCharType="end"/>
      </w:r>
      <w:r w:rsidR="08126A94" w:rsidRPr="003D1E07">
        <w:t>. Podle modernistů všech směrů působí činný intelekt (</w:t>
      </w:r>
      <w:r w:rsidR="08126A94" w:rsidRPr="003D1E07">
        <w:rPr>
          <w:i/>
        </w:rPr>
        <w:t>intellectus agens</w:t>
      </w:r>
      <w:r w:rsidR="08126A94" w:rsidRPr="003D1E07">
        <w:t>) na hypostázovaný pasivní intelekt (</w:t>
      </w:r>
      <w:r w:rsidR="08126A94" w:rsidRPr="003D1E07">
        <w:rPr>
          <w:i/>
        </w:rPr>
        <w:t>intellectus materialis</w:t>
      </w:r>
      <w:r w:rsidR="08126A94" w:rsidRPr="003D1E07">
        <w:rPr>
          <w:i/>
        </w:rPr>
        <w:fldChar w:fldCharType="begin"/>
      </w:r>
      <w:r w:rsidR="08126A94" w:rsidRPr="003D1E07">
        <w:instrText xml:space="preserve"> XE "</w:instrText>
      </w:r>
      <w:r w:rsidR="08126A94" w:rsidRPr="003D1E07">
        <w:rPr>
          <w:i/>
        </w:rPr>
        <w:instrText>intellectus materialis:</w:instrText>
      </w:r>
      <w:r w:rsidR="08126A94" w:rsidRPr="003D1E07">
        <w:instrText xml:space="preserve">Avicenna" </w:instrText>
      </w:r>
      <w:r w:rsidR="08126A94" w:rsidRPr="003D1E07">
        <w:rPr>
          <w:i/>
        </w:rPr>
        <w:fldChar w:fldCharType="end"/>
      </w:r>
      <w:r w:rsidR="08126A94" w:rsidRPr="003D1E07">
        <w:t>) stejně jako aktivní řemeslník pomocí své ideje upravuje materiál do podoby hotového výrobku či poznatku (</w:t>
      </w:r>
      <w:r w:rsidR="08126A94" w:rsidRPr="003D1E07">
        <w:rPr>
          <w:i/>
        </w:rPr>
        <w:t>intellectus speculativus</w:t>
      </w:r>
      <w:r w:rsidR="08126A94" w:rsidRPr="003D1E07">
        <w:rPr>
          <w:i/>
        </w:rPr>
        <w:fldChar w:fldCharType="begin"/>
      </w:r>
      <w:r w:rsidR="08126A94" w:rsidRPr="003D1E07">
        <w:instrText xml:space="preserve"> XE "</w:instrText>
      </w:r>
      <w:r w:rsidR="08126A94" w:rsidRPr="003D1E07">
        <w:rPr>
          <w:i/>
        </w:rPr>
        <w:instrText>intellectus speculativus</w:instrText>
      </w:r>
      <w:r w:rsidR="08126A94" w:rsidRPr="003D1E07">
        <w:instrText xml:space="preserve">" </w:instrText>
      </w:r>
      <w:r w:rsidR="08126A94" w:rsidRPr="003D1E07">
        <w:rPr>
          <w:i/>
        </w:rPr>
        <w:fldChar w:fldCharType="end"/>
      </w:r>
      <w:r w:rsidR="08126A94" w:rsidRPr="003D1E07">
        <w:t xml:space="preserve">). Poznání je totožné s aktem platonské </w:t>
      </w:r>
      <w:r w:rsidR="08126A94" w:rsidRPr="003D1E07">
        <w:rPr>
          <w:i/>
          <w:szCs w:val="24"/>
        </w:rPr>
        <w:t>poiésis</w:t>
      </w:r>
      <w:r w:rsidR="08126A94" w:rsidRPr="003D1E07">
        <w:rPr>
          <w:szCs w:val="24"/>
        </w:rPr>
        <w:t xml:space="preserve"> podle mo</w:t>
      </w:r>
      <w:r w:rsidR="00485090" w:rsidRPr="003D1E07">
        <w:rPr>
          <w:szCs w:val="24"/>
        </w:rPr>
        <w:t xml:space="preserve">du Heideggerova přisunování </w:t>
      </w:r>
      <w:r w:rsidR="08126A94" w:rsidRPr="003D1E07">
        <w:rPr>
          <w:szCs w:val="24"/>
        </w:rPr>
        <w:t>objektu před metafyzický subjekt (</w:t>
      </w:r>
      <w:r w:rsidR="08126A94" w:rsidRPr="003D1E07">
        <w:rPr>
          <w:i/>
          <w:szCs w:val="24"/>
        </w:rPr>
        <w:t>Ge-Stell</w:t>
      </w:r>
      <w:r w:rsidR="08126A94" w:rsidRPr="003D1E07">
        <w:rPr>
          <w:rStyle w:val="addmd"/>
          <w:i/>
        </w:rPr>
        <w:fldChar w:fldCharType="begin"/>
      </w:r>
      <w:r w:rsidR="08126A94" w:rsidRPr="003D1E07">
        <w:instrText xml:space="preserve"> XE "</w:instrText>
      </w:r>
      <w:r w:rsidR="08126A94" w:rsidRPr="003D1E07">
        <w:rPr>
          <w:rStyle w:val="addmd"/>
          <w:i/>
        </w:rPr>
        <w:instrText>Ge-Stell</w:instrText>
      </w:r>
      <w:r w:rsidR="08126A94" w:rsidRPr="003D1E07">
        <w:instrText xml:space="preserve">" </w:instrText>
      </w:r>
      <w:r w:rsidR="08126A94" w:rsidRPr="003D1E07">
        <w:rPr>
          <w:rStyle w:val="addmd"/>
          <w:i/>
        </w:rPr>
        <w:fldChar w:fldCharType="end"/>
      </w:r>
      <w:r w:rsidR="00DF78BF" w:rsidRPr="003D1E07">
        <w:rPr>
          <w:szCs w:val="24"/>
        </w:rPr>
        <w:t>, k</w:t>
      </w:r>
      <w:r w:rsidR="08126A94" w:rsidRPr="003D1E07">
        <w:rPr>
          <w:szCs w:val="24"/>
        </w:rPr>
        <w:t xml:space="preserve">ap. 1.2). Myšlení moderních neoplatoniků představuje mytopoetickou verzi demiurgického vytváření světa. Moderna ve falsafě </w:t>
      </w:r>
      <w:r w:rsidR="08126A94" w:rsidRPr="003D1E07">
        <w:t xml:space="preserve">zavedla </w:t>
      </w:r>
      <w:r w:rsidR="00587AAC" w:rsidRPr="003D1E07">
        <w:t>platonskou metaforu obtisku pečetě do vosku</w:t>
      </w:r>
      <w:r w:rsidR="00587AAC">
        <w:t xml:space="preserve"> do </w:t>
      </w:r>
      <w:r w:rsidR="08126A94" w:rsidRPr="003D1E07">
        <w:t xml:space="preserve">výkladu poznávacího aktu, což převzala karteziánská postmoderna. Metafora otisku kosmické formy do receptivního intelektu-vosku individualizuje </w:t>
      </w:r>
      <w:r w:rsidR="08126A94" w:rsidRPr="003D1E07">
        <w:rPr>
          <w:i/>
        </w:rPr>
        <w:t>intellectus possibilis</w:t>
      </w:r>
      <w:r w:rsidR="08126A94" w:rsidRPr="003D1E07">
        <w:t xml:space="preserve"> podle  platonské </w:t>
      </w:r>
      <w:r w:rsidR="08126A94" w:rsidRPr="003D1E07">
        <w:rPr>
          <w:i/>
        </w:rPr>
        <w:t>hypodoché</w:t>
      </w:r>
      <w:r w:rsidR="08126A94" w:rsidRPr="003D1E07">
        <w:rPr>
          <w:i/>
        </w:rPr>
        <w:fldChar w:fldCharType="begin"/>
      </w:r>
      <w:r w:rsidR="08126A94" w:rsidRPr="003D1E07">
        <w:instrText xml:space="preserve"> XE "</w:instrText>
      </w:r>
      <w:r w:rsidR="08126A94" w:rsidRPr="003D1E07">
        <w:rPr>
          <w:i/>
        </w:rPr>
        <w:instrText>hypodoché</w:instrText>
      </w:r>
      <w:r w:rsidR="08126A94" w:rsidRPr="003D1E07">
        <w:instrText xml:space="preserve">" </w:instrText>
      </w:r>
      <w:r w:rsidR="08126A94" w:rsidRPr="003D1E07">
        <w:rPr>
          <w:i/>
        </w:rPr>
        <w:fldChar w:fldCharType="end"/>
      </w:r>
      <w:r w:rsidR="08126A94" w:rsidRPr="003D1E07">
        <w:t xml:space="preserve"> (</w:t>
      </w:r>
      <w:r w:rsidR="08126A94" w:rsidRPr="003D1E07">
        <w:rPr>
          <w:i/>
        </w:rPr>
        <w:t>Tim</w:t>
      </w:r>
      <w:r w:rsidR="08126A94" w:rsidRPr="003D1E07">
        <w:t>. 48e–53c</w:t>
      </w:r>
      <w:r w:rsidR="08126A94" w:rsidRPr="003D1E07">
        <w:fldChar w:fldCharType="begin"/>
      </w:r>
      <w:r w:rsidR="08126A94" w:rsidRPr="003D1E07">
        <w:instrText xml:space="preserve"> XE "Platon:</w:instrText>
      </w:r>
      <w:r w:rsidR="08126A94" w:rsidRPr="003D1E07">
        <w:rPr>
          <w:i/>
        </w:rPr>
        <w:instrText>Tim</w:instrText>
      </w:r>
      <w:r w:rsidR="08126A94" w:rsidRPr="003D1E07">
        <w:instrText xml:space="preserve">. 48e–53c" </w:instrText>
      </w:r>
      <w:r w:rsidR="08126A94" w:rsidRPr="003D1E07">
        <w:fldChar w:fldCharType="end"/>
      </w:r>
      <w:r w:rsidR="08126A94" w:rsidRPr="003D1E07">
        <w:t>)</w:t>
      </w:r>
      <w:r w:rsidR="00CE7385" w:rsidRPr="003D1E07">
        <w:t xml:space="preserve">. </w:t>
      </w:r>
      <w:r w:rsidR="00BF6109" w:rsidRPr="003D1E07">
        <w:t>I</w:t>
      </w:r>
      <w:r w:rsidR="00CE7385" w:rsidRPr="003D1E07">
        <w:t xml:space="preserve">nteligibilní forma </w:t>
      </w:r>
      <w:r w:rsidR="00BF6109" w:rsidRPr="003D1E07">
        <w:t xml:space="preserve">je </w:t>
      </w:r>
      <w:r w:rsidR="00CE7385" w:rsidRPr="003D1E07">
        <w:t>pasivně vtisknutá do duše</w:t>
      </w:r>
      <w:r w:rsidR="08126A94" w:rsidRPr="003D1E07">
        <w:t xml:space="preserve"> na způsob pečetidla do vosku (</w:t>
      </w:r>
      <w:r w:rsidR="08126A94" w:rsidRPr="003D1E07">
        <w:rPr>
          <w:i/>
        </w:rPr>
        <w:t>Theait</w:t>
      </w:r>
      <w:r w:rsidR="08126A94" w:rsidRPr="003D1E07">
        <w:t>. 191d7‒9</w:t>
      </w:r>
      <w:r w:rsidR="08126A94" w:rsidRPr="003D1E07">
        <w:fldChar w:fldCharType="begin"/>
      </w:r>
      <w:r w:rsidR="08126A94" w:rsidRPr="003D1E07">
        <w:instrText xml:space="preserve"> XE "Platon:</w:instrText>
      </w:r>
      <w:r w:rsidR="08126A94" w:rsidRPr="003D1E07">
        <w:rPr>
          <w:i/>
        </w:rPr>
        <w:instrText>Theait</w:instrText>
      </w:r>
      <w:r w:rsidR="08126A94" w:rsidRPr="003D1E07">
        <w:instrText xml:space="preserve">. 191d7‒9" </w:instrText>
      </w:r>
      <w:r w:rsidR="08126A94" w:rsidRPr="003D1E07">
        <w:fldChar w:fldCharType="end"/>
      </w:r>
      <w:r w:rsidR="08126A94" w:rsidRPr="003D1E07">
        <w:t xml:space="preserve">). </w:t>
      </w:r>
      <w:r w:rsidR="00063D0D" w:rsidRPr="003D1E07">
        <w:t>Z hlediska hermeneutiky sleduje ontologická perspektiva (</w:t>
      </w:r>
      <w:r w:rsidR="00063D0D" w:rsidRPr="003D1E07">
        <w:rPr>
          <w:i/>
        </w:rPr>
        <w:t>Vor-blickbahn</w:t>
      </w:r>
      <w:r w:rsidR="00063D0D" w:rsidRPr="003D1E07">
        <w:t xml:space="preserve">) </w:t>
      </w:r>
      <w:r w:rsidR="00587AAC">
        <w:t xml:space="preserve">tohoto </w:t>
      </w:r>
      <w:r w:rsidR="00063D0D" w:rsidRPr="003D1E07">
        <w:t xml:space="preserve">porozumění nasvícení jsoucna zezadu, od hypostatizovaného aktivního intelektu. </w:t>
      </w:r>
      <w:r w:rsidR="08126A94" w:rsidRPr="003D1E07">
        <w:t xml:space="preserve">V tomto modelu je pasivní intelekt nutně substancí, nebo alespoň nějakou formou potenciální hypostáze třetího druhu. Aristoteles nahradil platonskou mytologii pro akademický lid přesným popisem poznání </w:t>
      </w:r>
      <w:r w:rsidR="001B4A84" w:rsidRPr="003D1E07">
        <w:t>podle m</w:t>
      </w:r>
      <w:r w:rsidR="089108A9" w:rsidRPr="003D1E07">
        <w:t xml:space="preserve">etafyzického </w:t>
      </w:r>
      <w:r w:rsidR="08126A94" w:rsidRPr="003D1E07">
        <w:t>dativu (τό τί ἦν εἶναι</w:t>
      </w:r>
      <w:r w:rsidR="08126A94" w:rsidRPr="003D1E07">
        <w:fldChar w:fldCharType="begin"/>
      </w:r>
      <w:r w:rsidR="08126A94" w:rsidRPr="003D1E07">
        <w:instrText xml:space="preserve"> XE "</w:instrText>
      </w:r>
      <w:r w:rsidR="08AD2D2B" w:rsidRPr="003D1E07">
        <w:instrText>substance:</w:instrText>
      </w:r>
      <w:r w:rsidR="08126A94" w:rsidRPr="003D1E07">
        <w:instrText xml:space="preserve">τό τί ἦν εἶναι" </w:instrText>
      </w:r>
      <w:r w:rsidR="08126A94" w:rsidRPr="003D1E07">
        <w:fldChar w:fldCharType="end"/>
      </w:r>
      <w:r w:rsidR="08126A94" w:rsidRPr="003D1E07">
        <w:t xml:space="preserve">, </w:t>
      </w:r>
      <w:r w:rsidR="08126A94" w:rsidRPr="003D1E07">
        <w:rPr>
          <w:i/>
        </w:rPr>
        <w:t>quidditas</w:t>
      </w:r>
      <w:r w:rsidR="08126A94" w:rsidRPr="003D1E07">
        <w:rPr>
          <w:i/>
        </w:rPr>
        <w:fldChar w:fldCharType="begin"/>
      </w:r>
      <w:r w:rsidR="08126A94" w:rsidRPr="003D1E07">
        <w:instrText xml:space="preserve"> XE "</w:instrText>
      </w:r>
      <w:r w:rsidR="08126A94" w:rsidRPr="003D1E07">
        <w:rPr>
          <w:i/>
        </w:rPr>
        <w:instrText>quidditas</w:instrText>
      </w:r>
      <w:r w:rsidR="08126A94" w:rsidRPr="003D1E07">
        <w:instrText xml:space="preserve">" </w:instrText>
      </w:r>
      <w:r w:rsidR="08126A94" w:rsidRPr="003D1E07">
        <w:rPr>
          <w:i/>
        </w:rPr>
        <w:fldChar w:fldCharType="end"/>
      </w:r>
      <w:r w:rsidR="08126A94" w:rsidRPr="003D1E07">
        <w:t xml:space="preserve">, kap. 1.1). Poznání zajišťuje </w:t>
      </w:r>
      <w:r w:rsidR="00617025" w:rsidRPr="003D1E07">
        <w:t xml:space="preserve">univerzální přítomnost </w:t>
      </w:r>
      <w:r w:rsidR="08126A94" w:rsidRPr="003D1E07">
        <w:t>aktuální první substance</w:t>
      </w:r>
      <w:r w:rsidR="000B2F5E" w:rsidRPr="003D1E07">
        <w:t xml:space="preserve">. </w:t>
      </w:r>
      <w:r w:rsidR="00030F36" w:rsidRPr="003D1E07">
        <w:t xml:space="preserve">Její jedinečná existence </w:t>
      </w:r>
      <w:r w:rsidR="000B2F5E" w:rsidRPr="003D1E07">
        <w:t xml:space="preserve">přešla do minulosti a je přítomná skrze </w:t>
      </w:r>
      <w:r w:rsidR="08126A94" w:rsidRPr="003D1E07">
        <w:t xml:space="preserve">parousii jejího významu daného </w:t>
      </w:r>
      <w:r w:rsidR="000B2F5E" w:rsidRPr="003D1E07">
        <w:t>n</w:t>
      </w:r>
      <w:r w:rsidR="08126A94" w:rsidRPr="003D1E07">
        <w:t>ejprve smyslově a pak intelektuálně. Averroes odmítá pasivní intelekt jakkoliv substancializovat, protože by osoba přestala existovat jako jedna nedělitelná</w:t>
      </w:r>
      <w:r w:rsidR="00C44EDE">
        <w:t>, první hyparchická</w:t>
      </w:r>
      <w:r w:rsidR="08126A94" w:rsidRPr="003D1E07">
        <w:t xml:space="preserve"> substance. Substancí je smyslově založené tělo a jeho oživující formu tvoří duše jako </w:t>
      </w:r>
      <w:r w:rsidR="00176296">
        <w:t>nejdůležitě</w:t>
      </w:r>
      <w:r w:rsidR="00CA1005">
        <w:t xml:space="preserve">jší aktualizace </w:t>
      </w:r>
      <w:r w:rsidR="08126A94" w:rsidRPr="003D1E07">
        <w:t>těla (</w:t>
      </w:r>
      <w:r w:rsidR="08126A94" w:rsidRPr="003D1E07">
        <w:rPr>
          <w:i/>
        </w:rPr>
        <w:t>quia est prima perfectio corporis naturalis organici</w:t>
      </w:r>
      <w:r w:rsidR="08126A94" w:rsidRPr="003D1E07">
        <w:t>, CMDA III.5; 396.282</w:t>
      </w:r>
      <w:r w:rsidR="08126A94" w:rsidRPr="003D1E07">
        <w:rPr>
          <w:rStyle w:val="TextpoznpodarouChar"/>
        </w:rPr>
        <w:t>–83</w:t>
      </w:r>
      <w:r w:rsidR="08126A94" w:rsidRPr="003D1E07">
        <w:rPr>
          <w:i/>
        </w:rPr>
        <w:fldChar w:fldCharType="begin"/>
      </w:r>
      <w:r w:rsidR="08126A94" w:rsidRPr="003D1E07">
        <w:instrText xml:space="preserve"> XE "Averroes:CMDA 396.282</w:instrText>
      </w:r>
      <w:r w:rsidR="08126A94" w:rsidRPr="003D1E07">
        <w:rPr>
          <w:rStyle w:val="TextpoznpodarouChar"/>
        </w:rPr>
        <w:instrText>–8</w:instrText>
      </w:r>
      <w:r w:rsidR="08126A94" w:rsidRPr="003D1E07">
        <w:instrText xml:space="preserve">3" </w:instrText>
      </w:r>
      <w:r w:rsidR="08126A94" w:rsidRPr="003D1E07">
        <w:rPr>
          <w:i/>
        </w:rPr>
        <w:fldChar w:fldCharType="end"/>
      </w:r>
      <w:r w:rsidR="08126A94" w:rsidRPr="003D1E07">
        <w:t>). Komentář bere základní předpoklad Themistia</w:t>
      </w:r>
      <w:r w:rsidR="08126A94" w:rsidRPr="003D1E07">
        <w:fldChar w:fldCharType="begin"/>
      </w:r>
      <w:r w:rsidR="08126A94" w:rsidRPr="003D1E07">
        <w:instrText xml:space="preserve"> XE "Themistius" </w:instrText>
      </w:r>
      <w:r w:rsidR="08126A94" w:rsidRPr="003D1E07">
        <w:fldChar w:fldCharType="end"/>
      </w:r>
      <w:r w:rsidR="08126A94" w:rsidRPr="003D1E07">
        <w:t>, že pasivní intelekt je nemateriální a má stejnou podstatu jako činný intelekt</w:t>
      </w:r>
      <w:bookmarkStart w:id="64" w:name="_Ref407890353"/>
      <w:r w:rsidR="08126A94" w:rsidRPr="003D1E07">
        <w:t xml:space="preserve"> (</w:t>
      </w:r>
      <w:r w:rsidR="08126A94" w:rsidRPr="003D1E07">
        <w:rPr>
          <w:rStyle w:val="TextpoznpodarouChar"/>
        </w:rPr>
        <w:t xml:space="preserve">δυνάμει νοῦς πάντα νοήσει, εἰ μὴ πρῶτος πάντα νοεῖ ὁ προάγων αὐτὸν εἰς ἐνέργειαν; </w:t>
      </w:r>
      <w:r w:rsidR="08126A94" w:rsidRPr="003D1E07">
        <w:rPr>
          <w:i/>
        </w:rPr>
        <w:t>In Aristotelis libros de anima paraphrasis</w:t>
      </w:r>
      <w:r w:rsidR="08702EC1" w:rsidRPr="003D1E07">
        <w:rPr>
          <w:rStyle w:val="TextpoznpodarouChar"/>
        </w:rPr>
        <w:t>, 103.30–31</w:t>
      </w:r>
      <w:r w:rsidR="08702EC1" w:rsidRPr="003D1E07">
        <w:rPr>
          <w:rStyle w:val="TextpoznpodarouChar"/>
        </w:rPr>
        <w:fldChar w:fldCharType="begin"/>
      </w:r>
      <w:r w:rsidR="08702EC1" w:rsidRPr="003D1E07">
        <w:instrText xml:space="preserve"> XE "Themistius</w:instrText>
      </w:r>
      <w:r w:rsidR="08702EC1" w:rsidRPr="003D1E07">
        <w:rPr>
          <w:i/>
        </w:rPr>
        <w:instrText>:In Aristotelis libros de anima paraphrasis</w:instrText>
      </w:r>
      <w:r w:rsidR="08702EC1" w:rsidRPr="003D1E07">
        <w:rPr>
          <w:rStyle w:val="TextpoznpodarouChar"/>
        </w:rPr>
        <w:instrText xml:space="preserve"> 103.30–31</w:instrText>
      </w:r>
      <w:r w:rsidR="08702EC1" w:rsidRPr="003D1E07">
        <w:instrText xml:space="preserve">" </w:instrText>
      </w:r>
      <w:r w:rsidR="08702EC1" w:rsidRPr="003D1E07">
        <w:rPr>
          <w:rStyle w:val="TextpoznpodarouChar"/>
        </w:rPr>
        <w:fldChar w:fldCharType="end"/>
      </w:r>
      <w:r w:rsidR="08126A94" w:rsidRPr="003D1E07">
        <w:rPr>
          <w:rStyle w:val="TextpoznpodarouChar"/>
        </w:rPr>
        <w:t xml:space="preserve">). Jenže Themistius tento nemateriální intelekt kompletně oddělil od nižší formy poznání dané v rámci </w:t>
      </w:r>
      <w:r w:rsidR="08126A94" w:rsidRPr="003D1E07">
        <w:rPr>
          <w:rStyle w:val="TextpoznpodarouChar"/>
          <w:i/>
        </w:rPr>
        <w:t>intellectus materialis</w:t>
      </w:r>
      <w:r w:rsidR="08126A94" w:rsidRPr="003D1E07">
        <w:rPr>
          <w:rStyle w:val="TextpoznpodarouChar"/>
        </w:rPr>
        <w:t xml:space="preserve">, který je determinován smyslově. Themistius spojil materiální intelekt s habituálně </w:t>
      </w:r>
      <w:r w:rsidR="08126A94" w:rsidRPr="003D1E07">
        <w:rPr>
          <w:rStyle w:val="TextpoznpodarouChar"/>
        </w:rPr>
        <w:lastRenderedPageBreak/>
        <w:t>vrozenými principy poznání do jednoho receptivního intelektu (</w:t>
      </w:r>
      <w:r w:rsidR="08126A94" w:rsidRPr="003D1E07">
        <w:rPr>
          <w:rStyle w:val="TextpoznpodarouChar"/>
          <w:i/>
        </w:rPr>
        <w:t>intellectus in habitu</w:t>
      </w:r>
      <w:r w:rsidR="08126A94" w:rsidRPr="003D1E07">
        <w:rPr>
          <w:rStyle w:val="TextpoznpodarouChar"/>
        </w:rPr>
        <w:t>), který vzal jako substanci.</w:t>
      </w:r>
      <w:r w:rsidR="08126A94" w:rsidRPr="003D1E07">
        <w:rPr>
          <w:rStyle w:val="Znakapoznpodarou"/>
        </w:rPr>
        <w:footnoteReference w:id="233"/>
      </w:r>
      <w:r w:rsidR="08126A94" w:rsidRPr="003D1E07">
        <w:rPr>
          <w:rStyle w:val="TextpoznpodarouChar"/>
        </w:rPr>
        <w:t xml:space="preserve"> Tento receptivní intelekt pak přijímá poznávací formy od kosmického </w:t>
      </w:r>
      <w:r w:rsidR="08126A94" w:rsidRPr="003D1E07">
        <w:rPr>
          <w:rStyle w:val="TextpoznpodarouChar"/>
          <w:i/>
        </w:rPr>
        <w:t>intellectus agens</w:t>
      </w:r>
      <w:r w:rsidR="08126A94" w:rsidRPr="003D1E07">
        <w:rPr>
          <w:rStyle w:val="TextpoznpodarouChar"/>
        </w:rPr>
        <w:t xml:space="preserve">. Poznání habituálního intelektu je v naší moci, ale je hypostázováno a tento substanční intelekt je </w:t>
      </w:r>
      <w:r w:rsidR="000D014A" w:rsidRPr="003D1E07">
        <w:rPr>
          <w:rStyle w:val="TextpoznpodarouChar"/>
        </w:rPr>
        <w:t xml:space="preserve">až sekundárně </w:t>
      </w:r>
      <w:r w:rsidR="08126A94" w:rsidRPr="003D1E07">
        <w:rPr>
          <w:rStyle w:val="TextpoznpodarouChar"/>
        </w:rPr>
        <w:t xml:space="preserve">napojený na smyslové poznání. Toto pojetí intelektu převzal zakladatel latinské moderny Rufus </w:t>
      </w:r>
      <w:r w:rsidR="00EB0C6A" w:rsidRPr="003D1E07">
        <w:rPr>
          <w:rStyle w:val="TextpoznpodarouChar"/>
        </w:rPr>
        <w:t>z Corn</w:t>
      </w:r>
      <w:r w:rsidR="004A4E8D" w:rsidRPr="003D1E07">
        <w:rPr>
          <w:rStyle w:val="TextpoznpodarouChar"/>
        </w:rPr>
        <w:t>wall</w:t>
      </w:r>
      <w:r w:rsidR="00EB0C6A" w:rsidRPr="003D1E07">
        <w:rPr>
          <w:rStyle w:val="TextpoznpodarouChar"/>
        </w:rPr>
        <w:t xml:space="preserve">u </w:t>
      </w:r>
      <w:r w:rsidR="08126A94" w:rsidRPr="003D1E07">
        <w:rPr>
          <w:rStyle w:val="TextpoznpodarouChar"/>
        </w:rPr>
        <w:t>skrze Avicennu (</w:t>
      </w:r>
      <w:r w:rsidR="08ED12B2" w:rsidRPr="003D1E07">
        <w:rPr>
          <w:rStyle w:val="TextpoznpodarouChar"/>
        </w:rPr>
        <w:t>OBJ II, kap. 3</w:t>
      </w:r>
      <w:r w:rsidR="08126A94" w:rsidRPr="003D1E07">
        <w:rPr>
          <w:rStyle w:val="TextpoznpodarouChar"/>
        </w:rPr>
        <w:t xml:space="preserve">.3.3). </w:t>
      </w:r>
      <w:r w:rsidR="00AC6E39" w:rsidRPr="003D1E07">
        <w:rPr>
          <w:rStyle w:val="TextpoznpodarouChar"/>
        </w:rPr>
        <w:t xml:space="preserve">Moderní </w:t>
      </w:r>
      <w:r w:rsidR="08126A94" w:rsidRPr="003D1E07">
        <w:rPr>
          <w:rStyle w:val="TextpoznpodarouChar"/>
          <w:i/>
        </w:rPr>
        <w:t>intellectus possibilis</w:t>
      </w:r>
      <w:r w:rsidR="08126A94" w:rsidRPr="003D1E07">
        <w:rPr>
          <w:rStyle w:val="TextpoznpodarouChar"/>
        </w:rPr>
        <w:t xml:space="preserve"> funguje jako další hypostázovaná substance v člověku a naše poznání je </w:t>
      </w:r>
      <w:r w:rsidR="00382565" w:rsidRPr="003D1E07">
        <w:rPr>
          <w:rStyle w:val="TextpoznpodarouChar"/>
        </w:rPr>
        <w:t xml:space="preserve">aktualizováno </w:t>
      </w:r>
      <w:r w:rsidR="08126A94" w:rsidRPr="003D1E07">
        <w:rPr>
          <w:rStyle w:val="TextpoznpodarouChar"/>
        </w:rPr>
        <w:t xml:space="preserve">od vnějšího kosmického intelektu. Nasvícení poznání jde zezadu v podobě „slunce – paprsek – oko“ dané od činného intelektu-slunce </w:t>
      </w:r>
      <w:r w:rsidR="08126A94" w:rsidRPr="003D1E07">
        <w:t>(πρώτως ἐλλάμπων εἷς, ibid, 103.32</w:t>
      </w:r>
      <w:r w:rsidR="08126A94" w:rsidRPr="003D1E07">
        <w:fldChar w:fldCharType="begin"/>
      </w:r>
      <w:r w:rsidR="08126A94" w:rsidRPr="003D1E07">
        <w:instrText xml:space="preserve"> XE "Themistius:</w:instrText>
      </w:r>
      <w:r w:rsidR="08126A94" w:rsidRPr="003D1E07">
        <w:rPr>
          <w:i/>
        </w:rPr>
        <w:instrText>In Aristotelis libros de anima paraphrasis</w:instrText>
      </w:r>
      <w:r w:rsidR="08126A94" w:rsidRPr="003D1E07">
        <w:instrText xml:space="preserve"> 103.32" </w:instrText>
      </w:r>
      <w:r w:rsidR="08126A94" w:rsidRPr="003D1E07">
        <w:fldChar w:fldCharType="end"/>
      </w:r>
      <w:r w:rsidR="08126A94" w:rsidRPr="003D1E07">
        <w:t>). Mediace poznání přes diafanum chybí úplně, protože habituální intelekt Themistia nepotřebuje smyslové poznání. Platonský model mytopoeticky tvrdí, že pravdivé poznání běží v modu iluminace</w:t>
      </w:r>
      <w:r w:rsidR="08126A94" w:rsidRPr="003D1E07">
        <w:fldChar w:fldCharType="begin"/>
      </w:r>
      <w:r w:rsidR="08126A94" w:rsidRPr="003D1E07">
        <w:instrText xml:space="preserve"> XE "iluminace" </w:instrText>
      </w:r>
      <w:r w:rsidR="08126A94" w:rsidRPr="003D1E07">
        <w:fldChar w:fldCharType="end"/>
      </w:r>
      <w:r w:rsidR="08126A94" w:rsidRPr="003D1E07">
        <w:t xml:space="preserve"> od intelektu-slunce. Možný intelekt je nasvícený zezadu a přímo, tedy od aktuálního a odděleného kosmického intelektu, protože s ním sdílí stejnou nemateriální </w:t>
      </w:r>
      <w:r w:rsidR="00603398" w:rsidRPr="003D1E07">
        <w:t xml:space="preserve">a hypostázovanou </w:t>
      </w:r>
      <w:r w:rsidR="08126A94" w:rsidRPr="003D1E07">
        <w:t>přirozenost. Themistiův nemateriální receptivní intelekt daný habituálně není čistá potence, jako to má Alexander.</w:t>
      </w:r>
      <w:bookmarkEnd w:id="64"/>
    </w:p>
    <w:p w14:paraId="77530670" w14:textId="6B65124B" w:rsidR="001D316B" w:rsidRDefault="08126A94" w:rsidP="002979C8">
      <w:pPr>
        <w:ind w:firstLine="397"/>
      </w:pPr>
      <w:r w:rsidRPr="003D1E07">
        <w:t xml:space="preserve">Ibn Rušd se vymezuje vůči neoplatonskému Themistiovi a modernímu Avicennovi tím, že nově utvořený receptivní intelekt nemá externí </w:t>
      </w:r>
      <w:r w:rsidR="00241E2E" w:rsidRPr="003D1E07">
        <w:t xml:space="preserve">a hypostatický </w:t>
      </w:r>
      <w:r w:rsidRPr="003D1E07">
        <w:t>charakter a tvoří integrální součást lidské duše</w:t>
      </w:r>
      <w:r w:rsidR="00241E2E" w:rsidRPr="003D1E07">
        <w:t xml:space="preserve"> jako </w:t>
      </w:r>
      <w:r w:rsidRPr="003D1E07">
        <w:t xml:space="preserve">formy </w:t>
      </w:r>
      <w:r w:rsidR="00241E2E" w:rsidRPr="003D1E07">
        <w:t>těla</w:t>
      </w:r>
      <w:r w:rsidRPr="003D1E07">
        <w:t xml:space="preserve">. Ale </w:t>
      </w:r>
      <w:r w:rsidRPr="003D1E07">
        <w:rPr>
          <w:i/>
        </w:rPr>
        <w:t>intellectus possibilis</w:t>
      </w:r>
      <w:r w:rsidRPr="003D1E07">
        <w:t xml:space="preserve"> nemůže být habituální substance jako u Themistia, protože receptivita duše je čistá potence jako to má spis </w:t>
      </w:r>
      <w:r w:rsidRPr="003D1E07">
        <w:rPr>
          <w:i/>
        </w:rPr>
        <w:t>De anima</w:t>
      </w:r>
      <w:r w:rsidRPr="003D1E07">
        <w:t xml:space="preserve"> a Alexander. Opět platí </w:t>
      </w:r>
      <w:r w:rsidR="089108A9" w:rsidRPr="003D1E07">
        <w:t xml:space="preserve">metafyzický </w:t>
      </w:r>
      <w:r w:rsidRPr="003D1E07">
        <w:t>dativ</w:t>
      </w:r>
      <w:r w:rsidRPr="003D1E07">
        <w:fldChar w:fldCharType="begin"/>
      </w:r>
      <w:r w:rsidRPr="003D1E07">
        <w:instrText xml:space="preserve"> XE "</w:instrText>
      </w:r>
      <w:r w:rsidR="089108A9" w:rsidRPr="003D1E07">
        <w:rPr>
          <w:i/>
        </w:rPr>
        <w:instrText>dativus metaphysi</w:instrText>
      </w:r>
      <w:r w:rsidRPr="003D1E07">
        <w:rPr>
          <w:i/>
        </w:rPr>
        <w:instrText>cus</w:instrText>
      </w:r>
      <w:r w:rsidRPr="003D1E07">
        <w:instrText xml:space="preserve">" </w:instrText>
      </w:r>
      <w:r w:rsidRPr="003D1E07">
        <w:fldChar w:fldCharType="end"/>
      </w:r>
      <w:r w:rsidRPr="003D1E07">
        <w:t xml:space="preserve"> vymezující základní působení reálné kauzality pro poznání. Receptivní nemateriální intelekt (</w:t>
      </w:r>
      <w:r w:rsidRPr="003D1E07">
        <w:rPr>
          <w:i/>
        </w:rPr>
        <w:t>intellectus possibilis</w:t>
      </w:r>
      <w:r w:rsidRPr="003D1E07">
        <w:rPr>
          <w:i/>
        </w:rPr>
        <w:fldChar w:fldCharType="begin"/>
      </w:r>
      <w:r w:rsidRPr="003D1E07">
        <w:instrText xml:space="preserve"> XE "</w:instrText>
      </w:r>
      <w:r w:rsidRPr="003D1E07">
        <w:rPr>
          <w:i/>
        </w:rPr>
        <w:instrText>intellectus possibilis:</w:instrText>
      </w:r>
      <w:r w:rsidRPr="003D1E07">
        <w:instrText xml:space="preserve">Averroes" </w:instrText>
      </w:r>
      <w:r w:rsidRPr="003D1E07">
        <w:rPr>
          <w:i/>
        </w:rPr>
        <w:fldChar w:fldCharType="end"/>
      </w:r>
      <w:r w:rsidRPr="003D1E07">
        <w:t>) je v nás dán jako schopnost či potence intelektuální části duše</w:t>
      </w:r>
      <w:r w:rsidR="003678E9" w:rsidRPr="003D1E07">
        <w:t>. D</w:t>
      </w:r>
      <w:r w:rsidRPr="003D1E07">
        <w:t>íky této nemateriální schopnosti poznává</w:t>
      </w:r>
      <w:r w:rsidR="003678E9" w:rsidRPr="003D1E07">
        <w:t>me</w:t>
      </w:r>
      <w:r w:rsidRPr="003D1E07">
        <w:t xml:space="preserve"> věci</w:t>
      </w:r>
      <w:r w:rsidR="003678E9" w:rsidRPr="003D1E07">
        <w:t>, které už byly poznány smyslově</w:t>
      </w:r>
      <w:r w:rsidRPr="003D1E07">
        <w:t>. To</w:t>
      </w:r>
      <w:r w:rsidR="003E24E0" w:rsidRPr="003D1E07">
        <w:t xml:space="preserve">to </w:t>
      </w:r>
      <w:r w:rsidR="00EE71AE" w:rsidRPr="003D1E07">
        <w:t xml:space="preserve">zásadní </w:t>
      </w:r>
      <w:r w:rsidR="003E24E0" w:rsidRPr="003D1E07">
        <w:t xml:space="preserve">pořadí </w:t>
      </w:r>
      <w:r w:rsidR="00EE71AE" w:rsidRPr="003D1E07">
        <w:t xml:space="preserve">aktualizace našeho </w:t>
      </w:r>
      <w:r w:rsidR="003E24E0" w:rsidRPr="003D1E07">
        <w:t>poznání</w:t>
      </w:r>
      <w:r w:rsidRPr="003D1E07">
        <w:t xml:space="preserve"> neměl ani Alexander ani Themistius. </w:t>
      </w:r>
      <w:r w:rsidR="00D22D6C" w:rsidRPr="003D1E07">
        <w:t xml:space="preserve">Nový </w:t>
      </w:r>
      <w:r w:rsidRPr="003D1E07">
        <w:t xml:space="preserve">typ receptivního intelektu hraje roli nemateriální </w:t>
      </w:r>
      <w:r w:rsidRPr="003D1E07">
        <w:rPr>
          <w:i/>
        </w:rPr>
        <w:t>tabula rasa</w:t>
      </w:r>
      <w:r w:rsidRPr="003D1E07">
        <w:rPr>
          <w:i/>
        </w:rPr>
        <w:fldChar w:fldCharType="begin"/>
      </w:r>
      <w:r w:rsidRPr="003D1E07">
        <w:instrText xml:space="preserve"> XE "</w:instrText>
      </w:r>
      <w:r w:rsidRPr="003D1E07">
        <w:rPr>
          <w:i/>
        </w:rPr>
        <w:instrText>tabula rasa</w:instrText>
      </w:r>
      <w:r w:rsidRPr="003D1E07">
        <w:instrText xml:space="preserve">" </w:instrText>
      </w:r>
      <w:r w:rsidRPr="003D1E07">
        <w:rPr>
          <w:i/>
        </w:rPr>
        <w:fldChar w:fldCharType="end"/>
      </w:r>
      <w:r w:rsidRPr="003D1E07">
        <w:t xml:space="preserve"> vůči materiálním smyslům, které jej aktivují </w:t>
      </w:r>
      <w:r w:rsidR="00F87A84" w:rsidRPr="003D1E07">
        <w:t xml:space="preserve">skrze </w:t>
      </w:r>
      <w:r w:rsidRPr="003D1E07">
        <w:t xml:space="preserve">proces abstrakce. Možný intelekt představuje čistou potenci vůči aktivnímu intelektu jako další schopnosti duše. Proto zůstal </w:t>
      </w:r>
      <w:r w:rsidRPr="003D1E07">
        <w:rPr>
          <w:i/>
        </w:rPr>
        <w:t>intellectus agens</w:t>
      </w:r>
      <w:r w:rsidRPr="003D1E07">
        <w:t xml:space="preserve"> jako další složka duše pouze v člověku a nemůže být oddělenou hypostází nebo substancí</w:t>
      </w:r>
      <w:r w:rsidR="00382009" w:rsidRPr="003D1E07">
        <w:t xml:space="preserve">. Komentátor zásadně odmítl </w:t>
      </w:r>
      <w:r w:rsidRPr="003D1E07">
        <w:t>poznání v neoplatonském iluminačním modelu intelektu-slunce</w:t>
      </w:r>
      <w:r w:rsidRPr="003D1E07">
        <w:fldChar w:fldCharType="begin"/>
      </w:r>
      <w:r w:rsidRPr="003D1E07">
        <w:instrText xml:space="preserve"> XE "intelekt-slunce" </w:instrText>
      </w:r>
      <w:r w:rsidRPr="003D1E07">
        <w:fldChar w:fldCharType="end"/>
      </w:r>
      <w:r w:rsidRPr="003D1E07">
        <w:t xml:space="preserve">. </w:t>
      </w:r>
      <w:r w:rsidR="00BC1B15" w:rsidRPr="003D1E07">
        <w:t>D</w:t>
      </w:r>
      <w:r w:rsidRPr="003D1E07">
        <w:t xml:space="preserve">vojí schopnost </w:t>
      </w:r>
      <w:r w:rsidR="0084174F" w:rsidRPr="003D1E07">
        <w:t xml:space="preserve">lidské </w:t>
      </w:r>
      <w:r w:rsidRPr="003D1E07">
        <w:t xml:space="preserve">duše </w:t>
      </w:r>
      <w:r w:rsidR="00BC1B15" w:rsidRPr="003D1E07">
        <w:t>s</w:t>
      </w:r>
      <w:r w:rsidRPr="003D1E07">
        <w:t>plňuje základní tezi Aristotela o pa</w:t>
      </w:r>
      <w:r w:rsidR="0084174F" w:rsidRPr="003D1E07">
        <w:t xml:space="preserve">sivní a </w:t>
      </w:r>
      <w:r w:rsidR="0084174F" w:rsidRPr="003D1E07">
        <w:lastRenderedPageBreak/>
        <w:t>aktivní složce poznání</w:t>
      </w:r>
      <w:r w:rsidRPr="003D1E07">
        <w:t xml:space="preserve">. Averroes bere definici odděleného pasivního a nemateriálního intelektu neoplatoniků a zejména Alexandra, protože díky nemateriální pasivitě je </w:t>
      </w:r>
      <w:r w:rsidR="007B3330" w:rsidRPr="003D1E07">
        <w:t xml:space="preserve">receptivní </w:t>
      </w:r>
      <w:r w:rsidRPr="003D1E07">
        <w:t xml:space="preserve">intelekt schopen přijímat všechny abstrahované obsahy. Jenže i aristotelikové typu Alexandra udělali z pasivního intelektu samostatnou substanci mimo individuální duši a tím ho oddělili od smyslového poznání. Takový intelekt přestal být čistě pasivní a stal se moderní substancí. </w:t>
      </w:r>
      <w:r w:rsidR="00C06179" w:rsidRPr="003D1E07">
        <w:t xml:space="preserve">Tento </w:t>
      </w:r>
      <w:r w:rsidRPr="003D1E07">
        <w:t xml:space="preserve">cizorodý intelekt </w:t>
      </w:r>
      <w:r w:rsidR="00C06179" w:rsidRPr="003D1E07">
        <w:t xml:space="preserve">je </w:t>
      </w:r>
      <w:r w:rsidRPr="003D1E07">
        <w:t xml:space="preserve">přidaný zvnějšku jako samostatná substance či hypostáze. Totéž platí i o činném intelektu, který tvoří u neoplatoniků a Avicenny kosmickou substanci-formu nebo </w:t>
      </w:r>
      <w:r w:rsidR="00F214C5" w:rsidRPr="003D1E07">
        <w:t>species</w:t>
      </w:r>
      <w:r w:rsidRPr="003D1E07">
        <w:t>. V Alexandrově pojetí je receptivní nemateriální intelekt (</w:t>
      </w:r>
      <w:r w:rsidRPr="003D1E07">
        <w:rPr>
          <w:i/>
        </w:rPr>
        <w:t>intellectus possibilis</w:t>
      </w:r>
      <w:r w:rsidRPr="003D1E07">
        <w:t>) oddělen od smyslov</w:t>
      </w:r>
      <w:r w:rsidR="00E942AA" w:rsidRPr="003D1E07">
        <w:t xml:space="preserve">ého </w:t>
      </w:r>
      <w:r w:rsidRPr="003D1E07">
        <w:t>pozn</w:t>
      </w:r>
      <w:r w:rsidR="00E942AA" w:rsidRPr="003D1E07">
        <w:t>ání</w:t>
      </w:r>
      <w:r w:rsidRPr="003D1E07">
        <w:t>, což po</w:t>
      </w:r>
      <w:r w:rsidR="001D316B">
        <w:t>zději mají všichni karteziánci.</w:t>
      </w:r>
    </w:p>
    <w:p w14:paraId="4F15F934" w14:textId="77777777" w:rsidR="00BB7C5C" w:rsidRDefault="08126A94" w:rsidP="002979C8">
      <w:pPr>
        <w:ind w:firstLine="397"/>
      </w:pPr>
      <w:r w:rsidRPr="003D1E07">
        <w:t>Averroes brání aristotelskou jednotu osoby jako aktuální první substance proti modernistům typu Avicenny. Proto kritizuje koncept Themistia</w:t>
      </w:r>
      <w:r w:rsidRPr="003D1E07">
        <w:fldChar w:fldCharType="begin"/>
      </w:r>
      <w:r w:rsidRPr="003D1E07">
        <w:instrText xml:space="preserve"> XE "Themistius" </w:instrText>
      </w:r>
      <w:r w:rsidRPr="003D1E07">
        <w:fldChar w:fldCharType="end"/>
      </w:r>
      <w:r w:rsidRPr="003D1E07">
        <w:t xml:space="preserve">, který správně popsal receptivní intelekt z hlediska smyslové potence, ale pak jej oddělil </w:t>
      </w:r>
      <w:r w:rsidR="00846F8A" w:rsidRPr="003D1E07">
        <w:t>jako kosmickou hypostázi</w:t>
      </w:r>
      <w:r w:rsidRPr="003D1E07">
        <w:t>.</w:t>
      </w:r>
      <w:r w:rsidRPr="003D1E07">
        <w:rPr>
          <w:rStyle w:val="Znakapoznpodarou"/>
        </w:rPr>
        <w:footnoteReference w:id="234"/>
      </w:r>
      <w:r w:rsidRPr="003D1E07">
        <w:t xml:space="preserve"> Nejasné spojení materiální a nemateriální receptivity </w:t>
      </w:r>
      <w:r w:rsidR="00846F8A" w:rsidRPr="003D1E07">
        <w:t xml:space="preserve">(τὸ πάσχοι) </w:t>
      </w:r>
      <w:r w:rsidRPr="003D1E07">
        <w:t xml:space="preserve">v definici Themistiova materiálního intelektu určuje následný spor jak mezi Averroesem a Avicennou, tak mezi prvním a druhým averroismem na latinském Západě. </w:t>
      </w:r>
      <w:r w:rsidR="006E232E" w:rsidRPr="003D1E07">
        <w:t>M</w:t>
      </w:r>
      <w:r w:rsidR="089108A9" w:rsidRPr="003D1E07">
        <w:t xml:space="preserve">etafyzický </w:t>
      </w:r>
      <w:r w:rsidRPr="003D1E07">
        <w:t xml:space="preserve">dativ určuje poznání od smyslů, viz postup aristotelské signifikace v </w:t>
      </w:r>
      <w:r w:rsidRPr="003D1E07">
        <w:rPr>
          <w:i/>
        </w:rPr>
        <w:t>De interpretatione</w:t>
      </w:r>
      <w:r w:rsidRPr="003D1E07">
        <w:t xml:space="preserve"> (</w:t>
      </w:r>
      <w:r w:rsidRPr="003D1E07">
        <w:rPr>
          <w:rStyle w:val="TextpoznpodarouChar"/>
        </w:rPr>
        <w:t>παθήματα τῆς ψυχῆ</w:t>
      </w:r>
      <w:r w:rsidR="08ED12B2" w:rsidRPr="003D1E07">
        <w:rPr>
          <w:rStyle w:val="TextpoznpodarouChar"/>
        </w:rPr>
        <w:t>ς; OBJ II, kap. 1</w:t>
      </w:r>
      <w:r w:rsidRPr="003D1E07">
        <w:rPr>
          <w:rStyle w:val="TextpoznpodarouChar"/>
        </w:rPr>
        <w:t>.1</w:t>
      </w:r>
      <w:r w:rsidRPr="003D1E07">
        <w:t xml:space="preserve">). Ale vznik nemateriálního poznání není </w:t>
      </w:r>
      <w:r w:rsidR="0093041D" w:rsidRPr="003D1E07">
        <w:t xml:space="preserve">v Korpusu </w:t>
      </w:r>
      <w:r w:rsidRPr="003D1E07">
        <w:t>dotažený</w:t>
      </w:r>
      <w:r w:rsidR="0093041D" w:rsidRPr="003D1E07">
        <w:t xml:space="preserve"> do konce</w:t>
      </w:r>
      <w:r w:rsidRPr="003D1E07">
        <w:t xml:space="preserve">, protože </w:t>
      </w:r>
      <w:r w:rsidR="0093041D" w:rsidRPr="003D1E07">
        <w:t>Aristotel</w:t>
      </w:r>
      <w:r w:rsidR="00A707A5" w:rsidRPr="003D1E07">
        <w:t>e</w:t>
      </w:r>
      <w:r w:rsidR="0093041D" w:rsidRPr="003D1E07">
        <w:t xml:space="preserve">s </w:t>
      </w:r>
      <w:r w:rsidRPr="003D1E07">
        <w:t>ne</w:t>
      </w:r>
      <w:r w:rsidR="00A707A5" w:rsidRPr="003D1E07">
        <w:t xml:space="preserve">specifikuje </w:t>
      </w:r>
      <w:r w:rsidRPr="003D1E07">
        <w:t xml:space="preserve">postup poznání od smyslové části duše k inteligibilní. Citujme klíčovou část Themistiova </w:t>
      </w:r>
      <w:r w:rsidRPr="003D1E07">
        <w:rPr>
          <w:i/>
        </w:rPr>
        <w:t>De intellectu</w:t>
      </w:r>
      <w:r w:rsidR="004D6A06">
        <w:t>.</w:t>
      </w:r>
      <w:r w:rsidR="004D6A06" w:rsidRPr="003D1E07">
        <w:rPr>
          <w:rStyle w:val="Znakapoznpodarou"/>
        </w:rPr>
        <w:footnoteReference w:id="235"/>
      </w:r>
      <w:r w:rsidRPr="003D1E07">
        <w:t xml:space="preserve"> </w:t>
      </w:r>
      <w:r w:rsidR="004D6A06">
        <w:t xml:space="preserve">Pasáž zjevuje </w:t>
      </w:r>
      <w:r w:rsidR="00220EE7" w:rsidRPr="003D1E07">
        <w:rPr>
          <w:i/>
        </w:rPr>
        <w:t>a</w:t>
      </w:r>
      <w:r w:rsidRPr="003D1E07">
        <w:rPr>
          <w:i/>
        </w:rPr>
        <w:t>léth</w:t>
      </w:r>
      <w:r w:rsidR="00220EE7" w:rsidRPr="003D1E07">
        <w:rPr>
          <w:i/>
        </w:rPr>
        <w:t>e</w:t>
      </w:r>
      <w:r w:rsidRPr="003D1E07">
        <w:rPr>
          <w:i/>
        </w:rPr>
        <w:t>ia</w:t>
      </w:r>
      <w:r w:rsidRPr="003D1E07">
        <w:rPr>
          <w:i/>
        </w:rPr>
        <w:fldChar w:fldCharType="begin"/>
      </w:r>
      <w:r w:rsidRPr="003D1E07">
        <w:rPr>
          <w:i/>
        </w:rPr>
        <w:instrText xml:space="preserve"> XE "</w:instrText>
      </w:r>
      <w:r w:rsidRPr="003D1E07">
        <w:instrText>objektivita</w:instrText>
      </w:r>
      <w:r w:rsidRPr="003D1E07">
        <w:rPr>
          <w:i/>
        </w:rPr>
        <w:instrText>:</w:instrText>
      </w:r>
      <w:r w:rsidR="00220EE7" w:rsidRPr="003D1E07">
        <w:rPr>
          <w:i/>
        </w:rPr>
        <w:instrText>a</w:instrText>
      </w:r>
      <w:r w:rsidRPr="003D1E07">
        <w:rPr>
          <w:i/>
        </w:rPr>
        <w:instrText xml:space="preserve">létheia" </w:instrText>
      </w:r>
      <w:r w:rsidRPr="003D1E07">
        <w:rPr>
          <w:i/>
        </w:rPr>
        <w:fldChar w:fldCharType="end"/>
      </w:r>
      <w:r w:rsidRPr="003D1E07">
        <w:t xml:space="preserve"> </w:t>
      </w:r>
      <w:r w:rsidR="004D6A06">
        <w:t xml:space="preserve">všech </w:t>
      </w:r>
      <w:r w:rsidRPr="003D1E07">
        <w:t>následující</w:t>
      </w:r>
      <w:r w:rsidR="004D6A06">
        <w:t>ch kol</w:t>
      </w:r>
      <w:r w:rsidRPr="003D1E07">
        <w:t xml:space="preserve"> filosofické gigantomachie o intelekt</w:t>
      </w:r>
      <w:r w:rsidRPr="003D1E07">
        <w:fldChar w:fldCharType="begin"/>
      </w:r>
      <w:r w:rsidRPr="003D1E07">
        <w:instrText xml:space="preserve"> XE "intelekt:gigantomachie" </w:instrText>
      </w:r>
      <w:r w:rsidRPr="003D1E07">
        <w:fldChar w:fldCharType="end"/>
      </w:r>
      <w:r w:rsidRPr="003D1E07">
        <w:t xml:space="preserve">. Nejdůležitější tvrzení ohledně </w:t>
      </w:r>
      <w:r w:rsidRPr="003D1E07">
        <w:rPr>
          <w:i/>
        </w:rPr>
        <w:t xml:space="preserve">intellectus materialis </w:t>
      </w:r>
      <w:r w:rsidRPr="003D1E07">
        <w:t xml:space="preserve">převzatá v nové formě do CMDA jsou dána v řeckém originále. Komentátor bere základní dvě </w:t>
      </w:r>
      <w:r w:rsidR="00176296">
        <w:t xml:space="preserve">koncepce pro </w:t>
      </w:r>
      <w:r w:rsidRPr="003D1E07">
        <w:rPr>
          <w:i/>
        </w:rPr>
        <w:t>intellectus materialis</w:t>
      </w:r>
      <w:r w:rsidRPr="003D1E07">
        <w:t xml:space="preserve"> podle Themistia. Poznání je v naší moci proto, že </w:t>
      </w:r>
      <w:r w:rsidRPr="003D1E07">
        <w:lastRenderedPageBreak/>
        <w:t>receptivní intelekt tvoří součást naší duše a je aktivován od smyslové zkušenosti</w:t>
      </w:r>
      <w:r w:rsidR="00A310CC" w:rsidRPr="003D1E07">
        <w:t xml:space="preserve">. Ta </w:t>
      </w:r>
      <w:r w:rsidRPr="003D1E07">
        <w:t>je jako jediná v poznání dána aktuálně</w:t>
      </w:r>
      <w:r w:rsidR="00A310CC" w:rsidRPr="003D1E07">
        <w:t>, protože je přímo napojena na tělesně dané smysly</w:t>
      </w:r>
      <w:r w:rsidRPr="003D1E07">
        <w:t xml:space="preserve">. Ale Themistiův nemateriální receptivní intelekt daný habituálně je bohužel kosmická substance, která determinuje lidské poznání nasvícením zezadu, od světa autonomních forem. Aktivní kosmický intelekt vtiskuje </w:t>
      </w:r>
      <w:r w:rsidR="008A72F2" w:rsidRPr="003D1E07">
        <w:t xml:space="preserve">inteligibilní formy </w:t>
      </w:r>
      <w:r w:rsidRPr="003D1E07">
        <w:t xml:space="preserve">do </w:t>
      </w:r>
      <w:r w:rsidR="008A72F2" w:rsidRPr="003D1E07">
        <w:t xml:space="preserve">pasivního </w:t>
      </w:r>
      <w:r w:rsidRPr="003D1E07">
        <w:rPr>
          <w:i/>
        </w:rPr>
        <w:t>intellectus possibilis</w:t>
      </w:r>
      <w:r w:rsidRPr="003D1E07">
        <w:t xml:space="preserve"> stejně autonomně jako řemeslník vtiskuje formu do pasivního m</w:t>
      </w:r>
      <w:r w:rsidR="007C4033" w:rsidRPr="003D1E07">
        <w:t>ateriálu. To je model poznání podle platonské predikace</w:t>
      </w:r>
      <w:r w:rsidRPr="003D1E07">
        <w:t xml:space="preserve"> </w:t>
      </w:r>
      <w:r w:rsidRPr="003D1E07">
        <w:rPr>
          <w:i/>
        </w:rPr>
        <w:t>in artificialibus</w:t>
      </w:r>
      <w:r w:rsidRPr="003D1E07">
        <w:fldChar w:fldCharType="begin"/>
      </w:r>
      <w:r w:rsidRPr="003D1E07">
        <w:instrText xml:space="preserve"> XE "predikace:</w:instrText>
      </w:r>
      <w:r w:rsidRPr="003D1E07">
        <w:rPr>
          <w:i/>
        </w:rPr>
        <w:instrText>in artificialibus</w:instrText>
      </w:r>
      <w:r w:rsidRPr="003D1E07">
        <w:instrText xml:space="preserve">" </w:instrText>
      </w:r>
      <w:r w:rsidRPr="003D1E07">
        <w:fldChar w:fldCharType="end"/>
      </w:r>
      <w:r w:rsidRPr="003D1E07">
        <w:t xml:space="preserve">. Alexandrův </w:t>
      </w:r>
      <w:r w:rsidRPr="003D1E07">
        <w:rPr>
          <w:i/>
        </w:rPr>
        <w:t>intellectus possibilis</w:t>
      </w:r>
      <w:r w:rsidRPr="003D1E07">
        <w:t xml:space="preserve"> je </w:t>
      </w:r>
      <w:r w:rsidR="00ED2213">
        <w:t xml:space="preserve">také </w:t>
      </w:r>
      <w:r w:rsidRPr="003D1E07">
        <w:t xml:space="preserve">nemateriální </w:t>
      </w:r>
      <w:r w:rsidR="00083A47" w:rsidRPr="003D1E07">
        <w:t xml:space="preserve">a oddělená </w:t>
      </w:r>
      <w:r w:rsidRPr="003D1E07">
        <w:t xml:space="preserve">substance, což odporuje aristotelské linii CMDA. Ale proti Themistiovi má Alexandrovo pojetí </w:t>
      </w:r>
      <w:r w:rsidRPr="003D1E07">
        <w:rPr>
          <w:i/>
        </w:rPr>
        <w:t>intellectus possibilis</w:t>
      </w:r>
      <w:r w:rsidRPr="003D1E07">
        <w:t xml:space="preserve"> tu zásadní přednost, že jeho receptivní intelekt je nemateriální a je čistou možností. Oddělení nemateriálního intelektu jako samostatné entity u Alexandra a Themistia zásadně znemožnilo pojetí pravdy jako </w:t>
      </w:r>
      <w:r w:rsidRPr="003D1E07">
        <w:rPr>
          <w:i/>
        </w:rPr>
        <w:t>proportio</w:t>
      </w:r>
      <w:r w:rsidRPr="003D1E07">
        <w:t xml:space="preserve"> mezi smyslovým a rozumovým poznáním a zavedlo do člověka </w:t>
      </w:r>
      <w:r w:rsidR="00B13E9E" w:rsidRPr="003D1E07">
        <w:t xml:space="preserve">schizofrenickou </w:t>
      </w:r>
      <w:r w:rsidRPr="003D1E07">
        <w:t xml:space="preserve">pluralitu substancí. Kapitální </w:t>
      </w:r>
      <w:r w:rsidR="00B13E9E" w:rsidRPr="003D1E07">
        <w:t xml:space="preserve">omyl moderny vznikl </w:t>
      </w:r>
      <w:r w:rsidRPr="003D1E07">
        <w:t>nasvícením nemateri</w:t>
      </w:r>
      <w:r w:rsidR="00523115">
        <w:t xml:space="preserve">álního poznání od věčných forem. Jeho nesmyslnost </w:t>
      </w:r>
      <w:r w:rsidRPr="003D1E07">
        <w:t>shrnuje výstižná formulace: „Je-li aktivní a pasivní intelekt věčný, pak výsledek jejich činnosti nutně musí být věčný“ (</w:t>
      </w:r>
      <w:r w:rsidRPr="003D1E07">
        <w:rPr>
          <w:i/>
        </w:rPr>
        <w:t>quando enim agens fuerit eternum et patiens fuerit eternum, necesse est ut factum sit eternum</w:t>
      </w:r>
      <w:r w:rsidRPr="003D1E07">
        <w:t>, CMDA III.5; 392.152–53</w:t>
      </w:r>
      <w:r w:rsidRPr="003D1E07">
        <w:fldChar w:fldCharType="begin"/>
      </w:r>
      <w:r w:rsidRPr="003D1E07">
        <w:instrText xml:space="preserve"> XE "Averroes:CMDA 392.152–53" </w:instrText>
      </w:r>
      <w:r w:rsidRPr="003D1E07">
        <w:fldChar w:fldCharType="end"/>
      </w:r>
      <w:r w:rsidRPr="003D1E07">
        <w:t>). Přijetí Avicennovy teze o intelektu jako oddělené hypostázi v člověku by vedlo k absurdním důsledkům. Důsledky modernistického pojetí intelektu jako aktuální substance či hypostáze jsou podle Averroese zcela paranoické z</w:t>
      </w:r>
      <w:r w:rsidR="000F1C99" w:rsidRPr="003D1E07">
        <w:t xml:space="preserve"> mnoha </w:t>
      </w:r>
      <w:r w:rsidRPr="003D1E07">
        <w:t>zásadních důvodů (CMDA III.5; pp. 406–409</w:t>
      </w:r>
      <w:r w:rsidRPr="003D1E07">
        <w:fldChar w:fldCharType="begin"/>
      </w:r>
      <w:r w:rsidRPr="003D1E07">
        <w:instrText xml:space="preserve"> XE "Averroes:CMDA 406–409" </w:instrText>
      </w:r>
      <w:r w:rsidRPr="003D1E07">
        <w:fldChar w:fldCharType="end"/>
      </w:r>
      <w:r w:rsidRPr="003D1E07">
        <w:t xml:space="preserve">). Při působení odděleného intelektu na konkrétní výkon lidského poznání by vznikl jeden identický myšlený obsah pro všechny. Individuální myšlení by poznávalo vzhledem ke své uzavřené aktualitě jen samo sebe. Příslušné obsahy abstrahované ze smyslů musely být stejně věčné a neproměnlivé jako intelekt, protože jeho trvalá aktualita by vtiskla poznatkům poslední inteligibilní formu. Proto bychom nepoznávali, když sami chceme, ale oddělený intelekt by poznával skrze nás, stejně jako řemeslník zachází se svým nástrojem podle své demiurgické vůle. Člověk by existoval jako samostatná věčná </w:t>
      </w:r>
      <w:r w:rsidR="00F214C5" w:rsidRPr="003D1E07">
        <w:t>species</w:t>
      </w:r>
      <w:r w:rsidRPr="003D1E07">
        <w:t xml:space="preserve"> mimo existenci skutečného jedince. Pasivní intelekt v člověku nemůže být substancí, protože by měl vlastní aktuální formu. Tím by poznával jen sám sebe, popřípadě obsahy aktivního intelektu, ale nikdy by neměl receptivní intelektuální poznání směrem od materiálních věcí poznávaných smyslově.</w:t>
      </w:r>
      <w:r w:rsidRPr="003D1E07">
        <w:rPr>
          <w:rStyle w:val="Znakapoznpodarou"/>
        </w:rPr>
        <w:footnoteReference w:id="236"/>
      </w:r>
      <w:r w:rsidRPr="003D1E07">
        <w:t xml:space="preserve"> </w:t>
      </w:r>
      <w:r w:rsidRPr="003D1E07">
        <w:lastRenderedPageBreak/>
        <w:t>Skutečný průběh poznání by nebyl odlišený jako dynamický proces abstrakce od smyslů zakončený inteligibilním poznatkem v tomto člověku (</w:t>
      </w:r>
      <w:r w:rsidRPr="003D1E07">
        <w:rPr>
          <w:i/>
        </w:rPr>
        <w:t>ipse homo</w:t>
      </w:r>
      <w:r w:rsidRPr="003D1E07">
        <w:t xml:space="preserve">) daném jako jedinečná první substance ve výkonu myšlení. Averroesův model jednoty osoby v modu </w:t>
      </w:r>
      <w:r w:rsidRPr="003D1E07">
        <w:rPr>
          <w:i/>
        </w:rPr>
        <w:t>ipse</w:t>
      </w:r>
      <w:r w:rsidRPr="003D1E07">
        <w:t xml:space="preserve"> hájí trvání intelektu v nás (</w:t>
      </w:r>
      <w:r w:rsidRPr="003D1E07">
        <w:rPr>
          <w:i/>
        </w:rPr>
        <w:t>continuatio</w:t>
      </w:r>
      <w:r w:rsidRPr="003D1E07">
        <w:t>) jako dispozice duše, která je aktualizovaná pouze směrem od smyslů.</w:t>
      </w:r>
      <w:r w:rsidRPr="003D1E07">
        <w:rPr>
          <w:rStyle w:val="Znakapoznpodarou"/>
        </w:rPr>
        <w:footnoteReference w:id="237"/>
      </w:r>
      <w:r w:rsidRPr="003D1E07">
        <w:t xml:space="preserve"> </w:t>
      </w:r>
      <w:r w:rsidR="00630D0A" w:rsidRPr="003D1E07">
        <w:t xml:space="preserve">Siger jako jediný </w:t>
      </w:r>
      <w:r w:rsidR="0086179F">
        <w:t xml:space="preserve">myslitel </w:t>
      </w:r>
      <w:r w:rsidR="00630D0A" w:rsidRPr="003D1E07">
        <w:t xml:space="preserve">Západu plně </w:t>
      </w:r>
      <w:r w:rsidR="002453F0" w:rsidRPr="003D1E07">
        <w:t>pochopil tuto ipseitu</w:t>
      </w:r>
      <w:r w:rsidR="002453F0" w:rsidRPr="003D1E07">
        <w:fldChar w:fldCharType="begin"/>
      </w:r>
      <w:r w:rsidR="002453F0" w:rsidRPr="003D1E07">
        <w:instrText xml:space="preserve"> XE "osoba:ipseita" </w:instrText>
      </w:r>
      <w:r w:rsidR="002453F0" w:rsidRPr="003D1E07">
        <w:fldChar w:fldCharType="end"/>
      </w:r>
      <w:r w:rsidR="002453F0" w:rsidRPr="003D1E07">
        <w:t xml:space="preserve"> </w:t>
      </w:r>
      <w:r w:rsidR="00630D0A" w:rsidRPr="003D1E07">
        <w:t xml:space="preserve">v jeho komentáři CMDA a </w:t>
      </w:r>
      <w:r w:rsidRPr="003D1E07">
        <w:t xml:space="preserve">bránil </w:t>
      </w:r>
      <w:r w:rsidR="002453F0" w:rsidRPr="003D1E07">
        <w:t xml:space="preserve">ji </w:t>
      </w:r>
      <w:r w:rsidRPr="003D1E07">
        <w:t xml:space="preserve">proti semiaverroistům </w:t>
      </w:r>
      <w:r w:rsidR="00EA2660">
        <w:t xml:space="preserve">jako byl </w:t>
      </w:r>
      <w:r w:rsidRPr="003D1E07">
        <w:t>Akvinsk</w:t>
      </w:r>
      <w:r w:rsidR="00EA2660">
        <w:t xml:space="preserve">ý </w:t>
      </w:r>
      <w:r w:rsidRPr="003D1E07">
        <w:t>(</w:t>
      </w:r>
      <w:r w:rsidRPr="003D1E07">
        <w:rPr>
          <w:i/>
        </w:rPr>
        <w:t>homo ipse intelligit</w:t>
      </w:r>
      <w:r w:rsidRPr="003D1E07">
        <w:rPr>
          <w:i/>
        </w:rPr>
        <w:fldChar w:fldCharType="begin"/>
      </w:r>
      <w:r w:rsidRPr="003D1E07">
        <w:instrText xml:space="preserve"> XE "</w:instrText>
      </w:r>
      <w:r w:rsidRPr="003D1E07">
        <w:rPr>
          <w:i/>
        </w:rPr>
        <w:instrText>homo</w:instrText>
      </w:r>
      <w:r w:rsidRPr="003D1E07">
        <w:instrText xml:space="preserve"> </w:instrText>
      </w:r>
      <w:r w:rsidRPr="003D1E07">
        <w:rPr>
          <w:i/>
        </w:rPr>
        <w:instrText>ipse intelligit</w:instrText>
      </w:r>
      <w:r w:rsidRPr="003D1E07">
        <w:instrText xml:space="preserve">" </w:instrText>
      </w:r>
      <w:r w:rsidRPr="003D1E07">
        <w:rPr>
          <w:i/>
        </w:rPr>
        <w:fldChar w:fldCharType="end"/>
      </w:r>
      <w:r w:rsidR="08ED12B2" w:rsidRPr="003D1E07">
        <w:t>; OBJ III, kap. 4</w:t>
      </w:r>
      <w:r w:rsidRPr="003D1E07">
        <w:t xml:space="preserve">.4.4). </w:t>
      </w:r>
      <w:r w:rsidR="009B63E0" w:rsidRPr="003D1E07">
        <w:t xml:space="preserve">Spis </w:t>
      </w:r>
      <w:r w:rsidRPr="003D1E07">
        <w:t xml:space="preserve">CMDA provádí trvalou kritiku modernistů, kteří vinou různých forem </w:t>
      </w:r>
      <w:r w:rsidRPr="003D1E07">
        <w:rPr>
          <w:i/>
        </w:rPr>
        <w:t>tertium ens</w:t>
      </w:r>
      <w:r w:rsidR="08E35360" w:rsidRPr="003D1E07">
        <w:rPr>
          <w:i/>
        </w:rPr>
        <w:fldChar w:fldCharType="begin"/>
      </w:r>
      <w:r w:rsidR="08E35360" w:rsidRPr="003D1E07">
        <w:instrText xml:space="preserve"> XE "</w:instrText>
      </w:r>
      <w:r w:rsidR="08E35360" w:rsidRPr="003D1E07">
        <w:rPr>
          <w:rStyle w:val="Zvraznn"/>
        </w:rPr>
        <w:instrText>tertium ens</w:instrText>
      </w:r>
      <w:r w:rsidR="08E35360" w:rsidRPr="003D1E07">
        <w:rPr>
          <w:rStyle w:val="Zvraznn"/>
          <w:i w:val="0"/>
        </w:rPr>
        <w:instrText>:kritika Averroese</w:instrText>
      </w:r>
      <w:r w:rsidR="08E35360" w:rsidRPr="003D1E07">
        <w:instrText xml:space="preserve">" </w:instrText>
      </w:r>
      <w:r w:rsidR="08E35360" w:rsidRPr="003D1E07">
        <w:rPr>
          <w:i/>
        </w:rPr>
        <w:fldChar w:fldCharType="end"/>
      </w:r>
      <w:r w:rsidRPr="003D1E07">
        <w:t xml:space="preserve"> nejsou schopni rozlišit intelekt jako první a druhou substanci. Univerzální koncept intelektu (</w:t>
      </w:r>
      <w:r w:rsidRPr="003D1E07">
        <w:rPr>
          <w:i/>
        </w:rPr>
        <w:t xml:space="preserve">quartum </w:t>
      </w:r>
      <w:r w:rsidR="00636BD4" w:rsidRPr="00260646">
        <w:rPr>
          <w:i/>
        </w:rPr>
        <w:t>genus</w:t>
      </w:r>
      <w:r w:rsidRPr="003D1E07">
        <w:rPr>
          <w:i/>
        </w:rPr>
        <w:fldChar w:fldCharType="begin"/>
      </w:r>
      <w:r w:rsidRPr="003D1E07">
        <w:instrText xml:space="preserve"> XE "</w:instrText>
      </w:r>
      <w:r w:rsidRPr="003D1E07">
        <w:rPr>
          <w:i/>
        </w:rPr>
        <w:instrText>quartum genus</w:instrText>
      </w:r>
      <w:r w:rsidRPr="003D1E07">
        <w:instrText xml:space="preserve">" </w:instrText>
      </w:r>
      <w:r w:rsidRPr="003D1E07">
        <w:rPr>
          <w:i/>
        </w:rPr>
        <w:fldChar w:fldCharType="end"/>
      </w:r>
      <w:r w:rsidRPr="003D1E07">
        <w:t xml:space="preserve">) je daný jako </w:t>
      </w:r>
      <w:r w:rsidRPr="003D1E07">
        <w:rPr>
          <w:i/>
        </w:rPr>
        <w:t>idem</w:t>
      </w:r>
      <w:r w:rsidRPr="003D1E07">
        <w:t xml:space="preserve"> v lo</w:t>
      </w:r>
      <w:r w:rsidR="00554AD4" w:rsidRPr="003D1E07">
        <w:t xml:space="preserve">gické identitě pojmu. Ale </w:t>
      </w:r>
      <w:r w:rsidRPr="003D1E07">
        <w:t xml:space="preserve">faktický průběh poznání je daný v modu </w:t>
      </w:r>
      <w:r w:rsidRPr="003D1E07">
        <w:rPr>
          <w:i/>
        </w:rPr>
        <w:t>ipse</w:t>
      </w:r>
      <w:r w:rsidRPr="003D1E07">
        <w:t xml:space="preserve"> a tím </w:t>
      </w:r>
      <w:r w:rsidR="00554AD4" w:rsidRPr="003D1E07">
        <w:t>je zakoušen v první osobě</w:t>
      </w:r>
      <w:r w:rsidRPr="003D1E07">
        <w:t>. Ipseita intelektu v jeho faktickém výkonu je dána pouze v osobě jako aktuální první substanci</w:t>
      </w:r>
      <w:r w:rsidR="0076447E">
        <w:t xml:space="preserve">. </w:t>
      </w:r>
      <w:r w:rsidR="0076447E" w:rsidRPr="0076447E">
        <w:t xml:space="preserve">Proto musí být predikace </w:t>
      </w:r>
      <w:r w:rsidR="0076447E">
        <w:t xml:space="preserve">procesu </w:t>
      </w:r>
      <w:r w:rsidR="0076447E" w:rsidRPr="0076447E">
        <w:t xml:space="preserve">poznání dána </w:t>
      </w:r>
      <w:r w:rsidR="0076447E">
        <w:t>skrze impozici</w:t>
      </w:r>
      <w:r w:rsidR="0076447E" w:rsidRPr="0076447E">
        <w:t xml:space="preserve">, tj. na základě ztělesněného výkonu intelektu </w:t>
      </w:r>
      <w:r w:rsidR="0076447E">
        <w:t xml:space="preserve">této </w:t>
      </w:r>
      <w:r w:rsidR="0076447E" w:rsidRPr="0076447E">
        <w:t xml:space="preserve">tělesné duše </w:t>
      </w:r>
      <w:r w:rsidRPr="003D1E07">
        <w:t>(</w:t>
      </w:r>
      <w:r w:rsidRPr="003D1E07">
        <w:rPr>
          <w:i/>
        </w:rPr>
        <w:t xml:space="preserve">tertium </w:t>
      </w:r>
      <w:r w:rsidR="00636BD4" w:rsidRPr="00D520CC">
        <w:rPr>
          <w:i/>
        </w:rPr>
        <w:t>genus</w:t>
      </w:r>
      <w:r w:rsidRPr="003D1E07">
        <w:rPr>
          <w:i/>
        </w:rPr>
        <w:fldChar w:fldCharType="begin"/>
      </w:r>
      <w:r w:rsidRPr="003D1E07">
        <w:instrText xml:space="preserve"> XE "</w:instrText>
      </w:r>
      <w:r w:rsidRPr="003D1E07">
        <w:rPr>
          <w:i/>
        </w:rPr>
        <w:instrText>tertium genus</w:instrText>
      </w:r>
      <w:r w:rsidRPr="003D1E07">
        <w:instrText xml:space="preserve">" </w:instrText>
      </w:r>
      <w:r w:rsidRPr="003D1E07">
        <w:rPr>
          <w:i/>
        </w:rPr>
        <w:fldChar w:fldCharType="end"/>
      </w:r>
      <w:r w:rsidRPr="003D1E07">
        <w:t xml:space="preserve">). Předešlé kapitoly ukázaly, že forma věci poznávané v duši je u neoplatoniků a u moderního Avicenny nasvícena zezadu od činného intelektu. Proto má smyslové poznání u alexandrovců pouze propedeutickou funkci (kap. 2.3.1). Obě formy nemateriálního a odděleného intelektu </w:t>
      </w:r>
      <w:r w:rsidR="000E4F0E" w:rsidRPr="003D1E07">
        <w:rPr>
          <w:noProof w:val="0"/>
        </w:rPr>
        <w:t>(</w:t>
      </w:r>
      <w:r w:rsidR="000E4F0E" w:rsidRPr="003D1E07">
        <w:rPr>
          <w:i/>
          <w:noProof w:val="0"/>
        </w:rPr>
        <w:t>possibilis, agens</w:t>
      </w:r>
      <w:r w:rsidR="000E4F0E" w:rsidRPr="003D1E07">
        <w:rPr>
          <w:noProof w:val="0"/>
        </w:rPr>
        <w:t xml:space="preserve">) </w:t>
      </w:r>
      <w:r w:rsidRPr="003D1E07">
        <w:t>dávají nutné, věčné a univerzální poznání</w:t>
      </w:r>
      <w:r w:rsidR="000E4F0E" w:rsidRPr="003D1E07">
        <w:t xml:space="preserve">. Tato mytopoetika tvoří hlavní </w:t>
      </w:r>
      <w:r w:rsidR="00026B1C">
        <w:t xml:space="preserve">tezi </w:t>
      </w:r>
      <w:r w:rsidRPr="003D1E07">
        <w:t>paranoické moderny</w:t>
      </w:r>
      <w:r w:rsidR="00984CD3">
        <w:t xml:space="preserve">, která spojila akt myšlení a jeho predikaci do jedné formy </w:t>
      </w:r>
      <w:r w:rsidR="00984CD3" w:rsidRPr="00984CD3">
        <w:rPr>
          <w:i/>
        </w:rPr>
        <w:t>tertium ens</w:t>
      </w:r>
      <w:r w:rsidR="00C60C53" w:rsidRPr="003D1E07">
        <w:t xml:space="preserve">. Modernisté </w:t>
      </w:r>
      <w:r w:rsidR="000E4F0E" w:rsidRPr="003D1E07">
        <w:t>kontempluj</w:t>
      </w:r>
      <w:r w:rsidR="00C60C53" w:rsidRPr="003D1E07">
        <w:t>í</w:t>
      </w:r>
      <w:r w:rsidRPr="003D1E07">
        <w:t xml:space="preserve"> vlastní svět skrze </w:t>
      </w:r>
      <w:r w:rsidR="00A56952">
        <w:t xml:space="preserve">mytologické </w:t>
      </w:r>
      <w:r w:rsidRPr="003D1E07">
        <w:t xml:space="preserve">pojetí intelektu-slunce jako substance třetího druhu. Averroes nemůže udělat z pasivní složky intelektu nějakou aktualizovanou pseudo-substanci na způsob smyslové materie, protože by ztratil </w:t>
      </w:r>
      <w:r w:rsidR="00BF6A26" w:rsidRPr="003D1E07">
        <w:t>kauzalitu</w:t>
      </w:r>
      <w:r w:rsidRPr="003D1E07">
        <w:t xml:space="preserve"> mezi materiálními smysly a nemateriálním intelektem. Intelekt nesmí být oddělen od smyslového poznání v modu </w:t>
      </w:r>
      <w:r w:rsidRPr="003D1E07">
        <w:rPr>
          <w:i/>
        </w:rPr>
        <w:t>separatus</w:t>
      </w:r>
      <w:r w:rsidRPr="003D1E07">
        <w:t xml:space="preserve">, protože pak by padlo pojetí pravdy jako adekvace a nastoupilo by moderní pojetí pravdy jako asimilace a identity jsoucen třetího druhu. Intelekt není </w:t>
      </w:r>
      <w:r w:rsidRPr="003D1E07">
        <w:rPr>
          <w:i/>
        </w:rPr>
        <w:t>hoc aliquid</w:t>
      </w:r>
      <w:r w:rsidRPr="003D1E07">
        <w:fldChar w:fldCharType="begin"/>
      </w:r>
      <w:r w:rsidRPr="003D1E07">
        <w:instrText xml:space="preserve"> XE "</w:instrText>
      </w:r>
      <w:r w:rsidRPr="003D1E07">
        <w:rPr>
          <w:i/>
        </w:rPr>
        <w:instrText>hoc aliquid</w:instrText>
      </w:r>
      <w:r w:rsidRPr="003D1E07">
        <w:instrText xml:space="preserve">:Avicenna" </w:instrText>
      </w:r>
      <w:r w:rsidRPr="003D1E07">
        <w:fldChar w:fldCharType="end"/>
      </w:r>
      <w:r w:rsidRPr="003D1E07">
        <w:t xml:space="preserve"> na způsob karteziánské postmoderny determinované modernisty jako Alexander, Themistius a Avicenna.</w:t>
      </w:r>
      <w:r w:rsidRPr="003D1E07">
        <w:rPr>
          <w:rStyle w:val="Znakapoznpodarou"/>
        </w:rPr>
        <w:footnoteReference w:id="238"/>
      </w:r>
      <w:r w:rsidRPr="003D1E07">
        <w:t xml:space="preserve"> Takový intelekt by byl aktualizovaný buď pouze od sebe nebo nasvícením zezadu od činného intelektu daného skrze kosmické sféry, skrze vrozenou ideu nebo skrze postmoderní fantazie matrixového světa tvořeného </w:t>
      </w:r>
      <w:r w:rsidRPr="003D1E07">
        <w:lastRenderedPageBreak/>
        <w:t xml:space="preserve">matematikou. Kritický čtenář Aristotela ví, že jakákoliv substanciální aktualizace receptivního intelektu by způsobila, že by rozum přestal poznávat svět ve smyslu </w:t>
      </w:r>
      <w:r w:rsidRPr="003D1E07">
        <w:rPr>
          <w:i/>
        </w:rPr>
        <w:t>tabula rasa</w:t>
      </w:r>
      <w:r w:rsidRPr="003D1E07">
        <w:rPr>
          <w:i/>
        </w:rPr>
        <w:fldChar w:fldCharType="begin"/>
      </w:r>
      <w:r w:rsidRPr="003D1E07">
        <w:instrText xml:space="preserve"> XE "</w:instrText>
      </w:r>
      <w:r w:rsidRPr="003D1E07">
        <w:rPr>
          <w:i/>
        </w:rPr>
        <w:instrText>tabula rasa</w:instrText>
      </w:r>
      <w:r w:rsidRPr="003D1E07">
        <w:instrText xml:space="preserve">" </w:instrText>
      </w:r>
      <w:r w:rsidRPr="003D1E07">
        <w:rPr>
          <w:i/>
        </w:rPr>
        <w:fldChar w:fldCharType="end"/>
      </w:r>
      <w:r w:rsidRPr="003D1E07">
        <w:t>.</w:t>
      </w:r>
      <w:r w:rsidRPr="003D1E07">
        <w:rPr>
          <w:rStyle w:val="Znakapoznpodarou"/>
        </w:rPr>
        <w:footnoteReference w:id="239"/>
      </w:r>
      <w:r w:rsidRPr="003D1E07">
        <w:t xml:space="preserve"> Averroes není averroistou na žádný způsob, ani podle Themistia, ani podle Alexandra</w:t>
      </w:r>
      <w:r w:rsidRPr="003D1E07">
        <w:fldChar w:fldCharType="begin"/>
      </w:r>
      <w:r w:rsidRPr="003D1E07">
        <w:instrText xml:space="preserve"> XE "Alexander Afrodisias" </w:instrText>
      </w:r>
      <w:r w:rsidRPr="003D1E07">
        <w:fldChar w:fldCharType="end"/>
      </w:r>
      <w:r w:rsidR="00BB7C5C">
        <w:t>.</w:t>
      </w:r>
    </w:p>
    <w:p w14:paraId="65302D9E" w14:textId="19061C34" w:rsidR="08126A94" w:rsidRPr="003D1E07" w:rsidRDefault="08126A94" w:rsidP="002979C8">
      <w:pPr>
        <w:ind w:firstLine="397"/>
      </w:pPr>
      <w:r w:rsidRPr="003D1E07">
        <w:t xml:space="preserve">Cesta poznání podle </w:t>
      </w:r>
      <w:r w:rsidR="089108A9" w:rsidRPr="003D1E07">
        <w:t xml:space="preserve">metafyzického </w:t>
      </w:r>
      <w:r w:rsidRPr="003D1E07">
        <w:t xml:space="preserve">dativu je dána ve třech krocích. Poznání začíná u reálné první substance dané hylemorficky, která působí na smysly a na intelekt v duši dané jako </w:t>
      </w:r>
      <w:r w:rsidRPr="003D1E07">
        <w:rPr>
          <w:i/>
        </w:rPr>
        <w:t>tabula rasa</w:t>
      </w:r>
      <w:r w:rsidRPr="003D1E07">
        <w:t xml:space="preserve">. </w:t>
      </w:r>
    </w:p>
    <w:p w14:paraId="04530375" w14:textId="51DB1F88" w:rsidR="08126A94" w:rsidRPr="003D1E07" w:rsidRDefault="08126A94" w:rsidP="08126A94">
      <w:pPr>
        <w:pStyle w:val="Citace"/>
        <w:rPr>
          <w:lang w:val="cs-CZ"/>
        </w:rPr>
      </w:pPr>
      <w:r w:rsidRPr="003D1E07">
        <w:rPr>
          <w:lang w:val="cs-CZ"/>
        </w:rPr>
        <w:t>„Proto jsou v duši intence a porozumění a mimo duši není ani jedno ani druhé, ale pouze materiální věci, které v žá</w:t>
      </w:r>
      <w:r w:rsidR="00332D21" w:rsidRPr="003D1E07">
        <w:rPr>
          <w:lang w:val="cs-CZ"/>
        </w:rPr>
        <w:t>dném případě nejsou porozuměním</w:t>
      </w:r>
      <w:r w:rsidRPr="003D1E07">
        <w:rPr>
          <w:lang w:val="cs-CZ"/>
        </w:rPr>
        <w:t>.“</w:t>
      </w:r>
      <w:r w:rsidRPr="003D1E07">
        <w:rPr>
          <w:rStyle w:val="Znakapoznpodarou"/>
          <w:lang w:val="cs-CZ"/>
        </w:rPr>
        <w:footnoteReference w:id="240"/>
      </w:r>
    </w:p>
    <w:p w14:paraId="7FB8590C" w14:textId="0AF80DC6" w:rsidR="08126A94" w:rsidRPr="003D1E07" w:rsidRDefault="00996711" w:rsidP="08126A94">
      <w:r w:rsidRPr="003D1E07">
        <w:t xml:space="preserve">Citát ukazuje jasné </w:t>
      </w:r>
      <w:r w:rsidR="08126A94" w:rsidRPr="003D1E07">
        <w:t xml:space="preserve">rozdělení mezi aktuální první substancí v realitě a její </w:t>
      </w:r>
      <w:r w:rsidR="08126A94" w:rsidRPr="003D1E07">
        <w:rPr>
          <w:i/>
        </w:rPr>
        <w:t>quidditas</w:t>
      </w:r>
      <w:r w:rsidR="08126A94" w:rsidRPr="003D1E07">
        <w:t xml:space="preserve"> jako </w:t>
      </w:r>
      <w:r w:rsidRPr="003D1E07">
        <w:t xml:space="preserve">poznané druhé substance přítomné </w:t>
      </w:r>
      <w:r w:rsidR="08126A94" w:rsidRPr="003D1E07">
        <w:t>v duši. Další část citace váže obě formy intencionality na existenciální výkon osobní duše dané v modu ipseity (</w:t>
      </w:r>
      <w:r w:rsidR="08126A94" w:rsidRPr="003D1E07">
        <w:rPr>
          <w:i/>
        </w:rPr>
        <w:t>in hac dispositione</w:t>
      </w:r>
      <w:r w:rsidR="08126A94" w:rsidRPr="003D1E07">
        <w:t>). Tím je zajištěn jednotný výkon poznání v</w:t>
      </w:r>
      <w:r w:rsidR="004F505A" w:rsidRPr="003D1E07">
        <w:t> </w:t>
      </w:r>
      <w:r w:rsidR="08126A94" w:rsidRPr="003D1E07">
        <w:t>duši</w:t>
      </w:r>
      <w:r w:rsidR="004F505A" w:rsidRPr="003D1E07">
        <w:t xml:space="preserve"> jako nemateriální formě jedinečného těla</w:t>
      </w:r>
      <w:r w:rsidR="08126A94" w:rsidRPr="003D1E07">
        <w:t xml:space="preserve">. Intendovaná </w:t>
      </w:r>
      <w:r w:rsidR="08126A94" w:rsidRPr="003D1E07">
        <w:rPr>
          <w:i/>
        </w:rPr>
        <w:t>quidditas</w:t>
      </w:r>
      <w:r w:rsidR="08126A94" w:rsidRPr="003D1E07">
        <w:t xml:space="preserve"> věci (</w:t>
      </w:r>
      <w:r w:rsidR="08126A94" w:rsidRPr="003D1E07">
        <w:rPr>
          <w:i/>
        </w:rPr>
        <w:t>secundum quod est</w:t>
      </w:r>
      <w:r w:rsidR="08126A94" w:rsidRPr="003D1E07">
        <w:t>) je dána ve dvojí intencionalitě završené univerzálním poznáním.</w:t>
      </w:r>
    </w:p>
    <w:p w14:paraId="5E3D0E61" w14:textId="77777777" w:rsidR="08126A94" w:rsidRPr="003D1E07" w:rsidRDefault="08126A94" w:rsidP="08126A94">
      <w:pPr>
        <w:pStyle w:val="Citace"/>
        <w:rPr>
          <w:lang w:val="cs-CZ"/>
        </w:rPr>
      </w:pPr>
      <w:r w:rsidRPr="003D1E07">
        <w:rPr>
          <w:lang w:val="cs-CZ"/>
        </w:rPr>
        <w:t xml:space="preserve">„Dále v </w:t>
      </w:r>
      <w:r w:rsidRPr="003D1E07">
        <w:rPr>
          <w:i/>
          <w:lang w:val="cs-CZ"/>
        </w:rPr>
        <w:t>De anima</w:t>
      </w:r>
      <w:r w:rsidRPr="003D1E07">
        <w:rPr>
          <w:lang w:val="cs-CZ"/>
        </w:rPr>
        <w:t xml:space="preserve"> stojí </w:t>
      </w:r>
      <w:r w:rsidRPr="003D1E07">
        <w:rPr>
          <w:i/>
          <w:lang w:val="cs-CZ"/>
        </w:rPr>
        <w:t>'nakolik je to dispozice duše a v její intencionalitě</w:t>
      </w:r>
      <w:r w:rsidRPr="003D1E07">
        <w:rPr>
          <w:lang w:val="cs-CZ"/>
        </w:rPr>
        <w:t>', protože tím je oddělil od intencí, které přijímá intelekt. Tyto intence jsou univerzální (</w:t>
      </w:r>
      <w:r w:rsidRPr="003D1E07">
        <w:rPr>
          <w:i/>
          <w:lang w:val="cs-CZ"/>
        </w:rPr>
        <w:t>ille enim sunt universales</w:t>
      </w:r>
      <w:r w:rsidRPr="003D1E07">
        <w:rPr>
          <w:lang w:val="cs-CZ"/>
        </w:rPr>
        <w:t xml:space="preserve">) a jen tím je intelekt pravdivý jako takový.“ </w:t>
      </w:r>
      <w:r w:rsidRPr="003D1E07">
        <w:rPr>
          <w:rStyle w:val="Znakapoznpodarou"/>
          <w:lang w:val="cs-CZ"/>
        </w:rPr>
        <w:footnoteReference w:id="241"/>
      </w:r>
    </w:p>
    <w:p w14:paraId="09A432CD" w14:textId="35A70DB1" w:rsidR="08126A94" w:rsidRPr="003D1E07" w:rsidRDefault="08126A94" w:rsidP="009206BD">
      <w:r w:rsidRPr="003D1E07">
        <w:t>První intence je založena skrze smyslové poznání společné lidem i zvířatům. Druhá intence je nemateriální a je dána pouze lidem v rámci intelektuálního uchopení čisté formy věci. Pravdu jako aristotelskou adekvaci zajišťuje fakt, že poznání je aktualizováno nasvícením od reálné věci skrze smyslovou a pak intelektuální intencionální recepci zcela oddělené první substance. Proto Averroes trvá na zásadním rozdílu mezi výkonem intencionality v mysli a mezi existencí reálné věci (</w:t>
      </w:r>
      <w:r w:rsidRPr="003D1E07">
        <w:rPr>
          <w:i/>
        </w:rPr>
        <w:t>extra animam non sunt neque intentiones neque comprehensiones</w:t>
      </w:r>
      <w:r w:rsidRPr="003D1E07">
        <w:t>). Tím vznikl systém poznání odlišující tři základní složky: 1) reálnou věc</w:t>
      </w:r>
      <w:r w:rsidR="006D1494">
        <w:t xml:space="preserve"> (</w:t>
      </w:r>
      <w:r w:rsidR="006D1494" w:rsidRPr="00524380">
        <w:rPr>
          <w:i/>
        </w:rPr>
        <w:t>modus essendi</w:t>
      </w:r>
      <w:r w:rsidR="006D1494">
        <w:rPr>
          <w:i/>
        </w:rPr>
        <w:fldChar w:fldCharType="begin"/>
      </w:r>
      <w:r w:rsidR="006D1494">
        <w:instrText xml:space="preserve"> XE "</w:instrText>
      </w:r>
      <w:r w:rsidR="006D1494" w:rsidRPr="00507C8D">
        <w:rPr>
          <w:i/>
        </w:rPr>
        <w:instrText>modus essendi</w:instrText>
      </w:r>
      <w:r w:rsidR="006D1494">
        <w:instrText xml:space="preserve">" </w:instrText>
      </w:r>
      <w:r w:rsidR="006D1494">
        <w:rPr>
          <w:i/>
        </w:rPr>
        <w:fldChar w:fldCharType="end"/>
      </w:r>
      <w:r w:rsidR="006D1494">
        <w:t>)</w:t>
      </w:r>
      <w:r w:rsidRPr="003D1E07">
        <w:t xml:space="preserve">; 2) výkon poznání v jednotě duše </w:t>
      </w:r>
      <w:r w:rsidR="00AF64CA">
        <w:t xml:space="preserve">a těla </w:t>
      </w:r>
      <w:r w:rsidRPr="003D1E07">
        <w:t xml:space="preserve">jako existenciální </w:t>
      </w:r>
      <w:r w:rsidRPr="00C57244">
        <w:t>ips</w:t>
      </w:r>
      <w:r w:rsidR="00C57244" w:rsidRPr="00C57244">
        <w:t>eity</w:t>
      </w:r>
      <w:r w:rsidR="006D1494">
        <w:t xml:space="preserve"> (</w:t>
      </w:r>
      <w:r w:rsidR="006D1494" w:rsidRPr="00524380">
        <w:rPr>
          <w:i/>
        </w:rPr>
        <w:t>modu</w:t>
      </w:r>
      <w:r w:rsidR="006D1494">
        <w:rPr>
          <w:i/>
        </w:rPr>
        <w:t>s</w:t>
      </w:r>
      <w:r w:rsidR="006D1494" w:rsidRPr="00524380">
        <w:rPr>
          <w:i/>
        </w:rPr>
        <w:t xml:space="preserve"> </w:t>
      </w:r>
      <w:r w:rsidR="006D1494">
        <w:rPr>
          <w:i/>
        </w:rPr>
        <w:t>intelligendi</w:t>
      </w:r>
      <w:r w:rsidR="006D1494">
        <w:rPr>
          <w:i/>
        </w:rPr>
        <w:fldChar w:fldCharType="begin"/>
      </w:r>
      <w:r w:rsidR="006D1494">
        <w:instrText xml:space="preserve"> XE "</w:instrText>
      </w:r>
      <w:r w:rsidR="006D1494" w:rsidRPr="004A57A2">
        <w:rPr>
          <w:i/>
        </w:rPr>
        <w:instrText>modus intelligendi</w:instrText>
      </w:r>
      <w:r w:rsidR="006D1494">
        <w:instrText xml:space="preserve">" </w:instrText>
      </w:r>
      <w:r w:rsidR="006D1494">
        <w:rPr>
          <w:i/>
        </w:rPr>
        <w:fldChar w:fldCharType="end"/>
      </w:r>
      <w:r w:rsidR="006D1494">
        <w:t>)</w:t>
      </w:r>
      <w:r w:rsidR="008A21DD">
        <w:t>; 3) dvojí obsah</w:t>
      </w:r>
      <w:r w:rsidRPr="003D1E07">
        <w:t xml:space="preserve"> poznání v modu </w:t>
      </w:r>
      <w:r w:rsidRPr="003D1E07">
        <w:rPr>
          <w:i/>
        </w:rPr>
        <w:t>idem</w:t>
      </w:r>
      <w:r w:rsidRPr="003D1E07">
        <w:t xml:space="preserve"> daného skrze dvě složky recepce a </w:t>
      </w:r>
      <w:r w:rsidRPr="003D1E07">
        <w:lastRenderedPageBreak/>
        <w:t>intencionality</w:t>
      </w:r>
      <w:r w:rsidR="087703DA" w:rsidRPr="003D1E07">
        <w:t xml:space="preserve"> dané smyslově a intelektuálně</w:t>
      </w:r>
      <w:r w:rsidR="006D1494">
        <w:t xml:space="preserve"> (</w:t>
      </w:r>
      <w:r w:rsidR="005C7A44" w:rsidRPr="003C53D5">
        <w:rPr>
          <w:i/>
          <w:noProof w:val="0"/>
          <w:lang w:val="fr-FR"/>
        </w:rPr>
        <w:t>modus</w:t>
      </w:r>
      <w:r w:rsidR="005C7A44">
        <w:rPr>
          <w:i/>
          <w:noProof w:val="0"/>
          <w:lang w:val="fr-FR"/>
        </w:rPr>
        <w:t xml:space="preserve"> </w:t>
      </w:r>
      <w:r w:rsidR="006D1494" w:rsidRPr="00524380">
        <w:rPr>
          <w:i/>
        </w:rPr>
        <w:t xml:space="preserve">modus </w:t>
      </w:r>
      <w:r w:rsidR="006D1494">
        <w:rPr>
          <w:i/>
        </w:rPr>
        <w:t>cognoscendi</w:t>
      </w:r>
      <w:r w:rsidR="006D1494">
        <w:rPr>
          <w:i/>
        </w:rPr>
        <w:fldChar w:fldCharType="begin"/>
      </w:r>
      <w:r w:rsidR="006D1494">
        <w:instrText xml:space="preserve"> XE "</w:instrText>
      </w:r>
      <w:r w:rsidR="006D1494" w:rsidRPr="00D51582">
        <w:rPr>
          <w:i/>
        </w:rPr>
        <w:instrText>modus cognoscendi</w:instrText>
      </w:r>
      <w:r w:rsidR="006D1494">
        <w:instrText xml:space="preserve">" </w:instrText>
      </w:r>
      <w:r w:rsidR="006D1494">
        <w:rPr>
          <w:i/>
        </w:rPr>
        <w:fldChar w:fldCharType="end"/>
      </w:r>
      <w:r w:rsidR="006D1494">
        <w:t xml:space="preserve">). </w:t>
      </w:r>
      <w:r w:rsidRPr="003D1E07">
        <w:t>Avicenna, Descartes a Husserl ne</w:t>
      </w:r>
      <w:r w:rsidR="006D7CB9" w:rsidRPr="003D1E07">
        <w:t xml:space="preserve">respektují </w:t>
      </w:r>
      <w:r w:rsidRPr="003D1E07">
        <w:t xml:space="preserve">rozdíl mezi identitou poznaného a ipseitou </w:t>
      </w:r>
      <w:r w:rsidRPr="003D1E07">
        <w:rPr>
          <w:noProof w:val="0"/>
        </w:rPr>
        <w:t>poznávajícího</w:t>
      </w:r>
      <w:r w:rsidRPr="003D1E07">
        <w:t xml:space="preserve"> a mezi dvojí intencí a externí věcí. </w:t>
      </w:r>
      <w:r w:rsidR="00F23ED3" w:rsidRPr="00F23ED3">
        <w:t>Oba mody (</w:t>
      </w:r>
      <w:r w:rsidR="00F23ED3" w:rsidRPr="00F23ED3">
        <w:rPr>
          <w:i/>
        </w:rPr>
        <w:t>intelligendi, cognoscendi</w:t>
      </w:r>
      <w:r w:rsidR="00F23ED3" w:rsidRPr="00F23ED3">
        <w:t xml:space="preserve">) vytvářejí nepravou jednotu objektivního intelektu, která nemůže existovat, neboť </w:t>
      </w:r>
      <w:r w:rsidR="00F23ED3" w:rsidRPr="00F23ED3">
        <w:rPr>
          <w:i/>
        </w:rPr>
        <w:t>intellectio</w:t>
      </w:r>
      <w:r w:rsidR="00F23ED3" w:rsidRPr="00F23ED3">
        <w:t xml:space="preserve"> a </w:t>
      </w:r>
      <w:r w:rsidR="00F23ED3" w:rsidRPr="00F23ED3">
        <w:rPr>
          <w:i/>
        </w:rPr>
        <w:t>intellectus</w:t>
      </w:r>
      <w:r w:rsidR="003A18E3">
        <w:rPr>
          <w:i/>
        </w:rPr>
        <w:fldChar w:fldCharType="begin"/>
      </w:r>
      <w:r w:rsidR="003A18E3">
        <w:instrText xml:space="preserve"> XE "</w:instrText>
      </w:r>
      <w:r w:rsidR="003A18E3" w:rsidRPr="00AF0BD5">
        <w:rPr>
          <w:i/>
        </w:rPr>
        <w:instrText>intellectio/intellectum</w:instrText>
      </w:r>
      <w:r w:rsidR="003A18E3">
        <w:instrText xml:space="preserve">" </w:instrText>
      </w:r>
      <w:r w:rsidR="003A18E3">
        <w:rPr>
          <w:i/>
        </w:rPr>
        <w:fldChar w:fldCharType="end"/>
      </w:r>
      <w:r w:rsidR="00F23ED3" w:rsidRPr="00F23ED3">
        <w:t xml:space="preserve"> vytvářejí dvě zásadně odlišné formy </w:t>
      </w:r>
      <w:r w:rsidR="00F23ED3">
        <w:t xml:space="preserve">jsoucna </w:t>
      </w:r>
      <w:r w:rsidR="00F23ED3" w:rsidRPr="00F23ED3">
        <w:t xml:space="preserve">(první a druhou substanci). </w:t>
      </w:r>
      <w:r w:rsidR="00F23ED3">
        <w:t>M</w:t>
      </w:r>
      <w:r w:rsidRPr="003D1E07">
        <w:t>odernisté nemají trojí strukturu poznání, protože berou čisté intencionální předměty univočně s bytím věcí podle noematického konceptu Avicenny (</w:t>
      </w:r>
      <w:r w:rsidRPr="003D1E07">
        <w:rPr>
          <w:i/>
        </w:rPr>
        <w:t>hoc esse tantum</w:t>
      </w:r>
      <w:r w:rsidRPr="003D1E07">
        <w:rPr>
          <w:i/>
        </w:rPr>
        <w:fldChar w:fldCharType="begin"/>
      </w:r>
      <w:r w:rsidRPr="003D1E07">
        <w:instrText xml:space="preserve"> XE "</w:instrText>
      </w:r>
      <w:r w:rsidRPr="003D1E07">
        <w:rPr>
          <w:i/>
          <w:lang w:eastAsia="en-US"/>
        </w:rPr>
        <w:instrText>hoc esse tantum</w:instrText>
      </w:r>
      <w:r w:rsidRPr="003D1E07">
        <w:instrText xml:space="preserve">" </w:instrText>
      </w:r>
      <w:r w:rsidRPr="003D1E07">
        <w:rPr>
          <w:i/>
        </w:rPr>
        <w:fldChar w:fldCharType="end"/>
      </w:r>
      <w:r w:rsidRPr="003D1E07">
        <w:t xml:space="preserve">). </w:t>
      </w:r>
      <w:r w:rsidR="002D103B">
        <w:t>Modernista a objektivní intelekt „</w:t>
      </w:r>
      <w:r w:rsidR="00AB3DED">
        <w:t>jest</w:t>
      </w:r>
      <w:r w:rsidR="002D103B">
        <w:t xml:space="preserve">“ jedna </w:t>
      </w:r>
      <w:r w:rsidR="009F05F7">
        <w:t xml:space="preserve">a tatáž </w:t>
      </w:r>
      <w:r w:rsidR="002D103B">
        <w:t xml:space="preserve">věc, což </w:t>
      </w:r>
      <w:r w:rsidR="00C165C0">
        <w:t>činí modernu opravdu kouzelnou</w:t>
      </w:r>
      <w:r w:rsidR="002D103B">
        <w:t xml:space="preserve">. </w:t>
      </w:r>
      <w:r w:rsidRPr="003D1E07">
        <w:t>Koncept minimální jsoucnosti tvoří novou verzi substance-</w:t>
      </w:r>
      <w:r w:rsidR="00F214C5" w:rsidRPr="003D1E07">
        <w:t>species</w:t>
      </w:r>
      <w:r w:rsidRPr="003D1E07">
        <w:t xml:space="preserve"> třetího druhu. V imanenci plně aktuálního vědomí se vynořuje transcendence aktuálního primárního významu</w:t>
      </w:r>
      <w:r w:rsidR="001A122A" w:rsidRPr="003D1E07">
        <w:t xml:space="preserve">. Ta </w:t>
      </w:r>
      <w:r w:rsidRPr="003D1E07">
        <w:t xml:space="preserve">je Husserlovou „samotnou věcí“ </w:t>
      </w:r>
      <w:r w:rsidR="00947C13" w:rsidRPr="003D1E07">
        <w:t>(</w:t>
      </w:r>
      <w:r w:rsidR="00947C13" w:rsidRPr="003D1E07">
        <w:rPr>
          <w:i/>
        </w:rPr>
        <w:t>die Sache selbst</w:t>
      </w:r>
      <w:r w:rsidR="00947C13" w:rsidRPr="003D1E07">
        <w:t xml:space="preserve">) </w:t>
      </w:r>
      <w:r w:rsidRPr="003D1E07">
        <w:t xml:space="preserve">ve specifickém modu jsoucna třetího druhu. Identitární model pravdy běží v avicennistickém modu Rufusova </w:t>
      </w:r>
      <w:r w:rsidRPr="003D1E07">
        <w:rPr>
          <w:i/>
        </w:rPr>
        <w:t>coaequatio</w:t>
      </w:r>
      <w:r w:rsidRPr="003D1E07">
        <w:rPr>
          <w:i/>
        </w:rPr>
        <w:fldChar w:fldCharType="begin"/>
      </w:r>
      <w:r w:rsidRPr="003D1E07">
        <w:instrText xml:space="preserve"> XE "pravda:</w:instrText>
      </w:r>
      <w:r w:rsidRPr="003D1E07">
        <w:rPr>
          <w:i/>
        </w:rPr>
        <w:instrText>coaequatio</w:instrText>
      </w:r>
      <w:r w:rsidRPr="003D1E07">
        <w:instrText xml:space="preserve">" </w:instrText>
      </w:r>
      <w:r w:rsidRPr="003D1E07">
        <w:rPr>
          <w:i/>
        </w:rPr>
        <w:fldChar w:fldCharType="end"/>
      </w:r>
      <w:r w:rsidRPr="003D1E07">
        <w:rPr>
          <w:i/>
        </w:rPr>
        <w:t xml:space="preserve"> </w:t>
      </w:r>
      <w:r w:rsidRPr="003D1E07">
        <w:t>(</w:t>
      </w:r>
      <w:r w:rsidR="08ED12B2" w:rsidRPr="003D1E07">
        <w:t>OBJ II, kap. 3</w:t>
      </w:r>
      <w:r w:rsidRPr="003D1E07">
        <w:t xml:space="preserve">.3.2). </w:t>
      </w:r>
      <w:r w:rsidR="001A122A" w:rsidRPr="003D1E07">
        <w:t xml:space="preserve">Avicenna vytvořil první </w:t>
      </w:r>
      <w:r w:rsidR="00EF0F48">
        <w:t>verzi moderní pravdy jako asimilace, která</w:t>
      </w:r>
      <w:r w:rsidR="001A122A" w:rsidRPr="003D1E07">
        <w:t xml:space="preserve"> je založen</w:t>
      </w:r>
      <w:r w:rsidR="00EF0F48">
        <w:t>a</w:t>
      </w:r>
      <w:r w:rsidR="001A122A" w:rsidRPr="003D1E07">
        <w:t xml:space="preserve"> na jistotě subjektu (</w:t>
      </w:r>
      <w:r w:rsidR="001A122A" w:rsidRPr="003D1E07">
        <w:rPr>
          <w:i/>
        </w:rPr>
        <w:t>veritas autem quæ adaequatur rei, illa est certa</w:t>
      </w:r>
      <w:r w:rsidR="001A122A" w:rsidRPr="003D1E07">
        <w:t>; kap. 2.3.2). Aristotelská korespond</w:t>
      </w:r>
      <w:r w:rsidR="00E47D9D" w:rsidRPr="003D1E07">
        <w:t>ence byla nahrazena subjektivní</w:t>
      </w:r>
      <w:r w:rsidR="001A122A" w:rsidRPr="003D1E07">
        <w:t xml:space="preserve"> </w:t>
      </w:r>
      <w:r w:rsidR="00E47D9D" w:rsidRPr="003D1E07">
        <w:t>jistotou (</w:t>
      </w:r>
      <w:r w:rsidR="00E47D9D" w:rsidRPr="003D1E07">
        <w:rPr>
          <w:i/>
        </w:rPr>
        <w:t>certit</w:t>
      </w:r>
      <w:r w:rsidR="001A122A" w:rsidRPr="003D1E07">
        <w:rPr>
          <w:i/>
        </w:rPr>
        <w:t>udo</w:t>
      </w:r>
      <w:r w:rsidR="00E47D9D" w:rsidRPr="003D1E07">
        <w:t>), která</w:t>
      </w:r>
      <w:r w:rsidR="001A122A" w:rsidRPr="003D1E07">
        <w:t xml:space="preserve"> vychází z objektivní identity j</w:t>
      </w:r>
      <w:r w:rsidR="00E47D9D" w:rsidRPr="003D1E07">
        <w:t xml:space="preserve">soucna třetího druhu, což je </w:t>
      </w:r>
      <w:r w:rsidR="001A122A" w:rsidRPr="003D1E07">
        <w:t xml:space="preserve">moderní </w:t>
      </w:r>
      <w:r w:rsidR="00E47D9D" w:rsidRPr="003D1E07">
        <w:t>„věc“ (</w:t>
      </w:r>
      <w:r w:rsidR="00E47D9D" w:rsidRPr="003D1E07">
        <w:rPr>
          <w:i/>
        </w:rPr>
        <w:t>res</w:t>
      </w:r>
      <w:r w:rsidR="00E47D9D" w:rsidRPr="003D1E07">
        <w:t>)</w:t>
      </w:r>
      <w:r w:rsidR="001A122A" w:rsidRPr="003D1E07">
        <w:t>. Avicenna a západní modernisté na rozdíl od Averroese nem</w:t>
      </w:r>
      <w:r w:rsidR="00A95A8C">
        <w:t xml:space="preserve">ají </w:t>
      </w:r>
      <w:r w:rsidR="001A122A" w:rsidRPr="003D1E07">
        <w:t xml:space="preserve">pojem pravdy jako korespondence mezi skutečnými věcmi a intelektem. </w:t>
      </w:r>
      <w:r w:rsidR="008F61D0" w:rsidRPr="003D1E07">
        <w:t xml:space="preserve">Karteziánský a husserlovský postmodernismus chápe pravdu jako asimilaci jedné a téže formy, která je evidentně pozorována v intelektu a kontingentně dána ve věci. </w:t>
      </w:r>
      <w:r w:rsidRPr="003D1E07">
        <w:t>Intencionalita moderny je založená na denudaci jsoucen třetího druhu, která iluminát nazírá v přímém eidetickém náhledu</w:t>
      </w:r>
      <w:r w:rsidRPr="003D1E07">
        <w:fldChar w:fldCharType="begin"/>
      </w:r>
      <w:r w:rsidRPr="003D1E07">
        <w:instrText xml:space="preserve"> XE "vidění:eidetické" </w:instrText>
      </w:r>
      <w:r w:rsidRPr="003D1E07">
        <w:fldChar w:fldCharType="end"/>
      </w:r>
      <w:r w:rsidRPr="003D1E07">
        <w:t xml:space="preserve">. Citát CMDA ukazuje něco radikálně jiného. </w:t>
      </w:r>
      <w:r w:rsidR="008F61D0" w:rsidRPr="003D1E07">
        <w:t xml:space="preserve">Kauzálně daná korespondence se vztahuje k metafyzickému dativu, protože pravda </w:t>
      </w:r>
      <w:r w:rsidR="00377997" w:rsidRPr="003D1E07">
        <w:t xml:space="preserve">je </w:t>
      </w:r>
      <w:r w:rsidR="008F61D0" w:rsidRPr="003D1E07">
        <w:t xml:space="preserve">založena </w:t>
      </w:r>
      <w:r w:rsidR="00F9552C">
        <w:t xml:space="preserve">na základě existence </w:t>
      </w:r>
      <w:r w:rsidR="008F61D0" w:rsidRPr="003D1E07">
        <w:t>věci jako p</w:t>
      </w:r>
      <w:r w:rsidR="00F9552C">
        <w:t>rvní reálně existující substance</w:t>
      </w:r>
      <w:r w:rsidR="008F61D0" w:rsidRPr="003D1E07">
        <w:t xml:space="preserve">. </w:t>
      </w:r>
      <w:r w:rsidRPr="003D1E07">
        <w:t>Aristotelský intelekt je nasvícený od smyslo</w:t>
      </w:r>
      <w:r w:rsidR="003A516F" w:rsidRPr="003D1E07">
        <w:t xml:space="preserve">vě poznané první substance </w:t>
      </w:r>
      <w:r w:rsidRPr="003D1E07">
        <w:t xml:space="preserve">a přijímá intence v nemateriálním </w:t>
      </w:r>
      <w:r w:rsidR="00BB400D" w:rsidRPr="003D1E07">
        <w:t xml:space="preserve">aktu </w:t>
      </w:r>
      <w:r w:rsidR="003A516F" w:rsidRPr="003D1E07">
        <w:t xml:space="preserve">poznání </w:t>
      </w:r>
      <w:r w:rsidRPr="003D1E07">
        <w:t>(</w:t>
      </w:r>
      <w:r w:rsidRPr="003D1E07">
        <w:rPr>
          <w:i/>
        </w:rPr>
        <w:t>ab intentionibus quas recipit intellectus</w:t>
      </w:r>
      <w:r w:rsidRPr="003D1E07">
        <w:t xml:space="preserve">). Identita poznaných obsahů </w:t>
      </w:r>
      <w:r w:rsidR="00884364">
        <w:t>(</w:t>
      </w:r>
      <w:r w:rsidR="00884364" w:rsidRPr="00884364">
        <w:rPr>
          <w:i/>
        </w:rPr>
        <w:t>intellectum</w:t>
      </w:r>
      <w:r w:rsidR="003A18E3">
        <w:rPr>
          <w:i/>
        </w:rPr>
        <w:fldChar w:fldCharType="begin"/>
      </w:r>
      <w:r w:rsidR="003A18E3">
        <w:instrText xml:space="preserve"> XE "</w:instrText>
      </w:r>
      <w:r w:rsidR="003A18E3" w:rsidRPr="00AF0BD5">
        <w:rPr>
          <w:i/>
        </w:rPr>
        <w:instrText>intellectio/intellectum</w:instrText>
      </w:r>
      <w:r w:rsidR="003A18E3">
        <w:instrText xml:space="preserve">" </w:instrText>
      </w:r>
      <w:r w:rsidR="003A18E3">
        <w:rPr>
          <w:i/>
        </w:rPr>
        <w:fldChar w:fldCharType="end"/>
      </w:r>
      <w:r w:rsidR="00884364">
        <w:t xml:space="preserve">) </w:t>
      </w:r>
      <w:r w:rsidRPr="003D1E07">
        <w:t>je proto zásadně odlišná od ipseity intelektu</w:t>
      </w:r>
      <w:r w:rsidR="00884364">
        <w:t xml:space="preserve"> (</w:t>
      </w:r>
      <w:r w:rsidR="00884364" w:rsidRPr="00884364">
        <w:rPr>
          <w:i/>
        </w:rPr>
        <w:t>intellectio</w:t>
      </w:r>
      <w:r w:rsidR="00884364">
        <w:t>)</w:t>
      </w:r>
      <w:r w:rsidRPr="003D1E07">
        <w:t xml:space="preserve">. Ale tyto intencionální obsahy musí být univerzální, protože receptivní intelekt je svou podstatou nemateriální schopnost lidské duše daná skrze Alexandrovu definici receptivního intelektu v modu plné potenciality. </w:t>
      </w:r>
      <w:r w:rsidR="003804C3" w:rsidRPr="003D1E07">
        <w:t xml:space="preserve">Výše citovaná definice potvrzuje, že poznání postupuje od potenciality k aktualitě (εἰς ἐνέργειαν ἐκ δυνάμεως προαγόμενος) a intelektuální výkon začíná od čisté potenciality (ἐκ δυνάμεως δῆλον). </w:t>
      </w:r>
      <w:r w:rsidRPr="003D1E07">
        <w:t xml:space="preserve">Averroes vysoce oceňuje Al-Fárábího definici možného intelektu </w:t>
      </w:r>
      <w:r w:rsidR="005D6375" w:rsidRPr="003D1E07">
        <w:t>(</w:t>
      </w:r>
      <w:r w:rsidR="005D6375" w:rsidRPr="003D1E07">
        <w:rPr>
          <w:i/>
        </w:rPr>
        <w:t>intellectus in potencia</w:t>
      </w:r>
      <w:r w:rsidR="005D6375" w:rsidRPr="003D1E07">
        <w:t xml:space="preserve">) </w:t>
      </w:r>
      <w:r w:rsidRPr="003D1E07">
        <w:t xml:space="preserve">podle Alexandra. </w:t>
      </w:r>
      <w:r w:rsidR="005D6375" w:rsidRPr="003D1E07">
        <w:lastRenderedPageBreak/>
        <w:t xml:space="preserve">Receptivita začíná </w:t>
      </w:r>
      <w:r w:rsidR="005D6375" w:rsidRPr="003D1E07">
        <w:rPr>
          <w:i/>
        </w:rPr>
        <w:t>per prius</w:t>
      </w:r>
      <w:r w:rsidR="005D6375" w:rsidRPr="003D1E07">
        <w:t xml:space="preserve"> na úrovni smyslového poznání, kdy dochází k prvnímu impulsu </w:t>
      </w:r>
      <w:r w:rsidR="00CA0B84" w:rsidRPr="003D1E07">
        <w:t xml:space="preserve">reálné </w:t>
      </w:r>
      <w:r w:rsidR="005D6375" w:rsidRPr="003D1E07">
        <w:t xml:space="preserve">kauzality a aktuálnosti v procesu poznávání. </w:t>
      </w:r>
      <w:r w:rsidR="00CA0B84" w:rsidRPr="003D1E07">
        <w:t>Poznání p</w:t>
      </w:r>
      <w:r w:rsidR="005D6375" w:rsidRPr="003D1E07">
        <w:t xml:space="preserve">okračuje přes </w:t>
      </w:r>
      <w:r w:rsidR="00CA0B84" w:rsidRPr="003D1E07">
        <w:t>nemateriální recepci (</w:t>
      </w:r>
      <w:r w:rsidR="005D6375" w:rsidRPr="003D1E07">
        <w:rPr>
          <w:i/>
        </w:rPr>
        <w:t>intellectus possibilis</w:t>
      </w:r>
      <w:r w:rsidR="00CA0B84" w:rsidRPr="003D1E07">
        <w:t xml:space="preserve">) </w:t>
      </w:r>
      <w:r w:rsidR="005D6375" w:rsidRPr="003D1E07">
        <w:t xml:space="preserve">a přes aktivní abstrakci </w:t>
      </w:r>
      <w:r w:rsidR="00CA0B84" w:rsidRPr="003D1E07">
        <w:t>(</w:t>
      </w:r>
      <w:r w:rsidR="005D6375" w:rsidRPr="003D1E07">
        <w:rPr>
          <w:i/>
        </w:rPr>
        <w:t>intellectus agens</w:t>
      </w:r>
      <w:r w:rsidR="00CA0B84" w:rsidRPr="003D1E07">
        <w:t xml:space="preserve">) až </w:t>
      </w:r>
      <w:r w:rsidR="005D6375" w:rsidRPr="003D1E07">
        <w:t>ke konečnému nehmotnému poznání. Toto pojetí receptivního intelektu v</w:t>
      </w:r>
      <w:r w:rsidR="0039780D">
        <w:t xml:space="preserve"> impozičním </w:t>
      </w:r>
      <w:r w:rsidR="005D6375" w:rsidRPr="003D1E07">
        <w:t xml:space="preserve">modu </w:t>
      </w:r>
      <w:r w:rsidR="005D6375" w:rsidRPr="003D1E07">
        <w:rPr>
          <w:i/>
        </w:rPr>
        <w:t>ipse</w:t>
      </w:r>
      <w:r w:rsidR="005D6375" w:rsidRPr="003D1E07">
        <w:t xml:space="preserve"> (</w:t>
      </w:r>
      <w:r w:rsidR="005D6375" w:rsidRPr="003D1E07">
        <w:rPr>
          <w:i/>
        </w:rPr>
        <w:t>tertium genus</w:t>
      </w:r>
      <w:r w:rsidR="005D6375" w:rsidRPr="003D1E07">
        <w:t>) a jeho univerzálního obsahu v</w:t>
      </w:r>
      <w:r w:rsidR="0039780D">
        <w:t xml:space="preserve"> supozičním </w:t>
      </w:r>
      <w:r w:rsidR="005D6375" w:rsidRPr="003D1E07">
        <w:t xml:space="preserve">modu </w:t>
      </w:r>
      <w:r w:rsidR="005D6375" w:rsidRPr="003D1E07">
        <w:rPr>
          <w:i/>
        </w:rPr>
        <w:t>idem</w:t>
      </w:r>
      <w:r w:rsidR="005D6375" w:rsidRPr="003D1E07">
        <w:t xml:space="preserve"> (</w:t>
      </w:r>
      <w:r w:rsidR="005D6375" w:rsidRPr="003D1E07">
        <w:rPr>
          <w:i/>
        </w:rPr>
        <w:t>quartum genus</w:t>
      </w:r>
      <w:r w:rsidR="005D6375" w:rsidRPr="003D1E07">
        <w:t>) v</w:t>
      </w:r>
      <w:r w:rsidR="007B766D" w:rsidRPr="003D1E07">
        <w:t xml:space="preserve"> avicennovské </w:t>
      </w:r>
      <w:r w:rsidR="00CA0B84" w:rsidRPr="003D1E07">
        <w:t>moderně zcela zmizelo</w:t>
      </w:r>
      <w:r w:rsidR="005D6375" w:rsidRPr="003D1E07">
        <w:t xml:space="preserve">. Proto </w:t>
      </w:r>
      <w:r w:rsidR="004C2453" w:rsidRPr="003D1E07">
        <w:t xml:space="preserve">modernisté </w:t>
      </w:r>
      <w:r w:rsidR="005D6375" w:rsidRPr="003D1E07">
        <w:t xml:space="preserve">nemají pojetí pravdy jako </w:t>
      </w:r>
      <w:r w:rsidR="005D6375" w:rsidRPr="003D1E07">
        <w:rPr>
          <w:i/>
        </w:rPr>
        <w:t>proportio</w:t>
      </w:r>
      <w:r w:rsidR="009206BD" w:rsidRPr="003D1E07">
        <w:t xml:space="preserve">, které zavedl Komentátor. </w:t>
      </w:r>
      <w:r w:rsidRPr="003D1E07">
        <w:t>Ale neoplatonik Themistius s</w:t>
      </w:r>
      <w:r w:rsidR="003E543B" w:rsidRPr="003D1E07">
        <w:t xml:space="preserve">právně definoval průběh poznání, které je </w:t>
      </w:r>
      <w:r w:rsidRPr="003D1E07">
        <w:t>založen</w:t>
      </w:r>
      <w:r w:rsidR="003E543B" w:rsidRPr="003D1E07">
        <w:t xml:space="preserve">o </w:t>
      </w:r>
      <w:r w:rsidRPr="003D1E07">
        <w:t xml:space="preserve">na aktualizaci </w:t>
      </w:r>
      <w:r w:rsidR="003E543B" w:rsidRPr="003D1E07">
        <w:t xml:space="preserve">materiálního </w:t>
      </w:r>
      <w:r w:rsidRPr="003D1E07">
        <w:t>intelektu daného individuálně.</w:t>
      </w:r>
      <w:r w:rsidR="08E930CD" w:rsidRPr="003D1E07">
        <w:t xml:space="preserve"> </w:t>
      </w:r>
      <w:r w:rsidR="003E543B" w:rsidRPr="003D1E07">
        <w:t xml:space="preserve">Ale moderní individuum je substance třetího druhu, kterou </w:t>
      </w:r>
      <w:r w:rsidR="08E930CD" w:rsidRPr="003D1E07">
        <w:t xml:space="preserve">Averroes </w:t>
      </w:r>
      <w:r w:rsidR="003E543B" w:rsidRPr="003D1E07">
        <w:t>odmítl. Proto jasně definoval lidskou duši (</w:t>
      </w:r>
      <w:r w:rsidR="003E543B" w:rsidRPr="003D1E07">
        <w:rPr>
          <w:i/>
        </w:rPr>
        <w:t>anima intellectiva</w:t>
      </w:r>
      <w:r w:rsidR="003E543B" w:rsidRPr="003D1E07">
        <w:t xml:space="preserve">) jako formu </w:t>
      </w:r>
      <w:r w:rsidR="009206BD" w:rsidRPr="003D1E07">
        <w:t>jedine</w:t>
      </w:r>
      <w:r w:rsidR="003E543B" w:rsidRPr="003D1E07">
        <w:t>čného smyslového těla. To tvoří osobu jako nedělitelnou aktuální první substanci podle Kategorií</w:t>
      </w:r>
      <w:r w:rsidR="009206BD" w:rsidRPr="003D1E07">
        <w:t>. S</w:t>
      </w:r>
      <w:r w:rsidRPr="003D1E07">
        <w:t xml:space="preserve">tejně diferencovaný postoj jako k Themistiovi existuje vůči Alexandrovu komentáři </w:t>
      </w:r>
      <w:r w:rsidRPr="003D1E07">
        <w:rPr>
          <w:i/>
        </w:rPr>
        <w:t>De anima</w:t>
      </w:r>
      <w:r w:rsidR="00C30C82" w:rsidRPr="003D1E07">
        <w:t>, který</w:t>
      </w:r>
      <w:r w:rsidRPr="003D1E07">
        <w:t xml:space="preserve"> nově vyložil Druhý mistr. Alexander nemůže mít celé aristotelské schéma adekvace </w:t>
      </w:r>
      <w:r w:rsidR="00CF4A03">
        <w:t xml:space="preserve">věci </w:t>
      </w:r>
      <w:r w:rsidRPr="003D1E07">
        <w:t xml:space="preserve">a rozumu, protože je fatálně přerušil v klíčovém místě adekvace smyslů a intelektu. Alexander udělal z materiálního intelektu nižší složku poznání na úrovni smyslů. </w:t>
      </w:r>
      <w:r w:rsidR="00954520" w:rsidRPr="003D1E07">
        <w:t xml:space="preserve">Jen </w:t>
      </w:r>
      <w:r w:rsidRPr="003D1E07">
        <w:t xml:space="preserve">tento intelekt funguje podle Alexandra v existenciálním modu ipseity, protože tvoří součást osoby jako hylemorfické první substance. </w:t>
      </w:r>
      <w:r w:rsidR="00E553F5" w:rsidRPr="003D1E07">
        <w:t xml:space="preserve">Komentář </w:t>
      </w:r>
      <w:r w:rsidR="00954520" w:rsidRPr="003D1E07">
        <w:t xml:space="preserve">koriguje </w:t>
      </w:r>
      <w:r w:rsidR="00E553F5" w:rsidRPr="003D1E07">
        <w:t>chybné pojetí Alexandra, které ve falsafě přebral modernista Ibn Bája</w:t>
      </w:r>
      <w:r w:rsidR="00E553F5" w:rsidRPr="003D1E07">
        <w:fldChar w:fldCharType="begin"/>
      </w:r>
      <w:r w:rsidR="00E553F5" w:rsidRPr="003D1E07">
        <w:instrText xml:space="preserve"> XE "Ibn Bája" </w:instrText>
      </w:r>
      <w:r w:rsidR="00E553F5" w:rsidRPr="003D1E07">
        <w:fldChar w:fldCharType="end"/>
      </w:r>
      <w:r w:rsidR="00E553F5" w:rsidRPr="003D1E07">
        <w:t xml:space="preserve">. </w:t>
      </w:r>
      <w:r w:rsidRPr="003D1E07">
        <w:t>Alexander udělal z receptivity součást hyleformického individua a tím jej zbavil receptivní formy nemateriality dané ze smyslů</w:t>
      </w:r>
      <w:r w:rsidR="00954520" w:rsidRPr="003D1E07">
        <w:t xml:space="preserve">. </w:t>
      </w:r>
      <w:r w:rsidR="00904345">
        <w:t>T</w:t>
      </w:r>
      <w:r w:rsidR="00954520" w:rsidRPr="003D1E07">
        <w:t xml:space="preserve">uto nematerialitu myšlení </w:t>
      </w:r>
      <w:r w:rsidR="00904345">
        <w:t xml:space="preserve">ale </w:t>
      </w:r>
      <w:r w:rsidR="00954520" w:rsidRPr="003D1E07">
        <w:t>částe</w:t>
      </w:r>
      <w:r w:rsidRPr="003D1E07">
        <w:t xml:space="preserve">čně drží Themistius v konceptu materiálního intelektu determinovaného smyslově. </w:t>
      </w:r>
    </w:p>
    <w:p w14:paraId="7B3D9964" w14:textId="72565840" w:rsidR="08126A94" w:rsidRPr="003D1E07" w:rsidRDefault="08126A94" w:rsidP="08200C13">
      <w:pPr>
        <w:pStyle w:val="Citace"/>
        <w:rPr>
          <w:lang w:val="cs-CZ"/>
        </w:rPr>
      </w:pPr>
      <w:r w:rsidRPr="003D1E07">
        <w:rPr>
          <w:lang w:val="cs-CZ"/>
        </w:rPr>
        <w:t>„</w:t>
      </w:r>
      <w:r w:rsidR="00A255D5" w:rsidRPr="003D1E07">
        <w:rPr>
          <w:lang w:val="cs-CZ"/>
        </w:rPr>
        <w:t>Alexander ř</w:t>
      </w:r>
      <w:r w:rsidRPr="003D1E07">
        <w:rPr>
          <w:lang w:val="cs-CZ"/>
        </w:rPr>
        <w:t xml:space="preserve">ekl ve svém spisu </w:t>
      </w:r>
      <w:r w:rsidRPr="003D1E07">
        <w:rPr>
          <w:i/>
          <w:lang w:val="cs-CZ"/>
        </w:rPr>
        <w:t>O intelektu</w:t>
      </w:r>
      <w:r w:rsidRPr="003D1E07">
        <w:rPr>
          <w:lang w:val="cs-CZ"/>
        </w:rPr>
        <w:t xml:space="preserve"> podle výkladu Aristotela, že materiální intelekt je schopnost daná na hylemorfickém substrátu </w:t>
      </w:r>
      <w:r w:rsidRPr="003D1E07">
        <w:rPr>
          <w:rStyle w:val="Zkladntextdkovn0pt"/>
          <w:rFonts w:ascii="Calibri" w:eastAsia="Times" w:hAnsi="Calibri" w:cs="Times New Roman"/>
          <w:spacing w:val="0"/>
          <w:sz w:val="22"/>
          <w:u w:val="none"/>
          <w:lang w:val="cs-CZ"/>
        </w:rPr>
        <w:t>(</w:t>
      </w:r>
      <w:r w:rsidRPr="003D1E07">
        <w:rPr>
          <w:i/>
          <w:lang w:val="cs-CZ"/>
        </w:rPr>
        <w:t>intellectus materialis est virtus facta a complexione</w:t>
      </w:r>
      <w:r w:rsidRPr="003D1E07">
        <w:rPr>
          <w:lang w:val="cs-CZ"/>
        </w:rPr>
        <w:t>).“ </w:t>
      </w:r>
      <w:r w:rsidRPr="003D1E07">
        <w:rPr>
          <w:rStyle w:val="Znakapoznpodarou"/>
          <w:lang w:val="cs-CZ"/>
        </w:rPr>
        <w:footnoteReference w:id="242"/>
      </w:r>
    </w:p>
    <w:p w14:paraId="7D3CB21E" w14:textId="77777777" w:rsidR="001C5B3E" w:rsidRDefault="08126A94" w:rsidP="08126A94">
      <w:r w:rsidRPr="003D1E07">
        <w:t xml:space="preserve">Alexander a po něm Avempace udělali v rozporu s literou </w:t>
      </w:r>
      <w:r w:rsidRPr="003D1E07">
        <w:rPr>
          <w:i/>
        </w:rPr>
        <w:t>De anima</w:t>
      </w:r>
      <w:r w:rsidRPr="003D1E07">
        <w:t xml:space="preserve"> z receptivního intelektu pouhou materiální schopnost vázanou na tělo jako první substanci (</w:t>
      </w:r>
      <w:r w:rsidRPr="003D1E07">
        <w:rPr>
          <w:i/>
        </w:rPr>
        <w:t>virtus facta a complexione</w:t>
      </w:r>
      <w:r w:rsidRPr="003D1E07">
        <w:t xml:space="preserve">). Tím oddělili smyslové a rozumové poznání a zrušili hledané </w:t>
      </w:r>
      <w:r w:rsidRPr="003D1E07">
        <w:rPr>
          <w:i/>
        </w:rPr>
        <w:t>proportio</w:t>
      </w:r>
      <w:r w:rsidR="00E27E2B" w:rsidRPr="003D1E07">
        <w:t xml:space="preserve"> mezi smysly a rozumem</w:t>
      </w:r>
      <w:r w:rsidRPr="003D1E07">
        <w:t xml:space="preserve">. Toto řešení bylo ale ortodoxně aristotelské ve všech ostatních bodech, protože udrželo nemateriální poznání v rámci hledané pravdy jako </w:t>
      </w:r>
      <w:r w:rsidRPr="003D1E07">
        <w:rPr>
          <w:i/>
        </w:rPr>
        <w:t>proportio</w:t>
      </w:r>
      <w:r w:rsidRPr="003D1E07">
        <w:rPr>
          <w:i/>
        </w:rPr>
        <w:fldChar w:fldCharType="begin"/>
      </w:r>
      <w:r w:rsidRPr="003D1E07">
        <w:instrText xml:space="preserve"> XE "pravda:</w:instrText>
      </w:r>
      <w:r w:rsidRPr="003D1E07">
        <w:rPr>
          <w:i/>
        </w:rPr>
        <w:instrText>proportio</w:instrText>
      </w:r>
      <w:r w:rsidRPr="003D1E07">
        <w:instrText xml:space="preserve">" </w:instrText>
      </w:r>
      <w:r w:rsidRPr="003D1E07">
        <w:rPr>
          <w:i/>
        </w:rPr>
        <w:fldChar w:fldCharType="end"/>
      </w:r>
      <w:r w:rsidRPr="003D1E07">
        <w:t xml:space="preserve"> abstrahovaných forem ze smyslů. Alexander a po něm Ibn Bája sice dosáhli individuace intelektu nasvícením </w:t>
      </w:r>
      <w:r w:rsidRPr="003D1E07">
        <w:lastRenderedPageBreak/>
        <w:t xml:space="preserve">zepředu, ale jejich receptivní intelekt přestal být nemateriální povahy a dostal charakter smyslového poznání. Člověk by pak poznával úplně stejně jako zvíře, což je sice současná pozice </w:t>
      </w:r>
      <w:r w:rsidR="00FB62B1">
        <w:t xml:space="preserve">nihilistických </w:t>
      </w:r>
      <w:r w:rsidRPr="003D1E07">
        <w:t xml:space="preserve">humanitních neurověd, ale nikoliv </w:t>
      </w:r>
      <w:r w:rsidR="00FB62B1">
        <w:t xml:space="preserve">skutečný </w:t>
      </w:r>
      <w:r w:rsidRPr="003D1E07">
        <w:t>humanismus Al-Fárábího</w:t>
      </w:r>
      <w:r w:rsidRPr="003D1E07">
        <w:rPr>
          <w:i/>
        </w:rPr>
        <w:fldChar w:fldCharType="begin"/>
      </w:r>
      <w:r w:rsidRPr="003D1E07">
        <w:instrText xml:space="preserve"> XE "humanismus:Al-Fárábí" </w:instrText>
      </w:r>
      <w:r w:rsidRPr="003D1E07">
        <w:rPr>
          <w:i/>
        </w:rPr>
        <w:fldChar w:fldCharType="end"/>
      </w:r>
      <w:r w:rsidRPr="003D1E07">
        <w:t xml:space="preserve"> hájený Komentátorem. Alexander definoval receptivní intelekt v protikladu k materiálnímu intelektu</w:t>
      </w:r>
      <w:r w:rsidR="00A546C3" w:rsidRPr="003D1E07">
        <w:t xml:space="preserve">. Jeho pojetí odděleného receptivního intelektu jako čisté intelektuální potence neumožňuje </w:t>
      </w:r>
      <w:r w:rsidR="00A546C3" w:rsidRPr="003D1E07">
        <w:rPr>
          <w:rStyle w:val="TextpoznpodarouChar"/>
        </w:rPr>
        <w:t>materiální</w:t>
      </w:r>
      <w:r w:rsidRPr="003D1E07">
        <w:rPr>
          <w:rStyle w:val="TextpoznpodarouChar"/>
        </w:rPr>
        <w:t xml:space="preserve"> působ</w:t>
      </w:r>
      <w:r w:rsidR="00A546C3" w:rsidRPr="003D1E07">
        <w:rPr>
          <w:rStyle w:val="TextpoznpodarouChar"/>
        </w:rPr>
        <w:t>ení skrze tělo</w:t>
      </w:r>
      <w:r w:rsidRPr="003D1E07">
        <w:rPr>
          <w:rStyle w:val="TextpoznpodarouChar"/>
        </w:rPr>
        <w:t xml:space="preserve"> (οὔτε σώματος δύναμις ὤν) a proto byl čistá potence </w:t>
      </w:r>
      <w:r w:rsidRPr="003D1E07">
        <w:t xml:space="preserve">(ἔστιν δύναμίς τις ἁπλῶς, kap. 2.1.1). Tím vznikl pojem </w:t>
      </w:r>
      <w:r w:rsidRPr="003D1E07">
        <w:rPr>
          <w:i/>
        </w:rPr>
        <w:t>intellectus possibilis</w:t>
      </w:r>
      <w:r w:rsidRPr="003D1E07">
        <w:t xml:space="preserve"> jako nemateriální substance, jenže ta byla zcela oddělena od hylického intelektu daného v těle a determinovaného smyslově. Averroes v posledním stádiu svého myšlení přestal být modernistou a alexandrovcem. Tento aristotelik držel nemateriální </w:t>
      </w:r>
      <w:r w:rsidRPr="003D1E07">
        <w:rPr>
          <w:i/>
        </w:rPr>
        <w:t>intellectus possibilis</w:t>
      </w:r>
      <w:r w:rsidRPr="003D1E07">
        <w:t xml:space="preserve"> v oduševnělém těle, a n</w:t>
      </w:r>
      <w:r w:rsidR="004146B6">
        <w:t xml:space="preserve">e </w:t>
      </w:r>
      <w:r w:rsidRPr="003D1E07">
        <w:t xml:space="preserve">jako Alexandrovu samostatnou neoplatonskou hypostázi. </w:t>
      </w:r>
      <w:r w:rsidR="00A546C3" w:rsidRPr="003D1E07">
        <w:t xml:space="preserve">Jednota osoby vyžaduje, aby </w:t>
      </w:r>
      <w:r w:rsidRPr="003D1E07">
        <w:t xml:space="preserve">možný intelekt </w:t>
      </w:r>
      <w:r w:rsidR="00A546C3" w:rsidRPr="003D1E07">
        <w:t>tvořil nemateriální potenci</w:t>
      </w:r>
      <w:r w:rsidRPr="003D1E07">
        <w:t xml:space="preserve"> duše, ale nikoliv jako vnější složka těla daná na způsob Alexandra a Ibn Báji. Hylický intelekt Alexandra nebo materiální intelekt Themistia musí dostat vlastnosti, které má nemateriální </w:t>
      </w:r>
      <w:r w:rsidRPr="003D1E07">
        <w:rPr>
          <w:i/>
        </w:rPr>
        <w:t>intellectus possibilis</w:t>
      </w:r>
      <w:r w:rsidRPr="003D1E07">
        <w:t xml:space="preserve"> definovaný jako </w:t>
      </w:r>
      <w:r w:rsidR="001C5B3E">
        <w:t>čistá potence.</w:t>
      </w:r>
    </w:p>
    <w:p w14:paraId="1DEF6354" w14:textId="77777777" w:rsidR="00171FF6" w:rsidRDefault="008A0D77" w:rsidP="00171FF6">
      <w:pPr>
        <w:ind w:firstLine="397"/>
      </w:pPr>
      <w:r w:rsidRPr="003D1E07">
        <w:t xml:space="preserve">Ibn Rušd dotáhl </w:t>
      </w:r>
      <w:r w:rsidR="08126A94" w:rsidRPr="003D1E07">
        <w:t>do konce Alfarabiovu kritiku Alexandr</w:t>
      </w:r>
      <w:r w:rsidR="00236EC6" w:rsidRPr="003D1E07">
        <w:t xml:space="preserve">a vytvořenou skrze </w:t>
      </w:r>
      <w:r w:rsidR="08126A94" w:rsidRPr="003D1E07">
        <w:t xml:space="preserve">termín </w:t>
      </w:r>
      <w:r w:rsidR="08126A94" w:rsidRPr="003D1E07">
        <w:rPr>
          <w:i/>
        </w:rPr>
        <w:t>intellectus in potencia</w:t>
      </w:r>
      <w:r w:rsidR="08126A94" w:rsidRPr="003D1E07">
        <w:t xml:space="preserve">. Citovali jsme u Al-Fárábího klíčové místo Alexandrova komentáře </w:t>
      </w:r>
      <w:r w:rsidR="08126A94" w:rsidRPr="003D1E07">
        <w:rPr>
          <w:rStyle w:val="TextpoznpodarouChar"/>
          <w:i/>
        </w:rPr>
        <w:t>De anima liber cum Mantissa</w:t>
      </w:r>
      <w:r w:rsidR="08126A94" w:rsidRPr="003D1E07">
        <w:rPr>
          <w:rStyle w:val="TextpoznpodarouChar"/>
        </w:rPr>
        <w:t xml:space="preserve"> (107.15‒20</w:t>
      </w:r>
      <w:r w:rsidR="08126A94" w:rsidRPr="003D1E07">
        <w:rPr>
          <w:rStyle w:val="TextpoznpodarouChar"/>
        </w:rPr>
        <w:fldChar w:fldCharType="begin"/>
      </w:r>
      <w:r w:rsidR="08126A94" w:rsidRPr="003D1E07">
        <w:instrText xml:space="preserve"> XE "Alexander Afrodisias:</w:instrText>
      </w:r>
      <w:r w:rsidR="08126A94" w:rsidRPr="003D1E07">
        <w:rPr>
          <w:rStyle w:val="TextpoznpodarouChar"/>
          <w:i/>
        </w:rPr>
        <w:instrText>De anima liber cum Mantissa</w:instrText>
      </w:r>
      <w:r w:rsidR="08126A94" w:rsidRPr="003D1E07">
        <w:rPr>
          <w:rStyle w:val="TextpoznpodarouChar"/>
        </w:rPr>
        <w:instrText xml:space="preserve"> 107.15‒20</w:instrText>
      </w:r>
      <w:r w:rsidR="08126A94" w:rsidRPr="003D1E07">
        <w:instrText xml:space="preserve">" </w:instrText>
      </w:r>
      <w:r w:rsidR="08126A94" w:rsidRPr="003D1E07">
        <w:rPr>
          <w:rStyle w:val="TextpoznpodarouChar"/>
        </w:rPr>
        <w:fldChar w:fldCharType="end"/>
      </w:r>
      <w:r w:rsidR="08126A94" w:rsidRPr="003D1E07">
        <w:rPr>
          <w:rStyle w:val="TextpoznpodarouChar"/>
        </w:rPr>
        <w:t xml:space="preserve">) </w:t>
      </w:r>
      <w:r w:rsidR="08126A94" w:rsidRPr="003D1E07">
        <w:t xml:space="preserve">definující hylický intelekt (kap. 2.1.1). Alexander vázal pasivní poznání na materiální tělo a tento vskutku materiální intelekt neměl jak aktualizovat, protože receptivní nemateriální intelekt měl daný v modu </w:t>
      </w:r>
      <w:r w:rsidR="08126A94" w:rsidRPr="003D1E07">
        <w:rPr>
          <w:i/>
        </w:rPr>
        <w:t>separatus</w:t>
      </w:r>
      <w:r w:rsidR="08126A94" w:rsidRPr="003D1E07">
        <w:t>. Díky existenci materie není problém definovat první stupeň poznání v rámci „potence – akt“, které se dějí skrze tělo jako jedinečném substrátu. Dokonce to lze provést i v rámci univoční predikace. Jenže Alexandrův receptivní intelekt je čistě materiální, což odporuje skutečnému průběhu univerzálního poznání, které je nemateriální povahy a začíná za smyslovým poznáním. Klíčový přínos Alexandrova komentáře byl pro Averroese v tom, že zrušil pro lidský intelekt statut neoplatonské a Avicennovy substance (</w:t>
      </w:r>
      <w:r w:rsidR="08126A94" w:rsidRPr="003D1E07">
        <w:rPr>
          <w:i/>
        </w:rPr>
        <w:t>hoc aliquid</w:t>
      </w:r>
      <w:r w:rsidR="08126A94" w:rsidRPr="003D1E07">
        <w:fldChar w:fldCharType="begin"/>
      </w:r>
      <w:r w:rsidR="08126A94" w:rsidRPr="003D1E07">
        <w:instrText xml:space="preserve"> XE "</w:instrText>
      </w:r>
      <w:r w:rsidR="08126A94" w:rsidRPr="003D1E07">
        <w:rPr>
          <w:i/>
        </w:rPr>
        <w:instrText>hoc aliquid</w:instrText>
      </w:r>
      <w:r w:rsidR="08126A94" w:rsidRPr="003D1E07">
        <w:instrText xml:space="preserve">:Averroes" </w:instrText>
      </w:r>
      <w:r w:rsidR="08126A94" w:rsidRPr="003D1E07">
        <w:fldChar w:fldCharType="end"/>
      </w:r>
      <w:r w:rsidR="08126A94" w:rsidRPr="003D1E07">
        <w:t>) a udělal z něj pouhou intelektuální potenci duše, která je nemateriální forma těla. Alexandrem zdůrazněný individuální výkon intelektu má podle Averroese vlastní kvazi-materii (</w:t>
      </w:r>
      <w:r w:rsidR="08126A94" w:rsidRPr="003D1E07">
        <w:rPr>
          <w:i/>
        </w:rPr>
        <w:t>intellectus materialis</w:t>
      </w:r>
      <w:r w:rsidR="08126A94" w:rsidRPr="003D1E07">
        <w:rPr>
          <w:i/>
        </w:rPr>
        <w:fldChar w:fldCharType="begin"/>
      </w:r>
      <w:r w:rsidR="08126A94" w:rsidRPr="003D1E07">
        <w:instrText xml:space="preserve"> XE "</w:instrText>
      </w:r>
      <w:r w:rsidR="08126A94" w:rsidRPr="003D1E07">
        <w:rPr>
          <w:i/>
        </w:rPr>
        <w:instrText>intellectus materialis:</w:instrText>
      </w:r>
      <w:r w:rsidR="08126A94" w:rsidRPr="003D1E07">
        <w:instrText xml:space="preserve">Avicenna" </w:instrText>
      </w:r>
      <w:r w:rsidR="08126A94" w:rsidRPr="003D1E07">
        <w:rPr>
          <w:i/>
        </w:rPr>
        <w:fldChar w:fldCharType="end"/>
      </w:r>
      <w:r w:rsidR="08126A94" w:rsidRPr="003D1E07">
        <w:t>) aktualizovanou svou vlastní intelektuální kvazi-formou (</w:t>
      </w:r>
      <w:r w:rsidR="08126A94" w:rsidRPr="003D1E07">
        <w:rPr>
          <w:i/>
        </w:rPr>
        <w:t>intellectus agens</w:t>
      </w:r>
      <w:r w:rsidR="08126A94" w:rsidRPr="003D1E07">
        <w:rPr>
          <w:i/>
        </w:rPr>
        <w:fldChar w:fldCharType="begin"/>
      </w:r>
      <w:r w:rsidR="08126A94" w:rsidRPr="003D1E07">
        <w:instrText xml:space="preserve"> XE "</w:instrText>
      </w:r>
      <w:r w:rsidR="08126A94" w:rsidRPr="003D1E07">
        <w:rPr>
          <w:i/>
        </w:rPr>
        <w:instrText>intellectus agens:</w:instrText>
      </w:r>
      <w:r w:rsidR="08126A94" w:rsidRPr="003D1E07">
        <w:instrText xml:space="preserve">Averroes" </w:instrText>
      </w:r>
      <w:r w:rsidR="08126A94" w:rsidRPr="003D1E07">
        <w:rPr>
          <w:i/>
        </w:rPr>
        <w:fldChar w:fldCharType="end"/>
      </w:r>
      <w:r w:rsidR="08126A94" w:rsidRPr="003D1E07">
        <w:t>).</w:t>
      </w:r>
      <w:r w:rsidR="08126A94" w:rsidRPr="003D1E07">
        <w:rPr>
          <w:rStyle w:val="Znakapoznpodarou"/>
        </w:rPr>
        <w:footnoteReference w:id="243"/>
      </w:r>
      <w:r w:rsidR="08126A94" w:rsidRPr="003D1E07">
        <w:t xml:space="preserve"> Slůvko „kvazi“ má v dalším </w:t>
      </w:r>
      <w:r w:rsidR="08126A94" w:rsidRPr="003D1E07">
        <w:lastRenderedPageBreak/>
        <w:t>průběhu sporů naprosto zásadní význam a poprvé jej použil v tomto významu výklad receptivní složky duše od Druhého mistra (</w:t>
      </w:r>
      <w:r w:rsidR="08126A94" w:rsidRPr="003D1E07">
        <w:rPr>
          <w:i/>
        </w:rPr>
        <w:t>quasi materia et subiectum</w:t>
      </w:r>
      <w:r w:rsidR="08126A94" w:rsidRPr="003D1E07">
        <w:rPr>
          <w:rStyle w:val="Zvraznn"/>
        </w:rPr>
        <w:t xml:space="preserve">, </w:t>
      </w:r>
      <w:r w:rsidR="08126A94" w:rsidRPr="003D1E07">
        <w:t>kap. 2.1.1</w:t>
      </w:r>
      <w:r w:rsidR="00F4116C" w:rsidRPr="003D1E07">
        <w:t>). Averroes odmítl dvojí jednotu</w:t>
      </w:r>
      <w:r w:rsidR="08126A94" w:rsidRPr="003D1E07">
        <w:t xml:space="preserve"> poznání dané nasvíceným zezadu skrze intelekt jako oddělenou nemateriální substanci. První formu tohoto nasvícení zezadu měl Themistius a druhou Alexander. Oba tvůrci </w:t>
      </w:r>
      <w:r w:rsidR="003D6F4F" w:rsidRPr="003D1E07">
        <w:t xml:space="preserve">moderní a proto </w:t>
      </w:r>
      <w:r w:rsidR="08126A94" w:rsidRPr="003D1E07">
        <w:t>mytopoetické verze poznání vytvořili separované formy intelektu-substance a změnili intelekt z duševní potence na aktuální neoplatonské</w:t>
      </w:r>
      <w:r w:rsidR="00892164">
        <w:t xml:space="preserve"> jsoucno a formu třetího druhu.</w:t>
      </w:r>
      <w:r w:rsidR="00171FF6">
        <w:t xml:space="preserve"> </w:t>
      </w:r>
      <w:r w:rsidR="08126A94" w:rsidRPr="003D1E07">
        <w:t xml:space="preserve">Komentář CMDA </w:t>
      </w:r>
      <w:r w:rsidR="000B4583" w:rsidRPr="003D1E07">
        <w:t xml:space="preserve">definuje </w:t>
      </w:r>
      <w:r w:rsidR="08126A94" w:rsidRPr="003D1E07">
        <w:t xml:space="preserve">nemateriální receptivitu intelektu </w:t>
      </w:r>
      <w:r w:rsidR="000B4583" w:rsidRPr="003D1E07">
        <w:t xml:space="preserve">v modu </w:t>
      </w:r>
      <w:r w:rsidR="000B4583" w:rsidRPr="003D1E07">
        <w:rPr>
          <w:i/>
        </w:rPr>
        <w:t>separabilis</w:t>
      </w:r>
      <w:r w:rsidR="00136700" w:rsidRPr="003D1E07">
        <w:rPr>
          <w:i/>
        </w:rPr>
        <w:fldChar w:fldCharType="begin"/>
      </w:r>
      <w:r w:rsidR="00136700" w:rsidRPr="003D1E07">
        <w:instrText xml:space="preserve"> XE "</w:instrText>
      </w:r>
      <w:r w:rsidR="00136700" w:rsidRPr="003D1E07">
        <w:rPr>
          <w:i/>
        </w:rPr>
        <w:instrText>separabilis/separatus</w:instrText>
      </w:r>
      <w:r w:rsidR="00136700" w:rsidRPr="003D1E07">
        <w:instrText xml:space="preserve">" </w:instrText>
      </w:r>
      <w:r w:rsidR="00136700" w:rsidRPr="003D1E07">
        <w:rPr>
          <w:i/>
        </w:rPr>
        <w:fldChar w:fldCharType="end"/>
      </w:r>
      <w:r w:rsidR="000B4583" w:rsidRPr="003D1E07">
        <w:t xml:space="preserve">. Jde o specifickou schopnost </w:t>
      </w:r>
      <w:r w:rsidR="08126A94" w:rsidRPr="003D1E07">
        <w:t xml:space="preserve">duše </w:t>
      </w:r>
      <w:r w:rsidR="000B4583" w:rsidRPr="003D1E07">
        <w:t xml:space="preserve">determinovanou </w:t>
      </w:r>
      <w:r w:rsidR="08126A94" w:rsidRPr="003D1E07">
        <w:t>od ma</w:t>
      </w:r>
      <w:r w:rsidR="000B4583" w:rsidRPr="003D1E07">
        <w:t>teriální receptivity smyslů, které jsou dány jako tělesné orgány</w:t>
      </w:r>
      <w:r w:rsidR="00171FF6">
        <w:t>.</w:t>
      </w:r>
    </w:p>
    <w:p w14:paraId="05329701" w14:textId="03C243FE" w:rsidR="08126A94" w:rsidRPr="003D1E07" w:rsidRDefault="08126A94" w:rsidP="00171FF6">
      <w:pPr>
        <w:ind w:firstLine="397"/>
      </w:pPr>
      <w:r w:rsidRPr="003D1E07">
        <w:t>Nové řešení materiálního intelektu spojí Al</w:t>
      </w:r>
      <w:r w:rsidRPr="003D1E07">
        <w:noBreakHyphen/>
        <w:t xml:space="preserve">Fárábího pojetí možného intelektu </w:t>
      </w:r>
      <w:r w:rsidR="00F625DF" w:rsidRPr="003D1E07">
        <w:t xml:space="preserve">podle vylepšeného Alexandra </w:t>
      </w:r>
      <w:r w:rsidRPr="003D1E07">
        <w:t>s Themistiovým pojetím materiálního receptivního intelektu. Receptivita je dvojí, materiální a nemateriální, což zajistí základní formu individualizovaného poznání daného nasvícením zepředu. Intencionalita má klíčovou</w:t>
      </w:r>
      <w:r w:rsidR="00741A3D" w:rsidRPr="003D1E07">
        <w:t xml:space="preserve"> roli v celém půběhu poznání. U</w:t>
      </w:r>
      <w:r w:rsidRPr="003D1E07">
        <w:t xml:space="preserve">možňuje individuální </w:t>
      </w:r>
      <w:r w:rsidR="00741A3D" w:rsidRPr="003D1E07">
        <w:t xml:space="preserve">empirické </w:t>
      </w:r>
      <w:r w:rsidRPr="003D1E07">
        <w:t>poznání</w:t>
      </w:r>
      <w:r w:rsidR="00741A3D" w:rsidRPr="003D1E07">
        <w:t xml:space="preserve"> (zvířata) a současně zakládá p</w:t>
      </w:r>
      <w:r w:rsidRPr="003D1E07">
        <w:t xml:space="preserve">rvní formu </w:t>
      </w:r>
      <w:r w:rsidR="00741A3D" w:rsidRPr="003D1E07">
        <w:t>intelektuálního soudu jako základní formy pravdivého výroku (lidé)</w:t>
      </w:r>
      <w:r w:rsidRPr="003D1E07">
        <w:t>. Stejný postoj měla na latinském Západě škola prvního averroismu, kterou završil</w:t>
      </w:r>
      <w:r w:rsidR="005775A9">
        <w:t xml:space="preserve">a filosofie </w:t>
      </w:r>
      <w:r w:rsidRPr="003D1E07">
        <w:t>Siger</w:t>
      </w:r>
      <w:r w:rsidR="00B06AFF" w:rsidRPr="003D1E07">
        <w:t>a</w:t>
      </w:r>
      <w:r w:rsidRPr="003D1E07">
        <w:t xml:space="preserve"> z Brabantu. Tento nejlepší komentátor CMDA všech dob pochopil zásadní význam termínu </w:t>
      </w:r>
      <w:r w:rsidRPr="003D1E07">
        <w:rPr>
          <w:i/>
        </w:rPr>
        <w:t>separatus</w:t>
      </w:r>
      <w:r w:rsidRPr="003D1E07">
        <w:t xml:space="preserve"> a </w:t>
      </w:r>
      <w:r w:rsidRPr="003D1E07">
        <w:rPr>
          <w:i/>
        </w:rPr>
        <w:t>separabilis</w:t>
      </w:r>
      <w:r w:rsidRPr="003D1E07">
        <w:fldChar w:fldCharType="begin"/>
      </w:r>
      <w:r w:rsidRPr="003D1E07">
        <w:instrText xml:space="preserve"> XE "intelekt:</w:instrText>
      </w:r>
      <w:r w:rsidRPr="003D1E07">
        <w:rPr>
          <w:i/>
        </w:rPr>
        <w:instrText>separabilis</w:instrText>
      </w:r>
      <w:r w:rsidRPr="003D1E07">
        <w:instrText>/</w:instrText>
      </w:r>
      <w:r w:rsidRPr="003D1E07">
        <w:rPr>
          <w:i/>
        </w:rPr>
        <w:instrText>separatus</w:instrText>
      </w:r>
      <w:r w:rsidRPr="003D1E07">
        <w:instrText xml:space="preserve">" </w:instrText>
      </w:r>
      <w:r w:rsidRPr="003D1E07">
        <w:fldChar w:fldCharType="end"/>
      </w:r>
      <w:r w:rsidRPr="003D1E07">
        <w:t xml:space="preserve"> pro pojetí intelektu v rámci plné jednoty osoby jako Boethiovy jediné nedělitelné první substance. Moderní či postmoderní alexandrovci</w:t>
      </w:r>
      <w:r w:rsidRPr="003D1E07">
        <w:fldChar w:fldCharType="begin"/>
      </w:r>
      <w:r w:rsidRPr="003D1E07">
        <w:instrText xml:space="preserve"> XE "alexandrovci" </w:instrText>
      </w:r>
      <w:r w:rsidRPr="003D1E07">
        <w:fldChar w:fldCharType="end"/>
      </w:r>
      <w:r w:rsidRPr="003D1E07">
        <w:t xml:space="preserve"> vinou oddělení intelektu od smyslů ztratili aristotelské </w:t>
      </w:r>
      <w:r w:rsidRPr="003D1E07">
        <w:rPr>
          <w:i/>
        </w:rPr>
        <w:t xml:space="preserve">proportio </w:t>
      </w:r>
      <w:r w:rsidRPr="003D1E07">
        <w:t>mezi smysly a intelektem. Modernisté nemají adekvační teorii pravdy, protože převzali Al-Fárábího a Avicennovo pojetí intencionality dané nasvícením darovaného intelektu směrem od odděleného činného intelektu</w:t>
      </w:r>
      <w:r w:rsidRPr="003D1E07">
        <w:fldChar w:fldCharType="begin"/>
      </w:r>
      <w:r w:rsidRPr="003D1E07">
        <w:instrText xml:space="preserve"> XE "intencionalita:Avicenna" </w:instrText>
      </w:r>
      <w:r w:rsidRPr="003D1E07">
        <w:fldChar w:fldCharType="end"/>
      </w:r>
      <w:r w:rsidRPr="003D1E07">
        <w:t xml:space="preserve">. Averroes díky pojetí </w:t>
      </w:r>
      <w:r w:rsidRPr="003D1E07">
        <w:rPr>
          <w:i/>
        </w:rPr>
        <w:t>intellectus in potencia</w:t>
      </w:r>
      <w:r w:rsidRPr="003D1E07">
        <w:t xml:space="preserve"> převzatým od Druhého mistra zakládá nové pojetí intencionality, jež se zásadně liší od moderního Avicenny.</w:t>
      </w:r>
      <w:r w:rsidRPr="003D1E07">
        <w:rPr>
          <w:rStyle w:val="Znakapoznpodarou"/>
        </w:rPr>
        <w:footnoteReference w:id="244"/>
      </w:r>
      <w:r w:rsidRPr="003D1E07">
        <w:t xml:space="preserve"> Intelekt je v modu </w:t>
      </w:r>
      <w:r w:rsidRPr="003D1E07">
        <w:rPr>
          <w:i/>
        </w:rPr>
        <w:t>per prius</w:t>
      </w:r>
      <w:r w:rsidRPr="003D1E07">
        <w:t xml:space="preserve"> aktualizován aktuální první substancí. Struktura intencionality v modu nasvícení zepředu je zásadně odlišná od inte</w:t>
      </w:r>
      <w:r w:rsidR="0088082A" w:rsidRPr="003D1E07">
        <w:t>ncionality moderních iluminátů. Poznání sleduje metafyzický</w:t>
      </w:r>
      <w:r w:rsidR="08E22F7A" w:rsidRPr="003D1E07">
        <w:t xml:space="preserve"> </w:t>
      </w:r>
      <w:r w:rsidRPr="003D1E07">
        <w:t>dativ</w:t>
      </w:r>
      <w:r w:rsidRPr="003D1E07">
        <w:fldChar w:fldCharType="begin"/>
      </w:r>
      <w:r w:rsidRPr="003D1E07">
        <w:instrText xml:space="preserve"> XE "</w:instrText>
      </w:r>
      <w:r w:rsidR="08E22F7A" w:rsidRPr="003D1E07">
        <w:rPr>
          <w:i/>
        </w:rPr>
        <w:instrText>dativus metaphysi</w:instrText>
      </w:r>
      <w:r w:rsidRPr="003D1E07">
        <w:rPr>
          <w:i/>
        </w:rPr>
        <w:instrText>cus</w:instrText>
      </w:r>
      <w:r w:rsidRPr="003D1E07">
        <w:instrText xml:space="preserve">" </w:instrText>
      </w:r>
      <w:r w:rsidRPr="003D1E07">
        <w:fldChar w:fldCharType="end"/>
      </w:r>
      <w:r w:rsidRPr="003D1E07">
        <w:t xml:space="preserve"> a respektuj</w:t>
      </w:r>
      <w:r w:rsidR="0088082A" w:rsidRPr="003D1E07">
        <w:t xml:space="preserve">e </w:t>
      </w:r>
      <w:r w:rsidR="00E941BA" w:rsidRPr="003D1E07">
        <w:t xml:space="preserve">reálnou </w:t>
      </w:r>
      <w:r w:rsidR="0088082A" w:rsidRPr="003D1E07">
        <w:t>donaci</w:t>
      </w:r>
      <w:r w:rsidRPr="003D1E07">
        <w:t xml:space="preserve"> </w:t>
      </w:r>
      <w:r w:rsidR="00E941BA" w:rsidRPr="003D1E07">
        <w:t xml:space="preserve">smyslu </w:t>
      </w:r>
      <w:r w:rsidRPr="003D1E07">
        <w:t>jsoucna</w:t>
      </w:r>
      <w:r w:rsidR="0088082A" w:rsidRPr="003D1E07">
        <w:t xml:space="preserve">. Proto se lidská intencionalita </w:t>
      </w:r>
      <w:r w:rsidRPr="003D1E07">
        <w:t xml:space="preserve">zásadně liší od zvířecího </w:t>
      </w:r>
      <w:r w:rsidRPr="003D1E07">
        <w:rPr>
          <w:i/>
        </w:rPr>
        <w:t>sensus communis</w:t>
      </w:r>
      <w:r w:rsidRPr="003D1E07">
        <w:rPr>
          <w:i/>
        </w:rPr>
        <w:fldChar w:fldCharType="begin"/>
      </w:r>
      <w:r w:rsidRPr="003D1E07">
        <w:instrText xml:space="preserve"> XE "</w:instrText>
      </w:r>
      <w:r w:rsidRPr="003D1E07">
        <w:rPr>
          <w:i/>
        </w:rPr>
        <w:instrText>sensus communis</w:instrText>
      </w:r>
      <w:r w:rsidRPr="003D1E07">
        <w:instrText xml:space="preserve">" </w:instrText>
      </w:r>
      <w:r w:rsidRPr="003D1E07">
        <w:rPr>
          <w:i/>
        </w:rPr>
        <w:fldChar w:fldCharType="end"/>
      </w:r>
      <w:r w:rsidRPr="003D1E07">
        <w:rPr>
          <w:i/>
        </w:rPr>
        <w:t xml:space="preserve"> </w:t>
      </w:r>
      <w:r w:rsidRPr="003D1E07">
        <w:t xml:space="preserve">již na smyslové úrovni. Smyslové poznání člověka zakládá primární schopnost kategorizace. </w:t>
      </w:r>
    </w:p>
    <w:p w14:paraId="00D7B6A4" w14:textId="77777777" w:rsidR="08126A94" w:rsidRPr="003D1E07" w:rsidRDefault="08126A94" w:rsidP="086A618B">
      <w:pPr>
        <w:pStyle w:val="Citace"/>
        <w:rPr>
          <w:rStyle w:val="Zkladntextdkovn0pt"/>
          <w:rFonts w:ascii="Calibri" w:eastAsia="Times" w:hAnsi="Calibri" w:cs="Times New Roman"/>
          <w:spacing w:val="0"/>
          <w:sz w:val="22"/>
          <w:u w:val="none"/>
          <w:lang w:val="cs-CZ"/>
        </w:rPr>
      </w:pPr>
      <w:r w:rsidRPr="003D1E07">
        <w:rPr>
          <w:rStyle w:val="Zkladntextdkovn0pt"/>
          <w:rFonts w:ascii="Calibri" w:eastAsia="Times" w:hAnsi="Calibri" w:cs="Times New Roman"/>
          <w:spacing w:val="0"/>
          <w:sz w:val="22"/>
          <w:u w:val="none"/>
          <w:lang w:val="cs-CZ"/>
        </w:rPr>
        <w:lastRenderedPageBreak/>
        <w:t>„Smysly s jejich vnímáním toho, co je smyslové, poznávají individuální intence, které se liší od rodů a druhů. Proto smysly intencionálně vnímají v rámci to</w:t>
      </w:r>
      <w:r w:rsidR="086A618B" w:rsidRPr="003D1E07">
        <w:rPr>
          <w:rStyle w:val="Zkladntextdkovn0pt"/>
          <w:rFonts w:ascii="Calibri" w:eastAsia="Times" w:hAnsi="Calibri" w:cs="Times New Roman"/>
          <w:spacing w:val="0"/>
          <w:sz w:val="22"/>
          <w:u w:val="none"/>
          <w:lang w:val="cs-CZ"/>
        </w:rPr>
        <w:t xml:space="preserve">hoto individuálního jedince </w:t>
      </w:r>
      <w:r w:rsidRPr="003D1E07">
        <w:rPr>
          <w:rStyle w:val="Zkladntextdkovn0pt"/>
          <w:rFonts w:ascii="Calibri" w:eastAsia="Times" w:hAnsi="Calibri" w:cs="Times New Roman"/>
          <w:spacing w:val="0"/>
          <w:sz w:val="22"/>
          <w:u w:val="none"/>
          <w:lang w:val="cs-CZ"/>
        </w:rPr>
        <w:t>(</w:t>
      </w:r>
      <w:r w:rsidRPr="003D1E07">
        <w:rPr>
          <w:i/>
          <w:lang w:val="cs-CZ"/>
        </w:rPr>
        <w:t>intentionem huius hominis individuali</w:t>
      </w:r>
      <w:r w:rsidRPr="003D1E07">
        <w:rPr>
          <w:lang w:val="cs-CZ"/>
        </w:rPr>
        <w:t>s</w:t>
      </w:r>
      <w:r w:rsidRPr="003D1E07">
        <w:rPr>
          <w:rStyle w:val="Zkladntextdkovn0pt"/>
          <w:rFonts w:ascii="Calibri" w:eastAsia="Times" w:hAnsi="Calibri" w:cs="Times New Roman"/>
          <w:spacing w:val="0"/>
          <w:sz w:val="22"/>
          <w:u w:val="none"/>
          <w:lang w:val="cs-CZ"/>
        </w:rPr>
        <w:t>), tedy intenci tohoto konkrétního koně a univerzální intenci každé z deseti kategorií predikujících individua (</w:t>
      </w:r>
      <w:r w:rsidRPr="003D1E07">
        <w:rPr>
          <w:i/>
          <w:lang w:val="cs-CZ"/>
        </w:rPr>
        <w:t>universaliter intentionem uniuscuiusque decem predicamentorum individualium</w:t>
      </w:r>
      <w:r w:rsidRPr="003D1E07">
        <w:rPr>
          <w:rStyle w:val="Zkladntextdkovn0pt"/>
          <w:rFonts w:ascii="Calibri" w:eastAsia="Times" w:hAnsi="Calibri" w:cs="Times New Roman"/>
          <w:spacing w:val="0"/>
          <w:sz w:val="22"/>
          <w:u w:val="none"/>
          <w:lang w:val="cs-CZ"/>
        </w:rPr>
        <w:t>).“</w:t>
      </w:r>
      <w:r w:rsidRPr="003D1E07">
        <w:rPr>
          <w:rStyle w:val="Znakapoznpodarou"/>
          <w:vertAlign w:val="baseline"/>
          <w:lang w:val="cs-CZ"/>
        </w:rPr>
        <w:t xml:space="preserve"> </w:t>
      </w:r>
      <w:r w:rsidRPr="003D1E07">
        <w:rPr>
          <w:rStyle w:val="Znakapoznpodarou"/>
          <w:lang w:val="cs-CZ"/>
        </w:rPr>
        <w:footnoteReference w:id="245"/>
      </w:r>
    </w:p>
    <w:p w14:paraId="3CDE63F9" w14:textId="77777777" w:rsidR="00CA30A6" w:rsidRDefault="08126A94" w:rsidP="08126A94">
      <w:r w:rsidRPr="003D1E07">
        <w:t xml:space="preserve">Intencionalita </w:t>
      </w:r>
      <w:r w:rsidR="002F627A" w:rsidRPr="003D1E07">
        <w:t>umožňuje řeč vztaženou</w:t>
      </w:r>
      <w:r w:rsidRPr="003D1E07">
        <w:t xml:space="preserve"> k obecným významům (</w:t>
      </w:r>
      <w:r w:rsidRPr="003D1E07">
        <w:rPr>
          <w:i/>
        </w:rPr>
        <w:t>significatio</w:t>
      </w:r>
      <w:r w:rsidRPr="003D1E07">
        <w:t xml:space="preserve">). Pojetí abstrakce napojené na nemateriální intelekt vytváří na rozdíl od zvířat univerzální významy. Intencionalita </w:t>
      </w:r>
      <w:r w:rsidR="00840C45" w:rsidRPr="003D1E07">
        <w:t>ro</w:t>
      </w:r>
      <w:r w:rsidRPr="003D1E07">
        <w:t>zlišuje na úrovni individuální smyslové představivosti dvě složky. Jednak je dána smyslová forma v rámci receptivní představivosti. Následně běží nemateriální syntéza skrze proces inteligibilní abstrakce, který vytváří pro člověka kategoriální význam této poznané formy daný smysluplnou mluvou. Mluva formuje abstrakci jako celek, proto je výsledný akt abstrakce dete</w:t>
      </w:r>
      <w:r w:rsidR="00F46D8E" w:rsidRPr="003D1E07">
        <w:t xml:space="preserve">rminovaný jak receptivně, tak aktivně </w:t>
      </w:r>
      <w:r w:rsidRPr="003D1E07">
        <w:t>synteticky. Fenomén jazyka má pro Averroese klíčový význam</w:t>
      </w:r>
      <w:r w:rsidR="00F46D8E" w:rsidRPr="003D1E07">
        <w:t xml:space="preserve">, </w:t>
      </w:r>
      <w:r w:rsidRPr="003D1E07">
        <w:t>protože ukazuje jednotu poznání od smysl</w:t>
      </w:r>
      <w:r w:rsidR="00F46D8E" w:rsidRPr="003D1E07">
        <w:t xml:space="preserve">ové intencionality </w:t>
      </w:r>
      <w:r w:rsidRPr="003D1E07">
        <w:t>k</w:t>
      </w:r>
      <w:r w:rsidR="00F46D8E" w:rsidRPr="003D1E07">
        <w:t> </w:t>
      </w:r>
      <w:r w:rsidRPr="003D1E07">
        <w:t>intelektu</w:t>
      </w:r>
      <w:r w:rsidR="00F46D8E" w:rsidRPr="003D1E07">
        <w:t xml:space="preserve">. Toto pojetí stojí </w:t>
      </w:r>
      <w:r w:rsidRPr="003D1E07">
        <w:t xml:space="preserve">mimo mystickou iluminaci modernistů a mimo postmoderní analytické pojetí </w:t>
      </w:r>
      <w:r w:rsidR="00B12D0D" w:rsidRPr="003D1E07">
        <w:t xml:space="preserve">izolovaného </w:t>
      </w:r>
      <w:r w:rsidRPr="003D1E07">
        <w:t xml:space="preserve">jazyka bez </w:t>
      </w:r>
      <w:r w:rsidR="00082701" w:rsidRPr="003D1E07">
        <w:t xml:space="preserve">adekvačního </w:t>
      </w:r>
      <w:r w:rsidRPr="003D1E07">
        <w:t xml:space="preserve">vztahu k realitě. Systém dvojí intencionality neodděluje první intenci od druhé jako v Avicennově separaci mezi smyslovým procesem </w:t>
      </w:r>
      <w:r w:rsidRPr="003D1E07">
        <w:rPr>
          <w:i/>
        </w:rPr>
        <w:t>abstractio</w:t>
      </w:r>
      <w:r w:rsidRPr="003D1E07">
        <w:fldChar w:fldCharType="begin"/>
      </w:r>
      <w:r w:rsidRPr="003D1E07">
        <w:instrText xml:space="preserve"> XE "abstrakce:Averroes" </w:instrText>
      </w:r>
      <w:r w:rsidRPr="003D1E07">
        <w:fldChar w:fldCharType="end"/>
      </w:r>
      <w:r w:rsidRPr="003D1E07">
        <w:t xml:space="preserve"> a čistým náhledem esence v rámci </w:t>
      </w:r>
      <w:r w:rsidRPr="003D1E07">
        <w:rPr>
          <w:i/>
        </w:rPr>
        <w:t>denudatio</w:t>
      </w:r>
      <w:r w:rsidRPr="003D1E07">
        <w:t xml:space="preserve"> (kap. 2.3.2). Jednotný výklad poznání v CMDA skrze dvojí intencionalitu završuje aristotelskou školu ustavenou v bagdádském Domě moudrosti (Al-Fárábí, Ibn Ádí). Tato škola falsafy předala Západu pojetí pravdy jako adekvace a pojetí člověka jako jednotné osoby v existenciálním modu ipseity. </w:t>
      </w:r>
      <w:r w:rsidR="006845FF">
        <w:t>G</w:t>
      </w:r>
      <w:r w:rsidRPr="003D1E07">
        <w:t>igantomachie</w:t>
      </w:r>
      <w:r w:rsidRPr="003D1E07">
        <w:fldChar w:fldCharType="begin"/>
      </w:r>
      <w:r w:rsidRPr="003D1E07">
        <w:instrText xml:space="preserve"> XE "intelekt:gigantomachie" </w:instrText>
      </w:r>
      <w:r w:rsidRPr="003D1E07">
        <w:fldChar w:fldCharType="end"/>
      </w:r>
      <w:r w:rsidRPr="003D1E07">
        <w:t xml:space="preserve"> ohledně intelektu se bude opakovat na latinském Západě mezi školou prvního a druhého averroismu a skončí současným metafyzickým nihilismem</w:t>
      </w:r>
      <w:r w:rsidR="00CA30A6">
        <w:t>.</w:t>
      </w:r>
    </w:p>
    <w:p w14:paraId="6E866AAC" w14:textId="7C386BD0" w:rsidR="08126A94" w:rsidRPr="003D1E07" w:rsidRDefault="00CA30A6" w:rsidP="00CA30A6">
      <w:pPr>
        <w:ind w:firstLine="397"/>
      </w:pPr>
      <w:r>
        <w:t xml:space="preserve">Hermeneutika se musí vrátit k původnímu zdroji západní gigantomachie o substanci. </w:t>
      </w:r>
      <w:r w:rsidR="006845FF">
        <w:t>Proto j</w:t>
      </w:r>
      <w:r w:rsidR="08126A94" w:rsidRPr="003D1E07">
        <w:t>e třeba se vrátit k výše uvedené Averroesově kritice jeho současníků (</w:t>
      </w:r>
      <w:r w:rsidR="08126A94" w:rsidRPr="003D1E07">
        <w:rPr>
          <w:i/>
        </w:rPr>
        <w:t>quod contingit Modernis</w:t>
      </w:r>
      <w:r w:rsidR="08126A94" w:rsidRPr="003D1E07">
        <w:t xml:space="preserve">, kap. 2.4). </w:t>
      </w:r>
      <w:r w:rsidR="00F905B7" w:rsidRPr="003D1E07">
        <w:t xml:space="preserve">Komentátor </w:t>
      </w:r>
      <w:r w:rsidR="00EC104D" w:rsidRPr="003D1E07">
        <w:t xml:space="preserve">vytvořil </w:t>
      </w:r>
      <w:r w:rsidR="08126A94" w:rsidRPr="003D1E07">
        <w:t xml:space="preserve">novou formu </w:t>
      </w:r>
      <w:r w:rsidR="08126A94" w:rsidRPr="003D1E07">
        <w:rPr>
          <w:i/>
        </w:rPr>
        <w:t>proportio</w:t>
      </w:r>
      <w:r w:rsidR="08126A94" w:rsidRPr="003D1E07">
        <w:t xml:space="preserve"> </w:t>
      </w:r>
      <w:r w:rsidR="08126A94" w:rsidRPr="003D1E07">
        <w:fldChar w:fldCharType="begin"/>
      </w:r>
      <w:r w:rsidR="08126A94" w:rsidRPr="003D1E07">
        <w:instrText xml:space="preserve"> XE "pravda:</w:instrText>
      </w:r>
      <w:r w:rsidR="08126A94" w:rsidRPr="003D1E07">
        <w:rPr>
          <w:i/>
        </w:rPr>
        <w:instrText>proportio</w:instrText>
      </w:r>
      <w:r w:rsidR="08126A94" w:rsidRPr="003D1E07">
        <w:instrText xml:space="preserve">" </w:instrText>
      </w:r>
      <w:r w:rsidR="08126A94" w:rsidRPr="003D1E07">
        <w:fldChar w:fldCharType="end"/>
      </w:r>
      <w:r w:rsidR="08126A94" w:rsidRPr="003D1E07">
        <w:t xml:space="preserve">danou v intencionálním modu </w:t>
      </w:r>
      <w:r w:rsidR="08126A94" w:rsidRPr="003D1E07">
        <w:rPr>
          <w:i/>
        </w:rPr>
        <w:t>per prius</w:t>
      </w:r>
      <w:r w:rsidR="08126A94" w:rsidRPr="003D1E07">
        <w:t xml:space="preserve"> a </w:t>
      </w:r>
      <w:r w:rsidR="08126A94" w:rsidRPr="003D1E07">
        <w:rPr>
          <w:i/>
        </w:rPr>
        <w:t>per posterius</w:t>
      </w:r>
      <w:r w:rsidR="08126A94" w:rsidRPr="003D1E07">
        <w:t xml:space="preserve">. Výsledná adekvace musí zprostředkovat proces poznání </w:t>
      </w:r>
      <w:r w:rsidR="00210B1D" w:rsidRPr="003D1E07">
        <w:t xml:space="preserve">oběma směry. Na jedné straně stojí </w:t>
      </w:r>
      <w:r w:rsidR="08126A94" w:rsidRPr="003D1E07">
        <w:t xml:space="preserve">individuální zaměření smyslů na vnější předmět a </w:t>
      </w:r>
      <w:r w:rsidR="00210B1D" w:rsidRPr="003D1E07">
        <w:t>na druhé straně je zaměření</w:t>
      </w:r>
      <w:r w:rsidR="08126A94" w:rsidRPr="003D1E07">
        <w:t xml:space="preserve"> intelektu (</w:t>
      </w:r>
      <w:r w:rsidR="08126A94" w:rsidRPr="003D1E07">
        <w:rPr>
          <w:i/>
        </w:rPr>
        <w:t>intentio</w:t>
      </w:r>
      <w:r w:rsidR="08126A94" w:rsidRPr="003D1E07">
        <w:t>) na takto vzniklý smyslový poznatek.</w:t>
      </w:r>
    </w:p>
    <w:p w14:paraId="35B7320F" w14:textId="77777777" w:rsidR="08126A94" w:rsidRPr="003D1E07" w:rsidRDefault="08126A94" w:rsidP="08126A94">
      <w:pPr>
        <w:pStyle w:val="Citace"/>
        <w:rPr>
          <w:lang w:val="cs-CZ"/>
        </w:rPr>
      </w:pPr>
      <w:r w:rsidRPr="003D1E07">
        <w:rPr>
          <w:lang w:val="cs-CZ"/>
        </w:rPr>
        <w:lastRenderedPageBreak/>
        <w:t>„Bylo doloženo, že poznávací schopnost intelektu není nic jiného, než schopnost, která rozlišuje intenci smyslově vnímané věci od jejího poznání daného v představivosti (</w:t>
      </w:r>
      <w:r w:rsidRPr="003D1E07">
        <w:rPr>
          <w:i/>
          <w:szCs w:val="30"/>
          <w:lang w:val="cs-CZ"/>
        </w:rPr>
        <w:t>virtus que distinguit intentionem rei sensibilis a suo idolo ymaginato</w:t>
      </w:r>
      <w:r w:rsidRPr="003D1E07">
        <w:rPr>
          <w:lang w:val="cs-CZ"/>
        </w:rPr>
        <w:t>). Tato schopnost je proporčně vztažena k oběma intencím (</w:t>
      </w:r>
      <w:r w:rsidRPr="003D1E07">
        <w:rPr>
          <w:i/>
          <w:szCs w:val="30"/>
          <w:lang w:val="cs-CZ"/>
        </w:rPr>
        <w:t>proportio ad has duas intentiones</w:t>
      </w:r>
      <w:r w:rsidRPr="003D1E07">
        <w:rPr>
          <w:lang w:val="cs-CZ"/>
        </w:rPr>
        <w:t>), tedy ke smyslové představě věci a k intenci této představy (</w:t>
      </w:r>
      <w:r w:rsidRPr="003D1E07">
        <w:rPr>
          <w:i/>
          <w:szCs w:val="30"/>
          <w:lang w:val="cs-CZ"/>
        </w:rPr>
        <w:t>ad idolum rei et ad intentionem sui idoli</w:t>
      </w:r>
      <w:r w:rsidRPr="003D1E07">
        <w:rPr>
          <w:lang w:val="cs-CZ"/>
        </w:rPr>
        <w:t>). Stejná podobnost je dána na úrovni smyslové představivosti a smyslů (</w:t>
      </w:r>
      <w:r w:rsidRPr="003D1E07">
        <w:rPr>
          <w:i/>
          <w:szCs w:val="30"/>
          <w:lang w:val="cs-CZ"/>
        </w:rPr>
        <w:t>sicut proportio sensus communis ad intentiones quinque sensuum</w:t>
      </w:r>
      <w:r w:rsidRPr="003D1E07">
        <w:rPr>
          <w:lang w:val="cs-CZ"/>
        </w:rPr>
        <w:t>). Intelektuální schopnost je rodově dána na úrovni schopností existujících v těle (</w:t>
      </w:r>
      <w:r w:rsidRPr="003D1E07">
        <w:rPr>
          <w:i/>
          <w:szCs w:val="30"/>
          <w:lang w:val="cs-CZ"/>
        </w:rPr>
        <w:t>de genere virtutum existentium in corporibus</w:t>
      </w:r>
      <w:r w:rsidRPr="003D1E07">
        <w:rPr>
          <w:lang w:val="cs-CZ"/>
        </w:rPr>
        <w:t>).“ </w:t>
      </w:r>
      <w:r w:rsidRPr="003D1E07">
        <w:rPr>
          <w:rStyle w:val="Znakapoznpodarou"/>
          <w:lang w:val="cs-CZ"/>
        </w:rPr>
        <w:footnoteReference w:id="246"/>
      </w:r>
    </w:p>
    <w:p w14:paraId="50084C47" w14:textId="236582AD" w:rsidR="08126A94" w:rsidRPr="003D1E07" w:rsidRDefault="08126A94" w:rsidP="08126A94">
      <w:r w:rsidRPr="003D1E07">
        <w:t xml:space="preserve">Citát </w:t>
      </w:r>
      <w:r w:rsidR="00DB452B" w:rsidRPr="003D1E07">
        <w:t xml:space="preserve">rozlišuje </w:t>
      </w:r>
      <w:r w:rsidRPr="003D1E07">
        <w:t>vnímanou věc danou reálně (</w:t>
      </w:r>
      <w:r w:rsidRPr="003D1E07">
        <w:rPr>
          <w:i/>
        </w:rPr>
        <w:t>res</w:t>
      </w:r>
      <w:r w:rsidRPr="003D1E07">
        <w:t>) od receptivní složky duše (</w:t>
      </w:r>
      <w:r w:rsidRPr="003D1E07">
        <w:rPr>
          <w:i/>
        </w:rPr>
        <w:t>forma ymaginata</w:t>
      </w:r>
      <w:r w:rsidRPr="003D1E07">
        <w:t>) a nakonec i od aktivní syntetické schopnosti duše nebo intelektu (</w:t>
      </w:r>
      <w:r w:rsidRPr="003D1E07">
        <w:rPr>
          <w:i/>
        </w:rPr>
        <w:t>virtus cogitativa</w:t>
      </w:r>
      <w:r w:rsidRPr="003D1E07">
        <w:t>). Podobnost nutná pro ustavení pravdy-</w:t>
      </w:r>
      <w:r w:rsidRPr="003D1E07">
        <w:rPr>
          <w:i/>
        </w:rPr>
        <w:t>proportio</w:t>
      </w:r>
      <w:r w:rsidRPr="003D1E07">
        <w:t xml:space="preserve"> existuje ve trojím registru: vnější věc (</w:t>
      </w:r>
      <w:r w:rsidRPr="003D1E07">
        <w:rPr>
          <w:i/>
        </w:rPr>
        <w:t>res sensibilis</w:t>
      </w:r>
      <w:r w:rsidR="00A3289B" w:rsidRPr="003D1E07">
        <w:t>) –</w:t>
      </w:r>
      <w:r w:rsidRPr="003D1E07">
        <w:t xml:space="preserve"> recipované smyslové představy (</w:t>
      </w:r>
      <w:r w:rsidRPr="003D1E07">
        <w:rPr>
          <w:i/>
        </w:rPr>
        <w:t>idoli ymaginatae</w:t>
      </w:r>
      <w:r w:rsidR="00A3289B" w:rsidRPr="003D1E07">
        <w:t>) –</w:t>
      </w:r>
      <w:r w:rsidRPr="003D1E07">
        <w:t xml:space="preserve"> intencionální aktivita vztažená ke smyslové představě (</w:t>
      </w:r>
      <w:r w:rsidRPr="003D1E07">
        <w:rPr>
          <w:i/>
        </w:rPr>
        <w:t>intentio ad idolum rei</w:t>
      </w:r>
      <w:r w:rsidRPr="003D1E07">
        <w:t xml:space="preserve">). Pořadí poznání určuje nutnost daná </w:t>
      </w:r>
      <w:r w:rsidR="08E22F7A" w:rsidRPr="003D1E07">
        <w:t xml:space="preserve">metafyzickým </w:t>
      </w:r>
      <w:r w:rsidRPr="003D1E07">
        <w:t>dativem</w:t>
      </w:r>
      <w:r w:rsidRPr="003D1E07">
        <w:fldChar w:fldCharType="begin"/>
      </w:r>
      <w:r w:rsidRPr="003D1E07">
        <w:instrText xml:space="preserve"> XE "</w:instrText>
      </w:r>
      <w:r w:rsidR="08E22F7A" w:rsidRPr="003D1E07">
        <w:rPr>
          <w:i/>
        </w:rPr>
        <w:instrText>dativus metaphysi</w:instrText>
      </w:r>
      <w:r w:rsidRPr="003D1E07">
        <w:rPr>
          <w:i/>
        </w:rPr>
        <w:instrText>cus</w:instrText>
      </w:r>
      <w:r w:rsidRPr="003D1E07">
        <w:instrText xml:space="preserve">" </w:instrText>
      </w:r>
      <w:r w:rsidRPr="003D1E07">
        <w:fldChar w:fldCharType="end"/>
      </w:r>
      <w:r w:rsidRPr="003D1E07">
        <w:t xml:space="preserve"> v modu </w:t>
      </w:r>
      <w:r w:rsidRPr="003D1E07">
        <w:rPr>
          <w:i/>
        </w:rPr>
        <w:t>quidditas</w:t>
      </w:r>
      <w:r w:rsidRPr="003D1E07">
        <w:rPr>
          <w:i/>
        </w:rPr>
        <w:fldChar w:fldCharType="begin"/>
      </w:r>
      <w:r w:rsidRPr="003D1E07">
        <w:instrText xml:space="preserve"> XE "</w:instrText>
      </w:r>
      <w:r w:rsidRPr="003D1E07">
        <w:rPr>
          <w:i/>
        </w:rPr>
        <w:instrText>quidditas</w:instrText>
      </w:r>
      <w:r w:rsidRPr="003D1E07">
        <w:instrText xml:space="preserve">" </w:instrText>
      </w:r>
      <w:r w:rsidRPr="003D1E07">
        <w:rPr>
          <w:i/>
        </w:rPr>
        <w:fldChar w:fldCharType="end"/>
      </w:r>
      <w:r w:rsidRPr="003D1E07">
        <w:t xml:space="preserve">. Již nepřítomná aktualita první substance je </w:t>
      </w:r>
      <w:r w:rsidR="00CA4713" w:rsidRPr="003D1E07">
        <w:t xml:space="preserve">nově zpřítomněna </w:t>
      </w:r>
      <w:r w:rsidRPr="003D1E07">
        <w:t>(čili re</w:t>
      </w:r>
      <w:r w:rsidR="00F0544C" w:rsidRPr="003D1E07">
        <w:t>prezentována) nejprve ve smyslovém poznání</w:t>
      </w:r>
      <w:r w:rsidRPr="003D1E07">
        <w:t xml:space="preserve">. </w:t>
      </w:r>
      <w:r w:rsidR="0066477D" w:rsidRPr="003D1E07">
        <w:t>První a nejdůležitěší synt</w:t>
      </w:r>
      <w:r w:rsidR="00F0544C" w:rsidRPr="003D1E07">
        <w:t xml:space="preserve">éza z hlediska </w:t>
      </w:r>
      <w:r w:rsidR="0066477D" w:rsidRPr="003D1E07">
        <w:t>aktuality</w:t>
      </w:r>
      <w:r w:rsidR="00F0544C" w:rsidRPr="003D1E07">
        <w:t xml:space="preserve"> a adekvace k realitě </w:t>
      </w:r>
      <w:r w:rsidR="0066477D" w:rsidRPr="003D1E07">
        <w:t>je popsána brilantním způsobem. Receptivní v</w:t>
      </w:r>
      <w:r w:rsidRPr="003D1E07">
        <w:t xml:space="preserve">ýkon </w:t>
      </w:r>
      <w:r w:rsidRPr="003D1E07">
        <w:rPr>
          <w:i/>
        </w:rPr>
        <w:t>sensus communis</w:t>
      </w:r>
      <w:r w:rsidRPr="003D1E07">
        <w:rPr>
          <w:i/>
        </w:rPr>
        <w:fldChar w:fldCharType="begin"/>
      </w:r>
      <w:r w:rsidRPr="003D1E07">
        <w:instrText xml:space="preserve"> XE "</w:instrText>
      </w:r>
      <w:r w:rsidRPr="003D1E07">
        <w:rPr>
          <w:i/>
        </w:rPr>
        <w:instrText>sensus communis</w:instrText>
      </w:r>
      <w:r w:rsidRPr="003D1E07">
        <w:instrText xml:space="preserve">" </w:instrText>
      </w:r>
      <w:r w:rsidRPr="003D1E07">
        <w:rPr>
          <w:i/>
        </w:rPr>
        <w:fldChar w:fldCharType="end"/>
      </w:r>
      <w:r w:rsidRPr="003D1E07">
        <w:t xml:space="preserve"> </w:t>
      </w:r>
      <w:r w:rsidR="0066477D" w:rsidRPr="003D1E07">
        <w:t xml:space="preserve">zakládá </w:t>
      </w:r>
      <w:r w:rsidRPr="003D1E07">
        <w:t xml:space="preserve">výslednou </w:t>
      </w:r>
      <w:r w:rsidR="0066477D" w:rsidRPr="003D1E07">
        <w:t xml:space="preserve">aktivní </w:t>
      </w:r>
      <w:r w:rsidRPr="003D1E07">
        <w:t>podobu smyslového species (</w:t>
      </w:r>
      <w:r w:rsidRPr="003D1E07">
        <w:rPr>
          <w:i/>
        </w:rPr>
        <w:t>ad idolum rei</w:t>
      </w:r>
      <w:r w:rsidRPr="003D1E07">
        <w:t xml:space="preserve">). Tato čistě smyslová </w:t>
      </w:r>
      <w:r w:rsidR="00F214C5" w:rsidRPr="003D1E07">
        <w:t>species</w:t>
      </w:r>
      <w:r w:rsidRPr="003D1E07">
        <w:t xml:space="preserve"> musí být uchopena v nové formě intencionálně dané receptivity (</w:t>
      </w:r>
      <w:r w:rsidRPr="003D1E07">
        <w:rPr>
          <w:i/>
        </w:rPr>
        <w:t>ad intentionem sui idoli</w:t>
      </w:r>
      <w:r w:rsidRPr="003D1E07">
        <w:t>). Druhá intence</w:t>
      </w:r>
      <w:r w:rsidRPr="003D1E07">
        <w:rPr>
          <w:rStyle w:val="Zvraznn"/>
        </w:rPr>
        <w:fldChar w:fldCharType="begin"/>
      </w:r>
      <w:r w:rsidRPr="003D1E07">
        <w:instrText xml:space="preserve"> XE "druhá intence" </w:instrText>
      </w:r>
      <w:r w:rsidRPr="003D1E07">
        <w:rPr>
          <w:rStyle w:val="Zvraznn"/>
        </w:rPr>
        <w:fldChar w:fldCharType="end"/>
      </w:r>
      <w:r w:rsidRPr="003D1E07">
        <w:t xml:space="preserve">  je vlastní pouze intelektu přijímajícímu smyslové </w:t>
      </w:r>
      <w:r w:rsidR="00F214C5" w:rsidRPr="003D1E07">
        <w:t>species</w:t>
      </w:r>
      <w:r w:rsidRPr="003D1E07">
        <w:t xml:space="preserve"> na nemateriální úrovni. Averroes přebral Al-Fárábího termín </w:t>
      </w:r>
      <w:r w:rsidRPr="003D1E07">
        <w:rPr>
          <w:rStyle w:val="Zvraznn"/>
        </w:rPr>
        <w:t xml:space="preserve">ma'qūl </w:t>
      </w:r>
      <w:r w:rsidRPr="003D1E07">
        <w:rPr>
          <w:i/>
        </w:rPr>
        <w:t>ṭh</w:t>
      </w:r>
      <w:r w:rsidRPr="003D1E07">
        <w:rPr>
          <w:rStyle w:val="Zvraznn"/>
        </w:rPr>
        <w:t>ānī</w:t>
      </w:r>
      <w:r w:rsidRPr="003D1E07">
        <w:t xml:space="preserve"> (</w:t>
      </w:r>
      <w:r w:rsidRPr="003D1E07">
        <w:rPr>
          <w:i/>
        </w:rPr>
        <w:t>intellectum secundum</w:t>
      </w:r>
      <w:r w:rsidRPr="003D1E07">
        <w:t xml:space="preserve">) a jeho pojetí dvojí intencionality. Ale upravil učení Druhého mistra tím, že </w:t>
      </w:r>
      <w:r w:rsidR="0066477D" w:rsidRPr="003D1E07">
        <w:t xml:space="preserve">zrušil </w:t>
      </w:r>
      <w:r w:rsidRPr="003D1E07">
        <w:t>akt mytopoetické intencionality od iluminace (</w:t>
      </w:r>
      <w:r w:rsidRPr="003D1E07">
        <w:rPr>
          <w:i/>
        </w:rPr>
        <w:t>primum intellectum</w:t>
      </w:r>
      <w:r w:rsidRPr="003D1E07">
        <w:t>, kap. 2.1.1)</w:t>
      </w:r>
      <w:r w:rsidR="00AC2F2C" w:rsidRPr="003D1E07">
        <w:t>. Místo moderní mytopoetiky vznikla proporčně daná</w:t>
      </w:r>
      <w:r w:rsidRPr="003D1E07">
        <w:t xml:space="preserve"> adekvace mezi smyslovou a inteligibilní intencionalitou. </w:t>
      </w:r>
      <w:r w:rsidR="001470C9" w:rsidRPr="003D1E07">
        <w:t>Oba smě</w:t>
      </w:r>
      <w:r w:rsidR="00DC6150" w:rsidRPr="003D1E07">
        <w:t>ry smyslového poznání jsou kompletně popsány</w:t>
      </w:r>
      <w:r w:rsidR="001470C9" w:rsidRPr="003D1E07">
        <w:t xml:space="preserve">. Aktuálnost </w:t>
      </w:r>
      <w:r w:rsidR="001540F4" w:rsidRPr="003D1E07">
        <w:t xml:space="preserve">poznání </w:t>
      </w:r>
      <w:r w:rsidR="001470C9" w:rsidRPr="003D1E07">
        <w:t xml:space="preserve">pochází ze smyslů a </w:t>
      </w:r>
      <w:r w:rsidR="001540F4" w:rsidRPr="003D1E07">
        <w:t xml:space="preserve">jeho </w:t>
      </w:r>
      <w:r w:rsidR="001470C9" w:rsidRPr="003D1E07">
        <w:t>recep</w:t>
      </w:r>
      <w:r w:rsidR="00016B8F" w:rsidRPr="003D1E07">
        <w:t xml:space="preserve">tivní smyslová intencionalita je určena jako </w:t>
      </w:r>
      <w:r w:rsidR="00375D0D">
        <w:t xml:space="preserve">jedna </w:t>
      </w:r>
      <w:r w:rsidR="00FB3CDE" w:rsidRPr="003D1E07">
        <w:t xml:space="preserve">z mnohých </w:t>
      </w:r>
      <w:r w:rsidR="00016B8F" w:rsidRPr="003D1E07">
        <w:t>pot</w:t>
      </w:r>
      <w:r w:rsidR="00FB3CDE" w:rsidRPr="003D1E07">
        <w:t xml:space="preserve">encí </w:t>
      </w:r>
      <w:r w:rsidR="001470C9" w:rsidRPr="003D1E07">
        <w:t xml:space="preserve">duše. </w:t>
      </w:r>
      <w:r w:rsidR="00E76AA1" w:rsidRPr="00E76AA1">
        <w:t>Přechod od aktuálnosti smyslů k potencialitě intele</w:t>
      </w:r>
      <w:r w:rsidR="00E76AA1">
        <w:t xml:space="preserve">ktu se řídí základním scénářem </w:t>
      </w:r>
      <w:r w:rsidR="00E76AA1" w:rsidRPr="00E76AA1">
        <w:rPr>
          <w:i/>
        </w:rPr>
        <w:t>Kategorií</w:t>
      </w:r>
      <w:r w:rsidR="00E76AA1" w:rsidRPr="00E76AA1">
        <w:t xml:space="preserve">. Proces poznávání probíhá od </w:t>
      </w:r>
      <w:r w:rsidR="00E76AA1">
        <w:t>impzice významu od reálné</w:t>
      </w:r>
      <w:r w:rsidR="00E76AA1" w:rsidRPr="00E76AA1">
        <w:t xml:space="preserve"> první substance (imago), k</w:t>
      </w:r>
      <w:r w:rsidR="00E76AA1">
        <w:t xml:space="preserve"> supozici </w:t>
      </w:r>
      <w:r w:rsidR="00E76AA1" w:rsidRPr="00E76AA1">
        <w:t>obecného významu v pasivním intelektu (pojem).</w:t>
      </w:r>
      <w:r w:rsidR="00E76AA1">
        <w:t xml:space="preserve"> </w:t>
      </w:r>
      <w:r w:rsidR="00925A3B" w:rsidRPr="003D1E07">
        <w:t>T</w:t>
      </w:r>
      <w:r w:rsidRPr="003D1E07">
        <w:t>ímto způsobem je zajištěna proporčně, čili kauzálně daná podobnost mezi materiálními smysly a nemateriálním intelektem v rámci jednotné poznávací schopnosti duše (</w:t>
      </w:r>
      <w:r w:rsidRPr="003D1E07">
        <w:rPr>
          <w:i/>
        </w:rPr>
        <w:t xml:space="preserve">ista virtus est illa </w:t>
      </w:r>
      <w:r w:rsidRPr="003D1E07">
        <w:rPr>
          <w:i/>
        </w:rPr>
        <w:lastRenderedPageBreak/>
        <w:t>cuius proportio ad has duas intentiones</w:t>
      </w:r>
      <w:r w:rsidRPr="003D1E07">
        <w:t xml:space="preserve">). </w:t>
      </w:r>
      <w:r w:rsidR="003A448E" w:rsidRPr="003D1E07">
        <w:t xml:space="preserve">Představivost a intelektuální intencionalita a z nich vyplývající poznání jsou sjednoceny </w:t>
      </w:r>
      <w:r w:rsidR="00936193" w:rsidRPr="003D1E07">
        <w:t xml:space="preserve">do jediné </w:t>
      </w:r>
      <w:r w:rsidR="003A448E" w:rsidRPr="003D1E07">
        <w:t xml:space="preserve">kognitivní schopnosti. </w:t>
      </w:r>
      <w:r w:rsidRPr="003D1E07">
        <w:t xml:space="preserve">V rámci intencionality je tedy nutno nejprve odlišit čistě materiální smyslový vjem a následnou syntézu </w:t>
      </w:r>
      <w:r w:rsidR="00F214C5" w:rsidRPr="007F4C2E">
        <w:rPr>
          <w:i/>
        </w:rPr>
        <w:t>species</w:t>
      </w:r>
      <w:r w:rsidRPr="003D1E07">
        <w:rPr>
          <w:i/>
        </w:rPr>
        <w:t xml:space="preserve"> sensibilis</w:t>
      </w:r>
      <w:r w:rsidRPr="003D1E07">
        <w:rPr>
          <w:i/>
        </w:rPr>
        <w:fldChar w:fldCharType="begin"/>
      </w:r>
      <w:r w:rsidRPr="003D1E07">
        <w:instrText xml:space="preserve"> XE "</w:instrText>
      </w:r>
      <w:r w:rsidRPr="003D1E07">
        <w:rPr>
          <w:i/>
        </w:rPr>
        <w:instrText>species sensibilis</w:instrText>
      </w:r>
      <w:r w:rsidRPr="003D1E07">
        <w:instrText xml:space="preserve">" </w:instrText>
      </w:r>
      <w:r w:rsidRPr="003D1E07">
        <w:rPr>
          <w:i/>
        </w:rPr>
        <w:fldChar w:fldCharType="end"/>
      </w:r>
      <w:r w:rsidRPr="003D1E07">
        <w:t xml:space="preserve"> danou i zvířatům na jejich specifické úrovni intencionality, poznání a soudu (</w:t>
      </w:r>
      <w:r w:rsidRPr="003D1E07">
        <w:rPr>
          <w:i/>
        </w:rPr>
        <w:t>vis aestimativa</w:t>
      </w:r>
      <w:r w:rsidRPr="003D1E07">
        <w:rPr>
          <w:i/>
        </w:rPr>
        <w:fldChar w:fldCharType="begin"/>
      </w:r>
      <w:r w:rsidRPr="003D1E07">
        <w:instrText xml:space="preserve"> XE "</w:instrText>
      </w:r>
      <w:r w:rsidRPr="003D1E07">
        <w:rPr>
          <w:i/>
        </w:rPr>
        <w:instrText>vis aestimativa</w:instrText>
      </w:r>
      <w:r w:rsidRPr="003D1E07">
        <w:instrText xml:space="preserve">" </w:instrText>
      </w:r>
      <w:r w:rsidRPr="003D1E07">
        <w:rPr>
          <w:i/>
        </w:rPr>
        <w:fldChar w:fldCharType="end"/>
      </w:r>
      <w:r w:rsidRPr="003D1E07">
        <w:t xml:space="preserve">). Člověk syntetizuje v rámci adekvace věci a intelektu danou v mluvě jinou formu </w:t>
      </w:r>
      <w:r w:rsidR="00F214C5" w:rsidRPr="000D77B8">
        <w:rPr>
          <w:i/>
        </w:rPr>
        <w:t>species</w:t>
      </w:r>
      <w:r w:rsidRPr="003D1E07">
        <w:rPr>
          <w:i/>
        </w:rPr>
        <w:t xml:space="preserve"> sensibilis</w:t>
      </w:r>
      <w:r w:rsidRPr="003D1E07">
        <w:rPr>
          <w:i/>
        </w:rPr>
        <w:fldChar w:fldCharType="begin"/>
      </w:r>
      <w:r w:rsidRPr="003D1E07">
        <w:instrText xml:space="preserve"> XE "</w:instrText>
      </w:r>
      <w:r w:rsidRPr="003D1E07">
        <w:rPr>
          <w:i/>
        </w:rPr>
        <w:instrText>species sensibilis</w:instrText>
      </w:r>
      <w:r w:rsidRPr="003D1E07">
        <w:instrText xml:space="preserve">" </w:instrText>
      </w:r>
      <w:r w:rsidRPr="003D1E07">
        <w:rPr>
          <w:i/>
        </w:rPr>
        <w:fldChar w:fldCharType="end"/>
      </w:r>
      <w:r w:rsidRPr="003D1E07">
        <w:t>,</w:t>
      </w:r>
      <w:r w:rsidRPr="003D1E07">
        <w:rPr>
          <w:i/>
        </w:rPr>
        <w:t xml:space="preserve"> </w:t>
      </w:r>
      <w:r w:rsidR="00F25D14" w:rsidRPr="003D1E07">
        <w:t xml:space="preserve">která slouží jako základ řeči. </w:t>
      </w:r>
      <w:r w:rsidRPr="003D1E07">
        <w:t xml:space="preserve"> </w:t>
      </w:r>
      <w:r w:rsidR="00F25D14" w:rsidRPr="003D1E07">
        <w:t>Tato druhá inte</w:t>
      </w:r>
      <w:r w:rsidR="00AA75ED" w:rsidRPr="003D1E07">
        <w:t>n</w:t>
      </w:r>
      <w:r w:rsidR="00714986">
        <w:t>cionalita</w:t>
      </w:r>
      <w:r w:rsidR="00F25D14" w:rsidRPr="003D1E07">
        <w:t xml:space="preserve"> jde z </w:t>
      </w:r>
      <w:r w:rsidRPr="003D1E07">
        <w:t>nemateriá</w:t>
      </w:r>
      <w:r w:rsidR="00F25D14" w:rsidRPr="003D1E07">
        <w:t>lní složky</w:t>
      </w:r>
      <w:r w:rsidRPr="003D1E07">
        <w:t xml:space="preserve"> poznání </w:t>
      </w:r>
      <w:r w:rsidR="00F25D14" w:rsidRPr="003D1E07">
        <w:t xml:space="preserve">a vytváří </w:t>
      </w:r>
      <w:r w:rsidRPr="003D1E07">
        <w:t xml:space="preserve">novou formu </w:t>
      </w:r>
      <w:r w:rsidR="00F214C5" w:rsidRPr="003D1E07">
        <w:rPr>
          <w:i/>
        </w:rPr>
        <w:t>species</w:t>
      </w:r>
      <w:r w:rsidRPr="003D1E07">
        <w:t xml:space="preserve"> </w:t>
      </w:r>
      <w:r w:rsidRPr="003D1E07">
        <w:rPr>
          <w:i/>
        </w:rPr>
        <w:t>intelligibilis</w:t>
      </w:r>
      <w:r w:rsidRPr="003D1E07">
        <w:rPr>
          <w:i/>
        </w:rPr>
        <w:fldChar w:fldCharType="begin"/>
      </w:r>
      <w:r w:rsidRPr="003D1E07">
        <w:instrText xml:space="preserve"> XE "</w:instrText>
      </w:r>
      <w:r w:rsidRPr="003D1E07">
        <w:rPr>
          <w:i/>
        </w:rPr>
        <w:instrText>species</w:instrText>
      </w:r>
      <w:r w:rsidRPr="003D1E07">
        <w:instrText xml:space="preserve"> </w:instrText>
      </w:r>
      <w:r w:rsidRPr="003D1E07">
        <w:rPr>
          <w:i/>
        </w:rPr>
        <w:instrText>intelligibilis</w:instrText>
      </w:r>
      <w:r w:rsidRPr="003D1E07">
        <w:instrText xml:space="preserve">:Averroes" </w:instrText>
      </w:r>
      <w:r w:rsidRPr="003D1E07">
        <w:rPr>
          <w:i/>
        </w:rPr>
        <w:fldChar w:fldCharType="end"/>
      </w:r>
      <w:r w:rsidR="00D17569" w:rsidRPr="003D1E07">
        <w:t>. L</w:t>
      </w:r>
      <w:r w:rsidRPr="003D1E07">
        <w:t xml:space="preserve">idské poznání </w:t>
      </w:r>
      <w:r w:rsidR="00D17569" w:rsidRPr="003D1E07">
        <w:t xml:space="preserve">se liší </w:t>
      </w:r>
      <w:r w:rsidRPr="003D1E07">
        <w:t xml:space="preserve">od zvířecího již na smyslové úrovni, protože funguje v jiném schématu intencionality. Druhou formu intencionality </w:t>
      </w:r>
      <w:r w:rsidR="00714986">
        <w:t xml:space="preserve">v rámci </w:t>
      </w:r>
      <w:r w:rsidR="00714986" w:rsidRPr="00714986">
        <w:rPr>
          <w:i/>
        </w:rPr>
        <w:t xml:space="preserve">species intelligibilis </w:t>
      </w:r>
      <w:r w:rsidRPr="003D1E07">
        <w:t xml:space="preserve">provádí pouze nemateriální receptivní schopnost lidské duše. Výslednou abstrakci pak zajišťuje </w:t>
      </w:r>
      <w:r w:rsidRPr="003D1E07">
        <w:rPr>
          <w:i/>
        </w:rPr>
        <w:t>intellectus agens</w:t>
      </w:r>
      <w:r w:rsidRPr="003D1E07">
        <w:t xml:space="preserve"> jako aktivní složka téže lidské duše. Dvojí pojetí intencionality přesně odpovídá kanonickému textu </w:t>
      </w:r>
      <w:r w:rsidRPr="003D1E07">
        <w:rPr>
          <w:i/>
        </w:rPr>
        <w:t>De anima</w:t>
      </w:r>
      <w:r w:rsidRPr="003D1E07">
        <w:t xml:space="preserve"> o dvou schopnostech poznání (νοῦς τῷ πάντα γίνεσθαι, ὁ δὲ τῷ πάντα ποιεῖν, </w:t>
      </w:r>
      <w:r w:rsidRPr="003D1E07">
        <w:rPr>
          <w:i/>
        </w:rPr>
        <w:t>De anima</w:t>
      </w:r>
      <w:r w:rsidRPr="003D1E07">
        <w:t xml:space="preserve"> 430a14–15</w:t>
      </w:r>
      <w:r w:rsidRPr="003D1E07">
        <w:rPr>
          <w:i/>
        </w:rPr>
        <w:fldChar w:fldCharType="begin"/>
      </w:r>
      <w:r w:rsidRPr="003D1E07">
        <w:instrText xml:space="preserve"> XE "Aristoteles:</w:instrText>
      </w:r>
      <w:r w:rsidRPr="003D1E07">
        <w:rPr>
          <w:i/>
        </w:rPr>
        <w:instrText>De anima</w:instrText>
      </w:r>
      <w:r w:rsidRPr="003D1E07">
        <w:instrText xml:space="preserve"> </w:instrText>
      </w:r>
      <w:r w:rsidRPr="003D1E07">
        <w:rPr>
          <w:rStyle w:val="TextpoznpodarouChar"/>
        </w:rPr>
        <w:instrText>430a14‒15</w:instrText>
      </w:r>
      <w:r w:rsidRPr="003D1E07">
        <w:instrText xml:space="preserve">" </w:instrText>
      </w:r>
      <w:r w:rsidRPr="003D1E07">
        <w:rPr>
          <w:i/>
        </w:rPr>
        <w:fldChar w:fldCharType="end"/>
      </w:r>
      <w:r w:rsidRPr="003D1E07">
        <w:t xml:space="preserve">). Komentář uvedl tyto dvě schopnosti do vztahu jak na smyslové, tak na intelektuální úrovni. Teze o adekvaci smyslové a intelligibilní </w:t>
      </w:r>
      <w:r w:rsidR="00F214C5" w:rsidRPr="003D1E07">
        <w:t>species</w:t>
      </w:r>
      <w:r w:rsidRPr="003D1E07">
        <w:t xml:space="preserve"> v rámci dvou procesů intencionality (smyslové, rozumové) tvoří základ Averroesova pojetí pravdy jako adekvace (</w:t>
      </w:r>
      <w:r w:rsidRPr="003D1E07">
        <w:rPr>
          <w:i/>
        </w:rPr>
        <w:t>proportio</w:t>
      </w:r>
      <w:r w:rsidRPr="003D1E07">
        <w:t>) mezi smyslovým a intelektuálním poznáním externí věci. Jak bylo řečeno výše, oba intencioná</w:t>
      </w:r>
      <w:r w:rsidR="0058606F" w:rsidRPr="003D1E07">
        <w:t xml:space="preserve">lní akty jsou spojeny v jediné schopnosti </w:t>
      </w:r>
      <w:r w:rsidRPr="003D1E07">
        <w:t xml:space="preserve">duše v modu </w:t>
      </w:r>
      <w:r w:rsidRPr="003D1E07">
        <w:rPr>
          <w:i/>
        </w:rPr>
        <w:t>ipse</w:t>
      </w:r>
      <w:r w:rsidR="003362CB">
        <w:t xml:space="preserve"> </w:t>
      </w:r>
      <w:r w:rsidR="003362CB">
        <w:rPr>
          <w:rFonts w:cs="Calibri"/>
        </w:rPr>
        <w:t>(</w:t>
      </w:r>
      <w:r w:rsidR="003362CB" w:rsidRPr="00852FFF">
        <w:rPr>
          <w:rFonts w:cs="Calibri"/>
          <w:i/>
        </w:rPr>
        <w:t>modus intelligendi</w:t>
      </w:r>
      <w:r w:rsidR="003362CB">
        <w:rPr>
          <w:rFonts w:cs="Calibri"/>
          <w:i/>
        </w:rPr>
        <w:fldChar w:fldCharType="begin"/>
      </w:r>
      <w:r w:rsidR="003362CB">
        <w:instrText xml:space="preserve"> XE "</w:instrText>
      </w:r>
      <w:r w:rsidR="003362CB" w:rsidRPr="005E278A">
        <w:rPr>
          <w:rFonts w:cs="Calibri"/>
          <w:i/>
        </w:rPr>
        <w:instrText>modus intelligendi</w:instrText>
      </w:r>
      <w:r w:rsidR="003362CB">
        <w:instrText xml:space="preserve">" </w:instrText>
      </w:r>
      <w:r w:rsidR="003362CB">
        <w:rPr>
          <w:rFonts w:cs="Calibri"/>
          <w:i/>
        </w:rPr>
        <w:fldChar w:fldCharType="end"/>
      </w:r>
      <w:r w:rsidR="003362CB">
        <w:rPr>
          <w:rFonts w:cs="Calibri"/>
        </w:rPr>
        <w:t xml:space="preserve">, </w:t>
      </w:r>
      <w:r w:rsidR="003362CB" w:rsidRPr="00852FFF">
        <w:rPr>
          <w:rFonts w:cs="Calibri"/>
          <w:i/>
        </w:rPr>
        <w:t>intellectio</w:t>
      </w:r>
      <w:r w:rsidR="003362CB">
        <w:rPr>
          <w:rFonts w:cs="Calibri"/>
        </w:rPr>
        <w:t xml:space="preserve">). </w:t>
      </w:r>
      <w:r w:rsidR="0027624F" w:rsidRPr="003D1E07">
        <w:t xml:space="preserve">Intencionalita zvířat vytváří poznání na úrovni </w:t>
      </w:r>
      <w:r w:rsidR="0027624F" w:rsidRPr="003D1E07">
        <w:rPr>
          <w:i/>
        </w:rPr>
        <w:t>vis aestimativa</w:t>
      </w:r>
      <w:r w:rsidR="0027624F" w:rsidRPr="003D1E07">
        <w:t xml:space="preserve">. Tento druh zvířecí ipseity je dán smyslově a individuálně. </w:t>
      </w:r>
      <w:r w:rsidRPr="003D1E07">
        <w:t xml:space="preserve">Averroesova koncepce poznání vychází </w:t>
      </w:r>
      <w:r w:rsidR="002D69AF" w:rsidRPr="003D1E07">
        <w:t>z přesného popisu dvojí intencionality</w:t>
      </w:r>
      <w:r w:rsidRPr="003D1E07">
        <w:t xml:space="preserve">. Smyslová </w:t>
      </w:r>
      <w:r w:rsidR="00F214C5" w:rsidRPr="003D1E07">
        <w:t>species</w:t>
      </w:r>
      <w:r w:rsidRPr="003D1E07">
        <w:t xml:space="preserve"> vzniká v obecné představivosti, která syntetizuje zaměření smyslů směrem k reálné věci. Druhá intence </w:t>
      </w:r>
      <w:r w:rsidR="00A7109E">
        <w:t xml:space="preserve">vzniká na úrovni </w:t>
      </w:r>
      <w:r w:rsidRPr="003D1E07">
        <w:t>nemateriální schopnosti duše</w:t>
      </w:r>
      <w:r w:rsidR="00E9021F" w:rsidRPr="003D1E07">
        <w:t>. Pasivně-receptivní a pak aktivně-</w:t>
      </w:r>
      <w:r w:rsidRPr="003D1E07">
        <w:t xml:space="preserve">abstrahující intelekt </w:t>
      </w:r>
      <w:r w:rsidR="00E9021F" w:rsidRPr="003D1E07">
        <w:t>z</w:t>
      </w:r>
      <w:r w:rsidRPr="003D1E07">
        <w:t xml:space="preserve">aměřuje pozornost směrem k  syntetizovanému intencionálnímu předmětu danému v představivosti. Pravda jako intelektuální adekvace vzhledem k vnější věci </w:t>
      </w:r>
      <w:r w:rsidR="006766B9" w:rsidRPr="003D1E07">
        <w:t xml:space="preserve">vzniká </w:t>
      </w:r>
      <w:r w:rsidRPr="003D1E07">
        <w:t>skrze proces dvojí intencionality (</w:t>
      </w:r>
      <w:r w:rsidRPr="003D1E07">
        <w:rPr>
          <w:i/>
          <w:szCs w:val="30"/>
        </w:rPr>
        <w:t>proportio ad has duas intentiones</w:t>
      </w:r>
      <w:r w:rsidRPr="003D1E07">
        <w:t xml:space="preserve">) </w:t>
      </w:r>
      <w:r w:rsidR="006766B9" w:rsidRPr="003D1E07">
        <w:t xml:space="preserve">a to </w:t>
      </w:r>
      <w:r w:rsidRPr="003D1E07">
        <w:t>v rámci celkové intencionální recepce a syntézy.</w:t>
      </w:r>
    </w:p>
    <w:p w14:paraId="59434F86" w14:textId="77777777" w:rsidR="000551F2" w:rsidRDefault="08126A94" w:rsidP="08126A94">
      <w:r w:rsidRPr="003D1E07">
        <w:tab/>
      </w:r>
      <w:r w:rsidR="00C82CCA" w:rsidRPr="003D1E07">
        <w:t xml:space="preserve">Averroes založil poznání na modelu osvícení bytí zepředu, z inteligibilní intencionality. Intence jde v modu </w:t>
      </w:r>
      <w:r w:rsidR="00C82CCA" w:rsidRPr="003D1E07">
        <w:rPr>
          <w:i/>
        </w:rPr>
        <w:t>per prius</w:t>
      </w:r>
      <w:r w:rsidR="00C82CCA" w:rsidRPr="003D1E07">
        <w:t xml:space="preserve"> nejprve ke smyslovým </w:t>
      </w:r>
      <w:r w:rsidR="00FD0F8E" w:rsidRPr="003D1E07">
        <w:t>species</w:t>
      </w:r>
      <w:r w:rsidR="00C82CCA" w:rsidRPr="003D1E07">
        <w:t xml:space="preserve">, které jsou uchopeny v první intenci. Ve druhém kroku ji přijímá nehmotný a čistě potenciální </w:t>
      </w:r>
      <w:r w:rsidR="00C82CCA" w:rsidRPr="003D1E07">
        <w:rPr>
          <w:i/>
        </w:rPr>
        <w:t>intellectus possibilis</w:t>
      </w:r>
      <w:r w:rsidR="00C82CCA" w:rsidRPr="003D1E07">
        <w:t>. T</w:t>
      </w:r>
      <w:r w:rsidR="007A530C" w:rsidRPr="003D1E07">
        <w:t xml:space="preserve">ento </w:t>
      </w:r>
      <w:r w:rsidR="00C82CCA" w:rsidRPr="003D1E07">
        <w:t xml:space="preserve">intelekt je pouze schopností duše, protože jeho akt </w:t>
      </w:r>
      <w:r w:rsidR="007A530C" w:rsidRPr="003D1E07">
        <w:t xml:space="preserve">recepce </w:t>
      </w:r>
      <w:r w:rsidR="00C82CCA" w:rsidRPr="003D1E07">
        <w:t>probíhá v modu ne</w:t>
      </w:r>
      <w:r w:rsidR="007A530C" w:rsidRPr="003D1E07">
        <w:t xml:space="preserve">materiální </w:t>
      </w:r>
      <w:r w:rsidR="00C82CCA" w:rsidRPr="003D1E07">
        <w:t xml:space="preserve">receptivity. </w:t>
      </w:r>
      <w:r w:rsidRPr="003D1E07">
        <w:t>Pojetí dvojí intencionality rozlišené na úrovni adekvace dvojího species (</w:t>
      </w:r>
      <w:r w:rsidRPr="003D1E07">
        <w:rPr>
          <w:i/>
        </w:rPr>
        <w:t>sensibilis</w:t>
      </w:r>
      <w:r w:rsidRPr="003D1E07">
        <w:t xml:space="preserve">, </w:t>
      </w:r>
      <w:r w:rsidRPr="003D1E07">
        <w:rPr>
          <w:i/>
        </w:rPr>
        <w:t>intelligibilis</w:t>
      </w:r>
      <w:r w:rsidRPr="003D1E07">
        <w:t xml:space="preserve">) spolehlivě zabránilo vzniku jsoucna třetího druhu a potvrdilo platnost </w:t>
      </w:r>
      <w:r w:rsidRPr="003D1E07">
        <w:lastRenderedPageBreak/>
        <w:t>nasvícení poznání zepředu od smyslově vnímané aktuál</w:t>
      </w:r>
      <w:r w:rsidR="00477F6E">
        <w:t xml:space="preserve">ní první substance dané reálně. Průběh poznání řídí produkce smyslu jsoucna v rámci kategoriální impozice, což potvrzuje základní tezi spisu </w:t>
      </w:r>
      <w:r w:rsidR="00477F6E" w:rsidRPr="00477F6E">
        <w:rPr>
          <w:i/>
        </w:rPr>
        <w:t>Kategorie</w:t>
      </w:r>
      <w:r w:rsidR="00477F6E">
        <w:t xml:space="preserve">. </w:t>
      </w:r>
      <w:r w:rsidRPr="003D1E07">
        <w:t xml:space="preserve">Tato adekvace </w:t>
      </w:r>
      <w:r w:rsidR="00FD20BD">
        <w:t xml:space="preserve">věci a intelektu </w:t>
      </w:r>
      <w:r w:rsidRPr="003D1E07">
        <w:t xml:space="preserve">založila model pravdy jako </w:t>
      </w:r>
      <w:r w:rsidR="00FD20BD">
        <w:t>proporcionality</w:t>
      </w:r>
      <w:r w:rsidRPr="003D1E07">
        <w:t xml:space="preserve">. Proto je Komentátor skutečným původcem adekvační teorie pravdy, nikoliv Avicenna. </w:t>
      </w:r>
      <w:r w:rsidR="00477F6E" w:rsidRPr="003D1E07">
        <w:t xml:space="preserve">Moderní intencionalita avicennistů změnila receptivní charakter </w:t>
      </w:r>
      <w:r w:rsidR="00477F6E" w:rsidRPr="003D1E07">
        <w:rPr>
          <w:i/>
        </w:rPr>
        <w:t>intellectus possibilis</w:t>
      </w:r>
      <w:r w:rsidR="004048BA">
        <w:t xml:space="preserve"> na aktualizovanou </w:t>
      </w:r>
      <w:r w:rsidR="00EB1030">
        <w:t xml:space="preserve">hypostázi. </w:t>
      </w:r>
      <w:r w:rsidRPr="003D1E07">
        <w:t xml:space="preserve">Averroes tvrdí proti Themistiově pojetí materiálního intelektu danému tělesně, že abstrahovaná forma jednotliviny je nemateriální. </w:t>
      </w:r>
      <w:r w:rsidR="0007627A" w:rsidRPr="003D1E07">
        <w:t>Proti Alexandrovi je jasné, že n</w:t>
      </w:r>
      <w:r w:rsidRPr="003D1E07">
        <w:t xml:space="preserve">emateriální </w:t>
      </w:r>
      <w:r w:rsidR="00EA3624" w:rsidRPr="003D1E07">
        <w:t xml:space="preserve">a plně potenciální </w:t>
      </w:r>
      <w:r w:rsidRPr="003D1E07">
        <w:rPr>
          <w:i/>
        </w:rPr>
        <w:t>intellectus possibilis</w:t>
      </w:r>
      <w:r w:rsidRPr="003D1E07">
        <w:t xml:space="preserve"> recipuje </w:t>
      </w:r>
      <w:r w:rsidR="0007627A" w:rsidRPr="003D1E07">
        <w:t xml:space="preserve">intencionalitu </w:t>
      </w:r>
      <w:r w:rsidRPr="003D1E07">
        <w:t>z první intence skrze svou vlastní druhou intenci. Takto definovaný materiální intelekt zůstává individuální</w:t>
      </w:r>
      <w:r w:rsidR="0007627A" w:rsidRPr="003D1E07">
        <w:t xml:space="preserve"> složkou duše, protože je </w:t>
      </w:r>
      <w:r w:rsidRPr="003D1E07">
        <w:t xml:space="preserve">kombinací Themistiova </w:t>
      </w:r>
      <w:r w:rsidRPr="003D1E07">
        <w:rPr>
          <w:i/>
        </w:rPr>
        <w:t>intellectus materialis</w:t>
      </w:r>
      <w:r w:rsidRPr="003D1E07">
        <w:t xml:space="preserve"> a Alexandrova </w:t>
      </w:r>
      <w:r w:rsidRPr="003D1E07">
        <w:rPr>
          <w:i/>
        </w:rPr>
        <w:t>intellectus possibilis</w:t>
      </w:r>
      <w:r w:rsidRPr="003D1E07">
        <w:t>. A současně funguje tento receptivní intelekt v Themistiově</w:t>
      </w:r>
      <w:r w:rsidRPr="003D1E07">
        <w:fldChar w:fldCharType="begin"/>
      </w:r>
      <w:r w:rsidRPr="003D1E07">
        <w:instrText xml:space="preserve"> XE "</w:instrText>
      </w:r>
      <w:r w:rsidRPr="003D1E07">
        <w:rPr>
          <w:i/>
        </w:rPr>
        <w:instrText>intellectus possibilis</w:instrText>
      </w:r>
      <w:r w:rsidRPr="003D1E07">
        <w:instrText xml:space="preserve">:Themistius" </w:instrText>
      </w:r>
      <w:r w:rsidRPr="003D1E07">
        <w:fldChar w:fldCharType="end"/>
      </w:r>
      <w:r w:rsidRPr="003D1E07">
        <w:t xml:space="preserve"> modu nemateriálního </w:t>
      </w:r>
      <w:r w:rsidRPr="003D1E07">
        <w:rPr>
          <w:i/>
        </w:rPr>
        <w:t>intellectus possibilis</w:t>
      </w:r>
      <w:r w:rsidRPr="003D1E07">
        <w:t xml:space="preserve">, který ovšem tento neoplatonik chápe jako aktuální substanci oddělenou od individuálního těla. Proto musí CMDA odmítnout Themistiovo pojetí receptivního intelektu jako substance a drží proti němu Alexandrovo pojetí receptivního intelektu jako čisté potence. </w:t>
      </w:r>
      <w:r w:rsidR="008626B6" w:rsidRPr="003D1E07">
        <w:t xml:space="preserve">Tímto způsobem </w:t>
      </w:r>
      <w:r w:rsidR="009E1316">
        <w:t xml:space="preserve">se oddělil </w:t>
      </w:r>
      <w:r w:rsidR="008626B6" w:rsidRPr="003D1E07">
        <w:rPr>
          <w:i/>
        </w:rPr>
        <w:t>intellectus possibilis</w:t>
      </w:r>
      <w:r w:rsidR="008626B6" w:rsidRPr="003D1E07">
        <w:t xml:space="preserve"> od materiálního intelektu Alexandra. Averroes změnil receptivní intelekt Alexandra geniálním výkladem intencionality podle Druhého mistra. </w:t>
      </w:r>
      <w:r w:rsidRPr="003D1E07">
        <w:t xml:space="preserve">Výsledná adekvace mezi materiálním a nemateriálním aktem intencionality </w:t>
      </w:r>
      <w:r w:rsidR="00452021" w:rsidRPr="003D1E07">
        <w:t>nevytváří moderní dualitu</w:t>
      </w:r>
      <w:r w:rsidRPr="003D1E07">
        <w:t xml:space="preserve"> poznání materiálních smyslů a nemateriálního intelektu</w:t>
      </w:r>
      <w:r w:rsidR="00B9630B">
        <w:t xml:space="preserve"> jako </w:t>
      </w:r>
      <w:r w:rsidR="00B9630B" w:rsidRPr="00B9630B">
        <w:rPr>
          <w:i/>
        </w:rPr>
        <w:t>tertium ens</w:t>
      </w:r>
      <w:r w:rsidRPr="003D1E07">
        <w:t xml:space="preserve">. </w:t>
      </w:r>
      <w:r w:rsidR="00B705CB">
        <w:t xml:space="preserve">Nová metafyzika a gnoseologie </w:t>
      </w:r>
      <w:r w:rsidRPr="003D1E07">
        <w:t xml:space="preserve">nedovoluje paranoický mix reality a poznaného předmětu </w:t>
      </w:r>
      <w:r w:rsidR="00716B18" w:rsidRPr="003D1E07">
        <w:t xml:space="preserve">v duši, </w:t>
      </w:r>
      <w:r w:rsidRPr="003D1E07">
        <w:t>jako to má moderna. Recepce smyslů je pasivní a individuální</w:t>
      </w:r>
      <w:r w:rsidR="00805B23" w:rsidRPr="003D1E07">
        <w:t xml:space="preserve">. Věc existující v modu </w:t>
      </w:r>
      <w:r w:rsidR="00805B23" w:rsidRPr="003D1E07">
        <w:rPr>
          <w:i/>
        </w:rPr>
        <w:t>simpliciter</w:t>
      </w:r>
      <w:r w:rsidR="00805B23" w:rsidRPr="003D1E07">
        <w:t xml:space="preserve"> a </w:t>
      </w:r>
      <w:r w:rsidR="00805B23" w:rsidRPr="003D1E07">
        <w:rPr>
          <w:i/>
        </w:rPr>
        <w:t>per se</w:t>
      </w:r>
      <w:r w:rsidR="00805B23" w:rsidRPr="003D1E07">
        <w:t xml:space="preserve"> jako aktuální první substance kauzálně působí na </w:t>
      </w:r>
      <w:r w:rsidRPr="003D1E07">
        <w:t>smyslový orgán</w:t>
      </w:r>
      <w:r w:rsidR="00805B23" w:rsidRPr="003D1E07">
        <w:t>.</w:t>
      </w:r>
      <w:r w:rsidRPr="003D1E07">
        <w:fldChar w:fldCharType="begin"/>
      </w:r>
      <w:r w:rsidRPr="003D1E07">
        <w:instrText xml:space="preserve"> XE "substance:první" </w:instrText>
      </w:r>
      <w:r w:rsidRPr="003D1E07">
        <w:fldChar w:fldCharType="end"/>
      </w:r>
      <w:r w:rsidR="00805B23" w:rsidRPr="003D1E07">
        <w:t xml:space="preserve"> </w:t>
      </w:r>
      <w:r w:rsidRPr="003D1E07">
        <w:t>Každý člen řetězu intencionality a abstrakce má</w:t>
      </w:r>
      <w:r w:rsidR="00005BE7">
        <w:t xml:space="preserve"> jiný status </w:t>
      </w:r>
      <w:r w:rsidR="00E150C3" w:rsidRPr="003D1E07">
        <w:t xml:space="preserve">v modu </w:t>
      </w:r>
      <w:r w:rsidR="00005BE7">
        <w:t>„</w:t>
      </w:r>
      <w:r w:rsidR="00E150C3" w:rsidRPr="003D1E07">
        <w:t>aktuali</w:t>
      </w:r>
      <w:r w:rsidR="00005BE7">
        <w:t>ta–</w:t>
      </w:r>
      <w:r w:rsidRPr="003D1E07">
        <w:t>potence</w:t>
      </w:r>
      <w:r w:rsidR="00005BE7">
        <w:t xml:space="preserve">“ a tím </w:t>
      </w:r>
      <w:r w:rsidRPr="003D1E07">
        <w:t xml:space="preserve">zakládá </w:t>
      </w:r>
      <w:r w:rsidR="00E150C3" w:rsidRPr="003D1E07">
        <w:t>adekvaci</w:t>
      </w:r>
      <w:r w:rsidRPr="003D1E07">
        <w:t xml:space="preserve"> intelektu</w:t>
      </w:r>
      <w:r w:rsidR="000551F2">
        <w:t xml:space="preserve"> a věci.</w:t>
      </w:r>
    </w:p>
    <w:p w14:paraId="69633009" w14:textId="064EA964" w:rsidR="08126A94" w:rsidRPr="003D1E07" w:rsidRDefault="08126A94" w:rsidP="000551F2">
      <w:pPr>
        <w:ind w:firstLine="397"/>
      </w:pPr>
      <w:r w:rsidRPr="003D1E07">
        <w:t xml:space="preserve">Nejprve je dána aktuální věc daná </w:t>
      </w:r>
      <w:r w:rsidRPr="003D1E07">
        <w:rPr>
          <w:i/>
        </w:rPr>
        <w:t>simpliciter</w:t>
      </w:r>
      <w:r w:rsidRPr="003D1E07">
        <w:t xml:space="preserve">. Pak v aktu první intencionality dané smyslově vzniká aktuální a individuální </w:t>
      </w:r>
      <w:r w:rsidR="00F214C5" w:rsidRPr="003D1E07">
        <w:rPr>
          <w:i/>
        </w:rPr>
        <w:t>species</w:t>
      </w:r>
      <w:r w:rsidRPr="003D1E07">
        <w:rPr>
          <w:i/>
        </w:rPr>
        <w:t xml:space="preserve"> sensibilis</w:t>
      </w:r>
      <w:r w:rsidRPr="003D1E07">
        <w:rPr>
          <w:i/>
        </w:rPr>
        <w:fldChar w:fldCharType="begin"/>
      </w:r>
      <w:r w:rsidRPr="003D1E07">
        <w:instrText xml:space="preserve"> XE "</w:instrText>
      </w:r>
      <w:r w:rsidRPr="003D1E07">
        <w:rPr>
          <w:i/>
        </w:rPr>
        <w:instrText>species sensibilis</w:instrText>
      </w:r>
      <w:r w:rsidRPr="003D1E07">
        <w:instrText xml:space="preserve">" </w:instrText>
      </w:r>
      <w:r w:rsidRPr="003D1E07">
        <w:rPr>
          <w:i/>
        </w:rPr>
        <w:fldChar w:fldCharType="end"/>
      </w:r>
      <w:r w:rsidRPr="003D1E07">
        <w:t xml:space="preserve">. Na předmět vytvořený touto první intencionalitou navazuje zaměření nemateriálního intelektu v jeho receptivní složce. Druhá aktualizace poznání vzniká na základě aktu druhé intencionality, která produkuje univerzální a potenciální </w:t>
      </w:r>
      <w:r w:rsidR="00F214C5" w:rsidRPr="003D1E07">
        <w:rPr>
          <w:i/>
        </w:rPr>
        <w:t>species</w:t>
      </w:r>
      <w:r w:rsidRPr="003D1E07">
        <w:rPr>
          <w:i/>
        </w:rPr>
        <w:t xml:space="preserve"> intelligibilis</w:t>
      </w:r>
      <w:r w:rsidRPr="003D1E07">
        <w:rPr>
          <w:i/>
        </w:rPr>
        <w:fldChar w:fldCharType="begin"/>
      </w:r>
      <w:r w:rsidRPr="003D1E07">
        <w:instrText xml:space="preserve"> XE "</w:instrText>
      </w:r>
      <w:r w:rsidRPr="003D1E07">
        <w:rPr>
          <w:i/>
        </w:rPr>
        <w:instrText>species intelligibilis:</w:instrText>
      </w:r>
      <w:r w:rsidRPr="003D1E07">
        <w:instrText xml:space="preserve">Averroes" </w:instrText>
      </w:r>
      <w:r w:rsidRPr="003D1E07">
        <w:rPr>
          <w:i/>
        </w:rPr>
        <w:fldChar w:fldCharType="end"/>
      </w:r>
      <w:r w:rsidRPr="003D1E07">
        <w:t xml:space="preserve">. Akt této intencionality umožňuje čistě potenciální složka </w:t>
      </w:r>
      <w:r w:rsidR="00A16643">
        <w:t xml:space="preserve">v rámci </w:t>
      </w:r>
      <w:r w:rsidRPr="003D1E07">
        <w:rPr>
          <w:i/>
        </w:rPr>
        <w:t>anima intellectiva</w:t>
      </w:r>
      <w:r w:rsidR="00A16643">
        <w:t xml:space="preserve">, která je definována jako </w:t>
      </w:r>
      <w:r w:rsidR="007D26BE" w:rsidRPr="003D1E07">
        <w:rPr>
          <w:i/>
        </w:rPr>
        <w:t>tabula rasa</w:t>
      </w:r>
      <w:r w:rsidR="007D26BE" w:rsidRPr="003D1E07">
        <w:t xml:space="preserve">. </w:t>
      </w:r>
      <w:r w:rsidR="000548AC" w:rsidRPr="003D1E07">
        <w:t>Averroes vyloučil aristotelskou s</w:t>
      </w:r>
      <w:r w:rsidR="001879EA" w:rsidRPr="003D1E07">
        <w:t>ubstanci a neoplatónskou hypostá</w:t>
      </w:r>
      <w:r w:rsidR="000548AC" w:rsidRPr="003D1E07">
        <w:t>zi z vnitřního procesu poznání. I</w:t>
      </w:r>
      <w:r w:rsidRPr="003D1E07">
        <w:t xml:space="preserve">ntelekt jako </w:t>
      </w:r>
      <w:r w:rsidRPr="003D1E07">
        <w:lastRenderedPageBreak/>
        <w:t xml:space="preserve">čistá potence je schopen přijmout jakoukoliv aktualitu danou od smyslů. Ale protože je tato schopnost duše čistě potenciální, tak vše přijímá na svůj vlastní způsob, tedy v nemateriálním modu intencionality. Tato již nemateriální forma poznání </w:t>
      </w:r>
      <w:r w:rsidR="004F6295" w:rsidRPr="003D1E07">
        <w:t xml:space="preserve">vstupuje do </w:t>
      </w:r>
      <w:r w:rsidRPr="003D1E07">
        <w:t>procesu abstrakce skrze aktivní složku intelektu</w:t>
      </w:r>
      <w:r w:rsidR="004F6295" w:rsidRPr="003D1E07">
        <w:t>. Výsledkem je kategoriální</w:t>
      </w:r>
      <w:r w:rsidRPr="003D1E07">
        <w:t xml:space="preserve"> poj</w:t>
      </w:r>
      <w:r w:rsidR="004F6295" w:rsidRPr="003D1E07">
        <w:t>em</w:t>
      </w:r>
      <w:r w:rsidRPr="003D1E07">
        <w:t xml:space="preserve"> (</w:t>
      </w:r>
      <w:r w:rsidRPr="003D1E07">
        <w:rPr>
          <w:i/>
        </w:rPr>
        <w:t>conceptus</w:t>
      </w:r>
      <w:r w:rsidRPr="003D1E07">
        <w:t xml:space="preserve">). Averroes </w:t>
      </w:r>
      <w:r w:rsidR="00BF0EB4" w:rsidRPr="003D1E07">
        <w:t xml:space="preserve">vytvořil </w:t>
      </w:r>
      <w:r w:rsidR="006037D6" w:rsidRPr="003D1E07">
        <w:t xml:space="preserve">skrze tuto syntézu </w:t>
      </w:r>
      <w:r w:rsidRPr="003D1E07">
        <w:t>nov</w:t>
      </w:r>
      <w:r w:rsidR="006037D6" w:rsidRPr="003D1E07">
        <w:t xml:space="preserve">ý </w:t>
      </w:r>
      <w:r w:rsidRPr="003D1E07">
        <w:t>druh intelektu, který charakterizuje jeho geniální a dosud nepřekonaný výklad Aristotela.</w:t>
      </w:r>
    </w:p>
    <w:p w14:paraId="1D36A6DB" w14:textId="037AD89C" w:rsidR="08126A94" w:rsidRPr="003D1E07" w:rsidRDefault="08126A94" w:rsidP="08126A94">
      <w:pPr>
        <w:pStyle w:val="Citace"/>
        <w:rPr>
          <w:rStyle w:val="Zkladntext184"/>
          <w:lang w:val="cs-CZ"/>
        </w:rPr>
      </w:pPr>
      <w:r w:rsidRPr="003D1E07">
        <w:rPr>
          <w:lang w:val="cs-CZ"/>
        </w:rPr>
        <w:t>„Pokud se podíváme na celkové definice Aristotela a dáme je dohromady, pak je jasně vidět, že má na mysli následující. Když je možný intelekt aktualizován, pak se s námi sjednocuje aktivní schopnost poznání (</w:t>
      </w:r>
      <w:r w:rsidRPr="003D1E07">
        <w:rPr>
          <w:i/>
          <w:lang w:val="cs-CZ"/>
        </w:rPr>
        <w:t>intelligentia agens copulabitur nobiscum</w:t>
      </w:r>
      <w:r w:rsidRPr="003D1E07">
        <w:rPr>
          <w:lang w:val="cs-CZ"/>
        </w:rPr>
        <w:t>). A díky této schopnosti rozumíme věcem mimo nás (</w:t>
      </w:r>
      <w:r w:rsidRPr="003D1E07">
        <w:rPr>
          <w:i/>
          <w:lang w:val="cs-CZ"/>
        </w:rPr>
        <w:t>per quam intelligemus alias res</w:t>
      </w:r>
      <w:r w:rsidRPr="003D1E07">
        <w:rPr>
          <w:lang w:val="cs-CZ"/>
        </w:rPr>
        <w:t>). Skrze ni děláme smyslové věci aktuálně inteligibilními (</w:t>
      </w:r>
      <w:r w:rsidRPr="003D1E07">
        <w:rPr>
          <w:i/>
          <w:lang w:val="cs-CZ"/>
        </w:rPr>
        <w:t>per quam faciemus res sensibiles esse intellectas in actu</w:t>
      </w:r>
      <w:r w:rsidRPr="003D1E07">
        <w:rPr>
          <w:lang w:val="cs-CZ"/>
        </w:rPr>
        <w:t xml:space="preserve">), pokud </w:t>
      </w:r>
      <w:r w:rsidR="002E49A4" w:rsidRPr="003D1E07">
        <w:rPr>
          <w:lang w:val="cs-CZ"/>
        </w:rPr>
        <w:t xml:space="preserve">tato aktivní schopnost </w:t>
      </w:r>
      <w:r w:rsidRPr="003D1E07">
        <w:rPr>
          <w:lang w:val="cs-CZ"/>
        </w:rPr>
        <w:t>se stane v nás formou (</w:t>
      </w:r>
      <w:r w:rsidRPr="003D1E07">
        <w:rPr>
          <w:i/>
          <w:lang w:val="cs-CZ"/>
        </w:rPr>
        <w:t>secundum quod ipse efficitur forma in nobis</w:t>
      </w:r>
      <w:r w:rsidRPr="003D1E07">
        <w:rPr>
          <w:lang w:val="cs-CZ"/>
        </w:rPr>
        <w:t xml:space="preserve">).“ </w:t>
      </w:r>
      <w:r w:rsidRPr="003D1E07">
        <w:rPr>
          <w:rStyle w:val="Znakapoznpodarou"/>
          <w:lang w:val="cs-CZ"/>
        </w:rPr>
        <w:footnoteReference w:id="247"/>
      </w:r>
    </w:p>
    <w:p w14:paraId="5C60240F" w14:textId="614877EF" w:rsidR="007F5032" w:rsidRPr="003D1E07" w:rsidRDefault="08126A94" w:rsidP="08126A94">
      <w:pPr>
        <w:rPr>
          <w:lang w:eastAsia="en-US"/>
        </w:rPr>
      </w:pPr>
      <w:r w:rsidRPr="003D1E07">
        <w:t xml:space="preserve">Klíčová fráze pasivně-aktivního intelektu jako </w:t>
      </w:r>
      <w:r w:rsidR="00066766">
        <w:t>„</w:t>
      </w:r>
      <w:r w:rsidRPr="003D1E07">
        <w:rPr>
          <w:i/>
        </w:rPr>
        <w:t>forma in nobis</w:t>
      </w:r>
      <w:r w:rsidR="00066766">
        <w:t>“</w:t>
      </w:r>
      <w:r w:rsidRPr="003D1E07">
        <w:t xml:space="preserve"> znamená dvojí odmítnutí odděleného intelektu jako substance</w:t>
      </w:r>
      <w:r w:rsidRPr="003D1E07">
        <w:fldChar w:fldCharType="begin"/>
      </w:r>
      <w:r w:rsidRPr="003D1E07">
        <w:instrText xml:space="preserve"> XE "substance:intelekt" </w:instrText>
      </w:r>
      <w:r w:rsidRPr="003D1E07">
        <w:fldChar w:fldCharType="end"/>
      </w:r>
      <w:r w:rsidR="00AB4C89" w:rsidRPr="003D1E07">
        <w:t xml:space="preserve">. Neoplatonikové a aristotelik </w:t>
      </w:r>
      <w:r w:rsidRPr="003D1E07">
        <w:t>Alexand</w:t>
      </w:r>
      <w:r w:rsidR="00AB4C89" w:rsidRPr="003D1E07">
        <w:t xml:space="preserve">er vytvořili hypostázovaný a </w:t>
      </w:r>
      <w:r w:rsidRPr="003D1E07">
        <w:t xml:space="preserve">nemateriální </w:t>
      </w:r>
      <w:r w:rsidRPr="003D1E07">
        <w:rPr>
          <w:i/>
        </w:rPr>
        <w:t>intellectus possibilis</w:t>
      </w:r>
      <w:r w:rsidRPr="003D1E07">
        <w:rPr>
          <w:i/>
          <w:szCs w:val="24"/>
        </w:rPr>
        <w:fldChar w:fldCharType="begin"/>
      </w:r>
      <w:r w:rsidRPr="003D1E07">
        <w:rPr>
          <w:szCs w:val="24"/>
        </w:rPr>
        <w:instrText xml:space="preserve"> XE "</w:instrText>
      </w:r>
      <w:r w:rsidRPr="003D1E07">
        <w:rPr>
          <w:i/>
          <w:szCs w:val="24"/>
        </w:rPr>
        <w:instrText>intellectus possibilis</w:instrText>
      </w:r>
      <w:r w:rsidRPr="003D1E07">
        <w:rPr>
          <w:szCs w:val="24"/>
        </w:rPr>
        <w:instrText xml:space="preserve">:Alexander" </w:instrText>
      </w:r>
      <w:r w:rsidRPr="003D1E07">
        <w:rPr>
          <w:i/>
          <w:szCs w:val="24"/>
        </w:rPr>
        <w:fldChar w:fldCharType="end"/>
      </w:r>
      <w:r w:rsidRPr="003D1E07">
        <w:rPr>
          <w:i/>
        </w:rPr>
        <w:t xml:space="preserve"> </w:t>
      </w:r>
      <w:r w:rsidRPr="003D1E07">
        <w:t>napojený na</w:t>
      </w:r>
      <w:r w:rsidR="00AB4C89" w:rsidRPr="003D1E07">
        <w:t xml:space="preserve"> zcela oddělený </w:t>
      </w:r>
      <w:r w:rsidRPr="003D1E07">
        <w:rPr>
          <w:i/>
        </w:rPr>
        <w:t>intellectus agens</w:t>
      </w:r>
      <w:r w:rsidRPr="003D1E07">
        <w:t xml:space="preserve">. </w:t>
      </w:r>
      <w:r w:rsidR="00AB4C89" w:rsidRPr="003D1E07">
        <w:t>Podobně postupoval i Themistius</w:t>
      </w:r>
      <w:r w:rsidRPr="003D1E07">
        <w:t xml:space="preserve">, který dal materiální intelekt do smyslové recepce a </w:t>
      </w:r>
      <w:r w:rsidR="00985B31" w:rsidRPr="003D1E07">
        <w:t xml:space="preserve">hypostázoval </w:t>
      </w:r>
      <w:r w:rsidRPr="003D1E07">
        <w:t xml:space="preserve">jak </w:t>
      </w:r>
      <w:r w:rsidRPr="003D1E07">
        <w:rPr>
          <w:i/>
        </w:rPr>
        <w:t>intellectus possibilis</w:t>
      </w:r>
      <w:r w:rsidRPr="003D1E07">
        <w:rPr>
          <w:i/>
        </w:rPr>
        <w:fldChar w:fldCharType="begin"/>
      </w:r>
      <w:r w:rsidRPr="003D1E07">
        <w:instrText xml:space="preserve"> XE "</w:instrText>
      </w:r>
      <w:r w:rsidRPr="003D1E07">
        <w:rPr>
          <w:i/>
        </w:rPr>
        <w:instrText>intellectus possibilis</w:instrText>
      </w:r>
      <w:r w:rsidRPr="003D1E07">
        <w:instrText xml:space="preserve">:Themistius" </w:instrText>
      </w:r>
      <w:r w:rsidRPr="003D1E07">
        <w:rPr>
          <w:i/>
        </w:rPr>
        <w:fldChar w:fldCharType="end"/>
      </w:r>
      <w:r w:rsidRPr="003D1E07">
        <w:rPr>
          <w:i/>
        </w:rPr>
        <w:t xml:space="preserve"> </w:t>
      </w:r>
      <w:r w:rsidRPr="003D1E07">
        <w:t>tak</w:t>
      </w:r>
      <w:r w:rsidRPr="003D1E07">
        <w:rPr>
          <w:i/>
        </w:rPr>
        <w:t xml:space="preserve"> intellectus agens</w:t>
      </w:r>
      <w:r w:rsidRPr="003D1E07">
        <w:rPr>
          <w:i/>
        </w:rPr>
        <w:fldChar w:fldCharType="begin"/>
      </w:r>
      <w:r w:rsidRPr="003D1E07">
        <w:instrText xml:space="preserve"> XE "</w:instrText>
      </w:r>
      <w:r w:rsidRPr="003D1E07">
        <w:rPr>
          <w:i/>
        </w:rPr>
        <w:instrText>intellectus agens:</w:instrText>
      </w:r>
      <w:r w:rsidRPr="003D1E07">
        <w:instrText xml:space="preserve">Alexander" </w:instrText>
      </w:r>
      <w:r w:rsidRPr="003D1E07">
        <w:rPr>
          <w:i/>
        </w:rPr>
        <w:fldChar w:fldCharType="end"/>
      </w:r>
      <w:r w:rsidRPr="003D1E07">
        <w:t xml:space="preserve">. </w:t>
      </w:r>
      <w:r w:rsidRPr="003D1E07">
        <w:rPr>
          <w:lang w:eastAsia="en-US"/>
        </w:rPr>
        <w:t>Averroes odmítl tradiční neoplatonská řešení (Themistius</w:t>
      </w:r>
      <w:r w:rsidRPr="003D1E07">
        <w:rPr>
          <w:lang w:eastAsia="en-US"/>
        </w:rPr>
        <w:fldChar w:fldCharType="begin"/>
      </w:r>
      <w:r w:rsidRPr="003D1E07">
        <w:instrText xml:space="preserve"> XE "Themistius" </w:instrText>
      </w:r>
      <w:r w:rsidRPr="003D1E07">
        <w:rPr>
          <w:lang w:eastAsia="en-US"/>
        </w:rPr>
        <w:fldChar w:fldCharType="end"/>
      </w:r>
      <w:r w:rsidRPr="003D1E07">
        <w:rPr>
          <w:lang w:eastAsia="en-US"/>
        </w:rPr>
        <w:t>, Alexander Afrodisias</w:t>
      </w:r>
      <w:r w:rsidRPr="003D1E07">
        <w:fldChar w:fldCharType="begin"/>
      </w:r>
      <w:r w:rsidRPr="003D1E07">
        <w:instrText xml:space="preserve"> XE "Alexander Afrodisias" </w:instrText>
      </w:r>
      <w:r w:rsidRPr="003D1E07">
        <w:fldChar w:fldCharType="end"/>
      </w:r>
      <w:r w:rsidRPr="003D1E07">
        <w:rPr>
          <w:lang w:eastAsia="en-US"/>
        </w:rPr>
        <w:t>, Theofrastus</w:t>
      </w:r>
      <w:r w:rsidRPr="003D1E07">
        <w:rPr>
          <w:lang w:eastAsia="en-US"/>
        </w:rPr>
        <w:fldChar w:fldCharType="begin"/>
      </w:r>
      <w:r w:rsidRPr="003D1E07">
        <w:instrText xml:space="preserve"> XE "</w:instrText>
      </w:r>
      <w:r w:rsidRPr="003D1E07">
        <w:rPr>
          <w:lang w:eastAsia="en-US"/>
        </w:rPr>
        <w:instrText>Theofrastus</w:instrText>
      </w:r>
      <w:r w:rsidRPr="003D1E07">
        <w:instrText xml:space="preserve">" </w:instrText>
      </w:r>
      <w:r w:rsidRPr="003D1E07">
        <w:rPr>
          <w:lang w:eastAsia="en-US"/>
        </w:rPr>
        <w:fldChar w:fldCharType="end"/>
      </w:r>
      <w:r w:rsidRPr="003D1E07">
        <w:rPr>
          <w:lang w:eastAsia="en-US"/>
        </w:rPr>
        <w:t>) a také moderní řešení jeho současníků, kteří oddělili materiální či receptivní intelekt od smyslového poznání na způsob Alexandra (Avicenna, Ibn Bája</w:t>
      </w:r>
      <w:r w:rsidRPr="003D1E07">
        <w:rPr>
          <w:lang w:eastAsia="en-US"/>
        </w:rPr>
        <w:fldChar w:fldCharType="begin"/>
      </w:r>
      <w:r w:rsidRPr="003D1E07">
        <w:instrText xml:space="preserve"> XE "Ibn Bája" </w:instrText>
      </w:r>
      <w:r w:rsidRPr="003D1E07">
        <w:rPr>
          <w:lang w:eastAsia="en-US"/>
        </w:rPr>
        <w:fldChar w:fldCharType="end"/>
      </w:r>
      <w:r w:rsidRPr="003D1E07">
        <w:rPr>
          <w:lang w:eastAsia="en-US"/>
        </w:rPr>
        <w:t xml:space="preserve">). Nová forma </w:t>
      </w:r>
      <w:r w:rsidR="00C404D7" w:rsidRPr="003D1E07">
        <w:rPr>
          <w:lang w:eastAsia="en-US"/>
        </w:rPr>
        <w:t xml:space="preserve">pravdy a poznání </w:t>
      </w:r>
      <w:r w:rsidR="002915B5" w:rsidRPr="003D1E07">
        <w:rPr>
          <w:lang w:eastAsia="en-US"/>
        </w:rPr>
        <w:t xml:space="preserve">je </w:t>
      </w:r>
      <w:r w:rsidRPr="003D1E07">
        <w:rPr>
          <w:lang w:eastAsia="en-US"/>
        </w:rPr>
        <w:t xml:space="preserve">výkon nemateriální duše o dvou činnostech (receptivní, aktivní) </w:t>
      </w:r>
      <w:r w:rsidR="002915B5" w:rsidRPr="003D1E07">
        <w:rPr>
          <w:lang w:eastAsia="en-US"/>
        </w:rPr>
        <w:t xml:space="preserve">a </w:t>
      </w:r>
      <w:r w:rsidRPr="003D1E07">
        <w:rPr>
          <w:lang w:eastAsia="en-US"/>
        </w:rPr>
        <w:t>nepotřebuje žádný darovaný intelekt (</w:t>
      </w:r>
      <w:r w:rsidRPr="003D1E07">
        <w:rPr>
          <w:i/>
          <w:lang w:eastAsia="en-US"/>
        </w:rPr>
        <w:t>intellectus adeptus</w:t>
      </w:r>
      <w:r w:rsidRPr="003D1E07">
        <w:rPr>
          <w:i/>
          <w:lang w:eastAsia="en-US"/>
        </w:rPr>
        <w:fldChar w:fldCharType="begin"/>
      </w:r>
      <w:r w:rsidRPr="003D1E07">
        <w:instrText xml:space="preserve"> XE "</w:instrText>
      </w:r>
      <w:r w:rsidRPr="003D1E07">
        <w:rPr>
          <w:i/>
          <w:lang w:eastAsia="en-US"/>
        </w:rPr>
        <w:instrText>intellectus adeptus</w:instrText>
      </w:r>
      <w:r w:rsidRPr="003D1E07">
        <w:instrText xml:space="preserve">" </w:instrText>
      </w:r>
      <w:r w:rsidRPr="003D1E07">
        <w:rPr>
          <w:i/>
          <w:lang w:eastAsia="en-US"/>
        </w:rPr>
        <w:fldChar w:fldCharType="end"/>
      </w:r>
      <w:r w:rsidRPr="003D1E07">
        <w:rPr>
          <w:lang w:eastAsia="en-US"/>
        </w:rPr>
        <w:t>), který by sloužil jako hypostatická a materiální forma receptivity v individuálním výkonu poznání. Roli externího aktivátora poznání v darov</w:t>
      </w:r>
      <w:r w:rsidR="002915B5" w:rsidRPr="003D1E07">
        <w:rPr>
          <w:lang w:eastAsia="en-US"/>
        </w:rPr>
        <w:t>a</w:t>
      </w:r>
      <w:r w:rsidRPr="003D1E07">
        <w:rPr>
          <w:lang w:eastAsia="en-US"/>
        </w:rPr>
        <w:t xml:space="preserve">ném intelektu hrál u neoplatoniků a Avicenny oddělený </w:t>
      </w:r>
      <w:r w:rsidRPr="003D1E07">
        <w:rPr>
          <w:i/>
          <w:lang w:eastAsia="en-US"/>
        </w:rPr>
        <w:t>intellectus agens</w:t>
      </w:r>
      <w:r w:rsidRPr="003D1E07">
        <w:rPr>
          <w:lang w:eastAsia="en-US"/>
        </w:rPr>
        <w:t xml:space="preserve">. Ten přinášel do individuálního lidského poznání </w:t>
      </w:r>
      <w:r w:rsidR="00C439F3">
        <w:rPr>
          <w:lang w:eastAsia="en-US"/>
        </w:rPr>
        <w:t xml:space="preserve">mytopoetický </w:t>
      </w:r>
      <w:r w:rsidR="00525F12">
        <w:rPr>
          <w:lang w:eastAsia="en-US"/>
        </w:rPr>
        <w:t xml:space="preserve">svět. Jeho </w:t>
      </w:r>
      <w:r w:rsidRPr="003D1E07">
        <w:rPr>
          <w:lang w:eastAsia="en-US"/>
        </w:rPr>
        <w:t>nemateriální</w:t>
      </w:r>
      <w:r w:rsidR="00525F12">
        <w:rPr>
          <w:lang w:eastAsia="en-US"/>
        </w:rPr>
        <w:t xml:space="preserve"> </w:t>
      </w:r>
      <w:r w:rsidRPr="003D1E07">
        <w:rPr>
          <w:lang w:eastAsia="en-US"/>
        </w:rPr>
        <w:t>form</w:t>
      </w:r>
      <w:r w:rsidR="00525F12">
        <w:rPr>
          <w:lang w:eastAsia="en-US"/>
        </w:rPr>
        <w:t xml:space="preserve">y </w:t>
      </w:r>
      <w:r w:rsidRPr="003D1E07">
        <w:rPr>
          <w:lang w:eastAsia="en-US"/>
        </w:rPr>
        <w:t>eman</w:t>
      </w:r>
      <w:r w:rsidR="00C439F3">
        <w:rPr>
          <w:lang w:eastAsia="en-US"/>
        </w:rPr>
        <w:t xml:space="preserve">ují </w:t>
      </w:r>
      <w:r w:rsidRPr="003D1E07">
        <w:rPr>
          <w:lang w:eastAsia="en-US"/>
        </w:rPr>
        <w:t xml:space="preserve">ze sféry kosmického činného intelektu </w:t>
      </w:r>
      <w:r w:rsidR="0003498F">
        <w:rPr>
          <w:lang w:eastAsia="en-US"/>
        </w:rPr>
        <w:t xml:space="preserve">určeného </w:t>
      </w:r>
      <w:r w:rsidRPr="003D1E07">
        <w:rPr>
          <w:lang w:eastAsia="en-US"/>
        </w:rPr>
        <w:t xml:space="preserve">jako </w:t>
      </w:r>
      <w:r w:rsidR="004319BF" w:rsidRPr="004319BF">
        <w:rPr>
          <w:i/>
          <w:lang w:eastAsia="en-US"/>
        </w:rPr>
        <w:t>Dator formarum</w:t>
      </w:r>
      <w:r w:rsidRPr="003D1E07">
        <w:rPr>
          <w:i/>
          <w:lang w:eastAsia="en-US"/>
        </w:rPr>
        <w:fldChar w:fldCharType="begin"/>
      </w:r>
      <w:r w:rsidRPr="003D1E07">
        <w:instrText xml:space="preserve"> XE "</w:instrText>
      </w:r>
      <w:r w:rsidRPr="003D1E07">
        <w:rPr>
          <w:i/>
        </w:rPr>
        <w:instrText>Dator formarum</w:instrText>
      </w:r>
      <w:r w:rsidRPr="003D1E07">
        <w:instrText xml:space="preserve">" </w:instrText>
      </w:r>
      <w:r w:rsidRPr="003D1E07">
        <w:rPr>
          <w:i/>
          <w:lang w:eastAsia="en-US"/>
        </w:rPr>
        <w:fldChar w:fldCharType="end"/>
      </w:r>
      <w:r w:rsidRPr="003D1E07">
        <w:rPr>
          <w:lang w:eastAsia="en-US"/>
        </w:rPr>
        <w:t xml:space="preserve">. </w:t>
      </w:r>
      <w:r w:rsidR="007F5032" w:rsidRPr="003D1E07">
        <w:rPr>
          <w:lang w:eastAsia="en-US"/>
        </w:rPr>
        <w:t xml:space="preserve">Moderní schéma poznání potřebuje </w:t>
      </w:r>
      <w:r w:rsidR="00FA7C93" w:rsidRPr="003D1E07">
        <w:rPr>
          <w:lang w:eastAsia="en-US"/>
        </w:rPr>
        <w:t xml:space="preserve">dokonce </w:t>
      </w:r>
      <w:r w:rsidR="007F5032" w:rsidRPr="003D1E07">
        <w:rPr>
          <w:lang w:eastAsia="en-US"/>
        </w:rPr>
        <w:t xml:space="preserve">dvě neexistující hypostatické entity třetího druhu. Averroes nebyl mytopoetický modernista a iluminát, a proto nemohl přijmout takovou porážku kritického myšlení. Nová podoba materiálního intelektu založila nové dějiny západní metafyziky. Pozdější tradice v </w:t>
      </w:r>
      <w:r w:rsidR="007F5032" w:rsidRPr="003D1E07">
        <w:rPr>
          <w:lang w:eastAsia="en-US"/>
        </w:rPr>
        <w:lastRenderedPageBreak/>
        <w:t xml:space="preserve">rámci prvního a druhého averroismu zná tento intelekt jako </w:t>
      </w:r>
      <w:r w:rsidR="007F5032" w:rsidRPr="003D1E07">
        <w:rPr>
          <w:i/>
          <w:lang w:eastAsia="en-US"/>
        </w:rPr>
        <w:t>intellectus possibilis</w:t>
      </w:r>
      <w:r w:rsidR="007F5032" w:rsidRPr="003D1E07">
        <w:rPr>
          <w:lang w:eastAsia="en-US"/>
        </w:rPr>
        <w:t>. Hermeneutika objektivity musí určit, jakým způsobem tato epochální událost poznání určuje dějiny metafyziky, a tím i historii západního myšlení.</w:t>
      </w:r>
    </w:p>
    <w:p w14:paraId="63CAF864" w14:textId="6DEF15B0" w:rsidR="005A6A26" w:rsidRPr="003D1E07" w:rsidRDefault="007F5032" w:rsidP="086C1F19">
      <w:pPr>
        <w:pStyle w:val="Nadpis3"/>
        <w:rPr>
          <w:lang w:val="cs-CZ"/>
        </w:rPr>
      </w:pPr>
      <w:r w:rsidRPr="003D1E07">
        <w:rPr>
          <w:lang w:val="cs-CZ"/>
        </w:rPr>
        <w:br w:type="page"/>
      </w:r>
      <w:bookmarkStart w:id="65" w:name="_Toc93747285"/>
      <w:bookmarkStart w:id="66" w:name="_Toc102906175"/>
      <w:r w:rsidR="00AA392B" w:rsidRPr="003D1E07">
        <w:rPr>
          <w:lang w:val="cs-CZ"/>
        </w:rPr>
        <w:lastRenderedPageBreak/>
        <w:t xml:space="preserve">2.4.3 </w:t>
      </w:r>
      <w:r w:rsidR="08EA75B7" w:rsidRPr="003D1E07">
        <w:rPr>
          <w:lang w:val="cs-CZ"/>
        </w:rPr>
        <w:t xml:space="preserve">Intelekt </w:t>
      </w:r>
      <w:r w:rsidR="08F10FB4" w:rsidRPr="003D1E07">
        <w:rPr>
          <w:lang w:val="cs-CZ"/>
        </w:rPr>
        <w:t>a jednota osoby</w:t>
      </w:r>
      <w:bookmarkEnd w:id="65"/>
      <w:bookmarkEnd w:id="66"/>
    </w:p>
    <w:p w14:paraId="7CA7F548" w14:textId="71FECA8B" w:rsidR="08DB7BE3" w:rsidRPr="003D1E07" w:rsidRDefault="00A7386C" w:rsidP="08655742">
      <w:pPr>
        <w:rPr>
          <w:szCs w:val="24"/>
        </w:rPr>
      </w:pPr>
      <w:r w:rsidRPr="003D1E07">
        <w:t>Z</w:t>
      </w:r>
      <w:r w:rsidR="004A7F08" w:rsidRPr="003D1E07">
        <w:t xml:space="preserve">nalec </w:t>
      </w:r>
      <w:r w:rsidR="002E3B62" w:rsidRPr="003D1E07">
        <w:t>Averroes</w:t>
      </w:r>
      <w:r w:rsidR="00BA1114" w:rsidRPr="003D1E07">
        <w:t>ovy filosofie</w:t>
      </w:r>
      <w:r w:rsidR="004A7F08" w:rsidRPr="003D1E07">
        <w:t xml:space="preserve"> by mohl namítnout, že mnohé citace </w:t>
      </w:r>
      <w:r w:rsidR="002F7132" w:rsidRPr="003D1E07">
        <w:t xml:space="preserve">CMDA </w:t>
      </w:r>
      <w:r w:rsidR="004A7F08" w:rsidRPr="003D1E07">
        <w:t xml:space="preserve">by </w:t>
      </w:r>
      <w:r w:rsidR="00470CA3" w:rsidRPr="003D1E07">
        <w:t xml:space="preserve">se daly </w:t>
      </w:r>
      <w:r w:rsidR="003C5888" w:rsidRPr="003D1E07">
        <w:t>legit</w:t>
      </w:r>
      <w:r w:rsidR="005C0635">
        <w:t>i</w:t>
      </w:r>
      <w:r w:rsidR="003C5888" w:rsidRPr="003D1E07">
        <w:t xml:space="preserve">mně </w:t>
      </w:r>
      <w:r w:rsidR="004A7F08" w:rsidRPr="003D1E07">
        <w:t xml:space="preserve">číst </w:t>
      </w:r>
      <w:r w:rsidR="00470CA3" w:rsidRPr="003D1E07">
        <w:t>také</w:t>
      </w:r>
      <w:r w:rsidR="00F67342" w:rsidRPr="003D1E07">
        <w:t xml:space="preserve"> avicennisticky nebo </w:t>
      </w:r>
      <w:r w:rsidR="00874074" w:rsidRPr="003D1E07">
        <w:t>neoplatonsk</w:t>
      </w:r>
      <w:r w:rsidR="00F67342" w:rsidRPr="003D1E07">
        <w:t>y</w:t>
      </w:r>
      <w:r w:rsidR="004A7F08" w:rsidRPr="003D1E07">
        <w:t xml:space="preserve">. Materiální </w:t>
      </w:r>
      <w:r w:rsidR="08436641" w:rsidRPr="003D1E07">
        <w:t xml:space="preserve">nebo možný </w:t>
      </w:r>
      <w:r w:rsidR="004A7F08" w:rsidRPr="003D1E07">
        <w:t xml:space="preserve">intelekt </w:t>
      </w:r>
      <w:r w:rsidR="08757072" w:rsidRPr="003D1E07">
        <w:t>(</w:t>
      </w:r>
      <w:r w:rsidR="08757072" w:rsidRPr="003D1E07">
        <w:rPr>
          <w:i/>
        </w:rPr>
        <w:t>intellectus possibilis</w:t>
      </w:r>
      <w:r w:rsidR="08757072" w:rsidRPr="003D1E07">
        <w:t xml:space="preserve">) </w:t>
      </w:r>
      <w:r w:rsidR="004A7F08" w:rsidRPr="003D1E07">
        <w:t>v nich vystupuje jako oddělená entita chá</w:t>
      </w:r>
      <w:r w:rsidR="003E4B65" w:rsidRPr="003D1E07">
        <w:t>paná v univočním smyslu, která</w:t>
      </w:r>
      <w:r w:rsidR="004A7F08" w:rsidRPr="003D1E07">
        <w:t xml:space="preserve"> působí stejné univerzální poznání ve všech lidech. </w:t>
      </w:r>
      <w:r w:rsidR="080814B4" w:rsidRPr="003D1E07">
        <w:t>Individuální akt poznání tvoří spojení</w:t>
      </w:r>
      <w:r w:rsidR="004A7F08" w:rsidRPr="003D1E07">
        <w:t xml:space="preserve"> (</w:t>
      </w:r>
      <w:r w:rsidR="004A7F08" w:rsidRPr="003D1E07">
        <w:rPr>
          <w:i/>
        </w:rPr>
        <w:t>copulatio</w:t>
      </w:r>
      <w:r w:rsidR="00C6174F" w:rsidRPr="003D1E07">
        <w:rPr>
          <w:i/>
        </w:rPr>
        <w:fldChar w:fldCharType="begin"/>
      </w:r>
      <w:r w:rsidR="00C6174F" w:rsidRPr="003D1E07">
        <w:instrText xml:space="preserve"> XE "</w:instrText>
      </w:r>
      <w:r w:rsidR="00C6174F" w:rsidRPr="003D1E07">
        <w:rPr>
          <w:i/>
        </w:rPr>
        <w:instrText>copulatio</w:instrText>
      </w:r>
      <w:r w:rsidR="00C6174F" w:rsidRPr="003D1E07">
        <w:instrText xml:space="preserve">" </w:instrText>
      </w:r>
      <w:r w:rsidR="00C6174F" w:rsidRPr="003D1E07">
        <w:rPr>
          <w:i/>
        </w:rPr>
        <w:fldChar w:fldCharType="end"/>
      </w:r>
      <w:r w:rsidR="004A7F08" w:rsidRPr="003D1E07">
        <w:t xml:space="preserve">, </w:t>
      </w:r>
      <w:r w:rsidR="08D12D9C" w:rsidRPr="003D1E07">
        <w:rPr>
          <w:i/>
        </w:rPr>
        <w:t>coniunctio</w:t>
      </w:r>
      <w:r w:rsidR="00604FAF" w:rsidRPr="003D1E07">
        <w:rPr>
          <w:i/>
        </w:rPr>
        <w:fldChar w:fldCharType="begin"/>
      </w:r>
      <w:r w:rsidR="00604FAF" w:rsidRPr="003D1E07">
        <w:instrText xml:space="preserve"> XE "</w:instrText>
      </w:r>
      <w:r w:rsidR="08D12D9C" w:rsidRPr="003D1E07">
        <w:rPr>
          <w:i/>
        </w:rPr>
        <w:instrText>coniunctio</w:instrText>
      </w:r>
      <w:r w:rsidR="00604FAF" w:rsidRPr="003D1E07">
        <w:rPr>
          <w:i/>
        </w:rPr>
        <w:instrText>:</w:instrText>
      </w:r>
      <w:r w:rsidR="002E3B62" w:rsidRPr="003D1E07">
        <w:instrText>Averroes</w:instrText>
      </w:r>
      <w:r w:rsidR="00604FAF" w:rsidRPr="003D1E07">
        <w:instrText xml:space="preserve">" </w:instrText>
      </w:r>
      <w:r w:rsidR="00604FAF" w:rsidRPr="003D1E07">
        <w:rPr>
          <w:i/>
        </w:rPr>
        <w:fldChar w:fldCharType="end"/>
      </w:r>
      <w:r w:rsidR="004A7F08" w:rsidRPr="003D1E07">
        <w:t>) tohoto vnějšího in</w:t>
      </w:r>
      <w:r w:rsidR="008A3FFA" w:rsidRPr="003D1E07">
        <w:t>telektu s disponovanou duší</w:t>
      </w:r>
      <w:r w:rsidR="080814B4" w:rsidRPr="003D1E07">
        <w:t xml:space="preserve"> jednotlivce</w:t>
      </w:r>
      <w:r w:rsidR="004A7F08" w:rsidRPr="003D1E07">
        <w:t xml:space="preserve">. To je klasický </w:t>
      </w:r>
      <w:r w:rsidR="00F34146" w:rsidRPr="003D1E07">
        <w:t xml:space="preserve">averroistický </w:t>
      </w:r>
      <w:r w:rsidR="004A7F08" w:rsidRPr="003D1E07">
        <w:t xml:space="preserve">výklad </w:t>
      </w:r>
      <w:r w:rsidR="00AE6C7B" w:rsidRPr="003D1E07">
        <w:t xml:space="preserve">CMDA </w:t>
      </w:r>
      <w:r w:rsidR="004A7F08" w:rsidRPr="003D1E07">
        <w:t>inspirovaný Avicennou</w:t>
      </w:r>
      <w:r w:rsidR="006D194C" w:rsidRPr="003D1E07">
        <w:t xml:space="preserve">, který hájil </w:t>
      </w:r>
      <w:r w:rsidR="08D67B59" w:rsidRPr="003D1E07">
        <w:t xml:space="preserve">Tomáš </w:t>
      </w:r>
      <w:r w:rsidR="006D194C" w:rsidRPr="003D1E07">
        <w:t>Akvinský</w:t>
      </w:r>
      <w:r w:rsidR="00BA4B14" w:rsidRPr="003D1E07">
        <w:t>, ale nikoliv Siger</w:t>
      </w:r>
      <w:r w:rsidR="0818367B" w:rsidRPr="003D1E07">
        <w:t xml:space="preserve"> z Brabantu</w:t>
      </w:r>
      <w:r w:rsidR="004A7F08" w:rsidRPr="003D1E07">
        <w:t xml:space="preserve">. </w:t>
      </w:r>
      <w:r w:rsidR="089A1C9D" w:rsidRPr="003D1E07">
        <w:t xml:space="preserve">Hermeneutika musí vyložit teorii </w:t>
      </w:r>
      <w:r w:rsidR="089A1C9D" w:rsidRPr="003D1E07">
        <w:rPr>
          <w:i/>
        </w:rPr>
        <w:t>intellectus possibilis</w:t>
      </w:r>
      <w:r w:rsidR="089A1C9D" w:rsidRPr="003D1E07">
        <w:t xml:space="preserve"> </w:t>
      </w:r>
      <w:r w:rsidR="00285A18" w:rsidRPr="003D1E07">
        <w:t>v CMDA</w:t>
      </w:r>
      <w:r w:rsidR="089A1C9D" w:rsidRPr="003D1E07">
        <w:t>, která má univerzální charakter v jednotlivci i v celém lidstvu.</w:t>
      </w:r>
      <w:r w:rsidR="00285A18" w:rsidRPr="003D1E07">
        <w:t xml:space="preserve"> </w:t>
      </w:r>
      <w:r w:rsidR="08717521" w:rsidRPr="003D1E07">
        <w:t xml:space="preserve">Averroes nebyl averroistou jako tehdejší a současná moderna. </w:t>
      </w:r>
      <w:r w:rsidR="000B3112" w:rsidRPr="003D1E07">
        <w:t xml:space="preserve">Dvojí pojetí intencionality vyřešilo nedostatky teorie Themistia i Alexandra a vytvořilo nové pojetí intelektu jako receptivní a syntetické poznávací schopnosti dané v oduševněném těle. </w:t>
      </w:r>
      <w:r w:rsidR="08C73848" w:rsidRPr="003D1E07">
        <w:t>T</w:t>
      </w:r>
      <w:r w:rsidR="000B3112" w:rsidRPr="003D1E07">
        <w:t>eorie odděleného receptivního intelektu popírá možnost adekvace rozumu a smyslů, čímž znemožňuje individuální poznání. Lidský intelekt jako samostatná substance</w:t>
      </w:r>
      <w:r w:rsidR="000B3112" w:rsidRPr="003D1E07">
        <w:fldChar w:fldCharType="begin"/>
      </w:r>
      <w:r w:rsidR="000B3112" w:rsidRPr="003D1E07">
        <w:instrText xml:space="preserve"> XE "substance:intelekt" </w:instrText>
      </w:r>
      <w:r w:rsidR="000B3112" w:rsidRPr="003D1E07">
        <w:fldChar w:fldCharType="end"/>
      </w:r>
      <w:r w:rsidR="000B3112" w:rsidRPr="003D1E07">
        <w:t xml:space="preserve"> navíc vede k pluralitě substancí v člověku, což odporuje reálně zakoušené jednotě bytí a myšlení dané </w:t>
      </w:r>
      <w:r w:rsidR="001E26D7" w:rsidRPr="003D1E07">
        <w:t xml:space="preserve">v „mém“ </w:t>
      </w:r>
      <w:r w:rsidR="000B3112" w:rsidRPr="003D1E07">
        <w:t>těle. V klasické metafyzice nemá jsoucno třetího druhu žádný způsob,</w:t>
      </w:r>
      <w:r w:rsidR="08DB7BE3" w:rsidRPr="003D1E07">
        <w:t xml:space="preserve"> jak</w:t>
      </w:r>
      <w:r w:rsidR="000B3112" w:rsidRPr="003D1E07">
        <w:t xml:space="preserve"> by mohlo existovat. V člověku nemůže být více substancí, protože jednotlivec existuje v reálu </w:t>
      </w:r>
      <w:r w:rsidR="000B3112" w:rsidRPr="003D1E07">
        <w:rPr>
          <w:i/>
        </w:rPr>
        <w:t>simpliciter</w:t>
      </w:r>
      <w:r w:rsidR="000B3112" w:rsidRPr="003D1E07">
        <w:t xml:space="preserve"> jako Aristotelova první substance. </w:t>
      </w:r>
      <w:r w:rsidR="005F4388" w:rsidRPr="003D1E07">
        <w:t>F</w:t>
      </w:r>
      <w:r w:rsidR="08C73848" w:rsidRPr="003D1E07">
        <w:t>ilosofie musí tuto existenciální jednotu osoby adekvátně poznávat a predikovat</w:t>
      </w:r>
      <w:r w:rsidR="08673D7A" w:rsidRPr="003D1E07">
        <w:t xml:space="preserve"> podle </w:t>
      </w:r>
      <w:r w:rsidR="08E22F7A" w:rsidRPr="003D1E07">
        <w:t xml:space="preserve">metafyzického </w:t>
      </w:r>
      <w:r w:rsidR="08673D7A" w:rsidRPr="003D1E07">
        <w:t>dativu</w:t>
      </w:r>
      <w:r w:rsidR="08673D7A" w:rsidRPr="003D1E07">
        <w:fldChar w:fldCharType="begin"/>
      </w:r>
      <w:r w:rsidR="08673D7A" w:rsidRPr="003D1E07">
        <w:instrText xml:space="preserve"> XE "</w:instrText>
      </w:r>
      <w:r w:rsidR="08E22F7A" w:rsidRPr="003D1E07">
        <w:rPr>
          <w:i/>
        </w:rPr>
        <w:instrText>dativus metaphysic</w:instrText>
      </w:r>
      <w:r w:rsidR="08673D7A" w:rsidRPr="003D1E07">
        <w:rPr>
          <w:i/>
        </w:rPr>
        <w:instrText>us</w:instrText>
      </w:r>
      <w:r w:rsidR="08673D7A" w:rsidRPr="003D1E07">
        <w:instrText xml:space="preserve">" </w:instrText>
      </w:r>
      <w:r w:rsidR="08673D7A" w:rsidRPr="003D1E07">
        <w:fldChar w:fldCharType="end"/>
      </w:r>
      <w:r w:rsidR="08C73848" w:rsidRPr="003D1E07">
        <w:t xml:space="preserve">. </w:t>
      </w:r>
      <w:r w:rsidR="000B3112" w:rsidRPr="003D1E07">
        <w:t xml:space="preserve">Pravdivý výklad </w:t>
      </w:r>
      <w:r w:rsidR="08C73848" w:rsidRPr="003D1E07">
        <w:t xml:space="preserve">spisu </w:t>
      </w:r>
      <w:r w:rsidR="08C73848" w:rsidRPr="003D1E07">
        <w:rPr>
          <w:i/>
        </w:rPr>
        <w:t>De anima</w:t>
      </w:r>
      <w:r w:rsidR="08C73848" w:rsidRPr="003D1E07">
        <w:t xml:space="preserve"> </w:t>
      </w:r>
      <w:r w:rsidR="000B3112" w:rsidRPr="003D1E07">
        <w:t xml:space="preserve">musí </w:t>
      </w:r>
      <w:r w:rsidR="08CA20E1" w:rsidRPr="003D1E07">
        <w:t xml:space="preserve">vyložit </w:t>
      </w:r>
      <w:r w:rsidR="0898659E" w:rsidRPr="003D1E07">
        <w:t xml:space="preserve">fenomenologický způsob, </w:t>
      </w:r>
      <w:r w:rsidR="000B3112" w:rsidRPr="003D1E07">
        <w:t xml:space="preserve">jak </w:t>
      </w:r>
      <w:r w:rsidR="08C73848" w:rsidRPr="003D1E07">
        <w:t xml:space="preserve">poznává osoba jako </w:t>
      </w:r>
      <w:r w:rsidR="000B3112" w:rsidRPr="003D1E07">
        <w:t>první substance</w:t>
      </w:r>
      <w:r w:rsidR="08CA20E1" w:rsidRPr="003D1E07">
        <w:t xml:space="preserve">. Tento výklad </w:t>
      </w:r>
      <w:r w:rsidR="000B3112" w:rsidRPr="003D1E07">
        <w:t xml:space="preserve">CMDA pochopil do hloubky pouze Siger z Brabantu a jím inspirovaní znalci </w:t>
      </w:r>
      <w:r w:rsidR="002E3B62" w:rsidRPr="003D1E07">
        <w:t>Averroes</w:t>
      </w:r>
      <w:r w:rsidR="000B3112" w:rsidRPr="003D1E07">
        <w:t xml:space="preserve">e na Pařížské univerzitě. Není divu, že z nich </w:t>
      </w:r>
      <w:r w:rsidR="08DB7BE3" w:rsidRPr="003D1E07">
        <w:t>avicennistická moderna udělala averroisty</w:t>
      </w:r>
      <w:r w:rsidR="000B3112" w:rsidRPr="003D1E07">
        <w:t xml:space="preserve"> a tak převedla celou gigantomachii o intelekt do objektivního </w:t>
      </w:r>
      <w:r w:rsidR="0084780B" w:rsidRPr="003D1E07">
        <w:t xml:space="preserve">bloudění moderny </w:t>
      </w:r>
      <w:r w:rsidR="00A2478F" w:rsidRPr="003D1E07">
        <w:t>(</w:t>
      </w:r>
      <w:r w:rsidR="000B3112" w:rsidRPr="003D1E07">
        <w:rPr>
          <w:i/>
        </w:rPr>
        <w:t>Irr</w:t>
      </w:r>
      <w:r w:rsidR="0084780B" w:rsidRPr="003D1E07">
        <w:rPr>
          <w:i/>
        </w:rPr>
        <w:t>e</w:t>
      </w:r>
      <w:r w:rsidR="00A2478F" w:rsidRPr="003D1E07">
        <w:t>).</w:t>
      </w:r>
      <w:r w:rsidR="000B3112" w:rsidRPr="003D1E07">
        <w:t xml:space="preserve"> </w:t>
      </w:r>
      <w:r w:rsidR="00030081" w:rsidRPr="003D1E07">
        <w:t xml:space="preserve">Středověcí avicennisté a moderní objektivisté vytvářejí s odkazem na CMDA univoční koncept </w:t>
      </w:r>
      <w:r w:rsidR="00030081" w:rsidRPr="003D1E07">
        <w:rPr>
          <w:i/>
        </w:rPr>
        <w:t>intellectus possibilis</w:t>
      </w:r>
      <w:r w:rsidR="00030081" w:rsidRPr="003D1E07">
        <w:t xml:space="preserve">, který koncipují jako samostatnou entitu postavenou mimo architekturu dvojí intencionality a mimo existenci </w:t>
      </w:r>
      <w:r w:rsidR="00E41934" w:rsidRPr="003D1E07">
        <w:t>reálné osoby</w:t>
      </w:r>
      <w:r w:rsidR="00030081" w:rsidRPr="003D1E07">
        <w:t xml:space="preserve">. </w:t>
      </w:r>
      <w:r w:rsidR="088F7D71" w:rsidRPr="003D1E07">
        <w:rPr>
          <w:szCs w:val="24"/>
        </w:rPr>
        <w:t xml:space="preserve">Epochální </w:t>
      </w:r>
      <w:r w:rsidR="088F7D71" w:rsidRPr="003D1E07">
        <w:rPr>
          <w:i/>
          <w:szCs w:val="24"/>
        </w:rPr>
        <w:t>Irrtum</w:t>
      </w:r>
      <w:r w:rsidR="088F7D71" w:rsidRPr="003D1E07">
        <w:rPr>
          <w:szCs w:val="24"/>
        </w:rPr>
        <w:t xml:space="preserve"> moderny projektovaný do figury tzv. „averroismu“ je dán sk</w:t>
      </w:r>
      <w:r w:rsidR="08A86516" w:rsidRPr="003D1E07">
        <w:rPr>
          <w:szCs w:val="24"/>
        </w:rPr>
        <w:t>rze chybnou</w:t>
      </w:r>
      <w:r w:rsidR="088F7D71" w:rsidRPr="003D1E07">
        <w:rPr>
          <w:szCs w:val="24"/>
        </w:rPr>
        <w:t xml:space="preserve"> </w:t>
      </w:r>
      <w:r w:rsidR="083D3FEA" w:rsidRPr="003D1E07">
        <w:rPr>
          <w:szCs w:val="24"/>
        </w:rPr>
        <w:t xml:space="preserve">kategoriální </w:t>
      </w:r>
      <w:r w:rsidR="087E4E07" w:rsidRPr="003D1E07">
        <w:rPr>
          <w:szCs w:val="24"/>
        </w:rPr>
        <w:t xml:space="preserve">predikaci </w:t>
      </w:r>
      <w:r w:rsidR="089B7DF8" w:rsidRPr="003D1E07">
        <w:rPr>
          <w:szCs w:val="24"/>
        </w:rPr>
        <w:t xml:space="preserve">receptivního a </w:t>
      </w:r>
      <w:r w:rsidR="006F69EC" w:rsidRPr="003D1E07">
        <w:rPr>
          <w:szCs w:val="24"/>
        </w:rPr>
        <w:t xml:space="preserve">aktivního </w:t>
      </w:r>
      <w:r w:rsidR="089B7DF8" w:rsidRPr="003D1E07">
        <w:rPr>
          <w:szCs w:val="24"/>
        </w:rPr>
        <w:t>intelektu</w:t>
      </w:r>
      <w:r w:rsidR="08F41319" w:rsidRPr="003D1E07">
        <w:rPr>
          <w:szCs w:val="24"/>
        </w:rPr>
        <w:t xml:space="preserve"> v člověku</w:t>
      </w:r>
      <w:r w:rsidR="083D3FEA" w:rsidRPr="003D1E07">
        <w:rPr>
          <w:szCs w:val="24"/>
        </w:rPr>
        <w:t xml:space="preserve">, který modernisté </w:t>
      </w:r>
      <w:r w:rsidR="08B23E5D" w:rsidRPr="003D1E07">
        <w:rPr>
          <w:szCs w:val="24"/>
        </w:rPr>
        <w:t>změnil</w:t>
      </w:r>
      <w:r w:rsidR="083D3FEA" w:rsidRPr="003D1E07">
        <w:rPr>
          <w:szCs w:val="24"/>
        </w:rPr>
        <w:t>i</w:t>
      </w:r>
      <w:r w:rsidR="08B23E5D" w:rsidRPr="003D1E07">
        <w:rPr>
          <w:szCs w:val="24"/>
        </w:rPr>
        <w:t xml:space="preserve"> na neoplatonskou hypostázi</w:t>
      </w:r>
      <w:r w:rsidR="088F7D71" w:rsidRPr="003D1E07">
        <w:rPr>
          <w:szCs w:val="24"/>
        </w:rPr>
        <w:t xml:space="preserve">. Moderna provedla absolutizaci </w:t>
      </w:r>
      <w:r w:rsidR="08B23E5D" w:rsidRPr="003D1E07">
        <w:rPr>
          <w:szCs w:val="24"/>
        </w:rPr>
        <w:t xml:space="preserve">intelektu </w:t>
      </w:r>
      <w:r w:rsidR="08F5488C" w:rsidRPr="003D1E07">
        <w:rPr>
          <w:szCs w:val="24"/>
        </w:rPr>
        <w:t xml:space="preserve">jako mytopoetického jsoucna třetího druhu </w:t>
      </w:r>
      <w:r w:rsidR="08B23E5D" w:rsidRPr="003D1E07">
        <w:rPr>
          <w:szCs w:val="24"/>
        </w:rPr>
        <w:t>skrze logickou</w:t>
      </w:r>
      <w:r w:rsidR="088F7D71" w:rsidRPr="003D1E07">
        <w:rPr>
          <w:szCs w:val="24"/>
        </w:rPr>
        <w:t xml:space="preserve"> verzi </w:t>
      </w:r>
      <w:r w:rsidR="088F7D71" w:rsidRPr="003D1E07">
        <w:rPr>
          <w:i/>
          <w:szCs w:val="24"/>
        </w:rPr>
        <w:t>modus ponens</w:t>
      </w:r>
      <w:r w:rsidR="088F7D71" w:rsidRPr="003D1E07">
        <w:rPr>
          <w:i/>
        </w:rPr>
        <w:fldChar w:fldCharType="begin"/>
      </w:r>
      <w:r w:rsidR="088F7D71" w:rsidRPr="003D1E07">
        <w:instrText xml:space="preserve"> XE "</w:instrText>
      </w:r>
      <w:r w:rsidR="088F7D71" w:rsidRPr="003D1E07">
        <w:rPr>
          <w:i/>
        </w:rPr>
        <w:instrText>modus ponens</w:instrText>
      </w:r>
      <w:r w:rsidR="088F7D71" w:rsidRPr="003D1E07">
        <w:instrText xml:space="preserve">" </w:instrText>
      </w:r>
      <w:r w:rsidR="088F7D71" w:rsidRPr="003D1E07">
        <w:rPr>
          <w:i/>
        </w:rPr>
        <w:fldChar w:fldCharType="end"/>
      </w:r>
      <w:r w:rsidR="088F7D71" w:rsidRPr="003D1E07">
        <w:rPr>
          <w:szCs w:val="24"/>
        </w:rPr>
        <w:t xml:space="preserve">. </w:t>
      </w:r>
      <w:r w:rsidR="00D91190" w:rsidRPr="003D1E07">
        <w:rPr>
          <w:szCs w:val="24"/>
        </w:rPr>
        <w:t xml:space="preserve">Architektura klasické metafyziky je postavena na impozici, která se vztahuje k ontologické perspektivě porozumění na úrovni substance </w:t>
      </w:r>
      <w:r w:rsidR="00D91190" w:rsidRPr="003D1E07">
        <w:rPr>
          <w:i/>
          <w:szCs w:val="24"/>
        </w:rPr>
        <w:t>qua</w:t>
      </w:r>
      <w:r w:rsidR="00D91190" w:rsidRPr="003D1E07">
        <w:rPr>
          <w:szCs w:val="24"/>
        </w:rPr>
        <w:t xml:space="preserve"> substance</w:t>
      </w:r>
      <w:r w:rsidR="00371945" w:rsidRPr="003D1E07">
        <w:rPr>
          <w:szCs w:val="24"/>
        </w:rPr>
        <w:fldChar w:fldCharType="begin"/>
      </w:r>
      <w:r w:rsidR="00371945" w:rsidRPr="003D1E07">
        <w:instrText xml:space="preserve"> XE "</w:instrText>
      </w:r>
      <w:r w:rsidR="00371945" w:rsidRPr="003D1E07">
        <w:rPr>
          <w:szCs w:val="24"/>
        </w:rPr>
        <w:instrText xml:space="preserve">substance </w:instrText>
      </w:r>
      <w:r w:rsidR="00371945" w:rsidRPr="003D1E07">
        <w:rPr>
          <w:i/>
          <w:szCs w:val="24"/>
        </w:rPr>
        <w:instrText>qua</w:instrText>
      </w:r>
      <w:r w:rsidR="00371945" w:rsidRPr="003D1E07">
        <w:rPr>
          <w:szCs w:val="24"/>
        </w:rPr>
        <w:instrText xml:space="preserve"> substance</w:instrText>
      </w:r>
      <w:r w:rsidR="00371945" w:rsidRPr="003D1E07">
        <w:instrText xml:space="preserve">" </w:instrText>
      </w:r>
      <w:r w:rsidR="00371945" w:rsidRPr="003D1E07">
        <w:rPr>
          <w:szCs w:val="24"/>
        </w:rPr>
        <w:fldChar w:fldCharType="end"/>
      </w:r>
      <w:r w:rsidR="00D91190" w:rsidRPr="003D1E07">
        <w:rPr>
          <w:szCs w:val="24"/>
        </w:rPr>
        <w:t xml:space="preserve">. Umělá konstrukce moderní metafyziky je vybudována na </w:t>
      </w:r>
      <w:r w:rsidR="006D0310" w:rsidRPr="003D1E07">
        <w:rPr>
          <w:szCs w:val="24"/>
        </w:rPr>
        <w:t xml:space="preserve">supozici, </w:t>
      </w:r>
      <w:r w:rsidR="006D0310" w:rsidRPr="003D1E07">
        <w:rPr>
          <w:szCs w:val="24"/>
        </w:rPr>
        <w:lastRenderedPageBreak/>
        <w:t>která</w:t>
      </w:r>
      <w:r w:rsidR="00D91190" w:rsidRPr="003D1E07">
        <w:rPr>
          <w:szCs w:val="24"/>
        </w:rPr>
        <w:t xml:space="preserve"> se vztahuje k subjektivní perspektivě objektivního </w:t>
      </w:r>
      <w:r w:rsidR="006D0310" w:rsidRPr="003D1E07">
        <w:rPr>
          <w:szCs w:val="24"/>
        </w:rPr>
        <w:t xml:space="preserve">porozumění </w:t>
      </w:r>
      <w:r w:rsidR="00D91190" w:rsidRPr="003D1E07">
        <w:rPr>
          <w:szCs w:val="24"/>
        </w:rPr>
        <w:t xml:space="preserve">na úrovni </w:t>
      </w:r>
      <w:r w:rsidR="00D91190" w:rsidRPr="003D1E07">
        <w:rPr>
          <w:i/>
          <w:szCs w:val="24"/>
        </w:rPr>
        <w:t>ens inquantum ens</w:t>
      </w:r>
      <w:r w:rsidR="005066A3" w:rsidRPr="003D1E07">
        <w:rPr>
          <w:i/>
          <w:szCs w:val="24"/>
        </w:rPr>
        <w:fldChar w:fldCharType="begin"/>
      </w:r>
      <w:r w:rsidR="005066A3" w:rsidRPr="003D1E07">
        <w:instrText xml:space="preserve"> XE "</w:instrText>
      </w:r>
      <w:r w:rsidR="005066A3" w:rsidRPr="003D1E07">
        <w:rPr>
          <w:i/>
          <w:szCs w:val="24"/>
        </w:rPr>
        <w:instrText>ens inquantum ens</w:instrText>
      </w:r>
      <w:r w:rsidR="005066A3" w:rsidRPr="003D1E07">
        <w:instrText xml:space="preserve">" </w:instrText>
      </w:r>
      <w:r w:rsidR="005066A3" w:rsidRPr="003D1E07">
        <w:rPr>
          <w:i/>
          <w:szCs w:val="24"/>
        </w:rPr>
        <w:fldChar w:fldCharType="end"/>
      </w:r>
      <w:r w:rsidR="00D91190" w:rsidRPr="003D1E07">
        <w:rPr>
          <w:szCs w:val="24"/>
        </w:rPr>
        <w:t>.</w:t>
      </w:r>
      <w:r w:rsidR="000D7083" w:rsidRPr="003D1E07">
        <w:rPr>
          <w:szCs w:val="24"/>
        </w:rPr>
        <w:t xml:space="preserve"> </w:t>
      </w:r>
      <w:r w:rsidR="088F7D71" w:rsidRPr="003D1E07">
        <w:t>Avicennisté zanedbali metafyzickou d</w:t>
      </w:r>
      <w:r w:rsidR="08B23E5D" w:rsidRPr="003D1E07">
        <w:t>iferenci</w:t>
      </w:r>
      <w:r w:rsidR="088F7D71" w:rsidRPr="003D1E07">
        <w:t xml:space="preserve"> </w:t>
      </w:r>
      <w:r w:rsidR="08B23E5D" w:rsidRPr="003D1E07">
        <w:t xml:space="preserve">utvářející hyparchickou predikaci první substance pomocí </w:t>
      </w:r>
      <w:r w:rsidR="08E22F7A" w:rsidRPr="003D1E07">
        <w:t xml:space="preserve">metafyzického </w:t>
      </w:r>
      <w:r w:rsidR="08B23E5D" w:rsidRPr="003D1E07">
        <w:t>dativu (</w:t>
      </w:r>
      <w:r w:rsidR="00B51E01">
        <w:rPr>
          <w:i/>
          <w:szCs w:val="24"/>
        </w:rPr>
        <w:t>qua</w:t>
      </w:r>
      <w:r w:rsidR="001C1B5D" w:rsidRPr="003D1E07">
        <w:rPr>
          <w:rFonts w:cs="Calibri"/>
          <w:i/>
          <w:szCs w:val="24"/>
        </w:rPr>
        <w:t>–</w:t>
      </w:r>
      <w:r w:rsidR="088F7D71" w:rsidRPr="003D1E07">
        <w:rPr>
          <w:i/>
          <w:szCs w:val="24"/>
        </w:rPr>
        <w:t>inquantum</w:t>
      </w:r>
      <w:r w:rsidR="000D7083" w:rsidRPr="003D1E07">
        <w:rPr>
          <w:i/>
          <w:szCs w:val="24"/>
        </w:rPr>
        <w:fldChar w:fldCharType="begin"/>
      </w:r>
      <w:r w:rsidR="000D7083" w:rsidRPr="003D1E07">
        <w:instrText xml:space="preserve"> XE "</w:instrText>
      </w:r>
      <w:r w:rsidR="000D7083" w:rsidRPr="003D1E07">
        <w:rPr>
          <w:i/>
          <w:szCs w:val="24"/>
        </w:rPr>
        <w:instrText xml:space="preserve">qua </w:instrText>
      </w:r>
      <w:r w:rsidR="000D7083" w:rsidRPr="003D1E07">
        <w:rPr>
          <w:rFonts w:cs="Calibri"/>
          <w:i/>
          <w:szCs w:val="24"/>
        </w:rPr>
        <w:instrText>–</w:instrText>
      </w:r>
      <w:r w:rsidR="000D7083" w:rsidRPr="003D1E07">
        <w:rPr>
          <w:i/>
          <w:szCs w:val="24"/>
        </w:rPr>
        <w:instrText xml:space="preserve"> inquantum</w:instrText>
      </w:r>
      <w:r w:rsidR="000D7083" w:rsidRPr="003D1E07">
        <w:instrText xml:space="preserve">" </w:instrText>
      </w:r>
      <w:r w:rsidR="000D7083" w:rsidRPr="003D1E07">
        <w:rPr>
          <w:i/>
          <w:szCs w:val="24"/>
        </w:rPr>
        <w:fldChar w:fldCharType="end"/>
      </w:r>
      <w:r w:rsidR="088F7D71" w:rsidRPr="003D1E07">
        <w:rPr>
          <w:szCs w:val="24"/>
        </w:rPr>
        <w:t xml:space="preserve">). </w:t>
      </w:r>
      <w:r w:rsidR="00193EFC" w:rsidRPr="003D1E07">
        <w:rPr>
          <w:szCs w:val="24"/>
        </w:rPr>
        <w:t xml:space="preserve">Obranný mechanismus </w:t>
      </w:r>
      <w:r w:rsidR="00193EFC" w:rsidRPr="003D1E07">
        <w:rPr>
          <w:i/>
          <w:szCs w:val="24"/>
        </w:rPr>
        <w:t>Modernorum</w:t>
      </w:r>
      <w:r w:rsidR="00193EFC" w:rsidRPr="003D1E07">
        <w:rPr>
          <w:szCs w:val="24"/>
        </w:rPr>
        <w:t xml:space="preserve"> organizovaný akademicky vzdělanými Fúriemi pr</w:t>
      </w:r>
      <w:r w:rsidR="00EB13E6" w:rsidRPr="003D1E07">
        <w:rPr>
          <w:szCs w:val="24"/>
        </w:rPr>
        <w:t>omítl moderní simulá</w:t>
      </w:r>
      <w:r w:rsidR="00193EFC" w:rsidRPr="003D1E07">
        <w:rPr>
          <w:szCs w:val="24"/>
        </w:rPr>
        <w:t>krum zvané „</w:t>
      </w:r>
      <w:r w:rsidR="00193EFC" w:rsidRPr="003D1E07">
        <w:rPr>
          <w:i/>
          <w:szCs w:val="24"/>
        </w:rPr>
        <w:t>intellectus possibilis</w:t>
      </w:r>
      <w:r w:rsidR="00435912" w:rsidRPr="003D1E07">
        <w:rPr>
          <w:i/>
          <w:szCs w:val="24"/>
        </w:rPr>
        <w:fldChar w:fldCharType="begin"/>
      </w:r>
      <w:r w:rsidR="00435912" w:rsidRPr="003D1E07">
        <w:instrText xml:space="preserve"> XE "</w:instrText>
      </w:r>
      <w:r w:rsidR="00435912" w:rsidRPr="003D1E07">
        <w:rPr>
          <w:i/>
          <w:szCs w:val="24"/>
        </w:rPr>
        <w:instrText>intellectus possibilis</w:instrText>
      </w:r>
      <w:r w:rsidR="00435912" w:rsidRPr="003D1E07">
        <w:instrText xml:space="preserve">" </w:instrText>
      </w:r>
      <w:r w:rsidR="00435912" w:rsidRPr="003D1E07">
        <w:rPr>
          <w:i/>
          <w:szCs w:val="24"/>
        </w:rPr>
        <w:fldChar w:fldCharType="end"/>
      </w:r>
      <w:r w:rsidR="00193EFC" w:rsidRPr="003D1E07">
        <w:rPr>
          <w:szCs w:val="24"/>
        </w:rPr>
        <w:t>“ do Averroesovy metafyziky podle Freudovy inverze do opaku (</w:t>
      </w:r>
      <w:r w:rsidR="00193EFC" w:rsidRPr="003D1E07">
        <w:rPr>
          <w:i/>
          <w:szCs w:val="24"/>
        </w:rPr>
        <w:t>Verkehrung ins Gegenteil</w:t>
      </w:r>
      <w:r w:rsidR="00193EFC" w:rsidRPr="003D1E07">
        <w:rPr>
          <w:i/>
          <w:szCs w:val="24"/>
        </w:rPr>
        <w:fldChar w:fldCharType="begin"/>
      </w:r>
      <w:r w:rsidR="00193EFC" w:rsidRPr="003D1E07">
        <w:instrText xml:space="preserve"> XE "</w:instrText>
      </w:r>
      <w:r w:rsidR="00193EFC" w:rsidRPr="003D1E07">
        <w:rPr>
          <w:i/>
          <w:szCs w:val="24"/>
        </w:rPr>
        <w:instrText>Verkehrung ins Gegenteil</w:instrText>
      </w:r>
      <w:r w:rsidR="00193EFC" w:rsidRPr="003D1E07">
        <w:instrText xml:space="preserve">" </w:instrText>
      </w:r>
      <w:r w:rsidR="00193EFC" w:rsidRPr="003D1E07">
        <w:rPr>
          <w:i/>
          <w:szCs w:val="24"/>
        </w:rPr>
        <w:fldChar w:fldCharType="end"/>
      </w:r>
      <w:r w:rsidR="00193EFC" w:rsidRPr="003D1E07">
        <w:rPr>
          <w:szCs w:val="24"/>
        </w:rPr>
        <w:t xml:space="preserve">). </w:t>
      </w:r>
      <w:r w:rsidR="08B23E5D" w:rsidRPr="003D1E07">
        <w:rPr>
          <w:szCs w:val="24"/>
        </w:rPr>
        <w:t>Hermeneutika musí objasnit mechanismu</w:t>
      </w:r>
      <w:r w:rsidR="08786DBB" w:rsidRPr="003D1E07">
        <w:rPr>
          <w:szCs w:val="24"/>
        </w:rPr>
        <w:t>s této chy</w:t>
      </w:r>
      <w:r w:rsidR="08B23E5D" w:rsidRPr="003D1E07">
        <w:rPr>
          <w:szCs w:val="24"/>
        </w:rPr>
        <w:t xml:space="preserve">bné projekce. </w:t>
      </w:r>
      <w:r w:rsidR="08DB7BE3" w:rsidRPr="003D1E07">
        <w:t xml:space="preserve">Podívejme se na typický příklad z CMDA ohledně výše komentované intencionality. </w:t>
      </w:r>
      <w:r w:rsidR="08A7216E" w:rsidRPr="003D1E07">
        <w:t>Oddělení poznání od reálné věci zakládá dvojí pojetí intencionality</w:t>
      </w:r>
      <w:r w:rsidR="08A7216E" w:rsidRPr="003D1E07">
        <w:fldChar w:fldCharType="begin"/>
      </w:r>
      <w:r w:rsidR="08A7216E" w:rsidRPr="003D1E07">
        <w:instrText xml:space="preserve"> XE "intencionalita:Averroes" </w:instrText>
      </w:r>
      <w:r w:rsidR="08A7216E" w:rsidRPr="003D1E07">
        <w:fldChar w:fldCharType="end"/>
      </w:r>
      <w:r w:rsidR="08DC5B59" w:rsidRPr="003D1E07">
        <w:t xml:space="preserve"> </w:t>
      </w:r>
      <w:r w:rsidR="001B2DB7">
        <w:t>a dvojí smyslové a inteligibilní</w:t>
      </w:r>
      <w:r w:rsidR="08A7216E" w:rsidRPr="003D1E07">
        <w:t xml:space="preserve"> </w:t>
      </w:r>
      <w:r w:rsidR="00F214C5" w:rsidRPr="003D1E07">
        <w:t>species</w:t>
      </w:r>
      <w:r w:rsidR="001B2DB7">
        <w:t>, která</w:t>
      </w:r>
      <w:r w:rsidR="08A7216E" w:rsidRPr="003D1E07">
        <w:t xml:space="preserve"> sehraje klíčovou roli ve sporech první poloviny 13. století. </w:t>
      </w:r>
      <w:r w:rsidR="08DB7BE3" w:rsidRPr="003D1E07">
        <w:t xml:space="preserve">Jedna a táž duše </w:t>
      </w:r>
      <w:r w:rsidR="08A7216E" w:rsidRPr="003D1E07">
        <w:t xml:space="preserve">daná v osobě jako první substanci </w:t>
      </w:r>
      <w:r w:rsidR="08DB7BE3" w:rsidRPr="003D1E07">
        <w:t>má dvě odlišné dispozice a dvě odlišné schopnosti. Nejprve přijímá potenciální formy skrze abstrakci zprostředkovanou smysly a pak přijímá tyto abstrahované formy na nemateriální způsob.</w:t>
      </w:r>
      <w:bookmarkStart w:id="67" w:name="_Ref380253383"/>
      <w:r w:rsidR="088226C4" w:rsidRPr="003D1E07">
        <w:t xml:space="preserve"> </w:t>
      </w:r>
      <w:r w:rsidR="083B62F0" w:rsidRPr="003D1E07">
        <w:rPr>
          <w:szCs w:val="24"/>
        </w:rPr>
        <w:t xml:space="preserve">Pak platí, že nemateriální intelekt v člověku představuje po formální stránce stejnou schopnost receptivně-syntetického poznání jako je smyslové poznání. </w:t>
      </w:r>
    </w:p>
    <w:p w14:paraId="5279CD02" w14:textId="3CFAC719" w:rsidR="08DB7BE3" w:rsidRPr="003D1E07" w:rsidRDefault="08DB7BE3" w:rsidP="08DB7BE3">
      <w:pPr>
        <w:pStyle w:val="Citace"/>
        <w:rPr>
          <w:lang w:val="cs-CZ"/>
        </w:rPr>
      </w:pPr>
      <w:r w:rsidRPr="003D1E07">
        <w:rPr>
          <w:lang w:val="cs-CZ"/>
        </w:rPr>
        <w:t xml:space="preserve">„Bylo nutné dát tyto dvě aktivity do naší duše </w:t>
      </w:r>
      <w:r w:rsidRPr="003D1E07">
        <w:rPr>
          <w:rStyle w:val="Zkladntext1"/>
          <w:rFonts w:ascii="Calibri" w:eastAsia="Times" w:hAnsi="Calibri"/>
          <w:spacing w:val="0"/>
          <w:sz w:val="22"/>
          <w:u w:val="none"/>
          <w:lang w:val="cs-CZ"/>
        </w:rPr>
        <w:t>(</w:t>
      </w:r>
      <w:r w:rsidRPr="003D1E07">
        <w:rPr>
          <w:i/>
          <w:lang w:val="cs-CZ"/>
        </w:rPr>
        <w:t>has duas actiones anime in nobis</w:t>
      </w:r>
      <w:r w:rsidRPr="003D1E07">
        <w:rPr>
          <w:rStyle w:val="Zkladntext1"/>
          <w:rFonts w:ascii="Calibri" w:eastAsia="Times" w:hAnsi="Calibri"/>
          <w:spacing w:val="0"/>
          <w:sz w:val="22"/>
          <w:u w:val="none"/>
          <w:lang w:val="cs-CZ"/>
        </w:rPr>
        <w:t xml:space="preserve">), totiž aby jedna </w:t>
      </w:r>
      <w:r w:rsidR="001B2DB7">
        <w:rPr>
          <w:rStyle w:val="Zkladntext1"/>
          <w:rFonts w:ascii="Calibri" w:eastAsia="Times" w:hAnsi="Calibri"/>
          <w:spacing w:val="0"/>
          <w:sz w:val="22"/>
          <w:u w:val="none"/>
          <w:lang w:val="cs-CZ"/>
        </w:rPr>
        <w:t xml:space="preserve">schopnost </w:t>
      </w:r>
      <w:r w:rsidRPr="003D1E07">
        <w:rPr>
          <w:rStyle w:val="Zkladntext1"/>
          <w:rFonts w:ascii="Calibri" w:eastAsia="Times" w:hAnsi="Calibri"/>
          <w:spacing w:val="0"/>
          <w:sz w:val="22"/>
          <w:u w:val="none"/>
          <w:lang w:val="cs-CZ"/>
        </w:rPr>
        <w:t>přijala intelektuální poznatek a druhá jej vytvořila (</w:t>
      </w:r>
      <w:r w:rsidRPr="003D1E07">
        <w:rPr>
          <w:i/>
          <w:lang w:val="cs-CZ"/>
        </w:rPr>
        <w:t>recipere intellectum et facere eum</w:t>
      </w:r>
      <w:r w:rsidRPr="003D1E07">
        <w:rPr>
          <w:rStyle w:val="Zkladntext1"/>
          <w:rFonts w:ascii="Calibri" w:eastAsia="Times" w:hAnsi="Calibri"/>
          <w:spacing w:val="0"/>
          <w:sz w:val="22"/>
          <w:u w:val="none"/>
          <w:lang w:val="cs-CZ"/>
        </w:rPr>
        <w:t>). Činitel a příjemce jsou věčné substance (</w:t>
      </w:r>
      <w:r w:rsidRPr="003D1E07">
        <w:rPr>
          <w:i/>
          <w:lang w:val="cs-CZ"/>
        </w:rPr>
        <w:t>agens et recipiens sint substantie eterne</w:t>
      </w:r>
      <w:r w:rsidRPr="003D1E07">
        <w:rPr>
          <w:rStyle w:val="Zkladntext1"/>
          <w:rFonts w:ascii="Calibri" w:eastAsia="Times" w:hAnsi="Calibri"/>
          <w:spacing w:val="0"/>
          <w:sz w:val="22"/>
          <w:u w:val="none"/>
          <w:lang w:val="cs-CZ"/>
        </w:rPr>
        <w:t>) a to proto, že jsou podrobeny naší vůli. Máme schopnost abstrahovat intelektuální obsahy a také jim rozumíme (</w:t>
      </w:r>
      <w:r w:rsidRPr="003D1E07">
        <w:rPr>
          <w:i/>
          <w:lang w:val="cs-CZ"/>
        </w:rPr>
        <w:t>abstrahere intellecta et intelligere ea</w:t>
      </w:r>
      <w:r w:rsidRPr="003D1E07">
        <w:rPr>
          <w:rStyle w:val="Zkladntext1"/>
          <w:rFonts w:ascii="Calibri" w:eastAsia="Times" w:hAnsi="Calibri"/>
          <w:spacing w:val="0"/>
          <w:sz w:val="22"/>
          <w:u w:val="none"/>
          <w:lang w:val="cs-CZ"/>
        </w:rPr>
        <w:t xml:space="preserve">). Abstrakce není nic jiného </w:t>
      </w:r>
      <w:r w:rsidR="08154819" w:rsidRPr="003D1E07">
        <w:rPr>
          <w:rStyle w:val="Zkladntext1"/>
          <w:rFonts w:ascii="Calibri" w:eastAsia="Times" w:hAnsi="Calibri"/>
          <w:spacing w:val="0"/>
          <w:sz w:val="22"/>
          <w:u w:val="none"/>
          <w:lang w:val="cs-CZ"/>
        </w:rPr>
        <w:t xml:space="preserve">než </w:t>
      </w:r>
      <w:r w:rsidRPr="003D1E07">
        <w:rPr>
          <w:rStyle w:val="Zkladntext1"/>
          <w:rFonts w:ascii="Calibri" w:eastAsia="Times" w:hAnsi="Calibri"/>
          <w:spacing w:val="0"/>
          <w:sz w:val="22"/>
          <w:u w:val="none"/>
          <w:lang w:val="cs-CZ"/>
        </w:rPr>
        <w:t>schopnost</w:t>
      </w:r>
      <w:r w:rsidR="08154819" w:rsidRPr="003D1E07">
        <w:rPr>
          <w:rStyle w:val="Zkladntext1"/>
          <w:rFonts w:ascii="Calibri" w:eastAsia="Times" w:hAnsi="Calibri"/>
          <w:spacing w:val="0"/>
          <w:sz w:val="22"/>
          <w:u w:val="none"/>
          <w:lang w:val="cs-CZ"/>
        </w:rPr>
        <w:t xml:space="preserve">, jak </w:t>
      </w:r>
      <w:r w:rsidRPr="003D1E07">
        <w:rPr>
          <w:rStyle w:val="Zkladntext1"/>
          <w:rFonts w:ascii="Calibri" w:eastAsia="Times" w:hAnsi="Calibri"/>
          <w:spacing w:val="0"/>
          <w:sz w:val="22"/>
          <w:u w:val="none"/>
          <w:lang w:val="cs-CZ"/>
        </w:rPr>
        <w:t>učinit smyslové intence intelektuálně poznanými v aktu, protože předtím byly poznatelné pouze v potenci (</w:t>
      </w:r>
      <w:r w:rsidRPr="003D1E07">
        <w:rPr>
          <w:i/>
          <w:lang w:val="cs-CZ"/>
        </w:rPr>
        <w:t>facere intentiones ymaginatas intellectas in actu postquam erant in potentia</w:t>
      </w:r>
      <w:r w:rsidRPr="003D1E07">
        <w:rPr>
          <w:rStyle w:val="Zkladntext1"/>
          <w:rFonts w:ascii="Calibri" w:eastAsia="Times" w:hAnsi="Calibri"/>
          <w:spacing w:val="0"/>
          <w:sz w:val="22"/>
          <w:u w:val="none"/>
          <w:lang w:val="cs-CZ"/>
        </w:rPr>
        <w:t>). Poznání není nic jiného než přijetí těchto intencí (</w:t>
      </w:r>
      <w:r w:rsidRPr="003D1E07">
        <w:rPr>
          <w:i/>
          <w:lang w:val="cs-CZ"/>
        </w:rPr>
        <w:t>intelligere autem nichil aliud est quam recipere has intentiones</w:t>
      </w:r>
      <w:r w:rsidRPr="003D1E07">
        <w:rPr>
          <w:rStyle w:val="Zkladntext1"/>
          <w:rFonts w:ascii="Calibri" w:eastAsia="Times" w:hAnsi="Calibri"/>
          <w:spacing w:val="0"/>
          <w:sz w:val="22"/>
          <w:u w:val="none"/>
          <w:lang w:val="cs-CZ"/>
        </w:rPr>
        <w:t>).“ </w:t>
      </w:r>
      <w:r w:rsidRPr="003D1E07">
        <w:rPr>
          <w:rStyle w:val="Znakapoznpodarou"/>
          <w:lang w:val="cs-CZ"/>
        </w:rPr>
        <w:footnoteReference w:id="248"/>
      </w:r>
    </w:p>
    <w:bookmarkEnd w:id="67"/>
    <w:p w14:paraId="452F2938" w14:textId="6DAFFE38" w:rsidR="005D3FCD" w:rsidRPr="003D1E07" w:rsidRDefault="08DB7BE3" w:rsidP="000A0518">
      <w:r w:rsidRPr="003D1E07">
        <w:rPr>
          <w:lang w:eastAsia="en-US"/>
        </w:rPr>
        <w:t xml:space="preserve">Vzhledem k předešlému výkladu </w:t>
      </w:r>
      <w:r w:rsidR="00447939">
        <w:rPr>
          <w:lang w:eastAsia="en-US"/>
        </w:rPr>
        <w:t>musí být doloženo</w:t>
      </w:r>
      <w:r w:rsidRPr="003D1E07">
        <w:rPr>
          <w:lang w:eastAsia="en-US"/>
        </w:rPr>
        <w:t>, že text odmítá pojetí intelektu jako samostatné substance</w:t>
      </w:r>
      <w:r w:rsidRPr="003D1E07">
        <w:rPr>
          <w:lang w:eastAsia="en-US"/>
        </w:rPr>
        <w:fldChar w:fldCharType="begin"/>
      </w:r>
      <w:r w:rsidRPr="003D1E07">
        <w:instrText xml:space="preserve"> XE "substance:intelekt" </w:instrText>
      </w:r>
      <w:r w:rsidRPr="003D1E07">
        <w:rPr>
          <w:lang w:eastAsia="en-US"/>
        </w:rPr>
        <w:fldChar w:fldCharType="end"/>
      </w:r>
      <w:r w:rsidRPr="003D1E07">
        <w:t xml:space="preserve">. Tomuto zcestnému pojetí receptivního intelektu </w:t>
      </w:r>
      <w:r w:rsidR="08F8707E" w:rsidRPr="003D1E07">
        <w:t xml:space="preserve">jako aktuálního jsoucnu třetího druhu </w:t>
      </w:r>
      <w:r w:rsidRPr="003D1E07">
        <w:t xml:space="preserve">danému u modernistů chybí z principiálních důvodů jak autonomní forma, tak i autonomní materie. Ale zásadní problém pro </w:t>
      </w:r>
      <w:r w:rsidR="08574011" w:rsidRPr="003D1E07">
        <w:t xml:space="preserve">scholastické </w:t>
      </w:r>
      <w:r w:rsidRPr="003D1E07">
        <w:t>vyklada</w:t>
      </w:r>
      <w:r w:rsidR="08886ED2" w:rsidRPr="003D1E07">
        <w:t xml:space="preserve">če </w:t>
      </w:r>
      <w:r w:rsidRPr="003D1E07">
        <w:t>CMDA tvořily citované věty typu: „Činitel a příjemce jsou věčné substance (</w:t>
      </w:r>
      <w:r w:rsidRPr="003D1E07">
        <w:rPr>
          <w:i/>
        </w:rPr>
        <w:t>agens et recipiens sint substantie eterne</w:t>
      </w:r>
      <w:r w:rsidRPr="003D1E07">
        <w:t xml:space="preserve">) a to proto, že jsou podrobeny naší vůli.“ </w:t>
      </w:r>
      <w:r w:rsidR="08841751" w:rsidRPr="003D1E07">
        <w:t xml:space="preserve">Avicennistický výklad </w:t>
      </w:r>
      <w:r w:rsidR="08463646" w:rsidRPr="003D1E07">
        <w:t xml:space="preserve">CMDA známý především od Akvinského </w:t>
      </w:r>
      <w:r w:rsidR="08841751" w:rsidRPr="003D1E07">
        <w:t xml:space="preserve">spojil obě určení tak, že </w:t>
      </w:r>
      <w:r w:rsidRPr="003D1E07">
        <w:t xml:space="preserve">vytvořil averroistické pojetí </w:t>
      </w:r>
      <w:r w:rsidRPr="003D1E07">
        <w:lastRenderedPageBreak/>
        <w:t>jednoho pasivního intelektu pro všechny lidi</w:t>
      </w:r>
      <w:r w:rsidR="08886ED2" w:rsidRPr="003D1E07">
        <w:t xml:space="preserve"> v modu věčné substance, která</w:t>
      </w:r>
      <w:r w:rsidRPr="003D1E07">
        <w:t xml:space="preserve"> se </w:t>
      </w:r>
      <w:r w:rsidR="08886ED2" w:rsidRPr="003D1E07">
        <w:t xml:space="preserve">skrze </w:t>
      </w:r>
      <w:r w:rsidR="08D12D9C" w:rsidRPr="003D1E07">
        <w:rPr>
          <w:i/>
        </w:rPr>
        <w:t>coniunctio</w:t>
      </w:r>
      <w:r w:rsidRPr="003D1E07">
        <w:t xml:space="preserve"> spojuje s materiálním lidským intelektem</w:t>
      </w:r>
      <w:r w:rsidR="08FB310B" w:rsidRPr="003D1E07">
        <w:t xml:space="preserve"> (</w:t>
      </w:r>
      <w:r w:rsidR="08ED12B2" w:rsidRPr="003D1E07">
        <w:t>OBJ III, kap. 4</w:t>
      </w:r>
      <w:r w:rsidR="08FB310B" w:rsidRPr="003D1E07">
        <w:t>.5.1)</w:t>
      </w:r>
      <w:r w:rsidRPr="003D1E07">
        <w:t>.</w:t>
      </w:r>
      <w:r w:rsidR="082C66F0" w:rsidRPr="003D1E07">
        <w:t xml:space="preserve"> </w:t>
      </w:r>
      <w:r w:rsidR="009B3658" w:rsidRPr="003D1E07">
        <w:t xml:space="preserve">Avicennova receptivita běží v modu nasvícení zezadu. Individuální </w:t>
      </w:r>
      <w:r w:rsidR="009B3658" w:rsidRPr="003D1E07">
        <w:rPr>
          <w:i/>
        </w:rPr>
        <w:t>intellectus adeptus</w:t>
      </w:r>
      <w:r w:rsidR="009B3658" w:rsidRPr="003D1E07">
        <w:t xml:space="preserve"> daný jako aktuální hypostáze v duši je aktualizovaný skrze </w:t>
      </w:r>
      <w:r w:rsidR="009B3658">
        <w:t>od</w:t>
      </w:r>
      <w:r w:rsidR="009B3658" w:rsidRPr="003D1E07">
        <w:t xml:space="preserve">dělený kosmický </w:t>
      </w:r>
      <w:r w:rsidR="009B3658" w:rsidRPr="003D1E07">
        <w:rPr>
          <w:i/>
        </w:rPr>
        <w:t>intellectus agens</w:t>
      </w:r>
      <w:r w:rsidR="009B3658" w:rsidRPr="003D1E07">
        <w:t xml:space="preserve">. Aktualizace darovaného intelektu v modu </w:t>
      </w:r>
      <w:r w:rsidR="009B3658" w:rsidRPr="003D1E07">
        <w:rPr>
          <w:i/>
        </w:rPr>
        <w:t>intellectus in effectu</w:t>
      </w:r>
      <w:r w:rsidR="009B3658" w:rsidRPr="003D1E07">
        <w:t xml:space="preserve"> běžela podle Avicennova výkladu Al-Fárábího (kap. 2.3.2). Tento postup se nekriticky aplikoval i na průběh poznání podle Averroesova </w:t>
      </w:r>
      <w:r w:rsidR="009B3658" w:rsidRPr="003D1E07">
        <w:rPr>
          <w:i/>
        </w:rPr>
        <w:t>intellectus possibilis</w:t>
      </w:r>
      <w:r w:rsidR="009B3658" w:rsidRPr="003D1E07">
        <w:t>. Receptivní schopnost duše byla definovaná jako Avicennova aktuální a nemateriální hypostáze (</w:t>
      </w:r>
      <w:r w:rsidR="009B3658" w:rsidRPr="003D1E07">
        <w:rPr>
          <w:i/>
        </w:rPr>
        <w:t>hoc aliquid</w:t>
      </w:r>
      <w:r w:rsidR="009B3658" w:rsidRPr="003D1E07">
        <w:t xml:space="preserve">). Tím vznikl potenciální intelekt jako neoplatonská species podle Alexandra a Themistia. </w:t>
      </w:r>
      <w:r w:rsidR="080F3A4F" w:rsidRPr="003D1E07">
        <w:t xml:space="preserve"> </w:t>
      </w:r>
      <w:r w:rsidR="00CC0FF4" w:rsidRPr="003D1E07">
        <w:t xml:space="preserve">Modernisté definovali hypostatický intelekt jako jinou formu </w:t>
      </w:r>
      <w:r w:rsidR="00CC0FF4" w:rsidRPr="003D1E07">
        <w:rPr>
          <w:i/>
        </w:rPr>
        <w:t>tertium ens</w:t>
      </w:r>
      <w:r w:rsidR="00CC0FF4" w:rsidRPr="003D1E07">
        <w:t xml:space="preserve"> a tento nesmysl mylně přisoudili Averroesovi. </w:t>
      </w:r>
      <w:r w:rsidR="00197B01" w:rsidRPr="003D1E07">
        <w:t>Averroistický výklad CMDA vznikl v kruzích latinských modernistů. Ti aplikovali avicennistickou teorii iluminace a panteistické pojetí Davida z Dinantu</w:t>
      </w:r>
      <w:r w:rsidR="00197B01" w:rsidRPr="003D1E07">
        <w:fldChar w:fldCharType="begin"/>
      </w:r>
      <w:r w:rsidR="00197B01" w:rsidRPr="003D1E07">
        <w:instrText xml:space="preserve"> XE "David z Dinantu" </w:instrText>
      </w:r>
      <w:r w:rsidR="00197B01" w:rsidRPr="003D1E07">
        <w:fldChar w:fldCharType="end"/>
      </w:r>
      <w:r w:rsidR="00197B01" w:rsidRPr="003D1E07">
        <w:t xml:space="preserve"> na Komentátorovu teorii poznání (OBJ II, kap. 3.3.3).</w:t>
      </w:r>
      <w:r w:rsidR="00197B01">
        <w:t xml:space="preserve"> </w:t>
      </w:r>
      <w:r w:rsidR="00CC0FF4" w:rsidRPr="003D1E07">
        <w:t xml:space="preserve">Tato tragikomická interpretace způsobila, že simulákrum Averroesova </w:t>
      </w:r>
      <w:r w:rsidR="00CC0FF4" w:rsidRPr="003D1E07">
        <w:rPr>
          <w:i/>
        </w:rPr>
        <w:t>intellectus possibilis</w:t>
      </w:r>
      <w:r w:rsidR="00CC0FF4" w:rsidRPr="003D1E07">
        <w:t xml:space="preserve"> se dodnes chápe v avicenistickém modu </w:t>
      </w:r>
      <w:r w:rsidR="00CC0FF4" w:rsidRPr="003D1E07">
        <w:rPr>
          <w:i/>
        </w:rPr>
        <w:t>copulatio</w:t>
      </w:r>
      <w:r w:rsidR="005F55CD" w:rsidRPr="003D1E07">
        <w:rPr>
          <w:i/>
        </w:rPr>
        <w:fldChar w:fldCharType="begin"/>
      </w:r>
      <w:r w:rsidR="005F55CD" w:rsidRPr="003D1E07">
        <w:instrText xml:space="preserve"> XE "</w:instrText>
      </w:r>
      <w:r w:rsidR="005F55CD" w:rsidRPr="003D1E07">
        <w:rPr>
          <w:i/>
        </w:rPr>
        <w:instrText>copulatio</w:instrText>
      </w:r>
      <w:r w:rsidR="005F55CD" w:rsidRPr="003D1E07">
        <w:instrText xml:space="preserve">" </w:instrText>
      </w:r>
      <w:r w:rsidR="005F55CD" w:rsidRPr="003D1E07">
        <w:rPr>
          <w:i/>
        </w:rPr>
        <w:fldChar w:fldCharType="end"/>
      </w:r>
      <w:r w:rsidR="00CC0FF4" w:rsidRPr="003D1E07">
        <w:t xml:space="preserve">. Avicenisté spojují objektivistickým způsobem oddělené substance třetího druhu do schizofrenní jednoty osoby. </w:t>
      </w:r>
      <w:r w:rsidR="00030081" w:rsidRPr="003D1E07">
        <w:t xml:space="preserve">Z hlediska CMDA </w:t>
      </w:r>
      <w:r w:rsidR="08874D20" w:rsidRPr="003D1E07">
        <w:t xml:space="preserve">platí, že nejsou schopni vidět fenomén </w:t>
      </w:r>
      <w:r w:rsidR="00030081" w:rsidRPr="003D1E07">
        <w:rPr>
          <w:i/>
        </w:rPr>
        <w:t>continuatio</w:t>
      </w:r>
      <w:r w:rsidR="00DB453B" w:rsidRPr="003D1E07">
        <w:t xml:space="preserve"> </w:t>
      </w:r>
      <w:r w:rsidR="00C573C2">
        <w:t xml:space="preserve">intelektu </w:t>
      </w:r>
      <w:r w:rsidR="00DB453B" w:rsidRPr="003D1E07">
        <w:t xml:space="preserve">v reálném </w:t>
      </w:r>
      <w:r w:rsidR="08757754" w:rsidRPr="003D1E07">
        <w:t xml:space="preserve">výkonu poznání. </w:t>
      </w:r>
      <w:r w:rsidR="00DB453B" w:rsidRPr="003D1E07">
        <w:t xml:space="preserve">Aktuální </w:t>
      </w:r>
      <w:r w:rsidR="08757754" w:rsidRPr="003D1E07">
        <w:t xml:space="preserve">výkon poznání běží v modu </w:t>
      </w:r>
      <w:r w:rsidR="08757754" w:rsidRPr="003D1E07">
        <w:rPr>
          <w:i/>
        </w:rPr>
        <w:t>ipse</w:t>
      </w:r>
      <w:r w:rsidR="08757754" w:rsidRPr="003D1E07">
        <w:t xml:space="preserve">, čili </w:t>
      </w:r>
      <w:r w:rsidR="0827326A" w:rsidRPr="003D1E07">
        <w:t xml:space="preserve">v </w:t>
      </w:r>
      <w:r w:rsidR="00964F38" w:rsidRPr="003D1E07">
        <w:t>jedine</w:t>
      </w:r>
      <w:r w:rsidR="0827326A" w:rsidRPr="003D1E07">
        <w:t>čné hylemorfické osobě</w:t>
      </w:r>
      <w:r w:rsidR="00030081" w:rsidRPr="003D1E07">
        <w:t xml:space="preserve">, která poznává skrze různé potence </w:t>
      </w:r>
      <w:r w:rsidR="08351D22" w:rsidRPr="003D1E07">
        <w:t xml:space="preserve">tělesně dané </w:t>
      </w:r>
      <w:r w:rsidR="00030081" w:rsidRPr="003D1E07">
        <w:t xml:space="preserve">duše. </w:t>
      </w:r>
      <w:r w:rsidR="08351D22" w:rsidRPr="003D1E07">
        <w:t>Receptivní i</w:t>
      </w:r>
      <w:r w:rsidR="00EE2749" w:rsidRPr="003D1E07">
        <w:t xml:space="preserve">ntelekt </w:t>
      </w:r>
      <w:r w:rsidR="08351D22" w:rsidRPr="003D1E07">
        <w:t xml:space="preserve">modernistů </w:t>
      </w:r>
      <w:r w:rsidR="081B7B95" w:rsidRPr="003D1E07">
        <w:t xml:space="preserve">představuje objektivní entitu typu </w:t>
      </w:r>
      <w:r w:rsidR="081B7B95" w:rsidRPr="003D1E07">
        <w:rPr>
          <w:i/>
        </w:rPr>
        <w:t>tertium ens</w:t>
      </w:r>
      <w:r w:rsidR="003F16A5" w:rsidRPr="003D1E07">
        <w:rPr>
          <w:i/>
        </w:rPr>
        <w:fldChar w:fldCharType="begin"/>
      </w:r>
      <w:r w:rsidR="003F16A5" w:rsidRPr="003D1E07">
        <w:instrText xml:space="preserve"> XE "</w:instrText>
      </w:r>
      <w:r w:rsidR="003F16A5" w:rsidRPr="003D1E07">
        <w:rPr>
          <w:rStyle w:val="Zvraznn"/>
        </w:rPr>
        <w:instrText>tertium ens</w:instrText>
      </w:r>
      <w:r w:rsidR="001C4DD9" w:rsidRPr="003D1E07">
        <w:rPr>
          <w:rStyle w:val="Zvraznn"/>
          <w:i w:val="0"/>
        </w:rPr>
        <w:instrText>:substanční intelekt</w:instrText>
      </w:r>
      <w:r w:rsidR="003F16A5" w:rsidRPr="003D1E07">
        <w:instrText xml:space="preserve">" </w:instrText>
      </w:r>
      <w:r w:rsidR="003F16A5" w:rsidRPr="003D1E07">
        <w:rPr>
          <w:i/>
        </w:rPr>
        <w:fldChar w:fldCharType="end"/>
      </w:r>
      <w:r w:rsidR="081B7B95" w:rsidRPr="003D1E07">
        <w:t xml:space="preserve">, která </w:t>
      </w:r>
      <w:r w:rsidR="086F2E6B" w:rsidRPr="003D1E07">
        <w:t xml:space="preserve">je </w:t>
      </w:r>
      <w:r w:rsidR="081B7B95" w:rsidRPr="003D1E07">
        <w:t xml:space="preserve">podle </w:t>
      </w:r>
      <w:r w:rsidR="002E3B62" w:rsidRPr="003D1E07">
        <w:t>Averroes</w:t>
      </w:r>
      <w:r w:rsidR="081B7B95" w:rsidRPr="003D1E07">
        <w:t xml:space="preserve">e </w:t>
      </w:r>
      <w:r w:rsidR="00CE39D8" w:rsidRPr="003D1E07">
        <w:t xml:space="preserve">naprostý </w:t>
      </w:r>
      <w:r w:rsidR="086F2E6B" w:rsidRPr="003D1E07">
        <w:t xml:space="preserve">nesmysl. </w:t>
      </w:r>
      <w:r w:rsidR="00B400CC" w:rsidRPr="003D1E07">
        <w:t xml:space="preserve">Důvody </w:t>
      </w:r>
      <w:r w:rsidR="00F36C58" w:rsidRPr="003D1E07">
        <w:t xml:space="preserve">k odmítnutí hypostatické unie různých forem substancializovaného intelektu </w:t>
      </w:r>
      <w:r w:rsidR="00B400CC" w:rsidRPr="003D1E07">
        <w:t>ukázala předešlá kapitola</w:t>
      </w:r>
      <w:r w:rsidR="001B3420" w:rsidRPr="003D1E07">
        <w:t xml:space="preserve">. </w:t>
      </w:r>
      <w:r w:rsidR="08467052" w:rsidRPr="003D1E07">
        <w:t>Intelekt není ob</w:t>
      </w:r>
      <w:r w:rsidR="08FE4316" w:rsidRPr="003D1E07">
        <w:t xml:space="preserve">jektivní hypostáze, protože takový nesmysl </w:t>
      </w:r>
      <w:r w:rsidR="00EC7ED8" w:rsidRPr="003D1E07">
        <w:t>nemůže reálně existovat</w:t>
      </w:r>
      <w:r w:rsidR="08FE4316" w:rsidRPr="003D1E07">
        <w:t xml:space="preserve">. Intelekt je </w:t>
      </w:r>
      <w:r w:rsidR="08467052" w:rsidRPr="003D1E07">
        <w:t>nemateriální potence v č</w:t>
      </w:r>
      <w:r w:rsidR="082B51FC" w:rsidRPr="003D1E07">
        <w:t xml:space="preserve">lověku určující fundamentální </w:t>
      </w:r>
      <w:r w:rsidR="08C23580" w:rsidRPr="003D1E07">
        <w:t xml:space="preserve">způsob, </w:t>
      </w:r>
      <w:r w:rsidR="08467052" w:rsidRPr="003D1E07">
        <w:t>jak (</w:t>
      </w:r>
      <w:r w:rsidR="006E6B5F" w:rsidRPr="003D1E07">
        <w:t xml:space="preserve">viz </w:t>
      </w:r>
      <w:r w:rsidR="08467052" w:rsidRPr="003D1E07">
        <w:t xml:space="preserve">hermeneutické </w:t>
      </w:r>
      <w:r w:rsidR="08467052" w:rsidRPr="003D1E07">
        <w:rPr>
          <w:i/>
        </w:rPr>
        <w:t>Wie</w:t>
      </w:r>
      <w:r w:rsidR="006E6B5F" w:rsidRPr="003D1E07">
        <w:t>, kap. 1</w:t>
      </w:r>
      <w:r w:rsidR="08467052" w:rsidRPr="003D1E07">
        <w:rPr>
          <w:i/>
        </w:rPr>
        <w:fldChar w:fldCharType="begin"/>
      </w:r>
      <w:r w:rsidR="08467052" w:rsidRPr="003D1E07">
        <w:instrText xml:space="preserve"> XE "hermeneutické </w:instrText>
      </w:r>
      <w:r w:rsidR="08467052" w:rsidRPr="003D1E07">
        <w:rPr>
          <w:i/>
        </w:rPr>
        <w:instrText>Wie</w:instrText>
      </w:r>
      <w:r w:rsidR="08467052" w:rsidRPr="003D1E07">
        <w:instrText xml:space="preserve">:Averroes" </w:instrText>
      </w:r>
      <w:r w:rsidR="08467052" w:rsidRPr="003D1E07">
        <w:rPr>
          <w:i/>
        </w:rPr>
        <w:fldChar w:fldCharType="end"/>
      </w:r>
      <w:r w:rsidR="08467052" w:rsidRPr="003D1E07">
        <w:t xml:space="preserve">) poznáváme univerzální významy a formy. </w:t>
      </w:r>
      <w:r w:rsidR="002E3B62" w:rsidRPr="003D1E07">
        <w:t>Averroes</w:t>
      </w:r>
      <w:r w:rsidR="00D158C3" w:rsidRPr="003D1E07">
        <w:t xml:space="preserve">e </w:t>
      </w:r>
      <w:r w:rsidR="08226DC2" w:rsidRPr="003D1E07">
        <w:t xml:space="preserve">zásadně a především </w:t>
      </w:r>
      <w:r w:rsidR="00D158C3" w:rsidRPr="003D1E07">
        <w:t>zajímá způso</w:t>
      </w:r>
      <w:r w:rsidR="08AA5E4C" w:rsidRPr="003D1E07">
        <w:t xml:space="preserve">b, </w:t>
      </w:r>
      <w:r w:rsidR="00535F05" w:rsidRPr="003D1E07">
        <w:t>„</w:t>
      </w:r>
      <w:r w:rsidR="0045299F" w:rsidRPr="003D1E07">
        <w:t>jak</w:t>
      </w:r>
      <w:r w:rsidR="00535F05" w:rsidRPr="003D1E07">
        <w:t>“</w:t>
      </w:r>
      <w:r w:rsidR="0045299F" w:rsidRPr="003D1E07">
        <w:t xml:space="preserve"> poznáváme</w:t>
      </w:r>
      <w:r w:rsidR="00F1523D">
        <w:t xml:space="preserve"> </w:t>
      </w:r>
      <w:r w:rsidR="00F1523D">
        <w:rPr>
          <w:noProof w:val="0"/>
          <w:lang w:val="en-US" w:eastAsia="en-US"/>
        </w:rPr>
        <w:t>(</w:t>
      </w:r>
      <w:r w:rsidR="00F1523D" w:rsidRPr="007A5AA5">
        <w:rPr>
          <w:i/>
          <w:noProof w:val="0"/>
          <w:lang w:val="en-US" w:eastAsia="en-US"/>
        </w:rPr>
        <w:t>Bezugssinn</w:t>
      </w:r>
      <w:r w:rsidR="00F1523D">
        <w:rPr>
          <w:i/>
          <w:noProof w:val="0"/>
          <w:lang w:val="en-US" w:eastAsia="en-US"/>
        </w:rPr>
        <w:fldChar w:fldCharType="begin"/>
      </w:r>
      <w:r w:rsidR="00F1523D">
        <w:instrText xml:space="preserve"> XE "</w:instrText>
      </w:r>
      <w:r w:rsidR="00F1523D" w:rsidRPr="001C2040">
        <w:rPr>
          <w:i/>
          <w:noProof w:val="0"/>
          <w:lang w:val="en-US" w:eastAsia="en-US"/>
        </w:rPr>
        <w:instrText>Bezugssinn</w:instrText>
      </w:r>
      <w:r w:rsidR="00F1523D">
        <w:instrText xml:space="preserve">" </w:instrText>
      </w:r>
      <w:r w:rsidR="00F1523D">
        <w:rPr>
          <w:i/>
          <w:noProof w:val="0"/>
          <w:lang w:val="en-US" w:eastAsia="en-US"/>
        </w:rPr>
        <w:fldChar w:fldCharType="end"/>
      </w:r>
      <w:r w:rsidR="00F1523D">
        <w:rPr>
          <w:noProof w:val="0"/>
          <w:lang w:val="en-US" w:eastAsia="en-US"/>
        </w:rPr>
        <w:t>)</w:t>
      </w:r>
      <w:r w:rsidR="00D158C3" w:rsidRPr="003D1E07">
        <w:t>. M</w:t>
      </w:r>
      <w:r w:rsidR="0045299F" w:rsidRPr="003D1E07">
        <w:t>oder</w:t>
      </w:r>
      <w:r w:rsidR="08226DC2" w:rsidRPr="003D1E07">
        <w:t xml:space="preserve">ní a postmoderní otázka, </w:t>
      </w:r>
      <w:r w:rsidR="00535F05" w:rsidRPr="003D1E07">
        <w:t>„</w:t>
      </w:r>
      <w:r w:rsidR="08AA5E4C" w:rsidRPr="003D1E07">
        <w:t>co</w:t>
      </w:r>
      <w:r w:rsidR="00535F05" w:rsidRPr="003D1E07">
        <w:t>“</w:t>
      </w:r>
      <w:r w:rsidR="08226DC2" w:rsidRPr="003D1E07">
        <w:t xml:space="preserve"> </w:t>
      </w:r>
      <w:r w:rsidR="0045299F" w:rsidRPr="003D1E07">
        <w:t>je ta či ona forma inte</w:t>
      </w:r>
      <w:r w:rsidR="00F9076F" w:rsidRPr="003D1E07">
        <w:t>lek</w:t>
      </w:r>
      <w:r w:rsidR="0045299F" w:rsidRPr="003D1E07">
        <w:t>tu</w:t>
      </w:r>
      <w:r w:rsidR="00F1523D">
        <w:t xml:space="preserve"> </w:t>
      </w:r>
      <w:r w:rsidR="00F1523D">
        <w:rPr>
          <w:noProof w:val="0"/>
          <w:lang w:val="en-US" w:eastAsia="en-US"/>
        </w:rPr>
        <w:t>(</w:t>
      </w:r>
      <w:r w:rsidR="00F1523D" w:rsidRPr="007A5AA5">
        <w:rPr>
          <w:i/>
          <w:noProof w:val="0"/>
          <w:lang w:val="en-US" w:eastAsia="en-US"/>
        </w:rPr>
        <w:t>Gehaltsinn</w:t>
      </w:r>
      <w:r w:rsidR="00F1523D">
        <w:rPr>
          <w:i/>
          <w:noProof w:val="0"/>
          <w:lang w:val="en-US" w:eastAsia="en-US"/>
        </w:rPr>
        <w:fldChar w:fldCharType="begin"/>
      </w:r>
      <w:r w:rsidR="00F1523D">
        <w:instrText xml:space="preserve"> XE "</w:instrText>
      </w:r>
      <w:r w:rsidR="00F1523D" w:rsidRPr="00AD5F2C">
        <w:rPr>
          <w:i/>
          <w:noProof w:val="0"/>
          <w:lang w:val="en-US" w:eastAsia="en-US"/>
        </w:rPr>
        <w:instrText>Gehaltsinn</w:instrText>
      </w:r>
      <w:r w:rsidR="00F1523D">
        <w:instrText xml:space="preserve">" </w:instrText>
      </w:r>
      <w:r w:rsidR="00F1523D">
        <w:rPr>
          <w:i/>
          <w:noProof w:val="0"/>
          <w:lang w:val="en-US" w:eastAsia="en-US"/>
        </w:rPr>
        <w:fldChar w:fldCharType="end"/>
      </w:r>
      <w:r w:rsidR="00F1523D">
        <w:rPr>
          <w:noProof w:val="0"/>
          <w:lang w:val="en-US" w:eastAsia="en-US"/>
        </w:rPr>
        <w:t>)</w:t>
      </w:r>
      <w:r w:rsidR="00D158C3" w:rsidRPr="003D1E07">
        <w:t>, je pro něj zcela druhotná.</w:t>
      </w:r>
      <w:r w:rsidR="0045299F" w:rsidRPr="003D1E07">
        <w:t xml:space="preserve"> </w:t>
      </w:r>
      <w:r w:rsidR="08226DC2" w:rsidRPr="003D1E07">
        <w:t>A pokud je tato</w:t>
      </w:r>
      <w:r w:rsidR="00EB0980" w:rsidRPr="003D1E07">
        <w:t xml:space="preserve"> sekundáprní </w:t>
      </w:r>
      <w:r w:rsidR="08226DC2" w:rsidRPr="003D1E07">
        <w:t xml:space="preserve">otázka kladena v modu </w:t>
      </w:r>
      <w:r w:rsidR="08226DC2" w:rsidRPr="003D1E07">
        <w:rPr>
          <w:i/>
        </w:rPr>
        <w:t>per prius</w:t>
      </w:r>
      <w:r w:rsidR="08226DC2" w:rsidRPr="003D1E07">
        <w:t>, pak představuje dokonce zásadní omyl</w:t>
      </w:r>
      <w:r w:rsidR="00EB0980" w:rsidRPr="003D1E07">
        <w:t>. Z</w:t>
      </w:r>
      <w:r w:rsidR="08226DC2" w:rsidRPr="003D1E07">
        <w:t xml:space="preserve">koumání duše </w:t>
      </w:r>
      <w:r w:rsidR="00EB0980" w:rsidRPr="003D1E07">
        <w:t xml:space="preserve">pak začíná </w:t>
      </w:r>
      <w:r w:rsidR="08226DC2" w:rsidRPr="003D1E07">
        <w:t xml:space="preserve">od esence místo od </w:t>
      </w:r>
      <w:r w:rsidR="00EB0980" w:rsidRPr="003D1E07">
        <w:t xml:space="preserve">poznávacího </w:t>
      </w:r>
      <w:r w:rsidR="08226DC2" w:rsidRPr="003D1E07">
        <w:t>aktu osoby jako první substance. Tuto pozici CMDA viděl a hájil po Komentátorovi pouze a jedině Siger z</w:t>
      </w:r>
      <w:r w:rsidR="00435D59" w:rsidRPr="003D1E07">
        <w:t> </w:t>
      </w:r>
      <w:r w:rsidR="08226DC2" w:rsidRPr="003D1E07">
        <w:t>Brabantu</w:t>
      </w:r>
      <w:r w:rsidR="00435D59" w:rsidRPr="003D1E07">
        <w:t xml:space="preserve"> a pak až Heidegger</w:t>
      </w:r>
      <w:r w:rsidR="08CD3411" w:rsidRPr="003D1E07">
        <w:t xml:space="preserve">. </w:t>
      </w:r>
      <w:r w:rsidR="001D5EE0">
        <w:t xml:space="preserve">Siger jako </w:t>
      </w:r>
      <w:r w:rsidR="084574A6" w:rsidRPr="003D1E07">
        <w:t xml:space="preserve">křesťanský filosof </w:t>
      </w:r>
      <w:r w:rsidR="00A24F5A">
        <w:t xml:space="preserve">proto </w:t>
      </w:r>
      <w:r w:rsidR="08CD3411" w:rsidRPr="003D1E07">
        <w:t xml:space="preserve">dopadl </w:t>
      </w:r>
      <w:r w:rsidR="08226DC2" w:rsidRPr="003D1E07">
        <w:t xml:space="preserve">stejně tragicky </w:t>
      </w:r>
      <w:r w:rsidR="084574A6" w:rsidRPr="003D1E07">
        <w:t>jako islámský znalec</w:t>
      </w:r>
      <w:r w:rsidR="08226DC2" w:rsidRPr="003D1E07">
        <w:t xml:space="preserve"> Aristotela. Archaická h</w:t>
      </w:r>
      <w:r w:rsidR="00BE7EB7" w:rsidRPr="003D1E07">
        <w:t>ermeneutika sleduje</w:t>
      </w:r>
      <w:r w:rsidR="08226DC2" w:rsidRPr="003D1E07">
        <w:t xml:space="preserve"> skrytou činnost Fúrií v</w:t>
      </w:r>
      <w:r w:rsidR="00FB59EF" w:rsidRPr="003D1E07">
        <w:t xml:space="preserve"> epoše </w:t>
      </w:r>
      <w:r w:rsidR="08884F3E" w:rsidRPr="003D1E07">
        <w:t xml:space="preserve">akademické </w:t>
      </w:r>
      <w:r w:rsidR="00FB59EF" w:rsidRPr="003D1E07">
        <w:t>moderny</w:t>
      </w:r>
      <w:r w:rsidR="00BE7EB7" w:rsidRPr="003D1E07">
        <w:t xml:space="preserve">. Výklad chybně pojaté objektivity </w:t>
      </w:r>
      <w:r w:rsidR="08226DC2" w:rsidRPr="003D1E07">
        <w:lastRenderedPageBreak/>
        <w:t xml:space="preserve">nemůže </w:t>
      </w:r>
      <w:r w:rsidR="0032629C" w:rsidRPr="003D1E07">
        <w:t xml:space="preserve">přijmout avicennovský výklad </w:t>
      </w:r>
      <w:r w:rsidR="002E3B62" w:rsidRPr="003D1E07">
        <w:t>Averroes</w:t>
      </w:r>
      <w:r w:rsidR="0032629C" w:rsidRPr="003D1E07">
        <w:t>e</w:t>
      </w:r>
      <w:r w:rsidR="00BE7EB7" w:rsidRPr="003D1E07">
        <w:t xml:space="preserve">, který </w:t>
      </w:r>
      <w:r w:rsidR="0032629C" w:rsidRPr="003D1E07">
        <w:t xml:space="preserve">tohoto myslitele </w:t>
      </w:r>
      <w:r w:rsidR="00BE7EB7" w:rsidRPr="003D1E07">
        <w:t xml:space="preserve">klasifikuje </w:t>
      </w:r>
      <w:r w:rsidR="0032629C" w:rsidRPr="003D1E07">
        <w:t xml:space="preserve">jako původce „averroismu“ či „semiaverroismu“. Vznik averroistického výkladu </w:t>
      </w:r>
      <w:r w:rsidR="002E3B62" w:rsidRPr="003D1E07">
        <w:t>Averroes</w:t>
      </w:r>
      <w:r w:rsidR="0032629C" w:rsidRPr="003D1E07">
        <w:t xml:space="preserve">e je třeba vysvětlit </w:t>
      </w:r>
      <w:r w:rsidR="080B67BF" w:rsidRPr="003D1E07">
        <w:t xml:space="preserve">tak, aby </w:t>
      </w:r>
      <w:r w:rsidR="00A74CA2" w:rsidRPr="003D1E07">
        <w:t xml:space="preserve">se vysvětlila </w:t>
      </w:r>
      <w:r w:rsidR="080B67BF" w:rsidRPr="003D1E07">
        <w:t xml:space="preserve">citovaná </w:t>
      </w:r>
      <w:r w:rsidR="0032629C" w:rsidRPr="003D1E07">
        <w:rPr>
          <w:i/>
        </w:rPr>
        <w:t>obscurity</w:t>
      </w:r>
      <w:r w:rsidR="0032629C" w:rsidRPr="003D1E07">
        <w:rPr>
          <w:i/>
        </w:rPr>
        <w:fldChar w:fldCharType="begin"/>
      </w:r>
      <w:r w:rsidR="0032629C" w:rsidRPr="003D1E07">
        <w:instrText xml:space="preserve"> XE "zatmění:substance" </w:instrText>
      </w:r>
      <w:r w:rsidR="0032629C" w:rsidRPr="003D1E07">
        <w:rPr>
          <w:i/>
        </w:rPr>
        <w:fldChar w:fldCharType="end"/>
      </w:r>
      <w:r w:rsidR="0032629C" w:rsidRPr="003D1E07">
        <w:t>, kterou tento myslitel odmítl u svého předchůdce (kap. 2.4.1).</w:t>
      </w:r>
    </w:p>
    <w:p w14:paraId="25BA9753" w14:textId="4945DA01" w:rsidR="000A0518" w:rsidRPr="003D1E07" w:rsidRDefault="007663C2" w:rsidP="005D3FCD">
      <w:pPr>
        <w:ind w:firstLine="397"/>
      </w:pPr>
      <w:r w:rsidRPr="003D1E07">
        <w:t>Zůstaňme u otázky</w:t>
      </w:r>
      <w:r w:rsidR="086F2E6B" w:rsidRPr="003D1E07">
        <w:t xml:space="preserve"> numericky jednoho intelektu pro všechny lidi</w:t>
      </w:r>
      <w:r w:rsidR="00A172AF" w:rsidRPr="003D1E07">
        <w:rPr>
          <w:rStyle w:val="Zkladntext184"/>
          <w:rFonts w:ascii="Calibri" w:eastAsia="Times" w:hAnsi="Calibri" w:cs="Times New Roman"/>
          <w:color w:val="auto"/>
          <w:spacing w:val="0"/>
          <w:sz w:val="24"/>
          <w:lang w:val="cs-CZ"/>
        </w:rPr>
        <w:fldChar w:fldCharType="begin"/>
      </w:r>
      <w:r w:rsidR="00A172AF" w:rsidRPr="003D1E07">
        <w:instrText xml:space="preserve"> XE "</w:instrText>
      </w:r>
      <w:r w:rsidR="00A172AF" w:rsidRPr="003D1E07">
        <w:rPr>
          <w:rStyle w:val="FontStyle129"/>
          <w:rFonts w:ascii="Calibri" w:hAnsi="Calibri"/>
          <w:sz w:val="24"/>
        </w:rPr>
        <w:instrText>intelekt:numericky jednotný</w:instrText>
      </w:r>
      <w:r w:rsidR="00A172AF" w:rsidRPr="003D1E07">
        <w:instrText xml:space="preserve">" </w:instrText>
      </w:r>
      <w:r w:rsidR="00A172AF" w:rsidRPr="003D1E07">
        <w:rPr>
          <w:rStyle w:val="Zkladntext184"/>
          <w:rFonts w:ascii="Calibri" w:eastAsia="Times" w:hAnsi="Calibri" w:cs="Times New Roman"/>
          <w:color w:val="auto"/>
          <w:spacing w:val="0"/>
          <w:sz w:val="24"/>
          <w:lang w:val="cs-CZ"/>
        </w:rPr>
        <w:fldChar w:fldCharType="end"/>
      </w:r>
      <w:r w:rsidRPr="003D1E07">
        <w:t>, protože bude hrát klíčovo</w:t>
      </w:r>
      <w:r w:rsidR="00735046" w:rsidRPr="003D1E07">
        <w:t>u roli při odmítn</w:t>
      </w:r>
      <w:r w:rsidRPr="003D1E07">
        <w:t>u</w:t>
      </w:r>
      <w:r w:rsidR="00735046" w:rsidRPr="003D1E07">
        <w:t>t</w:t>
      </w:r>
      <w:r w:rsidR="080B67BF" w:rsidRPr="003D1E07">
        <w:t xml:space="preserve">í CMDA v rámci </w:t>
      </w:r>
      <w:r w:rsidRPr="003D1E07">
        <w:t>druhého averr</w:t>
      </w:r>
      <w:r w:rsidR="00C10E7E" w:rsidRPr="003D1E07">
        <w:t>o</w:t>
      </w:r>
      <w:r w:rsidRPr="003D1E07">
        <w:t>is</w:t>
      </w:r>
      <w:r w:rsidR="00C10E7E" w:rsidRPr="003D1E07">
        <w:t>m</w:t>
      </w:r>
      <w:r w:rsidR="080B67BF" w:rsidRPr="003D1E07">
        <w:t>u</w:t>
      </w:r>
      <w:r w:rsidRPr="003D1E07">
        <w:t xml:space="preserve"> vzniklého na Oxfordu </w:t>
      </w:r>
      <w:r w:rsidR="080B67BF" w:rsidRPr="003D1E07">
        <w:t xml:space="preserve">někdy roku </w:t>
      </w:r>
      <w:r w:rsidR="00EC5745" w:rsidRPr="003D1E07">
        <w:t>12</w:t>
      </w:r>
      <w:r w:rsidR="00D67DA8" w:rsidRPr="003D1E07">
        <w:t>35</w:t>
      </w:r>
      <w:r w:rsidR="00923685" w:rsidRPr="003D1E07">
        <w:t>.</w:t>
      </w:r>
      <w:r w:rsidR="00B07C06" w:rsidRPr="003D1E07">
        <w:t xml:space="preserve"> </w:t>
      </w:r>
      <w:r w:rsidR="002E3B62" w:rsidRPr="003D1E07">
        <w:t>Averroes</w:t>
      </w:r>
      <w:r w:rsidR="00B07C06" w:rsidRPr="003D1E07">
        <w:t xml:space="preserve"> na rozdíl od eklektických současníků četl tehdejší Aristotelův korpus v původním duchu a zásadně odmítal </w:t>
      </w:r>
      <w:r w:rsidR="00874074" w:rsidRPr="003D1E07">
        <w:t>neoplatonsk</w:t>
      </w:r>
      <w:r w:rsidR="00B07C06" w:rsidRPr="003D1E07">
        <w:t>á řešení</w:t>
      </w:r>
      <w:r w:rsidR="004D77F4" w:rsidRPr="003D1E07">
        <w:t xml:space="preserve"> </w:t>
      </w:r>
      <w:r w:rsidR="004D77F4" w:rsidRPr="003D1E07">
        <w:rPr>
          <w:i/>
        </w:rPr>
        <w:t>Modernorum</w:t>
      </w:r>
      <w:r w:rsidR="00B07C06" w:rsidRPr="003D1E07">
        <w:t xml:space="preserve">. V rámci hledaného </w:t>
      </w:r>
      <w:r w:rsidR="00B07C06" w:rsidRPr="003D1E07">
        <w:rPr>
          <w:i/>
        </w:rPr>
        <w:t>proportio</w:t>
      </w:r>
      <w:r w:rsidR="00B07C06" w:rsidRPr="003D1E07">
        <w:t xml:space="preserve"> trvá CMDA na faktu, že materiální intelekt musí být kvazi-materie pro kvazi-formu aktivního inte</w:t>
      </w:r>
      <w:r w:rsidR="004D77F4" w:rsidRPr="003D1E07">
        <w:t>le</w:t>
      </w:r>
      <w:r w:rsidR="00B07C06" w:rsidRPr="003D1E07">
        <w:t>ktu. Slůvko „kvazi“ opakovaně zdůrazněné na klíčových místech velkého komentáře dosvědčuje odmítnutí unitární teorie intelektu jako oddělené substance.</w:t>
      </w:r>
      <w:r w:rsidR="00C411D5" w:rsidRPr="003D1E07">
        <w:t xml:space="preserve"> </w:t>
      </w:r>
      <w:r w:rsidR="00C502A9" w:rsidRPr="003D1E07">
        <w:t xml:space="preserve">Obě předešlé kapitoly ukázaly, že </w:t>
      </w:r>
      <w:r w:rsidR="002E3B62" w:rsidRPr="003D1E07">
        <w:t>Averroes</w:t>
      </w:r>
      <w:r w:rsidR="00C502A9" w:rsidRPr="003D1E07">
        <w:t xml:space="preserve"> musí v rámci své „meta</w:t>
      </w:r>
      <w:r w:rsidR="00C502A9" w:rsidRPr="003D1E07">
        <w:noBreakHyphen/>
        <w:t>fyziky“</w:t>
      </w:r>
      <w:r w:rsidR="001C4DD9" w:rsidRPr="003D1E07">
        <w:t xml:space="preserve"> </w:t>
      </w:r>
      <w:r w:rsidR="001C4DD9" w:rsidRPr="003D1E07">
        <w:fldChar w:fldCharType="begin"/>
      </w:r>
      <w:r w:rsidR="001C4DD9" w:rsidRPr="003D1E07">
        <w:instrText xml:space="preserve"> XE "metafyzika:</w:instrText>
      </w:r>
      <w:r w:rsidR="002E3B62" w:rsidRPr="003D1E07">
        <w:instrText>Averroes</w:instrText>
      </w:r>
      <w:r w:rsidR="001C4DD9" w:rsidRPr="003D1E07">
        <w:instrText xml:space="preserve">" </w:instrText>
      </w:r>
      <w:r w:rsidR="001C4DD9" w:rsidRPr="003D1E07">
        <w:fldChar w:fldCharType="end"/>
      </w:r>
      <w:r w:rsidR="00C502A9" w:rsidRPr="003D1E07">
        <w:t xml:space="preserve"> odmítnout všechny teorie, které </w:t>
      </w:r>
      <w:r w:rsidR="00275DA9" w:rsidRPr="003D1E07">
        <w:t xml:space="preserve">ruší </w:t>
      </w:r>
      <w:r w:rsidR="00C502A9" w:rsidRPr="003D1E07">
        <w:t xml:space="preserve">jedinečnost a </w:t>
      </w:r>
      <w:r w:rsidR="00652667" w:rsidRPr="003D1E07">
        <w:t xml:space="preserve">oddělenost </w:t>
      </w:r>
      <w:r w:rsidR="008172D1" w:rsidRPr="003D1E07">
        <w:t>první substance.</w:t>
      </w:r>
      <w:r w:rsidR="083F494B" w:rsidRPr="003D1E07">
        <w:t xml:space="preserve"> </w:t>
      </w:r>
      <w:r w:rsidR="000714F8" w:rsidRPr="003D1E07">
        <w:t>N</w:t>
      </w:r>
      <w:r w:rsidR="00014B97" w:rsidRPr="003D1E07">
        <w:t>eo</w:t>
      </w:r>
      <w:r w:rsidR="000714F8" w:rsidRPr="003D1E07">
        <w:t>platonikové</w:t>
      </w:r>
      <w:r w:rsidR="08730C05" w:rsidRPr="003D1E07">
        <w:t xml:space="preserve"> a moderní </w:t>
      </w:r>
      <w:r w:rsidR="08DE18BB" w:rsidRPr="003D1E07">
        <w:t>alexandrovc</w:t>
      </w:r>
      <w:r w:rsidR="000714F8" w:rsidRPr="003D1E07">
        <w:t>i</w:t>
      </w:r>
      <w:r w:rsidR="00955903" w:rsidRPr="003D1E07">
        <w:fldChar w:fldCharType="begin"/>
      </w:r>
      <w:r w:rsidR="00955903" w:rsidRPr="003D1E07">
        <w:instrText xml:space="preserve"> XE "</w:instrText>
      </w:r>
      <w:r w:rsidR="08DE18BB" w:rsidRPr="003D1E07">
        <w:instrText>alexandrovci</w:instrText>
      </w:r>
      <w:r w:rsidR="00955903" w:rsidRPr="003D1E07">
        <w:instrText xml:space="preserve">" </w:instrText>
      </w:r>
      <w:r w:rsidR="00955903" w:rsidRPr="003D1E07">
        <w:fldChar w:fldCharType="end"/>
      </w:r>
      <w:r w:rsidR="08730C05" w:rsidRPr="003D1E07">
        <w:t xml:space="preserve"> typu Avicenny </w:t>
      </w:r>
      <w:r w:rsidR="000714F8" w:rsidRPr="003D1E07">
        <w:t xml:space="preserve">nerespektovali </w:t>
      </w:r>
      <w:r w:rsidR="087207FC" w:rsidRPr="003D1E07">
        <w:t>Aristotelov</w:t>
      </w:r>
      <w:r w:rsidR="000714F8" w:rsidRPr="003D1E07">
        <w:t>u kritiku n</w:t>
      </w:r>
      <w:r w:rsidR="08FC5EBC" w:rsidRPr="003D1E07">
        <w:t xml:space="preserve">eoplatonské </w:t>
      </w:r>
      <w:r w:rsidR="08730C05" w:rsidRPr="003D1E07">
        <w:t xml:space="preserve">definice duše </w:t>
      </w:r>
      <w:r w:rsidR="00701C6C" w:rsidRPr="003D1E07">
        <w:t xml:space="preserve">určené </w:t>
      </w:r>
      <w:r w:rsidR="08730C05" w:rsidRPr="003D1E07">
        <w:t xml:space="preserve">podle nadřazených </w:t>
      </w:r>
      <w:r w:rsidR="006108AF" w:rsidRPr="003D1E07">
        <w:t xml:space="preserve">inteligibilních </w:t>
      </w:r>
      <w:r w:rsidR="08730C05" w:rsidRPr="003D1E07">
        <w:t>forem</w:t>
      </w:r>
      <w:r w:rsidR="08FC5EBC" w:rsidRPr="003D1E07">
        <w:t xml:space="preserve"> jako nejvyššího rodů jsoucna</w:t>
      </w:r>
      <w:r w:rsidR="08BD3644" w:rsidRPr="003D1E07">
        <w:t xml:space="preserve">. Další omyl vznikl v materiálním panteismu </w:t>
      </w:r>
      <w:r w:rsidR="08730C05" w:rsidRPr="003D1E07">
        <w:t>pythagorejských kosmických elementů</w:t>
      </w:r>
      <w:r w:rsidR="08BD3644" w:rsidRPr="003D1E07">
        <w:t xml:space="preserve">, kde byla </w:t>
      </w:r>
      <w:r w:rsidR="08730C05" w:rsidRPr="003D1E07">
        <w:t xml:space="preserve">duše </w:t>
      </w:r>
      <w:r w:rsidR="08BD3644" w:rsidRPr="003D1E07">
        <w:t xml:space="preserve">definována podle </w:t>
      </w:r>
      <w:r w:rsidR="08730C05" w:rsidRPr="003D1E07">
        <w:t>božského pneumatu</w:t>
      </w:r>
      <w:r w:rsidR="00DC7D4E" w:rsidRPr="003D1E07">
        <w:t>.</w:t>
      </w:r>
      <w:r w:rsidR="08730C05" w:rsidRPr="003D1E07">
        <w:t xml:space="preserve"> </w:t>
      </w:r>
      <w:r w:rsidR="008E02F5" w:rsidRPr="003D1E07">
        <w:t>Aristoteles</w:t>
      </w:r>
      <w:r w:rsidR="00DC7D4E" w:rsidRPr="003D1E07">
        <w:t xml:space="preserve"> kritizoval </w:t>
      </w:r>
      <w:r w:rsidR="0097567C" w:rsidRPr="003D1E07">
        <w:t>Thále</w:t>
      </w:r>
      <w:r w:rsidR="00DC7D4E" w:rsidRPr="003D1E07">
        <w:t xml:space="preserve">se za pojetí duše jako </w:t>
      </w:r>
      <w:r w:rsidR="087207FC" w:rsidRPr="003D1E07">
        <w:t>pralátky, která oživuje tělo</w:t>
      </w:r>
      <w:r w:rsidR="000938D3" w:rsidRPr="003D1E07">
        <w:t xml:space="preserve"> </w:t>
      </w:r>
      <w:r w:rsidR="085B7387" w:rsidRPr="003D1E07">
        <w:t>(</w:t>
      </w:r>
      <w:r w:rsidR="00B713C5" w:rsidRPr="003D1E07">
        <w:rPr>
          <w:i/>
        </w:rPr>
        <w:t>De anima</w:t>
      </w:r>
      <w:r w:rsidR="08730C05" w:rsidRPr="003D1E07">
        <w:t xml:space="preserve"> 411a8</w:t>
      </w:r>
      <w:r w:rsidR="001C4DD9" w:rsidRPr="003D1E07">
        <w:fldChar w:fldCharType="begin"/>
      </w:r>
      <w:r w:rsidR="001C4DD9" w:rsidRPr="003D1E07">
        <w:instrText xml:space="preserve"> XE "</w:instrText>
      </w:r>
      <w:r w:rsidR="008E02F5" w:rsidRPr="003D1E07">
        <w:instrText>Aristoteles</w:instrText>
      </w:r>
      <w:r w:rsidR="001C4DD9" w:rsidRPr="003D1E07">
        <w:instrText>:</w:instrText>
      </w:r>
      <w:r w:rsidR="001C4DD9" w:rsidRPr="003D1E07">
        <w:rPr>
          <w:i/>
        </w:rPr>
        <w:instrText>De anima</w:instrText>
      </w:r>
      <w:r w:rsidR="001C4DD9" w:rsidRPr="003D1E07">
        <w:instrText xml:space="preserve"> 411a8" </w:instrText>
      </w:r>
      <w:r w:rsidR="001C4DD9" w:rsidRPr="003D1E07">
        <w:fldChar w:fldCharType="end"/>
      </w:r>
      <w:r w:rsidR="085B7387" w:rsidRPr="003D1E07">
        <w:t>)</w:t>
      </w:r>
      <w:r w:rsidR="08730C05" w:rsidRPr="003D1E07">
        <w:t xml:space="preserve">. Pak by duše nebyla entelechická forma těla, ale oddělená </w:t>
      </w:r>
      <w:r w:rsidR="08CD3385" w:rsidRPr="003D1E07">
        <w:t>nemat</w:t>
      </w:r>
      <w:r w:rsidR="00ED3A04" w:rsidRPr="003D1E07">
        <w:t>e</w:t>
      </w:r>
      <w:r w:rsidR="08CD3385" w:rsidRPr="003D1E07">
        <w:t xml:space="preserve">riální či materiální </w:t>
      </w:r>
      <w:r w:rsidR="08730C05" w:rsidRPr="003D1E07">
        <w:t xml:space="preserve">substance určující podřízené části a funkce, což měl jak </w:t>
      </w:r>
      <w:r w:rsidR="00923685" w:rsidRPr="003D1E07">
        <w:t>Themistius</w:t>
      </w:r>
      <w:r w:rsidR="00DD4EDB" w:rsidRPr="003D1E07">
        <w:fldChar w:fldCharType="begin"/>
      </w:r>
      <w:r w:rsidR="00DD4EDB" w:rsidRPr="003D1E07">
        <w:instrText xml:space="preserve"> XE "Themistius" </w:instrText>
      </w:r>
      <w:r w:rsidR="00DD4EDB" w:rsidRPr="003D1E07">
        <w:fldChar w:fldCharType="end"/>
      </w:r>
      <w:r w:rsidR="00923685" w:rsidRPr="003D1E07">
        <w:t xml:space="preserve"> tak i </w:t>
      </w:r>
      <w:r w:rsidR="08730C05" w:rsidRPr="003D1E07">
        <w:t>Alexander.</w:t>
      </w:r>
      <w:r w:rsidR="00923685" w:rsidRPr="003D1E07">
        <w:rPr>
          <w:rStyle w:val="Znakapoznpodarou"/>
        </w:rPr>
        <w:footnoteReference w:id="249"/>
      </w:r>
      <w:r w:rsidR="00C7073C" w:rsidRPr="003D1E07">
        <w:t xml:space="preserve"> Tato řešení nevytvářejí skutečnou jednotu duše a těla.</w:t>
      </w:r>
      <w:r w:rsidR="00F6739E" w:rsidRPr="003D1E07">
        <w:t xml:space="preserve"> </w:t>
      </w:r>
      <w:r w:rsidR="002E3B62" w:rsidRPr="003D1E07">
        <w:t>Averroes</w:t>
      </w:r>
      <w:r w:rsidR="000A0518" w:rsidRPr="003D1E07">
        <w:t xml:space="preserve"> odmítne </w:t>
      </w:r>
      <w:r w:rsidR="00874074" w:rsidRPr="003D1E07">
        <w:t>neoplatonsk</w:t>
      </w:r>
      <w:r w:rsidR="000A0518" w:rsidRPr="003D1E07">
        <w:t>ou definici duše podle Alexandra</w:t>
      </w:r>
      <w:r w:rsidR="00955903" w:rsidRPr="003D1E07">
        <w:fldChar w:fldCharType="begin"/>
      </w:r>
      <w:r w:rsidR="00955903" w:rsidRPr="003D1E07">
        <w:instrText xml:space="preserve"> XE "Alexander Afrodisias" </w:instrText>
      </w:r>
      <w:r w:rsidR="00955903" w:rsidRPr="003D1E07">
        <w:fldChar w:fldCharType="end"/>
      </w:r>
      <w:r w:rsidR="000A0518" w:rsidRPr="003D1E07">
        <w:t xml:space="preserve"> a nechává </w:t>
      </w:r>
      <w:r w:rsidR="08C4541D" w:rsidRPr="003D1E07">
        <w:t>pozdější filosofii zásadní o</w:t>
      </w:r>
      <w:r w:rsidR="000A0518" w:rsidRPr="003D1E07">
        <w:t>tázku.</w:t>
      </w:r>
      <w:r w:rsidR="00743612" w:rsidRPr="003D1E07">
        <w:t xml:space="preserve"> </w:t>
      </w:r>
    </w:p>
    <w:p w14:paraId="024C1D94" w14:textId="1476ED37" w:rsidR="000A0518" w:rsidRPr="003D1E07" w:rsidRDefault="000A0518" w:rsidP="000A0518">
      <w:pPr>
        <w:pStyle w:val="Citace"/>
        <w:rPr>
          <w:noProof/>
          <w:lang w:val="cs-CZ"/>
        </w:rPr>
      </w:pPr>
      <w:r w:rsidRPr="003D1E07">
        <w:rPr>
          <w:noProof/>
          <w:lang w:val="cs-CZ"/>
        </w:rPr>
        <w:t xml:space="preserve">„Dále řekl: </w:t>
      </w:r>
      <w:r w:rsidR="006A40D8" w:rsidRPr="003D1E07">
        <w:rPr>
          <w:i/>
          <w:noProof/>
          <w:lang w:val="cs-CZ"/>
        </w:rPr>
        <w:t>Pokud je ž</w:t>
      </w:r>
      <w:r w:rsidRPr="003D1E07">
        <w:rPr>
          <w:i/>
          <w:noProof/>
          <w:lang w:val="cs-CZ"/>
        </w:rPr>
        <w:t xml:space="preserve">ivot je </w:t>
      </w:r>
      <w:r w:rsidR="08883315" w:rsidRPr="003D1E07">
        <w:rPr>
          <w:i/>
          <w:noProof/>
          <w:lang w:val="cs-CZ"/>
        </w:rPr>
        <w:t xml:space="preserve">v </w:t>
      </w:r>
      <w:r w:rsidRPr="003D1E07">
        <w:rPr>
          <w:i/>
          <w:noProof/>
          <w:lang w:val="cs-CZ"/>
        </w:rPr>
        <w:t>jedné v těchto schopností</w:t>
      </w:r>
      <w:r w:rsidRPr="003D1E07">
        <w:rPr>
          <w:noProof/>
          <w:lang w:val="cs-CZ"/>
        </w:rPr>
        <w:t xml:space="preserve"> atd. Proto musíme zjistit, zda to, čemu říká život, je pouze v jedné z těchto schopností, nebo </w:t>
      </w:r>
      <w:r w:rsidR="08154819" w:rsidRPr="003D1E07">
        <w:rPr>
          <w:noProof/>
          <w:lang w:val="cs-CZ"/>
        </w:rPr>
        <w:t>je jedna schopnost složená z částí</w:t>
      </w:r>
      <w:r w:rsidRPr="003D1E07">
        <w:rPr>
          <w:noProof/>
          <w:lang w:val="cs-CZ"/>
        </w:rPr>
        <w:t xml:space="preserve">, nebo </w:t>
      </w:r>
      <w:r w:rsidR="08154819" w:rsidRPr="003D1E07">
        <w:rPr>
          <w:noProof/>
          <w:lang w:val="cs-CZ"/>
        </w:rPr>
        <w:t xml:space="preserve">je schopností danou </w:t>
      </w:r>
      <w:r w:rsidRPr="003D1E07">
        <w:rPr>
          <w:noProof/>
          <w:lang w:val="cs-CZ"/>
        </w:rPr>
        <w:t>ve všech</w:t>
      </w:r>
      <w:r w:rsidR="08154819" w:rsidRPr="003D1E07">
        <w:rPr>
          <w:noProof/>
          <w:lang w:val="cs-CZ"/>
        </w:rPr>
        <w:t xml:space="preserve"> ostatních</w:t>
      </w:r>
      <w:r w:rsidRPr="003D1E07">
        <w:rPr>
          <w:noProof/>
          <w:lang w:val="cs-CZ"/>
        </w:rPr>
        <w:t xml:space="preserve">.“ </w:t>
      </w:r>
      <w:r w:rsidRPr="003D1E07">
        <w:rPr>
          <w:rStyle w:val="Znakapoznpodarou"/>
          <w:noProof/>
          <w:szCs w:val="28"/>
          <w:lang w:val="cs-CZ"/>
        </w:rPr>
        <w:footnoteReference w:id="250"/>
      </w:r>
    </w:p>
    <w:p w14:paraId="2B3DDCFE" w14:textId="77777777" w:rsidR="0087017A" w:rsidRDefault="000A0518" w:rsidP="00A14322">
      <w:r w:rsidRPr="003D1E07">
        <w:t>Co je život jako výkon duše? Buď jedna ze složek duše nadřazená smyslovým činnostem (</w:t>
      </w:r>
      <w:r w:rsidRPr="003D1E07">
        <w:rPr>
          <w:i/>
          <w:szCs w:val="28"/>
        </w:rPr>
        <w:t>in una aliqua istarum quinque virtutum</w:t>
      </w:r>
      <w:r w:rsidRPr="003D1E07">
        <w:t>); nebo celek složený z částí (</w:t>
      </w:r>
      <w:r w:rsidRPr="003D1E07">
        <w:rPr>
          <w:i/>
          <w:szCs w:val="28"/>
        </w:rPr>
        <w:t>in pluribus una</w:t>
      </w:r>
      <w:r w:rsidRPr="003D1E07">
        <w:t xml:space="preserve">); nebo </w:t>
      </w:r>
      <w:r w:rsidRPr="003D1E07">
        <w:lastRenderedPageBreak/>
        <w:t>entelechická jednota celku organimu daná skrze části (</w:t>
      </w:r>
      <w:r w:rsidRPr="003D1E07">
        <w:rPr>
          <w:i/>
          <w:szCs w:val="28"/>
        </w:rPr>
        <w:t>in omnibus</w:t>
      </w:r>
      <w:r w:rsidRPr="003D1E07">
        <w:t xml:space="preserve">). Jen geniální myslitelé dovedou položit zásadní otázky a hledat zásadní odpovědi. </w:t>
      </w:r>
      <w:r w:rsidR="00A14322" w:rsidRPr="003D1E07">
        <w:t xml:space="preserve">Duše </w:t>
      </w:r>
      <w:r w:rsidR="005059E7" w:rsidRPr="003D1E07">
        <w:t xml:space="preserve">je nějak jedna a od ní všechno </w:t>
      </w:r>
      <w:r w:rsidR="00A14322" w:rsidRPr="003D1E07">
        <w:t>pochází</w:t>
      </w:r>
      <w:r w:rsidR="00C7073C" w:rsidRPr="003D1E07">
        <w:t xml:space="preserve">. </w:t>
      </w:r>
      <w:r w:rsidR="00CC08B6" w:rsidRPr="003D1E07">
        <w:t xml:space="preserve">Tato otázka představuje Heideggerovo </w:t>
      </w:r>
      <w:r w:rsidR="00CC08B6" w:rsidRPr="003D1E07">
        <w:rPr>
          <w:i/>
        </w:rPr>
        <w:t>Lichtung</w:t>
      </w:r>
      <w:r w:rsidR="00CC08B6" w:rsidRPr="003D1E07">
        <w:t>, čili místo zjevování smyslu nepravdy a pravdy (</w:t>
      </w:r>
      <w:r w:rsidR="00CC08B6" w:rsidRPr="003D1E07">
        <w:rPr>
          <w:i/>
        </w:rPr>
        <w:t>a/létheia</w:t>
      </w:r>
      <w:r w:rsidR="085A313E" w:rsidRPr="003D1E07">
        <w:rPr>
          <w:i/>
        </w:rPr>
        <w:fldChar w:fldCharType="begin"/>
      </w:r>
      <w:r w:rsidR="085A313E" w:rsidRPr="003D1E07">
        <w:instrText xml:space="preserve"> XE "</w:instrText>
      </w:r>
      <w:r w:rsidR="085A313E" w:rsidRPr="003D1E07">
        <w:rPr>
          <w:i/>
          <w:lang w:eastAsia="en-US"/>
        </w:rPr>
        <w:instrText>a/létheia</w:instrText>
      </w:r>
      <w:r w:rsidR="085A313E" w:rsidRPr="003D1E07">
        <w:instrText xml:space="preserve">" </w:instrText>
      </w:r>
      <w:r w:rsidR="085A313E" w:rsidRPr="003D1E07">
        <w:rPr>
          <w:i/>
        </w:rPr>
        <w:fldChar w:fldCharType="end"/>
      </w:r>
      <w:r w:rsidR="08682A51" w:rsidRPr="003D1E07">
        <w:t xml:space="preserve">). </w:t>
      </w:r>
      <w:r w:rsidR="080B0EB7" w:rsidRPr="003D1E07">
        <w:t>Odpovědi na tyto tři otázky najdeme v různorodých dějinných podobách</w:t>
      </w:r>
      <w:r w:rsidR="08682A51" w:rsidRPr="003D1E07">
        <w:t xml:space="preserve"> objektivity ve scholastice</w:t>
      </w:r>
      <w:r w:rsidR="080B0EB7" w:rsidRPr="003D1E07">
        <w:t xml:space="preserve"> (tzv. „matrice“), které </w:t>
      </w:r>
      <w:r w:rsidR="08682A51" w:rsidRPr="003D1E07">
        <w:t xml:space="preserve">analyzuje druhý </w:t>
      </w:r>
      <w:r w:rsidR="00A35FBB" w:rsidRPr="003D1E07">
        <w:t xml:space="preserve">a třetí </w:t>
      </w:r>
      <w:r w:rsidR="08682A51" w:rsidRPr="003D1E07">
        <w:t xml:space="preserve">díl této studie. </w:t>
      </w:r>
      <w:r w:rsidR="08BB63CB" w:rsidRPr="003D1E07">
        <w:t xml:space="preserve">Spis CMDA </w:t>
      </w:r>
      <w:r w:rsidR="00223E86" w:rsidRPr="003D1E07">
        <w:t>hled</w:t>
      </w:r>
      <w:r w:rsidR="08BB63CB" w:rsidRPr="003D1E07">
        <w:t xml:space="preserve">á </w:t>
      </w:r>
      <w:r w:rsidR="00223E86" w:rsidRPr="003D1E07">
        <w:t xml:space="preserve">způsob, jak skrze </w:t>
      </w:r>
      <w:r w:rsidR="00384A9E" w:rsidRPr="003D1E07">
        <w:t xml:space="preserve">aristotelskou </w:t>
      </w:r>
      <w:r w:rsidR="00223E86" w:rsidRPr="003D1E07">
        <w:t xml:space="preserve">duši jako entelechickou formu těla vzniká jednota jejích funkcí a schopností. </w:t>
      </w:r>
      <w:r w:rsidR="00FA089E" w:rsidRPr="003D1E07">
        <w:t xml:space="preserve">Jednota nemůže být dána zvnějšku od </w:t>
      </w:r>
      <w:r w:rsidR="00874074" w:rsidRPr="003D1E07">
        <w:t>neoplatonsk</w:t>
      </w:r>
      <w:r w:rsidR="00FA089E" w:rsidRPr="003D1E07">
        <w:t xml:space="preserve">é </w:t>
      </w:r>
      <w:r w:rsidR="0829323B" w:rsidRPr="003D1E07">
        <w:rPr>
          <w:i/>
        </w:rPr>
        <w:t>anima intellectiva</w:t>
      </w:r>
      <w:r w:rsidR="0829323B" w:rsidRPr="003D1E07">
        <w:t xml:space="preserve"> </w:t>
      </w:r>
      <w:r w:rsidR="00FA089E" w:rsidRPr="003D1E07">
        <w:t>jako nadřazeného rodu</w:t>
      </w:r>
      <w:r w:rsidR="08563343" w:rsidRPr="003D1E07">
        <w:t xml:space="preserve"> či hypostázované formy. Jednota </w:t>
      </w:r>
      <w:r w:rsidR="08563343" w:rsidRPr="003D1E07">
        <w:rPr>
          <w:i/>
        </w:rPr>
        <w:t>in omnibus</w:t>
      </w:r>
      <w:r w:rsidR="08563343" w:rsidRPr="003D1E07">
        <w:t xml:space="preserve"> musí pocházet </w:t>
      </w:r>
      <w:r w:rsidR="00FA089E" w:rsidRPr="003D1E07">
        <w:t xml:space="preserve">od </w:t>
      </w:r>
      <w:r w:rsidR="08962AE4" w:rsidRPr="003D1E07">
        <w:t xml:space="preserve">bytí osoby, jejíž </w:t>
      </w:r>
      <w:r w:rsidR="00FA089E" w:rsidRPr="003D1E07">
        <w:t>duše</w:t>
      </w:r>
      <w:r w:rsidR="08563343" w:rsidRPr="003D1E07">
        <w:t xml:space="preserve"> </w:t>
      </w:r>
      <w:r w:rsidR="08962AE4" w:rsidRPr="003D1E07">
        <w:t xml:space="preserve">tvoří </w:t>
      </w:r>
      <w:r w:rsidR="00FA089E" w:rsidRPr="003D1E07">
        <w:t xml:space="preserve">akt </w:t>
      </w:r>
      <w:r w:rsidR="00B67B49" w:rsidRPr="003D1E07">
        <w:t xml:space="preserve">„tohoto </w:t>
      </w:r>
      <w:r w:rsidR="00FA089E" w:rsidRPr="003D1E07">
        <w:t>bytí</w:t>
      </w:r>
      <w:r w:rsidR="00B67B49" w:rsidRPr="003D1E07">
        <w:t>“ oživené první substance</w:t>
      </w:r>
      <w:r w:rsidR="00FA089E" w:rsidRPr="003D1E07">
        <w:t xml:space="preserve">, protože </w:t>
      </w:r>
      <w:r w:rsidR="00B67B49" w:rsidRPr="003D1E07">
        <w:t xml:space="preserve">„tento </w:t>
      </w:r>
      <w:r w:rsidR="00FA089E" w:rsidRPr="003D1E07">
        <w:t>organismus</w:t>
      </w:r>
      <w:r w:rsidR="00967B18" w:rsidRPr="003D1E07">
        <w:t>“</w:t>
      </w:r>
      <w:r w:rsidR="00FA089E" w:rsidRPr="003D1E07">
        <w:t xml:space="preserve"> je entelechická jednota duše a těla. </w:t>
      </w:r>
      <w:r w:rsidR="08B2302F" w:rsidRPr="003D1E07">
        <w:t>Ř</w:t>
      </w:r>
      <w:r w:rsidR="00384A9E" w:rsidRPr="003D1E07">
        <w:t xml:space="preserve">ešení </w:t>
      </w:r>
      <w:r w:rsidR="08B2302F" w:rsidRPr="003D1E07">
        <w:t xml:space="preserve">materialistů </w:t>
      </w:r>
      <w:r w:rsidR="00384A9E" w:rsidRPr="003D1E07">
        <w:t xml:space="preserve">vezme tělo a jeho funkce jako jediný zdroj poznání a zcela pomine specifické akty poznání dané nemateriální duší jako entelechickou formou těla. </w:t>
      </w:r>
      <w:r w:rsidR="00223E86" w:rsidRPr="003D1E07">
        <w:t xml:space="preserve">Nebo se dojde k </w:t>
      </w:r>
      <w:r w:rsidR="00874074" w:rsidRPr="003D1E07">
        <w:t>neoplatonsk</w:t>
      </w:r>
      <w:r w:rsidR="00384A9E" w:rsidRPr="003D1E07">
        <w:t xml:space="preserve">é </w:t>
      </w:r>
      <w:r w:rsidR="00223E86" w:rsidRPr="003D1E07">
        <w:t>definici nemateriální duše jako oddělené substance</w:t>
      </w:r>
      <w:r w:rsidR="00A70FA4" w:rsidRPr="003D1E07">
        <w:fldChar w:fldCharType="begin"/>
      </w:r>
      <w:r w:rsidR="00A70FA4" w:rsidRPr="003D1E07">
        <w:instrText xml:space="preserve"> XE "substance</w:instrText>
      </w:r>
      <w:r w:rsidR="00062206" w:rsidRPr="003D1E07">
        <w:instrText>:duše</w:instrText>
      </w:r>
      <w:r w:rsidR="00A70FA4" w:rsidRPr="003D1E07">
        <w:instrText xml:space="preserve">" </w:instrText>
      </w:r>
      <w:r w:rsidR="00A70FA4" w:rsidRPr="003D1E07">
        <w:fldChar w:fldCharType="end"/>
      </w:r>
      <w:r w:rsidR="00BF23F5" w:rsidRPr="003D1E07">
        <w:t xml:space="preserve">, která je skrze </w:t>
      </w:r>
      <w:r w:rsidR="0070595C" w:rsidRPr="003D1E07">
        <w:t xml:space="preserve">původní </w:t>
      </w:r>
      <w:r w:rsidR="085304D8" w:rsidRPr="003D1E07">
        <w:rPr>
          <w:i/>
        </w:rPr>
        <w:t>coniunctio</w:t>
      </w:r>
      <w:r w:rsidR="085732F7" w:rsidRPr="003D1E07">
        <w:t xml:space="preserve"> a akt individualizovaného </w:t>
      </w:r>
      <w:r w:rsidR="085732F7" w:rsidRPr="003D1E07">
        <w:rPr>
          <w:i/>
        </w:rPr>
        <w:t>continuatio</w:t>
      </w:r>
      <w:r w:rsidR="085732F7" w:rsidRPr="003D1E07">
        <w:t xml:space="preserve"> </w:t>
      </w:r>
      <w:r w:rsidR="00223E86" w:rsidRPr="003D1E07">
        <w:t>spojena s univerzálním intelektem daným na kosmické úrovni</w:t>
      </w:r>
      <w:r w:rsidR="08A73ECD" w:rsidRPr="003D1E07">
        <w:t>. Intelekt-slunce</w:t>
      </w:r>
      <w:r w:rsidR="08884D7B" w:rsidRPr="003D1E07">
        <w:t xml:space="preserve"> </w:t>
      </w:r>
      <w:r w:rsidR="08A73ECD" w:rsidRPr="003D1E07">
        <w:t xml:space="preserve">skrze </w:t>
      </w:r>
      <w:r w:rsidR="08341550" w:rsidRPr="003D1E07">
        <w:t xml:space="preserve">iluminaci aktualizuje </w:t>
      </w:r>
      <w:r w:rsidR="0070595C" w:rsidRPr="003D1E07">
        <w:t>darovaný intelekt</w:t>
      </w:r>
      <w:r w:rsidR="08A73ECD" w:rsidRPr="003D1E07">
        <w:t xml:space="preserve"> jako modernistickou hypostázi třetího druhu danou v duši</w:t>
      </w:r>
      <w:r w:rsidR="00223E86" w:rsidRPr="003D1E07">
        <w:t xml:space="preserve">. Kolektou různých hypostází </w:t>
      </w:r>
      <w:r w:rsidR="008937AD" w:rsidRPr="003D1E07">
        <w:t xml:space="preserve">pak </w:t>
      </w:r>
      <w:r w:rsidR="00223E86" w:rsidRPr="003D1E07">
        <w:t>vznikn</w:t>
      </w:r>
      <w:r w:rsidR="008937AD" w:rsidRPr="003D1E07">
        <w:t>e moderní a postmoderní pojetí osoby složené</w:t>
      </w:r>
      <w:r w:rsidR="00223E86" w:rsidRPr="003D1E07">
        <w:t xml:space="preserve"> z různých nekompatibilních substancí</w:t>
      </w:r>
      <w:r w:rsidR="008937AD" w:rsidRPr="003D1E07">
        <w:t xml:space="preserve"> (</w:t>
      </w:r>
      <w:r w:rsidR="008937AD" w:rsidRPr="003D1E07">
        <w:rPr>
          <w:i/>
        </w:rPr>
        <w:t>in pluribus una</w:t>
      </w:r>
      <w:r w:rsidR="008937AD" w:rsidRPr="003D1E07">
        <w:t>)</w:t>
      </w:r>
      <w:r w:rsidR="00223E86" w:rsidRPr="003D1E07">
        <w:t xml:space="preserve">. </w:t>
      </w:r>
      <w:r w:rsidR="08884D7B" w:rsidRPr="003D1E07">
        <w:t xml:space="preserve">Redukci lidské duše na </w:t>
      </w:r>
      <w:r w:rsidR="08FD091B" w:rsidRPr="003D1E07">
        <w:t xml:space="preserve">pouhou </w:t>
      </w:r>
      <w:r w:rsidR="08884D7B" w:rsidRPr="003D1E07">
        <w:t xml:space="preserve">animální složku </w:t>
      </w:r>
      <w:r w:rsidR="08EF2C8B" w:rsidRPr="003D1E07">
        <w:t xml:space="preserve">odmítli všichni </w:t>
      </w:r>
      <w:r w:rsidR="00B80C8A" w:rsidRPr="003D1E07">
        <w:t xml:space="preserve">klasičtí </w:t>
      </w:r>
      <w:r w:rsidR="08EF2C8B" w:rsidRPr="003D1E07">
        <w:t>myslitelé</w:t>
      </w:r>
      <w:r w:rsidR="00495B09" w:rsidRPr="003D1E07">
        <w:t xml:space="preserve"> </w:t>
      </w:r>
      <w:r w:rsidR="08514E70" w:rsidRPr="003D1E07">
        <w:t>jako prohru kriticky uvažujícího rozumu</w:t>
      </w:r>
      <w:r w:rsidR="087057DB" w:rsidRPr="003D1E07">
        <w:t xml:space="preserve">, který přestal respektovat základní </w:t>
      </w:r>
      <w:r w:rsidR="08FD7BC5" w:rsidRPr="003D1E07">
        <w:t xml:space="preserve">danosti lidské </w:t>
      </w:r>
      <w:r w:rsidR="087057DB" w:rsidRPr="003D1E07">
        <w:t>moudrosti</w:t>
      </w:r>
      <w:r w:rsidR="08514E70" w:rsidRPr="003D1E07">
        <w:t xml:space="preserve">. </w:t>
      </w:r>
      <w:r w:rsidR="083E3B14" w:rsidRPr="003D1E07">
        <w:t>To j</w:t>
      </w:r>
      <w:r w:rsidR="08514E70" w:rsidRPr="003D1E07">
        <w:t>en současná epocha</w:t>
      </w:r>
      <w:r w:rsidR="00CD1D58" w:rsidRPr="003D1E07">
        <w:t xml:space="preserve"> nihilistické</w:t>
      </w:r>
      <w:r w:rsidR="08865B9E" w:rsidRPr="003D1E07">
        <w:t xml:space="preserve">ho myšlení </w:t>
      </w:r>
      <w:r w:rsidR="083E3B14" w:rsidRPr="003D1E07">
        <w:t xml:space="preserve">si může dovolit </w:t>
      </w:r>
      <w:r w:rsidR="08865B9E" w:rsidRPr="003D1E07">
        <w:t xml:space="preserve">po úplném zrušení metafyziky </w:t>
      </w:r>
      <w:r w:rsidR="083E3B14" w:rsidRPr="003D1E07">
        <w:t>popírat</w:t>
      </w:r>
      <w:r w:rsidR="00495B09" w:rsidRPr="003D1E07">
        <w:t xml:space="preserve"> specificitu myšlení v jeho nemateriální složce. </w:t>
      </w:r>
      <w:r w:rsidR="00BD1402" w:rsidRPr="003D1E07">
        <w:t xml:space="preserve">Dnešní </w:t>
      </w:r>
      <w:r w:rsidR="00BD1402" w:rsidRPr="003D1E07">
        <w:rPr>
          <w:i/>
        </w:rPr>
        <w:t>intellectus materialis</w:t>
      </w:r>
      <w:r w:rsidR="004E0CD3" w:rsidRPr="003D1E07">
        <w:t xml:space="preserve"> postmoderních </w:t>
      </w:r>
      <w:r w:rsidR="08DE18BB" w:rsidRPr="003D1E07">
        <w:t>alexandrovc</w:t>
      </w:r>
      <w:r w:rsidR="00BD1402" w:rsidRPr="003D1E07">
        <w:t xml:space="preserve">ů je </w:t>
      </w:r>
      <w:r w:rsidR="008E7B52" w:rsidRPr="003D1E07">
        <w:t xml:space="preserve">biologicky </w:t>
      </w:r>
      <w:r w:rsidR="00BD1402" w:rsidRPr="003D1E07">
        <w:t>stejný jako zvířat</w:t>
      </w:r>
      <w:r w:rsidR="004E0CD3" w:rsidRPr="003D1E07">
        <w:t>. Al</w:t>
      </w:r>
      <w:r w:rsidR="00BD1402" w:rsidRPr="003D1E07">
        <w:t xml:space="preserve">e člověk </w:t>
      </w:r>
      <w:r w:rsidR="082E2EC3" w:rsidRPr="003D1E07">
        <w:t xml:space="preserve">definovaný </w:t>
      </w:r>
      <w:r w:rsidR="08DF3505" w:rsidRPr="003D1E07">
        <w:t xml:space="preserve">v modu </w:t>
      </w:r>
      <w:r w:rsidR="08772CC4" w:rsidRPr="003D1E07">
        <w:t>matematického</w:t>
      </w:r>
      <w:r w:rsidR="08DF3505" w:rsidRPr="003D1E07">
        <w:t xml:space="preserve"> </w:t>
      </w:r>
      <w:r w:rsidR="08DF3505" w:rsidRPr="003D1E07">
        <w:rPr>
          <w:i/>
        </w:rPr>
        <w:t>computatio</w:t>
      </w:r>
      <w:r w:rsidR="08DF3505" w:rsidRPr="003D1E07">
        <w:t xml:space="preserve"> </w:t>
      </w:r>
      <w:r w:rsidR="00BD1402" w:rsidRPr="003D1E07">
        <w:t xml:space="preserve">má </w:t>
      </w:r>
      <w:r w:rsidR="088B0E37" w:rsidRPr="003D1E07">
        <w:t xml:space="preserve">na rozdíl od výpočetně méně schopného zvířete </w:t>
      </w:r>
      <w:r w:rsidR="00BD1402" w:rsidRPr="003D1E07">
        <w:t>složitější strukturu neuronů</w:t>
      </w:r>
      <w:r w:rsidR="008E7B52" w:rsidRPr="003D1E07">
        <w:t>,</w:t>
      </w:r>
      <w:r w:rsidR="00BD1402" w:rsidRPr="003D1E07">
        <w:t xml:space="preserve"> a možná i lepší model chemických neurotransmiterů. V tomto pojetí </w:t>
      </w:r>
      <w:r w:rsidR="00AA03C9" w:rsidRPr="003D1E07">
        <w:t>„</w:t>
      </w:r>
      <w:r w:rsidR="082B1FE5" w:rsidRPr="003D1E07">
        <w:t>jednoty</w:t>
      </w:r>
      <w:r w:rsidR="00AA03C9" w:rsidRPr="003D1E07">
        <w:t>“</w:t>
      </w:r>
      <w:r w:rsidR="00BD1402" w:rsidRPr="003D1E07">
        <w:t xml:space="preserve"> </w:t>
      </w:r>
      <w:r w:rsidR="009B0527" w:rsidRPr="003D1E07">
        <w:t>už specifické poznání člověka přestalo existovat a problé</w:t>
      </w:r>
      <w:r w:rsidR="00536228" w:rsidRPr="003D1E07">
        <w:t>m</w:t>
      </w:r>
      <w:r w:rsidR="009B0527" w:rsidRPr="003D1E07">
        <w:t xml:space="preserve"> </w:t>
      </w:r>
      <w:r w:rsidR="00536228" w:rsidRPr="003D1E07">
        <w:t>osoby se redukuje na j</w:t>
      </w:r>
      <w:r w:rsidR="009B0527" w:rsidRPr="003D1E07">
        <w:t>e</w:t>
      </w:r>
      <w:r w:rsidR="00536228" w:rsidRPr="003D1E07">
        <w:t>j</w:t>
      </w:r>
      <w:r w:rsidR="009B0527" w:rsidRPr="003D1E07">
        <w:t xml:space="preserve">í </w:t>
      </w:r>
      <w:r w:rsidR="00536228" w:rsidRPr="003D1E07">
        <w:t xml:space="preserve">kvantitativně vylepšené </w:t>
      </w:r>
      <w:r w:rsidR="009B0527" w:rsidRPr="003D1E07">
        <w:t>zvířecí charakteristiky</w:t>
      </w:r>
      <w:r w:rsidR="00D208E1" w:rsidRPr="003D1E07">
        <w:t xml:space="preserve"> typu </w:t>
      </w:r>
      <w:r w:rsidR="0073435F" w:rsidRPr="003D1E07">
        <w:t>autonomních modulárních jednotek mysli</w:t>
      </w:r>
      <w:r w:rsidR="009B0527" w:rsidRPr="003D1E07">
        <w:t>.</w:t>
      </w:r>
      <w:r w:rsidR="0073435F" w:rsidRPr="003D1E07">
        <w:rPr>
          <w:rStyle w:val="Znakapoznpodarou"/>
        </w:rPr>
        <w:footnoteReference w:id="251"/>
      </w:r>
      <w:r w:rsidR="009B0527" w:rsidRPr="003D1E07">
        <w:t xml:space="preserve"> </w:t>
      </w:r>
      <w:r w:rsidR="005B6543" w:rsidRPr="003D1E07">
        <w:t xml:space="preserve">Avicennova </w:t>
      </w:r>
      <w:r w:rsidR="0024416D" w:rsidRPr="003D1E07">
        <w:t>zvířec</w:t>
      </w:r>
      <w:r w:rsidR="082B1FE5" w:rsidRPr="003D1E07">
        <w:t xml:space="preserve">í </w:t>
      </w:r>
      <w:r w:rsidR="005B6543" w:rsidRPr="003D1E07">
        <w:rPr>
          <w:i/>
        </w:rPr>
        <w:t>vis aestimativa</w:t>
      </w:r>
      <w:r w:rsidR="005B6543" w:rsidRPr="003D1E07">
        <w:t xml:space="preserve"> se vrátila zpět a </w:t>
      </w:r>
      <w:r w:rsidR="0024416D" w:rsidRPr="003D1E07">
        <w:t xml:space="preserve">ve </w:t>
      </w:r>
      <w:r w:rsidR="005B6543" w:rsidRPr="003D1E07">
        <w:t>věk</w:t>
      </w:r>
      <w:r w:rsidR="00C3499A" w:rsidRPr="003D1E07">
        <w:t xml:space="preserve">u </w:t>
      </w:r>
      <w:r w:rsidR="00C3499A" w:rsidRPr="003D1E07">
        <w:lastRenderedPageBreak/>
        <w:t>metafyzického nihil</w:t>
      </w:r>
      <w:r w:rsidR="005B6543" w:rsidRPr="003D1E07">
        <w:t>i</w:t>
      </w:r>
      <w:r w:rsidR="00C3499A" w:rsidRPr="003D1E07">
        <w:t>s</w:t>
      </w:r>
      <w:r w:rsidR="005B6543" w:rsidRPr="003D1E07">
        <w:t xml:space="preserve">mu má objektivní a zcela zasloužený </w:t>
      </w:r>
      <w:r w:rsidR="00161A9A" w:rsidRPr="003D1E07">
        <w:t>úspěch</w:t>
      </w:r>
      <w:r w:rsidR="00744D03" w:rsidRPr="003D1E07">
        <w:t>. M</w:t>
      </w:r>
      <w:r w:rsidR="00161A9A" w:rsidRPr="003D1E07">
        <w:t xml:space="preserve">imo jiné i </w:t>
      </w:r>
      <w:r w:rsidR="005B6543" w:rsidRPr="003D1E07">
        <w:t>díky jejímu převleku do computerových konceptů umělé inte</w:t>
      </w:r>
      <w:r w:rsidR="00CD4796" w:rsidRPr="003D1E07">
        <w:t>li</w:t>
      </w:r>
      <w:r w:rsidR="005B6543" w:rsidRPr="003D1E07">
        <w:t>gence</w:t>
      </w:r>
      <w:r w:rsidR="00C3499A" w:rsidRPr="003D1E07">
        <w:t xml:space="preserve"> založené na </w:t>
      </w:r>
      <w:r w:rsidR="00850862" w:rsidRPr="003D1E07">
        <w:t xml:space="preserve">definici </w:t>
      </w:r>
      <w:r w:rsidR="00C3499A" w:rsidRPr="003D1E07">
        <w:t>člově</w:t>
      </w:r>
      <w:r w:rsidR="00850862" w:rsidRPr="003D1E07">
        <w:t>ka</w:t>
      </w:r>
      <w:r w:rsidR="00C3499A" w:rsidRPr="003D1E07">
        <w:t xml:space="preserve"> jako karte</w:t>
      </w:r>
      <w:r w:rsidR="00850862" w:rsidRPr="003D1E07">
        <w:t>z</w:t>
      </w:r>
      <w:r w:rsidR="08D85818" w:rsidRPr="003D1E07">
        <w:t xml:space="preserve">iánské </w:t>
      </w:r>
      <w:r w:rsidR="00C3499A" w:rsidRPr="003D1E07">
        <w:rPr>
          <w:i/>
        </w:rPr>
        <w:t>bête-machine</w:t>
      </w:r>
      <w:r w:rsidR="00C3499A" w:rsidRPr="003D1E07">
        <w:rPr>
          <w:rStyle w:val="st"/>
          <w:i/>
        </w:rPr>
        <w:fldChar w:fldCharType="begin"/>
      </w:r>
      <w:r w:rsidR="00C3499A" w:rsidRPr="003D1E07">
        <w:instrText xml:space="preserve"> XE "</w:instrText>
      </w:r>
      <w:r w:rsidR="00C3499A" w:rsidRPr="003D1E07">
        <w:rPr>
          <w:i/>
        </w:rPr>
        <w:instrText>b</w:instrText>
      </w:r>
      <w:r w:rsidR="00C3499A" w:rsidRPr="003D1E07">
        <w:rPr>
          <w:rStyle w:val="st"/>
          <w:i/>
        </w:rPr>
        <w:instrText>ête-machine</w:instrText>
      </w:r>
      <w:r w:rsidR="00C3499A" w:rsidRPr="003D1E07">
        <w:instrText xml:space="preserve">" </w:instrText>
      </w:r>
      <w:r w:rsidR="00C3499A" w:rsidRPr="003D1E07">
        <w:rPr>
          <w:rStyle w:val="st"/>
          <w:i/>
        </w:rPr>
        <w:fldChar w:fldCharType="end"/>
      </w:r>
      <w:r w:rsidR="00C3499A" w:rsidRPr="003D1E07">
        <w:t xml:space="preserve">. </w:t>
      </w:r>
      <w:r w:rsidR="082B1FE5" w:rsidRPr="003D1E07">
        <w:t>Ne</w:t>
      </w:r>
      <w:r w:rsidR="08830E54" w:rsidRPr="003D1E07">
        <w:t>materialitu či dokonce ne</w:t>
      </w:r>
      <w:r w:rsidR="082B1FE5" w:rsidRPr="003D1E07">
        <w:t xml:space="preserve">smrtelnost lidské duše brání filosofické a teologické argumenty všech </w:t>
      </w:r>
      <w:r w:rsidR="081604E7" w:rsidRPr="003D1E07">
        <w:t xml:space="preserve">metafyzických </w:t>
      </w:r>
      <w:r w:rsidR="082B1FE5" w:rsidRPr="003D1E07">
        <w:t>škol myšlení</w:t>
      </w:r>
      <w:r w:rsidR="081604E7" w:rsidRPr="003D1E07">
        <w:t xml:space="preserve"> Západu, až do jejich zániku v současné epoše myšlenkového nihilismu</w:t>
      </w:r>
      <w:r w:rsidR="082B1FE5" w:rsidRPr="003D1E07">
        <w:t xml:space="preserve">. </w:t>
      </w:r>
      <w:r w:rsidR="081604E7" w:rsidRPr="003D1E07">
        <w:t>I</w:t>
      </w:r>
      <w:r w:rsidR="082B1FE5" w:rsidRPr="003D1E07">
        <w:t xml:space="preserve">ntelektuální duše odlišuje člověka od zvířete, což </w:t>
      </w:r>
      <w:r w:rsidR="003E468D" w:rsidRPr="003D1E07">
        <w:t xml:space="preserve">předešlé </w:t>
      </w:r>
      <w:r w:rsidR="082B1FE5" w:rsidRPr="003D1E07">
        <w:t xml:space="preserve">generace vzdělanců považovaly za zásadní </w:t>
      </w:r>
      <w:r w:rsidR="08033619" w:rsidRPr="003D1E07">
        <w:t xml:space="preserve">a zcela samozřejmou </w:t>
      </w:r>
      <w:r w:rsidR="082B1FE5" w:rsidRPr="003D1E07">
        <w:t xml:space="preserve">věc. </w:t>
      </w:r>
      <w:r w:rsidR="009B0527" w:rsidRPr="003D1E07">
        <w:t xml:space="preserve">V době vlády klasického rozumu a vzdělanosti na konci falsafy </w:t>
      </w:r>
      <w:r w:rsidR="0877232C" w:rsidRPr="003D1E07">
        <w:t xml:space="preserve">naopak </w:t>
      </w:r>
      <w:r w:rsidR="009B0527" w:rsidRPr="003D1E07">
        <w:t>existoval problém ohledně priority</w:t>
      </w:r>
      <w:r w:rsidR="002F23C2" w:rsidRPr="003D1E07">
        <w:t xml:space="preserve"> intelektu</w:t>
      </w:r>
      <w:r w:rsidR="00303B22" w:rsidRPr="003D1E07">
        <w:t>ální složky duše, která</w:t>
      </w:r>
      <w:r w:rsidR="002F23C2" w:rsidRPr="003D1E07">
        <w:t xml:space="preserve"> je nemateriální. </w:t>
      </w:r>
      <w:r w:rsidR="00C80A0B" w:rsidRPr="003D1E07">
        <w:t xml:space="preserve">Avicenna a pozdější scholastická moderna </w:t>
      </w:r>
      <w:r w:rsidR="007C42D4" w:rsidRPr="003D1E07">
        <w:t xml:space="preserve">a </w:t>
      </w:r>
      <w:r w:rsidR="00F411A2" w:rsidRPr="003D1E07">
        <w:t xml:space="preserve">karteziánská </w:t>
      </w:r>
      <w:r w:rsidR="007C42D4" w:rsidRPr="003D1E07">
        <w:t xml:space="preserve">postmoderna </w:t>
      </w:r>
      <w:r w:rsidR="00C80A0B" w:rsidRPr="003D1E07">
        <w:t>tuto složku jednoduše oddě</w:t>
      </w:r>
      <w:r w:rsidR="007C42D4" w:rsidRPr="003D1E07">
        <w:t>lila</w:t>
      </w:r>
      <w:r w:rsidR="00C80A0B" w:rsidRPr="003D1E07">
        <w:t xml:space="preserve"> od tělesné existence. </w:t>
      </w:r>
      <w:r w:rsidR="00FF003A" w:rsidRPr="003D1E07">
        <w:t xml:space="preserve">Skupina aristotelských avicennistů ovlivněná školou </w:t>
      </w:r>
      <w:r w:rsidR="00FF003A" w:rsidRPr="003D1E07">
        <w:rPr>
          <w:i/>
        </w:rPr>
        <w:t>Nominales</w:t>
      </w:r>
      <w:r w:rsidR="00FF003A" w:rsidRPr="003D1E07">
        <w:t xml:space="preserve"> vyložila po příchodu </w:t>
      </w:r>
      <w:r w:rsidR="002E3B62" w:rsidRPr="003D1E07">
        <w:t>Averroes</w:t>
      </w:r>
      <w:r w:rsidR="00FF003A" w:rsidRPr="003D1E07">
        <w:t xml:space="preserve">ových spisů na Západ tuto část výkladu CMDA tak, že </w:t>
      </w:r>
      <w:r w:rsidR="0819277C" w:rsidRPr="003D1E07">
        <w:t>pluralit</w:t>
      </w:r>
      <w:r w:rsidR="00953A1F">
        <w:t>a</w:t>
      </w:r>
      <w:r w:rsidR="0819277C" w:rsidRPr="003D1E07">
        <w:t xml:space="preserve"> substanciálních forem</w:t>
      </w:r>
      <w:r w:rsidR="00C607CC" w:rsidRPr="003D1E07">
        <w:fldChar w:fldCharType="begin"/>
      </w:r>
      <w:r w:rsidR="00C607CC" w:rsidRPr="003D1E07">
        <w:instrText xml:space="preserve"> XE "</w:instrText>
      </w:r>
      <w:r w:rsidR="000A2302" w:rsidRPr="003D1E07">
        <w:instrText>osoba:</w:instrText>
      </w:r>
      <w:r w:rsidR="00C607CC" w:rsidRPr="003D1E07">
        <w:instrText>pluralita substanc</w:instrText>
      </w:r>
      <w:r w:rsidR="000A2302" w:rsidRPr="003D1E07">
        <w:instrText>í</w:instrText>
      </w:r>
      <w:r w:rsidR="00C607CC" w:rsidRPr="003D1E07">
        <w:instrText xml:space="preserve">" </w:instrText>
      </w:r>
      <w:r w:rsidR="00C607CC" w:rsidRPr="003D1E07">
        <w:fldChar w:fldCharType="end"/>
      </w:r>
      <w:r w:rsidR="0819277C" w:rsidRPr="003D1E07">
        <w:t xml:space="preserve"> (</w:t>
      </w:r>
      <w:r w:rsidR="0819277C" w:rsidRPr="003D1E07">
        <w:rPr>
          <w:i/>
          <w:szCs w:val="28"/>
        </w:rPr>
        <w:t>in pluribus una</w:t>
      </w:r>
      <w:r w:rsidR="08D41AAB" w:rsidRPr="003D1E07">
        <w:t xml:space="preserve">) </w:t>
      </w:r>
      <w:r w:rsidR="00953A1F">
        <w:t>nahradila entelechickou jednotu</w:t>
      </w:r>
      <w:r w:rsidR="0819277C" w:rsidRPr="003D1E07">
        <w:t xml:space="preserve"> (</w:t>
      </w:r>
      <w:r w:rsidR="0819277C" w:rsidRPr="003D1E07">
        <w:rPr>
          <w:i/>
          <w:szCs w:val="28"/>
        </w:rPr>
        <w:t>in omnibus</w:t>
      </w:r>
      <w:r w:rsidR="08D41AAB" w:rsidRPr="003D1E07">
        <w:t>)</w:t>
      </w:r>
      <w:r w:rsidR="00953A1F">
        <w:t xml:space="preserve">. Tak udělali </w:t>
      </w:r>
      <w:r w:rsidR="0819277C" w:rsidRPr="003D1E07">
        <w:t xml:space="preserve">z </w:t>
      </w:r>
      <w:r w:rsidR="08D41AAB" w:rsidRPr="003D1E07">
        <w:t xml:space="preserve">Komentátora </w:t>
      </w:r>
      <w:r w:rsidR="088761AB" w:rsidRPr="003D1E07">
        <w:t>averroistu</w:t>
      </w:r>
      <w:r w:rsidR="0819277C" w:rsidRPr="003D1E07">
        <w:t xml:space="preserve">. </w:t>
      </w:r>
      <w:r w:rsidR="00DC2EEA" w:rsidRPr="003D1E07">
        <w:t xml:space="preserve">Latinští avicennisté sofisticky vytrhli výroky o jednotném intelektu ve všech lidech z celkového kontextu polemik CMDA proti Themistiovi a Alexandrovi a spojili je dohromady. </w:t>
      </w:r>
      <w:r w:rsidR="08E870BD" w:rsidRPr="003D1E07">
        <w:t>D</w:t>
      </w:r>
      <w:r w:rsidR="087651E5" w:rsidRPr="003D1E07">
        <w:t>ruhý díl ukáže</w:t>
      </w:r>
      <w:r w:rsidR="084108AF" w:rsidRPr="003D1E07">
        <w:t xml:space="preserve">, </w:t>
      </w:r>
      <w:r w:rsidR="08C9026F" w:rsidRPr="003D1E07">
        <w:t xml:space="preserve">jak </w:t>
      </w:r>
      <w:r w:rsidR="084108AF" w:rsidRPr="003D1E07">
        <w:t xml:space="preserve">moderní avicennisté sofisticky vyložili pasáže zkoumající jednotu intelektu a </w:t>
      </w:r>
      <w:r w:rsidR="08C9026F" w:rsidRPr="003D1E07">
        <w:t xml:space="preserve">proč </w:t>
      </w:r>
      <w:r w:rsidR="084108AF" w:rsidRPr="003D1E07">
        <w:t xml:space="preserve">pominuli skutečné závěry </w:t>
      </w:r>
      <w:r w:rsidR="08A75C9F" w:rsidRPr="003D1E07">
        <w:t xml:space="preserve">CMDA </w:t>
      </w:r>
      <w:r w:rsidR="08BF32EE" w:rsidRPr="003D1E07">
        <w:t>vytvářející novou jednotu metafyziky</w:t>
      </w:r>
      <w:r w:rsidR="084108AF" w:rsidRPr="003D1E07">
        <w:t xml:space="preserve">. </w:t>
      </w:r>
      <w:r w:rsidR="00D65159" w:rsidRPr="003D1E07">
        <w:t xml:space="preserve">Druhý averroismus udělal z </w:t>
      </w:r>
      <w:r w:rsidR="002E3B62" w:rsidRPr="003D1E07">
        <w:t>Averroes</w:t>
      </w:r>
      <w:r w:rsidR="00D65159" w:rsidRPr="003D1E07">
        <w:t xml:space="preserve">ova konceptu </w:t>
      </w:r>
      <w:r w:rsidR="00D65159" w:rsidRPr="003D1E07">
        <w:rPr>
          <w:i/>
        </w:rPr>
        <w:t>intellectus possibilis</w:t>
      </w:r>
      <w:r w:rsidR="00D65159" w:rsidRPr="003D1E07">
        <w:t xml:space="preserve"> jsoucno třetího druhu</w:t>
      </w:r>
      <w:r w:rsidR="00CD155B" w:rsidRPr="003D1E07">
        <w:t xml:space="preserve"> na způsob Avicenny</w:t>
      </w:r>
      <w:r w:rsidR="00D65159" w:rsidRPr="003D1E07">
        <w:t xml:space="preserve">. Pasivní a současně aktivní část nemateriálního </w:t>
      </w:r>
      <w:r w:rsidR="00D65159" w:rsidRPr="003D1E07">
        <w:rPr>
          <w:i/>
        </w:rPr>
        <w:t>intellectus possibilis</w:t>
      </w:r>
      <w:r w:rsidR="00D65159" w:rsidRPr="003D1E07">
        <w:t xml:space="preserve"> prý funguje kontinuálně a univerzálně pouze tak, že je numericky jedna pro všechny lidi</w:t>
      </w:r>
      <w:r w:rsidR="00BD1155" w:rsidRPr="003D1E07">
        <w:t xml:space="preserve"> a spojuje se s jednotlivou osobou v modu </w:t>
      </w:r>
      <w:r w:rsidR="00BD1155" w:rsidRPr="003D1E07">
        <w:rPr>
          <w:i/>
        </w:rPr>
        <w:t>copulatio</w:t>
      </w:r>
      <w:r w:rsidR="00C6174F" w:rsidRPr="003D1E07">
        <w:rPr>
          <w:i/>
        </w:rPr>
        <w:fldChar w:fldCharType="begin"/>
      </w:r>
      <w:r w:rsidR="00C6174F" w:rsidRPr="003D1E07">
        <w:instrText xml:space="preserve"> XE "</w:instrText>
      </w:r>
      <w:r w:rsidR="00C6174F" w:rsidRPr="003D1E07">
        <w:rPr>
          <w:i/>
        </w:rPr>
        <w:instrText>copulatio</w:instrText>
      </w:r>
      <w:r w:rsidR="00C6174F" w:rsidRPr="003D1E07">
        <w:instrText xml:space="preserve">" </w:instrText>
      </w:r>
      <w:r w:rsidR="00C6174F" w:rsidRPr="003D1E07">
        <w:rPr>
          <w:i/>
        </w:rPr>
        <w:fldChar w:fldCharType="end"/>
      </w:r>
      <w:r w:rsidR="00D65159" w:rsidRPr="003D1E07">
        <w:t xml:space="preserve">. Tímto specifickým napojením </w:t>
      </w:r>
      <w:r w:rsidR="00766436" w:rsidRPr="003D1E07">
        <w:t xml:space="preserve">receptivního intelektu </w:t>
      </w:r>
      <w:r w:rsidR="00D65159" w:rsidRPr="003D1E07">
        <w:t xml:space="preserve">na oddělený a numericky jednotný </w:t>
      </w:r>
      <w:r w:rsidR="00D65159" w:rsidRPr="003D1E07">
        <w:rPr>
          <w:i/>
        </w:rPr>
        <w:t>intellectus agens</w:t>
      </w:r>
      <w:r w:rsidR="00DF1F0F" w:rsidRPr="003D1E07">
        <w:rPr>
          <w:i/>
        </w:rPr>
        <w:fldChar w:fldCharType="begin"/>
      </w:r>
      <w:r w:rsidR="00DF1F0F" w:rsidRPr="003D1E07">
        <w:instrText xml:space="preserve"> XE "</w:instrText>
      </w:r>
      <w:r w:rsidR="00DF1F0F" w:rsidRPr="003D1E07">
        <w:rPr>
          <w:i/>
        </w:rPr>
        <w:instrText>intellectus agens</w:instrText>
      </w:r>
      <w:r w:rsidR="00DF1F0F" w:rsidRPr="003D1E07">
        <w:instrText>:</w:instrText>
      </w:r>
      <w:r w:rsidR="00C607CC" w:rsidRPr="003D1E07">
        <w:instrText>numericky jeden</w:instrText>
      </w:r>
      <w:r w:rsidR="00DF1F0F" w:rsidRPr="003D1E07">
        <w:instrText xml:space="preserve">" </w:instrText>
      </w:r>
      <w:r w:rsidR="00DF1F0F" w:rsidRPr="003D1E07">
        <w:rPr>
          <w:i/>
        </w:rPr>
        <w:fldChar w:fldCharType="end"/>
      </w:r>
      <w:r w:rsidR="00D65159" w:rsidRPr="003D1E07">
        <w:rPr>
          <w:i/>
        </w:rPr>
        <w:t xml:space="preserve"> </w:t>
      </w:r>
      <w:r w:rsidR="00766436" w:rsidRPr="003D1E07">
        <w:t>je zajištěno poznání jednotných univerzálních obsahů</w:t>
      </w:r>
      <w:r w:rsidR="0087017A">
        <w:t xml:space="preserve"> v mysli každého člověka.</w:t>
      </w:r>
    </w:p>
    <w:p w14:paraId="3D1762C0" w14:textId="48D1AECD" w:rsidR="08E6244B" w:rsidRPr="003D1E07" w:rsidRDefault="00A4796A" w:rsidP="0087017A">
      <w:pPr>
        <w:ind w:firstLine="397"/>
      </w:pPr>
      <w:r w:rsidRPr="003D1E07">
        <w:t xml:space="preserve">Robert </w:t>
      </w:r>
      <w:r w:rsidR="00131C99" w:rsidRPr="003D1E07">
        <w:t>Kilwardby</w:t>
      </w:r>
      <w:r w:rsidR="00C607CC" w:rsidRPr="003D1E07">
        <w:fldChar w:fldCharType="begin"/>
      </w:r>
      <w:r w:rsidR="00C607CC" w:rsidRPr="003D1E07">
        <w:instrText xml:space="preserve"> XE "Kilwardby, R." </w:instrText>
      </w:r>
      <w:r w:rsidR="00C607CC" w:rsidRPr="003D1E07">
        <w:fldChar w:fldCharType="end"/>
      </w:r>
      <w:r w:rsidR="00131C99" w:rsidRPr="003D1E07">
        <w:t xml:space="preserve"> </w:t>
      </w:r>
      <w:r w:rsidR="08855B56" w:rsidRPr="003D1E07">
        <w:t>v dopise Petrovi z Conflansu bránil</w:t>
      </w:r>
      <w:r w:rsidR="001D194C" w:rsidRPr="003D1E07">
        <w:t xml:space="preserve"> </w:t>
      </w:r>
      <w:r w:rsidR="004905D1" w:rsidRPr="003D1E07">
        <w:t xml:space="preserve">pluralitu </w:t>
      </w:r>
      <w:r w:rsidR="001D194C" w:rsidRPr="003D1E07">
        <w:t>substanciálních forem v člověku</w:t>
      </w:r>
      <w:r w:rsidR="08A734C7" w:rsidRPr="003D1E07">
        <w:t xml:space="preserve"> a m</w:t>
      </w:r>
      <w:r w:rsidR="08855B56" w:rsidRPr="003D1E07">
        <w:t xml:space="preserve">luvil o </w:t>
      </w:r>
      <w:r w:rsidR="001D194C" w:rsidRPr="003D1E07">
        <w:t>spor</w:t>
      </w:r>
      <w:r w:rsidR="08855B56" w:rsidRPr="003D1E07">
        <w:t>u</w:t>
      </w:r>
      <w:r w:rsidR="001D194C" w:rsidRPr="003D1E07">
        <w:t xml:space="preserve"> </w:t>
      </w:r>
      <w:r w:rsidR="08855B56" w:rsidRPr="003D1E07">
        <w:t>v rámci jednoty forem (</w:t>
      </w:r>
      <w:r w:rsidR="00131C99" w:rsidRPr="003D1E07">
        <w:rPr>
          <w:i/>
        </w:rPr>
        <w:t>positio de unitate formarum</w:t>
      </w:r>
      <w:r w:rsidR="08A734C7" w:rsidRPr="003D1E07">
        <w:t>). Dopis psaný p</w:t>
      </w:r>
      <w:r w:rsidR="080B7A89" w:rsidRPr="003D1E07">
        <w:t xml:space="preserve">roti </w:t>
      </w:r>
      <w:r w:rsidR="08C12411" w:rsidRPr="003D1E07">
        <w:t xml:space="preserve">tehdejším </w:t>
      </w:r>
      <w:r w:rsidR="080B7A89" w:rsidRPr="003D1E07">
        <w:t xml:space="preserve">tomistům </w:t>
      </w:r>
      <w:r w:rsidR="00B24F18" w:rsidRPr="003D1E07">
        <w:t>pronesl tuto zajímavou větu</w:t>
      </w:r>
      <w:r w:rsidR="00910D18" w:rsidRPr="003D1E07">
        <w:t xml:space="preserve">: „Co </w:t>
      </w:r>
      <w:r w:rsidR="003A6AAF" w:rsidRPr="003D1E07">
        <w:t xml:space="preserve">myslí </w:t>
      </w:r>
      <w:r w:rsidR="00910D18" w:rsidRPr="003D1E07">
        <w:t>termínem 'teze o jednotě forem v člověku', tomu opravdu nerozumím.“</w:t>
      </w:r>
      <w:r w:rsidR="00134EB1" w:rsidRPr="003D1E07">
        <w:t> </w:t>
      </w:r>
      <w:r w:rsidR="00910D18" w:rsidRPr="003D1E07">
        <w:rPr>
          <w:rStyle w:val="Znakapoznpodarou"/>
        </w:rPr>
        <w:footnoteReference w:id="252"/>
      </w:r>
      <w:r w:rsidR="004B5021" w:rsidRPr="003D1E07">
        <w:t xml:space="preserve"> </w:t>
      </w:r>
      <w:r w:rsidR="00CD155B" w:rsidRPr="003D1E07">
        <w:t>Arcibiskup z Canterbury mluví jménem celé moderny a postmoderny, která nepochopila učení CMDA</w:t>
      </w:r>
      <w:r w:rsidR="080B7A89" w:rsidRPr="003D1E07">
        <w:t xml:space="preserve"> a z osoby</w:t>
      </w:r>
      <w:r w:rsidR="08A03203" w:rsidRPr="003D1E07">
        <w:t xml:space="preserve"> udělala schizofrenickou sbírku různých nesourodých substancí</w:t>
      </w:r>
      <w:r w:rsidR="00CD155B" w:rsidRPr="003D1E07">
        <w:t>.</w:t>
      </w:r>
      <w:r w:rsidR="083568C9" w:rsidRPr="003D1E07">
        <w:t xml:space="preserve"> Hlavní oxfordský modernista už nemohl rozumět ani semiaverroistům </w:t>
      </w:r>
      <w:r w:rsidR="08EF1224" w:rsidRPr="003D1E07">
        <w:t xml:space="preserve">jako Tomáš </w:t>
      </w:r>
      <w:r w:rsidR="083568C9" w:rsidRPr="003D1E07">
        <w:t>Akvinsk</w:t>
      </w:r>
      <w:r w:rsidR="08EF1224" w:rsidRPr="003D1E07">
        <w:t>ý</w:t>
      </w:r>
      <w:r w:rsidR="086B1C1A" w:rsidRPr="003D1E07">
        <w:t>, kteř</w:t>
      </w:r>
      <w:r w:rsidR="083568C9" w:rsidRPr="003D1E07">
        <w:t xml:space="preserve">í neměli v osobě pluralitu substancí, ale </w:t>
      </w:r>
      <w:r w:rsidR="08A37183" w:rsidRPr="003D1E07">
        <w:t>„</w:t>
      </w:r>
      <w:r w:rsidR="081D0228" w:rsidRPr="003D1E07">
        <w:t>jen</w:t>
      </w:r>
      <w:r w:rsidR="08A37183" w:rsidRPr="003D1E07">
        <w:t>“</w:t>
      </w:r>
      <w:r w:rsidR="081D0228" w:rsidRPr="003D1E07">
        <w:t xml:space="preserve"> </w:t>
      </w:r>
      <w:r w:rsidR="081D0228" w:rsidRPr="003D1E07">
        <w:lastRenderedPageBreak/>
        <w:t xml:space="preserve">hypostázovaných </w:t>
      </w:r>
      <w:r w:rsidR="083568C9" w:rsidRPr="003D1E07">
        <w:t xml:space="preserve">forem. </w:t>
      </w:r>
      <w:r w:rsidR="00BB1F19" w:rsidRPr="003D1E07">
        <w:t xml:space="preserve">To pochopitelně neušlo </w:t>
      </w:r>
      <w:r w:rsidR="00C549D1" w:rsidRPr="003D1E07">
        <w:t xml:space="preserve">skutečným </w:t>
      </w:r>
      <w:r w:rsidR="00BB1F19" w:rsidRPr="003D1E07">
        <w:t xml:space="preserve">aristotelikům a znalcům </w:t>
      </w:r>
      <w:r w:rsidR="002E3B62" w:rsidRPr="003D1E07">
        <w:t>Averroes</w:t>
      </w:r>
      <w:r w:rsidR="00BB1F19" w:rsidRPr="003D1E07">
        <w:t xml:space="preserve">e, kteří školu tehdejších </w:t>
      </w:r>
      <w:r w:rsidR="00BB1F19" w:rsidRPr="003D1E07">
        <w:rPr>
          <w:i/>
        </w:rPr>
        <w:t>Modernorum</w:t>
      </w:r>
      <w:r w:rsidR="00BB1F19" w:rsidRPr="003D1E07">
        <w:t xml:space="preserve"> považovali za filosofické nedouky a posměšně je pojmenovali</w:t>
      </w:r>
      <w:r w:rsidR="08BE1994" w:rsidRPr="003D1E07">
        <w:t xml:space="preserve"> jako </w:t>
      </w:r>
      <w:r w:rsidR="087E5B6E" w:rsidRPr="003D1E07">
        <w:t>sofistické L</w:t>
      </w:r>
      <w:r w:rsidR="0032238E" w:rsidRPr="003D1E07">
        <w:t>atin</w:t>
      </w:r>
      <w:r w:rsidR="087E5B6E" w:rsidRPr="003D1E07">
        <w:t>íky</w:t>
      </w:r>
      <w:r w:rsidR="00BB1F19" w:rsidRPr="003D1E07">
        <w:t xml:space="preserve"> (</w:t>
      </w:r>
      <w:r w:rsidR="0032238E" w:rsidRPr="003D1E07">
        <w:rPr>
          <w:i/>
        </w:rPr>
        <w:t>sophistae Latini</w:t>
      </w:r>
      <w:r w:rsidR="08BE1994" w:rsidRPr="003D1E07">
        <w:t xml:space="preserve">) či </w:t>
      </w:r>
      <w:r w:rsidR="00113009" w:rsidRPr="003D1E07">
        <w:t>učené L</w:t>
      </w:r>
      <w:r w:rsidR="00BB1F19" w:rsidRPr="003D1E07">
        <w:t>atin</w:t>
      </w:r>
      <w:r w:rsidR="00113009" w:rsidRPr="003D1E07">
        <w:t>íky</w:t>
      </w:r>
      <w:r w:rsidR="00BB1F19" w:rsidRPr="003D1E07">
        <w:t xml:space="preserve"> (</w:t>
      </w:r>
      <w:r w:rsidR="00BB1F19" w:rsidRPr="003D1E07">
        <w:rPr>
          <w:i/>
        </w:rPr>
        <w:t>doctores Latin</w:t>
      </w:r>
      <w:r w:rsidR="08AE208B" w:rsidRPr="003D1E07">
        <w:rPr>
          <w:i/>
        </w:rPr>
        <w:t>i</w:t>
      </w:r>
      <w:r w:rsidR="00A169B9" w:rsidRPr="003D1E07">
        <w:rPr>
          <w:i/>
        </w:rPr>
        <w:fldChar w:fldCharType="begin"/>
      </w:r>
      <w:r w:rsidR="00A169B9" w:rsidRPr="003D1E07">
        <w:instrText xml:space="preserve"> XE "</w:instrText>
      </w:r>
      <w:r w:rsidR="00734D97" w:rsidRPr="003D1E07">
        <w:instrText>druhý averroismus</w:instrText>
      </w:r>
      <w:r w:rsidR="00A169B9" w:rsidRPr="003D1E07">
        <w:instrText xml:space="preserve">" </w:instrText>
      </w:r>
      <w:r w:rsidR="00A169B9" w:rsidRPr="003D1E07">
        <w:rPr>
          <w:i/>
        </w:rPr>
        <w:fldChar w:fldCharType="end"/>
      </w:r>
      <w:r w:rsidR="00BB1F19" w:rsidRPr="003D1E07">
        <w:t>).</w:t>
      </w:r>
      <w:r w:rsidR="00777093" w:rsidRPr="003D1E07">
        <w:t xml:space="preserve"> </w:t>
      </w:r>
      <w:r w:rsidR="00021F07" w:rsidRPr="003D1E07">
        <w:t>Ti</w:t>
      </w:r>
      <w:r w:rsidR="006F4EE8" w:rsidRPr="003D1E07">
        <w:t xml:space="preserve">to učenci poznamenaní avicennismem </w:t>
      </w:r>
      <w:r w:rsidR="00905CF2" w:rsidRPr="003D1E07">
        <w:t xml:space="preserve">naopak </w:t>
      </w:r>
      <w:r w:rsidR="00021F07" w:rsidRPr="003D1E07">
        <w:t xml:space="preserve">nazvali skutečné znalce </w:t>
      </w:r>
      <w:r w:rsidR="002E3B62" w:rsidRPr="003D1E07">
        <w:t>Averroes</w:t>
      </w:r>
      <w:r w:rsidR="00021F07" w:rsidRPr="003D1E07">
        <w:t>e pejorativní</w:t>
      </w:r>
      <w:r w:rsidR="005E047A" w:rsidRPr="003D1E07">
        <w:t>m</w:t>
      </w:r>
      <w:r w:rsidR="00021F07" w:rsidRPr="003D1E07">
        <w:t xml:space="preserve"> názvem „averroisté“ (</w:t>
      </w:r>
      <w:r w:rsidR="00021F07" w:rsidRPr="003D1E07">
        <w:rPr>
          <w:i/>
        </w:rPr>
        <w:t>Averroistae</w:t>
      </w:r>
      <w:r w:rsidR="00021F07" w:rsidRPr="003D1E07">
        <w:rPr>
          <w:i/>
        </w:rPr>
        <w:fldChar w:fldCharType="begin"/>
      </w:r>
      <w:r w:rsidR="00021F07" w:rsidRPr="003D1E07">
        <w:instrText xml:space="preserve"> XE "první averroismus" </w:instrText>
      </w:r>
      <w:r w:rsidR="00021F07" w:rsidRPr="003D1E07">
        <w:rPr>
          <w:i/>
        </w:rPr>
        <w:fldChar w:fldCharType="end"/>
      </w:r>
      <w:r w:rsidR="00021F07" w:rsidRPr="003D1E07">
        <w:t>). S</w:t>
      </w:r>
      <w:r w:rsidR="08252F5D" w:rsidRPr="003D1E07">
        <w:t>por o to, kdo a jak je či není averroista</w:t>
      </w:r>
      <w:r w:rsidR="08A37183" w:rsidRPr="003D1E07">
        <w:t>, řeší druhý díl hermeneutického výkladu objektivity</w:t>
      </w:r>
      <w:r w:rsidR="00021F07" w:rsidRPr="003D1E07">
        <w:t xml:space="preserve">. </w:t>
      </w:r>
      <w:r w:rsidR="002E3B62" w:rsidRPr="003D1E07">
        <w:t>Averroes</w:t>
      </w:r>
      <w:r w:rsidR="00F5577E" w:rsidRPr="003D1E07">
        <w:t xml:space="preserve"> směřuje hledání jednoty poznání a existence jinam než </w:t>
      </w:r>
      <w:r w:rsidR="00874074" w:rsidRPr="003D1E07">
        <w:t>neoplatonsk</w:t>
      </w:r>
      <w:r w:rsidR="00671DCC" w:rsidRPr="003D1E07">
        <w:t>á škola a Avicenna, kteří založili modernu</w:t>
      </w:r>
      <w:r w:rsidR="00F5577E" w:rsidRPr="003D1E07">
        <w:t>. Intelekt je nemateriální, nemůže být substancí a je individualizovaný skrze duši jako formu indiv</w:t>
      </w:r>
      <w:r w:rsidR="00A67BC0" w:rsidRPr="003D1E07">
        <w:t>id</w:t>
      </w:r>
      <w:r w:rsidR="00F5577E" w:rsidRPr="003D1E07">
        <w:t>uálního těla</w:t>
      </w:r>
      <w:r w:rsidR="0811465F" w:rsidRPr="003D1E07">
        <w:t xml:space="preserve"> v existenciálním modu </w:t>
      </w:r>
      <w:r w:rsidR="0811465F" w:rsidRPr="003D1E07">
        <w:rPr>
          <w:i/>
        </w:rPr>
        <w:t>in omnibus</w:t>
      </w:r>
      <w:r w:rsidR="00086EE2" w:rsidRPr="003D1E07">
        <w:t xml:space="preserve">. Tím vzniká </w:t>
      </w:r>
      <w:r w:rsidR="00707BA7" w:rsidRPr="003D1E07">
        <w:t xml:space="preserve">fenomenologický </w:t>
      </w:r>
      <w:r w:rsidR="00086EE2" w:rsidRPr="003D1E07">
        <w:t>koncept pozná</w:t>
      </w:r>
      <w:r w:rsidR="08D35D97" w:rsidRPr="003D1E07">
        <w:t xml:space="preserve">ní </w:t>
      </w:r>
      <w:r w:rsidR="00707BA7" w:rsidRPr="003D1E07">
        <w:t xml:space="preserve">jako </w:t>
      </w:r>
      <w:r w:rsidR="00086EE2" w:rsidRPr="003D1E07">
        <w:rPr>
          <w:i/>
        </w:rPr>
        <w:t>continuatio</w:t>
      </w:r>
      <w:r w:rsidR="08A24178" w:rsidRPr="003D1E07">
        <w:t xml:space="preserve"> intelektu. </w:t>
      </w:r>
      <w:r w:rsidR="00086EE2" w:rsidRPr="003D1E07">
        <w:t xml:space="preserve">CMDA </w:t>
      </w:r>
      <w:r w:rsidR="08A24178" w:rsidRPr="003D1E07">
        <w:t xml:space="preserve">ukazuje </w:t>
      </w:r>
      <w:r w:rsidR="00086EE2" w:rsidRPr="003D1E07">
        <w:t xml:space="preserve">způsob, jak poznává </w:t>
      </w:r>
      <w:r w:rsidR="08A24178" w:rsidRPr="003D1E07">
        <w:t xml:space="preserve">aktuálně existující </w:t>
      </w:r>
      <w:r w:rsidR="00086EE2" w:rsidRPr="003D1E07">
        <w:t xml:space="preserve">osoba jako </w:t>
      </w:r>
      <w:r w:rsidR="00C644EA" w:rsidRPr="003D1E07">
        <w:t xml:space="preserve">aristotelsky nedělitelná </w:t>
      </w:r>
      <w:r w:rsidR="00086EE2" w:rsidRPr="003D1E07">
        <w:t>první substance</w:t>
      </w:r>
      <w:r w:rsidR="00C644EA" w:rsidRPr="003D1E07">
        <w:fldChar w:fldCharType="begin"/>
      </w:r>
      <w:r w:rsidR="00C644EA" w:rsidRPr="003D1E07">
        <w:instrText xml:space="preserve"> XE "osoba:atomární substance" </w:instrText>
      </w:r>
      <w:r w:rsidR="00C644EA" w:rsidRPr="003D1E07">
        <w:fldChar w:fldCharType="end"/>
      </w:r>
      <w:r w:rsidR="00086EE2" w:rsidRPr="003D1E07">
        <w:t>.</w:t>
      </w:r>
      <w:r w:rsidR="00F5577E" w:rsidRPr="003D1E07">
        <w:t xml:space="preserve"> Ale na druhé straně je nemateriální výkon </w:t>
      </w:r>
      <w:r w:rsidR="007270A0">
        <w:t xml:space="preserve">myšlení </w:t>
      </w:r>
      <w:r w:rsidR="00F5577E" w:rsidRPr="003D1E07">
        <w:t xml:space="preserve">nějakým způsobem všem lidem společný. </w:t>
      </w:r>
      <w:r w:rsidR="080F6706" w:rsidRPr="003D1E07">
        <w:t>Jednota materiálního intelektu není vzata ve smyslu substance</w:t>
      </w:r>
      <w:r w:rsidR="080F6706" w:rsidRPr="003D1E07">
        <w:rPr>
          <w:rStyle w:val="Zkladntext184"/>
          <w:rFonts w:ascii="Calibri" w:eastAsia="Times" w:hAnsi="Calibri" w:cs="Times New Roman"/>
          <w:color w:val="auto"/>
          <w:spacing w:val="0"/>
          <w:sz w:val="24"/>
          <w:lang w:val="cs-CZ"/>
        </w:rPr>
        <w:fldChar w:fldCharType="begin"/>
      </w:r>
      <w:r w:rsidR="080F6706" w:rsidRPr="003D1E07">
        <w:instrText xml:space="preserve"> XE "</w:instrText>
      </w:r>
      <w:r w:rsidR="080F6706" w:rsidRPr="003D1E07">
        <w:rPr>
          <w:rStyle w:val="FontStyle129"/>
          <w:rFonts w:ascii="Calibri" w:hAnsi="Calibri"/>
          <w:sz w:val="24"/>
        </w:rPr>
        <w:instrText>intelekt:substance</w:instrText>
      </w:r>
      <w:r w:rsidR="080F6706" w:rsidRPr="003D1E07">
        <w:instrText xml:space="preserve">" </w:instrText>
      </w:r>
      <w:r w:rsidR="080F6706" w:rsidRPr="003D1E07">
        <w:rPr>
          <w:rStyle w:val="Zkladntext184"/>
          <w:rFonts w:ascii="Calibri" w:eastAsia="Times" w:hAnsi="Calibri" w:cs="Times New Roman"/>
          <w:color w:val="auto"/>
          <w:spacing w:val="0"/>
          <w:sz w:val="24"/>
          <w:lang w:val="cs-CZ"/>
        </w:rPr>
        <w:fldChar w:fldCharType="end"/>
      </w:r>
      <w:r w:rsidR="080F6706" w:rsidRPr="003D1E07">
        <w:t>, jak se to domnívají moderní a postmoderní komentátoři. Averroes ale připouští, že duše je nějak vším ve smyslu své univerzální receptivity (</w:t>
      </w:r>
      <w:r w:rsidR="080F6706" w:rsidRPr="003D1E07">
        <w:rPr>
          <w:i/>
        </w:rPr>
        <w:t>anima quodammodo est omnia</w:t>
      </w:r>
      <w:r w:rsidR="080F6706" w:rsidRPr="003D1E07">
        <w:t xml:space="preserve">, </w:t>
      </w:r>
      <w:r w:rsidR="080F6706" w:rsidRPr="003D1E07">
        <w:rPr>
          <w:i/>
        </w:rPr>
        <w:t>De anima</w:t>
      </w:r>
      <w:r w:rsidR="080F6706" w:rsidRPr="003D1E07">
        <w:t xml:space="preserve"> 431b20‒21</w:t>
      </w:r>
      <w:r w:rsidR="080F6706" w:rsidRPr="003D1E07">
        <w:fldChar w:fldCharType="begin"/>
      </w:r>
      <w:r w:rsidR="080F6706" w:rsidRPr="003D1E07">
        <w:instrText xml:space="preserve"> XE "Aristoteles:</w:instrText>
      </w:r>
      <w:r w:rsidR="080F6706" w:rsidRPr="003D1E07">
        <w:rPr>
          <w:i/>
        </w:rPr>
        <w:instrText>De anima</w:instrText>
      </w:r>
      <w:r w:rsidR="080F6706" w:rsidRPr="003D1E07">
        <w:instrText xml:space="preserve"> 431b20‒21" </w:instrText>
      </w:r>
      <w:r w:rsidR="080F6706" w:rsidRPr="003D1E07">
        <w:fldChar w:fldCharType="end"/>
      </w:r>
      <w:r w:rsidR="080F6706" w:rsidRPr="003D1E07">
        <w:t xml:space="preserve">). Definice rozumné duše musí být všem lidem společná natolik, aby zdůvodnila univerzálně jednotné poznatky. Ale v momentu, kdy jsou inteligibilia produkovány, jde o striktně individuální výkon. </w:t>
      </w:r>
      <w:r w:rsidR="084108AF" w:rsidRPr="003D1E07">
        <w:t xml:space="preserve">Jednota </w:t>
      </w:r>
      <w:r w:rsidR="08D35D97" w:rsidRPr="003D1E07">
        <w:t xml:space="preserve">intelektu v rámci univerzální </w:t>
      </w:r>
      <w:r w:rsidR="00F214C5" w:rsidRPr="003D1E07">
        <w:t>species</w:t>
      </w:r>
      <w:r w:rsidR="084108AF" w:rsidRPr="003D1E07">
        <w:t xml:space="preserve"> a lidstva </w:t>
      </w:r>
      <w:r w:rsidR="0880027C" w:rsidRPr="003D1E07">
        <w:t xml:space="preserve">je </w:t>
      </w:r>
      <w:r w:rsidR="00E967AC" w:rsidRPr="003D1E07">
        <w:t>až sekundární problém (</w:t>
      </w:r>
      <w:r w:rsidR="00E967AC" w:rsidRPr="003D1E07">
        <w:rPr>
          <w:i/>
        </w:rPr>
        <w:t>quaestio secunda</w:t>
      </w:r>
      <w:r w:rsidR="00E967AC" w:rsidRPr="003D1E07">
        <w:t xml:space="preserve">). </w:t>
      </w:r>
      <w:r w:rsidR="002E3B62" w:rsidRPr="003D1E07">
        <w:t>Averroes</w:t>
      </w:r>
      <w:r w:rsidR="00E967AC" w:rsidRPr="003D1E07">
        <w:t xml:space="preserve"> </w:t>
      </w:r>
      <w:r w:rsidR="084C7B86" w:rsidRPr="003D1E07">
        <w:t>vychází z hyparchického post</w:t>
      </w:r>
      <w:r w:rsidR="08087E1D" w:rsidRPr="003D1E07">
        <w:t>a</w:t>
      </w:r>
      <w:r w:rsidR="084C7B86" w:rsidRPr="003D1E07">
        <w:t>vení první sub</w:t>
      </w:r>
      <w:r w:rsidR="087D76A3" w:rsidRPr="003D1E07">
        <w:t>s</w:t>
      </w:r>
      <w:r w:rsidR="00E967AC" w:rsidRPr="003D1E07">
        <w:t>tance</w:t>
      </w:r>
      <w:r w:rsidR="00D37CA7" w:rsidRPr="003D1E07">
        <w:t>.</w:t>
      </w:r>
    </w:p>
    <w:p w14:paraId="45342B21" w14:textId="77777777" w:rsidR="006C7FA0" w:rsidRPr="003D1E07" w:rsidRDefault="006C7FA0" w:rsidP="006C7FA0">
      <w:pPr>
        <w:pStyle w:val="Citace"/>
        <w:rPr>
          <w:noProof/>
          <w:lang w:val="cs-CZ"/>
        </w:rPr>
      </w:pPr>
      <w:r w:rsidRPr="003D1E07">
        <w:rPr>
          <w:noProof/>
          <w:lang w:val="cs-CZ"/>
        </w:rPr>
        <w:t>„Druhá otázka zní, zda je materiální intelekt jeden ve všech lidech (</w:t>
      </w:r>
      <w:r w:rsidRPr="003D1E07">
        <w:rPr>
          <w:rStyle w:val="TextpoznpodarouChar"/>
          <w:i/>
          <w:lang w:val="cs-CZ"/>
        </w:rPr>
        <w:t>unus in numero in omnibus individuis hominum</w:t>
      </w:r>
      <w:r w:rsidRPr="003D1E07">
        <w:rPr>
          <w:noProof/>
          <w:lang w:val="cs-CZ"/>
        </w:rPr>
        <w:t>), ani nezrozený, ani ne</w:t>
      </w:r>
      <w:r w:rsidR="000B4811" w:rsidRPr="003D1E07">
        <w:rPr>
          <w:noProof/>
          <w:lang w:val="cs-CZ"/>
        </w:rPr>
        <w:t>porušitelný. A zda poznatky, kte</w:t>
      </w:r>
      <w:r w:rsidRPr="003D1E07">
        <w:rPr>
          <w:noProof/>
          <w:lang w:val="cs-CZ"/>
        </w:rPr>
        <w:t>ré v něm aktuálně existují</w:t>
      </w:r>
      <w:r w:rsidR="08AF0FB6" w:rsidRPr="003D1E07">
        <w:rPr>
          <w:noProof/>
          <w:lang w:val="cs-CZ"/>
        </w:rPr>
        <w:t xml:space="preserve"> a jsou spekulativním intelektem</w:t>
      </w:r>
      <w:r w:rsidR="08B86157" w:rsidRPr="003D1E07">
        <w:rPr>
          <w:noProof/>
          <w:lang w:val="cs-CZ"/>
        </w:rPr>
        <w:t xml:space="preserve">, </w:t>
      </w:r>
      <w:r w:rsidR="000B4811" w:rsidRPr="003D1E07">
        <w:rPr>
          <w:noProof/>
          <w:lang w:val="cs-CZ"/>
        </w:rPr>
        <w:t>jsou odlišné v různých lidech a zda jsou dané na</w:t>
      </w:r>
      <w:r w:rsidR="08B86157" w:rsidRPr="003D1E07">
        <w:rPr>
          <w:noProof/>
          <w:lang w:val="cs-CZ"/>
        </w:rPr>
        <w:t>rozením nebo porušitelné skrze na</w:t>
      </w:r>
      <w:r w:rsidR="000B4811" w:rsidRPr="003D1E07">
        <w:rPr>
          <w:noProof/>
          <w:lang w:val="cs-CZ"/>
        </w:rPr>
        <w:t>rození a porušitelnost jednotlivců. Tato otázka je velmi obtížná a obsahuje maximální množství nejasností (</w:t>
      </w:r>
      <w:r w:rsidR="000B4811" w:rsidRPr="003D1E07">
        <w:rPr>
          <w:rStyle w:val="TextpoznpodarouChar"/>
          <w:i/>
          <w:lang w:val="cs-CZ"/>
        </w:rPr>
        <w:t>questio valde est difficilis, et maximam habet ambiguitatem</w:t>
      </w:r>
      <w:r w:rsidR="000B4811" w:rsidRPr="003D1E07">
        <w:rPr>
          <w:noProof/>
          <w:lang w:val="cs-CZ"/>
        </w:rPr>
        <w:t xml:space="preserve">).“ </w:t>
      </w:r>
      <w:r w:rsidRPr="003D1E07">
        <w:rPr>
          <w:rStyle w:val="Znakapoznpodarou"/>
          <w:noProof/>
          <w:lang w:val="cs-CZ"/>
        </w:rPr>
        <w:footnoteReference w:id="253"/>
      </w:r>
    </w:p>
    <w:p w14:paraId="7D67777D" w14:textId="38B98605" w:rsidR="00A32519" w:rsidRPr="003D1E07" w:rsidRDefault="084D106E" w:rsidP="084D106E">
      <w:r w:rsidRPr="003D1E07">
        <w:t>C</w:t>
      </w:r>
      <w:r w:rsidR="00D37CA7" w:rsidRPr="003D1E07">
        <w:t xml:space="preserve">itát jasně mluví o jednotném </w:t>
      </w:r>
      <w:r w:rsidR="088675DD" w:rsidRPr="003D1E07">
        <w:t xml:space="preserve">materiálním </w:t>
      </w:r>
      <w:r w:rsidR="00D37CA7" w:rsidRPr="003D1E07">
        <w:t>intelektu společného všem lidem (</w:t>
      </w:r>
      <w:r w:rsidR="00D37CA7" w:rsidRPr="003D1E07">
        <w:rPr>
          <w:i/>
        </w:rPr>
        <w:t>intellectus materialis est unus in numero in omnibus individuis hominum</w:t>
      </w:r>
      <w:r w:rsidR="00D37CA7" w:rsidRPr="003D1E07">
        <w:t>)</w:t>
      </w:r>
      <w:r w:rsidR="00752AC7" w:rsidRPr="003D1E07">
        <w:t>. T</w:t>
      </w:r>
      <w:r w:rsidR="088675DD" w:rsidRPr="003D1E07">
        <w:t xml:space="preserve">ento intelekt </w:t>
      </w:r>
      <w:r w:rsidR="00D37CA7" w:rsidRPr="003D1E07">
        <w:t>má všechny základní znaky nemateriálního intelektu (</w:t>
      </w:r>
      <w:r w:rsidR="00D37CA7" w:rsidRPr="003D1E07">
        <w:rPr>
          <w:i/>
        </w:rPr>
        <w:t>non generabilis neque corruptibilis</w:t>
      </w:r>
      <w:r w:rsidR="00D37CA7" w:rsidRPr="003D1E07">
        <w:t xml:space="preserve">). Ale hned další věta dodává, že tento jednotný intelekt v momentu svého výkonu, tj. při produkci aktuálních </w:t>
      </w:r>
      <w:r w:rsidR="00D37CA7" w:rsidRPr="003D1E07">
        <w:lastRenderedPageBreak/>
        <w:t>inteligibilních obsahů (</w:t>
      </w:r>
      <w:r w:rsidR="00D37CA7" w:rsidRPr="003D1E07">
        <w:rPr>
          <w:i/>
        </w:rPr>
        <w:t>intellecta existentia in eo in actu</w:t>
      </w:r>
      <w:r w:rsidR="00D37CA7" w:rsidRPr="003D1E07">
        <w:t xml:space="preserve">), se stává skutečným </w:t>
      </w:r>
      <w:r w:rsidR="00D37CA7" w:rsidRPr="003D1E07">
        <w:rPr>
          <w:i/>
        </w:rPr>
        <w:t>intellectus  speculativus</w:t>
      </w:r>
      <w:r w:rsidR="00D37CA7" w:rsidRPr="003D1E07">
        <w:t xml:space="preserve">. V tomto případě je </w:t>
      </w:r>
      <w:r w:rsidR="004B4F2A" w:rsidRPr="003D1E07">
        <w:t xml:space="preserve">intelekt </w:t>
      </w:r>
      <w:r w:rsidR="00D37CA7" w:rsidRPr="003D1E07">
        <w:t>zcela individualizovaný podle osob (</w:t>
      </w:r>
      <w:r w:rsidR="00D37CA7" w:rsidRPr="003D1E07">
        <w:rPr>
          <w:i/>
        </w:rPr>
        <w:t>numeratus per numerationem individuorum hominum</w:t>
      </w:r>
      <w:r w:rsidR="00D37CA7" w:rsidRPr="003D1E07">
        <w:t>) a musí být ve svém výkonu spojen s aktuální</w:t>
      </w:r>
      <w:r w:rsidR="00E54570" w:rsidRPr="003D1E07">
        <w:t>m</w:t>
      </w:r>
      <w:r w:rsidR="00D37CA7" w:rsidRPr="003D1E07">
        <w:t xml:space="preserve"> aktem </w:t>
      </w:r>
      <w:r w:rsidR="00F63462" w:rsidRPr="003D1E07">
        <w:t xml:space="preserve">pomíjivé </w:t>
      </w:r>
      <w:r w:rsidR="00D37CA7" w:rsidRPr="003D1E07">
        <w:t>existence (</w:t>
      </w:r>
      <w:r w:rsidR="00D37CA7" w:rsidRPr="003D1E07">
        <w:rPr>
          <w:i/>
        </w:rPr>
        <w:t>generabilis et corruptibilis per generationem et corruptionem individuorum</w:t>
      </w:r>
      <w:r w:rsidR="00D37CA7" w:rsidRPr="003D1E07">
        <w:t xml:space="preserve">). Toto spojení obou složek intelektu považuje </w:t>
      </w:r>
      <w:r w:rsidR="002E3B62" w:rsidRPr="003D1E07">
        <w:t>Averroes</w:t>
      </w:r>
      <w:r w:rsidR="00D37CA7" w:rsidRPr="003D1E07">
        <w:t xml:space="preserve"> za velmi obtížnou otázku, která v sobě obsahuje mnoho nejasností. </w:t>
      </w:r>
      <w:r w:rsidR="087D76A3" w:rsidRPr="003D1E07">
        <w:t xml:space="preserve">Další </w:t>
      </w:r>
      <w:r w:rsidR="08A24178" w:rsidRPr="003D1E07">
        <w:t xml:space="preserve">výklad </w:t>
      </w:r>
      <w:r w:rsidR="08F90807" w:rsidRPr="003D1E07">
        <w:t>objektivity a celý spor o averroismus</w:t>
      </w:r>
      <w:r w:rsidR="087D76A3" w:rsidRPr="003D1E07">
        <w:t xml:space="preserve"> </w:t>
      </w:r>
      <w:r w:rsidR="0865440D" w:rsidRPr="003D1E07">
        <w:t>přesvědčivě dokazují</w:t>
      </w:r>
      <w:r w:rsidR="087D76A3" w:rsidRPr="003D1E07">
        <w:t xml:space="preserve"> jeho slova</w:t>
      </w:r>
      <w:r w:rsidR="0865440D" w:rsidRPr="003D1E07">
        <w:t xml:space="preserve">. </w:t>
      </w:r>
      <w:r w:rsidR="08232D9B" w:rsidRPr="003D1E07">
        <w:t xml:space="preserve">Text </w:t>
      </w:r>
      <w:r w:rsidR="0850062D" w:rsidRPr="003D1E07">
        <w:t xml:space="preserve">CMDA </w:t>
      </w:r>
      <w:r w:rsidR="08232D9B" w:rsidRPr="003D1E07">
        <w:t xml:space="preserve">rozlišuje mezi univerzální </w:t>
      </w:r>
      <w:r w:rsidR="002D312C" w:rsidRPr="003D1E07">
        <w:t xml:space="preserve">specifickou </w:t>
      </w:r>
      <w:r w:rsidR="005131E9" w:rsidRPr="003D1E07">
        <w:t>schopností nema</w:t>
      </w:r>
      <w:r w:rsidR="08232D9B" w:rsidRPr="003D1E07">
        <w:t>teriálního intelektu produkovat</w:t>
      </w:r>
      <w:r w:rsidR="005131E9" w:rsidRPr="003D1E07">
        <w:t xml:space="preserve"> stejné obsahy myšlení pro všechny lidi a </w:t>
      </w:r>
      <w:r w:rsidR="08232D9B" w:rsidRPr="003D1E07">
        <w:t xml:space="preserve">mezi aktuálním </w:t>
      </w:r>
      <w:r w:rsidR="08F90807" w:rsidRPr="003D1E07">
        <w:t xml:space="preserve">výkonem </w:t>
      </w:r>
      <w:r w:rsidR="005131E9" w:rsidRPr="003D1E07">
        <w:t>tohoto intelektu daného ve striktně individ</w:t>
      </w:r>
      <w:r w:rsidR="08E864E4" w:rsidRPr="003D1E07">
        <w:t>u</w:t>
      </w:r>
      <w:r w:rsidR="005131E9" w:rsidRPr="003D1E07">
        <w:t xml:space="preserve">álním </w:t>
      </w:r>
      <w:r w:rsidR="005131E9" w:rsidRPr="003D1E07">
        <w:rPr>
          <w:i/>
        </w:rPr>
        <w:t>actus essendi</w:t>
      </w:r>
      <w:r w:rsidR="000A2302" w:rsidRPr="003D1E07">
        <w:rPr>
          <w:i/>
        </w:rPr>
        <w:fldChar w:fldCharType="begin"/>
      </w:r>
      <w:r w:rsidR="000A2302" w:rsidRPr="003D1E07">
        <w:instrText xml:space="preserve"> XE "</w:instrText>
      </w:r>
      <w:r w:rsidR="000A2302" w:rsidRPr="003D1E07">
        <w:rPr>
          <w:i/>
        </w:rPr>
        <w:instrText>actus essendi</w:instrText>
      </w:r>
      <w:r w:rsidR="000A2302" w:rsidRPr="003D1E07">
        <w:instrText xml:space="preserve">" </w:instrText>
      </w:r>
      <w:r w:rsidR="000A2302" w:rsidRPr="003D1E07">
        <w:rPr>
          <w:i/>
        </w:rPr>
        <w:fldChar w:fldCharType="end"/>
      </w:r>
      <w:r w:rsidR="005131E9" w:rsidRPr="003D1E07">
        <w:t xml:space="preserve"> jednotlivého člověka. </w:t>
      </w:r>
      <w:r w:rsidR="00501487" w:rsidRPr="003D1E07">
        <w:t xml:space="preserve">Opět je ve hře zásadní rozdíl mezi fenomenologicky definovanou kontinuací intelektu v existující osobě a </w:t>
      </w:r>
      <w:r w:rsidR="08E864E4" w:rsidRPr="003D1E07">
        <w:t>mezi abstraktní definicí</w:t>
      </w:r>
      <w:r w:rsidR="00501487" w:rsidRPr="003D1E07">
        <w:t xml:space="preserve"> intelektu dané</w:t>
      </w:r>
      <w:r w:rsidR="08E864E4" w:rsidRPr="003D1E07">
        <w:t>ho</w:t>
      </w:r>
      <w:r w:rsidR="00501487" w:rsidRPr="003D1E07">
        <w:t xml:space="preserve"> </w:t>
      </w:r>
      <w:r w:rsidR="08E864E4" w:rsidRPr="003D1E07">
        <w:t xml:space="preserve">v </w:t>
      </w:r>
      <w:r w:rsidR="00501487" w:rsidRPr="003D1E07">
        <w:t xml:space="preserve">lidstvu jako </w:t>
      </w:r>
      <w:r w:rsidR="083756D8" w:rsidRPr="003D1E07">
        <w:t xml:space="preserve">univerzálním </w:t>
      </w:r>
      <w:r w:rsidR="00501487" w:rsidRPr="003D1E07">
        <w:t xml:space="preserve">celku. </w:t>
      </w:r>
      <w:r w:rsidR="083756D8" w:rsidRPr="003D1E07">
        <w:t>Vraťme se nejprve k původní argumentaci ve falsafě</w:t>
      </w:r>
      <w:r w:rsidR="08695BA2" w:rsidRPr="003D1E07">
        <w:t>, kdy Komentátor vystoupil proti tehdejším modernistům</w:t>
      </w:r>
      <w:r w:rsidR="083756D8" w:rsidRPr="003D1E07">
        <w:t xml:space="preserve">. </w:t>
      </w:r>
      <w:r w:rsidR="08F9388D" w:rsidRPr="003D1E07">
        <w:t xml:space="preserve">Alfarabiovo pojetí rozumné lidské přirozenosti je třeba </w:t>
      </w:r>
      <w:r w:rsidR="083756D8" w:rsidRPr="003D1E07">
        <w:t>řádně zdůvodnit a musí být posta</w:t>
      </w:r>
      <w:r w:rsidR="08F9388D" w:rsidRPr="003D1E07">
        <w:t xml:space="preserve">veno proti Avicennovu a Algazelovu mylnému pojetí přirozenosti dané skrze iluminaci a skrze společný </w:t>
      </w:r>
      <w:r w:rsidR="08F9388D" w:rsidRPr="003D1E07">
        <w:rPr>
          <w:i/>
        </w:rPr>
        <w:t>intellectus adeptus</w:t>
      </w:r>
      <w:r w:rsidR="08F9388D" w:rsidRPr="003D1E07">
        <w:t xml:space="preserve"> (kap. 2.1.1). Humanismus musí stát na existenci reálné osoby a </w:t>
      </w:r>
      <w:r w:rsidR="08C74001" w:rsidRPr="003D1E07">
        <w:t xml:space="preserve">nikoliv na pozici </w:t>
      </w:r>
      <w:r w:rsidR="08F9388D" w:rsidRPr="003D1E07">
        <w:t>neexistujícího moderního individua</w:t>
      </w:r>
      <w:r w:rsidR="08C74001" w:rsidRPr="003D1E07">
        <w:t>.</w:t>
      </w:r>
      <w:r w:rsidR="08F9388D" w:rsidRPr="003D1E07">
        <w:t xml:space="preserve"> </w:t>
      </w:r>
      <w:r w:rsidR="00A32519" w:rsidRPr="003D1E07">
        <w:t xml:space="preserve">Další místo </w:t>
      </w:r>
      <w:r w:rsidR="082648C3" w:rsidRPr="003D1E07">
        <w:t xml:space="preserve">hojně </w:t>
      </w:r>
      <w:r w:rsidR="00A32519" w:rsidRPr="003D1E07">
        <w:t xml:space="preserve">využívané pro </w:t>
      </w:r>
      <w:r w:rsidR="0835415C" w:rsidRPr="003D1E07">
        <w:t>averroistický výklad numericky jednotného intelektu</w:t>
      </w:r>
      <w:r w:rsidR="001A75E1" w:rsidRPr="003D1E07">
        <w:rPr>
          <w:i/>
          <w:szCs w:val="28"/>
        </w:rPr>
        <w:fldChar w:fldCharType="begin"/>
      </w:r>
      <w:r w:rsidR="001A75E1" w:rsidRPr="003D1E07">
        <w:instrText xml:space="preserve"> XE "intelekt:</w:instrText>
      </w:r>
      <w:r w:rsidR="00766593" w:rsidRPr="003D1E07">
        <w:instrText>numericky jed</w:instrText>
      </w:r>
      <w:r w:rsidR="001A75E1" w:rsidRPr="003D1E07">
        <w:instrText>n</w:instrText>
      </w:r>
      <w:r w:rsidR="00766593" w:rsidRPr="003D1E07">
        <w:instrText>otný</w:instrText>
      </w:r>
      <w:r w:rsidR="001A75E1" w:rsidRPr="003D1E07">
        <w:instrText xml:space="preserve">" </w:instrText>
      </w:r>
      <w:r w:rsidR="001A75E1" w:rsidRPr="003D1E07">
        <w:rPr>
          <w:i/>
          <w:szCs w:val="28"/>
        </w:rPr>
        <w:fldChar w:fldCharType="end"/>
      </w:r>
      <w:r w:rsidR="0835415C" w:rsidRPr="003D1E07">
        <w:t xml:space="preserve"> navazuje</w:t>
      </w:r>
      <w:r w:rsidR="00A6540D" w:rsidRPr="003D1E07">
        <w:t xml:space="preserve"> na předešlé tvrzení a na</w:t>
      </w:r>
      <w:r w:rsidR="00A32519" w:rsidRPr="003D1E07">
        <w:t>jdeme jej o pár stránek dále.</w:t>
      </w:r>
    </w:p>
    <w:p w14:paraId="055FE2D6" w14:textId="3661E140" w:rsidR="006A07A8" w:rsidRPr="003D1E07" w:rsidRDefault="006A07A8" w:rsidP="006A07A8">
      <w:pPr>
        <w:pStyle w:val="Citace"/>
        <w:rPr>
          <w:noProof/>
          <w:lang w:val="cs-CZ"/>
        </w:rPr>
      </w:pPr>
      <w:r w:rsidRPr="003D1E07">
        <w:rPr>
          <w:noProof/>
          <w:lang w:val="cs-CZ"/>
        </w:rPr>
        <w:t>„Na základě této definice jsme tvrdili, že materiální intelekt je jeden pro všechny lidi (</w:t>
      </w:r>
      <w:r w:rsidRPr="003D1E07">
        <w:rPr>
          <w:i/>
          <w:szCs w:val="28"/>
          <w:lang w:val="cs-CZ"/>
        </w:rPr>
        <w:t>intellectus materialis est unicus omnibus hominibus</w:t>
      </w:r>
      <w:r w:rsidRPr="003D1E07">
        <w:rPr>
          <w:noProof/>
          <w:lang w:val="cs-CZ"/>
        </w:rPr>
        <w:t>) a stejná argumentace tvrdila, že lidský rod je věčný (</w:t>
      </w:r>
      <w:r w:rsidR="00F214C5" w:rsidRPr="003D1E07">
        <w:rPr>
          <w:lang w:val="cs-CZ"/>
        </w:rPr>
        <w:t>species</w:t>
      </w:r>
      <w:r w:rsidRPr="003D1E07">
        <w:rPr>
          <w:i/>
          <w:lang w:val="cs-CZ"/>
        </w:rPr>
        <w:t xml:space="preserve"> humana est </w:t>
      </w:r>
      <w:r w:rsidR="00C82CCF" w:rsidRPr="00C82CCF">
        <w:rPr>
          <w:i/>
          <w:lang w:val="cs-CZ"/>
        </w:rPr>
        <w:t>a</w:t>
      </w:r>
      <w:r w:rsidRPr="003D1E07">
        <w:rPr>
          <w:i/>
          <w:lang w:val="cs-CZ"/>
        </w:rPr>
        <w:t>eterna</w:t>
      </w:r>
      <w:r w:rsidRPr="003D1E07">
        <w:rPr>
          <w:noProof/>
          <w:lang w:val="cs-CZ"/>
        </w:rPr>
        <w:t xml:space="preserve">), jak jsme vysvětlili i na jiných místech. </w:t>
      </w:r>
      <w:r w:rsidR="00324768" w:rsidRPr="003D1E07">
        <w:rPr>
          <w:noProof/>
          <w:lang w:val="cs-CZ"/>
        </w:rPr>
        <w:t>Materiální inte</w:t>
      </w:r>
      <w:r w:rsidRPr="003D1E07">
        <w:rPr>
          <w:noProof/>
          <w:lang w:val="cs-CZ"/>
        </w:rPr>
        <w:t>l</w:t>
      </w:r>
      <w:r w:rsidR="00324768" w:rsidRPr="003D1E07">
        <w:rPr>
          <w:noProof/>
          <w:lang w:val="cs-CZ"/>
        </w:rPr>
        <w:t>e</w:t>
      </w:r>
      <w:r w:rsidRPr="003D1E07">
        <w:rPr>
          <w:noProof/>
          <w:lang w:val="cs-CZ"/>
        </w:rPr>
        <w:t xml:space="preserve">kt </w:t>
      </w:r>
      <w:r w:rsidR="00324768" w:rsidRPr="003D1E07">
        <w:rPr>
          <w:noProof/>
          <w:lang w:val="cs-CZ"/>
        </w:rPr>
        <w:t xml:space="preserve">musí obsahovat přirozené principy </w:t>
      </w:r>
      <w:r w:rsidRPr="003D1E07">
        <w:rPr>
          <w:noProof/>
          <w:lang w:val="cs-CZ"/>
        </w:rPr>
        <w:t>(</w:t>
      </w:r>
      <w:r w:rsidRPr="003D1E07">
        <w:rPr>
          <w:i/>
          <w:lang w:val="cs-CZ"/>
        </w:rPr>
        <w:t>non sit denudatus a principiis naturalibus</w:t>
      </w:r>
      <w:r w:rsidRPr="003D1E07">
        <w:rPr>
          <w:noProof/>
          <w:lang w:val="cs-CZ"/>
        </w:rPr>
        <w:t xml:space="preserve">) </w:t>
      </w:r>
      <w:r w:rsidR="00324768" w:rsidRPr="003D1E07">
        <w:rPr>
          <w:noProof/>
          <w:lang w:val="cs-CZ"/>
        </w:rPr>
        <w:t xml:space="preserve">společné celému lidskému druhu </w:t>
      </w:r>
      <w:r w:rsidRPr="003D1E07">
        <w:rPr>
          <w:noProof/>
          <w:lang w:val="cs-CZ"/>
        </w:rPr>
        <w:t>(</w:t>
      </w:r>
      <w:r w:rsidRPr="003D1E07">
        <w:rPr>
          <w:i/>
          <w:lang w:val="cs-CZ"/>
        </w:rPr>
        <w:t>communibus toti speciei humane</w:t>
      </w:r>
      <w:r w:rsidRPr="003D1E07">
        <w:rPr>
          <w:noProof/>
          <w:lang w:val="cs-CZ"/>
        </w:rPr>
        <w:t xml:space="preserve">), </w:t>
      </w:r>
      <w:r w:rsidR="009841F3">
        <w:rPr>
          <w:noProof/>
          <w:lang w:val="cs-CZ"/>
        </w:rPr>
        <w:t xml:space="preserve">tedy </w:t>
      </w:r>
      <w:r w:rsidR="002A6F68" w:rsidRPr="003D1E07">
        <w:rPr>
          <w:noProof/>
          <w:lang w:val="cs-CZ"/>
        </w:rPr>
        <w:t>první prin</w:t>
      </w:r>
      <w:r w:rsidR="00324768" w:rsidRPr="003D1E07">
        <w:rPr>
          <w:noProof/>
          <w:lang w:val="cs-CZ"/>
        </w:rPr>
        <w:t>c</w:t>
      </w:r>
      <w:r w:rsidR="002A6F68" w:rsidRPr="003D1E07">
        <w:rPr>
          <w:noProof/>
          <w:lang w:val="cs-CZ"/>
        </w:rPr>
        <w:t>i</w:t>
      </w:r>
      <w:r w:rsidR="00324768" w:rsidRPr="003D1E07">
        <w:rPr>
          <w:noProof/>
          <w:lang w:val="cs-CZ"/>
        </w:rPr>
        <w:t>py poznání a jedinečné koncepty společné všem lidem. Tyto poznatky jsou totiž jednotné (</w:t>
      </w:r>
      <w:r w:rsidR="00324768" w:rsidRPr="003D1E07">
        <w:rPr>
          <w:i/>
          <w:lang w:val="cs-CZ"/>
        </w:rPr>
        <w:t>intellecta sunt unica</w:t>
      </w:r>
      <w:r w:rsidR="00324768" w:rsidRPr="003D1E07">
        <w:rPr>
          <w:noProof/>
          <w:lang w:val="cs-CZ"/>
        </w:rPr>
        <w:t xml:space="preserve">) z hlediska individuálního příjemce </w:t>
      </w:r>
      <w:r w:rsidRPr="003D1E07">
        <w:rPr>
          <w:noProof/>
          <w:lang w:val="cs-CZ"/>
        </w:rPr>
        <w:t>(</w:t>
      </w:r>
      <w:r w:rsidRPr="003D1E07">
        <w:rPr>
          <w:i/>
          <w:lang w:val="cs-CZ"/>
        </w:rPr>
        <w:t>secundum recipiens</w:t>
      </w:r>
      <w:r w:rsidRPr="003D1E07">
        <w:rPr>
          <w:noProof/>
          <w:lang w:val="cs-CZ"/>
        </w:rPr>
        <w:t xml:space="preserve">) </w:t>
      </w:r>
      <w:r w:rsidR="00324768" w:rsidRPr="003D1E07">
        <w:rPr>
          <w:noProof/>
          <w:lang w:val="cs-CZ"/>
        </w:rPr>
        <w:t xml:space="preserve">a rozdílné z hlediska </w:t>
      </w:r>
      <w:r w:rsidR="08C94D7C" w:rsidRPr="003D1E07">
        <w:rPr>
          <w:noProof/>
          <w:lang w:val="cs-CZ"/>
        </w:rPr>
        <w:t xml:space="preserve">přijaté </w:t>
      </w:r>
      <w:r w:rsidR="00324768" w:rsidRPr="003D1E07">
        <w:rPr>
          <w:noProof/>
          <w:lang w:val="cs-CZ"/>
        </w:rPr>
        <w:t xml:space="preserve">intence </w:t>
      </w:r>
      <w:r w:rsidRPr="003D1E07">
        <w:rPr>
          <w:noProof/>
          <w:lang w:val="cs-CZ"/>
        </w:rPr>
        <w:t>(</w:t>
      </w:r>
      <w:r w:rsidR="00324768" w:rsidRPr="003D1E07">
        <w:rPr>
          <w:i/>
          <w:noProof/>
          <w:lang w:val="cs-CZ"/>
        </w:rPr>
        <w:t>multa</w:t>
      </w:r>
      <w:r w:rsidR="00324768" w:rsidRPr="003D1E07">
        <w:rPr>
          <w:noProof/>
          <w:lang w:val="cs-CZ"/>
        </w:rPr>
        <w:t xml:space="preserve"> </w:t>
      </w:r>
      <w:r w:rsidRPr="003D1E07">
        <w:rPr>
          <w:i/>
          <w:lang w:val="cs-CZ"/>
        </w:rPr>
        <w:t>secundum intentionem receptam</w:t>
      </w:r>
      <w:r w:rsidRPr="003D1E07">
        <w:rPr>
          <w:noProof/>
          <w:lang w:val="cs-CZ"/>
        </w:rPr>
        <w:t>).“ </w:t>
      </w:r>
      <w:r w:rsidRPr="003D1E07">
        <w:rPr>
          <w:rStyle w:val="Znakapoznpodarou"/>
          <w:noProof/>
          <w:lang w:val="cs-CZ"/>
        </w:rPr>
        <w:footnoteReference w:id="254"/>
      </w:r>
    </w:p>
    <w:p w14:paraId="5AA41950" w14:textId="77777777" w:rsidR="006A44F2" w:rsidRDefault="00A6540D" w:rsidP="00A6540D">
      <w:r w:rsidRPr="003D1E07">
        <w:t>První věta u</w:t>
      </w:r>
      <w:r w:rsidR="00852646" w:rsidRPr="003D1E07">
        <w:t xml:space="preserve">pozorňuje na dva principy, které </w:t>
      </w:r>
      <w:r w:rsidR="002E3B62" w:rsidRPr="003D1E07">
        <w:t>Averroes</w:t>
      </w:r>
      <w:r w:rsidR="00F836CA" w:rsidRPr="003D1E07">
        <w:t xml:space="preserve"> </w:t>
      </w:r>
      <w:r w:rsidR="00852646" w:rsidRPr="003D1E07">
        <w:t>zdůraznil předtím</w:t>
      </w:r>
      <w:r w:rsidRPr="003D1E07">
        <w:t xml:space="preserve"> ohledně nemateriality intelektu a </w:t>
      </w:r>
      <w:r w:rsidR="00246BCC" w:rsidRPr="003D1E07">
        <w:t xml:space="preserve">univerzální </w:t>
      </w:r>
      <w:r w:rsidRPr="003D1E07">
        <w:t xml:space="preserve">jednoty intelektuálních obsahů. </w:t>
      </w:r>
      <w:r w:rsidR="00A8611F" w:rsidRPr="003D1E07">
        <w:t>J</w:t>
      </w:r>
      <w:r w:rsidR="00852646" w:rsidRPr="003D1E07">
        <w:t xml:space="preserve">ednota materiálního </w:t>
      </w:r>
      <w:r w:rsidR="00852646" w:rsidRPr="003D1E07">
        <w:lastRenderedPageBreak/>
        <w:t>intelektu pro všechny lidi (</w:t>
      </w:r>
      <w:r w:rsidR="00852646" w:rsidRPr="003D1E07">
        <w:rPr>
          <w:i/>
          <w:szCs w:val="28"/>
        </w:rPr>
        <w:t>intellectus materialis est unicus omnibus hominibus</w:t>
      </w:r>
      <w:r w:rsidR="00852646" w:rsidRPr="003D1E07">
        <w:t xml:space="preserve">) </w:t>
      </w:r>
      <w:r w:rsidRPr="003D1E07">
        <w:t>je na úrovni abstrak</w:t>
      </w:r>
      <w:r w:rsidR="00852646" w:rsidRPr="003D1E07">
        <w:t xml:space="preserve">ce spojena s trváním lidstva jako </w:t>
      </w:r>
      <w:r w:rsidR="00F214C5" w:rsidRPr="003D1E07">
        <w:t>species</w:t>
      </w:r>
      <w:r w:rsidR="00852646" w:rsidRPr="003D1E07">
        <w:t xml:space="preserve"> (</w:t>
      </w:r>
      <w:r w:rsidR="00F214C5" w:rsidRPr="003F04F4">
        <w:rPr>
          <w:i/>
          <w:szCs w:val="30"/>
        </w:rPr>
        <w:t>species</w:t>
      </w:r>
      <w:r w:rsidR="00852646" w:rsidRPr="003D1E07">
        <w:rPr>
          <w:i/>
          <w:szCs w:val="30"/>
        </w:rPr>
        <w:t xml:space="preserve"> humana est </w:t>
      </w:r>
      <w:r w:rsidR="0061037D" w:rsidRPr="003D1E07">
        <w:rPr>
          <w:i/>
          <w:szCs w:val="30"/>
        </w:rPr>
        <w:t>a</w:t>
      </w:r>
      <w:r w:rsidR="00852646" w:rsidRPr="003D1E07">
        <w:rPr>
          <w:i/>
          <w:szCs w:val="30"/>
        </w:rPr>
        <w:t>eterna</w:t>
      </w:r>
      <w:r w:rsidR="001762A8" w:rsidRPr="003D1E07">
        <w:fldChar w:fldCharType="begin"/>
      </w:r>
      <w:r w:rsidR="001762A8" w:rsidRPr="003D1E07">
        <w:instrText xml:space="preserve"> XE "humanismus:</w:instrText>
      </w:r>
      <w:r w:rsidR="002E3B62" w:rsidRPr="003D1E07">
        <w:instrText>Averroes</w:instrText>
      </w:r>
      <w:r w:rsidR="001762A8" w:rsidRPr="003D1E07">
        <w:instrText xml:space="preserve">" </w:instrText>
      </w:r>
      <w:r w:rsidR="001762A8" w:rsidRPr="003D1E07">
        <w:fldChar w:fldCharType="end"/>
      </w:r>
      <w:r w:rsidR="00852646" w:rsidRPr="003D1E07">
        <w:t xml:space="preserve">). </w:t>
      </w:r>
      <w:r w:rsidR="002E3B62" w:rsidRPr="003D1E07">
        <w:t>Averroes</w:t>
      </w:r>
      <w:r w:rsidR="00DD0168" w:rsidRPr="003D1E07">
        <w:t xml:space="preserve"> z</w:t>
      </w:r>
      <w:r w:rsidR="006D687C" w:rsidRPr="003D1E07">
        <w:t xml:space="preserve"> hlediska averro</w:t>
      </w:r>
      <w:r w:rsidR="00A8611F" w:rsidRPr="003D1E07">
        <w:t>i</w:t>
      </w:r>
      <w:r w:rsidR="006D687C" w:rsidRPr="003D1E07">
        <w:t xml:space="preserve">stů </w:t>
      </w:r>
      <w:r w:rsidR="00783506" w:rsidRPr="003D1E07">
        <w:t xml:space="preserve">v tomto citátu </w:t>
      </w:r>
      <w:r w:rsidR="084D4F73" w:rsidRPr="003D1E07">
        <w:t>oprášil Avicennův koncept habituálního intelektu (</w:t>
      </w:r>
      <w:r w:rsidR="084D4F73" w:rsidRPr="003D1E07">
        <w:rPr>
          <w:i/>
        </w:rPr>
        <w:t>intellectus in habitu</w:t>
      </w:r>
      <w:r w:rsidR="084D4F73" w:rsidRPr="003D1E07">
        <w:t xml:space="preserve">), který existuje ve všech lidech jako </w:t>
      </w:r>
      <w:r w:rsidR="00412F75" w:rsidRPr="003D1E07">
        <w:t xml:space="preserve">vrozená </w:t>
      </w:r>
      <w:r w:rsidR="00493640" w:rsidRPr="003D1E07">
        <w:t xml:space="preserve">nemateriální </w:t>
      </w:r>
      <w:r w:rsidR="084D4F73" w:rsidRPr="003D1E07">
        <w:t>schopnost čin</w:t>
      </w:r>
      <w:r w:rsidR="08CB3FF3" w:rsidRPr="003D1E07">
        <w:t xml:space="preserve">it </w:t>
      </w:r>
      <w:r w:rsidR="00400FDA" w:rsidRPr="003D1E07">
        <w:t xml:space="preserve">na základní intuitivní </w:t>
      </w:r>
      <w:r w:rsidR="08CB3FF3" w:rsidRPr="003D1E07">
        <w:t xml:space="preserve">závěry z premis soudu. </w:t>
      </w:r>
      <w:r w:rsidR="00927EC4" w:rsidRPr="003D1E07">
        <w:t>Tento h</w:t>
      </w:r>
      <w:r w:rsidR="08CB3FF3" w:rsidRPr="003D1E07">
        <w:t xml:space="preserve">abituální intelekt </w:t>
      </w:r>
      <w:r w:rsidR="00B371AC">
        <w:t xml:space="preserve">je v prvním stupni </w:t>
      </w:r>
      <w:r w:rsidR="00927EC4" w:rsidRPr="003D1E07">
        <w:t xml:space="preserve">daný </w:t>
      </w:r>
      <w:r w:rsidR="00493640" w:rsidRPr="003D1E07">
        <w:t xml:space="preserve">materiálně </w:t>
      </w:r>
      <w:r w:rsidR="00927EC4" w:rsidRPr="003D1E07">
        <w:t xml:space="preserve">u zvířat v podobě </w:t>
      </w:r>
      <w:r w:rsidR="00927EC4" w:rsidRPr="003D1E07">
        <w:rPr>
          <w:i/>
        </w:rPr>
        <w:t>vis aestimativ</w:t>
      </w:r>
      <w:r w:rsidR="00B371AC">
        <w:rPr>
          <w:i/>
        </w:rPr>
        <w:t>a</w:t>
      </w:r>
      <w:r w:rsidR="00B371AC" w:rsidRPr="00B371AC">
        <w:t xml:space="preserve">. </w:t>
      </w:r>
      <w:r w:rsidR="00B371AC">
        <w:t>Člov</w:t>
      </w:r>
      <w:r w:rsidR="00B371AC" w:rsidRPr="00B371AC">
        <w:t>ěk je</w:t>
      </w:r>
      <w:r w:rsidR="00B371AC">
        <w:t>j</w:t>
      </w:r>
      <w:r w:rsidR="00B371AC" w:rsidRPr="00B371AC">
        <w:t xml:space="preserve"> </w:t>
      </w:r>
      <w:r w:rsidR="084D4F73" w:rsidRPr="003D1E07">
        <w:t>aktualiz</w:t>
      </w:r>
      <w:r w:rsidR="00B371AC">
        <w:t xml:space="preserve">uje </w:t>
      </w:r>
      <w:r w:rsidR="084D4F73" w:rsidRPr="003D1E07">
        <w:t>v individuálním aktu myšlení (</w:t>
      </w:r>
      <w:r w:rsidR="084D4F73" w:rsidRPr="003D1E07">
        <w:rPr>
          <w:i/>
        </w:rPr>
        <w:t>intellectus in effectu</w:t>
      </w:r>
      <w:r w:rsidR="00D44795" w:rsidRPr="003D1E07">
        <w:rPr>
          <w:i/>
        </w:rPr>
        <w:fldChar w:fldCharType="begin"/>
      </w:r>
      <w:r w:rsidR="00D44795" w:rsidRPr="003D1E07">
        <w:instrText xml:space="preserve"> XE "</w:instrText>
      </w:r>
      <w:r w:rsidR="00D44795" w:rsidRPr="003D1E07">
        <w:rPr>
          <w:i/>
        </w:rPr>
        <w:instrText>intellectus in effectu</w:instrText>
      </w:r>
      <w:r w:rsidR="008023D7" w:rsidRPr="003D1E07">
        <w:instrText>:Avicenna</w:instrText>
      </w:r>
      <w:r w:rsidR="00D44795" w:rsidRPr="003D1E07">
        <w:instrText xml:space="preserve">" </w:instrText>
      </w:r>
      <w:r w:rsidR="00D44795" w:rsidRPr="003D1E07">
        <w:rPr>
          <w:i/>
        </w:rPr>
        <w:fldChar w:fldCharType="end"/>
      </w:r>
      <w:r w:rsidR="084D4F73" w:rsidRPr="003D1E07">
        <w:t xml:space="preserve">, kap. 2.3.2). </w:t>
      </w:r>
      <w:r w:rsidR="00B167F3">
        <w:t>Aktualizovaný m</w:t>
      </w:r>
      <w:r w:rsidR="00332A51">
        <w:t>ateriální</w:t>
      </w:r>
      <w:r w:rsidR="004A7271" w:rsidRPr="003D1E07">
        <w:t xml:space="preserve"> </w:t>
      </w:r>
      <w:r w:rsidR="00332A51">
        <w:t>intelekt</w:t>
      </w:r>
      <w:r w:rsidR="00B37F94" w:rsidRPr="003D1E07">
        <w:t xml:space="preserve"> </w:t>
      </w:r>
      <w:r w:rsidR="001F4A04">
        <w:t xml:space="preserve">musí přijímat i nemateriální obsahy. Proto </w:t>
      </w:r>
      <w:r w:rsidR="00332A51">
        <w:t>se stal vzhledem ke své nemateriální receptivitě samostatnou</w:t>
      </w:r>
      <w:r w:rsidR="00B37F94" w:rsidRPr="003D1E07">
        <w:t xml:space="preserve"> s</w:t>
      </w:r>
      <w:r w:rsidR="00332A51">
        <w:t>ubstancí nebo substancializovou</w:t>
      </w:r>
      <w:r w:rsidR="08753969" w:rsidRPr="003D1E07">
        <w:t xml:space="preserve"> </w:t>
      </w:r>
      <w:r w:rsidR="00F214C5" w:rsidRPr="003D1E07">
        <w:t>species</w:t>
      </w:r>
      <w:r w:rsidR="00332A51">
        <w:t xml:space="preserve"> oddělenou</w:t>
      </w:r>
      <w:r w:rsidR="00B37F94" w:rsidRPr="003D1E07">
        <w:t xml:space="preserve"> od těla. </w:t>
      </w:r>
      <w:r w:rsidR="00B167F3">
        <w:t>Tato „jednota“</w:t>
      </w:r>
      <w:r w:rsidR="083D6B3C" w:rsidRPr="003D1E07">
        <w:t xml:space="preserve"> myšlení </w:t>
      </w:r>
      <w:r w:rsidR="004E5793" w:rsidRPr="003D1E07">
        <w:t xml:space="preserve">je </w:t>
      </w:r>
      <w:r w:rsidR="00B167F3">
        <w:t>založena</w:t>
      </w:r>
      <w:r w:rsidR="08C450A0" w:rsidRPr="003D1E07">
        <w:t xml:space="preserve"> </w:t>
      </w:r>
      <w:r w:rsidR="083D6B3C" w:rsidRPr="003D1E07">
        <w:t>na působení intelektu odděleného od existence osoby</w:t>
      </w:r>
      <w:r w:rsidR="004E5793" w:rsidRPr="003D1E07">
        <w:t xml:space="preserve">, proto </w:t>
      </w:r>
      <w:r w:rsidR="00B167F3">
        <w:t>je zásadně mylná</w:t>
      </w:r>
      <w:r w:rsidR="08856B66" w:rsidRPr="003D1E07">
        <w:t xml:space="preserve">. </w:t>
      </w:r>
      <w:r w:rsidR="002E3B62" w:rsidRPr="003D1E07">
        <w:t>Averroes</w:t>
      </w:r>
      <w:r w:rsidR="08F9388D" w:rsidRPr="003D1E07">
        <w:t>o</w:t>
      </w:r>
      <w:r w:rsidR="00787750" w:rsidRPr="003D1E07">
        <w:t>v</w:t>
      </w:r>
      <w:r w:rsidR="08753969" w:rsidRPr="003D1E07">
        <w:t xml:space="preserve">o pojetí receptivního intelektu v rámci </w:t>
      </w:r>
      <w:r w:rsidR="08753969" w:rsidRPr="003D1E07">
        <w:rPr>
          <w:i/>
        </w:rPr>
        <w:t>continuatio</w:t>
      </w:r>
      <w:r w:rsidR="008B2172">
        <w:t xml:space="preserve"> </w:t>
      </w:r>
      <w:r w:rsidR="085E266C" w:rsidRPr="003D1E07">
        <w:t>nemá díky nasvíc</w:t>
      </w:r>
      <w:r w:rsidR="08AF5E5E" w:rsidRPr="003D1E07">
        <w:t>ení ze</w:t>
      </w:r>
      <w:r w:rsidR="08EF4917" w:rsidRPr="003D1E07">
        <w:t>př</w:t>
      </w:r>
      <w:r w:rsidR="085E266C" w:rsidRPr="003D1E07">
        <w:t xml:space="preserve">edu </w:t>
      </w:r>
      <w:r w:rsidR="08AF5E5E" w:rsidRPr="003D1E07">
        <w:t xml:space="preserve">a </w:t>
      </w:r>
      <w:r w:rsidR="08EF4917" w:rsidRPr="003D1E07">
        <w:t xml:space="preserve">díky </w:t>
      </w:r>
      <w:r w:rsidR="08AF5E5E" w:rsidRPr="003D1E07">
        <w:t>odlišném</w:t>
      </w:r>
      <w:r w:rsidR="085E266C" w:rsidRPr="003D1E07">
        <w:t>u</w:t>
      </w:r>
      <w:r w:rsidR="08AF5E5E" w:rsidRPr="003D1E07">
        <w:t xml:space="preserve"> způsobu abstrakce </w:t>
      </w:r>
      <w:r w:rsidR="00A8611F" w:rsidRPr="003D1E07">
        <w:t xml:space="preserve">a dvojí intencionality </w:t>
      </w:r>
      <w:r w:rsidR="08AF5E5E" w:rsidRPr="003D1E07">
        <w:t xml:space="preserve">stejný statut jako u Avicenny, který z něj udělal jsoucno třetího druhu. </w:t>
      </w:r>
      <w:r w:rsidRPr="003D1E07">
        <w:t>P</w:t>
      </w:r>
      <w:r w:rsidR="084E0AF5" w:rsidRPr="003D1E07">
        <w:t>ředešlý citát CMDA ohledně jedn</w:t>
      </w:r>
      <w:r w:rsidR="08753969" w:rsidRPr="003D1E07">
        <w:t>oty intelektu jako univerzální</w:t>
      </w:r>
      <w:r w:rsidR="084E0AF5" w:rsidRPr="003D1E07">
        <w:t xml:space="preserve"> </w:t>
      </w:r>
      <w:r w:rsidR="00F214C5" w:rsidRPr="003D1E07">
        <w:t>species</w:t>
      </w:r>
      <w:r w:rsidR="084E0AF5" w:rsidRPr="003D1E07">
        <w:t xml:space="preserve"> ukázal</w:t>
      </w:r>
      <w:r w:rsidR="00852646" w:rsidRPr="003D1E07">
        <w:t xml:space="preserve">, že </w:t>
      </w:r>
      <w:r w:rsidR="009525CF" w:rsidRPr="003D1E07">
        <w:t xml:space="preserve">existuje </w:t>
      </w:r>
      <w:r w:rsidR="08753969" w:rsidRPr="003D1E07">
        <w:t xml:space="preserve">univerzální </w:t>
      </w:r>
      <w:r w:rsidR="009525CF" w:rsidRPr="003D1E07">
        <w:t xml:space="preserve">kontinuum </w:t>
      </w:r>
      <w:r w:rsidR="08E62DCE" w:rsidRPr="003D1E07">
        <w:rPr>
          <w:i/>
          <w:szCs w:val="30"/>
        </w:rPr>
        <w:t xml:space="preserve">intellectus materialis </w:t>
      </w:r>
      <w:r w:rsidR="08F9388D" w:rsidRPr="003D1E07">
        <w:t>na úrovni lidst</w:t>
      </w:r>
      <w:r w:rsidR="08753969" w:rsidRPr="003D1E07">
        <w:t xml:space="preserve">va jako druhu a je </w:t>
      </w:r>
      <w:r w:rsidR="004D4763" w:rsidRPr="003D1E07">
        <w:t>dané</w:t>
      </w:r>
      <w:r w:rsidR="00E30D4C" w:rsidRPr="003D1E07">
        <w:t xml:space="preserve"> nematerialitou </w:t>
      </w:r>
      <w:r w:rsidR="08E62DCE" w:rsidRPr="003D1E07">
        <w:t xml:space="preserve">tohoto intelektu a jeho </w:t>
      </w:r>
      <w:r w:rsidR="00E30D4C" w:rsidRPr="003D1E07">
        <w:t>oddělením od smyslů</w:t>
      </w:r>
      <w:r w:rsidR="004D4763" w:rsidRPr="003D1E07">
        <w:t>. P</w:t>
      </w:r>
      <w:r w:rsidR="009525CF" w:rsidRPr="003D1E07">
        <w:t xml:space="preserve">rvní principy poznání jsou </w:t>
      </w:r>
      <w:r w:rsidR="0005127E" w:rsidRPr="003D1E07">
        <w:t xml:space="preserve">díky univerzalitě </w:t>
      </w:r>
      <w:r w:rsidR="009525CF" w:rsidRPr="003D1E07">
        <w:t>stejné u všech lidí</w:t>
      </w:r>
      <w:r w:rsidRPr="003D1E07">
        <w:t xml:space="preserve"> (</w:t>
      </w:r>
      <w:r w:rsidRPr="003D1E07">
        <w:rPr>
          <w:i/>
          <w:szCs w:val="30"/>
        </w:rPr>
        <w:t>intellectus materialis non sit denudatus a principiis naturalibus</w:t>
      </w:r>
      <w:r w:rsidRPr="003D1E07">
        <w:t>)</w:t>
      </w:r>
      <w:r w:rsidR="00852646" w:rsidRPr="003D1E07">
        <w:t xml:space="preserve">. </w:t>
      </w:r>
      <w:r w:rsidRPr="003D1E07">
        <w:t>Jen člověk má specifické poznání un</w:t>
      </w:r>
      <w:r w:rsidR="0005127E" w:rsidRPr="003D1E07">
        <w:t xml:space="preserve">iverzálií, které je ale </w:t>
      </w:r>
      <w:r w:rsidRPr="003D1E07">
        <w:t xml:space="preserve">založené na individuálním smyslovém poznání. </w:t>
      </w:r>
      <w:r w:rsidR="00D43C9E" w:rsidRPr="003D1E07">
        <w:t>Receptivní část intelektu musí být v t</w:t>
      </w:r>
      <w:r w:rsidR="006B2995" w:rsidRPr="003D1E07">
        <w:t xml:space="preserve">éto nematerialitě </w:t>
      </w:r>
      <w:r w:rsidR="00D43C9E" w:rsidRPr="003D1E07">
        <w:t>všem lidem společná</w:t>
      </w:r>
      <w:r w:rsidR="08056A61" w:rsidRPr="003D1E07">
        <w:t xml:space="preserve"> ve smyslu </w:t>
      </w:r>
      <w:r w:rsidR="08BD415D" w:rsidRPr="003D1E07">
        <w:t>přirozenosti dané</w:t>
      </w:r>
      <w:r w:rsidR="08056A61" w:rsidRPr="003D1E07">
        <w:t xml:space="preserve"> lidstvu jako species</w:t>
      </w:r>
      <w:r w:rsidR="08DD1149" w:rsidRPr="003D1E07">
        <w:t xml:space="preserve"> (</w:t>
      </w:r>
      <w:r w:rsidR="08DD1149" w:rsidRPr="003D1E07">
        <w:rPr>
          <w:i/>
        </w:rPr>
        <w:t>principiis naturalibus communibus toti speciei humane</w:t>
      </w:r>
      <w:r w:rsidR="08DD1149" w:rsidRPr="003D1E07">
        <w:t xml:space="preserve">). </w:t>
      </w:r>
      <w:r w:rsidR="00EE071C" w:rsidRPr="003D1E07">
        <w:t xml:space="preserve">Podívejme se na otázku jednoho intelektu pro všechny lidi z hlediska předchozího výkladu </w:t>
      </w:r>
      <w:r w:rsidR="00EE071C" w:rsidRPr="003D1E07">
        <w:rPr>
          <w:i/>
        </w:rPr>
        <w:t>Kategorií</w:t>
      </w:r>
      <w:r w:rsidR="00EE071C" w:rsidRPr="003D1E07">
        <w:t xml:space="preserve"> zal</w:t>
      </w:r>
      <w:r w:rsidR="006A44F2">
        <w:t>oženého na metafyzickém dativu.</w:t>
      </w:r>
    </w:p>
    <w:p w14:paraId="6FCA26FD" w14:textId="65500CAF" w:rsidR="003F4C25" w:rsidRDefault="002A6F13" w:rsidP="00655615">
      <w:pPr>
        <w:ind w:firstLine="397"/>
      </w:pPr>
      <w:r w:rsidRPr="003D1E07">
        <w:t>S</w:t>
      </w:r>
      <w:r w:rsidR="003C4EE9" w:rsidRPr="003D1E07">
        <w:t>pis CMDA etabloval</w:t>
      </w:r>
      <w:r w:rsidR="08E74DB4" w:rsidRPr="003D1E07">
        <w:t xml:space="preserve"> v prvním kroku kauzální působení intelektu v modu </w:t>
      </w:r>
      <w:r w:rsidR="00CB7CEA" w:rsidRPr="003D1E07">
        <w:rPr>
          <w:i/>
        </w:rPr>
        <w:t>ex inmediatis</w:t>
      </w:r>
      <w:r w:rsidR="08E74DB4" w:rsidRPr="003D1E07">
        <w:t xml:space="preserve"> od reálně myslící osoby</w:t>
      </w:r>
      <w:r w:rsidR="008B16F8">
        <w:t xml:space="preserve"> jako hylemorfické první substance</w:t>
      </w:r>
      <w:r w:rsidR="08E74DB4" w:rsidRPr="003D1E07">
        <w:t xml:space="preserve">. </w:t>
      </w:r>
      <w:r w:rsidR="002130E3">
        <w:t>V prvním kroku abstrakce je i</w:t>
      </w:r>
      <w:r w:rsidR="083B6F53" w:rsidRPr="003D1E07">
        <w:t>ps</w:t>
      </w:r>
      <w:r w:rsidR="00B15E91" w:rsidRPr="003D1E07">
        <w:t>eita intelektu je kategoricky vypovídána</w:t>
      </w:r>
      <w:r w:rsidR="083B6F53" w:rsidRPr="003D1E07">
        <w:t xml:space="preserve"> výhradně v modu impozice, tedy nasvícením zepředu</w:t>
      </w:r>
      <w:r w:rsidR="00C83A88">
        <w:t xml:space="preserve"> od hyparchicky dané první substance</w:t>
      </w:r>
      <w:r w:rsidR="083B6F53" w:rsidRPr="003D1E07">
        <w:t xml:space="preserve">. </w:t>
      </w:r>
      <w:r w:rsidR="00D1017A">
        <w:t xml:space="preserve">Intelekt je aktuální formou jedinečného těla </w:t>
      </w:r>
      <w:r w:rsidR="00D1017A">
        <w:rPr>
          <w:noProof w:val="0"/>
          <w:lang w:val="fr-FR" w:eastAsia="en-US"/>
        </w:rPr>
        <w:t>(</w:t>
      </w:r>
      <w:r w:rsidR="00D1017A" w:rsidRPr="006060B3">
        <w:rPr>
          <w:i/>
          <w:noProof w:val="0"/>
          <w:lang w:val="fr-FR" w:eastAsia="en-US"/>
        </w:rPr>
        <w:t>anima intellectiva</w:t>
      </w:r>
      <w:r w:rsidR="00D1017A">
        <w:rPr>
          <w:noProof w:val="0"/>
          <w:lang w:val="fr-FR" w:eastAsia="en-US"/>
        </w:rPr>
        <w:t xml:space="preserve">). První predikace </w:t>
      </w:r>
      <w:r w:rsidR="00263E06" w:rsidRPr="003D1E07">
        <w:t xml:space="preserve">intelektu </w:t>
      </w:r>
      <w:r w:rsidR="00D1017A">
        <w:t xml:space="preserve">je daná na základě </w:t>
      </w:r>
      <w:r w:rsidR="00D1017A" w:rsidRPr="00D1017A">
        <w:rPr>
          <w:i/>
        </w:rPr>
        <w:t>actus essendi</w:t>
      </w:r>
      <w:r w:rsidR="00D1017A">
        <w:t xml:space="preserve"> hyparchické první substance. Výkonem tothoto intelektu je nemateriální duše jako jedinečná forma oživující „moje“ tělo </w:t>
      </w:r>
      <w:r w:rsidR="00D1017A">
        <w:rPr>
          <w:noProof w:val="0"/>
          <w:lang w:val="fr-FR" w:eastAsia="en-US"/>
        </w:rPr>
        <w:t xml:space="preserve">(Heideggerovo </w:t>
      </w:r>
      <w:r w:rsidR="00D1017A" w:rsidRPr="00810B24">
        <w:rPr>
          <w:i/>
          <w:noProof w:val="0"/>
          <w:lang w:val="fr-FR" w:eastAsia="en-US"/>
        </w:rPr>
        <w:t>Dasein</w:t>
      </w:r>
      <w:r w:rsidR="00D1017A">
        <w:rPr>
          <w:i/>
          <w:noProof w:val="0"/>
          <w:lang w:val="fr-FR" w:eastAsia="en-US"/>
        </w:rPr>
        <w:fldChar w:fldCharType="begin"/>
      </w:r>
      <w:r w:rsidR="00D1017A">
        <w:instrText xml:space="preserve"> XE "</w:instrText>
      </w:r>
      <w:r w:rsidR="00D1017A" w:rsidRPr="00B0165A">
        <w:rPr>
          <w:i/>
          <w:noProof w:val="0"/>
          <w:lang w:val="fr-FR" w:eastAsia="en-US"/>
        </w:rPr>
        <w:instrText>Dasein</w:instrText>
      </w:r>
      <w:r w:rsidR="00D1017A">
        <w:instrText xml:space="preserve">" </w:instrText>
      </w:r>
      <w:r w:rsidR="00D1017A">
        <w:rPr>
          <w:i/>
          <w:noProof w:val="0"/>
          <w:lang w:val="fr-FR" w:eastAsia="en-US"/>
        </w:rPr>
        <w:fldChar w:fldCharType="end"/>
      </w:r>
      <w:r w:rsidR="00D1017A">
        <w:rPr>
          <w:noProof w:val="0"/>
          <w:lang w:val="fr-FR" w:eastAsia="en-US"/>
        </w:rPr>
        <w:t>)</w:t>
      </w:r>
      <w:r w:rsidR="00D1017A">
        <w:t xml:space="preserve">. Tím je univočně definován </w:t>
      </w:r>
      <w:r w:rsidR="00F750BF">
        <w:t xml:space="preserve">intelekt jako </w:t>
      </w:r>
      <w:r w:rsidR="00263E06" w:rsidRPr="003D1E07">
        <w:t xml:space="preserve">univerzální </w:t>
      </w:r>
      <w:r w:rsidR="00263E06" w:rsidRPr="003D1E07">
        <w:rPr>
          <w:i/>
        </w:rPr>
        <w:t>species</w:t>
      </w:r>
      <w:r w:rsidR="00263E06" w:rsidRPr="003D1E07">
        <w:t xml:space="preserve">, které má nejblíže k aktuálnímu intelektu jako </w:t>
      </w:r>
      <w:r w:rsidR="00533AD1">
        <w:t>aktuální formy v</w:t>
      </w:r>
      <w:r w:rsidR="00C162B6">
        <w:t xml:space="preserve"> reálně bytující </w:t>
      </w:r>
      <w:r w:rsidR="00263E06" w:rsidRPr="003D1E07">
        <w:t xml:space="preserve">první substanci. </w:t>
      </w:r>
      <w:r w:rsidR="08E74DB4" w:rsidRPr="003D1E07">
        <w:t>Nyní, ve druhém kroku, je možné s</w:t>
      </w:r>
      <w:r w:rsidR="001E79D5">
        <w:t xml:space="preserve">ledovat supozici intelektu jako </w:t>
      </w:r>
      <w:r w:rsidR="00F214C5" w:rsidRPr="003D1E07">
        <w:lastRenderedPageBreak/>
        <w:t>species</w:t>
      </w:r>
      <w:r w:rsidR="08034F12" w:rsidRPr="003D1E07">
        <w:t xml:space="preserve"> v </w:t>
      </w:r>
      <w:r w:rsidR="08E74DB4" w:rsidRPr="003D1E07">
        <w:t xml:space="preserve">univerzálním </w:t>
      </w:r>
      <w:r w:rsidR="08034F12" w:rsidRPr="003D1E07">
        <w:t xml:space="preserve">modu </w:t>
      </w:r>
      <w:r w:rsidR="08034F12" w:rsidRPr="003D1E07">
        <w:rPr>
          <w:i/>
        </w:rPr>
        <w:t>per prius</w:t>
      </w:r>
      <w:r w:rsidR="08034F12" w:rsidRPr="003D1E07">
        <w:t xml:space="preserve"> (</w:t>
      </w:r>
      <w:r w:rsidR="08034F12" w:rsidRPr="003D1E07">
        <w:rPr>
          <w:i/>
        </w:rPr>
        <w:t>Cat</w:t>
      </w:r>
      <w:r w:rsidR="08034F12" w:rsidRPr="003D1E07">
        <w:t>. 2a15–16</w:t>
      </w:r>
      <w:r w:rsidR="08034F12" w:rsidRPr="003D1E07">
        <w:rPr>
          <w:i/>
        </w:rPr>
        <w:fldChar w:fldCharType="begin"/>
      </w:r>
      <w:r w:rsidR="08034F12" w:rsidRPr="003D1E07">
        <w:instrText xml:space="preserve"> XE "Aristoteles:</w:instrText>
      </w:r>
      <w:r w:rsidR="08034F12" w:rsidRPr="003D1E07">
        <w:rPr>
          <w:i/>
        </w:rPr>
        <w:instrText>Cat</w:instrText>
      </w:r>
      <w:r w:rsidR="08034F12" w:rsidRPr="003D1E07">
        <w:instrText xml:space="preserve">. 2a15–16" </w:instrText>
      </w:r>
      <w:r w:rsidR="08034F12" w:rsidRPr="003D1E07">
        <w:rPr>
          <w:i/>
        </w:rPr>
        <w:fldChar w:fldCharType="end"/>
      </w:r>
      <w:r w:rsidR="08A3315E" w:rsidRPr="003D1E07">
        <w:t xml:space="preserve">). </w:t>
      </w:r>
      <w:r w:rsidR="08B10022" w:rsidRPr="003D1E07">
        <w:t xml:space="preserve">Nyní CMDA přejde na úroveň univerzální druhé substance a predikuje významy </w:t>
      </w:r>
      <w:r w:rsidR="001F7E85">
        <w:t xml:space="preserve">od </w:t>
      </w:r>
      <w:r w:rsidR="001F7E85" w:rsidRPr="003D1E07">
        <w:t>rodu</w:t>
      </w:r>
      <w:r w:rsidR="001F7E85">
        <w:t xml:space="preserve"> směrem ke species</w:t>
      </w:r>
      <w:r w:rsidR="08B10022" w:rsidRPr="003D1E07">
        <w:t xml:space="preserve">. </w:t>
      </w:r>
      <w:r w:rsidR="00DC351B" w:rsidRPr="003D1E07">
        <w:t xml:space="preserve">Hyparchická impozice </w:t>
      </w:r>
      <w:r w:rsidR="00BD39D6">
        <w:t xml:space="preserve">intelektus jako species </w:t>
      </w:r>
      <w:r w:rsidR="00DC351B" w:rsidRPr="003D1E07">
        <w:t>se mění v univerzální supozici</w:t>
      </w:r>
      <w:r w:rsidR="00BD39D6">
        <w:t xml:space="preserve"> intelektu jako genus</w:t>
      </w:r>
      <w:r w:rsidR="00DC351B" w:rsidRPr="003D1E07">
        <w:t xml:space="preserve">. </w:t>
      </w:r>
      <w:r w:rsidR="004762AF" w:rsidRPr="003D1E07">
        <w:t>Opět jde o predikaci</w:t>
      </w:r>
      <w:r w:rsidR="00DC351B" w:rsidRPr="003D1E07">
        <w:t xml:space="preserve"> </w:t>
      </w:r>
      <w:r w:rsidR="00DC351B" w:rsidRPr="003D1E07">
        <w:rPr>
          <w:i/>
        </w:rPr>
        <w:t>per prius</w:t>
      </w:r>
      <w:r w:rsidR="00DC351B" w:rsidRPr="003D1E07">
        <w:t>, ale její ontologická perspektiva (</w:t>
      </w:r>
      <w:r w:rsidR="00DC351B" w:rsidRPr="003D1E07">
        <w:rPr>
          <w:i/>
        </w:rPr>
        <w:t>Vor-blickbahn</w:t>
      </w:r>
      <w:r w:rsidR="005B1BA6" w:rsidRPr="003D1E07">
        <w:t xml:space="preserve">) vychází z nasvícení </w:t>
      </w:r>
      <w:r w:rsidR="00DC351B" w:rsidRPr="003D1E07">
        <w:t>zezadu, tedy z univerzálního významu intelektu jako druhé substance</w:t>
      </w:r>
      <w:r w:rsidR="00FF2844">
        <w:t xml:space="preserve"> (</w:t>
      </w:r>
      <w:r w:rsidR="00FF2844">
        <w:rPr>
          <w:i/>
          <w:noProof w:val="0"/>
          <w:lang w:val="fr-FR" w:eastAsia="en-US"/>
        </w:rPr>
        <w:t>genus</w:t>
      </w:r>
      <w:r w:rsidR="00FF2844">
        <w:rPr>
          <w:rFonts w:cs="Calibri"/>
          <w:i/>
          <w:noProof w:val="0"/>
          <w:lang w:val="fr-FR" w:eastAsia="en-US"/>
        </w:rPr>
        <w:t>–</w:t>
      </w:r>
      <w:r w:rsidR="00FF2844">
        <w:rPr>
          <w:i/>
          <w:noProof w:val="0"/>
          <w:lang w:val="fr-FR" w:eastAsia="en-US"/>
        </w:rPr>
        <w:t>species</w:t>
      </w:r>
      <w:r w:rsidR="00FF2844">
        <w:rPr>
          <w:noProof w:val="0"/>
          <w:lang w:val="fr-FR" w:eastAsia="en-US"/>
        </w:rPr>
        <w:t>)</w:t>
      </w:r>
      <w:r w:rsidR="00DC351B" w:rsidRPr="003D1E07">
        <w:t>. Druhý krok (</w:t>
      </w:r>
      <w:r w:rsidR="00DC351B" w:rsidRPr="003D1E07">
        <w:rPr>
          <w:i/>
        </w:rPr>
        <w:t>questio secunda</w:t>
      </w:r>
      <w:r w:rsidR="00DC351B" w:rsidRPr="003D1E07">
        <w:t xml:space="preserve">) vztahuje </w:t>
      </w:r>
      <w:r w:rsidR="00843573" w:rsidRPr="003D1E07">
        <w:t xml:space="preserve">význam intelektu jako univerzální species vzhledem k další a vyšší univerzalitě, která je dána na úrovni lidstva jako </w:t>
      </w:r>
      <w:r w:rsidR="00DC351B" w:rsidRPr="003D1E07">
        <w:t xml:space="preserve">rodu. </w:t>
      </w:r>
      <w:r w:rsidR="00843573" w:rsidRPr="003D1E07">
        <w:t xml:space="preserve">Pak máme další příklad kategoriální predikace </w:t>
      </w:r>
      <w:r w:rsidR="00843573" w:rsidRPr="003D1E07">
        <w:rPr>
          <w:i/>
        </w:rPr>
        <w:t>per prius</w:t>
      </w:r>
      <w:r w:rsidR="00843573" w:rsidRPr="003D1E07">
        <w:t xml:space="preserve">, ale v jiném modu než je hyparchická impozice. </w:t>
      </w:r>
      <w:r w:rsidR="00655615">
        <w:t xml:space="preserve">Nyní jde o logickou supozici. </w:t>
      </w:r>
      <w:r w:rsidR="00A82079">
        <w:t>Díky správné impozici, která</w:t>
      </w:r>
      <w:r w:rsidR="00A82079" w:rsidRPr="00A82079">
        <w:t xml:space="preserve"> vychází ze skutečné kauzality v myslícím těle, se univerzální intelekt stal rodem </w:t>
      </w:r>
      <w:r w:rsidR="00A82079">
        <w:t>vytvořeným metafyzickou impozicí</w:t>
      </w:r>
      <w:r w:rsidR="00A82079" w:rsidRPr="00A82079">
        <w:t xml:space="preserve">. Obsahuje tedy univerzální přirozenost lidství pojatou jako rod, který vzniká logickou supozicí. Referenční smysl metafyzické ipseity a logické identity </w:t>
      </w:r>
      <w:r w:rsidR="00A82079">
        <w:t>(</w:t>
      </w:r>
      <w:r w:rsidR="00A82079" w:rsidRPr="00A82079">
        <w:rPr>
          <w:i/>
        </w:rPr>
        <w:t>Bezugssinn</w:t>
      </w:r>
      <w:r w:rsidR="00A82079">
        <w:rPr>
          <w:i/>
        </w:rPr>
        <w:fldChar w:fldCharType="begin"/>
      </w:r>
      <w:r w:rsidR="00A82079">
        <w:instrText xml:space="preserve"> XE "</w:instrText>
      </w:r>
      <w:r w:rsidR="00A82079" w:rsidRPr="0091271E">
        <w:rPr>
          <w:i/>
        </w:rPr>
        <w:instrText>Bezugssinn</w:instrText>
      </w:r>
      <w:r w:rsidR="00A82079">
        <w:instrText xml:space="preserve">" </w:instrText>
      </w:r>
      <w:r w:rsidR="00A82079">
        <w:rPr>
          <w:i/>
        </w:rPr>
        <w:fldChar w:fldCharType="end"/>
      </w:r>
      <w:r w:rsidR="00A82079">
        <w:t xml:space="preserve">) </w:t>
      </w:r>
      <w:r w:rsidR="00A82079" w:rsidRPr="00A82079">
        <w:t xml:space="preserve">je dvojí a je třeba jej velmi pečlivě rozlišovat. Od dob Avicenny </w:t>
      </w:r>
      <w:r w:rsidR="00A82079">
        <w:t xml:space="preserve">přestala </w:t>
      </w:r>
      <w:r w:rsidR="00A82079" w:rsidRPr="00A82079">
        <w:t xml:space="preserve">moderna </w:t>
      </w:r>
      <w:r w:rsidR="00A82079">
        <w:t>myslet tímto kritickým způsobem</w:t>
      </w:r>
      <w:r w:rsidR="00A82079" w:rsidRPr="00A82079">
        <w:t>.</w:t>
      </w:r>
      <w:r w:rsidR="00A82079">
        <w:t xml:space="preserve"> </w:t>
      </w:r>
      <w:r w:rsidR="00F42506">
        <w:t>N</w:t>
      </w:r>
      <w:r w:rsidR="00DC351B" w:rsidRPr="003D1E07">
        <w:t xml:space="preserve">erespektuje metafyzický postup, </w:t>
      </w:r>
      <w:r w:rsidR="003A0956" w:rsidRPr="003D1E07">
        <w:t xml:space="preserve">protože její </w:t>
      </w:r>
      <w:r w:rsidR="0002770D">
        <w:t xml:space="preserve">osvícená </w:t>
      </w:r>
      <w:r w:rsidR="003A0956" w:rsidRPr="003D1E07">
        <w:t xml:space="preserve">mysl ztratila metafyzický význam impozice. </w:t>
      </w:r>
      <w:r w:rsidR="00167821">
        <w:t xml:space="preserve">Ilumináti </w:t>
      </w:r>
      <w:r w:rsidR="003A0956" w:rsidRPr="003D1E07">
        <w:t>„vidí“</w:t>
      </w:r>
      <w:r w:rsidR="00DC351B" w:rsidRPr="003D1E07">
        <w:t xml:space="preserve"> </w:t>
      </w:r>
      <w:r w:rsidR="00843573" w:rsidRPr="003D1E07">
        <w:t>mytopoetický averroistický</w:t>
      </w:r>
      <w:r w:rsidR="00DC351B" w:rsidRPr="003D1E07">
        <w:t xml:space="preserve"> intelekt</w:t>
      </w:r>
      <w:r w:rsidR="000171F1" w:rsidRPr="003D1E07">
        <w:t xml:space="preserve"> daný </w:t>
      </w:r>
      <w:r w:rsidR="000171F1" w:rsidRPr="003D1E07">
        <w:rPr>
          <w:i/>
        </w:rPr>
        <w:t>per prius</w:t>
      </w:r>
      <w:r w:rsidR="00DC351B" w:rsidRPr="003D1E07">
        <w:t>, který je ve skutečnosti avicen</w:t>
      </w:r>
      <w:r w:rsidR="00C53C14" w:rsidRPr="003D1E07">
        <w:t>n</w:t>
      </w:r>
      <w:r w:rsidR="00DC351B" w:rsidRPr="003D1E07">
        <w:t>istic</w:t>
      </w:r>
      <w:r w:rsidR="00807CF5" w:rsidRPr="003D1E07">
        <w:t xml:space="preserve">kou substancí třetího druhu. </w:t>
      </w:r>
      <w:r w:rsidR="00C13141" w:rsidRPr="003D1E07">
        <w:t>Averroes není moderní averroista</w:t>
      </w:r>
      <w:r w:rsidR="00FF349B" w:rsidRPr="003D1E07">
        <w:t>. V</w:t>
      </w:r>
      <w:r w:rsidR="00F819D3" w:rsidRPr="003D1E07">
        <w:t xml:space="preserve">idí reálně myslící osobu, a ne </w:t>
      </w:r>
      <w:r w:rsidR="006719F5" w:rsidRPr="003D1E07">
        <w:t>„intelekt“ jako moderní chiméru</w:t>
      </w:r>
      <w:r w:rsidR="00C13141" w:rsidRPr="003D1E07">
        <w:t xml:space="preserve">. </w:t>
      </w:r>
      <w:r w:rsidR="08A3315E" w:rsidRPr="003D1E07">
        <w:t xml:space="preserve">Správně zajištěná a predikovaná kauzalita poznání umožnila v modu adekvace správný univerzální závěr na úrovni vědecké deduktivní demonstrace podle </w:t>
      </w:r>
      <w:r w:rsidR="08A3315E" w:rsidRPr="003D1E07">
        <w:rPr>
          <w:i/>
        </w:rPr>
        <w:t>Druhých analytik</w:t>
      </w:r>
      <w:r w:rsidR="08A3315E" w:rsidRPr="003D1E07">
        <w:t xml:space="preserve">. </w:t>
      </w:r>
      <w:r w:rsidR="08D71AA3" w:rsidRPr="003D1E07">
        <w:t>Tad</w:t>
      </w:r>
      <w:r w:rsidR="086A2B7A" w:rsidRPr="003D1E07">
        <w:t>y</w:t>
      </w:r>
      <w:r w:rsidR="08D71AA3" w:rsidRPr="003D1E07">
        <w:t xml:space="preserve"> </w:t>
      </w:r>
      <w:r w:rsidR="086A2B7A" w:rsidRPr="003D1E07">
        <w:t xml:space="preserve">je vidět zásadní </w:t>
      </w:r>
      <w:r w:rsidR="00D9266A" w:rsidRPr="003D1E07">
        <w:t>rozdíl od pers</w:t>
      </w:r>
      <w:r w:rsidR="086A2B7A" w:rsidRPr="003D1E07">
        <w:t>pektivy Avicenny, který c</w:t>
      </w:r>
      <w:r w:rsidR="08D71AA3" w:rsidRPr="003D1E07">
        <w:t>hápe intelekt jako aktualizovanou substanci třetího dru</w:t>
      </w:r>
      <w:r w:rsidR="086A2B7A" w:rsidRPr="003D1E07">
        <w:t xml:space="preserve">hu </w:t>
      </w:r>
      <w:r w:rsidR="0029060B" w:rsidRPr="003D1E07">
        <w:t xml:space="preserve">aktualizovanou </w:t>
      </w:r>
      <w:r w:rsidR="086A2B7A" w:rsidRPr="003D1E07">
        <w:t xml:space="preserve">směrem od </w:t>
      </w:r>
      <w:r w:rsidR="086A2B7A" w:rsidRPr="003D1E07">
        <w:rPr>
          <w:i/>
        </w:rPr>
        <w:t>intellectus agens</w:t>
      </w:r>
      <w:r w:rsidR="086A2B7A" w:rsidRPr="003D1E07">
        <w:t xml:space="preserve">. Perspektiva </w:t>
      </w:r>
      <w:r w:rsidR="002E3B62" w:rsidRPr="003D1E07">
        <w:t>Averroes</w:t>
      </w:r>
      <w:r w:rsidR="086A2B7A" w:rsidRPr="003D1E07">
        <w:t xml:space="preserve">e je přesně opačná. </w:t>
      </w:r>
      <w:r w:rsidR="00E24365">
        <w:t>Nejprve zkoumá akt</w:t>
      </w:r>
      <w:r w:rsidR="086A2B7A" w:rsidRPr="003D1E07">
        <w:t xml:space="preserve"> myšlení </w:t>
      </w:r>
      <w:r w:rsidR="00E24365">
        <w:t xml:space="preserve">v první osobě, </w:t>
      </w:r>
      <w:r w:rsidR="001B157E">
        <w:t xml:space="preserve">kdy intelekt </w:t>
      </w:r>
      <w:r w:rsidR="00E24365">
        <w:t xml:space="preserve">vstupuje do kategoriální impozice </w:t>
      </w:r>
      <w:r w:rsidR="00953F9B">
        <w:t xml:space="preserve">dané kauzálně </w:t>
      </w:r>
      <w:r w:rsidR="00E24365">
        <w:t>(</w:t>
      </w:r>
      <w:r w:rsidR="00E24365" w:rsidRPr="00237465">
        <w:rPr>
          <w:i/>
          <w:noProof w:val="0"/>
          <w:lang w:val="fr-FR" w:eastAsia="en-US"/>
        </w:rPr>
        <w:t>intellectio</w:t>
      </w:r>
      <w:r w:rsidR="00E24365">
        <w:t xml:space="preserve">). Pak přejde </w:t>
      </w:r>
      <w:r w:rsidR="086A2B7A" w:rsidRPr="003D1E07">
        <w:t xml:space="preserve">na rovinu abstrakce </w:t>
      </w:r>
      <w:r w:rsidR="00E24365">
        <w:t>(</w:t>
      </w:r>
      <w:r w:rsidR="00E24365" w:rsidRPr="00E24365">
        <w:rPr>
          <w:i/>
        </w:rPr>
        <w:t>questio secunda</w:t>
      </w:r>
      <w:r w:rsidR="00E24365">
        <w:t xml:space="preserve">) </w:t>
      </w:r>
      <w:r w:rsidR="001D7618" w:rsidRPr="003D1E07">
        <w:t xml:space="preserve">a zde zkoumá intelekt jako </w:t>
      </w:r>
      <w:r w:rsidR="08FF5A60" w:rsidRPr="003D1E07">
        <w:t xml:space="preserve">univerzální </w:t>
      </w:r>
      <w:r w:rsidR="00E24365">
        <w:t xml:space="preserve">pojem </w:t>
      </w:r>
      <w:r w:rsidR="08FF5A60" w:rsidRPr="003D1E07">
        <w:t>v jeho rodové podobě druhé substance</w:t>
      </w:r>
      <w:r w:rsidR="00E24365">
        <w:t xml:space="preserve"> </w:t>
      </w:r>
      <w:r w:rsidR="00E24365">
        <w:rPr>
          <w:noProof w:val="0"/>
          <w:lang w:val="fr-FR" w:eastAsia="en-US"/>
        </w:rPr>
        <w:t>(</w:t>
      </w:r>
      <w:r w:rsidR="00E24365" w:rsidRPr="00237465">
        <w:rPr>
          <w:i/>
          <w:noProof w:val="0"/>
          <w:lang w:val="fr-FR" w:eastAsia="en-US"/>
        </w:rPr>
        <w:t>intelle</w:t>
      </w:r>
      <w:r w:rsidR="00E24365">
        <w:rPr>
          <w:i/>
          <w:noProof w:val="0"/>
          <w:lang w:val="fr-FR" w:eastAsia="en-US"/>
        </w:rPr>
        <w:t>ctum</w:t>
      </w:r>
      <w:r w:rsidR="00E24365">
        <w:rPr>
          <w:noProof w:val="0"/>
          <w:lang w:val="fr-FR" w:eastAsia="en-US"/>
        </w:rPr>
        <w:t>)</w:t>
      </w:r>
      <w:r w:rsidR="00C61DB9" w:rsidRPr="003D1E07">
        <w:t xml:space="preserve">. Na úrovni abstrahovaných </w:t>
      </w:r>
      <w:r w:rsidR="00F214C5" w:rsidRPr="003D1E07">
        <w:t>species</w:t>
      </w:r>
      <w:r w:rsidR="00C61DB9" w:rsidRPr="003D1E07">
        <w:t xml:space="preserve"> </w:t>
      </w:r>
      <w:r w:rsidR="086A2B7A" w:rsidRPr="003D1E07">
        <w:t>má intelekt statut pouhé univer</w:t>
      </w:r>
      <w:r w:rsidR="08DC21B5" w:rsidRPr="003D1E07">
        <w:t>z</w:t>
      </w:r>
      <w:r w:rsidR="086A2B7A" w:rsidRPr="003D1E07">
        <w:t xml:space="preserve">álie dané v abstraktně uvažujícím intelektu. Text </w:t>
      </w:r>
      <w:r w:rsidR="08F065A4" w:rsidRPr="003D1E07">
        <w:t xml:space="preserve">nezkoumá </w:t>
      </w:r>
      <w:r w:rsidR="08DC21B5" w:rsidRPr="003D1E07">
        <w:t xml:space="preserve">jako Avicenna </w:t>
      </w:r>
      <w:r w:rsidR="08F065A4" w:rsidRPr="003D1E07">
        <w:t>individuální</w:t>
      </w:r>
      <w:r w:rsidR="08DC21B5" w:rsidRPr="003D1E07">
        <w:t xml:space="preserve"> a aktuální </w:t>
      </w:r>
      <w:r w:rsidR="006F1205" w:rsidRPr="003D1E07">
        <w:t>substanci-intelekt</w:t>
      </w:r>
      <w:r w:rsidR="00630F8A">
        <w:t xml:space="preserve">. Spis </w:t>
      </w:r>
      <w:r w:rsidR="00630F8A" w:rsidRPr="00630F8A">
        <w:t>CMDA abstrahuje od existenciálního aktu intelektu (</w:t>
      </w:r>
      <w:r w:rsidR="00630F8A" w:rsidRPr="00630F8A">
        <w:rPr>
          <w:i/>
        </w:rPr>
        <w:t>Bezugssinn</w:t>
      </w:r>
      <w:r w:rsidR="00630F8A" w:rsidRPr="00630F8A">
        <w:t>), aby vyt</w:t>
      </w:r>
      <w:r w:rsidR="00630F8A">
        <w:t>vořil</w:t>
      </w:r>
      <w:r w:rsidR="00630F8A" w:rsidRPr="00630F8A">
        <w:t xml:space="preserve"> obecnou lidskou schopnost v její specifické podobě (</w:t>
      </w:r>
      <w:r w:rsidR="00630F8A" w:rsidRPr="00630F8A">
        <w:rPr>
          <w:i/>
        </w:rPr>
        <w:t>Gehaltsinn</w:t>
      </w:r>
      <w:r w:rsidR="00630F8A" w:rsidRPr="00630F8A">
        <w:t>), která vytváří nehmotné myšlení a poznávání světa.</w:t>
      </w:r>
      <w:r w:rsidR="00630F8A">
        <w:t xml:space="preserve"> </w:t>
      </w:r>
      <w:r w:rsidR="00523AAC" w:rsidRPr="003D1E07">
        <w:t xml:space="preserve">A </w:t>
      </w:r>
      <w:r w:rsidR="00F214C5" w:rsidRPr="003D1E07">
        <w:t>species</w:t>
      </w:r>
      <w:r w:rsidR="00523AAC" w:rsidRPr="003D1E07">
        <w:t xml:space="preserve"> je </w:t>
      </w:r>
      <w:r w:rsidR="006F1205" w:rsidRPr="003D1E07">
        <w:t xml:space="preserve">vždy a pouze </w:t>
      </w:r>
      <w:r w:rsidR="00523AAC" w:rsidRPr="003D1E07">
        <w:t xml:space="preserve">univerzálie </w:t>
      </w:r>
      <w:r w:rsidR="00361061" w:rsidRPr="003D1E07">
        <w:t xml:space="preserve">daná </w:t>
      </w:r>
      <w:r w:rsidR="00523AAC" w:rsidRPr="003D1E07">
        <w:t xml:space="preserve">v lidské mysli. </w:t>
      </w:r>
      <w:r w:rsidR="00842517" w:rsidRPr="003D1E07">
        <w:t>Proto e</w:t>
      </w:r>
      <w:r w:rsidR="007D34C0" w:rsidRPr="003D1E07">
        <w:t>xistuje zásadní rozdíl mezi dvěma náhledy na výkon intelektu</w:t>
      </w:r>
      <w:r w:rsidR="08567F60" w:rsidRPr="003D1E07">
        <w:t xml:space="preserve"> jako existenciálního aktu a jako pojmové abstrakce. Obě formy intelektu </w:t>
      </w:r>
      <w:r w:rsidR="08DC51C6" w:rsidRPr="003D1E07">
        <w:t xml:space="preserve">jsou dány v modu Averroesova </w:t>
      </w:r>
      <w:r w:rsidR="00CF2B32" w:rsidRPr="003D1E07">
        <w:t xml:space="preserve">reálného </w:t>
      </w:r>
      <w:r w:rsidR="08DC51C6" w:rsidRPr="003D1E07">
        <w:rPr>
          <w:i/>
        </w:rPr>
        <w:t>continuatio</w:t>
      </w:r>
      <w:r w:rsidR="08567F60" w:rsidRPr="003D1E07">
        <w:t xml:space="preserve"> a n</w:t>
      </w:r>
      <w:r w:rsidR="08DC51C6" w:rsidRPr="003D1E07">
        <w:t>ik</w:t>
      </w:r>
      <w:r w:rsidR="08567F60" w:rsidRPr="003D1E07">
        <w:t>oliv</w:t>
      </w:r>
      <w:r w:rsidR="08DC51C6" w:rsidRPr="003D1E07">
        <w:t xml:space="preserve"> </w:t>
      </w:r>
      <w:r w:rsidR="08DC51C6" w:rsidRPr="003D1E07">
        <w:lastRenderedPageBreak/>
        <w:t xml:space="preserve">avicennistického </w:t>
      </w:r>
      <w:r w:rsidR="00CF2B32" w:rsidRPr="003D1E07">
        <w:t xml:space="preserve">mytopoetického </w:t>
      </w:r>
      <w:r w:rsidR="085304D8" w:rsidRPr="003D1E07">
        <w:rPr>
          <w:i/>
        </w:rPr>
        <w:t>coniunctio</w:t>
      </w:r>
      <w:r w:rsidR="001F3582" w:rsidRPr="003D1E07">
        <w:t xml:space="preserve">. Intelekt </w:t>
      </w:r>
      <w:r w:rsidR="00EB6759" w:rsidRPr="003D1E07">
        <w:t xml:space="preserve">existuje pouze </w:t>
      </w:r>
      <w:r w:rsidR="00842517" w:rsidRPr="003D1E07">
        <w:t>jako individuální schopnost</w:t>
      </w:r>
      <w:r w:rsidR="007D34C0" w:rsidRPr="003D1E07">
        <w:t xml:space="preserve"> </w:t>
      </w:r>
      <w:r w:rsidR="00C62A87" w:rsidRPr="003D1E07">
        <w:t xml:space="preserve">tělesné osoby </w:t>
      </w:r>
      <w:r w:rsidR="00160E23" w:rsidRPr="003D1E07">
        <w:t>dané jedinečně-aktuálně</w:t>
      </w:r>
      <w:r w:rsidR="00EB6759" w:rsidRPr="003D1E07">
        <w:t xml:space="preserve">. </w:t>
      </w:r>
      <w:r w:rsidR="08B10022" w:rsidRPr="003D1E07">
        <w:t>T</w:t>
      </w:r>
      <w:r w:rsidR="00EB6759" w:rsidRPr="003D1E07">
        <w:t xml:space="preserve">ento ipseitní výkon osoby </w:t>
      </w:r>
      <w:r w:rsidR="088E3470" w:rsidRPr="003D1E07">
        <w:t>je možné abstrahovat</w:t>
      </w:r>
      <w:r w:rsidR="08571585" w:rsidRPr="003D1E07">
        <w:t xml:space="preserve">, protože </w:t>
      </w:r>
      <w:r w:rsidR="006B58E4" w:rsidRPr="003D1E07">
        <w:t xml:space="preserve">myšlení </w:t>
      </w:r>
      <w:r w:rsidR="08571585" w:rsidRPr="003D1E07">
        <w:t xml:space="preserve">existuje v osobě jako </w:t>
      </w:r>
      <w:r w:rsidR="006B58E4" w:rsidRPr="003D1E07">
        <w:t>nedělitelné reálné první substanci</w:t>
      </w:r>
      <w:r w:rsidR="083A3DBB" w:rsidRPr="003D1E07">
        <w:t xml:space="preserve">. V modu správně provedené dedukce </w:t>
      </w:r>
      <w:r w:rsidR="002C0CC3" w:rsidRPr="003D1E07">
        <w:t>dostaneme gene</w:t>
      </w:r>
      <w:r w:rsidR="00613ED4" w:rsidRPr="003D1E07">
        <w:t xml:space="preserve">rickou formu </w:t>
      </w:r>
      <w:r w:rsidR="002C0CC3" w:rsidRPr="003D1E07">
        <w:rPr>
          <w:i/>
        </w:rPr>
        <w:t>continuatio</w:t>
      </w:r>
      <w:r w:rsidR="002C0CC3" w:rsidRPr="003D1E07">
        <w:t xml:space="preserve"> </w:t>
      </w:r>
      <w:r w:rsidR="00822508" w:rsidRPr="003D1E07">
        <w:t xml:space="preserve">tohoto </w:t>
      </w:r>
      <w:r w:rsidR="00770FE3">
        <w:t xml:space="preserve">personálního </w:t>
      </w:r>
      <w:r w:rsidR="00822508" w:rsidRPr="003D1E07">
        <w:t>intelektu, kter</w:t>
      </w:r>
      <w:r w:rsidR="00613ED4" w:rsidRPr="003D1E07">
        <w:t>ý</w:t>
      </w:r>
      <w:r w:rsidR="001265A7">
        <w:t xml:space="preserve"> se stal </w:t>
      </w:r>
      <w:r w:rsidR="006B5736" w:rsidRPr="003D1E07">
        <w:t xml:space="preserve">univerzální species v modu </w:t>
      </w:r>
      <w:r w:rsidR="006B5736" w:rsidRPr="003D1E07">
        <w:rPr>
          <w:i/>
        </w:rPr>
        <w:t>per prius</w:t>
      </w:r>
      <w:r w:rsidR="006B5736" w:rsidRPr="003D1E07">
        <w:t xml:space="preserve">. </w:t>
      </w:r>
      <w:r w:rsidR="00613ED4" w:rsidRPr="003D1E07">
        <w:t>I</w:t>
      </w:r>
      <w:r w:rsidR="006B5736" w:rsidRPr="003D1E07">
        <w:t xml:space="preserve">ntelekt jako </w:t>
      </w:r>
      <w:r w:rsidR="006B5736" w:rsidRPr="006459C2">
        <w:t>species</w:t>
      </w:r>
      <w:r w:rsidR="006B5736" w:rsidRPr="003D1E07">
        <w:t xml:space="preserve"> </w:t>
      </w:r>
      <w:r w:rsidR="00C57E2B" w:rsidRPr="003D1E07">
        <w:t xml:space="preserve">je </w:t>
      </w:r>
      <w:r w:rsidR="00822508" w:rsidRPr="003D1E07">
        <w:t>vázan</w:t>
      </w:r>
      <w:r w:rsidR="006B5736" w:rsidRPr="003D1E07">
        <w:t>ý</w:t>
      </w:r>
      <w:r w:rsidR="088E3470" w:rsidRPr="003D1E07">
        <w:t xml:space="preserve"> na univerzální přir</w:t>
      </w:r>
      <w:r w:rsidR="00822508" w:rsidRPr="003D1E07">
        <w:t xml:space="preserve">ozenost lidstva pojatého </w:t>
      </w:r>
      <w:r w:rsidR="088E3470" w:rsidRPr="003D1E07">
        <w:t xml:space="preserve">jako </w:t>
      </w:r>
      <w:r w:rsidR="00822508" w:rsidRPr="006459C2">
        <w:t>genus</w:t>
      </w:r>
      <w:r w:rsidR="088E3470" w:rsidRPr="003D1E07">
        <w:t>. Lidstvo reálně neexistuje, jen Sokrates existuje. I</w:t>
      </w:r>
      <w:r w:rsidR="001F3582" w:rsidRPr="003D1E07">
        <w:t xml:space="preserve">ntelekt </w:t>
      </w:r>
      <w:r w:rsidR="088E3470" w:rsidRPr="003D1E07">
        <w:t xml:space="preserve">na této úrovni </w:t>
      </w:r>
      <w:r w:rsidR="00EB6759" w:rsidRPr="003D1E07">
        <w:t xml:space="preserve">existuje </w:t>
      </w:r>
      <w:r w:rsidR="001F3582" w:rsidRPr="003D1E07">
        <w:t>jako specifická schopnost</w:t>
      </w:r>
      <w:r w:rsidR="007D34C0" w:rsidRPr="003D1E07">
        <w:t xml:space="preserve"> </w:t>
      </w:r>
      <w:r w:rsidR="00C62A87" w:rsidRPr="003D1E07">
        <w:t>lidstva</w:t>
      </w:r>
      <w:r w:rsidR="001F3582" w:rsidRPr="003D1E07">
        <w:t xml:space="preserve"> daná univerzálně-po</w:t>
      </w:r>
      <w:r w:rsidR="00160E23" w:rsidRPr="003D1E07">
        <w:t>tenciálně</w:t>
      </w:r>
      <w:r w:rsidR="007D34C0" w:rsidRPr="003D1E07">
        <w:t xml:space="preserve">. </w:t>
      </w:r>
      <w:r w:rsidR="00EB6759" w:rsidRPr="003D1E07">
        <w:t xml:space="preserve">Obě formy </w:t>
      </w:r>
      <w:r w:rsidR="08F40F57" w:rsidRPr="003D1E07">
        <w:t>predikace intelektu s</w:t>
      </w:r>
      <w:r w:rsidR="00EB6759" w:rsidRPr="003D1E07">
        <w:t xml:space="preserve">e zásadně liší, stejně jako se liší </w:t>
      </w:r>
      <w:r w:rsidR="008F13D4" w:rsidRPr="003D1E07">
        <w:t xml:space="preserve">jsoucnost </w:t>
      </w:r>
      <w:r w:rsidR="00EB6759" w:rsidRPr="003D1E07">
        <w:t xml:space="preserve">první a druhé substance v </w:t>
      </w:r>
      <w:r w:rsidR="00EB6759" w:rsidRPr="003D1E07">
        <w:rPr>
          <w:i/>
        </w:rPr>
        <w:t>Kategoriích</w:t>
      </w:r>
      <w:r w:rsidR="08226779" w:rsidRPr="003D1E07">
        <w:t xml:space="preserve"> (kap. 1.3</w:t>
      </w:r>
      <w:r w:rsidR="00EB6759" w:rsidRPr="003D1E07">
        <w:t xml:space="preserve">). </w:t>
      </w:r>
      <w:r w:rsidR="088B07FF" w:rsidRPr="003D1E07">
        <w:t>P</w:t>
      </w:r>
      <w:r w:rsidR="00160E23" w:rsidRPr="003D1E07">
        <w:t xml:space="preserve">rvní </w:t>
      </w:r>
      <w:r w:rsidR="088B07FF" w:rsidRPr="003D1E07">
        <w:t>substance představuje</w:t>
      </w:r>
      <w:r w:rsidR="00160E23" w:rsidRPr="003D1E07">
        <w:t xml:space="preserve"> </w:t>
      </w:r>
      <w:r w:rsidR="00D75B51" w:rsidRPr="003D1E07">
        <w:t>osobní akt poznání</w:t>
      </w:r>
      <w:r w:rsidR="001F3582" w:rsidRPr="003D1E07">
        <w:t>,</w:t>
      </w:r>
      <w:r w:rsidR="088B07FF" w:rsidRPr="003D1E07">
        <w:t xml:space="preserve"> druhá substance </w:t>
      </w:r>
      <w:r w:rsidR="001F3582" w:rsidRPr="003D1E07">
        <w:t>představu</w:t>
      </w:r>
      <w:r w:rsidR="00160E23" w:rsidRPr="003D1E07">
        <w:t>je univerzální koncept</w:t>
      </w:r>
      <w:r w:rsidR="00D75B51" w:rsidRPr="003D1E07">
        <w:t xml:space="preserve"> poznání</w:t>
      </w:r>
      <w:r w:rsidR="003F4C25">
        <w:t>.</w:t>
      </w:r>
    </w:p>
    <w:p w14:paraId="4A8DD8EC" w14:textId="39469EA3" w:rsidR="00A6540D" w:rsidRPr="003D1E07" w:rsidRDefault="00EE22FB" w:rsidP="00630F8A">
      <w:pPr>
        <w:ind w:firstLine="397"/>
      </w:pPr>
      <w:r w:rsidRPr="003D1E07">
        <w:t>Lidský inte</w:t>
      </w:r>
      <w:r w:rsidR="0014280D" w:rsidRPr="003D1E07">
        <w:t>l</w:t>
      </w:r>
      <w:r w:rsidRPr="003D1E07">
        <w:t>e</w:t>
      </w:r>
      <w:r w:rsidR="0014280D" w:rsidRPr="003D1E07">
        <w:t>kt s</w:t>
      </w:r>
      <w:r w:rsidRPr="003D1E07">
        <w:t>e</w:t>
      </w:r>
      <w:r w:rsidR="0014280D" w:rsidRPr="003D1E07">
        <w:t xml:space="preserve"> liší jak od nebeských inteligencí, tak od smyslového uvažování zvířat. </w:t>
      </w:r>
      <w:r w:rsidR="082652FD" w:rsidRPr="003D1E07">
        <w:t>Nebeské inteligence</w:t>
      </w:r>
      <w:r w:rsidR="00057F39" w:rsidRPr="003D1E07">
        <w:t xml:space="preserve"> jsou čistý aktuální intelekt. Z</w:t>
      </w:r>
      <w:r w:rsidR="082652FD" w:rsidRPr="003D1E07">
        <w:t xml:space="preserve">vířata nemají intelekt vůbec, jen základní rozlišovací </w:t>
      </w:r>
      <w:r w:rsidR="082652FD" w:rsidRPr="003D1E07">
        <w:rPr>
          <w:i/>
        </w:rPr>
        <w:t>aestimatio</w:t>
      </w:r>
      <w:r w:rsidR="082652FD" w:rsidRPr="003D1E07">
        <w:t xml:space="preserve"> či </w:t>
      </w:r>
      <w:r w:rsidR="082652FD" w:rsidRPr="003D1E07">
        <w:rPr>
          <w:i/>
        </w:rPr>
        <w:t>cogitatio</w:t>
      </w:r>
      <w:r w:rsidR="082652FD" w:rsidRPr="003D1E07">
        <w:t xml:space="preserve"> vázané pouze na smysly. </w:t>
      </w:r>
      <w:r w:rsidR="08EA158D" w:rsidRPr="003D1E07">
        <w:t>Ale toto tvoření závěrů je už plně individuální, protože je tvořeno aktem smyslové intencionality dané jako výkon nemateriální zvířecí duše</w:t>
      </w:r>
      <w:r w:rsidR="082D522F" w:rsidRPr="003D1E07">
        <w:t xml:space="preserve">, která tvoří </w:t>
      </w:r>
      <w:r w:rsidR="08EA158D" w:rsidRPr="003D1E07">
        <w:t>entele</w:t>
      </w:r>
      <w:r w:rsidR="082D522F" w:rsidRPr="003D1E07">
        <w:t>chickou formu</w:t>
      </w:r>
      <w:r w:rsidR="08EA158D" w:rsidRPr="003D1E07">
        <w:t xml:space="preserve"> živého těla. Člověk má schopnost vyššího nemateriálního poznání, i když je </w:t>
      </w:r>
      <w:r w:rsidR="0870690E" w:rsidRPr="003D1E07">
        <w:t xml:space="preserve">založené </w:t>
      </w:r>
      <w:r w:rsidR="08EA158D" w:rsidRPr="003D1E07">
        <w:t xml:space="preserve">smyslově. </w:t>
      </w:r>
      <w:r w:rsidR="08BB46A7" w:rsidRPr="003D1E07">
        <w:t xml:space="preserve">Pokud bychom jako lidé tuto </w:t>
      </w:r>
      <w:r w:rsidR="001F3582" w:rsidRPr="003D1E07">
        <w:t xml:space="preserve">intelektuální receptivní </w:t>
      </w:r>
      <w:r w:rsidR="08BB46A7" w:rsidRPr="003D1E07">
        <w:t>schopnost neměli z hlediska naší přirozenosti (</w:t>
      </w:r>
      <w:r w:rsidR="085F37A1" w:rsidRPr="003D1E07">
        <w:t xml:space="preserve">tj. mimo aktuální myšlení a mimo </w:t>
      </w:r>
      <w:r w:rsidR="08BB46A7" w:rsidRPr="003D1E07">
        <w:t>individuální dispozice), pak b</w:t>
      </w:r>
      <w:r w:rsidR="00D43C9E" w:rsidRPr="003D1E07">
        <w:t>ychom nepoznávali univerzálně stejné obsahy</w:t>
      </w:r>
      <w:r w:rsidR="086111D2" w:rsidRPr="003D1E07">
        <w:t xml:space="preserve"> a věda</w:t>
      </w:r>
      <w:r w:rsidR="08CF30C0" w:rsidRPr="003D1E07">
        <w:t xml:space="preserve"> by byla nemožná</w:t>
      </w:r>
      <w:r w:rsidR="00D43C9E" w:rsidRPr="003D1E07">
        <w:t xml:space="preserve">. </w:t>
      </w:r>
      <w:r w:rsidR="081C313E" w:rsidRPr="003D1E07">
        <w:t xml:space="preserve">Ale poznání </w:t>
      </w:r>
      <w:r w:rsidR="08421024" w:rsidRPr="003D1E07">
        <w:t xml:space="preserve">v rámci lidstva </w:t>
      </w:r>
      <w:r w:rsidR="081C313E" w:rsidRPr="003D1E07">
        <w:t>existuje</w:t>
      </w:r>
      <w:r w:rsidR="00057F39" w:rsidRPr="003D1E07">
        <w:t xml:space="preserve"> a </w:t>
      </w:r>
      <w:r w:rsidR="0072115C" w:rsidRPr="003D1E07">
        <w:t>také</w:t>
      </w:r>
      <w:r w:rsidR="0072115C">
        <w:t xml:space="preserve"> </w:t>
      </w:r>
      <w:r w:rsidR="00057F39" w:rsidRPr="003D1E07">
        <w:t xml:space="preserve">filosofie i </w:t>
      </w:r>
      <w:r w:rsidR="0072115C">
        <w:t>věda</w:t>
      </w:r>
      <w:r w:rsidR="08421024" w:rsidRPr="003D1E07">
        <w:t xml:space="preserve">, protože </w:t>
      </w:r>
      <w:r w:rsidR="087B588C" w:rsidRPr="003D1E07">
        <w:t>osoba existuje</w:t>
      </w:r>
      <w:r w:rsidR="000A3F9B" w:rsidRPr="003D1E07">
        <w:t xml:space="preserve"> jako reálná první substance</w:t>
      </w:r>
      <w:r w:rsidR="087B588C" w:rsidRPr="003D1E07">
        <w:t>. P</w:t>
      </w:r>
      <w:r w:rsidR="08BC5E12" w:rsidRPr="003D1E07">
        <w:t xml:space="preserve">roto je člověk </w:t>
      </w:r>
      <w:r w:rsidR="00370E5A" w:rsidRPr="003D1E07">
        <w:t xml:space="preserve">konceptuálně definován </w:t>
      </w:r>
      <w:r w:rsidR="008B7517" w:rsidRPr="003D1E07">
        <w:t xml:space="preserve"> </w:t>
      </w:r>
      <w:r w:rsidR="08BC5E12" w:rsidRPr="003D1E07">
        <w:t xml:space="preserve">jako </w:t>
      </w:r>
      <w:r w:rsidR="00370E5A" w:rsidRPr="003D1E07">
        <w:t>rozumná bytost na rovině druhé substance</w:t>
      </w:r>
      <w:r w:rsidR="081C313E" w:rsidRPr="003D1E07">
        <w:t xml:space="preserve">. </w:t>
      </w:r>
      <w:r w:rsidR="007D0B12" w:rsidRPr="003D1E07">
        <w:t xml:space="preserve">Citáty o jednotě </w:t>
      </w:r>
      <w:r w:rsidR="00DE3226" w:rsidRPr="003D1E07">
        <w:t xml:space="preserve">intelektu </w:t>
      </w:r>
      <w:r w:rsidR="007D0B12" w:rsidRPr="003D1E07">
        <w:t xml:space="preserve">v rámci lidstva mají </w:t>
      </w:r>
      <w:r w:rsidR="00F73D7C" w:rsidRPr="003D1E07">
        <w:t xml:space="preserve">přesný význam v rámci </w:t>
      </w:r>
      <w:r w:rsidR="0025478F" w:rsidRPr="003D1E07">
        <w:t xml:space="preserve">univerzální supozice </w:t>
      </w:r>
      <w:r w:rsidR="004F10D0" w:rsidRPr="003D1E07">
        <w:t>možného intelektu</w:t>
      </w:r>
      <w:r w:rsidR="00F73D7C" w:rsidRPr="003D1E07">
        <w:t>, kterou</w:t>
      </w:r>
      <w:r w:rsidR="00F73D7C" w:rsidRPr="003D1E07">
        <w:rPr>
          <w:i/>
        </w:rPr>
        <w:t xml:space="preserve"> </w:t>
      </w:r>
      <w:r w:rsidR="00F73D7C" w:rsidRPr="003D1E07">
        <w:t xml:space="preserve">budeme zkoumat dále. </w:t>
      </w:r>
      <w:r w:rsidR="00A6540D" w:rsidRPr="003D1E07">
        <w:t xml:space="preserve">Třetí a poslední </w:t>
      </w:r>
      <w:r w:rsidR="08C47970" w:rsidRPr="003D1E07">
        <w:t>část averroistické</w:t>
      </w:r>
      <w:r w:rsidR="00A6540D" w:rsidRPr="003D1E07">
        <w:t xml:space="preserve"> skládanky </w:t>
      </w:r>
      <w:r w:rsidR="000546A7" w:rsidRPr="003D1E07">
        <w:t xml:space="preserve">CMDA </w:t>
      </w:r>
      <w:r w:rsidR="00A6540D" w:rsidRPr="003D1E07">
        <w:t>najdeme</w:t>
      </w:r>
      <w:r w:rsidR="00F73D7C" w:rsidRPr="003D1E07">
        <w:t xml:space="preserve"> v další </w:t>
      </w:r>
      <w:r w:rsidR="00A6540D" w:rsidRPr="003D1E07">
        <w:t>pasáži</w:t>
      </w:r>
      <w:r w:rsidR="00F73D7C" w:rsidRPr="003D1E07">
        <w:t xml:space="preserve"> téže kapitoly</w:t>
      </w:r>
      <w:r w:rsidR="00A6540D" w:rsidRPr="003D1E07">
        <w:t>.</w:t>
      </w:r>
      <w:r w:rsidR="08426629" w:rsidRPr="003D1E07">
        <w:t xml:space="preserve"> </w:t>
      </w:r>
    </w:p>
    <w:p w14:paraId="3EC7C3E1" w14:textId="77777777" w:rsidR="00912FF1" w:rsidRPr="003D1E07" w:rsidRDefault="00912FF1" w:rsidP="00912FF1">
      <w:pPr>
        <w:pStyle w:val="Citace"/>
        <w:rPr>
          <w:noProof/>
          <w:lang w:val="cs-CZ"/>
        </w:rPr>
      </w:pPr>
      <w:r w:rsidRPr="003D1E07">
        <w:rPr>
          <w:rStyle w:val="Zkladntextdkovn0pt"/>
          <w:rFonts w:ascii="Calibri" w:eastAsia="Times" w:hAnsi="Calibri" w:cs="Times New Roman"/>
          <w:spacing w:val="0"/>
          <w:sz w:val="22"/>
          <w:u w:val="none"/>
          <w:lang w:val="cs-CZ"/>
        </w:rPr>
        <w:t>„Pa</w:t>
      </w:r>
      <w:r w:rsidR="006A19EF" w:rsidRPr="003D1E07">
        <w:rPr>
          <w:rStyle w:val="Zkladntextdkovn0pt"/>
          <w:rFonts w:ascii="Calibri" w:eastAsia="Times" w:hAnsi="Calibri" w:cs="Times New Roman"/>
          <w:spacing w:val="0"/>
          <w:sz w:val="22"/>
          <w:u w:val="none"/>
          <w:lang w:val="cs-CZ"/>
        </w:rPr>
        <w:t>k</w:t>
      </w:r>
      <w:r w:rsidRPr="003D1E07">
        <w:rPr>
          <w:rStyle w:val="Zkladntextdkovn0pt"/>
          <w:rFonts w:ascii="Calibri" w:eastAsia="Times" w:hAnsi="Calibri" w:cs="Times New Roman"/>
          <w:spacing w:val="0"/>
          <w:sz w:val="22"/>
          <w:u w:val="none"/>
          <w:lang w:val="cs-CZ"/>
        </w:rPr>
        <w:t xml:space="preserve"> je jasné, že člověk rozumí aktuálně (</w:t>
      </w:r>
      <w:r w:rsidRPr="003D1E07">
        <w:rPr>
          <w:i/>
          <w:noProof/>
          <w:lang w:val="cs-CZ"/>
        </w:rPr>
        <w:t>intelligens in actu</w:t>
      </w:r>
      <w:r w:rsidRPr="003D1E07">
        <w:rPr>
          <w:rStyle w:val="Zkladntextdkovn0pt"/>
          <w:rFonts w:ascii="Calibri" w:eastAsia="Times" w:hAnsi="Calibri" w:cs="Times New Roman"/>
          <w:spacing w:val="0"/>
          <w:sz w:val="22"/>
          <w:u w:val="none"/>
          <w:lang w:val="cs-CZ"/>
        </w:rPr>
        <w:t xml:space="preserve">) proto, že v něm </w:t>
      </w:r>
      <w:r w:rsidR="08C94D7C" w:rsidRPr="003D1E07">
        <w:rPr>
          <w:rStyle w:val="Zkladntextdkovn0pt"/>
          <w:rFonts w:ascii="Calibri" w:eastAsia="Times" w:hAnsi="Calibri" w:cs="Times New Roman"/>
          <w:spacing w:val="0"/>
          <w:sz w:val="22"/>
          <w:u w:val="none"/>
          <w:lang w:val="cs-CZ"/>
        </w:rPr>
        <w:t>trvá myšlenkový proces</w:t>
      </w:r>
      <w:r w:rsidR="006A19EF" w:rsidRPr="003D1E07">
        <w:rPr>
          <w:rStyle w:val="Zkladntextdkovn0pt"/>
          <w:rFonts w:ascii="Calibri" w:eastAsia="Times" w:hAnsi="Calibri" w:cs="Times New Roman"/>
          <w:spacing w:val="0"/>
          <w:sz w:val="22"/>
          <w:u w:val="none"/>
          <w:lang w:val="cs-CZ"/>
        </w:rPr>
        <w:t xml:space="preserve"> daný aktuálně</w:t>
      </w:r>
      <w:r w:rsidRPr="003D1E07">
        <w:rPr>
          <w:rStyle w:val="Zkladntextdkovn0pt"/>
          <w:rFonts w:ascii="Calibri" w:eastAsia="Times" w:hAnsi="Calibri" w:cs="Times New Roman"/>
          <w:spacing w:val="0"/>
          <w:sz w:val="22"/>
          <w:u w:val="none"/>
          <w:lang w:val="cs-CZ"/>
        </w:rPr>
        <w:t xml:space="preserve"> (</w:t>
      </w:r>
      <w:r w:rsidRPr="003D1E07">
        <w:rPr>
          <w:i/>
          <w:noProof/>
          <w:lang w:val="cs-CZ"/>
        </w:rPr>
        <w:t>continuationem intellecti cum eo in actu</w:t>
      </w:r>
      <w:r w:rsidRPr="003D1E07">
        <w:rPr>
          <w:rStyle w:val="Zkladntextdkovn0pt"/>
          <w:rFonts w:ascii="Calibri" w:eastAsia="Times" w:hAnsi="Calibri" w:cs="Times New Roman"/>
          <w:spacing w:val="0"/>
          <w:sz w:val="22"/>
          <w:u w:val="none"/>
          <w:lang w:val="cs-CZ"/>
        </w:rPr>
        <w:t>).“</w:t>
      </w:r>
      <w:r w:rsidR="006A19EF" w:rsidRPr="003D1E07">
        <w:rPr>
          <w:rStyle w:val="Zkladntextdkovn0pt"/>
          <w:rFonts w:ascii="Calibri" w:eastAsia="Times" w:hAnsi="Calibri" w:cs="Times New Roman"/>
          <w:spacing w:val="0"/>
          <w:sz w:val="22"/>
          <w:u w:val="none"/>
          <w:lang w:val="cs-CZ"/>
        </w:rPr>
        <w:t> </w:t>
      </w:r>
      <w:r w:rsidR="009F6CD6" w:rsidRPr="003D1E07">
        <w:rPr>
          <w:rStyle w:val="Znakapoznpodarou"/>
          <w:noProof/>
          <w:lang w:val="cs-CZ"/>
        </w:rPr>
        <w:footnoteReference w:id="255"/>
      </w:r>
    </w:p>
    <w:p w14:paraId="5C677506" w14:textId="77777777" w:rsidR="00AB2B81" w:rsidRDefault="085E2C4C" w:rsidP="00A14322">
      <w:r w:rsidRPr="003D1E07">
        <w:t>P</w:t>
      </w:r>
      <w:r w:rsidR="00A6540D" w:rsidRPr="003D1E07">
        <w:t>o</w:t>
      </w:r>
      <w:r w:rsidRPr="003D1E07">
        <w:t>ro</w:t>
      </w:r>
      <w:r w:rsidR="00A6540D" w:rsidRPr="003D1E07">
        <w:t>zumění jako každý jiný pohyb běží od potenciality k aktualitě, protože žádný učený z nebe nespadl (</w:t>
      </w:r>
      <w:r w:rsidR="00A6540D" w:rsidRPr="003D1E07">
        <w:rPr>
          <w:i/>
        </w:rPr>
        <w:t>homo non est intelligens in actu</w:t>
      </w:r>
      <w:r w:rsidR="08500C5C" w:rsidRPr="003D1E07">
        <w:rPr>
          <w:i/>
        </w:rPr>
        <w:t xml:space="preserve"> nisi...</w:t>
      </w:r>
      <w:r w:rsidR="00A6540D" w:rsidRPr="003D1E07">
        <w:t xml:space="preserve">). Proces poznání potřebuje hnací sílu, která je v aktualitě vzhledem k </w:t>
      </w:r>
      <w:r w:rsidR="00326FC5" w:rsidRPr="003D1E07">
        <w:t xml:space="preserve">potenciálnímu </w:t>
      </w:r>
      <w:r w:rsidR="00A6540D" w:rsidRPr="003D1E07">
        <w:t xml:space="preserve">intelektu. </w:t>
      </w:r>
      <w:r w:rsidR="082C6F6B" w:rsidRPr="003D1E07">
        <w:t>Tato</w:t>
      </w:r>
      <w:r w:rsidR="08371C2B" w:rsidRPr="003D1E07">
        <w:t xml:space="preserve"> aktuální část poznání </w:t>
      </w:r>
      <w:r w:rsidR="00A6540D" w:rsidRPr="003D1E07">
        <w:t>musí být s intelektem spojena</w:t>
      </w:r>
      <w:r w:rsidR="087D0E60" w:rsidRPr="003D1E07">
        <w:t xml:space="preserve"> </w:t>
      </w:r>
      <w:r w:rsidR="00EA47C3" w:rsidRPr="003D1E07">
        <w:t>přímo</w:t>
      </w:r>
      <w:r w:rsidR="0088704D" w:rsidRPr="003D1E07">
        <w:t>. I</w:t>
      </w:r>
      <w:r w:rsidR="08371C2B" w:rsidRPr="003D1E07">
        <w:t xml:space="preserve">ntelekt představuje </w:t>
      </w:r>
      <w:r w:rsidR="00A6540D" w:rsidRPr="003D1E07">
        <w:t xml:space="preserve">trvalou schopnost, která zajišťuje kontinuitu </w:t>
      </w:r>
      <w:r w:rsidR="00A6540D" w:rsidRPr="003D1E07">
        <w:lastRenderedPageBreak/>
        <w:t>poznání (</w:t>
      </w:r>
      <w:r w:rsidR="00A6540D" w:rsidRPr="003D1E07">
        <w:rPr>
          <w:i/>
        </w:rPr>
        <w:t>propter continuationem intellecti</w:t>
      </w:r>
      <w:r w:rsidR="00A6540D" w:rsidRPr="003D1E07">
        <w:t xml:space="preserve">). </w:t>
      </w:r>
      <w:r w:rsidR="00E32491" w:rsidRPr="003D1E07">
        <w:t xml:space="preserve">A </w:t>
      </w:r>
      <w:r w:rsidR="009E6384" w:rsidRPr="003D1E07">
        <w:t xml:space="preserve">tato kontinuita poznání se děje pouze na </w:t>
      </w:r>
      <w:r w:rsidR="087D0E60" w:rsidRPr="003D1E07">
        <w:t xml:space="preserve">aktuální </w:t>
      </w:r>
      <w:r w:rsidR="00CE3AE6" w:rsidRPr="003D1E07">
        <w:t xml:space="preserve">první </w:t>
      </w:r>
      <w:r w:rsidR="009E6384" w:rsidRPr="003D1E07">
        <w:t>substanci (</w:t>
      </w:r>
      <w:r w:rsidR="009E6384" w:rsidRPr="003D1E07">
        <w:rPr>
          <w:i/>
        </w:rPr>
        <w:t>congregatum ex eis sit unicum</w:t>
      </w:r>
      <w:r w:rsidR="00F93A7B" w:rsidRPr="003D1E07">
        <w:t>)</w:t>
      </w:r>
      <w:r w:rsidR="009E6384" w:rsidRPr="003D1E07">
        <w:t xml:space="preserve">. </w:t>
      </w:r>
      <w:r w:rsidR="002E3B62" w:rsidRPr="003D1E07">
        <w:t>Averroes</w:t>
      </w:r>
      <w:r w:rsidR="0095608B" w:rsidRPr="003D1E07">
        <w:t xml:space="preserve"> říká, že intelektuální výkon oduševněného těla je </w:t>
      </w:r>
      <w:r w:rsidR="00074662" w:rsidRPr="003D1E07">
        <w:t xml:space="preserve">aktuálně </w:t>
      </w:r>
      <w:r w:rsidR="0095608B" w:rsidRPr="003D1E07">
        <w:t>jednotný</w:t>
      </w:r>
      <w:r w:rsidR="00400E7E" w:rsidRPr="003D1E07">
        <w:t xml:space="preserve"> v rámci osoby</w:t>
      </w:r>
      <w:r w:rsidR="0095608B" w:rsidRPr="003D1E07">
        <w:t>. Za dr</w:t>
      </w:r>
      <w:r w:rsidR="0095342E" w:rsidRPr="003D1E07">
        <w:t xml:space="preserve">uhé je </w:t>
      </w:r>
      <w:r w:rsidR="087D0E60" w:rsidRPr="003D1E07">
        <w:t xml:space="preserve">osobitý </w:t>
      </w:r>
      <w:r w:rsidR="0095342E" w:rsidRPr="003D1E07">
        <w:t>ve výkonu</w:t>
      </w:r>
      <w:r w:rsidR="002B56F9">
        <w:t xml:space="preserve"> (</w:t>
      </w:r>
      <w:r w:rsidR="002B56F9" w:rsidRPr="002B56F9">
        <w:rPr>
          <w:i/>
        </w:rPr>
        <w:t>ipse</w:t>
      </w:r>
      <w:r w:rsidR="002B56F9">
        <w:t xml:space="preserve">) </w:t>
      </w:r>
      <w:r w:rsidR="00400E7E" w:rsidRPr="003D1E07">
        <w:t>, proto</w:t>
      </w:r>
      <w:r w:rsidR="0012242B">
        <w:t>že je determinován nasvícením z</w:t>
      </w:r>
      <w:r w:rsidR="00400E7E" w:rsidRPr="003D1E07">
        <w:t xml:space="preserve"> </w:t>
      </w:r>
      <w:r w:rsidR="087D0E60" w:rsidRPr="003D1E07">
        <w:t xml:space="preserve">jedinečně daných </w:t>
      </w:r>
      <w:r w:rsidR="00400E7E" w:rsidRPr="003D1E07">
        <w:t>smyslů</w:t>
      </w:r>
      <w:r w:rsidR="002B56F9">
        <w:t xml:space="preserve"> jedinečného těla</w:t>
      </w:r>
      <w:r w:rsidR="00B362CF">
        <w:t xml:space="preserve">. Ty </w:t>
      </w:r>
      <w:r w:rsidR="00400E7E" w:rsidRPr="003D1E07">
        <w:t>poskytují základní aktualitu od reálné první substance</w:t>
      </w:r>
      <w:r w:rsidR="00B362CF">
        <w:t xml:space="preserve"> pro spuštění procesu poznání</w:t>
      </w:r>
      <w:r w:rsidR="0095342E" w:rsidRPr="003D1E07">
        <w:t xml:space="preserve">. </w:t>
      </w:r>
      <w:r w:rsidR="00617547" w:rsidRPr="003D1E07">
        <w:t xml:space="preserve">První a druhý bod jsou dány v rámci impozice. </w:t>
      </w:r>
      <w:r w:rsidR="0095342E" w:rsidRPr="003D1E07">
        <w:t xml:space="preserve">Za třetí je </w:t>
      </w:r>
      <w:r w:rsidR="00617547" w:rsidRPr="003D1E07">
        <w:t>myšlení specifické</w:t>
      </w:r>
      <w:r w:rsidR="0095608B" w:rsidRPr="003D1E07">
        <w:t xml:space="preserve"> pro lidstvo v celkové univerzalitě </w:t>
      </w:r>
      <w:r w:rsidR="00617547" w:rsidRPr="003D1E07">
        <w:t xml:space="preserve">intelektu </w:t>
      </w:r>
      <w:r w:rsidR="007222B4" w:rsidRPr="003D1E07">
        <w:t xml:space="preserve">predikované </w:t>
      </w:r>
      <w:r w:rsidR="00617547" w:rsidRPr="003D1E07">
        <w:t>v rámci supozice. Tato defin</w:t>
      </w:r>
      <w:r w:rsidR="008D3FEA" w:rsidRPr="003D1E07">
        <w:t>i</w:t>
      </w:r>
      <w:r w:rsidR="00617547" w:rsidRPr="003D1E07">
        <w:t>ce intelektu se vz</w:t>
      </w:r>
      <w:r w:rsidR="00B71BD1" w:rsidRPr="003D1E07">
        <w:t>ta</w:t>
      </w:r>
      <w:r w:rsidR="00617547" w:rsidRPr="003D1E07">
        <w:t xml:space="preserve">huje </w:t>
      </w:r>
      <w:r w:rsidR="00B71BD1" w:rsidRPr="003D1E07">
        <w:t xml:space="preserve">k abstraktní </w:t>
      </w:r>
      <w:r w:rsidR="087D0E60" w:rsidRPr="003D1E07">
        <w:t>definici člověka jako myslícího d</w:t>
      </w:r>
      <w:r w:rsidR="0815433A" w:rsidRPr="003D1E07">
        <w:t xml:space="preserve">ruhu odlišného od zvířecího </w:t>
      </w:r>
      <w:r w:rsidR="00F214C5" w:rsidRPr="003D1E07">
        <w:t>species</w:t>
      </w:r>
      <w:r w:rsidR="0095608B" w:rsidRPr="003D1E07">
        <w:t xml:space="preserve">. </w:t>
      </w:r>
      <w:r w:rsidR="0095342E" w:rsidRPr="003D1E07">
        <w:t>T</w:t>
      </w:r>
      <w:r w:rsidR="0095608B" w:rsidRPr="003D1E07">
        <w:t xml:space="preserve">ato </w:t>
      </w:r>
      <w:r w:rsidR="003E2CB1" w:rsidRPr="003D1E07">
        <w:t xml:space="preserve">specifická </w:t>
      </w:r>
      <w:r w:rsidR="0095608B" w:rsidRPr="003D1E07">
        <w:t xml:space="preserve">kontinuita </w:t>
      </w:r>
      <w:r w:rsidR="008312D3">
        <w:t>intelektu (</w:t>
      </w:r>
      <w:r w:rsidR="008312D3" w:rsidRPr="008312D3">
        <w:rPr>
          <w:i/>
        </w:rPr>
        <w:t>intellectum</w:t>
      </w:r>
      <w:r w:rsidR="008312D3">
        <w:t xml:space="preserve">) </w:t>
      </w:r>
      <w:r w:rsidR="003E2CB1" w:rsidRPr="003D1E07">
        <w:t xml:space="preserve">se ale zásadně liší od kontinuity </w:t>
      </w:r>
      <w:r w:rsidR="008D3FEA" w:rsidRPr="003D1E07">
        <w:t>existenciálního aktu myšlení</w:t>
      </w:r>
      <w:r w:rsidR="008312D3">
        <w:t xml:space="preserve"> (</w:t>
      </w:r>
      <w:r w:rsidR="008312D3" w:rsidRPr="008312D3">
        <w:rPr>
          <w:i/>
        </w:rPr>
        <w:t>intellectio</w:t>
      </w:r>
      <w:r w:rsidR="008312D3">
        <w:t>)</w:t>
      </w:r>
      <w:r w:rsidR="0027536B" w:rsidRPr="003D1E07">
        <w:t xml:space="preserve">. Impozice intelektu </w:t>
      </w:r>
      <w:r w:rsidR="008D3FEA" w:rsidRPr="003D1E07">
        <w:t xml:space="preserve">je </w:t>
      </w:r>
      <w:r w:rsidR="0027536B" w:rsidRPr="003D1E07">
        <w:t>aktuálně daná</w:t>
      </w:r>
      <w:r w:rsidR="083E2D6B" w:rsidRPr="003D1E07">
        <w:t xml:space="preserve"> </w:t>
      </w:r>
      <w:r w:rsidR="0095608B" w:rsidRPr="003D1E07">
        <w:t>ve výkonu</w:t>
      </w:r>
      <w:r w:rsidR="00BF6F4A" w:rsidRPr="003D1E07">
        <w:t xml:space="preserve"> </w:t>
      </w:r>
      <w:r w:rsidR="00626B7F" w:rsidRPr="003D1E07">
        <w:t xml:space="preserve">osoby </w:t>
      </w:r>
      <w:r w:rsidR="00BF6F4A" w:rsidRPr="003D1E07">
        <w:t>(</w:t>
      </w:r>
      <w:r w:rsidR="00BF6F4A" w:rsidRPr="003D1E07">
        <w:rPr>
          <w:i/>
        </w:rPr>
        <w:t xml:space="preserve">tertium </w:t>
      </w:r>
      <w:r w:rsidR="00636BD4" w:rsidRPr="003D1E07">
        <w:rPr>
          <w:i/>
        </w:rPr>
        <w:t>genus</w:t>
      </w:r>
      <w:r w:rsidR="00982C89" w:rsidRPr="003D1E07">
        <w:rPr>
          <w:i/>
        </w:rPr>
        <w:fldChar w:fldCharType="begin"/>
      </w:r>
      <w:r w:rsidR="00982C89" w:rsidRPr="003D1E07">
        <w:instrText xml:space="preserve"> XE "</w:instrText>
      </w:r>
      <w:r w:rsidR="00982C89" w:rsidRPr="003D1E07">
        <w:rPr>
          <w:i/>
        </w:rPr>
        <w:instrText>tertium genus</w:instrText>
      </w:r>
      <w:r w:rsidR="00982C89" w:rsidRPr="003D1E07">
        <w:instrText xml:space="preserve">" </w:instrText>
      </w:r>
      <w:r w:rsidR="00982C89" w:rsidRPr="003D1E07">
        <w:rPr>
          <w:i/>
        </w:rPr>
        <w:fldChar w:fldCharType="end"/>
      </w:r>
      <w:r w:rsidR="00BF6F4A" w:rsidRPr="003D1E07">
        <w:t>)</w:t>
      </w:r>
      <w:r w:rsidR="003E2CB1" w:rsidRPr="003D1E07">
        <w:t xml:space="preserve">. Úplně </w:t>
      </w:r>
      <w:r w:rsidR="004E180E" w:rsidRPr="003D1E07">
        <w:t xml:space="preserve">odlišná </w:t>
      </w:r>
      <w:r w:rsidR="003E2CB1" w:rsidRPr="003D1E07">
        <w:t xml:space="preserve">je kontinuita myšlení </w:t>
      </w:r>
      <w:r w:rsidR="0095608B" w:rsidRPr="003D1E07">
        <w:t xml:space="preserve">ve specifickém intelektu celého </w:t>
      </w:r>
      <w:r w:rsidR="003E2CB1" w:rsidRPr="003D1E07">
        <w:t xml:space="preserve">lidstva, kde je dána jako </w:t>
      </w:r>
      <w:r w:rsidR="0095608B" w:rsidRPr="003D1E07">
        <w:t xml:space="preserve">univerzální </w:t>
      </w:r>
      <w:r w:rsidR="083E2D6B" w:rsidRPr="003D1E07">
        <w:t xml:space="preserve">a proto věčný koncept </w:t>
      </w:r>
      <w:r w:rsidR="00BF6F4A" w:rsidRPr="003D1E07">
        <w:t>(</w:t>
      </w:r>
      <w:r w:rsidR="00BF6F4A" w:rsidRPr="003D1E07">
        <w:rPr>
          <w:i/>
        </w:rPr>
        <w:t xml:space="preserve">quartum </w:t>
      </w:r>
      <w:r w:rsidR="00636BD4" w:rsidRPr="003D1E07">
        <w:rPr>
          <w:i/>
        </w:rPr>
        <w:t>genus</w:t>
      </w:r>
      <w:r w:rsidR="00982C89" w:rsidRPr="003D1E07">
        <w:rPr>
          <w:i/>
        </w:rPr>
        <w:fldChar w:fldCharType="begin"/>
      </w:r>
      <w:r w:rsidR="00982C89" w:rsidRPr="003D1E07">
        <w:instrText xml:space="preserve"> XE "</w:instrText>
      </w:r>
      <w:r w:rsidR="00982C89" w:rsidRPr="003D1E07">
        <w:rPr>
          <w:i/>
        </w:rPr>
        <w:instrText>quartum genus</w:instrText>
      </w:r>
      <w:r w:rsidR="00982C89" w:rsidRPr="003D1E07">
        <w:instrText xml:space="preserve">" </w:instrText>
      </w:r>
      <w:r w:rsidR="00982C89" w:rsidRPr="003D1E07">
        <w:rPr>
          <w:i/>
        </w:rPr>
        <w:fldChar w:fldCharType="end"/>
      </w:r>
      <w:r w:rsidR="00BF6F4A" w:rsidRPr="003D1E07">
        <w:t>)</w:t>
      </w:r>
      <w:r w:rsidR="0095608B" w:rsidRPr="003D1E07">
        <w:t xml:space="preserve">. </w:t>
      </w:r>
      <w:r w:rsidR="00F536A1" w:rsidRPr="003D1E07">
        <w:t>Rozdíl mezi oběma rody je naprosto zásadní</w:t>
      </w:r>
      <w:r w:rsidR="009A4473" w:rsidRPr="003D1E07">
        <w:t>. Logika není metaf</w:t>
      </w:r>
      <w:r w:rsidR="00AB2B81">
        <w:t>yzika a impozice není supozice.</w:t>
      </w:r>
    </w:p>
    <w:p w14:paraId="10B26908" w14:textId="776BE24F" w:rsidR="08B4081F" w:rsidRPr="00655615" w:rsidRDefault="009A4473" w:rsidP="00655615">
      <w:pPr>
        <w:ind w:firstLine="397"/>
      </w:pPr>
      <w:r w:rsidRPr="003D1E07">
        <w:t>O</w:t>
      </w:r>
      <w:r w:rsidR="083E2D6B" w:rsidRPr="003D1E07">
        <w:t xml:space="preserve">bjektivní výklady </w:t>
      </w:r>
      <w:r w:rsidR="00236609">
        <w:t>„</w:t>
      </w:r>
      <w:r w:rsidR="083E2D6B" w:rsidRPr="003D1E07">
        <w:t>intelektu</w:t>
      </w:r>
      <w:r w:rsidR="00236609">
        <w:t>“</w:t>
      </w:r>
      <w:r w:rsidR="00977DF8" w:rsidRPr="003D1E07">
        <w:t xml:space="preserve"> </w:t>
      </w:r>
      <w:r w:rsidR="00BC393E" w:rsidRPr="003D1E07">
        <w:t xml:space="preserve">jako jsoucna třetího druhu </w:t>
      </w:r>
      <w:r w:rsidR="00A14283" w:rsidRPr="003D1E07">
        <w:t xml:space="preserve">tuto diferenci </w:t>
      </w:r>
      <w:r w:rsidR="083E2D6B" w:rsidRPr="003D1E07">
        <w:t>úplně pominuly</w:t>
      </w:r>
      <w:r w:rsidR="00BC393E" w:rsidRPr="003D1E07">
        <w:t xml:space="preserve">. </w:t>
      </w:r>
      <w:r w:rsidR="0808747A" w:rsidRPr="003D1E07">
        <w:t xml:space="preserve">Opět je vidět epochální </w:t>
      </w:r>
      <w:r w:rsidR="0808747A" w:rsidRPr="003D1E07">
        <w:rPr>
          <w:i/>
        </w:rPr>
        <w:t>Irrtum</w:t>
      </w:r>
      <w:r w:rsidR="0808747A" w:rsidRPr="003D1E07">
        <w:rPr>
          <w:i/>
        </w:rPr>
        <w:fldChar w:fldCharType="begin"/>
      </w:r>
      <w:r w:rsidR="0808747A" w:rsidRPr="003D1E07">
        <w:instrText xml:space="preserve"> XE "</w:instrText>
      </w:r>
      <w:r w:rsidR="0808747A" w:rsidRPr="003D1E07">
        <w:rPr>
          <w:i/>
        </w:rPr>
        <w:instrText>Irrtum</w:instrText>
      </w:r>
      <w:r w:rsidR="0808747A" w:rsidRPr="003D1E07">
        <w:instrText xml:space="preserve">" </w:instrText>
      </w:r>
      <w:r w:rsidR="0808747A" w:rsidRPr="003D1E07">
        <w:rPr>
          <w:i/>
        </w:rPr>
        <w:fldChar w:fldCharType="end"/>
      </w:r>
      <w:r w:rsidR="0808747A" w:rsidRPr="003D1E07">
        <w:t xml:space="preserve"> avicennismu, protože </w:t>
      </w:r>
      <w:r w:rsidR="08C26516" w:rsidRPr="003D1E07">
        <w:t xml:space="preserve">moderna </w:t>
      </w:r>
      <w:r w:rsidR="0808747A" w:rsidRPr="003D1E07">
        <w:t xml:space="preserve">klade simulákrum zvané </w:t>
      </w:r>
      <w:r w:rsidR="005C5DB9" w:rsidRPr="003D1E07">
        <w:t xml:space="preserve">„intelekt“ v mytopoetickém </w:t>
      </w:r>
      <w:r w:rsidR="0808747A" w:rsidRPr="003D1E07">
        <w:rPr>
          <w:i/>
        </w:rPr>
        <w:t>modus ponens</w:t>
      </w:r>
      <w:r w:rsidR="00F343B2" w:rsidRPr="003D1E07">
        <w:rPr>
          <w:i/>
        </w:rPr>
        <w:fldChar w:fldCharType="begin"/>
      </w:r>
      <w:r w:rsidR="00F343B2" w:rsidRPr="003D1E07">
        <w:instrText xml:space="preserve"> XE "</w:instrText>
      </w:r>
      <w:r w:rsidR="00F343B2" w:rsidRPr="003D1E07">
        <w:rPr>
          <w:i/>
        </w:rPr>
        <w:instrText>modus ponens</w:instrText>
      </w:r>
      <w:r w:rsidR="00F343B2" w:rsidRPr="003D1E07">
        <w:instrText xml:space="preserve">" </w:instrText>
      </w:r>
      <w:r w:rsidR="00F343B2" w:rsidRPr="003D1E07">
        <w:rPr>
          <w:i/>
        </w:rPr>
        <w:fldChar w:fldCharType="end"/>
      </w:r>
      <w:r w:rsidR="086444D2" w:rsidRPr="003D1E07">
        <w:t>. Moderní logika vidí jen identitu substance v</w:t>
      </w:r>
      <w:r w:rsidR="00C2133B" w:rsidRPr="003D1E07">
        <w:t xml:space="preserve"> ekvivočním </w:t>
      </w:r>
      <w:r w:rsidR="086444D2" w:rsidRPr="003D1E07">
        <w:t xml:space="preserve">modu </w:t>
      </w:r>
      <w:r w:rsidR="086444D2" w:rsidRPr="003D1E07">
        <w:rPr>
          <w:i/>
        </w:rPr>
        <w:t>secundum quod</w:t>
      </w:r>
      <w:r w:rsidR="00623FBB" w:rsidRPr="003D1E07">
        <w:t xml:space="preserve">. </w:t>
      </w:r>
      <w:r w:rsidR="086444D2" w:rsidRPr="003D1E07">
        <w:t>M</w:t>
      </w:r>
      <w:r w:rsidR="0808747A" w:rsidRPr="003D1E07">
        <w:t xml:space="preserve">oderní logika vidí jen identitu substance v univočním modu </w:t>
      </w:r>
      <w:r w:rsidR="0808747A" w:rsidRPr="003D1E07">
        <w:rPr>
          <w:i/>
        </w:rPr>
        <w:t>secundum quod</w:t>
      </w:r>
      <w:r w:rsidR="0808747A" w:rsidRPr="003D1E07">
        <w:t xml:space="preserve"> a nemůže poznat žádnou ipseitu v metafyzickém modu </w:t>
      </w:r>
      <w:r w:rsidR="0808747A" w:rsidRPr="003D1E07">
        <w:rPr>
          <w:i/>
        </w:rPr>
        <w:t>quo est</w:t>
      </w:r>
      <w:r w:rsidR="0808747A" w:rsidRPr="003D1E07">
        <w:t xml:space="preserve">. </w:t>
      </w:r>
      <w:r w:rsidR="080C3812" w:rsidRPr="003D1E07">
        <w:t xml:space="preserve">Komentář jasně říká, že jde o dvě rodově odlišné výkony porozumění dané buď v modu </w:t>
      </w:r>
      <w:r w:rsidR="003F5385">
        <w:t xml:space="preserve">existenciální </w:t>
      </w:r>
      <w:r w:rsidR="080C3812" w:rsidRPr="003D1E07">
        <w:t xml:space="preserve">ipseity, nebo v modu univerzální </w:t>
      </w:r>
      <w:r w:rsidR="00081189">
        <w:t>identity</w:t>
      </w:r>
      <w:r w:rsidR="080C3812" w:rsidRPr="003D1E07">
        <w:t xml:space="preserve">. Mezi aktualitou a potencialitou není možná žádná </w:t>
      </w:r>
      <w:r w:rsidR="006F0071" w:rsidRPr="003D1E07">
        <w:t>„</w:t>
      </w:r>
      <w:r w:rsidR="080C3812" w:rsidRPr="003D1E07">
        <w:t>kopulace</w:t>
      </w:r>
      <w:r w:rsidR="006F0071" w:rsidRPr="003D1E07">
        <w:t>“</w:t>
      </w:r>
      <w:r w:rsidR="080C3812" w:rsidRPr="003D1E07">
        <w:t xml:space="preserve"> ve formě nějakého jsoucna třetího druhu. </w:t>
      </w:r>
      <w:r w:rsidR="083E2D6B" w:rsidRPr="003D1E07">
        <w:t xml:space="preserve">Hermeneutika </w:t>
      </w:r>
      <w:r w:rsidR="00BC393E" w:rsidRPr="003D1E07">
        <w:t xml:space="preserve">se </w:t>
      </w:r>
      <w:r w:rsidR="083E2D6B" w:rsidRPr="003D1E07">
        <w:t xml:space="preserve">distancuje od spekulativní teorie </w:t>
      </w:r>
      <w:r w:rsidR="000C67F9" w:rsidRPr="003D1E07">
        <w:t xml:space="preserve">typu </w:t>
      </w:r>
      <w:r w:rsidR="000C67F9" w:rsidRPr="003D1E07">
        <w:rPr>
          <w:i/>
        </w:rPr>
        <w:t>copulatio</w:t>
      </w:r>
      <w:r w:rsidR="00C6174F" w:rsidRPr="003D1E07">
        <w:rPr>
          <w:i/>
        </w:rPr>
        <w:fldChar w:fldCharType="begin"/>
      </w:r>
      <w:r w:rsidR="00C6174F" w:rsidRPr="003D1E07">
        <w:instrText xml:space="preserve"> XE "</w:instrText>
      </w:r>
      <w:r w:rsidR="00C6174F" w:rsidRPr="003D1E07">
        <w:rPr>
          <w:i/>
        </w:rPr>
        <w:instrText>copulatio</w:instrText>
      </w:r>
      <w:r w:rsidR="00C6174F" w:rsidRPr="003D1E07">
        <w:instrText xml:space="preserve">" </w:instrText>
      </w:r>
      <w:r w:rsidR="00C6174F" w:rsidRPr="003D1E07">
        <w:rPr>
          <w:i/>
        </w:rPr>
        <w:fldChar w:fldCharType="end"/>
      </w:r>
      <w:r w:rsidR="000C67F9" w:rsidRPr="003D1E07">
        <w:t xml:space="preserve"> </w:t>
      </w:r>
      <w:r w:rsidR="00BC393E" w:rsidRPr="003D1E07">
        <w:t xml:space="preserve">moderních i postmoderních averroistů </w:t>
      </w:r>
      <w:r w:rsidR="00072652" w:rsidRPr="003D1E07">
        <w:t>(</w:t>
      </w:r>
      <w:r w:rsidR="083E2D6B" w:rsidRPr="003D1E07">
        <w:rPr>
          <w:i/>
        </w:rPr>
        <w:t>Mind</w:t>
      </w:r>
      <w:r w:rsidR="08112E37" w:rsidRPr="003D1E07">
        <w:rPr>
          <w:i/>
        </w:rPr>
        <w:t>–</w:t>
      </w:r>
      <w:r w:rsidR="00072652" w:rsidRPr="003D1E07">
        <w:rPr>
          <w:i/>
        </w:rPr>
        <w:t>Body Problem</w:t>
      </w:r>
      <w:r w:rsidR="00072652" w:rsidRPr="003D1E07">
        <w:rPr>
          <w:i/>
        </w:rPr>
        <w:fldChar w:fldCharType="begin"/>
      </w:r>
      <w:r w:rsidR="00072652" w:rsidRPr="003D1E07">
        <w:instrText xml:space="preserve"> XE "</w:instrText>
      </w:r>
      <w:r w:rsidR="00072652" w:rsidRPr="003D1E07">
        <w:rPr>
          <w:rStyle w:val="Zkladntext184"/>
          <w:rFonts w:ascii="Calibri" w:eastAsia="Times" w:hAnsi="Calibri" w:cs="Times New Roman"/>
          <w:i/>
          <w:color w:val="auto"/>
          <w:spacing w:val="0"/>
          <w:sz w:val="24"/>
          <w:lang w:val="cs-CZ"/>
        </w:rPr>
        <w:instrText>Mind‒Body Problem</w:instrText>
      </w:r>
      <w:r w:rsidR="00072652" w:rsidRPr="003D1E07">
        <w:instrText xml:space="preserve">" </w:instrText>
      </w:r>
      <w:r w:rsidR="00072652" w:rsidRPr="003D1E07">
        <w:rPr>
          <w:i/>
        </w:rPr>
        <w:fldChar w:fldCharType="end"/>
      </w:r>
      <w:r w:rsidR="00072652" w:rsidRPr="003D1E07">
        <w:t>)</w:t>
      </w:r>
      <w:r w:rsidR="000C67F9" w:rsidRPr="003D1E07">
        <w:t xml:space="preserve">. Výklad pozoruje </w:t>
      </w:r>
      <w:r w:rsidR="00BC393E" w:rsidRPr="003D1E07">
        <w:t>s</w:t>
      </w:r>
      <w:r w:rsidR="00E22B04">
        <w:t> </w:t>
      </w:r>
      <w:r w:rsidR="002E3B62" w:rsidRPr="003D1E07">
        <w:t>Averroes</w:t>
      </w:r>
      <w:r w:rsidR="00BC393E" w:rsidRPr="003D1E07">
        <w:t>em</w:t>
      </w:r>
      <w:r w:rsidR="00E22B04">
        <w:t xml:space="preserve">, Sigerem </w:t>
      </w:r>
      <w:r w:rsidR="0854147C" w:rsidRPr="003D1E07">
        <w:t xml:space="preserve">a Heideggerem </w:t>
      </w:r>
      <w:r w:rsidR="086243D2" w:rsidRPr="003D1E07">
        <w:t xml:space="preserve">existenciální fenomenologický způsob, </w:t>
      </w:r>
      <w:r w:rsidR="00977DF8" w:rsidRPr="003D1E07">
        <w:t>„jak“ (</w:t>
      </w:r>
      <w:r w:rsidR="00977DF8" w:rsidRPr="003D1E07">
        <w:rPr>
          <w:i/>
        </w:rPr>
        <w:t>Wie</w:t>
      </w:r>
      <w:r w:rsidR="00977DF8" w:rsidRPr="003D1E07">
        <w:t xml:space="preserve">) </w:t>
      </w:r>
      <w:r w:rsidR="080544F2" w:rsidRPr="003D1E07">
        <w:t xml:space="preserve">je </w:t>
      </w:r>
      <w:r w:rsidR="00977DF8" w:rsidRPr="003D1E07">
        <w:t>ta</w:t>
      </w:r>
      <w:r w:rsidR="00C16330" w:rsidRPr="003D1E07">
        <w:t xml:space="preserve"> či ona forma intelektu dána v jeho trvání (</w:t>
      </w:r>
      <w:r w:rsidR="00977DF8" w:rsidRPr="003D1E07">
        <w:rPr>
          <w:i/>
        </w:rPr>
        <w:t>continuatio</w:t>
      </w:r>
      <w:r w:rsidR="00C16330" w:rsidRPr="003D1E07">
        <w:t>)</w:t>
      </w:r>
      <w:r w:rsidR="007A230E" w:rsidRPr="003D1E07">
        <w:t xml:space="preserve">. </w:t>
      </w:r>
      <w:r w:rsidR="00DE21B6" w:rsidRPr="003D1E07">
        <w:t xml:space="preserve">Reálný proces </w:t>
      </w:r>
      <w:r w:rsidR="0005397F" w:rsidRPr="003D1E07">
        <w:t>myšlení není mytop</w:t>
      </w:r>
      <w:r w:rsidR="004874D6" w:rsidRPr="003D1E07">
        <w:t>oetická</w:t>
      </w:r>
      <w:r w:rsidR="0005397F" w:rsidRPr="003D1E07">
        <w:t xml:space="preserve"> kopulace jsoucen třetího druhu</w:t>
      </w:r>
      <w:r w:rsidR="00A06B83" w:rsidRPr="003D1E07">
        <w:t xml:space="preserve">. </w:t>
      </w:r>
      <w:r w:rsidR="080C3812" w:rsidRPr="003D1E07">
        <w:t>H</w:t>
      </w:r>
      <w:r w:rsidR="007A230E" w:rsidRPr="003D1E07">
        <w:t>ermeneutická dráha náhledu na jednotu osoby a intelektu (</w:t>
      </w:r>
      <w:r w:rsidR="08A06E68" w:rsidRPr="003D1E07">
        <w:rPr>
          <w:i/>
        </w:rPr>
        <w:t>Vor-</w:t>
      </w:r>
      <w:r w:rsidR="007A230E" w:rsidRPr="003D1E07">
        <w:rPr>
          <w:i/>
        </w:rPr>
        <w:t>blickbahn</w:t>
      </w:r>
      <w:r w:rsidR="007A230E" w:rsidRPr="003D1E07">
        <w:rPr>
          <w:i/>
        </w:rPr>
        <w:fldChar w:fldCharType="begin"/>
      </w:r>
      <w:r w:rsidR="007A230E" w:rsidRPr="003D1E07">
        <w:instrText xml:space="preserve"> XE "</w:instrText>
      </w:r>
      <w:r w:rsidR="08106DC9" w:rsidRPr="003D1E07">
        <w:rPr>
          <w:i/>
        </w:rPr>
        <w:instrText>Vor-</w:instrText>
      </w:r>
      <w:r w:rsidR="007A230E" w:rsidRPr="003D1E07">
        <w:rPr>
          <w:i/>
        </w:rPr>
        <w:instrText>blickbahn:</w:instrText>
      </w:r>
      <w:r w:rsidR="002E3B62" w:rsidRPr="003D1E07">
        <w:instrText>Averroes</w:instrText>
      </w:r>
      <w:r w:rsidR="007A230E" w:rsidRPr="003D1E07">
        <w:instrText xml:space="preserve">" </w:instrText>
      </w:r>
      <w:r w:rsidR="007A230E" w:rsidRPr="003D1E07">
        <w:rPr>
          <w:i/>
        </w:rPr>
        <w:fldChar w:fldCharType="end"/>
      </w:r>
      <w:r w:rsidR="007A230E" w:rsidRPr="003D1E07">
        <w:t>)</w:t>
      </w:r>
      <w:r w:rsidR="00977DF8" w:rsidRPr="003D1E07">
        <w:t xml:space="preserve"> </w:t>
      </w:r>
      <w:r w:rsidR="00CE5400" w:rsidRPr="003D1E07">
        <w:t xml:space="preserve">zásadně rozlišuje dvě odlišné perspektivy. </w:t>
      </w:r>
      <w:r w:rsidR="00977DF8" w:rsidRPr="003D1E07">
        <w:t>I</w:t>
      </w:r>
      <w:r w:rsidR="00F536A1" w:rsidRPr="003D1E07">
        <w:t xml:space="preserve">ntelekt </w:t>
      </w:r>
      <w:r w:rsidR="00A92F7E">
        <w:t xml:space="preserve">jako </w:t>
      </w:r>
      <w:r w:rsidR="00F536A1" w:rsidRPr="003D1E07">
        <w:rPr>
          <w:i/>
        </w:rPr>
        <w:t xml:space="preserve">tertium </w:t>
      </w:r>
      <w:r w:rsidR="00636BD4" w:rsidRPr="003D1E07">
        <w:rPr>
          <w:i/>
        </w:rPr>
        <w:t>genus</w:t>
      </w:r>
      <w:r w:rsidR="00F536A1" w:rsidRPr="003D1E07">
        <w:t xml:space="preserve"> </w:t>
      </w:r>
      <w:r w:rsidR="00A92F7E">
        <w:t>předpokládá ak</w:t>
      </w:r>
      <w:r w:rsidR="00C16330" w:rsidRPr="003D1E07">
        <w:t>tuáln</w:t>
      </w:r>
      <w:r w:rsidR="00A92F7E">
        <w:t xml:space="preserve">í </w:t>
      </w:r>
      <w:r w:rsidR="00F536A1" w:rsidRPr="003D1E07">
        <w:t>hy</w:t>
      </w:r>
      <w:r w:rsidR="00A92F7E">
        <w:t>lemorfickou</w:t>
      </w:r>
      <w:r w:rsidR="00CB63AD">
        <w:t xml:space="preserve"> substanci, protože predikace </w:t>
      </w:r>
      <w:r w:rsidR="00A92F7E" w:rsidRPr="00A92F7E">
        <w:rPr>
          <w:i/>
        </w:rPr>
        <w:t>per prius</w:t>
      </w:r>
      <w:r w:rsidR="00A92F7E">
        <w:t xml:space="preserve"> vychází z existenciálního </w:t>
      </w:r>
      <w:r w:rsidR="00F536A1" w:rsidRPr="003D1E07">
        <w:t>výkon</w:t>
      </w:r>
      <w:r w:rsidR="00CB63AD">
        <w:t>u</w:t>
      </w:r>
      <w:r w:rsidR="00F536A1" w:rsidRPr="003D1E07">
        <w:t xml:space="preserve"> </w:t>
      </w:r>
      <w:r w:rsidR="080544F2" w:rsidRPr="003D1E07">
        <w:t xml:space="preserve">existující </w:t>
      </w:r>
      <w:r w:rsidR="00F536A1" w:rsidRPr="003D1E07">
        <w:t>osoby. A</w:t>
      </w:r>
      <w:r w:rsidR="08AB137F" w:rsidRPr="003D1E07">
        <w:t>kt myšlení kontr</w:t>
      </w:r>
      <w:r w:rsidR="082C46E5" w:rsidRPr="003D1E07">
        <w:t>o</w:t>
      </w:r>
      <w:r w:rsidR="08AB137F" w:rsidRPr="003D1E07">
        <w:t>lovaný odděleným intelekt</w:t>
      </w:r>
      <w:r w:rsidR="082C46E5" w:rsidRPr="003D1E07">
        <w:t>em</w:t>
      </w:r>
      <w:r w:rsidR="08AB137F" w:rsidRPr="003D1E07">
        <w:t xml:space="preserve"> by nebyl výkon</w:t>
      </w:r>
      <w:r w:rsidR="081C5FE1" w:rsidRPr="003D1E07">
        <w:t>em</w:t>
      </w:r>
      <w:r w:rsidR="08AB137F" w:rsidRPr="003D1E07">
        <w:t xml:space="preserve"> naší vůle a </w:t>
      </w:r>
      <w:r w:rsidR="082C46E5" w:rsidRPr="003D1E07">
        <w:t xml:space="preserve">osobní </w:t>
      </w:r>
      <w:r w:rsidR="08AB137F" w:rsidRPr="003D1E07">
        <w:t xml:space="preserve">svobody myslet. </w:t>
      </w:r>
      <w:r w:rsidR="00F536A1" w:rsidRPr="003D1E07">
        <w:t xml:space="preserve">Naopak </w:t>
      </w:r>
      <w:r w:rsidR="006A581C" w:rsidRPr="003D1E07">
        <w:t>intelekt daný v jednotě pro celé lidst</w:t>
      </w:r>
      <w:r w:rsidR="00F536A1" w:rsidRPr="003D1E07">
        <w:t xml:space="preserve">vo v modu </w:t>
      </w:r>
      <w:r w:rsidR="00F536A1" w:rsidRPr="003D1E07">
        <w:rPr>
          <w:i/>
        </w:rPr>
        <w:t xml:space="preserve">quartum </w:t>
      </w:r>
      <w:r w:rsidR="00636BD4" w:rsidRPr="003D1E07">
        <w:rPr>
          <w:i/>
        </w:rPr>
        <w:t>genus</w:t>
      </w:r>
      <w:r w:rsidR="00F536A1" w:rsidRPr="003D1E07">
        <w:t xml:space="preserve"> nemyslí vůbec</w:t>
      </w:r>
      <w:r w:rsidR="00680DB5" w:rsidRPr="003D1E07">
        <w:t xml:space="preserve">. Je to </w:t>
      </w:r>
      <w:r w:rsidR="00F536A1" w:rsidRPr="003D1E07">
        <w:t>čistá abstrakce</w:t>
      </w:r>
      <w:r w:rsidR="006A581C" w:rsidRPr="003D1E07">
        <w:t xml:space="preserve"> daná pouze v mysli</w:t>
      </w:r>
      <w:r w:rsidR="087A3864" w:rsidRPr="003D1E07">
        <w:t xml:space="preserve"> poznávající </w:t>
      </w:r>
      <w:r w:rsidR="00680DB5" w:rsidRPr="003D1E07">
        <w:t xml:space="preserve">a reálné </w:t>
      </w:r>
      <w:r w:rsidR="087A3864" w:rsidRPr="003D1E07">
        <w:t>osoby</w:t>
      </w:r>
      <w:r w:rsidR="00C16330" w:rsidRPr="003D1E07">
        <w:t xml:space="preserve">. </w:t>
      </w:r>
      <w:r w:rsidR="08426BFC" w:rsidRPr="003D1E07">
        <w:t xml:space="preserve">Ipseita intelektu </w:t>
      </w:r>
      <w:r w:rsidR="08426BFC" w:rsidRPr="003D1E07">
        <w:lastRenderedPageBreak/>
        <w:t>je dána jako aktuální první substance</w:t>
      </w:r>
      <w:r w:rsidR="0036113F" w:rsidRPr="003D1E07">
        <w:t>. T</w:t>
      </w:r>
      <w:r w:rsidR="08426BFC" w:rsidRPr="003D1E07">
        <w:t xml:space="preserve">ato predikace </w:t>
      </w:r>
      <w:r w:rsidR="0036113F" w:rsidRPr="003D1E07">
        <w:t xml:space="preserve">běží </w:t>
      </w:r>
      <w:r w:rsidR="08426BFC" w:rsidRPr="003D1E07">
        <w:t xml:space="preserve">v modu </w:t>
      </w:r>
      <w:r w:rsidR="08426BFC" w:rsidRPr="003D1E07">
        <w:rPr>
          <w:i/>
        </w:rPr>
        <w:t xml:space="preserve">tertium </w:t>
      </w:r>
      <w:r w:rsidR="00636BD4" w:rsidRPr="003D1E07">
        <w:rPr>
          <w:i/>
        </w:rPr>
        <w:t>genus</w:t>
      </w:r>
      <w:r w:rsidR="08426BFC" w:rsidRPr="003D1E07">
        <w:t xml:space="preserve"> </w:t>
      </w:r>
      <w:r w:rsidR="0036113F" w:rsidRPr="003D1E07">
        <w:t xml:space="preserve">a </w:t>
      </w:r>
      <w:r w:rsidR="08426BFC" w:rsidRPr="003D1E07">
        <w:t xml:space="preserve">je dána impozicí významu z kauzálně působící reality. Myšlení osoby se predikuje </w:t>
      </w:r>
      <w:r w:rsidR="080D2158" w:rsidRPr="003D1E07">
        <w:t xml:space="preserve">hyparchicky a </w:t>
      </w:r>
      <w:r w:rsidR="08426BFC" w:rsidRPr="003D1E07">
        <w:t>metafyzicky</w:t>
      </w:r>
      <w:r w:rsidR="00DD22AF">
        <w:t xml:space="preserve"> skrze impozici</w:t>
      </w:r>
      <w:r w:rsidR="08426BFC" w:rsidRPr="003D1E07">
        <w:t xml:space="preserve">, tedy v  modu </w:t>
      </w:r>
      <w:r w:rsidR="08E22F7A" w:rsidRPr="003D1E07">
        <w:t xml:space="preserve">metafyzického </w:t>
      </w:r>
      <w:r w:rsidR="08426BFC" w:rsidRPr="003D1E07">
        <w:t>dativu (</w:t>
      </w:r>
      <w:r w:rsidR="08426BFC" w:rsidRPr="003D1E07">
        <w:rPr>
          <w:i/>
        </w:rPr>
        <w:t>quidditas</w:t>
      </w:r>
      <w:r w:rsidR="08426BFC" w:rsidRPr="003D1E07">
        <w:rPr>
          <w:i/>
        </w:rPr>
        <w:fldChar w:fldCharType="begin"/>
      </w:r>
      <w:r w:rsidR="08426BFC" w:rsidRPr="003D1E07">
        <w:instrText xml:space="preserve"> XE "</w:instrText>
      </w:r>
      <w:r w:rsidR="08426BFC" w:rsidRPr="003D1E07">
        <w:rPr>
          <w:i/>
        </w:rPr>
        <w:instrText>quidditas</w:instrText>
      </w:r>
      <w:r w:rsidR="08426BFC" w:rsidRPr="003D1E07">
        <w:instrText xml:space="preserve">" </w:instrText>
      </w:r>
      <w:r w:rsidR="08426BFC" w:rsidRPr="003D1E07">
        <w:rPr>
          <w:i/>
        </w:rPr>
        <w:fldChar w:fldCharType="end"/>
      </w:r>
      <w:r w:rsidR="08426BFC" w:rsidRPr="003D1E07">
        <w:t xml:space="preserve">). </w:t>
      </w:r>
      <w:r w:rsidR="00CA091A">
        <w:t xml:space="preserve">Metafyzická </w:t>
      </w:r>
      <w:r w:rsidR="08426BFC" w:rsidRPr="003D1E07">
        <w:t xml:space="preserve">identita intelektu je dána jako univerzální druhá substance v modu </w:t>
      </w:r>
      <w:r w:rsidR="00FF5036">
        <w:t>supozice, která je určena</w:t>
      </w:r>
      <w:r w:rsidR="00114A10">
        <w:t xml:space="preserve"> </w:t>
      </w:r>
      <w:r w:rsidR="006E6D7D">
        <w:t xml:space="preserve">univoční </w:t>
      </w:r>
      <w:r w:rsidR="00114A10">
        <w:t xml:space="preserve">impozicí </w:t>
      </w:r>
      <w:r w:rsidR="006E6D7D">
        <w:t xml:space="preserve">možného </w:t>
      </w:r>
      <w:r w:rsidR="00114A10">
        <w:t xml:space="preserve">intelektu jako </w:t>
      </w:r>
      <w:r w:rsidR="00F214C5" w:rsidRPr="003B46DB">
        <w:rPr>
          <w:i/>
        </w:rPr>
        <w:t>species</w:t>
      </w:r>
      <w:r w:rsidR="08426BFC" w:rsidRPr="003D1E07">
        <w:t xml:space="preserve"> </w:t>
      </w:r>
      <w:r w:rsidR="08426BFC" w:rsidRPr="003D1E07">
        <w:rPr>
          <w:i/>
        </w:rPr>
        <w:t>humana</w:t>
      </w:r>
      <w:r w:rsidR="00FF5036">
        <w:t xml:space="preserve"> v rámci </w:t>
      </w:r>
      <w:r w:rsidR="00FF5036" w:rsidRPr="00FF5036">
        <w:rPr>
          <w:i/>
        </w:rPr>
        <w:t>tertium genus</w:t>
      </w:r>
      <w:r w:rsidR="00FF5036">
        <w:t xml:space="preserve">. </w:t>
      </w:r>
      <w:r w:rsidR="00726307" w:rsidRPr="003D1E07">
        <w:t>S</w:t>
      </w:r>
      <w:r w:rsidR="08426BFC" w:rsidRPr="003D1E07">
        <w:t xml:space="preserve">ubstrát tohoto </w:t>
      </w:r>
      <w:r w:rsidR="006E6D7D">
        <w:t>supo</w:t>
      </w:r>
      <w:r w:rsidR="00961D45">
        <w:t xml:space="preserve">zičně určeného </w:t>
      </w:r>
      <w:r w:rsidR="08426BFC" w:rsidRPr="003D1E07">
        <w:t xml:space="preserve">významu </w:t>
      </w:r>
      <w:r w:rsidR="003756F1">
        <w:t xml:space="preserve">pro intelekt </w:t>
      </w:r>
      <w:r w:rsidR="08426BFC" w:rsidRPr="003D1E07">
        <w:t>není existující osoba (</w:t>
      </w:r>
      <w:r w:rsidR="003756F1">
        <w:t xml:space="preserve">první hyparchická substance); není to ani </w:t>
      </w:r>
      <w:r w:rsidR="003756F1" w:rsidRPr="004157CD">
        <w:rPr>
          <w:i/>
          <w:lang w:val="en-US" w:eastAsia="en-US"/>
        </w:rPr>
        <w:t>species humana</w:t>
      </w:r>
      <w:r w:rsidR="003756F1">
        <w:rPr>
          <w:lang w:val="en-US" w:eastAsia="en-US"/>
        </w:rPr>
        <w:t xml:space="preserve"> určená metafyzickou impozicí (druhá metafyzická substance). Jde o klasické </w:t>
      </w:r>
      <w:r w:rsidR="003756F1" w:rsidRPr="00903A7F">
        <w:rPr>
          <w:i/>
          <w:lang w:val="en-US" w:eastAsia="en-US"/>
        </w:rPr>
        <w:t>individuum</w:t>
      </w:r>
      <w:r w:rsidR="003756F1">
        <w:rPr>
          <w:lang w:val="en-US" w:eastAsia="en-US"/>
        </w:rPr>
        <w:t xml:space="preserve"> dan</w:t>
      </w:r>
      <w:r w:rsidR="00903A7F">
        <w:rPr>
          <w:lang w:val="en-US" w:eastAsia="en-US"/>
        </w:rPr>
        <w:t>é na konci řady dialtického děle</w:t>
      </w:r>
      <w:r w:rsidR="003756F1">
        <w:rPr>
          <w:lang w:val="en-US" w:eastAsia="en-US"/>
        </w:rPr>
        <w:t>ní význ</w:t>
      </w:r>
      <w:r w:rsidR="00903A7F">
        <w:rPr>
          <w:lang w:val="en-US" w:eastAsia="en-US"/>
        </w:rPr>
        <w:t>a</w:t>
      </w:r>
      <w:r w:rsidR="003756F1">
        <w:rPr>
          <w:lang w:val="en-US" w:eastAsia="en-US"/>
        </w:rPr>
        <w:t xml:space="preserve">mů podle Porfýria. Existují tři nositelé významu, kteří určují univoční smysl lidské “osoby” podle Aristotela.  Subjekt </w:t>
      </w:r>
      <w:r w:rsidR="00FF5036">
        <w:t xml:space="preserve">generického </w:t>
      </w:r>
      <w:r w:rsidR="002D17DD">
        <w:t xml:space="preserve">intelektu </w:t>
      </w:r>
      <w:r w:rsidR="003756F1">
        <w:t xml:space="preserve">už </w:t>
      </w:r>
      <w:r w:rsidR="006B3212" w:rsidRPr="003D1E07">
        <w:t xml:space="preserve">není osoba, ale </w:t>
      </w:r>
      <w:r w:rsidR="003756F1">
        <w:t xml:space="preserve">pouhé </w:t>
      </w:r>
      <w:r w:rsidR="08426BFC" w:rsidRPr="00655615">
        <w:rPr>
          <w:i/>
        </w:rPr>
        <w:t>individuum</w:t>
      </w:r>
      <w:r w:rsidR="08A06E68" w:rsidRPr="003D1E07">
        <w:fldChar w:fldCharType="begin"/>
      </w:r>
      <w:r w:rsidR="08A06E68" w:rsidRPr="003D1E07">
        <w:instrText xml:space="preserve"> XE "osoba:individuum" </w:instrText>
      </w:r>
      <w:r w:rsidR="08A06E68" w:rsidRPr="003D1E07">
        <w:fldChar w:fldCharType="end"/>
      </w:r>
      <w:r w:rsidR="003756F1">
        <w:t xml:space="preserve">, </w:t>
      </w:r>
      <w:r w:rsidR="001767FE" w:rsidRPr="003D1E07">
        <w:t xml:space="preserve">protože už není dělitelný na další univerzální významy. </w:t>
      </w:r>
      <w:r w:rsidR="00655615">
        <w:t xml:space="preserve">Osoba jako „individuum“ není samostatně definovatelná, protože poslední definovatelný význam individua je dán na úrovni species. </w:t>
      </w:r>
      <w:r w:rsidR="08426BFC" w:rsidRPr="003D1E07">
        <w:t xml:space="preserve">Predikace subjektivně, individuálně a specificky daného intelektu  je dána směrem od abstrahujícího intelektu v modu </w:t>
      </w:r>
      <w:r w:rsidR="08426BFC" w:rsidRPr="003D1E07">
        <w:rPr>
          <w:i/>
        </w:rPr>
        <w:t xml:space="preserve">quartum </w:t>
      </w:r>
      <w:r w:rsidR="00636BD4" w:rsidRPr="003D1E07">
        <w:rPr>
          <w:i/>
        </w:rPr>
        <w:t>genus</w:t>
      </w:r>
      <w:r w:rsidR="08426BFC" w:rsidRPr="003D1E07">
        <w:t xml:space="preserve">. Tento pojem individuálně daného intelektu představuje univerzálii vzniklou skrze supozici významu pouze v abstrahující mysli, proto je dán čistě potenciálně. </w:t>
      </w:r>
      <w:r w:rsidR="004153B1" w:rsidRPr="003D1E07">
        <w:t xml:space="preserve">Tento </w:t>
      </w:r>
      <w:r w:rsidR="08C3071D" w:rsidRPr="003D1E07">
        <w:t xml:space="preserve">fundamentální </w:t>
      </w:r>
      <w:r w:rsidR="004153B1" w:rsidRPr="003D1E07">
        <w:t>r</w:t>
      </w:r>
      <w:r w:rsidR="00C16330" w:rsidRPr="003D1E07">
        <w:t xml:space="preserve">ozdíl mezi </w:t>
      </w:r>
      <w:r w:rsidR="08C3071D" w:rsidRPr="003D1E07">
        <w:t xml:space="preserve">oběma </w:t>
      </w:r>
      <w:r w:rsidR="08DF5EDD" w:rsidRPr="003D1E07">
        <w:t xml:space="preserve">formami intelektu je dán dvojím </w:t>
      </w:r>
      <w:r w:rsidR="085A2D90" w:rsidRPr="003D1E07">
        <w:t xml:space="preserve">způsobem, </w:t>
      </w:r>
      <w:r w:rsidR="00C16330" w:rsidRPr="003D1E07">
        <w:t xml:space="preserve">jak </w:t>
      </w:r>
      <w:r w:rsidR="009F2111" w:rsidRPr="003D1E07">
        <w:t xml:space="preserve">se manifestuje </w:t>
      </w:r>
      <w:r w:rsidR="00C16330" w:rsidRPr="003D1E07">
        <w:t>intelekt</w:t>
      </w:r>
      <w:r w:rsidR="08DF5EDD" w:rsidRPr="003D1E07">
        <w:t xml:space="preserve"> v modu aktuality </w:t>
      </w:r>
      <w:r w:rsidR="003C1570">
        <w:t xml:space="preserve">a kauzality </w:t>
      </w:r>
      <w:r w:rsidR="08DF5EDD" w:rsidRPr="003D1E07">
        <w:t xml:space="preserve">(osoba) a potenciality </w:t>
      </w:r>
      <w:r w:rsidR="003C1570">
        <w:t xml:space="preserve">a univerzality </w:t>
      </w:r>
      <w:r w:rsidR="08DF5EDD" w:rsidRPr="003D1E07">
        <w:t>(lidstvo)</w:t>
      </w:r>
      <w:r w:rsidR="08C3071D" w:rsidRPr="003D1E07">
        <w:t xml:space="preserve">. </w:t>
      </w:r>
      <w:r w:rsidR="08F64816" w:rsidRPr="003D1E07">
        <w:t>Pro objektivně myslící současní</w:t>
      </w:r>
      <w:r w:rsidR="08464489" w:rsidRPr="003D1E07">
        <w:t>ky</w:t>
      </w:r>
      <w:r w:rsidR="08F64816" w:rsidRPr="003D1E07">
        <w:t xml:space="preserve"> je </w:t>
      </w:r>
      <w:r w:rsidR="08C3071D" w:rsidRPr="003D1E07">
        <w:t xml:space="preserve">rozdíl </w:t>
      </w:r>
      <w:r w:rsidR="08CF7D95" w:rsidRPr="003D1E07">
        <w:t xml:space="preserve">mezi osobou, individuem, </w:t>
      </w:r>
      <w:r w:rsidR="08F64816" w:rsidRPr="003D1E07">
        <w:t xml:space="preserve">lidstvem </w:t>
      </w:r>
      <w:r w:rsidR="08CF7D95" w:rsidRPr="003D1E07">
        <w:t xml:space="preserve">a mrtvolou </w:t>
      </w:r>
      <w:r w:rsidR="08BB3B37" w:rsidRPr="003D1E07">
        <w:t xml:space="preserve">objektivně </w:t>
      </w:r>
      <w:r w:rsidR="00C16330" w:rsidRPr="003D1E07">
        <w:t>nezajímavý</w:t>
      </w:r>
      <w:r w:rsidR="08464489" w:rsidRPr="003D1E07">
        <w:t xml:space="preserve">, protože </w:t>
      </w:r>
      <w:r w:rsidR="08BB3B37" w:rsidRPr="003D1E07">
        <w:t xml:space="preserve">tato jsoucna třetího druhu </w:t>
      </w:r>
      <w:r w:rsidR="08464489" w:rsidRPr="003D1E07">
        <w:t>předst</w:t>
      </w:r>
      <w:r w:rsidR="08BB3B37" w:rsidRPr="003D1E07">
        <w:t>avují tak nějak totéž</w:t>
      </w:r>
      <w:r w:rsidR="00AB4AC8" w:rsidRPr="003D1E07">
        <w:t xml:space="preserve">. </w:t>
      </w:r>
      <w:r w:rsidR="08137EC7" w:rsidRPr="003D1E07">
        <w:t xml:space="preserve">Moderna a postmoderna </w:t>
      </w:r>
      <w:r w:rsidR="00C16330" w:rsidRPr="003D1E07">
        <w:t xml:space="preserve">je k </w:t>
      </w:r>
      <w:r w:rsidR="004153B1" w:rsidRPr="003D1E07">
        <w:t xml:space="preserve">diferenci </w:t>
      </w:r>
      <w:r w:rsidR="08486EE7" w:rsidRPr="003D1E07">
        <w:t xml:space="preserve">mezi oběma druhy intelektu </w:t>
      </w:r>
      <w:r w:rsidR="084530AB" w:rsidRPr="003D1E07">
        <w:t xml:space="preserve">v CMDA </w:t>
      </w:r>
      <w:r w:rsidR="00AB4AC8" w:rsidRPr="003D1E07">
        <w:t>objektivně</w:t>
      </w:r>
      <w:r w:rsidR="084530AB" w:rsidRPr="003D1E07">
        <w:t xml:space="preserve"> a </w:t>
      </w:r>
      <w:r w:rsidR="00AB4AC8" w:rsidRPr="003D1E07">
        <w:t xml:space="preserve">tedy </w:t>
      </w:r>
      <w:r w:rsidR="00C16330" w:rsidRPr="003D1E07">
        <w:t>fundam</w:t>
      </w:r>
      <w:r w:rsidR="004153B1" w:rsidRPr="003D1E07">
        <w:t>en</w:t>
      </w:r>
      <w:r w:rsidR="00C16330" w:rsidRPr="003D1E07">
        <w:t>tálně slepá</w:t>
      </w:r>
      <w:r w:rsidR="089064F8" w:rsidRPr="003D1E07">
        <w:t xml:space="preserve">. </w:t>
      </w:r>
      <w:r w:rsidR="08486EE7" w:rsidRPr="003D1E07">
        <w:t xml:space="preserve">Moderní a postmoderní alexandrovci mají před sebou objektivně daný „intelekt“ jako jsoucno třetího druhu. Takový </w:t>
      </w:r>
      <w:r w:rsidR="087E15FF" w:rsidRPr="003D1E07">
        <w:t xml:space="preserve">mytopoetický </w:t>
      </w:r>
      <w:r w:rsidR="08486EE7" w:rsidRPr="003D1E07">
        <w:t xml:space="preserve">„intelekt“ neexistuje, protože nemá žádný způsob, jak by mohl existovat. Reálně existuje pouze aktuální první substance nebo druhá substance jako potenciální univerzálie, nikoliv jsoucna třetího druhu daná ve falešné objektivní univocitě. </w:t>
      </w:r>
      <w:r w:rsidR="089064F8" w:rsidRPr="003D1E07">
        <w:t xml:space="preserve">Učení Latiníci </w:t>
      </w:r>
      <w:r w:rsidR="08137EC7" w:rsidRPr="003D1E07">
        <w:t>udělal</w:t>
      </w:r>
      <w:r w:rsidR="089064F8" w:rsidRPr="003D1E07">
        <w:t>i</w:t>
      </w:r>
      <w:r w:rsidR="08137EC7" w:rsidRPr="003D1E07">
        <w:t xml:space="preserve"> z Averroese averroistu v modu sofistického </w:t>
      </w:r>
      <w:r w:rsidR="08137EC7" w:rsidRPr="003D1E07">
        <w:rPr>
          <w:i/>
        </w:rPr>
        <w:t>continuatio</w:t>
      </w:r>
      <w:r w:rsidR="08137EC7" w:rsidRPr="003D1E07">
        <w:t xml:space="preserve"> </w:t>
      </w:r>
      <w:r w:rsidR="089064F8" w:rsidRPr="003D1E07">
        <w:t xml:space="preserve">vlastního </w:t>
      </w:r>
      <w:r w:rsidR="08137EC7" w:rsidRPr="003D1E07">
        <w:t xml:space="preserve">epochálního </w:t>
      </w:r>
      <w:r w:rsidR="08137EC7" w:rsidRPr="003D1E07">
        <w:rPr>
          <w:i/>
        </w:rPr>
        <w:t>Irrtum</w:t>
      </w:r>
      <w:r w:rsidR="00C16330" w:rsidRPr="003D1E07">
        <w:t xml:space="preserve">. </w:t>
      </w:r>
      <w:r w:rsidR="08B11F69" w:rsidRPr="003D1E07">
        <w:t xml:space="preserve">To byl další </w:t>
      </w:r>
      <w:r w:rsidR="008A1B4D" w:rsidRPr="003D1E07">
        <w:t xml:space="preserve">ironický </w:t>
      </w:r>
      <w:r w:rsidR="08B11F69" w:rsidRPr="003D1E07">
        <w:t xml:space="preserve">tah </w:t>
      </w:r>
      <w:r w:rsidR="008A1B4D" w:rsidRPr="003D1E07">
        <w:t>akademicky vzdělaných Fúrií</w:t>
      </w:r>
      <w:r w:rsidR="08BF4652" w:rsidRPr="003D1E07">
        <w:fldChar w:fldCharType="begin"/>
      </w:r>
      <w:r w:rsidR="08BF4652" w:rsidRPr="003D1E07">
        <w:instrText xml:space="preserve"> XE "</w:instrText>
      </w:r>
      <w:r w:rsidR="083B095D" w:rsidRPr="003D1E07">
        <w:instrText>Erín</w:instrText>
      </w:r>
      <w:r w:rsidR="08D15880" w:rsidRPr="003D1E07">
        <w:instrText>y</w:instrText>
      </w:r>
      <w:r w:rsidR="08BF4652" w:rsidRPr="003D1E07">
        <w:instrText xml:space="preserve">e" </w:instrText>
      </w:r>
      <w:r w:rsidR="08BF4652" w:rsidRPr="003D1E07">
        <w:fldChar w:fldCharType="end"/>
      </w:r>
      <w:r w:rsidR="08B11F69" w:rsidRPr="003D1E07">
        <w:t xml:space="preserve">, </w:t>
      </w:r>
      <w:r w:rsidR="08185F50" w:rsidRPr="003D1E07">
        <w:t xml:space="preserve">které </w:t>
      </w:r>
      <w:r w:rsidR="008A1B4D" w:rsidRPr="003D1E07">
        <w:t xml:space="preserve">fedrují </w:t>
      </w:r>
      <w:r w:rsidR="08185F50" w:rsidRPr="003D1E07">
        <w:t>moderní nevzdělanost (</w:t>
      </w:r>
      <w:r w:rsidR="008A1B4D" w:rsidRPr="003D1E07">
        <w:rPr>
          <w:i/>
        </w:rPr>
        <w:t>apaideusía</w:t>
      </w:r>
      <w:r w:rsidR="08185F50" w:rsidRPr="003D1E07">
        <w:rPr>
          <w:i/>
        </w:rPr>
        <w:fldChar w:fldCharType="begin"/>
      </w:r>
      <w:r w:rsidR="08185F50" w:rsidRPr="003D1E07">
        <w:instrText xml:space="preserve"> XE "Aristoteles:</w:instrText>
      </w:r>
      <w:r w:rsidR="08185F50" w:rsidRPr="003D1E07">
        <w:rPr>
          <w:i/>
        </w:rPr>
        <w:instrText>Met</w:instrText>
      </w:r>
      <w:r w:rsidR="08185F50" w:rsidRPr="003D1E07">
        <w:instrText xml:space="preserve">. 1006a6" </w:instrText>
      </w:r>
      <w:r w:rsidR="08185F50" w:rsidRPr="003D1E07">
        <w:rPr>
          <w:i/>
        </w:rPr>
        <w:fldChar w:fldCharType="end"/>
      </w:r>
      <w:r w:rsidR="008A1B4D" w:rsidRPr="003D1E07">
        <w:t xml:space="preserve">). Ta je dána </w:t>
      </w:r>
      <w:r w:rsidR="088B13D1" w:rsidRPr="003D1E07">
        <w:t xml:space="preserve">základní </w:t>
      </w:r>
      <w:r w:rsidR="08185F50" w:rsidRPr="003D1E07">
        <w:t xml:space="preserve">neznalostí </w:t>
      </w:r>
      <w:r w:rsidR="08AD3669" w:rsidRPr="003D1E07">
        <w:t xml:space="preserve">metafyzické argumentace </w:t>
      </w:r>
      <w:r w:rsidR="003C1A6B" w:rsidRPr="003D1E07">
        <w:t>Aristotela</w:t>
      </w:r>
      <w:r w:rsidR="08185F50" w:rsidRPr="003D1E07">
        <w:t xml:space="preserve">, Druhého mistra a Komentátora. </w:t>
      </w:r>
      <w:r w:rsidR="00EA1870" w:rsidRPr="003D1E07">
        <w:t>M</w:t>
      </w:r>
      <w:r w:rsidR="089B3940" w:rsidRPr="003D1E07">
        <w:t xml:space="preserve">etafyzika </w:t>
      </w:r>
      <w:r w:rsidR="00EA1870" w:rsidRPr="003D1E07">
        <w:t xml:space="preserve">moderny </w:t>
      </w:r>
      <w:r w:rsidR="089B3940" w:rsidRPr="003D1E07">
        <w:t xml:space="preserve">se stala hádankou na úrovni </w:t>
      </w:r>
      <w:r w:rsidR="088D32A0" w:rsidRPr="003D1E07">
        <w:t>démonické Sfingy</w:t>
      </w:r>
      <w:r w:rsidR="08ED57E9" w:rsidRPr="003D1E07">
        <w:t xml:space="preserve">. </w:t>
      </w:r>
      <w:r w:rsidR="0883041B" w:rsidRPr="003D1E07">
        <w:t xml:space="preserve">Tragická otázka „Co je člověk?“ dostala zcela moderní a proto také fundamentálně chybnou odpověď. </w:t>
      </w:r>
      <w:r w:rsidR="08ED57E9" w:rsidRPr="003D1E07">
        <w:t xml:space="preserve">Moderna v modu objektivní </w:t>
      </w:r>
      <w:r w:rsidR="08ED57E9" w:rsidRPr="003D1E07">
        <w:rPr>
          <w:i/>
        </w:rPr>
        <w:t>paideía</w:t>
      </w:r>
      <w:r w:rsidR="08ED57E9" w:rsidRPr="003D1E07">
        <w:rPr>
          <w:lang w:eastAsia="en-US"/>
        </w:rPr>
        <w:fldChar w:fldCharType="begin"/>
      </w:r>
      <w:r w:rsidR="08ED57E9" w:rsidRPr="003D1E07">
        <w:instrText xml:space="preserve"> XE "pravda:</w:instrText>
      </w:r>
      <w:r w:rsidR="08ED57E9" w:rsidRPr="003D1E07">
        <w:rPr>
          <w:i/>
        </w:rPr>
        <w:instrText>Bildung</w:instrText>
      </w:r>
      <w:r w:rsidR="08ED57E9" w:rsidRPr="003D1E07">
        <w:instrText xml:space="preserve">" </w:instrText>
      </w:r>
      <w:r w:rsidR="08ED57E9" w:rsidRPr="003D1E07">
        <w:rPr>
          <w:lang w:eastAsia="en-US"/>
        </w:rPr>
        <w:fldChar w:fldCharType="end"/>
      </w:r>
      <w:r w:rsidR="00120FB5">
        <w:t xml:space="preserve"> už neví, kdo je člověk. P</w:t>
      </w:r>
      <w:r w:rsidR="08410B1F" w:rsidRPr="003D1E07">
        <w:t xml:space="preserve">roto první modernisté </w:t>
      </w:r>
      <w:r w:rsidR="08410B1F" w:rsidRPr="003D1E07">
        <w:lastRenderedPageBreak/>
        <w:t>démonizovali Averroese a Sigera (</w:t>
      </w:r>
      <w:r w:rsidR="08ED12B2" w:rsidRPr="003D1E07">
        <w:t>OBJ III, kap. 5</w:t>
      </w:r>
      <w:r w:rsidR="08410B1F" w:rsidRPr="003D1E07">
        <w:t>.5)</w:t>
      </w:r>
      <w:r w:rsidR="089B3940" w:rsidRPr="003D1E07">
        <w:t xml:space="preserve">. </w:t>
      </w:r>
      <w:r w:rsidR="08D2462C" w:rsidRPr="003D1E07">
        <w:t>Averroisté všeho druhu úspěšně vstoupi</w:t>
      </w:r>
      <w:r w:rsidR="08386756" w:rsidRPr="003D1E07">
        <w:t>li</w:t>
      </w:r>
      <w:r w:rsidR="08D2462C" w:rsidRPr="003D1E07">
        <w:t xml:space="preserve"> p</w:t>
      </w:r>
      <w:r w:rsidR="08C41B4D" w:rsidRPr="003D1E07">
        <w:t xml:space="preserve">od vedením Fúrií </w:t>
      </w:r>
      <w:r w:rsidR="08B11F69" w:rsidRPr="003D1E07">
        <w:t xml:space="preserve">do tragické fáze </w:t>
      </w:r>
      <w:r w:rsidR="00874ADE" w:rsidRPr="003D1E07">
        <w:t>„</w:t>
      </w:r>
      <w:r w:rsidR="08B11F69" w:rsidRPr="003D1E07">
        <w:t>Oidipiova objektivního komplexu</w:t>
      </w:r>
      <w:r w:rsidR="00874ADE" w:rsidRPr="003D1E07">
        <w:t>“</w:t>
      </w:r>
      <w:r w:rsidR="08B11F69" w:rsidRPr="003D1E07">
        <w:t xml:space="preserve"> (</w:t>
      </w:r>
      <w:r w:rsidR="08ED12B2" w:rsidRPr="003D1E07">
        <w:t>OBJ III, kap. 7</w:t>
      </w:r>
      <w:r w:rsidR="08B11F69" w:rsidRPr="003D1E07">
        <w:t xml:space="preserve">).  </w:t>
      </w:r>
      <w:r w:rsidR="00C0591B" w:rsidRPr="003D1E07">
        <w:t xml:space="preserve">Rodově odlišný intelekt v modu </w:t>
      </w:r>
      <w:r w:rsidR="00C0591B" w:rsidRPr="003D1E07">
        <w:rPr>
          <w:i/>
        </w:rPr>
        <w:t>tertium</w:t>
      </w:r>
      <w:r w:rsidR="00C0591B" w:rsidRPr="003D1E07">
        <w:t xml:space="preserve"> a </w:t>
      </w:r>
      <w:r w:rsidR="00C0591B" w:rsidRPr="003D1E07">
        <w:rPr>
          <w:i/>
        </w:rPr>
        <w:t xml:space="preserve">quartum </w:t>
      </w:r>
      <w:r w:rsidR="00636BD4" w:rsidRPr="003D1E07">
        <w:rPr>
          <w:i/>
        </w:rPr>
        <w:t>genus</w:t>
      </w:r>
      <w:r w:rsidR="00C0591B" w:rsidRPr="003D1E07">
        <w:t xml:space="preserve"> není univoční koncept, protože by to popřelo základní principy Aristotelovy metafyziky</w:t>
      </w:r>
      <w:r w:rsidR="080C308E" w:rsidRPr="003D1E07">
        <w:t xml:space="preserve"> a kategoriální predikace</w:t>
      </w:r>
      <w:r w:rsidR="08B4081F" w:rsidRPr="003D1E07">
        <w:t>.</w:t>
      </w:r>
    </w:p>
    <w:p w14:paraId="277406AA" w14:textId="5D7FA63E" w:rsidR="00A14322" w:rsidRPr="003D1E07" w:rsidRDefault="082924CB" w:rsidP="00DF1BDC">
      <w:pPr>
        <w:ind w:firstLine="397"/>
      </w:pPr>
      <w:r w:rsidRPr="003D1E07">
        <w:t xml:space="preserve">Spor o averroismus Averroese je z hlediska aristotelského výkladu CMDA </w:t>
      </w:r>
      <w:r w:rsidR="083468CB" w:rsidRPr="003D1E07">
        <w:t xml:space="preserve">úplně </w:t>
      </w:r>
      <w:r w:rsidRPr="003D1E07">
        <w:t>nesmyslný</w:t>
      </w:r>
      <w:r w:rsidR="088E5462" w:rsidRPr="003D1E07">
        <w:t xml:space="preserve">. Jeho </w:t>
      </w:r>
      <w:r w:rsidR="089B3E10" w:rsidRPr="003D1E07">
        <w:t xml:space="preserve">mytopoetická </w:t>
      </w:r>
      <w:r w:rsidR="088E5462" w:rsidRPr="003D1E07">
        <w:t xml:space="preserve">„existence“ </w:t>
      </w:r>
      <w:r w:rsidRPr="003D1E07">
        <w:t xml:space="preserve">ukazuje </w:t>
      </w:r>
      <w:r w:rsidR="088E5462" w:rsidRPr="003D1E07">
        <w:t xml:space="preserve">v modu </w:t>
      </w:r>
      <w:r w:rsidR="085C169A" w:rsidRPr="003D1E07">
        <w:t xml:space="preserve">tragické </w:t>
      </w:r>
      <w:r w:rsidR="088E5462" w:rsidRPr="003D1E07">
        <w:rPr>
          <w:i/>
        </w:rPr>
        <w:t>alétheia</w:t>
      </w:r>
      <w:r w:rsidR="088E5462" w:rsidRPr="003D1E07">
        <w:t xml:space="preserve"> </w:t>
      </w:r>
      <w:r w:rsidRPr="003D1E07">
        <w:t xml:space="preserve">objektivní </w:t>
      </w:r>
      <w:r w:rsidRPr="003D1E07">
        <w:rPr>
          <w:i/>
        </w:rPr>
        <w:t>Irrtum</w:t>
      </w:r>
      <w:r w:rsidRPr="003D1E07">
        <w:t xml:space="preserve"> moderny a postmoderny. </w:t>
      </w:r>
      <w:r w:rsidR="00B315FF" w:rsidRPr="003D1E07">
        <w:t>Princip vyloučeného třetího platí, p</w:t>
      </w:r>
      <w:r w:rsidR="00AD1302" w:rsidRPr="003D1E07">
        <w:t xml:space="preserve">roto ani </w:t>
      </w:r>
      <w:r w:rsidR="00E97469" w:rsidRPr="003D1E07">
        <w:t xml:space="preserve">intelekt </w:t>
      </w:r>
      <w:r w:rsidR="00AD1302" w:rsidRPr="003D1E07">
        <w:t xml:space="preserve">nemůže být </w:t>
      </w:r>
      <w:r w:rsidR="00E97469" w:rsidRPr="003D1E07">
        <w:t>„</w:t>
      </w:r>
      <w:r w:rsidR="00AD1302" w:rsidRPr="003D1E07">
        <w:t>numericky</w:t>
      </w:r>
      <w:r w:rsidR="00F536A1" w:rsidRPr="003D1E07">
        <w:t xml:space="preserve"> </w:t>
      </w:r>
      <w:r w:rsidR="002F4068" w:rsidRPr="003D1E07">
        <w:t>jeden</w:t>
      </w:r>
      <w:r w:rsidR="00E97469" w:rsidRPr="003D1E07">
        <w:fldChar w:fldCharType="begin"/>
      </w:r>
      <w:r w:rsidR="00E97469" w:rsidRPr="003D1E07">
        <w:instrText xml:space="preserve"> XE "intelekt:numericky jednotný" </w:instrText>
      </w:r>
      <w:r w:rsidR="00E97469" w:rsidRPr="003D1E07">
        <w:fldChar w:fldCharType="end"/>
      </w:r>
      <w:r w:rsidR="00E97469" w:rsidRPr="003D1E07">
        <w:t xml:space="preserve">“ nebo „numericky </w:t>
      </w:r>
      <w:r w:rsidR="002F4068" w:rsidRPr="003D1E07">
        <w:t>mnohý</w:t>
      </w:r>
      <w:r w:rsidR="00E97469" w:rsidRPr="003D1E07">
        <w:t>“</w:t>
      </w:r>
      <w:r w:rsidR="00F536A1" w:rsidRPr="003D1E07">
        <w:t>, jak tvrdí mo</w:t>
      </w:r>
      <w:r w:rsidR="002F4068" w:rsidRPr="003D1E07">
        <w:t xml:space="preserve">derní a postmoderní averroisté. Ti </w:t>
      </w:r>
      <w:r w:rsidR="08B0119E" w:rsidRPr="003D1E07">
        <w:t xml:space="preserve">definují tzv. „numericky daný </w:t>
      </w:r>
      <w:r w:rsidR="083871E5" w:rsidRPr="003D1E07">
        <w:t>intelekt</w:t>
      </w:r>
      <w:r w:rsidR="08B0119E" w:rsidRPr="003D1E07">
        <w:t>“</w:t>
      </w:r>
      <w:r w:rsidR="083871E5" w:rsidRPr="003D1E07">
        <w:t xml:space="preserve"> jako objektivní </w:t>
      </w:r>
      <w:r w:rsidR="083871E5" w:rsidRPr="003D1E07">
        <w:rPr>
          <w:i/>
        </w:rPr>
        <w:t>tertium ens</w:t>
      </w:r>
      <w:r w:rsidR="083871E5" w:rsidRPr="003D1E07">
        <w:t xml:space="preserve">. </w:t>
      </w:r>
      <w:r w:rsidR="00F536A1" w:rsidRPr="003D1E07">
        <w:t xml:space="preserve">K </w:t>
      </w:r>
      <w:r w:rsidR="083871E5" w:rsidRPr="003D1E07">
        <w:t xml:space="preserve">takové </w:t>
      </w:r>
      <w:r w:rsidR="00F536A1" w:rsidRPr="003D1E07">
        <w:t xml:space="preserve">individuaci by intelekt musel být </w:t>
      </w:r>
      <w:r w:rsidR="00222A89" w:rsidRPr="003D1E07">
        <w:t xml:space="preserve">aktuální </w:t>
      </w:r>
      <w:r w:rsidR="00F536A1" w:rsidRPr="003D1E07">
        <w:t xml:space="preserve">substancí a </w:t>
      </w:r>
      <w:r w:rsidR="00222A89" w:rsidRPr="003D1E07">
        <w:t xml:space="preserve">jeho forma by </w:t>
      </w:r>
      <w:r w:rsidR="00F536A1" w:rsidRPr="003D1E07">
        <w:t>musel</w:t>
      </w:r>
      <w:r w:rsidR="00222A89" w:rsidRPr="003D1E07">
        <w:t>a</w:t>
      </w:r>
      <w:r w:rsidR="00F536A1" w:rsidRPr="003D1E07">
        <w:t xml:space="preserve"> </w:t>
      </w:r>
      <w:r w:rsidR="00222A89" w:rsidRPr="003D1E07">
        <w:t>b</w:t>
      </w:r>
      <w:r w:rsidR="00F536A1" w:rsidRPr="003D1E07">
        <w:t>ýt individuali</w:t>
      </w:r>
      <w:r w:rsidR="00FD0E63" w:rsidRPr="003D1E07">
        <w:t>zová</w:t>
      </w:r>
      <w:r w:rsidR="00222A89" w:rsidRPr="003D1E07">
        <w:t>na</w:t>
      </w:r>
      <w:r w:rsidR="00F536A1" w:rsidRPr="003D1E07">
        <w:t xml:space="preserve"> skrze nějakou materii</w:t>
      </w:r>
      <w:r w:rsidR="08BB70FC" w:rsidRPr="003D1E07">
        <w:t>. N</w:t>
      </w:r>
      <w:r w:rsidR="000B4E5B" w:rsidRPr="003D1E07">
        <w:t xml:space="preserve">ebo by to musel být oddělený kosmický </w:t>
      </w:r>
      <w:r w:rsidR="00992A7A" w:rsidRPr="003D1E07">
        <w:t xml:space="preserve">či andělský </w:t>
      </w:r>
      <w:r w:rsidR="000B4E5B" w:rsidRPr="003D1E07">
        <w:t xml:space="preserve">intelekt daný jako hypostázovaná nemateriální forma. </w:t>
      </w:r>
      <w:r w:rsidR="08F5529D" w:rsidRPr="003D1E07">
        <w:t xml:space="preserve">Žádná </w:t>
      </w:r>
      <w:r w:rsidR="00F214C5" w:rsidRPr="003D1E07">
        <w:t>species</w:t>
      </w:r>
      <w:r w:rsidR="08F5529D" w:rsidRPr="003D1E07">
        <w:t xml:space="preserve"> daná</w:t>
      </w:r>
      <w:r w:rsidR="00F536A1" w:rsidRPr="003D1E07">
        <w:t xml:space="preserve"> jako univerzálie v mysli nemůže být ta</w:t>
      </w:r>
      <w:r w:rsidR="08F5529D" w:rsidRPr="003D1E07">
        <w:t>kovým způsobem individualizována</w:t>
      </w:r>
      <w:r w:rsidR="00F536A1" w:rsidRPr="003D1E07">
        <w:t>, natož lidský intelekt</w:t>
      </w:r>
      <w:r w:rsidR="08064176" w:rsidRPr="003D1E07">
        <w:t xml:space="preserve"> daný jako </w:t>
      </w:r>
      <w:r w:rsidR="0886419D" w:rsidRPr="003D1E07">
        <w:t xml:space="preserve">myslící </w:t>
      </w:r>
      <w:r w:rsidR="08064176" w:rsidRPr="003D1E07">
        <w:t xml:space="preserve">potence </w:t>
      </w:r>
      <w:r w:rsidR="084C0DAC" w:rsidRPr="003D1E07">
        <w:t xml:space="preserve">substančně existující </w:t>
      </w:r>
      <w:r w:rsidR="08064176" w:rsidRPr="003D1E07">
        <w:t>osoby</w:t>
      </w:r>
      <w:r w:rsidR="00F536A1" w:rsidRPr="003D1E07">
        <w:t xml:space="preserve">. </w:t>
      </w:r>
      <w:r w:rsidR="000338E8" w:rsidRPr="003D1E07">
        <w:t>V</w:t>
      </w:r>
      <w:r w:rsidR="009525CF" w:rsidRPr="003D1E07">
        <w:t xml:space="preserve"> </w:t>
      </w:r>
      <w:r w:rsidR="083D4749" w:rsidRPr="003D1E07">
        <w:t xml:space="preserve">klíčových </w:t>
      </w:r>
      <w:r w:rsidR="009525CF" w:rsidRPr="003D1E07">
        <w:t xml:space="preserve">bodech </w:t>
      </w:r>
      <w:r w:rsidR="00AF599A" w:rsidRPr="003D1E07">
        <w:t>tzv. „numericky jednotného intelektu pro všechny lidi</w:t>
      </w:r>
      <w:r w:rsidR="001762A8" w:rsidRPr="003D1E07">
        <w:fldChar w:fldCharType="begin"/>
      </w:r>
      <w:r w:rsidR="001762A8" w:rsidRPr="003D1E07">
        <w:instrText xml:space="preserve"> XE "intelekt:numericky jednotný" </w:instrText>
      </w:r>
      <w:r w:rsidR="001762A8" w:rsidRPr="003D1E07">
        <w:fldChar w:fldCharType="end"/>
      </w:r>
      <w:r w:rsidR="00AF599A" w:rsidRPr="003D1E07">
        <w:t xml:space="preserve">“ </w:t>
      </w:r>
      <w:r w:rsidR="000338E8" w:rsidRPr="003D1E07">
        <w:t xml:space="preserve">se </w:t>
      </w:r>
      <w:r w:rsidR="08121861" w:rsidRPr="003D1E07">
        <w:t xml:space="preserve">sofistika latinských </w:t>
      </w:r>
      <w:r w:rsidR="08121861" w:rsidRPr="003D1E07">
        <w:rPr>
          <w:i/>
        </w:rPr>
        <w:t>Modernorum</w:t>
      </w:r>
      <w:r w:rsidR="08121861" w:rsidRPr="003D1E07">
        <w:t xml:space="preserve"> </w:t>
      </w:r>
      <w:r w:rsidR="000338E8" w:rsidRPr="003D1E07">
        <w:t>shoduje s řeš</w:t>
      </w:r>
      <w:r w:rsidR="009525CF" w:rsidRPr="003D1E07">
        <w:t>ením Themistia a Alexandra</w:t>
      </w:r>
      <w:r w:rsidR="00955903" w:rsidRPr="003D1E07">
        <w:fldChar w:fldCharType="begin"/>
      </w:r>
      <w:r w:rsidR="00955903" w:rsidRPr="003D1E07">
        <w:instrText xml:space="preserve"> XE "Alexander</w:instrText>
      </w:r>
      <w:r w:rsidR="087759F1" w:rsidRPr="003D1E07">
        <w:instrText xml:space="preserve"> </w:instrText>
      </w:r>
      <w:r w:rsidR="00955903" w:rsidRPr="003D1E07">
        <w:instrText xml:space="preserve">Afrodisias" </w:instrText>
      </w:r>
      <w:r w:rsidR="00955903" w:rsidRPr="003D1E07">
        <w:fldChar w:fldCharType="end"/>
      </w:r>
      <w:r w:rsidR="009525CF" w:rsidRPr="003D1E07">
        <w:t xml:space="preserve">, které </w:t>
      </w:r>
      <w:r w:rsidR="002E3B62" w:rsidRPr="003D1E07">
        <w:t>Averroes</w:t>
      </w:r>
      <w:r w:rsidR="009525CF" w:rsidRPr="003D1E07">
        <w:t xml:space="preserve"> zásadně kritizuje.</w:t>
      </w:r>
      <w:r w:rsidR="08177FBE" w:rsidRPr="003D1E07">
        <w:t xml:space="preserve"> </w:t>
      </w:r>
      <w:r w:rsidR="08F5529D" w:rsidRPr="003D1E07">
        <w:t>Albert Veliký byl</w:t>
      </w:r>
      <w:r w:rsidR="00F536A1" w:rsidRPr="003D1E07">
        <w:t xml:space="preserve"> první latinský filosof, který kolem 1240 in</w:t>
      </w:r>
      <w:r w:rsidR="08F5529D" w:rsidRPr="003D1E07">
        <w:t>terpretoval</w:t>
      </w:r>
      <w:r w:rsidR="00F536A1" w:rsidRPr="003D1E07">
        <w:t xml:space="preserve"> pojetí materiálního a spekulativního intelektu </w:t>
      </w:r>
      <w:r w:rsidR="08050B53" w:rsidRPr="003D1E07">
        <w:t xml:space="preserve">podle </w:t>
      </w:r>
      <w:r w:rsidR="001646CC" w:rsidRPr="003D1E07">
        <w:t xml:space="preserve">správné linie </w:t>
      </w:r>
      <w:r w:rsidR="00673467" w:rsidRPr="003D1E07">
        <w:t>CMDA (</w:t>
      </w:r>
      <w:r w:rsidR="08ED12B2" w:rsidRPr="003D1E07">
        <w:t>OBJ II, kap. 2</w:t>
      </w:r>
      <w:r w:rsidR="00673467" w:rsidRPr="003D1E07">
        <w:t>.4.2</w:t>
      </w:r>
      <w:r w:rsidR="00F536A1" w:rsidRPr="003D1E07">
        <w:t xml:space="preserve">). Tehdejší vzdělaní aristotelikové vysvětlovali zmateným </w:t>
      </w:r>
      <w:r w:rsidR="08DE18BB" w:rsidRPr="003D1E07">
        <w:t>alexandrovc</w:t>
      </w:r>
      <w:r w:rsidR="001762A8" w:rsidRPr="003D1E07">
        <w:t>ům</w:t>
      </w:r>
      <w:r w:rsidR="001762A8" w:rsidRPr="003D1E07">
        <w:fldChar w:fldCharType="begin"/>
      </w:r>
      <w:r w:rsidR="001762A8" w:rsidRPr="003D1E07">
        <w:instrText xml:space="preserve"> XE "</w:instrText>
      </w:r>
      <w:r w:rsidR="08DE18BB" w:rsidRPr="003D1E07">
        <w:instrText>alexandrovci</w:instrText>
      </w:r>
      <w:r w:rsidR="001762A8" w:rsidRPr="003D1E07">
        <w:instrText xml:space="preserve">" </w:instrText>
      </w:r>
      <w:r w:rsidR="001762A8" w:rsidRPr="003D1E07">
        <w:fldChar w:fldCharType="end"/>
      </w:r>
      <w:r w:rsidR="001762A8" w:rsidRPr="003D1E07">
        <w:t xml:space="preserve"> </w:t>
      </w:r>
      <w:r w:rsidR="08D009F6" w:rsidRPr="003D1E07">
        <w:t>z</w:t>
      </w:r>
      <w:r w:rsidR="08050B53" w:rsidRPr="003D1E07">
        <w:t xml:space="preserve"> oxfordské a pařížské </w:t>
      </w:r>
      <w:r w:rsidR="00F536A1" w:rsidRPr="003D1E07">
        <w:t xml:space="preserve">školy </w:t>
      </w:r>
      <w:r w:rsidR="00F536A1" w:rsidRPr="003D1E07">
        <w:rPr>
          <w:i/>
        </w:rPr>
        <w:t>Modernorum</w:t>
      </w:r>
      <w:r w:rsidR="00F536A1" w:rsidRPr="003D1E07">
        <w:t>, že jejich averroistické řešení</w:t>
      </w:r>
      <w:r w:rsidR="087E02CF" w:rsidRPr="003D1E07">
        <w:t xml:space="preserve"> odděleného </w:t>
      </w:r>
      <w:r w:rsidR="00F536A1" w:rsidRPr="003D1E07">
        <w:rPr>
          <w:i/>
        </w:rPr>
        <w:t>intellectus possibilis</w:t>
      </w:r>
      <w:r w:rsidR="009D323B" w:rsidRPr="003D1E07">
        <w:rPr>
          <w:i/>
        </w:rPr>
        <w:fldChar w:fldCharType="begin"/>
      </w:r>
      <w:r w:rsidR="009D323B" w:rsidRPr="003D1E07">
        <w:instrText xml:space="preserve"> XE "</w:instrText>
      </w:r>
      <w:r w:rsidR="009D323B" w:rsidRPr="003D1E07">
        <w:rPr>
          <w:i/>
        </w:rPr>
        <w:instrText>intellectus possibilis</w:instrText>
      </w:r>
      <w:r w:rsidR="009618F8" w:rsidRPr="003D1E07">
        <w:instrText>:</w:instrText>
      </w:r>
      <w:r w:rsidR="081574ED" w:rsidRPr="003D1E07">
        <w:instrText>moderna</w:instrText>
      </w:r>
      <w:r w:rsidR="009D323B" w:rsidRPr="003D1E07">
        <w:instrText xml:space="preserve">" </w:instrText>
      </w:r>
      <w:r w:rsidR="009D323B" w:rsidRPr="003D1E07">
        <w:rPr>
          <w:i/>
        </w:rPr>
        <w:fldChar w:fldCharType="end"/>
      </w:r>
      <w:r w:rsidR="00F536A1" w:rsidRPr="003D1E07">
        <w:t xml:space="preserve"> představuje z hlediska CMDA naprostý nesmysl. Z možného intelektu jako čistého </w:t>
      </w:r>
      <w:r w:rsidR="00F536A1" w:rsidRPr="003D1E07">
        <w:rPr>
          <w:i/>
        </w:rPr>
        <w:t>possibile</w:t>
      </w:r>
      <w:r w:rsidR="00673467" w:rsidRPr="003D1E07">
        <w:t xml:space="preserve"> </w:t>
      </w:r>
      <w:r w:rsidR="08D57B7D" w:rsidRPr="003D1E07">
        <w:t>se stala aktuální substance</w:t>
      </w:r>
      <w:r w:rsidR="00F536A1" w:rsidRPr="003D1E07">
        <w:t xml:space="preserve">. </w:t>
      </w:r>
      <w:r w:rsidR="08D57B7D" w:rsidRPr="003D1E07">
        <w:t xml:space="preserve">Modernisté tuto </w:t>
      </w:r>
      <w:r w:rsidR="00F536A1" w:rsidRPr="003D1E07">
        <w:t>substa</w:t>
      </w:r>
      <w:r w:rsidR="00673467" w:rsidRPr="003D1E07">
        <w:t>nci třetího druhu navíc oddělili</w:t>
      </w:r>
      <w:r w:rsidR="00F536A1" w:rsidRPr="003D1E07">
        <w:t xml:space="preserve"> od hylemorfické jednoty těla a duše</w:t>
      </w:r>
      <w:r w:rsidR="08D57B7D" w:rsidRPr="003D1E07">
        <w:t xml:space="preserve"> a </w:t>
      </w:r>
      <w:r w:rsidR="002551A3" w:rsidRPr="003D1E07">
        <w:t>pak jí dali skrze nauku o univerzálním hylemorfismu statut numericky odlišné substance</w:t>
      </w:r>
      <w:r w:rsidR="00A70FA4" w:rsidRPr="003D1E07">
        <w:fldChar w:fldCharType="begin"/>
      </w:r>
      <w:r w:rsidR="00A70FA4" w:rsidRPr="003D1E07">
        <w:instrText xml:space="preserve"> XE "substance</w:instrText>
      </w:r>
      <w:r w:rsidR="009618F8" w:rsidRPr="003D1E07">
        <w:instrText>:intelekt</w:instrText>
      </w:r>
      <w:r w:rsidR="00A70FA4" w:rsidRPr="003D1E07">
        <w:instrText xml:space="preserve">" </w:instrText>
      </w:r>
      <w:r w:rsidR="00A70FA4" w:rsidRPr="003D1E07">
        <w:fldChar w:fldCharType="end"/>
      </w:r>
      <w:r w:rsidR="002551A3" w:rsidRPr="003D1E07">
        <w:t xml:space="preserve">. </w:t>
      </w:r>
      <w:r w:rsidR="00992A7A" w:rsidRPr="003D1E07">
        <w:t xml:space="preserve">A nakonec </w:t>
      </w:r>
      <w:r w:rsidR="00CA4050" w:rsidRPr="003D1E07">
        <w:t xml:space="preserve">tento nesmysl </w:t>
      </w:r>
      <w:r w:rsidR="08987EDB" w:rsidRPr="003D1E07">
        <w:t xml:space="preserve">spojili v modu </w:t>
      </w:r>
      <w:r w:rsidR="08987EDB" w:rsidRPr="003D1E07">
        <w:rPr>
          <w:i/>
        </w:rPr>
        <w:t>copulatio</w:t>
      </w:r>
      <w:r w:rsidR="00C6174F" w:rsidRPr="003D1E07">
        <w:rPr>
          <w:i/>
        </w:rPr>
        <w:fldChar w:fldCharType="begin"/>
      </w:r>
      <w:r w:rsidR="00C6174F" w:rsidRPr="003D1E07">
        <w:instrText xml:space="preserve"> XE "</w:instrText>
      </w:r>
      <w:r w:rsidR="00C6174F" w:rsidRPr="003D1E07">
        <w:rPr>
          <w:i/>
        </w:rPr>
        <w:instrText>copulatio</w:instrText>
      </w:r>
      <w:r w:rsidR="00C6174F" w:rsidRPr="003D1E07">
        <w:instrText xml:space="preserve">" </w:instrText>
      </w:r>
      <w:r w:rsidR="00C6174F" w:rsidRPr="003D1E07">
        <w:rPr>
          <w:i/>
        </w:rPr>
        <w:fldChar w:fldCharType="end"/>
      </w:r>
      <w:r w:rsidR="08987EDB" w:rsidRPr="003D1E07">
        <w:t xml:space="preserve"> </w:t>
      </w:r>
      <w:r w:rsidR="00992A7A" w:rsidRPr="003D1E07">
        <w:t xml:space="preserve">se schizofrenicky pojatou </w:t>
      </w:r>
      <w:r w:rsidR="08987EDB" w:rsidRPr="003D1E07">
        <w:t xml:space="preserve">moderní </w:t>
      </w:r>
      <w:r w:rsidR="00992A7A" w:rsidRPr="003D1E07">
        <w:t>osobou</w:t>
      </w:r>
      <w:r w:rsidR="083A6591" w:rsidRPr="003D1E07">
        <w:t xml:space="preserve"> jako pluralitou substancí</w:t>
      </w:r>
      <w:r w:rsidR="00992A7A" w:rsidRPr="003D1E07">
        <w:t xml:space="preserve">. </w:t>
      </w:r>
      <w:r w:rsidR="083E5288" w:rsidRPr="003D1E07">
        <w:t>Tuto kompletní paranoiu myšlení hájí postmoderna dodnes.</w:t>
      </w:r>
      <w:r w:rsidR="08F85894" w:rsidRPr="003D1E07">
        <w:t xml:space="preserve"> Ale po smrti moderního boha a moderního subjektu</w:t>
      </w:r>
      <w:r w:rsidR="08F85894" w:rsidRPr="003D1E07">
        <w:fldChar w:fldCharType="begin"/>
      </w:r>
      <w:r w:rsidR="08F85894" w:rsidRPr="003D1E07">
        <w:instrText xml:space="preserve"> XE "smrt subjektu" </w:instrText>
      </w:r>
      <w:r w:rsidR="08F85894" w:rsidRPr="003D1E07">
        <w:fldChar w:fldCharType="end"/>
      </w:r>
      <w:r w:rsidR="08F85894" w:rsidRPr="003D1E07">
        <w:t xml:space="preserve"> nutně vypukla </w:t>
      </w:r>
      <w:r w:rsidR="00DF1BDC">
        <w:t xml:space="preserve">další </w:t>
      </w:r>
      <w:r w:rsidR="08F85894" w:rsidRPr="003D1E07">
        <w:t>zásadní krize objektivního přenášení významu</w:t>
      </w:r>
      <w:r w:rsidR="00DF1BDC">
        <w:t xml:space="preserve">. </w:t>
      </w:r>
      <w:r w:rsidR="00DF1BDC" w:rsidRPr="00DF1BDC">
        <w:t xml:space="preserve">Je nesena novou absencí, která se tentokrát týká objektivní pravdy učiněné jako subjektivní </w:t>
      </w:r>
      <w:r w:rsidR="00DF1BDC">
        <w:t xml:space="preserve">jistota </w:t>
      </w:r>
      <w:r w:rsidR="00DF1BDC" w:rsidRPr="00DF1BDC">
        <w:t>(</w:t>
      </w:r>
      <w:r w:rsidR="00DF1BDC" w:rsidRPr="00DF1BDC">
        <w:rPr>
          <w:i/>
        </w:rPr>
        <w:t>certitudo</w:t>
      </w:r>
      <w:r w:rsidR="00DF1BDC">
        <w:rPr>
          <w:i/>
        </w:rPr>
        <w:fldChar w:fldCharType="begin"/>
      </w:r>
      <w:r w:rsidR="00DF1BDC">
        <w:instrText xml:space="preserve"> XE "</w:instrText>
      </w:r>
      <w:r w:rsidR="00DF1BDC" w:rsidRPr="00C24A8E">
        <w:rPr>
          <w:i/>
        </w:rPr>
        <w:instrText>certitudo</w:instrText>
      </w:r>
      <w:r w:rsidR="00DF1BDC">
        <w:instrText xml:space="preserve">" </w:instrText>
      </w:r>
      <w:r w:rsidR="00DF1BDC">
        <w:rPr>
          <w:i/>
        </w:rPr>
        <w:fldChar w:fldCharType="end"/>
      </w:r>
      <w:r w:rsidR="00DF1BDC" w:rsidRPr="00DF1BDC">
        <w:t>) Avicenny.</w:t>
      </w:r>
      <w:r w:rsidR="00DF1BDC">
        <w:t xml:space="preserve"> P</w:t>
      </w:r>
      <w:r w:rsidR="08F85894" w:rsidRPr="003D1E07">
        <w:t xml:space="preserve">aranoické </w:t>
      </w:r>
      <w:r w:rsidR="08B35363" w:rsidRPr="003D1E07">
        <w:t xml:space="preserve">myšlení </w:t>
      </w:r>
      <w:r w:rsidR="08F85894" w:rsidRPr="003D1E07">
        <w:t xml:space="preserve">moderny </w:t>
      </w:r>
      <w:r w:rsidR="086E138A" w:rsidRPr="003D1E07">
        <w:t xml:space="preserve">je </w:t>
      </w:r>
      <w:r w:rsidR="08B35363" w:rsidRPr="003D1E07">
        <w:t xml:space="preserve">ale logicky zcela </w:t>
      </w:r>
      <w:r w:rsidR="086E138A" w:rsidRPr="003D1E07">
        <w:t xml:space="preserve">racionální, protože je vedou božské síly </w:t>
      </w:r>
      <w:r w:rsidR="00BE0121">
        <w:t>Pomsty</w:t>
      </w:r>
      <w:r w:rsidR="00A611F8" w:rsidRPr="003D1E07">
        <w:t xml:space="preserve">. Fúrie stráží skryté </w:t>
      </w:r>
      <w:r w:rsidR="08B35363" w:rsidRPr="003D1E07">
        <w:t xml:space="preserve">působení </w:t>
      </w:r>
      <w:r w:rsidR="086E138A" w:rsidRPr="003D1E07">
        <w:t xml:space="preserve">múzické a mystagogické pravdy. </w:t>
      </w:r>
      <w:r w:rsidR="08142D1B" w:rsidRPr="003D1E07">
        <w:t>D</w:t>
      </w:r>
      <w:r w:rsidR="08B9599F" w:rsidRPr="003D1E07">
        <w:t>ruhý dí</w:t>
      </w:r>
      <w:r w:rsidR="08B35363" w:rsidRPr="003D1E07">
        <w:t>l ukáže</w:t>
      </w:r>
      <w:r w:rsidR="08142D1B" w:rsidRPr="003D1E07">
        <w:t xml:space="preserve">, že </w:t>
      </w:r>
      <w:r w:rsidR="00992A7A" w:rsidRPr="003D1E07">
        <w:t xml:space="preserve">toto řešení </w:t>
      </w:r>
      <w:r w:rsidR="08142D1B" w:rsidRPr="003D1E07">
        <w:rPr>
          <w:i/>
        </w:rPr>
        <w:t>Modernorum</w:t>
      </w:r>
      <w:r w:rsidR="08142D1B" w:rsidRPr="003D1E07">
        <w:t xml:space="preserve"> </w:t>
      </w:r>
      <w:r w:rsidR="00992A7A" w:rsidRPr="003D1E07">
        <w:t xml:space="preserve">viděl Bacon jako šílené a Albert o něm odmítl akademicky diskutovat pro naprostou směšnost těchto argumentů. </w:t>
      </w:r>
      <w:r w:rsidR="006D40CB" w:rsidRPr="003D1E07">
        <w:t xml:space="preserve">Každý z těchto </w:t>
      </w:r>
      <w:r w:rsidR="006D40CB" w:rsidRPr="003D1E07">
        <w:lastRenderedPageBreak/>
        <w:t xml:space="preserve">důvodů popírá argumentační stavbu CMDA a celkový smysl </w:t>
      </w:r>
      <w:r w:rsidR="002E3B62" w:rsidRPr="003D1E07">
        <w:t>Averroes</w:t>
      </w:r>
      <w:r w:rsidR="006D40CB" w:rsidRPr="003D1E07">
        <w:t>ovy filosofie</w:t>
      </w:r>
      <w:r w:rsidR="00DA5153" w:rsidRPr="003D1E07">
        <w:t>, natož všechny tři dohromady</w:t>
      </w:r>
      <w:r w:rsidR="006D40CB" w:rsidRPr="003D1E07">
        <w:t xml:space="preserve">. </w:t>
      </w:r>
      <w:r w:rsidR="008E7FD9" w:rsidRPr="003D1E07">
        <w:t xml:space="preserve">Spis </w:t>
      </w:r>
      <w:r w:rsidR="08D93D20" w:rsidRPr="003D1E07">
        <w:t xml:space="preserve">CMDA </w:t>
      </w:r>
      <w:r w:rsidR="00151F58" w:rsidRPr="003D1E07">
        <w:t xml:space="preserve">zná tehdejší </w:t>
      </w:r>
      <w:r w:rsidR="00A14322" w:rsidRPr="003D1E07">
        <w:t>debatu o pluralitě substanciálních forem</w:t>
      </w:r>
      <w:r w:rsidR="00BE36B2" w:rsidRPr="003D1E07">
        <w:t xml:space="preserve"> (</w:t>
      </w:r>
      <w:r w:rsidR="00442601" w:rsidRPr="003D1E07">
        <w:t xml:space="preserve">čtverý </w:t>
      </w:r>
      <w:r w:rsidR="00772CFB" w:rsidRPr="003D1E07">
        <w:t xml:space="preserve">objektivní </w:t>
      </w:r>
      <w:r w:rsidR="003F3E4B" w:rsidRPr="003D1E07">
        <w:t xml:space="preserve">intelekt Avicenny, materiální intelekt </w:t>
      </w:r>
      <w:r w:rsidR="00BE36B2" w:rsidRPr="003D1E07">
        <w:t>Ibn</w:t>
      </w:r>
      <w:r w:rsidR="003F3E4B" w:rsidRPr="003D1E07">
        <w:t xml:space="preserve"> Báji</w:t>
      </w:r>
      <w:r w:rsidR="00BE36B2" w:rsidRPr="003D1E07">
        <w:t>)</w:t>
      </w:r>
      <w:r w:rsidR="00A14322" w:rsidRPr="003D1E07">
        <w:t xml:space="preserve">, ale odmítá </w:t>
      </w:r>
      <w:r w:rsidR="005C28F0" w:rsidRPr="003D1E07">
        <w:t xml:space="preserve">tyto argumenty </w:t>
      </w:r>
      <w:r w:rsidR="00A14322" w:rsidRPr="003D1E07">
        <w:t>jako nesmysl</w:t>
      </w:r>
      <w:r w:rsidR="000A2302" w:rsidRPr="003D1E07">
        <w:fldChar w:fldCharType="begin"/>
      </w:r>
      <w:r w:rsidR="000A2302" w:rsidRPr="003D1E07">
        <w:instrText xml:space="preserve"> XE "osoba:pluralita substancí" </w:instrText>
      </w:r>
      <w:r w:rsidR="000A2302" w:rsidRPr="003D1E07">
        <w:fldChar w:fldCharType="end"/>
      </w:r>
      <w:r w:rsidR="00A14322" w:rsidRPr="003D1E07">
        <w:t xml:space="preserve">. </w:t>
      </w:r>
      <w:r w:rsidR="0036342A" w:rsidRPr="003D1E07">
        <w:t>Nemateriální i</w:t>
      </w:r>
      <w:r w:rsidR="00A14322" w:rsidRPr="003D1E07">
        <w:t xml:space="preserve">ntelekt není vázaný </w:t>
      </w:r>
      <w:r w:rsidR="00C400CB" w:rsidRPr="003D1E07">
        <w:t xml:space="preserve">jako smysly </w:t>
      </w:r>
      <w:r w:rsidR="00A14322" w:rsidRPr="003D1E07">
        <w:t xml:space="preserve">na části těla, </w:t>
      </w:r>
      <w:r w:rsidR="00C400CB" w:rsidRPr="003D1E07">
        <w:t xml:space="preserve">proto nemůže mít substanční </w:t>
      </w:r>
      <w:r w:rsidR="002E4173" w:rsidRPr="003D1E07">
        <w:t>charakter</w:t>
      </w:r>
      <w:r w:rsidR="00A14322" w:rsidRPr="003D1E07">
        <w:t>.</w:t>
      </w:r>
    </w:p>
    <w:p w14:paraId="2930686C" w14:textId="62B85545" w:rsidR="00A14322" w:rsidRPr="003D1E07" w:rsidRDefault="00A14322" w:rsidP="00A14322">
      <w:pPr>
        <w:pStyle w:val="Citace"/>
        <w:rPr>
          <w:noProof/>
          <w:lang w:val="cs-CZ"/>
        </w:rPr>
      </w:pPr>
      <w:r w:rsidRPr="003D1E07">
        <w:rPr>
          <w:noProof/>
          <w:lang w:val="cs-CZ"/>
        </w:rPr>
        <w:t>„</w:t>
      </w:r>
      <w:r w:rsidR="004E056D" w:rsidRPr="003D1E07">
        <w:rPr>
          <w:noProof/>
          <w:lang w:val="cs-CZ"/>
        </w:rPr>
        <w:t xml:space="preserve">Proto je nemožné, aby intelekt sídlil v nějaké části těla. Je třeba vědět, že problém není pouze v tom, zda je intelekt jeden v mnoha nositelích </w:t>
      </w:r>
      <w:r w:rsidR="00D109FA">
        <w:rPr>
          <w:noProof/>
          <w:lang w:val="cs-CZ"/>
        </w:rPr>
        <w:t xml:space="preserve">a </w:t>
      </w:r>
      <w:r w:rsidR="004E056D" w:rsidRPr="003D1E07">
        <w:rPr>
          <w:noProof/>
          <w:lang w:val="cs-CZ"/>
        </w:rPr>
        <w:t>mnohý podle svých schopností</w:t>
      </w:r>
      <w:r w:rsidR="00816E5F" w:rsidRPr="003D1E07">
        <w:rPr>
          <w:noProof/>
          <w:lang w:val="cs-CZ"/>
        </w:rPr>
        <w:t xml:space="preserve"> </w:t>
      </w:r>
      <w:r w:rsidR="00816E5F" w:rsidRPr="003D1E07">
        <w:rPr>
          <w:rStyle w:val="Zkladntextdkovn0pt"/>
          <w:rFonts w:ascii="Calibri" w:eastAsia="Times" w:hAnsi="Calibri" w:cs="Times New Roman"/>
          <w:noProof/>
          <w:spacing w:val="0"/>
          <w:sz w:val="21"/>
          <w:u w:val="none"/>
          <w:lang w:val="cs-CZ"/>
        </w:rPr>
        <w:t>(</w:t>
      </w:r>
      <w:r w:rsidR="00816E5F" w:rsidRPr="003D1E07">
        <w:rPr>
          <w:i/>
          <w:noProof/>
          <w:lang w:val="cs-CZ"/>
        </w:rPr>
        <w:t>utrum sit unica secundum subiectum et plura secundum virtutes</w:t>
      </w:r>
      <w:r w:rsidR="00816E5F" w:rsidRPr="003D1E07">
        <w:rPr>
          <w:rStyle w:val="Zkladntextdkovn0pt"/>
          <w:rFonts w:ascii="Calibri" w:eastAsia="Times" w:hAnsi="Calibri" w:cs="Times New Roman"/>
          <w:noProof/>
          <w:spacing w:val="0"/>
          <w:sz w:val="21"/>
          <w:u w:val="none"/>
          <w:lang w:val="cs-CZ"/>
        </w:rPr>
        <w:t>)</w:t>
      </w:r>
      <w:r w:rsidR="004E056D" w:rsidRPr="003D1E07">
        <w:rPr>
          <w:noProof/>
          <w:lang w:val="cs-CZ"/>
        </w:rPr>
        <w:t xml:space="preserve">, jako by se duše rozdělila </w:t>
      </w:r>
      <w:r w:rsidR="006B4632" w:rsidRPr="003D1E07">
        <w:rPr>
          <w:noProof/>
          <w:lang w:val="cs-CZ"/>
        </w:rPr>
        <w:t xml:space="preserve">podle </w:t>
      </w:r>
      <w:r w:rsidR="004E056D" w:rsidRPr="003D1E07">
        <w:rPr>
          <w:noProof/>
          <w:lang w:val="cs-CZ"/>
        </w:rPr>
        <w:t>ovoce na vnímání vůně, barvy a chuti.</w:t>
      </w:r>
      <w:r w:rsidR="006B4632" w:rsidRPr="003D1E07">
        <w:rPr>
          <w:noProof/>
          <w:lang w:val="cs-CZ"/>
        </w:rPr>
        <w:t xml:space="preserve"> Nebo zda je jeden na základě</w:t>
      </w:r>
      <w:r w:rsidR="00243311" w:rsidRPr="003D1E07">
        <w:rPr>
          <w:noProof/>
          <w:lang w:val="cs-CZ"/>
        </w:rPr>
        <w:t xml:space="preserve"> univerzálně definované přirozenosti</w:t>
      </w:r>
      <w:r w:rsidR="006B4632" w:rsidRPr="003D1E07">
        <w:rPr>
          <w:noProof/>
          <w:lang w:val="cs-CZ"/>
        </w:rPr>
        <w:t xml:space="preserve"> (</w:t>
      </w:r>
      <w:r w:rsidR="006B4632" w:rsidRPr="003D1E07">
        <w:rPr>
          <w:i/>
          <w:lang w:val="cs-CZ"/>
        </w:rPr>
        <w:t>una propter unam naturam communem</w:t>
      </w:r>
      <w:r w:rsidR="00243311" w:rsidRPr="003D1E07">
        <w:rPr>
          <w:noProof/>
          <w:lang w:val="cs-CZ"/>
        </w:rPr>
        <w:t xml:space="preserve">) a mnohý, protože aktuální </w:t>
      </w:r>
      <w:r w:rsidR="006B4632" w:rsidRPr="003D1E07">
        <w:rPr>
          <w:noProof/>
          <w:lang w:val="cs-CZ"/>
        </w:rPr>
        <w:t>podstata má různé schopnosti (</w:t>
      </w:r>
      <w:r w:rsidR="006B4632" w:rsidRPr="003D1E07">
        <w:rPr>
          <w:i/>
          <w:noProof/>
          <w:lang w:val="cs-CZ"/>
        </w:rPr>
        <w:t>ista natura habet diversas virtutes</w:t>
      </w:r>
      <w:r w:rsidR="006B4632" w:rsidRPr="003D1E07">
        <w:rPr>
          <w:noProof/>
          <w:lang w:val="cs-CZ"/>
        </w:rPr>
        <w:t>)</w:t>
      </w:r>
      <w:r w:rsidR="00CE5DCD" w:rsidRPr="003D1E07">
        <w:rPr>
          <w:noProof/>
          <w:lang w:val="cs-CZ"/>
        </w:rPr>
        <w:t>.</w:t>
      </w:r>
      <w:r w:rsidR="080E0D41" w:rsidRPr="003D1E07">
        <w:rPr>
          <w:noProof/>
          <w:lang w:val="cs-CZ"/>
        </w:rPr>
        <w:t>..</w:t>
      </w:r>
      <w:r w:rsidR="009A72E3" w:rsidRPr="003D1E07">
        <w:rPr>
          <w:noProof/>
          <w:lang w:val="cs-CZ"/>
        </w:rPr>
        <w:t>“ </w:t>
      </w:r>
      <w:r w:rsidR="004E056D" w:rsidRPr="003D1E07">
        <w:rPr>
          <w:rStyle w:val="Znakapoznpodarou"/>
          <w:noProof/>
          <w:sz w:val="21"/>
          <w:szCs w:val="15"/>
          <w:lang w:val="cs-CZ"/>
        </w:rPr>
        <w:footnoteReference w:id="256"/>
      </w:r>
    </w:p>
    <w:p w14:paraId="63459C41" w14:textId="77777777" w:rsidR="008F7D4E" w:rsidRDefault="08BE0B7F" w:rsidP="004A7F08">
      <w:r w:rsidRPr="003D1E07">
        <w:t xml:space="preserve">Duše je nemateriální forma těla, </w:t>
      </w:r>
      <w:r w:rsidR="00665DD8" w:rsidRPr="003D1E07">
        <w:t>proto ji nelze v těle lokalizovat</w:t>
      </w:r>
      <w:r w:rsidRPr="003D1E07">
        <w:t xml:space="preserve"> jako smyslový orgán</w:t>
      </w:r>
      <w:r w:rsidR="00665DD8" w:rsidRPr="003D1E07">
        <w:t xml:space="preserve">. </w:t>
      </w:r>
      <w:r w:rsidR="085D65E0" w:rsidRPr="003D1E07">
        <w:t xml:space="preserve">Citát </w:t>
      </w:r>
      <w:r w:rsidR="00665DD8" w:rsidRPr="003D1E07">
        <w:t>odmít</w:t>
      </w:r>
      <w:r w:rsidR="085D65E0" w:rsidRPr="003D1E07">
        <w:t xml:space="preserve">á </w:t>
      </w:r>
      <w:r w:rsidR="00665DD8" w:rsidRPr="003D1E07">
        <w:t xml:space="preserve">obě alternativy, které později </w:t>
      </w:r>
      <w:r w:rsidR="085D65E0" w:rsidRPr="003D1E07">
        <w:t>pře</w:t>
      </w:r>
      <w:r w:rsidR="00665DD8" w:rsidRPr="003D1E07">
        <w:t>vezme druhý averroismus. Jednota</w:t>
      </w:r>
      <w:r w:rsidR="009A6DA8">
        <w:t xml:space="preserve"> na úrovni </w:t>
      </w:r>
      <w:r w:rsidR="00665DD8" w:rsidRPr="003D1E07">
        <w:t xml:space="preserve"> </w:t>
      </w:r>
      <w:r w:rsidR="00E52961" w:rsidRPr="00E52961">
        <w:rPr>
          <w:i/>
        </w:rPr>
        <w:t>anima intellectiva</w:t>
      </w:r>
      <w:r w:rsidR="00E52961">
        <w:t xml:space="preserve"> </w:t>
      </w:r>
      <w:r w:rsidR="00665DD8" w:rsidRPr="003D1E07">
        <w:t xml:space="preserve">nemůže být substanciální </w:t>
      </w:r>
      <w:r w:rsidR="08D64E8D" w:rsidRPr="003D1E07">
        <w:t xml:space="preserve">v rámci </w:t>
      </w:r>
      <w:r w:rsidR="00665DD8" w:rsidRPr="003D1E07">
        <w:t xml:space="preserve">aktuálně dané </w:t>
      </w:r>
      <w:r w:rsidR="006B63FE" w:rsidRPr="003D1E07">
        <w:t xml:space="preserve">materiální </w:t>
      </w:r>
      <w:r w:rsidR="00665DD8" w:rsidRPr="003D1E07">
        <w:t>první substance</w:t>
      </w:r>
      <w:r w:rsidR="00A70FA4" w:rsidRPr="003D1E07">
        <w:fldChar w:fldCharType="begin"/>
      </w:r>
      <w:r w:rsidR="00A70FA4" w:rsidRPr="003D1E07">
        <w:instrText xml:space="preserve"> XE "substance</w:instrText>
      </w:r>
      <w:r w:rsidR="009618F8" w:rsidRPr="003D1E07">
        <w:instrText>:první</w:instrText>
      </w:r>
      <w:r w:rsidR="00A70FA4" w:rsidRPr="003D1E07">
        <w:instrText xml:space="preserve">" </w:instrText>
      </w:r>
      <w:r w:rsidR="00A70FA4" w:rsidRPr="003D1E07">
        <w:fldChar w:fldCharType="end"/>
      </w:r>
      <w:r w:rsidR="08D64E8D" w:rsidRPr="003D1E07">
        <w:t xml:space="preserve"> a současně pluralitní v smyslu různých</w:t>
      </w:r>
      <w:r w:rsidR="006B63FE" w:rsidRPr="003D1E07">
        <w:t xml:space="preserve"> činností</w:t>
      </w:r>
      <w:r w:rsidR="00665DD8" w:rsidRPr="003D1E07">
        <w:t xml:space="preserve"> </w:t>
      </w:r>
      <w:r w:rsidR="08D64E8D" w:rsidRPr="003D1E07">
        <w:t>aktuálně subsis</w:t>
      </w:r>
      <w:r w:rsidR="00061E84" w:rsidRPr="003D1E07">
        <w:t>tujících mimo původní substanci</w:t>
      </w:r>
      <w:r w:rsidR="00665DD8" w:rsidRPr="003D1E07">
        <w:t xml:space="preserve">. </w:t>
      </w:r>
      <w:r w:rsidR="08D64E8D" w:rsidRPr="003D1E07">
        <w:t>Jakákol</w:t>
      </w:r>
      <w:r w:rsidR="08D023E3" w:rsidRPr="003D1E07">
        <w:t>iv teorie oddělené</w:t>
      </w:r>
      <w:r w:rsidR="08D64E8D" w:rsidRPr="003D1E07">
        <w:t xml:space="preserve"> subsistující</w:t>
      </w:r>
      <w:r w:rsidR="006B63FE" w:rsidRPr="003D1E07">
        <w:t xml:space="preserve"> </w:t>
      </w:r>
      <w:r w:rsidR="00210CD1" w:rsidRPr="003D1E07">
        <w:t>p</w:t>
      </w:r>
      <w:r w:rsidR="008E02F5" w:rsidRPr="003D1E07">
        <w:t>laton</w:t>
      </w:r>
      <w:r w:rsidR="006B63FE" w:rsidRPr="003D1E07">
        <w:t xml:space="preserve">ské duše nebo </w:t>
      </w:r>
      <w:r w:rsidR="00874074" w:rsidRPr="003D1E07">
        <w:t>neoplatonsk</w:t>
      </w:r>
      <w:r w:rsidR="006B63FE" w:rsidRPr="003D1E07">
        <w:t xml:space="preserve">ého </w:t>
      </w:r>
      <w:r w:rsidR="00C90FFF" w:rsidRPr="003D1E07">
        <w:t xml:space="preserve">intelektu, či </w:t>
      </w:r>
      <w:r w:rsidR="08D023E3" w:rsidRPr="003D1E07">
        <w:t>na způsob Avicenny nebo Descarta</w:t>
      </w:r>
      <w:r w:rsidR="006E6202" w:rsidRPr="003D1E07">
        <w:fldChar w:fldCharType="begin"/>
      </w:r>
      <w:r w:rsidR="006E6202" w:rsidRPr="003D1E07">
        <w:instrText xml:space="preserve"> XE "</w:instrText>
      </w:r>
      <w:r w:rsidR="006E6202" w:rsidRPr="003D1E07">
        <w:rPr>
          <w:rStyle w:val="addmd"/>
        </w:rPr>
        <w:instrText>Descartes, R.</w:instrText>
      </w:r>
      <w:r w:rsidR="006E6202" w:rsidRPr="003D1E07">
        <w:instrText xml:space="preserve">" </w:instrText>
      </w:r>
      <w:r w:rsidR="006E6202" w:rsidRPr="003D1E07">
        <w:fldChar w:fldCharType="end"/>
      </w:r>
      <w:r w:rsidR="08D023E3" w:rsidRPr="003D1E07">
        <w:t xml:space="preserve"> </w:t>
      </w:r>
      <w:r w:rsidR="08D64E8D" w:rsidRPr="003D1E07">
        <w:t>je podle tohot</w:t>
      </w:r>
      <w:r w:rsidR="08D023E3" w:rsidRPr="003D1E07">
        <w:t>o</w:t>
      </w:r>
      <w:r w:rsidR="08D64E8D" w:rsidRPr="003D1E07">
        <w:t xml:space="preserve"> citátu nemožná. </w:t>
      </w:r>
      <w:r w:rsidR="00665DD8" w:rsidRPr="003D1E07">
        <w:t xml:space="preserve">Toto </w:t>
      </w:r>
      <w:r w:rsidR="002C2D53">
        <w:t>mylné a zcela „</w:t>
      </w:r>
      <w:r w:rsidR="000B0806">
        <w:t>averroistické</w:t>
      </w:r>
      <w:r w:rsidR="002C2D53">
        <w:t>“</w:t>
      </w:r>
      <w:r w:rsidR="000B0806">
        <w:t xml:space="preserve"> </w:t>
      </w:r>
      <w:r w:rsidR="00665DD8" w:rsidRPr="003D1E07">
        <w:t xml:space="preserve">řešení se objevuje na Oxfordu kolem 1240 </w:t>
      </w:r>
      <w:r w:rsidR="00F67A01" w:rsidRPr="003D1E07">
        <w:t>současně se zavedením univerzá</w:t>
      </w:r>
      <w:r w:rsidR="001325F5" w:rsidRPr="003D1E07">
        <w:t>l</w:t>
      </w:r>
      <w:r w:rsidR="00F67A01" w:rsidRPr="003D1E07">
        <w:t>ního hylemorfismu</w:t>
      </w:r>
      <w:r w:rsidR="001325F5" w:rsidRPr="003D1E07">
        <w:fldChar w:fldCharType="begin"/>
      </w:r>
      <w:r w:rsidR="001325F5" w:rsidRPr="003D1E07">
        <w:instrText xml:space="preserve"> XE "univerzální hylemorfismus" </w:instrText>
      </w:r>
      <w:r w:rsidR="001325F5" w:rsidRPr="003D1E07">
        <w:fldChar w:fldCharType="end"/>
      </w:r>
      <w:r w:rsidR="00F67A01" w:rsidRPr="003D1E07">
        <w:t xml:space="preserve"> </w:t>
      </w:r>
      <w:r w:rsidR="00665DD8" w:rsidRPr="003D1E07">
        <w:t xml:space="preserve">a </w:t>
      </w:r>
      <w:r w:rsidR="00F67A01" w:rsidRPr="003D1E07">
        <w:t>po</w:t>
      </w:r>
      <w:r w:rsidR="00665DD8" w:rsidRPr="003D1E07">
        <w:t xml:space="preserve">vede k </w:t>
      </w:r>
      <w:r w:rsidR="00D753EE" w:rsidRPr="003D1E07">
        <w:t xml:space="preserve">pluralitě </w:t>
      </w:r>
      <w:r w:rsidR="00665DD8" w:rsidRPr="003D1E07">
        <w:t>substanciální</w:t>
      </w:r>
      <w:r w:rsidR="00D753EE" w:rsidRPr="003D1E07">
        <w:t>ch</w:t>
      </w:r>
      <w:r w:rsidR="00665DD8" w:rsidRPr="003D1E07">
        <w:t xml:space="preserve"> forem v člověku (</w:t>
      </w:r>
      <w:r w:rsidR="08ED12B2" w:rsidRPr="003D1E07">
        <w:t>OBJ II, kap. 3</w:t>
      </w:r>
      <w:r w:rsidR="00665DD8" w:rsidRPr="003D1E07">
        <w:t>.2). Stejně tak nemůže být duše jen ab</w:t>
      </w:r>
      <w:r w:rsidR="007D00F2" w:rsidRPr="003D1E07">
        <w:t>s</w:t>
      </w:r>
      <w:r w:rsidR="00665DD8" w:rsidRPr="003D1E07">
        <w:t>traktní univerzálií, která má jednotu pouze v</w:t>
      </w:r>
      <w:r w:rsidR="00C90FFF" w:rsidRPr="003D1E07">
        <w:t> </w:t>
      </w:r>
      <w:r w:rsidR="00665DD8" w:rsidRPr="003D1E07">
        <w:t>mysli</w:t>
      </w:r>
      <w:r w:rsidR="00C90FFF" w:rsidRPr="003D1E07">
        <w:t>. Intelekt nelze redukovat na hypostázovanou abstrakci</w:t>
      </w:r>
      <w:r w:rsidR="00665DD8" w:rsidRPr="003D1E07">
        <w:t xml:space="preserve"> a stejným způsobem </w:t>
      </w:r>
      <w:r w:rsidR="00C90FFF" w:rsidRPr="003D1E07">
        <w:t xml:space="preserve">od ní </w:t>
      </w:r>
      <w:r w:rsidR="00665DD8" w:rsidRPr="003D1E07">
        <w:t>odvoz</w:t>
      </w:r>
      <w:r w:rsidR="00C90FFF" w:rsidRPr="003D1E07">
        <w:t xml:space="preserve">ovat </w:t>
      </w:r>
      <w:r w:rsidR="00665DD8" w:rsidRPr="003D1E07">
        <w:t xml:space="preserve">další abstraktní vlastnosti. To by byl </w:t>
      </w:r>
      <w:r w:rsidR="007D00F2" w:rsidRPr="003D1E07">
        <w:t xml:space="preserve">opět </w:t>
      </w:r>
      <w:r w:rsidR="006C7649" w:rsidRPr="003D1E07">
        <w:t>nesmysl</w:t>
      </w:r>
      <w:r w:rsidR="006771DC" w:rsidRPr="003D1E07">
        <w:t xml:space="preserve">, protože člověk </w:t>
      </w:r>
      <w:r w:rsidR="08850B1F" w:rsidRPr="003D1E07">
        <w:t xml:space="preserve">aktuálně </w:t>
      </w:r>
      <w:r w:rsidR="006771DC" w:rsidRPr="003D1E07">
        <w:t>ex</w:t>
      </w:r>
      <w:r w:rsidR="08850B1F" w:rsidRPr="003D1E07">
        <w:t xml:space="preserve">istuje </w:t>
      </w:r>
      <w:r w:rsidR="006771DC" w:rsidRPr="003D1E07">
        <w:t>jako myslící první substance daná hylemorficky</w:t>
      </w:r>
      <w:r w:rsidR="006C7649" w:rsidRPr="003D1E07">
        <w:t xml:space="preserve">. </w:t>
      </w:r>
      <w:r w:rsidR="08707007" w:rsidRPr="003D1E07">
        <w:t>S</w:t>
      </w:r>
      <w:r w:rsidR="00E2343F" w:rsidRPr="003D1E07">
        <w:t xml:space="preserve">pecifické </w:t>
      </w:r>
      <w:r w:rsidR="08D02B87" w:rsidRPr="003D1E07">
        <w:t xml:space="preserve">dělení duše na rody, </w:t>
      </w:r>
      <w:r w:rsidR="00A37FE3" w:rsidRPr="003D1E07">
        <w:t xml:space="preserve">druhy </w:t>
      </w:r>
      <w:r w:rsidR="08D02B87" w:rsidRPr="003D1E07">
        <w:t xml:space="preserve">a individua </w:t>
      </w:r>
      <w:r w:rsidR="00A37FE3" w:rsidRPr="003D1E07">
        <w:t xml:space="preserve">je možné jen v rámci duše jako univerzálie koncipované podle </w:t>
      </w:r>
      <w:r w:rsidR="00BB45B1" w:rsidRPr="003D1E07">
        <w:t>Porfyri</w:t>
      </w:r>
      <w:r w:rsidR="00A37FE3" w:rsidRPr="003D1E07">
        <w:t>ova stromu</w:t>
      </w:r>
      <w:r w:rsidR="08707007" w:rsidRPr="003D1E07">
        <w:t>, což je ale čistě mentální operace</w:t>
      </w:r>
      <w:r w:rsidR="00A37FE3" w:rsidRPr="003D1E07">
        <w:t xml:space="preserve">. </w:t>
      </w:r>
      <w:r w:rsidR="00E2343F" w:rsidRPr="003D1E07">
        <w:t>V reálu existuje jedna osoba s různými poznávacími schopnostmi</w:t>
      </w:r>
      <w:r w:rsidR="00031647" w:rsidRPr="003D1E07">
        <w:t xml:space="preserve">, které </w:t>
      </w:r>
      <w:r w:rsidR="00526486" w:rsidRPr="003D1E07">
        <w:t xml:space="preserve">osobně </w:t>
      </w:r>
      <w:r w:rsidR="00031647" w:rsidRPr="003D1E07">
        <w:t>realiz</w:t>
      </w:r>
      <w:r w:rsidR="00E2343F" w:rsidRPr="003D1E07">
        <w:t xml:space="preserve">uje </w:t>
      </w:r>
      <w:r w:rsidR="00E2343F" w:rsidRPr="003D1E07">
        <w:rPr>
          <w:rStyle w:val="Zkladntextdkovn0pt"/>
          <w:rFonts w:ascii="Calibri" w:eastAsia="Times" w:hAnsi="Calibri" w:cs="Times New Roman"/>
          <w:spacing w:val="0"/>
          <w:sz w:val="21"/>
          <w:u w:val="none"/>
          <w:lang w:val="cs-CZ"/>
        </w:rPr>
        <w:t>(</w:t>
      </w:r>
      <w:r w:rsidR="00E2343F" w:rsidRPr="003D1E07">
        <w:rPr>
          <w:i/>
        </w:rPr>
        <w:t>unica secundum subiectum et plura secundum virtutes</w:t>
      </w:r>
      <w:r w:rsidR="00E2343F" w:rsidRPr="003D1E07">
        <w:rPr>
          <w:rStyle w:val="Zkladntextdkovn0pt"/>
          <w:rFonts w:ascii="Calibri" w:eastAsia="Times" w:hAnsi="Calibri" w:cs="Times New Roman"/>
          <w:spacing w:val="0"/>
          <w:sz w:val="21"/>
          <w:u w:val="none"/>
          <w:lang w:val="cs-CZ"/>
        </w:rPr>
        <w:t xml:space="preserve">). </w:t>
      </w:r>
      <w:r w:rsidR="006C7649" w:rsidRPr="003D1E07">
        <w:t>D</w:t>
      </w:r>
      <w:r w:rsidR="00665DD8" w:rsidRPr="003D1E07">
        <w:t xml:space="preserve">uše představuje </w:t>
      </w:r>
      <w:r w:rsidR="00665DD8" w:rsidRPr="003D1E07">
        <w:rPr>
          <w:i/>
        </w:rPr>
        <w:t>actus essendi</w:t>
      </w:r>
      <w:r w:rsidR="000A2302" w:rsidRPr="003D1E07">
        <w:rPr>
          <w:i/>
        </w:rPr>
        <w:fldChar w:fldCharType="begin"/>
      </w:r>
      <w:r w:rsidR="000A2302" w:rsidRPr="003D1E07">
        <w:instrText xml:space="preserve"> XE "</w:instrText>
      </w:r>
      <w:r w:rsidR="000A2302" w:rsidRPr="003D1E07">
        <w:rPr>
          <w:i/>
        </w:rPr>
        <w:instrText>actus essendi</w:instrText>
      </w:r>
      <w:r w:rsidR="000A2302" w:rsidRPr="003D1E07">
        <w:instrText xml:space="preserve">" </w:instrText>
      </w:r>
      <w:r w:rsidR="000A2302" w:rsidRPr="003D1E07">
        <w:rPr>
          <w:i/>
        </w:rPr>
        <w:fldChar w:fldCharType="end"/>
      </w:r>
      <w:r w:rsidR="00665DD8" w:rsidRPr="003D1E07">
        <w:t xml:space="preserve"> konkrétní p</w:t>
      </w:r>
      <w:r w:rsidR="08772542" w:rsidRPr="003D1E07">
        <w:t xml:space="preserve">rvní substance, tj. dané osoby, která </w:t>
      </w:r>
      <w:r w:rsidR="003D22CF" w:rsidRPr="003D1E07">
        <w:t xml:space="preserve">sama o sobě a pro sebe existuje, </w:t>
      </w:r>
      <w:r w:rsidR="08772542" w:rsidRPr="003D1E07">
        <w:t xml:space="preserve">poznává a myslí. </w:t>
      </w:r>
      <w:r w:rsidR="082E39CD" w:rsidRPr="003D1E07">
        <w:t>I</w:t>
      </w:r>
      <w:r w:rsidR="08772542" w:rsidRPr="003D1E07">
        <w:t>ntelekt</w:t>
      </w:r>
      <w:r w:rsidR="082E39CD" w:rsidRPr="003D1E07">
        <w:t xml:space="preserve"> je nemateriální schopnost duše</w:t>
      </w:r>
      <w:r w:rsidR="08623EA8" w:rsidRPr="003D1E07">
        <w:t>, která je nemateriální formou těla</w:t>
      </w:r>
      <w:r w:rsidR="00E36A70">
        <w:t xml:space="preserve"> </w:t>
      </w:r>
      <w:r w:rsidR="00E36A70">
        <w:rPr>
          <w:noProof w:val="0"/>
          <w:lang w:val="en-US" w:eastAsia="en-US"/>
        </w:rPr>
        <w:t>(</w:t>
      </w:r>
      <w:r w:rsidR="00E36A70" w:rsidRPr="00305A4E">
        <w:rPr>
          <w:i/>
          <w:noProof w:val="0"/>
          <w:lang w:val="en-US" w:eastAsia="en-US"/>
        </w:rPr>
        <w:t>actus intelligendi</w:t>
      </w:r>
      <w:r w:rsidR="00E36A70">
        <w:rPr>
          <w:i/>
          <w:noProof w:val="0"/>
          <w:lang w:val="en-US" w:eastAsia="en-US"/>
        </w:rPr>
        <w:fldChar w:fldCharType="begin"/>
      </w:r>
      <w:r w:rsidR="00E36A70">
        <w:instrText xml:space="preserve"> XE "</w:instrText>
      </w:r>
      <w:r w:rsidR="00E36A70" w:rsidRPr="00F76C2D">
        <w:rPr>
          <w:i/>
          <w:noProof w:val="0"/>
          <w:lang w:val="en-US" w:eastAsia="en-US"/>
        </w:rPr>
        <w:instrText>actus intelligendi</w:instrText>
      </w:r>
      <w:r w:rsidR="00E36A70">
        <w:instrText xml:space="preserve">" </w:instrText>
      </w:r>
      <w:r w:rsidR="00E36A70">
        <w:rPr>
          <w:i/>
          <w:noProof w:val="0"/>
          <w:lang w:val="en-US" w:eastAsia="en-US"/>
        </w:rPr>
        <w:fldChar w:fldCharType="end"/>
      </w:r>
      <w:r w:rsidR="00E36A70">
        <w:rPr>
          <w:noProof w:val="0"/>
          <w:lang w:val="en-US" w:eastAsia="en-US"/>
        </w:rPr>
        <w:t>)</w:t>
      </w:r>
      <w:r w:rsidR="082E39CD" w:rsidRPr="003D1E07">
        <w:t xml:space="preserve">. Ale to </w:t>
      </w:r>
      <w:r w:rsidR="00216BA3" w:rsidRPr="003D1E07">
        <w:t xml:space="preserve">neznamená, že </w:t>
      </w:r>
      <w:r w:rsidR="00216BA3" w:rsidRPr="003D1E07">
        <w:lastRenderedPageBreak/>
        <w:t xml:space="preserve">intelekt </w:t>
      </w:r>
      <w:r w:rsidR="086F7EC5" w:rsidRPr="003D1E07">
        <w:t xml:space="preserve">jako </w:t>
      </w:r>
      <w:r w:rsidR="086F7EC5" w:rsidRPr="003D1E07">
        <w:rPr>
          <w:i/>
          <w:szCs w:val="24"/>
        </w:rPr>
        <w:t>tertium</w:t>
      </w:r>
      <w:r w:rsidR="086F7EC5" w:rsidRPr="003D1E07">
        <w:rPr>
          <w:szCs w:val="24"/>
        </w:rPr>
        <w:t xml:space="preserve"> nebo </w:t>
      </w:r>
      <w:r w:rsidR="086F7EC5" w:rsidRPr="003D1E07">
        <w:rPr>
          <w:i/>
          <w:szCs w:val="24"/>
        </w:rPr>
        <w:t>quartum genus</w:t>
      </w:r>
      <w:r w:rsidR="086F7EC5" w:rsidRPr="003D1E07">
        <w:rPr>
          <w:szCs w:val="24"/>
        </w:rPr>
        <w:t xml:space="preserve"> </w:t>
      </w:r>
      <w:r w:rsidR="00216BA3" w:rsidRPr="003D1E07">
        <w:t xml:space="preserve">představuje </w:t>
      </w:r>
      <w:r w:rsidR="08942685" w:rsidRPr="003D1E07">
        <w:t xml:space="preserve">nějakou </w:t>
      </w:r>
      <w:r w:rsidR="00B35A8F" w:rsidRPr="003D1E07">
        <w:t xml:space="preserve">oddělenou </w:t>
      </w:r>
      <w:r w:rsidR="00337C2B" w:rsidRPr="003D1E07">
        <w:t xml:space="preserve">substanci </w:t>
      </w:r>
      <w:r w:rsidR="08942685" w:rsidRPr="003D1E07">
        <w:t xml:space="preserve">na Avicennův způsob jsoucna </w:t>
      </w:r>
      <w:r w:rsidR="00943F1B" w:rsidRPr="003D1E07">
        <w:t xml:space="preserve">třetího druhu. Toto řešení vytvořilo </w:t>
      </w:r>
      <w:r w:rsidR="08772542" w:rsidRPr="003D1E07">
        <w:t>univerzální a singulární</w:t>
      </w:r>
      <w:r w:rsidR="084868CC" w:rsidRPr="003D1E07">
        <w:t xml:space="preserve"> </w:t>
      </w:r>
      <w:r w:rsidR="00BA0B53" w:rsidRPr="003D1E07">
        <w:t xml:space="preserve">intelekt modernistů jako </w:t>
      </w:r>
      <w:r w:rsidR="084868CC" w:rsidRPr="003D1E07">
        <w:rPr>
          <w:i/>
        </w:rPr>
        <w:t>hoc aliquid</w:t>
      </w:r>
      <w:r w:rsidR="009A43F5" w:rsidRPr="003D1E07">
        <w:rPr>
          <w:i/>
        </w:rPr>
        <w:fldChar w:fldCharType="begin"/>
      </w:r>
      <w:r w:rsidR="009A43F5" w:rsidRPr="003D1E07">
        <w:instrText xml:space="preserve"> XE "</w:instrText>
      </w:r>
      <w:r w:rsidR="009A43F5" w:rsidRPr="003D1E07">
        <w:rPr>
          <w:rStyle w:val="FontStyle129"/>
          <w:rFonts w:ascii="Calibri" w:hAnsi="Calibri"/>
          <w:i/>
          <w:sz w:val="24"/>
        </w:rPr>
        <w:instrText>hoc aliquid:</w:instrText>
      </w:r>
      <w:r w:rsidR="009A43F5" w:rsidRPr="003D1E07">
        <w:instrText xml:space="preserve">Avicenna" </w:instrText>
      </w:r>
      <w:r w:rsidR="009A43F5" w:rsidRPr="003D1E07">
        <w:rPr>
          <w:i/>
        </w:rPr>
        <w:fldChar w:fldCharType="end"/>
      </w:r>
      <w:r w:rsidR="084868CC" w:rsidRPr="003D1E07">
        <w:t xml:space="preserve"> </w:t>
      </w:r>
      <w:r w:rsidR="08F12FBC" w:rsidRPr="003D1E07">
        <w:t xml:space="preserve">druhého averroismu </w:t>
      </w:r>
      <w:r w:rsidR="084868CC" w:rsidRPr="003D1E07">
        <w:t xml:space="preserve">nebo </w:t>
      </w:r>
      <w:r w:rsidR="084868CC" w:rsidRPr="003D1E07">
        <w:rPr>
          <w:i/>
        </w:rPr>
        <w:t>res cogitans</w:t>
      </w:r>
      <w:r w:rsidR="009A1BD1" w:rsidRPr="003D1E07">
        <w:rPr>
          <w:i/>
        </w:rPr>
        <w:fldChar w:fldCharType="begin"/>
      </w:r>
      <w:r w:rsidR="009A1BD1" w:rsidRPr="003D1E07">
        <w:instrText xml:space="preserve"> XE "</w:instrText>
      </w:r>
      <w:r w:rsidR="009A1BD1" w:rsidRPr="003D1E07">
        <w:rPr>
          <w:i/>
        </w:rPr>
        <w:instrText>res cogitans</w:instrText>
      </w:r>
      <w:r w:rsidR="009A1BD1" w:rsidRPr="003D1E07">
        <w:instrText xml:space="preserve">" </w:instrText>
      </w:r>
      <w:r w:rsidR="009A1BD1" w:rsidRPr="003D1E07">
        <w:rPr>
          <w:i/>
        </w:rPr>
        <w:fldChar w:fldCharType="end"/>
      </w:r>
      <w:r w:rsidR="08F12FBC" w:rsidRPr="003D1E07">
        <w:t xml:space="preserve"> karteziánské postmoderny.</w:t>
      </w:r>
      <w:r w:rsidR="0009367D" w:rsidRPr="003D1E07">
        <w:t xml:space="preserve"> </w:t>
      </w:r>
      <w:r w:rsidR="00A14322" w:rsidRPr="003D1E07">
        <w:t>Zbývá je</w:t>
      </w:r>
      <w:r w:rsidR="08046666" w:rsidRPr="003D1E07">
        <w:t xml:space="preserve">diná, skutečně aristotelská </w:t>
      </w:r>
      <w:r w:rsidR="00A14322" w:rsidRPr="003D1E07">
        <w:t xml:space="preserve">možnost jednoty a to je jednota </w:t>
      </w:r>
      <w:r w:rsidR="08A50AEA" w:rsidRPr="003D1E07">
        <w:t xml:space="preserve">nemateriálního </w:t>
      </w:r>
      <w:r w:rsidR="00A14322" w:rsidRPr="003D1E07">
        <w:t xml:space="preserve">intelektu v rámci jedné </w:t>
      </w:r>
      <w:r w:rsidR="08F65B63" w:rsidRPr="003D1E07">
        <w:t xml:space="preserve">entelechické a </w:t>
      </w:r>
      <w:r w:rsidR="008F7D4E">
        <w:t>hylemorfické substance.</w:t>
      </w:r>
    </w:p>
    <w:p w14:paraId="7BCF40E8" w14:textId="2E59C9BB" w:rsidR="003252F4" w:rsidRDefault="00163DC3" w:rsidP="00D15298">
      <w:pPr>
        <w:ind w:firstLine="397"/>
      </w:pPr>
      <w:r w:rsidRPr="003D1E07">
        <w:t xml:space="preserve">Otázka po způsobu bytí </w:t>
      </w:r>
      <w:r w:rsidR="00077B3C" w:rsidRPr="003D1E07">
        <w:t xml:space="preserve">intelektuální </w:t>
      </w:r>
      <w:r w:rsidRPr="003D1E07">
        <w:t xml:space="preserve">duše jako </w:t>
      </w:r>
      <w:r w:rsidR="08C34AE1" w:rsidRPr="003D1E07">
        <w:t xml:space="preserve">osobního </w:t>
      </w:r>
      <w:r w:rsidRPr="003D1E07">
        <w:rPr>
          <w:i/>
        </w:rPr>
        <w:t>subiectum</w:t>
      </w:r>
      <w:r w:rsidR="004C27BA" w:rsidRPr="003D1E07">
        <w:rPr>
          <w:i/>
        </w:rPr>
        <w:fldChar w:fldCharType="begin"/>
      </w:r>
      <w:r w:rsidR="004C27BA" w:rsidRPr="003D1E07">
        <w:instrText xml:space="preserve"> XE "</w:instrText>
      </w:r>
      <w:r w:rsidR="004C27BA" w:rsidRPr="003D1E07">
        <w:rPr>
          <w:i/>
        </w:rPr>
        <w:instrText>subiectum</w:instrText>
      </w:r>
      <w:r w:rsidR="004C27BA" w:rsidRPr="003D1E07">
        <w:instrText>:</w:instrText>
      </w:r>
      <w:r w:rsidR="000A2302" w:rsidRPr="003D1E07">
        <w:instrText>duše</w:instrText>
      </w:r>
      <w:r w:rsidR="004C27BA" w:rsidRPr="003D1E07">
        <w:instrText xml:space="preserve">" </w:instrText>
      </w:r>
      <w:r w:rsidR="004C27BA" w:rsidRPr="003D1E07">
        <w:rPr>
          <w:i/>
        </w:rPr>
        <w:fldChar w:fldCharType="end"/>
      </w:r>
      <w:r w:rsidRPr="003D1E07">
        <w:t xml:space="preserve"> </w:t>
      </w:r>
      <w:r w:rsidR="00603429" w:rsidRPr="003D1E07">
        <w:t xml:space="preserve">poznávacích </w:t>
      </w:r>
      <w:r w:rsidR="08C34AE1" w:rsidRPr="003D1E07">
        <w:t xml:space="preserve">existenciálních </w:t>
      </w:r>
      <w:r w:rsidR="00603429" w:rsidRPr="003D1E07">
        <w:t>výkonů (</w:t>
      </w:r>
      <w:r w:rsidR="00603429" w:rsidRPr="003D1E07">
        <w:rPr>
          <w:i/>
        </w:rPr>
        <w:t xml:space="preserve">tertium </w:t>
      </w:r>
      <w:r w:rsidR="00636BD4" w:rsidRPr="003D1E07">
        <w:rPr>
          <w:i/>
        </w:rPr>
        <w:t>genus</w:t>
      </w:r>
      <w:r w:rsidR="08C34AE1" w:rsidRPr="003D1E07">
        <w:t xml:space="preserve">) nebo abstraktního </w:t>
      </w:r>
      <w:r w:rsidR="08C34AE1" w:rsidRPr="003D1E07">
        <w:rPr>
          <w:i/>
        </w:rPr>
        <w:t>individuum</w:t>
      </w:r>
      <w:r w:rsidR="08C34AE1" w:rsidRPr="003D1E07">
        <w:t xml:space="preserve"> specificky lidských výkonů </w:t>
      </w:r>
      <w:r w:rsidR="00603429" w:rsidRPr="003D1E07">
        <w:t>(</w:t>
      </w:r>
      <w:r w:rsidR="00603429" w:rsidRPr="003D1E07">
        <w:rPr>
          <w:i/>
        </w:rPr>
        <w:t xml:space="preserve">quartum </w:t>
      </w:r>
      <w:r w:rsidR="00636BD4" w:rsidRPr="003D1E07">
        <w:rPr>
          <w:i/>
        </w:rPr>
        <w:t>genus</w:t>
      </w:r>
      <w:r w:rsidR="00603429" w:rsidRPr="003D1E07">
        <w:t xml:space="preserve">) </w:t>
      </w:r>
      <w:r w:rsidRPr="003D1E07">
        <w:t>je nap</w:t>
      </w:r>
      <w:r w:rsidR="0099153B" w:rsidRPr="003D1E07">
        <w:t xml:space="preserve">rosto </w:t>
      </w:r>
      <w:r w:rsidR="08702EF0" w:rsidRPr="003D1E07">
        <w:t>klíčová</w:t>
      </w:r>
      <w:r w:rsidR="00077B3C" w:rsidRPr="003D1E07">
        <w:t xml:space="preserve"> pro určení západního konceptu osoby</w:t>
      </w:r>
      <w:r w:rsidR="08224DC7" w:rsidRPr="003D1E07">
        <w:t xml:space="preserve">. </w:t>
      </w:r>
      <w:r w:rsidR="08DB6F8B" w:rsidRPr="003D1E07">
        <w:t xml:space="preserve">Ipseita osoby není </w:t>
      </w:r>
      <w:r w:rsidR="085B1C7C" w:rsidRPr="003D1E07">
        <w:t xml:space="preserve">v klasické metafyzice </w:t>
      </w:r>
      <w:r w:rsidR="08DB6F8B" w:rsidRPr="003D1E07">
        <w:t xml:space="preserve">totéž jako identita individua. A termín „subjekt“ použitý pro oba případy predikace osoby se liší buď hyparchickou impozicí z kauzálně působící reality (tj. </w:t>
      </w:r>
      <w:r w:rsidR="08DB6F8B" w:rsidRPr="003D1E07">
        <w:rPr>
          <w:i/>
        </w:rPr>
        <w:t>subiectum</w:t>
      </w:r>
      <w:r w:rsidR="08DB6F8B" w:rsidRPr="003D1E07">
        <w:t xml:space="preserve"> metafyzické abstrakce a vědeckého důkazu) nebo univerzální supozicí významu z abstrahující mysli (tj. </w:t>
      </w:r>
      <w:r w:rsidR="08DB6F8B" w:rsidRPr="003D1E07">
        <w:rPr>
          <w:i/>
        </w:rPr>
        <w:t>subiectum</w:t>
      </w:r>
      <w:r w:rsidR="08DB6F8B" w:rsidRPr="003D1E07">
        <w:t xml:space="preserve"> logické abstrakce a </w:t>
      </w:r>
      <w:r w:rsidR="00507452" w:rsidRPr="003D1E07">
        <w:t xml:space="preserve">objektivního </w:t>
      </w:r>
      <w:r w:rsidR="08DB6F8B" w:rsidRPr="003D1E07">
        <w:t xml:space="preserve">důkazu). </w:t>
      </w:r>
      <w:r w:rsidR="006A6748">
        <w:t>Oba rodově odlišné významy</w:t>
      </w:r>
      <w:r w:rsidR="006A6748" w:rsidRPr="006A6748">
        <w:t xml:space="preserve"> </w:t>
      </w:r>
      <w:r w:rsidR="006A6748">
        <w:t xml:space="preserve">nemají společný subjekt a </w:t>
      </w:r>
      <w:r w:rsidR="006A6748" w:rsidRPr="006A6748">
        <w:t xml:space="preserve">nelze </w:t>
      </w:r>
      <w:r w:rsidR="006A6748">
        <w:t xml:space="preserve">je sjednotit do </w:t>
      </w:r>
      <w:r w:rsidR="00B9091F">
        <w:t>jedné definic</w:t>
      </w:r>
      <w:r w:rsidR="00FD61E7">
        <w:t xml:space="preserve">e člověka jako </w:t>
      </w:r>
      <w:r w:rsidR="006A6748">
        <w:t>„individua“</w:t>
      </w:r>
      <w:r w:rsidR="006A6748" w:rsidRPr="006A6748">
        <w:t xml:space="preserve"> třetího druhu (</w:t>
      </w:r>
      <w:r w:rsidR="006A6748" w:rsidRPr="006A6748">
        <w:rPr>
          <w:i/>
        </w:rPr>
        <w:t>tertium ens</w:t>
      </w:r>
      <w:r w:rsidR="006A6748" w:rsidRPr="006A6748">
        <w:t>). Přechod z jednoho rodu do druhého je v klasické aristotelské metafyzice zakázán</w:t>
      </w:r>
      <w:r w:rsidR="00915A0B">
        <w:t>, protože by znamenal zrušení univočního významu, jehož posledním nositelem je rod</w:t>
      </w:r>
      <w:r w:rsidR="006A6748" w:rsidRPr="006A6748">
        <w:t>. Synkreti</w:t>
      </w:r>
      <w:r w:rsidR="00B9091F">
        <w:t>sti</w:t>
      </w:r>
      <w:r w:rsidR="006A6748" w:rsidRPr="006A6748">
        <w:t xml:space="preserve">cký Západ </w:t>
      </w:r>
      <w:r w:rsidR="00B9091F">
        <w:t xml:space="preserve">potřebuje mytopoetický, a ne vědecky pravdivý  humanismus. Moderna </w:t>
      </w:r>
      <w:r w:rsidR="006A6748" w:rsidRPr="006A6748">
        <w:t>vytvořil</w:t>
      </w:r>
      <w:r w:rsidR="00B9091F">
        <w:t>a</w:t>
      </w:r>
      <w:r w:rsidR="006A6748" w:rsidRPr="006A6748">
        <w:t xml:space="preserve"> </w:t>
      </w:r>
      <w:r w:rsidR="00B9091F">
        <w:t>neexistující lidský subjekt jako substanci</w:t>
      </w:r>
      <w:r w:rsidR="006A6748" w:rsidRPr="006A6748">
        <w:t xml:space="preserve"> třetího druhu.</w:t>
      </w:r>
      <w:r w:rsidR="00B9091F">
        <w:t xml:space="preserve"> </w:t>
      </w:r>
      <w:r w:rsidR="085A263B" w:rsidRPr="003D1E07">
        <w:t xml:space="preserve">Akademicky schopné Fúrie zorganizovaly odchod osoby do podsvětí společně se zatměním první substance v objektivním modu </w:t>
      </w:r>
      <w:r w:rsidR="085A263B" w:rsidRPr="003D1E07">
        <w:rPr>
          <w:i/>
        </w:rPr>
        <w:t>Seinsvergessenheit</w:t>
      </w:r>
      <w:r w:rsidR="08B64D0A" w:rsidRPr="003D1E07">
        <w:t xml:space="preserve">. </w:t>
      </w:r>
      <w:r w:rsidR="085A263B" w:rsidRPr="003D1E07">
        <w:t>Moderně zbylo jen simulákr</w:t>
      </w:r>
      <w:r w:rsidR="00461C48">
        <w:t xml:space="preserve">um osoby a tomu odpovídá i </w:t>
      </w:r>
      <w:r w:rsidR="08B64D0A" w:rsidRPr="003D1E07">
        <w:t xml:space="preserve">současný </w:t>
      </w:r>
      <w:r w:rsidR="085A263B" w:rsidRPr="003D1E07">
        <w:t>humanismus</w:t>
      </w:r>
      <w:r w:rsidR="0878424A" w:rsidRPr="003D1E07">
        <w:fldChar w:fldCharType="begin"/>
      </w:r>
      <w:r w:rsidR="0878424A" w:rsidRPr="003D1E07">
        <w:instrText xml:space="preserve"> XE "humanismus" </w:instrText>
      </w:r>
      <w:r w:rsidR="0878424A" w:rsidRPr="003D1E07">
        <w:fldChar w:fldCharType="end"/>
      </w:r>
      <w:r w:rsidR="00EC3739">
        <w:t xml:space="preserve"> člověka-mrtvoly. Abelard jako výborný znalec aristotelské metafyziky a predikace marně vysvětloval tehdejším modernistům z platonských katedrálních škol, že metafyzicky adekvátní a tedy pravdivý význam člověka lze odvodit pouze od osoby jako existující první substance (OBJ II, kap. 1.3). Pak je jasné, že výrok „Tato mrtvola je zemřelý člověk“ (</w:t>
      </w:r>
      <w:r w:rsidR="00EC3739" w:rsidRPr="00273106">
        <w:rPr>
          <w:i/>
        </w:rPr>
        <w:t>hoc cadaver est homo mortuus</w:t>
      </w:r>
      <w:r w:rsidR="00EC3739">
        <w:t xml:space="preserve">) je </w:t>
      </w:r>
      <w:r w:rsidR="00D15298">
        <w:t xml:space="preserve">metafyzicky </w:t>
      </w:r>
      <w:r w:rsidR="00EC3739">
        <w:t xml:space="preserve">nepravdivý, protože nemá impozici významu od reálně existující osoby v modu </w:t>
      </w:r>
      <w:r w:rsidR="00EC3739" w:rsidRPr="00EC3739">
        <w:rPr>
          <w:i/>
        </w:rPr>
        <w:t>ipse</w:t>
      </w:r>
      <w:r w:rsidR="00933441">
        <w:rPr>
          <w:i/>
        </w:rPr>
        <w:fldChar w:fldCharType="begin"/>
      </w:r>
      <w:r w:rsidR="00933441">
        <w:instrText xml:space="preserve"> XE "</w:instrText>
      </w:r>
      <w:r w:rsidR="00933441" w:rsidRPr="004729F0">
        <w:rPr>
          <w:i/>
        </w:rPr>
        <w:instrText>ipse/idem</w:instrText>
      </w:r>
      <w:r w:rsidR="00933441">
        <w:instrText xml:space="preserve">" </w:instrText>
      </w:r>
      <w:r w:rsidR="00933441">
        <w:rPr>
          <w:i/>
        </w:rPr>
        <w:fldChar w:fldCharType="end"/>
      </w:r>
      <w:r w:rsidR="00EC3739">
        <w:t xml:space="preserve">. Logická supozice vytvoří pouze humanismus lidské mrtvoly v modu </w:t>
      </w:r>
      <w:r w:rsidR="00EC3739" w:rsidRPr="00EC3739">
        <w:rPr>
          <w:i/>
        </w:rPr>
        <w:t>idem</w:t>
      </w:r>
      <w:r w:rsidR="00D15298">
        <w:t xml:space="preserve">. </w:t>
      </w:r>
      <w:r w:rsidR="085A263B" w:rsidRPr="003D1E07">
        <w:t>A</w:t>
      </w:r>
      <w:r w:rsidR="00603429" w:rsidRPr="003D1E07">
        <w:t xml:space="preserve">ristotelsky pojatá osoba </w:t>
      </w:r>
      <w:r w:rsidR="00D31A53" w:rsidRPr="003D1E07">
        <w:t xml:space="preserve">ve smyslu Boethiovy nedělitelné první substance </w:t>
      </w:r>
      <w:r w:rsidR="086D61F9" w:rsidRPr="003D1E07">
        <w:t>nemůže být</w:t>
      </w:r>
      <w:r w:rsidR="08702EF0" w:rsidRPr="003D1E07">
        <w:t xml:space="preserve"> </w:t>
      </w:r>
      <w:r w:rsidR="08224DC7" w:rsidRPr="003D1E07">
        <w:t>schizofrenická</w:t>
      </w:r>
      <w:r w:rsidR="0058658C" w:rsidRPr="003D1E07">
        <w:t xml:space="preserve"> pluralita </w:t>
      </w:r>
      <w:r w:rsidR="004C67B4" w:rsidRPr="003D1E07">
        <w:t xml:space="preserve">vzájemně nekompatibilních </w:t>
      </w:r>
      <w:r w:rsidR="0058658C" w:rsidRPr="003D1E07">
        <w:t>substancí</w:t>
      </w:r>
      <w:r w:rsidR="00C60EC2" w:rsidRPr="003D1E07">
        <w:t xml:space="preserve"> spojených do falešné jednoty</w:t>
      </w:r>
      <w:r w:rsidR="00B744D1" w:rsidRPr="003D1E07">
        <w:t xml:space="preserve"> jsoucna třetího druhu</w:t>
      </w:r>
      <w:r w:rsidR="00603429" w:rsidRPr="003D1E07">
        <w:t>. To</w:t>
      </w:r>
      <w:r w:rsidR="00C60EC2" w:rsidRPr="003D1E07">
        <w:t xml:space="preserve">to pojetí </w:t>
      </w:r>
      <w:r w:rsidR="007573CF" w:rsidRPr="003D1E07">
        <w:t xml:space="preserve">odmítla </w:t>
      </w:r>
      <w:r w:rsidR="004C67B4" w:rsidRPr="003D1E07">
        <w:t xml:space="preserve">Aristotelova </w:t>
      </w:r>
      <w:r w:rsidR="004C67B4" w:rsidRPr="003D1E07">
        <w:rPr>
          <w:i/>
        </w:rPr>
        <w:t>De anima</w:t>
      </w:r>
      <w:r w:rsidR="00C60EC2" w:rsidRPr="003D1E07">
        <w:t xml:space="preserve"> a před ní biologické spisy věnované reálnému zkoumání živočichů</w:t>
      </w:r>
      <w:r w:rsidR="00521380" w:rsidRPr="003D1E07">
        <w:t xml:space="preserve"> angažovaných v individuálním výkonu života</w:t>
      </w:r>
      <w:r w:rsidR="00C60EC2" w:rsidRPr="003D1E07">
        <w:t xml:space="preserve">. </w:t>
      </w:r>
      <w:r w:rsidR="002E3B62" w:rsidRPr="003D1E07">
        <w:t>Averroes</w:t>
      </w:r>
      <w:r w:rsidR="004C67B4" w:rsidRPr="003D1E07">
        <w:t xml:space="preserve"> k tomu dodává, že </w:t>
      </w:r>
      <w:r w:rsidR="001A384F" w:rsidRPr="003D1E07">
        <w:t xml:space="preserve">osoba </w:t>
      </w:r>
      <w:r w:rsidR="004C67B4" w:rsidRPr="003D1E07">
        <w:t>n</w:t>
      </w:r>
      <w:r w:rsidR="08224DC7" w:rsidRPr="003D1E07">
        <w:t xml:space="preserve">emůže být sofistickým </w:t>
      </w:r>
      <w:r w:rsidR="004003D9" w:rsidRPr="003D1E07">
        <w:t xml:space="preserve">koktejlem </w:t>
      </w:r>
      <w:r w:rsidR="08224DC7" w:rsidRPr="003D1E07">
        <w:t>avicennovských</w:t>
      </w:r>
      <w:r w:rsidR="082911FE" w:rsidRPr="003D1E07">
        <w:t xml:space="preserve"> </w:t>
      </w:r>
      <w:r w:rsidR="001A384F" w:rsidRPr="003D1E07">
        <w:t>substancí</w:t>
      </w:r>
      <w:r w:rsidR="084A1751" w:rsidRPr="003D1E07">
        <w:t xml:space="preserve"> třetího druhu</w:t>
      </w:r>
      <w:r w:rsidR="000A2302" w:rsidRPr="003D1E07">
        <w:fldChar w:fldCharType="begin"/>
      </w:r>
      <w:r w:rsidR="000A2302" w:rsidRPr="003D1E07">
        <w:instrText xml:space="preserve"> XE "osoba:pluralita substancí" </w:instrText>
      </w:r>
      <w:r w:rsidR="000A2302" w:rsidRPr="003D1E07">
        <w:fldChar w:fldCharType="end"/>
      </w:r>
      <w:r w:rsidR="001A384F" w:rsidRPr="003D1E07">
        <w:t xml:space="preserve">. </w:t>
      </w:r>
      <w:r w:rsidR="001A384F" w:rsidRPr="003D1E07">
        <w:lastRenderedPageBreak/>
        <w:t>P</w:t>
      </w:r>
      <w:r w:rsidR="08224DC7" w:rsidRPr="003D1E07">
        <w:t xml:space="preserve">odle CMDA není </w:t>
      </w:r>
      <w:r w:rsidR="009E3B6F" w:rsidRPr="003D1E07">
        <w:t xml:space="preserve">lidský intelekt </w:t>
      </w:r>
      <w:r w:rsidR="08702EF0" w:rsidRPr="003D1E07">
        <w:t xml:space="preserve">ani </w:t>
      </w:r>
      <w:r w:rsidR="08224DC7" w:rsidRPr="003D1E07">
        <w:t>materiální</w:t>
      </w:r>
      <w:r w:rsidR="08702EF0" w:rsidRPr="003D1E07">
        <w:t>, ani nem</w:t>
      </w:r>
      <w:r w:rsidR="08224DC7" w:rsidRPr="003D1E07">
        <w:t>ateriální substance</w:t>
      </w:r>
      <w:r w:rsidR="001A384F" w:rsidRPr="003D1E07">
        <w:t xml:space="preserve">. </w:t>
      </w:r>
      <w:r w:rsidR="002E3B62" w:rsidRPr="003D1E07">
        <w:t>Averroes</w:t>
      </w:r>
      <w:r w:rsidR="004E3C7B" w:rsidRPr="003D1E07">
        <w:t xml:space="preserve"> věren své „meta</w:t>
      </w:r>
      <w:r w:rsidR="004E3C7B" w:rsidRPr="003D1E07">
        <w:noBreakHyphen/>
        <w:t>fyzice“ tvrdí</w:t>
      </w:r>
      <w:r w:rsidR="082911FE" w:rsidRPr="003D1E07">
        <w:t xml:space="preserve"> proti alexandrovským </w:t>
      </w:r>
      <w:r w:rsidR="082911FE" w:rsidRPr="003D1E07">
        <w:rPr>
          <w:i/>
        </w:rPr>
        <w:t>Modernorum</w:t>
      </w:r>
      <w:r w:rsidR="004E3C7B" w:rsidRPr="003D1E07">
        <w:t>, že r</w:t>
      </w:r>
      <w:r w:rsidR="003C3CDF" w:rsidRPr="003D1E07">
        <w:t>ozmanité schopnosti duše a samotná duše jako entelechická f</w:t>
      </w:r>
      <w:r w:rsidR="08F055D3" w:rsidRPr="003D1E07">
        <w:t>orma těla mají jeden materiální substrát zajišťující jejich aktualitu</w:t>
      </w:r>
      <w:r w:rsidR="00B02F43" w:rsidRPr="003D1E07">
        <w:t xml:space="preserve">. </w:t>
      </w:r>
      <w:r w:rsidR="00B241DA" w:rsidRPr="003D1E07">
        <w:t xml:space="preserve">Osoba </w:t>
      </w:r>
      <w:r w:rsidR="00B02F43" w:rsidRPr="003D1E07">
        <w:t xml:space="preserve">existuje </w:t>
      </w:r>
      <w:r w:rsidR="00B02F43" w:rsidRPr="003D1E07">
        <w:rPr>
          <w:i/>
        </w:rPr>
        <w:t>simpliciter</w:t>
      </w:r>
      <w:r w:rsidR="00B02F43" w:rsidRPr="003D1E07">
        <w:t xml:space="preserve"> jako hylemorfická </w:t>
      </w:r>
      <w:r w:rsidR="000B474C" w:rsidRPr="003D1E07">
        <w:t>první substanc</w:t>
      </w:r>
      <w:r w:rsidR="007748B7" w:rsidRPr="003D1E07">
        <w:t>e</w:t>
      </w:r>
      <w:r w:rsidR="00B02F43" w:rsidRPr="003D1E07">
        <w:t xml:space="preserve"> a tvoří jeden </w:t>
      </w:r>
      <w:r w:rsidR="003C3CDF" w:rsidRPr="003D1E07">
        <w:t xml:space="preserve">substrát subsistující </w:t>
      </w:r>
      <w:r w:rsidR="003C3CDF" w:rsidRPr="003D1E07">
        <w:rPr>
          <w:i/>
        </w:rPr>
        <w:t>per se</w:t>
      </w:r>
      <w:r w:rsidR="003C3CDF" w:rsidRPr="003D1E07">
        <w:t xml:space="preserve"> </w:t>
      </w:r>
      <w:r w:rsidR="00CD281F" w:rsidRPr="003D1E07">
        <w:t xml:space="preserve">v oduševnělém těle </w:t>
      </w:r>
      <w:r w:rsidR="003C3CDF" w:rsidRPr="003D1E07">
        <w:t>(</w:t>
      </w:r>
      <w:r w:rsidR="003C3CDF" w:rsidRPr="003D1E07">
        <w:rPr>
          <w:i/>
        </w:rPr>
        <w:t>subiectum</w:t>
      </w:r>
      <w:r w:rsidR="004C27BA" w:rsidRPr="003D1E07">
        <w:rPr>
          <w:i/>
        </w:rPr>
        <w:fldChar w:fldCharType="begin"/>
      </w:r>
      <w:r w:rsidR="004C27BA" w:rsidRPr="003D1E07">
        <w:instrText xml:space="preserve"> XE "</w:instrText>
      </w:r>
      <w:r w:rsidR="000A2302" w:rsidRPr="003D1E07">
        <w:instrText>osoba:</w:instrText>
      </w:r>
      <w:r w:rsidR="004C27BA" w:rsidRPr="003D1E07">
        <w:rPr>
          <w:i/>
        </w:rPr>
        <w:instrText>subiectum</w:instrText>
      </w:r>
      <w:r w:rsidR="004C27BA" w:rsidRPr="003D1E07">
        <w:instrText xml:space="preserve">" </w:instrText>
      </w:r>
      <w:r w:rsidR="004C27BA" w:rsidRPr="003D1E07">
        <w:rPr>
          <w:i/>
        </w:rPr>
        <w:fldChar w:fldCharType="end"/>
      </w:r>
      <w:r w:rsidR="003C3CDF" w:rsidRPr="003D1E07">
        <w:t xml:space="preserve">). </w:t>
      </w:r>
      <w:r w:rsidR="00E1587B" w:rsidRPr="003D1E07">
        <w:t xml:space="preserve">Entelechická jednota </w:t>
      </w:r>
      <w:r w:rsidR="00D726EE" w:rsidRPr="003D1E07">
        <w:t>osoby zakládá akt hyparchické</w:t>
      </w:r>
      <w:r w:rsidR="00E1587B" w:rsidRPr="003D1E07">
        <w:t xml:space="preserve"> predikace, která se </w:t>
      </w:r>
      <w:r w:rsidR="00E660D6" w:rsidRPr="003D1E07">
        <w:t xml:space="preserve">aktem </w:t>
      </w:r>
      <w:r w:rsidR="00DF601E" w:rsidRPr="003D1E07">
        <w:t xml:space="preserve">takto dané existence </w:t>
      </w:r>
      <w:r w:rsidR="00E1587B" w:rsidRPr="003D1E07">
        <w:t xml:space="preserve">vztahuje na všechny složky člověka, tedy na duši i na intelekt. </w:t>
      </w:r>
      <w:r w:rsidR="08302F81" w:rsidRPr="003D1E07">
        <w:t xml:space="preserve">Absolutně </w:t>
      </w:r>
      <w:r w:rsidR="00087EAE" w:rsidRPr="003D1E07">
        <w:t xml:space="preserve">jedinečný </w:t>
      </w:r>
      <w:r w:rsidR="08302F81" w:rsidRPr="003D1E07">
        <w:rPr>
          <w:i/>
        </w:rPr>
        <w:t>actus essendi</w:t>
      </w:r>
      <w:r w:rsidR="003F515C">
        <w:rPr>
          <w:i/>
        </w:rPr>
        <w:fldChar w:fldCharType="begin"/>
      </w:r>
      <w:r w:rsidR="003F515C">
        <w:instrText xml:space="preserve"> XE "</w:instrText>
      </w:r>
      <w:r w:rsidR="003F515C" w:rsidRPr="00103231">
        <w:rPr>
          <w:i/>
        </w:rPr>
        <w:instrText>actus essendi</w:instrText>
      </w:r>
      <w:r w:rsidR="003F515C">
        <w:instrText xml:space="preserve">" </w:instrText>
      </w:r>
      <w:r w:rsidR="003F515C">
        <w:rPr>
          <w:i/>
        </w:rPr>
        <w:fldChar w:fldCharType="end"/>
      </w:r>
      <w:r w:rsidR="08302F81" w:rsidRPr="003D1E07">
        <w:t xml:space="preserve"> této </w:t>
      </w:r>
      <w:r w:rsidR="003C3CDF" w:rsidRPr="003D1E07">
        <w:t xml:space="preserve">jedné </w:t>
      </w:r>
      <w:r w:rsidR="00A14322" w:rsidRPr="003D1E07">
        <w:t xml:space="preserve">substance </w:t>
      </w:r>
      <w:r w:rsidR="00E77305" w:rsidRPr="003D1E07">
        <w:t xml:space="preserve">zajišťuje </w:t>
      </w:r>
      <w:r w:rsidR="003C3CDF" w:rsidRPr="003D1E07">
        <w:t>pluralit</w:t>
      </w:r>
      <w:r w:rsidR="00E77305" w:rsidRPr="003D1E07">
        <w:t>u</w:t>
      </w:r>
      <w:r w:rsidR="08421DD6" w:rsidRPr="003D1E07">
        <w:t xml:space="preserve"> různorodých výkonů</w:t>
      </w:r>
      <w:r w:rsidR="00E77305" w:rsidRPr="003D1E07">
        <w:t xml:space="preserve"> </w:t>
      </w:r>
      <w:r w:rsidR="08C37AC8" w:rsidRPr="003D1E07">
        <w:t>duše</w:t>
      </w:r>
      <w:r w:rsidR="00A14322" w:rsidRPr="003D1E07">
        <w:t xml:space="preserve">. </w:t>
      </w:r>
      <w:r w:rsidR="00342B74" w:rsidRPr="003D1E07">
        <w:t xml:space="preserve">Duše je </w:t>
      </w:r>
      <w:r w:rsidR="00A14322" w:rsidRPr="003D1E07">
        <w:t xml:space="preserve">subsistentní </w:t>
      </w:r>
      <w:r w:rsidR="08F17779" w:rsidRPr="003D1E07">
        <w:t xml:space="preserve">a nemateriální </w:t>
      </w:r>
      <w:r w:rsidR="00342B74" w:rsidRPr="003D1E07">
        <w:t>forma</w:t>
      </w:r>
      <w:r w:rsidR="00A14322" w:rsidRPr="003D1E07">
        <w:t xml:space="preserve"> těla a z</w:t>
      </w:r>
      <w:r w:rsidR="00342B74" w:rsidRPr="003D1E07">
        <w:t xml:space="preserve"> ní vychází mnohost schopností</w:t>
      </w:r>
      <w:r w:rsidR="003F515C">
        <w:t xml:space="preserve"> (</w:t>
      </w:r>
      <w:r w:rsidR="003F515C" w:rsidRPr="003F515C">
        <w:rPr>
          <w:i/>
        </w:rPr>
        <w:t>actus intelligendi</w:t>
      </w:r>
      <w:r w:rsidR="003F515C">
        <w:rPr>
          <w:i/>
        </w:rPr>
        <w:fldChar w:fldCharType="begin"/>
      </w:r>
      <w:r w:rsidR="003F515C">
        <w:instrText xml:space="preserve"> XE "</w:instrText>
      </w:r>
      <w:r w:rsidR="003F515C" w:rsidRPr="00241550">
        <w:rPr>
          <w:i/>
        </w:rPr>
        <w:instrText>actus intelligendi</w:instrText>
      </w:r>
      <w:r w:rsidR="003F515C">
        <w:instrText xml:space="preserve">" </w:instrText>
      </w:r>
      <w:r w:rsidR="003F515C">
        <w:rPr>
          <w:i/>
        </w:rPr>
        <w:fldChar w:fldCharType="end"/>
      </w:r>
      <w:r w:rsidR="003F515C">
        <w:t>)</w:t>
      </w:r>
      <w:r w:rsidR="00A14322" w:rsidRPr="003D1E07">
        <w:t xml:space="preserve">. </w:t>
      </w:r>
      <w:r w:rsidR="003F515C">
        <w:t>Tyto schopnosti můžeme následně poznat a predikovat ve formě dedutivního důkazu (</w:t>
      </w:r>
      <w:r w:rsidR="003F515C" w:rsidRPr="003F515C">
        <w:rPr>
          <w:i/>
        </w:rPr>
        <w:t>actus cognoscendi</w:t>
      </w:r>
      <w:r w:rsidR="003F515C">
        <w:rPr>
          <w:i/>
        </w:rPr>
        <w:fldChar w:fldCharType="begin"/>
      </w:r>
      <w:r w:rsidR="003F515C">
        <w:instrText xml:space="preserve"> XE "</w:instrText>
      </w:r>
      <w:r w:rsidR="003F515C" w:rsidRPr="005D0090">
        <w:rPr>
          <w:i/>
        </w:rPr>
        <w:instrText>actus cognoscendi</w:instrText>
      </w:r>
      <w:r w:rsidR="003F515C">
        <w:instrText xml:space="preserve">" </w:instrText>
      </w:r>
      <w:r w:rsidR="003F515C">
        <w:rPr>
          <w:i/>
        </w:rPr>
        <w:fldChar w:fldCharType="end"/>
      </w:r>
      <w:r w:rsidR="003F515C">
        <w:t xml:space="preserve">). </w:t>
      </w:r>
      <w:r w:rsidR="002E3B62" w:rsidRPr="003D1E07">
        <w:t>Averroes</w:t>
      </w:r>
      <w:r w:rsidR="001D2CF9" w:rsidRPr="003D1E07">
        <w:t>ův kom</w:t>
      </w:r>
      <w:r w:rsidR="00154E5C" w:rsidRPr="003D1E07">
        <w:t>en</w:t>
      </w:r>
      <w:r w:rsidR="001D2CF9" w:rsidRPr="003D1E07">
        <w:t>tář zdůraz</w:t>
      </w:r>
      <w:r w:rsidR="00154E5C" w:rsidRPr="003D1E07">
        <w:t>ňuje</w:t>
      </w:r>
      <w:r w:rsidR="001D2CF9" w:rsidRPr="003D1E07">
        <w:t xml:space="preserve">, že </w:t>
      </w:r>
      <w:r w:rsidR="0091529D" w:rsidRPr="003D1E07">
        <w:t>ř</w:t>
      </w:r>
      <w:r w:rsidRPr="003D1E07">
        <w:t xml:space="preserve">ešení </w:t>
      </w:r>
      <w:r w:rsidR="0091529D" w:rsidRPr="003D1E07">
        <w:t xml:space="preserve">jednoty </w:t>
      </w:r>
      <w:r w:rsidR="08DF57C6" w:rsidRPr="003D1E07">
        <w:t xml:space="preserve">osoby odlišné od </w:t>
      </w:r>
      <w:r w:rsidR="086222B8" w:rsidRPr="003D1E07">
        <w:t xml:space="preserve">zvířecího organismu </w:t>
      </w:r>
      <w:r w:rsidR="08DF57C6" w:rsidRPr="003D1E07">
        <w:t xml:space="preserve">obsahuje </w:t>
      </w:r>
      <w:r w:rsidR="086222B8" w:rsidRPr="003D1E07">
        <w:t xml:space="preserve">až </w:t>
      </w:r>
      <w:r w:rsidR="08DF57C6" w:rsidRPr="003D1E07">
        <w:t>třetí část</w:t>
      </w:r>
      <w:r w:rsidR="00A14322" w:rsidRPr="003D1E07">
        <w:t xml:space="preserve"> </w:t>
      </w:r>
      <w:r w:rsidR="00B713C5" w:rsidRPr="003D1E07">
        <w:rPr>
          <w:i/>
        </w:rPr>
        <w:t>De anima</w:t>
      </w:r>
      <w:r w:rsidR="00A14322" w:rsidRPr="003D1E07">
        <w:t xml:space="preserve">. </w:t>
      </w:r>
      <w:r w:rsidR="001719E1" w:rsidRPr="003D1E07">
        <w:t xml:space="preserve">Univocita intelektu vzhledem k predikaci těla jako </w:t>
      </w:r>
      <w:r w:rsidR="002268BF" w:rsidRPr="003D1E07">
        <w:t xml:space="preserve">první substance </w:t>
      </w:r>
      <w:r w:rsidR="001719E1" w:rsidRPr="003D1E07">
        <w:t xml:space="preserve">není na straně Themistiova </w:t>
      </w:r>
      <w:r w:rsidR="08CD4687" w:rsidRPr="003D1E07">
        <w:t xml:space="preserve">materiálního </w:t>
      </w:r>
      <w:r w:rsidR="001719E1" w:rsidRPr="003D1E07">
        <w:t xml:space="preserve">intelektu, který </w:t>
      </w:r>
      <w:r w:rsidR="00FC2BAC">
        <w:t xml:space="preserve">je </w:t>
      </w:r>
      <w:r w:rsidR="001719E1" w:rsidRPr="003D1E07">
        <w:t xml:space="preserve">na úrovni smyslových schopností duše. </w:t>
      </w:r>
      <w:r w:rsidR="002268BF" w:rsidRPr="003D1E07">
        <w:t>A také není na straně Alexandra</w:t>
      </w:r>
      <w:r w:rsidR="00955903" w:rsidRPr="003D1E07">
        <w:fldChar w:fldCharType="begin"/>
      </w:r>
      <w:r w:rsidR="00955903" w:rsidRPr="003D1E07">
        <w:instrText xml:space="preserve"> XE "Alexander Afrodisias" </w:instrText>
      </w:r>
      <w:r w:rsidR="00955903" w:rsidRPr="003D1E07">
        <w:fldChar w:fldCharType="end"/>
      </w:r>
      <w:r w:rsidR="002268BF" w:rsidRPr="003D1E07">
        <w:t xml:space="preserve">, </w:t>
      </w:r>
      <w:r w:rsidR="002B00B9" w:rsidRPr="003D1E07">
        <w:t>který receptivitu poznání chápal</w:t>
      </w:r>
      <w:r w:rsidR="002268BF" w:rsidRPr="003D1E07">
        <w:t xml:space="preserve"> pouze </w:t>
      </w:r>
      <w:r w:rsidR="00FA43DE" w:rsidRPr="003D1E07">
        <w:t xml:space="preserve">skrze materii, proto od ní </w:t>
      </w:r>
      <w:r w:rsidR="00F90FB4" w:rsidRPr="003D1E07">
        <w:t xml:space="preserve">oddělil nemateriální </w:t>
      </w:r>
      <w:r w:rsidR="08483BBC" w:rsidRPr="003D1E07">
        <w:t xml:space="preserve">receptivní </w:t>
      </w:r>
      <w:r w:rsidR="00FA43DE" w:rsidRPr="003D1E07">
        <w:t>intelek</w:t>
      </w:r>
      <w:r w:rsidR="0091529D" w:rsidRPr="003D1E07">
        <w:t>t</w:t>
      </w:r>
      <w:r w:rsidR="08B701E9" w:rsidRPr="003D1E07">
        <w:t xml:space="preserve"> jako čistou </w:t>
      </w:r>
      <w:r w:rsidR="080D5712" w:rsidRPr="003D1E07">
        <w:t xml:space="preserve">hypostatickou </w:t>
      </w:r>
      <w:r w:rsidR="08B701E9" w:rsidRPr="003D1E07">
        <w:t>potenci</w:t>
      </w:r>
      <w:r w:rsidR="08537F0C" w:rsidRPr="003D1E07">
        <w:t>.</w:t>
      </w:r>
      <w:r w:rsidR="00375779" w:rsidRPr="003D1E07">
        <w:t xml:space="preserve"> </w:t>
      </w:r>
      <w:r w:rsidR="00705C2D">
        <w:t>I</w:t>
      </w:r>
      <w:r w:rsidR="08C310DB" w:rsidRPr="003D1E07">
        <w:t xml:space="preserve">mpozice </w:t>
      </w:r>
      <w:r w:rsidR="00705C2D">
        <w:t xml:space="preserve">intelektu </w:t>
      </w:r>
      <w:r w:rsidR="08BA63F9" w:rsidRPr="003D1E07">
        <w:t>v</w:t>
      </w:r>
      <w:r w:rsidR="08C310DB" w:rsidRPr="003D1E07">
        <w:t xml:space="preserve"> kategoriálním </w:t>
      </w:r>
      <w:r w:rsidR="08BA63F9" w:rsidRPr="003D1E07">
        <w:t xml:space="preserve">modu </w:t>
      </w:r>
      <w:r w:rsidR="08BA63F9" w:rsidRPr="003D1E07">
        <w:rPr>
          <w:i/>
        </w:rPr>
        <w:t xml:space="preserve">tertium </w:t>
      </w:r>
      <w:r w:rsidR="00636BD4" w:rsidRPr="006459C2">
        <w:rPr>
          <w:i/>
        </w:rPr>
        <w:t>genus</w:t>
      </w:r>
      <w:r w:rsidR="08BA63F9" w:rsidRPr="003D1E07">
        <w:t xml:space="preserve"> má </w:t>
      </w:r>
      <w:r w:rsidR="001719E1" w:rsidRPr="003D1E07">
        <w:t>naprosto klíčový</w:t>
      </w:r>
      <w:r w:rsidR="08BA63F9" w:rsidRPr="003D1E07">
        <w:t xml:space="preserve"> charakter</w:t>
      </w:r>
      <w:r w:rsidR="001719E1" w:rsidRPr="003D1E07">
        <w:t xml:space="preserve">, což nevidí avicennistické </w:t>
      </w:r>
      <w:r w:rsidR="00AA25CD">
        <w:t>a objektivistické výklady CMDA. Tělo a smysly mají hyparchický charakter pro predikaci intelektu jako species, protože tvoří aktuální a materiální</w:t>
      </w:r>
      <w:r w:rsidR="00AA25CD" w:rsidRPr="003D1E07">
        <w:t xml:space="preserve"> </w:t>
      </w:r>
      <w:r w:rsidR="00AA25CD">
        <w:t xml:space="preserve">substrát </w:t>
      </w:r>
      <w:r w:rsidR="00AA25CD" w:rsidRPr="003D1E07">
        <w:t xml:space="preserve">pro </w:t>
      </w:r>
      <w:r w:rsidR="00AA25CD">
        <w:t xml:space="preserve">práce pasivního a nemateriálního </w:t>
      </w:r>
      <w:r w:rsidR="00AA25CD" w:rsidRPr="003D1E07">
        <w:t>receptivní intelekt</w:t>
      </w:r>
      <w:r w:rsidR="00AA25CD">
        <w:t>u (</w:t>
      </w:r>
      <w:r w:rsidR="00AA25CD" w:rsidRPr="00AA25CD">
        <w:rPr>
          <w:i/>
        </w:rPr>
        <w:t>intellectus possibilis</w:t>
      </w:r>
      <w:r w:rsidR="00AA25CD">
        <w:t xml:space="preserve">). </w:t>
      </w:r>
      <w:r w:rsidR="001719E1" w:rsidRPr="003D1E07">
        <w:t xml:space="preserve">Předchozí kapitoly ukázaly, že </w:t>
      </w:r>
      <w:r w:rsidR="002E3B62" w:rsidRPr="003D1E07">
        <w:t>Averroes</w:t>
      </w:r>
      <w:r w:rsidR="001719E1" w:rsidRPr="003D1E07">
        <w:t xml:space="preserve">ův </w:t>
      </w:r>
      <w:r w:rsidR="001719E1" w:rsidRPr="003D1E07">
        <w:rPr>
          <w:i/>
        </w:rPr>
        <w:t>intellectus materialis</w:t>
      </w:r>
      <w:r w:rsidR="001719E1" w:rsidRPr="003D1E07">
        <w:t xml:space="preserve"> není individualizovaná substance (</w:t>
      </w:r>
      <w:r w:rsidR="001719E1" w:rsidRPr="003D1E07">
        <w:rPr>
          <w:i/>
        </w:rPr>
        <w:t>hoc aliquid</w:t>
      </w:r>
      <w:r w:rsidR="009A43F5" w:rsidRPr="003D1E07">
        <w:rPr>
          <w:i/>
        </w:rPr>
        <w:fldChar w:fldCharType="begin"/>
      </w:r>
      <w:r w:rsidR="009A43F5" w:rsidRPr="003D1E07">
        <w:instrText xml:space="preserve"> XE "</w:instrText>
      </w:r>
      <w:r w:rsidR="009A43F5" w:rsidRPr="003D1E07">
        <w:rPr>
          <w:rStyle w:val="FontStyle129"/>
          <w:rFonts w:ascii="Calibri" w:hAnsi="Calibri"/>
          <w:i/>
          <w:sz w:val="24"/>
        </w:rPr>
        <w:instrText>hoc aliquid:</w:instrText>
      </w:r>
      <w:r w:rsidR="0057731A" w:rsidRPr="003D1E07">
        <w:rPr>
          <w:rStyle w:val="FontStyle129"/>
          <w:rFonts w:ascii="Calibri" w:hAnsi="Calibri"/>
          <w:sz w:val="24"/>
        </w:rPr>
        <w:instrText>Themistius</w:instrText>
      </w:r>
      <w:r w:rsidR="009A43F5" w:rsidRPr="003D1E07">
        <w:instrText xml:space="preserve">" </w:instrText>
      </w:r>
      <w:r w:rsidR="009A43F5" w:rsidRPr="003D1E07">
        <w:rPr>
          <w:i/>
        </w:rPr>
        <w:fldChar w:fldCharType="end"/>
      </w:r>
      <w:r w:rsidR="001719E1" w:rsidRPr="003D1E07">
        <w:t>) ve stylu Alexandra nebo Themistia</w:t>
      </w:r>
      <w:r w:rsidR="008702D7" w:rsidRPr="003D1E07">
        <w:fldChar w:fldCharType="begin"/>
      </w:r>
      <w:r w:rsidR="008702D7" w:rsidRPr="003D1E07">
        <w:instrText xml:space="preserve"> XE "Themistius" </w:instrText>
      </w:r>
      <w:r w:rsidR="008702D7" w:rsidRPr="003D1E07">
        <w:fldChar w:fldCharType="end"/>
      </w:r>
      <w:r w:rsidR="001719E1" w:rsidRPr="003D1E07">
        <w:t>.</w:t>
      </w:r>
      <w:r w:rsidR="00A95E76" w:rsidRPr="003D1E07">
        <w:t xml:space="preserve"> </w:t>
      </w:r>
    </w:p>
    <w:p w14:paraId="00059C1C" w14:textId="77777777" w:rsidR="003252F4" w:rsidRPr="003D1E07" w:rsidRDefault="003252F4" w:rsidP="003252F4">
      <w:pPr>
        <w:pStyle w:val="Citace"/>
        <w:rPr>
          <w:lang w:val="cs-CZ"/>
        </w:rPr>
      </w:pPr>
      <w:r w:rsidRPr="003D1E07">
        <w:rPr>
          <w:rStyle w:val="Zkladntextdkovn0pt"/>
          <w:rFonts w:ascii="Calibri" w:eastAsia="Times" w:hAnsi="Calibri" w:cs="Times New Roman"/>
          <w:spacing w:val="0"/>
          <w:sz w:val="22"/>
          <w:u w:val="none"/>
          <w:lang w:val="cs-CZ"/>
        </w:rPr>
        <w:t>„Již bylo vysvětleno, že první aktualizace intelektu (</w:t>
      </w:r>
      <w:r w:rsidRPr="003D1E07">
        <w:rPr>
          <w:i/>
          <w:lang w:val="cs-CZ"/>
        </w:rPr>
        <w:t>prima perfectio intellectus</w:t>
      </w:r>
      <w:r w:rsidRPr="003D1E07">
        <w:rPr>
          <w:rStyle w:val="Zkladntextdkovn0pt"/>
          <w:rFonts w:ascii="Calibri" w:eastAsia="Times" w:hAnsi="Calibri" w:cs="Times New Roman"/>
          <w:spacing w:val="0"/>
          <w:sz w:val="22"/>
          <w:u w:val="none"/>
          <w:lang w:val="cs-CZ"/>
        </w:rPr>
        <w:t>) se liší od aktualizací jiných schopností duše a že termín 'aktualita' (</w:t>
      </w:r>
      <w:r w:rsidRPr="003D1E07">
        <w:rPr>
          <w:rStyle w:val="Zkladntextdkovn0pt"/>
          <w:rFonts w:ascii="Calibri" w:eastAsia="Times" w:hAnsi="Calibri" w:cs="Times New Roman"/>
          <w:i/>
          <w:spacing w:val="0"/>
          <w:sz w:val="22"/>
          <w:u w:val="none"/>
          <w:lang w:val="cs-CZ"/>
        </w:rPr>
        <w:t>perfectio</w:t>
      </w:r>
      <w:r w:rsidRPr="003D1E07">
        <w:rPr>
          <w:rStyle w:val="Zkladntextdkovn0pt"/>
          <w:rFonts w:ascii="Calibri" w:eastAsia="Times" w:hAnsi="Calibri" w:cs="Times New Roman"/>
          <w:spacing w:val="0"/>
          <w:sz w:val="22"/>
          <w:u w:val="none"/>
          <w:lang w:val="cs-CZ"/>
        </w:rPr>
        <w:t>) je vzhledem k nim vypovídána pouze ekvivočně (</w:t>
      </w:r>
      <w:r w:rsidRPr="003D1E07">
        <w:rPr>
          <w:i/>
          <w:lang w:val="cs-CZ"/>
        </w:rPr>
        <w:t>dicitur de eis modo equivoco</w:t>
      </w:r>
      <w:r w:rsidRPr="003D1E07">
        <w:rPr>
          <w:rStyle w:val="Zkladntextdkovn0pt"/>
          <w:rFonts w:ascii="Calibri" w:eastAsia="Times" w:hAnsi="Calibri" w:cs="Times New Roman"/>
          <w:spacing w:val="0"/>
          <w:sz w:val="22"/>
          <w:u w:val="none"/>
          <w:lang w:val="cs-CZ"/>
        </w:rPr>
        <w:t>). To je opak toho, co tvrdil Alexander.“ </w:t>
      </w:r>
      <w:r w:rsidRPr="003D1E07">
        <w:rPr>
          <w:rStyle w:val="Znakapoznpodarou"/>
          <w:lang w:val="cs-CZ"/>
        </w:rPr>
        <w:footnoteReference w:id="257"/>
      </w:r>
    </w:p>
    <w:p w14:paraId="6997FFA0" w14:textId="6476BD46" w:rsidR="08E85BE4" w:rsidRPr="003D1E07" w:rsidRDefault="002E3B62" w:rsidP="004A7F08">
      <w:r w:rsidRPr="003D1E07">
        <w:t>Averroes</w:t>
      </w:r>
      <w:r w:rsidR="00A95E76" w:rsidRPr="003D1E07">
        <w:t xml:space="preserve"> bere Alexandrův pojem receptivního intelektu</w:t>
      </w:r>
      <w:r w:rsidR="000A2302" w:rsidRPr="003D1E07">
        <w:rPr>
          <w:i/>
        </w:rPr>
        <w:fldChar w:fldCharType="begin"/>
      </w:r>
      <w:r w:rsidR="000A2302" w:rsidRPr="003D1E07">
        <w:instrText xml:space="preserve"> XE "</w:instrText>
      </w:r>
      <w:r w:rsidR="000A2302" w:rsidRPr="003D1E07">
        <w:rPr>
          <w:i/>
        </w:rPr>
        <w:instrText>intellectus materialis:</w:instrText>
      </w:r>
      <w:r w:rsidR="000A2302" w:rsidRPr="003D1E07">
        <w:instrText xml:space="preserve">Alexander" </w:instrText>
      </w:r>
      <w:r w:rsidR="000A2302" w:rsidRPr="003D1E07">
        <w:rPr>
          <w:i/>
        </w:rPr>
        <w:fldChar w:fldCharType="end"/>
      </w:r>
      <w:r w:rsidR="00A95E76" w:rsidRPr="003D1E07">
        <w:t xml:space="preserve"> vztaženého k tělu jako substanci pouze v ekvivočním významu</w:t>
      </w:r>
      <w:r w:rsidR="009064F4" w:rsidRPr="003D1E07">
        <w:t>. Rodové rozlišení dvou odlišných druhů intelektu způsobuje, že n</w:t>
      </w:r>
      <w:r w:rsidR="00A95E76" w:rsidRPr="003D1E07">
        <w:t>e</w:t>
      </w:r>
      <w:r w:rsidR="009064F4" w:rsidRPr="003D1E07">
        <w:t xml:space="preserve">lze </w:t>
      </w:r>
      <w:r w:rsidR="00A95E76" w:rsidRPr="003D1E07">
        <w:t>smísit materiální a nemateriální určení intelektu do jednoho univočního konceptu.</w:t>
      </w:r>
      <w:r w:rsidR="082C2E91" w:rsidRPr="003D1E07">
        <w:t xml:space="preserve"> Intelekt sice myslí univerzálně, ale nemůže být ani univerzálie, ani samostatná substance</w:t>
      </w:r>
      <w:r w:rsidR="082C2E91" w:rsidRPr="003D1E07">
        <w:fldChar w:fldCharType="begin"/>
      </w:r>
      <w:r w:rsidR="082C2E91" w:rsidRPr="003D1E07">
        <w:instrText xml:space="preserve"> XE "substance:intelekt" </w:instrText>
      </w:r>
      <w:r w:rsidR="082C2E91" w:rsidRPr="003D1E07">
        <w:fldChar w:fldCharType="end"/>
      </w:r>
      <w:r w:rsidR="082C2E91" w:rsidRPr="003D1E07">
        <w:t>.</w:t>
      </w:r>
      <w:r w:rsidR="089148B8" w:rsidRPr="003D1E07">
        <w:t xml:space="preserve"> Komentátor nyní musí přesně určit vztah nemateriálního intelektu vzhledem k tělu, což je </w:t>
      </w:r>
      <w:r w:rsidR="089148B8" w:rsidRPr="003D1E07">
        <w:lastRenderedPageBreak/>
        <w:t xml:space="preserve">velmi obtížný úkol. Dualismus nabídl jednoduché </w:t>
      </w:r>
      <w:r w:rsidR="08331F4E" w:rsidRPr="003D1E07">
        <w:t>řešení, ale to je z m</w:t>
      </w:r>
      <w:r w:rsidR="089148B8" w:rsidRPr="003D1E07">
        <w:t xml:space="preserve">noha důvodů chybné. </w:t>
      </w:r>
      <w:r w:rsidR="08943EAE" w:rsidRPr="003D1E07">
        <w:t xml:space="preserve">Vztah smyslového a rozumového poznání musí tvořit jednotu v rámci hledaného pojetí pravdy jako </w:t>
      </w:r>
      <w:r w:rsidR="08943EAE" w:rsidRPr="003D1E07">
        <w:rPr>
          <w:i/>
        </w:rPr>
        <w:t>proportio</w:t>
      </w:r>
      <w:r w:rsidR="08943EAE" w:rsidRPr="003D1E07">
        <w:t xml:space="preserve"> obou složek poznání</w:t>
      </w:r>
      <w:r w:rsidR="080201BA" w:rsidRPr="003D1E07">
        <w:t xml:space="preserve"> jak na úrovni osoby, tak na úrovni lidstva</w:t>
      </w:r>
      <w:r w:rsidR="08943EAE" w:rsidRPr="003D1E07">
        <w:t>.</w:t>
      </w:r>
      <w:r w:rsidR="003252F4">
        <w:t xml:space="preserve"> </w:t>
      </w:r>
      <w:r w:rsidR="0899565F" w:rsidRPr="003D1E07">
        <w:t xml:space="preserve">Nové </w:t>
      </w:r>
      <w:r w:rsidR="004A7F08" w:rsidRPr="003D1E07">
        <w:t xml:space="preserve">řešení </w:t>
      </w:r>
      <w:r w:rsidR="002545B2" w:rsidRPr="003D1E07">
        <w:t xml:space="preserve">determinuje </w:t>
      </w:r>
      <w:r w:rsidR="004A7F08" w:rsidRPr="003D1E07">
        <w:t xml:space="preserve">jednotu poznání tak, že </w:t>
      </w:r>
      <w:r w:rsidR="005D253D" w:rsidRPr="003D1E07">
        <w:t xml:space="preserve">ustaví </w:t>
      </w:r>
      <w:r w:rsidR="004A7F08" w:rsidRPr="003D1E07">
        <w:rPr>
          <w:i/>
        </w:rPr>
        <w:t xml:space="preserve">intellectus </w:t>
      </w:r>
      <w:r w:rsidR="08CC115C" w:rsidRPr="003D1E07">
        <w:rPr>
          <w:i/>
        </w:rPr>
        <w:t xml:space="preserve">possibilis </w:t>
      </w:r>
      <w:r w:rsidR="004A7F08" w:rsidRPr="003D1E07">
        <w:t xml:space="preserve">jako zvláštní </w:t>
      </w:r>
      <w:r w:rsidR="00B666B3" w:rsidRPr="003D1E07">
        <w:t xml:space="preserve">koncept </w:t>
      </w:r>
      <w:r w:rsidR="004A7F08" w:rsidRPr="003D1E07">
        <w:t>(</w:t>
      </w:r>
      <w:r w:rsidR="004A7F08" w:rsidRPr="003D1E07">
        <w:rPr>
          <w:i/>
        </w:rPr>
        <w:t xml:space="preserve">quartum </w:t>
      </w:r>
      <w:r w:rsidR="00636BD4" w:rsidRPr="003D1E07">
        <w:rPr>
          <w:i/>
        </w:rPr>
        <w:t>genus</w:t>
      </w:r>
      <w:r w:rsidR="00982C89" w:rsidRPr="003D1E07">
        <w:rPr>
          <w:i/>
        </w:rPr>
        <w:fldChar w:fldCharType="begin"/>
      </w:r>
      <w:r w:rsidR="00982C89" w:rsidRPr="003D1E07">
        <w:instrText xml:space="preserve"> XE "</w:instrText>
      </w:r>
      <w:r w:rsidR="00982C89" w:rsidRPr="003D1E07">
        <w:rPr>
          <w:i/>
        </w:rPr>
        <w:instrText>quartum genus</w:instrText>
      </w:r>
      <w:r w:rsidR="00982C89" w:rsidRPr="003D1E07">
        <w:instrText xml:space="preserve">" </w:instrText>
      </w:r>
      <w:r w:rsidR="00982C89" w:rsidRPr="003D1E07">
        <w:rPr>
          <w:i/>
        </w:rPr>
        <w:fldChar w:fldCharType="end"/>
      </w:r>
      <w:r w:rsidR="00416843" w:rsidRPr="003D1E07">
        <w:t>). T</w:t>
      </w:r>
      <w:r w:rsidR="00A036B2" w:rsidRPr="003D1E07">
        <w:t>ato generická</w:t>
      </w:r>
      <w:r w:rsidR="004A7F08" w:rsidRPr="003D1E07">
        <w:t xml:space="preserve"> </w:t>
      </w:r>
      <w:r w:rsidR="08BF727C" w:rsidRPr="003D1E07">
        <w:t>fo</w:t>
      </w:r>
      <w:r w:rsidR="00761555" w:rsidRPr="003D1E07">
        <w:t>r</w:t>
      </w:r>
      <w:r w:rsidR="00A036B2" w:rsidRPr="003D1E07">
        <w:t>ma</w:t>
      </w:r>
      <w:r w:rsidR="08BF727C" w:rsidRPr="003D1E07">
        <w:t xml:space="preserve"> možného intelektu </w:t>
      </w:r>
      <w:r w:rsidR="00A036B2" w:rsidRPr="003D1E07">
        <w:t xml:space="preserve">je dána </w:t>
      </w:r>
      <w:r w:rsidR="08BF727C" w:rsidRPr="003D1E07">
        <w:t xml:space="preserve">na úrovni lidstva </w:t>
      </w:r>
      <w:r w:rsidR="00A036B2" w:rsidRPr="003D1E07">
        <w:t xml:space="preserve">a specifická forma </w:t>
      </w:r>
      <w:r w:rsidR="08BF727C" w:rsidRPr="003D1E07">
        <w:t>na úrovni přirozenosti dané v</w:t>
      </w:r>
      <w:r w:rsidR="00A036B2" w:rsidRPr="003D1E07">
        <w:t> </w:t>
      </w:r>
      <w:r w:rsidR="08BF727C" w:rsidRPr="003D1E07">
        <w:t>jednotlivci</w:t>
      </w:r>
      <w:r w:rsidR="00A036B2" w:rsidRPr="003D1E07">
        <w:t xml:space="preserve">. </w:t>
      </w:r>
      <w:r w:rsidR="082C2A6C" w:rsidRPr="003D1E07">
        <w:t>K</w:t>
      </w:r>
      <w:r w:rsidR="085568F0" w:rsidRPr="003D1E07">
        <w:t xml:space="preserve">omentátor </w:t>
      </w:r>
      <w:r w:rsidR="00C94F0C" w:rsidRPr="003D1E07">
        <w:t>odlišil</w:t>
      </w:r>
      <w:r w:rsidR="004A7F08" w:rsidRPr="003D1E07">
        <w:t xml:space="preserve"> </w:t>
      </w:r>
      <w:r w:rsidR="00A036B2" w:rsidRPr="003D1E07">
        <w:t xml:space="preserve">koncept možného intelektu </w:t>
      </w:r>
      <w:r w:rsidR="004A7F08" w:rsidRPr="003D1E07">
        <w:t xml:space="preserve">od </w:t>
      </w:r>
      <w:r w:rsidR="08A456DF" w:rsidRPr="003D1E07">
        <w:t xml:space="preserve">predikace </w:t>
      </w:r>
      <w:r w:rsidR="006F40B1" w:rsidRPr="003D1E07">
        <w:t xml:space="preserve">stejného </w:t>
      </w:r>
      <w:r w:rsidR="08A456DF" w:rsidRPr="003D1E07">
        <w:t xml:space="preserve">intelektu jako </w:t>
      </w:r>
      <w:r w:rsidR="00481DED" w:rsidRPr="003D1E07">
        <w:t>aktuální</w:t>
      </w:r>
      <w:r w:rsidR="00761555" w:rsidRPr="003D1E07">
        <w:t xml:space="preserve">ho a </w:t>
      </w:r>
      <w:r w:rsidR="08A456DF" w:rsidRPr="003D1E07">
        <w:t xml:space="preserve">osobního </w:t>
      </w:r>
      <w:r w:rsidR="00481DED" w:rsidRPr="003D1E07">
        <w:t>aktu myšlení</w:t>
      </w:r>
      <w:r w:rsidR="08C72AD3" w:rsidRPr="003D1E07">
        <w:t xml:space="preserve"> (</w:t>
      </w:r>
      <w:r w:rsidR="08C72AD3" w:rsidRPr="003D1E07">
        <w:rPr>
          <w:i/>
        </w:rPr>
        <w:t xml:space="preserve">tertium </w:t>
      </w:r>
      <w:r w:rsidR="00636BD4" w:rsidRPr="003D1E07">
        <w:rPr>
          <w:i/>
        </w:rPr>
        <w:t>genus</w:t>
      </w:r>
      <w:r w:rsidR="08C72AD3" w:rsidRPr="003D1E07">
        <w:t>)</w:t>
      </w:r>
      <w:r w:rsidR="08F22525" w:rsidRPr="003D1E07">
        <w:t xml:space="preserve">. </w:t>
      </w:r>
      <w:r w:rsidR="00094CB3" w:rsidRPr="003D1E07">
        <w:t>Lidé mají společnou intelektuální přirozenost ve smyslu Al-</w:t>
      </w:r>
      <w:r w:rsidR="008E02F5" w:rsidRPr="003D1E07">
        <w:t>Fárábí</w:t>
      </w:r>
      <w:r w:rsidR="00094CB3" w:rsidRPr="003D1E07">
        <w:t xml:space="preserve">ho </w:t>
      </w:r>
      <w:r w:rsidR="005905A6" w:rsidRPr="003D1E07">
        <w:t>přirozené vlohy</w:t>
      </w:r>
      <w:r w:rsidR="001249E3" w:rsidRPr="003D1E07">
        <w:t xml:space="preserve"> (</w:t>
      </w:r>
      <w:r w:rsidR="001249E3" w:rsidRPr="003D1E07">
        <w:rPr>
          <w:i/>
        </w:rPr>
        <w:t>fiṭra mushtarika</w:t>
      </w:r>
      <w:r w:rsidR="001249E3" w:rsidRPr="003D1E07">
        <w:rPr>
          <w:i/>
        </w:rPr>
        <w:fldChar w:fldCharType="begin"/>
      </w:r>
      <w:r w:rsidR="001249E3" w:rsidRPr="003D1E07">
        <w:instrText xml:space="preserve"> XE "</w:instrText>
      </w:r>
      <w:r w:rsidR="001249E3" w:rsidRPr="003D1E07">
        <w:rPr>
          <w:i/>
        </w:rPr>
        <w:instrText>fiṭra mushtarika</w:instrText>
      </w:r>
      <w:r w:rsidR="001249E3" w:rsidRPr="003D1E07">
        <w:instrText xml:space="preserve">" </w:instrText>
      </w:r>
      <w:r w:rsidR="001249E3" w:rsidRPr="003D1E07">
        <w:rPr>
          <w:i/>
        </w:rPr>
        <w:fldChar w:fldCharType="end"/>
      </w:r>
      <w:r w:rsidR="001249E3" w:rsidRPr="003D1E07">
        <w:t xml:space="preserve">, kap. 2.1.1). Ta </w:t>
      </w:r>
      <w:r w:rsidR="00094CB3" w:rsidRPr="003D1E07">
        <w:t xml:space="preserve">je společná pro všechny lidské bytosti schopné normálního užívání rozumu. </w:t>
      </w:r>
      <w:r w:rsidR="0077259D" w:rsidRPr="003D1E07">
        <w:t xml:space="preserve">Z metafyzického hlediska je to správné řešení. Možný intelekt jako </w:t>
      </w:r>
      <w:r w:rsidR="0077259D" w:rsidRPr="003D1E07">
        <w:rPr>
          <w:i/>
        </w:rPr>
        <w:t>tertium genus</w:t>
      </w:r>
      <w:r w:rsidR="0077259D" w:rsidRPr="003D1E07">
        <w:t xml:space="preserve"> je čistá potence, a proto zahrnuje univerzální pojem stejné povahy v celém pojmově vymezeném lidstvu a v každém pojmově vymezeném individuu (</w:t>
      </w:r>
      <w:r w:rsidR="0077259D" w:rsidRPr="003D1E07">
        <w:rPr>
          <w:i/>
        </w:rPr>
        <w:t>quartum genus</w:t>
      </w:r>
      <w:r w:rsidR="0077259D" w:rsidRPr="003D1E07">
        <w:t xml:space="preserve">). </w:t>
      </w:r>
      <w:r w:rsidR="008C3E76" w:rsidRPr="003D1E07">
        <w:t xml:space="preserve">Generická </w:t>
      </w:r>
      <w:r w:rsidR="08F22525" w:rsidRPr="003D1E07">
        <w:t>f</w:t>
      </w:r>
      <w:r w:rsidR="086004C0" w:rsidRPr="003D1E07">
        <w:t>orma nemateriální obecné schopn</w:t>
      </w:r>
      <w:r w:rsidR="08F22525" w:rsidRPr="003D1E07">
        <w:t>o</w:t>
      </w:r>
      <w:r w:rsidR="086004C0" w:rsidRPr="003D1E07">
        <w:t>s</w:t>
      </w:r>
      <w:r w:rsidR="08F22525" w:rsidRPr="003D1E07">
        <w:t xml:space="preserve">ti </w:t>
      </w:r>
      <w:r w:rsidR="086004C0" w:rsidRPr="003D1E07">
        <w:t xml:space="preserve">lidské duše </w:t>
      </w:r>
      <w:r w:rsidR="08F22525" w:rsidRPr="003D1E07">
        <w:t xml:space="preserve">je </w:t>
      </w:r>
      <w:r w:rsidR="002E4821" w:rsidRPr="003D1E07">
        <w:t xml:space="preserve">abstrahována </w:t>
      </w:r>
      <w:r w:rsidR="08D23F28" w:rsidRPr="003D1E07">
        <w:t xml:space="preserve">ve vědeckém modu </w:t>
      </w:r>
      <w:r w:rsidR="08D23F28" w:rsidRPr="003D1E07">
        <w:rPr>
          <w:i/>
        </w:rPr>
        <w:t>demonstratio</w:t>
      </w:r>
      <w:r w:rsidR="08D23F28" w:rsidRPr="003D1E07">
        <w:t xml:space="preserve"> z reálné první substance, tedy </w:t>
      </w:r>
      <w:r w:rsidR="002E4821" w:rsidRPr="003D1E07">
        <w:t xml:space="preserve">z </w:t>
      </w:r>
      <w:r w:rsidR="00016904" w:rsidRPr="003D1E07">
        <w:t>ak</w:t>
      </w:r>
      <w:r w:rsidR="002E4821" w:rsidRPr="003D1E07">
        <w:t>tuálního</w:t>
      </w:r>
      <w:r w:rsidR="00016904" w:rsidRPr="003D1E07">
        <w:t xml:space="preserve"> </w:t>
      </w:r>
      <w:r w:rsidR="004A7F08" w:rsidRPr="003D1E07">
        <w:t>poznání na úrovni jednotlivce (</w:t>
      </w:r>
      <w:r w:rsidR="004A7F08" w:rsidRPr="003D1E07">
        <w:rPr>
          <w:i/>
        </w:rPr>
        <w:t xml:space="preserve">tertium </w:t>
      </w:r>
      <w:r w:rsidR="00636BD4" w:rsidRPr="003D1E07">
        <w:rPr>
          <w:i/>
        </w:rPr>
        <w:t>genus</w:t>
      </w:r>
      <w:r w:rsidR="00982C89" w:rsidRPr="003D1E07">
        <w:rPr>
          <w:i/>
        </w:rPr>
        <w:fldChar w:fldCharType="begin"/>
      </w:r>
      <w:r w:rsidR="00982C89" w:rsidRPr="003D1E07">
        <w:instrText xml:space="preserve"> XE "</w:instrText>
      </w:r>
      <w:r w:rsidR="00982C89" w:rsidRPr="003D1E07">
        <w:rPr>
          <w:i/>
        </w:rPr>
        <w:instrText>tertium genus</w:instrText>
      </w:r>
      <w:r w:rsidR="00982C89" w:rsidRPr="003D1E07">
        <w:instrText xml:space="preserve">" </w:instrText>
      </w:r>
      <w:r w:rsidR="00982C89" w:rsidRPr="003D1E07">
        <w:rPr>
          <w:i/>
        </w:rPr>
        <w:fldChar w:fldCharType="end"/>
      </w:r>
      <w:r w:rsidR="004A7F08" w:rsidRPr="003D1E07">
        <w:t xml:space="preserve">). </w:t>
      </w:r>
      <w:r w:rsidR="00827AE4" w:rsidRPr="003D1E07">
        <w:t>R</w:t>
      </w:r>
      <w:r w:rsidR="00934378" w:rsidRPr="003D1E07">
        <w:t>ozli</w:t>
      </w:r>
      <w:r w:rsidR="00FA5BDC" w:rsidRPr="003D1E07">
        <w:t xml:space="preserve">šením dvou způsobů </w:t>
      </w:r>
      <w:r w:rsidR="002B5684" w:rsidRPr="003D1E07">
        <w:t xml:space="preserve">predikace </w:t>
      </w:r>
      <w:r w:rsidR="08CE3EE6" w:rsidRPr="003D1E07">
        <w:t>výkonu tohoto intelektu (specificky-univer</w:t>
      </w:r>
      <w:r w:rsidR="086004C0" w:rsidRPr="003D1E07">
        <w:t>z</w:t>
      </w:r>
      <w:r w:rsidR="08CE3EE6" w:rsidRPr="003D1E07">
        <w:t xml:space="preserve">ální, singulárně-aktuální) </w:t>
      </w:r>
      <w:r w:rsidR="082F565E" w:rsidRPr="003D1E07">
        <w:t xml:space="preserve">vytvořil CMDA </w:t>
      </w:r>
      <w:r w:rsidR="004A7F08" w:rsidRPr="003D1E07">
        <w:t xml:space="preserve">obdobu kategoriálního rozdílu mezi </w:t>
      </w:r>
      <w:r w:rsidR="00636BD4" w:rsidRPr="003D1E07">
        <w:t>genus</w:t>
      </w:r>
      <w:r w:rsidR="007B6EA1" w:rsidRPr="003D1E07">
        <w:t xml:space="preserve"> a </w:t>
      </w:r>
      <w:r w:rsidR="00F214C5" w:rsidRPr="003D1E07">
        <w:t>species</w:t>
      </w:r>
      <w:r w:rsidR="08EE4558" w:rsidRPr="003D1E07">
        <w:t xml:space="preserve"> na straně druhé substance</w:t>
      </w:r>
      <w:r w:rsidR="002E4821" w:rsidRPr="003D1E07">
        <w:t xml:space="preserve"> (</w:t>
      </w:r>
      <w:r w:rsidR="002E4821" w:rsidRPr="003D1E07">
        <w:rPr>
          <w:i/>
        </w:rPr>
        <w:t xml:space="preserve">quartum </w:t>
      </w:r>
      <w:r w:rsidR="00636BD4" w:rsidRPr="006459C2">
        <w:rPr>
          <w:i/>
        </w:rPr>
        <w:t>genus</w:t>
      </w:r>
      <w:r w:rsidR="002E4821" w:rsidRPr="003D1E07">
        <w:t xml:space="preserve">). </w:t>
      </w:r>
      <w:r w:rsidR="081A3027" w:rsidRPr="003D1E07">
        <w:t xml:space="preserve">Nyní predikujeme </w:t>
      </w:r>
      <w:r w:rsidR="087B032D" w:rsidRPr="003D1E07">
        <w:t xml:space="preserve">význam intelektu </w:t>
      </w:r>
      <w:r w:rsidR="007C1F0E">
        <w:t xml:space="preserve">v modu supozice </w:t>
      </w:r>
      <w:r w:rsidR="081A3027" w:rsidRPr="003D1E07">
        <w:t xml:space="preserve">od generické univerzality </w:t>
      </w:r>
      <w:r w:rsidR="087B032D" w:rsidRPr="003D1E07">
        <w:t xml:space="preserve">dané </w:t>
      </w:r>
      <w:r w:rsidR="081A3027" w:rsidRPr="003D1E07">
        <w:rPr>
          <w:i/>
        </w:rPr>
        <w:t>per prius</w:t>
      </w:r>
      <w:r w:rsidR="081A3027" w:rsidRPr="003D1E07">
        <w:t xml:space="preserve"> </w:t>
      </w:r>
      <w:r w:rsidR="00500BDC">
        <w:t xml:space="preserve">a postupujeme </w:t>
      </w:r>
      <w:r w:rsidR="081A3027" w:rsidRPr="003D1E07">
        <w:t>směrem k dále nedělitelné jednotce tohoto obecně daného intelektu v jednotlivci (</w:t>
      </w:r>
      <w:r w:rsidR="081A3027" w:rsidRPr="003D1E07">
        <w:rPr>
          <w:i/>
        </w:rPr>
        <w:t>individuum</w:t>
      </w:r>
      <w:r w:rsidR="081A3027" w:rsidRPr="003D1E07">
        <w:t xml:space="preserve">). </w:t>
      </w:r>
      <w:r w:rsidR="00871AEB" w:rsidRPr="003D1E07">
        <w:t xml:space="preserve">Tento intelekt je dán v abstraktním individuu (a nikoli v existující osobě) jako lidská dispozice (a nikoli jako existenciální akt). </w:t>
      </w:r>
      <w:r w:rsidR="081A3027" w:rsidRPr="003D1E07">
        <w:t xml:space="preserve">Generický intelekt </w:t>
      </w:r>
      <w:r w:rsidR="00871AEB" w:rsidRPr="003D1E07">
        <w:t xml:space="preserve">pak </w:t>
      </w:r>
      <w:r w:rsidR="081A3027" w:rsidRPr="003D1E07">
        <w:t xml:space="preserve">zajišťuje </w:t>
      </w:r>
      <w:r w:rsidR="00541F4E" w:rsidRPr="003D1E07">
        <w:t xml:space="preserve">druhou rovinu </w:t>
      </w:r>
      <w:r w:rsidR="002C2188" w:rsidRPr="003D1E07">
        <w:t>obecně pojaté</w:t>
      </w:r>
      <w:r w:rsidR="00541F4E" w:rsidRPr="003D1E07">
        <w:t>ho</w:t>
      </w:r>
      <w:r w:rsidR="002C2188" w:rsidRPr="003D1E07">
        <w:t xml:space="preserve"> </w:t>
      </w:r>
      <w:r w:rsidR="081A3027" w:rsidRPr="003D1E07">
        <w:rPr>
          <w:i/>
        </w:rPr>
        <w:t>continuatio</w:t>
      </w:r>
      <w:r w:rsidR="081A3027" w:rsidRPr="003D1E07">
        <w:t xml:space="preserve"> univerzálních obsahů poznání</w:t>
      </w:r>
      <w:r w:rsidR="00541F4E" w:rsidRPr="003D1E07">
        <w:t xml:space="preserve">. Tento intelekt nahlížíme </w:t>
      </w:r>
      <w:r w:rsidR="081A3027" w:rsidRPr="003D1E07">
        <w:t xml:space="preserve">v rámci klasického Porfyriova stromu jako univerzálii a </w:t>
      </w:r>
      <w:r w:rsidR="088F20C2" w:rsidRPr="003D1E07">
        <w:t xml:space="preserve">dále </w:t>
      </w:r>
      <w:r w:rsidR="081A3027" w:rsidRPr="003D1E07">
        <w:t>dělíme jako univerzálii</w:t>
      </w:r>
      <w:r w:rsidR="080D6146" w:rsidRPr="003D1E07">
        <w:t xml:space="preserve"> až k individuu</w:t>
      </w:r>
      <w:r w:rsidR="081A3027" w:rsidRPr="003D1E07">
        <w:t xml:space="preserve">. </w:t>
      </w:r>
      <w:r w:rsidR="00515A0B" w:rsidRPr="003D1E07">
        <w:t xml:space="preserve">Dělení začíná na úrovni rodu jako obecné schopnosti lidstva myslet univerzální obsah prostřednictvím filozofie. Sahá až k jednotlivci, protože </w:t>
      </w:r>
      <w:r w:rsidR="00515A0B" w:rsidRPr="003D1E07">
        <w:rPr>
          <w:i/>
        </w:rPr>
        <w:t>intellectus possibilis</w:t>
      </w:r>
      <w:r w:rsidR="00515A0B" w:rsidRPr="003D1E07">
        <w:t xml:space="preserve"> představuje jeho specifickou schopnost intelektuální recepce. </w:t>
      </w:r>
      <w:r w:rsidR="08F833FC" w:rsidRPr="003D1E07">
        <w:t>Dělením intelektu jako rodu se dostala s</w:t>
      </w:r>
      <w:r w:rsidR="081A3027" w:rsidRPr="003D1E07">
        <w:t xml:space="preserve">pecifická schopnost lidstva myslet univerzální obsahy skrze filosofii </w:t>
      </w:r>
      <w:r w:rsidR="08F833FC" w:rsidRPr="003D1E07">
        <w:t xml:space="preserve">až </w:t>
      </w:r>
      <w:r w:rsidR="08782613" w:rsidRPr="003D1E07">
        <w:t>na schopnost individua</w:t>
      </w:r>
      <w:r w:rsidR="081A3027" w:rsidRPr="003D1E07">
        <w:t xml:space="preserve">. </w:t>
      </w:r>
      <w:r w:rsidR="080F4A8D" w:rsidRPr="003D1E07">
        <w:t>Člověk jako myslící i</w:t>
      </w:r>
      <w:r w:rsidR="08782613" w:rsidRPr="003D1E07">
        <w:t xml:space="preserve">ndividuum není </w:t>
      </w:r>
      <w:r w:rsidR="08777048" w:rsidRPr="003D1E07">
        <w:t xml:space="preserve">numericky </w:t>
      </w:r>
      <w:r w:rsidR="08782613" w:rsidRPr="003D1E07">
        <w:t>odlišn</w:t>
      </w:r>
      <w:r w:rsidR="080F4A8D" w:rsidRPr="003D1E07">
        <w:t>ý</w:t>
      </w:r>
      <w:r w:rsidR="08782613" w:rsidRPr="003D1E07">
        <w:t xml:space="preserve"> jed</w:t>
      </w:r>
      <w:r w:rsidR="080F4A8D" w:rsidRPr="003D1E07">
        <w:t>en</w:t>
      </w:r>
      <w:r w:rsidR="08782613" w:rsidRPr="003D1E07">
        <w:t xml:space="preserve"> od druhého</w:t>
      </w:r>
      <w:r w:rsidR="08AF5436" w:rsidRPr="003D1E07">
        <w:t xml:space="preserve">, protože </w:t>
      </w:r>
      <w:r w:rsidR="08777048" w:rsidRPr="003D1E07">
        <w:t xml:space="preserve">individuum </w:t>
      </w:r>
      <w:r w:rsidR="08AF5436" w:rsidRPr="003D1E07">
        <w:t>má čistě specifický charakter</w:t>
      </w:r>
      <w:r w:rsidR="08777048" w:rsidRPr="003D1E07">
        <w:t xml:space="preserve"> (kap. 1.3)</w:t>
      </w:r>
      <w:r w:rsidR="08782613" w:rsidRPr="003D1E07">
        <w:t xml:space="preserve">. </w:t>
      </w:r>
      <w:r w:rsidR="080F4A8D" w:rsidRPr="003D1E07">
        <w:t>Species jako u</w:t>
      </w:r>
      <w:r w:rsidR="08782613" w:rsidRPr="003D1E07">
        <w:t xml:space="preserve">niverzálie </w:t>
      </w:r>
      <w:r w:rsidR="080F4A8D" w:rsidRPr="003D1E07">
        <w:t xml:space="preserve">je </w:t>
      </w:r>
      <w:r w:rsidR="08782613" w:rsidRPr="003D1E07">
        <w:t>daná pouze</w:t>
      </w:r>
      <w:r w:rsidR="08665613" w:rsidRPr="003D1E07">
        <w:t xml:space="preserve"> v mysli </w:t>
      </w:r>
      <w:r w:rsidR="080F4A8D" w:rsidRPr="003D1E07">
        <w:t xml:space="preserve">a  proto </w:t>
      </w:r>
      <w:r w:rsidR="08665613" w:rsidRPr="003D1E07">
        <w:t>nemá žádnou materi</w:t>
      </w:r>
      <w:r w:rsidR="08782613" w:rsidRPr="003D1E07">
        <w:t xml:space="preserve">i, která </w:t>
      </w:r>
      <w:r w:rsidR="08665613" w:rsidRPr="003D1E07">
        <w:t xml:space="preserve">jako jediná </w:t>
      </w:r>
      <w:r w:rsidR="08782613" w:rsidRPr="003D1E07">
        <w:t xml:space="preserve">zakládá reálnou </w:t>
      </w:r>
      <w:r w:rsidR="08665613" w:rsidRPr="003D1E07">
        <w:t>singularitu na úr</w:t>
      </w:r>
      <w:r w:rsidR="08782613" w:rsidRPr="003D1E07">
        <w:t>o</w:t>
      </w:r>
      <w:r w:rsidR="08665613" w:rsidRPr="003D1E07">
        <w:t>vni hy</w:t>
      </w:r>
      <w:r w:rsidR="08782613" w:rsidRPr="003D1E07">
        <w:t>l</w:t>
      </w:r>
      <w:r w:rsidR="08665613" w:rsidRPr="003D1E07">
        <w:t>e</w:t>
      </w:r>
      <w:r w:rsidR="08782613" w:rsidRPr="003D1E07">
        <w:t>morfi</w:t>
      </w:r>
      <w:r w:rsidR="08665613" w:rsidRPr="003D1E07">
        <w:t>c</w:t>
      </w:r>
      <w:r w:rsidR="08782613" w:rsidRPr="003D1E07">
        <w:t xml:space="preserve">ké první substance. </w:t>
      </w:r>
      <w:r w:rsidR="003C4DE9" w:rsidRPr="003D1E07">
        <w:t xml:space="preserve">Být jedním nebo dvěma reálnými </w:t>
      </w:r>
      <w:r w:rsidR="003C4DE9" w:rsidRPr="003D1E07">
        <w:lastRenderedPageBreak/>
        <w:t xml:space="preserve">exempláři znamená mít materii, která vytváří numerický rozdíl mezi skutečnými substancemi. </w:t>
      </w:r>
      <w:r w:rsidR="081A3027" w:rsidRPr="003D1E07">
        <w:t xml:space="preserve">Komentátor </w:t>
      </w:r>
      <w:r w:rsidR="002E4821" w:rsidRPr="003D1E07">
        <w:t xml:space="preserve">zachránil jednotu osoby tím, že impozici této jednoty vzal podle </w:t>
      </w:r>
      <w:r w:rsidR="08EE4558" w:rsidRPr="003D1E07">
        <w:t xml:space="preserve">primátu hyparchické predikace </w:t>
      </w:r>
      <w:r w:rsidR="002E4821" w:rsidRPr="003D1E07">
        <w:t>podle první substance (</w:t>
      </w:r>
      <w:r w:rsidR="002E4821" w:rsidRPr="003D1E07">
        <w:rPr>
          <w:i/>
        </w:rPr>
        <w:t xml:space="preserve">tertium </w:t>
      </w:r>
      <w:r w:rsidR="00636BD4" w:rsidRPr="003D1E07">
        <w:rPr>
          <w:i/>
        </w:rPr>
        <w:t>genus</w:t>
      </w:r>
      <w:r w:rsidR="002E4821" w:rsidRPr="003D1E07">
        <w:t>)</w:t>
      </w:r>
      <w:r w:rsidR="08EE4558" w:rsidRPr="003D1E07">
        <w:t>. N</w:t>
      </w:r>
      <w:r w:rsidR="0074279A" w:rsidRPr="003D1E07">
        <w:t>avíc vnesl</w:t>
      </w:r>
      <w:r w:rsidR="004A7F08" w:rsidRPr="003D1E07">
        <w:t xml:space="preserve"> do aktu poznání tolik potřebnou predikaci </w:t>
      </w:r>
      <w:r w:rsidR="004A7F08" w:rsidRPr="003D1E07">
        <w:rPr>
          <w:i/>
        </w:rPr>
        <w:t>per prius</w:t>
      </w:r>
      <w:r w:rsidR="004A7F08" w:rsidRPr="003D1E07">
        <w:t xml:space="preserve"> a </w:t>
      </w:r>
      <w:r w:rsidR="004A7F08" w:rsidRPr="003D1E07">
        <w:rPr>
          <w:i/>
        </w:rPr>
        <w:t>per posterius</w:t>
      </w:r>
      <w:r w:rsidR="00B21AE6" w:rsidRPr="003D1E07">
        <w:t xml:space="preserve"> vzhl</w:t>
      </w:r>
      <w:r w:rsidR="081A3027" w:rsidRPr="003D1E07">
        <w:t>edem</w:t>
      </w:r>
      <w:r w:rsidR="00B21AE6" w:rsidRPr="003D1E07">
        <w:t xml:space="preserve"> k intelektu jak v modu primární hyparchické aktuality, tak v modu potenciální predikované univerzality. </w:t>
      </w:r>
      <w:r w:rsidR="0840422D" w:rsidRPr="003D1E07">
        <w:t>Individuum a osoba se zásadním způsobem liší</w:t>
      </w:r>
      <w:r w:rsidR="080C6A2A" w:rsidRPr="003D1E07">
        <w:t>, protože impozice kategoriálního významu není supozice logického významu</w:t>
      </w:r>
      <w:r w:rsidR="0840422D" w:rsidRPr="003D1E07">
        <w:t xml:space="preserve">. </w:t>
      </w:r>
      <w:r w:rsidRPr="003D1E07">
        <w:t>Averroes</w:t>
      </w:r>
      <w:r w:rsidR="00E700F7" w:rsidRPr="003D1E07">
        <w:t xml:space="preserve"> v klíčové části komentáře předložil </w:t>
      </w:r>
      <w:r w:rsidR="085A3022" w:rsidRPr="003D1E07">
        <w:t>podle citované kanonické část</w:t>
      </w:r>
      <w:r w:rsidR="08A93A6F" w:rsidRPr="003D1E07">
        <w:t>i</w:t>
      </w:r>
      <w:r w:rsidR="085A3022" w:rsidRPr="003D1E07">
        <w:t xml:space="preserve"> </w:t>
      </w:r>
      <w:r w:rsidR="085A3022" w:rsidRPr="003D1E07">
        <w:rPr>
          <w:i/>
        </w:rPr>
        <w:t>Kategorií</w:t>
      </w:r>
      <w:r w:rsidR="085A3022" w:rsidRPr="003D1E07">
        <w:t xml:space="preserve"> </w:t>
      </w:r>
      <w:r w:rsidR="00E700F7" w:rsidRPr="003D1E07">
        <w:t xml:space="preserve">dvě odlišné predikace materiálního intelektu dané v modu predikace </w:t>
      </w:r>
      <w:r w:rsidR="00E700F7" w:rsidRPr="003D1E07">
        <w:rPr>
          <w:i/>
        </w:rPr>
        <w:t>per prius</w:t>
      </w:r>
      <w:r w:rsidR="00E700F7" w:rsidRPr="003D1E07">
        <w:t xml:space="preserve"> a </w:t>
      </w:r>
      <w:r w:rsidR="00E700F7" w:rsidRPr="003D1E07">
        <w:rPr>
          <w:i/>
        </w:rPr>
        <w:t>per posterius</w:t>
      </w:r>
      <w:r w:rsidR="000A2302" w:rsidRPr="003D1E07">
        <w:rPr>
          <w:i/>
        </w:rPr>
        <w:fldChar w:fldCharType="begin"/>
      </w:r>
      <w:r w:rsidR="000A2302" w:rsidRPr="003D1E07">
        <w:instrText xml:space="preserve"> XE "predikace:</w:instrText>
      </w:r>
      <w:r w:rsidR="000A2302" w:rsidRPr="003D1E07">
        <w:rPr>
          <w:i/>
        </w:rPr>
        <w:instrText>per posterius</w:instrText>
      </w:r>
      <w:r w:rsidR="000A2302" w:rsidRPr="003D1E07">
        <w:instrText xml:space="preserve">" </w:instrText>
      </w:r>
      <w:r w:rsidR="000A2302" w:rsidRPr="003D1E07">
        <w:rPr>
          <w:i/>
        </w:rPr>
        <w:fldChar w:fldCharType="end"/>
      </w:r>
      <w:r w:rsidR="00E700F7" w:rsidRPr="003D1E07">
        <w:t xml:space="preserve">, které shrnul pod </w:t>
      </w:r>
      <w:r w:rsidR="00785B2C" w:rsidRPr="003D1E07">
        <w:t xml:space="preserve">výše uvedený </w:t>
      </w:r>
      <w:r w:rsidR="009D3193" w:rsidRPr="003D1E07">
        <w:t xml:space="preserve">termín </w:t>
      </w:r>
      <w:r w:rsidR="00E700F7" w:rsidRPr="003D1E07">
        <w:rPr>
          <w:i/>
        </w:rPr>
        <w:t>tertium</w:t>
      </w:r>
      <w:r w:rsidR="00785B2C" w:rsidRPr="003D1E07">
        <w:t xml:space="preserve"> a </w:t>
      </w:r>
      <w:r w:rsidR="00E700F7" w:rsidRPr="003D1E07">
        <w:rPr>
          <w:i/>
        </w:rPr>
        <w:t xml:space="preserve">quartum </w:t>
      </w:r>
      <w:r w:rsidR="00636BD4" w:rsidRPr="003D1E07">
        <w:rPr>
          <w:i/>
        </w:rPr>
        <w:t>genus</w:t>
      </w:r>
      <w:r w:rsidR="00E700F7" w:rsidRPr="003D1E07">
        <w:t xml:space="preserve">. Status intelektu jako zvláštní formy druhé substance je určen druhovou či rodovou vzdáleností od živého těla jako první substance. Prehistorie objektivity zkoumala odpovídající pasáž z </w:t>
      </w:r>
      <w:r w:rsidR="00E700F7" w:rsidRPr="003D1E07">
        <w:rPr>
          <w:i/>
        </w:rPr>
        <w:t>Kategorií</w:t>
      </w:r>
      <w:r w:rsidR="08226779" w:rsidRPr="003D1E07">
        <w:t xml:space="preserve"> (kap. 1.3</w:t>
      </w:r>
      <w:r w:rsidR="00E700F7" w:rsidRPr="003D1E07">
        <w:t xml:space="preserve">). V případě predikace </w:t>
      </w:r>
      <w:r w:rsidR="00E700F7" w:rsidRPr="003D1E07">
        <w:rPr>
          <w:i/>
        </w:rPr>
        <w:t>per prius</w:t>
      </w:r>
      <w:r w:rsidR="00E700F7" w:rsidRPr="003D1E07">
        <w:t xml:space="preserve"> vztažené k první substanci stojí </w:t>
      </w:r>
      <w:r w:rsidR="00F214C5" w:rsidRPr="003D1E07">
        <w:t>species</w:t>
      </w:r>
      <w:r w:rsidR="00E700F7" w:rsidRPr="003D1E07">
        <w:t xml:space="preserve"> blíže k první substanci než rod</w:t>
      </w:r>
      <w:r w:rsidR="00E700F7" w:rsidRPr="003D1E07">
        <w:rPr>
          <w:i/>
        </w:rPr>
        <w:t xml:space="preserve"> </w:t>
      </w:r>
      <w:r w:rsidR="00E700F7" w:rsidRPr="003D1E07">
        <w:t>(</w:t>
      </w:r>
      <w:r w:rsidR="00E700F7" w:rsidRPr="003D1E07">
        <w:rPr>
          <w:i/>
        </w:rPr>
        <w:t>Cat</w:t>
      </w:r>
      <w:r w:rsidR="00E700F7" w:rsidRPr="003D1E07">
        <w:t>. 2b7–8</w:t>
      </w:r>
      <w:r w:rsidR="007720BE" w:rsidRPr="003D1E07">
        <w:rPr>
          <w:i/>
        </w:rPr>
        <w:fldChar w:fldCharType="begin"/>
      </w:r>
      <w:r w:rsidR="007720BE" w:rsidRPr="003D1E07">
        <w:instrText xml:space="preserve"> XE "</w:instrText>
      </w:r>
      <w:r w:rsidR="008E02F5" w:rsidRPr="003D1E07">
        <w:instrText>Aristoteles</w:instrText>
      </w:r>
      <w:r w:rsidR="007720BE" w:rsidRPr="003D1E07">
        <w:instrText>:</w:instrText>
      </w:r>
      <w:r w:rsidR="007720BE" w:rsidRPr="003D1E07">
        <w:rPr>
          <w:i/>
        </w:rPr>
        <w:instrText>Cat</w:instrText>
      </w:r>
      <w:r w:rsidR="007720BE" w:rsidRPr="003D1E07">
        <w:instrText xml:space="preserve">. 2b7–8" </w:instrText>
      </w:r>
      <w:r w:rsidR="007720BE" w:rsidRPr="003D1E07">
        <w:rPr>
          <w:i/>
        </w:rPr>
        <w:fldChar w:fldCharType="end"/>
      </w:r>
      <w:r w:rsidR="00E700F7" w:rsidRPr="003D1E07">
        <w:t xml:space="preserve">). </w:t>
      </w:r>
      <w:r w:rsidR="080779C9" w:rsidRPr="003D1E07">
        <w:t xml:space="preserve">Proto je pro CMDA otázka </w:t>
      </w:r>
      <w:r w:rsidR="007B49FC">
        <w:t>kategorální predikace poten</w:t>
      </w:r>
      <w:r w:rsidR="009F7CC5">
        <w:t>ciálně dané un</w:t>
      </w:r>
      <w:r w:rsidR="080779C9" w:rsidRPr="003D1E07">
        <w:t xml:space="preserve">iverzality intelektu </w:t>
      </w:r>
      <w:r w:rsidR="00920C0E">
        <w:t xml:space="preserve">buď </w:t>
      </w:r>
      <w:r w:rsidR="009F7CC5">
        <w:t xml:space="preserve">jako </w:t>
      </w:r>
      <w:r w:rsidR="005D4563">
        <w:t xml:space="preserve">kategoriální </w:t>
      </w:r>
      <w:r w:rsidR="009F7CC5">
        <w:t>species (</w:t>
      </w:r>
      <w:r w:rsidR="009F7CC5" w:rsidRPr="00920C0E">
        <w:rPr>
          <w:i/>
        </w:rPr>
        <w:t>tertium genus</w:t>
      </w:r>
      <w:r w:rsidR="009F7CC5">
        <w:t xml:space="preserve">) </w:t>
      </w:r>
      <w:r w:rsidR="00920C0E">
        <w:t xml:space="preserve">nebo jako </w:t>
      </w:r>
      <w:r w:rsidR="005D4563">
        <w:t xml:space="preserve">kategoriální </w:t>
      </w:r>
      <w:r w:rsidR="009F7CC5">
        <w:t>genus (</w:t>
      </w:r>
      <w:r w:rsidR="009F7CC5" w:rsidRPr="00920C0E">
        <w:rPr>
          <w:i/>
        </w:rPr>
        <w:t>quartum genus</w:t>
      </w:r>
      <w:r w:rsidR="009F7CC5">
        <w:t xml:space="preserve">) </w:t>
      </w:r>
      <w:r w:rsidR="005D4563">
        <w:t xml:space="preserve">naprosto </w:t>
      </w:r>
      <w:r w:rsidR="009F7CC5">
        <w:t xml:space="preserve">zásadní věc. </w:t>
      </w:r>
      <w:r w:rsidR="004E37AC">
        <w:t>Správná analýza pojmu „intelekt“ musí n</w:t>
      </w:r>
      <w:r w:rsidR="009F7CC5">
        <w:t xml:space="preserve">ejprve </w:t>
      </w:r>
      <w:r w:rsidR="080779C9" w:rsidRPr="003D1E07">
        <w:t>etablovat způsob, jak existenciálně p</w:t>
      </w:r>
      <w:r w:rsidR="08251AB8" w:rsidRPr="003D1E07">
        <w:t>oznáv</w:t>
      </w:r>
      <w:r w:rsidR="080779C9" w:rsidRPr="003D1E07">
        <w:t xml:space="preserve">á osoba jako první substance. </w:t>
      </w:r>
      <w:r w:rsidR="00E700F7" w:rsidRPr="003D1E07">
        <w:t xml:space="preserve">Z hlediska predikace </w:t>
      </w:r>
      <w:r w:rsidR="00E700F7" w:rsidRPr="003D1E07">
        <w:rPr>
          <w:i/>
        </w:rPr>
        <w:t xml:space="preserve">per prius </w:t>
      </w:r>
      <w:r w:rsidR="00E700F7" w:rsidRPr="003D1E07">
        <w:t xml:space="preserve">vztažené k univerzalitě je to přesně opačně. Rod je univerzálnější než </w:t>
      </w:r>
      <w:r w:rsidR="00F214C5" w:rsidRPr="003D1E07">
        <w:t>species</w:t>
      </w:r>
      <w:r w:rsidR="00E700F7" w:rsidRPr="003D1E07">
        <w:t xml:space="preserve">, </w:t>
      </w:r>
      <w:r w:rsidR="009F1E35" w:rsidRPr="003D1E07">
        <w:t xml:space="preserve">což potvrzuje navazující výrok </w:t>
      </w:r>
      <w:r w:rsidR="00E700F7" w:rsidRPr="003D1E07">
        <w:t>(</w:t>
      </w:r>
      <w:r w:rsidR="00E700F7" w:rsidRPr="003D1E07">
        <w:rPr>
          <w:i/>
        </w:rPr>
        <w:t>Cat</w:t>
      </w:r>
      <w:r w:rsidR="00E700F7" w:rsidRPr="003D1E07">
        <w:t>. 2a15–16</w:t>
      </w:r>
      <w:r w:rsidR="007720BE" w:rsidRPr="003D1E07">
        <w:rPr>
          <w:i/>
        </w:rPr>
        <w:fldChar w:fldCharType="begin"/>
      </w:r>
      <w:r w:rsidR="007720BE" w:rsidRPr="003D1E07">
        <w:instrText xml:space="preserve"> XE "</w:instrText>
      </w:r>
      <w:r w:rsidR="008E02F5" w:rsidRPr="003D1E07">
        <w:instrText>Aristoteles</w:instrText>
      </w:r>
      <w:r w:rsidR="007720BE" w:rsidRPr="003D1E07">
        <w:instrText>:</w:instrText>
      </w:r>
      <w:r w:rsidR="007720BE" w:rsidRPr="003D1E07">
        <w:rPr>
          <w:i/>
        </w:rPr>
        <w:instrText>Cat</w:instrText>
      </w:r>
      <w:r w:rsidR="007720BE" w:rsidRPr="003D1E07">
        <w:instrText xml:space="preserve">. 2a15–16" </w:instrText>
      </w:r>
      <w:r w:rsidR="007720BE" w:rsidRPr="003D1E07">
        <w:rPr>
          <w:i/>
        </w:rPr>
        <w:fldChar w:fldCharType="end"/>
      </w:r>
      <w:r w:rsidR="00E700F7" w:rsidRPr="003D1E07">
        <w:t xml:space="preserve">). </w:t>
      </w:r>
      <w:r w:rsidR="087246B4" w:rsidRPr="003D1E07">
        <w:t xml:space="preserve">Dvojí </w:t>
      </w:r>
      <w:r w:rsidR="00DF785B" w:rsidRPr="003D1E07">
        <w:t>dráhou náhledu (</w:t>
      </w:r>
      <w:r w:rsidR="00DF785B" w:rsidRPr="003D1E07">
        <w:rPr>
          <w:i/>
        </w:rPr>
        <w:t>Vor</w:t>
      </w:r>
      <w:r w:rsidR="00DF785B" w:rsidRPr="003D1E07">
        <w:rPr>
          <w:i/>
        </w:rPr>
        <w:noBreakHyphen/>
        <w:t>blickbahn</w:t>
      </w:r>
      <w:r w:rsidR="006B28CF" w:rsidRPr="003D1E07">
        <w:rPr>
          <w:i/>
        </w:rPr>
        <w:fldChar w:fldCharType="begin"/>
      </w:r>
      <w:r w:rsidR="006B28CF" w:rsidRPr="003D1E07">
        <w:instrText xml:space="preserve"> XE "</w:instrText>
      </w:r>
      <w:r w:rsidR="08106DC9" w:rsidRPr="003D1E07">
        <w:rPr>
          <w:i/>
        </w:rPr>
        <w:instrText>Vor-</w:instrText>
      </w:r>
      <w:r w:rsidR="006B28CF" w:rsidRPr="003D1E07">
        <w:rPr>
          <w:i/>
        </w:rPr>
        <w:instrText>b</w:instrText>
      </w:r>
      <w:r w:rsidR="006B28CF" w:rsidRPr="003D1E07">
        <w:rPr>
          <w:i/>
          <w:iCs/>
        </w:rPr>
        <w:instrText>lickbahn</w:instrText>
      </w:r>
      <w:r w:rsidR="007720BE" w:rsidRPr="003D1E07">
        <w:rPr>
          <w:iCs/>
        </w:rPr>
        <w:instrText>:</w:instrText>
      </w:r>
      <w:r w:rsidRPr="003D1E07">
        <w:rPr>
          <w:iCs/>
        </w:rPr>
        <w:instrText>Averroes</w:instrText>
      </w:r>
      <w:r w:rsidR="006B28CF" w:rsidRPr="003D1E07">
        <w:instrText xml:space="preserve">" </w:instrText>
      </w:r>
      <w:r w:rsidR="006B28CF" w:rsidRPr="003D1E07">
        <w:rPr>
          <w:i/>
        </w:rPr>
        <w:fldChar w:fldCharType="end"/>
      </w:r>
      <w:r w:rsidR="00DF785B" w:rsidRPr="003D1E07">
        <w:t xml:space="preserve">) je dáno i </w:t>
      </w:r>
      <w:r w:rsidR="087246B4" w:rsidRPr="003D1E07">
        <w:t xml:space="preserve">dvojí </w:t>
      </w:r>
      <w:r w:rsidR="00DF785B" w:rsidRPr="003D1E07">
        <w:t>pořadí predikace pro intelekt jako třetí</w:t>
      </w:r>
      <w:r w:rsidR="08A93A6F" w:rsidRPr="003D1E07">
        <w:t xml:space="preserve"> (existenciální)</w:t>
      </w:r>
      <w:r w:rsidR="00DF785B" w:rsidRPr="003D1E07">
        <w:t xml:space="preserve"> a čtvrtý </w:t>
      </w:r>
      <w:r w:rsidR="08A93A6F" w:rsidRPr="003D1E07">
        <w:t xml:space="preserve">(univerzální) </w:t>
      </w:r>
      <w:r w:rsidR="08E85BE4" w:rsidRPr="003D1E07">
        <w:t>rod.</w:t>
      </w:r>
    </w:p>
    <w:p w14:paraId="07367B17" w14:textId="32381E12" w:rsidR="004A7F08" w:rsidRPr="003D1E07" w:rsidRDefault="001B3E45" w:rsidP="08E85BE4">
      <w:pPr>
        <w:ind w:firstLine="397"/>
      </w:pPr>
      <w:r w:rsidRPr="003D1E07">
        <w:t>Avicennistická tradice výkladu CMDA pominula t</w:t>
      </w:r>
      <w:r w:rsidR="00E03EC6" w:rsidRPr="003D1E07">
        <w:t xml:space="preserve">oto geniální řešení jednoty </w:t>
      </w:r>
      <w:r w:rsidRPr="003D1E07">
        <w:t xml:space="preserve">intelektuálních forem v člověku, protože </w:t>
      </w:r>
      <w:r w:rsidR="00C91D44" w:rsidRPr="003D1E07">
        <w:t xml:space="preserve">tato škola držela </w:t>
      </w:r>
      <w:r w:rsidR="00874074" w:rsidRPr="003D1E07">
        <w:t>neoplatonsk</w:t>
      </w:r>
      <w:r w:rsidR="00E03EC6" w:rsidRPr="003D1E07">
        <w:t>ý výklad materiálního intelektu jako substance</w:t>
      </w:r>
      <w:r w:rsidR="00C44AFE" w:rsidRPr="003D1E07">
        <w:t xml:space="preserve">. Jenže tento výklad </w:t>
      </w:r>
      <w:r w:rsidR="084B0691" w:rsidRPr="003D1E07">
        <w:t xml:space="preserve">Komentátor </w:t>
      </w:r>
      <w:r w:rsidR="00E03EC6" w:rsidRPr="003D1E07">
        <w:t>zásadně odmítl</w:t>
      </w:r>
      <w:r w:rsidR="00C44AFE" w:rsidRPr="003D1E07">
        <w:t>, protože odporuje zaměření Aristotelovy metafyziky</w:t>
      </w:r>
      <w:r w:rsidR="00E03EC6" w:rsidRPr="003D1E07">
        <w:t xml:space="preserve">. </w:t>
      </w:r>
      <w:r w:rsidR="00EE602A" w:rsidRPr="003D1E07">
        <w:t xml:space="preserve">Temnota </w:t>
      </w:r>
      <w:r w:rsidR="00E03EC6" w:rsidRPr="003D1E07">
        <w:t xml:space="preserve">scholastického averroismu </w:t>
      </w:r>
      <w:r w:rsidR="00EE602A" w:rsidRPr="003D1E07">
        <w:t>se datuje od R</w:t>
      </w:r>
      <w:r w:rsidR="00E03EC6" w:rsidRPr="003D1E07">
        <w:t xml:space="preserve">ufuse z Cornwallu a </w:t>
      </w:r>
      <w:r w:rsidR="00EE602A" w:rsidRPr="003D1E07">
        <w:t xml:space="preserve">temnota </w:t>
      </w:r>
      <w:r w:rsidR="00E03EC6" w:rsidRPr="003D1E07">
        <w:t>postmoderního averroismu od Ernesta Renana</w:t>
      </w:r>
      <w:r w:rsidR="00EE602A" w:rsidRPr="003D1E07">
        <w:t>. Latinští sofisté vyměnili</w:t>
      </w:r>
      <w:r w:rsidR="00C45D01">
        <w:t xml:space="preserve"> metafyziku za logiku a tím pomi</w:t>
      </w:r>
      <w:r w:rsidR="00EE602A" w:rsidRPr="003D1E07">
        <w:t xml:space="preserve">nuli </w:t>
      </w:r>
      <w:r w:rsidR="00E03EC6" w:rsidRPr="003D1E07">
        <w:t>zásadní rozdíl mezi oběma generickými formami intelektu</w:t>
      </w:r>
      <w:r w:rsidR="00EE602A" w:rsidRPr="003D1E07">
        <w:t>. T</w:t>
      </w:r>
      <w:r w:rsidR="00E03EC6" w:rsidRPr="003D1E07">
        <w:t xml:space="preserve">ext </w:t>
      </w:r>
      <w:r w:rsidR="00EE602A" w:rsidRPr="003D1E07">
        <w:t xml:space="preserve">CMDA </w:t>
      </w:r>
      <w:r w:rsidR="00E03EC6" w:rsidRPr="003D1E07">
        <w:t>jasně rozlišuje a přesně definuje</w:t>
      </w:r>
      <w:r w:rsidR="00EE602A" w:rsidRPr="003D1E07">
        <w:t xml:space="preserve"> metafyzickou impozici a logickou supozici</w:t>
      </w:r>
      <w:r w:rsidR="00E03EC6" w:rsidRPr="003D1E07">
        <w:t xml:space="preserve">. </w:t>
      </w:r>
      <w:r w:rsidR="00E700F7" w:rsidRPr="003D1E07">
        <w:t xml:space="preserve">Třetí část CMDA postupuje podle klasické pasáže </w:t>
      </w:r>
      <w:r w:rsidR="00E700F7" w:rsidRPr="003D1E07">
        <w:rPr>
          <w:i/>
        </w:rPr>
        <w:t>Kategorií</w:t>
      </w:r>
      <w:r w:rsidR="00E700F7" w:rsidRPr="003D1E07">
        <w:t xml:space="preserve"> 2a11–16</w:t>
      </w:r>
      <w:r w:rsidR="007720BE" w:rsidRPr="003D1E07">
        <w:rPr>
          <w:i/>
        </w:rPr>
        <w:fldChar w:fldCharType="begin"/>
      </w:r>
      <w:r w:rsidR="007720BE" w:rsidRPr="003D1E07">
        <w:instrText xml:space="preserve"> XE "</w:instrText>
      </w:r>
      <w:r w:rsidR="008E02F5" w:rsidRPr="003D1E07">
        <w:instrText>Aristoteles</w:instrText>
      </w:r>
      <w:r w:rsidR="007720BE" w:rsidRPr="003D1E07">
        <w:instrText>:</w:instrText>
      </w:r>
      <w:r w:rsidR="007720BE" w:rsidRPr="003D1E07">
        <w:rPr>
          <w:i/>
        </w:rPr>
        <w:instrText>Cat</w:instrText>
      </w:r>
      <w:r w:rsidR="007720BE" w:rsidRPr="003D1E07">
        <w:instrText xml:space="preserve">. 2a11–16" </w:instrText>
      </w:r>
      <w:r w:rsidR="007720BE" w:rsidRPr="003D1E07">
        <w:rPr>
          <w:i/>
        </w:rPr>
        <w:fldChar w:fldCharType="end"/>
      </w:r>
      <w:r w:rsidR="00E700F7" w:rsidRPr="003D1E07">
        <w:t>, kterou komentoval Al-</w:t>
      </w:r>
      <w:r w:rsidR="008E02F5" w:rsidRPr="003D1E07">
        <w:t>Fárábí</w:t>
      </w:r>
      <w:r w:rsidR="00E700F7" w:rsidRPr="003D1E07">
        <w:t xml:space="preserve"> (kap. 2.1). </w:t>
      </w:r>
      <w:r w:rsidR="002E3B62" w:rsidRPr="003D1E07">
        <w:t>Averroes</w:t>
      </w:r>
      <w:r w:rsidR="004A7F08" w:rsidRPr="003D1E07">
        <w:t xml:space="preserve"> provádí základní rozlišení mezi oběma </w:t>
      </w:r>
      <w:r w:rsidR="007B6EA1" w:rsidRPr="003D1E07">
        <w:t xml:space="preserve">formami </w:t>
      </w:r>
      <w:r w:rsidR="004A7F08" w:rsidRPr="003D1E07">
        <w:t>jedn</w:t>
      </w:r>
      <w:r w:rsidR="00E842B7" w:rsidRPr="003D1E07">
        <w:t xml:space="preserve">oho a téhož intelektu. </w:t>
      </w:r>
      <w:r w:rsidR="00C300F6" w:rsidRPr="003D1E07">
        <w:t xml:space="preserve">Tato diference se vyskytuje v </w:t>
      </w:r>
      <w:r w:rsidR="00E842B7" w:rsidRPr="003D1E07">
        <w:t>nejdůležitější část</w:t>
      </w:r>
      <w:r w:rsidR="00C300F6" w:rsidRPr="003D1E07">
        <w:t xml:space="preserve">i komentáře </w:t>
      </w:r>
      <w:r w:rsidR="00B713C5" w:rsidRPr="003D1E07">
        <w:rPr>
          <w:i/>
        </w:rPr>
        <w:t>De anima</w:t>
      </w:r>
      <w:r w:rsidR="004A7F08" w:rsidRPr="003D1E07">
        <w:t xml:space="preserve"> popisující </w:t>
      </w:r>
      <w:r w:rsidR="08834ACA" w:rsidRPr="003D1E07">
        <w:t xml:space="preserve">výše uvedenou </w:t>
      </w:r>
      <w:r w:rsidR="08226D68" w:rsidRPr="003D1E07">
        <w:t xml:space="preserve">dvojí </w:t>
      </w:r>
      <w:r w:rsidR="00877E16" w:rsidRPr="003D1E07">
        <w:t xml:space="preserve">generickou </w:t>
      </w:r>
      <w:r w:rsidR="08226D68" w:rsidRPr="003D1E07">
        <w:t xml:space="preserve">složku poznání </w:t>
      </w:r>
      <w:r w:rsidR="083A5533" w:rsidRPr="003D1E07">
        <w:t>v duši</w:t>
      </w:r>
      <w:r w:rsidR="08834ACA" w:rsidRPr="003D1E07">
        <w:t xml:space="preserve">. </w:t>
      </w:r>
      <w:r w:rsidR="08302F3C" w:rsidRPr="003D1E07">
        <w:t xml:space="preserve">Averroes bere bývalý </w:t>
      </w:r>
      <w:r w:rsidR="08302F3C" w:rsidRPr="003D1E07">
        <w:rPr>
          <w:i/>
        </w:rPr>
        <w:lastRenderedPageBreak/>
        <w:t xml:space="preserve">intellectus materialis </w:t>
      </w:r>
      <w:r w:rsidR="08302F3C" w:rsidRPr="003D1E07">
        <w:t xml:space="preserve">Alexandra v jeho nové dvojí podobě, tedy jako </w:t>
      </w:r>
      <w:r w:rsidR="08C50C86" w:rsidRPr="003D1E07">
        <w:t xml:space="preserve">nemateriální </w:t>
      </w:r>
      <w:r w:rsidR="08302F3C" w:rsidRPr="003D1E07">
        <w:t xml:space="preserve">existenciální akt a univerzální pojem. </w:t>
      </w:r>
    </w:p>
    <w:p w14:paraId="501CCC4A" w14:textId="07DB4D43" w:rsidR="008B0815" w:rsidRPr="003D1E07" w:rsidRDefault="00D5340B" w:rsidP="008B0815">
      <w:pPr>
        <w:pStyle w:val="Citace"/>
        <w:rPr>
          <w:szCs w:val="16"/>
          <w:shd w:val="clear" w:color="auto" w:fill="FFFFFF"/>
          <w:lang w:val="cs-CZ"/>
        </w:rPr>
      </w:pPr>
      <w:r w:rsidRPr="003D1E07">
        <w:rPr>
          <w:rStyle w:val="Zkladntext1"/>
          <w:rFonts w:ascii="Calibri" w:eastAsia="Times" w:hAnsi="Calibri"/>
          <w:spacing w:val="0"/>
          <w:sz w:val="22"/>
          <w:u w:val="none"/>
          <w:lang w:val="cs-CZ"/>
        </w:rPr>
        <w:t>„</w:t>
      </w:r>
      <w:r w:rsidR="008B0815" w:rsidRPr="003D1E07">
        <w:rPr>
          <w:rStyle w:val="Zkladntext1"/>
          <w:rFonts w:ascii="Calibri" w:eastAsia="Times" w:hAnsi="Calibri"/>
          <w:spacing w:val="0"/>
          <w:sz w:val="22"/>
          <w:u w:val="none"/>
          <w:lang w:val="cs-CZ"/>
        </w:rPr>
        <w:t xml:space="preserve">Pak </w:t>
      </w:r>
      <w:r w:rsidR="083C778C" w:rsidRPr="003D1E07">
        <w:rPr>
          <w:rStyle w:val="Zkladntext1"/>
          <w:rFonts w:ascii="Calibri" w:eastAsia="Times" w:hAnsi="Calibri"/>
          <w:spacing w:val="0"/>
          <w:sz w:val="22"/>
          <w:u w:val="none"/>
          <w:lang w:val="cs-CZ"/>
        </w:rPr>
        <w:t xml:space="preserve">Aristoteles </w:t>
      </w:r>
      <w:r w:rsidR="008B0815" w:rsidRPr="003D1E07">
        <w:rPr>
          <w:rStyle w:val="Zkladntext1"/>
          <w:rFonts w:ascii="Calibri" w:eastAsia="Times" w:hAnsi="Calibri"/>
          <w:spacing w:val="0"/>
          <w:sz w:val="22"/>
          <w:u w:val="none"/>
          <w:lang w:val="cs-CZ"/>
        </w:rPr>
        <w:t xml:space="preserve">řekl: </w:t>
      </w:r>
      <w:r w:rsidR="008B0815" w:rsidRPr="003D1E07">
        <w:rPr>
          <w:rStyle w:val="Zkladntext1"/>
          <w:rFonts w:ascii="Calibri" w:eastAsia="Times" w:hAnsi="Calibri"/>
          <w:i/>
          <w:spacing w:val="0"/>
          <w:sz w:val="22"/>
          <w:u w:val="none"/>
          <w:lang w:val="cs-CZ"/>
        </w:rPr>
        <w:t>Proto je nutné, aby</w:t>
      </w:r>
      <w:r w:rsidR="008B0815" w:rsidRPr="003D1E07">
        <w:rPr>
          <w:rStyle w:val="Zkladntext1"/>
          <w:rFonts w:ascii="Calibri" w:eastAsia="Times" w:hAnsi="Calibri"/>
          <w:spacing w:val="0"/>
          <w:sz w:val="22"/>
          <w:u w:val="none"/>
          <w:lang w:val="cs-CZ"/>
        </w:rPr>
        <w:t xml:space="preserve"> atd. Tím myslel materiální intelekt a to je také jeho popis podaný předtím. Pak řekl: </w:t>
      </w:r>
      <w:r w:rsidR="008B0815" w:rsidRPr="003D1E07">
        <w:rPr>
          <w:rStyle w:val="Zkladntext1"/>
          <w:rFonts w:ascii="Calibri" w:eastAsia="Times" w:hAnsi="Calibri"/>
          <w:i/>
          <w:spacing w:val="0"/>
          <w:sz w:val="22"/>
          <w:u w:val="none"/>
          <w:lang w:val="cs-CZ"/>
        </w:rPr>
        <w:t xml:space="preserve">a... </w:t>
      </w:r>
      <w:r w:rsidR="000B0586" w:rsidRPr="003D1E07">
        <w:rPr>
          <w:rStyle w:val="Zkladntext1"/>
          <w:rFonts w:ascii="Calibri" w:eastAsia="Times" w:hAnsi="Calibri"/>
          <w:i/>
          <w:spacing w:val="0"/>
          <w:sz w:val="22"/>
          <w:u w:val="none"/>
          <w:lang w:val="cs-CZ"/>
        </w:rPr>
        <w:t xml:space="preserve">tento </w:t>
      </w:r>
      <w:r w:rsidR="008B0815" w:rsidRPr="003D1E07">
        <w:rPr>
          <w:rStyle w:val="Zkladntext1"/>
          <w:rFonts w:ascii="Calibri" w:eastAsia="Times" w:hAnsi="Calibri"/>
          <w:i/>
          <w:spacing w:val="0"/>
          <w:sz w:val="22"/>
          <w:u w:val="none"/>
          <w:lang w:val="cs-CZ"/>
        </w:rPr>
        <w:t>intelekt nakolik je schopen všemu rozumět</w:t>
      </w:r>
      <w:r w:rsidR="008B0815" w:rsidRPr="003D1E07">
        <w:rPr>
          <w:rStyle w:val="Zkladntext1"/>
          <w:rFonts w:ascii="Calibri" w:eastAsia="Times" w:hAnsi="Calibri"/>
          <w:spacing w:val="0"/>
          <w:sz w:val="22"/>
          <w:u w:val="none"/>
          <w:lang w:val="cs-CZ"/>
        </w:rPr>
        <w:t xml:space="preserve">  </w:t>
      </w:r>
      <w:r w:rsidR="083A5533" w:rsidRPr="003D1E07">
        <w:rPr>
          <w:rStyle w:val="ZkladntextTundkovn0pt"/>
          <w:rFonts w:ascii="Calibri" w:eastAsia="Times" w:hAnsi="Calibri" w:cs="Times New Roman"/>
          <w:b w:val="0"/>
          <w:bCs w:val="0"/>
          <w:spacing w:val="0"/>
          <w:sz w:val="22"/>
          <w:lang w:val="cs-CZ"/>
        </w:rPr>
        <w:t>[</w:t>
      </w:r>
      <w:r w:rsidR="083A5533" w:rsidRPr="003D1E07">
        <w:rPr>
          <w:lang w:val="cs-CZ"/>
        </w:rPr>
        <w:t xml:space="preserve">νοῦς τῷ πάντα γίνεσθαι, ὁ δὲ τῷ πάντα ποιεῖν, </w:t>
      </w:r>
      <w:r w:rsidR="00B713C5" w:rsidRPr="003D1E07">
        <w:rPr>
          <w:i/>
          <w:lang w:val="cs-CZ"/>
        </w:rPr>
        <w:t>De anima</w:t>
      </w:r>
      <w:r w:rsidR="083A5533" w:rsidRPr="003D1E07">
        <w:rPr>
          <w:lang w:val="cs-CZ"/>
        </w:rPr>
        <w:t xml:space="preserve"> 430a14–15</w:t>
      </w:r>
      <w:r w:rsidR="003A1E8C" w:rsidRPr="003D1E07">
        <w:rPr>
          <w:i/>
          <w:lang w:val="cs-CZ"/>
        </w:rPr>
        <w:fldChar w:fldCharType="begin"/>
      </w:r>
      <w:r w:rsidR="003A1E8C" w:rsidRPr="003D1E07">
        <w:rPr>
          <w:lang w:val="cs-CZ"/>
        </w:rPr>
        <w:instrText xml:space="preserve"> XE "</w:instrText>
      </w:r>
      <w:r w:rsidR="008E02F5" w:rsidRPr="003D1E07">
        <w:rPr>
          <w:lang w:val="cs-CZ"/>
        </w:rPr>
        <w:instrText>Aristoteles</w:instrText>
      </w:r>
      <w:r w:rsidR="003A1E8C" w:rsidRPr="003D1E07">
        <w:rPr>
          <w:lang w:val="cs-CZ"/>
        </w:rPr>
        <w:instrText>:</w:instrText>
      </w:r>
      <w:r w:rsidR="003A1E8C" w:rsidRPr="003D1E07">
        <w:rPr>
          <w:i/>
          <w:lang w:val="cs-CZ"/>
        </w:rPr>
        <w:instrText>De anima</w:instrText>
      </w:r>
      <w:r w:rsidR="003A1E8C" w:rsidRPr="003D1E07">
        <w:rPr>
          <w:lang w:val="cs-CZ"/>
        </w:rPr>
        <w:instrText xml:space="preserve"> 430a14–15" </w:instrText>
      </w:r>
      <w:r w:rsidR="003A1E8C" w:rsidRPr="003D1E07">
        <w:rPr>
          <w:i/>
          <w:lang w:val="cs-CZ"/>
        </w:rPr>
        <w:fldChar w:fldCharType="end"/>
      </w:r>
      <w:r w:rsidR="083A5533" w:rsidRPr="003D1E07">
        <w:rPr>
          <w:rStyle w:val="ZkladntextTundkovn0pt"/>
          <w:rFonts w:ascii="Calibri" w:eastAsia="Times" w:hAnsi="Calibri" w:cs="Times New Roman"/>
          <w:b w:val="0"/>
          <w:bCs w:val="0"/>
          <w:spacing w:val="0"/>
          <w:sz w:val="22"/>
          <w:lang w:val="cs-CZ"/>
        </w:rPr>
        <w:t xml:space="preserve">]. </w:t>
      </w:r>
      <w:r w:rsidR="000B0586" w:rsidRPr="003D1E07">
        <w:rPr>
          <w:rStyle w:val="ZkladntextTundkovn0pt"/>
          <w:rFonts w:ascii="Calibri" w:eastAsia="Times" w:hAnsi="Calibri" w:cs="Times New Roman"/>
          <w:b w:val="0"/>
          <w:bCs w:val="0"/>
          <w:spacing w:val="0"/>
          <w:sz w:val="22"/>
          <w:lang w:val="cs-CZ"/>
        </w:rPr>
        <w:t xml:space="preserve">Tím myslí intelekt, který </w:t>
      </w:r>
      <w:r w:rsidR="008B0815" w:rsidRPr="003D1E07">
        <w:rPr>
          <w:rStyle w:val="ZkladntextTundkovn0pt"/>
          <w:rFonts w:ascii="Calibri" w:eastAsia="Times" w:hAnsi="Calibri" w:cs="Times New Roman"/>
          <w:b w:val="0"/>
          <w:bCs w:val="0"/>
          <w:spacing w:val="0"/>
          <w:sz w:val="22"/>
          <w:lang w:val="cs-CZ"/>
        </w:rPr>
        <w:t xml:space="preserve">se stává intelektem </w:t>
      </w:r>
      <w:r w:rsidR="00AE5395">
        <w:rPr>
          <w:rStyle w:val="ZkladntextTundkovn0pt"/>
          <w:rFonts w:ascii="Calibri" w:eastAsia="Times" w:hAnsi="Calibri" w:cs="Times New Roman"/>
          <w:b w:val="0"/>
          <w:bCs w:val="0"/>
          <w:spacing w:val="0"/>
          <w:sz w:val="22"/>
          <w:lang w:val="cs-CZ"/>
        </w:rPr>
        <w:t xml:space="preserve">skrze akt </w:t>
      </w:r>
      <w:r w:rsidR="000B0586" w:rsidRPr="003D1E07">
        <w:rPr>
          <w:rStyle w:val="ZkladntextTundkovn0pt"/>
          <w:rFonts w:ascii="Calibri" w:eastAsia="Times" w:hAnsi="Calibri" w:cs="Times New Roman"/>
          <w:b w:val="0"/>
          <w:bCs w:val="0"/>
          <w:spacing w:val="0"/>
          <w:sz w:val="22"/>
          <w:lang w:val="cs-CZ"/>
        </w:rPr>
        <w:t>(</w:t>
      </w:r>
      <w:r w:rsidR="000B0586" w:rsidRPr="003D1E07">
        <w:rPr>
          <w:i/>
          <w:szCs w:val="30"/>
          <w:lang w:val="cs-CZ"/>
        </w:rPr>
        <w:t>illud quod fit</w:t>
      </w:r>
      <w:r w:rsidR="000B0586" w:rsidRPr="003D1E07">
        <w:rPr>
          <w:rStyle w:val="ZkladntextTundkovn0pt"/>
          <w:rFonts w:ascii="Calibri" w:eastAsia="Times" w:hAnsi="Calibri" w:cs="Times New Roman"/>
          <w:b w:val="0"/>
          <w:bCs w:val="0"/>
          <w:spacing w:val="0"/>
          <w:sz w:val="22"/>
          <w:lang w:val="cs-CZ"/>
        </w:rPr>
        <w:t xml:space="preserve">) </w:t>
      </w:r>
      <w:r w:rsidR="008B0815" w:rsidRPr="003D1E07">
        <w:rPr>
          <w:rStyle w:val="ZkladntextTundkovn0pt"/>
          <w:rFonts w:ascii="Calibri" w:eastAsia="Times" w:hAnsi="Calibri" w:cs="Times New Roman"/>
          <w:b w:val="0"/>
          <w:bCs w:val="0"/>
          <w:spacing w:val="0"/>
          <w:sz w:val="22"/>
          <w:lang w:val="cs-CZ"/>
        </w:rPr>
        <w:t xml:space="preserve">a </w:t>
      </w:r>
      <w:r w:rsidR="006D572D">
        <w:rPr>
          <w:rStyle w:val="ZkladntextTundkovn0pt"/>
          <w:rFonts w:ascii="Calibri" w:eastAsia="Times" w:hAnsi="Calibri" w:cs="Times New Roman"/>
          <w:b w:val="0"/>
          <w:bCs w:val="0"/>
          <w:spacing w:val="0"/>
          <w:sz w:val="22"/>
          <w:lang w:val="cs-CZ"/>
        </w:rPr>
        <w:t xml:space="preserve">tím </w:t>
      </w:r>
      <w:r w:rsidR="008B0815" w:rsidRPr="003D1E07">
        <w:rPr>
          <w:rStyle w:val="ZkladntextTundkovn0pt"/>
          <w:rFonts w:ascii="Calibri" w:eastAsia="Times" w:hAnsi="Calibri" w:cs="Times New Roman"/>
          <w:b w:val="0"/>
          <w:bCs w:val="0"/>
          <w:spacing w:val="0"/>
          <w:sz w:val="22"/>
          <w:lang w:val="cs-CZ"/>
        </w:rPr>
        <w:t>dostává svůj habitus (</w:t>
      </w:r>
      <w:r w:rsidR="008B0815" w:rsidRPr="003D1E07">
        <w:rPr>
          <w:i/>
          <w:szCs w:val="30"/>
          <w:lang w:val="cs-CZ"/>
        </w:rPr>
        <w:t>quod est in habitu</w:t>
      </w:r>
      <w:r w:rsidR="008B0815" w:rsidRPr="003D1E07">
        <w:rPr>
          <w:rStyle w:val="ZkladntextTundkovn0pt"/>
          <w:rFonts w:ascii="Calibri" w:eastAsia="Times" w:hAnsi="Calibri" w:cs="Times New Roman"/>
          <w:b w:val="0"/>
          <w:bCs w:val="0"/>
          <w:spacing w:val="0"/>
          <w:sz w:val="22"/>
          <w:lang w:val="cs-CZ"/>
        </w:rPr>
        <w:t>)</w:t>
      </w:r>
      <w:r w:rsidR="000B0586" w:rsidRPr="003D1E07">
        <w:rPr>
          <w:rStyle w:val="ZkladntextTundkovn0pt"/>
          <w:rFonts w:ascii="Calibri" w:eastAsia="Times" w:hAnsi="Calibri" w:cs="Times New Roman"/>
          <w:b w:val="0"/>
          <w:bCs w:val="0"/>
          <w:spacing w:val="0"/>
          <w:sz w:val="22"/>
          <w:lang w:val="cs-CZ"/>
        </w:rPr>
        <w:t>. A zájmeno „tento“ (</w:t>
      </w:r>
      <w:r w:rsidR="000B0586" w:rsidRPr="003D1E07">
        <w:rPr>
          <w:rStyle w:val="ZkladntextTundkovn0pt"/>
          <w:rFonts w:ascii="Calibri" w:eastAsia="Times" w:hAnsi="Calibri" w:cs="Times New Roman"/>
          <w:b w:val="0"/>
          <w:bCs w:val="0"/>
          <w:i/>
          <w:spacing w:val="0"/>
          <w:sz w:val="22"/>
          <w:lang w:val="cs-CZ"/>
        </w:rPr>
        <w:t>ipsum</w:t>
      </w:r>
      <w:r w:rsidR="000B0586" w:rsidRPr="003D1E07">
        <w:rPr>
          <w:rStyle w:val="ZkladntextTundkovn0pt"/>
          <w:rFonts w:ascii="Calibri" w:eastAsia="Times" w:hAnsi="Calibri" w:cs="Times New Roman"/>
          <w:b w:val="0"/>
          <w:bCs w:val="0"/>
          <w:spacing w:val="0"/>
          <w:sz w:val="22"/>
          <w:lang w:val="cs-CZ"/>
        </w:rPr>
        <w:t xml:space="preserve">) se může vztahovat jak k výše uvedenému </w:t>
      </w:r>
      <w:r w:rsidR="00BB395F" w:rsidRPr="003D1E07">
        <w:rPr>
          <w:rStyle w:val="ZkladntextTundkovn0pt"/>
          <w:rFonts w:ascii="Calibri" w:eastAsia="Times" w:hAnsi="Calibri" w:cs="Times New Roman"/>
          <w:b w:val="0"/>
          <w:bCs w:val="0"/>
          <w:spacing w:val="0"/>
          <w:sz w:val="22"/>
          <w:lang w:val="cs-CZ"/>
        </w:rPr>
        <w:t xml:space="preserve">konceptu </w:t>
      </w:r>
      <w:r w:rsidR="000B0586" w:rsidRPr="003D1E07">
        <w:rPr>
          <w:rStyle w:val="ZkladntextTundkovn0pt"/>
          <w:rFonts w:ascii="Calibri" w:eastAsia="Times" w:hAnsi="Calibri" w:cs="Times New Roman"/>
          <w:b w:val="0"/>
          <w:bCs w:val="0"/>
          <w:spacing w:val="0"/>
          <w:sz w:val="22"/>
          <w:lang w:val="cs-CZ"/>
        </w:rPr>
        <w:t>materiálnímu intelektu (</w:t>
      </w:r>
      <w:r w:rsidR="000B0586" w:rsidRPr="003D1E07">
        <w:rPr>
          <w:i/>
          <w:lang w:val="cs-CZ"/>
        </w:rPr>
        <w:t>hoc pronomen 'ipsum' potest referri ad intellectum materialem</w:t>
      </w:r>
      <w:r w:rsidR="000B0586" w:rsidRPr="003D1E07">
        <w:rPr>
          <w:rStyle w:val="ZkladntextTundkovn0pt"/>
          <w:rFonts w:ascii="Calibri" w:eastAsia="Times" w:hAnsi="Calibri" w:cs="Times New Roman"/>
          <w:b w:val="0"/>
          <w:bCs w:val="0"/>
          <w:spacing w:val="0"/>
          <w:sz w:val="22"/>
          <w:lang w:val="cs-CZ"/>
        </w:rPr>
        <w:t>), tak k</w:t>
      </w:r>
      <w:r w:rsidR="080E0D41" w:rsidRPr="003D1E07">
        <w:rPr>
          <w:rStyle w:val="ZkladntextTundkovn0pt"/>
          <w:rFonts w:ascii="Calibri" w:eastAsia="Times" w:hAnsi="Calibri" w:cs="Times New Roman"/>
          <w:b w:val="0"/>
          <w:bCs w:val="0"/>
          <w:spacing w:val="0"/>
          <w:sz w:val="22"/>
          <w:lang w:val="cs-CZ"/>
        </w:rPr>
        <w:t xml:space="preserve"> osobě, která</w:t>
      </w:r>
      <w:r w:rsidR="000B0586" w:rsidRPr="003D1E07">
        <w:rPr>
          <w:rStyle w:val="ZkladntextTundkovn0pt"/>
          <w:rFonts w:ascii="Calibri" w:eastAsia="Times" w:hAnsi="Calibri" w:cs="Times New Roman"/>
          <w:b w:val="0"/>
          <w:bCs w:val="0"/>
          <w:spacing w:val="0"/>
          <w:sz w:val="22"/>
          <w:lang w:val="cs-CZ"/>
        </w:rPr>
        <w:t xml:space="preserve"> rozumí (</w:t>
      </w:r>
      <w:r w:rsidR="000B0586" w:rsidRPr="003D1E07">
        <w:rPr>
          <w:rStyle w:val="Zkladntext158dkovn0pt"/>
          <w:i/>
          <w:spacing w:val="0"/>
          <w:sz w:val="22"/>
          <w:lang w:val="cs-CZ"/>
        </w:rPr>
        <w:t>ad hominem intelligentem</w:t>
      </w:r>
      <w:r w:rsidR="000B0586" w:rsidRPr="003D1E07">
        <w:rPr>
          <w:rStyle w:val="ZkladntextTundkovn0pt"/>
          <w:rFonts w:ascii="Calibri" w:eastAsia="Times" w:hAnsi="Calibri" w:cs="Times New Roman"/>
          <w:b w:val="0"/>
          <w:bCs w:val="0"/>
          <w:spacing w:val="0"/>
          <w:sz w:val="22"/>
          <w:lang w:val="cs-CZ"/>
        </w:rPr>
        <w:t>).“ </w:t>
      </w:r>
      <w:r w:rsidR="008B0815" w:rsidRPr="003D1E07">
        <w:rPr>
          <w:rStyle w:val="Znakapoznpodarou"/>
          <w:lang w:val="cs-CZ"/>
        </w:rPr>
        <w:footnoteReference w:id="258"/>
      </w:r>
    </w:p>
    <w:p w14:paraId="03474133" w14:textId="77777777" w:rsidR="00BA7EF7" w:rsidRDefault="00446513" w:rsidP="004A7F08">
      <w:r w:rsidRPr="003D1E07">
        <w:t xml:space="preserve">Dvojí ipseita má v exegezi </w:t>
      </w:r>
      <w:r w:rsidRPr="00E61E88">
        <w:rPr>
          <w:i/>
        </w:rPr>
        <w:t>De anima</w:t>
      </w:r>
      <w:r w:rsidRPr="003D1E07">
        <w:t xml:space="preserve"> </w:t>
      </w:r>
      <w:r w:rsidR="00E61E88">
        <w:t xml:space="preserve">zásadní </w:t>
      </w:r>
      <w:r w:rsidRPr="003D1E07">
        <w:t>význam. Vychází z kauzálně pojatého metafyzického dativu</w:t>
      </w:r>
      <w:r w:rsidR="00AA3B99">
        <w:t xml:space="preserve"> </w:t>
      </w:r>
      <w:r w:rsidR="00AA3B99" w:rsidRPr="003D1E07">
        <w:t>(</w:t>
      </w:r>
      <w:r w:rsidR="00AA3B99" w:rsidRPr="003D1E07">
        <w:rPr>
          <w:i/>
        </w:rPr>
        <w:t>hoc pronomen 'ipsum'</w:t>
      </w:r>
      <w:r w:rsidR="00AA3B99" w:rsidRPr="003D1E07">
        <w:t>)</w:t>
      </w:r>
      <w:r w:rsidRPr="003D1E07">
        <w:t xml:space="preserve">, který </w:t>
      </w:r>
      <w:r w:rsidR="00AB7872">
        <w:t xml:space="preserve">určuje </w:t>
      </w:r>
      <w:r w:rsidR="00A52099">
        <w:t xml:space="preserve">plnou univoční </w:t>
      </w:r>
      <w:r w:rsidR="00AB7872">
        <w:t xml:space="preserve">predikaci </w:t>
      </w:r>
      <w:r w:rsidRPr="003D1E07">
        <w:t>materiální</w:t>
      </w:r>
      <w:r w:rsidR="00AB7872">
        <w:t>ho</w:t>
      </w:r>
      <w:r w:rsidRPr="003D1E07">
        <w:t xml:space="preserve"> intelekt</w:t>
      </w:r>
      <w:r w:rsidR="00AB7872">
        <w:t>u</w:t>
      </w:r>
      <w:r w:rsidRPr="003D1E07">
        <w:t xml:space="preserve">. Dvojitá ipseita je predikována jako </w:t>
      </w:r>
      <w:r w:rsidRPr="003D1E07">
        <w:rPr>
          <w:i/>
        </w:rPr>
        <w:t>suppositio</w:t>
      </w:r>
      <w:r w:rsidRPr="003D1E07">
        <w:t xml:space="preserve"> vzhledem k obecně pojatému materiálnímu intelektu (</w:t>
      </w:r>
      <w:r w:rsidRPr="003D1E07">
        <w:rPr>
          <w:i/>
        </w:rPr>
        <w:t>ad intellectum materialem</w:t>
      </w:r>
      <w:r w:rsidRPr="003D1E07">
        <w:t xml:space="preserve">) a jako </w:t>
      </w:r>
      <w:r w:rsidRPr="003D1E07">
        <w:rPr>
          <w:i/>
        </w:rPr>
        <w:t>impositio</w:t>
      </w:r>
      <w:r w:rsidRPr="003D1E07">
        <w:t xml:space="preserve"> vzhledem ke konkrétní existenci osoby, která vykonává akt rozumění (</w:t>
      </w:r>
      <w:r w:rsidRPr="003D1E07">
        <w:rPr>
          <w:i/>
        </w:rPr>
        <w:t>ad hominem intelligentem</w:t>
      </w:r>
      <w:r w:rsidRPr="003D1E07">
        <w:t>). V obou případech (</w:t>
      </w:r>
      <w:r w:rsidR="00277162">
        <w:t xml:space="preserve">potenciální </w:t>
      </w:r>
      <w:r w:rsidRPr="003D1E07">
        <w:t xml:space="preserve">univerzální pojem, </w:t>
      </w:r>
      <w:r w:rsidR="00277162">
        <w:t xml:space="preserve">aktuální </w:t>
      </w:r>
      <w:r w:rsidRPr="003D1E07">
        <w:t xml:space="preserve">lidská schopnost) je ipseita dána tím, že </w:t>
      </w:r>
      <w:r w:rsidRPr="003D1E07">
        <w:rPr>
          <w:i/>
        </w:rPr>
        <w:t>intellectus materialis</w:t>
      </w:r>
      <w:r w:rsidRPr="003D1E07">
        <w:t xml:space="preserve"> je čistá potencialita. </w:t>
      </w:r>
      <w:r w:rsidR="007E066E" w:rsidRPr="003D1E07">
        <w:t xml:space="preserve">Tato dvojí povaha </w:t>
      </w:r>
      <w:r w:rsidR="007E066E" w:rsidRPr="003D1E07">
        <w:rPr>
          <w:i/>
        </w:rPr>
        <w:t>anima intellectiva</w:t>
      </w:r>
      <w:r w:rsidR="007E066E" w:rsidRPr="003D1E07">
        <w:t xml:space="preserve"> definuje </w:t>
      </w:r>
      <w:r w:rsidR="08813ECF" w:rsidRPr="003D1E07">
        <w:t>osob</w:t>
      </w:r>
      <w:r w:rsidR="007E066E" w:rsidRPr="003D1E07">
        <w:t>u</w:t>
      </w:r>
      <w:r w:rsidR="08813ECF" w:rsidRPr="003D1E07">
        <w:t xml:space="preserve"> v modu </w:t>
      </w:r>
      <w:r w:rsidR="007E066E" w:rsidRPr="003D1E07">
        <w:t xml:space="preserve">metafyzické pravdy jako </w:t>
      </w:r>
      <w:r w:rsidR="007E066E" w:rsidRPr="003D1E07">
        <w:rPr>
          <w:i/>
        </w:rPr>
        <w:t>proportio</w:t>
      </w:r>
      <w:r w:rsidR="007E066E" w:rsidRPr="003D1E07">
        <w:rPr>
          <w:i/>
        </w:rPr>
        <w:fldChar w:fldCharType="begin"/>
      </w:r>
      <w:r w:rsidR="007E066E" w:rsidRPr="003D1E07">
        <w:instrText xml:space="preserve"> XE "</w:instrText>
      </w:r>
      <w:r w:rsidR="007E066E" w:rsidRPr="003D1E07">
        <w:rPr>
          <w:i/>
        </w:rPr>
        <w:instrText>proportio</w:instrText>
      </w:r>
      <w:r w:rsidR="007E066E" w:rsidRPr="003D1E07">
        <w:instrText xml:space="preserve">" </w:instrText>
      </w:r>
      <w:r w:rsidR="007E066E" w:rsidRPr="003D1E07">
        <w:rPr>
          <w:i/>
        </w:rPr>
        <w:fldChar w:fldCharType="end"/>
      </w:r>
      <w:r w:rsidR="007E066E" w:rsidRPr="003D1E07">
        <w:t xml:space="preserve"> podle </w:t>
      </w:r>
      <w:r w:rsidR="00001034" w:rsidRPr="003D1E07">
        <w:t xml:space="preserve">nejdůležitějšího místa v </w:t>
      </w:r>
      <w:r w:rsidR="08813ECF" w:rsidRPr="003D1E07">
        <w:rPr>
          <w:i/>
        </w:rPr>
        <w:t>De anima</w:t>
      </w:r>
      <w:r w:rsidR="00001034" w:rsidRPr="003D1E07">
        <w:rPr>
          <w:i/>
        </w:rPr>
        <w:t xml:space="preserve"> </w:t>
      </w:r>
      <w:r w:rsidR="00001034" w:rsidRPr="003D1E07">
        <w:t>430a14–15</w:t>
      </w:r>
      <w:r w:rsidR="08813ECF" w:rsidRPr="003D1E07">
        <w:t xml:space="preserve">. </w:t>
      </w:r>
      <w:r w:rsidR="00963656" w:rsidRPr="003D1E07">
        <w:t xml:space="preserve">Jednota osoby jako </w:t>
      </w:r>
      <w:r w:rsidR="085C1DAF" w:rsidRPr="003D1E07">
        <w:t xml:space="preserve">hyparchické </w:t>
      </w:r>
      <w:r w:rsidR="00963656" w:rsidRPr="003D1E07">
        <w:t>první substance</w:t>
      </w:r>
      <w:r w:rsidR="00A70FA4" w:rsidRPr="003D1E07">
        <w:fldChar w:fldCharType="begin"/>
      </w:r>
      <w:r w:rsidR="00A70FA4" w:rsidRPr="003D1E07">
        <w:instrText xml:space="preserve"> XE "substance</w:instrText>
      </w:r>
      <w:r w:rsidR="003A1E8C" w:rsidRPr="003D1E07">
        <w:instrText>:jednota osoby</w:instrText>
      </w:r>
      <w:r w:rsidR="00A70FA4" w:rsidRPr="003D1E07">
        <w:instrText xml:space="preserve">" </w:instrText>
      </w:r>
      <w:r w:rsidR="00A70FA4" w:rsidRPr="003D1E07">
        <w:fldChar w:fldCharType="end"/>
      </w:r>
      <w:r w:rsidR="00963656" w:rsidRPr="003D1E07">
        <w:t xml:space="preserve"> zakládá </w:t>
      </w:r>
      <w:r w:rsidR="085C1DAF" w:rsidRPr="003D1E07">
        <w:t xml:space="preserve">vědeckou </w:t>
      </w:r>
      <w:r w:rsidR="00CF338A" w:rsidRPr="003D1E07">
        <w:t xml:space="preserve">deduktivní definici </w:t>
      </w:r>
      <w:r w:rsidR="003B53F8" w:rsidRPr="003D1E07">
        <w:t xml:space="preserve">člověka </w:t>
      </w:r>
      <w:r w:rsidR="00B91655" w:rsidRPr="003D1E07">
        <w:t xml:space="preserve">podle </w:t>
      </w:r>
      <w:r w:rsidR="00CF338A" w:rsidRPr="003D1E07">
        <w:t>Aristotelova Korpusu</w:t>
      </w:r>
      <w:r w:rsidR="085C1DAF" w:rsidRPr="003D1E07">
        <w:t>. Pokud tuto predikaci provedem</w:t>
      </w:r>
      <w:r w:rsidR="081D7F92" w:rsidRPr="003D1E07">
        <w:t>e</w:t>
      </w:r>
      <w:r w:rsidR="085C1DAF" w:rsidRPr="003D1E07">
        <w:t xml:space="preserve">, pak v modu </w:t>
      </w:r>
      <w:r w:rsidR="08E22F7A" w:rsidRPr="003D1E07">
        <w:t xml:space="preserve">metafyzického </w:t>
      </w:r>
      <w:r w:rsidR="085C1DAF" w:rsidRPr="003D1E07">
        <w:t xml:space="preserve">dativu </w:t>
      </w:r>
      <w:r w:rsidR="085C1DAF" w:rsidRPr="003D1E07">
        <w:rPr>
          <w:i/>
        </w:rPr>
        <w:t>Metafyziky</w:t>
      </w:r>
      <w:r w:rsidR="085C1DAF" w:rsidRPr="003D1E07">
        <w:t xml:space="preserve"> Z (τό τί ἦν εἶναι</w:t>
      </w:r>
      <w:r w:rsidR="085C1DAF" w:rsidRPr="003D1E07">
        <w:fldChar w:fldCharType="begin"/>
      </w:r>
      <w:r w:rsidR="085C1DAF" w:rsidRPr="003D1E07">
        <w:instrText xml:space="preserve"> XE "</w:instrText>
      </w:r>
      <w:r w:rsidR="08AD2D2B" w:rsidRPr="003D1E07">
        <w:instrText>substance:</w:instrText>
      </w:r>
      <w:r w:rsidR="085C1DAF" w:rsidRPr="003D1E07">
        <w:instrText xml:space="preserve">τό τί ἦν εἶναι" </w:instrText>
      </w:r>
      <w:r w:rsidR="085C1DAF" w:rsidRPr="003D1E07">
        <w:fldChar w:fldCharType="end"/>
      </w:r>
      <w:r w:rsidR="085C1DAF" w:rsidRPr="003D1E07">
        <w:t>) platí, že reálná existence osoby dostane minulostní ráz, protože jedinečnou existenci nelze pojmout v řádu jazyka.</w:t>
      </w:r>
      <w:r w:rsidR="08480AFD" w:rsidRPr="003D1E07">
        <w:t xml:space="preserve"> </w:t>
      </w:r>
      <w:r w:rsidR="08480AFD" w:rsidRPr="003D1E07">
        <w:rPr>
          <w:szCs w:val="24"/>
        </w:rPr>
        <w:t xml:space="preserve">Ale kategoriální predikace může minulostní </w:t>
      </w:r>
      <w:r w:rsidR="001F72CB">
        <w:rPr>
          <w:szCs w:val="24"/>
        </w:rPr>
        <w:t xml:space="preserve">ráz první substance vypovídat podle impozice určené vzhledem ke </w:t>
      </w:r>
      <w:r w:rsidR="08480AFD" w:rsidRPr="003D1E07">
        <w:rPr>
          <w:i/>
          <w:szCs w:val="24"/>
        </w:rPr>
        <w:t>quidditas</w:t>
      </w:r>
      <w:r w:rsidR="08480AFD" w:rsidRPr="003D1E07">
        <w:rPr>
          <w:i/>
          <w:szCs w:val="24"/>
        </w:rPr>
        <w:fldChar w:fldCharType="begin"/>
      </w:r>
      <w:r w:rsidR="08480AFD" w:rsidRPr="003D1E07">
        <w:instrText xml:space="preserve"> XE "</w:instrText>
      </w:r>
      <w:r w:rsidR="08480AFD" w:rsidRPr="003D1E07">
        <w:rPr>
          <w:i/>
          <w:szCs w:val="24"/>
        </w:rPr>
        <w:instrText>quidditas</w:instrText>
      </w:r>
      <w:r w:rsidR="08480AFD" w:rsidRPr="003D1E07">
        <w:instrText xml:space="preserve">" </w:instrText>
      </w:r>
      <w:r w:rsidR="08480AFD" w:rsidRPr="003D1E07">
        <w:rPr>
          <w:i/>
          <w:szCs w:val="24"/>
        </w:rPr>
        <w:fldChar w:fldCharType="end"/>
      </w:r>
      <w:r w:rsidR="004C34B1">
        <w:rPr>
          <w:szCs w:val="24"/>
        </w:rPr>
        <w:t xml:space="preserve"> první substance. </w:t>
      </w:r>
      <w:r w:rsidR="08480AFD" w:rsidRPr="003D1E07">
        <w:rPr>
          <w:szCs w:val="24"/>
        </w:rPr>
        <w:t xml:space="preserve">Pak apofantická výpověď platí v metafyzickém modu abstrakce vztažené skrze impozici k ipseitě první substance </w:t>
      </w:r>
      <w:r w:rsidR="0092389F" w:rsidRPr="003D1E07">
        <w:rPr>
          <w:szCs w:val="24"/>
        </w:rPr>
        <w:t>(</w:t>
      </w:r>
      <w:r w:rsidR="08480AFD" w:rsidRPr="003D1E07">
        <w:rPr>
          <w:i/>
          <w:szCs w:val="24"/>
        </w:rPr>
        <w:t>quo est</w:t>
      </w:r>
      <w:r w:rsidR="08480AFD" w:rsidRPr="003D1E07">
        <w:rPr>
          <w:szCs w:val="24"/>
        </w:rPr>
        <w:t xml:space="preserve">). </w:t>
      </w:r>
      <w:r w:rsidR="00FC71F8" w:rsidRPr="003D1E07">
        <w:t xml:space="preserve">Siger z Brabantu </w:t>
      </w:r>
      <w:r w:rsidR="0088642A" w:rsidRPr="003D1E07">
        <w:t>byl jediný myslitel latinského Západu, který tu</w:t>
      </w:r>
      <w:r w:rsidR="00FC71F8" w:rsidRPr="003D1E07">
        <w:t xml:space="preserve">to </w:t>
      </w:r>
      <w:r w:rsidR="085C1DAF" w:rsidRPr="003D1E07">
        <w:t xml:space="preserve">klíčovou část CMDA plně pochopil a bránil </w:t>
      </w:r>
      <w:r w:rsidR="084A34AC" w:rsidRPr="003D1E07">
        <w:t>v původním smyslu (</w:t>
      </w:r>
      <w:r w:rsidR="08B34136" w:rsidRPr="003D1E07">
        <w:rPr>
          <w:i/>
        </w:rPr>
        <w:t>ipse homo intelligit</w:t>
      </w:r>
      <w:r w:rsidR="08B34136" w:rsidRPr="003D1E07">
        <w:rPr>
          <w:i/>
          <w:lang w:eastAsia="en-US"/>
        </w:rPr>
        <w:fldChar w:fldCharType="begin"/>
      </w:r>
      <w:r w:rsidR="08B34136" w:rsidRPr="003D1E07">
        <w:instrText xml:space="preserve"> XE "</w:instrText>
      </w:r>
      <w:r w:rsidR="08B34136" w:rsidRPr="003D1E07">
        <w:rPr>
          <w:rStyle w:val="Zkladntext350"/>
        </w:rPr>
        <w:instrText>osoba</w:instrText>
      </w:r>
      <w:r w:rsidR="08B34136" w:rsidRPr="003D1E07">
        <w:rPr>
          <w:rStyle w:val="Zkladntext350"/>
          <w:i/>
        </w:rPr>
        <w:instrText>:homo ipse intelligit</w:instrText>
      </w:r>
      <w:r w:rsidR="08B34136" w:rsidRPr="003D1E07">
        <w:instrText xml:space="preserve">" </w:instrText>
      </w:r>
      <w:r w:rsidR="08B34136" w:rsidRPr="003D1E07">
        <w:rPr>
          <w:i/>
          <w:lang w:eastAsia="en-US"/>
        </w:rPr>
        <w:fldChar w:fldCharType="end"/>
      </w:r>
      <w:r w:rsidR="08ED12B2" w:rsidRPr="003D1E07">
        <w:rPr>
          <w:i/>
          <w:lang w:eastAsia="en-US"/>
        </w:rPr>
        <w:t xml:space="preserve">; </w:t>
      </w:r>
      <w:r w:rsidR="08ED12B2" w:rsidRPr="003D1E07">
        <w:rPr>
          <w:lang w:eastAsia="en-US"/>
        </w:rPr>
        <w:t>OBJ III, kap. 4</w:t>
      </w:r>
      <w:r w:rsidR="08D20859" w:rsidRPr="003D1E07">
        <w:rPr>
          <w:lang w:eastAsia="en-US"/>
        </w:rPr>
        <w:t>.4.2</w:t>
      </w:r>
      <w:r w:rsidR="08B34136" w:rsidRPr="003D1E07">
        <w:rPr>
          <w:lang w:eastAsia="en-US"/>
        </w:rPr>
        <w:t>)</w:t>
      </w:r>
      <w:r w:rsidR="00B91655" w:rsidRPr="003D1E07">
        <w:t xml:space="preserve">. </w:t>
      </w:r>
      <w:r w:rsidR="08C27494" w:rsidRPr="003D1E07">
        <w:t xml:space="preserve">Akademicky schopné Fúrie zajistily skrze moderní </w:t>
      </w:r>
      <w:r w:rsidR="08C27494" w:rsidRPr="003D1E07">
        <w:rPr>
          <w:i/>
        </w:rPr>
        <w:t>hýbris</w:t>
      </w:r>
      <w:r w:rsidR="08C27494" w:rsidRPr="003D1E07">
        <w:t xml:space="preserve"> a neznalost </w:t>
      </w:r>
      <w:r w:rsidR="00F41C9D" w:rsidRPr="003D1E07">
        <w:t>Aristotelovy m</w:t>
      </w:r>
      <w:r w:rsidR="08C27494" w:rsidRPr="003D1E07">
        <w:t xml:space="preserve">etafyziky, že osoba zmizela </w:t>
      </w:r>
      <w:r w:rsidR="00F41C9D" w:rsidRPr="003D1E07">
        <w:t xml:space="preserve">z moderního myšlení. Bylo to proto, že zmizel </w:t>
      </w:r>
      <w:r w:rsidR="08C27494" w:rsidRPr="003D1E07">
        <w:t xml:space="preserve">minulostní ráz </w:t>
      </w:r>
      <w:r w:rsidR="00F41C9D" w:rsidRPr="003D1E07">
        <w:t xml:space="preserve">její existenciální kauzality, který se predikuje </w:t>
      </w:r>
      <w:r w:rsidR="08C27494" w:rsidRPr="003D1E07">
        <w:t xml:space="preserve">v modu vědecky </w:t>
      </w:r>
      <w:r w:rsidR="00F41C9D" w:rsidRPr="003D1E07">
        <w:t xml:space="preserve">dedukované </w:t>
      </w:r>
      <w:r w:rsidR="08C27494" w:rsidRPr="003D1E07">
        <w:t xml:space="preserve">adekvace. </w:t>
      </w:r>
      <w:r w:rsidR="08B55AA3" w:rsidRPr="003D1E07">
        <w:t xml:space="preserve">Komentátor </w:t>
      </w:r>
      <w:r w:rsidR="00F41C9D" w:rsidRPr="003D1E07">
        <w:t xml:space="preserve">jako </w:t>
      </w:r>
      <w:r w:rsidR="08B55AA3" w:rsidRPr="003D1E07">
        <w:t xml:space="preserve">moudrý </w:t>
      </w:r>
      <w:r w:rsidR="00F41C9D" w:rsidRPr="003D1E07">
        <w:t xml:space="preserve">muž </w:t>
      </w:r>
      <w:r w:rsidR="08B55AA3" w:rsidRPr="003D1E07">
        <w:t>a kriticky myslící filosof</w:t>
      </w:r>
      <w:r w:rsidR="00F41C9D" w:rsidRPr="003D1E07">
        <w:t xml:space="preserve"> </w:t>
      </w:r>
      <w:r w:rsidR="08B55AA3" w:rsidRPr="003D1E07">
        <w:t xml:space="preserve">přesně rozlišuje původní záměr </w:t>
      </w:r>
      <w:r w:rsidR="00F41C9D" w:rsidRPr="003D1E07">
        <w:t xml:space="preserve">Aristotela </w:t>
      </w:r>
      <w:r w:rsidR="08B55AA3" w:rsidRPr="003D1E07">
        <w:t>daný v celkovém kontextu</w:t>
      </w:r>
      <w:r w:rsidR="08B55AA3" w:rsidRPr="003D1E07">
        <w:rPr>
          <w:i/>
        </w:rPr>
        <w:t xml:space="preserve"> De anima</w:t>
      </w:r>
      <w:r w:rsidR="08B55AA3" w:rsidRPr="003D1E07">
        <w:t xml:space="preserve"> 430a14–15</w:t>
      </w:r>
      <w:r w:rsidR="08B55AA3" w:rsidRPr="003D1E07">
        <w:rPr>
          <w:i/>
        </w:rPr>
        <w:fldChar w:fldCharType="begin"/>
      </w:r>
      <w:r w:rsidR="08B55AA3" w:rsidRPr="003D1E07">
        <w:instrText xml:space="preserve"> XE "Aristoteles:</w:instrText>
      </w:r>
      <w:r w:rsidR="08B55AA3" w:rsidRPr="003D1E07">
        <w:rPr>
          <w:i/>
        </w:rPr>
        <w:instrText>De anima</w:instrText>
      </w:r>
      <w:r w:rsidR="08B55AA3" w:rsidRPr="003D1E07">
        <w:instrText xml:space="preserve"> 430a14–15" </w:instrText>
      </w:r>
      <w:r w:rsidR="08B55AA3" w:rsidRPr="003D1E07">
        <w:rPr>
          <w:i/>
        </w:rPr>
        <w:fldChar w:fldCharType="end"/>
      </w:r>
      <w:r w:rsidR="08B55AA3" w:rsidRPr="003D1E07">
        <w:t xml:space="preserve">. </w:t>
      </w:r>
      <w:r w:rsidR="086D0050" w:rsidRPr="003D1E07">
        <w:lastRenderedPageBreak/>
        <w:t xml:space="preserve">Impozice myšlení existující osoby v modu </w:t>
      </w:r>
      <w:r w:rsidR="086D0050" w:rsidRPr="003D1E07">
        <w:rPr>
          <w:i/>
        </w:rPr>
        <w:t xml:space="preserve">tertium </w:t>
      </w:r>
      <w:r w:rsidR="00636BD4" w:rsidRPr="006459C2">
        <w:rPr>
          <w:i/>
        </w:rPr>
        <w:t>genus</w:t>
      </w:r>
      <w:r w:rsidR="086D0050" w:rsidRPr="003D1E07">
        <w:t xml:space="preserve"> je jasně oddělena od supozice myšlení člověka jako </w:t>
      </w:r>
      <w:r w:rsidR="00F214C5" w:rsidRPr="003D1E07">
        <w:t>species</w:t>
      </w:r>
      <w:r w:rsidR="086D0050" w:rsidRPr="003D1E07">
        <w:t xml:space="preserve"> v modu </w:t>
      </w:r>
      <w:r w:rsidR="086D0050" w:rsidRPr="003D1E07">
        <w:rPr>
          <w:i/>
        </w:rPr>
        <w:t xml:space="preserve">quartum </w:t>
      </w:r>
      <w:r w:rsidR="00636BD4" w:rsidRPr="006459C2">
        <w:rPr>
          <w:i/>
        </w:rPr>
        <w:t>genus</w:t>
      </w:r>
      <w:r w:rsidR="08480AFD" w:rsidRPr="003D1E07">
        <w:t xml:space="preserve">. </w:t>
      </w:r>
      <w:r w:rsidR="001F63F0" w:rsidRPr="003D1E07">
        <w:t xml:space="preserve">Jedinečně myslící osoba je predikována skrze metafyzický modus </w:t>
      </w:r>
      <w:r w:rsidR="001F63F0" w:rsidRPr="003D1E07">
        <w:rPr>
          <w:i/>
        </w:rPr>
        <w:t>ipse</w:t>
      </w:r>
      <w:r w:rsidR="001F63F0" w:rsidRPr="003D1E07">
        <w:t xml:space="preserve"> </w:t>
      </w:r>
      <w:r w:rsidR="001F63F0" w:rsidRPr="003D1E07">
        <w:rPr>
          <w:szCs w:val="24"/>
        </w:rPr>
        <w:t>(</w:t>
      </w:r>
      <w:r w:rsidR="001F63F0" w:rsidRPr="003D1E07">
        <w:rPr>
          <w:i/>
          <w:szCs w:val="24"/>
        </w:rPr>
        <w:t>impositio</w:t>
      </w:r>
      <w:r w:rsidR="001F63F0" w:rsidRPr="003D1E07">
        <w:rPr>
          <w:szCs w:val="24"/>
        </w:rPr>
        <w:t xml:space="preserve">); univerzálně myslící individuum </w:t>
      </w:r>
      <w:r w:rsidR="00D51DAF">
        <w:rPr>
          <w:szCs w:val="24"/>
        </w:rPr>
        <w:t>a lidstvo jako celek jsou predikováni</w:t>
      </w:r>
      <w:r w:rsidR="001F63F0" w:rsidRPr="003D1E07">
        <w:rPr>
          <w:szCs w:val="24"/>
        </w:rPr>
        <w:t xml:space="preserve"> skrze logický modus </w:t>
      </w:r>
      <w:r w:rsidR="001F63F0" w:rsidRPr="003D1E07">
        <w:rPr>
          <w:i/>
          <w:szCs w:val="24"/>
        </w:rPr>
        <w:t>idem</w:t>
      </w:r>
      <w:r w:rsidR="001F63F0" w:rsidRPr="003D1E07">
        <w:rPr>
          <w:szCs w:val="24"/>
        </w:rPr>
        <w:t xml:space="preserve"> (</w:t>
      </w:r>
      <w:r w:rsidR="001F63F0" w:rsidRPr="003D1E07">
        <w:rPr>
          <w:i/>
          <w:szCs w:val="24"/>
        </w:rPr>
        <w:t>suppositio</w:t>
      </w:r>
      <w:r w:rsidR="006C1C65">
        <w:rPr>
          <w:szCs w:val="24"/>
        </w:rPr>
        <w:t xml:space="preserve">). </w:t>
      </w:r>
      <w:r w:rsidR="006C1C65" w:rsidRPr="006C1C65">
        <w:rPr>
          <w:szCs w:val="24"/>
        </w:rPr>
        <w:t xml:space="preserve">Tato supozice intelektu si však vždy zachovává charakter předchozí </w:t>
      </w:r>
      <w:r w:rsidR="006C1C65">
        <w:rPr>
          <w:szCs w:val="24"/>
        </w:rPr>
        <w:t>impozice jako „</w:t>
      </w:r>
      <w:r w:rsidR="006C1C65" w:rsidRPr="006C1C65">
        <w:rPr>
          <w:i/>
          <w:szCs w:val="24"/>
        </w:rPr>
        <w:t>ipse homo intelligit</w:t>
      </w:r>
      <w:r w:rsidR="006C1C65">
        <w:rPr>
          <w:szCs w:val="24"/>
        </w:rPr>
        <w:t>“</w:t>
      </w:r>
      <w:r w:rsidR="006C1C65" w:rsidRPr="006C1C65">
        <w:rPr>
          <w:szCs w:val="24"/>
        </w:rPr>
        <w:t>. Bez impozice není žádná</w:t>
      </w:r>
      <w:r w:rsidR="006C1C65">
        <w:rPr>
          <w:szCs w:val="24"/>
        </w:rPr>
        <w:t xml:space="preserve"> supozice. To znamená, že obecně určený</w:t>
      </w:r>
      <w:r w:rsidR="006C1C65" w:rsidRPr="006C1C65">
        <w:rPr>
          <w:szCs w:val="24"/>
        </w:rPr>
        <w:t xml:space="preserve"> intelekt je </w:t>
      </w:r>
      <w:r w:rsidR="006C1C65">
        <w:rPr>
          <w:szCs w:val="24"/>
        </w:rPr>
        <w:t xml:space="preserve">univoční </w:t>
      </w:r>
      <w:r w:rsidR="006C1C65" w:rsidRPr="006C1C65">
        <w:rPr>
          <w:szCs w:val="24"/>
        </w:rPr>
        <w:t>pojem, daný jako potenciální jsoucno v lidské mysli (</w:t>
      </w:r>
      <w:r w:rsidR="006C1C65" w:rsidRPr="006C1C65">
        <w:rPr>
          <w:i/>
          <w:szCs w:val="24"/>
        </w:rPr>
        <w:t>cogitatum</w:t>
      </w:r>
      <w:r w:rsidR="006C1C65" w:rsidRPr="006C1C65">
        <w:rPr>
          <w:szCs w:val="24"/>
        </w:rPr>
        <w:t xml:space="preserve">). Zprostředkování </w:t>
      </w:r>
      <w:r w:rsidR="006C1C65">
        <w:rPr>
          <w:szCs w:val="24"/>
        </w:rPr>
        <w:t xml:space="preserve">kategoriálního významu </w:t>
      </w:r>
      <w:r w:rsidR="006C1C65" w:rsidRPr="006C1C65">
        <w:rPr>
          <w:szCs w:val="24"/>
        </w:rPr>
        <w:t>od živého a my</w:t>
      </w:r>
      <w:r w:rsidR="006C1C65">
        <w:rPr>
          <w:szCs w:val="24"/>
        </w:rPr>
        <w:t>slícího člověka ke specifickému „člověku“</w:t>
      </w:r>
      <w:r w:rsidR="006C1C65" w:rsidRPr="006C1C65">
        <w:rPr>
          <w:szCs w:val="24"/>
        </w:rPr>
        <w:t xml:space="preserve"> </w:t>
      </w:r>
      <w:r w:rsidR="00FA58DF">
        <w:rPr>
          <w:szCs w:val="24"/>
        </w:rPr>
        <w:t>(</w:t>
      </w:r>
      <w:r w:rsidR="00FA58DF" w:rsidRPr="00FA58DF">
        <w:rPr>
          <w:i/>
          <w:szCs w:val="24"/>
        </w:rPr>
        <w:t>tertium genus</w:t>
      </w:r>
      <w:r w:rsidR="00FA58DF">
        <w:rPr>
          <w:szCs w:val="24"/>
        </w:rPr>
        <w:t xml:space="preserve">) </w:t>
      </w:r>
      <w:r w:rsidR="006C1C65" w:rsidRPr="006C1C65">
        <w:rPr>
          <w:szCs w:val="24"/>
        </w:rPr>
        <w:t xml:space="preserve">a </w:t>
      </w:r>
      <w:r w:rsidR="006C1C65">
        <w:rPr>
          <w:szCs w:val="24"/>
        </w:rPr>
        <w:t>generickému „lidstvu“</w:t>
      </w:r>
      <w:r w:rsidR="006C1C65" w:rsidRPr="006C1C65">
        <w:rPr>
          <w:szCs w:val="24"/>
        </w:rPr>
        <w:t xml:space="preserve"> </w:t>
      </w:r>
      <w:r w:rsidR="00FA58DF">
        <w:rPr>
          <w:szCs w:val="24"/>
        </w:rPr>
        <w:t>(</w:t>
      </w:r>
      <w:r w:rsidR="00FA58DF" w:rsidRPr="00FA58DF">
        <w:rPr>
          <w:i/>
          <w:szCs w:val="24"/>
        </w:rPr>
        <w:t>quartum genus</w:t>
      </w:r>
      <w:r w:rsidR="00FA58DF">
        <w:rPr>
          <w:szCs w:val="24"/>
        </w:rPr>
        <w:t xml:space="preserve">) </w:t>
      </w:r>
      <w:r w:rsidR="006C1C65" w:rsidRPr="006C1C65">
        <w:rPr>
          <w:szCs w:val="24"/>
        </w:rPr>
        <w:t>vychází z toho, že intelekt je existenciálně determinovaná duševní schopnost, která existuje pouze jako potencialita na úrovni pojmu.</w:t>
      </w:r>
      <w:r w:rsidR="006174E4">
        <w:rPr>
          <w:szCs w:val="24"/>
        </w:rPr>
        <w:t xml:space="preserve"> </w:t>
      </w:r>
      <w:r w:rsidR="00EF6698">
        <w:t xml:space="preserve">Opět platí postup deduktivního důkazu podle </w:t>
      </w:r>
      <w:r w:rsidR="00EF6698" w:rsidRPr="00EF6698">
        <w:rPr>
          <w:i/>
        </w:rPr>
        <w:t>Druhých analytik</w:t>
      </w:r>
      <w:r w:rsidR="00EF6698">
        <w:t xml:space="preserve">. Metafyzický dativ určuje impozici intelektu v rámci </w:t>
      </w:r>
      <w:r w:rsidR="00432FCF">
        <w:t>metafyzic</w:t>
      </w:r>
      <w:r w:rsidR="00EF6698">
        <w:t>ké predikace (</w:t>
      </w:r>
      <w:r w:rsidR="00EF6698" w:rsidRPr="00EF6698">
        <w:rPr>
          <w:i/>
        </w:rPr>
        <w:t>tertium genus</w:t>
      </w:r>
      <w:r w:rsidR="00EF6698">
        <w:t xml:space="preserve">) a ta určuje generickou predikaci intelektu jako univerzálie  v rámci jednoznačně určené logické predikaci </w:t>
      </w:r>
      <w:r w:rsidR="00CB7D5B">
        <w:t xml:space="preserve">v modu </w:t>
      </w:r>
      <w:r w:rsidR="00CB7D5B" w:rsidRPr="00CB7D5B">
        <w:rPr>
          <w:i/>
        </w:rPr>
        <w:t>univoce</w:t>
      </w:r>
      <w:r w:rsidR="00CB7D5B">
        <w:t xml:space="preserve"> </w:t>
      </w:r>
      <w:r w:rsidR="00EF6698">
        <w:t>(</w:t>
      </w:r>
      <w:r w:rsidR="00EF6698" w:rsidRPr="00EF6698">
        <w:rPr>
          <w:i/>
        </w:rPr>
        <w:t>quartum genus</w:t>
      </w:r>
      <w:r w:rsidR="00EF6698">
        <w:t xml:space="preserve">). Tím je z důkazu vyloučena homonymie pojmu „intelekt“, kterou má nekritická a schizoidní moderna. </w:t>
      </w:r>
      <w:r w:rsidR="080E0EE2" w:rsidRPr="003D1E07">
        <w:t xml:space="preserve">Sokrates </w:t>
      </w:r>
      <w:r w:rsidR="08705C43" w:rsidRPr="003D1E07">
        <w:t xml:space="preserve">jako osoba </w:t>
      </w:r>
      <w:r w:rsidR="080E0EE2" w:rsidRPr="003D1E07">
        <w:t>je ten, který něčemu rozumí</w:t>
      </w:r>
      <w:r w:rsidR="08B41C35" w:rsidRPr="003D1E07">
        <w:t xml:space="preserve"> a </w:t>
      </w:r>
      <w:r w:rsidR="080E0EE2" w:rsidRPr="003D1E07">
        <w:t xml:space="preserve">ne jeho </w:t>
      </w:r>
      <w:r w:rsidR="00D97813" w:rsidRPr="003D1E07">
        <w:t xml:space="preserve">specifický </w:t>
      </w:r>
      <w:r w:rsidR="080E0EE2" w:rsidRPr="003D1E07">
        <w:t>intelekt</w:t>
      </w:r>
      <w:r w:rsidR="088D037E" w:rsidRPr="003D1E07">
        <w:t>, který je pouhá schopnost</w:t>
      </w:r>
      <w:r w:rsidR="004017AD" w:rsidRPr="003D1E07">
        <w:t xml:space="preserve"> duše</w:t>
      </w:r>
      <w:r w:rsidR="0071622B" w:rsidRPr="003D1E07">
        <w:t xml:space="preserve"> chápaná v modu abstrakce</w:t>
      </w:r>
      <w:r w:rsidR="080E0EE2" w:rsidRPr="003D1E07">
        <w:t xml:space="preserve">. </w:t>
      </w:r>
      <w:r w:rsidR="083110D2" w:rsidRPr="003D1E07">
        <w:t>V procesu poznání se intelektuální schopnost duše stává vším, a tím produkuje ve vlastním aktu myšlení inteligibilní obsahy</w:t>
      </w:r>
      <w:r w:rsidR="083110D2" w:rsidRPr="003D1E07">
        <w:fldChar w:fldCharType="begin"/>
      </w:r>
      <w:r w:rsidR="083110D2" w:rsidRPr="003D1E07">
        <w:instrText xml:space="preserve"> XE "osoba:ipseita" </w:instrText>
      </w:r>
      <w:r w:rsidR="083110D2" w:rsidRPr="003D1E07">
        <w:fldChar w:fldCharType="end"/>
      </w:r>
      <w:r w:rsidR="083110D2" w:rsidRPr="003D1E07">
        <w:t xml:space="preserve">. Ale intelekt není ani substancí, ani formou, ale schopností, tedy potencí. Proto je výsledná jednota myšlení subsistentně a aktuálně daná pouze v oduševnělé první substanci. </w:t>
      </w:r>
      <w:r w:rsidR="08E72A1C" w:rsidRPr="003D1E07">
        <w:t xml:space="preserve">Pak je možné v modu univerzální supozice konceptualizovat tuto ipseitu pro generické a specifické pojetí intelektu dané v rámci abstraktního individua a lidského druhu, který se touto specifickou diferencí liší od zvířecího rodu. </w:t>
      </w:r>
      <w:r w:rsidR="00532CD7" w:rsidRPr="003D1E07">
        <w:t xml:space="preserve">Zásadní význam </w:t>
      </w:r>
      <w:r w:rsidR="002E3B62" w:rsidRPr="003D1E07">
        <w:t>Averroes</w:t>
      </w:r>
      <w:r w:rsidR="08BE4365" w:rsidRPr="003D1E07">
        <w:t xml:space="preserve">ova dvojího </w:t>
      </w:r>
      <w:r w:rsidR="00532CD7" w:rsidRPr="003D1E07">
        <w:rPr>
          <w:i/>
        </w:rPr>
        <w:t>ipse</w:t>
      </w:r>
      <w:r w:rsidR="00532CD7" w:rsidRPr="003D1E07">
        <w:t xml:space="preserve"> vztaženého primárně k bytí osoby, a ne k intelektu jako </w:t>
      </w:r>
      <w:r w:rsidR="08B41C35" w:rsidRPr="003D1E07">
        <w:t>univerzálnímu konceptu p</w:t>
      </w:r>
      <w:r w:rsidR="0069744E" w:rsidRPr="003D1E07">
        <w:t>ochopil</w:t>
      </w:r>
      <w:r w:rsidR="00532CD7" w:rsidRPr="003D1E07">
        <w:t xml:space="preserve"> Albert Veliký (</w:t>
      </w:r>
      <w:r w:rsidR="08ED12B2" w:rsidRPr="003D1E07">
        <w:t>OBJ II, kap. 2</w:t>
      </w:r>
      <w:r w:rsidR="00532CD7" w:rsidRPr="003D1E07">
        <w:t>.4.2)</w:t>
      </w:r>
      <w:r w:rsidR="0000178C" w:rsidRPr="003D1E07">
        <w:t xml:space="preserve">. </w:t>
      </w:r>
      <w:r w:rsidR="084E026F" w:rsidRPr="003D1E07">
        <w:t xml:space="preserve">Siger z Brabantu </w:t>
      </w:r>
      <w:r w:rsidR="0000178C" w:rsidRPr="003D1E07">
        <w:t xml:space="preserve">tuto diferenci obhájil brilantním způsobem a dokonce i proti Albertovi </w:t>
      </w:r>
      <w:r w:rsidR="084E026F" w:rsidRPr="003D1E07">
        <w:t>(</w:t>
      </w:r>
      <w:r w:rsidR="08ED12B2" w:rsidRPr="003D1E07">
        <w:t>OBJ III, kap. 4</w:t>
      </w:r>
      <w:r w:rsidR="084E026F" w:rsidRPr="003D1E07">
        <w:t>.4.3</w:t>
      </w:r>
      <w:r w:rsidR="00532CD7" w:rsidRPr="003D1E07">
        <w:t xml:space="preserve">). </w:t>
      </w:r>
      <w:r w:rsidR="00DF0381" w:rsidRPr="003D1E07">
        <w:t xml:space="preserve">Oba </w:t>
      </w:r>
      <w:r w:rsidR="00532CD7" w:rsidRPr="003D1E07">
        <w:t xml:space="preserve">znalci </w:t>
      </w:r>
      <w:r w:rsidR="0802771E" w:rsidRPr="003D1E07">
        <w:t xml:space="preserve">Aristotela a tím i </w:t>
      </w:r>
      <w:r w:rsidR="00532CD7" w:rsidRPr="003D1E07">
        <w:t xml:space="preserve">CMDA provedli </w:t>
      </w:r>
      <w:r w:rsidR="00DF0381" w:rsidRPr="003D1E07">
        <w:t xml:space="preserve">z tohoto titulu </w:t>
      </w:r>
      <w:r w:rsidR="00532CD7" w:rsidRPr="003D1E07">
        <w:t xml:space="preserve">zásadní kritiku </w:t>
      </w:r>
      <w:r w:rsidR="08BE4365" w:rsidRPr="003D1E07">
        <w:t xml:space="preserve">školy </w:t>
      </w:r>
      <w:r w:rsidR="00532CD7" w:rsidRPr="003D1E07">
        <w:rPr>
          <w:i/>
        </w:rPr>
        <w:t>Modernorum</w:t>
      </w:r>
      <w:r w:rsidR="00BA7EF7">
        <w:t>.</w:t>
      </w:r>
    </w:p>
    <w:p w14:paraId="7BD60FCA" w14:textId="497DB638" w:rsidR="00953BCE" w:rsidRPr="006174E4" w:rsidRDefault="004A7F08" w:rsidP="00BA7EF7">
      <w:pPr>
        <w:ind w:firstLine="397"/>
        <w:rPr>
          <w:szCs w:val="24"/>
        </w:rPr>
      </w:pPr>
      <w:r w:rsidRPr="003D1E07">
        <w:t xml:space="preserve">Vezměme </w:t>
      </w:r>
      <w:r w:rsidR="08434749" w:rsidRPr="003D1E07">
        <w:t xml:space="preserve">druhý </w:t>
      </w:r>
      <w:r w:rsidRPr="003D1E07">
        <w:t>případ, kdy se ipseita vztahuje</w:t>
      </w:r>
      <w:r w:rsidR="00AD78A8">
        <w:t xml:space="preserve"> „</w:t>
      </w:r>
      <w:r w:rsidR="00AD78A8" w:rsidRPr="003D1E07">
        <w:rPr>
          <w:rStyle w:val="Zkladntext158dkovn0pt"/>
          <w:i/>
          <w:color w:val="auto"/>
          <w:spacing w:val="0"/>
          <w:sz w:val="24"/>
          <w:lang w:val="cs-CZ"/>
        </w:rPr>
        <w:t>ad intellectum materialem</w:t>
      </w:r>
      <w:r w:rsidR="00AD78A8" w:rsidRPr="00E41E24">
        <w:rPr>
          <w:rStyle w:val="Zkladntext158dkovn0pt"/>
          <w:color w:val="auto"/>
          <w:spacing w:val="0"/>
          <w:sz w:val="24"/>
          <w:lang w:val="cs-CZ"/>
        </w:rPr>
        <w:t>“</w:t>
      </w:r>
      <w:r w:rsidR="00AD78A8" w:rsidRPr="003D1E07">
        <w:t xml:space="preserve"> </w:t>
      </w:r>
      <w:r w:rsidR="005B1EEC" w:rsidRPr="003D1E07">
        <w:t>v obecném významu</w:t>
      </w:r>
      <w:r w:rsidR="00C23000">
        <w:t xml:space="preserve">. To jest, sledujeme </w:t>
      </w:r>
      <w:r w:rsidR="00AD78A8">
        <w:t xml:space="preserve">výše uvedenou </w:t>
      </w:r>
      <w:r w:rsidR="00C23000">
        <w:t xml:space="preserve">logickou </w:t>
      </w:r>
      <w:r w:rsidR="00AD78A8">
        <w:t>univocitu</w:t>
      </w:r>
      <w:r w:rsidR="00C23000">
        <w:t xml:space="preserve"> danou postupem od metafyzické impozice k</w:t>
      </w:r>
      <w:r w:rsidR="00B5624E">
        <w:t xml:space="preserve"> logické </w:t>
      </w:r>
      <w:r w:rsidR="00C23000">
        <w:t>supozici</w:t>
      </w:r>
      <w:r w:rsidR="005B1EEC" w:rsidRPr="003D1E07">
        <w:t>.</w:t>
      </w:r>
      <w:r w:rsidRPr="003D1E07">
        <w:t xml:space="preserve"> </w:t>
      </w:r>
      <w:r w:rsidR="00B03FDD" w:rsidRPr="003D1E07">
        <w:t>Pozdější a</w:t>
      </w:r>
      <w:r w:rsidRPr="003D1E07">
        <w:t xml:space="preserve">verroismus </w:t>
      </w:r>
      <w:r w:rsidR="00B03FDD" w:rsidRPr="003D1E07">
        <w:t>a avicennismus</w:t>
      </w:r>
      <w:r w:rsidR="00C23000">
        <w:t xml:space="preserve">, svedený moderní logikou, </w:t>
      </w:r>
      <w:r w:rsidRPr="003D1E07">
        <w:t xml:space="preserve">zná pouze </w:t>
      </w:r>
      <w:r w:rsidR="00C23000">
        <w:t xml:space="preserve">homonymickou </w:t>
      </w:r>
      <w:r w:rsidRPr="003D1E07">
        <w:t xml:space="preserve">formu </w:t>
      </w:r>
      <w:r w:rsidR="002E3B62" w:rsidRPr="003D1E07">
        <w:t>Averroes</w:t>
      </w:r>
      <w:r w:rsidR="087673C2" w:rsidRPr="003D1E07">
        <w:t xml:space="preserve">ova </w:t>
      </w:r>
      <w:r w:rsidRPr="003D1E07">
        <w:t xml:space="preserve">materiálního intelektu ve </w:t>
      </w:r>
      <w:r w:rsidR="00F87CED" w:rsidRPr="003D1E07">
        <w:t>smyslu univerzální</w:t>
      </w:r>
      <w:r w:rsidR="001F63F0" w:rsidRPr="003D1E07">
        <w:t xml:space="preserve">ho, </w:t>
      </w:r>
      <w:r w:rsidR="087E73BF" w:rsidRPr="003D1E07">
        <w:t>odděleného individua</w:t>
      </w:r>
      <w:r w:rsidR="001F63F0" w:rsidRPr="003D1E07">
        <w:t xml:space="preserve"> jako </w:t>
      </w:r>
      <w:r w:rsidR="00F214C5" w:rsidRPr="003D1E07">
        <w:t>species</w:t>
      </w:r>
      <w:r w:rsidR="001F63F0" w:rsidRPr="003D1E07">
        <w:t xml:space="preserve"> třetího druhu</w:t>
      </w:r>
      <w:r w:rsidR="00F87CED" w:rsidRPr="003D1E07">
        <w:t>, která</w:t>
      </w:r>
      <w:r w:rsidR="00535BBA" w:rsidRPr="003D1E07">
        <w:t xml:space="preserve"> </w:t>
      </w:r>
      <w:r w:rsidR="001C050C" w:rsidRPr="003D1E07">
        <w:t xml:space="preserve">zvnějšku </w:t>
      </w:r>
      <w:r w:rsidR="00535BBA" w:rsidRPr="003D1E07">
        <w:lastRenderedPageBreak/>
        <w:t>aktualizuje poznání v duši</w:t>
      </w:r>
      <w:r w:rsidRPr="003D1E07">
        <w:t xml:space="preserve">. </w:t>
      </w:r>
      <w:r w:rsidR="002E3B62" w:rsidRPr="003D1E07">
        <w:t>Averroes</w:t>
      </w:r>
      <w:r w:rsidRPr="003D1E07">
        <w:t xml:space="preserve"> jako autentický aristotelik </w:t>
      </w:r>
      <w:r w:rsidR="00535BBA" w:rsidRPr="003D1E07">
        <w:t xml:space="preserve">dobře </w:t>
      </w:r>
      <w:r w:rsidRPr="003D1E07">
        <w:t>ví, že podobná univerzália existují p</w:t>
      </w:r>
      <w:r w:rsidR="009D3E08" w:rsidRPr="003D1E07">
        <w:t>ouze v naší mysli</w:t>
      </w:r>
      <w:r w:rsidR="008C518B" w:rsidRPr="003D1E07">
        <w:t xml:space="preserve">. </w:t>
      </w:r>
      <w:r w:rsidR="0837495B" w:rsidRPr="003D1E07">
        <w:t xml:space="preserve">Předešlý výklad kritizuje </w:t>
      </w:r>
      <w:r w:rsidR="00563220" w:rsidRPr="003D1E07">
        <w:t xml:space="preserve">Avicennu </w:t>
      </w:r>
      <w:r w:rsidR="008C518B" w:rsidRPr="003D1E07">
        <w:t xml:space="preserve">za </w:t>
      </w:r>
      <w:r w:rsidR="0837495B" w:rsidRPr="003D1E07">
        <w:t xml:space="preserve">chybné </w:t>
      </w:r>
      <w:r w:rsidR="00563220" w:rsidRPr="003D1E07">
        <w:t xml:space="preserve">pojetí </w:t>
      </w:r>
      <w:r w:rsidR="083E008A" w:rsidRPr="003D1E07">
        <w:t xml:space="preserve">univerzálií jako </w:t>
      </w:r>
      <w:r w:rsidR="083E008A" w:rsidRPr="003D1E07">
        <w:rPr>
          <w:i/>
        </w:rPr>
        <w:t>tertium ens</w:t>
      </w:r>
      <w:r w:rsidR="083E008A" w:rsidRPr="003D1E07">
        <w:t xml:space="preserve"> </w:t>
      </w:r>
      <w:r w:rsidR="00563220" w:rsidRPr="003D1E07">
        <w:t>(kap. 2.4.1)</w:t>
      </w:r>
      <w:r w:rsidRPr="003D1E07">
        <w:t xml:space="preserve">.  </w:t>
      </w:r>
      <w:r w:rsidR="00953BCE" w:rsidRPr="003D1E07">
        <w:t xml:space="preserve">Ale </w:t>
      </w:r>
      <w:r w:rsidR="0893241A" w:rsidRPr="003D1E07">
        <w:t xml:space="preserve">na druhou stranu platí, že </w:t>
      </w:r>
      <w:r w:rsidR="00953BCE" w:rsidRPr="003D1E07">
        <w:t xml:space="preserve">intelekt </w:t>
      </w:r>
      <w:r w:rsidR="008D552A" w:rsidRPr="003D1E07">
        <w:t xml:space="preserve">v člověku </w:t>
      </w:r>
      <w:r w:rsidR="00953BCE" w:rsidRPr="003D1E07">
        <w:t xml:space="preserve">je nemateriální </w:t>
      </w:r>
      <w:r w:rsidR="0893241A" w:rsidRPr="003D1E07">
        <w:t xml:space="preserve">povahy </w:t>
      </w:r>
      <w:r w:rsidR="00953BCE" w:rsidRPr="003D1E07">
        <w:t xml:space="preserve">a má </w:t>
      </w:r>
      <w:r w:rsidR="0893241A" w:rsidRPr="003D1E07">
        <w:t xml:space="preserve">ze své „kvazi-podstaty“ </w:t>
      </w:r>
      <w:r w:rsidR="00953BCE" w:rsidRPr="003D1E07">
        <w:t xml:space="preserve">schopnost poznávat obecná určení. </w:t>
      </w:r>
      <w:r w:rsidR="002F3A91" w:rsidRPr="003D1E07">
        <w:t>Al-</w:t>
      </w:r>
      <w:r w:rsidR="008E02F5" w:rsidRPr="003D1E07">
        <w:t>Fárábí</w:t>
      </w:r>
      <w:r w:rsidR="002F3A91" w:rsidRPr="003D1E07">
        <w:t xml:space="preserve"> proti Alexandrovi argumentoval, že tento intelekt</w:t>
      </w:r>
      <w:r w:rsidR="00C04563" w:rsidRPr="003D1E07">
        <w:t xml:space="preserve"> je „materiální“ díky své potencialitě, protože tvoří kvazi-materii a subjekt pro aktuální formu darovaného intelektu </w:t>
      </w:r>
      <w:r w:rsidR="08246575" w:rsidRPr="003D1E07">
        <w:t xml:space="preserve">v osobě </w:t>
      </w:r>
      <w:r w:rsidR="00C04563" w:rsidRPr="003D1E07">
        <w:t>(</w:t>
      </w:r>
      <w:r w:rsidR="00C04563" w:rsidRPr="003D1E07">
        <w:rPr>
          <w:i/>
        </w:rPr>
        <w:t>est quasi materia et subiectum intellectui adepto</w:t>
      </w:r>
      <w:r w:rsidR="004E4DFB" w:rsidRPr="003D1E07">
        <w:t>, kap. 2.1.1</w:t>
      </w:r>
      <w:r w:rsidR="00C04563" w:rsidRPr="003D1E07">
        <w:t xml:space="preserve">). </w:t>
      </w:r>
      <w:r w:rsidR="08AE0AD8" w:rsidRPr="003D1E07">
        <w:t xml:space="preserve">Aristotelik Al-Fárábí dobře ví, že čistá potence nemůže být sama o sobě nikdy substancí, protože by přestala být potencí. </w:t>
      </w:r>
      <w:r w:rsidR="00FE1E37" w:rsidRPr="003D1E07">
        <w:t xml:space="preserve">Potenciální intelekt </w:t>
      </w:r>
      <w:r w:rsidR="08242EF2" w:rsidRPr="003D1E07">
        <w:t>v pojetí D</w:t>
      </w:r>
      <w:r w:rsidR="087E6E9C" w:rsidRPr="003D1E07">
        <w:t xml:space="preserve">ruhého mistra </w:t>
      </w:r>
      <w:r w:rsidR="00FE1E37" w:rsidRPr="003D1E07">
        <w:t>(</w:t>
      </w:r>
      <w:r w:rsidR="00FE1E37" w:rsidRPr="003D1E07">
        <w:rPr>
          <w:i/>
        </w:rPr>
        <w:t>intellectus in pote</w:t>
      </w:r>
      <w:r w:rsidR="087E6E9C" w:rsidRPr="003D1E07">
        <w:rPr>
          <w:i/>
        </w:rPr>
        <w:t>nc</w:t>
      </w:r>
      <w:r w:rsidR="00FE1E37" w:rsidRPr="003D1E07">
        <w:rPr>
          <w:i/>
        </w:rPr>
        <w:t>ia</w:t>
      </w:r>
      <w:r w:rsidR="00FE1E37" w:rsidRPr="003D1E07">
        <w:t xml:space="preserve">) funguje jako látka schopná </w:t>
      </w:r>
      <w:r w:rsidR="08315842" w:rsidRPr="003D1E07">
        <w:t>přijmout</w:t>
      </w:r>
      <w:r w:rsidR="00FE1E37" w:rsidRPr="003D1E07">
        <w:t xml:space="preserve"> formu. </w:t>
      </w:r>
      <w:r w:rsidR="08B37F6B" w:rsidRPr="003D1E07">
        <w:t xml:space="preserve">Averroes </w:t>
      </w:r>
      <w:r w:rsidR="08C27AC4" w:rsidRPr="003D1E07">
        <w:t xml:space="preserve">potřebuje </w:t>
      </w:r>
      <w:r w:rsidR="00C04563" w:rsidRPr="003D1E07">
        <w:t xml:space="preserve">podobným způsobem </w:t>
      </w:r>
      <w:r w:rsidR="08C27AC4" w:rsidRPr="003D1E07">
        <w:t xml:space="preserve">vyložit klíčovou část </w:t>
      </w:r>
      <w:r w:rsidR="00B713C5" w:rsidRPr="003D1E07">
        <w:rPr>
          <w:i/>
        </w:rPr>
        <w:t>De anima</w:t>
      </w:r>
      <w:r w:rsidR="08C27AC4" w:rsidRPr="003D1E07">
        <w:t xml:space="preserve"> II.2, která jasně potvrzuje separaci </w:t>
      </w:r>
      <w:r w:rsidR="088E6C6D" w:rsidRPr="003D1E07">
        <w:t xml:space="preserve">nemateriálního </w:t>
      </w:r>
      <w:r w:rsidR="08C27AC4" w:rsidRPr="003D1E07">
        <w:t>intelektu od smyslových vlastností duše</w:t>
      </w:r>
      <w:r w:rsidR="003A1E8C" w:rsidRPr="003D1E07">
        <w:rPr>
          <w:i/>
        </w:rPr>
        <w:fldChar w:fldCharType="begin"/>
      </w:r>
      <w:r w:rsidR="003A1E8C" w:rsidRPr="003D1E07">
        <w:instrText xml:space="preserve"> XE "</w:instrText>
      </w:r>
      <w:r w:rsidR="003A1E8C" w:rsidRPr="003D1E07">
        <w:rPr>
          <w:i/>
        </w:rPr>
        <w:instrText>intellectus materialis</w:instrText>
      </w:r>
      <w:r w:rsidR="003A1E8C" w:rsidRPr="003D1E07">
        <w:instrText>:</w:instrText>
      </w:r>
      <w:r w:rsidR="002E3B62" w:rsidRPr="003D1E07">
        <w:instrText>Averroes</w:instrText>
      </w:r>
      <w:r w:rsidR="003A1E8C" w:rsidRPr="003D1E07">
        <w:instrText xml:space="preserve">" </w:instrText>
      </w:r>
      <w:r w:rsidR="003A1E8C" w:rsidRPr="003D1E07">
        <w:rPr>
          <w:i/>
        </w:rPr>
        <w:fldChar w:fldCharType="end"/>
      </w:r>
      <w:r w:rsidR="08C27AC4" w:rsidRPr="003D1E07">
        <w:t xml:space="preserve">. </w:t>
      </w:r>
      <w:r w:rsidR="08535434" w:rsidRPr="003D1E07">
        <w:t xml:space="preserve">Smyslové poznání je </w:t>
      </w:r>
      <w:r w:rsidR="08C27AC4" w:rsidRPr="003D1E07">
        <w:t xml:space="preserve">na rozdíl od </w:t>
      </w:r>
      <w:r w:rsidR="08535434" w:rsidRPr="003D1E07">
        <w:t>intelektu lokalizováno</w:t>
      </w:r>
      <w:r w:rsidR="08C27AC4" w:rsidRPr="003D1E07">
        <w:t xml:space="preserve"> v různých tělesných orgánech.</w:t>
      </w:r>
      <w:bookmarkStart w:id="68" w:name="_Ref409199426"/>
      <w:r w:rsidR="08AE0AD8" w:rsidRPr="003D1E07">
        <w:rPr>
          <w:rStyle w:val="Znakapoznpodarou"/>
        </w:rPr>
        <w:footnoteReference w:id="259"/>
      </w:r>
      <w:bookmarkEnd w:id="68"/>
      <w:r w:rsidR="08C27AC4" w:rsidRPr="003D1E07">
        <w:t xml:space="preserve"> </w:t>
      </w:r>
      <w:r w:rsidR="008E02F5" w:rsidRPr="003D1E07">
        <w:t>Aristoteles</w:t>
      </w:r>
      <w:r w:rsidR="08C27AC4" w:rsidRPr="003D1E07">
        <w:t xml:space="preserve"> tvrdí, že intelektuální složka duše </w:t>
      </w:r>
      <w:r w:rsidR="08DA49C9" w:rsidRPr="003D1E07">
        <w:t>je nemateriální. P</w:t>
      </w:r>
      <w:r w:rsidR="00411614" w:rsidRPr="003D1E07">
        <w:t>ro</w:t>
      </w:r>
      <w:r w:rsidR="00B67D0B" w:rsidRPr="003D1E07">
        <w:t xml:space="preserve">to nemá vlastní </w:t>
      </w:r>
      <w:r w:rsidR="00411614" w:rsidRPr="003D1E07">
        <w:t xml:space="preserve">receptivní </w:t>
      </w:r>
      <w:r w:rsidR="00B67D0B" w:rsidRPr="003D1E07">
        <w:t xml:space="preserve">orgán a </w:t>
      </w:r>
      <w:r w:rsidR="08C27AC4" w:rsidRPr="003D1E07">
        <w:t xml:space="preserve">nemůže mít z tohoto zásadního důvodu stejný princip </w:t>
      </w:r>
      <w:r w:rsidR="00617D56" w:rsidRPr="003D1E07">
        <w:t xml:space="preserve">poznání </w:t>
      </w:r>
      <w:r w:rsidR="08C27AC4" w:rsidRPr="003D1E07">
        <w:t xml:space="preserve">jako materiální smyslové poznání. </w:t>
      </w:r>
      <w:r w:rsidR="00CB1512">
        <w:t xml:space="preserve">Slůvko „jako“ a „kvazi“ jsou </w:t>
      </w:r>
      <w:r w:rsidR="08BD68BE" w:rsidRPr="003D1E07">
        <w:t>naprosto zásadní</w:t>
      </w:r>
      <w:r w:rsidR="00CB1512">
        <w:t xml:space="preserve">. Obě určení vylučují </w:t>
      </w:r>
      <w:r w:rsidR="08BD68BE" w:rsidRPr="003D1E07">
        <w:t>Avicennův intelekt třetího druhu daný jako mode</w:t>
      </w:r>
      <w:r w:rsidR="00C434AA">
        <w:t>rní substance–</w:t>
      </w:r>
      <w:r w:rsidR="00F214C5" w:rsidRPr="003D1E07">
        <w:t>species</w:t>
      </w:r>
      <w:r w:rsidR="08BD68BE" w:rsidRPr="003D1E07">
        <w:t>. I</w:t>
      </w:r>
      <w:r w:rsidR="085242F9" w:rsidRPr="003D1E07">
        <w:t xml:space="preserve">ntelekt </w:t>
      </w:r>
      <w:r w:rsidR="00CB1512">
        <w:t xml:space="preserve">jako </w:t>
      </w:r>
      <w:r w:rsidR="00CB1512" w:rsidRPr="00CB1512">
        <w:rPr>
          <w:i/>
        </w:rPr>
        <w:t>quartum genus</w:t>
      </w:r>
      <w:r w:rsidR="00CB1512">
        <w:t xml:space="preserve"> </w:t>
      </w:r>
      <w:r w:rsidR="00953BCE" w:rsidRPr="003D1E07">
        <w:t xml:space="preserve">má </w:t>
      </w:r>
      <w:r w:rsidR="00C434AA">
        <w:t xml:space="preserve">universální </w:t>
      </w:r>
      <w:r w:rsidR="00953BCE" w:rsidRPr="003D1E07">
        <w:t>povahu, kterou je možné definovat v rámci predikace</w:t>
      </w:r>
      <w:r w:rsidR="007060C6" w:rsidRPr="003D1E07">
        <w:t xml:space="preserve"> vzaté </w:t>
      </w:r>
      <w:r w:rsidR="00C434AA">
        <w:t xml:space="preserve">jako species nebo </w:t>
      </w:r>
      <w:r w:rsidR="085242F9" w:rsidRPr="003D1E07">
        <w:t>rod</w:t>
      </w:r>
      <w:r w:rsidR="00953BCE" w:rsidRPr="003D1E07">
        <w:t>. Tato generická forma materiálního intelektu je všem lidem</w:t>
      </w:r>
      <w:r w:rsidR="086C3915" w:rsidRPr="003D1E07">
        <w:t xml:space="preserve"> společná jako individuím, ale ne jako osobám</w:t>
      </w:r>
      <w:r w:rsidR="00953BCE" w:rsidRPr="003D1E07">
        <w:t xml:space="preserve">. Nemůže to být jinak, </w:t>
      </w:r>
      <w:r w:rsidR="007675FE" w:rsidRPr="003D1E07">
        <w:t xml:space="preserve">protože </w:t>
      </w:r>
      <w:r w:rsidR="00236537" w:rsidRPr="003D1E07">
        <w:t xml:space="preserve">intelektuální poznání </w:t>
      </w:r>
      <w:r w:rsidR="007675FE" w:rsidRPr="003D1E07">
        <w:t>produkuje formu</w:t>
      </w:r>
      <w:r w:rsidR="0079781D" w:rsidRPr="003D1E07">
        <w:t xml:space="preserve"> </w:t>
      </w:r>
      <w:r w:rsidR="007675FE" w:rsidRPr="003D1E07">
        <w:t xml:space="preserve">univerzální </w:t>
      </w:r>
      <w:r w:rsidR="0079781D" w:rsidRPr="003D1E07">
        <w:t>predikace</w:t>
      </w:r>
      <w:r w:rsidR="088406DE" w:rsidRPr="003D1E07">
        <w:t xml:space="preserve"> a zakládá </w:t>
      </w:r>
      <w:r w:rsidR="00236537" w:rsidRPr="003D1E07">
        <w:t xml:space="preserve">obecně lidskou </w:t>
      </w:r>
      <w:r w:rsidR="088406DE" w:rsidRPr="003D1E07">
        <w:t xml:space="preserve">možnost </w:t>
      </w:r>
      <w:r w:rsidR="00020D9D" w:rsidRPr="003D1E07">
        <w:t xml:space="preserve">filosofie a </w:t>
      </w:r>
      <w:r w:rsidR="088406DE" w:rsidRPr="003D1E07">
        <w:t>vědy</w:t>
      </w:r>
      <w:r w:rsidR="00953BCE" w:rsidRPr="003D1E07">
        <w:t xml:space="preserve">. </w:t>
      </w:r>
      <w:r w:rsidR="08E26F7A" w:rsidRPr="003D1E07">
        <w:t>Vědecká d</w:t>
      </w:r>
      <w:r w:rsidR="0826110A" w:rsidRPr="003D1E07">
        <w:t xml:space="preserve">edukce myšlení může přejít od </w:t>
      </w:r>
      <w:r w:rsidR="08CC2F8A" w:rsidRPr="003D1E07">
        <w:t>osobního k individuálně pojatému intelektu</w:t>
      </w:r>
      <w:r w:rsidR="0826110A" w:rsidRPr="003D1E07">
        <w:t xml:space="preserve">. </w:t>
      </w:r>
      <w:r w:rsidR="00C409FE">
        <w:t xml:space="preserve">Protože je </w:t>
      </w:r>
      <w:r w:rsidR="0020289C">
        <w:t xml:space="preserve">deduktivně a apodikticky </w:t>
      </w:r>
      <w:r w:rsidR="0067192F">
        <w:t xml:space="preserve">provedená impozice specifického </w:t>
      </w:r>
      <w:r w:rsidR="002140D8">
        <w:t xml:space="preserve">významu </w:t>
      </w:r>
      <w:r w:rsidR="0067192F" w:rsidRPr="0067192F">
        <w:rPr>
          <w:i/>
        </w:rPr>
        <w:t>intellectus possibilis</w:t>
      </w:r>
      <w:r w:rsidR="0067192F">
        <w:t>, pak je možné provést supozici téhož intelektu</w:t>
      </w:r>
      <w:r w:rsidR="00C908A4">
        <w:t xml:space="preserve"> na úrovni generického</w:t>
      </w:r>
      <w:r w:rsidR="00991A1E">
        <w:t xml:space="preserve"> a současně univočního </w:t>
      </w:r>
      <w:r w:rsidR="00C908A4">
        <w:t xml:space="preserve">významu. </w:t>
      </w:r>
      <w:r w:rsidR="00E668CA" w:rsidRPr="003D1E07">
        <w:t>Intelekt jako osobní příčina myšlení zakládá obecnou definici, protože vytváří kauzální spojení ve střední části (</w:t>
      </w:r>
      <w:r w:rsidR="00E668CA" w:rsidRPr="003D1E07">
        <w:rPr>
          <w:i/>
        </w:rPr>
        <w:t>medium</w:t>
      </w:r>
      <w:r w:rsidR="00E668CA" w:rsidRPr="003D1E07">
        <w:t xml:space="preserve">) vědeckého důkazu. </w:t>
      </w:r>
      <w:r w:rsidR="08AC49B8" w:rsidRPr="003D1E07">
        <w:t xml:space="preserve">Intelekt </w:t>
      </w:r>
      <w:r w:rsidR="00DA41C4">
        <w:t xml:space="preserve">daný v těle působí kauzálně a tím </w:t>
      </w:r>
      <w:r w:rsidR="08AC49B8" w:rsidRPr="003D1E07">
        <w:t xml:space="preserve">dává obecnou definici intelektu jako poznaný následek. </w:t>
      </w:r>
      <w:r w:rsidR="002E3B62" w:rsidRPr="003D1E07">
        <w:t>Averroes</w:t>
      </w:r>
      <w:r w:rsidR="00AF79EB" w:rsidRPr="003D1E07">
        <w:t xml:space="preserve"> </w:t>
      </w:r>
      <w:r w:rsidRPr="003D1E07">
        <w:t xml:space="preserve">tematizuje tuto podobu </w:t>
      </w:r>
      <w:r w:rsidR="089F7C6E" w:rsidRPr="003D1E07">
        <w:t xml:space="preserve">receptivního </w:t>
      </w:r>
      <w:r w:rsidRPr="003D1E07">
        <w:t>intelektu ve formě čt</w:t>
      </w:r>
      <w:r w:rsidR="00A467C4" w:rsidRPr="003D1E07">
        <w:t>v</w:t>
      </w:r>
      <w:r w:rsidR="082E7B30" w:rsidRPr="003D1E07">
        <w:t>rtého rodu</w:t>
      </w:r>
      <w:r w:rsidR="001372FD">
        <w:t>. Tím oddělil</w:t>
      </w:r>
      <w:r w:rsidR="00DE307B" w:rsidRPr="003D1E07">
        <w:t xml:space="preserve"> generický </w:t>
      </w:r>
      <w:r w:rsidR="00DE307B" w:rsidRPr="003D1E07">
        <w:lastRenderedPageBreak/>
        <w:t xml:space="preserve">intelekt </w:t>
      </w:r>
      <w:r w:rsidRPr="003D1E07">
        <w:t xml:space="preserve">od </w:t>
      </w:r>
      <w:r w:rsidR="00655EC1">
        <w:t>objektivní</w:t>
      </w:r>
      <w:r w:rsidR="008468C4">
        <w:t>ho</w:t>
      </w:r>
      <w:r w:rsidR="00655EC1">
        <w:t xml:space="preserve"> a zcela chybné</w:t>
      </w:r>
      <w:r w:rsidR="008468C4">
        <w:t xml:space="preserve">ho řešení </w:t>
      </w:r>
      <w:r w:rsidR="00655EC1">
        <w:t>Avicenny</w:t>
      </w:r>
      <w:r w:rsidR="008468C4">
        <w:t xml:space="preserve">. Intelekt jako </w:t>
      </w:r>
      <w:r w:rsidR="008468C4" w:rsidRPr="00637E9E">
        <w:rPr>
          <w:i/>
        </w:rPr>
        <w:t>quartum genus</w:t>
      </w:r>
      <w:r w:rsidR="008468C4">
        <w:t xml:space="preserve"> je současně odlišený </w:t>
      </w:r>
      <w:r w:rsidR="00BC3F67" w:rsidRPr="003D1E07">
        <w:t xml:space="preserve">od </w:t>
      </w:r>
      <w:r w:rsidR="00DE307B" w:rsidRPr="003D1E07">
        <w:t xml:space="preserve">duše jako </w:t>
      </w:r>
      <w:r w:rsidR="00655EC1">
        <w:t xml:space="preserve">aristotelské </w:t>
      </w:r>
      <w:r w:rsidR="00DE307B" w:rsidRPr="003D1E07">
        <w:t xml:space="preserve">formy </w:t>
      </w:r>
      <w:r w:rsidR="00655EC1">
        <w:t xml:space="preserve">těla </w:t>
      </w:r>
      <w:r w:rsidR="00DE307B" w:rsidRPr="003D1E07">
        <w:t xml:space="preserve">a od osoby jako hylemorfické </w:t>
      </w:r>
      <w:r w:rsidR="00655EC1">
        <w:t xml:space="preserve">první </w:t>
      </w:r>
      <w:r w:rsidR="00BC3F67" w:rsidRPr="003D1E07">
        <w:t>substance</w:t>
      </w:r>
      <w:r w:rsidRPr="003D1E07">
        <w:t xml:space="preserve">. </w:t>
      </w:r>
    </w:p>
    <w:p w14:paraId="5E28C193" w14:textId="77777777" w:rsidR="00B54AAD" w:rsidRPr="003D1E07" w:rsidRDefault="00B54AAD" w:rsidP="00C2060F">
      <w:pPr>
        <w:pStyle w:val="Citace"/>
        <w:rPr>
          <w:lang w:val="cs-CZ"/>
        </w:rPr>
      </w:pPr>
      <w:r w:rsidRPr="003D1E07">
        <w:rPr>
          <w:rStyle w:val="Zkladntext1"/>
          <w:rFonts w:ascii="Calibri" w:eastAsia="Times" w:hAnsi="Calibri"/>
          <w:spacing w:val="0"/>
          <w:sz w:val="22"/>
          <w:u w:val="none"/>
          <w:lang w:val="cs-CZ"/>
        </w:rPr>
        <w:t>„</w:t>
      </w:r>
      <w:r w:rsidR="00D85E9D" w:rsidRPr="003D1E07">
        <w:rPr>
          <w:rStyle w:val="Zkladntext1"/>
          <w:rFonts w:ascii="Calibri" w:eastAsia="Times" w:hAnsi="Calibri"/>
          <w:spacing w:val="0"/>
          <w:sz w:val="22"/>
          <w:u w:val="none"/>
          <w:lang w:val="cs-CZ"/>
        </w:rPr>
        <w:t>Třetí otázka se týká způsobu, jak je materiální intelekt v jistém ohledu jsoucnem, a přitom není ani materie v hylemorf</w:t>
      </w:r>
      <w:r w:rsidR="08E0121E" w:rsidRPr="003D1E07">
        <w:rPr>
          <w:rStyle w:val="Zkladntext1"/>
          <w:rFonts w:ascii="Calibri" w:eastAsia="Times" w:hAnsi="Calibri"/>
          <w:spacing w:val="0"/>
          <w:sz w:val="22"/>
          <w:u w:val="none"/>
          <w:lang w:val="cs-CZ"/>
        </w:rPr>
        <w:t xml:space="preserve">ické formě, ani první materie. </w:t>
      </w:r>
      <w:r w:rsidR="00D85E9D" w:rsidRPr="003D1E07">
        <w:rPr>
          <w:rStyle w:val="Zkladntext1"/>
          <w:rFonts w:ascii="Calibri" w:eastAsia="Times" w:hAnsi="Calibri"/>
          <w:spacing w:val="0"/>
          <w:sz w:val="22"/>
          <w:u w:val="none"/>
          <w:lang w:val="cs-CZ"/>
        </w:rPr>
        <w:t>Řešení je následující. Bytí tohoto intelektu je třeba považovat za čtvrtý rod (</w:t>
      </w:r>
      <w:r w:rsidR="00D85E9D" w:rsidRPr="003D1E07">
        <w:rPr>
          <w:i/>
          <w:lang w:val="cs-CZ"/>
        </w:rPr>
        <w:t xml:space="preserve">iste est quartum </w:t>
      </w:r>
      <w:r w:rsidR="00636BD4" w:rsidRPr="006459C2">
        <w:rPr>
          <w:i/>
          <w:lang w:val="cs-CZ"/>
        </w:rPr>
        <w:t>genus</w:t>
      </w:r>
      <w:r w:rsidR="00D85E9D" w:rsidRPr="003D1E07">
        <w:rPr>
          <w:i/>
          <w:lang w:val="cs-CZ"/>
        </w:rPr>
        <w:t xml:space="preserve"> esse</w:t>
      </w:r>
      <w:r w:rsidR="00D85E9D" w:rsidRPr="003D1E07">
        <w:rPr>
          <w:rStyle w:val="Zkladntext1"/>
          <w:rFonts w:ascii="Calibri" w:eastAsia="Times" w:hAnsi="Calibri"/>
          <w:spacing w:val="0"/>
          <w:sz w:val="22"/>
          <w:u w:val="none"/>
          <w:lang w:val="cs-CZ"/>
        </w:rPr>
        <w:t>). Jako je smyslová věc rozdělena na materii a formu, podobně musí být také inteligibilní bytí rozděleno na něco podobného těmto dvěma (</w:t>
      </w:r>
      <w:r w:rsidR="00D85E9D" w:rsidRPr="003D1E07">
        <w:rPr>
          <w:i/>
          <w:lang w:val="cs-CZ"/>
        </w:rPr>
        <w:t>in consimilia hiis duobus</w:t>
      </w:r>
      <w:r w:rsidR="00CE626C" w:rsidRPr="003D1E07">
        <w:rPr>
          <w:rStyle w:val="Zkladntext1"/>
          <w:rFonts w:ascii="Calibri" w:eastAsia="Times" w:hAnsi="Calibri"/>
          <w:spacing w:val="0"/>
          <w:sz w:val="22"/>
          <w:u w:val="none"/>
          <w:lang w:val="cs-CZ"/>
        </w:rPr>
        <w:t xml:space="preserve">), tedy </w:t>
      </w:r>
      <w:r w:rsidR="00D85E9D" w:rsidRPr="003D1E07">
        <w:rPr>
          <w:rStyle w:val="Zkladntext1"/>
          <w:rFonts w:ascii="Calibri" w:eastAsia="Times" w:hAnsi="Calibri"/>
          <w:spacing w:val="0"/>
          <w:sz w:val="22"/>
          <w:u w:val="none"/>
          <w:lang w:val="cs-CZ"/>
        </w:rPr>
        <w:t>na něco podobného formě a na něco podobného materii</w:t>
      </w:r>
      <w:r w:rsidR="00F45F30" w:rsidRPr="003D1E07">
        <w:rPr>
          <w:rStyle w:val="Zkladntext1"/>
          <w:rFonts w:ascii="Calibri" w:eastAsia="Times" w:hAnsi="Calibri"/>
          <w:spacing w:val="0"/>
          <w:sz w:val="22"/>
          <w:u w:val="none"/>
          <w:lang w:val="cs-CZ"/>
        </w:rPr>
        <w:t xml:space="preserve"> (</w:t>
      </w:r>
      <w:r w:rsidR="00F45F30" w:rsidRPr="003D1E07">
        <w:rPr>
          <w:i/>
          <w:lang w:val="cs-CZ"/>
        </w:rPr>
        <w:t>scilicet in aliquod simile forme et in aliquod simile materie</w:t>
      </w:r>
      <w:r w:rsidR="00F45F30" w:rsidRPr="003D1E07">
        <w:rPr>
          <w:rStyle w:val="Zkladntext1"/>
          <w:rFonts w:ascii="Calibri" w:eastAsia="Times" w:hAnsi="Calibri"/>
          <w:spacing w:val="0"/>
          <w:sz w:val="22"/>
          <w:u w:val="none"/>
          <w:lang w:val="cs-CZ"/>
        </w:rPr>
        <w:t>)</w:t>
      </w:r>
      <w:r w:rsidRPr="003D1E07">
        <w:rPr>
          <w:rStyle w:val="Zkladntext1"/>
          <w:rFonts w:ascii="Calibri" w:eastAsia="Times" w:hAnsi="Calibri"/>
          <w:spacing w:val="0"/>
          <w:sz w:val="22"/>
          <w:u w:val="none"/>
          <w:lang w:val="cs-CZ"/>
        </w:rPr>
        <w:t xml:space="preserve">. </w:t>
      </w:r>
      <w:r w:rsidR="00D85E9D" w:rsidRPr="003D1E07">
        <w:rPr>
          <w:rStyle w:val="Zkladntext1"/>
          <w:rFonts w:ascii="Calibri" w:eastAsia="Times" w:hAnsi="Calibri"/>
          <w:spacing w:val="0"/>
          <w:sz w:val="22"/>
          <w:u w:val="none"/>
          <w:lang w:val="cs-CZ"/>
        </w:rPr>
        <w:t>Tak tomu nutně musí být v každém abstraktně pojatém intelektu (</w:t>
      </w:r>
      <w:r w:rsidR="00D85E9D" w:rsidRPr="003D1E07">
        <w:rPr>
          <w:i/>
          <w:szCs w:val="30"/>
          <w:lang w:val="cs-CZ"/>
        </w:rPr>
        <w:t>in omni intelligentia abstracta</w:t>
      </w:r>
      <w:r w:rsidR="00D85E9D" w:rsidRPr="003D1E07">
        <w:rPr>
          <w:rStyle w:val="Zkladntext1"/>
          <w:rFonts w:ascii="Calibri" w:eastAsia="Times" w:hAnsi="Calibri"/>
          <w:spacing w:val="0"/>
          <w:sz w:val="22"/>
          <w:u w:val="none"/>
          <w:lang w:val="cs-CZ"/>
        </w:rPr>
        <w:t>), který něčemu rozumí.“</w:t>
      </w:r>
      <w:r w:rsidRPr="003D1E07">
        <w:rPr>
          <w:rStyle w:val="Zkladntext1"/>
          <w:rFonts w:ascii="Calibri" w:eastAsia="Times" w:hAnsi="Calibri"/>
          <w:spacing w:val="0"/>
          <w:sz w:val="22"/>
          <w:u w:val="none"/>
          <w:lang w:val="cs-CZ"/>
        </w:rPr>
        <w:t xml:space="preserve"> </w:t>
      </w:r>
      <w:r w:rsidR="000A0A80" w:rsidRPr="003D1E07">
        <w:rPr>
          <w:rStyle w:val="Znakapoznpodarou"/>
          <w:lang w:val="cs-CZ"/>
        </w:rPr>
        <w:footnoteReference w:id="260"/>
      </w:r>
    </w:p>
    <w:p w14:paraId="711D0C0C" w14:textId="77777777" w:rsidR="001D2CF2" w:rsidRDefault="081B72D5" w:rsidP="00C45D1C">
      <w:r w:rsidRPr="003D1E07">
        <w:t>Vedle klasického trojího generického dělení jsoucna (složená substance, materie, forma) existuje nový typ obecniny, která ale není auto</w:t>
      </w:r>
      <w:r w:rsidR="089026AE" w:rsidRPr="003D1E07">
        <w:t>no</w:t>
      </w:r>
      <w:r w:rsidRPr="003D1E07">
        <w:t>mní jsoucno, jak to myslel předešlý avicennismus a pozdější averroismus</w:t>
      </w:r>
      <w:r w:rsidR="003A1E8C" w:rsidRPr="003D1E07">
        <w:rPr>
          <w:i/>
        </w:rPr>
        <w:fldChar w:fldCharType="begin"/>
      </w:r>
      <w:r w:rsidR="00766593" w:rsidRPr="003D1E07">
        <w:instrText xml:space="preserve"> XE "intelekt:numericky jed</w:instrText>
      </w:r>
      <w:r w:rsidR="003A1E8C" w:rsidRPr="003D1E07">
        <w:instrText>n</w:instrText>
      </w:r>
      <w:r w:rsidR="00B16B1A" w:rsidRPr="003D1E07">
        <w:instrText>o</w:instrText>
      </w:r>
      <w:r w:rsidR="00766593" w:rsidRPr="003D1E07">
        <w:instrText>tný</w:instrText>
      </w:r>
      <w:r w:rsidR="003A1E8C" w:rsidRPr="003D1E07">
        <w:instrText xml:space="preserve">" </w:instrText>
      </w:r>
      <w:r w:rsidR="003A1E8C" w:rsidRPr="003D1E07">
        <w:rPr>
          <w:i/>
        </w:rPr>
        <w:fldChar w:fldCharType="end"/>
      </w:r>
      <w:r w:rsidRPr="003D1E07">
        <w:t xml:space="preserve">. </w:t>
      </w:r>
      <w:r w:rsidR="0814050C" w:rsidRPr="003D1E07">
        <w:t>Text neříká, že intelekt vzatý univerzálně existuje jako reálný substrát typu jednotliviny (</w:t>
      </w:r>
      <w:r w:rsidR="0814050C" w:rsidRPr="003D1E07">
        <w:rPr>
          <w:i/>
        </w:rPr>
        <w:t>hoc aliquid</w:t>
      </w:r>
      <w:r w:rsidR="0814050C" w:rsidRPr="003D1E07">
        <w:rPr>
          <w:i/>
        </w:rPr>
        <w:fldChar w:fldCharType="begin"/>
      </w:r>
      <w:r w:rsidR="0814050C" w:rsidRPr="003D1E07">
        <w:instrText xml:space="preserve"> XE "</w:instrText>
      </w:r>
      <w:r w:rsidR="0814050C" w:rsidRPr="003D1E07">
        <w:rPr>
          <w:rStyle w:val="FontStyle129"/>
          <w:rFonts w:ascii="Calibri" w:hAnsi="Calibri"/>
          <w:i/>
          <w:sz w:val="24"/>
        </w:rPr>
        <w:instrText>hoc aliquid:</w:instrText>
      </w:r>
      <w:r w:rsidR="0814050C" w:rsidRPr="003D1E07">
        <w:instrText xml:space="preserve">Avicenna" </w:instrText>
      </w:r>
      <w:r w:rsidR="0814050C" w:rsidRPr="003D1E07">
        <w:rPr>
          <w:i/>
        </w:rPr>
        <w:fldChar w:fldCharType="end"/>
      </w:r>
      <w:r w:rsidR="0814050C" w:rsidRPr="003D1E07">
        <w:t xml:space="preserve">). To by se výklad </w:t>
      </w:r>
      <w:r w:rsidR="0814050C" w:rsidRPr="003D1E07">
        <w:rPr>
          <w:i/>
        </w:rPr>
        <w:t>De anima</w:t>
      </w:r>
      <w:r w:rsidR="0814050C" w:rsidRPr="003D1E07">
        <w:t xml:space="preserve"> vrátil k neoplatonismu Themistia</w:t>
      </w:r>
      <w:r w:rsidR="0814050C" w:rsidRPr="003D1E07">
        <w:fldChar w:fldCharType="begin"/>
      </w:r>
      <w:r w:rsidR="0814050C" w:rsidRPr="003D1E07">
        <w:instrText xml:space="preserve"> XE "Themistius" </w:instrText>
      </w:r>
      <w:r w:rsidR="0814050C" w:rsidRPr="003D1E07">
        <w:fldChar w:fldCharType="end"/>
      </w:r>
      <w:r w:rsidR="0814050C" w:rsidRPr="003D1E07">
        <w:t xml:space="preserve"> nebo k </w:t>
      </w:r>
      <w:r w:rsidR="08CD4687" w:rsidRPr="003D1E07">
        <w:t xml:space="preserve">dualistickému </w:t>
      </w:r>
      <w:r w:rsidR="0814050C" w:rsidRPr="003D1E07">
        <w:t>aristotelismu Alexandra</w:t>
      </w:r>
      <w:r w:rsidR="0814050C" w:rsidRPr="003D1E07">
        <w:fldChar w:fldCharType="begin"/>
      </w:r>
      <w:r w:rsidR="0814050C" w:rsidRPr="003D1E07">
        <w:instrText xml:space="preserve"> XE "Alexander Afrodisias" </w:instrText>
      </w:r>
      <w:r w:rsidR="0814050C" w:rsidRPr="003D1E07">
        <w:fldChar w:fldCharType="end"/>
      </w:r>
      <w:r w:rsidR="0814050C" w:rsidRPr="003D1E07">
        <w:t xml:space="preserve">. Averroes není moderním averroistou. Pozdější zbytečný spor o averroismus si měl stejně jasně jako Averroes uvědomit statut onoho </w:t>
      </w:r>
      <w:r w:rsidR="008842F3">
        <w:t>„</w:t>
      </w:r>
      <w:r w:rsidR="0814050C" w:rsidRPr="003D1E07">
        <w:rPr>
          <w:i/>
        </w:rPr>
        <w:t>in aliquod simile</w:t>
      </w:r>
      <w:r w:rsidR="008842F3" w:rsidRPr="008842F3">
        <w:t>“</w:t>
      </w:r>
      <w:r w:rsidR="00124A11">
        <w:t>. I</w:t>
      </w:r>
      <w:r w:rsidR="0814050C" w:rsidRPr="003D1E07">
        <w:t>ntelekt stává podobným formě a materii ve výkonu svého myšlení. Tento koncept intelektu jako zvláštní entity výslovně oddělené od substance již měl Alfarabius proti Alexandrovi (</w:t>
      </w:r>
      <w:r w:rsidR="0814050C" w:rsidRPr="003D1E07">
        <w:rPr>
          <w:i/>
        </w:rPr>
        <w:t>intellectus in potencia</w:t>
      </w:r>
      <w:r w:rsidR="0814050C" w:rsidRPr="003D1E07">
        <w:rPr>
          <w:i/>
        </w:rPr>
        <w:fldChar w:fldCharType="begin"/>
      </w:r>
      <w:r w:rsidR="0814050C" w:rsidRPr="003D1E07">
        <w:instrText xml:space="preserve"> XE "</w:instrText>
      </w:r>
      <w:r w:rsidR="0814050C" w:rsidRPr="003D1E07">
        <w:rPr>
          <w:i/>
        </w:rPr>
        <w:instrText>intellectus in potentia:</w:instrText>
      </w:r>
      <w:r w:rsidR="0814050C" w:rsidRPr="003D1E07">
        <w:instrText xml:space="preserve">Al-Fárábí" </w:instrText>
      </w:r>
      <w:r w:rsidR="0814050C" w:rsidRPr="003D1E07">
        <w:rPr>
          <w:i/>
        </w:rPr>
        <w:fldChar w:fldCharType="end"/>
      </w:r>
      <w:r w:rsidR="0814050C" w:rsidRPr="003D1E07">
        <w:t xml:space="preserve">, kap. </w:t>
      </w:r>
      <w:r w:rsidR="0814050C" w:rsidRPr="003D1E07">
        <w:rPr>
          <w:lang w:eastAsia="en-US"/>
        </w:rPr>
        <w:t>2.1.1</w:t>
      </w:r>
      <w:r w:rsidR="0814050C" w:rsidRPr="003D1E07">
        <w:t xml:space="preserve">). Koncept genericky pojatého intelektu představuje pouhou „podobnost v něčem“ vzhledem k formě a k materii. </w:t>
      </w:r>
      <w:r w:rsidR="086B72C4" w:rsidRPr="003D1E07">
        <w:t xml:space="preserve">Klíčové je slůvko </w:t>
      </w:r>
      <w:r w:rsidR="08CD69A3" w:rsidRPr="003D1E07">
        <w:rPr>
          <w:i/>
        </w:rPr>
        <w:t>simile</w:t>
      </w:r>
      <w:r w:rsidR="08CD69A3" w:rsidRPr="003D1E07">
        <w:t xml:space="preserve">, které následná tradice výkladu zcela pominula, </w:t>
      </w:r>
      <w:r w:rsidR="006A6FA0" w:rsidRPr="003D1E07">
        <w:t xml:space="preserve">a proto zkresleně přeložila </w:t>
      </w:r>
      <w:r w:rsidR="086B72C4" w:rsidRPr="003D1E07">
        <w:t xml:space="preserve">termín </w:t>
      </w:r>
      <w:r w:rsidR="08CD69A3" w:rsidRPr="003D1E07">
        <w:rPr>
          <w:i/>
          <w:szCs w:val="30"/>
        </w:rPr>
        <w:t>intelligentia abstracta</w:t>
      </w:r>
      <w:r w:rsidR="08CD69A3" w:rsidRPr="003D1E07">
        <w:t xml:space="preserve">. </w:t>
      </w:r>
      <w:r w:rsidR="00F839DE" w:rsidRPr="003D1E07">
        <w:t xml:space="preserve">Hermeneutika odmítá </w:t>
      </w:r>
      <w:r w:rsidR="009D1F41" w:rsidRPr="003D1E07">
        <w:t xml:space="preserve">současné </w:t>
      </w:r>
      <w:r w:rsidR="08C046C3" w:rsidRPr="003D1E07">
        <w:t xml:space="preserve">averroistické </w:t>
      </w:r>
      <w:r w:rsidR="00F839DE" w:rsidRPr="003D1E07">
        <w:t>překlad</w:t>
      </w:r>
      <w:r w:rsidR="00617BC3" w:rsidRPr="003D1E07">
        <w:t xml:space="preserve">y </w:t>
      </w:r>
      <w:r w:rsidR="08C046C3" w:rsidRPr="003D1E07">
        <w:t xml:space="preserve">této pasáže </w:t>
      </w:r>
      <w:r w:rsidR="00617BC3" w:rsidRPr="003D1E07">
        <w:t>(</w:t>
      </w:r>
      <w:r w:rsidR="08C046C3" w:rsidRPr="003D1E07">
        <w:rPr>
          <w:i/>
        </w:rPr>
        <w:t>separate intelligence</w:t>
      </w:r>
      <w:r w:rsidR="08C079B8" w:rsidRPr="003D1E07">
        <w:t xml:space="preserve">, </w:t>
      </w:r>
      <w:r w:rsidR="00617BC3" w:rsidRPr="003D1E07">
        <w:t>LCDA</w:t>
      </w:r>
      <w:r w:rsidR="00EE0A9C" w:rsidRPr="003D1E07">
        <w:t xml:space="preserve">, p. </w:t>
      </w:r>
      <w:r w:rsidR="00617BC3" w:rsidRPr="003D1E07">
        <w:t>326)</w:t>
      </w:r>
      <w:r w:rsidR="00D46873" w:rsidRPr="003D1E07">
        <w:t>, které</w:t>
      </w:r>
      <w:r w:rsidR="00F839DE" w:rsidRPr="003D1E07">
        <w:t xml:space="preserve"> </w:t>
      </w:r>
      <w:r w:rsidR="00253424" w:rsidRPr="003D1E07">
        <w:t xml:space="preserve">mylně </w:t>
      </w:r>
      <w:r w:rsidR="00D46873" w:rsidRPr="003D1E07">
        <w:t>posunují</w:t>
      </w:r>
      <w:r w:rsidR="00F839DE" w:rsidRPr="003D1E07">
        <w:t xml:space="preserve"> predikaci intelektu </w:t>
      </w:r>
      <w:r w:rsidR="00253424" w:rsidRPr="003D1E07">
        <w:t xml:space="preserve">jako samostatné substance </w:t>
      </w:r>
      <w:r w:rsidR="00F839DE" w:rsidRPr="003D1E07">
        <w:t xml:space="preserve">směrem k avicennismu a ke kartezianismu. </w:t>
      </w:r>
      <w:r w:rsidR="00540279" w:rsidRPr="003D1E07">
        <w:t>Modu</w:t>
      </w:r>
      <w:r w:rsidR="0805797C" w:rsidRPr="003D1E07">
        <w:t>s intelektu jako kontinuální schopnosti dané v</w:t>
      </w:r>
      <w:r w:rsidR="005E326A">
        <w:t xml:space="preserve"> impozičním </w:t>
      </w:r>
      <w:r w:rsidR="0805797C" w:rsidRPr="003D1E07">
        <w:t xml:space="preserve">modu </w:t>
      </w:r>
      <w:r w:rsidR="00540279" w:rsidRPr="003D1E07">
        <w:rPr>
          <w:i/>
        </w:rPr>
        <w:t>separabilis</w:t>
      </w:r>
      <w:r w:rsidR="00540279" w:rsidRPr="003D1E07">
        <w:t xml:space="preserve"> není stejný jako objektivní modus moderních avicennistů, v němž intelekt </w:t>
      </w:r>
      <w:r w:rsidR="0894216F" w:rsidRPr="003D1E07">
        <w:t xml:space="preserve">funguje v kopulativním modu </w:t>
      </w:r>
      <w:r w:rsidR="00540279" w:rsidRPr="003D1E07">
        <w:rPr>
          <w:i/>
        </w:rPr>
        <w:t>separatus</w:t>
      </w:r>
      <w:r w:rsidR="00540279" w:rsidRPr="003D1E07">
        <w:fldChar w:fldCharType="begin"/>
      </w:r>
      <w:r w:rsidR="00540279" w:rsidRPr="003D1E07">
        <w:instrText xml:space="preserve"> XE "intelekt:</w:instrText>
      </w:r>
      <w:r w:rsidR="00540279" w:rsidRPr="003D1E07">
        <w:rPr>
          <w:i/>
        </w:rPr>
        <w:instrText>separabilis/separatus</w:instrText>
      </w:r>
      <w:r w:rsidR="00540279" w:rsidRPr="003D1E07">
        <w:instrText xml:space="preserve">" </w:instrText>
      </w:r>
      <w:r w:rsidR="00540279" w:rsidRPr="003D1E07">
        <w:fldChar w:fldCharType="end"/>
      </w:r>
      <w:r w:rsidR="00540279" w:rsidRPr="003D1E07">
        <w:t xml:space="preserve">. </w:t>
      </w:r>
      <w:r w:rsidR="00F05CEE" w:rsidRPr="00F05CEE">
        <w:t>Klasická metafyzika se vyhýbá jakékoli analogii s</w:t>
      </w:r>
      <w:r w:rsidR="00C947FB">
        <w:t> </w:t>
      </w:r>
      <w:r w:rsidR="00F05CEE" w:rsidRPr="00F05CEE">
        <w:t>moderní</w:t>
      </w:r>
      <w:r w:rsidR="00C947FB">
        <w:t xml:space="preserve">m, prakticky </w:t>
      </w:r>
      <w:r w:rsidR="00BB5CDA">
        <w:t>„</w:t>
      </w:r>
      <w:r w:rsidR="00F05CEE">
        <w:t>pornografickým</w:t>
      </w:r>
      <w:r w:rsidR="00BB5CDA">
        <w:t>“</w:t>
      </w:r>
      <w:r w:rsidR="00F05CEE">
        <w:t xml:space="preserve"> myšlením</w:t>
      </w:r>
      <w:r w:rsidR="00F05CEE" w:rsidRPr="00F05CEE">
        <w:t xml:space="preserve">. </w:t>
      </w:r>
      <w:r w:rsidR="00F70AFB" w:rsidRPr="003D1E07">
        <w:t xml:space="preserve">Každá </w:t>
      </w:r>
      <w:r w:rsidR="003A1410" w:rsidRPr="003D1E07">
        <w:t>abstrakc</w:t>
      </w:r>
      <w:r w:rsidR="00F70AFB" w:rsidRPr="003D1E07">
        <w:t xml:space="preserve">e </w:t>
      </w:r>
      <w:r w:rsidR="003A1410" w:rsidRPr="003D1E07">
        <w:t xml:space="preserve">existuje </w:t>
      </w:r>
      <w:r w:rsidR="00DD2118" w:rsidRPr="003D1E07">
        <w:t xml:space="preserve">podle </w:t>
      </w:r>
      <w:r w:rsidR="002E3B62" w:rsidRPr="003D1E07">
        <w:t>Averroes</w:t>
      </w:r>
      <w:r w:rsidR="00DD2118" w:rsidRPr="003D1E07">
        <w:t xml:space="preserve">e </w:t>
      </w:r>
      <w:r w:rsidR="003A1410" w:rsidRPr="003D1E07">
        <w:t xml:space="preserve">jen </w:t>
      </w:r>
      <w:r w:rsidR="00540279" w:rsidRPr="003D1E07">
        <w:lastRenderedPageBreak/>
        <w:t xml:space="preserve">potenciálně </w:t>
      </w:r>
      <w:r w:rsidR="003A1410" w:rsidRPr="003D1E07">
        <w:t xml:space="preserve">v mysli </w:t>
      </w:r>
      <w:r w:rsidR="0051458D">
        <w:t>reálné osoby</w:t>
      </w:r>
      <w:r w:rsidR="003A1410" w:rsidRPr="003D1E07">
        <w:t xml:space="preserve">. </w:t>
      </w:r>
      <w:r w:rsidR="000039FB" w:rsidRPr="003D1E07">
        <w:t>Výkon a</w:t>
      </w:r>
      <w:r w:rsidR="08C27AC4" w:rsidRPr="003D1E07">
        <w:t xml:space="preserve">bstrakce je pro </w:t>
      </w:r>
      <w:r w:rsidR="002E3B62" w:rsidRPr="003D1E07">
        <w:t>Averroes</w:t>
      </w:r>
      <w:r w:rsidR="08C27AC4" w:rsidRPr="003D1E07">
        <w:t xml:space="preserve">e na rozdíl od Avicenny </w:t>
      </w:r>
      <w:r w:rsidR="000039FB" w:rsidRPr="003D1E07">
        <w:t xml:space="preserve">možný </w:t>
      </w:r>
      <w:r w:rsidR="08C27AC4" w:rsidRPr="003D1E07">
        <w:t xml:space="preserve">pouze </w:t>
      </w:r>
      <w:r w:rsidR="0032605C" w:rsidRPr="003D1E07">
        <w:t>skrze nasvícení j</w:t>
      </w:r>
      <w:r w:rsidR="000039FB" w:rsidRPr="003D1E07">
        <w:t>s</w:t>
      </w:r>
      <w:r w:rsidR="0032605C" w:rsidRPr="003D1E07">
        <w:t>o</w:t>
      </w:r>
      <w:r w:rsidR="000039FB" w:rsidRPr="003D1E07">
        <w:t xml:space="preserve">ucna zepředu, od </w:t>
      </w:r>
      <w:r w:rsidR="0095644E" w:rsidRPr="003D1E07">
        <w:t xml:space="preserve">aktuální </w:t>
      </w:r>
      <w:r w:rsidR="000039FB" w:rsidRPr="003D1E07">
        <w:t>první substance</w:t>
      </w:r>
      <w:r w:rsidR="0095644E" w:rsidRPr="003D1E07">
        <w:t xml:space="preserve"> přes receptivní složky duše</w:t>
      </w:r>
      <w:r w:rsidR="000039FB" w:rsidRPr="003D1E07">
        <w:t xml:space="preserve">. Tím vzniká pravda jako </w:t>
      </w:r>
      <w:r w:rsidR="08C27AC4" w:rsidRPr="003D1E07">
        <w:rPr>
          <w:i/>
        </w:rPr>
        <w:t>proportio</w:t>
      </w:r>
      <w:r w:rsidR="08C27AC4" w:rsidRPr="003D1E07">
        <w:t xml:space="preserve"> a </w:t>
      </w:r>
      <w:r w:rsidR="08C27AC4" w:rsidRPr="003D1E07">
        <w:rPr>
          <w:i/>
        </w:rPr>
        <w:t>similitudo</w:t>
      </w:r>
      <w:r w:rsidR="08C27AC4" w:rsidRPr="003D1E07">
        <w:t xml:space="preserve"> daného mezi věcí, smysly a rozumem. </w:t>
      </w:r>
      <w:r w:rsidR="087B4629" w:rsidRPr="003D1E07">
        <w:t xml:space="preserve">Toto pořadí aktualizace poznání má zásadní charakter, protože sleduje působení aristotelského </w:t>
      </w:r>
      <w:r w:rsidR="08E22F7A" w:rsidRPr="003D1E07">
        <w:t xml:space="preserve">metafyzického </w:t>
      </w:r>
      <w:r w:rsidR="087B4629" w:rsidRPr="003D1E07">
        <w:t>dativu</w:t>
      </w:r>
      <w:r w:rsidR="0015778F">
        <w:t>. Nejprve je dána r</w:t>
      </w:r>
      <w:r w:rsidR="00690068">
        <w:t>eáln</w:t>
      </w:r>
      <w:r w:rsidR="0015778F">
        <w:t xml:space="preserve">á </w:t>
      </w:r>
      <w:r w:rsidR="087B4629" w:rsidRPr="003D1E07">
        <w:t>věc</w:t>
      </w:r>
      <w:r w:rsidR="0015778F">
        <w:t>, ta kauzálně působí na smysly</w:t>
      </w:r>
      <w:r w:rsidR="00E64036">
        <w:t xml:space="preserve"> a toto poznání</w:t>
      </w:r>
      <w:r w:rsidR="0015778F">
        <w:t xml:space="preserve"> pak přijímá </w:t>
      </w:r>
      <w:r w:rsidR="00690068">
        <w:t xml:space="preserve">receptivní </w:t>
      </w:r>
      <w:r w:rsidR="087B4629" w:rsidRPr="003D1E07">
        <w:t xml:space="preserve">intelekt. </w:t>
      </w:r>
      <w:r w:rsidR="082A2FE7" w:rsidRPr="003D1E07">
        <w:t xml:space="preserve">Toto je jediné pojetí poznání, které splňuje všechny klíčové danosti pravdy jako adekvace intelektu k reálné věci. </w:t>
      </w:r>
      <w:r w:rsidR="087B4629" w:rsidRPr="003D1E07">
        <w:t xml:space="preserve">Význam tohoto pořadí aktualizace </w:t>
      </w:r>
      <w:r w:rsidR="006A616C">
        <w:t xml:space="preserve">intelektu </w:t>
      </w:r>
      <w:r w:rsidR="087B4629" w:rsidRPr="003D1E07">
        <w:t>znovu objevil až komentář Sigera (</w:t>
      </w:r>
      <w:r w:rsidR="08ED12B2" w:rsidRPr="003D1E07">
        <w:t>OBJ III, kap. 4</w:t>
      </w:r>
      <w:r w:rsidR="087B4629" w:rsidRPr="003D1E07">
        <w:t xml:space="preserve">.4.2). Moderna </w:t>
      </w:r>
      <w:r w:rsidR="08EC6160" w:rsidRPr="003D1E07">
        <w:t xml:space="preserve">odmítla primát </w:t>
      </w:r>
      <w:r w:rsidR="00F214C5" w:rsidRPr="00AB0467">
        <w:rPr>
          <w:i/>
        </w:rPr>
        <w:t>species</w:t>
      </w:r>
      <w:r w:rsidR="087B4629" w:rsidRPr="003D1E07">
        <w:rPr>
          <w:i/>
        </w:rPr>
        <w:t xml:space="preserve"> sensibilis</w:t>
      </w:r>
      <w:r w:rsidR="000C60EC">
        <w:t xml:space="preserve">. Ty </w:t>
      </w:r>
      <w:r w:rsidR="087B4629" w:rsidRPr="003D1E07">
        <w:t>tvoří základní formu lidského poznání, protože zaklád</w:t>
      </w:r>
      <w:r w:rsidR="08EC6160" w:rsidRPr="003D1E07">
        <w:t>ají</w:t>
      </w:r>
      <w:r w:rsidR="087B4629" w:rsidRPr="003D1E07">
        <w:t xml:space="preserve"> skrze svou </w:t>
      </w:r>
      <w:r w:rsidR="08EC6160" w:rsidRPr="003D1E07">
        <w:t xml:space="preserve">individualizovanou smyslovou </w:t>
      </w:r>
      <w:r w:rsidR="087B4629" w:rsidRPr="003D1E07">
        <w:t xml:space="preserve">aktualitu intelektuální poznání duše jako </w:t>
      </w:r>
      <w:r w:rsidR="087B4629" w:rsidRPr="003D1E07">
        <w:rPr>
          <w:i/>
        </w:rPr>
        <w:t>tabula rasa</w:t>
      </w:r>
      <w:r w:rsidR="087B4629" w:rsidRPr="003D1E07">
        <w:t xml:space="preserve">. </w:t>
      </w:r>
      <w:r w:rsidR="08493057" w:rsidRPr="003D1E07">
        <w:t xml:space="preserve">Existuje-li </w:t>
      </w:r>
      <w:r w:rsidR="00540279" w:rsidRPr="003D1E07">
        <w:t>člověk, který aktuálně myslí (</w:t>
      </w:r>
      <w:r w:rsidR="00D925B0">
        <w:t xml:space="preserve">hyparchický </w:t>
      </w:r>
      <w:r w:rsidR="00540279" w:rsidRPr="003D1E07">
        <w:t xml:space="preserve">intelekt jako </w:t>
      </w:r>
      <w:r w:rsidR="00540279" w:rsidRPr="003D1E07">
        <w:rPr>
          <w:i/>
        </w:rPr>
        <w:t xml:space="preserve">tertium </w:t>
      </w:r>
      <w:r w:rsidR="00636BD4" w:rsidRPr="006459C2">
        <w:rPr>
          <w:i/>
        </w:rPr>
        <w:t>genus</w:t>
      </w:r>
      <w:r w:rsidR="00540279" w:rsidRPr="003D1E07">
        <w:t>), pak můžeme abstrahovat jeho výkon intektu j</w:t>
      </w:r>
      <w:r w:rsidR="08493057" w:rsidRPr="003D1E07">
        <w:t>ako formu trvalé</w:t>
      </w:r>
      <w:r w:rsidR="00540279" w:rsidRPr="003D1E07">
        <w:t xml:space="preserve"> </w:t>
      </w:r>
      <w:r w:rsidR="00F214C5" w:rsidRPr="003D1E07">
        <w:t>species</w:t>
      </w:r>
      <w:r w:rsidR="00540279" w:rsidRPr="003D1E07">
        <w:t xml:space="preserve"> (</w:t>
      </w:r>
      <w:r w:rsidR="00D925B0">
        <w:t xml:space="preserve">konceptuální </w:t>
      </w:r>
      <w:r w:rsidR="00540279" w:rsidRPr="003D1E07">
        <w:t xml:space="preserve">intelekt jako </w:t>
      </w:r>
      <w:r w:rsidR="00540279" w:rsidRPr="003D1E07">
        <w:rPr>
          <w:i/>
        </w:rPr>
        <w:t xml:space="preserve">quartum </w:t>
      </w:r>
      <w:r w:rsidR="00636BD4" w:rsidRPr="006459C2">
        <w:rPr>
          <w:i/>
        </w:rPr>
        <w:t>genus</w:t>
      </w:r>
      <w:r w:rsidR="00540279" w:rsidRPr="003D1E07">
        <w:t xml:space="preserve">). </w:t>
      </w:r>
      <w:r w:rsidR="084D2B92" w:rsidRPr="003D1E07">
        <w:t xml:space="preserve">Intelekt jako </w:t>
      </w:r>
      <w:r w:rsidRPr="003D1E07">
        <w:rPr>
          <w:i/>
        </w:rPr>
        <w:t xml:space="preserve">quartum </w:t>
      </w:r>
      <w:r w:rsidR="00636BD4" w:rsidRPr="006459C2">
        <w:rPr>
          <w:i/>
        </w:rPr>
        <w:t>genus</w:t>
      </w:r>
      <w:r w:rsidR="00982C89" w:rsidRPr="003D1E07">
        <w:rPr>
          <w:i/>
        </w:rPr>
        <w:fldChar w:fldCharType="begin"/>
      </w:r>
      <w:r w:rsidR="00982C89" w:rsidRPr="003D1E07">
        <w:instrText xml:space="preserve"> XE "</w:instrText>
      </w:r>
      <w:r w:rsidR="00982C89" w:rsidRPr="003D1E07">
        <w:rPr>
          <w:i/>
        </w:rPr>
        <w:instrText>quartum genus</w:instrText>
      </w:r>
      <w:r w:rsidR="00982C89" w:rsidRPr="003D1E07">
        <w:instrText xml:space="preserve">" </w:instrText>
      </w:r>
      <w:r w:rsidR="00982C89" w:rsidRPr="003D1E07">
        <w:rPr>
          <w:i/>
        </w:rPr>
        <w:fldChar w:fldCharType="end"/>
      </w:r>
      <w:r w:rsidRPr="003D1E07">
        <w:t xml:space="preserve"> před</w:t>
      </w:r>
      <w:r w:rsidR="00925DC9" w:rsidRPr="003D1E07">
        <w:t xml:space="preserve">stavuje teoretický koncept platný pouze pro </w:t>
      </w:r>
      <w:r w:rsidR="085866C8" w:rsidRPr="003D1E07">
        <w:t xml:space="preserve">univerzálně </w:t>
      </w:r>
      <w:r w:rsidR="00925DC9" w:rsidRPr="003D1E07">
        <w:t xml:space="preserve">pojatý intelekt, který není </w:t>
      </w:r>
      <w:r w:rsidR="00874074" w:rsidRPr="003D1E07">
        <w:t>neoplatonsk</w:t>
      </w:r>
      <w:r w:rsidR="00925DC9" w:rsidRPr="003D1E07">
        <w:t>ou kvazi-substancí (kap. 1.</w:t>
      </w:r>
      <w:r w:rsidR="084E7952" w:rsidRPr="003D1E07">
        <w:t>3</w:t>
      </w:r>
      <w:r w:rsidR="00925DC9" w:rsidRPr="003D1E07">
        <w:t xml:space="preserve">.1). </w:t>
      </w:r>
      <w:r w:rsidR="002E3B62" w:rsidRPr="003D1E07">
        <w:t>Averroes</w:t>
      </w:r>
      <w:r w:rsidR="08943BEB" w:rsidRPr="003D1E07">
        <w:t xml:space="preserve"> mluví o intelektu jako </w:t>
      </w:r>
      <w:r w:rsidR="085866C8" w:rsidRPr="003D1E07">
        <w:t>čtvrtém rodu</w:t>
      </w:r>
      <w:r w:rsidR="08285E3D" w:rsidRPr="003D1E07">
        <w:t xml:space="preserve"> </w:t>
      </w:r>
      <w:r w:rsidR="085866C8" w:rsidRPr="003D1E07">
        <w:t xml:space="preserve">v návaznosti na předešlou interpretaci </w:t>
      </w:r>
      <w:r w:rsidR="00B713C5" w:rsidRPr="003D1E07">
        <w:rPr>
          <w:i/>
        </w:rPr>
        <w:t>De anima</w:t>
      </w:r>
      <w:r w:rsidR="085866C8" w:rsidRPr="003D1E07">
        <w:t xml:space="preserve"> 430a14–15</w:t>
      </w:r>
      <w:r w:rsidR="003A1E8C" w:rsidRPr="003D1E07">
        <w:rPr>
          <w:i/>
        </w:rPr>
        <w:fldChar w:fldCharType="begin"/>
      </w:r>
      <w:r w:rsidR="003A1E8C" w:rsidRPr="003D1E07">
        <w:instrText xml:space="preserve"> XE "</w:instrText>
      </w:r>
      <w:r w:rsidR="008E02F5" w:rsidRPr="003D1E07">
        <w:instrText>Aristoteles</w:instrText>
      </w:r>
      <w:r w:rsidR="003A1E8C" w:rsidRPr="003D1E07">
        <w:instrText>:</w:instrText>
      </w:r>
      <w:r w:rsidR="003A1E8C" w:rsidRPr="003D1E07">
        <w:rPr>
          <w:i/>
        </w:rPr>
        <w:instrText xml:space="preserve">De anima </w:instrText>
      </w:r>
      <w:r w:rsidR="003A1E8C" w:rsidRPr="003D1E07">
        <w:instrText xml:space="preserve">430a14–15" </w:instrText>
      </w:r>
      <w:r w:rsidR="003A1E8C" w:rsidRPr="003D1E07">
        <w:rPr>
          <w:i/>
        </w:rPr>
        <w:fldChar w:fldCharType="end"/>
      </w:r>
      <w:r w:rsidR="085866C8" w:rsidRPr="003D1E07">
        <w:t>, kde je tematizován statut dvojí ipseity aktu myšlení</w:t>
      </w:r>
      <w:r w:rsidR="00F7292C" w:rsidRPr="003D1E07">
        <w:rPr>
          <w:i/>
        </w:rPr>
        <w:fldChar w:fldCharType="begin"/>
      </w:r>
      <w:r w:rsidR="00F7292C" w:rsidRPr="003D1E07">
        <w:instrText xml:space="preserve"> XE "osoba:ipseita" </w:instrText>
      </w:r>
      <w:r w:rsidR="00F7292C" w:rsidRPr="003D1E07">
        <w:rPr>
          <w:i/>
        </w:rPr>
        <w:fldChar w:fldCharType="end"/>
      </w:r>
      <w:r w:rsidR="085866C8" w:rsidRPr="003D1E07">
        <w:t>. Pasivní a aktivní schopno</w:t>
      </w:r>
      <w:r w:rsidR="08FF6928" w:rsidRPr="003D1E07">
        <w:t>st</w:t>
      </w:r>
      <w:r w:rsidR="085866C8" w:rsidRPr="003D1E07">
        <w:t xml:space="preserve"> nemateriální</w:t>
      </w:r>
      <w:r w:rsidR="004117D0">
        <w:t xml:space="preserve"> povahy </w:t>
      </w:r>
      <w:r w:rsidR="00953BCE" w:rsidRPr="003D1E07">
        <w:rPr>
          <w:i/>
        </w:rPr>
        <w:t>intellectus possibili</w:t>
      </w:r>
      <w:r w:rsidR="08D97003" w:rsidRPr="003D1E07">
        <w:rPr>
          <w:i/>
        </w:rPr>
        <w:t>s</w:t>
      </w:r>
      <w:r w:rsidR="009D323B" w:rsidRPr="003D1E07">
        <w:rPr>
          <w:i/>
        </w:rPr>
        <w:fldChar w:fldCharType="begin"/>
      </w:r>
      <w:r w:rsidR="009D323B" w:rsidRPr="003D1E07">
        <w:instrText xml:space="preserve"> XE "</w:instrText>
      </w:r>
      <w:r w:rsidR="009D323B" w:rsidRPr="003D1E07">
        <w:rPr>
          <w:i/>
        </w:rPr>
        <w:instrText>intellectus possibilis</w:instrText>
      </w:r>
      <w:r w:rsidR="00F7292C" w:rsidRPr="003D1E07">
        <w:instrText>:</w:instrText>
      </w:r>
      <w:r w:rsidR="002E3B62" w:rsidRPr="003D1E07">
        <w:instrText>Averroes</w:instrText>
      </w:r>
      <w:r w:rsidR="009D323B" w:rsidRPr="003D1E07">
        <w:instrText xml:space="preserve">" </w:instrText>
      </w:r>
      <w:r w:rsidR="009D323B" w:rsidRPr="003D1E07">
        <w:rPr>
          <w:i/>
        </w:rPr>
        <w:fldChar w:fldCharType="end"/>
      </w:r>
      <w:r w:rsidR="08D97003" w:rsidRPr="003D1E07">
        <w:rPr>
          <w:i/>
        </w:rPr>
        <w:t xml:space="preserve"> </w:t>
      </w:r>
      <w:r w:rsidR="08D97003" w:rsidRPr="003D1E07">
        <w:t>jako schopnosti duše znamená, že</w:t>
      </w:r>
      <w:r w:rsidR="08D97003" w:rsidRPr="003D1E07">
        <w:rPr>
          <w:i/>
        </w:rPr>
        <w:t xml:space="preserve"> </w:t>
      </w:r>
      <w:r w:rsidR="00953BCE" w:rsidRPr="003D1E07">
        <w:t>se skládá z kvazi-materie a kvazi-formy, aniž by ovšem byl nějaká autonomní substance (</w:t>
      </w:r>
      <w:r w:rsidR="00953BCE" w:rsidRPr="003D1E07">
        <w:rPr>
          <w:i/>
        </w:rPr>
        <w:t>hoc aliquid</w:t>
      </w:r>
      <w:r w:rsidR="009A43F5" w:rsidRPr="003D1E07">
        <w:rPr>
          <w:i/>
        </w:rPr>
        <w:fldChar w:fldCharType="begin"/>
      </w:r>
      <w:r w:rsidR="009A43F5" w:rsidRPr="003D1E07">
        <w:instrText xml:space="preserve"> XE "</w:instrText>
      </w:r>
      <w:r w:rsidR="00F7292C" w:rsidRPr="003D1E07">
        <w:instrText>substance:intelekt</w:instrText>
      </w:r>
      <w:r w:rsidR="009A43F5" w:rsidRPr="003D1E07">
        <w:instrText xml:space="preserve">" </w:instrText>
      </w:r>
      <w:r w:rsidR="009A43F5" w:rsidRPr="003D1E07">
        <w:rPr>
          <w:i/>
        </w:rPr>
        <w:fldChar w:fldCharType="end"/>
      </w:r>
      <w:r w:rsidR="00953BCE" w:rsidRPr="003D1E07">
        <w:t xml:space="preserve">) nebo čistě abstraktní koncept potence, jako je </w:t>
      </w:r>
      <w:r w:rsidR="00953BCE" w:rsidRPr="003D1E07">
        <w:rPr>
          <w:i/>
        </w:rPr>
        <w:t>materia prima</w:t>
      </w:r>
      <w:r w:rsidR="08D704BF" w:rsidRPr="003D1E07">
        <w:rPr>
          <w:i/>
        </w:rPr>
        <w:fldChar w:fldCharType="begin"/>
      </w:r>
      <w:r w:rsidR="08D704BF" w:rsidRPr="003D1E07">
        <w:instrText xml:space="preserve"> XE "materie</w:instrText>
      </w:r>
      <w:r w:rsidR="08D704BF" w:rsidRPr="003D1E07">
        <w:rPr>
          <w:i/>
        </w:rPr>
        <w:instrText>:materia prima</w:instrText>
      </w:r>
      <w:r w:rsidR="08D704BF" w:rsidRPr="003D1E07">
        <w:instrText xml:space="preserve">" </w:instrText>
      </w:r>
      <w:r w:rsidR="08D704BF" w:rsidRPr="003D1E07">
        <w:rPr>
          <w:i/>
        </w:rPr>
        <w:fldChar w:fldCharType="end"/>
      </w:r>
      <w:r w:rsidR="00953BCE" w:rsidRPr="003D1E07">
        <w:t>.</w:t>
      </w:r>
      <w:r w:rsidR="00065CB1">
        <w:t xml:space="preserve"> Ta je daná pouze na úrov</w:t>
      </w:r>
      <w:r w:rsidR="00DF45F9">
        <w:t xml:space="preserve">ni teoretické supozice. Lidský </w:t>
      </w:r>
      <w:r w:rsidR="00065CB1">
        <w:t xml:space="preserve">intelekt </w:t>
      </w:r>
      <w:r w:rsidR="006C7C03">
        <w:t xml:space="preserve">je činný </w:t>
      </w:r>
      <w:r w:rsidR="00DF45F9">
        <w:t>v existenciálním výkonu (</w:t>
      </w:r>
      <w:r w:rsidR="00DF45F9" w:rsidRPr="004619DF">
        <w:rPr>
          <w:i/>
        </w:rPr>
        <w:t>actus intelligendi</w:t>
      </w:r>
      <w:r w:rsidR="00DF45F9">
        <w:rPr>
          <w:i/>
        </w:rPr>
        <w:fldChar w:fldCharType="begin"/>
      </w:r>
      <w:r w:rsidR="00DF45F9">
        <w:instrText xml:space="preserve"> XE "</w:instrText>
      </w:r>
      <w:r w:rsidR="00DF45F9" w:rsidRPr="00FA29E1">
        <w:rPr>
          <w:i/>
        </w:rPr>
        <w:instrText>actus intelligendi</w:instrText>
      </w:r>
      <w:r w:rsidR="00DF45F9">
        <w:instrText xml:space="preserve">" </w:instrText>
      </w:r>
      <w:r w:rsidR="00DF45F9">
        <w:rPr>
          <w:i/>
        </w:rPr>
        <w:fldChar w:fldCharType="end"/>
      </w:r>
      <w:r w:rsidR="00DF45F9">
        <w:t xml:space="preserve">) na </w:t>
      </w:r>
      <w:r w:rsidR="00065CB1">
        <w:t xml:space="preserve">základě </w:t>
      </w:r>
      <w:r w:rsidR="00FC7870">
        <w:t xml:space="preserve">tělesně určené </w:t>
      </w:r>
      <w:r w:rsidR="00065CB1">
        <w:t>kau</w:t>
      </w:r>
      <w:r w:rsidR="000F14F1">
        <w:t>z</w:t>
      </w:r>
      <w:r w:rsidR="00DF45F9">
        <w:t>ality první substance (</w:t>
      </w:r>
      <w:r w:rsidR="00DF45F9" w:rsidRPr="004619DF">
        <w:rPr>
          <w:i/>
        </w:rPr>
        <w:t>actus</w:t>
      </w:r>
      <w:r w:rsidR="00DF45F9">
        <w:rPr>
          <w:i/>
        </w:rPr>
        <w:t xml:space="preserve"> essendi</w:t>
      </w:r>
      <w:r w:rsidR="00DF45F9">
        <w:rPr>
          <w:i/>
        </w:rPr>
        <w:fldChar w:fldCharType="begin"/>
      </w:r>
      <w:r w:rsidR="00DF45F9">
        <w:instrText xml:space="preserve"> XE "</w:instrText>
      </w:r>
      <w:r w:rsidR="00DF45F9" w:rsidRPr="00FA29E1">
        <w:rPr>
          <w:i/>
        </w:rPr>
        <w:instrText xml:space="preserve">actus </w:instrText>
      </w:r>
      <w:r w:rsidR="00DF45F9">
        <w:rPr>
          <w:i/>
        </w:rPr>
        <w:instrText>essendi</w:instrText>
      </w:r>
      <w:r w:rsidR="00DF45F9">
        <w:instrText xml:space="preserve">" </w:instrText>
      </w:r>
      <w:r w:rsidR="00DF45F9">
        <w:rPr>
          <w:i/>
        </w:rPr>
        <w:fldChar w:fldCharType="end"/>
      </w:r>
      <w:r w:rsidR="00DF45F9">
        <w:t>)</w:t>
      </w:r>
      <w:r w:rsidR="004D02B0">
        <w:t>. T</w:t>
      </w:r>
      <w:r w:rsidR="00DF45F9">
        <w:t xml:space="preserve">ento kauzálně </w:t>
      </w:r>
      <w:r w:rsidR="004D02B0">
        <w:t>daný vztah je mo</w:t>
      </w:r>
      <w:r w:rsidR="00DF45F9">
        <w:t xml:space="preserve">žné predikovat </w:t>
      </w:r>
      <w:r w:rsidR="004D02B0">
        <w:t xml:space="preserve">v modu </w:t>
      </w:r>
      <w:r w:rsidR="004D02B0" w:rsidRPr="004D02B0">
        <w:rPr>
          <w:i/>
        </w:rPr>
        <w:t>per prius</w:t>
      </w:r>
      <w:r w:rsidR="004D02B0">
        <w:t xml:space="preserve"> </w:t>
      </w:r>
      <w:r w:rsidR="00DF45F9">
        <w:t>skrze impozici (</w:t>
      </w:r>
      <w:r w:rsidR="00DF45F9" w:rsidRPr="00DF45F9">
        <w:rPr>
          <w:i/>
        </w:rPr>
        <w:t>actus cognoscendi</w:t>
      </w:r>
      <w:r w:rsidR="00DF45F9">
        <w:rPr>
          <w:i/>
        </w:rPr>
        <w:fldChar w:fldCharType="begin"/>
      </w:r>
      <w:r w:rsidR="00DF45F9">
        <w:instrText xml:space="preserve"> XE "</w:instrText>
      </w:r>
      <w:r w:rsidR="00DF45F9" w:rsidRPr="009362BF">
        <w:rPr>
          <w:i/>
        </w:rPr>
        <w:instrText>actus cognoscendi</w:instrText>
      </w:r>
      <w:r w:rsidR="00DF45F9">
        <w:instrText xml:space="preserve">" </w:instrText>
      </w:r>
      <w:r w:rsidR="00DF45F9">
        <w:rPr>
          <w:i/>
        </w:rPr>
        <w:fldChar w:fldCharType="end"/>
      </w:r>
      <w:r w:rsidR="00DF45F9">
        <w:t>)</w:t>
      </w:r>
      <w:r w:rsidR="00065CB1">
        <w:t xml:space="preserve">. </w:t>
      </w:r>
      <w:r w:rsidR="00EE456E">
        <w:t>Nyní je zřejmé, že předpona „</w:t>
      </w:r>
      <w:r w:rsidR="00EE456E" w:rsidRPr="00EE456E">
        <w:rPr>
          <w:i/>
        </w:rPr>
        <w:t>quasi</w:t>
      </w:r>
      <w:r w:rsidR="000B61C6">
        <w:rPr>
          <w:i/>
        </w:rPr>
        <w:t>-“</w:t>
      </w:r>
      <w:r w:rsidR="00EE456E" w:rsidRPr="00EE456E">
        <w:t xml:space="preserve"> znamená směr predikace (</w:t>
      </w:r>
      <w:r w:rsidR="00EE456E" w:rsidRPr="00EE456E">
        <w:rPr>
          <w:i/>
        </w:rPr>
        <w:t>Bezugssinn, Vor-blickbahn</w:t>
      </w:r>
      <w:r w:rsidR="00EE456E">
        <w:t xml:space="preserve">), který </w:t>
      </w:r>
      <w:r w:rsidR="002A1611">
        <w:t xml:space="preserve">v případě predikace intelektu </w:t>
      </w:r>
      <w:r w:rsidR="00EE456E">
        <w:t xml:space="preserve">musí být vzat </w:t>
      </w:r>
      <w:r w:rsidR="00EE456E" w:rsidRPr="00EE456E">
        <w:t>od aktuality první substance k potencialitě druhé substance.</w:t>
      </w:r>
      <w:r w:rsidR="00EE456E">
        <w:t xml:space="preserve"> </w:t>
      </w:r>
      <w:r w:rsidR="00FC7870">
        <w:t xml:space="preserve">Teprve po etablování deduktivního důkazu pro intelekt </w:t>
      </w:r>
      <w:r w:rsidR="00EB78C8">
        <w:t xml:space="preserve">v modu </w:t>
      </w:r>
      <w:r w:rsidR="00EB78C8" w:rsidRPr="00EB78C8">
        <w:rPr>
          <w:i/>
        </w:rPr>
        <w:t>per prius</w:t>
      </w:r>
      <w:r w:rsidR="00EB78C8">
        <w:t xml:space="preserve"> </w:t>
      </w:r>
      <w:r w:rsidR="00FC7870">
        <w:t xml:space="preserve">nastupuje sekundární generická predikace. </w:t>
      </w:r>
      <w:r w:rsidR="00487B23" w:rsidRPr="003D1E07">
        <w:t xml:space="preserve">Rodová univerzalita </w:t>
      </w:r>
      <w:r w:rsidR="00F7292C" w:rsidRPr="003D1E07">
        <w:t xml:space="preserve">intelektu </w:t>
      </w:r>
      <w:r w:rsidR="00F72AD2">
        <w:t xml:space="preserve">je definovaná jako </w:t>
      </w:r>
      <w:r w:rsidR="00487B23" w:rsidRPr="003D1E07">
        <w:t xml:space="preserve">schopnost myšlení vázaného na </w:t>
      </w:r>
      <w:r w:rsidR="08943BEB" w:rsidRPr="003D1E07">
        <w:t xml:space="preserve">abstraktní </w:t>
      </w:r>
      <w:r w:rsidR="00B83B14" w:rsidRPr="003D1E07">
        <w:t>rodově</w:t>
      </w:r>
      <w:r w:rsidR="00DA1D75">
        <w:t xml:space="preserve"> určené lidstvo. Při dělení univerzálií v rámci supozice pak můžeme tuto rodově určenou schopnost vztáhnout v dalším kroku abstrakce i n</w:t>
      </w:r>
      <w:r w:rsidR="00B83B14" w:rsidRPr="003D1E07">
        <w:t xml:space="preserve">a </w:t>
      </w:r>
      <w:r w:rsidR="00DA1D75">
        <w:t xml:space="preserve">lidskou species </w:t>
      </w:r>
      <w:r w:rsidR="005D75C5">
        <w:t xml:space="preserve">danou nakonec </w:t>
      </w:r>
      <w:r w:rsidR="00DA1D75">
        <w:t xml:space="preserve">jako </w:t>
      </w:r>
      <w:r w:rsidR="005D75C5">
        <w:t>nedělite</w:t>
      </w:r>
      <w:r w:rsidR="00EE456E">
        <w:t>lno</w:t>
      </w:r>
      <w:r w:rsidR="000908BC">
        <w:t>u jednotlivinu</w:t>
      </w:r>
      <w:r w:rsidR="084D2B92" w:rsidRPr="003D1E07">
        <w:t xml:space="preserve">. </w:t>
      </w:r>
      <w:r w:rsidR="000908BC">
        <w:t xml:space="preserve">Toto </w:t>
      </w:r>
      <w:r w:rsidR="000908BC" w:rsidRPr="000908BC">
        <w:rPr>
          <w:i/>
        </w:rPr>
        <w:t>individuum</w:t>
      </w:r>
      <w:r w:rsidR="000908BC">
        <w:t xml:space="preserve"> dané na konci Porfýriova stromu ale </w:t>
      </w:r>
      <w:r w:rsidR="08943BEB" w:rsidRPr="003D1E07">
        <w:t>není reálná osoba</w:t>
      </w:r>
      <w:r w:rsidR="084D2B92" w:rsidRPr="003D1E07">
        <w:t xml:space="preserve">, protože </w:t>
      </w:r>
      <w:r w:rsidR="084D2B92" w:rsidRPr="003D1E07">
        <w:rPr>
          <w:i/>
        </w:rPr>
        <w:t>continuatio</w:t>
      </w:r>
      <w:r w:rsidR="084D2B92" w:rsidRPr="003D1E07">
        <w:t xml:space="preserve"> </w:t>
      </w:r>
      <w:r w:rsidR="08D4730E" w:rsidRPr="003D1E07">
        <w:t xml:space="preserve">této univerzálie </w:t>
      </w:r>
      <w:r w:rsidR="084D2B92" w:rsidRPr="003D1E07">
        <w:t xml:space="preserve">je dáno pouze v lidské mysli. </w:t>
      </w:r>
      <w:r w:rsidR="00D32C8E">
        <w:t xml:space="preserve">Na rozdíl od </w:t>
      </w:r>
      <w:r w:rsidR="00586064" w:rsidRPr="003D1E07">
        <w:t xml:space="preserve">zmatených </w:t>
      </w:r>
      <w:r w:rsidR="00586064" w:rsidRPr="003D1E07">
        <w:lastRenderedPageBreak/>
        <w:t xml:space="preserve">akademických individuí </w:t>
      </w:r>
      <w:r w:rsidR="08943BEB" w:rsidRPr="003D1E07">
        <w:t xml:space="preserve">moderny a postmoderny </w:t>
      </w:r>
      <w:r w:rsidR="00586064" w:rsidRPr="003D1E07">
        <w:t xml:space="preserve">platí, že aristotelské </w:t>
      </w:r>
      <w:r w:rsidR="08943BEB" w:rsidRPr="003D1E07">
        <w:rPr>
          <w:i/>
        </w:rPr>
        <w:t>i</w:t>
      </w:r>
      <w:r w:rsidR="084D2B92" w:rsidRPr="003D1E07">
        <w:rPr>
          <w:i/>
        </w:rPr>
        <w:t>ndividuum</w:t>
      </w:r>
      <w:r w:rsidR="084D2B92" w:rsidRPr="003D1E07">
        <w:t xml:space="preserve"> nemyslí, protože </w:t>
      </w:r>
      <w:r w:rsidR="08EA14BE" w:rsidRPr="003D1E07">
        <w:t xml:space="preserve">reálně </w:t>
      </w:r>
      <w:r w:rsidR="00CA37BF">
        <w:t>neexistuje.</w:t>
      </w:r>
    </w:p>
    <w:p w14:paraId="5C9714B8" w14:textId="02641FE0" w:rsidR="08E72092" w:rsidRPr="003D1E07" w:rsidRDefault="00425D5C" w:rsidP="001D2CF2">
      <w:pPr>
        <w:ind w:firstLine="397"/>
      </w:pPr>
      <w:r w:rsidRPr="009152AB">
        <w:t>Vezměme predikaci porozumění</w:t>
      </w:r>
      <w:r w:rsidR="009152AB" w:rsidRPr="009152AB">
        <w:t xml:space="preserve"> v modu </w:t>
      </w:r>
      <w:r w:rsidR="009152AB" w:rsidRPr="00C61FD2">
        <w:rPr>
          <w:i/>
        </w:rPr>
        <w:t>ipse</w:t>
      </w:r>
      <w:r w:rsidR="009152AB" w:rsidRPr="009152AB">
        <w:t xml:space="preserve"> určené</w:t>
      </w:r>
      <w:r w:rsidR="00C61FD2">
        <w:t>ho</w:t>
      </w:r>
      <w:r w:rsidR="009152AB" w:rsidRPr="009152AB">
        <w:t xml:space="preserve"> vzhledem k reálné osobě (</w:t>
      </w:r>
      <w:r w:rsidR="009152AB" w:rsidRPr="00C61FD2">
        <w:rPr>
          <w:i/>
        </w:rPr>
        <w:t>ad hominem intelligentem</w:t>
      </w:r>
      <w:r w:rsidR="009152AB" w:rsidRPr="009152AB">
        <w:t>). P</w:t>
      </w:r>
      <w:r w:rsidR="00C61FD2">
        <w:t>ak je impoz</w:t>
      </w:r>
      <w:r w:rsidR="009152AB">
        <w:t xml:space="preserve">ice významu „intelekt“ dána </w:t>
      </w:r>
      <w:r w:rsidRPr="003D1E07">
        <w:t>podle hyparchického primátu první substance</w:t>
      </w:r>
      <w:r w:rsidR="00AD308E" w:rsidRPr="003D1E07">
        <w:t xml:space="preserve">, čili v existenciálním modu </w:t>
      </w:r>
      <w:r w:rsidR="00AD308E" w:rsidRPr="003D1E07">
        <w:rPr>
          <w:i/>
        </w:rPr>
        <w:t>per prius</w:t>
      </w:r>
      <w:r w:rsidRPr="003D1E07">
        <w:t xml:space="preserve">. </w:t>
      </w:r>
      <w:r w:rsidR="08FF6928" w:rsidRPr="003D1E07">
        <w:t xml:space="preserve">V procesu </w:t>
      </w:r>
      <w:r w:rsidR="00255053" w:rsidRPr="003D1E07">
        <w:t xml:space="preserve">individuálního </w:t>
      </w:r>
      <w:r w:rsidR="08FF6928" w:rsidRPr="003D1E07">
        <w:t xml:space="preserve">poznání </w:t>
      </w:r>
      <w:r w:rsidR="00255053" w:rsidRPr="003D1E07">
        <w:t xml:space="preserve">daného skrze osobu jako první substanci </w:t>
      </w:r>
      <w:r w:rsidR="08FF6928" w:rsidRPr="003D1E07">
        <w:t xml:space="preserve">se </w:t>
      </w:r>
      <w:r w:rsidR="00C05788" w:rsidRPr="003D1E07">
        <w:t xml:space="preserve">receptivní </w:t>
      </w:r>
      <w:r w:rsidR="08FF6928" w:rsidRPr="003D1E07">
        <w:t xml:space="preserve">intelekt stává </w:t>
      </w:r>
      <w:r w:rsidR="00C05788" w:rsidRPr="003D1E07">
        <w:t xml:space="preserve">podle </w:t>
      </w:r>
      <w:r w:rsidR="00C05788" w:rsidRPr="003D1E07">
        <w:rPr>
          <w:i/>
        </w:rPr>
        <w:t>De anima</w:t>
      </w:r>
      <w:r w:rsidR="00C05788" w:rsidRPr="003D1E07">
        <w:t xml:space="preserve"> v duši vším a </w:t>
      </w:r>
      <w:r w:rsidR="08EA14BE" w:rsidRPr="003D1E07">
        <w:t xml:space="preserve">tím </w:t>
      </w:r>
      <w:r w:rsidR="08FF6928" w:rsidRPr="003D1E07">
        <w:t>produkuje inteligibilní obsahy</w:t>
      </w:r>
      <w:r w:rsidR="08781E3A" w:rsidRPr="003D1E07">
        <w:t xml:space="preserve">. Tato </w:t>
      </w:r>
      <w:r w:rsidR="005733C4" w:rsidRPr="003D1E07">
        <w:t xml:space="preserve">aktuálně </w:t>
      </w:r>
      <w:r w:rsidR="00545CF0" w:rsidRPr="003D1E07">
        <w:t xml:space="preserve">daná </w:t>
      </w:r>
      <w:r w:rsidR="08781E3A" w:rsidRPr="003D1E07">
        <w:t xml:space="preserve">ipseita definuje </w:t>
      </w:r>
      <w:r w:rsidR="00E11E94" w:rsidRPr="003D1E07">
        <w:t xml:space="preserve">v </w:t>
      </w:r>
      <w:r w:rsidR="005733C4" w:rsidRPr="003D1E07">
        <w:t xml:space="preserve">následné predikaci </w:t>
      </w:r>
      <w:r w:rsidR="005733C4" w:rsidRPr="003D1E07">
        <w:rPr>
          <w:i/>
        </w:rPr>
        <w:t>per posterius</w:t>
      </w:r>
      <w:r w:rsidR="005733C4" w:rsidRPr="003D1E07">
        <w:t xml:space="preserve"> (tj. v </w:t>
      </w:r>
      <w:r w:rsidR="00E11E94" w:rsidRPr="003D1E07">
        <w:t xml:space="preserve">modu </w:t>
      </w:r>
      <w:r w:rsidR="00904D75">
        <w:t xml:space="preserve">generické </w:t>
      </w:r>
      <w:r w:rsidR="00E11E94" w:rsidRPr="003D1E07">
        <w:t>abstrakce</w:t>
      </w:r>
      <w:r w:rsidR="005733C4" w:rsidRPr="003D1E07">
        <w:t>)</w:t>
      </w:r>
      <w:r w:rsidR="00E11E94" w:rsidRPr="003D1E07">
        <w:t xml:space="preserve"> </w:t>
      </w:r>
      <w:r w:rsidR="00921F9A" w:rsidRPr="003D1E07">
        <w:t>obecnou intel</w:t>
      </w:r>
      <w:r w:rsidR="000636E2" w:rsidRPr="003D1E07">
        <w:t>ektuální schopn</w:t>
      </w:r>
      <w:r w:rsidR="00921F9A" w:rsidRPr="003D1E07">
        <w:t>o</w:t>
      </w:r>
      <w:r w:rsidR="000636E2" w:rsidRPr="003D1E07">
        <w:t>s</w:t>
      </w:r>
      <w:r w:rsidR="00C13158">
        <w:t>t lidstva</w:t>
      </w:r>
      <w:r w:rsidR="005733C4" w:rsidRPr="003D1E07">
        <w:t xml:space="preserve">. Toto </w:t>
      </w:r>
      <w:r w:rsidR="00C13158">
        <w:t xml:space="preserve">universální </w:t>
      </w:r>
      <w:r w:rsidR="005733C4" w:rsidRPr="003D1E07">
        <w:t xml:space="preserve">pojetí intelektu </w:t>
      </w:r>
      <w:r w:rsidR="00E11E94" w:rsidRPr="003D1E07">
        <w:t>um</w:t>
      </w:r>
      <w:r w:rsidR="005733C4" w:rsidRPr="003D1E07">
        <w:t xml:space="preserve">ožňuje v řádu potenciality </w:t>
      </w:r>
      <w:r w:rsidR="00DD507F" w:rsidRPr="003D1E07">
        <w:t>univoční kategoriální predi</w:t>
      </w:r>
      <w:r w:rsidR="0831719C" w:rsidRPr="003D1E07">
        <w:t xml:space="preserve">kaci </w:t>
      </w:r>
      <w:r w:rsidR="08BB56AA" w:rsidRPr="003D1E07">
        <w:t xml:space="preserve">intelektu </w:t>
      </w:r>
      <w:r w:rsidR="08865CDF" w:rsidRPr="003D1E07">
        <w:t xml:space="preserve">v rámci </w:t>
      </w:r>
      <w:r w:rsidR="009C7D41">
        <w:t>genus a pak species</w:t>
      </w:r>
      <w:r w:rsidR="08852462" w:rsidRPr="003D1E07">
        <w:rPr>
          <w:i/>
          <w:lang w:eastAsia="en-US"/>
        </w:rPr>
        <w:fldChar w:fldCharType="begin"/>
      </w:r>
      <w:r w:rsidR="08852462" w:rsidRPr="003D1E07">
        <w:instrText xml:space="preserve"> XE "</w:instrText>
      </w:r>
      <w:r w:rsidR="08852462" w:rsidRPr="003D1E07">
        <w:rPr>
          <w:i/>
        </w:rPr>
        <w:instrText>humanitas:</w:instrText>
      </w:r>
      <w:r w:rsidR="08852462" w:rsidRPr="003D1E07">
        <w:instrText xml:space="preserve">Averroes" </w:instrText>
      </w:r>
      <w:r w:rsidR="08852462" w:rsidRPr="003D1E07">
        <w:rPr>
          <w:i/>
          <w:lang w:eastAsia="en-US"/>
        </w:rPr>
        <w:fldChar w:fldCharType="end"/>
      </w:r>
      <w:r w:rsidR="085A48DD" w:rsidRPr="003D1E07">
        <w:t xml:space="preserve">. </w:t>
      </w:r>
      <w:r w:rsidR="08BB56AA" w:rsidRPr="003D1E07">
        <w:t xml:space="preserve">Tím vznikne </w:t>
      </w:r>
      <w:r w:rsidR="001926A4">
        <w:t xml:space="preserve">ve druhém </w:t>
      </w:r>
      <w:r w:rsidR="087343AC" w:rsidRPr="003D1E07">
        <w:t xml:space="preserve">kroku </w:t>
      </w:r>
      <w:r w:rsidR="08BB56AA" w:rsidRPr="003D1E07">
        <w:t xml:space="preserve">na úrovni lidstva </w:t>
      </w:r>
      <w:r w:rsidR="00794227" w:rsidRPr="003D1E07">
        <w:t>specifická jednota lidí ja</w:t>
      </w:r>
      <w:r w:rsidR="08BB56AA" w:rsidRPr="003D1E07">
        <w:t>ko receptivně myslících bytostí. Jejich humanita je specificky odlišná</w:t>
      </w:r>
      <w:r w:rsidR="00794227" w:rsidRPr="003D1E07">
        <w:t xml:space="preserve"> díky univerzalitě </w:t>
      </w:r>
      <w:r w:rsidR="00794227" w:rsidRPr="003D1E07">
        <w:rPr>
          <w:i/>
        </w:rPr>
        <w:t>intellectus possibilis</w:t>
      </w:r>
      <w:r w:rsidR="00794227" w:rsidRPr="003D1E07">
        <w:t xml:space="preserve"> od aktuálních kosmických inteligencí</w:t>
      </w:r>
      <w:r w:rsidR="00B5138B">
        <w:t xml:space="preserve">. Ty mají substanční, nemateriální a plně aktuální </w:t>
      </w:r>
      <w:r w:rsidR="00C91732" w:rsidRPr="003D1E07">
        <w:rPr>
          <w:i/>
        </w:rPr>
        <w:t>intellectus agens</w:t>
      </w:r>
      <w:r w:rsidR="000A3315">
        <w:t xml:space="preserve">. Dále se toto čistě lidské specifikum liší </w:t>
      </w:r>
      <w:r w:rsidR="00794227" w:rsidRPr="003D1E07">
        <w:t xml:space="preserve">od </w:t>
      </w:r>
      <w:r w:rsidR="00C8029B">
        <w:t>zvířat</w:t>
      </w:r>
      <w:r w:rsidR="08F0761D" w:rsidRPr="003D1E07">
        <w:t xml:space="preserve">, </w:t>
      </w:r>
      <w:r w:rsidR="000A3315">
        <w:t>kterým chybí tato specifická schopnost receptivního intelektu</w:t>
      </w:r>
      <w:r w:rsidR="00794227" w:rsidRPr="003D1E07">
        <w:t xml:space="preserve">. </w:t>
      </w:r>
      <w:r w:rsidR="000A3315">
        <w:t xml:space="preserve">Pak nutně platí na úrovni supozice, že koncept </w:t>
      </w:r>
      <w:r w:rsidR="00F417B8">
        <w:t xml:space="preserve">možného intelektu definuje jak </w:t>
      </w:r>
      <w:r w:rsidR="00232FD5">
        <w:t xml:space="preserve">lidstvo jako </w:t>
      </w:r>
      <w:r w:rsidR="000A3315">
        <w:t>rod</w:t>
      </w:r>
      <w:r w:rsidR="00F417B8">
        <w:t xml:space="preserve">, tak </w:t>
      </w:r>
      <w:r w:rsidR="00232FD5">
        <w:t xml:space="preserve">lidské individuum jako </w:t>
      </w:r>
      <w:r w:rsidR="00F417B8">
        <w:t>spe</w:t>
      </w:r>
      <w:r w:rsidR="000A3315">
        <w:t>ci</w:t>
      </w:r>
      <w:r w:rsidR="00232FD5">
        <w:t>es</w:t>
      </w:r>
      <w:r w:rsidR="000A3315">
        <w:t xml:space="preserve">. </w:t>
      </w:r>
      <w:r w:rsidR="0017600D" w:rsidRPr="003D1E07">
        <w:t xml:space="preserve">Tato vlastnost </w:t>
      </w:r>
      <w:r w:rsidR="00232FD5">
        <w:t xml:space="preserve">tedy </w:t>
      </w:r>
      <w:r w:rsidR="00D60DF5" w:rsidRPr="003D1E07">
        <w:t>tvoří naprosto</w:t>
      </w:r>
      <w:r w:rsidR="0017600D" w:rsidRPr="003D1E07">
        <w:t xml:space="preserve"> </w:t>
      </w:r>
      <w:r w:rsidR="00D60DF5" w:rsidRPr="003D1E07">
        <w:t xml:space="preserve">specifickou charakteristiku </w:t>
      </w:r>
      <w:r w:rsidR="08197AB1" w:rsidRPr="003D1E07">
        <w:t>(</w:t>
      </w:r>
      <w:r w:rsidR="08197AB1" w:rsidRPr="003D1E07">
        <w:rPr>
          <w:i/>
        </w:rPr>
        <w:t>differentia specifica</w:t>
      </w:r>
      <w:r w:rsidR="08197AB1" w:rsidRPr="003D1E07">
        <w:t xml:space="preserve">) </w:t>
      </w:r>
      <w:r w:rsidR="00D60DF5" w:rsidRPr="003D1E07">
        <w:t xml:space="preserve">pouze </w:t>
      </w:r>
      <w:r w:rsidR="0017600D" w:rsidRPr="003D1E07">
        <w:t>lidského</w:t>
      </w:r>
      <w:r w:rsidR="08197AB1" w:rsidRPr="003D1E07">
        <w:t xml:space="preserve"> </w:t>
      </w:r>
      <w:r w:rsidR="08197AB1" w:rsidRPr="003D1E07">
        <w:rPr>
          <w:i/>
        </w:rPr>
        <w:t>intellectus possibilis</w:t>
      </w:r>
      <w:r w:rsidR="0017600D" w:rsidRPr="003D1E07">
        <w:t xml:space="preserve">, </w:t>
      </w:r>
      <w:r w:rsidR="08197AB1" w:rsidRPr="003D1E07">
        <w:t xml:space="preserve">který v člověku existuje </w:t>
      </w:r>
      <w:r w:rsidR="0017600D" w:rsidRPr="003D1E07">
        <w:t xml:space="preserve">na rozdíl od zvířat a kosmických inteligencí. </w:t>
      </w:r>
      <w:r w:rsidR="003052E4">
        <w:t>Možný</w:t>
      </w:r>
      <w:r w:rsidR="00D74DF0">
        <w:t xml:space="preserve"> intelekt je predikován </w:t>
      </w:r>
      <w:r w:rsidR="00D74DF0" w:rsidRPr="00D74DF0">
        <w:t xml:space="preserve">ve vztahu k osobě obdařené </w:t>
      </w:r>
      <w:r w:rsidR="00D74DF0" w:rsidRPr="00D74DF0">
        <w:rPr>
          <w:i/>
        </w:rPr>
        <w:t>anima intellectiva</w:t>
      </w:r>
      <w:r w:rsidR="00D74DF0" w:rsidRPr="00D74DF0">
        <w:t xml:space="preserve"> (</w:t>
      </w:r>
      <w:r w:rsidR="00D74DF0" w:rsidRPr="00D74DF0">
        <w:rPr>
          <w:i/>
        </w:rPr>
        <w:t>impositio, tertium genus</w:t>
      </w:r>
      <w:r w:rsidR="00D74DF0" w:rsidRPr="00D74DF0">
        <w:t>) a ve vztahu k pojmu člověka obecně (</w:t>
      </w:r>
      <w:r w:rsidR="00D74DF0" w:rsidRPr="00D74DF0">
        <w:rPr>
          <w:i/>
        </w:rPr>
        <w:t>suppositio, quartum genus</w:t>
      </w:r>
      <w:r w:rsidR="00DB2C22">
        <w:t xml:space="preserve">). </w:t>
      </w:r>
      <w:r w:rsidR="08E72092" w:rsidRPr="003D1E07">
        <w:t xml:space="preserve">Univerzálně abstrahovaný intelekt v modu </w:t>
      </w:r>
      <w:r w:rsidR="08E72092" w:rsidRPr="003D1E07">
        <w:rPr>
          <w:i/>
        </w:rPr>
        <w:t xml:space="preserve">quartum </w:t>
      </w:r>
      <w:r w:rsidR="00636BD4" w:rsidRPr="006459C2">
        <w:rPr>
          <w:i/>
        </w:rPr>
        <w:t>genus</w:t>
      </w:r>
      <w:r w:rsidR="08E72092" w:rsidRPr="003D1E07">
        <w:rPr>
          <w:i/>
        </w:rPr>
        <w:fldChar w:fldCharType="begin"/>
      </w:r>
      <w:r w:rsidR="08E72092" w:rsidRPr="003D1E07">
        <w:instrText xml:space="preserve"> XE "</w:instrText>
      </w:r>
      <w:r w:rsidR="08E72092" w:rsidRPr="003D1E07">
        <w:rPr>
          <w:i/>
        </w:rPr>
        <w:instrText>quartum genus</w:instrText>
      </w:r>
      <w:r w:rsidR="08E72092" w:rsidRPr="003D1E07">
        <w:instrText xml:space="preserve">" </w:instrText>
      </w:r>
      <w:r w:rsidR="08E72092" w:rsidRPr="003D1E07">
        <w:rPr>
          <w:i/>
        </w:rPr>
        <w:fldChar w:fldCharType="end"/>
      </w:r>
      <w:r w:rsidR="08E72092" w:rsidRPr="003D1E07">
        <w:t xml:space="preserve"> tvoří abstraktní </w:t>
      </w:r>
      <w:r w:rsidR="00DA33DF" w:rsidRPr="003D1E07">
        <w:t xml:space="preserve">koncept predikovaný na základě </w:t>
      </w:r>
      <w:r w:rsidR="08E72092" w:rsidRPr="003D1E07">
        <w:t>výkonu reálného myšlení (</w:t>
      </w:r>
      <w:r w:rsidR="08E72092" w:rsidRPr="003D1E07">
        <w:rPr>
          <w:i/>
          <w:szCs w:val="30"/>
        </w:rPr>
        <w:t>in omni intelligentia abstracta</w:t>
      </w:r>
      <w:r w:rsidR="08E72092" w:rsidRPr="003D1E07">
        <w:t>)</w:t>
      </w:r>
      <w:r w:rsidR="00DA33DF" w:rsidRPr="003D1E07">
        <w:t xml:space="preserve">. Tento generický intelekt tvoří </w:t>
      </w:r>
      <w:r w:rsidR="08E72092" w:rsidRPr="003D1E07">
        <w:t xml:space="preserve">součást lidské přirozenosti a determinuje jednotu lidstva z hlediska poznávací potence člověka. </w:t>
      </w:r>
      <w:r w:rsidR="00096BFF" w:rsidRPr="003D1E07">
        <w:t>Siger z Brabantu správně pochopil a vyložil t</w:t>
      </w:r>
      <w:r w:rsidR="08E72092" w:rsidRPr="003D1E07">
        <w:t>uto univocitu lidského intelektu jako univerzálie</w:t>
      </w:r>
      <w:r w:rsidR="004161D4" w:rsidRPr="003D1E07">
        <w:t xml:space="preserve">. Jeho </w:t>
      </w:r>
      <w:r w:rsidR="00096BFF" w:rsidRPr="003D1E07">
        <w:t xml:space="preserve">následovník </w:t>
      </w:r>
      <w:r w:rsidR="08E72092" w:rsidRPr="003D1E07">
        <w:t xml:space="preserve">Dante </w:t>
      </w:r>
      <w:r w:rsidR="00096BFF" w:rsidRPr="003D1E07">
        <w:t>ji pak uvedl do prvního</w:t>
      </w:r>
      <w:r w:rsidR="08E72092" w:rsidRPr="003D1E07">
        <w:t xml:space="preserve"> projektu humanismu v latinském prostoru. Tato univerzalita navazuje na první univerzální určení </w:t>
      </w:r>
      <w:r w:rsidR="08E72092" w:rsidRPr="003D1E07">
        <w:rPr>
          <w:i/>
        </w:rPr>
        <w:t>intellectus possibilis</w:t>
      </w:r>
      <w:r w:rsidR="08E72092" w:rsidRPr="003D1E07">
        <w:t xml:space="preserve"> pro všechny lidi u Al</w:t>
      </w:r>
      <w:r w:rsidR="08E72092" w:rsidRPr="003D1E07">
        <w:noBreakHyphen/>
        <w:t>Fárábího (kap. 2.1.2).</w:t>
      </w:r>
      <w:r w:rsidR="0865774C" w:rsidRPr="003D1E07">
        <w:t xml:space="preserve"> </w:t>
      </w:r>
      <w:r w:rsidR="00F64B25">
        <w:t xml:space="preserve">Sigerův </w:t>
      </w:r>
      <w:r w:rsidR="00C70E3F">
        <w:t xml:space="preserve">student </w:t>
      </w:r>
      <w:r w:rsidR="001E305C" w:rsidRPr="003D1E07">
        <w:t>Dante</w:t>
      </w:r>
      <w:r w:rsidR="001E305C" w:rsidRPr="003D1E07">
        <w:fldChar w:fldCharType="begin"/>
      </w:r>
      <w:r w:rsidR="001E305C" w:rsidRPr="003D1E07">
        <w:instrText xml:space="preserve"> XE "Dante, A." </w:instrText>
      </w:r>
      <w:r w:rsidR="001E305C" w:rsidRPr="003D1E07">
        <w:fldChar w:fldCharType="end"/>
      </w:r>
      <w:r w:rsidR="001E305C" w:rsidRPr="003D1E07">
        <w:t xml:space="preserve"> </w:t>
      </w:r>
      <w:r w:rsidR="00F64B25">
        <w:t xml:space="preserve">pochopil </w:t>
      </w:r>
      <w:r w:rsidR="0865774C" w:rsidRPr="003D1E07">
        <w:t xml:space="preserve">význam Averroesova termínu </w:t>
      </w:r>
      <w:r w:rsidR="0865774C" w:rsidRPr="003D1E07">
        <w:rPr>
          <w:i/>
        </w:rPr>
        <w:t xml:space="preserve">quartum </w:t>
      </w:r>
      <w:r w:rsidR="00636BD4" w:rsidRPr="006459C2">
        <w:rPr>
          <w:i/>
        </w:rPr>
        <w:t>genus</w:t>
      </w:r>
      <w:r w:rsidR="0865774C" w:rsidRPr="003D1E07">
        <w:t xml:space="preserve"> pro jednotu lidstva. Dante použil koncept </w:t>
      </w:r>
      <w:r w:rsidR="0865774C" w:rsidRPr="003D1E07">
        <w:rPr>
          <w:i/>
        </w:rPr>
        <w:t xml:space="preserve">quartum </w:t>
      </w:r>
      <w:r w:rsidR="00636BD4" w:rsidRPr="006459C2">
        <w:rPr>
          <w:i/>
        </w:rPr>
        <w:t>genus</w:t>
      </w:r>
      <w:r w:rsidR="0865774C" w:rsidRPr="003D1E07">
        <w:t xml:space="preserve"> v modu univerzální supozice receptivního intelektu (</w:t>
      </w:r>
      <w:r w:rsidR="0865774C" w:rsidRPr="003D1E07">
        <w:rPr>
          <w:i/>
        </w:rPr>
        <w:t>universitas humana</w:t>
      </w:r>
      <w:r w:rsidR="0865774C" w:rsidRPr="003D1E07">
        <w:rPr>
          <w:i/>
        </w:rPr>
        <w:fldChar w:fldCharType="begin"/>
      </w:r>
      <w:r w:rsidR="0865774C" w:rsidRPr="003D1E07">
        <w:instrText xml:space="preserve"> XE "</w:instrText>
      </w:r>
      <w:r w:rsidR="0865774C" w:rsidRPr="003D1E07">
        <w:rPr>
          <w:i/>
        </w:rPr>
        <w:instrText>universitas humana</w:instrText>
      </w:r>
      <w:r w:rsidR="0865774C" w:rsidRPr="003D1E07">
        <w:instrText xml:space="preserve">" </w:instrText>
      </w:r>
      <w:r w:rsidR="0865774C" w:rsidRPr="003D1E07">
        <w:rPr>
          <w:i/>
        </w:rPr>
        <w:fldChar w:fldCharType="end"/>
      </w:r>
      <w:r w:rsidR="0865774C" w:rsidRPr="003D1E07">
        <w:t xml:space="preserve">) pro humanistické pojetí </w:t>
      </w:r>
      <w:r w:rsidR="0865774C" w:rsidRPr="003D1E07">
        <w:rPr>
          <w:i/>
        </w:rPr>
        <w:t>intellectus possibilis</w:t>
      </w:r>
      <w:r w:rsidR="00B94D69" w:rsidRPr="003D1E07">
        <w:t xml:space="preserve"> (OBJ III, kap. 4.4.3).</w:t>
      </w:r>
      <w:r w:rsidR="0865774C" w:rsidRPr="003D1E07">
        <w:t xml:space="preserve"> Receptivní intelekt </w:t>
      </w:r>
      <w:r w:rsidR="005840EC" w:rsidRPr="003D1E07">
        <w:t xml:space="preserve">jako </w:t>
      </w:r>
      <w:r w:rsidR="005840EC" w:rsidRPr="003D1E07">
        <w:rPr>
          <w:i/>
        </w:rPr>
        <w:t>quartum genus</w:t>
      </w:r>
      <w:r w:rsidR="005840EC" w:rsidRPr="003D1E07">
        <w:t xml:space="preserve"> </w:t>
      </w:r>
      <w:r w:rsidR="0865774C" w:rsidRPr="003D1E07">
        <w:t xml:space="preserve">vytváří specifickou diferenci mezi člověkem, zvířetem a kosmickými inteligencemi a tím definuje jednotu lidstva jako </w:t>
      </w:r>
      <w:r w:rsidR="00F214C5" w:rsidRPr="003D1E07">
        <w:t>species</w:t>
      </w:r>
      <w:r w:rsidR="0865774C" w:rsidRPr="003D1E07">
        <w:t xml:space="preserve">. Dante </w:t>
      </w:r>
      <w:r w:rsidR="0865774C" w:rsidRPr="003D1E07">
        <w:lastRenderedPageBreak/>
        <w:t xml:space="preserve">vezme specifičnost receptivního intelektu jako univerzální koncept, který definuje základní vlastnost lidstva jako druhu. Skrze tuto dedukci je jednota lidstva dána vědecky správně v modu apodiktického </w:t>
      </w:r>
      <w:r w:rsidR="0865774C" w:rsidRPr="003D1E07">
        <w:rPr>
          <w:i/>
        </w:rPr>
        <w:t>demonstratio</w:t>
      </w:r>
      <w:r w:rsidR="0865774C" w:rsidRPr="003D1E07">
        <w:t xml:space="preserve">, a ne pouze analogicky nebo mytopoeticky jako v moderně. V linii </w:t>
      </w:r>
      <w:r w:rsidR="007C5A96">
        <w:t>„</w:t>
      </w:r>
      <w:r w:rsidR="0865774C" w:rsidRPr="003D1E07">
        <w:t>Averroe</w:t>
      </w:r>
      <w:r w:rsidR="08A17B90" w:rsidRPr="003D1E07">
        <w:t>s</w:t>
      </w:r>
      <w:r w:rsidR="0865774C" w:rsidRPr="003D1E07">
        <w:t xml:space="preserve"> – Siger – Dante</w:t>
      </w:r>
      <w:r w:rsidR="007C5A96">
        <w:t>“</w:t>
      </w:r>
      <w:r w:rsidR="0865774C" w:rsidRPr="003D1E07">
        <w:t xml:space="preserve"> vznikla anti</w:t>
      </w:r>
      <w:r w:rsidR="0865774C" w:rsidRPr="003D1E07">
        <w:noBreakHyphen/>
        <w:t>moderní forma západního humanismu</w:t>
      </w:r>
      <w:r w:rsidR="0878424A" w:rsidRPr="003D1E07">
        <w:fldChar w:fldCharType="begin"/>
      </w:r>
      <w:r w:rsidR="0878424A" w:rsidRPr="003D1E07">
        <w:instrText xml:space="preserve"> XE "humanismus" </w:instrText>
      </w:r>
      <w:r w:rsidR="0878424A" w:rsidRPr="003D1E07">
        <w:fldChar w:fldCharType="end"/>
      </w:r>
      <w:r w:rsidR="0865774C" w:rsidRPr="003D1E07">
        <w:t xml:space="preserve"> daného jako adekvace lidského intelektu v modu </w:t>
      </w:r>
      <w:r w:rsidR="0865774C" w:rsidRPr="003D1E07">
        <w:rPr>
          <w:i/>
        </w:rPr>
        <w:t>tertium</w:t>
      </w:r>
      <w:r w:rsidR="0865774C" w:rsidRPr="003D1E07">
        <w:t xml:space="preserve"> a </w:t>
      </w:r>
      <w:r w:rsidR="0865774C" w:rsidRPr="003D1E07">
        <w:rPr>
          <w:i/>
        </w:rPr>
        <w:t>quartum</w:t>
      </w:r>
      <w:r w:rsidR="0865774C" w:rsidRPr="003D1E07">
        <w:t xml:space="preserve"> </w:t>
      </w:r>
      <w:r w:rsidR="0865774C" w:rsidRPr="006459C2">
        <w:rPr>
          <w:i/>
        </w:rPr>
        <w:t>genus</w:t>
      </w:r>
      <w:r w:rsidR="0865774C" w:rsidRPr="003D1E07">
        <w:t>.</w:t>
      </w:r>
      <w:r w:rsidR="08142411" w:rsidRPr="003D1E07">
        <w:t xml:space="preserve"> </w:t>
      </w:r>
      <w:r w:rsidR="08D9587E" w:rsidRPr="003D1E07">
        <w:t xml:space="preserve">V žádném případě nejde o intelekt jako moderní jsoucno třetího druhu, jak to </w:t>
      </w:r>
      <w:r w:rsidR="00FE105E">
        <w:t xml:space="preserve">Sigerovi a </w:t>
      </w:r>
      <w:r w:rsidR="08D9587E" w:rsidRPr="003D1E07">
        <w:t>Dantovi</w:t>
      </w:r>
      <w:r w:rsidR="0820047D" w:rsidRPr="003D1E07">
        <w:fldChar w:fldCharType="begin"/>
      </w:r>
      <w:r w:rsidR="0820047D" w:rsidRPr="003D1E07">
        <w:instrText xml:space="preserve"> XE "Dante, A." </w:instrText>
      </w:r>
      <w:r w:rsidR="0820047D" w:rsidRPr="003D1E07">
        <w:fldChar w:fldCharType="end"/>
      </w:r>
      <w:r w:rsidR="08D9587E" w:rsidRPr="003D1E07">
        <w:t xml:space="preserve"> sofisticky vyčetli tehdejší a dnešní averroisté. </w:t>
      </w:r>
      <w:r w:rsidR="08500E5A" w:rsidRPr="003D1E07">
        <w:t xml:space="preserve">Tím se ukázala nepravda humanistického řešení Avicenny, jehož koncept objektivní </w:t>
      </w:r>
      <w:r w:rsidR="08500E5A" w:rsidRPr="003D1E07">
        <w:rPr>
          <w:i/>
        </w:rPr>
        <w:t>humanitas</w:t>
      </w:r>
      <w:r w:rsidR="08852462" w:rsidRPr="003D1E07">
        <w:rPr>
          <w:i/>
          <w:lang w:eastAsia="en-US"/>
        </w:rPr>
        <w:fldChar w:fldCharType="begin"/>
      </w:r>
      <w:r w:rsidR="08852462" w:rsidRPr="003D1E07">
        <w:instrText xml:space="preserve"> XE "</w:instrText>
      </w:r>
      <w:r w:rsidR="08852462" w:rsidRPr="003D1E07">
        <w:rPr>
          <w:i/>
        </w:rPr>
        <w:instrText>humanitas:</w:instrText>
      </w:r>
      <w:r w:rsidR="08852462" w:rsidRPr="003D1E07">
        <w:instrText xml:space="preserve">Avicenna" </w:instrText>
      </w:r>
      <w:r w:rsidR="08852462" w:rsidRPr="003D1E07">
        <w:rPr>
          <w:i/>
          <w:lang w:eastAsia="en-US"/>
        </w:rPr>
        <w:fldChar w:fldCharType="end"/>
      </w:r>
      <w:r w:rsidR="08500E5A" w:rsidRPr="003D1E07">
        <w:t xml:space="preserve"> stojí na nasvícení poznání od darovaného intelektu</w:t>
      </w:r>
      <w:r w:rsidR="00A05535" w:rsidRPr="003D1E07">
        <w:t xml:space="preserve"> jak</w:t>
      </w:r>
      <w:r w:rsidR="003A59B3" w:rsidRPr="003D1E07">
        <w:t xml:space="preserve">o </w:t>
      </w:r>
      <w:r w:rsidR="003A59B3" w:rsidRPr="003D1E07">
        <w:rPr>
          <w:i/>
        </w:rPr>
        <w:t>tertium ens</w:t>
      </w:r>
      <w:r w:rsidR="08500E5A" w:rsidRPr="003D1E07">
        <w:t xml:space="preserve">. </w:t>
      </w:r>
      <w:r w:rsidR="08852462" w:rsidRPr="003D1E07">
        <w:t>Podle Ko</w:t>
      </w:r>
      <w:r w:rsidR="08500E5A" w:rsidRPr="003D1E07">
        <w:t>mentátor</w:t>
      </w:r>
      <w:r w:rsidR="08852462" w:rsidRPr="003D1E07">
        <w:t>a</w:t>
      </w:r>
      <w:r w:rsidR="08500E5A" w:rsidRPr="003D1E07">
        <w:t xml:space="preserve"> tento substační a hypostázovaný i</w:t>
      </w:r>
      <w:r w:rsidR="08F10721" w:rsidRPr="003D1E07">
        <w:t xml:space="preserve">ntelekt v člověku neexistuje, </w:t>
      </w:r>
      <w:r w:rsidR="08500E5A" w:rsidRPr="003D1E07">
        <w:t xml:space="preserve">proto neexistuje ani jeho moderní nosič jako subjekt. </w:t>
      </w:r>
      <w:r w:rsidR="003C140E" w:rsidRPr="003D1E07">
        <w:t xml:space="preserve">Trestající Fúrie vedly paranoický moderní humanismus </w:t>
      </w:r>
      <w:r w:rsidR="08D9587E" w:rsidRPr="003D1E07">
        <w:t xml:space="preserve">do mytopoetického blouznění </w:t>
      </w:r>
      <w:r w:rsidR="003C140E" w:rsidRPr="003D1E07">
        <w:t>objek</w:t>
      </w:r>
      <w:r w:rsidR="005B2F8A" w:rsidRPr="003D1E07">
        <w:t xml:space="preserve">tivní postmoderny </w:t>
      </w:r>
      <w:r w:rsidR="08D9587E" w:rsidRPr="003D1E07">
        <w:t xml:space="preserve">a do vyhlazovacích táborů </w:t>
      </w:r>
      <w:r w:rsidR="005B2F8A" w:rsidRPr="003D1E07">
        <w:t xml:space="preserve">nihilismu </w:t>
      </w:r>
      <w:r w:rsidR="08D9587E" w:rsidRPr="003D1E07">
        <w:t xml:space="preserve">XX. století. </w:t>
      </w:r>
    </w:p>
    <w:p w14:paraId="2B02BB66" w14:textId="3B135247" w:rsidR="00591ABB" w:rsidRPr="003D1E07" w:rsidRDefault="087A1773" w:rsidP="00591ABB">
      <w:r w:rsidRPr="003D1E07">
        <w:tab/>
      </w:r>
      <w:r w:rsidR="00C74F37" w:rsidRPr="003D1E07">
        <w:t>K</w:t>
      </w:r>
      <w:r w:rsidR="002625E4" w:rsidRPr="003D1E07">
        <w:t xml:space="preserve">omentář </w:t>
      </w:r>
      <w:r w:rsidR="08951054" w:rsidRPr="003D1E07">
        <w:t xml:space="preserve">CMDA </w:t>
      </w:r>
      <w:r w:rsidR="002625E4" w:rsidRPr="003D1E07">
        <w:t>odmítá pro materiální intelekt v člověku jako</w:t>
      </w:r>
      <w:r w:rsidRPr="003D1E07">
        <w:t>ukoli</w:t>
      </w:r>
      <w:r w:rsidR="00E60CB2">
        <w:t>v formu aktuality</w:t>
      </w:r>
      <w:r w:rsidR="0042343E">
        <w:t xml:space="preserve"> na úrovni samostatné hypostáze nebo substance</w:t>
      </w:r>
      <w:r w:rsidR="00E60CB2">
        <w:t>, která</w:t>
      </w:r>
      <w:r w:rsidRPr="003D1E07">
        <w:t xml:space="preserve"> je nezbytná </w:t>
      </w:r>
      <w:r w:rsidR="002625E4" w:rsidRPr="003D1E07">
        <w:t>pro ustavení</w:t>
      </w:r>
      <w:r w:rsidR="00F72A1C" w:rsidRPr="003D1E07">
        <w:t xml:space="preserve"> minimální entity</w:t>
      </w:r>
      <w:r w:rsidR="002625E4" w:rsidRPr="003D1E07">
        <w:t xml:space="preserve"> a univocity jsou</w:t>
      </w:r>
      <w:r w:rsidR="009C4BF5" w:rsidRPr="003D1E07">
        <w:t>c</w:t>
      </w:r>
      <w:r w:rsidR="002625E4" w:rsidRPr="003D1E07">
        <w:t>na</w:t>
      </w:r>
      <w:r w:rsidR="009C4BF5" w:rsidRPr="003D1E07">
        <w:t xml:space="preserve"> třetího druhu</w:t>
      </w:r>
      <w:r w:rsidR="002625E4" w:rsidRPr="003D1E07">
        <w:t>.</w:t>
      </w:r>
      <w:r w:rsidR="009C4BF5" w:rsidRPr="003D1E07">
        <w:t xml:space="preserve"> </w:t>
      </w:r>
      <w:r w:rsidR="007D4857" w:rsidRPr="003D1E07">
        <w:t>Vraťme se ke klíčovému citátu analyzovanému v předešlé kapitole na základě dvou na sebe navazujících procesů smyslové a inteligibilní intencionality (</w:t>
      </w:r>
      <w:r w:rsidR="0007448D" w:rsidRPr="003D1E07">
        <w:rPr>
          <w:i/>
        </w:rPr>
        <w:t>proportio ad has duas intentiones</w:t>
      </w:r>
      <w:r w:rsidR="0007448D" w:rsidRPr="003D1E07">
        <w:t xml:space="preserve">, </w:t>
      </w:r>
      <w:r w:rsidR="007D4857" w:rsidRPr="003D1E07">
        <w:t>CMDA III.6; 415.62‒68</w:t>
      </w:r>
      <w:r w:rsidR="003D692C" w:rsidRPr="003D1E07">
        <w:rPr>
          <w:i/>
        </w:rPr>
        <w:fldChar w:fldCharType="begin"/>
      </w:r>
      <w:r w:rsidR="003D692C" w:rsidRPr="003D1E07">
        <w:instrText xml:space="preserve"> XE "</w:instrText>
      </w:r>
      <w:r w:rsidR="002E3B62" w:rsidRPr="003D1E07">
        <w:instrText>Averroes</w:instrText>
      </w:r>
      <w:r w:rsidR="003D692C" w:rsidRPr="003D1E07">
        <w:instrText xml:space="preserve">:CMDA 415.62‒68" </w:instrText>
      </w:r>
      <w:r w:rsidR="003D692C" w:rsidRPr="003D1E07">
        <w:rPr>
          <w:i/>
        </w:rPr>
        <w:fldChar w:fldCharType="end"/>
      </w:r>
      <w:r w:rsidR="007D4857" w:rsidRPr="003D1E07">
        <w:t xml:space="preserve">). </w:t>
      </w:r>
      <w:r w:rsidR="0819131D" w:rsidRPr="003D1E07">
        <w:t xml:space="preserve">Komentář rehabilitoval pojetí intencionality a abstrakce ve smyslu aristotelského </w:t>
      </w:r>
      <w:r w:rsidR="0819131D" w:rsidRPr="003D1E07">
        <w:rPr>
          <w:i/>
        </w:rPr>
        <w:t xml:space="preserve">abstractio </w:t>
      </w:r>
      <w:r w:rsidR="0819131D" w:rsidRPr="003D1E07">
        <w:t>od reálné první substance</w:t>
      </w:r>
      <w:r w:rsidR="08DD7ECB" w:rsidRPr="003D1E07">
        <w:t xml:space="preserve">. Toto pojetí </w:t>
      </w:r>
      <w:r w:rsidR="0819131D" w:rsidRPr="003D1E07">
        <w:t xml:space="preserve">devalorizoval Avicenna skrze proces </w:t>
      </w:r>
      <w:r w:rsidR="00874074" w:rsidRPr="003D1E07">
        <w:t>neoplatonsk</w:t>
      </w:r>
      <w:r w:rsidR="0819131D" w:rsidRPr="003D1E07">
        <w:t xml:space="preserve">ého </w:t>
      </w:r>
      <w:r w:rsidR="0819131D" w:rsidRPr="003D1E07">
        <w:rPr>
          <w:i/>
        </w:rPr>
        <w:t>denudatio</w:t>
      </w:r>
      <w:r w:rsidR="00D44795" w:rsidRPr="003D1E07">
        <w:rPr>
          <w:i/>
        </w:rPr>
        <w:fldChar w:fldCharType="begin"/>
      </w:r>
      <w:r w:rsidR="00D44795" w:rsidRPr="003D1E07">
        <w:instrText xml:space="preserve"> XE "</w:instrText>
      </w:r>
      <w:r w:rsidR="00D44795" w:rsidRPr="003D1E07">
        <w:rPr>
          <w:i/>
        </w:rPr>
        <w:instrText>denudatio</w:instrText>
      </w:r>
      <w:r w:rsidR="00D44795" w:rsidRPr="003D1E07">
        <w:instrText xml:space="preserve">" </w:instrText>
      </w:r>
      <w:r w:rsidR="00D44795" w:rsidRPr="003D1E07">
        <w:rPr>
          <w:i/>
        </w:rPr>
        <w:fldChar w:fldCharType="end"/>
      </w:r>
      <w:r w:rsidR="00006E89" w:rsidRPr="003D1E07">
        <w:t>, který</w:t>
      </w:r>
      <w:r w:rsidR="08DD7ECB" w:rsidRPr="003D1E07">
        <w:t>m</w:t>
      </w:r>
      <w:r w:rsidR="00006E89" w:rsidRPr="003D1E07">
        <w:t xml:space="preserve"> </w:t>
      </w:r>
      <w:r w:rsidR="009C4BF5" w:rsidRPr="003D1E07">
        <w:t xml:space="preserve">ustavuje minimální porci jsoucnosti pro </w:t>
      </w:r>
      <w:r w:rsidR="009C4BF5" w:rsidRPr="003D1E07">
        <w:rPr>
          <w:i/>
        </w:rPr>
        <w:t>tertium ens</w:t>
      </w:r>
      <w:r w:rsidR="003F16A5" w:rsidRPr="003D1E07">
        <w:rPr>
          <w:i/>
        </w:rPr>
        <w:fldChar w:fldCharType="begin"/>
      </w:r>
      <w:r w:rsidR="003F16A5" w:rsidRPr="003D1E07">
        <w:instrText xml:space="preserve"> XE "</w:instrText>
      </w:r>
      <w:r w:rsidR="003D692C" w:rsidRPr="003D1E07">
        <w:rPr>
          <w:i/>
        </w:rPr>
        <w:instrText>ens diminutum</w:instrText>
      </w:r>
      <w:r w:rsidR="003F16A5" w:rsidRPr="003D1E07">
        <w:instrText xml:space="preserve">" </w:instrText>
      </w:r>
      <w:r w:rsidR="003F16A5" w:rsidRPr="003D1E07">
        <w:rPr>
          <w:i/>
        </w:rPr>
        <w:fldChar w:fldCharType="end"/>
      </w:r>
      <w:r w:rsidR="009C4BF5" w:rsidRPr="003D1E07">
        <w:t xml:space="preserve"> (</w:t>
      </w:r>
      <w:r w:rsidR="00A02939" w:rsidRPr="003D1E07">
        <w:rPr>
          <w:i/>
          <w:lang w:eastAsia="en-US"/>
        </w:rPr>
        <w:t>esse diminutum</w:t>
      </w:r>
      <w:r w:rsidR="00A02939" w:rsidRPr="003D1E07">
        <w:rPr>
          <w:i/>
          <w:lang w:eastAsia="en-US"/>
        </w:rPr>
        <w:fldChar w:fldCharType="begin"/>
      </w:r>
      <w:r w:rsidR="00A02939" w:rsidRPr="003D1E07">
        <w:instrText xml:space="preserve"> XE "</w:instrText>
      </w:r>
      <w:r w:rsidR="00A02939" w:rsidRPr="003D1E07">
        <w:rPr>
          <w:i/>
          <w:lang w:eastAsia="en-US"/>
        </w:rPr>
        <w:instrText>esse diminutum</w:instrText>
      </w:r>
      <w:r w:rsidR="00A02939" w:rsidRPr="003D1E07">
        <w:instrText xml:space="preserve">" </w:instrText>
      </w:r>
      <w:r w:rsidR="00A02939" w:rsidRPr="003D1E07">
        <w:rPr>
          <w:i/>
          <w:lang w:eastAsia="en-US"/>
        </w:rPr>
        <w:fldChar w:fldCharType="end"/>
      </w:r>
      <w:r w:rsidR="00A02939" w:rsidRPr="003D1E07">
        <w:rPr>
          <w:i/>
          <w:lang w:eastAsia="en-US"/>
        </w:rPr>
        <w:t xml:space="preserve">, </w:t>
      </w:r>
      <w:r w:rsidR="009C4BF5" w:rsidRPr="003D1E07">
        <w:t xml:space="preserve">kap. 2.3.2). </w:t>
      </w:r>
      <w:r w:rsidR="08A233A3" w:rsidRPr="003D1E07">
        <w:t xml:space="preserve">Následující </w:t>
      </w:r>
      <w:r w:rsidR="00591ABB" w:rsidRPr="003D1E07">
        <w:t xml:space="preserve">pasáž určuje </w:t>
      </w:r>
      <w:r w:rsidR="00591ABB" w:rsidRPr="003D1E07">
        <w:rPr>
          <w:i/>
        </w:rPr>
        <w:t>intellectus materialis</w:t>
      </w:r>
      <w:r w:rsidR="00591ABB" w:rsidRPr="003D1E07">
        <w:t xml:space="preserve"> </w:t>
      </w:r>
      <w:r w:rsidR="006044B8" w:rsidRPr="003D1E07">
        <w:t xml:space="preserve">ve vztahu k obsahu myšlení jako dále </w:t>
      </w:r>
      <w:r w:rsidR="008E63FA" w:rsidRPr="003D1E07">
        <w:t xml:space="preserve">nedělitelné </w:t>
      </w:r>
      <w:r w:rsidR="006044B8" w:rsidRPr="003D1E07">
        <w:t>obecnině</w:t>
      </w:r>
      <w:r w:rsidR="008E63FA" w:rsidRPr="003D1E07">
        <w:t xml:space="preserve"> (</w:t>
      </w:r>
      <w:r w:rsidR="08A37981" w:rsidRPr="003D1E07">
        <w:rPr>
          <w:i/>
        </w:rPr>
        <w:t>intellectu</w:t>
      </w:r>
      <w:r w:rsidR="006E46A3" w:rsidRPr="003D1E07">
        <w:rPr>
          <w:i/>
        </w:rPr>
        <w:t>s secundum quod sunt entia simpliciter</w:t>
      </w:r>
      <w:r w:rsidR="008E63FA" w:rsidRPr="003D1E07">
        <w:t>)</w:t>
      </w:r>
      <w:r w:rsidR="006044B8" w:rsidRPr="003D1E07">
        <w:t xml:space="preserve">. </w:t>
      </w:r>
      <w:r w:rsidR="0007448D" w:rsidRPr="003D1E07">
        <w:t>Spekulativní i</w:t>
      </w:r>
      <w:r w:rsidR="006044B8" w:rsidRPr="003D1E07">
        <w:t xml:space="preserve">ntelekt </w:t>
      </w:r>
      <w:r w:rsidR="0007448D" w:rsidRPr="003D1E07">
        <w:rPr>
          <w:i/>
          <w:szCs w:val="30"/>
        </w:rPr>
        <w:fldChar w:fldCharType="begin"/>
      </w:r>
      <w:r w:rsidR="0007448D" w:rsidRPr="003D1E07">
        <w:instrText xml:space="preserve"> XE "</w:instrText>
      </w:r>
      <w:r w:rsidR="0821155B" w:rsidRPr="003D1E07">
        <w:rPr>
          <w:i/>
        </w:rPr>
        <w:instrText>intellectus speculativus</w:instrText>
      </w:r>
      <w:r w:rsidR="0007448D" w:rsidRPr="003D1E07">
        <w:instrText xml:space="preserve">" </w:instrText>
      </w:r>
      <w:r w:rsidR="0007448D" w:rsidRPr="003D1E07">
        <w:rPr>
          <w:i/>
          <w:szCs w:val="30"/>
        </w:rPr>
        <w:fldChar w:fldCharType="end"/>
      </w:r>
      <w:r w:rsidR="08E8302E" w:rsidRPr="003D1E07">
        <w:t xml:space="preserve">jako </w:t>
      </w:r>
      <w:r w:rsidR="080D24FE" w:rsidRPr="003D1E07">
        <w:t xml:space="preserve">přirozená schopnost člověka a lidstva </w:t>
      </w:r>
      <w:r w:rsidR="006044B8" w:rsidRPr="003D1E07">
        <w:t xml:space="preserve">vystupuje jako </w:t>
      </w:r>
      <w:r w:rsidR="00591ABB" w:rsidRPr="003D1E07">
        <w:t>univerzální pojem</w:t>
      </w:r>
      <w:r w:rsidR="003C0D55" w:rsidRPr="003D1E07">
        <w:t xml:space="preserve">. Ten </w:t>
      </w:r>
      <w:r w:rsidR="08E23C66" w:rsidRPr="003D1E07">
        <w:t xml:space="preserve">zajišťuje </w:t>
      </w:r>
      <w:r w:rsidR="006044B8" w:rsidRPr="003D1E07">
        <w:t xml:space="preserve">univoční </w:t>
      </w:r>
      <w:r w:rsidR="089B7343" w:rsidRPr="003D1E07">
        <w:t>obsah</w:t>
      </w:r>
      <w:r w:rsidR="0029181D" w:rsidRPr="003D1E07">
        <w:t xml:space="preserve"> myšlení</w:t>
      </w:r>
      <w:r w:rsidR="089B7343" w:rsidRPr="003D1E07">
        <w:t xml:space="preserve"> </w:t>
      </w:r>
      <w:r w:rsidR="00A14008" w:rsidRPr="003D1E07">
        <w:t xml:space="preserve">pro </w:t>
      </w:r>
      <w:r w:rsidR="089B7343" w:rsidRPr="003D1E07">
        <w:t>všech</w:t>
      </w:r>
      <w:r w:rsidR="00A14008" w:rsidRPr="003D1E07">
        <w:t>ny</w:t>
      </w:r>
      <w:r w:rsidR="089B7343" w:rsidRPr="003D1E07">
        <w:t xml:space="preserve"> </w:t>
      </w:r>
      <w:r w:rsidR="003C0D55" w:rsidRPr="003D1E07">
        <w:t xml:space="preserve">individuálně pojaté </w:t>
      </w:r>
      <w:r w:rsidR="089B7343" w:rsidRPr="003D1E07">
        <w:t>lid</w:t>
      </w:r>
      <w:r w:rsidR="00A14008" w:rsidRPr="003D1E07">
        <w:t>i</w:t>
      </w:r>
      <w:r w:rsidR="0029181D" w:rsidRPr="003D1E07">
        <w:t xml:space="preserve">. </w:t>
      </w:r>
    </w:p>
    <w:p w14:paraId="22DC08C1" w14:textId="2BF79D15" w:rsidR="00C62C36" w:rsidRPr="003D1E07" w:rsidRDefault="006153BC" w:rsidP="00C62C36">
      <w:pPr>
        <w:pStyle w:val="Citace"/>
        <w:rPr>
          <w:noProof/>
          <w:lang w:val="cs-CZ"/>
        </w:rPr>
      </w:pPr>
      <w:r w:rsidRPr="003D1E07">
        <w:rPr>
          <w:noProof/>
          <w:lang w:val="cs-CZ"/>
        </w:rPr>
        <w:t>„</w:t>
      </w:r>
      <w:r w:rsidR="00C62C36" w:rsidRPr="003D1E07">
        <w:rPr>
          <w:noProof/>
          <w:lang w:val="cs-CZ"/>
        </w:rPr>
        <w:t>Na základě tohoto pojetí (</w:t>
      </w:r>
      <w:r w:rsidR="00C62C36" w:rsidRPr="003D1E07">
        <w:rPr>
          <w:i/>
          <w:lang w:val="cs-CZ"/>
        </w:rPr>
        <w:t>ex hoc modo</w:t>
      </w:r>
      <w:r w:rsidR="00C62C36" w:rsidRPr="003D1E07">
        <w:rPr>
          <w:noProof/>
          <w:lang w:val="cs-CZ"/>
        </w:rPr>
        <w:t>) můžeme říci, že spekulativní intelekt je jeden ve všech lidech  (</w:t>
      </w:r>
      <w:r w:rsidR="00C62C36" w:rsidRPr="003D1E07">
        <w:rPr>
          <w:i/>
          <w:noProof/>
          <w:szCs w:val="30"/>
          <w:lang w:val="cs-CZ"/>
        </w:rPr>
        <w:t>intellectus speculativus est unus in omnibus</w:t>
      </w:r>
      <w:r w:rsidR="00C62C36" w:rsidRPr="003D1E07">
        <w:rPr>
          <w:noProof/>
          <w:lang w:val="cs-CZ"/>
        </w:rPr>
        <w:t>). V tomto případě chápeme poznatky tohoto intelektu jako čisté univerzálie (</w:t>
      </w:r>
      <w:r w:rsidR="00C62C36" w:rsidRPr="003D1E07">
        <w:rPr>
          <w:i/>
          <w:noProof/>
          <w:lang w:val="cs-CZ"/>
        </w:rPr>
        <w:t>secundum quod sunt entia simpliciter</w:t>
      </w:r>
      <w:r w:rsidR="00C62C36" w:rsidRPr="003D1E07">
        <w:rPr>
          <w:noProof/>
          <w:lang w:val="cs-CZ"/>
        </w:rPr>
        <w:t xml:space="preserve">), které nemají </w:t>
      </w:r>
      <w:r w:rsidR="004965FB" w:rsidRPr="003D1E07">
        <w:rPr>
          <w:noProof/>
          <w:lang w:val="cs-CZ"/>
        </w:rPr>
        <w:t>vztah ke konkrétní</w:t>
      </w:r>
      <w:r w:rsidR="00484537" w:rsidRPr="003D1E07">
        <w:rPr>
          <w:noProof/>
          <w:lang w:val="cs-CZ"/>
        </w:rPr>
        <w:t xml:space="preserve"> osobě </w:t>
      </w:r>
      <w:r w:rsidR="00C62C36" w:rsidRPr="003D1E07">
        <w:rPr>
          <w:noProof/>
          <w:lang w:val="cs-CZ"/>
        </w:rPr>
        <w:t>(</w:t>
      </w:r>
      <w:r w:rsidR="004965FB" w:rsidRPr="003D1E07">
        <w:rPr>
          <w:i/>
          <w:szCs w:val="30"/>
          <w:lang w:val="cs-CZ"/>
        </w:rPr>
        <w:t>non in respectu alicuius individui</w:t>
      </w:r>
      <w:r w:rsidR="00C62C36" w:rsidRPr="003D1E07">
        <w:rPr>
          <w:noProof/>
          <w:lang w:val="cs-CZ"/>
        </w:rPr>
        <w:t>)</w:t>
      </w:r>
      <w:r w:rsidR="004965FB" w:rsidRPr="003D1E07">
        <w:rPr>
          <w:noProof/>
          <w:lang w:val="cs-CZ"/>
        </w:rPr>
        <w:t>. Pak je správně řečeno, že je tento intelekt věčný (</w:t>
      </w:r>
      <w:r w:rsidR="08A27E77" w:rsidRPr="003D1E07">
        <w:rPr>
          <w:i/>
          <w:szCs w:val="30"/>
          <w:lang w:val="cs-CZ"/>
        </w:rPr>
        <w:t>dicuntur</w:t>
      </w:r>
      <w:r w:rsidR="08A27E77" w:rsidRPr="003D1E07">
        <w:rPr>
          <w:szCs w:val="30"/>
          <w:lang w:val="cs-CZ"/>
        </w:rPr>
        <w:t xml:space="preserve"> </w:t>
      </w:r>
      <w:r w:rsidR="004965FB" w:rsidRPr="003D1E07">
        <w:rPr>
          <w:i/>
          <w:szCs w:val="30"/>
          <w:lang w:val="cs-CZ"/>
        </w:rPr>
        <w:t xml:space="preserve">esse </w:t>
      </w:r>
      <w:r w:rsidR="00B61152" w:rsidRPr="003D1E07">
        <w:rPr>
          <w:i/>
          <w:szCs w:val="30"/>
          <w:lang w:val="cs-CZ"/>
        </w:rPr>
        <w:t>a</w:t>
      </w:r>
      <w:r w:rsidR="004965FB" w:rsidRPr="003D1E07">
        <w:rPr>
          <w:i/>
          <w:szCs w:val="30"/>
          <w:lang w:val="cs-CZ"/>
        </w:rPr>
        <w:t>eterna</w:t>
      </w:r>
      <w:r w:rsidR="004965FB" w:rsidRPr="003D1E07">
        <w:rPr>
          <w:noProof/>
          <w:lang w:val="cs-CZ"/>
        </w:rPr>
        <w:t>), protože ne</w:t>
      </w:r>
      <w:r w:rsidR="005F6A85">
        <w:rPr>
          <w:noProof/>
          <w:lang w:val="cs-CZ"/>
        </w:rPr>
        <w:t>myslí, k</w:t>
      </w:r>
      <w:r w:rsidR="004965FB" w:rsidRPr="003D1E07">
        <w:rPr>
          <w:noProof/>
          <w:lang w:val="cs-CZ"/>
        </w:rPr>
        <w:t>dyž chce nebo nechce, ale vždy</w:t>
      </w:r>
      <w:r w:rsidR="00527650" w:rsidRPr="003D1E07">
        <w:rPr>
          <w:noProof/>
          <w:lang w:val="cs-CZ"/>
        </w:rPr>
        <w:t xml:space="preserve"> (</w:t>
      </w:r>
      <w:r w:rsidR="00527650" w:rsidRPr="003D1E07">
        <w:rPr>
          <w:i/>
          <w:szCs w:val="30"/>
          <w:lang w:val="cs-CZ"/>
        </w:rPr>
        <w:t>sed semper</w:t>
      </w:r>
      <w:r w:rsidR="00527650" w:rsidRPr="003D1E07">
        <w:rPr>
          <w:noProof/>
          <w:lang w:val="cs-CZ"/>
        </w:rPr>
        <w:t>)</w:t>
      </w:r>
      <w:r w:rsidR="004965FB" w:rsidRPr="003D1E07">
        <w:rPr>
          <w:noProof/>
          <w:lang w:val="cs-CZ"/>
        </w:rPr>
        <w:t>.“ </w:t>
      </w:r>
      <w:r w:rsidR="00C62C36" w:rsidRPr="003D1E07">
        <w:rPr>
          <w:rStyle w:val="Znakapoznpodarou"/>
          <w:noProof/>
          <w:sz w:val="21"/>
          <w:szCs w:val="17"/>
          <w:lang w:val="cs-CZ"/>
        </w:rPr>
        <w:footnoteReference w:id="261"/>
      </w:r>
    </w:p>
    <w:p w14:paraId="5299A85A" w14:textId="152A0685" w:rsidR="00834EDE" w:rsidRDefault="08387215" w:rsidP="00591ABB">
      <w:r w:rsidRPr="003D1E07">
        <w:lastRenderedPageBreak/>
        <w:t xml:space="preserve">Citát pojednává intelekt jako </w:t>
      </w:r>
      <w:r w:rsidR="00636BD4" w:rsidRPr="003D1E07">
        <w:t>genus</w:t>
      </w:r>
      <w:r w:rsidRPr="003D1E07">
        <w:t xml:space="preserve"> v rámci univerzali</w:t>
      </w:r>
      <w:r w:rsidR="000A4889" w:rsidRPr="003D1E07">
        <w:t>ty druhé substan</w:t>
      </w:r>
      <w:r w:rsidR="086C6A18" w:rsidRPr="003D1E07">
        <w:t>ce</w:t>
      </w:r>
      <w:r w:rsidR="00A70FA4" w:rsidRPr="003D1E07">
        <w:fldChar w:fldCharType="begin"/>
      </w:r>
      <w:r w:rsidR="00A70FA4" w:rsidRPr="003D1E07">
        <w:instrText xml:space="preserve"> XE "substance</w:instrText>
      </w:r>
      <w:r w:rsidR="007109A6" w:rsidRPr="003D1E07">
        <w:instrText>:druhá</w:instrText>
      </w:r>
      <w:r w:rsidR="00A70FA4" w:rsidRPr="003D1E07">
        <w:instrText xml:space="preserve">" </w:instrText>
      </w:r>
      <w:r w:rsidR="00A70FA4" w:rsidRPr="003D1E07">
        <w:fldChar w:fldCharType="end"/>
      </w:r>
      <w:r w:rsidR="086C6A18" w:rsidRPr="003D1E07">
        <w:t xml:space="preserve"> (</w:t>
      </w:r>
      <w:r w:rsidR="086C6A18" w:rsidRPr="003D1E07">
        <w:rPr>
          <w:i/>
        </w:rPr>
        <w:t>secundum quod sunt entia simpliciter</w:t>
      </w:r>
      <w:r w:rsidR="086C6A18" w:rsidRPr="003D1E07">
        <w:t xml:space="preserve">). Nejde tedy o první substanci danou </w:t>
      </w:r>
      <w:r w:rsidR="08BD22CC" w:rsidRPr="003D1E07">
        <w:t xml:space="preserve">aktuálně </w:t>
      </w:r>
      <w:r w:rsidR="086C6A18" w:rsidRPr="003D1E07">
        <w:rPr>
          <w:i/>
        </w:rPr>
        <w:t>simpliciter</w:t>
      </w:r>
      <w:r w:rsidR="006950C6" w:rsidRPr="003D1E07">
        <w:t xml:space="preserve"> v</w:t>
      </w:r>
      <w:r w:rsidR="00D52F00" w:rsidRPr="003D1E07">
        <w:t xml:space="preserve"> hyparchickém </w:t>
      </w:r>
      <w:r w:rsidR="006950C6" w:rsidRPr="003D1E07">
        <w:t xml:space="preserve">modu </w:t>
      </w:r>
      <w:r w:rsidR="00914973">
        <w:t>existence, která zakládá impoziční predikaci</w:t>
      </w:r>
      <w:r w:rsidR="006950C6" w:rsidRPr="003D1E07">
        <w:t xml:space="preserve"> </w:t>
      </w:r>
      <w:r w:rsidR="006950C6" w:rsidRPr="003D1E07">
        <w:rPr>
          <w:i/>
        </w:rPr>
        <w:t>per prius</w:t>
      </w:r>
      <w:r w:rsidR="006950C6" w:rsidRPr="003D1E07">
        <w:t>. T</w:t>
      </w:r>
      <w:r w:rsidR="086C6A18" w:rsidRPr="003D1E07">
        <w:t xml:space="preserve">o by intelekt </w:t>
      </w:r>
      <w:r w:rsidR="00FB38F4" w:rsidRPr="003D1E07">
        <w:t xml:space="preserve">jako univerzálie </w:t>
      </w:r>
      <w:r w:rsidR="086C6A18" w:rsidRPr="003D1E07">
        <w:t xml:space="preserve">byl </w:t>
      </w:r>
      <w:r w:rsidR="007B5BA3" w:rsidRPr="003D1E07">
        <w:t xml:space="preserve">daný </w:t>
      </w:r>
      <w:r w:rsidR="086C6A18" w:rsidRPr="003D1E07">
        <w:t xml:space="preserve">ve formě </w:t>
      </w:r>
      <w:r w:rsidR="00446506" w:rsidRPr="003D1E07">
        <w:t xml:space="preserve">substance a vytěsnil by </w:t>
      </w:r>
      <w:r w:rsidR="00490FE4" w:rsidRPr="003D1E07">
        <w:t xml:space="preserve">jedinečnou </w:t>
      </w:r>
      <w:r w:rsidR="00446506" w:rsidRPr="003D1E07">
        <w:t xml:space="preserve">substanci </w:t>
      </w:r>
      <w:r w:rsidR="08A233A3" w:rsidRPr="003D1E07">
        <w:t>v hyparchickém modu ipseity danou</w:t>
      </w:r>
      <w:r w:rsidR="00446506" w:rsidRPr="003D1E07">
        <w:t xml:space="preserve"> jako </w:t>
      </w:r>
      <w:r w:rsidR="08E140C5" w:rsidRPr="003D1E07">
        <w:t>„</w:t>
      </w:r>
      <w:r w:rsidR="08F10721" w:rsidRPr="003D1E07">
        <w:t>tento myslící Sokrates</w:t>
      </w:r>
      <w:r w:rsidR="08E140C5" w:rsidRPr="003D1E07">
        <w:t>“</w:t>
      </w:r>
      <w:r w:rsidR="086C6A18" w:rsidRPr="003D1E07">
        <w:t xml:space="preserve">. </w:t>
      </w:r>
      <w:r w:rsidR="00A94F8A" w:rsidRPr="003D1E07">
        <w:t xml:space="preserve">Kategoriální predikace </w:t>
      </w:r>
      <w:r w:rsidR="00820945" w:rsidRPr="003D1E07">
        <w:t xml:space="preserve">postupuje </w:t>
      </w:r>
      <w:r w:rsidR="000F3D32" w:rsidRPr="003D1E07">
        <w:t xml:space="preserve">v rámci univerzální predikace </w:t>
      </w:r>
      <w:r w:rsidR="004935B8" w:rsidRPr="003D1E07">
        <w:rPr>
          <w:i/>
        </w:rPr>
        <w:t>per posterius</w:t>
      </w:r>
      <w:r w:rsidR="004935B8" w:rsidRPr="003D1E07">
        <w:rPr>
          <w:i/>
        </w:rPr>
        <w:fldChar w:fldCharType="begin"/>
      </w:r>
      <w:r w:rsidR="004935B8" w:rsidRPr="003D1E07">
        <w:instrText xml:space="preserve"> XE "predikace:</w:instrText>
      </w:r>
      <w:r w:rsidR="004935B8" w:rsidRPr="003D1E07">
        <w:rPr>
          <w:i/>
        </w:rPr>
        <w:instrText>per posterius</w:instrText>
      </w:r>
      <w:r w:rsidR="004935B8" w:rsidRPr="003D1E07">
        <w:instrText xml:space="preserve">" </w:instrText>
      </w:r>
      <w:r w:rsidR="004935B8" w:rsidRPr="003D1E07">
        <w:rPr>
          <w:i/>
        </w:rPr>
        <w:fldChar w:fldCharType="end"/>
      </w:r>
      <w:r w:rsidR="004935B8" w:rsidRPr="003D1E07">
        <w:t xml:space="preserve"> </w:t>
      </w:r>
      <w:r w:rsidR="000F3D32" w:rsidRPr="003D1E07">
        <w:t xml:space="preserve">směrem od nadřazeného </w:t>
      </w:r>
      <w:r w:rsidR="00636BD4" w:rsidRPr="003D1E07">
        <w:t>genus</w:t>
      </w:r>
      <w:r w:rsidR="000F3D32" w:rsidRPr="003D1E07">
        <w:t xml:space="preserve"> ke </w:t>
      </w:r>
      <w:r w:rsidR="00F214C5" w:rsidRPr="003D1E07">
        <w:t>species</w:t>
      </w:r>
      <w:r w:rsidR="00000D52" w:rsidRPr="003D1E07">
        <w:t xml:space="preserve"> (</w:t>
      </w:r>
      <w:r w:rsidR="00000D52" w:rsidRPr="003D1E07">
        <w:rPr>
          <w:i/>
        </w:rPr>
        <w:t>Cat</w:t>
      </w:r>
      <w:r w:rsidR="00000D52" w:rsidRPr="003D1E07">
        <w:t>. 2a15–16</w:t>
      </w:r>
      <w:r w:rsidR="007109A6" w:rsidRPr="003D1E07">
        <w:rPr>
          <w:i/>
        </w:rPr>
        <w:fldChar w:fldCharType="begin"/>
      </w:r>
      <w:r w:rsidR="007109A6" w:rsidRPr="003D1E07">
        <w:instrText xml:space="preserve"> XE "</w:instrText>
      </w:r>
      <w:r w:rsidR="008E02F5" w:rsidRPr="003D1E07">
        <w:instrText>Aristoteles</w:instrText>
      </w:r>
      <w:r w:rsidR="007109A6" w:rsidRPr="003D1E07">
        <w:instrText>:</w:instrText>
      </w:r>
      <w:r w:rsidR="007109A6" w:rsidRPr="003D1E07">
        <w:rPr>
          <w:i/>
        </w:rPr>
        <w:instrText>Cat</w:instrText>
      </w:r>
      <w:r w:rsidR="007109A6" w:rsidRPr="003D1E07">
        <w:instrText xml:space="preserve">. 2a15–16" </w:instrText>
      </w:r>
      <w:r w:rsidR="007109A6" w:rsidRPr="003D1E07">
        <w:rPr>
          <w:i/>
        </w:rPr>
        <w:fldChar w:fldCharType="end"/>
      </w:r>
      <w:r w:rsidR="00000D52" w:rsidRPr="003D1E07">
        <w:t>)</w:t>
      </w:r>
      <w:r w:rsidR="000F3D32" w:rsidRPr="003D1E07">
        <w:t xml:space="preserve">. </w:t>
      </w:r>
      <w:r w:rsidR="000D11F0" w:rsidRPr="003D1E07">
        <w:t xml:space="preserve">Z hlediska </w:t>
      </w:r>
      <w:r w:rsidR="000D11F0" w:rsidRPr="003D1E07">
        <w:rPr>
          <w:i/>
        </w:rPr>
        <w:t>Arbor Porphyriana</w:t>
      </w:r>
      <w:r w:rsidR="000D11F0" w:rsidRPr="003D1E07">
        <w:rPr>
          <w:i/>
        </w:rPr>
        <w:fldChar w:fldCharType="begin"/>
      </w:r>
      <w:r w:rsidR="000D11F0" w:rsidRPr="003D1E07">
        <w:instrText xml:space="preserve"> XE "</w:instrText>
      </w:r>
      <w:r w:rsidR="000D11F0" w:rsidRPr="003D1E07">
        <w:rPr>
          <w:i/>
        </w:rPr>
        <w:instrText>Arbor Porphyriana</w:instrText>
      </w:r>
      <w:r w:rsidR="000D11F0" w:rsidRPr="003D1E07">
        <w:instrText xml:space="preserve">" </w:instrText>
      </w:r>
      <w:r w:rsidR="000D11F0" w:rsidRPr="003D1E07">
        <w:rPr>
          <w:i/>
        </w:rPr>
        <w:fldChar w:fldCharType="end"/>
      </w:r>
      <w:r w:rsidR="000D11F0" w:rsidRPr="003D1E07">
        <w:t xml:space="preserve"> jde o klasické dělení v rámci univerzálií, kdy je rod dělen specifickou diferencí na podřízená species (</w:t>
      </w:r>
      <w:r w:rsidR="000D11F0" w:rsidRPr="003D1E07">
        <w:rPr>
          <w:i/>
        </w:rPr>
        <w:t>animal</w:t>
      </w:r>
      <w:r w:rsidR="00D67EF5">
        <w:t>–</w:t>
      </w:r>
      <w:r w:rsidR="000D11F0" w:rsidRPr="003D1E07">
        <w:rPr>
          <w:i/>
        </w:rPr>
        <w:t>rationale</w:t>
      </w:r>
      <w:r w:rsidR="00D67EF5">
        <w:t>–</w:t>
      </w:r>
      <w:r w:rsidR="000D11F0" w:rsidRPr="003D1E07">
        <w:rPr>
          <w:i/>
        </w:rPr>
        <w:t>homo</w:t>
      </w:r>
      <w:r w:rsidR="000D11F0" w:rsidRPr="003D1E07">
        <w:t xml:space="preserve">). </w:t>
      </w:r>
      <w:r w:rsidR="00591ABB" w:rsidRPr="003D1E07">
        <w:t xml:space="preserve">Máme jeden </w:t>
      </w:r>
      <w:r w:rsidR="00591ABB" w:rsidRPr="003D1E07">
        <w:rPr>
          <w:i/>
        </w:rPr>
        <w:t>intellectus materialis</w:t>
      </w:r>
      <w:r w:rsidR="00591ABB" w:rsidRPr="003D1E07">
        <w:t xml:space="preserve"> jako </w:t>
      </w:r>
      <w:r w:rsidR="00636BD4" w:rsidRPr="003D1E07">
        <w:t>genus</w:t>
      </w:r>
      <w:r w:rsidR="00591ABB" w:rsidRPr="003D1E07">
        <w:t xml:space="preserve"> </w:t>
      </w:r>
      <w:r w:rsidR="00C863B4" w:rsidRPr="003D1E07">
        <w:t>v rámci univoční predikace</w:t>
      </w:r>
      <w:r w:rsidR="007B5BA3" w:rsidRPr="003D1E07">
        <w:t xml:space="preserve"> vztažené k obecně lidské schopnosti receptivního intelektu</w:t>
      </w:r>
      <w:r w:rsidR="00C863B4" w:rsidRPr="003D1E07">
        <w:t xml:space="preserve">. </w:t>
      </w:r>
      <w:r w:rsidR="00DD1E49" w:rsidRPr="003D1E07">
        <w:t xml:space="preserve">Tato abstrakce je </w:t>
      </w:r>
      <w:r w:rsidR="08495F78" w:rsidRPr="003D1E07">
        <w:t xml:space="preserve">dána </w:t>
      </w:r>
      <w:r w:rsidR="08495F78" w:rsidRPr="003D1E07">
        <w:rPr>
          <w:i/>
        </w:rPr>
        <w:t>simpliciter</w:t>
      </w:r>
      <w:r w:rsidR="00681563" w:rsidRPr="003D1E07">
        <w:t xml:space="preserve"> jako </w:t>
      </w:r>
      <w:r w:rsidR="0074537A" w:rsidRPr="003D1E07">
        <w:t xml:space="preserve">specifická </w:t>
      </w:r>
      <w:r w:rsidR="00681563" w:rsidRPr="003D1E07">
        <w:t xml:space="preserve">univerzálie a </w:t>
      </w:r>
      <w:r w:rsidR="08495F78" w:rsidRPr="003D1E07">
        <w:t xml:space="preserve">intelekt </w:t>
      </w:r>
      <w:r w:rsidR="00583811" w:rsidRPr="003D1E07">
        <w:t xml:space="preserve">jako </w:t>
      </w:r>
      <w:r w:rsidR="00F214C5" w:rsidRPr="003D1E07">
        <w:t>species</w:t>
      </w:r>
      <w:r w:rsidR="00583811" w:rsidRPr="003D1E07">
        <w:t xml:space="preserve"> </w:t>
      </w:r>
      <w:r w:rsidR="004C6D87" w:rsidRPr="003D1E07">
        <w:t>představu</w:t>
      </w:r>
      <w:r w:rsidR="08495F78" w:rsidRPr="003D1E07">
        <w:t xml:space="preserve">je nemateriální schopnost </w:t>
      </w:r>
      <w:r w:rsidR="087570DC" w:rsidRPr="003D1E07">
        <w:t xml:space="preserve">lidské </w:t>
      </w:r>
      <w:r w:rsidR="08495F78" w:rsidRPr="003D1E07">
        <w:t>duše jako formy</w:t>
      </w:r>
      <w:r w:rsidR="087570DC" w:rsidRPr="003D1E07">
        <w:t xml:space="preserve"> těla</w:t>
      </w:r>
      <w:r w:rsidR="08495F78" w:rsidRPr="003D1E07">
        <w:t xml:space="preserve">. </w:t>
      </w:r>
      <w:r w:rsidR="00F214C5" w:rsidRPr="003D1E07">
        <w:t>Species</w:t>
      </w:r>
      <w:r w:rsidR="00591ABB" w:rsidRPr="003D1E07">
        <w:t xml:space="preserve"> </w:t>
      </w:r>
      <w:r w:rsidR="08495F78" w:rsidRPr="003D1E07">
        <w:t>tohot</w:t>
      </w:r>
      <w:r w:rsidR="08C735E9" w:rsidRPr="003D1E07">
        <w:t>o</w:t>
      </w:r>
      <w:r w:rsidR="08495F78" w:rsidRPr="003D1E07">
        <w:t xml:space="preserve"> rodu </w:t>
      </w:r>
      <w:r w:rsidR="009334F3" w:rsidRPr="003D1E07">
        <w:t>(</w:t>
      </w:r>
      <w:r w:rsidR="009334F3" w:rsidRPr="003D1E07">
        <w:rPr>
          <w:i/>
        </w:rPr>
        <w:t>anima intellectiva</w:t>
      </w:r>
      <w:r w:rsidR="009334F3" w:rsidRPr="003D1E07">
        <w:t xml:space="preserve">) </w:t>
      </w:r>
      <w:r w:rsidR="00591ABB" w:rsidRPr="003D1E07">
        <w:t xml:space="preserve">je daný jako </w:t>
      </w:r>
      <w:r w:rsidR="00591ABB" w:rsidRPr="003D1E07">
        <w:rPr>
          <w:i/>
        </w:rPr>
        <w:t>intellectus speculativus</w:t>
      </w:r>
      <w:r w:rsidR="00DF1B39" w:rsidRPr="003D1E07">
        <w:rPr>
          <w:i/>
        </w:rPr>
        <w:fldChar w:fldCharType="begin"/>
      </w:r>
      <w:r w:rsidR="00DF1B39" w:rsidRPr="003D1E07">
        <w:instrText xml:space="preserve"> XE "</w:instrText>
      </w:r>
      <w:r w:rsidR="0821155B" w:rsidRPr="003D1E07">
        <w:rPr>
          <w:i/>
        </w:rPr>
        <w:instrText>intellectus speculativus</w:instrText>
      </w:r>
      <w:r w:rsidR="00DF1B39" w:rsidRPr="003D1E07">
        <w:instrText xml:space="preserve">" </w:instrText>
      </w:r>
      <w:r w:rsidR="00DF1B39" w:rsidRPr="003D1E07">
        <w:rPr>
          <w:i/>
        </w:rPr>
        <w:fldChar w:fldCharType="end"/>
      </w:r>
      <w:r w:rsidR="0880074B" w:rsidRPr="003D1E07">
        <w:t xml:space="preserve">. Tento druh </w:t>
      </w:r>
      <w:r w:rsidR="08E948D5" w:rsidRPr="003D1E07">
        <w:t xml:space="preserve">výsledného </w:t>
      </w:r>
      <w:r w:rsidR="0880074B" w:rsidRPr="003D1E07">
        <w:t xml:space="preserve">intelektu vzniká díky </w:t>
      </w:r>
      <w:r w:rsidR="00591ABB" w:rsidRPr="003D1E07">
        <w:t>specifické diferenci</w:t>
      </w:r>
      <w:r w:rsidR="00817454" w:rsidRPr="003D1E07">
        <w:t xml:space="preserve"> dané </w:t>
      </w:r>
      <w:r w:rsidR="086C4386" w:rsidRPr="003D1E07">
        <w:t xml:space="preserve">rozdílem „akt aktuálního </w:t>
      </w:r>
      <w:r w:rsidR="00817454" w:rsidRPr="003D1E07">
        <w:t>myšlení</w:t>
      </w:r>
      <w:r w:rsidR="086C4386" w:rsidRPr="003D1E07">
        <w:t>“ versus „univerzální myšlenkový</w:t>
      </w:r>
      <w:r w:rsidR="00817454" w:rsidRPr="003D1E07">
        <w:t xml:space="preserve"> obsah</w:t>
      </w:r>
      <w:r w:rsidR="086C4386" w:rsidRPr="003D1E07">
        <w:t>“</w:t>
      </w:r>
      <w:r w:rsidR="00817454" w:rsidRPr="003D1E07">
        <w:t xml:space="preserve">. </w:t>
      </w:r>
      <w:r w:rsidR="00733241" w:rsidRPr="003D1E07">
        <w:t>Cit</w:t>
      </w:r>
      <w:r w:rsidR="08FC75F7" w:rsidRPr="003D1E07">
        <w:t xml:space="preserve">át se zabývá charakterem tohoto intelektu </w:t>
      </w:r>
      <w:r w:rsidR="00733241" w:rsidRPr="003D1E07">
        <w:t>jako univerzálie</w:t>
      </w:r>
      <w:r w:rsidR="08D20387" w:rsidRPr="003D1E07">
        <w:t xml:space="preserve"> (</w:t>
      </w:r>
      <w:r w:rsidR="08D20387" w:rsidRPr="003D1E07">
        <w:rPr>
          <w:i/>
        </w:rPr>
        <w:t>intellectum</w:t>
      </w:r>
      <w:r w:rsidR="08D20387" w:rsidRPr="003D1E07">
        <w:t>)</w:t>
      </w:r>
      <w:r w:rsidR="00733241" w:rsidRPr="003D1E07">
        <w:t xml:space="preserve">, která vzniká díky </w:t>
      </w:r>
      <w:r w:rsidR="00C5475E" w:rsidRPr="003D1E07">
        <w:t xml:space="preserve">abstrakci od </w:t>
      </w:r>
      <w:r w:rsidR="00733241" w:rsidRPr="003D1E07">
        <w:t>činnosti individuálního intelektu (</w:t>
      </w:r>
      <w:r w:rsidR="00733241" w:rsidRPr="003D1E07">
        <w:rPr>
          <w:i/>
        </w:rPr>
        <w:t>intellectio</w:t>
      </w:r>
      <w:r w:rsidR="003A18E3">
        <w:rPr>
          <w:i/>
        </w:rPr>
        <w:fldChar w:fldCharType="begin"/>
      </w:r>
      <w:r w:rsidR="003A18E3">
        <w:instrText xml:space="preserve"> XE "</w:instrText>
      </w:r>
      <w:r w:rsidR="003A18E3" w:rsidRPr="00AF0BD5">
        <w:rPr>
          <w:i/>
        </w:rPr>
        <w:instrText>intellectio/intellectum</w:instrText>
      </w:r>
      <w:r w:rsidR="003A18E3">
        <w:instrText xml:space="preserve">" </w:instrText>
      </w:r>
      <w:r w:rsidR="003A18E3">
        <w:rPr>
          <w:i/>
        </w:rPr>
        <w:fldChar w:fldCharType="end"/>
      </w:r>
      <w:r w:rsidR="00733241" w:rsidRPr="003D1E07">
        <w:t xml:space="preserve">). </w:t>
      </w:r>
      <w:r w:rsidR="007D48E4" w:rsidRPr="003D1E07">
        <w:t xml:space="preserve">Rozdíl mezi </w:t>
      </w:r>
      <w:r w:rsidR="007D48E4" w:rsidRPr="003D1E07">
        <w:rPr>
          <w:i/>
        </w:rPr>
        <w:t>intellectum</w:t>
      </w:r>
      <w:r w:rsidR="007D48E4" w:rsidRPr="003D1E07">
        <w:t xml:space="preserve"> a </w:t>
      </w:r>
      <w:r w:rsidR="007D48E4" w:rsidRPr="003D1E07">
        <w:rPr>
          <w:i/>
        </w:rPr>
        <w:t xml:space="preserve">intellectio </w:t>
      </w:r>
      <w:r w:rsidR="00F65CA4" w:rsidRPr="003D1E07">
        <w:t xml:space="preserve">je </w:t>
      </w:r>
      <w:r w:rsidR="006468B6" w:rsidRPr="003D1E07">
        <w:t xml:space="preserve">naprosto </w:t>
      </w:r>
      <w:r w:rsidR="00F65CA4" w:rsidRPr="003D1E07">
        <w:t>zásadní</w:t>
      </w:r>
      <w:r w:rsidR="00A172AF" w:rsidRPr="003D1E07">
        <w:rPr>
          <w:rStyle w:val="Zkladntext184"/>
          <w:rFonts w:ascii="Calibri" w:eastAsia="Times" w:hAnsi="Calibri" w:cs="Times New Roman"/>
          <w:color w:val="auto"/>
          <w:spacing w:val="0"/>
          <w:sz w:val="24"/>
          <w:lang w:val="cs-CZ"/>
        </w:rPr>
        <w:fldChar w:fldCharType="begin"/>
      </w:r>
      <w:r w:rsidR="00A172AF" w:rsidRPr="003D1E07">
        <w:instrText xml:space="preserve"> XE "</w:instrText>
      </w:r>
      <w:r w:rsidR="00A172AF" w:rsidRPr="003D1E07">
        <w:rPr>
          <w:rStyle w:val="FontStyle129"/>
          <w:rFonts w:ascii="Calibri" w:hAnsi="Calibri"/>
          <w:sz w:val="24"/>
        </w:rPr>
        <w:instrText>intelekt:numericky jednotný</w:instrText>
      </w:r>
      <w:r w:rsidR="00A172AF" w:rsidRPr="003D1E07">
        <w:instrText xml:space="preserve">" </w:instrText>
      </w:r>
      <w:r w:rsidR="00A172AF" w:rsidRPr="003D1E07">
        <w:rPr>
          <w:rStyle w:val="Zkladntext184"/>
          <w:rFonts w:ascii="Calibri" w:eastAsia="Times" w:hAnsi="Calibri" w:cs="Times New Roman"/>
          <w:color w:val="auto"/>
          <w:spacing w:val="0"/>
          <w:sz w:val="24"/>
          <w:lang w:val="cs-CZ"/>
        </w:rPr>
        <w:fldChar w:fldCharType="end"/>
      </w:r>
      <w:r w:rsidR="00501C7B" w:rsidRPr="003D1E07">
        <w:rPr>
          <w:rStyle w:val="Zkladntext184"/>
          <w:rFonts w:ascii="Calibri" w:eastAsia="Times" w:hAnsi="Calibri" w:cs="Times New Roman"/>
          <w:color w:val="auto"/>
          <w:spacing w:val="0"/>
          <w:sz w:val="24"/>
          <w:lang w:val="cs-CZ"/>
        </w:rPr>
        <w:t>, protože odděluje oba mody kategoriální predikace intelektu daného buď existenciálně</w:t>
      </w:r>
      <w:r w:rsidR="08E948D5" w:rsidRPr="003D1E07">
        <w:rPr>
          <w:rStyle w:val="Zkladntext184"/>
          <w:rFonts w:ascii="Calibri" w:eastAsia="Times" w:hAnsi="Calibri" w:cs="Times New Roman"/>
          <w:color w:val="auto"/>
          <w:spacing w:val="0"/>
          <w:sz w:val="24"/>
          <w:lang w:val="cs-CZ"/>
        </w:rPr>
        <w:t xml:space="preserve"> (</w:t>
      </w:r>
      <w:r w:rsidR="08E948D5" w:rsidRPr="003D1E07">
        <w:rPr>
          <w:rStyle w:val="Zkladntext184"/>
          <w:rFonts w:ascii="Calibri" w:eastAsia="Times" w:hAnsi="Calibri" w:cs="Times New Roman"/>
          <w:i/>
          <w:color w:val="auto"/>
          <w:spacing w:val="0"/>
          <w:sz w:val="24"/>
          <w:lang w:val="cs-CZ"/>
        </w:rPr>
        <w:t>impositio</w:t>
      </w:r>
      <w:r w:rsidR="08E948D5" w:rsidRPr="003D1E07">
        <w:rPr>
          <w:rStyle w:val="Zkladntext184"/>
          <w:rFonts w:ascii="Calibri" w:eastAsia="Times" w:hAnsi="Calibri" w:cs="Times New Roman"/>
          <w:color w:val="auto"/>
          <w:spacing w:val="0"/>
          <w:sz w:val="24"/>
          <w:lang w:val="cs-CZ"/>
        </w:rPr>
        <w:t>)</w:t>
      </w:r>
      <w:r w:rsidR="00501C7B" w:rsidRPr="003D1E07">
        <w:rPr>
          <w:rStyle w:val="Zkladntext184"/>
          <w:rFonts w:ascii="Calibri" w:eastAsia="Times" w:hAnsi="Calibri" w:cs="Times New Roman"/>
          <w:color w:val="auto"/>
          <w:spacing w:val="0"/>
          <w:sz w:val="24"/>
          <w:lang w:val="cs-CZ"/>
        </w:rPr>
        <w:t>, nebo specificky</w:t>
      </w:r>
      <w:r w:rsidR="08E948D5" w:rsidRPr="003D1E07">
        <w:rPr>
          <w:rStyle w:val="Zkladntext184"/>
          <w:rFonts w:ascii="Calibri" w:eastAsia="Times" w:hAnsi="Calibri" w:cs="Times New Roman"/>
          <w:color w:val="auto"/>
          <w:spacing w:val="0"/>
          <w:sz w:val="24"/>
          <w:lang w:val="cs-CZ"/>
        </w:rPr>
        <w:t xml:space="preserve"> (</w:t>
      </w:r>
      <w:r w:rsidR="08E948D5" w:rsidRPr="003D1E07">
        <w:rPr>
          <w:rStyle w:val="Zkladntext184"/>
          <w:rFonts w:ascii="Calibri" w:eastAsia="Times" w:hAnsi="Calibri" w:cs="Times New Roman"/>
          <w:i/>
          <w:color w:val="auto"/>
          <w:spacing w:val="0"/>
          <w:sz w:val="24"/>
          <w:lang w:val="cs-CZ"/>
        </w:rPr>
        <w:t>suppositio</w:t>
      </w:r>
      <w:r w:rsidR="08E948D5" w:rsidRPr="003D1E07">
        <w:rPr>
          <w:rStyle w:val="Zkladntext184"/>
          <w:rFonts w:ascii="Calibri" w:eastAsia="Times" w:hAnsi="Calibri" w:cs="Times New Roman"/>
          <w:color w:val="auto"/>
          <w:spacing w:val="0"/>
          <w:sz w:val="24"/>
          <w:lang w:val="cs-CZ"/>
        </w:rPr>
        <w:t>)</w:t>
      </w:r>
      <w:r w:rsidR="00501C7B" w:rsidRPr="003D1E07">
        <w:rPr>
          <w:rStyle w:val="Zkladntext184"/>
          <w:rFonts w:ascii="Calibri" w:eastAsia="Times" w:hAnsi="Calibri" w:cs="Times New Roman"/>
          <w:color w:val="auto"/>
          <w:spacing w:val="0"/>
          <w:sz w:val="24"/>
          <w:lang w:val="cs-CZ"/>
        </w:rPr>
        <w:t xml:space="preserve">. </w:t>
      </w:r>
      <w:r w:rsidR="00F65CA4" w:rsidRPr="003D1E07">
        <w:t xml:space="preserve">Albert Veliký </w:t>
      </w:r>
      <w:r w:rsidR="0881087D" w:rsidRPr="003D1E07">
        <w:t xml:space="preserve">okolo roku </w:t>
      </w:r>
      <w:r w:rsidR="00F65CA4" w:rsidRPr="003D1E07">
        <w:t>1240 (</w:t>
      </w:r>
      <w:r w:rsidR="08ED12B2" w:rsidRPr="003D1E07">
        <w:t>OBJ II, kap. 2</w:t>
      </w:r>
      <w:r w:rsidR="009F004A" w:rsidRPr="003D1E07">
        <w:t xml:space="preserve">.4.2) jasně viděl diferenci mezi univerzálním </w:t>
      </w:r>
      <w:r w:rsidR="009F004A" w:rsidRPr="003D1E07">
        <w:rPr>
          <w:i/>
        </w:rPr>
        <w:t>intellectum</w:t>
      </w:r>
      <w:r w:rsidR="009F004A" w:rsidRPr="003D1E07">
        <w:t xml:space="preserve"> a individuálním </w:t>
      </w:r>
      <w:r w:rsidR="009F004A" w:rsidRPr="003D1E07">
        <w:rPr>
          <w:i/>
        </w:rPr>
        <w:t>intellectio</w:t>
      </w:r>
      <w:r w:rsidR="009F004A" w:rsidRPr="003D1E07">
        <w:t xml:space="preserve"> vzhledem k výslednému porozumění (</w:t>
      </w:r>
      <w:r w:rsidR="009F004A" w:rsidRPr="003D1E07">
        <w:rPr>
          <w:i/>
        </w:rPr>
        <w:t>intellectus speculativus</w:t>
      </w:r>
      <w:r w:rsidR="009F004A" w:rsidRPr="003D1E07">
        <w:t xml:space="preserve">). </w:t>
      </w:r>
      <w:r w:rsidR="00591ABB" w:rsidRPr="003D1E07">
        <w:t xml:space="preserve">Materiální intelekt jako univerzálie představuje </w:t>
      </w:r>
      <w:r w:rsidR="004346C6" w:rsidRPr="003D1E07">
        <w:t xml:space="preserve">potenciální </w:t>
      </w:r>
      <w:r w:rsidR="00F214C5" w:rsidRPr="003D1E07">
        <w:t>species</w:t>
      </w:r>
      <w:r w:rsidR="08D83E56" w:rsidRPr="003D1E07">
        <w:t xml:space="preserve"> společnou</w:t>
      </w:r>
      <w:r w:rsidR="00D11302" w:rsidRPr="003D1E07">
        <w:t xml:space="preserve"> pro všechny lidi. </w:t>
      </w:r>
      <w:r w:rsidR="00591ABB" w:rsidRPr="003D1E07">
        <w:t xml:space="preserve">Tato generalizace </w:t>
      </w:r>
      <w:r w:rsidR="000C2006" w:rsidRPr="003D1E07">
        <w:t xml:space="preserve">na úrovni </w:t>
      </w:r>
      <w:r w:rsidR="00F214C5" w:rsidRPr="003D1E07">
        <w:t>species</w:t>
      </w:r>
      <w:r w:rsidR="000C2006" w:rsidRPr="003D1E07">
        <w:t xml:space="preserve"> </w:t>
      </w:r>
      <w:r w:rsidR="00591ABB" w:rsidRPr="003D1E07">
        <w:t xml:space="preserve">je možná, pokud existuje alespoň jedna </w:t>
      </w:r>
      <w:r w:rsidR="001254D2" w:rsidRPr="003D1E07">
        <w:t xml:space="preserve">jediná </w:t>
      </w:r>
      <w:r w:rsidR="00591ABB" w:rsidRPr="003D1E07">
        <w:t xml:space="preserve">aktualizace materiálního intelektu v podobě existujícího </w:t>
      </w:r>
      <w:r w:rsidR="00642573" w:rsidRPr="003D1E07">
        <w:t xml:space="preserve">člověka </w:t>
      </w:r>
      <w:r w:rsidR="00591ABB" w:rsidRPr="003D1E07">
        <w:t>schopného</w:t>
      </w:r>
      <w:r w:rsidR="08F074C0" w:rsidRPr="003D1E07">
        <w:t xml:space="preserve"> myslet</w:t>
      </w:r>
      <w:r w:rsidR="007D48E4" w:rsidRPr="003D1E07">
        <w:t xml:space="preserve"> v rámci svého </w:t>
      </w:r>
      <w:r w:rsidR="007D48E4" w:rsidRPr="003D1E07">
        <w:rPr>
          <w:i/>
        </w:rPr>
        <w:t>intellectio</w:t>
      </w:r>
      <w:r w:rsidR="003A18E3">
        <w:rPr>
          <w:i/>
        </w:rPr>
        <w:fldChar w:fldCharType="begin"/>
      </w:r>
      <w:r w:rsidR="003A18E3">
        <w:instrText xml:space="preserve"> XE "</w:instrText>
      </w:r>
      <w:r w:rsidR="003A18E3" w:rsidRPr="00AF0BD5">
        <w:rPr>
          <w:i/>
        </w:rPr>
        <w:instrText>intellectio/intellectum</w:instrText>
      </w:r>
      <w:r w:rsidR="003A18E3">
        <w:instrText xml:space="preserve">" </w:instrText>
      </w:r>
      <w:r w:rsidR="003A18E3">
        <w:rPr>
          <w:i/>
        </w:rPr>
        <w:fldChar w:fldCharType="end"/>
      </w:r>
      <w:r w:rsidR="00EC7A8A" w:rsidRPr="003D1E07">
        <w:t xml:space="preserve">. Skrze tuto abstrakci proporcionálně </w:t>
      </w:r>
      <w:r w:rsidR="00642573" w:rsidRPr="003D1E07">
        <w:t xml:space="preserve">vznikne intelekt jako </w:t>
      </w:r>
      <w:r w:rsidR="087601B1" w:rsidRPr="003D1E07">
        <w:t xml:space="preserve">univerzální </w:t>
      </w:r>
      <w:r w:rsidR="00F214C5" w:rsidRPr="003D1E07">
        <w:t>species</w:t>
      </w:r>
      <w:r w:rsidR="00642573" w:rsidRPr="003D1E07">
        <w:t xml:space="preserve"> </w:t>
      </w:r>
      <w:r w:rsidR="087601B1" w:rsidRPr="003D1E07">
        <w:t>odvozená od existence první substance</w:t>
      </w:r>
      <w:r w:rsidR="00591ABB" w:rsidRPr="003D1E07">
        <w:t>.</w:t>
      </w:r>
      <w:r w:rsidR="00B85EA4" w:rsidRPr="003D1E07">
        <w:t xml:space="preserve"> </w:t>
      </w:r>
      <w:r w:rsidR="083D1525" w:rsidRPr="003D1E07">
        <w:t xml:space="preserve">Predikace je daná v modu pravdy jako adekvace, tedy od hyparchické existence osoby. Manická moderna naopak vytvořila v mytopoetickém modu </w:t>
      </w:r>
      <w:r w:rsidR="083D1525" w:rsidRPr="003D1E07">
        <w:rPr>
          <w:i/>
        </w:rPr>
        <w:t>ex nihilo</w:t>
      </w:r>
      <w:r w:rsidR="083D1525" w:rsidRPr="003D1E07">
        <w:rPr>
          <w:i/>
        </w:rPr>
        <w:fldChar w:fldCharType="begin"/>
      </w:r>
      <w:r w:rsidR="083D1525" w:rsidRPr="003D1E07">
        <w:instrText xml:space="preserve"> XE "</w:instrText>
      </w:r>
      <w:r w:rsidR="083D1525" w:rsidRPr="003D1E07">
        <w:rPr>
          <w:i/>
        </w:rPr>
        <w:instrText>creatio ex nihilo</w:instrText>
      </w:r>
      <w:r w:rsidR="083D1525" w:rsidRPr="003D1E07">
        <w:instrText xml:space="preserve">" </w:instrText>
      </w:r>
      <w:r w:rsidR="083D1525" w:rsidRPr="003D1E07">
        <w:rPr>
          <w:i/>
        </w:rPr>
        <w:fldChar w:fldCharType="end"/>
      </w:r>
      <w:r w:rsidR="083D1525" w:rsidRPr="003D1E07">
        <w:t xml:space="preserve"> neexistující averroistický intelekt jako hypost</w:t>
      </w:r>
      <w:r w:rsidR="00834EDE">
        <w:t>ázi či substanci třetího druhu.</w:t>
      </w:r>
    </w:p>
    <w:p w14:paraId="6E489FA3" w14:textId="56EFBFE4" w:rsidR="00465DF6" w:rsidRPr="003D1E07" w:rsidRDefault="00DF71D9" w:rsidP="00834EDE">
      <w:pPr>
        <w:ind w:firstLine="397"/>
      </w:pPr>
      <w:r w:rsidRPr="003D1E07">
        <w:t>Prehistorie objektivity upozor</w:t>
      </w:r>
      <w:r w:rsidR="080E184C" w:rsidRPr="003D1E07">
        <w:t xml:space="preserve">nila na klíčovou pasáž v </w:t>
      </w:r>
      <w:r w:rsidR="080E184C" w:rsidRPr="003D1E07">
        <w:rPr>
          <w:i/>
        </w:rPr>
        <w:t>Isagoge</w:t>
      </w:r>
      <w:r w:rsidRPr="003D1E07">
        <w:t xml:space="preserve">, kde </w:t>
      </w:r>
      <w:r w:rsidR="00BB45B1" w:rsidRPr="003D1E07">
        <w:t>Porfyri</w:t>
      </w:r>
      <w:r w:rsidRPr="003D1E07">
        <w:t xml:space="preserve">us používá specifickou formu </w:t>
      </w:r>
      <w:r w:rsidRPr="003D1E07">
        <w:rPr>
          <w:i/>
        </w:rPr>
        <w:t>modus ponens</w:t>
      </w:r>
      <w:r w:rsidR="007109A6" w:rsidRPr="003D1E07">
        <w:rPr>
          <w:i/>
        </w:rPr>
        <w:fldChar w:fldCharType="begin"/>
      </w:r>
      <w:r w:rsidR="007109A6" w:rsidRPr="003D1E07">
        <w:instrText xml:space="preserve"> XE "</w:instrText>
      </w:r>
      <w:r w:rsidR="007109A6" w:rsidRPr="003D1E07">
        <w:rPr>
          <w:i/>
        </w:rPr>
        <w:instrText>modus ponens</w:instrText>
      </w:r>
      <w:r w:rsidR="007109A6" w:rsidRPr="003D1E07">
        <w:instrText xml:space="preserve">" </w:instrText>
      </w:r>
      <w:r w:rsidR="007109A6" w:rsidRPr="003D1E07">
        <w:rPr>
          <w:i/>
        </w:rPr>
        <w:fldChar w:fldCharType="end"/>
      </w:r>
      <w:r w:rsidRPr="003D1E07">
        <w:t xml:space="preserve"> a </w:t>
      </w:r>
      <w:r w:rsidRPr="003D1E07">
        <w:rPr>
          <w:i/>
        </w:rPr>
        <w:t>modus tollens</w:t>
      </w:r>
      <w:r w:rsidR="007109A6" w:rsidRPr="003D1E07">
        <w:rPr>
          <w:i/>
        </w:rPr>
        <w:fldChar w:fldCharType="begin"/>
      </w:r>
      <w:r w:rsidR="007109A6" w:rsidRPr="003D1E07">
        <w:instrText xml:space="preserve"> XE "</w:instrText>
      </w:r>
      <w:r w:rsidR="007109A6" w:rsidRPr="003D1E07">
        <w:rPr>
          <w:i/>
        </w:rPr>
        <w:instrText>modus tollens</w:instrText>
      </w:r>
      <w:r w:rsidR="007109A6" w:rsidRPr="003D1E07">
        <w:instrText xml:space="preserve">" </w:instrText>
      </w:r>
      <w:r w:rsidR="007109A6" w:rsidRPr="003D1E07">
        <w:rPr>
          <w:i/>
        </w:rPr>
        <w:fldChar w:fldCharType="end"/>
      </w:r>
      <w:r w:rsidR="084E7952" w:rsidRPr="003D1E07">
        <w:t xml:space="preserve"> (kap. 1.3</w:t>
      </w:r>
      <w:r w:rsidRPr="003D1E07">
        <w:t xml:space="preserve">). </w:t>
      </w:r>
      <w:r w:rsidR="00D11302" w:rsidRPr="003D1E07">
        <w:t xml:space="preserve">První </w:t>
      </w:r>
      <w:r w:rsidR="00D11302" w:rsidRPr="003D1E07">
        <w:rPr>
          <w:lang w:eastAsia="en-US"/>
        </w:rPr>
        <w:t>substance je dána</w:t>
      </w:r>
      <w:r w:rsidR="08EA34EF" w:rsidRPr="003D1E07">
        <w:rPr>
          <w:lang w:eastAsia="en-US"/>
        </w:rPr>
        <w:t xml:space="preserve"> </w:t>
      </w:r>
      <w:r w:rsidR="08EA34EF" w:rsidRPr="003D1E07">
        <w:rPr>
          <w:i/>
          <w:lang w:eastAsia="en-US"/>
        </w:rPr>
        <w:t>per se</w:t>
      </w:r>
      <w:r w:rsidR="08EA34EF" w:rsidRPr="003D1E07">
        <w:rPr>
          <w:lang w:eastAsia="en-US"/>
        </w:rPr>
        <w:t>, zatímco myšlené obsahy vznikají v mysli až sekundárně, díky existenci první substance, která zakládá akt myšlení.</w:t>
      </w:r>
      <w:r w:rsidR="08EA34EF" w:rsidRPr="003D1E07">
        <w:t xml:space="preserve"> </w:t>
      </w:r>
      <w:r w:rsidR="08892C61" w:rsidRPr="003D1E07">
        <w:t>Receptivní intelekt daný na úr</w:t>
      </w:r>
      <w:r w:rsidR="00555FFF">
        <w:t>o</w:t>
      </w:r>
      <w:r w:rsidR="08892C61" w:rsidRPr="003D1E07">
        <w:t xml:space="preserve">vni </w:t>
      </w:r>
      <w:r w:rsidR="00F214C5" w:rsidRPr="00CA4848">
        <w:rPr>
          <w:i/>
        </w:rPr>
        <w:t>species</w:t>
      </w:r>
      <w:r w:rsidRPr="003D1E07">
        <w:rPr>
          <w:i/>
        </w:rPr>
        <w:t xml:space="preserve"> </w:t>
      </w:r>
      <w:r w:rsidR="08892C61" w:rsidRPr="003D1E07">
        <w:rPr>
          <w:i/>
        </w:rPr>
        <w:t>humana</w:t>
      </w:r>
      <w:r w:rsidR="08892C61" w:rsidRPr="003D1E07">
        <w:t xml:space="preserve"> </w:t>
      </w:r>
      <w:r w:rsidRPr="003D1E07">
        <w:t xml:space="preserve">hraje roli středního </w:t>
      </w:r>
      <w:r w:rsidRPr="003D1E07">
        <w:lastRenderedPageBreak/>
        <w:t>členu v</w:t>
      </w:r>
      <w:r w:rsidR="00555FFF">
        <w:t xml:space="preserve"> impozičním </w:t>
      </w:r>
      <w:r w:rsidRPr="003D1E07">
        <w:t>soudu</w:t>
      </w:r>
      <w:r w:rsidR="00090131">
        <w:t xml:space="preserve"> (</w:t>
      </w:r>
      <w:r w:rsidR="00090131" w:rsidRPr="00090131">
        <w:rPr>
          <w:i/>
        </w:rPr>
        <w:t>medium</w:t>
      </w:r>
      <w:r w:rsidR="00090131">
        <w:t>)</w:t>
      </w:r>
      <w:r w:rsidR="082F537A" w:rsidRPr="003D1E07">
        <w:t>. P</w:t>
      </w:r>
      <w:r w:rsidRPr="003D1E07">
        <w:t>okud je dán druh, pak nutně existuje i</w:t>
      </w:r>
      <w:r w:rsidR="082F537A" w:rsidRPr="003D1E07">
        <w:t xml:space="preserve"> rod</w:t>
      </w:r>
      <w:r w:rsidRPr="003D1E07">
        <w:t xml:space="preserve">. </w:t>
      </w:r>
      <w:r w:rsidR="08C1271E" w:rsidRPr="003D1E07">
        <w:t xml:space="preserve">To platí, protože jen člověk jako </w:t>
      </w:r>
      <w:r w:rsidR="00F214C5" w:rsidRPr="003D1E07">
        <w:t>species</w:t>
      </w:r>
      <w:r w:rsidR="08C1271E" w:rsidRPr="003D1E07">
        <w:t xml:space="preserve"> má </w:t>
      </w:r>
      <w:r w:rsidR="08C1271E" w:rsidRPr="003D1E07">
        <w:rPr>
          <w:i/>
        </w:rPr>
        <w:t>intellectus possibilis</w:t>
      </w:r>
      <w:r w:rsidR="08C1271E" w:rsidRPr="003D1E07">
        <w:t xml:space="preserve">, na rozdíl od zvířat a kosmických inteligencí. </w:t>
      </w:r>
      <w:r w:rsidRPr="003D1E07">
        <w:t xml:space="preserve">Negace </w:t>
      </w:r>
      <w:r w:rsidR="00F214C5" w:rsidRPr="003D1E07">
        <w:t>species</w:t>
      </w:r>
      <w:r w:rsidRPr="003D1E07">
        <w:t xml:space="preserve"> („člověk“) způsobuje neexistenci predikovaného individua („Sokrates“). </w:t>
      </w:r>
      <w:r w:rsidR="08C1271E" w:rsidRPr="003D1E07">
        <w:t xml:space="preserve">A </w:t>
      </w:r>
      <w:r w:rsidR="08C1271E" w:rsidRPr="003D1E07">
        <w:rPr>
          <w:i/>
        </w:rPr>
        <w:t>modus tollens</w:t>
      </w:r>
      <w:r w:rsidR="08C1271E" w:rsidRPr="003D1E07">
        <w:t xml:space="preserve"> platí v modu </w:t>
      </w:r>
      <w:r w:rsidR="08C1271E" w:rsidRPr="003D1E07">
        <w:rPr>
          <w:i/>
        </w:rPr>
        <w:t>destructio primis</w:t>
      </w:r>
      <w:r w:rsidR="08C1271E" w:rsidRPr="003D1E07">
        <w:rPr>
          <w:i/>
        </w:rPr>
        <w:fldChar w:fldCharType="begin"/>
      </w:r>
      <w:r w:rsidR="08C1271E" w:rsidRPr="003D1E07">
        <w:instrText xml:space="preserve"> XE "</w:instrText>
      </w:r>
      <w:r w:rsidR="08C1271E" w:rsidRPr="003D1E07">
        <w:rPr>
          <w:i/>
        </w:rPr>
        <w:instrText>destructio primis</w:instrText>
      </w:r>
      <w:r w:rsidR="08C1271E" w:rsidRPr="003D1E07">
        <w:instrText xml:space="preserve">" </w:instrText>
      </w:r>
      <w:r w:rsidR="08C1271E" w:rsidRPr="003D1E07">
        <w:rPr>
          <w:i/>
        </w:rPr>
        <w:fldChar w:fldCharType="end"/>
      </w:r>
      <w:r w:rsidR="08C1271E" w:rsidRPr="003D1E07">
        <w:t xml:space="preserve"> dané </w:t>
      </w:r>
      <w:r w:rsidR="08E22F7A" w:rsidRPr="003D1E07">
        <w:t xml:space="preserve">metafyzickým </w:t>
      </w:r>
      <w:r w:rsidR="08C1271E" w:rsidRPr="003D1E07">
        <w:t xml:space="preserve">dativem determinujícím původní donaci </w:t>
      </w:r>
      <w:r w:rsidR="0868019B" w:rsidRPr="003D1E07">
        <w:t xml:space="preserve">univerzálního </w:t>
      </w:r>
      <w:r w:rsidR="08C1271E" w:rsidRPr="003D1E07">
        <w:t xml:space="preserve">významu od </w:t>
      </w:r>
      <w:r w:rsidR="0868019B" w:rsidRPr="003D1E07">
        <w:t xml:space="preserve">jedinečného bytí </w:t>
      </w:r>
      <w:r w:rsidR="08C1271E" w:rsidRPr="003D1E07">
        <w:t xml:space="preserve">existující osoby. </w:t>
      </w:r>
      <w:r w:rsidR="00205C00" w:rsidRPr="003D1E07">
        <w:t>D</w:t>
      </w:r>
      <w:r w:rsidR="009851F2" w:rsidRPr="003D1E07">
        <w:t>ojde</w:t>
      </w:r>
      <w:r w:rsidR="00205C00" w:rsidRPr="003D1E07">
        <w:t>-li</w:t>
      </w:r>
      <w:r w:rsidR="009851F2" w:rsidRPr="003D1E07">
        <w:t xml:space="preserve"> k a</w:t>
      </w:r>
      <w:r w:rsidR="009A727D" w:rsidRPr="003D1E07">
        <w:t>ktualizaci</w:t>
      </w:r>
      <w:r w:rsidR="00655682" w:rsidRPr="003D1E07">
        <w:t xml:space="preserve"> </w:t>
      </w:r>
      <w:r w:rsidR="00205C00" w:rsidRPr="003D1E07">
        <w:t xml:space="preserve">individuálního poznání v syntetické schopnosti </w:t>
      </w:r>
      <w:r w:rsidR="006435AD" w:rsidRPr="003D1E07">
        <w:t xml:space="preserve">teoretického </w:t>
      </w:r>
      <w:r w:rsidR="009851F2" w:rsidRPr="003D1E07">
        <w:t>intelektu (</w:t>
      </w:r>
      <w:r w:rsidR="00655682" w:rsidRPr="003D1E07">
        <w:rPr>
          <w:i/>
        </w:rPr>
        <w:t>intellectus speculativus</w:t>
      </w:r>
      <w:r w:rsidR="00DF1B39" w:rsidRPr="003D1E07">
        <w:rPr>
          <w:i/>
        </w:rPr>
        <w:fldChar w:fldCharType="begin"/>
      </w:r>
      <w:r w:rsidR="00DF1B39" w:rsidRPr="003D1E07">
        <w:instrText xml:space="preserve"> XE "</w:instrText>
      </w:r>
      <w:r w:rsidR="0821155B" w:rsidRPr="003D1E07">
        <w:rPr>
          <w:i/>
        </w:rPr>
        <w:instrText>intellectus speculativus</w:instrText>
      </w:r>
      <w:r w:rsidR="00DF1B39" w:rsidRPr="003D1E07">
        <w:instrText xml:space="preserve">" </w:instrText>
      </w:r>
      <w:r w:rsidR="00DF1B39" w:rsidRPr="003D1E07">
        <w:rPr>
          <w:i/>
        </w:rPr>
        <w:fldChar w:fldCharType="end"/>
      </w:r>
      <w:r w:rsidR="009851F2" w:rsidRPr="003D1E07">
        <w:t xml:space="preserve">) </w:t>
      </w:r>
      <w:r w:rsidR="00655682" w:rsidRPr="003D1E07">
        <w:t>alespoň v je</w:t>
      </w:r>
      <w:r w:rsidR="00BE76A9" w:rsidRPr="003D1E07">
        <w:t>dné osobě</w:t>
      </w:r>
      <w:r w:rsidR="008971BC">
        <w:t xml:space="preserve"> (</w:t>
      </w:r>
      <w:r w:rsidR="008971BC" w:rsidRPr="008971BC">
        <w:rPr>
          <w:i/>
        </w:rPr>
        <w:t>tertium genus</w:t>
      </w:r>
      <w:r w:rsidR="008971BC">
        <w:t>)</w:t>
      </w:r>
      <w:r w:rsidR="00655682" w:rsidRPr="003D1E07">
        <w:t xml:space="preserve">, </w:t>
      </w:r>
      <w:r w:rsidR="00205C00" w:rsidRPr="003D1E07">
        <w:t xml:space="preserve">to již </w:t>
      </w:r>
      <w:r w:rsidR="00655682" w:rsidRPr="003D1E07">
        <w:t>stačí k zajištění výměru intelektu jako obecniny</w:t>
      </w:r>
      <w:r w:rsidR="006435AD" w:rsidRPr="003D1E07">
        <w:t xml:space="preserve"> (</w:t>
      </w:r>
      <w:r w:rsidR="006435AD" w:rsidRPr="003D1E07">
        <w:rPr>
          <w:i/>
        </w:rPr>
        <w:t xml:space="preserve">quartum </w:t>
      </w:r>
      <w:r w:rsidR="00636BD4" w:rsidRPr="006459C2">
        <w:rPr>
          <w:i/>
        </w:rPr>
        <w:t>genus</w:t>
      </w:r>
      <w:r w:rsidR="00982C89" w:rsidRPr="003D1E07">
        <w:rPr>
          <w:i/>
        </w:rPr>
        <w:fldChar w:fldCharType="begin"/>
      </w:r>
      <w:r w:rsidR="00982C89" w:rsidRPr="003D1E07">
        <w:instrText xml:space="preserve"> XE "</w:instrText>
      </w:r>
      <w:r w:rsidR="00982C89" w:rsidRPr="003D1E07">
        <w:rPr>
          <w:i/>
        </w:rPr>
        <w:instrText>quartum genus</w:instrText>
      </w:r>
      <w:r w:rsidR="00982C89" w:rsidRPr="003D1E07">
        <w:instrText xml:space="preserve">" </w:instrText>
      </w:r>
      <w:r w:rsidR="00982C89" w:rsidRPr="003D1E07">
        <w:rPr>
          <w:i/>
        </w:rPr>
        <w:fldChar w:fldCharType="end"/>
      </w:r>
      <w:r w:rsidR="006435AD" w:rsidRPr="003D1E07">
        <w:t>)</w:t>
      </w:r>
      <w:r w:rsidR="00655682" w:rsidRPr="003D1E07">
        <w:t xml:space="preserve">. </w:t>
      </w:r>
      <w:r w:rsidR="086F6616" w:rsidRPr="003D1E07">
        <w:t>Stačí, když jed</w:t>
      </w:r>
      <w:r w:rsidR="08F657E2" w:rsidRPr="003D1E07">
        <w:t>n</w:t>
      </w:r>
      <w:r w:rsidR="086F6616" w:rsidRPr="003D1E07">
        <w:t>a</w:t>
      </w:r>
      <w:r w:rsidR="08F657E2" w:rsidRPr="003D1E07">
        <w:t xml:space="preserve"> </w:t>
      </w:r>
      <w:r w:rsidR="086F6616" w:rsidRPr="003D1E07">
        <w:t xml:space="preserve">existující osoba </w:t>
      </w:r>
      <w:r w:rsidR="08F657E2" w:rsidRPr="003D1E07">
        <w:t>myslí univerzálně</w:t>
      </w:r>
      <w:r w:rsidR="08702077" w:rsidRPr="003D1E07">
        <w:t xml:space="preserve"> (</w:t>
      </w:r>
      <w:r w:rsidR="08702077" w:rsidRPr="003D1E07">
        <w:rPr>
          <w:i/>
        </w:rPr>
        <w:t>intellectio</w:t>
      </w:r>
      <w:r w:rsidR="08702077" w:rsidRPr="003D1E07">
        <w:t>),</w:t>
      </w:r>
      <w:r w:rsidR="086F6616" w:rsidRPr="003D1E07">
        <w:t xml:space="preserve"> pro</w:t>
      </w:r>
      <w:r w:rsidR="080447F4" w:rsidRPr="003D1E07">
        <w:t>t</w:t>
      </w:r>
      <w:r w:rsidR="086F6616" w:rsidRPr="003D1E07">
        <w:t>o</w:t>
      </w:r>
      <w:r w:rsidR="080447F4" w:rsidRPr="003D1E07">
        <w:t xml:space="preserve">že </w:t>
      </w:r>
      <w:r w:rsidR="086F6616" w:rsidRPr="003D1E07">
        <w:t xml:space="preserve">ve </w:t>
      </w:r>
      <w:r w:rsidR="080447F4" w:rsidRPr="003D1E07">
        <w:t>své mysli aktualizoval</w:t>
      </w:r>
      <w:r w:rsidR="086F6616" w:rsidRPr="003D1E07">
        <w:t>a</w:t>
      </w:r>
      <w:r w:rsidR="080447F4" w:rsidRPr="003D1E07">
        <w:t xml:space="preserve"> </w:t>
      </w:r>
      <w:r w:rsidR="08702077" w:rsidRPr="003D1E07">
        <w:t>myšlené (</w:t>
      </w:r>
      <w:r w:rsidR="08702077" w:rsidRPr="003D1E07">
        <w:rPr>
          <w:i/>
        </w:rPr>
        <w:t>intellectum</w:t>
      </w:r>
      <w:r w:rsidR="08702077" w:rsidRPr="003D1E07">
        <w:t xml:space="preserve">) </w:t>
      </w:r>
      <w:r w:rsidR="080447F4" w:rsidRPr="003D1E07">
        <w:t xml:space="preserve">jako </w:t>
      </w:r>
      <w:r w:rsidR="00F214C5" w:rsidRPr="003D1E07">
        <w:t>species</w:t>
      </w:r>
      <w:r w:rsidR="00BD7008">
        <w:t xml:space="preserve">. </w:t>
      </w:r>
      <w:r w:rsidR="00897794">
        <w:t>Skrze impozici máme zajištěnu adekvátní abstrakci na úrovni člověka jako metafy</w:t>
      </w:r>
      <w:r w:rsidR="007B18CC">
        <w:t>zického (a ne logického</w:t>
      </w:r>
      <w:r w:rsidR="00897794">
        <w:t xml:space="preserve">) species. </w:t>
      </w:r>
      <w:r w:rsidR="009E164C" w:rsidRPr="003D1E07">
        <w:t xml:space="preserve">Roli </w:t>
      </w:r>
      <w:r w:rsidR="00F214C5" w:rsidRPr="003D1E07">
        <w:t>species</w:t>
      </w:r>
      <w:r w:rsidR="009E164C" w:rsidRPr="003D1E07">
        <w:t xml:space="preserve"> jako středního členu v</w:t>
      </w:r>
      <w:r w:rsidR="08333160" w:rsidRPr="003D1E07">
        <w:t xml:space="preserve"> deduktivním </w:t>
      </w:r>
      <w:r w:rsidR="009E164C" w:rsidRPr="003D1E07">
        <w:t xml:space="preserve">sylogismu hraje </w:t>
      </w:r>
      <w:r w:rsidR="009E164C" w:rsidRPr="003D1E07">
        <w:rPr>
          <w:i/>
        </w:rPr>
        <w:t>intellectus</w:t>
      </w:r>
      <w:r w:rsidR="00B32588" w:rsidRPr="003D1E07">
        <w:rPr>
          <w:i/>
        </w:rPr>
        <w:t xml:space="preserve"> possibilis</w:t>
      </w:r>
      <w:r w:rsidR="009D323B" w:rsidRPr="003D1E07">
        <w:rPr>
          <w:i/>
        </w:rPr>
        <w:fldChar w:fldCharType="begin"/>
      </w:r>
      <w:r w:rsidR="009D323B" w:rsidRPr="003D1E07">
        <w:instrText xml:space="preserve"> XE "</w:instrText>
      </w:r>
      <w:r w:rsidR="009D323B" w:rsidRPr="003D1E07">
        <w:rPr>
          <w:i/>
        </w:rPr>
        <w:instrText>intellectus possibilis</w:instrText>
      </w:r>
      <w:r w:rsidR="007109A6" w:rsidRPr="003D1E07">
        <w:instrText>:</w:instrText>
      </w:r>
      <w:r w:rsidR="0029772E" w:rsidRPr="003D1E07">
        <w:instrText>první averroismus</w:instrText>
      </w:r>
      <w:r w:rsidR="009D323B" w:rsidRPr="003D1E07">
        <w:instrText xml:space="preserve">" </w:instrText>
      </w:r>
      <w:r w:rsidR="009D323B" w:rsidRPr="003D1E07">
        <w:rPr>
          <w:i/>
        </w:rPr>
        <w:fldChar w:fldCharType="end"/>
      </w:r>
      <w:r w:rsidR="007101C1">
        <w:t>.</w:t>
      </w:r>
      <w:r w:rsidR="004F4B68">
        <w:t xml:space="preserve"> </w:t>
      </w:r>
      <w:r w:rsidR="007101C1">
        <w:t xml:space="preserve">Impozice kauzálně působícího </w:t>
      </w:r>
      <w:r w:rsidR="007101C1" w:rsidRPr="003D1E07">
        <w:rPr>
          <w:i/>
        </w:rPr>
        <w:t>intellectus possibilis</w:t>
      </w:r>
      <w:r w:rsidR="007101C1">
        <w:rPr>
          <w:i/>
        </w:rPr>
        <w:t xml:space="preserve"> </w:t>
      </w:r>
      <w:r w:rsidR="007101C1">
        <w:t xml:space="preserve">jde od reálné osoby směrem </w:t>
      </w:r>
      <w:r w:rsidR="00897794">
        <w:t xml:space="preserve">ke specificky pojatému člověku </w:t>
      </w:r>
      <w:r w:rsidR="00A05F2C">
        <w:t xml:space="preserve">a generickému lidstvu </w:t>
      </w:r>
      <w:r w:rsidR="007101C1">
        <w:t>(</w:t>
      </w:r>
      <w:r w:rsidR="00A05F2C">
        <w:rPr>
          <w:i/>
        </w:rPr>
        <w:t xml:space="preserve">tertium, </w:t>
      </w:r>
      <w:r w:rsidR="007101C1" w:rsidRPr="007101C1">
        <w:rPr>
          <w:i/>
        </w:rPr>
        <w:t>quartum genus</w:t>
      </w:r>
      <w:r w:rsidR="00897794">
        <w:t>). Nyní je třeba udělat poslední krok a zajistit na úrovni impozice přechod od člověka jako metafyzické species (</w:t>
      </w:r>
      <w:r w:rsidR="00897794" w:rsidRPr="00897794">
        <w:rPr>
          <w:i/>
        </w:rPr>
        <w:t>intellectus possib</w:t>
      </w:r>
      <w:r w:rsidR="00897794">
        <w:rPr>
          <w:i/>
        </w:rPr>
        <w:t>i</w:t>
      </w:r>
      <w:r w:rsidR="00897794" w:rsidRPr="00897794">
        <w:rPr>
          <w:i/>
        </w:rPr>
        <w:t>lis</w:t>
      </w:r>
      <w:r w:rsidR="00897794">
        <w:t>) k moudrému lidstvu jako generické jednotě zajišťující permanentní schopnost filosofické spekulace a moudrosti (</w:t>
      </w:r>
      <w:r w:rsidR="00897794" w:rsidRPr="00897794">
        <w:rPr>
          <w:i/>
        </w:rPr>
        <w:t>intellectus speculativus</w:t>
      </w:r>
      <w:r w:rsidR="00897794">
        <w:rPr>
          <w:i/>
        </w:rPr>
        <w:fldChar w:fldCharType="begin"/>
      </w:r>
      <w:r w:rsidR="00897794">
        <w:instrText xml:space="preserve"> XE "</w:instrText>
      </w:r>
      <w:r w:rsidR="00897794" w:rsidRPr="00A63899">
        <w:rPr>
          <w:i/>
        </w:rPr>
        <w:instrText>intellectus speculativus</w:instrText>
      </w:r>
      <w:r w:rsidR="00897794">
        <w:instrText xml:space="preserve">" </w:instrText>
      </w:r>
      <w:r w:rsidR="00897794">
        <w:rPr>
          <w:i/>
        </w:rPr>
        <w:fldChar w:fldCharType="end"/>
      </w:r>
      <w:r w:rsidR="00897794">
        <w:t xml:space="preserve">).  </w:t>
      </w:r>
      <w:r w:rsidR="00897794" w:rsidRPr="003D1E07">
        <w:t xml:space="preserve">Na úrovni lidstva jako genus nakonec ve třetím kroku </w:t>
      </w:r>
      <w:r w:rsidR="00897794">
        <w:t xml:space="preserve">metafyzické impozice </w:t>
      </w:r>
      <w:r w:rsidR="00897794" w:rsidRPr="003D1E07">
        <w:t xml:space="preserve">vznikla generická forma </w:t>
      </w:r>
      <w:r w:rsidR="00897794">
        <w:t xml:space="preserve">spekulativního </w:t>
      </w:r>
      <w:r w:rsidR="00897794" w:rsidRPr="003D1E07">
        <w:t xml:space="preserve">myšlení, kterou zajišťuje filosofie. </w:t>
      </w:r>
      <w:r w:rsidR="002A4AB6" w:rsidRPr="002A4AB6">
        <w:t>Deduktivní důkaz antimoderního humanismu</w:t>
      </w:r>
      <w:r w:rsidR="001807D4">
        <w:fldChar w:fldCharType="begin"/>
      </w:r>
      <w:r w:rsidR="001807D4">
        <w:instrText xml:space="preserve"> XE "</w:instrText>
      </w:r>
      <w:r w:rsidR="001807D4" w:rsidRPr="00C57517">
        <w:instrText>humanismus</w:instrText>
      </w:r>
      <w:r w:rsidR="001807D4">
        <w:instrText xml:space="preserve">" </w:instrText>
      </w:r>
      <w:r w:rsidR="001807D4">
        <w:fldChar w:fldCharType="end"/>
      </w:r>
      <w:r w:rsidR="002A4AB6" w:rsidRPr="002A4AB6">
        <w:t xml:space="preserve"> je nyní </w:t>
      </w:r>
      <w:r w:rsidR="002A4AB6">
        <w:t>kompletní. Impozice možného intelektu zahrnuje „člověka“</w:t>
      </w:r>
      <w:r w:rsidR="002A4AB6" w:rsidRPr="002A4AB6">
        <w:t xml:space="preserve"> jako druh; </w:t>
      </w:r>
      <w:r w:rsidR="002A4AB6">
        <w:t xml:space="preserve">pak </w:t>
      </w:r>
      <w:r w:rsidR="002A4AB6" w:rsidRPr="002A4AB6">
        <w:t>jde</w:t>
      </w:r>
      <w:r w:rsidR="002A4AB6">
        <w:t>me</w:t>
      </w:r>
      <w:r w:rsidR="002A4AB6" w:rsidRPr="002A4AB6">
        <w:t xml:space="preserve"> k vyšší jednotě </w:t>
      </w:r>
      <w:r w:rsidR="002A4AB6">
        <w:t>„</w:t>
      </w:r>
      <w:r w:rsidR="002A4AB6" w:rsidRPr="002A4AB6">
        <w:t>lidstva</w:t>
      </w:r>
      <w:r w:rsidR="002A4AB6">
        <w:t>“</w:t>
      </w:r>
      <w:r w:rsidR="002A4AB6" w:rsidRPr="002A4AB6">
        <w:t>, které má trvalou schopnost reflexe (</w:t>
      </w:r>
      <w:r w:rsidR="002A4AB6" w:rsidRPr="002A4AB6">
        <w:rPr>
          <w:i/>
        </w:rPr>
        <w:t>intellectus speculativus</w:t>
      </w:r>
      <w:r w:rsidR="002A4AB6" w:rsidRPr="002A4AB6">
        <w:t xml:space="preserve">). Z perspektivy </w:t>
      </w:r>
      <w:r w:rsidR="002A4AB6" w:rsidRPr="002A4AB6">
        <w:rPr>
          <w:i/>
        </w:rPr>
        <w:t>destructio primis</w:t>
      </w:r>
      <w:r w:rsidR="002A4AB6">
        <w:rPr>
          <w:i/>
        </w:rPr>
        <w:fldChar w:fldCharType="begin"/>
      </w:r>
      <w:r w:rsidR="002A4AB6">
        <w:instrText xml:space="preserve"> XE "</w:instrText>
      </w:r>
      <w:r w:rsidR="002A4AB6" w:rsidRPr="00B61E47">
        <w:rPr>
          <w:i/>
        </w:rPr>
        <w:instrText>destructio primis</w:instrText>
      </w:r>
      <w:r w:rsidR="002A4AB6">
        <w:instrText xml:space="preserve">" </w:instrText>
      </w:r>
      <w:r w:rsidR="002A4AB6">
        <w:rPr>
          <w:i/>
        </w:rPr>
        <w:fldChar w:fldCharType="end"/>
      </w:r>
      <w:r w:rsidR="002A4AB6" w:rsidRPr="002A4AB6">
        <w:t xml:space="preserve"> je </w:t>
      </w:r>
      <w:r w:rsidR="00B118B7">
        <w:t xml:space="preserve">plně potvrzena </w:t>
      </w:r>
      <w:r w:rsidR="002A4AB6" w:rsidRPr="002A4AB6">
        <w:t xml:space="preserve">platná </w:t>
      </w:r>
      <w:r w:rsidR="00B66E44">
        <w:t xml:space="preserve">dedukce </w:t>
      </w:r>
      <w:r w:rsidR="002A4AB6" w:rsidRPr="002A4AB6">
        <w:t>na úrovni impozice</w:t>
      </w:r>
      <w:r w:rsidR="00B66E44">
        <w:t xml:space="preserve"> </w:t>
      </w:r>
      <w:r w:rsidR="002A4AB6" w:rsidRPr="002A4AB6">
        <w:t>: není-li druh</w:t>
      </w:r>
      <w:r w:rsidR="00934649">
        <w:t xml:space="preserve"> (</w:t>
      </w:r>
      <w:r w:rsidR="00934649" w:rsidRPr="00934649">
        <w:rPr>
          <w:i/>
        </w:rPr>
        <w:t>homo</w:t>
      </w:r>
      <w:r w:rsidR="00934649">
        <w:t>)</w:t>
      </w:r>
      <w:r w:rsidR="002A4AB6" w:rsidRPr="002A4AB6">
        <w:t>, není ani rod</w:t>
      </w:r>
      <w:r w:rsidR="00934649">
        <w:t xml:space="preserve"> (</w:t>
      </w:r>
      <w:r w:rsidR="00934649" w:rsidRPr="00934649">
        <w:rPr>
          <w:i/>
        </w:rPr>
        <w:t>humanitas</w:t>
      </w:r>
      <w:r w:rsidR="00934649">
        <w:t>)</w:t>
      </w:r>
      <w:r w:rsidR="002A4AB6" w:rsidRPr="002A4AB6">
        <w:t xml:space="preserve">. </w:t>
      </w:r>
      <w:r w:rsidR="00816B71">
        <w:t xml:space="preserve">Opět a zásadně platí, že správné určení intelektu jako </w:t>
      </w:r>
      <w:r w:rsidR="00816B71" w:rsidRPr="00816B71">
        <w:rPr>
          <w:i/>
        </w:rPr>
        <w:t>quartum genus</w:t>
      </w:r>
      <w:r w:rsidR="00816B71">
        <w:t xml:space="preserve"> musí být provedeno na základně impozice, protože jinak neexistuje deduktivní soud nutný pro vědecký důkaz myšlení. Moderna má mytopoetický „objektivní intelekt“ jako </w:t>
      </w:r>
      <w:r w:rsidR="000725D0">
        <w:t xml:space="preserve">homonymický </w:t>
      </w:r>
      <w:r w:rsidR="00816B71">
        <w:t xml:space="preserve">logický pojem v rámci </w:t>
      </w:r>
      <w:r w:rsidR="00C74A13">
        <w:t xml:space="preserve">chybné </w:t>
      </w:r>
      <w:r w:rsidR="00816B71">
        <w:t>supozice, která nemá metafyzickou impozici od reálně myslí</w:t>
      </w:r>
      <w:r w:rsidR="00BB1056">
        <w:t xml:space="preserve">cí osoby. </w:t>
      </w:r>
      <w:r w:rsidR="00021377">
        <w:t xml:space="preserve">Pak je evidentní, že moderna „nemyslí“ reálně. </w:t>
      </w:r>
      <w:r w:rsidR="00E04DA8" w:rsidRPr="003D1E07">
        <w:t xml:space="preserve">Možný intelekt </w:t>
      </w:r>
      <w:r w:rsidR="004F4B68">
        <w:t xml:space="preserve">aktualizuje </w:t>
      </w:r>
      <w:r w:rsidR="00AE3AEF" w:rsidRPr="003D1E07">
        <w:t xml:space="preserve">poznání díky individuální receptivní schopnosti dané nasvícením od </w:t>
      </w:r>
      <w:r w:rsidR="00F214C5" w:rsidRPr="003D1E07">
        <w:rPr>
          <w:i/>
        </w:rPr>
        <w:t>species</w:t>
      </w:r>
      <w:r w:rsidR="00AE3AEF" w:rsidRPr="003D1E07">
        <w:rPr>
          <w:i/>
        </w:rPr>
        <w:t xml:space="preserve"> sensibilis</w:t>
      </w:r>
      <w:r w:rsidR="008061D5" w:rsidRPr="003D1E07">
        <w:rPr>
          <w:i/>
        </w:rPr>
        <w:fldChar w:fldCharType="begin"/>
      </w:r>
      <w:r w:rsidR="008061D5" w:rsidRPr="003D1E07">
        <w:instrText xml:space="preserve"> XE "</w:instrText>
      </w:r>
      <w:r w:rsidR="008061D5" w:rsidRPr="003D1E07">
        <w:rPr>
          <w:i/>
        </w:rPr>
        <w:instrText>species sensibilis</w:instrText>
      </w:r>
      <w:r w:rsidR="008061D5" w:rsidRPr="003D1E07">
        <w:instrText xml:space="preserve">" </w:instrText>
      </w:r>
      <w:r w:rsidR="008061D5" w:rsidRPr="003D1E07">
        <w:rPr>
          <w:i/>
        </w:rPr>
        <w:fldChar w:fldCharType="end"/>
      </w:r>
      <w:r w:rsidR="00AE3AEF" w:rsidRPr="003D1E07">
        <w:t xml:space="preserve">. </w:t>
      </w:r>
      <w:r w:rsidR="00CC2631" w:rsidRPr="003D1E07">
        <w:t xml:space="preserve">Díky existenci </w:t>
      </w:r>
      <w:r w:rsidR="00BA0F61">
        <w:t xml:space="preserve">kauzálně založeného </w:t>
      </w:r>
      <w:r w:rsidR="00CC2631" w:rsidRPr="003D1E07">
        <w:t xml:space="preserve">výkonu receptivního intelektu v jedinečné osobě </w:t>
      </w:r>
      <w:r w:rsidR="00942A51" w:rsidRPr="003D1E07">
        <w:t>platí deduktivní sylogismus</w:t>
      </w:r>
      <w:r w:rsidR="000C7694">
        <w:t xml:space="preserve"> i opačně, tedy z </w:t>
      </w:r>
      <w:r w:rsidR="000C7694" w:rsidRPr="000C7694">
        <w:t xml:space="preserve">perspektivy </w:t>
      </w:r>
      <w:r w:rsidR="000C7694">
        <w:t>supozice, tj. skrze nasvícení</w:t>
      </w:r>
      <w:r w:rsidR="000C7694" w:rsidRPr="000C7694">
        <w:t xml:space="preserve"> zezadu, </w:t>
      </w:r>
      <w:r w:rsidR="000C7694">
        <w:t>od poslední obecné jednoty dané jako genus. Pak s</w:t>
      </w:r>
      <w:r w:rsidR="000C7694" w:rsidRPr="000C7694">
        <w:t xml:space="preserve">ylogismus zakládá univerzální povahu </w:t>
      </w:r>
      <w:r w:rsidR="000C7694">
        <w:t xml:space="preserve">spekulativního </w:t>
      </w:r>
      <w:r w:rsidR="000C7694" w:rsidRPr="000C7694">
        <w:t xml:space="preserve">intelektu pro lidstvo jako </w:t>
      </w:r>
      <w:r w:rsidR="000C7694" w:rsidRPr="000C7694">
        <w:lastRenderedPageBreak/>
        <w:t>rod a pro všechny lidské jedince jako druh.</w:t>
      </w:r>
      <w:r w:rsidR="006C45E3">
        <w:t xml:space="preserve"> </w:t>
      </w:r>
      <w:r w:rsidR="006C45E3" w:rsidRPr="006C45E3">
        <w:t>Jednota lidstva je nutně pravdivá v obou způsobech predikace. Uskutečňuje se na základě specifické formy (</w:t>
      </w:r>
      <w:r w:rsidR="006C45E3" w:rsidRPr="006C45E3">
        <w:rPr>
          <w:i/>
        </w:rPr>
        <w:t>intellectus possibilis</w:t>
      </w:r>
      <w:r w:rsidR="006C45E3" w:rsidRPr="006C45E3">
        <w:t>) a generické formy (</w:t>
      </w:r>
      <w:r w:rsidR="006C45E3" w:rsidRPr="006C45E3">
        <w:rPr>
          <w:i/>
        </w:rPr>
        <w:t>intellectus speculativus</w:t>
      </w:r>
      <w:r w:rsidR="006C45E3" w:rsidRPr="006C45E3">
        <w:t>), přičemž obě formy se nacházejí v rámci vě</w:t>
      </w:r>
      <w:r w:rsidR="006C45E3">
        <w:t xml:space="preserve">deckého deduktivního sylogismu. </w:t>
      </w:r>
      <w:r w:rsidR="089764FB" w:rsidRPr="003D1E07">
        <w:t>Receptivní intelekt ve stř</w:t>
      </w:r>
      <w:r w:rsidR="08985771" w:rsidRPr="003D1E07">
        <w:t>edním členu soudu funguje kauzá</w:t>
      </w:r>
      <w:r w:rsidR="089764FB" w:rsidRPr="003D1E07">
        <w:t>l</w:t>
      </w:r>
      <w:r w:rsidR="08985771" w:rsidRPr="003D1E07">
        <w:t>ně, protože každý</w:t>
      </w:r>
      <w:r w:rsidR="089764FB" w:rsidRPr="003D1E07">
        <w:t xml:space="preserve"> z nás myslí, když to sám chce. Zároveň ale </w:t>
      </w:r>
      <w:r w:rsidR="08985771" w:rsidRPr="003D1E07">
        <w:rPr>
          <w:i/>
        </w:rPr>
        <w:t>intellectus possibilis</w:t>
      </w:r>
      <w:r w:rsidR="08985771" w:rsidRPr="003D1E07">
        <w:t xml:space="preserve"> </w:t>
      </w:r>
      <w:r w:rsidR="089764FB" w:rsidRPr="003D1E07">
        <w:t>produkuje univerzální obsahy myšlení, které je možno pojmout univerzálně i pro celé lidstvo ja</w:t>
      </w:r>
      <w:r w:rsidR="005B10D3">
        <w:t xml:space="preserve">ko genus a pro </w:t>
      </w:r>
      <w:r w:rsidR="003F7A5C">
        <w:t xml:space="preserve">individuálního </w:t>
      </w:r>
      <w:r w:rsidR="0857427F" w:rsidRPr="003D1E07">
        <w:t xml:space="preserve">člověka jako </w:t>
      </w:r>
      <w:r w:rsidR="00F214C5" w:rsidRPr="003D1E07">
        <w:t>species</w:t>
      </w:r>
      <w:r w:rsidR="089764FB" w:rsidRPr="003D1E07">
        <w:t xml:space="preserve">. </w:t>
      </w:r>
      <w:r w:rsidR="0857427F" w:rsidRPr="003D1E07">
        <w:t xml:space="preserve">Znovu ale připomeňme, že </w:t>
      </w:r>
      <w:r w:rsidR="08D562FE" w:rsidRPr="003D1E07">
        <w:t xml:space="preserve">specificky určený </w:t>
      </w:r>
      <w:r w:rsidR="0857427F" w:rsidRPr="003D1E07">
        <w:t xml:space="preserve">člověk </w:t>
      </w:r>
      <w:r w:rsidR="00D92654">
        <w:t>(</w:t>
      </w:r>
      <w:r w:rsidR="00D92654" w:rsidRPr="00D92654">
        <w:rPr>
          <w:i/>
        </w:rPr>
        <w:t>quartum genus</w:t>
      </w:r>
      <w:r w:rsidR="00D92654">
        <w:t xml:space="preserve">) </w:t>
      </w:r>
      <w:r w:rsidR="0857427F" w:rsidRPr="003D1E07">
        <w:t>reálně nemyslí</w:t>
      </w:r>
      <w:r w:rsidR="002C4D7C">
        <w:t xml:space="preserve">. Myslící lidstvo </w:t>
      </w:r>
      <w:r w:rsidR="0857427F" w:rsidRPr="003D1E07">
        <w:t>neexistuje</w:t>
      </w:r>
      <w:r w:rsidR="005F7C65">
        <w:t xml:space="preserve"> jako </w:t>
      </w:r>
      <w:r w:rsidR="002C4D7C">
        <w:t>intelekt</w:t>
      </w:r>
      <w:r w:rsidR="00B4344B">
        <w:t>uální schopnost</w:t>
      </w:r>
      <w:r w:rsidR="002C4D7C">
        <w:t xml:space="preserve"> aktuální osob</w:t>
      </w:r>
      <w:r w:rsidR="00367D4F">
        <w:t xml:space="preserve">y, zde a nyní </w:t>
      </w:r>
      <w:r w:rsidR="002C4D7C">
        <w:t>angažo</w:t>
      </w:r>
      <w:r w:rsidR="00215A20">
        <w:t>vané</w:t>
      </w:r>
      <w:r w:rsidR="002C4D7C">
        <w:t xml:space="preserve"> ve výkonu myšlení </w:t>
      </w:r>
      <w:r w:rsidR="00D92654">
        <w:t>(</w:t>
      </w:r>
      <w:r w:rsidR="00D92654">
        <w:rPr>
          <w:i/>
        </w:rPr>
        <w:t>tertium</w:t>
      </w:r>
      <w:r w:rsidR="00D92654" w:rsidRPr="00D92654">
        <w:rPr>
          <w:i/>
        </w:rPr>
        <w:t xml:space="preserve"> genus</w:t>
      </w:r>
      <w:r w:rsidR="00D92654">
        <w:t>)</w:t>
      </w:r>
      <w:r w:rsidR="0857427F" w:rsidRPr="003D1E07">
        <w:t xml:space="preserve">. </w:t>
      </w:r>
      <w:r w:rsidR="089764FB" w:rsidRPr="003D1E07">
        <w:t>A</w:t>
      </w:r>
      <w:r w:rsidR="002E3B62" w:rsidRPr="003D1E07">
        <w:t>verroes</w:t>
      </w:r>
      <w:r w:rsidR="00896051" w:rsidRPr="003D1E07">
        <w:t xml:space="preserve"> dal lidstvu vědecky poznanou jednotu ve formě deduktivního důkazu</w:t>
      </w:r>
      <w:r w:rsidR="004C7979" w:rsidRPr="003D1E07">
        <w:t>, který</w:t>
      </w:r>
      <w:r w:rsidR="00896051" w:rsidRPr="003D1E07">
        <w:t xml:space="preserve"> anticipoval už jeho učitel Al-</w:t>
      </w:r>
      <w:r w:rsidR="008E02F5" w:rsidRPr="003D1E07">
        <w:t>Fárábí</w:t>
      </w:r>
      <w:r w:rsidR="08DB1A65" w:rsidRPr="003D1E07">
        <w:t xml:space="preserve">. </w:t>
      </w:r>
      <w:r w:rsidR="00A06D4D" w:rsidRPr="003D1E07">
        <w:t>Manická a anti</w:t>
      </w:r>
      <w:r w:rsidR="00A06D4D" w:rsidRPr="003D1E07">
        <w:noBreakHyphen/>
        <w:t>humanistická moderna svedená akademickými bohyněmi pomsty uvalila n</w:t>
      </w:r>
      <w:r w:rsidR="00896051" w:rsidRPr="003D1E07">
        <w:t xml:space="preserve">a tento </w:t>
      </w:r>
      <w:r w:rsidR="00513FFC">
        <w:t xml:space="preserve">geniální </w:t>
      </w:r>
      <w:r w:rsidR="00896051" w:rsidRPr="003D1E07">
        <w:t xml:space="preserve">důkaz </w:t>
      </w:r>
      <w:r w:rsidR="08F10DD3" w:rsidRPr="003D1E07">
        <w:t xml:space="preserve">tragický </w:t>
      </w:r>
      <w:r w:rsidR="004C7979" w:rsidRPr="003D1E07">
        <w:t>trest ve formě objek</w:t>
      </w:r>
      <w:r w:rsidR="00896051" w:rsidRPr="003D1E07">
        <w:t xml:space="preserve">tivní </w:t>
      </w:r>
      <w:r w:rsidR="00896051" w:rsidRPr="003D1E07">
        <w:rPr>
          <w:i/>
        </w:rPr>
        <w:t>damnatio memoriae</w:t>
      </w:r>
      <w:r w:rsidR="00896051" w:rsidRPr="003D1E07">
        <w:rPr>
          <w:i/>
        </w:rPr>
        <w:fldChar w:fldCharType="begin"/>
      </w:r>
      <w:r w:rsidR="00896051" w:rsidRPr="003D1E07">
        <w:instrText xml:space="preserve"> XE "</w:instrText>
      </w:r>
      <w:r w:rsidR="00896051" w:rsidRPr="003D1E07">
        <w:rPr>
          <w:i/>
        </w:rPr>
        <w:instrText>damnatio memoriae</w:instrText>
      </w:r>
      <w:r w:rsidR="00896051" w:rsidRPr="003D1E07">
        <w:instrText xml:space="preserve">" </w:instrText>
      </w:r>
      <w:r w:rsidR="00896051" w:rsidRPr="003D1E07">
        <w:rPr>
          <w:i/>
        </w:rPr>
        <w:fldChar w:fldCharType="end"/>
      </w:r>
      <w:r w:rsidR="00896051" w:rsidRPr="003D1E07">
        <w:t xml:space="preserve">. </w:t>
      </w:r>
      <w:r w:rsidR="083D4360" w:rsidRPr="003D1E07">
        <w:t>Výš</w:t>
      </w:r>
      <w:r w:rsidR="08D145B4" w:rsidRPr="003D1E07">
        <w:t>e uvedená citace (CMDA 407.587–</w:t>
      </w:r>
      <w:r w:rsidR="083D4360" w:rsidRPr="003D1E07">
        <w:t xml:space="preserve">96) definovala </w:t>
      </w:r>
      <w:r w:rsidR="083D4360" w:rsidRPr="003D1E07">
        <w:rPr>
          <w:i/>
        </w:rPr>
        <w:t xml:space="preserve">quartum </w:t>
      </w:r>
      <w:r w:rsidR="00636BD4" w:rsidRPr="006459C2">
        <w:rPr>
          <w:i/>
        </w:rPr>
        <w:t>genus</w:t>
      </w:r>
      <w:r w:rsidR="083D4360" w:rsidRPr="003D1E07">
        <w:t xml:space="preserve"> tím, že jej odlišila od individuálního úkonu poznání (</w:t>
      </w:r>
      <w:r w:rsidR="083D4360" w:rsidRPr="003D1E07">
        <w:rPr>
          <w:i/>
        </w:rPr>
        <w:t>non in respectu alicuius individui</w:t>
      </w:r>
      <w:r w:rsidR="083D4360" w:rsidRPr="003D1E07">
        <w:t xml:space="preserve">). </w:t>
      </w:r>
      <w:r w:rsidR="002E3B62" w:rsidRPr="003D1E07">
        <w:t>Averroes</w:t>
      </w:r>
      <w:r w:rsidR="00A87594" w:rsidRPr="003D1E07">
        <w:t xml:space="preserve"> jako skutečný aristotelik připomíná, že musí existovat </w:t>
      </w:r>
      <w:r w:rsidR="00D0278D" w:rsidRPr="003D1E07">
        <w:rPr>
          <w:i/>
        </w:rPr>
        <w:t>per prius</w:t>
      </w:r>
      <w:r w:rsidR="00D0278D" w:rsidRPr="003D1E07">
        <w:t xml:space="preserve"> </w:t>
      </w:r>
      <w:r w:rsidR="00A87594" w:rsidRPr="003D1E07">
        <w:t>alespoň jedna aktuální první subs</w:t>
      </w:r>
      <w:r w:rsidR="08680833" w:rsidRPr="003D1E07">
        <w:t xml:space="preserve">tance, </w:t>
      </w:r>
      <w:r w:rsidR="00D0278D" w:rsidRPr="003D1E07">
        <w:t>aby založila</w:t>
      </w:r>
      <w:r w:rsidR="08680833" w:rsidRPr="003D1E07">
        <w:t xml:space="preserve"> v řádu druhé substance</w:t>
      </w:r>
      <w:r w:rsidR="00D0278D" w:rsidRPr="003D1E07">
        <w:t xml:space="preserve"> </w:t>
      </w:r>
      <w:r w:rsidR="00D0278D" w:rsidRPr="003D1E07">
        <w:rPr>
          <w:i/>
        </w:rPr>
        <w:t>per posterius</w:t>
      </w:r>
      <w:r w:rsidR="00D0278D" w:rsidRPr="003D1E07">
        <w:t xml:space="preserve"> </w:t>
      </w:r>
      <w:r w:rsidR="00697533">
        <w:t xml:space="preserve">kategoriální </w:t>
      </w:r>
      <w:r w:rsidR="00D0278D" w:rsidRPr="003D1E07">
        <w:t>predikaci</w:t>
      </w:r>
      <w:r w:rsidR="00A87594" w:rsidRPr="003D1E07">
        <w:t xml:space="preserve">. </w:t>
      </w:r>
      <w:r w:rsidR="00591ABB" w:rsidRPr="003D1E07">
        <w:t xml:space="preserve">Kontinuální existence </w:t>
      </w:r>
      <w:r w:rsidR="00D0278D" w:rsidRPr="003D1E07">
        <w:t xml:space="preserve">pravdivé </w:t>
      </w:r>
      <w:r w:rsidR="004062A8" w:rsidRPr="003D1E07">
        <w:t xml:space="preserve">moudrosti </w:t>
      </w:r>
      <w:r w:rsidR="00591ABB" w:rsidRPr="003D1E07">
        <w:t xml:space="preserve">dokládá, že vždy existuje alespoň jeden </w:t>
      </w:r>
      <w:r w:rsidR="080B4682" w:rsidRPr="003D1E07">
        <w:t xml:space="preserve">reálně existující </w:t>
      </w:r>
      <w:r w:rsidR="00591ABB" w:rsidRPr="003D1E07">
        <w:t>člověk, který je schopen aktua</w:t>
      </w:r>
      <w:r w:rsidR="00465DF6" w:rsidRPr="003D1E07">
        <w:t>lizace spekulativního intelektu.</w:t>
      </w:r>
    </w:p>
    <w:p w14:paraId="73213403" w14:textId="7C42DCDE" w:rsidR="000715B2" w:rsidRPr="003D1E07" w:rsidRDefault="000715B2" w:rsidP="008B6D14">
      <w:pPr>
        <w:pStyle w:val="Citace"/>
        <w:rPr>
          <w:rStyle w:val="Zkladntext1"/>
          <w:rFonts w:ascii="Calibri" w:eastAsia="Times" w:hAnsi="Calibri"/>
          <w:spacing w:val="0"/>
          <w:sz w:val="22"/>
          <w:u w:val="none"/>
          <w:lang w:val="cs-CZ"/>
        </w:rPr>
      </w:pPr>
      <w:r w:rsidRPr="003D1E07">
        <w:rPr>
          <w:rStyle w:val="Zkladntext1"/>
          <w:rFonts w:ascii="Calibri" w:eastAsia="Times" w:hAnsi="Calibri"/>
          <w:noProof/>
          <w:spacing w:val="0"/>
          <w:sz w:val="21"/>
          <w:u w:val="none"/>
          <w:lang w:val="cs-CZ"/>
        </w:rPr>
        <w:t>„</w:t>
      </w:r>
      <w:r w:rsidRPr="003D1E07">
        <w:rPr>
          <w:rStyle w:val="Zkladntext1"/>
          <w:rFonts w:ascii="Calibri" w:eastAsia="Times" w:hAnsi="Calibri"/>
          <w:spacing w:val="0"/>
          <w:sz w:val="22"/>
          <w:u w:val="none"/>
          <w:lang w:val="cs-CZ"/>
        </w:rPr>
        <w:t>Moudrost je určitým způsobem dána jako základní rys všech lidí (</w:t>
      </w:r>
      <w:r w:rsidRPr="00940E07">
        <w:rPr>
          <w:i/>
          <w:lang w:val="cs-CZ"/>
        </w:rPr>
        <w:t>sapientiam</w:t>
      </w:r>
      <w:r w:rsidRPr="003D1E07">
        <w:rPr>
          <w:lang w:val="cs-CZ"/>
        </w:rPr>
        <w:t xml:space="preserve"> </w:t>
      </w:r>
      <w:r w:rsidRPr="003D1E07">
        <w:rPr>
          <w:i/>
          <w:lang w:val="cs-CZ"/>
        </w:rPr>
        <w:t>esse in aliquo modo proprio hominum est</w:t>
      </w:r>
      <w:r w:rsidRPr="003D1E07">
        <w:rPr>
          <w:rStyle w:val="Zkladntext1"/>
          <w:rFonts w:ascii="Calibri" w:eastAsia="Times" w:hAnsi="Calibri"/>
          <w:spacing w:val="0"/>
          <w:sz w:val="22"/>
          <w:u w:val="none"/>
          <w:lang w:val="cs-CZ"/>
        </w:rPr>
        <w:t>), stejně jako existují různé dovednosti lidí podle jejich schopností. Pak lze říci, že pro lidstvo jako celek je nemožné, aby přestalo provozovat filosofii</w:t>
      </w:r>
      <w:r w:rsidR="008B6D14" w:rsidRPr="003D1E07">
        <w:rPr>
          <w:rStyle w:val="Zkladntext1"/>
          <w:rFonts w:ascii="Calibri" w:eastAsia="Times" w:hAnsi="Calibri"/>
          <w:spacing w:val="0"/>
          <w:sz w:val="22"/>
          <w:u w:val="none"/>
          <w:lang w:val="cs-CZ"/>
        </w:rPr>
        <w:t xml:space="preserve"> (</w:t>
      </w:r>
      <w:r w:rsidR="008B6D14" w:rsidRPr="003D1E07">
        <w:rPr>
          <w:i/>
          <w:lang w:val="cs-CZ"/>
        </w:rPr>
        <w:t>impossibile est ut tota habitatio fugiat a Philosophia</w:t>
      </w:r>
      <w:r w:rsidR="008B6D14" w:rsidRPr="003D1E07">
        <w:rPr>
          <w:rStyle w:val="Zkladntext1"/>
          <w:rFonts w:ascii="Calibri" w:eastAsia="Times" w:hAnsi="Calibri"/>
          <w:spacing w:val="0"/>
          <w:sz w:val="22"/>
          <w:u w:val="none"/>
          <w:lang w:val="cs-CZ"/>
        </w:rPr>
        <w:t>)</w:t>
      </w:r>
      <w:r w:rsidRPr="003D1E07">
        <w:rPr>
          <w:rStyle w:val="Zkladntext1"/>
          <w:rFonts w:ascii="Calibri" w:eastAsia="Times" w:hAnsi="Calibri"/>
          <w:spacing w:val="0"/>
          <w:sz w:val="22"/>
          <w:u w:val="none"/>
          <w:lang w:val="cs-CZ"/>
        </w:rPr>
        <w:t xml:space="preserve">, stejně jako </w:t>
      </w:r>
      <w:r w:rsidR="00E73574" w:rsidRPr="003D1E07">
        <w:rPr>
          <w:rStyle w:val="Zkladntext1"/>
          <w:rFonts w:ascii="Calibri" w:eastAsia="Times" w:hAnsi="Calibri"/>
          <w:spacing w:val="0"/>
          <w:sz w:val="22"/>
          <w:u w:val="none"/>
          <w:lang w:val="cs-CZ"/>
        </w:rPr>
        <w:t xml:space="preserve">je </w:t>
      </w:r>
      <w:r w:rsidR="00774B31">
        <w:rPr>
          <w:rStyle w:val="Zkladntext1"/>
          <w:rFonts w:ascii="Calibri" w:eastAsia="Times" w:hAnsi="Calibri"/>
          <w:spacing w:val="0"/>
          <w:sz w:val="22"/>
          <w:u w:val="none"/>
          <w:lang w:val="cs-CZ"/>
        </w:rPr>
        <w:t xml:space="preserve">pro lidstvo jako celek </w:t>
      </w:r>
      <w:r w:rsidRPr="003D1E07">
        <w:rPr>
          <w:rStyle w:val="Zkladntext1"/>
          <w:rFonts w:ascii="Calibri" w:eastAsia="Times" w:hAnsi="Calibri"/>
          <w:spacing w:val="0"/>
          <w:sz w:val="22"/>
          <w:u w:val="none"/>
          <w:lang w:val="cs-CZ"/>
        </w:rPr>
        <w:t>nemožné, aby přestalo provozovat různá řemesla.</w:t>
      </w:r>
      <w:r w:rsidR="00E73574" w:rsidRPr="003D1E07">
        <w:rPr>
          <w:rStyle w:val="Zkladntext1"/>
          <w:rFonts w:ascii="Calibri" w:eastAsia="Times" w:hAnsi="Calibri"/>
          <w:spacing w:val="0"/>
          <w:sz w:val="22"/>
          <w:u w:val="none"/>
          <w:lang w:val="cs-CZ"/>
        </w:rPr>
        <w:t>“</w:t>
      </w:r>
      <w:r w:rsidRPr="003D1E07">
        <w:rPr>
          <w:rStyle w:val="Zkladntext1"/>
          <w:rFonts w:ascii="Calibri" w:eastAsia="Times" w:hAnsi="Calibri"/>
          <w:spacing w:val="0"/>
          <w:sz w:val="22"/>
          <w:u w:val="none"/>
          <w:lang w:val="cs-CZ"/>
        </w:rPr>
        <w:t xml:space="preserve"> </w:t>
      </w:r>
      <w:r w:rsidR="00E73574" w:rsidRPr="003D1E07">
        <w:rPr>
          <w:rStyle w:val="Znakapoznpodarou"/>
          <w:lang w:val="cs-CZ"/>
        </w:rPr>
        <w:footnoteReference w:id="262"/>
      </w:r>
      <w:r w:rsidRPr="003D1E07">
        <w:rPr>
          <w:rStyle w:val="Zkladntext1"/>
          <w:rFonts w:ascii="Calibri" w:eastAsia="Times" w:hAnsi="Calibri"/>
          <w:spacing w:val="0"/>
          <w:sz w:val="22"/>
          <w:u w:val="none"/>
          <w:lang w:val="cs-CZ"/>
        </w:rPr>
        <w:t xml:space="preserve"> </w:t>
      </w:r>
    </w:p>
    <w:p w14:paraId="55AC0261" w14:textId="77777777" w:rsidR="00344048" w:rsidRDefault="00A41746" w:rsidP="0849068E">
      <w:r w:rsidRPr="003D1E07">
        <w:t xml:space="preserve">K </w:t>
      </w:r>
      <w:r w:rsidR="08FC7E7D" w:rsidRPr="003D1E07">
        <w:t>formální existenci univerzální</w:t>
      </w:r>
      <w:r w:rsidR="00FE4578">
        <w:t xml:space="preserve">ho genus </w:t>
      </w:r>
      <w:r w:rsidRPr="003D1E07">
        <w:t>stačí fakt, že ex</w:t>
      </w:r>
      <w:r w:rsidR="08D10F89" w:rsidRPr="003D1E07">
        <w:t>istuje alespoň jedna aktuální první substance</w:t>
      </w:r>
      <w:r w:rsidRPr="003D1E07">
        <w:t xml:space="preserve">, aby byla zajištěna adekvátní pravdivá </w:t>
      </w:r>
      <w:r w:rsidR="00F862EC">
        <w:t xml:space="preserve">výpověď o realitě provedená </w:t>
      </w:r>
      <w:r w:rsidR="08D10F89" w:rsidRPr="003D1E07">
        <w:t xml:space="preserve">v rámci </w:t>
      </w:r>
      <w:r w:rsidR="00FE4578">
        <w:t xml:space="preserve">specifické </w:t>
      </w:r>
      <w:r w:rsidR="08D10F89" w:rsidRPr="003D1E07">
        <w:t>druhé substance</w:t>
      </w:r>
      <w:r w:rsidRPr="003D1E07">
        <w:t xml:space="preserve">. </w:t>
      </w:r>
      <w:r w:rsidR="08BF4D63" w:rsidRPr="003D1E07">
        <w:t>V</w:t>
      </w:r>
      <w:r w:rsidR="00857E8C" w:rsidRPr="003D1E07">
        <w:t>e všech dobách</w:t>
      </w:r>
      <w:r w:rsidR="08FD5BF0" w:rsidRPr="003D1E07">
        <w:t xml:space="preserve">, </w:t>
      </w:r>
      <w:r w:rsidR="007E4E2F">
        <w:t>d</w:t>
      </w:r>
      <w:r w:rsidR="00930027" w:rsidRPr="003D1E07">
        <w:t xml:space="preserve">oufejme </w:t>
      </w:r>
      <w:r w:rsidR="08FD5BF0" w:rsidRPr="003D1E07">
        <w:t>i v</w:t>
      </w:r>
      <w:r w:rsidR="007E4E2F">
        <w:t xml:space="preserve"> současné </w:t>
      </w:r>
      <w:r w:rsidR="002301E3" w:rsidRPr="003D1E07">
        <w:t xml:space="preserve">nihilistické </w:t>
      </w:r>
      <w:r w:rsidR="08FD5BF0" w:rsidRPr="003D1E07">
        <w:t xml:space="preserve">epoše, </w:t>
      </w:r>
      <w:r w:rsidR="08E87AB5" w:rsidRPr="003D1E07">
        <w:t xml:space="preserve">je </w:t>
      </w:r>
      <w:r w:rsidR="007E4E2F">
        <w:t xml:space="preserve">a bude </w:t>
      </w:r>
      <w:r w:rsidR="00A71DD3" w:rsidRPr="003D1E07">
        <w:t>alespoň jedna</w:t>
      </w:r>
      <w:r w:rsidR="08A6095E" w:rsidRPr="003D1E07">
        <w:t xml:space="preserve"> </w:t>
      </w:r>
      <w:r w:rsidR="00A71DD3" w:rsidRPr="003D1E07">
        <w:t>opravdu moudrá osoba</w:t>
      </w:r>
      <w:r w:rsidR="08977E66" w:rsidRPr="003D1E07">
        <w:t xml:space="preserve">. </w:t>
      </w:r>
      <w:r w:rsidR="086966CE" w:rsidRPr="003D1E07">
        <w:t xml:space="preserve">Moudrost této reálné osoby </w:t>
      </w:r>
      <w:r w:rsidR="08977E66" w:rsidRPr="003D1E07">
        <w:t xml:space="preserve">garantuje </w:t>
      </w:r>
      <w:r w:rsidR="08EE6D12" w:rsidRPr="003D1E07">
        <w:t xml:space="preserve">existenci specifické formy </w:t>
      </w:r>
      <w:r w:rsidR="00BD56C8" w:rsidRPr="003D1E07">
        <w:t>filosofie na úrovni lidského rodu</w:t>
      </w:r>
      <w:r w:rsidR="08BF4D63" w:rsidRPr="003D1E07">
        <w:t xml:space="preserve">. Tím </w:t>
      </w:r>
      <w:r w:rsidR="0898558B" w:rsidRPr="003D1E07">
        <w:t xml:space="preserve">je deduktivně </w:t>
      </w:r>
      <w:r w:rsidR="00BD56C8" w:rsidRPr="003D1E07">
        <w:t>zajištěn</w:t>
      </w:r>
      <w:r w:rsidR="0898558B" w:rsidRPr="003D1E07">
        <w:t xml:space="preserve">a predikace od </w:t>
      </w:r>
      <w:r w:rsidR="08DA6E7B" w:rsidRPr="003D1E07">
        <w:t>reálné a kauzál</w:t>
      </w:r>
      <w:r w:rsidR="0898558B" w:rsidRPr="003D1E07">
        <w:t>ně dané existence</w:t>
      </w:r>
      <w:r w:rsidR="00BD56C8" w:rsidRPr="003D1E07">
        <w:t xml:space="preserve"> intelektu na úrovni </w:t>
      </w:r>
      <w:r w:rsidR="002934AC">
        <w:t xml:space="preserve">osoby jako </w:t>
      </w:r>
      <w:r w:rsidR="0898558B" w:rsidRPr="003D1E07">
        <w:t xml:space="preserve">moudré </w:t>
      </w:r>
      <w:r w:rsidR="00BD56C8" w:rsidRPr="003D1E07">
        <w:t>první substance</w:t>
      </w:r>
      <w:r w:rsidR="0898558B" w:rsidRPr="003D1E07">
        <w:t xml:space="preserve">. </w:t>
      </w:r>
      <w:r w:rsidR="0898558B" w:rsidRPr="003D1E07">
        <w:lastRenderedPageBreak/>
        <w:t xml:space="preserve">Pak je možné v rámci </w:t>
      </w:r>
      <w:r w:rsidR="0898558B" w:rsidRPr="003D1E07">
        <w:rPr>
          <w:i/>
        </w:rPr>
        <w:t>demonstratio</w:t>
      </w:r>
      <w:r w:rsidR="0898558B" w:rsidRPr="003D1E07">
        <w:t xml:space="preserve"> postulovat tuto </w:t>
      </w:r>
      <w:r w:rsidR="00FA6CFF">
        <w:t>moudrost</w:t>
      </w:r>
      <w:r w:rsidR="0898558B" w:rsidRPr="003D1E07">
        <w:t xml:space="preserve"> </w:t>
      </w:r>
      <w:r w:rsidR="00FA6CFF">
        <w:t xml:space="preserve">v rámci supozice </w:t>
      </w:r>
      <w:r w:rsidR="0898558B" w:rsidRPr="003D1E07">
        <w:t xml:space="preserve">také </w:t>
      </w:r>
      <w:r w:rsidR="00BD56C8" w:rsidRPr="003D1E07">
        <w:t xml:space="preserve">na úrovni lidstva jako druhu. </w:t>
      </w:r>
      <w:r w:rsidR="08DA6E7B" w:rsidRPr="003D1E07">
        <w:t>Múzy</w:t>
      </w:r>
      <w:r w:rsidR="081059AC" w:rsidRPr="003D1E07">
        <w:fldChar w:fldCharType="begin"/>
      </w:r>
      <w:r w:rsidR="081059AC" w:rsidRPr="003D1E07">
        <w:instrText xml:space="preserve"> XE "Múzy" </w:instrText>
      </w:r>
      <w:r w:rsidR="081059AC" w:rsidRPr="003D1E07">
        <w:fldChar w:fldCharType="end"/>
      </w:r>
      <w:r w:rsidR="08DA6E7B" w:rsidRPr="003D1E07">
        <w:t xml:space="preserve"> cení moudrost maximálním způsobem, </w:t>
      </w:r>
      <w:r w:rsidR="081059AC" w:rsidRPr="003D1E07">
        <w:t xml:space="preserve">protože </w:t>
      </w:r>
      <w:r w:rsidR="08DA6E7B" w:rsidRPr="003D1E07">
        <w:t xml:space="preserve">k dějinné existenci </w:t>
      </w:r>
      <w:r w:rsidR="08DA6E7B" w:rsidRPr="003D1E07">
        <w:rPr>
          <w:i/>
        </w:rPr>
        <w:t>alétheia</w:t>
      </w:r>
      <w:r w:rsidR="08DA6E7B" w:rsidRPr="003D1E07">
        <w:t xml:space="preserve"> stačí jediný mil</w:t>
      </w:r>
      <w:r w:rsidR="00B230D9">
        <w:t xml:space="preserve">ovník moudrosti </w:t>
      </w:r>
      <w:r w:rsidR="00DE6BC4">
        <w:t xml:space="preserve">konstrastující s </w:t>
      </w:r>
      <w:r w:rsidR="00B230D9">
        <w:t>celou zmatenou modern</w:t>
      </w:r>
      <w:r w:rsidR="00DE6BC4">
        <w:t>o</w:t>
      </w:r>
      <w:r w:rsidR="00B230D9">
        <w:t>u</w:t>
      </w:r>
      <w:r w:rsidR="08DA6E7B" w:rsidRPr="003D1E07">
        <w:t xml:space="preserve">. Trestající Fúrie naopak musí vést všechny </w:t>
      </w:r>
      <w:r w:rsidR="08235D31" w:rsidRPr="003D1E07">
        <w:t xml:space="preserve">objektivisty </w:t>
      </w:r>
      <w:r w:rsidR="08DA6E7B" w:rsidRPr="003D1E07">
        <w:t>jako jeden objektivně vědoucí</w:t>
      </w:r>
      <w:r w:rsidR="080E0D41" w:rsidRPr="003D1E07">
        <w:t xml:space="preserve"> a </w:t>
      </w:r>
      <w:r w:rsidR="08DA6E7B" w:rsidRPr="003D1E07">
        <w:t>univočně indexovaný zástup</w:t>
      </w:r>
      <w:r w:rsidR="00CE4D9B">
        <w:t xml:space="preserve"> akademických individuí</w:t>
      </w:r>
      <w:r w:rsidR="08DA6E7B" w:rsidRPr="003D1E07">
        <w:t xml:space="preserve">. </w:t>
      </w:r>
      <w:r w:rsidR="00B26BD7">
        <w:t xml:space="preserve">Jenže individua reálně nemyslí. </w:t>
      </w:r>
      <w:r w:rsidR="00B818B0" w:rsidRPr="003D1E07">
        <w:t xml:space="preserve">Spekulativní </w:t>
      </w:r>
      <w:r w:rsidR="00591ABB" w:rsidRPr="003D1E07">
        <w:t xml:space="preserve">intelekt </w:t>
      </w:r>
      <w:r w:rsidR="00B818B0" w:rsidRPr="003D1E07">
        <w:t xml:space="preserve">aktualizovaný </w:t>
      </w:r>
      <w:r w:rsidR="0849767C" w:rsidRPr="003D1E07">
        <w:t xml:space="preserve">alepoň v jedné osobě umožňuje predikaci </w:t>
      </w:r>
      <w:r w:rsidR="00EB238E">
        <w:t xml:space="preserve">generického </w:t>
      </w:r>
      <w:r w:rsidR="0849767C" w:rsidRPr="003D1E07">
        <w:t xml:space="preserve">vědění zvaného </w:t>
      </w:r>
      <w:r w:rsidR="08A21373" w:rsidRPr="003D1E07">
        <w:t>filosofie</w:t>
      </w:r>
      <w:r w:rsidR="086B335C" w:rsidRPr="003D1E07">
        <w:t xml:space="preserve">. Toto exaktní vědění je na rozdíl od </w:t>
      </w:r>
      <w:r w:rsidR="00B51054">
        <w:t xml:space="preserve">mytopoetické „filosofie“ </w:t>
      </w:r>
      <w:r w:rsidR="086B335C" w:rsidRPr="003D1E07">
        <w:t>potřebné</w:t>
      </w:r>
      <w:r w:rsidR="0849767C" w:rsidRPr="003D1E07">
        <w:t xml:space="preserve"> k tomu, aby kategoriálně </w:t>
      </w:r>
      <w:r w:rsidR="001B1B1E">
        <w:t xml:space="preserve">určilo jednu univerzální </w:t>
      </w:r>
      <w:r w:rsidR="00BA7577">
        <w:t xml:space="preserve">a zcela nejdůležitější </w:t>
      </w:r>
      <w:r w:rsidR="00DE317D" w:rsidRPr="003D1E07">
        <w:t>s</w:t>
      </w:r>
      <w:r w:rsidR="0047439F" w:rsidRPr="003D1E07">
        <w:t xml:space="preserve">chopnost </w:t>
      </w:r>
      <w:r w:rsidR="004E5A4F">
        <w:t>lidstva</w:t>
      </w:r>
      <w:r w:rsidR="0849767C" w:rsidRPr="003D1E07">
        <w:t xml:space="preserve"> jako rod</w:t>
      </w:r>
      <w:r w:rsidR="004E5A4F">
        <w:t>u</w:t>
      </w:r>
      <w:r w:rsidR="0047439F" w:rsidRPr="003D1E07">
        <w:t>.</w:t>
      </w:r>
      <w:r w:rsidR="00811297" w:rsidRPr="003D1E07">
        <w:t xml:space="preserve"> </w:t>
      </w:r>
      <w:r w:rsidR="00297568" w:rsidRPr="003D1E07">
        <w:t>Tím vzniklo humanistické určení jednotné osoby napojené na první figuru západního intelektuála</w:t>
      </w:r>
      <w:r w:rsidR="00CA7B23">
        <w:t xml:space="preserve">. Ten </w:t>
      </w:r>
      <w:r w:rsidR="08491558" w:rsidRPr="003D1E07">
        <w:t xml:space="preserve">je </w:t>
      </w:r>
      <w:r w:rsidR="00CA7B23">
        <w:t xml:space="preserve">existující </w:t>
      </w:r>
      <w:r w:rsidR="08491558" w:rsidRPr="003D1E07">
        <w:t>osobou</w:t>
      </w:r>
      <w:r w:rsidR="00CA7B23">
        <w:t>,</w:t>
      </w:r>
      <w:r w:rsidR="08491558" w:rsidRPr="003D1E07">
        <w:t xml:space="preserve"> a ne </w:t>
      </w:r>
      <w:r w:rsidR="00CA7B23">
        <w:t xml:space="preserve">neexistujícím </w:t>
      </w:r>
      <w:r w:rsidR="08491558" w:rsidRPr="003D1E07">
        <w:t>moderním subjektem</w:t>
      </w:r>
      <w:r w:rsidR="0016507F" w:rsidRPr="003D1E07">
        <w:t xml:space="preserve">. </w:t>
      </w:r>
      <w:r w:rsidR="002E3B62" w:rsidRPr="003D1E07">
        <w:t>Averroes</w:t>
      </w:r>
      <w:r w:rsidR="0016507F" w:rsidRPr="003D1E07">
        <w:t xml:space="preserve"> </w:t>
      </w:r>
      <w:r w:rsidR="0820047D" w:rsidRPr="003D1E07">
        <w:t>po svém učiteli Al-</w:t>
      </w:r>
      <w:r w:rsidR="008E02F5" w:rsidRPr="003D1E07">
        <w:t>Fárábí</w:t>
      </w:r>
      <w:r w:rsidR="00297568" w:rsidRPr="003D1E07">
        <w:t xml:space="preserve">m brilantně zdůvodnil </w:t>
      </w:r>
      <w:r w:rsidR="00CE7CAD">
        <w:t>přirozenou jednotu celého lidstva</w:t>
      </w:r>
      <w:r w:rsidR="00297568" w:rsidRPr="003D1E07">
        <w:t xml:space="preserve">. </w:t>
      </w:r>
      <w:r w:rsidR="00973A05">
        <w:t>Z</w:t>
      </w:r>
      <w:r w:rsidR="00973A05" w:rsidRPr="003D1E07">
        <w:t xml:space="preserve">hruba o </w:t>
      </w:r>
      <w:r w:rsidR="00973A05">
        <w:t xml:space="preserve">jedno </w:t>
      </w:r>
      <w:r w:rsidR="00973A05" w:rsidRPr="003D1E07">
        <w:t xml:space="preserve">století později </w:t>
      </w:r>
      <w:r w:rsidR="00973A05">
        <w:t xml:space="preserve">po tomto </w:t>
      </w:r>
      <w:r w:rsidR="00973A05" w:rsidRPr="003D1E07">
        <w:t xml:space="preserve">humanismu falsafy </w:t>
      </w:r>
      <w:r w:rsidR="00973A05">
        <w:t xml:space="preserve">vytvořili </w:t>
      </w:r>
      <w:r w:rsidR="00811297" w:rsidRPr="003D1E07">
        <w:t>Siger a Dante</w:t>
      </w:r>
      <w:r w:rsidR="00DB7D90" w:rsidRPr="003D1E07">
        <w:fldChar w:fldCharType="begin"/>
      </w:r>
      <w:r w:rsidR="00DB7D90" w:rsidRPr="003D1E07">
        <w:instrText xml:space="preserve"> XE "Dante, A." </w:instrText>
      </w:r>
      <w:r w:rsidR="00DB7D90" w:rsidRPr="003D1E07">
        <w:fldChar w:fldCharType="end"/>
      </w:r>
      <w:r w:rsidR="00811297" w:rsidRPr="003D1E07">
        <w:t xml:space="preserve"> </w:t>
      </w:r>
      <w:r w:rsidR="00410BF9">
        <w:t>další obdo</w:t>
      </w:r>
      <w:r w:rsidR="00973A05">
        <w:t xml:space="preserve">bu </w:t>
      </w:r>
      <w:r w:rsidR="00973A05" w:rsidRPr="003D1E07">
        <w:t xml:space="preserve">univerzální jednoty lidského </w:t>
      </w:r>
      <w:r w:rsidR="00114FAF">
        <w:t xml:space="preserve">druhu </w:t>
      </w:r>
      <w:r w:rsidR="00973A05">
        <w:t>skrze figuru</w:t>
      </w:r>
      <w:r w:rsidR="00811297" w:rsidRPr="003D1E07">
        <w:t xml:space="preserve"> latinského intelektuála </w:t>
      </w:r>
      <w:r w:rsidR="00973A05">
        <w:t>(</w:t>
      </w:r>
      <w:r w:rsidR="00973A05" w:rsidRPr="00973A05">
        <w:rPr>
          <w:i/>
        </w:rPr>
        <w:t>tertium genus</w:t>
      </w:r>
      <w:r w:rsidR="00973A05">
        <w:t>)</w:t>
      </w:r>
      <w:r w:rsidR="006C4DF1">
        <w:t>, aby byl skutečným mluvčím celého lidstva (</w:t>
      </w:r>
      <w:r w:rsidR="006C4DF1" w:rsidRPr="006C4DF1">
        <w:rPr>
          <w:i/>
        </w:rPr>
        <w:t>quartum genus</w:t>
      </w:r>
      <w:r w:rsidR="006C4DF1">
        <w:t>)</w:t>
      </w:r>
      <w:r w:rsidR="00811297" w:rsidRPr="003D1E07">
        <w:t xml:space="preserve">. </w:t>
      </w:r>
      <w:r w:rsidR="00662A0A" w:rsidRPr="003D1E07">
        <w:t>Receptivní i</w:t>
      </w:r>
      <w:r w:rsidR="00297568" w:rsidRPr="003D1E07">
        <w:t xml:space="preserve">ntelekt jako </w:t>
      </w:r>
      <w:r w:rsidR="00297568" w:rsidRPr="003D1E07">
        <w:rPr>
          <w:i/>
        </w:rPr>
        <w:t xml:space="preserve">quartum </w:t>
      </w:r>
      <w:r w:rsidR="00636BD4" w:rsidRPr="003D1E07">
        <w:rPr>
          <w:i/>
        </w:rPr>
        <w:t>genus</w:t>
      </w:r>
      <w:r w:rsidR="00982C89" w:rsidRPr="003D1E07">
        <w:rPr>
          <w:i/>
        </w:rPr>
        <w:fldChar w:fldCharType="begin"/>
      </w:r>
      <w:r w:rsidR="00982C89" w:rsidRPr="003D1E07">
        <w:rPr>
          <w:i/>
        </w:rPr>
        <w:instrText xml:space="preserve"> XE "quartum genus" </w:instrText>
      </w:r>
      <w:r w:rsidR="00982C89" w:rsidRPr="003D1E07">
        <w:rPr>
          <w:i/>
        </w:rPr>
        <w:fldChar w:fldCharType="end"/>
      </w:r>
      <w:r w:rsidR="00297568" w:rsidRPr="003D1E07">
        <w:t xml:space="preserve"> </w:t>
      </w:r>
      <w:r w:rsidR="00591ABB" w:rsidRPr="003D1E07">
        <w:t xml:space="preserve">dokazuje svou prioritu v řádu </w:t>
      </w:r>
      <w:r w:rsidR="00591ABB" w:rsidRPr="003D1E07">
        <w:rPr>
          <w:i/>
        </w:rPr>
        <w:t xml:space="preserve">per prius </w:t>
      </w:r>
      <w:r w:rsidR="00591ABB" w:rsidRPr="003D1E07">
        <w:t xml:space="preserve">daném ve formální </w:t>
      </w:r>
      <w:r w:rsidR="00697EB0" w:rsidRPr="003D1E07">
        <w:t xml:space="preserve">a univerzální </w:t>
      </w:r>
      <w:r w:rsidR="00591ABB" w:rsidRPr="003D1E07">
        <w:t xml:space="preserve">predikaci typu </w:t>
      </w:r>
      <w:r w:rsidR="00BB45B1" w:rsidRPr="003D1E07">
        <w:t>Porfyri</w:t>
      </w:r>
      <w:r w:rsidR="00591ABB" w:rsidRPr="003D1E07">
        <w:t>ova stromu.</w:t>
      </w:r>
    </w:p>
    <w:p w14:paraId="5BD54469" w14:textId="42E42B77" w:rsidR="08C8071D" w:rsidRPr="005D09A8" w:rsidRDefault="005E04E6" w:rsidP="00344048">
      <w:pPr>
        <w:ind w:firstLine="397"/>
        <w:rPr>
          <w:szCs w:val="26"/>
        </w:rPr>
      </w:pPr>
      <w:r w:rsidRPr="003D1E07">
        <w:t xml:space="preserve">Nová </w:t>
      </w:r>
      <w:r w:rsidR="00B30272" w:rsidRPr="003D1E07">
        <w:t>koncepce materiálního intelektu připomíná</w:t>
      </w:r>
      <w:r w:rsidR="00047AF5" w:rsidRPr="003D1E07">
        <w:t xml:space="preserve"> </w:t>
      </w:r>
      <w:r w:rsidR="08DE18BB" w:rsidRPr="003D1E07">
        <w:t>alexandrovc</w:t>
      </w:r>
      <w:r w:rsidR="00047AF5" w:rsidRPr="003D1E07">
        <w:t>ům</w:t>
      </w:r>
      <w:r w:rsidR="00B30272" w:rsidRPr="003D1E07">
        <w:t>, že r</w:t>
      </w:r>
      <w:r w:rsidR="00047AF5" w:rsidRPr="003D1E07">
        <w:t xml:space="preserve">eálný proces časově a kauzálně předchází v modu </w:t>
      </w:r>
      <w:r w:rsidR="00047AF5" w:rsidRPr="003D1E07">
        <w:rPr>
          <w:i/>
        </w:rPr>
        <w:t>per prius</w:t>
      </w:r>
      <w:r w:rsidR="00047AF5" w:rsidRPr="003D1E07">
        <w:t xml:space="preserve"> každou abstrakci. T</w:t>
      </w:r>
      <w:r w:rsidR="0045565B" w:rsidRPr="003D1E07">
        <w:t xml:space="preserve">eprve </w:t>
      </w:r>
      <w:r w:rsidR="00047AF5" w:rsidRPr="003D1E07">
        <w:t xml:space="preserve">po etablování existenciálního výkonu myšlení v první substanci </w:t>
      </w:r>
      <w:r w:rsidR="0045565B" w:rsidRPr="003D1E07">
        <w:t xml:space="preserve">následuje </w:t>
      </w:r>
      <w:r w:rsidR="008B2941" w:rsidRPr="003D1E07">
        <w:t xml:space="preserve">abstraktní </w:t>
      </w:r>
      <w:r w:rsidR="0045565B" w:rsidRPr="003D1E07">
        <w:t>poznání</w:t>
      </w:r>
      <w:r w:rsidR="00047AF5" w:rsidRPr="003D1E07">
        <w:t xml:space="preserve"> na úrovni druhé substance</w:t>
      </w:r>
      <w:r w:rsidR="0045565B" w:rsidRPr="003D1E07">
        <w:t>, popřípadě s</w:t>
      </w:r>
      <w:r w:rsidR="004128F4" w:rsidRPr="003D1E07">
        <w:t>kládání pojmů do pravdivostn</w:t>
      </w:r>
      <w:r w:rsidR="00320261" w:rsidRPr="003D1E07">
        <w:t xml:space="preserve">ích </w:t>
      </w:r>
      <w:r w:rsidR="0045565B" w:rsidRPr="003D1E07">
        <w:t xml:space="preserve">výroků. </w:t>
      </w:r>
      <w:r w:rsidR="00F20746" w:rsidRPr="003D1E07">
        <w:t>Alexan</w:t>
      </w:r>
      <w:r w:rsidR="08C752AC" w:rsidRPr="003D1E07">
        <w:t xml:space="preserve">der a všichni moderní </w:t>
      </w:r>
      <w:r w:rsidR="08DE18BB" w:rsidRPr="003D1E07">
        <w:t>alexandrovc</w:t>
      </w:r>
      <w:r w:rsidR="08C752AC" w:rsidRPr="003D1E07">
        <w:t>i</w:t>
      </w:r>
      <w:r w:rsidR="001762A8" w:rsidRPr="003D1E07">
        <w:fldChar w:fldCharType="begin"/>
      </w:r>
      <w:r w:rsidR="001762A8" w:rsidRPr="003D1E07">
        <w:instrText xml:space="preserve"> XE "</w:instrText>
      </w:r>
      <w:r w:rsidR="08DE18BB" w:rsidRPr="003D1E07">
        <w:instrText>alexandrovci</w:instrText>
      </w:r>
      <w:r w:rsidR="001762A8" w:rsidRPr="003D1E07">
        <w:instrText xml:space="preserve">" </w:instrText>
      </w:r>
      <w:r w:rsidR="001762A8" w:rsidRPr="003D1E07">
        <w:fldChar w:fldCharType="end"/>
      </w:r>
      <w:r w:rsidR="003D008C" w:rsidRPr="003D1E07">
        <w:t xml:space="preserve"> </w:t>
      </w:r>
      <w:r w:rsidR="081B33AF" w:rsidRPr="003D1E07">
        <w:t xml:space="preserve">a postmoderní karteziáni </w:t>
      </w:r>
      <w:r w:rsidR="003D008C" w:rsidRPr="003D1E07">
        <w:t xml:space="preserve">postupují </w:t>
      </w:r>
      <w:r w:rsidR="08287A17" w:rsidRPr="003D1E07">
        <w:t xml:space="preserve">podle CMDA </w:t>
      </w:r>
      <w:r w:rsidR="003D008C" w:rsidRPr="003D1E07">
        <w:t xml:space="preserve">tak, že </w:t>
      </w:r>
      <w:r w:rsidR="005564A6" w:rsidRPr="003D1E07">
        <w:t xml:space="preserve">z univerzálně definovaného intelektu </w:t>
      </w:r>
      <w:r w:rsidR="00F20746" w:rsidRPr="003D1E07">
        <w:t>udělají zvláštní entitu</w:t>
      </w:r>
      <w:r w:rsidR="00A32EE7" w:rsidRPr="003D1E07">
        <w:t xml:space="preserve"> v modu </w:t>
      </w:r>
      <w:r w:rsidR="00A32EE7" w:rsidRPr="003D1E07">
        <w:rPr>
          <w:i/>
        </w:rPr>
        <w:t>per prius</w:t>
      </w:r>
      <w:r w:rsidR="00A32EE7" w:rsidRPr="003D1E07">
        <w:t>, kterou predik</w:t>
      </w:r>
      <w:r w:rsidR="08D218AC" w:rsidRPr="003D1E07">
        <w:t xml:space="preserve">ují </w:t>
      </w:r>
      <w:r w:rsidR="00A32EE7" w:rsidRPr="003D1E07">
        <w:t xml:space="preserve">v modu </w:t>
      </w:r>
      <w:r w:rsidR="00A32EE7" w:rsidRPr="003D1E07">
        <w:rPr>
          <w:i/>
        </w:rPr>
        <w:t>per posterius</w:t>
      </w:r>
      <w:r w:rsidR="00A32EE7" w:rsidRPr="003D1E07">
        <w:t xml:space="preserve"> směrem k reálnému člověku</w:t>
      </w:r>
      <w:r w:rsidR="00F20746" w:rsidRPr="003D1E07">
        <w:t xml:space="preserve">. </w:t>
      </w:r>
      <w:r w:rsidR="08412A99" w:rsidRPr="003D1E07">
        <w:t>M</w:t>
      </w:r>
      <w:r w:rsidR="00A32EE7" w:rsidRPr="003D1E07">
        <w:t>oderní anti</w:t>
      </w:r>
      <w:r w:rsidR="00A32EE7" w:rsidRPr="003D1E07">
        <w:noBreakHyphen/>
        <w:t xml:space="preserve">humanisté myslí podle nasvícení jsoucna zezadu, proto zakládají určení člověka a lidstva v modu epochálního objektivního </w:t>
      </w:r>
      <w:r w:rsidR="00A32EE7" w:rsidRPr="003D1E07">
        <w:rPr>
          <w:i/>
        </w:rPr>
        <w:t>Irrtum</w:t>
      </w:r>
      <w:r w:rsidR="00A32EE7" w:rsidRPr="003D1E07">
        <w:t xml:space="preserve">, tedy na základě určení </w:t>
      </w:r>
      <w:r w:rsidR="08412A99" w:rsidRPr="003D1E07">
        <w:t xml:space="preserve">individua </w:t>
      </w:r>
      <w:r w:rsidR="00A32EE7" w:rsidRPr="003D1E07">
        <w:t>jako jsoucna třetího druhu</w:t>
      </w:r>
      <w:r w:rsidR="00A32EE7" w:rsidRPr="003D1E07">
        <w:fldChar w:fldCharType="begin"/>
      </w:r>
      <w:r w:rsidR="00A32EE7" w:rsidRPr="003D1E07">
        <w:instrText xml:space="preserve"> XE "</w:instrText>
      </w:r>
      <w:r w:rsidR="0820047D" w:rsidRPr="003D1E07">
        <w:instrText>humanismus</w:instrText>
      </w:r>
      <w:r w:rsidR="00A32EE7" w:rsidRPr="003D1E07">
        <w:instrText xml:space="preserve">" </w:instrText>
      </w:r>
      <w:r w:rsidR="00A32EE7" w:rsidRPr="003D1E07">
        <w:fldChar w:fldCharType="end"/>
      </w:r>
      <w:r w:rsidR="00A32EE7" w:rsidRPr="003D1E07">
        <w:t xml:space="preserve">. </w:t>
      </w:r>
      <w:r w:rsidR="00CB6E7B" w:rsidRPr="003D1E07">
        <w:t>Modernisté tím ztratili</w:t>
      </w:r>
      <w:r w:rsidR="003D008C" w:rsidRPr="003D1E07">
        <w:t xml:space="preserve"> jak hledané </w:t>
      </w:r>
      <w:r w:rsidR="003D008C" w:rsidRPr="003D1E07">
        <w:rPr>
          <w:i/>
        </w:rPr>
        <w:t>proportio</w:t>
      </w:r>
      <w:r w:rsidR="003D008C" w:rsidRPr="003D1E07">
        <w:t xml:space="preserve"> mezi smysly a </w:t>
      </w:r>
      <w:r w:rsidR="00EC3DAC">
        <w:t>intelektem</w:t>
      </w:r>
      <w:r w:rsidR="003D008C" w:rsidRPr="003D1E07">
        <w:t>, tak i možn</w:t>
      </w:r>
      <w:r w:rsidR="08E42CA6" w:rsidRPr="003D1E07">
        <w:t>ost univoční predikace pro lidstvo jako celek. N</w:t>
      </w:r>
      <w:r w:rsidR="00CB6E7B" w:rsidRPr="003D1E07">
        <w:t xml:space="preserve">avíc o </w:t>
      </w:r>
      <w:r w:rsidR="00A64988" w:rsidRPr="003D1E07">
        <w:t xml:space="preserve">této ztrátě </w:t>
      </w:r>
      <w:r w:rsidR="00DF0C13">
        <w:t xml:space="preserve">pravdivého poznání </w:t>
      </w:r>
      <w:r w:rsidR="00A64988" w:rsidRPr="003D1E07">
        <w:t>a</w:t>
      </w:r>
      <w:r w:rsidR="00DF0C13">
        <w:t xml:space="preserve">ni nevědí. Objektivisté </w:t>
      </w:r>
      <w:r w:rsidR="00CB6E7B" w:rsidRPr="003D1E07">
        <w:t xml:space="preserve">jsou fundamentálně, tedy objektivně slepí k pravdě dané v modu aristotelského </w:t>
      </w:r>
      <w:r w:rsidR="00CB6E7B" w:rsidRPr="003D1E07">
        <w:rPr>
          <w:i/>
        </w:rPr>
        <w:t>proportio</w:t>
      </w:r>
      <w:r w:rsidR="00211924" w:rsidRPr="003D1E07">
        <w:rPr>
          <w:i/>
        </w:rPr>
        <w:fldChar w:fldCharType="begin"/>
      </w:r>
      <w:r w:rsidR="00211924" w:rsidRPr="003D1E07">
        <w:instrText xml:space="preserve"> XE "pravda:</w:instrText>
      </w:r>
      <w:r w:rsidR="00211924" w:rsidRPr="003D1E07">
        <w:rPr>
          <w:i/>
        </w:rPr>
        <w:instrText>proportio</w:instrText>
      </w:r>
      <w:r w:rsidR="00211924" w:rsidRPr="003D1E07">
        <w:instrText xml:space="preserve">" </w:instrText>
      </w:r>
      <w:r w:rsidR="00211924" w:rsidRPr="003D1E07">
        <w:rPr>
          <w:i/>
        </w:rPr>
        <w:fldChar w:fldCharType="end"/>
      </w:r>
      <w:r w:rsidR="001B200D" w:rsidRPr="003D1E07">
        <w:t xml:space="preserve"> mezi první a druhou substancí. </w:t>
      </w:r>
      <w:r w:rsidR="0878414E" w:rsidRPr="003D1E07">
        <w:t>Intelekt vzatý univerzálně má v člověku univoční význam, a ne ekvivoční</w:t>
      </w:r>
      <w:r w:rsidR="009E2939">
        <w:t>. V </w:t>
      </w:r>
      <w:r w:rsidR="0878414E" w:rsidRPr="003D1E07">
        <w:t>tom</w:t>
      </w:r>
      <w:r w:rsidR="009E2939">
        <w:t>to zásadní</w:t>
      </w:r>
      <w:r w:rsidR="004C13E6">
        <w:t>m</w:t>
      </w:r>
      <w:r w:rsidR="009E2939">
        <w:t xml:space="preserve"> bodě </w:t>
      </w:r>
      <w:r w:rsidR="0878414E" w:rsidRPr="003D1E07">
        <w:t xml:space="preserve">se Averroes </w:t>
      </w:r>
      <w:r w:rsidR="009E2939">
        <w:t>liší od modernistů</w:t>
      </w:r>
      <w:r w:rsidR="0878414E" w:rsidRPr="003D1E07">
        <w:t xml:space="preserve">. </w:t>
      </w:r>
      <w:r w:rsidR="009E2939">
        <w:t xml:space="preserve">Jeho </w:t>
      </w:r>
      <w:r w:rsidR="0878414E" w:rsidRPr="003D1E07">
        <w:t xml:space="preserve">pojetí </w:t>
      </w:r>
      <w:r w:rsidR="009E2939">
        <w:t xml:space="preserve">intelektu </w:t>
      </w:r>
      <w:r w:rsidR="0878414E" w:rsidRPr="003D1E07">
        <w:t xml:space="preserve">není dané jako substance třetího druhu, ale tvoří pravdivý závěr vědeckého deduktivního soudu </w:t>
      </w:r>
      <w:r w:rsidR="0878414E" w:rsidRPr="003D1E07">
        <w:lastRenderedPageBreak/>
        <w:t>(</w:t>
      </w:r>
      <w:r w:rsidR="0878414E" w:rsidRPr="003D1E07">
        <w:rPr>
          <w:i/>
        </w:rPr>
        <w:t>demonstratio</w:t>
      </w:r>
      <w:r w:rsidR="0878414E" w:rsidRPr="003D1E07">
        <w:rPr>
          <w:i/>
        </w:rPr>
        <w:fldChar w:fldCharType="begin"/>
      </w:r>
      <w:r w:rsidR="0878414E" w:rsidRPr="003D1E07">
        <w:instrText xml:space="preserve"> XE "</w:instrText>
      </w:r>
      <w:r w:rsidR="0878414E" w:rsidRPr="003D1E07">
        <w:rPr>
          <w:i/>
        </w:rPr>
        <w:instrText>demonstratio:</w:instrText>
      </w:r>
      <w:r w:rsidR="0878414E" w:rsidRPr="003D1E07">
        <w:instrText xml:space="preserve">Averroes" </w:instrText>
      </w:r>
      <w:r w:rsidR="0878414E" w:rsidRPr="003D1E07">
        <w:rPr>
          <w:i/>
        </w:rPr>
        <w:fldChar w:fldCharType="end"/>
      </w:r>
      <w:r w:rsidR="0878414E" w:rsidRPr="003D1E07">
        <w:t xml:space="preserve">). </w:t>
      </w:r>
      <w:r w:rsidR="005F459B" w:rsidRPr="003D1E07">
        <w:t>Abstrahovaný i</w:t>
      </w:r>
      <w:r w:rsidR="00E80CD7" w:rsidRPr="003D1E07">
        <w:t xml:space="preserve">ntelekt </w:t>
      </w:r>
      <w:r w:rsidR="00073158">
        <w:t xml:space="preserve">vystupuje </w:t>
      </w:r>
      <w:r w:rsidR="005F459B" w:rsidRPr="003D1E07">
        <w:t>v</w:t>
      </w:r>
      <w:r w:rsidR="0878414E" w:rsidRPr="003D1E07">
        <w:t xml:space="preserve"> aristotelské kategoriální </w:t>
      </w:r>
      <w:r w:rsidR="005F459B" w:rsidRPr="003D1E07">
        <w:t>predikaci jako každá jiná univerzálie. P</w:t>
      </w:r>
      <w:r w:rsidR="08DC1508" w:rsidRPr="003D1E07">
        <w:t xml:space="preserve">roto může být </w:t>
      </w:r>
      <w:r w:rsidR="00570E48" w:rsidRPr="003D1E07">
        <w:t xml:space="preserve">univočně </w:t>
      </w:r>
      <w:r w:rsidR="005F459B" w:rsidRPr="003D1E07">
        <w:t>predikován</w:t>
      </w:r>
      <w:r w:rsidR="08DC1508" w:rsidRPr="003D1E07">
        <w:t xml:space="preserve"> </w:t>
      </w:r>
      <w:r w:rsidR="00501E6A" w:rsidRPr="003D1E07">
        <w:t xml:space="preserve">v kategoriálním významu </w:t>
      </w:r>
      <w:r w:rsidR="00501E6A" w:rsidRPr="003D1E07">
        <w:rPr>
          <w:i/>
        </w:rPr>
        <w:t>per prius</w:t>
      </w:r>
      <w:r w:rsidR="00570E48" w:rsidRPr="003D1E07">
        <w:t xml:space="preserve"> v rámci rodu</w:t>
      </w:r>
      <w:r w:rsidR="08D04963" w:rsidRPr="003D1E07">
        <w:t xml:space="preserve"> a druhu</w:t>
      </w:r>
      <w:r w:rsidR="00570E48" w:rsidRPr="003D1E07">
        <w:t>, kde</w:t>
      </w:r>
      <w:r w:rsidR="00A60AD0" w:rsidRPr="003D1E07">
        <w:t xml:space="preserve"> platí </w:t>
      </w:r>
      <w:r w:rsidR="00570E48" w:rsidRPr="003D1E07">
        <w:t>poslední úroveň univerzality</w:t>
      </w:r>
      <w:r w:rsidR="08DC1508" w:rsidRPr="003D1E07">
        <w:t>. A</w:t>
      </w:r>
      <w:r w:rsidR="00501E6A" w:rsidRPr="003D1E07">
        <w:t>le nikoliv na způsob oddělené entity, jak to špatně pochopil pozdější averroismus</w:t>
      </w:r>
      <w:r w:rsidR="08821F3B" w:rsidRPr="003D1E07">
        <w:t xml:space="preserve"> ovlivněný Avicennou</w:t>
      </w:r>
      <w:r w:rsidR="00501E6A" w:rsidRPr="003D1E07">
        <w:t xml:space="preserve">. </w:t>
      </w:r>
      <w:r w:rsidR="00A60AD0" w:rsidRPr="003D1E07">
        <w:t>Sofisté důkazový sylogismus pro univerzalitu intele</w:t>
      </w:r>
      <w:r w:rsidR="08D04963" w:rsidRPr="003D1E07">
        <w:t xml:space="preserve">ktu nepotřebují, protože objektivní </w:t>
      </w:r>
      <w:r w:rsidR="00A60AD0" w:rsidRPr="003D1E07">
        <w:t>intelekt</w:t>
      </w:r>
      <w:r w:rsidR="009A015F" w:rsidRPr="003D1E07">
        <w:t xml:space="preserve"> třetího druhu</w:t>
      </w:r>
      <w:r w:rsidR="08D04963" w:rsidRPr="003D1E07">
        <w:t xml:space="preserve"> </w:t>
      </w:r>
      <w:r w:rsidR="08567CB1" w:rsidRPr="003D1E07">
        <w:t xml:space="preserve">přímo </w:t>
      </w:r>
      <w:r w:rsidR="08D04963" w:rsidRPr="003D1E07">
        <w:t xml:space="preserve">nazírají </w:t>
      </w:r>
      <w:r w:rsidR="08567CB1" w:rsidRPr="003D1E07">
        <w:t xml:space="preserve">pod manickým vlivem Fúrií </w:t>
      </w:r>
      <w:r w:rsidR="00A60AD0" w:rsidRPr="003D1E07">
        <w:t>ve formě sofistického simulákra</w:t>
      </w:r>
      <w:r w:rsidR="007A6052" w:rsidRPr="003D1E07">
        <w:rPr>
          <w:rStyle w:val="Zkladntext184"/>
          <w:rFonts w:ascii="Calibri" w:eastAsia="Times" w:hAnsi="Calibri" w:cs="Times New Roman"/>
          <w:color w:val="auto"/>
          <w:spacing w:val="0"/>
          <w:sz w:val="24"/>
          <w:lang w:val="cs-CZ"/>
        </w:rPr>
        <w:fldChar w:fldCharType="begin"/>
      </w:r>
      <w:r w:rsidR="007A6052" w:rsidRPr="003D1E07">
        <w:instrText xml:space="preserve"> XE "</w:instrText>
      </w:r>
      <w:r w:rsidR="007A6052" w:rsidRPr="003D1E07">
        <w:rPr>
          <w:rStyle w:val="FontStyle129"/>
          <w:rFonts w:ascii="Calibri" w:hAnsi="Calibri"/>
          <w:sz w:val="24"/>
        </w:rPr>
        <w:instrText>iluminace</w:instrText>
      </w:r>
      <w:r w:rsidR="007A6052" w:rsidRPr="003D1E07">
        <w:instrText xml:space="preserve">" </w:instrText>
      </w:r>
      <w:r w:rsidR="007A6052" w:rsidRPr="003D1E07">
        <w:rPr>
          <w:rStyle w:val="Zkladntext184"/>
          <w:rFonts w:ascii="Calibri" w:eastAsia="Times" w:hAnsi="Calibri" w:cs="Times New Roman"/>
          <w:color w:val="auto"/>
          <w:spacing w:val="0"/>
          <w:sz w:val="24"/>
          <w:lang w:val="cs-CZ"/>
        </w:rPr>
        <w:fldChar w:fldCharType="end"/>
      </w:r>
      <w:r w:rsidR="00A60AD0" w:rsidRPr="003D1E07">
        <w:t xml:space="preserve">. </w:t>
      </w:r>
      <w:r w:rsidR="002E3B62" w:rsidRPr="003D1E07">
        <w:t>Averroes</w:t>
      </w:r>
      <w:r w:rsidR="00A60AD0" w:rsidRPr="003D1E07">
        <w:t xml:space="preserve"> je kritický vědec a metafyzik, ne moderní iluminát. Myslíme každý za sebe</w:t>
      </w:r>
      <w:r w:rsidR="001223B5" w:rsidRPr="003D1E07">
        <w:t xml:space="preserve"> v modu existenciální ipseity, proto lze univerzalitu inte</w:t>
      </w:r>
      <w:r w:rsidR="00A60AD0" w:rsidRPr="003D1E07">
        <w:t>l</w:t>
      </w:r>
      <w:r w:rsidR="001223B5" w:rsidRPr="003D1E07">
        <w:t>e</w:t>
      </w:r>
      <w:r w:rsidR="00A60AD0" w:rsidRPr="003D1E07">
        <w:t>ktu pravdivě dedukovat</w:t>
      </w:r>
      <w:r w:rsidR="001223B5" w:rsidRPr="003D1E07">
        <w:t xml:space="preserve"> </w:t>
      </w:r>
      <w:r w:rsidR="009A015F" w:rsidRPr="003D1E07">
        <w:t xml:space="preserve">pouze </w:t>
      </w:r>
      <w:r w:rsidR="001223B5" w:rsidRPr="003D1E07">
        <w:t>v modu univerzální</w:t>
      </w:r>
      <w:r w:rsidR="08172883" w:rsidRPr="003D1E07">
        <w:t xml:space="preserve"> identity</w:t>
      </w:r>
      <w:r w:rsidR="00A60AD0" w:rsidRPr="003D1E07">
        <w:t>. V</w:t>
      </w:r>
      <w:r w:rsidR="00B20ED8" w:rsidRPr="003D1E07">
        <w:t xml:space="preserve">ýsledkem </w:t>
      </w:r>
      <w:r w:rsidR="00A60AD0" w:rsidRPr="003D1E07">
        <w:t xml:space="preserve">poznávacího soudu </w:t>
      </w:r>
      <w:r w:rsidR="084A652B" w:rsidRPr="003D1E07">
        <w:t xml:space="preserve">daného podle </w:t>
      </w:r>
      <w:r w:rsidR="08E22F7A" w:rsidRPr="003D1E07">
        <w:t xml:space="preserve">metafyzického </w:t>
      </w:r>
      <w:r w:rsidR="084A652B" w:rsidRPr="003D1E07">
        <w:t xml:space="preserve">dativu </w:t>
      </w:r>
      <w:r w:rsidR="00B20ED8" w:rsidRPr="003D1E07">
        <w:t>je univocit</w:t>
      </w:r>
      <w:r w:rsidR="084A652B" w:rsidRPr="003D1E07">
        <w:t>a pojmu a pravdivé</w:t>
      </w:r>
      <w:r w:rsidR="00B20ED8" w:rsidRPr="003D1E07">
        <w:t xml:space="preserve"> poznání </w:t>
      </w:r>
      <w:r w:rsidR="08F704D1" w:rsidRPr="003D1E07">
        <w:t xml:space="preserve">vnější </w:t>
      </w:r>
      <w:r w:rsidR="00B20ED8" w:rsidRPr="003D1E07">
        <w:t>reality</w:t>
      </w:r>
      <w:r w:rsidR="004F3B40" w:rsidRPr="003D1E07">
        <w:t xml:space="preserve">. </w:t>
      </w:r>
      <w:r w:rsidR="080F0881" w:rsidRPr="003D1E07">
        <w:t xml:space="preserve">Díky nematerialitě a univerzalitě poznání </w:t>
      </w:r>
      <w:r w:rsidR="082B3544" w:rsidRPr="003D1E07">
        <w:t xml:space="preserve">musí existovat </w:t>
      </w:r>
      <w:r w:rsidR="08636F0A" w:rsidRPr="003D1E07">
        <w:t xml:space="preserve">dva pojmy </w:t>
      </w:r>
      <w:r w:rsidR="080F0881" w:rsidRPr="003D1E07">
        <w:t>inte</w:t>
      </w:r>
      <w:r w:rsidR="082B3544" w:rsidRPr="003D1E07">
        <w:t>l</w:t>
      </w:r>
      <w:r w:rsidR="080F0881" w:rsidRPr="003D1E07">
        <w:t>e</w:t>
      </w:r>
      <w:r w:rsidR="082B3544" w:rsidRPr="003D1E07">
        <w:t>ktu</w:t>
      </w:r>
      <w:r w:rsidR="00747F96">
        <w:t>. P</w:t>
      </w:r>
      <w:r w:rsidR="00E14A74">
        <w:t xml:space="preserve">rvní </w:t>
      </w:r>
      <w:r w:rsidR="00747F96">
        <w:t xml:space="preserve">pojem </w:t>
      </w:r>
      <w:r w:rsidR="00E14A74">
        <w:t xml:space="preserve">je daný v singulárně a </w:t>
      </w:r>
      <w:r w:rsidR="082B3544" w:rsidRPr="003D1E07">
        <w:t>ak</w:t>
      </w:r>
      <w:r w:rsidR="08C8071D" w:rsidRPr="003D1E07">
        <w:t xml:space="preserve">tuálně </w:t>
      </w:r>
      <w:r w:rsidR="00E14A74">
        <w:t xml:space="preserve">myslící osobě </w:t>
      </w:r>
      <w:r w:rsidR="08301EDF" w:rsidRPr="003D1E07">
        <w:t xml:space="preserve">(metafyzická </w:t>
      </w:r>
      <w:r w:rsidR="08301EDF" w:rsidRPr="003D1E07">
        <w:rPr>
          <w:i/>
        </w:rPr>
        <w:t>quidditas</w:t>
      </w:r>
      <w:r w:rsidR="08301EDF" w:rsidRPr="003D1E07">
        <w:t>)</w:t>
      </w:r>
      <w:r w:rsidR="00E14A74">
        <w:t xml:space="preserve">; druhý </w:t>
      </w:r>
      <w:r w:rsidR="00747F96">
        <w:t xml:space="preserve">pojem </w:t>
      </w:r>
      <w:r w:rsidR="00E14A74">
        <w:t xml:space="preserve">je daný jako genericky a </w:t>
      </w:r>
      <w:r w:rsidR="08C8071D" w:rsidRPr="003D1E07">
        <w:t>univerzálně</w:t>
      </w:r>
      <w:r w:rsidR="08301EDF" w:rsidRPr="003D1E07">
        <w:t xml:space="preserve"> </w:t>
      </w:r>
      <w:r w:rsidR="007706E7">
        <w:t>produko</w:t>
      </w:r>
      <w:r w:rsidR="00E14A74">
        <w:t xml:space="preserve">vaný význam </w:t>
      </w:r>
      <w:r w:rsidR="00747F96">
        <w:t xml:space="preserve">intelektu </w:t>
      </w:r>
      <w:r w:rsidR="08301EDF" w:rsidRPr="003D1E07">
        <w:t xml:space="preserve">(logická </w:t>
      </w:r>
      <w:r w:rsidR="08301EDF" w:rsidRPr="003D1E07">
        <w:rPr>
          <w:i/>
        </w:rPr>
        <w:t>essentia</w:t>
      </w:r>
      <w:r w:rsidR="08301EDF" w:rsidRPr="003D1E07">
        <w:t>)</w:t>
      </w:r>
      <w:r w:rsidR="08C8071D" w:rsidRPr="003D1E07">
        <w:t>.</w:t>
      </w:r>
      <w:r w:rsidR="08EE3E56" w:rsidRPr="003D1E07">
        <w:t xml:space="preserve"> </w:t>
      </w:r>
      <w:r w:rsidR="00820D65">
        <w:t xml:space="preserve">Kmen akademických iluminátů </w:t>
      </w:r>
      <w:r w:rsidR="08EE3E56" w:rsidRPr="003D1E07">
        <w:t>vidí</w:t>
      </w:r>
      <w:r w:rsidR="00887D8E" w:rsidRPr="003D1E07">
        <w:t xml:space="preserve"> simulákrum odděleného intelektu typu Kartéziovy </w:t>
      </w:r>
      <w:r w:rsidR="00887D8E" w:rsidRPr="003D1E07">
        <w:rPr>
          <w:i/>
        </w:rPr>
        <w:t>res cogitans</w:t>
      </w:r>
      <w:r w:rsidR="009A1BD1" w:rsidRPr="003D1E07">
        <w:rPr>
          <w:i/>
        </w:rPr>
        <w:fldChar w:fldCharType="begin"/>
      </w:r>
      <w:r w:rsidR="009A1BD1" w:rsidRPr="003D1E07">
        <w:instrText xml:space="preserve"> XE "</w:instrText>
      </w:r>
      <w:r w:rsidR="009A1BD1" w:rsidRPr="003D1E07">
        <w:rPr>
          <w:i/>
        </w:rPr>
        <w:instrText>res cogitans</w:instrText>
      </w:r>
      <w:r w:rsidR="009A1BD1" w:rsidRPr="003D1E07">
        <w:instrText xml:space="preserve">" </w:instrText>
      </w:r>
      <w:r w:rsidR="009A1BD1" w:rsidRPr="003D1E07">
        <w:rPr>
          <w:i/>
        </w:rPr>
        <w:fldChar w:fldCharType="end"/>
      </w:r>
      <w:r w:rsidR="00887D8E" w:rsidRPr="003D1E07">
        <w:t xml:space="preserve">. A pak mají před sebou </w:t>
      </w:r>
      <w:r w:rsidR="080A3753" w:rsidRPr="003D1E07">
        <w:t xml:space="preserve">intelektuální </w:t>
      </w:r>
      <w:r w:rsidR="00887D8E" w:rsidRPr="003D1E07">
        <w:t xml:space="preserve">hádanku typu </w:t>
      </w:r>
      <w:r w:rsidR="00887D8E" w:rsidRPr="003D1E07">
        <w:rPr>
          <w:rStyle w:val="Zkladntext184"/>
          <w:rFonts w:ascii="Calibri" w:eastAsia="Times" w:hAnsi="Calibri" w:cs="Times New Roman"/>
          <w:color w:val="auto"/>
          <w:spacing w:val="0"/>
          <w:sz w:val="24"/>
          <w:lang w:val="cs-CZ"/>
        </w:rPr>
        <w:t>Avicennova</w:t>
      </w:r>
      <w:r w:rsidR="00EC7D14" w:rsidRPr="003D1E07">
        <w:rPr>
          <w:rStyle w:val="Zkladntext184"/>
          <w:rFonts w:ascii="Calibri" w:eastAsia="Times" w:hAnsi="Calibri" w:cs="Times New Roman"/>
          <w:color w:val="auto"/>
          <w:spacing w:val="0"/>
          <w:sz w:val="24"/>
          <w:lang w:val="cs-CZ"/>
        </w:rPr>
        <w:t xml:space="preserve"> „létajícího muže</w:t>
      </w:r>
      <w:r w:rsidR="00652149" w:rsidRPr="003D1E07">
        <w:rPr>
          <w:rStyle w:val="Zkladntext184"/>
          <w:rFonts w:ascii="Calibri" w:eastAsia="Times" w:hAnsi="Calibri" w:cs="Times New Roman"/>
          <w:color w:val="auto"/>
          <w:spacing w:val="0"/>
          <w:sz w:val="24"/>
          <w:lang w:val="cs-CZ"/>
        </w:rPr>
        <w:fldChar w:fldCharType="begin"/>
      </w:r>
      <w:r w:rsidR="00652149" w:rsidRPr="003D1E07">
        <w:instrText xml:space="preserve"> XE "</w:instrText>
      </w:r>
      <w:r w:rsidR="00652149" w:rsidRPr="003D1E07">
        <w:rPr>
          <w:rStyle w:val="FontStyle129"/>
          <w:rFonts w:ascii="Calibri" w:hAnsi="Calibri"/>
          <w:sz w:val="24"/>
        </w:rPr>
        <w:instrText>létající muž</w:instrText>
      </w:r>
      <w:r w:rsidR="00652149" w:rsidRPr="003D1E07">
        <w:instrText xml:space="preserve">" </w:instrText>
      </w:r>
      <w:r w:rsidR="00652149" w:rsidRPr="003D1E07">
        <w:rPr>
          <w:rStyle w:val="Zkladntext184"/>
          <w:rFonts w:ascii="Calibri" w:eastAsia="Times" w:hAnsi="Calibri" w:cs="Times New Roman"/>
          <w:color w:val="auto"/>
          <w:spacing w:val="0"/>
          <w:sz w:val="24"/>
          <w:lang w:val="cs-CZ"/>
        </w:rPr>
        <w:fldChar w:fldCharType="end"/>
      </w:r>
      <w:r w:rsidR="00EC7D14" w:rsidRPr="003D1E07">
        <w:rPr>
          <w:rStyle w:val="Zkladntext184"/>
          <w:rFonts w:ascii="Calibri" w:eastAsia="Times" w:hAnsi="Calibri" w:cs="Times New Roman"/>
          <w:color w:val="auto"/>
          <w:spacing w:val="0"/>
          <w:sz w:val="24"/>
          <w:lang w:val="cs-CZ"/>
        </w:rPr>
        <w:t xml:space="preserve">“, </w:t>
      </w:r>
      <w:r w:rsidR="00887D8E" w:rsidRPr="003D1E07">
        <w:rPr>
          <w:rStyle w:val="Zkladntext184"/>
          <w:rFonts w:ascii="Calibri" w:eastAsia="Times" w:hAnsi="Calibri" w:cs="Times New Roman"/>
          <w:color w:val="auto"/>
          <w:spacing w:val="0"/>
          <w:sz w:val="24"/>
          <w:lang w:val="cs-CZ"/>
        </w:rPr>
        <w:t xml:space="preserve">nebo současný </w:t>
      </w:r>
      <w:r w:rsidR="00887D8E" w:rsidRPr="003D1E07">
        <w:rPr>
          <w:rStyle w:val="Zkladntext184"/>
          <w:rFonts w:ascii="Calibri" w:eastAsia="Times" w:hAnsi="Calibri" w:cs="Times New Roman"/>
          <w:i/>
          <w:color w:val="auto"/>
          <w:spacing w:val="0"/>
          <w:sz w:val="24"/>
          <w:lang w:val="cs-CZ"/>
        </w:rPr>
        <w:t>Mind‒Body Problem</w:t>
      </w:r>
      <w:r w:rsidR="007A6052" w:rsidRPr="003D1E07">
        <w:rPr>
          <w:rStyle w:val="Zkladntext184"/>
          <w:rFonts w:ascii="Calibri" w:eastAsia="Times" w:hAnsi="Calibri" w:cs="Times New Roman"/>
          <w:i/>
          <w:color w:val="auto"/>
          <w:spacing w:val="0"/>
          <w:sz w:val="24"/>
          <w:lang w:val="cs-CZ"/>
        </w:rPr>
        <w:fldChar w:fldCharType="begin"/>
      </w:r>
      <w:r w:rsidR="007A6052" w:rsidRPr="003D1E07">
        <w:instrText xml:space="preserve"> XE "</w:instrText>
      </w:r>
      <w:r w:rsidR="007A6052" w:rsidRPr="003D1E07">
        <w:rPr>
          <w:rStyle w:val="Zkladntext184"/>
          <w:rFonts w:ascii="Calibri" w:eastAsia="Times" w:hAnsi="Calibri" w:cs="Times New Roman"/>
          <w:i/>
          <w:color w:val="auto"/>
          <w:spacing w:val="0"/>
          <w:sz w:val="24"/>
          <w:lang w:val="cs-CZ"/>
        </w:rPr>
        <w:instrText>Mind‒Body Problem</w:instrText>
      </w:r>
      <w:r w:rsidR="007A6052" w:rsidRPr="003D1E07">
        <w:instrText xml:space="preserve">" </w:instrText>
      </w:r>
      <w:r w:rsidR="007A6052" w:rsidRPr="003D1E07">
        <w:rPr>
          <w:rStyle w:val="Zkladntext184"/>
          <w:rFonts w:ascii="Calibri" w:eastAsia="Times" w:hAnsi="Calibri" w:cs="Times New Roman"/>
          <w:i/>
          <w:color w:val="auto"/>
          <w:spacing w:val="0"/>
          <w:sz w:val="24"/>
          <w:lang w:val="cs-CZ"/>
        </w:rPr>
        <w:fldChar w:fldCharType="end"/>
      </w:r>
      <w:r w:rsidR="00887D8E" w:rsidRPr="003D1E07">
        <w:rPr>
          <w:rStyle w:val="Zkladntext184"/>
          <w:rFonts w:ascii="Calibri" w:eastAsia="Times" w:hAnsi="Calibri" w:cs="Times New Roman"/>
          <w:color w:val="auto"/>
          <w:spacing w:val="0"/>
          <w:sz w:val="24"/>
          <w:lang w:val="cs-CZ"/>
        </w:rPr>
        <w:t>.</w:t>
      </w:r>
      <w:r w:rsidR="08217910" w:rsidRPr="003D1E07">
        <w:rPr>
          <w:rStyle w:val="Zkladntext184"/>
          <w:rFonts w:ascii="Calibri" w:eastAsia="Times" w:hAnsi="Calibri" w:cs="Times New Roman"/>
          <w:color w:val="auto"/>
          <w:spacing w:val="0"/>
          <w:sz w:val="24"/>
          <w:lang w:val="cs-CZ"/>
        </w:rPr>
        <w:t xml:space="preserve"> </w:t>
      </w:r>
      <w:r w:rsidR="005D09A8" w:rsidRPr="005D09A8">
        <w:rPr>
          <w:rStyle w:val="Zkladntext184"/>
          <w:rFonts w:ascii="Calibri" w:eastAsia="Times" w:hAnsi="Calibri" w:cs="Times New Roman"/>
          <w:color w:val="auto"/>
          <w:spacing w:val="0"/>
          <w:sz w:val="24"/>
          <w:lang w:val="cs-CZ"/>
        </w:rPr>
        <w:t xml:space="preserve">Jedná </w:t>
      </w:r>
      <w:r w:rsidR="005D09A8">
        <w:rPr>
          <w:rStyle w:val="Zkladntext184"/>
          <w:rFonts w:ascii="Calibri" w:eastAsia="Times" w:hAnsi="Calibri" w:cs="Times New Roman"/>
          <w:color w:val="auto"/>
          <w:spacing w:val="0"/>
          <w:sz w:val="24"/>
          <w:lang w:val="cs-CZ"/>
        </w:rPr>
        <w:t xml:space="preserve">se o typický příklad </w:t>
      </w:r>
      <w:r w:rsidR="005D09A8" w:rsidRPr="005D09A8">
        <w:rPr>
          <w:rStyle w:val="Zkladntext184"/>
          <w:rFonts w:ascii="Calibri" w:eastAsia="Times" w:hAnsi="Calibri" w:cs="Times New Roman"/>
          <w:i/>
          <w:color w:val="auto"/>
          <w:spacing w:val="0"/>
          <w:sz w:val="24"/>
          <w:lang w:val="cs-CZ"/>
        </w:rPr>
        <w:t>Cargo cult</w:t>
      </w:r>
      <w:r w:rsidR="00B939C5">
        <w:rPr>
          <w:rStyle w:val="Zkladntext184"/>
          <w:rFonts w:ascii="Calibri" w:eastAsia="Times" w:hAnsi="Calibri" w:cs="Times New Roman"/>
          <w:i/>
          <w:color w:val="auto"/>
          <w:spacing w:val="0"/>
          <w:sz w:val="24"/>
          <w:lang w:val="cs-CZ"/>
        </w:rPr>
        <w:fldChar w:fldCharType="begin"/>
      </w:r>
      <w:r w:rsidR="00B939C5">
        <w:instrText xml:space="preserve"> XE "</w:instrText>
      </w:r>
      <w:r w:rsidR="00B939C5" w:rsidRPr="0043079B">
        <w:rPr>
          <w:rStyle w:val="Zkladntext184"/>
          <w:rFonts w:ascii="Calibri" w:eastAsia="Times" w:hAnsi="Calibri" w:cs="Times New Roman"/>
          <w:i/>
          <w:color w:val="auto"/>
          <w:spacing w:val="0"/>
          <w:sz w:val="24"/>
          <w:lang w:val="cs-CZ"/>
        </w:rPr>
        <w:instrText>Cargo cult</w:instrText>
      </w:r>
      <w:r w:rsidR="00B939C5">
        <w:instrText xml:space="preserve">" </w:instrText>
      </w:r>
      <w:r w:rsidR="00B939C5">
        <w:rPr>
          <w:rStyle w:val="Zkladntext184"/>
          <w:rFonts w:ascii="Calibri" w:eastAsia="Times" w:hAnsi="Calibri" w:cs="Times New Roman"/>
          <w:i/>
          <w:color w:val="auto"/>
          <w:spacing w:val="0"/>
          <w:sz w:val="24"/>
          <w:lang w:val="cs-CZ"/>
        </w:rPr>
        <w:fldChar w:fldCharType="end"/>
      </w:r>
      <w:r w:rsidR="005D09A8" w:rsidRPr="005D09A8">
        <w:rPr>
          <w:rStyle w:val="Zkladntext184"/>
          <w:rFonts w:ascii="Calibri" w:eastAsia="Times" w:hAnsi="Calibri" w:cs="Times New Roman"/>
          <w:color w:val="auto"/>
          <w:spacing w:val="0"/>
          <w:sz w:val="24"/>
          <w:lang w:val="cs-CZ"/>
        </w:rPr>
        <w:t>, kdy učenci uctívají simulakrum metafyziky, které vytvořil Averroës. Po jeho smrti tato autentická metafyzika přestal</w:t>
      </w:r>
      <w:r w:rsidR="005D09A8">
        <w:rPr>
          <w:rStyle w:val="Zkladntext184"/>
          <w:rFonts w:ascii="Calibri" w:eastAsia="Times" w:hAnsi="Calibri" w:cs="Times New Roman"/>
          <w:color w:val="auto"/>
          <w:spacing w:val="0"/>
          <w:sz w:val="24"/>
          <w:lang w:val="cs-CZ"/>
        </w:rPr>
        <w:t>a existovat a Averroës se stal „averroistou“</w:t>
      </w:r>
      <w:r w:rsidR="005D09A8" w:rsidRPr="005D09A8">
        <w:rPr>
          <w:rStyle w:val="Zkladntext184"/>
          <w:rFonts w:ascii="Calibri" w:eastAsia="Times" w:hAnsi="Calibri" w:cs="Times New Roman"/>
          <w:color w:val="auto"/>
          <w:spacing w:val="0"/>
          <w:sz w:val="24"/>
          <w:lang w:val="cs-CZ"/>
        </w:rPr>
        <w:t>.</w:t>
      </w:r>
      <w:r w:rsidR="005D09A8">
        <w:rPr>
          <w:rStyle w:val="Zkladntext184"/>
          <w:rFonts w:ascii="Calibri" w:eastAsia="Times" w:hAnsi="Calibri" w:cs="Times New Roman"/>
          <w:color w:val="auto"/>
          <w:spacing w:val="0"/>
          <w:sz w:val="24"/>
          <w:lang w:val="cs-CZ"/>
        </w:rPr>
        <w:t xml:space="preserve"> Filosofii reálné osoby</w:t>
      </w:r>
      <w:r w:rsidR="004A1B6A" w:rsidRPr="003D1E07">
        <w:rPr>
          <w:rStyle w:val="Zkladntext184"/>
          <w:rFonts w:ascii="Calibri" w:eastAsia="Times" w:hAnsi="Calibri" w:cs="Times New Roman"/>
          <w:color w:val="auto"/>
          <w:spacing w:val="0"/>
          <w:sz w:val="24"/>
          <w:lang w:val="cs-CZ"/>
        </w:rPr>
        <w:t xml:space="preserve"> a </w:t>
      </w:r>
      <w:r w:rsidR="08217910" w:rsidRPr="003D1E07">
        <w:rPr>
          <w:rStyle w:val="Zkladntext184"/>
          <w:rFonts w:ascii="Calibri" w:eastAsia="Times" w:hAnsi="Calibri" w:cs="Times New Roman"/>
          <w:color w:val="auto"/>
          <w:spacing w:val="0"/>
          <w:sz w:val="24"/>
          <w:lang w:val="cs-CZ"/>
        </w:rPr>
        <w:t xml:space="preserve">specifickou </w:t>
      </w:r>
      <w:r w:rsidR="004A1B6A" w:rsidRPr="003D1E07">
        <w:rPr>
          <w:rStyle w:val="Zkladntext184"/>
          <w:rFonts w:ascii="Calibri" w:eastAsia="Times" w:hAnsi="Calibri" w:cs="Times New Roman"/>
          <w:color w:val="auto"/>
          <w:spacing w:val="0"/>
          <w:sz w:val="24"/>
          <w:lang w:val="cs-CZ"/>
        </w:rPr>
        <w:t xml:space="preserve">jednotu lidstva </w:t>
      </w:r>
      <w:r w:rsidR="08A0740A" w:rsidRPr="003D1E07">
        <w:rPr>
          <w:rStyle w:val="Zkladntext184"/>
          <w:rFonts w:ascii="Calibri" w:eastAsia="Times" w:hAnsi="Calibri" w:cs="Times New Roman"/>
          <w:color w:val="auto"/>
          <w:spacing w:val="0"/>
          <w:sz w:val="24"/>
          <w:lang w:val="cs-CZ"/>
        </w:rPr>
        <w:t xml:space="preserve">historicky smetly ze stolu </w:t>
      </w:r>
      <w:r w:rsidR="005212EA">
        <w:rPr>
          <w:rStyle w:val="Zkladntext184"/>
          <w:rFonts w:ascii="Calibri" w:eastAsia="Times" w:hAnsi="Calibri" w:cs="Times New Roman"/>
          <w:color w:val="auto"/>
          <w:spacing w:val="0"/>
          <w:sz w:val="24"/>
          <w:lang w:val="cs-CZ"/>
        </w:rPr>
        <w:t>západní k</w:t>
      </w:r>
      <w:r w:rsidR="004A1B6A" w:rsidRPr="003D1E07">
        <w:rPr>
          <w:rStyle w:val="Zkladntext184"/>
          <w:rFonts w:ascii="Calibri" w:eastAsia="Times" w:hAnsi="Calibri" w:cs="Times New Roman"/>
          <w:color w:val="auto"/>
          <w:spacing w:val="0"/>
          <w:sz w:val="24"/>
          <w:lang w:val="cs-CZ"/>
        </w:rPr>
        <w:t>ruciá</w:t>
      </w:r>
      <w:r w:rsidR="007662B8" w:rsidRPr="003D1E07">
        <w:rPr>
          <w:rStyle w:val="Zkladntext184"/>
          <w:rFonts w:ascii="Calibri" w:eastAsia="Times" w:hAnsi="Calibri" w:cs="Times New Roman"/>
          <w:color w:val="auto"/>
          <w:spacing w:val="0"/>
          <w:sz w:val="24"/>
          <w:lang w:val="cs-CZ"/>
        </w:rPr>
        <w:t xml:space="preserve">ty </w:t>
      </w:r>
      <w:r w:rsidR="00163BDA">
        <w:rPr>
          <w:rStyle w:val="Zkladntext184"/>
          <w:rFonts w:ascii="Calibri" w:eastAsia="Times" w:hAnsi="Calibri" w:cs="Times New Roman"/>
          <w:color w:val="auto"/>
          <w:spacing w:val="0"/>
          <w:sz w:val="24"/>
          <w:lang w:val="cs-CZ"/>
        </w:rPr>
        <w:t>a po nich obě s</w:t>
      </w:r>
      <w:r w:rsidR="004A1B6A" w:rsidRPr="003D1E07">
        <w:rPr>
          <w:rStyle w:val="Zkladntext184"/>
          <w:rFonts w:ascii="Calibri" w:eastAsia="Times" w:hAnsi="Calibri" w:cs="Times New Roman"/>
          <w:color w:val="auto"/>
          <w:spacing w:val="0"/>
          <w:sz w:val="24"/>
          <w:lang w:val="cs-CZ"/>
        </w:rPr>
        <w:t xml:space="preserve">větové války. </w:t>
      </w:r>
    </w:p>
    <w:p w14:paraId="1FAE4A96" w14:textId="7834ABA7" w:rsidR="005531CC" w:rsidRPr="003D1E07" w:rsidRDefault="08C8071D" w:rsidP="006829BE">
      <w:r w:rsidRPr="003D1E07">
        <w:tab/>
      </w:r>
      <w:r w:rsidR="008836C8" w:rsidRPr="003D1E07">
        <w:t xml:space="preserve">Zbývá najít analogii ke kategoriální </w:t>
      </w:r>
      <w:r w:rsidR="0034498F" w:rsidRPr="003D1E07">
        <w:t xml:space="preserve">druhé </w:t>
      </w:r>
      <w:r w:rsidR="008836C8" w:rsidRPr="003D1E07">
        <w:t xml:space="preserve">substanci, která by založila novou predikaci </w:t>
      </w:r>
      <w:r w:rsidR="008836C8" w:rsidRPr="003D1E07">
        <w:rPr>
          <w:i/>
        </w:rPr>
        <w:t>per prius</w:t>
      </w:r>
      <w:r w:rsidR="008836C8" w:rsidRPr="003D1E07">
        <w:t xml:space="preserve"> vzhledem k</w:t>
      </w:r>
      <w:r w:rsidR="08D5437E" w:rsidRPr="003D1E07">
        <w:t xml:space="preserve"> reálné </w:t>
      </w:r>
      <w:r w:rsidR="008836C8" w:rsidRPr="003D1E07">
        <w:t>substanci jak</w:t>
      </w:r>
      <w:r w:rsidR="08D5437E" w:rsidRPr="003D1E07">
        <w:t xml:space="preserve">o existující osobě </w:t>
      </w:r>
      <w:r w:rsidR="08EB511C" w:rsidRPr="003D1E07">
        <w:t>ve stylu „tento myslící Sokrates“</w:t>
      </w:r>
      <w:r w:rsidR="008836C8" w:rsidRPr="003D1E07">
        <w:t xml:space="preserve">. </w:t>
      </w:r>
      <w:r w:rsidR="00D975F2" w:rsidRPr="003D1E07">
        <w:t>Z předeš</w:t>
      </w:r>
      <w:r w:rsidR="08106832" w:rsidRPr="003D1E07">
        <w:t xml:space="preserve">lé kritiky starých a </w:t>
      </w:r>
      <w:r w:rsidR="00847E06">
        <w:t>post</w:t>
      </w:r>
      <w:r w:rsidR="08106832" w:rsidRPr="003D1E07">
        <w:t xml:space="preserve">moderních </w:t>
      </w:r>
      <w:r w:rsidR="08DE18BB" w:rsidRPr="003D1E07">
        <w:t>alexandrovc</w:t>
      </w:r>
      <w:r w:rsidR="00D975F2" w:rsidRPr="003D1E07">
        <w:t>ů</w:t>
      </w:r>
      <w:r w:rsidR="007A6052" w:rsidRPr="003D1E07">
        <w:rPr>
          <w:rStyle w:val="Zkladntext184"/>
          <w:rFonts w:ascii="Calibri" w:eastAsia="Times" w:hAnsi="Calibri" w:cs="Times New Roman"/>
          <w:color w:val="auto"/>
          <w:spacing w:val="0"/>
          <w:sz w:val="24"/>
          <w:lang w:val="cs-CZ"/>
        </w:rPr>
        <w:t xml:space="preserve"> </w:t>
      </w:r>
      <w:r w:rsidR="007A6052" w:rsidRPr="003D1E07">
        <w:rPr>
          <w:rStyle w:val="Zkladntext184"/>
          <w:rFonts w:ascii="Calibri" w:eastAsia="Times" w:hAnsi="Calibri" w:cs="Times New Roman"/>
          <w:color w:val="auto"/>
          <w:spacing w:val="0"/>
          <w:sz w:val="24"/>
          <w:lang w:val="cs-CZ"/>
        </w:rPr>
        <w:fldChar w:fldCharType="begin"/>
      </w:r>
      <w:r w:rsidR="007A6052" w:rsidRPr="003D1E07">
        <w:instrText xml:space="preserve"> XE "</w:instrText>
      </w:r>
      <w:r w:rsidR="08DE18BB" w:rsidRPr="003D1E07">
        <w:rPr>
          <w:rStyle w:val="FontStyle129"/>
          <w:rFonts w:ascii="Calibri" w:hAnsi="Calibri"/>
          <w:sz w:val="24"/>
        </w:rPr>
        <w:instrText>alexandrovci</w:instrText>
      </w:r>
      <w:r w:rsidR="007A6052" w:rsidRPr="003D1E07">
        <w:instrText xml:space="preserve">" </w:instrText>
      </w:r>
      <w:r w:rsidR="007A6052" w:rsidRPr="003D1E07">
        <w:rPr>
          <w:rStyle w:val="Zkladntext184"/>
          <w:rFonts w:ascii="Calibri" w:eastAsia="Times" w:hAnsi="Calibri" w:cs="Times New Roman"/>
          <w:color w:val="auto"/>
          <w:spacing w:val="0"/>
          <w:sz w:val="24"/>
          <w:lang w:val="cs-CZ"/>
        </w:rPr>
        <w:fldChar w:fldCharType="end"/>
      </w:r>
      <w:r w:rsidR="00D975F2" w:rsidRPr="003D1E07">
        <w:t xml:space="preserve"> </w:t>
      </w:r>
      <w:r w:rsidR="00EC1BBD" w:rsidRPr="003D1E07">
        <w:t xml:space="preserve">jasně vyplývá, že roli </w:t>
      </w:r>
      <w:r w:rsidR="00F07CFF" w:rsidRPr="003D1E07">
        <w:t>substance</w:t>
      </w:r>
      <w:r w:rsidR="00A70FA4" w:rsidRPr="003D1E07">
        <w:fldChar w:fldCharType="begin"/>
      </w:r>
      <w:r w:rsidR="00A70FA4" w:rsidRPr="003D1E07">
        <w:instrText xml:space="preserve"> XE "substance</w:instrText>
      </w:r>
      <w:r w:rsidR="007A6052" w:rsidRPr="003D1E07">
        <w:instrText>:intelekt</w:instrText>
      </w:r>
      <w:r w:rsidR="00A70FA4" w:rsidRPr="003D1E07">
        <w:instrText xml:space="preserve">" </w:instrText>
      </w:r>
      <w:r w:rsidR="00A70FA4" w:rsidRPr="003D1E07">
        <w:fldChar w:fldCharType="end"/>
      </w:r>
      <w:r w:rsidR="00F07CFF" w:rsidRPr="003D1E07">
        <w:t xml:space="preserve"> </w:t>
      </w:r>
      <w:r w:rsidR="00EC1BBD" w:rsidRPr="003D1E07">
        <w:t xml:space="preserve">jako prvního členu predikace </w:t>
      </w:r>
      <w:r w:rsidR="00C1551B" w:rsidRPr="003D1E07">
        <w:t>nemů</w:t>
      </w:r>
      <w:r w:rsidR="00130BD3" w:rsidRPr="003D1E07">
        <w:t xml:space="preserve">že zastoupit </w:t>
      </w:r>
      <w:r w:rsidR="08CD4687" w:rsidRPr="003D1E07">
        <w:t xml:space="preserve">smyslově podmíněný </w:t>
      </w:r>
      <w:r w:rsidR="08877F67" w:rsidRPr="003D1E07">
        <w:rPr>
          <w:i/>
        </w:rPr>
        <w:t xml:space="preserve">intellectus materialis </w:t>
      </w:r>
      <w:r w:rsidR="00C1551B" w:rsidRPr="003D1E07">
        <w:t xml:space="preserve">Themistia ani oddělený </w:t>
      </w:r>
      <w:r w:rsidR="08877F67" w:rsidRPr="003D1E07">
        <w:rPr>
          <w:i/>
        </w:rPr>
        <w:t xml:space="preserve">intellectus possibilis </w:t>
      </w:r>
      <w:r w:rsidR="00C1551B" w:rsidRPr="003D1E07">
        <w:t xml:space="preserve">Alexandra. </w:t>
      </w:r>
      <w:r w:rsidR="007662B8" w:rsidRPr="003D1E07">
        <w:t xml:space="preserve">Proti Themistiovi a Ibn Bájovi argumentuje CMDA novým pojetím </w:t>
      </w:r>
      <w:r w:rsidR="007662B8" w:rsidRPr="003D1E07">
        <w:rPr>
          <w:i/>
        </w:rPr>
        <w:t>intellectus possibilis</w:t>
      </w:r>
      <w:r w:rsidR="007662B8" w:rsidRPr="003D1E07">
        <w:rPr>
          <w:i/>
        </w:rPr>
        <w:fldChar w:fldCharType="begin"/>
      </w:r>
      <w:r w:rsidR="007662B8" w:rsidRPr="003D1E07">
        <w:instrText xml:space="preserve"> XE "</w:instrText>
      </w:r>
      <w:r w:rsidR="007662B8" w:rsidRPr="003D1E07">
        <w:rPr>
          <w:i/>
        </w:rPr>
        <w:instrText>intellectus possibilis</w:instrText>
      </w:r>
      <w:r w:rsidR="007662B8" w:rsidRPr="003D1E07">
        <w:instrText>:</w:instrText>
      </w:r>
      <w:r w:rsidR="002E3B62" w:rsidRPr="003D1E07">
        <w:instrText>Averroes</w:instrText>
      </w:r>
      <w:r w:rsidR="007662B8" w:rsidRPr="003D1E07">
        <w:instrText xml:space="preserve">" </w:instrText>
      </w:r>
      <w:r w:rsidR="007662B8" w:rsidRPr="003D1E07">
        <w:rPr>
          <w:i/>
        </w:rPr>
        <w:fldChar w:fldCharType="end"/>
      </w:r>
      <w:r w:rsidR="007662B8" w:rsidRPr="003D1E07">
        <w:t xml:space="preserve">. Tito autoři jej považovali za čistě smyslový </w:t>
      </w:r>
      <w:r w:rsidR="007662B8" w:rsidRPr="003D1E07">
        <w:rPr>
          <w:i/>
        </w:rPr>
        <w:t>intellectus materialis</w:t>
      </w:r>
      <w:r w:rsidR="007662B8" w:rsidRPr="003D1E07">
        <w:t xml:space="preserve">, zatímco </w:t>
      </w:r>
      <w:r w:rsidR="002E3B62" w:rsidRPr="003D1E07">
        <w:t>Averroes</w:t>
      </w:r>
      <w:r w:rsidR="007662B8" w:rsidRPr="003D1E07">
        <w:t xml:space="preserve"> jej přímo napojil na </w:t>
      </w:r>
      <w:r w:rsidR="00E732AA" w:rsidRPr="003D1E07">
        <w:t xml:space="preserve">personální </w:t>
      </w:r>
      <w:r w:rsidR="007662B8" w:rsidRPr="003D1E07">
        <w:rPr>
          <w:i/>
        </w:rPr>
        <w:t>intellectus agens</w:t>
      </w:r>
      <w:r w:rsidR="007662B8" w:rsidRPr="003D1E07">
        <w:rPr>
          <w:i/>
        </w:rPr>
        <w:fldChar w:fldCharType="begin"/>
      </w:r>
      <w:r w:rsidR="007662B8" w:rsidRPr="003D1E07">
        <w:instrText xml:space="preserve"> XE "</w:instrText>
      </w:r>
      <w:r w:rsidR="007662B8" w:rsidRPr="003D1E07">
        <w:rPr>
          <w:i/>
        </w:rPr>
        <w:instrText>intellectus agens</w:instrText>
      </w:r>
      <w:r w:rsidR="007662B8" w:rsidRPr="003D1E07">
        <w:instrText>:</w:instrText>
      </w:r>
      <w:r w:rsidR="002E3B62" w:rsidRPr="003D1E07">
        <w:instrText>Averroes</w:instrText>
      </w:r>
      <w:r w:rsidR="007662B8" w:rsidRPr="003D1E07">
        <w:instrText xml:space="preserve">" </w:instrText>
      </w:r>
      <w:r w:rsidR="007662B8" w:rsidRPr="003D1E07">
        <w:rPr>
          <w:i/>
        </w:rPr>
        <w:fldChar w:fldCharType="end"/>
      </w:r>
      <w:r w:rsidR="007662B8" w:rsidRPr="003D1E07">
        <w:t xml:space="preserve">. Obsahy </w:t>
      </w:r>
      <w:r w:rsidR="007662B8" w:rsidRPr="003D1E07">
        <w:rPr>
          <w:i/>
        </w:rPr>
        <w:t>intellectus possibilis</w:t>
      </w:r>
      <w:r w:rsidR="007662B8" w:rsidRPr="003D1E07">
        <w:t xml:space="preserve"> jsou již nemateriální, a tím i oddělené od materiálního těla. </w:t>
      </w:r>
      <w:r w:rsidR="002E3B62" w:rsidRPr="003D1E07">
        <w:t>Averroes</w:t>
      </w:r>
      <w:r w:rsidR="007662B8" w:rsidRPr="003D1E07">
        <w:t xml:space="preserve"> se proto vrátí k Themistiovu </w:t>
      </w:r>
      <w:r w:rsidR="08672450" w:rsidRPr="003D1E07">
        <w:t>receptivnímu intelektu</w:t>
      </w:r>
      <w:r w:rsidR="007662B8" w:rsidRPr="003D1E07">
        <w:rPr>
          <w:i/>
        </w:rPr>
        <w:fldChar w:fldCharType="begin"/>
      </w:r>
      <w:r w:rsidR="007662B8" w:rsidRPr="003D1E07">
        <w:instrText xml:space="preserve"> XE "</w:instrText>
      </w:r>
      <w:r w:rsidR="007662B8" w:rsidRPr="003D1E07">
        <w:rPr>
          <w:i/>
        </w:rPr>
        <w:instrText>intellectus possibilis</w:instrText>
      </w:r>
      <w:r w:rsidR="007662B8" w:rsidRPr="003D1E07">
        <w:instrText>:</w:instrText>
      </w:r>
      <w:r w:rsidR="002E3B62" w:rsidRPr="003D1E07">
        <w:instrText>Averroes</w:instrText>
      </w:r>
      <w:r w:rsidR="007662B8" w:rsidRPr="003D1E07">
        <w:instrText xml:space="preserve">" </w:instrText>
      </w:r>
      <w:r w:rsidR="007662B8" w:rsidRPr="003D1E07">
        <w:rPr>
          <w:i/>
        </w:rPr>
        <w:fldChar w:fldCharType="end"/>
      </w:r>
      <w:r w:rsidR="007662B8" w:rsidRPr="003D1E07">
        <w:t xml:space="preserve"> </w:t>
      </w:r>
      <w:r w:rsidR="08CD4687" w:rsidRPr="003D1E07">
        <w:t xml:space="preserve">vázenému na smysly. Pak jej zařadí </w:t>
      </w:r>
      <w:r w:rsidR="007662B8" w:rsidRPr="003D1E07">
        <w:t xml:space="preserve">do schématu </w:t>
      </w:r>
      <w:r w:rsidR="08CD4687" w:rsidRPr="003D1E07">
        <w:t xml:space="preserve">inteligibilního </w:t>
      </w:r>
      <w:r w:rsidR="007662B8" w:rsidRPr="003D1E07">
        <w:t xml:space="preserve">poznání místo </w:t>
      </w:r>
      <w:r w:rsidR="08CD4687" w:rsidRPr="003D1E07">
        <w:t>hylického poznání</w:t>
      </w:r>
      <w:r w:rsidR="007662B8" w:rsidRPr="003D1E07">
        <w:t xml:space="preserve">, který Alexander chápe pouze jako individuální a smyslovou schopnost duše. </w:t>
      </w:r>
      <w:r w:rsidR="08CD4687" w:rsidRPr="003D1E07">
        <w:t xml:space="preserve">Proto oddělil receptivní a nemateriální složku intelektu od smyslů. </w:t>
      </w:r>
      <w:r w:rsidR="007662B8" w:rsidRPr="003D1E07">
        <w:t>Viz citovanou kritiku Alexandra</w:t>
      </w:r>
      <w:r w:rsidR="007662B8" w:rsidRPr="003D1E07">
        <w:fldChar w:fldCharType="begin"/>
      </w:r>
      <w:r w:rsidR="007662B8" w:rsidRPr="003D1E07">
        <w:instrText xml:space="preserve"> XE "Alexander Afrodisias" </w:instrText>
      </w:r>
      <w:r w:rsidR="007662B8" w:rsidRPr="003D1E07">
        <w:fldChar w:fldCharType="end"/>
      </w:r>
      <w:r w:rsidR="007662B8" w:rsidRPr="003D1E07">
        <w:t xml:space="preserve"> ohledně ekvivocity </w:t>
      </w:r>
      <w:r w:rsidR="007662B8" w:rsidRPr="003D1E07">
        <w:lastRenderedPageBreak/>
        <w:t xml:space="preserve">materiálního intelektu, která je pro </w:t>
      </w:r>
      <w:r w:rsidR="002E3B62" w:rsidRPr="003D1E07">
        <w:t>Averroes</w:t>
      </w:r>
      <w:r w:rsidR="007662B8" w:rsidRPr="003D1E07">
        <w:t>e nepřijatelná (CMDA III.5; 405.528–533</w:t>
      </w:r>
      <w:r w:rsidR="007662B8" w:rsidRPr="003D1E07">
        <w:rPr>
          <w:i/>
        </w:rPr>
        <w:fldChar w:fldCharType="begin"/>
      </w:r>
      <w:r w:rsidR="007662B8" w:rsidRPr="003D1E07">
        <w:instrText xml:space="preserve"> XE "</w:instrText>
      </w:r>
      <w:r w:rsidR="002E3B62" w:rsidRPr="003D1E07">
        <w:instrText>Averroes</w:instrText>
      </w:r>
      <w:r w:rsidR="007662B8" w:rsidRPr="003D1E07">
        <w:instrText xml:space="preserve">:CMDA 405.528–533" </w:instrText>
      </w:r>
      <w:r w:rsidR="007662B8" w:rsidRPr="003D1E07">
        <w:rPr>
          <w:i/>
        </w:rPr>
        <w:fldChar w:fldCharType="end"/>
      </w:r>
      <w:r w:rsidR="007662B8" w:rsidRPr="003D1E07">
        <w:t>).</w:t>
      </w:r>
      <w:r w:rsidR="00907FF7" w:rsidRPr="003D1E07">
        <w:t xml:space="preserve"> </w:t>
      </w:r>
      <w:r w:rsidR="00A43C66" w:rsidRPr="003D1E07">
        <w:t xml:space="preserve">Všechny tyto druhy </w:t>
      </w:r>
      <w:r w:rsidR="00D454AB" w:rsidRPr="003D1E07">
        <w:t xml:space="preserve">tak či onak hypostázovaného </w:t>
      </w:r>
      <w:r w:rsidR="08707A6F" w:rsidRPr="003D1E07">
        <w:t xml:space="preserve">receptivního </w:t>
      </w:r>
      <w:r w:rsidR="00A43C66" w:rsidRPr="003D1E07">
        <w:t>intel</w:t>
      </w:r>
      <w:r w:rsidR="0088474A" w:rsidRPr="003D1E07">
        <w:t>e</w:t>
      </w:r>
      <w:r w:rsidR="00D656BF" w:rsidRPr="003D1E07">
        <w:t xml:space="preserve">ktu představují </w:t>
      </w:r>
      <w:r w:rsidR="008836C8" w:rsidRPr="003D1E07">
        <w:t xml:space="preserve">neúplné řešení vzhledem k lidskému poznání </w:t>
      </w:r>
      <w:r w:rsidR="08021DDF" w:rsidRPr="003D1E07">
        <w:t xml:space="preserve">intelektuálních forem. </w:t>
      </w:r>
      <w:r w:rsidR="00344781" w:rsidRPr="003D1E07">
        <w:t xml:space="preserve">Univerzálně daný intelekt </w:t>
      </w:r>
      <w:r w:rsidR="00CF7310" w:rsidRPr="003D1E07">
        <w:t xml:space="preserve">může pravdivě existovat </w:t>
      </w:r>
      <w:r w:rsidR="00344781" w:rsidRPr="003D1E07">
        <w:t xml:space="preserve">jedině </w:t>
      </w:r>
      <w:r w:rsidR="00CF7310" w:rsidRPr="003D1E07">
        <w:t xml:space="preserve">jako obecný závěr správně provedeného vědeckého důkazu. </w:t>
      </w:r>
      <w:r w:rsidR="08021DDF" w:rsidRPr="003D1E07">
        <w:t xml:space="preserve">Naše myšlení díky </w:t>
      </w:r>
      <w:r w:rsidR="08BC1A65" w:rsidRPr="003D1E07">
        <w:t xml:space="preserve">smyslovému základu a </w:t>
      </w:r>
      <w:r w:rsidR="08021DDF" w:rsidRPr="003D1E07">
        <w:t xml:space="preserve">díky </w:t>
      </w:r>
      <w:r w:rsidR="08BC1A65" w:rsidRPr="003D1E07">
        <w:t xml:space="preserve">pojetí intelektu jako </w:t>
      </w:r>
      <w:r w:rsidR="08BC1A65" w:rsidRPr="003D1E07">
        <w:rPr>
          <w:i/>
        </w:rPr>
        <w:t>tabula rasa</w:t>
      </w:r>
      <w:r w:rsidR="008702D7" w:rsidRPr="003D1E07">
        <w:rPr>
          <w:i/>
        </w:rPr>
        <w:fldChar w:fldCharType="begin"/>
      </w:r>
      <w:r w:rsidR="008702D7" w:rsidRPr="003D1E07">
        <w:instrText xml:space="preserve"> XE "</w:instrText>
      </w:r>
      <w:r w:rsidR="008702D7" w:rsidRPr="003D1E07">
        <w:rPr>
          <w:i/>
        </w:rPr>
        <w:instrText>tabula rasa</w:instrText>
      </w:r>
      <w:r w:rsidR="008702D7" w:rsidRPr="003D1E07">
        <w:instrText xml:space="preserve">" </w:instrText>
      </w:r>
      <w:r w:rsidR="008702D7" w:rsidRPr="003D1E07">
        <w:rPr>
          <w:i/>
        </w:rPr>
        <w:fldChar w:fldCharType="end"/>
      </w:r>
      <w:r w:rsidR="08BC1A65" w:rsidRPr="003D1E07">
        <w:t xml:space="preserve"> </w:t>
      </w:r>
      <w:r w:rsidR="00C4061F" w:rsidRPr="003D1E07">
        <w:t xml:space="preserve">nepatří do sféry oddělených </w:t>
      </w:r>
      <w:r w:rsidR="008836C8" w:rsidRPr="003D1E07">
        <w:t>kosmických inteligencí</w:t>
      </w:r>
      <w:r w:rsidR="009E49C8" w:rsidRPr="003D1E07">
        <w:t xml:space="preserve">. </w:t>
      </w:r>
      <w:r w:rsidR="00C6792C" w:rsidRPr="003D1E07">
        <w:t>Intelekt genericky</w:t>
      </w:r>
      <w:r w:rsidR="08106832" w:rsidRPr="003D1E07">
        <w:t xml:space="preserve"> koncipovaný v modu </w:t>
      </w:r>
      <w:r w:rsidR="08106832" w:rsidRPr="003D1E07">
        <w:rPr>
          <w:i/>
        </w:rPr>
        <w:t xml:space="preserve">quartum </w:t>
      </w:r>
      <w:r w:rsidR="00636BD4" w:rsidRPr="003D1E07">
        <w:rPr>
          <w:i/>
        </w:rPr>
        <w:t>genus</w:t>
      </w:r>
      <w:r w:rsidR="08106832" w:rsidRPr="003D1E07">
        <w:t xml:space="preserve"> </w:t>
      </w:r>
      <w:r w:rsidR="00C6792C" w:rsidRPr="003D1E07">
        <w:t xml:space="preserve">musí dostat </w:t>
      </w:r>
      <w:r w:rsidR="08161813" w:rsidRPr="003D1E07">
        <w:t xml:space="preserve">v modu </w:t>
      </w:r>
      <w:r w:rsidR="08161813" w:rsidRPr="003D1E07">
        <w:rPr>
          <w:i/>
        </w:rPr>
        <w:t>per prius</w:t>
      </w:r>
      <w:r w:rsidR="08161813" w:rsidRPr="003D1E07">
        <w:t xml:space="preserve"> </w:t>
      </w:r>
      <w:r w:rsidR="00C6792C" w:rsidRPr="003D1E07">
        <w:t>kategoriální definici vztaženou k první substanci</w:t>
      </w:r>
      <w:r w:rsidR="007A6052" w:rsidRPr="003D1E07">
        <w:rPr>
          <w:rStyle w:val="Zkladntext184"/>
          <w:rFonts w:ascii="Calibri" w:eastAsia="Times" w:hAnsi="Calibri" w:cs="Times New Roman"/>
          <w:color w:val="auto"/>
          <w:spacing w:val="0"/>
          <w:sz w:val="24"/>
          <w:lang w:val="cs-CZ"/>
        </w:rPr>
        <w:fldChar w:fldCharType="begin"/>
      </w:r>
      <w:r w:rsidR="007A6052" w:rsidRPr="003D1E07">
        <w:instrText xml:space="preserve"> XE "</w:instrText>
      </w:r>
      <w:r w:rsidR="007A6052" w:rsidRPr="003D1E07">
        <w:rPr>
          <w:rStyle w:val="FontStyle129"/>
          <w:rFonts w:ascii="Calibri" w:hAnsi="Calibri"/>
          <w:sz w:val="24"/>
        </w:rPr>
        <w:instrText>predikace:</w:instrText>
      </w:r>
      <w:r w:rsidR="007A6052" w:rsidRPr="003D1E07">
        <w:rPr>
          <w:rStyle w:val="FontStyle129"/>
          <w:rFonts w:ascii="Calibri" w:hAnsi="Calibri"/>
          <w:i/>
          <w:sz w:val="24"/>
        </w:rPr>
        <w:instrText>per prius</w:instrText>
      </w:r>
      <w:r w:rsidR="007A6052" w:rsidRPr="003D1E07">
        <w:instrText xml:space="preserve">" </w:instrText>
      </w:r>
      <w:r w:rsidR="007A6052" w:rsidRPr="003D1E07">
        <w:rPr>
          <w:rStyle w:val="Zkladntext184"/>
          <w:rFonts w:ascii="Calibri" w:eastAsia="Times" w:hAnsi="Calibri" w:cs="Times New Roman"/>
          <w:color w:val="auto"/>
          <w:spacing w:val="0"/>
          <w:sz w:val="24"/>
          <w:lang w:val="cs-CZ"/>
        </w:rPr>
        <w:fldChar w:fldCharType="end"/>
      </w:r>
      <w:r w:rsidR="00C6792C" w:rsidRPr="003D1E07">
        <w:t xml:space="preserve">. </w:t>
      </w:r>
      <w:r w:rsidR="086E6531" w:rsidRPr="003D1E07">
        <w:t xml:space="preserve">Cesta </w:t>
      </w:r>
      <w:r w:rsidR="08E22F7A" w:rsidRPr="003D1E07">
        <w:t xml:space="preserve">metafyzického </w:t>
      </w:r>
      <w:r w:rsidR="086E6531" w:rsidRPr="003D1E07">
        <w:t xml:space="preserve">dativu jde pouze jedním směrem, tedy od ipseity k identitě. </w:t>
      </w:r>
      <w:r w:rsidR="00A40B44" w:rsidRPr="003D1E07">
        <w:t xml:space="preserve">Při predikaci v rámci impozice </w:t>
      </w:r>
      <w:r w:rsidR="08BE5C96" w:rsidRPr="003D1E07">
        <w:t xml:space="preserve">predikujeme </w:t>
      </w:r>
      <w:r w:rsidR="004F61A2" w:rsidRPr="003D1E07">
        <w:t xml:space="preserve">v modu </w:t>
      </w:r>
      <w:r w:rsidR="004F61A2" w:rsidRPr="003D1E07">
        <w:rPr>
          <w:i/>
        </w:rPr>
        <w:t>per prius</w:t>
      </w:r>
      <w:r w:rsidR="004F61A2" w:rsidRPr="003D1E07">
        <w:t xml:space="preserve"> </w:t>
      </w:r>
      <w:r w:rsidR="08BE5C96" w:rsidRPr="003D1E07">
        <w:t xml:space="preserve">intelekt nikoliv </w:t>
      </w:r>
      <w:r w:rsidR="004D414D" w:rsidRPr="003D1E07">
        <w:t xml:space="preserve">od genericky pojaté </w:t>
      </w:r>
      <w:r w:rsidR="08BE5C96" w:rsidRPr="003D1E07">
        <w:t xml:space="preserve">univerzality, ale </w:t>
      </w:r>
      <w:r w:rsidR="004D414D" w:rsidRPr="003D1E07">
        <w:t xml:space="preserve">od </w:t>
      </w:r>
      <w:r w:rsidR="08BE5C96" w:rsidRPr="003D1E07">
        <w:t xml:space="preserve">aktuální </w:t>
      </w:r>
      <w:r w:rsidR="08A97D90" w:rsidRPr="003D1E07">
        <w:t xml:space="preserve">a kauzálně dané </w:t>
      </w:r>
      <w:r w:rsidR="08BE5C96" w:rsidRPr="003D1E07">
        <w:t xml:space="preserve">singularity. </w:t>
      </w:r>
      <w:r w:rsidR="00EA7133" w:rsidRPr="003D1E07">
        <w:t>Tuto predikaci</w:t>
      </w:r>
      <w:r w:rsidR="080D6664" w:rsidRPr="003D1E07">
        <w:t xml:space="preserve"> </w:t>
      </w:r>
      <w:r w:rsidR="00EA7133" w:rsidRPr="003D1E07">
        <w:t xml:space="preserve">směrem od výkonu intelektu </w:t>
      </w:r>
      <w:r w:rsidR="000A07A7" w:rsidRPr="003D1E07">
        <w:t xml:space="preserve">jako </w:t>
      </w:r>
      <w:r w:rsidR="000A07A7" w:rsidRPr="003D1E07">
        <w:rPr>
          <w:i/>
        </w:rPr>
        <w:t>tertium genus</w:t>
      </w:r>
      <w:r w:rsidR="000A07A7" w:rsidRPr="003D1E07">
        <w:rPr>
          <w:i/>
        </w:rPr>
        <w:fldChar w:fldCharType="begin"/>
      </w:r>
      <w:r w:rsidR="000A07A7" w:rsidRPr="003D1E07">
        <w:rPr>
          <w:i/>
        </w:rPr>
        <w:instrText xml:space="preserve"> XE "tertium genus" </w:instrText>
      </w:r>
      <w:r w:rsidR="000A07A7" w:rsidRPr="003D1E07">
        <w:rPr>
          <w:i/>
        </w:rPr>
        <w:fldChar w:fldCharType="end"/>
      </w:r>
      <w:r w:rsidR="000A07A7" w:rsidRPr="003D1E07">
        <w:t xml:space="preserve"> </w:t>
      </w:r>
      <w:r w:rsidR="00EA7133" w:rsidRPr="003D1E07">
        <w:t xml:space="preserve">v modu </w:t>
      </w:r>
      <w:r w:rsidR="00C71825">
        <w:t xml:space="preserve">impoziční </w:t>
      </w:r>
      <w:r w:rsidR="00EA7133" w:rsidRPr="003D1E07">
        <w:t xml:space="preserve">predikace moderna </w:t>
      </w:r>
      <w:r w:rsidR="080D6664" w:rsidRPr="003D1E07">
        <w:t>naprosto pominula</w:t>
      </w:r>
      <w:r w:rsidR="08E82135" w:rsidRPr="003D1E07">
        <w:t xml:space="preserve">. Moderna a postmoderna </w:t>
      </w:r>
      <w:r w:rsidR="080D6664" w:rsidRPr="003D1E07">
        <w:t xml:space="preserve">nemyslí </w:t>
      </w:r>
      <w:r w:rsidR="08E82135" w:rsidRPr="003D1E07">
        <w:t>intel</w:t>
      </w:r>
      <w:r w:rsidR="002D2899" w:rsidRPr="003D1E07">
        <w:t xml:space="preserve">ekt </w:t>
      </w:r>
      <w:r w:rsidR="004D414D" w:rsidRPr="003D1E07">
        <w:t xml:space="preserve">pravdivě </w:t>
      </w:r>
      <w:r w:rsidR="080D6664" w:rsidRPr="003D1E07">
        <w:t>aristotelsky</w:t>
      </w:r>
      <w:r w:rsidR="001040BA">
        <w:t xml:space="preserve"> v konkrétní hylemorfické osobě</w:t>
      </w:r>
      <w:r w:rsidR="080D6664" w:rsidRPr="003D1E07">
        <w:t xml:space="preserve">, ale </w:t>
      </w:r>
      <w:r w:rsidR="004F61A2" w:rsidRPr="003D1E07">
        <w:t>objektivně</w:t>
      </w:r>
      <w:r w:rsidR="004D414D" w:rsidRPr="003D1E07">
        <w:t xml:space="preserve"> pravdivě</w:t>
      </w:r>
      <w:r w:rsidR="004F61A2" w:rsidRPr="003D1E07">
        <w:t xml:space="preserve">, tedy </w:t>
      </w:r>
      <w:r w:rsidR="00E17331">
        <w:t xml:space="preserve">jako </w:t>
      </w:r>
      <w:r w:rsidR="00874074" w:rsidRPr="003D1E07">
        <w:t>neoplatonsk</w:t>
      </w:r>
      <w:r w:rsidR="00E17331">
        <w:t xml:space="preserve">é a avicennovské </w:t>
      </w:r>
      <w:r w:rsidR="001040BA" w:rsidRPr="001040BA">
        <w:rPr>
          <w:i/>
        </w:rPr>
        <w:t>tertium ens</w:t>
      </w:r>
      <w:r w:rsidR="080D6664" w:rsidRPr="003D1E07">
        <w:t xml:space="preserve">. </w:t>
      </w:r>
      <w:r w:rsidR="002E3B62" w:rsidRPr="003D1E07">
        <w:t>Averroes</w:t>
      </w:r>
      <w:r w:rsidR="08656BCB" w:rsidRPr="003D1E07">
        <w:t xml:space="preserve"> zkoumá intelektuální poznání dané v </w:t>
      </w:r>
      <w:r w:rsidR="0800429F" w:rsidRPr="003D1E07">
        <w:t xml:space="preserve">existující </w:t>
      </w:r>
      <w:r w:rsidR="08656BCB" w:rsidRPr="003D1E07">
        <w:t xml:space="preserve">lidské duši a ne </w:t>
      </w:r>
      <w:r w:rsidR="00152063" w:rsidRPr="003D1E07">
        <w:t>poznání oddělených</w:t>
      </w:r>
      <w:r w:rsidR="08656BCB" w:rsidRPr="003D1E07">
        <w:t xml:space="preserve"> </w:t>
      </w:r>
      <w:r w:rsidR="00152063" w:rsidRPr="003D1E07">
        <w:t>substancí-inteligencí</w:t>
      </w:r>
      <w:r w:rsidR="08656BCB" w:rsidRPr="003D1E07">
        <w:t xml:space="preserve"> </w:t>
      </w:r>
      <w:r w:rsidR="00796381" w:rsidRPr="003D1E07">
        <w:t xml:space="preserve">uvnitř </w:t>
      </w:r>
      <w:r w:rsidR="08656BCB" w:rsidRPr="003D1E07">
        <w:t xml:space="preserve">kosmických sfér. </w:t>
      </w:r>
      <w:r w:rsidR="00141D0F" w:rsidRPr="003D1E07">
        <w:t xml:space="preserve">K </w:t>
      </w:r>
      <w:r w:rsidR="0855105F" w:rsidRPr="003D1E07">
        <w:t xml:space="preserve">určení intelektu </w:t>
      </w:r>
      <w:r w:rsidR="0800429F" w:rsidRPr="003D1E07">
        <w:t>jako čtvrtému rodu</w:t>
      </w:r>
      <w:r w:rsidR="0855105F" w:rsidRPr="003D1E07">
        <w:t xml:space="preserve"> </w:t>
      </w:r>
      <w:r w:rsidR="00141D0F" w:rsidRPr="003D1E07">
        <w:t xml:space="preserve">přijdeme jedině skrze </w:t>
      </w:r>
      <w:r w:rsidR="0855105F" w:rsidRPr="003D1E07">
        <w:t xml:space="preserve">určení </w:t>
      </w:r>
      <w:r w:rsidR="00141D0F" w:rsidRPr="003D1E07">
        <w:t xml:space="preserve">intelektu </w:t>
      </w:r>
      <w:r w:rsidR="0800429F" w:rsidRPr="003D1E07">
        <w:t>v rámci třetího rodu</w:t>
      </w:r>
      <w:r w:rsidR="00A14A56">
        <w:t>. E</w:t>
      </w:r>
      <w:r w:rsidR="005344D0" w:rsidRPr="003D1E07">
        <w:t xml:space="preserve">xistenciální impozice </w:t>
      </w:r>
      <w:r w:rsidR="00A14A56">
        <w:t xml:space="preserve">zakládá </w:t>
      </w:r>
      <w:r w:rsidR="005344D0" w:rsidRPr="003D1E07">
        <w:t>každé určení intelektu jako obecniny. Fatální omyl moderny byl a je</w:t>
      </w:r>
      <w:r w:rsidR="08D276E1" w:rsidRPr="003D1E07">
        <w:t xml:space="preserve"> v tom, že vzala hypostázovaný </w:t>
      </w:r>
      <w:r w:rsidR="005344D0" w:rsidRPr="003D1E07">
        <w:t>intele</w:t>
      </w:r>
      <w:r w:rsidR="08D276E1" w:rsidRPr="003D1E07">
        <w:t>kt</w:t>
      </w:r>
      <w:r w:rsidR="005344D0" w:rsidRPr="003D1E07">
        <w:t xml:space="preserve"> jako simulákrum v modu objektivní supozice a ne </w:t>
      </w:r>
      <w:r w:rsidR="08486296" w:rsidRPr="003D1E07">
        <w:t xml:space="preserve">hyparchicky dané </w:t>
      </w:r>
      <w:r w:rsidR="005344D0" w:rsidRPr="003D1E07">
        <w:t>impozice</w:t>
      </w:r>
      <w:r w:rsidR="08486296" w:rsidRPr="003D1E07">
        <w:t xml:space="preserve"> významu</w:t>
      </w:r>
      <w:r w:rsidR="005344D0" w:rsidRPr="003D1E07">
        <w:t xml:space="preserve">. </w:t>
      </w:r>
      <w:r w:rsidR="00DE276C" w:rsidRPr="003D1E07">
        <w:t>Pak slovo „člověk“ či „osoba</w:t>
      </w:r>
      <w:r w:rsidR="080A339F" w:rsidRPr="003D1E07">
        <w:fldChar w:fldCharType="begin"/>
      </w:r>
      <w:r w:rsidR="080A339F" w:rsidRPr="003D1E07">
        <w:instrText xml:space="preserve"> XE "osoba:individuum" </w:instrText>
      </w:r>
      <w:r w:rsidR="080A339F" w:rsidRPr="003D1E07">
        <w:fldChar w:fldCharType="end"/>
      </w:r>
      <w:r w:rsidR="00DE276C" w:rsidRPr="003D1E07">
        <w:t xml:space="preserve">“ vůbec nezní hrdě, ale bohužel pouze objektivně, tedy v modu </w:t>
      </w:r>
      <w:r w:rsidR="00B81265" w:rsidRPr="003D1E07">
        <w:t>paranoického bloudění moderny (</w:t>
      </w:r>
      <w:r w:rsidR="00B81265" w:rsidRPr="003D1E07">
        <w:rPr>
          <w:i/>
        </w:rPr>
        <w:t>Irre</w:t>
      </w:r>
      <w:r w:rsidR="00B81265" w:rsidRPr="003D1E07">
        <w:rPr>
          <w:i/>
        </w:rPr>
        <w:fldChar w:fldCharType="begin"/>
      </w:r>
      <w:r w:rsidR="00B81265" w:rsidRPr="003D1E07">
        <w:instrText xml:space="preserve"> XE "</w:instrText>
      </w:r>
      <w:r w:rsidR="00B81265" w:rsidRPr="003D1E07">
        <w:rPr>
          <w:i/>
        </w:rPr>
        <w:instrText>Irre</w:instrText>
      </w:r>
      <w:r w:rsidR="00B81265" w:rsidRPr="003D1E07">
        <w:instrText xml:space="preserve">" </w:instrText>
      </w:r>
      <w:r w:rsidR="00B81265" w:rsidRPr="003D1E07">
        <w:rPr>
          <w:i/>
        </w:rPr>
        <w:fldChar w:fldCharType="end"/>
      </w:r>
      <w:r w:rsidR="00B81265" w:rsidRPr="003D1E07">
        <w:t xml:space="preserve">). </w:t>
      </w:r>
      <w:r w:rsidR="00DE276C" w:rsidRPr="003D1E07">
        <w:t xml:space="preserve">Objektivně pojatý </w:t>
      </w:r>
      <w:r w:rsidR="00DC2304" w:rsidRPr="003D1E07">
        <w:t>in</w:t>
      </w:r>
      <w:r w:rsidR="006064FB" w:rsidRPr="003D1E07">
        <w:t xml:space="preserve">telekt </w:t>
      </w:r>
      <w:r w:rsidR="00DE276C" w:rsidRPr="003D1E07">
        <w:t xml:space="preserve">v modu </w:t>
      </w:r>
      <w:r w:rsidR="00DE276C" w:rsidRPr="003D1E07">
        <w:rPr>
          <w:i/>
        </w:rPr>
        <w:t>tertium ens</w:t>
      </w:r>
      <w:r w:rsidR="00DE276C" w:rsidRPr="003D1E07">
        <w:t xml:space="preserve"> </w:t>
      </w:r>
      <w:r w:rsidR="006064FB" w:rsidRPr="003D1E07">
        <w:t>neex</w:t>
      </w:r>
      <w:r w:rsidR="00DC2304" w:rsidRPr="003D1E07">
        <w:t>i</w:t>
      </w:r>
      <w:r w:rsidR="006064FB" w:rsidRPr="003D1E07">
        <w:t>s</w:t>
      </w:r>
      <w:r w:rsidR="00DC2304" w:rsidRPr="003D1E07">
        <w:t xml:space="preserve">tuje, protože je </w:t>
      </w:r>
      <w:r w:rsidR="00DE276C" w:rsidRPr="003D1E07">
        <w:t xml:space="preserve">buď </w:t>
      </w:r>
      <w:r w:rsidR="00DC2304" w:rsidRPr="003D1E07">
        <w:t xml:space="preserve">striktně </w:t>
      </w:r>
      <w:r w:rsidR="08895217" w:rsidRPr="003D1E07">
        <w:t xml:space="preserve">aktuálním </w:t>
      </w:r>
      <w:r w:rsidR="00DC2304" w:rsidRPr="003D1E07">
        <w:t>výkonem osoby</w:t>
      </w:r>
      <w:r w:rsidR="00DE276C" w:rsidRPr="003D1E07">
        <w:t>, nebo čistou abstrakcí definuj</w:t>
      </w:r>
      <w:r w:rsidR="00D4596A">
        <w:t>í</w:t>
      </w:r>
      <w:r w:rsidR="00DE276C" w:rsidRPr="003D1E07">
        <w:t xml:space="preserve">cí rodovou jednotu lidstva </w:t>
      </w:r>
      <w:r w:rsidR="009D79A6">
        <w:t xml:space="preserve">a individua </w:t>
      </w:r>
      <w:r w:rsidR="00DE276C" w:rsidRPr="003D1E07">
        <w:t xml:space="preserve">jako </w:t>
      </w:r>
      <w:r w:rsidR="00F214C5" w:rsidRPr="003D1E07">
        <w:t>species</w:t>
      </w:r>
      <w:r w:rsidR="00DC2304" w:rsidRPr="003D1E07">
        <w:t xml:space="preserve">. </w:t>
      </w:r>
      <w:r w:rsidR="08F41734" w:rsidRPr="003D1E07">
        <w:t xml:space="preserve">V řádu predikace směrem od </w:t>
      </w:r>
      <w:r w:rsidR="08895217" w:rsidRPr="003D1E07">
        <w:t xml:space="preserve">hyparchické </w:t>
      </w:r>
      <w:r w:rsidR="08F41734" w:rsidRPr="003D1E07">
        <w:t>první substance plat</w:t>
      </w:r>
      <w:r w:rsidR="0855105F" w:rsidRPr="003D1E07">
        <w:t xml:space="preserve">í </w:t>
      </w:r>
      <w:r w:rsidR="08F41734" w:rsidRPr="003D1E07">
        <w:t xml:space="preserve">výše uvedená </w:t>
      </w:r>
      <w:r w:rsidR="089E7C69" w:rsidRPr="003D1E07">
        <w:t xml:space="preserve">Averroesova </w:t>
      </w:r>
      <w:r w:rsidR="08F41734" w:rsidRPr="003D1E07">
        <w:t>poznámka, že obecné pojetí intelektu je až druhotná otázka (</w:t>
      </w:r>
      <w:r w:rsidR="08F41734" w:rsidRPr="003D1E07">
        <w:rPr>
          <w:rStyle w:val="TextpoznpodarouChar"/>
          <w:i/>
        </w:rPr>
        <w:t>qu</w:t>
      </w:r>
      <w:r w:rsidR="081A2DCC" w:rsidRPr="003D1E07">
        <w:rPr>
          <w:rStyle w:val="TextpoznpodarouChar"/>
          <w:i/>
        </w:rPr>
        <w:t>a</w:t>
      </w:r>
      <w:r w:rsidR="08F41734" w:rsidRPr="003D1E07">
        <w:rPr>
          <w:rStyle w:val="TextpoznpodarouChar"/>
          <w:i/>
        </w:rPr>
        <w:t>estio autem secunda</w:t>
      </w:r>
      <w:r w:rsidR="08F41734" w:rsidRPr="003D1E07">
        <w:t xml:space="preserve">). </w:t>
      </w:r>
      <w:r w:rsidR="00C6792C" w:rsidRPr="003D1E07">
        <w:t xml:space="preserve">Tím definitivně padne možnost, že by </w:t>
      </w:r>
      <w:r w:rsidR="00875689" w:rsidRPr="003D1E07">
        <w:t xml:space="preserve">lidský intelekt </w:t>
      </w:r>
      <w:r w:rsidR="00C6792C" w:rsidRPr="003D1E07">
        <w:t>existoval jako nezávislá entita</w:t>
      </w:r>
      <w:r w:rsidR="00C1551B" w:rsidRPr="003D1E07">
        <w:t xml:space="preserve"> existující </w:t>
      </w:r>
      <w:r w:rsidR="00C1551B" w:rsidRPr="003D1E07">
        <w:rPr>
          <w:i/>
        </w:rPr>
        <w:t>per se</w:t>
      </w:r>
      <w:r w:rsidR="00C1551B" w:rsidRPr="003D1E07">
        <w:t xml:space="preserve">, </w:t>
      </w:r>
      <w:r w:rsidR="00C6792C" w:rsidRPr="003D1E07">
        <w:t>kterou</w:t>
      </w:r>
      <w:r w:rsidR="009E49C8" w:rsidRPr="003D1E07">
        <w:t xml:space="preserve"> později </w:t>
      </w:r>
      <w:r w:rsidR="08201E4C" w:rsidRPr="003D1E07">
        <w:t xml:space="preserve">zavede </w:t>
      </w:r>
      <w:r w:rsidR="08640E72" w:rsidRPr="003D1E07">
        <w:t xml:space="preserve">latinský </w:t>
      </w:r>
      <w:r w:rsidR="00C1551B" w:rsidRPr="003D1E07">
        <w:t>averroismus</w:t>
      </w:r>
      <w:r w:rsidR="00005591" w:rsidRPr="003D1E07">
        <w:t xml:space="preserve">. </w:t>
      </w:r>
      <w:r w:rsidR="0030350E" w:rsidRPr="003D1E07">
        <w:t>Nově vzniklá p</w:t>
      </w:r>
      <w:r w:rsidR="00042752" w:rsidRPr="003D1E07">
        <w:t xml:space="preserve">redikace </w:t>
      </w:r>
      <w:r w:rsidR="00042752" w:rsidRPr="003D1E07">
        <w:rPr>
          <w:i/>
        </w:rPr>
        <w:t>per prius</w:t>
      </w:r>
      <w:r w:rsidR="0030350E" w:rsidRPr="003D1E07">
        <w:t xml:space="preserve"> se </w:t>
      </w:r>
      <w:r w:rsidR="00F637D7" w:rsidRPr="003D1E07">
        <w:t>vztáhla</w:t>
      </w:r>
      <w:r w:rsidR="0030350E" w:rsidRPr="003D1E07">
        <w:t xml:space="preserve"> k</w:t>
      </w:r>
      <w:r w:rsidR="00F637D7" w:rsidRPr="003D1E07">
        <w:t xml:space="preserve"> aktuálnímu </w:t>
      </w:r>
      <w:r w:rsidR="0030350E" w:rsidRPr="003D1E07">
        <w:t>poznání danému v čase</w:t>
      </w:r>
      <w:r w:rsidR="007C0F93" w:rsidRPr="003D1E07">
        <w:t xml:space="preserve"> a v </w:t>
      </w:r>
      <w:r w:rsidR="00566403" w:rsidRPr="003D1E07">
        <w:t>o</w:t>
      </w:r>
      <w:r w:rsidR="00E31C3E" w:rsidRPr="003D1E07">
        <w:t xml:space="preserve">duševnělém </w:t>
      </w:r>
      <w:r w:rsidR="00F637D7" w:rsidRPr="003D1E07">
        <w:t xml:space="preserve">těle </w:t>
      </w:r>
      <w:r w:rsidR="007C0F93" w:rsidRPr="003D1E07">
        <w:t>(</w:t>
      </w:r>
      <w:r w:rsidR="007C0F93" w:rsidRPr="003D1E07">
        <w:rPr>
          <w:i/>
        </w:rPr>
        <w:t>in complexione humana</w:t>
      </w:r>
      <w:r w:rsidR="007C0F93" w:rsidRPr="003D1E07">
        <w:t>)</w:t>
      </w:r>
      <w:r w:rsidR="0093480A" w:rsidRPr="003D1E07">
        <w:t>.</w:t>
      </w:r>
    </w:p>
    <w:p w14:paraId="7C70192E" w14:textId="271AA9B1" w:rsidR="005531CC" w:rsidRPr="003D1E07" w:rsidRDefault="008A36D9" w:rsidP="006B4846">
      <w:pPr>
        <w:pStyle w:val="Citace"/>
        <w:rPr>
          <w:lang w:val="cs-CZ"/>
        </w:rPr>
      </w:pPr>
      <w:r w:rsidRPr="003D1E07">
        <w:rPr>
          <w:lang w:val="cs-CZ"/>
        </w:rPr>
        <w:t>„</w:t>
      </w:r>
      <w:r w:rsidR="003A7CE9" w:rsidRPr="003D1E07">
        <w:rPr>
          <w:lang w:val="cs-CZ"/>
        </w:rPr>
        <w:t xml:space="preserve">Podle Alexandrova výkladu Aristotela je to tak, že 'intelekt v potenci' </w:t>
      </w:r>
      <w:r w:rsidR="003A7CE9" w:rsidRPr="003D1E07">
        <w:rPr>
          <w:rStyle w:val="Zkladntext1"/>
          <w:rFonts w:ascii="Calibri" w:eastAsia="Times" w:hAnsi="Calibri"/>
          <w:spacing w:val="0"/>
          <w:sz w:val="22"/>
          <w:u w:val="none"/>
          <w:lang w:val="cs-CZ"/>
        </w:rPr>
        <w:t>(</w:t>
      </w:r>
      <w:r w:rsidR="003A7CE9" w:rsidRPr="003D1E07">
        <w:rPr>
          <w:rStyle w:val="Zkladntext158Constantia13ptKurzvadkovn0pt"/>
          <w:rFonts w:ascii="Calibri" w:eastAsia="Times" w:hAnsi="Calibri" w:cs="Times New Roman"/>
          <w:iCs w:val="0"/>
          <w:spacing w:val="0"/>
          <w:sz w:val="22"/>
          <w:lang w:val="cs-CZ"/>
        </w:rPr>
        <w:t>intellectum in potentia</w:t>
      </w:r>
      <w:r w:rsidR="003A7CE9" w:rsidRPr="003D1E07">
        <w:rPr>
          <w:rStyle w:val="Zkladntext1"/>
          <w:rFonts w:ascii="Calibri" w:eastAsia="Times" w:hAnsi="Calibri"/>
          <w:spacing w:val="0"/>
          <w:sz w:val="22"/>
          <w:u w:val="none"/>
          <w:lang w:val="cs-CZ"/>
        </w:rPr>
        <w:t>) je dispozi</w:t>
      </w:r>
      <w:r w:rsidR="00EB4372">
        <w:rPr>
          <w:rStyle w:val="Zkladntext1"/>
          <w:rFonts w:ascii="Calibri" w:eastAsia="Times" w:hAnsi="Calibri"/>
          <w:spacing w:val="0"/>
          <w:sz w:val="22"/>
          <w:u w:val="none"/>
          <w:lang w:val="cs-CZ"/>
        </w:rPr>
        <w:t>ce existující v</w:t>
      </w:r>
      <w:r w:rsidR="00305DBB">
        <w:rPr>
          <w:rStyle w:val="Zkladntext1"/>
          <w:rFonts w:ascii="Calibri" w:eastAsia="Times" w:hAnsi="Calibri"/>
          <w:spacing w:val="0"/>
          <w:sz w:val="22"/>
          <w:u w:val="none"/>
          <w:lang w:val="cs-CZ"/>
        </w:rPr>
        <w:t> </w:t>
      </w:r>
      <w:r w:rsidR="00EB4372">
        <w:rPr>
          <w:rStyle w:val="Zkladntext1"/>
          <w:rFonts w:ascii="Calibri" w:eastAsia="Times" w:hAnsi="Calibri"/>
          <w:spacing w:val="0"/>
          <w:sz w:val="22"/>
          <w:u w:val="none"/>
          <w:lang w:val="cs-CZ"/>
        </w:rPr>
        <w:t>hylemorfick</w:t>
      </w:r>
      <w:r w:rsidR="00305DBB">
        <w:rPr>
          <w:rStyle w:val="Zkladntext1"/>
          <w:rFonts w:ascii="Calibri" w:eastAsia="Times" w:hAnsi="Calibri"/>
          <w:spacing w:val="0"/>
          <w:sz w:val="22"/>
          <w:u w:val="none"/>
          <w:lang w:val="cs-CZ"/>
        </w:rPr>
        <w:t xml:space="preserve">y určené osobě </w:t>
      </w:r>
      <w:r w:rsidR="003A7CE9" w:rsidRPr="003D1E07">
        <w:rPr>
          <w:rStyle w:val="Zkladntext1"/>
          <w:rFonts w:ascii="Calibri" w:eastAsia="Times" w:hAnsi="Calibri"/>
          <w:spacing w:val="0"/>
          <w:sz w:val="22"/>
          <w:u w:val="none"/>
          <w:lang w:val="cs-CZ"/>
        </w:rPr>
        <w:t>(</w:t>
      </w:r>
      <w:r w:rsidR="003A7CE9" w:rsidRPr="003D1E07">
        <w:rPr>
          <w:rStyle w:val="Zkladntext158dkovn0pt"/>
          <w:i/>
          <w:spacing w:val="0"/>
          <w:sz w:val="22"/>
          <w:lang w:val="cs-CZ"/>
        </w:rPr>
        <w:t>preparationem existentem in complexione humana</w:t>
      </w:r>
      <w:r w:rsidR="003A7CE9" w:rsidRPr="003D1E07">
        <w:rPr>
          <w:rStyle w:val="Zkladntext1"/>
          <w:rFonts w:ascii="Calibri" w:eastAsia="Times" w:hAnsi="Calibri"/>
          <w:spacing w:val="0"/>
          <w:sz w:val="22"/>
          <w:u w:val="none"/>
          <w:lang w:val="cs-CZ"/>
        </w:rPr>
        <w:t>)</w:t>
      </w:r>
      <w:r w:rsidR="004B2491" w:rsidRPr="003D1E07">
        <w:rPr>
          <w:rStyle w:val="Zkladntext1"/>
          <w:rFonts w:ascii="Calibri" w:eastAsia="Times" w:hAnsi="Calibri"/>
          <w:spacing w:val="0"/>
          <w:sz w:val="22"/>
          <w:u w:val="none"/>
          <w:lang w:val="cs-CZ"/>
        </w:rPr>
        <w:t>, pro</w:t>
      </w:r>
      <w:r w:rsidR="003A7CE9" w:rsidRPr="003D1E07">
        <w:rPr>
          <w:rStyle w:val="Zkladntext1"/>
          <w:rFonts w:ascii="Calibri" w:eastAsia="Times" w:hAnsi="Calibri"/>
          <w:spacing w:val="0"/>
          <w:sz w:val="22"/>
          <w:u w:val="none"/>
          <w:lang w:val="cs-CZ"/>
        </w:rPr>
        <w:t>t</w:t>
      </w:r>
      <w:r w:rsidR="004B2491" w:rsidRPr="003D1E07">
        <w:rPr>
          <w:rStyle w:val="Zkladntext1"/>
          <w:rFonts w:ascii="Calibri" w:eastAsia="Times" w:hAnsi="Calibri"/>
          <w:spacing w:val="0"/>
          <w:sz w:val="22"/>
          <w:u w:val="none"/>
          <w:lang w:val="cs-CZ"/>
        </w:rPr>
        <w:t>o</w:t>
      </w:r>
      <w:r w:rsidR="003A7CE9" w:rsidRPr="003D1E07">
        <w:rPr>
          <w:rStyle w:val="Zkladntext1"/>
          <w:rFonts w:ascii="Calibri" w:eastAsia="Times" w:hAnsi="Calibri"/>
          <w:spacing w:val="0"/>
          <w:sz w:val="22"/>
          <w:u w:val="none"/>
          <w:lang w:val="cs-CZ"/>
        </w:rPr>
        <w:t>že v</w:t>
      </w:r>
      <w:r w:rsidR="003C2F64">
        <w:rPr>
          <w:rStyle w:val="Zkladntext1"/>
          <w:rFonts w:ascii="Calibri" w:eastAsia="Times" w:hAnsi="Calibri"/>
          <w:spacing w:val="0"/>
          <w:sz w:val="22"/>
          <w:u w:val="none"/>
          <w:lang w:val="cs-CZ"/>
        </w:rPr>
        <w:t xml:space="preserve"> osobě </w:t>
      </w:r>
      <w:r w:rsidR="003A7CE9" w:rsidRPr="003D1E07">
        <w:rPr>
          <w:rStyle w:val="Zkladntext1"/>
          <w:rFonts w:ascii="Calibri" w:eastAsia="Times" w:hAnsi="Calibri"/>
          <w:spacing w:val="0"/>
          <w:sz w:val="22"/>
          <w:u w:val="none"/>
          <w:lang w:val="cs-CZ"/>
        </w:rPr>
        <w:t>je dána schopnost a sklon k tomu, aby přijímal</w:t>
      </w:r>
      <w:r w:rsidR="003C2F64">
        <w:rPr>
          <w:rStyle w:val="Zkladntext1"/>
          <w:rFonts w:ascii="Calibri" w:eastAsia="Times" w:hAnsi="Calibri"/>
          <w:spacing w:val="0"/>
          <w:sz w:val="22"/>
          <w:u w:val="none"/>
          <w:lang w:val="cs-CZ"/>
        </w:rPr>
        <w:t>a</w:t>
      </w:r>
      <w:r w:rsidR="003A7CE9" w:rsidRPr="003D1E07">
        <w:rPr>
          <w:rStyle w:val="Zkladntext1"/>
          <w:rFonts w:ascii="Calibri" w:eastAsia="Times" w:hAnsi="Calibri"/>
          <w:spacing w:val="0"/>
          <w:sz w:val="22"/>
          <w:u w:val="none"/>
          <w:lang w:val="cs-CZ"/>
        </w:rPr>
        <w:t xml:space="preserve"> inteligibilní o</w:t>
      </w:r>
      <w:r w:rsidR="004B2491" w:rsidRPr="003D1E07">
        <w:rPr>
          <w:rStyle w:val="Zkladntext1"/>
          <w:rFonts w:ascii="Calibri" w:eastAsia="Times" w:hAnsi="Calibri"/>
          <w:spacing w:val="0"/>
          <w:sz w:val="22"/>
          <w:u w:val="none"/>
          <w:lang w:val="cs-CZ"/>
        </w:rPr>
        <w:t xml:space="preserve">bsahy a to předtím, než </w:t>
      </w:r>
      <w:r w:rsidR="004B2491" w:rsidRPr="003D1E07">
        <w:rPr>
          <w:rStyle w:val="Zkladntext1"/>
          <w:rFonts w:ascii="Calibri" w:eastAsia="Times" w:hAnsi="Calibri"/>
          <w:spacing w:val="0"/>
          <w:sz w:val="22"/>
          <w:u w:val="none"/>
          <w:lang w:val="cs-CZ"/>
        </w:rPr>
        <w:lastRenderedPageBreak/>
        <w:t>je zprac</w:t>
      </w:r>
      <w:r w:rsidR="003A7CE9" w:rsidRPr="003D1E07">
        <w:rPr>
          <w:rStyle w:val="Zkladntext1"/>
          <w:rFonts w:ascii="Calibri" w:eastAsia="Times" w:hAnsi="Calibri"/>
          <w:spacing w:val="0"/>
          <w:sz w:val="22"/>
          <w:u w:val="none"/>
          <w:lang w:val="cs-CZ"/>
        </w:rPr>
        <w:t>uje činný intelekt (</w:t>
      </w:r>
      <w:r w:rsidR="003A7CE9" w:rsidRPr="003D1E07">
        <w:rPr>
          <w:rStyle w:val="Zkladntext158dkovn0pt"/>
          <w:i/>
          <w:spacing w:val="0"/>
          <w:sz w:val="22"/>
          <w:lang w:val="cs-CZ"/>
        </w:rPr>
        <w:t>est prior tempore intellectu agenti</w:t>
      </w:r>
      <w:r w:rsidR="003A7CE9" w:rsidRPr="003D1E07">
        <w:rPr>
          <w:rStyle w:val="Zkladntext1"/>
          <w:rFonts w:ascii="Calibri" w:eastAsia="Times" w:hAnsi="Calibri"/>
          <w:spacing w:val="0"/>
          <w:sz w:val="22"/>
          <w:u w:val="none"/>
          <w:lang w:val="cs-CZ"/>
        </w:rPr>
        <w:t xml:space="preserve">). Činný intelekt je ovšem v řádu </w:t>
      </w:r>
      <w:r w:rsidR="00767729" w:rsidRPr="003D1E07">
        <w:rPr>
          <w:rStyle w:val="Zkladntext1"/>
          <w:rFonts w:ascii="Calibri" w:eastAsia="Times" w:hAnsi="Calibri"/>
          <w:spacing w:val="0"/>
          <w:sz w:val="22"/>
          <w:u w:val="none"/>
          <w:lang w:val="cs-CZ"/>
        </w:rPr>
        <w:t xml:space="preserve">obecnin </w:t>
      </w:r>
      <w:r w:rsidR="003A7CE9" w:rsidRPr="003D1E07">
        <w:rPr>
          <w:rStyle w:val="Zkladntext1"/>
          <w:rFonts w:ascii="Calibri" w:eastAsia="Times" w:hAnsi="Calibri"/>
          <w:spacing w:val="0"/>
          <w:sz w:val="22"/>
          <w:u w:val="none"/>
          <w:lang w:val="cs-CZ"/>
        </w:rPr>
        <w:t>postavený jako první (</w:t>
      </w:r>
      <w:r w:rsidR="003A7CE9" w:rsidRPr="003D1E07">
        <w:rPr>
          <w:rStyle w:val="Zkladntext158dkovn0pt"/>
          <w:i/>
          <w:spacing w:val="0"/>
          <w:sz w:val="22"/>
          <w:lang w:val="cs-CZ"/>
        </w:rPr>
        <w:t>simpliciter autem intellectus agens est prior</w:t>
      </w:r>
      <w:r w:rsidR="003A7CE9" w:rsidRPr="003D1E07">
        <w:rPr>
          <w:rStyle w:val="Zkladntext1"/>
          <w:rFonts w:ascii="Calibri" w:eastAsia="Times" w:hAnsi="Calibri"/>
          <w:spacing w:val="0"/>
          <w:sz w:val="22"/>
          <w:u w:val="none"/>
          <w:lang w:val="cs-CZ"/>
        </w:rPr>
        <w:t>).“ </w:t>
      </w:r>
      <w:r w:rsidR="003A7CE9" w:rsidRPr="003D1E07">
        <w:rPr>
          <w:rStyle w:val="Znakapoznpodarou"/>
          <w:lang w:val="cs-CZ"/>
        </w:rPr>
        <w:footnoteReference w:id="263"/>
      </w:r>
    </w:p>
    <w:p w14:paraId="7382FEDB" w14:textId="29105676" w:rsidR="0093480A" w:rsidRPr="003D1E07" w:rsidRDefault="00E858E9" w:rsidP="003C050F">
      <w:pPr>
        <w:rPr>
          <w:rStyle w:val="Zkladntext158dkovn0pt"/>
          <w:color w:val="auto"/>
          <w:spacing w:val="0"/>
          <w:sz w:val="24"/>
          <w:lang w:val="cs-CZ"/>
        </w:rPr>
      </w:pPr>
      <w:r w:rsidRPr="003D1E07">
        <w:t xml:space="preserve">Podle uvedeného citátu receptivní intelekt v řádu aktuálního poznání daném v čase předchází </w:t>
      </w:r>
      <w:r w:rsidR="007D49E4" w:rsidRPr="003D1E07">
        <w:t>jakoukoliv formu činného</w:t>
      </w:r>
      <w:r w:rsidRPr="003D1E07">
        <w:t xml:space="preserve"> intelekt</w:t>
      </w:r>
      <w:r w:rsidR="007D49E4" w:rsidRPr="003D1E07">
        <w:t>u</w:t>
      </w:r>
      <w:r w:rsidRPr="003D1E07">
        <w:t xml:space="preserve"> (</w:t>
      </w:r>
      <w:r w:rsidRPr="003D1E07">
        <w:rPr>
          <w:rStyle w:val="Zkladntext158dkovn0pt"/>
          <w:i/>
          <w:color w:val="auto"/>
          <w:spacing w:val="0"/>
          <w:sz w:val="24"/>
          <w:lang w:val="cs-CZ"/>
        </w:rPr>
        <w:t>prior tempore intellectu agenti</w:t>
      </w:r>
      <w:r w:rsidRPr="003D1E07">
        <w:rPr>
          <w:rStyle w:val="Zkladntext158dkovn0pt"/>
          <w:color w:val="auto"/>
          <w:spacing w:val="0"/>
          <w:sz w:val="24"/>
          <w:lang w:val="cs-CZ"/>
        </w:rPr>
        <w:t xml:space="preserve">). </w:t>
      </w:r>
      <w:r w:rsidR="003C050F" w:rsidRPr="003D1E07">
        <w:t xml:space="preserve">Poslední věta jasně ukazuje rozdíl mezi </w:t>
      </w:r>
      <w:r w:rsidR="005531CC" w:rsidRPr="003D1E07">
        <w:t xml:space="preserve">činným </w:t>
      </w:r>
      <w:r w:rsidR="003C050F" w:rsidRPr="003D1E07">
        <w:t xml:space="preserve">intelektem vzatým </w:t>
      </w:r>
      <w:r w:rsidR="005531CC" w:rsidRPr="003D1E07">
        <w:t xml:space="preserve">v řádu </w:t>
      </w:r>
      <w:r w:rsidR="0040520F" w:rsidRPr="003D1E07">
        <w:t xml:space="preserve">univerzálií </w:t>
      </w:r>
      <w:r w:rsidR="005F12DC" w:rsidRPr="003D1E07">
        <w:t xml:space="preserve">(modus </w:t>
      </w:r>
      <w:r w:rsidR="005F12DC" w:rsidRPr="003D1E07">
        <w:rPr>
          <w:i/>
        </w:rPr>
        <w:t>per posterius</w:t>
      </w:r>
      <w:r w:rsidR="005F12DC" w:rsidRPr="003D1E07">
        <w:t xml:space="preserve">) </w:t>
      </w:r>
      <w:r w:rsidR="003C050F" w:rsidRPr="003D1E07">
        <w:t xml:space="preserve">a </w:t>
      </w:r>
      <w:r w:rsidR="0040520F" w:rsidRPr="003D1E07">
        <w:t>novou predikací vztaženou</w:t>
      </w:r>
      <w:r w:rsidR="00C25E35" w:rsidRPr="003D1E07">
        <w:t xml:space="preserve"> k </w:t>
      </w:r>
      <w:r w:rsidR="003C050F" w:rsidRPr="003D1E07">
        <w:t xml:space="preserve">poznání </w:t>
      </w:r>
      <w:r w:rsidR="0040520F" w:rsidRPr="003D1E07">
        <w:t xml:space="preserve">aktualizovaném </w:t>
      </w:r>
      <w:r w:rsidR="00935931" w:rsidRPr="003D1E07">
        <w:t xml:space="preserve">na </w:t>
      </w:r>
      <w:r w:rsidR="005F5DAB" w:rsidRPr="003D1E07">
        <w:t>duševně-t</w:t>
      </w:r>
      <w:r w:rsidR="00935931" w:rsidRPr="003D1E07">
        <w:t>ěl</w:t>
      </w:r>
      <w:r w:rsidR="00DB11B8" w:rsidRPr="003D1E07">
        <w:t>esném substrátu</w:t>
      </w:r>
      <w:r w:rsidR="005F12DC" w:rsidRPr="003D1E07">
        <w:t xml:space="preserve"> (modus </w:t>
      </w:r>
      <w:r w:rsidR="005F12DC" w:rsidRPr="003D1E07">
        <w:rPr>
          <w:i/>
        </w:rPr>
        <w:t>per prius</w:t>
      </w:r>
      <w:r w:rsidR="005F12DC" w:rsidRPr="003D1E07">
        <w:t>)</w:t>
      </w:r>
      <w:r w:rsidR="00DB11B8" w:rsidRPr="003D1E07">
        <w:t xml:space="preserve">. </w:t>
      </w:r>
      <w:r w:rsidR="08C52667" w:rsidRPr="003D1E07">
        <w:t>Intelekt je primárně daný tím, jak</w:t>
      </w:r>
      <w:r w:rsidR="08DB70F8" w:rsidRPr="003D1E07">
        <w:t xml:space="preserve"> myslí konkrétní člověk</w:t>
      </w:r>
      <w:r w:rsidR="00E56EAB" w:rsidRPr="003D1E07">
        <w:t xml:space="preserve"> v modu kauzálně dané ipseity </w:t>
      </w:r>
      <w:r w:rsidR="000E058A" w:rsidRPr="003D1E07">
        <w:t>bytující v hylemorfické</w:t>
      </w:r>
      <w:r w:rsidR="00E56EAB" w:rsidRPr="003D1E07">
        <w:t xml:space="preserve"> první substanci</w:t>
      </w:r>
      <w:r w:rsidR="00BF0FE4" w:rsidRPr="003D1E07">
        <w:t xml:space="preserve"> (</w:t>
      </w:r>
      <w:r w:rsidR="00BF0FE4" w:rsidRPr="003D1E07">
        <w:rPr>
          <w:rStyle w:val="Zkladntext158dkovn0pt"/>
          <w:i/>
          <w:color w:val="auto"/>
          <w:spacing w:val="0"/>
          <w:sz w:val="24"/>
          <w:lang w:val="cs-CZ"/>
        </w:rPr>
        <w:t>existentem in complexione humana</w:t>
      </w:r>
      <w:r w:rsidR="00BF0FE4" w:rsidRPr="003D1E07">
        <w:rPr>
          <w:rStyle w:val="Zkladntext158dkovn0pt"/>
          <w:color w:val="auto"/>
          <w:spacing w:val="0"/>
          <w:sz w:val="24"/>
          <w:lang w:val="cs-CZ"/>
        </w:rPr>
        <w:t>)</w:t>
      </w:r>
      <w:r w:rsidR="08DB70F8" w:rsidRPr="003D1E07">
        <w:t xml:space="preserve">. </w:t>
      </w:r>
      <w:r w:rsidR="008F6AD3" w:rsidRPr="003D1E07">
        <w:t xml:space="preserve">Toto místo </w:t>
      </w:r>
      <w:r w:rsidR="003F6DBA" w:rsidRPr="003D1E07">
        <w:t xml:space="preserve">tematizuje </w:t>
      </w:r>
      <w:r w:rsidR="00094942">
        <w:t xml:space="preserve">asi </w:t>
      </w:r>
      <w:r w:rsidR="008F6AD3" w:rsidRPr="003D1E07">
        <w:t>poprvé v</w:t>
      </w:r>
      <w:r w:rsidR="00094942">
        <w:t xml:space="preserve"> západní </w:t>
      </w:r>
      <w:r w:rsidR="003F6DBA" w:rsidRPr="003D1E07">
        <w:t xml:space="preserve">metafyzice </w:t>
      </w:r>
      <w:r w:rsidR="00811E23" w:rsidRPr="003D1E07">
        <w:t>l</w:t>
      </w:r>
      <w:r w:rsidR="003F6DBA" w:rsidRPr="003D1E07">
        <w:t xml:space="preserve">idskou existenci v její ipseitě, která se váže </w:t>
      </w:r>
      <w:r w:rsidR="008F6AD3" w:rsidRPr="003D1E07">
        <w:t>na novou formu možného intelektu</w:t>
      </w:r>
      <w:r w:rsidR="006E46F8" w:rsidRPr="003D1E07">
        <w:t xml:space="preserve"> (</w:t>
      </w:r>
      <w:r w:rsidR="006E46F8" w:rsidRPr="003D1E07">
        <w:rPr>
          <w:i/>
        </w:rPr>
        <w:t xml:space="preserve">intellectus </w:t>
      </w:r>
      <w:r w:rsidR="00A41223" w:rsidRPr="003D1E07">
        <w:rPr>
          <w:i/>
        </w:rPr>
        <w:t>in potentia</w:t>
      </w:r>
      <w:r w:rsidR="00F97A57" w:rsidRPr="003D1E07">
        <w:rPr>
          <w:i/>
        </w:rPr>
        <w:fldChar w:fldCharType="begin"/>
      </w:r>
      <w:r w:rsidR="00F97A57" w:rsidRPr="003D1E07">
        <w:instrText xml:space="preserve"> XE "</w:instrText>
      </w:r>
      <w:r w:rsidR="00F97A57" w:rsidRPr="003D1E07">
        <w:rPr>
          <w:i/>
        </w:rPr>
        <w:instrText>intellectus in potentia:</w:instrText>
      </w:r>
      <w:r w:rsidR="002E3B62" w:rsidRPr="003D1E07">
        <w:instrText>Averroes</w:instrText>
      </w:r>
      <w:r w:rsidR="00F97A57" w:rsidRPr="003D1E07">
        <w:instrText xml:space="preserve">" </w:instrText>
      </w:r>
      <w:r w:rsidR="00F97A57" w:rsidRPr="003D1E07">
        <w:rPr>
          <w:i/>
        </w:rPr>
        <w:fldChar w:fldCharType="end"/>
      </w:r>
      <w:r w:rsidR="006E46F8" w:rsidRPr="003D1E07">
        <w:t>)</w:t>
      </w:r>
      <w:r w:rsidR="008F6AD3" w:rsidRPr="003D1E07">
        <w:t>.</w:t>
      </w:r>
      <w:r w:rsidR="009C5EF7" w:rsidRPr="003D1E07">
        <w:t xml:space="preserve"> </w:t>
      </w:r>
      <w:r w:rsidR="08CA7771" w:rsidRPr="003D1E07">
        <w:t>Na toto určení osoby naváže Siger z</w:t>
      </w:r>
      <w:r w:rsidR="087B4B21" w:rsidRPr="003D1E07">
        <w:t> </w:t>
      </w:r>
      <w:r w:rsidR="08CA7771" w:rsidRPr="003D1E07">
        <w:t>Brabantu</w:t>
      </w:r>
      <w:r w:rsidR="087B4B21" w:rsidRPr="003D1E07">
        <w:t xml:space="preserve">. </w:t>
      </w:r>
      <w:r w:rsidR="00A57862" w:rsidRPr="003D1E07">
        <w:t xml:space="preserve">Moderna proto musela uvalit </w:t>
      </w:r>
      <w:r w:rsidR="087B4B21" w:rsidRPr="003D1E07">
        <w:t>d</w:t>
      </w:r>
      <w:r w:rsidR="08CA7771" w:rsidRPr="003D1E07">
        <w:t xml:space="preserve">vojí </w:t>
      </w:r>
      <w:r w:rsidR="08CA7771" w:rsidRPr="003D1E07">
        <w:rPr>
          <w:i/>
        </w:rPr>
        <w:t>damnatio memoriae</w:t>
      </w:r>
      <w:r w:rsidR="00A57862" w:rsidRPr="003D1E07">
        <w:rPr>
          <w:i/>
        </w:rPr>
        <w:t xml:space="preserve"> </w:t>
      </w:r>
      <w:r w:rsidR="00A57862" w:rsidRPr="003D1E07">
        <w:t>na pravdivé určení osoby</w:t>
      </w:r>
      <w:r w:rsidR="087B4B21" w:rsidRPr="003D1E07">
        <w:fldChar w:fldCharType="begin"/>
      </w:r>
      <w:r w:rsidR="087B4B21" w:rsidRPr="003D1E07">
        <w:instrText xml:space="preserve"> XE "damnatio memoriae" </w:instrText>
      </w:r>
      <w:r w:rsidR="087B4B21" w:rsidRPr="003D1E07">
        <w:fldChar w:fldCharType="end"/>
      </w:r>
      <w:r w:rsidR="00507829">
        <w:t>, které odstranil</w:t>
      </w:r>
      <w:r w:rsidR="008B398B">
        <w:t xml:space="preserve"> </w:t>
      </w:r>
      <w:r w:rsidR="00507829">
        <w:t>Heidegger</w:t>
      </w:r>
      <w:r w:rsidR="008B398B">
        <w:t xml:space="preserve"> skrze </w:t>
      </w:r>
      <w:r w:rsidR="00507829">
        <w:t>hermeneuti</w:t>
      </w:r>
      <w:r w:rsidR="008B398B">
        <w:t>ku</w:t>
      </w:r>
      <w:r w:rsidR="08CA7771" w:rsidRPr="003D1E07">
        <w:t xml:space="preserve"> fakticity. </w:t>
      </w:r>
      <w:r w:rsidR="0018787A" w:rsidRPr="003D1E07">
        <w:t xml:space="preserve">Predikace </w:t>
      </w:r>
      <w:r w:rsidR="0018787A" w:rsidRPr="003D1E07">
        <w:rPr>
          <w:i/>
        </w:rPr>
        <w:t>per prius</w:t>
      </w:r>
      <w:r w:rsidR="0018787A" w:rsidRPr="003D1E07">
        <w:t xml:space="preserve"> se vztahuje na výkon </w:t>
      </w:r>
      <w:r w:rsidR="00106BDF" w:rsidRPr="003D1E07">
        <w:t xml:space="preserve">osobního </w:t>
      </w:r>
      <w:r w:rsidR="0018787A" w:rsidRPr="003D1E07">
        <w:t xml:space="preserve">poznání. </w:t>
      </w:r>
      <w:r w:rsidR="088C2AAA" w:rsidRPr="003D1E07">
        <w:t xml:space="preserve">Tam je na prvním místě recepce a až na druhém místě aktivní syntéza. </w:t>
      </w:r>
      <w:r w:rsidR="009F7D40" w:rsidRPr="003D1E07">
        <w:rPr>
          <w:rStyle w:val="Zkladntext158dkovn0pt"/>
          <w:color w:val="auto"/>
          <w:spacing w:val="0"/>
          <w:sz w:val="24"/>
          <w:lang w:val="cs-CZ"/>
        </w:rPr>
        <w:t xml:space="preserve">O něco dále komentář tuto novou formu </w:t>
      </w:r>
      <w:r w:rsidR="00961CED" w:rsidRPr="003D1E07">
        <w:rPr>
          <w:rStyle w:val="Zkladntext158dkovn0pt"/>
          <w:color w:val="auto"/>
          <w:spacing w:val="0"/>
          <w:sz w:val="24"/>
          <w:lang w:val="cs-CZ"/>
        </w:rPr>
        <w:t xml:space="preserve">existenciálně pojatého </w:t>
      </w:r>
      <w:r w:rsidR="009F7D40" w:rsidRPr="003D1E07">
        <w:rPr>
          <w:rStyle w:val="Zkladntext158dkovn0pt"/>
          <w:color w:val="auto"/>
          <w:spacing w:val="0"/>
          <w:sz w:val="24"/>
          <w:lang w:val="cs-CZ"/>
        </w:rPr>
        <w:t>intelektu výslovně spojuje s Themistiovým pojetím pasivního intelektu</w:t>
      </w:r>
      <w:r w:rsidR="08CD4687" w:rsidRPr="003D1E07">
        <w:rPr>
          <w:rStyle w:val="Zkladntext158dkovn0pt"/>
          <w:color w:val="auto"/>
          <w:spacing w:val="0"/>
          <w:sz w:val="24"/>
          <w:lang w:val="cs-CZ"/>
        </w:rPr>
        <w:t xml:space="preserve"> vázaného na tělo</w:t>
      </w:r>
      <w:r w:rsidR="009F7D40" w:rsidRPr="003D1E07">
        <w:rPr>
          <w:rStyle w:val="Zkladntext158dkovn0pt"/>
          <w:color w:val="auto"/>
          <w:spacing w:val="0"/>
          <w:sz w:val="24"/>
          <w:lang w:val="cs-CZ"/>
        </w:rPr>
        <w:t xml:space="preserve"> a staví jej na místo Alexandrova hylického intelektu. </w:t>
      </w:r>
      <w:r w:rsidR="009643EC" w:rsidRPr="009643EC">
        <w:rPr>
          <w:rStyle w:val="Zkladntext158dkovn0pt"/>
          <w:color w:val="auto"/>
          <w:spacing w:val="0"/>
          <w:sz w:val="24"/>
          <w:lang w:val="cs-CZ"/>
        </w:rPr>
        <w:t>Alexandrův možný int</w:t>
      </w:r>
      <w:r w:rsidR="009643EC">
        <w:rPr>
          <w:rStyle w:val="Zkladntext158dkovn0pt"/>
          <w:color w:val="auto"/>
          <w:spacing w:val="0"/>
          <w:sz w:val="24"/>
          <w:lang w:val="cs-CZ"/>
        </w:rPr>
        <w:t>elekt zůstává jako čistá potencialita</w:t>
      </w:r>
      <w:r w:rsidR="009643EC" w:rsidRPr="009643EC">
        <w:rPr>
          <w:rStyle w:val="Zkladntext158dkovn0pt"/>
          <w:color w:val="auto"/>
          <w:spacing w:val="0"/>
          <w:sz w:val="24"/>
          <w:lang w:val="cs-CZ"/>
        </w:rPr>
        <w:t>, ale nahrazuje Themist</w:t>
      </w:r>
      <w:r w:rsidR="009643EC">
        <w:rPr>
          <w:rStyle w:val="Zkladntext158dkovn0pt"/>
          <w:color w:val="auto"/>
          <w:spacing w:val="0"/>
          <w:sz w:val="24"/>
          <w:lang w:val="cs-CZ"/>
        </w:rPr>
        <w:t>i</w:t>
      </w:r>
      <w:r w:rsidR="009643EC" w:rsidRPr="009643EC">
        <w:rPr>
          <w:rStyle w:val="Zkladntext158dkovn0pt"/>
          <w:color w:val="auto"/>
          <w:spacing w:val="0"/>
          <w:sz w:val="24"/>
          <w:lang w:val="cs-CZ"/>
        </w:rPr>
        <w:t xml:space="preserve">ův </w:t>
      </w:r>
      <w:r w:rsidR="009643EC">
        <w:rPr>
          <w:rStyle w:val="Zkladntext158dkovn0pt"/>
          <w:color w:val="auto"/>
          <w:spacing w:val="0"/>
          <w:sz w:val="24"/>
          <w:lang w:val="cs-CZ"/>
        </w:rPr>
        <w:t xml:space="preserve">materiální </w:t>
      </w:r>
      <w:r w:rsidR="009643EC" w:rsidRPr="009643EC">
        <w:rPr>
          <w:rStyle w:val="Zkladntext158dkovn0pt"/>
          <w:color w:val="auto"/>
          <w:spacing w:val="0"/>
          <w:sz w:val="24"/>
          <w:lang w:val="cs-CZ"/>
        </w:rPr>
        <w:t>intelekt.</w:t>
      </w:r>
      <w:r w:rsidR="009643EC">
        <w:rPr>
          <w:rStyle w:val="Zkladntext158dkovn0pt"/>
          <w:color w:val="auto"/>
          <w:spacing w:val="0"/>
          <w:sz w:val="24"/>
          <w:lang w:val="cs-CZ"/>
        </w:rPr>
        <w:t xml:space="preserve"> </w:t>
      </w:r>
      <w:r w:rsidR="00B87EC3" w:rsidRPr="003D1E07">
        <w:rPr>
          <w:rStyle w:val="Zkladntext158dkovn0pt"/>
          <w:color w:val="auto"/>
          <w:spacing w:val="0"/>
          <w:sz w:val="24"/>
          <w:lang w:val="cs-CZ"/>
        </w:rPr>
        <w:t>Tím CMDA anuloval rozpory a nedostatky obou předešlých řešení, které pracovaly s intelektem jako samostatnou substancí v člověku (</w:t>
      </w:r>
      <w:r w:rsidR="00B87EC3" w:rsidRPr="003D1E07">
        <w:rPr>
          <w:i/>
        </w:rPr>
        <w:t>opiniones Alexandri et Themistii esse impossibiles</w:t>
      </w:r>
      <w:r w:rsidR="00B87EC3" w:rsidRPr="003D1E07">
        <w:rPr>
          <w:rStyle w:val="Zkladntext158dkovn0pt"/>
          <w:color w:val="auto"/>
          <w:spacing w:val="0"/>
          <w:sz w:val="24"/>
          <w:lang w:val="cs-CZ"/>
        </w:rPr>
        <w:t>).</w:t>
      </w:r>
      <w:r w:rsidR="00294897" w:rsidRPr="003D1E07">
        <w:rPr>
          <w:rStyle w:val="Znakapoznpodarou"/>
          <w:szCs w:val="27"/>
          <w:shd w:val="clear" w:color="auto" w:fill="FFFFFF"/>
        </w:rPr>
        <w:footnoteReference w:id="264"/>
      </w:r>
      <w:r w:rsidR="00B87EC3" w:rsidRPr="003D1E07">
        <w:rPr>
          <w:rStyle w:val="Zkladntext158dkovn0pt"/>
          <w:color w:val="auto"/>
          <w:spacing w:val="0"/>
          <w:sz w:val="24"/>
          <w:lang w:val="cs-CZ"/>
        </w:rPr>
        <w:t xml:space="preserve"> </w:t>
      </w:r>
      <w:r w:rsidR="08873670" w:rsidRPr="003D1E07">
        <w:rPr>
          <w:rStyle w:val="Zkladntext158dkovn0pt"/>
          <w:color w:val="auto"/>
          <w:spacing w:val="0"/>
          <w:sz w:val="24"/>
          <w:lang w:val="cs-CZ"/>
        </w:rPr>
        <w:t xml:space="preserve">Komentátor </w:t>
      </w:r>
      <w:r w:rsidR="00423E67" w:rsidRPr="003D1E07">
        <w:rPr>
          <w:rStyle w:val="Zkladntext158dkovn0pt"/>
          <w:color w:val="auto"/>
          <w:spacing w:val="0"/>
          <w:sz w:val="24"/>
          <w:lang w:val="cs-CZ"/>
        </w:rPr>
        <w:t xml:space="preserve">rektifikuje oba myslitele v tom, že intelekt může být obecnina, ale nikdy nemůže být substance. </w:t>
      </w:r>
      <w:r w:rsidR="002E3B62" w:rsidRPr="003D1E07">
        <w:rPr>
          <w:rStyle w:val="Zkladntext158dkovn0pt"/>
          <w:color w:val="auto"/>
          <w:spacing w:val="0"/>
          <w:sz w:val="24"/>
          <w:lang w:val="cs-CZ"/>
        </w:rPr>
        <w:t>Averroes</w:t>
      </w:r>
      <w:r w:rsidR="009F7D40" w:rsidRPr="003D1E07">
        <w:rPr>
          <w:rStyle w:val="Zkladntext158dkovn0pt"/>
          <w:color w:val="auto"/>
          <w:spacing w:val="0"/>
          <w:sz w:val="24"/>
          <w:lang w:val="cs-CZ"/>
        </w:rPr>
        <w:t xml:space="preserve"> jasně říká, že jde o jeho osobní volbu</w:t>
      </w:r>
      <w:r w:rsidR="083A4A88" w:rsidRPr="003D1E07">
        <w:rPr>
          <w:rStyle w:val="Zkladntext158dkovn0pt"/>
          <w:color w:val="auto"/>
          <w:spacing w:val="0"/>
          <w:sz w:val="24"/>
          <w:lang w:val="cs-CZ"/>
        </w:rPr>
        <w:t xml:space="preserve"> (</w:t>
      </w:r>
      <w:r w:rsidR="083A4A88" w:rsidRPr="003D1E07">
        <w:rPr>
          <w:i/>
        </w:rPr>
        <w:t>secundum nostram expositionem</w:t>
      </w:r>
      <w:r w:rsidR="083A4A88" w:rsidRPr="003D1E07">
        <w:rPr>
          <w:rStyle w:val="Zkladntext158dkovn0pt"/>
          <w:color w:val="auto"/>
          <w:spacing w:val="0"/>
          <w:sz w:val="24"/>
          <w:lang w:val="cs-CZ"/>
        </w:rPr>
        <w:t>)</w:t>
      </w:r>
      <w:r w:rsidR="08FA4C13" w:rsidRPr="003D1E07">
        <w:rPr>
          <w:rStyle w:val="Zkladntext158dkovn0pt"/>
          <w:color w:val="auto"/>
          <w:spacing w:val="0"/>
          <w:sz w:val="24"/>
          <w:lang w:val="cs-CZ"/>
        </w:rPr>
        <w:t xml:space="preserve">, která pravdivě interpretuje původní význam </w:t>
      </w:r>
      <w:r w:rsidR="00B713C5" w:rsidRPr="003D1E07">
        <w:rPr>
          <w:rStyle w:val="Zkladntext158dkovn0pt"/>
          <w:i/>
          <w:color w:val="auto"/>
          <w:spacing w:val="0"/>
          <w:sz w:val="24"/>
          <w:lang w:val="cs-CZ"/>
        </w:rPr>
        <w:t>De anima</w:t>
      </w:r>
      <w:r w:rsidR="081A58B0" w:rsidRPr="003D1E07">
        <w:rPr>
          <w:rStyle w:val="Zkladntext158dkovn0pt"/>
          <w:color w:val="auto"/>
          <w:spacing w:val="0"/>
          <w:sz w:val="24"/>
          <w:lang w:val="cs-CZ"/>
        </w:rPr>
        <w:t xml:space="preserve">. </w:t>
      </w:r>
      <w:r w:rsidR="00E1636F" w:rsidRPr="003D1E07">
        <w:rPr>
          <w:rStyle w:val="Zkladntext158dkovn0pt"/>
          <w:color w:val="auto"/>
          <w:spacing w:val="0"/>
          <w:sz w:val="24"/>
          <w:lang w:val="cs-CZ"/>
        </w:rPr>
        <w:t xml:space="preserve">Aristotelův spis je pravdivý v tom, co říká, bez jakýchkoliv </w:t>
      </w:r>
      <w:r w:rsidR="00874074" w:rsidRPr="003D1E07">
        <w:rPr>
          <w:rStyle w:val="Zkladntext158dkovn0pt"/>
          <w:color w:val="auto"/>
          <w:spacing w:val="0"/>
          <w:sz w:val="24"/>
          <w:lang w:val="cs-CZ"/>
        </w:rPr>
        <w:t>neoplatonsk</w:t>
      </w:r>
      <w:r w:rsidR="00E1636F" w:rsidRPr="003D1E07">
        <w:rPr>
          <w:rStyle w:val="Zkladntext158dkovn0pt"/>
          <w:color w:val="auto"/>
          <w:spacing w:val="0"/>
          <w:sz w:val="24"/>
          <w:lang w:val="cs-CZ"/>
        </w:rPr>
        <w:t>ých vylepšení (</w:t>
      </w:r>
      <w:r w:rsidR="00E1636F" w:rsidRPr="003D1E07">
        <w:rPr>
          <w:i/>
        </w:rPr>
        <w:t>est vera in se</w:t>
      </w:r>
      <w:r w:rsidR="00E1636F" w:rsidRPr="003D1E07">
        <w:t xml:space="preserve">). </w:t>
      </w:r>
      <w:r w:rsidR="08143631" w:rsidRPr="003D1E07">
        <w:t xml:space="preserve">Nový výklad </w:t>
      </w:r>
      <w:r w:rsidR="08143631" w:rsidRPr="003D1E07">
        <w:rPr>
          <w:i/>
        </w:rPr>
        <w:t>De anima</w:t>
      </w:r>
      <w:r w:rsidR="08143631" w:rsidRPr="003D1E07">
        <w:t xml:space="preserve"> </w:t>
      </w:r>
      <w:r w:rsidR="008F49F4" w:rsidRPr="003D1E07">
        <w:t xml:space="preserve">se </w:t>
      </w:r>
      <w:r w:rsidR="005C1AC2" w:rsidRPr="003D1E07">
        <w:t>definitivně oddělil od současníků i od předchůdců</w:t>
      </w:r>
      <w:r w:rsidR="08143631" w:rsidRPr="003D1E07">
        <w:t xml:space="preserve">, a dokonce i od výkladu </w:t>
      </w:r>
      <w:r w:rsidR="08C762B0" w:rsidRPr="003D1E07">
        <w:t>Al-</w:t>
      </w:r>
      <w:r w:rsidR="008E02F5" w:rsidRPr="003D1E07">
        <w:t>Fárábí</w:t>
      </w:r>
      <w:r w:rsidR="00316AB1" w:rsidRPr="003D1E07">
        <w:t xml:space="preserve">ho. </w:t>
      </w:r>
      <w:r w:rsidR="08143631" w:rsidRPr="003D1E07">
        <w:t>N</w:t>
      </w:r>
      <w:r w:rsidR="005C1AC2" w:rsidRPr="003D1E07">
        <w:t xml:space="preserve">ové vidění smyslu jsoucna pro duši ustavuje zvláštní </w:t>
      </w:r>
      <w:r w:rsidR="005C1AC2" w:rsidRPr="003D1E07">
        <w:rPr>
          <w:rStyle w:val="Zkladntext158dkovn0pt"/>
          <w:color w:val="auto"/>
          <w:spacing w:val="0"/>
          <w:sz w:val="24"/>
          <w:lang w:val="cs-CZ"/>
        </w:rPr>
        <w:t>formu</w:t>
      </w:r>
      <w:r w:rsidR="00363E85" w:rsidRPr="003D1E07">
        <w:rPr>
          <w:rStyle w:val="Zkladntext158dkovn0pt"/>
          <w:color w:val="auto"/>
          <w:spacing w:val="0"/>
          <w:sz w:val="24"/>
          <w:lang w:val="cs-CZ"/>
        </w:rPr>
        <w:t xml:space="preserve"> materiálního intelektu</w:t>
      </w:r>
      <w:r w:rsidR="082D45E3" w:rsidRPr="003D1E07">
        <w:rPr>
          <w:rStyle w:val="Zkladntext158dkovn0pt"/>
          <w:color w:val="auto"/>
          <w:spacing w:val="0"/>
          <w:sz w:val="24"/>
          <w:lang w:val="cs-CZ"/>
        </w:rPr>
        <w:t xml:space="preserve"> (</w:t>
      </w:r>
      <w:r w:rsidR="082D45E3" w:rsidRPr="003D1E07">
        <w:rPr>
          <w:rStyle w:val="CittHTML"/>
          <w:iCs w:val="0"/>
        </w:rPr>
        <w:t>intellectus qui est in potentia</w:t>
      </w:r>
      <w:r w:rsidR="082D45E3" w:rsidRPr="003D1E07">
        <w:rPr>
          <w:rStyle w:val="Zkladntext158dkovn0pt"/>
          <w:color w:val="auto"/>
          <w:spacing w:val="0"/>
          <w:sz w:val="24"/>
          <w:lang w:val="cs-CZ"/>
        </w:rPr>
        <w:t>)</w:t>
      </w:r>
      <w:r w:rsidR="00363E85" w:rsidRPr="003D1E07">
        <w:rPr>
          <w:rStyle w:val="Zkladntext158dkovn0pt"/>
          <w:color w:val="auto"/>
          <w:spacing w:val="0"/>
          <w:sz w:val="24"/>
          <w:lang w:val="cs-CZ"/>
        </w:rPr>
        <w:t xml:space="preserve">, kterou </w:t>
      </w:r>
      <w:r w:rsidR="00C11E81" w:rsidRPr="003D1E07">
        <w:rPr>
          <w:rStyle w:val="Zkladntext158dkovn0pt"/>
          <w:color w:val="auto"/>
          <w:spacing w:val="0"/>
          <w:sz w:val="24"/>
          <w:lang w:val="cs-CZ"/>
        </w:rPr>
        <w:t xml:space="preserve">latinská </w:t>
      </w:r>
      <w:r w:rsidR="00363E85" w:rsidRPr="003D1E07">
        <w:rPr>
          <w:rStyle w:val="Zkladntext158dkovn0pt"/>
          <w:color w:val="auto"/>
          <w:spacing w:val="0"/>
          <w:sz w:val="24"/>
          <w:lang w:val="cs-CZ"/>
        </w:rPr>
        <w:t xml:space="preserve">scholastika nazve </w:t>
      </w:r>
      <w:r w:rsidR="00C11E81" w:rsidRPr="003D1E07">
        <w:rPr>
          <w:rStyle w:val="Zkladntext158dkovn0pt"/>
          <w:color w:val="auto"/>
          <w:spacing w:val="0"/>
          <w:sz w:val="24"/>
          <w:lang w:val="cs-CZ"/>
        </w:rPr>
        <w:t xml:space="preserve">termínem </w:t>
      </w:r>
      <w:r w:rsidR="00363E85" w:rsidRPr="003D1E07">
        <w:rPr>
          <w:rStyle w:val="Zkladntext158dkovn0pt"/>
          <w:i/>
          <w:color w:val="auto"/>
          <w:spacing w:val="0"/>
          <w:sz w:val="24"/>
          <w:lang w:val="cs-CZ"/>
        </w:rPr>
        <w:t>intellectus possibilis</w:t>
      </w:r>
      <w:r w:rsidR="009D323B" w:rsidRPr="003D1E07">
        <w:rPr>
          <w:rStyle w:val="Zkladntext158dkovn0pt"/>
          <w:i/>
          <w:color w:val="auto"/>
          <w:spacing w:val="0"/>
          <w:sz w:val="24"/>
          <w:lang w:val="cs-CZ"/>
        </w:rPr>
        <w:fldChar w:fldCharType="begin"/>
      </w:r>
      <w:r w:rsidR="009D323B" w:rsidRPr="003D1E07">
        <w:instrText xml:space="preserve"> XE "</w:instrText>
      </w:r>
      <w:r w:rsidR="009D323B" w:rsidRPr="003D1E07">
        <w:rPr>
          <w:i/>
        </w:rPr>
        <w:instrText>intellectus possibilis</w:instrText>
      </w:r>
      <w:r w:rsidR="00F97A57" w:rsidRPr="003D1E07">
        <w:instrText>:</w:instrText>
      </w:r>
      <w:r w:rsidR="002E3B62" w:rsidRPr="003D1E07">
        <w:instrText>Averroes</w:instrText>
      </w:r>
      <w:r w:rsidR="009D323B" w:rsidRPr="003D1E07">
        <w:instrText xml:space="preserve">" </w:instrText>
      </w:r>
      <w:r w:rsidR="009D323B" w:rsidRPr="003D1E07">
        <w:rPr>
          <w:rStyle w:val="Zkladntext158dkovn0pt"/>
          <w:i/>
          <w:color w:val="auto"/>
          <w:spacing w:val="0"/>
          <w:sz w:val="24"/>
          <w:lang w:val="cs-CZ"/>
        </w:rPr>
        <w:fldChar w:fldCharType="end"/>
      </w:r>
      <w:r w:rsidR="00363E85" w:rsidRPr="003D1E07">
        <w:rPr>
          <w:rStyle w:val="Zkladntext158dkovn0pt"/>
          <w:color w:val="auto"/>
          <w:spacing w:val="0"/>
          <w:sz w:val="24"/>
          <w:lang w:val="cs-CZ"/>
        </w:rPr>
        <w:t>.</w:t>
      </w:r>
      <w:r w:rsidR="084F18B8" w:rsidRPr="003D1E07">
        <w:t xml:space="preserve"> Rozeberme </w:t>
      </w:r>
      <w:r w:rsidR="002E3B62" w:rsidRPr="003D1E07">
        <w:lastRenderedPageBreak/>
        <w:t>Averroes</w:t>
      </w:r>
      <w:r w:rsidR="084F18B8" w:rsidRPr="003D1E07">
        <w:t xml:space="preserve">ovu třetí cestu mezi Themistiem a Alexandrem, která nevytváří koncept intelektu jako </w:t>
      </w:r>
      <w:r w:rsidR="084F18B8" w:rsidRPr="003D1E07">
        <w:rPr>
          <w:i/>
        </w:rPr>
        <w:t>tertium ens</w:t>
      </w:r>
      <w:r w:rsidR="003F16A5" w:rsidRPr="003D1E07">
        <w:rPr>
          <w:i/>
        </w:rPr>
        <w:fldChar w:fldCharType="begin"/>
      </w:r>
      <w:r w:rsidR="003F16A5" w:rsidRPr="003D1E07">
        <w:instrText xml:space="preserve"> XE "</w:instrText>
      </w:r>
      <w:r w:rsidR="003F16A5" w:rsidRPr="003D1E07">
        <w:rPr>
          <w:rStyle w:val="Zvraznn"/>
        </w:rPr>
        <w:instrText>tertium ens</w:instrText>
      </w:r>
      <w:r w:rsidR="00F97A57" w:rsidRPr="003D1E07">
        <w:rPr>
          <w:rStyle w:val="Zvraznn"/>
          <w:i w:val="0"/>
        </w:rPr>
        <w:instrText>:intelekt</w:instrText>
      </w:r>
      <w:r w:rsidR="003F16A5" w:rsidRPr="003D1E07">
        <w:instrText xml:space="preserve">" </w:instrText>
      </w:r>
      <w:r w:rsidR="003F16A5" w:rsidRPr="003D1E07">
        <w:rPr>
          <w:i/>
        </w:rPr>
        <w:fldChar w:fldCharType="end"/>
      </w:r>
      <w:r w:rsidR="084F18B8" w:rsidRPr="003D1E07">
        <w:t>.</w:t>
      </w:r>
      <w:r w:rsidR="085A2305" w:rsidRPr="003D1E07">
        <w:t xml:space="preserve"> Citát ukazuje </w:t>
      </w:r>
      <w:r w:rsidR="00A85612">
        <w:t xml:space="preserve">výslednou </w:t>
      </w:r>
      <w:r w:rsidR="085A2305" w:rsidRPr="003D1E07">
        <w:t xml:space="preserve">syntézu poznání </w:t>
      </w:r>
      <w:r w:rsidR="00A85612">
        <w:t xml:space="preserve">určenou </w:t>
      </w:r>
      <w:r w:rsidR="085A2305" w:rsidRPr="003D1E07">
        <w:t>konkordancí všech tří myslitelů, ale nikoliv na jejich mylný způsob.</w:t>
      </w:r>
    </w:p>
    <w:p w14:paraId="03780F39" w14:textId="0C5E6CAD" w:rsidR="009052B5" w:rsidRPr="003D1E07" w:rsidRDefault="009052B5" w:rsidP="00FE41BF">
      <w:pPr>
        <w:pStyle w:val="Citace"/>
        <w:rPr>
          <w:lang w:val="cs-CZ"/>
        </w:rPr>
      </w:pPr>
      <w:r w:rsidRPr="003D1E07">
        <w:rPr>
          <w:rStyle w:val="Zkladntext9Netundkovn0pt"/>
          <w:rFonts w:ascii="Calibri" w:eastAsia="Times" w:hAnsi="Calibri" w:cs="Times New Roman"/>
          <w:b w:val="0"/>
          <w:bCs w:val="0"/>
          <w:spacing w:val="0"/>
          <w:sz w:val="22"/>
          <w:lang w:val="cs-CZ"/>
        </w:rPr>
        <w:t>„</w:t>
      </w:r>
      <w:r w:rsidR="007066A7">
        <w:rPr>
          <w:rStyle w:val="Zkladntext9Netundkovn0pt"/>
          <w:rFonts w:ascii="Calibri" w:eastAsia="Times" w:hAnsi="Calibri" w:cs="Times New Roman"/>
          <w:b w:val="0"/>
          <w:bCs w:val="0"/>
          <w:spacing w:val="0"/>
          <w:sz w:val="22"/>
          <w:lang w:val="cs-CZ"/>
        </w:rPr>
        <w:t xml:space="preserve">Aristoteles řekl: </w:t>
      </w:r>
      <w:r w:rsidR="007B1191">
        <w:rPr>
          <w:rStyle w:val="Zkladntext9Netundkovn0pt"/>
          <w:rFonts w:ascii="Calibri" w:eastAsia="Times" w:hAnsi="Calibri" w:cs="Times New Roman"/>
          <w:b w:val="0"/>
          <w:bCs w:val="0"/>
          <w:i/>
          <w:spacing w:val="0"/>
          <w:sz w:val="22"/>
          <w:lang w:val="cs-CZ"/>
        </w:rPr>
        <w:t>C</w:t>
      </w:r>
      <w:r w:rsidR="007066A7" w:rsidRPr="007066A7">
        <w:rPr>
          <w:rStyle w:val="Zkladntext9Netundkovn0pt"/>
          <w:rFonts w:ascii="Calibri" w:eastAsia="Times" w:hAnsi="Calibri" w:cs="Times New Roman"/>
          <w:b w:val="0"/>
          <w:bCs w:val="0"/>
          <w:i/>
          <w:spacing w:val="0"/>
          <w:sz w:val="22"/>
          <w:lang w:val="cs-CZ"/>
        </w:rPr>
        <w:t>o je dáno v potenci, to je první v čase vzhledem k aktu osoby</w:t>
      </w:r>
      <w:r w:rsidR="007066A7">
        <w:rPr>
          <w:rStyle w:val="Zkladntext9Netundkovn0pt"/>
          <w:rFonts w:ascii="Calibri" w:eastAsia="Times" w:hAnsi="Calibri" w:cs="Times New Roman"/>
          <w:b w:val="0"/>
          <w:bCs w:val="0"/>
          <w:spacing w:val="0"/>
          <w:sz w:val="22"/>
          <w:lang w:val="cs-CZ"/>
        </w:rPr>
        <w:t xml:space="preserve"> </w:t>
      </w:r>
      <w:r w:rsidR="00A31B9F" w:rsidRPr="003D1E07">
        <w:rPr>
          <w:lang w:val="cs-CZ"/>
        </w:rPr>
        <w:t>(</w:t>
      </w:r>
      <w:r w:rsidR="00A31B9F" w:rsidRPr="003D1E07">
        <w:rPr>
          <w:rStyle w:val="slostrnky"/>
          <w:i/>
          <w:lang w:val="cs-CZ"/>
        </w:rPr>
        <w:t>quod est in potentia est prius tempore individuo</w:t>
      </w:r>
      <w:r w:rsidR="007066A7">
        <w:rPr>
          <w:lang w:val="cs-CZ"/>
        </w:rPr>
        <w:t>). T</w:t>
      </w:r>
      <w:r w:rsidR="00A31B9F" w:rsidRPr="003D1E07">
        <w:rPr>
          <w:lang w:val="cs-CZ"/>
        </w:rPr>
        <w:t xml:space="preserve">o lze </w:t>
      </w:r>
      <w:r w:rsidR="00356C0B" w:rsidRPr="003D1E07">
        <w:rPr>
          <w:lang w:val="cs-CZ"/>
        </w:rPr>
        <w:t>v</w:t>
      </w:r>
      <w:r w:rsidR="00A31B9F" w:rsidRPr="003D1E07">
        <w:rPr>
          <w:lang w:val="cs-CZ"/>
        </w:rPr>
        <w:t xml:space="preserve">yložit </w:t>
      </w:r>
      <w:r w:rsidR="007066A7">
        <w:rPr>
          <w:lang w:val="cs-CZ"/>
        </w:rPr>
        <w:t xml:space="preserve">tímto </w:t>
      </w:r>
      <w:r w:rsidR="00A31B9F" w:rsidRPr="003D1E07">
        <w:rPr>
          <w:lang w:val="cs-CZ"/>
        </w:rPr>
        <w:t>způsobem pro všechny tři názory. Podle našeho a Themistiova názoru platí, že intelekt, který je v potenci, je s námi spojen dříve, než</w:t>
      </w:r>
      <w:r w:rsidR="004210F2" w:rsidRPr="003D1E07">
        <w:rPr>
          <w:lang w:val="cs-CZ"/>
        </w:rPr>
        <w:t xml:space="preserve"> </w:t>
      </w:r>
      <w:r w:rsidR="00A31B9F" w:rsidRPr="003D1E07">
        <w:rPr>
          <w:rStyle w:val="Zkladntext9Netundkovn0pt"/>
          <w:rFonts w:ascii="Calibri" w:eastAsia="Times" w:hAnsi="Calibri" w:cs="Times New Roman"/>
          <w:b w:val="0"/>
          <w:bCs w:val="0"/>
          <w:spacing w:val="0"/>
          <w:sz w:val="22"/>
          <w:lang w:val="cs-CZ"/>
        </w:rPr>
        <w:t xml:space="preserve">činný intelekt </w:t>
      </w:r>
      <w:r w:rsidR="00A31B9F" w:rsidRPr="003D1E07">
        <w:rPr>
          <w:rStyle w:val="Zkladntext1"/>
          <w:rFonts w:ascii="Calibri" w:eastAsia="Times" w:hAnsi="Calibri"/>
          <w:spacing w:val="0"/>
          <w:sz w:val="22"/>
          <w:u w:val="none"/>
          <w:lang w:val="cs-CZ"/>
        </w:rPr>
        <w:t>(</w:t>
      </w:r>
      <w:r w:rsidR="00A31B9F" w:rsidRPr="003D1E07">
        <w:rPr>
          <w:rStyle w:val="CittHTML"/>
          <w:iCs w:val="0"/>
          <w:lang w:val="cs-CZ"/>
        </w:rPr>
        <w:t>intellectus qui est in potentia prius continuatur cum nobis</w:t>
      </w:r>
      <w:r w:rsidR="00A31B9F" w:rsidRPr="003D1E07">
        <w:rPr>
          <w:rStyle w:val="Zkladntext1"/>
          <w:rFonts w:ascii="Calibri" w:eastAsia="Times" w:hAnsi="Calibri"/>
          <w:spacing w:val="0"/>
          <w:sz w:val="22"/>
          <w:u w:val="none"/>
          <w:lang w:val="cs-CZ"/>
        </w:rPr>
        <w:t>)</w:t>
      </w:r>
      <w:r w:rsidR="00A31B9F" w:rsidRPr="003D1E07">
        <w:rPr>
          <w:rStyle w:val="Zkladntext9Netundkovn0pt"/>
          <w:rFonts w:ascii="Calibri" w:eastAsia="Times" w:hAnsi="Calibri" w:cs="Times New Roman"/>
          <w:b w:val="0"/>
          <w:bCs w:val="0"/>
          <w:spacing w:val="0"/>
          <w:sz w:val="22"/>
          <w:lang w:val="cs-CZ"/>
        </w:rPr>
        <w:t>. Podle Alexandra je to tak, že intelekt v potenci je sice první v řádu existence a zrození</w:t>
      </w:r>
      <w:r w:rsidR="004D0A0D" w:rsidRPr="003D1E07">
        <w:rPr>
          <w:rStyle w:val="Zkladntext9Netundkovn0pt"/>
          <w:rFonts w:ascii="Calibri" w:eastAsia="Times" w:hAnsi="Calibri" w:cs="Times New Roman"/>
          <w:b w:val="0"/>
          <w:bCs w:val="0"/>
          <w:spacing w:val="0"/>
          <w:sz w:val="22"/>
          <w:lang w:val="cs-CZ"/>
        </w:rPr>
        <w:t xml:space="preserve">, ale nikoliv z hlediska jeho činnosti </w:t>
      </w:r>
      <w:r w:rsidR="004D0A0D" w:rsidRPr="003D1E07">
        <w:rPr>
          <w:rStyle w:val="Zkladntext1"/>
          <w:rFonts w:ascii="Calibri" w:eastAsia="Times" w:hAnsi="Calibri"/>
          <w:spacing w:val="0"/>
          <w:sz w:val="22"/>
          <w:u w:val="none"/>
          <w:lang w:val="cs-CZ"/>
        </w:rPr>
        <w:t>(</w:t>
      </w:r>
      <w:r w:rsidR="004D0A0D" w:rsidRPr="003D1E07">
        <w:rPr>
          <w:rStyle w:val="CittHTML"/>
          <w:iCs w:val="0"/>
          <w:lang w:val="cs-CZ"/>
        </w:rPr>
        <w:t>intellectus qui est in potentia erit prior in nobis secundum esse aut generationem, non secundum continuationem</w:t>
      </w:r>
      <w:r w:rsidR="004D0A0D" w:rsidRPr="003D1E07">
        <w:rPr>
          <w:rStyle w:val="Zkladntext1"/>
          <w:rFonts w:ascii="Calibri" w:eastAsia="Times" w:hAnsi="Calibri"/>
          <w:spacing w:val="0"/>
          <w:sz w:val="22"/>
          <w:u w:val="none"/>
          <w:lang w:val="cs-CZ"/>
        </w:rPr>
        <w:t xml:space="preserve">).“ </w:t>
      </w:r>
      <w:r w:rsidR="00A31B9F" w:rsidRPr="003D1E07">
        <w:rPr>
          <w:rStyle w:val="Znakapoznpodarou"/>
          <w:lang w:val="cs-CZ"/>
        </w:rPr>
        <w:footnoteReference w:id="265"/>
      </w:r>
    </w:p>
    <w:p w14:paraId="2FECB455" w14:textId="441F3A25" w:rsidR="085F7A18" w:rsidRPr="003D1E07" w:rsidRDefault="08434CE5" w:rsidP="085F7A18">
      <w:r w:rsidRPr="003D1E07">
        <w:t>Receptivní intelekt podle Themistia je první v řádu aktualizace, protože je spojen se smyslovým poznáním</w:t>
      </w:r>
      <w:r w:rsidR="00341D1C">
        <w:t>. Averroes souhlasí</w:t>
      </w:r>
      <w:r w:rsidR="08EE51C4" w:rsidRPr="003D1E07">
        <w:t xml:space="preserve">, ale </w:t>
      </w:r>
      <w:r w:rsidR="00341D1C">
        <w:t xml:space="preserve">tvrdí proti Themistiovi, že </w:t>
      </w:r>
      <w:r w:rsidR="08EE51C4" w:rsidRPr="003D1E07">
        <w:t xml:space="preserve">tento </w:t>
      </w:r>
      <w:r w:rsidR="08EE51C4" w:rsidRPr="003D1E07">
        <w:rPr>
          <w:i/>
        </w:rPr>
        <w:t>intellectus materialis</w:t>
      </w:r>
      <w:r w:rsidR="08EE51C4" w:rsidRPr="003D1E07">
        <w:t xml:space="preserve"> nesmí být materiální.</w:t>
      </w:r>
      <w:r w:rsidRPr="003D1E07">
        <w:t xml:space="preserve"> </w:t>
      </w:r>
      <w:r w:rsidR="001C0118" w:rsidRPr="003D1E07">
        <w:t xml:space="preserve">Citát </w:t>
      </w:r>
      <w:r w:rsidR="08EE51C4" w:rsidRPr="003D1E07">
        <w:t xml:space="preserve">proto </w:t>
      </w:r>
      <w:r w:rsidR="00CC052E" w:rsidRPr="003D1E07">
        <w:t xml:space="preserve">bere </w:t>
      </w:r>
      <w:r w:rsidR="08EE51C4" w:rsidRPr="003D1E07">
        <w:rPr>
          <w:i/>
        </w:rPr>
        <w:t>intellectus possibilis</w:t>
      </w:r>
      <w:r w:rsidR="08EE51C4" w:rsidRPr="003D1E07">
        <w:t xml:space="preserve"> </w:t>
      </w:r>
      <w:r w:rsidR="00651399" w:rsidRPr="003D1E07">
        <w:t>Alexandra (</w:t>
      </w:r>
      <w:r w:rsidR="001C0118" w:rsidRPr="003D1E07">
        <w:rPr>
          <w:rStyle w:val="CittHTML"/>
          <w:iCs w:val="0"/>
        </w:rPr>
        <w:t>prior in nobis secundum esse</w:t>
      </w:r>
      <w:r w:rsidR="003A601E">
        <w:t xml:space="preserve">) jako první stupeň při tvorbě </w:t>
      </w:r>
      <w:r w:rsidR="001C0118" w:rsidRPr="003D1E07">
        <w:t>poznání</w:t>
      </w:r>
      <w:r w:rsidR="000178DE" w:rsidRPr="003D1E07">
        <w:t xml:space="preserve"> (</w:t>
      </w:r>
      <w:r w:rsidR="000178DE" w:rsidRPr="003D1E07">
        <w:rPr>
          <w:i/>
        </w:rPr>
        <w:t>generatio</w:t>
      </w:r>
      <w:r w:rsidR="000178DE" w:rsidRPr="003D1E07">
        <w:t>)</w:t>
      </w:r>
      <w:r w:rsidR="003A601E">
        <w:t>, který je daný jako nemateriální potence</w:t>
      </w:r>
      <w:r w:rsidR="002E5163" w:rsidRPr="003D1E07">
        <w:t>. A</w:t>
      </w:r>
      <w:r w:rsidR="001C0118" w:rsidRPr="003D1E07">
        <w:t xml:space="preserve">le </w:t>
      </w:r>
      <w:r w:rsidR="08346E83" w:rsidRPr="003D1E07">
        <w:t xml:space="preserve">Averroes </w:t>
      </w:r>
      <w:r w:rsidR="00CC052E" w:rsidRPr="003D1E07">
        <w:t xml:space="preserve">nemůže připustit jeho </w:t>
      </w:r>
      <w:r w:rsidR="08346E83" w:rsidRPr="003D1E07">
        <w:t xml:space="preserve">hyparchickou </w:t>
      </w:r>
      <w:r w:rsidR="00CC052E" w:rsidRPr="003D1E07">
        <w:t xml:space="preserve">prioritu </w:t>
      </w:r>
      <w:r w:rsidR="001C0118" w:rsidRPr="003D1E07">
        <w:t xml:space="preserve">v řádu </w:t>
      </w:r>
      <w:r w:rsidR="000178DE" w:rsidRPr="003D1E07">
        <w:t xml:space="preserve">intelektuálního poznání </w:t>
      </w:r>
      <w:r w:rsidR="005F2DDB" w:rsidRPr="003D1E07">
        <w:t xml:space="preserve">mylně </w:t>
      </w:r>
      <w:r w:rsidR="001C0118" w:rsidRPr="003D1E07">
        <w:t>zajištěného</w:t>
      </w:r>
      <w:r w:rsidR="001C0118" w:rsidRPr="003D1E07">
        <w:rPr>
          <w:i/>
        </w:rPr>
        <w:t xml:space="preserve"> </w:t>
      </w:r>
      <w:r w:rsidR="00CC052E" w:rsidRPr="003D1E07">
        <w:t xml:space="preserve">u Alexandra </w:t>
      </w:r>
      <w:r w:rsidR="00703997">
        <w:t xml:space="preserve">hypostázovaným </w:t>
      </w:r>
      <w:r w:rsidR="08EE51C4" w:rsidRPr="003D1E07">
        <w:t>charakterem receptivního intelektu</w:t>
      </w:r>
      <w:r w:rsidR="001111E4" w:rsidRPr="003D1E07">
        <w:rPr>
          <w:i/>
        </w:rPr>
        <w:fldChar w:fldCharType="begin"/>
      </w:r>
      <w:r w:rsidR="001111E4" w:rsidRPr="003D1E07">
        <w:instrText xml:space="preserve"> XE "</w:instrText>
      </w:r>
      <w:r w:rsidR="001111E4" w:rsidRPr="003D1E07">
        <w:rPr>
          <w:i/>
        </w:rPr>
        <w:instrText>intellectus materialis</w:instrText>
      </w:r>
      <w:r w:rsidR="001111E4" w:rsidRPr="003D1E07">
        <w:instrText xml:space="preserve">:Alexander" </w:instrText>
      </w:r>
      <w:r w:rsidR="001111E4" w:rsidRPr="003D1E07">
        <w:rPr>
          <w:i/>
        </w:rPr>
        <w:fldChar w:fldCharType="end"/>
      </w:r>
      <w:r w:rsidR="00526BD7" w:rsidRPr="003D1E07">
        <w:t>.</w:t>
      </w:r>
      <w:r w:rsidRPr="003D1E07">
        <w:t xml:space="preserve"> </w:t>
      </w:r>
      <w:r w:rsidR="00F7653A" w:rsidRPr="003D1E07">
        <w:t xml:space="preserve">Intelektuální poznání dané zvnějšku jako nějaká </w:t>
      </w:r>
      <w:r w:rsidR="006B3699">
        <w:t xml:space="preserve">substance </w:t>
      </w:r>
      <w:r w:rsidR="00346923" w:rsidRPr="003D1E07">
        <w:t xml:space="preserve">by </w:t>
      </w:r>
      <w:r w:rsidR="0004528C" w:rsidRPr="003D1E07">
        <w:t xml:space="preserve">nemělo </w:t>
      </w:r>
      <w:r w:rsidR="00346923" w:rsidRPr="003D1E07">
        <w:t xml:space="preserve">žádné </w:t>
      </w:r>
      <w:r w:rsidR="0004528C" w:rsidRPr="003D1E07">
        <w:t xml:space="preserve">kontinuální poznání </w:t>
      </w:r>
      <w:r w:rsidR="08D853E8" w:rsidRPr="003D1E07">
        <w:t xml:space="preserve">dané existenciálně </w:t>
      </w:r>
      <w:r w:rsidR="0004528C" w:rsidRPr="003D1E07">
        <w:t>(</w:t>
      </w:r>
      <w:r w:rsidR="0004528C" w:rsidRPr="003D1E07">
        <w:rPr>
          <w:i/>
        </w:rPr>
        <w:t>continuatio</w:t>
      </w:r>
      <w:r w:rsidR="0004528C" w:rsidRPr="003D1E07">
        <w:t>)</w:t>
      </w:r>
      <w:r w:rsidR="008C7F16" w:rsidRPr="003D1E07">
        <w:t>. P</w:t>
      </w:r>
      <w:r w:rsidR="00526BD7" w:rsidRPr="003D1E07">
        <w:t xml:space="preserve">oznání determinované </w:t>
      </w:r>
      <w:r w:rsidR="008C7F16" w:rsidRPr="003D1E07">
        <w:t xml:space="preserve">činným intelektem </w:t>
      </w:r>
      <w:r w:rsidR="00526BD7" w:rsidRPr="003D1E07">
        <w:t xml:space="preserve">pouze vnějšku </w:t>
      </w:r>
      <w:r w:rsidR="00346923" w:rsidRPr="003D1E07">
        <w:t>by nebylo v naší moci</w:t>
      </w:r>
      <w:r w:rsidR="00C6174F" w:rsidRPr="003D1E07">
        <w:t xml:space="preserve">. Navíc bys došlo k mytopoetickému </w:t>
      </w:r>
      <w:r w:rsidR="00C6174F" w:rsidRPr="003D1E07">
        <w:rPr>
          <w:i/>
        </w:rPr>
        <w:t>copulatio</w:t>
      </w:r>
      <w:r w:rsidR="00C6174F" w:rsidRPr="003D1E07">
        <w:rPr>
          <w:i/>
        </w:rPr>
        <w:fldChar w:fldCharType="begin"/>
      </w:r>
      <w:r w:rsidR="00C6174F" w:rsidRPr="003D1E07">
        <w:instrText xml:space="preserve"> XE "</w:instrText>
      </w:r>
      <w:r w:rsidR="00C6174F" w:rsidRPr="003D1E07">
        <w:rPr>
          <w:i/>
        </w:rPr>
        <w:instrText>copulatio</w:instrText>
      </w:r>
      <w:r w:rsidR="00C6174F" w:rsidRPr="003D1E07">
        <w:instrText xml:space="preserve">" </w:instrText>
      </w:r>
      <w:r w:rsidR="00C6174F" w:rsidRPr="003D1E07">
        <w:rPr>
          <w:i/>
        </w:rPr>
        <w:fldChar w:fldCharType="end"/>
      </w:r>
      <w:r w:rsidR="00645E4F">
        <w:t xml:space="preserve"> tří objektivních </w:t>
      </w:r>
      <w:r w:rsidR="0052261C" w:rsidRPr="003D1E07">
        <w:t xml:space="preserve">substancí, tedy </w:t>
      </w:r>
      <w:r w:rsidR="08CC7BE5" w:rsidRPr="003D1E07">
        <w:t xml:space="preserve">odděleného kosmického intelektu, </w:t>
      </w:r>
      <w:r w:rsidR="0052261C" w:rsidRPr="003D1E07">
        <w:t xml:space="preserve">intelektuální </w:t>
      </w:r>
      <w:r w:rsidR="00F7653A" w:rsidRPr="003D1E07">
        <w:t xml:space="preserve">duše a </w:t>
      </w:r>
      <w:r w:rsidR="00645E4F">
        <w:t xml:space="preserve">smyslového </w:t>
      </w:r>
      <w:r w:rsidR="00F7653A" w:rsidRPr="003D1E07">
        <w:t>těla</w:t>
      </w:r>
      <w:r w:rsidR="00346923" w:rsidRPr="003D1E07">
        <w:t>.</w:t>
      </w:r>
      <w:r w:rsidR="00606AE6" w:rsidRPr="003D1E07">
        <w:t xml:space="preserve"> </w:t>
      </w:r>
      <w:r w:rsidR="001420DC" w:rsidRPr="001420DC">
        <w:t xml:space="preserve">Klasická metafyzika se neřídí moderním pornografickým scénářem, kdy neexistující entity </w:t>
      </w:r>
      <w:r w:rsidR="001420DC">
        <w:t xml:space="preserve">třetího druhu spolu vytvářejí </w:t>
      </w:r>
      <w:r w:rsidR="006143FC">
        <w:t xml:space="preserve">objektivní </w:t>
      </w:r>
      <w:r w:rsidR="001420DC" w:rsidRPr="001420DC">
        <w:t xml:space="preserve">koitus (viz později terminus </w:t>
      </w:r>
      <w:r w:rsidR="001420DC" w:rsidRPr="001420DC">
        <w:rPr>
          <w:i/>
        </w:rPr>
        <w:t>colligatio</w:t>
      </w:r>
      <w:r w:rsidR="001420DC">
        <w:t>), aby vytvořily moderní „humanis</w:t>
      </w:r>
      <w:r w:rsidR="00286833">
        <w:t>mus“</w:t>
      </w:r>
      <w:r w:rsidR="001420DC" w:rsidRPr="001420DC">
        <w:t>.</w:t>
      </w:r>
      <w:r w:rsidR="001420DC">
        <w:t xml:space="preserve"> </w:t>
      </w:r>
      <w:r w:rsidR="00606AE6" w:rsidRPr="003D1E07">
        <w:t>Externě determinované p</w:t>
      </w:r>
      <w:r w:rsidR="009A5E0B" w:rsidRPr="003D1E07">
        <w:t xml:space="preserve">oznání by </w:t>
      </w:r>
      <w:r w:rsidR="00086B40" w:rsidRPr="003D1E07">
        <w:t xml:space="preserve">bylo založeno na </w:t>
      </w:r>
      <w:r w:rsidR="00DC7D81" w:rsidRPr="003D1E07">
        <w:t>heterogenní</w:t>
      </w:r>
      <w:r w:rsidR="00086B40" w:rsidRPr="003D1E07">
        <w:t>m</w:t>
      </w:r>
      <w:r w:rsidR="00DC7D81" w:rsidRPr="003D1E07">
        <w:t xml:space="preserve"> </w:t>
      </w:r>
      <w:r w:rsidR="009A5E0B" w:rsidRPr="003D1E07">
        <w:t xml:space="preserve">spojení odděleného </w:t>
      </w:r>
      <w:r w:rsidR="08F33C1F" w:rsidRPr="003D1E07">
        <w:t xml:space="preserve">nemateriálního </w:t>
      </w:r>
      <w:r w:rsidR="08743884" w:rsidRPr="003D1E07">
        <w:t xml:space="preserve">potenciálního </w:t>
      </w:r>
      <w:r w:rsidR="00930C89" w:rsidRPr="003D1E07">
        <w:t xml:space="preserve">a </w:t>
      </w:r>
      <w:r w:rsidR="009A5E0B" w:rsidRPr="003D1E07">
        <w:t>činného intelektu (Alexander)</w:t>
      </w:r>
      <w:r w:rsidR="00415D66" w:rsidRPr="003D1E07">
        <w:t xml:space="preserve">. Nebo by bylo </w:t>
      </w:r>
      <w:r w:rsidR="08CD4687" w:rsidRPr="003D1E07">
        <w:t xml:space="preserve">opět heterogenně </w:t>
      </w:r>
      <w:r w:rsidR="00415D66" w:rsidRPr="003D1E07">
        <w:t>determinováno nemateriálním</w:t>
      </w:r>
      <w:r w:rsidR="00086B40" w:rsidRPr="003D1E07">
        <w:t xml:space="preserve"> </w:t>
      </w:r>
      <w:r w:rsidR="00346923" w:rsidRPr="003D1E07">
        <w:t>intel</w:t>
      </w:r>
      <w:r w:rsidR="00571C91" w:rsidRPr="003D1E07">
        <w:t>ekt</w:t>
      </w:r>
      <w:r w:rsidR="00415D66" w:rsidRPr="003D1E07">
        <w:t>em</w:t>
      </w:r>
      <w:r w:rsidR="08346C08" w:rsidRPr="003D1E07">
        <w:t>-sluncem</w:t>
      </w:r>
      <w:r w:rsidR="009A5E0B" w:rsidRPr="003D1E07">
        <w:t xml:space="preserve"> </w:t>
      </w:r>
      <w:r w:rsidR="00415D66" w:rsidRPr="003D1E07">
        <w:t>odděleným</w:t>
      </w:r>
      <w:r w:rsidR="00086B40" w:rsidRPr="003D1E07">
        <w:t xml:space="preserve"> od </w:t>
      </w:r>
      <w:r w:rsidR="08C4305D" w:rsidRPr="003D1E07">
        <w:t>hylického intelektu</w:t>
      </w:r>
      <w:r w:rsidR="00C7412E" w:rsidRPr="003D1E07">
        <w:t xml:space="preserve"> jako </w:t>
      </w:r>
      <w:r w:rsidR="08C4305D" w:rsidRPr="003D1E07">
        <w:t xml:space="preserve"> </w:t>
      </w:r>
      <w:r w:rsidR="00C7412E" w:rsidRPr="003D1E07">
        <w:t xml:space="preserve">materiálního a smyslového </w:t>
      </w:r>
      <w:r w:rsidR="009A5E0B" w:rsidRPr="003D1E07">
        <w:t>(Themistius</w:t>
      </w:r>
      <w:r w:rsidR="00DD4EDB" w:rsidRPr="003D1E07">
        <w:fldChar w:fldCharType="begin"/>
      </w:r>
      <w:r w:rsidR="00DD4EDB" w:rsidRPr="003D1E07">
        <w:instrText xml:space="preserve"> XE "Themistius" </w:instrText>
      </w:r>
      <w:r w:rsidR="00DD4EDB" w:rsidRPr="003D1E07">
        <w:fldChar w:fldCharType="end"/>
      </w:r>
      <w:r w:rsidR="009A5E0B" w:rsidRPr="003D1E07">
        <w:t>)</w:t>
      </w:r>
      <w:r w:rsidR="001C1E41" w:rsidRPr="003D1E07">
        <w:t xml:space="preserve">. </w:t>
      </w:r>
      <w:r w:rsidR="00FF4279" w:rsidRPr="003D1E07">
        <w:t xml:space="preserve">Obojí </w:t>
      </w:r>
      <w:r w:rsidR="00A148DB">
        <w:t xml:space="preserve">mix </w:t>
      </w:r>
      <w:r w:rsidR="00FF4279" w:rsidRPr="003D1E07">
        <w:t xml:space="preserve">intelektu </w:t>
      </w:r>
      <w:r w:rsidR="00A148DB">
        <w:t>jako nekompatibilních substancí</w:t>
      </w:r>
      <w:r w:rsidR="00A70FA4" w:rsidRPr="003D1E07">
        <w:fldChar w:fldCharType="begin"/>
      </w:r>
      <w:r w:rsidR="00A70FA4" w:rsidRPr="003D1E07">
        <w:instrText xml:space="preserve"> XE "substance</w:instrText>
      </w:r>
      <w:r w:rsidR="001111E4" w:rsidRPr="003D1E07">
        <w:instrText>:intelekt</w:instrText>
      </w:r>
      <w:r w:rsidR="00A70FA4" w:rsidRPr="003D1E07">
        <w:instrText xml:space="preserve">" </w:instrText>
      </w:r>
      <w:r w:rsidR="00A70FA4" w:rsidRPr="003D1E07">
        <w:fldChar w:fldCharType="end"/>
      </w:r>
      <w:r w:rsidR="003F28BF" w:rsidRPr="003D1E07">
        <w:t xml:space="preserve"> </w:t>
      </w:r>
      <w:r w:rsidR="001C1E41" w:rsidRPr="003D1E07">
        <w:t xml:space="preserve">by </w:t>
      </w:r>
      <w:r w:rsidR="00FF4279" w:rsidRPr="003D1E07">
        <w:t xml:space="preserve">znemožnila </w:t>
      </w:r>
      <w:r w:rsidR="001C1E41" w:rsidRPr="003D1E07">
        <w:t xml:space="preserve">hledané </w:t>
      </w:r>
      <w:r w:rsidR="001C1E41" w:rsidRPr="003D1E07">
        <w:rPr>
          <w:i/>
        </w:rPr>
        <w:t>proportio</w:t>
      </w:r>
      <w:r w:rsidR="001C1E41" w:rsidRPr="003D1E07">
        <w:t xml:space="preserve"> vázané na </w:t>
      </w:r>
      <w:r w:rsidR="086D5757" w:rsidRPr="003D1E07">
        <w:t xml:space="preserve">osobní </w:t>
      </w:r>
      <w:r w:rsidR="00346923" w:rsidRPr="003D1E07">
        <w:t>poznání dané smě</w:t>
      </w:r>
      <w:r w:rsidR="0046227C" w:rsidRPr="003D1E07">
        <w:t>rem od smyslově vnímaných věcí.</w:t>
      </w:r>
      <w:r w:rsidR="00341DA3" w:rsidRPr="003D1E07">
        <w:t xml:space="preserve"> </w:t>
      </w:r>
      <w:r w:rsidR="002E3B62" w:rsidRPr="003D1E07">
        <w:t>Averroes</w:t>
      </w:r>
      <w:r w:rsidR="0054420E" w:rsidRPr="003D1E07">
        <w:t xml:space="preserve"> </w:t>
      </w:r>
      <w:r w:rsidR="00DB5C0D" w:rsidRPr="003D1E07">
        <w:t xml:space="preserve">věrný </w:t>
      </w:r>
      <w:r w:rsidR="08406903" w:rsidRPr="003D1E07">
        <w:t xml:space="preserve">originálnímu textu </w:t>
      </w:r>
      <w:r w:rsidR="00B713C5" w:rsidRPr="003D1E07">
        <w:rPr>
          <w:i/>
        </w:rPr>
        <w:t>De anima</w:t>
      </w:r>
      <w:r w:rsidR="08406903" w:rsidRPr="003D1E07">
        <w:t xml:space="preserve"> </w:t>
      </w:r>
      <w:r w:rsidR="08605A88" w:rsidRPr="003D1E07">
        <w:t>(νοῦς τῷ πάντα γίνεσθαι, ὁ δὲ τῷ πάντα ποιεῖν, 430a14–15</w:t>
      </w:r>
      <w:r w:rsidR="001111E4" w:rsidRPr="003D1E07">
        <w:rPr>
          <w:i/>
        </w:rPr>
        <w:fldChar w:fldCharType="begin"/>
      </w:r>
      <w:r w:rsidR="001111E4" w:rsidRPr="003D1E07">
        <w:instrText xml:space="preserve"> XE "</w:instrText>
      </w:r>
      <w:r w:rsidR="008E02F5" w:rsidRPr="003D1E07">
        <w:instrText>Aristoteles</w:instrText>
      </w:r>
      <w:r w:rsidR="001111E4" w:rsidRPr="003D1E07">
        <w:instrText>:</w:instrText>
      </w:r>
      <w:r w:rsidR="001111E4" w:rsidRPr="003D1E07">
        <w:rPr>
          <w:i/>
        </w:rPr>
        <w:instrText>De anima</w:instrText>
      </w:r>
      <w:r w:rsidR="001111E4" w:rsidRPr="003D1E07">
        <w:instrText xml:space="preserve"> 430a14–15" </w:instrText>
      </w:r>
      <w:r w:rsidR="001111E4" w:rsidRPr="003D1E07">
        <w:rPr>
          <w:i/>
        </w:rPr>
        <w:fldChar w:fldCharType="end"/>
      </w:r>
      <w:r w:rsidR="08605A88" w:rsidRPr="003D1E07">
        <w:t xml:space="preserve">) </w:t>
      </w:r>
      <w:r w:rsidR="0054420E" w:rsidRPr="003D1E07">
        <w:t xml:space="preserve">konstatuje, že </w:t>
      </w:r>
      <w:r w:rsidR="08605A88" w:rsidRPr="003D1E07">
        <w:t xml:space="preserve">receptivní i aktivní </w:t>
      </w:r>
      <w:r w:rsidR="00AB2983" w:rsidRPr="003D1E07">
        <w:t>f</w:t>
      </w:r>
      <w:r w:rsidR="08605A88" w:rsidRPr="003D1E07">
        <w:t xml:space="preserve">unkce </w:t>
      </w:r>
      <w:r w:rsidR="00AB2983" w:rsidRPr="003D1E07">
        <w:t>intelektu musí být nemateriální</w:t>
      </w:r>
      <w:r w:rsidR="083309F7" w:rsidRPr="003D1E07">
        <w:t xml:space="preserve"> v těle</w:t>
      </w:r>
      <w:r w:rsidR="00AB2983" w:rsidRPr="003D1E07">
        <w:t xml:space="preserve">, což </w:t>
      </w:r>
      <w:r w:rsidR="00AB2983" w:rsidRPr="003D1E07">
        <w:lastRenderedPageBreak/>
        <w:t xml:space="preserve">neměl </w:t>
      </w:r>
      <w:r w:rsidR="00391116">
        <w:t xml:space="preserve">ani </w:t>
      </w:r>
      <w:r w:rsidR="00AB2983" w:rsidRPr="003D1E07">
        <w:t>Alexander</w:t>
      </w:r>
      <w:r w:rsidR="005C3154">
        <w:t xml:space="preserve"> ani Themistius</w:t>
      </w:r>
      <w:r w:rsidR="00AB2983" w:rsidRPr="003D1E07">
        <w:t xml:space="preserve">. </w:t>
      </w:r>
      <w:r w:rsidR="00175526" w:rsidRPr="003D1E07">
        <w:t xml:space="preserve">Tato transformace </w:t>
      </w:r>
      <w:r w:rsidR="00F1718D" w:rsidRPr="003D1E07">
        <w:t xml:space="preserve">pouze </w:t>
      </w:r>
      <w:r w:rsidR="00175526" w:rsidRPr="003D1E07">
        <w:t xml:space="preserve">hylického intelektu na </w:t>
      </w:r>
      <w:r w:rsidR="00F1718D" w:rsidRPr="003D1E07">
        <w:t xml:space="preserve">nemateriální </w:t>
      </w:r>
      <w:r w:rsidR="00175526" w:rsidRPr="003D1E07">
        <w:rPr>
          <w:i/>
        </w:rPr>
        <w:t>intellectus possibilis</w:t>
      </w:r>
      <w:r w:rsidR="009D323B" w:rsidRPr="003D1E07">
        <w:rPr>
          <w:i/>
        </w:rPr>
        <w:fldChar w:fldCharType="begin"/>
      </w:r>
      <w:r w:rsidR="009D323B" w:rsidRPr="003D1E07">
        <w:instrText xml:space="preserve"> XE "</w:instrText>
      </w:r>
      <w:r w:rsidR="009D323B" w:rsidRPr="003D1E07">
        <w:rPr>
          <w:i/>
        </w:rPr>
        <w:instrText>intellectus possibilis</w:instrText>
      </w:r>
      <w:r w:rsidR="001111E4" w:rsidRPr="003D1E07">
        <w:instrText>:</w:instrText>
      </w:r>
      <w:r w:rsidR="002E3B62" w:rsidRPr="003D1E07">
        <w:instrText>Averroes</w:instrText>
      </w:r>
      <w:r w:rsidR="009D323B" w:rsidRPr="003D1E07">
        <w:instrText xml:space="preserve">" </w:instrText>
      </w:r>
      <w:r w:rsidR="009D323B" w:rsidRPr="003D1E07">
        <w:rPr>
          <w:i/>
        </w:rPr>
        <w:fldChar w:fldCharType="end"/>
      </w:r>
      <w:r w:rsidR="00175526" w:rsidRPr="003D1E07">
        <w:rPr>
          <w:i/>
        </w:rPr>
        <w:t xml:space="preserve"> </w:t>
      </w:r>
      <w:r w:rsidR="089A4F8A" w:rsidRPr="003D1E07">
        <w:t>je nutná</w:t>
      </w:r>
      <w:r w:rsidR="0803364E" w:rsidRPr="003D1E07">
        <w:t xml:space="preserve"> kvůli </w:t>
      </w:r>
      <w:r w:rsidR="0807715A" w:rsidRPr="003D1E07">
        <w:t xml:space="preserve">zajištění </w:t>
      </w:r>
      <w:r w:rsidR="0803364E" w:rsidRPr="003D1E07">
        <w:t xml:space="preserve">pravdy jako </w:t>
      </w:r>
      <w:r w:rsidR="0803364E" w:rsidRPr="003D1E07">
        <w:rPr>
          <w:i/>
        </w:rPr>
        <w:t>proportio</w:t>
      </w:r>
      <w:r w:rsidR="0803364E" w:rsidRPr="003D1E07">
        <w:t xml:space="preserve"> smyslů a intelektu</w:t>
      </w:r>
      <w:r w:rsidR="089A4F8A" w:rsidRPr="003D1E07">
        <w:t xml:space="preserve">. </w:t>
      </w:r>
      <w:r w:rsidR="002E3B62" w:rsidRPr="003D1E07">
        <w:t>Averroes</w:t>
      </w:r>
      <w:r w:rsidR="085E7DD4" w:rsidRPr="003D1E07">
        <w:t xml:space="preserve"> vezme </w:t>
      </w:r>
      <w:r w:rsidR="004B339B" w:rsidRPr="003D1E07">
        <w:t xml:space="preserve">intelekt Alexandra </w:t>
      </w:r>
      <w:r w:rsidR="085E7DD4" w:rsidRPr="003D1E07">
        <w:t xml:space="preserve">jako absolutní potenci k recepci </w:t>
      </w:r>
      <w:r w:rsidR="004B339B" w:rsidRPr="003D1E07">
        <w:t xml:space="preserve">a transformuje jej na nový </w:t>
      </w:r>
      <w:r w:rsidR="004B339B" w:rsidRPr="003D1E07">
        <w:rPr>
          <w:i/>
        </w:rPr>
        <w:t xml:space="preserve">intellectus </w:t>
      </w:r>
      <w:r w:rsidR="085E7DD4" w:rsidRPr="003D1E07">
        <w:rPr>
          <w:i/>
        </w:rPr>
        <w:t xml:space="preserve">materialis </w:t>
      </w:r>
      <w:r w:rsidR="004B339B" w:rsidRPr="003D1E07">
        <w:t>podle Themistia</w:t>
      </w:r>
      <w:r w:rsidR="00E65FCF" w:rsidRPr="003D1E07">
        <w:rPr>
          <w:i/>
        </w:rPr>
        <w:fldChar w:fldCharType="begin"/>
      </w:r>
      <w:r w:rsidR="00E65FCF" w:rsidRPr="003D1E07">
        <w:instrText xml:space="preserve"> XE "</w:instrText>
      </w:r>
      <w:r w:rsidR="00E65FCF" w:rsidRPr="003D1E07">
        <w:rPr>
          <w:i/>
        </w:rPr>
        <w:instrText>intellectus materialis:</w:instrText>
      </w:r>
      <w:r w:rsidR="00E65FCF" w:rsidRPr="003D1E07">
        <w:instrText xml:space="preserve">Themistius" </w:instrText>
      </w:r>
      <w:r w:rsidR="00E65FCF" w:rsidRPr="003D1E07">
        <w:rPr>
          <w:i/>
        </w:rPr>
        <w:fldChar w:fldCharType="end"/>
      </w:r>
      <w:r w:rsidR="004B339B" w:rsidRPr="003D1E07">
        <w:t xml:space="preserve"> (</w:t>
      </w:r>
      <w:r w:rsidR="004B339B" w:rsidRPr="003D1E07">
        <w:rPr>
          <w:rStyle w:val="CittHTML"/>
          <w:iCs w:val="0"/>
        </w:rPr>
        <w:t>in hoc convenit nobiscum Themistius</w:t>
      </w:r>
      <w:r w:rsidR="004B339B" w:rsidRPr="003D1E07">
        <w:t xml:space="preserve">). </w:t>
      </w:r>
      <w:r w:rsidR="08D80528" w:rsidRPr="003D1E07">
        <w:t xml:space="preserve">Nové pojetí receptivity musí tvořit součást procesu poznání determinovaného smyslovou zkušeností, což měl hylický intelekt Themistia. </w:t>
      </w:r>
      <w:r w:rsidR="087060E0" w:rsidRPr="003D1E07">
        <w:t xml:space="preserve">Syntézou obou pojetí vznikl </w:t>
      </w:r>
      <w:r w:rsidR="089A4F8A" w:rsidRPr="003D1E07">
        <w:t xml:space="preserve">nový druh </w:t>
      </w:r>
      <w:r w:rsidR="08B30ABB" w:rsidRPr="003D1E07">
        <w:t xml:space="preserve">receptivního </w:t>
      </w:r>
      <w:r w:rsidR="089A4F8A" w:rsidRPr="003D1E07">
        <w:t xml:space="preserve">intelektu </w:t>
      </w:r>
      <w:r w:rsidR="08AC5E9A" w:rsidRPr="003D1E07">
        <w:t xml:space="preserve">pouze v duši, protože </w:t>
      </w:r>
      <w:r w:rsidR="08C929D0" w:rsidRPr="003D1E07">
        <w:t>ta</w:t>
      </w:r>
      <w:r w:rsidR="08AC5E9A" w:rsidRPr="003D1E07">
        <w:t>to potence je dána jako nemater</w:t>
      </w:r>
      <w:r w:rsidR="08C929D0" w:rsidRPr="003D1E07">
        <w:t>i</w:t>
      </w:r>
      <w:r w:rsidR="08AC5E9A" w:rsidRPr="003D1E07">
        <w:t xml:space="preserve">ální výkon duše. </w:t>
      </w:r>
      <w:r w:rsidR="004B56FB" w:rsidRPr="004B56FB">
        <w:t xml:space="preserve">Averroes získal pro demonstrativní </w:t>
      </w:r>
      <w:r w:rsidR="004B56FB">
        <w:t>sylogismus nový střední člen (</w:t>
      </w:r>
      <w:r w:rsidR="004B56FB" w:rsidRPr="004B56FB">
        <w:rPr>
          <w:i/>
        </w:rPr>
        <w:t>medium</w:t>
      </w:r>
      <w:r w:rsidR="004B56FB" w:rsidRPr="004B56FB">
        <w:t>), který působí jako reálná příči</w:t>
      </w:r>
      <w:r w:rsidR="004B56FB">
        <w:t>na v procesu reálného poznávání, které provádí reálná osoba</w:t>
      </w:r>
      <w:r w:rsidR="004B56FB" w:rsidRPr="004B56FB">
        <w:t xml:space="preserve">. Mnohem pozdějším ekvivalentem je existenciální modus </w:t>
      </w:r>
      <w:r w:rsidR="004B56FB" w:rsidRPr="004B56FB">
        <w:rPr>
          <w:i/>
        </w:rPr>
        <w:t>Verstehen</w:t>
      </w:r>
      <w:r w:rsidR="004B56FB" w:rsidRPr="004B56FB">
        <w:t xml:space="preserve">, který </w:t>
      </w:r>
      <w:r w:rsidR="004B56FB">
        <w:t xml:space="preserve">určuje </w:t>
      </w:r>
      <w:r w:rsidR="004B56FB" w:rsidRPr="004B56FB">
        <w:rPr>
          <w:i/>
        </w:rPr>
        <w:t>Dasein</w:t>
      </w:r>
      <w:r w:rsidR="004B56FB" w:rsidRPr="004B56FB">
        <w:t xml:space="preserve"> </w:t>
      </w:r>
      <w:r w:rsidR="004B56FB">
        <w:t xml:space="preserve">v Heideggerově hermeneutice </w:t>
      </w:r>
      <w:r w:rsidR="004B56FB" w:rsidRPr="004B56FB">
        <w:t xml:space="preserve">fakticity. </w:t>
      </w:r>
      <w:r w:rsidR="004B56FB">
        <w:t xml:space="preserve">Komentátor nyní </w:t>
      </w:r>
      <w:r w:rsidR="004B56FB" w:rsidRPr="004B56FB">
        <w:t xml:space="preserve">může </w:t>
      </w:r>
      <w:r w:rsidR="004B56FB">
        <w:t xml:space="preserve">založit </w:t>
      </w:r>
      <w:r w:rsidR="004B56FB" w:rsidRPr="004B56FB">
        <w:t xml:space="preserve">deduktivní soud pro práci </w:t>
      </w:r>
      <w:r w:rsidR="004B56FB" w:rsidRPr="004B56FB">
        <w:rPr>
          <w:i/>
        </w:rPr>
        <w:t>intellectus possibilis</w:t>
      </w:r>
      <w:r w:rsidR="004B56FB" w:rsidRPr="004B56FB">
        <w:t>.</w:t>
      </w:r>
      <w:r w:rsidR="004B56FB">
        <w:t xml:space="preserve"> P</w:t>
      </w:r>
      <w:r w:rsidR="08036C5F" w:rsidRPr="003D1E07">
        <w:t xml:space="preserve">oznání je </w:t>
      </w:r>
      <w:r w:rsidR="004B56FB">
        <w:t xml:space="preserve">nyní </w:t>
      </w:r>
      <w:r w:rsidR="08036C5F" w:rsidRPr="003D1E07">
        <w:t xml:space="preserve">nemateriální, plně receptivní a </w:t>
      </w:r>
      <w:r w:rsidR="004B56FB">
        <w:t xml:space="preserve">je </w:t>
      </w:r>
      <w:r w:rsidR="08036C5F" w:rsidRPr="003D1E07">
        <w:t xml:space="preserve">plně v naší moci. </w:t>
      </w:r>
      <w:r w:rsidR="002F7E7A">
        <w:t xml:space="preserve">Intelekt je dán </w:t>
      </w:r>
      <w:r w:rsidR="002F7E7A" w:rsidRPr="003D1E07">
        <w:t>hyparchické</w:t>
      </w:r>
      <w:r w:rsidR="002F7E7A">
        <w:t>m</w:t>
      </w:r>
      <w:r w:rsidR="002F7E7A" w:rsidRPr="003D1E07">
        <w:t xml:space="preserve"> řádu </w:t>
      </w:r>
      <w:r w:rsidR="00080B8D">
        <w:t xml:space="preserve">kauzálně určené </w:t>
      </w:r>
      <w:r w:rsidR="002F7E7A">
        <w:t>reality a tím umožňuje nejdůležitější kategoriální predikaci</w:t>
      </w:r>
      <w:r w:rsidR="00BD30B8">
        <w:t xml:space="preserve"> </w:t>
      </w:r>
      <w:r w:rsidR="002F7E7A">
        <w:t xml:space="preserve">v modu impozice dané </w:t>
      </w:r>
      <w:r w:rsidR="00175526" w:rsidRPr="003D1E07">
        <w:rPr>
          <w:i/>
        </w:rPr>
        <w:t>per prius</w:t>
      </w:r>
      <w:r w:rsidR="002F7E7A">
        <w:t xml:space="preserve">. Taková dedukce </w:t>
      </w:r>
      <w:r w:rsidR="00175526" w:rsidRPr="003D1E07">
        <w:t>pravdivě</w:t>
      </w:r>
      <w:r w:rsidR="0807715A" w:rsidRPr="003D1E07">
        <w:t xml:space="preserve"> a tedy </w:t>
      </w:r>
      <w:r w:rsidR="00175526" w:rsidRPr="003D1E07">
        <w:t xml:space="preserve">adekvátně vyjadřuje </w:t>
      </w:r>
      <w:r w:rsidR="00F1718D" w:rsidRPr="003D1E07">
        <w:t xml:space="preserve">existenciálně dané </w:t>
      </w:r>
      <w:r w:rsidR="00175526" w:rsidRPr="003D1E07">
        <w:t xml:space="preserve">poznání jako </w:t>
      </w:r>
      <w:r w:rsidR="00175526" w:rsidRPr="003D1E07">
        <w:rPr>
          <w:i/>
        </w:rPr>
        <w:t>proportio</w:t>
      </w:r>
      <w:r w:rsidR="00175526" w:rsidRPr="003D1E07">
        <w:t xml:space="preserve"> mezi materiálními smysly a nemateriálním receptivním intelektem. </w:t>
      </w:r>
      <w:r w:rsidR="00414629" w:rsidRPr="003D1E07">
        <w:t>Tím dojde k</w:t>
      </w:r>
      <w:r w:rsidR="00BB2CA7" w:rsidRPr="003D1E07">
        <w:t xml:space="preserve"> </w:t>
      </w:r>
      <w:r w:rsidR="00651399" w:rsidRPr="003D1E07">
        <w:t xml:space="preserve">aktualizaci </w:t>
      </w:r>
      <w:r w:rsidR="00D43401" w:rsidRPr="003D1E07">
        <w:t xml:space="preserve">nemateriálního </w:t>
      </w:r>
      <w:r w:rsidR="00651399" w:rsidRPr="003D1E07">
        <w:t xml:space="preserve">pasivního intelektu směrem od </w:t>
      </w:r>
      <w:r w:rsidR="00D43401" w:rsidRPr="003D1E07">
        <w:t xml:space="preserve">již aktualizovaného materiálního </w:t>
      </w:r>
      <w:r w:rsidR="00651399" w:rsidRPr="003D1E07">
        <w:t>smyslovéh</w:t>
      </w:r>
      <w:r w:rsidR="089E4AB8" w:rsidRPr="003D1E07">
        <w:t>o poznání</w:t>
      </w:r>
      <w:r w:rsidR="08B0432D" w:rsidRPr="003D1E07">
        <w:t xml:space="preserve"> skrze dvojí intencionalitu. </w:t>
      </w:r>
      <w:r w:rsidR="00FD5F3C" w:rsidRPr="003D1E07">
        <w:t xml:space="preserve">Obsahy takto predikovaného </w:t>
      </w:r>
      <w:r w:rsidR="009729A7" w:rsidRPr="003D1E07">
        <w:t>re</w:t>
      </w:r>
      <w:r w:rsidR="003F2FB9" w:rsidRPr="003D1E07">
        <w:t xml:space="preserve">ceptivně-aktivního </w:t>
      </w:r>
      <w:r w:rsidR="00FD5F3C" w:rsidRPr="003D1E07">
        <w:t xml:space="preserve">intelektu jsou </w:t>
      </w:r>
      <w:r w:rsidR="00896C6B" w:rsidRPr="003D1E07">
        <w:t xml:space="preserve">osobní </w:t>
      </w:r>
      <w:r w:rsidR="00FD5F3C" w:rsidRPr="003D1E07">
        <w:t>(</w:t>
      </w:r>
      <w:r w:rsidR="00FD5F3C" w:rsidRPr="003D1E07">
        <w:rPr>
          <w:i/>
        </w:rPr>
        <w:t xml:space="preserve">tertium </w:t>
      </w:r>
      <w:r w:rsidR="00636BD4" w:rsidRPr="003D1E07">
        <w:rPr>
          <w:i/>
        </w:rPr>
        <w:t>genus</w:t>
      </w:r>
      <w:r w:rsidR="00982C89" w:rsidRPr="003D1E07">
        <w:rPr>
          <w:i/>
        </w:rPr>
        <w:fldChar w:fldCharType="begin"/>
      </w:r>
      <w:r w:rsidR="00982C89" w:rsidRPr="003D1E07">
        <w:instrText xml:space="preserve"> XE "</w:instrText>
      </w:r>
      <w:r w:rsidR="00982C89" w:rsidRPr="003D1E07">
        <w:rPr>
          <w:i/>
        </w:rPr>
        <w:instrText>tertium genus</w:instrText>
      </w:r>
      <w:r w:rsidR="00982C89" w:rsidRPr="003D1E07">
        <w:instrText xml:space="preserve">" </w:instrText>
      </w:r>
      <w:r w:rsidR="00982C89" w:rsidRPr="003D1E07">
        <w:rPr>
          <w:i/>
        </w:rPr>
        <w:fldChar w:fldCharType="end"/>
      </w:r>
      <w:r w:rsidR="009729A7" w:rsidRPr="003D1E07">
        <w:t xml:space="preserve">), protože patří v řádu </w:t>
      </w:r>
      <w:r w:rsidR="009729A7" w:rsidRPr="003D1E07">
        <w:rPr>
          <w:i/>
        </w:rPr>
        <w:t>per prius</w:t>
      </w:r>
      <w:r w:rsidR="009729A7" w:rsidRPr="003D1E07">
        <w:t xml:space="preserve"> k hylickému intelektu danému na těle jako hylemorfické substanci. P</w:t>
      </w:r>
      <w:r w:rsidR="08FA491C" w:rsidRPr="003D1E07">
        <w:t xml:space="preserve">asivní intelekt </w:t>
      </w:r>
      <w:r w:rsidR="009729A7" w:rsidRPr="003D1E07">
        <w:t xml:space="preserve">lze </w:t>
      </w:r>
      <w:r w:rsidR="08FA491C" w:rsidRPr="003D1E07">
        <w:t xml:space="preserve">ovšem </w:t>
      </w:r>
      <w:r w:rsidR="009729A7" w:rsidRPr="003D1E07">
        <w:t xml:space="preserve">predikovat </w:t>
      </w:r>
      <w:r w:rsidR="001A0685" w:rsidRPr="003D1E07">
        <w:t xml:space="preserve">v modu deduktivního soudu </w:t>
      </w:r>
      <w:r w:rsidR="009729A7" w:rsidRPr="003D1E07">
        <w:t>i univerzálně</w:t>
      </w:r>
      <w:r w:rsidR="00FD5F3C" w:rsidRPr="003D1E07">
        <w:t xml:space="preserve"> (</w:t>
      </w:r>
      <w:r w:rsidR="00FD5F3C" w:rsidRPr="003D1E07">
        <w:rPr>
          <w:i/>
        </w:rPr>
        <w:t xml:space="preserve">quartum </w:t>
      </w:r>
      <w:r w:rsidR="00636BD4" w:rsidRPr="003D1E07">
        <w:rPr>
          <w:i/>
        </w:rPr>
        <w:t>genus</w:t>
      </w:r>
      <w:r w:rsidR="00982C89" w:rsidRPr="003D1E07">
        <w:rPr>
          <w:i/>
        </w:rPr>
        <w:fldChar w:fldCharType="begin"/>
      </w:r>
      <w:r w:rsidR="00982C89" w:rsidRPr="003D1E07">
        <w:instrText xml:space="preserve"> XE "</w:instrText>
      </w:r>
      <w:r w:rsidR="00982C89" w:rsidRPr="003D1E07">
        <w:rPr>
          <w:i/>
        </w:rPr>
        <w:instrText>quartum genus</w:instrText>
      </w:r>
      <w:r w:rsidR="00982C89" w:rsidRPr="003D1E07">
        <w:instrText xml:space="preserve">" </w:instrText>
      </w:r>
      <w:r w:rsidR="00982C89" w:rsidRPr="003D1E07">
        <w:rPr>
          <w:i/>
        </w:rPr>
        <w:fldChar w:fldCharType="end"/>
      </w:r>
      <w:r w:rsidR="00FD5F3C" w:rsidRPr="003D1E07">
        <w:t>)</w:t>
      </w:r>
      <w:r w:rsidR="08834CD7" w:rsidRPr="003D1E07">
        <w:t>. Ta</w:t>
      </w:r>
      <w:r w:rsidR="0060359E" w:rsidRPr="003D1E07">
        <w:t xml:space="preserve">to </w:t>
      </w:r>
      <w:r w:rsidR="00F214C5" w:rsidRPr="003D1E07">
        <w:t>species</w:t>
      </w:r>
      <w:r w:rsidR="08834CD7" w:rsidRPr="003D1E07">
        <w:t xml:space="preserve"> je daná </w:t>
      </w:r>
      <w:r w:rsidR="0060359E" w:rsidRPr="003D1E07">
        <w:t xml:space="preserve">abstrakcí </w:t>
      </w:r>
      <w:r w:rsidR="08834CD7" w:rsidRPr="003D1E07">
        <w:t>od individuálního výkonu myšlení a proto má také čistou potencialitu. Existuje</w:t>
      </w:r>
      <w:r w:rsidR="00486F50" w:rsidRPr="003D1E07">
        <w:t xml:space="preserve"> pouze </w:t>
      </w:r>
      <w:r w:rsidR="08834CD7" w:rsidRPr="003D1E07">
        <w:t xml:space="preserve">v duši, proto je </w:t>
      </w:r>
      <w:r w:rsidR="08FA491C" w:rsidRPr="003D1E07">
        <w:t xml:space="preserve">nemateriální a </w:t>
      </w:r>
      <w:r w:rsidR="005E7EC6" w:rsidRPr="003D1E07">
        <w:t xml:space="preserve">zakládá </w:t>
      </w:r>
      <w:r w:rsidR="086F0997" w:rsidRPr="003D1E07">
        <w:t xml:space="preserve">univoční a </w:t>
      </w:r>
      <w:r w:rsidR="08FA491C" w:rsidRPr="003D1E07">
        <w:t>univerzální myšlen</w:t>
      </w:r>
      <w:r w:rsidR="00486F50" w:rsidRPr="003D1E07">
        <w:t>k</w:t>
      </w:r>
      <w:r w:rsidR="08FA491C" w:rsidRPr="003D1E07">
        <w:t xml:space="preserve">ové obsahy </w:t>
      </w:r>
      <w:r w:rsidR="005E7EC6" w:rsidRPr="003D1E07">
        <w:t xml:space="preserve">totožné v této specifické univerzalitě </w:t>
      </w:r>
      <w:r w:rsidR="08FA491C" w:rsidRPr="003D1E07">
        <w:t>ve všech lidech</w:t>
      </w:r>
      <w:r w:rsidR="00FD5F3C" w:rsidRPr="003D1E07">
        <w:t xml:space="preserve">. </w:t>
      </w:r>
      <w:r w:rsidR="08F67A46" w:rsidRPr="003D1E07">
        <w:t>Každý člověk myslí skrze existenciální schopnost receptivity (</w:t>
      </w:r>
      <w:r w:rsidR="08F67A46" w:rsidRPr="003D1E07">
        <w:rPr>
          <w:i/>
        </w:rPr>
        <w:t xml:space="preserve">tertium </w:t>
      </w:r>
      <w:r w:rsidR="00636BD4" w:rsidRPr="003D1E07">
        <w:rPr>
          <w:i/>
        </w:rPr>
        <w:t>genus</w:t>
      </w:r>
      <w:r w:rsidR="08F67A46" w:rsidRPr="003D1E07">
        <w:t>) a zárov</w:t>
      </w:r>
      <w:r w:rsidR="08532BA6" w:rsidRPr="003D1E07">
        <w:t>eň produkuje potenciální univerz</w:t>
      </w:r>
      <w:r w:rsidR="08F67A46" w:rsidRPr="003D1E07">
        <w:t>ální obsahy (</w:t>
      </w:r>
      <w:r w:rsidR="08F67A46" w:rsidRPr="003D1E07">
        <w:rPr>
          <w:i/>
        </w:rPr>
        <w:t xml:space="preserve">quartum </w:t>
      </w:r>
      <w:r w:rsidR="00636BD4" w:rsidRPr="003D1E07">
        <w:rPr>
          <w:i/>
        </w:rPr>
        <w:t>genus</w:t>
      </w:r>
      <w:r w:rsidR="08F67A46" w:rsidRPr="003D1E07">
        <w:t>). Proporce je dána mezi osobní nemateriální potencí duše (</w:t>
      </w:r>
      <w:r w:rsidR="08F67A46" w:rsidRPr="003D1E07">
        <w:rPr>
          <w:i/>
        </w:rPr>
        <w:t>intellectus possibilis</w:t>
      </w:r>
      <w:r w:rsidR="08F67A46" w:rsidRPr="003D1E07">
        <w:t>) a univerzál</w:t>
      </w:r>
      <w:r w:rsidR="08532BA6" w:rsidRPr="003D1E07">
        <w:t>ním potenciálním konceptem, který je také nemateriální</w:t>
      </w:r>
      <w:r w:rsidR="08711B90" w:rsidRPr="003D1E07">
        <w:t xml:space="preserve">. </w:t>
      </w:r>
      <w:r w:rsidR="086341F4" w:rsidRPr="003D1E07">
        <w:t xml:space="preserve">Stejný proces abstrakce platí i pro samotný receptivní intelekt. Na jedné straně představuje tento intelekt ve své ipseitě nemateriální výkon duše </w:t>
      </w:r>
      <w:r w:rsidR="086341F4" w:rsidRPr="003D1E07">
        <w:rPr>
          <w:szCs w:val="24"/>
        </w:rPr>
        <w:t>(</w:t>
      </w:r>
      <w:r w:rsidR="086341F4" w:rsidRPr="003D1E07">
        <w:rPr>
          <w:i/>
          <w:szCs w:val="24"/>
        </w:rPr>
        <w:t xml:space="preserve">intellectus possibilis </w:t>
      </w:r>
      <w:r w:rsidR="087D5DA5" w:rsidRPr="003D1E07">
        <w:rPr>
          <w:szCs w:val="24"/>
        </w:rPr>
        <w:t>jako</w:t>
      </w:r>
      <w:r w:rsidR="087D5DA5" w:rsidRPr="003D1E07">
        <w:rPr>
          <w:i/>
          <w:szCs w:val="24"/>
        </w:rPr>
        <w:t xml:space="preserve"> </w:t>
      </w:r>
      <w:r w:rsidR="086341F4" w:rsidRPr="003D1E07">
        <w:rPr>
          <w:i/>
          <w:szCs w:val="24"/>
        </w:rPr>
        <w:t>intellectio</w:t>
      </w:r>
      <w:r w:rsidR="086341F4" w:rsidRPr="003D1E07">
        <w:rPr>
          <w:szCs w:val="24"/>
        </w:rPr>
        <w:t>); na druhé straně představuje ve své identitě univerzální pojem a specifické určení jednoty lidstva (</w:t>
      </w:r>
      <w:r w:rsidR="086341F4" w:rsidRPr="003D1E07">
        <w:rPr>
          <w:i/>
          <w:szCs w:val="24"/>
        </w:rPr>
        <w:t xml:space="preserve">intellectus possibilis </w:t>
      </w:r>
      <w:r w:rsidR="087D5DA5" w:rsidRPr="003D1E07">
        <w:rPr>
          <w:szCs w:val="24"/>
        </w:rPr>
        <w:t>jako</w:t>
      </w:r>
      <w:r w:rsidR="087D5DA5" w:rsidRPr="003D1E07">
        <w:rPr>
          <w:i/>
          <w:szCs w:val="24"/>
        </w:rPr>
        <w:t xml:space="preserve"> </w:t>
      </w:r>
      <w:r w:rsidR="086341F4" w:rsidRPr="003D1E07">
        <w:rPr>
          <w:i/>
          <w:szCs w:val="24"/>
        </w:rPr>
        <w:t>intellectum</w:t>
      </w:r>
      <w:r w:rsidR="086341F4" w:rsidRPr="003D1E07">
        <w:rPr>
          <w:szCs w:val="24"/>
        </w:rPr>
        <w:t>).</w:t>
      </w:r>
      <w:r w:rsidR="086341F4" w:rsidRPr="003D1E07">
        <w:t xml:space="preserve"> Synté</w:t>
      </w:r>
      <w:r w:rsidR="08711B90" w:rsidRPr="003D1E07">
        <w:t xml:space="preserve">zu </w:t>
      </w:r>
      <w:r w:rsidR="086341F4" w:rsidRPr="003D1E07">
        <w:t xml:space="preserve">poznaného </w:t>
      </w:r>
      <w:r w:rsidR="08711B90" w:rsidRPr="003D1E07">
        <w:t xml:space="preserve">zajišťují </w:t>
      </w:r>
      <w:r w:rsidR="08711B90" w:rsidRPr="003D1E07">
        <w:rPr>
          <w:i/>
        </w:rPr>
        <w:t>intellectus agens</w:t>
      </w:r>
      <w:r w:rsidR="08711B90" w:rsidRPr="003D1E07">
        <w:t xml:space="preserve"> a </w:t>
      </w:r>
      <w:r w:rsidR="08711B90" w:rsidRPr="003D1E07">
        <w:rPr>
          <w:i/>
        </w:rPr>
        <w:t>speculativus</w:t>
      </w:r>
      <w:r w:rsidR="08711B90" w:rsidRPr="003D1E07">
        <w:t xml:space="preserve"> jako další intelektuální schopnosti duše. </w:t>
      </w:r>
      <w:r w:rsidR="008B12D2" w:rsidRPr="003D1E07">
        <w:lastRenderedPageBreak/>
        <w:t>Neoplatonsk</w:t>
      </w:r>
      <w:r w:rsidR="00C81161" w:rsidRPr="003D1E07">
        <w:t>é ře</w:t>
      </w:r>
      <w:r w:rsidR="08984480" w:rsidRPr="003D1E07">
        <w:t>šení dané od Al-</w:t>
      </w:r>
      <w:r w:rsidR="008E02F5" w:rsidRPr="003D1E07">
        <w:t>Fárábí</w:t>
      </w:r>
      <w:r w:rsidR="08984480" w:rsidRPr="003D1E07">
        <w:t>ho plně neřeší</w:t>
      </w:r>
      <w:r w:rsidR="00C81161" w:rsidRPr="003D1E07">
        <w:t xml:space="preserve"> </w:t>
      </w:r>
      <w:r w:rsidR="08040160" w:rsidRPr="003D1E07">
        <w:t xml:space="preserve">aristotelské </w:t>
      </w:r>
      <w:r w:rsidR="00C81161" w:rsidRPr="003D1E07">
        <w:rPr>
          <w:i/>
        </w:rPr>
        <w:t>proportio</w:t>
      </w:r>
      <w:r w:rsidR="00C81161" w:rsidRPr="003D1E07">
        <w:t xml:space="preserve"> směrem od smy</w:t>
      </w:r>
      <w:r w:rsidR="00D15C9D" w:rsidRPr="003D1E07">
        <w:t>slově založené abstrakce</w:t>
      </w:r>
      <w:r w:rsidR="08FE05A8" w:rsidRPr="003D1E07">
        <w:t xml:space="preserve"> k nemateriálnímu recepti</w:t>
      </w:r>
      <w:r w:rsidR="0828723B" w:rsidRPr="003D1E07">
        <w:t>vnímu intelektu</w:t>
      </w:r>
      <w:r w:rsidR="00D15C9D" w:rsidRPr="003D1E07">
        <w:t xml:space="preserve">. Tuto vazbu </w:t>
      </w:r>
      <w:r w:rsidR="00C81161" w:rsidRPr="003D1E07">
        <w:t xml:space="preserve">měl </w:t>
      </w:r>
      <w:r w:rsidR="00D15C9D" w:rsidRPr="003D1E07">
        <w:t>úspěšně vyřešenou</w:t>
      </w:r>
      <w:r w:rsidR="00C81161" w:rsidRPr="003D1E07">
        <w:t xml:space="preserve"> Alexander, protože měl duši jako materiální substrát</w:t>
      </w:r>
      <w:r w:rsidR="08DF08EF" w:rsidRPr="003D1E07">
        <w:t xml:space="preserve"> pro čistou potenci </w:t>
      </w:r>
      <w:r w:rsidR="006C0216" w:rsidRPr="003D1E07">
        <w:t>intelektu</w:t>
      </w:r>
      <w:r w:rsidR="00651399" w:rsidRPr="003D1E07">
        <w:t xml:space="preserve">. </w:t>
      </w:r>
      <w:r w:rsidR="08D2785C" w:rsidRPr="003D1E07">
        <w:t>Ale aby Alexandrův možný intelekt mohl fungovat v</w:t>
      </w:r>
      <w:r w:rsidR="08D51B6B" w:rsidRPr="003D1E07">
        <w:t xml:space="preserve"> osobní </w:t>
      </w:r>
      <w:r w:rsidR="08D2785C" w:rsidRPr="003D1E07">
        <w:t xml:space="preserve">duši a nebyl oddělenou kosmickou hypostází, musel přijat vlastnosti Themistiova materiálního intelektu. </w:t>
      </w:r>
      <w:r w:rsidR="087C6C44" w:rsidRPr="003D1E07">
        <w:t>O</w:t>
      </w:r>
      <w:r w:rsidR="00414629" w:rsidRPr="003D1E07">
        <w:t xml:space="preserve">riginální krok </w:t>
      </w:r>
      <w:r w:rsidR="087C6C44" w:rsidRPr="003D1E07">
        <w:t xml:space="preserve">CMDA </w:t>
      </w:r>
      <w:r w:rsidR="081F7FB2" w:rsidRPr="003D1E07">
        <w:t>(</w:t>
      </w:r>
      <w:r w:rsidR="081F7FB2" w:rsidRPr="003D1E07">
        <w:rPr>
          <w:rStyle w:val="CittHTML"/>
          <w:iCs w:val="0"/>
        </w:rPr>
        <w:t>secundum enim nostram opinionem</w:t>
      </w:r>
      <w:r w:rsidR="081F7FB2" w:rsidRPr="003D1E07">
        <w:t xml:space="preserve">) </w:t>
      </w:r>
      <w:r w:rsidR="00414629" w:rsidRPr="003D1E07">
        <w:t xml:space="preserve">ukazuje </w:t>
      </w:r>
      <w:r w:rsidR="00E53DF9" w:rsidRPr="003D1E07">
        <w:t>výslednou syntézu poznání v čase a v</w:t>
      </w:r>
      <w:r w:rsidR="00B95800" w:rsidRPr="003D1E07">
        <w:t xml:space="preserve"> osobě </w:t>
      </w:r>
      <w:r w:rsidR="00414629" w:rsidRPr="003D1E07">
        <w:t xml:space="preserve">díky nové </w:t>
      </w:r>
      <w:r w:rsidR="00E53DF9" w:rsidRPr="003D1E07">
        <w:t>pred</w:t>
      </w:r>
      <w:r w:rsidR="00414629" w:rsidRPr="003D1E07">
        <w:t>ikaci</w:t>
      </w:r>
      <w:r w:rsidR="00E53DF9" w:rsidRPr="003D1E07">
        <w:t xml:space="preserve"> </w:t>
      </w:r>
      <w:r w:rsidR="00E53DF9" w:rsidRPr="003D1E07">
        <w:rPr>
          <w:i/>
        </w:rPr>
        <w:t>per prius</w:t>
      </w:r>
      <w:r w:rsidR="00E53DF9" w:rsidRPr="003D1E07">
        <w:t xml:space="preserve"> pro intelekt</w:t>
      </w:r>
      <w:r w:rsidR="00414629" w:rsidRPr="003D1E07">
        <w:t>uální poznání</w:t>
      </w:r>
      <w:r w:rsidR="00E53DF9" w:rsidRPr="003D1E07">
        <w:t xml:space="preserve">. </w:t>
      </w:r>
      <w:r w:rsidR="085F7A18" w:rsidRPr="003D1E07">
        <w:t xml:space="preserve">Nový syntetický intelekt je proti předešlé tradici postaven na základě nové četby </w:t>
      </w:r>
      <w:r w:rsidR="085F7A18" w:rsidRPr="003D1E07">
        <w:rPr>
          <w:i/>
        </w:rPr>
        <w:t>De anima</w:t>
      </w:r>
      <w:r w:rsidR="085F7A18" w:rsidRPr="003D1E07">
        <w:t xml:space="preserve"> 430a20–25</w:t>
      </w:r>
      <w:r w:rsidR="085F7A18" w:rsidRPr="003D1E07">
        <w:rPr>
          <w:i/>
        </w:rPr>
        <w:fldChar w:fldCharType="begin"/>
      </w:r>
      <w:r w:rsidR="085F7A18" w:rsidRPr="003D1E07">
        <w:instrText xml:space="preserve"> XE "Aristoteles:</w:instrText>
      </w:r>
      <w:r w:rsidR="085F7A18" w:rsidRPr="003D1E07">
        <w:rPr>
          <w:i/>
        </w:rPr>
        <w:instrText>De anima</w:instrText>
      </w:r>
      <w:r w:rsidR="085F7A18" w:rsidRPr="003D1E07">
        <w:instrText xml:space="preserve"> 430a20–25" </w:instrText>
      </w:r>
      <w:r w:rsidR="085F7A18" w:rsidRPr="003D1E07">
        <w:rPr>
          <w:i/>
        </w:rPr>
        <w:fldChar w:fldCharType="end"/>
      </w:r>
      <w:r w:rsidR="085F7A18" w:rsidRPr="003D1E07">
        <w:t xml:space="preserve"> jako </w:t>
      </w:r>
      <w:r w:rsidR="085F7A18" w:rsidRPr="003D1E07">
        <w:rPr>
          <w:i/>
        </w:rPr>
        <w:t xml:space="preserve">tertium </w:t>
      </w:r>
      <w:r w:rsidR="00636BD4" w:rsidRPr="003D1E07">
        <w:rPr>
          <w:i/>
        </w:rPr>
        <w:t>genus</w:t>
      </w:r>
      <w:r w:rsidR="085F7A18" w:rsidRPr="003D1E07">
        <w:rPr>
          <w:i/>
        </w:rPr>
        <w:t xml:space="preserve"> </w:t>
      </w:r>
      <w:r w:rsidR="085F7A18" w:rsidRPr="003D1E07">
        <w:t xml:space="preserve">jednoho a téhož materiálního intelektu daného jako schopnost </w:t>
      </w:r>
      <w:r w:rsidR="00D239B1" w:rsidRPr="003D1E07">
        <w:t xml:space="preserve">existujícího </w:t>
      </w:r>
      <w:r w:rsidR="085F7A18" w:rsidRPr="003D1E07">
        <w:t xml:space="preserve">člověka. Tentokrát je ovšem zdůrazněna po vzoru Themistia receptivní </w:t>
      </w:r>
      <w:r w:rsidR="00881731" w:rsidRPr="003D1E07">
        <w:t xml:space="preserve">a empirická </w:t>
      </w:r>
      <w:r w:rsidR="085F7A18" w:rsidRPr="003D1E07">
        <w:t xml:space="preserve">povaha tohoto intelektu, který nemůže být substančně oddělen od smyslové a materiální složky duše. </w:t>
      </w:r>
      <w:r w:rsidR="08D776B7" w:rsidRPr="003D1E07">
        <w:t xml:space="preserve">Fenomenologická </w:t>
      </w:r>
      <w:r w:rsidR="085F7A18" w:rsidRPr="003D1E07">
        <w:t xml:space="preserve">četba </w:t>
      </w:r>
      <w:r w:rsidR="085F7A18" w:rsidRPr="003D1E07">
        <w:rPr>
          <w:i/>
        </w:rPr>
        <w:t>De anima</w:t>
      </w:r>
      <w:r w:rsidR="085F7A18" w:rsidRPr="003D1E07">
        <w:t xml:space="preserve"> </w:t>
      </w:r>
      <w:r w:rsidR="08D776B7" w:rsidRPr="003D1E07">
        <w:t>sleduje existenciální výkon poznání</w:t>
      </w:r>
      <w:r w:rsidR="08FE7346" w:rsidRPr="003D1E07">
        <w:t xml:space="preserve"> (</w:t>
      </w:r>
      <w:r w:rsidR="08FE7346" w:rsidRPr="003D1E07">
        <w:rPr>
          <w:i/>
        </w:rPr>
        <w:t>intelligentia agens</w:t>
      </w:r>
      <w:r w:rsidR="002F5B82" w:rsidRPr="003D1E07">
        <w:t>)</w:t>
      </w:r>
      <w:r w:rsidR="08D776B7" w:rsidRPr="003D1E07">
        <w:t xml:space="preserve">. Výklad definuje </w:t>
      </w:r>
      <w:r w:rsidR="085F7A18" w:rsidRPr="003D1E07">
        <w:t>pasivní intelekt skrze výk</w:t>
      </w:r>
      <w:r w:rsidR="08FE7346" w:rsidRPr="003D1E07">
        <w:t xml:space="preserve">on </w:t>
      </w:r>
      <w:r w:rsidR="00453B3A" w:rsidRPr="003D1E07">
        <w:t xml:space="preserve">aktuálního </w:t>
      </w:r>
      <w:r w:rsidR="08FE7346" w:rsidRPr="003D1E07">
        <w:t>myšlení osoby</w:t>
      </w:r>
      <w:r w:rsidR="085F7A18" w:rsidRPr="003D1E07">
        <w:t>.</w:t>
      </w:r>
    </w:p>
    <w:p w14:paraId="26CEE451" w14:textId="77777777" w:rsidR="085F7A18" w:rsidRPr="003D1E07" w:rsidRDefault="085F7A18" w:rsidP="085F7A18">
      <w:pPr>
        <w:pStyle w:val="Citace"/>
        <w:rPr>
          <w:szCs w:val="27"/>
          <w:shd w:val="clear" w:color="auto" w:fill="FFFFFF"/>
          <w:lang w:val="cs-CZ"/>
        </w:rPr>
      </w:pPr>
      <w:r w:rsidRPr="003D1E07">
        <w:rPr>
          <w:rStyle w:val="Zkladntext158dkovn0pt"/>
          <w:spacing w:val="0"/>
          <w:sz w:val="22"/>
          <w:lang w:val="cs-CZ"/>
        </w:rPr>
        <w:t xml:space="preserve">„Aristoteles nejprve vyložil povahu intelektu, který je v potenci a který je v aktu, a podal rozdíl mezi tímto intelektem a schopností představivosti. Pak začal vysvětlovat, že je třeba třetí druh intelektu </w:t>
      </w:r>
      <w:r w:rsidRPr="003D1E07">
        <w:rPr>
          <w:lang w:val="cs-CZ"/>
        </w:rPr>
        <w:t>(</w:t>
      </w:r>
      <w:r w:rsidRPr="003D1E07">
        <w:rPr>
          <w:rStyle w:val="Zkladntext158dkovn0pt"/>
          <w:i/>
          <w:spacing w:val="0"/>
          <w:sz w:val="22"/>
          <w:lang w:val="cs-CZ"/>
        </w:rPr>
        <w:t xml:space="preserve">necesse est tertium </w:t>
      </w:r>
      <w:r w:rsidR="00636BD4" w:rsidRPr="006459C2">
        <w:rPr>
          <w:rStyle w:val="Zkladntext158dkovn0pt"/>
          <w:i/>
          <w:spacing w:val="0"/>
          <w:sz w:val="22"/>
          <w:lang w:val="cs-CZ"/>
        </w:rPr>
        <w:t>genus</w:t>
      </w:r>
      <w:r w:rsidRPr="003D1E07">
        <w:rPr>
          <w:rStyle w:val="Zkladntext158dkovn0pt"/>
          <w:i/>
          <w:spacing w:val="0"/>
          <w:sz w:val="22"/>
          <w:lang w:val="cs-CZ"/>
        </w:rPr>
        <w:t xml:space="preserve"> intellectus esse</w:t>
      </w:r>
      <w:r w:rsidRPr="003D1E07">
        <w:rPr>
          <w:lang w:val="cs-CZ"/>
        </w:rPr>
        <w:t>), totiž aktivní schopnost porozumění, která převede intelekt daný v potenci na intelekt daný v aktu (</w:t>
      </w:r>
      <w:r w:rsidRPr="003D1E07">
        <w:rPr>
          <w:rStyle w:val="Zkladntext158dkovn0pt"/>
          <w:i/>
          <w:spacing w:val="0"/>
          <w:sz w:val="22"/>
          <w:lang w:val="cs-CZ"/>
        </w:rPr>
        <w:t>intelligentia agens, que facit intellectum qui est in potentia esse intellectum in actu</w:t>
      </w:r>
      <w:r w:rsidRPr="003D1E07">
        <w:rPr>
          <w:lang w:val="cs-CZ"/>
        </w:rPr>
        <w:t>).“</w:t>
      </w:r>
      <w:r w:rsidRPr="003D1E07">
        <w:rPr>
          <w:rStyle w:val="Zkladntext158dkovn0pt"/>
          <w:spacing w:val="0"/>
          <w:sz w:val="22"/>
          <w:lang w:val="cs-CZ"/>
        </w:rPr>
        <w:t> </w:t>
      </w:r>
      <w:r w:rsidRPr="003D1E07">
        <w:rPr>
          <w:rStyle w:val="Znakapoznpodarou"/>
          <w:lang w:val="cs-CZ"/>
        </w:rPr>
        <w:footnoteReference w:id="266"/>
      </w:r>
    </w:p>
    <w:p w14:paraId="6A19BD2F" w14:textId="59CAC984" w:rsidR="00565814" w:rsidRPr="003D1E07" w:rsidRDefault="085F7A18" w:rsidP="00565814">
      <w:r w:rsidRPr="003D1E07">
        <w:t xml:space="preserve">Proces aktualizace ukazuje intelekt jako </w:t>
      </w:r>
      <w:r w:rsidRPr="003D1E07">
        <w:rPr>
          <w:i/>
        </w:rPr>
        <w:t xml:space="preserve">tertium </w:t>
      </w:r>
      <w:r w:rsidR="00636BD4" w:rsidRPr="003D1E07">
        <w:rPr>
          <w:i/>
        </w:rPr>
        <w:t>genus</w:t>
      </w:r>
      <w:r w:rsidRPr="003D1E07">
        <w:rPr>
          <w:i/>
        </w:rPr>
        <w:fldChar w:fldCharType="begin"/>
      </w:r>
      <w:r w:rsidRPr="003D1E07">
        <w:rPr>
          <w:i/>
        </w:rPr>
        <w:instrText xml:space="preserve"> XE "tertium genus" </w:instrText>
      </w:r>
      <w:r w:rsidRPr="003D1E07">
        <w:rPr>
          <w:i/>
        </w:rPr>
        <w:fldChar w:fldCharType="end"/>
      </w:r>
      <w:r w:rsidRPr="003D1E07">
        <w:t xml:space="preserve"> daný </w:t>
      </w:r>
      <w:r w:rsidR="00E24235" w:rsidRPr="003D1E07">
        <w:t xml:space="preserve">skrze </w:t>
      </w:r>
      <w:r w:rsidR="0872021E" w:rsidRPr="003D1E07">
        <w:t>poznání</w:t>
      </w:r>
      <w:r w:rsidR="08BC2B2C" w:rsidRPr="003D1E07">
        <w:t xml:space="preserve"> osoby</w:t>
      </w:r>
      <w:r w:rsidR="00C92352">
        <w:t xml:space="preserve">. Impozice intelektu je založena na </w:t>
      </w:r>
      <w:r w:rsidR="0872021E" w:rsidRPr="003D1E07">
        <w:t>existenciální</w:t>
      </w:r>
      <w:r w:rsidR="00C92352">
        <w:t>m</w:t>
      </w:r>
      <w:r w:rsidR="0872021E" w:rsidRPr="003D1E07">
        <w:t xml:space="preserve"> výkon</w:t>
      </w:r>
      <w:r w:rsidR="00C92352">
        <w:t>u</w:t>
      </w:r>
      <w:r w:rsidR="0872021E" w:rsidRPr="003D1E07">
        <w:t xml:space="preserve"> porozumění </w:t>
      </w:r>
      <w:r w:rsidR="00030F48">
        <w:t xml:space="preserve">daném </w:t>
      </w:r>
      <w:r w:rsidR="0872021E" w:rsidRPr="003D1E07">
        <w:t xml:space="preserve">v čase </w:t>
      </w:r>
      <w:r w:rsidRPr="003D1E07">
        <w:t>(κατὰ δύναμιν χρόνῳ προτέρα ἐν τῷ ἑνί, 430a21</w:t>
      </w:r>
      <w:r w:rsidRPr="003D1E07">
        <w:fldChar w:fldCharType="begin"/>
      </w:r>
      <w:r w:rsidRPr="003D1E07">
        <w:instrText xml:space="preserve"> XE "Aristoteles:</w:instrText>
      </w:r>
      <w:r w:rsidRPr="003D1E07">
        <w:rPr>
          <w:i/>
        </w:rPr>
        <w:instrText>De anima</w:instrText>
      </w:r>
      <w:r w:rsidRPr="003D1E07">
        <w:instrText xml:space="preserve"> 430a21" </w:instrText>
      </w:r>
      <w:r w:rsidRPr="003D1E07">
        <w:fldChar w:fldCharType="end"/>
      </w:r>
      <w:r w:rsidRPr="003D1E07">
        <w:t xml:space="preserve">). Tento singulární </w:t>
      </w:r>
      <w:r w:rsidRPr="003D1E07">
        <w:rPr>
          <w:i/>
        </w:rPr>
        <w:t>intellectus possibilis</w:t>
      </w:r>
      <w:r w:rsidRPr="003D1E07">
        <w:t xml:space="preserve"> je vlastností osoby (</w:t>
      </w:r>
      <w:r w:rsidRPr="003D1E07">
        <w:rPr>
          <w:i/>
        </w:rPr>
        <w:t>secundum quod accipitur in respectu individui</w:t>
      </w:r>
      <w:r w:rsidRPr="003D1E07">
        <w:t>, CMDA III.20; 449.158</w:t>
      </w:r>
      <w:r w:rsidRPr="003D1E07">
        <w:rPr>
          <w:i/>
        </w:rPr>
        <w:fldChar w:fldCharType="begin"/>
      </w:r>
      <w:r w:rsidRPr="003D1E07">
        <w:instrText xml:space="preserve"> XE "Averroes:CMDA 449.158" </w:instrText>
      </w:r>
      <w:r w:rsidRPr="003D1E07">
        <w:rPr>
          <w:i/>
        </w:rPr>
        <w:fldChar w:fldCharType="end"/>
      </w:r>
      <w:r w:rsidRPr="003D1E07">
        <w:t xml:space="preserve">). Jeho aktivita je dána v existenciálním procesu poznání. </w:t>
      </w:r>
      <w:r w:rsidR="086C6C9C" w:rsidRPr="003D1E07">
        <w:t>Díky Themistiově materiálnímu intelektu se Alexandrův oddělený možný inte</w:t>
      </w:r>
      <w:r w:rsidR="0843033A" w:rsidRPr="003D1E07">
        <w:t>le</w:t>
      </w:r>
      <w:r w:rsidR="086C6C9C" w:rsidRPr="003D1E07">
        <w:t>kt stal existenciálním výkonem osoby (</w:t>
      </w:r>
      <w:r w:rsidR="086C6C9C" w:rsidRPr="003D1E07">
        <w:rPr>
          <w:i/>
        </w:rPr>
        <w:t>intelligentia agens</w:t>
      </w:r>
      <w:r w:rsidR="086C6C9C" w:rsidRPr="003D1E07">
        <w:t>)</w:t>
      </w:r>
      <w:r w:rsidR="08B6586B" w:rsidRPr="003D1E07">
        <w:t xml:space="preserve">. </w:t>
      </w:r>
      <w:r w:rsidRPr="003D1E07">
        <w:t xml:space="preserve">Tento aristotelský </w:t>
      </w:r>
      <w:r w:rsidRPr="003D1E07">
        <w:rPr>
          <w:i/>
        </w:rPr>
        <w:t>intellectus possibilis</w:t>
      </w:r>
      <w:r w:rsidRPr="003D1E07">
        <w:t xml:space="preserve"> tvoří individuální přechod od potenciality </w:t>
      </w:r>
      <w:r w:rsidR="08F949B3" w:rsidRPr="003D1E07">
        <w:t xml:space="preserve">poznání k poznaným </w:t>
      </w:r>
      <w:r w:rsidRPr="003D1E07">
        <w:t>for</w:t>
      </w:r>
      <w:r w:rsidR="08F949B3" w:rsidRPr="003D1E07">
        <w:t>mám. Jejich potence je dána</w:t>
      </w:r>
      <w:r w:rsidRPr="003D1E07">
        <w:t xml:space="preserve"> v materiálních věcech </w:t>
      </w:r>
      <w:r w:rsidR="08F949B3" w:rsidRPr="003D1E07">
        <w:t>vnímaných smysly. Pak jsou tyto pouze potenciální formy uchopeny jako nemat</w:t>
      </w:r>
      <w:r w:rsidR="08B6586B" w:rsidRPr="003D1E07">
        <w:t>e</w:t>
      </w:r>
      <w:r w:rsidR="08F949B3" w:rsidRPr="003D1E07">
        <w:t>riální intencionální obsahy v receptivním intelektu. Tyto nemateriální intencionální obsahy jsou nakonec syntetizovány do výsledného intelektuálního poznatku s</w:t>
      </w:r>
      <w:r w:rsidRPr="003D1E07">
        <w:t xml:space="preserve">krze interní </w:t>
      </w:r>
      <w:r w:rsidRPr="003D1E07">
        <w:rPr>
          <w:i/>
        </w:rPr>
        <w:t>intellectus agens</w:t>
      </w:r>
      <w:r w:rsidRPr="003D1E07">
        <w:rPr>
          <w:i/>
        </w:rPr>
        <w:fldChar w:fldCharType="begin"/>
      </w:r>
      <w:r w:rsidRPr="003D1E07">
        <w:instrText xml:space="preserve"> XE "</w:instrText>
      </w:r>
      <w:r w:rsidRPr="003D1E07">
        <w:rPr>
          <w:i/>
        </w:rPr>
        <w:instrText>intellectus agens</w:instrText>
      </w:r>
      <w:r w:rsidRPr="003D1E07">
        <w:instrText xml:space="preserve">:Averroes" </w:instrText>
      </w:r>
      <w:r w:rsidRPr="003D1E07">
        <w:rPr>
          <w:i/>
        </w:rPr>
        <w:fldChar w:fldCharType="end"/>
      </w:r>
      <w:r w:rsidR="08F949B3" w:rsidRPr="003D1E07">
        <w:t xml:space="preserve">. Tato schopnost syntézy </w:t>
      </w:r>
      <w:r w:rsidR="08F949B3" w:rsidRPr="003D1E07">
        <w:lastRenderedPageBreak/>
        <w:t xml:space="preserve">tvoří </w:t>
      </w:r>
      <w:r w:rsidRPr="003D1E07">
        <w:t>d</w:t>
      </w:r>
      <w:r w:rsidR="08B6586B" w:rsidRPr="003D1E07">
        <w:t xml:space="preserve">alší schopnost jedné a </w:t>
      </w:r>
      <w:r w:rsidRPr="003D1E07">
        <w:t>téže poznávající duše. Klíčovou jednotu obou schopností duše jako formy entelechicky činné v rámci hylemorfické substance</w:t>
      </w:r>
      <w:r w:rsidRPr="003D1E07">
        <w:fldChar w:fldCharType="begin"/>
      </w:r>
      <w:r w:rsidRPr="003D1E07">
        <w:instrText xml:space="preserve"> XE "substance:hylemorfická" </w:instrText>
      </w:r>
      <w:r w:rsidRPr="003D1E07">
        <w:fldChar w:fldCharType="end"/>
      </w:r>
      <w:r w:rsidRPr="003D1E07">
        <w:t xml:space="preserve"> již předtím potvrdila </w:t>
      </w:r>
      <w:r w:rsidRPr="003D1E07">
        <w:rPr>
          <w:i/>
        </w:rPr>
        <w:t>De anima</w:t>
      </w:r>
      <w:r w:rsidRPr="003D1E07">
        <w:t xml:space="preserve"> 430a14–15</w:t>
      </w:r>
      <w:r w:rsidRPr="003D1E07">
        <w:rPr>
          <w:i/>
        </w:rPr>
        <w:fldChar w:fldCharType="begin"/>
      </w:r>
      <w:r w:rsidRPr="003D1E07">
        <w:instrText xml:space="preserve"> XE "Aristoteles:</w:instrText>
      </w:r>
      <w:r w:rsidRPr="003D1E07">
        <w:rPr>
          <w:i/>
        </w:rPr>
        <w:instrText>De anima</w:instrText>
      </w:r>
      <w:r w:rsidRPr="003D1E07">
        <w:instrText xml:space="preserve"> 430a14–15" </w:instrText>
      </w:r>
      <w:r w:rsidRPr="003D1E07">
        <w:rPr>
          <w:i/>
        </w:rPr>
        <w:fldChar w:fldCharType="end"/>
      </w:r>
      <w:r w:rsidRPr="003D1E07">
        <w:t xml:space="preserve">. Kopula </w:t>
      </w:r>
      <w:r w:rsidRPr="003D1E07">
        <w:rPr>
          <w:i/>
        </w:rPr>
        <w:t>est</w:t>
      </w:r>
      <w:r w:rsidRPr="003D1E07">
        <w:t xml:space="preserve"> predikovaná vzhledem k materiálnímu intelektu plně vyjadřuje (</w:t>
      </w:r>
      <w:r w:rsidRPr="003D1E07">
        <w:rPr>
          <w:i/>
        </w:rPr>
        <w:t>propinquissime dictum</w:t>
      </w:r>
      <w:r w:rsidRPr="003D1E07">
        <w:t xml:space="preserve">) materiální intelekt chápaný </w:t>
      </w:r>
      <w:r w:rsidRPr="003D1E07">
        <w:rPr>
          <w:i/>
        </w:rPr>
        <w:t>simpliciter</w:t>
      </w:r>
      <w:r w:rsidRPr="003D1E07">
        <w:t xml:space="preserve"> v rámci čtvrtého rodu daný jako čistá univerzálie (</w:t>
      </w:r>
      <w:r w:rsidRPr="003D1E07">
        <w:rPr>
          <w:i/>
        </w:rPr>
        <w:t>non in respectu individui</w:t>
      </w:r>
      <w:r w:rsidRPr="003D1E07">
        <w:t>), jehož aktualizace je originálně dána v rámci třetího druhu aktuálním výkonem abstrakce od smyslů k intelektu (</w:t>
      </w:r>
      <w:r w:rsidRPr="003D1E07">
        <w:rPr>
          <w:i/>
        </w:rPr>
        <w:t>in respectu formarum ymaginationis existentium in unoquoque individuo</w:t>
      </w:r>
      <w:r w:rsidRPr="003D1E07">
        <w:t>, CMDA III.5; 448.134–139</w:t>
      </w:r>
      <w:r w:rsidRPr="003D1E07">
        <w:rPr>
          <w:i/>
        </w:rPr>
        <w:fldChar w:fldCharType="begin"/>
      </w:r>
      <w:r w:rsidRPr="003D1E07">
        <w:instrText xml:space="preserve"> XE "Averroes:CMDA 448.134–139" </w:instrText>
      </w:r>
      <w:r w:rsidRPr="003D1E07">
        <w:rPr>
          <w:i/>
        </w:rPr>
        <w:fldChar w:fldCharType="end"/>
      </w:r>
      <w:r w:rsidRPr="003D1E07">
        <w:t xml:space="preserve">). Predikace </w:t>
      </w:r>
      <w:r w:rsidRPr="003D1E07">
        <w:rPr>
          <w:i/>
        </w:rPr>
        <w:t>per prius</w:t>
      </w:r>
      <w:r w:rsidR="004800C2" w:rsidRPr="003D1E07">
        <w:t xml:space="preserve"> pro tento pasivní a a</w:t>
      </w:r>
      <w:r w:rsidRPr="003D1E07">
        <w:t xml:space="preserve">ktivní intelekt třetího rodu zachycuje reálný průběh poznání </w:t>
      </w:r>
      <w:r w:rsidR="004800C2" w:rsidRPr="003D1E07">
        <w:t xml:space="preserve">skrze </w:t>
      </w:r>
      <w:r w:rsidRPr="003D1E07">
        <w:t>hyparchic</w:t>
      </w:r>
      <w:r w:rsidR="004800C2" w:rsidRPr="003D1E07">
        <w:t>ké postavení první substance</w:t>
      </w:r>
      <w:r w:rsidRPr="003D1E07">
        <w:t xml:space="preserve">. Receptivní intelekt jako </w:t>
      </w:r>
      <w:r w:rsidR="00F214C5" w:rsidRPr="003D1E07">
        <w:t>species</w:t>
      </w:r>
      <w:r w:rsidRPr="003D1E07">
        <w:t xml:space="preserve"> je v rámci hyparchické predikace více </w:t>
      </w:r>
      <w:r w:rsidR="00A44C0E">
        <w:t xml:space="preserve">druhou </w:t>
      </w:r>
      <w:r w:rsidRPr="003D1E07">
        <w:t>substancí než rod, protože má blíže k tělesné osobě (</w:t>
      </w:r>
      <w:r w:rsidRPr="003D1E07">
        <w:rPr>
          <w:i/>
        </w:rPr>
        <w:t>Cat</w:t>
      </w:r>
      <w:r w:rsidRPr="003D1E07">
        <w:t>. 2b7–8</w:t>
      </w:r>
      <w:r w:rsidRPr="003D1E07">
        <w:rPr>
          <w:i/>
        </w:rPr>
        <w:fldChar w:fldCharType="begin"/>
      </w:r>
      <w:r w:rsidRPr="003D1E07">
        <w:instrText xml:space="preserve"> XE "Aristoteles:</w:instrText>
      </w:r>
      <w:r w:rsidRPr="003D1E07">
        <w:rPr>
          <w:i/>
        </w:rPr>
        <w:instrText>Cat</w:instrText>
      </w:r>
      <w:r w:rsidRPr="003D1E07">
        <w:instrText xml:space="preserve">. 2b7–8" </w:instrText>
      </w:r>
      <w:r w:rsidRPr="003D1E07">
        <w:rPr>
          <w:i/>
        </w:rPr>
        <w:fldChar w:fldCharType="end"/>
      </w:r>
      <w:r w:rsidRPr="003D1E07">
        <w:t xml:space="preserve">). Tato forma ipseity intelektu angažovaného v aktuálním výkonu poznání se liší od předešlé predikace </w:t>
      </w:r>
      <w:r w:rsidRPr="003D1E07">
        <w:rPr>
          <w:i/>
        </w:rPr>
        <w:t>per prius</w:t>
      </w:r>
      <w:r w:rsidRPr="003D1E07">
        <w:t xml:space="preserve"> dané pouze v rámci </w:t>
      </w:r>
      <w:r w:rsidR="00A81D60">
        <w:t xml:space="preserve">supoziční predikace </w:t>
      </w:r>
      <w:r w:rsidRPr="003D1E07">
        <w:t xml:space="preserve">univerzálií. </w:t>
      </w:r>
      <w:r w:rsidR="002E3B62" w:rsidRPr="003D1E07">
        <w:t>Averroes</w:t>
      </w:r>
      <w:r w:rsidR="08190353" w:rsidRPr="003D1E07">
        <w:t xml:space="preserve"> provádí </w:t>
      </w:r>
      <w:r w:rsidR="00A81D60">
        <w:t>geniální</w:t>
      </w:r>
      <w:r w:rsidR="087737E1" w:rsidRPr="003D1E07">
        <w:t xml:space="preserve"> </w:t>
      </w:r>
      <w:r w:rsidR="08190353" w:rsidRPr="003D1E07">
        <w:t xml:space="preserve">exegezi pasáže </w:t>
      </w:r>
      <w:r w:rsidR="00B713C5" w:rsidRPr="003D1E07">
        <w:rPr>
          <w:i/>
        </w:rPr>
        <w:t>De anima</w:t>
      </w:r>
      <w:r w:rsidR="00565814" w:rsidRPr="003D1E07">
        <w:t xml:space="preserve"> 430a20–25</w:t>
      </w:r>
      <w:r w:rsidR="000333B8" w:rsidRPr="003D1E07">
        <w:rPr>
          <w:i/>
        </w:rPr>
        <w:fldChar w:fldCharType="begin"/>
      </w:r>
      <w:r w:rsidR="000333B8" w:rsidRPr="003D1E07">
        <w:instrText xml:space="preserve"> XE "</w:instrText>
      </w:r>
      <w:r w:rsidR="008E02F5" w:rsidRPr="003D1E07">
        <w:instrText>Aristoteles</w:instrText>
      </w:r>
      <w:r w:rsidR="000333B8" w:rsidRPr="003D1E07">
        <w:instrText>:</w:instrText>
      </w:r>
      <w:r w:rsidR="000333B8" w:rsidRPr="003D1E07">
        <w:rPr>
          <w:i/>
        </w:rPr>
        <w:instrText>De anima</w:instrText>
      </w:r>
      <w:r w:rsidR="000333B8" w:rsidRPr="003D1E07">
        <w:instrText xml:space="preserve"> 430a20–25" </w:instrText>
      </w:r>
      <w:r w:rsidR="000333B8" w:rsidRPr="003D1E07">
        <w:rPr>
          <w:i/>
        </w:rPr>
        <w:fldChar w:fldCharType="end"/>
      </w:r>
      <w:r w:rsidR="00396946" w:rsidRPr="003D1E07">
        <w:t>, v níž odlišil</w:t>
      </w:r>
      <w:r w:rsidR="002820EB" w:rsidRPr="003D1E07">
        <w:t xml:space="preserve"> oba druhy intelektu</w:t>
      </w:r>
      <w:r w:rsidR="00396946" w:rsidRPr="003D1E07">
        <w:t xml:space="preserve"> přesně podle výkladu spisu </w:t>
      </w:r>
      <w:r w:rsidR="00396946" w:rsidRPr="003D1E07">
        <w:rPr>
          <w:i/>
        </w:rPr>
        <w:t>Kategorie</w:t>
      </w:r>
      <w:r w:rsidR="004271C5">
        <w:t xml:space="preserve"> a podle aristotelské „meta-fyziky“.</w:t>
      </w:r>
      <w:r w:rsidR="00903C5A" w:rsidRPr="003D1E07">
        <w:t xml:space="preserve"> Nyní může doslova citovat originál </w:t>
      </w:r>
      <w:r w:rsidR="00903C5A" w:rsidRPr="003D1E07">
        <w:rPr>
          <w:i/>
        </w:rPr>
        <w:t>De anima</w:t>
      </w:r>
      <w:r w:rsidR="0005259D" w:rsidRPr="003D1E07">
        <w:t xml:space="preserve"> 430a20–25 </w:t>
      </w:r>
      <w:r w:rsidR="00903C5A" w:rsidRPr="003D1E07">
        <w:t>v epochálně novém výkladu</w:t>
      </w:r>
      <w:r w:rsidR="081704A3" w:rsidRPr="003D1E07">
        <w:t xml:space="preserve"> </w:t>
      </w:r>
      <w:r w:rsidR="088B14CF" w:rsidRPr="003D1E07">
        <w:t xml:space="preserve">intelektu </w:t>
      </w:r>
      <w:r w:rsidR="081704A3" w:rsidRPr="003D1E07">
        <w:t>spojující</w:t>
      </w:r>
      <w:r w:rsidR="088B14CF" w:rsidRPr="003D1E07">
        <w:t xml:space="preserve">ho oba modely </w:t>
      </w:r>
      <w:r w:rsidR="081704A3" w:rsidRPr="003D1E07">
        <w:t>Themistia a Alexandra</w:t>
      </w:r>
      <w:r w:rsidR="088F69F6" w:rsidRPr="003D1E07">
        <w:t xml:space="preserve"> v modu existenciální</w:t>
      </w:r>
      <w:r w:rsidR="088B14CF" w:rsidRPr="003D1E07">
        <w:t>ho výkonu poroz</w:t>
      </w:r>
      <w:r w:rsidR="088F69F6" w:rsidRPr="003D1E07">
        <w:t>umění (</w:t>
      </w:r>
      <w:r w:rsidR="088F69F6" w:rsidRPr="003D1E07">
        <w:rPr>
          <w:i/>
        </w:rPr>
        <w:t xml:space="preserve">tertium </w:t>
      </w:r>
      <w:r w:rsidR="00636BD4" w:rsidRPr="006459C2">
        <w:rPr>
          <w:i/>
        </w:rPr>
        <w:t>genus</w:t>
      </w:r>
      <w:r w:rsidR="088F69F6" w:rsidRPr="003D1E07">
        <w:t>)</w:t>
      </w:r>
      <w:r w:rsidR="00903C5A" w:rsidRPr="003D1E07">
        <w:t>.</w:t>
      </w:r>
      <w:r w:rsidR="088F69F6" w:rsidRPr="003D1E07">
        <w:t xml:space="preserve"> Alexandrův hypostázovaný </w:t>
      </w:r>
      <w:r w:rsidR="088F69F6" w:rsidRPr="003D1E07">
        <w:rPr>
          <w:i/>
        </w:rPr>
        <w:t>intellectus possibilis</w:t>
      </w:r>
      <w:r w:rsidR="088F69F6" w:rsidRPr="003D1E07">
        <w:t xml:space="preserve"> se nyní stal pouhým abstraktním konceptem zajišťujícím jednotu myšlených pojmů (</w:t>
      </w:r>
      <w:r w:rsidR="088F69F6" w:rsidRPr="003D1E07">
        <w:rPr>
          <w:i/>
        </w:rPr>
        <w:t xml:space="preserve">quartum </w:t>
      </w:r>
      <w:r w:rsidR="00636BD4" w:rsidRPr="006459C2">
        <w:rPr>
          <w:i/>
        </w:rPr>
        <w:t>genus</w:t>
      </w:r>
      <w:r w:rsidR="088F69F6" w:rsidRPr="003D1E07">
        <w:t>).</w:t>
      </w:r>
    </w:p>
    <w:p w14:paraId="787B9208" w14:textId="39934E38" w:rsidR="002820EB" w:rsidRPr="003D1E07" w:rsidRDefault="00693246" w:rsidP="08AD78AD">
      <w:pPr>
        <w:pStyle w:val="Citace"/>
        <w:rPr>
          <w:noProof/>
          <w:lang w:val="cs-CZ"/>
        </w:rPr>
      </w:pPr>
      <w:r w:rsidRPr="003D1E07">
        <w:rPr>
          <w:noProof/>
          <w:lang w:val="cs-CZ"/>
        </w:rPr>
        <w:t>„</w:t>
      </w:r>
      <w:r w:rsidR="002820EB" w:rsidRPr="003D1E07">
        <w:rPr>
          <w:noProof/>
          <w:lang w:val="cs-CZ"/>
        </w:rPr>
        <w:t xml:space="preserve">Co je v potenci, to </w:t>
      </w:r>
      <w:r w:rsidR="00535857" w:rsidRPr="003D1E07">
        <w:rPr>
          <w:noProof/>
          <w:lang w:val="cs-CZ"/>
        </w:rPr>
        <w:t xml:space="preserve">je </w:t>
      </w:r>
      <w:r w:rsidR="002820EB" w:rsidRPr="003D1E07">
        <w:rPr>
          <w:noProof/>
          <w:lang w:val="cs-CZ"/>
        </w:rPr>
        <w:t xml:space="preserve">z hlediska časové posloupnosti první v jednotlivci, ale tato univerzálie ani neexistuje, ani není dána primárně </w:t>
      </w:r>
      <w:r w:rsidR="00E66826">
        <w:rPr>
          <w:noProof/>
          <w:lang w:val="cs-CZ"/>
        </w:rPr>
        <w:t xml:space="preserve">vzhledem </w:t>
      </w:r>
      <w:r w:rsidR="003F1422">
        <w:rPr>
          <w:noProof/>
          <w:lang w:val="cs-CZ"/>
        </w:rPr>
        <w:t xml:space="preserve">reálnému </w:t>
      </w:r>
      <w:r w:rsidR="00E66826">
        <w:rPr>
          <w:noProof/>
          <w:lang w:val="cs-CZ"/>
        </w:rPr>
        <w:t xml:space="preserve">časovému průběhu </w:t>
      </w:r>
      <w:r w:rsidR="002820EB" w:rsidRPr="003D1E07">
        <w:rPr>
          <w:noProof/>
          <w:lang w:val="cs-CZ"/>
        </w:rPr>
        <w:t>(</w:t>
      </w:r>
      <w:r w:rsidR="002820EB" w:rsidRPr="003D1E07">
        <w:rPr>
          <w:i/>
          <w:lang w:val="cs-CZ"/>
        </w:rPr>
        <w:t>universaliter autem non est neque in tempore</w:t>
      </w:r>
      <w:r w:rsidR="002820EB" w:rsidRPr="003D1E07">
        <w:rPr>
          <w:noProof/>
          <w:lang w:val="cs-CZ"/>
        </w:rPr>
        <w:t xml:space="preserve">). Pro </w:t>
      </w:r>
      <w:r w:rsidR="00EF1657">
        <w:rPr>
          <w:noProof/>
          <w:lang w:val="cs-CZ"/>
        </w:rPr>
        <w:t xml:space="preserve">intelekt jako </w:t>
      </w:r>
      <w:r w:rsidR="002820EB" w:rsidRPr="003D1E07">
        <w:rPr>
          <w:noProof/>
          <w:lang w:val="cs-CZ"/>
        </w:rPr>
        <w:t>univerzálii navíc ne</w:t>
      </w:r>
      <w:r w:rsidR="00EF1657">
        <w:rPr>
          <w:noProof/>
          <w:lang w:val="cs-CZ"/>
        </w:rPr>
        <w:t xml:space="preserve">ní pravda, že </w:t>
      </w:r>
      <w:r w:rsidR="002820EB" w:rsidRPr="003D1E07">
        <w:rPr>
          <w:noProof/>
          <w:lang w:val="cs-CZ"/>
        </w:rPr>
        <w:t xml:space="preserve">jednou </w:t>
      </w:r>
      <w:r w:rsidR="00EF1657">
        <w:rPr>
          <w:noProof/>
          <w:lang w:val="cs-CZ"/>
        </w:rPr>
        <w:t xml:space="preserve">něčemu </w:t>
      </w:r>
      <w:r w:rsidR="002820EB" w:rsidRPr="003D1E07">
        <w:rPr>
          <w:noProof/>
          <w:lang w:val="cs-CZ"/>
        </w:rPr>
        <w:t>rozumí</w:t>
      </w:r>
      <w:r w:rsidR="00C973CD">
        <w:rPr>
          <w:noProof/>
          <w:lang w:val="cs-CZ"/>
        </w:rPr>
        <w:t>,</w:t>
      </w:r>
      <w:r w:rsidR="002820EB" w:rsidRPr="003D1E07">
        <w:rPr>
          <w:noProof/>
          <w:lang w:val="cs-CZ"/>
        </w:rPr>
        <w:t xml:space="preserve"> a jindy </w:t>
      </w:r>
      <w:r w:rsidR="00C973CD">
        <w:rPr>
          <w:noProof/>
          <w:lang w:val="cs-CZ"/>
        </w:rPr>
        <w:t>nikoliv</w:t>
      </w:r>
      <w:r w:rsidR="002820EB" w:rsidRPr="003D1E07">
        <w:rPr>
          <w:noProof/>
          <w:lang w:val="cs-CZ"/>
        </w:rPr>
        <w:t>. Pokud je intelekt braný jako abstrakce (</w:t>
      </w:r>
      <w:r w:rsidR="002820EB" w:rsidRPr="003D1E07">
        <w:rPr>
          <w:rStyle w:val="Znakapoznpodarou"/>
          <w:i/>
          <w:vertAlign w:val="baseline"/>
          <w:lang w:val="cs-CZ"/>
        </w:rPr>
        <w:t>cum fuerit abstractus</w:t>
      </w:r>
      <w:r w:rsidR="002820EB" w:rsidRPr="003D1E07">
        <w:rPr>
          <w:noProof/>
          <w:lang w:val="cs-CZ"/>
        </w:rPr>
        <w:t>), pak je vzatý pouze v jako takový (</w:t>
      </w:r>
      <w:r w:rsidR="002820EB" w:rsidRPr="003D1E07">
        <w:rPr>
          <w:rStyle w:val="Znakapoznpodarou"/>
          <w:i/>
          <w:vertAlign w:val="baseline"/>
          <w:lang w:val="cs-CZ"/>
        </w:rPr>
        <w:t>est tantum</w:t>
      </w:r>
      <w:r w:rsidR="002820EB" w:rsidRPr="003D1E07">
        <w:rPr>
          <w:noProof/>
          <w:lang w:val="cs-CZ"/>
        </w:rPr>
        <w:t>) a v této abstraktní podobě (</w:t>
      </w:r>
      <w:r w:rsidR="002820EB" w:rsidRPr="003D1E07">
        <w:rPr>
          <w:i/>
          <w:noProof/>
          <w:lang w:val="cs-CZ"/>
        </w:rPr>
        <w:t>est iste tantum</w:t>
      </w:r>
      <w:r w:rsidR="002820EB" w:rsidRPr="003D1E07">
        <w:rPr>
          <w:noProof/>
          <w:lang w:val="cs-CZ"/>
        </w:rPr>
        <w:t>) je věčný a  nesmrtelný (</w:t>
      </w:r>
      <w:r w:rsidR="002820EB" w:rsidRPr="003D1E07">
        <w:rPr>
          <w:rStyle w:val="Znakapoznpodarou"/>
          <w:i/>
          <w:vertAlign w:val="baseline"/>
          <w:lang w:val="cs-CZ"/>
        </w:rPr>
        <w:t>est immortalis semper</w:t>
      </w:r>
      <w:r w:rsidR="002820EB" w:rsidRPr="003D1E07">
        <w:rPr>
          <w:noProof/>
          <w:lang w:val="cs-CZ"/>
        </w:rPr>
        <w:t>). Skrze tento intelekt nemůžeme myslet (</w:t>
      </w:r>
      <w:r w:rsidR="002820EB" w:rsidRPr="003D1E07">
        <w:rPr>
          <w:rStyle w:val="Znakapoznpodarou"/>
          <w:i/>
          <w:vertAlign w:val="baseline"/>
          <w:lang w:val="cs-CZ"/>
        </w:rPr>
        <w:t>non rememoramur</w:t>
      </w:r>
      <w:r w:rsidR="00225A51">
        <w:rPr>
          <w:noProof/>
          <w:lang w:val="cs-CZ"/>
        </w:rPr>
        <w:t xml:space="preserve">), protože není </w:t>
      </w:r>
      <w:r w:rsidR="002820EB" w:rsidRPr="003D1E07">
        <w:rPr>
          <w:noProof/>
          <w:lang w:val="cs-CZ"/>
        </w:rPr>
        <w:t xml:space="preserve">schopen nic </w:t>
      </w:r>
      <w:r w:rsidR="00225A51">
        <w:rPr>
          <w:noProof/>
          <w:lang w:val="cs-CZ"/>
        </w:rPr>
        <w:t xml:space="preserve">osobně </w:t>
      </w:r>
      <w:r w:rsidR="002820EB" w:rsidRPr="003D1E07">
        <w:rPr>
          <w:noProof/>
          <w:lang w:val="cs-CZ"/>
        </w:rPr>
        <w:t>přijímat (</w:t>
      </w:r>
      <w:r w:rsidR="002820EB" w:rsidRPr="003D1E07">
        <w:rPr>
          <w:rStyle w:val="Znakapoznpodarou"/>
          <w:i/>
          <w:vertAlign w:val="baseline"/>
          <w:lang w:val="cs-CZ"/>
        </w:rPr>
        <w:t>iste est non passibilis</w:t>
      </w:r>
      <w:r w:rsidR="002820EB" w:rsidRPr="003D1E07">
        <w:rPr>
          <w:noProof/>
          <w:lang w:val="cs-CZ"/>
        </w:rPr>
        <w:t>)</w:t>
      </w:r>
      <w:r w:rsidR="00806BE4" w:rsidRPr="003D1E07">
        <w:rPr>
          <w:noProof/>
          <w:lang w:val="cs-CZ"/>
        </w:rPr>
        <w:t xml:space="preserve">. </w:t>
      </w:r>
      <w:r w:rsidR="00225A51">
        <w:rPr>
          <w:noProof/>
          <w:lang w:val="cs-CZ"/>
        </w:rPr>
        <w:t xml:space="preserve">Osobní </w:t>
      </w:r>
      <w:r w:rsidR="00806BE4" w:rsidRPr="003D1E07">
        <w:rPr>
          <w:noProof/>
          <w:lang w:val="cs-CZ"/>
        </w:rPr>
        <w:t>receptivní intelekt je porušitelný (</w:t>
      </w:r>
      <w:r w:rsidR="00806BE4" w:rsidRPr="003D1E07">
        <w:rPr>
          <w:rStyle w:val="Znakapoznpodarou"/>
          <w:i/>
          <w:vertAlign w:val="baseline"/>
          <w:lang w:val="cs-CZ"/>
        </w:rPr>
        <w:t>intellectus passibilis est corruptibilis</w:t>
      </w:r>
      <w:r w:rsidR="00806BE4" w:rsidRPr="003D1E07">
        <w:rPr>
          <w:noProof/>
          <w:lang w:val="cs-CZ"/>
        </w:rPr>
        <w:t>) a bez něj nelze myslet (</w:t>
      </w:r>
      <w:r w:rsidR="00806BE4" w:rsidRPr="003D1E07">
        <w:rPr>
          <w:rStyle w:val="Znakapoznpodarou"/>
          <w:i/>
          <w:vertAlign w:val="baseline"/>
          <w:lang w:val="cs-CZ"/>
        </w:rPr>
        <w:t>sine hoc nichil intelligitur</w:t>
      </w:r>
      <w:r w:rsidR="00806BE4" w:rsidRPr="003D1E07">
        <w:rPr>
          <w:noProof/>
          <w:lang w:val="cs-CZ"/>
        </w:rPr>
        <w:t>).“</w:t>
      </w:r>
      <w:r w:rsidR="00806BE4" w:rsidRPr="003D1E07">
        <w:rPr>
          <w:rStyle w:val="Znakapoznpodarou"/>
          <w:noProof/>
          <w:lang w:val="cs-CZ"/>
        </w:rPr>
        <w:t xml:space="preserve"> </w:t>
      </w:r>
      <w:r w:rsidR="00806BE4" w:rsidRPr="003D1E07">
        <w:rPr>
          <w:rStyle w:val="Znakapoznpodarou"/>
          <w:noProof/>
          <w:lang w:val="cs-CZ"/>
        </w:rPr>
        <w:footnoteReference w:id="267"/>
      </w:r>
    </w:p>
    <w:p w14:paraId="61D3BA68" w14:textId="29C3B002" w:rsidR="0026428F" w:rsidRDefault="086B1399" w:rsidP="001C0118">
      <w:r w:rsidRPr="003D1E07">
        <w:t>Averroes buduje kategoriální p</w:t>
      </w:r>
      <w:r w:rsidR="008839C7" w:rsidRPr="003D1E07">
        <w:t xml:space="preserve">redikaci </w:t>
      </w:r>
      <w:r w:rsidR="008839C7" w:rsidRPr="003D1E07">
        <w:rPr>
          <w:i/>
        </w:rPr>
        <w:t>per prius</w:t>
      </w:r>
      <w:r w:rsidR="008839C7" w:rsidRPr="003D1E07">
        <w:t xml:space="preserve"> pro poznání</w:t>
      </w:r>
      <w:r w:rsidRPr="003D1E07">
        <w:t xml:space="preserve"> v prvním a naprosto zásadním kroku. P</w:t>
      </w:r>
      <w:r w:rsidR="082F5873" w:rsidRPr="003D1E07">
        <w:t xml:space="preserve">rioritu dává </w:t>
      </w:r>
      <w:r w:rsidR="08D006BF" w:rsidRPr="003D1E07">
        <w:t>Alexandrově intelektu-</w:t>
      </w:r>
      <w:r w:rsidR="082F5873" w:rsidRPr="003D1E07">
        <w:t>potenci (</w:t>
      </w:r>
      <w:r w:rsidR="082F5873" w:rsidRPr="003D1E07">
        <w:rPr>
          <w:i/>
        </w:rPr>
        <w:t>quod est in potentia</w:t>
      </w:r>
      <w:r w:rsidR="0073055E" w:rsidRPr="003D1E07">
        <w:t>), která je jako první ak</w:t>
      </w:r>
      <w:r w:rsidR="082F5873" w:rsidRPr="003D1E07">
        <w:t>t</w:t>
      </w:r>
      <w:r w:rsidR="0073055E" w:rsidRPr="003D1E07">
        <w:t>u</w:t>
      </w:r>
      <w:r w:rsidR="082F5873" w:rsidRPr="003D1E07">
        <w:t xml:space="preserve">alizována v reálném průběhu poznání </w:t>
      </w:r>
      <w:r w:rsidR="08D006BF" w:rsidRPr="003D1E07">
        <w:t xml:space="preserve">podle Themistiova intelektu-materii </w:t>
      </w:r>
      <w:r w:rsidR="082F5873" w:rsidRPr="003D1E07">
        <w:t>(</w:t>
      </w:r>
      <w:r w:rsidR="082F5873" w:rsidRPr="003D1E07">
        <w:rPr>
          <w:i/>
        </w:rPr>
        <w:t xml:space="preserve">prius est </w:t>
      </w:r>
      <w:r w:rsidR="082F5873" w:rsidRPr="003D1E07">
        <w:rPr>
          <w:i/>
        </w:rPr>
        <w:lastRenderedPageBreak/>
        <w:t>tempore in individuo</w:t>
      </w:r>
      <w:r w:rsidR="082F5873" w:rsidRPr="003D1E07">
        <w:t xml:space="preserve">). </w:t>
      </w:r>
      <w:r w:rsidR="001C10B2" w:rsidRPr="003D1E07">
        <w:t>Nasvícení smyslu jsoucna od reálné první substance</w:t>
      </w:r>
      <w:r w:rsidR="00A70FA4" w:rsidRPr="003D1E07">
        <w:fldChar w:fldCharType="begin"/>
      </w:r>
      <w:r w:rsidR="00A70FA4" w:rsidRPr="003D1E07">
        <w:instrText xml:space="preserve"> XE "substance</w:instrText>
      </w:r>
      <w:r w:rsidR="001B7155" w:rsidRPr="003D1E07">
        <w:instrText>:první</w:instrText>
      </w:r>
      <w:r w:rsidR="00A70FA4" w:rsidRPr="003D1E07">
        <w:instrText xml:space="preserve">" </w:instrText>
      </w:r>
      <w:r w:rsidR="00A70FA4" w:rsidRPr="003D1E07">
        <w:fldChar w:fldCharType="end"/>
      </w:r>
      <w:r w:rsidR="001C10B2" w:rsidRPr="003D1E07">
        <w:t xml:space="preserve"> </w:t>
      </w:r>
      <w:r w:rsidR="082F5873" w:rsidRPr="003D1E07">
        <w:t>naplnil</w:t>
      </w:r>
      <w:r w:rsidR="001C10B2" w:rsidRPr="003D1E07">
        <w:t>o</w:t>
      </w:r>
      <w:r w:rsidR="082F5873" w:rsidRPr="003D1E07">
        <w:t xml:space="preserve"> požadavek reálného průběhu </w:t>
      </w:r>
      <w:r w:rsidR="001C10B2" w:rsidRPr="003D1E07">
        <w:t xml:space="preserve">poznání </w:t>
      </w:r>
      <w:r w:rsidR="082F5873" w:rsidRPr="003D1E07">
        <w:t xml:space="preserve">podle </w:t>
      </w:r>
      <w:r w:rsidR="08E22F7A" w:rsidRPr="003D1E07">
        <w:t xml:space="preserve">metafyzického </w:t>
      </w:r>
      <w:r w:rsidR="08737D40" w:rsidRPr="003D1E07">
        <w:t>dativu</w:t>
      </w:r>
      <w:r w:rsidR="08737D40" w:rsidRPr="003D1E07">
        <w:fldChar w:fldCharType="begin"/>
      </w:r>
      <w:r w:rsidR="08737D40" w:rsidRPr="003D1E07">
        <w:instrText xml:space="preserve"> XE "</w:instrText>
      </w:r>
      <w:r w:rsidR="08E22F7A" w:rsidRPr="003D1E07">
        <w:rPr>
          <w:i/>
        </w:rPr>
        <w:instrText>dativus metaphysi</w:instrText>
      </w:r>
      <w:r w:rsidR="08737D40" w:rsidRPr="003D1E07">
        <w:rPr>
          <w:i/>
        </w:rPr>
        <w:instrText>cus</w:instrText>
      </w:r>
      <w:r w:rsidR="08737D40" w:rsidRPr="003D1E07">
        <w:instrText xml:space="preserve">" </w:instrText>
      </w:r>
      <w:r w:rsidR="08737D40" w:rsidRPr="003D1E07">
        <w:fldChar w:fldCharType="end"/>
      </w:r>
      <w:r w:rsidR="08737D40" w:rsidRPr="003D1E07">
        <w:t xml:space="preserve"> daného v </w:t>
      </w:r>
      <w:r w:rsidR="00B713C5" w:rsidRPr="003D1E07">
        <w:rPr>
          <w:i/>
        </w:rPr>
        <w:t>De anima</w:t>
      </w:r>
      <w:r w:rsidR="082F5873" w:rsidRPr="003D1E07">
        <w:t xml:space="preserve"> 430a21</w:t>
      </w:r>
      <w:r w:rsidR="001B7155" w:rsidRPr="003D1E07">
        <w:rPr>
          <w:i/>
        </w:rPr>
        <w:fldChar w:fldCharType="begin"/>
      </w:r>
      <w:r w:rsidR="001B7155" w:rsidRPr="003D1E07">
        <w:instrText xml:space="preserve"> XE "</w:instrText>
      </w:r>
      <w:r w:rsidR="008E02F5" w:rsidRPr="003D1E07">
        <w:instrText>Aristoteles</w:instrText>
      </w:r>
      <w:r w:rsidR="001B7155" w:rsidRPr="003D1E07">
        <w:instrText>:</w:instrText>
      </w:r>
      <w:r w:rsidR="001B7155" w:rsidRPr="003D1E07">
        <w:rPr>
          <w:i/>
        </w:rPr>
        <w:instrText>De anima</w:instrText>
      </w:r>
      <w:r w:rsidR="001B7155" w:rsidRPr="003D1E07">
        <w:instrText xml:space="preserve"> 430a21" </w:instrText>
      </w:r>
      <w:r w:rsidR="001B7155" w:rsidRPr="003D1E07">
        <w:rPr>
          <w:i/>
        </w:rPr>
        <w:fldChar w:fldCharType="end"/>
      </w:r>
      <w:r w:rsidR="082F5873" w:rsidRPr="003D1E07">
        <w:t xml:space="preserve"> </w:t>
      </w:r>
      <w:r w:rsidR="008839C7" w:rsidRPr="003D1E07">
        <w:t>(κατὰ δύναμιν χρόνῳ προτέρα ἐν τῷ ἑνί</w:t>
      </w:r>
      <w:r w:rsidR="08AE5E51" w:rsidRPr="003D1E07">
        <w:t xml:space="preserve">). </w:t>
      </w:r>
      <w:r w:rsidR="08B96056" w:rsidRPr="003D1E07">
        <w:t>Citát j</w:t>
      </w:r>
      <w:r w:rsidR="008839C7" w:rsidRPr="003D1E07">
        <w:t xml:space="preserve">asně odlišuje </w:t>
      </w:r>
      <w:r w:rsidR="00820531" w:rsidRPr="003D1E07">
        <w:t xml:space="preserve">aktivaci receptivní složky intelektu </w:t>
      </w:r>
      <w:r w:rsidR="084200C2" w:rsidRPr="003D1E07">
        <w:t xml:space="preserve">v osobě </w:t>
      </w:r>
      <w:r w:rsidR="008839C7" w:rsidRPr="003D1E07">
        <w:t>od predikace intelektu vztažené k celku nemateriálního poznání po ukončeném procesu abstrakce</w:t>
      </w:r>
      <w:r w:rsidR="084200C2" w:rsidRPr="003D1E07">
        <w:t xml:space="preserve">. Tato univerzálie </w:t>
      </w:r>
      <w:r w:rsidR="08AE5E51" w:rsidRPr="003D1E07">
        <w:t xml:space="preserve">je dána v modu </w:t>
      </w:r>
      <w:r w:rsidR="00CD5F1F" w:rsidRPr="003D1E07">
        <w:rPr>
          <w:i/>
        </w:rPr>
        <w:t>per posterius</w:t>
      </w:r>
      <w:r w:rsidR="08AE5E51" w:rsidRPr="003D1E07">
        <w:t xml:space="preserve">. </w:t>
      </w:r>
      <w:r w:rsidR="000A218A" w:rsidRPr="003D1E07">
        <w:t>Abst</w:t>
      </w:r>
      <w:r w:rsidR="089654B6" w:rsidRPr="003D1E07">
        <w:t xml:space="preserve">rakce vede k poznání univerzálního pojmu </w:t>
      </w:r>
      <w:r w:rsidR="000A218A" w:rsidRPr="003D1E07">
        <w:t>dané</w:t>
      </w:r>
      <w:r w:rsidR="089654B6" w:rsidRPr="003D1E07">
        <w:t>ho</w:t>
      </w:r>
      <w:r w:rsidR="003E5DDC" w:rsidRPr="003D1E07">
        <w:t xml:space="preserve"> mimo čas. </w:t>
      </w:r>
      <w:r w:rsidR="08AE5E51" w:rsidRPr="003D1E07">
        <w:t xml:space="preserve">Totéž konstatuje i originál </w:t>
      </w:r>
      <w:r w:rsidR="008839C7" w:rsidRPr="003D1E07">
        <w:t>(ὅλως δὲ οὐδὲ χρόνῳ</w:t>
      </w:r>
      <w:r w:rsidR="00CF69F5" w:rsidRPr="003D1E07">
        <w:t xml:space="preserve">, </w:t>
      </w:r>
      <w:r w:rsidR="00B713C5" w:rsidRPr="003D1E07">
        <w:rPr>
          <w:i/>
        </w:rPr>
        <w:t>De anima</w:t>
      </w:r>
      <w:r w:rsidR="00CF69F5" w:rsidRPr="003D1E07">
        <w:t xml:space="preserve"> 430a</w:t>
      </w:r>
      <w:r w:rsidR="008839C7" w:rsidRPr="003D1E07">
        <w:t>22</w:t>
      </w:r>
      <w:r w:rsidR="00CA50A0" w:rsidRPr="003D1E07">
        <w:rPr>
          <w:i/>
        </w:rPr>
        <w:fldChar w:fldCharType="begin"/>
      </w:r>
      <w:r w:rsidR="00CA50A0" w:rsidRPr="003D1E07">
        <w:instrText xml:space="preserve"> XE "</w:instrText>
      </w:r>
      <w:r w:rsidR="008E02F5" w:rsidRPr="003D1E07">
        <w:instrText>Aristoteles</w:instrText>
      </w:r>
      <w:r w:rsidR="00CA50A0" w:rsidRPr="003D1E07">
        <w:instrText>:</w:instrText>
      </w:r>
      <w:r w:rsidR="00CA50A0" w:rsidRPr="003D1E07">
        <w:rPr>
          <w:i/>
        </w:rPr>
        <w:instrText>De anima</w:instrText>
      </w:r>
      <w:r w:rsidR="00CA50A0" w:rsidRPr="003D1E07">
        <w:instrText xml:space="preserve"> 430a22" </w:instrText>
      </w:r>
      <w:r w:rsidR="00CA50A0" w:rsidRPr="003D1E07">
        <w:rPr>
          <w:i/>
        </w:rPr>
        <w:fldChar w:fldCharType="end"/>
      </w:r>
      <w:r w:rsidR="008839C7" w:rsidRPr="003D1E07">
        <w:t xml:space="preserve">). </w:t>
      </w:r>
      <w:r w:rsidR="005945FE" w:rsidRPr="003D1E07">
        <w:t xml:space="preserve">Komentář </w:t>
      </w:r>
      <w:r w:rsidR="08DD62A0" w:rsidRPr="003D1E07">
        <w:t xml:space="preserve">přesně </w:t>
      </w:r>
      <w:r w:rsidR="00663BE3" w:rsidRPr="003D1E07">
        <w:t>sleduje literu textu</w:t>
      </w:r>
      <w:r w:rsidR="08DD62A0" w:rsidRPr="003D1E07">
        <w:t xml:space="preserve"> a ne spekulace</w:t>
      </w:r>
      <w:r w:rsidR="08360A23" w:rsidRPr="003D1E07">
        <w:t xml:space="preserve"> moderních iluminátů</w:t>
      </w:r>
      <w:r w:rsidR="003B78C6" w:rsidRPr="003D1E07">
        <w:t>, kteří odmítají přemýšlet</w:t>
      </w:r>
      <w:r w:rsidR="08F70693" w:rsidRPr="003D1E07">
        <w:t xml:space="preserve"> o původním smyslu </w:t>
      </w:r>
      <w:r w:rsidR="00996877" w:rsidRPr="003D1E07">
        <w:rPr>
          <w:i/>
          <w:lang w:eastAsia="en-US"/>
        </w:rPr>
        <w:t>Corpus Aristotelicum</w:t>
      </w:r>
      <w:r w:rsidR="00CA50A0" w:rsidRPr="003D1E07">
        <w:rPr>
          <w:i/>
        </w:rPr>
        <w:fldChar w:fldCharType="begin"/>
      </w:r>
      <w:r w:rsidR="00CA50A0" w:rsidRPr="003D1E07">
        <w:instrText xml:space="preserve"> XE "abstrakce:</w:instrText>
      </w:r>
      <w:r w:rsidR="002E3B62" w:rsidRPr="003D1E07">
        <w:instrText>Averroes</w:instrText>
      </w:r>
      <w:r w:rsidR="00CA50A0" w:rsidRPr="003D1E07">
        <w:instrText xml:space="preserve">" </w:instrText>
      </w:r>
      <w:r w:rsidR="00CA50A0" w:rsidRPr="003D1E07">
        <w:rPr>
          <w:i/>
        </w:rPr>
        <w:fldChar w:fldCharType="end"/>
      </w:r>
      <w:r w:rsidR="00663BE3" w:rsidRPr="003D1E07">
        <w:t xml:space="preserve">. </w:t>
      </w:r>
      <w:r w:rsidR="00C34986" w:rsidRPr="003D1E07">
        <w:t xml:space="preserve">Receptivní intelekt je </w:t>
      </w:r>
      <w:r w:rsidR="00C34986" w:rsidRPr="003D1E07">
        <w:rPr>
          <w:i/>
        </w:rPr>
        <w:t>per prius</w:t>
      </w:r>
      <w:r w:rsidR="00C34986" w:rsidRPr="003D1E07">
        <w:t xml:space="preserve"> daný v </w:t>
      </w:r>
      <w:r w:rsidR="08765C4C" w:rsidRPr="003D1E07">
        <w:t xml:space="preserve">osobě </w:t>
      </w:r>
      <w:r w:rsidR="00C34986" w:rsidRPr="003D1E07">
        <w:t>(</w:t>
      </w:r>
      <w:r w:rsidR="00C34986" w:rsidRPr="003D1E07">
        <w:rPr>
          <w:i/>
        </w:rPr>
        <w:t>in potentia prius est tempore in individuo</w:t>
      </w:r>
      <w:r w:rsidR="000C0C19" w:rsidRPr="003D1E07">
        <w:t>). J</w:t>
      </w:r>
      <w:r w:rsidR="00C34986" w:rsidRPr="003D1E07">
        <w:t xml:space="preserve">eho </w:t>
      </w:r>
      <w:r w:rsidR="000C0C19" w:rsidRPr="003D1E07">
        <w:t xml:space="preserve">trvalá </w:t>
      </w:r>
      <w:r w:rsidR="08D31DAD" w:rsidRPr="003D1E07">
        <w:t xml:space="preserve">generická </w:t>
      </w:r>
      <w:r w:rsidR="00C34986" w:rsidRPr="003D1E07">
        <w:t>forma je daná až v dokonaném aktu poznání (</w:t>
      </w:r>
      <w:r w:rsidR="00C34986" w:rsidRPr="003D1E07">
        <w:rPr>
          <w:i/>
        </w:rPr>
        <w:t>cum fuerit abstractus</w:t>
      </w:r>
      <w:r w:rsidR="00C34986" w:rsidRPr="003D1E07">
        <w:t>)</w:t>
      </w:r>
      <w:r w:rsidR="00BB4A4F" w:rsidRPr="003D1E07">
        <w:t xml:space="preserve">. </w:t>
      </w:r>
      <w:r w:rsidR="085C70EA" w:rsidRPr="003D1E07">
        <w:t>Perfektní tvar futura daný podmiňovacím konjuktivem jasně říká, že proces abstrakce musí být doveden ke svému konci v rámci aktivní syntézy</w:t>
      </w:r>
      <w:r w:rsidR="001A272F">
        <w:t xml:space="preserve"> osoby</w:t>
      </w:r>
      <w:r w:rsidR="0003617B">
        <w:t xml:space="preserve">. Tato osobní rovina </w:t>
      </w:r>
      <w:r w:rsidR="085C70EA" w:rsidRPr="003D1E07">
        <w:t>časově</w:t>
      </w:r>
      <w:r w:rsidR="0003617B">
        <w:t xml:space="preserve">, a proto i kauzálně, </w:t>
      </w:r>
      <w:r w:rsidR="085C70EA" w:rsidRPr="003D1E07">
        <w:t>pře</w:t>
      </w:r>
      <w:r w:rsidR="0003617B">
        <w:t>d</w:t>
      </w:r>
      <w:r w:rsidR="085C70EA" w:rsidRPr="003D1E07">
        <w:t xml:space="preserve">chází vznik </w:t>
      </w:r>
      <w:r w:rsidR="00137EF9">
        <w:t xml:space="preserve">jakéhokoliv </w:t>
      </w:r>
      <w:r w:rsidR="085C70EA" w:rsidRPr="003D1E07">
        <w:t>obecného poznatku</w:t>
      </w:r>
      <w:r w:rsidR="00137EF9">
        <w:t>, včetně pojmu „intelekt“</w:t>
      </w:r>
      <w:r w:rsidR="085C70EA" w:rsidRPr="003D1E07">
        <w:t xml:space="preserve">. Zmíněná „věčnost“ intelektu jako abstrakce vzniká až v následné predikaci </w:t>
      </w:r>
      <w:r w:rsidR="085C70EA" w:rsidRPr="003D1E07">
        <w:rPr>
          <w:i/>
        </w:rPr>
        <w:t xml:space="preserve">per posterius, </w:t>
      </w:r>
      <w:r w:rsidR="085C70EA" w:rsidRPr="003D1E07">
        <w:t xml:space="preserve">a nikoliv předtím, jak to mylně vykládá moderna a postmoderna. </w:t>
      </w:r>
      <w:r w:rsidR="00236478" w:rsidRPr="00236478">
        <w:t xml:space="preserve">Platónský "intelekt" jako </w:t>
      </w:r>
      <w:r w:rsidR="00236478" w:rsidRPr="00236478">
        <w:rPr>
          <w:i/>
        </w:rPr>
        <w:t>eídos</w:t>
      </w:r>
      <w:r w:rsidR="00556FAF">
        <w:t xml:space="preserve"> je vždy v perfektním</w:t>
      </w:r>
      <w:r w:rsidR="00236478" w:rsidRPr="00236478">
        <w:t xml:space="preserve"> stavu. </w:t>
      </w:r>
      <w:r w:rsidR="000C0C19" w:rsidRPr="003D1E07">
        <w:t xml:space="preserve">Moderna a postmoderna chápe tento proces v originálu výslovně označený jako „abstrakce“ </w:t>
      </w:r>
      <w:r w:rsidR="005945FE" w:rsidRPr="003D1E07">
        <w:t xml:space="preserve">zcela odlišným </w:t>
      </w:r>
      <w:r w:rsidR="000C0C19" w:rsidRPr="003D1E07">
        <w:t xml:space="preserve">slovem „separace“. Pokud </w:t>
      </w:r>
      <w:r w:rsidR="00342A22" w:rsidRPr="003D1E07">
        <w:t xml:space="preserve">moderna a postmoderna </w:t>
      </w:r>
      <w:r w:rsidR="000C0C19" w:rsidRPr="003D1E07">
        <w:t>ví, o čem mluví</w:t>
      </w:r>
      <w:r w:rsidR="00375EF7">
        <w:t xml:space="preserve"> (t.j. „intellekt“ jako </w:t>
      </w:r>
      <w:r w:rsidR="00375EF7" w:rsidRPr="002B5E38">
        <w:rPr>
          <w:i/>
        </w:rPr>
        <w:t>quartum genus</w:t>
      </w:r>
      <w:r w:rsidR="00375EF7">
        <w:t>)</w:t>
      </w:r>
      <w:r w:rsidR="000C0C19" w:rsidRPr="003D1E07">
        <w:t>, tak je to v pořádku. Ale historie sporu o averroismu</w:t>
      </w:r>
      <w:r w:rsidR="00313377" w:rsidRPr="003D1E07">
        <w:t>s</w:t>
      </w:r>
      <w:r w:rsidR="000C0C19" w:rsidRPr="003D1E07">
        <w:t xml:space="preserve"> ukázala na charakter tohoto epochálního </w:t>
      </w:r>
      <w:r w:rsidR="000C0C19" w:rsidRPr="003D1E07">
        <w:rPr>
          <w:i/>
        </w:rPr>
        <w:t>Irrtum</w:t>
      </w:r>
      <w:r w:rsidR="000C0C19" w:rsidRPr="003D1E07">
        <w:t xml:space="preserve"> západní metafyziky. </w:t>
      </w:r>
      <w:r w:rsidR="00495A74" w:rsidRPr="003D1E07">
        <w:t>R</w:t>
      </w:r>
      <w:r w:rsidR="00B62B8B" w:rsidRPr="003D1E07">
        <w:t xml:space="preserve">eceptivní </w:t>
      </w:r>
      <w:r w:rsidR="005471E7" w:rsidRPr="003D1E07">
        <w:t xml:space="preserve">intelekt </w:t>
      </w:r>
      <w:r w:rsidR="00BB4A4F" w:rsidRPr="003D1E07">
        <w:t xml:space="preserve">chápaný </w:t>
      </w:r>
      <w:r w:rsidR="005471E7" w:rsidRPr="003D1E07">
        <w:t xml:space="preserve">univerzálně je </w:t>
      </w:r>
      <w:r w:rsidR="00B62B8B" w:rsidRPr="003D1E07">
        <w:t xml:space="preserve">věčný </w:t>
      </w:r>
      <w:r w:rsidR="00C03AD0" w:rsidRPr="003D1E07">
        <w:t xml:space="preserve">v modu </w:t>
      </w:r>
      <w:r w:rsidR="00C03AD0" w:rsidRPr="003D1E07">
        <w:rPr>
          <w:i/>
        </w:rPr>
        <w:t>per posterius</w:t>
      </w:r>
      <w:r w:rsidR="00C03AD0" w:rsidRPr="003D1E07">
        <w:t xml:space="preserve"> </w:t>
      </w:r>
      <w:r w:rsidR="00F61F89" w:rsidRPr="003D1E07">
        <w:t>(</w:t>
      </w:r>
      <w:r w:rsidR="00F61F89" w:rsidRPr="003D1E07">
        <w:rPr>
          <w:i/>
        </w:rPr>
        <w:t>iste tantum est immortalis semper</w:t>
      </w:r>
      <w:r w:rsidR="007E3CAA" w:rsidRPr="003D1E07">
        <w:t xml:space="preserve">). Ale tato abstrakce </w:t>
      </w:r>
      <w:r w:rsidR="005471E7" w:rsidRPr="003D1E07">
        <w:t>vzniká následně</w:t>
      </w:r>
      <w:r w:rsidR="007E3CAA" w:rsidRPr="003D1E07">
        <w:t xml:space="preserve">, protože ji determinuje </w:t>
      </w:r>
      <w:r w:rsidR="00D117A1" w:rsidRPr="003D1E07">
        <w:t>individuální akt</w:t>
      </w:r>
      <w:r w:rsidR="007E3CAA" w:rsidRPr="003D1E07">
        <w:t xml:space="preserve"> poznání dan</w:t>
      </w:r>
      <w:r w:rsidR="00D117A1" w:rsidRPr="003D1E07">
        <w:t>ý</w:t>
      </w:r>
      <w:r w:rsidR="00C03AD0" w:rsidRPr="003D1E07">
        <w:t xml:space="preserve"> </w:t>
      </w:r>
      <w:r w:rsidR="00C03AD0" w:rsidRPr="003D1E07">
        <w:rPr>
          <w:i/>
        </w:rPr>
        <w:t>per prius</w:t>
      </w:r>
      <w:r w:rsidR="00C03AD0" w:rsidRPr="003D1E07">
        <w:t xml:space="preserve"> </w:t>
      </w:r>
      <w:r w:rsidR="00F61F89" w:rsidRPr="003D1E07">
        <w:t>(κατὰ δύναμιν χρόνῳ προτέρα</w:t>
      </w:r>
      <w:r w:rsidR="08B97014" w:rsidRPr="003D1E07">
        <w:t>, 430a21</w:t>
      </w:r>
      <w:r w:rsidR="00CA50A0" w:rsidRPr="003D1E07">
        <w:rPr>
          <w:i/>
        </w:rPr>
        <w:fldChar w:fldCharType="begin"/>
      </w:r>
      <w:r w:rsidR="00CA50A0" w:rsidRPr="003D1E07">
        <w:instrText xml:space="preserve"> XE "</w:instrText>
      </w:r>
      <w:r w:rsidR="008E02F5" w:rsidRPr="003D1E07">
        <w:instrText>Aristoteles</w:instrText>
      </w:r>
      <w:r w:rsidR="00CA50A0" w:rsidRPr="003D1E07">
        <w:instrText>:</w:instrText>
      </w:r>
      <w:r w:rsidR="00CA50A0" w:rsidRPr="003D1E07">
        <w:rPr>
          <w:i/>
        </w:rPr>
        <w:instrText>De anima</w:instrText>
      </w:r>
      <w:r w:rsidR="00CA50A0" w:rsidRPr="003D1E07">
        <w:instrText xml:space="preserve"> 430a21" </w:instrText>
      </w:r>
      <w:r w:rsidR="00CA50A0" w:rsidRPr="003D1E07">
        <w:rPr>
          <w:i/>
        </w:rPr>
        <w:fldChar w:fldCharType="end"/>
      </w:r>
      <w:r w:rsidR="00F61F89" w:rsidRPr="003D1E07">
        <w:t>)</w:t>
      </w:r>
      <w:r w:rsidR="00D15896" w:rsidRPr="003D1E07">
        <w:t xml:space="preserve">. </w:t>
      </w:r>
      <w:r w:rsidR="003B28AE" w:rsidRPr="003D1E07">
        <w:t xml:space="preserve">Pak platí, že </w:t>
      </w:r>
      <w:r w:rsidR="007C5EF0" w:rsidRPr="003D1E07">
        <w:rPr>
          <w:i/>
        </w:rPr>
        <w:t>intellectus in potentia</w:t>
      </w:r>
      <w:r w:rsidR="007C5EF0" w:rsidRPr="003D1E07">
        <w:t xml:space="preserve"> </w:t>
      </w:r>
      <w:r w:rsidR="00275E91">
        <w:t xml:space="preserve">predikovaný skrze supozici jako jednoduchá univerzálie </w:t>
      </w:r>
      <w:r w:rsidR="004F774D" w:rsidRPr="003D1E07">
        <w:t>(</w:t>
      </w:r>
      <w:r w:rsidR="004F774D" w:rsidRPr="003D1E07">
        <w:rPr>
          <w:i/>
        </w:rPr>
        <w:t>iste tantum</w:t>
      </w:r>
      <w:r w:rsidR="004F774D" w:rsidRPr="003D1E07">
        <w:t>)</w:t>
      </w:r>
      <w:r w:rsidR="003B28AE" w:rsidRPr="003D1E07">
        <w:t xml:space="preserve"> je dán </w:t>
      </w:r>
      <w:r w:rsidR="08765C4C" w:rsidRPr="003D1E07">
        <w:t>jako věčná</w:t>
      </w:r>
      <w:r w:rsidR="00990E2D" w:rsidRPr="003D1E07">
        <w:t xml:space="preserve"> </w:t>
      </w:r>
      <w:r w:rsidR="00F214C5" w:rsidRPr="003D1E07">
        <w:t>species</w:t>
      </w:r>
      <w:r w:rsidR="00497A79">
        <w:t xml:space="preserve">. Tím je dán </w:t>
      </w:r>
      <w:r w:rsidR="00275E91">
        <w:t xml:space="preserve">plně podle </w:t>
      </w:r>
      <w:r w:rsidR="080049ED" w:rsidRPr="003D1E07">
        <w:t>Alexandr</w:t>
      </w:r>
      <w:r w:rsidR="00275E91">
        <w:t xml:space="preserve">ova </w:t>
      </w:r>
      <w:r w:rsidR="080049ED" w:rsidRPr="003D1E07">
        <w:t>oddělen</w:t>
      </w:r>
      <w:r w:rsidR="00275E91">
        <w:t>ého</w:t>
      </w:r>
      <w:r w:rsidR="080049ED" w:rsidRPr="003D1E07">
        <w:t xml:space="preserve"> </w:t>
      </w:r>
      <w:r w:rsidR="080049ED" w:rsidRPr="003D1E07">
        <w:rPr>
          <w:i/>
        </w:rPr>
        <w:t>intellectus possibilis</w:t>
      </w:r>
      <w:r w:rsidR="080049ED" w:rsidRPr="003D1E07">
        <w:t xml:space="preserve">. Viděno ukončeným výkonem porozumění už daným mimo čas jde </w:t>
      </w:r>
      <w:r w:rsidR="00E065B2" w:rsidRPr="003D1E07">
        <w:t xml:space="preserve">o intelekt jako </w:t>
      </w:r>
      <w:r w:rsidR="00E065B2" w:rsidRPr="003D1E07">
        <w:rPr>
          <w:i/>
        </w:rPr>
        <w:t xml:space="preserve">quartum </w:t>
      </w:r>
      <w:r w:rsidR="00636BD4" w:rsidRPr="006459C2">
        <w:rPr>
          <w:i/>
        </w:rPr>
        <w:t>genus</w:t>
      </w:r>
      <w:r w:rsidR="00982C89" w:rsidRPr="003D1E07">
        <w:rPr>
          <w:i/>
        </w:rPr>
        <w:fldChar w:fldCharType="begin"/>
      </w:r>
      <w:r w:rsidR="00982C89" w:rsidRPr="003D1E07">
        <w:instrText xml:space="preserve"> XE "</w:instrText>
      </w:r>
      <w:r w:rsidR="00982C89" w:rsidRPr="003D1E07">
        <w:rPr>
          <w:i/>
        </w:rPr>
        <w:instrText>quartum genus</w:instrText>
      </w:r>
      <w:r w:rsidR="00982C89" w:rsidRPr="003D1E07">
        <w:instrText xml:space="preserve">" </w:instrText>
      </w:r>
      <w:r w:rsidR="00982C89" w:rsidRPr="003D1E07">
        <w:rPr>
          <w:i/>
        </w:rPr>
        <w:fldChar w:fldCharType="end"/>
      </w:r>
      <w:r w:rsidR="08B46C0F" w:rsidRPr="003D1E07">
        <w:t>. G</w:t>
      </w:r>
      <w:r w:rsidR="00BB7DEE" w:rsidRPr="003D1E07">
        <w:t xml:space="preserve">enericky daný intelekt vznikne </w:t>
      </w:r>
      <w:r w:rsidR="004E108D" w:rsidRPr="003D1E07">
        <w:t xml:space="preserve">v perfektním, čili </w:t>
      </w:r>
      <w:r w:rsidR="00EC5120" w:rsidRPr="003D1E07">
        <w:t xml:space="preserve">v </w:t>
      </w:r>
      <w:r w:rsidR="004E108D" w:rsidRPr="003D1E07">
        <w:t xml:space="preserve">završeném výkonu </w:t>
      </w:r>
      <w:r w:rsidR="00E065B2" w:rsidRPr="003D1E07">
        <w:t xml:space="preserve">poznání </w:t>
      </w:r>
      <w:r w:rsidR="00BB7DEE" w:rsidRPr="003D1E07">
        <w:t>jako univerzální obecnina. Text přesně sleduje termínem</w:t>
      </w:r>
      <w:r w:rsidR="08B17C39" w:rsidRPr="003D1E07">
        <w:t xml:space="preserve"> </w:t>
      </w:r>
      <w:r w:rsidR="00A16E34">
        <w:t>„</w:t>
      </w:r>
      <w:r w:rsidR="00E065B2" w:rsidRPr="003D1E07">
        <w:rPr>
          <w:i/>
        </w:rPr>
        <w:t>cum fuerit abstractus</w:t>
      </w:r>
      <w:r w:rsidR="00A16E34">
        <w:t>“</w:t>
      </w:r>
      <w:r w:rsidR="00E065B2" w:rsidRPr="003D1E07">
        <w:t xml:space="preserve"> </w:t>
      </w:r>
      <w:r w:rsidR="00163D91" w:rsidRPr="003D1E07">
        <w:t xml:space="preserve">podle originálu </w:t>
      </w:r>
      <w:r w:rsidR="00BB7DEE" w:rsidRPr="003D1E07">
        <w:t xml:space="preserve">nadčasový smysl </w:t>
      </w:r>
      <w:r w:rsidR="00163D91" w:rsidRPr="003D1E07">
        <w:t>intelektu-</w:t>
      </w:r>
      <w:r w:rsidR="00BB7DEE" w:rsidRPr="003D1E07">
        <w:t xml:space="preserve">obecniny </w:t>
      </w:r>
      <w:r w:rsidR="00E065B2" w:rsidRPr="003D1E07">
        <w:t>(ὅλως δὲ οὐδὲ χρόνῳ)</w:t>
      </w:r>
      <w:r w:rsidR="00BB7DEE" w:rsidRPr="003D1E07">
        <w:t xml:space="preserve">, který je </w:t>
      </w:r>
      <w:r w:rsidR="00E065B2" w:rsidRPr="003D1E07">
        <w:t>daný v odděleném způsobu predikace jako univerzálie (χωρισθεὶς δ' ἐστὶ μόνον, 430a22</w:t>
      </w:r>
      <w:r w:rsidR="00CA50A0" w:rsidRPr="003D1E07">
        <w:rPr>
          <w:i/>
        </w:rPr>
        <w:fldChar w:fldCharType="begin"/>
      </w:r>
      <w:r w:rsidR="00CA50A0" w:rsidRPr="003D1E07">
        <w:instrText xml:space="preserve"> XE "</w:instrText>
      </w:r>
      <w:r w:rsidR="008E02F5" w:rsidRPr="003D1E07">
        <w:instrText>Aristoteles</w:instrText>
      </w:r>
      <w:r w:rsidR="00CA50A0" w:rsidRPr="003D1E07">
        <w:instrText>:</w:instrText>
      </w:r>
      <w:r w:rsidR="00CA50A0" w:rsidRPr="003D1E07">
        <w:rPr>
          <w:i/>
        </w:rPr>
        <w:instrText>De anima</w:instrText>
      </w:r>
      <w:r w:rsidR="00CA50A0" w:rsidRPr="003D1E07">
        <w:instrText xml:space="preserve"> 430a22" </w:instrText>
      </w:r>
      <w:r w:rsidR="00CA50A0" w:rsidRPr="003D1E07">
        <w:rPr>
          <w:i/>
        </w:rPr>
        <w:fldChar w:fldCharType="end"/>
      </w:r>
      <w:r w:rsidR="00E065B2" w:rsidRPr="003D1E07">
        <w:t xml:space="preserve">). </w:t>
      </w:r>
      <w:r w:rsidR="00436927" w:rsidRPr="003D1E07">
        <w:t>Ta</w:t>
      </w:r>
      <w:r w:rsidR="000127D0" w:rsidRPr="003D1E07">
        <w:t xml:space="preserve">to </w:t>
      </w:r>
      <w:r w:rsidR="00436927" w:rsidRPr="003D1E07">
        <w:t xml:space="preserve">kapitální pasáž </w:t>
      </w:r>
      <w:r w:rsidR="00B713C5" w:rsidRPr="003D1E07">
        <w:rPr>
          <w:i/>
        </w:rPr>
        <w:t>De anima</w:t>
      </w:r>
      <w:r w:rsidR="000127D0" w:rsidRPr="003D1E07">
        <w:t xml:space="preserve"> zakládá podle </w:t>
      </w:r>
      <w:r w:rsidR="08B46C0F" w:rsidRPr="003D1E07">
        <w:t xml:space="preserve">Komentátora </w:t>
      </w:r>
      <w:r w:rsidR="000127D0" w:rsidRPr="003D1E07">
        <w:t xml:space="preserve">oba výše uvedené způsoby predikace </w:t>
      </w:r>
      <w:r w:rsidR="000127D0" w:rsidRPr="003D1E07">
        <w:rPr>
          <w:i/>
        </w:rPr>
        <w:t>per prius</w:t>
      </w:r>
      <w:r w:rsidR="000127D0" w:rsidRPr="003D1E07">
        <w:t xml:space="preserve"> </w:t>
      </w:r>
      <w:r w:rsidR="00523497" w:rsidRPr="003D1E07">
        <w:t xml:space="preserve">a </w:t>
      </w:r>
      <w:r w:rsidR="00523497" w:rsidRPr="003D1E07">
        <w:rPr>
          <w:i/>
        </w:rPr>
        <w:t>per posterius</w:t>
      </w:r>
      <w:r w:rsidR="00523497" w:rsidRPr="003D1E07">
        <w:t xml:space="preserve"> </w:t>
      </w:r>
      <w:r w:rsidR="000127D0" w:rsidRPr="003D1E07">
        <w:t>platné pro materiální intelekt (</w:t>
      </w:r>
      <w:r w:rsidR="000127D0" w:rsidRPr="003D1E07">
        <w:rPr>
          <w:i/>
        </w:rPr>
        <w:t>tertium</w:t>
      </w:r>
      <w:r w:rsidR="00163D91" w:rsidRPr="003D1E07">
        <w:rPr>
          <w:i/>
        </w:rPr>
        <w:t>,</w:t>
      </w:r>
      <w:r w:rsidR="000127D0" w:rsidRPr="003D1E07">
        <w:rPr>
          <w:i/>
        </w:rPr>
        <w:t xml:space="preserve"> </w:t>
      </w:r>
      <w:r w:rsidR="00163D91" w:rsidRPr="003D1E07">
        <w:rPr>
          <w:i/>
        </w:rPr>
        <w:t xml:space="preserve">quartum </w:t>
      </w:r>
      <w:r w:rsidR="00636BD4" w:rsidRPr="006459C2">
        <w:rPr>
          <w:i/>
        </w:rPr>
        <w:t>genus</w:t>
      </w:r>
      <w:r w:rsidR="000127D0" w:rsidRPr="003D1E07">
        <w:t xml:space="preserve">). </w:t>
      </w:r>
      <w:r w:rsidR="00163D91" w:rsidRPr="003D1E07">
        <w:t xml:space="preserve">Dráha </w:t>
      </w:r>
      <w:r w:rsidR="00163D91" w:rsidRPr="003D1E07">
        <w:lastRenderedPageBreak/>
        <w:t>náhledu (</w:t>
      </w:r>
      <w:r w:rsidR="08515F25" w:rsidRPr="003D1E07">
        <w:rPr>
          <w:i/>
        </w:rPr>
        <w:t>Vor-</w:t>
      </w:r>
      <w:r w:rsidR="00163D91" w:rsidRPr="003D1E07">
        <w:rPr>
          <w:i/>
        </w:rPr>
        <w:t>blickbahn</w:t>
      </w:r>
      <w:r w:rsidR="006B28CF" w:rsidRPr="003D1E07">
        <w:rPr>
          <w:i/>
        </w:rPr>
        <w:fldChar w:fldCharType="begin"/>
      </w:r>
      <w:r w:rsidR="006B28CF" w:rsidRPr="003D1E07">
        <w:instrText xml:space="preserve"> XE "</w:instrText>
      </w:r>
      <w:r w:rsidR="08106DC9" w:rsidRPr="003D1E07">
        <w:rPr>
          <w:i/>
        </w:rPr>
        <w:instrText>Vor-</w:instrText>
      </w:r>
      <w:r w:rsidR="006B28CF" w:rsidRPr="003D1E07">
        <w:rPr>
          <w:i/>
        </w:rPr>
        <w:instrText>b</w:instrText>
      </w:r>
      <w:r w:rsidR="006B28CF" w:rsidRPr="003D1E07">
        <w:rPr>
          <w:i/>
          <w:iCs/>
        </w:rPr>
        <w:instrText>lickbahn</w:instrText>
      </w:r>
      <w:r w:rsidR="00CA50A0" w:rsidRPr="003D1E07">
        <w:rPr>
          <w:iCs/>
        </w:rPr>
        <w:instrText>:</w:instrText>
      </w:r>
      <w:r w:rsidR="002E3B62" w:rsidRPr="003D1E07">
        <w:rPr>
          <w:iCs/>
        </w:rPr>
        <w:instrText>Averroes</w:instrText>
      </w:r>
      <w:r w:rsidR="006B28CF" w:rsidRPr="003D1E07">
        <w:instrText xml:space="preserve">" </w:instrText>
      </w:r>
      <w:r w:rsidR="006B28CF" w:rsidRPr="003D1E07">
        <w:rPr>
          <w:i/>
        </w:rPr>
        <w:fldChar w:fldCharType="end"/>
      </w:r>
      <w:r w:rsidR="08911B71" w:rsidRPr="003D1E07">
        <w:t xml:space="preserve">) může být dvojí, viz citovaná </w:t>
      </w:r>
      <w:r w:rsidR="00163D91" w:rsidRPr="003D1E07">
        <w:t xml:space="preserve">pasáž </w:t>
      </w:r>
      <w:r w:rsidR="00163D91" w:rsidRPr="003D1E07">
        <w:rPr>
          <w:i/>
        </w:rPr>
        <w:t>Kategorií</w:t>
      </w:r>
      <w:r w:rsidR="00163D91" w:rsidRPr="003D1E07">
        <w:t xml:space="preserve">. </w:t>
      </w:r>
      <w:r w:rsidR="00385BB9" w:rsidRPr="00385BB9">
        <w:t xml:space="preserve">Buď predikujeme intelekt v modu </w:t>
      </w:r>
      <w:r w:rsidR="00385BB9" w:rsidRPr="00385BB9">
        <w:rPr>
          <w:i/>
        </w:rPr>
        <w:t>per prius</w:t>
      </w:r>
      <w:r w:rsidR="00385BB9" w:rsidRPr="00385BB9">
        <w:t xml:space="preserve"> imp</w:t>
      </w:r>
      <w:r w:rsidR="001D7EE3">
        <w:t>ozicí od jeho výkonu. H</w:t>
      </w:r>
      <w:r w:rsidR="00385BB9" w:rsidRPr="00385BB9">
        <w:t>ypar</w:t>
      </w:r>
      <w:r w:rsidR="00EC7393">
        <w:t>chické myšlení Sokrata</w:t>
      </w:r>
      <w:r w:rsidR="00385BB9" w:rsidRPr="00385BB9">
        <w:t xml:space="preserve"> </w:t>
      </w:r>
      <w:r w:rsidR="001D7EE3">
        <w:t xml:space="preserve">tvoří </w:t>
      </w:r>
      <w:r w:rsidR="008E478F">
        <w:t xml:space="preserve">základ predikace </w:t>
      </w:r>
      <w:r w:rsidR="001D7EE3" w:rsidRPr="00385BB9">
        <w:rPr>
          <w:i/>
        </w:rPr>
        <w:t>intellectus possibilis</w:t>
      </w:r>
      <w:r w:rsidR="001D7EE3">
        <w:rPr>
          <w:i/>
        </w:rPr>
        <w:t xml:space="preserve"> </w:t>
      </w:r>
      <w:r w:rsidR="001D7EE3" w:rsidRPr="001D7EE3">
        <w:t>jako</w:t>
      </w:r>
      <w:r w:rsidR="001D7EE3">
        <w:rPr>
          <w:i/>
        </w:rPr>
        <w:t xml:space="preserve"> </w:t>
      </w:r>
      <w:r w:rsidR="001D7EE3">
        <w:t>třetí rod</w:t>
      </w:r>
      <w:r w:rsidR="00385BB9" w:rsidRPr="00385BB9">
        <w:t>. Z tohoto aktu osoby pak abstrahujem</w:t>
      </w:r>
      <w:r w:rsidR="00385BB9">
        <w:t xml:space="preserve">e intelekt v modu univerzální impozice </w:t>
      </w:r>
      <w:r w:rsidR="00385BB9" w:rsidRPr="00385BB9">
        <w:t xml:space="preserve">v průběhu času </w:t>
      </w:r>
      <w:r w:rsidR="00385BB9" w:rsidRPr="00385BB9">
        <w:rPr>
          <w:i/>
        </w:rPr>
        <w:t>per posterius</w:t>
      </w:r>
      <w:r w:rsidR="00385BB9" w:rsidRPr="00385BB9">
        <w:t xml:space="preserve"> jako společné jednoznačné určení člověka </w:t>
      </w:r>
      <w:r w:rsidR="00385BB9">
        <w:t>(„</w:t>
      </w:r>
      <w:r w:rsidR="00385BB9" w:rsidRPr="00385BB9">
        <w:rPr>
          <w:i/>
        </w:rPr>
        <w:t>homo</w:t>
      </w:r>
      <w:r w:rsidR="00385BB9">
        <w:t xml:space="preserve">“) </w:t>
      </w:r>
      <w:r w:rsidR="00385BB9" w:rsidRPr="00385BB9">
        <w:t xml:space="preserve">jako </w:t>
      </w:r>
      <w:r w:rsidR="00385BB9">
        <w:t xml:space="preserve">obecného </w:t>
      </w:r>
      <w:r w:rsidR="00385BB9" w:rsidRPr="00385BB9">
        <w:t>druhu</w:t>
      </w:r>
      <w:r w:rsidR="006A5747">
        <w:t xml:space="preserve">. Pak dostaneme </w:t>
      </w:r>
      <w:r w:rsidR="00385BB9" w:rsidRPr="00385BB9">
        <w:rPr>
          <w:i/>
        </w:rPr>
        <w:t>intellectus possibilis</w:t>
      </w:r>
      <w:r w:rsidR="006A5747">
        <w:t xml:space="preserve"> </w:t>
      </w:r>
      <w:r w:rsidR="00385BB9" w:rsidRPr="00385BB9">
        <w:t xml:space="preserve">jako </w:t>
      </w:r>
      <w:r w:rsidR="008E478F">
        <w:t xml:space="preserve">univerzální koncept </w:t>
      </w:r>
      <w:r w:rsidR="006A5747">
        <w:t>v rámci čtvrtého rodu</w:t>
      </w:r>
      <w:r w:rsidR="00385BB9" w:rsidRPr="00385BB9">
        <w:t xml:space="preserve">. Jiný přístup </w:t>
      </w:r>
      <w:r w:rsidR="006A5747">
        <w:t xml:space="preserve">daný </w:t>
      </w:r>
      <w:r w:rsidR="00385BB9">
        <w:t xml:space="preserve">skrze </w:t>
      </w:r>
      <w:r w:rsidR="00385BB9" w:rsidRPr="00385BB9">
        <w:t xml:space="preserve">supozici začíná v modu </w:t>
      </w:r>
      <w:r w:rsidR="00385BB9" w:rsidRPr="00385BB9">
        <w:rPr>
          <w:i/>
        </w:rPr>
        <w:t xml:space="preserve">per prius </w:t>
      </w:r>
      <w:r w:rsidR="00385BB9">
        <w:t xml:space="preserve">na úrovni genericky pojatého </w:t>
      </w:r>
      <w:r w:rsidR="00385BB9" w:rsidRPr="00385BB9">
        <w:t>lidstv</w:t>
      </w:r>
      <w:r w:rsidR="00385BB9">
        <w:t>a</w:t>
      </w:r>
      <w:r w:rsidR="00385BB9" w:rsidRPr="00385BB9">
        <w:t xml:space="preserve"> (Dantova </w:t>
      </w:r>
      <w:r w:rsidR="00385BB9" w:rsidRPr="00385BB9">
        <w:rPr>
          <w:i/>
        </w:rPr>
        <w:t>universitas humana</w:t>
      </w:r>
      <w:r w:rsidR="00385BB9" w:rsidRPr="00385BB9">
        <w:t xml:space="preserve">). Predikace </w:t>
      </w:r>
      <w:r w:rsidR="00385BB9">
        <w:t xml:space="preserve">generického </w:t>
      </w:r>
      <w:r w:rsidR="00385BB9" w:rsidRPr="00385BB9">
        <w:rPr>
          <w:i/>
        </w:rPr>
        <w:t>intellectus speculativus</w:t>
      </w:r>
      <w:r w:rsidR="00385BB9" w:rsidRPr="00385BB9">
        <w:t xml:space="preserve"> </w:t>
      </w:r>
      <w:r w:rsidR="00385BB9">
        <w:t>jde v m</w:t>
      </w:r>
      <w:r w:rsidR="00385BB9" w:rsidRPr="00385BB9">
        <w:t xml:space="preserve">odu </w:t>
      </w:r>
      <w:r w:rsidR="00385BB9" w:rsidRPr="00385BB9">
        <w:rPr>
          <w:i/>
        </w:rPr>
        <w:t>per posterius</w:t>
      </w:r>
      <w:r w:rsidR="00385BB9" w:rsidRPr="00385BB9">
        <w:t xml:space="preserve"> na člověka jako druh </w:t>
      </w:r>
      <w:r w:rsidR="00385BB9">
        <w:t>(„</w:t>
      </w:r>
      <w:r w:rsidR="00385BB9" w:rsidRPr="00385BB9">
        <w:rPr>
          <w:i/>
        </w:rPr>
        <w:t>homo</w:t>
      </w:r>
      <w:r w:rsidR="00385BB9">
        <w:t xml:space="preserve">“) </w:t>
      </w:r>
      <w:r w:rsidR="00385BB9" w:rsidRPr="00385BB9">
        <w:t>a nakonec na jednotlivce</w:t>
      </w:r>
      <w:r w:rsidR="00385BB9">
        <w:t xml:space="preserve"> („</w:t>
      </w:r>
      <w:r w:rsidR="00385BB9" w:rsidRPr="00385BB9">
        <w:rPr>
          <w:i/>
        </w:rPr>
        <w:t>individuum</w:t>
      </w:r>
      <w:r w:rsidR="00385BB9">
        <w:t>“)</w:t>
      </w:r>
      <w:r w:rsidR="00F93B2E">
        <w:t>. Status „</w:t>
      </w:r>
      <w:r w:rsidR="00385BB9" w:rsidRPr="00385BB9">
        <w:rPr>
          <w:i/>
        </w:rPr>
        <w:t>intellectus possibilis</w:t>
      </w:r>
      <w:r w:rsidR="00F93B2E">
        <w:t>“</w:t>
      </w:r>
      <w:r w:rsidR="00385BB9" w:rsidRPr="00385BB9">
        <w:t xml:space="preserve"> </w:t>
      </w:r>
      <w:r w:rsidR="00385BB9">
        <w:t>vzhledem k pojmu „</w:t>
      </w:r>
      <w:r w:rsidR="00385BB9" w:rsidRPr="00385BB9">
        <w:rPr>
          <w:i/>
        </w:rPr>
        <w:t>homo</w:t>
      </w:r>
      <w:r w:rsidR="00385BB9">
        <w:t xml:space="preserve">“ </w:t>
      </w:r>
      <w:r w:rsidR="00385BB9" w:rsidRPr="00385BB9">
        <w:t xml:space="preserve">je díky impozici </w:t>
      </w:r>
      <w:r w:rsidR="007F6332">
        <w:rPr>
          <w:noProof w:val="0"/>
          <w:lang w:val="en-US" w:eastAsia="en-US"/>
        </w:rPr>
        <w:t>(</w:t>
      </w:r>
      <w:r w:rsidR="007F6332" w:rsidRPr="00CA0146">
        <w:rPr>
          <w:i/>
          <w:noProof w:val="0"/>
          <w:lang w:val="en-US" w:eastAsia="en-US"/>
        </w:rPr>
        <w:t>tertium genus, intellectus corruptibilis</w:t>
      </w:r>
      <w:r w:rsidR="007F6332">
        <w:rPr>
          <w:noProof w:val="0"/>
          <w:lang w:val="en-US" w:eastAsia="en-US"/>
        </w:rPr>
        <w:t xml:space="preserve">) </w:t>
      </w:r>
      <w:r w:rsidR="00385BB9" w:rsidRPr="00385BB9">
        <w:t xml:space="preserve">a supozici </w:t>
      </w:r>
      <w:r w:rsidR="007F6332">
        <w:rPr>
          <w:noProof w:val="0"/>
          <w:lang w:val="en-US" w:eastAsia="en-US"/>
        </w:rPr>
        <w:t>(</w:t>
      </w:r>
      <w:r w:rsidR="007F6332" w:rsidRPr="00CA0146">
        <w:rPr>
          <w:i/>
          <w:noProof w:val="0"/>
          <w:lang w:val="en-US" w:eastAsia="en-US"/>
        </w:rPr>
        <w:t>quartum genus, intellectus immortalis</w:t>
      </w:r>
      <w:r w:rsidR="007F6332">
        <w:rPr>
          <w:noProof w:val="0"/>
          <w:lang w:val="en-US" w:eastAsia="en-US"/>
        </w:rPr>
        <w:t xml:space="preserve">) </w:t>
      </w:r>
      <w:r w:rsidR="00385BB9" w:rsidRPr="00385BB9">
        <w:t>dvakrát zásadně odlišný.</w:t>
      </w:r>
      <w:r w:rsidR="007F6332">
        <w:t xml:space="preserve"> </w:t>
      </w:r>
      <w:r w:rsidR="00385BB9">
        <w:t>A je zb</w:t>
      </w:r>
      <w:r w:rsidR="00153342">
        <w:t xml:space="preserve">ytečné dodávat, že hyparchický Sokrates </w:t>
      </w:r>
      <w:r w:rsidR="00385BB9">
        <w:t>nemá s jeho indiv</w:t>
      </w:r>
      <w:r w:rsidR="000356F9">
        <w:t>idualitou společného téměř nic. I</w:t>
      </w:r>
      <w:r w:rsidR="0026428F">
        <w:t>ndividualita Sokrata (</w:t>
      </w:r>
      <w:r w:rsidR="00674C16" w:rsidRPr="0026428F">
        <w:rPr>
          <w:i/>
        </w:rPr>
        <w:t>individuum</w:t>
      </w:r>
      <w:r w:rsidR="0026428F">
        <w:t>)</w:t>
      </w:r>
      <w:r w:rsidR="00674C16">
        <w:t xml:space="preserve"> má </w:t>
      </w:r>
      <w:r w:rsidR="00385BB9">
        <w:t xml:space="preserve">jen supozičně daný specifický význam. </w:t>
      </w:r>
      <w:r w:rsidR="00385BB9" w:rsidRPr="00385BB9">
        <w:t xml:space="preserve"> </w:t>
      </w:r>
      <w:r w:rsidR="009B4C8E">
        <w:t>Moderna srovnala mrtvolu, Sokrata a jeho individualitu do jednoho objektivního sofismatu.</w:t>
      </w:r>
    </w:p>
    <w:p w14:paraId="379E3491" w14:textId="0E2C1CEA" w:rsidR="08D43686" w:rsidRPr="003D1E07" w:rsidRDefault="00B60EEB" w:rsidP="0026428F">
      <w:pPr>
        <w:ind w:firstLine="397"/>
      </w:pPr>
      <w:r>
        <w:t>Tato d</w:t>
      </w:r>
      <w:r w:rsidR="00822829" w:rsidRPr="003D1E07">
        <w:t xml:space="preserve">vojí </w:t>
      </w:r>
      <w:r w:rsidR="00F75256" w:rsidRPr="003D1E07">
        <w:t xml:space="preserve">kategoriální </w:t>
      </w:r>
      <w:r w:rsidR="00E53DF9" w:rsidRPr="003D1E07">
        <w:t xml:space="preserve">predikace nemateriálního intelektu v aktu naší poznávající vůle chybí jak Alexandrovi tak Themistiovi, protože nedodrželi Aristotelovo </w:t>
      </w:r>
      <w:r w:rsidR="00E53DF9" w:rsidRPr="003D1E07">
        <w:rPr>
          <w:i/>
        </w:rPr>
        <w:t>proportio</w:t>
      </w:r>
      <w:r w:rsidR="00E53DF9" w:rsidRPr="003D1E07">
        <w:t xml:space="preserve"> a oddělili </w:t>
      </w:r>
      <w:r w:rsidR="00647B59">
        <w:t xml:space="preserve">hned na začátku </w:t>
      </w:r>
      <w:r w:rsidR="085C6BB0" w:rsidRPr="003D1E07">
        <w:t xml:space="preserve">nemateriální </w:t>
      </w:r>
      <w:r w:rsidR="00E53DF9" w:rsidRPr="003D1E07">
        <w:t>intelekt</w:t>
      </w:r>
      <w:r w:rsidR="00D85F3D" w:rsidRPr="003D1E07">
        <w:t xml:space="preserve"> od </w:t>
      </w:r>
      <w:r w:rsidR="00647B59">
        <w:t xml:space="preserve">osobního </w:t>
      </w:r>
      <w:r w:rsidR="00D85F3D" w:rsidRPr="003D1E07">
        <w:t>výkonu poznání</w:t>
      </w:r>
      <w:r w:rsidR="00E53DF9" w:rsidRPr="003D1E07">
        <w:t>.</w:t>
      </w:r>
      <w:r w:rsidR="005C55C0" w:rsidRPr="003D1E07">
        <w:t xml:space="preserve"> </w:t>
      </w:r>
      <w:r w:rsidR="08286A1B" w:rsidRPr="003D1E07">
        <w:t xml:space="preserve">Přesněji řečeno, toto oddělení věčného intelektu se děje stále znovu v mytologickém čase-počátku, na němž jsou založeny neoplatonské pohádky pro vážené akademiky </w:t>
      </w:r>
      <w:r w:rsidR="08286A1B" w:rsidRPr="003D1E07">
        <w:rPr>
          <w:szCs w:val="24"/>
        </w:rPr>
        <w:t>(</w:t>
      </w:r>
      <w:r w:rsidR="08286A1B" w:rsidRPr="003D1E07">
        <w:rPr>
          <w:i/>
          <w:szCs w:val="24"/>
        </w:rPr>
        <w:t>in illo tempore</w:t>
      </w:r>
      <w:r w:rsidR="08286A1B" w:rsidRPr="003D1E07">
        <w:rPr>
          <w:i/>
          <w:szCs w:val="24"/>
        </w:rPr>
        <w:fldChar w:fldCharType="begin"/>
      </w:r>
      <w:r w:rsidR="08286A1B" w:rsidRPr="003D1E07">
        <w:instrText xml:space="preserve"> XE "</w:instrText>
      </w:r>
      <w:r w:rsidR="08286A1B" w:rsidRPr="003D1E07">
        <w:rPr>
          <w:i/>
          <w:szCs w:val="24"/>
        </w:rPr>
        <w:instrText>in illo tempore</w:instrText>
      </w:r>
      <w:r w:rsidR="08286A1B" w:rsidRPr="003D1E07">
        <w:instrText xml:space="preserve">" </w:instrText>
      </w:r>
      <w:r w:rsidR="08286A1B" w:rsidRPr="003D1E07">
        <w:rPr>
          <w:i/>
          <w:szCs w:val="24"/>
        </w:rPr>
        <w:fldChar w:fldCharType="end"/>
      </w:r>
      <w:r w:rsidR="08286A1B" w:rsidRPr="003D1E07">
        <w:rPr>
          <w:szCs w:val="24"/>
        </w:rPr>
        <w:t>).</w:t>
      </w:r>
      <w:r w:rsidR="084448C5" w:rsidRPr="003D1E07">
        <w:rPr>
          <w:szCs w:val="24"/>
        </w:rPr>
        <w:t xml:space="preserve"> </w:t>
      </w:r>
      <w:r w:rsidR="084448C5" w:rsidRPr="003D1E07">
        <w:t>Myt</w:t>
      </w:r>
      <w:r w:rsidR="0030429F" w:rsidRPr="003D1E07">
        <w:t xml:space="preserve">ologická </w:t>
      </w:r>
      <w:r w:rsidR="084448C5" w:rsidRPr="003D1E07">
        <w:t>ge</w:t>
      </w:r>
      <w:r w:rsidR="0030429F" w:rsidRPr="003D1E07">
        <w:t>ne</w:t>
      </w:r>
      <w:r w:rsidR="084448C5" w:rsidRPr="003D1E07">
        <w:t xml:space="preserve">ze moderního </w:t>
      </w:r>
      <w:r w:rsidR="0030429F" w:rsidRPr="003D1E07">
        <w:t>intelektu je produkuje jako simulákrum</w:t>
      </w:r>
      <w:r w:rsidR="084448C5" w:rsidRPr="003D1E07">
        <w:t xml:space="preserve"> </w:t>
      </w:r>
      <w:r w:rsidR="0030429F" w:rsidRPr="003D1E07">
        <w:t>a jsoucno</w:t>
      </w:r>
      <w:r w:rsidR="084448C5" w:rsidRPr="003D1E07">
        <w:t xml:space="preserve"> třetího druhu</w:t>
      </w:r>
      <w:r w:rsidR="0030429F" w:rsidRPr="003D1E07">
        <w:t xml:space="preserve">. Produkce </w:t>
      </w:r>
      <w:r w:rsidR="00315A8B" w:rsidRPr="003D1E07">
        <w:t xml:space="preserve">akademických pohádek </w:t>
      </w:r>
      <w:r w:rsidR="0030429F" w:rsidRPr="003D1E07">
        <w:t>běží p</w:t>
      </w:r>
      <w:r w:rsidR="084448C5" w:rsidRPr="003D1E07">
        <w:t>od vliv</w:t>
      </w:r>
      <w:r w:rsidR="08020994" w:rsidRPr="003D1E07">
        <w:t>em Fúri</w:t>
      </w:r>
      <w:r w:rsidR="084448C5" w:rsidRPr="003D1E07">
        <w:t xml:space="preserve">í </w:t>
      </w:r>
      <w:r w:rsidR="0030429F" w:rsidRPr="003D1E07">
        <w:t xml:space="preserve">a má </w:t>
      </w:r>
      <w:r w:rsidR="084448C5" w:rsidRPr="003D1E07">
        <w:t>mytopoetický</w:t>
      </w:r>
      <w:r w:rsidR="0030429F" w:rsidRPr="003D1E07">
        <w:t xml:space="preserve">, </w:t>
      </w:r>
      <w:r w:rsidR="08CA0120" w:rsidRPr="003D1E07">
        <w:t xml:space="preserve">a </w:t>
      </w:r>
      <w:r w:rsidR="084448C5" w:rsidRPr="003D1E07">
        <w:t xml:space="preserve">proto zcela moderní charakter. Tím se liší od abstraktní věčnosti intelektu daného na základě procesu poznávání </w:t>
      </w:r>
      <w:r w:rsidR="08226A82" w:rsidRPr="003D1E07">
        <w:t xml:space="preserve">smrtelného </w:t>
      </w:r>
      <w:r w:rsidR="00234616">
        <w:t xml:space="preserve">intelektu primárně predikovaného jako </w:t>
      </w:r>
      <w:r w:rsidR="084448C5" w:rsidRPr="003D1E07">
        <w:rPr>
          <w:i/>
        </w:rPr>
        <w:t xml:space="preserve">tertium </w:t>
      </w:r>
      <w:r w:rsidR="00636BD4" w:rsidRPr="006459C2">
        <w:rPr>
          <w:i/>
        </w:rPr>
        <w:t>genus</w:t>
      </w:r>
      <w:r w:rsidR="084448C5" w:rsidRPr="003D1E07">
        <w:t>. Tato deduktivně pojatá geneze intelektu-</w:t>
      </w:r>
      <w:r w:rsidR="00F214C5" w:rsidRPr="003D1E07">
        <w:t>species</w:t>
      </w:r>
      <w:r w:rsidR="084448C5" w:rsidRPr="003D1E07">
        <w:t xml:space="preserve"> </w:t>
      </w:r>
      <w:r w:rsidR="081C1C2B" w:rsidRPr="003D1E07">
        <w:t xml:space="preserve">v modu </w:t>
      </w:r>
      <w:r w:rsidR="081C1C2B" w:rsidRPr="003D1E07">
        <w:rPr>
          <w:i/>
        </w:rPr>
        <w:t xml:space="preserve">quartum </w:t>
      </w:r>
      <w:r w:rsidR="00636BD4" w:rsidRPr="006459C2">
        <w:rPr>
          <w:i/>
        </w:rPr>
        <w:t>genus</w:t>
      </w:r>
      <w:r w:rsidR="081C1C2B" w:rsidRPr="003D1E07">
        <w:t xml:space="preserve"> </w:t>
      </w:r>
      <w:r w:rsidR="084448C5" w:rsidRPr="003D1E07">
        <w:t>má vědecky-kritický</w:t>
      </w:r>
      <w:r w:rsidR="08CA0120" w:rsidRPr="003D1E07">
        <w:t xml:space="preserve"> a </w:t>
      </w:r>
      <w:r w:rsidR="084448C5" w:rsidRPr="003D1E07">
        <w:t xml:space="preserve">proto aristotelský charakter. </w:t>
      </w:r>
      <w:r w:rsidR="08421396" w:rsidRPr="003D1E07">
        <w:t>Originální s</w:t>
      </w:r>
      <w:r w:rsidR="003C065E" w:rsidRPr="003D1E07">
        <w:t xml:space="preserve">eparace </w:t>
      </w:r>
      <w:r w:rsidR="08421396" w:rsidRPr="003D1E07">
        <w:t xml:space="preserve">ve spisu </w:t>
      </w:r>
      <w:r w:rsidR="08421396" w:rsidRPr="003D1E07">
        <w:rPr>
          <w:i/>
        </w:rPr>
        <w:t>De anima</w:t>
      </w:r>
      <w:r w:rsidR="08421396" w:rsidRPr="003D1E07">
        <w:t xml:space="preserve"> </w:t>
      </w:r>
      <w:r w:rsidR="003C065E" w:rsidRPr="003D1E07">
        <w:t xml:space="preserve">se </w:t>
      </w:r>
      <w:r w:rsidR="08BD0DD1" w:rsidRPr="003D1E07">
        <w:t xml:space="preserve">netýká </w:t>
      </w:r>
      <w:r w:rsidR="003C065E" w:rsidRPr="003D1E07">
        <w:t>intelektu jako objektivního jsoucna třetího druhu, ale dvou modů predik</w:t>
      </w:r>
      <w:r w:rsidR="003A65FF" w:rsidRPr="003D1E07">
        <w:t>a</w:t>
      </w:r>
      <w:r w:rsidR="003C065E" w:rsidRPr="003D1E07">
        <w:t>ce vztažené jinak k intel</w:t>
      </w:r>
      <w:r w:rsidR="003A65FF" w:rsidRPr="003D1E07">
        <w:t>e</w:t>
      </w:r>
      <w:r w:rsidR="003C065E" w:rsidRPr="003D1E07">
        <w:t>k</w:t>
      </w:r>
      <w:r w:rsidR="003A65FF" w:rsidRPr="003D1E07">
        <w:t>t</w:t>
      </w:r>
      <w:r w:rsidR="003C065E" w:rsidRPr="003D1E07">
        <w:t>u jako první substanci</w:t>
      </w:r>
      <w:r w:rsidR="00AA32A1">
        <w:t xml:space="preserve"> reálného člověka</w:t>
      </w:r>
      <w:r w:rsidR="003F0842">
        <w:t xml:space="preserve"> (impozice)</w:t>
      </w:r>
      <w:r w:rsidR="003C065E" w:rsidRPr="003D1E07">
        <w:t>, a jinak k intelektu jako ke druhé substanci</w:t>
      </w:r>
      <w:r w:rsidR="003F0842">
        <w:t xml:space="preserve"> </w:t>
      </w:r>
      <w:r w:rsidR="00AA32A1">
        <w:t xml:space="preserve">abstraktního lidstva </w:t>
      </w:r>
      <w:r w:rsidR="003F0842">
        <w:t>(supozice)</w:t>
      </w:r>
      <w:r w:rsidR="003C065E" w:rsidRPr="003D1E07">
        <w:t xml:space="preserve">. </w:t>
      </w:r>
      <w:r w:rsidR="003A65FF" w:rsidRPr="003D1E07">
        <w:t xml:space="preserve">Tady zcela pochopitelně platí model separace, protože oba druhy intelektu jsou rodově odlišné. </w:t>
      </w:r>
      <w:r w:rsidR="000B7179">
        <w:t>J</w:t>
      </w:r>
      <w:r w:rsidR="000B7179" w:rsidRPr="003D1E07">
        <w:t>e jasný</w:t>
      </w:r>
      <w:r w:rsidR="000B7179">
        <w:t xml:space="preserve">  r</w:t>
      </w:r>
      <w:r w:rsidR="003A65FF" w:rsidRPr="003D1E07">
        <w:t xml:space="preserve">ozdíl </w:t>
      </w:r>
      <w:r w:rsidR="000B7179">
        <w:t>mezi třetí formou</w:t>
      </w:r>
      <w:r w:rsidR="003A65FF" w:rsidRPr="003D1E07">
        <w:t xml:space="preserve"> </w:t>
      </w:r>
      <w:r w:rsidR="00A06D46">
        <w:t xml:space="preserve">impozičně predikovaného </w:t>
      </w:r>
      <w:r w:rsidR="003A65FF" w:rsidRPr="003D1E07">
        <w:t xml:space="preserve">intelektu </w:t>
      </w:r>
      <w:r w:rsidR="000B7179">
        <w:t>specific</w:t>
      </w:r>
      <w:r w:rsidR="00011CFA">
        <w:t xml:space="preserve">kého člověka </w:t>
      </w:r>
      <w:r w:rsidR="000B7179">
        <w:t xml:space="preserve">a </w:t>
      </w:r>
      <w:r w:rsidR="003A65FF" w:rsidRPr="003D1E07">
        <w:t xml:space="preserve">univerzální rodové formy pasivního intelektu </w:t>
      </w:r>
      <w:r w:rsidR="000B7179">
        <w:t xml:space="preserve">supozičně vzatého pro </w:t>
      </w:r>
      <w:r w:rsidR="00011CFA">
        <w:t>celé</w:t>
      </w:r>
      <w:r w:rsidR="000B7179">
        <w:t xml:space="preserve"> lidstvo</w:t>
      </w:r>
      <w:r w:rsidR="003A65FF" w:rsidRPr="003D1E07">
        <w:t xml:space="preserve">. Univerzální forma </w:t>
      </w:r>
      <w:r w:rsidR="003A65FF" w:rsidRPr="003D1E07">
        <w:rPr>
          <w:i/>
        </w:rPr>
        <w:t>intellectus possibilis</w:t>
      </w:r>
      <w:r w:rsidR="003A65FF" w:rsidRPr="003D1E07">
        <w:t xml:space="preserve"> vzniká až po </w:t>
      </w:r>
      <w:r w:rsidR="003A65FF" w:rsidRPr="003D1E07">
        <w:lastRenderedPageBreak/>
        <w:t>dokonané abstrakci (</w:t>
      </w:r>
      <w:r w:rsidR="003A65FF" w:rsidRPr="003D1E07">
        <w:rPr>
          <w:i/>
        </w:rPr>
        <w:t>cum fuerit abstractus</w:t>
      </w:r>
      <w:r w:rsidR="003A65FF" w:rsidRPr="003D1E07">
        <w:t xml:space="preserve">), viz výše uvedený text </w:t>
      </w:r>
      <w:r w:rsidR="003A65FF" w:rsidRPr="003D1E07">
        <w:rPr>
          <w:i/>
        </w:rPr>
        <w:t>De anima</w:t>
      </w:r>
      <w:r w:rsidR="003A65FF" w:rsidRPr="003D1E07">
        <w:t>. Abstraktní forma možného intelektu (</w:t>
      </w:r>
      <w:r w:rsidR="003A65FF" w:rsidRPr="003D1E07">
        <w:rPr>
          <w:i/>
        </w:rPr>
        <w:t xml:space="preserve">quartum </w:t>
      </w:r>
      <w:r w:rsidR="00636BD4" w:rsidRPr="006459C2">
        <w:rPr>
          <w:i/>
        </w:rPr>
        <w:t>genus</w:t>
      </w:r>
      <w:r w:rsidR="003A65FF" w:rsidRPr="003D1E07">
        <w:rPr>
          <w:i/>
        </w:rPr>
        <w:fldChar w:fldCharType="begin"/>
      </w:r>
      <w:r w:rsidR="003A65FF" w:rsidRPr="003D1E07">
        <w:instrText xml:space="preserve"> XE "</w:instrText>
      </w:r>
      <w:r w:rsidR="003A65FF" w:rsidRPr="003D1E07">
        <w:rPr>
          <w:i/>
        </w:rPr>
        <w:instrText>quartum genus</w:instrText>
      </w:r>
      <w:r w:rsidR="003A65FF" w:rsidRPr="003D1E07">
        <w:instrText xml:space="preserve">" </w:instrText>
      </w:r>
      <w:r w:rsidR="003A65FF" w:rsidRPr="003D1E07">
        <w:rPr>
          <w:i/>
        </w:rPr>
        <w:fldChar w:fldCharType="end"/>
      </w:r>
      <w:r w:rsidR="003A65FF" w:rsidRPr="003D1E07">
        <w:t>) je spojená s myšlením filosofujícího lidstva vybaveného univerzální potenciální schopností formulovat univoční ob</w:t>
      </w:r>
      <w:r w:rsidR="080C6AA7" w:rsidRPr="003D1E07">
        <w:t>sahy myšlení a poznání. Naopak třetí forma</w:t>
      </w:r>
      <w:r w:rsidR="003A65FF" w:rsidRPr="003D1E07">
        <w:t xml:space="preserve"> možného intelektu (</w:t>
      </w:r>
      <w:r w:rsidR="003A65FF" w:rsidRPr="003D1E07">
        <w:rPr>
          <w:i/>
        </w:rPr>
        <w:t xml:space="preserve">tertium </w:t>
      </w:r>
      <w:r w:rsidR="00636BD4" w:rsidRPr="006459C2">
        <w:rPr>
          <w:i/>
        </w:rPr>
        <w:t>genus</w:t>
      </w:r>
      <w:r w:rsidR="003A65FF" w:rsidRPr="003D1E07">
        <w:rPr>
          <w:i/>
        </w:rPr>
        <w:fldChar w:fldCharType="begin"/>
      </w:r>
      <w:r w:rsidR="003A65FF" w:rsidRPr="003D1E07">
        <w:instrText xml:space="preserve"> XE "</w:instrText>
      </w:r>
      <w:r w:rsidR="003A65FF" w:rsidRPr="003D1E07">
        <w:rPr>
          <w:i/>
        </w:rPr>
        <w:instrText>tertium genus</w:instrText>
      </w:r>
      <w:r w:rsidR="003A65FF" w:rsidRPr="003D1E07">
        <w:instrText xml:space="preserve">" </w:instrText>
      </w:r>
      <w:r w:rsidR="003A65FF" w:rsidRPr="003D1E07">
        <w:rPr>
          <w:i/>
        </w:rPr>
        <w:fldChar w:fldCharType="end"/>
      </w:r>
      <w:r w:rsidR="003A65FF" w:rsidRPr="003D1E07">
        <w:t>) je faktická schopnost tělesně dané duše jako první substance, která je aktualizovaná od potence k aktualitě v reá</w:t>
      </w:r>
      <w:r w:rsidR="00E03A7E" w:rsidRPr="003D1E07">
        <w:t xml:space="preserve">lném čase poznání té či oné osoby </w:t>
      </w:r>
      <w:r w:rsidR="003A65FF" w:rsidRPr="003D1E07">
        <w:t>(</w:t>
      </w:r>
      <w:r w:rsidR="003A65FF" w:rsidRPr="003D1E07">
        <w:rPr>
          <w:i/>
        </w:rPr>
        <w:t>in potentia prius est tempore in individuo</w:t>
      </w:r>
      <w:r w:rsidR="003A65FF" w:rsidRPr="003D1E07">
        <w:t xml:space="preserve">, </w:t>
      </w:r>
      <w:r w:rsidR="003A65FF" w:rsidRPr="003D1E07">
        <w:rPr>
          <w:i/>
        </w:rPr>
        <w:t>De anima</w:t>
      </w:r>
      <w:r w:rsidR="003A65FF" w:rsidRPr="003D1E07">
        <w:t xml:space="preserve"> 430a20</w:t>
      </w:r>
      <w:r w:rsidR="003A65FF" w:rsidRPr="003D1E07">
        <w:rPr>
          <w:i/>
        </w:rPr>
        <w:fldChar w:fldCharType="begin"/>
      </w:r>
      <w:r w:rsidR="003A65FF" w:rsidRPr="003D1E07">
        <w:instrText xml:space="preserve"> XE "</w:instrText>
      </w:r>
      <w:r w:rsidR="008E02F5" w:rsidRPr="003D1E07">
        <w:instrText>Aristoteles</w:instrText>
      </w:r>
      <w:r w:rsidR="003A65FF" w:rsidRPr="003D1E07">
        <w:instrText>:</w:instrText>
      </w:r>
      <w:r w:rsidR="003A65FF" w:rsidRPr="003D1E07">
        <w:rPr>
          <w:i/>
        </w:rPr>
        <w:instrText>De anima</w:instrText>
      </w:r>
      <w:r w:rsidR="003A65FF" w:rsidRPr="003D1E07">
        <w:instrText xml:space="preserve"> 430a20" </w:instrText>
      </w:r>
      <w:r w:rsidR="003A65FF" w:rsidRPr="003D1E07">
        <w:rPr>
          <w:i/>
        </w:rPr>
        <w:fldChar w:fldCharType="end"/>
      </w:r>
      <w:r w:rsidR="003A65FF" w:rsidRPr="003D1E07">
        <w:t xml:space="preserve">). </w:t>
      </w:r>
      <w:r w:rsidR="005E411D" w:rsidRPr="003D1E07">
        <w:t>Po Themistiovi a Alexandrovi tento omyl v modu intele</w:t>
      </w:r>
      <w:r w:rsidR="08C17CC6" w:rsidRPr="003D1E07">
        <w:t xml:space="preserve">ktu jako </w:t>
      </w:r>
      <w:r w:rsidR="005E411D" w:rsidRPr="003D1E07">
        <w:rPr>
          <w:i/>
        </w:rPr>
        <w:t>separatus</w:t>
      </w:r>
      <w:r w:rsidR="005E411D" w:rsidRPr="003D1E07">
        <w:t xml:space="preserve"> opakuje současná karteziánská postmoderna. </w:t>
      </w:r>
      <w:r w:rsidR="003A65FF" w:rsidRPr="003D1E07">
        <w:t xml:space="preserve">Tím je dána nová definice materiálního intelektu, který se zásadním způsobem liší od bývalého hypostázovaného intelektu </w:t>
      </w:r>
      <w:r w:rsidR="08623666" w:rsidRPr="003D1E07">
        <w:t>Alexandra a Themistia</w:t>
      </w:r>
      <w:r w:rsidR="003A65FF" w:rsidRPr="003D1E07">
        <w:fldChar w:fldCharType="begin"/>
      </w:r>
      <w:r w:rsidR="003A65FF" w:rsidRPr="003D1E07">
        <w:instrText xml:space="preserve"> XE "</w:instrText>
      </w:r>
      <w:r w:rsidR="08DE18BB" w:rsidRPr="003D1E07">
        <w:instrText>alexandrovci</w:instrText>
      </w:r>
      <w:r w:rsidR="003A65FF" w:rsidRPr="003D1E07">
        <w:instrText xml:space="preserve">" </w:instrText>
      </w:r>
      <w:r w:rsidR="003A65FF" w:rsidRPr="003D1E07">
        <w:fldChar w:fldCharType="end"/>
      </w:r>
      <w:r w:rsidR="003A65FF" w:rsidRPr="003D1E07">
        <w:t>.</w:t>
      </w:r>
      <w:r w:rsidR="08D80528" w:rsidRPr="003D1E07">
        <w:t xml:space="preserve"> Nové pojetí receptivity už není smyslová materie třetího druhu, což je hylický intelekt Themistia. Ani není oddělená hypostázova</w:t>
      </w:r>
      <w:r w:rsidR="00385EB6" w:rsidRPr="003D1E07">
        <w:t>ná potence duše, což je bohužel oddělený</w:t>
      </w:r>
      <w:r w:rsidR="08D80528" w:rsidRPr="003D1E07">
        <w:t xml:space="preserve"> kosmický </w:t>
      </w:r>
      <w:r w:rsidR="08D80528" w:rsidRPr="003D1E07">
        <w:rPr>
          <w:i/>
        </w:rPr>
        <w:t>intellectus possibilis</w:t>
      </w:r>
      <w:r w:rsidR="08D80528" w:rsidRPr="003D1E07">
        <w:t xml:space="preserve"> Alexandra. </w:t>
      </w:r>
      <w:r w:rsidR="08E578A6" w:rsidRPr="003D1E07">
        <w:t>V</w:t>
      </w:r>
      <w:r w:rsidR="08D43686" w:rsidRPr="003D1E07">
        <w:t xml:space="preserve">ýklad zajistil jednotu intelektuálně myslící osoby, protože díky novému statusu </w:t>
      </w:r>
      <w:r w:rsidR="08D43686" w:rsidRPr="003D1E07">
        <w:rPr>
          <w:i/>
        </w:rPr>
        <w:t>intellectus possibilis</w:t>
      </w:r>
      <w:r w:rsidR="08D43686" w:rsidRPr="003D1E07">
        <w:t xml:space="preserve"> má každý z nás myšlení ve své moci</w:t>
      </w:r>
      <w:r w:rsidR="084529BF" w:rsidRPr="003D1E07">
        <w:t xml:space="preserve"> </w:t>
      </w:r>
      <w:r w:rsidR="08CB3314" w:rsidRPr="003D1E07">
        <w:t xml:space="preserve">skrze výkon </w:t>
      </w:r>
      <w:r w:rsidR="088A0211" w:rsidRPr="003D1E07">
        <w:t>„</w:t>
      </w:r>
      <w:r w:rsidR="08CB3314" w:rsidRPr="003D1E07">
        <w:t>materiálního</w:t>
      </w:r>
      <w:r w:rsidR="088A0211" w:rsidRPr="003D1E07">
        <w:t xml:space="preserve">“ </w:t>
      </w:r>
      <w:r w:rsidR="084529BF" w:rsidRPr="003D1E07">
        <w:t xml:space="preserve">modu intelektu jako </w:t>
      </w:r>
      <w:r w:rsidR="084529BF" w:rsidRPr="003D1E07">
        <w:rPr>
          <w:i/>
        </w:rPr>
        <w:t xml:space="preserve">tertium </w:t>
      </w:r>
      <w:r w:rsidR="00636BD4" w:rsidRPr="006459C2">
        <w:rPr>
          <w:i/>
        </w:rPr>
        <w:t>genus</w:t>
      </w:r>
      <w:r w:rsidR="08D43686" w:rsidRPr="003D1E07">
        <w:t xml:space="preserve">. </w:t>
      </w:r>
      <w:r w:rsidR="08422CE9" w:rsidRPr="003D1E07">
        <w:t xml:space="preserve">Je jasné, že </w:t>
      </w:r>
      <w:r w:rsidR="08CB3314" w:rsidRPr="003D1E07">
        <w:t xml:space="preserve">materální </w:t>
      </w:r>
      <w:r w:rsidR="08422CE9" w:rsidRPr="003D1E07">
        <w:t xml:space="preserve">intelekt Themistia </w:t>
      </w:r>
      <w:r w:rsidR="08CB3314" w:rsidRPr="003D1E07">
        <w:t>má předponu „</w:t>
      </w:r>
      <w:r w:rsidR="08CB3314" w:rsidRPr="003D1E07">
        <w:rPr>
          <w:i/>
        </w:rPr>
        <w:t>quasi</w:t>
      </w:r>
      <w:r w:rsidR="08CB3314" w:rsidRPr="003D1E07">
        <w:t>-“, protože tento exis</w:t>
      </w:r>
      <w:r w:rsidR="08422CE9" w:rsidRPr="003D1E07">
        <w:t>tenciální vý</w:t>
      </w:r>
      <w:r w:rsidR="08CB3314" w:rsidRPr="003D1E07">
        <w:t>kon je Alexandrova čistá potence. Stejně tak předponu „</w:t>
      </w:r>
      <w:r w:rsidR="08CB3314" w:rsidRPr="003D1E07">
        <w:rPr>
          <w:i/>
        </w:rPr>
        <w:t>quasi</w:t>
      </w:r>
      <w:r w:rsidR="08CB3314" w:rsidRPr="003D1E07">
        <w:t xml:space="preserve">-“ přijímá také </w:t>
      </w:r>
      <w:r w:rsidR="08CB3314" w:rsidRPr="003D1E07">
        <w:rPr>
          <w:i/>
        </w:rPr>
        <w:t>intellectus agens</w:t>
      </w:r>
      <w:r w:rsidR="08CB3314" w:rsidRPr="003D1E07">
        <w:t xml:space="preserve">, který v tomto existenciálním výkonu porozumění hraje roli formy. </w:t>
      </w:r>
      <w:r w:rsidR="08A47901" w:rsidRPr="003D1E07">
        <w:t xml:space="preserve">Oddělením od neoplatonismu vznikl epochálně nový výklad lidského poznání, který vrátil v modu </w:t>
      </w:r>
      <w:r w:rsidR="08A47901" w:rsidRPr="003D1E07">
        <w:rPr>
          <w:i/>
        </w:rPr>
        <w:t>revolutio</w:t>
      </w:r>
      <w:r w:rsidR="08A47901" w:rsidRPr="003D1E07">
        <w:t xml:space="preserve"> proces poznání k původnímu aristotelskému významu.</w:t>
      </w:r>
    </w:p>
    <w:p w14:paraId="4B537BA9" w14:textId="0540C40D" w:rsidR="08D43686" w:rsidRPr="003D1E07" w:rsidRDefault="08D43686" w:rsidP="08D43686">
      <w:pPr>
        <w:pStyle w:val="Citace"/>
        <w:rPr>
          <w:noProof/>
          <w:sz w:val="21"/>
          <w:szCs w:val="17"/>
          <w:lang w:val="cs-CZ"/>
        </w:rPr>
      </w:pPr>
      <w:r w:rsidRPr="003D1E07">
        <w:rPr>
          <w:lang w:val="cs-CZ"/>
        </w:rPr>
        <w:t xml:space="preserve">„A když </w:t>
      </w:r>
      <w:r w:rsidR="08881FE8" w:rsidRPr="003D1E07">
        <w:rPr>
          <w:lang w:val="cs-CZ"/>
        </w:rPr>
        <w:t xml:space="preserve">Aristoteles </w:t>
      </w:r>
      <w:r w:rsidRPr="003D1E07">
        <w:rPr>
          <w:lang w:val="cs-CZ"/>
        </w:rPr>
        <w:t xml:space="preserve">o tomto intelektu řekl: </w:t>
      </w:r>
      <w:r w:rsidRPr="003D1E07">
        <w:rPr>
          <w:i/>
          <w:lang w:val="cs-CZ"/>
        </w:rPr>
        <w:t>Není to tak, že by jednou rozuměl a jindy ne</w:t>
      </w:r>
      <w:r w:rsidR="00CD24DA">
        <w:rPr>
          <w:lang w:val="cs-CZ"/>
        </w:rPr>
        <w:t xml:space="preserve">, pak tento doslovný význam </w:t>
      </w:r>
      <w:r w:rsidRPr="003D1E07">
        <w:rPr>
          <w:lang w:val="cs-CZ"/>
        </w:rPr>
        <w:t>(</w:t>
      </w:r>
      <w:r w:rsidRPr="003D1E07">
        <w:rPr>
          <w:i/>
          <w:lang w:val="cs-CZ"/>
        </w:rPr>
        <w:t>impossibile est ut iste sermo intelligatur secundum suum manifestum</w:t>
      </w:r>
      <w:r w:rsidRPr="003D1E07">
        <w:rPr>
          <w:lang w:val="cs-CZ"/>
        </w:rPr>
        <w:t>) nelze najít ani u Themistia, ani u Alexandra.“ </w:t>
      </w:r>
      <w:r w:rsidRPr="003D1E07">
        <w:rPr>
          <w:rStyle w:val="Znakapoznpodarou"/>
          <w:noProof/>
          <w:sz w:val="21"/>
          <w:szCs w:val="17"/>
          <w:lang w:val="cs-CZ"/>
        </w:rPr>
        <w:footnoteReference w:id="268"/>
      </w:r>
    </w:p>
    <w:p w14:paraId="1A3000B0" w14:textId="79AE4972" w:rsidR="00EA0220" w:rsidRDefault="0852615C" w:rsidP="00E473DF">
      <w:r w:rsidRPr="003D1E07">
        <w:t xml:space="preserve">Ve schématu CMDA daném nasvícením zepředu </w:t>
      </w:r>
      <w:r w:rsidRPr="003D1E07">
        <w:rPr>
          <w:i/>
        </w:rPr>
        <w:fldChar w:fldCharType="begin"/>
      </w:r>
      <w:r w:rsidRPr="003D1E07">
        <w:instrText xml:space="preserve"> XE "zjevování:nasvícení zepředu" </w:instrText>
      </w:r>
      <w:r w:rsidRPr="003D1E07">
        <w:rPr>
          <w:i/>
        </w:rPr>
        <w:fldChar w:fldCharType="end"/>
      </w:r>
      <w:r w:rsidRPr="003D1E07">
        <w:t xml:space="preserve">od smyslově vnímané první substance je </w:t>
      </w:r>
      <w:r w:rsidRPr="003D1E07">
        <w:rPr>
          <w:i/>
        </w:rPr>
        <w:t>intellectus adeptus</w:t>
      </w:r>
      <w:r w:rsidRPr="003D1E07">
        <w:t xml:space="preserve"> zbytečný a nemá žádnou funkci. Jeho roli převezme poslední syntetická instance zvaná </w:t>
      </w:r>
      <w:r w:rsidRPr="003D1E07">
        <w:rPr>
          <w:i/>
        </w:rPr>
        <w:t>intellectus speculativus</w:t>
      </w:r>
      <w:r w:rsidRPr="003D1E07">
        <w:rPr>
          <w:i/>
        </w:rPr>
        <w:fldChar w:fldCharType="begin"/>
      </w:r>
      <w:r w:rsidRPr="003D1E07">
        <w:instrText xml:space="preserve"> XE "</w:instrText>
      </w:r>
      <w:r w:rsidRPr="003D1E07">
        <w:rPr>
          <w:i/>
        </w:rPr>
        <w:instrText>intellectus speculativus</w:instrText>
      </w:r>
      <w:r w:rsidRPr="003D1E07">
        <w:instrText xml:space="preserve">" </w:instrText>
      </w:r>
      <w:r w:rsidRPr="003D1E07">
        <w:rPr>
          <w:i/>
        </w:rPr>
        <w:fldChar w:fldCharType="end"/>
      </w:r>
      <w:r w:rsidRPr="003D1E07">
        <w:t>.</w:t>
      </w:r>
      <w:r w:rsidR="08D43686" w:rsidRPr="003D1E07">
        <w:t xml:space="preserve"> </w:t>
      </w:r>
      <w:r w:rsidR="00A52927" w:rsidRPr="00A52927">
        <w:t xml:space="preserve">Jeho nejdůležitější role </w:t>
      </w:r>
      <w:r w:rsidR="00A52927">
        <w:t>se týká úrovně</w:t>
      </w:r>
      <w:r w:rsidR="00A52927" w:rsidRPr="00A52927">
        <w:t xml:space="preserve"> </w:t>
      </w:r>
      <w:r w:rsidR="00A52927" w:rsidRPr="00A52927">
        <w:rPr>
          <w:i/>
        </w:rPr>
        <w:t>quartum genus</w:t>
      </w:r>
      <w:r w:rsidR="00A52927" w:rsidRPr="00A52927">
        <w:t xml:space="preserve">, protože zajišťuje jednotu celého </w:t>
      </w:r>
      <w:r w:rsidR="00A52927">
        <w:t>lidstva na úrovni filosoficky založené při</w:t>
      </w:r>
      <w:r w:rsidR="00A52927" w:rsidRPr="00A52927">
        <w:t>ro</w:t>
      </w:r>
      <w:r w:rsidR="00A52927">
        <w:t>zenosti</w:t>
      </w:r>
      <w:r w:rsidR="00A52927" w:rsidRPr="00A52927">
        <w:t xml:space="preserve">. </w:t>
      </w:r>
      <w:r w:rsidR="080E2BA3" w:rsidRPr="003D1E07">
        <w:t>Averroes zrušil neoplatonský</w:t>
      </w:r>
      <w:r w:rsidR="080E2BA3" w:rsidRPr="003D1E07">
        <w:rPr>
          <w:i/>
        </w:rPr>
        <w:t xml:space="preserve"> intellectus adeptus</w:t>
      </w:r>
      <w:r w:rsidR="080E2BA3" w:rsidRPr="003D1E07">
        <w:rPr>
          <w:i/>
        </w:rPr>
        <w:fldChar w:fldCharType="begin"/>
      </w:r>
      <w:r w:rsidR="080E2BA3" w:rsidRPr="003D1E07">
        <w:instrText xml:space="preserve"> XE "</w:instrText>
      </w:r>
      <w:r w:rsidR="080E2BA3" w:rsidRPr="003D1E07">
        <w:rPr>
          <w:i/>
        </w:rPr>
        <w:instrText>intellectus adeptus</w:instrText>
      </w:r>
      <w:r w:rsidR="080E2BA3" w:rsidRPr="003D1E07">
        <w:instrText xml:space="preserve">:Al-Fárábí" </w:instrText>
      </w:r>
      <w:r w:rsidR="080E2BA3" w:rsidRPr="003D1E07">
        <w:rPr>
          <w:i/>
        </w:rPr>
        <w:fldChar w:fldCharType="end"/>
      </w:r>
      <w:r w:rsidR="080E2BA3" w:rsidRPr="003D1E07">
        <w:t>, kte</w:t>
      </w:r>
      <w:r w:rsidR="086F6C49" w:rsidRPr="003D1E07">
        <w:t>rý měl ještě Al-</w:t>
      </w:r>
      <w:r w:rsidR="080E2BA3" w:rsidRPr="003D1E07">
        <w:t xml:space="preserve">Fárábí, protože věřil na nasvícení intelektu zezadu, od světa autonomních forem a kosmických inteligencí. Naopak v CMDA je tato syntetická schopnost nasvícena zepředu od nemateriálního a plně </w:t>
      </w:r>
      <w:r w:rsidR="080E2BA3" w:rsidRPr="003D1E07">
        <w:lastRenderedPageBreak/>
        <w:t xml:space="preserve">potenciálního </w:t>
      </w:r>
      <w:r w:rsidR="080E2BA3" w:rsidRPr="003D1E07">
        <w:rPr>
          <w:i/>
        </w:rPr>
        <w:t>intellectus possibilis</w:t>
      </w:r>
      <w:r w:rsidR="080E2BA3" w:rsidRPr="003D1E07">
        <w:t xml:space="preserve">, který jako jediná schopnost tělesně dané duše přijímá od smyslů nemateriální poznávací formy. </w:t>
      </w:r>
      <w:r w:rsidR="080645E9" w:rsidRPr="003D1E07">
        <w:t xml:space="preserve">Ale tato schopnost duše je naše vlastní po vzoru Themistova </w:t>
      </w:r>
      <w:r w:rsidR="080645E9" w:rsidRPr="003D1E07">
        <w:rPr>
          <w:i/>
        </w:rPr>
        <w:t>intellectus materialis</w:t>
      </w:r>
      <w:r w:rsidR="080645E9" w:rsidRPr="003D1E07">
        <w:t xml:space="preserve">. </w:t>
      </w:r>
      <w:r w:rsidR="08F05D71" w:rsidRPr="003D1E07">
        <w:t xml:space="preserve">Abstraktní </w:t>
      </w:r>
      <w:r w:rsidR="081C0FAE" w:rsidRPr="003D1E07">
        <w:t>podoba</w:t>
      </w:r>
      <w:r w:rsidR="003E59F6" w:rsidRPr="003D1E07">
        <w:t xml:space="preserve"> všech tří forem </w:t>
      </w:r>
      <w:r w:rsidR="08F05D71" w:rsidRPr="003D1E07">
        <w:t xml:space="preserve">intelektu </w:t>
      </w:r>
      <w:r w:rsidR="08897842" w:rsidRPr="003D1E07">
        <w:t>(</w:t>
      </w:r>
      <w:r w:rsidR="08897842" w:rsidRPr="003D1E07">
        <w:rPr>
          <w:i/>
        </w:rPr>
        <w:t>possibilis</w:t>
      </w:r>
      <w:r w:rsidR="08897842" w:rsidRPr="003D1E07">
        <w:t xml:space="preserve">, </w:t>
      </w:r>
      <w:r w:rsidR="08897842" w:rsidRPr="003D1E07">
        <w:rPr>
          <w:i/>
        </w:rPr>
        <w:t>agens</w:t>
      </w:r>
      <w:r w:rsidR="08897842" w:rsidRPr="003D1E07">
        <w:t xml:space="preserve">, </w:t>
      </w:r>
      <w:r w:rsidR="08897842" w:rsidRPr="003D1E07">
        <w:rPr>
          <w:i/>
        </w:rPr>
        <w:t>speculativus</w:t>
      </w:r>
      <w:r w:rsidR="08897842" w:rsidRPr="003D1E07">
        <w:t xml:space="preserve">) </w:t>
      </w:r>
      <w:r w:rsidR="08F05D71" w:rsidRPr="003D1E07">
        <w:t xml:space="preserve">je </w:t>
      </w:r>
      <w:r w:rsidR="088036CE" w:rsidRPr="003D1E07">
        <w:t xml:space="preserve">trvalá a oddělená </w:t>
      </w:r>
      <w:r w:rsidR="08F05D71" w:rsidRPr="003D1E07">
        <w:t xml:space="preserve">ve smyslu </w:t>
      </w:r>
      <w:r w:rsidR="00BB45B1" w:rsidRPr="003D1E07">
        <w:t>Porfyri</w:t>
      </w:r>
      <w:r w:rsidR="08F05D71" w:rsidRPr="003D1E07">
        <w:t>ovy univerzálie</w:t>
      </w:r>
      <w:r w:rsidR="00EA339F" w:rsidRPr="003D1E07">
        <w:t xml:space="preserve"> (</w:t>
      </w:r>
      <w:r w:rsidR="00EA339F" w:rsidRPr="003D1E07">
        <w:rPr>
          <w:i/>
        </w:rPr>
        <w:t>separabilis</w:t>
      </w:r>
      <w:r w:rsidR="00EA339F" w:rsidRPr="003D1E07">
        <w:t>)</w:t>
      </w:r>
      <w:r w:rsidR="08F05D71" w:rsidRPr="003D1E07">
        <w:t xml:space="preserve">. </w:t>
      </w:r>
      <w:r w:rsidR="00626CDC" w:rsidRPr="003D1E07">
        <w:t>Modernisté jsou o</w:t>
      </w:r>
      <w:r w:rsidR="00C61154" w:rsidRPr="003D1E07">
        <w:t xml:space="preserve">vlivnění </w:t>
      </w:r>
      <w:r w:rsidR="08F05D71" w:rsidRPr="003D1E07">
        <w:t xml:space="preserve">Avicennovou konjunkcí darovaného a aktivního intelektu danou ve schématu iluminace podle neoplatonismu, a nikoliv </w:t>
      </w:r>
      <w:r w:rsidR="00C61154" w:rsidRPr="003D1E07">
        <w:t xml:space="preserve">poznáním v rámci </w:t>
      </w:r>
      <w:r w:rsidR="08F05D71" w:rsidRPr="003D1E07">
        <w:t xml:space="preserve">hyparchické predikace podle spisu </w:t>
      </w:r>
      <w:r w:rsidR="08F05D71" w:rsidRPr="003D1E07">
        <w:rPr>
          <w:i/>
        </w:rPr>
        <w:t>Kategorie</w:t>
      </w:r>
      <w:r w:rsidR="08F05D71" w:rsidRPr="003D1E07">
        <w:t xml:space="preserve">. </w:t>
      </w:r>
      <w:r w:rsidR="001B7238" w:rsidRPr="003D1E07">
        <w:t>Podle principu jeho „meta</w:t>
      </w:r>
      <w:r w:rsidR="001B7238" w:rsidRPr="003D1E07">
        <w:noBreakHyphen/>
        <w:t>fyziky“ Averroes nemůže  uznat m</w:t>
      </w:r>
      <w:r w:rsidR="00AA469E" w:rsidRPr="003D1E07">
        <w:t xml:space="preserve">oderní a postmoderní </w:t>
      </w:r>
      <w:r w:rsidR="001B7238" w:rsidRPr="003D1E07">
        <w:t xml:space="preserve">kopulaci </w:t>
      </w:r>
      <w:r w:rsidR="08F05D71" w:rsidRPr="003D1E07">
        <w:t xml:space="preserve">intelektu </w:t>
      </w:r>
      <w:r w:rsidR="00AA469E" w:rsidRPr="003D1E07">
        <w:t xml:space="preserve">a těla </w:t>
      </w:r>
      <w:r w:rsidR="08F05D71" w:rsidRPr="003D1E07">
        <w:t>jako dvou subsistentních forem</w:t>
      </w:r>
      <w:r w:rsidR="001B7238" w:rsidRPr="003D1E07">
        <w:t xml:space="preserve">. Jeho postup sleduje </w:t>
      </w:r>
      <w:r w:rsidR="00C319DF" w:rsidRPr="003D1E07">
        <w:t>zkoumání jednoty prvních substancí, a ne objektivních jsoucen třetího druhu</w:t>
      </w:r>
      <w:r w:rsidR="00273E0E" w:rsidRPr="003D1E07">
        <w:t xml:space="preserve">. První kapitola ukázala, že </w:t>
      </w:r>
      <w:r w:rsidR="08F05D71" w:rsidRPr="003D1E07">
        <w:t xml:space="preserve">v tomto bodě </w:t>
      </w:r>
      <w:r w:rsidR="08B43670" w:rsidRPr="003D1E07">
        <w:t xml:space="preserve">Averroses </w:t>
      </w:r>
      <w:r w:rsidR="08344635" w:rsidRPr="003D1E07">
        <w:t xml:space="preserve">principiálně </w:t>
      </w:r>
      <w:r w:rsidR="00273E0E" w:rsidRPr="003D1E07">
        <w:t>negoval</w:t>
      </w:r>
      <w:r w:rsidR="08F05D71" w:rsidRPr="003D1E07">
        <w:t xml:space="preserve"> Avicennu</w:t>
      </w:r>
      <w:r w:rsidR="00273E0E" w:rsidRPr="003D1E07">
        <w:t xml:space="preserve"> a označil</w:t>
      </w:r>
      <w:r w:rsidR="08344635" w:rsidRPr="003D1E07">
        <w:t xml:space="preserve"> jeho </w:t>
      </w:r>
      <w:r w:rsidR="00874074" w:rsidRPr="003D1E07">
        <w:t>neoplatonsk</w:t>
      </w:r>
      <w:r w:rsidR="00841D6F" w:rsidRPr="003D1E07">
        <w:t xml:space="preserve">ou </w:t>
      </w:r>
      <w:r w:rsidR="08344635" w:rsidRPr="003D1E07">
        <w:t>metafyziku za zásadní omyl</w:t>
      </w:r>
      <w:r w:rsidR="00AA469E" w:rsidRPr="003D1E07">
        <w:t xml:space="preserve"> (kap. 2.4</w:t>
      </w:r>
      <w:r w:rsidR="08F05D71" w:rsidRPr="003D1E07">
        <w:t>.</w:t>
      </w:r>
      <w:r w:rsidR="00AA469E" w:rsidRPr="003D1E07">
        <w:t>1).</w:t>
      </w:r>
      <w:r w:rsidR="08F05D71" w:rsidRPr="003D1E07">
        <w:t xml:space="preserve"> </w:t>
      </w:r>
      <w:r w:rsidR="001D54C6" w:rsidRPr="003D1E07">
        <w:t xml:space="preserve">V individuální podobě tuto dokonanou formu pasivně-aktivní abstrakce reprezentuje </w:t>
      </w:r>
      <w:r w:rsidR="002E3B62" w:rsidRPr="003D1E07">
        <w:t>Averroes</w:t>
      </w:r>
      <w:r w:rsidR="001D54C6" w:rsidRPr="003D1E07">
        <w:t xml:space="preserve">ův koncept </w:t>
      </w:r>
      <w:r w:rsidR="001D54C6" w:rsidRPr="003D1E07">
        <w:rPr>
          <w:i/>
        </w:rPr>
        <w:t>intellectus speculativus</w:t>
      </w:r>
      <w:r w:rsidR="001D54C6" w:rsidRPr="003D1E07">
        <w:rPr>
          <w:i/>
        </w:rPr>
        <w:fldChar w:fldCharType="begin"/>
      </w:r>
      <w:r w:rsidR="001D54C6" w:rsidRPr="003D1E07">
        <w:instrText xml:space="preserve"> XE "</w:instrText>
      </w:r>
      <w:r w:rsidR="0821155B" w:rsidRPr="003D1E07">
        <w:rPr>
          <w:i/>
        </w:rPr>
        <w:instrText>intellectus speculativus</w:instrText>
      </w:r>
      <w:r w:rsidR="001D54C6" w:rsidRPr="003D1E07">
        <w:instrText xml:space="preserve">" </w:instrText>
      </w:r>
      <w:r w:rsidR="001D54C6" w:rsidRPr="003D1E07">
        <w:rPr>
          <w:i/>
        </w:rPr>
        <w:fldChar w:fldCharType="end"/>
      </w:r>
      <w:r w:rsidR="001D54C6" w:rsidRPr="003D1E07">
        <w:t xml:space="preserve"> daný na existenciální úrovni, tedy jako </w:t>
      </w:r>
      <w:r w:rsidR="001D54C6" w:rsidRPr="003D1E07">
        <w:rPr>
          <w:i/>
        </w:rPr>
        <w:t xml:space="preserve">tertium </w:t>
      </w:r>
      <w:r w:rsidR="00636BD4" w:rsidRPr="006459C2">
        <w:rPr>
          <w:i/>
        </w:rPr>
        <w:t>genus</w:t>
      </w:r>
      <w:r w:rsidR="00D27C0D">
        <w:t xml:space="preserve">. </w:t>
      </w:r>
      <w:r w:rsidR="00841D6F" w:rsidRPr="003D1E07">
        <w:t>D</w:t>
      </w:r>
      <w:r w:rsidR="089725EA" w:rsidRPr="003D1E07">
        <w:t xml:space="preserve">vojí </w:t>
      </w:r>
      <w:r w:rsidR="088F0898" w:rsidRPr="003D1E07">
        <w:t xml:space="preserve">statut </w:t>
      </w:r>
      <w:r w:rsidR="00841D6F" w:rsidRPr="003D1E07">
        <w:t xml:space="preserve">intelektu </w:t>
      </w:r>
      <w:r w:rsidR="088F0898" w:rsidRPr="003D1E07">
        <w:t>v rámci celé</w:t>
      </w:r>
      <w:r w:rsidR="089725EA" w:rsidRPr="003D1E07">
        <w:t xml:space="preserve"> architektury CMDA </w:t>
      </w:r>
      <w:r w:rsidR="08717106" w:rsidRPr="003D1E07">
        <w:t>správně pochopil Albert Veliký kolem 1240</w:t>
      </w:r>
      <w:r w:rsidR="080F0B88" w:rsidRPr="003D1E07">
        <w:t xml:space="preserve"> jako první integrální znalec </w:t>
      </w:r>
      <w:r w:rsidR="002E3B62" w:rsidRPr="003D1E07">
        <w:t>Averroes</w:t>
      </w:r>
      <w:r w:rsidR="080F0B88" w:rsidRPr="003D1E07">
        <w:t>e na latinském Západě</w:t>
      </w:r>
      <w:r w:rsidR="08717106" w:rsidRPr="003D1E07">
        <w:t>.</w:t>
      </w:r>
      <w:r w:rsidR="08A9030F" w:rsidRPr="003D1E07">
        <w:t xml:space="preserve"> </w:t>
      </w:r>
      <w:r w:rsidR="002141EE" w:rsidRPr="003D1E07">
        <w:t xml:space="preserve">Dvojí generický koncept </w:t>
      </w:r>
      <w:r w:rsidR="002141EE" w:rsidRPr="003D1E07">
        <w:rPr>
          <w:i/>
        </w:rPr>
        <w:t>intellectus possibilis</w:t>
      </w:r>
      <w:r w:rsidR="002141EE" w:rsidRPr="003D1E07">
        <w:t xml:space="preserve"> v CMDA obsahuje v</w:t>
      </w:r>
      <w:r w:rsidR="08AE7C95" w:rsidRPr="003D1E07">
        <w:t xml:space="preserve">šechny </w:t>
      </w:r>
      <w:r w:rsidR="002141EE" w:rsidRPr="003D1E07">
        <w:t xml:space="preserve">základní </w:t>
      </w:r>
      <w:r w:rsidR="08AE7C95" w:rsidRPr="003D1E07">
        <w:t xml:space="preserve">vztahy </w:t>
      </w:r>
      <w:r w:rsidR="002141EE" w:rsidRPr="003D1E07">
        <w:t>na úrovni první a druhé substance (hyparchický versus univerzální) a na úrovni odpovídající predikace</w:t>
      </w:r>
      <w:r w:rsidR="00B7035E" w:rsidRPr="003D1E07">
        <w:fldChar w:fldCharType="begin"/>
      </w:r>
      <w:r w:rsidR="00B7035E" w:rsidRPr="003D1E07">
        <w:instrText xml:space="preserve"> XE "predikace:</w:instrText>
      </w:r>
      <w:r w:rsidR="00B7035E" w:rsidRPr="003D1E07">
        <w:rPr>
          <w:i/>
        </w:rPr>
        <w:instrText>per prius</w:instrText>
      </w:r>
      <w:r w:rsidR="00B7035E" w:rsidRPr="003D1E07">
        <w:instrText xml:space="preserve">" </w:instrText>
      </w:r>
      <w:r w:rsidR="00B7035E" w:rsidRPr="003D1E07">
        <w:fldChar w:fldCharType="end"/>
      </w:r>
      <w:r w:rsidR="002141EE" w:rsidRPr="003D1E07">
        <w:t xml:space="preserve"> </w:t>
      </w:r>
      <w:r w:rsidR="082C1FB3" w:rsidRPr="003D1E07">
        <w:t xml:space="preserve">daný skrze výkon existence a pak abstrakce </w:t>
      </w:r>
      <w:r w:rsidR="002141EE" w:rsidRPr="003D1E07">
        <w:t>(</w:t>
      </w:r>
      <w:r w:rsidR="08C66E9C" w:rsidRPr="003D1E07">
        <w:rPr>
          <w:i/>
        </w:rPr>
        <w:t xml:space="preserve">per prius </w:t>
      </w:r>
      <w:r w:rsidR="08C66E9C" w:rsidRPr="003D1E07">
        <w:t xml:space="preserve">versus </w:t>
      </w:r>
      <w:r w:rsidR="08C66E9C" w:rsidRPr="003D1E07">
        <w:rPr>
          <w:i/>
        </w:rPr>
        <w:t>per posterius</w:t>
      </w:r>
      <w:r w:rsidR="08C66E9C" w:rsidRPr="003D1E07">
        <w:t>)</w:t>
      </w:r>
      <w:r w:rsidR="08AE7C95" w:rsidRPr="003D1E07">
        <w:t xml:space="preserve">. </w:t>
      </w:r>
      <w:r w:rsidR="003C1424" w:rsidRPr="003D1E07">
        <w:t>Lidské t</w:t>
      </w:r>
      <w:r w:rsidR="00A53B0E" w:rsidRPr="003D1E07">
        <w:t xml:space="preserve">ělo je </w:t>
      </w:r>
      <w:r w:rsidR="00741D44" w:rsidRPr="003D1E07">
        <w:t xml:space="preserve">první substancí, duše je </w:t>
      </w:r>
      <w:r w:rsidR="00A53B0E" w:rsidRPr="003D1E07">
        <w:t>formou</w:t>
      </w:r>
      <w:r w:rsidR="00741D44" w:rsidRPr="003D1E07">
        <w:t xml:space="preserve"> oživující tuto substanci</w:t>
      </w:r>
      <w:r w:rsidR="008507BD" w:rsidRPr="003D1E07">
        <w:t>. T</w:t>
      </w:r>
      <w:r w:rsidR="00A53B0E" w:rsidRPr="003D1E07">
        <w:t xml:space="preserve">akto dané </w:t>
      </w:r>
      <w:r w:rsidR="00741D44" w:rsidRPr="003D1E07">
        <w:t xml:space="preserve">entelechické </w:t>
      </w:r>
      <w:r w:rsidR="08161082" w:rsidRPr="003D1E07">
        <w:t>substanciální jsoucno</w:t>
      </w:r>
      <w:r w:rsidR="00A53B0E" w:rsidRPr="003D1E07">
        <w:t xml:space="preserve"> tvoří základ hyparchické predikace </w:t>
      </w:r>
      <w:r w:rsidR="00A53B0E" w:rsidRPr="003D1E07">
        <w:rPr>
          <w:i/>
        </w:rPr>
        <w:t>per prius</w:t>
      </w:r>
      <w:r w:rsidR="00A53B0E" w:rsidRPr="003D1E07">
        <w:t xml:space="preserve"> pro aktuální výkon intelektu jako </w:t>
      </w:r>
      <w:r w:rsidR="00A53B0E" w:rsidRPr="003D1E07">
        <w:rPr>
          <w:i/>
        </w:rPr>
        <w:t xml:space="preserve">tertium </w:t>
      </w:r>
      <w:r w:rsidR="00636BD4" w:rsidRPr="003D1E07">
        <w:rPr>
          <w:i/>
        </w:rPr>
        <w:t>genus</w:t>
      </w:r>
      <w:r w:rsidR="00B7035E" w:rsidRPr="003D1E07">
        <w:fldChar w:fldCharType="begin"/>
      </w:r>
      <w:r w:rsidR="00B7035E" w:rsidRPr="003D1E07">
        <w:instrText xml:space="preserve"> XE "osoba:ipseita" </w:instrText>
      </w:r>
      <w:r w:rsidR="00B7035E" w:rsidRPr="003D1E07">
        <w:fldChar w:fldCharType="end"/>
      </w:r>
      <w:r w:rsidR="00741D44" w:rsidRPr="003D1E07">
        <w:t xml:space="preserve">. </w:t>
      </w:r>
      <w:r w:rsidR="00873E6F" w:rsidRPr="003D1E07">
        <w:t>Materiální i</w:t>
      </w:r>
      <w:r w:rsidR="004A627C" w:rsidRPr="003D1E07">
        <w:t xml:space="preserve">ntelekt jako </w:t>
      </w:r>
      <w:r w:rsidR="004A627C" w:rsidRPr="003D1E07">
        <w:rPr>
          <w:i/>
        </w:rPr>
        <w:t xml:space="preserve">tertius </w:t>
      </w:r>
      <w:r w:rsidR="00636BD4" w:rsidRPr="003D1E07">
        <w:rPr>
          <w:i/>
        </w:rPr>
        <w:t>genus</w:t>
      </w:r>
      <w:r w:rsidR="004A627C" w:rsidRPr="003D1E07">
        <w:t xml:space="preserve"> predikuje </w:t>
      </w:r>
      <w:r w:rsidR="006C12EF" w:rsidRPr="003D1E07">
        <w:t xml:space="preserve">primát </w:t>
      </w:r>
      <w:r w:rsidR="006C12EF" w:rsidRPr="003D1E07">
        <w:rPr>
          <w:i/>
        </w:rPr>
        <w:t>intellectus possibilis</w:t>
      </w:r>
      <w:r w:rsidR="006C12EF" w:rsidRPr="003D1E07">
        <w:t xml:space="preserve"> v rámci </w:t>
      </w:r>
      <w:r w:rsidR="086E6208" w:rsidRPr="003D1E07">
        <w:t xml:space="preserve">osobního </w:t>
      </w:r>
      <w:r w:rsidR="00B11135" w:rsidRPr="003D1E07">
        <w:t xml:space="preserve">výkonu poznání. </w:t>
      </w:r>
      <w:r w:rsidR="00A53B0E" w:rsidRPr="003D1E07">
        <w:t xml:space="preserve">Univerzální predikace této schopnosti </w:t>
      </w:r>
      <w:r w:rsidR="08BB4649" w:rsidRPr="003D1E07">
        <w:t xml:space="preserve">tvoří základ pro </w:t>
      </w:r>
      <w:r w:rsidR="0038013A" w:rsidRPr="003D1E07">
        <w:t xml:space="preserve">humanistické </w:t>
      </w:r>
      <w:r w:rsidR="08BB4649" w:rsidRPr="003D1E07">
        <w:t xml:space="preserve">určení </w:t>
      </w:r>
      <w:r w:rsidR="0038013A" w:rsidRPr="003D1E07">
        <w:t xml:space="preserve">jednoty </w:t>
      </w:r>
      <w:r w:rsidR="08BB4649" w:rsidRPr="003D1E07">
        <w:t>lidstva</w:t>
      </w:r>
      <w:r w:rsidR="0038013A" w:rsidRPr="003D1E07">
        <w:t xml:space="preserve">. Obecně pojatý </w:t>
      </w:r>
      <w:r w:rsidR="0038013A" w:rsidRPr="003D1E07">
        <w:rPr>
          <w:i/>
        </w:rPr>
        <w:t>intellectus possibilis</w:t>
      </w:r>
      <w:r w:rsidR="0038013A" w:rsidRPr="003D1E07">
        <w:t xml:space="preserve"> </w:t>
      </w:r>
      <w:r w:rsidR="00AC6580" w:rsidRPr="003D1E07">
        <w:rPr>
          <w:i/>
        </w:rPr>
        <w:fldChar w:fldCharType="begin"/>
      </w:r>
      <w:r w:rsidR="00AC6580" w:rsidRPr="003D1E07">
        <w:instrText xml:space="preserve"> XE "</w:instrText>
      </w:r>
      <w:r w:rsidR="00AC6580" w:rsidRPr="003D1E07">
        <w:rPr>
          <w:i/>
        </w:rPr>
        <w:instrText>intellectus possibilis:</w:instrText>
      </w:r>
      <w:r w:rsidR="002E3B62" w:rsidRPr="003D1E07">
        <w:instrText>Averroes</w:instrText>
      </w:r>
      <w:r w:rsidR="00AC6580" w:rsidRPr="003D1E07">
        <w:instrText xml:space="preserve">" </w:instrText>
      </w:r>
      <w:r w:rsidR="00AC6580" w:rsidRPr="003D1E07">
        <w:rPr>
          <w:i/>
        </w:rPr>
        <w:fldChar w:fldCharType="end"/>
      </w:r>
      <w:r w:rsidR="0038013A" w:rsidRPr="003D1E07">
        <w:t xml:space="preserve">ukazuje </w:t>
      </w:r>
      <w:r w:rsidR="00A53B0E" w:rsidRPr="003D1E07">
        <w:t>pote</w:t>
      </w:r>
      <w:r w:rsidR="0038013A" w:rsidRPr="003D1E07">
        <w:t>n</w:t>
      </w:r>
      <w:r w:rsidR="00A53B0E" w:rsidRPr="003D1E07">
        <w:t>ciální schopn</w:t>
      </w:r>
      <w:r w:rsidR="08BB4649" w:rsidRPr="003D1E07">
        <w:t>o</w:t>
      </w:r>
      <w:r w:rsidR="00A53B0E" w:rsidRPr="003D1E07">
        <w:t>s</w:t>
      </w:r>
      <w:r w:rsidR="08BB4649" w:rsidRPr="003D1E07">
        <w:t>t neomezeně poznávat cokoliv v r</w:t>
      </w:r>
      <w:r w:rsidR="0038013A" w:rsidRPr="003D1E07">
        <w:t xml:space="preserve">ámci přirozeně dané </w:t>
      </w:r>
      <w:r w:rsidR="08BB4649" w:rsidRPr="003D1E07">
        <w:t>nemateriá</w:t>
      </w:r>
      <w:r w:rsidR="0038013A" w:rsidRPr="003D1E07">
        <w:t>l</w:t>
      </w:r>
      <w:r w:rsidR="08BB4649" w:rsidRPr="003D1E07">
        <w:t xml:space="preserve">ní receptivity </w:t>
      </w:r>
      <w:r w:rsidR="0038013A" w:rsidRPr="003D1E07">
        <w:t xml:space="preserve">intelektu </w:t>
      </w:r>
      <w:r w:rsidR="08BB4649" w:rsidRPr="003D1E07">
        <w:t>(</w:t>
      </w:r>
      <w:r w:rsidR="08BB4649" w:rsidRPr="003D1E07">
        <w:rPr>
          <w:i/>
        </w:rPr>
        <w:t xml:space="preserve">quartum </w:t>
      </w:r>
      <w:r w:rsidR="00636BD4" w:rsidRPr="006459C2">
        <w:rPr>
          <w:i/>
        </w:rPr>
        <w:t>genus</w:t>
      </w:r>
      <w:r w:rsidR="00982C89" w:rsidRPr="003D1E07">
        <w:rPr>
          <w:i/>
        </w:rPr>
        <w:fldChar w:fldCharType="begin"/>
      </w:r>
      <w:r w:rsidR="00982C89" w:rsidRPr="003D1E07">
        <w:instrText xml:space="preserve"> XE "</w:instrText>
      </w:r>
      <w:r w:rsidR="00982C89" w:rsidRPr="003D1E07">
        <w:rPr>
          <w:i/>
        </w:rPr>
        <w:instrText>quartum genus</w:instrText>
      </w:r>
      <w:r w:rsidR="00982C89" w:rsidRPr="003D1E07">
        <w:instrText xml:space="preserve">" </w:instrText>
      </w:r>
      <w:r w:rsidR="00982C89" w:rsidRPr="003D1E07">
        <w:rPr>
          <w:i/>
        </w:rPr>
        <w:fldChar w:fldCharType="end"/>
      </w:r>
      <w:r w:rsidR="08BB4649" w:rsidRPr="003D1E07">
        <w:t>). Pokud vezme</w:t>
      </w:r>
      <w:r w:rsidR="0038013A" w:rsidRPr="003D1E07">
        <w:t>me</w:t>
      </w:r>
      <w:r w:rsidR="08BB4649" w:rsidRPr="003D1E07">
        <w:t xml:space="preserve"> tuto formu predikace možného intelektu jako </w:t>
      </w:r>
      <w:r w:rsidR="08AC634F" w:rsidRPr="003D1E07">
        <w:t>genericky</w:t>
      </w:r>
      <w:r w:rsidR="005A5A52" w:rsidRPr="003D1E07">
        <w:t xml:space="preserve"> definovaný</w:t>
      </w:r>
      <w:r w:rsidR="08AC634F" w:rsidRPr="003D1E07">
        <w:t xml:space="preserve"> </w:t>
      </w:r>
      <w:r w:rsidR="005A5A52" w:rsidRPr="003D1E07">
        <w:t>univerzální fakt</w:t>
      </w:r>
      <w:r w:rsidR="08BB4649" w:rsidRPr="003D1E07">
        <w:t xml:space="preserve">, pak dostaneme </w:t>
      </w:r>
      <w:r w:rsidR="082669C6" w:rsidRPr="003D1E07">
        <w:t xml:space="preserve">v modu </w:t>
      </w:r>
      <w:r w:rsidR="082669C6" w:rsidRPr="003D1E07">
        <w:rPr>
          <w:i/>
        </w:rPr>
        <w:t>per prius</w:t>
      </w:r>
      <w:r w:rsidR="082669C6" w:rsidRPr="003D1E07">
        <w:t xml:space="preserve"> </w:t>
      </w:r>
      <w:r w:rsidR="086268D7" w:rsidRPr="003D1E07">
        <w:t>univočně</w:t>
      </w:r>
      <w:r w:rsidR="082669C6" w:rsidRPr="003D1E07">
        <w:t xml:space="preserve"> generické</w:t>
      </w:r>
      <w:r w:rsidR="086268D7" w:rsidRPr="003D1E07">
        <w:t xml:space="preserve"> určení lidstva jako</w:t>
      </w:r>
      <w:r w:rsidR="08AC634F" w:rsidRPr="003D1E07">
        <w:t xml:space="preserve"> druhu</w:t>
      </w:r>
      <w:r w:rsidR="007114B9" w:rsidRPr="003D1E07">
        <w:t xml:space="preserve"> a ve druhém kroku specifické určení</w:t>
      </w:r>
      <w:r w:rsidR="08AC634F" w:rsidRPr="003D1E07">
        <w:t xml:space="preserve"> individua</w:t>
      </w:r>
      <w:r w:rsidR="086268D7" w:rsidRPr="003D1E07">
        <w:t xml:space="preserve">. </w:t>
      </w:r>
      <w:r w:rsidR="007114B9" w:rsidRPr="003D1E07">
        <w:t>Tento postup</w:t>
      </w:r>
      <w:r w:rsidR="009A0907">
        <w:t xml:space="preserve"> je </w:t>
      </w:r>
      <w:r w:rsidR="007114B9" w:rsidRPr="003D1E07">
        <w:t xml:space="preserve">pro </w:t>
      </w:r>
      <w:r w:rsidR="002E3B62" w:rsidRPr="003D1E07">
        <w:t>Averroes</w:t>
      </w:r>
      <w:r w:rsidR="007114B9" w:rsidRPr="003D1E07">
        <w:t xml:space="preserve">e druhotný </w:t>
      </w:r>
      <w:r w:rsidR="00EA776E" w:rsidRPr="003D1E07">
        <w:t xml:space="preserve">kvůli logické abstrakci a supozici. </w:t>
      </w:r>
      <w:r w:rsidR="00EA0220" w:rsidRPr="00EA0220">
        <w:t>Tento dvojí proces abstrakce byl sofistikov</w:t>
      </w:r>
      <w:r w:rsidR="00EA0220">
        <w:t>aně smíchán do jediné analogie „intelektu“</w:t>
      </w:r>
      <w:r w:rsidR="00EA0220" w:rsidRPr="00EA0220">
        <w:t xml:space="preserve">, poté absolutizován moderní logikou a prohlášen za jediný </w:t>
      </w:r>
      <w:r w:rsidR="00EA0220">
        <w:t xml:space="preserve">správný </w:t>
      </w:r>
      <w:r w:rsidR="00EA0220" w:rsidRPr="00EA0220">
        <w:t>výklad CMDA.</w:t>
      </w:r>
    </w:p>
    <w:p w14:paraId="78726BF9" w14:textId="41ADBE09" w:rsidR="00DD1EDA" w:rsidRDefault="00322F9F" w:rsidP="00B709F6">
      <w:pPr>
        <w:ind w:firstLine="397"/>
      </w:pPr>
      <w:r w:rsidRPr="003D1E07">
        <w:lastRenderedPageBreak/>
        <w:t xml:space="preserve">Hermeneutická četba velkého komentáře k </w:t>
      </w:r>
      <w:r w:rsidR="00B713C5" w:rsidRPr="003D1E07">
        <w:rPr>
          <w:i/>
        </w:rPr>
        <w:t>De anima</w:t>
      </w:r>
      <w:r w:rsidRPr="003D1E07">
        <w:t xml:space="preserve"> ukázala, že a</w:t>
      </w:r>
      <w:r w:rsidR="00993040" w:rsidRPr="003D1E07">
        <w:t xml:space="preserve">verroistický scénář </w:t>
      </w:r>
      <w:r w:rsidR="00FE2606" w:rsidRPr="003D1E07">
        <w:t xml:space="preserve">odděleného </w:t>
      </w:r>
      <w:r w:rsidR="00993040" w:rsidRPr="003D1E07">
        <w:t xml:space="preserve">intelektu </w:t>
      </w:r>
      <w:r w:rsidR="00FE2606" w:rsidRPr="003D1E07">
        <w:t>chápaného v modu substance (</w:t>
      </w:r>
      <w:r w:rsidR="00FE2606" w:rsidRPr="003D1E07">
        <w:rPr>
          <w:i/>
        </w:rPr>
        <w:t>hoc aliquid</w:t>
      </w:r>
      <w:r w:rsidR="009A43F5" w:rsidRPr="003D1E07">
        <w:rPr>
          <w:i/>
        </w:rPr>
        <w:fldChar w:fldCharType="begin"/>
      </w:r>
      <w:r w:rsidR="009A43F5" w:rsidRPr="003D1E07">
        <w:instrText xml:space="preserve"> XE "</w:instrText>
      </w:r>
      <w:r w:rsidR="009A43F5" w:rsidRPr="003D1E07">
        <w:rPr>
          <w:rStyle w:val="FontStyle129"/>
          <w:rFonts w:ascii="Calibri" w:hAnsi="Calibri"/>
          <w:i/>
          <w:sz w:val="24"/>
        </w:rPr>
        <w:instrText>hoc aliquid</w:instrText>
      </w:r>
      <w:r w:rsidR="009A43F5" w:rsidRPr="003D1E07">
        <w:rPr>
          <w:rStyle w:val="FontStyle129"/>
          <w:rFonts w:ascii="Calibri" w:hAnsi="Calibri"/>
          <w:sz w:val="24"/>
        </w:rPr>
        <w:instrText>:</w:instrText>
      </w:r>
      <w:r w:rsidR="00705AF2" w:rsidRPr="003D1E07">
        <w:rPr>
          <w:rStyle w:val="FontStyle129"/>
          <w:rFonts w:ascii="Calibri" w:hAnsi="Calibri"/>
          <w:sz w:val="24"/>
        </w:rPr>
        <w:instrText>intelekt</w:instrText>
      </w:r>
      <w:r w:rsidR="009A43F5" w:rsidRPr="003D1E07">
        <w:instrText xml:space="preserve">" </w:instrText>
      </w:r>
      <w:r w:rsidR="009A43F5" w:rsidRPr="003D1E07">
        <w:rPr>
          <w:i/>
        </w:rPr>
        <w:fldChar w:fldCharType="end"/>
      </w:r>
      <w:r w:rsidR="00FE2606" w:rsidRPr="003D1E07">
        <w:t xml:space="preserve">) </w:t>
      </w:r>
      <w:r w:rsidR="00993040" w:rsidRPr="003D1E07">
        <w:t xml:space="preserve">nemá v </w:t>
      </w:r>
      <w:r w:rsidR="002E3B62" w:rsidRPr="003D1E07">
        <w:t>Averroes</w:t>
      </w:r>
      <w:r w:rsidRPr="003D1E07">
        <w:t>ově filosofii žádné místo</w:t>
      </w:r>
      <w:r w:rsidR="006228DB" w:rsidRPr="003D1E07">
        <w:t>.</w:t>
      </w:r>
      <w:r w:rsidR="007D7314" w:rsidRPr="003D1E07">
        <w:t xml:space="preserve"> Dvojí </w:t>
      </w:r>
      <w:r w:rsidR="00243EF6" w:rsidRPr="003D1E07">
        <w:t>způsob kategoriální predikace vyjadřuje ipseitu</w:t>
      </w:r>
      <w:r w:rsidR="00516FC4" w:rsidRPr="003D1E07">
        <w:t xml:space="preserve"> </w:t>
      </w:r>
      <w:r w:rsidR="08BC04DB" w:rsidRPr="003D1E07">
        <w:t xml:space="preserve">a identitu </w:t>
      </w:r>
      <w:r w:rsidR="00CB2438" w:rsidRPr="003D1E07">
        <w:t>možného i spekulativního intelektu</w:t>
      </w:r>
      <w:r w:rsidR="00243EF6" w:rsidRPr="003D1E07">
        <w:t xml:space="preserve">: </w:t>
      </w:r>
      <w:r w:rsidR="00CB2438" w:rsidRPr="003D1E07">
        <w:t>aktuální a univerzální</w:t>
      </w:r>
      <w:r w:rsidR="00243EF6" w:rsidRPr="003D1E07">
        <w:t xml:space="preserve">. Stejně jako u </w:t>
      </w:r>
      <w:r w:rsidR="00CB2438" w:rsidRPr="003D1E07">
        <w:t xml:space="preserve">předešlého </w:t>
      </w:r>
      <w:r w:rsidR="002E3B62" w:rsidRPr="003D1E07">
        <w:t>Averroes</w:t>
      </w:r>
      <w:r w:rsidR="00CB2438" w:rsidRPr="003D1E07">
        <w:t xml:space="preserve">ova výkladu </w:t>
      </w:r>
      <w:r w:rsidR="00243EF6" w:rsidRPr="003D1E07">
        <w:t xml:space="preserve">metafyziky a fyziky existují </w:t>
      </w:r>
      <w:r w:rsidR="001D60FC" w:rsidRPr="003D1E07">
        <w:t>v kom</w:t>
      </w:r>
      <w:r w:rsidR="006058C6" w:rsidRPr="003D1E07">
        <w:t>en</w:t>
      </w:r>
      <w:r w:rsidR="001D60FC" w:rsidRPr="003D1E07">
        <w:t xml:space="preserve">táři k </w:t>
      </w:r>
      <w:r w:rsidR="00B713C5" w:rsidRPr="003D1E07">
        <w:rPr>
          <w:i/>
        </w:rPr>
        <w:t>De anima</w:t>
      </w:r>
      <w:r w:rsidR="001D60FC" w:rsidRPr="003D1E07">
        <w:t xml:space="preserve"> </w:t>
      </w:r>
      <w:r w:rsidR="00243EF6" w:rsidRPr="003D1E07">
        <w:t>dva různé náhledy</w:t>
      </w:r>
      <w:r w:rsidR="00516FC4" w:rsidRPr="003D1E07">
        <w:t xml:space="preserve"> na jeden fenomén</w:t>
      </w:r>
      <w:r w:rsidR="006058C6" w:rsidRPr="003D1E07">
        <w:t xml:space="preserve"> poznání</w:t>
      </w:r>
      <w:r w:rsidR="001D60FC" w:rsidRPr="003D1E07">
        <w:t>, které nej</w:t>
      </w:r>
      <w:r w:rsidR="00E44075" w:rsidRPr="003D1E07">
        <w:t>s</w:t>
      </w:r>
      <w:r w:rsidR="001D60FC" w:rsidRPr="003D1E07">
        <w:t>o</w:t>
      </w:r>
      <w:r w:rsidR="00E44075" w:rsidRPr="003D1E07">
        <w:t>u totožné</w:t>
      </w:r>
      <w:r w:rsidR="00CB2438" w:rsidRPr="003D1E07">
        <w:t xml:space="preserve"> (kap. 2.4.1)</w:t>
      </w:r>
      <w:r w:rsidR="00516FC4" w:rsidRPr="003D1E07">
        <w:t>.</w:t>
      </w:r>
      <w:r w:rsidR="00402272" w:rsidRPr="003D1E07">
        <w:t xml:space="preserve"> </w:t>
      </w:r>
      <w:r w:rsidR="000871C0" w:rsidRPr="003D1E07">
        <w:t xml:space="preserve">Rozdíl mezi </w:t>
      </w:r>
      <w:r w:rsidR="000871C0" w:rsidRPr="003D1E07">
        <w:rPr>
          <w:i/>
        </w:rPr>
        <w:t>tertium</w:t>
      </w:r>
      <w:r w:rsidR="000871C0" w:rsidRPr="003D1E07">
        <w:t xml:space="preserve"> </w:t>
      </w:r>
      <w:r w:rsidR="00636BD4" w:rsidRPr="003D1E07">
        <w:rPr>
          <w:i/>
        </w:rPr>
        <w:t>genus</w:t>
      </w:r>
      <w:r w:rsidR="00982C89" w:rsidRPr="003D1E07">
        <w:rPr>
          <w:i/>
        </w:rPr>
        <w:fldChar w:fldCharType="begin"/>
      </w:r>
      <w:r w:rsidR="00982C89" w:rsidRPr="003D1E07">
        <w:rPr>
          <w:i/>
        </w:rPr>
        <w:instrText xml:space="preserve"> XE "tertium genus" </w:instrText>
      </w:r>
      <w:r w:rsidR="00982C89" w:rsidRPr="003D1E07">
        <w:rPr>
          <w:i/>
        </w:rPr>
        <w:fldChar w:fldCharType="end"/>
      </w:r>
      <w:r w:rsidR="008E067E" w:rsidRPr="003D1E07">
        <w:t xml:space="preserve"> </w:t>
      </w:r>
      <w:r w:rsidR="000871C0" w:rsidRPr="003D1E07">
        <w:t xml:space="preserve">a </w:t>
      </w:r>
      <w:r w:rsidR="00BC0F14" w:rsidRPr="003D1E07">
        <w:t xml:space="preserve">mezi </w:t>
      </w:r>
      <w:r w:rsidR="000871C0" w:rsidRPr="003D1E07">
        <w:rPr>
          <w:i/>
        </w:rPr>
        <w:t xml:space="preserve">quartum </w:t>
      </w:r>
      <w:r w:rsidR="00636BD4" w:rsidRPr="003D1E07">
        <w:rPr>
          <w:i/>
        </w:rPr>
        <w:t>genus</w:t>
      </w:r>
      <w:r w:rsidR="00982C89" w:rsidRPr="003D1E07">
        <w:rPr>
          <w:i/>
        </w:rPr>
        <w:fldChar w:fldCharType="begin"/>
      </w:r>
      <w:r w:rsidR="00982C89" w:rsidRPr="003D1E07">
        <w:rPr>
          <w:i/>
        </w:rPr>
        <w:instrText xml:space="preserve"> XE "quartum genus" </w:instrText>
      </w:r>
      <w:r w:rsidR="00982C89" w:rsidRPr="003D1E07">
        <w:rPr>
          <w:i/>
        </w:rPr>
        <w:fldChar w:fldCharType="end"/>
      </w:r>
      <w:r w:rsidR="000871C0" w:rsidRPr="003D1E07">
        <w:t xml:space="preserve"> </w:t>
      </w:r>
      <w:r w:rsidR="007719AD" w:rsidRPr="003D1E07">
        <w:t xml:space="preserve">se vztahuje </w:t>
      </w:r>
      <w:r w:rsidR="00815E3E" w:rsidRPr="003D1E07">
        <w:t xml:space="preserve">k jednomu </w:t>
      </w:r>
      <w:r w:rsidR="006D546B" w:rsidRPr="003D1E07">
        <w:t xml:space="preserve">a témuž </w:t>
      </w:r>
      <w:r w:rsidR="00815E3E" w:rsidRPr="003D1E07">
        <w:t xml:space="preserve">výkonu </w:t>
      </w:r>
      <w:r w:rsidR="006D546B" w:rsidRPr="003D1E07">
        <w:t xml:space="preserve">individuálního </w:t>
      </w:r>
      <w:r w:rsidR="00815E3E" w:rsidRPr="003D1E07">
        <w:t xml:space="preserve">intelektu </w:t>
      </w:r>
      <w:r w:rsidR="006D546B" w:rsidRPr="003D1E07">
        <w:t xml:space="preserve">pojatého </w:t>
      </w:r>
      <w:r w:rsidR="002015AD" w:rsidRPr="003D1E07">
        <w:t xml:space="preserve">v rámci </w:t>
      </w:r>
      <w:r w:rsidR="00ED3A8E" w:rsidRPr="003D1E07">
        <w:t xml:space="preserve">dvojí </w:t>
      </w:r>
      <w:r w:rsidR="000C35E2" w:rsidRPr="003D1E07">
        <w:t xml:space="preserve">kategoriální predikace. Citovaný </w:t>
      </w:r>
      <w:r w:rsidR="000C35E2" w:rsidRPr="003D1E07">
        <w:rPr>
          <w:i/>
        </w:rPr>
        <w:t>intellectus possibilis</w:t>
      </w:r>
      <w:r w:rsidR="009D323B" w:rsidRPr="003D1E07">
        <w:rPr>
          <w:i/>
        </w:rPr>
        <w:fldChar w:fldCharType="begin"/>
      </w:r>
      <w:r w:rsidR="009D323B" w:rsidRPr="003D1E07">
        <w:instrText xml:space="preserve"> XE "</w:instrText>
      </w:r>
      <w:r w:rsidR="009D323B" w:rsidRPr="003D1E07">
        <w:rPr>
          <w:i/>
        </w:rPr>
        <w:instrText>intellectus possibilis</w:instrText>
      </w:r>
      <w:r w:rsidR="00EC6C45" w:rsidRPr="003D1E07">
        <w:instrText>:</w:instrText>
      </w:r>
      <w:r w:rsidR="002E3B62" w:rsidRPr="003D1E07">
        <w:instrText>Averroes</w:instrText>
      </w:r>
      <w:r w:rsidR="009D323B" w:rsidRPr="003D1E07">
        <w:instrText xml:space="preserve">" </w:instrText>
      </w:r>
      <w:r w:rsidR="009D323B" w:rsidRPr="003D1E07">
        <w:rPr>
          <w:i/>
        </w:rPr>
        <w:fldChar w:fldCharType="end"/>
      </w:r>
      <w:r w:rsidR="000C35E2" w:rsidRPr="003D1E07">
        <w:t xml:space="preserve"> jako </w:t>
      </w:r>
      <w:r w:rsidR="000C35E2" w:rsidRPr="003D1E07">
        <w:rPr>
          <w:i/>
        </w:rPr>
        <w:t xml:space="preserve">tertium </w:t>
      </w:r>
      <w:r w:rsidR="00636BD4" w:rsidRPr="006459C2">
        <w:rPr>
          <w:i/>
        </w:rPr>
        <w:t>genus</w:t>
      </w:r>
      <w:r w:rsidR="000C35E2" w:rsidRPr="003D1E07">
        <w:t xml:space="preserve"> je daný </w:t>
      </w:r>
      <w:r w:rsidR="000C35E2" w:rsidRPr="003D1E07">
        <w:rPr>
          <w:i/>
        </w:rPr>
        <w:t>per prius</w:t>
      </w:r>
      <w:r w:rsidR="00AD1F01" w:rsidRPr="003D1E07">
        <w:t xml:space="preserve"> na reálném substrátu. A</w:t>
      </w:r>
      <w:r w:rsidR="000C35E2" w:rsidRPr="003D1E07">
        <w:t xml:space="preserve">le viděno z hlediska univerzality je </w:t>
      </w:r>
      <w:r w:rsidR="00AD1F01" w:rsidRPr="003D1E07">
        <w:t xml:space="preserve">dán </w:t>
      </w:r>
      <w:r w:rsidR="000C35E2" w:rsidRPr="003D1E07">
        <w:t xml:space="preserve">jeho statut v modu </w:t>
      </w:r>
      <w:r w:rsidR="001748EE" w:rsidRPr="003D1E07">
        <w:rPr>
          <w:i/>
        </w:rPr>
        <w:t>per post</w:t>
      </w:r>
      <w:r w:rsidR="000C35E2" w:rsidRPr="003D1E07">
        <w:rPr>
          <w:i/>
        </w:rPr>
        <w:t>erius</w:t>
      </w:r>
      <w:r w:rsidR="000C35E2" w:rsidRPr="003D1E07">
        <w:t xml:space="preserve"> vzhledem </w:t>
      </w:r>
      <w:r w:rsidR="0051228F">
        <w:t xml:space="preserve">ke spekulativnímu </w:t>
      </w:r>
      <w:r w:rsidR="08651FB7" w:rsidRPr="003D1E07">
        <w:t>intelektu danému jako poznávací možnost celého lidstva</w:t>
      </w:r>
      <w:r w:rsidR="000C35E2" w:rsidRPr="003D1E07">
        <w:t xml:space="preserve">. </w:t>
      </w:r>
      <w:r w:rsidR="00CC58BD" w:rsidRPr="00CC58BD">
        <w:t>Jednoz</w:t>
      </w:r>
      <w:r w:rsidR="00CC58BD">
        <w:t xml:space="preserve">načná definice vědeckého pojmu „intelekt“ </w:t>
      </w:r>
      <w:r w:rsidR="00AD1F01" w:rsidRPr="003D1E07">
        <w:t xml:space="preserve">potřebuje aktuální první substanci zakládající obecnou kategoriální rodovou signifikaci druhé substance. </w:t>
      </w:r>
      <w:r w:rsidR="080C03EE" w:rsidRPr="003D1E07">
        <w:t xml:space="preserve">Generická forma </w:t>
      </w:r>
      <w:r w:rsidR="080C03EE" w:rsidRPr="003D1E07">
        <w:rPr>
          <w:i/>
        </w:rPr>
        <w:t>intellectus possibilis</w:t>
      </w:r>
      <w:r w:rsidR="080C03EE" w:rsidRPr="003D1E07">
        <w:t xml:space="preserve"> </w:t>
      </w:r>
      <w:r w:rsidR="006B5D68" w:rsidRPr="003D1E07">
        <w:t xml:space="preserve">je </w:t>
      </w:r>
      <w:r w:rsidR="080C03EE" w:rsidRPr="003D1E07">
        <w:t>daná</w:t>
      </w:r>
      <w:r w:rsidR="000C35E2" w:rsidRPr="003D1E07">
        <w:t xml:space="preserve"> </w:t>
      </w:r>
      <w:r w:rsidR="000C35E2" w:rsidRPr="003D1E07">
        <w:rPr>
          <w:i/>
        </w:rPr>
        <w:t xml:space="preserve">per prius </w:t>
      </w:r>
      <w:r w:rsidR="080C03EE" w:rsidRPr="003D1E07">
        <w:t xml:space="preserve">pouze </w:t>
      </w:r>
      <w:r w:rsidR="000C35E2" w:rsidRPr="003D1E07">
        <w:t>z hlediska univerzální predikace</w:t>
      </w:r>
      <w:r w:rsidR="00CC3E68" w:rsidRPr="003D1E07">
        <w:t xml:space="preserve"> dané v deduktivním soudu</w:t>
      </w:r>
      <w:r w:rsidR="006B5D68" w:rsidRPr="003D1E07">
        <w:t xml:space="preserve">, což </w:t>
      </w:r>
      <w:r w:rsidR="082E255D" w:rsidRPr="003D1E07">
        <w:t xml:space="preserve">nepochopil </w:t>
      </w:r>
      <w:r w:rsidR="006B5D68" w:rsidRPr="003D1E07">
        <w:t xml:space="preserve">pozdější </w:t>
      </w:r>
      <w:r w:rsidR="000C35E2" w:rsidRPr="003D1E07">
        <w:t>averroi</w:t>
      </w:r>
      <w:r w:rsidR="006B5D68" w:rsidRPr="003D1E07">
        <w:t>s</w:t>
      </w:r>
      <w:r w:rsidR="000C35E2" w:rsidRPr="003D1E07">
        <w:t>m</w:t>
      </w:r>
      <w:r w:rsidR="0888415C" w:rsidRPr="003D1E07">
        <w:t xml:space="preserve">us. </w:t>
      </w:r>
      <w:r w:rsidR="00CD0064">
        <w:t xml:space="preserve">Musí být </w:t>
      </w:r>
      <w:r w:rsidR="006B5D68" w:rsidRPr="003D1E07">
        <w:t xml:space="preserve">provedena </w:t>
      </w:r>
      <w:r w:rsidR="00895804" w:rsidRPr="003D1E07">
        <w:t>komp</w:t>
      </w:r>
      <w:r w:rsidR="0069558D" w:rsidRPr="003D1E07">
        <w:t>l</w:t>
      </w:r>
      <w:r w:rsidR="00895804" w:rsidRPr="003D1E07">
        <w:t xml:space="preserve">etní </w:t>
      </w:r>
      <w:r w:rsidR="00383BAC" w:rsidRPr="003D1E07">
        <w:t xml:space="preserve">predikace </w:t>
      </w:r>
      <w:r w:rsidR="00E86E96" w:rsidRPr="003D1E07">
        <w:t xml:space="preserve">intelektu </w:t>
      </w:r>
      <w:r w:rsidR="00994541" w:rsidRPr="003D1E07">
        <w:t xml:space="preserve">všemi </w:t>
      </w:r>
      <w:r w:rsidR="006B5D68" w:rsidRPr="003D1E07">
        <w:t>směry</w:t>
      </w:r>
      <w:r w:rsidR="00994541" w:rsidRPr="003D1E07">
        <w:t xml:space="preserve"> (</w:t>
      </w:r>
      <w:r w:rsidR="00994541" w:rsidRPr="003D1E07">
        <w:rPr>
          <w:i/>
        </w:rPr>
        <w:t>potentia</w:t>
      </w:r>
      <w:r w:rsidR="00403EDF" w:rsidRPr="003D1E07">
        <w:t>–</w:t>
      </w:r>
      <w:r w:rsidR="00994541" w:rsidRPr="003D1E07">
        <w:rPr>
          <w:i/>
        </w:rPr>
        <w:t>actualitas</w:t>
      </w:r>
      <w:r w:rsidR="00994541" w:rsidRPr="003D1E07">
        <w:t xml:space="preserve">; </w:t>
      </w:r>
      <w:r w:rsidR="00994541" w:rsidRPr="003D1E07">
        <w:rPr>
          <w:i/>
        </w:rPr>
        <w:t>prius</w:t>
      </w:r>
      <w:r w:rsidR="00403EDF" w:rsidRPr="003D1E07">
        <w:t>–</w:t>
      </w:r>
      <w:r w:rsidR="00994541" w:rsidRPr="003D1E07">
        <w:rPr>
          <w:i/>
        </w:rPr>
        <w:t>posterius</w:t>
      </w:r>
      <w:r w:rsidR="00994541" w:rsidRPr="003D1E07">
        <w:t xml:space="preserve">, </w:t>
      </w:r>
      <w:r w:rsidR="00490FBE" w:rsidRPr="003D1E07">
        <w:rPr>
          <w:i/>
        </w:rPr>
        <w:t>singulare</w:t>
      </w:r>
      <w:r w:rsidR="00403EDF" w:rsidRPr="003D1E07">
        <w:t>–</w:t>
      </w:r>
      <w:r w:rsidR="00383BAC" w:rsidRPr="003D1E07">
        <w:rPr>
          <w:i/>
        </w:rPr>
        <w:t>universale</w:t>
      </w:r>
      <w:r w:rsidR="00383BAC" w:rsidRPr="003D1E07">
        <w:t xml:space="preserve">; </w:t>
      </w:r>
      <w:r w:rsidR="00994541" w:rsidRPr="003D1E07">
        <w:rPr>
          <w:i/>
        </w:rPr>
        <w:t>simpliciter</w:t>
      </w:r>
      <w:r w:rsidR="00B53944" w:rsidRPr="003D1E07">
        <w:rPr>
          <w:i/>
        </w:rPr>
        <w:t xml:space="preserve"> per prius</w:t>
      </w:r>
      <w:r w:rsidR="00403EDF" w:rsidRPr="003D1E07">
        <w:t>–</w:t>
      </w:r>
      <w:r w:rsidR="00383BAC" w:rsidRPr="003D1E07">
        <w:rPr>
          <w:i/>
        </w:rPr>
        <w:t>simpliciter</w:t>
      </w:r>
      <w:r w:rsidR="00B53944" w:rsidRPr="003D1E07">
        <w:rPr>
          <w:i/>
        </w:rPr>
        <w:t xml:space="preserve"> per posterius</w:t>
      </w:r>
      <w:r w:rsidR="00994541" w:rsidRPr="003D1E07">
        <w:t>)</w:t>
      </w:r>
      <w:r w:rsidR="00CD0064">
        <w:t xml:space="preserve">. Teprve pak vznikne pojetí </w:t>
      </w:r>
      <w:r w:rsidR="006B5D68" w:rsidRPr="003D1E07">
        <w:t xml:space="preserve">pravdy jako </w:t>
      </w:r>
      <w:r w:rsidR="002E3B62" w:rsidRPr="003D1E07">
        <w:rPr>
          <w:i/>
        </w:rPr>
        <w:t>adaequatio</w:t>
      </w:r>
      <w:r w:rsidR="00C161A5" w:rsidRPr="003D1E07">
        <w:rPr>
          <w:i/>
        </w:rPr>
        <w:fldChar w:fldCharType="begin"/>
      </w:r>
      <w:r w:rsidR="00C161A5" w:rsidRPr="003D1E07">
        <w:instrText xml:space="preserve"> XE "</w:instrText>
      </w:r>
      <w:r w:rsidR="0051375A" w:rsidRPr="003D1E07">
        <w:instrText>pravda:</w:instrText>
      </w:r>
      <w:r w:rsidR="002E3B62" w:rsidRPr="003D1E07">
        <w:rPr>
          <w:i/>
        </w:rPr>
        <w:instrText>adaequatio</w:instrText>
      </w:r>
      <w:r w:rsidR="00C161A5" w:rsidRPr="003D1E07">
        <w:instrText xml:space="preserve">" </w:instrText>
      </w:r>
      <w:r w:rsidR="00C161A5" w:rsidRPr="003D1E07">
        <w:rPr>
          <w:i/>
        </w:rPr>
        <w:fldChar w:fldCharType="end"/>
      </w:r>
      <w:r w:rsidR="006B5D68" w:rsidRPr="003D1E07">
        <w:t xml:space="preserve">, které </w:t>
      </w:r>
      <w:r w:rsidR="009C28E0">
        <w:t>je založen</w:t>
      </w:r>
      <w:r w:rsidR="00CD0064">
        <w:t>o na proklamované</w:t>
      </w:r>
      <w:r w:rsidR="006B5D68" w:rsidRPr="003D1E07">
        <w:t xml:space="preserve"> </w:t>
      </w:r>
      <w:r w:rsidR="006B5D68" w:rsidRPr="003D1E07">
        <w:rPr>
          <w:i/>
        </w:rPr>
        <w:t>proportio</w:t>
      </w:r>
      <w:r w:rsidR="0099704D" w:rsidRPr="003D1E07">
        <w:rPr>
          <w:i/>
        </w:rPr>
        <w:fldChar w:fldCharType="begin"/>
      </w:r>
      <w:r w:rsidR="0099704D" w:rsidRPr="003D1E07">
        <w:instrText xml:space="preserve"> XE "pravda:</w:instrText>
      </w:r>
      <w:r w:rsidR="0099704D" w:rsidRPr="003D1E07">
        <w:rPr>
          <w:i/>
        </w:rPr>
        <w:instrText>proportio</w:instrText>
      </w:r>
      <w:r w:rsidR="0099704D" w:rsidRPr="003D1E07">
        <w:instrText xml:space="preserve">" </w:instrText>
      </w:r>
      <w:r w:rsidR="0099704D" w:rsidRPr="003D1E07">
        <w:rPr>
          <w:i/>
        </w:rPr>
        <w:fldChar w:fldCharType="end"/>
      </w:r>
      <w:r w:rsidR="08DE7E63" w:rsidRPr="003D1E07">
        <w:t xml:space="preserve"> mezi </w:t>
      </w:r>
      <w:r w:rsidR="088D4BF7" w:rsidRPr="003D1E07">
        <w:t xml:space="preserve">věcí, </w:t>
      </w:r>
      <w:r w:rsidR="08DE7E63" w:rsidRPr="003D1E07">
        <w:t xml:space="preserve">smysly a rozumem. </w:t>
      </w:r>
      <w:r w:rsidR="00B44817" w:rsidRPr="003D1E07">
        <w:t>Výkon intelektu v těle tvoří eminentní virtus duše (</w:t>
      </w:r>
      <w:r w:rsidR="00B44817" w:rsidRPr="003D1E07">
        <w:rPr>
          <w:i/>
        </w:rPr>
        <w:t xml:space="preserve">tertium </w:t>
      </w:r>
      <w:r w:rsidR="00636BD4" w:rsidRPr="003D1E07">
        <w:rPr>
          <w:i/>
        </w:rPr>
        <w:t>genus</w:t>
      </w:r>
      <w:r w:rsidR="00B44817" w:rsidRPr="003D1E07">
        <w:t xml:space="preserve">). </w:t>
      </w:r>
      <w:r w:rsidR="00C42A03" w:rsidRPr="003D1E07">
        <w:t xml:space="preserve">Kdo vidí správně </w:t>
      </w:r>
      <w:r w:rsidR="00C42A03" w:rsidRPr="003D1E07">
        <w:rPr>
          <w:i/>
        </w:rPr>
        <w:t xml:space="preserve">intellectus possibilis </w:t>
      </w:r>
      <w:r w:rsidR="00C42A03" w:rsidRPr="003D1E07">
        <w:t xml:space="preserve">jako univerzální </w:t>
      </w:r>
      <w:r w:rsidR="08E276CE" w:rsidRPr="003D1E07">
        <w:rPr>
          <w:i/>
        </w:rPr>
        <w:t>idem</w:t>
      </w:r>
      <w:r w:rsidR="08E276CE" w:rsidRPr="003D1E07">
        <w:t xml:space="preserve"> </w:t>
      </w:r>
      <w:r w:rsidR="00C42A03" w:rsidRPr="003D1E07">
        <w:t xml:space="preserve">v rámci náhledu daného </w:t>
      </w:r>
      <w:r w:rsidR="00C42A03" w:rsidRPr="003D1E07">
        <w:rPr>
          <w:i/>
        </w:rPr>
        <w:t>simpliciter</w:t>
      </w:r>
      <w:r w:rsidR="00C42A03" w:rsidRPr="003D1E07">
        <w:t xml:space="preserve"> </w:t>
      </w:r>
      <w:r w:rsidR="004D2B22" w:rsidRPr="003D1E07">
        <w:t xml:space="preserve">a rámci abstrakce </w:t>
      </w:r>
      <w:r w:rsidR="00C42A03" w:rsidRPr="003D1E07">
        <w:t>(</w:t>
      </w:r>
      <w:r w:rsidR="00C42A03" w:rsidRPr="003D1E07">
        <w:rPr>
          <w:i/>
        </w:rPr>
        <w:t xml:space="preserve">quartum </w:t>
      </w:r>
      <w:r w:rsidR="00636BD4" w:rsidRPr="003D1E07">
        <w:rPr>
          <w:i/>
        </w:rPr>
        <w:t>genus</w:t>
      </w:r>
      <w:r w:rsidR="00C42A03" w:rsidRPr="003D1E07">
        <w:t xml:space="preserve">), ten si jej nemůže splést s výkonem intelektu třetího druhu, který je vázaný na </w:t>
      </w:r>
      <w:r w:rsidR="080C0E00" w:rsidRPr="003D1E07">
        <w:t xml:space="preserve">ipseitu </w:t>
      </w:r>
      <w:r w:rsidR="00C42A03" w:rsidRPr="003D1E07">
        <w:t xml:space="preserve">existující </w:t>
      </w:r>
      <w:r w:rsidR="00C23F74" w:rsidRPr="003D1E07">
        <w:t>osoby</w:t>
      </w:r>
      <w:r w:rsidR="00C42A03" w:rsidRPr="003D1E07">
        <w:t xml:space="preserve">. </w:t>
      </w:r>
      <w:r w:rsidR="00B709F6">
        <w:t>N</w:t>
      </w:r>
      <w:r w:rsidR="00B709F6" w:rsidRPr="00B709F6">
        <w:t>eexistuje</w:t>
      </w:r>
      <w:r w:rsidR="00B709F6">
        <w:t xml:space="preserve"> žádný „intelekt“</w:t>
      </w:r>
      <w:r w:rsidR="00B709F6" w:rsidRPr="00B709F6">
        <w:t xml:space="preserve"> jako mytologické </w:t>
      </w:r>
      <w:r w:rsidR="00B709F6" w:rsidRPr="00B709F6">
        <w:rPr>
          <w:i/>
        </w:rPr>
        <w:t>tertium ens</w:t>
      </w:r>
      <w:r w:rsidR="00B709F6" w:rsidRPr="00B709F6">
        <w:t xml:space="preserve"> moderny a postmoderny . Současný nihilismus </w:t>
      </w:r>
      <w:r w:rsidR="00B709F6">
        <w:t xml:space="preserve">už </w:t>
      </w:r>
      <w:r w:rsidR="00B709F6" w:rsidRPr="00B709F6">
        <w:t>má za svůj lidský vzor pouze umělou inteligenci, což je naprostá porážka kritického myšlení.</w:t>
      </w:r>
      <w:r w:rsidR="00B709F6">
        <w:t xml:space="preserve"> </w:t>
      </w:r>
      <w:r w:rsidR="002015AD" w:rsidRPr="003D1E07">
        <w:t xml:space="preserve">Rozlišení mezi predikací </w:t>
      </w:r>
      <w:r w:rsidR="002015AD" w:rsidRPr="003D1E07">
        <w:rPr>
          <w:i/>
        </w:rPr>
        <w:t>per prius</w:t>
      </w:r>
      <w:r w:rsidR="002015AD" w:rsidRPr="003D1E07">
        <w:t xml:space="preserve"> a </w:t>
      </w:r>
      <w:r w:rsidR="002015AD" w:rsidRPr="003D1E07">
        <w:rPr>
          <w:i/>
        </w:rPr>
        <w:t>per posterius</w:t>
      </w:r>
      <w:r w:rsidR="002015AD" w:rsidRPr="003D1E07">
        <w:t xml:space="preserve"> </w:t>
      </w:r>
      <w:r w:rsidR="08BF5715" w:rsidRPr="003D1E07">
        <w:t xml:space="preserve">ukazuje na původní formu </w:t>
      </w:r>
      <w:r w:rsidR="00C95A86">
        <w:t>„temnoty“ (</w:t>
      </w:r>
      <w:r w:rsidR="000871C0" w:rsidRPr="003D1E07">
        <w:rPr>
          <w:i/>
        </w:rPr>
        <w:t>obscurity</w:t>
      </w:r>
      <w:r w:rsidR="00B86F73" w:rsidRPr="003D1E07">
        <w:rPr>
          <w:i/>
        </w:rPr>
        <w:fldChar w:fldCharType="begin"/>
      </w:r>
      <w:r w:rsidR="00B86F73" w:rsidRPr="003D1E07">
        <w:instrText xml:space="preserve"> XE "zatmění:substance" </w:instrText>
      </w:r>
      <w:r w:rsidR="00B86F73" w:rsidRPr="003D1E07">
        <w:rPr>
          <w:i/>
        </w:rPr>
        <w:fldChar w:fldCharType="end"/>
      </w:r>
      <w:r w:rsidR="00C95A86">
        <w:t xml:space="preserve">, </w:t>
      </w:r>
      <w:r w:rsidR="002E3B62" w:rsidRPr="003D1E07">
        <w:t>Averroes</w:t>
      </w:r>
      <w:r w:rsidR="000871C0" w:rsidRPr="003D1E07">
        <w:t xml:space="preserve"> </w:t>
      </w:r>
      <w:r w:rsidR="000871C0" w:rsidRPr="003D1E07">
        <w:rPr>
          <w:i/>
        </w:rPr>
        <w:t>dixit</w:t>
      </w:r>
      <w:r w:rsidR="000871C0" w:rsidRPr="003D1E07">
        <w:t>)</w:t>
      </w:r>
      <w:r w:rsidR="00881819" w:rsidRPr="003D1E07">
        <w:t>,</w:t>
      </w:r>
      <w:r w:rsidR="000871C0" w:rsidRPr="003D1E07">
        <w:t xml:space="preserve"> která dala vznik pozdějšímu averroismu</w:t>
      </w:r>
      <w:r w:rsidR="00BC0F14" w:rsidRPr="003D1E07">
        <w:t xml:space="preserve">. Ten </w:t>
      </w:r>
      <w:r w:rsidR="000871C0" w:rsidRPr="003D1E07">
        <w:t xml:space="preserve">není nic jiného než </w:t>
      </w:r>
      <w:r w:rsidR="002906BD" w:rsidRPr="003D1E07">
        <w:t xml:space="preserve">maskovaný </w:t>
      </w:r>
      <w:r w:rsidR="000871C0" w:rsidRPr="003D1E07">
        <w:t>avice</w:t>
      </w:r>
      <w:r w:rsidR="00DB0869" w:rsidRPr="003D1E07">
        <w:t>n</w:t>
      </w:r>
      <w:r w:rsidR="000871C0" w:rsidRPr="003D1E07">
        <w:t>nismus</w:t>
      </w:r>
      <w:r w:rsidR="007142A7" w:rsidRPr="003D1E07">
        <w:t>, který nepochopil sp</w:t>
      </w:r>
      <w:r w:rsidR="00172189" w:rsidRPr="003D1E07">
        <w:t xml:space="preserve">ecifikum </w:t>
      </w:r>
      <w:r w:rsidR="002E3B62" w:rsidRPr="003D1E07">
        <w:t>Averroes</w:t>
      </w:r>
      <w:r w:rsidR="00A66F9E" w:rsidRPr="003D1E07">
        <w:t xml:space="preserve">ovy </w:t>
      </w:r>
      <w:r w:rsidR="00426CA8" w:rsidRPr="003D1E07">
        <w:t xml:space="preserve">komplexní </w:t>
      </w:r>
      <w:r w:rsidR="00A66F9E" w:rsidRPr="003D1E07">
        <w:t>predikace</w:t>
      </w:r>
      <w:r w:rsidR="08DE7E63" w:rsidRPr="003D1E07">
        <w:t xml:space="preserve"> různých forem intelektu</w:t>
      </w:r>
      <w:r w:rsidR="00C14414" w:rsidRPr="003D1E07">
        <w:t xml:space="preserve"> dané autentickou četbou aristotelského pojetí první vědy</w:t>
      </w:r>
      <w:r w:rsidR="00210581" w:rsidRPr="003D1E07">
        <w:rPr>
          <w:i/>
        </w:rPr>
        <w:fldChar w:fldCharType="begin"/>
      </w:r>
      <w:r w:rsidR="00210581" w:rsidRPr="003D1E07">
        <w:instrText xml:space="preserve"> XE "</w:instrText>
      </w:r>
      <w:r w:rsidR="00210581" w:rsidRPr="003D1E07">
        <w:rPr>
          <w:rStyle w:val="FontStyle129"/>
          <w:rFonts w:ascii="Calibri" w:hAnsi="Calibri"/>
          <w:sz w:val="24"/>
        </w:rPr>
        <w:instrText>metafyzika:</w:instrText>
      </w:r>
      <w:r w:rsidR="002E3B62" w:rsidRPr="003D1E07">
        <w:rPr>
          <w:rStyle w:val="FontStyle129"/>
          <w:rFonts w:ascii="Calibri" w:hAnsi="Calibri"/>
          <w:sz w:val="24"/>
        </w:rPr>
        <w:instrText>Averroes</w:instrText>
      </w:r>
      <w:r w:rsidR="00210581" w:rsidRPr="003D1E07">
        <w:instrText xml:space="preserve">" </w:instrText>
      </w:r>
      <w:r w:rsidR="00210581" w:rsidRPr="003D1E07">
        <w:rPr>
          <w:i/>
        </w:rPr>
        <w:fldChar w:fldCharType="end"/>
      </w:r>
      <w:r w:rsidR="00674FEA" w:rsidRPr="003D1E07">
        <w:t xml:space="preserve">. Velký komentář CMDA nepodává objektivní a </w:t>
      </w:r>
      <w:r w:rsidR="08DE7E63" w:rsidRPr="003D1E07">
        <w:t>esenc</w:t>
      </w:r>
      <w:r w:rsidR="08761479" w:rsidRPr="003D1E07">
        <w:t>i</w:t>
      </w:r>
      <w:r w:rsidR="00674FEA" w:rsidRPr="003D1E07">
        <w:t>ální popis intelektu</w:t>
      </w:r>
      <w:r w:rsidR="08DE7E63" w:rsidRPr="003D1E07">
        <w:t xml:space="preserve"> jako u Avice</w:t>
      </w:r>
      <w:r w:rsidR="08761479" w:rsidRPr="003D1E07">
        <w:t>n</w:t>
      </w:r>
      <w:r w:rsidR="00674FEA" w:rsidRPr="003D1E07">
        <w:t>ny</w:t>
      </w:r>
      <w:r w:rsidR="00DC1A11" w:rsidRPr="003D1E07">
        <w:t xml:space="preserve">. Jde o první </w:t>
      </w:r>
      <w:r w:rsidR="00674FEA" w:rsidRPr="003D1E07">
        <w:t>fenomenologický</w:t>
      </w:r>
      <w:r w:rsidR="00DC1A11" w:rsidRPr="003D1E07">
        <w:t xml:space="preserve"> popis</w:t>
      </w:r>
      <w:r w:rsidR="080C4457" w:rsidRPr="003D1E07">
        <w:t xml:space="preserve"> toho, </w:t>
      </w:r>
      <w:r w:rsidR="08DE7E63" w:rsidRPr="003D1E07">
        <w:t>jak</w:t>
      </w:r>
      <w:r w:rsidR="080C4457" w:rsidRPr="003D1E07">
        <w:t xml:space="preserve"> </w:t>
      </w:r>
      <w:r w:rsidR="08DE7E63" w:rsidRPr="003D1E07">
        <w:t xml:space="preserve">intelekt </w:t>
      </w:r>
      <w:r w:rsidR="08BF5715" w:rsidRPr="003D1E07">
        <w:t xml:space="preserve">působí </w:t>
      </w:r>
      <w:r w:rsidR="00D7215C" w:rsidRPr="003D1E07">
        <w:t>v konkrétní oso</w:t>
      </w:r>
      <w:r w:rsidR="080C4457" w:rsidRPr="003D1E07">
        <w:t xml:space="preserve">bě </w:t>
      </w:r>
      <w:r w:rsidR="08DE7E63" w:rsidRPr="003D1E07">
        <w:t>na různých úrovních</w:t>
      </w:r>
      <w:r w:rsidR="00A66F9E" w:rsidRPr="003D1E07">
        <w:t xml:space="preserve">. </w:t>
      </w:r>
      <w:r w:rsidR="085176F2" w:rsidRPr="003D1E07">
        <w:t xml:space="preserve">Hermeneutika proto považuje velký komentář k </w:t>
      </w:r>
      <w:r w:rsidR="085176F2" w:rsidRPr="003D1E07">
        <w:rPr>
          <w:i/>
        </w:rPr>
        <w:t>De anima</w:t>
      </w:r>
      <w:r w:rsidR="085176F2" w:rsidRPr="003D1E07">
        <w:t xml:space="preserve"> za </w:t>
      </w:r>
      <w:r w:rsidR="08A4664D" w:rsidRPr="003D1E07">
        <w:t xml:space="preserve">první kompletní projekt </w:t>
      </w:r>
      <w:r w:rsidR="0890461C" w:rsidRPr="003D1E07">
        <w:t>Averroesovy „meta-</w:t>
      </w:r>
      <w:r w:rsidR="085176F2" w:rsidRPr="003D1E07">
        <w:t xml:space="preserve">fyziky“, kterou na úrovni první vědy o substanci </w:t>
      </w:r>
      <w:r w:rsidR="08A4664D" w:rsidRPr="003D1E07">
        <w:t xml:space="preserve">dokončí </w:t>
      </w:r>
      <w:r w:rsidR="085176F2" w:rsidRPr="003D1E07">
        <w:t xml:space="preserve">oba velké </w:t>
      </w:r>
      <w:r w:rsidR="085176F2" w:rsidRPr="003D1E07">
        <w:lastRenderedPageBreak/>
        <w:t xml:space="preserve">komentáře k </w:t>
      </w:r>
      <w:r w:rsidR="085176F2" w:rsidRPr="003D1E07">
        <w:rPr>
          <w:i/>
        </w:rPr>
        <w:t>Fyzice</w:t>
      </w:r>
      <w:r w:rsidR="085176F2" w:rsidRPr="003D1E07">
        <w:t xml:space="preserve"> a k </w:t>
      </w:r>
      <w:r w:rsidR="085176F2" w:rsidRPr="003D1E07">
        <w:rPr>
          <w:i/>
        </w:rPr>
        <w:t>Metafyzice</w:t>
      </w:r>
      <w:r w:rsidR="085176F2" w:rsidRPr="003D1E07">
        <w:t xml:space="preserve">. Teprve tato syntéza poznání je kompletní, protože zahrnuje celek první filosofie manifestovaný v průběhu faktického poznání jedinečné osoby. </w:t>
      </w:r>
      <w:r w:rsidR="00674FEA" w:rsidRPr="003D1E07">
        <w:t xml:space="preserve">Tuto základní pravdu do hloubky pochopil </w:t>
      </w:r>
      <w:r w:rsidR="08F14B81" w:rsidRPr="003D1E07">
        <w:t xml:space="preserve">filosof </w:t>
      </w:r>
      <w:r w:rsidR="00674FEA" w:rsidRPr="003D1E07">
        <w:t xml:space="preserve">Siger z Brabantu, ale nikoliv teolog Tomáš Akvinský. </w:t>
      </w:r>
      <w:r w:rsidR="00847587" w:rsidRPr="003D1E07">
        <w:t>Jejich spor o povahu poznání podle CMDA uk</w:t>
      </w:r>
      <w:r w:rsidR="08F61EBC" w:rsidRPr="003D1E07">
        <w:t xml:space="preserve">áže </w:t>
      </w:r>
      <w:r w:rsidR="00DA56BD" w:rsidRPr="003D1E07">
        <w:t xml:space="preserve">třetí </w:t>
      </w:r>
      <w:r w:rsidR="08F61EBC" w:rsidRPr="003D1E07">
        <w:t>část studie</w:t>
      </w:r>
      <w:r w:rsidR="00847587" w:rsidRPr="003D1E07">
        <w:t xml:space="preserve">. </w:t>
      </w:r>
      <w:r w:rsidR="00A66F9E" w:rsidRPr="003D1E07">
        <w:t>S</w:t>
      </w:r>
      <w:r w:rsidR="00172189" w:rsidRPr="003D1E07">
        <w:t>chola</w:t>
      </w:r>
      <w:r w:rsidR="00322199" w:rsidRPr="003D1E07">
        <w:t>s</w:t>
      </w:r>
      <w:r w:rsidR="00172189" w:rsidRPr="003D1E07">
        <w:t>tičtí a moderní komentátoři čtou</w:t>
      </w:r>
      <w:r w:rsidR="007142A7" w:rsidRPr="003D1E07">
        <w:t xml:space="preserve"> </w:t>
      </w:r>
      <w:r w:rsidR="002E3B62" w:rsidRPr="003D1E07">
        <w:t>Averroes</w:t>
      </w:r>
      <w:r w:rsidR="00847587" w:rsidRPr="003D1E07">
        <w:t xml:space="preserve">ův výklad </w:t>
      </w:r>
      <w:r w:rsidR="00D97BB7" w:rsidRPr="003D1E07">
        <w:t xml:space="preserve">čistě </w:t>
      </w:r>
      <w:r w:rsidR="007142A7" w:rsidRPr="003D1E07">
        <w:t>objektivisticky</w:t>
      </w:r>
      <w:r w:rsidR="00D97BB7" w:rsidRPr="003D1E07">
        <w:t>, tj</w:t>
      </w:r>
      <w:r w:rsidR="000871C0" w:rsidRPr="003D1E07">
        <w:t xml:space="preserve">. </w:t>
      </w:r>
      <w:r w:rsidR="00D97BB7" w:rsidRPr="003D1E07">
        <w:t xml:space="preserve">v rámci předpokládané </w:t>
      </w:r>
      <w:r w:rsidR="008A1350" w:rsidRPr="003D1E07">
        <w:t xml:space="preserve">objektivity </w:t>
      </w:r>
      <w:r w:rsidR="00D97BB7" w:rsidRPr="003D1E07">
        <w:rPr>
          <w:i/>
        </w:rPr>
        <w:t>intellectus possibilis</w:t>
      </w:r>
      <w:r w:rsidR="00E82452">
        <w:t xml:space="preserve"> chápaného jako sofistickou </w:t>
      </w:r>
      <w:r w:rsidR="00C37022">
        <w:t>„</w:t>
      </w:r>
      <w:r w:rsidR="00E82452">
        <w:t>substanci-species</w:t>
      </w:r>
      <w:r w:rsidR="00C37022">
        <w:t>“</w:t>
      </w:r>
      <w:r w:rsidR="00E82452">
        <w:t xml:space="preserve"> (Simplikios).</w:t>
      </w:r>
      <w:r w:rsidR="00D97BB7" w:rsidRPr="003D1E07">
        <w:t xml:space="preserve"> </w:t>
      </w:r>
      <w:r w:rsidR="00455F95" w:rsidRPr="003D1E07">
        <w:t>Tento výklad CMDA je averrois</w:t>
      </w:r>
      <w:r w:rsidR="085A1D31" w:rsidRPr="003D1E07">
        <w:t xml:space="preserve">tický, tedy principiálně mylný. Dráha </w:t>
      </w:r>
      <w:r w:rsidR="00B247CB" w:rsidRPr="003D1E07">
        <w:t xml:space="preserve">fatálně chybného </w:t>
      </w:r>
      <w:r w:rsidR="00D67739" w:rsidRPr="003D1E07">
        <w:t xml:space="preserve">porozumění </w:t>
      </w:r>
      <w:r w:rsidR="00192A27" w:rsidRPr="003D1E07">
        <w:t xml:space="preserve">moderny </w:t>
      </w:r>
      <w:r w:rsidR="005C519E" w:rsidRPr="003D1E07">
        <w:t>(</w:t>
      </w:r>
      <w:r w:rsidR="005C519E" w:rsidRPr="003D1E07">
        <w:rPr>
          <w:i/>
        </w:rPr>
        <w:t>Vor-blickbahn</w:t>
      </w:r>
      <w:r w:rsidR="005C519E" w:rsidRPr="003D1E07">
        <w:t xml:space="preserve">) </w:t>
      </w:r>
      <w:r w:rsidR="00CF0902" w:rsidRPr="003D1E07">
        <w:t xml:space="preserve">jde </w:t>
      </w:r>
      <w:r w:rsidR="085A1D31" w:rsidRPr="003D1E07">
        <w:t>od genericky dané jednoty lidstva sm</w:t>
      </w:r>
      <w:r w:rsidR="00CF0902" w:rsidRPr="003D1E07">
        <w:t xml:space="preserve">ěrem k abstraktnímu jednotlivci. Tato </w:t>
      </w:r>
      <w:r w:rsidR="005C519E" w:rsidRPr="003D1E07">
        <w:t xml:space="preserve">mytologická </w:t>
      </w:r>
      <w:r w:rsidR="00F06E4B" w:rsidRPr="003D1E07">
        <w:t xml:space="preserve">povaha </w:t>
      </w:r>
      <w:r w:rsidR="005C519E" w:rsidRPr="003D1E07">
        <w:t>„člověka“</w:t>
      </w:r>
      <w:r w:rsidR="00F06E4B" w:rsidRPr="003D1E07">
        <w:t xml:space="preserve"> představuje dějinně vytvořený </w:t>
      </w:r>
      <w:r w:rsidR="00481B69" w:rsidRPr="003D1E07">
        <w:rPr>
          <w:i/>
        </w:rPr>
        <w:t>Ge-S</w:t>
      </w:r>
      <w:r w:rsidR="005C519E" w:rsidRPr="003D1E07">
        <w:rPr>
          <w:i/>
        </w:rPr>
        <w:t>tell</w:t>
      </w:r>
      <w:r w:rsidR="005C519E" w:rsidRPr="003D1E07">
        <w:rPr>
          <w:i/>
        </w:rPr>
        <w:fldChar w:fldCharType="begin"/>
      </w:r>
      <w:r w:rsidR="005C519E" w:rsidRPr="003D1E07">
        <w:instrText xml:space="preserve"> XE "</w:instrText>
      </w:r>
      <w:r w:rsidR="00481B69" w:rsidRPr="003D1E07">
        <w:rPr>
          <w:i/>
        </w:rPr>
        <w:instrText>Ge-S</w:instrText>
      </w:r>
      <w:r w:rsidR="005C519E" w:rsidRPr="003D1E07">
        <w:rPr>
          <w:i/>
        </w:rPr>
        <w:instrText>tell</w:instrText>
      </w:r>
      <w:r w:rsidR="005C519E" w:rsidRPr="003D1E07">
        <w:instrText xml:space="preserve">" </w:instrText>
      </w:r>
      <w:r w:rsidR="005C519E" w:rsidRPr="003D1E07">
        <w:rPr>
          <w:i/>
        </w:rPr>
        <w:fldChar w:fldCharType="end"/>
      </w:r>
      <w:r w:rsidR="005C519E" w:rsidRPr="003D1E07">
        <w:t xml:space="preserve"> </w:t>
      </w:r>
      <w:r w:rsidR="00481B69" w:rsidRPr="003D1E07">
        <w:t xml:space="preserve">moderního </w:t>
      </w:r>
      <w:r w:rsidR="00F06E4B" w:rsidRPr="003D1E07">
        <w:t>člověka</w:t>
      </w:r>
      <w:r w:rsidR="00A61FDD">
        <w:t xml:space="preserve"> v jeho počátečním nihilismu urč</w:t>
      </w:r>
      <w:r w:rsidR="00F06E4B" w:rsidRPr="003D1E07">
        <w:t xml:space="preserve">eném moderní metafyzikou. Klasická a moderní dedukce intelektu proto </w:t>
      </w:r>
      <w:r w:rsidR="085A1D31" w:rsidRPr="003D1E07">
        <w:t xml:space="preserve">představuje </w:t>
      </w:r>
      <w:r w:rsidR="085A1D31" w:rsidRPr="003D1E07">
        <w:rPr>
          <w:i/>
        </w:rPr>
        <w:t>Lichtung</w:t>
      </w:r>
      <w:r w:rsidR="085A1D31" w:rsidRPr="003D1E07">
        <w:t xml:space="preserve"> </w:t>
      </w:r>
      <w:r w:rsidR="007F0825" w:rsidRPr="003D1E07">
        <w:t xml:space="preserve">pravdy a nepravdy </w:t>
      </w:r>
      <w:r w:rsidR="00C01D6B">
        <w:t xml:space="preserve">pro metafyzickou </w:t>
      </w:r>
      <w:r w:rsidR="085A1D31" w:rsidRPr="003D1E07">
        <w:t>odkrytost (</w:t>
      </w:r>
      <w:r w:rsidR="00C01D6B">
        <w:rPr>
          <w:i/>
        </w:rPr>
        <w:t>a</w:t>
      </w:r>
      <w:r w:rsidR="085A1D31" w:rsidRPr="003D1E07">
        <w:rPr>
          <w:i/>
        </w:rPr>
        <w:t>létheia</w:t>
      </w:r>
      <w:r w:rsidR="085A1D31" w:rsidRPr="003D1E07">
        <w:rPr>
          <w:i/>
        </w:rPr>
        <w:fldChar w:fldCharType="begin"/>
      </w:r>
      <w:r w:rsidR="085A1D31" w:rsidRPr="003D1E07">
        <w:instrText xml:space="preserve"> XE "pravda:po-odkrytost" </w:instrText>
      </w:r>
      <w:r w:rsidR="085A1D31" w:rsidRPr="003D1E07">
        <w:rPr>
          <w:i/>
        </w:rPr>
        <w:fldChar w:fldCharType="end"/>
      </w:r>
      <w:r w:rsidR="085A1D31" w:rsidRPr="003D1E07">
        <w:t xml:space="preserve">) prvního latinského určení lidstva v rámci </w:t>
      </w:r>
      <w:r w:rsidR="085A1D31" w:rsidRPr="003D1E07">
        <w:rPr>
          <w:i/>
        </w:rPr>
        <w:t>universitas humana</w:t>
      </w:r>
      <w:r w:rsidR="085A1D31" w:rsidRPr="003D1E07">
        <w:rPr>
          <w:i/>
        </w:rPr>
        <w:fldChar w:fldCharType="begin"/>
      </w:r>
      <w:r w:rsidR="085A1D31" w:rsidRPr="003D1E07">
        <w:instrText xml:space="preserve"> XE "</w:instrText>
      </w:r>
      <w:r w:rsidR="085A1D31" w:rsidRPr="003D1E07">
        <w:rPr>
          <w:i/>
        </w:rPr>
        <w:instrText>universitas humana</w:instrText>
      </w:r>
      <w:r w:rsidR="085A1D31" w:rsidRPr="003D1E07">
        <w:instrText xml:space="preserve">" </w:instrText>
      </w:r>
      <w:r w:rsidR="085A1D31" w:rsidRPr="003D1E07">
        <w:rPr>
          <w:i/>
        </w:rPr>
        <w:fldChar w:fldCharType="end"/>
      </w:r>
      <w:r w:rsidR="085A1D31" w:rsidRPr="003D1E07">
        <w:t xml:space="preserve">. Dante správně viděl podle </w:t>
      </w:r>
      <w:r w:rsidR="00FF2F4D">
        <w:t xml:space="preserve">textu </w:t>
      </w:r>
      <w:r w:rsidR="085A1D31" w:rsidRPr="003D1E07">
        <w:t>CMDA</w:t>
      </w:r>
      <w:r w:rsidR="00FF2F4D">
        <w:t xml:space="preserve"> vyloženého Sigerem</w:t>
      </w:r>
      <w:r w:rsidR="085A1D31" w:rsidRPr="003D1E07">
        <w:t>, že osoba musí nejprve kauzálně eticky a politicky jednat skrze praktický intelekt</w:t>
      </w:r>
      <w:r w:rsidR="00762904">
        <w:t xml:space="preserve"> jako </w:t>
      </w:r>
      <w:r w:rsidR="00762904" w:rsidRPr="00762904">
        <w:rPr>
          <w:i/>
        </w:rPr>
        <w:t>tertium genus</w:t>
      </w:r>
      <w:r w:rsidR="085A1D31" w:rsidRPr="003D1E07">
        <w:t xml:space="preserve">. Pak je možné provést abstrakci směrem ke </w:t>
      </w:r>
      <w:r w:rsidR="00F214C5" w:rsidRPr="003D1E07">
        <w:rPr>
          <w:i/>
        </w:rPr>
        <w:t>species</w:t>
      </w:r>
      <w:r w:rsidR="085A1D31" w:rsidRPr="003D1E07">
        <w:rPr>
          <w:i/>
        </w:rPr>
        <w:t xml:space="preserve"> humana</w:t>
      </w:r>
      <w:r w:rsidR="085A1D31" w:rsidRPr="003D1E07">
        <w:t>. Toto humanistické pojetí Danteho</w:t>
      </w:r>
      <w:r w:rsidR="084931ED" w:rsidRPr="003D1E07">
        <w:fldChar w:fldCharType="begin"/>
      </w:r>
      <w:r w:rsidR="084931ED" w:rsidRPr="003D1E07">
        <w:instrText xml:space="preserve"> XE "Dante, A." </w:instrText>
      </w:r>
      <w:r w:rsidR="084931ED" w:rsidRPr="003D1E07">
        <w:fldChar w:fldCharType="end"/>
      </w:r>
      <w:r w:rsidR="085A1D31" w:rsidRPr="003D1E07">
        <w:t xml:space="preserve"> bylo zcela pochopitelně v rámci epochálního </w:t>
      </w:r>
      <w:r w:rsidR="085A1D31" w:rsidRPr="003D1E07">
        <w:rPr>
          <w:i/>
        </w:rPr>
        <w:t>Irrtum</w:t>
      </w:r>
      <w:r w:rsidR="085A1D31" w:rsidRPr="003D1E07">
        <w:rPr>
          <w:i/>
        </w:rPr>
        <w:fldChar w:fldCharType="begin"/>
      </w:r>
      <w:r w:rsidR="085A1D31" w:rsidRPr="003D1E07">
        <w:instrText xml:space="preserve"> XE "</w:instrText>
      </w:r>
      <w:r w:rsidR="085A1D31" w:rsidRPr="003D1E07">
        <w:rPr>
          <w:i/>
        </w:rPr>
        <w:instrText>Irrtum</w:instrText>
      </w:r>
      <w:r w:rsidR="085A1D31" w:rsidRPr="003D1E07">
        <w:instrText xml:space="preserve">:moderna" </w:instrText>
      </w:r>
      <w:r w:rsidR="085A1D31" w:rsidRPr="003D1E07">
        <w:rPr>
          <w:i/>
        </w:rPr>
        <w:fldChar w:fldCharType="end"/>
      </w:r>
      <w:r w:rsidR="085A1D31" w:rsidRPr="003D1E07">
        <w:t xml:space="preserve"> západní metafyziky označeno moderními a postmoderními objektivisty jako </w:t>
      </w:r>
      <w:r w:rsidR="008C31EE">
        <w:t>„</w:t>
      </w:r>
      <w:r w:rsidR="085A1D31" w:rsidRPr="003D1E07">
        <w:t>averroistické</w:t>
      </w:r>
      <w:r w:rsidR="008C31EE">
        <w:t>“</w:t>
      </w:r>
      <w:r w:rsidR="085A1D31" w:rsidRPr="003D1E07">
        <w:t xml:space="preserve">, protože původní interpretace CMDA v modu </w:t>
      </w:r>
      <w:r w:rsidR="085A1D31" w:rsidRPr="003D1E07">
        <w:rPr>
          <w:i/>
        </w:rPr>
        <w:t xml:space="preserve">tertium </w:t>
      </w:r>
      <w:r w:rsidR="00636BD4" w:rsidRPr="003D1E07">
        <w:rPr>
          <w:i/>
        </w:rPr>
        <w:t>genus</w:t>
      </w:r>
      <w:r w:rsidR="085A1D31" w:rsidRPr="003D1E07">
        <w:t xml:space="preserve"> se skryla v epochální </w:t>
      </w:r>
      <w:r w:rsidR="007F0825" w:rsidRPr="003D1E07">
        <w:t>léthé</w:t>
      </w:r>
      <w:r w:rsidR="085A1D31" w:rsidRPr="003D1E07">
        <w:t xml:space="preserve">. Nihilistický humanismus současnosti je odvozen od neexistujícího simulákra. Moderna vzala averroistické určení </w:t>
      </w:r>
      <w:r w:rsidR="085A1D31" w:rsidRPr="003D1E07">
        <w:rPr>
          <w:i/>
        </w:rPr>
        <w:t>intellectus possibilis</w:t>
      </w:r>
      <w:r w:rsidR="085A1D31" w:rsidRPr="003D1E07">
        <w:t xml:space="preserve"> jako hypostázované </w:t>
      </w:r>
      <w:r w:rsidR="00F214C5" w:rsidRPr="003D1E07">
        <w:t>species</w:t>
      </w:r>
      <w:r w:rsidR="085A1D31" w:rsidRPr="003D1E07">
        <w:t xml:space="preserve"> v modu dokazování </w:t>
      </w:r>
      <w:r w:rsidR="085A1D31" w:rsidRPr="003D1E07">
        <w:rPr>
          <w:i/>
        </w:rPr>
        <w:t>per prius</w:t>
      </w:r>
      <w:r w:rsidR="085A1D31" w:rsidRPr="003D1E07">
        <w:t xml:space="preserve">. Pak tuto </w:t>
      </w:r>
      <w:r w:rsidR="00497056">
        <w:t xml:space="preserve">idolatrickou </w:t>
      </w:r>
      <w:r w:rsidR="085A1D31" w:rsidRPr="003D1E07">
        <w:t xml:space="preserve">obecninu danou </w:t>
      </w:r>
      <w:r w:rsidR="00136011">
        <w:t>jako „</w:t>
      </w:r>
      <w:r w:rsidR="00F214C5" w:rsidRPr="003D1E07">
        <w:rPr>
          <w:i/>
        </w:rPr>
        <w:t>species</w:t>
      </w:r>
      <w:r w:rsidR="085A1D31" w:rsidRPr="003D1E07">
        <w:rPr>
          <w:i/>
        </w:rPr>
        <w:t xml:space="preserve"> humana</w:t>
      </w:r>
      <w:r w:rsidR="00136011">
        <w:t>“</w:t>
      </w:r>
      <w:r w:rsidR="00890BEB" w:rsidRPr="003D1E07">
        <w:t xml:space="preserve"> začala dělit podle Porfýrio</w:t>
      </w:r>
      <w:r w:rsidR="085A1D31" w:rsidRPr="003D1E07">
        <w:t xml:space="preserve">va stromu až na poslední nedělitelné individuum (kap. 1.3). A </w:t>
      </w:r>
      <w:r w:rsidR="00497056">
        <w:t xml:space="preserve">moderna </w:t>
      </w:r>
      <w:r w:rsidR="00497056" w:rsidRPr="003D1E07">
        <w:t xml:space="preserve">pod vlivem Fúrií prohlásila </w:t>
      </w:r>
      <w:r w:rsidR="085A1D31" w:rsidRPr="003D1E07">
        <w:t xml:space="preserve">toto </w:t>
      </w:r>
      <w:r w:rsidR="00497056">
        <w:t xml:space="preserve">mytopoetické </w:t>
      </w:r>
      <w:r w:rsidR="085A1D31" w:rsidRPr="003D1E07">
        <w:t xml:space="preserve">individum bez vlastní existence a dokonce bez vlastní univerzality za objektivně platnou a pravdivou definici </w:t>
      </w:r>
      <w:r w:rsidR="001D2B68">
        <w:t>tzv. „</w:t>
      </w:r>
      <w:r w:rsidR="085A1D31" w:rsidRPr="003D1E07">
        <w:t>osoby</w:t>
      </w:r>
      <w:r w:rsidR="001D2B68">
        <w:t>“</w:t>
      </w:r>
      <w:r w:rsidR="085A1D31" w:rsidRPr="003D1E07">
        <w:t xml:space="preserve">. Představitelé prvního averroismu považovali tento moderní způsob definice osoby za </w:t>
      </w:r>
      <w:r w:rsidR="001D2B68">
        <w:t>„</w:t>
      </w:r>
      <w:r w:rsidR="085A1D31" w:rsidRPr="003D1E07">
        <w:t>imbecilní</w:t>
      </w:r>
      <w:r w:rsidR="001D2B68">
        <w:t>“</w:t>
      </w:r>
      <w:r w:rsidR="085A1D31" w:rsidRPr="003D1E07">
        <w:t xml:space="preserve"> (Alvernus) nebo za </w:t>
      </w:r>
      <w:r w:rsidR="001D2B68">
        <w:t>„</w:t>
      </w:r>
      <w:r w:rsidR="085A1D31" w:rsidRPr="003D1E07">
        <w:t>šílený</w:t>
      </w:r>
      <w:r w:rsidR="001D2B68">
        <w:t>“</w:t>
      </w:r>
      <w:r w:rsidR="085A1D31" w:rsidRPr="003D1E07">
        <w:t xml:space="preserve"> (Bacon) nebo za </w:t>
      </w:r>
      <w:r w:rsidR="001D2B68">
        <w:t>„</w:t>
      </w:r>
      <w:r w:rsidR="085A1D31" w:rsidRPr="003D1E07">
        <w:t>směšný</w:t>
      </w:r>
      <w:r w:rsidR="001D2B68">
        <w:t>“</w:t>
      </w:r>
      <w:r w:rsidR="085A1D31" w:rsidRPr="003D1E07">
        <w:t xml:space="preserve"> (Albert). </w:t>
      </w:r>
      <w:r w:rsidR="082C4946" w:rsidRPr="003D1E07">
        <w:t xml:space="preserve">Polemiku prvního a druhého averroismu </w:t>
      </w:r>
      <w:r w:rsidR="08D1550B" w:rsidRPr="003D1E07">
        <w:t xml:space="preserve">ve scholastice po roce 1220 </w:t>
      </w:r>
      <w:r w:rsidR="082C4946" w:rsidRPr="003D1E07">
        <w:t xml:space="preserve">ukáže následují díl. </w:t>
      </w:r>
      <w:r w:rsidR="085A1D31" w:rsidRPr="003D1E07">
        <w:t>Po vítězství moderny do historicky daného maxima objektivity je už tento humanismus</w:t>
      </w:r>
      <w:r w:rsidR="08D1550B" w:rsidRPr="003D1E07">
        <w:fldChar w:fldCharType="begin"/>
      </w:r>
      <w:r w:rsidR="08D1550B" w:rsidRPr="003D1E07">
        <w:instrText xml:space="preserve"> XE "humanismus" </w:instrText>
      </w:r>
      <w:r w:rsidR="08D1550B" w:rsidRPr="003D1E07">
        <w:fldChar w:fldCharType="end"/>
      </w:r>
      <w:r w:rsidR="085A1D31" w:rsidRPr="003D1E07">
        <w:t xml:space="preserve"> individua normální a akademicky globální hodnota. Proto po nástupu manické moderny mohly odejít Fúrie zp</w:t>
      </w:r>
      <w:r w:rsidR="082C4946" w:rsidRPr="003D1E07">
        <w:t>ět do podsvětí. Akademi</w:t>
      </w:r>
      <w:r w:rsidR="005317D0">
        <w:t xml:space="preserve">kové </w:t>
      </w:r>
      <w:r w:rsidR="009368A2" w:rsidRPr="003D1E07">
        <w:t>objektivně i</w:t>
      </w:r>
      <w:r w:rsidR="085A1D31" w:rsidRPr="003D1E07">
        <w:t xml:space="preserve">ndexují, zajišťují, provozují a kontrolují </w:t>
      </w:r>
      <w:r w:rsidR="009368A2" w:rsidRPr="003D1E07">
        <w:t xml:space="preserve">svět simuláker vlastními silami, které </w:t>
      </w:r>
      <w:r w:rsidR="085A1D31" w:rsidRPr="003D1E07">
        <w:t>pla</w:t>
      </w:r>
      <w:r w:rsidR="009368A2" w:rsidRPr="003D1E07">
        <w:t xml:space="preserve">tí </w:t>
      </w:r>
      <w:r w:rsidR="085A1D31" w:rsidRPr="003D1E07">
        <w:t>zbyt</w:t>
      </w:r>
      <w:r w:rsidR="009368A2" w:rsidRPr="003D1E07">
        <w:t>ek</w:t>
      </w:r>
      <w:r w:rsidR="085A1D31" w:rsidRPr="003D1E07">
        <w:t xml:space="preserve"> vděčného lidstva.</w:t>
      </w:r>
    </w:p>
    <w:p w14:paraId="3060FFEC" w14:textId="58A539B3" w:rsidR="005C292B" w:rsidRPr="003D1E07" w:rsidRDefault="00E473DF" w:rsidP="00B709F6">
      <w:pPr>
        <w:ind w:firstLine="397"/>
      </w:pPr>
      <w:r w:rsidRPr="003D1E07">
        <w:lastRenderedPageBreak/>
        <w:t xml:space="preserve">Na závěr citujme klíčové poselství </w:t>
      </w:r>
      <w:r w:rsidR="08F14B81" w:rsidRPr="003D1E07">
        <w:t xml:space="preserve">moudrého </w:t>
      </w:r>
      <w:r w:rsidR="08965D79" w:rsidRPr="003D1E07">
        <w:t xml:space="preserve">a proto tragického </w:t>
      </w:r>
      <w:r w:rsidR="002E3B62" w:rsidRPr="003D1E07">
        <w:t>Averroes</w:t>
      </w:r>
      <w:r w:rsidRPr="003D1E07">
        <w:t>e</w:t>
      </w:r>
      <w:r w:rsidR="00645896" w:rsidRPr="003D1E07">
        <w:t xml:space="preserve"> charakterizující fundamentální pohled na jsoucno </w:t>
      </w:r>
      <w:r w:rsidR="001646BD" w:rsidRPr="003D1E07">
        <w:t xml:space="preserve">vázaný na smysl </w:t>
      </w:r>
      <w:r w:rsidR="00556604" w:rsidRPr="003D1E07">
        <w:t xml:space="preserve">reálných </w:t>
      </w:r>
      <w:r w:rsidR="001646BD" w:rsidRPr="003D1E07">
        <w:t>věcí</w:t>
      </w:r>
      <w:r w:rsidR="08F14B81" w:rsidRPr="003D1E07">
        <w:t xml:space="preserve">. </w:t>
      </w:r>
      <w:r w:rsidR="08E22F7A" w:rsidRPr="003D1E07">
        <w:t xml:space="preserve">Metafyzický </w:t>
      </w:r>
      <w:r w:rsidR="08F14B81" w:rsidRPr="003D1E07">
        <w:t>dativ</w:t>
      </w:r>
      <w:r w:rsidR="08F14B81" w:rsidRPr="003D1E07">
        <w:fldChar w:fldCharType="begin"/>
      </w:r>
      <w:r w:rsidR="08F14B81" w:rsidRPr="003D1E07">
        <w:instrText xml:space="preserve"> XE "</w:instrText>
      </w:r>
      <w:r w:rsidR="08E22F7A" w:rsidRPr="003D1E07">
        <w:rPr>
          <w:i/>
        </w:rPr>
        <w:instrText>dativus metaphysi</w:instrText>
      </w:r>
      <w:r w:rsidR="08F14B81" w:rsidRPr="003D1E07">
        <w:rPr>
          <w:i/>
        </w:rPr>
        <w:instrText>cus</w:instrText>
      </w:r>
      <w:r w:rsidR="08F14B81" w:rsidRPr="003D1E07">
        <w:instrText xml:space="preserve">" </w:instrText>
      </w:r>
      <w:r w:rsidR="08F14B81" w:rsidRPr="003D1E07">
        <w:fldChar w:fldCharType="end"/>
      </w:r>
      <w:r w:rsidR="08F14B81" w:rsidRPr="003D1E07">
        <w:t xml:space="preserve"> urč</w:t>
      </w:r>
      <w:r w:rsidR="08211E0A" w:rsidRPr="003D1E07">
        <w:t xml:space="preserve">uje </w:t>
      </w:r>
      <w:r w:rsidR="08F14B81" w:rsidRPr="003D1E07">
        <w:t xml:space="preserve">pojetí pravdy </w:t>
      </w:r>
      <w:r w:rsidR="08FE1C1F" w:rsidRPr="003D1E07">
        <w:t xml:space="preserve">v teoretických vědách </w:t>
      </w:r>
      <w:r w:rsidR="08043649" w:rsidRPr="003D1E07">
        <w:t>nasvícením zepředu od reálných</w:t>
      </w:r>
      <w:r w:rsidR="08FE1C1F" w:rsidRPr="003D1E07">
        <w:t xml:space="preserve"> věcí</w:t>
      </w:r>
      <w:r w:rsidR="00A17FEB">
        <w:t>.</w:t>
      </w:r>
    </w:p>
    <w:p w14:paraId="1446DEB3" w14:textId="77777777" w:rsidR="006B2F93" w:rsidRPr="003D1E07" w:rsidRDefault="006B2F93" w:rsidP="007B0180">
      <w:pPr>
        <w:pStyle w:val="Citace"/>
        <w:rPr>
          <w:rStyle w:val="Zkladntextdkovn0pt"/>
          <w:rFonts w:ascii="Calibri" w:eastAsia="Times" w:hAnsi="Calibri" w:cs="Times New Roman"/>
          <w:spacing w:val="0"/>
          <w:sz w:val="22"/>
          <w:u w:val="none"/>
          <w:lang w:val="cs-CZ"/>
        </w:rPr>
      </w:pPr>
      <w:r w:rsidRPr="003D1E07">
        <w:rPr>
          <w:rStyle w:val="Zkladntextdkovn0pt"/>
          <w:rFonts w:ascii="Calibri" w:eastAsia="Times" w:hAnsi="Calibri" w:cs="Times New Roman"/>
          <w:spacing w:val="0"/>
          <w:sz w:val="22"/>
          <w:u w:val="none"/>
          <w:lang w:val="cs-CZ"/>
        </w:rPr>
        <w:t>„</w:t>
      </w:r>
      <w:r w:rsidR="002E088C" w:rsidRPr="003D1E07">
        <w:rPr>
          <w:rStyle w:val="Zkladntextdkovn0pt"/>
          <w:rFonts w:ascii="Calibri" w:eastAsia="Times" w:hAnsi="Calibri" w:cs="Times New Roman"/>
          <w:spacing w:val="0"/>
          <w:sz w:val="22"/>
          <w:u w:val="none"/>
          <w:lang w:val="cs-CZ"/>
        </w:rPr>
        <w:t xml:space="preserve">Z toho vyplývá, že porozumění není </w:t>
      </w:r>
      <w:r w:rsidR="08ED2AA3" w:rsidRPr="003D1E07">
        <w:rPr>
          <w:rStyle w:val="Zkladntextdkovn0pt"/>
          <w:rFonts w:ascii="Calibri" w:eastAsia="Times" w:hAnsi="Calibri" w:cs="Times New Roman"/>
          <w:spacing w:val="0"/>
          <w:sz w:val="22"/>
          <w:u w:val="none"/>
          <w:lang w:val="cs-CZ"/>
        </w:rPr>
        <w:t xml:space="preserve">jsoucno </w:t>
      </w:r>
      <w:r w:rsidR="08087B05" w:rsidRPr="003D1E07">
        <w:rPr>
          <w:rStyle w:val="Zkladntextdkovn0pt"/>
          <w:rFonts w:ascii="Calibri" w:eastAsia="Times" w:hAnsi="Calibri" w:cs="Times New Roman"/>
          <w:spacing w:val="0"/>
          <w:sz w:val="22"/>
          <w:u w:val="none"/>
          <w:lang w:val="cs-CZ"/>
        </w:rPr>
        <w:t xml:space="preserve">vzniklé </w:t>
      </w:r>
      <w:r w:rsidR="08ED2AA3" w:rsidRPr="003D1E07">
        <w:rPr>
          <w:rStyle w:val="Zkladntextdkovn0pt"/>
          <w:rFonts w:ascii="Calibri" w:eastAsia="Times" w:hAnsi="Calibri" w:cs="Times New Roman"/>
          <w:spacing w:val="0"/>
          <w:sz w:val="22"/>
          <w:u w:val="none"/>
          <w:lang w:val="cs-CZ"/>
        </w:rPr>
        <w:t>ve spekulativních vědách (</w:t>
      </w:r>
      <w:r w:rsidR="08ED2AA3" w:rsidRPr="003D1E07">
        <w:rPr>
          <w:i/>
          <w:szCs w:val="30"/>
          <w:lang w:val="cs-CZ"/>
        </w:rPr>
        <w:t>non est aliquid scientiarum speculativarum</w:t>
      </w:r>
      <w:r w:rsidR="08ED2AA3" w:rsidRPr="003D1E07">
        <w:rPr>
          <w:rStyle w:val="Zkladntextdkovn0pt"/>
          <w:rFonts w:ascii="Calibri" w:eastAsia="Times" w:hAnsi="Calibri" w:cs="Times New Roman"/>
          <w:spacing w:val="0"/>
          <w:sz w:val="22"/>
          <w:u w:val="none"/>
          <w:lang w:val="cs-CZ"/>
        </w:rPr>
        <w:t>)</w:t>
      </w:r>
      <w:r w:rsidR="002E088C" w:rsidRPr="003D1E07">
        <w:rPr>
          <w:rStyle w:val="Zkladntextdkovn0pt"/>
          <w:rFonts w:ascii="Calibri" w:eastAsia="Times" w:hAnsi="Calibri" w:cs="Times New Roman"/>
          <w:spacing w:val="0"/>
          <w:sz w:val="22"/>
          <w:u w:val="none"/>
          <w:lang w:val="cs-CZ"/>
        </w:rPr>
        <w:t xml:space="preserve">, ale sleduje běh přirozeně vzniklých věcí </w:t>
      </w:r>
      <w:r w:rsidR="002E088C" w:rsidRPr="003D1E07">
        <w:rPr>
          <w:lang w:val="cs-CZ"/>
        </w:rPr>
        <w:t>(</w:t>
      </w:r>
      <w:r w:rsidR="002E088C" w:rsidRPr="003D1E07">
        <w:rPr>
          <w:i/>
          <w:szCs w:val="30"/>
          <w:lang w:val="cs-CZ"/>
        </w:rPr>
        <w:t>aliquid currens cursu rei generate naturaliter</w:t>
      </w:r>
      <w:r w:rsidR="002E088C" w:rsidRPr="003D1E07">
        <w:rPr>
          <w:szCs w:val="30"/>
          <w:lang w:val="cs-CZ"/>
        </w:rPr>
        <w:t xml:space="preserve">), a to směrem od </w:t>
      </w:r>
      <w:r w:rsidR="085846A3" w:rsidRPr="003D1E07">
        <w:rPr>
          <w:szCs w:val="30"/>
          <w:lang w:val="cs-CZ"/>
        </w:rPr>
        <w:t xml:space="preserve">poznání </w:t>
      </w:r>
      <w:r w:rsidR="002E088C" w:rsidRPr="003D1E07">
        <w:rPr>
          <w:szCs w:val="30"/>
          <w:lang w:val="cs-CZ"/>
        </w:rPr>
        <w:t>spekulativních věd (</w:t>
      </w:r>
      <w:r w:rsidR="002E088C" w:rsidRPr="003D1E07">
        <w:rPr>
          <w:i/>
          <w:szCs w:val="30"/>
          <w:lang w:val="cs-CZ"/>
        </w:rPr>
        <w:t>a disciplina scientiarum speculativarum</w:t>
      </w:r>
      <w:r w:rsidR="002E088C" w:rsidRPr="003D1E07">
        <w:rPr>
          <w:lang w:val="cs-CZ"/>
        </w:rPr>
        <w:t>).</w:t>
      </w:r>
      <w:r w:rsidR="08750D0C" w:rsidRPr="003D1E07">
        <w:rPr>
          <w:rStyle w:val="Zkladntextdkovn0pt"/>
          <w:rFonts w:ascii="Calibri" w:eastAsia="Times" w:hAnsi="Calibri" w:cs="Times New Roman"/>
          <w:spacing w:val="0"/>
          <w:sz w:val="22"/>
          <w:u w:val="none"/>
          <w:lang w:val="cs-CZ"/>
        </w:rPr>
        <w:t xml:space="preserve"> Proto není lidem toto poznání vzdálené a mohou poznávat tímto </w:t>
      </w:r>
      <w:r w:rsidR="002E088C" w:rsidRPr="003D1E07">
        <w:rPr>
          <w:rStyle w:val="Zkladntextdkovn0pt"/>
          <w:rFonts w:ascii="Calibri" w:eastAsia="Times" w:hAnsi="Calibri" w:cs="Times New Roman"/>
          <w:spacing w:val="0"/>
          <w:sz w:val="22"/>
          <w:u w:val="none"/>
          <w:lang w:val="cs-CZ"/>
        </w:rPr>
        <w:t>způsobem, stejně jako se vzdělávají v te</w:t>
      </w:r>
      <w:r w:rsidR="00A3117F" w:rsidRPr="003D1E07">
        <w:rPr>
          <w:rStyle w:val="Zkladntextdkovn0pt"/>
          <w:rFonts w:ascii="Calibri" w:eastAsia="Times" w:hAnsi="Calibri" w:cs="Times New Roman"/>
          <w:spacing w:val="0"/>
          <w:sz w:val="22"/>
          <w:u w:val="none"/>
          <w:lang w:val="cs-CZ"/>
        </w:rPr>
        <w:t>oretických vědách. Ale je třeba</w:t>
      </w:r>
      <w:r w:rsidR="002E088C" w:rsidRPr="003D1E07">
        <w:rPr>
          <w:rStyle w:val="Zkladntextdkovn0pt"/>
          <w:rFonts w:ascii="Calibri" w:eastAsia="Times" w:hAnsi="Calibri" w:cs="Times New Roman"/>
          <w:spacing w:val="0"/>
          <w:sz w:val="22"/>
          <w:u w:val="none"/>
          <w:lang w:val="cs-CZ"/>
        </w:rPr>
        <w:t xml:space="preserve">, aby </w:t>
      </w:r>
      <w:r w:rsidR="089848E3" w:rsidRPr="003D1E07">
        <w:rPr>
          <w:rStyle w:val="Zkladntextdkovn0pt"/>
          <w:rFonts w:ascii="Calibri" w:eastAsia="Times" w:hAnsi="Calibri" w:cs="Times New Roman"/>
          <w:spacing w:val="0"/>
          <w:sz w:val="22"/>
          <w:u w:val="none"/>
          <w:lang w:val="cs-CZ"/>
        </w:rPr>
        <w:t xml:space="preserve">takto dané </w:t>
      </w:r>
      <w:r w:rsidR="002E088C" w:rsidRPr="003D1E07">
        <w:rPr>
          <w:rStyle w:val="Zkladntextdkovn0pt"/>
          <w:rFonts w:ascii="Calibri" w:eastAsia="Times" w:hAnsi="Calibri" w:cs="Times New Roman"/>
          <w:spacing w:val="0"/>
          <w:sz w:val="22"/>
          <w:u w:val="none"/>
          <w:lang w:val="cs-CZ"/>
        </w:rPr>
        <w:t>porozumění vycházelo ze spekulativních věd, a ne z jiných. Mylné myšlenky nem</w:t>
      </w:r>
      <w:r w:rsidR="08C010B2" w:rsidRPr="003D1E07">
        <w:rPr>
          <w:rStyle w:val="Zkladntextdkovn0pt"/>
          <w:rFonts w:ascii="Calibri" w:eastAsia="Times" w:hAnsi="Calibri" w:cs="Times New Roman"/>
          <w:spacing w:val="0"/>
          <w:sz w:val="22"/>
          <w:u w:val="none"/>
          <w:lang w:val="cs-CZ"/>
        </w:rPr>
        <w:t xml:space="preserve">ají </w:t>
      </w:r>
      <w:r w:rsidR="002E088C" w:rsidRPr="003D1E07">
        <w:rPr>
          <w:rStyle w:val="Zkladntextdkovn0pt"/>
          <w:rFonts w:ascii="Calibri" w:eastAsia="Times" w:hAnsi="Calibri" w:cs="Times New Roman"/>
          <w:spacing w:val="0"/>
          <w:sz w:val="22"/>
          <w:u w:val="none"/>
          <w:lang w:val="cs-CZ"/>
        </w:rPr>
        <w:t>návaznost na přirozené dění, protože nesledují přirozený běh věcí (</w:t>
      </w:r>
      <w:r w:rsidR="002E088C" w:rsidRPr="003D1E07">
        <w:rPr>
          <w:i/>
          <w:lang w:val="cs-CZ"/>
        </w:rPr>
        <w:t>non sunt aliquid currens cursu naturali</w:t>
      </w:r>
      <w:r w:rsidR="08C010B2" w:rsidRPr="003D1E07">
        <w:rPr>
          <w:rStyle w:val="Zkladntextdkovn0pt"/>
          <w:rFonts w:ascii="Calibri" w:eastAsia="Times" w:hAnsi="Calibri" w:cs="Times New Roman"/>
          <w:spacing w:val="0"/>
          <w:sz w:val="22"/>
          <w:u w:val="none"/>
          <w:lang w:val="cs-CZ"/>
        </w:rPr>
        <w:t xml:space="preserve">) a </w:t>
      </w:r>
      <w:r w:rsidR="002E088C" w:rsidRPr="003D1E07">
        <w:rPr>
          <w:rStyle w:val="Zkladntextdkovn0pt"/>
          <w:rFonts w:ascii="Calibri" w:eastAsia="Times" w:hAnsi="Calibri" w:cs="Times New Roman"/>
          <w:spacing w:val="0"/>
          <w:sz w:val="22"/>
          <w:u w:val="none"/>
          <w:lang w:val="cs-CZ"/>
        </w:rPr>
        <w:t>nejsou spj</w:t>
      </w:r>
      <w:r w:rsidR="08C010B2" w:rsidRPr="003D1E07">
        <w:rPr>
          <w:rStyle w:val="Zkladntextdkovn0pt"/>
          <w:rFonts w:ascii="Calibri" w:eastAsia="Times" w:hAnsi="Calibri" w:cs="Times New Roman"/>
          <w:spacing w:val="0"/>
          <w:sz w:val="22"/>
          <w:u w:val="none"/>
          <w:lang w:val="cs-CZ"/>
        </w:rPr>
        <w:t xml:space="preserve">até s přírodním řádem. Tím jsou </w:t>
      </w:r>
      <w:r w:rsidR="002E088C" w:rsidRPr="003D1E07">
        <w:rPr>
          <w:rStyle w:val="Zkladntextdkovn0pt"/>
          <w:rFonts w:ascii="Calibri" w:eastAsia="Times" w:hAnsi="Calibri" w:cs="Times New Roman"/>
          <w:spacing w:val="0"/>
          <w:sz w:val="22"/>
          <w:u w:val="none"/>
          <w:lang w:val="cs-CZ"/>
        </w:rPr>
        <w:t>něco</w:t>
      </w:r>
      <w:r w:rsidR="006F2056" w:rsidRPr="003D1E07">
        <w:rPr>
          <w:rStyle w:val="Zkladntextdkovn0pt"/>
          <w:rFonts w:ascii="Calibri" w:eastAsia="Times" w:hAnsi="Calibri" w:cs="Times New Roman"/>
          <w:spacing w:val="0"/>
          <w:sz w:val="22"/>
          <w:u w:val="none"/>
          <w:lang w:val="cs-CZ"/>
        </w:rPr>
        <w:t xml:space="preserve"> nechtěného (</w:t>
      </w:r>
      <w:r w:rsidR="006F2056" w:rsidRPr="003D1E07">
        <w:rPr>
          <w:i/>
          <w:lang w:val="cs-CZ"/>
        </w:rPr>
        <w:t>aliquid quod non intendebatur</w:t>
      </w:r>
      <w:r w:rsidR="006F2056" w:rsidRPr="003D1E07">
        <w:rPr>
          <w:rStyle w:val="Zkladntextdkovn0pt"/>
          <w:rFonts w:ascii="Calibri" w:eastAsia="Times" w:hAnsi="Calibri" w:cs="Times New Roman"/>
          <w:spacing w:val="0"/>
          <w:sz w:val="22"/>
          <w:u w:val="none"/>
          <w:lang w:val="cs-CZ"/>
        </w:rPr>
        <w:t>)</w:t>
      </w:r>
      <w:r w:rsidR="002E088C" w:rsidRPr="003D1E07">
        <w:rPr>
          <w:rStyle w:val="Zkladntextdkovn0pt"/>
          <w:rFonts w:ascii="Calibri" w:eastAsia="Times" w:hAnsi="Calibri" w:cs="Times New Roman"/>
          <w:spacing w:val="0"/>
          <w:sz w:val="22"/>
          <w:u w:val="none"/>
          <w:lang w:val="cs-CZ"/>
        </w:rPr>
        <w:t>, jako například šestý prst nebo monstra v přírodě</w:t>
      </w:r>
      <w:r w:rsidR="006F2056" w:rsidRPr="003D1E07">
        <w:rPr>
          <w:rStyle w:val="Zkladntextdkovn0pt"/>
          <w:rFonts w:ascii="Calibri" w:eastAsia="Times" w:hAnsi="Calibri" w:cs="Times New Roman"/>
          <w:spacing w:val="0"/>
          <w:sz w:val="22"/>
          <w:u w:val="none"/>
          <w:lang w:val="cs-CZ"/>
        </w:rPr>
        <w:t xml:space="preserve"> (</w:t>
      </w:r>
      <w:r w:rsidR="006F2056" w:rsidRPr="003D1E07">
        <w:rPr>
          <w:i/>
          <w:lang w:val="cs-CZ"/>
        </w:rPr>
        <w:t>sicut digitus sextus, et monstrum in creatura</w:t>
      </w:r>
      <w:r w:rsidR="006F2056" w:rsidRPr="003D1E07">
        <w:rPr>
          <w:rStyle w:val="Zkladntextdkovn0pt"/>
          <w:rFonts w:ascii="Calibri" w:eastAsia="Times" w:hAnsi="Calibri" w:cs="Times New Roman"/>
          <w:spacing w:val="0"/>
          <w:sz w:val="22"/>
          <w:u w:val="none"/>
          <w:lang w:val="cs-CZ"/>
        </w:rPr>
        <w:t>)</w:t>
      </w:r>
      <w:r w:rsidR="002E088C" w:rsidRPr="003D1E07">
        <w:rPr>
          <w:rStyle w:val="Zkladntextdkovn0pt"/>
          <w:rFonts w:ascii="Calibri" w:eastAsia="Times" w:hAnsi="Calibri" w:cs="Times New Roman"/>
          <w:spacing w:val="0"/>
          <w:sz w:val="22"/>
          <w:u w:val="none"/>
          <w:lang w:val="cs-CZ"/>
        </w:rPr>
        <w:t>.“ </w:t>
      </w:r>
      <w:r w:rsidR="002E088C" w:rsidRPr="003D1E07">
        <w:rPr>
          <w:rStyle w:val="Znakapoznpodarou"/>
          <w:lang w:val="cs-CZ"/>
        </w:rPr>
        <w:footnoteReference w:id="269"/>
      </w:r>
    </w:p>
    <w:p w14:paraId="7DDA23F5" w14:textId="25AADD48" w:rsidR="08EA2E18" w:rsidRPr="003D1E07" w:rsidRDefault="009D1CFF" w:rsidP="00F73241">
      <w:pPr>
        <w:rPr>
          <w:szCs w:val="26"/>
        </w:rPr>
      </w:pPr>
      <w:r w:rsidRPr="009D1CFF">
        <w:rPr>
          <w:rStyle w:val="Zkladntext184"/>
          <w:rFonts w:ascii="Calibri" w:eastAsia="Times" w:hAnsi="Calibri" w:cs="Times New Roman"/>
          <w:color w:val="auto"/>
          <w:spacing w:val="0"/>
          <w:sz w:val="24"/>
          <w:lang w:val="cs-CZ"/>
        </w:rPr>
        <w:t>Obecný pojem intelektu existuje ve vztahu k trajektor</w:t>
      </w:r>
      <w:r>
        <w:rPr>
          <w:rStyle w:val="Zkladntext184"/>
          <w:rFonts w:ascii="Calibri" w:eastAsia="Times" w:hAnsi="Calibri" w:cs="Times New Roman"/>
          <w:color w:val="auto"/>
          <w:spacing w:val="0"/>
          <w:sz w:val="24"/>
          <w:lang w:val="cs-CZ"/>
        </w:rPr>
        <w:t xml:space="preserve">ii metafyzického chápání světa </w:t>
      </w:r>
      <w:r w:rsidR="002F3B1B" w:rsidRPr="003D1E07">
        <w:rPr>
          <w:rStyle w:val="Zkladntext184"/>
          <w:rFonts w:ascii="Calibri" w:eastAsia="Times" w:hAnsi="Calibri" w:cs="Times New Roman"/>
          <w:color w:val="auto"/>
          <w:spacing w:val="0"/>
          <w:sz w:val="24"/>
          <w:lang w:val="cs-CZ"/>
        </w:rPr>
        <w:t>(</w:t>
      </w:r>
      <w:r w:rsidR="002F3B1B" w:rsidRPr="003D1E07">
        <w:rPr>
          <w:rStyle w:val="Zkladntext184"/>
          <w:rFonts w:ascii="Calibri" w:eastAsia="Times" w:hAnsi="Calibri" w:cs="Times New Roman"/>
          <w:i/>
          <w:color w:val="auto"/>
          <w:spacing w:val="0"/>
          <w:sz w:val="24"/>
          <w:lang w:val="cs-CZ"/>
        </w:rPr>
        <w:t>in hac intentione</w:t>
      </w:r>
      <w:r w:rsidR="002F3B1B" w:rsidRPr="003D1E07">
        <w:rPr>
          <w:rStyle w:val="Zkladntext184"/>
          <w:rFonts w:ascii="Calibri" w:eastAsia="Times" w:hAnsi="Calibri" w:cs="Times New Roman"/>
          <w:color w:val="auto"/>
          <w:spacing w:val="0"/>
          <w:sz w:val="24"/>
          <w:lang w:val="cs-CZ"/>
        </w:rPr>
        <w:t>)</w:t>
      </w:r>
      <w:r w:rsidR="00080946" w:rsidRPr="003D1E07">
        <w:rPr>
          <w:rStyle w:val="Zkladntext184"/>
          <w:rFonts w:ascii="Calibri" w:eastAsia="Times" w:hAnsi="Calibri" w:cs="Times New Roman"/>
          <w:color w:val="auto"/>
          <w:spacing w:val="0"/>
          <w:sz w:val="24"/>
          <w:lang w:val="cs-CZ"/>
        </w:rPr>
        <w:t xml:space="preserve">. </w:t>
      </w:r>
      <w:r w:rsidR="00C84D4D">
        <w:rPr>
          <w:rStyle w:val="Zkladntext184"/>
          <w:rFonts w:ascii="Calibri" w:eastAsia="Times" w:hAnsi="Calibri" w:cs="Times New Roman"/>
          <w:color w:val="auto"/>
          <w:spacing w:val="0"/>
          <w:sz w:val="24"/>
          <w:lang w:val="cs-CZ"/>
        </w:rPr>
        <w:t xml:space="preserve">Filosofické </w:t>
      </w:r>
      <w:r w:rsidR="00C76879">
        <w:rPr>
          <w:rStyle w:val="Zkladntext184"/>
          <w:rFonts w:ascii="Calibri" w:eastAsia="Times" w:hAnsi="Calibri" w:cs="Times New Roman"/>
          <w:color w:val="auto"/>
          <w:spacing w:val="0"/>
          <w:sz w:val="24"/>
          <w:lang w:val="cs-CZ"/>
        </w:rPr>
        <w:t xml:space="preserve">porozumění </w:t>
      </w:r>
      <w:r w:rsidR="00C84D4D">
        <w:rPr>
          <w:rStyle w:val="Zkladntext184"/>
          <w:rFonts w:ascii="Calibri" w:eastAsia="Times" w:hAnsi="Calibri" w:cs="Times New Roman"/>
          <w:color w:val="auto"/>
          <w:spacing w:val="0"/>
          <w:sz w:val="24"/>
          <w:lang w:val="cs-CZ"/>
        </w:rPr>
        <w:t xml:space="preserve">sleduje </w:t>
      </w:r>
      <w:r w:rsidR="00C76879">
        <w:rPr>
          <w:rStyle w:val="Zkladntext184"/>
          <w:rFonts w:ascii="Calibri" w:eastAsia="Times" w:hAnsi="Calibri" w:cs="Times New Roman"/>
          <w:color w:val="auto"/>
          <w:spacing w:val="0"/>
          <w:sz w:val="24"/>
          <w:lang w:val="cs-CZ"/>
        </w:rPr>
        <w:t>přiroze</w:t>
      </w:r>
      <w:r w:rsidR="00C84D4D">
        <w:rPr>
          <w:rStyle w:val="Zkladntext184"/>
          <w:rFonts w:ascii="Calibri" w:eastAsia="Times" w:hAnsi="Calibri" w:cs="Times New Roman"/>
          <w:color w:val="auto"/>
          <w:spacing w:val="0"/>
          <w:sz w:val="24"/>
          <w:lang w:val="cs-CZ"/>
        </w:rPr>
        <w:t xml:space="preserve">ný </w:t>
      </w:r>
      <w:r w:rsidR="009A6AA2">
        <w:rPr>
          <w:rStyle w:val="Zkladntext184"/>
          <w:rFonts w:ascii="Calibri" w:eastAsia="Times" w:hAnsi="Calibri" w:cs="Times New Roman"/>
          <w:color w:val="auto"/>
          <w:spacing w:val="0"/>
          <w:sz w:val="24"/>
          <w:lang w:val="cs-CZ"/>
        </w:rPr>
        <w:t>ř</w:t>
      </w:r>
      <w:r w:rsidR="00C84D4D">
        <w:rPr>
          <w:rStyle w:val="Zkladntext184"/>
          <w:rFonts w:ascii="Calibri" w:eastAsia="Times" w:hAnsi="Calibri" w:cs="Times New Roman"/>
          <w:color w:val="auto"/>
          <w:spacing w:val="0"/>
          <w:sz w:val="24"/>
          <w:lang w:val="cs-CZ"/>
        </w:rPr>
        <w:t>ád</w:t>
      </w:r>
      <w:r w:rsidR="009A6AA2">
        <w:rPr>
          <w:rStyle w:val="Zkladntext184"/>
          <w:rFonts w:ascii="Calibri" w:eastAsia="Times" w:hAnsi="Calibri" w:cs="Times New Roman"/>
          <w:color w:val="auto"/>
          <w:spacing w:val="0"/>
          <w:sz w:val="24"/>
          <w:lang w:val="cs-CZ"/>
        </w:rPr>
        <w:t xml:space="preserve"> věcí </w:t>
      </w:r>
      <w:r w:rsidR="00315FE3">
        <w:rPr>
          <w:rStyle w:val="Zkladntext184"/>
          <w:rFonts w:ascii="Calibri" w:eastAsia="Times" w:hAnsi="Calibri" w:cs="Times New Roman"/>
          <w:color w:val="auto"/>
          <w:spacing w:val="0"/>
          <w:sz w:val="24"/>
          <w:lang w:val="cs-CZ"/>
        </w:rPr>
        <w:t>(</w:t>
      </w:r>
      <w:r w:rsidR="00315FE3" w:rsidRPr="003D1E07">
        <w:rPr>
          <w:i/>
          <w:szCs w:val="30"/>
        </w:rPr>
        <w:t>currens cursu rei generate naturaliter</w:t>
      </w:r>
      <w:r w:rsidR="00315FE3">
        <w:rPr>
          <w:rStyle w:val="Zkladntext184"/>
          <w:rFonts w:ascii="Calibri" w:eastAsia="Times" w:hAnsi="Calibri" w:cs="Times New Roman"/>
          <w:color w:val="auto"/>
          <w:spacing w:val="0"/>
          <w:sz w:val="24"/>
          <w:lang w:val="cs-CZ"/>
        </w:rPr>
        <w:t>)</w:t>
      </w:r>
      <w:r w:rsidR="006606A2">
        <w:rPr>
          <w:rStyle w:val="Zkladntext184"/>
          <w:rFonts w:ascii="Calibri" w:eastAsia="Times" w:hAnsi="Calibri" w:cs="Times New Roman"/>
          <w:color w:val="auto"/>
          <w:spacing w:val="0"/>
          <w:sz w:val="24"/>
          <w:lang w:val="cs-CZ"/>
        </w:rPr>
        <w:t xml:space="preserve">. </w:t>
      </w:r>
      <w:r w:rsidR="00C84D4D">
        <w:rPr>
          <w:rStyle w:val="Zkladntext184"/>
          <w:rFonts w:ascii="Calibri" w:eastAsia="Times" w:hAnsi="Calibri" w:cs="Times New Roman"/>
          <w:color w:val="auto"/>
          <w:spacing w:val="0"/>
          <w:sz w:val="24"/>
          <w:lang w:val="cs-CZ"/>
        </w:rPr>
        <w:t>P</w:t>
      </w:r>
      <w:r w:rsidR="008A46A6" w:rsidRPr="003D1E07">
        <w:rPr>
          <w:rStyle w:val="Zkladntext184"/>
          <w:rFonts w:ascii="Calibri" w:eastAsia="Times" w:hAnsi="Calibri" w:cs="Times New Roman"/>
          <w:color w:val="auto"/>
          <w:spacing w:val="0"/>
          <w:sz w:val="24"/>
          <w:lang w:val="cs-CZ"/>
        </w:rPr>
        <w:t xml:space="preserve">oznání </w:t>
      </w:r>
      <w:r w:rsidR="00C84D4D">
        <w:rPr>
          <w:rStyle w:val="Zkladntext184"/>
          <w:rFonts w:ascii="Calibri" w:eastAsia="Times" w:hAnsi="Calibri" w:cs="Times New Roman"/>
          <w:color w:val="auto"/>
          <w:spacing w:val="0"/>
          <w:sz w:val="24"/>
          <w:lang w:val="cs-CZ"/>
        </w:rPr>
        <w:t xml:space="preserve">tohoto řádu </w:t>
      </w:r>
      <w:r w:rsidR="002A22AB">
        <w:rPr>
          <w:rStyle w:val="Zkladntext184"/>
          <w:rFonts w:ascii="Calibri" w:eastAsia="Times" w:hAnsi="Calibri" w:cs="Times New Roman"/>
          <w:color w:val="auto"/>
          <w:spacing w:val="0"/>
          <w:sz w:val="24"/>
          <w:lang w:val="cs-CZ"/>
        </w:rPr>
        <w:t xml:space="preserve">tvoří základ pro </w:t>
      </w:r>
      <w:r w:rsidR="008A37C7" w:rsidRPr="003D1E07">
        <w:rPr>
          <w:rStyle w:val="Zkladntext184"/>
          <w:rFonts w:ascii="Calibri" w:eastAsia="Times" w:hAnsi="Calibri" w:cs="Times New Roman"/>
          <w:color w:val="auto"/>
          <w:spacing w:val="0"/>
          <w:sz w:val="24"/>
          <w:lang w:val="cs-CZ"/>
        </w:rPr>
        <w:t>teoretické vědy (</w:t>
      </w:r>
      <w:r w:rsidR="008A37C7" w:rsidRPr="003D1E07">
        <w:rPr>
          <w:i/>
          <w:szCs w:val="30"/>
        </w:rPr>
        <w:t>a disciplina scientiarum speculativarum</w:t>
      </w:r>
      <w:r w:rsidR="008A37C7" w:rsidRPr="003D1E07">
        <w:rPr>
          <w:rStyle w:val="Zkladntext184"/>
          <w:rFonts w:ascii="Calibri" w:eastAsia="Times" w:hAnsi="Calibri" w:cs="Times New Roman"/>
          <w:color w:val="auto"/>
          <w:spacing w:val="0"/>
          <w:sz w:val="24"/>
          <w:lang w:val="cs-CZ"/>
        </w:rPr>
        <w:t>)</w:t>
      </w:r>
      <w:r w:rsidR="008A46A6" w:rsidRPr="003D1E07">
        <w:rPr>
          <w:rStyle w:val="Zkladntext184"/>
          <w:rFonts w:ascii="Calibri" w:eastAsia="Times" w:hAnsi="Calibri" w:cs="Times New Roman"/>
          <w:color w:val="auto"/>
          <w:spacing w:val="0"/>
          <w:sz w:val="24"/>
          <w:lang w:val="cs-CZ"/>
        </w:rPr>
        <w:t xml:space="preserve">. </w:t>
      </w:r>
      <w:r w:rsidR="00634FDC" w:rsidRPr="003D1E07">
        <w:rPr>
          <w:rStyle w:val="Zkladntext184"/>
          <w:rFonts w:ascii="Calibri" w:eastAsia="Times" w:hAnsi="Calibri" w:cs="Times New Roman"/>
          <w:color w:val="auto"/>
          <w:spacing w:val="0"/>
          <w:sz w:val="24"/>
          <w:lang w:val="cs-CZ"/>
        </w:rPr>
        <w:t xml:space="preserve">Citát potvrzuje, že </w:t>
      </w:r>
      <w:r w:rsidR="00D245B5" w:rsidRPr="003D1E07">
        <w:rPr>
          <w:rStyle w:val="Zkladntext184"/>
          <w:rFonts w:ascii="Calibri" w:eastAsia="Times" w:hAnsi="Calibri" w:cs="Times New Roman"/>
          <w:color w:val="auto"/>
          <w:spacing w:val="0"/>
          <w:sz w:val="24"/>
          <w:lang w:val="cs-CZ"/>
        </w:rPr>
        <w:t xml:space="preserve">svět </w:t>
      </w:r>
      <w:r w:rsidR="00FE5CA7">
        <w:rPr>
          <w:rStyle w:val="Zkladntext184"/>
          <w:rFonts w:ascii="Calibri" w:eastAsia="Times" w:hAnsi="Calibri" w:cs="Times New Roman"/>
          <w:color w:val="auto"/>
          <w:spacing w:val="0"/>
          <w:sz w:val="24"/>
          <w:lang w:val="cs-CZ"/>
        </w:rPr>
        <w:t>máme</w:t>
      </w:r>
      <w:r w:rsidR="00D245B5" w:rsidRPr="003D1E07">
        <w:rPr>
          <w:rStyle w:val="Zkladntext184"/>
          <w:rFonts w:ascii="Calibri" w:eastAsia="Times" w:hAnsi="Calibri" w:cs="Times New Roman"/>
          <w:color w:val="auto"/>
          <w:spacing w:val="0"/>
          <w:sz w:val="24"/>
          <w:lang w:val="cs-CZ"/>
        </w:rPr>
        <w:t xml:space="preserve"> vidět z perspektivy s</w:t>
      </w:r>
      <w:r w:rsidR="00634FDC" w:rsidRPr="003D1E07">
        <w:rPr>
          <w:rStyle w:val="Zkladntext184"/>
          <w:rFonts w:ascii="Calibri" w:eastAsia="Times" w:hAnsi="Calibri" w:cs="Times New Roman"/>
          <w:color w:val="auto"/>
          <w:spacing w:val="0"/>
          <w:sz w:val="24"/>
          <w:lang w:val="cs-CZ"/>
        </w:rPr>
        <w:t>pekulati</w:t>
      </w:r>
      <w:r w:rsidR="00D245B5" w:rsidRPr="003D1E07">
        <w:rPr>
          <w:rStyle w:val="Zkladntext184"/>
          <w:rFonts w:ascii="Calibri" w:eastAsia="Times" w:hAnsi="Calibri" w:cs="Times New Roman"/>
          <w:color w:val="auto"/>
          <w:spacing w:val="0"/>
          <w:sz w:val="24"/>
          <w:lang w:val="cs-CZ"/>
        </w:rPr>
        <w:t>vních</w:t>
      </w:r>
      <w:r w:rsidR="005C292B" w:rsidRPr="003D1E07">
        <w:rPr>
          <w:rStyle w:val="Zkladntext184"/>
          <w:rFonts w:ascii="Calibri" w:eastAsia="Times" w:hAnsi="Calibri" w:cs="Times New Roman"/>
          <w:color w:val="auto"/>
          <w:spacing w:val="0"/>
          <w:sz w:val="24"/>
          <w:lang w:val="cs-CZ"/>
        </w:rPr>
        <w:t xml:space="preserve"> věd. </w:t>
      </w:r>
      <w:r w:rsidR="00391BC4" w:rsidRPr="003D1E07">
        <w:rPr>
          <w:rStyle w:val="Zkladntext184"/>
          <w:rFonts w:ascii="Calibri" w:eastAsia="Times" w:hAnsi="Calibri" w:cs="Times New Roman"/>
          <w:color w:val="auto"/>
          <w:spacing w:val="0"/>
          <w:sz w:val="24"/>
          <w:lang w:val="cs-CZ"/>
        </w:rPr>
        <w:t xml:space="preserve">Jejich zdrojem je pochopitelně první věda o </w:t>
      </w:r>
      <w:r w:rsidR="000161FF" w:rsidRPr="003D1E07">
        <w:rPr>
          <w:rStyle w:val="Zkladntext184"/>
          <w:rFonts w:ascii="Calibri" w:eastAsia="Times" w:hAnsi="Calibri" w:cs="Times New Roman"/>
          <w:color w:val="auto"/>
          <w:spacing w:val="0"/>
          <w:sz w:val="24"/>
          <w:lang w:val="cs-CZ"/>
        </w:rPr>
        <w:t xml:space="preserve">principech jsoucna </w:t>
      </w:r>
      <w:r w:rsidR="00391BC4" w:rsidRPr="003D1E07">
        <w:rPr>
          <w:rStyle w:val="Zkladntext184"/>
          <w:rFonts w:ascii="Calibri" w:eastAsia="Times" w:hAnsi="Calibri" w:cs="Times New Roman"/>
          <w:color w:val="auto"/>
          <w:spacing w:val="0"/>
          <w:sz w:val="24"/>
          <w:lang w:val="cs-CZ"/>
        </w:rPr>
        <w:t>dané</w:t>
      </w:r>
      <w:r w:rsidR="000161FF" w:rsidRPr="003D1E07">
        <w:rPr>
          <w:rStyle w:val="Zkladntext184"/>
          <w:rFonts w:ascii="Calibri" w:eastAsia="Times" w:hAnsi="Calibri" w:cs="Times New Roman"/>
          <w:color w:val="auto"/>
          <w:spacing w:val="0"/>
          <w:sz w:val="24"/>
          <w:lang w:val="cs-CZ"/>
        </w:rPr>
        <w:t>ho</w:t>
      </w:r>
      <w:r w:rsidR="00391BC4" w:rsidRPr="003D1E07">
        <w:rPr>
          <w:rStyle w:val="Zkladntext184"/>
          <w:rFonts w:ascii="Calibri" w:eastAsia="Times" w:hAnsi="Calibri" w:cs="Times New Roman"/>
          <w:color w:val="auto"/>
          <w:spacing w:val="0"/>
          <w:sz w:val="24"/>
          <w:lang w:val="cs-CZ"/>
        </w:rPr>
        <w:t xml:space="preserve"> substančně. </w:t>
      </w:r>
      <w:r w:rsidR="00777DD6" w:rsidRPr="003D1E07">
        <w:rPr>
          <w:rStyle w:val="Zkladntext184"/>
          <w:rFonts w:ascii="Calibri" w:eastAsia="Times" w:hAnsi="Calibri" w:cs="Times New Roman"/>
          <w:color w:val="auto"/>
          <w:spacing w:val="0"/>
          <w:sz w:val="24"/>
          <w:lang w:val="cs-CZ"/>
        </w:rPr>
        <w:t xml:space="preserve">Ale </w:t>
      </w:r>
      <w:r w:rsidR="006E53C4" w:rsidRPr="003D1E07">
        <w:rPr>
          <w:rStyle w:val="Zkladntext184"/>
          <w:rFonts w:ascii="Calibri" w:eastAsia="Times" w:hAnsi="Calibri" w:cs="Times New Roman"/>
          <w:color w:val="auto"/>
          <w:spacing w:val="0"/>
          <w:sz w:val="24"/>
          <w:lang w:val="cs-CZ"/>
        </w:rPr>
        <w:t>kritická a reali</w:t>
      </w:r>
      <w:r w:rsidR="009A2D9C" w:rsidRPr="003D1E07">
        <w:rPr>
          <w:rStyle w:val="Zkladntext184"/>
          <w:rFonts w:ascii="Calibri" w:eastAsia="Times" w:hAnsi="Calibri" w:cs="Times New Roman"/>
          <w:color w:val="auto"/>
          <w:spacing w:val="0"/>
          <w:sz w:val="24"/>
          <w:lang w:val="cs-CZ"/>
        </w:rPr>
        <w:t>s</w:t>
      </w:r>
      <w:r w:rsidR="006E53C4" w:rsidRPr="003D1E07">
        <w:rPr>
          <w:rStyle w:val="Zkladntext184"/>
          <w:rFonts w:ascii="Calibri" w:eastAsia="Times" w:hAnsi="Calibri" w:cs="Times New Roman"/>
          <w:color w:val="auto"/>
          <w:spacing w:val="0"/>
          <w:sz w:val="24"/>
          <w:lang w:val="cs-CZ"/>
        </w:rPr>
        <w:t xml:space="preserve">tická </w:t>
      </w:r>
      <w:r w:rsidR="00145953" w:rsidRPr="003D1E07">
        <w:rPr>
          <w:rStyle w:val="Zkladntext184"/>
          <w:rFonts w:ascii="Calibri" w:eastAsia="Times" w:hAnsi="Calibri" w:cs="Times New Roman"/>
          <w:color w:val="auto"/>
          <w:spacing w:val="0"/>
          <w:sz w:val="24"/>
          <w:lang w:val="cs-CZ"/>
        </w:rPr>
        <w:t>„</w:t>
      </w:r>
      <w:r w:rsidR="00777DD6" w:rsidRPr="003D1E07">
        <w:rPr>
          <w:rStyle w:val="Zkladntext184"/>
          <w:rFonts w:ascii="Calibri" w:eastAsia="Times" w:hAnsi="Calibri" w:cs="Times New Roman"/>
          <w:color w:val="auto"/>
          <w:spacing w:val="0"/>
          <w:sz w:val="24"/>
          <w:lang w:val="cs-CZ"/>
        </w:rPr>
        <w:t>meta</w:t>
      </w:r>
      <w:r w:rsidR="085D5BF3" w:rsidRPr="003D1E07">
        <w:rPr>
          <w:rStyle w:val="Zkladntext184"/>
          <w:rFonts w:ascii="Calibri" w:eastAsia="Times" w:hAnsi="Calibri" w:cs="Times New Roman"/>
          <w:color w:val="auto"/>
          <w:spacing w:val="0"/>
          <w:sz w:val="24"/>
          <w:lang w:val="cs-CZ"/>
        </w:rPr>
        <w:t>-</w:t>
      </w:r>
      <w:r w:rsidR="00777DD6" w:rsidRPr="003D1E07">
        <w:rPr>
          <w:rStyle w:val="Zkladntext184"/>
          <w:rFonts w:ascii="Calibri" w:eastAsia="Times" w:hAnsi="Calibri" w:cs="Times New Roman"/>
          <w:color w:val="auto"/>
          <w:spacing w:val="0"/>
          <w:sz w:val="24"/>
          <w:lang w:val="cs-CZ"/>
        </w:rPr>
        <w:t>fyzika</w:t>
      </w:r>
      <w:r w:rsidR="00145953" w:rsidRPr="003D1E07">
        <w:rPr>
          <w:rStyle w:val="Zkladntext184"/>
          <w:rFonts w:ascii="Calibri" w:eastAsia="Times" w:hAnsi="Calibri" w:cs="Times New Roman"/>
          <w:color w:val="auto"/>
          <w:spacing w:val="0"/>
          <w:sz w:val="24"/>
          <w:lang w:val="cs-CZ"/>
        </w:rPr>
        <w:t>“</w:t>
      </w:r>
      <w:r w:rsidR="00777DD6" w:rsidRPr="003D1E07">
        <w:rPr>
          <w:rStyle w:val="Zkladntext184"/>
          <w:rFonts w:ascii="Calibri" w:eastAsia="Times" w:hAnsi="Calibri" w:cs="Times New Roman"/>
          <w:color w:val="auto"/>
          <w:spacing w:val="0"/>
          <w:sz w:val="24"/>
          <w:lang w:val="cs-CZ"/>
        </w:rPr>
        <w:t xml:space="preserve"> </w:t>
      </w:r>
      <w:r w:rsidR="006E53C4" w:rsidRPr="003D1E07">
        <w:rPr>
          <w:rStyle w:val="Zkladntext184"/>
          <w:rFonts w:ascii="Calibri" w:eastAsia="Times" w:hAnsi="Calibri" w:cs="Times New Roman"/>
          <w:color w:val="auto"/>
          <w:spacing w:val="0"/>
          <w:sz w:val="24"/>
          <w:lang w:val="cs-CZ"/>
        </w:rPr>
        <w:t xml:space="preserve">je daná nasvícením smyslu jsoucna zepředu, proto </w:t>
      </w:r>
      <w:r w:rsidR="00880846" w:rsidRPr="003D1E07">
        <w:rPr>
          <w:rStyle w:val="Zkladntext184"/>
          <w:rFonts w:ascii="Calibri" w:eastAsia="Times" w:hAnsi="Calibri" w:cs="Times New Roman"/>
          <w:color w:val="auto"/>
          <w:spacing w:val="0"/>
          <w:sz w:val="24"/>
          <w:lang w:val="cs-CZ"/>
        </w:rPr>
        <w:t>první věda</w:t>
      </w:r>
      <w:r w:rsidR="00546ABB" w:rsidRPr="003D1E07">
        <w:rPr>
          <w:rStyle w:val="Zkladntext184"/>
          <w:rFonts w:ascii="Calibri" w:eastAsia="Times" w:hAnsi="Calibri" w:cs="Times New Roman"/>
          <w:color w:val="auto"/>
          <w:spacing w:val="0"/>
          <w:sz w:val="24"/>
          <w:lang w:val="cs-CZ"/>
        </w:rPr>
        <w:fldChar w:fldCharType="begin"/>
      </w:r>
      <w:r w:rsidR="00546ABB" w:rsidRPr="003D1E07">
        <w:instrText xml:space="preserve"> XE "metafyzika:první věda" </w:instrText>
      </w:r>
      <w:r w:rsidR="00546ABB" w:rsidRPr="003D1E07">
        <w:rPr>
          <w:rStyle w:val="Zkladntext184"/>
          <w:rFonts w:ascii="Calibri" w:eastAsia="Times" w:hAnsi="Calibri" w:cs="Times New Roman"/>
          <w:color w:val="auto"/>
          <w:spacing w:val="0"/>
          <w:sz w:val="24"/>
          <w:lang w:val="cs-CZ"/>
        </w:rPr>
        <w:fldChar w:fldCharType="end"/>
      </w:r>
      <w:r w:rsidR="00880846" w:rsidRPr="003D1E07">
        <w:rPr>
          <w:rStyle w:val="Zkladntext184"/>
          <w:rFonts w:ascii="Calibri" w:eastAsia="Times" w:hAnsi="Calibri" w:cs="Times New Roman"/>
          <w:color w:val="auto"/>
          <w:spacing w:val="0"/>
          <w:sz w:val="24"/>
          <w:lang w:val="cs-CZ"/>
        </w:rPr>
        <w:t xml:space="preserve"> </w:t>
      </w:r>
      <w:r w:rsidR="00777DD6" w:rsidRPr="003D1E07">
        <w:rPr>
          <w:rStyle w:val="Zkladntext184"/>
          <w:rFonts w:ascii="Calibri" w:eastAsia="Times" w:hAnsi="Calibri" w:cs="Times New Roman"/>
          <w:color w:val="auto"/>
          <w:spacing w:val="0"/>
          <w:sz w:val="24"/>
          <w:lang w:val="cs-CZ"/>
        </w:rPr>
        <w:t xml:space="preserve">předpokládá </w:t>
      </w:r>
      <w:r w:rsidR="003B6142" w:rsidRPr="003D1E07">
        <w:rPr>
          <w:rStyle w:val="Zkladntext184"/>
          <w:rFonts w:ascii="Calibri" w:eastAsia="Times" w:hAnsi="Calibri" w:cs="Times New Roman"/>
          <w:color w:val="auto"/>
          <w:spacing w:val="0"/>
          <w:sz w:val="24"/>
          <w:lang w:val="cs-CZ"/>
        </w:rPr>
        <w:t xml:space="preserve">biologii a </w:t>
      </w:r>
      <w:r w:rsidR="00777DD6" w:rsidRPr="003D1E07">
        <w:rPr>
          <w:rStyle w:val="Zkladntext184"/>
          <w:rFonts w:ascii="Calibri" w:eastAsia="Times" w:hAnsi="Calibri" w:cs="Times New Roman"/>
          <w:color w:val="auto"/>
          <w:spacing w:val="0"/>
          <w:sz w:val="24"/>
          <w:lang w:val="cs-CZ"/>
        </w:rPr>
        <w:t>fyziku</w:t>
      </w:r>
      <w:r w:rsidR="006E53C4" w:rsidRPr="003D1E07">
        <w:rPr>
          <w:rStyle w:val="Zkladntext184"/>
          <w:rFonts w:ascii="Calibri" w:eastAsia="Times" w:hAnsi="Calibri" w:cs="Times New Roman"/>
          <w:color w:val="auto"/>
          <w:spacing w:val="0"/>
          <w:sz w:val="24"/>
          <w:lang w:val="cs-CZ"/>
        </w:rPr>
        <w:t xml:space="preserve">. </w:t>
      </w:r>
      <w:r w:rsidR="00A17FEB" w:rsidRPr="003D1E07">
        <w:t>Proto Komentátor</w:t>
      </w:r>
      <w:r w:rsidR="00A17FEB" w:rsidRPr="003D1E07">
        <w:rPr>
          <w:i/>
        </w:rPr>
        <w:fldChar w:fldCharType="begin"/>
      </w:r>
      <w:r w:rsidR="00A17FEB" w:rsidRPr="003D1E07">
        <w:instrText xml:space="preserve"> XE "zjevování:nasvícení zepředu" </w:instrText>
      </w:r>
      <w:r w:rsidR="00A17FEB" w:rsidRPr="003D1E07">
        <w:rPr>
          <w:i/>
        </w:rPr>
        <w:fldChar w:fldCharType="end"/>
      </w:r>
      <w:r w:rsidR="00A17FEB" w:rsidRPr="003D1E07">
        <w:t xml:space="preserve"> odmítá Avicennův spekulativní pojem vědy daný produkcí jsoucen třetího druhu.</w:t>
      </w:r>
      <w:r w:rsidR="00A17FEB">
        <w:t xml:space="preserve"> </w:t>
      </w:r>
      <w:r w:rsidR="006E53C4" w:rsidRPr="003D1E07">
        <w:rPr>
          <w:rStyle w:val="Zkladntext184"/>
          <w:rFonts w:ascii="Calibri" w:eastAsia="Times" w:hAnsi="Calibri" w:cs="Times New Roman"/>
          <w:color w:val="auto"/>
          <w:spacing w:val="0"/>
          <w:sz w:val="24"/>
          <w:lang w:val="cs-CZ"/>
        </w:rPr>
        <w:t>C</w:t>
      </w:r>
      <w:r w:rsidR="00777DD6" w:rsidRPr="003D1E07">
        <w:rPr>
          <w:rStyle w:val="Zkladntext184"/>
          <w:rFonts w:ascii="Calibri" w:eastAsia="Times" w:hAnsi="Calibri" w:cs="Times New Roman"/>
          <w:color w:val="auto"/>
          <w:spacing w:val="0"/>
          <w:sz w:val="24"/>
          <w:lang w:val="cs-CZ"/>
        </w:rPr>
        <w:t xml:space="preserve">itát zdůrazňuje </w:t>
      </w:r>
      <w:r w:rsidR="00D245B5" w:rsidRPr="003D1E07">
        <w:rPr>
          <w:rStyle w:val="Zkladntext184"/>
          <w:rFonts w:ascii="Calibri" w:eastAsia="Times" w:hAnsi="Calibri" w:cs="Times New Roman"/>
          <w:color w:val="auto"/>
          <w:spacing w:val="0"/>
          <w:sz w:val="24"/>
          <w:lang w:val="cs-CZ"/>
        </w:rPr>
        <w:t xml:space="preserve">základní </w:t>
      </w:r>
      <w:r w:rsidR="00D245B5" w:rsidRPr="003D1E07">
        <w:rPr>
          <w:rStyle w:val="Zkladntext184"/>
          <w:rFonts w:ascii="Calibri" w:eastAsia="Times" w:hAnsi="Calibri" w:cs="Times New Roman"/>
          <w:i/>
          <w:color w:val="auto"/>
          <w:spacing w:val="0"/>
          <w:sz w:val="24"/>
          <w:lang w:val="cs-CZ"/>
        </w:rPr>
        <w:t>proportio</w:t>
      </w:r>
      <w:r w:rsidR="00D245B5" w:rsidRPr="003D1E07">
        <w:rPr>
          <w:rStyle w:val="Zkladntext184"/>
          <w:rFonts w:ascii="Calibri" w:eastAsia="Times" w:hAnsi="Calibri" w:cs="Times New Roman"/>
          <w:color w:val="auto"/>
          <w:spacing w:val="0"/>
          <w:sz w:val="24"/>
          <w:lang w:val="cs-CZ"/>
        </w:rPr>
        <w:t xml:space="preserve"> </w:t>
      </w:r>
      <w:r w:rsidR="08160786" w:rsidRPr="003D1E07">
        <w:rPr>
          <w:rStyle w:val="Zkladntext184"/>
          <w:rFonts w:ascii="Calibri" w:eastAsia="Times" w:hAnsi="Calibri" w:cs="Times New Roman"/>
          <w:color w:val="auto"/>
          <w:spacing w:val="0"/>
          <w:sz w:val="24"/>
          <w:lang w:val="cs-CZ"/>
        </w:rPr>
        <w:t xml:space="preserve">mezi intelektuálním a </w:t>
      </w:r>
      <w:r w:rsidR="00D245B5" w:rsidRPr="003D1E07">
        <w:rPr>
          <w:rStyle w:val="Zkladntext184"/>
          <w:rFonts w:ascii="Calibri" w:eastAsia="Times" w:hAnsi="Calibri" w:cs="Times New Roman"/>
          <w:color w:val="auto"/>
          <w:spacing w:val="0"/>
          <w:sz w:val="24"/>
          <w:lang w:val="cs-CZ"/>
        </w:rPr>
        <w:t>smyslovým poznáním</w:t>
      </w:r>
      <w:r w:rsidR="009D55FF" w:rsidRPr="003D1E07">
        <w:rPr>
          <w:rStyle w:val="Zkladntext184"/>
          <w:rFonts w:ascii="Calibri" w:eastAsia="Times" w:hAnsi="Calibri" w:cs="Times New Roman"/>
          <w:color w:val="auto"/>
          <w:spacing w:val="0"/>
          <w:sz w:val="24"/>
          <w:lang w:val="cs-CZ"/>
        </w:rPr>
        <w:t>. B</w:t>
      </w:r>
      <w:r w:rsidR="00D245B5" w:rsidRPr="003D1E07">
        <w:rPr>
          <w:rStyle w:val="Zkladntext184"/>
          <w:rFonts w:ascii="Calibri" w:eastAsia="Times" w:hAnsi="Calibri" w:cs="Times New Roman"/>
          <w:color w:val="auto"/>
          <w:spacing w:val="0"/>
          <w:sz w:val="24"/>
          <w:lang w:val="cs-CZ"/>
        </w:rPr>
        <w:t xml:space="preserve">ez této kontinuity jsou </w:t>
      </w:r>
      <w:r w:rsidR="00777DD6" w:rsidRPr="003D1E07">
        <w:rPr>
          <w:rStyle w:val="Zkladntext184"/>
          <w:rFonts w:ascii="Calibri" w:eastAsia="Times" w:hAnsi="Calibri" w:cs="Times New Roman"/>
          <w:color w:val="auto"/>
          <w:spacing w:val="0"/>
          <w:sz w:val="24"/>
          <w:lang w:val="cs-CZ"/>
        </w:rPr>
        <w:t>poznatky postaveny</w:t>
      </w:r>
      <w:r w:rsidR="00D245B5" w:rsidRPr="003D1E07">
        <w:rPr>
          <w:rStyle w:val="Zkladntext184"/>
          <w:rFonts w:ascii="Calibri" w:eastAsia="Times" w:hAnsi="Calibri" w:cs="Times New Roman"/>
          <w:color w:val="auto"/>
          <w:spacing w:val="0"/>
          <w:sz w:val="24"/>
          <w:lang w:val="cs-CZ"/>
        </w:rPr>
        <w:t xml:space="preserve"> mimo </w:t>
      </w:r>
      <w:r w:rsidR="00425F30" w:rsidRPr="003D1E07">
        <w:rPr>
          <w:rStyle w:val="Zkladntext184"/>
          <w:rFonts w:ascii="Calibri" w:eastAsia="Times" w:hAnsi="Calibri" w:cs="Times New Roman"/>
          <w:color w:val="auto"/>
          <w:spacing w:val="0"/>
          <w:sz w:val="24"/>
          <w:lang w:val="cs-CZ"/>
        </w:rPr>
        <w:t xml:space="preserve">pravdu jako </w:t>
      </w:r>
      <w:r w:rsidR="00D245B5" w:rsidRPr="003D1E07">
        <w:rPr>
          <w:rStyle w:val="Zkladntext184"/>
          <w:rFonts w:ascii="Calibri" w:eastAsia="Times" w:hAnsi="Calibri" w:cs="Times New Roman"/>
          <w:color w:val="auto"/>
          <w:spacing w:val="0"/>
          <w:sz w:val="24"/>
          <w:lang w:val="cs-CZ"/>
        </w:rPr>
        <w:t>adek</w:t>
      </w:r>
      <w:r w:rsidR="00425F30" w:rsidRPr="003D1E07">
        <w:rPr>
          <w:rStyle w:val="Zkladntext184"/>
          <w:rFonts w:ascii="Calibri" w:eastAsia="Times" w:hAnsi="Calibri" w:cs="Times New Roman"/>
          <w:color w:val="auto"/>
          <w:spacing w:val="0"/>
          <w:sz w:val="24"/>
          <w:lang w:val="cs-CZ"/>
        </w:rPr>
        <w:t>vaci</w:t>
      </w:r>
      <w:r w:rsidR="00D245B5" w:rsidRPr="003D1E07">
        <w:rPr>
          <w:rStyle w:val="Zkladntext184"/>
          <w:rFonts w:ascii="Calibri" w:eastAsia="Times" w:hAnsi="Calibri" w:cs="Times New Roman"/>
          <w:color w:val="auto"/>
          <w:spacing w:val="0"/>
          <w:sz w:val="24"/>
          <w:lang w:val="cs-CZ"/>
        </w:rPr>
        <w:t xml:space="preserve"> </w:t>
      </w:r>
      <w:r w:rsidR="086A4E5B" w:rsidRPr="003D1E07">
        <w:rPr>
          <w:rStyle w:val="Zkladntext184"/>
          <w:rFonts w:ascii="Calibri" w:eastAsia="Times" w:hAnsi="Calibri" w:cs="Times New Roman"/>
          <w:color w:val="auto"/>
          <w:spacing w:val="0"/>
          <w:sz w:val="24"/>
          <w:lang w:val="cs-CZ"/>
        </w:rPr>
        <w:t>da</w:t>
      </w:r>
      <w:r w:rsidR="00425F30" w:rsidRPr="003D1E07">
        <w:rPr>
          <w:rStyle w:val="Zkladntext184"/>
          <w:rFonts w:ascii="Calibri" w:eastAsia="Times" w:hAnsi="Calibri" w:cs="Times New Roman"/>
          <w:color w:val="auto"/>
          <w:spacing w:val="0"/>
          <w:sz w:val="24"/>
          <w:lang w:val="cs-CZ"/>
        </w:rPr>
        <w:t>nou</w:t>
      </w:r>
      <w:r w:rsidR="08E02761" w:rsidRPr="003D1E07">
        <w:rPr>
          <w:rStyle w:val="Zkladntext184"/>
          <w:rFonts w:ascii="Calibri" w:eastAsia="Times" w:hAnsi="Calibri" w:cs="Times New Roman"/>
          <w:color w:val="auto"/>
          <w:spacing w:val="0"/>
          <w:sz w:val="24"/>
          <w:lang w:val="cs-CZ"/>
        </w:rPr>
        <w:t xml:space="preserve"> nasvícením smyslů aktualizující</w:t>
      </w:r>
      <w:r w:rsidR="00590DB2" w:rsidRPr="003D1E07">
        <w:rPr>
          <w:rStyle w:val="Zkladntext184"/>
          <w:rFonts w:ascii="Calibri" w:eastAsia="Times" w:hAnsi="Calibri" w:cs="Times New Roman"/>
          <w:color w:val="auto"/>
          <w:spacing w:val="0"/>
          <w:sz w:val="24"/>
          <w:lang w:val="cs-CZ"/>
        </w:rPr>
        <w:t>ch</w:t>
      </w:r>
      <w:r w:rsidR="08E02761" w:rsidRPr="003D1E07">
        <w:rPr>
          <w:rStyle w:val="Zkladntext184"/>
          <w:rFonts w:ascii="Calibri" w:eastAsia="Times" w:hAnsi="Calibri" w:cs="Times New Roman"/>
          <w:color w:val="auto"/>
          <w:spacing w:val="0"/>
          <w:sz w:val="24"/>
          <w:lang w:val="cs-CZ"/>
        </w:rPr>
        <w:t xml:space="preserve"> proces abstrakce na úrovni inte</w:t>
      </w:r>
      <w:r w:rsidR="086A4E5B" w:rsidRPr="003D1E07">
        <w:rPr>
          <w:rStyle w:val="Zkladntext184"/>
          <w:rFonts w:ascii="Calibri" w:eastAsia="Times" w:hAnsi="Calibri" w:cs="Times New Roman"/>
          <w:color w:val="auto"/>
          <w:spacing w:val="0"/>
          <w:sz w:val="24"/>
          <w:lang w:val="cs-CZ"/>
        </w:rPr>
        <w:t>l</w:t>
      </w:r>
      <w:r w:rsidR="08E02761" w:rsidRPr="003D1E07">
        <w:rPr>
          <w:rStyle w:val="Zkladntext184"/>
          <w:rFonts w:ascii="Calibri" w:eastAsia="Times" w:hAnsi="Calibri" w:cs="Times New Roman"/>
          <w:color w:val="auto"/>
          <w:spacing w:val="0"/>
          <w:sz w:val="24"/>
          <w:lang w:val="cs-CZ"/>
        </w:rPr>
        <w:t>e</w:t>
      </w:r>
      <w:r w:rsidR="086A4E5B" w:rsidRPr="003D1E07">
        <w:rPr>
          <w:rStyle w:val="Zkladntext184"/>
          <w:rFonts w:ascii="Calibri" w:eastAsia="Times" w:hAnsi="Calibri" w:cs="Times New Roman"/>
          <w:color w:val="auto"/>
          <w:spacing w:val="0"/>
          <w:sz w:val="24"/>
          <w:lang w:val="cs-CZ"/>
        </w:rPr>
        <w:t>ktu</w:t>
      </w:r>
      <w:r w:rsidR="08E02761" w:rsidRPr="003D1E07">
        <w:rPr>
          <w:rStyle w:val="Zkladntext184"/>
          <w:rFonts w:ascii="Calibri" w:eastAsia="Times" w:hAnsi="Calibri" w:cs="Times New Roman"/>
          <w:color w:val="auto"/>
          <w:spacing w:val="0"/>
          <w:sz w:val="24"/>
          <w:lang w:val="cs-CZ"/>
        </w:rPr>
        <w:t xml:space="preserve">. Nasvícení zepředu ukazuje, odkud se </w:t>
      </w:r>
      <w:r w:rsidR="00252433" w:rsidRPr="003D1E07">
        <w:rPr>
          <w:rStyle w:val="Zkladntext184"/>
          <w:rFonts w:ascii="Calibri" w:eastAsia="Times" w:hAnsi="Calibri" w:cs="Times New Roman"/>
          <w:color w:val="auto"/>
          <w:spacing w:val="0"/>
          <w:sz w:val="24"/>
          <w:lang w:val="cs-CZ"/>
        </w:rPr>
        <w:t xml:space="preserve">bere </w:t>
      </w:r>
      <w:r w:rsidR="08E02761" w:rsidRPr="003D1E07">
        <w:rPr>
          <w:rStyle w:val="Zkladntext184"/>
          <w:rFonts w:ascii="Calibri" w:eastAsia="Times" w:hAnsi="Calibri" w:cs="Times New Roman"/>
          <w:color w:val="auto"/>
          <w:spacing w:val="0"/>
          <w:sz w:val="24"/>
          <w:lang w:val="cs-CZ"/>
        </w:rPr>
        <w:t xml:space="preserve">aktualita </w:t>
      </w:r>
      <w:r w:rsidR="083E106C" w:rsidRPr="003D1E07">
        <w:rPr>
          <w:rStyle w:val="Zkladntext184"/>
          <w:rFonts w:ascii="Calibri" w:eastAsia="Times" w:hAnsi="Calibri" w:cs="Times New Roman"/>
          <w:color w:val="auto"/>
          <w:spacing w:val="0"/>
          <w:sz w:val="24"/>
          <w:lang w:val="cs-CZ"/>
        </w:rPr>
        <w:t xml:space="preserve">vědeckého </w:t>
      </w:r>
      <w:r w:rsidR="08E02761" w:rsidRPr="003D1E07">
        <w:rPr>
          <w:rStyle w:val="Zkladntext184"/>
          <w:rFonts w:ascii="Calibri" w:eastAsia="Times" w:hAnsi="Calibri" w:cs="Times New Roman"/>
          <w:color w:val="auto"/>
          <w:spacing w:val="0"/>
          <w:sz w:val="24"/>
          <w:lang w:val="cs-CZ"/>
        </w:rPr>
        <w:t>p</w:t>
      </w:r>
      <w:r w:rsidR="006C7B42" w:rsidRPr="003D1E07">
        <w:rPr>
          <w:rStyle w:val="Zkladntext184"/>
          <w:rFonts w:ascii="Calibri" w:eastAsia="Times" w:hAnsi="Calibri" w:cs="Times New Roman"/>
          <w:color w:val="auto"/>
          <w:spacing w:val="0"/>
          <w:sz w:val="24"/>
          <w:lang w:val="cs-CZ"/>
        </w:rPr>
        <w:t>oznání</w:t>
      </w:r>
      <w:r w:rsidR="083E106C" w:rsidRPr="003D1E07">
        <w:rPr>
          <w:rStyle w:val="Zkladntext184"/>
          <w:rFonts w:ascii="Calibri" w:eastAsia="Times" w:hAnsi="Calibri" w:cs="Times New Roman"/>
          <w:color w:val="auto"/>
          <w:spacing w:val="0"/>
          <w:sz w:val="24"/>
          <w:lang w:val="cs-CZ"/>
        </w:rPr>
        <w:t xml:space="preserve"> a tím i metafyziky jako první vědy</w:t>
      </w:r>
      <w:r w:rsidR="006C7B42" w:rsidRPr="003D1E07">
        <w:rPr>
          <w:rStyle w:val="Zkladntext184"/>
          <w:rFonts w:ascii="Calibri" w:eastAsia="Times" w:hAnsi="Calibri" w:cs="Times New Roman"/>
          <w:color w:val="auto"/>
          <w:spacing w:val="0"/>
          <w:sz w:val="24"/>
          <w:lang w:val="cs-CZ"/>
        </w:rPr>
        <w:t xml:space="preserve">. </w:t>
      </w:r>
      <w:r w:rsidR="086A4E5B" w:rsidRPr="003D1E07">
        <w:rPr>
          <w:rStyle w:val="Zkladntext184"/>
          <w:rFonts w:ascii="Calibri" w:eastAsia="Times" w:hAnsi="Calibri" w:cs="Times New Roman"/>
          <w:color w:val="auto"/>
          <w:spacing w:val="0"/>
          <w:sz w:val="24"/>
          <w:lang w:val="cs-CZ"/>
        </w:rPr>
        <w:t xml:space="preserve">Omyl nemá kontinuaci směrem od aktuální reality a nutně zahyne na nedostatek </w:t>
      </w:r>
      <w:r w:rsidR="085D5BF3" w:rsidRPr="003D1E07">
        <w:rPr>
          <w:rStyle w:val="Zkladntext184"/>
          <w:rFonts w:ascii="Calibri" w:eastAsia="Times" w:hAnsi="Calibri" w:cs="Times New Roman"/>
          <w:color w:val="auto"/>
          <w:spacing w:val="0"/>
          <w:sz w:val="24"/>
          <w:lang w:val="cs-CZ"/>
        </w:rPr>
        <w:t xml:space="preserve">pravdivé </w:t>
      </w:r>
      <w:r w:rsidR="086A4E5B" w:rsidRPr="003D1E07">
        <w:rPr>
          <w:rStyle w:val="Zkladntext184"/>
          <w:rFonts w:ascii="Calibri" w:eastAsia="Times" w:hAnsi="Calibri" w:cs="Times New Roman"/>
          <w:color w:val="auto"/>
          <w:spacing w:val="0"/>
          <w:sz w:val="24"/>
          <w:lang w:val="cs-CZ"/>
        </w:rPr>
        <w:t>adekvace</w:t>
      </w:r>
      <w:r w:rsidR="08E02761" w:rsidRPr="003D1E07">
        <w:rPr>
          <w:rStyle w:val="Zkladntext184"/>
          <w:rFonts w:ascii="Calibri" w:eastAsia="Times" w:hAnsi="Calibri" w:cs="Times New Roman"/>
          <w:color w:val="auto"/>
          <w:spacing w:val="0"/>
          <w:sz w:val="24"/>
          <w:lang w:val="cs-CZ"/>
        </w:rPr>
        <w:t xml:space="preserve"> (</w:t>
      </w:r>
      <w:r w:rsidR="08E02761" w:rsidRPr="003D1E07">
        <w:rPr>
          <w:i/>
        </w:rPr>
        <w:t>impossibile est ut habeant continuationem</w:t>
      </w:r>
      <w:r w:rsidR="08E02761" w:rsidRPr="003D1E07">
        <w:rPr>
          <w:rStyle w:val="Zkladntext184"/>
          <w:rFonts w:ascii="Calibri" w:eastAsia="Times" w:hAnsi="Calibri" w:cs="Times New Roman"/>
          <w:color w:val="auto"/>
          <w:spacing w:val="0"/>
          <w:sz w:val="24"/>
          <w:lang w:val="cs-CZ"/>
        </w:rPr>
        <w:t>).</w:t>
      </w:r>
      <w:r w:rsidR="00EF4DEE" w:rsidRPr="003D1E07">
        <w:rPr>
          <w:rStyle w:val="Zkladntext184"/>
          <w:rFonts w:ascii="Calibri" w:eastAsia="Times" w:hAnsi="Calibri" w:cs="Times New Roman"/>
          <w:color w:val="auto"/>
          <w:spacing w:val="0"/>
          <w:sz w:val="24"/>
          <w:lang w:val="cs-CZ"/>
        </w:rPr>
        <w:t xml:space="preserve"> </w:t>
      </w:r>
      <w:r w:rsidR="002F0C63" w:rsidRPr="003D1E07">
        <w:rPr>
          <w:rStyle w:val="Zkladntext184"/>
          <w:rFonts w:ascii="Calibri" w:eastAsia="Times" w:hAnsi="Calibri" w:cs="Times New Roman"/>
          <w:color w:val="auto"/>
          <w:spacing w:val="0"/>
          <w:sz w:val="24"/>
          <w:lang w:val="cs-CZ"/>
        </w:rPr>
        <w:t>P</w:t>
      </w:r>
      <w:r w:rsidR="00EF4DEE" w:rsidRPr="003D1E07">
        <w:rPr>
          <w:rStyle w:val="Zkladntext184"/>
          <w:rFonts w:ascii="Calibri" w:eastAsia="Times" w:hAnsi="Calibri" w:cs="Times New Roman"/>
          <w:color w:val="auto"/>
          <w:spacing w:val="0"/>
          <w:sz w:val="24"/>
          <w:lang w:val="cs-CZ"/>
        </w:rPr>
        <w:t xml:space="preserve">roduktem </w:t>
      </w:r>
      <w:r w:rsidR="002F0C63" w:rsidRPr="003D1E07">
        <w:rPr>
          <w:rStyle w:val="Zkladntext184"/>
          <w:rFonts w:ascii="Calibri" w:eastAsia="Times" w:hAnsi="Calibri" w:cs="Times New Roman"/>
          <w:color w:val="auto"/>
          <w:spacing w:val="0"/>
          <w:sz w:val="24"/>
          <w:lang w:val="cs-CZ"/>
        </w:rPr>
        <w:t>falešného intel</w:t>
      </w:r>
      <w:r w:rsidR="00396490">
        <w:rPr>
          <w:rStyle w:val="Zkladntext184"/>
          <w:rFonts w:ascii="Calibri" w:eastAsia="Times" w:hAnsi="Calibri" w:cs="Times New Roman"/>
          <w:color w:val="auto"/>
          <w:spacing w:val="0"/>
          <w:sz w:val="24"/>
          <w:lang w:val="cs-CZ"/>
        </w:rPr>
        <w:t>e</w:t>
      </w:r>
      <w:r w:rsidR="002F0C63" w:rsidRPr="003D1E07">
        <w:rPr>
          <w:rStyle w:val="Zkladntext184"/>
          <w:rFonts w:ascii="Calibri" w:eastAsia="Times" w:hAnsi="Calibri" w:cs="Times New Roman"/>
          <w:color w:val="auto"/>
          <w:spacing w:val="0"/>
          <w:sz w:val="24"/>
          <w:lang w:val="cs-CZ"/>
        </w:rPr>
        <w:t xml:space="preserve">ktu </w:t>
      </w:r>
      <w:r w:rsidR="00EF4DEE" w:rsidRPr="003D1E07">
        <w:rPr>
          <w:rStyle w:val="Zkladntext184"/>
          <w:rFonts w:ascii="Calibri" w:eastAsia="Times" w:hAnsi="Calibri" w:cs="Times New Roman"/>
          <w:color w:val="auto"/>
          <w:spacing w:val="0"/>
          <w:sz w:val="24"/>
          <w:lang w:val="cs-CZ"/>
        </w:rPr>
        <w:t xml:space="preserve">jsou monstra, protože spánek moderního </w:t>
      </w:r>
      <w:r w:rsidR="005E2014" w:rsidRPr="003D1E07">
        <w:rPr>
          <w:rStyle w:val="Zkladntext184"/>
          <w:rFonts w:ascii="Calibri" w:eastAsia="Times" w:hAnsi="Calibri" w:cs="Times New Roman"/>
          <w:color w:val="auto"/>
          <w:spacing w:val="0"/>
          <w:sz w:val="24"/>
          <w:lang w:val="cs-CZ"/>
        </w:rPr>
        <w:t>objektivního rozumu tvoří</w:t>
      </w:r>
      <w:r w:rsidR="00577F7F" w:rsidRPr="003D1E07">
        <w:rPr>
          <w:rStyle w:val="Zkladntext184"/>
          <w:rFonts w:ascii="Calibri" w:eastAsia="Times" w:hAnsi="Calibri" w:cs="Times New Roman"/>
          <w:color w:val="auto"/>
          <w:spacing w:val="0"/>
          <w:sz w:val="24"/>
          <w:lang w:val="cs-CZ"/>
        </w:rPr>
        <w:t xml:space="preserve"> Goyovy kapriciózní můry</w:t>
      </w:r>
      <w:r w:rsidR="00EF4DEE" w:rsidRPr="003D1E07">
        <w:rPr>
          <w:rStyle w:val="Zkladntext184"/>
          <w:rFonts w:ascii="Calibri" w:eastAsia="Times" w:hAnsi="Calibri" w:cs="Times New Roman"/>
          <w:color w:val="auto"/>
          <w:spacing w:val="0"/>
          <w:sz w:val="24"/>
          <w:lang w:val="cs-CZ"/>
        </w:rPr>
        <w:t xml:space="preserve">. </w:t>
      </w:r>
      <w:r w:rsidR="0032257A" w:rsidRPr="003D1E07">
        <w:rPr>
          <w:rStyle w:val="Zkladntext184"/>
          <w:rFonts w:ascii="Calibri" w:eastAsia="Times" w:hAnsi="Calibri" w:cs="Times New Roman"/>
          <w:color w:val="auto"/>
          <w:spacing w:val="0"/>
          <w:sz w:val="24"/>
          <w:lang w:val="cs-CZ"/>
        </w:rPr>
        <w:t>Dráha náhledu na jsoucno (</w:t>
      </w:r>
      <w:r w:rsidR="0032257A" w:rsidRPr="003D1E07">
        <w:rPr>
          <w:rStyle w:val="Zkladntext184"/>
          <w:rFonts w:ascii="Calibri" w:eastAsia="Times" w:hAnsi="Calibri" w:cs="Times New Roman"/>
          <w:i/>
          <w:color w:val="auto"/>
          <w:spacing w:val="0"/>
          <w:sz w:val="24"/>
          <w:lang w:val="cs-CZ"/>
        </w:rPr>
        <w:t>Vor</w:t>
      </w:r>
      <w:r w:rsidR="0032257A" w:rsidRPr="003D1E07">
        <w:rPr>
          <w:rStyle w:val="Zkladntext184"/>
          <w:rFonts w:ascii="Calibri" w:eastAsia="Times" w:hAnsi="Calibri" w:cs="Times New Roman"/>
          <w:i/>
          <w:color w:val="auto"/>
          <w:spacing w:val="0"/>
          <w:sz w:val="24"/>
          <w:lang w:val="cs-CZ"/>
        </w:rPr>
        <w:noBreakHyphen/>
        <w:t>blickbahn</w:t>
      </w:r>
      <w:r w:rsidR="0032257A" w:rsidRPr="003D1E07">
        <w:rPr>
          <w:rStyle w:val="Zkladntext184"/>
          <w:rFonts w:ascii="Calibri" w:eastAsia="Times" w:hAnsi="Calibri" w:cs="Times New Roman"/>
          <w:color w:val="auto"/>
          <w:spacing w:val="0"/>
          <w:sz w:val="24"/>
          <w:lang w:val="cs-CZ"/>
        </w:rPr>
        <w:t xml:space="preserve">) </w:t>
      </w:r>
      <w:r w:rsidR="00BB355A" w:rsidRPr="003D1E07">
        <w:rPr>
          <w:rStyle w:val="Zkladntext184"/>
          <w:rFonts w:ascii="Calibri" w:eastAsia="Times" w:hAnsi="Calibri" w:cs="Times New Roman"/>
          <w:color w:val="auto"/>
          <w:spacing w:val="0"/>
          <w:sz w:val="24"/>
          <w:lang w:val="cs-CZ"/>
        </w:rPr>
        <w:t xml:space="preserve">daná od správně vyloženého poznání </w:t>
      </w:r>
      <w:r w:rsidR="08592061" w:rsidRPr="003D1E07">
        <w:rPr>
          <w:rStyle w:val="Zkladntext184"/>
          <w:rFonts w:ascii="Calibri" w:eastAsia="Times" w:hAnsi="Calibri" w:cs="Times New Roman"/>
          <w:color w:val="auto"/>
          <w:spacing w:val="0"/>
          <w:sz w:val="24"/>
          <w:lang w:val="cs-CZ"/>
        </w:rPr>
        <w:t xml:space="preserve">určuje základní </w:t>
      </w:r>
      <w:r w:rsidR="08C3394D" w:rsidRPr="003D1E07">
        <w:rPr>
          <w:rStyle w:val="Zkladntext184"/>
          <w:rFonts w:ascii="Calibri" w:eastAsia="Times" w:hAnsi="Calibri" w:cs="Times New Roman"/>
          <w:color w:val="auto"/>
          <w:spacing w:val="0"/>
          <w:sz w:val="24"/>
          <w:lang w:val="cs-CZ"/>
        </w:rPr>
        <w:t xml:space="preserve">způsob, </w:t>
      </w:r>
      <w:r w:rsidR="0032257A" w:rsidRPr="003D1E07">
        <w:rPr>
          <w:rStyle w:val="Zkladntext184"/>
          <w:rFonts w:ascii="Calibri" w:eastAsia="Times" w:hAnsi="Calibri" w:cs="Times New Roman"/>
          <w:color w:val="auto"/>
          <w:spacing w:val="0"/>
          <w:sz w:val="24"/>
          <w:lang w:val="cs-CZ"/>
        </w:rPr>
        <w:t>jak poznáváme</w:t>
      </w:r>
      <w:r w:rsidR="00546ABB" w:rsidRPr="003D1E07">
        <w:rPr>
          <w:rStyle w:val="Zkladntext184"/>
          <w:rFonts w:ascii="Calibri" w:eastAsia="Times" w:hAnsi="Calibri" w:cs="Times New Roman"/>
          <w:i/>
          <w:color w:val="auto"/>
          <w:spacing w:val="0"/>
          <w:sz w:val="24"/>
          <w:lang w:val="cs-CZ"/>
        </w:rPr>
        <w:fldChar w:fldCharType="begin"/>
      </w:r>
      <w:r w:rsidR="00546ABB" w:rsidRPr="003D1E07">
        <w:instrText xml:space="preserve"> XE "hermeneutické </w:instrText>
      </w:r>
      <w:r w:rsidR="00546ABB" w:rsidRPr="003D1E07">
        <w:rPr>
          <w:i/>
        </w:rPr>
        <w:instrText>Wie</w:instrText>
      </w:r>
      <w:r w:rsidR="00546ABB" w:rsidRPr="003D1E07">
        <w:instrText>:</w:instrText>
      </w:r>
      <w:r w:rsidR="002E3B62" w:rsidRPr="003D1E07">
        <w:instrText>Averroes</w:instrText>
      </w:r>
      <w:r w:rsidR="00546ABB" w:rsidRPr="003D1E07">
        <w:instrText xml:space="preserve">" </w:instrText>
      </w:r>
      <w:r w:rsidR="00546ABB" w:rsidRPr="003D1E07">
        <w:rPr>
          <w:rStyle w:val="Zkladntext184"/>
          <w:rFonts w:ascii="Calibri" w:eastAsia="Times" w:hAnsi="Calibri" w:cs="Times New Roman"/>
          <w:i/>
          <w:color w:val="auto"/>
          <w:spacing w:val="0"/>
          <w:sz w:val="24"/>
          <w:lang w:val="cs-CZ"/>
        </w:rPr>
        <w:fldChar w:fldCharType="end"/>
      </w:r>
      <w:r w:rsidR="0032257A" w:rsidRPr="003D1E07">
        <w:rPr>
          <w:rStyle w:val="Zkladntext184"/>
          <w:rFonts w:ascii="Calibri" w:eastAsia="Times" w:hAnsi="Calibri" w:cs="Times New Roman"/>
          <w:color w:val="auto"/>
          <w:spacing w:val="0"/>
          <w:sz w:val="24"/>
          <w:lang w:val="cs-CZ"/>
        </w:rPr>
        <w:t xml:space="preserve">. Tento hermeneutický fakt má </w:t>
      </w:r>
      <w:r w:rsidR="0032257A" w:rsidRPr="003D1E07">
        <w:rPr>
          <w:rStyle w:val="Zkladntext184"/>
          <w:rFonts w:ascii="Calibri" w:eastAsia="Times" w:hAnsi="Calibri" w:cs="Times New Roman"/>
          <w:color w:val="auto"/>
          <w:spacing w:val="0"/>
          <w:sz w:val="24"/>
          <w:lang w:val="cs-CZ"/>
        </w:rPr>
        <w:lastRenderedPageBreak/>
        <w:t xml:space="preserve">pro poznání zásadní důsledek, </w:t>
      </w:r>
      <w:r w:rsidR="08CA0152" w:rsidRPr="003D1E07">
        <w:rPr>
          <w:rStyle w:val="Zkladntext184"/>
          <w:rFonts w:ascii="Calibri" w:eastAsia="Times" w:hAnsi="Calibri" w:cs="Times New Roman"/>
          <w:color w:val="auto"/>
          <w:spacing w:val="0"/>
          <w:sz w:val="24"/>
          <w:lang w:val="cs-CZ"/>
        </w:rPr>
        <w:t xml:space="preserve">protože </w:t>
      </w:r>
      <w:r w:rsidR="00396490">
        <w:rPr>
          <w:rStyle w:val="Zkladntext184"/>
          <w:rFonts w:ascii="Calibri" w:eastAsia="Times" w:hAnsi="Calibri" w:cs="Times New Roman"/>
          <w:color w:val="auto"/>
          <w:spacing w:val="0"/>
          <w:sz w:val="24"/>
          <w:lang w:val="cs-CZ"/>
        </w:rPr>
        <w:t xml:space="preserve">zakládá v epoše </w:t>
      </w:r>
      <w:r w:rsidR="0032257A" w:rsidRPr="003D1E07">
        <w:rPr>
          <w:rStyle w:val="Zkladntext184"/>
          <w:rFonts w:ascii="Calibri" w:eastAsia="Times" w:hAnsi="Calibri" w:cs="Times New Roman"/>
          <w:i/>
          <w:color w:val="auto"/>
          <w:spacing w:val="0"/>
          <w:sz w:val="24"/>
          <w:lang w:val="cs-CZ"/>
        </w:rPr>
        <w:t>Modernorum</w:t>
      </w:r>
      <w:r w:rsidR="0032257A" w:rsidRPr="003D1E07">
        <w:rPr>
          <w:rStyle w:val="Zkladntext184"/>
          <w:rFonts w:ascii="Calibri" w:eastAsia="Times" w:hAnsi="Calibri" w:cs="Times New Roman"/>
          <w:color w:val="auto"/>
          <w:spacing w:val="0"/>
          <w:sz w:val="24"/>
          <w:lang w:val="cs-CZ"/>
        </w:rPr>
        <w:t xml:space="preserve"> </w:t>
      </w:r>
      <w:r w:rsidR="00396490">
        <w:rPr>
          <w:rStyle w:val="Zkladntext184"/>
          <w:rFonts w:ascii="Calibri" w:eastAsia="Times" w:hAnsi="Calibri" w:cs="Times New Roman"/>
          <w:color w:val="auto"/>
          <w:spacing w:val="0"/>
          <w:sz w:val="24"/>
          <w:lang w:val="cs-CZ"/>
        </w:rPr>
        <w:t>první formu m</w:t>
      </w:r>
      <w:r w:rsidR="0032257A" w:rsidRPr="003D1E07">
        <w:rPr>
          <w:rStyle w:val="Zkladntext184"/>
          <w:rFonts w:ascii="Calibri" w:eastAsia="Times" w:hAnsi="Calibri" w:cs="Times New Roman"/>
          <w:color w:val="auto"/>
          <w:spacing w:val="0"/>
          <w:sz w:val="24"/>
          <w:lang w:val="cs-CZ"/>
        </w:rPr>
        <w:t xml:space="preserve">etafyzického nihilismu. </w:t>
      </w:r>
      <w:r w:rsidR="00396490">
        <w:rPr>
          <w:rStyle w:val="Zkladntext184"/>
          <w:rFonts w:ascii="Calibri" w:eastAsia="Times" w:hAnsi="Calibri" w:cs="Times New Roman"/>
          <w:color w:val="auto"/>
          <w:spacing w:val="0"/>
          <w:sz w:val="24"/>
          <w:lang w:val="cs-CZ"/>
        </w:rPr>
        <w:t xml:space="preserve">V současné době platí, že </w:t>
      </w:r>
      <w:r w:rsidR="08F85894" w:rsidRPr="003D1E07">
        <w:rPr>
          <w:rStyle w:val="Zkladntext184"/>
          <w:rFonts w:ascii="Calibri" w:eastAsia="Times" w:hAnsi="Calibri" w:cs="Times New Roman"/>
          <w:color w:val="auto"/>
          <w:spacing w:val="0"/>
          <w:sz w:val="24"/>
          <w:lang w:val="cs-CZ"/>
        </w:rPr>
        <w:t xml:space="preserve">základní simulákra moderny </w:t>
      </w:r>
      <w:r w:rsidR="00A6114C">
        <w:rPr>
          <w:rStyle w:val="Zkladntext184"/>
          <w:rFonts w:ascii="Calibri" w:eastAsia="Times" w:hAnsi="Calibri" w:cs="Times New Roman"/>
          <w:color w:val="auto"/>
          <w:spacing w:val="0"/>
          <w:sz w:val="24"/>
          <w:lang w:val="cs-CZ"/>
        </w:rPr>
        <w:t xml:space="preserve">– </w:t>
      </w:r>
      <w:r w:rsidR="08F85894" w:rsidRPr="003D1E07">
        <w:rPr>
          <w:rStyle w:val="Zkladntext184"/>
          <w:rFonts w:ascii="Calibri" w:eastAsia="Times" w:hAnsi="Calibri" w:cs="Times New Roman"/>
          <w:color w:val="auto"/>
          <w:spacing w:val="0"/>
          <w:sz w:val="24"/>
          <w:lang w:val="cs-CZ"/>
        </w:rPr>
        <w:t>moderní boží subjekt, moderní lidský subjekt</w:t>
      </w:r>
      <w:r w:rsidR="08F85894" w:rsidRPr="003D1E07">
        <w:fldChar w:fldCharType="begin"/>
      </w:r>
      <w:r w:rsidR="08F85894" w:rsidRPr="003D1E07">
        <w:instrText xml:space="preserve"> XE "smrt subjektu" </w:instrText>
      </w:r>
      <w:r w:rsidR="08F85894" w:rsidRPr="003D1E07">
        <w:fldChar w:fldCharType="end"/>
      </w:r>
      <w:r w:rsidR="08F85894" w:rsidRPr="003D1E07">
        <w:rPr>
          <w:rStyle w:val="Zkladntext184"/>
          <w:rFonts w:ascii="Calibri" w:eastAsia="Times" w:hAnsi="Calibri" w:cs="Times New Roman"/>
          <w:color w:val="auto"/>
          <w:spacing w:val="0"/>
          <w:sz w:val="24"/>
          <w:lang w:val="cs-CZ"/>
        </w:rPr>
        <w:t xml:space="preserve"> a pravda jako objektivní evidence </w:t>
      </w:r>
      <w:r w:rsidR="00A6114C">
        <w:rPr>
          <w:rStyle w:val="Zkladntext184"/>
          <w:rFonts w:ascii="Calibri" w:eastAsia="Times" w:hAnsi="Calibri" w:cs="Times New Roman"/>
          <w:color w:val="auto"/>
          <w:spacing w:val="0"/>
          <w:sz w:val="24"/>
          <w:lang w:val="cs-CZ"/>
        </w:rPr>
        <w:t xml:space="preserve">– </w:t>
      </w:r>
      <w:r w:rsidR="08F85894" w:rsidRPr="003D1E07">
        <w:rPr>
          <w:rStyle w:val="Zkladntext184"/>
          <w:rFonts w:ascii="Calibri" w:eastAsia="Times" w:hAnsi="Calibri" w:cs="Times New Roman"/>
          <w:color w:val="auto"/>
          <w:spacing w:val="0"/>
          <w:sz w:val="24"/>
          <w:lang w:val="cs-CZ"/>
        </w:rPr>
        <w:t xml:space="preserve">postupně zmizí do dějinně </w:t>
      </w:r>
      <w:r w:rsidR="00396490">
        <w:rPr>
          <w:rStyle w:val="Zkladntext184"/>
          <w:rFonts w:ascii="Calibri" w:eastAsia="Times" w:hAnsi="Calibri" w:cs="Times New Roman"/>
          <w:color w:val="auto"/>
          <w:spacing w:val="0"/>
          <w:sz w:val="24"/>
          <w:lang w:val="cs-CZ"/>
        </w:rPr>
        <w:t xml:space="preserve">určené </w:t>
      </w:r>
      <w:r w:rsidR="00381EBA" w:rsidRPr="003D1E07">
        <w:rPr>
          <w:rStyle w:val="Zkladntext184"/>
          <w:rFonts w:ascii="Calibri" w:eastAsia="Times" w:hAnsi="Calibri" w:cs="Times New Roman"/>
          <w:i/>
          <w:color w:val="auto"/>
          <w:spacing w:val="0"/>
          <w:sz w:val="24"/>
          <w:lang w:val="cs-CZ"/>
        </w:rPr>
        <w:t>léthe</w:t>
      </w:r>
      <w:r w:rsidR="08F85894" w:rsidRPr="003D1E07">
        <w:rPr>
          <w:rStyle w:val="Zkladntext184"/>
          <w:rFonts w:ascii="Calibri" w:eastAsia="Times" w:hAnsi="Calibri" w:cs="Times New Roman"/>
          <w:color w:val="auto"/>
          <w:spacing w:val="0"/>
          <w:sz w:val="24"/>
          <w:lang w:val="cs-CZ"/>
        </w:rPr>
        <w:t xml:space="preserve">. </w:t>
      </w:r>
      <w:r w:rsidR="08B901F6" w:rsidRPr="003D1E07">
        <w:rPr>
          <w:rStyle w:val="Zkladntext184"/>
          <w:rFonts w:ascii="Calibri" w:eastAsia="Times" w:hAnsi="Calibri" w:cs="Times New Roman"/>
          <w:color w:val="auto"/>
          <w:spacing w:val="0"/>
          <w:sz w:val="24"/>
          <w:lang w:val="cs-CZ"/>
        </w:rPr>
        <w:t>Jsoucna třetího druhu a p</w:t>
      </w:r>
      <w:r w:rsidR="00045588" w:rsidRPr="003D1E07">
        <w:rPr>
          <w:rStyle w:val="Zkladntext184"/>
          <w:rFonts w:ascii="Calibri" w:eastAsia="Times" w:hAnsi="Calibri" w:cs="Times New Roman"/>
          <w:color w:val="auto"/>
          <w:spacing w:val="0"/>
          <w:sz w:val="24"/>
          <w:lang w:val="cs-CZ"/>
        </w:rPr>
        <w:t xml:space="preserve">odobné </w:t>
      </w:r>
      <w:r w:rsidR="00E42B18" w:rsidRPr="003D1E07">
        <w:rPr>
          <w:rStyle w:val="Zkladntext184"/>
          <w:rFonts w:ascii="Calibri" w:eastAsia="Times" w:hAnsi="Calibri" w:cs="Times New Roman"/>
          <w:color w:val="auto"/>
          <w:spacing w:val="0"/>
          <w:sz w:val="24"/>
          <w:lang w:val="cs-CZ"/>
        </w:rPr>
        <w:t>„</w:t>
      </w:r>
      <w:r w:rsidR="005C292B" w:rsidRPr="003D1E07">
        <w:rPr>
          <w:rStyle w:val="Zkladntext184"/>
          <w:rFonts w:ascii="Calibri" w:eastAsia="Times" w:hAnsi="Calibri" w:cs="Times New Roman"/>
          <w:color w:val="auto"/>
          <w:spacing w:val="0"/>
          <w:sz w:val="24"/>
          <w:lang w:val="cs-CZ"/>
        </w:rPr>
        <w:t>poznatky</w:t>
      </w:r>
      <w:r w:rsidR="00E42B18" w:rsidRPr="003D1E07">
        <w:rPr>
          <w:rStyle w:val="Zkladntext184"/>
          <w:rFonts w:ascii="Calibri" w:eastAsia="Times" w:hAnsi="Calibri" w:cs="Times New Roman"/>
          <w:color w:val="auto"/>
          <w:spacing w:val="0"/>
          <w:sz w:val="24"/>
          <w:lang w:val="cs-CZ"/>
        </w:rPr>
        <w:t>“</w:t>
      </w:r>
      <w:r w:rsidR="005C292B" w:rsidRPr="003D1E07">
        <w:rPr>
          <w:rStyle w:val="Zkladntext184"/>
          <w:rFonts w:ascii="Calibri" w:eastAsia="Times" w:hAnsi="Calibri" w:cs="Times New Roman"/>
          <w:color w:val="auto"/>
          <w:spacing w:val="0"/>
          <w:sz w:val="24"/>
          <w:lang w:val="cs-CZ"/>
        </w:rPr>
        <w:t xml:space="preserve"> </w:t>
      </w:r>
      <w:r w:rsidR="00874074" w:rsidRPr="003D1E07">
        <w:rPr>
          <w:rStyle w:val="Zkladntext184"/>
          <w:rFonts w:ascii="Calibri" w:eastAsia="Times" w:hAnsi="Calibri" w:cs="Times New Roman"/>
          <w:color w:val="auto"/>
          <w:spacing w:val="0"/>
          <w:sz w:val="24"/>
          <w:lang w:val="cs-CZ"/>
        </w:rPr>
        <w:t>neoplatonsk</w:t>
      </w:r>
      <w:r w:rsidR="00984959" w:rsidRPr="003D1E07">
        <w:rPr>
          <w:rStyle w:val="Zkladntext184"/>
          <w:rFonts w:ascii="Calibri" w:eastAsia="Times" w:hAnsi="Calibri" w:cs="Times New Roman"/>
          <w:color w:val="auto"/>
          <w:spacing w:val="0"/>
          <w:sz w:val="24"/>
          <w:lang w:val="cs-CZ"/>
        </w:rPr>
        <w:t>ých iluminátů</w:t>
      </w:r>
      <w:r w:rsidR="00640BE5" w:rsidRPr="003D1E07">
        <w:rPr>
          <w:rStyle w:val="Zkladntext184"/>
          <w:rFonts w:ascii="Calibri" w:eastAsia="Times" w:hAnsi="Calibri" w:cs="Times New Roman"/>
          <w:color w:val="auto"/>
          <w:spacing w:val="0"/>
          <w:sz w:val="24"/>
          <w:lang w:val="cs-CZ"/>
        </w:rPr>
        <w:fldChar w:fldCharType="begin"/>
      </w:r>
      <w:r w:rsidR="00640BE5" w:rsidRPr="003D1E07">
        <w:instrText xml:space="preserve"> XE "ilumináti" </w:instrText>
      </w:r>
      <w:r w:rsidR="00640BE5" w:rsidRPr="003D1E07">
        <w:rPr>
          <w:rStyle w:val="Zkladntext184"/>
          <w:rFonts w:ascii="Calibri" w:eastAsia="Times" w:hAnsi="Calibri" w:cs="Times New Roman"/>
          <w:color w:val="auto"/>
          <w:spacing w:val="0"/>
          <w:sz w:val="24"/>
          <w:lang w:val="cs-CZ"/>
        </w:rPr>
        <w:fldChar w:fldCharType="end"/>
      </w:r>
      <w:r w:rsidR="00984959" w:rsidRPr="003D1E07">
        <w:rPr>
          <w:rStyle w:val="Zkladntext184"/>
          <w:rFonts w:ascii="Calibri" w:eastAsia="Times" w:hAnsi="Calibri" w:cs="Times New Roman"/>
          <w:color w:val="auto"/>
          <w:spacing w:val="0"/>
          <w:sz w:val="24"/>
          <w:lang w:val="cs-CZ"/>
        </w:rPr>
        <w:t xml:space="preserve"> </w:t>
      </w:r>
      <w:r w:rsidR="005C292B" w:rsidRPr="003D1E07">
        <w:rPr>
          <w:rStyle w:val="Zkladntext184"/>
          <w:rFonts w:ascii="Calibri" w:eastAsia="Times" w:hAnsi="Calibri" w:cs="Times New Roman"/>
          <w:color w:val="auto"/>
          <w:spacing w:val="0"/>
          <w:sz w:val="24"/>
          <w:lang w:val="cs-CZ"/>
        </w:rPr>
        <w:t xml:space="preserve">nejsou vřazeny do řádu reality </w:t>
      </w:r>
      <w:r w:rsidR="00821F7F" w:rsidRPr="003D1E07">
        <w:rPr>
          <w:rStyle w:val="Zkladntext184"/>
          <w:rFonts w:ascii="Calibri" w:eastAsia="Times" w:hAnsi="Calibri" w:cs="Times New Roman"/>
          <w:color w:val="auto"/>
          <w:spacing w:val="0"/>
          <w:sz w:val="24"/>
          <w:lang w:val="cs-CZ"/>
        </w:rPr>
        <w:t xml:space="preserve">v adekvačním modelu proporčnosti </w:t>
      </w:r>
      <w:r w:rsidR="005C292B" w:rsidRPr="003D1E07">
        <w:rPr>
          <w:rStyle w:val="Zkladntext184"/>
          <w:rFonts w:ascii="Calibri" w:eastAsia="Times" w:hAnsi="Calibri" w:cs="Times New Roman"/>
          <w:color w:val="auto"/>
          <w:spacing w:val="0"/>
          <w:sz w:val="24"/>
          <w:lang w:val="cs-CZ"/>
        </w:rPr>
        <w:t>(</w:t>
      </w:r>
      <w:r w:rsidR="005C292B" w:rsidRPr="003D1E07">
        <w:rPr>
          <w:i/>
        </w:rPr>
        <w:t>non sunt aliquid currens cursu naturali</w:t>
      </w:r>
      <w:r w:rsidR="005C292B" w:rsidRPr="003D1E07">
        <w:rPr>
          <w:rStyle w:val="Zkladntext184"/>
          <w:rFonts w:ascii="Calibri" w:eastAsia="Times" w:hAnsi="Calibri" w:cs="Times New Roman"/>
          <w:color w:val="auto"/>
          <w:spacing w:val="0"/>
          <w:sz w:val="24"/>
          <w:lang w:val="cs-CZ"/>
        </w:rPr>
        <w:t>)</w:t>
      </w:r>
      <w:r w:rsidR="00821F7F" w:rsidRPr="003D1E07">
        <w:rPr>
          <w:rStyle w:val="Zkladntext184"/>
          <w:rFonts w:ascii="Calibri" w:eastAsia="Times" w:hAnsi="Calibri" w:cs="Times New Roman"/>
          <w:color w:val="auto"/>
          <w:spacing w:val="0"/>
          <w:sz w:val="24"/>
          <w:lang w:val="cs-CZ"/>
        </w:rPr>
        <w:t>, ale jsou platné pouze k</w:t>
      </w:r>
      <w:r w:rsidR="00706397" w:rsidRPr="003D1E07">
        <w:rPr>
          <w:rStyle w:val="Zkladntext184"/>
          <w:rFonts w:ascii="Calibri" w:eastAsia="Times" w:hAnsi="Calibri" w:cs="Times New Roman"/>
          <w:color w:val="auto"/>
          <w:spacing w:val="0"/>
          <w:sz w:val="24"/>
          <w:lang w:val="cs-CZ"/>
        </w:rPr>
        <w:t>ontingentně (</w:t>
      </w:r>
      <w:r w:rsidR="00706397" w:rsidRPr="003D1E07">
        <w:rPr>
          <w:i/>
        </w:rPr>
        <w:t>aliquid quod non intendebatur</w:t>
      </w:r>
      <w:r w:rsidR="00706397" w:rsidRPr="003D1E07">
        <w:rPr>
          <w:rStyle w:val="Zkladntext184"/>
          <w:rFonts w:ascii="Calibri" w:eastAsia="Times" w:hAnsi="Calibri" w:cs="Times New Roman"/>
          <w:color w:val="auto"/>
          <w:spacing w:val="0"/>
          <w:sz w:val="24"/>
          <w:lang w:val="cs-CZ"/>
        </w:rPr>
        <w:t>)</w:t>
      </w:r>
      <w:r w:rsidR="005C292B" w:rsidRPr="003D1E07">
        <w:rPr>
          <w:rStyle w:val="Zkladntext184"/>
          <w:rFonts w:ascii="Calibri" w:eastAsia="Times" w:hAnsi="Calibri" w:cs="Times New Roman"/>
          <w:color w:val="auto"/>
          <w:spacing w:val="0"/>
          <w:sz w:val="24"/>
          <w:lang w:val="cs-CZ"/>
        </w:rPr>
        <w:t>.</w:t>
      </w:r>
      <w:r w:rsidR="085D5BF3" w:rsidRPr="003D1E07">
        <w:rPr>
          <w:rStyle w:val="Zkladntext184"/>
          <w:rFonts w:ascii="Calibri" w:eastAsia="Times" w:hAnsi="Calibri" w:cs="Times New Roman"/>
          <w:color w:val="auto"/>
          <w:spacing w:val="0"/>
          <w:sz w:val="24"/>
          <w:lang w:val="cs-CZ"/>
        </w:rPr>
        <w:t xml:space="preserve"> V mytopoetické říši intelektu </w:t>
      </w:r>
      <w:r w:rsidR="085D5BF3" w:rsidRPr="003D1E07">
        <w:rPr>
          <w:rStyle w:val="Zkladntext184"/>
          <w:rFonts w:ascii="Calibri" w:eastAsia="Times" w:hAnsi="Calibri" w:cs="Times New Roman"/>
          <w:i/>
          <w:color w:val="auto"/>
          <w:spacing w:val="0"/>
          <w:sz w:val="24"/>
          <w:lang w:val="cs-CZ"/>
        </w:rPr>
        <w:t>Modernorum</w:t>
      </w:r>
      <w:r w:rsidR="085D5BF3" w:rsidRPr="003D1E07">
        <w:rPr>
          <w:rStyle w:val="Zkladntext184"/>
          <w:rFonts w:ascii="Calibri" w:eastAsia="Times" w:hAnsi="Calibri" w:cs="Times New Roman"/>
          <w:color w:val="auto"/>
          <w:spacing w:val="0"/>
          <w:sz w:val="24"/>
          <w:lang w:val="cs-CZ"/>
        </w:rPr>
        <w:t xml:space="preserve"> řízeného bohyněmi Pomsty a Chaosu pak už </w:t>
      </w:r>
      <w:r w:rsidR="00DA1951" w:rsidRPr="003D1E07">
        <w:rPr>
          <w:rStyle w:val="Zkladntext184"/>
          <w:rFonts w:ascii="Calibri" w:eastAsia="Times" w:hAnsi="Calibri" w:cs="Times New Roman"/>
          <w:color w:val="auto"/>
          <w:spacing w:val="0"/>
          <w:sz w:val="24"/>
          <w:lang w:val="cs-CZ"/>
        </w:rPr>
        <w:t xml:space="preserve">neplatí univerzální kosmický řád, ale pouhá náhoda, která vybočením z řádu </w:t>
      </w:r>
      <w:r w:rsidR="08E57697" w:rsidRPr="003D1E07">
        <w:rPr>
          <w:rStyle w:val="Zkladntext184"/>
          <w:rFonts w:ascii="Calibri" w:eastAsia="Times" w:hAnsi="Calibri" w:cs="Times New Roman"/>
          <w:color w:val="auto"/>
          <w:spacing w:val="0"/>
          <w:sz w:val="24"/>
          <w:lang w:val="cs-CZ"/>
        </w:rPr>
        <w:t xml:space="preserve">přírody plodí </w:t>
      </w:r>
      <w:r w:rsidR="00DA1951" w:rsidRPr="003D1E07">
        <w:rPr>
          <w:rStyle w:val="Zkladntext184"/>
          <w:rFonts w:ascii="Calibri" w:eastAsia="Times" w:hAnsi="Calibri" w:cs="Times New Roman"/>
          <w:color w:val="auto"/>
          <w:spacing w:val="0"/>
          <w:sz w:val="24"/>
          <w:lang w:val="cs-CZ"/>
        </w:rPr>
        <w:t>nestvůry (</w:t>
      </w:r>
      <w:r w:rsidR="00DA1951" w:rsidRPr="003D1E07">
        <w:rPr>
          <w:i/>
        </w:rPr>
        <w:t>monstrum in creatura</w:t>
      </w:r>
      <w:r w:rsidR="00DA1951" w:rsidRPr="003D1E07">
        <w:rPr>
          <w:rStyle w:val="Zkladntext184"/>
          <w:rFonts w:ascii="Calibri" w:eastAsia="Times" w:hAnsi="Calibri" w:cs="Times New Roman"/>
          <w:color w:val="auto"/>
          <w:spacing w:val="0"/>
          <w:sz w:val="24"/>
          <w:lang w:val="cs-CZ"/>
        </w:rPr>
        <w:t xml:space="preserve">). </w:t>
      </w:r>
      <w:r w:rsidR="08C2019C" w:rsidRPr="003D1E07">
        <w:rPr>
          <w:rStyle w:val="Zkladntext184"/>
          <w:rFonts w:ascii="Calibri" w:eastAsia="Times" w:hAnsi="Calibri" w:cs="Times New Roman"/>
          <w:color w:val="auto"/>
          <w:spacing w:val="0"/>
          <w:sz w:val="24"/>
          <w:lang w:val="cs-CZ"/>
        </w:rPr>
        <w:t>Produkce intelektuálních monster ne</w:t>
      </w:r>
      <w:r w:rsidR="00887335" w:rsidRPr="003D1E07">
        <w:rPr>
          <w:rStyle w:val="Zkladntext184"/>
          <w:rFonts w:ascii="Calibri" w:eastAsia="Times" w:hAnsi="Calibri" w:cs="Times New Roman"/>
          <w:color w:val="auto"/>
          <w:spacing w:val="0"/>
          <w:sz w:val="24"/>
          <w:lang w:val="cs-CZ"/>
        </w:rPr>
        <w:t xml:space="preserve">přišla </w:t>
      </w:r>
      <w:r w:rsidR="08C2019C" w:rsidRPr="003D1E07">
        <w:rPr>
          <w:rStyle w:val="Zkladntext184"/>
          <w:rFonts w:ascii="Calibri" w:eastAsia="Times" w:hAnsi="Calibri" w:cs="Times New Roman"/>
          <w:color w:val="auto"/>
          <w:spacing w:val="0"/>
          <w:sz w:val="24"/>
          <w:lang w:val="cs-CZ"/>
        </w:rPr>
        <w:t xml:space="preserve">hned. Tisíc let </w:t>
      </w:r>
      <w:r w:rsidR="08C2019C" w:rsidRPr="003D1E07">
        <w:rPr>
          <w:rStyle w:val="Zkladntext184"/>
          <w:rFonts w:ascii="Calibri" w:eastAsia="Times" w:hAnsi="Calibri" w:cs="Times New Roman"/>
          <w:i/>
          <w:color w:val="auto"/>
          <w:spacing w:val="0"/>
          <w:sz w:val="24"/>
          <w:lang w:val="cs-CZ"/>
        </w:rPr>
        <w:t>Wirkungsgeschichte</w:t>
      </w:r>
      <w:r w:rsidR="08C2019C" w:rsidRPr="003D1E07">
        <w:rPr>
          <w:rStyle w:val="Zkladntext184"/>
          <w:rFonts w:ascii="Calibri" w:eastAsia="Times" w:hAnsi="Calibri" w:cs="Times New Roman"/>
          <w:color w:val="auto"/>
          <w:spacing w:val="0"/>
          <w:sz w:val="24"/>
          <w:lang w:val="cs-CZ"/>
        </w:rPr>
        <w:t xml:space="preserve"> vztažené k avicennistické interpretaci CMDA založilo nejprve sofistické myšlení </w:t>
      </w:r>
      <w:r w:rsidR="08C2019C" w:rsidRPr="003D1E07">
        <w:rPr>
          <w:rStyle w:val="Zkladntext184"/>
          <w:rFonts w:ascii="Calibri" w:eastAsia="Times" w:hAnsi="Calibri" w:cs="Times New Roman"/>
          <w:i/>
          <w:color w:val="auto"/>
          <w:spacing w:val="0"/>
          <w:sz w:val="24"/>
          <w:lang w:val="cs-CZ"/>
        </w:rPr>
        <w:t>via Modernorum</w:t>
      </w:r>
      <w:r w:rsidR="08C2019C" w:rsidRPr="003D1E07">
        <w:rPr>
          <w:rStyle w:val="Zkladntext184"/>
          <w:rFonts w:ascii="Calibri" w:eastAsia="Times" w:hAnsi="Calibri" w:cs="Times New Roman"/>
          <w:i/>
          <w:color w:val="auto"/>
          <w:spacing w:val="0"/>
          <w:sz w:val="24"/>
          <w:lang w:val="cs-CZ"/>
        </w:rPr>
        <w:fldChar w:fldCharType="begin"/>
      </w:r>
      <w:r w:rsidR="08C2019C" w:rsidRPr="003D1E07">
        <w:instrText xml:space="preserve"> XE "</w:instrText>
      </w:r>
      <w:r w:rsidR="08C2019C" w:rsidRPr="003D1E07">
        <w:rPr>
          <w:i/>
        </w:rPr>
        <w:instrText>via Modernorum</w:instrText>
      </w:r>
      <w:r w:rsidR="08C2019C" w:rsidRPr="003D1E07">
        <w:instrText xml:space="preserve">" </w:instrText>
      </w:r>
      <w:r w:rsidR="08C2019C" w:rsidRPr="003D1E07">
        <w:rPr>
          <w:rStyle w:val="Zkladntext184"/>
          <w:rFonts w:ascii="Calibri" w:eastAsia="Times" w:hAnsi="Calibri" w:cs="Times New Roman"/>
          <w:i/>
          <w:color w:val="auto"/>
          <w:spacing w:val="0"/>
          <w:sz w:val="24"/>
          <w:lang w:val="cs-CZ"/>
        </w:rPr>
        <w:fldChar w:fldCharType="end"/>
      </w:r>
      <w:r w:rsidR="08C2019C" w:rsidRPr="003D1E07">
        <w:rPr>
          <w:rStyle w:val="Zkladntext184"/>
          <w:rFonts w:ascii="Calibri" w:eastAsia="Times" w:hAnsi="Calibri" w:cs="Times New Roman"/>
          <w:color w:val="auto"/>
          <w:spacing w:val="0"/>
          <w:sz w:val="24"/>
          <w:lang w:val="cs-CZ"/>
        </w:rPr>
        <w:t xml:space="preserve">. </w:t>
      </w:r>
      <w:r w:rsidR="00417EE8" w:rsidRPr="003D1E07">
        <w:rPr>
          <w:rStyle w:val="Zkladntext184"/>
          <w:rFonts w:ascii="Calibri" w:eastAsia="Times" w:hAnsi="Calibri" w:cs="Times New Roman"/>
          <w:color w:val="auto"/>
          <w:spacing w:val="0"/>
          <w:sz w:val="24"/>
          <w:lang w:val="cs-CZ"/>
        </w:rPr>
        <w:t xml:space="preserve">Spánek </w:t>
      </w:r>
      <w:r w:rsidR="00874074" w:rsidRPr="003D1E07">
        <w:rPr>
          <w:rStyle w:val="Zkladntext184"/>
          <w:rFonts w:ascii="Calibri" w:eastAsia="Times" w:hAnsi="Calibri" w:cs="Times New Roman"/>
          <w:color w:val="auto"/>
          <w:spacing w:val="0"/>
          <w:sz w:val="24"/>
          <w:lang w:val="cs-CZ"/>
        </w:rPr>
        <w:t>neoplatonsk</w:t>
      </w:r>
      <w:r w:rsidR="00417EE8" w:rsidRPr="003D1E07">
        <w:rPr>
          <w:rStyle w:val="Zkladntext184"/>
          <w:rFonts w:ascii="Calibri" w:eastAsia="Times" w:hAnsi="Calibri" w:cs="Times New Roman"/>
          <w:color w:val="auto"/>
          <w:spacing w:val="0"/>
          <w:sz w:val="24"/>
          <w:lang w:val="cs-CZ"/>
        </w:rPr>
        <w:t xml:space="preserve">y osvíceného rozumu plodí </w:t>
      </w:r>
      <w:r w:rsidR="0008134F" w:rsidRPr="003D1E07">
        <w:rPr>
          <w:rStyle w:val="Zkladntext184"/>
          <w:rFonts w:ascii="Calibri" w:eastAsia="Times" w:hAnsi="Calibri" w:cs="Times New Roman"/>
          <w:color w:val="auto"/>
          <w:spacing w:val="0"/>
          <w:sz w:val="24"/>
          <w:lang w:val="cs-CZ"/>
        </w:rPr>
        <w:t>svět</w:t>
      </w:r>
      <w:r w:rsidR="00707890">
        <w:rPr>
          <w:rStyle w:val="Zkladntext184"/>
          <w:rFonts w:ascii="Calibri" w:eastAsia="Times" w:hAnsi="Calibri" w:cs="Times New Roman"/>
          <w:color w:val="auto"/>
          <w:spacing w:val="0"/>
          <w:sz w:val="24"/>
          <w:lang w:val="cs-CZ"/>
        </w:rPr>
        <w:t xml:space="preserve"> </w:t>
      </w:r>
      <w:r w:rsidR="00904F01" w:rsidRPr="003D1E07">
        <w:rPr>
          <w:rStyle w:val="Zkladntext184"/>
          <w:rFonts w:ascii="Calibri" w:eastAsia="Times" w:hAnsi="Calibri" w:cs="Times New Roman"/>
          <w:color w:val="auto"/>
          <w:spacing w:val="0"/>
          <w:sz w:val="24"/>
          <w:lang w:val="cs-CZ"/>
        </w:rPr>
        <w:t>moderního simulákra</w:t>
      </w:r>
      <w:r w:rsidR="00707890">
        <w:rPr>
          <w:rStyle w:val="Zkladntext184"/>
          <w:rFonts w:ascii="Calibri" w:eastAsia="Times" w:hAnsi="Calibri" w:cs="Times New Roman"/>
          <w:color w:val="auto"/>
          <w:spacing w:val="0"/>
          <w:sz w:val="24"/>
          <w:lang w:val="cs-CZ"/>
        </w:rPr>
        <w:t xml:space="preserve"> na základě </w:t>
      </w:r>
      <w:r w:rsidR="009650A4" w:rsidRPr="003D1E07">
        <w:rPr>
          <w:rStyle w:val="Zkladntext184"/>
          <w:rFonts w:ascii="Calibri" w:eastAsia="Times" w:hAnsi="Calibri" w:cs="Times New Roman"/>
          <w:color w:val="auto"/>
          <w:spacing w:val="0"/>
          <w:sz w:val="24"/>
          <w:lang w:val="cs-CZ"/>
        </w:rPr>
        <w:fldChar w:fldCharType="begin"/>
      </w:r>
      <w:r w:rsidR="009650A4" w:rsidRPr="003D1E07">
        <w:instrText xml:space="preserve"> XE "simulákrum" </w:instrText>
      </w:r>
      <w:r w:rsidR="009650A4" w:rsidRPr="003D1E07">
        <w:rPr>
          <w:rStyle w:val="Zkladntext184"/>
          <w:rFonts w:ascii="Calibri" w:eastAsia="Times" w:hAnsi="Calibri" w:cs="Times New Roman"/>
          <w:color w:val="auto"/>
          <w:spacing w:val="0"/>
          <w:sz w:val="24"/>
          <w:lang w:val="cs-CZ"/>
        </w:rPr>
        <w:fldChar w:fldCharType="end"/>
      </w:r>
      <w:r w:rsidR="00707890">
        <w:rPr>
          <w:rStyle w:val="Zkladntext184"/>
          <w:rFonts w:ascii="Calibri" w:eastAsia="Times" w:hAnsi="Calibri" w:cs="Times New Roman"/>
          <w:color w:val="auto"/>
          <w:spacing w:val="0"/>
          <w:sz w:val="24"/>
          <w:lang w:val="cs-CZ"/>
        </w:rPr>
        <w:t>Avicennova</w:t>
      </w:r>
      <w:r w:rsidR="089C6E65" w:rsidRPr="003D1E07">
        <w:rPr>
          <w:rStyle w:val="Zkladntext184"/>
          <w:rFonts w:ascii="Calibri" w:eastAsia="Times" w:hAnsi="Calibri" w:cs="Times New Roman"/>
          <w:color w:val="auto"/>
          <w:spacing w:val="0"/>
          <w:sz w:val="24"/>
          <w:lang w:val="cs-CZ"/>
        </w:rPr>
        <w:t xml:space="preserve"> </w:t>
      </w:r>
      <w:r w:rsidR="089C6E65" w:rsidRPr="003D1E07">
        <w:rPr>
          <w:rStyle w:val="Zkladntext184"/>
          <w:rFonts w:ascii="Calibri" w:eastAsia="Times" w:hAnsi="Calibri" w:cs="Times New Roman"/>
          <w:i/>
          <w:color w:val="auto"/>
          <w:spacing w:val="0"/>
          <w:sz w:val="24"/>
          <w:lang w:val="cs-CZ"/>
        </w:rPr>
        <w:t>denudatio</w:t>
      </w:r>
      <w:r w:rsidR="00707890">
        <w:rPr>
          <w:rStyle w:val="Zkladntext184"/>
          <w:rFonts w:ascii="Calibri" w:eastAsia="Times" w:hAnsi="Calibri" w:cs="Times New Roman"/>
          <w:color w:val="auto"/>
          <w:spacing w:val="0"/>
          <w:sz w:val="24"/>
          <w:lang w:val="cs-CZ"/>
        </w:rPr>
        <w:t xml:space="preserve"> (kap. 2.3.1),</w:t>
      </w:r>
      <w:r w:rsidR="001A1611">
        <w:rPr>
          <w:rStyle w:val="Zkladntext184"/>
          <w:rFonts w:ascii="Calibri" w:eastAsia="Times" w:hAnsi="Calibri" w:cs="Times New Roman"/>
          <w:color w:val="auto"/>
          <w:spacing w:val="0"/>
          <w:sz w:val="24"/>
          <w:lang w:val="cs-CZ"/>
        </w:rPr>
        <w:t xml:space="preserve"> na základě  </w:t>
      </w:r>
      <w:r w:rsidR="00707890">
        <w:rPr>
          <w:rStyle w:val="Zkladntext184"/>
          <w:rFonts w:ascii="Calibri" w:eastAsia="Times" w:hAnsi="Calibri" w:cs="Times New Roman"/>
          <w:color w:val="auto"/>
          <w:spacing w:val="0"/>
          <w:sz w:val="24"/>
          <w:lang w:val="cs-CZ"/>
        </w:rPr>
        <w:t>Descar</w:t>
      </w:r>
      <w:r w:rsidR="00155FF0">
        <w:rPr>
          <w:rStyle w:val="Zkladntext184"/>
          <w:rFonts w:ascii="Calibri" w:eastAsia="Times" w:hAnsi="Calibri" w:cs="Times New Roman"/>
          <w:color w:val="auto"/>
          <w:spacing w:val="0"/>
          <w:sz w:val="24"/>
          <w:lang w:val="cs-CZ"/>
        </w:rPr>
        <w:t>t</w:t>
      </w:r>
      <w:r w:rsidR="00707890">
        <w:rPr>
          <w:rStyle w:val="Zkladntext184"/>
          <w:rFonts w:ascii="Calibri" w:eastAsia="Times" w:hAnsi="Calibri" w:cs="Times New Roman"/>
          <w:color w:val="auto"/>
          <w:spacing w:val="0"/>
          <w:sz w:val="24"/>
          <w:lang w:val="cs-CZ"/>
        </w:rPr>
        <w:t>ova</w:t>
      </w:r>
      <w:r w:rsidR="089C6E65" w:rsidRPr="003D1E07">
        <w:rPr>
          <w:rStyle w:val="Zkladntext184"/>
          <w:rFonts w:ascii="Calibri" w:eastAsia="Times" w:hAnsi="Calibri" w:cs="Times New Roman"/>
          <w:color w:val="auto"/>
          <w:spacing w:val="0"/>
          <w:sz w:val="24"/>
          <w:lang w:val="cs-CZ"/>
        </w:rPr>
        <w:t xml:space="preserve"> postmoderní</w:t>
      </w:r>
      <w:r w:rsidR="00707890">
        <w:rPr>
          <w:rStyle w:val="Zkladntext184"/>
          <w:rFonts w:ascii="Calibri" w:eastAsia="Times" w:hAnsi="Calibri" w:cs="Times New Roman"/>
          <w:color w:val="auto"/>
          <w:spacing w:val="0"/>
          <w:sz w:val="24"/>
          <w:lang w:val="cs-CZ"/>
        </w:rPr>
        <w:t>ho</w:t>
      </w:r>
      <w:r w:rsidR="089C6E65" w:rsidRPr="003D1E07">
        <w:rPr>
          <w:rStyle w:val="Zkladntext184"/>
          <w:rFonts w:ascii="Calibri" w:eastAsia="Times" w:hAnsi="Calibri" w:cs="Times New Roman"/>
          <w:color w:val="auto"/>
          <w:spacing w:val="0"/>
          <w:sz w:val="24"/>
          <w:lang w:val="cs-CZ"/>
        </w:rPr>
        <w:t xml:space="preserve"> </w:t>
      </w:r>
      <w:r w:rsidR="089C6E65" w:rsidRPr="003D1E07">
        <w:rPr>
          <w:rStyle w:val="Zkladntext184"/>
          <w:rFonts w:ascii="Calibri" w:eastAsia="Times" w:hAnsi="Calibri" w:cs="Times New Roman"/>
          <w:i/>
          <w:color w:val="auto"/>
          <w:spacing w:val="0"/>
          <w:sz w:val="24"/>
          <w:lang w:val="cs-CZ"/>
        </w:rPr>
        <w:t>cogito</w:t>
      </w:r>
      <w:r w:rsidR="089C6E65" w:rsidRPr="003D1E07">
        <w:rPr>
          <w:rStyle w:val="Zkladntext184"/>
          <w:rFonts w:ascii="Calibri" w:eastAsia="Times" w:hAnsi="Calibri" w:cs="Times New Roman"/>
          <w:color w:val="auto"/>
          <w:spacing w:val="0"/>
          <w:sz w:val="24"/>
          <w:lang w:val="cs-CZ"/>
        </w:rPr>
        <w:t xml:space="preserve">, nebo </w:t>
      </w:r>
      <w:r w:rsidR="001A1611">
        <w:rPr>
          <w:rStyle w:val="Zkladntext184"/>
          <w:rFonts w:ascii="Calibri" w:eastAsia="Times" w:hAnsi="Calibri" w:cs="Times New Roman"/>
          <w:color w:val="auto"/>
          <w:spacing w:val="0"/>
          <w:sz w:val="24"/>
          <w:lang w:val="cs-CZ"/>
        </w:rPr>
        <w:t>na základě současných nihilistických</w:t>
      </w:r>
      <w:r w:rsidR="089C6E65" w:rsidRPr="003D1E07">
        <w:rPr>
          <w:rStyle w:val="Zkladntext184"/>
          <w:rFonts w:ascii="Calibri" w:eastAsia="Times" w:hAnsi="Calibri" w:cs="Times New Roman"/>
          <w:color w:val="auto"/>
          <w:spacing w:val="0"/>
          <w:sz w:val="24"/>
          <w:lang w:val="cs-CZ"/>
        </w:rPr>
        <w:t xml:space="preserve"> </w:t>
      </w:r>
      <w:r w:rsidR="00707890">
        <w:rPr>
          <w:rStyle w:val="Zkladntext184"/>
          <w:rFonts w:ascii="Calibri" w:eastAsia="Times" w:hAnsi="Calibri" w:cs="Times New Roman"/>
          <w:color w:val="auto"/>
          <w:spacing w:val="0"/>
          <w:sz w:val="24"/>
          <w:lang w:val="cs-CZ"/>
        </w:rPr>
        <w:t>„</w:t>
      </w:r>
      <w:r w:rsidR="089C6E65" w:rsidRPr="003D1E07">
        <w:rPr>
          <w:rStyle w:val="Zkladntext184"/>
          <w:rFonts w:ascii="Calibri" w:eastAsia="Times" w:hAnsi="Calibri" w:cs="Times New Roman"/>
          <w:i/>
          <w:color w:val="auto"/>
          <w:spacing w:val="0"/>
          <w:sz w:val="24"/>
          <w:lang w:val="cs-CZ"/>
        </w:rPr>
        <w:t>thought experiments</w:t>
      </w:r>
      <w:r w:rsidR="00707890">
        <w:rPr>
          <w:rStyle w:val="Zkladntext184"/>
          <w:rFonts w:ascii="Calibri" w:eastAsia="Times" w:hAnsi="Calibri" w:cs="Times New Roman"/>
          <w:color w:val="auto"/>
          <w:spacing w:val="0"/>
          <w:sz w:val="24"/>
          <w:lang w:val="cs-CZ"/>
        </w:rPr>
        <w:t>“</w:t>
      </w:r>
      <w:r w:rsidR="089C6E65" w:rsidRPr="003D1E07">
        <w:rPr>
          <w:rStyle w:val="Zkladntext184"/>
          <w:rFonts w:ascii="Calibri" w:eastAsia="Times" w:hAnsi="Calibri" w:cs="Times New Roman"/>
          <w:color w:val="auto"/>
          <w:spacing w:val="0"/>
          <w:sz w:val="24"/>
          <w:lang w:val="cs-CZ"/>
        </w:rPr>
        <w:t xml:space="preserve">. </w:t>
      </w:r>
      <w:r w:rsidR="08B84240" w:rsidRPr="003D1E07">
        <w:rPr>
          <w:rStyle w:val="Zkladntext184"/>
          <w:rFonts w:ascii="Calibri" w:eastAsia="Times" w:hAnsi="Calibri" w:cs="Times New Roman"/>
          <w:color w:val="auto"/>
          <w:spacing w:val="0"/>
          <w:sz w:val="24"/>
          <w:lang w:val="cs-CZ"/>
        </w:rPr>
        <w:t>A</w:t>
      </w:r>
      <w:r w:rsidR="08DE18BB" w:rsidRPr="003D1E07">
        <w:rPr>
          <w:rStyle w:val="Zkladntext184"/>
          <w:rFonts w:ascii="Calibri" w:eastAsia="Times" w:hAnsi="Calibri" w:cs="Times New Roman"/>
          <w:color w:val="auto"/>
          <w:spacing w:val="0"/>
          <w:sz w:val="24"/>
          <w:lang w:val="cs-CZ"/>
        </w:rPr>
        <w:t>lexandrovci</w:t>
      </w:r>
      <w:r w:rsidR="001762A8" w:rsidRPr="003D1E07">
        <w:rPr>
          <w:rStyle w:val="Zkladntext184"/>
          <w:rFonts w:ascii="Calibri" w:eastAsia="Times" w:hAnsi="Calibri" w:cs="Times New Roman"/>
          <w:color w:val="auto"/>
          <w:spacing w:val="0"/>
          <w:sz w:val="24"/>
          <w:lang w:val="cs-CZ"/>
        </w:rPr>
        <w:fldChar w:fldCharType="begin"/>
      </w:r>
      <w:r w:rsidR="001762A8" w:rsidRPr="003D1E07">
        <w:instrText xml:space="preserve"> XE "</w:instrText>
      </w:r>
      <w:r w:rsidR="08DE18BB" w:rsidRPr="003D1E07">
        <w:instrText>alexandrovci</w:instrText>
      </w:r>
      <w:r w:rsidR="001762A8" w:rsidRPr="003D1E07">
        <w:instrText xml:space="preserve">" </w:instrText>
      </w:r>
      <w:r w:rsidR="001762A8" w:rsidRPr="003D1E07">
        <w:rPr>
          <w:rStyle w:val="Zkladntext184"/>
          <w:rFonts w:ascii="Calibri" w:eastAsia="Times" w:hAnsi="Calibri" w:cs="Times New Roman"/>
          <w:color w:val="auto"/>
          <w:spacing w:val="0"/>
          <w:sz w:val="24"/>
          <w:lang w:val="cs-CZ"/>
        </w:rPr>
        <w:fldChar w:fldCharType="end"/>
      </w:r>
      <w:r w:rsidR="08B53FEE" w:rsidRPr="003D1E07">
        <w:rPr>
          <w:rStyle w:val="Zkladntext184"/>
          <w:rFonts w:ascii="Calibri" w:eastAsia="Times" w:hAnsi="Calibri" w:cs="Times New Roman"/>
          <w:color w:val="auto"/>
          <w:spacing w:val="0"/>
          <w:sz w:val="24"/>
          <w:lang w:val="cs-CZ"/>
        </w:rPr>
        <w:t xml:space="preserve"> všeho druhu jdou </w:t>
      </w:r>
      <w:r w:rsidR="00E375EC" w:rsidRPr="003D1E07">
        <w:rPr>
          <w:rStyle w:val="Zkladntext184"/>
          <w:rFonts w:ascii="Calibri" w:eastAsia="Times" w:hAnsi="Calibri" w:cs="Times New Roman"/>
          <w:color w:val="auto"/>
          <w:spacing w:val="0"/>
          <w:sz w:val="24"/>
          <w:lang w:val="cs-CZ"/>
        </w:rPr>
        <w:t xml:space="preserve">od abstraktního </w:t>
      </w:r>
      <w:r w:rsidR="00FA555D" w:rsidRPr="003D1E07">
        <w:rPr>
          <w:rStyle w:val="Zkladntext184"/>
          <w:rFonts w:ascii="Calibri" w:eastAsia="Times" w:hAnsi="Calibri" w:cs="Times New Roman"/>
          <w:color w:val="auto"/>
          <w:spacing w:val="0"/>
          <w:sz w:val="24"/>
          <w:lang w:val="cs-CZ"/>
        </w:rPr>
        <w:t xml:space="preserve">formálního </w:t>
      </w:r>
      <w:r w:rsidR="00E375EC" w:rsidRPr="003D1E07">
        <w:rPr>
          <w:rStyle w:val="Zkladntext184"/>
          <w:rFonts w:ascii="Calibri" w:eastAsia="Times" w:hAnsi="Calibri" w:cs="Times New Roman"/>
          <w:color w:val="auto"/>
          <w:spacing w:val="0"/>
          <w:sz w:val="24"/>
          <w:lang w:val="cs-CZ"/>
        </w:rPr>
        <w:t xml:space="preserve">objektu </w:t>
      </w:r>
      <w:r w:rsidR="002801D3" w:rsidRPr="003D1E07">
        <w:rPr>
          <w:rStyle w:val="Zkladntext184"/>
          <w:rFonts w:ascii="Calibri" w:eastAsia="Times" w:hAnsi="Calibri" w:cs="Times New Roman"/>
          <w:color w:val="auto"/>
          <w:spacing w:val="0"/>
          <w:sz w:val="24"/>
          <w:lang w:val="cs-CZ"/>
        </w:rPr>
        <w:t xml:space="preserve">daného v osvícené mysli </w:t>
      </w:r>
      <w:r w:rsidR="00E375EC" w:rsidRPr="003D1E07">
        <w:rPr>
          <w:rStyle w:val="Zkladntext184"/>
          <w:rFonts w:ascii="Calibri" w:eastAsia="Times" w:hAnsi="Calibri" w:cs="Times New Roman"/>
          <w:color w:val="auto"/>
          <w:spacing w:val="0"/>
          <w:sz w:val="24"/>
          <w:lang w:val="cs-CZ"/>
        </w:rPr>
        <w:t>k realitě</w:t>
      </w:r>
      <w:r w:rsidR="0092666C" w:rsidRPr="003D1E07">
        <w:rPr>
          <w:rStyle w:val="Zkladntext184"/>
          <w:rFonts w:ascii="Calibri" w:eastAsia="Times" w:hAnsi="Calibri" w:cs="Times New Roman"/>
          <w:color w:val="auto"/>
          <w:spacing w:val="0"/>
          <w:sz w:val="24"/>
          <w:lang w:val="cs-CZ"/>
        </w:rPr>
        <w:t>. P</w:t>
      </w:r>
      <w:r w:rsidR="089C6E65" w:rsidRPr="003D1E07">
        <w:rPr>
          <w:rStyle w:val="Zkladntext184"/>
          <w:rFonts w:ascii="Calibri" w:eastAsia="Times" w:hAnsi="Calibri" w:cs="Times New Roman"/>
          <w:color w:val="auto"/>
          <w:spacing w:val="0"/>
          <w:sz w:val="24"/>
          <w:lang w:val="cs-CZ"/>
        </w:rPr>
        <w:t>roto nemají jednotnou teorii intelektu, pouze Avicennův problém „létajícího muže</w:t>
      </w:r>
      <w:r w:rsidR="00652149" w:rsidRPr="003D1E07">
        <w:rPr>
          <w:rStyle w:val="Zkladntext184"/>
          <w:rFonts w:ascii="Calibri" w:eastAsia="Times" w:hAnsi="Calibri" w:cs="Times New Roman"/>
          <w:color w:val="auto"/>
          <w:spacing w:val="0"/>
          <w:sz w:val="24"/>
          <w:lang w:val="cs-CZ"/>
        </w:rPr>
        <w:fldChar w:fldCharType="begin"/>
      </w:r>
      <w:r w:rsidR="00652149" w:rsidRPr="003D1E07">
        <w:instrText xml:space="preserve"> XE "</w:instrText>
      </w:r>
      <w:r w:rsidR="00652149" w:rsidRPr="003D1E07">
        <w:rPr>
          <w:rStyle w:val="FontStyle129"/>
          <w:rFonts w:ascii="Calibri" w:hAnsi="Calibri"/>
          <w:sz w:val="24"/>
        </w:rPr>
        <w:instrText>létající muž</w:instrText>
      </w:r>
      <w:r w:rsidR="00652149" w:rsidRPr="003D1E07">
        <w:instrText xml:space="preserve">" </w:instrText>
      </w:r>
      <w:r w:rsidR="00652149" w:rsidRPr="003D1E07">
        <w:rPr>
          <w:rStyle w:val="Zkladntext184"/>
          <w:rFonts w:ascii="Calibri" w:eastAsia="Times" w:hAnsi="Calibri" w:cs="Times New Roman"/>
          <w:color w:val="auto"/>
          <w:spacing w:val="0"/>
          <w:sz w:val="24"/>
          <w:lang w:val="cs-CZ"/>
        </w:rPr>
        <w:fldChar w:fldCharType="end"/>
      </w:r>
      <w:r w:rsidR="089C6E65" w:rsidRPr="003D1E07">
        <w:rPr>
          <w:rStyle w:val="Zkladntext184"/>
          <w:rFonts w:ascii="Calibri" w:eastAsia="Times" w:hAnsi="Calibri" w:cs="Times New Roman"/>
          <w:color w:val="auto"/>
          <w:spacing w:val="0"/>
          <w:sz w:val="24"/>
          <w:lang w:val="cs-CZ"/>
        </w:rPr>
        <w:t xml:space="preserve">“ nebo současný </w:t>
      </w:r>
      <w:r w:rsidR="089C6E65" w:rsidRPr="003D1E07">
        <w:rPr>
          <w:rStyle w:val="Zkladntext184"/>
          <w:rFonts w:ascii="Calibri" w:eastAsia="Times" w:hAnsi="Calibri" w:cs="Times New Roman"/>
          <w:i/>
          <w:color w:val="auto"/>
          <w:spacing w:val="0"/>
          <w:sz w:val="24"/>
          <w:lang w:val="cs-CZ"/>
        </w:rPr>
        <w:t>Mind‒Body Problem</w:t>
      </w:r>
      <w:r w:rsidR="007A6052" w:rsidRPr="003D1E07">
        <w:rPr>
          <w:rStyle w:val="Zkladntext184"/>
          <w:rFonts w:ascii="Calibri" w:eastAsia="Times" w:hAnsi="Calibri" w:cs="Times New Roman"/>
          <w:i/>
          <w:color w:val="auto"/>
          <w:spacing w:val="0"/>
          <w:sz w:val="24"/>
          <w:lang w:val="cs-CZ"/>
        </w:rPr>
        <w:fldChar w:fldCharType="begin"/>
      </w:r>
      <w:r w:rsidR="007A6052" w:rsidRPr="003D1E07">
        <w:instrText xml:space="preserve"> XE "</w:instrText>
      </w:r>
      <w:r w:rsidR="007A6052" w:rsidRPr="003D1E07">
        <w:rPr>
          <w:rStyle w:val="Zkladntext184"/>
          <w:rFonts w:ascii="Calibri" w:eastAsia="Times" w:hAnsi="Calibri" w:cs="Times New Roman"/>
          <w:i/>
          <w:color w:val="auto"/>
          <w:spacing w:val="0"/>
          <w:sz w:val="24"/>
          <w:lang w:val="cs-CZ"/>
        </w:rPr>
        <w:instrText>Mind‒Body Problem</w:instrText>
      </w:r>
      <w:r w:rsidR="007A6052" w:rsidRPr="003D1E07">
        <w:instrText xml:space="preserve">" </w:instrText>
      </w:r>
      <w:r w:rsidR="007A6052" w:rsidRPr="003D1E07">
        <w:rPr>
          <w:rStyle w:val="Zkladntext184"/>
          <w:rFonts w:ascii="Calibri" w:eastAsia="Times" w:hAnsi="Calibri" w:cs="Times New Roman"/>
          <w:i/>
          <w:color w:val="auto"/>
          <w:spacing w:val="0"/>
          <w:sz w:val="24"/>
          <w:lang w:val="cs-CZ"/>
        </w:rPr>
        <w:fldChar w:fldCharType="end"/>
      </w:r>
      <w:r w:rsidR="002801D3" w:rsidRPr="003D1E07">
        <w:rPr>
          <w:rStyle w:val="Zkladntext184"/>
          <w:rFonts w:ascii="Calibri" w:eastAsia="Times" w:hAnsi="Calibri" w:cs="Times New Roman"/>
          <w:color w:val="auto"/>
          <w:spacing w:val="0"/>
          <w:sz w:val="24"/>
          <w:lang w:val="cs-CZ"/>
        </w:rPr>
        <w:t xml:space="preserve">. </w:t>
      </w:r>
      <w:r w:rsidR="002E3B62" w:rsidRPr="003D1E07">
        <w:rPr>
          <w:rStyle w:val="Zkladntext184"/>
          <w:rFonts w:ascii="Calibri" w:eastAsia="Times" w:hAnsi="Calibri" w:cs="Times New Roman"/>
          <w:color w:val="auto"/>
          <w:spacing w:val="0"/>
          <w:sz w:val="24"/>
          <w:lang w:val="cs-CZ"/>
        </w:rPr>
        <w:t>Averroes</w:t>
      </w:r>
      <w:r w:rsidR="00B80CC5" w:rsidRPr="003D1E07">
        <w:rPr>
          <w:rStyle w:val="Zkladntext184"/>
          <w:rFonts w:ascii="Calibri" w:eastAsia="Times" w:hAnsi="Calibri" w:cs="Times New Roman"/>
          <w:color w:val="auto"/>
          <w:spacing w:val="0"/>
          <w:sz w:val="24"/>
          <w:lang w:val="cs-CZ"/>
        </w:rPr>
        <w:t xml:space="preserve"> by řekl, že </w:t>
      </w:r>
      <w:r w:rsidR="005D03D9" w:rsidRPr="003D1E07">
        <w:rPr>
          <w:rStyle w:val="Zkladntext184"/>
          <w:rFonts w:ascii="Calibri" w:eastAsia="Times" w:hAnsi="Calibri" w:cs="Times New Roman"/>
          <w:color w:val="auto"/>
          <w:spacing w:val="0"/>
          <w:sz w:val="24"/>
          <w:lang w:val="cs-CZ"/>
        </w:rPr>
        <w:t>kartezi</w:t>
      </w:r>
      <w:r w:rsidR="00B80CC5" w:rsidRPr="003D1E07">
        <w:rPr>
          <w:rStyle w:val="Zkladntext184"/>
          <w:rFonts w:ascii="Calibri" w:eastAsia="Times" w:hAnsi="Calibri" w:cs="Times New Roman"/>
          <w:color w:val="auto"/>
          <w:spacing w:val="0"/>
          <w:sz w:val="24"/>
          <w:lang w:val="cs-CZ"/>
        </w:rPr>
        <w:t>ánští obje</w:t>
      </w:r>
      <w:r w:rsidR="00326035" w:rsidRPr="003D1E07">
        <w:rPr>
          <w:rStyle w:val="Zkladntext184"/>
          <w:rFonts w:ascii="Calibri" w:eastAsia="Times" w:hAnsi="Calibri" w:cs="Times New Roman"/>
          <w:color w:val="auto"/>
          <w:spacing w:val="0"/>
          <w:sz w:val="24"/>
          <w:lang w:val="cs-CZ"/>
        </w:rPr>
        <w:t>k</w:t>
      </w:r>
      <w:r w:rsidR="00B80CC5" w:rsidRPr="003D1E07">
        <w:rPr>
          <w:rStyle w:val="Zkladntext184"/>
          <w:rFonts w:ascii="Calibri" w:eastAsia="Times" w:hAnsi="Calibri" w:cs="Times New Roman"/>
          <w:color w:val="auto"/>
          <w:spacing w:val="0"/>
          <w:sz w:val="24"/>
          <w:lang w:val="cs-CZ"/>
        </w:rPr>
        <w:t xml:space="preserve">tivisté </w:t>
      </w:r>
      <w:r w:rsidR="0087700F" w:rsidRPr="003D1E07">
        <w:rPr>
          <w:rStyle w:val="Zkladntext184"/>
          <w:rFonts w:ascii="Calibri" w:eastAsia="Times" w:hAnsi="Calibri" w:cs="Times New Roman"/>
          <w:color w:val="auto"/>
          <w:spacing w:val="0"/>
          <w:sz w:val="24"/>
          <w:lang w:val="cs-CZ"/>
        </w:rPr>
        <w:t xml:space="preserve">nejsou schopni náhledu do metafyzického </w:t>
      </w:r>
      <w:r w:rsidR="0087700F" w:rsidRPr="003D1E07">
        <w:rPr>
          <w:rStyle w:val="Zkladntext184"/>
          <w:rFonts w:ascii="Calibri" w:eastAsia="Times" w:hAnsi="Calibri" w:cs="Times New Roman"/>
          <w:i/>
          <w:color w:val="auto"/>
          <w:spacing w:val="0"/>
          <w:sz w:val="24"/>
          <w:lang w:val="cs-CZ"/>
        </w:rPr>
        <w:t>proportio</w:t>
      </w:r>
      <w:r w:rsidR="00EC7BF7" w:rsidRPr="003D1E07">
        <w:rPr>
          <w:rStyle w:val="Zkladntext184"/>
          <w:rFonts w:ascii="Calibri" w:eastAsia="Times" w:hAnsi="Calibri" w:cs="Times New Roman"/>
          <w:i/>
          <w:color w:val="auto"/>
          <w:spacing w:val="0"/>
          <w:sz w:val="24"/>
          <w:lang w:val="cs-CZ"/>
        </w:rPr>
        <w:fldChar w:fldCharType="begin"/>
      </w:r>
      <w:r w:rsidR="00EC7BF7" w:rsidRPr="003D1E07">
        <w:instrText xml:space="preserve"> XE "</w:instrText>
      </w:r>
      <w:r w:rsidR="00EC7BF7" w:rsidRPr="003D1E07">
        <w:rPr>
          <w:rStyle w:val="Zkladntext184"/>
          <w:rFonts w:ascii="Calibri" w:eastAsia="Times" w:hAnsi="Calibri" w:cs="Times New Roman"/>
          <w:color w:val="auto"/>
          <w:spacing w:val="0"/>
          <w:sz w:val="24"/>
          <w:lang w:val="cs-CZ"/>
        </w:rPr>
        <w:instrText>pravda:</w:instrText>
      </w:r>
      <w:r w:rsidR="00EC7BF7" w:rsidRPr="003D1E07">
        <w:rPr>
          <w:rStyle w:val="Zkladntext184"/>
          <w:rFonts w:ascii="Calibri" w:eastAsia="Times" w:hAnsi="Calibri" w:cs="Times New Roman"/>
          <w:i/>
          <w:color w:val="auto"/>
          <w:spacing w:val="0"/>
          <w:sz w:val="24"/>
          <w:lang w:val="cs-CZ"/>
        </w:rPr>
        <w:instrText>proportio</w:instrText>
      </w:r>
      <w:r w:rsidR="00EC7BF7" w:rsidRPr="003D1E07">
        <w:instrText xml:space="preserve">" </w:instrText>
      </w:r>
      <w:r w:rsidR="00EC7BF7" w:rsidRPr="003D1E07">
        <w:rPr>
          <w:rStyle w:val="Zkladntext184"/>
          <w:rFonts w:ascii="Calibri" w:eastAsia="Times" w:hAnsi="Calibri" w:cs="Times New Roman"/>
          <w:i/>
          <w:color w:val="auto"/>
          <w:spacing w:val="0"/>
          <w:sz w:val="24"/>
          <w:lang w:val="cs-CZ"/>
        </w:rPr>
        <w:fldChar w:fldCharType="end"/>
      </w:r>
      <w:r w:rsidR="0087700F" w:rsidRPr="003D1E07">
        <w:rPr>
          <w:rStyle w:val="Zkladntext184"/>
          <w:rFonts w:ascii="Calibri" w:eastAsia="Times" w:hAnsi="Calibri" w:cs="Times New Roman"/>
          <w:color w:val="auto"/>
          <w:spacing w:val="0"/>
          <w:sz w:val="24"/>
          <w:lang w:val="cs-CZ"/>
        </w:rPr>
        <w:t xml:space="preserve">, které určuje </w:t>
      </w:r>
      <w:r w:rsidR="08A00F96" w:rsidRPr="003D1E07">
        <w:rPr>
          <w:rStyle w:val="Zkladntext184"/>
          <w:rFonts w:ascii="Calibri" w:eastAsia="Times" w:hAnsi="Calibri" w:cs="Times New Roman"/>
          <w:color w:val="auto"/>
          <w:spacing w:val="0"/>
          <w:sz w:val="24"/>
          <w:lang w:val="cs-CZ"/>
        </w:rPr>
        <w:t xml:space="preserve">skrze </w:t>
      </w:r>
      <w:r w:rsidR="08E22F7A" w:rsidRPr="003D1E07">
        <w:t xml:space="preserve">metafyzický </w:t>
      </w:r>
      <w:r w:rsidR="08A00F96" w:rsidRPr="003D1E07">
        <w:rPr>
          <w:rStyle w:val="Zkladntext184"/>
          <w:rFonts w:ascii="Calibri" w:eastAsia="Times" w:hAnsi="Calibri" w:cs="Times New Roman"/>
          <w:color w:val="auto"/>
          <w:spacing w:val="0"/>
          <w:sz w:val="24"/>
          <w:lang w:val="cs-CZ"/>
        </w:rPr>
        <w:t xml:space="preserve">dativ </w:t>
      </w:r>
      <w:r w:rsidR="0087700F" w:rsidRPr="003D1E07">
        <w:rPr>
          <w:rStyle w:val="Zkladntext184"/>
          <w:rFonts w:ascii="Calibri" w:eastAsia="Times" w:hAnsi="Calibri" w:cs="Times New Roman"/>
          <w:color w:val="auto"/>
          <w:spacing w:val="0"/>
          <w:sz w:val="24"/>
          <w:lang w:val="cs-CZ"/>
        </w:rPr>
        <w:t xml:space="preserve">celkovou </w:t>
      </w:r>
      <w:r w:rsidR="00653FED" w:rsidRPr="003D1E07">
        <w:rPr>
          <w:rStyle w:val="Zkladntext184"/>
          <w:rFonts w:ascii="Calibri" w:eastAsia="Times" w:hAnsi="Calibri" w:cs="Times New Roman"/>
          <w:color w:val="auto"/>
          <w:spacing w:val="0"/>
          <w:sz w:val="24"/>
          <w:lang w:val="cs-CZ"/>
        </w:rPr>
        <w:t xml:space="preserve">predikaci </w:t>
      </w:r>
      <w:r w:rsidR="0087700F" w:rsidRPr="003D1E07">
        <w:rPr>
          <w:rStyle w:val="Zkladntext184"/>
          <w:rFonts w:ascii="Calibri" w:eastAsia="Times" w:hAnsi="Calibri" w:cs="Times New Roman"/>
          <w:color w:val="auto"/>
          <w:spacing w:val="0"/>
          <w:sz w:val="24"/>
          <w:lang w:val="cs-CZ"/>
        </w:rPr>
        <w:t>smyslu jsoucího</w:t>
      </w:r>
      <w:r w:rsidR="00D230CF" w:rsidRPr="003D1E07">
        <w:rPr>
          <w:rStyle w:val="Zkladntext184"/>
          <w:rFonts w:ascii="Calibri" w:eastAsia="Times" w:hAnsi="Calibri" w:cs="Times New Roman"/>
          <w:color w:val="auto"/>
          <w:spacing w:val="0"/>
          <w:sz w:val="24"/>
          <w:lang w:val="cs-CZ"/>
        </w:rPr>
        <w:t xml:space="preserve"> vztaženou</w:t>
      </w:r>
      <w:r w:rsidR="008260DC" w:rsidRPr="003D1E07">
        <w:rPr>
          <w:rStyle w:val="Zkladntext184"/>
          <w:rFonts w:ascii="Calibri" w:eastAsia="Times" w:hAnsi="Calibri" w:cs="Times New Roman"/>
          <w:color w:val="auto"/>
          <w:spacing w:val="0"/>
          <w:sz w:val="24"/>
          <w:lang w:val="cs-CZ"/>
        </w:rPr>
        <w:t xml:space="preserve"> k jednotě </w:t>
      </w:r>
      <w:r w:rsidR="08AB785B" w:rsidRPr="003D1E07">
        <w:rPr>
          <w:rStyle w:val="Zkladntext184"/>
          <w:rFonts w:ascii="Calibri" w:eastAsia="Times" w:hAnsi="Calibri" w:cs="Times New Roman"/>
          <w:color w:val="auto"/>
          <w:spacing w:val="0"/>
          <w:sz w:val="24"/>
          <w:lang w:val="cs-CZ"/>
        </w:rPr>
        <w:t xml:space="preserve">reálného </w:t>
      </w:r>
      <w:r w:rsidR="008260DC" w:rsidRPr="003D1E07">
        <w:rPr>
          <w:rStyle w:val="Zkladntext184"/>
          <w:rFonts w:ascii="Calibri" w:eastAsia="Times" w:hAnsi="Calibri" w:cs="Times New Roman"/>
          <w:color w:val="auto"/>
          <w:spacing w:val="0"/>
          <w:sz w:val="24"/>
          <w:lang w:val="cs-CZ"/>
        </w:rPr>
        <w:t>bytí</w:t>
      </w:r>
      <w:r w:rsidR="08AB785B" w:rsidRPr="003D1E07">
        <w:rPr>
          <w:rStyle w:val="Zkladntext184"/>
          <w:rFonts w:ascii="Calibri" w:eastAsia="Times" w:hAnsi="Calibri" w:cs="Times New Roman"/>
          <w:color w:val="auto"/>
          <w:spacing w:val="0"/>
          <w:sz w:val="24"/>
          <w:lang w:val="cs-CZ"/>
        </w:rPr>
        <w:t xml:space="preserve"> věcí v přírodě</w:t>
      </w:r>
      <w:r w:rsidR="0087700F" w:rsidRPr="003D1E07">
        <w:rPr>
          <w:rStyle w:val="Zkladntext184"/>
          <w:rFonts w:ascii="Calibri" w:eastAsia="Times" w:hAnsi="Calibri" w:cs="Times New Roman"/>
          <w:color w:val="auto"/>
          <w:spacing w:val="0"/>
          <w:sz w:val="24"/>
          <w:lang w:val="cs-CZ"/>
        </w:rPr>
        <w:t xml:space="preserve">. </w:t>
      </w:r>
      <w:r w:rsidR="080B5ADA" w:rsidRPr="003D1E07">
        <w:rPr>
          <w:rStyle w:val="Zkladntext184"/>
          <w:rFonts w:ascii="Calibri" w:eastAsia="Times" w:hAnsi="Calibri" w:cs="Times New Roman"/>
          <w:color w:val="auto"/>
          <w:spacing w:val="0"/>
          <w:sz w:val="24"/>
          <w:lang w:val="cs-CZ"/>
        </w:rPr>
        <w:t>V</w:t>
      </w:r>
      <w:r w:rsidR="08711D7B" w:rsidRPr="003D1E07">
        <w:rPr>
          <w:rStyle w:val="Zkladntext184"/>
          <w:rFonts w:ascii="Calibri" w:eastAsia="Times" w:hAnsi="Calibri" w:cs="Times New Roman"/>
          <w:color w:val="auto"/>
          <w:spacing w:val="0"/>
          <w:sz w:val="24"/>
          <w:lang w:val="cs-CZ"/>
        </w:rPr>
        <w:t xml:space="preserve">idění avicennovské metafyziky aktualizovalo myšlení latinské moderny v rámci </w:t>
      </w:r>
      <w:r w:rsidR="08711D7B" w:rsidRPr="003D1E07">
        <w:rPr>
          <w:rStyle w:val="Zkladntext184"/>
          <w:rFonts w:ascii="Calibri" w:eastAsia="Times" w:hAnsi="Calibri" w:cs="Times New Roman"/>
          <w:i/>
          <w:color w:val="auto"/>
          <w:spacing w:val="0"/>
          <w:sz w:val="24"/>
          <w:lang w:val="cs-CZ"/>
        </w:rPr>
        <w:t>Oxfordian Fallacy</w:t>
      </w:r>
      <w:r w:rsidR="085A6C15" w:rsidRPr="003D1E07">
        <w:rPr>
          <w:rStyle w:val="Zkladntext184"/>
          <w:rFonts w:ascii="Calibri" w:eastAsia="Times" w:hAnsi="Calibri" w:cs="Times New Roman"/>
          <w:i/>
          <w:color w:val="auto"/>
          <w:spacing w:val="0"/>
          <w:sz w:val="24"/>
          <w:lang w:val="cs-CZ"/>
        </w:rPr>
        <w:fldChar w:fldCharType="begin"/>
      </w:r>
      <w:r w:rsidR="085A6C15" w:rsidRPr="003D1E07">
        <w:instrText xml:space="preserve"> XE "</w:instrText>
      </w:r>
      <w:r w:rsidR="085A6C15" w:rsidRPr="003D1E07">
        <w:rPr>
          <w:rStyle w:val="Zkladntext184"/>
          <w:rFonts w:ascii="Calibri" w:eastAsia="Times" w:hAnsi="Calibri" w:cs="Times New Roman"/>
          <w:i/>
          <w:color w:val="auto"/>
          <w:spacing w:val="0"/>
          <w:sz w:val="24"/>
          <w:lang w:val="cs-CZ"/>
        </w:rPr>
        <w:instrText>Oxfordian Fallacy</w:instrText>
      </w:r>
      <w:r w:rsidR="085A6C15" w:rsidRPr="003D1E07">
        <w:instrText xml:space="preserve">" </w:instrText>
      </w:r>
      <w:r w:rsidR="085A6C15" w:rsidRPr="003D1E07">
        <w:rPr>
          <w:rStyle w:val="Zkladntext184"/>
          <w:rFonts w:ascii="Calibri" w:eastAsia="Times" w:hAnsi="Calibri" w:cs="Times New Roman"/>
          <w:i/>
          <w:color w:val="auto"/>
          <w:spacing w:val="0"/>
          <w:sz w:val="24"/>
          <w:lang w:val="cs-CZ"/>
        </w:rPr>
        <w:fldChar w:fldCharType="end"/>
      </w:r>
      <w:r w:rsidR="08133908" w:rsidRPr="003D1E07">
        <w:rPr>
          <w:rStyle w:val="Zkladntext184"/>
          <w:rFonts w:ascii="Calibri" w:eastAsia="Times" w:hAnsi="Calibri" w:cs="Times New Roman"/>
          <w:color w:val="auto"/>
          <w:spacing w:val="0"/>
          <w:sz w:val="24"/>
          <w:lang w:val="cs-CZ"/>
        </w:rPr>
        <w:t xml:space="preserve">, která ustavila koncept objektivity. </w:t>
      </w:r>
      <w:r w:rsidR="08240C34" w:rsidRPr="003D1E07">
        <w:rPr>
          <w:rStyle w:val="Zkladntext184"/>
          <w:rFonts w:ascii="Calibri" w:eastAsia="Times" w:hAnsi="Calibri" w:cs="Times New Roman"/>
          <w:color w:val="auto"/>
          <w:spacing w:val="0"/>
          <w:sz w:val="24"/>
          <w:lang w:val="cs-CZ"/>
        </w:rPr>
        <w:t xml:space="preserve">Totalitní hnutí se dvěma světovými válkami přišlo až na konci druhého milénia i s ničením světa skrze globální oteplování a vituální svět dluhů daných </w:t>
      </w:r>
      <w:r w:rsidR="08240C34" w:rsidRPr="003D1E07">
        <w:rPr>
          <w:rStyle w:val="Zkladntext184"/>
          <w:rFonts w:ascii="Calibri" w:eastAsia="Times" w:hAnsi="Calibri" w:cs="Times New Roman"/>
          <w:i/>
          <w:color w:val="auto"/>
          <w:spacing w:val="0"/>
          <w:sz w:val="24"/>
          <w:lang w:val="cs-CZ"/>
        </w:rPr>
        <w:t>ex nihilo</w:t>
      </w:r>
      <w:r w:rsidR="08240C34" w:rsidRPr="003D1E07">
        <w:rPr>
          <w:rStyle w:val="Zkladntext184"/>
          <w:rFonts w:ascii="Calibri" w:eastAsia="Times" w:hAnsi="Calibri" w:cs="Times New Roman"/>
          <w:color w:val="auto"/>
          <w:spacing w:val="0"/>
          <w:sz w:val="24"/>
          <w:lang w:val="cs-CZ"/>
        </w:rPr>
        <w:t xml:space="preserve"> skrze finanční deriváty</w:t>
      </w:r>
      <w:r w:rsidR="08240C34" w:rsidRPr="003D1E07">
        <w:fldChar w:fldCharType="begin"/>
      </w:r>
      <w:r w:rsidR="08240C34" w:rsidRPr="003D1E07">
        <w:instrText xml:space="preserve"> XE "finanční deriváty" </w:instrText>
      </w:r>
      <w:r w:rsidR="08240C34" w:rsidRPr="003D1E07">
        <w:fldChar w:fldCharType="end"/>
      </w:r>
      <w:r w:rsidR="08240C34" w:rsidRPr="003D1E07">
        <w:rPr>
          <w:rStyle w:val="Zkladntext184"/>
          <w:rFonts w:ascii="Calibri" w:eastAsia="Times" w:hAnsi="Calibri" w:cs="Times New Roman"/>
          <w:color w:val="auto"/>
          <w:spacing w:val="0"/>
          <w:sz w:val="24"/>
          <w:lang w:val="cs-CZ"/>
        </w:rPr>
        <w:t xml:space="preserve">. Postmoderna vedená objektivitou v modu </w:t>
      </w:r>
      <w:r w:rsidR="08240C34" w:rsidRPr="003D1E07">
        <w:rPr>
          <w:rStyle w:val="Zkladntext184"/>
          <w:rFonts w:ascii="Calibri" w:eastAsia="Times" w:hAnsi="Calibri" w:cs="Times New Roman"/>
          <w:i/>
          <w:color w:val="auto"/>
          <w:spacing w:val="0"/>
          <w:sz w:val="24"/>
          <w:lang w:val="cs-CZ"/>
        </w:rPr>
        <w:t>Irrtum</w:t>
      </w:r>
      <w:r w:rsidR="08240C34" w:rsidRPr="003D1E07">
        <w:rPr>
          <w:rStyle w:val="Zkladntext184"/>
          <w:rFonts w:ascii="Calibri" w:eastAsia="Times" w:hAnsi="Calibri" w:cs="Times New Roman"/>
          <w:color w:val="auto"/>
          <w:spacing w:val="0"/>
          <w:sz w:val="24"/>
          <w:lang w:val="cs-CZ"/>
        </w:rPr>
        <w:t xml:space="preserve"> nyní vstoupila do epochy antropocénu</w:t>
      </w:r>
      <w:r w:rsidR="08240C34" w:rsidRPr="003D1E07">
        <w:rPr>
          <w:rStyle w:val="Zkladntext184"/>
          <w:rFonts w:ascii="Calibri" w:eastAsia="Times" w:hAnsi="Calibri" w:cs="Times New Roman"/>
          <w:color w:val="auto"/>
          <w:spacing w:val="0"/>
          <w:sz w:val="24"/>
          <w:lang w:val="cs-CZ"/>
        </w:rPr>
        <w:fldChar w:fldCharType="begin"/>
      </w:r>
      <w:r w:rsidR="08240C34" w:rsidRPr="003D1E07">
        <w:instrText xml:space="preserve"> XE "</w:instrText>
      </w:r>
      <w:r w:rsidR="08240C34" w:rsidRPr="003D1E07">
        <w:rPr>
          <w:rStyle w:val="Zkladntext184"/>
          <w:rFonts w:ascii="Calibri" w:eastAsia="Times" w:hAnsi="Calibri" w:cs="Times New Roman"/>
          <w:color w:val="auto"/>
          <w:spacing w:val="0"/>
          <w:sz w:val="24"/>
          <w:lang w:val="cs-CZ"/>
        </w:rPr>
        <w:instrText>antropocén</w:instrText>
      </w:r>
      <w:r w:rsidR="08240C34" w:rsidRPr="003D1E07">
        <w:instrText xml:space="preserve">" </w:instrText>
      </w:r>
      <w:r w:rsidR="08240C34" w:rsidRPr="003D1E07">
        <w:rPr>
          <w:rStyle w:val="Zkladntext184"/>
          <w:rFonts w:ascii="Calibri" w:eastAsia="Times" w:hAnsi="Calibri" w:cs="Times New Roman"/>
          <w:color w:val="auto"/>
          <w:spacing w:val="0"/>
          <w:sz w:val="24"/>
          <w:lang w:val="cs-CZ"/>
        </w:rPr>
        <w:fldChar w:fldCharType="end"/>
      </w:r>
      <w:r w:rsidR="08240C34" w:rsidRPr="003D1E07">
        <w:rPr>
          <w:rStyle w:val="Zkladntext184"/>
          <w:rFonts w:ascii="Calibri" w:eastAsia="Times" w:hAnsi="Calibri" w:cs="Times New Roman"/>
          <w:color w:val="auto"/>
          <w:spacing w:val="0"/>
          <w:sz w:val="24"/>
          <w:lang w:val="cs-CZ"/>
        </w:rPr>
        <w:t xml:space="preserve">, který se stal opravdovou noční i denní můrou celého lidstva. </w:t>
      </w:r>
      <w:r w:rsidR="08BB4B84" w:rsidRPr="003D1E07">
        <w:rPr>
          <w:rStyle w:val="Zkladntext184"/>
          <w:rFonts w:ascii="Calibri" w:eastAsia="Times" w:hAnsi="Calibri" w:cs="Times New Roman"/>
          <w:color w:val="auto"/>
          <w:spacing w:val="0"/>
          <w:sz w:val="24"/>
          <w:lang w:val="cs-CZ"/>
        </w:rPr>
        <w:t xml:space="preserve">Podle kritického metafyzika Averroese poznání začíná v přírodě a od smyslů. </w:t>
      </w:r>
      <w:r w:rsidR="08717BD7" w:rsidRPr="003D1E07">
        <w:rPr>
          <w:rStyle w:val="Zkladntext184"/>
          <w:rFonts w:ascii="Calibri" w:eastAsia="Times" w:hAnsi="Calibri" w:cs="Times New Roman"/>
          <w:color w:val="auto"/>
          <w:spacing w:val="0"/>
          <w:sz w:val="24"/>
          <w:lang w:val="cs-CZ"/>
        </w:rPr>
        <w:t xml:space="preserve">Avicennovi a moderně stačí k plnosti poznání </w:t>
      </w:r>
      <w:r w:rsidR="08501AC4" w:rsidRPr="003D1E07">
        <w:rPr>
          <w:rStyle w:val="Zkladntext184"/>
          <w:rFonts w:ascii="Calibri" w:eastAsia="Times" w:hAnsi="Calibri" w:cs="Times New Roman"/>
          <w:color w:val="auto"/>
          <w:spacing w:val="0"/>
          <w:sz w:val="24"/>
          <w:lang w:val="cs-CZ"/>
        </w:rPr>
        <w:t xml:space="preserve">univerzální esence nebo </w:t>
      </w:r>
      <w:r w:rsidR="08717BD7" w:rsidRPr="003D1E07">
        <w:rPr>
          <w:rStyle w:val="Zkladntext184"/>
          <w:rFonts w:ascii="Calibri" w:eastAsia="Times" w:hAnsi="Calibri" w:cs="Times New Roman"/>
          <w:color w:val="auto"/>
          <w:spacing w:val="0"/>
          <w:sz w:val="24"/>
          <w:lang w:val="cs-CZ"/>
        </w:rPr>
        <w:t>matematika</w:t>
      </w:r>
      <w:r w:rsidR="08717BD7" w:rsidRPr="003D1E07">
        <w:rPr>
          <w:rStyle w:val="Zkladntext184"/>
          <w:rFonts w:ascii="Calibri" w:eastAsia="Times" w:hAnsi="Calibri" w:cs="Times New Roman"/>
          <w:color w:val="auto"/>
          <w:spacing w:val="0"/>
          <w:sz w:val="24"/>
          <w:lang w:val="cs-CZ"/>
        </w:rPr>
        <w:fldChar w:fldCharType="begin"/>
      </w:r>
      <w:r w:rsidR="08717BD7" w:rsidRPr="003D1E07">
        <w:instrText xml:space="preserve"> XE "matematika" </w:instrText>
      </w:r>
      <w:r w:rsidR="08717BD7" w:rsidRPr="003D1E07">
        <w:rPr>
          <w:rStyle w:val="Zkladntext184"/>
          <w:rFonts w:ascii="Calibri" w:eastAsia="Times" w:hAnsi="Calibri" w:cs="Times New Roman"/>
          <w:color w:val="auto"/>
          <w:spacing w:val="0"/>
          <w:sz w:val="24"/>
          <w:lang w:val="cs-CZ"/>
        </w:rPr>
        <w:fldChar w:fldCharType="end"/>
      </w:r>
      <w:r w:rsidR="08717BD7" w:rsidRPr="003D1E07">
        <w:rPr>
          <w:rStyle w:val="Zkladntext184"/>
          <w:rFonts w:ascii="Calibri" w:eastAsia="Times" w:hAnsi="Calibri" w:cs="Times New Roman"/>
          <w:color w:val="auto"/>
          <w:spacing w:val="0"/>
          <w:sz w:val="24"/>
          <w:lang w:val="cs-CZ"/>
        </w:rPr>
        <w:t xml:space="preserve"> </w:t>
      </w:r>
      <w:r w:rsidR="08501AC4" w:rsidRPr="003D1E07">
        <w:rPr>
          <w:rStyle w:val="Zkladntext184"/>
          <w:rFonts w:ascii="Calibri" w:eastAsia="Times" w:hAnsi="Calibri" w:cs="Times New Roman"/>
          <w:color w:val="auto"/>
          <w:spacing w:val="0"/>
          <w:sz w:val="24"/>
          <w:lang w:val="cs-CZ"/>
        </w:rPr>
        <w:t xml:space="preserve">dané </w:t>
      </w:r>
      <w:r w:rsidR="08717BD7" w:rsidRPr="003D1E07">
        <w:rPr>
          <w:rStyle w:val="Zkladntext184"/>
          <w:rFonts w:ascii="Calibri" w:eastAsia="Times" w:hAnsi="Calibri" w:cs="Times New Roman"/>
          <w:color w:val="auto"/>
          <w:spacing w:val="0"/>
          <w:sz w:val="24"/>
          <w:lang w:val="cs-CZ"/>
        </w:rPr>
        <w:t xml:space="preserve">nasvícením intelektu zezadu od světa ideálních forem. </w:t>
      </w:r>
      <w:r w:rsidR="0898134A" w:rsidRPr="003D1E07">
        <w:rPr>
          <w:rStyle w:val="Zkladntext184"/>
          <w:rFonts w:ascii="Calibri" w:eastAsia="Times" w:hAnsi="Calibri" w:cs="Times New Roman"/>
          <w:color w:val="auto"/>
          <w:spacing w:val="0"/>
          <w:sz w:val="24"/>
          <w:lang w:val="cs-CZ"/>
        </w:rPr>
        <w:t>Myšlení modernistů tehdejší falsafy determinovalo latinskou modernu a karteziánskou postmodernu</w:t>
      </w:r>
      <w:r w:rsidR="0898134A" w:rsidRPr="003D1E07">
        <w:rPr>
          <w:rStyle w:val="Zkladntext184"/>
          <w:rFonts w:ascii="Calibri" w:eastAsia="Times" w:hAnsi="Calibri" w:cs="Times New Roman"/>
          <w:i/>
          <w:color w:val="auto"/>
          <w:spacing w:val="0"/>
          <w:sz w:val="24"/>
          <w:lang w:val="cs-CZ"/>
        </w:rPr>
        <w:fldChar w:fldCharType="begin"/>
      </w:r>
      <w:r w:rsidR="0898134A" w:rsidRPr="003D1E07">
        <w:instrText xml:space="preserve"> XE "intelekt:paranoický" </w:instrText>
      </w:r>
      <w:r w:rsidR="0898134A" w:rsidRPr="003D1E07">
        <w:rPr>
          <w:rStyle w:val="Zkladntext184"/>
          <w:rFonts w:ascii="Calibri" w:eastAsia="Times" w:hAnsi="Calibri" w:cs="Times New Roman"/>
          <w:i/>
          <w:color w:val="auto"/>
          <w:spacing w:val="0"/>
          <w:sz w:val="24"/>
          <w:lang w:val="cs-CZ"/>
        </w:rPr>
        <w:fldChar w:fldCharType="end"/>
      </w:r>
      <w:r w:rsidR="0898134A" w:rsidRPr="003D1E07">
        <w:rPr>
          <w:rStyle w:val="Zkladntext184"/>
          <w:rFonts w:ascii="Calibri" w:eastAsia="Times" w:hAnsi="Calibri" w:cs="Times New Roman"/>
          <w:color w:val="auto"/>
          <w:spacing w:val="0"/>
          <w:sz w:val="24"/>
          <w:lang w:val="cs-CZ"/>
        </w:rPr>
        <w:t xml:space="preserve">. </w:t>
      </w:r>
      <w:r w:rsidR="08E17993" w:rsidRPr="003D1E07">
        <w:t xml:space="preserve">Astronom Kant přechází od </w:t>
      </w:r>
      <w:r w:rsidR="08E17993" w:rsidRPr="003D1E07">
        <w:rPr>
          <w:rStyle w:val="Zkladntext184"/>
          <w:rFonts w:ascii="Calibri" w:eastAsia="Times" w:hAnsi="Calibri" w:cs="Times New Roman"/>
          <w:color w:val="auto"/>
          <w:spacing w:val="0"/>
          <w:sz w:val="24"/>
          <w:lang w:val="cs-CZ"/>
        </w:rPr>
        <w:t xml:space="preserve">fyziky k metafyzice, stejně jako Averroes. </w:t>
      </w:r>
      <w:r w:rsidR="009819B4" w:rsidRPr="003D1E07">
        <w:rPr>
          <w:rStyle w:val="Zkladntext184"/>
          <w:rFonts w:ascii="Calibri" w:eastAsia="Times" w:hAnsi="Calibri" w:cs="Times New Roman"/>
          <w:color w:val="auto"/>
          <w:spacing w:val="0"/>
          <w:sz w:val="24"/>
          <w:lang w:val="cs-CZ"/>
        </w:rPr>
        <w:t>Kant opravil podobným způsobem postmodernu Huma a Leibnize v dialektice transcendentálního zdání (</w:t>
      </w:r>
      <w:r w:rsidR="009819B4" w:rsidRPr="003D1E07">
        <w:rPr>
          <w:i/>
        </w:rPr>
        <w:t>Vom transzendentalen Schein</w:t>
      </w:r>
      <w:r w:rsidR="009819B4" w:rsidRPr="003D1E07">
        <w:t>, KdRV B 308‒310</w:t>
      </w:r>
      <w:r w:rsidR="006D5881" w:rsidRPr="003D1E07">
        <w:fldChar w:fldCharType="begin"/>
      </w:r>
      <w:r w:rsidR="006D5881" w:rsidRPr="003D1E07">
        <w:instrText xml:space="preserve"> XE "Kant:KdRV B 308‒310" </w:instrText>
      </w:r>
      <w:r w:rsidR="006D5881" w:rsidRPr="003D1E07">
        <w:fldChar w:fldCharType="end"/>
      </w:r>
      <w:r w:rsidR="009819B4" w:rsidRPr="003D1E07">
        <w:t xml:space="preserve">). </w:t>
      </w:r>
      <w:r w:rsidR="008F3C8A" w:rsidRPr="003D1E07">
        <w:rPr>
          <w:rStyle w:val="Zkladntext184"/>
          <w:rFonts w:ascii="Calibri" w:eastAsia="Times" w:hAnsi="Calibri" w:cs="Times New Roman"/>
          <w:color w:val="auto"/>
          <w:spacing w:val="0"/>
          <w:sz w:val="24"/>
          <w:lang w:val="cs-CZ"/>
        </w:rPr>
        <w:t xml:space="preserve">Podle </w:t>
      </w:r>
      <w:r w:rsidR="08B16CDB" w:rsidRPr="003D1E07">
        <w:rPr>
          <w:rStyle w:val="Zkladntext184"/>
          <w:rFonts w:ascii="Calibri" w:eastAsia="Times" w:hAnsi="Calibri" w:cs="Times New Roman"/>
          <w:color w:val="auto"/>
          <w:spacing w:val="0"/>
          <w:sz w:val="24"/>
          <w:lang w:val="cs-CZ"/>
        </w:rPr>
        <w:t>postmode</w:t>
      </w:r>
      <w:r w:rsidR="08BB4B84" w:rsidRPr="003D1E07">
        <w:rPr>
          <w:rStyle w:val="Zkladntext184"/>
          <w:rFonts w:ascii="Calibri" w:eastAsia="Times" w:hAnsi="Calibri" w:cs="Times New Roman"/>
          <w:color w:val="auto"/>
          <w:spacing w:val="0"/>
          <w:sz w:val="24"/>
          <w:lang w:val="cs-CZ"/>
        </w:rPr>
        <w:t>r</w:t>
      </w:r>
      <w:r w:rsidR="08B16CDB" w:rsidRPr="003D1E07">
        <w:rPr>
          <w:rStyle w:val="Zkladntext184"/>
          <w:rFonts w:ascii="Calibri" w:eastAsia="Times" w:hAnsi="Calibri" w:cs="Times New Roman"/>
          <w:color w:val="auto"/>
          <w:spacing w:val="0"/>
          <w:sz w:val="24"/>
          <w:lang w:val="cs-CZ"/>
        </w:rPr>
        <w:t xml:space="preserve">ního </w:t>
      </w:r>
      <w:r w:rsidR="008F3C8A" w:rsidRPr="003D1E07">
        <w:rPr>
          <w:rStyle w:val="Zkladntext184"/>
          <w:rFonts w:ascii="Calibri" w:eastAsia="Times" w:hAnsi="Calibri" w:cs="Times New Roman"/>
          <w:color w:val="auto"/>
          <w:spacing w:val="0"/>
          <w:sz w:val="24"/>
          <w:lang w:val="cs-CZ"/>
        </w:rPr>
        <w:t xml:space="preserve">Kanta </w:t>
      </w:r>
      <w:r w:rsidR="006D5881" w:rsidRPr="003D1E07">
        <w:fldChar w:fldCharType="begin"/>
      </w:r>
      <w:r w:rsidR="006D5881" w:rsidRPr="003D1E07">
        <w:instrText xml:space="preserve"> XE "Kant, I." </w:instrText>
      </w:r>
      <w:r w:rsidR="006D5881" w:rsidRPr="003D1E07">
        <w:fldChar w:fldCharType="end"/>
      </w:r>
      <w:r w:rsidR="008F3C8A" w:rsidRPr="003D1E07">
        <w:rPr>
          <w:rStyle w:val="Zkladntext184"/>
          <w:rFonts w:ascii="Calibri" w:eastAsia="Times" w:hAnsi="Calibri" w:cs="Times New Roman"/>
          <w:color w:val="auto"/>
          <w:spacing w:val="0"/>
          <w:sz w:val="24"/>
          <w:lang w:val="cs-CZ"/>
        </w:rPr>
        <w:t>je rozmysl (</w:t>
      </w:r>
      <w:r w:rsidR="008F3C8A" w:rsidRPr="003D1E07">
        <w:rPr>
          <w:rStyle w:val="Zkladntext184"/>
          <w:rFonts w:ascii="Calibri" w:eastAsia="Times" w:hAnsi="Calibri" w:cs="Times New Roman"/>
          <w:i/>
          <w:color w:val="auto"/>
          <w:spacing w:val="0"/>
          <w:sz w:val="24"/>
          <w:lang w:val="cs-CZ"/>
        </w:rPr>
        <w:t>Verstand</w:t>
      </w:r>
      <w:r w:rsidR="008F3C8A" w:rsidRPr="003D1E07">
        <w:rPr>
          <w:rStyle w:val="Zkladntext184"/>
          <w:rFonts w:ascii="Calibri" w:eastAsia="Times" w:hAnsi="Calibri" w:cs="Times New Roman"/>
          <w:color w:val="auto"/>
          <w:spacing w:val="0"/>
          <w:sz w:val="24"/>
          <w:lang w:val="cs-CZ"/>
        </w:rPr>
        <w:t>) nasvícen</w:t>
      </w:r>
      <w:r w:rsidR="0092666C" w:rsidRPr="003D1E07">
        <w:rPr>
          <w:rStyle w:val="Zkladntext184"/>
          <w:rFonts w:ascii="Calibri" w:eastAsia="Times" w:hAnsi="Calibri" w:cs="Times New Roman"/>
          <w:color w:val="auto"/>
          <w:spacing w:val="0"/>
          <w:sz w:val="24"/>
          <w:lang w:val="cs-CZ"/>
        </w:rPr>
        <w:t xml:space="preserve"> zepředu od smyslů (</w:t>
      </w:r>
      <w:r w:rsidR="0092666C" w:rsidRPr="003D1E07">
        <w:rPr>
          <w:rStyle w:val="st"/>
          <w:bCs/>
          <w:i/>
        </w:rPr>
        <w:t>transzendentale Ästhetik</w:t>
      </w:r>
      <w:r w:rsidR="08894E42" w:rsidRPr="003D1E07">
        <w:rPr>
          <w:rStyle w:val="Zkladntext184"/>
          <w:rFonts w:ascii="Calibri" w:eastAsia="Times" w:hAnsi="Calibri" w:cs="Times New Roman"/>
          <w:color w:val="auto"/>
          <w:spacing w:val="0"/>
          <w:sz w:val="24"/>
          <w:lang w:val="cs-CZ"/>
        </w:rPr>
        <w:t>). Ale Kant definuje p</w:t>
      </w:r>
      <w:r w:rsidR="0092666C" w:rsidRPr="003D1E07">
        <w:rPr>
          <w:rStyle w:val="Zkladntext184"/>
          <w:rFonts w:ascii="Calibri" w:eastAsia="Times" w:hAnsi="Calibri" w:cs="Times New Roman"/>
          <w:color w:val="auto"/>
          <w:spacing w:val="0"/>
          <w:sz w:val="24"/>
          <w:lang w:val="cs-CZ"/>
        </w:rPr>
        <w:t xml:space="preserve">roces abstrakce </w:t>
      </w:r>
      <w:r w:rsidR="08CE6EC5" w:rsidRPr="003D1E07">
        <w:rPr>
          <w:rStyle w:val="Zkladntext184"/>
          <w:rFonts w:ascii="Calibri" w:eastAsia="Times" w:hAnsi="Calibri" w:cs="Times New Roman"/>
          <w:color w:val="auto"/>
          <w:spacing w:val="0"/>
          <w:sz w:val="24"/>
          <w:lang w:val="cs-CZ"/>
        </w:rPr>
        <w:t xml:space="preserve">na základě </w:t>
      </w:r>
      <w:r w:rsidR="08CE6EC5" w:rsidRPr="003D1E07">
        <w:rPr>
          <w:rStyle w:val="Zkladntext184"/>
          <w:rFonts w:ascii="Calibri" w:eastAsia="Times" w:hAnsi="Calibri" w:cs="Times New Roman"/>
          <w:color w:val="auto"/>
          <w:spacing w:val="0"/>
          <w:sz w:val="24"/>
          <w:lang w:val="cs-CZ"/>
        </w:rPr>
        <w:lastRenderedPageBreak/>
        <w:t>avicen</w:t>
      </w:r>
      <w:r w:rsidR="08CE4DE3" w:rsidRPr="003D1E07">
        <w:rPr>
          <w:rStyle w:val="Zkladntext184"/>
          <w:rFonts w:ascii="Calibri" w:eastAsia="Times" w:hAnsi="Calibri" w:cs="Times New Roman"/>
          <w:color w:val="auto"/>
          <w:spacing w:val="0"/>
          <w:sz w:val="24"/>
          <w:lang w:val="cs-CZ"/>
        </w:rPr>
        <w:t xml:space="preserve">nistických vrozených principů. Kantovy kategorie </w:t>
      </w:r>
      <w:r w:rsidR="08003A20" w:rsidRPr="003D1E07">
        <w:rPr>
          <w:rStyle w:val="Zkladntext184"/>
          <w:rFonts w:ascii="Calibri" w:eastAsia="Times" w:hAnsi="Calibri" w:cs="Times New Roman"/>
          <w:color w:val="auto"/>
          <w:spacing w:val="0"/>
          <w:sz w:val="24"/>
          <w:lang w:val="cs-CZ"/>
        </w:rPr>
        <w:t>(</w:t>
      </w:r>
      <w:r w:rsidR="08003A20" w:rsidRPr="003D1E07">
        <w:rPr>
          <w:rStyle w:val="Zkladntext184"/>
          <w:rFonts w:ascii="Calibri" w:eastAsia="Times" w:hAnsi="Calibri" w:cs="Times New Roman"/>
          <w:i/>
          <w:color w:val="auto"/>
          <w:spacing w:val="0"/>
          <w:sz w:val="24"/>
          <w:lang w:val="cs-CZ"/>
        </w:rPr>
        <w:t>Kategorien der transzendentalen Logik</w:t>
      </w:r>
      <w:r w:rsidR="08003A20" w:rsidRPr="003D1E07">
        <w:rPr>
          <w:rStyle w:val="Zkladntext184"/>
          <w:rFonts w:ascii="Calibri" w:eastAsia="Times" w:hAnsi="Calibri" w:cs="Times New Roman"/>
          <w:color w:val="auto"/>
          <w:spacing w:val="0"/>
          <w:sz w:val="24"/>
          <w:lang w:val="cs-CZ"/>
        </w:rPr>
        <w:t xml:space="preserve">) představují </w:t>
      </w:r>
      <w:r w:rsidR="08CE4DE3" w:rsidRPr="003D1E07">
        <w:rPr>
          <w:rStyle w:val="Zkladntext184"/>
          <w:rFonts w:ascii="Calibri" w:eastAsia="Times" w:hAnsi="Calibri" w:cs="Times New Roman"/>
          <w:color w:val="auto"/>
          <w:spacing w:val="0"/>
          <w:sz w:val="24"/>
          <w:lang w:val="cs-CZ"/>
        </w:rPr>
        <w:t>aprior</w:t>
      </w:r>
      <w:r w:rsidR="08003A20" w:rsidRPr="003D1E07">
        <w:rPr>
          <w:rStyle w:val="Zkladntext184"/>
          <w:rFonts w:ascii="Calibri" w:eastAsia="Times" w:hAnsi="Calibri" w:cs="Times New Roman"/>
          <w:color w:val="auto"/>
          <w:spacing w:val="0"/>
          <w:sz w:val="24"/>
          <w:lang w:val="cs-CZ"/>
        </w:rPr>
        <w:t xml:space="preserve">ní formu Avicennova </w:t>
      </w:r>
      <w:r w:rsidR="00754CB6">
        <w:rPr>
          <w:rStyle w:val="Zkladntext184"/>
          <w:rFonts w:ascii="Calibri" w:eastAsia="Times" w:hAnsi="Calibri" w:cs="Times New Roman"/>
          <w:color w:val="auto"/>
          <w:spacing w:val="0"/>
          <w:sz w:val="24"/>
          <w:lang w:val="cs-CZ"/>
        </w:rPr>
        <w:t xml:space="preserve">hypostázovaného </w:t>
      </w:r>
      <w:r w:rsidR="08003A20" w:rsidRPr="003D1E07">
        <w:rPr>
          <w:rStyle w:val="Zkladntext184"/>
          <w:rFonts w:ascii="Calibri" w:eastAsia="Times" w:hAnsi="Calibri" w:cs="Times New Roman"/>
          <w:i/>
          <w:color w:val="auto"/>
          <w:spacing w:val="0"/>
          <w:sz w:val="24"/>
          <w:lang w:val="cs-CZ"/>
        </w:rPr>
        <w:t>intellectus in</w:t>
      </w:r>
      <w:r w:rsidR="00B800B9">
        <w:rPr>
          <w:rStyle w:val="Zkladntext184"/>
          <w:rFonts w:ascii="Calibri" w:eastAsia="Times" w:hAnsi="Calibri" w:cs="Times New Roman"/>
          <w:i/>
          <w:color w:val="auto"/>
          <w:spacing w:val="0"/>
          <w:sz w:val="24"/>
          <w:lang w:val="cs-CZ"/>
        </w:rPr>
        <w:t xml:space="preserve"> habitu</w:t>
      </w:r>
      <w:r w:rsidR="00B800B9">
        <w:rPr>
          <w:rStyle w:val="Zkladntext184"/>
          <w:rFonts w:ascii="Calibri" w:eastAsia="Times" w:hAnsi="Calibri" w:cs="Times New Roman"/>
          <w:i/>
          <w:color w:val="auto"/>
          <w:spacing w:val="0"/>
          <w:sz w:val="24"/>
          <w:lang w:val="cs-CZ"/>
        </w:rPr>
        <w:fldChar w:fldCharType="begin"/>
      </w:r>
      <w:r w:rsidR="00B800B9">
        <w:instrText xml:space="preserve"> XE "</w:instrText>
      </w:r>
      <w:r w:rsidR="00B800B9" w:rsidRPr="00F53DE4">
        <w:rPr>
          <w:rStyle w:val="Zkladntext184"/>
          <w:rFonts w:ascii="Calibri" w:eastAsia="Times" w:hAnsi="Calibri" w:cs="Times New Roman"/>
          <w:i/>
          <w:color w:val="auto"/>
          <w:spacing w:val="0"/>
          <w:sz w:val="24"/>
          <w:lang w:val="cs-CZ"/>
        </w:rPr>
        <w:instrText>intellectus in habitu</w:instrText>
      </w:r>
      <w:r w:rsidR="00B800B9">
        <w:instrText xml:space="preserve">" </w:instrText>
      </w:r>
      <w:r w:rsidR="00B800B9">
        <w:rPr>
          <w:rStyle w:val="Zkladntext184"/>
          <w:rFonts w:ascii="Calibri" w:eastAsia="Times" w:hAnsi="Calibri" w:cs="Times New Roman"/>
          <w:i/>
          <w:color w:val="auto"/>
          <w:spacing w:val="0"/>
          <w:sz w:val="24"/>
          <w:lang w:val="cs-CZ"/>
        </w:rPr>
        <w:fldChar w:fldCharType="end"/>
      </w:r>
      <w:r w:rsidR="08003A20" w:rsidRPr="003D1E07">
        <w:rPr>
          <w:rStyle w:val="Zkladntext184"/>
          <w:rFonts w:ascii="Calibri" w:eastAsia="Times" w:hAnsi="Calibri" w:cs="Times New Roman"/>
          <w:color w:val="auto"/>
          <w:spacing w:val="0"/>
          <w:sz w:val="24"/>
          <w:lang w:val="cs-CZ"/>
        </w:rPr>
        <w:t xml:space="preserve">. </w:t>
      </w:r>
      <w:r w:rsidR="08E53413" w:rsidRPr="003D1E07">
        <w:rPr>
          <w:rStyle w:val="Zkladntext184"/>
          <w:rFonts w:ascii="Calibri" w:eastAsia="Times" w:hAnsi="Calibri" w:cs="Times New Roman"/>
          <w:color w:val="auto"/>
          <w:spacing w:val="0"/>
          <w:sz w:val="24"/>
          <w:lang w:val="cs-CZ"/>
        </w:rPr>
        <w:t>Kant se vrátil k pojetí Druhého mistra</w:t>
      </w:r>
      <w:r w:rsidR="089E673E" w:rsidRPr="003D1E07">
        <w:rPr>
          <w:rStyle w:val="Zkladntext184"/>
          <w:rFonts w:ascii="Calibri" w:eastAsia="Times" w:hAnsi="Calibri" w:cs="Times New Roman"/>
          <w:color w:val="auto"/>
          <w:spacing w:val="0"/>
          <w:sz w:val="24"/>
          <w:lang w:val="cs-CZ"/>
        </w:rPr>
        <w:t xml:space="preserve"> a vytvořil objektivní poznání světa syntézou objektivně </w:t>
      </w:r>
      <w:r w:rsidR="08E53413" w:rsidRPr="003D1E07">
        <w:rPr>
          <w:rStyle w:val="Zkladntext184"/>
          <w:rFonts w:ascii="Calibri" w:eastAsia="Times" w:hAnsi="Calibri" w:cs="Times New Roman"/>
          <w:color w:val="auto"/>
          <w:spacing w:val="0"/>
          <w:sz w:val="24"/>
          <w:lang w:val="cs-CZ"/>
        </w:rPr>
        <w:t xml:space="preserve">spekulativního Leibnize a čisté </w:t>
      </w:r>
      <w:r w:rsidR="089E673E" w:rsidRPr="003D1E07">
        <w:rPr>
          <w:rStyle w:val="Zkladntext184"/>
          <w:rFonts w:ascii="Calibri" w:eastAsia="Times" w:hAnsi="Calibri" w:cs="Times New Roman"/>
          <w:color w:val="auto"/>
          <w:spacing w:val="0"/>
          <w:sz w:val="24"/>
          <w:lang w:val="cs-CZ"/>
        </w:rPr>
        <w:t xml:space="preserve">objektivní </w:t>
      </w:r>
      <w:r w:rsidR="08E53413" w:rsidRPr="003D1E07">
        <w:rPr>
          <w:rStyle w:val="Zkladntext184"/>
          <w:rFonts w:ascii="Calibri" w:eastAsia="Times" w:hAnsi="Calibri" w:cs="Times New Roman"/>
          <w:color w:val="auto"/>
          <w:spacing w:val="0"/>
          <w:sz w:val="24"/>
          <w:lang w:val="cs-CZ"/>
        </w:rPr>
        <w:t>empirie Huma</w:t>
      </w:r>
      <w:r w:rsidR="00A543B8" w:rsidRPr="003D1E07">
        <w:rPr>
          <w:rStyle w:val="Zkladntext184"/>
          <w:rFonts w:ascii="Calibri" w:eastAsia="Times" w:hAnsi="Calibri" w:cs="Times New Roman"/>
          <w:color w:val="auto"/>
          <w:spacing w:val="0"/>
          <w:sz w:val="24"/>
          <w:lang w:val="cs-CZ"/>
        </w:rPr>
        <w:t xml:space="preserve">. </w:t>
      </w:r>
      <w:r w:rsidR="003B671A" w:rsidRPr="003D1E07">
        <w:rPr>
          <w:rStyle w:val="Zkladntext184"/>
          <w:rFonts w:ascii="Calibri" w:eastAsia="Times" w:hAnsi="Calibri" w:cs="Times New Roman"/>
          <w:color w:val="auto"/>
          <w:spacing w:val="0"/>
          <w:sz w:val="24"/>
          <w:lang w:val="cs-CZ"/>
        </w:rPr>
        <w:t>P</w:t>
      </w:r>
      <w:r w:rsidR="08A76D26" w:rsidRPr="003D1E07">
        <w:t>ojetí jednoty</w:t>
      </w:r>
      <w:r w:rsidR="083C571B" w:rsidRPr="003D1E07">
        <w:t xml:space="preserve"> intelektu </w:t>
      </w:r>
      <w:r w:rsidR="083C571B" w:rsidRPr="003D1E07">
        <w:rPr>
          <w:rStyle w:val="Zkladntext184"/>
          <w:rFonts w:ascii="Calibri" w:eastAsia="Times" w:hAnsi="Calibri" w:cs="Times New Roman"/>
          <w:color w:val="auto"/>
          <w:spacing w:val="0"/>
          <w:sz w:val="24"/>
          <w:lang w:val="cs-CZ"/>
        </w:rPr>
        <w:t>dané</w:t>
      </w:r>
      <w:r w:rsidR="086127CB" w:rsidRPr="003D1E07">
        <w:rPr>
          <w:rStyle w:val="Zkladntext184"/>
          <w:rFonts w:ascii="Calibri" w:eastAsia="Times" w:hAnsi="Calibri" w:cs="Times New Roman"/>
          <w:color w:val="auto"/>
          <w:spacing w:val="0"/>
          <w:sz w:val="24"/>
          <w:lang w:val="cs-CZ"/>
        </w:rPr>
        <w:t xml:space="preserve"> nasvícením zepředu </w:t>
      </w:r>
      <w:r w:rsidR="008E0EE3" w:rsidRPr="003D1E07">
        <w:rPr>
          <w:rStyle w:val="Zkladntext184"/>
          <w:rFonts w:ascii="Calibri" w:eastAsia="Times" w:hAnsi="Calibri" w:cs="Times New Roman"/>
          <w:color w:val="auto"/>
          <w:spacing w:val="0"/>
          <w:sz w:val="24"/>
          <w:lang w:val="cs-CZ"/>
        </w:rPr>
        <w:t xml:space="preserve">podle CMDA </w:t>
      </w:r>
      <w:r w:rsidR="0093066E" w:rsidRPr="003D1E07">
        <w:rPr>
          <w:rStyle w:val="Zkladntext184"/>
          <w:rFonts w:ascii="Calibri" w:eastAsia="Times" w:hAnsi="Calibri" w:cs="Times New Roman"/>
          <w:color w:val="auto"/>
          <w:spacing w:val="0"/>
          <w:sz w:val="24"/>
          <w:lang w:val="cs-CZ"/>
        </w:rPr>
        <w:t>byl</w:t>
      </w:r>
      <w:r w:rsidR="083C571B" w:rsidRPr="003D1E07">
        <w:rPr>
          <w:rStyle w:val="Zkladntext184"/>
          <w:rFonts w:ascii="Calibri" w:eastAsia="Times" w:hAnsi="Calibri" w:cs="Times New Roman"/>
          <w:color w:val="auto"/>
          <w:spacing w:val="0"/>
          <w:sz w:val="24"/>
          <w:lang w:val="cs-CZ"/>
        </w:rPr>
        <w:t>o</w:t>
      </w:r>
      <w:r w:rsidR="0093066E" w:rsidRPr="003D1E07">
        <w:rPr>
          <w:rStyle w:val="Zkladntext184"/>
          <w:rFonts w:ascii="Calibri" w:eastAsia="Times" w:hAnsi="Calibri" w:cs="Times New Roman"/>
          <w:color w:val="auto"/>
          <w:spacing w:val="0"/>
          <w:sz w:val="24"/>
          <w:lang w:val="cs-CZ"/>
        </w:rPr>
        <w:t xml:space="preserve"> zapomenut</w:t>
      </w:r>
      <w:r w:rsidR="083C571B" w:rsidRPr="003D1E07">
        <w:rPr>
          <w:rStyle w:val="Zkladntext184"/>
          <w:rFonts w:ascii="Calibri" w:eastAsia="Times" w:hAnsi="Calibri" w:cs="Times New Roman"/>
          <w:color w:val="auto"/>
          <w:spacing w:val="0"/>
          <w:sz w:val="24"/>
          <w:lang w:val="cs-CZ"/>
        </w:rPr>
        <w:t>o</w:t>
      </w:r>
      <w:r w:rsidR="08DC3844" w:rsidRPr="003D1E07">
        <w:rPr>
          <w:rStyle w:val="Zkladntext184"/>
          <w:rFonts w:ascii="Calibri" w:eastAsia="Times" w:hAnsi="Calibri" w:cs="Times New Roman"/>
          <w:color w:val="auto"/>
          <w:spacing w:val="0"/>
          <w:sz w:val="24"/>
          <w:lang w:val="cs-CZ"/>
        </w:rPr>
        <w:t xml:space="preserve"> v rámci </w:t>
      </w:r>
      <w:r w:rsidR="00A26F3D" w:rsidRPr="003D1E07">
        <w:rPr>
          <w:rStyle w:val="Zkladntext184"/>
          <w:rFonts w:ascii="Calibri" w:eastAsia="Times" w:hAnsi="Calibri" w:cs="Times New Roman"/>
          <w:color w:val="auto"/>
          <w:spacing w:val="0"/>
          <w:sz w:val="24"/>
          <w:lang w:val="cs-CZ"/>
        </w:rPr>
        <w:t xml:space="preserve">specifické </w:t>
      </w:r>
      <w:r w:rsidR="08DC3844" w:rsidRPr="003D1E07">
        <w:rPr>
          <w:rStyle w:val="Zkladntext184"/>
          <w:rFonts w:ascii="Calibri" w:eastAsia="Times" w:hAnsi="Calibri" w:cs="Times New Roman"/>
          <w:i/>
          <w:color w:val="auto"/>
          <w:spacing w:val="0"/>
          <w:sz w:val="24"/>
          <w:lang w:val="cs-CZ"/>
        </w:rPr>
        <w:t>Seinsvergesse</w:t>
      </w:r>
      <w:r w:rsidR="007C0616" w:rsidRPr="003D1E07">
        <w:rPr>
          <w:rStyle w:val="Zkladntext184"/>
          <w:rFonts w:ascii="Calibri" w:eastAsia="Times" w:hAnsi="Calibri" w:cs="Times New Roman"/>
          <w:i/>
          <w:color w:val="auto"/>
          <w:spacing w:val="0"/>
          <w:sz w:val="24"/>
          <w:lang w:val="cs-CZ"/>
        </w:rPr>
        <w:t>n</w:t>
      </w:r>
      <w:r w:rsidR="08DC3844" w:rsidRPr="003D1E07">
        <w:rPr>
          <w:rStyle w:val="Zkladntext184"/>
          <w:rFonts w:ascii="Calibri" w:eastAsia="Times" w:hAnsi="Calibri" w:cs="Times New Roman"/>
          <w:i/>
          <w:color w:val="auto"/>
          <w:spacing w:val="0"/>
          <w:sz w:val="24"/>
          <w:lang w:val="cs-CZ"/>
        </w:rPr>
        <w:t>heit</w:t>
      </w:r>
      <w:r w:rsidR="006B6782" w:rsidRPr="003D1E07">
        <w:rPr>
          <w:rStyle w:val="Zkladntext184"/>
          <w:rFonts w:ascii="Calibri" w:eastAsia="Times" w:hAnsi="Calibri" w:cs="Times New Roman"/>
          <w:i/>
          <w:color w:val="auto"/>
          <w:spacing w:val="0"/>
          <w:sz w:val="24"/>
          <w:lang w:val="cs-CZ"/>
        </w:rPr>
        <w:fldChar w:fldCharType="begin"/>
      </w:r>
      <w:r w:rsidR="006B6782" w:rsidRPr="003D1E07">
        <w:instrText xml:space="preserve"> XE "</w:instrText>
      </w:r>
      <w:r w:rsidR="006B6782" w:rsidRPr="003D1E07">
        <w:rPr>
          <w:i/>
        </w:rPr>
        <w:instrText>Seinsvergesse</w:instrText>
      </w:r>
      <w:r w:rsidR="007C0616" w:rsidRPr="003D1E07">
        <w:rPr>
          <w:i/>
        </w:rPr>
        <w:instrText>n</w:instrText>
      </w:r>
      <w:r w:rsidR="006B6782" w:rsidRPr="003D1E07">
        <w:rPr>
          <w:i/>
        </w:rPr>
        <w:instrText>heit</w:instrText>
      </w:r>
      <w:r w:rsidR="006B6782" w:rsidRPr="003D1E07">
        <w:instrText xml:space="preserve">" </w:instrText>
      </w:r>
      <w:r w:rsidR="006B6782" w:rsidRPr="003D1E07">
        <w:rPr>
          <w:rStyle w:val="Zkladntext184"/>
          <w:rFonts w:ascii="Calibri" w:eastAsia="Times" w:hAnsi="Calibri" w:cs="Times New Roman"/>
          <w:i/>
          <w:color w:val="auto"/>
          <w:spacing w:val="0"/>
          <w:sz w:val="24"/>
          <w:lang w:val="cs-CZ"/>
        </w:rPr>
        <w:fldChar w:fldCharType="end"/>
      </w:r>
      <w:r w:rsidR="08BE0516" w:rsidRPr="003D1E07">
        <w:rPr>
          <w:rStyle w:val="Zkladntext184"/>
          <w:rFonts w:ascii="Calibri" w:eastAsia="Times" w:hAnsi="Calibri" w:cs="Times New Roman"/>
          <w:color w:val="auto"/>
          <w:spacing w:val="0"/>
          <w:sz w:val="24"/>
          <w:lang w:val="cs-CZ"/>
        </w:rPr>
        <w:t xml:space="preserve">. První vytěsnění reality provedla </w:t>
      </w:r>
      <w:r w:rsidR="00A26F3D" w:rsidRPr="003D1E07">
        <w:rPr>
          <w:rStyle w:val="Zkladntext184"/>
          <w:rFonts w:ascii="Calibri" w:eastAsia="Times" w:hAnsi="Calibri" w:cs="Times New Roman"/>
          <w:color w:val="auto"/>
          <w:spacing w:val="0"/>
          <w:sz w:val="24"/>
          <w:lang w:val="cs-CZ"/>
        </w:rPr>
        <w:t>avicennovská metafyzika skrze zatmění první substance</w:t>
      </w:r>
      <w:r w:rsidR="083C571B" w:rsidRPr="003D1E07">
        <w:rPr>
          <w:rStyle w:val="Zkladntext184"/>
          <w:rFonts w:ascii="Calibri" w:eastAsia="Times" w:hAnsi="Calibri" w:cs="Times New Roman"/>
          <w:color w:val="auto"/>
          <w:spacing w:val="0"/>
          <w:sz w:val="24"/>
          <w:lang w:val="cs-CZ"/>
        </w:rPr>
        <w:t>.</w:t>
      </w:r>
      <w:r w:rsidR="080B5ADA" w:rsidRPr="003D1E07">
        <w:rPr>
          <w:rStyle w:val="Zkladntext184"/>
          <w:rFonts w:ascii="Calibri" w:eastAsia="Times" w:hAnsi="Calibri" w:cs="Times New Roman"/>
          <w:color w:val="auto"/>
          <w:spacing w:val="0"/>
          <w:sz w:val="24"/>
          <w:lang w:val="cs-CZ"/>
        </w:rPr>
        <w:t xml:space="preserve"> </w:t>
      </w:r>
      <w:r w:rsidR="08653E86" w:rsidRPr="003D1E07">
        <w:t xml:space="preserve">Zatím není jasné, jak byla Averroesova forma </w:t>
      </w:r>
      <w:r w:rsidR="08653E86" w:rsidRPr="003D1E07">
        <w:rPr>
          <w:i/>
        </w:rPr>
        <w:t>intellectus possibilis</w:t>
      </w:r>
      <w:r w:rsidR="08653E86" w:rsidRPr="003D1E07">
        <w:t xml:space="preserve"> v dějinách filosofie interpretována podle latinského avicennismu</w:t>
      </w:r>
      <w:r w:rsidR="08653E86" w:rsidRPr="003D1E07">
        <w:fldChar w:fldCharType="begin"/>
      </w:r>
      <w:r w:rsidR="08653E86" w:rsidRPr="003D1E07">
        <w:instrText xml:space="preserve"> XE "latinský avicennismus" </w:instrText>
      </w:r>
      <w:r w:rsidR="08653E86" w:rsidRPr="003D1E07">
        <w:fldChar w:fldCharType="end"/>
      </w:r>
      <w:r w:rsidR="08653E86" w:rsidRPr="003D1E07">
        <w:t xml:space="preserve">. S tím souvisí i </w:t>
      </w:r>
      <w:r w:rsidR="080E5533" w:rsidRPr="003D1E07">
        <w:t xml:space="preserve">výše uvedená </w:t>
      </w:r>
      <w:r w:rsidR="00CD0082" w:rsidRPr="003D1E07">
        <w:t xml:space="preserve">úvodní </w:t>
      </w:r>
      <w:r w:rsidR="08653E86" w:rsidRPr="003D1E07">
        <w:t xml:space="preserve">otázka, totiž jak se stal </w:t>
      </w:r>
      <w:r w:rsidR="009F3FEB" w:rsidRPr="003D1E07">
        <w:t xml:space="preserve">slavný Komentátor </w:t>
      </w:r>
      <w:r w:rsidR="08653E86" w:rsidRPr="003D1E07">
        <w:t xml:space="preserve">kolem 1250 latinským </w:t>
      </w:r>
      <w:r w:rsidR="009F3FEB" w:rsidRPr="003D1E07">
        <w:t>„pohanem“ a „averroistou“</w:t>
      </w:r>
      <w:r w:rsidR="08653E86" w:rsidRPr="003D1E07">
        <w:t xml:space="preserve">. Na to odpoví až </w:t>
      </w:r>
      <w:r w:rsidR="080E5533" w:rsidRPr="003D1E07">
        <w:t xml:space="preserve">druhý díl hermeneutiky </w:t>
      </w:r>
      <w:r w:rsidR="08653E86" w:rsidRPr="003D1E07">
        <w:t>sledující vývoj metafyziky na latinském Západě.</w:t>
      </w:r>
    </w:p>
    <w:p w14:paraId="34A27147" w14:textId="4051E9A7" w:rsidR="00A70AB6" w:rsidRPr="003D1E07" w:rsidRDefault="00175919" w:rsidP="08D96339">
      <w:pPr>
        <w:pStyle w:val="Nadpis3"/>
        <w:rPr>
          <w:rStyle w:val="Zkladntext184"/>
          <w:rFonts w:ascii="Calibri" w:eastAsia="Times" w:hAnsi="Calibri" w:cs="Times New Roman"/>
          <w:color w:val="auto"/>
          <w:spacing w:val="0"/>
          <w:sz w:val="24"/>
          <w:lang w:val="cs-CZ"/>
        </w:rPr>
      </w:pPr>
      <w:r w:rsidRPr="003D1E07">
        <w:rPr>
          <w:rStyle w:val="Zkladntext184"/>
          <w:rFonts w:ascii="Calibri" w:eastAsia="Times" w:hAnsi="Calibri" w:cs="Times New Roman"/>
          <w:color w:val="auto"/>
          <w:spacing w:val="0"/>
          <w:sz w:val="24"/>
          <w:lang w:val="cs-CZ"/>
        </w:rPr>
        <w:br w:type="page"/>
      </w:r>
      <w:bookmarkStart w:id="69" w:name="_Toc93747286"/>
      <w:bookmarkStart w:id="70" w:name="_Toc102906176"/>
      <w:r w:rsidR="00E0726E" w:rsidRPr="003D1E07">
        <w:rPr>
          <w:rStyle w:val="Zkladntext184"/>
          <w:rFonts w:ascii="Calibri" w:eastAsia="Times" w:hAnsi="Calibri" w:cs="Times New Roman"/>
          <w:color w:val="auto"/>
          <w:spacing w:val="0"/>
          <w:sz w:val="24"/>
          <w:lang w:val="cs-CZ"/>
        </w:rPr>
        <w:lastRenderedPageBreak/>
        <w:t>2.4</w:t>
      </w:r>
      <w:r w:rsidR="08EF1EF8" w:rsidRPr="003D1E07">
        <w:rPr>
          <w:rStyle w:val="Zkladntext184"/>
          <w:rFonts w:ascii="Calibri" w:eastAsia="Times" w:hAnsi="Calibri" w:cs="Times New Roman"/>
          <w:color w:val="auto"/>
          <w:spacing w:val="0"/>
          <w:sz w:val="24"/>
          <w:lang w:val="cs-CZ"/>
        </w:rPr>
        <w:t>.4 Diafanum a svět</w:t>
      </w:r>
      <w:r w:rsidR="0840213C" w:rsidRPr="003D1E07">
        <w:rPr>
          <w:rStyle w:val="Zkladntext184"/>
          <w:rFonts w:ascii="Calibri" w:eastAsia="Times" w:hAnsi="Calibri" w:cs="Times New Roman"/>
          <w:color w:val="auto"/>
          <w:spacing w:val="0"/>
          <w:sz w:val="24"/>
          <w:lang w:val="cs-CZ"/>
        </w:rPr>
        <w:t xml:space="preserve"> živ</w:t>
      </w:r>
      <w:r w:rsidR="08DF6FEA" w:rsidRPr="003D1E07">
        <w:rPr>
          <w:rStyle w:val="Zkladntext184"/>
          <w:rFonts w:ascii="Calibri" w:eastAsia="Times" w:hAnsi="Calibri" w:cs="Times New Roman"/>
          <w:color w:val="auto"/>
          <w:spacing w:val="0"/>
          <w:sz w:val="24"/>
          <w:lang w:val="cs-CZ"/>
        </w:rPr>
        <w:t>ota</w:t>
      </w:r>
      <w:bookmarkEnd w:id="69"/>
      <w:bookmarkEnd w:id="70"/>
    </w:p>
    <w:p w14:paraId="2C518B47" w14:textId="77777777" w:rsidR="00914CCB" w:rsidRDefault="00014777" w:rsidP="00F73241">
      <w:r w:rsidRPr="003D1E07">
        <w:rPr>
          <w:rStyle w:val="Zkladntext184"/>
          <w:rFonts w:ascii="Calibri" w:eastAsia="Times" w:hAnsi="Calibri" w:cs="Times New Roman"/>
          <w:color w:val="auto"/>
          <w:spacing w:val="0"/>
          <w:sz w:val="24"/>
          <w:lang w:val="cs-CZ"/>
        </w:rPr>
        <w:t xml:space="preserve">Předešlé kapitoly popsaly, </w:t>
      </w:r>
      <w:r w:rsidR="08DA6041" w:rsidRPr="003D1E07">
        <w:rPr>
          <w:rStyle w:val="Zkladntext184"/>
          <w:rFonts w:ascii="Calibri" w:eastAsia="Times" w:hAnsi="Calibri" w:cs="Times New Roman"/>
          <w:color w:val="auto"/>
          <w:spacing w:val="0"/>
          <w:sz w:val="24"/>
          <w:lang w:val="cs-CZ"/>
        </w:rPr>
        <w:t xml:space="preserve">jaká metafyzika </w:t>
      </w:r>
      <w:r w:rsidR="0090145B" w:rsidRPr="003D1E07">
        <w:t xml:space="preserve">se dává v konceptu </w:t>
      </w:r>
      <w:r w:rsidR="0090145B" w:rsidRPr="003D1E07">
        <w:rPr>
          <w:i/>
        </w:rPr>
        <w:t>intellectus possibilis</w:t>
      </w:r>
      <w:r w:rsidR="0090145B" w:rsidRPr="003D1E07">
        <w:t xml:space="preserve"> a jak </w:t>
      </w:r>
      <w:r w:rsidR="08027EF2" w:rsidRPr="003D1E07">
        <w:t>vznikla</w:t>
      </w:r>
      <w:r w:rsidR="0090145B" w:rsidRPr="003D1E07">
        <w:t xml:space="preserve"> nová forma </w:t>
      </w:r>
      <w:r w:rsidR="00370D9F">
        <w:t xml:space="preserve">intelektu a poznání </w:t>
      </w:r>
      <w:r w:rsidR="0090145B" w:rsidRPr="003D1E07">
        <w:t xml:space="preserve">v rámci </w:t>
      </w:r>
      <w:r w:rsidR="08B77CAA" w:rsidRPr="003D1E07">
        <w:t>Kom</w:t>
      </w:r>
      <w:r w:rsidR="08940A42" w:rsidRPr="003D1E07">
        <w:t>e</w:t>
      </w:r>
      <w:r w:rsidR="08B77CAA" w:rsidRPr="003D1E07">
        <w:t>n</w:t>
      </w:r>
      <w:r w:rsidR="08940A42" w:rsidRPr="003D1E07">
        <w:t xml:space="preserve">tátorova </w:t>
      </w:r>
      <w:r w:rsidR="08DA6041" w:rsidRPr="003D1E07">
        <w:t xml:space="preserve">náhledu na </w:t>
      </w:r>
      <w:r w:rsidR="00F01EC2" w:rsidRPr="003D1E07">
        <w:t>aristotelskou metafyziku</w:t>
      </w:r>
      <w:r w:rsidR="004738EA" w:rsidRPr="003D1E07">
        <w:t xml:space="preserve">. </w:t>
      </w:r>
      <w:r w:rsidR="083C2BAE" w:rsidRPr="003D1E07">
        <w:t xml:space="preserve">Nyní zbývá zjistit, </w:t>
      </w:r>
      <w:r w:rsidR="08F77529" w:rsidRPr="003D1E07">
        <w:t xml:space="preserve">jak předložený typ poznání </w:t>
      </w:r>
      <w:r w:rsidR="00A60318">
        <w:t xml:space="preserve">jako </w:t>
      </w:r>
      <w:r w:rsidR="00A60318" w:rsidRPr="00A60318">
        <w:rPr>
          <w:i/>
        </w:rPr>
        <w:t>tertium genus</w:t>
      </w:r>
      <w:r w:rsidR="00A60318">
        <w:t xml:space="preserve"> v rámci animální identity a lidské ipseity vytváří </w:t>
      </w:r>
      <w:r w:rsidR="083C2BAE" w:rsidRPr="003D1E07">
        <w:t>společný svět živých bytostí</w:t>
      </w:r>
      <w:r w:rsidR="009E73E1">
        <w:t xml:space="preserve"> </w:t>
      </w:r>
      <w:r w:rsidR="009E73E1" w:rsidRPr="00D6314C">
        <w:rPr>
          <w:noProof w:val="0"/>
          <w:lang w:val="fr-FR" w:eastAsia="en-US"/>
        </w:rPr>
        <w:t>(</w:t>
      </w:r>
      <w:r w:rsidR="009E73E1" w:rsidRPr="00D6314C">
        <w:rPr>
          <w:i/>
          <w:noProof w:val="0"/>
          <w:lang w:val="fr-FR" w:eastAsia="en-US"/>
        </w:rPr>
        <w:t>Lebenswelt</w:t>
      </w:r>
      <w:r w:rsidR="009E73E1">
        <w:rPr>
          <w:noProof w:val="0"/>
          <w:lang w:val="fr-FR" w:eastAsia="en-US"/>
        </w:rPr>
        <w:t>)</w:t>
      </w:r>
      <w:r w:rsidR="083C2BAE" w:rsidRPr="003D1E07">
        <w:t xml:space="preserve">. </w:t>
      </w:r>
      <w:r w:rsidR="08284E51" w:rsidRPr="003D1E07">
        <w:rPr>
          <w:rStyle w:val="Zkladntext158dkovn0pt"/>
          <w:color w:val="auto"/>
          <w:spacing w:val="0"/>
          <w:sz w:val="24"/>
          <w:lang w:val="cs-CZ"/>
        </w:rPr>
        <w:t xml:space="preserve">Averroes zakládá </w:t>
      </w:r>
      <w:r w:rsidR="08882F82" w:rsidRPr="003D1E07">
        <w:rPr>
          <w:rStyle w:val="Zkladntext158dkovn0pt"/>
          <w:color w:val="auto"/>
          <w:spacing w:val="0"/>
          <w:sz w:val="24"/>
          <w:lang w:val="cs-CZ"/>
        </w:rPr>
        <w:t xml:space="preserve">metafyziku </w:t>
      </w:r>
      <w:r w:rsidR="00005459">
        <w:rPr>
          <w:rStyle w:val="Zkladntext158dkovn0pt"/>
          <w:color w:val="auto"/>
          <w:spacing w:val="0"/>
          <w:sz w:val="24"/>
          <w:lang w:val="cs-CZ"/>
        </w:rPr>
        <w:t xml:space="preserve">jako </w:t>
      </w:r>
      <w:r w:rsidR="08882F82" w:rsidRPr="003D1E07">
        <w:rPr>
          <w:rStyle w:val="Zkladntext158dkovn0pt"/>
          <w:color w:val="auto"/>
          <w:spacing w:val="0"/>
          <w:sz w:val="24"/>
          <w:lang w:val="cs-CZ"/>
        </w:rPr>
        <w:t>nov</w:t>
      </w:r>
      <w:r w:rsidR="00005459">
        <w:rPr>
          <w:rStyle w:val="Zkladntext158dkovn0pt"/>
          <w:color w:val="auto"/>
          <w:spacing w:val="0"/>
          <w:sz w:val="24"/>
          <w:lang w:val="cs-CZ"/>
        </w:rPr>
        <w:t xml:space="preserve">ý </w:t>
      </w:r>
      <w:r w:rsidR="08284E51" w:rsidRPr="003D1E07">
        <w:rPr>
          <w:rStyle w:val="Zkladntext158dkovn0pt"/>
          <w:i/>
          <w:color w:val="auto"/>
          <w:spacing w:val="0"/>
          <w:sz w:val="24"/>
          <w:lang w:val="cs-CZ"/>
        </w:rPr>
        <w:t>Ereignis</w:t>
      </w:r>
      <w:r w:rsidR="08284E51" w:rsidRPr="003D1E07">
        <w:rPr>
          <w:rStyle w:val="Zkladntext158dkovn0pt"/>
          <w:i/>
          <w:color w:val="auto"/>
          <w:spacing w:val="0"/>
          <w:sz w:val="24"/>
          <w:lang w:val="cs-CZ"/>
        </w:rPr>
        <w:fldChar w:fldCharType="begin"/>
      </w:r>
      <w:r w:rsidR="08284E51" w:rsidRPr="003D1E07">
        <w:instrText xml:space="preserve"> XE "</w:instrText>
      </w:r>
      <w:r w:rsidR="08284E51" w:rsidRPr="003D1E07">
        <w:rPr>
          <w:i/>
        </w:rPr>
        <w:instrText>Ereignis</w:instrText>
      </w:r>
      <w:r w:rsidR="08284E51" w:rsidRPr="003D1E07">
        <w:instrText xml:space="preserve">" </w:instrText>
      </w:r>
      <w:r w:rsidR="08284E51" w:rsidRPr="003D1E07">
        <w:rPr>
          <w:rStyle w:val="Zkladntext158dkovn0pt"/>
          <w:i/>
          <w:color w:val="auto"/>
          <w:spacing w:val="0"/>
          <w:sz w:val="24"/>
          <w:lang w:val="cs-CZ"/>
        </w:rPr>
        <w:fldChar w:fldCharType="end"/>
      </w:r>
      <w:r w:rsidR="08284E51" w:rsidRPr="003D1E07">
        <w:rPr>
          <w:rStyle w:val="Zkladntext158dkovn0pt"/>
          <w:color w:val="auto"/>
          <w:spacing w:val="0"/>
          <w:sz w:val="24"/>
          <w:lang w:val="cs-CZ"/>
        </w:rPr>
        <w:t xml:space="preserve"> </w:t>
      </w:r>
      <w:r w:rsidR="00005459">
        <w:rPr>
          <w:rStyle w:val="Zkladntext158dkovn0pt"/>
          <w:color w:val="auto"/>
          <w:spacing w:val="0"/>
          <w:sz w:val="24"/>
          <w:lang w:val="cs-CZ"/>
        </w:rPr>
        <w:t>myšlení, protože</w:t>
      </w:r>
      <w:r w:rsidR="08284E51" w:rsidRPr="003D1E07">
        <w:rPr>
          <w:rStyle w:val="Zkladntext158dkovn0pt"/>
          <w:color w:val="auto"/>
          <w:spacing w:val="0"/>
          <w:sz w:val="24"/>
          <w:lang w:val="cs-CZ"/>
        </w:rPr>
        <w:t xml:space="preserve"> dává jsoucnu nový smysl</w:t>
      </w:r>
      <w:r w:rsidR="00005459">
        <w:rPr>
          <w:rStyle w:val="Zkladntext158dkovn0pt"/>
          <w:color w:val="auto"/>
          <w:spacing w:val="0"/>
          <w:sz w:val="24"/>
          <w:lang w:val="cs-CZ"/>
        </w:rPr>
        <w:t xml:space="preserve"> a ustavuje nové pojetí pravdy jako adekvace</w:t>
      </w:r>
      <w:r w:rsidR="08284E51" w:rsidRPr="003D1E07">
        <w:rPr>
          <w:rStyle w:val="Zkladntext158dkovn0pt"/>
          <w:color w:val="auto"/>
          <w:spacing w:val="0"/>
          <w:sz w:val="24"/>
          <w:lang w:val="cs-CZ"/>
        </w:rPr>
        <w:t xml:space="preserve">. </w:t>
      </w:r>
      <w:r w:rsidR="00FE2CB4" w:rsidRPr="003D1E07">
        <w:rPr>
          <w:rStyle w:val="Zkladntext158dkovn0pt"/>
          <w:color w:val="auto"/>
          <w:spacing w:val="0"/>
          <w:sz w:val="24"/>
          <w:lang w:val="cs-CZ"/>
        </w:rPr>
        <w:t xml:space="preserve">Intelekt začal adekvátně odpovídat na výzvu reálné substance podle </w:t>
      </w:r>
      <w:r w:rsidR="00FE2CB4" w:rsidRPr="003D1E07">
        <w:t xml:space="preserve">metafyzického </w:t>
      </w:r>
      <w:r w:rsidR="00FE2CB4" w:rsidRPr="003D1E07">
        <w:rPr>
          <w:rStyle w:val="Zkladntext158dkovn0pt"/>
          <w:color w:val="auto"/>
          <w:spacing w:val="0"/>
          <w:sz w:val="24"/>
          <w:lang w:val="cs-CZ"/>
        </w:rPr>
        <w:t xml:space="preserve">dativu. Nasvícení smyslu jsoucího jde od věci k nově definovanému </w:t>
      </w:r>
      <w:r w:rsidR="00FE2CB4" w:rsidRPr="003D1E07">
        <w:rPr>
          <w:rStyle w:val="Zkladntext158dkovn0pt"/>
          <w:i/>
          <w:color w:val="auto"/>
          <w:spacing w:val="0"/>
          <w:sz w:val="24"/>
          <w:lang w:val="cs-CZ"/>
        </w:rPr>
        <w:t>intellectus possibilis</w:t>
      </w:r>
      <w:r w:rsidR="00FE2CB4" w:rsidRPr="003D1E07">
        <w:rPr>
          <w:rStyle w:val="Zkladntext158dkovn0pt"/>
          <w:color w:val="auto"/>
          <w:spacing w:val="0"/>
          <w:sz w:val="24"/>
          <w:lang w:val="cs-CZ"/>
        </w:rPr>
        <w:t>.</w:t>
      </w:r>
      <w:r w:rsidR="008F6124">
        <w:rPr>
          <w:rStyle w:val="Zkladntext158dkovn0pt"/>
          <w:color w:val="auto"/>
          <w:spacing w:val="0"/>
          <w:sz w:val="24"/>
          <w:lang w:val="cs-CZ"/>
        </w:rPr>
        <w:t xml:space="preserve"> </w:t>
      </w:r>
      <w:r w:rsidR="008F6124" w:rsidRPr="003D1E07">
        <w:t xml:space="preserve">Al-Fárábí oddělil poznání od neoplatonského výkladu Alexandrovy </w:t>
      </w:r>
      <w:r w:rsidR="008F6124" w:rsidRPr="003D1E07">
        <w:rPr>
          <w:i/>
        </w:rPr>
        <w:t>De anima</w:t>
      </w:r>
      <w:r w:rsidR="008F6124" w:rsidRPr="003D1E07">
        <w:t xml:space="preserve"> tím, že zavedl mediaci mezi smysly a intelektem skrze diafanum (kap. 2.1.1). Averroes přebral učení svého učitele ohledně diafanum</w:t>
      </w:r>
      <w:r w:rsidR="008F6124" w:rsidRPr="003D1E07">
        <w:rPr>
          <w:i/>
        </w:rPr>
        <w:fldChar w:fldCharType="begin"/>
      </w:r>
      <w:r w:rsidR="008F6124" w:rsidRPr="003D1E07">
        <w:instrText xml:space="preserve"> XE "diafanum:Averroes" </w:instrText>
      </w:r>
      <w:r w:rsidR="008F6124" w:rsidRPr="003D1E07">
        <w:rPr>
          <w:i/>
        </w:rPr>
        <w:fldChar w:fldCharType="end"/>
      </w:r>
      <w:r w:rsidR="008F6124" w:rsidRPr="003D1E07">
        <w:t>, a tím se oddělil od Avicenny a od Ibn Báji (CMDA II.67; pp. 230–36).</w:t>
      </w:r>
      <w:r w:rsidR="008F6124">
        <w:t xml:space="preserve"> </w:t>
      </w:r>
      <w:r w:rsidR="008F6124" w:rsidRPr="003D1E07">
        <w:t xml:space="preserve">Povahu diafanum metodicky </w:t>
      </w:r>
      <w:r w:rsidR="008F6124">
        <w:t xml:space="preserve">proto </w:t>
      </w:r>
      <w:r w:rsidR="008F6124" w:rsidRPr="003D1E07">
        <w:t xml:space="preserve">řešila </w:t>
      </w:r>
      <w:r w:rsidR="008F6124" w:rsidRPr="003D1E07">
        <w:rPr>
          <w:i/>
        </w:rPr>
        <w:t>De anima</w:t>
      </w:r>
      <w:r w:rsidR="008F6124" w:rsidRPr="003D1E07">
        <w:t xml:space="preserve"> a CMDA jako první v řadě. Hermeneutika ji klade až jako poslední problém po vyjasnění povahy intelektu. </w:t>
      </w:r>
      <w:r w:rsidR="008F6124" w:rsidRPr="003D1E07">
        <w:rPr>
          <w:rStyle w:val="Zkladntext158dkovn0pt"/>
          <w:color w:val="auto"/>
          <w:spacing w:val="0"/>
          <w:sz w:val="24"/>
          <w:lang w:val="cs-CZ"/>
        </w:rPr>
        <w:t xml:space="preserve">Objektivní neviditelnost diafanum zakládá </w:t>
      </w:r>
      <w:r w:rsidR="008F6124" w:rsidRPr="003D1E07">
        <w:rPr>
          <w:rStyle w:val="Zkladntext158dkovn0pt"/>
          <w:i/>
          <w:color w:val="auto"/>
          <w:spacing w:val="0"/>
          <w:sz w:val="24"/>
          <w:lang w:val="cs-CZ"/>
        </w:rPr>
        <w:t>Lichtung</w:t>
      </w:r>
      <w:r w:rsidR="008F6124" w:rsidRPr="003D1E07">
        <w:rPr>
          <w:rStyle w:val="Zkladntext158dkovn0pt"/>
          <w:color w:val="auto"/>
          <w:spacing w:val="0"/>
          <w:sz w:val="24"/>
          <w:lang w:val="cs-CZ"/>
        </w:rPr>
        <w:t xml:space="preserve"> pravdy a nepravdy určující následné podoby nové metafyziky. </w:t>
      </w:r>
      <w:r w:rsidR="08B77CAA" w:rsidRPr="003D1E07">
        <w:t>Rozbor diaf</w:t>
      </w:r>
      <w:r w:rsidR="08F50EE6" w:rsidRPr="003D1E07">
        <w:t xml:space="preserve">anum ukazuje na mediaci světla </w:t>
      </w:r>
      <w:r w:rsidR="08B14D48" w:rsidRPr="003D1E07">
        <w:t xml:space="preserve">jednak </w:t>
      </w:r>
      <w:r w:rsidR="08F50EE6" w:rsidRPr="003D1E07">
        <w:t xml:space="preserve">v </w:t>
      </w:r>
      <w:r w:rsidR="08B77CAA" w:rsidRPr="003D1E07">
        <w:t xml:space="preserve">přírodě, </w:t>
      </w:r>
      <w:r w:rsidR="08B14D48" w:rsidRPr="003D1E07">
        <w:t xml:space="preserve">a </w:t>
      </w:r>
      <w:r w:rsidR="08F50EE6" w:rsidRPr="003D1E07">
        <w:t xml:space="preserve">jednak </w:t>
      </w:r>
      <w:r w:rsidR="08B14D48" w:rsidRPr="003D1E07">
        <w:t>od externí věci ke smyslovému</w:t>
      </w:r>
      <w:r w:rsidR="08B77CAA" w:rsidRPr="003D1E07">
        <w:t xml:space="preserve"> pozná</w:t>
      </w:r>
      <w:r w:rsidR="08B14D48" w:rsidRPr="003D1E07">
        <w:t>ní</w:t>
      </w:r>
      <w:r w:rsidR="08B77CAA" w:rsidRPr="003D1E07">
        <w:t xml:space="preserve"> a nakonec </w:t>
      </w:r>
      <w:r w:rsidR="08B14D48" w:rsidRPr="003D1E07">
        <w:t>k čistě inteligibilnímu</w:t>
      </w:r>
      <w:r w:rsidR="08B77CAA" w:rsidRPr="003D1E07">
        <w:t xml:space="preserve"> poznání člověka. </w:t>
      </w:r>
      <w:r w:rsidR="006C7258" w:rsidRPr="003D1E07">
        <w:rPr>
          <w:rStyle w:val="Zkladntext158dkovn0pt"/>
          <w:color w:val="auto"/>
          <w:spacing w:val="0"/>
          <w:sz w:val="24"/>
          <w:lang w:val="cs-CZ"/>
        </w:rPr>
        <w:t xml:space="preserve">Trojím pojetím mediace vzniklo nové vidění světa. </w:t>
      </w:r>
      <w:r w:rsidR="001C33A0" w:rsidRPr="003D1E07">
        <w:t>Z hlediska světla je nejprve aktualizováno prostředí, kterým aktualizovaný paprsek prochází.</w:t>
      </w:r>
      <w:r w:rsidR="00BE24CD" w:rsidRPr="003D1E07">
        <w:t xml:space="preserve"> </w:t>
      </w:r>
      <w:r w:rsidR="0026592A" w:rsidRPr="003D1E07">
        <w:t>Role průsvitného prostředí má</w:t>
      </w:r>
      <w:r w:rsidR="00BE24CD" w:rsidRPr="003D1E07">
        <w:t xml:space="preserve"> p</w:t>
      </w:r>
      <w:r w:rsidR="0026592A" w:rsidRPr="003D1E07">
        <w:t>ro vidění zásadní význam</w:t>
      </w:r>
      <w:r w:rsidR="00252A99" w:rsidRPr="003D1E07">
        <w:t xml:space="preserve">. </w:t>
      </w:r>
      <w:r w:rsidR="00BE24CD" w:rsidRPr="003D1E07">
        <w:t xml:space="preserve">Diafanum je aktualizované </w:t>
      </w:r>
      <w:r w:rsidR="001A681F" w:rsidRPr="003D1E07">
        <w:t xml:space="preserve">slunečním paprskem </w:t>
      </w:r>
      <w:r w:rsidR="00BE24CD" w:rsidRPr="003D1E07">
        <w:t xml:space="preserve">jako první </w:t>
      </w:r>
      <w:r w:rsidR="004A288C" w:rsidRPr="003D1E07">
        <w:t>fenomén</w:t>
      </w:r>
      <w:r w:rsidR="00CB31F1" w:rsidRPr="003D1E07">
        <w:t xml:space="preserve"> vnímání</w:t>
      </w:r>
      <w:r w:rsidR="004F056D">
        <w:t>, kterým se zjevují věci</w:t>
      </w:r>
      <w:r w:rsidR="004A288C" w:rsidRPr="003D1E07">
        <w:t>. Proto je</w:t>
      </w:r>
      <w:r w:rsidR="00BE24CD" w:rsidRPr="003D1E07">
        <w:t xml:space="preserve"> </w:t>
      </w:r>
      <w:r w:rsidR="004A288C" w:rsidRPr="003D1E07">
        <w:t xml:space="preserve">díky této zvláštní </w:t>
      </w:r>
      <w:r w:rsidR="001A681F" w:rsidRPr="003D1E07">
        <w:t xml:space="preserve">receptivitě </w:t>
      </w:r>
      <w:r w:rsidR="00BE24CD" w:rsidRPr="003D1E07">
        <w:t>o</w:t>
      </w:r>
      <w:r w:rsidR="00401373" w:rsidRPr="003D1E07">
        <w:t xml:space="preserve">dlišné od </w:t>
      </w:r>
      <w:r w:rsidR="006148C4" w:rsidRPr="003D1E07">
        <w:t xml:space="preserve">aktivně působícího </w:t>
      </w:r>
      <w:r w:rsidR="00401373" w:rsidRPr="003D1E07">
        <w:t>svě</w:t>
      </w:r>
      <w:r w:rsidR="001A681F" w:rsidRPr="003D1E07">
        <w:t>tla. S</w:t>
      </w:r>
      <w:r w:rsidR="00056C25" w:rsidRPr="003D1E07">
        <w:t xml:space="preserve">větlo </w:t>
      </w:r>
      <w:r w:rsidR="00401373" w:rsidRPr="003D1E07">
        <w:t xml:space="preserve">má svou vlastní </w:t>
      </w:r>
      <w:r w:rsidR="08F25CF2" w:rsidRPr="003D1E07">
        <w:t xml:space="preserve">substanční </w:t>
      </w:r>
      <w:r w:rsidR="00401373" w:rsidRPr="003D1E07">
        <w:t>aktualitu</w:t>
      </w:r>
      <w:r w:rsidR="00056C25" w:rsidRPr="003D1E07">
        <w:t xml:space="preserve"> danou od slunce</w:t>
      </w:r>
      <w:r w:rsidR="00401373" w:rsidRPr="003D1E07">
        <w:t xml:space="preserve">. </w:t>
      </w:r>
      <w:r w:rsidR="001630F7" w:rsidRPr="003D1E07">
        <w:t>Pasivní d</w:t>
      </w:r>
      <w:r w:rsidR="08345634" w:rsidRPr="003D1E07">
        <w:t xml:space="preserve">iafanum nemění substanci </w:t>
      </w:r>
      <w:r w:rsidR="08F25CF2" w:rsidRPr="003D1E07">
        <w:t xml:space="preserve">materiálních </w:t>
      </w:r>
      <w:r w:rsidR="08345634" w:rsidRPr="003D1E07">
        <w:t xml:space="preserve">těles, </w:t>
      </w:r>
      <w:r w:rsidR="004558C5" w:rsidRPr="003D1E07">
        <w:t xml:space="preserve">ale </w:t>
      </w:r>
      <w:r w:rsidR="00082F13" w:rsidRPr="003D1E07">
        <w:t xml:space="preserve">způsobuje, že jsou vidět. Účastí na procesu recepce světla skrze diafanum se odděluje </w:t>
      </w:r>
      <w:r w:rsidR="003913AB" w:rsidRPr="003D1E07">
        <w:t>akt v</w:t>
      </w:r>
      <w:r w:rsidR="00174F34" w:rsidRPr="003D1E07">
        <w:t xml:space="preserve">idění </w:t>
      </w:r>
      <w:r w:rsidR="003913AB" w:rsidRPr="003D1E07">
        <w:t xml:space="preserve">od </w:t>
      </w:r>
      <w:r w:rsidR="00885E95" w:rsidRPr="003D1E07">
        <w:t xml:space="preserve">bytí </w:t>
      </w:r>
      <w:r w:rsidR="003913AB" w:rsidRPr="003D1E07">
        <w:t xml:space="preserve">reálné věci. </w:t>
      </w:r>
      <w:r w:rsidR="08D93B10" w:rsidRPr="003D1E07">
        <w:t>Poznaná forma („vidím barevné těleso“) patří k hylemorfické aktualitě věci pouze akcidentálně</w:t>
      </w:r>
      <w:r w:rsidR="08F25CF2" w:rsidRPr="003D1E07">
        <w:t xml:space="preserve">, protože bytí první substance je dané </w:t>
      </w:r>
      <w:r w:rsidR="08F25CF2" w:rsidRPr="003D1E07">
        <w:rPr>
          <w:i/>
        </w:rPr>
        <w:t>per se</w:t>
      </w:r>
      <w:r w:rsidR="08F25CF2" w:rsidRPr="003D1E07">
        <w:t xml:space="preserve"> a </w:t>
      </w:r>
      <w:r w:rsidR="08F25CF2" w:rsidRPr="003D1E07">
        <w:rPr>
          <w:i/>
        </w:rPr>
        <w:t>simpliciter</w:t>
      </w:r>
      <w:r w:rsidR="00914CCB">
        <w:t>.</w:t>
      </w:r>
    </w:p>
    <w:p w14:paraId="56E0939F" w14:textId="4E20D6B4" w:rsidR="009235AA" w:rsidRPr="008F6124" w:rsidRDefault="00FA2E01" w:rsidP="00914CCB">
      <w:pPr>
        <w:ind w:firstLine="397"/>
        <w:rPr>
          <w:szCs w:val="27"/>
          <w:shd w:val="clear" w:color="auto" w:fill="FFFFFF"/>
        </w:rPr>
      </w:pPr>
      <w:r>
        <w:t xml:space="preserve">Aristoteles považoval za </w:t>
      </w:r>
      <w:r w:rsidR="00A204A4" w:rsidRPr="003D1E07">
        <w:t>evidentní</w:t>
      </w:r>
      <w:r>
        <w:t xml:space="preserve"> fakt</w:t>
      </w:r>
      <w:r w:rsidR="00A204A4" w:rsidRPr="003D1E07">
        <w:t xml:space="preserve">, že diafanum existuje </w:t>
      </w:r>
      <w:r w:rsidR="001A4F8C">
        <w:t>pouze jako potencialita</w:t>
      </w:r>
      <w:r w:rsidR="00A204A4" w:rsidRPr="003D1E07">
        <w:t xml:space="preserve">. Protože svět je materiální a naše poznání nemateriální, tak poznání musí být nějak zprostředkováno. Reálná věc aktivně působí na naše receptivní smysly a pak na intelekt skrze prostředí </w:t>
      </w:r>
      <w:r w:rsidR="00DD74EA" w:rsidRPr="003D1E07">
        <w:t xml:space="preserve">(κατ' ἐνέργειαν διαφανοῦς, </w:t>
      </w:r>
      <w:r w:rsidR="00DD74EA" w:rsidRPr="003D1E07">
        <w:rPr>
          <w:i/>
        </w:rPr>
        <w:t>De anima</w:t>
      </w:r>
      <w:r w:rsidR="00DD74EA" w:rsidRPr="003D1E07">
        <w:t xml:space="preserve"> 418b1</w:t>
      </w:r>
      <w:r w:rsidR="00DD74EA" w:rsidRPr="003D1E07">
        <w:fldChar w:fldCharType="begin"/>
      </w:r>
      <w:r w:rsidR="00DD74EA" w:rsidRPr="003D1E07">
        <w:instrText xml:space="preserve"> XE "Aristoteles:</w:instrText>
      </w:r>
      <w:r w:rsidR="00DD74EA" w:rsidRPr="003D1E07">
        <w:rPr>
          <w:i/>
        </w:rPr>
        <w:instrText>De anima</w:instrText>
      </w:r>
      <w:r w:rsidR="00DD74EA" w:rsidRPr="003D1E07">
        <w:instrText xml:space="preserve"> 418ab1" </w:instrText>
      </w:r>
      <w:r w:rsidR="00DD74EA" w:rsidRPr="003D1E07">
        <w:fldChar w:fldCharType="end"/>
      </w:r>
      <w:r w:rsidR="00DD74EA" w:rsidRPr="003D1E07">
        <w:t>)</w:t>
      </w:r>
      <w:r w:rsidR="00BD642A">
        <w:t xml:space="preserve">. Diafanum </w:t>
      </w:r>
      <w:r w:rsidR="00DD74EA">
        <w:t>zajišťuje</w:t>
      </w:r>
      <w:r w:rsidR="00A204A4" w:rsidRPr="003D1E07">
        <w:t xml:space="preserve"> mediaci </w:t>
      </w:r>
      <w:r w:rsidR="00FA44FC">
        <w:t xml:space="preserve">externího světa </w:t>
      </w:r>
      <w:r w:rsidR="00BD642A">
        <w:t>skrze aktualizaci poznané formy</w:t>
      </w:r>
      <w:r w:rsidR="00A204A4" w:rsidRPr="003D1E07">
        <w:t xml:space="preserve">. Akcidentální vlastnost věci „být ozářena“ dostane novou formu „být viděna“ a následně „být poznána“, a to skrze změnu diafanum z </w:t>
      </w:r>
      <w:r w:rsidR="00A204A4" w:rsidRPr="003D1E07">
        <w:lastRenderedPageBreak/>
        <w:t>potenciálního na aktuální stav. Změna potenciální formy a recepce této aktuality se děje v poznávací intenci, smyslové a intelektuální</w:t>
      </w:r>
      <w:r w:rsidR="00A204A4" w:rsidRPr="003D1E07">
        <w:rPr>
          <w:i/>
        </w:rPr>
        <w:fldChar w:fldCharType="begin"/>
      </w:r>
      <w:r w:rsidR="00A204A4" w:rsidRPr="003D1E07">
        <w:instrText xml:space="preserve"> XE "intencionalita:diafanum" </w:instrText>
      </w:r>
      <w:r w:rsidR="00A204A4" w:rsidRPr="003D1E07">
        <w:rPr>
          <w:i/>
        </w:rPr>
        <w:fldChar w:fldCharType="end"/>
      </w:r>
      <w:r w:rsidR="00A204A4" w:rsidRPr="003D1E07">
        <w:t xml:space="preserve">. Materiálně-singulární způsob bytí světla jako první substance je zásadně odlišný od potenciálního způsobu poznání </w:t>
      </w:r>
      <w:r w:rsidR="00AF651C">
        <w:t xml:space="preserve">světla </w:t>
      </w:r>
      <w:r w:rsidR="00A204A4" w:rsidRPr="003D1E07">
        <w:t>v mysli a od univerzální signifikace tohoto poznání. Akcident</w:t>
      </w:r>
      <w:r w:rsidR="00890458" w:rsidRPr="003D1E07">
        <w:t xml:space="preserve"> ozáření </w:t>
      </w:r>
      <w:r w:rsidR="008C0A97">
        <w:t xml:space="preserve">vzniklý </w:t>
      </w:r>
      <w:r w:rsidR="00890458" w:rsidRPr="003D1E07">
        <w:t xml:space="preserve">na externí </w:t>
      </w:r>
      <w:r w:rsidR="00A204A4" w:rsidRPr="003D1E07">
        <w:t>první substan</w:t>
      </w:r>
      <w:r w:rsidR="00890458" w:rsidRPr="003D1E07">
        <w:t>ci</w:t>
      </w:r>
      <w:r w:rsidR="00A204A4" w:rsidRPr="003D1E07">
        <w:t xml:space="preserve"> je něco jiného, než vnímání a porozumění této externí ozářené věci. Poznání je vůči fyzikálnímu bytí věci pouhý akcident, a navíc úplně jiného řádu, protože je dáno v duši skrze intencionalitu. </w:t>
      </w:r>
      <w:r w:rsidR="00627A91" w:rsidRPr="003D1E07">
        <w:t xml:space="preserve">Co je dáno v </w:t>
      </w:r>
      <w:r w:rsidR="00627A91" w:rsidRPr="003D1E07">
        <w:rPr>
          <w:i/>
        </w:rPr>
        <w:t>De anima</w:t>
      </w:r>
      <w:r w:rsidR="00627A91" w:rsidRPr="003D1E07">
        <w:t xml:space="preserve"> jako evidentní poznatek je fakt, že nasvícená tělesa jsou viditelná díky aktualizaci barvy skrze diafanum (χρῶμα κινητικόν ἐστι τοῦ κατ' ἐνέργειαν διαφανοῦς, </w:t>
      </w:r>
      <w:r w:rsidR="00627A91" w:rsidRPr="003D1E07">
        <w:rPr>
          <w:i/>
        </w:rPr>
        <w:t>De anima</w:t>
      </w:r>
      <w:r w:rsidR="00627A91" w:rsidRPr="003D1E07">
        <w:t xml:space="preserve"> 418a31‒b1</w:t>
      </w:r>
      <w:r w:rsidR="00627A91" w:rsidRPr="003D1E07">
        <w:fldChar w:fldCharType="begin"/>
      </w:r>
      <w:r w:rsidR="00627A91" w:rsidRPr="003D1E07">
        <w:instrText xml:space="preserve"> XE "</w:instrText>
      </w:r>
      <w:r w:rsidR="008E02F5" w:rsidRPr="003D1E07">
        <w:instrText>Aristoteles</w:instrText>
      </w:r>
      <w:r w:rsidR="00627A91" w:rsidRPr="003D1E07">
        <w:instrText>:</w:instrText>
      </w:r>
      <w:r w:rsidR="00627A91" w:rsidRPr="003D1E07">
        <w:rPr>
          <w:i/>
        </w:rPr>
        <w:instrText>De anima</w:instrText>
      </w:r>
      <w:r w:rsidR="00627A91" w:rsidRPr="003D1E07">
        <w:instrText xml:space="preserve"> 418a31‒b1" </w:instrText>
      </w:r>
      <w:r w:rsidR="00627A91" w:rsidRPr="003D1E07">
        <w:fldChar w:fldCharType="end"/>
      </w:r>
      <w:r w:rsidR="00627A91" w:rsidRPr="003D1E07">
        <w:t xml:space="preserve">). </w:t>
      </w:r>
      <w:r w:rsidR="006148C4" w:rsidRPr="003D1E07">
        <w:t>S</w:t>
      </w:r>
      <w:r w:rsidR="003913AB" w:rsidRPr="003D1E07">
        <w:t xml:space="preserve">ídlem </w:t>
      </w:r>
      <w:r w:rsidR="006148C4" w:rsidRPr="003D1E07">
        <w:t xml:space="preserve">vidění </w:t>
      </w:r>
      <w:r w:rsidR="003913AB" w:rsidRPr="003D1E07">
        <w:t xml:space="preserve">je smyslový </w:t>
      </w:r>
      <w:r w:rsidR="00174F34" w:rsidRPr="003D1E07">
        <w:t>orgán</w:t>
      </w:r>
      <w:r w:rsidR="003913AB" w:rsidRPr="003D1E07">
        <w:t xml:space="preserve">, který </w:t>
      </w:r>
      <w:r w:rsidR="00826C44" w:rsidRPr="003D1E07">
        <w:t>tvoří součást tělesné</w:t>
      </w:r>
      <w:r w:rsidR="003913AB" w:rsidRPr="003D1E07">
        <w:t xml:space="preserve"> první substance</w:t>
      </w:r>
      <w:r w:rsidR="001630F7" w:rsidRPr="003D1E07">
        <w:t xml:space="preserve"> a di</w:t>
      </w:r>
      <w:r w:rsidR="001A0A8E" w:rsidRPr="003D1E07">
        <w:t>a</w:t>
      </w:r>
      <w:r w:rsidR="001630F7" w:rsidRPr="003D1E07">
        <w:t>fan</w:t>
      </w:r>
      <w:r w:rsidR="006148C4" w:rsidRPr="003D1E07">
        <w:t>um mu předává možnost vidění</w:t>
      </w:r>
      <w:r w:rsidR="00345651" w:rsidRPr="003D1E07">
        <w:t xml:space="preserve"> </w:t>
      </w:r>
      <w:r w:rsidR="003D337F">
        <w:t>aktuálně barevného tělesa</w:t>
      </w:r>
      <w:r w:rsidR="007847C2" w:rsidRPr="003D1E07">
        <w:t xml:space="preserve">. </w:t>
      </w:r>
      <w:r w:rsidR="006148C4" w:rsidRPr="003D1E07">
        <w:t xml:space="preserve">Díky dvojímu procesu mediace od slunce ke smyslům </w:t>
      </w:r>
      <w:r w:rsidR="001630F7" w:rsidRPr="003D1E07">
        <w:t>a od smy</w:t>
      </w:r>
      <w:r w:rsidR="00CF1124" w:rsidRPr="003D1E07">
        <w:t>s</w:t>
      </w:r>
      <w:r w:rsidR="001630F7" w:rsidRPr="003D1E07">
        <w:t xml:space="preserve">lů k intelektu </w:t>
      </w:r>
      <w:r w:rsidR="006148C4" w:rsidRPr="003D1E07">
        <w:t>nemá d</w:t>
      </w:r>
      <w:r w:rsidR="00826C44" w:rsidRPr="003D1E07">
        <w:t xml:space="preserve">iafanum </w:t>
      </w:r>
      <w:r w:rsidR="006148C4" w:rsidRPr="003D1E07">
        <w:t xml:space="preserve">možnost, </w:t>
      </w:r>
      <w:r w:rsidR="00826C44" w:rsidRPr="003D1E07">
        <w:t xml:space="preserve">jak být substancí. </w:t>
      </w:r>
      <w:r w:rsidR="0842679C" w:rsidRPr="003D1E07">
        <w:t xml:space="preserve">Potencialita diafanum v prostředí mediace dostane aktualitu v rámci dokonaného vidění a poznání nasvíceného tělesa. Tato mediace má zásadní důležitost pro západní metafyziku tím, že byla zapomenuta. </w:t>
      </w:r>
      <w:r w:rsidR="00D821F9" w:rsidRPr="003D1E07">
        <w:t xml:space="preserve">Poslední zbytek Averroesova dualismu </w:t>
      </w:r>
      <w:r w:rsidR="0046452A" w:rsidRPr="003D1E07">
        <w:t xml:space="preserve">„substance–diafanum“ </w:t>
      </w:r>
      <w:r w:rsidR="00D821F9" w:rsidRPr="003D1E07">
        <w:t xml:space="preserve">najdeme v ontické fyzice. </w:t>
      </w:r>
      <w:r w:rsidR="003E0D6E" w:rsidRPr="003D1E07">
        <w:t>Kvantová fyzika zná tuto dvojí vlastnost světla v objektivním modu jako dualitu fotonové částice a kvantového vlnění. Fyzik Louis-Victor de Broglie</w:t>
      </w:r>
      <w:r w:rsidR="003E0D6E" w:rsidRPr="003D1E07">
        <w:fldChar w:fldCharType="begin"/>
      </w:r>
      <w:r w:rsidR="003E0D6E" w:rsidRPr="003D1E07">
        <w:instrText xml:space="preserve"> XE "Broglie, L.-V." </w:instrText>
      </w:r>
      <w:r w:rsidR="003E0D6E" w:rsidRPr="003D1E07">
        <w:fldChar w:fldCharType="end"/>
      </w:r>
      <w:r w:rsidR="003E0D6E" w:rsidRPr="003D1E07">
        <w:t xml:space="preserve"> určil po Albertu Einsteinovi</w:t>
      </w:r>
      <w:r w:rsidR="003E0D6E" w:rsidRPr="003D1E07">
        <w:fldChar w:fldCharType="begin"/>
      </w:r>
      <w:r w:rsidR="003E0D6E" w:rsidRPr="003D1E07">
        <w:instrText xml:space="preserve"> XE "Einstein, A." </w:instrText>
      </w:r>
      <w:r w:rsidR="003E0D6E" w:rsidRPr="003D1E07">
        <w:fldChar w:fldCharType="end"/>
      </w:r>
      <w:r w:rsidR="003E0D6E" w:rsidRPr="003D1E07">
        <w:t xml:space="preserve"> dualismus vlny a částice jako</w:t>
      </w:r>
      <w:r w:rsidR="0003335A" w:rsidRPr="003D1E07">
        <w:t xml:space="preserve"> základní a</w:t>
      </w:r>
      <w:r w:rsidR="003E0D6E" w:rsidRPr="003D1E07">
        <w:t xml:space="preserve">xiom kvantové fyziky. Mediace světla skrze vlnovou délku </w:t>
      </w:r>
      <w:r w:rsidR="00A12A4F" w:rsidRPr="003D1E07">
        <w:t xml:space="preserve">vyjadřuje </w:t>
      </w:r>
      <w:r w:rsidR="003E0D6E" w:rsidRPr="003D1E07">
        <w:t xml:space="preserve">vlastnost diafanum, zatímco foton jako částice představuje aktualitu substance. </w:t>
      </w:r>
      <w:r w:rsidR="001E2B87" w:rsidRPr="003D1E07">
        <w:t xml:space="preserve">Otázka po tom, „co“ je diafanum </w:t>
      </w:r>
      <w:r w:rsidR="00B10256" w:rsidRPr="003D1E07">
        <w:t xml:space="preserve">představuje </w:t>
      </w:r>
      <w:r w:rsidR="001E2B87" w:rsidRPr="003D1E07">
        <w:t xml:space="preserve">stejný problém, jako zcela ambivalentní otázka po tom, „co“ je receptivní intelekt. </w:t>
      </w:r>
      <w:r w:rsidR="0858029A" w:rsidRPr="003D1E07">
        <w:t xml:space="preserve">Věc nasvícená skrze trojí proces mediace (fyzikální, smyslové, inteligibilní) může působit na zrak a na poznání intelektem. </w:t>
      </w:r>
      <w:r w:rsidR="00AE4BAA" w:rsidRPr="003D1E07">
        <w:t xml:space="preserve">Výklad diafanum musí prozkoumat </w:t>
      </w:r>
      <w:r w:rsidR="00D370E0" w:rsidRPr="003D1E07">
        <w:t>tři</w:t>
      </w:r>
      <w:r w:rsidR="00222A95" w:rsidRPr="003D1E07">
        <w:t xml:space="preserve"> </w:t>
      </w:r>
      <w:r w:rsidR="00026610">
        <w:t xml:space="preserve">formy </w:t>
      </w:r>
      <w:r w:rsidR="00222A95" w:rsidRPr="003D1E07">
        <w:t>mediace</w:t>
      </w:r>
      <w:r w:rsidR="00D370E0" w:rsidRPr="003D1E07">
        <w:t xml:space="preserve"> jako </w:t>
      </w:r>
      <w:r w:rsidR="00D80B5A" w:rsidRPr="003D1E07">
        <w:rPr>
          <w:i/>
        </w:rPr>
        <w:fldChar w:fldCharType="begin"/>
      </w:r>
      <w:r w:rsidR="00D80B5A" w:rsidRPr="003D1E07">
        <w:instrText xml:space="preserve"> XE "diafanum:trojí mediace" </w:instrText>
      </w:r>
      <w:r w:rsidR="00D80B5A" w:rsidRPr="003D1E07">
        <w:rPr>
          <w:i/>
        </w:rPr>
        <w:fldChar w:fldCharType="end"/>
      </w:r>
      <w:r w:rsidR="00D370E0" w:rsidRPr="003D1E07">
        <w:t>tři fenomenologické způsoby</w:t>
      </w:r>
      <w:r w:rsidR="0890179C" w:rsidRPr="003D1E07">
        <w:t>, jak</w:t>
      </w:r>
      <w:r w:rsidR="000B14DF" w:rsidRPr="003D1E07">
        <w:t xml:space="preserve"> se děje poznání barvy</w:t>
      </w:r>
      <w:r w:rsidR="00A30303" w:rsidRPr="003D1E07">
        <w:t xml:space="preserve"> skrze diafanum</w:t>
      </w:r>
      <w:r w:rsidR="0069321F" w:rsidRPr="003D1E07">
        <w:t>.</w:t>
      </w:r>
      <w:r w:rsidR="00222A95" w:rsidRPr="003D1E07">
        <w:t xml:space="preserve"> Za prvé</w:t>
      </w:r>
      <w:r w:rsidR="08A13481" w:rsidRPr="003D1E07">
        <w:t>. Světlo je p</w:t>
      </w:r>
      <w:r w:rsidR="0069321F" w:rsidRPr="003D1E07">
        <w:t>řen</w:t>
      </w:r>
      <w:r w:rsidR="08A13481" w:rsidRPr="003D1E07">
        <w:t>eseno</w:t>
      </w:r>
      <w:r w:rsidR="00222A95" w:rsidRPr="003D1E07">
        <w:t xml:space="preserve"> </w:t>
      </w:r>
      <w:r w:rsidR="081A17D5" w:rsidRPr="003D1E07">
        <w:t>na plochu těl</w:t>
      </w:r>
      <w:r w:rsidR="08A13481" w:rsidRPr="003D1E07">
        <w:t>e</w:t>
      </w:r>
      <w:r w:rsidR="081A17D5" w:rsidRPr="003D1E07">
        <w:t>s</w:t>
      </w:r>
      <w:r w:rsidR="08A13481" w:rsidRPr="003D1E07">
        <w:t xml:space="preserve">a </w:t>
      </w:r>
      <w:r w:rsidR="0069321F" w:rsidRPr="003D1E07">
        <w:t xml:space="preserve">skrze </w:t>
      </w:r>
      <w:r w:rsidR="00222A95" w:rsidRPr="003D1E07">
        <w:t xml:space="preserve">fyzikální </w:t>
      </w:r>
      <w:r w:rsidR="0069321F" w:rsidRPr="003D1E07">
        <w:t>mediaci</w:t>
      </w:r>
      <w:r w:rsidR="00D40CBC" w:rsidRPr="003D1E07">
        <w:t xml:space="preserve"> </w:t>
      </w:r>
      <w:r w:rsidR="00023C03">
        <w:t xml:space="preserve">od </w:t>
      </w:r>
      <w:r w:rsidR="00DC00A4">
        <w:t>sluneční</w:t>
      </w:r>
      <w:r w:rsidR="00023C03">
        <w:t>ho</w:t>
      </w:r>
      <w:r w:rsidR="00DC00A4">
        <w:t xml:space="preserve"> </w:t>
      </w:r>
      <w:r w:rsidR="00CF1124" w:rsidRPr="003D1E07">
        <w:t>paprsk</w:t>
      </w:r>
      <w:r w:rsidR="00023C03">
        <w:t xml:space="preserve">u na </w:t>
      </w:r>
      <w:r w:rsidR="087C2C4C" w:rsidRPr="003D1E07">
        <w:t xml:space="preserve">nasvícené </w:t>
      </w:r>
      <w:r w:rsidR="00023C03">
        <w:t>těleso</w:t>
      </w:r>
      <w:r w:rsidR="08906718" w:rsidRPr="003D1E07">
        <w:t xml:space="preserve"> (</w:t>
      </w:r>
      <w:r w:rsidR="08906718" w:rsidRPr="003D1E07">
        <w:rPr>
          <w:i/>
        </w:rPr>
        <w:t>perspicuum</w:t>
      </w:r>
      <w:r w:rsidR="08906718" w:rsidRPr="003D1E07">
        <w:t>)</w:t>
      </w:r>
      <w:r w:rsidR="0069321F" w:rsidRPr="003D1E07">
        <w:t>. Za druhé</w:t>
      </w:r>
      <w:r w:rsidR="08A13481" w:rsidRPr="003D1E07">
        <w:t xml:space="preserve">. Ozářená plocha může být </w:t>
      </w:r>
      <w:r w:rsidR="00222A95" w:rsidRPr="003D1E07">
        <w:t>vnímán</w:t>
      </w:r>
      <w:r w:rsidR="08A13481" w:rsidRPr="003D1E07">
        <w:t xml:space="preserve">a </w:t>
      </w:r>
      <w:r w:rsidR="0069321F" w:rsidRPr="003D1E07">
        <w:t xml:space="preserve">skrze </w:t>
      </w:r>
      <w:r w:rsidR="00222A95" w:rsidRPr="003D1E07">
        <w:t xml:space="preserve">smyslovou </w:t>
      </w:r>
      <w:r w:rsidR="0069321F" w:rsidRPr="003D1E07">
        <w:t>mediaci</w:t>
      </w:r>
      <w:r w:rsidR="009B1EF7">
        <w:t xml:space="preserve">, která jde od </w:t>
      </w:r>
      <w:r w:rsidR="00B27354" w:rsidRPr="003D1E07">
        <w:t>vnímající</w:t>
      </w:r>
      <w:r w:rsidR="009B1EF7">
        <w:t>ho</w:t>
      </w:r>
      <w:r w:rsidR="00B27354" w:rsidRPr="003D1E07">
        <w:t xml:space="preserve"> </w:t>
      </w:r>
      <w:r w:rsidR="009B1EF7">
        <w:t>oka do smyslové</w:t>
      </w:r>
      <w:r w:rsidR="08A93E18" w:rsidRPr="003D1E07">
        <w:t xml:space="preserve"> </w:t>
      </w:r>
      <w:r w:rsidR="087C2C4C" w:rsidRPr="003D1E07">
        <w:t>představivost</w:t>
      </w:r>
      <w:r w:rsidR="009B1EF7">
        <w:t>i</w:t>
      </w:r>
      <w:r w:rsidR="08906718" w:rsidRPr="003D1E07">
        <w:t xml:space="preserve"> (diafanum</w:t>
      </w:r>
      <w:r w:rsidR="08906718" w:rsidRPr="003D1E07">
        <w:rPr>
          <w:vertAlign w:val="superscript"/>
        </w:rPr>
        <w:t>1</w:t>
      </w:r>
      <w:r w:rsidR="08906718" w:rsidRPr="003D1E07">
        <w:t>)</w:t>
      </w:r>
      <w:r w:rsidR="0069321F" w:rsidRPr="003D1E07">
        <w:t xml:space="preserve">. A nakonec </w:t>
      </w:r>
      <w:r w:rsidR="08A13481" w:rsidRPr="003D1E07">
        <w:t>existuje m</w:t>
      </w:r>
      <w:r w:rsidR="00222A95" w:rsidRPr="003D1E07">
        <w:t>ožnost</w:t>
      </w:r>
      <w:r w:rsidR="08A13481" w:rsidRPr="003D1E07">
        <w:t xml:space="preserve">, že barevná plocha je poznána </w:t>
      </w:r>
      <w:r w:rsidR="00C929BB" w:rsidRPr="003D1E07">
        <w:t xml:space="preserve">intelektuálně </w:t>
      </w:r>
      <w:r w:rsidR="08A13481" w:rsidRPr="003D1E07">
        <w:t>v</w:t>
      </w:r>
      <w:r w:rsidR="00C929BB" w:rsidRPr="003D1E07">
        <w:t xml:space="preserve"> pojmu barvy</w:t>
      </w:r>
      <w:r w:rsidR="08A13481" w:rsidRPr="003D1E07">
        <w:t xml:space="preserve"> skrz</w:t>
      </w:r>
      <w:r w:rsidR="0069321F" w:rsidRPr="003D1E07">
        <w:t xml:space="preserve">e </w:t>
      </w:r>
      <w:r w:rsidR="00222A95" w:rsidRPr="003D1E07">
        <w:t xml:space="preserve">nemateriální </w:t>
      </w:r>
      <w:r w:rsidR="0069321F" w:rsidRPr="003D1E07">
        <w:t>mediaci</w:t>
      </w:r>
      <w:r w:rsidR="009B1EF7">
        <w:t>, která jde od smyslové</w:t>
      </w:r>
      <w:r w:rsidR="08A93E18" w:rsidRPr="003D1E07">
        <w:t xml:space="preserve"> </w:t>
      </w:r>
      <w:r w:rsidR="087C2C4C" w:rsidRPr="003D1E07">
        <w:t>představivost</w:t>
      </w:r>
      <w:r w:rsidR="009B1EF7">
        <w:t xml:space="preserve">i do receptivního intelektu </w:t>
      </w:r>
      <w:r w:rsidR="08906718" w:rsidRPr="003D1E07">
        <w:t>(diafanum</w:t>
      </w:r>
      <w:r w:rsidR="08906718" w:rsidRPr="003D1E07">
        <w:rPr>
          <w:vertAlign w:val="superscript"/>
        </w:rPr>
        <w:t>2</w:t>
      </w:r>
      <w:r w:rsidR="08906718" w:rsidRPr="003D1E07">
        <w:t>)</w:t>
      </w:r>
      <w:r w:rsidR="00857D57" w:rsidRPr="003D1E07">
        <w:t xml:space="preserve">. </w:t>
      </w:r>
      <w:r w:rsidR="08271E85" w:rsidRPr="003D1E07">
        <w:t xml:space="preserve">Perspicuum </w:t>
      </w:r>
      <w:r w:rsidR="08F458F8" w:rsidRPr="003D1E07">
        <w:t xml:space="preserve">v přírodě </w:t>
      </w:r>
      <w:r w:rsidR="08271E85" w:rsidRPr="003D1E07">
        <w:t xml:space="preserve">a </w:t>
      </w:r>
      <w:r w:rsidR="08710C0C" w:rsidRPr="003D1E07">
        <w:t xml:space="preserve">dvojí </w:t>
      </w:r>
      <w:r w:rsidR="08271E85" w:rsidRPr="003D1E07">
        <w:t>d</w:t>
      </w:r>
      <w:r w:rsidR="085F6B28" w:rsidRPr="003D1E07">
        <w:t xml:space="preserve">iafanum </w:t>
      </w:r>
      <w:r w:rsidR="08F458F8" w:rsidRPr="003D1E07">
        <w:t xml:space="preserve">v člověku </w:t>
      </w:r>
      <w:r w:rsidR="085F6B28" w:rsidRPr="003D1E07">
        <w:t xml:space="preserve">představuje </w:t>
      </w:r>
      <w:r w:rsidR="00172816" w:rsidRPr="003D1E07">
        <w:t xml:space="preserve">z těchto tří důvodů </w:t>
      </w:r>
      <w:r w:rsidR="085F6B28" w:rsidRPr="003D1E07">
        <w:t>prostředí čisté potenciality, které je aktualizováno trojím způsobem (</w:t>
      </w:r>
      <w:r w:rsidR="082D5ACE" w:rsidRPr="003D1E07">
        <w:t xml:space="preserve">přírodní </w:t>
      </w:r>
      <w:r w:rsidR="082F06D2" w:rsidRPr="003D1E07">
        <w:t>barva</w:t>
      </w:r>
      <w:r w:rsidR="085F6B28" w:rsidRPr="003D1E07">
        <w:t xml:space="preserve">, </w:t>
      </w:r>
      <w:r w:rsidR="08633228" w:rsidRPr="003D1E07">
        <w:lastRenderedPageBreak/>
        <w:t>smyslová představivost, poznávající intelekt</w:t>
      </w:r>
      <w:r w:rsidR="085F6B28" w:rsidRPr="003D1E07">
        <w:t>).</w:t>
      </w:r>
      <w:r w:rsidR="0861622D" w:rsidRPr="003D1E07">
        <w:t xml:space="preserve"> Aktualizace pasivního diafanum tvoří rozhodující faktor pro vidění a poznání.</w:t>
      </w:r>
    </w:p>
    <w:p w14:paraId="008C2B02" w14:textId="6D83BB54" w:rsidR="009235AA" w:rsidRPr="003D1E07" w:rsidRDefault="009235AA" w:rsidP="00CB091B">
      <w:pPr>
        <w:pStyle w:val="Citace"/>
        <w:rPr>
          <w:lang w:val="cs-CZ"/>
        </w:rPr>
      </w:pPr>
      <w:r w:rsidRPr="003D1E07">
        <w:rPr>
          <w:rStyle w:val="Zkladntextdkovn0pt"/>
          <w:rFonts w:ascii="Calibri" w:eastAsia="Times" w:hAnsi="Calibri" w:cs="Times New Roman"/>
          <w:spacing w:val="0"/>
          <w:sz w:val="22"/>
          <w:u w:val="none"/>
          <w:lang w:val="cs-CZ"/>
        </w:rPr>
        <w:t>„</w:t>
      </w:r>
      <w:r w:rsidR="003D18E1" w:rsidRPr="003D1E07">
        <w:rPr>
          <w:rStyle w:val="Zkladntextdkovn0pt"/>
          <w:rFonts w:ascii="Calibri" w:eastAsia="Times" w:hAnsi="Calibri" w:cs="Times New Roman"/>
          <w:spacing w:val="0"/>
          <w:sz w:val="22"/>
          <w:u w:val="none"/>
          <w:lang w:val="cs-CZ"/>
        </w:rPr>
        <w:t>Je jasné, že světlo</w:t>
      </w:r>
      <w:r w:rsidR="003218E4" w:rsidRPr="003D1E07">
        <w:rPr>
          <w:rStyle w:val="Zkladntextdkovn0pt"/>
          <w:rFonts w:ascii="Calibri" w:eastAsia="Times" w:hAnsi="Calibri" w:cs="Times New Roman"/>
          <w:spacing w:val="0"/>
          <w:sz w:val="22"/>
          <w:u w:val="none"/>
          <w:lang w:val="cs-CZ"/>
        </w:rPr>
        <w:t>,</w:t>
      </w:r>
      <w:r w:rsidR="003D18E1" w:rsidRPr="003D1E07">
        <w:rPr>
          <w:rStyle w:val="Zkladntextdkovn0pt"/>
          <w:rFonts w:ascii="Calibri" w:eastAsia="Times" w:hAnsi="Calibri" w:cs="Times New Roman"/>
          <w:spacing w:val="0"/>
          <w:sz w:val="22"/>
          <w:u w:val="none"/>
          <w:lang w:val="cs-CZ"/>
        </w:rPr>
        <w:t xml:space="preserve"> i když </w:t>
      </w:r>
      <w:r w:rsidR="00CA2E11" w:rsidRPr="003D1E07">
        <w:rPr>
          <w:rStyle w:val="Zkladntextdkovn0pt"/>
          <w:rFonts w:ascii="Calibri" w:eastAsia="Times" w:hAnsi="Calibri" w:cs="Times New Roman"/>
          <w:spacing w:val="0"/>
          <w:sz w:val="22"/>
          <w:u w:val="none"/>
          <w:lang w:val="cs-CZ"/>
        </w:rPr>
        <w:t xml:space="preserve">se aktualizuje od </w:t>
      </w:r>
      <w:r w:rsidR="003D18E1" w:rsidRPr="003D1E07">
        <w:rPr>
          <w:rStyle w:val="Zkladntextdkovn0pt"/>
          <w:rFonts w:ascii="Calibri" w:eastAsia="Times" w:hAnsi="Calibri" w:cs="Times New Roman"/>
          <w:spacing w:val="0"/>
          <w:sz w:val="22"/>
          <w:u w:val="none"/>
          <w:lang w:val="cs-CZ"/>
        </w:rPr>
        <w:t>svítícího tělesa (</w:t>
      </w:r>
      <w:r w:rsidR="003D18E1" w:rsidRPr="003D1E07">
        <w:rPr>
          <w:i/>
          <w:lang w:val="cs-CZ"/>
        </w:rPr>
        <w:t>fiat a corpore lucido</w:t>
      </w:r>
      <w:r w:rsidR="003D18E1" w:rsidRPr="003D1E07">
        <w:rPr>
          <w:rStyle w:val="Zkladntextdkovn0pt"/>
          <w:rFonts w:ascii="Calibri" w:eastAsia="Times" w:hAnsi="Calibri" w:cs="Times New Roman"/>
          <w:spacing w:val="0"/>
          <w:sz w:val="22"/>
          <w:u w:val="none"/>
          <w:lang w:val="cs-CZ"/>
        </w:rPr>
        <w:t>), se od něj liší jak definicí, tak svým bytím (</w:t>
      </w:r>
      <w:r w:rsidR="003D18E1" w:rsidRPr="003D1E07">
        <w:rPr>
          <w:i/>
          <w:lang w:val="cs-CZ"/>
        </w:rPr>
        <w:t>differt ab eo diffinitione et essentia</w:t>
      </w:r>
      <w:r w:rsidR="003D18E1" w:rsidRPr="003D1E07">
        <w:rPr>
          <w:rStyle w:val="Zkladntextdkovn0pt"/>
          <w:rFonts w:ascii="Calibri" w:eastAsia="Times" w:hAnsi="Calibri" w:cs="Times New Roman"/>
          <w:spacing w:val="0"/>
          <w:sz w:val="22"/>
          <w:u w:val="none"/>
          <w:lang w:val="cs-CZ"/>
        </w:rPr>
        <w:t xml:space="preserve">). Jak již bylo řečeno, barva je konečný stav pohybu </w:t>
      </w:r>
      <w:r w:rsidR="00701EE3">
        <w:rPr>
          <w:rStyle w:val="Zkladntextdkovn0pt"/>
          <w:rFonts w:ascii="Calibri" w:eastAsia="Times" w:hAnsi="Calibri" w:cs="Times New Roman"/>
          <w:spacing w:val="0"/>
          <w:sz w:val="22"/>
          <w:u w:val="none"/>
          <w:lang w:val="cs-CZ"/>
        </w:rPr>
        <w:t xml:space="preserve">pro </w:t>
      </w:r>
      <w:r w:rsidR="003D18E1" w:rsidRPr="003D1E07">
        <w:rPr>
          <w:rStyle w:val="Zkladntextdkovn0pt"/>
          <w:rFonts w:ascii="Calibri" w:eastAsia="Times" w:hAnsi="Calibri" w:cs="Times New Roman"/>
          <w:spacing w:val="0"/>
          <w:sz w:val="22"/>
          <w:u w:val="none"/>
          <w:lang w:val="cs-CZ"/>
        </w:rPr>
        <w:t>diafanum (</w:t>
      </w:r>
      <w:r w:rsidR="003D18E1" w:rsidRPr="003D1E07">
        <w:rPr>
          <w:i/>
          <w:lang w:val="cs-CZ"/>
        </w:rPr>
        <w:t>color enim, ut dicitur, est ultimum diaffoni terminati</w:t>
      </w:r>
      <w:r w:rsidR="00E71DE5" w:rsidRPr="003D1E07">
        <w:rPr>
          <w:rStyle w:val="Zkladntextdkovn0pt"/>
          <w:rFonts w:ascii="Calibri" w:eastAsia="Times" w:hAnsi="Calibri" w:cs="Times New Roman"/>
          <w:spacing w:val="0"/>
          <w:sz w:val="22"/>
          <w:u w:val="none"/>
          <w:lang w:val="cs-CZ"/>
        </w:rPr>
        <w:t>). S</w:t>
      </w:r>
      <w:r w:rsidR="003D18E1" w:rsidRPr="003D1E07">
        <w:rPr>
          <w:rStyle w:val="Zkladntextdkovn0pt"/>
          <w:rFonts w:ascii="Calibri" w:eastAsia="Times" w:hAnsi="Calibri" w:cs="Times New Roman"/>
          <w:spacing w:val="0"/>
          <w:sz w:val="22"/>
          <w:u w:val="none"/>
          <w:lang w:val="cs-CZ"/>
        </w:rPr>
        <w:t xml:space="preserve">větlo </w:t>
      </w:r>
      <w:r w:rsidR="00E71DE5" w:rsidRPr="003D1E07">
        <w:rPr>
          <w:rStyle w:val="Zkladntextdkovn0pt"/>
          <w:rFonts w:ascii="Calibri" w:eastAsia="Times" w:hAnsi="Calibri" w:cs="Times New Roman"/>
          <w:spacing w:val="0"/>
          <w:sz w:val="22"/>
          <w:u w:val="none"/>
          <w:lang w:val="cs-CZ"/>
        </w:rPr>
        <w:t xml:space="preserve">tvoří </w:t>
      </w:r>
      <w:r w:rsidR="003D18E1" w:rsidRPr="003D1E07">
        <w:rPr>
          <w:rStyle w:val="Zkladntextdkovn0pt"/>
          <w:rFonts w:ascii="Calibri" w:eastAsia="Times" w:hAnsi="Calibri" w:cs="Times New Roman"/>
          <w:spacing w:val="0"/>
          <w:sz w:val="22"/>
          <w:u w:val="none"/>
          <w:lang w:val="cs-CZ"/>
        </w:rPr>
        <w:t xml:space="preserve">komplementární součást diafanum, </w:t>
      </w:r>
      <w:r w:rsidR="00E71DE5" w:rsidRPr="003D1E07">
        <w:rPr>
          <w:rStyle w:val="Zkladntextdkovn0pt"/>
          <w:rFonts w:ascii="Calibri" w:eastAsia="Times" w:hAnsi="Calibri" w:cs="Times New Roman"/>
          <w:spacing w:val="0"/>
          <w:sz w:val="22"/>
          <w:u w:val="none"/>
          <w:lang w:val="cs-CZ"/>
        </w:rPr>
        <w:t xml:space="preserve">ale </w:t>
      </w:r>
      <w:r w:rsidR="003D18E1" w:rsidRPr="003D1E07">
        <w:rPr>
          <w:rStyle w:val="Zkladntextdkovn0pt"/>
          <w:rFonts w:ascii="Calibri" w:eastAsia="Times" w:hAnsi="Calibri" w:cs="Times New Roman"/>
          <w:spacing w:val="0"/>
          <w:sz w:val="22"/>
          <w:u w:val="none"/>
          <w:lang w:val="cs-CZ"/>
        </w:rPr>
        <w:t>nikoliv jeho završení (</w:t>
      </w:r>
      <w:r w:rsidR="003D18E1" w:rsidRPr="003D1E07">
        <w:rPr>
          <w:i/>
          <w:lang w:val="cs-CZ"/>
        </w:rPr>
        <w:t>lux</w:t>
      </w:r>
      <w:r w:rsidR="003D18E1" w:rsidRPr="003D1E07">
        <w:rPr>
          <w:lang w:val="cs-CZ"/>
        </w:rPr>
        <w:t xml:space="preserve"> </w:t>
      </w:r>
      <w:r w:rsidR="003D18E1" w:rsidRPr="003D1E07">
        <w:rPr>
          <w:i/>
          <w:lang w:val="cs-CZ"/>
        </w:rPr>
        <w:t>autem est complementum diaffoni non terminati</w:t>
      </w:r>
      <w:r w:rsidR="003D18E1" w:rsidRPr="003D1E07">
        <w:rPr>
          <w:rStyle w:val="Zkladntextdkovn0pt"/>
          <w:rFonts w:ascii="Calibri" w:eastAsia="Times" w:hAnsi="Calibri" w:cs="Times New Roman"/>
          <w:spacing w:val="0"/>
          <w:sz w:val="22"/>
          <w:u w:val="none"/>
          <w:lang w:val="cs-CZ"/>
        </w:rPr>
        <w:t>).“ </w:t>
      </w:r>
      <w:r w:rsidR="003D18E1" w:rsidRPr="003D1E07">
        <w:rPr>
          <w:rStyle w:val="Znakapoznpodarou"/>
          <w:lang w:val="cs-CZ"/>
        </w:rPr>
        <w:footnoteReference w:id="270"/>
      </w:r>
    </w:p>
    <w:p w14:paraId="1C5AA2F4" w14:textId="16269836" w:rsidR="00B50072" w:rsidRPr="003D1E07" w:rsidRDefault="001C33A0" w:rsidP="00F73241">
      <w:r w:rsidRPr="003D1E07">
        <w:t>A</w:t>
      </w:r>
      <w:r w:rsidR="0006304A" w:rsidRPr="003D1E07">
        <w:t>verroe</w:t>
      </w:r>
      <w:r w:rsidR="00D3496D" w:rsidRPr="003D1E07">
        <w:t xml:space="preserve">s </w:t>
      </w:r>
      <w:r w:rsidRPr="003D1E07">
        <w:t>aristot</w:t>
      </w:r>
      <w:r w:rsidR="00D177D4" w:rsidRPr="003D1E07">
        <w:t xml:space="preserve">elsky konstatuje, že </w:t>
      </w:r>
      <w:r w:rsidR="00DB1A93">
        <w:t>vidění musí být realizováno</w:t>
      </w:r>
      <w:r w:rsidR="08036C3C" w:rsidRPr="003D1E07">
        <w:t xml:space="preserve"> </w:t>
      </w:r>
      <w:r w:rsidRPr="003D1E07">
        <w:t>skr</w:t>
      </w:r>
      <w:r w:rsidR="0007107C" w:rsidRPr="003D1E07">
        <w:t xml:space="preserve">ze </w:t>
      </w:r>
      <w:r w:rsidR="00E433D3" w:rsidRPr="003D1E07">
        <w:t>kontinuitu</w:t>
      </w:r>
      <w:r w:rsidR="0007107C" w:rsidRPr="003D1E07">
        <w:t xml:space="preserve"> </w:t>
      </w:r>
      <w:r w:rsidR="00F149C5">
        <w:t xml:space="preserve">kauzálně způsobeného </w:t>
      </w:r>
      <w:r w:rsidR="0007107C" w:rsidRPr="003D1E07">
        <w:t>pohybu</w:t>
      </w:r>
      <w:r w:rsidR="00C73B9F" w:rsidRPr="003D1E07">
        <w:t xml:space="preserve">, tedy </w:t>
      </w:r>
      <w:r w:rsidR="00660733" w:rsidRPr="003D1E07">
        <w:t xml:space="preserve">přechodem </w:t>
      </w:r>
      <w:r w:rsidR="00FF2D05" w:rsidRPr="003D1E07">
        <w:t xml:space="preserve">barvy </w:t>
      </w:r>
      <w:r w:rsidR="00C73B9F" w:rsidRPr="003D1E07">
        <w:t>od potence k aktualizaci</w:t>
      </w:r>
      <w:r w:rsidR="00CA40C7" w:rsidRPr="003D1E07">
        <w:t xml:space="preserve"> </w:t>
      </w:r>
      <w:r w:rsidR="08711EA5" w:rsidRPr="003D1E07">
        <w:t xml:space="preserve">v prostředí diafanum </w:t>
      </w:r>
      <w:r w:rsidR="00CA40C7" w:rsidRPr="003D1E07">
        <w:t xml:space="preserve">(κινητικόν ἐστι ...κατ' ἐνέργειαν διαφανοῦς, </w:t>
      </w:r>
      <w:r w:rsidR="00CA40C7" w:rsidRPr="003D1E07">
        <w:rPr>
          <w:i/>
        </w:rPr>
        <w:t>De anima</w:t>
      </w:r>
      <w:r w:rsidR="00CA40C7" w:rsidRPr="003D1E07">
        <w:t xml:space="preserve"> 418b1</w:t>
      </w:r>
      <w:r w:rsidR="00CA40C7" w:rsidRPr="003D1E07">
        <w:fldChar w:fldCharType="begin"/>
      </w:r>
      <w:r w:rsidR="00CA40C7" w:rsidRPr="003D1E07">
        <w:instrText xml:space="preserve"> XE "</w:instrText>
      </w:r>
      <w:r w:rsidR="008E02F5" w:rsidRPr="003D1E07">
        <w:instrText>Aristoteles</w:instrText>
      </w:r>
      <w:r w:rsidR="00CA40C7" w:rsidRPr="003D1E07">
        <w:instrText>:</w:instrText>
      </w:r>
      <w:r w:rsidR="00CA40C7" w:rsidRPr="003D1E07">
        <w:rPr>
          <w:i/>
        </w:rPr>
        <w:instrText>De anima</w:instrText>
      </w:r>
      <w:r w:rsidR="00CA40C7" w:rsidRPr="003D1E07">
        <w:instrText xml:space="preserve"> 418b1" </w:instrText>
      </w:r>
      <w:r w:rsidR="00CA40C7" w:rsidRPr="003D1E07">
        <w:fldChar w:fldCharType="end"/>
      </w:r>
      <w:r w:rsidR="00CA40C7" w:rsidRPr="003D1E07">
        <w:t>)</w:t>
      </w:r>
      <w:r w:rsidR="00195752" w:rsidRPr="003D1E07">
        <w:t xml:space="preserve">. </w:t>
      </w:r>
      <w:r w:rsidR="00E5454B" w:rsidRPr="003D1E07">
        <w:t>Různorodá k</w:t>
      </w:r>
      <w:r w:rsidR="00195752" w:rsidRPr="003D1E07">
        <w:t>auzalita</w:t>
      </w:r>
      <w:r w:rsidR="00E5454B" w:rsidRPr="003D1E07">
        <w:t xml:space="preserve"> způsobuje, že </w:t>
      </w:r>
      <w:r w:rsidR="08553370" w:rsidRPr="003D1E07">
        <w:t>aktualit</w:t>
      </w:r>
      <w:r w:rsidR="00E5454B" w:rsidRPr="003D1E07">
        <w:t>a</w:t>
      </w:r>
      <w:r w:rsidR="08553370" w:rsidRPr="003D1E07">
        <w:t xml:space="preserve"> slunce a paprsků </w:t>
      </w:r>
      <w:r w:rsidR="08462670" w:rsidRPr="003D1E07">
        <w:t xml:space="preserve">nejprve </w:t>
      </w:r>
      <w:r w:rsidR="00E5454B" w:rsidRPr="003D1E07">
        <w:t xml:space="preserve">přejde </w:t>
      </w:r>
      <w:r w:rsidR="08462670" w:rsidRPr="003D1E07">
        <w:t xml:space="preserve">do </w:t>
      </w:r>
      <w:r w:rsidR="0098561A" w:rsidRPr="003D1E07">
        <w:t>průsvitného prostředí</w:t>
      </w:r>
      <w:r w:rsidR="003571A4" w:rsidRPr="003D1E07">
        <w:t>,</w:t>
      </w:r>
      <w:r w:rsidR="0098561A" w:rsidRPr="003D1E07">
        <w:t xml:space="preserve"> </w:t>
      </w:r>
      <w:r w:rsidR="08553370" w:rsidRPr="003D1E07">
        <w:t xml:space="preserve">pak </w:t>
      </w:r>
      <w:r w:rsidR="0098561A" w:rsidRPr="003D1E07">
        <w:t xml:space="preserve">do </w:t>
      </w:r>
      <w:r w:rsidR="00C56F28" w:rsidRPr="003D1E07">
        <w:t xml:space="preserve">barev </w:t>
      </w:r>
      <w:r w:rsidR="00E233DA" w:rsidRPr="003D1E07">
        <w:t xml:space="preserve">na nasvíceném tělese, </w:t>
      </w:r>
      <w:r w:rsidR="08515273" w:rsidRPr="003D1E07">
        <w:t xml:space="preserve">pak </w:t>
      </w:r>
      <w:r w:rsidR="00C56F28" w:rsidRPr="003D1E07">
        <w:t>do oka</w:t>
      </w:r>
      <w:r w:rsidR="08EC14CF" w:rsidRPr="003D1E07">
        <w:t xml:space="preserve">, do představivosti a </w:t>
      </w:r>
      <w:r w:rsidR="08515273" w:rsidRPr="003D1E07">
        <w:t xml:space="preserve">nakonec </w:t>
      </w:r>
      <w:r w:rsidR="007744E9" w:rsidRPr="003D1E07">
        <w:t>do mysli</w:t>
      </w:r>
      <w:r w:rsidRPr="003D1E07">
        <w:t xml:space="preserve">. </w:t>
      </w:r>
      <w:r w:rsidR="00857D57" w:rsidRPr="003D1E07">
        <w:t>Diafanum</w:t>
      </w:r>
      <w:r w:rsidR="0829663A" w:rsidRPr="003D1E07">
        <w:t xml:space="preserve"> předává </w:t>
      </w:r>
      <w:r w:rsidR="00857D57" w:rsidRPr="003D1E07">
        <w:t>světl</w:t>
      </w:r>
      <w:r w:rsidR="0829663A" w:rsidRPr="003D1E07">
        <w:t>o</w:t>
      </w:r>
      <w:r w:rsidR="00857D57" w:rsidRPr="003D1E07">
        <w:t xml:space="preserve"> směrem k nasvícené barvě</w:t>
      </w:r>
      <w:r w:rsidR="002F2067" w:rsidRPr="003D1E07">
        <w:t xml:space="preserve"> na tělese</w:t>
      </w:r>
      <w:r w:rsidR="00857D57" w:rsidRPr="003D1E07">
        <w:t xml:space="preserve">, </w:t>
      </w:r>
      <w:r w:rsidR="0829663A" w:rsidRPr="003D1E07">
        <w:t xml:space="preserve">protože aktualizovaná barva </w:t>
      </w:r>
      <w:r w:rsidR="00857D57" w:rsidRPr="003D1E07">
        <w:t>představuje finální operaci</w:t>
      </w:r>
      <w:r w:rsidR="007744E9" w:rsidRPr="003D1E07">
        <w:t xml:space="preserve"> každé mediace (</w:t>
      </w:r>
      <w:r w:rsidR="007744E9" w:rsidRPr="003D1E07">
        <w:rPr>
          <w:i/>
        </w:rPr>
        <w:t>terminus</w:t>
      </w:r>
      <w:r w:rsidR="007744E9" w:rsidRPr="003D1E07">
        <w:t>)</w:t>
      </w:r>
      <w:r w:rsidR="00857D57" w:rsidRPr="003D1E07">
        <w:t xml:space="preserve">. </w:t>
      </w:r>
      <w:r w:rsidR="006134FA" w:rsidRPr="003D1E07">
        <w:t xml:space="preserve">Proto tvoří diafanum </w:t>
      </w:r>
      <w:r w:rsidR="007A1CFB" w:rsidRPr="003D1E07">
        <w:t xml:space="preserve">mediátora </w:t>
      </w:r>
      <w:r w:rsidR="006134FA" w:rsidRPr="003D1E07">
        <w:t>mezi paprskem jako určujícím činitelem pro diafanum (</w:t>
      </w:r>
      <w:r w:rsidR="00D8352D" w:rsidRPr="003D1E07">
        <w:rPr>
          <w:i/>
        </w:rPr>
        <w:t>complementum diaffoni non terminati</w:t>
      </w:r>
      <w:r w:rsidR="006134FA" w:rsidRPr="003D1E07">
        <w:t xml:space="preserve">) a </w:t>
      </w:r>
      <w:r w:rsidR="008203E4" w:rsidRPr="003D1E07">
        <w:t xml:space="preserve">mezi </w:t>
      </w:r>
      <w:r w:rsidR="006255AD" w:rsidRPr="003D1E07">
        <w:t xml:space="preserve">výsledným </w:t>
      </w:r>
      <w:r w:rsidR="006134FA" w:rsidRPr="003D1E07">
        <w:t>ozářeným tělesem (</w:t>
      </w:r>
      <w:r w:rsidR="006134FA" w:rsidRPr="003D1E07">
        <w:rPr>
          <w:i/>
        </w:rPr>
        <w:t>ultimum diaffoni terminati</w:t>
      </w:r>
      <w:r w:rsidR="006134FA" w:rsidRPr="003D1E07">
        <w:t>)</w:t>
      </w:r>
      <w:r w:rsidR="006255AD" w:rsidRPr="003D1E07">
        <w:t xml:space="preserve">. </w:t>
      </w:r>
      <w:r w:rsidR="00E433D3" w:rsidRPr="003D1E07">
        <w:t xml:space="preserve">Diafanum </w:t>
      </w:r>
      <w:r w:rsidR="00660733" w:rsidRPr="003D1E07">
        <w:t xml:space="preserve">vytváří potenciální receptivní prostředí, které </w:t>
      </w:r>
      <w:r w:rsidR="00E433D3" w:rsidRPr="003D1E07">
        <w:t xml:space="preserve">nechává manifestovat </w:t>
      </w:r>
      <w:r w:rsidR="00E34F0E" w:rsidRPr="003D1E07">
        <w:t xml:space="preserve">reálné </w:t>
      </w:r>
      <w:r w:rsidR="00E433D3" w:rsidRPr="003D1E07">
        <w:t>for</w:t>
      </w:r>
      <w:r w:rsidR="00660733" w:rsidRPr="003D1E07">
        <w:t>my nasvícené plochy nebo tělesa</w:t>
      </w:r>
      <w:r w:rsidR="00E433D3" w:rsidRPr="003D1E07">
        <w:t xml:space="preserve">. </w:t>
      </w:r>
      <w:r w:rsidR="00E34F0E" w:rsidRPr="003D1E07">
        <w:t xml:space="preserve">Role diafanum </w:t>
      </w:r>
      <w:r w:rsidR="0087136D" w:rsidRPr="003D1E07">
        <w:t xml:space="preserve">v procesu poznání </w:t>
      </w:r>
      <w:r w:rsidR="00E34F0E" w:rsidRPr="003D1E07">
        <w:t>je kauzálně-formální</w:t>
      </w:r>
      <w:r w:rsidR="0004030D" w:rsidRPr="003D1E07">
        <w:t xml:space="preserve">, </w:t>
      </w:r>
      <w:r w:rsidR="00D05519" w:rsidRPr="003D1E07">
        <w:t xml:space="preserve">a ne </w:t>
      </w:r>
      <w:r w:rsidR="0004030D" w:rsidRPr="003D1E07">
        <w:t>kauzálně-</w:t>
      </w:r>
      <w:r w:rsidR="00D05519" w:rsidRPr="003D1E07">
        <w:t>eficientní</w:t>
      </w:r>
      <w:r w:rsidR="00CE181A" w:rsidRPr="003D1E07">
        <w:t xml:space="preserve">. Světlo </w:t>
      </w:r>
      <w:r w:rsidR="0010408E" w:rsidRPr="003D1E07">
        <w:t xml:space="preserve">dané od slunce </w:t>
      </w:r>
      <w:r w:rsidR="00CE181A" w:rsidRPr="003D1E07">
        <w:t xml:space="preserve">je účinná příčina toho, že </w:t>
      </w:r>
      <w:r w:rsidR="00D94BE1" w:rsidRPr="003D1E07">
        <w:t xml:space="preserve">věci </w:t>
      </w:r>
      <w:r w:rsidR="00CE181A" w:rsidRPr="003D1E07">
        <w:t xml:space="preserve">jsou </w:t>
      </w:r>
      <w:r w:rsidR="00656A70" w:rsidRPr="003D1E07">
        <w:t xml:space="preserve">akcidentálně </w:t>
      </w:r>
      <w:r w:rsidR="00D94BE1" w:rsidRPr="003D1E07">
        <w:t>vidět</w:t>
      </w:r>
      <w:r w:rsidR="00D3227C" w:rsidRPr="003D1E07">
        <w:t>,</w:t>
      </w:r>
      <w:r w:rsidR="00656A70" w:rsidRPr="003D1E07">
        <w:t xml:space="preserve"> </w:t>
      </w:r>
      <w:r w:rsidR="082728A5" w:rsidRPr="003D1E07">
        <w:t xml:space="preserve">ale </w:t>
      </w:r>
      <w:r w:rsidR="00656A70" w:rsidRPr="003D1E07">
        <w:t>substanciálně existují</w:t>
      </w:r>
      <w:r w:rsidR="08813B2D" w:rsidRPr="003D1E07">
        <w:t xml:space="preserve"> samy od sebe</w:t>
      </w:r>
      <w:r w:rsidR="00D05519" w:rsidRPr="003D1E07">
        <w:t xml:space="preserve">. </w:t>
      </w:r>
      <w:r w:rsidR="08F962D0" w:rsidRPr="003D1E07">
        <w:t xml:space="preserve">Slunce </w:t>
      </w:r>
      <w:r w:rsidR="082728A5" w:rsidRPr="003D1E07">
        <w:t xml:space="preserve">také </w:t>
      </w:r>
      <w:r w:rsidR="08F962D0" w:rsidRPr="003D1E07">
        <w:t xml:space="preserve">svítí samo od sebe a </w:t>
      </w:r>
      <w:r w:rsidR="00011B81" w:rsidRPr="003D1E07">
        <w:t>představu</w:t>
      </w:r>
      <w:r w:rsidR="08F962D0" w:rsidRPr="003D1E07">
        <w:t xml:space="preserve">je </w:t>
      </w:r>
      <w:r w:rsidR="00011B81" w:rsidRPr="003D1E07">
        <w:t>aktuální první substanci</w:t>
      </w:r>
      <w:r w:rsidR="082E6286" w:rsidRPr="003D1E07">
        <w:t xml:space="preserve"> </w:t>
      </w:r>
      <w:r w:rsidR="009517E3" w:rsidRPr="003D1E07">
        <w:t xml:space="preserve">v </w:t>
      </w:r>
      <w:r w:rsidR="082E6286" w:rsidRPr="003D1E07">
        <w:t>řádu účinné příčiny vidění</w:t>
      </w:r>
      <w:r w:rsidR="08F962D0" w:rsidRPr="003D1E07">
        <w:t xml:space="preserve">. </w:t>
      </w:r>
      <w:r w:rsidR="08CE5A4E" w:rsidRPr="003D1E07">
        <w:t xml:space="preserve">Stejně tak je sám od sebe aktuální i sluneční paprsek. </w:t>
      </w:r>
      <w:r w:rsidR="005E6F19" w:rsidRPr="003D1E07">
        <w:t xml:space="preserve">Věci </w:t>
      </w:r>
      <w:r w:rsidR="00E77C4A" w:rsidRPr="003D1E07">
        <w:t xml:space="preserve">také </w:t>
      </w:r>
      <w:r w:rsidR="005E6F19" w:rsidRPr="003D1E07">
        <w:t>existují samy o sobě</w:t>
      </w:r>
      <w:r w:rsidR="004E6FB3" w:rsidRPr="003D1E07">
        <w:t xml:space="preserve"> v rámci účinné kauzality</w:t>
      </w:r>
      <w:r w:rsidR="00C94386" w:rsidRPr="003D1E07">
        <w:t>. N</w:t>
      </w:r>
      <w:r w:rsidR="005E6F19" w:rsidRPr="003D1E07">
        <w:t>yní mají být vidět</w:t>
      </w:r>
      <w:r w:rsidR="00C94386" w:rsidRPr="003D1E07">
        <w:t xml:space="preserve"> skrze přenesené světlo, a to </w:t>
      </w:r>
      <w:r w:rsidR="08F962D0" w:rsidRPr="003D1E07">
        <w:t xml:space="preserve">v jejich </w:t>
      </w:r>
      <w:r w:rsidR="08CE5A4E" w:rsidRPr="003D1E07">
        <w:t>poznané barevnosti dané čistě akcidentálně</w:t>
      </w:r>
      <w:r w:rsidR="00900D17" w:rsidRPr="003D1E07">
        <w:t xml:space="preserve">. </w:t>
      </w:r>
      <w:r w:rsidR="080D7773" w:rsidRPr="003D1E07">
        <w:t xml:space="preserve">Nasvícená plocha </w:t>
      </w:r>
      <w:r w:rsidR="08B76272" w:rsidRPr="003D1E07">
        <w:t xml:space="preserve">nebo dokonce </w:t>
      </w:r>
      <w:r w:rsidR="080D7773" w:rsidRPr="003D1E07">
        <w:t xml:space="preserve">její poznání představuje vzhledem k substancím </w:t>
      </w:r>
      <w:r w:rsidR="08A905EA" w:rsidRPr="003D1E07">
        <w:t xml:space="preserve">pouhý </w:t>
      </w:r>
      <w:r w:rsidR="08C20860" w:rsidRPr="003D1E07">
        <w:t>a</w:t>
      </w:r>
      <w:r w:rsidR="080D7773" w:rsidRPr="003D1E07">
        <w:t>kcident</w:t>
      </w:r>
      <w:r w:rsidR="08865358" w:rsidRPr="003D1E07">
        <w:t xml:space="preserve"> daný v lidské nebo zvířecí duši</w:t>
      </w:r>
      <w:r w:rsidR="00E611DF" w:rsidRPr="003D1E07">
        <w:t xml:space="preserve">. </w:t>
      </w:r>
      <w:r w:rsidR="080D7773" w:rsidRPr="003D1E07">
        <w:t>Pak je jasné, že zprostředkování tohoto akcidentu nemůže zajišťovat substan</w:t>
      </w:r>
      <w:r w:rsidR="08496E1B" w:rsidRPr="003D1E07">
        <w:t>ce</w:t>
      </w:r>
      <w:r w:rsidR="00631917">
        <w:t xml:space="preserve"> sama o sobě. Ta nemá </w:t>
      </w:r>
      <w:r w:rsidR="08496E1B" w:rsidRPr="003D1E07">
        <w:t>recept</w:t>
      </w:r>
      <w:r w:rsidR="080D7773" w:rsidRPr="003D1E07">
        <w:t>ivní charakter</w:t>
      </w:r>
      <w:r w:rsidR="00631917">
        <w:t>, který charakterizuje poznání</w:t>
      </w:r>
      <w:r w:rsidR="080D7773" w:rsidRPr="003D1E07">
        <w:t xml:space="preserve">. </w:t>
      </w:r>
      <w:r w:rsidR="00A114A0" w:rsidRPr="003D1E07">
        <w:t>Averroe</w:t>
      </w:r>
      <w:r w:rsidR="00B50072" w:rsidRPr="003D1E07">
        <w:t>s s odkazem na Aristotela upozorňuje, že role diafanum se týká formální stránky vidění.</w:t>
      </w:r>
    </w:p>
    <w:p w14:paraId="5C2A1919" w14:textId="00DA324D" w:rsidR="006E0344" w:rsidRPr="003D1E07" w:rsidRDefault="006E0344" w:rsidP="006E0344">
      <w:pPr>
        <w:pStyle w:val="Citace"/>
        <w:rPr>
          <w:szCs w:val="15"/>
          <w:lang w:val="cs-CZ"/>
        </w:rPr>
      </w:pPr>
      <w:r w:rsidRPr="003D1E07">
        <w:rPr>
          <w:rStyle w:val="Zkladntextdkovn0pt"/>
          <w:rFonts w:ascii="Calibri" w:eastAsia="Times" w:hAnsi="Calibri" w:cs="Times New Roman"/>
          <w:spacing w:val="0"/>
          <w:sz w:val="22"/>
          <w:u w:val="none"/>
          <w:lang w:val="cs-CZ"/>
        </w:rPr>
        <w:lastRenderedPageBreak/>
        <w:t xml:space="preserve">„Je jasné, že pokud podržíme Aristotelova slova </w:t>
      </w:r>
      <w:r w:rsidR="087A6D7B" w:rsidRPr="003D1E07">
        <w:rPr>
          <w:rStyle w:val="Zkladntextdkovn0pt"/>
          <w:rFonts w:ascii="Calibri" w:eastAsia="Times" w:hAnsi="Calibri" w:cs="Times New Roman"/>
          <w:spacing w:val="0"/>
          <w:sz w:val="22"/>
          <w:u w:val="none"/>
          <w:lang w:val="cs-CZ"/>
        </w:rPr>
        <w:t xml:space="preserve">daná </w:t>
      </w:r>
      <w:r w:rsidRPr="003D1E07">
        <w:rPr>
          <w:rStyle w:val="Zkladntextdkovn0pt"/>
          <w:rFonts w:ascii="Calibri" w:eastAsia="Times" w:hAnsi="Calibri" w:cs="Times New Roman"/>
          <w:spacing w:val="0"/>
          <w:sz w:val="22"/>
          <w:u w:val="none"/>
          <w:lang w:val="cs-CZ"/>
        </w:rPr>
        <w:t>na začátku tohoto výklad</w:t>
      </w:r>
      <w:r w:rsidR="00471DB5" w:rsidRPr="003D1E07">
        <w:rPr>
          <w:rStyle w:val="Zkladntextdkovn0pt"/>
          <w:rFonts w:ascii="Calibri" w:eastAsia="Times" w:hAnsi="Calibri" w:cs="Times New Roman"/>
          <w:spacing w:val="0"/>
          <w:sz w:val="22"/>
          <w:u w:val="none"/>
          <w:lang w:val="cs-CZ"/>
        </w:rPr>
        <w:t xml:space="preserve">u (která navíc označil jako zřejmá sama sebou), pak je světlo nutné k tomu, aby způsobilo </w:t>
      </w:r>
      <w:r w:rsidR="0048490E">
        <w:rPr>
          <w:rStyle w:val="Zkladntextdkovn0pt"/>
          <w:rFonts w:ascii="Calibri" w:eastAsia="Times" w:hAnsi="Calibri" w:cs="Times New Roman"/>
          <w:spacing w:val="0"/>
          <w:sz w:val="22"/>
          <w:u w:val="none"/>
          <w:lang w:val="cs-CZ"/>
        </w:rPr>
        <w:t xml:space="preserve">aktuální stav </w:t>
      </w:r>
      <w:r w:rsidR="00471DB5" w:rsidRPr="003D1E07">
        <w:rPr>
          <w:rStyle w:val="Zkladntextdkovn0pt"/>
          <w:rFonts w:ascii="Calibri" w:eastAsia="Times" w:hAnsi="Calibri" w:cs="Times New Roman"/>
          <w:spacing w:val="0"/>
          <w:sz w:val="22"/>
          <w:u w:val="none"/>
          <w:lang w:val="cs-CZ"/>
        </w:rPr>
        <w:t xml:space="preserve">barev. A to </w:t>
      </w:r>
      <w:r w:rsidR="00C15991" w:rsidRPr="003D1E07">
        <w:rPr>
          <w:rStyle w:val="Zkladntextdkovn0pt"/>
          <w:rFonts w:ascii="Calibri" w:eastAsia="Times" w:hAnsi="Calibri" w:cs="Times New Roman"/>
          <w:spacing w:val="0"/>
          <w:sz w:val="22"/>
          <w:u w:val="none"/>
          <w:lang w:val="cs-CZ"/>
        </w:rPr>
        <w:t xml:space="preserve">se děje </w:t>
      </w:r>
      <w:r w:rsidR="00C73136">
        <w:rPr>
          <w:rStyle w:val="Zkladntextdkovn0pt"/>
          <w:rFonts w:ascii="Calibri" w:eastAsia="Times" w:hAnsi="Calibri" w:cs="Times New Roman"/>
          <w:spacing w:val="0"/>
          <w:sz w:val="22"/>
          <w:u w:val="none"/>
          <w:lang w:val="cs-CZ"/>
        </w:rPr>
        <w:t xml:space="preserve">tím, že </w:t>
      </w:r>
      <w:r w:rsidR="00C15991" w:rsidRPr="003D1E07">
        <w:rPr>
          <w:rStyle w:val="Zkladntextdkovn0pt"/>
          <w:rFonts w:ascii="Calibri" w:eastAsia="Times" w:hAnsi="Calibri" w:cs="Times New Roman"/>
          <w:spacing w:val="0"/>
          <w:sz w:val="22"/>
          <w:u w:val="none"/>
          <w:lang w:val="cs-CZ"/>
        </w:rPr>
        <w:t xml:space="preserve">světlo </w:t>
      </w:r>
      <w:r w:rsidR="00471DB5" w:rsidRPr="003D1E07">
        <w:rPr>
          <w:rStyle w:val="Zkladntextdkovn0pt"/>
          <w:rFonts w:ascii="Calibri" w:eastAsia="Times" w:hAnsi="Calibri" w:cs="Times New Roman"/>
          <w:spacing w:val="0"/>
          <w:sz w:val="22"/>
          <w:u w:val="none"/>
          <w:lang w:val="cs-CZ"/>
        </w:rPr>
        <w:t>dává diafanu určitou formu (</w:t>
      </w:r>
      <w:r w:rsidR="00471DB5" w:rsidRPr="003D1E07">
        <w:rPr>
          <w:rStyle w:val="CittHTML"/>
          <w:iCs w:val="0"/>
          <w:lang w:val="cs-CZ"/>
        </w:rPr>
        <w:t>secundum quod dat diaffono formam aliquam</w:t>
      </w:r>
      <w:r w:rsidR="00471DB5" w:rsidRPr="003D1E07">
        <w:rPr>
          <w:rStyle w:val="Zkladntextdkovn0pt"/>
          <w:rFonts w:ascii="Calibri" w:eastAsia="Times" w:hAnsi="Calibri" w:cs="Times New Roman"/>
          <w:spacing w:val="0"/>
          <w:sz w:val="22"/>
          <w:u w:val="none"/>
          <w:lang w:val="cs-CZ"/>
        </w:rPr>
        <w:t xml:space="preserve">). Skrze tuto formu je pro diafanum možné, aby přijalo </w:t>
      </w:r>
      <w:r w:rsidR="08907C08" w:rsidRPr="003D1E07">
        <w:rPr>
          <w:rStyle w:val="Zkladntextdkovn0pt"/>
          <w:rFonts w:ascii="Calibri" w:eastAsia="Times" w:hAnsi="Calibri" w:cs="Times New Roman"/>
          <w:spacing w:val="0"/>
          <w:sz w:val="22"/>
          <w:u w:val="none"/>
          <w:lang w:val="cs-CZ"/>
        </w:rPr>
        <w:t xml:space="preserve">aktualizaci </w:t>
      </w:r>
      <w:r w:rsidR="00471DB5" w:rsidRPr="003D1E07">
        <w:rPr>
          <w:rStyle w:val="Zkladntextdkovn0pt"/>
          <w:rFonts w:ascii="Calibri" w:eastAsia="Times" w:hAnsi="Calibri" w:cs="Times New Roman"/>
          <w:spacing w:val="0"/>
          <w:sz w:val="22"/>
          <w:u w:val="none"/>
          <w:lang w:val="cs-CZ"/>
        </w:rPr>
        <w:t>od barvy (</w:t>
      </w:r>
      <w:r w:rsidR="00471DB5" w:rsidRPr="003D1E07">
        <w:rPr>
          <w:rStyle w:val="CittHTML"/>
          <w:iCs w:val="0"/>
          <w:lang w:val="cs-CZ"/>
        </w:rPr>
        <w:t>qua recipit motum a colore</w:t>
      </w:r>
      <w:r w:rsidR="00471DB5" w:rsidRPr="003D1E07">
        <w:rPr>
          <w:rStyle w:val="Zkladntextdkovn0pt"/>
          <w:rFonts w:ascii="Calibri" w:eastAsia="Times" w:hAnsi="Calibri" w:cs="Times New Roman"/>
          <w:spacing w:val="0"/>
          <w:sz w:val="22"/>
          <w:u w:val="none"/>
          <w:lang w:val="cs-CZ"/>
        </w:rPr>
        <w:t>), což je iluminace.“ </w:t>
      </w:r>
      <w:r w:rsidRPr="003D1E07">
        <w:rPr>
          <w:rStyle w:val="Znakapoznpodarou"/>
          <w:noProof/>
          <w:sz w:val="21"/>
          <w:szCs w:val="15"/>
          <w:lang w:val="cs-CZ"/>
        </w:rPr>
        <w:footnoteReference w:id="271"/>
      </w:r>
    </w:p>
    <w:p w14:paraId="5611AABC" w14:textId="0C98F4CA" w:rsidR="007F0EDE" w:rsidRPr="003D1E07" w:rsidRDefault="00D34E63" w:rsidP="084D5CDE">
      <w:r w:rsidRPr="003D1E07">
        <w:t xml:space="preserve">Klíčovou složkou </w:t>
      </w:r>
      <w:r w:rsidR="006B1CE1" w:rsidRPr="003D1E07">
        <w:t xml:space="preserve">pro poznání </w:t>
      </w:r>
      <w:r w:rsidRPr="003D1E07">
        <w:t xml:space="preserve">není </w:t>
      </w:r>
      <w:r w:rsidR="00EF386E" w:rsidRPr="003D1E07">
        <w:t xml:space="preserve">sluneční </w:t>
      </w:r>
      <w:r w:rsidRPr="003D1E07">
        <w:t>paprsek</w:t>
      </w:r>
      <w:r w:rsidR="009103BE" w:rsidRPr="003D1E07">
        <w:t xml:space="preserve"> či dokonce samotné slunce</w:t>
      </w:r>
      <w:r w:rsidRPr="003D1E07">
        <w:t>, ale průsvitné prostředí</w:t>
      </w:r>
      <w:r w:rsidR="00543F83" w:rsidRPr="003D1E07">
        <w:t xml:space="preserve">, které je </w:t>
      </w:r>
      <w:r w:rsidR="00C83B75" w:rsidRPr="003D1E07">
        <w:t xml:space="preserve">tematizováno </w:t>
      </w:r>
      <w:r w:rsidR="00464F4B" w:rsidRPr="003D1E07">
        <w:t xml:space="preserve">na stejné úrovni </w:t>
      </w:r>
      <w:r w:rsidR="006B1CE1" w:rsidRPr="003D1E07">
        <w:t xml:space="preserve">důležitosti </w:t>
      </w:r>
      <w:r w:rsidR="00464F4B" w:rsidRPr="003D1E07">
        <w:t xml:space="preserve">jako barvy a </w:t>
      </w:r>
      <w:r w:rsidR="00207675" w:rsidRPr="003D1E07">
        <w:t xml:space="preserve">sluneční </w:t>
      </w:r>
      <w:r w:rsidR="00464F4B" w:rsidRPr="003D1E07">
        <w:t xml:space="preserve">paprsek. </w:t>
      </w:r>
      <w:r w:rsidR="00207675" w:rsidRPr="003D1E07">
        <w:t xml:space="preserve">Diafanum přenáší paprsek na barvy a </w:t>
      </w:r>
      <w:r w:rsidR="00DA575F">
        <w:t xml:space="preserve">ve druhém kroku </w:t>
      </w:r>
      <w:r w:rsidR="00207675" w:rsidRPr="003D1E07">
        <w:t xml:space="preserve">nám </w:t>
      </w:r>
      <w:r w:rsidR="00E421F1" w:rsidRPr="003D1E07">
        <w:t xml:space="preserve">či zvířatům </w:t>
      </w:r>
      <w:r w:rsidR="00207675" w:rsidRPr="003D1E07">
        <w:t xml:space="preserve">umožňuje jejich vidění. </w:t>
      </w:r>
      <w:r w:rsidR="00366C1B" w:rsidRPr="003D1E07">
        <w:t xml:space="preserve">Tato dvojí mediace je </w:t>
      </w:r>
      <w:r w:rsidR="00207675" w:rsidRPr="003D1E07">
        <w:t>naprosto klíčová jak v</w:t>
      </w:r>
      <w:r w:rsidR="08F0217F" w:rsidRPr="003D1E07">
        <w:t>e fyziká</w:t>
      </w:r>
      <w:r w:rsidR="085362FD" w:rsidRPr="003D1E07">
        <w:t>l</w:t>
      </w:r>
      <w:r w:rsidR="08F0217F" w:rsidRPr="003D1E07">
        <w:t xml:space="preserve">ním </w:t>
      </w:r>
      <w:r w:rsidR="00CC4F8C" w:rsidRPr="003D1E07">
        <w:t xml:space="preserve">přenosu </w:t>
      </w:r>
      <w:r w:rsidR="00207675" w:rsidRPr="003D1E07">
        <w:t xml:space="preserve">světla, tak v teorii poznání. </w:t>
      </w:r>
      <w:r w:rsidR="006C76A6" w:rsidRPr="003D1E07">
        <w:t>C</w:t>
      </w:r>
      <w:r w:rsidR="007D0489" w:rsidRPr="003D1E07">
        <w:t>itát ukazuje</w:t>
      </w:r>
      <w:r w:rsidR="00225A08" w:rsidRPr="003D1E07">
        <w:t xml:space="preserve"> </w:t>
      </w:r>
      <w:r w:rsidR="003E3A0E" w:rsidRPr="003D1E07">
        <w:t>proces</w:t>
      </w:r>
      <w:r w:rsidR="0079527D" w:rsidRPr="003D1E07">
        <w:t xml:space="preserve"> nasvícení</w:t>
      </w:r>
      <w:r w:rsidR="003E3A0E" w:rsidRPr="003D1E07">
        <w:t xml:space="preserve">, jenž se zásadně </w:t>
      </w:r>
      <w:r w:rsidR="0079527D" w:rsidRPr="003D1E07">
        <w:t>liš</w:t>
      </w:r>
      <w:r w:rsidR="003E3A0E" w:rsidRPr="003D1E07">
        <w:t>í</w:t>
      </w:r>
      <w:r w:rsidR="0079527D" w:rsidRPr="003D1E07">
        <w:t xml:space="preserve"> od neoplatonismu</w:t>
      </w:r>
      <w:r w:rsidR="00225A08" w:rsidRPr="003D1E07">
        <w:t>. S</w:t>
      </w:r>
      <w:r w:rsidR="00A000A9" w:rsidRPr="003D1E07">
        <w:t xml:space="preserve">lunce </w:t>
      </w:r>
      <w:r w:rsidR="007D0489" w:rsidRPr="003D1E07">
        <w:t xml:space="preserve">na rozdíl od </w:t>
      </w:r>
      <w:r w:rsidR="00A000A9" w:rsidRPr="003D1E07">
        <w:t>neoplatoniků není vůbec zmíněno</w:t>
      </w:r>
      <w:r w:rsidR="00744D8F" w:rsidRPr="003D1E07">
        <w:t xml:space="preserve">, jen </w:t>
      </w:r>
      <w:r w:rsidR="00225A08" w:rsidRPr="003D1E07">
        <w:t>s</w:t>
      </w:r>
      <w:r w:rsidR="007D0489" w:rsidRPr="003D1E07">
        <w:t>větelný paprsek (</w:t>
      </w:r>
      <w:r w:rsidR="007D0489" w:rsidRPr="003D1E07">
        <w:rPr>
          <w:i/>
        </w:rPr>
        <w:t>lux</w:t>
      </w:r>
      <w:r w:rsidR="08DE2647" w:rsidRPr="003D1E07">
        <w:t xml:space="preserve">). Ten aktualizuje </w:t>
      </w:r>
      <w:r w:rsidR="007D0489" w:rsidRPr="003D1E07">
        <w:t xml:space="preserve">diafanum </w:t>
      </w:r>
      <w:r w:rsidR="08DE2647" w:rsidRPr="003D1E07">
        <w:t>jako univerzální receptivní formu přijímající a předávající světlo (</w:t>
      </w:r>
      <w:r w:rsidR="08DE2647" w:rsidRPr="003D1E07">
        <w:rPr>
          <w:i/>
        </w:rPr>
        <w:t>dat diaffono formam aliquam</w:t>
      </w:r>
      <w:r w:rsidR="08DE2647" w:rsidRPr="003D1E07">
        <w:t xml:space="preserve">). </w:t>
      </w:r>
      <w:r w:rsidR="085C642C" w:rsidRPr="003D1E07">
        <w:t xml:space="preserve">Potenciální diafanum dostává formu díky působení slunečních paprsků. </w:t>
      </w:r>
      <w:r w:rsidR="085A0C49" w:rsidRPr="003D1E07">
        <w:t xml:space="preserve">Skrze diafanum </w:t>
      </w:r>
      <w:r w:rsidR="085C642C" w:rsidRPr="003D1E07">
        <w:t xml:space="preserve">se </w:t>
      </w:r>
      <w:r w:rsidR="007F4B49" w:rsidRPr="003D1E07">
        <w:t xml:space="preserve">aktualizují </w:t>
      </w:r>
      <w:r w:rsidR="005E72D1" w:rsidRPr="003D1E07">
        <w:t xml:space="preserve">nasvícené </w:t>
      </w:r>
      <w:r w:rsidR="085C642C" w:rsidRPr="003D1E07">
        <w:t xml:space="preserve">barvy </w:t>
      </w:r>
      <w:r w:rsidR="005E72D1" w:rsidRPr="003D1E07">
        <w:t>na samotné věci</w:t>
      </w:r>
      <w:r w:rsidR="006E3F09" w:rsidRPr="003D1E07">
        <w:t>, které diafanum opět přenese k našemu vnímání</w:t>
      </w:r>
      <w:r w:rsidR="00C03CB1" w:rsidRPr="003D1E07">
        <w:t xml:space="preserve"> ve formě </w:t>
      </w:r>
      <w:r w:rsidR="007C7559" w:rsidRPr="003D1E07">
        <w:t xml:space="preserve">ozářených </w:t>
      </w:r>
      <w:r w:rsidR="00C03CB1" w:rsidRPr="003D1E07">
        <w:t>barev</w:t>
      </w:r>
      <w:r w:rsidR="006E3F09" w:rsidRPr="003D1E07">
        <w:t xml:space="preserve"> (</w:t>
      </w:r>
      <w:r w:rsidR="006E3F09" w:rsidRPr="003D1E07">
        <w:rPr>
          <w:i/>
        </w:rPr>
        <w:t>recipit motum a colore, scilicet illuminationem</w:t>
      </w:r>
      <w:r w:rsidR="006E3F09" w:rsidRPr="003D1E07">
        <w:t>)</w:t>
      </w:r>
      <w:r w:rsidR="005E72D1" w:rsidRPr="003D1E07">
        <w:t xml:space="preserve">. </w:t>
      </w:r>
      <w:r w:rsidR="00187BAF" w:rsidRPr="003D1E07">
        <w:t>Nasvícená či průsvitná tělesa přijímají viditelnost</w:t>
      </w:r>
      <w:r w:rsidR="08702B8F" w:rsidRPr="003D1E07">
        <w:t xml:space="preserve"> skrze pohyb nasvícení takto</w:t>
      </w:r>
      <w:r w:rsidR="00180EB6" w:rsidRPr="003D1E07">
        <w:t xml:space="preserve"> </w:t>
      </w:r>
      <w:r w:rsidR="00187BAF" w:rsidRPr="003D1E07">
        <w:t>přijatým barevným paprskem</w:t>
      </w:r>
      <w:r w:rsidR="00180EB6" w:rsidRPr="003D1E07">
        <w:t>, tedy skrze diafanum</w:t>
      </w:r>
      <w:r w:rsidR="00255F43" w:rsidRPr="003D1E07">
        <w:t xml:space="preserve"> daném ve fyzikální podobě </w:t>
      </w:r>
      <w:r w:rsidR="00181259" w:rsidRPr="003D1E07">
        <w:t>(</w:t>
      </w:r>
      <w:r w:rsidR="00255F43" w:rsidRPr="003D1E07">
        <w:rPr>
          <w:i/>
        </w:rPr>
        <w:t>perspicuum</w:t>
      </w:r>
      <w:r w:rsidR="00181259" w:rsidRPr="003D1E07">
        <w:t>)</w:t>
      </w:r>
      <w:r w:rsidR="00255F43" w:rsidRPr="003D1E07">
        <w:rPr>
          <w:i/>
        </w:rPr>
        <w:fldChar w:fldCharType="begin"/>
      </w:r>
      <w:r w:rsidR="00255F43" w:rsidRPr="003D1E07">
        <w:instrText xml:space="preserve"> XE "</w:instrText>
      </w:r>
      <w:r w:rsidR="00255F43" w:rsidRPr="003D1E07">
        <w:rPr>
          <w:i/>
        </w:rPr>
        <w:instrText>perspicuum</w:instrText>
      </w:r>
      <w:r w:rsidR="00255F43" w:rsidRPr="003D1E07">
        <w:instrText xml:space="preserve">" </w:instrText>
      </w:r>
      <w:r w:rsidR="00255F43" w:rsidRPr="003D1E07">
        <w:rPr>
          <w:i/>
        </w:rPr>
        <w:fldChar w:fldCharType="end"/>
      </w:r>
      <w:r w:rsidR="00187BAF" w:rsidRPr="003D1E07">
        <w:t xml:space="preserve">. </w:t>
      </w:r>
      <w:r w:rsidR="084057BE" w:rsidRPr="003D1E07">
        <w:t xml:space="preserve">Nejprve musí paprsek skrze diafanum do barevné vitráže přijít, aby pak mohla zářit skrze formálně změné diafanum až do našeho oka. </w:t>
      </w:r>
      <w:r w:rsidR="08B574E6" w:rsidRPr="003D1E07">
        <w:t>D</w:t>
      </w:r>
      <w:r w:rsidR="00255F43" w:rsidRPr="003D1E07">
        <w:t>iafanum</w:t>
      </w:r>
      <w:r w:rsidR="00180EB6" w:rsidRPr="003D1E07">
        <w:t xml:space="preserve"> </w:t>
      </w:r>
      <w:r w:rsidR="006F4232" w:rsidRPr="003D1E07">
        <w:t xml:space="preserve">dostává aktuální formu </w:t>
      </w:r>
      <w:r w:rsidR="0022570E" w:rsidRPr="003D1E07">
        <w:t xml:space="preserve">skrze </w:t>
      </w:r>
      <w:r w:rsidR="002270C6" w:rsidRPr="003D1E07">
        <w:t xml:space="preserve">světlo </w:t>
      </w:r>
      <w:r w:rsidR="08345A29" w:rsidRPr="003D1E07">
        <w:t xml:space="preserve">nově </w:t>
      </w:r>
      <w:r w:rsidR="002270C6" w:rsidRPr="003D1E07">
        <w:t>formo</w:t>
      </w:r>
      <w:r w:rsidR="0022570E" w:rsidRPr="003D1E07">
        <w:t xml:space="preserve">vané průchodem </w:t>
      </w:r>
      <w:r w:rsidR="007C7559" w:rsidRPr="003D1E07">
        <w:t>vitráž</w:t>
      </w:r>
      <w:r w:rsidR="0022570E" w:rsidRPr="003D1E07">
        <w:t>e</w:t>
      </w:r>
      <w:r w:rsidR="08345A29" w:rsidRPr="003D1E07">
        <w:t>. A</w:t>
      </w:r>
      <w:r w:rsidR="08B574E6" w:rsidRPr="003D1E07">
        <w:t xml:space="preserve">le samo o sobě je </w:t>
      </w:r>
      <w:r w:rsidR="08345A29" w:rsidRPr="003D1E07">
        <w:t xml:space="preserve">diafanum </w:t>
      </w:r>
      <w:r w:rsidR="08B574E6" w:rsidRPr="003D1E07">
        <w:t>dáno</w:t>
      </w:r>
      <w:r w:rsidR="006F4232" w:rsidRPr="003D1E07">
        <w:t xml:space="preserve"> v</w:t>
      </w:r>
      <w:r w:rsidR="08345A29" w:rsidRPr="003D1E07">
        <w:t xml:space="preserve"> pouze jako </w:t>
      </w:r>
      <w:r w:rsidR="006F4232" w:rsidRPr="003D1E07">
        <w:t>potenc</w:t>
      </w:r>
      <w:r w:rsidR="08345A29" w:rsidRPr="003D1E07">
        <w:t>e schopná přijmout takto barevně změněné světlo</w:t>
      </w:r>
      <w:r w:rsidR="00237D64" w:rsidRPr="003D1E07">
        <w:rPr>
          <w:i/>
        </w:rPr>
        <w:fldChar w:fldCharType="begin"/>
      </w:r>
      <w:r w:rsidR="00237D64" w:rsidRPr="003D1E07">
        <w:instrText xml:space="preserve"> XE "diafanum:dvojí funkce" </w:instrText>
      </w:r>
      <w:r w:rsidR="00237D64" w:rsidRPr="003D1E07">
        <w:rPr>
          <w:i/>
        </w:rPr>
        <w:fldChar w:fldCharType="end"/>
      </w:r>
      <w:r w:rsidR="0094144F" w:rsidRPr="003D1E07">
        <w:t xml:space="preserve">. </w:t>
      </w:r>
      <w:r w:rsidR="0858029A" w:rsidRPr="003D1E07">
        <w:t>Averroes s odkazem na Aristotela tvrdí, že tento způsob mediace je naprosto zřejmý a jasný (</w:t>
      </w:r>
      <w:r w:rsidR="0858029A" w:rsidRPr="003D1E07">
        <w:rPr>
          <w:i/>
        </w:rPr>
        <w:t>manifesta per se</w:t>
      </w:r>
      <w:r w:rsidR="0858029A" w:rsidRPr="003D1E07">
        <w:t xml:space="preserve">). </w:t>
      </w:r>
      <w:r w:rsidR="009D529E" w:rsidRPr="003D1E07">
        <w:t>Averroe</w:t>
      </w:r>
      <w:r w:rsidR="001304E2" w:rsidRPr="003D1E07">
        <w:t xml:space="preserve">s upozorňuje </w:t>
      </w:r>
      <w:r w:rsidR="00466479" w:rsidRPr="003D1E07">
        <w:t xml:space="preserve">islámské </w:t>
      </w:r>
      <w:r w:rsidR="001304E2" w:rsidRPr="003D1E07">
        <w:t xml:space="preserve">modernisty </w:t>
      </w:r>
      <w:r w:rsidR="005F112C" w:rsidRPr="003D1E07">
        <w:t>jako Avicenna (</w:t>
      </w:r>
      <w:r w:rsidR="001304E2" w:rsidRPr="003D1E07">
        <w:t>a postmodernisty</w:t>
      </w:r>
      <w:r w:rsidR="00466479" w:rsidRPr="003D1E07">
        <w:t xml:space="preserve"> </w:t>
      </w:r>
      <w:r w:rsidR="005F112C" w:rsidRPr="003D1E07">
        <w:t>jako Locke)</w:t>
      </w:r>
      <w:r w:rsidR="001304E2" w:rsidRPr="003D1E07">
        <w:t>, že v přírodě neexistují žádné primární vlastnosti a kvality jako jsoucna třetího druhu.</w:t>
      </w:r>
      <w:r w:rsidR="0054293B" w:rsidRPr="003D1E07">
        <w:t xml:space="preserve"> Vůně stejně jako barvy existují jako akcidenty proto, že mají primární substanční subtrát a formálně určené médium, skrze které působí na naše smysly.</w:t>
      </w:r>
    </w:p>
    <w:p w14:paraId="7ECFDDF0" w14:textId="4EE3DCEC" w:rsidR="007F0EDE" w:rsidRPr="003D1E07" w:rsidRDefault="007F0EDE" w:rsidP="007F0EDE">
      <w:pPr>
        <w:pStyle w:val="Citace"/>
        <w:rPr>
          <w:noProof/>
          <w:lang w:val="cs-CZ"/>
        </w:rPr>
      </w:pPr>
      <w:r w:rsidRPr="003D1E07">
        <w:rPr>
          <w:noProof/>
          <w:lang w:val="cs-CZ"/>
        </w:rPr>
        <w:t>„</w:t>
      </w:r>
      <w:r w:rsidR="000F5CEE" w:rsidRPr="003D1E07">
        <w:rPr>
          <w:noProof/>
          <w:lang w:val="cs-CZ"/>
        </w:rPr>
        <w:t>(</w:t>
      </w:r>
      <w:r w:rsidR="00971D45" w:rsidRPr="003D1E07">
        <w:rPr>
          <w:noProof/>
          <w:lang w:val="cs-CZ"/>
        </w:rPr>
        <w:t>...</w:t>
      </w:r>
      <w:r w:rsidR="000F5CEE" w:rsidRPr="003D1E07">
        <w:rPr>
          <w:noProof/>
          <w:lang w:val="cs-CZ"/>
        </w:rPr>
        <w:t xml:space="preserve">) </w:t>
      </w:r>
      <w:r w:rsidR="0054293B" w:rsidRPr="003D1E07">
        <w:rPr>
          <w:noProof/>
          <w:lang w:val="cs-CZ"/>
        </w:rPr>
        <w:t xml:space="preserve">stejně jako </w:t>
      </w:r>
      <w:r w:rsidR="0025127A">
        <w:rPr>
          <w:noProof/>
          <w:lang w:val="cs-CZ"/>
        </w:rPr>
        <w:t xml:space="preserve">světlo </w:t>
      </w:r>
      <w:r w:rsidR="0054293B" w:rsidRPr="003D1E07">
        <w:rPr>
          <w:noProof/>
          <w:lang w:val="cs-CZ"/>
        </w:rPr>
        <w:t>v barevném tělese (</w:t>
      </w:r>
      <w:r w:rsidR="00B8677C" w:rsidRPr="003D1E07">
        <w:rPr>
          <w:noProof/>
          <w:lang w:val="cs-CZ"/>
        </w:rPr>
        <w:t xml:space="preserve">což </w:t>
      </w:r>
      <w:r w:rsidR="0054293B" w:rsidRPr="003D1E07">
        <w:rPr>
          <w:noProof/>
          <w:lang w:val="cs-CZ"/>
        </w:rPr>
        <w:t>je materiální těleso) a ve zprostředkujícím diafanu</w:t>
      </w:r>
      <w:r w:rsidR="00145280">
        <w:rPr>
          <w:noProof/>
          <w:lang w:val="cs-CZ"/>
        </w:rPr>
        <w:t>m</w:t>
      </w:r>
      <w:r w:rsidR="0054293B" w:rsidRPr="003D1E07">
        <w:rPr>
          <w:noProof/>
          <w:lang w:val="cs-CZ"/>
        </w:rPr>
        <w:t xml:space="preserve"> (</w:t>
      </w:r>
      <w:r w:rsidR="00B8677C" w:rsidRPr="003D1E07">
        <w:rPr>
          <w:noProof/>
          <w:lang w:val="cs-CZ"/>
        </w:rPr>
        <w:t xml:space="preserve">což </w:t>
      </w:r>
      <w:r w:rsidR="0054293B" w:rsidRPr="003D1E07">
        <w:rPr>
          <w:noProof/>
          <w:lang w:val="cs-CZ"/>
        </w:rPr>
        <w:t>je</w:t>
      </w:r>
      <w:r w:rsidR="00B8677C" w:rsidRPr="003D1E07">
        <w:rPr>
          <w:noProof/>
          <w:lang w:val="cs-CZ"/>
        </w:rPr>
        <w:t xml:space="preserve"> nemateriální způsob existence), podobně i vůně má dvojí způsob existence (</w:t>
      </w:r>
      <w:r w:rsidR="00B8677C" w:rsidRPr="003D1E07">
        <w:rPr>
          <w:i/>
          <w:lang w:val="cs-CZ"/>
        </w:rPr>
        <w:t>habet duplex esse</w:t>
      </w:r>
      <w:r w:rsidR="00B8677C" w:rsidRPr="003D1E07">
        <w:rPr>
          <w:noProof/>
          <w:lang w:val="cs-CZ"/>
        </w:rPr>
        <w:t>), totiž existenci v materiálním tělese a mediačním prostředí; to první je materiální povahy (</w:t>
      </w:r>
      <w:r w:rsidR="00B8677C" w:rsidRPr="003D1E07">
        <w:rPr>
          <w:i/>
          <w:szCs w:val="30"/>
          <w:lang w:val="cs-CZ"/>
        </w:rPr>
        <w:t xml:space="preserve">esse </w:t>
      </w:r>
      <w:r w:rsidR="00B8677C" w:rsidRPr="003D1E07">
        <w:rPr>
          <w:i/>
          <w:szCs w:val="30"/>
          <w:lang w:val="cs-CZ"/>
        </w:rPr>
        <w:lastRenderedPageBreak/>
        <w:t>corporale</w:t>
      </w:r>
      <w:r w:rsidR="00B8677C" w:rsidRPr="003D1E07">
        <w:rPr>
          <w:noProof/>
          <w:lang w:val="cs-CZ"/>
        </w:rPr>
        <w:t>) a to druhé nemateriální (</w:t>
      </w:r>
      <w:r w:rsidR="00B8677C" w:rsidRPr="003D1E07">
        <w:rPr>
          <w:i/>
          <w:szCs w:val="30"/>
          <w:lang w:val="cs-CZ"/>
        </w:rPr>
        <w:t>esse spirituale</w:t>
      </w:r>
      <w:r w:rsidR="00F073C7">
        <w:rPr>
          <w:i/>
          <w:szCs w:val="30"/>
          <w:lang w:val="cs-CZ"/>
        </w:rPr>
        <w:fldChar w:fldCharType="begin"/>
      </w:r>
      <w:r w:rsidR="00F073C7">
        <w:instrText xml:space="preserve"> XE "</w:instrText>
      </w:r>
      <w:r w:rsidR="00F073C7" w:rsidRPr="00104D90">
        <w:rPr>
          <w:i/>
          <w:szCs w:val="30"/>
          <w:lang w:val="cs-CZ"/>
        </w:rPr>
        <w:instrText>esse spirituale</w:instrText>
      </w:r>
      <w:r w:rsidR="00F073C7">
        <w:instrText xml:space="preserve">" </w:instrText>
      </w:r>
      <w:r w:rsidR="00F073C7">
        <w:rPr>
          <w:i/>
          <w:szCs w:val="30"/>
          <w:lang w:val="cs-CZ"/>
        </w:rPr>
        <w:fldChar w:fldCharType="end"/>
      </w:r>
      <w:r w:rsidR="00B8677C" w:rsidRPr="003D1E07">
        <w:rPr>
          <w:noProof/>
          <w:lang w:val="cs-CZ"/>
        </w:rPr>
        <w:t xml:space="preserve">), první je v přírodní substanci a to druhé je mimo substanci.“ </w:t>
      </w:r>
      <w:r w:rsidRPr="003D1E07">
        <w:rPr>
          <w:rStyle w:val="Znakapoznpodarou"/>
          <w:noProof/>
          <w:lang w:val="cs-CZ"/>
        </w:rPr>
        <w:footnoteReference w:id="272"/>
      </w:r>
    </w:p>
    <w:p w14:paraId="4E9B7148" w14:textId="77777777" w:rsidR="00D05A2B" w:rsidRDefault="00A00A35" w:rsidP="00A21B04">
      <w:r w:rsidRPr="003D1E07">
        <w:t>Diafanum tvoří médium, v němž</w:t>
      </w:r>
      <w:r w:rsidR="08F860B6" w:rsidRPr="003D1E07">
        <w:t xml:space="preserve"> materiální věc (</w:t>
      </w:r>
      <w:r w:rsidR="08F860B6" w:rsidRPr="003D1E07">
        <w:rPr>
          <w:i/>
        </w:rPr>
        <w:t>esse corporale</w:t>
      </w:r>
      <w:r w:rsidR="08F860B6" w:rsidRPr="003D1E07">
        <w:t xml:space="preserve">) působí na smysly a na intelekt tak, aby vznikl </w:t>
      </w:r>
      <w:r w:rsidR="001268F9" w:rsidRPr="003D1E07">
        <w:t>v mysli akcident typu „pozna</w:t>
      </w:r>
      <w:r w:rsidR="08F860B6" w:rsidRPr="003D1E07">
        <w:t>ný objekt</w:t>
      </w:r>
      <w:r w:rsidR="001268F9" w:rsidRPr="003D1E07">
        <w:t>“</w:t>
      </w:r>
      <w:r w:rsidR="08F860B6" w:rsidRPr="003D1E07">
        <w:t xml:space="preserve">. </w:t>
      </w:r>
      <w:r w:rsidR="00716BC1" w:rsidRPr="003D1E07">
        <w:t xml:space="preserve">Mezi oběma pojetími je stejný </w:t>
      </w:r>
      <w:r w:rsidR="00473804" w:rsidRPr="003D1E07">
        <w:t xml:space="preserve">kategoriální </w:t>
      </w:r>
      <w:r w:rsidR="00716BC1" w:rsidRPr="003D1E07">
        <w:t xml:space="preserve">rozdíl jako mezi první substancí danou </w:t>
      </w:r>
      <w:r w:rsidR="00473804" w:rsidRPr="003D1E07">
        <w:t xml:space="preserve">pouze </w:t>
      </w:r>
      <w:r w:rsidR="00716BC1" w:rsidRPr="003D1E07">
        <w:t xml:space="preserve">v realitě a druhou substancí danou pouze v mysli. </w:t>
      </w:r>
      <w:r w:rsidR="001268F9" w:rsidRPr="003D1E07">
        <w:t>Diafanum není substancí, protože n</w:t>
      </w:r>
      <w:r w:rsidR="08F860B6" w:rsidRPr="003D1E07">
        <w:t>emůže být ani nasvíceným objektem,</w:t>
      </w:r>
      <w:r w:rsidR="001268F9" w:rsidRPr="003D1E07">
        <w:t xml:space="preserve"> ani samotným paprskem, ani sluncem. To všechno jsou aktuální první substance. Diafanum je čistou potencí, protože </w:t>
      </w:r>
      <w:r w:rsidR="08F860B6" w:rsidRPr="003D1E07">
        <w:t xml:space="preserve">hraje roli mediátora mezi dvěma </w:t>
      </w:r>
      <w:r w:rsidR="08B65119" w:rsidRPr="003D1E07">
        <w:t xml:space="preserve">odlišnými akty: mezi aktem nasvícení fyzikálního tělesa a mezi aktem </w:t>
      </w:r>
      <w:r w:rsidR="087D17E2" w:rsidRPr="003D1E07">
        <w:t>poznání. P</w:t>
      </w:r>
      <w:r w:rsidR="084D5CDE" w:rsidRPr="003D1E07">
        <w:t xml:space="preserve">roto má barva, stejně jako vůně, </w:t>
      </w:r>
      <w:r w:rsidR="087D17E2" w:rsidRPr="003D1E07">
        <w:t>dvojí statut bytí</w:t>
      </w:r>
      <w:r w:rsidR="00671CCF" w:rsidRPr="003D1E07">
        <w:t xml:space="preserve"> (</w:t>
      </w:r>
      <w:r w:rsidR="00671CCF" w:rsidRPr="003D1E07">
        <w:rPr>
          <w:i/>
        </w:rPr>
        <w:t>duplex esse</w:t>
      </w:r>
      <w:r w:rsidR="00237D64" w:rsidRPr="003D1E07">
        <w:rPr>
          <w:i/>
        </w:rPr>
        <w:fldChar w:fldCharType="begin"/>
      </w:r>
      <w:r w:rsidR="00237D64" w:rsidRPr="003D1E07">
        <w:instrText xml:space="preserve"> XE "diafanum:dvojí funkce" </w:instrText>
      </w:r>
      <w:r w:rsidR="00237D64" w:rsidRPr="003D1E07">
        <w:rPr>
          <w:i/>
        </w:rPr>
        <w:fldChar w:fldCharType="end"/>
      </w:r>
      <w:r w:rsidR="00671CCF" w:rsidRPr="003D1E07">
        <w:t>)</w:t>
      </w:r>
      <w:r w:rsidR="00876E8D" w:rsidRPr="003D1E07">
        <w:t xml:space="preserve">. Vzhledem k existující substanci je </w:t>
      </w:r>
      <w:r w:rsidR="083310D4" w:rsidRPr="003D1E07">
        <w:t xml:space="preserve">diafanum </w:t>
      </w:r>
      <w:r w:rsidR="08BE6CCA" w:rsidRPr="003D1E07">
        <w:t>akcidentem</w:t>
      </w:r>
      <w:r w:rsidR="007F0EDE" w:rsidRPr="003D1E07">
        <w:t xml:space="preserve">, protože </w:t>
      </w:r>
      <w:r w:rsidR="004601FD">
        <w:t xml:space="preserve">barevné </w:t>
      </w:r>
      <w:r w:rsidR="007F0EDE" w:rsidRPr="003D1E07">
        <w:t>věci exis</w:t>
      </w:r>
      <w:r w:rsidR="00876E8D" w:rsidRPr="003D1E07">
        <w:t>t</w:t>
      </w:r>
      <w:r w:rsidR="007F0EDE" w:rsidRPr="003D1E07">
        <w:t>u</w:t>
      </w:r>
      <w:r w:rsidR="00876E8D" w:rsidRPr="003D1E07">
        <w:t>jí i ve tmě. Vzhledem k poznání věcí je formou danou p</w:t>
      </w:r>
      <w:r w:rsidR="08552F6D" w:rsidRPr="003D1E07">
        <w:t xml:space="preserve">ouze intencionálně, tedy </w:t>
      </w:r>
      <w:r w:rsidR="08BE6CCA" w:rsidRPr="003D1E07">
        <w:t xml:space="preserve">v rámci </w:t>
      </w:r>
      <w:r w:rsidR="00876E8D" w:rsidRPr="003D1E07">
        <w:t xml:space="preserve">smyslového a rozumového </w:t>
      </w:r>
      <w:r w:rsidR="08BE6CCA" w:rsidRPr="003D1E07">
        <w:t xml:space="preserve">poznání. </w:t>
      </w:r>
      <w:r w:rsidR="00FD20DC" w:rsidRPr="003D1E07">
        <w:t xml:space="preserve">Moderna a postmoderna udělala z této potence </w:t>
      </w:r>
      <w:r w:rsidR="009D529E" w:rsidRPr="003D1E07">
        <w:t xml:space="preserve">další </w:t>
      </w:r>
      <w:r w:rsidR="000C09C3">
        <w:t xml:space="preserve">substanci </w:t>
      </w:r>
      <w:r w:rsidR="00FD20DC" w:rsidRPr="003D1E07">
        <w:t xml:space="preserve">třetího druhu, tedy hypostázovanou primární kvalitu. Aristotelikové nemají </w:t>
      </w:r>
      <w:r w:rsidR="00553EDE" w:rsidRPr="003D1E07">
        <w:t xml:space="preserve">mytopoetický </w:t>
      </w:r>
      <w:r w:rsidR="00FD20DC" w:rsidRPr="003D1E07">
        <w:t>svět jsoucen třetího dr</w:t>
      </w:r>
      <w:r w:rsidR="08F16A7C" w:rsidRPr="003D1E07">
        <w:t xml:space="preserve">uhu jako objektivisté, protože </w:t>
      </w:r>
      <w:r w:rsidR="087B154F" w:rsidRPr="003D1E07">
        <w:t xml:space="preserve">kriticky </w:t>
      </w:r>
      <w:r w:rsidR="08F16A7C" w:rsidRPr="003D1E07">
        <w:t xml:space="preserve">rozlišují, co je dáno aktuálně a co je dáno pouze v mysli. </w:t>
      </w:r>
      <w:r w:rsidR="008970AB" w:rsidRPr="003D1E07">
        <w:t xml:space="preserve">V tomto </w:t>
      </w:r>
      <w:r w:rsidR="00303F68" w:rsidRPr="003D1E07">
        <w:t>s</w:t>
      </w:r>
      <w:r w:rsidR="08721805" w:rsidRPr="003D1E07">
        <w:t>chématu není možný žádný mezisvět</w:t>
      </w:r>
      <w:r w:rsidR="00303F68" w:rsidRPr="003D1E07">
        <w:fldChar w:fldCharType="begin"/>
      </w:r>
      <w:r w:rsidR="00303F68" w:rsidRPr="003D1E07">
        <w:instrText xml:space="preserve"> XE "</w:instrText>
      </w:r>
      <w:r w:rsidR="08C74175" w:rsidRPr="003D1E07">
        <w:instrText>diakosmos</w:instrText>
      </w:r>
      <w:r w:rsidR="00303F68" w:rsidRPr="003D1E07">
        <w:instrText xml:space="preserve">" </w:instrText>
      </w:r>
      <w:r w:rsidR="00303F68" w:rsidRPr="003D1E07">
        <w:fldChar w:fldCharType="end"/>
      </w:r>
      <w:r w:rsidR="008970AB" w:rsidRPr="003D1E07">
        <w:t xml:space="preserve"> objektivních mystiků a iluminátů</w:t>
      </w:r>
      <w:r w:rsidR="00303F68" w:rsidRPr="003D1E07">
        <w:t xml:space="preserve"> jako měl Avicenna (kap. 2.3.3)</w:t>
      </w:r>
      <w:r w:rsidR="007201C1" w:rsidRPr="003D1E07">
        <w:t xml:space="preserve"> a po nich Descartes, Arnauld, Locke, Husserl a další</w:t>
      </w:r>
      <w:r w:rsidR="00937CB2">
        <w:t>ch myslitelů</w:t>
      </w:r>
      <w:r w:rsidR="008970AB" w:rsidRPr="003D1E07">
        <w:t xml:space="preserve">. </w:t>
      </w:r>
      <w:r w:rsidR="00C02BFC" w:rsidRPr="003D1E07">
        <w:t>T</w:t>
      </w:r>
      <w:r w:rsidR="005B2B93" w:rsidRPr="003D1E07">
        <w:t xml:space="preserve">ělesa existují kolem nás </w:t>
      </w:r>
      <w:r w:rsidR="008D0215" w:rsidRPr="003D1E07">
        <w:t>jako první substance</w:t>
      </w:r>
      <w:r w:rsidR="087F1127" w:rsidRPr="003D1E07">
        <w:t>. M</w:t>
      </w:r>
      <w:r w:rsidR="005B2B93" w:rsidRPr="003D1E07">
        <w:t xml:space="preserve">y je </w:t>
      </w:r>
      <w:r w:rsidR="00C02BFC" w:rsidRPr="003D1E07">
        <w:t xml:space="preserve">navíc </w:t>
      </w:r>
      <w:r w:rsidR="08721805" w:rsidRPr="003D1E07">
        <w:t xml:space="preserve">akcidentálně </w:t>
      </w:r>
      <w:r w:rsidR="005B2B93" w:rsidRPr="003D1E07">
        <w:t xml:space="preserve">vnímáme </w:t>
      </w:r>
      <w:r w:rsidR="00480143" w:rsidRPr="003D1E07">
        <w:t xml:space="preserve">a poznáváme </w:t>
      </w:r>
      <w:r w:rsidR="08721805" w:rsidRPr="003D1E07">
        <w:t>jako barevná</w:t>
      </w:r>
      <w:r w:rsidR="085A0C49" w:rsidRPr="003D1E07">
        <w:t>, vonící, zvučící atd</w:t>
      </w:r>
      <w:r w:rsidR="00927019" w:rsidRPr="003D1E07">
        <w:t xml:space="preserve">. </w:t>
      </w:r>
      <w:r w:rsidR="08F860B6" w:rsidRPr="003D1E07">
        <w:t xml:space="preserve">Role </w:t>
      </w:r>
      <w:r w:rsidR="009E695A" w:rsidRPr="003D1E07">
        <w:t xml:space="preserve">mediátora mezi touto dvojí </w:t>
      </w:r>
      <w:r w:rsidR="08F860B6" w:rsidRPr="003D1E07">
        <w:t>bytnost</w:t>
      </w:r>
      <w:r w:rsidR="009E695A" w:rsidRPr="003D1E07">
        <w:t>í</w:t>
      </w:r>
      <w:r w:rsidR="08F860B6" w:rsidRPr="003D1E07">
        <w:t xml:space="preserve"> </w:t>
      </w:r>
      <w:r w:rsidR="00BC6B06" w:rsidRPr="003D1E07">
        <w:t xml:space="preserve">prvních substancí </w:t>
      </w:r>
      <w:r w:rsidR="08F860B6" w:rsidRPr="003D1E07">
        <w:t xml:space="preserve">je </w:t>
      </w:r>
      <w:r w:rsidR="086A2D6F" w:rsidRPr="003D1E07">
        <w:t xml:space="preserve">pro statut diafanum </w:t>
      </w:r>
      <w:r w:rsidR="08F860B6" w:rsidRPr="003D1E07">
        <w:t>naprosto</w:t>
      </w:r>
      <w:r w:rsidR="00DE2482">
        <w:t xml:space="preserve"> zásadní. D</w:t>
      </w:r>
      <w:r w:rsidR="00681A62" w:rsidRPr="003D1E07">
        <w:t>iafanum</w:t>
      </w:r>
      <w:r w:rsidR="009C1C6A" w:rsidRPr="003D1E07">
        <w:t xml:space="preserve"> </w:t>
      </w:r>
      <w:r w:rsidR="00DE2482">
        <w:t>„existuje“ jako formálně určená</w:t>
      </w:r>
      <w:r w:rsidR="009C1C6A" w:rsidRPr="003D1E07">
        <w:t xml:space="preserve"> potenc</w:t>
      </w:r>
      <w:r w:rsidR="00DE2482">
        <w:t>e</w:t>
      </w:r>
      <w:r w:rsidR="009C1C6A" w:rsidRPr="003D1E07">
        <w:t>, která</w:t>
      </w:r>
      <w:r w:rsidR="00681A62" w:rsidRPr="003D1E07">
        <w:t xml:space="preserve"> z hlediska přenosu </w:t>
      </w:r>
      <w:r w:rsidR="00684EFC">
        <w:t xml:space="preserve">má </w:t>
      </w:r>
      <w:r w:rsidR="08F860B6" w:rsidRPr="003D1E07">
        <w:t xml:space="preserve">dvě funkce. </w:t>
      </w:r>
      <w:r w:rsidR="081A49D3" w:rsidRPr="003D1E07">
        <w:t xml:space="preserve">V modu mediace jako </w:t>
      </w:r>
      <w:r w:rsidR="081A49D3" w:rsidRPr="003D1E07">
        <w:rPr>
          <w:i/>
        </w:rPr>
        <w:t>perspicuum</w:t>
      </w:r>
      <w:r w:rsidR="081A49D3" w:rsidRPr="003D1E07">
        <w:t xml:space="preserve"> v</w:t>
      </w:r>
      <w:r w:rsidR="00E24395" w:rsidRPr="003D1E07">
        <w:t xml:space="preserve">ytváří </w:t>
      </w:r>
      <w:r w:rsidR="009E695A" w:rsidRPr="003D1E07">
        <w:t xml:space="preserve">novou </w:t>
      </w:r>
      <w:r w:rsidR="0809289B" w:rsidRPr="003D1E07">
        <w:t>akcident</w:t>
      </w:r>
      <w:r w:rsidR="003A5FCD" w:rsidRPr="003D1E07">
        <w:t xml:space="preserve">ální vlastnost </w:t>
      </w:r>
      <w:r w:rsidR="00E24395" w:rsidRPr="003D1E07">
        <w:t>externího</w:t>
      </w:r>
      <w:r w:rsidR="00713D41" w:rsidRPr="003D1E07">
        <w:t xml:space="preserve"> těles</w:t>
      </w:r>
      <w:r w:rsidR="00E24395" w:rsidRPr="003D1E07">
        <w:t>a</w:t>
      </w:r>
      <w:r w:rsidR="08EC5875" w:rsidRPr="003D1E07">
        <w:t xml:space="preserve">, což je barevná plocha. Další mediací </w:t>
      </w:r>
      <w:r w:rsidR="081A49D3" w:rsidRPr="003D1E07">
        <w:t xml:space="preserve">v modu </w:t>
      </w:r>
      <w:r w:rsidR="081A49D3" w:rsidRPr="003D1E07">
        <w:rPr>
          <w:i/>
        </w:rPr>
        <w:t>diaffonum</w:t>
      </w:r>
      <w:r w:rsidR="081A49D3" w:rsidRPr="003D1E07">
        <w:t xml:space="preserve"> </w:t>
      </w:r>
      <w:r w:rsidR="00E24395" w:rsidRPr="003D1E07">
        <w:t xml:space="preserve">zakládá </w:t>
      </w:r>
      <w:r w:rsidR="00DB7DF3" w:rsidRPr="003D1E07">
        <w:t xml:space="preserve">akt </w:t>
      </w:r>
      <w:r w:rsidR="0809289B" w:rsidRPr="003D1E07">
        <w:t>poznání</w:t>
      </w:r>
      <w:r w:rsidR="001077B0" w:rsidRPr="003D1E07">
        <w:t xml:space="preserve"> této </w:t>
      </w:r>
      <w:r w:rsidR="00296F86" w:rsidRPr="003D1E07">
        <w:t xml:space="preserve">barevné </w:t>
      </w:r>
      <w:r w:rsidR="001077B0" w:rsidRPr="003D1E07">
        <w:t>plochy</w:t>
      </w:r>
      <w:r w:rsidR="0809289B" w:rsidRPr="003D1E07">
        <w:t xml:space="preserve">. </w:t>
      </w:r>
      <w:r w:rsidR="08585112" w:rsidRPr="003D1E07">
        <w:t>Poslední</w:t>
      </w:r>
      <w:r w:rsidR="081A49D3" w:rsidRPr="003D1E07">
        <w:t xml:space="preserve"> operace změní diafanum na nemateriální duševní schopnost (</w:t>
      </w:r>
      <w:r w:rsidR="081A49D3" w:rsidRPr="003D1E07">
        <w:rPr>
          <w:i/>
        </w:rPr>
        <w:t>intellectus possibilis</w:t>
      </w:r>
      <w:r w:rsidR="083A4B61" w:rsidRPr="003D1E07">
        <w:t>) a ta umožní koncept</w:t>
      </w:r>
      <w:r w:rsidR="081A49D3" w:rsidRPr="003D1E07">
        <w:t xml:space="preserve">uální poznání. </w:t>
      </w:r>
      <w:r w:rsidR="08585112" w:rsidRPr="003D1E07">
        <w:t xml:space="preserve">Všechny tři mody určování jsou </w:t>
      </w:r>
      <w:r w:rsidR="001E7BEB" w:rsidRPr="003D1E07">
        <w:t>pouze akcidenty</w:t>
      </w:r>
      <w:r w:rsidR="001E7BEB">
        <w:t xml:space="preserve"> </w:t>
      </w:r>
      <w:r w:rsidR="00DB7DF3" w:rsidRPr="003D1E07">
        <w:t>vzhledem k</w:t>
      </w:r>
      <w:r w:rsidR="001E7BEB">
        <w:t xml:space="preserve"> substančnímu </w:t>
      </w:r>
      <w:r w:rsidR="00DB7DF3" w:rsidRPr="003D1E07">
        <w:t xml:space="preserve">paprsku a </w:t>
      </w:r>
      <w:r w:rsidR="001E7BEB">
        <w:t>materální věci</w:t>
      </w:r>
      <w:r w:rsidR="007E06C0" w:rsidRPr="003D1E07">
        <w:t>. D</w:t>
      </w:r>
      <w:r w:rsidR="00DB7DF3" w:rsidRPr="003D1E07">
        <w:t>i</w:t>
      </w:r>
      <w:r w:rsidR="00083807" w:rsidRPr="003D1E07">
        <w:t>a</w:t>
      </w:r>
      <w:r w:rsidR="00DB7DF3" w:rsidRPr="003D1E07">
        <w:t>fanum zakládá možnost tohoto určení</w:t>
      </w:r>
      <w:r w:rsidR="007C7F4C" w:rsidRPr="003D1E07">
        <w:t xml:space="preserve"> jako akcidentu</w:t>
      </w:r>
      <w:r w:rsidR="00DB7DF3" w:rsidRPr="003D1E07">
        <w:t xml:space="preserve">. </w:t>
      </w:r>
      <w:r w:rsidR="007E06C0" w:rsidRPr="003D1E07">
        <w:t xml:space="preserve">Proto </w:t>
      </w:r>
      <w:r w:rsidR="00DB7DF3" w:rsidRPr="003D1E07">
        <w:t xml:space="preserve">neexistuje </w:t>
      </w:r>
      <w:r w:rsidR="00D73472" w:rsidRPr="003D1E07">
        <w:t xml:space="preserve">jako </w:t>
      </w:r>
      <w:r w:rsidR="00F63202" w:rsidRPr="003D1E07">
        <w:t xml:space="preserve">aktuální </w:t>
      </w:r>
      <w:r w:rsidR="00DB7DF3" w:rsidRPr="003D1E07">
        <w:t>substance</w:t>
      </w:r>
      <w:r w:rsidR="083A4B61" w:rsidRPr="003D1E07">
        <w:t xml:space="preserve"> nebo forma</w:t>
      </w:r>
      <w:r w:rsidR="00D73472" w:rsidRPr="003D1E07">
        <w:t xml:space="preserve">, protože by </w:t>
      </w:r>
      <w:r w:rsidR="00F63202" w:rsidRPr="003D1E07">
        <w:t xml:space="preserve">přišlo o základní atribut plné receptivity a </w:t>
      </w:r>
      <w:r w:rsidR="00D73472" w:rsidRPr="003D1E07">
        <w:t xml:space="preserve">nemohlo </w:t>
      </w:r>
      <w:r w:rsidR="00F63202" w:rsidRPr="003D1E07">
        <w:t xml:space="preserve">by </w:t>
      </w:r>
      <w:r w:rsidR="08B37F73" w:rsidRPr="003D1E07">
        <w:t xml:space="preserve">vůbec </w:t>
      </w:r>
      <w:r w:rsidR="00D73472" w:rsidRPr="003D1E07">
        <w:t>nic přenášet</w:t>
      </w:r>
      <w:r w:rsidR="00DB7DF3" w:rsidRPr="003D1E07">
        <w:t xml:space="preserve">. </w:t>
      </w:r>
      <w:r w:rsidR="08206C87" w:rsidRPr="003D1E07">
        <w:t>Není substrátem (</w:t>
      </w:r>
      <w:r w:rsidR="08206C87" w:rsidRPr="003D1E07">
        <w:rPr>
          <w:i/>
        </w:rPr>
        <w:t>subiectum</w:t>
      </w:r>
      <w:r w:rsidR="08206C87" w:rsidRPr="003D1E07">
        <w:t xml:space="preserve">) ani pro vznik barevné plochy, </w:t>
      </w:r>
      <w:r w:rsidR="08206C87" w:rsidRPr="003D1E07">
        <w:lastRenderedPageBreak/>
        <w:t xml:space="preserve">ani jejího poznání ve smyslovém orgánu. </w:t>
      </w:r>
      <w:r w:rsidR="00EC2517" w:rsidRPr="003D1E07">
        <w:t xml:space="preserve">V tom se </w:t>
      </w:r>
      <w:r w:rsidR="08AD7B6E" w:rsidRPr="003D1E07">
        <w:t xml:space="preserve">diafanum </w:t>
      </w:r>
      <w:r w:rsidR="00EC2517" w:rsidRPr="003D1E07">
        <w:t xml:space="preserve">podobá definici </w:t>
      </w:r>
      <w:r w:rsidR="00EC2517" w:rsidRPr="003D1E07">
        <w:rPr>
          <w:i/>
        </w:rPr>
        <w:t>intellectus possibilis</w:t>
      </w:r>
      <w:r w:rsidR="0818230B" w:rsidRPr="003D1E07">
        <w:t xml:space="preserve"> a </w:t>
      </w:r>
      <w:r w:rsidR="00EC2517" w:rsidRPr="003D1E07">
        <w:t xml:space="preserve">proto tematizace </w:t>
      </w:r>
      <w:r w:rsidR="08AD7B6E" w:rsidRPr="003D1E07">
        <w:t xml:space="preserve">diafanum </w:t>
      </w:r>
      <w:r w:rsidR="00EC2517" w:rsidRPr="003D1E07">
        <w:t xml:space="preserve">předchází </w:t>
      </w:r>
      <w:r w:rsidR="00B1063C" w:rsidRPr="003D1E07">
        <w:t xml:space="preserve">ve spise </w:t>
      </w:r>
      <w:r w:rsidR="00B1063C" w:rsidRPr="003D1E07">
        <w:rPr>
          <w:i/>
        </w:rPr>
        <w:t>De anima</w:t>
      </w:r>
      <w:r w:rsidR="00B1063C" w:rsidRPr="003D1E07">
        <w:t xml:space="preserve"> zkoumání </w:t>
      </w:r>
      <w:r w:rsidR="08A564CD" w:rsidRPr="003D1E07">
        <w:t xml:space="preserve">lidské </w:t>
      </w:r>
      <w:r w:rsidR="00B1063C" w:rsidRPr="003D1E07">
        <w:t>duše</w:t>
      </w:r>
      <w:r w:rsidR="00D05A2B">
        <w:t>.</w:t>
      </w:r>
    </w:p>
    <w:p w14:paraId="5C613556" w14:textId="77777777" w:rsidR="00846BF6" w:rsidRDefault="00597124" w:rsidP="00EE17B8">
      <w:pPr>
        <w:ind w:firstLine="397"/>
      </w:pPr>
      <w:r w:rsidRPr="003D1E07">
        <w:t xml:space="preserve">Neoplatonikové </w:t>
      </w:r>
      <w:r w:rsidR="00193AF7" w:rsidRPr="003D1E07">
        <w:t xml:space="preserve">a objektivisté </w:t>
      </w:r>
      <w:r w:rsidRPr="003D1E07">
        <w:t xml:space="preserve">neviděli </w:t>
      </w:r>
      <w:r w:rsidR="003A5FCD" w:rsidRPr="003D1E07">
        <w:t xml:space="preserve">a nevidí </w:t>
      </w:r>
      <w:r w:rsidRPr="003D1E07">
        <w:t xml:space="preserve">roli formální kauzality </w:t>
      </w:r>
      <w:r w:rsidR="0046009A" w:rsidRPr="003D1E07">
        <w:t xml:space="preserve">diafanum </w:t>
      </w:r>
      <w:r w:rsidR="00866591" w:rsidRPr="003D1E07">
        <w:t>v procesu vidění</w:t>
      </w:r>
      <w:r w:rsidR="00F3784E" w:rsidRPr="003D1E07">
        <w:rPr>
          <w:i/>
        </w:rPr>
        <w:fldChar w:fldCharType="begin"/>
      </w:r>
      <w:r w:rsidR="00F3784E" w:rsidRPr="003D1E07">
        <w:instrText xml:space="preserve"> XE "</w:instrText>
      </w:r>
      <w:r w:rsidR="00F3784E" w:rsidRPr="003D1E07">
        <w:rPr>
          <w:i/>
        </w:rPr>
        <w:instrText>tertium ens</w:instrText>
      </w:r>
      <w:r w:rsidR="00F3784E" w:rsidRPr="003D1E07">
        <w:instrText xml:space="preserve">" </w:instrText>
      </w:r>
      <w:r w:rsidR="00F3784E" w:rsidRPr="003D1E07">
        <w:rPr>
          <w:i/>
        </w:rPr>
        <w:fldChar w:fldCharType="end"/>
      </w:r>
      <w:r w:rsidR="00866591" w:rsidRPr="003D1E07">
        <w:t xml:space="preserve">. Modernisté </w:t>
      </w:r>
      <w:r w:rsidR="0837682A" w:rsidRPr="003D1E07">
        <w:t xml:space="preserve">žijí </w:t>
      </w:r>
      <w:r w:rsidRPr="003D1E07">
        <w:t xml:space="preserve">v iluzi, že světlo </w:t>
      </w:r>
      <w:r w:rsidR="08E70D14" w:rsidRPr="003D1E07">
        <w:t>a intelekt dělají</w:t>
      </w:r>
      <w:r w:rsidRPr="003D1E07">
        <w:t xml:space="preserve"> všechno samo. </w:t>
      </w:r>
      <w:r w:rsidR="00AB3D1C" w:rsidRPr="003D1E07">
        <w:t>Pak ale nejsou schopni spojit smyslové a inteligib</w:t>
      </w:r>
      <w:r w:rsidR="08A9746C" w:rsidRPr="003D1E07">
        <w:t>ilní poznání, protože nemají mediaci</w:t>
      </w:r>
      <w:r w:rsidR="00CD4F47" w:rsidRPr="003D1E07">
        <w:t xml:space="preserve"> mezi oběma mody</w:t>
      </w:r>
      <w:r w:rsidR="00AB3D1C" w:rsidRPr="003D1E07">
        <w:t xml:space="preserve">. </w:t>
      </w:r>
      <w:r w:rsidR="00696534" w:rsidRPr="003D1E07">
        <w:t>Reá</w:t>
      </w:r>
      <w:r w:rsidR="00B54685" w:rsidRPr="003D1E07">
        <w:t xml:space="preserve">lný průběh manifestace světla napojený fenomenologii </w:t>
      </w:r>
      <w:r w:rsidR="00696534" w:rsidRPr="003D1E07">
        <w:t xml:space="preserve">vidění </w:t>
      </w:r>
      <w:r w:rsidR="00083807" w:rsidRPr="003D1E07">
        <w:t>byl pro Aristotela naprosto evidentní</w:t>
      </w:r>
      <w:r w:rsidR="00696534" w:rsidRPr="003D1E07">
        <w:t xml:space="preserve"> fenomén</w:t>
      </w:r>
      <w:r w:rsidR="00083807" w:rsidRPr="003D1E07">
        <w:t>,</w:t>
      </w:r>
      <w:r w:rsidR="00123197" w:rsidRPr="003D1E07">
        <w:t xml:space="preserve"> na rozdíl od </w:t>
      </w:r>
      <w:r w:rsidR="0078543F" w:rsidRPr="003D1E07">
        <w:t xml:space="preserve">dogmatické </w:t>
      </w:r>
      <w:r w:rsidR="005D1C3F" w:rsidRPr="003D1E07">
        <w:t>moderny oslepené sluncem intelektu.</w:t>
      </w:r>
      <w:r w:rsidR="00EE17B8">
        <w:t xml:space="preserve"> Modernisté </w:t>
      </w:r>
      <w:r w:rsidR="00EE17B8" w:rsidRPr="003D1E07">
        <w:t xml:space="preserve">mají možný intelekt pouze v modu </w:t>
      </w:r>
      <w:r w:rsidR="00EE17B8" w:rsidRPr="003D1E07">
        <w:rPr>
          <w:i/>
        </w:rPr>
        <w:t>tertium ens</w:t>
      </w:r>
      <w:r w:rsidR="00EE17B8">
        <w:rPr>
          <w:i/>
        </w:rPr>
        <w:t>.</w:t>
      </w:r>
      <w:r w:rsidR="00EE17B8">
        <w:t xml:space="preserve"> </w:t>
      </w:r>
      <w:r w:rsidR="00C27082">
        <w:t xml:space="preserve">Avicenna měl </w:t>
      </w:r>
      <w:r w:rsidR="00C13EA5" w:rsidRPr="003D1E07">
        <w:t xml:space="preserve">pojetí intencionality mylně přidané do reálné věci nebo hypostázované na způsob substance třetího druhu staví CMDA otázku </w:t>
      </w:r>
      <w:r w:rsidR="00C13EA5" w:rsidRPr="003D1E07">
        <w:rPr>
          <w:i/>
        </w:rPr>
        <w:t>intentio</w:t>
      </w:r>
      <w:r w:rsidR="00C13EA5" w:rsidRPr="003D1E07">
        <w:t xml:space="preserve"> a </w:t>
      </w:r>
      <w:r w:rsidR="00C13EA5" w:rsidRPr="003D1E07">
        <w:rPr>
          <w:i/>
        </w:rPr>
        <w:t>comprehensio</w:t>
      </w:r>
      <w:r w:rsidR="00C13EA5" w:rsidRPr="003D1E07">
        <w:t xml:space="preserve"> pouze na stranu smyslové a inteligibilní species.</w:t>
      </w:r>
      <w:r w:rsidR="00C13EA5" w:rsidRPr="003D1E07">
        <w:rPr>
          <w:rStyle w:val="Znakapoznpodarou"/>
        </w:rPr>
        <w:footnoteReference w:id="273"/>
      </w:r>
      <w:r w:rsidR="00C13EA5" w:rsidRPr="003D1E07">
        <w:t xml:space="preserve"> Spis CMDA brání stanovisko aristoteliků školy Ibn Ádího, kteří odmítli hypostázovat přirozenost a kvality mimo reálně danou první substanci, jak to měli neoplatonikové Al-Kindího</w:t>
      </w:r>
      <w:r w:rsidR="00C13EA5" w:rsidRPr="003D1E07">
        <w:fldChar w:fldCharType="begin"/>
      </w:r>
      <w:r w:rsidR="00C13EA5" w:rsidRPr="003D1E07">
        <w:instrText xml:space="preserve"> XE "Al-Kindí" </w:instrText>
      </w:r>
      <w:r w:rsidR="00C13EA5" w:rsidRPr="003D1E07">
        <w:fldChar w:fldCharType="end"/>
      </w:r>
      <w:r w:rsidR="00C13EA5" w:rsidRPr="003D1E07">
        <w:t xml:space="preserve"> školy (kap. 2.2). Reálné jsoucno nemůže přímo působit na smyslové a inteligibilní poznání, proto je třeba trojí diafanum. Modus „být ozářen“ se zásadně liší od modu „být vnímán“ a ten se liší od již pouze lidského výkonu „být poznán“. Bez mediace aktuálního světla skrze potenciální diafanum není možná pravda jako adekvace (</w:t>
      </w:r>
      <w:r w:rsidR="00C13EA5" w:rsidRPr="003D1E07">
        <w:rPr>
          <w:i/>
        </w:rPr>
        <w:t>proportio</w:t>
      </w:r>
      <w:r w:rsidR="00C13EA5" w:rsidRPr="003D1E07">
        <w:rPr>
          <w:i/>
        </w:rPr>
        <w:fldChar w:fldCharType="begin"/>
      </w:r>
      <w:r w:rsidR="00C13EA5" w:rsidRPr="003D1E07">
        <w:instrText xml:space="preserve"> XE "pravda:</w:instrText>
      </w:r>
      <w:r w:rsidR="00C13EA5" w:rsidRPr="003D1E07">
        <w:rPr>
          <w:i/>
        </w:rPr>
        <w:instrText>proportio</w:instrText>
      </w:r>
      <w:r w:rsidR="00C13EA5" w:rsidRPr="003D1E07">
        <w:instrText xml:space="preserve">" </w:instrText>
      </w:r>
      <w:r w:rsidR="00C13EA5" w:rsidRPr="003D1E07">
        <w:rPr>
          <w:i/>
        </w:rPr>
        <w:fldChar w:fldCharType="end"/>
      </w:r>
      <w:r w:rsidR="00C13EA5" w:rsidRPr="003D1E07">
        <w:t xml:space="preserve">). Proto je pro Aristotela existence diafanum dána na úrovni evidentních předpokladů poznání. Toto fundamentální </w:t>
      </w:r>
      <w:r w:rsidR="00C13EA5" w:rsidRPr="003D1E07">
        <w:rPr>
          <w:i/>
        </w:rPr>
        <w:t>Lichtung</w:t>
      </w:r>
      <w:r w:rsidR="00C13EA5" w:rsidRPr="003D1E07">
        <w:t xml:space="preserve"> dané skrze diafanum zakládá zjevnost světa podle adekvační teorie </w:t>
      </w:r>
      <w:r w:rsidR="00C13EA5" w:rsidRPr="003D1E07">
        <w:rPr>
          <w:i/>
        </w:rPr>
        <w:t>De anima</w:t>
      </w:r>
      <w:r w:rsidR="00C13EA5" w:rsidRPr="003D1E07">
        <w:t>. Paprsek vzatý sám o sobě nemá na to, jak by mohl způsobit poznání, protože to je činnost úplně jiného druhu způsobená zvířetem nebo osobou jako aktuální první substancí.</w:t>
      </w:r>
      <w:r w:rsidR="00C13EA5">
        <w:t xml:space="preserve"> </w:t>
      </w:r>
      <w:r w:rsidR="00B35CF0" w:rsidRPr="003D1E07">
        <w:t>O</w:t>
      </w:r>
      <w:r w:rsidR="00B02E87" w:rsidRPr="003D1E07">
        <w:t>myl Avicennovy intencionality spočívá</w:t>
      </w:r>
      <w:r w:rsidR="00B35CF0" w:rsidRPr="003D1E07">
        <w:t xml:space="preserve"> v tom, že nerozlišuje mezi externí věcí a mezi jejím intencionálním předmětem a zakládá </w:t>
      </w:r>
      <w:r w:rsidR="08112139" w:rsidRPr="003D1E07">
        <w:t>jsoucno</w:t>
      </w:r>
      <w:r w:rsidR="00B35CF0" w:rsidRPr="003D1E07">
        <w:t xml:space="preserve"> třetího druhu.</w:t>
      </w:r>
      <w:r w:rsidR="00B35CF0" w:rsidRPr="003D1E07">
        <w:rPr>
          <w:rStyle w:val="Znakapoznpodarou"/>
        </w:rPr>
        <w:footnoteReference w:id="274"/>
      </w:r>
      <w:r w:rsidR="00B35CF0" w:rsidRPr="003D1E07">
        <w:t xml:space="preserve"> </w:t>
      </w:r>
      <w:r w:rsidR="087A2E26" w:rsidRPr="003D1E07">
        <w:t xml:space="preserve">Avicenna </w:t>
      </w:r>
      <w:r w:rsidR="08206631" w:rsidRPr="003D1E07">
        <w:t>následující Simplikia a další</w:t>
      </w:r>
      <w:r w:rsidR="08A81E16" w:rsidRPr="003D1E07">
        <w:t xml:space="preserve"> neoplatoni</w:t>
      </w:r>
      <w:r w:rsidR="08206631" w:rsidRPr="003D1E07">
        <w:t>ky</w:t>
      </w:r>
      <w:r w:rsidR="08A81E16" w:rsidRPr="003D1E07">
        <w:t xml:space="preserve"> z</w:t>
      </w:r>
      <w:r w:rsidR="087A2E26" w:rsidRPr="003D1E07">
        <w:t xml:space="preserve">avedl </w:t>
      </w:r>
      <w:r w:rsidR="08655812" w:rsidRPr="003D1E07">
        <w:t xml:space="preserve">jsoucna třetího druhu </w:t>
      </w:r>
      <w:r w:rsidR="08A81E16" w:rsidRPr="003D1E07">
        <w:t>do reality a do poznání</w:t>
      </w:r>
      <w:r w:rsidR="08655812" w:rsidRPr="003D1E07">
        <w:t>,</w:t>
      </w:r>
      <w:r w:rsidR="08A81E16" w:rsidRPr="003D1E07">
        <w:t xml:space="preserve"> </w:t>
      </w:r>
      <w:r w:rsidR="00E647E2" w:rsidRPr="003D1E07">
        <w:t>jako byly například fyzikální vlastnosti „eksistující“ mimo reálné těleso (</w:t>
      </w:r>
      <w:r w:rsidR="00100A08">
        <w:rPr>
          <w:i/>
        </w:rPr>
        <w:t>ek</w:t>
      </w:r>
      <w:r w:rsidR="00E647E2" w:rsidRPr="003D1E07">
        <w:rPr>
          <w:i/>
        </w:rPr>
        <w:t>sistere</w:t>
      </w:r>
      <w:r w:rsidR="00E647E2" w:rsidRPr="003D1E07">
        <w:rPr>
          <w:i/>
        </w:rPr>
        <w:fldChar w:fldCharType="begin"/>
      </w:r>
      <w:r w:rsidR="00E647E2" w:rsidRPr="003D1E07">
        <w:instrText xml:space="preserve"> XE "</w:instrText>
      </w:r>
      <w:r w:rsidR="00E647E2" w:rsidRPr="003D1E07">
        <w:rPr>
          <w:i/>
        </w:rPr>
        <w:instrText>exsistere</w:instrText>
      </w:r>
      <w:r w:rsidR="00E647E2" w:rsidRPr="003D1E07">
        <w:instrText xml:space="preserve">" </w:instrText>
      </w:r>
      <w:r w:rsidR="00E647E2" w:rsidRPr="003D1E07">
        <w:rPr>
          <w:i/>
        </w:rPr>
        <w:fldChar w:fldCharType="end"/>
      </w:r>
      <w:r w:rsidR="00E647E2" w:rsidRPr="003D1E07">
        <w:t>, kap. 2.3.3)</w:t>
      </w:r>
      <w:r w:rsidR="087A2E26" w:rsidRPr="003D1E07">
        <w:t xml:space="preserve">. </w:t>
      </w:r>
      <w:r w:rsidR="00586199" w:rsidRPr="003D1E07">
        <w:t xml:space="preserve">V avicennovském schématu zjevování jsoucna skrze přímou iluminaci intelektu nemá diafanum </w:t>
      </w:r>
      <w:r w:rsidR="088B5109" w:rsidRPr="003D1E07">
        <w:t>žádný způsob, j</w:t>
      </w:r>
      <w:r w:rsidR="00586199" w:rsidRPr="003D1E07">
        <w:t>ak by se mohlo zjevovat. Stal se z něj prázdný pojem umístěný v limbu pozdn</w:t>
      </w:r>
      <w:r w:rsidR="08162E80" w:rsidRPr="003D1E07">
        <w:t xml:space="preserve">ě scholastické dialektiky mezi </w:t>
      </w:r>
      <w:r w:rsidR="00586199" w:rsidRPr="003D1E07">
        <w:rPr>
          <w:i/>
        </w:rPr>
        <w:t>esse intentionale</w:t>
      </w:r>
      <w:r w:rsidR="08162E80" w:rsidRPr="003D1E07">
        <w:t xml:space="preserve"> a </w:t>
      </w:r>
      <w:r w:rsidR="00586199" w:rsidRPr="003D1E07">
        <w:rPr>
          <w:i/>
        </w:rPr>
        <w:t>esse naturale</w:t>
      </w:r>
      <w:r w:rsidR="00586199" w:rsidRPr="003D1E07">
        <w:t xml:space="preserve">. </w:t>
      </w:r>
      <w:r w:rsidR="005A5C36" w:rsidRPr="003D1E07">
        <w:lastRenderedPageBreak/>
        <w:t xml:space="preserve">Tento zmatený výklad byl zaveden modernisty </w:t>
      </w:r>
      <w:r w:rsidR="00DB582A">
        <w:t xml:space="preserve">někdy </w:t>
      </w:r>
      <w:r w:rsidR="005A5C36" w:rsidRPr="003D1E07">
        <w:t xml:space="preserve">od roku 1240 běžný způsob četby aristotelského korpusu. </w:t>
      </w:r>
      <w:r w:rsidR="08611B29" w:rsidRPr="003D1E07">
        <w:t>Neoplatonikové, objektivní moderna a postmoderna nemůže vidět fenomén mediace, protože diafanum nemá v moderním scénáři objektivního poznání dané mixem substancí třetího druhu žádnou možnost, jak by mohlo existovat. Diafanum není substancí („</w:t>
      </w:r>
      <w:r w:rsidR="00773A81" w:rsidRPr="003D1E07">
        <w:t>ně</w:t>
      </w:r>
      <w:r w:rsidR="08611B29" w:rsidRPr="003D1E07">
        <w:t>co</w:t>
      </w:r>
      <w:r w:rsidR="08096B57" w:rsidRPr="003D1E07">
        <w:t xml:space="preserve"> svítí </w:t>
      </w:r>
      <w:r w:rsidR="00773A81" w:rsidRPr="003D1E07">
        <w:t xml:space="preserve">samo </w:t>
      </w:r>
      <w:r w:rsidR="08096B57" w:rsidRPr="003D1E07">
        <w:t>o sobě</w:t>
      </w:r>
      <w:r w:rsidR="08611B29" w:rsidRPr="003D1E07">
        <w:t>“), ale je pouhou možností mediace</w:t>
      </w:r>
      <w:r w:rsidR="08096B57" w:rsidRPr="003D1E07">
        <w:t xml:space="preserve"> („jak je možné, že něco je pro nás osvětleno“)</w:t>
      </w:r>
      <w:r w:rsidR="08611B29" w:rsidRPr="003D1E07">
        <w:t>. Jde o způsob, jak se šíří světlo a jak poznáváme.</w:t>
      </w:r>
    </w:p>
    <w:p w14:paraId="250DD1F3" w14:textId="7C4CB633" w:rsidR="00B50CE2" w:rsidRDefault="08E15D48" w:rsidP="00EE17B8">
      <w:pPr>
        <w:ind w:firstLine="397"/>
      </w:pPr>
      <w:r w:rsidRPr="003D1E07">
        <w:t xml:space="preserve">Přechod Averroesova pojetí </w:t>
      </w:r>
      <w:r w:rsidR="00846BF6">
        <w:t xml:space="preserve">diafanum do postmoderny provedl </w:t>
      </w:r>
      <w:r w:rsidRPr="003D1E07">
        <w:t>Agostino Nifo</w:t>
      </w:r>
      <w:r w:rsidRPr="003D1E07">
        <w:fldChar w:fldCharType="begin"/>
      </w:r>
      <w:r w:rsidRPr="003D1E07">
        <w:instrText xml:space="preserve"> XE "Nifo, A." </w:instrText>
      </w:r>
      <w:r w:rsidRPr="003D1E07">
        <w:fldChar w:fldCharType="end"/>
      </w:r>
      <w:r w:rsidRPr="003D1E07">
        <w:t xml:space="preserve"> </w:t>
      </w:r>
      <w:r w:rsidR="08AC7D6F" w:rsidRPr="003D1E07">
        <w:t>(</w:t>
      </w:r>
      <w:r w:rsidR="08AC7D6F" w:rsidRPr="003D1E07">
        <w:rPr>
          <w:rFonts w:cs="Calibri"/>
        </w:rPr>
        <w:t>†</w:t>
      </w:r>
      <w:r w:rsidR="08AC7D6F" w:rsidRPr="003D1E07">
        <w:t xml:space="preserve">1538) </w:t>
      </w:r>
      <w:r w:rsidR="00846BF6">
        <w:t xml:space="preserve">v jeho </w:t>
      </w:r>
      <w:r w:rsidRPr="003D1E07">
        <w:t xml:space="preserve">komentáři k </w:t>
      </w:r>
      <w:r w:rsidRPr="003D1E07">
        <w:rPr>
          <w:i/>
        </w:rPr>
        <w:t>De anima</w:t>
      </w:r>
      <w:r w:rsidR="00970B83" w:rsidRPr="003D1E07">
        <w:rPr>
          <w:i/>
        </w:rPr>
        <w:t xml:space="preserve">. </w:t>
      </w:r>
      <w:r w:rsidR="00970B83" w:rsidRPr="003D1E07">
        <w:t xml:space="preserve">Jeho modernistický výklad je formálně prováděn </w:t>
      </w:r>
      <w:r w:rsidRPr="003D1E07">
        <w:rPr>
          <w:i/>
        </w:rPr>
        <w:t>ad mentem Averrois</w:t>
      </w:r>
      <w:r w:rsidRPr="003D1E07">
        <w:t>,</w:t>
      </w:r>
      <w:r w:rsidR="00970B83" w:rsidRPr="003D1E07">
        <w:t xml:space="preserve"> ale v chybném averro</w:t>
      </w:r>
      <w:r w:rsidR="008B1A5D">
        <w:t>i</w:t>
      </w:r>
      <w:r w:rsidR="00970B83" w:rsidRPr="003D1E07">
        <w:t xml:space="preserve">stickém modu. Nifo jako </w:t>
      </w:r>
      <w:r w:rsidR="08AC7D6F" w:rsidRPr="003D1E07">
        <w:t>n</w:t>
      </w:r>
      <w:r w:rsidRPr="003D1E07">
        <w:t>eoplatonik a renesanční znalec Averroese spojil diafanum podle výkladu Averroese a Themistia</w:t>
      </w:r>
      <w:r w:rsidRPr="003D1E07">
        <w:fldChar w:fldCharType="begin"/>
      </w:r>
      <w:r w:rsidRPr="003D1E07">
        <w:instrText xml:space="preserve"> XE "Themistius" </w:instrText>
      </w:r>
      <w:r w:rsidRPr="003D1E07">
        <w:fldChar w:fldCharType="end"/>
      </w:r>
      <w:r w:rsidRPr="003D1E07">
        <w:t xml:space="preserve"> do jednoho významu. </w:t>
      </w:r>
      <w:r w:rsidR="005042BB">
        <w:t xml:space="preserve">Chybný averroistický výklad </w:t>
      </w:r>
      <w:r w:rsidR="00D11C23">
        <w:t xml:space="preserve">CMDA </w:t>
      </w:r>
      <w:r w:rsidR="005042BB">
        <w:t>s</w:t>
      </w:r>
      <w:r w:rsidRPr="003D1E07">
        <w:t xml:space="preserve">pojuje diafanum </w:t>
      </w:r>
      <w:r w:rsidR="005042BB">
        <w:t xml:space="preserve">s </w:t>
      </w:r>
      <w:r w:rsidRPr="003D1E07">
        <w:t>neoplatonskou teori</w:t>
      </w:r>
      <w:r w:rsidR="005042BB">
        <w:t>í</w:t>
      </w:r>
      <w:r w:rsidRPr="003D1E07">
        <w:t xml:space="preserve"> vidění</w:t>
      </w:r>
      <w:r w:rsidR="00903C55" w:rsidRPr="003D1E07">
        <w:t xml:space="preserve"> danou bez mediace, tedy přímým </w:t>
      </w:r>
      <w:r w:rsidRPr="003D1E07">
        <w:t xml:space="preserve">stykem atomárních substancí třetího druhu. </w:t>
      </w:r>
      <w:r w:rsidR="082B3CF6" w:rsidRPr="003D1E07">
        <w:fldChar w:fldCharType="begin"/>
      </w:r>
      <w:r w:rsidR="082B3CF6" w:rsidRPr="003D1E07">
        <w:instrText xml:space="preserve"> XE "Nifo, A." </w:instrText>
      </w:r>
      <w:r w:rsidR="082B3CF6" w:rsidRPr="003D1E07">
        <w:fldChar w:fldCharType="end"/>
      </w:r>
      <w:r w:rsidR="008B1A5D">
        <w:t>D</w:t>
      </w:r>
      <w:r w:rsidRPr="003D1E07">
        <w:t xml:space="preserve">iafanum </w:t>
      </w:r>
      <w:r w:rsidR="008B1A5D">
        <w:t>je vyloženo podle neoplatonské</w:t>
      </w:r>
      <w:r w:rsidRPr="003D1E07">
        <w:t xml:space="preserve"> </w:t>
      </w:r>
      <w:r w:rsidR="0073449D">
        <w:t>nauky</w:t>
      </w:r>
      <w:r w:rsidR="00906020" w:rsidRPr="003D1E07">
        <w:t xml:space="preserve">, </w:t>
      </w:r>
      <w:r w:rsidR="008B1A5D">
        <w:t xml:space="preserve">v </w:t>
      </w:r>
      <w:r w:rsidR="00906020" w:rsidRPr="003D1E07">
        <w:t>níž</w:t>
      </w:r>
      <w:r w:rsidRPr="003D1E07">
        <w:t xml:space="preserve"> je vidění barvy dáno bez mediace </w:t>
      </w:r>
      <w:r w:rsidR="00906020" w:rsidRPr="003D1E07">
        <w:t>a skrze pouhou aktualit</w:t>
      </w:r>
      <w:r w:rsidRPr="003D1E07">
        <w:t>u světla</w:t>
      </w:r>
      <w:r w:rsidR="004438C3" w:rsidRPr="003D1E07">
        <w:t>.</w:t>
      </w:r>
      <w:r w:rsidR="004438C3" w:rsidRPr="003D1E07">
        <w:rPr>
          <w:rStyle w:val="Znakapoznpodarou"/>
        </w:rPr>
        <w:footnoteReference w:id="275"/>
      </w:r>
      <w:r w:rsidR="00C71AA7">
        <w:t xml:space="preserve"> Citát z Agostinova díla </w:t>
      </w:r>
      <w:r w:rsidR="00C71AA7" w:rsidRPr="00C71AA7">
        <w:rPr>
          <w:i/>
        </w:rPr>
        <w:t>De intellectu</w:t>
      </w:r>
      <w:r w:rsidR="00C71AA7">
        <w:t xml:space="preserve"> </w:t>
      </w:r>
      <w:r w:rsidR="00767189" w:rsidRPr="003D1E07">
        <w:t>ukazuje, že nasvícení na barevné ploše jde přímo od paprsku, pr</w:t>
      </w:r>
      <w:r w:rsidR="00034484" w:rsidRPr="003D1E07">
        <w:t>otože barva je přímo aktualizov</w:t>
      </w:r>
      <w:r w:rsidR="00767189" w:rsidRPr="003D1E07">
        <w:t xml:space="preserve">ána paprskem. </w:t>
      </w:r>
      <w:r w:rsidR="005E0B03">
        <w:t>Nifo vůbec nepotřebuje diafanum k vytvoření barvy na tělese a jejího poznání, protože neví, jaká je funkce diafanum v aristotelském systému, který potvrdil Komentátor. Odvolání na</w:t>
      </w:r>
      <w:r w:rsidR="00013D88">
        <w:t xml:space="preserve"> Aristotela (</w:t>
      </w:r>
      <w:r w:rsidR="00013D88" w:rsidRPr="00013D88">
        <w:rPr>
          <w:rFonts w:eastAsia="MinionPro-Regular"/>
          <w:i/>
        </w:rPr>
        <w:t>ut Aristoteles ait</w:t>
      </w:r>
      <w:r w:rsidR="00013D88">
        <w:t xml:space="preserve">) je čistá sofistika. </w:t>
      </w:r>
      <w:r w:rsidR="005E0B03">
        <w:t>Nifo spojil sluneční paprsek jako sub</w:t>
      </w:r>
      <w:r w:rsidR="00013D88">
        <w:t>s</w:t>
      </w:r>
      <w:r w:rsidR="005E0B03">
        <w:t>tanci a diafanum jako médium do jednoho jsoucna třetího druhu (</w:t>
      </w:r>
      <w:r w:rsidR="005E0B03">
        <w:rPr>
          <w:rFonts w:eastAsia="MinionPro-Regular"/>
          <w:i/>
        </w:rPr>
        <w:t>lux quasi de natura perspicui ac ipsius naturalis perfectio</w:t>
      </w:r>
      <w:r w:rsidR="005E0B03">
        <w:rPr>
          <w:rFonts w:eastAsia="MinionPro-Regular"/>
        </w:rPr>
        <w:t xml:space="preserve">). </w:t>
      </w:r>
      <w:r w:rsidR="00013D88">
        <w:t xml:space="preserve">Stejný neoplatonský model platí pro poznání, protože </w:t>
      </w:r>
      <w:r w:rsidR="00767189" w:rsidRPr="003D1E07">
        <w:rPr>
          <w:i/>
        </w:rPr>
        <w:t>intellectus agens</w:t>
      </w:r>
      <w:r w:rsidR="00767189" w:rsidRPr="003D1E07">
        <w:t xml:space="preserve"> jako neoplatonské slunce </w:t>
      </w:r>
      <w:r w:rsidR="00041A30" w:rsidRPr="003D1E07">
        <w:t xml:space="preserve">přímo </w:t>
      </w:r>
      <w:r w:rsidR="00034484" w:rsidRPr="003D1E07">
        <w:t>aktuali</w:t>
      </w:r>
      <w:r w:rsidR="00041A30" w:rsidRPr="003D1E07">
        <w:t xml:space="preserve">zuje </w:t>
      </w:r>
      <w:r w:rsidR="00767189" w:rsidRPr="003D1E07">
        <w:t>receptivní intelekt a vytváří poznání barvy</w:t>
      </w:r>
      <w:r w:rsidR="00041A30" w:rsidRPr="003D1E07">
        <w:t xml:space="preserve"> jako výsledné formy</w:t>
      </w:r>
      <w:r w:rsidR="00767189" w:rsidRPr="003D1E07">
        <w:t xml:space="preserve">. Nifo bere </w:t>
      </w:r>
      <w:r w:rsidR="00041A30" w:rsidRPr="003D1E07">
        <w:t xml:space="preserve">za svůj vzor </w:t>
      </w:r>
      <w:r w:rsidR="00767189" w:rsidRPr="003D1E07">
        <w:t xml:space="preserve">Themistiovo schéma poznání, které Averroes </w:t>
      </w:r>
      <w:r w:rsidR="00041A30" w:rsidRPr="003D1E07">
        <w:t xml:space="preserve">zásadně </w:t>
      </w:r>
      <w:r w:rsidR="00034484" w:rsidRPr="003D1E07">
        <w:t xml:space="preserve">kritizoval. </w:t>
      </w:r>
      <w:r w:rsidRPr="003D1E07">
        <w:t xml:space="preserve">Pak je barva viděna přímo skrze světlo a nepotřebuje diafanum. Výsledkem je poznání barvy jako </w:t>
      </w:r>
      <w:r w:rsidR="00F214C5" w:rsidRPr="003D1E07">
        <w:t>species</w:t>
      </w:r>
      <w:r w:rsidRPr="003D1E07">
        <w:t xml:space="preserve"> třetího druhu</w:t>
      </w:r>
      <w:r w:rsidR="009D64F5" w:rsidRPr="003D1E07">
        <w:t>. Hypostázované kva</w:t>
      </w:r>
      <w:r w:rsidR="00407D94" w:rsidRPr="003D1E07">
        <w:t xml:space="preserve">lity </w:t>
      </w:r>
      <w:r w:rsidR="009D64F5" w:rsidRPr="003D1E07">
        <w:t xml:space="preserve">pak </w:t>
      </w:r>
      <w:r w:rsidR="00407D94" w:rsidRPr="003D1E07">
        <w:t>„exsistují“ mimo reálné těleso</w:t>
      </w:r>
      <w:r w:rsidRPr="003D1E07">
        <w:t>, což odporuje aristotelskému pojetí smyslového poznání daného nasvícením zepředu. Tato interpretace diafanum založila objektivní vidění světa v</w:t>
      </w:r>
      <w:r w:rsidR="009766CE" w:rsidRPr="003D1E07">
        <w:t xml:space="preserve"> začínající </w:t>
      </w:r>
      <w:r w:rsidRPr="003D1E07">
        <w:t>postmoderně. Nifo</w:t>
      </w:r>
      <w:r w:rsidR="082B3CF6" w:rsidRPr="003D1E07">
        <w:fldChar w:fldCharType="begin"/>
      </w:r>
      <w:r w:rsidR="082B3CF6" w:rsidRPr="003D1E07">
        <w:instrText xml:space="preserve"> XE "Nifo, A." </w:instrText>
      </w:r>
      <w:r w:rsidR="082B3CF6" w:rsidRPr="003D1E07">
        <w:fldChar w:fldCharType="end"/>
      </w:r>
      <w:r w:rsidRPr="003D1E07">
        <w:t xml:space="preserve"> zrušil mediaci a napojil akt vidění na atomá</w:t>
      </w:r>
      <w:r w:rsidR="006C39F1">
        <w:t>rní substanci podle Demokrita,. J</w:t>
      </w:r>
      <w:r w:rsidRPr="003D1E07">
        <w:t xml:space="preserve">eho nauku o kauzálním </w:t>
      </w:r>
      <w:r w:rsidRPr="003D1E07">
        <w:lastRenderedPageBreak/>
        <w:t>působení skrze vakuum ale odmítl jako všichni aristotelikové. Zavedením Simplikiovy neoplatonské fyziky do Averroesova výkladu zanikla funkce diafanum</w:t>
      </w:r>
      <w:r w:rsidRPr="003D1E07">
        <w:fldChar w:fldCharType="begin"/>
      </w:r>
      <w:r w:rsidRPr="003D1E07">
        <w:instrText xml:space="preserve"> XE "diafanum:Nifo" </w:instrText>
      </w:r>
      <w:r w:rsidRPr="003D1E07">
        <w:fldChar w:fldCharType="end"/>
      </w:r>
      <w:r w:rsidRPr="003D1E07">
        <w:t xml:space="preserve"> a nastala renesanční epocha postmoderního zatmění první substance. Nifovu teorii převzala Descartova nauka o optice. Akt vidění se děje skrze atomární substanci jako jsoucno třetího druhu a tím se výslovně ruší mediační role diafanum vztažená k intencionalitě. Světlo a barva jsou v Descartově pojetí přenášené čistě mechanicky</w:t>
      </w:r>
      <w:r w:rsidRPr="003D1E07">
        <w:fldChar w:fldCharType="begin"/>
      </w:r>
      <w:r w:rsidRPr="003D1E07">
        <w:instrText xml:space="preserve"> XE "diafanum:Descartes" </w:instrText>
      </w:r>
      <w:r w:rsidRPr="003D1E07">
        <w:fldChar w:fldCharType="end"/>
      </w:r>
      <w:r w:rsidRPr="003D1E07">
        <w:t>.</w:t>
      </w:r>
      <w:r w:rsidRPr="003D1E07">
        <w:rPr>
          <w:rStyle w:val="Znakapoznpodarou"/>
        </w:rPr>
        <w:footnoteReference w:id="276"/>
      </w:r>
      <w:r w:rsidR="00F73046" w:rsidRPr="003D1E07">
        <w:t xml:space="preserve"> </w:t>
      </w:r>
      <w:r w:rsidRPr="003D1E07">
        <w:t xml:space="preserve">Slepota postmoderny vzhledem k původní funkci diafanum je v </w:t>
      </w:r>
      <w:r w:rsidR="00996ED2" w:rsidRPr="003D1E07">
        <w:t xml:space="preserve">uvedeném citátu Kartézia </w:t>
      </w:r>
      <w:r w:rsidRPr="003D1E07">
        <w:t>kompletní, protože zrušila samotnou možnost adekvace mezi věcí, smysly a intelektem.</w:t>
      </w:r>
      <w:r w:rsidR="085516B1" w:rsidRPr="003D1E07">
        <w:t xml:space="preserve"> Pro Descarta</w:t>
      </w:r>
      <w:r w:rsidR="089F5D1F" w:rsidRPr="003D1E07">
        <w:fldChar w:fldCharType="begin"/>
      </w:r>
      <w:r w:rsidR="089F5D1F" w:rsidRPr="003D1E07">
        <w:instrText xml:space="preserve"> XE "Descartes, R." </w:instrText>
      </w:r>
      <w:r w:rsidR="089F5D1F" w:rsidRPr="003D1E07">
        <w:fldChar w:fldCharType="end"/>
      </w:r>
      <w:r w:rsidR="085516B1" w:rsidRPr="003D1E07">
        <w:t xml:space="preserve"> už je evidentní, že diafanum neexistuje, protože není substancí. Ale pak poznáváme svět skrze jsoucna třetího druhu. </w:t>
      </w:r>
      <w:r w:rsidR="00CB6CAB" w:rsidRPr="003D1E07">
        <w:t xml:space="preserve">Postmoderní subjekt se definitivně oddělil od svého objektu, protože neexistuje proporcionalita poznání zajištěná formální kauzalitou. </w:t>
      </w:r>
      <w:r w:rsidR="085516B1" w:rsidRPr="003D1E07">
        <w:t xml:space="preserve">Descartovo pojetí optiky sleduje schizofrenní rozdělení člověka na dvě substance a tento dvojí dualismus </w:t>
      </w:r>
      <w:r w:rsidR="00C023F9">
        <w:t xml:space="preserve">světa a člověka </w:t>
      </w:r>
      <w:r w:rsidR="085516B1" w:rsidRPr="003D1E07">
        <w:t xml:space="preserve">dokonal zatmění první substance. Descartem inspirovaný </w:t>
      </w:r>
      <w:r w:rsidR="00E068B4" w:rsidRPr="003D1E07">
        <w:t xml:space="preserve">Antoine </w:t>
      </w:r>
      <w:r w:rsidR="085516B1" w:rsidRPr="003D1E07">
        <w:t>Arnauld</w:t>
      </w:r>
      <w:r w:rsidR="085516B1" w:rsidRPr="003D1E07">
        <w:fldChar w:fldCharType="begin"/>
      </w:r>
      <w:r w:rsidR="085516B1" w:rsidRPr="003D1E07">
        <w:instrText xml:space="preserve"> XE "Arnauld, A." </w:instrText>
      </w:r>
      <w:r w:rsidR="085516B1" w:rsidRPr="003D1E07">
        <w:fldChar w:fldCharType="end"/>
      </w:r>
      <w:r w:rsidR="085516B1" w:rsidRPr="003D1E07">
        <w:t xml:space="preserve"> je po Avicennovi a po scholastické moderně první postmodernista, který vidí ideje přímo ve věcech. Arnauld</w:t>
      </w:r>
      <w:r w:rsidR="085516B1" w:rsidRPr="003D1E07">
        <w:fldChar w:fldCharType="begin"/>
      </w:r>
      <w:r w:rsidR="085516B1" w:rsidRPr="003D1E07">
        <w:instrText xml:space="preserve"> XE "Arnauld, A." </w:instrText>
      </w:r>
      <w:r w:rsidR="085516B1" w:rsidRPr="003D1E07">
        <w:fldChar w:fldCharType="end"/>
      </w:r>
      <w:r w:rsidR="085516B1" w:rsidRPr="003D1E07">
        <w:t xml:space="preserve"> se odvolává na výše uvedený text </w:t>
      </w:r>
      <w:r w:rsidR="085516B1" w:rsidRPr="003D1E07">
        <w:rPr>
          <w:i/>
        </w:rPr>
        <w:t>Optiky</w:t>
      </w:r>
      <w:r w:rsidR="085516B1" w:rsidRPr="003D1E07">
        <w:t>, kde Descartes ruší intencionální předměty a pokračuje</w:t>
      </w:r>
      <w:r w:rsidR="00B0306B" w:rsidRPr="003D1E07">
        <w:t xml:space="preserve"> polemikou s Descartovou třetí</w:t>
      </w:r>
      <w:r w:rsidR="00B0306B" w:rsidRPr="003D1E07">
        <w:rPr>
          <w:i/>
        </w:rPr>
        <w:t xml:space="preserve"> M</w:t>
      </w:r>
      <w:r w:rsidR="085516B1" w:rsidRPr="003D1E07">
        <w:rPr>
          <w:i/>
        </w:rPr>
        <w:t>editací o pravých a falešných idejích</w:t>
      </w:r>
      <w:r w:rsidR="085516B1" w:rsidRPr="003D1E07">
        <w:t>.</w:t>
      </w:r>
      <w:r w:rsidR="085516B1" w:rsidRPr="003D1E07">
        <w:rPr>
          <w:rStyle w:val="Znakapoznpodarou"/>
        </w:rPr>
        <w:footnoteReference w:id="277"/>
      </w:r>
      <w:r w:rsidR="085516B1" w:rsidRPr="003D1E07">
        <w:t xml:space="preserve"> Intencionální </w:t>
      </w:r>
      <w:r w:rsidR="00F214C5" w:rsidRPr="003D1E07">
        <w:t>species</w:t>
      </w:r>
      <w:r w:rsidR="085516B1" w:rsidRPr="003D1E07">
        <w:t xml:space="preserve"> jsou jen chiméry (</w:t>
      </w:r>
      <w:r w:rsidR="085516B1" w:rsidRPr="003D1E07">
        <w:rPr>
          <w:i/>
        </w:rPr>
        <w:t>espèces intentionnelles ne sont que des chimères</w:t>
      </w:r>
      <w:r w:rsidR="085516B1" w:rsidRPr="003D1E07">
        <w:t>) a duše vidí materiální paprsek přímo sama v sobě jako bezprostředně daný předmět poznání (</w:t>
      </w:r>
      <w:r w:rsidR="085516B1" w:rsidRPr="003D1E07">
        <w:rPr>
          <w:i/>
        </w:rPr>
        <w:t>l’objet immédiat de notre esprit</w:t>
      </w:r>
      <w:r w:rsidR="085516B1" w:rsidRPr="003D1E07">
        <w:t>). Arnauld ví, že nemá v mysli externí slunce, ale jeho ideu. Citát ukazuje, že Arnauld</w:t>
      </w:r>
      <w:r w:rsidR="085516B1" w:rsidRPr="003D1E07">
        <w:fldChar w:fldCharType="begin"/>
      </w:r>
      <w:r w:rsidR="085516B1" w:rsidRPr="003D1E07">
        <w:instrText xml:space="preserve"> XE "Arnauld, A." </w:instrText>
      </w:r>
      <w:r w:rsidR="085516B1" w:rsidRPr="003D1E07">
        <w:fldChar w:fldCharType="end"/>
      </w:r>
      <w:r w:rsidR="085516B1" w:rsidRPr="003D1E07">
        <w:t xml:space="preserve"> provedl v návaznosti na Descarta</w:t>
      </w:r>
      <w:r w:rsidR="085516B1" w:rsidRPr="003D1E07">
        <w:fldChar w:fldCharType="begin"/>
      </w:r>
      <w:r w:rsidR="085516B1" w:rsidRPr="003D1E07">
        <w:instrText xml:space="preserve"> XE "</w:instrText>
      </w:r>
      <w:r w:rsidR="085516B1" w:rsidRPr="003D1E07">
        <w:rPr>
          <w:rStyle w:val="addmd"/>
        </w:rPr>
        <w:instrText>Descartes, R.</w:instrText>
      </w:r>
      <w:r w:rsidR="085516B1" w:rsidRPr="003D1E07">
        <w:instrText xml:space="preserve">" </w:instrText>
      </w:r>
      <w:r w:rsidR="085516B1" w:rsidRPr="003D1E07">
        <w:fldChar w:fldCharType="end"/>
      </w:r>
      <w:r w:rsidR="085516B1" w:rsidRPr="003D1E07">
        <w:t xml:space="preserve"> postmoderní zatmění </w:t>
      </w:r>
      <w:r w:rsidR="00D937E2" w:rsidRPr="003D1E07">
        <w:t xml:space="preserve">reálného </w:t>
      </w:r>
      <w:r w:rsidR="085516B1" w:rsidRPr="003D1E07">
        <w:t xml:space="preserve">slunce, které vyměnil za přímé, a proto zcela nepochybné vidění ideje. </w:t>
      </w:r>
      <w:r w:rsidR="08520CEF" w:rsidRPr="003D1E07">
        <w:t xml:space="preserve">První moderní formu tohoto zatmění </w:t>
      </w:r>
      <w:r w:rsidR="00D50305" w:rsidRPr="003D1E07">
        <w:t xml:space="preserve">slunce </w:t>
      </w:r>
      <w:r w:rsidR="08520CEF" w:rsidRPr="003D1E07">
        <w:t>najdeme u Dunse Scota (</w:t>
      </w:r>
      <w:r w:rsidR="08ED12B2" w:rsidRPr="003D1E07">
        <w:t>OBJ III, kap. 5</w:t>
      </w:r>
      <w:r w:rsidR="08520CEF" w:rsidRPr="003D1E07">
        <w:t xml:space="preserve">.3.2). </w:t>
      </w:r>
      <w:r w:rsidR="08ED68D1" w:rsidRPr="003D1E07">
        <w:t>Materiální s</w:t>
      </w:r>
      <w:r w:rsidR="085516B1" w:rsidRPr="003D1E07">
        <w:t xml:space="preserve">luneční paprsek a ozářené věci nyní přímo ozařují lidskou nemateriální mysl, což je naprostý nesmysl. Po zrušení diafanum a intencionality nezbylo subjektu postmoderny nic jiného, než paranoicky </w:t>
      </w:r>
      <w:r w:rsidR="08CE0196" w:rsidRPr="003D1E07">
        <w:t>„</w:t>
      </w:r>
      <w:r w:rsidR="085516B1" w:rsidRPr="003D1E07">
        <w:t>vidět</w:t>
      </w:r>
      <w:r w:rsidR="08CE0196" w:rsidRPr="003D1E07">
        <w:t>“</w:t>
      </w:r>
      <w:r w:rsidR="085516B1" w:rsidRPr="003D1E07">
        <w:t xml:space="preserve"> to, co vidět nelze, tedy objektivně danou ideu jako jsoucno třetího druhu. </w:t>
      </w:r>
      <w:r w:rsidR="004D6E5F" w:rsidRPr="003D1E07">
        <w:lastRenderedPageBreak/>
        <w:t xml:space="preserve">Tento postup přešel v karteziánské postmoderně přes Descartův ohyb světla a optiku nejprve do fyziky a pak do Lockových primárních kvalit hypostázovaných přímo v první substanci. </w:t>
      </w:r>
      <w:r w:rsidR="00B0521A" w:rsidRPr="003D1E07">
        <w:t>V temnotě moderního intelektu už nebyl pro postmoderního Locka</w:t>
      </w:r>
      <w:r w:rsidR="005D7A5D" w:rsidRPr="003D1E07">
        <w:fldChar w:fldCharType="begin"/>
      </w:r>
      <w:r w:rsidR="005D7A5D" w:rsidRPr="003D1E07">
        <w:instrText xml:space="preserve"> XE "Locke, J." </w:instrText>
      </w:r>
      <w:r w:rsidR="005D7A5D" w:rsidRPr="003D1E07">
        <w:fldChar w:fldCharType="end"/>
      </w:r>
      <w:r w:rsidR="00B0521A" w:rsidRPr="003D1E07">
        <w:t xml:space="preserve"> žádný problém, aby tento prázdný prostor mediace</w:t>
      </w:r>
      <w:r w:rsidR="08717237" w:rsidRPr="003D1E07">
        <w:t xml:space="preserve"> daný zmizením diafanum </w:t>
      </w:r>
      <w:r w:rsidR="00B0521A" w:rsidRPr="003D1E07">
        <w:t xml:space="preserve">zaplnil novými hypostázemi ve formě primárních </w:t>
      </w:r>
      <w:r w:rsidR="00B43A0D" w:rsidRPr="003D1E07">
        <w:t xml:space="preserve">a sekundárních </w:t>
      </w:r>
      <w:r w:rsidR="00B0521A" w:rsidRPr="003D1E07">
        <w:t>kvalit.</w:t>
      </w:r>
      <w:r w:rsidR="00D97C98" w:rsidRPr="003D1E07">
        <w:rPr>
          <w:rStyle w:val="Znakapoznpodarou"/>
        </w:rPr>
        <w:footnoteReference w:id="278"/>
      </w:r>
      <w:r w:rsidR="004E1F6B" w:rsidRPr="003D1E07">
        <w:t xml:space="preserve"> </w:t>
      </w:r>
      <w:r w:rsidR="003327E7" w:rsidRPr="003D1E07">
        <w:t>Postmoderní Locke zavedl jsoucna třetího druhu ve formě hypostázovaných primárních vlastností (</w:t>
      </w:r>
      <w:r w:rsidR="003327E7" w:rsidRPr="003D1E07">
        <w:rPr>
          <w:i/>
        </w:rPr>
        <w:t>primary qualities</w:t>
      </w:r>
      <w:r w:rsidR="003327E7" w:rsidRPr="003D1E07">
        <w:rPr>
          <w:i/>
        </w:rPr>
        <w:fldChar w:fldCharType="begin"/>
      </w:r>
      <w:r w:rsidR="003327E7" w:rsidRPr="003D1E07">
        <w:instrText xml:space="preserve"> XE "primární kvality" </w:instrText>
      </w:r>
      <w:r w:rsidR="003327E7" w:rsidRPr="003D1E07">
        <w:rPr>
          <w:i/>
        </w:rPr>
        <w:fldChar w:fldCharType="end"/>
      </w:r>
      <w:r w:rsidR="003327E7" w:rsidRPr="003D1E07">
        <w:t>) přímo do tělesa jako první substance. J</w:t>
      </w:r>
      <w:r w:rsidR="00F6308A" w:rsidRPr="003D1E07">
        <w:t xml:space="preserve">soucna třetího druhu existují </w:t>
      </w:r>
      <w:r w:rsidR="003A4001" w:rsidRPr="003D1E07">
        <w:t xml:space="preserve">primárně </w:t>
      </w:r>
      <w:r w:rsidR="00F6308A" w:rsidRPr="003D1E07">
        <w:t xml:space="preserve">přímo v tělese </w:t>
      </w:r>
      <w:r w:rsidR="003A4001" w:rsidRPr="003D1E07">
        <w:t>(</w:t>
      </w:r>
      <w:r w:rsidR="003A4001" w:rsidRPr="003D1E07">
        <w:rPr>
          <w:i/>
        </w:rPr>
        <w:t>solidity</w:t>
      </w:r>
      <w:r w:rsidR="003A4001" w:rsidRPr="003D1E07">
        <w:t xml:space="preserve">, </w:t>
      </w:r>
      <w:r w:rsidR="003A4001" w:rsidRPr="003D1E07">
        <w:rPr>
          <w:i/>
        </w:rPr>
        <w:t>extension</w:t>
      </w:r>
      <w:r w:rsidR="003A4001" w:rsidRPr="003D1E07">
        <w:t xml:space="preserve">, </w:t>
      </w:r>
      <w:r w:rsidR="003A4001" w:rsidRPr="003D1E07">
        <w:rPr>
          <w:i/>
        </w:rPr>
        <w:t>motion</w:t>
      </w:r>
      <w:r w:rsidR="003A4001" w:rsidRPr="003D1E07">
        <w:t xml:space="preserve">, </w:t>
      </w:r>
      <w:r w:rsidR="003A4001" w:rsidRPr="003D1E07">
        <w:rPr>
          <w:i/>
        </w:rPr>
        <w:t>number</w:t>
      </w:r>
      <w:r w:rsidR="003A4001" w:rsidRPr="003D1E07">
        <w:t xml:space="preserve">, </w:t>
      </w:r>
      <w:r w:rsidR="003A4001" w:rsidRPr="003D1E07">
        <w:rPr>
          <w:i/>
        </w:rPr>
        <w:t>figure</w:t>
      </w:r>
      <w:r w:rsidR="003A4001" w:rsidRPr="003D1E07">
        <w:t xml:space="preserve">) </w:t>
      </w:r>
      <w:r w:rsidR="00F6308A" w:rsidRPr="003D1E07">
        <w:t xml:space="preserve">a </w:t>
      </w:r>
      <w:r w:rsidR="003A4001" w:rsidRPr="003D1E07">
        <w:t xml:space="preserve">následně </w:t>
      </w:r>
      <w:r w:rsidR="00F6308A" w:rsidRPr="003D1E07">
        <w:t>zakládají mož</w:t>
      </w:r>
      <w:r w:rsidR="08B808E3" w:rsidRPr="003D1E07">
        <w:t>nost sekundárních kvalit</w:t>
      </w:r>
      <w:r w:rsidR="00B43A0D" w:rsidRPr="003D1E07">
        <w:fldChar w:fldCharType="begin"/>
      </w:r>
      <w:r w:rsidR="00B43A0D" w:rsidRPr="003D1E07">
        <w:instrText xml:space="preserve"> XE "těleso:třetího druhu" </w:instrText>
      </w:r>
      <w:r w:rsidR="00B43A0D" w:rsidRPr="003D1E07">
        <w:fldChar w:fldCharType="end"/>
      </w:r>
      <w:r w:rsidR="003A4001" w:rsidRPr="003D1E07">
        <w:t xml:space="preserve"> </w:t>
      </w:r>
      <w:r w:rsidR="00F6308A" w:rsidRPr="003D1E07">
        <w:t>vnímaných subjektivně a smyslově (</w:t>
      </w:r>
      <w:r w:rsidR="00F6308A" w:rsidRPr="003D1E07">
        <w:rPr>
          <w:i/>
        </w:rPr>
        <w:t>color</w:t>
      </w:r>
      <w:r w:rsidR="00F6308A" w:rsidRPr="003D1E07">
        <w:t xml:space="preserve">, </w:t>
      </w:r>
      <w:r w:rsidR="00F6308A" w:rsidRPr="003D1E07">
        <w:rPr>
          <w:i/>
        </w:rPr>
        <w:t>taste</w:t>
      </w:r>
      <w:r w:rsidR="00F6308A" w:rsidRPr="003D1E07">
        <w:t xml:space="preserve">, </w:t>
      </w:r>
      <w:r w:rsidR="00F6308A" w:rsidRPr="003D1E07">
        <w:rPr>
          <w:i/>
        </w:rPr>
        <w:t>smell</w:t>
      </w:r>
      <w:r w:rsidR="00F6308A" w:rsidRPr="003D1E07">
        <w:t xml:space="preserve">, </w:t>
      </w:r>
      <w:r w:rsidR="00F6308A" w:rsidRPr="003D1E07">
        <w:rPr>
          <w:i/>
        </w:rPr>
        <w:t>sound</w:t>
      </w:r>
      <w:r w:rsidR="007E7215" w:rsidRPr="003D1E07">
        <w:rPr>
          <w:i/>
        </w:rPr>
        <w:t>...</w:t>
      </w:r>
      <w:r w:rsidR="00F6308A" w:rsidRPr="003D1E07">
        <w:t xml:space="preserve">). </w:t>
      </w:r>
      <w:r w:rsidR="08717237" w:rsidRPr="003D1E07">
        <w:t xml:space="preserve">Lockova dvojí </w:t>
      </w:r>
      <w:r w:rsidR="00083B51" w:rsidRPr="003D1E07">
        <w:t xml:space="preserve">hypostáze </w:t>
      </w:r>
      <w:r w:rsidR="08717237" w:rsidRPr="003D1E07">
        <w:t xml:space="preserve">projektovaná </w:t>
      </w:r>
      <w:r w:rsidR="00EE545C" w:rsidRPr="003D1E07">
        <w:t xml:space="preserve">do </w:t>
      </w:r>
      <w:r w:rsidR="08717237" w:rsidRPr="003D1E07">
        <w:t xml:space="preserve">věcí a </w:t>
      </w:r>
      <w:r w:rsidR="00EE545C" w:rsidRPr="003D1E07">
        <w:t>do s</w:t>
      </w:r>
      <w:r w:rsidR="08717237" w:rsidRPr="003D1E07">
        <w:t xml:space="preserve">ubjektu nahradila Averroesovu dvojí formální kauzalitu poznání danou skrze dvojí funkci diafanum. </w:t>
      </w:r>
      <w:r w:rsidRPr="003D1E07">
        <w:t>Podle Simplikiova scénáře pře</w:t>
      </w:r>
      <w:r w:rsidR="0044000F">
        <w:t xml:space="preserve">vzatého </w:t>
      </w:r>
      <w:r w:rsidRPr="003D1E07">
        <w:t xml:space="preserve">Nifem a Descartem na sebe přímo kauzálně působí dvě substance buď prvního druhu (smyslové poznání), nebo třetího druhu (inteligibilní poznání). </w:t>
      </w:r>
      <w:r w:rsidR="00632968">
        <w:t>Tolik oceňovaná imaginace u Avicenny se změnila v produktivní imaginaci postmoderny</w:t>
      </w:r>
      <w:r w:rsidR="0088244C">
        <w:t xml:space="preserve">. Ta </w:t>
      </w:r>
      <w:r w:rsidR="08B22B3E" w:rsidRPr="003D1E07">
        <w:t>v množení</w:t>
      </w:r>
      <w:r w:rsidR="08CF250C" w:rsidRPr="003D1E07">
        <w:t xml:space="preserve"> </w:t>
      </w:r>
      <w:r w:rsidR="08CF250C" w:rsidRPr="003D1E07">
        <w:rPr>
          <w:i/>
        </w:rPr>
        <w:t>tertium ens</w:t>
      </w:r>
      <w:r w:rsidR="08CF250C" w:rsidRPr="003D1E07">
        <w:t xml:space="preserve"> </w:t>
      </w:r>
      <w:r w:rsidR="08B22B3E" w:rsidRPr="003D1E07">
        <w:t xml:space="preserve">vysoce </w:t>
      </w:r>
      <w:r w:rsidR="08CF250C" w:rsidRPr="003D1E07">
        <w:t xml:space="preserve">překonala </w:t>
      </w:r>
      <w:r w:rsidR="00965C64" w:rsidRPr="003D1E07">
        <w:t xml:space="preserve">scholastickou </w:t>
      </w:r>
      <w:r w:rsidR="08CF250C" w:rsidRPr="003D1E07">
        <w:t>modernu</w:t>
      </w:r>
      <w:r w:rsidR="00965C64" w:rsidRPr="003D1E07">
        <w:t xml:space="preserve">, která byla </w:t>
      </w:r>
      <w:r w:rsidR="08CF250C" w:rsidRPr="003D1E07">
        <w:t>stále ještě omezen</w:t>
      </w:r>
      <w:r w:rsidR="00965C64" w:rsidRPr="003D1E07">
        <w:t>a</w:t>
      </w:r>
      <w:r w:rsidR="08CF250C" w:rsidRPr="003D1E07">
        <w:t xml:space="preserve"> aristotelským myšlením.</w:t>
      </w:r>
      <w:r w:rsidR="08696017" w:rsidRPr="003D1E07">
        <w:t xml:space="preserve"> </w:t>
      </w:r>
      <w:r w:rsidR="088338E7" w:rsidRPr="003D1E07">
        <w:t>Opět platí základní schizofrenie moderny mezi tělem a duchem, protože oba druhy vlastností nespojuje jedno poznání založené kauzálně od první substance, ale dualistický systém jsoucen třetího druhu</w:t>
      </w:r>
      <w:r w:rsidR="00700B0E" w:rsidRPr="003D1E07">
        <w:t>. Tyto mytopoetické substance jsou dá</w:t>
      </w:r>
      <w:r w:rsidR="088338E7" w:rsidRPr="003D1E07">
        <w:t>n</w:t>
      </w:r>
      <w:r w:rsidR="00700B0E" w:rsidRPr="003D1E07">
        <w:t>y</w:t>
      </w:r>
      <w:r w:rsidR="00355C28">
        <w:t xml:space="preserve"> primárně ve světě </w:t>
      </w:r>
      <w:r w:rsidR="088338E7" w:rsidRPr="003D1E07">
        <w:t>a pak sekundárně v subjektu</w:t>
      </w:r>
      <w:r w:rsidR="088338E7" w:rsidRPr="003D1E07">
        <w:fldChar w:fldCharType="begin"/>
      </w:r>
      <w:r w:rsidR="088338E7" w:rsidRPr="003D1E07">
        <w:instrText xml:space="preserve"> XE "</w:instrText>
      </w:r>
      <w:r w:rsidR="088338E7" w:rsidRPr="003D1E07">
        <w:rPr>
          <w:i/>
        </w:rPr>
        <w:instrText>tertium ens</w:instrText>
      </w:r>
      <w:r w:rsidR="088338E7" w:rsidRPr="003D1E07">
        <w:instrText xml:space="preserve">:Locke" </w:instrText>
      </w:r>
      <w:r w:rsidR="088338E7" w:rsidRPr="003D1E07">
        <w:fldChar w:fldCharType="end"/>
      </w:r>
      <w:r w:rsidR="088338E7" w:rsidRPr="003D1E07">
        <w:t>. Diafanum zmizelo v neoplatonském diakosmu moderny</w:t>
      </w:r>
      <w:r w:rsidR="00C930F1" w:rsidRPr="003D1E07">
        <w:t>. Interakce mezi reálnými substancemi a jejich poznání byly</w:t>
      </w:r>
      <w:r w:rsidR="088338E7" w:rsidRPr="003D1E07">
        <w:t xml:space="preserve"> přeměněn</w:t>
      </w:r>
      <w:r w:rsidR="00C930F1" w:rsidRPr="003D1E07">
        <w:t>y</w:t>
      </w:r>
      <w:r w:rsidR="088338E7" w:rsidRPr="003D1E07">
        <w:t xml:space="preserve"> na </w:t>
      </w:r>
      <w:r w:rsidR="00F85818">
        <w:t xml:space="preserve">substanci–species </w:t>
      </w:r>
      <w:r w:rsidR="00B50CE2">
        <w:t>podle Simplikia.</w:t>
      </w:r>
    </w:p>
    <w:p w14:paraId="2A3249C0" w14:textId="7CDEBF19" w:rsidR="00CA51F1" w:rsidRDefault="00822393" w:rsidP="00B50CE2">
      <w:pPr>
        <w:ind w:firstLine="397"/>
      </w:pPr>
      <w:r w:rsidRPr="003D1E07">
        <w:t xml:space="preserve">Modernisté zrušili </w:t>
      </w:r>
      <w:r w:rsidR="00C02B78" w:rsidRPr="003D1E07">
        <w:t>mediaci</w:t>
      </w:r>
      <w:r w:rsidR="086D0158" w:rsidRPr="003D1E07">
        <w:t xml:space="preserve"> světla skrze diafanum </w:t>
      </w:r>
      <w:r w:rsidRPr="003D1E07">
        <w:t xml:space="preserve">a tím </w:t>
      </w:r>
      <w:r w:rsidR="086D0158" w:rsidRPr="003D1E07">
        <w:t xml:space="preserve">vytvořili dualismus dvou oddělených světů, smyslového a inteligibilního. Po zrušení diafanum </w:t>
      </w:r>
      <w:r w:rsidR="00C02B78" w:rsidRPr="003D1E07">
        <w:t xml:space="preserve">zmizela formální kauzalita. </w:t>
      </w:r>
      <w:r w:rsidR="00B95040">
        <w:t>I</w:t>
      </w:r>
      <w:r w:rsidR="086D0158" w:rsidRPr="003D1E07">
        <w:t>ntelekt</w:t>
      </w:r>
      <w:r w:rsidR="00B95040">
        <w:t xml:space="preserve"> začal vidět </w:t>
      </w:r>
      <w:r w:rsidR="084C4025" w:rsidRPr="003D1E07">
        <w:t>„</w:t>
      </w:r>
      <w:r w:rsidR="086D0158" w:rsidRPr="003D1E07">
        <w:t>vidět</w:t>
      </w:r>
      <w:r w:rsidR="084C4025" w:rsidRPr="003D1E07">
        <w:t>“</w:t>
      </w:r>
      <w:r w:rsidR="086D0158" w:rsidRPr="003D1E07">
        <w:t xml:space="preserve"> neexistující jsoucna třetího druhu. </w:t>
      </w:r>
      <w:r w:rsidR="000D37A0" w:rsidRPr="003D1E07">
        <w:t>Absolutizací intelektu-slunce</w:t>
      </w:r>
      <w:r w:rsidR="000D37A0" w:rsidRPr="003D1E07">
        <w:fldChar w:fldCharType="begin"/>
      </w:r>
      <w:r w:rsidR="000D37A0" w:rsidRPr="003D1E07">
        <w:instrText xml:space="preserve"> XE "intelekt-slunce" </w:instrText>
      </w:r>
      <w:r w:rsidR="000D37A0" w:rsidRPr="003D1E07">
        <w:fldChar w:fldCharType="end"/>
      </w:r>
      <w:r w:rsidR="000D37A0" w:rsidRPr="003D1E07">
        <w:t xml:space="preserve"> v procesu </w:t>
      </w:r>
      <w:r w:rsidR="00706604" w:rsidRPr="003D1E07">
        <w:t xml:space="preserve">inteligibilního </w:t>
      </w:r>
      <w:r w:rsidR="000D37A0" w:rsidRPr="003D1E07">
        <w:t xml:space="preserve">poznání </w:t>
      </w:r>
      <w:r w:rsidR="00706604" w:rsidRPr="003D1E07">
        <w:t xml:space="preserve">vznikla </w:t>
      </w:r>
      <w:r w:rsidR="000D37A0" w:rsidRPr="003D1E07">
        <w:t>met</w:t>
      </w:r>
      <w:r w:rsidR="00706604" w:rsidRPr="003D1E07">
        <w:t>afyzická slepota</w:t>
      </w:r>
      <w:r w:rsidR="000D37A0" w:rsidRPr="003D1E07">
        <w:t xml:space="preserve"> vůči </w:t>
      </w:r>
      <w:r w:rsidR="0063466E" w:rsidRPr="003D1E07">
        <w:t>smysl</w:t>
      </w:r>
      <w:r w:rsidR="00694C16" w:rsidRPr="003D1E07">
        <w:t>o</w:t>
      </w:r>
      <w:r w:rsidR="0063466E" w:rsidRPr="003D1E07">
        <w:t>v</w:t>
      </w:r>
      <w:r w:rsidR="00694C16" w:rsidRPr="003D1E07">
        <w:t xml:space="preserve">ě poznané </w:t>
      </w:r>
      <w:r w:rsidR="000D37A0" w:rsidRPr="003D1E07">
        <w:t xml:space="preserve">realitě, která vedla k metafyzickému </w:t>
      </w:r>
      <w:r w:rsidR="000D37A0" w:rsidRPr="003D1E07">
        <w:rPr>
          <w:i/>
        </w:rPr>
        <w:t>Irrtum</w:t>
      </w:r>
      <w:r w:rsidR="08316497" w:rsidRPr="003D1E07">
        <w:t xml:space="preserve">. Přímé vidění jsoucen třetího druhu v realitě </w:t>
      </w:r>
      <w:r w:rsidR="082157B8" w:rsidRPr="003D1E07">
        <w:t xml:space="preserve">se děje skrze objektivní poznání světa. Nemateriální </w:t>
      </w:r>
      <w:r w:rsidR="000D37A0" w:rsidRPr="003D1E07">
        <w:t>hy</w:t>
      </w:r>
      <w:r w:rsidR="00D8180F" w:rsidRPr="003D1E07">
        <w:t xml:space="preserve">postázované vlastnosti dostaly </w:t>
      </w:r>
      <w:r w:rsidR="00E36CB7" w:rsidRPr="003D1E07">
        <w:t xml:space="preserve">status </w:t>
      </w:r>
      <w:r w:rsidR="086D2EDD" w:rsidRPr="003D1E07">
        <w:t>prvních substancí. Jsoucna třetího druhu ne</w:t>
      </w:r>
      <w:r w:rsidR="082157B8" w:rsidRPr="003D1E07">
        <w:t xml:space="preserve">existují </w:t>
      </w:r>
      <w:r w:rsidR="080B0F71" w:rsidRPr="003D1E07">
        <w:t xml:space="preserve">v aristotelismu </w:t>
      </w:r>
      <w:r w:rsidR="082157B8" w:rsidRPr="003D1E07">
        <w:t xml:space="preserve">na žádný </w:t>
      </w:r>
      <w:r w:rsidR="082157B8" w:rsidRPr="003D1E07">
        <w:lastRenderedPageBreak/>
        <w:t>způsob</w:t>
      </w:r>
      <w:r w:rsidR="080B0F71" w:rsidRPr="003D1E07">
        <w:t>, protože nemají jak být</w:t>
      </w:r>
      <w:r w:rsidR="082157B8" w:rsidRPr="003D1E07">
        <w:t xml:space="preserve">. </w:t>
      </w:r>
      <w:r w:rsidR="00437C25" w:rsidRPr="003D1E07">
        <w:t>Postmoderna zkoumá p</w:t>
      </w:r>
      <w:r w:rsidR="086D2EDD" w:rsidRPr="003D1E07">
        <w:t xml:space="preserve">rimární a sekundární kvality </w:t>
      </w:r>
      <w:r w:rsidR="00437C25" w:rsidRPr="003D1E07">
        <w:t xml:space="preserve">stejně </w:t>
      </w:r>
      <w:r w:rsidR="086D2EDD" w:rsidRPr="003D1E07">
        <w:fldChar w:fldCharType="begin"/>
      </w:r>
      <w:r w:rsidR="086D2EDD" w:rsidRPr="003D1E07">
        <w:instrText xml:space="preserve"> XE "primární kvality" </w:instrText>
      </w:r>
      <w:r w:rsidR="086D2EDD" w:rsidRPr="003D1E07">
        <w:fldChar w:fldCharType="end"/>
      </w:r>
      <w:r w:rsidR="086D2EDD" w:rsidRPr="003D1E07">
        <w:t xml:space="preserve">jako reálně existující substance. Moderna a postmoderna nepotřebuje žádnou mediaci, protože má </w:t>
      </w:r>
      <w:r w:rsidR="00055B16">
        <w:t xml:space="preserve">mytologický </w:t>
      </w:r>
      <w:r w:rsidR="086D2EDD" w:rsidRPr="003D1E07">
        <w:t>model poznání. Jenže tento typ poznání není schopen vysvětlit vznik nemateriálního poznatku v lidské mysli</w:t>
      </w:r>
      <w:r w:rsidR="00D11AF6" w:rsidRPr="003D1E07">
        <w:t xml:space="preserve"> jako </w:t>
      </w:r>
      <w:r w:rsidR="00D11AF6" w:rsidRPr="003D1E07">
        <w:rPr>
          <w:i/>
        </w:rPr>
        <w:t>proportio</w:t>
      </w:r>
      <w:r w:rsidR="0081489D" w:rsidRPr="003D1E07">
        <w:t xml:space="preserve"> podle CMDA. </w:t>
      </w:r>
      <w:r w:rsidR="00D11AF6" w:rsidRPr="003D1E07">
        <w:t xml:space="preserve">Neexistuje žádná korespondence mezi smyslem a intelektem, který univerzálně poznává reálný hmotný svět. </w:t>
      </w:r>
      <w:r w:rsidR="00C612B7" w:rsidRPr="003D1E07">
        <w:t xml:space="preserve">Moderna zkoumá </w:t>
      </w:r>
      <w:r w:rsidR="086D2EDD" w:rsidRPr="003D1E07">
        <w:t>objektivní diakosmos</w:t>
      </w:r>
      <w:r w:rsidR="086D2EDD" w:rsidRPr="003D1E07">
        <w:fldChar w:fldCharType="begin"/>
      </w:r>
      <w:r w:rsidR="086D2EDD" w:rsidRPr="003D1E07">
        <w:instrText xml:space="preserve"> XE "diakosmos" </w:instrText>
      </w:r>
      <w:r w:rsidR="086D2EDD" w:rsidRPr="003D1E07">
        <w:fldChar w:fldCharType="end"/>
      </w:r>
      <w:r w:rsidR="086D2EDD" w:rsidRPr="003D1E07">
        <w:t xml:space="preserve"> primárních a sekundárních </w:t>
      </w:r>
      <w:r w:rsidR="00C612B7" w:rsidRPr="003D1E07">
        <w:t>substancí definovaných</w:t>
      </w:r>
      <w:r w:rsidR="080B0F71" w:rsidRPr="003D1E07">
        <w:t xml:space="preserve"> jako objektivní </w:t>
      </w:r>
      <w:r w:rsidR="080B0F71" w:rsidRPr="003D1E07">
        <w:rPr>
          <w:i/>
        </w:rPr>
        <w:t>individuum</w:t>
      </w:r>
      <w:r w:rsidR="080B0F71" w:rsidRPr="003D1E07">
        <w:t xml:space="preserve"> (OBJ I</w:t>
      </w:r>
      <w:r w:rsidR="08F45836" w:rsidRPr="003D1E07">
        <w:t>I</w:t>
      </w:r>
      <w:r w:rsidR="080B0F71" w:rsidRPr="003D1E07">
        <w:t xml:space="preserve">, kap. 1.3). </w:t>
      </w:r>
      <w:r w:rsidR="00370C92" w:rsidRPr="003D1E07">
        <w:t>Škola prvního averroismu do pařížského odsouzení roku 1277</w:t>
      </w:r>
      <w:r w:rsidR="00370C92" w:rsidRPr="003D1E07">
        <w:fldChar w:fldCharType="begin"/>
      </w:r>
      <w:r w:rsidR="00370C92" w:rsidRPr="003D1E07">
        <w:instrText xml:space="preserve"> XE "odsouzení 1277" </w:instrText>
      </w:r>
      <w:r w:rsidR="00370C92" w:rsidRPr="003D1E07">
        <w:fldChar w:fldCharType="end"/>
      </w:r>
      <w:r w:rsidR="00370C92" w:rsidRPr="003D1E07">
        <w:t xml:space="preserve"> odmítala paranoiu prvních </w:t>
      </w:r>
      <w:r w:rsidR="00370C92" w:rsidRPr="003D1E07">
        <w:rPr>
          <w:i/>
        </w:rPr>
        <w:t>Modernorum</w:t>
      </w:r>
      <w:r w:rsidR="00370C92" w:rsidRPr="003D1E07">
        <w:t>.</w:t>
      </w:r>
      <w:r w:rsidR="00601880">
        <w:t xml:space="preserve"> </w:t>
      </w:r>
      <w:r w:rsidR="085516B1" w:rsidRPr="003D1E07">
        <w:t xml:space="preserve">Islámská a latinská moderna založená Simplikiem a Avicennou vidí úplně jiný svět než kritičtí myslitelé falsafy jako Averroes a latinští aristotelikové. </w:t>
      </w:r>
      <w:r w:rsidR="08D64EAF" w:rsidRPr="003D1E07">
        <w:rPr>
          <w:rStyle w:val="Zkladntext158dkovn0pt"/>
          <w:color w:val="auto"/>
          <w:spacing w:val="0"/>
          <w:sz w:val="24"/>
          <w:lang w:val="cs-CZ"/>
        </w:rPr>
        <w:t>Pojetí intelektu jako diafanum zásadně určuje způsob vidění světa</w:t>
      </w:r>
      <w:r w:rsidR="006F12BE">
        <w:rPr>
          <w:rStyle w:val="Zkladntext158dkovn0pt"/>
          <w:color w:val="auto"/>
          <w:spacing w:val="0"/>
          <w:sz w:val="24"/>
          <w:lang w:val="cs-CZ"/>
        </w:rPr>
        <w:t xml:space="preserve">. Buď se svět manifestuje </w:t>
      </w:r>
      <w:r w:rsidR="08D64EAF" w:rsidRPr="003D1E07">
        <w:rPr>
          <w:rStyle w:val="Zkladntext158dkovn0pt"/>
          <w:color w:val="auto"/>
          <w:spacing w:val="0"/>
          <w:sz w:val="24"/>
          <w:lang w:val="cs-CZ"/>
        </w:rPr>
        <w:t xml:space="preserve">pomocí </w:t>
      </w:r>
      <w:r w:rsidR="08E22F7A" w:rsidRPr="003D1E07">
        <w:t xml:space="preserve">metafyzického </w:t>
      </w:r>
      <w:r w:rsidR="08D64EAF" w:rsidRPr="003D1E07">
        <w:rPr>
          <w:rStyle w:val="Zkladntext158dkovn0pt"/>
          <w:color w:val="auto"/>
          <w:spacing w:val="0"/>
          <w:sz w:val="24"/>
          <w:lang w:val="cs-CZ"/>
        </w:rPr>
        <w:t>dativu</w:t>
      </w:r>
      <w:r w:rsidR="08D64EAF" w:rsidRPr="003D1E07">
        <w:rPr>
          <w:rStyle w:val="Zkladntext158dkovn0pt"/>
          <w:color w:val="auto"/>
          <w:spacing w:val="0"/>
          <w:sz w:val="24"/>
          <w:lang w:val="cs-CZ"/>
        </w:rPr>
        <w:fldChar w:fldCharType="begin"/>
      </w:r>
      <w:r w:rsidR="08D64EAF" w:rsidRPr="003D1E07">
        <w:instrText xml:space="preserve"> XE "</w:instrText>
      </w:r>
      <w:r w:rsidR="08D64EAF" w:rsidRPr="003D1E07">
        <w:rPr>
          <w:rStyle w:val="Zkladntext158dkovn0pt"/>
          <w:i/>
          <w:color w:val="auto"/>
          <w:spacing w:val="0"/>
          <w:sz w:val="24"/>
          <w:lang w:val="cs-CZ"/>
        </w:rPr>
        <w:instrText>dativ</w:instrText>
      </w:r>
      <w:r w:rsidR="08E22F7A" w:rsidRPr="003D1E07">
        <w:rPr>
          <w:rStyle w:val="Zkladntext158dkovn0pt"/>
          <w:i/>
          <w:color w:val="auto"/>
          <w:spacing w:val="0"/>
          <w:sz w:val="24"/>
          <w:lang w:val="cs-CZ"/>
        </w:rPr>
        <w:instrText>us metaphysi</w:instrText>
      </w:r>
      <w:r w:rsidR="08D64EAF" w:rsidRPr="003D1E07">
        <w:rPr>
          <w:rStyle w:val="Zkladntext158dkovn0pt"/>
          <w:i/>
          <w:color w:val="auto"/>
          <w:spacing w:val="0"/>
          <w:sz w:val="24"/>
          <w:lang w:val="cs-CZ"/>
        </w:rPr>
        <w:instrText>cus</w:instrText>
      </w:r>
      <w:r w:rsidR="08D64EAF" w:rsidRPr="003D1E07">
        <w:instrText xml:space="preserve">" </w:instrText>
      </w:r>
      <w:r w:rsidR="08D64EAF" w:rsidRPr="003D1E07">
        <w:rPr>
          <w:rStyle w:val="Zkladntext158dkovn0pt"/>
          <w:color w:val="auto"/>
          <w:spacing w:val="0"/>
          <w:sz w:val="24"/>
          <w:lang w:val="cs-CZ"/>
        </w:rPr>
        <w:fldChar w:fldCharType="end"/>
      </w:r>
      <w:r w:rsidR="086233F0" w:rsidRPr="003D1E07">
        <w:rPr>
          <w:rStyle w:val="Zkladntext158dkovn0pt"/>
          <w:color w:val="auto"/>
          <w:spacing w:val="0"/>
          <w:sz w:val="24"/>
          <w:lang w:val="cs-CZ"/>
        </w:rPr>
        <w:t xml:space="preserve"> </w:t>
      </w:r>
      <w:r w:rsidR="008747B8">
        <w:rPr>
          <w:rStyle w:val="Zkladntext158dkovn0pt"/>
          <w:color w:val="auto"/>
          <w:spacing w:val="0"/>
          <w:sz w:val="24"/>
          <w:lang w:val="cs-CZ"/>
        </w:rPr>
        <w:t>me</w:t>
      </w:r>
      <w:r w:rsidR="003628CF">
        <w:rPr>
          <w:rStyle w:val="Zkladntext158dkovn0pt"/>
          <w:color w:val="auto"/>
          <w:spacing w:val="0"/>
          <w:sz w:val="24"/>
          <w:lang w:val="cs-CZ"/>
        </w:rPr>
        <w:t xml:space="preserve">diatizovaného skrze diafanum ; </w:t>
      </w:r>
      <w:r w:rsidR="086233F0" w:rsidRPr="003D1E07">
        <w:rPr>
          <w:rStyle w:val="Zkladntext158dkovn0pt"/>
          <w:color w:val="auto"/>
          <w:spacing w:val="0"/>
          <w:sz w:val="24"/>
          <w:lang w:val="cs-CZ"/>
        </w:rPr>
        <w:t xml:space="preserve">nebo </w:t>
      </w:r>
      <w:r w:rsidR="003628CF">
        <w:rPr>
          <w:rStyle w:val="Zkladntext158dkovn0pt"/>
          <w:color w:val="auto"/>
          <w:spacing w:val="0"/>
          <w:sz w:val="24"/>
          <w:lang w:val="cs-CZ"/>
        </w:rPr>
        <w:t xml:space="preserve">se </w:t>
      </w:r>
      <w:r w:rsidR="008747B8">
        <w:rPr>
          <w:rStyle w:val="Zkladntext158dkovn0pt"/>
          <w:color w:val="auto"/>
          <w:spacing w:val="0"/>
          <w:sz w:val="24"/>
          <w:lang w:val="cs-CZ"/>
        </w:rPr>
        <w:t xml:space="preserve">svět </w:t>
      </w:r>
      <w:r w:rsidR="003628CF">
        <w:rPr>
          <w:rStyle w:val="Zkladntext158dkovn0pt"/>
          <w:color w:val="auto"/>
          <w:spacing w:val="0"/>
          <w:sz w:val="24"/>
          <w:lang w:val="cs-CZ"/>
        </w:rPr>
        <w:t xml:space="preserve">manifestuje </w:t>
      </w:r>
      <w:r w:rsidR="006F12BE">
        <w:rPr>
          <w:rStyle w:val="Zkladntext158dkovn0pt"/>
          <w:color w:val="auto"/>
          <w:spacing w:val="0"/>
          <w:sz w:val="24"/>
          <w:lang w:val="cs-CZ"/>
        </w:rPr>
        <w:t xml:space="preserve">skrze </w:t>
      </w:r>
      <w:r w:rsidR="086233F0" w:rsidRPr="003D1E07">
        <w:rPr>
          <w:rStyle w:val="Zkladntext158dkovn0pt"/>
          <w:color w:val="auto"/>
          <w:spacing w:val="0"/>
          <w:sz w:val="24"/>
          <w:lang w:val="cs-CZ"/>
        </w:rPr>
        <w:t>moderní par</w:t>
      </w:r>
      <w:r w:rsidR="006F12BE">
        <w:rPr>
          <w:rStyle w:val="Zkladntext158dkovn0pt"/>
          <w:color w:val="auto"/>
          <w:spacing w:val="0"/>
          <w:sz w:val="24"/>
          <w:lang w:val="cs-CZ"/>
        </w:rPr>
        <w:t>usii</w:t>
      </w:r>
      <w:r w:rsidR="08D64EAF" w:rsidRPr="003D1E07">
        <w:rPr>
          <w:rStyle w:val="Zkladntext158dkovn0pt"/>
          <w:color w:val="auto"/>
          <w:spacing w:val="0"/>
          <w:sz w:val="24"/>
          <w:lang w:val="cs-CZ"/>
        </w:rPr>
        <w:t xml:space="preserve"> jsoucen třetího druhu</w:t>
      </w:r>
      <w:r w:rsidR="004C39CF">
        <w:rPr>
          <w:rStyle w:val="Zkladntext158dkovn0pt"/>
          <w:color w:val="auto"/>
          <w:spacing w:val="0"/>
          <w:sz w:val="24"/>
          <w:lang w:val="cs-CZ"/>
        </w:rPr>
        <w:t>, které se přímo zje</w:t>
      </w:r>
      <w:r w:rsidR="006F12BE">
        <w:rPr>
          <w:rStyle w:val="Zkladntext158dkovn0pt"/>
          <w:color w:val="auto"/>
          <w:spacing w:val="0"/>
          <w:sz w:val="24"/>
          <w:lang w:val="cs-CZ"/>
        </w:rPr>
        <w:t xml:space="preserve">vují </w:t>
      </w:r>
      <w:r w:rsidR="08D64EAF" w:rsidRPr="003D1E07">
        <w:rPr>
          <w:rStyle w:val="Zkladntext158dkovn0pt"/>
          <w:color w:val="auto"/>
          <w:spacing w:val="0"/>
          <w:sz w:val="24"/>
          <w:lang w:val="cs-CZ"/>
        </w:rPr>
        <w:t>v reflexivním vědomí ilumináta. Moderna a postmoderna vytěsnila formální kauzalitu vinou zapomenutého diafanum</w:t>
      </w:r>
      <w:r w:rsidR="00F47E77">
        <w:rPr>
          <w:rStyle w:val="Zkladntext158dkovn0pt"/>
          <w:color w:val="auto"/>
          <w:spacing w:val="0"/>
          <w:sz w:val="24"/>
          <w:lang w:val="cs-CZ"/>
        </w:rPr>
        <w:t xml:space="preserve">, proto skrze pojetí pravdy jako asimilace vidí jen ty chiméry, které samy produkují. </w:t>
      </w:r>
      <w:r w:rsidR="08D64EAF" w:rsidRPr="003D1E07">
        <w:t xml:space="preserve">Descartes </w:t>
      </w:r>
      <w:r w:rsidR="00761854">
        <w:t>z</w:t>
      </w:r>
      <w:r w:rsidR="08D64EAF" w:rsidRPr="003D1E07">
        <w:t>avrh</w:t>
      </w:r>
      <w:r w:rsidR="0081489D" w:rsidRPr="003D1E07">
        <w:t>l intencionalitu a změnil</w:t>
      </w:r>
      <w:r w:rsidR="08D64EAF" w:rsidRPr="003D1E07">
        <w:t xml:space="preserve"> diafanum</w:t>
      </w:r>
      <w:r w:rsidR="08D64EAF" w:rsidRPr="003D1E07">
        <w:fldChar w:fldCharType="begin"/>
      </w:r>
      <w:r w:rsidR="08D64EAF" w:rsidRPr="003D1E07">
        <w:instrText xml:space="preserve"> XE "diafanum:Descartes" </w:instrText>
      </w:r>
      <w:r w:rsidR="08D64EAF" w:rsidRPr="003D1E07">
        <w:fldChar w:fldCharType="end"/>
      </w:r>
      <w:r w:rsidR="08D64EAF" w:rsidRPr="003D1E07">
        <w:t xml:space="preserve"> na korposkulární a proto subsistentní </w:t>
      </w:r>
      <w:r w:rsidR="000A0BB6">
        <w:t>substanci-species</w:t>
      </w:r>
      <w:r w:rsidR="08D64EAF" w:rsidRPr="003D1E07">
        <w:t xml:space="preserve"> třetího druhu. Viz výše uvedený citát z </w:t>
      </w:r>
      <w:r w:rsidR="08D64EAF" w:rsidRPr="003D1E07">
        <w:rPr>
          <w:i/>
        </w:rPr>
        <w:t>Optiky</w:t>
      </w:r>
      <w:r w:rsidR="08D64EAF" w:rsidRPr="003D1E07">
        <w:t>, který zakládá nové vidění světa napojené na karteziánský dualismus duše a těla. Karteziáni jako Arnauld</w:t>
      </w:r>
      <w:r w:rsidR="08D64EAF" w:rsidRPr="003D1E07">
        <w:fldChar w:fldCharType="begin"/>
      </w:r>
      <w:r w:rsidR="08D64EAF" w:rsidRPr="003D1E07">
        <w:instrText xml:space="preserve"> XE "Arnauld, A." </w:instrText>
      </w:r>
      <w:r w:rsidR="08D64EAF" w:rsidRPr="003D1E07">
        <w:fldChar w:fldCharType="end"/>
      </w:r>
      <w:r w:rsidR="08D64EAF" w:rsidRPr="003D1E07">
        <w:t xml:space="preserve"> pak vidí ideje a hypostázované vlastnosti přímo ve věcech, protože jim vypadla formální mediace mezi reálnou materiální věcí a nemateriálním obecným poznáním</w:t>
      </w:r>
      <w:r w:rsidR="08D64EAF" w:rsidRPr="003D1E07">
        <w:fldChar w:fldCharType="begin"/>
      </w:r>
      <w:r w:rsidR="08D64EAF" w:rsidRPr="003D1E07">
        <w:instrText xml:space="preserve"> XE "intencionalita:Descartes" </w:instrText>
      </w:r>
      <w:r w:rsidR="08D64EAF" w:rsidRPr="003D1E07">
        <w:fldChar w:fldCharType="end"/>
      </w:r>
      <w:r w:rsidR="08D64EAF" w:rsidRPr="003D1E07">
        <w:t xml:space="preserve">. </w:t>
      </w:r>
      <w:r w:rsidR="08D64EAF" w:rsidRPr="003D1E07">
        <w:rPr>
          <w:rStyle w:val="Zkladntext158dkovn0pt"/>
          <w:color w:val="auto"/>
          <w:spacing w:val="0"/>
          <w:sz w:val="24"/>
          <w:lang w:val="cs-CZ"/>
        </w:rPr>
        <w:t xml:space="preserve">Moderna a postmoderna </w:t>
      </w:r>
      <w:r w:rsidR="00B1122C">
        <w:rPr>
          <w:rStyle w:val="Zkladntext158dkovn0pt"/>
          <w:color w:val="auto"/>
          <w:spacing w:val="0"/>
          <w:sz w:val="24"/>
          <w:lang w:val="cs-CZ"/>
        </w:rPr>
        <w:t xml:space="preserve">provnává </w:t>
      </w:r>
      <w:r w:rsidR="08D64EAF" w:rsidRPr="003D1E07">
        <w:rPr>
          <w:rStyle w:val="Zkladntext158dkovn0pt"/>
          <w:color w:val="auto"/>
          <w:spacing w:val="0"/>
          <w:sz w:val="24"/>
          <w:lang w:val="cs-CZ"/>
        </w:rPr>
        <w:t xml:space="preserve">mezi sebou neexistující jsoucna třetího druhu v modu pravdy jako objektivní asimilace. Viz Rufusovu asimilační teorii pravdy v modu moderního </w:t>
      </w:r>
      <w:r w:rsidR="08D64EAF" w:rsidRPr="003D1E07">
        <w:rPr>
          <w:rStyle w:val="Zkladntext158dkovn0pt"/>
          <w:i/>
          <w:color w:val="auto"/>
          <w:spacing w:val="0"/>
          <w:sz w:val="24"/>
          <w:lang w:val="cs-CZ"/>
        </w:rPr>
        <w:t>coaequatio</w:t>
      </w:r>
      <w:r w:rsidR="08D64EAF" w:rsidRPr="003D1E07">
        <w:rPr>
          <w:rStyle w:val="Zkladntext158dkovn0pt"/>
          <w:i/>
          <w:color w:val="auto"/>
          <w:spacing w:val="0"/>
          <w:sz w:val="24"/>
          <w:lang w:val="cs-CZ"/>
        </w:rPr>
        <w:fldChar w:fldCharType="begin"/>
      </w:r>
      <w:r w:rsidR="08D64EAF" w:rsidRPr="003D1E07">
        <w:instrText xml:space="preserve"> XE "pravda:</w:instrText>
      </w:r>
      <w:r w:rsidR="08D64EAF" w:rsidRPr="003D1E07">
        <w:rPr>
          <w:rStyle w:val="Zkladntext158dkovn0pt"/>
          <w:i/>
          <w:color w:val="auto"/>
          <w:spacing w:val="0"/>
          <w:sz w:val="24"/>
          <w:lang w:val="cs-CZ"/>
        </w:rPr>
        <w:instrText>coaequatio</w:instrText>
      </w:r>
      <w:r w:rsidR="08D64EAF" w:rsidRPr="003D1E07">
        <w:instrText xml:space="preserve">" </w:instrText>
      </w:r>
      <w:r w:rsidR="08D64EAF" w:rsidRPr="003D1E07">
        <w:rPr>
          <w:rStyle w:val="Zkladntext158dkovn0pt"/>
          <w:i/>
          <w:color w:val="auto"/>
          <w:spacing w:val="0"/>
          <w:sz w:val="24"/>
          <w:lang w:val="cs-CZ"/>
        </w:rPr>
        <w:fldChar w:fldCharType="end"/>
      </w:r>
      <w:r w:rsidR="08D64EAF" w:rsidRPr="003D1E07">
        <w:rPr>
          <w:rStyle w:val="Zkladntext158dkovn0pt"/>
          <w:color w:val="auto"/>
          <w:spacing w:val="0"/>
          <w:sz w:val="24"/>
          <w:lang w:val="cs-CZ"/>
        </w:rPr>
        <w:t xml:space="preserve"> (</w:t>
      </w:r>
      <w:r w:rsidR="08ED12B2" w:rsidRPr="003D1E07">
        <w:rPr>
          <w:rStyle w:val="Zkladntext158dkovn0pt"/>
          <w:color w:val="auto"/>
          <w:spacing w:val="0"/>
          <w:sz w:val="24"/>
          <w:lang w:val="cs-CZ"/>
        </w:rPr>
        <w:t xml:space="preserve">OBJ II, </w:t>
      </w:r>
      <w:r w:rsidR="08ED12B2" w:rsidRPr="003D1E07">
        <w:t>kap. 3</w:t>
      </w:r>
      <w:r w:rsidR="08D64EAF" w:rsidRPr="003D1E07">
        <w:t>.3.2</w:t>
      </w:r>
      <w:r w:rsidR="08D64EAF" w:rsidRPr="003D1E07">
        <w:rPr>
          <w:rStyle w:val="Zkladntext158dkovn0pt"/>
          <w:color w:val="auto"/>
          <w:spacing w:val="0"/>
          <w:sz w:val="24"/>
          <w:lang w:val="cs-CZ"/>
        </w:rPr>
        <w:t>)</w:t>
      </w:r>
      <w:r w:rsidR="00F73DAA" w:rsidRPr="003D1E07">
        <w:rPr>
          <w:rStyle w:val="Zkladntext158dkovn0pt"/>
          <w:color w:val="auto"/>
          <w:spacing w:val="0"/>
          <w:sz w:val="24"/>
          <w:lang w:val="cs-CZ"/>
        </w:rPr>
        <w:t xml:space="preserve">. Toto </w:t>
      </w:r>
      <w:r w:rsidR="00F73DAA" w:rsidRPr="003D1E07">
        <w:rPr>
          <w:rStyle w:val="Zkladntext158dkovn0pt"/>
          <w:i/>
          <w:color w:val="auto"/>
          <w:spacing w:val="0"/>
          <w:sz w:val="24"/>
          <w:lang w:val="cs-CZ"/>
        </w:rPr>
        <w:t>Weltanschauung</w:t>
      </w:r>
      <w:r w:rsidR="00245885" w:rsidRPr="003D1E07">
        <w:rPr>
          <w:rStyle w:val="Zkladntext158dkovn0pt"/>
          <w:color w:val="auto"/>
          <w:spacing w:val="0"/>
          <w:sz w:val="24"/>
          <w:lang w:val="cs-CZ"/>
        </w:rPr>
        <w:t xml:space="preserve"> objektivní moderny</w:t>
      </w:r>
      <w:r w:rsidR="00F73DAA" w:rsidRPr="003D1E07">
        <w:rPr>
          <w:rStyle w:val="Zkladntext158dkovn0pt"/>
          <w:color w:val="auto"/>
          <w:spacing w:val="0"/>
          <w:sz w:val="24"/>
          <w:lang w:val="cs-CZ"/>
        </w:rPr>
        <w:t xml:space="preserve"> si podmanilo svět</w:t>
      </w:r>
      <w:r w:rsidR="005D69B9" w:rsidRPr="003D1E07">
        <w:rPr>
          <w:rStyle w:val="Zkladntext158dkovn0pt"/>
          <w:color w:val="auto"/>
          <w:spacing w:val="0"/>
          <w:sz w:val="24"/>
          <w:lang w:val="cs-CZ"/>
        </w:rPr>
        <w:t xml:space="preserve"> v epoše antropocénu</w:t>
      </w:r>
      <w:r w:rsidR="00245885" w:rsidRPr="003D1E07">
        <w:rPr>
          <w:rStyle w:val="Zkladntext158dkovn0pt"/>
          <w:color w:val="auto"/>
          <w:spacing w:val="0"/>
          <w:sz w:val="24"/>
          <w:lang w:val="cs-CZ"/>
        </w:rPr>
        <w:t xml:space="preserve">. Moderna </w:t>
      </w:r>
      <w:r w:rsidR="00F73DAA" w:rsidRPr="003D1E07">
        <w:rPr>
          <w:rStyle w:val="Zkladntext158dkovn0pt"/>
          <w:color w:val="auto"/>
          <w:spacing w:val="0"/>
          <w:sz w:val="24"/>
          <w:lang w:val="cs-CZ"/>
        </w:rPr>
        <w:t>změnil</w:t>
      </w:r>
      <w:r w:rsidR="00245885" w:rsidRPr="003D1E07">
        <w:rPr>
          <w:rStyle w:val="Zkladntext158dkovn0pt"/>
          <w:color w:val="auto"/>
          <w:spacing w:val="0"/>
          <w:sz w:val="24"/>
          <w:lang w:val="cs-CZ"/>
        </w:rPr>
        <w:t>a</w:t>
      </w:r>
      <w:r w:rsidR="00F73DAA" w:rsidRPr="003D1E07">
        <w:rPr>
          <w:rStyle w:val="Zkladntext158dkovn0pt"/>
          <w:color w:val="auto"/>
          <w:spacing w:val="0"/>
          <w:sz w:val="24"/>
          <w:lang w:val="cs-CZ"/>
        </w:rPr>
        <w:t xml:space="preserve"> poznání skutečnosti podle nihilistického a paranoidního obrazu světa založeného na moderním dualistickém subjektu.</w:t>
      </w:r>
      <w:r w:rsidR="00E047E2" w:rsidRPr="003D1E07">
        <w:rPr>
          <w:rStyle w:val="Zkladntext158dkovn0pt"/>
          <w:color w:val="auto"/>
          <w:spacing w:val="0"/>
          <w:sz w:val="24"/>
          <w:lang w:val="cs-CZ"/>
        </w:rPr>
        <w:t xml:space="preserve"> </w:t>
      </w:r>
      <w:r w:rsidR="08D64EAF" w:rsidRPr="003D1E07">
        <w:t>V</w:t>
      </w:r>
      <w:r w:rsidR="00AC3218">
        <w:t xml:space="preserve"> epoše </w:t>
      </w:r>
      <w:r w:rsidR="00AC3218" w:rsidRPr="00AC3218">
        <w:rPr>
          <w:i/>
        </w:rPr>
        <w:t>New Age</w:t>
      </w:r>
      <w:r w:rsidR="00AC3218">
        <w:t xml:space="preserve"> založené A</w:t>
      </w:r>
      <w:r w:rsidR="0857672C" w:rsidRPr="003D1E07">
        <w:t>vicenno</w:t>
      </w:r>
      <w:r w:rsidR="00AC3218">
        <w:t>u p</w:t>
      </w:r>
      <w:r w:rsidR="0857672C" w:rsidRPr="003D1E07">
        <w:t>řešla mediace skrze diafanum do epochální</w:t>
      </w:r>
      <w:r w:rsidR="00D96DDC" w:rsidRPr="003D1E07">
        <w:t>ho zapomnění</w:t>
      </w:r>
      <w:r w:rsidR="00CA51F1">
        <w:t>.</w:t>
      </w:r>
    </w:p>
    <w:p w14:paraId="18AE550D" w14:textId="77777777" w:rsidR="00787C7A" w:rsidRDefault="0857672C" w:rsidP="00CA51F1">
      <w:pPr>
        <w:ind w:firstLine="397"/>
      </w:pPr>
      <w:r w:rsidRPr="003D1E07">
        <w:t>Sluneční paprsek přímo nezpůsobuje vidění, jak si to m</w:t>
      </w:r>
      <w:r w:rsidR="00C8027A">
        <w:t>yslel neoplatonismus a moderna.</w:t>
      </w:r>
      <w:r w:rsidR="00CA51F1">
        <w:t xml:space="preserve"> </w:t>
      </w:r>
      <w:r w:rsidR="00E047E2" w:rsidRPr="003D1E07">
        <w:t xml:space="preserve">Averroes nebyl filosof oslepený </w:t>
      </w:r>
      <w:r w:rsidR="00C43C4F">
        <w:t xml:space="preserve">slunečním </w:t>
      </w:r>
      <w:r w:rsidR="00E047E2" w:rsidRPr="003D1E07">
        <w:t xml:space="preserve">intelektem, protože ve schématu metafyzického poznání nikdy nezavrhl mediaci mezi smysly a intelektem jako Avicenna a postmoderní matematikové typu Descarta a Arnaulda. </w:t>
      </w:r>
      <w:r w:rsidR="002144C1" w:rsidRPr="003D1E07">
        <w:t xml:space="preserve">Komentátor </w:t>
      </w:r>
      <w:r w:rsidR="00E36327" w:rsidRPr="003D1E07">
        <w:t xml:space="preserve">odkazem na </w:t>
      </w:r>
      <w:r w:rsidR="00E36327" w:rsidRPr="003D1E07">
        <w:rPr>
          <w:i/>
        </w:rPr>
        <w:t>De anima</w:t>
      </w:r>
      <w:r w:rsidR="00E36327" w:rsidRPr="003D1E07">
        <w:t xml:space="preserve"> přesně popsal </w:t>
      </w:r>
      <w:r w:rsidR="009137A5" w:rsidRPr="003D1E07">
        <w:t>hermeneutick</w:t>
      </w:r>
      <w:r w:rsidR="08CA76A5" w:rsidRPr="003D1E07">
        <w:t>ý způsob, jak</w:t>
      </w:r>
      <w:r w:rsidR="009137A5" w:rsidRPr="003D1E07">
        <w:t xml:space="preserve"> se světlo stává </w:t>
      </w:r>
      <w:r w:rsidR="00E01377" w:rsidRPr="003D1E07">
        <w:t xml:space="preserve">barevným </w:t>
      </w:r>
      <w:r w:rsidR="009137A5" w:rsidRPr="003D1E07">
        <w:t xml:space="preserve">fenoménem ve světě a </w:t>
      </w:r>
      <w:r w:rsidR="089819C6" w:rsidRPr="003D1E07">
        <w:t xml:space="preserve">jak se stává </w:t>
      </w:r>
      <w:r w:rsidR="089819C6" w:rsidRPr="003D1E07">
        <w:lastRenderedPageBreak/>
        <w:t xml:space="preserve">poznaným fenoménem </w:t>
      </w:r>
      <w:r w:rsidR="009137A5" w:rsidRPr="003D1E07">
        <w:t>pro nás.</w:t>
      </w:r>
      <w:r w:rsidR="00C13EA5">
        <w:t xml:space="preserve"> </w:t>
      </w:r>
      <w:r w:rsidR="00F576C3" w:rsidRPr="003D1E07">
        <w:t xml:space="preserve">Averroes bránil </w:t>
      </w:r>
      <w:r w:rsidR="0098561A" w:rsidRPr="003D1E07">
        <w:t xml:space="preserve">diafanum </w:t>
      </w:r>
      <w:r w:rsidR="00D5472A" w:rsidRPr="003D1E07">
        <w:t xml:space="preserve">jako zvláštní </w:t>
      </w:r>
      <w:r w:rsidR="08A90140" w:rsidRPr="003D1E07">
        <w:t xml:space="preserve">potenciální </w:t>
      </w:r>
      <w:r w:rsidR="00F576C3" w:rsidRPr="003D1E07">
        <w:t>formu</w:t>
      </w:r>
      <w:r w:rsidR="00D5472A" w:rsidRPr="003D1E07">
        <w:t xml:space="preserve"> </w:t>
      </w:r>
      <w:r w:rsidR="007E4CAC" w:rsidRPr="003D1E07">
        <w:t xml:space="preserve">umožnující zjevování </w:t>
      </w:r>
      <w:r w:rsidR="00194E43" w:rsidRPr="003D1E07">
        <w:t>reálných hylemorf</w:t>
      </w:r>
      <w:r w:rsidR="007E4CAC" w:rsidRPr="003D1E07">
        <w:t>ických těles</w:t>
      </w:r>
      <w:r w:rsidR="00F576C3" w:rsidRPr="003D1E07">
        <w:t xml:space="preserve">. Proto vytvořil </w:t>
      </w:r>
      <w:r w:rsidR="007D763E" w:rsidRPr="003D1E07">
        <w:t xml:space="preserve">originální </w:t>
      </w:r>
      <w:r w:rsidR="0098561A" w:rsidRPr="003D1E07">
        <w:t>konstrukci</w:t>
      </w:r>
      <w:r w:rsidR="085C4671" w:rsidRPr="003D1E07">
        <w:t xml:space="preserve"> receptivního intelektu založeného na mediaci skrze dvojí intencionalitu (kap. 2.4.2)</w:t>
      </w:r>
      <w:r w:rsidR="0098561A" w:rsidRPr="003D1E07">
        <w:t xml:space="preserve">. </w:t>
      </w:r>
      <w:r w:rsidR="08021868" w:rsidRPr="003D1E07">
        <w:t xml:space="preserve">Averroes potřebuje podle výkladu </w:t>
      </w:r>
      <w:r w:rsidR="08021868" w:rsidRPr="003D1E07">
        <w:rPr>
          <w:i/>
        </w:rPr>
        <w:t>De anima</w:t>
      </w:r>
      <w:r w:rsidR="08021868" w:rsidRPr="003D1E07">
        <w:t xml:space="preserve"> mediaci skrze diafanum, aby vznikla formálně-kauzální vazba v modu </w:t>
      </w:r>
      <w:r w:rsidR="08021868" w:rsidRPr="003D1E07">
        <w:rPr>
          <w:i/>
        </w:rPr>
        <w:t>proportio</w:t>
      </w:r>
      <w:r w:rsidR="08021868" w:rsidRPr="003D1E07">
        <w:t xml:space="preserve"> a </w:t>
      </w:r>
      <w:r w:rsidR="08021868" w:rsidRPr="003D1E07">
        <w:rPr>
          <w:i/>
        </w:rPr>
        <w:t>similitudo</w:t>
      </w:r>
      <w:r w:rsidR="08021868" w:rsidRPr="003D1E07">
        <w:rPr>
          <w:i/>
        </w:rPr>
        <w:fldChar w:fldCharType="begin"/>
      </w:r>
      <w:r w:rsidR="08021868" w:rsidRPr="003D1E07">
        <w:instrText xml:space="preserve"> XE "pravda:</w:instrText>
      </w:r>
      <w:r w:rsidR="08021868" w:rsidRPr="003D1E07">
        <w:rPr>
          <w:i/>
        </w:rPr>
        <w:instrText>similitudo</w:instrText>
      </w:r>
      <w:r w:rsidR="08021868" w:rsidRPr="003D1E07">
        <w:instrText xml:space="preserve">" </w:instrText>
      </w:r>
      <w:r w:rsidR="08021868" w:rsidRPr="003D1E07">
        <w:rPr>
          <w:i/>
        </w:rPr>
        <w:fldChar w:fldCharType="end"/>
      </w:r>
      <w:r w:rsidR="08021868" w:rsidRPr="003D1E07">
        <w:t xml:space="preserve"> mezi následujícími</w:t>
      </w:r>
      <w:r w:rsidR="08F03045" w:rsidRPr="003D1E07">
        <w:t xml:space="preserve"> fenomény</w:t>
      </w:r>
      <w:r w:rsidR="08021868" w:rsidRPr="003D1E07">
        <w:t>: vnější věc</w:t>
      </w:r>
      <w:r w:rsidR="00B17466" w:rsidRPr="003D1E07">
        <w:t xml:space="preserve"> –</w:t>
      </w:r>
      <w:r w:rsidR="08021868" w:rsidRPr="003D1E07">
        <w:t xml:space="preserve"> receptivní smysly</w:t>
      </w:r>
      <w:r w:rsidR="00B17466" w:rsidRPr="003D1E07">
        <w:t xml:space="preserve"> – smyslová představivost – intelekt v potenci – činný intelekt –</w:t>
      </w:r>
      <w:r w:rsidR="08021868" w:rsidRPr="003D1E07">
        <w:t xml:space="preserve"> spekulativní intelekt. Vazba mezi smysly a intelektem nemůže být eficientně-kauzální, protože pak by poznání skončilo jen u materiálních smyslů a ne u nemateriálního intelektu. Role diafanum je naprosto klíčová pro zavedení pravdy jako aristotelské adekvace</w:t>
      </w:r>
      <w:r w:rsidR="08021868" w:rsidRPr="003D1E07">
        <w:rPr>
          <w:i/>
        </w:rPr>
        <w:fldChar w:fldCharType="begin"/>
      </w:r>
      <w:r w:rsidR="08021868" w:rsidRPr="003D1E07">
        <w:instrText xml:space="preserve"> XE "zjevování:nasvícení zepředu" </w:instrText>
      </w:r>
      <w:r w:rsidR="08021868" w:rsidRPr="003D1E07">
        <w:rPr>
          <w:i/>
        </w:rPr>
        <w:fldChar w:fldCharType="end"/>
      </w:r>
      <w:r w:rsidR="08021868" w:rsidRPr="003D1E07">
        <w:t xml:space="preserve">. </w:t>
      </w:r>
      <w:r w:rsidR="00644BD8" w:rsidRPr="003D1E07">
        <w:t xml:space="preserve">Diafanum </w:t>
      </w:r>
      <w:r w:rsidR="08D51123" w:rsidRPr="003D1E07">
        <w:t xml:space="preserve">nejprve </w:t>
      </w:r>
      <w:r w:rsidR="009E2B7C" w:rsidRPr="003D1E07">
        <w:t xml:space="preserve">přijímá </w:t>
      </w:r>
      <w:r w:rsidR="007727D9" w:rsidRPr="003D1E07">
        <w:t>sluneční paprsek</w:t>
      </w:r>
      <w:r w:rsidR="082C22F6" w:rsidRPr="003D1E07">
        <w:t xml:space="preserve"> a aktualizuje bar</w:t>
      </w:r>
      <w:r w:rsidR="08D51123" w:rsidRPr="003D1E07">
        <w:t xml:space="preserve">vy těles. Pak mediatizuje </w:t>
      </w:r>
      <w:r w:rsidR="08E654C3" w:rsidRPr="003D1E07">
        <w:t>smysl</w:t>
      </w:r>
      <w:r w:rsidR="08D51123" w:rsidRPr="003D1E07">
        <w:t>o</w:t>
      </w:r>
      <w:r w:rsidR="08E654C3" w:rsidRPr="003D1E07">
        <w:t>v</w:t>
      </w:r>
      <w:r w:rsidR="08D51123" w:rsidRPr="003D1E07">
        <w:t>é a inteligibilní poznání, aby ukázalo</w:t>
      </w:r>
      <w:r w:rsidR="005C2BB2" w:rsidRPr="003D1E07">
        <w:t xml:space="preserve"> skutečné tvary a barvy </w:t>
      </w:r>
      <w:r w:rsidR="009E000B" w:rsidRPr="003D1E07">
        <w:t>věcí</w:t>
      </w:r>
      <w:r w:rsidR="00464052" w:rsidRPr="003D1E07">
        <w:t xml:space="preserve"> </w:t>
      </w:r>
      <w:r w:rsidR="08E654C3" w:rsidRPr="003D1E07">
        <w:t xml:space="preserve">v intencionálním modu bytí takto daného světa </w:t>
      </w:r>
      <w:r w:rsidR="082C22F6" w:rsidRPr="003D1E07">
        <w:t>v našem poznání</w:t>
      </w:r>
      <w:r w:rsidR="00AF065F" w:rsidRPr="003D1E07">
        <w:t xml:space="preserve">. </w:t>
      </w:r>
      <w:r w:rsidR="002802A1" w:rsidRPr="003D1E07">
        <w:t>Oko je plně orientováno k přijetí barvy jako intencionálního předmětu</w:t>
      </w:r>
      <w:r w:rsidR="08BE4571" w:rsidRPr="003D1E07">
        <w:t xml:space="preserve"> </w:t>
      </w:r>
      <w:r w:rsidR="084266EC" w:rsidRPr="003D1E07">
        <w:rPr>
          <w:szCs w:val="24"/>
        </w:rPr>
        <w:t>(τὸ γὰρ ὁρατόν ἐστι χρῶμα τοῦτο δ' ἐστὶ</w:t>
      </w:r>
      <w:r w:rsidR="080910D9" w:rsidRPr="003D1E07">
        <w:rPr>
          <w:szCs w:val="24"/>
        </w:rPr>
        <w:t xml:space="preserve">, </w:t>
      </w:r>
      <w:r w:rsidR="080910D9" w:rsidRPr="003D1E07">
        <w:rPr>
          <w:i/>
          <w:szCs w:val="24"/>
        </w:rPr>
        <w:t>De anima</w:t>
      </w:r>
      <w:r w:rsidR="080910D9" w:rsidRPr="003D1E07">
        <w:rPr>
          <w:szCs w:val="24"/>
        </w:rPr>
        <w:t xml:space="preserve"> 418a29</w:t>
      </w:r>
      <w:r w:rsidR="080910D9" w:rsidRPr="003D1E07">
        <w:rPr>
          <w:szCs w:val="24"/>
        </w:rPr>
        <w:fldChar w:fldCharType="begin"/>
      </w:r>
      <w:r w:rsidR="080910D9" w:rsidRPr="003D1E07">
        <w:rPr>
          <w:szCs w:val="24"/>
        </w:rPr>
        <w:instrText xml:space="preserve"> XE "Aristoteles:</w:instrText>
      </w:r>
      <w:r w:rsidR="080910D9" w:rsidRPr="003D1E07">
        <w:rPr>
          <w:i/>
          <w:szCs w:val="24"/>
        </w:rPr>
        <w:instrText>De anima</w:instrText>
      </w:r>
      <w:r w:rsidR="080910D9" w:rsidRPr="003D1E07">
        <w:rPr>
          <w:szCs w:val="24"/>
        </w:rPr>
        <w:instrText xml:space="preserve"> 418a29" </w:instrText>
      </w:r>
      <w:r w:rsidR="080910D9" w:rsidRPr="003D1E07">
        <w:rPr>
          <w:szCs w:val="24"/>
        </w:rPr>
        <w:fldChar w:fldCharType="end"/>
      </w:r>
      <w:r w:rsidR="084266EC" w:rsidRPr="003D1E07">
        <w:rPr>
          <w:szCs w:val="24"/>
        </w:rPr>
        <w:t>)</w:t>
      </w:r>
      <w:r w:rsidR="080910D9" w:rsidRPr="003D1E07">
        <w:rPr>
          <w:szCs w:val="24"/>
        </w:rPr>
        <w:t>. Věc e</w:t>
      </w:r>
      <w:r w:rsidR="084266EC" w:rsidRPr="003D1E07">
        <w:rPr>
          <w:szCs w:val="24"/>
        </w:rPr>
        <w:t xml:space="preserve">xistuje </w:t>
      </w:r>
      <w:r w:rsidR="084266EC" w:rsidRPr="003D1E07">
        <w:rPr>
          <w:i/>
          <w:szCs w:val="24"/>
        </w:rPr>
        <w:t>per se</w:t>
      </w:r>
      <w:r w:rsidR="084266EC" w:rsidRPr="003D1E07">
        <w:rPr>
          <w:szCs w:val="24"/>
        </w:rPr>
        <w:t xml:space="preserve"> </w:t>
      </w:r>
      <w:r w:rsidR="0811295E" w:rsidRPr="003D1E07">
        <w:rPr>
          <w:szCs w:val="24"/>
        </w:rPr>
        <w:t>a tím způsobuje sekundární recep</w:t>
      </w:r>
      <w:r w:rsidR="084266EC" w:rsidRPr="003D1E07">
        <w:rPr>
          <w:szCs w:val="24"/>
        </w:rPr>
        <w:t xml:space="preserve">ci barvy jako epifenoménu (τὸ ἐπὶ τοῦ καθ' αὑτὸ ὁρατοῦ, </w:t>
      </w:r>
      <w:r w:rsidR="084266EC" w:rsidRPr="003D1E07">
        <w:rPr>
          <w:i/>
          <w:szCs w:val="24"/>
        </w:rPr>
        <w:t>De anima</w:t>
      </w:r>
      <w:r w:rsidR="080910D9" w:rsidRPr="003D1E07">
        <w:rPr>
          <w:szCs w:val="24"/>
        </w:rPr>
        <w:t xml:space="preserve"> 418a</w:t>
      </w:r>
      <w:r w:rsidR="084266EC" w:rsidRPr="003D1E07">
        <w:rPr>
          <w:szCs w:val="24"/>
        </w:rPr>
        <w:t>30</w:t>
      </w:r>
      <w:r w:rsidR="084266EC" w:rsidRPr="003D1E07">
        <w:rPr>
          <w:szCs w:val="24"/>
        </w:rPr>
        <w:fldChar w:fldCharType="begin"/>
      </w:r>
      <w:r w:rsidR="084266EC" w:rsidRPr="003D1E07">
        <w:rPr>
          <w:szCs w:val="24"/>
        </w:rPr>
        <w:instrText xml:space="preserve"> XE "Aristoteles:</w:instrText>
      </w:r>
      <w:r w:rsidR="084266EC" w:rsidRPr="003D1E07">
        <w:rPr>
          <w:i/>
          <w:szCs w:val="24"/>
        </w:rPr>
        <w:instrText>De anima</w:instrText>
      </w:r>
      <w:r w:rsidR="080910D9" w:rsidRPr="003D1E07">
        <w:rPr>
          <w:szCs w:val="24"/>
        </w:rPr>
        <w:instrText xml:space="preserve"> 418a</w:instrText>
      </w:r>
      <w:r w:rsidR="084266EC" w:rsidRPr="003D1E07">
        <w:rPr>
          <w:szCs w:val="24"/>
        </w:rPr>
        <w:instrText xml:space="preserve">30" </w:instrText>
      </w:r>
      <w:r w:rsidR="084266EC" w:rsidRPr="003D1E07">
        <w:rPr>
          <w:szCs w:val="24"/>
        </w:rPr>
        <w:fldChar w:fldCharType="end"/>
      </w:r>
      <w:r w:rsidR="084266EC" w:rsidRPr="003D1E07">
        <w:rPr>
          <w:szCs w:val="24"/>
        </w:rPr>
        <w:t xml:space="preserve">). </w:t>
      </w:r>
      <w:r w:rsidR="08021868" w:rsidRPr="003D1E07">
        <w:t>Průzračné prostředí (</w:t>
      </w:r>
      <w:r w:rsidR="08021868" w:rsidRPr="003D1E07">
        <w:rPr>
          <w:i/>
        </w:rPr>
        <w:t>perspicuum</w:t>
      </w:r>
      <w:r w:rsidR="08021868" w:rsidRPr="003D1E07">
        <w:rPr>
          <w:i/>
        </w:rPr>
        <w:fldChar w:fldCharType="begin"/>
      </w:r>
      <w:r w:rsidR="08021868" w:rsidRPr="003D1E07">
        <w:instrText xml:space="preserve"> XE "</w:instrText>
      </w:r>
      <w:r w:rsidR="08021868" w:rsidRPr="003D1E07">
        <w:rPr>
          <w:i/>
        </w:rPr>
        <w:instrText>perspicuum</w:instrText>
      </w:r>
      <w:r w:rsidR="08021868" w:rsidRPr="003D1E07">
        <w:instrText xml:space="preserve">" </w:instrText>
      </w:r>
      <w:r w:rsidR="08021868" w:rsidRPr="003D1E07">
        <w:rPr>
          <w:i/>
        </w:rPr>
        <w:fldChar w:fldCharType="end"/>
      </w:r>
      <w:r w:rsidR="08021868" w:rsidRPr="003D1E07">
        <w:t>) zajišťuje na úrovni smyslů převod aktuálního paprsku do smyslového orgánu</w:t>
      </w:r>
      <w:r w:rsidR="08471943" w:rsidRPr="003D1E07">
        <w:t xml:space="preserve">. </w:t>
      </w:r>
      <w:r w:rsidR="08B9693F" w:rsidRPr="003D1E07">
        <w:t>Smysly se nikdy nemýlí v přímé recepci vjemu, protože jej přijímají v efektivní kauzalitě na úrovni první substance. Omyl je možný až na úrovni smyslové intencionality a recepce v lidské a ve zvířecí mysli. Díky intencionálnímu aktu poznání vzniká první intencionální obsah (</w:t>
      </w:r>
      <w:r w:rsidR="00F214C5" w:rsidRPr="006A0732">
        <w:rPr>
          <w:i/>
        </w:rPr>
        <w:t>species</w:t>
      </w:r>
      <w:r w:rsidR="08B9693F" w:rsidRPr="003D1E07">
        <w:rPr>
          <w:i/>
        </w:rPr>
        <w:t xml:space="preserve"> sensibilis</w:t>
      </w:r>
      <w:r w:rsidR="08B9693F" w:rsidRPr="003D1E07">
        <w:rPr>
          <w:i/>
        </w:rPr>
        <w:fldChar w:fldCharType="begin"/>
      </w:r>
      <w:r w:rsidR="08B9693F" w:rsidRPr="003D1E07">
        <w:instrText xml:space="preserve"> XE "</w:instrText>
      </w:r>
      <w:r w:rsidR="08B9693F" w:rsidRPr="003D1E07">
        <w:rPr>
          <w:i/>
        </w:rPr>
        <w:instrText>species sensibilis</w:instrText>
      </w:r>
      <w:r w:rsidR="08B9693F" w:rsidRPr="003D1E07">
        <w:rPr>
          <w:i/>
          <w:szCs w:val="24"/>
        </w:rPr>
        <w:instrText>:</w:instrText>
      </w:r>
      <w:r w:rsidR="08DA142E" w:rsidRPr="003D1E07">
        <w:rPr>
          <w:szCs w:val="24"/>
        </w:rPr>
        <w:instrText>Averroe</w:instrText>
      </w:r>
      <w:r w:rsidR="08B9693F" w:rsidRPr="003D1E07">
        <w:rPr>
          <w:szCs w:val="24"/>
        </w:rPr>
        <w:instrText>s</w:instrText>
      </w:r>
      <w:r w:rsidR="08B9693F" w:rsidRPr="003D1E07">
        <w:instrText xml:space="preserve">" </w:instrText>
      </w:r>
      <w:r w:rsidR="08B9693F" w:rsidRPr="003D1E07">
        <w:rPr>
          <w:i/>
        </w:rPr>
        <w:fldChar w:fldCharType="end"/>
      </w:r>
      <w:r w:rsidR="08B9693F" w:rsidRPr="003D1E07">
        <w:t xml:space="preserve">) na úrovni smyslové představivosti. Tato syntéza poznání je výsledkem individuální aktivity lidské nebo zvířecí duše. Podobná (ale ne stejná) formální kauzalita diafanum je zprostředkovaná skrze intencionální akt receptivního intelektu. Jejím syntetickým intencionálním předmětem je </w:t>
      </w:r>
      <w:r w:rsidR="00F214C5" w:rsidRPr="00D37F91">
        <w:rPr>
          <w:i/>
        </w:rPr>
        <w:t>species</w:t>
      </w:r>
      <w:r w:rsidR="08B9693F" w:rsidRPr="003D1E07">
        <w:t xml:space="preserve"> </w:t>
      </w:r>
      <w:r w:rsidR="08B9693F" w:rsidRPr="003D1E07">
        <w:rPr>
          <w:i/>
        </w:rPr>
        <w:t>intelligibilis</w:t>
      </w:r>
      <w:r w:rsidR="08B9693F" w:rsidRPr="003D1E07">
        <w:rPr>
          <w:i/>
        </w:rPr>
        <w:fldChar w:fldCharType="begin"/>
      </w:r>
      <w:r w:rsidR="08B9693F" w:rsidRPr="003D1E07">
        <w:instrText xml:space="preserve"> XE "</w:instrText>
      </w:r>
      <w:r w:rsidR="08B9693F" w:rsidRPr="003D1E07">
        <w:rPr>
          <w:i/>
        </w:rPr>
        <w:instrText>species</w:instrText>
      </w:r>
      <w:r w:rsidR="08B9693F" w:rsidRPr="003D1E07">
        <w:instrText xml:space="preserve"> </w:instrText>
      </w:r>
      <w:r w:rsidR="08B9693F" w:rsidRPr="003D1E07">
        <w:rPr>
          <w:i/>
        </w:rPr>
        <w:instrText>intelligibilis</w:instrText>
      </w:r>
      <w:r w:rsidR="08B9693F" w:rsidRPr="003D1E07">
        <w:rPr>
          <w:i/>
          <w:szCs w:val="24"/>
        </w:rPr>
        <w:instrText>:</w:instrText>
      </w:r>
      <w:r w:rsidR="08DA142E" w:rsidRPr="003D1E07">
        <w:rPr>
          <w:szCs w:val="24"/>
        </w:rPr>
        <w:instrText>Averroe</w:instrText>
      </w:r>
      <w:r w:rsidR="08B9693F" w:rsidRPr="003D1E07">
        <w:rPr>
          <w:szCs w:val="24"/>
        </w:rPr>
        <w:instrText>s</w:instrText>
      </w:r>
      <w:r w:rsidR="08B9693F" w:rsidRPr="003D1E07">
        <w:instrText xml:space="preserve">" </w:instrText>
      </w:r>
      <w:r w:rsidR="08B9693F" w:rsidRPr="003D1E07">
        <w:rPr>
          <w:i/>
        </w:rPr>
        <w:fldChar w:fldCharType="end"/>
      </w:r>
      <w:r w:rsidR="08B9693F" w:rsidRPr="003D1E07">
        <w:t xml:space="preserve">. </w:t>
      </w:r>
      <w:r w:rsidR="00994E9C" w:rsidRPr="003D1E07">
        <w:t>P</w:t>
      </w:r>
      <w:r w:rsidR="00172451" w:rsidRPr="003D1E07">
        <w:t xml:space="preserve">roto je dáno poznání jako pravdivá adekvace skrze nasvícení smyslu jsoucna zepředu, od reálné věci. </w:t>
      </w:r>
      <w:r w:rsidR="003305C2" w:rsidRPr="003D1E07">
        <w:rPr>
          <w:rStyle w:val="Zkladntext158dkovn0pt"/>
          <w:color w:val="auto"/>
          <w:spacing w:val="0"/>
          <w:sz w:val="24"/>
          <w:lang w:val="cs-CZ"/>
        </w:rPr>
        <w:t>Smyslovou intenci následně syntetizuje aktivní představivost (</w:t>
      </w:r>
      <w:r w:rsidR="003305C2" w:rsidRPr="003D1E07">
        <w:rPr>
          <w:rStyle w:val="Zkladntext158dkovn0pt"/>
          <w:i/>
          <w:color w:val="auto"/>
          <w:spacing w:val="0"/>
          <w:sz w:val="24"/>
          <w:lang w:val="cs-CZ"/>
        </w:rPr>
        <w:t>sensus communis</w:t>
      </w:r>
      <w:r w:rsidR="003305C2" w:rsidRPr="003D1E07">
        <w:rPr>
          <w:rStyle w:val="Zkladntext158dkovn0pt"/>
          <w:color w:val="auto"/>
          <w:spacing w:val="0"/>
          <w:sz w:val="24"/>
          <w:lang w:val="cs-CZ"/>
        </w:rPr>
        <w:t xml:space="preserve">) na úrovni formální kauzality. Tady už je omyl možný, protože jde o individuální výkon lidské nebo zvířecí duše. </w:t>
      </w:r>
      <w:r w:rsidR="080C57C5" w:rsidRPr="003D1E07">
        <w:t xml:space="preserve">Na další úrovni představuje </w:t>
      </w:r>
      <w:r w:rsidR="080C57C5" w:rsidRPr="003D1E07">
        <w:rPr>
          <w:i/>
        </w:rPr>
        <w:t>intellectus possibilis</w:t>
      </w:r>
      <w:r w:rsidR="080C57C5" w:rsidRPr="003D1E07">
        <w:t xml:space="preserve"> nové spirituální diafanum v nemateriálním prostředí již čistě intelektuálního poznání. Nová forma mediace vytváří prostředí formální kauzality poznání na úrovni </w:t>
      </w:r>
      <w:r w:rsidR="00F214C5" w:rsidRPr="00E44F19">
        <w:rPr>
          <w:i/>
        </w:rPr>
        <w:t>species</w:t>
      </w:r>
      <w:r w:rsidR="080C57C5" w:rsidRPr="003D1E07">
        <w:rPr>
          <w:i/>
        </w:rPr>
        <w:t xml:space="preserve"> intelligibilis</w:t>
      </w:r>
      <w:r w:rsidR="00151887">
        <w:t>, která</w:t>
      </w:r>
      <w:r w:rsidR="080C57C5" w:rsidRPr="003D1E07">
        <w:t xml:space="preserve"> jsou už nemateriální.</w:t>
      </w:r>
      <w:r w:rsidR="084E6A6F" w:rsidRPr="003D1E07">
        <w:t xml:space="preserve"> Poznané vlastnosti světla jako barva vznikají v mysli skrze výkon receptivní</w:t>
      </w:r>
      <w:r w:rsidR="08E24861" w:rsidRPr="003D1E07">
        <w:t xml:space="preserve"> intencionality. Proto nemohou v žádném případě </w:t>
      </w:r>
      <w:r w:rsidR="084E6A6F" w:rsidRPr="003D1E07">
        <w:t>existovat</w:t>
      </w:r>
      <w:r w:rsidR="08E24861" w:rsidRPr="003D1E07">
        <w:t xml:space="preserve"> v realitě j</w:t>
      </w:r>
      <w:r w:rsidR="084E6A6F" w:rsidRPr="003D1E07">
        <w:t xml:space="preserve">ako objektivní hypostázovaná jsoucna třetího druhu. Receptivní intelekt </w:t>
      </w:r>
      <w:r w:rsidR="084E6A6F" w:rsidRPr="003D1E07">
        <w:lastRenderedPageBreak/>
        <w:t>zprostředkovává poznání od smyslů</w:t>
      </w:r>
      <w:r w:rsidR="082534A1" w:rsidRPr="003D1E07">
        <w:t xml:space="preserve">, které ho aktualizují. Obě formy diafanum </w:t>
      </w:r>
      <w:r w:rsidR="084E6A6F" w:rsidRPr="003D1E07">
        <w:t>musí být</w:t>
      </w:r>
      <w:r w:rsidR="082534A1" w:rsidRPr="003D1E07">
        <w:t xml:space="preserve"> plně receptivní, jedna na materiální a druhá </w:t>
      </w:r>
      <w:r w:rsidR="084E6A6F" w:rsidRPr="003D1E07">
        <w:t xml:space="preserve">na nemateriální úrovni. Možný intelekt má jen čistě potenciální formu, stejně jako diafanum existuje pouze potenciálně. Receptivní schopnost intelektuální duše je napojena na </w:t>
      </w:r>
      <w:r w:rsidR="084E6A6F" w:rsidRPr="003D1E07">
        <w:rPr>
          <w:i/>
        </w:rPr>
        <w:t>intellectus agens</w:t>
      </w:r>
      <w:r w:rsidR="084E6A6F" w:rsidRPr="003D1E07">
        <w:rPr>
          <w:i/>
        </w:rPr>
        <w:fldChar w:fldCharType="begin"/>
      </w:r>
      <w:r w:rsidR="084E6A6F" w:rsidRPr="003D1E07">
        <w:instrText xml:space="preserve"> XE "</w:instrText>
      </w:r>
      <w:r w:rsidR="084E6A6F" w:rsidRPr="003D1E07">
        <w:rPr>
          <w:i/>
        </w:rPr>
        <w:instrText>intellectus agens:</w:instrText>
      </w:r>
      <w:r w:rsidR="084E6A6F" w:rsidRPr="003D1E07">
        <w:instrText xml:space="preserve">Averroes" </w:instrText>
      </w:r>
      <w:r w:rsidR="084E6A6F" w:rsidRPr="003D1E07">
        <w:rPr>
          <w:i/>
        </w:rPr>
        <w:fldChar w:fldCharType="end"/>
      </w:r>
      <w:r w:rsidR="084E6A6F" w:rsidRPr="003D1E07">
        <w:t>, protože je stejně nemateriální jako činný intelekt. Aktualizace poznání nejde od vnější intelektuální formy nasvěcující intelekt, ale od smyslově poznané hyleformické první substance dané v představivosti (</w:t>
      </w:r>
      <w:r w:rsidR="00F214C5" w:rsidRPr="003763C8">
        <w:rPr>
          <w:i/>
        </w:rPr>
        <w:t>species</w:t>
      </w:r>
      <w:r w:rsidR="084E6A6F" w:rsidRPr="003D1E07">
        <w:rPr>
          <w:i/>
        </w:rPr>
        <w:t xml:space="preserve"> sensibilis</w:t>
      </w:r>
      <w:r w:rsidR="084E6A6F" w:rsidRPr="003D1E07">
        <w:rPr>
          <w:i/>
        </w:rPr>
        <w:fldChar w:fldCharType="begin"/>
      </w:r>
      <w:r w:rsidR="084E6A6F" w:rsidRPr="003D1E07">
        <w:instrText xml:space="preserve"> XE "</w:instrText>
      </w:r>
      <w:r w:rsidR="084E6A6F" w:rsidRPr="003D1E07">
        <w:rPr>
          <w:i/>
        </w:rPr>
        <w:instrText>species sensibilis</w:instrText>
      </w:r>
      <w:r w:rsidR="084E6A6F" w:rsidRPr="003D1E07">
        <w:instrText xml:space="preserve">" </w:instrText>
      </w:r>
      <w:r w:rsidR="084E6A6F" w:rsidRPr="003D1E07">
        <w:rPr>
          <w:i/>
        </w:rPr>
        <w:fldChar w:fldCharType="end"/>
      </w:r>
      <w:r w:rsidR="084E6A6F" w:rsidRPr="003D1E07">
        <w:t>). V těle je kauzalita dána přímo v řádu eficientní recepce vjemu na úrovni smyslového orgánu.</w:t>
      </w:r>
      <w:r w:rsidR="08EF7317" w:rsidRPr="003D1E07">
        <w:t xml:space="preserve"> </w:t>
      </w:r>
    </w:p>
    <w:p w14:paraId="28E1E59D" w14:textId="5D123565" w:rsidR="00A21B04" w:rsidRPr="003D1E07" w:rsidRDefault="002C7B38" w:rsidP="00CA51F1">
      <w:pPr>
        <w:ind w:firstLine="397"/>
      </w:pPr>
      <w:r w:rsidRPr="003D1E07">
        <w:t xml:space="preserve">Hermeneutika </w:t>
      </w:r>
      <w:r w:rsidR="00787C7A">
        <w:t>vychází z litery</w:t>
      </w:r>
      <w:r w:rsidR="00664987" w:rsidRPr="003D1E07">
        <w:t xml:space="preserve"> CMDA</w:t>
      </w:r>
      <w:r w:rsidR="00787C7A">
        <w:t xml:space="preserve">; proto </w:t>
      </w:r>
      <w:r w:rsidRPr="003D1E07">
        <w:t xml:space="preserve">zásadně zdůrazňuje fakt, že obě formy diafanum jsou </w:t>
      </w:r>
      <w:r w:rsidR="08E623A9" w:rsidRPr="003D1E07">
        <w:t xml:space="preserve">v původním stavu </w:t>
      </w:r>
      <w:r w:rsidRPr="003D1E07">
        <w:t xml:space="preserve">pouze formální a pouze potenciální. </w:t>
      </w:r>
      <w:r w:rsidR="082028C9" w:rsidRPr="003D1E07">
        <w:t xml:space="preserve">Proto jsou schopny univerzální aktualizace. </w:t>
      </w:r>
      <w:r w:rsidRPr="003D1E07">
        <w:t xml:space="preserve">Tím je zajištěna pravda jako adekvace na </w:t>
      </w:r>
      <w:r w:rsidR="08C96D4B" w:rsidRPr="003D1E07">
        <w:t xml:space="preserve">skrze </w:t>
      </w:r>
      <w:r w:rsidR="00957472" w:rsidRPr="003D1E07">
        <w:t xml:space="preserve">dvojí </w:t>
      </w:r>
      <w:r w:rsidR="08C96D4B" w:rsidRPr="003D1E07">
        <w:t xml:space="preserve">mediaci </w:t>
      </w:r>
      <w:r w:rsidR="00957472" w:rsidRPr="003D1E07">
        <w:t>a potenci</w:t>
      </w:r>
      <w:r w:rsidR="084079BB" w:rsidRPr="003D1E07">
        <w:t>.</w:t>
      </w:r>
      <w:r w:rsidR="08BE1485" w:rsidRPr="003D1E07">
        <w:t xml:space="preserve"> Aktuální první substance nejprve působí na potenciální diafanum a ne přímo na smyslovou představivost a na intelekt. Z tohoto důvodu považuje Aristoteles a Komentátor Démokritovo schéma poznání na základě atomární teorie dané ve vakuu za zásadně chybné</w:t>
      </w:r>
      <w:r w:rsidR="084079BB" w:rsidRPr="003D1E07">
        <w:rPr>
          <w:szCs w:val="24"/>
        </w:rPr>
        <w:t>.</w:t>
      </w:r>
      <w:r w:rsidR="08BE1485" w:rsidRPr="003D1E07">
        <w:rPr>
          <w:szCs w:val="24"/>
        </w:rPr>
        <w:t xml:space="preserve"> </w:t>
      </w:r>
      <w:r w:rsidR="00DA41EE">
        <w:rPr>
          <w:szCs w:val="24"/>
        </w:rPr>
        <w:t xml:space="preserve">V absolutním </w:t>
      </w:r>
      <w:r w:rsidR="08B157C2" w:rsidRPr="003D1E07">
        <w:rPr>
          <w:szCs w:val="24"/>
        </w:rPr>
        <w:t xml:space="preserve">vakuu by nemohlo </w:t>
      </w:r>
      <w:r w:rsidR="08BE1485" w:rsidRPr="003D1E07">
        <w:rPr>
          <w:szCs w:val="24"/>
        </w:rPr>
        <w:t>existovat</w:t>
      </w:r>
      <w:r w:rsidR="088456D1" w:rsidRPr="003D1E07">
        <w:rPr>
          <w:szCs w:val="24"/>
        </w:rPr>
        <w:t xml:space="preserve"> diafanum</w:t>
      </w:r>
      <w:r w:rsidR="08BE1485" w:rsidRPr="003D1E07">
        <w:rPr>
          <w:szCs w:val="24"/>
        </w:rPr>
        <w:t>, které umožňuje poznání.</w:t>
      </w:r>
      <w:r w:rsidR="084079BB" w:rsidRPr="003D1E07">
        <w:rPr>
          <w:szCs w:val="24"/>
          <w:vertAlign w:val="superscript"/>
        </w:rPr>
        <w:footnoteReference w:id="279"/>
      </w:r>
      <w:r w:rsidR="084079BB" w:rsidRPr="003D1E07">
        <w:rPr>
          <w:szCs w:val="24"/>
        </w:rPr>
        <w:t xml:space="preserve"> </w:t>
      </w:r>
      <w:r w:rsidR="08BE1485" w:rsidRPr="003D1E07">
        <w:rPr>
          <w:szCs w:val="24"/>
        </w:rPr>
        <w:t>Moderna a postmoderna sleduje cestu objektivního atomismu, proto nepotřeb</w:t>
      </w:r>
      <w:r w:rsidR="009F7A5F">
        <w:rPr>
          <w:szCs w:val="24"/>
        </w:rPr>
        <w:t xml:space="preserve">uje pro poznání žádnou mediaci, </w:t>
      </w:r>
      <w:r w:rsidR="08C96D4B" w:rsidRPr="003D1E07">
        <w:t xml:space="preserve">na kterou působí </w:t>
      </w:r>
      <w:r w:rsidR="080556B0" w:rsidRPr="003D1E07">
        <w:t>vnější aktuální impulz</w:t>
      </w:r>
      <w:r w:rsidR="08F50EE6" w:rsidRPr="003D1E07">
        <w:t>y</w:t>
      </w:r>
      <w:r w:rsidR="080556B0" w:rsidRPr="003D1E07">
        <w:t xml:space="preserve"> nebo form</w:t>
      </w:r>
      <w:r w:rsidR="08F50EE6" w:rsidRPr="003D1E07">
        <w:t>y</w:t>
      </w:r>
      <w:r w:rsidR="082D4ACD" w:rsidRPr="003D1E07">
        <w:t xml:space="preserve">. </w:t>
      </w:r>
      <w:r w:rsidR="08AE268F" w:rsidRPr="003D1E07">
        <w:t xml:space="preserve">Postmoderna musela po zrušení diafanum vytvořit objektivní diakosmos hypostázovaných primárních a sekundárních kvalit, které reálně neexistují. </w:t>
      </w:r>
      <w:r w:rsidR="082D4ACD" w:rsidRPr="003D1E07">
        <w:t>M</w:t>
      </w:r>
      <w:r w:rsidRPr="003D1E07">
        <w:t>oderna</w:t>
      </w:r>
      <w:r w:rsidR="000B1955" w:rsidRPr="003D1E07">
        <w:t xml:space="preserve"> a postm</w:t>
      </w:r>
      <w:r w:rsidR="00994E9C" w:rsidRPr="003D1E07">
        <w:t>od</w:t>
      </w:r>
      <w:r w:rsidR="000B1955" w:rsidRPr="003D1E07">
        <w:t>erna</w:t>
      </w:r>
      <w:r w:rsidR="082D4ACD" w:rsidRPr="003D1E07">
        <w:t xml:space="preserve"> žádno</w:t>
      </w:r>
      <w:r w:rsidR="08A07F9B" w:rsidRPr="003D1E07">
        <w:t>u mediaci nepotřebuje. P</w:t>
      </w:r>
      <w:r w:rsidR="082D4ACD" w:rsidRPr="003D1E07">
        <w:t xml:space="preserve">o zániku původního smyslu </w:t>
      </w:r>
      <w:r w:rsidR="082D4ACD" w:rsidRPr="003D1E07">
        <w:rPr>
          <w:i/>
        </w:rPr>
        <w:t>Kategorií</w:t>
      </w:r>
      <w:r w:rsidR="082D4ACD" w:rsidRPr="003D1E07">
        <w:t xml:space="preserve"> </w:t>
      </w:r>
      <w:r w:rsidR="08A07F9B" w:rsidRPr="003D1E07">
        <w:t xml:space="preserve">a </w:t>
      </w:r>
      <w:r w:rsidR="08A07F9B" w:rsidRPr="003D1E07">
        <w:rPr>
          <w:i/>
        </w:rPr>
        <w:t>De anima</w:t>
      </w:r>
      <w:r w:rsidR="08A07F9B" w:rsidRPr="003D1E07">
        <w:t xml:space="preserve"> zaplnili ilumináti </w:t>
      </w:r>
      <w:r w:rsidR="082D4ACD" w:rsidRPr="003D1E07">
        <w:t>svět vlastními výtvory</w:t>
      </w:r>
      <w:r w:rsidR="08A07F9B" w:rsidRPr="003D1E07">
        <w:t>, které poznávají</w:t>
      </w:r>
      <w:r w:rsidR="082D4ACD" w:rsidRPr="003D1E07">
        <w:t xml:space="preserve"> </w:t>
      </w:r>
      <w:r w:rsidR="08A07F9B" w:rsidRPr="003D1E07">
        <w:t xml:space="preserve">evidentně a </w:t>
      </w:r>
      <w:r w:rsidR="082D4ACD" w:rsidRPr="003D1E07">
        <w:t>přímo</w:t>
      </w:r>
      <w:r w:rsidR="00DD7742" w:rsidRPr="003D1E07">
        <w:t xml:space="preserve">. </w:t>
      </w:r>
      <w:r w:rsidR="009A1536" w:rsidRPr="003D1E07">
        <w:t>Simplicius, Nifo, Descartes</w:t>
      </w:r>
      <w:r w:rsidR="000D1016" w:rsidRPr="003D1E07">
        <w:t>, Arnauld</w:t>
      </w:r>
      <w:r w:rsidR="089F79EF" w:rsidRPr="003D1E07">
        <w:t xml:space="preserve"> a Locke projektovali</w:t>
      </w:r>
      <w:r w:rsidR="009A1536" w:rsidRPr="003D1E07">
        <w:t xml:space="preserve"> univerzálie do světa prvních substancí</w:t>
      </w:r>
      <w:r w:rsidR="00F93ADF" w:rsidRPr="003D1E07">
        <w:t>. D</w:t>
      </w:r>
      <w:r w:rsidR="00B33147" w:rsidRPr="003D1E07">
        <w:t>íky této paranoické operaci n</w:t>
      </w:r>
      <w:r w:rsidR="009A1536" w:rsidRPr="003D1E07">
        <w:t xml:space="preserve">ašli </w:t>
      </w:r>
      <w:r w:rsidR="0807751E" w:rsidRPr="003D1E07">
        <w:t xml:space="preserve">modernisté </w:t>
      </w:r>
      <w:r w:rsidR="009534E7" w:rsidRPr="003D1E07">
        <w:t xml:space="preserve">objektivní </w:t>
      </w:r>
      <w:r w:rsidR="009A1536" w:rsidRPr="003D1E07">
        <w:t>atomární substance</w:t>
      </w:r>
      <w:r w:rsidR="00F1383C">
        <w:t>-species</w:t>
      </w:r>
      <w:r w:rsidR="009534E7" w:rsidRPr="003D1E07">
        <w:t xml:space="preserve"> jako ideje</w:t>
      </w:r>
      <w:r w:rsidR="00F1383C">
        <w:t xml:space="preserve">. </w:t>
      </w:r>
      <w:r w:rsidR="088457D7" w:rsidRPr="003D1E07">
        <w:t xml:space="preserve">Arnauld </w:t>
      </w:r>
      <w:r w:rsidR="00F1383C">
        <w:t xml:space="preserve">něco takového </w:t>
      </w:r>
      <w:r w:rsidR="088457D7" w:rsidRPr="003D1E07">
        <w:t>poprvé „viděl“ v postmoderně</w:t>
      </w:r>
      <w:r w:rsidR="009A1536" w:rsidRPr="003D1E07">
        <w:t xml:space="preserve">. </w:t>
      </w:r>
      <w:r w:rsidR="00C3168E" w:rsidRPr="003D1E07">
        <w:t>A</w:t>
      </w:r>
      <w:r w:rsidR="00C91316" w:rsidRPr="003D1E07">
        <w:t>ristotele</w:t>
      </w:r>
      <w:r w:rsidR="00ED2630" w:rsidRPr="003D1E07">
        <w:t>s</w:t>
      </w:r>
      <w:r w:rsidR="00C3168E" w:rsidRPr="003D1E07">
        <w:t xml:space="preserve"> </w:t>
      </w:r>
      <w:r w:rsidR="007C733D" w:rsidRPr="003D1E07">
        <w:t>a Komentátor naopak naš</w:t>
      </w:r>
      <w:r w:rsidR="00C3168E" w:rsidRPr="003D1E07">
        <w:t>l</w:t>
      </w:r>
      <w:r w:rsidR="007C733D" w:rsidRPr="003D1E07">
        <w:t>i</w:t>
      </w:r>
      <w:r w:rsidR="00C3168E" w:rsidRPr="003D1E07">
        <w:t xml:space="preserve"> </w:t>
      </w:r>
      <w:r w:rsidR="007C733D" w:rsidRPr="003D1E07">
        <w:t>pote</w:t>
      </w:r>
      <w:r w:rsidR="004C5D62" w:rsidRPr="003D1E07">
        <w:t xml:space="preserve">nciálně-formální </w:t>
      </w:r>
      <w:r w:rsidR="00C3168E" w:rsidRPr="003D1E07">
        <w:t xml:space="preserve">mediaci </w:t>
      </w:r>
      <w:r w:rsidR="004C5D62" w:rsidRPr="003D1E07">
        <w:t xml:space="preserve">mezi věcí, smysly a intelektem </w:t>
      </w:r>
      <w:r w:rsidR="00C3168E" w:rsidRPr="003D1E07">
        <w:t xml:space="preserve">díky přesné fenomenologii aktu vnímání a poznání. </w:t>
      </w:r>
      <w:r w:rsidR="0820027D" w:rsidRPr="003D1E07">
        <w:t xml:space="preserve">Obě </w:t>
      </w:r>
      <w:r w:rsidR="00F214C5" w:rsidRPr="003D1E07">
        <w:t>species</w:t>
      </w:r>
      <w:r w:rsidR="0820027D" w:rsidRPr="003D1E07">
        <w:t xml:space="preserve"> (</w:t>
      </w:r>
      <w:r w:rsidR="0820027D" w:rsidRPr="003D1E07">
        <w:rPr>
          <w:i/>
        </w:rPr>
        <w:t>sensibilis</w:t>
      </w:r>
      <w:r w:rsidR="0820027D" w:rsidRPr="003D1E07">
        <w:t xml:space="preserve">, </w:t>
      </w:r>
      <w:r w:rsidR="0820027D" w:rsidRPr="003D1E07">
        <w:rPr>
          <w:i/>
        </w:rPr>
        <w:t>intelligibilis</w:t>
      </w:r>
      <w:r w:rsidR="0820027D" w:rsidRPr="003D1E07">
        <w:t xml:space="preserve">) </w:t>
      </w:r>
      <w:r w:rsidR="005B40A9" w:rsidRPr="003D1E07">
        <w:t xml:space="preserve">vzniknou </w:t>
      </w:r>
      <w:r w:rsidR="003A6F3B" w:rsidRPr="003D1E07">
        <w:t xml:space="preserve">skrze akt receptivního </w:t>
      </w:r>
      <w:r w:rsidR="08310E90" w:rsidRPr="003D1E07">
        <w:t xml:space="preserve">zaměření </w:t>
      </w:r>
      <w:r w:rsidR="003A6F3B" w:rsidRPr="003D1E07">
        <w:t>smyslového či rozumového poznání</w:t>
      </w:r>
      <w:r w:rsidR="0039342A" w:rsidRPr="003D1E07">
        <w:t xml:space="preserve"> k poznávanému předmětu</w:t>
      </w:r>
      <w:r w:rsidR="08310E90" w:rsidRPr="003D1E07">
        <w:t xml:space="preserve"> (</w:t>
      </w:r>
      <w:r w:rsidR="08310E90" w:rsidRPr="003D1E07">
        <w:rPr>
          <w:i/>
        </w:rPr>
        <w:t>intentio</w:t>
      </w:r>
      <w:r w:rsidR="08310E90" w:rsidRPr="003D1E07">
        <w:t>)</w:t>
      </w:r>
      <w:r w:rsidR="003A6F3B" w:rsidRPr="003D1E07">
        <w:t xml:space="preserve">. </w:t>
      </w:r>
      <w:r w:rsidR="081C622C" w:rsidRPr="003D1E07">
        <w:t xml:space="preserve">Mediace </w:t>
      </w:r>
      <w:r w:rsidR="0031320C">
        <w:t xml:space="preserve">nechává </w:t>
      </w:r>
      <w:r w:rsidR="081C622C" w:rsidRPr="003D1E07">
        <w:t>aktuálně-singulární věc</w:t>
      </w:r>
      <w:r w:rsidR="0031320C">
        <w:t>i</w:t>
      </w:r>
      <w:r w:rsidR="081C622C" w:rsidRPr="003D1E07">
        <w:t xml:space="preserve"> </w:t>
      </w:r>
      <w:r w:rsidR="0031320C">
        <w:t xml:space="preserve">působit </w:t>
      </w:r>
      <w:r w:rsidR="081C622C" w:rsidRPr="003D1E07">
        <w:t xml:space="preserve">skrze </w:t>
      </w:r>
      <w:r w:rsidR="08783B01" w:rsidRPr="003D1E07">
        <w:t xml:space="preserve">dvojí </w:t>
      </w:r>
      <w:r w:rsidR="081C622C" w:rsidRPr="003D1E07">
        <w:t>intencionalitu</w:t>
      </w:r>
      <w:r w:rsidR="08BB68EC" w:rsidRPr="003D1E07">
        <w:rPr>
          <w:i/>
        </w:rPr>
        <w:fldChar w:fldCharType="begin"/>
      </w:r>
      <w:r w:rsidR="08BB68EC" w:rsidRPr="003D1E07">
        <w:instrText xml:space="preserve"> XE "intencionalita:Averroes" </w:instrText>
      </w:r>
      <w:r w:rsidR="08BB68EC" w:rsidRPr="003D1E07">
        <w:rPr>
          <w:i/>
        </w:rPr>
        <w:fldChar w:fldCharType="end"/>
      </w:r>
      <w:r w:rsidR="081C622C" w:rsidRPr="003D1E07">
        <w:t xml:space="preserve"> tak, že vznikne formálně-univerzální </w:t>
      </w:r>
      <w:r w:rsidR="00F214C5" w:rsidRPr="003D1E07">
        <w:t>species</w:t>
      </w:r>
      <w:r w:rsidR="081C622C" w:rsidRPr="003D1E07">
        <w:t xml:space="preserve"> v mysli. </w:t>
      </w:r>
      <w:r w:rsidR="00C91316" w:rsidRPr="003D1E07">
        <w:t xml:space="preserve">První </w:t>
      </w:r>
      <w:r w:rsidR="00C91316" w:rsidRPr="003D1E07">
        <w:lastRenderedPageBreak/>
        <w:t>substance dostává akcidenciální barvu proto, že ji zprostředkovává diafanum dané nejprve fyzikálně (</w:t>
      </w:r>
      <w:r w:rsidR="00C91316" w:rsidRPr="003D1E07">
        <w:rPr>
          <w:i/>
        </w:rPr>
        <w:t>perspicuum</w:t>
      </w:r>
      <w:r w:rsidR="00C91316" w:rsidRPr="003D1E07">
        <w:rPr>
          <w:i/>
        </w:rPr>
        <w:fldChar w:fldCharType="begin"/>
      </w:r>
      <w:r w:rsidR="00C91316" w:rsidRPr="003D1E07">
        <w:instrText xml:space="preserve"> XE "</w:instrText>
      </w:r>
      <w:r w:rsidR="00C91316" w:rsidRPr="003D1E07">
        <w:rPr>
          <w:rStyle w:val="Zkladntext158dkovn0pt"/>
          <w:i/>
          <w:color w:val="auto"/>
          <w:spacing w:val="0"/>
          <w:sz w:val="24"/>
          <w:lang w:val="cs-CZ"/>
        </w:rPr>
        <w:instrText>perspicuum</w:instrText>
      </w:r>
      <w:r w:rsidR="00C91316" w:rsidRPr="003D1E07">
        <w:instrText xml:space="preserve">" </w:instrText>
      </w:r>
      <w:r w:rsidR="00C91316" w:rsidRPr="003D1E07">
        <w:rPr>
          <w:i/>
        </w:rPr>
        <w:fldChar w:fldCharType="end"/>
      </w:r>
      <w:r w:rsidR="00C91316" w:rsidRPr="003D1E07">
        <w:t xml:space="preserve">). </w:t>
      </w:r>
      <w:r w:rsidR="085A71F5" w:rsidRPr="003D1E07">
        <w:rPr>
          <w:rStyle w:val="Zkladntext158dkovn0pt"/>
          <w:color w:val="auto"/>
          <w:spacing w:val="0"/>
          <w:sz w:val="24"/>
          <w:lang w:val="cs-CZ"/>
        </w:rPr>
        <w:t xml:space="preserve">Proces vidění zrušil neoplatonské </w:t>
      </w:r>
      <w:r w:rsidR="085A71F5" w:rsidRPr="003D1E07">
        <w:rPr>
          <w:rStyle w:val="Zkladntext158dkovn0pt"/>
          <w:i/>
          <w:color w:val="auto"/>
          <w:spacing w:val="0"/>
          <w:sz w:val="24"/>
          <w:lang w:val="cs-CZ"/>
        </w:rPr>
        <w:t xml:space="preserve">illuminatio </w:t>
      </w:r>
      <w:r w:rsidR="085A71F5" w:rsidRPr="003D1E07">
        <w:rPr>
          <w:rStyle w:val="Zkladntext158dkovn0pt"/>
          <w:color w:val="auto"/>
          <w:spacing w:val="0"/>
          <w:sz w:val="24"/>
          <w:lang w:val="cs-CZ"/>
        </w:rPr>
        <w:t>směrem od intelektu-slunce</w:t>
      </w:r>
      <w:r w:rsidR="085A71F5" w:rsidRPr="003D1E07">
        <w:rPr>
          <w:rStyle w:val="Zkladntext158dkovn0pt"/>
          <w:color w:val="auto"/>
          <w:spacing w:val="0"/>
          <w:sz w:val="24"/>
          <w:lang w:val="cs-CZ"/>
        </w:rPr>
        <w:fldChar w:fldCharType="begin"/>
      </w:r>
      <w:r w:rsidR="085A71F5" w:rsidRPr="003D1E07">
        <w:instrText xml:space="preserve"> XE "intelekt-slunce" </w:instrText>
      </w:r>
      <w:r w:rsidR="085A71F5" w:rsidRPr="003D1E07">
        <w:rPr>
          <w:rStyle w:val="Zkladntext158dkovn0pt"/>
          <w:color w:val="auto"/>
          <w:spacing w:val="0"/>
          <w:sz w:val="24"/>
          <w:lang w:val="cs-CZ"/>
        </w:rPr>
        <w:fldChar w:fldCharType="end"/>
      </w:r>
      <w:r w:rsidR="085A71F5" w:rsidRPr="003D1E07">
        <w:rPr>
          <w:rStyle w:val="Zkladntext158dkovn0pt"/>
          <w:color w:val="auto"/>
          <w:spacing w:val="0"/>
          <w:sz w:val="24"/>
          <w:lang w:val="cs-CZ"/>
        </w:rPr>
        <w:t>, které bezprostředně působí v mysli ilumináta díky výkonu darovaného intelektu (</w:t>
      </w:r>
      <w:r w:rsidR="085A71F5" w:rsidRPr="003D1E07">
        <w:rPr>
          <w:rStyle w:val="Zkladntext158dkovn0pt"/>
          <w:i/>
          <w:color w:val="auto"/>
          <w:spacing w:val="0"/>
          <w:sz w:val="24"/>
          <w:lang w:val="cs-CZ"/>
        </w:rPr>
        <w:t>intellectus adeptus</w:t>
      </w:r>
      <w:r w:rsidR="085A71F5" w:rsidRPr="003D1E07">
        <w:rPr>
          <w:rStyle w:val="Zkladntext158dkovn0pt"/>
          <w:i/>
          <w:color w:val="auto"/>
          <w:spacing w:val="0"/>
          <w:sz w:val="24"/>
          <w:lang w:val="cs-CZ"/>
        </w:rPr>
        <w:fldChar w:fldCharType="begin"/>
      </w:r>
      <w:r w:rsidR="085A71F5" w:rsidRPr="003D1E07">
        <w:instrText xml:space="preserve"> XE "</w:instrText>
      </w:r>
      <w:r w:rsidR="085A71F5" w:rsidRPr="003D1E07">
        <w:rPr>
          <w:rStyle w:val="Zkladntext158dkovn0pt"/>
          <w:i/>
          <w:color w:val="auto"/>
          <w:spacing w:val="0"/>
          <w:sz w:val="24"/>
          <w:lang w:val="cs-CZ"/>
        </w:rPr>
        <w:instrText>intellectus adeptus</w:instrText>
      </w:r>
      <w:r w:rsidR="085A71F5" w:rsidRPr="003D1E07">
        <w:rPr>
          <w:rStyle w:val="Zkladntext158dkovn0pt"/>
          <w:color w:val="auto"/>
          <w:spacing w:val="0"/>
          <w:sz w:val="24"/>
          <w:lang w:val="cs-CZ"/>
        </w:rPr>
        <w:instrText>:Avicenna</w:instrText>
      </w:r>
      <w:r w:rsidR="085A71F5" w:rsidRPr="003D1E07">
        <w:instrText xml:space="preserve">" </w:instrText>
      </w:r>
      <w:r w:rsidR="085A71F5" w:rsidRPr="003D1E07">
        <w:rPr>
          <w:rStyle w:val="Zkladntext158dkovn0pt"/>
          <w:i/>
          <w:color w:val="auto"/>
          <w:spacing w:val="0"/>
          <w:sz w:val="24"/>
          <w:lang w:val="cs-CZ"/>
        </w:rPr>
        <w:fldChar w:fldCharType="end"/>
      </w:r>
      <w:r w:rsidR="085A71F5" w:rsidRPr="003D1E07">
        <w:rPr>
          <w:rStyle w:val="Zkladntext158dkovn0pt"/>
          <w:color w:val="auto"/>
          <w:spacing w:val="0"/>
          <w:sz w:val="24"/>
          <w:lang w:val="cs-CZ"/>
        </w:rPr>
        <w:t>)</w:t>
      </w:r>
      <w:r w:rsidR="085A71F5" w:rsidRPr="003D1E07">
        <w:rPr>
          <w:rStyle w:val="Zkladntext158dkovn0pt"/>
          <w:i/>
          <w:color w:val="auto"/>
          <w:spacing w:val="0"/>
          <w:sz w:val="24"/>
          <w:lang w:val="cs-CZ"/>
        </w:rPr>
        <w:t xml:space="preserve">. </w:t>
      </w:r>
      <w:r w:rsidR="085A71F5" w:rsidRPr="003D1E07">
        <w:rPr>
          <w:rStyle w:val="Zkladntext158dkovn0pt"/>
          <w:color w:val="auto"/>
          <w:spacing w:val="0"/>
          <w:sz w:val="24"/>
          <w:lang w:val="cs-CZ"/>
        </w:rPr>
        <w:t xml:space="preserve">Hlavní roli přebírá </w:t>
      </w:r>
      <w:r w:rsidR="08056FF4" w:rsidRPr="003D1E07">
        <w:rPr>
          <w:rStyle w:val="Zkladntext158dkovn0pt"/>
          <w:color w:val="auto"/>
          <w:spacing w:val="0"/>
          <w:sz w:val="24"/>
          <w:lang w:val="cs-CZ"/>
        </w:rPr>
        <w:t xml:space="preserve">dvojí </w:t>
      </w:r>
      <w:r w:rsidR="086D5A8E" w:rsidRPr="003D1E07">
        <w:rPr>
          <w:rStyle w:val="Zkladntext158dkovn0pt"/>
          <w:color w:val="auto"/>
          <w:spacing w:val="0"/>
          <w:sz w:val="24"/>
          <w:lang w:val="cs-CZ"/>
        </w:rPr>
        <w:t xml:space="preserve">působení </w:t>
      </w:r>
      <w:r w:rsidR="085A71F5" w:rsidRPr="003D1E07">
        <w:rPr>
          <w:rStyle w:val="Zkladntext158dkovn0pt"/>
          <w:color w:val="auto"/>
          <w:spacing w:val="0"/>
          <w:sz w:val="24"/>
          <w:lang w:val="cs-CZ"/>
        </w:rPr>
        <w:t>diafanum</w:t>
      </w:r>
      <w:r w:rsidR="086D5A8E" w:rsidRPr="003D1E07">
        <w:rPr>
          <w:rStyle w:val="Zkladntext158dkovn0pt"/>
          <w:color w:val="auto"/>
          <w:spacing w:val="0"/>
          <w:sz w:val="24"/>
          <w:lang w:val="cs-CZ"/>
        </w:rPr>
        <w:t>, které má dvojí kauzálně-formální charakter</w:t>
      </w:r>
      <w:r w:rsidR="08056FF4" w:rsidRPr="003D1E07">
        <w:rPr>
          <w:rStyle w:val="Zkladntext158dkovn0pt"/>
          <w:color w:val="auto"/>
          <w:spacing w:val="0"/>
          <w:sz w:val="24"/>
          <w:lang w:val="cs-CZ"/>
        </w:rPr>
        <w:t xml:space="preserve">. </w:t>
      </w:r>
      <w:r w:rsidR="00A21B04" w:rsidRPr="003D1E07">
        <w:t>Následující citát ukazuje epochálně nový charakter</w:t>
      </w:r>
      <w:r w:rsidR="004C5CE3" w:rsidRPr="003D1E07">
        <w:t xml:space="preserve"> diafanum</w:t>
      </w:r>
      <w:r w:rsidR="00FF274E" w:rsidRPr="003D1E07">
        <w:t xml:space="preserve"> a tím i </w:t>
      </w:r>
      <w:r w:rsidR="00A21B04" w:rsidRPr="003D1E07">
        <w:t>první adekvační teorii pravdy na Západě.</w:t>
      </w:r>
    </w:p>
    <w:p w14:paraId="7D328728" w14:textId="606288EC" w:rsidR="00A21B04" w:rsidRPr="003D1E07" w:rsidRDefault="00A21B04" w:rsidP="00A21B04">
      <w:pPr>
        <w:pStyle w:val="Citace"/>
        <w:rPr>
          <w:lang w:val="cs-CZ"/>
        </w:rPr>
      </w:pPr>
      <w:r w:rsidRPr="003D1E07">
        <w:rPr>
          <w:rStyle w:val="Zkladntext1"/>
          <w:rFonts w:ascii="Calibri" w:eastAsia="Times" w:hAnsi="Calibri"/>
          <w:spacing w:val="0"/>
          <w:sz w:val="22"/>
          <w:u w:val="none"/>
          <w:lang w:val="cs-CZ"/>
        </w:rPr>
        <w:t>„Průsvitné médium není pohybováno barvou ani ji nepřijímá, pokud není dáno světlo (</w:t>
      </w:r>
      <w:r w:rsidRPr="003D1E07">
        <w:rPr>
          <w:rStyle w:val="Zkladntext158dkovn0pt"/>
          <w:i/>
          <w:spacing w:val="0"/>
          <w:sz w:val="22"/>
          <w:lang w:val="cs-CZ"/>
        </w:rPr>
        <w:t>diaffonum non movetur a colore neque recipit eum nisi quando lucet</w:t>
      </w:r>
      <w:r w:rsidRPr="003D1E07">
        <w:rPr>
          <w:rStyle w:val="Zkladntext1"/>
          <w:rFonts w:ascii="Calibri" w:eastAsia="Times" w:hAnsi="Calibri"/>
          <w:spacing w:val="0"/>
          <w:sz w:val="22"/>
          <w:u w:val="none"/>
          <w:lang w:val="cs-CZ"/>
        </w:rPr>
        <w:t>). Stejně tak intelekt nepřijímá poznané obsahy, protože existují jen tehdy, pokud je aktualizuje intelekt a také je ozáří (</w:t>
      </w:r>
      <w:r w:rsidR="00640CE5" w:rsidRPr="003D1E07">
        <w:rPr>
          <w:rStyle w:val="Zkladntext158dkovn0pt"/>
          <w:i/>
          <w:spacing w:val="0"/>
          <w:sz w:val="22"/>
          <w:lang w:val="cs-CZ"/>
        </w:rPr>
        <w:t>perficitur per ill</w:t>
      </w:r>
      <w:r w:rsidRPr="003D1E07">
        <w:rPr>
          <w:rStyle w:val="Zkladntext158dkovn0pt"/>
          <w:i/>
          <w:spacing w:val="0"/>
          <w:sz w:val="22"/>
          <w:lang w:val="cs-CZ"/>
        </w:rPr>
        <w:t>um intellectum et illuminatur per ipsum</w:t>
      </w:r>
      <w:r w:rsidRPr="003D1E07">
        <w:rPr>
          <w:rStyle w:val="Zkladntext1"/>
          <w:rFonts w:ascii="Calibri" w:eastAsia="Times" w:hAnsi="Calibri"/>
          <w:spacing w:val="0"/>
          <w:sz w:val="22"/>
          <w:u w:val="none"/>
          <w:lang w:val="cs-CZ"/>
        </w:rPr>
        <w:t xml:space="preserve">). Světlo způsobuje, že barva v potenci se mění na aktuální tím, že </w:t>
      </w:r>
      <w:r w:rsidR="0871618F" w:rsidRPr="003D1E07">
        <w:rPr>
          <w:rStyle w:val="Zkladntext1"/>
          <w:rFonts w:ascii="Calibri" w:eastAsia="Times" w:hAnsi="Calibri"/>
          <w:spacing w:val="0"/>
          <w:sz w:val="22"/>
          <w:u w:val="none"/>
          <w:lang w:val="cs-CZ"/>
        </w:rPr>
        <w:t xml:space="preserve">může aktualizovat </w:t>
      </w:r>
      <w:r w:rsidRPr="003D1E07">
        <w:rPr>
          <w:rStyle w:val="Zkladntext1"/>
          <w:rFonts w:ascii="Calibri" w:eastAsia="Times" w:hAnsi="Calibri"/>
          <w:spacing w:val="0"/>
          <w:sz w:val="22"/>
          <w:u w:val="none"/>
          <w:lang w:val="cs-CZ"/>
        </w:rPr>
        <w:t>diafanum (</w:t>
      </w:r>
      <w:r w:rsidRPr="003D1E07">
        <w:rPr>
          <w:rStyle w:val="Zkladntext158dkovn0pt"/>
          <w:i/>
          <w:spacing w:val="0"/>
          <w:sz w:val="22"/>
          <w:lang w:val="cs-CZ"/>
        </w:rPr>
        <w:t>lux facit colorem in potentia esse in actu ita quod possit movere diaffonum</w:t>
      </w:r>
      <w:r w:rsidRPr="003D1E07">
        <w:rPr>
          <w:rStyle w:val="Zkladntext1"/>
          <w:rFonts w:ascii="Calibri" w:eastAsia="Times" w:hAnsi="Calibri"/>
          <w:spacing w:val="0"/>
          <w:sz w:val="22"/>
          <w:u w:val="none"/>
          <w:lang w:val="cs-CZ"/>
        </w:rPr>
        <w:t xml:space="preserve">). Stejně tak činný intelekt přeměnuje </w:t>
      </w:r>
      <w:r w:rsidR="00354A8A" w:rsidRPr="003D1E07">
        <w:rPr>
          <w:rStyle w:val="Zkladntext1"/>
          <w:rFonts w:ascii="Calibri" w:eastAsia="Times" w:hAnsi="Calibri"/>
          <w:spacing w:val="0"/>
          <w:sz w:val="22"/>
          <w:u w:val="none"/>
          <w:lang w:val="cs-CZ"/>
        </w:rPr>
        <w:t xml:space="preserve">potenciální vědění na aktuální </w:t>
      </w:r>
      <w:r w:rsidRPr="003D1E07">
        <w:rPr>
          <w:rStyle w:val="Zkladntext1"/>
          <w:rFonts w:ascii="Calibri" w:eastAsia="Times" w:hAnsi="Calibri"/>
          <w:spacing w:val="0"/>
          <w:sz w:val="22"/>
          <w:u w:val="none"/>
          <w:lang w:val="cs-CZ"/>
        </w:rPr>
        <w:t>(</w:t>
      </w:r>
      <w:r w:rsidRPr="003D1E07">
        <w:rPr>
          <w:rStyle w:val="Zkladntext158dkovn0pt"/>
          <w:i/>
          <w:spacing w:val="0"/>
          <w:sz w:val="22"/>
          <w:lang w:val="cs-CZ"/>
        </w:rPr>
        <w:t>intellectus agens facit intentiones in potentia intellectas in actu</w:t>
      </w:r>
      <w:r w:rsidRPr="003D1E07">
        <w:rPr>
          <w:rStyle w:val="Zkladntext1"/>
          <w:rFonts w:ascii="Calibri" w:eastAsia="Times" w:hAnsi="Calibri"/>
          <w:spacing w:val="0"/>
          <w:sz w:val="22"/>
          <w:u w:val="none"/>
          <w:lang w:val="cs-CZ"/>
        </w:rPr>
        <w:t>) tím, že materiální intelekt tyto inteligibilní obsahy přijímá (</w:t>
      </w:r>
      <w:r w:rsidRPr="003D1E07">
        <w:rPr>
          <w:rStyle w:val="Zkladntext158dkovn0pt"/>
          <w:i/>
          <w:spacing w:val="0"/>
          <w:sz w:val="22"/>
          <w:lang w:val="cs-CZ"/>
        </w:rPr>
        <w:t>ita quod recipit eas intellectus materialis</w:t>
      </w:r>
      <w:r w:rsidRPr="003D1E07">
        <w:rPr>
          <w:rStyle w:val="Zkladntext1"/>
          <w:rFonts w:ascii="Calibri" w:eastAsia="Times" w:hAnsi="Calibri"/>
          <w:spacing w:val="0"/>
          <w:sz w:val="22"/>
          <w:u w:val="none"/>
          <w:lang w:val="cs-CZ"/>
        </w:rPr>
        <w:t>). Tímto způsobem je třeba pochopit jak materiální tak aktivní intelekt.“ </w:t>
      </w:r>
      <w:r w:rsidRPr="003D1E07">
        <w:rPr>
          <w:rStyle w:val="Znakapoznpodarou"/>
          <w:lang w:val="cs-CZ"/>
        </w:rPr>
        <w:footnoteReference w:id="280"/>
      </w:r>
    </w:p>
    <w:p w14:paraId="180C3F8C" w14:textId="2BA07A55" w:rsidR="00F94D7E" w:rsidRDefault="00A21B04" w:rsidP="00065C7C">
      <w:r w:rsidRPr="003D1E07">
        <w:rPr>
          <w:rStyle w:val="Zkladntext158dkovn0pt"/>
          <w:color w:val="auto"/>
          <w:spacing w:val="0"/>
          <w:sz w:val="24"/>
          <w:lang w:val="cs-CZ"/>
        </w:rPr>
        <w:t>Světlo aktualizuje barvy v momentu osvícení (</w:t>
      </w:r>
      <w:r w:rsidRPr="003D1E07">
        <w:rPr>
          <w:i/>
        </w:rPr>
        <w:t>facit colorem in potentia esse in actu</w:t>
      </w:r>
      <w:r w:rsidRPr="003D1E07">
        <w:rPr>
          <w:rStyle w:val="Zkladntext158dkovn0pt"/>
          <w:color w:val="auto"/>
          <w:spacing w:val="0"/>
          <w:sz w:val="24"/>
          <w:lang w:val="cs-CZ"/>
        </w:rPr>
        <w:t>). Přitom dojde k pohybu forem skrze diafanum, které zprostředkovává tento přenos pohybu od potence do aktuality (</w:t>
      </w:r>
      <w:r w:rsidRPr="003D1E07">
        <w:rPr>
          <w:i/>
        </w:rPr>
        <w:t>ita quod possit movere diaffonum</w:t>
      </w:r>
      <w:r w:rsidRPr="003D1E07">
        <w:rPr>
          <w:rStyle w:val="Zkladntext158dkovn0pt"/>
          <w:color w:val="auto"/>
          <w:spacing w:val="0"/>
          <w:sz w:val="24"/>
          <w:lang w:val="cs-CZ"/>
        </w:rPr>
        <w:t xml:space="preserve">). Diafanum dostává vlivem světla </w:t>
      </w:r>
      <w:r w:rsidR="08FD4D59" w:rsidRPr="003D1E07">
        <w:rPr>
          <w:rStyle w:val="Zkladntext158dkovn0pt"/>
          <w:color w:val="auto"/>
          <w:spacing w:val="0"/>
          <w:sz w:val="24"/>
          <w:lang w:val="cs-CZ"/>
        </w:rPr>
        <w:t xml:space="preserve">aktuální </w:t>
      </w:r>
      <w:r w:rsidRPr="003D1E07">
        <w:rPr>
          <w:rStyle w:val="Zkladntext158dkovn0pt"/>
          <w:color w:val="auto"/>
          <w:spacing w:val="0"/>
          <w:sz w:val="24"/>
          <w:lang w:val="cs-CZ"/>
        </w:rPr>
        <w:t>receptivní formu</w:t>
      </w:r>
      <w:r w:rsidR="00294D70" w:rsidRPr="003D1E07">
        <w:rPr>
          <w:rStyle w:val="Zkladntext158dkovn0pt"/>
          <w:color w:val="auto"/>
          <w:spacing w:val="0"/>
          <w:sz w:val="24"/>
          <w:lang w:val="cs-CZ"/>
        </w:rPr>
        <w:t xml:space="preserve"> jako </w:t>
      </w:r>
      <w:r w:rsidR="00294D70" w:rsidRPr="003D1E07">
        <w:rPr>
          <w:rStyle w:val="Zkladntext158dkovn0pt"/>
          <w:i/>
          <w:color w:val="auto"/>
          <w:spacing w:val="0"/>
          <w:sz w:val="24"/>
          <w:lang w:val="cs-CZ"/>
        </w:rPr>
        <w:t>perspicuum</w:t>
      </w:r>
      <w:r w:rsidR="00960D6F" w:rsidRPr="003D1E07">
        <w:rPr>
          <w:rStyle w:val="Zkladntext158dkovn0pt"/>
          <w:i/>
          <w:color w:val="auto"/>
          <w:spacing w:val="0"/>
          <w:sz w:val="24"/>
          <w:lang w:val="cs-CZ"/>
        </w:rPr>
        <w:fldChar w:fldCharType="begin"/>
      </w:r>
      <w:r w:rsidR="00960D6F" w:rsidRPr="003D1E07">
        <w:instrText xml:space="preserve"> XE "</w:instrText>
      </w:r>
      <w:r w:rsidR="00960D6F" w:rsidRPr="003D1E07">
        <w:rPr>
          <w:rStyle w:val="Zkladntext158dkovn0pt"/>
          <w:i/>
          <w:color w:val="auto"/>
          <w:spacing w:val="0"/>
          <w:sz w:val="24"/>
          <w:lang w:val="cs-CZ"/>
        </w:rPr>
        <w:instrText>perspicuum</w:instrText>
      </w:r>
      <w:r w:rsidR="00960D6F" w:rsidRPr="003D1E07">
        <w:instrText xml:space="preserve">" </w:instrText>
      </w:r>
      <w:r w:rsidR="00960D6F" w:rsidRPr="003D1E07">
        <w:rPr>
          <w:rStyle w:val="Zkladntext158dkovn0pt"/>
          <w:i/>
          <w:color w:val="auto"/>
          <w:spacing w:val="0"/>
          <w:sz w:val="24"/>
          <w:lang w:val="cs-CZ"/>
        </w:rPr>
        <w:fldChar w:fldCharType="end"/>
      </w:r>
      <w:r w:rsidRPr="003D1E07">
        <w:rPr>
          <w:rStyle w:val="Zkladntext158dkovn0pt"/>
          <w:color w:val="auto"/>
          <w:spacing w:val="0"/>
          <w:sz w:val="24"/>
          <w:lang w:val="cs-CZ"/>
        </w:rPr>
        <w:t xml:space="preserve">. </w:t>
      </w:r>
      <w:r w:rsidR="0065010B" w:rsidRPr="003D1E07">
        <w:rPr>
          <w:rStyle w:val="Zkladntext158dkovn0pt"/>
          <w:color w:val="auto"/>
          <w:spacing w:val="0"/>
          <w:sz w:val="24"/>
          <w:lang w:val="cs-CZ"/>
        </w:rPr>
        <w:t>Průzračné prostředí proto není substancí, jak si mysleli postmoderní komentátoři od Agostina Nifa</w:t>
      </w:r>
      <w:r w:rsidR="00FB62B8" w:rsidRPr="003D1E07">
        <w:rPr>
          <w:rStyle w:val="Zkladntext158dkovn0pt"/>
          <w:color w:val="auto"/>
          <w:spacing w:val="0"/>
          <w:sz w:val="24"/>
          <w:lang w:val="cs-CZ"/>
        </w:rPr>
        <w:t xml:space="preserve"> až po dnešek</w:t>
      </w:r>
      <w:r w:rsidR="0065010B" w:rsidRPr="003D1E07">
        <w:rPr>
          <w:rStyle w:val="Zkladntext158dkovn0pt"/>
          <w:color w:val="auto"/>
          <w:spacing w:val="0"/>
          <w:sz w:val="24"/>
          <w:lang w:val="cs-CZ"/>
        </w:rPr>
        <w:t xml:space="preserve">. </w:t>
      </w:r>
      <w:r w:rsidRPr="003D1E07">
        <w:rPr>
          <w:rStyle w:val="Zkladntext158dkovn0pt"/>
          <w:color w:val="auto"/>
          <w:spacing w:val="0"/>
          <w:sz w:val="24"/>
          <w:lang w:val="cs-CZ"/>
        </w:rPr>
        <w:t>Tato potenciální poznávací forma je aktualizována skrze světlo jako nasvícené barvy na geometrické ploše či tělese</w:t>
      </w:r>
      <w:r w:rsidR="003314DD">
        <w:rPr>
          <w:rStyle w:val="Zkladntext158dkovn0pt"/>
          <w:color w:val="auto"/>
          <w:spacing w:val="0"/>
          <w:sz w:val="24"/>
          <w:lang w:val="cs-CZ"/>
        </w:rPr>
        <w:t xml:space="preserve">. Ale tělesa už jsou </w:t>
      </w:r>
      <w:r w:rsidRPr="003D1E07">
        <w:rPr>
          <w:rStyle w:val="Zkladntext158dkovn0pt"/>
          <w:color w:val="auto"/>
          <w:spacing w:val="0"/>
          <w:sz w:val="24"/>
          <w:lang w:val="cs-CZ"/>
        </w:rPr>
        <w:t>samy o sobě aktuálními hylemorfickými substancemi. Protože jsou nyní nasvíceny skrze aktualizované naturální diafanum</w:t>
      </w:r>
      <w:r w:rsidR="00CF612F" w:rsidRPr="003D1E07">
        <w:rPr>
          <w:rStyle w:val="Zkladntext158dkovn0pt"/>
          <w:color w:val="auto"/>
          <w:spacing w:val="0"/>
          <w:sz w:val="24"/>
          <w:lang w:val="cs-CZ"/>
        </w:rPr>
        <w:t xml:space="preserve"> jako </w:t>
      </w:r>
      <w:r w:rsidR="00067778" w:rsidRPr="003D1E07">
        <w:rPr>
          <w:rStyle w:val="Zkladntext158dkovn0pt"/>
          <w:i/>
          <w:color w:val="auto"/>
          <w:spacing w:val="0"/>
          <w:sz w:val="24"/>
          <w:lang w:val="cs-CZ"/>
        </w:rPr>
        <w:t>perspicuum</w:t>
      </w:r>
      <w:r w:rsidRPr="003D1E07">
        <w:rPr>
          <w:rStyle w:val="Zkladntext158dkovn0pt"/>
          <w:color w:val="auto"/>
          <w:spacing w:val="0"/>
          <w:sz w:val="24"/>
          <w:lang w:val="cs-CZ"/>
        </w:rPr>
        <w:t xml:space="preserve">, </w:t>
      </w:r>
      <w:r w:rsidR="008D4903" w:rsidRPr="003D1E07">
        <w:rPr>
          <w:rStyle w:val="Zkladntext158dkovn0pt"/>
          <w:color w:val="auto"/>
          <w:spacing w:val="0"/>
          <w:sz w:val="24"/>
          <w:lang w:val="cs-CZ"/>
        </w:rPr>
        <w:t xml:space="preserve">pak </w:t>
      </w:r>
      <w:r w:rsidRPr="003D1E07">
        <w:rPr>
          <w:rStyle w:val="Zkladntext158dkovn0pt"/>
          <w:color w:val="auto"/>
          <w:spacing w:val="0"/>
          <w:sz w:val="24"/>
          <w:lang w:val="cs-CZ"/>
        </w:rPr>
        <w:t xml:space="preserve">smysly mohou </w:t>
      </w:r>
      <w:r w:rsidR="08FD3455" w:rsidRPr="003D1E07">
        <w:rPr>
          <w:rStyle w:val="Zkladntext158dkovn0pt"/>
          <w:color w:val="auto"/>
          <w:spacing w:val="0"/>
          <w:sz w:val="24"/>
          <w:lang w:val="cs-CZ"/>
        </w:rPr>
        <w:t xml:space="preserve">poznat </w:t>
      </w:r>
      <w:r w:rsidRPr="003D1E07">
        <w:rPr>
          <w:rStyle w:val="Zkladntext158dkovn0pt"/>
          <w:color w:val="auto"/>
          <w:spacing w:val="0"/>
          <w:sz w:val="24"/>
          <w:lang w:val="cs-CZ"/>
        </w:rPr>
        <w:t xml:space="preserve">barvy </w:t>
      </w:r>
      <w:r w:rsidR="08FD3455" w:rsidRPr="003D1E07">
        <w:rPr>
          <w:rStyle w:val="Zkladntext158dkovn0pt"/>
          <w:color w:val="auto"/>
          <w:spacing w:val="0"/>
          <w:sz w:val="24"/>
          <w:lang w:val="cs-CZ"/>
        </w:rPr>
        <w:t>jako intencionální předmět</w:t>
      </w:r>
      <w:r w:rsidR="087A30C6" w:rsidRPr="003D1E07">
        <w:rPr>
          <w:rStyle w:val="Zkladntext158dkovn0pt"/>
          <w:color w:val="auto"/>
          <w:spacing w:val="0"/>
          <w:sz w:val="24"/>
          <w:lang w:val="cs-CZ"/>
        </w:rPr>
        <w:t xml:space="preserve">. Smyslový přenos se děje </w:t>
      </w:r>
      <w:r w:rsidR="008D4903" w:rsidRPr="003D1E07">
        <w:rPr>
          <w:rStyle w:val="Zkladntext158dkovn0pt"/>
          <w:color w:val="auto"/>
          <w:spacing w:val="0"/>
          <w:sz w:val="24"/>
          <w:lang w:val="cs-CZ"/>
        </w:rPr>
        <w:t>na rovině eficientní kau</w:t>
      </w:r>
      <w:r w:rsidR="007F2370" w:rsidRPr="003D1E07">
        <w:rPr>
          <w:rStyle w:val="Zkladntext158dkovn0pt"/>
          <w:color w:val="auto"/>
          <w:spacing w:val="0"/>
          <w:sz w:val="24"/>
          <w:lang w:val="cs-CZ"/>
        </w:rPr>
        <w:t>z</w:t>
      </w:r>
      <w:r w:rsidR="008D4903" w:rsidRPr="003D1E07">
        <w:rPr>
          <w:rStyle w:val="Zkladntext158dkovn0pt"/>
          <w:color w:val="auto"/>
          <w:spacing w:val="0"/>
          <w:sz w:val="24"/>
          <w:lang w:val="cs-CZ"/>
        </w:rPr>
        <w:t>ality</w:t>
      </w:r>
      <w:r w:rsidR="087A30C6" w:rsidRPr="003D1E07">
        <w:rPr>
          <w:rStyle w:val="Zkladntext158dkovn0pt"/>
          <w:color w:val="auto"/>
          <w:spacing w:val="0"/>
          <w:sz w:val="24"/>
          <w:lang w:val="cs-CZ"/>
        </w:rPr>
        <w:t xml:space="preserve">, protože </w:t>
      </w:r>
      <w:r w:rsidR="003211FC">
        <w:rPr>
          <w:rStyle w:val="Zkladntext158dkovn0pt"/>
          <w:color w:val="auto"/>
          <w:spacing w:val="0"/>
          <w:sz w:val="24"/>
          <w:lang w:val="cs-CZ"/>
        </w:rPr>
        <w:t xml:space="preserve">smyslové vjemy jsou přímo aktualizovány skrze </w:t>
      </w:r>
      <w:r w:rsidR="087A30C6" w:rsidRPr="003D1E07">
        <w:rPr>
          <w:rStyle w:val="Zkladntext158dkovn0pt"/>
          <w:color w:val="auto"/>
          <w:spacing w:val="0"/>
          <w:sz w:val="24"/>
          <w:lang w:val="cs-CZ"/>
        </w:rPr>
        <w:t>diafanum</w:t>
      </w:r>
      <w:r w:rsidR="008D4903" w:rsidRPr="003D1E07">
        <w:rPr>
          <w:rStyle w:val="Zkladntext158dkovn0pt"/>
          <w:color w:val="auto"/>
          <w:spacing w:val="0"/>
          <w:sz w:val="24"/>
          <w:lang w:val="cs-CZ"/>
        </w:rPr>
        <w:t xml:space="preserve">. Proto se smysly podle výše citované </w:t>
      </w:r>
      <w:r w:rsidR="008D4903" w:rsidRPr="003D1E07">
        <w:rPr>
          <w:rStyle w:val="Zkladntext158dkovn0pt"/>
          <w:i/>
          <w:color w:val="auto"/>
          <w:spacing w:val="0"/>
          <w:sz w:val="24"/>
          <w:lang w:val="cs-CZ"/>
        </w:rPr>
        <w:t>De anima</w:t>
      </w:r>
      <w:r w:rsidR="008D4903" w:rsidRPr="003D1E07">
        <w:rPr>
          <w:rStyle w:val="Zkladntext158dkovn0pt"/>
          <w:color w:val="auto"/>
          <w:spacing w:val="0"/>
          <w:sz w:val="24"/>
          <w:lang w:val="cs-CZ"/>
        </w:rPr>
        <w:t xml:space="preserve"> nikdy nemohou mýlit v recepci svého předmětu</w:t>
      </w:r>
      <w:r w:rsidR="00AE4E78">
        <w:rPr>
          <w:rStyle w:val="Zkladntext158dkovn0pt"/>
          <w:color w:val="auto"/>
          <w:spacing w:val="0"/>
          <w:sz w:val="24"/>
          <w:lang w:val="cs-CZ"/>
        </w:rPr>
        <w:t>. To je zásadní rozdíl r</w:t>
      </w:r>
      <w:r w:rsidR="008D4903" w:rsidRPr="003D1E07">
        <w:rPr>
          <w:rStyle w:val="Zkladntext158dkovn0pt"/>
          <w:color w:val="auto"/>
          <w:spacing w:val="0"/>
          <w:sz w:val="24"/>
          <w:lang w:val="cs-CZ"/>
        </w:rPr>
        <w:t>ozdíl od Avicennou a Descartem postulované teze o primální omylosti smyslů</w:t>
      </w:r>
      <w:r w:rsidR="00C614C0" w:rsidRPr="003D1E07">
        <w:rPr>
          <w:rStyle w:val="Zkladntext158dkovn0pt"/>
          <w:color w:val="auto"/>
          <w:spacing w:val="0"/>
          <w:sz w:val="24"/>
          <w:lang w:val="cs-CZ"/>
        </w:rPr>
        <w:t xml:space="preserve"> a neomylnosti dané v sebereflexi činného intelektu</w:t>
      </w:r>
      <w:r w:rsidR="008D4903" w:rsidRPr="003D1E07">
        <w:rPr>
          <w:rStyle w:val="Zkladntext158dkovn0pt"/>
          <w:color w:val="auto"/>
          <w:spacing w:val="0"/>
          <w:sz w:val="24"/>
          <w:lang w:val="cs-CZ"/>
        </w:rPr>
        <w:t xml:space="preserve">. </w:t>
      </w:r>
      <w:r w:rsidR="009114BA">
        <w:rPr>
          <w:rStyle w:val="Zkladntext158dkovn0pt"/>
          <w:color w:val="auto"/>
          <w:spacing w:val="0"/>
          <w:sz w:val="24"/>
          <w:lang w:val="cs-CZ"/>
        </w:rPr>
        <w:t xml:space="preserve">Ve skutečnosti je to přesně opačně. </w:t>
      </w:r>
      <w:r w:rsidR="08761D5F" w:rsidRPr="003D1E07">
        <w:rPr>
          <w:rStyle w:val="Zkladntext158dkovn0pt"/>
          <w:color w:val="auto"/>
          <w:spacing w:val="0"/>
          <w:sz w:val="24"/>
          <w:lang w:val="cs-CZ"/>
        </w:rPr>
        <w:t xml:space="preserve">Díky účinné kauzalitě </w:t>
      </w:r>
      <w:r w:rsidR="086D695F" w:rsidRPr="003D1E07">
        <w:rPr>
          <w:rStyle w:val="Zkladntext158dkovn0pt"/>
          <w:color w:val="auto"/>
          <w:spacing w:val="0"/>
          <w:sz w:val="24"/>
          <w:lang w:val="cs-CZ"/>
        </w:rPr>
        <w:t xml:space="preserve">reálné věci </w:t>
      </w:r>
      <w:r w:rsidR="08761D5F" w:rsidRPr="003D1E07">
        <w:rPr>
          <w:rStyle w:val="Zkladntext158dkovn0pt"/>
          <w:color w:val="auto"/>
          <w:spacing w:val="0"/>
          <w:sz w:val="24"/>
          <w:lang w:val="cs-CZ"/>
        </w:rPr>
        <w:t xml:space="preserve">jsou smysly v základním modu čisté recepce neomylné. </w:t>
      </w:r>
      <w:r w:rsidR="08375B59" w:rsidRPr="003D1E07">
        <w:rPr>
          <w:rStyle w:val="Zkladntext158dkovn0pt"/>
          <w:color w:val="auto"/>
          <w:spacing w:val="0"/>
          <w:sz w:val="24"/>
          <w:lang w:val="cs-CZ"/>
        </w:rPr>
        <w:t xml:space="preserve">Iluze </w:t>
      </w:r>
      <w:r w:rsidR="08375B59" w:rsidRPr="003D1E07">
        <w:rPr>
          <w:rStyle w:val="Zkladntext158dkovn0pt"/>
          <w:color w:val="auto"/>
          <w:spacing w:val="0"/>
          <w:sz w:val="24"/>
          <w:lang w:val="cs-CZ"/>
        </w:rPr>
        <w:lastRenderedPageBreak/>
        <w:t xml:space="preserve">zlomené hole ve vodě není na úrovni recepce vjemu, ale na úrovni individuální syntézy poznaných </w:t>
      </w:r>
      <w:r w:rsidR="00F214C5" w:rsidRPr="003D1E07">
        <w:rPr>
          <w:rStyle w:val="Zkladntext158dkovn0pt"/>
          <w:color w:val="auto"/>
          <w:spacing w:val="0"/>
          <w:sz w:val="24"/>
          <w:lang w:val="cs-CZ"/>
        </w:rPr>
        <w:t>species</w:t>
      </w:r>
      <w:r w:rsidR="08375B59" w:rsidRPr="003D1E07">
        <w:rPr>
          <w:rStyle w:val="Zkladntext158dkovn0pt"/>
          <w:color w:val="auto"/>
          <w:spacing w:val="0"/>
          <w:sz w:val="24"/>
          <w:lang w:val="cs-CZ"/>
        </w:rPr>
        <w:t xml:space="preserve">. Čistá recepce daná intencionálním zaměřením smyslů či mysli je </w:t>
      </w:r>
      <w:r w:rsidR="00001BC4" w:rsidRPr="003D1E07">
        <w:rPr>
          <w:rStyle w:val="Zkladntext158dkovn0pt"/>
          <w:color w:val="auto"/>
          <w:spacing w:val="0"/>
          <w:sz w:val="24"/>
          <w:lang w:val="cs-CZ"/>
        </w:rPr>
        <w:t xml:space="preserve">ale </w:t>
      </w:r>
      <w:r w:rsidR="08375B59" w:rsidRPr="003D1E07">
        <w:rPr>
          <w:rStyle w:val="Zkladntext158dkovn0pt"/>
          <w:color w:val="auto"/>
          <w:spacing w:val="0"/>
          <w:sz w:val="24"/>
          <w:lang w:val="cs-CZ"/>
        </w:rPr>
        <w:t>ve své neomylnosti zcela slepá</w:t>
      </w:r>
      <w:r w:rsidR="00001BC4" w:rsidRPr="003D1E07">
        <w:rPr>
          <w:rStyle w:val="Zkladntext158dkovn0pt"/>
          <w:color w:val="auto"/>
          <w:spacing w:val="0"/>
          <w:sz w:val="24"/>
          <w:lang w:val="cs-CZ"/>
        </w:rPr>
        <w:t>. P</w:t>
      </w:r>
      <w:r w:rsidR="08375B59" w:rsidRPr="003D1E07">
        <w:rPr>
          <w:rStyle w:val="Zkladntext158dkovn0pt"/>
          <w:color w:val="auto"/>
          <w:spacing w:val="0"/>
          <w:sz w:val="24"/>
          <w:lang w:val="cs-CZ"/>
        </w:rPr>
        <w:t>ředm</w:t>
      </w:r>
      <w:r w:rsidR="0826004D" w:rsidRPr="003D1E07">
        <w:rPr>
          <w:rStyle w:val="Zkladntext158dkovn0pt"/>
          <w:color w:val="auto"/>
          <w:spacing w:val="0"/>
          <w:sz w:val="24"/>
          <w:lang w:val="cs-CZ"/>
        </w:rPr>
        <w:t>ět poznání ještě není vytvořen</w:t>
      </w:r>
      <w:r w:rsidR="08B8344D" w:rsidRPr="003D1E07">
        <w:rPr>
          <w:rStyle w:val="Zkladntext158dkovn0pt"/>
          <w:color w:val="auto"/>
          <w:spacing w:val="0"/>
          <w:sz w:val="24"/>
          <w:lang w:val="cs-CZ"/>
        </w:rPr>
        <w:t xml:space="preserve">, </w:t>
      </w:r>
      <w:r w:rsidR="08375B59" w:rsidRPr="003D1E07">
        <w:rPr>
          <w:rStyle w:val="Zkladntext158dkovn0pt"/>
          <w:color w:val="auto"/>
          <w:spacing w:val="0"/>
          <w:sz w:val="24"/>
          <w:lang w:val="cs-CZ"/>
        </w:rPr>
        <w:t>a</w:t>
      </w:r>
      <w:r w:rsidR="00001BC4" w:rsidRPr="003D1E07">
        <w:rPr>
          <w:rStyle w:val="Zkladntext158dkovn0pt"/>
          <w:color w:val="auto"/>
          <w:spacing w:val="0"/>
          <w:sz w:val="24"/>
          <w:lang w:val="cs-CZ"/>
        </w:rPr>
        <w:t xml:space="preserve">ni na úrovni smyslové představy, </w:t>
      </w:r>
      <w:r w:rsidR="08375B59" w:rsidRPr="003D1E07">
        <w:rPr>
          <w:rStyle w:val="Zkladntext158dkovn0pt"/>
          <w:color w:val="auto"/>
          <w:spacing w:val="0"/>
          <w:sz w:val="24"/>
          <w:lang w:val="cs-CZ"/>
        </w:rPr>
        <w:t xml:space="preserve">ani pojmu. </w:t>
      </w:r>
      <w:r w:rsidR="089C1AAB" w:rsidRPr="003D1E07">
        <w:rPr>
          <w:rStyle w:val="Zkladntext158dkovn0pt"/>
          <w:color w:val="auto"/>
          <w:spacing w:val="0"/>
          <w:sz w:val="24"/>
          <w:lang w:val="cs-CZ"/>
        </w:rPr>
        <w:t>Proto je třeba dvojí diafanum.</w:t>
      </w:r>
      <w:r w:rsidR="00B811EC">
        <w:rPr>
          <w:rStyle w:val="Zkladntext158dkovn0pt"/>
          <w:color w:val="auto"/>
          <w:spacing w:val="0"/>
          <w:sz w:val="24"/>
          <w:lang w:val="cs-CZ"/>
        </w:rPr>
        <w:t xml:space="preserve"> </w:t>
      </w:r>
      <w:r w:rsidR="00230013" w:rsidRPr="00230013">
        <w:rPr>
          <w:rStyle w:val="Zkladntext158dkovn0pt"/>
          <w:color w:val="auto"/>
          <w:spacing w:val="0"/>
          <w:sz w:val="24"/>
          <w:lang w:val="cs-CZ"/>
        </w:rPr>
        <w:t xml:space="preserve">Primární orientace intencionality na předmět je dána formou účinné kauzality, která vychází z recepce </w:t>
      </w:r>
      <w:r w:rsidR="00230013">
        <w:rPr>
          <w:rStyle w:val="Zkladntext158dkovn0pt"/>
          <w:color w:val="auto"/>
          <w:spacing w:val="0"/>
          <w:sz w:val="24"/>
          <w:lang w:val="cs-CZ"/>
        </w:rPr>
        <w:t>světa skrze smysly</w:t>
      </w:r>
      <w:r w:rsidR="00230013" w:rsidRPr="00230013">
        <w:rPr>
          <w:rStyle w:val="Zkladntext158dkovn0pt"/>
          <w:color w:val="auto"/>
          <w:spacing w:val="0"/>
          <w:sz w:val="24"/>
          <w:lang w:val="cs-CZ"/>
        </w:rPr>
        <w:t>. Ty tvoří část těla jako aktuální první substance. Ve druhém kroku tvoří formální kauzalita nutnou podmínku syntézy sm</w:t>
      </w:r>
      <w:r w:rsidR="00230013">
        <w:rPr>
          <w:rStyle w:val="Zkladntext158dkovn0pt"/>
          <w:color w:val="auto"/>
          <w:spacing w:val="0"/>
          <w:sz w:val="24"/>
          <w:lang w:val="cs-CZ"/>
        </w:rPr>
        <w:t>yslových a inteligibilních species</w:t>
      </w:r>
      <w:r w:rsidR="00230013" w:rsidRPr="00230013">
        <w:rPr>
          <w:rStyle w:val="Zkladntext158dkovn0pt"/>
          <w:color w:val="auto"/>
          <w:spacing w:val="0"/>
          <w:sz w:val="24"/>
          <w:lang w:val="cs-CZ"/>
        </w:rPr>
        <w:t xml:space="preserve">. Nyní je zřejmé, že diafanum musí být </w:t>
      </w:r>
      <w:r w:rsidR="00230013">
        <w:rPr>
          <w:rStyle w:val="Zkladntext158dkovn0pt"/>
          <w:color w:val="auto"/>
          <w:spacing w:val="0"/>
          <w:sz w:val="24"/>
          <w:lang w:val="cs-CZ"/>
        </w:rPr>
        <w:t xml:space="preserve">pouze </w:t>
      </w:r>
      <w:r w:rsidR="00230013" w:rsidRPr="00230013">
        <w:rPr>
          <w:rStyle w:val="Zkladntext158dkovn0pt"/>
          <w:color w:val="auto"/>
          <w:spacing w:val="0"/>
          <w:sz w:val="24"/>
          <w:lang w:val="cs-CZ"/>
        </w:rPr>
        <w:t>potencialitou, neboť musí být zcela receptivní, aby mohlo přijímat aktualizované vjemy přicházející ze smyslů.</w:t>
      </w:r>
      <w:r w:rsidR="00230013">
        <w:rPr>
          <w:rStyle w:val="Zkladntext158dkovn0pt"/>
          <w:color w:val="auto"/>
          <w:spacing w:val="0"/>
          <w:sz w:val="24"/>
          <w:lang w:val="cs-CZ"/>
        </w:rPr>
        <w:t xml:space="preserve"> </w:t>
      </w:r>
      <w:r w:rsidR="08861ABD" w:rsidRPr="003D1E07">
        <w:rPr>
          <w:rStyle w:val="Zkladntext158dkovn0pt"/>
          <w:color w:val="auto"/>
          <w:spacing w:val="0"/>
          <w:sz w:val="24"/>
          <w:lang w:val="cs-CZ"/>
        </w:rPr>
        <w:t>Syntéza poznatku</w:t>
      </w:r>
      <w:r w:rsidR="089A173D" w:rsidRPr="003D1E07">
        <w:rPr>
          <w:rStyle w:val="Zkladntext158dkovn0pt"/>
          <w:color w:val="auto"/>
          <w:spacing w:val="0"/>
          <w:sz w:val="24"/>
          <w:lang w:val="cs-CZ"/>
        </w:rPr>
        <w:t xml:space="preserve"> </w:t>
      </w:r>
      <w:r w:rsidR="003305C2" w:rsidRPr="003D1E07">
        <w:rPr>
          <w:rStyle w:val="Zkladntext158dkovn0pt"/>
          <w:color w:val="auto"/>
          <w:spacing w:val="0"/>
          <w:sz w:val="24"/>
          <w:lang w:val="cs-CZ"/>
        </w:rPr>
        <w:t xml:space="preserve">vzniká až na úrovni </w:t>
      </w:r>
      <w:r w:rsidR="08861ABD" w:rsidRPr="003D1E07">
        <w:rPr>
          <w:rStyle w:val="Zkladntext158dkovn0pt"/>
          <w:color w:val="auto"/>
          <w:spacing w:val="0"/>
          <w:sz w:val="24"/>
          <w:lang w:val="cs-CZ"/>
        </w:rPr>
        <w:t xml:space="preserve">představivosti </w:t>
      </w:r>
      <w:r w:rsidR="003305C2" w:rsidRPr="003D1E07">
        <w:rPr>
          <w:rStyle w:val="Zkladntext158dkovn0pt"/>
          <w:color w:val="auto"/>
          <w:spacing w:val="0"/>
          <w:sz w:val="24"/>
          <w:lang w:val="cs-CZ"/>
        </w:rPr>
        <w:t>(</w:t>
      </w:r>
      <w:r w:rsidR="008D4903" w:rsidRPr="003D1E07">
        <w:rPr>
          <w:rStyle w:val="Zkladntext158dkovn0pt"/>
          <w:i/>
          <w:color w:val="auto"/>
          <w:spacing w:val="0"/>
          <w:sz w:val="24"/>
          <w:lang w:val="cs-CZ"/>
        </w:rPr>
        <w:t>sensus communis</w:t>
      </w:r>
      <w:r w:rsidR="008D4903" w:rsidRPr="003D1E07">
        <w:rPr>
          <w:rStyle w:val="Zkladntext158dkovn0pt"/>
          <w:color w:val="auto"/>
          <w:spacing w:val="0"/>
          <w:sz w:val="24"/>
          <w:lang w:val="cs-CZ"/>
        </w:rPr>
        <w:t xml:space="preserve">) </w:t>
      </w:r>
      <w:r w:rsidR="003305C2" w:rsidRPr="003D1E07">
        <w:rPr>
          <w:rStyle w:val="Zkladntext158dkovn0pt"/>
          <w:color w:val="auto"/>
          <w:spacing w:val="0"/>
          <w:sz w:val="24"/>
          <w:lang w:val="cs-CZ"/>
        </w:rPr>
        <w:t xml:space="preserve">nebo inteligibilního </w:t>
      </w:r>
      <w:r w:rsidR="08861ABD" w:rsidRPr="003D1E07">
        <w:rPr>
          <w:rStyle w:val="Zkladntext158dkovn0pt"/>
          <w:color w:val="auto"/>
          <w:spacing w:val="0"/>
          <w:sz w:val="24"/>
          <w:lang w:val="cs-CZ"/>
        </w:rPr>
        <w:t xml:space="preserve">poznání </w:t>
      </w:r>
      <w:r w:rsidR="003305C2" w:rsidRPr="003D1E07">
        <w:rPr>
          <w:rStyle w:val="Zkladntext158dkovn0pt"/>
          <w:color w:val="auto"/>
          <w:spacing w:val="0"/>
          <w:sz w:val="24"/>
          <w:lang w:val="cs-CZ"/>
        </w:rPr>
        <w:t>(</w:t>
      </w:r>
      <w:r w:rsidR="003305C2" w:rsidRPr="003D1E07">
        <w:rPr>
          <w:rStyle w:val="Zkladntext158dkovn0pt"/>
          <w:i/>
          <w:color w:val="auto"/>
          <w:spacing w:val="0"/>
          <w:sz w:val="24"/>
          <w:lang w:val="cs-CZ"/>
        </w:rPr>
        <w:t>intellectus agens</w:t>
      </w:r>
      <w:r w:rsidR="003305C2" w:rsidRPr="003D1E07">
        <w:rPr>
          <w:rStyle w:val="Zkladntext158dkovn0pt"/>
          <w:color w:val="auto"/>
          <w:spacing w:val="0"/>
          <w:sz w:val="24"/>
          <w:lang w:val="cs-CZ"/>
        </w:rPr>
        <w:t xml:space="preserve">). </w:t>
      </w:r>
      <w:r w:rsidR="08807246" w:rsidRPr="003D1E07">
        <w:t xml:space="preserve">Proces formalizace završuje aktivní intelekt, který tvoří výsledné poznávací formy </w:t>
      </w:r>
      <w:r w:rsidR="08807246" w:rsidRPr="003D1E07">
        <w:rPr>
          <w:rStyle w:val="Zkladntext158dkovn0pt"/>
          <w:color w:val="auto"/>
          <w:spacing w:val="0"/>
          <w:sz w:val="24"/>
          <w:lang w:val="cs-CZ"/>
        </w:rPr>
        <w:t>(</w:t>
      </w:r>
      <w:r w:rsidR="08807246" w:rsidRPr="003D1E07">
        <w:rPr>
          <w:i/>
        </w:rPr>
        <w:t>intellectus agens facit intentiones in potentia intellectas in actu</w:t>
      </w:r>
      <w:r w:rsidR="08807246" w:rsidRPr="003D1E07">
        <w:rPr>
          <w:rStyle w:val="Zkladntext158dkovn0pt"/>
          <w:color w:val="auto"/>
          <w:spacing w:val="0"/>
          <w:sz w:val="24"/>
          <w:lang w:val="cs-CZ"/>
        </w:rPr>
        <w:t>)</w:t>
      </w:r>
      <w:r w:rsidR="08807246" w:rsidRPr="003D1E07">
        <w:t xml:space="preserve">. </w:t>
      </w:r>
      <w:r w:rsidR="008D4903" w:rsidRPr="003D1E07">
        <w:rPr>
          <w:rStyle w:val="Zkladntext158dkovn0pt"/>
          <w:color w:val="auto"/>
          <w:spacing w:val="0"/>
          <w:sz w:val="24"/>
          <w:lang w:val="cs-CZ"/>
        </w:rPr>
        <w:t xml:space="preserve">Tady už je omyl možný, protože jde o individuální výkon lidské nebo zvířecí duše. </w:t>
      </w:r>
      <w:r w:rsidR="00D13253" w:rsidRPr="003D1E07">
        <w:rPr>
          <w:rStyle w:val="Zkladntext158dkovn0pt"/>
          <w:color w:val="auto"/>
          <w:spacing w:val="0"/>
          <w:sz w:val="24"/>
          <w:lang w:val="cs-CZ"/>
        </w:rPr>
        <w:t>Klíčový je fakt</w:t>
      </w:r>
      <w:r w:rsidR="001A15D8" w:rsidRPr="003D1E07">
        <w:rPr>
          <w:rStyle w:val="Zkladntext158dkovn0pt"/>
          <w:color w:val="auto"/>
          <w:spacing w:val="0"/>
          <w:sz w:val="24"/>
          <w:lang w:val="cs-CZ"/>
        </w:rPr>
        <w:t xml:space="preserve">, že diafanum </w:t>
      </w:r>
      <w:r w:rsidR="004F5500" w:rsidRPr="003D1E07">
        <w:rPr>
          <w:rStyle w:val="Zkladntext158dkovn0pt"/>
          <w:color w:val="auto"/>
          <w:spacing w:val="0"/>
          <w:sz w:val="24"/>
          <w:lang w:val="cs-CZ"/>
        </w:rPr>
        <w:t xml:space="preserve">přenáší </w:t>
      </w:r>
      <w:r w:rsidR="001A15D8" w:rsidRPr="003D1E07">
        <w:rPr>
          <w:rStyle w:val="Zkladntext158dkovn0pt"/>
          <w:color w:val="auto"/>
          <w:spacing w:val="0"/>
          <w:sz w:val="24"/>
          <w:lang w:val="cs-CZ"/>
        </w:rPr>
        <w:t xml:space="preserve">potenciální </w:t>
      </w:r>
      <w:r w:rsidR="08F5409E" w:rsidRPr="003D1E07">
        <w:rPr>
          <w:rStyle w:val="Zkladntext158dkovn0pt"/>
          <w:color w:val="auto"/>
          <w:spacing w:val="0"/>
          <w:sz w:val="24"/>
          <w:lang w:val="cs-CZ"/>
        </w:rPr>
        <w:t>poznávací formu, ať smyslovou</w:t>
      </w:r>
      <w:r w:rsidR="00D13253" w:rsidRPr="003D1E07">
        <w:rPr>
          <w:rStyle w:val="Zkladntext158dkovn0pt"/>
          <w:color w:val="auto"/>
          <w:spacing w:val="0"/>
          <w:sz w:val="24"/>
          <w:lang w:val="cs-CZ"/>
        </w:rPr>
        <w:t xml:space="preserve"> nebo inteligibilní. </w:t>
      </w:r>
      <w:r w:rsidR="00E63F17" w:rsidRPr="003D1E07">
        <w:rPr>
          <w:rStyle w:val="Zkladntext158dkovn0pt"/>
          <w:color w:val="auto"/>
          <w:spacing w:val="0"/>
          <w:sz w:val="24"/>
          <w:lang w:val="cs-CZ"/>
        </w:rPr>
        <w:t xml:space="preserve">Díky nemateriálnímu založení přijímá individuální </w:t>
      </w:r>
      <w:r w:rsidR="00E63F17" w:rsidRPr="003D1E07">
        <w:rPr>
          <w:rStyle w:val="Zkladntext158dkovn0pt"/>
          <w:i/>
          <w:color w:val="auto"/>
          <w:spacing w:val="0"/>
          <w:sz w:val="24"/>
          <w:lang w:val="cs-CZ"/>
        </w:rPr>
        <w:t xml:space="preserve">intellectus possibilis </w:t>
      </w:r>
      <w:r w:rsidR="00E63F17" w:rsidRPr="003D1E07">
        <w:rPr>
          <w:rStyle w:val="Zkladntext158dkovn0pt"/>
          <w:color w:val="auto"/>
          <w:spacing w:val="0"/>
          <w:sz w:val="24"/>
          <w:lang w:val="cs-CZ"/>
        </w:rPr>
        <w:t xml:space="preserve">jako nová forma diafanum intelektuální formy od </w:t>
      </w:r>
      <w:r w:rsidR="005D113B" w:rsidRPr="003D1E07">
        <w:rPr>
          <w:rStyle w:val="Zkladntext158dkovn0pt"/>
          <w:color w:val="auto"/>
          <w:spacing w:val="0"/>
          <w:sz w:val="24"/>
          <w:lang w:val="cs-CZ"/>
        </w:rPr>
        <w:t xml:space="preserve">již aktualizovaných </w:t>
      </w:r>
      <w:r w:rsidR="00E63F17" w:rsidRPr="003D1E07">
        <w:rPr>
          <w:rStyle w:val="Zkladntext158dkovn0pt"/>
          <w:color w:val="auto"/>
          <w:spacing w:val="0"/>
          <w:sz w:val="24"/>
          <w:lang w:val="cs-CZ"/>
        </w:rPr>
        <w:t xml:space="preserve">smyslových </w:t>
      </w:r>
      <w:r w:rsidR="00F214C5" w:rsidRPr="003D1E07">
        <w:rPr>
          <w:rStyle w:val="Zkladntext158dkovn0pt"/>
          <w:color w:val="auto"/>
          <w:spacing w:val="0"/>
          <w:sz w:val="24"/>
          <w:lang w:val="cs-CZ"/>
        </w:rPr>
        <w:t>species</w:t>
      </w:r>
      <w:r w:rsidR="00E63F17" w:rsidRPr="003D1E07">
        <w:rPr>
          <w:rStyle w:val="Zkladntext158dkovn0pt"/>
          <w:color w:val="auto"/>
          <w:spacing w:val="0"/>
          <w:sz w:val="24"/>
          <w:lang w:val="cs-CZ"/>
        </w:rPr>
        <w:t xml:space="preserve">. Proto tvoří </w:t>
      </w:r>
      <w:r w:rsidR="005D113B" w:rsidRPr="003D1E07">
        <w:rPr>
          <w:rStyle w:val="Zkladntext158dkovn0pt"/>
          <w:color w:val="auto"/>
          <w:spacing w:val="0"/>
          <w:sz w:val="24"/>
          <w:lang w:val="cs-CZ"/>
        </w:rPr>
        <w:t xml:space="preserve">možný intelekt </w:t>
      </w:r>
      <w:r w:rsidR="00E63F17" w:rsidRPr="003D1E07">
        <w:rPr>
          <w:rStyle w:val="Zkladntext158dkovn0pt"/>
          <w:color w:val="auto"/>
          <w:spacing w:val="0"/>
          <w:sz w:val="24"/>
          <w:lang w:val="cs-CZ"/>
        </w:rPr>
        <w:t>nové nemateriální diafanum</w:t>
      </w:r>
      <w:r w:rsidR="001A15D8" w:rsidRPr="003D1E07">
        <w:rPr>
          <w:rStyle w:val="Zkladntext158dkovn0pt"/>
          <w:color w:val="auto"/>
          <w:spacing w:val="0"/>
          <w:sz w:val="24"/>
          <w:lang w:val="cs-CZ"/>
        </w:rPr>
        <w:t xml:space="preserve"> dané opět jako potenciální forma</w:t>
      </w:r>
      <w:r w:rsidR="080B13B1" w:rsidRPr="003D1E07">
        <w:rPr>
          <w:rStyle w:val="Zkladntext158dkovn0pt"/>
          <w:color w:val="auto"/>
          <w:spacing w:val="0"/>
          <w:sz w:val="24"/>
          <w:lang w:val="cs-CZ"/>
        </w:rPr>
        <w:t xml:space="preserve"> schopná aktualizace zvnějšku</w:t>
      </w:r>
      <w:r w:rsidR="001E3BDA" w:rsidRPr="003D1E07">
        <w:rPr>
          <w:rStyle w:val="Zkladntext158dkovn0pt"/>
          <w:i/>
          <w:color w:val="auto"/>
          <w:spacing w:val="0"/>
          <w:sz w:val="24"/>
          <w:lang w:val="cs-CZ"/>
        </w:rPr>
        <w:fldChar w:fldCharType="begin"/>
      </w:r>
      <w:r w:rsidR="001E3BDA" w:rsidRPr="003D1E07">
        <w:instrText xml:space="preserve"> XE "diafanum:</w:instrText>
      </w:r>
      <w:r w:rsidR="002E3B62" w:rsidRPr="003D1E07">
        <w:instrText>Averroes</w:instrText>
      </w:r>
      <w:r w:rsidR="001E3BDA" w:rsidRPr="003D1E07">
        <w:instrText xml:space="preserve">" </w:instrText>
      </w:r>
      <w:r w:rsidR="001E3BDA" w:rsidRPr="003D1E07">
        <w:rPr>
          <w:rStyle w:val="Zkladntext158dkovn0pt"/>
          <w:i/>
          <w:color w:val="auto"/>
          <w:spacing w:val="0"/>
          <w:sz w:val="24"/>
          <w:lang w:val="cs-CZ"/>
        </w:rPr>
        <w:fldChar w:fldCharType="end"/>
      </w:r>
      <w:r w:rsidR="001A15D8" w:rsidRPr="003D1E07">
        <w:rPr>
          <w:rStyle w:val="Zkladntext158dkovn0pt"/>
          <w:color w:val="auto"/>
          <w:spacing w:val="0"/>
          <w:sz w:val="24"/>
          <w:lang w:val="cs-CZ"/>
        </w:rPr>
        <w:t xml:space="preserve">. </w:t>
      </w:r>
      <w:r w:rsidR="00CF41FC" w:rsidRPr="003D1E07">
        <w:rPr>
          <w:rStyle w:val="Zkladntext158dkovn0pt"/>
          <w:color w:val="auto"/>
          <w:spacing w:val="0"/>
          <w:sz w:val="24"/>
          <w:lang w:val="cs-CZ"/>
        </w:rPr>
        <w:t xml:space="preserve">Tím je založen druhý akt intencionality dané </w:t>
      </w:r>
      <w:r w:rsidR="008549D9">
        <w:rPr>
          <w:rStyle w:val="Zkladntext158dkovn0pt"/>
          <w:color w:val="auto"/>
          <w:spacing w:val="0"/>
          <w:sz w:val="24"/>
          <w:lang w:val="cs-CZ"/>
        </w:rPr>
        <w:t xml:space="preserve">zaměřením </w:t>
      </w:r>
      <w:r w:rsidR="00CF41FC" w:rsidRPr="003D1E07">
        <w:rPr>
          <w:rStyle w:val="Zkladntext158dkovn0pt"/>
          <w:color w:val="auto"/>
          <w:spacing w:val="0"/>
          <w:sz w:val="24"/>
          <w:lang w:val="cs-CZ"/>
        </w:rPr>
        <w:t xml:space="preserve">intelektu </w:t>
      </w:r>
      <w:r w:rsidR="008549D9">
        <w:rPr>
          <w:rStyle w:val="Zkladntext158dkovn0pt"/>
          <w:color w:val="auto"/>
          <w:spacing w:val="0"/>
          <w:sz w:val="24"/>
          <w:lang w:val="cs-CZ"/>
        </w:rPr>
        <w:t xml:space="preserve">na </w:t>
      </w:r>
      <w:r w:rsidR="00CF41FC" w:rsidRPr="003D1E07">
        <w:rPr>
          <w:rStyle w:val="Zkladntext158dkovn0pt"/>
          <w:color w:val="auto"/>
          <w:spacing w:val="0"/>
          <w:sz w:val="24"/>
          <w:lang w:val="cs-CZ"/>
        </w:rPr>
        <w:t>již syntetizov</w:t>
      </w:r>
      <w:r w:rsidR="0800067F" w:rsidRPr="003D1E07">
        <w:rPr>
          <w:rStyle w:val="Zkladntext158dkovn0pt"/>
          <w:color w:val="auto"/>
          <w:spacing w:val="0"/>
          <w:sz w:val="24"/>
          <w:lang w:val="cs-CZ"/>
        </w:rPr>
        <w:t>a</w:t>
      </w:r>
      <w:r w:rsidR="08236A27" w:rsidRPr="003D1E07">
        <w:rPr>
          <w:rStyle w:val="Zkladntext158dkovn0pt"/>
          <w:color w:val="auto"/>
          <w:spacing w:val="0"/>
          <w:sz w:val="24"/>
          <w:lang w:val="cs-CZ"/>
        </w:rPr>
        <w:t>n</w:t>
      </w:r>
      <w:r w:rsidR="008549D9">
        <w:rPr>
          <w:rStyle w:val="Zkladntext158dkovn0pt"/>
          <w:color w:val="auto"/>
          <w:spacing w:val="0"/>
          <w:sz w:val="24"/>
          <w:lang w:val="cs-CZ"/>
        </w:rPr>
        <w:t>é smyslové</w:t>
      </w:r>
      <w:r w:rsidR="0800067F" w:rsidRPr="003D1E07">
        <w:rPr>
          <w:rStyle w:val="Zkladntext158dkovn0pt"/>
          <w:color w:val="auto"/>
          <w:spacing w:val="0"/>
          <w:sz w:val="24"/>
          <w:lang w:val="cs-CZ"/>
        </w:rPr>
        <w:t xml:space="preserve"> form</w:t>
      </w:r>
      <w:r w:rsidR="008549D9">
        <w:rPr>
          <w:rStyle w:val="Zkladntext158dkovn0pt"/>
          <w:color w:val="auto"/>
          <w:spacing w:val="0"/>
          <w:sz w:val="24"/>
          <w:lang w:val="cs-CZ"/>
        </w:rPr>
        <w:t>y</w:t>
      </w:r>
      <w:r w:rsidR="0800067F" w:rsidRPr="003D1E07">
        <w:rPr>
          <w:rStyle w:val="Zkladntext158dkovn0pt"/>
          <w:color w:val="auto"/>
          <w:spacing w:val="0"/>
          <w:sz w:val="24"/>
          <w:lang w:val="cs-CZ"/>
        </w:rPr>
        <w:t>. T</w:t>
      </w:r>
      <w:r w:rsidR="00190B7A" w:rsidRPr="003D1E07">
        <w:rPr>
          <w:rStyle w:val="Zkladntext158dkovn0pt"/>
          <w:color w:val="auto"/>
          <w:spacing w:val="0"/>
          <w:sz w:val="24"/>
          <w:lang w:val="cs-CZ"/>
        </w:rPr>
        <w:t xml:space="preserve">ato </w:t>
      </w:r>
      <w:r w:rsidR="00F214C5" w:rsidRPr="003D1E07">
        <w:rPr>
          <w:rStyle w:val="Zkladntext158dkovn0pt"/>
          <w:i/>
          <w:color w:val="auto"/>
          <w:spacing w:val="0"/>
          <w:sz w:val="24"/>
          <w:lang w:val="cs-CZ"/>
        </w:rPr>
        <w:t>species</w:t>
      </w:r>
      <w:r w:rsidR="00190B7A" w:rsidRPr="003D1E07">
        <w:rPr>
          <w:rStyle w:val="Zkladntext158dkovn0pt"/>
          <w:color w:val="auto"/>
          <w:spacing w:val="0"/>
          <w:sz w:val="24"/>
          <w:lang w:val="cs-CZ"/>
        </w:rPr>
        <w:t xml:space="preserve"> </w:t>
      </w:r>
      <w:r w:rsidR="0800067F" w:rsidRPr="003D1E07">
        <w:rPr>
          <w:rStyle w:val="Zkladntext158dkovn0pt"/>
          <w:i/>
          <w:color w:val="auto"/>
          <w:spacing w:val="0"/>
          <w:sz w:val="24"/>
          <w:lang w:val="cs-CZ"/>
        </w:rPr>
        <w:t>sensibilis</w:t>
      </w:r>
      <w:r w:rsidR="001A4A7D" w:rsidRPr="003D1E07">
        <w:rPr>
          <w:rStyle w:val="Zkladntext158dkovn0pt"/>
          <w:color w:val="auto"/>
          <w:spacing w:val="0"/>
          <w:sz w:val="24"/>
          <w:lang w:val="cs-CZ"/>
        </w:rPr>
        <w:t xml:space="preserve"> jsou již poznávací </w:t>
      </w:r>
      <w:r w:rsidR="00CF41FC" w:rsidRPr="003D1E07">
        <w:rPr>
          <w:rStyle w:val="Zkladntext158dkovn0pt"/>
          <w:color w:val="auto"/>
          <w:spacing w:val="0"/>
          <w:sz w:val="24"/>
          <w:lang w:val="cs-CZ"/>
        </w:rPr>
        <w:t xml:space="preserve">formy, </w:t>
      </w:r>
      <w:r w:rsidR="0800067F" w:rsidRPr="003D1E07">
        <w:rPr>
          <w:rStyle w:val="Zkladntext158dkovn0pt"/>
          <w:color w:val="auto"/>
          <w:spacing w:val="0"/>
          <w:sz w:val="24"/>
          <w:lang w:val="cs-CZ"/>
        </w:rPr>
        <w:t xml:space="preserve">proto </w:t>
      </w:r>
      <w:r w:rsidR="00CF41FC" w:rsidRPr="003D1E07">
        <w:rPr>
          <w:rStyle w:val="Zkladntext158dkovn0pt"/>
          <w:color w:val="auto"/>
          <w:spacing w:val="0"/>
          <w:sz w:val="24"/>
          <w:lang w:val="cs-CZ"/>
        </w:rPr>
        <w:t>mají vlastní aktualitu na úrovni smyslové představy</w:t>
      </w:r>
      <w:r w:rsidR="00350CDA" w:rsidRPr="003D1E07">
        <w:rPr>
          <w:rStyle w:val="Zkladntext158dkovn0pt"/>
          <w:color w:val="auto"/>
          <w:spacing w:val="0"/>
          <w:sz w:val="24"/>
          <w:lang w:val="cs-CZ"/>
        </w:rPr>
        <w:t xml:space="preserve">. </w:t>
      </w:r>
      <w:r w:rsidR="08835BB7" w:rsidRPr="003D1E07">
        <w:rPr>
          <w:rStyle w:val="Zkladntext158dkovn0pt"/>
          <w:color w:val="auto"/>
          <w:spacing w:val="0"/>
          <w:sz w:val="24"/>
          <w:lang w:val="cs-CZ"/>
        </w:rPr>
        <w:t>O</w:t>
      </w:r>
      <w:r w:rsidR="00EF77D1" w:rsidRPr="003D1E07">
        <w:rPr>
          <w:rStyle w:val="Zkladntext158dkovn0pt"/>
          <w:color w:val="auto"/>
          <w:spacing w:val="0"/>
          <w:sz w:val="24"/>
          <w:lang w:val="cs-CZ"/>
        </w:rPr>
        <w:t xml:space="preserve">vce </w:t>
      </w:r>
      <w:r w:rsidR="00350CDA" w:rsidRPr="003D1E07">
        <w:rPr>
          <w:rStyle w:val="Zkladntext158dkovn0pt"/>
          <w:color w:val="auto"/>
          <w:spacing w:val="0"/>
          <w:sz w:val="24"/>
          <w:lang w:val="cs-CZ"/>
        </w:rPr>
        <w:t>díky smyslové intencionalitě „něco</w:t>
      </w:r>
      <w:r w:rsidR="08F06649" w:rsidRPr="003D1E07">
        <w:rPr>
          <w:rStyle w:val="Zkladntext158dkovn0pt"/>
          <w:color w:val="auto"/>
          <w:spacing w:val="0"/>
          <w:sz w:val="24"/>
          <w:lang w:val="cs-CZ"/>
        </w:rPr>
        <w:t>“ neomylně  vidí smysly</w:t>
      </w:r>
      <w:r w:rsidR="008361E2" w:rsidRPr="003D1E07">
        <w:rPr>
          <w:rStyle w:val="Zkladntext158dkovn0pt"/>
          <w:color w:val="auto"/>
          <w:spacing w:val="0"/>
          <w:sz w:val="24"/>
          <w:lang w:val="cs-CZ"/>
        </w:rPr>
        <w:t>. D</w:t>
      </w:r>
      <w:r w:rsidR="00350CDA" w:rsidRPr="003D1E07">
        <w:rPr>
          <w:rStyle w:val="Zkladntext158dkovn0pt"/>
          <w:color w:val="auto"/>
          <w:spacing w:val="0"/>
          <w:sz w:val="24"/>
          <w:lang w:val="cs-CZ"/>
        </w:rPr>
        <w:t xml:space="preserve">íky </w:t>
      </w:r>
      <w:r w:rsidR="08F06649" w:rsidRPr="003D1E07">
        <w:rPr>
          <w:rStyle w:val="Zkladntext158dkovn0pt"/>
          <w:color w:val="auto"/>
          <w:spacing w:val="0"/>
          <w:sz w:val="24"/>
          <w:lang w:val="cs-CZ"/>
        </w:rPr>
        <w:t xml:space="preserve">intencionální recepci vjemů a jejich následné smyslové </w:t>
      </w:r>
      <w:r w:rsidR="00350CDA" w:rsidRPr="003D1E07">
        <w:rPr>
          <w:rStyle w:val="Zkladntext158dkovn0pt"/>
          <w:color w:val="auto"/>
          <w:spacing w:val="0"/>
          <w:sz w:val="24"/>
          <w:lang w:val="cs-CZ"/>
        </w:rPr>
        <w:t xml:space="preserve">syntéze </w:t>
      </w:r>
      <w:r w:rsidR="08F06649" w:rsidRPr="003D1E07">
        <w:rPr>
          <w:rStyle w:val="Zkladntext158dkovn0pt"/>
          <w:color w:val="auto"/>
          <w:spacing w:val="0"/>
          <w:sz w:val="24"/>
          <w:lang w:val="cs-CZ"/>
        </w:rPr>
        <w:t xml:space="preserve">buď </w:t>
      </w:r>
      <w:r w:rsidR="00350CDA" w:rsidRPr="003D1E07">
        <w:rPr>
          <w:rStyle w:val="Zkladntext158dkovn0pt"/>
          <w:color w:val="auto"/>
          <w:spacing w:val="0"/>
          <w:sz w:val="24"/>
          <w:lang w:val="cs-CZ"/>
        </w:rPr>
        <w:t>pozná</w:t>
      </w:r>
      <w:r w:rsidR="08F06649" w:rsidRPr="003D1E07">
        <w:rPr>
          <w:rStyle w:val="Zkladntext158dkovn0pt"/>
          <w:color w:val="auto"/>
          <w:spacing w:val="0"/>
          <w:sz w:val="24"/>
          <w:lang w:val="cs-CZ"/>
        </w:rPr>
        <w:t xml:space="preserve"> nebo nepozná</w:t>
      </w:r>
      <w:r w:rsidR="00350CDA" w:rsidRPr="003D1E07">
        <w:rPr>
          <w:rStyle w:val="Zkladntext158dkovn0pt"/>
          <w:color w:val="auto"/>
          <w:spacing w:val="0"/>
          <w:sz w:val="24"/>
          <w:lang w:val="cs-CZ"/>
        </w:rPr>
        <w:t xml:space="preserve">, že </w:t>
      </w:r>
      <w:r w:rsidR="00F707DE" w:rsidRPr="003D1E07">
        <w:rPr>
          <w:rStyle w:val="Zkladntext158dkovn0pt"/>
          <w:color w:val="auto"/>
          <w:spacing w:val="0"/>
          <w:sz w:val="24"/>
          <w:lang w:val="cs-CZ"/>
        </w:rPr>
        <w:t xml:space="preserve">to „něco“ </w:t>
      </w:r>
      <w:r w:rsidR="00350CDA" w:rsidRPr="003D1E07">
        <w:rPr>
          <w:rStyle w:val="Zkladntext158dkovn0pt"/>
          <w:color w:val="auto"/>
          <w:spacing w:val="0"/>
          <w:sz w:val="24"/>
          <w:lang w:val="cs-CZ"/>
        </w:rPr>
        <w:t>je „vlk</w:t>
      </w:r>
      <w:r w:rsidR="00EF77D1" w:rsidRPr="003D1E07">
        <w:rPr>
          <w:rStyle w:val="Zkladntext158dkovn0pt"/>
          <w:color w:val="auto"/>
          <w:spacing w:val="0"/>
          <w:sz w:val="24"/>
          <w:lang w:val="cs-CZ"/>
        </w:rPr>
        <w:t>“</w:t>
      </w:r>
      <w:r w:rsidR="00CF41FC" w:rsidRPr="003D1E07">
        <w:rPr>
          <w:rStyle w:val="Zkladntext158dkovn0pt"/>
          <w:color w:val="auto"/>
          <w:spacing w:val="0"/>
          <w:sz w:val="24"/>
          <w:lang w:val="cs-CZ"/>
        </w:rPr>
        <w:t xml:space="preserve">. </w:t>
      </w:r>
      <w:r w:rsidR="00F36234" w:rsidRPr="003D1E07">
        <w:rPr>
          <w:rStyle w:val="Zkladntext158dkovn0pt"/>
          <w:color w:val="auto"/>
          <w:spacing w:val="0"/>
          <w:sz w:val="24"/>
          <w:lang w:val="cs-CZ"/>
        </w:rPr>
        <w:t xml:space="preserve">Člověk má další patro intencionality a </w:t>
      </w:r>
      <w:r w:rsidR="00190B7A" w:rsidRPr="003D1E07">
        <w:rPr>
          <w:rStyle w:val="Zkladntext158dkovn0pt"/>
          <w:color w:val="auto"/>
          <w:spacing w:val="0"/>
          <w:sz w:val="24"/>
          <w:lang w:val="cs-CZ"/>
        </w:rPr>
        <w:t xml:space="preserve">další </w:t>
      </w:r>
      <w:r w:rsidR="00F36234" w:rsidRPr="003D1E07">
        <w:rPr>
          <w:rStyle w:val="Zkladntext158dkovn0pt"/>
          <w:color w:val="auto"/>
          <w:spacing w:val="0"/>
          <w:sz w:val="24"/>
          <w:lang w:val="cs-CZ"/>
        </w:rPr>
        <w:t>diafanum navíc</w:t>
      </w:r>
      <w:r w:rsidR="00A96D1D" w:rsidRPr="003D1E07">
        <w:rPr>
          <w:rStyle w:val="Zkladntext158dkovn0pt"/>
          <w:color w:val="auto"/>
          <w:spacing w:val="0"/>
          <w:sz w:val="24"/>
          <w:lang w:val="cs-CZ"/>
        </w:rPr>
        <w:t>, dané inteligibilně</w:t>
      </w:r>
      <w:r w:rsidR="00F36234" w:rsidRPr="003D1E07">
        <w:rPr>
          <w:rStyle w:val="Zkladntext158dkovn0pt"/>
          <w:color w:val="auto"/>
          <w:spacing w:val="0"/>
          <w:sz w:val="24"/>
          <w:lang w:val="cs-CZ"/>
        </w:rPr>
        <w:t xml:space="preserve">. </w:t>
      </w:r>
      <w:r w:rsidR="088A0402" w:rsidRPr="003D1E07">
        <w:rPr>
          <w:rStyle w:val="Zkladntext158dkovn0pt"/>
          <w:color w:val="auto"/>
          <w:spacing w:val="0"/>
          <w:sz w:val="24"/>
          <w:lang w:val="cs-CZ"/>
        </w:rPr>
        <w:t>T</w:t>
      </w:r>
      <w:r w:rsidR="00EF77D1" w:rsidRPr="003D1E07">
        <w:rPr>
          <w:rStyle w:val="Zkladntext158dkovn0pt"/>
          <w:color w:val="auto"/>
          <w:spacing w:val="0"/>
          <w:sz w:val="24"/>
          <w:lang w:val="cs-CZ"/>
        </w:rPr>
        <w:t xml:space="preserve">yto formy jsou na rozdíl od smyslových poznaných forem už </w:t>
      </w:r>
      <w:r w:rsidR="088A0402" w:rsidRPr="003D1E07">
        <w:rPr>
          <w:rStyle w:val="Zkladntext158dkovn0pt"/>
          <w:color w:val="auto"/>
          <w:spacing w:val="0"/>
          <w:sz w:val="24"/>
          <w:lang w:val="cs-CZ"/>
        </w:rPr>
        <w:t xml:space="preserve">zcela </w:t>
      </w:r>
      <w:r w:rsidR="00EF77D1" w:rsidRPr="003D1E07">
        <w:rPr>
          <w:rStyle w:val="Zkladntext158dkovn0pt"/>
          <w:color w:val="auto"/>
          <w:spacing w:val="0"/>
          <w:sz w:val="24"/>
          <w:lang w:val="cs-CZ"/>
        </w:rPr>
        <w:t>nemateriální</w:t>
      </w:r>
      <w:r w:rsidR="088A0402" w:rsidRPr="003D1E07">
        <w:rPr>
          <w:rStyle w:val="Zkladntext158dkovn0pt"/>
          <w:color w:val="auto"/>
          <w:spacing w:val="0"/>
          <w:sz w:val="24"/>
          <w:lang w:val="cs-CZ"/>
        </w:rPr>
        <w:t xml:space="preserve"> a unive</w:t>
      </w:r>
      <w:r w:rsidR="08B55F58" w:rsidRPr="003D1E07">
        <w:rPr>
          <w:rStyle w:val="Zkladntext158dkovn0pt"/>
          <w:color w:val="auto"/>
          <w:spacing w:val="0"/>
          <w:sz w:val="24"/>
          <w:lang w:val="cs-CZ"/>
        </w:rPr>
        <w:t>r</w:t>
      </w:r>
      <w:r w:rsidR="088A0402" w:rsidRPr="003D1E07">
        <w:rPr>
          <w:rStyle w:val="Zkladntext158dkovn0pt"/>
          <w:color w:val="auto"/>
          <w:spacing w:val="0"/>
          <w:sz w:val="24"/>
          <w:lang w:val="cs-CZ"/>
        </w:rPr>
        <w:t>zální</w:t>
      </w:r>
      <w:r w:rsidR="08C54C15" w:rsidRPr="003D1E07">
        <w:rPr>
          <w:rStyle w:val="Zkladntext158dkovn0pt"/>
          <w:color w:val="auto"/>
          <w:spacing w:val="0"/>
          <w:sz w:val="24"/>
          <w:lang w:val="cs-CZ"/>
        </w:rPr>
        <w:t xml:space="preserve"> a jsou vyjádřeny jazykovým pojmem</w:t>
      </w:r>
      <w:r w:rsidR="088A0402" w:rsidRPr="003D1E07">
        <w:rPr>
          <w:rStyle w:val="Zkladntext158dkovn0pt"/>
          <w:color w:val="auto"/>
          <w:spacing w:val="0"/>
          <w:sz w:val="24"/>
          <w:lang w:val="cs-CZ"/>
        </w:rPr>
        <w:t>. A</w:t>
      </w:r>
      <w:r w:rsidR="00EF77D1" w:rsidRPr="003D1E07">
        <w:rPr>
          <w:rStyle w:val="Zkladntext158dkovn0pt"/>
          <w:color w:val="auto"/>
          <w:spacing w:val="0"/>
          <w:sz w:val="24"/>
          <w:lang w:val="cs-CZ"/>
        </w:rPr>
        <w:t xml:space="preserve">ktivní složka duše </w:t>
      </w:r>
      <w:r w:rsidR="088A0402" w:rsidRPr="003D1E07">
        <w:rPr>
          <w:rStyle w:val="Zkladntext158dkovn0pt"/>
          <w:color w:val="auto"/>
          <w:spacing w:val="0"/>
          <w:sz w:val="24"/>
          <w:lang w:val="cs-CZ"/>
        </w:rPr>
        <w:t>je nasvítí</w:t>
      </w:r>
      <w:r w:rsidR="00EF77D1" w:rsidRPr="003D1E07">
        <w:rPr>
          <w:rStyle w:val="Zkladntext158dkovn0pt"/>
          <w:color w:val="auto"/>
          <w:spacing w:val="0"/>
          <w:sz w:val="24"/>
          <w:lang w:val="cs-CZ"/>
        </w:rPr>
        <w:t xml:space="preserve"> ve stejném modu nemateriality</w:t>
      </w:r>
      <w:r w:rsidR="00AE506D" w:rsidRPr="003D1E07">
        <w:rPr>
          <w:rStyle w:val="Zkladntext158dkovn0pt"/>
          <w:color w:val="auto"/>
          <w:spacing w:val="0"/>
          <w:sz w:val="24"/>
          <w:lang w:val="cs-CZ"/>
        </w:rPr>
        <w:t xml:space="preserve"> jako </w:t>
      </w:r>
      <w:r w:rsidR="00AE506D" w:rsidRPr="003D1E07">
        <w:rPr>
          <w:rStyle w:val="Zkladntext158dkovn0pt"/>
          <w:i/>
          <w:color w:val="auto"/>
          <w:spacing w:val="0"/>
          <w:sz w:val="24"/>
          <w:lang w:val="cs-CZ"/>
        </w:rPr>
        <w:t>intellectus possibilis</w:t>
      </w:r>
      <w:r w:rsidR="08D42EEA" w:rsidRPr="003D1E07">
        <w:rPr>
          <w:rStyle w:val="Zkladntext158dkovn0pt"/>
          <w:color w:val="auto"/>
          <w:spacing w:val="0"/>
          <w:sz w:val="24"/>
          <w:lang w:val="cs-CZ"/>
        </w:rPr>
        <w:t xml:space="preserve"> </w:t>
      </w:r>
      <w:r w:rsidR="00EF77D1" w:rsidRPr="003D1E07">
        <w:rPr>
          <w:rStyle w:val="Zkladntext158dkovn0pt"/>
          <w:color w:val="auto"/>
          <w:spacing w:val="0"/>
          <w:sz w:val="24"/>
          <w:lang w:val="cs-CZ"/>
        </w:rPr>
        <w:t>a tím je učiní srozumitelnými</w:t>
      </w:r>
      <w:r w:rsidR="08C7011A" w:rsidRPr="003D1E07">
        <w:rPr>
          <w:rStyle w:val="Zkladntext158dkovn0pt"/>
          <w:color w:val="auto"/>
          <w:spacing w:val="0"/>
          <w:sz w:val="24"/>
          <w:lang w:val="cs-CZ"/>
        </w:rPr>
        <w:t xml:space="preserve"> ve výsledné formě spekulativního intelektu</w:t>
      </w:r>
      <w:r w:rsidR="00EF77D1" w:rsidRPr="003D1E07">
        <w:rPr>
          <w:rStyle w:val="Zkladntext158dkovn0pt"/>
          <w:color w:val="auto"/>
          <w:spacing w:val="0"/>
          <w:sz w:val="24"/>
          <w:lang w:val="cs-CZ"/>
        </w:rPr>
        <w:t xml:space="preserve">. </w:t>
      </w:r>
      <w:r w:rsidR="00E04067" w:rsidRPr="003D1E07">
        <w:rPr>
          <w:rStyle w:val="Zkladntext158dkovn0pt"/>
          <w:color w:val="auto"/>
          <w:spacing w:val="0"/>
          <w:sz w:val="24"/>
          <w:lang w:val="cs-CZ"/>
        </w:rPr>
        <w:t>Díky</w:t>
      </w:r>
      <w:r w:rsidR="001A15D8" w:rsidRPr="003D1E07">
        <w:rPr>
          <w:rStyle w:val="Zkladntext158dkovn0pt"/>
          <w:color w:val="auto"/>
          <w:spacing w:val="0"/>
          <w:sz w:val="24"/>
          <w:lang w:val="cs-CZ"/>
        </w:rPr>
        <w:t xml:space="preserve"> </w:t>
      </w:r>
      <w:r w:rsidR="00A33768">
        <w:rPr>
          <w:rStyle w:val="Zkladntext158dkovn0pt"/>
          <w:color w:val="auto"/>
          <w:spacing w:val="0"/>
          <w:sz w:val="24"/>
          <w:lang w:val="cs-CZ"/>
        </w:rPr>
        <w:t>této druhé formě nemateriality</w:t>
      </w:r>
      <w:r w:rsidR="001A15D8" w:rsidRPr="003D1E07">
        <w:rPr>
          <w:rStyle w:val="Zkladntext158dkovn0pt"/>
          <w:color w:val="auto"/>
          <w:spacing w:val="0"/>
          <w:sz w:val="24"/>
          <w:lang w:val="cs-CZ"/>
        </w:rPr>
        <w:t xml:space="preserve"> je diafanum </w:t>
      </w:r>
      <w:r w:rsidR="00F1364E" w:rsidRPr="003D1E07">
        <w:rPr>
          <w:rStyle w:val="Zkladntext158dkovn0pt"/>
          <w:color w:val="auto"/>
          <w:spacing w:val="0"/>
          <w:sz w:val="24"/>
          <w:lang w:val="cs-CZ"/>
        </w:rPr>
        <w:t xml:space="preserve">v modu </w:t>
      </w:r>
      <w:r w:rsidR="00EF77D1" w:rsidRPr="003D1E07">
        <w:rPr>
          <w:rStyle w:val="Zkladntext158dkovn0pt"/>
          <w:i/>
          <w:color w:val="auto"/>
          <w:spacing w:val="0"/>
          <w:sz w:val="24"/>
          <w:lang w:val="cs-CZ"/>
        </w:rPr>
        <w:t>intellectus possibilis</w:t>
      </w:r>
      <w:r w:rsidR="00EF77D1" w:rsidRPr="003D1E07">
        <w:rPr>
          <w:rStyle w:val="Zkladntext158dkovn0pt"/>
          <w:color w:val="auto"/>
          <w:spacing w:val="0"/>
          <w:sz w:val="24"/>
          <w:lang w:val="cs-CZ"/>
        </w:rPr>
        <w:t xml:space="preserve"> </w:t>
      </w:r>
      <w:r w:rsidR="00E63F17" w:rsidRPr="003D1E07">
        <w:rPr>
          <w:rStyle w:val="Zkladntext158dkovn0pt"/>
          <w:color w:val="auto"/>
          <w:spacing w:val="0"/>
          <w:sz w:val="24"/>
          <w:lang w:val="cs-CZ"/>
        </w:rPr>
        <w:t>odlišné od smyslového vn</w:t>
      </w:r>
      <w:r w:rsidR="005D113B" w:rsidRPr="003D1E07">
        <w:rPr>
          <w:rStyle w:val="Zkladntext158dkovn0pt"/>
          <w:color w:val="auto"/>
          <w:spacing w:val="0"/>
          <w:sz w:val="24"/>
          <w:lang w:val="cs-CZ"/>
        </w:rPr>
        <w:t xml:space="preserve">ímání. Tyto potenciálně dané nemateriální formy </w:t>
      </w:r>
      <w:r w:rsidR="00E04067" w:rsidRPr="003D1E07">
        <w:rPr>
          <w:rStyle w:val="Zkladntext158dkovn0pt"/>
          <w:color w:val="auto"/>
          <w:spacing w:val="0"/>
          <w:sz w:val="24"/>
          <w:lang w:val="cs-CZ"/>
        </w:rPr>
        <w:t xml:space="preserve">intendované skrze </w:t>
      </w:r>
      <w:r w:rsidR="00EF77D1" w:rsidRPr="003D1E07">
        <w:rPr>
          <w:rStyle w:val="Zkladntext158dkovn0pt"/>
          <w:color w:val="auto"/>
          <w:spacing w:val="0"/>
          <w:sz w:val="24"/>
          <w:lang w:val="cs-CZ"/>
        </w:rPr>
        <w:t xml:space="preserve">novou formu diafanum </w:t>
      </w:r>
      <w:r w:rsidR="005D113B" w:rsidRPr="003D1E07">
        <w:rPr>
          <w:rStyle w:val="Zkladntext158dkovn0pt"/>
          <w:color w:val="auto"/>
          <w:spacing w:val="0"/>
          <w:sz w:val="24"/>
          <w:lang w:val="cs-CZ"/>
        </w:rPr>
        <w:t xml:space="preserve">aktivně abstrahuje </w:t>
      </w:r>
      <w:r w:rsidR="00E63F17" w:rsidRPr="003D1E07">
        <w:rPr>
          <w:rStyle w:val="Zkladntext158dkovn0pt"/>
          <w:i/>
          <w:color w:val="auto"/>
          <w:spacing w:val="0"/>
          <w:sz w:val="24"/>
          <w:lang w:val="cs-CZ"/>
        </w:rPr>
        <w:t>intellectus agens</w:t>
      </w:r>
      <w:r w:rsidR="00A7748A" w:rsidRPr="003D1E07">
        <w:rPr>
          <w:rStyle w:val="Zkladntext158dkovn0pt"/>
          <w:i/>
          <w:color w:val="auto"/>
          <w:spacing w:val="0"/>
          <w:sz w:val="24"/>
          <w:lang w:val="cs-CZ"/>
        </w:rPr>
        <w:t xml:space="preserve"> </w:t>
      </w:r>
      <w:r w:rsidR="00A7748A" w:rsidRPr="003D1E07">
        <w:rPr>
          <w:rStyle w:val="Zkladntext158dkovn0pt"/>
          <w:color w:val="auto"/>
          <w:spacing w:val="0"/>
          <w:sz w:val="24"/>
          <w:lang w:val="cs-CZ"/>
        </w:rPr>
        <w:t>jako další schopnost lidské duše</w:t>
      </w:r>
      <w:r w:rsidR="00EF77D1" w:rsidRPr="003D1E07">
        <w:rPr>
          <w:rStyle w:val="Zkladntext158dkovn0pt"/>
          <w:color w:val="auto"/>
          <w:spacing w:val="0"/>
          <w:sz w:val="24"/>
          <w:lang w:val="cs-CZ"/>
        </w:rPr>
        <w:t>. Pro</w:t>
      </w:r>
      <w:r w:rsidR="0002729F" w:rsidRPr="003D1E07">
        <w:rPr>
          <w:rStyle w:val="Zkladntext158dkovn0pt"/>
          <w:color w:val="auto"/>
          <w:spacing w:val="0"/>
          <w:sz w:val="24"/>
          <w:lang w:val="cs-CZ"/>
        </w:rPr>
        <w:t>to</w:t>
      </w:r>
      <w:r w:rsidR="00543356" w:rsidRPr="003D1E07">
        <w:rPr>
          <w:rStyle w:val="Zkladntext158dkovn0pt"/>
          <w:color w:val="auto"/>
          <w:spacing w:val="0"/>
          <w:sz w:val="24"/>
          <w:lang w:val="cs-CZ"/>
        </w:rPr>
        <w:t xml:space="preserve"> na rozdíl od ovce může člověk</w:t>
      </w:r>
      <w:r w:rsidR="00EF77D1" w:rsidRPr="003D1E07">
        <w:rPr>
          <w:rStyle w:val="Zkladntext158dkovn0pt"/>
          <w:color w:val="auto"/>
          <w:spacing w:val="0"/>
          <w:sz w:val="24"/>
          <w:lang w:val="cs-CZ"/>
        </w:rPr>
        <w:t xml:space="preserve"> říci</w:t>
      </w:r>
      <w:r w:rsidR="0002729F" w:rsidRPr="003D1E07">
        <w:rPr>
          <w:rStyle w:val="Zkladntext158dkovn0pt"/>
          <w:color w:val="auto"/>
          <w:spacing w:val="0"/>
          <w:sz w:val="24"/>
          <w:lang w:val="cs-CZ"/>
        </w:rPr>
        <w:t xml:space="preserve"> v modu univerzálního poznání</w:t>
      </w:r>
      <w:r w:rsidR="00EF77D1" w:rsidRPr="003D1E07">
        <w:rPr>
          <w:rStyle w:val="Zkladntext158dkovn0pt"/>
          <w:color w:val="auto"/>
          <w:spacing w:val="0"/>
          <w:sz w:val="24"/>
          <w:lang w:val="cs-CZ"/>
        </w:rPr>
        <w:t>: „Je to vlk“</w:t>
      </w:r>
      <w:r w:rsidR="00E63F17" w:rsidRPr="003D1E07">
        <w:rPr>
          <w:rStyle w:val="Zkladntext158dkovn0pt"/>
          <w:color w:val="auto"/>
          <w:spacing w:val="0"/>
          <w:sz w:val="24"/>
          <w:lang w:val="cs-CZ"/>
        </w:rPr>
        <w:t xml:space="preserve">. </w:t>
      </w:r>
      <w:r w:rsidR="00096358" w:rsidRPr="003D1E07">
        <w:rPr>
          <w:rStyle w:val="Zkladntext158dkovn0pt"/>
          <w:color w:val="auto"/>
          <w:spacing w:val="0"/>
          <w:sz w:val="24"/>
          <w:lang w:val="cs-CZ"/>
        </w:rPr>
        <w:t xml:space="preserve">Díky </w:t>
      </w:r>
      <w:r w:rsidR="001F47F9">
        <w:rPr>
          <w:rStyle w:val="Zkladntext158dkovn0pt"/>
          <w:color w:val="auto"/>
          <w:spacing w:val="0"/>
          <w:sz w:val="24"/>
          <w:lang w:val="cs-CZ"/>
        </w:rPr>
        <w:t>přenosu aktuálního vjemu vzniká</w:t>
      </w:r>
      <w:r w:rsidR="00096358" w:rsidRPr="003D1E07">
        <w:rPr>
          <w:rStyle w:val="Zkladntext158dkovn0pt"/>
          <w:color w:val="auto"/>
          <w:spacing w:val="0"/>
          <w:sz w:val="24"/>
          <w:lang w:val="cs-CZ"/>
        </w:rPr>
        <w:t xml:space="preserve"> poznání </w:t>
      </w:r>
      <w:r w:rsidR="001F47F9">
        <w:rPr>
          <w:rStyle w:val="Zkladntext158dkovn0pt"/>
          <w:color w:val="auto"/>
          <w:spacing w:val="0"/>
          <w:sz w:val="24"/>
          <w:lang w:val="cs-CZ"/>
        </w:rPr>
        <w:t>jako formálně-potenciální</w:t>
      </w:r>
      <w:r w:rsidR="00096358" w:rsidRPr="003D1E07">
        <w:rPr>
          <w:rStyle w:val="Zkladntext158dkovn0pt"/>
          <w:color w:val="auto"/>
          <w:spacing w:val="0"/>
          <w:sz w:val="24"/>
          <w:lang w:val="cs-CZ"/>
        </w:rPr>
        <w:t xml:space="preserve"> </w:t>
      </w:r>
      <w:r w:rsidR="00096358" w:rsidRPr="003D1E07">
        <w:rPr>
          <w:rStyle w:val="Zkladntext158dkovn0pt"/>
          <w:i/>
          <w:color w:val="auto"/>
          <w:spacing w:val="0"/>
          <w:sz w:val="24"/>
          <w:lang w:val="cs-CZ"/>
        </w:rPr>
        <w:t>proportio</w:t>
      </w:r>
      <w:r w:rsidR="00096358" w:rsidRPr="003D1E07">
        <w:rPr>
          <w:rStyle w:val="Zkladntext158dkovn0pt"/>
          <w:color w:val="auto"/>
          <w:spacing w:val="0"/>
          <w:sz w:val="24"/>
          <w:lang w:val="cs-CZ"/>
        </w:rPr>
        <w:t xml:space="preserve"> a </w:t>
      </w:r>
      <w:r w:rsidR="00096358" w:rsidRPr="003D1E07">
        <w:rPr>
          <w:rStyle w:val="Zkladntext158dkovn0pt"/>
          <w:i/>
          <w:color w:val="auto"/>
          <w:spacing w:val="0"/>
          <w:sz w:val="24"/>
          <w:lang w:val="cs-CZ"/>
        </w:rPr>
        <w:t>similitudo</w:t>
      </w:r>
      <w:r w:rsidR="001F47F9">
        <w:rPr>
          <w:rStyle w:val="Zkladntext158dkovn0pt"/>
          <w:color w:val="auto"/>
          <w:spacing w:val="0"/>
          <w:sz w:val="24"/>
          <w:lang w:val="cs-CZ"/>
        </w:rPr>
        <w:t xml:space="preserve">, a to na základě dvojího aktu </w:t>
      </w:r>
      <w:r w:rsidR="00096358" w:rsidRPr="003D1E07">
        <w:rPr>
          <w:rStyle w:val="Zkladntext158dkovn0pt"/>
          <w:color w:val="auto"/>
          <w:spacing w:val="0"/>
          <w:sz w:val="24"/>
          <w:lang w:val="cs-CZ"/>
        </w:rPr>
        <w:t xml:space="preserve">intencionality. </w:t>
      </w:r>
      <w:r w:rsidR="00FB12AB" w:rsidRPr="003D1E07">
        <w:rPr>
          <w:rStyle w:val="Zkladntext158dkovn0pt"/>
          <w:color w:val="auto"/>
          <w:spacing w:val="0"/>
          <w:sz w:val="24"/>
          <w:lang w:val="cs-CZ"/>
        </w:rPr>
        <w:t xml:space="preserve">Proto je </w:t>
      </w:r>
      <w:r w:rsidR="08160955" w:rsidRPr="003D1E07">
        <w:rPr>
          <w:rStyle w:val="Zkladntext158dkovn0pt"/>
          <w:color w:val="auto"/>
          <w:spacing w:val="0"/>
          <w:sz w:val="24"/>
          <w:lang w:val="cs-CZ"/>
        </w:rPr>
        <w:t xml:space="preserve">nemateriální </w:t>
      </w:r>
      <w:r w:rsidR="00FB12AB" w:rsidRPr="003D1E07">
        <w:rPr>
          <w:rStyle w:val="Zkladntext158dkovn0pt"/>
          <w:color w:val="auto"/>
          <w:spacing w:val="0"/>
          <w:sz w:val="24"/>
          <w:lang w:val="cs-CZ"/>
        </w:rPr>
        <w:t xml:space="preserve">receptivní intelekt v duši odlišný </w:t>
      </w:r>
      <w:r w:rsidR="00305318" w:rsidRPr="003D1E07">
        <w:rPr>
          <w:rStyle w:val="Zkladntext158dkovn0pt"/>
          <w:color w:val="auto"/>
          <w:spacing w:val="0"/>
          <w:sz w:val="24"/>
          <w:lang w:val="cs-CZ"/>
        </w:rPr>
        <w:lastRenderedPageBreak/>
        <w:t xml:space="preserve">pouze formálně </w:t>
      </w:r>
      <w:r w:rsidR="00FB12AB" w:rsidRPr="003D1E07">
        <w:rPr>
          <w:rStyle w:val="Zkladntext158dkovn0pt"/>
          <w:color w:val="auto"/>
          <w:spacing w:val="0"/>
          <w:sz w:val="24"/>
          <w:lang w:val="cs-CZ"/>
        </w:rPr>
        <w:t>od činné složky intelektu</w:t>
      </w:r>
      <w:r w:rsidR="085466F1" w:rsidRPr="003D1E07">
        <w:rPr>
          <w:rStyle w:val="Zkladntext158dkovn0pt"/>
          <w:color w:val="auto"/>
          <w:spacing w:val="0"/>
          <w:sz w:val="24"/>
          <w:lang w:val="cs-CZ"/>
        </w:rPr>
        <w:t xml:space="preserve">. </w:t>
      </w:r>
      <w:r w:rsidR="08160955" w:rsidRPr="003D1E07">
        <w:rPr>
          <w:rStyle w:val="Zkladntext158dkovn0pt"/>
          <w:color w:val="auto"/>
          <w:spacing w:val="0"/>
          <w:sz w:val="24"/>
          <w:lang w:val="cs-CZ"/>
        </w:rPr>
        <w:t xml:space="preserve">Oba výkony poznání </w:t>
      </w:r>
      <w:r w:rsidR="0847456B" w:rsidRPr="003D1E07">
        <w:rPr>
          <w:rStyle w:val="Zkladntext158dkovn0pt"/>
          <w:color w:val="auto"/>
          <w:spacing w:val="0"/>
          <w:sz w:val="24"/>
          <w:lang w:val="cs-CZ"/>
        </w:rPr>
        <w:t xml:space="preserve">jsou nemateriální potencí duše. </w:t>
      </w:r>
      <w:r w:rsidR="00DC7D46">
        <w:rPr>
          <w:rStyle w:val="Zkladntext158dkovn0pt"/>
          <w:color w:val="auto"/>
          <w:spacing w:val="0"/>
          <w:sz w:val="24"/>
          <w:lang w:val="cs-CZ"/>
        </w:rPr>
        <w:t xml:space="preserve">Proto </w:t>
      </w:r>
      <w:r w:rsidR="00FD42B0" w:rsidRPr="003D1E07">
        <w:t xml:space="preserve">CMDA </w:t>
      </w:r>
      <w:r w:rsidR="0888395A" w:rsidRPr="003D1E07">
        <w:t xml:space="preserve">odlišuje </w:t>
      </w:r>
      <w:r w:rsidR="0888395A" w:rsidRPr="003D1E07">
        <w:rPr>
          <w:i/>
        </w:rPr>
        <w:t>perspicuum</w:t>
      </w:r>
      <w:r w:rsidR="0888395A" w:rsidRPr="003D1E07">
        <w:fldChar w:fldCharType="begin"/>
      </w:r>
      <w:r w:rsidR="0888395A" w:rsidRPr="003D1E07">
        <w:instrText xml:space="preserve"> XE "</w:instrText>
      </w:r>
      <w:r w:rsidR="0888395A" w:rsidRPr="003D1E07">
        <w:rPr>
          <w:i/>
        </w:rPr>
        <w:instrText>perspicuum</w:instrText>
      </w:r>
      <w:r w:rsidR="0888395A" w:rsidRPr="003D1E07">
        <w:instrText xml:space="preserve">" </w:instrText>
      </w:r>
      <w:r w:rsidR="0888395A" w:rsidRPr="003D1E07">
        <w:fldChar w:fldCharType="end"/>
      </w:r>
      <w:r w:rsidR="0888395A" w:rsidRPr="003D1E07">
        <w:t xml:space="preserve"> jako fyzikální mediace v přírodě od </w:t>
      </w:r>
      <w:r w:rsidR="00FD42B0" w:rsidRPr="003D1E07">
        <w:rPr>
          <w:i/>
        </w:rPr>
        <w:t>diapho</w:t>
      </w:r>
      <w:r w:rsidR="0888395A" w:rsidRPr="003D1E07">
        <w:rPr>
          <w:i/>
        </w:rPr>
        <w:t>num</w:t>
      </w:r>
      <w:r w:rsidR="0888395A" w:rsidRPr="003D1E07">
        <w:t xml:space="preserve"> jako intencionální mediace ve zvířecí nebo v lidské duši. Průběh intencionální syntézy jde od potence k aktu. První forma </w:t>
      </w:r>
      <w:r w:rsidR="00D94E28" w:rsidRPr="00D6314C">
        <w:rPr>
          <w:i/>
          <w:noProof w:val="0"/>
          <w:lang w:val="fr-FR" w:eastAsia="en-US"/>
        </w:rPr>
        <w:t>diaphonum</w:t>
      </w:r>
      <w:r w:rsidR="00D94E28" w:rsidRPr="00D6314C">
        <w:rPr>
          <w:noProof w:val="0"/>
          <w:lang w:val="fr-FR" w:eastAsia="en-US"/>
        </w:rPr>
        <w:t xml:space="preserve"> </w:t>
      </w:r>
      <w:r w:rsidR="0888395A" w:rsidRPr="003D1E07">
        <w:t xml:space="preserve">je určena intencionální aktivitou smyslové představivosti a druhá skrze syntetickou aktivitu činného intelektu. K aktuálně danému vjemu ve smyslech je </w:t>
      </w:r>
      <w:r w:rsidR="005F657A">
        <w:t xml:space="preserve">zaměřený dvojí akt receptivity. První akt </w:t>
      </w:r>
      <w:r w:rsidR="005F310E">
        <w:t xml:space="preserve">intencionality </w:t>
      </w:r>
      <w:r w:rsidR="005F657A">
        <w:t xml:space="preserve">jde od smyslů k </w:t>
      </w:r>
      <w:r w:rsidR="0888395A" w:rsidRPr="003D1E07">
        <w:rPr>
          <w:i/>
        </w:rPr>
        <w:t>intellectus possibilis</w:t>
      </w:r>
      <w:r w:rsidR="005F657A">
        <w:t xml:space="preserve"> a obsahy jsou syntetizovány</w:t>
      </w:r>
      <w:r w:rsidR="0888395A" w:rsidRPr="003D1E07">
        <w:t xml:space="preserve"> ve dvojím aktu syntézy (</w:t>
      </w:r>
      <w:r w:rsidR="0888395A" w:rsidRPr="003D1E07">
        <w:rPr>
          <w:i/>
        </w:rPr>
        <w:t>phantasia</w:t>
      </w:r>
      <w:r w:rsidR="0888395A" w:rsidRPr="003D1E07">
        <w:t xml:space="preserve">, </w:t>
      </w:r>
      <w:r w:rsidR="0888395A" w:rsidRPr="003D1E07">
        <w:rPr>
          <w:i/>
        </w:rPr>
        <w:t>intellectus agens</w:t>
      </w:r>
      <w:r w:rsidR="0888395A" w:rsidRPr="003D1E07">
        <w:t xml:space="preserve">). </w:t>
      </w:r>
      <w:r w:rsidR="00172AC6" w:rsidRPr="00172AC6">
        <w:t xml:space="preserve">Výsledný proces uvažování v aktu zvířecí </w:t>
      </w:r>
      <w:r w:rsidR="00172AC6" w:rsidRPr="00172AC6">
        <w:rPr>
          <w:i/>
        </w:rPr>
        <w:t>cogitatio</w:t>
      </w:r>
      <w:r w:rsidR="00172AC6" w:rsidRPr="00172AC6">
        <w:t xml:space="preserve"> nebo lidské </w:t>
      </w:r>
      <w:r w:rsidR="00172AC6" w:rsidRPr="00172AC6">
        <w:rPr>
          <w:i/>
        </w:rPr>
        <w:t>intellectio</w:t>
      </w:r>
      <w:r w:rsidR="00172AC6" w:rsidRPr="00172AC6">
        <w:t xml:space="preserve"> je opět dvojí (</w:t>
      </w:r>
      <w:r w:rsidR="00172AC6" w:rsidRPr="00172AC6">
        <w:rPr>
          <w:i/>
        </w:rPr>
        <w:t>vis aestimativa</w:t>
      </w:r>
      <w:r w:rsidR="00172AC6" w:rsidRPr="00172AC6">
        <w:t xml:space="preserve">, </w:t>
      </w:r>
      <w:r w:rsidR="00172AC6" w:rsidRPr="00172AC6">
        <w:rPr>
          <w:i/>
        </w:rPr>
        <w:t>intellectus</w:t>
      </w:r>
      <w:r w:rsidR="00172AC6" w:rsidRPr="00172AC6">
        <w:t xml:space="preserve"> jako </w:t>
      </w:r>
      <w:r w:rsidR="00172AC6" w:rsidRPr="00172AC6">
        <w:rPr>
          <w:i/>
        </w:rPr>
        <w:t>tertium genus</w:t>
      </w:r>
      <w:r w:rsidR="00172AC6" w:rsidRPr="00172AC6">
        <w:t>) a vytváří dvojí poznání dané jako materiální a ne</w:t>
      </w:r>
      <w:r w:rsidR="00172AC6">
        <w:t xml:space="preserve">materiální poznání (zakoušené </w:t>
      </w:r>
      <w:r w:rsidR="00172AC6" w:rsidRPr="00172AC6">
        <w:rPr>
          <w:i/>
        </w:rPr>
        <w:t>species</w:t>
      </w:r>
      <w:r w:rsidR="00D8759D">
        <w:rPr>
          <w:i/>
        </w:rPr>
        <w:t xml:space="preserve"> sensibilis</w:t>
      </w:r>
      <w:r w:rsidR="00172AC6">
        <w:t xml:space="preserve"> </w:t>
      </w:r>
      <w:r w:rsidR="00D8759D">
        <w:t xml:space="preserve">takto poznaného </w:t>
      </w:r>
      <w:r w:rsidR="00172AC6">
        <w:t xml:space="preserve">vlka; </w:t>
      </w:r>
      <w:r w:rsidR="00D8759D">
        <w:t xml:space="preserve">esence </w:t>
      </w:r>
      <w:r w:rsidR="00172AC6">
        <w:t xml:space="preserve"> „vlk</w:t>
      </w:r>
      <w:r w:rsidR="00D8759D">
        <w:t>a</w:t>
      </w:r>
      <w:r w:rsidR="00172AC6">
        <w:t>“</w:t>
      </w:r>
      <w:r w:rsidR="00172AC6" w:rsidRPr="00172AC6">
        <w:t xml:space="preserve"> jako </w:t>
      </w:r>
      <w:r w:rsidR="00172AC6" w:rsidRPr="00172AC6">
        <w:rPr>
          <w:i/>
        </w:rPr>
        <w:t>intellectum</w:t>
      </w:r>
      <w:r w:rsidR="00172AC6" w:rsidRPr="00172AC6">
        <w:t>).</w:t>
      </w:r>
      <w:r w:rsidR="00172AC6">
        <w:t xml:space="preserve"> </w:t>
      </w:r>
      <w:r w:rsidR="00DA024E" w:rsidRPr="003D1E07">
        <w:t xml:space="preserve">Proces </w:t>
      </w:r>
      <w:r w:rsidR="0888395A" w:rsidRPr="003D1E07">
        <w:t xml:space="preserve">vytváří dvojí poznatek daný jako materiální a nemateriální </w:t>
      </w:r>
      <w:r w:rsidR="00DA024E" w:rsidRPr="003D1E07">
        <w:t>vědění</w:t>
      </w:r>
      <w:r w:rsidR="0888395A" w:rsidRPr="003D1E07">
        <w:t xml:space="preserve">. </w:t>
      </w:r>
      <w:r w:rsidR="086B111F" w:rsidRPr="003D1E07">
        <w:rPr>
          <w:rStyle w:val="Zkladntext158dkovn0pt"/>
          <w:color w:val="auto"/>
          <w:spacing w:val="0"/>
          <w:sz w:val="24"/>
          <w:lang w:val="cs-CZ"/>
        </w:rPr>
        <w:t xml:space="preserve">Na rozdíl od neoplatonismu, moderny a postmoderny zachycuje aristotelské schéma poznání formálně-kauzální způsob adekvace poznání od reálné věci, přes smysly, až k intelektu. </w:t>
      </w:r>
      <w:r w:rsidR="08591074" w:rsidRPr="003D1E07">
        <w:rPr>
          <w:rStyle w:val="Zkladntext158dkovn0pt"/>
          <w:color w:val="auto"/>
          <w:spacing w:val="0"/>
          <w:sz w:val="24"/>
          <w:lang w:val="cs-CZ"/>
        </w:rPr>
        <w:t>Aristotelský i</w:t>
      </w:r>
      <w:r w:rsidR="00D15A9C" w:rsidRPr="003D1E07">
        <w:rPr>
          <w:rStyle w:val="Zkladntext158dkovn0pt"/>
          <w:color w:val="auto"/>
          <w:spacing w:val="0"/>
          <w:sz w:val="24"/>
          <w:lang w:val="cs-CZ"/>
        </w:rPr>
        <w:t>ntelekt d</w:t>
      </w:r>
      <w:r w:rsidR="00FB12AB" w:rsidRPr="003D1E07">
        <w:rPr>
          <w:rStyle w:val="Zkladntext158dkovn0pt"/>
          <w:color w:val="auto"/>
          <w:spacing w:val="0"/>
          <w:sz w:val="24"/>
          <w:lang w:val="cs-CZ"/>
        </w:rPr>
        <w:t xml:space="preserve">aný v lidské duši není subsistující formou, protože </w:t>
      </w:r>
      <w:r w:rsidR="08591074" w:rsidRPr="003D1E07">
        <w:rPr>
          <w:rStyle w:val="Zkladntext158dkovn0pt"/>
          <w:color w:val="auto"/>
          <w:spacing w:val="0"/>
          <w:sz w:val="24"/>
          <w:lang w:val="cs-CZ"/>
        </w:rPr>
        <w:t xml:space="preserve">intelekt </w:t>
      </w:r>
      <w:r w:rsidR="00FB12AB" w:rsidRPr="003D1E07">
        <w:rPr>
          <w:rStyle w:val="Zkladntext158dkovn0pt"/>
          <w:color w:val="auto"/>
          <w:spacing w:val="0"/>
          <w:sz w:val="24"/>
          <w:lang w:val="cs-CZ"/>
        </w:rPr>
        <w:t xml:space="preserve">tvoří pouze schopnost duše jako entelechické formy těla. </w:t>
      </w:r>
      <w:r w:rsidRPr="003D1E07">
        <w:rPr>
          <w:rStyle w:val="Zkladntext158dkovn0pt"/>
          <w:color w:val="auto"/>
          <w:spacing w:val="0"/>
          <w:sz w:val="24"/>
          <w:lang w:val="cs-CZ"/>
        </w:rPr>
        <w:t xml:space="preserve">Scénář nasvícení zepředu zajišťuje </w:t>
      </w:r>
      <w:r w:rsidR="08502150" w:rsidRPr="003D1E07">
        <w:rPr>
          <w:rStyle w:val="Zkladntext158dkovn0pt"/>
          <w:color w:val="auto"/>
          <w:spacing w:val="0"/>
          <w:sz w:val="24"/>
          <w:lang w:val="cs-CZ"/>
        </w:rPr>
        <w:t xml:space="preserve">adekvaci věci a intelektu </w:t>
      </w:r>
      <w:r w:rsidRPr="003D1E07">
        <w:rPr>
          <w:rStyle w:val="Zkladntext158dkovn0pt"/>
          <w:color w:val="auto"/>
          <w:spacing w:val="0"/>
          <w:sz w:val="24"/>
          <w:lang w:val="cs-CZ"/>
        </w:rPr>
        <w:t>skrze kombinaci efi</w:t>
      </w:r>
      <w:r w:rsidR="08344089" w:rsidRPr="003D1E07">
        <w:rPr>
          <w:rStyle w:val="Zkladntext158dkovn0pt"/>
          <w:color w:val="auto"/>
          <w:spacing w:val="0"/>
          <w:sz w:val="24"/>
          <w:lang w:val="cs-CZ"/>
        </w:rPr>
        <w:t>ci</w:t>
      </w:r>
      <w:r w:rsidRPr="003D1E07">
        <w:rPr>
          <w:rStyle w:val="Zkladntext158dkovn0pt"/>
          <w:color w:val="auto"/>
          <w:spacing w:val="0"/>
          <w:sz w:val="24"/>
          <w:lang w:val="cs-CZ"/>
        </w:rPr>
        <w:t xml:space="preserve">entní a formální kauzality </w:t>
      </w:r>
      <w:r w:rsidR="08792A50" w:rsidRPr="003D1E07">
        <w:rPr>
          <w:rStyle w:val="Zkladntext158dkovn0pt"/>
          <w:color w:val="auto"/>
          <w:spacing w:val="0"/>
          <w:sz w:val="24"/>
          <w:lang w:val="cs-CZ"/>
        </w:rPr>
        <w:t>v</w:t>
      </w:r>
      <w:r w:rsidR="00FD42B0" w:rsidRPr="003D1E07">
        <w:rPr>
          <w:rStyle w:val="Zkladntext158dkovn0pt"/>
          <w:color w:val="auto"/>
          <w:spacing w:val="0"/>
          <w:sz w:val="24"/>
          <w:lang w:val="cs-CZ"/>
        </w:rPr>
        <w:t xml:space="preserve">e společném zvířecím a lidském </w:t>
      </w:r>
      <w:r w:rsidR="08792A50" w:rsidRPr="003D1E07">
        <w:rPr>
          <w:rStyle w:val="Zkladntext158dkovn0pt"/>
          <w:color w:val="auto"/>
          <w:spacing w:val="0"/>
          <w:sz w:val="24"/>
          <w:lang w:val="cs-CZ"/>
        </w:rPr>
        <w:t>modu</w:t>
      </w:r>
      <w:r w:rsidR="00FD42B0" w:rsidRPr="003D1E07">
        <w:rPr>
          <w:rStyle w:val="Zkladntext158dkovn0pt"/>
          <w:color w:val="auto"/>
          <w:spacing w:val="0"/>
          <w:sz w:val="24"/>
          <w:lang w:val="cs-CZ"/>
        </w:rPr>
        <w:t>:</w:t>
      </w:r>
      <w:r w:rsidR="08792A50" w:rsidRPr="003D1E07">
        <w:rPr>
          <w:rStyle w:val="Zkladntext158dkovn0pt"/>
          <w:color w:val="auto"/>
          <w:spacing w:val="0"/>
          <w:sz w:val="24"/>
          <w:lang w:val="cs-CZ"/>
        </w:rPr>
        <w:t xml:space="preserve"> </w:t>
      </w:r>
      <w:r w:rsidR="08A55E46" w:rsidRPr="003D1E07">
        <w:rPr>
          <w:rStyle w:val="Zkladntext158dkovn0pt"/>
          <w:color w:val="auto"/>
          <w:spacing w:val="0"/>
          <w:sz w:val="24"/>
          <w:lang w:val="cs-CZ"/>
        </w:rPr>
        <w:t>vnější aktualita</w:t>
      </w:r>
      <w:r w:rsidR="08DA5B21" w:rsidRPr="003D1E07">
        <w:rPr>
          <w:rStyle w:val="Zkladntext158dkovn0pt"/>
          <w:color w:val="auto"/>
          <w:spacing w:val="0"/>
          <w:sz w:val="24"/>
          <w:lang w:val="cs-CZ"/>
        </w:rPr>
        <w:t xml:space="preserve"> </w:t>
      </w:r>
      <w:r w:rsidR="007158B9">
        <w:rPr>
          <w:rStyle w:val="Zkladntext158dkovn0pt"/>
          <w:color w:val="auto"/>
          <w:spacing w:val="0"/>
          <w:sz w:val="24"/>
          <w:lang w:val="cs-CZ"/>
        </w:rPr>
        <w:t xml:space="preserve">světa </w:t>
      </w:r>
      <w:r w:rsidR="08502150" w:rsidRPr="003D1E07">
        <w:rPr>
          <w:rStyle w:val="Zkladntext158dkovn0pt"/>
          <w:color w:val="auto"/>
          <w:spacing w:val="0"/>
          <w:sz w:val="24"/>
          <w:lang w:val="cs-CZ"/>
        </w:rPr>
        <w:t>‒</w:t>
      </w:r>
      <w:r w:rsidR="08DA5B21" w:rsidRPr="003D1E07">
        <w:rPr>
          <w:rStyle w:val="Zkladntext158dkovn0pt"/>
          <w:color w:val="auto"/>
          <w:spacing w:val="0"/>
          <w:sz w:val="24"/>
          <w:lang w:val="cs-CZ"/>
        </w:rPr>
        <w:t xml:space="preserve"> </w:t>
      </w:r>
      <w:r w:rsidR="00B27A33">
        <w:rPr>
          <w:rStyle w:val="Zkladntext158dkovn0pt"/>
          <w:color w:val="auto"/>
          <w:spacing w:val="0"/>
          <w:sz w:val="24"/>
          <w:lang w:val="cs-CZ"/>
        </w:rPr>
        <w:t xml:space="preserve">aktualizovaná </w:t>
      </w:r>
      <w:r w:rsidR="08DA5B21" w:rsidRPr="003D1E07">
        <w:rPr>
          <w:rStyle w:val="Zkladntext158dkovn0pt"/>
          <w:color w:val="auto"/>
          <w:spacing w:val="0"/>
          <w:sz w:val="24"/>
          <w:lang w:val="cs-CZ"/>
        </w:rPr>
        <w:t xml:space="preserve">recepce </w:t>
      </w:r>
      <w:r w:rsidR="009931BB">
        <w:rPr>
          <w:rStyle w:val="Zkladntext158dkovn0pt"/>
          <w:color w:val="auto"/>
          <w:spacing w:val="0"/>
          <w:sz w:val="24"/>
          <w:lang w:val="cs-CZ"/>
        </w:rPr>
        <w:t xml:space="preserve">skrze </w:t>
      </w:r>
      <w:r w:rsidR="08DA5B21" w:rsidRPr="003D1E07">
        <w:rPr>
          <w:rStyle w:val="Zkladntext158dkovn0pt"/>
          <w:color w:val="auto"/>
          <w:spacing w:val="0"/>
          <w:sz w:val="24"/>
          <w:lang w:val="cs-CZ"/>
        </w:rPr>
        <w:t xml:space="preserve">smysly </w:t>
      </w:r>
      <w:r w:rsidR="007158B9">
        <w:rPr>
          <w:rStyle w:val="Zkladntext158dkovn0pt"/>
          <w:color w:val="auto"/>
          <w:spacing w:val="0"/>
          <w:sz w:val="24"/>
          <w:lang w:val="cs-CZ"/>
        </w:rPr>
        <w:t xml:space="preserve">v těle </w:t>
      </w:r>
      <w:r w:rsidR="08DA5B21" w:rsidRPr="003D1E07">
        <w:rPr>
          <w:rFonts w:cs="Calibri"/>
          <w:szCs w:val="24"/>
        </w:rPr>
        <w:t xml:space="preserve">─ </w:t>
      </w:r>
      <w:r w:rsidR="00251B3B">
        <w:rPr>
          <w:rFonts w:cs="Calibri"/>
          <w:szCs w:val="24"/>
        </w:rPr>
        <w:t xml:space="preserve">nemateriální </w:t>
      </w:r>
      <w:r w:rsidR="08DA5B21" w:rsidRPr="003D1E07">
        <w:rPr>
          <w:rFonts w:cs="Calibri"/>
          <w:szCs w:val="24"/>
        </w:rPr>
        <w:t xml:space="preserve">potence receptivity </w:t>
      </w:r>
      <w:r w:rsidR="007158B9">
        <w:rPr>
          <w:rFonts w:cs="Calibri"/>
          <w:szCs w:val="24"/>
        </w:rPr>
        <w:t xml:space="preserve">v duši </w:t>
      </w:r>
      <w:r w:rsidR="08DA5B21" w:rsidRPr="003D1E07">
        <w:rPr>
          <w:rFonts w:cs="Calibri"/>
          <w:szCs w:val="24"/>
        </w:rPr>
        <w:t>─</w:t>
      </w:r>
      <w:r w:rsidR="08DA5B21" w:rsidRPr="003D1E07">
        <w:rPr>
          <w:szCs w:val="24"/>
        </w:rPr>
        <w:t xml:space="preserve"> </w:t>
      </w:r>
      <w:r w:rsidR="08591074" w:rsidRPr="003D1E07">
        <w:rPr>
          <w:szCs w:val="24"/>
        </w:rPr>
        <w:t>intenc</w:t>
      </w:r>
      <w:r w:rsidR="08DA5B21" w:rsidRPr="003D1E07">
        <w:rPr>
          <w:szCs w:val="24"/>
        </w:rPr>
        <w:t xml:space="preserve">ionální syntéza </w:t>
      </w:r>
      <w:r w:rsidR="007158B9">
        <w:rPr>
          <w:szCs w:val="24"/>
        </w:rPr>
        <w:t xml:space="preserve">v duši </w:t>
      </w:r>
      <w:r w:rsidR="08DA5B21" w:rsidRPr="003D1E07">
        <w:rPr>
          <w:rFonts w:cs="Calibri"/>
          <w:szCs w:val="24"/>
        </w:rPr>
        <w:t>─</w:t>
      </w:r>
      <w:r w:rsidR="08DA5B21" w:rsidRPr="003D1E07">
        <w:rPr>
          <w:szCs w:val="24"/>
        </w:rPr>
        <w:t xml:space="preserve"> akt souzení</w:t>
      </w:r>
      <w:r w:rsidR="007158B9">
        <w:rPr>
          <w:szCs w:val="24"/>
        </w:rPr>
        <w:t xml:space="preserve"> ve smyslové (zvířata) nebo intelektuální složce </w:t>
      </w:r>
      <w:r w:rsidR="00B27A33">
        <w:rPr>
          <w:szCs w:val="24"/>
        </w:rPr>
        <w:t xml:space="preserve">duše </w:t>
      </w:r>
      <w:r w:rsidR="007158B9">
        <w:rPr>
          <w:szCs w:val="24"/>
        </w:rPr>
        <w:t>(lidé)</w:t>
      </w:r>
      <w:r w:rsidR="00DD61CE" w:rsidRPr="003D1E07">
        <w:rPr>
          <w:rStyle w:val="Zkladntext158dkovn0pt"/>
          <w:color w:val="auto"/>
          <w:spacing w:val="0"/>
          <w:sz w:val="24"/>
          <w:lang w:val="cs-CZ"/>
        </w:rPr>
        <w:t xml:space="preserve">. </w:t>
      </w:r>
      <w:r w:rsidR="00FC559D" w:rsidRPr="003D1E07">
        <w:rPr>
          <w:rStyle w:val="Zkladntext158dkovn0pt"/>
          <w:color w:val="auto"/>
          <w:spacing w:val="0"/>
          <w:sz w:val="24"/>
          <w:lang w:val="cs-CZ"/>
        </w:rPr>
        <w:t>Každé p</w:t>
      </w:r>
      <w:r w:rsidR="00CC6246" w:rsidRPr="003D1E07">
        <w:rPr>
          <w:rStyle w:val="Zkladntext158dkovn0pt"/>
          <w:color w:val="auto"/>
          <w:spacing w:val="0"/>
          <w:sz w:val="24"/>
          <w:lang w:val="cs-CZ"/>
        </w:rPr>
        <w:t xml:space="preserve">oznání začíná v řádu účinné kauzality ve smyslech. </w:t>
      </w:r>
      <w:r w:rsidRPr="003D1E07">
        <w:rPr>
          <w:rStyle w:val="Zkladntext158dkovn0pt"/>
          <w:color w:val="auto"/>
          <w:spacing w:val="0"/>
          <w:sz w:val="24"/>
          <w:lang w:val="cs-CZ"/>
        </w:rPr>
        <w:t>Podobnost věci a myšlení je d</w:t>
      </w:r>
      <w:r w:rsidR="00A55BFC">
        <w:rPr>
          <w:rStyle w:val="Zkladntext158dkovn0pt"/>
          <w:color w:val="auto"/>
          <w:spacing w:val="0"/>
          <w:sz w:val="24"/>
          <w:lang w:val="cs-CZ"/>
        </w:rPr>
        <w:t>ána jako geneze poznaných forem</w:t>
      </w:r>
      <w:r w:rsidR="00065C7C" w:rsidRPr="003D1E07">
        <w:rPr>
          <w:rStyle w:val="Zkladntext158dkovn0pt"/>
          <w:color w:val="auto"/>
          <w:spacing w:val="0"/>
          <w:sz w:val="24"/>
          <w:lang w:val="cs-CZ"/>
        </w:rPr>
        <w:t>. Kognitivní formy se začínají syntetizovat v představivosti a jsou mediatizovány skrze diafanum</w:t>
      </w:r>
      <w:r w:rsidR="003206E5">
        <w:rPr>
          <w:rStyle w:val="Zkladntext158dkovn0pt"/>
          <w:color w:val="auto"/>
          <w:spacing w:val="0"/>
          <w:sz w:val="24"/>
          <w:lang w:val="cs-CZ"/>
        </w:rPr>
        <w:t xml:space="preserve"> </w:t>
      </w:r>
      <w:r w:rsidR="003206E5" w:rsidRPr="003D1E07">
        <w:rPr>
          <w:rStyle w:val="Zkladntext158dkovn0pt"/>
          <w:color w:val="auto"/>
          <w:spacing w:val="0"/>
          <w:sz w:val="24"/>
          <w:lang w:val="cs-CZ"/>
        </w:rPr>
        <w:t>(</w:t>
      </w:r>
      <w:r w:rsidR="003206E5" w:rsidRPr="003D1E07">
        <w:rPr>
          <w:rStyle w:val="Zkladntext158dkovn0pt"/>
          <w:i/>
          <w:color w:val="auto"/>
          <w:spacing w:val="0"/>
          <w:sz w:val="24"/>
          <w:lang w:val="cs-CZ"/>
        </w:rPr>
        <w:t>idola</w:t>
      </w:r>
      <w:r w:rsidR="003206E5" w:rsidRPr="003D1E07">
        <w:rPr>
          <w:rStyle w:val="Zkladntext158dkovn0pt"/>
          <w:color w:val="auto"/>
          <w:spacing w:val="0"/>
          <w:sz w:val="24"/>
          <w:lang w:val="cs-CZ"/>
        </w:rPr>
        <w:t xml:space="preserve">, </w:t>
      </w:r>
      <w:r w:rsidR="003206E5" w:rsidRPr="003D1E07">
        <w:rPr>
          <w:rStyle w:val="Zkladntext158dkovn0pt"/>
          <w:i/>
          <w:color w:val="auto"/>
          <w:spacing w:val="0"/>
          <w:sz w:val="24"/>
          <w:lang w:val="cs-CZ"/>
        </w:rPr>
        <w:t>phantasmata</w:t>
      </w:r>
      <w:r w:rsidR="003206E5" w:rsidRPr="003D1E07">
        <w:rPr>
          <w:rStyle w:val="Zkladntext158dkovn0pt"/>
          <w:color w:val="auto"/>
          <w:spacing w:val="0"/>
          <w:sz w:val="24"/>
          <w:lang w:val="cs-CZ"/>
        </w:rPr>
        <w:t>)</w:t>
      </w:r>
      <w:r w:rsidR="00065C7C" w:rsidRPr="003D1E07">
        <w:rPr>
          <w:rStyle w:val="Zkladntext158dkovn0pt"/>
          <w:color w:val="auto"/>
          <w:spacing w:val="0"/>
          <w:sz w:val="24"/>
          <w:lang w:val="cs-CZ"/>
        </w:rPr>
        <w:t xml:space="preserve">. </w:t>
      </w:r>
      <w:r w:rsidR="00045099">
        <w:rPr>
          <w:rStyle w:val="Zkladntext158dkovn0pt"/>
          <w:color w:val="auto"/>
          <w:spacing w:val="0"/>
          <w:sz w:val="24"/>
          <w:lang w:val="cs-CZ"/>
        </w:rPr>
        <w:t>P</w:t>
      </w:r>
      <w:r w:rsidR="00045099" w:rsidRPr="003D1E07">
        <w:rPr>
          <w:rStyle w:val="Zkladntext158dkovn0pt"/>
          <w:color w:val="auto"/>
          <w:spacing w:val="0"/>
          <w:sz w:val="24"/>
          <w:lang w:val="cs-CZ"/>
        </w:rPr>
        <w:t>rvní mediace</w:t>
      </w:r>
      <w:r w:rsidR="00045099">
        <w:rPr>
          <w:rStyle w:val="Zkladntext158dkovn0pt"/>
          <w:color w:val="auto"/>
          <w:spacing w:val="0"/>
          <w:sz w:val="24"/>
          <w:lang w:val="cs-CZ"/>
        </w:rPr>
        <w:t xml:space="preserve"> </w:t>
      </w:r>
      <w:r w:rsidR="00E21B6A">
        <w:rPr>
          <w:rStyle w:val="Zkladntext158dkovn0pt"/>
          <w:color w:val="auto"/>
          <w:spacing w:val="0"/>
          <w:sz w:val="24"/>
          <w:lang w:val="cs-CZ"/>
        </w:rPr>
        <w:t xml:space="preserve">daná </w:t>
      </w:r>
      <w:r w:rsidR="00045099">
        <w:rPr>
          <w:rStyle w:val="Zkladntext158dkovn0pt"/>
          <w:color w:val="auto"/>
          <w:spacing w:val="0"/>
          <w:sz w:val="24"/>
          <w:lang w:val="cs-CZ"/>
        </w:rPr>
        <w:t>skrze smysly má jako terminální poznávací form</w:t>
      </w:r>
      <w:r w:rsidR="00065C7C" w:rsidRPr="003D1E07">
        <w:rPr>
          <w:rStyle w:val="Zkladntext158dkovn0pt"/>
          <w:color w:val="auto"/>
          <w:spacing w:val="0"/>
          <w:sz w:val="24"/>
          <w:lang w:val="cs-CZ"/>
        </w:rPr>
        <w:t xml:space="preserve">u </w:t>
      </w:r>
      <w:r w:rsidR="00065C7C" w:rsidRPr="003D1E07">
        <w:rPr>
          <w:rStyle w:val="Zkladntext158dkovn0pt"/>
          <w:i/>
          <w:color w:val="auto"/>
          <w:spacing w:val="0"/>
          <w:sz w:val="24"/>
          <w:lang w:val="cs-CZ"/>
        </w:rPr>
        <w:t>species sensibilis</w:t>
      </w:r>
      <w:r w:rsidR="00065C7C" w:rsidRPr="003D1E07">
        <w:rPr>
          <w:rStyle w:val="Zkladntext158dkovn0pt"/>
          <w:color w:val="auto"/>
          <w:spacing w:val="0"/>
          <w:sz w:val="24"/>
          <w:lang w:val="cs-CZ"/>
        </w:rPr>
        <w:t xml:space="preserve">. </w:t>
      </w:r>
      <w:r w:rsidR="08A54962" w:rsidRPr="003D1E07">
        <w:rPr>
          <w:rStyle w:val="Zkladntext158dkovn0pt"/>
          <w:color w:val="auto"/>
          <w:spacing w:val="0"/>
          <w:sz w:val="24"/>
          <w:lang w:val="cs-CZ"/>
        </w:rPr>
        <w:t xml:space="preserve">Receptivní </w:t>
      </w:r>
      <w:r w:rsidR="00B176B8" w:rsidRPr="003D1E07">
        <w:rPr>
          <w:rStyle w:val="Zkladntext158dkovn0pt"/>
          <w:color w:val="auto"/>
          <w:spacing w:val="0"/>
          <w:sz w:val="24"/>
          <w:lang w:val="cs-CZ"/>
        </w:rPr>
        <w:t xml:space="preserve">kauzalita </w:t>
      </w:r>
      <w:r w:rsidR="08A54962" w:rsidRPr="003D1E07">
        <w:rPr>
          <w:rStyle w:val="Zkladntext158dkovn0pt"/>
          <w:color w:val="auto"/>
          <w:spacing w:val="0"/>
          <w:sz w:val="24"/>
          <w:lang w:val="cs-CZ"/>
        </w:rPr>
        <w:t xml:space="preserve">smyslů </w:t>
      </w:r>
      <w:r w:rsidR="00B176B8" w:rsidRPr="003D1E07">
        <w:rPr>
          <w:rStyle w:val="Zkladntext158dkovn0pt"/>
          <w:color w:val="auto"/>
          <w:spacing w:val="0"/>
          <w:sz w:val="24"/>
          <w:lang w:val="cs-CZ"/>
        </w:rPr>
        <w:t>je eficientní</w:t>
      </w:r>
      <w:r w:rsidR="08B46238" w:rsidRPr="003D1E07">
        <w:rPr>
          <w:rStyle w:val="Zkladntext158dkovn0pt"/>
          <w:color w:val="auto"/>
          <w:spacing w:val="0"/>
          <w:sz w:val="24"/>
          <w:lang w:val="cs-CZ"/>
        </w:rPr>
        <w:t xml:space="preserve"> v řádu kauzality prvních substancí</w:t>
      </w:r>
      <w:r w:rsidR="00513D09" w:rsidRPr="003D1E07">
        <w:rPr>
          <w:rStyle w:val="Zkladntext158dkovn0pt"/>
          <w:color w:val="auto"/>
          <w:spacing w:val="0"/>
          <w:sz w:val="24"/>
          <w:lang w:val="cs-CZ"/>
        </w:rPr>
        <w:t>. P</w:t>
      </w:r>
      <w:r w:rsidR="00B176B8" w:rsidRPr="003D1E07">
        <w:rPr>
          <w:rStyle w:val="Zkladntext158dkovn0pt"/>
          <w:color w:val="auto"/>
          <w:spacing w:val="0"/>
          <w:sz w:val="24"/>
          <w:lang w:val="cs-CZ"/>
        </w:rPr>
        <w:t>roto může</w:t>
      </w:r>
      <w:r w:rsidR="003B043D" w:rsidRPr="003D1E07">
        <w:rPr>
          <w:rStyle w:val="Zkladntext158dkovn0pt"/>
          <w:color w:val="auto"/>
          <w:spacing w:val="0"/>
          <w:sz w:val="24"/>
          <w:lang w:val="cs-CZ"/>
        </w:rPr>
        <w:t>me</w:t>
      </w:r>
      <w:r w:rsidR="00B176B8" w:rsidRPr="003D1E07">
        <w:rPr>
          <w:rStyle w:val="Zkladntext158dkovn0pt"/>
          <w:color w:val="auto"/>
          <w:spacing w:val="0"/>
          <w:sz w:val="24"/>
          <w:lang w:val="cs-CZ"/>
        </w:rPr>
        <w:t xml:space="preserve"> </w:t>
      </w:r>
      <w:r w:rsidR="00D15A9C" w:rsidRPr="003D1E07">
        <w:rPr>
          <w:rStyle w:val="Zkladntext158dkovn0pt"/>
          <w:color w:val="auto"/>
          <w:spacing w:val="0"/>
          <w:sz w:val="24"/>
          <w:lang w:val="cs-CZ"/>
        </w:rPr>
        <w:t xml:space="preserve">částečně </w:t>
      </w:r>
      <w:r w:rsidR="00B176B8" w:rsidRPr="003D1E07">
        <w:rPr>
          <w:rStyle w:val="Zkladntext158dkovn0pt"/>
          <w:color w:val="auto"/>
          <w:spacing w:val="0"/>
          <w:sz w:val="24"/>
          <w:lang w:val="cs-CZ"/>
        </w:rPr>
        <w:t xml:space="preserve">nahradit </w:t>
      </w:r>
      <w:r w:rsidR="003B043D" w:rsidRPr="003D1E07">
        <w:rPr>
          <w:rStyle w:val="Zkladntext158dkovn0pt"/>
          <w:color w:val="auto"/>
          <w:spacing w:val="0"/>
          <w:sz w:val="24"/>
          <w:lang w:val="cs-CZ"/>
        </w:rPr>
        <w:t xml:space="preserve">činnost </w:t>
      </w:r>
      <w:r w:rsidR="00D15A9C" w:rsidRPr="003D1E07">
        <w:rPr>
          <w:rStyle w:val="Zkladntext158dkovn0pt"/>
          <w:color w:val="auto"/>
          <w:spacing w:val="0"/>
          <w:sz w:val="24"/>
          <w:lang w:val="cs-CZ"/>
        </w:rPr>
        <w:t xml:space="preserve">oka či nervů </w:t>
      </w:r>
      <w:r w:rsidR="08B46238" w:rsidRPr="003D1E07">
        <w:rPr>
          <w:rStyle w:val="Zkladntext158dkovn0pt"/>
          <w:color w:val="auto"/>
          <w:spacing w:val="0"/>
          <w:sz w:val="24"/>
          <w:lang w:val="cs-CZ"/>
        </w:rPr>
        <w:t xml:space="preserve">nějakým </w:t>
      </w:r>
      <w:r w:rsidR="003B043D" w:rsidRPr="003D1E07">
        <w:rPr>
          <w:rStyle w:val="Zkladntext158dkovn0pt"/>
          <w:color w:val="auto"/>
          <w:spacing w:val="0"/>
          <w:sz w:val="24"/>
          <w:lang w:val="cs-CZ"/>
        </w:rPr>
        <w:t xml:space="preserve">protetickým </w:t>
      </w:r>
      <w:r w:rsidR="00B176B8" w:rsidRPr="003D1E07">
        <w:rPr>
          <w:rStyle w:val="Zkladntext158dkovn0pt"/>
          <w:color w:val="auto"/>
          <w:spacing w:val="0"/>
          <w:sz w:val="24"/>
          <w:lang w:val="cs-CZ"/>
        </w:rPr>
        <w:t>nástroj</w:t>
      </w:r>
      <w:r w:rsidR="003B043D" w:rsidRPr="003D1E07">
        <w:rPr>
          <w:rStyle w:val="Zkladntext158dkovn0pt"/>
          <w:color w:val="auto"/>
          <w:spacing w:val="0"/>
          <w:sz w:val="24"/>
          <w:lang w:val="cs-CZ"/>
        </w:rPr>
        <w:t>em</w:t>
      </w:r>
      <w:r w:rsidR="00B176B8" w:rsidRPr="003D1E07">
        <w:rPr>
          <w:rStyle w:val="Zkladntext158dkovn0pt"/>
          <w:color w:val="auto"/>
          <w:spacing w:val="0"/>
          <w:sz w:val="24"/>
          <w:lang w:val="cs-CZ"/>
        </w:rPr>
        <w:t xml:space="preserve">. </w:t>
      </w:r>
      <w:r w:rsidR="08651C2A" w:rsidRPr="003D1E07">
        <w:t xml:space="preserve">Smysly jsou v řádu účinné kauzality přímo aktivovány od reálných věcí. </w:t>
      </w:r>
      <w:r w:rsidRPr="003D1E07">
        <w:rPr>
          <w:rStyle w:val="Zkladntext158dkovn0pt"/>
          <w:color w:val="auto"/>
          <w:spacing w:val="0"/>
          <w:sz w:val="24"/>
          <w:lang w:val="cs-CZ"/>
        </w:rPr>
        <w:t xml:space="preserve">Pak následuje mediace smyslových </w:t>
      </w:r>
      <w:r w:rsidR="00F214C5" w:rsidRPr="003D1E07">
        <w:rPr>
          <w:rStyle w:val="Zkladntext158dkovn0pt"/>
          <w:color w:val="auto"/>
          <w:spacing w:val="0"/>
          <w:sz w:val="24"/>
          <w:lang w:val="cs-CZ"/>
        </w:rPr>
        <w:t>species</w:t>
      </w:r>
      <w:r w:rsidRPr="003D1E07">
        <w:rPr>
          <w:rStyle w:val="Zkladntext158dkovn0pt"/>
          <w:color w:val="auto"/>
          <w:spacing w:val="0"/>
          <w:sz w:val="24"/>
          <w:lang w:val="cs-CZ"/>
        </w:rPr>
        <w:t xml:space="preserve"> skrze formální kau</w:t>
      </w:r>
      <w:r w:rsidR="007D120B">
        <w:rPr>
          <w:rStyle w:val="Zkladntext158dkovn0pt"/>
          <w:color w:val="auto"/>
          <w:spacing w:val="0"/>
          <w:sz w:val="24"/>
          <w:lang w:val="cs-CZ"/>
        </w:rPr>
        <w:t xml:space="preserve">zalitu receptivní složky dané ve </w:t>
      </w:r>
      <w:r w:rsidRPr="003D1E07">
        <w:rPr>
          <w:rStyle w:val="Zkladntext158dkovn0pt"/>
          <w:color w:val="auto"/>
          <w:spacing w:val="0"/>
          <w:sz w:val="24"/>
          <w:lang w:val="cs-CZ"/>
        </w:rPr>
        <w:t xml:space="preserve">schopnosti </w:t>
      </w:r>
      <w:r w:rsidRPr="003D1E07">
        <w:rPr>
          <w:rStyle w:val="Zkladntext158dkovn0pt"/>
          <w:i/>
          <w:color w:val="auto"/>
          <w:spacing w:val="0"/>
          <w:sz w:val="24"/>
          <w:lang w:val="cs-CZ"/>
        </w:rPr>
        <w:t>anima intellectiva</w:t>
      </w:r>
      <w:r w:rsidR="00973EE9" w:rsidRPr="003D1E07">
        <w:rPr>
          <w:rStyle w:val="Zkladntext158dkovn0pt"/>
          <w:color w:val="auto"/>
          <w:spacing w:val="0"/>
          <w:sz w:val="24"/>
          <w:lang w:val="cs-CZ"/>
        </w:rPr>
        <w:t xml:space="preserve"> nebo zvířecí </w:t>
      </w:r>
      <w:r w:rsidR="00973EE9" w:rsidRPr="003D1E07">
        <w:rPr>
          <w:rStyle w:val="Zkladntext158dkovn0pt"/>
          <w:i/>
          <w:color w:val="auto"/>
          <w:spacing w:val="0"/>
          <w:sz w:val="24"/>
          <w:lang w:val="cs-CZ"/>
        </w:rPr>
        <w:t>vis aestimativa</w:t>
      </w:r>
      <w:r w:rsidR="00973EE9" w:rsidRPr="003D1E07">
        <w:rPr>
          <w:rStyle w:val="Zkladntext158dkovn0pt"/>
          <w:i/>
          <w:color w:val="auto"/>
          <w:spacing w:val="0"/>
          <w:sz w:val="24"/>
          <w:lang w:val="cs-CZ"/>
        </w:rPr>
        <w:fldChar w:fldCharType="begin"/>
      </w:r>
      <w:r w:rsidR="00973EE9" w:rsidRPr="003D1E07">
        <w:instrText xml:space="preserve"> XE "</w:instrText>
      </w:r>
      <w:r w:rsidR="00973EE9" w:rsidRPr="003D1E07">
        <w:rPr>
          <w:rStyle w:val="Zkladntext158dkovn0pt"/>
          <w:i/>
          <w:color w:val="auto"/>
          <w:spacing w:val="0"/>
          <w:sz w:val="24"/>
          <w:lang w:val="cs-CZ"/>
        </w:rPr>
        <w:instrText>vis aestimativa</w:instrText>
      </w:r>
      <w:r w:rsidR="00973EE9" w:rsidRPr="003D1E07">
        <w:instrText xml:space="preserve">" </w:instrText>
      </w:r>
      <w:r w:rsidR="00973EE9" w:rsidRPr="003D1E07">
        <w:rPr>
          <w:rStyle w:val="Zkladntext158dkovn0pt"/>
          <w:i/>
          <w:color w:val="auto"/>
          <w:spacing w:val="0"/>
          <w:sz w:val="24"/>
          <w:lang w:val="cs-CZ"/>
        </w:rPr>
        <w:fldChar w:fldCharType="end"/>
      </w:r>
      <w:r w:rsidR="00973EE9" w:rsidRPr="003D1E07">
        <w:rPr>
          <w:rStyle w:val="Zkladntext158dkovn0pt"/>
          <w:color w:val="auto"/>
          <w:spacing w:val="0"/>
          <w:sz w:val="24"/>
          <w:lang w:val="cs-CZ"/>
        </w:rPr>
        <w:t xml:space="preserve">. </w:t>
      </w:r>
      <w:r w:rsidR="00B176B8" w:rsidRPr="003D1E07">
        <w:rPr>
          <w:rStyle w:val="Zkladntext158dkovn0pt"/>
          <w:color w:val="auto"/>
          <w:spacing w:val="0"/>
          <w:sz w:val="24"/>
          <w:lang w:val="cs-CZ"/>
        </w:rPr>
        <w:t xml:space="preserve">Tuto </w:t>
      </w:r>
      <w:r w:rsidR="08DB34CB" w:rsidRPr="003D1E07">
        <w:rPr>
          <w:rStyle w:val="Zkladntext158dkovn0pt"/>
          <w:color w:val="auto"/>
          <w:spacing w:val="0"/>
          <w:sz w:val="24"/>
          <w:lang w:val="cs-CZ"/>
        </w:rPr>
        <w:t xml:space="preserve">formální </w:t>
      </w:r>
      <w:r w:rsidR="00B176B8" w:rsidRPr="003D1E07">
        <w:rPr>
          <w:rStyle w:val="Zkladntext158dkovn0pt"/>
          <w:color w:val="auto"/>
          <w:spacing w:val="0"/>
          <w:sz w:val="24"/>
          <w:lang w:val="cs-CZ"/>
        </w:rPr>
        <w:t xml:space="preserve">kauzalitu už nahradit nelze, protože je činností </w:t>
      </w:r>
      <w:r w:rsidR="0093784C" w:rsidRPr="003D1E07">
        <w:rPr>
          <w:rStyle w:val="Zkladntext158dkovn0pt"/>
          <w:color w:val="auto"/>
          <w:spacing w:val="0"/>
          <w:sz w:val="24"/>
          <w:lang w:val="cs-CZ"/>
        </w:rPr>
        <w:t xml:space="preserve">individuální </w:t>
      </w:r>
      <w:r w:rsidR="00B176B8" w:rsidRPr="003D1E07">
        <w:rPr>
          <w:rStyle w:val="Zkladntext158dkovn0pt"/>
          <w:color w:val="auto"/>
          <w:spacing w:val="0"/>
          <w:sz w:val="24"/>
          <w:lang w:val="cs-CZ"/>
        </w:rPr>
        <w:t xml:space="preserve">duše, </w:t>
      </w:r>
      <w:r w:rsidR="009B1082" w:rsidRPr="003D1E07">
        <w:rPr>
          <w:rStyle w:val="Zkladntext158dkovn0pt"/>
          <w:color w:val="auto"/>
          <w:spacing w:val="0"/>
          <w:sz w:val="24"/>
          <w:lang w:val="cs-CZ"/>
        </w:rPr>
        <w:t>která je nemater</w:t>
      </w:r>
      <w:r w:rsidR="00FE4336" w:rsidRPr="003D1E07">
        <w:rPr>
          <w:rStyle w:val="Zkladntext158dkovn0pt"/>
          <w:color w:val="auto"/>
          <w:spacing w:val="0"/>
          <w:sz w:val="24"/>
          <w:lang w:val="cs-CZ"/>
        </w:rPr>
        <w:t>i</w:t>
      </w:r>
      <w:r w:rsidR="009B1082" w:rsidRPr="003D1E07">
        <w:rPr>
          <w:rStyle w:val="Zkladntext158dkovn0pt"/>
          <w:color w:val="auto"/>
          <w:spacing w:val="0"/>
          <w:sz w:val="24"/>
          <w:lang w:val="cs-CZ"/>
        </w:rPr>
        <w:t xml:space="preserve">ální formou </w:t>
      </w:r>
      <w:r w:rsidR="083C1A4E" w:rsidRPr="003D1E07">
        <w:rPr>
          <w:rStyle w:val="Zkladntext158dkovn0pt"/>
          <w:color w:val="auto"/>
          <w:spacing w:val="0"/>
          <w:sz w:val="24"/>
          <w:lang w:val="cs-CZ"/>
        </w:rPr>
        <w:t>hyleformického těla</w:t>
      </w:r>
      <w:r w:rsidR="009B1082" w:rsidRPr="003D1E07">
        <w:rPr>
          <w:rStyle w:val="Zkladntext158dkovn0pt"/>
          <w:color w:val="auto"/>
          <w:spacing w:val="0"/>
          <w:sz w:val="24"/>
          <w:lang w:val="cs-CZ"/>
        </w:rPr>
        <w:t xml:space="preserve">. </w:t>
      </w:r>
      <w:r w:rsidR="002C7A6A">
        <w:rPr>
          <w:rStyle w:val="Zkladntext158dkovn0pt"/>
          <w:color w:val="auto"/>
          <w:spacing w:val="0"/>
          <w:sz w:val="24"/>
          <w:lang w:val="cs-CZ"/>
        </w:rPr>
        <w:t>Protože diafanum je založeno na formální a tedy nemateriální kauzalitě, pak mají nemateriální poznání i zvířata</w:t>
      </w:r>
      <w:r w:rsidR="00EC1ECA">
        <w:rPr>
          <w:rStyle w:val="Zkladntext158dkovn0pt"/>
          <w:color w:val="auto"/>
          <w:spacing w:val="0"/>
          <w:sz w:val="24"/>
          <w:lang w:val="cs-CZ"/>
        </w:rPr>
        <w:t xml:space="preserve"> </w:t>
      </w:r>
      <w:r w:rsidR="00EC1ECA" w:rsidRPr="003D1E07">
        <w:rPr>
          <w:rStyle w:val="Zkladntext158dkovn0pt"/>
          <w:color w:val="auto"/>
          <w:spacing w:val="0"/>
          <w:sz w:val="24"/>
          <w:lang w:val="cs-CZ"/>
        </w:rPr>
        <w:t>(</w:t>
      </w:r>
      <w:r w:rsidR="00EC1ECA" w:rsidRPr="003D1E07">
        <w:rPr>
          <w:rStyle w:val="Zkladntext158dkovn0pt"/>
          <w:i/>
          <w:color w:val="auto"/>
          <w:spacing w:val="0"/>
          <w:sz w:val="24"/>
          <w:lang w:val="cs-CZ"/>
        </w:rPr>
        <w:t>esse spirituale</w:t>
      </w:r>
      <w:r w:rsidR="00F073C7">
        <w:rPr>
          <w:rStyle w:val="Zkladntext158dkovn0pt"/>
          <w:i/>
          <w:color w:val="auto"/>
          <w:spacing w:val="0"/>
          <w:sz w:val="24"/>
          <w:lang w:val="cs-CZ"/>
        </w:rPr>
        <w:fldChar w:fldCharType="begin"/>
      </w:r>
      <w:r w:rsidR="00F073C7">
        <w:instrText xml:space="preserve"> XE "</w:instrText>
      </w:r>
      <w:r w:rsidR="00F073C7" w:rsidRPr="005B7B2F">
        <w:rPr>
          <w:rStyle w:val="Zkladntext158dkovn0pt"/>
          <w:i/>
          <w:color w:val="auto"/>
          <w:spacing w:val="0"/>
          <w:sz w:val="24"/>
          <w:lang w:val="cs-CZ"/>
        </w:rPr>
        <w:instrText>esse spirituale</w:instrText>
      </w:r>
      <w:r w:rsidR="00F073C7">
        <w:instrText xml:space="preserve">" </w:instrText>
      </w:r>
      <w:r w:rsidR="00F073C7">
        <w:rPr>
          <w:rStyle w:val="Zkladntext158dkovn0pt"/>
          <w:i/>
          <w:color w:val="auto"/>
          <w:spacing w:val="0"/>
          <w:sz w:val="24"/>
          <w:lang w:val="cs-CZ"/>
        </w:rPr>
        <w:fldChar w:fldCharType="end"/>
      </w:r>
      <w:r w:rsidR="0037710F" w:rsidRPr="0037710F">
        <w:rPr>
          <w:rStyle w:val="Zkladntext158dkovn0pt"/>
          <w:i/>
          <w:color w:val="auto"/>
          <w:spacing w:val="0"/>
          <w:sz w:val="24"/>
          <w:vertAlign w:val="superscript"/>
          <w:lang w:val="cs-CZ"/>
        </w:rPr>
        <w:t>1</w:t>
      </w:r>
      <w:r w:rsidR="00EC1ECA" w:rsidRPr="003D1E07">
        <w:rPr>
          <w:rStyle w:val="Zkladntext158dkovn0pt"/>
          <w:color w:val="auto"/>
          <w:spacing w:val="0"/>
          <w:sz w:val="24"/>
          <w:lang w:val="cs-CZ"/>
        </w:rPr>
        <w:t>)</w:t>
      </w:r>
      <w:r w:rsidR="002C7A6A">
        <w:rPr>
          <w:rStyle w:val="Zkladntext158dkovn0pt"/>
          <w:color w:val="auto"/>
          <w:spacing w:val="0"/>
          <w:sz w:val="24"/>
          <w:lang w:val="cs-CZ"/>
        </w:rPr>
        <w:t xml:space="preserve">, i když jejich poznání nemá intelektuální charakter. </w:t>
      </w:r>
      <w:r w:rsidR="009B1082" w:rsidRPr="003D1E07">
        <w:rPr>
          <w:rStyle w:val="Zkladntext158dkovn0pt"/>
          <w:color w:val="auto"/>
          <w:spacing w:val="0"/>
          <w:sz w:val="24"/>
          <w:lang w:val="cs-CZ"/>
        </w:rPr>
        <w:t>Mediace od smyslů vytváří intencionální výkon</w:t>
      </w:r>
      <w:r w:rsidR="00B176B8" w:rsidRPr="003D1E07">
        <w:rPr>
          <w:rStyle w:val="Zkladntext158dkovn0pt"/>
          <w:color w:val="auto"/>
          <w:spacing w:val="0"/>
          <w:sz w:val="24"/>
          <w:lang w:val="cs-CZ"/>
        </w:rPr>
        <w:t xml:space="preserve"> </w:t>
      </w:r>
      <w:r w:rsidR="08B73ED9" w:rsidRPr="003D1E07">
        <w:rPr>
          <w:rStyle w:val="Zkladntext158dkovn0pt"/>
          <w:color w:val="auto"/>
          <w:spacing w:val="0"/>
          <w:sz w:val="24"/>
          <w:lang w:val="cs-CZ"/>
        </w:rPr>
        <w:t xml:space="preserve">jedinečného a </w:t>
      </w:r>
      <w:r w:rsidR="086A0B6D" w:rsidRPr="003D1E07">
        <w:rPr>
          <w:rStyle w:val="Zkladntext158dkovn0pt"/>
          <w:color w:val="auto"/>
          <w:spacing w:val="0"/>
          <w:sz w:val="24"/>
          <w:lang w:val="cs-CZ"/>
        </w:rPr>
        <w:lastRenderedPageBreak/>
        <w:t>nenahradite</w:t>
      </w:r>
      <w:r w:rsidR="08B73ED9" w:rsidRPr="003D1E07">
        <w:rPr>
          <w:rStyle w:val="Zkladntext158dkovn0pt"/>
          <w:color w:val="auto"/>
          <w:spacing w:val="0"/>
          <w:sz w:val="24"/>
          <w:lang w:val="cs-CZ"/>
        </w:rPr>
        <w:t>l</w:t>
      </w:r>
      <w:r w:rsidR="086A0B6D" w:rsidRPr="003D1E07">
        <w:rPr>
          <w:rStyle w:val="Zkladntext158dkovn0pt"/>
          <w:color w:val="auto"/>
          <w:spacing w:val="0"/>
          <w:sz w:val="24"/>
          <w:lang w:val="cs-CZ"/>
        </w:rPr>
        <w:t xml:space="preserve">ného </w:t>
      </w:r>
      <w:r w:rsidR="00E5496F" w:rsidRPr="003D1E07">
        <w:rPr>
          <w:rStyle w:val="Zkladntext158dkovn0pt"/>
          <w:color w:val="auto"/>
          <w:spacing w:val="0"/>
          <w:sz w:val="24"/>
          <w:lang w:val="cs-CZ"/>
        </w:rPr>
        <w:t>poznání</w:t>
      </w:r>
      <w:r w:rsidR="086A0B6D" w:rsidRPr="003D1E07">
        <w:rPr>
          <w:rStyle w:val="Zkladntext158dkovn0pt"/>
          <w:color w:val="auto"/>
          <w:spacing w:val="0"/>
          <w:sz w:val="24"/>
          <w:lang w:val="cs-CZ"/>
        </w:rPr>
        <w:t xml:space="preserve"> zvířat a lidí</w:t>
      </w:r>
      <w:r w:rsidR="00FA1731">
        <w:rPr>
          <w:rStyle w:val="Zkladntext158dkovn0pt"/>
          <w:color w:val="auto"/>
          <w:spacing w:val="0"/>
          <w:sz w:val="24"/>
          <w:lang w:val="cs-CZ"/>
        </w:rPr>
        <w:t xml:space="preserve">. Obojí poznání je nemateriální, ale </w:t>
      </w:r>
      <w:r w:rsidR="00875C51" w:rsidRPr="003D1E07">
        <w:rPr>
          <w:rStyle w:val="Zkladntext158dkovn0pt"/>
          <w:color w:val="auto"/>
          <w:spacing w:val="0"/>
          <w:sz w:val="24"/>
          <w:lang w:val="cs-CZ"/>
        </w:rPr>
        <w:t xml:space="preserve">má </w:t>
      </w:r>
      <w:r w:rsidR="086A0B6D" w:rsidRPr="003D1E07">
        <w:rPr>
          <w:rStyle w:val="Zkladntext158dkovn0pt"/>
          <w:color w:val="auto"/>
          <w:spacing w:val="0"/>
          <w:sz w:val="24"/>
          <w:lang w:val="cs-CZ"/>
        </w:rPr>
        <w:t xml:space="preserve">u člověka </w:t>
      </w:r>
      <w:r w:rsidR="00F47E5D" w:rsidRPr="003D1E07">
        <w:rPr>
          <w:rStyle w:val="Zkladntext158dkovn0pt"/>
          <w:color w:val="auto"/>
          <w:spacing w:val="0"/>
          <w:sz w:val="24"/>
          <w:lang w:val="cs-CZ"/>
        </w:rPr>
        <w:t xml:space="preserve">plně </w:t>
      </w:r>
      <w:r w:rsidR="00E5496F" w:rsidRPr="003D1E07">
        <w:rPr>
          <w:rStyle w:val="Zkladntext158dkovn0pt"/>
          <w:color w:val="auto"/>
          <w:spacing w:val="0"/>
          <w:sz w:val="24"/>
          <w:lang w:val="cs-CZ"/>
        </w:rPr>
        <w:t>inteligibilní</w:t>
      </w:r>
      <w:r w:rsidR="00875C51" w:rsidRPr="003D1E07">
        <w:rPr>
          <w:rStyle w:val="Zkladntext158dkovn0pt"/>
          <w:color w:val="auto"/>
          <w:spacing w:val="0"/>
          <w:sz w:val="24"/>
          <w:lang w:val="cs-CZ"/>
        </w:rPr>
        <w:t xml:space="preserve"> </w:t>
      </w:r>
      <w:r w:rsidR="00FA1731">
        <w:rPr>
          <w:rStyle w:val="Zkladntext158dkovn0pt"/>
          <w:color w:val="auto"/>
          <w:spacing w:val="0"/>
          <w:sz w:val="24"/>
          <w:lang w:val="cs-CZ"/>
        </w:rPr>
        <w:t xml:space="preserve">a universální </w:t>
      </w:r>
      <w:r w:rsidR="00875C51" w:rsidRPr="003D1E07">
        <w:rPr>
          <w:rStyle w:val="Zkladntext158dkovn0pt"/>
          <w:color w:val="auto"/>
          <w:spacing w:val="0"/>
          <w:sz w:val="24"/>
          <w:lang w:val="cs-CZ"/>
        </w:rPr>
        <w:t>charakter</w:t>
      </w:r>
      <w:r w:rsidR="00B176B8" w:rsidRPr="003D1E07">
        <w:rPr>
          <w:rStyle w:val="Zkladntext158dkovn0pt"/>
          <w:color w:val="auto"/>
          <w:spacing w:val="0"/>
          <w:sz w:val="24"/>
          <w:lang w:val="cs-CZ"/>
        </w:rPr>
        <w:t xml:space="preserve">. </w:t>
      </w:r>
      <w:r w:rsidRPr="003D1E07">
        <w:rPr>
          <w:rStyle w:val="Zkladntext158dkovn0pt"/>
          <w:color w:val="auto"/>
          <w:spacing w:val="0"/>
          <w:sz w:val="24"/>
          <w:lang w:val="cs-CZ"/>
        </w:rPr>
        <w:t xml:space="preserve">Receptivní nemateriální intelekt je nasvícen smysly a tento směr </w:t>
      </w:r>
      <w:r w:rsidR="081B3C7A" w:rsidRPr="003D1E07">
        <w:rPr>
          <w:rStyle w:val="Zkladntext158dkovn0pt"/>
          <w:color w:val="auto"/>
          <w:spacing w:val="0"/>
          <w:sz w:val="24"/>
          <w:lang w:val="cs-CZ"/>
        </w:rPr>
        <w:t xml:space="preserve">obrácení pozornosti </w:t>
      </w:r>
      <w:r w:rsidRPr="003D1E07">
        <w:rPr>
          <w:rStyle w:val="Zkladntext158dkovn0pt"/>
          <w:color w:val="auto"/>
          <w:spacing w:val="0"/>
          <w:sz w:val="24"/>
          <w:lang w:val="cs-CZ"/>
        </w:rPr>
        <w:t>(</w:t>
      </w:r>
      <w:r w:rsidRPr="003D1E07">
        <w:rPr>
          <w:rStyle w:val="Zkladntext158dkovn0pt"/>
          <w:i/>
          <w:color w:val="auto"/>
          <w:spacing w:val="0"/>
          <w:sz w:val="24"/>
          <w:lang w:val="cs-CZ"/>
        </w:rPr>
        <w:t>intentio</w:t>
      </w:r>
      <w:r w:rsidRPr="003D1E07">
        <w:rPr>
          <w:rStyle w:val="Zkladntext158dkovn0pt"/>
          <w:color w:val="auto"/>
          <w:spacing w:val="0"/>
          <w:sz w:val="24"/>
          <w:lang w:val="cs-CZ"/>
        </w:rPr>
        <w:t xml:space="preserve">) </w:t>
      </w:r>
      <w:r w:rsidR="081C47F1" w:rsidRPr="003D1E07">
        <w:rPr>
          <w:rStyle w:val="Zkladntext158dkovn0pt"/>
          <w:color w:val="auto"/>
          <w:spacing w:val="0"/>
          <w:sz w:val="24"/>
          <w:lang w:val="cs-CZ"/>
        </w:rPr>
        <w:t xml:space="preserve">intelektu </w:t>
      </w:r>
      <w:r w:rsidRPr="003D1E07">
        <w:rPr>
          <w:rStyle w:val="Zkladntext158dkovn0pt"/>
          <w:color w:val="auto"/>
          <w:spacing w:val="0"/>
          <w:sz w:val="24"/>
          <w:lang w:val="cs-CZ"/>
        </w:rPr>
        <w:t>dává základní dráhu náhledu na jsoucno (</w:t>
      </w:r>
      <w:r w:rsidRPr="003D1E07">
        <w:rPr>
          <w:rStyle w:val="Zkladntext158dkovn0pt"/>
          <w:i/>
          <w:color w:val="auto"/>
          <w:spacing w:val="0"/>
          <w:sz w:val="24"/>
          <w:lang w:val="cs-CZ"/>
        </w:rPr>
        <w:t>formale Anzeige</w:t>
      </w:r>
      <w:r w:rsidR="00AF2A73" w:rsidRPr="003D1E07">
        <w:rPr>
          <w:rStyle w:val="Zkladntext158dkovn0pt"/>
          <w:i/>
          <w:color w:val="auto"/>
          <w:spacing w:val="0"/>
          <w:sz w:val="24"/>
          <w:lang w:val="cs-CZ"/>
        </w:rPr>
        <w:fldChar w:fldCharType="begin"/>
      </w:r>
      <w:r w:rsidR="00AF2A73" w:rsidRPr="003D1E07">
        <w:instrText xml:space="preserve"> XE "</w:instrText>
      </w:r>
      <w:r w:rsidR="00AF2A73" w:rsidRPr="003D1E07">
        <w:rPr>
          <w:rStyle w:val="Zkladntext158dkovn0pt"/>
          <w:i/>
          <w:color w:val="auto"/>
          <w:spacing w:val="0"/>
          <w:sz w:val="24"/>
          <w:lang w:val="cs-CZ"/>
        </w:rPr>
        <w:instrText>formale Anzeige</w:instrText>
      </w:r>
      <w:r w:rsidR="00AF2A73" w:rsidRPr="003D1E07">
        <w:instrText xml:space="preserve">" </w:instrText>
      </w:r>
      <w:r w:rsidR="00AF2A73" w:rsidRPr="003D1E07">
        <w:rPr>
          <w:rStyle w:val="Zkladntext158dkovn0pt"/>
          <w:i/>
          <w:color w:val="auto"/>
          <w:spacing w:val="0"/>
          <w:sz w:val="24"/>
          <w:lang w:val="cs-CZ"/>
        </w:rPr>
        <w:fldChar w:fldCharType="end"/>
      </w:r>
      <w:r w:rsidRPr="003D1E07">
        <w:rPr>
          <w:rStyle w:val="Zkladntext158dkovn0pt"/>
          <w:color w:val="auto"/>
          <w:spacing w:val="0"/>
          <w:sz w:val="24"/>
          <w:lang w:val="cs-CZ"/>
        </w:rPr>
        <w:t xml:space="preserve">, </w:t>
      </w:r>
      <w:r w:rsidRPr="003D1E07">
        <w:rPr>
          <w:rStyle w:val="Zkladntext158dkovn0pt"/>
          <w:i/>
          <w:color w:val="auto"/>
          <w:spacing w:val="0"/>
          <w:sz w:val="24"/>
          <w:lang w:val="cs-CZ"/>
        </w:rPr>
        <w:t>Vor-blickbahn</w:t>
      </w:r>
      <w:r w:rsidR="006B28CF" w:rsidRPr="003D1E07">
        <w:rPr>
          <w:rStyle w:val="Zkladntext158dkovn0pt"/>
          <w:i/>
          <w:color w:val="auto"/>
          <w:spacing w:val="0"/>
          <w:sz w:val="24"/>
          <w:lang w:val="cs-CZ"/>
        </w:rPr>
        <w:fldChar w:fldCharType="begin"/>
      </w:r>
      <w:r w:rsidR="006B28CF" w:rsidRPr="003D1E07">
        <w:instrText xml:space="preserve"> XE "</w:instrText>
      </w:r>
      <w:r w:rsidR="08106DC9" w:rsidRPr="003D1E07">
        <w:rPr>
          <w:i/>
        </w:rPr>
        <w:instrText>Vor-</w:instrText>
      </w:r>
      <w:r w:rsidR="006B28CF" w:rsidRPr="003D1E07">
        <w:rPr>
          <w:i/>
        </w:rPr>
        <w:instrText>b</w:instrText>
      </w:r>
      <w:r w:rsidR="006B28CF" w:rsidRPr="003D1E07">
        <w:rPr>
          <w:i/>
          <w:iCs/>
        </w:rPr>
        <w:instrText>lickbahn</w:instrText>
      </w:r>
      <w:r w:rsidR="00AF2A73" w:rsidRPr="003D1E07">
        <w:rPr>
          <w:iCs/>
        </w:rPr>
        <w:instrText>:</w:instrText>
      </w:r>
      <w:r w:rsidR="002E3B62" w:rsidRPr="003D1E07">
        <w:rPr>
          <w:iCs/>
        </w:rPr>
        <w:instrText>Averroes</w:instrText>
      </w:r>
      <w:r w:rsidR="006B28CF" w:rsidRPr="003D1E07">
        <w:instrText xml:space="preserve">" </w:instrText>
      </w:r>
      <w:r w:rsidR="006B28CF" w:rsidRPr="003D1E07">
        <w:rPr>
          <w:rStyle w:val="Zkladntext158dkovn0pt"/>
          <w:i/>
          <w:color w:val="auto"/>
          <w:spacing w:val="0"/>
          <w:sz w:val="24"/>
          <w:lang w:val="cs-CZ"/>
        </w:rPr>
        <w:fldChar w:fldCharType="end"/>
      </w:r>
      <w:r w:rsidRPr="003D1E07">
        <w:rPr>
          <w:rStyle w:val="Zkladntext158dkovn0pt"/>
          <w:color w:val="auto"/>
          <w:spacing w:val="0"/>
          <w:sz w:val="24"/>
          <w:lang w:val="cs-CZ"/>
        </w:rPr>
        <w:t xml:space="preserve">, kap. 1). </w:t>
      </w:r>
      <w:r w:rsidR="00366BA0" w:rsidRPr="003D1E07">
        <w:t>Nasvícení zepředu je dané formálně od smyslově aktualizovaných forem (</w:t>
      </w:r>
      <w:r w:rsidR="00366BA0" w:rsidRPr="003D1E07">
        <w:rPr>
          <w:i/>
        </w:rPr>
        <w:t>diaphanum</w:t>
      </w:r>
      <w:r w:rsidR="00366BA0" w:rsidRPr="003D1E07">
        <w:rPr>
          <w:vertAlign w:val="superscript"/>
        </w:rPr>
        <w:t>1</w:t>
      </w:r>
      <w:r w:rsidR="00366BA0" w:rsidRPr="003D1E07">
        <w:t>)</w:t>
      </w:r>
      <w:r w:rsidR="08382550" w:rsidRPr="003D1E07">
        <w:t xml:space="preserve">. Tuto schopnost </w:t>
      </w:r>
      <w:r w:rsidR="08E2772A" w:rsidRPr="003D1E07">
        <w:t xml:space="preserve">poznání danou skrze </w:t>
      </w:r>
      <w:r w:rsidR="08382550" w:rsidRPr="003D1E07">
        <w:t xml:space="preserve">přijetí smyslových forem </w:t>
      </w:r>
      <w:r w:rsidR="081C47F1" w:rsidRPr="003D1E07">
        <w:t>mají i zvířata</w:t>
      </w:r>
      <w:r w:rsidR="08E2772A" w:rsidRPr="003D1E07">
        <w:t>, protože recipované smyslové intence</w:t>
      </w:r>
      <w:r w:rsidR="081C47F1" w:rsidRPr="003D1E07">
        <w:t xml:space="preserve"> </w:t>
      </w:r>
      <w:r w:rsidR="08E2772A" w:rsidRPr="003D1E07">
        <w:t xml:space="preserve">aktivně </w:t>
      </w:r>
      <w:r w:rsidR="081C47F1" w:rsidRPr="003D1E07">
        <w:t>s</w:t>
      </w:r>
      <w:r w:rsidR="08E2772A" w:rsidRPr="003D1E07">
        <w:t>yntetizuje</w:t>
      </w:r>
      <w:r w:rsidR="081C47F1" w:rsidRPr="003D1E07">
        <w:t xml:space="preserve"> </w:t>
      </w:r>
      <w:r w:rsidR="081C47F1" w:rsidRPr="003D1E07">
        <w:rPr>
          <w:i/>
        </w:rPr>
        <w:t>sensus communis</w:t>
      </w:r>
      <w:r w:rsidR="081C47F1" w:rsidRPr="003D1E07">
        <w:t xml:space="preserve">. </w:t>
      </w:r>
      <w:r w:rsidR="00A60F30" w:rsidRPr="003D1E07">
        <w:rPr>
          <w:rStyle w:val="Zkladntext158dkovn0pt"/>
          <w:color w:val="auto"/>
          <w:spacing w:val="0"/>
          <w:sz w:val="24"/>
          <w:lang w:val="cs-CZ"/>
        </w:rPr>
        <w:t>N</w:t>
      </w:r>
      <w:r w:rsidRPr="003D1E07">
        <w:t xml:space="preserve">emateriální </w:t>
      </w:r>
      <w:r w:rsidR="00A60F30" w:rsidRPr="003D1E07">
        <w:t xml:space="preserve">podoba diafanum </w:t>
      </w:r>
      <w:r w:rsidR="00F47E5D" w:rsidRPr="003D1E07">
        <w:t xml:space="preserve">je </w:t>
      </w:r>
      <w:r w:rsidR="00A60F30" w:rsidRPr="003D1E07">
        <w:t>dána</w:t>
      </w:r>
      <w:r w:rsidR="0093784C" w:rsidRPr="003D1E07">
        <w:t xml:space="preserve"> jen v člověku</w:t>
      </w:r>
      <w:r w:rsidR="00D5332E" w:rsidRPr="003D1E07">
        <w:rPr>
          <w:i/>
        </w:rPr>
        <w:fldChar w:fldCharType="begin"/>
      </w:r>
      <w:r w:rsidR="00D5332E" w:rsidRPr="003D1E07">
        <w:instrText xml:space="preserve"> XE "</w:instrText>
      </w:r>
      <w:r w:rsidR="00AF2A73" w:rsidRPr="003D1E07">
        <w:instrText>diafanum:dvojí funkce</w:instrText>
      </w:r>
      <w:r w:rsidR="00D5332E" w:rsidRPr="003D1E07">
        <w:instrText xml:space="preserve">" </w:instrText>
      </w:r>
      <w:r w:rsidR="00D5332E" w:rsidRPr="003D1E07">
        <w:rPr>
          <w:i/>
        </w:rPr>
        <w:fldChar w:fldCharType="end"/>
      </w:r>
      <w:r w:rsidR="080617BB" w:rsidRPr="003D1E07">
        <w:t>. T</w:t>
      </w:r>
      <w:r w:rsidR="00A60F30" w:rsidRPr="003D1E07">
        <w:t xml:space="preserve">ato </w:t>
      </w:r>
      <w:r w:rsidR="080617BB" w:rsidRPr="003D1E07">
        <w:t xml:space="preserve">receptivní </w:t>
      </w:r>
      <w:r w:rsidR="00A60F30" w:rsidRPr="003D1E07">
        <w:t>potence působí v prostředí nemateriální mediace a je nasvícena skrze činný intelekt (</w:t>
      </w:r>
      <w:r w:rsidR="00A60F30" w:rsidRPr="003D1E07">
        <w:rPr>
          <w:i/>
        </w:rPr>
        <w:t>diaphanum</w:t>
      </w:r>
      <w:r w:rsidR="00A60F30" w:rsidRPr="003D1E07">
        <w:rPr>
          <w:vertAlign w:val="superscript"/>
        </w:rPr>
        <w:t>2</w:t>
      </w:r>
      <w:r w:rsidR="00A60F30" w:rsidRPr="003D1E07">
        <w:t xml:space="preserve">). </w:t>
      </w:r>
      <w:r w:rsidR="08450825" w:rsidRPr="003D1E07">
        <w:t>Inteligibilní p</w:t>
      </w:r>
      <w:r w:rsidR="00366BA0" w:rsidRPr="003D1E07">
        <w:rPr>
          <w:rStyle w:val="Zkladntext158dkovn0pt"/>
          <w:color w:val="auto"/>
          <w:spacing w:val="0"/>
          <w:sz w:val="24"/>
          <w:lang w:val="cs-CZ"/>
        </w:rPr>
        <w:t>oznání da</w:t>
      </w:r>
      <w:r w:rsidR="08450825" w:rsidRPr="003D1E07">
        <w:rPr>
          <w:rStyle w:val="Zkladntext158dkovn0pt"/>
          <w:color w:val="auto"/>
          <w:spacing w:val="0"/>
          <w:sz w:val="24"/>
          <w:lang w:val="cs-CZ"/>
        </w:rPr>
        <w:t xml:space="preserve">né intencionálně, </w:t>
      </w:r>
      <w:r w:rsidR="00366BA0" w:rsidRPr="003D1E07">
        <w:rPr>
          <w:rStyle w:val="Zkladntext158dkovn0pt"/>
          <w:color w:val="auto"/>
          <w:spacing w:val="0"/>
          <w:sz w:val="24"/>
          <w:lang w:val="cs-CZ"/>
        </w:rPr>
        <w:t xml:space="preserve">individuálně a svobodně mediatizuje </w:t>
      </w:r>
      <w:r w:rsidR="00366BA0" w:rsidRPr="003D1E07">
        <w:rPr>
          <w:rStyle w:val="Zkladntext158dkovn0pt"/>
          <w:i/>
          <w:color w:val="auto"/>
          <w:spacing w:val="0"/>
          <w:sz w:val="24"/>
          <w:lang w:val="cs-CZ"/>
        </w:rPr>
        <w:t>intellectus in potentia</w:t>
      </w:r>
      <w:r w:rsidR="00366BA0" w:rsidRPr="003D1E07">
        <w:rPr>
          <w:rStyle w:val="Zkladntext158dkovn0pt"/>
          <w:color w:val="auto"/>
          <w:spacing w:val="0"/>
          <w:sz w:val="24"/>
          <w:lang w:val="cs-CZ"/>
        </w:rPr>
        <w:t xml:space="preserve"> jako spirituální diafanum na úrovni formální kauzality (</w:t>
      </w:r>
      <w:r w:rsidR="0037710F" w:rsidRPr="003D1E07">
        <w:rPr>
          <w:rStyle w:val="Zkladntext158dkovn0pt"/>
          <w:i/>
          <w:color w:val="auto"/>
          <w:spacing w:val="0"/>
          <w:sz w:val="24"/>
          <w:lang w:val="cs-CZ"/>
        </w:rPr>
        <w:t>esse spirituale</w:t>
      </w:r>
      <w:r w:rsidR="0037710F">
        <w:rPr>
          <w:rStyle w:val="Zkladntext158dkovn0pt"/>
          <w:i/>
          <w:color w:val="auto"/>
          <w:spacing w:val="0"/>
          <w:sz w:val="24"/>
          <w:vertAlign w:val="superscript"/>
          <w:lang w:val="cs-CZ"/>
        </w:rPr>
        <w:t>2</w:t>
      </w:r>
      <w:r w:rsidR="00366BA0" w:rsidRPr="003D1E07">
        <w:rPr>
          <w:rStyle w:val="Zkladntext158dkovn0pt"/>
          <w:color w:val="auto"/>
          <w:spacing w:val="0"/>
          <w:sz w:val="24"/>
          <w:lang w:val="cs-CZ"/>
        </w:rPr>
        <w:t xml:space="preserve">). </w:t>
      </w:r>
      <w:r w:rsidR="00F47E5D" w:rsidRPr="003D1E07">
        <w:t xml:space="preserve">Nová forma nemateriálního diafanum </w:t>
      </w:r>
      <w:r w:rsidR="006B2122" w:rsidRPr="003D1E07">
        <w:t>me</w:t>
      </w:r>
      <w:r w:rsidR="00A970C3" w:rsidRPr="003D1E07">
        <w:t>diatizuje poznávací formu, která má nemateriální, int</w:t>
      </w:r>
      <w:r w:rsidR="08901E04" w:rsidRPr="003D1E07">
        <w:t>elektuální</w:t>
      </w:r>
      <w:r w:rsidR="00A970C3" w:rsidRPr="003D1E07">
        <w:t xml:space="preserve"> a univerzální povahu </w:t>
      </w:r>
      <w:r w:rsidR="084C3A24" w:rsidRPr="003D1E07">
        <w:t>(</w:t>
      </w:r>
      <w:r w:rsidR="00F214C5" w:rsidRPr="003D1E07">
        <w:rPr>
          <w:i/>
        </w:rPr>
        <w:t>species</w:t>
      </w:r>
      <w:r w:rsidR="084C3A24" w:rsidRPr="003D1E07">
        <w:rPr>
          <w:i/>
        </w:rPr>
        <w:t xml:space="preserve"> intelligibilis</w:t>
      </w:r>
      <w:r w:rsidR="084C3A24" w:rsidRPr="003D1E07">
        <w:t>)</w:t>
      </w:r>
      <w:r w:rsidR="00A60F30" w:rsidRPr="003D1E07">
        <w:t xml:space="preserve">. </w:t>
      </w:r>
      <w:r w:rsidR="006B2122" w:rsidRPr="003D1E07">
        <w:t>Obo</w:t>
      </w:r>
      <w:r w:rsidR="003567DC" w:rsidRPr="003D1E07">
        <w:t xml:space="preserve">je formy diafanum jsou dány </w:t>
      </w:r>
      <w:r w:rsidR="085352B9" w:rsidRPr="003D1E07">
        <w:t xml:space="preserve">v subjektu </w:t>
      </w:r>
      <w:r w:rsidR="003567DC" w:rsidRPr="003D1E07">
        <w:t xml:space="preserve">pouze potenciálně a obě mediatizují </w:t>
      </w:r>
      <w:r w:rsidR="006B2122" w:rsidRPr="003D1E07">
        <w:t>poznávací formu skrze formální kauzalitu</w:t>
      </w:r>
      <w:r w:rsidR="003567DC" w:rsidRPr="003D1E07">
        <w:t xml:space="preserve">. Toto dvojí diafanum je dáno ve výkonu dvojí intencionality, jednak smyslové a jednak rozumové. Proto je adekvace poznání a věci možná od paprskem nasvícené věci, přes smysly, až k intelektu. </w:t>
      </w:r>
      <w:r w:rsidR="00C53275" w:rsidRPr="003D1E07">
        <w:t>Č</w:t>
      </w:r>
      <w:r w:rsidRPr="003D1E07">
        <w:t xml:space="preserve">istě formální </w:t>
      </w:r>
      <w:r w:rsidR="003567DC" w:rsidRPr="003D1E07">
        <w:t xml:space="preserve">aktualizace </w:t>
      </w:r>
      <w:r w:rsidRPr="003D1E07">
        <w:t>intelektu zajišťuje pravdivé lidské poznání</w:t>
      </w:r>
      <w:r w:rsidR="003555B6">
        <w:t xml:space="preserve"> celku světa</w:t>
      </w:r>
      <w:r w:rsidRPr="003D1E07">
        <w:t xml:space="preserve">, proto je zásadně odlišná od </w:t>
      </w:r>
      <w:r w:rsidR="009A0595" w:rsidRPr="003D1E07">
        <w:t>neoplatonské iluminace</w:t>
      </w:r>
      <w:r w:rsidR="00AF2A73" w:rsidRPr="003D1E07">
        <w:fldChar w:fldCharType="begin"/>
      </w:r>
      <w:r w:rsidR="00AF2A73" w:rsidRPr="003D1E07">
        <w:instrText xml:space="preserve"> XE "iluminace" </w:instrText>
      </w:r>
      <w:r w:rsidR="00AF2A73" w:rsidRPr="003D1E07">
        <w:fldChar w:fldCharType="end"/>
      </w:r>
      <w:r w:rsidR="00F94D7E">
        <w:t>.</w:t>
      </w:r>
    </w:p>
    <w:p w14:paraId="074E0F6F" w14:textId="40022414" w:rsidR="00464FDC" w:rsidRDefault="00A21B04" w:rsidP="001116F4">
      <w:pPr>
        <w:ind w:firstLine="397"/>
      </w:pPr>
      <w:r w:rsidRPr="003D1E07">
        <w:t xml:space="preserve">Díky dvěma stránkám jedné a téže čistě formální potence zjevuje </w:t>
      </w:r>
      <w:r w:rsidRPr="003D1E07">
        <w:rPr>
          <w:i/>
        </w:rPr>
        <w:t>intellectus possibilis</w:t>
      </w:r>
      <w:r w:rsidR="00215B08" w:rsidRPr="003D1E07">
        <w:t xml:space="preserve"> </w:t>
      </w:r>
      <w:r w:rsidR="08855BE4" w:rsidRPr="003D1E07">
        <w:t xml:space="preserve">univerzální formy skrze </w:t>
      </w:r>
      <w:r w:rsidRPr="003D1E07">
        <w:t xml:space="preserve">akt nemateriální </w:t>
      </w:r>
      <w:r w:rsidR="00215B08" w:rsidRPr="003D1E07">
        <w:t xml:space="preserve">a formální </w:t>
      </w:r>
      <w:r w:rsidRPr="003D1E07">
        <w:t>mediace</w:t>
      </w:r>
      <w:r w:rsidR="08750C5F" w:rsidRPr="003D1E07">
        <w:t xml:space="preserve">. </w:t>
      </w:r>
      <w:r w:rsidRPr="003D1E07">
        <w:rPr>
          <w:rStyle w:val="Zkladntext158dkovn0pt"/>
          <w:color w:val="auto"/>
          <w:spacing w:val="0"/>
          <w:sz w:val="24"/>
          <w:lang w:val="cs-CZ"/>
        </w:rPr>
        <w:t xml:space="preserve">Vůči kauzálně danými </w:t>
      </w:r>
      <w:r w:rsidR="00F214C5" w:rsidRPr="003D1E07">
        <w:t>species</w:t>
      </w:r>
      <w:r w:rsidRPr="003D1E07">
        <w:rPr>
          <w:i/>
        </w:rPr>
        <w:t xml:space="preserve"> sensibilis</w:t>
      </w:r>
      <w:r w:rsidRPr="003D1E07">
        <w:t xml:space="preserve"> </w:t>
      </w:r>
      <w:r w:rsidRPr="003D1E07">
        <w:rPr>
          <w:rStyle w:val="Zkladntext158dkovn0pt"/>
          <w:color w:val="auto"/>
          <w:spacing w:val="0"/>
          <w:sz w:val="24"/>
          <w:lang w:val="cs-CZ"/>
        </w:rPr>
        <w:t>vystupuje receptivní intelekt j</w:t>
      </w:r>
      <w:r w:rsidRPr="003D1E07">
        <w:t xml:space="preserve">ako nemateriální potence. Zvířata poznávají </w:t>
      </w:r>
      <w:r w:rsidR="008B570A" w:rsidRPr="003D1E07">
        <w:t>o stupe</w:t>
      </w:r>
      <w:r w:rsidR="08D129EA" w:rsidRPr="003D1E07">
        <w:t xml:space="preserve">ň níže </w:t>
      </w:r>
      <w:r w:rsidR="00215B08" w:rsidRPr="003D1E07">
        <w:t>v</w:t>
      </w:r>
      <w:r w:rsidR="00C74DF8" w:rsidRPr="003D1E07">
        <w:t> řadě: smyslový orgán – smyslová recepce –</w:t>
      </w:r>
      <w:r w:rsidRPr="003D1E07">
        <w:t xml:space="preserve"> </w:t>
      </w:r>
      <w:r w:rsidR="08D233FC" w:rsidRPr="003D1E07">
        <w:t xml:space="preserve">imaginativní </w:t>
      </w:r>
      <w:r w:rsidRPr="003D1E07">
        <w:t>syntéza</w:t>
      </w:r>
      <w:r w:rsidR="00C74DF8" w:rsidRPr="003D1E07">
        <w:t xml:space="preserve"> –</w:t>
      </w:r>
      <w:r w:rsidR="084D7033" w:rsidRPr="003D1E07">
        <w:t xml:space="preserve"> </w:t>
      </w:r>
      <w:r w:rsidR="0892791F" w:rsidRPr="003D1E07">
        <w:t>smyslový úsudek</w:t>
      </w:r>
      <w:r w:rsidRPr="003D1E07">
        <w:t>. S</w:t>
      </w:r>
      <w:r w:rsidR="00DA50AC" w:rsidRPr="003D1E07">
        <w:t xml:space="preserve">myslová </w:t>
      </w:r>
      <w:r w:rsidRPr="003D1E07">
        <w:t xml:space="preserve">intence </w:t>
      </w:r>
      <w:r w:rsidR="00DA50AC" w:rsidRPr="003D1E07">
        <w:t xml:space="preserve">se formalizuje skrze </w:t>
      </w:r>
      <w:r w:rsidRPr="003D1E07">
        <w:rPr>
          <w:i/>
        </w:rPr>
        <w:t>sensus communis</w:t>
      </w:r>
      <w:r w:rsidR="00933505" w:rsidRPr="003D1E07">
        <w:rPr>
          <w:i/>
        </w:rPr>
        <w:fldChar w:fldCharType="begin"/>
      </w:r>
      <w:r w:rsidR="00933505" w:rsidRPr="003D1E07">
        <w:instrText xml:space="preserve"> XE "</w:instrText>
      </w:r>
      <w:r w:rsidR="00933505" w:rsidRPr="003D1E07">
        <w:rPr>
          <w:i/>
        </w:rPr>
        <w:instrText>sensus communis</w:instrText>
      </w:r>
      <w:r w:rsidR="00933505" w:rsidRPr="003D1E07">
        <w:instrText xml:space="preserve">" </w:instrText>
      </w:r>
      <w:r w:rsidR="00933505" w:rsidRPr="003D1E07">
        <w:rPr>
          <w:i/>
        </w:rPr>
        <w:fldChar w:fldCharType="end"/>
      </w:r>
      <w:r w:rsidR="007A2369" w:rsidRPr="003D1E07">
        <w:t xml:space="preserve">, který vytváží předmět v rámci představivosti. </w:t>
      </w:r>
      <w:r w:rsidR="00823D5F" w:rsidRPr="003D1E07">
        <w:t xml:space="preserve">Tento předmět pak </w:t>
      </w:r>
      <w:r w:rsidR="007A2369" w:rsidRPr="003D1E07">
        <w:t xml:space="preserve">zpracovává </w:t>
      </w:r>
      <w:r w:rsidRPr="003D1E07">
        <w:t xml:space="preserve">syntetická činnost v podobě </w:t>
      </w:r>
      <w:r w:rsidRPr="003D1E07">
        <w:rPr>
          <w:i/>
        </w:rPr>
        <w:t>vis aestimativa</w:t>
      </w:r>
      <w:r w:rsidR="00652149" w:rsidRPr="003D1E07">
        <w:rPr>
          <w:i/>
        </w:rPr>
        <w:fldChar w:fldCharType="begin"/>
      </w:r>
      <w:r w:rsidR="00652149" w:rsidRPr="003D1E07">
        <w:instrText xml:space="preserve"> XE "</w:instrText>
      </w:r>
      <w:r w:rsidR="00652149" w:rsidRPr="003D1E07">
        <w:rPr>
          <w:i/>
        </w:rPr>
        <w:instrText>vis aestimativa</w:instrText>
      </w:r>
      <w:r w:rsidR="00652149" w:rsidRPr="003D1E07">
        <w:instrText xml:space="preserve">" </w:instrText>
      </w:r>
      <w:r w:rsidR="00652149" w:rsidRPr="003D1E07">
        <w:rPr>
          <w:i/>
        </w:rPr>
        <w:fldChar w:fldCharType="end"/>
      </w:r>
      <w:r w:rsidRPr="003D1E07">
        <w:t xml:space="preserve">. Diafanum má na první úrovni recepce pouze </w:t>
      </w:r>
      <w:r w:rsidR="003B015F" w:rsidRPr="003D1E07">
        <w:t>subjektivně-</w:t>
      </w:r>
      <w:r w:rsidRPr="003D1E07">
        <w:t>individuální roli</w:t>
      </w:r>
      <w:r w:rsidR="00AF2A73" w:rsidRPr="003D1E07">
        <w:fldChar w:fldCharType="begin"/>
      </w:r>
      <w:r w:rsidR="00AF2A73" w:rsidRPr="003D1E07">
        <w:instrText xml:space="preserve"> XE "intencionalita:zvířata" </w:instrText>
      </w:r>
      <w:r w:rsidR="00AF2A73" w:rsidRPr="003D1E07">
        <w:fldChar w:fldCharType="end"/>
      </w:r>
      <w:r w:rsidRPr="003D1E07">
        <w:t xml:space="preserve">. </w:t>
      </w:r>
      <w:r w:rsidR="003B015F" w:rsidRPr="003D1E07">
        <w:t>Ale tato mediace již běží v nemateriální zvířecí duši, na ro</w:t>
      </w:r>
      <w:r w:rsidR="008B570A" w:rsidRPr="003D1E07">
        <w:t>z</w:t>
      </w:r>
      <w:r w:rsidR="003B015F" w:rsidRPr="003D1E07">
        <w:t xml:space="preserve">díl od čistě materiální recepce ve smyslovém orgánu. </w:t>
      </w:r>
      <w:r w:rsidR="008B570A" w:rsidRPr="003D1E07">
        <w:t xml:space="preserve">Smyslovou </w:t>
      </w:r>
      <w:r w:rsidR="003B015F" w:rsidRPr="003D1E07">
        <w:t xml:space="preserve">recepci </w:t>
      </w:r>
      <w:r w:rsidR="008B570A" w:rsidRPr="003D1E07">
        <w:t xml:space="preserve">danou čistě materiálně </w:t>
      </w:r>
      <w:r w:rsidRPr="003D1E07">
        <w:t xml:space="preserve">můžeme uměle nahradit v tělesném orgánu, či v mozkovém centru slepých a hluchých lidí. </w:t>
      </w:r>
      <w:r w:rsidR="003B015F" w:rsidRPr="003D1E07">
        <w:t xml:space="preserve">Ale </w:t>
      </w:r>
      <w:r w:rsidR="00632BC7" w:rsidRPr="003D1E07">
        <w:t xml:space="preserve">nelze nahradit </w:t>
      </w:r>
      <w:r w:rsidR="003B015F" w:rsidRPr="003D1E07">
        <w:t>schopnost intencionality</w:t>
      </w:r>
      <w:r w:rsidR="081E5742" w:rsidRPr="003D1E07">
        <w:t xml:space="preserve"> a syntézy</w:t>
      </w:r>
      <w:r w:rsidR="003B015F" w:rsidRPr="003D1E07">
        <w:t>, která je individuálním duševním výkonem</w:t>
      </w:r>
      <w:r w:rsidR="00632BC7" w:rsidRPr="003D1E07">
        <w:t xml:space="preserve"> zvířete nebo člověka</w:t>
      </w:r>
      <w:r w:rsidR="00F47707">
        <w:t xml:space="preserve"> (</w:t>
      </w:r>
      <w:r w:rsidR="00F47707" w:rsidRPr="00F47707">
        <w:rPr>
          <w:i/>
        </w:rPr>
        <w:t>esse spirituale</w:t>
      </w:r>
      <w:r w:rsidR="00F073C7">
        <w:rPr>
          <w:i/>
        </w:rPr>
        <w:fldChar w:fldCharType="begin"/>
      </w:r>
      <w:r w:rsidR="00F073C7">
        <w:instrText xml:space="preserve"> XE "</w:instrText>
      </w:r>
      <w:r w:rsidR="00F073C7" w:rsidRPr="00595A5A">
        <w:rPr>
          <w:i/>
        </w:rPr>
        <w:instrText>esse spirituale</w:instrText>
      </w:r>
      <w:r w:rsidR="00F073C7">
        <w:instrText xml:space="preserve">" </w:instrText>
      </w:r>
      <w:r w:rsidR="00F073C7">
        <w:rPr>
          <w:i/>
        </w:rPr>
        <w:fldChar w:fldCharType="end"/>
      </w:r>
      <w:r w:rsidR="00CF479C">
        <w:rPr>
          <w:i/>
          <w:vertAlign w:val="superscript"/>
        </w:rPr>
        <w:t>1–</w:t>
      </w:r>
      <w:r w:rsidR="00F47707" w:rsidRPr="00F47707">
        <w:rPr>
          <w:i/>
          <w:vertAlign w:val="superscript"/>
        </w:rPr>
        <w:t>2</w:t>
      </w:r>
      <w:r w:rsidR="00F47707">
        <w:t>).</w:t>
      </w:r>
      <w:r w:rsidR="003B015F" w:rsidRPr="003D1E07">
        <w:t xml:space="preserve"> </w:t>
      </w:r>
      <w:r w:rsidR="00E66C31" w:rsidRPr="003D1E07">
        <w:t>Syntetická s</w:t>
      </w:r>
      <w:r w:rsidRPr="003D1E07">
        <w:t>chopnost (</w:t>
      </w:r>
      <w:r w:rsidRPr="003D1E07">
        <w:rPr>
          <w:i/>
        </w:rPr>
        <w:t>potentia</w:t>
      </w:r>
      <w:r w:rsidRPr="003D1E07">
        <w:t>) činění závěrů na smyslové úrovni (</w:t>
      </w:r>
      <w:r w:rsidR="0078033D" w:rsidRPr="003D1E07">
        <w:rPr>
          <w:i/>
        </w:rPr>
        <w:t>sensus communis</w:t>
      </w:r>
      <w:r w:rsidRPr="003D1E07">
        <w:t xml:space="preserve">) formálně odpovídá </w:t>
      </w:r>
      <w:r w:rsidR="00E66C31" w:rsidRPr="003D1E07">
        <w:t xml:space="preserve">lidskému </w:t>
      </w:r>
      <w:r w:rsidR="0091536F" w:rsidRPr="003D1E07">
        <w:t xml:space="preserve">činnému </w:t>
      </w:r>
      <w:r w:rsidRPr="003D1E07">
        <w:t>intelektu</w:t>
      </w:r>
      <w:r w:rsidR="08125BE4" w:rsidRPr="003D1E07">
        <w:t xml:space="preserve"> danému na vyšší, nemateriální úrovni poznání</w:t>
      </w:r>
      <w:r w:rsidR="00FB5394">
        <w:t xml:space="preserve"> (</w:t>
      </w:r>
      <w:r w:rsidR="00FB5394" w:rsidRPr="00FB5394">
        <w:rPr>
          <w:i/>
        </w:rPr>
        <w:t>intellectio</w:t>
      </w:r>
      <w:r w:rsidR="00FB5394">
        <w:t>)</w:t>
      </w:r>
      <w:r w:rsidRPr="003D1E07">
        <w:t xml:space="preserve">. </w:t>
      </w:r>
      <w:r w:rsidR="00D019F3" w:rsidRPr="003D1E07">
        <w:t>Výsledná syntéz</w:t>
      </w:r>
      <w:r w:rsidR="0078033D" w:rsidRPr="003D1E07">
        <w:t xml:space="preserve">a je u zvířete dána na úrovni </w:t>
      </w:r>
      <w:r w:rsidR="0078033D" w:rsidRPr="003D1E07">
        <w:rPr>
          <w:i/>
        </w:rPr>
        <w:t>vis aestimativa</w:t>
      </w:r>
      <w:r w:rsidR="0091536F" w:rsidRPr="003D1E07">
        <w:t xml:space="preserve">, u </w:t>
      </w:r>
      <w:r w:rsidR="0091536F" w:rsidRPr="003D1E07">
        <w:lastRenderedPageBreak/>
        <w:t xml:space="preserve">člověka </w:t>
      </w:r>
      <w:r w:rsidR="0078033D" w:rsidRPr="003D1E07">
        <w:t xml:space="preserve">na úrovni </w:t>
      </w:r>
      <w:r w:rsidR="0091536F" w:rsidRPr="003D1E07">
        <w:rPr>
          <w:i/>
        </w:rPr>
        <w:t xml:space="preserve">intellectus </w:t>
      </w:r>
      <w:r w:rsidR="08DB5307" w:rsidRPr="003D1E07">
        <w:rPr>
          <w:i/>
        </w:rPr>
        <w:t xml:space="preserve">agens </w:t>
      </w:r>
      <w:r w:rsidR="08DB5307" w:rsidRPr="003D1E07">
        <w:t xml:space="preserve">a pro pravdivou predikaci slovem na úrovni </w:t>
      </w:r>
      <w:r w:rsidR="00DE2FF2">
        <w:t xml:space="preserve">obecně lidsky srozumitelného </w:t>
      </w:r>
      <w:r w:rsidR="08DB5307" w:rsidRPr="003D1E07">
        <w:rPr>
          <w:i/>
        </w:rPr>
        <w:t xml:space="preserve">intellectus </w:t>
      </w:r>
      <w:r w:rsidR="0091536F" w:rsidRPr="003D1E07">
        <w:rPr>
          <w:i/>
        </w:rPr>
        <w:t>speculativus</w:t>
      </w:r>
      <w:r w:rsidR="00DF1B39" w:rsidRPr="003D1E07">
        <w:rPr>
          <w:i/>
        </w:rPr>
        <w:fldChar w:fldCharType="begin"/>
      </w:r>
      <w:r w:rsidR="00DF1B39" w:rsidRPr="003D1E07">
        <w:instrText xml:space="preserve"> XE "</w:instrText>
      </w:r>
      <w:r w:rsidR="0821155B" w:rsidRPr="003D1E07">
        <w:rPr>
          <w:i/>
        </w:rPr>
        <w:instrText>intellectus speculativus</w:instrText>
      </w:r>
      <w:r w:rsidR="00DF1B39" w:rsidRPr="003D1E07">
        <w:instrText xml:space="preserve">" </w:instrText>
      </w:r>
      <w:r w:rsidR="00DF1B39" w:rsidRPr="003D1E07">
        <w:rPr>
          <w:i/>
        </w:rPr>
        <w:fldChar w:fldCharType="end"/>
      </w:r>
      <w:r w:rsidR="0091536F" w:rsidRPr="003D1E07">
        <w:t xml:space="preserve">. </w:t>
      </w:r>
      <w:r w:rsidRPr="003D1E07">
        <w:t xml:space="preserve">Formální kauzalita </w:t>
      </w:r>
      <w:r w:rsidR="00223126" w:rsidRPr="003D1E07">
        <w:t xml:space="preserve">mediatizovaná skrze diafanum </w:t>
      </w:r>
      <w:r w:rsidR="089B7E2C" w:rsidRPr="003D1E07">
        <w:t xml:space="preserve">se </w:t>
      </w:r>
      <w:r w:rsidR="08C33211" w:rsidRPr="003D1E07">
        <w:t xml:space="preserve">liší skrze </w:t>
      </w:r>
      <w:r w:rsidR="089B7E2C" w:rsidRPr="003D1E07">
        <w:t xml:space="preserve">recepci </w:t>
      </w:r>
      <w:r w:rsidR="08C33211" w:rsidRPr="003D1E07">
        <w:t>danou materiálně nebo spirituálně</w:t>
      </w:r>
      <w:r w:rsidR="00223126" w:rsidRPr="003D1E07">
        <w:t>. P</w:t>
      </w:r>
      <w:r w:rsidRPr="003D1E07">
        <w:t xml:space="preserve">otence daná aktem </w:t>
      </w:r>
      <w:r w:rsidR="00223126" w:rsidRPr="003D1E07">
        <w:t xml:space="preserve">animální či lidské </w:t>
      </w:r>
      <w:r w:rsidRPr="003D1E07">
        <w:t>intencionality je dána v modu formální</w:t>
      </w:r>
      <w:r w:rsidR="009A05F1" w:rsidRPr="003D1E07">
        <w:t xml:space="preserve"> kauzality smyslů a receptivní představivosti</w:t>
      </w:r>
      <w:r w:rsidRPr="003D1E07">
        <w:t xml:space="preserve">. Ale na druhé úrovni intencionality je formální kauzalita </w:t>
      </w:r>
      <w:r w:rsidR="008110D4" w:rsidRPr="003D1E07">
        <w:t>inteligibilně-</w:t>
      </w:r>
      <w:r w:rsidRPr="003D1E07">
        <w:t xml:space="preserve">nemateriální a </w:t>
      </w:r>
      <w:r w:rsidR="08185840" w:rsidRPr="003D1E07">
        <w:t xml:space="preserve">proto </w:t>
      </w:r>
      <w:r w:rsidRPr="003D1E07">
        <w:t xml:space="preserve">univerzální, a ne </w:t>
      </w:r>
      <w:r w:rsidR="008110D4" w:rsidRPr="003D1E07">
        <w:t>smyslově-</w:t>
      </w:r>
      <w:r w:rsidRPr="003D1E07">
        <w:t xml:space="preserve">materiální a </w:t>
      </w:r>
      <w:r w:rsidR="08185840" w:rsidRPr="003D1E07">
        <w:t xml:space="preserve">proto </w:t>
      </w:r>
      <w:r w:rsidRPr="003D1E07">
        <w:t xml:space="preserve">singulární. Receptivní </w:t>
      </w:r>
      <w:r w:rsidR="00481D87" w:rsidRPr="003D1E07">
        <w:t xml:space="preserve">představivost nebo </w:t>
      </w:r>
      <w:r w:rsidRPr="003D1E07">
        <w:t xml:space="preserve">intelekt jako druhé diafanum nelze nahradit v modu </w:t>
      </w:r>
      <w:r w:rsidR="000F0665" w:rsidRPr="003D1E07">
        <w:t>objektivního</w:t>
      </w:r>
      <w:r w:rsidRPr="003D1E07">
        <w:t xml:space="preserve"> </w:t>
      </w:r>
      <w:r w:rsidR="009A05F1" w:rsidRPr="003D1E07">
        <w:t xml:space="preserve">vidění </w:t>
      </w:r>
      <w:r w:rsidRPr="003D1E07">
        <w:t>světa</w:t>
      </w:r>
      <w:r w:rsidR="000248FF">
        <w:t xml:space="preserve"> nějakým objektivním simulákrem jako </w:t>
      </w:r>
      <w:r w:rsidR="000248FF" w:rsidRPr="000248FF">
        <w:rPr>
          <w:i/>
        </w:rPr>
        <w:t>tertium ens</w:t>
      </w:r>
      <w:r w:rsidR="08322753" w:rsidRPr="003D1E07">
        <w:t xml:space="preserve">. </w:t>
      </w:r>
      <w:r w:rsidR="000248FF">
        <w:t xml:space="preserve">V tomto tragickém případě </w:t>
      </w:r>
      <w:r w:rsidR="08322753" w:rsidRPr="003D1E07">
        <w:t xml:space="preserve">vzniká místo </w:t>
      </w:r>
      <w:r w:rsidR="000B3E19" w:rsidRPr="003D1E07">
        <w:t xml:space="preserve">mediace </w:t>
      </w:r>
      <w:r w:rsidR="08322753" w:rsidRPr="003D1E07">
        <w:t xml:space="preserve">reálného světa pouze </w:t>
      </w:r>
      <w:r w:rsidR="00E3347C" w:rsidRPr="003D1E07">
        <w:t xml:space="preserve">imaginární </w:t>
      </w:r>
      <w:r w:rsidR="08322753" w:rsidRPr="003D1E07">
        <w:t xml:space="preserve">diakosmos </w:t>
      </w:r>
      <w:r w:rsidR="000B3E19" w:rsidRPr="003D1E07">
        <w:t>jsoucen třetího druhu</w:t>
      </w:r>
      <w:r w:rsidRPr="003D1E07">
        <w:t xml:space="preserve">. </w:t>
      </w:r>
      <w:r w:rsidR="08D40F7E" w:rsidRPr="003D1E07">
        <w:t>U</w:t>
      </w:r>
      <w:r w:rsidRPr="003D1E07">
        <w:t xml:space="preserve">niverzální intencionalita </w:t>
      </w:r>
      <w:r w:rsidR="002A5805">
        <w:t xml:space="preserve">člověka </w:t>
      </w:r>
      <w:r w:rsidRPr="003D1E07">
        <w:t xml:space="preserve">mediatizuje potenciální </w:t>
      </w:r>
      <w:r w:rsidR="00F214C5" w:rsidRPr="006620F1">
        <w:rPr>
          <w:i/>
        </w:rPr>
        <w:t>species</w:t>
      </w:r>
      <w:r w:rsidRPr="003D1E07">
        <w:rPr>
          <w:i/>
        </w:rPr>
        <w:t xml:space="preserve"> intelligibilis</w:t>
      </w:r>
      <w:r w:rsidR="008061D5" w:rsidRPr="003D1E07">
        <w:rPr>
          <w:i/>
        </w:rPr>
        <w:fldChar w:fldCharType="begin"/>
      </w:r>
      <w:r w:rsidR="008061D5" w:rsidRPr="003D1E07">
        <w:instrText xml:space="preserve"> XE "</w:instrText>
      </w:r>
      <w:r w:rsidR="008061D5" w:rsidRPr="003D1E07">
        <w:rPr>
          <w:i/>
        </w:rPr>
        <w:instrText>species intelligibilis</w:instrText>
      </w:r>
      <w:r w:rsidR="008061D5" w:rsidRPr="003D1E07">
        <w:instrText>:</w:instrText>
      </w:r>
      <w:r w:rsidR="002E3B62" w:rsidRPr="003D1E07">
        <w:instrText>Averroes</w:instrText>
      </w:r>
      <w:r w:rsidR="008061D5" w:rsidRPr="003D1E07">
        <w:instrText xml:space="preserve">" </w:instrText>
      </w:r>
      <w:r w:rsidR="008061D5" w:rsidRPr="003D1E07">
        <w:rPr>
          <w:i/>
        </w:rPr>
        <w:fldChar w:fldCharType="end"/>
      </w:r>
      <w:r w:rsidRPr="003D1E07">
        <w:t xml:space="preserve"> daný v modu </w:t>
      </w:r>
      <w:r w:rsidRPr="003D1E07">
        <w:rPr>
          <w:i/>
        </w:rPr>
        <w:t xml:space="preserve">intentio </w:t>
      </w:r>
      <w:r w:rsidRPr="003D1E07">
        <w:t xml:space="preserve">tak, aby je mohl nasvítit </w:t>
      </w:r>
      <w:r w:rsidRPr="003D1E07">
        <w:rPr>
          <w:i/>
        </w:rPr>
        <w:t>intellectus agens</w:t>
      </w:r>
      <w:r w:rsidR="00DF1F0F" w:rsidRPr="003D1E07">
        <w:rPr>
          <w:i/>
        </w:rPr>
        <w:fldChar w:fldCharType="begin"/>
      </w:r>
      <w:r w:rsidR="00DF1F0F" w:rsidRPr="003D1E07">
        <w:instrText xml:space="preserve"> XE "</w:instrText>
      </w:r>
      <w:r w:rsidR="00DF1F0F" w:rsidRPr="003D1E07">
        <w:rPr>
          <w:i/>
        </w:rPr>
        <w:instrText>intellectus agens:</w:instrText>
      </w:r>
      <w:r w:rsidR="002E3B62" w:rsidRPr="003D1E07">
        <w:instrText>Averroes</w:instrText>
      </w:r>
      <w:r w:rsidR="00DF1F0F" w:rsidRPr="003D1E07">
        <w:instrText xml:space="preserve">" </w:instrText>
      </w:r>
      <w:r w:rsidR="00DF1F0F" w:rsidRPr="003D1E07">
        <w:rPr>
          <w:i/>
        </w:rPr>
        <w:fldChar w:fldCharType="end"/>
      </w:r>
      <w:r w:rsidRPr="003D1E07">
        <w:t xml:space="preserve">. </w:t>
      </w:r>
      <w:r w:rsidR="00EC7B0D" w:rsidRPr="00EC7B0D">
        <w:t xml:space="preserve">K vytvoření konečného pojmu přijímá aktivní intelekt nehmotnou podobu inteligibilních intencionálních předmětů, které jsou vytvářeny aktem receptivního intelektu </w:t>
      </w:r>
      <w:r w:rsidRPr="003D1E07">
        <w:t>(</w:t>
      </w:r>
      <w:r w:rsidRPr="003D1E07">
        <w:rPr>
          <w:i/>
        </w:rPr>
        <w:t>intellectio</w:t>
      </w:r>
      <w:r w:rsidRPr="003D1E07">
        <w:t xml:space="preserve">). </w:t>
      </w:r>
      <w:r w:rsidR="00EC7B0D">
        <w:t xml:space="preserve">Pasivní i aktivní </w:t>
      </w:r>
      <w:r w:rsidR="000259E0" w:rsidRPr="003D1E07">
        <w:t xml:space="preserve">intelekt existuje v modu </w:t>
      </w:r>
      <w:r w:rsidR="000259E0" w:rsidRPr="003D1E07">
        <w:rPr>
          <w:i/>
        </w:rPr>
        <w:t xml:space="preserve">tertium </w:t>
      </w:r>
      <w:r w:rsidR="00636BD4" w:rsidRPr="006459C2">
        <w:rPr>
          <w:i/>
        </w:rPr>
        <w:t>genus</w:t>
      </w:r>
      <w:r w:rsidR="00D55D79" w:rsidRPr="003D1E07">
        <w:rPr>
          <w:i/>
        </w:rPr>
        <w:fldChar w:fldCharType="begin"/>
      </w:r>
      <w:r w:rsidR="00D55D79" w:rsidRPr="003D1E07">
        <w:instrText xml:space="preserve"> XE "</w:instrText>
      </w:r>
      <w:r w:rsidR="00D55D79" w:rsidRPr="003D1E07">
        <w:rPr>
          <w:i/>
        </w:rPr>
        <w:instrText>tertium genus</w:instrText>
      </w:r>
      <w:r w:rsidR="00D55D79" w:rsidRPr="003D1E07">
        <w:instrText xml:space="preserve">" </w:instrText>
      </w:r>
      <w:r w:rsidR="00D55D79" w:rsidRPr="003D1E07">
        <w:rPr>
          <w:i/>
        </w:rPr>
        <w:fldChar w:fldCharType="end"/>
      </w:r>
      <w:r w:rsidR="000259E0" w:rsidRPr="003D1E07">
        <w:t>, viz předešlá kapitola.</w:t>
      </w:r>
      <w:r w:rsidR="08322753" w:rsidRPr="003D1E07">
        <w:t xml:space="preserve"> </w:t>
      </w:r>
      <w:r w:rsidR="08322753" w:rsidRPr="003D1E07">
        <w:rPr>
          <w:szCs w:val="24"/>
        </w:rPr>
        <w:t xml:space="preserve">Nemateriální poznání jde od intencionální </w:t>
      </w:r>
      <w:r w:rsidR="00F214C5" w:rsidRPr="00D645BF">
        <w:rPr>
          <w:i/>
          <w:szCs w:val="24"/>
        </w:rPr>
        <w:t>species</w:t>
      </w:r>
      <w:r w:rsidR="081605EA" w:rsidRPr="003D1E07">
        <w:rPr>
          <w:i/>
          <w:szCs w:val="24"/>
        </w:rPr>
        <w:t xml:space="preserve"> intelligibilis</w:t>
      </w:r>
      <w:r w:rsidR="08322753" w:rsidRPr="003D1E07">
        <w:rPr>
          <w:szCs w:val="24"/>
        </w:rPr>
        <w:t xml:space="preserve"> dané jako </w:t>
      </w:r>
      <w:r w:rsidR="08322753" w:rsidRPr="003D1E07">
        <w:rPr>
          <w:i/>
          <w:szCs w:val="24"/>
        </w:rPr>
        <w:t>intellectum</w:t>
      </w:r>
      <w:r w:rsidR="08322753" w:rsidRPr="003D1E07">
        <w:rPr>
          <w:szCs w:val="24"/>
        </w:rPr>
        <w:t xml:space="preserve"> k plnému poznání v řeči jako </w:t>
      </w:r>
      <w:r w:rsidR="08322753" w:rsidRPr="003D1E07">
        <w:rPr>
          <w:i/>
          <w:szCs w:val="24"/>
        </w:rPr>
        <w:t>conceptum</w:t>
      </w:r>
      <w:r w:rsidR="08322753" w:rsidRPr="003D1E07">
        <w:rPr>
          <w:szCs w:val="24"/>
        </w:rPr>
        <w:t xml:space="preserve">. </w:t>
      </w:r>
      <w:r w:rsidRPr="003D1E07">
        <w:t xml:space="preserve">Kompletní </w:t>
      </w:r>
      <w:r w:rsidR="00D029A7" w:rsidRPr="003D1E07">
        <w:t xml:space="preserve">jednota </w:t>
      </w:r>
      <w:r w:rsidR="08322753" w:rsidRPr="003D1E07">
        <w:t xml:space="preserve">konceptuálního </w:t>
      </w:r>
      <w:r w:rsidRPr="003D1E07">
        <w:t xml:space="preserve">významu je dána ve výsledné podobě poznání skrze </w:t>
      </w:r>
      <w:r w:rsidRPr="003D1E07">
        <w:rPr>
          <w:i/>
        </w:rPr>
        <w:t>intellectus speculativus</w:t>
      </w:r>
      <w:r w:rsidR="00DF1B39" w:rsidRPr="003D1E07">
        <w:rPr>
          <w:i/>
        </w:rPr>
        <w:fldChar w:fldCharType="begin"/>
      </w:r>
      <w:r w:rsidR="00DF1B39" w:rsidRPr="003D1E07">
        <w:instrText xml:space="preserve"> XE "</w:instrText>
      </w:r>
      <w:r w:rsidR="0821155B" w:rsidRPr="003D1E07">
        <w:rPr>
          <w:i/>
        </w:rPr>
        <w:instrText>intellectus speculativus</w:instrText>
      </w:r>
      <w:r w:rsidR="00DF1B39" w:rsidRPr="003D1E07">
        <w:instrText xml:space="preserve">" </w:instrText>
      </w:r>
      <w:r w:rsidR="00DF1B39" w:rsidRPr="003D1E07">
        <w:rPr>
          <w:i/>
        </w:rPr>
        <w:fldChar w:fldCharType="end"/>
      </w:r>
      <w:r w:rsidRPr="003D1E07">
        <w:t>.</w:t>
      </w:r>
      <w:r w:rsidR="00351D38" w:rsidRPr="003D1E07">
        <w:t xml:space="preserve"> </w:t>
      </w:r>
      <w:r w:rsidR="00C06951" w:rsidRPr="003D1E07">
        <w:t>Moderní a postmoderní ilumináti vidí</w:t>
      </w:r>
      <w:r w:rsidR="0047037C" w:rsidRPr="003D1E07">
        <w:t xml:space="preserve"> pravdu světa přímo </w:t>
      </w:r>
      <w:r w:rsidR="008D56F8" w:rsidRPr="003D1E07">
        <w:t xml:space="preserve">ozářenou </w:t>
      </w:r>
      <w:r w:rsidR="0047037C" w:rsidRPr="003D1E07">
        <w:t>slunce</w:t>
      </w:r>
      <w:r w:rsidR="0032291C" w:rsidRPr="003D1E07">
        <w:t>m</w:t>
      </w:r>
      <w:r w:rsidR="0047037C" w:rsidRPr="003D1E07">
        <w:t xml:space="preserve"> </w:t>
      </w:r>
      <w:r w:rsidR="08135839" w:rsidRPr="003D1E07">
        <w:t xml:space="preserve"> obje</w:t>
      </w:r>
      <w:r w:rsidR="08ED2810" w:rsidRPr="003D1E07">
        <w:t>k</w:t>
      </w:r>
      <w:r w:rsidR="08135839" w:rsidRPr="003D1E07">
        <w:t xml:space="preserve">tivního </w:t>
      </w:r>
      <w:r w:rsidR="0047037C" w:rsidRPr="003D1E07">
        <w:t>rozumu</w:t>
      </w:r>
      <w:r w:rsidR="087765C5" w:rsidRPr="003D1E07">
        <w:t xml:space="preserve">. Takové poznání nevede </w:t>
      </w:r>
      <w:r w:rsidR="08E22F7A" w:rsidRPr="003D1E07">
        <w:t xml:space="preserve">metafyzický </w:t>
      </w:r>
      <w:r w:rsidR="087765C5" w:rsidRPr="003D1E07">
        <w:t xml:space="preserve">dativ, ale </w:t>
      </w:r>
      <w:r w:rsidR="002D17DC" w:rsidRPr="003D1E07">
        <w:t>jeho objektivní forma (</w:t>
      </w:r>
      <w:r w:rsidR="002D17DC" w:rsidRPr="003D1E07">
        <w:rPr>
          <w:i/>
        </w:rPr>
        <w:t>dativus ob</w:t>
      </w:r>
      <w:r w:rsidR="002A4472" w:rsidRPr="003D1E07">
        <w:rPr>
          <w:i/>
        </w:rPr>
        <w:t>i</w:t>
      </w:r>
      <w:r w:rsidR="002D17DC" w:rsidRPr="003D1E07">
        <w:rPr>
          <w:i/>
        </w:rPr>
        <w:t>ectivus</w:t>
      </w:r>
      <w:r w:rsidR="002D17DC" w:rsidRPr="003D1E07">
        <w:rPr>
          <w:i/>
        </w:rPr>
        <w:fldChar w:fldCharType="begin"/>
      </w:r>
      <w:r w:rsidR="002D17DC" w:rsidRPr="003D1E07">
        <w:instrText xml:space="preserve"> XE "</w:instrText>
      </w:r>
      <w:r w:rsidR="002D17DC" w:rsidRPr="003D1E07">
        <w:rPr>
          <w:i/>
        </w:rPr>
        <w:instrText>dativus ob</w:instrText>
      </w:r>
      <w:r w:rsidR="002A4472" w:rsidRPr="003D1E07">
        <w:rPr>
          <w:i/>
        </w:rPr>
        <w:instrText>i</w:instrText>
      </w:r>
      <w:r w:rsidR="002D17DC" w:rsidRPr="003D1E07">
        <w:rPr>
          <w:i/>
        </w:rPr>
        <w:instrText>ectivus</w:instrText>
      </w:r>
      <w:r w:rsidR="002D17DC" w:rsidRPr="003D1E07">
        <w:instrText xml:space="preserve">" </w:instrText>
      </w:r>
      <w:r w:rsidR="002D17DC" w:rsidRPr="003D1E07">
        <w:rPr>
          <w:i/>
        </w:rPr>
        <w:fldChar w:fldCharType="end"/>
      </w:r>
      <w:r w:rsidR="002D17DC" w:rsidRPr="003D1E07">
        <w:t>)</w:t>
      </w:r>
      <w:r w:rsidR="00E70CA3">
        <w:t>.</w:t>
      </w:r>
      <w:r w:rsidR="00DB18E7">
        <w:t xml:space="preserve"> </w:t>
      </w:r>
      <w:r w:rsidR="009A0595" w:rsidRPr="003D1E07">
        <w:t>Averroe</w:t>
      </w:r>
      <w:r w:rsidR="004C719A" w:rsidRPr="003D1E07">
        <w:t xml:space="preserve">s nepovažuje </w:t>
      </w:r>
      <w:r w:rsidR="00870592" w:rsidRPr="003D1E07">
        <w:t>diafanum</w:t>
      </w:r>
      <w:r w:rsidR="00870592">
        <w:t xml:space="preserve"> za substanci</w:t>
      </w:r>
      <w:r w:rsidR="008D56F8" w:rsidRPr="003D1E07">
        <w:t>,</w:t>
      </w:r>
      <w:r w:rsidR="006F79FC" w:rsidRPr="003D1E07">
        <w:t xml:space="preserve"> </w:t>
      </w:r>
      <w:r w:rsidR="00870592">
        <w:t>a</w:t>
      </w:r>
      <w:r w:rsidR="004C719A" w:rsidRPr="003D1E07">
        <w:t xml:space="preserve">ni </w:t>
      </w:r>
      <w:r w:rsidR="004C719A" w:rsidRPr="003D1E07">
        <w:rPr>
          <w:i/>
        </w:rPr>
        <w:t>intellectus possibilis</w:t>
      </w:r>
      <w:r w:rsidR="00124791">
        <w:t>. O</w:t>
      </w:r>
      <w:r w:rsidR="000111A8" w:rsidRPr="003D1E07">
        <w:t xml:space="preserve">bojí je </w:t>
      </w:r>
      <w:r w:rsidR="00E432ED" w:rsidRPr="003D1E07">
        <w:t>dáno jako pouhá potence</w:t>
      </w:r>
      <w:r w:rsidR="00A04770" w:rsidRPr="003D1E07">
        <w:t xml:space="preserve"> zajišťující </w:t>
      </w:r>
      <w:r w:rsidR="082370D6" w:rsidRPr="003D1E07">
        <w:t xml:space="preserve">osobní </w:t>
      </w:r>
      <w:r w:rsidR="00F45C9F" w:rsidRPr="003D1E07">
        <w:t xml:space="preserve">možnost zjevení a poznání </w:t>
      </w:r>
      <w:r w:rsidR="009A0595" w:rsidRPr="003D1E07">
        <w:t>smy</w:t>
      </w:r>
      <w:r w:rsidR="08037D53" w:rsidRPr="003D1E07">
        <w:t>s</w:t>
      </w:r>
      <w:r w:rsidR="009A0595" w:rsidRPr="003D1E07">
        <w:t xml:space="preserve">lové či inteligibilní </w:t>
      </w:r>
      <w:r w:rsidR="00F45C9F" w:rsidRPr="003D1E07">
        <w:t>formy věcí</w:t>
      </w:r>
      <w:r w:rsidR="00E432ED" w:rsidRPr="003D1E07">
        <w:t xml:space="preserve">. </w:t>
      </w:r>
      <w:r w:rsidR="0064548C">
        <w:t>D</w:t>
      </w:r>
      <w:r w:rsidR="00F45C9F" w:rsidRPr="003D1E07">
        <w:t>iafa</w:t>
      </w:r>
      <w:r w:rsidR="00F74EC5" w:rsidRPr="003D1E07">
        <w:t xml:space="preserve">num </w:t>
      </w:r>
      <w:r w:rsidR="0064548C">
        <w:t xml:space="preserve">neexistuje </w:t>
      </w:r>
      <w:r w:rsidR="00F74EC5" w:rsidRPr="003D1E07">
        <w:t>jako substance</w:t>
      </w:r>
      <w:r w:rsidR="0032291C" w:rsidRPr="003D1E07">
        <w:t>, protože aktuální je pouze poznání osoby jako první substance</w:t>
      </w:r>
      <w:r w:rsidR="08122C04" w:rsidRPr="003D1E07">
        <w:t xml:space="preserve"> (</w:t>
      </w:r>
      <w:r w:rsidR="08122C04" w:rsidRPr="003D1E07">
        <w:rPr>
          <w:i/>
        </w:rPr>
        <w:t xml:space="preserve">tertium </w:t>
      </w:r>
      <w:r w:rsidR="00636BD4" w:rsidRPr="003D1E07">
        <w:rPr>
          <w:i/>
        </w:rPr>
        <w:t>genus</w:t>
      </w:r>
      <w:r w:rsidR="08122C04" w:rsidRPr="003D1E07">
        <w:t>)</w:t>
      </w:r>
      <w:r w:rsidR="00571573">
        <w:t>.</w:t>
      </w:r>
      <w:r w:rsidR="00E70CA3">
        <w:t xml:space="preserve"> </w:t>
      </w:r>
      <w:r w:rsidR="00F74EC5" w:rsidRPr="003D1E07">
        <w:t>Stejná potence d</w:t>
      </w:r>
      <w:r w:rsidR="00E432ED" w:rsidRPr="003D1E07">
        <w:t xml:space="preserve">ává vidět </w:t>
      </w:r>
      <w:r w:rsidR="001B5425" w:rsidRPr="003D1E07">
        <w:t xml:space="preserve">a poznat </w:t>
      </w:r>
      <w:r w:rsidR="000111A8" w:rsidRPr="003D1E07">
        <w:t xml:space="preserve">smyslům a intelektu </w:t>
      </w:r>
      <w:r w:rsidR="00E432ED" w:rsidRPr="003D1E07">
        <w:t>nasvíc</w:t>
      </w:r>
      <w:r w:rsidR="001B5425" w:rsidRPr="003D1E07">
        <w:t>ené</w:t>
      </w:r>
      <w:r w:rsidR="00E432ED" w:rsidRPr="003D1E07">
        <w:t xml:space="preserve"> věci v je</w:t>
      </w:r>
      <w:r w:rsidR="001B5425" w:rsidRPr="003D1E07">
        <w:t>j</w:t>
      </w:r>
      <w:r w:rsidR="00E432ED" w:rsidRPr="003D1E07">
        <w:t xml:space="preserve">ich průhlednosti a barevnosti. </w:t>
      </w:r>
      <w:r w:rsidR="004958B3" w:rsidRPr="003D1E07">
        <w:t xml:space="preserve">Díky formálnímu a skrytému působení </w:t>
      </w:r>
      <w:r w:rsidR="00FE5617" w:rsidRPr="003D1E07">
        <w:t xml:space="preserve">průzračného prostředí </w:t>
      </w:r>
      <w:r w:rsidR="004958B3" w:rsidRPr="003D1E07">
        <w:t>vidíme nasvícenou věc</w:t>
      </w:r>
      <w:r w:rsidR="00FF66A5" w:rsidRPr="003D1E07">
        <w:t xml:space="preserve"> v našem </w:t>
      </w:r>
      <w:r w:rsidR="0892012D" w:rsidRPr="003D1E07">
        <w:t xml:space="preserve">vlastním a </w:t>
      </w:r>
      <w:r w:rsidR="00FF66A5" w:rsidRPr="003D1E07">
        <w:t>efektivním výkonu poznání</w:t>
      </w:r>
      <w:r w:rsidR="004958B3" w:rsidRPr="003D1E07">
        <w:t xml:space="preserve">. </w:t>
      </w:r>
      <w:r w:rsidR="00A04770" w:rsidRPr="003D1E07">
        <w:t xml:space="preserve">Věc dostává </w:t>
      </w:r>
      <w:r w:rsidR="0862166A" w:rsidRPr="003D1E07">
        <w:t xml:space="preserve">první </w:t>
      </w:r>
      <w:r w:rsidR="00A04770" w:rsidRPr="003D1E07">
        <w:t xml:space="preserve">mediaci od slunečního paprku a další mediace běží v poznávací intenci. </w:t>
      </w:r>
      <w:r w:rsidR="004E7B26" w:rsidRPr="003D1E07">
        <w:t xml:space="preserve">Ale protože </w:t>
      </w:r>
      <w:r w:rsidR="001411E6" w:rsidRPr="003D1E07">
        <w:t>mediace běží skrze stejnou potenciálně-</w:t>
      </w:r>
      <w:r w:rsidR="004E7B26" w:rsidRPr="003D1E07">
        <w:t>formální kauzalitu, pak platí pro všechny lid</w:t>
      </w:r>
      <w:r w:rsidR="00A04770" w:rsidRPr="003D1E07">
        <w:t>i</w:t>
      </w:r>
      <w:r w:rsidR="004E7B26" w:rsidRPr="003D1E07">
        <w:t xml:space="preserve">, že jsou stejně formálně spojeni se skutečností světa a stejně formálně </w:t>
      </w:r>
      <w:r w:rsidR="00FC5058" w:rsidRPr="003D1E07">
        <w:t xml:space="preserve">svět </w:t>
      </w:r>
      <w:r w:rsidR="004E7B26" w:rsidRPr="003D1E07">
        <w:t>poznávají</w:t>
      </w:r>
      <w:r w:rsidR="005B20CB" w:rsidRPr="003D1E07">
        <w:t xml:space="preserve"> </w:t>
      </w:r>
      <w:r w:rsidR="08122C04" w:rsidRPr="003D1E07">
        <w:t>(</w:t>
      </w:r>
      <w:r w:rsidR="08122C04" w:rsidRPr="003D1E07">
        <w:rPr>
          <w:i/>
        </w:rPr>
        <w:t xml:space="preserve">quartum </w:t>
      </w:r>
      <w:r w:rsidR="00636BD4" w:rsidRPr="006459C2">
        <w:rPr>
          <w:i/>
        </w:rPr>
        <w:t>genus</w:t>
      </w:r>
      <w:r w:rsidR="08122C04" w:rsidRPr="003D1E07">
        <w:t>)</w:t>
      </w:r>
      <w:r w:rsidR="004E7B26" w:rsidRPr="003D1E07">
        <w:t>.</w:t>
      </w:r>
      <w:r w:rsidR="00571573">
        <w:t xml:space="preserve"> </w:t>
      </w:r>
      <w:r w:rsidR="005B20CB" w:rsidRPr="003D1E07">
        <w:t xml:space="preserve">Proto </w:t>
      </w:r>
      <w:r w:rsidR="00F66B26">
        <w:t xml:space="preserve">Aristotelův </w:t>
      </w:r>
      <w:r w:rsidR="005B20CB" w:rsidRPr="003D1E07">
        <w:t xml:space="preserve">spis </w:t>
      </w:r>
      <w:r w:rsidR="005B20CB" w:rsidRPr="003D1E07">
        <w:rPr>
          <w:i/>
        </w:rPr>
        <w:t>De interpretatione</w:t>
      </w:r>
      <w:r w:rsidR="005B20CB" w:rsidRPr="003D1E07">
        <w:t xml:space="preserve"> navazuje </w:t>
      </w:r>
      <w:r w:rsidR="009A0595" w:rsidRPr="003D1E07">
        <w:t xml:space="preserve">pojednávanou </w:t>
      </w:r>
      <w:r w:rsidR="005B20CB" w:rsidRPr="003D1E07">
        <w:t xml:space="preserve">nauku o soudu </w:t>
      </w:r>
      <w:r w:rsidR="009A0595" w:rsidRPr="003D1E07">
        <w:t xml:space="preserve">výslovně </w:t>
      </w:r>
      <w:r w:rsidR="005B20CB" w:rsidRPr="003D1E07">
        <w:t xml:space="preserve">na spis </w:t>
      </w:r>
      <w:r w:rsidR="005B20CB" w:rsidRPr="003D1E07">
        <w:rPr>
          <w:i/>
        </w:rPr>
        <w:t>De anima</w:t>
      </w:r>
      <w:r w:rsidR="005B20CB" w:rsidRPr="003D1E07">
        <w:t>, což klasicky vzdělaní aristotelikové Západu dobře věděli (</w:t>
      </w:r>
      <w:r w:rsidR="08ED12B2" w:rsidRPr="003D1E07">
        <w:t>OBJ II, kap. 1</w:t>
      </w:r>
      <w:r w:rsidR="005B20CB" w:rsidRPr="003D1E07">
        <w:t xml:space="preserve">.1). </w:t>
      </w:r>
      <w:r w:rsidR="00EE1E84" w:rsidRPr="003D1E07">
        <w:t xml:space="preserve">Tuto formální kauzalitu zajišťující všem lidem univerzální poznání má </w:t>
      </w:r>
      <w:r w:rsidR="00EE1E84" w:rsidRPr="003D1E07">
        <w:lastRenderedPageBreak/>
        <w:t>Kant</w:t>
      </w:r>
      <w:r w:rsidR="007007BA" w:rsidRPr="003D1E07">
        <w:fldChar w:fldCharType="begin"/>
      </w:r>
      <w:r w:rsidR="007007BA" w:rsidRPr="003D1E07">
        <w:instrText xml:space="preserve"> XE "Kant, I." </w:instrText>
      </w:r>
      <w:r w:rsidR="007007BA" w:rsidRPr="003D1E07">
        <w:fldChar w:fldCharType="end"/>
      </w:r>
      <w:r w:rsidR="08122C04" w:rsidRPr="003D1E07">
        <w:t xml:space="preserve"> v termínu </w:t>
      </w:r>
      <w:r w:rsidR="00EE1E84" w:rsidRPr="003D1E07">
        <w:rPr>
          <w:i/>
        </w:rPr>
        <w:t>Schematismus der reinen Vernunft</w:t>
      </w:r>
      <w:r w:rsidR="00EE1E84" w:rsidRPr="003D1E07">
        <w:t>.</w:t>
      </w:r>
      <w:r w:rsidR="008918E7" w:rsidRPr="003D1E07">
        <w:rPr>
          <w:rStyle w:val="Znakapoznpodarou"/>
        </w:rPr>
        <w:footnoteReference w:id="281"/>
      </w:r>
      <w:r w:rsidR="008918E7" w:rsidRPr="003D1E07">
        <w:t xml:space="preserve"> </w:t>
      </w:r>
      <w:r w:rsidR="00720E1C" w:rsidRPr="003D1E07">
        <w:t>Tento p</w:t>
      </w:r>
      <w:r w:rsidR="008918E7" w:rsidRPr="003D1E07">
        <w:t xml:space="preserve">ostmoderní </w:t>
      </w:r>
      <w:r w:rsidR="00720E1C" w:rsidRPr="003D1E07">
        <w:t xml:space="preserve">filosof </w:t>
      </w:r>
      <w:r w:rsidR="008918E7" w:rsidRPr="003D1E07">
        <w:t xml:space="preserve">už </w:t>
      </w:r>
      <w:r w:rsidR="00667F22" w:rsidRPr="003D1E07">
        <w:t xml:space="preserve">ale </w:t>
      </w:r>
      <w:r w:rsidR="008918E7" w:rsidRPr="003D1E07">
        <w:t xml:space="preserve">vidí přechod </w:t>
      </w:r>
      <w:r w:rsidR="00667F22" w:rsidRPr="003D1E07">
        <w:t xml:space="preserve">od smyslového poznání k rozumovému </w:t>
      </w:r>
      <w:r w:rsidR="008918E7" w:rsidRPr="003D1E07">
        <w:t xml:space="preserve">pouze </w:t>
      </w:r>
      <w:r w:rsidR="08CC1FCE" w:rsidRPr="003D1E07">
        <w:t xml:space="preserve">v </w:t>
      </w:r>
      <w:r w:rsidR="008918E7" w:rsidRPr="003D1E07">
        <w:t>analogickém modu (</w:t>
      </w:r>
      <w:r w:rsidR="008918E7" w:rsidRPr="003D1E07">
        <w:rPr>
          <w:i/>
        </w:rPr>
        <w:t>Analogien der Erfahrung</w:t>
      </w:r>
      <w:r w:rsidR="008918E7" w:rsidRPr="003D1E07">
        <w:t>)</w:t>
      </w:r>
      <w:r w:rsidR="00C76BEA" w:rsidRPr="003D1E07">
        <w:t>, nikoliv ve formální kauzalitě</w:t>
      </w:r>
      <w:r w:rsidR="008918E7" w:rsidRPr="003D1E07">
        <w:t>.</w:t>
      </w:r>
      <w:r w:rsidR="081D6250" w:rsidRPr="003D1E07">
        <w:t xml:space="preserve"> </w:t>
      </w:r>
      <w:r w:rsidR="0885116B" w:rsidRPr="003D1E07">
        <w:t xml:space="preserve">Schematismus </w:t>
      </w:r>
      <w:r w:rsidR="00840EC2">
        <w:t xml:space="preserve">je </w:t>
      </w:r>
      <w:r w:rsidR="0885116B" w:rsidRPr="003D1E07">
        <w:t xml:space="preserve">daný </w:t>
      </w:r>
      <w:r w:rsidR="00840EC2">
        <w:t xml:space="preserve">na základě </w:t>
      </w:r>
      <w:r w:rsidR="0885116B" w:rsidRPr="003D1E07">
        <w:t>postmoderní atomární substance</w:t>
      </w:r>
      <w:r w:rsidR="008E1B8E">
        <w:t xml:space="preserve"> </w:t>
      </w:r>
      <w:r w:rsidR="00840EC2">
        <w:t xml:space="preserve">třetího druhu </w:t>
      </w:r>
      <w:r w:rsidR="008E1B8E" w:rsidRPr="003D1E07">
        <w:t>(</w:t>
      </w:r>
      <w:r w:rsidR="008E1B8E" w:rsidRPr="003D1E07">
        <w:rPr>
          <w:i/>
        </w:rPr>
        <w:t>Erscheinung</w:t>
      </w:r>
      <w:r w:rsidR="008E1B8E" w:rsidRPr="003D1E07">
        <w:t>)</w:t>
      </w:r>
      <w:r w:rsidR="0885116B" w:rsidRPr="003D1E07">
        <w:t>, jejich vzájemným p</w:t>
      </w:r>
      <w:r w:rsidR="00840EC2">
        <w:t>ůsobením a časovou posloupností</w:t>
      </w:r>
      <w:r w:rsidR="00D4717B">
        <w:t xml:space="preserve">. Tento diakosmos </w:t>
      </w:r>
      <w:r w:rsidR="00526A29">
        <w:t xml:space="preserve">jsoucen třetího druhu zajišťuje </w:t>
      </w:r>
      <w:r w:rsidR="0885116B" w:rsidRPr="003D1E07">
        <w:t>přechod mezi kategoriemi čistého rozumu a mezi manifestací fen</w:t>
      </w:r>
      <w:r w:rsidR="008E1B8E">
        <w:t>omenálních věcí v našem poznání</w:t>
      </w:r>
      <w:r w:rsidR="0885116B" w:rsidRPr="003D1E07">
        <w:t xml:space="preserve">. </w:t>
      </w:r>
      <w:r w:rsidR="00B74B1B">
        <w:t xml:space="preserve">Duns </w:t>
      </w:r>
      <w:r w:rsidR="00B74B1B" w:rsidRPr="00B74B1B">
        <w:t>Scotus</w:t>
      </w:r>
      <w:r w:rsidR="00B74B1B">
        <w:t xml:space="preserve"> jako první konsekventně moderní myslitel zavedl t</w:t>
      </w:r>
      <w:r w:rsidR="00B74B1B" w:rsidRPr="00B74B1B">
        <w:t xml:space="preserve">ento proces </w:t>
      </w:r>
      <w:r w:rsidR="00B74B1B">
        <w:t xml:space="preserve">mediace </w:t>
      </w:r>
      <w:r w:rsidR="00B74B1B" w:rsidRPr="00B74B1B">
        <w:t xml:space="preserve">skrze postmoderní substanci a analogii objektivního </w:t>
      </w:r>
      <w:r w:rsidR="00B74B1B">
        <w:t xml:space="preserve">jsoucna </w:t>
      </w:r>
      <w:r w:rsidR="00B74B1B" w:rsidRPr="00B74B1B">
        <w:t>(</w:t>
      </w:r>
      <w:r w:rsidR="00B74B1B" w:rsidRPr="00B74B1B">
        <w:rPr>
          <w:i/>
        </w:rPr>
        <w:t>analogia entis</w:t>
      </w:r>
      <w:r w:rsidR="00B74B1B">
        <w:rPr>
          <w:i/>
        </w:rPr>
        <w:fldChar w:fldCharType="begin"/>
      </w:r>
      <w:r w:rsidR="00B74B1B">
        <w:instrText xml:space="preserve"> XE "</w:instrText>
      </w:r>
      <w:r w:rsidR="00B74B1B" w:rsidRPr="002D2DD3">
        <w:rPr>
          <w:i/>
        </w:rPr>
        <w:instrText>analogia entis</w:instrText>
      </w:r>
      <w:r w:rsidR="00B74B1B">
        <w:instrText xml:space="preserve">" </w:instrText>
      </w:r>
      <w:r w:rsidR="00B74B1B">
        <w:rPr>
          <w:i/>
        </w:rPr>
        <w:fldChar w:fldCharType="end"/>
      </w:r>
      <w:r w:rsidR="00B74B1B">
        <w:t>)</w:t>
      </w:r>
      <w:r w:rsidR="00B74B1B" w:rsidRPr="00B74B1B">
        <w:t>. První postmoderní myslitelé Suárez</w:t>
      </w:r>
      <w:r w:rsidR="00B74B1B" w:rsidRPr="003D1E07">
        <w:fldChar w:fldCharType="begin"/>
      </w:r>
      <w:r w:rsidR="00B74B1B" w:rsidRPr="003D1E07">
        <w:instrText xml:space="preserve"> XE "Suárez, F." </w:instrText>
      </w:r>
      <w:r w:rsidR="00B74B1B" w:rsidRPr="003D1E07">
        <w:fldChar w:fldCharType="end"/>
      </w:r>
      <w:r w:rsidR="00B74B1B">
        <w:t xml:space="preserve"> a Wolff vzali Scotvo základní metafyzické schém dedukce a </w:t>
      </w:r>
      <w:r w:rsidR="00B74B1B" w:rsidRPr="00B74B1B">
        <w:t xml:space="preserve">začlenili </w:t>
      </w:r>
      <w:r w:rsidR="00B74B1B">
        <w:t xml:space="preserve">je </w:t>
      </w:r>
      <w:r w:rsidR="00B74B1B" w:rsidRPr="00B74B1B">
        <w:t xml:space="preserve">do objektivního systému </w:t>
      </w:r>
      <w:r w:rsidR="00B74B1B" w:rsidRPr="00B74B1B">
        <w:rPr>
          <w:i/>
        </w:rPr>
        <w:t>metaphysica generalis</w:t>
      </w:r>
      <w:r w:rsidR="00B74B1B" w:rsidRPr="003D1E07">
        <w:rPr>
          <w:i/>
        </w:rPr>
        <w:fldChar w:fldCharType="begin"/>
      </w:r>
      <w:r w:rsidR="00B74B1B" w:rsidRPr="003D1E07">
        <w:instrText xml:space="preserve"> XE "</w:instrText>
      </w:r>
      <w:r w:rsidR="00B74B1B" w:rsidRPr="003D1E07">
        <w:rPr>
          <w:i/>
        </w:rPr>
        <w:instrText>metaphysica generalis</w:instrText>
      </w:r>
      <w:r w:rsidR="00B74B1B" w:rsidRPr="003D1E07">
        <w:instrText xml:space="preserve">" </w:instrText>
      </w:r>
      <w:r w:rsidR="00B74B1B" w:rsidRPr="003D1E07">
        <w:rPr>
          <w:i/>
        </w:rPr>
        <w:fldChar w:fldCharType="end"/>
      </w:r>
      <w:r w:rsidR="00B74B1B" w:rsidRPr="00B74B1B">
        <w:t>.</w:t>
      </w:r>
      <w:r w:rsidR="00B74B1B">
        <w:t xml:space="preserve"> Tím došlo ke kompletnímu </w:t>
      </w:r>
      <w:r w:rsidR="0885116B" w:rsidRPr="003D1E07">
        <w:t>zatmění první substance</w:t>
      </w:r>
      <w:r w:rsidR="0885116B" w:rsidRPr="003D1E07">
        <w:fldChar w:fldCharType="begin"/>
      </w:r>
      <w:r w:rsidR="0885116B" w:rsidRPr="003D1E07">
        <w:instrText xml:space="preserve"> XE "zatmění:substance" </w:instrText>
      </w:r>
      <w:r w:rsidR="0885116B" w:rsidRPr="003D1E07">
        <w:fldChar w:fldCharType="end"/>
      </w:r>
      <w:r w:rsidR="0885116B" w:rsidRPr="003D1E07">
        <w:t xml:space="preserve">. </w:t>
      </w:r>
      <w:r w:rsidR="081D6250" w:rsidRPr="003D1E07">
        <w:t>K</w:t>
      </w:r>
      <w:r w:rsidR="002C7DB1" w:rsidRPr="003D1E07">
        <w:t xml:space="preserve">auzalitu </w:t>
      </w:r>
      <w:r w:rsidR="081D6250" w:rsidRPr="003D1E07">
        <w:t xml:space="preserve">světa v </w:t>
      </w:r>
      <w:r w:rsidR="086E55A1" w:rsidRPr="003D1E07">
        <w:t xml:space="preserve">Averroesově </w:t>
      </w:r>
      <w:r w:rsidR="081D6250" w:rsidRPr="003D1E07">
        <w:t xml:space="preserve">modu </w:t>
      </w:r>
      <w:r w:rsidR="081D6250" w:rsidRPr="003D1E07">
        <w:rPr>
          <w:i/>
        </w:rPr>
        <w:t>proportio</w:t>
      </w:r>
      <w:r w:rsidR="081D6250" w:rsidRPr="003D1E07">
        <w:t xml:space="preserve"> už postmoderní Kant </w:t>
      </w:r>
      <w:r w:rsidR="002C7DB1" w:rsidRPr="003D1E07">
        <w:t xml:space="preserve">nemůže mít, protože reálná věc je </w:t>
      </w:r>
      <w:r w:rsidR="081D6250" w:rsidRPr="003D1E07">
        <w:t xml:space="preserve">pro něj </w:t>
      </w:r>
      <w:r w:rsidR="00ED5ACE">
        <w:t xml:space="preserve">téměř </w:t>
      </w:r>
      <w:r w:rsidR="002C7DB1" w:rsidRPr="003D1E07">
        <w:t xml:space="preserve">nepoznatelné </w:t>
      </w:r>
      <w:r w:rsidR="002C7DB1" w:rsidRPr="003D1E07">
        <w:rPr>
          <w:i/>
        </w:rPr>
        <w:t>Noumenon</w:t>
      </w:r>
      <w:r w:rsidR="002C7DB1" w:rsidRPr="003D1E07">
        <w:t xml:space="preserve">. </w:t>
      </w:r>
      <w:r w:rsidR="00E45509" w:rsidRPr="003D1E07">
        <w:t>Ve schématu spojení smyslů a rozumu už nefiguruje formální kauzalita</w:t>
      </w:r>
      <w:r w:rsidR="08B315FB" w:rsidRPr="003D1E07">
        <w:t xml:space="preserve"> daná skrze diafanum</w:t>
      </w:r>
      <w:r w:rsidR="00E45509" w:rsidRPr="003D1E07">
        <w:t>, ale moderní analogie</w:t>
      </w:r>
      <w:r w:rsidR="08B315FB" w:rsidRPr="003D1E07">
        <w:t xml:space="preserve"> daná objektivně skrze transcendentální dedukci</w:t>
      </w:r>
      <w:r w:rsidR="00E45509" w:rsidRPr="003D1E07">
        <w:t xml:space="preserve">. </w:t>
      </w:r>
      <w:r w:rsidR="003B4BB3" w:rsidRPr="003B4BB3">
        <w:t>Kant provádí nový druh transcendentální dedukce, aby dosáhl reálného světa. V zásadě jde o stejný paranoidní způsob postmoderního poznání, jaký před ním rozvinul Descartes.</w:t>
      </w:r>
      <w:r w:rsidR="003B4BB3">
        <w:t xml:space="preserve"> </w:t>
      </w:r>
      <w:r w:rsidR="008918E7" w:rsidRPr="003D1E07">
        <w:t xml:space="preserve">Proces poznání </w:t>
      </w:r>
      <w:r w:rsidR="004051AB" w:rsidRPr="003D1E07">
        <w:t xml:space="preserve">se </w:t>
      </w:r>
      <w:r w:rsidR="008918E7" w:rsidRPr="003D1E07">
        <w:t xml:space="preserve">dostal </w:t>
      </w:r>
      <w:r w:rsidR="004051AB" w:rsidRPr="003D1E07">
        <w:t xml:space="preserve">z formální kauzality </w:t>
      </w:r>
      <w:r w:rsidR="008918E7" w:rsidRPr="003D1E07">
        <w:t xml:space="preserve">do analogického schématu </w:t>
      </w:r>
      <w:r w:rsidR="008918E7" w:rsidRPr="003D1E07">
        <w:rPr>
          <w:i/>
        </w:rPr>
        <w:t>Oxfordian Fallacy</w:t>
      </w:r>
      <w:r w:rsidR="008918E7" w:rsidRPr="003D1E07">
        <w:t>, což pot</w:t>
      </w:r>
      <w:r w:rsidR="00C16DA0" w:rsidRPr="003D1E07">
        <w:t xml:space="preserve">vrzuje i Kantova první kritika. </w:t>
      </w:r>
      <w:r w:rsidR="004F58C5" w:rsidRPr="003D1E07">
        <w:t>Klasická metafyzika odmít</w:t>
      </w:r>
      <w:r w:rsidR="083745B1" w:rsidRPr="003D1E07">
        <w:t xml:space="preserve">la </w:t>
      </w:r>
      <w:r w:rsidR="004F58C5" w:rsidRPr="003D1E07">
        <w:t xml:space="preserve">moderní analogii mezi </w:t>
      </w:r>
      <w:r w:rsidR="00FC4AFB" w:rsidRPr="003D1E07">
        <w:t>dichoto</w:t>
      </w:r>
      <w:r w:rsidR="001A254D" w:rsidRPr="003D1E07">
        <w:t>m</w:t>
      </w:r>
      <w:r w:rsidR="00FC4AFB" w:rsidRPr="003D1E07">
        <w:t>i</w:t>
      </w:r>
      <w:r w:rsidR="001A254D" w:rsidRPr="003D1E07">
        <w:t>c</w:t>
      </w:r>
      <w:r w:rsidR="00FC4AFB" w:rsidRPr="003D1E07">
        <w:t>kým intelekt</w:t>
      </w:r>
      <w:r w:rsidR="001A254D" w:rsidRPr="003D1E07">
        <w:t>e</w:t>
      </w:r>
      <w:r w:rsidR="00FC4AFB" w:rsidRPr="003D1E07">
        <w:t xml:space="preserve">m a </w:t>
      </w:r>
      <w:r w:rsidR="004F58C5" w:rsidRPr="003D1E07">
        <w:t xml:space="preserve">diakosmem </w:t>
      </w:r>
      <w:r w:rsidR="00FC4AFB" w:rsidRPr="003D1E07">
        <w:t xml:space="preserve">neexistujících </w:t>
      </w:r>
      <w:r w:rsidR="004F58C5" w:rsidRPr="003D1E07">
        <w:t xml:space="preserve">třetích substancí. </w:t>
      </w:r>
      <w:r w:rsidR="088D367F" w:rsidRPr="003D1E07">
        <w:t xml:space="preserve">Analogie </w:t>
      </w:r>
      <w:r w:rsidR="08462DF1" w:rsidRPr="003D1E07">
        <w:t>vzniká pouze v mysli</w:t>
      </w:r>
      <w:r w:rsidR="088D367F" w:rsidRPr="003D1E07">
        <w:t xml:space="preserve">, </w:t>
      </w:r>
      <w:r w:rsidR="08462DF1" w:rsidRPr="003D1E07">
        <w:t xml:space="preserve">není založena na reálné formální </w:t>
      </w:r>
      <w:r w:rsidR="088D367F" w:rsidRPr="003D1E07">
        <w:t>kauzalit</w:t>
      </w:r>
      <w:r w:rsidR="08462DF1" w:rsidRPr="003D1E07">
        <w:t xml:space="preserve">ě </w:t>
      </w:r>
      <w:r w:rsidR="08E05FCB" w:rsidRPr="003D1E07">
        <w:t xml:space="preserve">dané mediací, </w:t>
      </w:r>
      <w:r w:rsidR="08462DF1" w:rsidRPr="003D1E07">
        <w:t xml:space="preserve">proto </w:t>
      </w:r>
      <w:r w:rsidR="088D367F" w:rsidRPr="003D1E07">
        <w:t>nezaruču</w:t>
      </w:r>
      <w:r w:rsidR="00B51950">
        <w:t>je pojetí pravdy jako adekvace.</w:t>
      </w:r>
      <w:r w:rsidR="001116F4">
        <w:t xml:space="preserve"> </w:t>
      </w:r>
      <w:r w:rsidR="00404E39">
        <w:t>D</w:t>
      </w:r>
      <w:r w:rsidR="00404E39" w:rsidRPr="003D1E07">
        <w:t>iafanum ukazuje celek reálného jsoucna</w:t>
      </w:r>
      <w:r w:rsidR="00404E39">
        <w:t xml:space="preserve"> d</w:t>
      </w:r>
      <w:r w:rsidR="007E10A1" w:rsidRPr="003D1E07">
        <w:t xml:space="preserve">íky </w:t>
      </w:r>
      <w:r w:rsidR="00404E39">
        <w:t>své potenci cokoliv přijímat a mediatizovat</w:t>
      </w:r>
      <w:r w:rsidR="002F3D8F" w:rsidRPr="003D1E07">
        <w:t xml:space="preserve">. </w:t>
      </w:r>
      <w:r w:rsidR="08756A03" w:rsidRPr="003D1E07">
        <w:t>Aristotel</w:t>
      </w:r>
      <w:r w:rsidR="08D54517" w:rsidRPr="003D1E07">
        <w:t>es a po něm Averro</w:t>
      </w:r>
      <w:r w:rsidR="08756A03" w:rsidRPr="003D1E07">
        <w:t>e</w:t>
      </w:r>
      <w:r w:rsidR="08D54517" w:rsidRPr="003D1E07">
        <w:t>s</w:t>
      </w:r>
      <w:r w:rsidR="08756A03" w:rsidRPr="003D1E07">
        <w:t xml:space="preserve"> </w:t>
      </w:r>
      <w:r w:rsidR="08D54517" w:rsidRPr="003D1E07">
        <w:t>jasně ukazují</w:t>
      </w:r>
      <w:r w:rsidR="08756A03" w:rsidRPr="003D1E07">
        <w:t xml:space="preserve">, že diafanum není dáno jen pro zrak, ale pro všechny smysly, viz analýzy </w:t>
      </w:r>
      <w:r w:rsidR="080D2CE0" w:rsidRPr="003D1E07">
        <w:rPr>
          <w:i/>
        </w:rPr>
        <w:t>De anima</w:t>
      </w:r>
      <w:r w:rsidR="080D2CE0" w:rsidRPr="003D1E07">
        <w:t xml:space="preserve"> a CMDA ohledně </w:t>
      </w:r>
      <w:r w:rsidR="08491EB6" w:rsidRPr="003D1E07">
        <w:t xml:space="preserve">intencionální mediace </w:t>
      </w:r>
      <w:r w:rsidR="08756A03" w:rsidRPr="003D1E07">
        <w:t xml:space="preserve">zvuku a vůně. </w:t>
      </w:r>
      <w:r w:rsidR="08363E0C" w:rsidRPr="003D1E07">
        <w:t xml:space="preserve">Proto </w:t>
      </w:r>
      <w:r w:rsidR="00A433B0">
        <w:t xml:space="preserve">poslední </w:t>
      </w:r>
      <w:r w:rsidR="08363E0C" w:rsidRPr="003D1E07">
        <w:t xml:space="preserve">orákulum </w:t>
      </w:r>
      <w:r w:rsidR="00A433B0">
        <w:t xml:space="preserve">řeckých </w:t>
      </w:r>
      <w:r w:rsidR="08363E0C" w:rsidRPr="003D1E07">
        <w:t xml:space="preserve">mystérií </w:t>
      </w:r>
      <w:r w:rsidR="082F641F" w:rsidRPr="003D1E07">
        <w:t>přikazuje</w:t>
      </w:r>
      <w:r w:rsidR="08363E0C" w:rsidRPr="003D1E07">
        <w:t xml:space="preserve"> </w:t>
      </w:r>
      <w:r w:rsidR="00A433B0">
        <w:t>moudré f</w:t>
      </w:r>
      <w:r w:rsidR="08363E0C" w:rsidRPr="003D1E07">
        <w:t xml:space="preserve">ilosofii, aby </w:t>
      </w:r>
      <w:r w:rsidR="00A433B0">
        <w:t xml:space="preserve">zachránila </w:t>
      </w:r>
      <w:r w:rsidR="084E7952" w:rsidRPr="003D1E07">
        <w:t>fenomény (kap. 1.3</w:t>
      </w:r>
      <w:r w:rsidR="08363E0C" w:rsidRPr="003D1E07">
        <w:t xml:space="preserve">.3). </w:t>
      </w:r>
      <w:r w:rsidR="0021199A" w:rsidRPr="003D1E07">
        <w:t xml:space="preserve">Svět, který existuje </w:t>
      </w:r>
      <w:r w:rsidR="00C47C92" w:rsidRPr="003D1E07">
        <w:t xml:space="preserve">aktuálně </w:t>
      </w:r>
      <w:r w:rsidR="0021199A" w:rsidRPr="003D1E07">
        <w:t xml:space="preserve">pro sebe, </w:t>
      </w:r>
      <w:r w:rsidR="00C152BA" w:rsidRPr="003D1E07">
        <w:t xml:space="preserve">se musí </w:t>
      </w:r>
      <w:r w:rsidR="00C47C92" w:rsidRPr="003D1E07">
        <w:t xml:space="preserve">potenciálně </w:t>
      </w:r>
      <w:r w:rsidR="00C152BA" w:rsidRPr="003D1E07">
        <w:t>manifestovat pro nás</w:t>
      </w:r>
      <w:r w:rsidR="00C11A33" w:rsidRPr="003D1E07">
        <w:t xml:space="preserve"> v jeho celku, protože duše je nějak vším</w:t>
      </w:r>
      <w:r w:rsidR="004A58F6" w:rsidRPr="003D1E07">
        <w:t>.</w:t>
      </w:r>
      <w:r w:rsidR="00C16DA0" w:rsidRPr="003D1E07">
        <w:t xml:space="preserve"> Averroes de</w:t>
      </w:r>
      <w:r w:rsidR="086356E3" w:rsidRPr="003D1E07">
        <w:t>finuje potenciální formu</w:t>
      </w:r>
      <w:r w:rsidR="000D2875">
        <w:t xml:space="preserve"> intencionálně založeného poznání</w:t>
      </w:r>
      <w:r w:rsidR="086356E3" w:rsidRPr="003D1E07">
        <w:t>, která</w:t>
      </w:r>
      <w:r w:rsidR="00C16DA0" w:rsidRPr="003D1E07">
        <w:t xml:space="preserve"> </w:t>
      </w:r>
      <w:r w:rsidR="000D2875">
        <w:t xml:space="preserve">vytváří mediaci </w:t>
      </w:r>
      <w:r w:rsidR="00C16DA0" w:rsidRPr="003D1E07">
        <w:t xml:space="preserve">mezi svítícím paprskem a nasvíceným tělesem. Formálně určená potence nemá žádnou vlastní subsistenci </w:t>
      </w:r>
      <w:r w:rsidR="0869421A" w:rsidRPr="003D1E07">
        <w:t xml:space="preserve">jako mají </w:t>
      </w:r>
      <w:r w:rsidR="00C16DA0" w:rsidRPr="003D1E07">
        <w:t xml:space="preserve">Simplikiovy atomární substance, Avicennovy čisté formy, Arnauldovy objektivní ideje či Lockovy primární kvality. Průzračné prostředí není </w:t>
      </w:r>
      <w:r w:rsidR="00C16DA0" w:rsidRPr="003D1E07">
        <w:lastRenderedPageBreak/>
        <w:t>individuální jednotlivinou jako „</w:t>
      </w:r>
      <w:r w:rsidR="00C16DA0" w:rsidRPr="003D1E07">
        <w:rPr>
          <w:lang w:eastAsia="en-US"/>
        </w:rPr>
        <w:t xml:space="preserve">toto zde“ </w:t>
      </w:r>
      <w:r w:rsidR="00C16DA0" w:rsidRPr="003D1E07">
        <w:t>(τόδε τι</w:t>
      </w:r>
      <w:r w:rsidR="00C16DA0" w:rsidRPr="003D1E07">
        <w:fldChar w:fldCharType="begin"/>
      </w:r>
      <w:r w:rsidR="00C16DA0" w:rsidRPr="003D1E07">
        <w:instrText xml:space="preserve"> XE "substance:τόδε τι" </w:instrText>
      </w:r>
      <w:r w:rsidR="00C16DA0" w:rsidRPr="003D1E07">
        <w:fldChar w:fldCharType="end"/>
      </w:r>
      <w:r w:rsidR="00C16DA0" w:rsidRPr="003D1E07">
        <w:t xml:space="preserve">). Čistě formální a potenciální diafanum se zásadně liší od Avicennovy ontologizace Jamblichova diakosmu (kap. 2.3.3), kterou </w:t>
      </w:r>
      <w:r w:rsidR="08CF7E4B" w:rsidRPr="003D1E07">
        <w:t xml:space="preserve">převzala </w:t>
      </w:r>
      <w:r w:rsidR="00C16DA0" w:rsidRPr="003D1E07">
        <w:t>postm</w:t>
      </w:r>
      <w:r w:rsidR="00C17311">
        <w:t>oderna. Primární a sekundární vlastnosti</w:t>
      </w:r>
      <w:r w:rsidR="00C17311" w:rsidRPr="003D1E07">
        <w:t xml:space="preserve"> těles</w:t>
      </w:r>
      <w:r w:rsidR="00C17311">
        <w:t xml:space="preserve"> se staly fiktivními hypostázemi</w:t>
      </w:r>
      <w:r w:rsidR="00C16DA0" w:rsidRPr="003D1E07">
        <w:t>.</w:t>
      </w:r>
    </w:p>
    <w:p w14:paraId="7E3A75E5" w14:textId="67EAAFB9" w:rsidR="006A0AAC" w:rsidRDefault="00464FDC" w:rsidP="006A0AAC">
      <w:pPr>
        <w:ind w:firstLine="397"/>
        <w:rPr>
          <w:rStyle w:val="Zkladntext158dkovn0pt"/>
          <w:color w:val="auto"/>
          <w:spacing w:val="0"/>
          <w:sz w:val="24"/>
          <w:lang w:val="cs-CZ"/>
        </w:rPr>
      </w:pPr>
      <w:r>
        <w:t>M</w:t>
      </w:r>
      <w:r w:rsidR="0021199A" w:rsidRPr="003D1E07">
        <w:t xml:space="preserve">oderna a postmoderna </w:t>
      </w:r>
      <w:r w:rsidR="00E718D0" w:rsidRPr="003D1E07">
        <w:t xml:space="preserve">objektivně </w:t>
      </w:r>
      <w:r>
        <w:t>vytěsnila mediační roli diafanum</w:t>
      </w:r>
      <w:r w:rsidR="08F13CA4" w:rsidRPr="003D1E07">
        <w:t xml:space="preserve">, což změnil </w:t>
      </w:r>
      <w:r w:rsidR="0021199A" w:rsidRPr="003D1E07">
        <w:t>Heideggerů</w:t>
      </w:r>
      <w:r w:rsidR="008732B4" w:rsidRPr="003D1E07">
        <w:t xml:space="preserve">v rozchod s Husserlem </w:t>
      </w:r>
      <w:r w:rsidR="08AB6BFB" w:rsidRPr="003D1E07">
        <w:t xml:space="preserve">v letech </w:t>
      </w:r>
      <w:r w:rsidR="008732B4" w:rsidRPr="003D1E07">
        <w:t>19</w:t>
      </w:r>
      <w:r w:rsidR="08AB6BFB" w:rsidRPr="003D1E07">
        <w:t>19‒21</w:t>
      </w:r>
      <w:r w:rsidR="0021199A" w:rsidRPr="003D1E07">
        <w:t xml:space="preserve">. </w:t>
      </w:r>
      <w:r w:rsidR="009719E3" w:rsidRPr="003D1E07">
        <w:t xml:space="preserve">Existenciální pojetí diafanum </w:t>
      </w:r>
      <w:r w:rsidR="00F96AAD">
        <w:t xml:space="preserve">vzniklo </w:t>
      </w:r>
      <w:r w:rsidR="009719E3" w:rsidRPr="003D1E07">
        <w:t>hned na začátku Heideggerova myšlení</w:t>
      </w:r>
      <w:r w:rsidR="00F96AAD">
        <w:t xml:space="preserve">, a to </w:t>
      </w:r>
      <w:r w:rsidR="00E718D0" w:rsidRPr="003D1E07">
        <w:t>v triádě výkonu porozumění</w:t>
      </w:r>
      <w:r w:rsidR="00E345C2" w:rsidRPr="003D1E07">
        <w:t xml:space="preserve"> zakládajícího </w:t>
      </w:r>
      <w:r w:rsidR="004F5942">
        <w:t xml:space="preserve">ontologický </w:t>
      </w:r>
      <w:r w:rsidR="00E345C2" w:rsidRPr="003D1E07">
        <w:t>smysl jsoucna</w:t>
      </w:r>
      <w:r w:rsidR="00D84197" w:rsidRPr="003D1E07">
        <w:fldChar w:fldCharType="begin"/>
      </w:r>
      <w:r w:rsidR="00D84197" w:rsidRPr="003D1E07">
        <w:instrText xml:space="preserve"> XE "hermeneutika:fakticity" </w:instrText>
      </w:r>
      <w:r w:rsidR="00D84197" w:rsidRPr="003D1E07">
        <w:fldChar w:fldCharType="end"/>
      </w:r>
      <w:r w:rsidR="084E4984" w:rsidRPr="003D1E07">
        <w:t xml:space="preserve"> (</w:t>
      </w:r>
      <w:r w:rsidR="08BD600E" w:rsidRPr="003D1E07">
        <w:t>OBJ III, kap. 4</w:t>
      </w:r>
      <w:r w:rsidR="084E4984" w:rsidRPr="003D1E07">
        <w:t xml:space="preserve">). </w:t>
      </w:r>
      <w:r w:rsidR="007E4182" w:rsidRPr="003D1E07">
        <w:t xml:space="preserve">Mladý hermeneut </w:t>
      </w:r>
      <w:r w:rsidR="00F33D96" w:rsidRPr="003D1E07">
        <w:t xml:space="preserve">přednášející </w:t>
      </w:r>
      <w:r w:rsidR="00877179" w:rsidRPr="003D1E07">
        <w:t xml:space="preserve">ve Freiburgu </w:t>
      </w:r>
      <w:r w:rsidR="007E4182" w:rsidRPr="003D1E07">
        <w:t xml:space="preserve">objevil novou četbou Aristotela </w:t>
      </w:r>
      <w:r w:rsidR="00A45D20" w:rsidRPr="003D1E07">
        <w:t xml:space="preserve">a Paula von Yorcka </w:t>
      </w:r>
      <w:r w:rsidR="001D31BA" w:rsidRPr="003D1E07">
        <w:fldChar w:fldCharType="begin"/>
      </w:r>
      <w:r w:rsidR="001D31BA" w:rsidRPr="003D1E07">
        <w:instrText xml:space="preserve"> XE "Yorck, P." </w:instrText>
      </w:r>
      <w:r w:rsidR="001D31BA" w:rsidRPr="003D1E07">
        <w:fldChar w:fldCharType="end"/>
      </w:r>
      <w:r w:rsidR="00830B61">
        <w:t xml:space="preserve">také </w:t>
      </w:r>
      <w:r w:rsidR="007E4182" w:rsidRPr="003D1E07">
        <w:t>nov</w:t>
      </w:r>
      <w:r w:rsidR="00A45D20" w:rsidRPr="003D1E07">
        <w:t>o</w:t>
      </w:r>
      <w:r w:rsidR="007E4182" w:rsidRPr="003D1E07">
        <w:t>u fo</w:t>
      </w:r>
      <w:r w:rsidR="003B3B63" w:rsidRPr="003D1E07">
        <w:t>rmu diafanum v</w:t>
      </w:r>
      <w:r w:rsidR="08BD600E" w:rsidRPr="003D1E07">
        <w:t> </w:t>
      </w:r>
      <w:r w:rsidR="003B3B63" w:rsidRPr="003D1E07">
        <w:t>hermeneutickém</w:t>
      </w:r>
      <w:r w:rsidR="08BD600E" w:rsidRPr="003D1E07">
        <w:t xml:space="preserve"> způsobu, </w:t>
      </w:r>
      <w:r w:rsidR="003B3B63" w:rsidRPr="003D1E07">
        <w:t>j</w:t>
      </w:r>
      <w:r w:rsidR="007E4182" w:rsidRPr="003D1E07">
        <w:t>ak</w:t>
      </w:r>
      <w:r w:rsidR="08BD600E" w:rsidRPr="003D1E07">
        <w:t xml:space="preserve"> </w:t>
      </w:r>
      <w:r w:rsidR="08407EF2" w:rsidRPr="003D1E07">
        <w:t xml:space="preserve">se </w:t>
      </w:r>
      <w:r w:rsidR="00C66A59" w:rsidRPr="003D1E07">
        <w:t xml:space="preserve">zjevují </w:t>
      </w:r>
      <w:r w:rsidR="08407EF2" w:rsidRPr="003D1E07">
        <w:t>věci</w:t>
      </w:r>
      <w:r w:rsidR="007E4182" w:rsidRPr="003D1E07">
        <w:t xml:space="preserve"> </w:t>
      </w:r>
      <w:r w:rsidR="00C66A59">
        <w:t xml:space="preserve">ve světě </w:t>
      </w:r>
      <w:r w:rsidR="00FB1902" w:rsidRPr="003D1E07">
        <w:t>(</w:t>
      </w:r>
      <w:r w:rsidR="00FB1902" w:rsidRPr="003D1E07">
        <w:rPr>
          <w:i/>
        </w:rPr>
        <w:t>Durchsichtigmachen eines Seienden</w:t>
      </w:r>
      <w:r w:rsidR="00FB1902" w:rsidRPr="003D1E07">
        <w:t>)</w:t>
      </w:r>
      <w:r w:rsidR="00A45D20" w:rsidRPr="003D1E07">
        <w:t>.</w:t>
      </w:r>
      <w:r w:rsidR="00F8385A" w:rsidRPr="003D1E07">
        <w:rPr>
          <w:rStyle w:val="Znakapoznpodarou"/>
        </w:rPr>
        <w:footnoteReference w:id="282"/>
      </w:r>
      <w:r w:rsidR="00A45D20" w:rsidRPr="003D1E07">
        <w:t xml:space="preserve"> </w:t>
      </w:r>
      <w:r w:rsidR="0026160B" w:rsidRPr="003D1E07">
        <w:t xml:space="preserve">Novou formou </w:t>
      </w:r>
      <w:r w:rsidR="0026160B" w:rsidRPr="003D1E07">
        <w:rPr>
          <w:i/>
        </w:rPr>
        <w:t>Durchsichtigkeit</w:t>
      </w:r>
      <w:r w:rsidR="0026160B" w:rsidRPr="003D1E07">
        <w:t xml:space="preserve"> </w:t>
      </w:r>
      <w:r w:rsidR="00077695" w:rsidRPr="003D1E07">
        <w:fldChar w:fldCharType="begin"/>
      </w:r>
      <w:r w:rsidR="00077695" w:rsidRPr="003D1E07">
        <w:instrText xml:space="preserve"> XE "diafanum:Heidegger" </w:instrText>
      </w:r>
      <w:r w:rsidR="00077695" w:rsidRPr="003D1E07">
        <w:fldChar w:fldCharType="end"/>
      </w:r>
      <w:r w:rsidR="00453D8E" w:rsidRPr="003D1E07">
        <w:t xml:space="preserve">zakládající definici </w:t>
      </w:r>
      <w:r w:rsidR="0026160B" w:rsidRPr="003D1E07">
        <w:t xml:space="preserve">člověka jako </w:t>
      </w:r>
      <w:r w:rsidR="0026160B" w:rsidRPr="003D1E07">
        <w:rPr>
          <w:i/>
        </w:rPr>
        <w:t>Dasein</w:t>
      </w:r>
      <w:r w:rsidR="0026160B" w:rsidRPr="003D1E07">
        <w:t xml:space="preserve"> se aristotelský Heidegger definitivně oddělil od </w:t>
      </w:r>
      <w:r w:rsidR="00E04B4F">
        <w:t>Husserlova objektivismu</w:t>
      </w:r>
      <w:r w:rsidR="00211C70" w:rsidRPr="003D1E07">
        <w:t xml:space="preserve">, a tím i od </w:t>
      </w:r>
      <w:r w:rsidR="00E04B4F" w:rsidRPr="003D1E07">
        <w:t>avicen</w:t>
      </w:r>
      <w:r w:rsidR="00E04B4F">
        <w:t xml:space="preserve">nistického </w:t>
      </w:r>
      <w:r w:rsidR="00232307" w:rsidRPr="003D1E07">
        <w:t>určení člověka</w:t>
      </w:r>
      <w:r w:rsidR="00211C70" w:rsidRPr="003D1E07">
        <w:t>.</w:t>
      </w:r>
      <w:r w:rsidR="08181279" w:rsidRPr="003D1E07">
        <w:t xml:space="preserve"> Heideggerův definitivní rozchod s</w:t>
      </w:r>
      <w:r w:rsidR="00223195" w:rsidRPr="003D1E07">
        <w:t> </w:t>
      </w:r>
      <w:r w:rsidR="08181279" w:rsidRPr="003D1E07">
        <w:t>objektiv</w:t>
      </w:r>
      <w:r w:rsidR="00223195" w:rsidRPr="003D1E07">
        <w:t>ismem dokončil</w:t>
      </w:r>
      <w:r w:rsidR="08181279" w:rsidRPr="003D1E07">
        <w:t xml:space="preserve"> </w:t>
      </w:r>
      <w:r w:rsidR="08181279" w:rsidRPr="003D1E07">
        <w:rPr>
          <w:rStyle w:val="st"/>
          <w:bCs/>
          <w:i/>
        </w:rPr>
        <w:t>Brief</w:t>
      </w:r>
      <w:r w:rsidR="08181279" w:rsidRPr="003D1E07">
        <w:rPr>
          <w:rStyle w:val="st"/>
          <w:i/>
        </w:rPr>
        <w:t xml:space="preserve"> über den </w:t>
      </w:r>
      <w:r w:rsidR="08181279" w:rsidRPr="003D1E07">
        <w:rPr>
          <w:rStyle w:val="st"/>
          <w:bCs/>
          <w:i/>
        </w:rPr>
        <w:t>Humanismus</w:t>
      </w:r>
      <w:r w:rsidR="08181279" w:rsidRPr="003D1E07">
        <w:rPr>
          <w:rStyle w:val="st"/>
          <w:bCs/>
        </w:rPr>
        <w:t xml:space="preserve"> (1947</w:t>
      </w:r>
      <w:r w:rsidR="00223195" w:rsidRPr="003D1E07">
        <w:t>), který definoval</w:t>
      </w:r>
      <w:r w:rsidR="08181279" w:rsidRPr="003D1E07">
        <w:t xml:space="preserve"> základní problémy nihilistické metafyziky a jejího humanismu</w:t>
      </w:r>
      <w:r w:rsidR="086E482C" w:rsidRPr="003D1E07">
        <w:rPr>
          <w:i/>
        </w:rPr>
        <w:fldChar w:fldCharType="begin"/>
      </w:r>
      <w:r w:rsidR="086E482C" w:rsidRPr="003D1E07">
        <w:instrText xml:space="preserve"> XE "humanismus:Heidegger" </w:instrText>
      </w:r>
      <w:r w:rsidR="086E482C" w:rsidRPr="003D1E07">
        <w:rPr>
          <w:i/>
        </w:rPr>
        <w:fldChar w:fldCharType="end"/>
      </w:r>
      <w:r w:rsidR="08181279" w:rsidRPr="003D1E07">
        <w:t xml:space="preserve">. Citovali jsme z něj pojem </w:t>
      </w:r>
      <w:r w:rsidR="08181279" w:rsidRPr="003D1E07">
        <w:rPr>
          <w:i/>
        </w:rPr>
        <w:t>Ek</w:t>
      </w:r>
      <w:r w:rsidR="08181279" w:rsidRPr="003D1E07">
        <w:rPr>
          <w:i/>
        </w:rPr>
        <w:noBreakHyphen/>
        <w:t>sistenz</w:t>
      </w:r>
      <w:r w:rsidR="08181279" w:rsidRPr="003D1E07">
        <w:t xml:space="preserve"> (kap. 2</w:t>
      </w:r>
      <w:r w:rsidR="088E3282" w:rsidRPr="003D1E07">
        <w:t>.1</w:t>
      </w:r>
      <w:r w:rsidR="08181279" w:rsidRPr="003D1E07">
        <w:t>.2), jehož nihilistická varianta (</w:t>
      </w:r>
      <w:r w:rsidR="08181279" w:rsidRPr="003D1E07">
        <w:rPr>
          <w:i/>
        </w:rPr>
        <w:t>exsistere</w:t>
      </w:r>
      <w:r w:rsidR="08181279" w:rsidRPr="003D1E07">
        <w:t xml:space="preserve">) bude hrát klíčovou roli v novém určení bytí jsoucna skrze </w:t>
      </w:r>
      <w:r w:rsidR="08181279" w:rsidRPr="003D1E07">
        <w:rPr>
          <w:i/>
        </w:rPr>
        <w:t>Oxfordian Fallacy</w:t>
      </w:r>
      <w:r w:rsidR="08181279" w:rsidRPr="003D1E07">
        <w:t xml:space="preserve">. </w:t>
      </w:r>
      <w:r w:rsidR="0009549B" w:rsidRPr="003D1E07">
        <w:t>Heidegger</w:t>
      </w:r>
      <w:r w:rsidR="00B120D3" w:rsidRPr="003D1E07">
        <w:t xml:space="preserve"> </w:t>
      </w:r>
      <w:r w:rsidR="0009549B" w:rsidRPr="003D1E07">
        <w:t>pochopil</w:t>
      </w:r>
      <w:r w:rsidR="000B4E61" w:rsidRPr="003D1E07">
        <w:t xml:space="preserve"> v další</w:t>
      </w:r>
      <w:r w:rsidR="00BF5503" w:rsidRPr="003D1E07">
        <w:t>m</w:t>
      </w:r>
      <w:r w:rsidR="00D905BD" w:rsidRPr="003D1E07">
        <w:t xml:space="preserve"> milé</w:t>
      </w:r>
      <w:r w:rsidR="00740062" w:rsidRPr="003D1E07">
        <w:t>ni</w:t>
      </w:r>
      <w:r w:rsidR="00BF5503" w:rsidRPr="003D1E07">
        <w:t>u</w:t>
      </w:r>
      <w:r w:rsidR="086209B8" w:rsidRPr="003D1E07">
        <w:t xml:space="preserve"> jako Averroes</w:t>
      </w:r>
      <w:r w:rsidR="0009549B" w:rsidRPr="003D1E07">
        <w:t xml:space="preserve">, že </w:t>
      </w:r>
      <w:r w:rsidR="08166E37" w:rsidRPr="003D1E07">
        <w:t>fenomény nelze zachránit tím, že se z nich udělají jsoucna</w:t>
      </w:r>
      <w:r w:rsidR="08A401B9" w:rsidRPr="003D1E07">
        <w:t xml:space="preserve"> třetího druhu. Existující </w:t>
      </w:r>
      <w:r w:rsidR="08275D81" w:rsidRPr="003D1E07">
        <w:rPr>
          <w:i/>
        </w:rPr>
        <w:t>Dasein</w:t>
      </w:r>
      <w:r w:rsidR="08275D81" w:rsidRPr="003D1E07">
        <w:t xml:space="preserve"> konstituuje smysl </w:t>
      </w:r>
      <w:r w:rsidR="08784418" w:rsidRPr="003D1E07">
        <w:t xml:space="preserve">jsoucna </w:t>
      </w:r>
      <w:r w:rsidR="0009549B" w:rsidRPr="003D1E07">
        <w:t xml:space="preserve">díky </w:t>
      </w:r>
      <w:r w:rsidR="083B6AF4" w:rsidRPr="003D1E07">
        <w:t xml:space="preserve">schopnosti </w:t>
      </w:r>
      <w:r w:rsidR="0009549B" w:rsidRPr="003D1E07">
        <w:t>intencionality a porozumění</w:t>
      </w:r>
      <w:r w:rsidR="001D3F19" w:rsidRPr="003D1E07">
        <w:fldChar w:fldCharType="begin"/>
      </w:r>
      <w:r w:rsidR="001D3F19" w:rsidRPr="003D1E07">
        <w:instrText xml:space="preserve"> XE "intencionalita:Heidegger" </w:instrText>
      </w:r>
      <w:r w:rsidR="001D3F19" w:rsidRPr="003D1E07">
        <w:fldChar w:fldCharType="end"/>
      </w:r>
      <w:r w:rsidR="0009549B" w:rsidRPr="003D1E07">
        <w:t xml:space="preserve">. </w:t>
      </w:r>
      <w:r w:rsidR="00FA1298" w:rsidRPr="003D1E07">
        <w:t xml:space="preserve">Proto </w:t>
      </w:r>
      <w:r w:rsidR="00EB39C1" w:rsidRPr="003D1E07">
        <w:t xml:space="preserve">představuje </w:t>
      </w:r>
      <w:r w:rsidR="00706B82" w:rsidRPr="003D1E07">
        <w:t xml:space="preserve">mediace </w:t>
      </w:r>
      <w:r w:rsidR="00097264" w:rsidRPr="003D1E07">
        <w:t xml:space="preserve">reálného </w:t>
      </w:r>
      <w:r w:rsidR="00932B38" w:rsidRPr="003D1E07">
        <w:t xml:space="preserve">světa </w:t>
      </w:r>
      <w:r w:rsidR="00097264" w:rsidRPr="003D1E07">
        <w:t xml:space="preserve">skrze jeho ontologický smysl </w:t>
      </w:r>
      <w:r w:rsidR="00FA1298" w:rsidRPr="003D1E07">
        <w:t xml:space="preserve">první </w:t>
      </w:r>
      <w:r w:rsidR="00F9233B" w:rsidRPr="003D1E07">
        <w:t xml:space="preserve">zkoumaný </w:t>
      </w:r>
      <w:r w:rsidR="001F2B3C" w:rsidRPr="003D1E07">
        <w:t xml:space="preserve">fenomén </w:t>
      </w:r>
      <w:r w:rsidR="00FA1298" w:rsidRPr="003D1E07">
        <w:t xml:space="preserve">v </w:t>
      </w:r>
      <w:r w:rsidR="007D5F02" w:rsidRPr="003D1E07">
        <w:t xml:space="preserve">úvodní </w:t>
      </w:r>
      <w:r w:rsidR="00A45D20" w:rsidRPr="003D1E07">
        <w:t>metodologické části</w:t>
      </w:r>
      <w:r w:rsidR="00D7726A" w:rsidRPr="003D1E07">
        <w:t xml:space="preserve"> </w:t>
      </w:r>
      <w:r w:rsidR="00C03624" w:rsidRPr="003D1E07">
        <w:t xml:space="preserve">díla </w:t>
      </w:r>
      <w:r w:rsidR="00D7726A" w:rsidRPr="003D1E07">
        <w:rPr>
          <w:i/>
        </w:rPr>
        <w:t>Bytí a čas</w:t>
      </w:r>
      <w:r w:rsidR="00783D35" w:rsidRPr="003D1E07">
        <w:t xml:space="preserve">. Hermeneutika objektivity sleduje tuto metodologii skrze </w:t>
      </w:r>
      <w:r w:rsidR="00033F89" w:rsidRPr="003D1E07">
        <w:t xml:space="preserve">trojí </w:t>
      </w:r>
      <w:r w:rsidR="00D83515" w:rsidRPr="003D1E07">
        <w:t xml:space="preserve">formální </w:t>
      </w:r>
      <w:r w:rsidR="00A45D20" w:rsidRPr="003D1E07">
        <w:t>dráhu náhledu na jsou</w:t>
      </w:r>
      <w:r w:rsidR="00E70239" w:rsidRPr="003D1E07">
        <w:t>c</w:t>
      </w:r>
      <w:r w:rsidR="006E0BD4" w:rsidRPr="003D1E07">
        <w:t>no</w:t>
      </w:r>
      <w:r w:rsidR="00D83515" w:rsidRPr="003D1E07">
        <w:t xml:space="preserve"> (SZ, § 2)</w:t>
      </w:r>
      <w:r w:rsidR="00FC6D02" w:rsidRPr="003D1E07">
        <w:t xml:space="preserve">. </w:t>
      </w:r>
      <w:r w:rsidR="00E22B49">
        <w:t>Existence věcí</w:t>
      </w:r>
      <w:r w:rsidR="006E0BD4" w:rsidRPr="003D1E07">
        <w:t xml:space="preserve"> ve světě a bytí světa </w:t>
      </w:r>
      <w:r w:rsidR="00FC6D02" w:rsidRPr="003D1E07">
        <w:t>není vůbec samozřejm</w:t>
      </w:r>
      <w:r w:rsidR="00A45D20" w:rsidRPr="003D1E07">
        <w:t>é</w:t>
      </w:r>
      <w:r w:rsidR="00FC6D02" w:rsidRPr="003D1E07">
        <w:t xml:space="preserve"> a evidentní</w:t>
      </w:r>
      <w:r w:rsidR="00A45D20" w:rsidRPr="003D1E07">
        <w:t xml:space="preserve">, jak to předpokládala </w:t>
      </w:r>
      <w:r w:rsidR="00817936" w:rsidRPr="003D1E07">
        <w:t>tehdejší postmoderna</w:t>
      </w:r>
      <w:r w:rsidR="005E1458" w:rsidRPr="003D1E07">
        <w:t xml:space="preserve"> oslepená světlem </w:t>
      </w:r>
      <w:r w:rsidR="00874074" w:rsidRPr="003D1E07">
        <w:t>neoplatonsk</w:t>
      </w:r>
      <w:r w:rsidR="005E1458" w:rsidRPr="003D1E07">
        <w:t>ého intelektu</w:t>
      </w:r>
      <w:r w:rsidR="08C71495" w:rsidRPr="003D1E07">
        <w:t>-slunce</w:t>
      </w:r>
      <w:r w:rsidR="005E1458" w:rsidRPr="003D1E07">
        <w:t xml:space="preserve"> </w:t>
      </w:r>
      <w:r w:rsidR="0093682A" w:rsidRPr="003D1E07">
        <w:t xml:space="preserve">daného </w:t>
      </w:r>
      <w:r w:rsidR="005E1458" w:rsidRPr="003D1E07">
        <w:t>v podobě objektivismu neopozitivistů a Husserlovy</w:t>
      </w:r>
      <w:r w:rsidR="00E70239" w:rsidRPr="003D1E07">
        <w:t xml:space="preserve"> </w:t>
      </w:r>
      <w:r w:rsidR="00D917EF" w:rsidRPr="003D1E07">
        <w:t xml:space="preserve">objektivní </w:t>
      </w:r>
      <w:r w:rsidR="00E70239" w:rsidRPr="003D1E07">
        <w:t>fenomenologie</w:t>
      </w:r>
      <w:r w:rsidR="08912B9F" w:rsidRPr="003D1E07">
        <w:fldChar w:fldCharType="begin"/>
      </w:r>
      <w:r w:rsidR="08912B9F" w:rsidRPr="003D1E07">
        <w:instrText xml:space="preserve"> XE "fenomenologie " </w:instrText>
      </w:r>
      <w:r w:rsidR="08912B9F" w:rsidRPr="003D1E07">
        <w:fldChar w:fldCharType="end"/>
      </w:r>
      <w:r w:rsidR="00A45D20" w:rsidRPr="003D1E07">
        <w:t>.</w:t>
      </w:r>
      <w:r w:rsidR="007E4182" w:rsidRPr="003D1E07">
        <w:t xml:space="preserve"> </w:t>
      </w:r>
      <w:r w:rsidR="00854943" w:rsidRPr="003D1E07">
        <w:t>Proto se zásadně liší Husserlova avicennovská intencionalita</w:t>
      </w:r>
      <w:r w:rsidR="00EB39C1" w:rsidRPr="003D1E07">
        <w:fldChar w:fldCharType="begin"/>
      </w:r>
      <w:r w:rsidR="00091847" w:rsidRPr="003D1E07">
        <w:instrText xml:space="preserve"> XE "intencionalita:Husserl</w:instrText>
      </w:r>
      <w:r w:rsidR="00EB39C1" w:rsidRPr="003D1E07">
        <w:instrText xml:space="preserve">" </w:instrText>
      </w:r>
      <w:r w:rsidR="00EB39C1" w:rsidRPr="003D1E07">
        <w:fldChar w:fldCharType="end"/>
      </w:r>
      <w:r w:rsidR="00854943" w:rsidRPr="003D1E07">
        <w:t xml:space="preserve"> a Heideggerovy aristot</w:t>
      </w:r>
      <w:r w:rsidR="08CC49AA" w:rsidRPr="003D1E07">
        <w:t xml:space="preserve">elské existenciály dané v modu </w:t>
      </w:r>
      <w:r w:rsidR="00854943" w:rsidRPr="003D1E07">
        <w:rPr>
          <w:i/>
        </w:rPr>
        <w:t>In-der-Welt-sein</w:t>
      </w:r>
      <w:r w:rsidR="00091847" w:rsidRPr="003D1E07">
        <w:fldChar w:fldCharType="begin"/>
      </w:r>
      <w:r w:rsidR="00091847" w:rsidRPr="003D1E07">
        <w:instrText xml:space="preserve"> XE "intencionalita:Heidegger" </w:instrText>
      </w:r>
      <w:r w:rsidR="00091847" w:rsidRPr="003D1E07">
        <w:fldChar w:fldCharType="end"/>
      </w:r>
      <w:r w:rsidR="00854943" w:rsidRPr="003D1E07">
        <w:t xml:space="preserve">. </w:t>
      </w:r>
      <w:r w:rsidR="00FC6D02" w:rsidRPr="003D1E07">
        <w:t>Averr</w:t>
      </w:r>
      <w:r w:rsidR="00F94597" w:rsidRPr="003D1E07">
        <w:t>o</w:t>
      </w:r>
      <w:r w:rsidR="00F00491" w:rsidRPr="003D1E07">
        <w:t>e</w:t>
      </w:r>
      <w:r w:rsidR="00817936" w:rsidRPr="003D1E07">
        <w:t xml:space="preserve">s zakládá </w:t>
      </w:r>
      <w:r w:rsidR="00DC75E6">
        <w:t>novou metafyziku jako první vědu v konfliktu</w:t>
      </w:r>
      <w:r w:rsidR="00D52C4F" w:rsidRPr="003D1E07">
        <w:t xml:space="preserve"> s</w:t>
      </w:r>
      <w:r w:rsidR="00DC75E6">
        <w:t> </w:t>
      </w:r>
      <w:r w:rsidR="00D52C4F" w:rsidRPr="003D1E07">
        <w:t>Avicennou</w:t>
      </w:r>
      <w:r w:rsidR="00DC75E6">
        <w:t xml:space="preserve">; </w:t>
      </w:r>
      <w:r w:rsidR="00817936" w:rsidRPr="003D1E07">
        <w:t>Heidegg</w:t>
      </w:r>
      <w:r w:rsidR="0076193C" w:rsidRPr="003D1E07">
        <w:t xml:space="preserve">er </w:t>
      </w:r>
      <w:r w:rsidR="00DC75E6">
        <w:t>zakládá novou první filosofii v </w:t>
      </w:r>
      <w:r w:rsidR="00D52C4F" w:rsidRPr="003D1E07">
        <w:t>konflikt</w:t>
      </w:r>
      <w:r w:rsidR="00DC75E6">
        <w:t xml:space="preserve">u </w:t>
      </w:r>
      <w:r w:rsidR="00D52C4F" w:rsidRPr="003D1E07">
        <w:t xml:space="preserve">s </w:t>
      </w:r>
      <w:r w:rsidR="0076193C" w:rsidRPr="003D1E07">
        <w:t>Husserl</w:t>
      </w:r>
      <w:r w:rsidR="00D52C4F" w:rsidRPr="003D1E07">
        <w:t>em</w:t>
      </w:r>
      <w:r w:rsidR="0076193C" w:rsidRPr="003D1E07">
        <w:t>.</w:t>
      </w:r>
      <w:r w:rsidR="00F835F0">
        <w:t xml:space="preserve"> </w:t>
      </w:r>
      <w:r w:rsidR="00F835F0" w:rsidRPr="00F835F0">
        <w:t xml:space="preserve">Komentátor </w:t>
      </w:r>
      <w:r w:rsidR="00F835F0">
        <w:t xml:space="preserve">si </w:t>
      </w:r>
      <w:r w:rsidR="00F835F0" w:rsidRPr="00F835F0">
        <w:t xml:space="preserve">položil stejnou otázku jako </w:t>
      </w:r>
      <w:r w:rsidR="00F835F0">
        <w:t xml:space="preserve">později </w:t>
      </w:r>
      <w:r w:rsidR="00F835F0" w:rsidRPr="00F835F0">
        <w:t xml:space="preserve">Heidegger ve Freiburgu: Jak se projevuje svět ve vztahu k existencialistickému </w:t>
      </w:r>
      <w:r w:rsidR="00F835F0">
        <w:t>porozumění (</w:t>
      </w:r>
      <w:r w:rsidR="00F835F0" w:rsidRPr="00F835F0">
        <w:rPr>
          <w:i/>
        </w:rPr>
        <w:t>Verstehen</w:t>
      </w:r>
      <w:r w:rsidR="00F835F0">
        <w:t xml:space="preserve">) pojatému </w:t>
      </w:r>
      <w:r w:rsidR="00F835F0" w:rsidRPr="00F835F0">
        <w:t xml:space="preserve">jako </w:t>
      </w:r>
      <w:r w:rsidR="00F835F0" w:rsidRPr="00F835F0">
        <w:rPr>
          <w:i/>
        </w:rPr>
        <w:t>tertium genus</w:t>
      </w:r>
      <w:r w:rsidR="00F835F0" w:rsidRPr="00F835F0">
        <w:t xml:space="preserve">? </w:t>
      </w:r>
      <w:r w:rsidR="00F835F0" w:rsidRPr="00F835F0">
        <w:lastRenderedPageBreak/>
        <w:t>Z toho vyplývá následující otázka: Jaký druh diafanum zprostředkovává porozumění</w:t>
      </w:r>
      <w:r w:rsidR="00E3379B">
        <w:t xml:space="preserve"> pro takto pojaté </w:t>
      </w:r>
      <w:r w:rsidR="00E3379B" w:rsidRPr="00E3379B">
        <w:rPr>
          <w:i/>
        </w:rPr>
        <w:t>Dasein</w:t>
      </w:r>
      <w:r w:rsidR="00F835F0" w:rsidRPr="00F835F0">
        <w:t>?</w:t>
      </w:r>
      <w:r w:rsidR="00E3379B">
        <w:t xml:space="preserve"> </w:t>
      </w:r>
      <w:r w:rsidR="0843160A" w:rsidRPr="003D1E07">
        <w:t xml:space="preserve">Moderna nemá žádný způsob, </w:t>
      </w:r>
      <w:r w:rsidR="004C4043" w:rsidRPr="003D1E07">
        <w:t>jak by mohla neviditelné diafanum</w:t>
      </w:r>
      <w:r w:rsidR="00590456" w:rsidRPr="003D1E07">
        <w:t xml:space="preserve"> tematizovat</w:t>
      </w:r>
      <w:r w:rsidR="004C4043" w:rsidRPr="003D1E07">
        <w:t xml:space="preserve">, protože má jsoucno nasvíceno přímo od </w:t>
      </w:r>
      <w:r w:rsidR="00A92081">
        <w:t xml:space="preserve">mytologického </w:t>
      </w:r>
      <w:r w:rsidR="004C4043" w:rsidRPr="003D1E07">
        <w:t>intelektu-slunce</w:t>
      </w:r>
      <w:r w:rsidR="004C4043" w:rsidRPr="003D1E07">
        <w:fldChar w:fldCharType="begin"/>
      </w:r>
      <w:r w:rsidR="004C4043" w:rsidRPr="003D1E07">
        <w:instrText xml:space="preserve"> XE "intelekt-slunce" </w:instrText>
      </w:r>
      <w:r w:rsidR="004C4043" w:rsidRPr="003D1E07">
        <w:fldChar w:fldCharType="end"/>
      </w:r>
      <w:r w:rsidR="004C4043" w:rsidRPr="003D1E07">
        <w:t xml:space="preserve">. Objektivita nezná </w:t>
      </w:r>
      <w:r w:rsidR="00E44983" w:rsidRPr="003D1E07">
        <w:t xml:space="preserve">roli </w:t>
      </w:r>
      <w:r w:rsidR="003D0437" w:rsidRPr="003D1E07">
        <w:t>diafanum pro receptivní i</w:t>
      </w:r>
      <w:r w:rsidR="00057F92" w:rsidRPr="003D1E07">
        <w:t xml:space="preserve">ntelekt v duši, ani </w:t>
      </w:r>
      <w:r w:rsidR="004C4043" w:rsidRPr="003D1E07">
        <w:t xml:space="preserve">nemá </w:t>
      </w:r>
      <w:r w:rsidR="00057F92" w:rsidRPr="003D1E07">
        <w:t>Heideggerovu</w:t>
      </w:r>
      <w:r w:rsidR="003D0437" w:rsidRPr="003D1E07">
        <w:t xml:space="preserve"> </w:t>
      </w:r>
      <w:r w:rsidR="003D0437" w:rsidRPr="003D1E07">
        <w:rPr>
          <w:i/>
        </w:rPr>
        <w:t xml:space="preserve">Durchsichtigkeit </w:t>
      </w:r>
      <w:r w:rsidR="00743097" w:rsidRPr="003D1E07">
        <w:t>nutnou</w:t>
      </w:r>
      <w:r w:rsidR="00743097" w:rsidRPr="003D1E07">
        <w:rPr>
          <w:i/>
        </w:rPr>
        <w:t xml:space="preserve"> </w:t>
      </w:r>
      <w:r w:rsidR="003D0437" w:rsidRPr="003D1E07">
        <w:t>pro</w:t>
      </w:r>
      <w:r w:rsidR="003D0437" w:rsidRPr="003D1E07">
        <w:rPr>
          <w:i/>
        </w:rPr>
        <w:t xml:space="preserve"> </w:t>
      </w:r>
      <w:r w:rsidR="003D0437" w:rsidRPr="003D1E07">
        <w:t xml:space="preserve">výkon porozumění v </w:t>
      </w:r>
      <w:r w:rsidR="003D0437" w:rsidRPr="003D1E07">
        <w:rPr>
          <w:i/>
        </w:rPr>
        <w:t>Dasein</w:t>
      </w:r>
      <w:r w:rsidR="003D0437" w:rsidRPr="003D1E07">
        <w:t xml:space="preserve">. Objektivní poznání se takto neptá, protože tuto otázku vůbec nevidí. </w:t>
      </w:r>
      <w:r w:rsidR="080B6892" w:rsidRPr="003D1E07">
        <w:t>Renesanční myslitel Nifo</w:t>
      </w:r>
      <w:r w:rsidR="082B3CF6" w:rsidRPr="003D1E07">
        <w:fldChar w:fldCharType="begin"/>
      </w:r>
      <w:r w:rsidR="082B3CF6" w:rsidRPr="003D1E07">
        <w:instrText xml:space="preserve"> XE "Nifo, A." </w:instrText>
      </w:r>
      <w:r w:rsidR="082B3CF6" w:rsidRPr="003D1E07">
        <w:fldChar w:fldCharType="end"/>
      </w:r>
      <w:r w:rsidR="080B6892" w:rsidRPr="003D1E07">
        <w:t xml:space="preserve"> v uvedeném komentáři k </w:t>
      </w:r>
      <w:r w:rsidR="080B6892" w:rsidRPr="003D1E07">
        <w:rPr>
          <w:i/>
        </w:rPr>
        <w:t>De anima</w:t>
      </w:r>
      <w:r w:rsidR="080B6892" w:rsidRPr="003D1E07">
        <w:t xml:space="preserve"> </w:t>
      </w:r>
      <w:r w:rsidR="00BE649B">
        <w:t xml:space="preserve">pravděpodobně </w:t>
      </w:r>
      <w:r w:rsidR="080B6892" w:rsidRPr="003D1E07">
        <w:t>n</w:t>
      </w:r>
      <w:r w:rsidR="00F00491" w:rsidRPr="003D1E07">
        <w:t xml:space="preserve">aposledy </w:t>
      </w:r>
      <w:r w:rsidR="080B6892" w:rsidRPr="003D1E07">
        <w:t>viděl a řešil roli aristotelského diafanum</w:t>
      </w:r>
      <w:r w:rsidR="08FE4339" w:rsidRPr="003D1E07">
        <w:t xml:space="preserve"> a udělal z něj jsoucno třetího druhu</w:t>
      </w:r>
      <w:r w:rsidR="00F00491" w:rsidRPr="003D1E07">
        <w:t xml:space="preserve">. </w:t>
      </w:r>
      <w:r w:rsidR="08564718" w:rsidRPr="003D1E07">
        <w:t xml:space="preserve">Moderna </w:t>
      </w:r>
      <w:r w:rsidR="08F80FCD" w:rsidRPr="003D1E07">
        <w:t xml:space="preserve">nemá </w:t>
      </w:r>
      <w:r w:rsidR="08564718" w:rsidRPr="003D1E07">
        <w:t xml:space="preserve">žádný způsob, jak by mohla tematizovat čistou potenci, aniž by ji hypostázovala jako </w:t>
      </w:r>
      <w:r w:rsidR="08564718" w:rsidRPr="003D1E07">
        <w:rPr>
          <w:i/>
        </w:rPr>
        <w:t>tertium ens</w:t>
      </w:r>
      <w:r w:rsidR="08F80FCD" w:rsidRPr="003D1E07">
        <w:t>. Diafanum n</w:t>
      </w:r>
      <w:r w:rsidR="00A76343" w:rsidRPr="003D1E07">
        <w:t xml:space="preserve">ení </w:t>
      </w:r>
      <w:r w:rsidR="00FF784C" w:rsidRPr="003D1E07">
        <w:t xml:space="preserve">ani aktuální první substance, ani </w:t>
      </w:r>
      <w:r w:rsidR="00A76343" w:rsidRPr="003D1E07">
        <w:t>jsoucno třetího druhu</w:t>
      </w:r>
      <w:r w:rsidR="004F46CF" w:rsidRPr="003D1E07">
        <w:t xml:space="preserve">. </w:t>
      </w:r>
      <w:r w:rsidR="00A76343" w:rsidRPr="003D1E07">
        <w:t xml:space="preserve">Není „něco“ substanciálního, ale intencionální způsob, „jak“ živé bytosti poznávají svět. </w:t>
      </w:r>
      <w:r w:rsidR="002E3B62" w:rsidRPr="003D1E07">
        <w:t>Averroes</w:t>
      </w:r>
      <w:r w:rsidR="00854943" w:rsidRPr="003D1E07">
        <w:t xml:space="preserve"> vidí jsoucno </w:t>
      </w:r>
      <w:r w:rsidR="009B4B80" w:rsidRPr="003D1E07">
        <w:t xml:space="preserve">jako </w:t>
      </w:r>
      <w:r w:rsidR="009B4B80" w:rsidRPr="003D1E07">
        <w:rPr>
          <w:lang w:eastAsia="en-US"/>
        </w:rPr>
        <w:t xml:space="preserve">substance </w:t>
      </w:r>
      <w:r w:rsidR="009B4B80" w:rsidRPr="003D1E07">
        <w:rPr>
          <w:i/>
          <w:lang w:eastAsia="en-US"/>
        </w:rPr>
        <w:t>qua</w:t>
      </w:r>
      <w:r w:rsidR="009B4B80" w:rsidRPr="003D1E07">
        <w:rPr>
          <w:lang w:eastAsia="en-US"/>
        </w:rPr>
        <w:t xml:space="preserve"> subst</w:t>
      </w:r>
      <w:r w:rsidR="00C53C68" w:rsidRPr="003D1E07">
        <w:rPr>
          <w:lang w:eastAsia="en-US"/>
        </w:rPr>
        <w:t>ance</w:t>
      </w:r>
      <w:r w:rsidR="000C3407" w:rsidRPr="003D1E07">
        <w:rPr>
          <w:lang w:eastAsia="en-US"/>
        </w:rPr>
        <w:fldChar w:fldCharType="begin"/>
      </w:r>
      <w:r w:rsidR="000C3407" w:rsidRPr="003D1E07">
        <w:instrText xml:space="preserve"> XE "</w:instrText>
      </w:r>
      <w:r w:rsidR="000C3407" w:rsidRPr="003D1E07">
        <w:rPr>
          <w:lang w:eastAsia="en-US"/>
        </w:rPr>
        <w:instrText xml:space="preserve">substance </w:instrText>
      </w:r>
      <w:r w:rsidR="000C3407" w:rsidRPr="003D1E07">
        <w:rPr>
          <w:i/>
          <w:lang w:eastAsia="en-US"/>
        </w:rPr>
        <w:instrText>qua</w:instrText>
      </w:r>
      <w:r w:rsidR="000C3407" w:rsidRPr="003D1E07">
        <w:rPr>
          <w:lang w:eastAsia="en-US"/>
        </w:rPr>
        <w:instrText xml:space="preserve"> substance</w:instrText>
      </w:r>
      <w:r w:rsidR="000C3407" w:rsidRPr="003D1E07">
        <w:instrText xml:space="preserve">" </w:instrText>
      </w:r>
      <w:r w:rsidR="000C3407" w:rsidRPr="003D1E07">
        <w:rPr>
          <w:lang w:eastAsia="en-US"/>
        </w:rPr>
        <w:fldChar w:fldCharType="end"/>
      </w:r>
      <w:r w:rsidR="00C53C68" w:rsidRPr="003D1E07">
        <w:rPr>
          <w:lang w:eastAsia="en-US"/>
        </w:rPr>
        <w:t xml:space="preserve">, která je recipována skrze </w:t>
      </w:r>
      <w:r w:rsidR="00854943" w:rsidRPr="003D1E07">
        <w:t xml:space="preserve">jinou formou intencionality, než Avicenna. </w:t>
      </w:r>
      <w:r w:rsidR="002E7509" w:rsidRPr="003D1E07">
        <w:t xml:space="preserve">Averroes </w:t>
      </w:r>
      <w:r w:rsidR="00D100A6" w:rsidRPr="003D1E07">
        <w:t>p</w:t>
      </w:r>
      <w:r w:rsidR="00854943" w:rsidRPr="003D1E07">
        <w:t>oznává jiný smysl světa než m</w:t>
      </w:r>
      <w:r w:rsidR="007B21B8" w:rsidRPr="003D1E07">
        <w:t xml:space="preserve">oderní a </w:t>
      </w:r>
      <w:r w:rsidR="08C33263" w:rsidRPr="003D1E07">
        <w:t>po</w:t>
      </w:r>
      <w:r w:rsidR="08CB2435" w:rsidRPr="003D1E07">
        <w:t>st</w:t>
      </w:r>
      <w:r w:rsidR="08C33263" w:rsidRPr="003D1E07">
        <w:t xml:space="preserve">moderní </w:t>
      </w:r>
      <w:r w:rsidR="08DE18BB" w:rsidRPr="003D1E07">
        <w:t>alexandrovc</w:t>
      </w:r>
      <w:r w:rsidR="007B21B8" w:rsidRPr="003D1E07">
        <w:t>i</w:t>
      </w:r>
      <w:r w:rsidR="001762A8" w:rsidRPr="003D1E07">
        <w:fldChar w:fldCharType="begin"/>
      </w:r>
      <w:r w:rsidR="001762A8" w:rsidRPr="003D1E07">
        <w:instrText xml:space="preserve"> XE "</w:instrText>
      </w:r>
      <w:r w:rsidR="08DE18BB" w:rsidRPr="003D1E07">
        <w:instrText>alexandrovci</w:instrText>
      </w:r>
      <w:r w:rsidR="001762A8" w:rsidRPr="003D1E07">
        <w:instrText xml:space="preserve">" </w:instrText>
      </w:r>
      <w:r w:rsidR="001762A8" w:rsidRPr="003D1E07">
        <w:fldChar w:fldCharType="end"/>
      </w:r>
      <w:r w:rsidR="083E1D0B" w:rsidRPr="003D1E07">
        <w:t xml:space="preserve">. </w:t>
      </w:r>
      <w:r w:rsidR="001A19F4" w:rsidRPr="003D1E07">
        <w:t xml:space="preserve">Druhá mediace </w:t>
      </w:r>
      <w:r w:rsidR="001D1747" w:rsidRPr="003D1E07">
        <w:t xml:space="preserve">forem </w:t>
      </w:r>
      <w:r w:rsidR="00983BC3" w:rsidRPr="003D1E07">
        <w:t xml:space="preserve">probíhá </w:t>
      </w:r>
      <w:r w:rsidR="001D1747" w:rsidRPr="003D1E07">
        <w:t>skrze spirituální</w:t>
      </w:r>
      <w:r w:rsidR="001A19F4" w:rsidRPr="003D1E07">
        <w:t xml:space="preserve"> diafanum </w:t>
      </w:r>
      <w:r w:rsidR="00983BC3" w:rsidRPr="003D1E07">
        <w:t xml:space="preserve">jako </w:t>
      </w:r>
      <w:r w:rsidR="00AC25EE" w:rsidRPr="003D1E07">
        <w:t xml:space="preserve">receptivní </w:t>
      </w:r>
      <w:r w:rsidR="00983BC3" w:rsidRPr="003D1E07">
        <w:t>intelekt</w:t>
      </w:r>
      <w:r w:rsidR="003739D2" w:rsidRPr="003D1E07">
        <w:t xml:space="preserve">, viz výše uvedená citace </w:t>
      </w:r>
      <w:r w:rsidR="003739D2" w:rsidRPr="003D1E07">
        <w:rPr>
          <w:rStyle w:val="Zkladntext158dkovn0pt"/>
          <w:color w:val="auto"/>
          <w:spacing w:val="0"/>
          <w:sz w:val="24"/>
          <w:lang w:val="cs-CZ"/>
        </w:rPr>
        <w:t>(</w:t>
      </w:r>
      <w:r w:rsidR="003739D2" w:rsidRPr="003D1E07">
        <w:rPr>
          <w:i/>
        </w:rPr>
        <w:t>recipit eas intellectus materialis</w:t>
      </w:r>
      <w:r w:rsidR="003739D2" w:rsidRPr="003D1E07">
        <w:t xml:space="preserve">). Intencionální </w:t>
      </w:r>
      <w:r w:rsidR="00C42F32" w:rsidRPr="003D1E07">
        <w:rPr>
          <w:rStyle w:val="Zkladntext158dkovn0pt"/>
          <w:color w:val="auto"/>
          <w:spacing w:val="0"/>
          <w:sz w:val="24"/>
          <w:lang w:val="cs-CZ"/>
        </w:rPr>
        <w:t xml:space="preserve">obsahy </w:t>
      </w:r>
      <w:r w:rsidR="003739D2" w:rsidRPr="003D1E07">
        <w:t xml:space="preserve">dané v možném intelektu </w:t>
      </w:r>
      <w:r w:rsidR="00C42F32" w:rsidRPr="003D1E07">
        <w:t xml:space="preserve">jsou </w:t>
      </w:r>
      <w:r w:rsidR="00E12CC0" w:rsidRPr="003D1E07">
        <w:rPr>
          <w:rStyle w:val="Zkladntext158dkovn0pt"/>
          <w:color w:val="auto"/>
          <w:spacing w:val="0"/>
          <w:sz w:val="24"/>
          <w:lang w:val="cs-CZ"/>
        </w:rPr>
        <w:t>aktualiz</w:t>
      </w:r>
      <w:r w:rsidR="00C42F32" w:rsidRPr="003D1E07">
        <w:rPr>
          <w:rStyle w:val="Zkladntext158dkovn0pt"/>
          <w:color w:val="auto"/>
          <w:spacing w:val="0"/>
          <w:sz w:val="24"/>
          <w:lang w:val="cs-CZ"/>
        </w:rPr>
        <w:t xml:space="preserve">ovány skrze </w:t>
      </w:r>
      <w:r w:rsidR="006E0ACF" w:rsidRPr="003D1E07">
        <w:rPr>
          <w:rStyle w:val="Zkladntext158dkovn0pt"/>
          <w:color w:val="auto"/>
          <w:spacing w:val="0"/>
          <w:sz w:val="24"/>
          <w:lang w:val="cs-CZ"/>
        </w:rPr>
        <w:t>činn</w:t>
      </w:r>
      <w:r w:rsidR="00C42F32" w:rsidRPr="003D1E07">
        <w:rPr>
          <w:rStyle w:val="Zkladntext158dkovn0pt"/>
          <w:color w:val="auto"/>
          <w:spacing w:val="0"/>
          <w:sz w:val="24"/>
          <w:lang w:val="cs-CZ"/>
        </w:rPr>
        <w:t xml:space="preserve">ý </w:t>
      </w:r>
      <w:r w:rsidR="006E0ACF" w:rsidRPr="003D1E07">
        <w:rPr>
          <w:rStyle w:val="Zkladntext158dkovn0pt"/>
          <w:color w:val="auto"/>
          <w:spacing w:val="0"/>
          <w:sz w:val="24"/>
          <w:lang w:val="cs-CZ"/>
        </w:rPr>
        <w:t xml:space="preserve">intelekt, který </w:t>
      </w:r>
      <w:r w:rsidR="00EE5F4F" w:rsidRPr="003D1E07">
        <w:rPr>
          <w:rStyle w:val="Zkladntext158dkovn0pt"/>
          <w:color w:val="auto"/>
          <w:spacing w:val="0"/>
          <w:sz w:val="24"/>
          <w:lang w:val="cs-CZ"/>
        </w:rPr>
        <w:t xml:space="preserve">je </w:t>
      </w:r>
      <w:r w:rsidR="00C21662" w:rsidRPr="003D1E07">
        <w:rPr>
          <w:rStyle w:val="Zkladntext158dkovn0pt"/>
          <w:color w:val="auto"/>
          <w:spacing w:val="0"/>
          <w:sz w:val="24"/>
          <w:lang w:val="cs-CZ"/>
        </w:rPr>
        <w:t>mění na aktuální</w:t>
      </w:r>
      <w:r w:rsidR="006E0ACF" w:rsidRPr="003D1E07">
        <w:rPr>
          <w:rStyle w:val="Zkladntext158dkovn0pt"/>
          <w:color w:val="auto"/>
          <w:spacing w:val="0"/>
          <w:sz w:val="24"/>
          <w:lang w:val="cs-CZ"/>
        </w:rPr>
        <w:t xml:space="preserve"> poznání</w:t>
      </w:r>
      <w:r w:rsidR="00422FF9" w:rsidRPr="003D1E07">
        <w:t xml:space="preserve">. </w:t>
      </w:r>
      <w:r w:rsidR="00425E1B" w:rsidRPr="003D1E07">
        <w:t>Intence da</w:t>
      </w:r>
      <w:r w:rsidR="087E04E2" w:rsidRPr="003D1E07">
        <w:t xml:space="preserve">ná v rámci diafanum </w:t>
      </w:r>
      <w:r w:rsidR="00CF3BEE" w:rsidRPr="003D1E07">
        <w:t xml:space="preserve">jako </w:t>
      </w:r>
      <w:r w:rsidR="00F214C5" w:rsidRPr="003D1E07">
        <w:rPr>
          <w:i/>
        </w:rPr>
        <w:t>species</w:t>
      </w:r>
      <w:r w:rsidR="00425E1B" w:rsidRPr="003D1E07">
        <w:rPr>
          <w:i/>
        </w:rPr>
        <w:t xml:space="preserve"> sensibilis</w:t>
      </w:r>
      <w:r w:rsidR="00425E1B" w:rsidRPr="003D1E07">
        <w:t xml:space="preserve"> </w:t>
      </w:r>
      <w:r w:rsidR="087E04E2" w:rsidRPr="003D1E07">
        <w:t xml:space="preserve">a </w:t>
      </w:r>
      <w:r w:rsidR="00425E1B" w:rsidRPr="003D1E07">
        <w:rPr>
          <w:i/>
        </w:rPr>
        <w:t>intelligibilis</w:t>
      </w:r>
      <w:r w:rsidR="087E04E2" w:rsidRPr="003D1E07">
        <w:t xml:space="preserve"> je determinovaná </w:t>
      </w:r>
      <w:r w:rsidR="00425E1B" w:rsidRPr="003D1E07">
        <w:t>formální kauzalitou</w:t>
      </w:r>
      <w:r w:rsidR="08BF18AE" w:rsidRPr="003D1E07">
        <w:t>, protože je aktem zvířecí nebo lidské duše</w:t>
      </w:r>
      <w:r w:rsidR="081E6377" w:rsidRPr="003D1E07">
        <w:t xml:space="preserve"> (</w:t>
      </w:r>
      <w:r w:rsidR="081E6377" w:rsidRPr="003D1E07">
        <w:rPr>
          <w:i/>
        </w:rPr>
        <w:t xml:space="preserve">tertium </w:t>
      </w:r>
      <w:r w:rsidR="00636BD4" w:rsidRPr="003D1E07">
        <w:rPr>
          <w:i/>
        </w:rPr>
        <w:t>genus</w:t>
      </w:r>
      <w:r w:rsidR="081E6377" w:rsidRPr="003D1E07">
        <w:t>)</w:t>
      </w:r>
      <w:r w:rsidR="087E04E2" w:rsidRPr="003D1E07">
        <w:t xml:space="preserve">. </w:t>
      </w:r>
      <w:r w:rsidR="081E6377" w:rsidRPr="003D1E07">
        <w:t>V</w:t>
      </w:r>
      <w:r w:rsidR="00F34DCD" w:rsidRPr="003D1E07">
        <w:t xml:space="preserve">ýsledný intelektuální pojem </w:t>
      </w:r>
      <w:r w:rsidR="08C53280" w:rsidRPr="003D1E07">
        <w:t xml:space="preserve">u člověka </w:t>
      </w:r>
      <w:r w:rsidR="081E6377" w:rsidRPr="003D1E07">
        <w:t xml:space="preserve">vzniká tím, že intencionální </w:t>
      </w:r>
      <w:r w:rsidR="00F214C5" w:rsidRPr="003D1E07">
        <w:t>species</w:t>
      </w:r>
      <w:r w:rsidR="081E6377" w:rsidRPr="003D1E07">
        <w:t xml:space="preserve"> </w:t>
      </w:r>
      <w:r w:rsidR="00EE3EBD">
        <w:t xml:space="preserve">jde do </w:t>
      </w:r>
      <w:r w:rsidR="004E53FC" w:rsidRPr="003D1E07">
        <w:t>aktivní</w:t>
      </w:r>
      <w:r w:rsidR="00EE3EBD">
        <w:t>ho</w:t>
      </w:r>
      <w:r w:rsidR="004E53FC" w:rsidRPr="003D1E07">
        <w:t xml:space="preserve"> inte</w:t>
      </w:r>
      <w:r w:rsidR="00E6170F" w:rsidRPr="003D1E07">
        <w:t>le</w:t>
      </w:r>
      <w:r w:rsidR="004E53FC" w:rsidRPr="003D1E07">
        <w:t>kt</w:t>
      </w:r>
      <w:r w:rsidR="00EE3EBD">
        <w:t xml:space="preserve">u. Univerzální </w:t>
      </w:r>
      <w:r w:rsidR="081E6377" w:rsidRPr="003D1E07">
        <w:t xml:space="preserve">pojem je </w:t>
      </w:r>
      <w:r w:rsidR="00E6170F" w:rsidRPr="003D1E07">
        <w:t xml:space="preserve">definitivně </w:t>
      </w:r>
      <w:r w:rsidR="004E53FC" w:rsidRPr="003D1E07">
        <w:t xml:space="preserve">zformovaný ve </w:t>
      </w:r>
      <w:r w:rsidR="00F34DCD" w:rsidRPr="003D1E07">
        <w:t>spekulativním intelektu</w:t>
      </w:r>
      <w:r w:rsidR="00706D16" w:rsidRPr="003D1E07">
        <w:fldChar w:fldCharType="begin"/>
      </w:r>
      <w:r w:rsidR="00706D16" w:rsidRPr="003D1E07">
        <w:instrText xml:space="preserve"> XE "intencionalita:</w:instrText>
      </w:r>
      <w:r w:rsidR="002E3B62" w:rsidRPr="003D1E07">
        <w:instrText>Averroes</w:instrText>
      </w:r>
      <w:r w:rsidR="00706D16" w:rsidRPr="003D1E07">
        <w:instrText xml:space="preserve">" </w:instrText>
      </w:r>
      <w:r w:rsidR="00706D16" w:rsidRPr="003D1E07">
        <w:fldChar w:fldCharType="end"/>
      </w:r>
      <w:r w:rsidR="00F34DCD" w:rsidRPr="003D1E07">
        <w:t>.</w:t>
      </w:r>
      <w:r w:rsidR="00177A07" w:rsidRPr="003D1E07">
        <w:t xml:space="preserve"> Existuje zásadní </w:t>
      </w:r>
      <w:r w:rsidR="00425E1B" w:rsidRPr="003D1E07">
        <w:t xml:space="preserve">rozdíl </w:t>
      </w:r>
      <w:r w:rsidR="00F34DCD" w:rsidRPr="003D1E07">
        <w:t xml:space="preserve">mezi </w:t>
      </w:r>
      <w:r w:rsidR="008B000F">
        <w:t xml:space="preserve">dvěma rovinami. Individuální akt </w:t>
      </w:r>
      <w:r w:rsidR="00CF1DAA" w:rsidRPr="003D1E07">
        <w:t>rozumov</w:t>
      </w:r>
      <w:r w:rsidR="00EA0B81" w:rsidRPr="003D1E07">
        <w:t xml:space="preserve">é </w:t>
      </w:r>
      <w:r w:rsidR="00F34DCD" w:rsidRPr="003D1E07">
        <w:t>intenc</w:t>
      </w:r>
      <w:r w:rsidR="008B000F">
        <w:t>ionality</w:t>
      </w:r>
      <w:r w:rsidR="00F34DCD" w:rsidRPr="003D1E07">
        <w:t xml:space="preserve"> </w:t>
      </w:r>
      <w:r w:rsidR="008B000F">
        <w:t>je daný</w:t>
      </w:r>
      <w:r w:rsidR="08B94AF4" w:rsidRPr="003D1E07">
        <w:t xml:space="preserve"> </w:t>
      </w:r>
      <w:r w:rsidR="008B000F">
        <w:t>skrze účinnou kauzalit</w:t>
      </w:r>
      <w:r w:rsidR="08B94AF4" w:rsidRPr="003D1E07">
        <w:t xml:space="preserve">u </w:t>
      </w:r>
      <w:r w:rsidR="00C21662" w:rsidRPr="003D1E07">
        <w:t>(</w:t>
      </w:r>
      <w:r w:rsidR="00C21662" w:rsidRPr="003D1E07">
        <w:rPr>
          <w:i/>
        </w:rPr>
        <w:t>intentio</w:t>
      </w:r>
      <w:r w:rsidR="00C21662" w:rsidRPr="003D1E07">
        <w:t xml:space="preserve">, </w:t>
      </w:r>
      <w:r w:rsidR="00C21662" w:rsidRPr="003D1E07">
        <w:rPr>
          <w:i/>
        </w:rPr>
        <w:t>intellectio</w:t>
      </w:r>
      <w:r w:rsidR="003A18E3">
        <w:rPr>
          <w:i/>
        </w:rPr>
        <w:fldChar w:fldCharType="begin"/>
      </w:r>
      <w:r w:rsidR="003A18E3">
        <w:instrText xml:space="preserve"> XE "</w:instrText>
      </w:r>
      <w:r w:rsidR="003A18E3" w:rsidRPr="00AF0BD5">
        <w:rPr>
          <w:i/>
        </w:rPr>
        <w:instrText>intellectio/intellectum</w:instrText>
      </w:r>
      <w:r w:rsidR="003A18E3">
        <w:instrText xml:space="preserve">" </w:instrText>
      </w:r>
      <w:r w:rsidR="003A18E3">
        <w:rPr>
          <w:i/>
        </w:rPr>
        <w:fldChar w:fldCharType="end"/>
      </w:r>
      <w:r w:rsidR="008B000F">
        <w:t>); výsledný univerzální</w:t>
      </w:r>
      <w:r w:rsidR="00EA0B81" w:rsidRPr="003D1E07">
        <w:t xml:space="preserve"> </w:t>
      </w:r>
      <w:r w:rsidR="00927ECE">
        <w:t>obsah</w:t>
      </w:r>
      <w:r w:rsidR="0868274A" w:rsidRPr="003D1E07">
        <w:t xml:space="preserve"> či </w:t>
      </w:r>
      <w:r w:rsidR="008B000F">
        <w:t>pojem</w:t>
      </w:r>
      <w:r w:rsidR="00F34DCD" w:rsidRPr="003D1E07">
        <w:t xml:space="preserve"> </w:t>
      </w:r>
      <w:r w:rsidR="008B000F">
        <w:t xml:space="preserve">je </w:t>
      </w:r>
      <w:r w:rsidR="08B94AF4" w:rsidRPr="003D1E07">
        <w:t>daný</w:t>
      </w:r>
      <w:r w:rsidR="008B000F">
        <w:t xml:space="preserve"> skrze formální kauzalit</w:t>
      </w:r>
      <w:r w:rsidR="08B94AF4" w:rsidRPr="003D1E07">
        <w:t xml:space="preserve">u </w:t>
      </w:r>
      <w:r w:rsidR="00C21662" w:rsidRPr="003D1E07">
        <w:t>(</w:t>
      </w:r>
      <w:r w:rsidR="00C21662" w:rsidRPr="003D1E07">
        <w:rPr>
          <w:i/>
        </w:rPr>
        <w:t>intentum</w:t>
      </w:r>
      <w:r w:rsidR="00C21662" w:rsidRPr="003D1E07">
        <w:t xml:space="preserve">, </w:t>
      </w:r>
      <w:r w:rsidR="00C21662" w:rsidRPr="003D1E07">
        <w:rPr>
          <w:i/>
        </w:rPr>
        <w:t>intellectum</w:t>
      </w:r>
      <w:r w:rsidR="00C21662" w:rsidRPr="003D1E07">
        <w:t>)</w:t>
      </w:r>
      <w:r w:rsidR="00177A07" w:rsidRPr="003D1E07">
        <w:t xml:space="preserve">. </w:t>
      </w:r>
      <w:r w:rsidR="08A37DD9" w:rsidRPr="003D1E07">
        <w:t>R</w:t>
      </w:r>
      <w:r w:rsidR="00177A07" w:rsidRPr="003D1E07">
        <w:t xml:space="preserve">ozdíl je </w:t>
      </w:r>
      <w:r w:rsidR="00F34DCD" w:rsidRPr="003D1E07">
        <w:t xml:space="preserve">daný </w:t>
      </w:r>
      <w:r w:rsidR="00177A07" w:rsidRPr="003D1E07">
        <w:t xml:space="preserve">diferencí </w:t>
      </w:r>
      <w:r w:rsidR="008D1BBD" w:rsidRPr="003D1E07">
        <w:t xml:space="preserve">mezi </w:t>
      </w:r>
      <w:r w:rsidR="00757243">
        <w:t>výkonem</w:t>
      </w:r>
      <w:r w:rsidR="00706D16" w:rsidRPr="003D1E07">
        <w:t xml:space="preserve"> </w:t>
      </w:r>
      <w:r w:rsidR="08822DE3" w:rsidRPr="003D1E07">
        <w:t xml:space="preserve">osobní </w:t>
      </w:r>
      <w:r w:rsidR="00706D16" w:rsidRPr="003D1E07">
        <w:t>intencionality (</w:t>
      </w:r>
      <w:r w:rsidR="00706D16" w:rsidRPr="003D1E07">
        <w:rPr>
          <w:i/>
        </w:rPr>
        <w:t xml:space="preserve">tertium </w:t>
      </w:r>
      <w:r w:rsidR="00636BD4" w:rsidRPr="00372F87">
        <w:rPr>
          <w:i/>
        </w:rPr>
        <w:t>genus</w:t>
      </w:r>
      <w:r w:rsidR="00706D16" w:rsidRPr="003D1E07">
        <w:rPr>
          <w:i/>
        </w:rPr>
        <w:fldChar w:fldCharType="begin"/>
      </w:r>
      <w:r w:rsidR="00706D16" w:rsidRPr="003D1E07">
        <w:instrText xml:space="preserve"> XE "</w:instrText>
      </w:r>
      <w:r w:rsidR="00706D16" w:rsidRPr="003D1E07">
        <w:rPr>
          <w:i/>
        </w:rPr>
        <w:instrText>tertium genus</w:instrText>
      </w:r>
      <w:r w:rsidR="00706D16" w:rsidRPr="003D1E07">
        <w:instrText xml:space="preserve">" </w:instrText>
      </w:r>
      <w:r w:rsidR="00706D16" w:rsidRPr="003D1E07">
        <w:rPr>
          <w:i/>
        </w:rPr>
        <w:fldChar w:fldCharType="end"/>
      </w:r>
      <w:r w:rsidR="08A37DD9" w:rsidRPr="003D1E07">
        <w:rPr>
          <w:i/>
        </w:rPr>
        <w:t>, intellect</w:t>
      </w:r>
      <w:r w:rsidR="001A064D" w:rsidRPr="003D1E07">
        <w:rPr>
          <w:i/>
        </w:rPr>
        <w:t>io</w:t>
      </w:r>
      <w:r w:rsidR="00706D16" w:rsidRPr="003D1E07">
        <w:t xml:space="preserve">) a mezi </w:t>
      </w:r>
      <w:r w:rsidR="008D1BBD" w:rsidRPr="003D1E07">
        <w:t>výsledným pojmem</w:t>
      </w:r>
      <w:r w:rsidR="00706D16" w:rsidRPr="003D1E07">
        <w:t xml:space="preserve"> daným jako konstituovaná univerzálie (</w:t>
      </w:r>
      <w:r w:rsidR="00706D16" w:rsidRPr="003D1E07">
        <w:rPr>
          <w:i/>
        </w:rPr>
        <w:t xml:space="preserve">quartum </w:t>
      </w:r>
      <w:r w:rsidR="00636BD4" w:rsidRPr="003D1E07">
        <w:rPr>
          <w:i/>
        </w:rPr>
        <w:t>genus</w:t>
      </w:r>
      <w:r w:rsidR="00706D16" w:rsidRPr="003D1E07">
        <w:rPr>
          <w:i/>
        </w:rPr>
        <w:fldChar w:fldCharType="begin"/>
      </w:r>
      <w:r w:rsidR="00706D16" w:rsidRPr="003D1E07">
        <w:instrText xml:space="preserve"> XE "</w:instrText>
      </w:r>
      <w:r w:rsidR="00706D16" w:rsidRPr="003D1E07">
        <w:rPr>
          <w:i/>
        </w:rPr>
        <w:instrText>quartum genus</w:instrText>
      </w:r>
      <w:r w:rsidR="00706D16" w:rsidRPr="003D1E07">
        <w:instrText xml:space="preserve">" </w:instrText>
      </w:r>
      <w:r w:rsidR="00706D16" w:rsidRPr="003D1E07">
        <w:rPr>
          <w:i/>
        </w:rPr>
        <w:fldChar w:fldCharType="end"/>
      </w:r>
      <w:r w:rsidR="001A064D" w:rsidRPr="003D1E07">
        <w:rPr>
          <w:i/>
        </w:rPr>
        <w:t>, intellectum</w:t>
      </w:r>
      <w:r w:rsidR="00706D16" w:rsidRPr="003D1E07">
        <w:t>)</w:t>
      </w:r>
      <w:r w:rsidR="00E44C6B" w:rsidRPr="003D1E07">
        <w:t xml:space="preserve">. </w:t>
      </w:r>
      <w:r w:rsidR="00037B3B" w:rsidRPr="003D1E07">
        <w:rPr>
          <w:rStyle w:val="Zkladntext158dkovn0pt"/>
          <w:color w:val="auto"/>
          <w:spacing w:val="0"/>
          <w:sz w:val="24"/>
          <w:lang w:val="cs-CZ"/>
        </w:rPr>
        <w:t xml:space="preserve">Nově definovaný </w:t>
      </w:r>
      <w:r w:rsidR="00037B3B" w:rsidRPr="003D1E07">
        <w:rPr>
          <w:rStyle w:val="Zkladntext158dkovn0pt"/>
          <w:i/>
          <w:color w:val="auto"/>
          <w:spacing w:val="0"/>
          <w:sz w:val="24"/>
          <w:lang w:val="cs-CZ"/>
        </w:rPr>
        <w:t>intellectus possibilis</w:t>
      </w:r>
      <w:r w:rsidR="009D323B" w:rsidRPr="003D1E07">
        <w:rPr>
          <w:rStyle w:val="Zkladntext158dkovn0pt"/>
          <w:i/>
          <w:color w:val="auto"/>
          <w:spacing w:val="0"/>
          <w:sz w:val="24"/>
          <w:lang w:val="cs-CZ"/>
        </w:rPr>
        <w:fldChar w:fldCharType="begin"/>
      </w:r>
      <w:r w:rsidR="009D323B" w:rsidRPr="003D1E07">
        <w:instrText xml:space="preserve"> XE "</w:instrText>
      </w:r>
      <w:r w:rsidR="009D323B" w:rsidRPr="003D1E07">
        <w:rPr>
          <w:i/>
        </w:rPr>
        <w:instrText>intellectus possibilis</w:instrText>
      </w:r>
      <w:r w:rsidR="00F8601D" w:rsidRPr="003D1E07">
        <w:instrText>:</w:instrText>
      </w:r>
      <w:r w:rsidR="002E3B62" w:rsidRPr="003D1E07">
        <w:instrText>Averroes</w:instrText>
      </w:r>
      <w:r w:rsidR="009D323B" w:rsidRPr="003D1E07">
        <w:instrText xml:space="preserve">" </w:instrText>
      </w:r>
      <w:r w:rsidR="009D323B" w:rsidRPr="003D1E07">
        <w:rPr>
          <w:rStyle w:val="Zkladntext158dkovn0pt"/>
          <w:i/>
          <w:color w:val="auto"/>
          <w:spacing w:val="0"/>
          <w:sz w:val="24"/>
          <w:lang w:val="cs-CZ"/>
        </w:rPr>
        <w:fldChar w:fldCharType="end"/>
      </w:r>
      <w:r w:rsidR="00037B3B" w:rsidRPr="003D1E07">
        <w:rPr>
          <w:rStyle w:val="Zkladntext158dkovn0pt"/>
          <w:color w:val="auto"/>
          <w:spacing w:val="0"/>
          <w:sz w:val="24"/>
          <w:lang w:val="cs-CZ"/>
        </w:rPr>
        <w:t xml:space="preserve"> má kauzálně-formální</w:t>
      </w:r>
      <w:r w:rsidR="004A56BE" w:rsidRPr="003D1E07">
        <w:rPr>
          <w:rStyle w:val="Zkladntext158dkovn0pt"/>
          <w:color w:val="auto"/>
          <w:spacing w:val="0"/>
          <w:sz w:val="24"/>
          <w:lang w:val="cs-CZ"/>
        </w:rPr>
        <w:t xml:space="preserve"> funkci. N</w:t>
      </w:r>
      <w:r w:rsidR="00037B3B" w:rsidRPr="003D1E07">
        <w:rPr>
          <w:rStyle w:val="Zkladntext158dkovn0pt"/>
          <w:color w:val="auto"/>
          <w:spacing w:val="0"/>
          <w:sz w:val="24"/>
          <w:lang w:val="cs-CZ"/>
        </w:rPr>
        <w:t>eaktualizuje formy ani v externí věci, ani v mozku jak</w:t>
      </w:r>
      <w:r w:rsidR="08D569B2" w:rsidRPr="003D1E07">
        <w:rPr>
          <w:rStyle w:val="Zkladntext158dkovn0pt"/>
          <w:color w:val="auto"/>
          <w:spacing w:val="0"/>
          <w:sz w:val="24"/>
          <w:lang w:val="cs-CZ"/>
        </w:rPr>
        <w:t>o materiálním subjektu poznání, ale v intencionálně aktivní duši jako oživující formě těla</w:t>
      </w:r>
      <w:r w:rsidR="08877CB5" w:rsidRPr="003D1E07">
        <w:fldChar w:fldCharType="begin"/>
      </w:r>
      <w:r w:rsidR="08877CB5" w:rsidRPr="003D1E07">
        <w:instrText xml:space="preserve"> XE "intencionalita:Averroes" </w:instrText>
      </w:r>
      <w:r w:rsidR="08877CB5" w:rsidRPr="003D1E07">
        <w:fldChar w:fldCharType="end"/>
      </w:r>
      <w:r w:rsidR="08D569B2" w:rsidRPr="003D1E07">
        <w:rPr>
          <w:rStyle w:val="Zkladntext158dkovn0pt"/>
          <w:color w:val="auto"/>
          <w:spacing w:val="0"/>
          <w:sz w:val="24"/>
          <w:lang w:val="cs-CZ"/>
        </w:rPr>
        <w:t xml:space="preserve">. </w:t>
      </w:r>
      <w:r w:rsidR="00037B3B" w:rsidRPr="003D1E07">
        <w:rPr>
          <w:rStyle w:val="Zkladntext158dkovn0pt"/>
          <w:color w:val="auto"/>
          <w:spacing w:val="0"/>
          <w:sz w:val="24"/>
          <w:lang w:val="cs-CZ"/>
        </w:rPr>
        <w:t xml:space="preserve">Univerzální poznávací formy se mediatizují směrem od singulárních vjemů ve zvláštní formě intelektu daného jako nemateriální schopnost oduševnělé osoby. </w:t>
      </w:r>
      <w:r w:rsidR="080D26AF" w:rsidRPr="003D1E07">
        <w:rPr>
          <w:rStyle w:val="Zkladntext158dkovn0pt"/>
          <w:color w:val="auto"/>
          <w:spacing w:val="0"/>
          <w:sz w:val="24"/>
          <w:lang w:val="cs-CZ"/>
        </w:rPr>
        <w:t xml:space="preserve">Podobně </w:t>
      </w:r>
      <w:r w:rsidR="00037B3B" w:rsidRPr="003D1E07">
        <w:rPr>
          <w:rStyle w:val="Zkladntext158dkovn0pt"/>
          <w:color w:val="auto"/>
          <w:spacing w:val="0"/>
          <w:sz w:val="24"/>
          <w:lang w:val="cs-CZ"/>
        </w:rPr>
        <w:t>pracuje v přírodě diafanum, které akt</w:t>
      </w:r>
      <w:r w:rsidR="00A81C58" w:rsidRPr="003D1E07">
        <w:rPr>
          <w:rStyle w:val="Zkladntext158dkovn0pt"/>
          <w:color w:val="auto"/>
          <w:spacing w:val="0"/>
          <w:sz w:val="24"/>
          <w:lang w:val="cs-CZ"/>
        </w:rPr>
        <w:t>ualizuje potenciální formu věci. Aktuální těleso existující samostatně se pak zjevuje jako barevné</w:t>
      </w:r>
      <w:r w:rsidR="00037B3B" w:rsidRPr="003D1E07">
        <w:rPr>
          <w:rStyle w:val="Zkladntext158dkovn0pt"/>
          <w:color w:val="auto"/>
          <w:spacing w:val="0"/>
          <w:sz w:val="24"/>
          <w:lang w:val="cs-CZ"/>
        </w:rPr>
        <w:t xml:space="preserve">. </w:t>
      </w:r>
      <w:r w:rsidR="00713D88" w:rsidRPr="003D1E07">
        <w:rPr>
          <w:rStyle w:val="Zkladntext158dkovn0pt"/>
          <w:color w:val="auto"/>
          <w:spacing w:val="0"/>
          <w:sz w:val="24"/>
          <w:lang w:val="cs-CZ"/>
        </w:rPr>
        <w:t xml:space="preserve">Tento postup shrnuje </w:t>
      </w:r>
      <w:r w:rsidR="00037B3B" w:rsidRPr="003D1E07">
        <w:rPr>
          <w:rStyle w:val="Zkladntext158dkovn0pt"/>
          <w:color w:val="auto"/>
          <w:spacing w:val="0"/>
          <w:sz w:val="24"/>
          <w:lang w:val="cs-CZ"/>
        </w:rPr>
        <w:t>výše uvedená citace CMDA (</w:t>
      </w:r>
      <w:r w:rsidR="00037B3B" w:rsidRPr="003D1E07">
        <w:rPr>
          <w:rStyle w:val="CittHTML"/>
          <w:iCs w:val="0"/>
        </w:rPr>
        <w:t>secundum quod dat diaffono formam aliquam</w:t>
      </w:r>
      <w:r w:rsidR="00037B3B" w:rsidRPr="003D1E07">
        <w:rPr>
          <w:rStyle w:val="Zkladntext158dkovn0pt"/>
          <w:color w:val="auto"/>
          <w:spacing w:val="0"/>
          <w:sz w:val="24"/>
          <w:lang w:val="cs-CZ"/>
        </w:rPr>
        <w:t xml:space="preserve">). Proto </w:t>
      </w:r>
      <w:r w:rsidR="00037B3B" w:rsidRPr="003D1E07">
        <w:rPr>
          <w:rStyle w:val="Zkladntext158dkovn0pt"/>
          <w:i/>
          <w:color w:val="auto"/>
          <w:spacing w:val="0"/>
          <w:sz w:val="24"/>
          <w:lang w:val="cs-CZ"/>
        </w:rPr>
        <w:t>intellectus possibilis</w:t>
      </w:r>
      <w:r w:rsidR="00037B3B" w:rsidRPr="003D1E07">
        <w:rPr>
          <w:rStyle w:val="Zkladntext158dkovn0pt"/>
          <w:color w:val="auto"/>
          <w:spacing w:val="0"/>
          <w:sz w:val="24"/>
          <w:lang w:val="cs-CZ"/>
        </w:rPr>
        <w:t xml:space="preserve"> jako </w:t>
      </w:r>
      <w:r w:rsidR="00037B3B" w:rsidRPr="003D1E07">
        <w:rPr>
          <w:rStyle w:val="Zkladntext158dkovn0pt"/>
          <w:color w:val="auto"/>
          <w:spacing w:val="0"/>
          <w:sz w:val="24"/>
          <w:lang w:val="cs-CZ"/>
        </w:rPr>
        <w:lastRenderedPageBreak/>
        <w:t xml:space="preserve">nové diafanum </w:t>
      </w:r>
      <w:r w:rsidR="00833745" w:rsidRPr="003D1E07">
        <w:rPr>
          <w:rStyle w:val="Zkladntext158dkovn0pt"/>
          <w:color w:val="auto"/>
          <w:spacing w:val="0"/>
          <w:sz w:val="24"/>
          <w:lang w:val="cs-CZ"/>
        </w:rPr>
        <w:t xml:space="preserve">zajišťuje </w:t>
      </w:r>
      <w:r w:rsidR="00037B3B" w:rsidRPr="003D1E07">
        <w:rPr>
          <w:rStyle w:val="Zkladntext158dkovn0pt"/>
          <w:color w:val="auto"/>
          <w:spacing w:val="0"/>
          <w:sz w:val="24"/>
          <w:lang w:val="cs-CZ"/>
        </w:rPr>
        <w:t xml:space="preserve">formální </w:t>
      </w:r>
      <w:r w:rsidR="00037B3B" w:rsidRPr="003D1E07">
        <w:rPr>
          <w:rStyle w:val="Zkladntext158dkovn0pt"/>
          <w:i/>
          <w:color w:val="auto"/>
          <w:spacing w:val="0"/>
          <w:sz w:val="24"/>
          <w:lang w:val="cs-CZ"/>
        </w:rPr>
        <w:t>proportio</w:t>
      </w:r>
      <w:r w:rsidR="00037B3B" w:rsidRPr="003D1E07">
        <w:rPr>
          <w:rStyle w:val="Zkladntext158dkovn0pt"/>
          <w:color w:val="auto"/>
          <w:spacing w:val="0"/>
          <w:sz w:val="24"/>
          <w:lang w:val="cs-CZ"/>
        </w:rPr>
        <w:t xml:space="preserve"> pro poznání od smyslů k intelektu.</w:t>
      </w:r>
      <w:r w:rsidR="00037B3B" w:rsidRPr="003D1E07">
        <w:rPr>
          <w:rStyle w:val="Zkladntext158dkovn0pt"/>
          <w:color w:val="auto"/>
          <w:spacing w:val="0"/>
          <w:sz w:val="24"/>
          <w:szCs w:val="20"/>
          <w:shd w:val="clear" w:color="auto" w:fill="auto"/>
          <w:lang w:val="cs-CZ"/>
        </w:rPr>
        <w:t xml:space="preserve"> </w:t>
      </w:r>
      <w:r w:rsidR="00C57B10" w:rsidRPr="003D1E07">
        <w:rPr>
          <w:rStyle w:val="Zkladntext158dkovn0pt"/>
          <w:color w:val="auto"/>
          <w:spacing w:val="0"/>
          <w:sz w:val="24"/>
          <w:lang w:val="cs-CZ"/>
        </w:rPr>
        <w:t>Averroesovo pojetí dvojí intencionality striktně drží model nasvícení poznaného jsoucna zepředu od aktuální první substance</w:t>
      </w:r>
      <w:r w:rsidR="086F77D5" w:rsidRPr="003D1E07">
        <w:rPr>
          <w:rStyle w:val="Zkladntext158dkovn0pt"/>
          <w:color w:val="auto"/>
          <w:spacing w:val="0"/>
          <w:sz w:val="24"/>
          <w:lang w:val="cs-CZ"/>
        </w:rPr>
        <w:t xml:space="preserve"> </w:t>
      </w:r>
      <w:r w:rsidR="00167859" w:rsidRPr="003D1E07">
        <w:rPr>
          <w:rStyle w:val="Zkladntext158dkovn0pt"/>
          <w:color w:val="auto"/>
          <w:spacing w:val="0"/>
          <w:sz w:val="24"/>
          <w:lang w:val="cs-CZ"/>
        </w:rPr>
        <w:t xml:space="preserve">podle </w:t>
      </w:r>
      <w:r w:rsidR="08E22F7A" w:rsidRPr="003D1E07">
        <w:t xml:space="preserve">metafyzického </w:t>
      </w:r>
      <w:r w:rsidR="086F77D5" w:rsidRPr="003D1E07">
        <w:rPr>
          <w:rStyle w:val="Zkladntext158dkovn0pt"/>
          <w:color w:val="auto"/>
          <w:spacing w:val="0"/>
          <w:sz w:val="24"/>
          <w:lang w:val="cs-CZ"/>
        </w:rPr>
        <w:t>dativu</w:t>
      </w:r>
      <w:r w:rsidR="08877CB5" w:rsidRPr="003D1E07">
        <w:rPr>
          <w:rStyle w:val="Zkladntext158dkovn0pt"/>
          <w:color w:val="auto"/>
          <w:spacing w:val="0"/>
          <w:sz w:val="24"/>
          <w:lang w:val="cs-CZ"/>
        </w:rPr>
        <w:fldChar w:fldCharType="begin"/>
      </w:r>
      <w:r w:rsidR="08877CB5" w:rsidRPr="003D1E07">
        <w:instrText xml:space="preserve"> XE "</w:instrText>
      </w:r>
      <w:r w:rsidR="08E22F7A" w:rsidRPr="003D1E07">
        <w:rPr>
          <w:rStyle w:val="Zkladntext158dkovn0pt"/>
          <w:i/>
          <w:color w:val="auto"/>
          <w:spacing w:val="0"/>
          <w:sz w:val="24"/>
          <w:lang w:val="cs-CZ"/>
        </w:rPr>
        <w:instrText>dativus metaphysi</w:instrText>
      </w:r>
      <w:r w:rsidR="08877CB5" w:rsidRPr="003D1E07">
        <w:rPr>
          <w:rStyle w:val="Zkladntext158dkovn0pt"/>
          <w:i/>
          <w:color w:val="auto"/>
          <w:spacing w:val="0"/>
          <w:sz w:val="24"/>
          <w:lang w:val="cs-CZ"/>
        </w:rPr>
        <w:instrText>cus</w:instrText>
      </w:r>
      <w:r w:rsidR="08877CB5" w:rsidRPr="003D1E07">
        <w:instrText xml:space="preserve">" </w:instrText>
      </w:r>
      <w:r w:rsidR="08877CB5" w:rsidRPr="003D1E07">
        <w:rPr>
          <w:rStyle w:val="Zkladntext158dkovn0pt"/>
          <w:color w:val="auto"/>
          <w:spacing w:val="0"/>
          <w:sz w:val="24"/>
          <w:lang w:val="cs-CZ"/>
        </w:rPr>
        <w:fldChar w:fldCharType="end"/>
      </w:r>
      <w:r w:rsidR="00A5062E">
        <w:rPr>
          <w:rStyle w:val="Zkladntext158dkovn0pt"/>
          <w:color w:val="auto"/>
          <w:spacing w:val="0"/>
          <w:sz w:val="24"/>
          <w:lang w:val="cs-CZ"/>
        </w:rPr>
        <w:t>.</w:t>
      </w:r>
      <w:r w:rsidR="00F26808">
        <w:rPr>
          <w:rStyle w:val="Zkladntext158dkovn0pt"/>
          <w:color w:val="auto"/>
          <w:spacing w:val="0"/>
          <w:sz w:val="24"/>
          <w:szCs w:val="20"/>
          <w:shd w:val="clear" w:color="auto" w:fill="auto"/>
          <w:lang w:val="cs-CZ"/>
        </w:rPr>
        <w:t xml:space="preserve"> </w:t>
      </w:r>
      <w:r w:rsidR="00C57B10" w:rsidRPr="003D1E07">
        <w:rPr>
          <w:rStyle w:val="Zkladntext158dkovn0pt"/>
          <w:color w:val="auto"/>
          <w:spacing w:val="0"/>
          <w:sz w:val="24"/>
          <w:lang w:val="cs-CZ"/>
        </w:rPr>
        <w:t xml:space="preserve">Modernisté poznávají svět v modu </w:t>
      </w:r>
      <w:r w:rsidR="00C57B10" w:rsidRPr="003D1E07">
        <w:rPr>
          <w:rStyle w:val="Zkladntext158dkovn0pt"/>
          <w:i/>
          <w:color w:val="auto"/>
          <w:spacing w:val="0"/>
          <w:sz w:val="24"/>
          <w:lang w:val="cs-CZ"/>
        </w:rPr>
        <w:t>per prius</w:t>
      </w:r>
      <w:r w:rsidR="00C57B10" w:rsidRPr="003D1E07">
        <w:rPr>
          <w:rStyle w:val="Zkladntext158dkovn0pt"/>
          <w:color w:val="auto"/>
          <w:spacing w:val="0"/>
          <w:sz w:val="24"/>
          <w:lang w:val="cs-CZ"/>
        </w:rPr>
        <w:t xml:space="preserve"> od</w:t>
      </w:r>
      <w:r w:rsidR="086233F0" w:rsidRPr="003D1E07">
        <w:rPr>
          <w:rStyle w:val="Zkladntext158dkovn0pt"/>
          <w:color w:val="auto"/>
          <w:spacing w:val="0"/>
          <w:sz w:val="24"/>
          <w:lang w:val="cs-CZ"/>
        </w:rPr>
        <w:t xml:space="preserve"> par</w:t>
      </w:r>
      <w:r w:rsidR="08877CB5" w:rsidRPr="003D1E07">
        <w:rPr>
          <w:rStyle w:val="Zkladntext158dkovn0pt"/>
          <w:color w:val="auto"/>
          <w:spacing w:val="0"/>
          <w:sz w:val="24"/>
          <w:lang w:val="cs-CZ"/>
        </w:rPr>
        <w:t>usie</w:t>
      </w:r>
      <w:r w:rsidR="08877CB5" w:rsidRPr="003D1E07">
        <w:rPr>
          <w:rStyle w:val="Zkladntext158dkovn0pt"/>
          <w:color w:val="auto"/>
          <w:spacing w:val="0"/>
          <w:sz w:val="24"/>
          <w:lang w:val="cs-CZ"/>
        </w:rPr>
        <w:fldChar w:fldCharType="begin"/>
      </w:r>
      <w:r w:rsidR="08877CB5" w:rsidRPr="003D1E07">
        <w:instrText xml:space="preserve"> XE "</w:instrText>
      </w:r>
      <w:r w:rsidR="08EC3432" w:rsidRPr="003D1E07">
        <w:rPr>
          <w:rStyle w:val="Zkladntext158dkovn0pt"/>
          <w:color w:val="auto"/>
          <w:spacing w:val="0"/>
          <w:sz w:val="24"/>
          <w:lang w:val="cs-CZ"/>
        </w:rPr>
        <w:instrText>par</w:instrText>
      </w:r>
      <w:r w:rsidR="08877CB5" w:rsidRPr="003D1E07">
        <w:rPr>
          <w:rStyle w:val="Zkladntext158dkovn0pt"/>
          <w:color w:val="auto"/>
          <w:spacing w:val="0"/>
          <w:sz w:val="24"/>
          <w:lang w:val="cs-CZ"/>
        </w:rPr>
        <w:instrText>usie</w:instrText>
      </w:r>
      <w:r w:rsidR="08877CB5" w:rsidRPr="003D1E07">
        <w:instrText xml:space="preserve">" </w:instrText>
      </w:r>
      <w:r w:rsidR="08877CB5" w:rsidRPr="003D1E07">
        <w:rPr>
          <w:rStyle w:val="Zkladntext158dkovn0pt"/>
          <w:color w:val="auto"/>
          <w:spacing w:val="0"/>
          <w:sz w:val="24"/>
          <w:lang w:val="cs-CZ"/>
        </w:rPr>
        <w:fldChar w:fldCharType="end"/>
      </w:r>
      <w:r w:rsidR="08877CB5" w:rsidRPr="003D1E07">
        <w:rPr>
          <w:rStyle w:val="Zkladntext158dkovn0pt"/>
          <w:color w:val="auto"/>
          <w:spacing w:val="0"/>
          <w:sz w:val="24"/>
          <w:lang w:val="cs-CZ"/>
        </w:rPr>
        <w:t xml:space="preserve"> </w:t>
      </w:r>
      <w:r w:rsidR="00C57B10" w:rsidRPr="003D1E07">
        <w:rPr>
          <w:rStyle w:val="Zkladntext158dkovn0pt"/>
          <w:color w:val="auto"/>
          <w:spacing w:val="0"/>
          <w:sz w:val="24"/>
          <w:lang w:val="cs-CZ"/>
        </w:rPr>
        <w:t xml:space="preserve">jsoucen třetího druhu. Proto jsou oslepeni sluncem vlastního rozumu. Nevidí proces mediace poznání od věci k intelektu zajištěný skrze </w:t>
      </w:r>
      <w:r w:rsidR="00C57B10" w:rsidRPr="003D1E07">
        <w:rPr>
          <w:rStyle w:val="Zkladntext158dkovn0pt"/>
          <w:i/>
          <w:color w:val="auto"/>
          <w:spacing w:val="0"/>
          <w:sz w:val="24"/>
          <w:lang w:val="cs-CZ"/>
        </w:rPr>
        <w:t>intellectus possibilis</w:t>
      </w:r>
      <w:r w:rsidR="00C57B10" w:rsidRPr="003D1E07">
        <w:rPr>
          <w:rStyle w:val="Zkladntext158dkovn0pt"/>
          <w:color w:val="auto"/>
          <w:spacing w:val="0"/>
          <w:sz w:val="24"/>
          <w:lang w:val="cs-CZ"/>
        </w:rPr>
        <w:t xml:space="preserve"> jako intelektuální diafanum</w:t>
      </w:r>
      <w:r w:rsidR="00C57B10" w:rsidRPr="003D1E07">
        <w:fldChar w:fldCharType="begin"/>
      </w:r>
      <w:r w:rsidR="00C57B10" w:rsidRPr="003D1E07">
        <w:instrText xml:space="preserve"> XE "intencionalita:moderna" </w:instrText>
      </w:r>
      <w:r w:rsidR="00C57B10" w:rsidRPr="003D1E07">
        <w:fldChar w:fldCharType="end"/>
      </w:r>
      <w:r w:rsidR="00C57B10" w:rsidRPr="003D1E07">
        <w:rPr>
          <w:rStyle w:val="Zkladntext158dkovn0pt"/>
          <w:color w:val="auto"/>
          <w:spacing w:val="0"/>
          <w:sz w:val="24"/>
          <w:lang w:val="cs-CZ"/>
        </w:rPr>
        <w:t xml:space="preserve">. Univerzální predikace moderny v modu </w:t>
      </w:r>
      <w:r w:rsidR="00C57B10" w:rsidRPr="003D1E07">
        <w:rPr>
          <w:rStyle w:val="Zkladntext158dkovn0pt"/>
          <w:i/>
          <w:color w:val="auto"/>
          <w:spacing w:val="0"/>
          <w:sz w:val="24"/>
          <w:lang w:val="cs-CZ"/>
        </w:rPr>
        <w:t>per prius</w:t>
      </w:r>
      <w:r w:rsidR="00C57B10" w:rsidRPr="003D1E07">
        <w:rPr>
          <w:rStyle w:val="Zkladntext158dkovn0pt"/>
          <w:color w:val="auto"/>
          <w:spacing w:val="0"/>
          <w:sz w:val="24"/>
          <w:lang w:val="cs-CZ"/>
        </w:rPr>
        <w:t xml:space="preserve"> vidí materiální intelekt jako jsoucno třetího </w:t>
      </w:r>
      <w:r w:rsidR="000B6315">
        <w:rPr>
          <w:rStyle w:val="Zkladntext158dkovn0pt"/>
          <w:color w:val="auto"/>
          <w:spacing w:val="0"/>
          <w:sz w:val="24"/>
          <w:lang w:val="cs-CZ"/>
        </w:rPr>
        <w:t>druhu.</w:t>
      </w:r>
      <w:r w:rsidR="006A0AAC">
        <w:rPr>
          <w:rStyle w:val="Zkladntext158dkovn0pt"/>
          <w:color w:val="auto"/>
          <w:spacing w:val="0"/>
          <w:sz w:val="24"/>
          <w:lang w:val="cs-CZ"/>
        </w:rPr>
        <w:t xml:space="preserve"> Historii tohoto averroismu</w:t>
      </w:r>
      <w:r w:rsidR="08054E54" w:rsidRPr="003D1E07">
        <w:rPr>
          <w:rStyle w:val="Zkladntext158dkovn0pt"/>
          <w:color w:val="auto"/>
          <w:spacing w:val="0"/>
          <w:sz w:val="24"/>
          <w:lang w:val="cs-CZ"/>
        </w:rPr>
        <w:t xml:space="preserve"> </w:t>
      </w:r>
      <w:r w:rsidR="00C57B10" w:rsidRPr="003D1E07">
        <w:rPr>
          <w:rStyle w:val="Zkladntext158dkovn0pt"/>
          <w:color w:val="auto"/>
          <w:spacing w:val="0"/>
          <w:sz w:val="24"/>
          <w:lang w:val="cs-CZ"/>
        </w:rPr>
        <w:t xml:space="preserve">ukáží další </w:t>
      </w:r>
      <w:r w:rsidR="08F61EBC" w:rsidRPr="003D1E07">
        <w:rPr>
          <w:rStyle w:val="Zkladntext158dkovn0pt"/>
          <w:color w:val="auto"/>
          <w:spacing w:val="0"/>
          <w:sz w:val="24"/>
          <w:lang w:val="cs-CZ"/>
        </w:rPr>
        <w:t>části studie</w:t>
      </w:r>
      <w:r w:rsidR="006A0AAC">
        <w:rPr>
          <w:rStyle w:val="Zkladntext158dkovn0pt"/>
          <w:color w:val="auto"/>
          <w:spacing w:val="0"/>
          <w:sz w:val="24"/>
          <w:lang w:val="cs-CZ"/>
        </w:rPr>
        <w:t>.</w:t>
      </w:r>
    </w:p>
    <w:p w14:paraId="2E2327DA" w14:textId="6142C358" w:rsidR="00C57B10" w:rsidRPr="001116F4" w:rsidRDefault="003718D1" w:rsidP="001116F4">
      <w:pPr>
        <w:ind w:firstLine="397"/>
        <w:rPr>
          <w:rStyle w:val="Zkladntext158dkovn0pt"/>
          <w:color w:val="auto"/>
          <w:spacing w:val="0"/>
          <w:sz w:val="24"/>
          <w:lang w:val="cs-CZ"/>
        </w:rPr>
      </w:pPr>
      <w:r>
        <w:rPr>
          <w:rStyle w:val="Zkladntext158dkovn0pt"/>
          <w:color w:val="auto"/>
          <w:spacing w:val="0"/>
          <w:sz w:val="24"/>
          <w:lang w:val="cs-CZ"/>
        </w:rPr>
        <w:t>S</w:t>
      </w:r>
      <w:r w:rsidR="08C53280" w:rsidRPr="003D1E07">
        <w:rPr>
          <w:rStyle w:val="Zkladntext158dkovn0pt"/>
          <w:color w:val="auto"/>
          <w:spacing w:val="0"/>
          <w:sz w:val="24"/>
          <w:lang w:val="cs-CZ"/>
        </w:rPr>
        <w:t xml:space="preserve">ofistické simulákrum </w:t>
      </w:r>
      <w:r>
        <w:rPr>
          <w:rStyle w:val="Zkladntext158dkovn0pt"/>
          <w:color w:val="auto"/>
          <w:spacing w:val="0"/>
          <w:sz w:val="24"/>
          <w:lang w:val="cs-CZ"/>
        </w:rPr>
        <w:t>nahradilo původní definici</w:t>
      </w:r>
      <w:r w:rsidR="08C53280" w:rsidRPr="003D1E07">
        <w:rPr>
          <w:rStyle w:val="Zkladntext158dkovn0pt"/>
          <w:color w:val="auto"/>
          <w:spacing w:val="0"/>
          <w:sz w:val="24"/>
          <w:lang w:val="cs-CZ"/>
        </w:rPr>
        <w:t xml:space="preserve"> CMDA pro </w:t>
      </w:r>
      <w:r w:rsidR="08870408" w:rsidRPr="003D1E07">
        <w:rPr>
          <w:rStyle w:val="Zkladntext158dkovn0pt"/>
          <w:color w:val="auto"/>
          <w:spacing w:val="0"/>
          <w:sz w:val="24"/>
          <w:lang w:val="cs-CZ"/>
        </w:rPr>
        <w:t xml:space="preserve">dvojí definici </w:t>
      </w:r>
      <w:r w:rsidR="08C53280" w:rsidRPr="003D1E07">
        <w:rPr>
          <w:rStyle w:val="Zkladntext158dkovn0pt"/>
          <w:color w:val="auto"/>
          <w:spacing w:val="0"/>
          <w:sz w:val="24"/>
          <w:lang w:val="cs-CZ"/>
        </w:rPr>
        <w:t>intelekt</w:t>
      </w:r>
      <w:r w:rsidR="08870408" w:rsidRPr="003D1E07">
        <w:rPr>
          <w:rStyle w:val="Zkladntext158dkovn0pt"/>
          <w:color w:val="auto"/>
          <w:spacing w:val="0"/>
          <w:sz w:val="24"/>
          <w:lang w:val="cs-CZ"/>
        </w:rPr>
        <w:t xml:space="preserve">u jako </w:t>
      </w:r>
      <w:r w:rsidR="08870408" w:rsidRPr="003D1E07">
        <w:rPr>
          <w:rStyle w:val="Zkladntext158dkovn0pt"/>
          <w:i/>
          <w:color w:val="auto"/>
          <w:spacing w:val="0"/>
          <w:sz w:val="24"/>
          <w:lang w:val="cs-CZ"/>
        </w:rPr>
        <w:t>tertium</w:t>
      </w:r>
      <w:r w:rsidR="08870408" w:rsidRPr="003D1E07">
        <w:rPr>
          <w:rStyle w:val="Zkladntext158dkovn0pt"/>
          <w:color w:val="auto"/>
          <w:spacing w:val="0"/>
          <w:sz w:val="24"/>
          <w:lang w:val="cs-CZ"/>
        </w:rPr>
        <w:t xml:space="preserve"> a </w:t>
      </w:r>
      <w:r w:rsidR="08C53280" w:rsidRPr="003D1E07">
        <w:rPr>
          <w:rStyle w:val="Zkladntext158dkovn0pt"/>
          <w:i/>
          <w:color w:val="auto"/>
          <w:spacing w:val="0"/>
          <w:sz w:val="24"/>
          <w:lang w:val="cs-CZ"/>
        </w:rPr>
        <w:t xml:space="preserve">quartum </w:t>
      </w:r>
      <w:r w:rsidR="00636BD4" w:rsidRPr="006459C2">
        <w:rPr>
          <w:rStyle w:val="Zkladntext158dkovn0pt"/>
          <w:i/>
          <w:color w:val="auto"/>
          <w:spacing w:val="0"/>
          <w:sz w:val="24"/>
          <w:lang w:val="cs-CZ"/>
        </w:rPr>
        <w:t>genus</w:t>
      </w:r>
      <w:r w:rsidR="08C53280" w:rsidRPr="003D1E07">
        <w:rPr>
          <w:rStyle w:val="Zkladntext158dkovn0pt"/>
          <w:color w:val="auto"/>
          <w:spacing w:val="0"/>
          <w:sz w:val="24"/>
          <w:lang w:val="cs-CZ"/>
        </w:rPr>
        <w:t xml:space="preserve">. Tím se původní rozdělení </w:t>
      </w:r>
      <w:r w:rsidR="08870408" w:rsidRPr="003D1E07">
        <w:rPr>
          <w:rStyle w:val="Zkladntext158dkovn0pt"/>
          <w:color w:val="auto"/>
          <w:spacing w:val="0"/>
          <w:sz w:val="24"/>
          <w:lang w:val="cs-CZ"/>
        </w:rPr>
        <w:t xml:space="preserve">aristotelského </w:t>
      </w:r>
      <w:r w:rsidR="08C53280" w:rsidRPr="003D1E07">
        <w:rPr>
          <w:rStyle w:val="Zkladntext158dkovn0pt"/>
          <w:color w:val="auto"/>
          <w:spacing w:val="0"/>
          <w:sz w:val="24"/>
          <w:lang w:val="cs-CZ"/>
        </w:rPr>
        <w:t xml:space="preserve">intelektu dostalo do epochální </w:t>
      </w:r>
      <w:r w:rsidR="00381EBA" w:rsidRPr="003D1E07">
        <w:rPr>
          <w:rStyle w:val="Zkladntext158dkovn0pt"/>
          <w:i/>
          <w:color w:val="auto"/>
          <w:spacing w:val="0"/>
          <w:sz w:val="24"/>
          <w:lang w:val="cs-CZ"/>
        </w:rPr>
        <w:t>léthe</w:t>
      </w:r>
      <w:r w:rsidR="08870408" w:rsidRPr="003D1E07">
        <w:rPr>
          <w:rStyle w:val="Zkladntext158dkovn0pt"/>
          <w:color w:val="auto"/>
          <w:spacing w:val="0"/>
          <w:sz w:val="24"/>
          <w:lang w:val="cs-CZ"/>
        </w:rPr>
        <w:t xml:space="preserve">, kde je dána původní múzická dějinnost metafyziky a její </w:t>
      </w:r>
      <w:r w:rsidR="00681F04">
        <w:rPr>
          <w:rStyle w:val="Zkladntext158dkovn0pt"/>
          <w:color w:val="auto"/>
          <w:spacing w:val="0"/>
          <w:sz w:val="24"/>
          <w:lang w:val="cs-CZ"/>
        </w:rPr>
        <w:t xml:space="preserve">archaická </w:t>
      </w:r>
      <w:r w:rsidR="08870408" w:rsidRPr="003D1E07">
        <w:rPr>
          <w:rStyle w:val="Zkladntext158dkovn0pt"/>
          <w:color w:val="auto"/>
          <w:spacing w:val="0"/>
          <w:sz w:val="24"/>
          <w:lang w:val="cs-CZ"/>
        </w:rPr>
        <w:t xml:space="preserve">pravda v modu </w:t>
      </w:r>
      <w:r w:rsidR="08870408" w:rsidRPr="003D1E07">
        <w:rPr>
          <w:rStyle w:val="Zkladntext158dkovn0pt"/>
          <w:i/>
          <w:color w:val="auto"/>
          <w:spacing w:val="0"/>
          <w:sz w:val="24"/>
          <w:lang w:val="cs-CZ"/>
        </w:rPr>
        <w:t>a/létheia</w:t>
      </w:r>
      <w:r w:rsidR="08D15A6C" w:rsidRPr="003D1E07">
        <w:rPr>
          <w:i/>
        </w:rPr>
        <w:fldChar w:fldCharType="begin"/>
      </w:r>
      <w:r w:rsidR="08D15A6C" w:rsidRPr="003D1E07">
        <w:instrText xml:space="preserve"> XE "</w:instrText>
      </w:r>
      <w:r w:rsidR="08D15A6C" w:rsidRPr="003D1E07">
        <w:rPr>
          <w:i/>
        </w:rPr>
        <w:instrText>a/létheia</w:instrText>
      </w:r>
      <w:r w:rsidR="08D15A6C" w:rsidRPr="003D1E07">
        <w:instrText xml:space="preserve">" </w:instrText>
      </w:r>
      <w:r w:rsidR="08D15A6C" w:rsidRPr="003D1E07">
        <w:rPr>
          <w:i/>
        </w:rPr>
        <w:fldChar w:fldCharType="end"/>
      </w:r>
      <w:r w:rsidR="08870408" w:rsidRPr="003D1E07">
        <w:rPr>
          <w:rStyle w:val="Zkladntext158dkovn0pt"/>
          <w:color w:val="auto"/>
          <w:spacing w:val="0"/>
          <w:sz w:val="24"/>
          <w:lang w:val="cs-CZ"/>
        </w:rPr>
        <w:t xml:space="preserve">. </w:t>
      </w:r>
      <w:r w:rsidR="08460594" w:rsidRPr="003D1E07">
        <w:rPr>
          <w:rStyle w:val="Zkladntext158dkovn0pt"/>
          <w:color w:val="auto"/>
          <w:spacing w:val="0"/>
          <w:sz w:val="24"/>
          <w:lang w:val="cs-CZ"/>
        </w:rPr>
        <w:t xml:space="preserve">Nepravda moderny od této doby vede objektivní dějiny moderního myšlení po cestě epochálního </w:t>
      </w:r>
      <w:r w:rsidR="08460594" w:rsidRPr="003D1E07">
        <w:rPr>
          <w:rStyle w:val="Zkladntext158dkovn0pt"/>
          <w:i/>
          <w:color w:val="auto"/>
          <w:spacing w:val="0"/>
          <w:sz w:val="24"/>
          <w:lang w:val="cs-CZ"/>
        </w:rPr>
        <w:t>Irrtum</w:t>
      </w:r>
      <w:r w:rsidR="08460594" w:rsidRPr="003D1E07">
        <w:rPr>
          <w:rStyle w:val="Zkladntext158dkovn0pt"/>
          <w:i/>
          <w:color w:val="auto"/>
          <w:spacing w:val="0"/>
          <w:sz w:val="24"/>
          <w:lang w:val="cs-CZ"/>
        </w:rPr>
        <w:fldChar w:fldCharType="begin"/>
      </w:r>
      <w:r w:rsidR="08460594" w:rsidRPr="003D1E07">
        <w:instrText xml:space="preserve"> XE "</w:instrText>
      </w:r>
      <w:r w:rsidR="08460594" w:rsidRPr="003D1E07">
        <w:rPr>
          <w:rStyle w:val="Zkladntext158dkovn0pt"/>
          <w:i/>
          <w:color w:val="auto"/>
          <w:spacing w:val="0"/>
          <w:sz w:val="24"/>
          <w:lang w:val="cs-CZ"/>
        </w:rPr>
        <w:instrText>Irrtum</w:instrText>
      </w:r>
      <w:r w:rsidR="08460594" w:rsidRPr="003D1E07">
        <w:instrText xml:space="preserve">" </w:instrText>
      </w:r>
      <w:r w:rsidR="08460594" w:rsidRPr="003D1E07">
        <w:rPr>
          <w:rStyle w:val="Zkladntext158dkovn0pt"/>
          <w:i/>
          <w:color w:val="auto"/>
          <w:spacing w:val="0"/>
          <w:sz w:val="24"/>
          <w:lang w:val="cs-CZ"/>
        </w:rPr>
        <w:fldChar w:fldCharType="end"/>
      </w:r>
      <w:r w:rsidR="08460594" w:rsidRPr="003D1E07">
        <w:rPr>
          <w:rStyle w:val="Zkladntext158dkovn0pt"/>
          <w:color w:val="auto"/>
          <w:spacing w:val="0"/>
          <w:sz w:val="24"/>
          <w:lang w:val="cs-CZ"/>
        </w:rPr>
        <w:t>.</w:t>
      </w:r>
      <w:r w:rsidR="003D5F0C" w:rsidRPr="003D1E07">
        <w:rPr>
          <w:rStyle w:val="Zkladntext158dkovn0pt"/>
          <w:color w:val="auto"/>
          <w:spacing w:val="0"/>
          <w:sz w:val="24"/>
          <w:lang w:val="cs-CZ"/>
        </w:rPr>
        <w:t xml:space="preserve"> </w:t>
      </w:r>
      <w:r w:rsidR="083247B6" w:rsidRPr="003D1E07">
        <w:rPr>
          <w:rStyle w:val="Zkladntext158dkovn0pt"/>
          <w:color w:val="auto"/>
          <w:spacing w:val="0"/>
          <w:sz w:val="24"/>
          <w:lang w:val="cs-CZ"/>
        </w:rPr>
        <w:t>V</w:t>
      </w:r>
      <w:r w:rsidR="08B43491" w:rsidRPr="003D1E07">
        <w:rPr>
          <w:rStyle w:val="Zkladntext158dkovn0pt"/>
          <w:color w:val="auto"/>
          <w:spacing w:val="0"/>
          <w:sz w:val="24"/>
          <w:lang w:val="cs-CZ"/>
        </w:rPr>
        <w:t xml:space="preserve">ítězná </w:t>
      </w:r>
      <w:r w:rsidR="00C57B10" w:rsidRPr="003D1E07">
        <w:rPr>
          <w:rStyle w:val="Zkladntext158dkovn0pt"/>
          <w:color w:val="auto"/>
          <w:spacing w:val="0"/>
          <w:sz w:val="24"/>
          <w:lang w:val="cs-CZ"/>
        </w:rPr>
        <w:t xml:space="preserve">sofistická modifikace </w:t>
      </w:r>
      <w:r w:rsidR="08B43491" w:rsidRPr="003D1E07">
        <w:rPr>
          <w:rStyle w:val="Zkladntext158dkovn0pt"/>
          <w:color w:val="auto"/>
          <w:spacing w:val="0"/>
          <w:sz w:val="24"/>
          <w:lang w:val="cs-CZ"/>
        </w:rPr>
        <w:t xml:space="preserve">Averroesova brilantního rozlišení </w:t>
      </w:r>
      <w:r w:rsidR="00C57B10" w:rsidRPr="003D1E07">
        <w:rPr>
          <w:rStyle w:val="Zkladntext158dkovn0pt"/>
          <w:color w:val="auto"/>
          <w:spacing w:val="0"/>
          <w:sz w:val="24"/>
          <w:lang w:val="cs-CZ"/>
        </w:rPr>
        <w:t>založila dějiny</w:t>
      </w:r>
      <w:r w:rsidR="085056F7" w:rsidRPr="003D1E07">
        <w:rPr>
          <w:rStyle w:val="Zkladntext158dkovn0pt"/>
          <w:color w:val="auto"/>
          <w:spacing w:val="0"/>
          <w:sz w:val="24"/>
          <w:lang w:val="cs-CZ"/>
        </w:rPr>
        <w:t xml:space="preserve"> filosofie </w:t>
      </w:r>
      <w:r w:rsidR="08F639F4" w:rsidRPr="003D1E07">
        <w:rPr>
          <w:rStyle w:val="Zkladntext158dkovn0pt"/>
          <w:color w:val="auto"/>
          <w:spacing w:val="0"/>
          <w:sz w:val="24"/>
          <w:lang w:val="cs-CZ"/>
        </w:rPr>
        <w:t xml:space="preserve">jako moderní simulákrum </w:t>
      </w:r>
      <w:r w:rsidR="001E7AB2">
        <w:rPr>
          <w:rStyle w:val="Zkladntext158dkovn0pt"/>
          <w:color w:val="auto"/>
          <w:spacing w:val="0"/>
          <w:sz w:val="24"/>
          <w:lang w:val="cs-CZ"/>
        </w:rPr>
        <w:t xml:space="preserve">dané sporem </w:t>
      </w:r>
      <w:r w:rsidR="085056F7" w:rsidRPr="003D1E07">
        <w:rPr>
          <w:rStyle w:val="Zkladntext158dkovn0pt"/>
          <w:color w:val="auto"/>
          <w:spacing w:val="0"/>
          <w:sz w:val="24"/>
          <w:lang w:val="cs-CZ"/>
        </w:rPr>
        <w:t xml:space="preserve">o </w:t>
      </w:r>
      <w:r w:rsidR="00C57B10" w:rsidRPr="003D1E07">
        <w:rPr>
          <w:rStyle w:val="Zkladntext158dkovn0pt"/>
          <w:color w:val="auto"/>
          <w:spacing w:val="0"/>
          <w:sz w:val="24"/>
          <w:lang w:val="cs-CZ"/>
        </w:rPr>
        <w:t>averroismus</w:t>
      </w:r>
      <w:r w:rsidR="08975DE4" w:rsidRPr="003D1E07">
        <w:rPr>
          <w:rStyle w:val="Zkladntext158dkovn0pt"/>
          <w:color w:val="auto"/>
          <w:spacing w:val="0"/>
          <w:sz w:val="24"/>
          <w:lang w:val="cs-CZ"/>
        </w:rPr>
        <w:t>.</w:t>
      </w:r>
      <w:r w:rsidR="08511E53" w:rsidRPr="003D1E07">
        <w:rPr>
          <w:rStyle w:val="Zkladntext158dkovn0pt"/>
          <w:color w:val="auto"/>
          <w:spacing w:val="0"/>
          <w:sz w:val="24"/>
          <w:lang w:val="cs-CZ"/>
        </w:rPr>
        <w:t xml:space="preserve"> </w:t>
      </w:r>
      <w:r w:rsidR="08274517" w:rsidRPr="003D1E07">
        <w:rPr>
          <w:rStyle w:val="Zkladntext158dkovn0pt"/>
          <w:color w:val="auto"/>
          <w:spacing w:val="0"/>
          <w:sz w:val="24"/>
          <w:lang w:val="cs-CZ"/>
        </w:rPr>
        <w:t xml:space="preserve">Avicennistická filosofie daná v linii neoplatonismu </w:t>
      </w:r>
      <w:r w:rsidR="00C57B10" w:rsidRPr="003D1E07">
        <w:t xml:space="preserve">vytěsnila roli diafanum z průběhu poznání. Zmizení diafanum zrušilo mediaci, </w:t>
      </w:r>
      <w:r w:rsidR="080C7A37" w:rsidRPr="003D1E07">
        <w:t xml:space="preserve">proto </w:t>
      </w:r>
      <w:r w:rsidR="08212677" w:rsidRPr="003D1E07">
        <w:t xml:space="preserve">moderně </w:t>
      </w:r>
      <w:r w:rsidR="00C57B10" w:rsidRPr="003D1E07">
        <w:rPr>
          <w:rStyle w:val="Zkladntext158dkovn0pt"/>
          <w:color w:val="auto"/>
          <w:spacing w:val="0"/>
          <w:sz w:val="24"/>
          <w:lang w:val="cs-CZ"/>
        </w:rPr>
        <w:t xml:space="preserve">chybí klíčový prvek formální adekvace v modu pravdy jako </w:t>
      </w:r>
      <w:r w:rsidR="00C57B10" w:rsidRPr="003D1E07">
        <w:rPr>
          <w:rStyle w:val="Zkladntext158dkovn0pt"/>
          <w:i/>
          <w:color w:val="auto"/>
          <w:spacing w:val="0"/>
          <w:sz w:val="24"/>
          <w:lang w:val="cs-CZ"/>
        </w:rPr>
        <w:t>proportio</w:t>
      </w:r>
      <w:r w:rsidR="00C57B10" w:rsidRPr="003D1E07">
        <w:rPr>
          <w:rStyle w:val="Zkladntext158dkovn0pt"/>
          <w:color w:val="auto"/>
          <w:spacing w:val="0"/>
          <w:sz w:val="24"/>
          <w:lang w:val="cs-CZ"/>
        </w:rPr>
        <w:t xml:space="preserve">. Poznání moderny se fatálně rozdělilo na dvě </w:t>
      </w:r>
      <w:r w:rsidR="08D24507" w:rsidRPr="003D1E07">
        <w:rPr>
          <w:rStyle w:val="Zkladntext158dkovn0pt"/>
          <w:color w:val="auto"/>
          <w:spacing w:val="0"/>
          <w:sz w:val="24"/>
          <w:lang w:val="cs-CZ"/>
        </w:rPr>
        <w:t xml:space="preserve">oddělené </w:t>
      </w:r>
      <w:r w:rsidR="00C57B10" w:rsidRPr="003D1E07">
        <w:rPr>
          <w:rStyle w:val="Zkladntext158dkovn0pt"/>
          <w:color w:val="auto"/>
          <w:spacing w:val="0"/>
          <w:sz w:val="24"/>
          <w:lang w:val="cs-CZ"/>
        </w:rPr>
        <w:t xml:space="preserve">složky dané materiálně a intelektuálně. Moderna a postmoderna </w:t>
      </w:r>
      <w:r w:rsidR="005A5C80" w:rsidRPr="003D1E07">
        <w:rPr>
          <w:rStyle w:val="Zkladntext158dkovn0pt"/>
          <w:color w:val="auto"/>
          <w:spacing w:val="0"/>
          <w:sz w:val="24"/>
          <w:lang w:val="cs-CZ"/>
        </w:rPr>
        <w:t xml:space="preserve">rozděluje </w:t>
      </w:r>
      <w:r w:rsidR="00C57B10" w:rsidRPr="003D1E07">
        <w:rPr>
          <w:rStyle w:val="Zkladntext158dkovn0pt"/>
          <w:color w:val="auto"/>
          <w:spacing w:val="0"/>
          <w:sz w:val="24"/>
          <w:lang w:val="cs-CZ"/>
        </w:rPr>
        <w:t>s</w:t>
      </w:r>
      <w:r w:rsidR="005A5C80" w:rsidRPr="003D1E07">
        <w:rPr>
          <w:rStyle w:val="Zkladntext158dkovn0pt"/>
          <w:color w:val="auto"/>
          <w:spacing w:val="0"/>
          <w:sz w:val="24"/>
          <w:lang w:val="cs-CZ"/>
        </w:rPr>
        <w:t>myslové a intelektuální poznání</w:t>
      </w:r>
      <w:r w:rsidR="00C57B10" w:rsidRPr="003D1E07">
        <w:rPr>
          <w:rStyle w:val="Zkladntext158dkovn0pt"/>
          <w:color w:val="auto"/>
          <w:spacing w:val="0"/>
          <w:sz w:val="24"/>
          <w:lang w:val="cs-CZ"/>
        </w:rPr>
        <w:t xml:space="preserve">, protože duše a tělo nevnímá stejnou „věc“. </w:t>
      </w:r>
      <w:r w:rsidR="00C57B10" w:rsidRPr="003D1E07">
        <w:t>Postmoderna si vystačí s odděleným intelektem jako samostatnou substancí (</w:t>
      </w:r>
      <w:r w:rsidR="00C57B10" w:rsidRPr="003D1E07">
        <w:rPr>
          <w:i/>
        </w:rPr>
        <w:t>res cogitans</w:t>
      </w:r>
      <w:r w:rsidR="00C57B10" w:rsidRPr="003D1E07">
        <w:rPr>
          <w:i/>
        </w:rPr>
        <w:fldChar w:fldCharType="begin"/>
      </w:r>
      <w:r w:rsidR="00C57B10" w:rsidRPr="003D1E07">
        <w:instrText xml:space="preserve"> XE "</w:instrText>
      </w:r>
      <w:r w:rsidR="00C57B10" w:rsidRPr="003D1E07">
        <w:rPr>
          <w:i/>
        </w:rPr>
        <w:instrText>res cogitans</w:instrText>
      </w:r>
      <w:r w:rsidR="00C57B10" w:rsidRPr="003D1E07">
        <w:instrText xml:space="preserve">" </w:instrText>
      </w:r>
      <w:r w:rsidR="00C57B10" w:rsidRPr="003D1E07">
        <w:rPr>
          <w:i/>
        </w:rPr>
        <w:fldChar w:fldCharType="end"/>
      </w:r>
      <w:r w:rsidR="00C57B10" w:rsidRPr="003D1E07">
        <w:t xml:space="preserve">) oddělenou od těla a žijící v </w:t>
      </w:r>
      <w:r w:rsidR="00210CD1" w:rsidRPr="003D1E07">
        <w:t>Platonově</w:t>
      </w:r>
      <w:r w:rsidR="00C57B10" w:rsidRPr="003D1E07">
        <w:t xml:space="preserve"> jeskyni, kde pozoruje na zdi objektivní stíny reality v podobě noematických evidencí. Hypostázovaný moderní rozum daný jako samostatná substance</w:t>
      </w:r>
      <w:r w:rsidR="00C57B10" w:rsidRPr="003D1E07">
        <w:fldChar w:fldCharType="begin"/>
      </w:r>
      <w:r w:rsidR="00C57B10" w:rsidRPr="003D1E07">
        <w:instrText xml:space="preserve"> XE "substance:intelekt" </w:instrText>
      </w:r>
      <w:r w:rsidR="00C57B10" w:rsidRPr="003D1E07">
        <w:fldChar w:fldCharType="end"/>
      </w:r>
      <w:r w:rsidR="00C57B10" w:rsidRPr="003D1E07">
        <w:t xml:space="preserve"> je vším sám od sebe</w:t>
      </w:r>
      <w:r w:rsidR="00575045" w:rsidRPr="003D1E07">
        <w:t xml:space="preserve"> a </w:t>
      </w:r>
      <w:r w:rsidR="00E361B1" w:rsidRPr="003D1E07">
        <w:t xml:space="preserve">potřebuje </w:t>
      </w:r>
      <w:r w:rsidR="00C57B10" w:rsidRPr="003D1E07">
        <w:t>vnější s</w:t>
      </w:r>
      <w:r w:rsidR="00E361B1" w:rsidRPr="003D1E07">
        <w:t xml:space="preserve">vět k poznání </w:t>
      </w:r>
      <w:r w:rsidR="00C57B10" w:rsidRPr="003D1E07">
        <w:t xml:space="preserve">jen </w:t>
      </w:r>
      <w:r w:rsidR="00E361B1" w:rsidRPr="003D1E07">
        <w:t>jako akcident</w:t>
      </w:r>
      <w:r w:rsidR="00C57B10" w:rsidRPr="003D1E07">
        <w:t xml:space="preserve">. </w:t>
      </w:r>
      <w:r w:rsidR="00C57B10" w:rsidRPr="003D1E07">
        <w:rPr>
          <w:rStyle w:val="Zkladntext158dkovn0pt"/>
          <w:color w:val="auto"/>
          <w:spacing w:val="0"/>
          <w:sz w:val="24"/>
          <w:lang w:val="cs-CZ"/>
        </w:rPr>
        <w:t xml:space="preserve">Moderna nemá dvojí intencionalitu, proto zdvojila realitu skrze jsoucno třetího druhu, což poprvé zkoumal </w:t>
      </w:r>
      <w:r w:rsidR="00410DFB">
        <w:rPr>
          <w:rStyle w:val="Zkladntext158dkovn0pt"/>
          <w:color w:val="auto"/>
          <w:spacing w:val="0"/>
          <w:sz w:val="24"/>
          <w:lang w:val="cs-CZ"/>
        </w:rPr>
        <w:t xml:space="preserve">Platonův </w:t>
      </w:r>
      <w:r w:rsidR="00C57B10" w:rsidRPr="003D1E07">
        <w:rPr>
          <w:rStyle w:val="Zkladntext158dkovn0pt"/>
          <w:color w:val="auto"/>
          <w:spacing w:val="0"/>
          <w:sz w:val="24"/>
          <w:lang w:val="cs-CZ"/>
        </w:rPr>
        <w:t xml:space="preserve">dialog </w:t>
      </w:r>
      <w:r w:rsidR="00C57B10" w:rsidRPr="003D1E07">
        <w:rPr>
          <w:rStyle w:val="Zkladntext158dkovn0pt"/>
          <w:i/>
          <w:color w:val="auto"/>
          <w:spacing w:val="0"/>
          <w:sz w:val="24"/>
          <w:lang w:val="cs-CZ"/>
        </w:rPr>
        <w:t>Sofistes</w:t>
      </w:r>
      <w:r w:rsidR="00C57B10" w:rsidRPr="003D1E07">
        <w:rPr>
          <w:rStyle w:val="Zkladntext158dkovn0pt"/>
          <w:color w:val="auto"/>
          <w:spacing w:val="0"/>
          <w:sz w:val="24"/>
          <w:lang w:val="cs-CZ"/>
        </w:rPr>
        <w:t xml:space="preserve">. V tomto modu vidění daném pomocí </w:t>
      </w:r>
      <w:r w:rsidR="00874074" w:rsidRPr="003D1E07">
        <w:rPr>
          <w:rStyle w:val="Zkladntext158dkovn0pt"/>
          <w:color w:val="auto"/>
          <w:spacing w:val="0"/>
          <w:sz w:val="24"/>
          <w:lang w:val="cs-CZ"/>
        </w:rPr>
        <w:t>neoplatonsk</w:t>
      </w:r>
      <w:r w:rsidR="00C57B10" w:rsidRPr="003D1E07">
        <w:rPr>
          <w:rStyle w:val="Zkladntext158dkovn0pt"/>
          <w:color w:val="auto"/>
          <w:spacing w:val="0"/>
          <w:sz w:val="24"/>
          <w:lang w:val="cs-CZ"/>
        </w:rPr>
        <w:t>é iluminace se poznaná věc stává sofistickým simulákrem (</w:t>
      </w:r>
      <w:r w:rsidR="00C57B10" w:rsidRPr="003D1E07">
        <w:t>εἴδωλον</w:t>
      </w:r>
      <w:r w:rsidR="00C57B10" w:rsidRPr="003D1E07">
        <w:rPr>
          <w:rStyle w:val="Zkladntext158dkovn0pt"/>
          <w:color w:val="auto"/>
          <w:spacing w:val="0"/>
          <w:sz w:val="24"/>
          <w:lang w:val="cs-CZ"/>
        </w:rPr>
        <w:t>)</w:t>
      </w:r>
      <w:r w:rsidR="00C57B10" w:rsidRPr="003D1E07">
        <w:fldChar w:fldCharType="begin"/>
      </w:r>
      <w:r w:rsidR="00C57B10" w:rsidRPr="003D1E07">
        <w:instrText xml:space="preserve"> XE "zatmění:substance" </w:instrText>
      </w:r>
      <w:r w:rsidR="00C57B10" w:rsidRPr="003D1E07">
        <w:fldChar w:fldCharType="end"/>
      </w:r>
      <w:r w:rsidR="00C57B10" w:rsidRPr="003D1E07">
        <w:rPr>
          <w:rStyle w:val="Zkladntext158dkovn0pt"/>
          <w:color w:val="auto"/>
          <w:spacing w:val="0"/>
          <w:sz w:val="24"/>
          <w:lang w:val="cs-CZ"/>
        </w:rPr>
        <w:t xml:space="preserve">. </w:t>
      </w:r>
      <w:r w:rsidR="08D24507" w:rsidRPr="003D1E07">
        <w:rPr>
          <w:rStyle w:val="Zkladntext158dkovn0pt"/>
          <w:color w:val="auto"/>
          <w:spacing w:val="0"/>
          <w:sz w:val="24"/>
          <w:lang w:val="cs-CZ"/>
        </w:rPr>
        <w:t xml:space="preserve">Archaická hermeneutika nemůže přijat moderní idolatrii objektivistů, protože vychází z původní události pravdy </w:t>
      </w:r>
      <w:r w:rsidR="00BF6779" w:rsidRPr="003D1E07">
        <w:rPr>
          <w:rStyle w:val="Zkladntext158dkovn0pt"/>
          <w:color w:val="auto"/>
          <w:spacing w:val="0"/>
          <w:sz w:val="24"/>
          <w:lang w:val="cs-CZ"/>
        </w:rPr>
        <w:t xml:space="preserve">jako </w:t>
      </w:r>
      <w:r w:rsidR="00840AAF" w:rsidRPr="003D1E07">
        <w:rPr>
          <w:rStyle w:val="Zkladntext158dkovn0pt"/>
          <w:i/>
          <w:color w:val="auto"/>
          <w:spacing w:val="0"/>
          <w:sz w:val="24"/>
          <w:lang w:val="cs-CZ"/>
        </w:rPr>
        <w:t>a</w:t>
      </w:r>
      <w:r w:rsidR="080126C1" w:rsidRPr="003D1E07">
        <w:rPr>
          <w:rStyle w:val="Zkladntext158dkovn0pt"/>
          <w:i/>
          <w:color w:val="auto"/>
          <w:spacing w:val="0"/>
          <w:sz w:val="24"/>
          <w:lang w:val="cs-CZ"/>
        </w:rPr>
        <w:t>létheia</w:t>
      </w:r>
      <w:r w:rsidR="08AA75C1" w:rsidRPr="003D1E07">
        <w:rPr>
          <w:rStyle w:val="Zkladntext158dkovn0pt"/>
          <w:i/>
          <w:color w:val="auto"/>
          <w:spacing w:val="0"/>
          <w:sz w:val="24"/>
          <w:lang w:val="cs-CZ"/>
        </w:rPr>
        <w:fldChar w:fldCharType="begin"/>
      </w:r>
      <w:r w:rsidR="08AA75C1" w:rsidRPr="003D1E07">
        <w:instrText xml:space="preserve"> XE "</w:instrText>
      </w:r>
      <w:r w:rsidR="08AA75C1" w:rsidRPr="003D1E07">
        <w:rPr>
          <w:rStyle w:val="Zkladntext158dkovn0pt"/>
          <w:i/>
          <w:color w:val="auto"/>
          <w:spacing w:val="0"/>
          <w:sz w:val="24"/>
          <w:lang w:val="cs-CZ"/>
        </w:rPr>
        <w:instrText>a/létheia</w:instrText>
      </w:r>
      <w:r w:rsidR="08AA75C1" w:rsidRPr="003D1E07">
        <w:instrText xml:space="preserve">" </w:instrText>
      </w:r>
      <w:r w:rsidR="08AA75C1" w:rsidRPr="003D1E07">
        <w:rPr>
          <w:rStyle w:val="Zkladntext158dkovn0pt"/>
          <w:i/>
          <w:color w:val="auto"/>
          <w:spacing w:val="0"/>
          <w:sz w:val="24"/>
          <w:lang w:val="cs-CZ"/>
        </w:rPr>
        <w:fldChar w:fldCharType="end"/>
      </w:r>
      <w:r w:rsidR="08D24507" w:rsidRPr="003D1E07">
        <w:rPr>
          <w:rStyle w:val="Zkladntext158dkovn0pt"/>
          <w:color w:val="auto"/>
          <w:spacing w:val="0"/>
          <w:sz w:val="24"/>
          <w:lang w:val="cs-CZ"/>
        </w:rPr>
        <w:t xml:space="preserve">. Proto jsme zjišťovali, </w:t>
      </w:r>
      <w:r w:rsidR="08511E53" w:rsidRPr="003D1E07">
        <w:rPr>
          <w:rStyle w:val="Zkladntext158dkovn0pt"/>
          <w:color w:val="auto"/>
          <w:spacing w:val="0"/>
          <w:sz w:val="24"/>
          <w:lang w:val="cs-CZ"/>
        </w:rPr>
        <w:t xml:space="preserve">z jaké perspektivy Avicenna a Averroes pozorují </w:t>
      </w:r>
      <w:r w:rsidR="005E2415">
        <w:rPr>
          <w:rStyle w:val="Zkladntext158dkovn0pt"/>
          <w:color w:val="auto"/>
          <w:spacing w:val="0"/>
          <w:sz w:val="24"/>
          <w:lang w:val="cs-CZ"/>
        </w:rPr>
        <w:t>mediaci poznání</w:t>
      </w:r>
      <w:r w:rsidR="00F96DFC">
        <w:rPr>
          <w:rStyle w:val="Zkladntext158dkovn0pt"/>
          <w:color w:val="auto"/>
          <w:spacing w:val="0"/>
          <w:sz w:val="24"/>
          <w:lang w:val="cs-CZ"/>
        </w:rPr>
        <w:t xml:space="preserve"> skrze </w:t>
      </w:r>
      <w:r w:rsidR="084E1E48" w:rsidRPr="003D1E07">
        <w:rPr>
          <w:rStyle w:val="Zkladntext158dkovn0pt"/>
          <w:color w:val="auto"/>
          <w:spacing w:val="0"/>
          <w:sz w:val="24"/>
          <w:lang w:val="cs-CZ"/>
        </w:rPr>
        <w:t>diafanum</w:t>
      </w:r>
      <w:r w:rsidR="00B27347" w:rsidRPr="003D1E07">
        <w:rPr>
          <w:rStyle w:val="Zkladntext158dkovn0pt"/>
          <w:color w:val="auto"/>
          <w:spacing w:val="0"/>
          <w:sz w:val="24"/>
          <w:lang w:val="cs-CZ"/>
        </w:rPr>
        <w:t>. T</w:t>
      </w:r>
      <w:r w:rsidR="005E2415">
        <w:rPr>
          <w:rStyle w:val="Zkladntext158dkovn0pt"/>
          <w:color w:val="auto"/>
          <w:spacing w:val="0"/>
          <w:sz w:val="24"/>
          <w:lang w:val="cs-CZ"/>
        </w:rPr>
        <w:t xml:space="preserve">ato mediace </w:t>
      </w:r>
      <w:r w:rsidR="084E1E48" w:rsidRPr="003D1E07">
        <w:rPr>
          <w:rStyle w:val="Zkladntext158dkovn0pt"/>
          <w:color w:val="auto"/>
          <w:spacing w:val="0"/>
          <w:sz w:val="24"/>
          <w:lang w:val="cs-CZ"/>
        </w:rPr>
        <w:t>představuje původní místo</w:t>
      </w:r>
      <w:r w:rsidR="08BF3ADB" w:rsidRPr="003D1E07">
        <w:rPr>
          <w:rStyle w:val="Zkladntext158dkovn0pt"/>
          <w:color w:val="auto"/>
          <w:spacing w:val="0"/>
          <w:sz w:val="24"/>
          <w:lang w:val="cs-CZ"/>
        </w:rPr>
        <w:t xml:space="preserve"> zjevování jsoucna v jeho </w:t>
      </w:r>
      <w:r w:rsidR="08ED20E3" w:rsidRPr="003D1E07">
        <w:rPr>
          <w:rStyle w:val="Zkladntext158dkovn0pt"/>
          <w:color w:val="auto"/>
          <w:spacing w:val="0"/>
          <w:sz w:val="24"/>
          <w:lang w:val="cs-CZ"/>
        </w:rPr>
        <w:t xml:space="preserve">poznané </w:t>
      </w:r>
      <w:r w:rsidR="00222E5A" w:rsidRPr="003D1E07">
        <w:rPr>
          <w:rStyle w:val="Zkladntext158dkovn0pt"/>
          <w:color w:val="auto"/>
          <w:spacing w:val="0"/>
          <w:sz w:val="24"/>
          <w:lang w:val="cs-CZ"/>
        </w:rPr>
        <w:t>formě</w:t>
      </w:r>
      <w:r w:rsidR="0016353D">
        <w:rPr>
          <w:rStyle w:val="Zkladntext158dkovn0pt"/>
          <w:color w:val="auto"/>
          <w:spacing w:val="0"/>
          <w:sz w:val="24"/>
          <w:lang w:val="cs-CZ"/>
        </w:rPr>
        <w:t xml:space="preserve"> </w:t>
      </w:r>
      <w:r w:rsidR="0016353D">
        <w:rPr>
          <w:noProof w:val="0"/>
          <w:lang w:val="fr-FR" w:eastAsia="en-US"/>
        </w:rPr>
        <w:t>(</w:t>
      </w:r>
      <w:r w:rsidR="0016353D" w:rsidRPr="00415C74">
        <w:rPr>
          <w:i/>
          <w:noProof w:val="0"/>
          <w:lang w:val="fr-FR" w:eastAsia="en-US"/>
        </w:rPr>
        <w:t>ortus scientiarum</w:t>
      </w:r>
      <w:r w:rsidR="0016353D">
        <w:rPr>
          <w:i/>
          <w:noProof w:val="0"/>
          <w:lang w:val="fr-FR" w:eastAsia="en-US"/>
        </w:rPr>
        <w:fldChar w:fldCharType="begin"/>
      </w:r>
      <w:r w:rsidR="0016353D">
        <w:instrText xml:space="preserve"> XE "</w:instrText>
      </w:r>
      <w:r w:rsidR="0016353D" w:rsidRPr="00AB0E01">
        <w:rPr>
          <w:i/>
          <w:noProof w:val="0"/>
          <w:lang w:val="fr-FR" w:eastAsia="en-US"/>
        </w:rPr>
        <w:instrText>ortus scientiarum</w:instrText>
      </w:r>
      <w:r w:rsidR="0016353D">
        <w:instrText xml:space="preserve">" </w:instrText>
      </w:r>
      <w:r w:rsidR="0016353D">
        <w:rPr>
          <w:i/>
          <w:noProof w:val="0"/>
          <w:lang w:val="fr-FR" w:eastAsia="en-US"/>
        </w:rPr>
        <w:fldChar w:fldCharType="end"/>
      </w:r>
      <w:r w:rsidR="0016353D">
        <w:rPr>
          <w:noProof w:val="0"/>
          <w:lang w:val="fr-FR" w:eastAsia="en-US"/>
        </w:rPr>
        <w:t>)</w:t>
      </w:r>
      <w:r w:rsidR="088D4998" w:rsidRPr="003D1E07">
        <w:rPr>
          <w:rStyle w:val="Zkladntext158dkovn0pt"/>
          <w:color w:val="auto"/>
          <w:spacing w:val="0"/>
          <w:sz w:val="24"/>
          <w:lang w:val="cs-CZ"/>
        </w:rPr>
        <w:t xml:space="preserve">. </w:t>
      </w:r>
      <w:r w:rsidR="08BF3ADB" w:rsidRPr="003D1E07">
        <w:rPr>
          <w:rStyle w:val="Zkladntext158dkovn0pt"/>
          <w:color w:val="auto"/>
          <w:spacing w:val="0"/>
          <w:sz w:val="24"/>
          <w:lang w:val="cs-CZ"/>
        </w:rPr>
        <w:t xml:space="preserve">Gigantomachie o </w:t>
      </w:r>
      <w:r w:rsidR="00321727" w:rsidRPr="003D1E07">
        <w:rPr>
          <w:rStyle w:val="Zkladntext158dkovn0pt"/>
          <w:color w:val="auto"/>
          <w:spacing w:val="0"/>
          <w:sz w:val="24"/>
          <w:lang w:val="cs-CZ"/>
        </w:rPr>
        <w:t xml:space="preserve">moderní </w:t>
      </w:r>
      <w:r w:rsidR="08BF3ADB" w:rsidRPr="003D1E07">
        <w:rPr>
          <w:rStyle w:val="Zkladntext158dkovn0pt"/>
          <w:color w:val="auto"/>
          <w:spacing w:val="0"/>
          <w:sz w:val="24"/>
          <w:lang w:val="cs-CZ"/>
        </w:rPr>
        <w:t>su</w:t>
      </w:r>
      <w:r w:rsidR="087411A9" w:rsidRPr="003D1E07">
        <w:rPr>
          <w:rStyle w:val="Zkladntext158dkovn0pt"/>
          <w:color w:val="auto"/>
          <w:spacing w:val="0"/>
          <w:sz w:val="24"/>
          <w:lang w:val="cs-CZ"/>
        </w:rPr>
        <w:t>bstanci</w:t>
      </w:r>
      <w:r w:rsidR="08A42A81" w:rsidRPr="003D1E07">
        <w:rPr>
          <w:i/>
        </w:rPr>
        <w:fldChar w:fldCharType="begin"/>
      </w:r>
      <w:r w:rsidR="08A42A81" w:rsidRPr="003D1E07">
        <w:instrText xml:space="preserve"> XE "metafyzika:gigantomachie" </w:instrText>
      </w:r>
      <w:r w:rsidR="08A42A81" w:rsidRPr="003D1E07">
        <w:rPr>
          <w:i/>
        </w:rPr>
        <w:fldChar w:fldCharType="end"/>
      </w:r>
      <w:r w:rsidR="087411A9" w:rsidRPr="003D1E07">
        <w:rPr>
          <w:rStyle w:val="Zkladntext158dkovn0pt"/>
          <w:color w:val="auto"/>
          <w:spacing w:val="0"/>
          <w:sz w:val="24"/>
          <w:lang w:val="cs-CZ"/>
        </w:rPr>
        <w:t xml:space="preserve"> </w:t>
      </w:r>
      <w:r w:rsidR="08BF3ADB" w:rsidRPr="003D1E07">
        <w:rPr>
          <w:rStyle w:val="Zkladntext158dkovn0pt"/>
          <w:color w:val="auto"/>
          <w:spacing w:val="0"/>
          <w:sz w:val="24"/>
          <w:lang w:val="cs-CZ"/>
        </w:rPr>
        <w:t>je dána tím, že b</w:t>
      </w:r>
      <w:r w:rsidR="08511E53" w:rsidRPr="003D1E07">
        <w:rPr>
          <w:rStyle w:val="Zkladntext158dkovn0pt"/>
          <w:color w:val="auto"/>
          <w:spacing w:val="0"/>
          <w:sz w:val="24"/>
          <w:lang w:val="cs-CZ"/>
        </w:rPr>
        <w:t xml:space="preserve">uď vidíme proces poznání směrem od reálné věci, nebo od paprsku </w:t>
      </w:r>
      <w:r w:rsidR="087639B8" w:rsidRPr="003D1E07">
        <w:rPr>
          <w:rStyle w:val="Zkladntext158dkovn0pt"/>
          <w:color w:val="auto"/>
          <w:spacing w:val="0"/>
          <w:sz w:val="24"/>
          <w:lang w:val="cs-CZ"/>
        </w:rPr>
        <w:t xml:space="preserve">mystického </w:t>
      </w:r>
      <w:r w:rsidR="08511E53" w:rsidRPr="003D1E07">
        <w:rPr>
          <w:rStyle w:val="Zkladntext158dkovn0pt"/>
          <w:color w:val="auto"/>
          <w:spacing w:val="0"/>
          <w:sz w:val="24"/>
          <w:lang w:val="cs-CZ"/>
        </w:rPr>
        <w:t>světla</w:t>
      </w:r>
      <w:r w:rsidR="08942A36" w:rsidRPr="003D1E07">
        <w:rPr>
          <w:rStyle w:val="Zkladntext158dkovn0pt"/>
          <w:color w:val="auto"/>
          <w:spacing w:val="0"/>
          <w:sz w:val="24"/>
          <w:lang w:val="cs-CZ"/>
        </w:rPr>
        <w:t xml:space="preserve"> přímo osvěcujícího intelekt</w:t>
      </w:r>
      <w:r w:rsidR="08ED20E3" w:rsidRPr="003D1E07">
        <w:rPr>
          <w:rStyle w:val="Zkladntext158dkovn0pt"/>
          <w:color w:val="auto"/>
          <w:spacing w:val="0"/>
          <w:sz w:val="24"/>
          <w:lang w:val="cs-CZ"/>
        </w:rPr>
        <w:t>. P</w:t>
      </w:r>
      <w:r w:rsidR="08511E53" w:rsidRPr="003D1E07">
        <w:rPr>
          <w:rStyle w:val="Zkladntext158dkovn0pt"/>
          <w:color w:val="auto"/>
          <w:spacing w:val="0"/>
          <w:sz w:val="24"/>
          <w:lang w:val="cs-CZ"/>
        </w:rPr>
        <w:t xml:space="preserve">roces poznání </w:t>
      </w:r>
      <w:r w:rsidR="08ED20E3" w:rsidRPr="003D1E07">
        <w:rPr>
          <w:rStyle w:val="Zkladntext158dkovn0pt"/>
          <w:color w:val="auto"/>
          <w:spacing w:val="0"/>
          <w:sz w:val="24"/>
          <w:lang w:val="cs-CZ"/>
        </w:rPr>
        <w:t>se chápe</w:t>
      </w:r>
      <w:r w:rsidR="08511E53" w:rsidRPr="003D1E07">
        <w:rPr>
          <w:rStyle w:val="Zkladntext158dkovn0pt"/>
          <w:color w:val="auto"/>
          <w:spacing w:val="0"/>
          <w:sz w:val="24"/>
          <w:lang w:val="cs-CZ"/>
        </w:rPr>
        <w:t xml:space="preserve"> ilumina</w:t>
      </w:r>
      <w:r w:rsidR="00FA4AFB" w:rsidRPr="003D1E07">
        <w:rPr>
          <w:rStyle w:val="Zkladntext158dkovn0pt"/>
          <w:color w:val="auto"/>
          <w:spacing w:val="0"/>
          <w:sz w:val="24"/>
          <w:lang w:val="cs-CZ"/>
        </w:rPr>
        <w:t xml:space="preserve">ci </w:t>
      </w:r>
      <w:r w:rsidR="08511E53" w:rsidRPr="003D1E07">
        <w:rPr>
          <w:rStyle w:val="Zkladntext158dkovn0pt"/>
          <w:color w:val="auto"/>
          <w:spacing w:val="0"/>
          <w:sz w:val="24"/>
          <w:lang w:val="cs-CZ"/>
        </w:rPr>
        <w:t>jako moderní Avicenna, nebo skrze diafanum jako anti</w:t>
      </w:r>
      <w:r w:rsidR="08511E53" w:rsidRPr="003D1E07">
        <w:rPr>
          <w:rStyle w:val="Zkladntext158dkovn0pt"/>
          <w:color w:val="auto"/>
          <w:spacing w:val="0"/>
          <w:sz w:val="24"/>
          <w:lang w:val="cs-CZ"/>
        </w:rPr>
        <w:noBreakHyphen/>
        <w:t xml:space="preserve">moderní Averroes. </w:t>
      </w:r>
      <w:r w:rsidR="08C32CF6" w:rsidRPr="003D1E07">
        <w:rPr>
          <w:rStyle w:val="Zkladntext158dkovn0pt"/>
          <w:color w:val="auto"/>
          <w:spacing w:val="0"/>
          <w:sz w:val="24"/>
          <w:lang w:val="cs-CZ"/>
        </w:rPr>
        <w:lastRenderedPageBreak/>
        <w:t xml:space="preserve">Dvojí dráha náhledu na smysl jsoucna dává </w:t>
      </w:r>
      <w:r w:rsidR="088D4622" w:rsidRPr="003D1E07">
        <w:rPr>
          <w:rStyle w:val="Zkladntext158dkovn0pt"/>
          <w:color w:val="auto"/>
          <w:spacing w:val="0"/>
          <w:sz w:val="24"/>
          <w:lang w:val="cs-CZ"/>
        </w:rPr>
        <w:t xml:space="preserve">dvojí </w:t>
      </w:r>
      <w:r w:rsidR="08511E53" w:rsidRPr="003D1E07">
        <w:rPr>
          <w:rStyle w:val="Zkladntext158dkovn0pt"/>
          <w:color w:val="auto"/>
          <w:spacing w:val="0"/>
          <w:sz w:val="24"/>
          <w:lang w:val="cs-CZ"/>
        </w:rPr>
        <w:t>pojetí pravdy</w:t>
      </w:r>
      <w:r w:rsidR="080377C2" w:rsidRPr="003D1E07">
        <w:rPr>
          <w:rStyle w:val="Zkladntext158dkovn0pt"/>
          <w:color w:val="auto"/>
          <w:spacing w:val="0"/>
          <w:sz w:val="24"/>
          <w:lang w:val="cs-CZ"/>
        </w:rPr>
        <w:t xml:space="preserve">. </w:t>
      </w:r>
      <w:r w:rsidR="001116F4">
        <w:rPr>
          <w:rStyle w:val="Zkladntext158dkovn0pt"/>
          <w:color w:val="auto"/>
          <w:spacing w:val="0"/>
          <w:sz w:val="24"/>
          <w:lang w:val="cs-CZ"/>
        </w:rPr>
        <w:t>Božské Múzy jako zdroj pravdy a klamu dávají k</w:t>
      </w:r>
      <w:r w:rsidR="001116F4" w:rsidRPr="003D1E07">
        <w:rPr>
          <w:rStyle w:val="Zkladntext158dkovn0pt"/>
          <w:color w:val="auto"/>
          <w:spacing w:val="0"/>
          <w:sz w:val="24"/>
          <w:lang w:val="cs-CZ"/>
        </w:rPr>
        <w:t xml:space="preserve">aždému jeho pravdu, </w:t>
      </w:r>
      <w:r w:rsidR="001116F4" w:rsidRPr="003D1E07">
        <w:rPr>
          <w:rStyle w:val="Zkladntext158dkovn0pt"/>
          <w:i/>
          <w:color w:val="auto"/>
          <w:spacing w:val="0"/>
          <w:sz w:val="24"/>
          <w:lang w:val="cs-CZ"/>
        </w:rPr>
        <w:t>suum cuique</w:t>
      </w:r>
      <w:r w:rsidR="001116F4" w:rsidRPr="003D1E07">
        <w:rPr>
          <w:rStyle w:val="Zkladntext158dkovn0pt"/>
          <w:color w:val="auto"/>
          <w:spacing w:val="0"/>
          <w:sz w:val="24"/>
          <w:lang w:val="cs-CZ"/>
        </w:rPr>
        <w:t xml:space="preserve">. </w:t>
      </w:r>
      <w:r w:rsidR="001116F4" w:rsidRPr="001116F4">
        <w:rPr>
          <w:rStyle w:val="Zkladntext158dkovn0pt"/>
          <w:color w:val="auto"/>
          <w:spacing w:val="0"/>
          <w:sz w:val="24"/>
          <w:lang w:val="cs-CZ"/>
        </w:rPr>
        <w:t xml:space="preserve">Objektivní modernita si osvojuje </w:t>
      </w:r>
      <w:r w:rsidR="001116F4">
        <w:rPr>
          <w:rStyle w:val="Zkladntext158dkovn0pt"/>
          <w:color w:val="auto"/>
          <w:spacing w:val="0"/>
          <w:sz w:val="24"/>
          <w:lang w:val="cs-CZ"/>
        </w:rPr>
        <w:t xml:space="preserve">jsoucna </w:t>
      </w:r>
      <w:r w:rsidR="001116F4" w:rsidRPr="001116F4">
        <w:rPr>
          <w:rStyle w:val="Zkladntext158dkovn0pt"/>
          <w:color w:val="auto"/>
          <w:spacing w:val="0"/>
          <w:sz w:val="24"/>
          <w:lang w:val="cs-CZ"/>
        </w:rPr>
        <w:t xml:space="preserve">třetího druhu prostřednictvím </w:t>
      </w:r>
      <w:r w:rsidR="0098610C">
        <w:rPr>
          <w:rStyle w:val="Zkladntext158dkovn0pt"/>
          <w:color w:val="auto"/>
          <w:spacing w:val="0"/>
          <w:sz w:val="24"/>
          <w:lang w:val="cs-CZ"/>
        </w:rPr>
        <w:t xml:space="preserve">mytopoetického </w:t>
      </w:r>
      <w:r w:rsidR="001116F4" w:rsidRPr="001116F4">
        <w:rPr>
          <w:rStyle w:val="Zkladntext158dkovn0pt"/>
          <w:color w:val="auto"/>
          <w:spacing w:val="0"/>
          <w:sz w:val="24"/>
          <w:lang w:val="cs-CZ"/>
        </w:rPr>
        <w:t xml:space="preserve">modelu, který </w:t>
      </w:r>
      <w:r w:rsidR="001116F4">
        <w:rPr>
          <w:rStyle w:val="Zkladntext158dkovn0pt"/>
          <w:color w:val="auto"/>
          <w:spacing w:val="0"/>
          <w:sz w:val="24"/>
          <w:lang w:val="cs-CZ"/>
        </w:rPr>
        <w:t>Fúrie masově organizují v „globální vesnici“ dneška</w:t>
      </w:r>
      <w:r w:rsidR="001116F4" w:rsidRPr="001116F4">
        <w:rPr>
          <w:rStyle w:val="Zkladntext158dkovn0pt"/>
          <w:color w:val="auto"/>
          <w:spacing w:val="0"/>
          <w:sz w:val="24"/>
          <w:lang w:val="cs-CZ"/>
        </w:rPr>
        <w:t xml:space="preserve">. </w:t>
      </w:r>
      <w:r w:rsidR="001116F4" w:rsidRPr="003D1E07">
        <w:rPr>
          <w:rStyle w:val="Zkladntext158dkovn0pt"/>
          <w:color w:val="auto"/>
          <w:spacing w:val="0"/>
          <w:sz w:val="24"/>
          <w:lang w:val="cs-CZ"/>
        </w:rPr>
        <w:t xml:space="preserve">Kritická filosofie provádí adekvaci reálné materiální věci a nemateriálního intelektu. </w:t>
      </w:r>
      <w:r w:rsidR="001116F4" w:rsidRPr="001116F4">
        <w:rPr>
          <w:rStyle w:val="Zkladntext158dkovn0pt"/>
          <w:color w:val="auto"/>
          <w:spacing w:val="0"/>
          <w:sz w:val="24"/>
          <w:lang w:val="cs-CZ"/>
        </w:rPr>
        <w:t xml:space="preserve">Proto hledá na </w:t>
      </w:r>
      <w:r w:rsidR="001116F4">
        <w:rPr>
          <w:rStyle w:val="Zkladntext158dkovn0pt"/>
          <w:color w:val="auto"/>
          <w:spacing w:val="0"/>
          <w:sz w:val="24"/>
          <w:lang w:val="cs-CZ"/>
        </w:rPr>
        <w:t>Z</w:t>
      </w:r>
      <w:r w:rsidR="001116F4" w:rsidRPr="001116F4">
        <w:rPr>
          <w:rStyle w:val="Zkladntext158dkovn0pt"/>
          <w:color w:val="auto"/>
          <w:spacing w:val="0"/>
          <w:sz w:val="24"/>
          <w:lang w:val="cs-CZ"/>
        </w:rPr>
        <w:t xml:space="preserve">emi alespoň </w:t>
      </w:r>
      <w:r w:rsidR="001116F4">
        <w:rPr>
          <w:rStyle w:val="Zkladntext158dkovn0pt"/>
          <w:color w:val="auto"/>
          <w:spacing w:val="0"/>
          <w:sz w:val="24"/>
          <w:lang w:val="cs-CZ"/>
        </w:rPr>
        <w:t xml:space="preserve">jednoho </w:t>
      </w:r>
      <w:r w:rsidR="001116F4" w:rsidRPr="001116F4">
        <w:rPr>
          <w:rStyle w:val="Zkladntext158dkovn0pt"/>
          <w:color w:val="auto"/>
          <w:spacing w:val="0"/>
          <w:sz w:val="24"/>
          <w:lang w:val="cs-CZ"/>
        </w:rPr>
        <w:t>moudrého člověka.</w:t>
      </w:r>
      <w:r w:rsidR="001116F4">
        <w:rPr>
          <w:rStyle w:val="Zkladntext158dkovn0pt"/>
          <w:color w:val="auto"/>
          <w:spacing w:val="0"/>
          <w:sz w:val="24"/>
          <w:lang w:val="cs-CZ"/>
        </w:rPr>
        <w:t xml:space="preserve"> </w:t>
      </w:r>
      <w:r w:rsidR="08EC6B39" w:rsidRPr="003D1E07">
        <w:rPr>
          <w:rStyle w:val="Zkladntext158dkovn0pt"/>
          <w:color w:val="auto"/>
          <w:spacing w:val="0"/>
          <w:sz w:val="24"/>
          <w:lang w:val="cs-CZ"/>
        </w:rPr>
        <w:fldChar w:fldCharType="begin"/>
      </w:r>
      <w:r w:rsidR="08EC6B39" w:rsidRPr="003D1E07">
        <w:instrText xml:space="preserve"> XE "</w:instrText>
      </w:r>
      <w:r w:rsidR="08EC6B39" w:rsidRPr="003D1E07">
        <w:rPr>
          <w:rStyle w:val="Zkladntext158dkovn0pt"/>
          <w:color w:val="auto"/>
          <w:spacing w:val="0"/>
          <w:sz w:val="24"/>
          <w:lang w:val="cs-CZ"/>
        </w:rPr>
        <w:instrText>pravda:asimilace</w:instrText>
      </w:r>
      <w:r w:rsidR="08EC6B39" w:rsidRPr="003D1E07">
        <w:instrText xml:space="preserve">" </w:instrText>
      </w:r>
      <w:r w:rsidR="08EC6B39" w:rsidRPr="003D1E07">
        <w:rPr>
          <w:rStyle w:val="Zkladntext158dkovn0pt"/>
          <w:color w:val="auto"/>
          <w:spacing w:val="0"/>
          <w:sz w:val="24"/>
          <w:lang w:val="cs-CZ"/>
        </w:rPr>
        <w:fldChar w:fldCharType="end"/>
      </w:r>
      <w:r w:rsidR="00ED0FBE" w:rsidRPr="003D1E07">
        <w:rPr>
          <w:rStyle w:val="Zkladntext158dkovn0pt"/>
          <w:color w:val="auto"/>
          <w:spacing w:val="0"/>
          <w:sz w:val="24"/>
          <w:lang w:val="cs-CZ"/>
        </w:rPr>
        <w:t>F</w:t>
      </w:r>
      <w:r w:rsidR="08511E53" w:rsidRPr="003D1E07">
        <w:rPr>
          <w:rStyle w:val="Zkladntext158dkovn0pt"/>
          <w:color w:val="auto"/>
          <w:spacing w:val="0"/>
          <w:sz w:val="24"/>
          <w:lang w:val="cs-CZ"/>
        </w:rPr>
        <w:t>ormální kauzalit</w:t>
      </w:r>
      <w:r w:rsidR="00ED0FBE" w:rsidRPr="003D1E07">
        <w:rPr>
          <w:rStyle w:val="Zkladntext158dkovn0pt"/>
          <w:color w:val="auto"/>
          <w:spacing w:val="0"/>
          <w:sz w:val="24"/>
          <w:lang w:val="cs-CZ"/>
        </w:rPr>
        <w:t xml:space="preserve">a tvoří základní element </w:t>
      </w:r>
      <w:r w:rsidR="08511E53" w:rsidRPr="003D1E07">
        <w:fldChar w:fldCharType="begin"/>
      </w:r>
      <w:r w:rsidR="08511E53" w:rsidRPr="003D1E07">
        <w:instrText xml:space="preserve"> XE "kauzalita:formální" </w:instrText>
      </w:r>
      <w:r w:rsidR="08511E53" w:rsidRPr="003D1E07">
        <w:fldChar w:fldCharType="end"/>
      </w:r>
      <w:r w:rsidR="088D4622" w:rsidRPr="003D1E07">
        <w:rPr>
          <w:rStyle w:val="Zkladntext158dkovn0pt"/>
          <w:color w:val="auto"/>
          <w:spacing w:val="0"/>
          <w:sz w:val="24"/>
          <w:lang w:val="cs-CZ"/>
        </w:rPr>
        <w:t xml:space="preserve">pro </w:t>
      </w:r>
      <w:r w:rsidR="08DE79B7" w:rsidRPr="003D1E07">
        <w:rPr>
          <w:rStyle w:val="Zkladntext158dkovn0pt"/>
          <w:color w:val="auto"/>
          <w:spacing w:val="0"/>
          <w:sz w:val="24"/>
          <w:lang w:val="cs-CZ"/>
        </w:rPr>
        <w:t xml:space="preserve">aristotelskou </w:t>
      </w:r>
      <w:r w:rsidR="088D4622" w:rsidRPr="003D1E07">
        <w:rPr>
          <w:rStyle w:val="Zkladntext158dkovn0pt"/>
          <w:color w:val="auto"/>
          <w:spacing w:val="0"/>
          <w:sz w:val="24"/>
          <w:lang w:val="cs-CZ"/>
        </w:rPr>
        <w:t>adekvaci</w:t>
      </w:r>
      <w:r w:rsidR="08DE79B7" w:rsidRPr="003D1E07">
        <w:rPr>
          <w:rStyle w:val="Zkladntext158dkovn0pt"/>
          <w:color w:val="auto"/>
          <w:spacing w:val="0"/>
          <w:sz w:val="24"/>
          <w:lang w:val="cs-CZ"/>
        </w:rPr>
        <w:t xml:space="preserve"> a </w:t>
      </w:r>
      <w:r w:rsidR="00ED0FBE" w:rsidRPr="003D1E07">
        <w:rPr>
          <w:rStyle w:val="Zkladntext158dkovn0pt"/>
          <w:color w:val="auto"/>
          <w:spacing w:val="0"/>
          <w:sz w:val="24"/>
          <w:lang w:val="cs-CZ"/>
        </w:rPr>
        <w:t>je geniálně vyložená</w:t>
      </w:r>
      <w:r w:rsidR="08DE79B7" w:rsidRPr="003D1E07">
        <w:rPr>
          <w:rStyle w:val="Zkladntext158dkovn0pt"/>
          <w:color w:val="auto"/>
          <w:spacing w:val="0"/>
          <w:sz w:val="24"/>
          <w:lang w:val="cs-CZ"/>
        </w:rPr>
        <w:t xml:space="preserve"> v</w:t>
      </w:r>
      <w:r w:rsidR="00ED0FBE" w:rsidRPr="003D1E07">
        <w:rPr>
          <w:rStyle w:val="Zkladntext158dkovn0pt"/>
          <w:color w:val="auto"/>
          <w:spacing w:val="0"/>
          <w:sz w:val="24"/>
          <w:lang w:val="cs-CZ"/>
        </w:rPr>
        <w:t> </w:t>
      </w:r>
      <w:r w:rsidR="08DE79B7" w:rsidRPr="003D1E07">
        <w:rPr>
          <w:rStyle w:val="Zkladntext158dkovn0pt"/>
          <w:color w:val="auto"/>
          <w:spacing w:val="0"/>
          <w:sz w:val="24"/>
          <w:lang w:val="cs-CZ"/>
        </w:rPr>
        <w:t>CMDA</w:t>
      </w:r>
      <w:r w:rsidR="00ED0FBE" w:rsidRPr="003D1E07">
        <w:rPr>
          <w:rStyle w:val="Zkladntext158dkovn0pt"/>
          <w:color w:val="auto"/>
          <w:spacing w:val="0"/>
          <w:sz w:val="24"/>
          <w:lang w:val="cs-CZ"/>
        </w:rPr>
        <w:t>. J</w:t>
      </w:r>
      <w:r w:rsidR="08DE79B7" w:rsidRPr="003D1E07">
        <w:rPr>
          <w:rStyle w:val="Zkladntext158dkovn0pt"/>
          <w:color w:val="auto"/>
          <w:spacing w:val="0"/>
          <w:sz w:val="24"/>
          <w:lang w:val="cs-CZ"/>
        </w:rPr>
        <w:t xml:space="preserve">edna a tatáž věc </w:t>
      </w:r>
      <w:r w:rsidR="089F2B25" w:rsidRPr="003D1E07">
        <w:rPr>
          <w:rStyle w:val="Zkladntext158dkovn0pt"/>
          <w:color w:val="auto"/>
          <w:spacing w:val="0"/>
          <w:sz w:val="24"/>
          <w:lang w:val="cs-CZ"/>
        </w:rPr>
        <w:t xml:space="preserve">je </w:t>
      </w:r>
      <w:r w:rsidR="08511E53" w:rsidRPr="003D1E07">
        <w:rPr>
          <w:rStyle w:val="Zkladntext158dkovn0pt"/>
          <w:color w:val="auto"/>
          <w:spacing w:val="0"/>
          <w:sz w:val="24"/>
          <w:lang w:val="cs-CZ"/>
        </w:rPr>
        <w:t>nasvícena a tudíž i poznána jak smysly, tak i rozumem.</w:t>
      </w:r>
      <w:r w:rsidR="087639B8" w:rsidRPr="003D1E07">
        <w:rPr>
          <w:rStyle w:val="Zkladntext158dkovn0pt"/>
          <w:color w:val="auto"/>
          <w:spacing w:val="0"/>
          <w:sz w:val="24"/>
          <w:lang w:val="cs-CZ"/>
        </w:rPr>
        <w:t xml:space="preserve"> </w:t>
      </w:r>
      <w:r w:rsidR="082F755B" w:rsidRPr="003D1E07">
        <w:rPr>
          <w:rStyle w:val="Zkladntext158dkovn0pt"/>
          <w:color w:val="auto"/>
          <w:spacing w:val="0"/>
          <w:sz w:val="24"/>
          <w:lang w:val="cs-CZ"/>
        </w:rPr>
        <w:t xml:space="preserve">Hermeneutika </w:t>
      </w:r>
      <w:r w:rsidR="00C57B10" w:rsidRPr="003D1E07">
        <w:rPr>
          <w:rStyle w:val="Zkladntext158dkovn0pt"/>
          <w:color w:val="auto"/>
          <w:spacing w:val="0"/>
          <w:sz w:val="24"/>
          <w:lang w:val="cs-CZ"/>
        </w:rPr>
        <w:t xml:space="preserve">definuje </w:t>
      </w:r>
      <w:r w:rsidR="00C57B10" w:rsidRPr="003D1E07">
        <w:rPr>
          <w:rStyle w:val="Zkladntext158dkovn0pt"/>
          <w:i/>
          <w:color w:val="auto"/>
          <w:spacing w:val="0"/>
          <w:sz w:val="24"/>
          <w:lang w:val="cs-CZ"/>
        </w:rPr>
        <w:t>intellectus in potentia</w:t>
      </w:r>
      <w:r w:rsidR="00C57B10" w:rsidRPr="003D1E07">
        <w:rPr>
          <w:rStyle w:val="Zkladntext158dkovn0pt"/>
          <w:i/>
          <w:color w:val="auto"/>
          <w:spacing w:val="0"/>
          <w:sz w:val="24"/>
          <w:lang w:val="cs-CZ"/>
        </w:rPr>
        <w:fldChar w:fldCharType="begin"/>
      </w:r>
      <w:r w:rsidR="00C57B10" w:rsidRPr="003D1E07">
        <w:instrText xml:space="preserve"> XE "</w:instrText>
      </w:r>
      <w:r w:rsidR="00C57B10" w:rsidRPr="003D1E07">
        <w:rPr>
          <w:rStyle w:val="Zkladntext158dkovn0pt"/>
          <w:i/>
          <w:color w:val="auto"/>
          <w:spacing w:val="0"/>
          <w:sz w:val="24"/>
          <w:lang w:val="cs-CZ"/>
        </w:rPr>
        <w:instrText>intellectus in potentia</w:instrText>
      </w:r>
      <w:r w:rsidR="00C57B10" w:rsidRPr="003D1E07">
        <w:rPr>
          <w:rStyle w:val="Zkladntext158dkovn0pt"/>
          <w:i/>
          <w:sz w:val="24"/>
          <w:lang w:val="cs-CZ"/>
        </w:rPr>
        <w:instrText>:</w:instrText>
      </w:r>
      <w:r w:rsidR="00C57B10" w:rsidRPr="003D1E07">
        <w:instrText>Al-</w:instrText>
      </w:r>
      <w:r w:rsidR="008E02F5" w:rsidRPr="003D1E07">
        <w:instrText>Fárábí</w:instrText>
      </w:r>
      <w:r w:rsidR="00C57B10" w:rsidRPr="003D1E07">
        <w:instrText xml:space="preserve">" </w:instrText>
      </w:r>
      <w:r w:rsidR="00C57B10" w:rsidRPr="003D1E07">
        <w:rPr>
          <w:rStyle w:val="Zkladntext158dkovn0pt"/>
          <w:i/>
          <w:color w:val="auto"/>
          <w:spacing w:val="0"/>
          <w:sz w:val="24"/>
          <w:lang w:val="cs-CZ"/>
        </w:rPr>
        <w:fldChar w:fldCharType="end"/>
      </w:r>
      <w:r w:rsidR="00C57B10" w:rsidRPr="003D1E07">
        <w:rPr>
          <w:rStyle w:val="Zkladntext158dkovn0pt"/>
          <w:color w:val="auto"/>
          <w:spacing w:val="0"/>
          <w:sz w:val="24"/>
          <w:lang w:val="cs-CZ"/>
        </w:rPr>
        <w:t xml:space="preserve"> objevený oběma geniálními mysliteli falsafy </w:t>
      </w:r>
      <w:r w:rsidR="08CE03A9" w:rsidRPr="003D1E07">
        <w:rPr>
          <w:rStyle w:val="Zkladntext158dkovn0pt"/>
          <w:color w:val="auto"/>
          <w:spacing w:val="0"/>
          <w:sz w:val="24"/>
          <w:lang w:val="cs-CZ"/>
        </w:rPr>
        <w:t xml:space="preserve">(Al-Farábí, Averroes) </w:t>
      </w:r>
      <w:r w:rsidR="00C57B10" w:rsidRPr="003D1E07">
        <w:rPr>
          <w:rStyle w:val="Zkladntext158dkovn0pt"/>
          <w:color w:val="auto"/>
          <w:spacing w:val="0"/>
          <w:sz w:val="24"/>
          <w:lang w:val="cs-CZ"/>
        </w:rPr>
        <w:t xml:space="preserve">jako původní </w:t>
      </w:r>
      <w:r w:rsidR="00C57B10" w:rsidRPr="003D1E07">
        <w:rPr>
          <w:rStyle w:val="Zkladntext158dkovn0pt"/>
          <w:i/>
          <w:color w:val="auto"/>
          <w:spacing w:val="0"/>
          <w:sz w:val="24"/>
          <w:lang w:val="cs-CZ"/>
        </w:rPr>
        <w:t>Lichtung</w:t>
      </w:r>
      <w:r w:rsidR="0864222E" w:rsidRPr="003D1E07">
        <w:rPr>
          <w:rStyle w:val="Zkladntext158dkovn0pt"/>
          <w:color w:val="auto"/>
          <w:spacing w:val="0"/>
          <w:sz w:val="24"/>
          <w:lang w:val="cs-CZ"/>
        </w:rPr>
        <w:t xml:space="preserve">, kde se potkávají </w:t>
      </w:r>
      <w:r w:rsidR="00C57B10" w:rsidRPr="003D1E07">
        <w:rPr>
          <w:rStyle w:val="Zkladntext158dkovn0pt"/>
          <w:color w:val="auto"/>
          <w:spacing w:val="0"/>
          <w:sz w:val="24"/>
          <w:lang w:val="cs-CZ"/>
        </w:rPr>
        <w:t>smyslové a inteligibilní formy</w:t>
      </w:r>
      <w:r w:rsidR="00C57B10" w:rsidRPr="003D1E07">
        <w:rPr>
          <w:rStyle w:val="TextpoznpodarouChar"/>
        </w:rPr>
        <w:t>.</w:t>
      </w:r>
      <w:r w:rsidR="007E0D84">
        <w:rPr>
          <w:rStyle w:val="TextpoznpodarouChar"/>
        </w:rPr>
        <w:t xml:space="preserve"> </w:t>
      </w:r>
      <w:r w:rsidR="007E0D84">
        <w:rPr>
          <w:rStyle w:val="Zkladntext158dkovn0pt"/>
          <w:color w:val="auto"/>
          <w:spacing w:val="0"/>
          <w:sz w:val="24"/>
          <w:lang w:val="cs-CZ"/>
        </w:rPr>
        <w:t>Tato d</w:t>
      </w:r>
      <w:r w:rsidR="08C12CFF" w:rsidRPr="003D1E07">
        <w:rPr>
          <w:rStyle w:val="Zkladntext158dkovn0pt"/>
          <w:color w:val="auto"/>
          <w:spacing w:val="0"/>
          <w:sz w:val="24"/>
          <w:lang w:val="cs-CZ"/>
        </w:rPr>
        <w:t>ějinnost objektivity v mod</w:t>
      </w:r>
      <w:r w:rsidR="08A20F66" w:rsidRPr="003D1E07">
        <w:rPr>
          <w:rStyle w:val="Zkladntext158dkovn0pt"/>
          <w:color w:val="auto"/>
          <w:spacing w:val="0"/>
          <w:sz w:val="24"/>
          <w:lang w:val="cs-CZ"/>
        </w:rPr>
        <w:t xml:space="preserve">u </w:t>
      </w:r>
      <w:r w:rsidR="08E2293D" w:rsidRPr="003D1E07">
        <w:rPr>
          <w:rStyle w:val="Zkladntext158dkovn0pt"/>
          <w:color w:val="auto"/>
          <w:spacing w:val="0"/>
          <w:sz w:val="24"/>
          <w:lang w:val="cs-CZ"/>
        </w:rPr>
        <w:t xml:space="preserve">metafyzické </w:t>
      </w:r>
      <w:r w:rsidR="08A20F66" w:rsidRPr="003D1E07">
        <w:rPr>
          <w:rStyle w:val="Zkladntext158dkovn0pt"/>
          <w:i/>
          <w:color w:val="auto"/>
          <w:spacing w:val="0"/>
          <w:sz w:val="24"/>
          <w:lang w:val="cs-CZ"/>
        </w:rPr>
        <w:t>a/léth</w:t>
      </w:r>
      <w:r w:rsidR="08157795" w:rsidRPr="003D1E07">
        <w:rPr>
          <w:rStyle w:val="Zkladntext158dkovn0pt"/>
          <w:i/>
          <w:color w:val="auto"/>
          <w:spacing w:val="0"/>
          <w:sz w:val="24"/>
          <w:lang w:val="cs-CZ"/>
        </w:rPr>
        <w:t>e</w:t>
      </w:r>
      <w:r w:rsidR="08A20F66" w:rsidRPr="003D1E07">
        <w:rPr>
          <w:rStyle w:val="Zkladntext158dkovn0pt"/>
          <w:i/>
          <w:color w:val="auto"/>
          <w:spacing w:val="0"/>
          <w:sz w:val="24"/>
          <w:lang w:val="cs-CZ"/>
        </w:rPr>
        <w:t>ia</w:t>
      </w:r>
      <w:r w:rsidR="08A20F66" w:rsidRPr="003D1E07">
        <w:rPr>
          <w:rStyle w:val="Zkladntext158dkovn0pt"/>
          <w:color w:val="auto"/>
          <w:spacing w:val="0"/>
          <w:sz w:val="24"/>
          <w:lang w:val="cs-CZ"/>
        </w:rPr>
        <w:t xml:space="preserve"> je vázána na dvojí formu </w:t>
      </w:r>
      <w:r w:rsidR="08E22F7A" w:rsidRPr="003D1E07">
        <w:t xml:space="preserve">metafyzického </w:t>
      </w:r>
      <w:r w:rsidR="08A20F66" w:rsidRPr="003D1E07">
        <w:rPr>
          <w:rStyle w:val="Zkladntext158dkovn0pt"/>
          <w:color w:val="auto"/>
          <w:spacing w:val="0"/>
          <w:sz w:val="24"/>
          <w:lang w:val="cs-CZ"/>
        </w:rPr>
        <w:t>dativu. Buď zachraňujeme fenomény tím, že p</w:t>
      </w:r>
      <w:r w:rsidR="087467F3" w:rsidRPr="003D1E07">
        <w:rPr>
          <w:rStyle w:val="Zkladntext158dkovn0pt"/>
          <w:color w:val="auto"/>
          <w:spacing w:val="0"/>
          <w:sz w:val="24"/>
          <w:lang w:val="cs-CZ"/>
        </w:rPr>
        <w:t>rovádíme mediaci</w:t>
      </w:r>
      <w:r w:rsidR="08A20F66" w:rsidRPr="003D1E07">
        <w:rPr>
          <w:rStyle w:val="Zkladntext158dkovn0pt"/>
          <w:color w:val="auto"/>
          <w:spacing w:val="0"/>
          <w:sz w:val="24"/>
          <w:lang w:val="cs-CZ"/>
        </w:rPr>
        <w:t xml:space="preserve"> skrze diafanum, které nás spojuje s aktuálně da</w:t>
      </w:r>
      <w:r w:rsidR="087467F3" w:rsidRPr="003D1E07">
        <w:rPr>
          <w:rStyle w:val="Zkladntext158dkovn0pt"/>
          <w:color w:val="auto"/>
          <w:spacing w:val="0"/>
          <w:sz w:val="24"/>
          <w:lang w:val="cs-CZ"/>
        </w:rPr>
        <w:t>nou věcí. Intencionalita zajistí adekvátní</w:t>
      </w:r>
      <w:r w:rsidR="08A20F66" w:rsidRPr="003D1E07">
        <w:rPr>
          <w:rStyle w:val="Zkladntext158dkovn0pt"/>
          <w:color w:val="auto"/>
          <w:spacing w:val="0"/>
          <w:sz w:val="24"/>
          <w:lang w:val="cs-CZ"/>
        </w:rPr>
        <w:t xml:space="preserve"> poznání </w:t>
      </w:r>
      <w:r w:rsidR="087467F3" w:rsidRPr="003D1E07">
        <w:rPr>
          <w:rStyle w:val="Zkladntext158dkovn0pt"/>
          <w:color w:val="auto"/>
          <w:spacing w:val="0"/>
          <w:sz w:val="24"/>
          <w:lang w:val="cs-CZ"/>
        </w:rPr>
        <w:t xml:space="preserve">aktuální </w:t>
      </w:r>
      <w:r w:rsidR="08A20F66" w:rsidRPr="003D1E07">
        <w:rPr>
          <w:rStyle w:val="Zkladntext158dkovn0pt"/>
          <w:color w:val="auto"/>
          <w:spacing w:val="0"/>
          <w:sz w:val="24"/>
          <w:lang w:val="cs-CZ"/>
        </w:rPr>
        <w:t xml:space="preserve">věci </w:t>
      </w:r>
      <w:r w:rsidR="087467F3" w:rsidRPr="003D1E07">
        <w:rPr>
          <w:rStyle w:val="Zkladntext158dkovn0pt"/>
          <w:color w:val="auto"/>
          <w:spacing w:val="0"/>
          <w:sz w:val="24"/>
          <w:lang w:val="cs-CZ"/>
        </w:rPr>
        <w:t xml:space="preserve">dané mimo nás </w:t>
      </w:r>
      <w:r w:rsidR="08A20F66" w:rsidRPr="003D1E07">
        <w:rPr>
          <w:rStyle w:val="Zkladntext158dkovn0pt"/>
          <w:color w:val="auto"/>
          <w:spacing w:val="0"/>
          <w:sz w:val="24"/>
          <w:lang w:val="cs-CZ"/>
        </w:rPr>
        <w:t>za cenu její nepřítomnost</w:t>
      </w:r>
      <w:r w:rsidR="087467F3" w:rsidRPr="003D1E07">
        <w:rPr>
          <w:rStyle w:val="Zkladntext158dkovn0pt"/>
          <w:color w:val="auto"/>
          <w:spacing w:val="0"/>
          <w:sz w:val="24"/>
          <w:lang w:val="cs-CZ"/>
        </w:rPr>
        <w:t>i</w:t>
      </w:r>
      <w:r w:rsidR="005E15F3">
        <w:rPr>
          <w:rStyle w:val="Zkladntext158dkovn0pt"/>
          <w:color w:val="auto"/>
          <w:spacing w:val="0"/>
          <w:sz w:val="24"/>
          <w:lang w:val="cs-CZ"/>
        </w:rPr>
        <w:t xml:space="preserve"> v mysli</w:t>
      </w:r>
      <w:r w:rsidR="08A20F66" w:rsidRPr="003D1E07">
        <w:rPr>
          <w:rStyle w:val="Zkladntext158dkovn0pt"/>
          <w:color w:val="auto"/>
          <w:spacing w:val="0"/>
          <w:sz w:val="24"/>
          <w:lang w:val="cs-CZ"/>
        </w:rPr>
        <w:t xml:space="preserve">. </w:t>
      </w:r>
      <w:r w:rsidR="08C12CFF" w:rsidRPr="003D1E07">
        <w:rPr>
          <w:rStyle w:val="Zkladntext158dkovn0pt"/>
          <w:color w:val="auto"/>
          <w:spacing w:val="0"/>
          <w:sz w:val="24"/>
          <w:lang w:val="cs-CZ"/>
        </w:rPr>
        <w:t xml:space="preserve">Proto musíme fenomény </w:t>
      </w:r>
      <w:r w:rsidR="086F0CDB" w:rsidRPr="003D1E07">
        <w:rPr>
          <w:rStyle w:val="Zkladntext158dkovn0pt"/>
          <w:color w:val="auto"/>
          <w:spacing w:val="0"/>
          <w:sz w:val="24"/>
          <w:lang w:val="cs-CZ"/>
        </w:rPr>
        <w:t xml:space="preserve">nejprve </w:t>
      </w:r>
      <w:r w:rsidR="08C12CFF" w:rsidRPr="003D1E07">
        <w:rPr>
          <w:rStyle w:val="Zkladntext158dkovn0pt"/>
          <w:color w:val="auto"/>
          <w:spacing w:val="0"/>
          <w:sz w:val="24"/>
          <w:lang w:val="cs-CZ"/>
        </w:rPr>
        <w:t>zachraňovat</w:t>
      </w:r>
      <w:r w:rsidR="0827394E" w:rsidRPr="003D1E07">
        <w:rPr>
          <w:rStyle w:val="Zkladntext158dkovn0pt"/>
          <w:color w:val="auto"/>
          <w:spacing w:val="0"/>
          <w:sz w:val="24"/>
          <w:lang w:val="cs-CZ"/>
        </w:rPr>
        <w:t xml:space="preserve"> v jejich vlastním bytí</w:t>
      </w:r>
      <w:r w:rsidR="08C12CFF" w:rsidRPr="003D1E07">
        <w:rPr>
          <w:rStyle w:val="Zkladntext158dkovn0pt"/>
          <w:color w:val="auto"/>
          <w:spacing w:val="0"/>
          <w:sz w:val="24"/>
          <w:lang w:val="cs-CZ"/>
        </w:rPr>
        <w:t xml:space="preserve">, abychom </w:t>
      </w:r>
      <w:r w:rsidR="0827394E" w:rsidRPr="003D1E07">
        <w:rPr>
          <w:rStyle w:val="Zkladntext158dkovn0pt"/>
          <w:color w:val="auto"/>
          <w:spacing w:val="0"/>
          <w:sz w:val="24"/>
          <w:lang w:val="cs-CZ"/>
        </w:rPr>
        <w:t xml:space="preserve">je </w:t>
      </w:r>
      <w:r w:rsidR="08C12CFF" w:rsidRPr="003D1E07">
        <w:rPr>
          <w:rStyle w:val="Zkladntext158dkovn0pt"/>
          <w:color w:val="auto"/>
          <w:spacing w:val="0"/>
          <w:sz w:val="24"/>
          <w:lang w:val="cs-CZ"/>
        </w:rPr>
        <w:t xml:space="preserve">mohli pravdivě poznávat. </w:t>
      </w:r>
      <w:r w:rsidR="08A20F66" w:rsidRPr="003D1E07">
        <w:rPr>
          <w:rStyle w:val="Zkladntext158dkovn0pt"/>
          <w:color w:val="auto"/>
          <w:spacing w:val="0"/>
          <w:sz w:val="24"/>
          <w:lang w:val="cs-CZ"/>
        </w:rPr>
        <w:t>Nebo</w:t>
      </w:r>
      <w:r w:rsidR="08F605CA" w:rsidRPr="003D1E07">
        <w:rPr>
          <w:rStyle w:val="Zkladntext158dkovn0pt"/>
          <w:color w:val="auto"/>
          <w:spacing w:val="0"/>
          <w:sz w:val="24"/>
          <w:lang w:val="cs-CZ"/>
        </w:rPr>
        <w:t xml:space="preserve"> moderně nezachraňujeme fenomény</w:t>
      </w:r>
      <w:r w:rsidR="08A20F66" w:rsidRPr="003D1E07">
        <w:rPr>
          <w:rStyle w:val="Zkladntext158dkovn0pt"/>
          <w:color w:val="auto"/>
          <w:spacing w:val="0"/>
          <w:sz w:val="24"/>
          <w:lang w:val="cs-CZ"/>
        </w:rPr>
        <w:t>, proto</w:t>
      </w:r>
      <w:r w:rsidR="08F605CA" w:rsidRPr="003D1E07">
        <w:rPr>
          <w:rStyle w:val="Zkladntext158dkovn0pt"/>
          <w:color w:val="auto"/>
          <w:spacing w:val="0"/>
          <w:sz w:val="24"/>
          <w:lang w:val="cs-CZ"/>
        </w:rPr>
        <w:t>že</w:t>
      </w:r>
      <w:r w:rsidR="08A20F66" w:rsidRPr="003D1E07">
        <w:rPr>
          <w:rStyle w:val="Zkladntext158dkovn0pt"/>
          <w:color w:val="auto"/>
          <w:spacing w:val="0"/>
          <w:sz w:val="24"/>
          <w:lang w:val="cs-CZ"/>
        </w:rPr>
        <w:t xml:space="preserve"> si mytopoeticky vytváříme vlast</w:t>
      </w:r>
      <w:r w:rsidR="08F605CA" w:rsidRPr="003D1E07">
        <w:rPr>
          <w:rStyle w:val="Zkladntext158dkovn0pt"/>
          <w:color w:val="auto"/>
          <w:spacing w:val="0"/>
          <w:sz w:val="24"/>
          <w:lang w:val="cs-CZ"/>
        </w:rPr>
        <w:t>n</w:t>
      </w:r>
      <w:r w:rsidR="08A20F66" w:rsidRPr="003D1E07">
        <w:rPr>
          <w:rStyle w:val="Zkladntext158dkovn0pt"/>
          <w:color w:val="auto"/>
          <w:spacing w:val="0"/>
          <w:sz w:val="24"/>
          <w:lang w:val="cs-CZ"/>
        </w:rPr>
        <w:t>í svě</w:t>
      </w:r>
      <w:r w:rsidR="08F605CA" w:rsidRPr="003D1E07">
        <w:rPr>
          <w:rStyle w:val="Zkladntext158dkovn0pt"/>
          <w:color w:val="auto"/>
          <w:spacing w:val="0"/>
          <w:sz w:val="24"/>
          <w:lang w:val="cs-CZ"/>
        </w:rPr>
        <w:t>t v p</w:t>
      </w:r>
      <w:r w:rsidR="08A20F66" w:rsidRPr="003D1E07">
        <w:rPr>
          <w:rStyle w:val="Zkladntext158dkovn0pt"/>
          <w:color w:val="auto"/>
          <w:spacing w:val="0"/>
          <w:sz w:val="24"/>
          <w:lang w:val="cs-CZ"/>
        </w:rPr>
        <w:t>l</w:t>
      </w:r>
      <w:r w:rsidR="08F605CA" w:rsidRPr="003D1E07">
        <w:rPr>
          <w:rStyle w:val="Zkladntext158dkovn0pt"/>
          <w:color w:val="auto"/>
          <w:spacing w:val="0"/>
          <w:sz w:val="24"/>
          <w:lang w:val="cs-CZ"/>
        </w:rPr>
        <w:t>a</w:t>
      </w:r>
      <w:r w:rsidR="08A20F66" w:rsidRPr="003D1E07">
        <w:rPr>
          <w:rStyle w:val="Zkladntext158dkovn0pt"/>
          <w:color w:val="auto"/>
          <w:spacing w:val="0"/>
          <w:sz w:val="24"/>
          <w:lang w:val="cs-CZ"/>
        </w:rPr>
        <w:t xml:space="preserve">tonské </w:t>
      </w:r>
      <w:r w:rsidR="08F605CA" w:rsidRPr="003D1E07">
        <w:rPr>
          <w:rStyle w:val="Zkladntext158dkovn0pt"/>
          <w:color w:val="auto"/>
          <w:spacing w:val="0"/>
          <w:sz w:val="24"/>
          <w:lang w:val="cs-CZ"/>
        </w:rPr>
        <w:t>jesky</w:t>
      </w:r>
      <w:r w:rsidR="08A20F66" w:rsidRPr="003D1E07">
        <w:rPr>
          <w:rStyle w:val="Zkladntext158dkovn0pt"/>
          <w:color w:val="auto"/>
          <w:spacing w:val="0"/>
          <w:sz w:val="24"/>
          <w:lang w:val="cs-CZ"/>
        </w:rPr>
        <w:t xml:space="preserve">ni osvícené intelektem-sluncem. </w:t>
      </w:r>
      <w:r w:rsidR="00BB6219" w:rsidRPr="003D1E07">
        <w:rPr>
          <w:rStyle w:val="Zkladntext158dkovn0pt"/>
          <w:color w:val="auto"/>
          <w:spacing w:val="0"/>
          <w:sz w:val="24"/>
          <w:lang w:val="cs-CZ"/>
        </w:rPr>
        <w:t>I</w:t>
      </w:r>
      <w:r w:rsidR="087467F3" w:rsidRPr="003D1E07">
        <w:rPr>
          <w:rStyle w:val="Zkladntext158dkovn0pt"/>
          <w:color w:val="auto"/>
          <w:spacing w:val="0"/>
          <w:sz w:val="24"/>
          <w:lang w:val="cs-CZ"/>
        </w:rPr>
        <w:t xml:space="preserve">lumináti provádějí novou formu </w:t>
      </w:r>
      <w:r w:rsidR="0844188F" w:rsidRPr="003D1E07">
        <w:rPr>
          <w:rStyle w:val="Zkladntext158dkovn0pt"/>
          <w:color w:val="auto"/>
          <w:spacing w:val="0"/>
          <w:sz w:val="24"/>
          <w:lang w:val="cs-CZ"/>
        </w:rPr>
        <w:t>pseudo-</w:t>
      </w:r>
      <w:r w:rsidR="087467F3" w:rsidRPr="003D1E07">
        <w:rPr>
          <w:rStyle w:val="Zkladntext158dkovn0pt"/>
          <w:color w:val="auto"/>
          <w:spacing w:val="0"/>
          <w:sz w:val="24"/>
          <w:lang w:val="cs-CZ"/>
        </w:rPr>
        <w:t xml:space="preserve">mystéria tím, že </w:t>
      </w:r>
      <w:r w:rsidR="08C359DF" w:rsidRPr="003D1E07">
        <w:rPr>
          <w:rStyle w:val="Zkladntext158dkovn0pt"/>
          <w:color w:val="auto"/>
          <w:spacing w:val="0"/>
          <w:sz w:val="24"/>
          <w:lang w:val="cs-CZ"/>
        </w:rPr>
        <w:t>opakují epoptic</w:t>
      </w:r>
      <w:r w:rsidR="087467F3" w:rsidRPr="003D1E07">
        <w:rPr>
          <w:rStyle w:val="Zkladntext158dkovn0pt"/>
          <w:color w:val="auto"/>
          <w:spacing w:val="0"/>
          <w:sz w:val="24"/>
          <w:lang w:val="cs-CZ"/>
        </w:rPr>
        <w:t xml:space="preserve">ké vidění Eleusinských </w:t>
      </w:r>
      <w:r w:rsidR="08C359DF" w:rsidRPr="003D1E07">
        <w:rPr>
          <w:rStyle w:val="Zkladntext158dkovn0pt"/>
          <w:color w:val="auto"/>
          <w:spacing w:val="0"/>
          <w:sz w:val="24"/>
          <w:lang w:val="cs-CZ"/>
        </w:rPr>
        <w:t>mystéri</w:t>
      </w:r>
      <w:r w:rsidR="087467F3" w:rsidRPr="003D1E07">
        <w:rPr>
          <w:rStyle w:val="Zkladntext158dkovn0pt"/>
          <w:color w:val="auto"/>
          <w:spacing w:val="0"/>
          <w:sz w:val="24"/>
          <w:lang w:val="cs-CZ"/>
        </w:rPr>
        <w:t>í (</w:t>
      </w:r>
      <w:r w:rsidR="087467F3" w:rsidRPr="003D1E07">
        <w:t xml:space="preserve">ἐποπτεία), které jim </w:t>
      </w:r>
      <w:r w:rsidR="08C359DF" w:rsidRPr="003D1E07">
        <w:t xml:space="preserve">v modu simulákra </w:t>
      </w:r>
      <w:r w:rsidR="087467F3" w:rsidRPr="003D1E07">
        <w:t>podstrčily pomstychtivé Fúrie</w:t>
      </w:r>
      <w:r w:rsidR="0074785D" w:rsidRPr="003D1E07">
        <w:t xml:space="preserve"> </w:t>
      </w:r>
      <w:r w:rsidR="0074785D" w:rsidRPr="003D1E07">
        <w:rPr>
          <w:rStyle w:val="Zkladntext158dkovn0pt"/>
          <w:color w:val="auto"/>
          <w:spacing w:val="0"/>
          <w:sz w:val="24"/>
          <w:lang w:val="cs-CZ"/>
        </w:rPr>
        <w:t>(</w:t>
      </w:r>
      <w:r w:rsidR="0074785D" w:rsidRPr="003D1E07">
        <w:rPr>
          <w:rStyle w:val="Zkladntext158dkovn0pt"/>
          <w:i/>
          <w:color w:val="auto"/>
          <w:spacing w:val="0"/>
          <w:sz w:val="24"/>
          <w:lang w:val="cs-CZ"/>
        </w:rPr>
        <w:t>Ge-Stell</w:t>
      </w:r>
      <w:r w:rsidR="0074785D" w:rsidRPr="003D1E07">
        <w:rPr>
          <w:rStyle w:val="Zkladntext158dkovn0pt"/>
          <w:i/>
          <w:color w:val="auto"/>
          <w:spacing w:val="0"/>
          <w:sz w:val="24"/>
          <w:lang w:val="cs-CZ"/>
        </w:rPr>
        <w:fldChar w:fldCharType="begin"/>
      </w:r>
      <w:r w:rsidR="0074785D" w:rsidRPr="003D1E07">
        <w:instrText xml:space="preserve"> XE "</w:instrText>
      </w:r>
      <w:r w:rsidR="0074785D" w:rsidRPr="003D1E07">
        <w:rPr>
          <w:rStyle w:val="Zkladntext158dkovn0pt"/>
          <w:i/>
          <w:color w:val="auto"/>
          <w:spacing w:val="0"/>
          <w:sz w:val="24"/>
          <w:lang w:val="cs-CZ"/>
        </w:rPr>
        <w:instrText>Ge-Stell</w:instrText>
      </w:r>
      <w:r w:rsidR="0074785D" w:rsidRPr="003D1E07">
        <w:instrText xml:space="preserve">" </w:instrText>
      </w:r>
      <w:r w:rsidR="0074785D" w:rsidRPr="003D1E07">
        <w:rPr>
          <w:rStyle w:val="Zkladntext158dkovn0pt"/>
          <w:i/>
          <w:color w:val="auto"/>
          <w:spacing w:val="0"/>
          <w:sz w:val="24"/>
          <w:lang w:val="cs-CZ"/>
        </w:rPr>
        <w:fldChar w:fldCharType="end"/>
      </w:r>
      <w:r w:rsidR="0074785D" w:rsidRPr="003D1E07">
        <w:rPr>
          <w:rStyle w:val="Zkladntext158dkovn0pt"/>
          <w:color w:val="auto"/>
          <w:spacing w:val="0"/>
          <w:sz w:val="24"/>
          <w:lang w:val="cs-CZ"/>
        </w:rPr>
        <w:t>)</w:t>
      </w:r>
      <w:r w:rsidR="087467F3" w:rsidRPr="003D1E07">
        <w:t xml:space="preserve">. </w:t>
      </w:r>
      <w:r w:rsidR="00A57107">
        <w:t xml:space="preserve">Vědci </w:t>
      </w:r>
      <w:r w:rsidR="087467F3" w:rsidRPr="003D1E07">
        <w:t xml:space="preserve">shromáždění v </w:t>
      </w:r>
      <w:r w:rsidR="087467F3" w:rsidRPr="003D1E07">
        <w:rPr>
          <w:rStyle w:val="Zkladntext158dkovn0pt"/>
          <w:color w:val="auto"/>
          <w:spacing w:val="0"/>
          <w:sz w:val="24"/>
          <w:lang w:val="cs-CZ"/>
        </w:rPr>
        <w:t>akademické jeskyni provádějí moderní parousii jsoucen třetího druhu</w:t>
      </w:r>
      <w:r w:rsidR="00004FFF" w:rsidRPr="003D1E07">
        <w:rPr>
          <w:rStyle w:val="Zkladntext158dkovn0pt"/>
          <w:color w:val="auto"/>
          <w:spacing w:val="0"/>
          <w:sz w:val="24"/>
          <w:lang w:val="cs-CZ"/>
        </w:rPr>
        <w:t xml:space="preserve">. </w:t>
      </w:r>
      <w:r w:rsidR="00E44164">
        <w:rPr>
          <w:rStyle w:val="Zkladntext158dkovn0pt"/>
          <w:color w:val="auto"/>
          <w:spacing w:val="0"/>
          <w:sz w:val="24"/>
          <w:lang w:val="cs-CZ"/>
        </w:rPr>
        <w:t xml:space="preserve">V dnešním nihilismu tyto ilumináty navíc manipulují globální korporace, což je úplná tragikomedie. </w:t>
      </w:r>
      <w:r w:rsidR="00DC4263">
        <w:rPr>
          <w:rStyle w:val="Zkladntext158dkovn0pt"/>
          <w:color w:val="auto"/>
          <w:spacing w:val="0"/>
          <w:sz w:val="24"/>
          <w:lang w:val="cs-CZ"/>
        </w:rPr>
        <w:t xml:space="preserve">Objektivisté </w:t>
      </w:r>
      <w:r w:rsidR="00A232C5">
        <w:rPr>
          <w:rStyle w:val="Zkladntext158dkovn0pt"/>
          <w:color w:val="auto"/>
          <w:spacing w:val="0"/>
          <w:sz w:val="24"/>
          <w:lang w:val="cs-CZ"/>
        </w:rPr>
        <w:t>z</w:t>
      </w:r>
      <w:r w:rsidR="00004FFF" w:rsidRPr="003D1E07">
        <w:rPr>
          <w:rStyle w:val="Zkladntext158dkovn0pt"/>
          <w:color w:val="auto"/>
          <w:spacing w:val="0"/>
          <w:sz w:val="24"/>
          <w:lang w:val="cs-CZ"/>
        </w:rPr>
        <w:t xml:space="preserve">ajati v </w:t>
      </w:r>
      <w:r w:rsidR="087467F3" w:rsidRPr="003D1E07">
        <w:rPr>
          <w:rStyle w:val="Zkladntext158dkovn0pt"/>
          <w:color w:val="auto"/>
          <w:spacing w:val="0"/>
          <w:sz w:val="24"/>
          <w:lang w:val="cs-CZ"/>
        </w:rPr>
        <w:t>objektivním epoptickém vidění</w:t>
      </w:r>
      <w:r w:rsidR="00004FFF" w:rsidRPr="003D1E07">
        <w:rPr>
          <w:rStyle w:val="Zkladntext158dkovn0pt"/>
          <w:color w:val="auto"/>
          <w:spacing w:val="0"/>
          <w:sz w:val="24"/>
          <w:lang w:val="cs-CZ"/>
        </w:rPr>
        <w:t xml:space="preserve">, pak </w:t>
      </w:r>
      <w:r w:rsidR="087467F3" w:rsidRPr="003D1E07">
        <w:rPr>
          <w:rStyle w:val="Zkladntext158dkovn0pt"/>
          <w:color w:val="auto"/>
          <w:spacing w:val="0"/>
          <w:sz w:val="24"/>
          <w:lang w:val="cs-CZ"/>
        </w:rPr>
        <w:t>poznávají přímo a evidentně své vlastní výtvory</w:t>
      </w:r>
      <w:r w:rsidR="00004FFF" w:rsidRPr="003D1E07">
        <w:rPr>
          <w:rStyle w:val="Zkladntext158dkovn0pt"/>
          <w:color w:val="auto"/>
          <w:spacing w:val="0"/>
          <w:sz w:val="24"/>
          <w:lang w:val="cs-CZ"/>
        </w:rPr>
        <w:t xml:space="preserve"> mysli</w:t>
      </w:r>
      <w:r w:rsidR="087467F3" w:rsidRPr="003D1E07">
        <w:rPr>
          <w:rStyle w:val="Zkladntext158dkovn0pt"/>
          <w:color w:val="auto"/>
          <w:spacing w:val="0"/>
          <w:sz w:val="24"/>
          <w:lang w:val="cs-CZ"/>
        </w:rPr>
        <w:t xml:space="preserve">. </w:t>
      </w:r>
      <w:r w:rsidR="08C359DF" w:rsidRPr="003D1E07">
        <w:rPr>
          <w:rStyle w:val="Zkladntext158dkovn0pt"/>
          <w:color w:val="auto"/>
          <w:spacing w:val="0"/>
          <w:sz w:val="24"/>
          <w:lang w:val="cs-CZ"/>
        </w:rPr>
        <w:t>A pak v cloudových databázích zachraňují a skladují svá digitá</w:t>
      </w:r>
      <w:r w:rsidR="007B7BDC" w:rsidRPr="003D1E07">
        <w:rPr>
          <w:rStyle w:val="Zkladntext158dkovn0pt"/>
          <w:color w:val="auto"/>
          <w:spacing w:val="0"/>
          <w:sz w:val="24"/>
          <w:lang w:val="cs-CZ"/>
        </w:rPr>
        <w:t xml:space="preserve">lně </w:t>
      </w:r>
      <w:r w:rsidR="001B6749" w:rsidRPr="003D1E07">
        <w:rPr>
          <w:rStyle w:val="Zkladntext158dkovn0pt"/>
          <w:color w:val="auto"/>
          <w:spacing w:val="0"/>
          <w:sz w:val="24"/>
          <w:lang w:val="cs-CZ"/>
        </w:rPr>
        <w:t xml:space="preserve">zpracovaná </w:t>
      </w:r>
      <w:r w:rsidR="007B7BDC" w:rsidRPr="003D1E07">
        <w:rPr>
          <w:rStyle w:val="Zkladntext158dkovn0pt"/>
          <w:color w:val="auto"/>
          <w:spacing w:val="0"/>
          <w:sz w:val="24"/>
          <w:lang w:val="cs-CZ"/>
        </w:rPr>
        <w:t>simulákra</w:t>
      </w:r>
      <w:r w:rsidR="08C359DF" w:rsidRPr="003D1E07">
        <w:rPr>
          <w:rStyle w:val="Zkladntext158dkovn0pt"/>
          <w:color w:val="auto"/>
          <w:spacing w:val="0"/>
          <w:sz w:val="24"/>
          <w:lang w:val="cs-CZ"/>
        </w:rPr>
        <w:t xml:space="preserve">. </w:t>
      </w:r>
      <w:r w:rsidR="08CA6E02" w:rsidRPr="003D1E07">
        <w:rPr>
          <w:rStyle w:val="Zkladntext158dkovn0pt"/>
          <w:color w:val="auto"/>
          <w:spacing w:val="0"/>
          <w:sz w:val="24"/>
          <w:lang w:val="cs-CZ"/>
        </w:rPr>
        <w:t xml:space="preserve">Tato forma božské </w:t>
      </w:r>
      <w:r w:rsidR="00887FBE" w:rsidRPr="003D1E07">
        <w:rPr>
          <w:rStyle w:val="Zkladntext158dkovn0pt"/>
          <w:color w:val="auto"/>
          <w:spacing w:val="0"/>
          <w:sz w:val="24"/>
          <w:lang w:val="cs-CZ"/>
        </w:rPr>
        <w:t>tragi</w:t>
      </w:r>
      <w:r w:rsidR="08CA6E02" w:rsidRPr="003D1E07">
        <w:rPr>
          <w:rStyle w:val="Zkladntext158dkovn0pt"/>
          <w:color w:val="auto"/>
          <w:spacing w:val="0"/>
          <w:sz w:val="24"/>
          <w:lang w:val="cs-CZ"/>
        </w:rPr>
        <w:t>komedie fenomény za</w:t>
      </w:r>
      <w:r w:rsidR="00887FBE" w:rsidRPr="003D1E07">
        <w:rPr>
          <w:rStyle w:val="Zkladntext158dkovn0pt"/>
          <w:color w:val="auto"/>
          <w:spacing w:val="0"/>
          <w:sz w:val="24"/>
          <w:lang w:val="cs-CZ"/>
        </w:rPr>
        <w:t>chraňovat nemusí. P</w:t>
      </w:r>
      <w:r w:rsidR="08CA6E02" w:rsidRPr="003D1E07">
        <w:rPr>
          <w:rStyle w:val="Zkladntext158dkovn0pt"/>
          <w:color w:val="auto"/>
          <w:spacing w:val="0"/>
          <w:sz w:val="24"/>
          <w:lang w:val="cs-CZ"/>
        </w:rPr>
        <w:t>ravda je dána jako</w:t>
      </w:r>
      <w:r w:rsidR="00887FBE" w:rsidRPr="003D1E07">
        <w:rPr>
          <w:rStyle w:val="Zkladntext158dkovn0pt"/>
          <w:color w:val="auto"/>
          <w:spacing w:val="0"/>
          <w:sz w:val="24"/>
          <w:lang w:val="cs-CZ"/>
        </w:rPr>
        <w:t xml:space="preserve"> globální asimilace objektivních faktů, které produkuje moderní subjekt. </w:t>
      </w:r>
      <w:r w:rsidR="08C359DF" w:rsidRPr="003D1E07">
        <w:rPr>
          <w:rStyle w:val="Zkladntext158dkovn0pt"/>
          <w:color w:val="auto"/>
          <w:spacing w:val="0"/>
          <w:sz w:val="24"/>
          <w:lang w:val="cs-CZ"/>
        </w:rPr>
        <w:t xml:space="preserve">Averroes </w:t>
      </w:r>
      <w:r w:rsidR="00C57B10" w:rsidRPr="003D1E07">
        <w:rPr>
          <w:rStyle w:val="Zkladntext158dkovn0pt"/>
          <w:color w:val="auto"/>
          <w:spacing w:val="0"/>
          <w:sz w:val="24"/>
          <w:lang w:val="cs-CZ"/>
        </w:rPr>
        <w:t xml:space="preserve">vykládá skutečný průběh poznání na základě </w:t>
      </w:r>
      <w:r w:rsidR="00FD2E82" w:rsidRPr="003D1E07">
        <w:rPr>
          <w:rStyle w:val="Zkladntext158dkovn0pt"/>
          <w:color w:val="auto"/>
          <w:spacing w:val="0"/>
          <w:sz w:val="24"/>
          <w:lang w:val="cs-CZ"/>
        </w:rPr>
        <w:t xml:space="preserve">metafyzické </w:t>
      </w:r>
      <w:r w:rsidR="08625936" w:rsidRPr="003D1E07">
        <w:rPr>
          <w:rStyle w:val="Zkladntext158dkovn0pt"/>
          <w:i/>
          <w:color w:val="auto"/>
          <w:spacing w:val="0"/>
          <w:sz w:val="24"/>
          <w:lang w:val="cs-CZ"/>
        </w:rPr>
        <w:t>a</w:t>
      </w:r>
      <w:r w:rsidR="00C57B10" w:rsidRPr="003D1E07">
        <w:rPr>
          <w:rStyle w:val="Zkladntext158dkovn0pt"/>
          <w:i/>
          <w:color w:val="auto"/>
          <w:spacing w:val="0"/>
          <w:sz w:val="24"/>
          <w:lang w:val="cs-CZ"/>
        </w:rPr>
        <w:t>létheia</w:t>
      </w:r>
      <w:r w:rsidR="00C57B10" w:rsidRPr="003D1E07">
        <w:rPr>
          <w:rStyle w:val="Zkladntext158dkovn0pt"/>
          <w:i/>
          <w:color w:val="auto"/>
          <w:spacing w:val="0"/>
          <w:sz w:val="24"/>
          <w:lang w:val="cs-CZ"/>
        </w:rPr>
        <w:fldChar w:fldCharType="begin"/>
      </w:r>
      <w:r w:rsidR="08625936" w:rsidRPr="003D1E07">
        <w:instrText xml:space="preserve"> XE "pravda:</w:instrText>
      </w:r>
      <w:r w:rsidR="00C57B10" w:rsidRPr="003D1E07">
        <w:instrText xml:space="preserve">odkrytost" </w:instrText>
      </w:r>
      <w:r w:rsidR="00C57B10" w:rsidRPr="003D1E07">
        <w:rPr>
          <w:rStyle w:val="Zkladntext158dkovn0pt"/>
          <w:i/>
          <w:color w:val="auto"/>
          <w:spacing w:val="0"/>
          <w:sz w:val="24"/>
          <w:lang w:val="cs-CZ"/>
        </w:rPr>
        <w:fldChar w:fldCharType="end"/>
      </w:r>
      <w:r w:rsidR="00C57B10" w:rsidRPr="003D1E07">
        <w:rPr>
          <w:rStyle w:val="Zkladntext158dkovn0pt"/>
          <w:color w:val="auto"/>
          <w:spacing w:val="0"/>
          <w:sz w:val="24"/>
          <w:lang w:val="cs-CZ"/>
        </w:rPr>
        <w:t xml:space="preserve">, tedy v perspektivě diafanum určovaného od nasvícené věci. Spirituální </w:t>
      </w:r>
      <w:r w:rsidR="00C57B10" w:rsidRPr="003D1E07">
        <w:rPr>
          <w:rStyle w:val="TextpoznpodarouChar"/>
        </w:rPr>
        <w:t xml:space="preserve">diafanum dané po fyzikálním </w:t>
      </w:r>
      <w:r w:rsidR="00C57B10" w:rsidRPr="003D1E07">
        <w:rPr>
          <w:rStyle w:val="TextpoznpodarouChar"/>
          <w:i/>
        </w:rPr>
        <w:t>perspicuum</w:t>
      </w:r>
      <w:r w:rsidR="00C57B10" w:rsidRPr="003D1E07">
        <w:rPr>
          <w:rStyle w:val="TextpoznpodarouChar"/>
          <w:i/>
        </w:rPr>
        <w:fldChar w:fldCharType="begin"/>
      </w:r>
      <w:r w:rsidR="00C57B10" w:rsidRPr="003D1E07">
        <w:instrText xml:space="preserve"> XE "</w:instrText>
      </w:r>
      <w:r w:rsidR="00C57B10" w:rsidRPr="003D1E07">
        <w:rPr>
          <w:rStyle w:val="TextpoznpodarouChar"/>
          <w:i/>
        </w:rPr>
        <w:instrText>perspicuum</w:instrText>
      </w:r>
      <w:r w:rsidR="00C57B10" w:rsidRPr="003D1E07">
        <w:instrText xml:space="preserve">" </w:instrText>
      </w:r>
      <w:r w:rsidR="00C57B10" w:rsidRPr="003D1E07">
        <w:rPr>
          <w:rStyle w:val="TextpoznpodarouChar"/>
          <w:i/>
        </w:rPr>
        <w:fldChar w:fldCharType="end"/>
      </w:r>
      <w:r w:rsidR="08F41DA6" w:rsidRPr="003D1E07">
        <w:rPr>
          <w:rStyle w:val="TextpoznpodarouChar"/>
        </w:rPr>
        <w:t xml:space="preserve"> v poznávající</w:t>
      </w:r>
      <w:r w:rsidR="00C57B10" w:rsidRPr="003D1E07">
        <w:rPr>
          <w:rStyle w:val="TextpoznpodarouChar"/>
        </w:rPr>
        <w:t xml:space="preserve"> </w:t>
      </w:r>
      <w:r w:rsidR="08CD5A59" w:rsidRPr="003D1E07">
        <w:rPr>
          <w:rStyle w:val="TextpoznpodarouChar"/>
        </w:rPr>
        <w:t xml:space="preserve">osobě </w:t>
      </w:r>
      <w:r w:rsidR="00C57B10" w:rsidRPr="003D1E07">
        <w:rPr>
          <w:rStyle w:val="TextpoznpodarouChar"/>
        </w:rPr>
        <w:t>umožní manifestaci smyslových či inteligibilních forem</w:t>
      </w:r>
      <w:r w:rsidR="0851418D" w:rsidRPr="003D1E07">
        <w:rPr>
          <w:rStyle w:val="TextpoznpodarouChar"/>
        </w:rPr>
        <w:t>. Po</w:t>
      </w:r>
      <w:r w:rsidR="00C57B10" w:rsidRPr="003D1E07">
        <w:rPr>
          <w:rStyle w:val="TextpoznpodarouChar"/>
        </w:rPr>
        <w:t xml:space="preserve">znání </w:t>
      </w:r>
      <w:r w:rsidR="0851418D" w:rsidRPr="003D1E07">
        <w:rPr>
          <w:rStyle w:val="TextpoznpodarouChar"/>
        </w:rPr>
        <w:t xml:space="preserve">se děje </w:t>
      </w:r>
      <w:r w:rsidR="00C57B10" w:rsidRPr="003D1E07">
        <w:rPr>
          <w:rStyle w:val="TextpoznpodarouChar"/>
        </w:rPr>
        <w:t>v modu formální</w:t>
      </w:r>
      <w:r w:rsidR="08F41DA6" w:rsidRPr="003D1E07">
        <w:rPr>
          <w:rStyle w:val="TextpoznpodarouChar"/>
        </w:rPr>
        <w:t xml:space="preserve"> kauzality zajišťující pravdivé poznání  jako adekvaci věci a intelektu</w:t>
      </w:r>
      <w:r w:rsidR="00C57B10" w:rsidRPr="003D1E07">
        <w:rPr>
          <w:rStyle w:val="TextpoznpodarouChar"/>
        </w:rPr>
        <w:t xml:space="preserve">. Zdrojem účinné </w:t>
      </w:r>
      <w:r w:rsidR="089C6EC3" w:rsidRPr="003D1E07">
        <w:rPr>
          <w:rStyle w:val="TextpoznpodarouChar"/>
        </w:rPr>
        <w:t>k</w:t>
      </w:r>
      <w:r w:rsidR="00C57B10" w:rsidRPr="003D1E07">
        <w:rPr>
          <w:rStyle w:val="TextpoznpodarouChar"/>
        </w:rPr>
        <w:t xml:space="preserve">auzality </w:t>
      </w:r>
      <w:r w:rsidR="089C6EC3" w:rsidRPr="003D1E07">
        <w:rPr>
          <w:rStyle w:val="TextpoznpodarouChar"/>
        </w:rPr>
        <w:t xml:space="preserve">pro poznání </w:t>
      </w:r>
      <w:r w:rsidR="00C57B10" w:rsidRPr="003D1E07">
        <w:rPr>
          <w:rStyle w:val="TextpoznpodarouChar"/>
        </w:rPr>
        <w:t>může být jen aktuální první substance působící na smysly</w:t>
      </w:r>
      <w:r w:rsidR="089C6EC3" w:rsidRPr="003D1E07">
        <w:rPr>
          <w:rStyle w:val="TextpoznpodarouChar"/>
        </w:rPr>
        <w:t>. A</w:t>
      </w:r>
      <w:r w:rsidR="08AF56CE" w:rsidRPr="003D1E07">
        <w:rPr>
          <w:rStyle w:val="TextpoznpodarouChar"/>
        </w:rPr>
        <w:t>ktuální substance poznávajícího subjektu</w:t>
      </w:r>
      <w:r w:rsidR="089C6EC3" w:rsidRPr="003D1E07">
        <w:rPr>
          <w:rStyle w:val="TextpoznpodarouChar"/>
        </w:rPr>
        <w:t xml:space="preserve"> poznává externí věc skrze formální kauzalitu zprostředkovanou přes diafanum</w:t>
      </w:r>
      <w:r w:rsidR="08AF56CE" w:rsidRPr="003D1E07">
        <w:rPr>
          <w:rStyle w:val="TextpoznpodarouChar"/>
        </w:rPr>
        <w:t xml:space="preserve">. Poznaná </w:t>
      </w:r>
      <w:r w:rsidR="00C57B10" w:rsidRPr="003D1E07">
        <w:rPr>
          <w:rStyle w:val="TextpoznpodarouChar"/>
        </w:rPr>
        <w:t xml:space="preserve">forma musí skrze intencionalitu najít odpovídající intencionální adekvaci </w:t>
      </w:r>
      <w:r w:rsidR="00C57B10" w:rsidRPr="003D1E07">
        <w:rPr>
          <w:rStyle w:val="TextpoznpodarouChar"/>
        </w:rPr>
        <w:lastRenderedPageBreak/>
        <w:t xml:space="preserve">v animálním i v lidském poznání. </w:t>
      </w:r>
      <w:r w:rsidR="08950576" w:rsidRPr="003D1E07">
        <w:rPr>
          <w:rStyle w:val="TextpoznpodarouChar"/>
        </w:rPr>
        <w:t xml:space="preserve">Díky </w:t>
      </w:r>
      <w:r w:rsidR="08E22F7A" w:rsidRPr="003D1E07">
        <w:t xml:space="preserve">metafyzickému </w:t>
      </w:r>
      <w:r w:rsidR="08950576" w:rsidRPr="003D1E07">
        <w:rPr>
          <w:rStyle w:val="TextpoznpodarouChar"/>
        </w:rPr>
        <w:t>dativu platí, že p</w:t>
      </w:r>
      <w:r w:rsidR="08607219" w:rsidRPr="003D1E07">
        <w:rPr>
          <w:rStyle w:val="TextpoznpodarouChar"/>
        </w:rPr>
        <w:t>oznaná v</w:t>
      </w:r>
      <w:r w:rsidR="08950576" w:rsidRPr="003D1E07">
        <w:rPr>
          <w:rStyle w:val="TextpoznpodarouChar"/>
        </w:rPr>
        <w:t xml:space="preserve">ěc není aktuální </w:t>
      </w:r>
      <w:r w:rsidR="00C57B10" w:rsidRPr="003D1E07">
        <w:rPr>
          <w:rStyle w:val="TextpoznpodarouChar"/>
        </w:rPr>
        <w:t>první substance</w:t>
      </w:r>
      <w:r w:rsidR="08950576" w:rsidRPr="003D1E07">
        <w:rPr>
          <w:rStyle w:val="TextpoznpodarouChar"/>
        </w:rPr>
        <w:t xml:space="preserve">, protože držíme </w:t>
      </w:r>
      <w:r w:rsidR="08CA45B9" w:rsidRPr="003D1E07">
        <w:rPr>
          <w:rStyle w:val="TextpoznpodarouChar"/>
        </w:rPr>
        <w:t xml:space="preserve">v představivosti a mysli </w:t>
      </w:r>
      <w:r w:rsidR="08950576" w:rsidRPr="003D1E07">
        <w:rPr>
          <w:rStyle w:val="TextpoznpodarouChar"/>
        </w:rPr>
        <w:t>její adekvátní intenci.</w:t>
      </w:r>
      <w:r w:rsidR="00C57B10" w:rsidRPr="003D1E07">
        <w:rPr>
          <w:rStyle w:val="TextpoznpodarouChar"/>
        </w:rPr>
        <w:t xml:space="preserve"> Proto musí být zajištěno odpovídající </w:t>
      </w:r>
      <w:r w:rsidR="002E3B62" w:rsidRPr="003D1E07">
        <w:rPr>
          <w:rStyle w:val="TextpoznpodarouChar"/>
          <w:i/>
        </w:rPr>
        <w:t>adaequatio</w:t>
      </w:r>
      <w:r w:rsidR="00C57B10" w:rsidRPr="003D1E07">
        <w:rPr>
          <w:rStyle w:val="TextpoznpodarouChar"/>
          <w:i/>
        </w:rPr>
        <w:fldChar w:fldCharType="begin"/>
      </w:r>
      <w:r w:rsidR="00C57B10" w:rsidRPr="003D1E07">
        <w:instrText xml:space="preserve"> XE "pravda:</w:instrText>
      </w:r>
      <w:r w:rsidR="002E3B62" w:rsidRPr="003D1E07">
        <w:rPr>
          <w:i/>
        </w:rPr>
        <w:instrText>adaequatio</w:instrText>
      </w:r>
      <w:r w:rsidR="00C57B10" w:rsidRPr="003D1E07">
        <w:instrText xml:space="preserve">" </w:instrText>
      </w:r>
      <w:r w:rsidR="00C57B10" w:rsidRPr="003D1E07">
        <w:rPr>
          <w:rStyle w:val="TextpoznpodarouChar"/>
          <w:i/>
        </w:rPr>
        <w:fldChar w:fldCharType="end"/>
      </w:r>
      <w:r w:rsidR="00C57B10" w:rsidRPr="003D1E07">
        <w:rPr>
          <w:rStyle w:val="TextpoznpodarouChar"/>
        </w:rPr>
        <w:t xml:space="preserve"> mezi první a druhou substancí, tedy mezi reálnou věcí a jejím poznáním. </w:t>
      </w:r>
      <w:r w:rsidR="087A5D76" w:rsidRPr="003D1E07">
        <w:rPr>
          <w:rStyle w:val="TextpoznpodarouChar"/>
        </w:rPr>
        <w:t xml:space="preserve">Toto kauzální a formální </w:t>
      </w:r>
      <w:r w:rsidR="087A5D76" w:rsidRPr="003D1E07">
        <w:rPr>
          <w:rStyle w:val="TextpoznpodarouChar"/>
          <w:i/>
        </w:rPr>
        <w:t>proportio</w:t>
      </w:r>
      <w:r w:rsidR="087A5D76" w:rsidRPr="003D1E07">
        <w:rPr>
          <w:rStyle w:val="TextpoznpodarouChar"/>
        </w:rPr>
        <w:t xml:space="preserve"> se mediatizuje skrze intencionální akt, která vytváří oba druhy </w:t>
      </w:r>
      <w:r w:rsidR="00F214C5" w:rsidRPr="003D1E07">
        <w:rPr>
          <w:rStyle w:val="TextpoznpodarouChar"/>
        </w:rPr>
        <w:t>species</w:t>
      </w:r>
      <w:r w:rsidR="087A5D76" w:rsidRPr="003D1E07">
        <w:rPr>
          <w:rStyle w:val="TextpoznpodarouChar"/>
        </w:rPr>
        <w:t xml:space="preserve"> </w:t>
      </w:r>
      <w:r w:rsidR="087A5D76" w:rsidRPr="003D1E07">
        <w:rPr>
          <w:szCs w:val="24"/>
        </w:rPr>
        <w:t>(</w:t>
      </w:r>
      <w:r w:rsidR="087A5D76" w:rsidRPr="003D1E07">
        <w:rPr>
          <w:i/>
          <w:szCs w:val="24"/>
        </w:rPr>
        <w:t>sensibilis</w:t>
      </w:r>
      <w:r w:rsidR="087A5D76" w:rsidRPr="003D1E07">
        <w:rPr>
          <w:szCs w:val="24"/>
        </w:rPr>
        <w:t xml:space="preserve">, </w:t>
      </w:r>
      <w:r w:rsidR="087A5D76" w:rsidRPr="003D1E07">
        <w:rPr>
          <w:i/>
          <w:szCs w:val="24"/>
        </w:rPr>
        <w:t>intelligibilis</w:t>
      </w:r>
      <w:r w:rsidR="087A5D76" w:rsidRPr="003D1E07">
        <w:rPr>
          <w:szCs w:val="24"/>
        </w:rPr>
        <w:t xml:space="preserve">). </w:t>
      </w:r>
      <w:r w:rsidR="00C57B10" w:rsidRPr="003D1E07">
        <w:rPr>
          <w:rStyle w:val="TextpoznpodarouChar"/>
        </w:rPr>
        <w:t xml:space="preserve">Spis </w:t>
      </w:r>
      <w:r w:rsidR="00C57B10" w:rsidRPr="003D1E07">
        <w:rPr>
          <w:rStyle w:val="TextpoznpodarouChar"/>
          <w:i/>
        </w:rPr>
        <w:t>Kategorie</w:t>
      </w:r>
      <w:r w:rsidR="00C57B10" w:rsidRPr="003D1E07">
        <w:rPr>
          <w:rStyle w:val="TextpoznpodarouChar"/>
        </w:rPr>
        <w:t xml:space="preserve"> kompletuje spis </w:t>
      </w:r>
      <w:r w:rsidR="00C57B10" w:rsidRPr="003D1E07">
        <w:rPr>
          <w:rStyle w:val="TextpoznpodarouChar"/>
          <w:i/>
        </w:rPr>
        <w:t>De anima</w:t>
      </w:r>
      <w:r w:rsidR="00C57B10" w:rsidRPr="003D1E07">
        <w:rPr>
          <w:rStyle w:val="TextpoznpodarouChar"/>
        </w:rPr>
        <w:t xml:space="preserve"> a opačně. Bez kauzální a formální mediace věci směrem ke smyslům a k intelektu neexistuje </w:t>
      </w:r>
      <w:r w:rsidR="001563DD" w:rsidRPr="003D1E07">
        <w:rPr>
          <w:rStyle w:val="TextpoznpodarouChar"/>
        </w:rPr>
        <w:t>pravda</w:t>
      </w:r>
      <w:r w:rsidR="00C57B10" w:rsidRPr="003D1E07">
        <w:rPr>
          <w:rStyle w:val="TextpoznpodarouChar"/>
        </w:rPr>
        <w:t xml:space="preserve"> jako adekvace věci, smyslů a rozumu. </w:t>
      </w:r>
      <w:r w:rsidR="002E3B62" w:rsidRPr="003D1E07">
        <w:rPr>
          <w:rStyle w:val="Zkladntext158dkovn0pt"/>
          <w:color w:val="auto"/>
          <w:spacing w:val="0"/>
          <w:sz w:val="24"/>
          <w:lang w:val="cs-CZ"/>
        </w:rPr>
        <w:t>Averroes</w:t>
      </w:r>
      <w:r w:rsidR="00C57B10" w:rsidRPr="003D1E07">
        <w:rPr>
          <w:rStyle w:val="Zkladntext158dkovn0pt"/>
          <w:color w:val="auto"/>
          <w:spacing w:val="0"/>
          <w:sz w:val="24"/>
          <w:lang w:val="cs-CZ"/>
        </w:rPr>
        <w:t xml:space="preserve"> shrnuje celý charakter receptivního intelektu v této citaci.</w:t>
      </w:r>
    </w:p>
    <w:p w14:paraId="15BCA2B3" w14:textId="52E63FF5" w:rsidR="00C57B10" w:rsidRPr="003D1E07" w:rsidRDefault="00C57B10" w:rsidP="00C57B10">
      <w:pPr>
        <w:pStyle w:val="Citace"/>
        <w:rPr>
          <w:noProof/>
          <w:lang w:val="cs-CZ"/>
        </w:rPr>
      </w:pPr>
      <w:r w:rsidRPr="003D1E07">
        <w:rPr>
          <w:rStyle w:val="Zkladntextdkovn0pt"/>
          <w:rFonts w:ascii="Calibri" w:eastAsia="Times" w:hAnsi="Calibri" w:cs="Times New Roman"/>
          <w:spacing w:val="0"/>
          <w:sz w:val="22"/>
          <w:u w:val="none"/>
          <w:lang w:val="cs-CZ"/>
        </w:rPr>
        <w:t>„Ale my jsme tvrdili, že materiální intelekt je věčný (</w:t>
      </w:r>
      <w:r w:rsidRPr="003D1E07">
        <w:rPr>
          <w:i/>
          <w:lang w:val="cs-CZ"/>
        </w:rPr>
        <w:t>intellectum materialem esse eternum</w:t>
      </w:r>
      <w:r w:rsidRPr="003D1E07">
        <w:rPr>
          <w:rStyle w:val="Zkladntextdkovn0pt"/>
          <w:rFonts w:ascii="Calibri" w:eastAsia="Times" w:hAnsi="Calibri" w:cs="Times New Roman"/>
          <w:spacing w:val="0"/>
          <w:sz w:val="22"/>
          <w:u w:val="none"/>
          <w:lang w:val="cs-CZ"/>
        </w:rPr>
        <w:t>) a že spekulativní poznatky vznikají v</w:t>
      </w:r>
      <w:r w:rsidR="080B5DC1" w:rsidRPr="003D1E07">
        <w:rPr>
          <w:rStyle w:val="Zkladntextdkovn0pt"/>
          <w:rFonts w:ascii="Calibri" w:eastAsia="Times" w:hAnsi="Calibri" w:cs="Times New Roman"/>
          <w:spacing w:val="0"/>
          <w:sz w:val="22"/>
          <w:u w:val="none"/>
          <w:lang w:val="cs-CZ"/>
        </w:rPr>
        <w:t xml:space="preserve"> osobě </w:t>
      </w:r>
      <w:r w:rsidRPr="003D1E07">
        <w:rPr>
          <w:rStyle w:val="Zkladntextdkovn0pt"/>
          <w:rFonts w:ascii="Calibri" w:eastAsia="Times" w:hAnsi="Calibri" w:cs="Times New Roman"/>
          <w:spacing w:val="0"/>
          <w:sz w:val="22"/>
          <w:u w:val="none"/>
          <w:lang w:val="cs-CZ"/>
        </w:rPr>
        <w:t>a jsou porušitelné (</w:t>
      </w:r>
      <w:r w:rsidRPr="003D1E07">
        <w:rPr>
          <w:i/>
          <w:lang w:val="cs-CZ"/>
        </w:rPr>
        <w:t>intellecta speculativa esse generabilia et corruptibilia</w:t>
      </w:r>
      <w:r w:rsidRPr="003D1E07">
        <w:rPr>
          <w:rStyle w:val="Zkladntextdkovn0pt"/>
          <w:rFonts w:ascii="Calibri" w:eastAsia="Times" w:hAnsi="Calibri" w:cs="Times New Roman"/>
          <w:spacing w:val="0"/>
          <w:sz w:val="22"/>
          <w:u w:val="none"/>
          <w:lang w:val="cs-CZ"/>
        </w:rPr>
        <w:t xml:space="preserve">) a to tím způsobem, jak jsme to uvedli výše. Materiální intelekt </w:t>
      </w:r>
      <w:r w:rsidR="085009FF" w:rsidRPr="003D1E07">
        <w:rPr>
          <w:rStyle w:val="Zkladntextdkovn0pt"/>
          <w:rFonts w:ascii="Calibri" w:eastAsia="Times" w:hAnsi="Calibri" w:cs="Times New Roman"/>
          <w:spacing w:val="0"/>
          <w:sz w:val="22"/>
          <w:u w:val="none"/>
          <w:lang w:val="cs-CZ"/>
        </w:rPr>
        <w:t xml:space="preserve">poznává </w:t>
      </w:r>
      <w:r w:rsidRPr="003D1E07">
        <w:rPr>
          <w:rStyle w:val="Zkladntextdkovn0pt"/>
          <w:rFonts w:ascii="Calibri" w:eastAsia="Times" w:hAnsi="Calibri" w:cs="Times New Roman"/>
          <w:spacing w:val="0"/>
          <w:sz w:val="22"/>
          <w:u w:val="none"/>
          <w:lang w:val="cs-CZ"/>
        </w:rPr>
        <w:t>obojí, jak materiální formy</w:t>
      </w:r>
      <w:r w:rsidR="08047D0B" w:rsidRPr="003D1E07">
        <w:rPr>
          <w:rStyle w:val="Zkladntextdkovn0pt"/>
          <w:rFonts w:ascii="Calibri" w:eastAsia="Times" w:hAnsi="Calibri" w:cs="Times New Roman"/>
          <w:spacing w:val="0"/>
          <w:sz w:val="22"/>
          <w:u w:val="none"/>
          <w:lang w:val="cs-CZ"/>
        </w:rPr>
        <w:t xml:space="preserve">, </w:t>
      </w:r>
      <w:r w:rsidRPr="003D1E07">
        <w:rPr>
          <w:rStyle w:val="Zkladntextdkovn0pt"/>
          <w:rFonts w:ascii="Calibri" w:eastAsia="Times" w:hAnsi="Calibri" w:cs="Times New Roman"/>
          <w:spacing w:val="0"/>
          <w:sz w:val="22"/>
          <w:u w:val="none"/>
          <w:lang w:val="cs-CZ"/>
        </w:rPr>
        <w:t>tak abstrahované formy (</w:t>
      </w:r>
      <w:r w:rsidRPr="003D1E07">
        <w:rPr>
          <w:i/>
          <w:noProof/>
          <w:lang w:val="cs-CZ"/>
        </w:rPr>
        <w:t>formas materiales et formas abstractas</w:t>
      </w:r>
      <w:r w:rsidRPr="003D1E07">
        <w:rPr>
          <w:rStyle w:val="Zkladntextdkovn0pt"/>
          <w:rFonts w:ascii="Calibri" w:eastAsia="Times" w:hAnsi="Calibri" w:cs="Times New Roman"/>
          <w:spacing w:val="0"/>
          <w:sz w:val="22"/>
          <w:u w:val="none"/>
          <w:lang w:val="cs-CZ"/>
        </w:rPr>
        <w:t>). Pak je zřejmé, že spekulativní</w:t>
      </w:r>
      <w:r w:rsidR="007A2958">
        <w:rPr>
          <w:rStyle w:val="Zkladntextdkovn0pt"/>
          <w:rFonts w:ascii="Calibri" w:eastAsia="Times" w:hAnsi="Calibri" w:cs="Times New Roman"/>
          <w:spacing w:val="0"/>
          <w:sz w:val="22"/>
          <w:u w:val="none"/>
          <w:lang w:val="cs-CZ"/>
        </w:rPr>
        <w:t xml:space="preserve"> </w:t>
      </w:r>
      <w:r w:rsidRPr="003D1E07">
        <w:rPr>
          <w:rStyle w:val="Zkladntextdkovn0pt"/>
          <w:rFonts w:ascii="Calibri" w:eastAsia="Times" w:hAnsi="Calibri" w:cs="Times New Roman"/>
          <w:spacing w:val="0"/>
          <w:sz w:val="22"/>
          <w:u w:val="none"/>
          <w:lang w:val="cs-CZ"/>
        </w:rPr>
        <w:t xml:space="preserve">a činný intelekt má podle tohoto modu jednoho a téhož nositele, a to materiální intelekt </w:t>
      </w:r>
      <w:r w:rsidRPr="003D1E07">
        <w:rPr>
          <w:rStyle w:val="Zkladntextdkovn0pt"/>
          <w:rFonts w:ascii="Calibri" w:eastAsia="Times" w:hAnsi="Calibri" w:cs="Times New Roman"/>
          <w:noProof/>
          <w:spacing w:val="0"/>
          <w:sz w:val="21"/>
          <w:u w:val="none"/>
          <w:lang w:val="cs-CZ"/>
        </w:rPr>
        <w:t>(</w:t>
      </w:r>
      <w:r w:rsidRPr="003D1E07">
        <w:rPr>
          <w:i/>
          <w:noProof/>
          <w:lang w:val="cs-CZ"/>
        </w:rPr>
        <w:t>subiectum intellectorum speculativorum et intellectus agentis secundum hunc modum est idem et unum, scilicet materialis</w:t>
      </w:r>
      <w:r w:rsidRPr="003D1E07">
        <w:rPr>
          <w:rStyle w:val="Zkladntextdkovn0pt"/>
          <w:rFonts w:ascii="Calibri" w:eastAsia="Times" w:hAnsi="Calibri" w:cs="Times New Roman"/>
          <w:noProof/>
          <w:spacing w:val="0"/>
          <w:sz w:val="21"/>
          <w:u w:val="none"/>
          <w:lang w:val="cs-CZ"/>
        </w:rPr>
        <w:t>).</w:t>
      </w:r>
      <w:r w:rsidRPr="003D1E07">
        <w:rPr>
          <w:rStyle w:val="Zkladntextdkovn0pt"/>
          <w:rFonts w:ascii="Calibri" w:eastAsia="Times" w:hAnsi="Calibri" w:cs="Times New Roman"/>
          <w:spacing w:val="0"/>
          <w:sz w:val="22"/>
          <w:u w:val="none"/>
          <w:lang w:val="cs-CZ"/>
        </w:rPr>
        <w:t xml:space="preserve"> Podobně je tomu v případě diafa</w:t>
      </w:r>
      <w:r w:rsidR="085009FF" w:rsidRPr="003D1E07">
        <w:rPr>
          <w:rStyle w:val="Zkladntextdkovn0pt"/>
          <w:rFonts w:ascii="Calibri" w:eastAsia="Times" w:hAnsi="Calibri" w:cs="Times New Roman"/>
          <w:spacing w:val="0"/>
          <w:sz w:val="22"/>
          <w:u w:val="none"/>
          <w:lang w:val="cs-CZ"/>
        </w:rPr>
        <w:t xml:space="preserve">num, které přijímá současně jak barvu, </w:t>
      </w:r>
      <w:r w:rsidRPr="003D1E07">
        <w:rPr>
          <w:rStyle w:val="Zkladntextdkovn0pt"/>
          <w:rFonts w:ascii="Calibri" w:eastAsia="Times" w:hAnsi="Calibri" w:cs="Times New Roman"/>
          <w:spacing w:val="0"/>
          <w:sz w:val="22"/>
          <w:u w:val="none"/>
          <w:lang w:val="cs-CZ"/>
        </w:rPr>
        <w:t>tak světlo (</w:t>
      </w:r>
      <w:r w:rsidRPr="003D1E07">
        <w:rPr>
          <w:i/>
          <w:noProof/>
          <w:lang w:val="cs-CZ"/>
        </w:rPr>
        <w:t>simile huic est diaffonum, quod recipit colorem et lucem insimul</w:t>
      </w:r>
      <w:r w:rsidRPr="003D1E07">
        <w:rPr>
          <w:rStyle w:val="Zkladntextdkovn0pt"/>
          <w:rFonts w:ascii="Calibri" w:eastAsia="Times" w:hAnsi="Calibri" w:cs="Times New Roman"/>
          <w:spacing w:val="0"/>
          <w:sz w:val="22"/>
          <w:u w:val="none"/>
          <w:lang w:val="cs-CZ"/>
        </w:rPr>
        <w:t>). A světlo je to, co kauzálně způsobuje vznik barvy (</w:t>
      </w:r>
      <w:r w:rsidRPr="003D1E07">
        <w:rPr>
          <w:i/>
          <w:noProof/>
          <w:lang w:val="cs-CZ"/>
        </w:rPr>
        <w:t>lux est efficiens colorem</w:t>
      </w:r>
      <w:r w:rsidRPr="003D1E07">
        <w:rPr>
          <w:rStyle w:val="Zkladntextdkovn0pt"/>
          <w:rFonts w:ascii="Calibri" w:eastAsia="Times" w:hAnsi="Calibri" w:cs="Times New Roman"/>
          <w:spacing w:val="0"/>
          <w:sz w:val="22"/>
          <w:u w:val="none"/>
          <w:lang w:val="cs-CZ"/>
        </w:rPr>
        <w:t>).“</w:t>
      </w:r>
      <w:r w:rsidRPr="003D1E07">
        <w:rPr>
          <w:rStyle w:val="Zkladntextdkovn0pt"/>
          <w:rFonts w:ascii="Calibri" w:eastAsia="Times" w:hAnsi="Calibri" w:cs="Times New Roman"/>
          <w:noProof/>
          <w:spacing w:val="0"/>
          <w:sz w:val="21"/>
          <w:u w:val="none"/>
          <w:lang w:val="cs-CZ"/>
        </w:rPr>
        <w:t xml:space="preserve"> </w:t>
      </w:r>
      <w:r w:rsidRPr="003D1E07">
        <w:rPr>
          <w:rStyle w:val="Znakapoznpodarou"/>
          <w:noProof/>
          <w:sz w:val="21"/>
          <w:szCs w:val="15"/>
          <w:lang w:val="cs-CZ"/>
        </w:rPr>
        <w:footnoteReference w:id="283"/>
      </w:r>
    </w:p>
    <w:p w14:paraId="55E78D94" w14:textId="50FECD67" w:rsidR="009D2F4C" w:rsidRPr="003D1E07" w:rsidRDefault="00C57B10" w:rsidP="08C07775">
      <w:pPr>
        <w:rPr>
          <w:rStyle w:val="Zkladntext158dkovn0pt"/>
          <w:color w:val="auto"/>
          <w:spacing w:val="0"/>
          <w:sz w:val="24"/>
          <w:lang w:val="cs-CZ"/>
        </w:rPr>
      </w:pPr>
      <w:r w:rsidRPr="003D1E07">
        <w:rPr>
          <w:rStyle w:val="Zkladntext158dkovn0pt"/>
          <w:color w:val="auto"/>
          <w:spacing w:val="0"/>
          <w:sz w:val="24"/>
          <w:lang w:val="cs-CZ"/>
        </w:rPr>
        <w:t xml:space="preserve">Výsledná syntéza </w:t>
      </w:r>
      <w:r w:rsidR="089D3009" w:rsidRPr="003D1E07">
        <w:rPr>
          <w:rStyle w:val="Zkladntext158dkovn0pt"/>
          <w:color w:val="auto"/>
          <w:spacing w:val="0"/>
          <w:sz w:val="24"/>
          <w:lang w:val="cs-CZ"/>
        </w:rPr>
        <w:t xml:space="preserve">intelektu v modu </w:t>
      </w:r>
      <w:r w:rsidR="089D3009" w:rsidRPr="003D1E07">
        <w:rPr>
          <w:rStyle w:val="Zkladntext158dkovn0pt"/>
          <w:i/>
          <w:color w:val="auto"/>
          <w:spacing w:val="0"/>
          <w:sz w:val="24"/>
          <w:lang w:val="cs-CZ"/>
        </w:rPr>
        <w:t>tertium</w:t>
      </w:r>
      <w:r w:rsidR="089D3009" w:rsidRPr="003D1E07">
        <w:rPr>
          <w:rStyle w:val="Zkladntext158dkovn0pt"/>
          <w:color w:val="auto"/>
          <w:spacing w:val="0"/>
          <w:sz w:val="24"/>
          <w:lang w:val="cs-CZ"/>
        </w:rPr>
        <w:t xml:space="preserve"> a </w:t>
      </w:r>
      <w:r w:rsidR="089D3009" w:rsidRPr="003D1E07">
        <w:rPr>
          <w:rStyle w:val="Zkladntext158dkovn0pt"/>
          <w:i/>
          <w:color w:val="auto"/>
          <w:spacing w:val="0"/>
          <w:sz w:val="24"/>
          <w:lang w:val="cs-CZ"/>
        </w:rPr>
        <w:t xml:space="preserve">quartum </w:t>
      </w:r>
      <w:r w:rsidR="00636BD4" w:rsidRPr="006459C2">
        <w:rPr>
          <w:rStyle w:val="Zkladntext158dkovn0pt"/>
          <w:i/>
          <w:color w:val="auto"/>
          <w:spacing w:val="0"/>
          <w:sz w:val="24"/>
          <w:lang w:val="cs-CZ"/>
        </w:rPr>
        <w:t>genus</w:t>
      </w:r>
      <w:r w:rsidR="089D3009" w:rsidRPr="003D1E07">
        <w:rPr>
          <w:rStyle w:val="Zkladntext158dkovn0pt"/>
          <w:color w:val="auto"/>
          <w:spacing w:val="0"/>
          <w:sz w:val="24"/>
          <w:lang w:val="cs-CZ"/>
        </w:rPr>
        <w:t xml:space="preserve"> </w:t>
      </w:r>
      <w:r w:rsidRPr="003D1E07">
        <w:rPr>
          <w:rStyle w:val="Zkladntext158dkovn0pt"/>
          <w:color w:val="auto"/>
          <w:spacing w:val="0"/>
          <w:sz w:val="24"/>
          <w:lang w:val="cs-CZ"/>
        </w:rPr>
        <w:t xml:space="preserve">zakládá nové pojetí poznání založené na epochálně nové </w:t>
      </w:r>
      <w:r w:rsidR="001F3C9F" w:rsidRPr="003D1E07">
        <w:rPr>
          <w:rStyle w:val="Zkladntext158dkovn0pt"/>
          <w:color w:val="auto"/>
          <w:spacing w:val="0"/>
          <w:sz w:val="24"/>
          <w:lang w:val="cs-CZ"/>
        </w:rPr>
        <w:t xml:space="preserve">povaze </w:t>
      </w:r>
      <w:r w:rsidRPr="003D1E07">
        <w:rPr>
          <w:rStyle w:val="Zkladntext158dkovn0pt"/>
          <w:color w:val="auto"/>
          <w:spacing w:val="0"/>
          <w:sz w:val="24"/>
          <w:lang w:val="cs-CZ"/>
        </w:rPr>
        <w:t>intelektu (</w:t>
      </w:r>
      <w:r w:rsidRPr="003D1E07">
        <w:rPr>
          <w:rStyle w:val="TextpoznpodarouChar"/>
          <w:i/>
        </w:rPr>
        <w:t>secundum hunc modum est idem et unum, scilicet materialis</w:t>
      </w:r>
      <w:r w:rsidRPr="003D1E07">
        <w:rPr>
          <w:rStyle w:val="TextpoznpodarouChar"/>
        </w:rPr>
        <w:t xml:space="preserve">). Jednota je dána </w:t>
      </w:r>
      <w:r w:rsidRPr="003D1E07">
        <w:rPr>
          <w:rStyle w:val="Zkladntext158dkovn0pt"/>
          <w:color w:val="auto"/>
          <w:spacing w:val="0"/>
          <w:sz w:val="24"/>
          <w:lang w:val="cs-CZ"/>
        </w:rPr>
        <w:t>dvojím aktem recepce (</w:t>
      </w:r>
      <w:r w:rsidRPr="003D1E07">
        <w:rPr>
          <w:rStyle w:val="TextpoznpodarouChar"/>
          <w:i/>
        </w:rPr>
        <w:t>intellectus materialis intelligit utrumque</w:t>
      </w:r>
      <w:r w:rsidRPr="003D1E07">
        <w:rPr>
          <w:rStyle w:val="Zkladntext158dkovn0pt"/>
          <w:color w:val="auto"/>
          <w:spacing w:val="0"/>
          <w:sz w:val="24"/>
          <w:lang w:val="cs-CZ"/>
        </w:rPr>
        <w:t xml:space="preserve">). Citát </w:t>
      </w:r>
      <w:r w:rsidR="001211E9" w:rsidRPr="003D1E07">
        <w:rPr>
          <w:rStyle w:val="Zkladntext158dkovn0pt"/>
          <w:color w:val="auto"/>
          <w:spacing w:val="0"/>
          <w:sz w:val="24"/>
          <w:lang w:val="cs-CZ"/>
        </w:rPr>
        <w:t>dává dohromady</w:t>
      </w:r>
      <w:r w:rsidRPr="003D1E07">
        <w:rPr>
          <w:rStyle w:val="Zkladntext158dkovn0pt"/>
          <w:color w:val="auto"/>
          <w:spacing w:val="0"/>
          <w:sz w:val="24"/>
          <w:lang w:val="cs-CZ"/>
        </w:rPr>
        <w:t xml:space="preserve"> obě strany formalizace, tedy individuální akt intencionality obrácený ke smyslové formě (</w:t>
      </w:r>
      <w:r w:rsidRPr="003D1E07">
        <w:rPr>
          <w:rStyle w:val="TextpoznpodarouChar"/>
          <w:i/>
        </w:rPr>
        <w:t>formas materiales</w:t>
      </w:r>
      <w:r w:rsidRPr="003D1E07">
        <w:rPr>
          <w:rStyle w:val="Zkladntext158dkovn0pt"/>
          <w:color w:val="auto"/>
          <w:spacing w:val="0"/>
          <w:sz w:val="24"/>
          <w:lang w:val="cs-CZ"/>
        </w:rPr>
        <w:t>) a následnou recepci této formy do nemateriálního intelektu (</w:t>
      </w:r>
      <w:r w:rsidRPr="003D1E07">
        <w:rPr>
          <w:rStyle w:val="TextpoznpodarouChar"/>
          <w:i/>
        </w:rPr>
        <w:t>formas abstractas</w:t>
      </w:r>
      <w:r w:rsidRPr="003D1E07">
        <w:rPr>
          <w:rStyle w:val="TextpoznpodarouChar"/>
        </w:rPr>
        <w:t>)</w:t>
      </w:r>
      <w:r w:rsidRPr="003D1E07">
        <w:rPr>
          <w:rStyle w:val="Zkladntext158dkovn0pt"/>
          <w:color w:val="auto"/>
          <w:spacing w:val="0"/>
          <w:sz w:val="24"/>
          <w:lang w:val="cs-CZ"/>
        </w:rPr>
        <w:t>. Díky receptivitě intelektu jako spirituálního diafanum je proporce mezi věcí a intelektem zajištěna formálně</w:t>
      </w:r>
      <w:r w:rsidRPr="003D1E07">
        <w:rPr>
          <w:rStyle w:val="Zkladntext158dkovn0pt"/>
          <w:i/>
          <w:color w:val="auto"/>
          <w:spacing w:val="0"/>
          <w:sz w:val="24"/>
          <w:lang w:val="cs-CZ"/>
        </w:rPr>
        <w:fldChar w:fldCharType="begin"/>
      </w:r>
      <w:r w:rsidRPr="003D1E07">
        <w:instrText xml:space="preserve"> XE "kauzalita:formální" </w:instrText>
      </w:r>
      <w:r w:rsidRPr="003D1E07">
        <w:rPr>
          <w:rStyle w:val="Zkladntext158dkovn0pt"/>
          <w:i/>
          <w:color w:val="auto"/>
          <w:spacing w:val="0"/>
          <w:sz w:val="24"/>
          <w:lang w:val="cs-CZ"/>
        </w:rPr>
        <w:fldChar w:fldCharType="end"/>
      </w:r>
      <w:r w:rsidRPr="003D1E07">
        <w:rPr>
          <w:rStyle w:val="Zkladntext158dkovn0pt"/>
          <w:color w:val="auto"/>
          <w:spacing w:val="0"/>
          <w:sz w:val="24"/>
          <w:lang w:val="cs-CZ"/>
        </w:rPr>
        <w:t xml:space="preserve">. Smyslově-intelektuální </w:t>
      </w:r>
      <w:r w:rsidRPr="003D1E07">
        <w:rPr>
          <w:rStyle w:val="Zkladntext158dkovn0pt"/>
          <w:i/>
          <w:color w:val="auto"/>
          <w:spacing w:val="0"/>
          <w:sz w:val="24"/>
          <w:lang w:val="cs-CZ"/>
        </w:rPr>
        <w:t>proportio</w:t>
      </w:r>
      <w:r w:rsidRPr="003D1E07">
        <w:rPr>
          <w:rStyle w:val="Zkladntext158dkovn0pt"/>
          <w:i/>
          <w:color w:val="auto"/>
          <w:spacing w:val="0"/>
          <w:sz w:val="24"/>
          <w:lang w:val="cs-CZ"/>
        </w:rPr>
        <w:fldChar w:fldCharType="begin"/>
      </w:r>
      <w:r w:rsidRPr="003D1E07">
        <w:instrText xml:space="preserve"> XE "pravda:</w:instrText>
      </w:r>
      <w:r w:rsidRPr="003D1E07">
        <w:rPr>
          <w:rStyle w:val="Zkladntext158dkovn0pt"/>
          <w:i/>
          <w:color w:val="auto"/>
          <w:spacing w:val="0"/>
          <w:sz w:val="24"/>
          <w:lang w:val="cs-CZ"/>
        </w:rPr>
        <w:instrText>proportio</w:instrText>
      </w:r>
      <w:r w:rsidRPr="003D1E07">
        <w:instrText xml:space="preserve">" </w:instrText>
      </w:r>
      <w:r w:rsidRPr="003D1E07">
        <w:rPr>
          <w:rStyle w:val="Zkladntext158dkovn0pt"/>
          <w:i/>
          <w:color w:val="auto"/>
          <w:spacing w:val="0"/>
          <w:sz w:val="24"/>
          <w:lang w:val="cs-CZ"/>
        </w:rPr>
        <w:fldChar w:fldCharType="end"/>
      </w:r>
      <w:r w:rsidRPr="003D1E07">
        <w:rPr>
          <w:rStyle w:val="Zkladntext158dkovn0pt"/>
          <w:color w:val="auto"/>
          <w:spacing w:val="0"/>
          <w:sz w:val="24"/>
          <w:lang w:val="cs-CZ"/>
        </w:rPr>
        <w:t xml:space="preserve"> je dané skrze postup smyslové a inteligibilní formy od potence k aktualitě. Materiální intelekt má schopnost přijmout oba druhy forem, materiální i abstraktní. Z hlediska recepce nemateriálních forem tvoří čistě potenciální (a tím i nemateriální) </w:t>
      </w:r>
      <w:r w:rsidRPr="003D1E07">
        <w:rPr>
          <w:rStyle w:val="Zkladntext158dkovn0pt"/>
          <w:i/>
          <w:color w:val="auto"/>
          <w:spacing w:val="0"/>
          <w:sz w:val="24"/>
          <w:lang w:val="cs-CZ"/>
        </w:rPr>
        <w:t>intellectus materialis</w:t>
      </w:r>
      <w:r w:rsidRPr="003D1E07">
        <w:rPr>
          <w:rStyle w:val="Zkladntext158dkovn0pt"/>
          <w:color w:val="auto"/>
          <w:spacing w:val="0"/>
          <w:sz w:val="24"/>
          <w:lang w:val="cs-CZ"/>
        </w:rPr>
        <w:t xml:space="preserve"> v duši nové diafanum mediatizující proces poznání. Receptivní intelekt na úrovni potence přijme potenciální formu pro činný intelekt, který je vlastním nositelem </w:t>
      </w:r>
      <w:r w:rsidR="08DA4A05" w:rsidRPr="003D1E07">
        <w:rPr>
          <w:rStyle w:val="Zkladntext158dkovn0pt"/>
          <w:color w:val="auto"/>
          <w:spacing w:val="0"/>
          <w:sz w:val="24"/>
          <w:lang w:val="cs-CZ"/>
        </w:rPr>
        <w:lastRenderedPageBreak/>
        <w:t xml:space="preserve">finálního </w:t>
      </w:r>
      <w:r w:rsidRPr="003D1E07">
        <w:rPr>
          <w:rStyle w:val="Zkladntext158dkovn0pt"/>
          <w:color w:val="auto"/>
          <w:spacing w:val="0"/>
          <w:sz w:val="24"/>
          <w:lang w:val="cs-CZ"/>
        </w:rPr>
        <w:t>výkonu poznání (</w:t>
      </w:r>
      <w:r w:rsidRPr="003D1E07">
        <w:rPr>
          <w:i/>
        </w:rPr>
        <w:t>subiectum intellectorum speculativorum et intellectus agentis</w:t>
      </w:r>
      <w:r w:rsidRPr="003D1E07">
        <w:rPr>
          <w:rStyle w:val="Zkladntext158dkovn0pt"/>
          <w:color w:val="auto"/>
          <w:spacing w:val="0"/>
          <w:sz w:val="24"/>
          <w:lang w:val="cs-CZ"/>
        </w:rPr>
        <w:t>). Eficientní kauzalita zajišťuje přechod od věci ke smysl</w:t>
      </w:r>
      <w:r w:rsidR="08141691" w:rsidRPr="003D1E07">
        <w:rPr>
          <w:rStyle w:val="Zkladntext158dkovn0pt"/>
          <w:color w:val="auto"/>
          <w:spacing w:val="0"/>
          <w:sz w:val="24"/>
          <w:lang w:val="cs-CZ"/>
        </w:rPr>
        <w:t>ovému orgánu. Pak začíná mediace</w:t>
      </w:r>
      <w:r w:rsidRPr="003D1E07">
        <w:rPr>
          <w:rStyle w:val="Zkladntext158dkovn0pt"/>
          <w:color w:val="auto"/>
          <w:spacing w:val="0"/>
          <w:sz w:val="24"/>
          <w:lang w:val="cs-CZ"/>
        </w:rPr>
        <w:t xml:space="preserve"> </w:t>
      </w:r>
      <w:r w:rsidR="08141691" w:rsidRPr="003D1E07">
        <w:rPr>
          <w:rStyle w:val="Zkladntext158dkovn0pt"/>
          <w:color w:val="auto"/>
          <w:spacing w:val="0"/>
          <w:sz w:val="24"/>
          <w:lang w:val="cs-CZ"/>
        </w:rPr>
        <w:t xml:space="preserve">skrze formální kauzalitu diafanum </w:t>
      </w:r>
      <w:r w:rsidRPr="003D1E07">
        <w:rPr>
          <w:rStyle w:val="Zkladntext158dkovn0pt"/>
          <w:color w:val="auto"/>
          <w:spacing w:val="0"/>
          <w:sz w:val="24"/>
          <w:lang w:val="cs-CZ"/>
        </w:rPr>
        <w:t xml:space="preserve">zajišťující první stupeň poznání i pro zvířata. Pro člověka navíc platí plné </w:t>
      </w:r>
      <w:r w:rsidR="002E3B62" w:rsidRPr="003D1E07">
        <w:rPr>
          <w:rStyle w:val="Zkladntext158dkovn0pt"/>
          <w:i/>
          <w:color w:val="auto"/>
          <w:spacing w:val="0"/>
          <w:sz w:val="24"/>
          <w:lang w:val="cs-CZ"/>
        </w:rPr>
        <w:t>adaequatio</w:t>
      </w:r>
      <w:r w:rsidRPr="003D1E07">
        <w:rPr>
          <w:rStyle w:val="Zkladntext158dkovn0pt"/>
          <w:color w:val="auto"/>
          <w:spacing w:val="0"/>
          <w:sz w:val="24"/>
          <w:lang w:val="cs-CZ"/>
        </w:rPr>
        <w:t xml:space="preserve"> mezi smysly a intelektem</w:t>
      </w:r>
      <w:r w:rsidR="08141691" w:rsidRPr="003D1E07">
        <w:rPr>
          <w:rStyle w:val="Zkladntext158dkovn0pt"/>
          <w:color w:val="auto"/>
          <w:spacing w:val="0"/>
          <w:sz w:val="24"/>
          <w:lang w:val="cs-CZ"/>
        </w:rPr>
        <w:t xml:space="preserve"> na úrovni druhé mediace</w:t>
      </w:r>
      <w:r w:rsidRPr="003D1E07">
        <w:rPr>
          <w:rStyle w:val="Zkladntext158dkovn0pt"/>
          <w:color w:val="auto"/>
          <w:spacing w:val="0"/>
          <w:sz w:val="24"/>
          <w:lang w:val="cs-CZ"/>
        </w:rPr>
        <w:t xml:space="preserve">. Funkce hylického intelektu je zachována v modu predikace </w:t>
      </w:r>
      <w:r w:rsidRPr="003D1E07">
        <w:rPr>
          <w:rStyle w:val="Zkladntext158dkovn0pt"/>
          <w:i/>
          <w:color w:val="auto"/>
          <w:spacing w:val="0"/>
          <w:sz w:val="24"/>
          <w:lang w:val="cs-CZ"/>
        </w:rPr>
        <w:t xml:space="preserve">tertium </w:t>
      </w:r>
      <w:r w:rsidR="00636BD4" w:rsidRPr="006459C2">
        <w:rPr>
          <w:rStyle w:val="Zkladntext158dkovn0pt"/>
          <w:i/>
          <w:color w:val="auto"/>
          <w:spacing w:val="0"/>
          <w:sz w:val="24"/>
          <w:lang w:val="cs-CZ"/>
        </w:rPr>
        <w:t>genus</w:t>
      </w:r>
      <w:r w:rsidRPr="003D1E07">
        <w:rPr>
          <w:rStyle w:val="Zkladntext158dkovn0pt"/>
          <w:i/>
          <w:color w:val="auto"/>
          <w:spacing w:val="0"/>
          <w:sz w:val="24"/>
          <w:lang w:val="cs-CZ"/>
        </w:rPr>
        <w:fldChar w:fldCharType="begin"/>
      </w:r>
      <w:r w:rsidRPr="003D1E07">
        <w:instrText xml:space="preserve"> XE "</w:instrText>
      </w:r>
      <w:r w:rsidRPr="003D1E07">
        <w:rPr>
          <w:i/>
        </w:rPr>
        <w:instrText>tertium genus</w:instrText>
      </w:r>
      <w:r w:rsidRPr="003D1E07">
        <w:instrText xml:space="preserve">" </w:instrText>
      </w:r>
      <w:r w:rsidRPr="003D1E07">
        <w:rPr>
          <w:rStyle w:val="Zkladntext158dkovn0pt"/>
          <w:i/>
          <w:color w:val="auto"/>
          <w:spacing w:val="0"/>
          <w:sz w:val="24"/>
          <w:lang w:val="cs-CZ"/>
        </w:rPr>
        <w:fldChar w:fldCharType="end"/>
      </w:r>
      <w:r w:rsidRPr="003D1E07">
        <w:rPr>
          <w:rStyle w:val="Zkladntext158dkovn0pt"/>
          <w:color w:val="auto"/>
          <w:spacing w:val="0"/>
          <w:sz w:val="24"/>
          <w:lang w:val="cs-CZ"/>
        </w:rPr>
        <w:t xml:space="preserve">, protože je aktualizovaný smyslově a v individuálním aktu poznání. Ale materiální intelekt se stal </w:t>
      </w:r>
      <w:r w:rsidR="08D77633" w:rsidRPr="003D1E07">
        <w:rPr>
          <w:rStyle w:val="Zkladntext158dkovn0pt"/>
          <w:color w:val="auto"/>
          <w:spacing w:val="0"/>
          <w:sz w:val="24"/>
          <w:lang w:val="cs-CZ"/>
        </w:rPr>
        <w:t xml:space="preserve">pro Averroese </w:t>
      </w:r>
      <w:r w:rsidRPr="003D1E07">
        <w:rPr>
          <w:rStyle w:val="Zkladntext158dkovn0pt"/>
          <w:color w:val="auto"/>
          <w:spacing w:val="0"/>
          <w:sz w:val="24"/>
          <w:lang w:val="cs-CZ"/>
        </w:rPr>
        <w:t>čistou potencí</w:t>
      </w:r>
      <w:r w:rsidR="0802010B" w:rsidRPr="003D1E07">
        <w:rPr>
          <w:rStyle w:val="Zkladntext158dkovn0pt"/>
          <w:color w:val="auto"/>
          <w:spacing w:val="0"/>
          <w:sz w:val="24"/>
          <w:lang w:val="cs-CZ"/>
        </w:rPr>
        <w:t xml:space="preserve"> reálně existující duše v těle</w:t>
      </w:r>
      <w:r w:rsidR="08DC6FE7" w:rsidRPr="003D1E07">
        <w:rPr>
          <w:rStyle w:val="Zkladntext158dkovn0pt"/>
          <w:color w:val="auto"/>
          <w:spacing w:val="0"/>
          <w:sz w:val="24"/>
          <w:lang w:val="cs-CZ"/>
        </w:rPr>
        <w:t xml:space="preserve">. Nemateriální intelekt </w:t>
      </w:r>
      <w:r w:rsidRPr="003D1E07">
        <w:rPr>
          <w:rStyle w:val="Zkladntext158dkovn0pt"/>
          <w:color w:val="auto"/>
          <w:spacing w:val="0"/>
          <w:sz w:val="24"/>
          <w:lang w:val="cs-CZ"/>
        </w:rPr>
        <w:t xml:space="preserve">nemůže být Alexandrovou </w:t>
      </w:r>
      <w:r w:rsidR="08316D88" w:rsidRPr="003D1E07">
        <w:rPr>
          <w:rStyle w:val="Zkladntext158dkovn0pt"/>
          <w:color w:val="auto"/>
          <w:spacing w:val="0"/>
          <w:sz w:val="24"/>
          <w:lang w:val="cs-CZ"/>
        </w:rPr>
        <w:t xml:space="preserve">a Themistiovou </w:t>
      </w:r>
      <w:r w:rsidRPr="003D1E07">
        <w:rPr>
          <w:rStyle w:val="Zkladntext158dkovn0pt"/>
          <w:color w:val="auto"/>
          <w:spacing w:val="0"/>
          <w:sz w:val="24"/>
          <w:lang w:val="cs-CZ"/>
        </w:rPr>
        <w:t>substancí</w:t>
      </w:r>
      <w:r w:rsidR="082C2E44" w:rsidRPr="003D1E07">
        <w:rPr>
          <w:rStyle w:val="Zkladntext158dkovn0pt"/>
          <w:i/>
          <w:color w:val="auto"/>
          <w:spacing w:val="0"/>
          <w:sz w:val="24"/>
          <w:lang w:val="cs-CZ"/>
        </w:rPr>
        <w:fldChar w:fldCharType="begin"/>
      </w:r>
      <w:r w:rsidR="082C2E44" w:rsidRPr="003D1E07">
        <w:instrText xml:space="preserve"> XE "</w:instrText>
      </w:r>
      <w:r w:rsidR="082C2E44" w:rsidRPr="003D1E07">
        <w:rPr>
          <w:i/>
        </w:rPr>
        <w:instrText>intellectus possibilis</w:instrText>
      </w:r>
      <w:r w:rsidR="082C2E44" w:rsidRPr="003D1E07">
        <w:instrText xml:space="preserve">:Themistius" </w:instrText>
      </w:r>
      <w:r w:rsidR="082C2E44" w:rsidRPr="003D1E07">
        <w:rPr>
          <w:rStyle w:val="Zkladntext158dkovn0pt"/>
          <w:i/>
          <w:color w:val="auto"/>
          <w:spacing w:val="0"/>
          <w:sz w:val="24"/>
          <w:lang w:val="cs-CZ"/>
        </w:rPr>
        <w:fldChar w:fldCharType="end"/>
      </w:r>
      <w:r w:rsidRPr="003D1E07">
        <w:rPr>
          <w:rStyle w:val="Zkladntext158dkovn0pt"/>
          <w:color w:val="auto"/>
          <w:spacing w:val="0"/>
          <w:sz w:val="24"/>
          <w:lang w:val="cs-CZ"/>
        </w:rPr>
        <w:t xml:space="preserve">. Univerzálně nemateriální receptivita </w:t>
      </w:r>
      <w:r w:rsidRPr="003D1E07">
        <w:rPr>
          <w:rStyle w:val="Zkladntext158dkovn0pt"/>
          <w:i/>
          <w:color w:val="auto"/>
          <w:spacing w:val="0"/>
          <w:sz w:val="24"/>
          <w:lang w:val="cs-CZ"/>
        </w:rPr>
        <w:t>intellectus possibilis</w:t>
      </w:r>
      <w:r w:rsidRPr="003D1E07">
        <w:rPr>
          <w:rStyle w:val="Zkladntext158dkovn0pt"/>
          <w:color w:val="auto"/>
          <w:spacing w:val="0"/>
          <w:sz w:val="24"/>
          <w:lang w:val="cs-CZ"/>
        </w:rPr>
        <w:t xml:space="preserve"> daného v modu inteligibilní potence umožňuje poznávat vše, protože receptivní intelekt představuje nemateriální formu diafanum pro </w:t>
      </w:r>
      <w:r w:rsidRPr="003D1E07">
        <w:rPr>
          <w:rStyle w:val="Zkladntext158dkovn0pt"/>
          <w:i/>
          <w:color w:val="auto"/>
          <w:spacing w:val="0"/>
          <w:sz w:val="24"/>
          <w:lang w:val="cs-CZ"/>
        </w:rPr>
        <w:t>anima intellectiva</w:t>
      </w:r>
      <w:r w:rsidRPr="003D1E07">
        <w:rPr>
          <w:rStyle w:val="Zkladntext158dkovn0pt"/>
          <w:color w:val="auto"/>
          <w:spacing w:val="0"/>
          <w:sz w:val="24"/>
          <w:lang w:val="cs-CZ"/>
        </w:rPr>
        <w:t xml:space="preserve">. Aristotelsky vyložená lidská duše </w:t>
      </w:r>
      <w:r w:rsidR="0808387D" w:rsidRPr="003D1E07">
        <w:rPr>
          <w:rStyle w:val="Zkladntext158dkovn0pt"/>
          <w:color w:val="auto"/>
          <w:spacing w:val="0"/>
          <w:sz w:val="24"/>
          <w:lang w:val="cs-CZ"/>
        </w:rPr>
        <w:t xml:space="preserve">entelechicky oživující tělo </w:t>
      </w:r>
      <w:r w:rsidRPr="003D1E07">
        <w:rPr>
          <w:rStyle w:val="Zkladntext158dkovn0pt"/>
          <w:color w:val="auto"/>
          <w:spacing w:val="0"/>
          <w:sz w:val="24"/>
          <w:lang w:val="cs-CZ"/>
        </w:rPr>
        <w:t>je tím pádem vším. Zároveň je možné koncept možného intelektu chápat i jako univerzálii (</w:t>
      </w:r>
      <w:r w:rsidRPr="003D1E07">
        <w:rPr>
          <w:rStyle w:val="Zkladntext158dkovn0pt"/>
          <w:i/>
          <w:color w:val="auto"/>
          <w:spacing w:val="0"/>
          <w:sz w:val="24"/>
          <w:lang w:val="cs-CZ"/>
        </w:rPr>
        <w:t xml:space="preserve">quartum </w:t>
      </w:r>
      <w:r w:rsidR="00636BD4" w:rsidRPr="006459C2">
        <w:rPr>
          <w:rStyle w:val="Zkladntext158dkovn0pt"/>
          <w:i/>
          <w:color w:val="auto"/>
          <w:spacing w:val="0"/>
          <w:sz w:val="24"/>
          <w:lang w:val="cs-CZ"/>
        </w:rPr>
        <w:t>genus</w:t>
      </w:r>
      <w:r w:rsidRPr="003D1E07">
        <w:rPr>
          <w:rStyle w:val="Zkladntext158dkovn0pt"/>
          <w:i/>
          <w:color w:val="auto"/>
          <w:spacing w:val="0"/>
          <w:sz w:val="24"/>
          <w:lang w:val="cs-CZ"/>
        </w:rPr>
        <w:fldChar w:fldCharType="begin"/>
      </w:r>
      <w:r w:rsidRPr="003D1E07">
        <w:instrText xml:space="preserve"> XE "</w:instrText>
      </w:r>
      <w:r w:rsidRPr="003D1E07">
        <w:rPr>
          <w:i/>
        </w:rPr>
        <w:instrText>quartum genus</w:instrText>
      </w:r>
      <w:r w:rsidRPr="003D1E07">
        <w:instrText xml:space="preserve">" </w:instrText>
      </w:r>
      <w:r w:rsidRPr="003D1E07">
        <w:rPr>
          <w:rStyle w:val="Zkladntext158dkovn0pt"/>
          <w:i/>
          <w:color w:val="auto"/>
          <w:spacing w:val="0"/>
          <w:sz w:val="24"/>
          <w:lang w:val="cs-CZ"/>
        </w:rPr>
        <w:fldChar w:fldCharType="end"/>
      </w:r>
      <w:r w:rsidRPr="003D1E07">
        <w:rPr>
          <w:rStyle w:val="Zkladntext158dkovn0pt"/>
          <w:color w:val="auto"/>
          <w:spacing w:val="0"/>
          <w:sz w:val="24"/>
          <w:lang w:val="cs-CZ"/>
        </w:rPr>
        <w:t>)</w:t>
      </w:r>
      <w:r w:rsidR="006318A9">
        <w:rPr>
          <w:rStyle w:val="Zkladntext158dkovn0pt"/>
          <w:color w:val="auto"/>
          <w:spacing w:val="0"/>
          <w:sz w:val="24"/>
          <w:lang w:val="cs-CZ"/>
        </w:rPr>
        <w:t>. Pak platí, že abstrahujeme svou vlastní činnost intelektu</w:t>
      </w:r>
      <w:r w:rsidR="00F85BA5">
        <w:rPr>
          <w:rStyle w:val="Zkladntext158dkovn0pt"/>
          <w:color w:val="auto"/>
          <w:spacing w:val="0"/>
          <w:sz w:val="24"/>
          <w:lang w:val="cs-CZ"/>
        </w:rPr>
        <w:t xml:space="preserve">, ale ne jako mytologické karteziánské </w:t>
      </w:r>
      <w:r w:rsidR="00F85BA5" w:rsidRPr="00F85BA5">
        <w:rPr>
          <w:rStyle w:val="Zkladntext158dkovn0pt"/>
          <w:i/>
          <w:color w:val="auto"/>
          <w:spacing w:val="0"/>
          <w:sz w:val="24"/>
          <w:lang w:val="cs-CZ"/>
        </w:rPr>
        <w:t>cogito</w:t>
      </w:r>
      <w:r w:rsidR="00F85BA5">
        <w:rPr>
          <w:rStyle w:val="Zkladntext158dkovn0pt"/>
          <w:i/>
          <w:color w:val="auto"/>
          <w:spacing w:val="0"/>
          <w:sz w:val="24"/>
          <w:lang w:val="cs-CZ"/>
        </w:rPr>
        <w:fldChar w:fldCharType="begin"/>
      </w:r>
      <w:r w:rsidR="00F85BA5">
        <w:instrText xml:space="preserve"> XE "</w:instrText>
      </w:r>
      <w:r w:rsidR="00F85BA5" w:rsidRPr="0083482D">
        <w:rPr>
          <w:rStyle w:val="Zkladntext158dkovn0pt"/>
          <w:i/>
          <w:color w:val="auto"/>
          <w:spacing w:val="0"/>
          <w:sz w:val="24"/>
          <w:lang w:val="cs-CZ"/>
        </w:rPr>
        <w:instrText>cogito</w:instrText>
      </w:r>
      <w:r w:rsidR="00F85BA5">
        <w:instrText xml:space="preserve">" </w:instrText>
      </w:r>
      <w:r w:rsidR="00F85BA5">
        <w:rPr>
          <w:rStyle w:val="Zkladntext158dkovn0pt"/>
          <w:i/>
          <w:color w:val="auto"/>
          <w:spacing w:val="0"/>
          <w:sz w:val="24"/>
          <w:lang w:val="cs-CZ"/>
        </w:rPr>
        <w:fldChar w:fldCharType="end"/>
      </w:r>
      <w:r w:rsidR="00F85BA5">
        <w:rPr>
          <w:rStyle w:val="Zkladntext158dkovn0pt"/>
          <w:color w:val="auto"/>
          <w:spacing w:val="0"/>
          <w:sz w:val="24"/>
          <w:lang w:val="cs-CZ"/>
        </w:rPr>
        <w:t xml:space="preserve">. To nemá tělo, a tím ani zdroj základní aktualizace intelektu. </w:t>
      </w:r>
      <w:r w:rsidRPr="003D1E07">
        <w:rPr>
          <w:rStyle w:val="Zkladntext158dkovn0pt"/>
          <w:color w:val="auto"/>
          <w:spacing w:val="0"/>
          <w:sz w:val="24"/>
          <w:lang w:val="cs-CZ"/>
        </w:rPr>
        <w:t>Proto se lidské společenství nadané nemateriálním receptivním intelektem liší od světa zvířat a jejich smys</w:t>
      </w:r>
      <w:r w:rsidR="009D2F4C" w:rsidRPr="003D1E07">
        <w:rPr>
          <w:rStyle w:val="Zkladntext158dkovn0pt"/>
          <w:color w:val="auto"/>
          <w:spacing w:val="0"/>
          <w:sz w:val="24"/>
          <w:lang w:val="cs-CZ"/>
        </w:rPr>
        <w:t>lového intencionálního poznání.</w:t>
      </w:r>
    </w:p>
    <w:p w14:paraId="60BB98D8" w14:textId="7F62F4A5" w:rsidR="00881894" w:rsidRDefault="009D2F4C" w:rsidP="00CE01E3">
      <w:pPr>
        <w:ind w:firstLine="397"/>
      </w:pPr>
      <w:r w:rsidRPr="003D1E07">
        <w:rPr>
          <w:rStyle w:val="Zkladntext158dkovn0pt"/>
          <w:color w:val="auto"/>
          <w:spacing w:val="0"/>
          <w:sz w:val="24"/>
          <w:lang w:val="cs-CZ"/>
        </w:rPr>
        <w:t>J</w:t>
      </w:r>
      <w:r w:rsidR="00C57B10" w:rsidRPr="003D1E07">
        <w:rPr>
          <w:rStyle w:val="Zkladntext158dkovn0pt"/>
          <w:color w:val="auto"/>
          <w:spacing w:val="0"/>
          <w:sz w:val="24"/>
          <w:lang w:val="cs-CZ"/>
        </w:rPr>
        <w:t>ako živé bytosti poznáváme jeden společný svět, i když každý skrze jinou formu i</w:t>
      </w:r>
      <w:r w:rsidR="088D4998" w:rsidRPr="003D1E07">
        <w:rPr>
          <w:rStyle w:val="Zkladntext158dkovn0pt"/>
          <w:color w:val="auto"/>
          <w:spacing w:val="0"/>
          <w:sz w:val="24"/>
          <w:lang w:val="cs-CZ"/>
        </w:rPr>
        <w:t>ntencionality</w:t>
      </w:r>
      <w:r w:rsidR="004D7A42">
        <w:rPr>
          <w:rStyle w:val="Zkladntext158dkovn0pt"/>
          <w:color w:val="auto"/>
          <w:spacing w:val="0"/>
          <w:sz w:val="24"/>
          <w:lang w:val="cs-CZ"/>
        </w:rPr>
        <w:t xml:space="preserve"> (</w:t>
      </w:r>
      <w:r w:rsidR="004D7A42" w:rsidRPr="004D7A42">
        <w:rPr>
          <w:rStyle w:val="Zkladntext158dkovn0pt"/>
          <w:i/>
          <w:color w:val="auto"/>
          <w:spacing w:val="0"/>
          <w:sz w:val="24"/>
          <w:lang w:val="cs-CZ"/>
        </w:rPr>
        <w:t>esse spirituale</w:t>
      </w:r>
      <w:r w:rsidR="004D7A42" w:rsidRPr="004D7A42">
        <w:rPr>
          <w:rStyle w:val="Zkladntext158dkovn0pt"/>
          <w:i/>
          <w:color w:val="auto"/>
          <w:spacing w:val="0"/>
          <w:sz w:val="24"/>
          <w:vertAlign w:val="superscript"/>
          <w:lang w:val="cs-CZ"/>
        </w:rPr>
        <w:t>1-2</w:t>
      </w:r>
      <w:r w:rsidR="004D7A42">
        <w:rPr>
          <w:rStyle w:val="Zkladntext158dkovn0pt"/>
          <w:color w:val="auto"/>
          <w:spacing w:val="0"/>
          <w:sz w:val="24"/>
          <w:lang w:val="cs-CZ"/>
        </w:rPr>
        <w:t>)</w:t>
      </w:r>
      <w:r w:rsidR="088D4998" w:rsidRPr="003D1E07">
        <w:rPr>
          <w:rStyle w:val="Zkladntext158dkovn0pt"/>
          <w:color w:val="auto"/>
          <w:spacing w:val="0"/>
          <w:sz w:val="24"/>
          <w:lang w:val="cs-CZ"/>
        </w:rPr>
        <w:t>.</w:t>
      </w:r>
      <w:r w:rsidR="085855DD" w:rsidRPr="003D1E07">
        <w:rPr>
          <w:rStyle w:val="Zkladntext158dkovn0pt"/>
          <w:color w:val="auto"/>
          <w:spacing w:val="0"/>
          <w:sz w:val="24"/>
          <w:lang w:val="cs-CZ"/>
        </w:rPr>
        <w:t xml:space="preserve"> </w:t>
      </w:r>
      <w:r w:rsidR="00FD7A26">
        <w:rPr>
          <w:rStyle w:val="Zkladntextdkovn0pt"/>
          <w:rFonts w:ascii="Calibri" w:eastAsia="Times" w:hAnsi="Calibri" w:cs="Times New Roman"/>
          <w:color w:val="auto"/>
          <w:spacing w:val="0"/>
          <w:sz w:val="24"/>
          <w:u w:val="none"/>
          <w:lang w:val="cs-CZ"/>
        </w:rPr>
        <w:t xml:space="preserve">Intencionalita zaměřuje </w:t>
      </w:r>
      <w:r w:rsidR="085855DD" w:rsidRPr="003D1E07">
        <w:rPr>
          <w:rStyle w:val="Zkladntextdkovn0pt"/>
          <w:rFonts w:ascii="Calibri" w:eastAsia="Times" w:hAnsi="Calibri" w:cs="Times New Roman"/>
          <w:color w:val="auto"/>
          <w:spacing w:val="0"/>
          <w:sz w:val="24"/>
          <w:u w:val="none"/>
          <w:lang w:val="cs-CZ"/>
        </w:rPr>
        <w:t>poznávací schopnosti duše směrem k věci poznávané smysly</w:t>
      </w:r>
      <w:r w:rsidR="08A6121D" w:rsidRPr="003D1E07">
        <w:rPr>
          <w:rStyle w:val="Zkladntextdkovn0pt"/>
          <w:rFonts w:ascii="Calibri" w:eastAsia="Times" w:hAnsi="Calibri" w:cs="Times New Roman"/>
          <w:color w:val="auto"/>
          <w:spacing w:val="0"/>
          <w:sz w:val="24"/>
          <w:u w:val="none"/>
          <w:lang w:val="cs-CZ"/>
        </w:rPr>
        <w:t xml:space="preserve">. </w:t>
      </w:r>
      <w:r w:rsidR="009C5329" w:rsidRPr="003D1E07">
        <w:rPr>
          <w:rStyle w:val="Zkladntextdkovn0pt"/>
          <w:rFonts w:ascii="Calibri" w:eastAsia="Times" w:hAnsi="Calibri" w:cs="Times New Roman"/>
          <w:color w:val="auto"/>
          <w:spacing w:val="0"/>
          <w:sz w:val="24"/>
          <w:u w:val="none"/>
          <w:lang w:val="cs-CZ"/>
        </w:rPr>
        <w:t>Vjem daný v materiálním orgánu se musí přenést d</w:t>
      </w:r>
      <w:r w:rsidR="08A6121D" w:rsidRPr="003D1E07">
        <w:rPr>
          <w:rStyle w:val="Zkladntextdkovn0pt"/>
          <w:rFonts w:ascii="Calibri" w:eastAsia="Times" w:hAnsi="Calibri" w:cs="Times New Roman"/>
          <w:color w:val="auto"/>
          <w:spacing w:val="0"/>
          <w:sz w:val="24"/>
          <w:u w:val="none"/>
          <w:lang w:val="cs-CZ"/>
        </w:rPr>
        <w:t>o syntetické sc</w:t>
      </w:r>
      <w:r w:rsidR="009C5329" w:rsidRPr="003D1E07">
        <w:rPr>
          <w:rStyle w:val="Zkladntextdkovn0pt"/>
          <w:rFonts w:ascii="Calibri" w:eastAsia="Times" w:hAnsi="Calibri" w:cs="Times New Roman"/>
          <w:color w:val="auto"/>
          <w:spacing w:val="0"/>
          <w:sz w:val="24"/>
          <w:u w:val="none"/>
          <w:lang w:val="cs-CZ"/>
        </w:rPr>
        <w:t>hopnosti duše</w:t>
      </w:r>
      <w:r w:rsidR="085855DD" w:rsidRPr="003D1E07">
        <w:rPr>
          <w:rStyle w:val="Zkladntextdkovn0pt"/>
          <w:rFonts w:ascii="Calibri" w:eastAsia="Times" w:hAnsi="Calibri" w:cs="Times New Roman"/>
          <w:color w:val="auto"/>
          <w:spacing w:val="0"/>
          <w:sz w:val="24"/>
          <w:u w:val="none"/>
          <w:lang w:val="cs-CZ"/>
        </w:rPr>
        <w:t xml:space="preserve">. </w:t>
      </w:r>
      <w:r w:rsidR="009C5329" w:rsidRPr="003D1E07">
        <w:rPr>
          <w:rStyle w:val="Zkladntextdkovn0pt"/>
          <w:rFonts w:ascii="Calibri" w:eastAsia="Times" w:hAnsi="Calibri" w:cs="Times New Roman"/>
          <w:color w:val="auto"/>
          <w:spacing w:val="0"/>
          <w:sz w:val="24"/>
          <w:u w:val="none"/>
          <w:lang w:val="cs-CZ"/>
        </w:rPr>
        <w:t xml:space="preserve">Smyslová aprehense nedává </w:t>
      </w:r>
      <w:r w:rsidR="08A6121D" w:rsidRPr="003D1E07">
        <w:rPr>
          <w:rStyle w:val="Zkladntextdkovn0pt"/>
          <w:rFonts w:ascii="Calibri" w:eastAsia="Times" w:hAnsi="Calibri" w:cs="Times New Roman"/>
          <w:color w:val="auto"/>
          <w:spacing w:val="0"/>
          <w:sz w:val="24"/>
          <w:u w:val="none"/>
          <w:lang w:val="cs-CZ"/>
        </w:rPr>
        <w:t xml:space="preserve">poznání, protože je čistě materiální a </w:t>
      </w:r>
      <w:r w:rsidR="009C5329" w:rsidRPr="003D1E07">
        <w:rPr>
          <w:rStyle w:val="Zkladntextdkovn0pt"/>
          <w:rFonts w:ascii="Calibri" w:eastAsia="Times" w:hAnsi="Calibri" w:cs="Times New Roman"/>
          <w:color w:val="auto"/>
          <w:spacing w:val="0"/>
          <w:sz w:val="24"/>
          <w:u w:val="none"/>
          <w:lang w:val="cs-CZ"/>
        </w:rPr>
        <w:t xml:space="preserve">její </w:t>
      </w:r>
      <w:r w:rsidR="08A6121D" w:rsidRPr="003D1E07">
        <w:rPr>
          <w:rStyle w:val="Zkladntextdkovn0pt"/>
          <w:rFonts w:ascii="Calibri" w:eastAsia="Times" w:hAnsi="Calibri" w:cs="Times New Roman"/>
          <w:color w:val="auto"/>
          <w:spacing w:val="0"/>
          <w:sz w:val="24"/>
          <w:u w:val="none"/>
          <w:lang w:val="cs-CZ"/>
        </w:rPr>
        <w:t xml:space="preserve">afekce běží v modu </w:t>
      </w:r>
      <w:r w:rsidR="08A6121D" w:rsidRPr="003D1E07">
        <w:rPr>
          <w:rStyle w:val="Zkladntextdkovn0pt"/>
          <w:rFonts w:ascii="Calibri" w:eastAsia="Times" w:hAnsi="Calibri" w:cs="Times New Roman"/>
          <w:i/>
          <w:color w:val="auto"/>
          <w:spacing w:val="0"/>
          <w:sz w:val="24"/>
          <w:u w:val="none"/>
          <w:lang w:val="cs-CZ"/>
        </w:rPr>
        <w:t>causa efficiens</w:t>
      </w:r>
      <w:r w:rsidR="08A6121D" w:rsidRPr="003D1E07">
        <w:rPr>
          <w:rStyle w:val="Zkladntextdkovn0pt"/>
          <w:rFonts w:ascii="Calibri" w:eastAsia="Times" w:hAnsi="Calibri" w:cs="Times New Roman"/>
          <w:color w:val="auto"/>
          <w:spacing w:val="0"/>
          <w:sz w:val="24"/>
          <w:u w:val="none"/>
          <w:lang w:val="cs-CZ"/>
        </w:rPr>
        <w:t xml:space="preserve">. Smyslový orgán </w:t>
      </w:r>
      <w:r w:rsidR="00FB46E5" w:rsidRPr="003D1E07">
        <w:rPr>
          <w:rStyle w:val="Zkladntextdkovn0pt"/>
          <w:rFonts w:ascii="Calibri" w:eastAsia="Times" w:hAnsi="Calibri" w:cs="Times New Roman"/>
          <w:color w:val="auto"/>
          <w:spacing w:val="0"/>
          <w:sz w:val="24"/>
          <w:u w:val="none"/>
          <w:lang w:val="cs-CZ"/>
        </w:rPr>
        <w:t xml:space="preserve">lze </w:t>
      </w:r>
      <w:r w:rsidR="08A6121D" w:rsidRPr="003D1E07">
        <w:rPr>
          <w:rStyle w:val="Zkladntextdkovn0pt"/>
          <w:rFonts w:ascii="Calibri" w:eastAsia="Times" w:hAnsi="Calibri" w:cs="Times New Roman"/>
          <w:color w:val="auto"/>
          <w:spacing w:val="0"/>
          <w:sz w:val="24"/>
          <w:u w:val="none"/>
          <w:lang w:val="cs-CZ"/>
        </w:rPr>
        <w:t xml:space="preserve">nahradit </w:t>
      </w:r>
      <w:r w:rsidR="0028118B" w:rsidRPr="003D1E07">
        <w:rPr>
          <w:rStyle w:val="Zkladntextdkovn0pt"/>
          <w:rFonts w:ascii="Calibri" w:eastAsia="Times" w:hAnsi="Calibri" w:cs="Times New Roman"/>
          <w:color w:val="auto"/>
          <w:spacing w:val="0"/>
          <w:sz w:val="24"/>
          <w:u w:val="none"/>
          <w:lang w:val="cs-CZ"/>
        </w:rPr>
        <w:t xml:space="preserve">nějakým nástrojem. Zvíře jako živý organismus nebo člověk jako osoba poznávají </w:t>
      </w:r>
      <w:r w:rsidR="08F0163F" w:rsidRPr="003D1E07">
        <w:rPr>
          <w:rStyle w:val="Zkladntextdkovn0pt"/>
          <w:rFonts w:ascii="Calibri" w:eastAsia="Times" w:hAnsi="Calibri" w:cs="Times New Roman"/>
          <w:color w:val="auto"/>
          <w:spacing w:val="0"/>
          <w:sz w:val="24"/>
          <w:u w:val="none"/>
          <w:lang w:val="cs-CZ"/>
        </w:rPr>
        <w:t xml:space="preserve">skrze intencionální </w:t>
      </w:r>
      <w:r w:rsidR="00F214C5" w:rsidRPr="003D1E07">
        <w:rPr>
          <w:rStyle w:val="Zkladntextdkovn0pt"/>
          <w:rFonts w:ascii="Calibri" w:eastAsia="Times" w:hAnsi="Calibri" w:cs="Times New Roman"/>
          <w:color w:val="auto"/>
          <w:spacing w:val="0"/>
          <w:sz w:val="24"/>
          <w:u w:val="none"/>
          <w:lang w:val="cs-CZ"/>
        </w:rPr>
        <w:t>species</w:t>
      </w:r>
      <w:r w:rsidR="006900EC">
        <w:rPr>
          <w:rStyle w:val="Zkladntextdkovn0pt"/>
          <w:rFonts w:ascii="Calibri" w:eastAsia="Times" w:hAnsi="Calibri" w:cs="Times New Roman"/>
          <w:color w:val="auto"/>
          <w:spacing w:val="0"/>
          <w:sz w:val="24"/>
          <w:u w:val="none"/>
          <w:lang w:val="cs-CZ"/>
        </w:rPr>
        <w:t>. Ta už nahradit nelze, protože jsou nemateriální povahy</w:t>
      </w:r>
      <w:r w:rsidR="08A6121D" w:rsidRPr="003D1E07">
        <w:rPr>
          <w:rStyle w:val="Zkladntextdkovn0pt"/>
          <w:rFonts w:ascii="Calibri" w:eastAsia="Times" w:hAnsi="Calibri" w:cs="Times New Roman"/>
          <w:color w:val="auto"/>
          <w:spacing w:val="0"/>
          <w:sz w:val="24"/>
          <w:u w:val="none"/>
          <w:lang w:val="cs-CZ"/>
        </w:rPr>
        <w:t>.</w:t>
      </w:r>
      <w:r w:rsidR="0028118B" w:rsidRPr="003D1E07">
        <w:rPr>
          <w:rStyle w:val="Zkladntextdkovn0pt"/>
          <w:rFonts w:ascii="Calibri" w:eastAsia="Times" w:hAnsi="Calibri" w:cs="Times New Roman"/>
          <w:color w:val="auto"/>
          <w:spacing w:val="0"/>
          <w:sz w:val="24"/>
          <w:u w:val="none"/>
          <w:lang w:val="cs-CZ"/>
        </w:rPr>
        <w:t xml:space="preserve"> </w:t>
      </w:r>
      <w:r w:rsidR="00D61D77" w:rsidRPr="003D1E07">
        <w:rPr>
          <w:rStyle w:val="Zkladntextdkovn0pt"/>
          <w:rFonts w:ascii="Calibri" w:eastAsia="Times" w:hAnsi="Calibri" w:cs="Times New Roman"/>
          <w:color w:val="auto"/>
          <w:spacing w:val="0"/>
          <w:sz w:val="24"/>
          <w:u w:val="none"/>
          <w:lang w:val="cs-CZ"/>
        </w:rPr>
        <w:t>Skutečným objektem p</w:t>
      </w:r>
      <w:r w:rsidR="085855DD" w:rsidRPr="003D1E07">
        <w:t>oznání je f</w:t>
      </w:r>
      <w:r w:rsidR="085855DD" w:rsidRPr="003D1E07">
        <w:rPr>
          <w:rStyle w:val="Zkladntextdkovn0pt"/>
          <w:rFonts w:ascii="Calibri" w:eastAsia="Times" w:hAnsi="Calibri" w:cs="Times New Roman"/>
          <w:color w:val="auto"/>
          <w:spacing w:val="0"/>
          <w:sz w:val="24"/>
          <w:u w:val="none"/>
          <w:lang w:val="cs-CZ"/>
        </w:rPr>
        <w:t xml:space="preserve">orma </w:t>
      </w:r>
      <w:r w:rsidR="083A5EE0" w:rsidRPr="003D1E07">
        <w:rPr>
          <w:rStyle w:val="Zkladntextdkovn0pt"/>
          <w:rFonts w:ascii="Calibri" w:eastAsia="Times" w:hAnsi="Calibri" w:cs="Times New Roman"/>
          <w:color w:val="auto"/>
          <w:spacing w:val="0"/>
          <w:sz w:val="24"/>
          <w:u w:val="none"/>
          <w:lang w:val="cs-CZ"/>
        </w:rPr>
        <w:t xml:space="preserve">mediatizovaná skrze diafanum a pak synteticky </w:t>
      </w:r>
      <w:r w:rsidR="085855DD" w:rsidRPr="003D1E07">
        <w:rPr>
          <w:rStyle w:val="Zkladntextdkovn0pt"/>
          <w:rFonts w:ascii="Calibri" w:eastAsia="Times" w:hAnsi="Calibri" w:cs="Times New Roman"/>
          <w:color w:val="auto"/>
          <w:spacing w:val="0"/>
          <w:sz w:val="24"/>
          <w:u w:val="none"/>
          <w:lang w:val="cs-CZ"/>
        </w:rPr>
        <w:t xml:space="preserve">aktualizovaná v duši směrem od zde a nyní poznané věci dané v realitě. </w:t>
      </w:r>
      <w:r w:rsidR="08E21594" w:rsidRPr="003D1E07">
        <w:rPr>
          <w:rStyle w:val="Zkladntextdkovn0pt"/>
          <w:rFonts w:ascii="Calibri" w:eastAsia="Times" w:hAnsi="Calibri" w:cs="Times New Roman"/>
          <w:color w:val="auto"/>
          <w:spacing w:val="0"/>
          <w:sz w:val="24"/>
          <w:u w:val="none"/>
          <w:lang w:val="cs-CZ"/>
        </w:rPr>
        <w:t xml:space="preserve">Poznáváme skrze intencionální formální kauzalitu a subjektem tohoto poznání je odpovídající činnost nemateriální zvířecí nebo lidské duše. </w:t>
      </w:r>
      <w:r w:rsidR="083813EE" w:rsidRPr="003D1E07">
        <w:rPr>
          <w:rStyle w:val="Zkladntextdkovn0pt"/>
          <w:rFonts w:ascii="Calibri" w:eastAsia="Times" w:hAnsi="Calibri" w:cs="Times New Roman"/>
          <w:color w:val="auto"/>
          <w:spacing w:val="0"/>
          <w:sz w:val="24"/>
          <w:u w:val="none"/>
          <w:lang w:val="cs-CZ"/>
        </w:rPr>
        <w:t>S</w:t>
      </w:r>
      <w:r w:rsidR="08E21594" w:rsidRPr="003D1E07">
        <w:rPr>
          <w:rStyle w:val="Zkladntextdkovn0pt"/>
          <w:rFonts w:ascii="Calibri" w:eastAsia="Times" w:hAnsi="Calibri" w:cs="Times New Roman"/>
          <w:color w:val="auto"/>
          <w:spacing w:val="0"/>
          <w:sz w:val="24"/>
          <w:u w:val="none"/>
          <w:lang w:val="cs-CZ"/>
        </w:rPr>
        <w:t>chopnost recepce je zajištěna skrze tělesně danou duši, která je dána v aktuální první substanci</w:t>
      </w:r>
      <w:r w:rsidR="00B44975" w:rsidRPr="003D1E07">
        <w:rPr>
          <w:rStyle w:val="Zkladntextdkovn0pt"/>
          <w:rFonts w:ascii="Calibri" w:eastAsia="Times" w:hAnsi="Calibri" w:cs="Times New Roman"/>
          <w:color w:val="auto"/>
          <w:spacing w:val="0"/>
          <w:sz w:val="24"/>
          <w:u w:val="none"/>
          <w:lang w:val="cs-CZ"/>
        </w:rPr>
        <w:t xml:space="preserve">. Lidské nebo animální tělo je dáno </w:t>
      </w:r>
      <w:r w:rsidR="00E81692" w:rsidRPr="003D1E07">
        <w:rPr>
          <w:rStyle w:val="Zkladntextdkovn0pt"/>
          <w:rFonts w:ascii="Calibri" w:eastAsia="Times" w:hAnsi="Calibri" w:cs="Times New Roman"/>
          <w:color w:val="auto"/>
          <w:spacing w:val="0"/>
          <w:sz w:val="24"/>
          <w:u w:val="none"/>
          <w:lang w:val="cs-CZ"/>
        </w:rPr>
        <w:t xml:space="preserve">jako </w:t>
      </w:r>
      <w:r w:rsidR="00E81692" w:rsidRPr="003D1E07">
        <w:rPr>
          <w:rStyle w:val="Zkladntextdkovn0pt"/>
          <w:rFonts w:ascii="Calibri" w:eastAsia="Times" w:hAnsi="Calibri" w:cs="Times New Roman"/>
          <w:i/>
          <w:color w:val="auto"/>
          <w:spacing w:val="0"/>
          <w:sz w:val="24"/>
          <w:u w:val="none"/>
          <w:lang w:val="cs-CZ"/>
        </w:rPr>
        <w:t>causa efficiens</w:t>
      </w:r>
      <w:r w:rsidR="00E81692">
        <w:rPr>
          <w:rStyle w:val="Zkladntextdkovn0pt"/>
          <w:rFonts w:ascii="Calibri" w:eastAsia="Times" w:hAnsi="Calibri" w:cs="Times New Roman"/>
          <w:i/>
          <w:color w:val="auto"/>
          <w:spacing w:val="0"/>
          <w:sz w:val="24"/>
          <w:u w:val="none"/>
          <w:lang w:val="cs-CZ"/>
        </w:rPr>
        <w:t xml:space="preserve"> </w:t>
      </w:r>
      <w:r w:rsidR="00E81692">
        <w:rPr>
          <w:rStyle w:val="Zkladntextdkovn0pt"/>
          <w:rFonts w:ascii="Calibri" w:eastAsia="Times" w:hAnsi="Calibri" w:cs="Times New Roman"/>
          <w:color w:val="auto"/>
          <w:spacing w:val="0"/>
          <w:sz w:val="24"/>
          <w:u w:val="none"/>
          <w:lang w:val="cs-CZ"/>
        </w:rPr>
        <w:t>vzhledem k formálnímu poznání</w:t>
      </w:r>
      <w:r w:rsidR="08E21594" w:rsidRPr="003D1E07">
        <w:rPr>
          <w:rStyle w:val="Zkladntextdkovn0pt"/>
          <w:rFonts w:ascii="Calibri" w:eastAsia="Times" w:hAnsi="Calibri" w:cs="Times New Roman"/>
          <w:color w:val="auto"/>
          <w:spacing w:val="0"/>
          <w:sz w:val="24"/>
          <w:u w:val="none"/>
          <w:lang w:val="cs-CZ"/>
        </w:rPr>
        <w:t xml:space="preserve">. </w:t>
      </w:r>
      <w:r w:rsidR="00E81692" w:rsidRPr="00E81692">
        <w:rPr>
          <w:rStyle w:val="Zkladntextdkovn0pt"/>
          <w:rFonts w:ascii="Calibri" w:eastAsia="Times" w:hAnsi="Calibri" w:cs="Times New Roman"/>
          <w:color w:val="auto"/>
          <w:spacing w:val="0"/>
          <w:sz w:val="24"/>
          <w:u w:val="none"/>
          <w:lang w:val="cs-CZ"/>
        </w:rPr>
        <w:t>Tuto část poznání nelze nahradit žádnými jinými vnějšími prostředky. Poznávací činnost zvířat a lidí má nehmotnou povahu a uskutečňuje se na úrovni formální kauzality.</w:t>
      </w:r>
      <w:r w:rsidR="00E81692">
        <w:rPr>
          <w:rStyle w:val="Zkladntextdkovn0pt"/>
          <w:rFonts w:ascii="Calibri" w:eastAsia="Times" w:hAnsi="Calibri" w:cs="Times New Roman"/>
          <w:color w:val="auto"/>
          <w:spacing w:val="0"/>
          <w:sz w:val="24"/>
          <w:u w:val="none"/>
          <w:lang w:val="cs-CZ"/>
        </w:rPr>
        <w:t xml:space="preserve"> </w:t>
      </w:r>
      <w:r w:rsidR="00C16172" w:rsidRPr="003D1E07">
        <w:rPr>
          <w:rStyle w:val="Zkladntextdkovn0pt"/>
          <w:rFonts w:ascii="Calibri" w:eastAsia="Times" w:hAnsi="Calibri" w:cs="Times New Roman"/>
          <w:color w:val="auto"/>
          <w:spacing w:val="0"/>
          <w:sz w:val="24"/>
          <w:u w:val="none"/>
          <w:lang w:val="cs-CZ"/>
        </w:rPr>
        <w:t xml:space="preserve">Spojení </w:t>
      </w:r>
      <w:r w:rsidR="085855DD" w:rsidRPr="003D1E07">
        <w:t xml:space="preserve">mezi tělesným nástrojem poznání (smyslové orgány) a duševním nositelem poznání (intendovaná a syntetizovaná forma poznání v </w:t>
      </w:r>
      <w:r w:rsidR="083813EE" w:rsidRPr="003D1E07">
        <w:t xml:space="preserve">animálním </w:t>
      </w:r>
      <w:r w:rsidR="085855DD" w:rsidRPr="003D1E07">
        <w:t xml:space="preserve">subjektu) je naprosto zásadní, což uniklo jak </w:t>
      </w:r>
      <w:r w:rsidR="085855DD" w:rsidRPr="003D1E07">
        <w:lastRenderedPageBreak/>
        <w:t xml:space="preserve">Avicennovi, tak moderně. </w:t>
      </w:r>
      <w:r w:rsidR="00FF5044">
        <w:t xml:space="preserve">Postmoderna </w:t>
      </w:r>
      <w:r w:rsidR="00146E6A">
        <w:t>udělala z poznání další kvazi-fyzikální prvek daný jako účinná kauzalita třetího druhu.</w:t>
      </w:r>
      <w:r w:rsidR="00FF5044">
        <w:t xml:space="preserve"> Francis Bacon ještě nechal </w:t>
      </w:r>
      <w:r w:rsidR="00146E6A">
        <w:t>vědění jako účinnou kauzalitu pouze bohu (</w:t>
      </w:r>
      <w:r w:rsidR="00146E6A">
        <w:rPr>
          <w:i/>
          <w:iCs/>
          <w:lang w:val="la-Latn"/>
        </w:rPr>
        <w:t>ipsa scientia potestas est</w:t>
      </w:r>
      <w:r w:rsidR="00146E6A">
        <w:rPr>
          <w:i/>
          <w:iCs/>
        </w:rPr>
        <w:t xml:space="preserve">; </w:t>
      </w:r>
      <w:r w:rsidR="00146E6A" w:rsidRPr="00FF5044">
        <w:rPr>
          <w:i/>
        </w:rPr>
        <w:t>Meditationes Sacrae</w:t>
      </w:r>
      <w:r w:rsidR="00146E6A" w:rsidRPr="00FF5044">
        <w:t>, 1597)</w:t>
      </w:r>
      <w:r w:rsidR="002C5F69">
        <w:t>, ale to se později převedlo na účinnou kauzalitu objektivního vědění. Lidské v</w:t>
      </w:r>
      <w:r w:rsidR="00146E6A">
        <w:t xml:space="preserve">ědění </w:t>
      </w:r>
      <w:r w:rsidR="00213410">
        <w:t xml:space="preserve">vzato </w:t>
      </w:r>
      <w:r w:rsidR="002C5F69">
        <w:t xml:space="preserve">samo o sobě nemůže ve světě působit jako přímá </w:t>
      </w:r>
      <w:r w:rsidR="002C5F69" w:rsidRPr="002C5F69">
        <w:rPr>
          <w:i/>
        </w:rPr>
        <w:t>causa efficiens</w:t>
      </w:r>
      <w:r w:rsidR="002C5F69">
        <w:t>. R</w:t>
      </w:r>
      <w:r w:rsidR="00146E6A">
        <w:t xml:space="preserve">eálná první substance není sama o sobě změněna tím, že ji poznáváme. </w:t>
      </w:r>
      <w:r w:rsidR="002C5F69">
        <w:t>Proměna světa se děje až prostřednict</w:t>
      </w:r>
      <w:r w:rsidR="00146E6A">
        <w:t xml:space="preserve">vím </w:t>
      </w:r>
      <w:r w:rsidR="00115F58">
        <w:t xml:space="preserve">práce </w:t>
      </w:r>
      <w:r w:rsidR="00146E6A">
        <w:t>našeho těl</w:t>
      </w:r>
      <w:r w:rsidR="002C5F69">
        <w:t xml:space="preserve">a, jako reálné první substance. </w:t>
      </w:r>
      <w:r w:rsidR="0841720B" w:rsidRPr="003D1E07">
        <w:t xml:space="preserve">Poznávací </w:t>
      </w:r>
      <w:r w:rsidR="085855DD" w:rsidRPr="003D1E07">
        <w:t xml:space="preserve">schopnost daná v duši tvoří skrze mediaci intencionality poznanou formu </w:t>
      </w:r>
      <w:r w:rsidR="00217AB2" w:rsidRPr="003D1E07">
        <w:t>a ta je determinována</w:t>
      </w:r>
      <w:r w:rsidR="085855DD" w:rsidRPr="003D1E07">
        <w:t xml:space="preserve"> </w:t>
      </w:r>
      <w:r w:rsidR="00CE1F4A" w:rsidRPr="003D1E07">
        <w:t>reálnou věcí</w:t>
      </w:r>
      <w:r w:rsidR="085855DD" w:rsidRPr="003D1E07">
        <w:t>. Tuto část nemateriálního duševního poznání mají i zvířata. Nositelem intence nemůže být „vlk“ jako reálná první substance</w:t>
      </w:r>
      <w:r w:rsidR="08616E7B" w:rsidRPr="003D1E07">
        <w:t>, ale její</w:t>
      </w:r>
      <w:r w:rsidR="085855DD" w:rsidRPr="003D1E07">
        <w:t xml:space="preserve"> intencionální předmět </w:t>
      </w:r>
      <w:r w:rsidR="08616E7B" w:rsidRPr="003D1E07">
        <w:t xml:space="preserve">syntetizovaný </w:t>
      </w:r>
      <w:r w:rsidR="085855DD" w:rsidRPr="003D1E07">
        <w:t>v představivosti</w:t>
      </w:r>
      <w:r w:rsidR="0812038F" w:rsidRPr="003D1E07">
        <w:t xml:space="preserve"> ovce</w:t>
      </w:r>
      <w:r w:rsidR="082D13A9" w:rsidRPr="003D1E07">
        <w:t>.</w:t>
      </w:r>
      <w:r w:rsidR="00CE01E3">
        <w:t xml:space="preserve"> </w:t>
      </w:r>
      <w:r w:rsidR="00CE01E3" w:rsidRPr="00CE01E3">
        <w:t xml:space="preserve">Tato mentální schopnost sídlí v těle a je nositelem poznání jako subjektu intencionality uskutečněné v modu </w:t>
      </w:r>
      <w:r w:rsidR="00CE01E3" w:rsidRPr="00CE01E3">
        <w:rPr>
          <w:i/>
        </w:rPr>
        <w:t>ipse</w:t>
      </w:r>
      <w:r w:rsidR="00CE01E3" w:rsidRPr="00CE01E3">
        <w:t xml:space="preserve"> (</w:t>
      </w:r>
      <w:r w:rsidR="00CE01E3" w:rsidRPr="00CE01E3">
        <w:rPr>
          <w:i/>
        </w:rPr>
        <w:t>proprium subiectum intentionis</w:t>
      </w:r>
      <w:r w:rsidR="00CE01E3" w:rsidRPr="00CE01E3">
        <w:t xml:space="preserve">). Poznávající subjekt jako </w:t>
      </w:r>
      <w:r w:rsidR="00CE01E3" w:rsidRPr="00CE01E3">
        <w:rPr>
          <w:i/>
        </w:rPr>
        <w:t>tertium genus</w:t>
      </w:r>
      <w:r w:rsidR="00CE01E3" w:rsidRPr="00CE01E3">
        <w:t xml:space="preserve"> přebírá tuto intencionalitu a provádí syntézu poznání.</w:t>
      </w:r>
      <w:r w:rsidR="00CE01E3">
        <w:t xml:space="preserve"> </w:t>
      </w:r>
      <w:r w:rsidR="084B71A7" w:rsidRPr="003D1E07">
        <w:rPr>
          <w:rStyle w:val="Zkladntext158dkovn0pt"/>
          <w:color w:val="auto"/>
          <w:spacing w:val="0"/>
          <w:sz w:val="24"/>
          <w:lang w:val="cs-CZ"/>
        </w:rPr>
        <w:t xml:space="preserve">Aristotelikové vykládající termín „dychtění“ a „žádost“ </w:t>
      </w:r>
      <w:r w:rsidR="084B71A7" w:rsidRPr="003D1E07">
        <w:rPr>
          <w:rStyle w:val="st"/>
        </w:rPr>
        <w:t xml:space="preserve">(ὄρεξις, </w:t>
      </w:r>
      <w:r w:rsidR="084B71A7" w:rsidRPr="003D1E07">
        <w:t>ἐπιθυμία</w:t>
      </w:r>
      <w:r w:rsidR="084B71A7" w:rsidRPr="003D1E07">
        <w:rPr>
          <w:rStyle w:val="st"/>
        </w:rPr>
        <w:t xml:space="preserve">) podle </w:t>
      </w:r>
      <w:r w:rsidR="084B71A7" w:rsidRPr="003D1E07">
        <w:rPr>
          <w:rStyle w:val="st"/>
          <w:i/>
        </w:rPr>
        <w:t>De anima</w:t>
      </w:r>
      <w:r w:rsidR="084B71A7" w:rsidRPr="003D1E07">
        <w:rPr>
          <w:rStyle w:val="st"/>
        </w:rPr>
        <w:t xml:space="preserve"> 413b23‒24</w:t>
      </w:r>
      <w:r w:rsidR="084B71A7" w:rsidRPr="003D1E07">
        <w:rPr>
          <w:rStyle w:val="Zkladntext158dkovn0pt"/>
          <w:i/>
          <w:color w:val="auto"/>
          <w:spacing w:val="0"/>
          <w:sz w:val="24"/>
          <w:lang w:val="cs-CZ"/>
        </w:rPr>
        <w:fldChar w:fldCharType="begin"/>
      </w:r>
      <w:r w:rsidR="084B71A7" w:rsidRPr="003D1E07">
        <w:instrText xml:space="preserve"> XE "Aristoteles:</w:instrText>
      </w:r>
      <w:r w:rsidR="084B71A7" w:rsidRPr="003D1E07">
        <w:rPr>
          <w:rStyle w:val="st"/>
          <w:i/>
        </w:rPr>
        <w:instrText>De anima</w:instrText>
      </w:r>
      <w:r w:rsidR="084B71A7" w:rsidRPr="003D1E07">
        <w:rPr>
          <w:rStyle w:val="st"/>
        </w:rPr>
        <w:instrText xml:space="preserve"> 413b23‒24</w:instrText>
      </w:r>
      <w:r w:rsidR="084B71A7" w:rsidRPr="003D1E07">
        <w:instrText xml:space="preserve">" </w:instrText>
      </w:r>
      <w:r w:rsidR="084B71A7" w:rsidRPr="003D1E07">
        <w:rPr>
          <w:rStyle w:val="Zkladntext158dkovn0pt"/>
          <w:i/>
          <w:color w:val="auto"/>
          <w:spacing w:val="0"/>
          <w:sz w:val="24"/>
          <w:lang w:val="cs-CZ"/>
        </w:rPr>
        <w:fldChar w:fldCharType="end"/>
      </w:r>
      <w:r w:rsidR="084B71A7" w:rsidRPr="003D1E07">
        <w:rPr>
          <w:rStyle w:val="Zkladntext158dkovn0pt"/>
          <w:i/>
          <w:color w:val="auto"/>
          <w:spacing w:val="0"/>
          <w:sz w:val="24"/>
          <w:lang w:val="cs-CZ"/>
        </w:rPr>
        <w:t xml:space="preserve"> </w:t>
      </w:r>
      <w:r w:rsidR="084B71A7" w:rsidRPr="003D1E07">
        <w:rPr>
          <w:rStyle w:val="st"/>
        </w:rPr>
        <w:t xml:space="preserve">dobře </w:t>
      </w:r>
      <w:r w:rsidR="084B71A7" w:rsidRPr="003D1E07">
        <w:rPr>
          <w:rStyle w:val="Zkladntext158dkovn0pt"/>
          <w:color w:val="auto"/>
          <w:spacing w:val="0"/>
          <w:sz w:val="24"/>
          <w:lang w:val="cs-CZ"/>
        </w:rPr>
        <w:t xml:space="preserve">věděli, že </w:t>
      </w:r>
      <w:r w:rsidR="005305F7">
        <w:rPr>
          <w:rStyle w:val="Zkladntext158dkovn0pt"/>
          <w:color w:val="auto"/>
          <w:spacing w:val="0"/>
          <w:sz w:val="24"/>
          <w:lang w:val="cs-CZ"/>
        </w:rPr>
        <w:t xml:space="preserve">nemateriální </w:t>
      </w:r>
      <w:r w:rsidR="084B71A7" w:rsidRPr="003D1E07">
        <w:rPr>
          <w:rStyle w:val="Zkladntext158dkovn0pt"/>
          <w:color w:val="auto"/>
          <w:spacing w:val="0"/>
          <w:sz w:val="24"/>
          <w:lang w:val="cs-CZ"/>
        </w:rPr>
        <w:t>intencionalita</w:t>
      </w:r>
      <w:r w:rsidR="084B71A7" w:rsidRPr="003D1E07">
        <w:rPr>
          <w:rStyle w:val="Zkladntext158dkovn0pt"/>
          <w:i/>
          <w:color w:val="auto"/>
          <w:spacing w:val="0"/>
          <w:sz w:val="24"/>
          <w:lang w:val="cs-CZ"/>
        </w:rPr>
        <w:fldChar w:fldCharType="begin"/>
      </w:r>
      <w:r w:rsidR="084B71A7" w:rsidRPr="003D1E07">
        <w:instrText xml:space="preserve"> XE "intencionalita:zvířata" </w:instrText>
      </w:r>
      <w:r w:rsidR="084B71A7" w:rsidRPr="003D1E07">
        <w:rPr>
          <w:rStyle w:val="Zkladntext158dkovn0pt"/>
          <w:i/>
          <w:color w:val="auto"/>
          <w:spacing w:val="0"/>
          <w:sz w:val="24"/>
          <w:lang w:val="cs-CZ"/>
        </w:rPr>
        <w:fldChar w:fldCharType="end"/>
      </w:r>
      <w:r w:rsidR="084B71A7" w:rsidRPr="003D1E07">
        <w:rPr>
          <w:rStyle w:val="Zkladntext158dkovn0pt"/>
          <w:color w:val="auto"/>
          <w:spacing w:val="0"/>
          <w:sz w:val="24"/>
          <w:lang w:val="cs-CZ"/>
        </w:rPr>
        <w:t xml:space="preserve"> patří organismu jako celku, proto</w:t>
      </w:r>
      <w:r w:rsidR="008B0E01" w:rsidRPr="003D1E07">
        <w:rPr>
          <w:rStyle w:val="Zkladntext158dkovn0pt"/>
          <w:color w:val="auto"/>
          <w:spacing w:val="0"/>
          <w:sz w:val="24"/>
          <w:lang w:val="cs-CZ"/>
        </w:rPr>
        <w:t>že</w:t>
      </w:r>
      <w:r w:rsidR="084B71A7" w:rsidRPr="003D1E07">
        <w:rPr>
          <w:rStyle w:val="Zkladntext158dkovn0pt"/>
          <w:color w:val="auto"/>
          <w:spacing w:val="0"/>
          <w:sz w:val="24"/>
          <w:lang w:val="cs-CZ"/>
        </w:rPr>
        <w:t xml:space="preserve"> nemá žádný </w:t>
      </w:r>
      <w:r w:rsidR="006873A8" w:rsidRPr="003D1E07">
        <w:rPr>
          <w:rStyle w:val="Zkladntext158dkovn0pt"/>
          <w:color w:val="auto"/>
          <w:spacing w:val="0"/>
          <w:sz w:val="24"/>
          <w:lang w:val="cs-CZ"/>
        </w:rPr>
        <w:t xml:space="preserve">orgán jako mají </w:t>
      </w:r>
      <w:r w:rsidR="084B71A7" w:rsidRPr="003D1E07">
        <w:rPr>
          <w:rStyle w:val="Zkladntext158dkovn0pt"/>
          <w:color w:val="auto"/>
          <w:spacing w:val="0"/>
          <w:sz w:val="24"/>
          <w:lang w:val="cs-CZ"/>
        </w:rPr>
        <w:t>smysl</w:t>
      </w:r>
      <w:r w:rsidR="006873A8" w:rsidRPr="003D1E07">
        <w:rPr>
          <w:rStyle w:val="Zkladntext158dkovn0pt"/>
          <w:color w:val="auto"/>
          <w:spacing w:val="0"/>
          <w:sz w:val="24"/>
          <w:lang w:val="cs-CZ"/>
        </w:rPr>
        <w:t>y</w:t>
      </w:r>
      <w:r w:rsidR="084B71A7" w:rsidRPr="003D1E07">
        <w:rPr>
          <w:rStyle w:val="Zkladntext158dkovn0pt"/>
          <w:color w:val="auto"/>
          <w:spacing w:val="0"/>
          <w:sz w:val="24"/>
          <w:lang w:val="cs-CZ"/>
        </w:rPr>
        <w:t>.</w:t>
      </w:r>
      <w:r w:rsidR="084B71A7" w:rsidRPr="003D1E07">
        <w:rPr>
          <w:rStyle w:val="Znakapoznpodarou"/>
          <w:szCs w:val="27"/>
          <w:shd w:val="clear" w:color="auto" w:fill="FFFFFF"/>
        </w:rPr>
        <w:footnoteReference w:id="284"/>
      </w:r>
      <w:r w:rsidR="084B71A7" w:rsidRPr="003D1E07">
        <w:rPr>
          <w:rStyle w:val="Zkladntext158dkovn0pt"/>
          <w:color w:val="auto"/>
          <w:spacing w:val="0"/>
          <w:sz w:val="24"/>
          <w:lang w:val="cs-CZ"/>
        </w:rPr>
        <w:t xml:space="preserve"> Aristoteles pozorující celý život skutečné živé organismy (a n</w:t>
      </w:r>
      <w:r w:rsidR="00205DF2" w:rsidRPr="003D1E07">
        <w:rPr>
          <w:rStyle w:val="Zkladntext158dkovn0pt"/>
          <w:color w:val="auto"/>
          <w:spacing w:val="0"/>
          <w:sz w:val="24"/>
          <w:lang w:val="cs-CZ"/>
        </w:rPr>
        <w:t>e jsoucna třetího druhu) nehledal</w:t>
      </w:r>
      <w:r w:rsidR="084B71A7" w:rsidRPr="003D1E07">
        <w:rPr>
          <w:rStyle w:val="Zkladntext158dkovn0pt"/>
          <w:color w:val="auto"/>
          <w:spacing w:val="0"/>
          <w:sz w:val="24"/>
          <w:lang w:val="cs-CZ"/>
        </w:rPr>
        <w:t xml:space="preserve"> „co“ je </w:t>
      </w:r>
      <w:r w:rsidR="084B71A7" w:rsidRPr="003D1E07">
        <w:rPr>
          <w:rStyle w:val="Zkladntext158dkovn0pt"/>
          <w:i/>
          <w:color w:val="auto"/>
          <w:spacing w:val="0"/>
          <w:sz w:val="24"/>
          <w:lang w:val="cs-CZ"/>
        </w:rPr>
        <w:t>aisthésis</w:t>
      </w:r>
      <w:r w:rsidR="084B71A7" w:rsidRPr="003D1E07">
        <w:rPr>
          <w:rStyle w:val="Zkladntext158dkovn0pt"/>
          <w:color w:val="auto"/>
          <w:spacing w:val="0"/>
          <w:sz w:val="24"/>
          <w:lang w:val="cs-CZ"/>
        </w:rPr>
        <w:t xml:space="preserve"> vázaná lokalizovatelné orgány v</w:t>
      </w:r>
      <w:r w:rsidR="00205DF2" w:rsidRPr="003D1E07">
        <w:rPr>
          <w:rStyle w:val="Zkladntext158dkovn0pt"/>
          <w:color w:val="auto"/>
          <w:spacing w:val="0"/>
          <w:sz w:val="24"/>
          <w:lang w:val="cs-CZ"/>
        </w:rPr>
        <w:t xml:space="preserve"> těle. Vědeckým úsudkem zjišťoval</w:t>
      </w:r>
      <w:r w:rsidR="084B71A7" w:rsidRPr="003D1E07">
        <w:rPr>
          <w:rStyle w:val="Zkladntext158dkovn0pt"/>
          <w:color w:val="auto"/>
          <w:spacing w:val="0"/>
          <w:sz w:val="24"/>
          <w:lang w:val="cs-CZ"/>
        </w:rPr>
        <w:t xml:space="preserve">, </w:t>
      </w:r>
      <w:r w:rsidR="00205DF2" w:rsidRPr="003D1E07">
        <w:rPr>
          <w:rStyle w:val="Zkladntext158dkovn0pt"/>
          <w:color w:val="auto"/>
          <w:spacing w:val="0"/>
          <w:sz w:val="24"/>
          <w:lang w:val="cs-CZ"/>
        </w:rPr>
        <w:t>„</w:t>
      </w:r>
      <w:r w:rsidR="084B71A7" w:rsidRPr="003D1E07">
        <w:rPr>
          <w:rStyle w:val="Zkladntext158dkovn0pt"/>
          <w:color w:val="auto"/>
          <w:spacing w:val="0"/>
          <w:sz w:val="24"/>
          <w:lang w:val="cs-CZ"/>
        </w:rPr>
        <w:t>jak</w:t>
      </w:r>
      <w:r w:rsidR="00205DF2" w:rsidRPr="003D1E07">
        <w:rPr>
          <w:rStyle w:val="Zkladntext158dkovn0pt"/>
          <w:color w:val="auto"/>
          <w:spacing w:val="0"/>
          <w:sz w:val="24"/>
          <w:lang w:val="cs-CZ"/>
        </w:rPr>
        <w:t>“</w:t>
      </w:r>
      <w:r w:rsidR="084B71A7" w:rsidRPr="003D1E07">
        <w:rPr>
          <w:rStyle w:val="Zkladntext158dkovn0pt"/>
          <w:color w:val="auto"/>
          <w:spacing w:val="0"/>
          <w:sz w:val="24"/>
          <w:lang w:val="cs-CZ"/>
        </w:rPr>
        <w:t xml:space="preserve"> organismus poznává </w:t>
      </w:r>
      <w:r w:rsidR="004A0A95">
        <w:rPr>
          <w:rStyle w:val="Zkladntext158dkovn0pt"/>
          <w:color w:val="auto"/>
          <w:spacing w:val="0"/>
          <w:sz w:val="24"/>
          <w:lang w:val="cs-CZ"/>
        </w:rPr>
        <w:t xml:space="preserve">svět nebo okolí </w:t>
      </w:r>
      <w:r w:rsidR="084B71A7" w:rsidRPr="003D1E07">
        <w:rPr>
          <w:rStyle w:val="Zkladntext158dkovn0pt"/>
          <w:color w:val="auto"/>
          <w:spacing w:val="0"/>
          <w:sz w:val="24"/>
          <w:lang w:val="cs-CZ"/>
        </w:rPr>
        <w:t>jako entelechický celek. Schéma intencionality je v citované pasáži dáno ve formě induktivního soudu (</w:t>
      </w:r>
      <w:r w:rsidR="084B71A7" w:rsidRPr="003D1E07">
        <w:t>ὅπου...καὶ</w:t>
      </w:r>
      <w:r w:rsidR="084B71A7" w:rsidRPr="003D1E07">
        <w:rPr>
          <w:rStyle w:val="Zkladntext158dkovn0pt"/>
          <w:color w:val="auto"/>
          <w:spacing w:val="0"/>
          <w:sz w:val="24"/>
          <w:lang w:val="cs-CZ"/>
        </w:rPr>
        <w:t>). Smyslový vněm daný v tělesném orgánu (</w:t>
      </w:r>
      <w:r w:rsidR="084B71A7" w:rsidRPr="003D1E07">
        <w:t>αἴσθησις</w:t>
      </w:r>
      <w:r w:rsidR="084B71A7" w:rsidRPr="003D1E07">
        <w:rPr>
          <w:rStyle w:val="Zkladntext158dkovn0pt"/>
          <w:color w:val="auto"/>
          <w:spacing w:val="0"/>
          <w:sz w:val="24"/>
          <w:lang w:val="cs-CZ"/>
        </w:rPr>
        <w:t xml:space="preserve">) vede k intencionální aktivitě zvířete </w:t>
      </w:r>
      <w:r w:rsidR="0083112A">
        <w:rPr>
          <w:rStyle w:val="Zkladntext158dkovn0pt"/>
          <w:color w:val="auto"/>
          <w:spacing w:val="0"/>
          <w:sz w:val="24"/>
          <w:lang w:val="cs-CZ"/>
        </w:rPr>
        <w:t>jako celostně pojatého jedinečného tvora</w:t>
      </w:r>
      <w:r w:rsidR="084B71A7" w:rsidRPr="003D1E07">
        <w:rPr>
          <w:rStyle w:val="Zkladntext158dkovn0pt"/>
          <w:color w:val="auto"/>
          <w:spacing w:val="0"/>
          <w:sz w:val="24"/>
          <w:lang w:val="cs-CZ"/>
        </w:rPr>
        <w:t>. Jeho existence je aktivována ve smyslu „zaměřit se k něčemu“ (</w:t>
      </w:r>
      <w:r w:rsidR="084B71A7" w:rsidRPr="003D1E07">
        <w:rPr>
          <w:rStyle w:val="st"/>
        </w:rPr>
        <w:t>ὄρεξις</w:t>
      </w:r>
      <w:r w:rsidR="084B71A7" w:rsidRPr="003D1E07">
        <w:rPr>
          <w:rStyle w:val="Zkladntext158dkovn0pt"/>
          <w:color w:val="auto"/>
          <w:spacing w:val="0"/>
          <w:sz w:val="24"/>
          <w:lang w:val="cs-CZ"/>
        </w:rPr>
        <w:t>) a „chtít něco“ (</w:t>
      </w:r>
      <w:r w:rsidR="084B71A7" w:rsidRPr="003D1E07">
        <w:t>ἐπιθυμία</w:t>
      </w:r>
      <w:r w:rsidR="084B71A7" w:rsidRPr="003D1E07">
        <w:rPr>
          <w:rStyle w:val="Zkladntext158dkovn0pt"/>
          <w:color w:val="auto"/>
          <w:spacing w:val="0"/>
          <w:sz w:val="24"/>
          <w:lang w:val="cs-CZ"/>
        </w:rPr>
        <w:t xml:space="preserve">). Člověk má tuto dychtivost danou intelektuálně, což zásadně modifikuje i nižší složky poznání a odděluje lidskou a zvířecí intencionalitu. </w:t>
      </w:r>
      <w:r w:rsidR="085855DD" w:rsidRPr="003D1E07">
        <w:t>Poznání ovce je od fyzického „vlka“ odděleno dokonce dvakrát, tedy pasivní</w:t>
      </w:r>
      <w:r w:rsidR="00415BFD" w:rsidRPr="003D1E07">
        <w:t>m</w:t>
      </w:r>
      <w:r w:rsidR="085855DD" w:rsidRPr="003D1E07">
        <w:t xml:space="preserve"> smy</w:t>
      </w:r>
      <w:r w:rsidR="08977ED2" w:rsidRPr="003D1E07">
        <w:t>s</w:t>
      </w:r>
      <w:r w:rsidR="085855DD" w:rsidRPr="003D1E07">
        <w:t>lovým vnímáním a aktivní smyslovou abstrakcí. Smyslová recepce vytváří smyslový vjem v daném smyslovém orgánu</w:t>
      </w:r>
      <w:r w:rsidR="08977ED2" w:rsidRPr="003D1E07">
        <w:t xml:space="preserve"> („vidím něco“)</w:t>
      </w:r>
      <w:r w:rsidR="00415BFD" w:rsidRPr="003D1E07">
        <w:t>. S</w:t>
      </w:r>
      <w:r w:rsidR="085855DD" w:rsidRPr="003D1E07">
        <w:t xml:space="preserve">chopnost intencionální syntézy dané formálně v duši vytváří smyslově-individuální formu recipovaného vjemu („je to vlk“). Proto každá ovce vidí svého vlastního </w:t>
      </w:r>
      <w:r w:rsidR="085855DD" w:rsidRPr="003D1E07">
        <w:lastRenderedPageBreak/>
        <w:t xml:space="preserve">„vlka“ a reaguje na něj. </w:t>
      </w:r>
      <w:r w:rsidR="085855DD" w:rsidRPr="003D1E07">
        <w:rPr>
          <w:rStyle w:val="Zkladntextdkovn0pt"/>
          <w:rFonts w:ascii="Calibri" w:eastAsia="Times" w:hAnsi="Calibri" w:cs="Times New Roman"/>
          <w:color w:val="auto"/>
          <w:spacing w:val="0"/>
          <w:sz w:val="24"/>
          <w:u w:val="none"/>
          <w:lang w:val="cs-CZ"/>
        </w:rPr>
        <w:t xml:space="preserve">Ovce reaguje na nebezpečí zcela individuálně, protože provádí výslednou syntézu a vyhodnocení </w:t>
      </w:r>
      <w:r w:rsidR="08A92662" w:rsidRPr="003D1E07">
        <w:rPr>
          <w:rStyle w:val="Zkladntextdkovn0pt"/>
          <w:rFonts w:ascii="Calibri" w:eastAsia="Times" w:hAnsi="Calibri" w:cs="Times New Roman"/>
          <w:color w:val="auto"/>
          <w:spacing w:val="0"/>
          <w:sz w:val="24"/>
          <w:u w:val="none"/>
          <w:lang w:val="cs-CZ"/>
        </w:rPr>
        <w:t xml:space="preserve">okolí </w:t>
      </w:r>
      <w:r w:rsidR="085855DD" w:rsidRPr="003D1E07">
        <w:rPr>
          <w:rStyle w:val="Zkladntextdkovn0pt"/>
          <w:rFonts w:ascii="Calibri" w:eastAsia="Times" w:hAnsi="Calibri" w:cs="Times New Roman"/>
          <w:color w:val="auto"/>
          <w:spacing w:val="0"/>
          <w:sz w:val="24"/>
          <w:u w:val="none"/>
          <w:lang w:val="cs-CZ"/>
        </w:rPr>
        <w:t>podle vlastní duševní schopnosti (</w:t>
      </w:r>
      <w:r w:rsidR="009777AA" w:rsidRPr="003D1E07">
        <w:rPr>
          <w:rStyle w:val="Zkladntextdkovn0pt"/>
          <w:rFonts w:ascii="Calibri" w:eastAsia="Times" w:hAnsi="Calibri" w:cs="Times New Roman"/>
          <w:i/>
          <w:color w:val="auto"/>
          <w:spacing w:val="0"/>
          <w:sz w:val="24"/>
          <w:u w:val="none"/>
          <w:lang w:val="cs-CZ"/>
        </w:rPr>
        <w:t>cogitatio</w:t>
      </w:r>
      <w:r w:rsidR="009777AA" w:rsidRPr="003D1E07">
        <w:rPr>
          <w:rStyle w:val="Zkladntextdkovn0pt"/>
          <w:rFonts w:ascii="Calibri" w:eastAsia="Times" w:hAnsi="Calibri" w:cs="Times New Roman"/>
          <w:color w:val="auto"/>
          <w:spacing w:val="0"/>
          <w:sz w:val="24"/>
          <w:u w:val="none"/>
          <w:lang w:val="cs-CZ"/>
        </w:rPr>
        <w:t xml:space="preserve">, </w:t>
      </w:r>
      <w:r w:rsidR="085855DD" w:rsidRPr="003D1E07">
        <w:rPr>
          <w:rStyle w:val="Zkladntextdkovn0pt"/>
          <w:rFonts w:ascii="Calibri" w:eastAsia="Times" w:hAnsi="Calibri" w:cs="Times New Roman"/>
          <w:i/>
          <w:color w:val="auto"/>
          <w:spacing w:val="0"/>
          <w:sz w:val="24"/>
          <w:u w:val="none"/>
          <w:lang w:val="cs-CZ"/>
        </w:rPr>
        <w:t>vis aestimativa</w:t>
      </w:r>
      <w:r w:rsidR="085855DD" w:rsidRPr="003D1E07">
        <w:rPr>
          <w:rStyle w:val="Zkladntextdkovn0pt"/>
          <w:rFonts w:ascii="Calibri" w:eastAsia="Times" w:hAnsi="Calibri" w:cs="Times New Roman"/>
          <w:color w:val="auto"/>
          <w:spacing w:val="0"/>
          <w:sz w:val="24"/>
          <w:u w:val="none"/>
          <w:lang w:val="cs-CZ"/>
        </w:rPr>
        <w:t>). Vůdcem stáda ovcí nebo jakýchkoliv zvířat se nutně stává jedinec maximálně vybavený smyslovou recepcí, intencionální schopností a výslednými syntetickými reakcemi</w:t>
      </w:r>
      <w:r w:rsidR="00341274" w:rsidRPr="003D1E07">
        <w:rPr>
          <w:rStyle w:val="Zkladntextdkovn0pt"/>
          <w:rFonts w:ascii="Calibri" w:eastAsia="Times" w:hAnsi="Calibri" w:cs="Times New Roman"/>
          <w:color w:val="auto"/>
          <w:spacing w:val="0"/>
          <w:sz w:val="24"/>
          <w:u w:val="none"/>
          <w:lang w:val="cs-CZ"/>
        </w:rPr>
        <w:t>. Tyto v </w:t>
      </w:r>
      <w:r w:rsidR="006877F9" w:rsidRPr="003D1E07">
        <w:rPr>
          <w:rStyle w:val="Zkladntextdkovn0pt"/>
          <w:rFonts w:ascii="Calibri" w:eastAsia="Times" w:hAnsi="Calibri" w:cs="Times New Roman"/>
          <w:color w:val="auto"/>
          <w:spacing w:val="0"/>
          <w:sz w:val="24"/>
          <w:u w:val="none"/>
          <w:lang w:val="cs-CZ"/>
        </w:rPr>
        <w:t>průbě</w:t>
      </w:r>
      <w:r w:rsidR="00341274" w:rsidRPr="003D1E07">
        <w:rPr>
          <w:rStyle w:val="Zkladntextdkovn0pt"/>
          <w:rFonts w:ascii="Calibri" w:eastAsia="Times" w:hAnsi="Calibri" w:cs="Times New Roman"/>
          <w:color w:val="auto"/>
          <w:spacing w:val="0"/>
          <w:sz w:val="24"/>
          <w:u w:val="none"/>
          <w:lang w:val="cs-CZ"/>
        </w:rPr>
        <w:t xml:space="preserve">hu času nasbírané zkušenosti zajišťují přežití celé skupiny. </w:t>
      </w:r>
      <w:r w:rsidR="00835833" w:rsidRPr="003D1E07">
        <w:rPr>
          <w:rStyle w:val="Zkladntextdkovn0pt"/>
          <w:rFonts w:ascii="Calibri" w:eastAsia="Times" w:hAnsi="Calibri" w:cs="Times New Roman"/>
          <w:color w:val="auto"/>
          <w:spacing w:val="0"/>
          <w:sz w:val="24"/>
          <w:u w:val="none"/>
          <w:lang w:val="cs-CZ"/>
        </w:rPr>
        <w:t xml:space="preserve">Událost </w:t>
      </w:r>
      <w:r w:rsidR="08903A8B" w:rsidRPr="003D1E07">
        <w:t xml:space="preserve">lovu ukazuje, že </w:t>
      </w:r>
      <w:r w:rsidR="00835833" w:rsidRPr="003D1E07">
        <w:t xml:space="preserve">stádo </w:t>
      </w:r>
      <w:r w:rsidR="08903A8B" w:rsidRPr="003D1E07">
        <w:t xml:space="preserve">napadené </w:t>
      </w:r>
      <w:r w:rsidR="00835833" w:rsidRPr="003D1E07">
        <w:t xml:space="preserve">dravci </w:t>
      </w:r>
      <w:r w:rsidR="08903A8B" w:rsidRPr="003D1E07">
        <w:t xml:space="preserve">instinktivně oddělí jako oběť ty jedince, které nejsou na výši požadovaného úkolu, tedy smyslové receptivity a rychlé intencionální recepce a adekvátně pravdivé syntézy. Zvířata ve stádě přesně ví, jakou úroveň smyslového vnímání a duševních schopností má ten či onen jedinec. </w:t>
      </w:r>
      <w:r w:rsidR="0005742C" w:rsidRPr="003D1E07">
        <w:t xml:space="preserve">Přírodní výběr se tedy musí změnit na proces v rámci </w:t>
      </w:r>
      <w:r w:rsidR="0005742C" w:rsidRPr="003D1E07">
        <w:rPr>
          <w:i/>
        </w:rPr>
        <w:t xml:space="preserve">tertium </w:t>
      </w:r>
      <w:r w:rsidR="0005742C" w:rsidRPr="003D1E07">
        <w:t>a</w:t>
      </w:r>
      <w:r w:rsidR="0005742C" w:rsidRPr="003D1E07">
        <w:rPr>
          <w:i/>
        </w:rPr>
        <w:t xml:space="preserve"> quartum genus</w:t>
      </w:r>
      <w:r w:rsidR="0005742C" w:rsidRPr="003D1E07">
        <w:t xml:space="preserve">. Neexistuje žádná "evoluce" v podobě </w:t>
      </w:r>
      <w:r w:rsidR="0005742C" w:rsidRPr="003D1E07">
        <w:rPr>
          <w:i/>
        </w:rPr>
        <w:t>tertium ens</w:t>
      </w:r>
      <w:r w:rsidR="0005742C" w:rsidRPr="003D1E07">
        <w:t xml:space="preserve">, jak </w:t>
      </w:r>
      <w:r w:rsidR="00A75159" w:rsidRPr="003D1E07">
        <w:t xml:space="preserve">to </w:t>
      </w:r>
      <w:r w:rsidR="0005742C" w:rsidRPr="003D1E07">
        <w:t xml:space="preserve">předpokládá objektivní darwinismus, který se dnes </w:t>
      </w:r>
      <w:r w:rsidR="00A75159" w:rsidRPr="003D1E07">
        <w:t xml:space="preserve">omezuje na fyzické změny v DNA. </w:t>
      </w:r>
      <w:r w:rsidR="08903A8B" w:rsidRPr="003D1E07">
        <w:t>Při přežití a reprodukci nejde jen o to, které zvíře je darwinovsky a evolučně více či méně fyzicky zdatné či geneticky adaptabilní</w:t>
      </w:r>
      <w:r w:rsidR="00A75159" w:rsidRPr="003D1E07">
        <w:t xml:space="preserve"> (</w:t>
      </w:r>
      <w:r w:rsidR="00A75159" w:rsidRPr="003D1E07">
        <w:rPr>
          <w:i/>
        </w:rPr>
        <w:t>quartum genus</w:t>
      </w:r>
      <w:r w:rsidR="00A75159" w:rsidRPr="003D1E07">
        <w:t>)</w:t>
      </w:r>
      <w:r w:rsidR="08903A8B" w:rsidRPr="003D1E07">
        <w:t>. Zvířata dobře vědí díky společně sdílenému světu instiktivního vědění</w:t>
      </w:r>
      <w:r w:rsidR="00A75159" w:rsidRPr="003D1E07">
        <w:t xml:space="preserve"> (</w:t>
      </w:r>
      <w:r w:rsidR="00A75159" w:rsidRPr="003D1E07">
        <w:rPr>
          <w:i/>
        </w:rPr>
        <w:t>tertium genus</w:t>
      </w:r>
      <w:r w:rsidR="00A75159" w:rsidRPr="003D1E07">
        <w:t>)</w:t>
      </w:r>
      <w:r w:rsidR="08903A8B" w:rsidRPr="003D1E07">
        <w:t>, které zvíře je více či méně duševně bystré a chytré (</w:t>
      </w:r>
      <w:r w:rsidR="08903A8B" w:rsidRPr="003D1E07">
        <w:rPr>
          <w:i/>
        </w:rPr>
        <w:t>vis aestimativa</w:t>
      </w:r>
      <w:r w:rsidR="00BA7AC9">
        <w:t xml:space="preserve">). </w:t>
      </w:r>
      <w:r w:rsidR="00BA7AC9" w:rsidRPr="00BA7AC9">
        <w:t xml:space="preserve">Tuto nehmotnou schopnost </w:t>
      </w:r>
      <w:r w:rsidR="00BA7AC9">
        <w:t xml:space="preserve">danou jako individuální poznání světa </w:t>
      </w:r>
      <w:r w:rsidR="00BA7AC9" w:rsidRPr="00BA7AC9">
        <w:t>nelze redukovat na tělesné a genetické změny p</w:t>
      </w:r>
      <w:r w:rsidR="00BA7AC9">
        <w:t xml:space="preserve">rovedené na úrovni prvních substancí. </w:t>
      </w:r>
      <w:r w:rsidR="08903A8B" w:rsidRPr="003D1E07">
        <w:t>Proto zoologické zahrady mohou zajistit přežití biologických ohrožených druhů, ale nikdy nezajistí tuto schopnost individuální syntézy společného světa zvířat</w:t>
      </w:r>
      <w:r w:rsidR="00BA7AC9">
        <w:t xml:space="preserve">. Jejich společný svět </w:t>
      </w:r>
      <w:r w:rsidR="00BA7AC9">
        <w:rPr>
          <w:noProof w:val="0"/>
          <w:lang w:val="en-US" w:eastAsia="en-US"/>
        </w:rPr>
        <w:t>(</w:t>
      </w:r>
      <w:r w:rsidR="00BA7AC9">
        <w:rPr>
          <w:i/>
          <w:noProof w:val="0"/>
          <w:lang w:val="en-US" w:eastAsia="en-US"/>
        </w:rPr>
        <w:t>Lebenswelt</w:t>
      </w:r>
      <w:r w:rsidR="00BA7AC9">
        <w:rPr>
          <w:noProof w:val="0"/>
          <w:lang w:val="en-US" w:eastAsia="en-US"/>
        </w:rPr>
        <w:t xml:space="preserve">) </w:t>
      </w:r>
      <w:r w:rsidR="08903A8B" w:rsidRPr="003D1E07">
        <w:t>závi</w:t>
      </w:r>
      <w:r w:rsidR="00CD3CF0" w:rsidRPr="003D1E07">
        <w:t>s</w:t>
      </w:r>
      <w:r w:rsidR="00BA7AC9">
        <w:t xml:space="preserve">í </w:t>
      </w:r>
      <w:r w:rsidR="00CD3CF0" w:rsidRPr="003D1E07">
        <w:t xml:space="preserve">na </w:t>
      </w:r>
      <w:r w:rsidR="00E8766C">
        <w:t xml:space="preserve">přirozeně daném </w:t>
      </w:r>
      <w:r w:rsidR="00CD3CF0" w:rsidRPr="003D1E07">
        <w:t>životě zvířat</w:t>
      </w:r>
      <w:r w:rsidR="08903A8B" w:rsidRPr="003D1E07">
        <w:t xml:space="preserve">. V přírodě přežívají fyzicky nejschopnější jedinci s nejlepší schopností odhadu situace. </w:t>
      </w:r>
      <w:r w:rsidR="08E8653E" w:rsidRPr="003D1E07">
        <w:t xml:space="preserve">Proto u zvířat existuje přísná hierarchie, protože jejich přežití závisí na individualizované schopnosti včasného vnímání nebezpečí nebo schopnosti nalézání potravy. </w:t>
      </w:r>
      <w:r w:rsidR="08903A8B" w:rsidRPr="003D1E07">
        <w:t>Toto komplexní přizpůsobení poznanému světu nem</w:t>
      </w:r>
      <w:r w:rsidR="0043523A" w:rsidRPr="003D1E07">
        <w:t>ůže zajistit zoologická zahrada</w:t>
      </w:r>
      <w:r w:rsidR="08903A8B" w:rsidRPr="003D1E07">
        <w:t xml:space="preserve">, protože vychovává „hloupá“ zvířata. </w:t>
      </w:r>
      <w:r w:rsidR="085855DD" w:rsidRPr="003D1E07">
        <w:rPr>
          <w:rStyle w:val="Zkladntextdkovn0pt"/>
          <w:rFonts w:ascii="Calibri" w:eastAsia="Times" w:hAnsi="Calibri" w:cs="Times New Roman"/>
          <w:color w:val="auto"/>
          <w:spacing w:val="0"/>
          <w:sz w:val="24"/>
          <w:u w:val="none"/>
          <w:lang w:val="cs-CZ"/>
        </w:rPr>
        <w:t xml:space="preserve">Zvířata ve stádě se doplňují a zakládají stádní „inteligenci“ </w:t>
      </w:r>
      <w:r w:rsidR="00FA2AA6">
        <w:rPr>
          <w:rStyle w:val="Zkladntextdkovn0pt"/>
          <w:rFonts w:ascii="Calibri" w:eastAsia="Times" w:hAnsi="Calibri" w:cs="Times New Roman"/>
          <w:color w:val="auto"/>
          <w:spacing w:val="0"/>
          <w:sz w:val="24"/>
          <w:u w:val="none"/>
          <w:lang w:val="cs-CZ"/>
        </w:rPr>
        <w:t xml:space="preserve">vytvbořenou skrze </w:t>
      </w:r>
      <w:r w:rsidR="085855DD" w:rsidRPr="003D1E07">
        <w:rPr>
          <w:rStyle w:val="Zkladntextdkovn0pt"/>
          <w:rFonts w:ascii="Calibri" w:eastAsia="Times" w:hAnsi="Calibri" w:cs="Times New Roman"/>
          <w:color w:val="auto"/>
          <w:spacing w:val="0"/>
          <w:sz w:val="24"/>
          <w:u w:val="none"/>
          <w:lang w:val="cs-CZ"/>
        </w:rPr>
        <w:t>kolektivně dané duševní schopnosti</w:t>
      </w:r>
      <w:r w:rsidR="083F1736" w:rsidRPr="003D1E07">
        <w:rPr>
          <w:rStyle w:val="Zkladntextdkovn0pt"/>
          <w:rFonts w:ascii="Calibri" w:eastAsia="Times" w:hAnsi="Calibri" w:cs="Times New Roman"/>
          <w:color w:val="auto"/>
          <w:spacing w:val="0"/>
          <w:sz w:val="24"/>
          <w:u w:val="none"/>
          <w:lang w:val="cs-CZ"/>
        </w:rPr>
        <w:t xml:space="preserve"> </w:t>
      </w:r>
      <w:r w:rsidR="08475C1F" w:rsidRPr="003D1E07">
        <w:rPr>
          <w:rStyle w:val="Zkladntextdkovn0pt"/>
          <w:rFonts w:ascii="Calibri" w:eastAsia="Times" w:hAnsi="Calibri" w:cs="Times New Roman"/>
          <w:color w:val="auto"/>
          <w:spacing w:val="0"/>
          <w:sz w:val="24"/>
          <w:u w:val="none"/>
          <w:lang w:val="cs-CZ"/>
        </w:rPr>
        <w:t xml:space="preserve">smyslového </w:t>
      </w:r>
      <w:r w:rsidR="083F1736" w:rsidRPr="003D1E07">
        <w:rPr>
          <w:rStyle w:val="Zkladntextdkovn0pt"/>
          <w:rFonts w:ascii="Calibri" w:eastAsia="Times" w:hAnsi="Calibri" w:cs="Times New Roman"/>
          <w:color w:val="auto"/>
          <w:spacing w:val="0"/>
          <w:sz w:val="24"/>
          <w:u w:val="none"/>
          <w:lang w:val="cs-CZ"/>
        </w:rPr>
        <w:t>rozlišování a syntézy</w:t>
      </w:r>
      <w:r w:rsidR="085855DD" w:rsidRPr="003D1E07">
        <w:rPr>
          <w:rStyle w:val="Zkladntextdkovn0pt"/>
          <w:rFonts w:ascii="Calibri" w:eastAsia="Times" w:hAnsi="Calibri" w:cs="Times New Roman"/>
          <w:color w:val="auto"/>
          <w:spacing w:val="0"/>
          <w:sz w:val="24"/>
          <w:u w:val="none"/>
          <w:lang w:val="cs-CZ"/>
        </w:rPr>
        <w:t xml:space="preserve">. </w:t>
      </w:r>
      <w:r w:rsidR="08903A8B" w:rsidRPr="003D1E07">
        <w:t xml:space="preserve">Pokud toto stádní šlechtění rasy a selekci uplatní člověk, tak přestane být člověkem, protože zrušil hodnotu osoby a udělal z ní postmoderní </w:t>
      </w:r>
      <w:r w:rsidR="00FA2AA6">
        <w:t xml:space="preserve">„zvířecí“ </w:t>
      </w:r>
      <w:r w:rsidR="08903A8B" w:rsidRPr="003D1E07">
        <w:t xml:space="preserve">individuum. </w:t>
      </w:r>
      <w:r w:rsidR="007B5550" w:rsidRPr="003D1E07">
        <w:t xml:space="preserve">V aristotelismu </w:t>
      </w:r>
      <w:r w:rsidR="085855DD" w:rsidRPr="003D1E07">
        <w:t xml:space="preserve">nemůže existovat nějaká objektivní forma „života“ či „hodnota“ třetího druhu, kterou postmoderna v postkritickém věku myšlení univočně přičítá lidem i zvířatům. </w:t>
      </w:r>
      <w:r w:rsidR="00265F0E">
        <w:t>Zmatená postmoderna dala zví</w:t>
      </w:r>
      <w:r w:rsidR="0834792F" w:rsidRPr="003D1E07">
        <w:rPr>
          <w:rStyle w:val="Zkladntextdkovn0pt"/>
          <w:rFonts w:ascii="Calibri" w:eastAsia="Times" w:hAnsi="Calibri" w:cs="Times New Roman"/>
          <w:color w:val="auto"/>
          <w:spacing w:val="0"/>
          <w:sz w:val="24"/>
          <w:u w:val="none"/>
          <w:lang w:val="cs-CZ"/>
        </w:rPr>
        <w:t xml:space="preserve">řatům </w:t>
      </w:r>
      <w:r w:rsidR="00265F0E">
        <w:rPr>
          <w:rStyle w:val="Zkladntextdkovn0pt"/>
          <w:rFonts w:ascii="Calibri" w:eastAsia="Times" w:hAnsi="Calibri" w:cs="Times New Roman"/>
          <w:color w:val="auto"/>
          <w:spacing w:val="0"/>
          <w:sz w:val="24"/>
          <w:u w:val="none"/>
          <w:lang w:val="cs-CZ"/>
        </w:rPr>
        <w:t>„</w:t>
      </w:r>
      <w:r w:rsidR="0834792F" w:rsidRPr="003D1E07">
        <w:rPr>
          <w:rStyle w:val="Zkladntextdkovn0pt"/>
          <w:rFonts w:ascii="Calibri" w:eastAsia="Times" w:hAnsi="Calibri" w:cs="Times New Roman"/>
          <w:color w:val="auto"/>
          <w:spacing w:val="0"/>
          <w:sz w:val="24"/>
          <w:u w:val="none"/>
          <w:lang w:val="cs-CZ"/>
        </w:rPr>
        <w:t>práva</w:t>
      </w:r>
      <w:r w:rsidR="00265F0E">
        <w:rPr>
          <w:rStyle w:val="Zkladntextdkovn0pt"/>
          <w:rFonts w:ascii="Calibri" w:eastAsia="Times" w:hAnsi="Calibri" w:cs="Times New Roman"/>
          <w:color w:val="auto"/>
          <w:spacing w:val="0"/>
          <w:sz w:val="24"/>
          <w:u w:val="none"/>
          <w:lang w:val="cs-CZ"/>
        </w:rPr>
        <w:t>“</w:t>
      </w:r>
      <w:r w:rsidR="0834792F" w:rsidRPr="003D1E07">
        <w:rPr>
          <w:rStyle w:val="Zkladntextdkovn0pt"/>
          <w:rFonts w:ascii="Calibri" w:eastAsia="Times" w:hAnsi="Calibri" w:cs="Times New Roman"/>
          <w:color w:val="auto"/>
          <w:spacing w:val="0"/>
          <w:sz w:val="24"/>
          <w:u w:val="none"/>
          <w:lang w:val="cs-CZ"/>
        </w:rPr>
        <w:t xml:space="preserve"> daná </w:t>
      </w:r>
      <w:r w:rsidR="00265F0E">
        <w:rPr>
          <w:rStyle w:val="Zkladntextdkovn0pt"/>
          <w:rFonts w:ascii="Calibri" w:eastAsia="Times" w:hAnsi="Calibri" w:cs="Times New Roman"/>
          <w:color w:val="auto"/>
          <w:spacing w:val="0"/>
          <w:sz w:val="24"/>
          <w:u w:val="none"/>
          <w:lang w:val="cs-CZ"/>
        </w:rPr>
        <w:t xml:space="preserve">animální </w:t>
      </w:r>
      <w:r w:rsidR="0834792F" w:rsidRPr="003D1E07">
        <w:rPr>
          <w:rStyle w:val="Zkladntextdkovn0pt"/>
          <w:rFonts w:ascii="Calibri" w:eastAsia="Times" w:hAnsi="Calibri" w:cs="Times New Roman"/>
          <w:color w:val="auto"/>
          <w:spacing w:val="0"/>
          <w:sz w:val="24"/>
          <w:u w:val="none"/>
          <w:lang w:val="cs-CZ"/>
        </w:rPr>
        <w:t xml:space="preserve">individualitou a člověku důstojnost a práva daná </w:t>
      </w:r>
      <w:r w:rsidR="00265F0E">
        <w:rPr>
          <w:rStyle w:val="Zkladntextdkovn0pt"/>
          <w:rFonts w:ascii="Calibri" w:eastAsia="Times" w:hAnsi="Calibri" w:cs="Times New Roman"/>
          <w:color w:val="auto"/>
          <w:spacing w:val="0"/>
          <w:sz w:val="24"/>
          <w:u w:val="none"/>
          <w:lang w:val="cs-CZ"/>
        </w:rPr>
        <w:t>lidskou individualitou</w:t>
      </w:r>
      <w:r w:rsidR="0834792F" w:rsidRPr="003D1E07">
        <w:rPr>
          <w:rStyle w:val="Zkladntextdkovn0pt"/>
          <w:rFonts w:ascii="Calibri" w:eastAsia="Times" w:hAnsi="Calibri" w:cs="Times New Roman"/>
          <w:color w:val="auto"/>
          <w:spacing w:val="0"/>
          <w:sz w:val="24"/>
          <w:u w:val="none"/>
          <w:lang w:val="cs-CZ"/>
        </w:rPr>
        <w:t xml:space="preserve">. </w:t>
      </w:r>
      <w:r w:rsidR="009A7B9F">
        <w:rPr>
          <w:rStyle w:val="Zkladntextdkovn0pt"/>
          <w:rFonts w:ascii="Calibri" w:eastAsia="Times" w:hAnsi="Calibri" w:cs="Times New Roman"/>
          <w:color w:val="auto"/>
          <w:spacing w:val="0"/>
          <w:sz w:val="24"/>
          <w:u w:val="none"/>
          <w:lang w:val="cs-CZ"/>
        </w:rPr>
        <w:t xml:space="preserve">Politický aristotelismus nemůže udělat takový nesmysl. </w:t>
      </w:r>
      <w:r w:rsidR="0834792F" w:rsidRPr="003D1E07">
        <w:rPr>
          <w:rStyle w:val="Zkladntextdkovn0pt"/>
          <w:rFonts w:ascii="Calibri" w:eastAsia="Times" w:hAnsi="Calibri" w:cs="Times New Roman"/>
          <w:color w:val="auto"/>
          <w:spacing w:val="0"/>
          <w:sz w:val="24"/>
          <w:u w:val="none"/>
          <w:lang w:val="cs-CZ"/>
        </w:rPr>
        <w:t xml:space="preserve">Zvíře z podstaty své intencionality nemá stejný </w:t>
      </w:r>
      <w:r w:rsidR="00D15EDA">
        <w:rPr>
          <w:rStyle w:val="Zkladntextdkovn0pt"/>
          <w:rFonts w:ascii="Calibri" w:eastAsia="Times" w:hAnsi="Calibri" w:cs="Times New Roman"/>
          <w:color w:val="auto"/>
          <w:spacing w:val="0"/>
          <w:sz w:val="24"/>
          <w:u w:val="none"/>
          <w:lang w:val="cs-CZ"/>
        </w:rPr>
        <w:t xml:space="preserve">společný </w:t>
      </w:r>
      <w:r w:rsidR="0834792F" w:rsidRPr="003D1E07">
        <w:rPr>
          <w:rStyle w:val="Zkladntextdkovn0pt"/>
          <w:rFonts w:ascii="Calibri" w:eastAsia="Times" w:hAnsi="Calibri" w:cs="Times New Roman"/>
          <w:color w:val="auto"/>
          <w:spacing w:val="0"/>
          <w:sz w:val="24"/>
          <w:u w:val="none"/>
          <w:lang w:val="cs-CZ"/>
        </w:rPr>
        <w:t xml:space="preserve">svět </w:t>
      </w:r>
      <w:r w:rsidR="00D15EDA" w:rsidRPr="00D15EDA">
        <w:rPr>
          <w:rStyle w:val="Zkladntextdkovn0pt"/>
          <w:rFonts w:ascii="Calibri" w:eastAsia="Times" w:hAnsi="Calibri" w:cs="Times New Roman"/>
          <w:color w:val="auto"/>
          <w:spacing w:val="0"/>
          <w:sz w:val="24"/>
          <w:u w:val="none"/>
          <w:lang w:val="cs-CZ"/>
        </w:rPr>
        <w:t xml:space="preserve">jako </w:t>
      </w:r>
      <w:r w:rsidR="00D15EDA" w:rsidRPr="00D15EDA">
        <w:rPr>
          <w:rStyle w:val="Zkladntextdkovn0pt"/>
          <w:rFonts w:ascii="Calibri" w:eastAsia="Times" w:hAnsi="Calibri" w:cs="Times New Roman"/>
          <w:color w:val="auto"/>
          <w:spacing w:val="0"/>
          <w:sz w:val="24"/>
          <w:u w:val="none"/>
          <w:lang w:val="cs-CZ"/>
        </w:rPr>
        <w:lastRenderedPageBreak/>
        <w:t>politicky svobodní obč</w:t>
      </w:r>
      <w:r w:rsidR="00D15EDA">
        <w:rPr>
          <w:rStyle w:val="Zkladntextdkovn0pt"/>
          <w:rFonts w:ascii="Calibri" w:eastAsia="Times" w:hAnsi="Calibri" w:cs="Times New Roman"/>
          <w:color w:val="auto"/>
          <w:spacing w:val="0"/>
          <w:sz w:val="24"/>
          <w:u w:val="none"/>
          <w:lang w:val="cs-CZ"/>
        </w:rPr>
        <w:t>ané (Hérakleitos, H. Arendtová). N</w:t>
      </w:r>
      <w:r w:rsidR="0834792F" w:rsidRPr="003D1E07">
        <w:rPr>
          <w:rStyle w:val="Zkladntextdkovn0pt"/>
          <w:rFonts w:ascii="Calibri" w:eastAsia="Times" w:hAnsi="Calibri" w:cs="Times New Roman"/>
          <w:color w:val="auto"/>
          <w:spacing w:val="0"/>
          <w:sz w:val="24"/>
          <w:u w:val="none"/>
          <w:lang w:val="cs-CZ"/>
        </w:rPr>
        <w:t xml:space="preserve">ihilistická postmoderna spojila vnímání zvířat a člověka do jednoho univočního objektivistického konceptu. Hermeneutikou </w:t>
      </w:r>
      <w:r w:rsidR="0834792F" w:rsidRPr="003D1E07">
        <w:t>pojednaná intencionalita se proto zásadně distancuje od objektivistické etiky, která utilitaristicky spojuje hodnotový svět člověka a zvířat například skrze objektivně pojaté utrpení</w:t>
      </w:r>
      <w:r w:rsidR="00067AB0" w:rsidRPr="003D1E07">
        <w:t>.</w:t>
      </w:r>
      <w:r w:rsidR="00067AB0" w:rsidRPr="003D1E07">
        <w:rPr>
          <w:rStyle w:val="Znakapoznpodarou"/>
          <w:szCs w:val="15"/>
        </w:rPr>
        <w:footnoteReference w:id="285"/>
      </w:r>
      <w:r w:rsidR="00067AB0" w:rsidRPr="003D1E07">
        <w:t xml:space="preserve"> </w:t>
      </w:r>
      <w:r w:rsidR="00F7546B">
        <w:t xml:space="preserve">Takové </w:t>
      </w:r>
      <w:r w:rsidR="00067AB0" w:rsidRPr="003D1E07">
        <w:t xml:space="preserve">„utrpení“ jako </w:t>
      </w:r>
      <w:r w:rsidR="009A7B9F">
        <w:t xml:space="preserve">substance–species </w:t>
      </w:r>
      <w:r w:rsidR="0834792F" w:rsidRPr="003D1E07">
        <w:t>třetího druhu</w:t>
      </w:r>
      <w:r w:rsidR="00F7546B">
        <w:t xml:space="preserve"> prostě neexistuje</w:t>
      </w:r>
      <w:r w:rsidR="0834792F" w:rsidRPr="003D1E07">
        <w:t>.</w:t>
      </w:r>
      <w:r w:rsidR="0834792F" w:rsidRPr="003D1E07">
        <w:rPr>
          <w:rStyle w:val="Zkladntextdkovn0pt"/>
          <w:rFonts w:ascii="Calibri" w:eastAsia="Times" w:hAnsi="Calibri" w:cs="Times New Roman"/>
          <w:color w:val="auto"/>
          <w:spacing w:val="0"/>
          <w:sz w:val="24"/>
          <w:u w:val="none"/>
          <w:lang w:val="cs-CZ"/>
        </w:rPr>
        <w:t xml:space="preserve"> Myslitelé na začátku 13. století ještě měli kritické myšlení na výborné úrovni a nedopouštěli tak očividných sofismat, protože odlišovali materiální a nemateriální akty duše</w:t>
      </w:r>
      <w:r w:rsidR="0091729F" w:rsidRPr="003D1E07">
        <w:rPr>
          <w:rStyle w:val="Zkladntextdkovn0pt"/>
          <w:rFonts w:ascii="Calibri" w:eastAsia="Times" w:hAnsi="Calibri" w:cs="Times New Roman"/>
          <w:color w:val="auto"/>
          <w:spacing w:val="0"/>
          <w:sz w:val="24"/>
          <w:u w:val="none"/>
          <w:lang w:val="cs-CZ"/>
        </w:rPr>
        <w:t xml:space="preserve"> jako </w:t>
      </w:r>
      <w:r w:rsidR="0091729F" w:rsidRPr="003D1E07">
        <w:rPr>
          <w:i/>
          <w:lang w:eastAsia="en-US"/>
        </w:rPr>
        <w:t xml:space="preserve">tertium </w:t>
      </w:r>
      <w:r w:rsidR="0091729F" w:rsidRPr="003D1E07">
        <w:rPr>
          <w:lang w:eastAsia="en-US"/>
        </w:rPr>
        <w:t>a</w:t>
      </w:r>
      <w:r w:rsidR="0091729F" w:rsidRPr="003D1E07">
        <w:rPr>
          <w:i/>
          <w:lang w:eastAsia="en-US"/>
        </w:rPr>
        <w:t xml:space="preserve"> quartum genus</w:t>
      </w:r>
      <w:r w:rsidR="0834792F" w:rsidRPr="003D1E07">
        <w:rPr>
          <w:rStyle w:val="Zkladntextdkovn0pt"/>
          <w:rFonts w:ascii="Calibri" w:eastAsia="Times" w:hAnsi="Calibri" w:cs="Times New Roman"/>
          <w:color w:val="auto"/>
          <w:spacing w:val="0"/>
          <w:sz w:val="24"/>
          <w:u w:val="none"/>
          <w:lang w:val="cs-CZ"/>
        </w:rPr>
        <w:t xml:space="preserve">. </w:t>
      </w:r>
      <w:r w:rsidR="085855DD" w:rsidRPr="003D1E07">
        <w:t>Společný svět živých bytostí nadaných sensib</w:t>
      </w:r>
      <w:r w:rsidR="082F6935" w:rsidRPr="003D1E07">
        <w:t>i</w:t>
      </w:r>
      <w:r w:rsidR="085855DD" w:rsidRPr="003D1E07">
        <w:t xml:space="preserve">litou a intencionalitou je tvořen </w:t>
      </w:r>
      <w:r w:rsidR="006A1905" w:rsidRPr="003D1E07">
        <w:t xml:space="preserve">individuálně a </w:t>
      </w:r>
      <w:r w:rsidR="085855DD" w:rsidRPr="003D1E07">
        <w:t>genericky odlišnými schopnostmi recepce a syntézy</w:t>
      </w:r>
      <w:r w:rsidR="08A5653A" w:rsidRPr="003D1E07">
        <w:t xml:space="preserve"> rostlin, zvířat a člověka. Tyto duševní schopnosti </w:t>
      </w:r>
      <w:r w:rsidR="085855DD" w:rsidRPr="003D1E07">
        <w:t xml:space="preserve">vytvářejí </w:t>
      </w:r>
      <w:r w:rsidR="08A5653A" w:rsidRPr="003D1E07">
        <w:t xml:space="preserve">z hlediska intencionality </w:t>
      </w:r>
      <w:r w:rsidR="085855DD" w:rsidRPr="003D1E07">
        <w:t>dv</w:t>
      </w:r>
      <w:r w:rsidR="08A5653A" w:rsidRPr="003D1E07">
        <w:t>ě genericky odlišné verze světa. Zvířecí svět charakterizuje na animální úrovni podobná formální operace</w:t>
      </w:r>
      <w:r w:rsidR="085855DD" w:rsidRPr="003D1E07">
        <w:t xml:space="preserve"> poznání </w:t>
      </w:r>
      <w:r w:rsidR="08A5653A" w:rsidRPr="003D1E07">
        <w:t xml:space="preserve">jako u člověka </w:t>
      </w:r>
      <w:r w:rsidR="085855DD" w:rsidRPr="003D1E07">
        <w:rPr>
          <w:rStyle w:val="Zkladntextdkovn0pt"/>
          <w:rFonts w:ascii="Calibri" w:eastAsia="Times" w:hAnsi="Calibri" w:cs="Times New Roman"/>
          <w:color w:val="auto"/>
          <w:spacing w:val="0"/>
          <w:sz w:val="24"/>
          <w:u w:val="none"/>
          <w:lang w:val="cs-CZ"/>
        </w:rPr>
        <w:t xml:space="preserve">(aktualita reálného vlka, mediace, </w:t>
      </w:r>
      <w:r w:rsidR="00F403E7" w:rsidRPr="003D1E07">
        <w:rPr>
          <w:rStyle w:val="Zkladntextdkovn0pt"/>
          <w:rFonts w:ascii="Calibri" w:eastAsia="Times" w:hAnsi="Calibri" w:cs="Times New Roman"/>
          <w:color w:val="auto"/>
          <w:spacing w:val="0"/>
          <w:sz w:val="24"/>
          <w:u w:val="none"/>
          <w:lang w:val="cs-CZ"/>
        </w:rPr>
        <w:t xml:space="preserve">formální </w:t>
      </w:r>
      <w:r w:rsidR="085855DD" w:rsidRPr="003D1E07">
        <w:rPr>
          <w:rStyle w:val="Zkladntextdkovn0pt"/>
          <w:rFonts w:ascii="Calibri" w:eastAsia="Times" w:hAnsi="Calibri" w:cs="Times New Roman"/>
          <w:color w:val="auto"/>
          <w:spacing w:val="0"/>
          <w:sz w:val="24"/>
          <w:u w:val="none"/>
          <w:lang w:val="cs-CZ"/>
        </w:rPr>
        <w:t>poznatek ovce)</w:t>
      </w:r>
      <w:r w:rsidR="085855DD" w:rsidRPr="003D1E07">
        <w:t xml:space="preserve">. Hermeneutika na základě obrany společně sdíleného světa zvířat </w:t>
      </w:r>
      <w:r w:rsidR="08EE3B3C" w:rsidRPr="003D1E07">
        <w:t xml:space="preserve">a lidí </w:t>
      </w:r>
      <w:r w:rsidR="085855DD" w:rsidRPr="003D1E07">
        <w:t>zásadně odlišuje oba druhy vtištění (</w:t>
      </w:r>
      <w:r w:rsidR="085855DD" w:rsidRPr="003D1E07">
        <w:rPr>
          <w:i/>
        </w:rPr>
        <w:t>imprinting</w:t>
      </w:r>
      <w:r w:rsidR="083B088E" w:rsidRPr="003D1E07">
        <w:rPr>
          <w:i/>
        </w:rPr>
        <w:fldChar w:fldCharType="begin"/>
      </w:r>
      <w:r w:rsidR="083B088E" w:rsidRPr="003D1E07">
        <w:instrText xml:space="preserve"> XE "</w:instrText>
      </w:r>
      <w:r w:rsidR="083B088E" w:rsidRPr="003D1E07">
        <w:rPr>
          <w:i/>
        </w:rPr>
        <w:instrText>imprinting</w:instrText>
      </w:r>
      <w:r w:rsidR="083B088E" w:rsidRPr="003D1E07">
        <w:instrText xml:space="preserve">" </w:instrText>
      </w:r>
      <w:r w:rsidR="083B088E" w:rsidRPr="003D1E07">
        <w:rPr>
          <w:i/>
        </w:rPr>
        <w:fldChar w:fldCharType="end"/>
      </w:r>
      <w:r w:rsidR="085855DD" w:rsidRPr="003D1E07">
        <w:t xml:space="preserve">) dané geneticky a sociálně. Genomický </w:t>
      </w:r>
      <w:r w:rsidR="085855DD" w:rsidRPr="003D1E07">
        <w:rPr>
          <w:i/>
        </w:rPr>
        <w:t>imprinting</w:t>
      </w:r>
      <w:r w:rsidR="000B26FE" w:rsidRPr="003D1E07">
        <w:rPr>
          <w:i/>
        </w:rPr>
        <w:fldChar w:fldCharType="begin"/>
      </w:r>
      <w:r w:rsidR="000B26FE" w:rsidRPr="003D1E07">
        <w:instrText xml:space="preserve"> XE "</w:instrText>
      </w:r>
      <w:r w:rsidR="000B26FE" w:rsidRPr="003D1E07">
        <w:rPr>
          <w:i/>
        </w:rPr>
        <w:instrText>imprinting</w:instrText>
      </w:r>
      <w:r w:rsidR="000B26FE" w:rsidRPr="003D1E07">
        <w:instrText xml:space="preserve">" </w:instrText>
      </w:r>
      <w:r w:rsidR="000B26FE" w:rsidRPr="003D1E07">
        <w:rPr>
          <w:i/>
        </w:rPr>
        <w:fldChar w:fldCharType="end"/>
      </w:r>
      <w:r w:rsidR="085855DD" w:rsidRPr="003D1E07">
        <w:t xml:space="preserve"> zvířat je daný chemicky-fyzikálně, kdy forma genu v podobě dominantní alely determinuje od otce nebo od matky proces replikace daného genu v rámci DNA</w:t>
      </w:r>
      <w:r w:rsidR="005605AB" w:rsidRPr="003D1E07">
        <w:t xml:space="preserve"> (</w:t>
      </w:r>
      <w:r w:rsidR="005605AB" w:rsidRPr="003D1E07">
        <w:rPr>
          <w:i/>
        </w:rPr>
        <w:t>quartum genus</w:t>
      </w:r>
      <w:r w:rsidR="005605AB" w:rsidRPr="003D1E07">
        <w:t>)</w:t>
      </w:r>
      <w:r w:rsidR="085855DD" w:rsidRPr="003D1E07">
        <w:t xml:space="preserve">. A něco úplně jiného je sociální </w:t>
      </w:r>
      <w:r w:rsidR="085855DD" w:rsidRPr="003D1E07">
        <w:rPr>
          <w:i/>
        </w:rPr>
        <w:t>imprinting</w:t>
      </w:r>
      <w:r w:rsidR="085855DD" w:rsidRPr="003D1E07">
        <w:t xml:space="preserve"> </w:t>
      </w:r>
      <w:r w:rsidR="088D7389" w:rsidRPr="003D1E07">
        <w:t xml:space="preserve">zvířat </w:t>
      </w:r>
      <w:r w:rsidR="085855DD" w:rsidRPr="003D1E07">
        <w:t xml:space="preserve">daný sociálními vztahy (rodičovské a sexuální vtištění). Tento druh </w:t>
      </w:r>
      <w:r w:rsidR="00FD3655" w:rsidRPr="003D1E07">
        <w:t xml:space="preserve">poznání </w:t>
      </w:r>
      <w:r w:rsidR="085855DD" w:rsidRPr="003D1E07">
        <w:t>společného světa je dán ve zvířecí duši také irreverzibilně, ale úplně jiným způsobem</w:t>
      </w:r>
      <w:r w:rsidR="005078B6">
        <w:t xml:space="preserve"> než genetické informace</w:t>
      </w:r>
      <w:r w:rsidR="005605AB" w:rsidRPr="003D1E07">
        <w:t xml:space="preserve">. </w:t>
      </w:r>
      <w:r w:rsidR="00300E3B">
        <w:t>Rodičovská</w:t>
      </w:r>
      <w:r w:rsidR="00300E3B" w:rsidRPr="003D1E07">
        <w:t xml:space="preserve"> a sexuální </w:t>
      </w:r>
      <w:r w:rsidR="00300E3B">
        <w:t>determinace v</w:t>
      </w:r>
      <w:r w:rsidR="005605AB" w:rsidRPr="003D1E07">
        <w:t xml:space="preserve">ytváří individuální </w:t>
      </w:r>
      <w:r w:rsidR="005605AB" w:rsidRPr="003D1E07">
        <w:rPr>
          <w:i/>
          <w:lang w:eastAsia="en-US"/>
        </w:rPr>
        <w:t>vis aestimativa</w:t>
      </w:r>
      <w:r w:rsidR="00FD3655" w:rsidRPr="003D1E07">
        <w:rPr>
          <w:i/>
          <w:lang w:eastAsia="en-US"/>
        </w:rPr>
        <w:fldChar w:fldCharType="begin"/>
      </w:r>
      <w:r w:rsidR="00FD3655" w:rsidRPr="003D1E07">
        <w:instrText xml:space="preserve"> XE "</w:instrText>
      </w:r>
      <w:r w:rsidR="00FD3655" w:rsidRPr="003D1E07">
        <w:rPr>
          <w:i/>
          <w:lang w:eastAsia="en-US"/>
        </w:rPr>
        <w:instrText>vis aestimativa</w:instrText>
      </w:r>
      <w:r w:rsidR="00FD3655" w:rsidRPr="003D1E07">
        <w:instrText xml:space="preserve">" </w:instrText>
      </w:r>
      <w:r w:rsidR="00FD3655" w:rsidRPr="003D1E07">
        <w:rPr>
          <w:i/>
          <w:lang w:eastAsia="en-US"/>
        </w:rPr>
        <w:fldChar w:fldCharType="end"/>
      </w:r>
      <w:r w:rsidR="005605AB" w:rsidRPr="003D1E07">
        <w:rPr>
          <w:lang w:eastAsia="en-US"/>
        </w:rPr>
        <w:t xml:space="preserve"> jako </w:t>
      </w:r>
      <w:r w:rsidR="005605AB" w:rsidRPr="003D1E07">
        <w:rPr>
          <w:i/>
          <w:lang w:eastAsia="en-US"/>
        </w:rPr>
        <w:t>tertium genus</w:t>
      </w:r>
      <w:r w:rsidR="00FD3655" w:rsidRPr="003D1E07">
        <w:rPr>
          <w:i/>
          <w:lang w:eastAsia="en-US"/>
        </w:rPr>
        <w:fldChar w:fldCharType="begin"/>
      </w:r>
      <w:r w:rsidR="00FD3655" w:rsidRPr="003D1E07">
        <w:instrText xml:space="preserve"> XE "</w:instrText>
      </w:r>
      <w:r w:rsidR="00FD3655" w:rsidRPr="003D1E07">
        <w:rPr>
          <w:i/>
          <w:lang w:eastAsia="en-US"/>
        </w:rPr>
        <w:instrText>tertium genus</w:instrText>
      </w:r>
      <w:r w:rsidR="00FD3655" w:rsidRPr="003D1E07">
        <w:instrText xml:space="preserve">" </w:instrText>
      </w:r>
      <w:r w:rsidR="00FD3655" w:rsidRPr="003D1E07">
        <w:rPr>
          <w:i/>
          <w:lang w:eastAsia="en-US"/>
        </w:rPr>
        <w:fldChar w:fldCharType="end"/>
      </w:r>
      <w:r w:rsidR="085855DD" w:rsidRPr="003D1E07">
        <w:t xml:space="preserve">. </w:t>
      </w:r>
      <w:r w:rsidR="080E1E3A" w:rsidRPr="003D1E07">
        <w:t xml:space="preserve">Intencionální </w:t>
      </w:r>
      <w:r w:rsidR="005605AB" w:rsidRPr="003D1E07">
        <w:t xml:space="preserve">recepce </w:t>
      </w:r>
      <w:r w:rsidR="085855DD" w:rsidRPr="003D1E07">
        <w:t xml:space="preserve">vychází z receptivity animální duše jako </w:t>
      </w:r>
      <w:r w:rsidR="085855DD" w:rsidRPr="003D1E07">
        <w:rPr>
          <w:i/>
        </w:rPr>
        <w:t>tabula rasa</w:t>
      </w:r>
      <w:r w:rsidR="00FD3655" w:rsidRPr="003D1E07">
        <w:t xml:space="preserve">. Animální duše se </w:t>
      </w:r>
      <w:r w:rsidR="085855DD" w:rsidRPr="003D1E07">
        <w:t>fix</w:t>
      </w:r>
      <w:r w:rsidR="005605AB" w:rsidRPr="003D1E07">
        <w:t xml:space="preserve">uje po individuálním imprintignu </w:t>
      </w:r>
      <w:r w:rsidR="080E1E3A" w:rsidRPr="003D1E07">
        <w:t>prvních smyslových vje</w:t>
      </w:r>
      <w:r w:rsidR="085855DD" w:rsidRPr="003D1E07">
        <w:t xml:space="preserve">mů jako pevná poznávací forma. Lidská duše jako </w:t>
      </w:r>
      <w:r w:rsidR="085855DD" w:rsidRPr="003D1E07">
        <w:rPr>
          <w:i/>
        </w:rPr>
        <w:t>tabula rasa</w:t>
      </w:r>
      <w:r w:rsidR="083B088E" w:rsidRPr="003D1E07">
        <w:rPr>
          <w:i/>
        </w:rPr>
        <w:fldChar w:fldCharType="begin"/>
      </w:r>
      <w:r w:rsidR="083B088E" w:rsidRPr="003D1E07">
        <w:instrText xml:space="preserve"> XE "</w:instrText>
      </w:r>
      <w:r w:rsidR="083B088E" w:rsidRPr="003D1E07">
        <w:rPr>
          <w:i/>
        </w:rPr>
        <w:instrText>tabula rasa</w:instrText>
      </w:r>
      <w:r w:rsidR="083B088E" w:rsidRPr="003D1E07">
        <w:instrText xml:space="preserve">" </w:instrText>
      </w:r>
      <w:r w:rsidR="083B088E" w:rsidRPr="003D1E07">
        <w:rPr>
          <w:i/>
        </w:rPr>
        <w:fldChar w:fldCharType="end"/>
      </w:r>
      <w:r w:rsidR="085855DD" w:rsidRPr="003D1E07">
        <w:t xml:space="preserve"> získává intelektuální a kulturní obraz světa </w:t>
      </w:r>
      <w:r w:rsidR="08E8653E" w:rsidRPr="003D1E07">
        <w:t xml:space="preserve">intelektuální </w:t>
      </w:r>
      <w:r w:rsidR="085855DD" w:rsidRPr="003D1E07">
        <w:t xml:space="preserve">výchovou místo animálního vtištění. </w:t>
      </w:r>
      <w:r w:rsidR="087F138E" w:rsidRPr="003D1E07">
        <w:rPr>
          <w:rStyle w:val="Zkladntext158dkovn0pt"/>
          <w:color w:val="auto"/>
          <w:spacing w:val="0"/>
          <w:sz w:val="24"/>
          <w:lang w:val="cs-CZ"/>
        </w:rPr>
        <w:t xml:space="preserve">Díky nematerialitě diafanum daného jako formální potence není </w:t>
      </w:r>
      <w:r w:rsidR="08F76775" w:rsidRPr="003D1E07">
        <w:rPr>
          <w:rStyle w:val="Zkladntext158dkovn0pt"/>
          <w:color w:val="auto"/>
          <w:spacing w:val="0"/>
          <w:sz w:val="24"/>
          <w:lang w:val="cs-CZ"/>
        </w:rPr>
        <w:t xml:space="preserve">duševní </w:t>
      </w:r>
      <w:r w:rsidR="087F138E" w:rsidRPr="003D1E07">
        <w:rPr>
          <w:rStyle w:val="Zkladntext158dkovn0pt"/>
          <w:color w:val="auto"/>
          <w:spacing w:val="0"/>
          <w:sz w:val="24"/>
          <w:lang w:val="cs-CZ"/>
        </w:rPr>
        <w:t xml:space="preserve">poznání </w:t>
      </w:r>
      <w:r w:rsidR="08F76775" w:rsidRPr="003D1E07">
        <w:rPr>
          <w:rStyle w:val="Zkladntext158dkovn0pt"/>
          <w:color w:val="auto"/>
          <w:spacing w:val="0"/>
          <w:sz w:val="24"/>
          <w:lang w:val="cs-CZ"/>
        </w:rPr>
        <w:t>zvířat a lidí univoční s</w:t>
      </w:r>
      <w:r w:rsidR="087F138E" w:rsidRPr="003D1E07">
        <w:rPr>
          <w:rStyle w:val="Zkladntext158dkovn0pt"/>
          <w:color w:val="auto"/>
          <w:spacing w:val="0"/>
          <w:sz w:val="24"/>
          <w:lang w:val="cs-CZ"/>
        </w:rPr>
        <w:t xml:space="preserve">oučástí materiálních </w:t>
      </w:r>
      <w:r w:rsidR="00253352">
        <w:rPr>
          <w:rStyle w:val="Zkladntext158dkovn0pt"/>
          <w:color w:val="auto"/>
          <w:spacing w:val="0"/>
          <w:sz w:val="24"/>
          <w:lang w:val="cs-CZ"/>
        </w:rPr>
        <w:t>„</w:t>
      </w:r>
      <w:r w:rsidR="087F138E" w:rsidRPr="003D1E07">
        <w:rPr>
          <w:rStyle w:val="Zkladntext158dkovn0pt"/>
          <w:color w:val="auto"/>
          <w:spacing w:val="0"/>
          <w:sz w:val="24"/>
          <w:lang w:val="cs-CZ"/>
        </w:rPr>
        <w:t>mozkových procesů</w:t>
      </w:r>
      <w:r w:rsidR="00253352">
        <w:rPr>
          <w:rStyle w:val="Zkladntext158dkovn0pt"/>
          <w:color w:val="auto"/>
          <w:spacing w:val="0"/>
          <w:sz w:val="24"/>
          <w:lang w:val="cs-CZ"/>
        </w:rPr>
        <w:t xml:space="preserve">“ jako objektivního </w:t>
      </w:r>
      <w:r w:rsidR="00253352" w:rsidRPr="008579A7">
        <w:rPr>
          <w:i/>
          <w:noProof w:val="0"/>
          <w:lang w:val="fr-FR" w:eastAsia="en-US"/>
        </w:rPr>
        <w:t>tertium ens</w:t>
      </w:r>
      <w:r w:rsidR="087F138E" w:rsidRPr="003D1E07">
        <w:rPr>
          <w:rStyle w:val="Zkladntext158dkovn0pt"/>
          <w:color w:val="auto"/>
          <w:spacing w:val="0"/>
          <w:sz w:val="24"/>
          <w:lang w:val="cs-CZ"/>
        </w:rPr>
        <w:t xml:space="preserve">. Ale formálně podobný průběh poznání </w:t>
      </w:r>
      <w:r w:rsidR="00FF53E1" w:rsidRPr="003D1E07">
        <w:rPr>
          <w:rStyle w:val="Zkladntext158dkovn0pt"/>
          <w:color w:val="auto"/>
          <w:spacing w:val="0"/>
          <w:sz w:val="24"/>
          <w:lang w:val="cs-CZ"/>
        </w:rPr>
        <w:t>(</w:t>
      </w:r>
      <w:r w:rsidR="00FF53E1" w:rsidRPr="003D1E07">
        <w:rPr>
          <w:rStyle w:val="Zkladntext158dkovn0pt"/>
          <w:i/>
          <w:color w:val="auto"/>
          <w:spacing w:val="0"/>
          <w:sz w:val="24"/>
          <w:lang w:val="cs-CZ"/>
        </w:rPr>
        <w:t>quartum genus</w:t>
      </w:r>
      <w:r w:rsidR="00FF53E1" w:rsidRPr="003D1E07">
        <w:rPr>
          <w:rStyle w:val="Zkladntext158dkovn0pt"/>
          <w:color w:val="auto"/>
          <w:spacing w:val="0"/>
          <w:sz w:val="24"/>
          <w:lang w:val="cs-CZ"/>
        </w:rPr>
        <w:t xml:space="preserve">) </w:t>
      </w:r>
      <w:r w:rsidR="00420C96">
        <w:rPr>
          <w:rStyle w:val="Zkladntext158dkovn0pt"/>
          <w:color w:val="auto"/>
          <w:spacing w:val="0"/>
          <w:sz w:val="24"/>
          <w:lang w:val="cs-CZ"/>
        </w:rPr>
        <w:t>v rámci společné inte</w:t>
      </w:r>
      <w:r w:rsidR="000B0BC1">
        <w:rPr>
          <w:rStyle w:val="Zkladntext158dkovn0pt"/>
          <w:color w:val="auto"/>
          <w:spacing w:val="0"/>
          <w:sz w:val="24"/>
          <w:lang w:val="cs-CZ"/>
        </w:rPr>
        <w:t>n</w:t>
      </w:r>
      <w:r w:rsidR="00420C96">
        <w:rPr>
          <w:rStyle w:val="Zkladntext158dkovn0pt"/>
          <w:color w:val="auto"/>
          <w:spacing w:val="0"/>
          <w:sz w:val="24"/>
          <w:lang w:val="cs-CZ"/>
        </w:rPr>
        <w:t xml:space="preserve">cionality </w:t>
      </w:r>
      <w:r w:rsidR="087F138E" w:rsidRPr="003D1E07">
        <w:rPr>
          <w:rStyle w:val="Zkladntext158dkovn0pt"/>
          <w:color w:val="auto"/>
          <w:spacing w:val="0"/>
          <w:sz w:val="24"/>
          <w:lang w:val="cs-CZ"/>
        </w:rPr>
        <w:t>znamená, že sdílíme společný svět se všemi živými bytostmi.</w:t>
      </w:r>
      <w:r w:rsidR="089F6E49" w:rsidRPr="003D1E07">
        <w:rPr>
          <w:rStyle w:val="Zkladntext158dkovn0pt"/>
          <w:color w:val="auto"/>
          <w:spacing w:val="0"/>
          <w:sz w:val="24"/>
          <w:lang w:val="cs-CZ"/>
        </w:rPr>
        <w:t xml:space="preserve"> </w:t>
      </w:r>
      <w:r w:rsidR="089F6E49" w:rsidRPr="003D1E07">
        <w:t xml:space="preserve">Termín </w:t>
      </w:r>
      <w:r w:rsidR="089F6E49" w:rsidRPr="003D1E07">
        <w:rPr>
          <w:i/>
        </w:rPr>
        <w:t>Lebenswelt</w:t>
      </w:r>
      <w:r w:rsidR="089F6E49" w:rsidRPr="003D1E07">
        <w:rPr>
          <w:i/>
        </w:rPr>
        <w:fldChar w:fldCharType="begin"/>
      </w:r>
      <w:r w:rsidR="089F6E49" w:rsidRPr="003D1E07">
        <w:instrText xml:space="preserve"> XE "</w:instrText>
      </w:r>
      <w:r w:rsidR="089F6E49" w:rsidRPr="003D1E07">
        <w:rPr>
          <w:rStyle w:val="Zkladntext158dkovn0pt"/>
          <w:i/>
          <w:color w:val="auto"/>
          <w:spacing w:val="0"/>
          <w:sz w:val="24"/>
          <w:lang w:val="cs-CZ"/>
        </w:rPr>
        <w:instrText>Lebenswelt</w:instrText>
      </w:r>
      <w:r w:rsidR="089F6E49" w:rsidRPr="003D1E07">
        <w:instrText xml:space="preserve">" </w:instrText>
      </w:r>
      <w:r w:rsidR="089F6E49" w:rsidRPr="003D1E07">
        <w:rPr>
          <w:i/>
        </w:rPr>
        <w:fldChar w:fldCharType="end"/>
      </w:r>
      <w:r w:rsidR="089F6E49" w:rsidRPr="003D1E07">
        <w:t xml:space="preserve"> u Husserla</w:t>
      </w:r>
      <w:r w:rsidR="089F6E49" w:rsidRPr="003D1E07">
        <w:fldChar w:fldCharType="begin"/>
      </w:r>
      <w:r w:rsidR="089F6E49" w:rsidRPr="003D1E07">
        <w:instrText xml:space="preserve"> XE "Husserl, E." </w:instrText>
      </w:r>
      <w:r w:rsidR="089F6E49" w:rsidRPr="003D1E07">
        <w:fldChar w:fldCharType="end"/>
      </w:r>
      <w:r w:rsidR="089F6E49" w:rsidRPr="003D1E07">
        <w:t xml:space="preserve"> má zcela karteziánský </w:t>
      </w:r>
      <w:r w:rsidR="089F6E49" w:rsidRPr="003D1E07">
        <w:lastRenderedPageBreak/>
        <w:t xml:space="preserve">charakter a navazuje na avicennovskou modernu danou druhým averroismem Toledské školy. Neoplatonismus Husserla je dán nasvícením tzv. „přirozeného světa“ zezadu, od matematických forem, které určují </w:t>
      </w:r>
      <w:r w:rsidR="00816F30" w:rsidRPr="003D1E07">
        <w:t xml:space="preserve">objektivní „exsistenci“ </w:t>
      </w:r>
      <w:r w:rsidR="089F6E49" w:rsidRPr="003D1E07">
        <w:t>společného světa.</w:t>
      </w:r>
      <w:r w:rsidR="089F6E49" w:rsidRPr="003D1E07">
        <w:rPr>
          <w:rStyle w:val="Znakapoznpodarou"/>
        </w:rPr>
        <w:footnoteReference w:id="286"/>
      </w:r>
      <w:r w:rsidR="089F6E49" w:rsidRPr="003D1E07">
        <w:t xml:space="preserve"> Husserlovy aktivní a pasivní konstituce významu vytvářejí pouze </w:t>
      </w:r>
      <w:r w:rsidR="000C1C42" w:rsidRPr="003D1E07">
        <w:t xml:space="preserve">mytopoetický diakosmos </w:t>
      </w:r>
      <w:r w:rsidR="00230B61" w:rsidRPr="003D1E07">
        <w:t xml:space="preserve">karteziánských subjektů v modu </w:t>
      </w:r>
      <w:r w:rsidR="00230B61" w:rsidRPr="003D1E07">
        <w:rPr>
          <w:i/>
        </w:rPr>
        <w:t>tertium ens</w:t>
      </w:r>
      <w:r w:rsidR="089F6E49" w:rsidRPr="003D1E07">
        <w:t xml:space="preserve">. </w:t>
      </w:r>
      <w:r w:rsidR="089F6E49" w:rsidRPr="003D1E07">
        <w:rPr>
          <w:rStyle w:val="Zkladntext158dkovn0pt"/>
          <w:color w:val="auto"/>
          <w:spacing w:val="0"/>
          <w:sz w:val="24"/>
          <w:lang w:val="cs-CZ"/>
        </w:rPr>
        <w:t xml:space="preserve">Aristolelův a Husserlův </w:t>
      </w:r>
      <w:r w:rsidR="089F6E49" w:rsidRPr="003D1E07">
        <w:rPr>
          <w:rStyle w:val="Zkladntext158dkovn0pt"/>
          <w:i/>
          <w:color w:val="auto"/>
          <w:spacing w:val="0"/>
          <w:sz w:val="24"/>
          <w:lang w:val="cs-CZ"/>
        </w:rPr>
        <w:t>Lebenswelt</w:t>
      </w:r>
      <w:r w:rsidR="089F6E49" w:rsidRPr="003D1E07">
        <w:rPr>
          <w:rStyle w:val="Zkladntext158dkovn0pt"/>
          <w:i/>
          <w:color w:val="auto"/>
          <w:spacing w:val="0"/>
          <w:sz w:val="24"/>
          <w:lang w:val="cs-CZ"/>
        </w:rPr>
        <w:fldChar w:fldCharType="begin"/>
      </w:r>
      <w:r w:rsidR="089F6E49" w:rsidRPr="003D1E07">
        <w:rPr>
          <w:i/>
        </w:rPr>
        <w:instrText xml:space="preserve"> XE "</w:instrText>
      </w:r>
      <w:r w:rsidR="089F6E49" w:rsidRPr="003D1E07">
        <w:rPr>
          <w:rStyle w:val="Zkladntext158dkovn0pt"/>
          <w:i/>
          <w:color w:val="auto"/>
          <w:spacing w:val="0"/>
          <w:sz w:val="24"/>
          <w:lang w:val="cs-CZ"/>
        </w:rPr>
        <w:instrText>Lebenswelt</w:instrText>
      </w:r>
      <w:r w:rsidR="089F6E49" w:rsidRPr="003D1E07">
        <w:rPr>
          <w:i/>
        </w:rPr>
        <w:instrText xml:space="preserve">" </w:instrText>
      </w:r>
      <w:r w:rsidR="089F6E49" w:rsidRPr="003D1E07">
        <w:rPr>
          <w:rStyle w:val="Zkladntext158dkovn0pt"/>
          <w:i/>
          <w:color w:val="auto"/>
          <w:spacing w:val="0"/>
          <w:sz w:val="24"/>
          <w:lang w:val="cs-CZ"/>
        </w:rPr>
        <w:fldChar w:fldCharType="end"/>
      </w:r>
      <w:r w:rsidR="089F6E49" w:rsidRPr="003D1E07">
        <w:rPr>
          <w:rStyle w:val="Zkladntext158dkovn0pt"/>
          <w:color w:val="auto"/>
          <w:spacing w:val="0"/>
          <w:sz w:val="24"/>
          <w:lang w:val="cs-CZ"/>
        </w:rPr>
        <w:t xml:space="preserve"> od sebe oddělují dva zcela odlišné projekty metafyziky</w:t>
      </w:r>
      <w:r w:rsidR="00774328" w:rsidRPr="003D1E07">
        <w:rPr>
          <w:rStyle w:val="Zkladntext158dkovn0pt"/>
          <w:color w:val="auto"/>
          <w:spacing w:val="0"/>
          <w:sz w:val="24"/>
          <w:lang w:val="cs-CZ"/>
        </w:rPr>
        <w:t xml:space="preserve">. Ty dávají </w:t>
      </w:r>
      <w:r w:rsidR="089F6E49" w:rsidRPr="003D1E07">
        <w:rPr>
          <w:rStyle w:val="Zkladntext158dkovn0pt"/>
          <w:color w:val="auto"/>
          <w:spacing w:val="0"/>
          <w:sz w:val="24"/>
          <w:lang w:val="cs-CZ"/>
        </w:rPr>
        <w:t xml:space="preserve">disparátní pojetí intencionality, </w:t>
      </w:r>
      <w:r w:rsidR="00774328" w:rsidRPr="003D1E07">
        <w:rPr>
          <w:rStyle w:val="Zkladntext158dkovn0pt"/>
          <w:color w:val="auto"/>
          <w:spacing w:val="0"/>
          <w:sz w:val="24"/>
          <w:lang w:val="cs-CZ"/>
        </w:rPr>
        <w:t xml:space="preserve">odlišnou </w:t>
      </w:r>
      <w:r w:rsidR="089F6E49" w:rsidRPr="003D1E07">
        <w:rPr>
          <w:rStyle w:val="Zkladntext158dkovn0pt"/>
          <w:color w:val="auto"/>
          <w:spacing w:val="0"/>
          <w:sz w:val="24"/>
          <w:lang w:val="cs-CZ"/>
        </w:rPr>
        <w:t>definic</w:t>
      </w:r>
      <w:r w:rsidR="00774328" w:rsidRPr="003D1E07">
        <w:rPr>
          <w:rStyle w:val="Zkladntext158dkovn0pt"/>
          <w:color w:val="auto"/>
          <w:spacing w:val="0"/>
          <w:sz w:val="24"/>
          <w:lang w:val="cs-CZ"/>
        </w:rPr>
        <w:t>i</w:t>
      </w:r>
      <w:r w:rsidR="089F6E49" w:rsidRPr="003D1E07">
        <w:rPr>
          <w:rStyle w:val="Zkladntext158dkovn0pt"/>
          <w:color w:val="auto"/>
          <w:spacing w:val="0"/>
          <w:sz w:val="24"/>
          <w:lang w:val="cs-CZ"/>
        </w:rPr>
        <w:t xml:space="preserve"> pravdy, </w:t>
      </w:r>
      <w:r w:rsidR="00774328" w:rsidRPr="003D1E07">
        <w:rPr>
          <w:rStyle w:val="Zkladntext158dkovn0pt"/>
          <w:color w:val="auto"/>
          <w:spacing w:val="0"/>
          <w:sz w:val="24"/>
          <w:lang w:val="cs-CZ"/>
        </w:rPr>
        <w:t xml:space="preserve">rozdílný koncept jsoucna, a tím i zásadně odlišný způsob </w:t>
      </w:r>
      <w:r w:rsidR="089F6E49" w:rsidRPr="003D1E07">
        <w:rPr>
          <w:rStyle w:val="Zkladntext158dkovn0pt"/>
          <w:color w:val="auto"/>
          <w:spacing w:val="0"/>
          <w:sz w:val="24"/>
          <w:lang w:val="cs-CZ"/>
        </w:rPr>
        <w:t xml:space="preserve">vidění světa. Komentátor </w:t>
      </w:r>
      <w:r w:rsidR="089F6E49" w:rsidRPr="003D1E07">
        <w:rPr>
          <w:lang w:eastAsia="en-US"/>
        </w:rPr>
        <w:t>obhajuje skrze výklad biologických spisů</w:t>
      </w:r>
      <w:r w:rsidR="00C20230" w:rsidRPr="003D1E07">
        <w:rPr>
          <w:lang w:eastAsia="en-US"/>
        </w:rPr>
        <w:t xml:space="preserve"> Aristotela</w:t>
      </w:r>
      <w:r w:rsidR="089F6E49" w:rsidRPr="003D1E07">
        <w:rPr>
          <w:lang w:eastAsia="en-US"/>
        </w:rPr>
        <w:t xml:space="preserve">, </w:t>
      </w:r>
      <w:r w:rsidR="089F6E49" w:rsidRPr="003D1E07">
        <w:rPr>
          <w:i/>
          <w:lang w:eastAsia="en-US"/>
        </w:rPr>
        <w:t>Metafyziky</w:t>
      </w:r>
      <w:r w:rsidR="089F6E49" w:rsidRPr="003D1E07">
        <w:rPr>
          <w:lang w:eastAsia="en-US"/>
        </w:rPr>
        <w:t xml:space="preserve"> a </w:t>
      </w:r>
      <w:r w:rsidR="089F6E49" w:rsidRPr="003D1E07">
        <w:rPr>
          <w:i/>
          <w:lang w:eastAsia="en-US"/>
        </w:rPr>
        <w:t>De anima</w:t>
      </w:r>
      <w:r w:rsidR="089F6E49" w:rsidRPr="003D1E07">
        <w:rPr>
          <w:lang w:eastAsia="en-US"/>
        </w:rPr>
        <w:t xml:space="preserve"> plně aristotelské pojetí vědy orientované ke světu prvních substancí. </w:t>
      </w:r>
      <w:r w:rsidR="089F6E49" w:rsidRPr="003D1E07">
        <w:t xml:space="preserve">Její sofistická podoba v modu sekulárního </w:t>
      </w:r>
      <w:r w:rsidR="089F6E49" w:rsidRPr="003D1E07">
        <w:rPr>
          <w:i/>
        </w:rPr>
        <w:t>Irrtum</w:t>
      </w:r>
      <w:r w:rsidR="089F6E49" w:rsidRPr="003D1E07">
        <w:t xml:space="preserve"> moderny s</w:t>
      </w:r>
      <w:r w:rsidR="08ED12B2" w:rsidRPr="003D1E07">
        <w:t>e skrze dogmatickou ontoteologii</w:t>
      </w:r>
      <w:r w:rsidR="089F6E49" w:rsidRPr="003D1E07">
        <w:t xml:space="preserve"> nakonec stala </w:t>
      </w:r>
      <w:r w:rsidR="008E42BB">
        <w:t xml:space="preserve">tragickým </w:t>
      </w:r>
      <w:r w:rsidR="089F6E49" w:rsidRPr="003D1E07">
        <w:t xml:space="preserve">osudem Západu. </w:t>
      </w:r>
      <w:r w:rsidR="087F138E" w:rsidRPr="003D1E07">
        <w:t>Aristotelovo pojetí intencionality objevila pro Západ Blundova</w:t>
      </w:r>
      <w:r w:rsidR="08DA142E" w:rsidRPr="003D1E07">
        <w:fldChar w:fldCharType="begin"/>
      </w:r>
      <w:r w:rsidR="08DA142E" w:rsidRPr="003D1E07">
        <w:instrText xml:space="preserve"> XE "Blund, J." </w:instrText>
      </w:r>
      <w:r w:rsidR="08DA142E" w:rsidRPr="003D1E07">
        <w:fldChar w:fldCharType="end"/>
      </w:r>
      <w:r w:rsidR="087F138E" w:rsidRPr="003D1E07">
        <w:t xml:space="preserve"> škola pečlivou četbou </w:t>
      </w:r>
      <w:r w:rsidR="087F138E" w:rsidRPr="003D1E07">
        <w:rPr>
          <w:i/>
        </w:rPr>
        <w:t>De anima</w:t>
      </w:r>
      <w:r w:rsidR="087F138E" w:rsidRPr="003D1E07">
        <w:t xml:space="preserve"> (</w:t>
      </w:r>
      <w:r w:rsidR="08ED12B2" w:rsidRPr="003D1E07">
        <w:t xml:space="preserve">OBJ II, </w:t>
      </w:r>
      <w:r w:rsidR="087F138E" w:rsidRPr="003D1E07">
        <w:t>kap.</w:t>
      </w:r>
      <w:r w:rsidR="08ED12B2" w:rsidRPr="003D1E07">
        <w:t xml:space="preserve"> 2</w:t>
      </w:r>
      <w:r w:rsidR="087F138E" w:rsidRPr="003D1E07">
        <w:t>.1</w:t>
      </w:r>
      <w:r w:rsidR="08ED12B2" w:rsidRPr="003D1E07">
        <w:t>.2</w:t>
      </w:r>
      <w:r w:rsidR="087F138E" w:rsidRPr="003D1E07">
        <w:t xml:space="preserve">). </w:t>
      </w:r>
      <w:r w:rsidR="00E20202" w:rsidRPr="003D1E07">
        <w:t xml:space="preserve">Spis CMDA přišel na latinský Západ </w:t>
      </w:r>
      <w:r w:rsidR="087F138E" w:rsidRPr="003D1E07">
        <w:t>po roce 1220 v neoplatonských překladech Toledské školy</w:t>
      </w:r>
      <w:r w:rsidR="087F138E" w:rsidRPr="003D1E07">
        <w:fldChar w:fldCharType="begin"/>
      </w:r>
      <w:r w:rsidR="087F138E" w:rsidRPr="003D1E07">
        <w:instrText xml:space="preserve"> XE "Toledská škola" </w:instrText>
      </w:r>
      <w:r w:rsidR="087F138E" w:rsidRPr="003D1E07">
        <w:fldChar w:fldCharType="end"/>
      </w:r>
      <w:r w:rsidR="087F138E" w:rsidRPr="003D1E07">
        <w:t xml:space="preserve">. Ale </w:t>
      </w:r>
      <w:r w:rsidR="00E20202" w:rsidRPr="003D1E07">
        <w:t xml:space="preserve">pravdivou </w:t>
      </w:r>
      <w:r w:rsidR="087F138E" w:rsidRPr="003D1E07">
        <w:rPr>
          <w:rStyle w:val="Zkladntext158dkovn0pt"/>
          <w:color w:val="auto"/>
          <w:spacing w:val="0"/>
          <w:sz w:val="24"/>
          <w:lang w:val="cs-CZ"/>
        </w:rPr>
        <w:t>interpretaci CMDA přinesla do Paříže až Sicilská škola</w:t>
      </w:r>
      <w:r w:rsidR="087F138E" w:rsidRPr="003D1E07">
        <w:rPr>
          <w:rStyle w:val="Zkladntext158dkovn0pt"/>
          <w:color w:val="auto"/>
          <w:spacing w:val="0"/>
          <w:sz w:val="24"/>
          <w:lang w:val="cs-CZ"/>
        </w:rPr>
        <w:fldChar w:fldCharType="begin"/>
      </w:r>
      <w:r w:rsidR="087F138E" w:rsidRPr="003D1E07">
        <w:instrText xml:space="preserve"> XE "</w:instrText>
      </w:r>
      <w:r w:rsidR="087F138E" w:rsidRPr="003D1E07">
        <w:rPr>
          <w:rStyle w:val="Zkladntext158dkovn0pt"/>
          <w:color w:val="auto"/>
          <w:spacing w:val="0"/>
          <w:sz w:val="24"/>
          <w:lang w:val="cs-CZ"/>
        </w:rPr>
        <w:instrText>Sicilská škola</w:instrText>
      </w:r>
      <w:r w:rsidR="087F138E" w:rsidRPr="003D1E07">
        <w:instrText xml:space="preserve">" </w:instrText>
      </w:r>
      <w:r w:rsidR="087F138E" w:rsidRPr="003D1E07">
        <w:rPr>
          <w:rStyle w:val="Zkladntext158dkovn0pt"/>
          <w:color w:val="auto"/>
          <w:spacing w:val="0"/>
          <w:sz w:val="24"/>
          <w:lang w:val="cs-CZ"/>
        </w:rPr>
        <w:fldChar w:fldCharType="end"/>
      </w:r>
      <w:r w:rsidR="087F138E" w:rsidRPr="003D1E07">
        <w:rPr>
          <w:rStyle w:val="Zkladntext158dkovn0pt"/>
          <w:color w:val="auto"/>
          <w:spacing w:val="0"/>
          <w:sz w:val="24"/>
          <w:lang w:val="cs-CZ"/>
        </w:rPr>
        <w:t xml:space="preserve"> roku 1230, kdy </w:t>
      </w:r>
      <w:r w:rsidR="087F138E" w:rsidRPr="003D1E07">
        <w:rPr>
          <w:color w:val="000000"/>
        </w:rPr>
        <w:t xml:space="preserve">překladatel </w:t>
      </w:r>
      <w:r w:rsidR="087F138E" w:rsidRPr="003D1E07">
        <w:t>Michael Scotus</w:t>
      </w:r>
      <w:r w:rsidR="087F138E" w:rsidRPr="003D1E07">
        <w:fldChar w:fldCharType="begin"/>
      </w:r>
      <w:r w:rsidR="087F138E" w:rsidRPr="003D1E07">
        <w:instrText xml:space="preserve"> XE "Scotus, Michael" </w:instrText>
      </w:r>
      <w:r w:rsidR="087F138E" w:rsidRPr="003D1E07">
        <w:fldChar w:fldCharType="end"/>
      </w:r>
      <w:r w:rsidR="00E20202" w:rsidRPr="003D1E07">
        <w:t xml:space="preserve"> navštívil</w:t>
      </w:r>
      <w:r w:rsidR="087F138E" w:rsidRPr="003D1E07">
        <w:t xml:space="preserve"> Pařížskou univerzitu a za</w:t>
      </w:r>
      <w:r w:rsidR="00E20202" w:rsidRPr="003D1E07">
        <w:t xml:space="preserve">ložil </w:t>
      </w:r>
      <w:r w:rsidR="087F138E" w:rsidRPr="003D1E07">
        <w:t xml:space="preserve">školu prvního averroismu v duchu integrální interpretace přírodovědných spisů Aristotela. </w:t>
      </w:r>
      <w:r w:rsidR="0042319F" w:rsidRPr="003D1E07">
        <w:t xml:space="preserve">Výklad poznání a intellektu podle </w:t>
      </w:r>
      <w:r w:rsidR="087F138E" w:rsidRPr="003D1E07">
        <w:t xml:space="preserve">CMDA poprvé plně obhájil Albert v úvodní části spisu </w:t>
      </w:r>
      <w:r w:rsidR="087F138E" w:rsidRPr="003D1E07">
        <w:rPr>
          <w:i/>
        </w:rPr>
        <w:t>De homine</w:t>
      </w:r>
      <w:r w:rsidR="087F138E" w:rsidRPr="003D1E07">
        <w:t xml:space="preserve"> (asi 1242) a Bacon ve výkladu </w:t>
      </w:r>
      <w:r w:rsidR="087F138E" w:rsidRPr="003D1E07">
        <w:rPr>
          <w:i/>
        </w:rPr>
        <w:t>Metafyziky</w:t>
      </w:r>
      <w:r w:rsidR="000E79B8" w:rsidRPr="003D1E07">
        <w:t xml:space="preserve">. Oba výklady byly </w:t>
      </w:r>
      <w:r w:rsidR="005A0662">
        <w:t xml:space="preserve">pravdivě </w:t>
      </w:r>
      <w:r w:rsidR="000E79B8" w:rsidRPr="003D1E07">
        <w:t xml:space="preserve">podány </w:t>
      </w:r>
      <w:r w:rsidR="087F138E" w:rsidRPr="003D1E07">
        <w:rPr>
          <w:i/>
        </w:rPr>
        <w:t>ad mentem Averrois</w:t>
      </w:r>
      <w:r w:rsidR="087F138E" w:rsidRPr="003D1E07">
        <w:rPr>
          <w:i/>
        </w:rPr>
        <w:fldChar w:fldCharType="begin"/>
      </w:r>
      <w:r w:rsidR="087F138E" w:rsidRPr="003D1E07">
        <w:instrText xml:space="preserve"> XE "</w:instrText>
      </w:r>
      <w:r w:rsidR="087F138E" w:rsidRPr="003D1E07">
        <w:rPr>
          <w:i/>
        </w:rPr>
        <w:instrText>ad mentem Averrois</w:instrText>
      </w:r>
      <w:r w:rsidR="087F138E" w:rsidRPr="003D1E07">
        <w:instrText xml:space="preserve">" </w:instrText>
      </w:r>
      <w:r w:rsidR="087F138E" w:rsidRPr="003D1E07">
        <w:rPr>
          <w:i/>
        </w:rPr>
        <w:fldChar w:fldCharType="end"/>
      </w:r>
      <w:r w:rsidR="087F138E" w:rsidRPr="003D1E07">
        <w:t xml:space="preserve">. Averroes sleduje stejně jako Aristoteles proces </w:t>
      </w:r>
      <w:r w:rsidR="087F138E" w:rsidRPr="003D1E07">
        <w:rPr>
          <w:i/>
        </w:rPr>
        <w:t>similitudo</w:t>
      </w:r>
      <w:r w:rsidR="087F138E" w:rsidRPr="003D1E07">
        <w:t xml:space="preserve"> a </w:t>
      </w:r>
      <w:r w:rsidR="087F138E" w:rsidRPr="003D1E07">
        <w:rPr>
          <w:i/>
        </w:rPr>
        <w:t>proportio</w:t>
      </w:r>
      <w:r w:rsidR="087F138E" w:rsidRPr="003D1E07">
        <w:rPr>
          <w:i/>
        </w:rPr>
        <w:fldChar w:fldCharType="begin"/>
      </w:r>
      <w:r w:rsidR="087F138E" w:rsidRPr="003D1E07">
        <w:instrText xml:space="preserve"> XE "pravda:</w:instrText>
      </w:r>
      <w:r w:rsidR="087F138E" w:rsidRPr="003D1E07">
        <w:rPr>
          <w:i/>
        </w:rPr>
        <w:instrText>proportio</w:instrText>
      </w:r>
      <w:r w:rsidR="087F138E" w:rsidRPr="003D1E07">
        <w:instrText xml:space="preserve">" </w:instrText>
      </w:r>
      <w:r w:rsidR="087F138E" w:rsidRPr="003D1E07">
        <w:rPr>
          <w:i/>
        </w:rPr>
        <w:fldChar w:fldCharType="end"/>
      </w:r>
      <w:r w:rsidR="087F138E" w:rsidRPr="003D1E07">
        <w:t xml:space="preserve"> od věci k poznání pro všechny živé bytosti, nejen pro člověka. Oba myslitelé dobře ví, že živé bytosti mají díky smyslové intencionalitě svůj </w:t>
      </w:r>
      <w:r w:rsidR="08C10259" w:rsidRPr="003D1E07">
        <w:t xml:space="preserve">vlastní </w:t>
      </w:r>
      <w:r w:rsidR="087F138E" w:rsidRPr="003D1E07">
        <w:t>svět</w:t>
      </w:r>
      <w:r w:rsidR="08C10259" w:rsidRPr="003D1E07">
        <w:t xml:space="preserve"> života</w:t>
      </w:r>
      <w:r w:rsidR="087F138E" w:rsidRPr="003D1E07">
        <w:t xml:space="preserve">, protože to nejsou oživené postmoderní automaty v modu </w:t>
      </w:r>
      <w:r w:rsidR="087F138E" w:rsidRPr="003D1E07">
        <w:rPr>
          <w:i/>
        </w:rPr>
        <w:t>b</w:t>
      </w:r>
      <w:r w:rsidR="087F138E" w:rsidRPr="003D1E07">
        <w:rPr>
          <w:rStyle w:val="st"/>
          <w:i/>
        </w:rPr>
        <w:t>ête</w:t>
      </w:r>
      <w:r w:rsidR="087F138E" w:rsidRPr="003D1E07">
        <w:rPr>
          <w:rStyle w:val="st"/>
          <w:i/>
        </w:rPr>
        <w:noBreakHyphen/>
        <w:t>machine</w:t>
      </w:r>
      <w:r w:rsidR="087F138E" w:rsidRPr="003D1E07">
        <w:rPr>
          <w:rStyle w:val="st"/>
          <w:i/>
        </w:rPr>
        <w:fldChar w:fldCharType="begin"/>
      </w:r>
      <w:r w:rsidR="087F138E" w:rsidRPr="003D1E07">
        <w:instrText xml:space="preserve"> XE "</w:instrText>
      </w:r>
      <w:r w:rsidR="087F138E" w:rsidRPr="003D1E07">
        <w:rPr>
          <w:i/>
        </w:rPr>
        <w:instrText>b</w:instrText>
      </w:r>
      <w:r w:rsidR="087F138E" w:rsidRPr="003D1E07">
        <w:rPr>
          <w:rStyle w:val="st"/>
          <w:i/>
        </w:rPr>
        <w:instrText>ête-machine</w:instrText>
      </w:r>
      <w:r w:rsidR="087F138E" w:rsidRPr="003D1E07">
        <w:instrText xml:space="preserve">" </w:instrText>
      </w:r>
      <w:r w:rsidR="087F138E" w:rsidRPr="003D1E07">
        <w:rPr>
          <w:rStyle w:val="st"/>
          <w:i/>
        </w:rPr>
        <w:fldChar w:fldCharType="end"/>
      </w:r>
      <w:r w:rsidR="087F138E" w:rsidRPr="003D1E07">
        <w:rPr>
          <w:rStyle w:val="st"/>
        </w:rPr>
        <w:t xml:space="preserve"> </w:t>
      </w:r>
      <w:r w:rsidR="087F138E" w:rsidRPr="003D1E07">
        <w:t>Descarta</w:t>
      </w:r>
      <w:r w:rsidR="087F138E" w:rsidRPr="003D1E07">
        <w:fldChar w:fldCharType="begin"/>
      </w:r>
      <w:r w:rsidR="087F138E" w:rsidRPr="003D1E07">
        <w:instrText xml:space="preserve"> XE "</w:instrText>
      </w:r>
      <w:r w:rsidR="087F138E" w:rsidRPr="003D1E07">
        <w:rPr>
          <w:rStyle w:val="addmd"/>
        </w:rPr>
        <w:instrText>Descartes, R.</w:instrText>
      </w:r>
      <w:r w:rsidR="087F138E" w:rsidRPr="003D1E07">
        <w:instrText xml:space="preserve">" </w:instrText>
      </w:r>
      <w:r w:rsidR="087F138E" w:rsidRPr="003D1E07">
        <w:fldChar w:fldCharType="end"/>
      </w:r>
      <w:r w:rsidR="087F138E" w:rsidRPr="003D1E07">
        <w:t>, Hobbese,</w:t>
      </w:r>
      <w:r w:rsidR="087F138E" w:rsidRPr="003D1E07">
        <w:fldChar w:fldCharType="begin"/>
      </w:r>
      <w:r w:rsidR="087F138E" w:rsidRPr="003D1E07">
        <w:instrText xml:space="preserve"> XE "Hobbes, T." </w:instrText>
      </w:r>
      <w:r w:rsidR="087F138E" w:rsidRPr="003D1E07">
        <w:fldChar w:fldCharType="end"/>
      </w:r>
      <w:r w:rsidR="00031BFF" w:rsidRPr="003D1E07">
        <w:t xml:space="preserve"> Malebr</w:t>
      </w:r>
      <w:r w:rsidR="087F138E" w:rsidRPr="003D1E07">
        <w:t>ancheho</w:t>
      </w:r>
      <w:r w:rsidR="087F138E" w:rsidRPr="003D1E07">
        <w:fldChar w:fldCharType="begin"/>
      </w:r>
      <w:r w:rsidR="087F138E" w:rsidRPr="003D1E07">
        <w:instrText xml:space="preserve"> XE "</w:instrText>
      </w:r>
      <w:r w:rsidR="00031BFF" w:rsidRPr="003D1E07">
        <w:instrText>Malebr</w:instrText>
      </w:r>
      <w:r w:rsidR="087F138E" w:rsidRPr="003D1E07">
        <w:instrText xml:space="preserve">anche, N." </w:instrText>
      </w:r>
      <w:r w:rsidR="087F138E" w:rsidRPr="003D1E07">
        <w:fldChar w:fldCharType="end"/>
      </w:r>
      <w:r w:rsidR="087F138E" w:rsidRPr="003D1E07">
        <w:t xml:space="preserve"> a postmoderních fabrik na výrobu masa, mléka a vajec. </w:t>
      </w:r>
      <w:r w:rsidR="087F138E" w:rsidRPr="003D1E07">
        <w:rPr>
          <w:rStyle w:val="Zkladntext158dkovn0pt"/>
          <w:color w:val="auto"/>
          <w:spacing w:val="0"/>
          <w:sz w:val="24"/>
          <w:lang w:val="cs-CZ"/>
        </w:rPr>
        <w:t>Scholastická moderna zavedla do člověka mnohost substancí a osvícenská postmoderna udělala ze zvířete oživený stroj. Tím došlo k dvojnásobné dehumanizaci člověka a živého světa. Z</w:t>
      </w:r>
      <w:r w:rsidR="0890398C" w:rsidRPr="003D1E07">
        <w:rPr>
          <w:rStyle w:val="Zkladntext158dkovn0pt"/>
          <w:color w:val="auto"/>
          <w:spacing w:val="0"/>
          <w:sz w:val="24"/>
          <w:lang w:val="cs-CZ"/>
        </w:rPr>
        <w:t>víře není osoba, ale je hylemorfická první substance</w:t>
      </w:r>
      <w:r w:rsidR="008E4A25">
        <w:rPr>
          <w:rStyle w:val="Zkladntext158dkovn0pt"/>
          <w:color w:val="auto"/>
          <w:spacing w:val="0"/>
          <w:sz w:val="24"/>
          <w:lang w:val="cs-CZ"/>
        </w:rPr>
        <w:t xml:space="preserve"> </w:t>
      </w:r>
      <w:r w:rsidR="00881EC3" w:rsidRPr="003D1E07">
        <w:rPr>
          <w:rStyle w:val="Zkladntext158dkovn0pt"/>
          <w:color w:val="auto"/>
          <w:spacing w:val="0"/>
          <w:sz w:val="24"/>
          <w:lang w:val="cs-CZ"/>
        </w:rPr>
        <w:t>založená entelechicky</w:t>
      </w:r>
      <w:r w:rsidR="00881EC3">
        <w:rPr>
          <w:rStyle w:val="Zkladntext158dkovn0pt"/>
          <w:color w:val="auto"/>
          <w:spacing w:val="0"/>
          <w:sz w:val="24"/>
          <w:lang w:val="cs-CZ"/>
        </w:rPr>
        <w:t xml:space="preserve">, žijící </w:t>
      </w:r>
      <w:r w:rsidR="008E4A25">
        <w:rPr>
          <w:rStyle w:val="Zkladntext158dkovn0pt"/>
          <w:color w:val="auto"/>
          <w:spacing w:val="0"/>
          <w:sz w:val="24"/>
          <w:lang w:val="cs-CZ"/>
        </w:rPr>
        <w:t>jako jedinečné individuum</w:t>
      </w:r>
      <w:r w:rsidR="00C57B10" w:rsidRPr="003D1E07">
        <w:rPr>
          <w:rStyle w:val="Zkladntext158dkovn0pt"/>
          <w:color w:val="auto"/>
          <w:spacing w:val="0"/>
          <w:sz w:val="24"/>
          <w:lang w:val="cs-CZ"/>
        </w:rPr>
        <w:t xml:space="preserve">. Akt subjektivní intencionality </w:t>
      </w:r>
      <w:r w:rsidR="00D15A1F" w:rsidRPr="003D1E07">
        <w:rPr>
          <w:rStyle w:val="Zkladntext158dkovn0pt"/>
          <w:color w:val="auto"/>
          <w:spacing w:val="0"/>
          <w:sz w:val="24"/>
          <w:lang w:val="cs-CZ"/>
        </w:rPr>
        <w:t xml:space="preserve">a individuální existence jako </w:t>
      </w:r>
      <w:r w:rsidR="00D15A1F" w:rsidRPr="003D1E07">
        <w:rPr>
          <w:rStyle w:val="Zkladntext158dkovn0pt"/>
          <w:i/>
          <w:color w:val="auto"/>
          <w:spacing w:val="0"/>
          <w:sz w:val="24"/>
          <w:lang w:val="cs-CZ"/>
        </w:rPr>
        <w:t>tertium genus</w:t>
      </w:r>
      <w:r w:rsidR="00D15A1F" w:rsidRPr="003D1E07">
        <w:rPr>
          <w:rStyle w:val="Zkladntext158dkovn0pt"/>
          <w:color w:val="auto"/>
          <w:spacing w:val="0"/>
          <w:sz w:val="24"/>
          <w:lang w:val="cs-CZ"/>
        </w:rPr>
        <w:t xml:space="preserve"> </w:t>
      </w:r>
      <w:r w:rsidR="00C57B10" w:rsidRPr="003D1E07">
        <w:rPr>
          <w:rStyle w:val="Zkladntext158dkovn0pt"/>
          <w:color w:val="auto"/>
          <w:spacing w:val="0"/>
          <w:sz w:val="24"/>
          <w:lang w:val="cs-CZ"/>
        </w:rPr>
        <w:t xml:space="preserve">zajišťuje </w:t>
      </w:r>
      <w:r w:rsidR="089432AC" w:rsidRPr="003D1E07">
        <w:rPr>
          <w:rStyle w:val="Zkladntext158dkovn0pt"/>
          <w:color w:val="auto"/>
          <w:spacing w:val="0"/>
          <w:sz w:val="24"/>
          <w:lang w:val="cs-CZ"/>
        </w:rPr>
        <w:t xml:space="preserve">zvířeti a částečně i rostlině </w:t>
      </w:r>
      <w:r w:rsidR="00C57B10" w:rsidRPr="003D1E07">
        <w:rPr>
          <w:rStyle w:val="Zkladntext158dkovn0pt"/>
          <w:color w:val="auto"/>
          <w:spacing w:val="0"/>
          <w:sz w:val="24"/>
          <w:lang w:val="cs-CZ"/>
        </w:rPr>
        <w:t>individuální, tedy nedělitelnou jedinečnost oživené první substance. V</w:t>
      </w:r>
      <w:r w:rsidR="00FA237D" w:rsidRPr="003D1E07">
        <w:t xml:space="preserve">e </w:t>
      </w:r>
      <w:r w:rsidR="00FA237D" w:rsidRPr="003D1E07">
        <w:lastRenderedPageBreak/>
        <w:t xml:space="preserve">věku dokonaného metafyzického nihilismu dali </w:t>
      </w:r>
      <w:r w:rsidR="00FC77BA" w:rsidRPr="003D1E07">
        <w:t xml:space="preserve">neurofyziologičtí </w:t>
      </w:r>
      <w:r w:rsidR="08DE18BB" w:rsidRPr="003D1E07">
        <w:t>alexandrovc</w:t>
      </w:r>
      <w:r w:rsidR="00FA237D" w:rsidRPr="003D1E07">
        <w:t>i</w:t>
      </w:r>
      <w:r w:rsidR="001762A8" w:rsidRPr="003D1E07">
        <w:fldChar w:fldCharType="begin"/>
      </w:r>
      <w:r w:rsidR="001762A8" w:rsidRPr="003D1E07">
        <w:instrText xml:space="preserve"> XE "</w:instrText>
      </w:r>
      <w:r w:rsidR="08DE18BB" w:rsidRPr="003D1E07">
        <w:instrText>alexandrovci</w:instrText>
      </w:r>
      <w:r w:rsidR="001762A8" w:rsidRPr="003D1E07">
        <w:instrText xml:space="preserve">" </w:instrText>
      </w:r>
      <w:r w:rsidR="001762A8" w:rsidRPr="003D1E07">
        <w:fldChar w:fldCharType="end"/>
      </w:r>
      <w:r w:rsidR="00FA237D" w:rsidRPr="003D1E07">
        <w:t xml:space="preserve"> </w:t>
      </w:r>
      <w:r w:rsidR="00EB1D3F" w:rsidRPr="003D1E07">
        <w:t>formální a univerzální funkci</w:t>
      </w:r>
      <w:r w:rsidR="00FA237D" w:rsidRPr="003D1E07">
        <w:t xml:space="preserve"> </w:t>
      </w:r>
      <w:r w:rsidR="00FA237D" w:rsidRPr="003D1E07">
        <w:rPr>
          <w:i/>
        </w:rPr>
        <w:t>intellectus materialis</w:t>
      </w:r>
      <w:r w:rsidR="006D2B5F" w:rsidRPr="003D1E07">
        <w:rPr>
          <w:i/>
        </w:rPr>
        <w:fldChar w:fldCharType="begin"/>
      </w:r>
      <w:r w:rsidR="006D2B5F" w:rsidRPr="003D1E07">
        <w:instrText xml:space="preserve"> XE "</w:instrText>
      </w:r>
      <w:r w:rsidR="006D2B5F" w:rsidRPr="003D1E07">
        <w:rPr>
          <w:i/>
        </w:rPr>
        <w:instrText>intellectus materialis</w:instrText>
      </w:r>
      <w:r w:rsidR="006D2B5F" w:rsidRPr="003D1E07">
        <w:instrText>:</w:instrText>
      </w:r>
      <w:r w:rsidR="00412D33" w:rsidRPr="003D1E07">
        <w:instrText>moderna</w:instrText>
      </w:r>
      <w:r w:rsidR="006D2B5F" w:rsidRPr="003D1E07">
        <w:instrText xml:space="preserve">" </w:instrText>
      </w:r>
      <w:r w:rsidR="006D2B5F" w:rsidRPr="003D1E07">
        <w:rPr>
          <w:i/>
        </w:rPr>
        <w:fldChar w:fldCharType="end"/>
      </w:r>
      <w:r w:rsidR="00FA237D" w:rsidRPr="003D1E07">
        <w:t xml:space="preserve"> přímo do mozku jako materiálního orgánu poznání</w:t>
      </w:r>
      <w:r w:rsidR="001A0E54" w:rsidRPr="003D1E07">
        <w:t xml:space="preserve">. Tím </w:t>
      </w:r>
      <w:r w:rsidR="00791131" w:rsidRPr="003D1E07">
        <w:t xml:space="preserve">dokonali postmoderní transformaci </w:t>
      </w:r>
      <w:r w:rsidR="08B87EB2" w:rsidRPr="003D1E07">
        <w:t xml:space="preserve">existující osoby </w:t>
      </w:r>
      <w:r w:rsidR="00791131" w:rsidRPr="003D1E07">
        <w:t xml:space="preserve">na </w:t>
      </w:r>
      <w:r w:rsidR="08B87EB2" w:rsidRPr="003D1E07">
        <w:t>neexistující</w:t>
      </w:r>
      <w:r w:rsidR="00C17529" w:rsidRPr="003D1E07">
        <w:t xml:space="preserve"> entitu </w:t>
      </w:r>
      <w:r w:rsidR="08091746" w:rsidRPr="003D1E07">
        <w:t>třetího druhu</w:t>
      </w:r>
      <w:r w:rsidR="00791131" w:rsidRPr="003D1E07">
        <w:t xml:space="preserve">. </w:t>
      </w:r>
      <w:r w:rsidR="005248D2" w:rsidRPr="003D1E07">
        <w:t>Averroe</w:t>
      </w:r>
      <w:r w:rsidR="002A4D06" w:rsidRPr="003D1E07">
        <w:t>s není modernistou</w:t>
      </w:r>
      <w:r w:rsidR="0006040E" w:rsidRPr="003D1E07">
        <w:t xml:space="preserve">, který konstruuje </w:t>
      </w:r>
      <w:r w:rsidR="00BC4EB1" w:rsidRPr="003D1E07">
        <w:t xml:space="preserve">objektivní diakosmos skrze </w:t>
      </w:r>
      <w:r w:rsidR="003915EE" w:rsidRPr="003D1E07">
        <w:t xml:space="preserve">analogickou zkušenost </w:t>
      </w:r>
      <w:r w:rsidR="0024337E" w:rsidRPr="003D1E07">
        <w:t>světa</w:t>
      </w:r>
      <w:r w:rsidR="003915EE" w:rsidRPr="003D1E07">
        <w:t xml:space="preserve"> jako objektivista Kant</w:t>
      </w:r>
      <w:r w:rsidR="0006040E" w:rsidRPr="003D1E07">
        <w:t>. Kritický reali</w:t>
      </w:r>
      <w:r w:rsidR="0092163B" w:rsidRPr="003D1E07">
        <w:t>s</w:t>
      </w:r>
      <w:r w:rsidR="0006040E" w:rsidRPr="003D1E07">
        <w:t xml:space="preserve">ta </w:t>
      </w:r>
      <w:r w:rsidR="00D80158" w:rsidRPr="003D1E07">
        <w:t xml:space="preserve">z Kordóby </w:t>
      </w:r>
      <w:r w:rsidR="001F6496" w:rsidRPr="003D1E07">
        <w:t>chce poznávat</w:t>
      </w:r>
      <w:r w:rsidR="00D80158" w:rsidRPr="003D1E07">
        <w:t xml:space="preserve"> svět</w:t>
      </w:r>
      <w:r w:rsidR="001F6496" w:rsidRPr="003D1E07">
        <w:t xml:space="preserve"> vědecky</w:t>
      </w:r>
      <w:r w:rsidR="00D80158" w:rsidRPr="003D1E07">
        <w:t xml:space="preserve"> </w:t>
      </w:r>
      <w:r w:rsidR="001F6496" w:rsidRPr="003D1E07">
        <w:t xml:space="preserve">pravdivě, </w:t>
      </w:r>
      <w:r w:rsidR="00563A92" w:rsidRPr="003D1E07">
        <w:t xml:space="preserve">proto </w:t>
      </w:r>
      <w:r w:rsidR="08483EDB" w:rsidRPr="003D1E07">
        <w:t xml:space="preserve">adekvátně </w:t>
      </w:r>
      <w:r w:rsidR="00563A92" w:rsidRPr="003D1E07">
        <w:t xml:space="preserve">zkoumá </w:t>
      </w:r>
      <w:r w:rsidR="001F6496" w:rsidRPr="003D1E07">
        <w:t>reálný svět</w:t>
      </w:r>
      <w:r w:rsidR="0024337E" w:rsidRPr="003D1E07">
        <w:t xml:space="preserve"> v jeho </w:t>
      </w:r>
      <w:r w:rsidR="002F6852" w:rsidRPr="003D1E07">
        <w:t xml:space="preserve">eficientní a formální </w:t>
      </w:r>
      <w:r w:rsidR="0024337E" w:rsidRPr="003D1E07">
        <w:t>kauzalitě</w:t>
      </w:r>
      <w:r w:rsidR="002A4D06" w:rsidRPr="003D1E07">
        <w:t xml:space="preserve">. </w:t>
      </w:r>
      <w:r w:rsidR="006927C9" w:rsidRPr="003D1E07">
        <w:rPr>
          <w:rStyle w:val="Zkladntext158dkovn0pt"/>
          <w:color w:val="auto"/>
          <w:spacing w:val="0"/>
          <w:sz w:val="24"/>
          <w:lang w:val="cs-CZ"/>
        </w:rPr>
        <w:t xml:space="preserve">Diafanum </w:t>
      </w:r>
      <w:r w:rsidR="00D5332E" w:rsidRPr="003D1E07">
        <w:rPr>
          <w:rStyle w:val="Zkladntext158dkovn0pt"/>
          <w:i/>
          <w:color w:val="auto"/>
          <w:spacing w:val="0"/>
          <w:sz w:val="24"/>
          <w:lang w:val="cs-CZ"/>
        </w:rPr>
        <w:fldChar w:fldCharType="begin"/>
      </w:r>
      <w:r w:rsidR="00D5332E" w:rsidRPr="003D1E07">
        <w:instrText xml:space="preserve"> XE "dia</w:instrText>
      </w:r>
      <w:r w:rsidR="00564BF2" w:rsidRPr="003D1E07">
        <w:instrText>fanum:dvojí funkce</w:instrText>
      </w:r>
      <w:r w:rsidR="00D5332E" w:rsidRPr="003D1E07">
        <w:instrText xml:space="preserve">" </w:instrText>
      </w:r>
      <w:r w:rsidR="00D5332E" w:rsidRPr="003D1E07">
        <w:rPr>
          <w:rStyle w:val="Zkladntext158dkovn0pt"/>
          <w:i/>
          <w:color w:val="auto"/>
          <w:spacing w:val="0"/>
          <w:sz w:val="24"/>
          <w:lang w:val="cs-CZ"/>
        </w:rPr>
        <w:fldChar w:fldCharType="end"/>
      </w:r>
      <w:r w:rsidR="009F644D" w:rsidRPr="003D1E07">
        <w:rPr>
          <w:rStyle w:val="Zkladntext158dkovn0pt"/>
          <w:color w:val="auto"/>
          <w:spacing w:val="0"/>
          <w:sz w:val="24"/>
          <w:lang w:val="cs-CZ"/>
        </w:rPr>
        <w:t xml:space="preserve"> </w:t>
      </w:r>
      <w:r w:rsidR="00D97940" w:rsidRPr="003D1E07">
        <w:rPr>
          <w:rStyle w:val="Zkladntext158dkovn0pt"/>
          <w:color w:val="auto"/>
          <w:spacing w:val="0"/>
          <w:sz w:val="24"/>
          <w:lang w:val="cs-CZ"/>
        </w:rPr>
        <w:t xml:space="preserve">hraje </w:t>
      </w:r>
      <w:r w:rsidR="004146EF" w:rsidRPr="003D1E07">
        <w:rPr>
          <w:rStyle w:val="Zkladntext158dkovn0pt"/>
          <w:color w:val="auto"/>
          <w:spacing w:val="0"/>
          <w:sz w:val="24"/>
          <w:lang w:val="cs-CZ"/>
        </w:rPr>
        <w:t>v celém schématu</w:t>
      </w:r>
      <w:r w:rsidR="08FA7079" w:rsidRPr="003D1E07">
        <w:rPr>
          <w:rStyle w:val="Zkladntext158dkovn0pt"/>
          <w:color w:val="auto"/>
          <w:spacing w:val="0"/>
          <w:sz w:val="24"/>
          <w:lang w:val="cs-CZ"/>
        </w:rPr>
        <w:t xml:space="preserve"> klíčovou funkci</w:t>
      </w:r>
      <w:r w:rsidR="00D97940" w:rsidRPr="003D1E07">
        <w:rPr>
          <w:rStyle w:val="Zkladntext158dkovn0pt"/>
          <w:color w:val="auto"/>
          <w:spacing w:val="0"/>
          <w:sz w:val="24"/>
          <w:lang w:val="cs-CZ"/>
        </w:rPr>
        <w:t xml:space="preserve">, protože </w:t>
      </w:r>
      <w:r w:rsidR="009F644D" w:rsidRPr="003D1E07">
        <w:rPr>
          <w:rStyle w:val="Zkladntext158dkovn0pt"/>
          <w:color w:val="auto"/>
          <w:spacing w:val="0"/>
          <w:sz w:val="24"/>
          <w:lang w:val="cs-CZ"/>
        </w:rPr>
        <w:t>zajišťuje</w:t>
      </w:r>
      <w:r w:rsidR="003F2EA3" w:rsidRPr="003D1E07">
        <w:rPr>
          <w:rStyle w:val="Zkladntext158dkovn0pt"/>
          <w:color w:val="auto"/>
          <w:spacing w:val="0"/>
          <w:sz w:val="24"/>
          <w:lang w:val="cs-CZ"/>
        </w:rPr>
        <w:t xml:space="preserve"> formální</w:t>
      </w:r>
      <w:r w:rsidR="009F644D" w:rsidRPr="003D1E07">
        <w:rPr>
          <w:rStyle w:val="Zkladntext158dkovn0pt"/>
          <w:color w:val="auto"/>
          <w:spacing w:val="0"/>
          <w:sz w:val="24"/>
          <w:lang w:val="cs-CZ"/>
        </w:rPr>
        <w:t xml:space="preserve"> kauzalitu</w:t>
      </w:r>
      <w:r w:rsidR="003F2EA3" w:rsidRPr="003D1E07">
        <w:rPr>
          <w:rStyle w:val="Zkladntext158dkovn0pt"/>
          <w:color w:val="auto"/>
          <w:spacing w:val="0"/>
          <w:sz w:val="24"/>
          <w:lang w:val="cs-CZ"/>
        </w:rPr>
        <w:t xml:space="preserve"> poznání</w:t>
      </w:r>
      <w:r w:rsidR="009F644D" w:rsidRPr="003D1E07">
        <w:rPr>
          <w:rStyle w:val="Zkladntext158dkovn0pt"/>
          <w:color w:val="auto"/>
          <w:spacing w:val="0"/>
          <w:sz w:val="24"/>
          <w:lang w:val="cs-CZ"/>
        </w:rPr>
        <w:t xml:space="preserve"> směrem </w:t>
      </w:r>
      <w:r w:rsidR="00D756B9" w:rsidRPr="003D1E07">
        <w:rPr>
          <w:rStyle w:val="Zkladntext158dkovn0pt"/>
          <w:color w:val="auto"/>
          <w:spacing w:val="0"/>
          <w:sz w:val="24"/>
          <w:lang w:val="cs-CZ"/>
        </w:rPr>
        <w:t xml:space="preserve">od věci ke </w:t>
      </w:r>
      <w:r w:rsidR="009F644D" w:rsidRPr="003D1E07">
        <w:rPr>
          <w:rStyle w:val="Zkladntext158dkovn0pt"/>
          <w:color w:val="auto"/>
          <w:spacing w:val="0"/>
          <w:sz w:val="24"/>
          <w:lang w:val="cs-CZ"/>
        </w:rPr>
        <w:t>smyslů</w:t>
      </w:r>
      <w:r w:rsidR="00D756B9" w:rsidRPr="003D1E07">
        <w:rPr>
          <w:rStyle w:val="Zkladntext158dkovn0pt"/>
          <w:color w:val="auto"/>
          <w:spacing w:val="0"/>
          <w:sz w:val="24"/>
          <w:lang w:val="cs-CZ"/>
        </w:rPr>
        <w:t xml:space="preserve">m a k receptivnímu </w:t>
      </w:r>
      <w:r w:rsidR="08FA7079" w:rsidRPr="003D1E07">
        <w:rPr>
          <w:rStyle w:val="Zkladntext158dkovn0pt"/>
          <w:color w:val="auto"/>
          <w:spacing w:val="0"/>
          <w:sz w:val="24"/>
          <w:lang w:val="cs-CZ"/>
        </w:rPr>
        <w:t>intelektu</w:t>
      </w:r>
      <w:r w:rsidR="003F2EA3" w:rsidRPr="003D1E07">
        <w:rPr>
          <w:rStyle w:val="Zkladntext158dkovn0pt"/>
          <w:color w:val="auto"/>
          <w:spacing w:val="0"/>
          <w:sz w:val="24"/>
          <w:lang w:val="cs-CZ"/>
        </w:rPr>
        <w:t xml:space="preserve">. </w:t>
      </w:r>
      <w:r w:rsidR="00711E4A">
        <w:rPr>
          <w:rStyle w:val="Zkladntext158dkovn0pt"/>
          <w:color w:val="auto"/>
          <w:spacing w:val="0"/>
          <w:sz w:val="24"/>
          <w:lang w:val="cs-CZ"/>
        </w:rPr>
        <w:t>D</w:t>
      </w:r>
      <w:r w:rsidR="001E58DD" w:rsidRPr="003D1E07">
        <w:rPr>
          <w:rStyle w:val="Zkladntext158dkovn0pt"/>
          <w:color w:val="auto"/>
          <w:spacing w:val="0"/>
          <w:sz w:val="24"/>
          <w:lang w:val="cs-CZ"/>
        </w:rPr>
        <w:t xml:space="preserve">iafanum </w:t>
      </w:r>
      <w:r w:rsidR="00B2460C" w:rsidRPr="003D1E07">
        <w:rPr>
          <w:rStyle w:val="Zkladntext158dkovn0pt"/>
          <w:color w:val="auto"/>
          <w:spacing w:val="0"/>
          <w:sz w:val="24"/>
          <w:lang w:val="cs-CZ"/>
        </w:rPr>
        <w:t xml:space="preserve">zprostředkovává realitu světa </w:t>
      </w:r>
      <w:r w:rsidR="00036DF0">
        <w:rPr>
          <w:rStyle w:val="Zkladntext158dkovn0pt"/>
          <w:color w:val="auto"/>
          <w:spacing w:val="0"/>
          <w:sz w:val="24"/>
          <w:lang w:val="cs-CZ"/>
        </w:rPr>
        <w:t xml:space="preserve">tím, že přenáší jeho kauzalitu do </w:t>
      </w:r>
      <w:r w:rsidR="00B2460C" w:rsidRPr="003D1E07">
        <w:rPr>
          <w:rStyle w:val="Zkladntext158dkovn0pt"/>
          <w:color w:val="auto"/>
          <w:spacing w:val="0"/>
          <w:sz w:val="24"/>
          <w:lang w:val="cs-CZ"/>
        </w:rPr>
        <w:t>smysl</w:t>
      </w:r>
      <w:r w:rsidR="00036DF0">
        <w:rPr>
          <w:rStyle w:val="Zkladntext158dkovn0pt"/>
          <w:color w:val="auto"/>
          <w:spacing w:val="0"/>
          <w:sz w:val="24"/>
          <w:lang w:val="cs-CZ"/>
        </w:rPr>
        <w:t>ů</w:t>
      </w:r>
      <w:r w:rsidR="001E58DD" w:rsidRPr="003D1E07">
        <w:rPr>
          <w:rStyle w:val="Zkladntext158dkovn0pt"/>
          <w:color w:val="auto"/>
          <w:spacing w:val="0"/>
          <w:sz w:val="24"/>
          <w:lang w:val="cs-CZ"/>
        </w:rPr>
        <w:t xml:space="preserve">. </w:t>
      </w:r>
      <w:r w:rsidR="00711E4A">
        <w:rPr>
          <w:rStyle w:val="Zkladntext158dkovn0pt"/>
          <w:color w:val="auto"/>
          <w:spacing w:val="0"/>
          <w:sz w:val="24"/>
          <w:lang w:val="cs-CZ"/>
        </w:rPr>
        <w:t>D</w:t>
      </w:r>
      <w:r w:rsidR="001E58DD" w:rsidRPr="003D1E07">
        <w:rPr>
          <w:rStyle w:val="Zkladntext158dkovn0pt"/>
          <w:color w:val="auto"/>
          <w:spacing w:val="0"/>
          <w:sz w:val="24"/>
          <w:lang w:val="cs-CZ"/>
        </w:rPr>
        <w:t xml:space="preserve">iafanum i materiální intelekt mají podle </w:t>
      </w:r>
      <w:r w:rsidR="002E3B62" w:rsidRPr="003D1E07">
        <w:rPr>
          <w:rStyle w:val="Zkladntext158dkovn0pt"/>
          <w:color w:val="auto"/>
          <w:spacing w:val="0"/>
          <w:sz w:val="24"/>
          <w:lang w:val="cs-CZ"/>
        </w:rPr>
        <w:t>Averroes</w:t>
      </w:r>
      <w:r w:rsidR="001E58DD" w:rsidRPr="003D1E07">
        <w:rPr>
          <w:rStyle w:val="Zkladntext158dkovn0pt"/>
          <w:color w:val="auto"/>
          <w:spacing w:val="0"/>
          <w:sz w:val="24"/>
          <w:lang w:val="cs-CZ"/>
        </w:rPr>
        <w:t xml:space="preserve">e pouze formální a potenciální určení, </w:t>
      </w:r>
      <w:r w:rsidR="006A6E2A" w:rsidRPr="003D1E07">
        <w:rPr>
          <w:rStyle w:val="Zkladntext158dkovn0pt"/>
          <w:color w:val="auto"/>
          <w:spacing w:val="0"/>
          <w:sz w:val="24"/>
          <w:lang w:val="cs-CZ"/>
        </w:rPr>
        <w:t xml:space="preserve">proto </w:t>
      </w:r>
      <w:r w:rsidR="001E58DD" w:rsidRPr="003D1E07">
        <w:rPr>
          <w:rStyle w:val="Zkladntext158dkovn0pt"/>
          <w:color w:val="auto"/>
          <w:spacing w:val="0"/>
          <w:sz w:val="24"/>
          <w:lang w:val="cs-CZ"/>
        </w:rPr>
        <w:t>ne</w:t>
      </w:r>
      <w:r w:rsidR="00CE32B9" w:rsidRPr="003D1E07">
        <w:rPr>
          <w:rStyle w:val="Zkladntext158dkovn0pt"/>
          <w:color w:val="auto"/>
          <w:spacing w:val="0"/>
          <w:sz w:val="24"/>
          <w:lang w:val="cs-CZ"/>
        </w:rPr>
        <w:t>jsou</w:t>
      </w:r>
      <w:r w:rsidR="001E58DD" w:rsidRPr="003D1E07">
        <w:rPr>
          <w:rStyle w:val="Zkladntext158dkovn0pt"/>
          <w:color w:val="auto"/>
          <w:spacing w:val="0"/>
          <w:sz w:val="24"/>
          <w:lang w:val="cs-CZ"/>
        </w:rPr>
        <w:t xml:space="preserve"> esenciální a aktuální</w:t>
      </w:r>
      <w:r w:rsidR="00CE32B9" w:rsidRPr="003D1E07">
        <w:rPr>
          <w:rStyle w:val="Zkladntext158dkovn0pt"/>
          <w:color w:val="auto"/>
          <w:spacing w:val="0"/>
          <w:sz w:val="24"/>
          <w:lang w:val="cs-CZ"/>
        </w:rPr>
        <w:t xml:space="preserve"> jsoucno</w:t>
      </w:r>
      <w:r w:rsidR="001E58DD" w:rsidRPr="003D1E07">
        <w:rPr>
          <w:rStyle w:val="Zkladntext158dkovn0pt"/>
          <w:color w:val="auto"/>
          <w:spacing w:val="0"/>
          <w:sz w:val="24"/>
          <w:lang w:val="cs-CZ"/>
        </w:rPr>
        <w:t xml:space="preserve">. Buď fungují jako </w:t>
      </w:r>
      <w:r w:rsidR="00D90EDC" w:rsidRPr="003D1E07">
        <w:rPr>
          <w:rStyle w:val="Zkladntext158dkovn0pt"/>
          <w:color w:val="auto"/>
          <w:spacing w:val="0"/>
          <w:sz w:val="24"/>
          <w:lang w:val="cs-CZ"/>
        </w:rPr>
        <w:t>fyzikální prostředí (</w:t>
      </w:r>
      <w:r w:rsidR="00D90EDC" w:rsidRPr="003D1E07">
        <w:rPr>
          <w:rStyle w:val="Zkladntext158dkovn0pt"/>
          <w:i/>
          <w:color w:val="auto"/>
          <w:spacing w:val="0"/>
          <w:sz w:val="24"/>
          <w:lang w:val="cs-CZ"/>
        </w:rPr>
        <w:t>perspicuum</w:t>
      </w:r>
      <w:r w:rsidR="00960D6F" w:rsidRPr="003D1E07">
        <w:rPr>
          <w:rStyle w:val="Zkladntext158dkovn0pt"/>
          <w:i/>
          <w:color w:val="auto"/>
          <w:spacing w:val="0"/>
          <w:sz w:val="24"/>
          <w:lang w:val="cs-CZ"/>
        </w:rPr>
        <w:fldChar w:fldCharType="begin"/>
      </w:r>
      <w:r w:rsidR="00960D6F" w:rsidRPr="003D1E07">
        <w:instrText xml:space="preserve"> XE "</w:instrText>
      </w:r>
      <w:r w:rsidR="00960D6F" w:rsidRPr="003D1E07">
        <w:rPr>
          <w:rStyle w:val="Zkladntext158dkovn0pt"/>
          <w:i/>
          <w:color w:val="auto"/>
          <w:spacing w:val="0"/>
          <w:sz w:val="24"/>
          <w:lang w:val="cs-CZ"/>
        </w:rPr>
        <w:instrText>perspicuum</w:instrText>
      </w:r>
      <w:r w:rsidR="00960D6F" w:rsidRPr="003D1E07">
        <w:instrText xml:space="preserve">" </w:instrText>
      </w:r>
      <w:r w:rsidR="00960D6F" w:rsidRPr="003D1E07">
        <w:rPr>
          <w:rStyle w:val="Zkladntext158dkovn0pt"/>
          <w:i/>
          <w:color w:val="auto"/>
          <w:spacing w:val="0"/>
          <w:sz w:val="24"/>
          <w:lang w:val="cs-CZ"/>
        </w:rPr>
        <w:fldChar w:fldCharType="end"/>
      </w:r>
      <w:r w:rsidR="00D90EDC" w:rsidRPr="003D1E07">
        <w:rPr>
          <w:rStyle w:val="Zkladntext158dkovn0pt"/>
          <w:color w:val="auto"/>
          <w:spacing w:val="0"/>
          <w:sz w:val="24"/>
          <w:lang w:val="cs-CZ"/>
        </w:rPr>
        <w:t xml:space="preserve">), nebo </w:t>
      </w:r>
      <w:r w:rsidR="001E58DD" w:rsidRPr="003D1E07">
        <w:rPr>
          <w:rStyle w:val="Zkladntext158dkovn0pt"/>
          <w:color w:val="auto"/>
          <w:spacing w:val="0"/>
          <w:sz w:val="24"/>
          <w:lang w:val="cs-CZ"/>
        </w:rPr>
        <w:t>potenciální forma pro smysly (</w:t>
      </w:r>
      <w:r w:rsidR="086C37FD" w:rsidRPr="003D1E07">
        <w:rPr>
          <w:rStyle w:val="Zkladntext158dkovn0pt"/>
          <w:i/>
          <w:color w:val="auto"/>
          <w:spacing w:val="0"/>
          <w:sz w:val="24"/>
          <w:lang w:val="cs-CZ"/>
        </w:rPr>
        <w:t>diaffo</w:t>
      </w:r>
      <w:r w:rsidR="001E58DD" w:rsidRPr="003D1E07">
        <w:rPr>
          <w:rStyle w:val="Zkladntext158dkovn0pt"/>
          <w:i/>
          <w:color w:val="auto"/>
          <w:spacing w:val="0"/>
          <w:sz w:val="24"/>
          <w:lang w:val="cs-CZ"/>
        </w:rPr>
        <w:t>num</w:t>
      </w:r>
      <w:r w:rsidR="001E58DD" w:rsidRPr="003D1E07">
        <w:rPr>
          <w:rStyle w:val="Zkladntext158dkovn0pt"/>
          <w:color w:val="auto"/>
          <w:spacing w:val="0"/>
          <w:sz w:val="24"/>
          <w:lang w:val="cs-CZ"/>
        </w:rPr>
        <w:t xml:space="preserve">) nebo </w:t>
      </w:r>
      <w:r w:rsidR="08883F6B" w:rsidRPr="003D1E07">
        <w:rPr>
          <w:rStyle w:val="Zkladntext158dkovn0pt"/>
          <w:color w:val="auto"/>
          <w:spacing w:val="0"/>
          <w:sz w:val="24"/>
          <w:lang w:val="cs-CZ"/>
        </w:rPr>
        <w:t>jako potenciální forma-</w:t>
      </w:r>
      <w:r w:rsidR="001E58DD" w:rsidRPr="003D1E07">
        <w:rPr>
          <w:rStyle w:val="Zkladntext158dkovn0pt"/>
          <w:color w:val="auto"/>
          <w:spacing w:val="0"/>
          <w:sz w:val="24"/>
          <w:lang w:val="cs-CZ"/>
        </w:rPr>
        <w:t>intelekt (</w:t>
      </w:r>
      <w:r w:rsidR="001E58DD" w:rsidRPr="003D1E07">
        <w:rPr>
          <w:rStyle w:val="Zkladntext158dkovn0pt"/>
          <w:i/>
          <w:color w:val="auto"/>
          <w:spacing w:val="0"/>
          <w:sz w:val="24"/>
          <w:lang w:val="cs-CZ"/>
        </w:rPr>
        <w:t>intellectus</w:t>
      </w:r>
      <w:r w:rsidR="08F2612A" w:rsidRPr="003D1E07">
        <w:rPr>
          <w:rStyle w:val="Zkladntext158dkovn0pt"/>
          <w:i/>
          <w:color w:val="auto"/>
          <w:spacing w:val="0"/>
          <w:sz w:val="24"/>
          <w:lang w:val="cs-CZ"/>
        </w:rPr>
        <w:t xml:space="preserve"> possibilis</w:t>
      </w:r>
      <w:r w:rsidR="084829D2" w:rsidRPr="003D1E07">
        <w:rPr>
          <w:rStyle w:val="Zkladntext158dkovn0pt"/>
          <w:color w:val="auto"/>
          <w:spacing w:val="0"/>
          <w:sz w:val="24"/>
          <w:lang w:val="cs-CZ"/>
        </w:rPr>
        <w:t>).</w:t>
      </w:r>
      <w:r w:rsidR="00881894">
        <w:rPr>
          <w:rStyle w:val="Zkladntext158dkovn0pt"/>
          <w:color w:val="auto"/>
          <w:spacing w:val="0"/>
          <w:sz w:val="24"/>
          <w:szCs w:val="20"/>
          <w:shd w:val="clear" w:color="auto" w:fill="auto"/>
          <w:lang w:val="cs-CZ"/>
        </w:rPr>
        <w:t xml:space="preserve"> </w:t>
      </w:r>
      <w:r w:rsidR="00671E2F" w:rsidRPr="003D1E07">
        <w:rPr>
          <w:rStyle w:val="Zkladntext158dkovn0pt"/>
          <w:color w:val="auto"/>
          <w:spacing w:val="0"/>
          <w:sz w:val="24"/>
          <w:lang w:val="cs-CZ"/>
        </w:rPr>
        <w:t xml:space="preserve">Nově uchopený koncept diafanum </w:t>
      </w:r>
      <w:r w:rsidR="0825366B" w:rsidRPr="003D1E07">
        <w:rPr>
          <w:rStyle w:val="Zkladntext158dkovn0pt"/>
          <w:color w:val="auto"/>
          <w:spacing w:val="0"/>
          <w:sz w:val="24"/>
          <w:lang w:val="cs-CZ"/>
        </w:rPr>
        <w:t>vytvořil</w:t>
      </w:r>
      <w:r w:rsidR="00671E2F" w:rsidRPr="003D1E07">
        <w:rPr>
          <w:rStyle w:val="Zkladntext158dkovn0pt"/>
          <w:color w:val="auto"/>
          <w:spacing w:val="0"/>
          <w:sz w:val="24"/>
          <w:lang w:val="cs-CZ"/>
        </w:rPr>
        <w:t xml:space="preserve"> </w:t>
      </w:r>
      <w:r w:rsidR="004B6732" w:rsidRPr="003D1E07">
        <w:rPr>
          <w:rStyle w:val="Zkladntext158dkovn0pt"/>
          <w:color w:val="auto"/>
          <w:spacing w:val="0"/>
          <w:sz w:val="24"/>
          <w:lang w:val="cs-CZ"/>
        </w:rPr>
        <w:t>novou</w:t>
      </w:r>
      <w:r w:rsidR="00671E2F" w:rsidRPr="003D1E07">
        <w:rPr>
          <w:rStyle w:val="Zkladntext158dkovn0pt"/>
          <w:color w:val="auto"/>
          <w:spacing w:val="0"/>
          <w:sz w:val="24"/>
          <w:lang w:val="cs-CZ"/>
        </w:rPr>
        <w:t xml:space="preserve"> </w:t>
      </w:r>
      <w:r w:rsidR="004B6732" w:rsidRPr="003D1E07">
        <w:rPr>
          <w:rStyle w:val="Zkladntext158dkovn0pt"/>
          <w:color w:val="auto"/>
          <w:spacing w:val="0"/>
          <w:sz w:val="24"/>
          <w:lang w:val="cs-CZ"/>
        </w:rPr>
        <w:t>manifestac</w:t>
      </w:r>
      <w:r w:rsidR="00A039FD" w:rsidRPr="003D1E07">
        <w:rPr>
          <w:rStyle w:val="Zkladntext158dkovn0pt"/>
          <w:color w:val="auto"/>
          <w:spacing w:val="0"/>
          <w:sz w:val="24"/>
          <w:lang w:val="cs-CZ"/>
        </w:rPr>
        <w:t>i</w:t>
      </w:r>
      <w:r w:rsidR="004B6732" w:rsidRPr="003D1E07">
        <w:rPr>
          <w:rStyle w:val="Zkladntext158dkovn0pt"/>
          <w:color w:val="auto"/>
          <w:spacing w:val="0"/>
          <w:sz w:val="24"/>
          <w:lang w:val="cs-CZ"/>
        </w:rPr>
        <w:t xml:space="preserve"> světa </w:t>
      </w:r>
      <w:r w:rsidR="00671E2F" w:rsidRPr="003D1E07">
        <w:rPr>
          <w:rStyle w:val="Zkladntext158dkovn0pt"/>
          <w:color w:val="auto"/>
          <w:spacing w:val="0"/>
          <w:sz w:val="24"/>
          <w:lang w:val="cs-CZ"/>
        </w:rPr>
        <w:t xml:space="preserve">a </w:t>
      </w:r>
      <w:r w:rsidR="082E7EC3" w:rsidRPr="003D1E07">
        <w:rPr>
          <w:rStyle w:val="Zkladntext158dkovn0pt"/>
          <w:color w:val="auto"/>
          <w:spacing w:val="0"/>
          <w:sz w:val="24"/>
          <w:lang w:val="cs-CZ"/>
        </w:rPr>
        <w:t>po</w:t>
      </w:r>
      <w:r w:rsidR="084C4BA6" w:rsidRPr="003D1E07">
        <w:rPr>
          <w:rStyle w:val="Zkladntext158dkovn0pt"/>
          <w:color w:val="auto"/>
          <w:spacing w:val="0"/>
          <w:sz w:val="24"/>
          <w:lang w:val="cs-CZ"/>
        </w:rPr>
        <w:t xml:space="preserve"> Aristotelovi obnovil </w:t>
      </w:r>
      <w:r w:rsidR="0825366B" w:rsidRPr="003D1E07">
        <w:rPr>
          <w:rStyle w:val="Zkladntext158dkovn0pt"/>
          <w:color w:val="auto"/>
          <w:spacing w:val="0"/>
          <w:sz w:val="24"/>
          <w:lang w:val="cs-CZ"/>
        </w:rPr>
        <w:t>adekvační teorii pravdy.</w:t>
      </w:r>
      <w:r w:rsidR="08284E51" w:rsidRPr="003D1E07">
        <w:rPr>
          <w:rStyle w:val="Zkladntext158dkovn0pt"/>
          <w:color w:val="auto"/>
          <w:spacing w:val="0"/>
          <w:sz w:val="24"/>
          <w:lang w:val="cs-CZ"/>
        </w:rPr>
        <w:t xml:space="preserve"> </w:t>
      </w:r>
      <w:r w:rsidR="00630CBD" w:rsidRPr="003D1E07">
        <w:rPr>
          <w:rStyle w:val="Zkladntext158dkovn0pt"/>
          <w:color w:val="auto"/>
          <w:spacing w:val="0"/>
          <w:sz w:val="24"/>
          <w:lang w:val="cs-CZ"/>
        </w:rPr>
        <w:t>I</w:t>
      </w:r>
      <w:r w:rsidR="00630CBD" w:rsidRPr="003D1E07">
        <w:t>nt</w:t>
      </w:r>
      <w:r w:rsidR="00A039FD" w:rsidRPr="003D1E07">
        <w:t>ence daná skrze diafanum přivádí</w:t>
      </w:r>
      <w:r w:rsidR="00630CBD" w:rsidRPr="003D1E07">
        <w:t xml:space="preserve"> smyslovou a intelektuální formu nejprve do </w:t>
      </w:r>
      <w:r w:rsidR="00630CBD" w:rsidRPr="003D1E07">
        <w:rPr>
          <w:i/>
        </w:rPr>
        <w:t>sensus communis</w:t>
      </w:r>
      <w:r w:rsidR="00630CBD" w:rsidRPr="003D1E07">
        <w:rPr>
          <w:i/>
        </w:rPr>
        <w:fldChar w:fldCharType="begin"/>
      </w:r>
      <w:r w:rsidR="00630CBD" w:rsidRPr="003D1E07">
        <w:instrText xml:space="preserve"> XE "</w:instrText>
      </w:r>
      <w:r w:rsidR="00630CBD" w:rsidRPr="003D1E07">
        <w:rPr>
          <w:i/>
        </w:rPr>
        <w:instrText>sensus communis</w:instrText>
      </w:r>
      <w:r w:rsidR="00630CBD" w:rsidRPr="003D1E07">
        <w:instrText xml:space="preserve">" </w:instrText>
      </w:r>
      <w:r w:rsidR="00630CBD" w:rsidRPr="003D1E07">
        <w:rPr>
          <w:i/>
        </w:rPr>
        <w:fldChar w:fldCharType="end"/>
      </w:r>
      <w:r w:rsidR="00630CBD" w:rsidRPr="003D1E07">
        <w:t xml:space="preserve"> a pak do prostředí </w:t>
      </w:r>
      <w:r w:rsidR="005060FA" w:rsidRPr="003D1E07">
        <w:t xml:space="preserve">aktivního </w:t>
      </w:r>
      <w:r w:rsidR="08D562B3" w:rsidRPr="003D1E07">
        <w:t>intelektu. Takto daná</w:t>
      </w:r>
      <w:r w:rsidR="00630CBD" w:rsidRPr="003D1E07">
        <w:t xml:space="preserve"> univerzální </w:t>
      </w:r>
      <w:r w:rsidR="00F214C5" w:rsidRPr="003D1E07">
        <w:t>species</w:t>
      </w:r>
      <w:r w:rsidR="00630CBD" w:rsidRPr="003D1E07">
        <w:t xml:space="preserve"> se liší od externích věcí stejně, jako se první substance daná v reálu liší od druhé substance dané v mysli. Sy</w:t>
      </w:r>
      <w:r w:rsidR="08D562B3" w:rsidRPr="003D1E07">
        <w:t>ntetizovaná</w:t>
      </w:r>
      <w:r w:rsidR="00630CBD" w:rsidRPr="003D1E07">
        <w:t xml:space="preserve"> </w:t>
      </w:r>
      <w:r w:rsidR="00F214C5" w:rsidRPr="006323E3">
        <w:rPr>
          <w:i/>
        </w:rPr>
        <w:t>species</w:t>
      </w:r>
      <w:r w:rsidR="08D562B3" w:rsidRPr="003D1E07">
        <w:rPr>
          <w:i/>
        </w:rPr>
        <w:t xml:space="preserve"> sensibilis</w:t>
      </w:r>
      <w:r w:rsidR="08D562B3" w:rsidRPr="003D1E07">
        <w:t xml:space="preserve"> a </w:t>
      </w:r>
      <w:r w:rsidR="00F214C5" w:rsidRPr="006323E3">
        <w:rPr>
          <w:i/>
        </w:rPr>
        <w:t>species</w:t>
      </w:r>
      <w:r w:rsidR="08D562B3" w:rsidRPr="003D1E07">
        <w:rPr>
          <w:i/>
        </w:rPr>
        <w:t xml:space="preserve"> intelligibilis</w:t>
      </w:r>
      <w:r w:rsidR="08D562B3" w:rsidRPr="003D1E07">
        <w:t xml:space="preserve"> vznikají </w:t>
      </w:r>
      <w:r w:rsidR="00630CBD" w:rsidRPr="003D1E07">
        <w:t xml:space="preserve">díky </w:t>
      </w:r>
      <w:r w:rsidR="08D562B3" w:rsidRPr="003D1E07">
        <w:t xml:space="preserve">dvojí </w:t>
      </w:r>
      <w:r w:rsidR="00630CBD" w:rsidRPr="003D1E07">
        <w:t>for</w:t>
      </w:r>
      <w:r w:rsidR="08D562B3" w:rsidRPr="003D1E07">
        <w:t xml:space="preserve">mální podobnosti </w:t>
      </w:r>
      <w:r w:rsidR="00AF23B3" w:rsidRPr="003D1E07">
        <w:t xml:space="preserve">poznání </w:t>
      </w:r>
      <w:r w:rsidR="08D562B3" w:rsidRPr="003D1E07">
        <w:t xml:space="preserve">s externí věcí. Proces </w:t>
      </w:r>
      <w:r w:rsidR="00630CBD" w:rsidRPr="003D1E07">
        <w:t xml:space="preserve">pasivní intencionální mediace a aktivní abstrakce </w:t>
      </w:r>
      <w:r w:rsidR="005D76AD">
        <w:t xml:space="preserve">od </w:t>
      </w:r>
      <w:r w:rsidR="005D76AD" w:rsidRPr="003D1E07">
        <w:t>reálné první substance</w:t>
      </w:r>
      <w:r w:rsidR="005D76AD">
        <w:t xml:space="preserve"> </w:t>
      </w:r>
      <w:r w:rsidR="08D562B3" w:rsidRPr="003D1E07">
        <w:t xml:space="preserve">nakonec </w:t>
      </w:r>
      <w:r w:rsidR="00630CBD" w:rsidRPr="003D1E07">
        <w:t>vyjadřuje buď singulární</w:t>
      </w:r>
      <w:r w:rsidR="08D562B3" w:rsidRPr="003D1E07">
        <w:t xml:space="preserve"> zvířecí po</w:t>
      </w:r>
      <w:r w:rsidR="005D76AD">
        <w:t>znatek, nebo univerzální význam</w:t>
      </w:r>
      <w:r w:rsidR="009A2471" w:rsidRPr="003D1E07">
        <w:t xml:space="preserve">. </w:t>
      </w:r>
      <w:r w:rsidR="00787F2B">
        <w:t>Společný s</w:t>
      </w:r>
      <w:r w:rsidR="005D76AD">
        <w:t xml:space="preserve">vět </w:t>
      </w:r>
      <w:r w:rsidR="009A2471" w:rsidRPr="003D1E07">
        <w:t xml:space="preserve">je pravdivě </w:t>
      </w:r>
      <w:r w:rsidR="005D76AD">
        <w:t>poznáván</w:t>
      </w:r>
      <w:r w:rsidR="00881894">
        <w:t xml:space="preserve"> </w:t>
      </w:r>
      <w:r w:rsidR="005D76AD">
        <w:t>a vědecky predikován</w:t>
      </w:r>
      <w:r w:rsidR="00881894">
        <w:t>.</w:t>
      </w:r>
    </w:p>
    <w:p w14:paraId="0BB2C868" w14:textId="2AE4C080" w:rsidR="08C07775" w:rsidRPr="00881894" w:rsidRDefault="00693543" w:rsidP="00881894">
      <w:pPr>
        <w:ind w:firstLine="397"/>
      </w:pPr>
      <w:r>
        <w:rPr>
          <w:rStyle w:val="Zkladntext158dkovn0pt"/>
          <w:color w:val="auto"/>
          <w:spacing w:val="0"/>
          <w:sz w:val="24"/>
          <w:lang w:val="cs-CZ"/>
        </w:rPr>
        <w:t>M</w:t>
      </w:r>
      <w:r w:rsidR="00630CBD" w:rsidRPr="003D1E07">
        <w:rPr>
          <w:rStyle w:val="Zkladntext158dkovn0pt"/>
          <w:color w:val="auto"/>
          <w:spacing w:val="0"/>
          <w:sz w:val="24"/>
          <w:lang w:val="cs-CZ"/>
        </w:rPr>
        <w:t xml:space="preserve">oderna </w:t>
      </w:r>
      <w:r w:rsidR="00895486" w:rsidRPr="003D1E07">
        <w:rPr>
          <w:rStyle w:val="Zkladntext158dkovn0pt"/>
          <w:color w:val="auto"/>
          <w:spacing w:val="0"/>
          <w:sz w:val="24"/>
          <w:lang w:val="cs-CZ"/>
        </w:rPr>
        <w:t xml:space="preserve">uctívá </w:t>
      </w:r>
      <w:r w:rsidR="08E6788B" w:rsidRPr="003D1E07">
        <w:rPr>
          <w:rStyle w:val="Zkladntext158dkovn0pt"/>
          <w:color w:val="auto"/>
          <w:spacing w:val="0"/>
          <w:sz w:val="24"/>
          <w:lang w:val="cs-CZ"/>
        </w:rPr>
        <w:t xml:space="preserve">vlastní </w:t>
      </w:r>
      <w:r w:rsidR="008846AD" w:rsidRPr="003D1E07">
        <w:rPr>
          <w:rStyle w:val="Zkladntext158dkovn0pt"/>
          <w:color w:val="auto"/>
          <w:spacing w:val="0"/>
          <w:sz w:val="24"/>
          <w:lang w:val="cs-CZ"/>
        </w:rPr>
        <w:t xml:space="preserve">produkty hypostázovaného intelektu, který je </w:t>
      </w:r>
      <w:r w:rsidR="00826958">
        <w:rPr>
          <w:rStyle w:val="Zkladntext158dkovn0pt"/>
          <w:color w:val="auto"/>
          <w:spacing w:val="0"/>
          <w:sz w:val="24"/>
          <w:lang w:val="cs-CZ"/>
        </w:rPr>
        <w:t xml:space="preserve">falšně určen </w:t>
      </w:r>
      <w:r w:rsidR="008846AD" w:rsidRPr="003D1E07">
        <w:rPr>
          <w:rStyle w:val="Zkladntext158dkovn0pt"/>
          <w:color w:val="auto"/>
          <w:spacing w:val="0"/>
          <w:sz w:val="24"/>
          <w:lang w:val="cs-CZ"/>
        </w:rPr>
        <w:t xml:space="preserve">jako </w:t>
      </w:r>
      <w:r w:rsidR="08B63510" w:rsidRPr="003D1E07">
        <w:t xml:space="preserve">averroistický </w:t>
      </w:r>
      <w:r w:rsidR="00630CBD" w:rsidRPr="003D1E07">
        <w:rPr>
          <w:i/>
        </w:rPr>
        <w:t>intellectus possibilis</w:t>
      </w:r>
      <w:r w:rsidR="00630CBD" w:rsidRPr="003D1E07">
        <w:rPr>
          <w:i/>
        </w:rPr>
        <w:fldChar w:fldCharType="begin"/>
      </w:r>
      <w:r w:rsidR="00630CBD" w:rsidRPr="003D1E07">
        <w:instrText xml:space="preserve"> XE "</w:instrText>
      </w:r>
      <w:r w:rsidR="00630CBD" w:rsidRPr="003D1E07">
        <w:rPr>
          <w:i/>
        </w:rPr>
        <w:instrText>intellectus possibilis:</w:instrText>
      </w:r>
      <w:r w:rsidR="00630CBD" w:rsidRPr="003D1E07">
        <w:instrText xml:space="preserve">moderna" </w:instrText>
      </w:r>
      <w:r w:rsidR="00630CBD" w:rsidRPr="003D1E07">
        <w:rPr>
          <w:i/>
        </w:rPr>
        <w:fldChar w:fldCharType="end"/>
      </w:r>
      <w:r w:rsidR="08D402FC" w:rsidRPr="003D1E07">
        <w:t xml:space="preserve">. Toto simulákrum </w:t>
      </w:r>
      <w:r w:rsidR="00630CBD" w:rsidRPr="003D1E07">
        <w:t xml:space="preserve">numericky jednotné substance </w:t>
      </w:r>
      <w:r w:rsidR="00BF79F3">
        <w:t>se spojuje</w:t>
      </w:r>
      <w:r w:rsidR="082B5C98" w:rsidRPr="003D1E07">
        <w:t xml:space="preserve"> </w:t>
      </w:r>
      <w:r w:rsidR="08D402FC" w:rsidRPr="003D1E07">
        <w:t xml:space="preserve">s individuálním </w:t>
      </w:r>
      <w:r w:rsidR="082A1553" w:rsidRPr="003D1E07">
        <w:t xml:space="preserve">(a nikoliv osobním) </w:t>
      </w:r>
      <w:r w:rsidR="08D402FC" w:rsidRPr="003D1E07">
        <w:t>receptivním poznáním</w:t>
      </w:r>
      <w:r w:rsidR="082B5C98" w:rsidRPr="003D1E07">
        <w:t xml:space="preserve"> (</w:t>
      </w:r>
      <w:r w:rsidR="082B5C98" w:rsidRPr="003D1E07">
        <w:rPr>
          <w:i/>
        </w:rPr>
        <w:t>copulatio</w:t>
      </w:r>
      <w:r w:rsidR="00C6174F" w:rsidRPr="003D1E07">
        <w:rPr>
          <w:i/>
        </w:rPr>
        <w:fldChar w:fldCharType="begin"/>
      </w:r>
      <w:r w:rsidR="00C6174F" w:rsidRPr="003D1E07">
        <w:instrText xml:space="preserve"> XE "</w:instrText>
      </w:r>
      <w:r w:rsidR="00C6174F" w:rsidRPr="003D1E07">
        <w:rPr>
          <w:i/>
        </w:rPr>
        <w:instrText>copulatio</w:instrText>
      </w:r>
      <w:r w:rsidR="00C6174F" w:rsidRPr="003D1E07">
        <w:instrText xml:space="preserve">" </w:instrText>
      </w:r>
      <w:r w:rsidR="00C6174F" w:rsidRPr="003D1E07">
        <w:rPr>
          <w:i/>
        </w:rPr>
        <w:fldChar w:fldCharType="end"/>
      </w:r>
      <w:r w:rsidR="082B5C98" w:rsidRPr="003D1E07">
        <w:t>)</w:t>
      </w:r>
      <w:r w:rsidR="08B51F74" w:rsidRPr="003D1E07">
        <w:t>. Tato mytopoetická</w:t>
      </w:r>
      <w:r w:rsidR="08D402FC" w:rsidRPr="003D1E07">
        <w:t xml:space="preserve"> </w:t>
      </w:r>
      <w:r w:rsidR="00D1588A">
        <w:t xml:space="preserve">operace </w:t>
      </w:r>
      <w:r w:rsidR="08D402FC" w:rsidRPr="003D1E07">
        <w:t>zajistila o</w:t>
      </w:r>
      <w:r w:rsidR="00630CBD" w:rsidRPr="003D1E07">
        <w:t>bjektivně stejnou recepci pro všechny lidi</w:t>
      </w:r>
      <w:r w:rsidR="089D22E7" w:rsidRPr="003D1E07">
        <w:t xml:space="preserve"> jako individua třetí</w:t>
      </w:r>
      <w:r w:rsidR="08B63510" w:rsidRPr="003D1E07">
        <w:t>ho druhu</w:t>
      </w:r>
      <w:r w:rsidR="00630CBD" w:rsidRPr="003D1E07">
        <w:t>.</w:t>
      </w:r>
      <w:r w:rsidR="081D061C" w:rsidRPr="003D1E07">
        <w:rPr>
          <w:rStyle w:val="Zkladntext158dkovn0pt"/>
          <w:color w:val="auto"/>
          <w:spacing w:val="0"/>
          <w:sz w:val="24"/>
          <w:lang w:val="cs-CZ"/>
        </w:rPr>
        <w:t xml:space="preserve"> </w:t>
      </w:r>
      <w:r w:rsidR="08415290" w:rsidRPr="003D1E07">
        <w:rPr>
          <w:rStyle w:val="Zkladntext158dkovn0pt"/>
          <w:color w:val="auto"/>
          <w:spacing w:val="0"/>
          <w:sz w:val="24"/>
          <w:lang w:val="cs-CZ"/>
        </w:rPr>
        <w:t>Obje</w:t>
      </w:r>
      <w:r w:rsidR="088D66A1" w:rsidRPr="003D1E07">
        <w:rPr>
          <w:rStyle w:val="Zkladntext158dkovn0pt"/>
          <w:color w:val="auto"/>
          <w:spacing w:val="0"/>
          <w:sz w:val="24"/>
          <w:lang w:val="cs-CZ"/>
        </w:rPr>
        <w:t>k</w:t>
      </w:r>
      <w:r w:rsidR="08415290" w:rsidRPr="003D1E07">
        <w:rPr>
          <w:rStyle w:val="Zkladntext158dkovn0pt"/>
          <w:color w:val="auto"/>
          <w:spacing w:val="0"/>
          <w:sz w:val="24"/>
          <w:lang w:val="cs-CZ"/>
        </w:rPr>
        <w:t>tivní metafy</w:t>
      </w:r>
      <w:r w:rsidR="088D66A1" w:rsidRPr="003D1E07">
        <w:rPr>
          <w:rStyle w:val="Zkladntext158dkovn0pt"/>
          <w:color w:val="auto"/>
          <w:spacing w:val="0"/>
          <w:sz w:val="24"/>
          <w:lang w:val="cs-CZ"/>
        </w:rPr>
        <w:t>z</w:t>
      </w:r>
      <w:r w:rsidR="08415290" w:rsidRPr="003D1E07">
        <w:rPr>
          <w:rStyle w:val="Zkladntext158dkovn0pt"/>
          <w:color w:val="auto"/>
          <w:spacing w:val="0"/>
          <w:sz w:val="24"/>
          <w:lang w:val="cs-CZ"/>
        </w:rPr>
        <w:t>ik</w:t>
      </w:r>
      <w:r w:rsidR="088D66A1" w:rsidRPr="003D1E07">
        <w:rPr>
          <w:rStyle w:val="Zkladntext158dkovn0pt"/>
          <w:color w:val="auto"/>
          <w:spacing w:val="0"/>
          <w:sz w:val="24"/>
          <w:lang w:val="cs-CZ"/>
        </w:rPr>
        <w:t>a</w:t>
      </w:r>
      <w:r w:rsidR="08415290" w:rsidRPr="003D1E07">
        <w:rPr>
          <w:rStyle w:val="Zkladntext158dkovn0pt"/>
          <w:color w:val="auto"/>
          <w:spacing w:val="0"/>
          <w:sz w:val="24"/>
          <w:lang w:val="cs-CZ"/>
        </w:rPr>
        <w:t xml:space="preserve"> zaslepená světlem intelektu nemůže </w:t>
      </w:r>
      <w:r w:rsidR="008D3685" w:rsidRPr="003D1E07">
        <w:rPr>
          <w:rStyle w:val="Zkladntext158dkovn0pt"/>
          <w:color w:val="auto"/>
          <w:spacing w:val="0"/>
          <w:sz w:val="24"/>
          <w:lang w:val="cs-CZ"/>
        </w:rPr>
        <w:t xml:space="preserve">vidět </w:t>
      </w:r>
      <w:r w:rsidR="00C24CD3" w:rsidRPr="003D1E07">
        <w:rPr>
          <w:rStyle w:val="Zkladntext158dkovn0pt"/>
          <w:color w:val="auto"/>
          <w:spacing w:val="0"/>
          <w:sz w:val="24"/>
          <w:lang w:val="cs-CZ"/>
        </w:rPr>
        <w:t xml:space="preserve">původní </w:t>
      </w:r>
      <w:r w:rsidR="008D3685" w:rsidRPr="003D1E07">
        <w:rPr>
          <w:rStyle w:val="Zkladntext158dkovn0pt"/>
          <w:color w:val="auto"/>
          <w:spacing w:val="0"/>
          <w:sz w:val="24"/>
          <w:lang w:val="cs-CZ"/>
        </w:rPr>
        <w:t>funkci diafanum</w:t>
      </w:r>
      <w:r w:rsidR="0872394F" w:rsidRPr="003D1E07">
        <w:rPr>
          <w:rStyle w:val="Zkladntext158dkovn0pt"/>
          <w:color w:val="auto"/>
          <w:spacing w:val="0"/>
          <w:sz w:val="24"/>
          <w:lang w:val="cs-CZ"/>
        </w:rPr>
        <w:t xml:space="preserve">. Bez diafanum nelze najít </w:t>
      </w:r>
      <w:r w:rsidR="00A16AE4" w:rsidRPr="003D1E07">
        <w:rPr>
          <w:rStyle w:val="Zkladntext158dkovn0pt"/>
          <w:color w:val="auto"/>
          <w:spacing w:val="0"/>
          <w:sz w:val="24"/>
          <w:lang w:val="cs-CZ"/>
        </w:rPr>
        <w:fldChar w:fldCharType="begin"/>
      </w:r>
      <w:r w:rsidR="00A16AE4" w:rsidRPr="003D1E07">
        <w:instrText xml:space="preserve"> XE "</w:instrText>
      </w:r>
      <w:r w:rsidR="00A16AE4" w:rsidRPr="003D1E07">
        <w:rPr>
          <w:rStyle w:val="Zkladntext158dkovn0pt"/>
          <w:color w:val="auto"/>
          <w:spacing w:val="0"/>
          <w:sz w:val="24"/>
          <w:lang w:val="cs-CZ"/>
        </w:rPr>
        <w:instrText>diafanum</w:instrText>
      </w:r>
      <w:r w:rsidR="00A16AE4" w:rsidRPr="003D1E07">
        <w:rPr>
          <w:rStyle w:val="Zkladntext158dkovn0pt"/>
          <w:sz w:val="24"/>
          <w:lang w:val="cs-CZ"/>
        </w:rPr>
        <w:instrText>:</w:instrText>
      </w:r>
      <w:r w:rsidR="00A16AE4" w:rsidRPr="003D1E07">
        <w:instrText xml:space="preserve">moderna" </w:instrText>
      </w:r>
      <w:r w:rsidR="00A16AE4" w:rsidRPr="003D1E07">
        <w:rPr>
          <w:rStyle w:val="Zkladntext158dkovn0pt"/>
          <w:color w:val="auto"/>
          <w:spacing w:val="0"/>
          <w:sz w:val="24"/>
          <w:lang w:val="cs-CZ"/>
        </w:rPr>
        <w:fldChar w:fldCharType="end"/>
      </w:r>
      <w:r w:rsidR="08D23AE2" w:rsidRPr="003D1E07">
        <w:rPr>
          <w:rStyle w:val="Zkladntext158dkovn0pt"/>
          <w:color w:val="auto"/>
          <w:spacing w:val="0"/>
          <w:sz w:val="24"/>
          <w:lang w:val="cs-CZ"/>
        </w:rPr>
        <w:t xml:space="preserve">adekvátní </w:t>
      </w:r>
      <w:r w:rsidR="008D3685" w:rsidRPr="003D1E07">
        <w:rPr>
          <w:rStyle w:val="Zkladntext158dkovn0pt"/>
          <w:color w:val="auto"/>
          <w:spacing w:val="0"/>
          <w:sz w:val="24"/>
          <w:lang w:val="cs-CZ"/>
        </w:rPr>
        <w:t xml:space="preserve">odhalenost </w:t>
      </w:r>
      <w:r w:rsidR="08D23AE2" w:rsidRPr="003D1E07">
        <w:rPr>
          <w:rStyle w:val="Zkladntext158dkovn0pt"/>
          <w:color w:val="auto"/>
          <w:spacing w:val="0"/>
          <w:sz w:val="24"/>
          <w:lang w:val="cs-CZ"/>
        </w:rPr>
        <w:t xml:space="preserve">jsoucna </w:t>
      </w:r>
      <w:r w:rsidR="008D3685" w:rsidRPr="003D1E07">
        <w:rPr>
          <w:rStyle w:val="Zkladntext158dkovn0pt"/>
          <w:color w:val="auto"/>
          <w:spacing w:val="0"/>
          <w:sz w:val="24"/>
          <w:lang w:val="cs-CZ"/>
        </w:rPr>
        <w:t xml:space="preserve">v modu hermeneutické a fenomenologické </w:t>
      </w:r>
      <w:r w:rsidR="008D3685" w:rsidRPr="003D1E07">
        <w:rPr>
          <w:rStyle w:val="Zkladntext158dkovn0pt"/>
          <w:i/>
          <w:color w:val="auto"/>
          <w:spacing w:val="0"/>
          <w:sz w:val="24"/>
          <w:lang w:val="cs-CZ"/>
        </w:rPr>
        <w:t>alétheia</w:t>
      </w:r>
      <w:r w:rsidR="008D3685" w:rsidRPr="003D1E07">
        <w:rPr>
          <w:rStyle w:val="Zkladntext158dkovn0pt"/>
          <w:color w:val="auto"/>
          <w:spacing w:val="0"/>
          <w:sz w:val="24"/>
          <w:lang w:val="cs-CZ"/>
        </w:rPr>
        <w:t xml:space="preserve">. </w:t>
      </w:r>
      <w:r w:rsidR="00C24CD3" w:rsidRPr="003D1E07">
        <w:rPr>
          <w:rStyle w:val="Zkladntext158dkovn0pt"/>
          <w:color w:val="auto"/>
          <w:spacing w:val="0"/>
          <w:sz w:val="24"/>
          <w:lang w:val="cs-CZ"/>
        </w:rPr>
        <w:t xml:space="preserve">Diafanum je </w:t>
      </w:r>
      <w:r w:rsidR="00045222" w:rsidRPr="003D1E07">
        <w:rPr>
          <w:rStyle w:val="Zkladntext158dkovn0pt"/>
          <w:color w:val="auto"/>
          <w:spacing w:val="0"/>
          <w:sz w:val="24"/>
          <w:lang w:val="cs-CZ"/>
        </w:rPr>
        <w:t xml:space="preserve">v moderně </w:t>
      </w:r>
      <w:r w:rsidR="008D3685" w:rsidRPr="003D1E07">
        <w:rPr>
          <w:rStyle w:val="Zkladntext158dkovn0pt"/>
          <w:color w:val="auto"/>
          <w:spacing w:val="0"/>
          <w:sz w:val="24"/>
          <w:lang w:val="cs-CZ"/>
        </w:rPr>
        <w:t>definované v modu „toto zde“</w:t>
      </w:r>
      <w:r w:rsidR="000F03E2" w:rsidRPr="003D1E07">
        <w:rPr>
          <w:rStyle w:val="Zkladntext158dkovn0pt"/>
          <w:color w:val="auto"/>
          <w:spacing w:val="0"/>
          <w:sz w:val="24"/>
          <w:lang w:val="cs-CZ"/>
        </w:rPr>
        <w:t xml:space="preserve"> (</w:t>
      </w:r>
      <w:r w:rsidR="000F03E2" w:rsidRPr="003D1E07">
        <w:rPr>
          <w:rStyle w:val="Zkladntext158dkovn0pt"/>
          <w:i/>
          <w:color w:val="auto"/>
          <w:spacing w:val="0"/>
          <w:sz w:val="24"/>
          <w:lang w:val="cs-CZ"/>
        </w:rPr>
        <w:t>hoc aliquid</w:t>
      </w:r>
      <w:r w:rsidR="000F03E2" w:rsidRPr="003D1E07">
        <w:rPr>
          <w:rStyle w:val="Zkladntext158dkovn0pt"/>
          <w:color w:val="auto"/>
          <w:spacing w:val="0"/>
          <w:sz w:val="24"/>
          <w:lang w:val="cs-CZ"/>
        </w:rPr>
        <w:t>)</w:t>
      </w:r>
      <w:r w:rsidR="00C24CD3" w:rsidRPr="003D1E07">
        <w:rPr>
          <w:rStyle w:val="Zkladntext158dkovn0pt"/>
          <w:color w:val="auto"/>
          <w:spacing w:val="0"/>
          <w:sz w:val="24"/>
          <w:lang w:val="cs-CZ"/>
        </w:rPr>
        <w:t xml:space="preserve"> a této jsoucnosti je </w:t>
      </w:r>
      <w:r w:rsidR="002619EA" w:rsidRPr="003D1E07">
        <w:rPr>
          <w:rStyle w:val="Zkladntext158dkovn0pt"/>
          <w:color w:val="auto"/>
          <w:spacing w:val="0"/>
          <w:sz w:val="24"/>
          <w:lang w:val="cs-CZ"/>
        </w:rPr>
        <w:t xml:space="preserve">dána </w:t>
      </w:r>
      <w:r w:rsidR="00C24CD3" w:rsidRPr="003D1E07">
        <w:rPr>
          <w:rStyle w:val="Zkladntext158dkovn0pt"/>
          <w:color w:val="auto"/>
          <w:spacing w:val="0"/>
          <w:sz w:val="24"/>
          <w:lang w:val="cs-CZ"/>
        </w:rPr>
        <w:t>jeho správnost</w:t>
      </w:r>
      <w:r w:rsidR="00CE0C2C" w:rsidRPr="003D1E07">
        <w:rPr>
          <w:rStyle w:val="Zkladntext158dkovn0pt"/>
          <w:color w:val="auto"/>
          <w:spacing w:val="0"/>
          <w:sz w:val="24"/>
          <w:lang w:val="cs-CZ"/>
        </w:rPr>
        <w:t xml:space="preserve"> </w:t>
      </w:r>
      <w:r w:rsidR="00203BEF" w:rsidRPr="003D1E07">
        <w:rPr>
          <w:rStyle w:val="Zkladntext158dkovn0pt"/>
          <w:color w:val="auto"/>
          <w:spacing w:val="0"/>
          <w:sz w:val="24"/>
          <w:lang w:val="cs-CZ"/>
        </w:rPr>
        <w:t xml:space="preserve">pro subjekt </w:t>
      </w:r>
      <w:r w:rsidR="00CE0C2C" w:rsidRPr="003D1E07">
        <w:rPr>
          <w:rStyle w:val="Zkladntext158dkovn0pt"/>
          <w:color w:val="auto"/>
          <w:spacing w:val="0"/>
          <w:sz w:val="24"/>
          <w:lang w:val="cs-CZ"/>
        </w:rPr>
        <w:t>(</w:t>
      </w:r>
      <w:r w:rsidR="00F62971" w:rsidRPr="003D1E07">
        <w:rPr>
          <w:rStyle w:val="Zkladntext158dkovn0pt"/>
          <w:i/>
          <w:color w:val="auto"/>
          <w:spacing w:val="0"/>
          <w:sz w:val="24"/>
          <w:lang w:val="cs-CZ"/>
        </w:rPr>
        <w:t>certitudo</w:t>
      </w:r>
      <w:r w:rsidR="00F62971" w:rsidRPr="003D1E07">
        <w:rPr>
          <w:rStyle w:val="Zkladntext158dkovn0pt"/>
          <w:color w:val="auto"/>
          <w:spacing w:val="0"/>
          <w:sz w:val="24"/>
          <w:lang w:val="cs-CZ"/>
        </w:rPr>
        <w:t xml:space="preserve">, </w:t>
      </w:r>
      <w:r w:rsidR="00CE0C2C" w:rsidRPr="003D1E07">
        <w:rPr>
          <w:rStyle w:val="Zkladntext158dkovn0pt"/>
          <w:i/>
          <w:color w:val="auto"/>
          <w:spacing w:val="0"/>
          <w:sz w:val="24"/>
          <w:lang w:val="cs-CZ"/>
        </w:rPr>
        <w:t>rectitudo</w:t>
      </w:r>
      <w:r w:rsidR="00CE0C2C" w:rsidRPr="003D1E07">
        <w:rPr>
          <w:rStyle w:val="Zkladntext158dkovn0pt"/>
          <w:color w:val="auto"/>
          <w:spacing w:val="0"/>
          <w:sz w:val="24"/>
          <w:lang w:val="cs-CZ"/>
        </w:rPr>
        <w:t>)</w:t>
      </w:r>
      <w:r w:rsidR="002619EA" w:rsidRPr="003D1E07">
        <w:rPr>
          <w:rStyle w:val="Zkladntext158dkovn0pt"/>
          <w:color w:val="auto"/>
          <w:spacing w:val="0"/>
          <w:sz w:val="24"/>
          <w:lang w:val="cs-CZ"/>
        </w:rPr>
        <w:t xml:space="preserve"> </w:t>
      </w:r>
      <w:r w:rsidR="00203BEF" w:rsidRPr="003D1E07">
        <w:rPr>
          <w:rStyle w:val="Zkladntext158dkovn0pt"/>
          <w:color w:val="auto"/>
          <w:spacing w:val="0"/>
          <w:sz w:val="24"/>
          <w:lang w:val="cs-CZ"/>
        </w:rPr>
        <w:t xml:space="preserve">poznávající </w:t>
      </w:r>
      <w:r w:rsidR="002619EA" w:rsidRPr="003D1E07">
        <w:rPr>
          <w:rStyle w:val="Zkladntext158dkovn0pt"/>
          <w:color w:val="auto"/>
          <w:spacing w:val="0"/>
          <w:sz w:val="24"/>
          <w:lang w:val="cs-CZ"/>
        </w:rPr>
        <w:t xml:space="preserve">v modu metafyzického </w:t>
      </w:r>
      <w:r w:rsidR="002619EA" w:rsidRPr="003D1E07">
        <w:rPr>
          <w:rStyle w:val="Zkladntext158dkovn0pt"/>
          <w:i/>
          <w:color w:val="auto"/>
          <w:spacing w:val="0"/>
          <w:sz w:val="24"/>
          <w:lang w:val="cs-CZ"/>
        </w:rPr>
        <w:t>Irrtum</w:t>
      </w:r>
      <w:r w:rsidR="008D3685" w:rsidRPr="003D1E07">
        <w:rPr>
          <w:rStyle w:val="Zkladntext158dkovn0pt"/>
          <w:color w:val="auto"/>
          <w:spacing w:val="0"/>
          <w:sz w:val="24"/>
          <w:lang w:val="cs-CZ"/>
        </w:rPr>
        <w:t xml:space="preserve">. </w:t>
      </w:r>
      <w:r w:rsidR="0865618A" w:rsidRPr="003D1E07">
        <w:rPr>
          <w:rStyle w:val="Zkladntext158dkovn0pt"/>
          <w:color w:val="auto"/>
          <w:spacing w:val="0"/>
          <w:sz w:val="24"/>
          <w:lang w:val="cs-CZ"/>
        </w:rPr>
        <w:t xml:space="preserve">Objektivnímu myšlení postmoderny zbyl pouze pojem diafanum jako </w:t>
      </w:r>
      <w:r w:rsidR="00DA24EA" w:rsidRPr="003D1E07">
        <w:rPr>
          <w:rStyle w:val="Zkladntext158dkovn0pt"/>
          <w:i/>
          <w:color w:val="auto"/>
          <w:spacing w:val="0"/>
          <w:sz w:val="24"/>
          <w:lang w:val="cs-CZ"/>
        </w:rPr>
        <w:t>tertium ens</w:t>
      </w:r>
      <w:r w:rsidR="00DA24EA" w:rsidRPr="003D1E07">
        <w:rPr>
          <w:rStyle w:val="Zkladntext158dkovn0pt"/>
          <w:color w:val="auto"/>
          <w:spacing w:val="0"/>
          <w:sz w:val="24"/>
          <w:lang w:val="cs-CZ"/>
        </w:rPr>
        <w:t xml:space="preserve"> </w:t>
      </w:r>
      <w:r w:rsidR="0865618A" w:rsidRPr="003D1E07">
        <w:rPr>
          <w:rStyle w:val="Zkladntext158dkovn0pt"/>
          <w:color w:val="auto"/>
          <w:spacing w:val="0"/>
          <w:sz w:val="24"/>
          <w:lang w:val="cs-CZ"/>
        </w:rPr>
        <w:t xml:space="preserve">v jeho hypostázované </w:t>
      </w:r>
      <w:r w:rsidR="0865618A" w:rsidRPr="003D1E07">
        <w:rPr>
          <w:rStyle w:val="Zkladntext158dkovn0pt"/>
          <w:i/>
          <w:color w:val="auto"/>
          <w:spacing w:val="0"/>
          <w:sz w:val="24"/>
          <w:lang w:val="cs-CZ"/>
        </w:rPr>
        <w:t>veritas</w:t>
      </w:r>
      <w:r w:rsidR="080317A6" w:rsidRPr="003D1E07">
        <w:rPr>
          <w:rStyle w:val="Zkladntext158dkovn0pt"/>
          <w:color w:val="auto"/>
          <w:spacing w:val="0"/>
          <w:sz w:val="24"/>
          <w:lang w:val="cs-CZ"/>
        </w:rPr>
        <w:t xml:space="preserve">. Tento idol vytvořil </w:t>
      </w:r>
      <w:r w:rsidR="001340D6" w:rsidRPr="003D1E07">
        <w:rPr>
          <w:rStyle w:val="Zkladntext158dkovn0pt"/>
          <w:color w:val="auto"/>
          <w:spacing w:val="0"/>
          <w:sz w:val="24"/>
          <w:lang w:val="cs-CZ"/>
        </w:rPr>
        <w:t xml:space="preserve">moderní </w:t>
      </w:r>
      <w:r w:rsidR="0865618A" w:rsidRPr="003D1E07">
        <w:rPr>
          <w:rStyle w:val="Zkladntext158dkovn0pt"/>
          <w:color w:val="auto"/>
          <w:spacing w:val="0"/>
          <w:sz w:val="24"/>
          <w:lang w:val="cs-CZ"/>
        </w:rPr>
        <w:lastRenderedPageBreak/>
        <w:t>averroismus</w:t>
      </w:r>
      <w:r w:rsidR="080317A6" w:rsidRPr="003D1E07">
        <w:rPr>
          <w:rStyle w:val="Zkladntext158dkovn0pt"/>
          <w:color w:val="auto"/>
          <w:spacing w:val="0"/>
          <w:sz w:val="24"/>
          <w:lang w:val="cs-CZ"/>
        </w:rPr>
        <w:t xml:space="preserve">, </w:t>
      </w:r>
      <w:r w:rsidR="0865618A" w:rsidRPr="003D1E07">
        <w:rPr>
          <w:rStyle w:val="Zkladntext158dkovn0pt"/>
          <w:color w:val="auto"/>
          <w:spacing w:val="0"/>
          <w:sz w:val="24"/>
          <w:lang w:val="cs-CZ"/>
        </w:rPr>
        <w:t xml:space="preserve">nikoliv Averroesova metafyzika. </w:t>
      </w:r>
      <w:r w:rsidR="003165E7" w:rsidRPr="003D1E07">
        <w:rPr>
          <w:rStyle w:val="Zkladntext158dkovn0pt"/>
          <w:color w:val="auto"/>
          <w:spacing w:val="0"/>
          <w:sz w:val="24"/>
          <w:lang w:val="cs-CZ"/>
        </w:rPr>
        <w:t>Obje</w:t>
      </w:r>
      <w:r w:rsidR="000F03E2" w:rsidRPr="003D1E07">
        <w:rPr>
          <w:rStyle w:val="Zkladntext158dkovn0pt"/>
          <w:color w:val="auto"/>
          <w:spacing w:val="0"/>
          <w:sz w:val="24"/>
          <w:lang w:val="cs-CZ"/>
        </w:rPr>
        <w:t>k</w:t>
      </w:r>
      <w:r w:rsidR="003165E7" w:rsidRPr="003D1E07">
        <w:rPr>
          <w:rStyle w:val="Zkladntext158dkovn0pt"/>
          <w:color w:val="auto"/>
          <w:spacing w:val="0"/>
          <w:sz w:val="24"/>
          <w:lang w:val="cs-CZ"/>
        </w:rPr>
        <w:t xml:space="preserve">tivní myšlení udělá z </w:t>
      </w:r>
      <w:r w:rsidR="00FE36CB" w:rsidRPr="003D1E07">
        <w:rPr>
          <w:rStyle w:val="Zkladntext158dkovn0pt"/>
          <w:color w:val="auto"/>
          <w:spacing w:val="0"/>
          <w:sz w:val="24"/>
          <w:lang w:val="cs-CZ"/>
        </w:rPr>
        <w:t xml:space="preserve">potence automaticky substanci, protože vše nasvěcuje světlem </w:t>
      </w:r>
      <w:r w:rsidR="007D4118" w:rsidRPr="003D1E07">
        <w:rPr>
          <w:rStyle w:val="Zkladntext158dkovn0pt"/>
          <w:color w:val="auto"/>
          <w:spacing w:val="0"/>
          <w:sz w:val="24"/>
          <w:lang w:val="cs-CZ"/>
        </w:rPr>
        <w:t>auto</w:t>
      </w:r>
      <w:r w:rsidR="00FE36CB" w:rsidRPr="003D1E07">
        <w:rPr>
          <w:rStyle w:val="Zkladntext158dkovn0pt"/>
          <w:color w:val="auto"/>
          <w:spacing w:val="0"/>
          <w:sz w:val="24"/>
          <w:lang w:val="cs-CZ"/>
        </w:rPr>
        <w:t>no</w:t>
      </w:r>
      <w:r w:rsidR="007D4118" w:rsidRPr="003D1E07">
        <w:rPr>
          <w:rStyle w:val="Zkladntext158dkovn0pt"/>
          <w:color w:val="auto"/>
          <w:spacing w:val="0"/>
          <w:sz w:val="24"/>
          <w:lang w:val="cs-CZ"/>
        </w:rPr>
        <w:t>m</w:t>
      </w:r>
      <w:r w:rsidR="00FE36CB" w:rsidRPr="003D1E07">
        <w:rPr>
          <w:rStyle w:val="Zkladntext158dkovn0pt"/>
          <w:color w:val="auto"/>
          <w:spacing w:val="0"/>
          <w:sz w:val="24"/>
          <w:lang w:val="cs-CZ"/>
        </w:rPr>
        <w:t xml:space="preserve">ního intelektu, jenž nepotřebuje </w:t>
      </w:r>
      <w:r w:rsidR="00EF54DE" w:rsidRPr="003D1E07">
        <w:rPr>
          <w:rStyle w:val="Zkladntext158dkovn0pt"/>
          <w:color w:val="auto"/>
          <w:spacing w:val="0"/>
          <w:sz w:val="24"/>
          <w:lang w:val="cs-CZ"/>
        </w:rPr>
        <w:t xml:space="preserve">pro poznání </w:t>
      </w:r>
      <w:r w:rsidR="002E52AD" w:rsidRPr="003D1E07">
        <w:rPr>
          <w:rStyle w:val="Zkladntext158dkovn0pt"/>
          <w:color w:val="auto"/>
          <w:spacing w:val="0"/>
          <w:sz w:val="24"/>
          <w:lang w:val="cs-CZ"/>
        </w:rPr>
        <w:t xml:space="preserve">ani </w:t>
      </w:r>
      <w:r w:rsidR="00FE36CB" w:rsidRPr="003D1E07">
        <w:rPr>
          <w:rStyle w:val="Zkladntext158dkovn0pt"/>
          <w:color w:val="auto"/>
          <w:spacing w:val="0"/>
          <w:sz w:val="24"/>
          <w:lang w:val="cs-CZ"/>
        </w:rPr>
        <w:t>aktuální první substanci</w:t>
      </w:r>
      <w:r w:rsidR="002E52AD" w:rsidRPr="003D1E07">
        <w:rPr>
          <w:rStyle w:val="Zkladntext158dkovn0pt"/>
          <w:color w:val="auto"/>
          <w:spacing w:val="0"/>
          <w:sz w:val="24"/>
          <w:lang w:val="cs-CZ"/>
        </w:rPr>
        <w:t>, ani mediaci</w:t>
      </w:r>
      <w:r w:rsidR="00FE36CB" w:rsidRPr="003D1E07">
        <w:rPr>
          <w:rStyle w:val="Zkladntext158dkovn0pt"/>
          <w:color w:val="auto"/>
          <w:spacing w:val="0"/>
          <w:sz w:val="24"/>
          <w:lang w:val="cs-CZ"/>
        </w:rPr>
        <w:t xml:space="preserve">. </w:t>
      </w:r>
      <w:r w:rsidR="08CE4BE2" w:rsidRPr="003D1E07">
        <w:rPr>
          <w:rStyle w:val="Zkladntext158dkovn0pt"/>
          <w:color w:val="auto"/>
          <w:spacing w:val="0"/>
          <w:sz w:val="24"/>
          <w:lang w:val="cs-CZ"/>
        </w:rPr>
        <w:t>Moderna nezachraňuje fenomény</w:t>
      </w:r>
      <w:r w:rsidR="08F3620A" w:rsidRPr="003D1E07">
        <w:rPr>
          <w:rStyle w:val="Zkladntext158dkovn0pt"/>
          <w:color w:val="auto"/>
          <w:spacing w:val="0"/>
          <w:sz w:val="24"/>
          <w:lang w:val="cs-CZ"/>
        </w:rPr>
        <w:t xml:space="preserve">, protože </w:t>
      </w:r>
      <w:r w:rsidR="0011642A" w:rsidRPr="003D1E07">
        <w:rPr>
          <w:rStyle w:val="Zkladntext158dkovn0pt"/>
          <w:color w:val="auto"/>
          <w:spacing w:val="0"/>
          <w:sz w:val="24"/>
          <w:lang w:val="cs-CZ"/>
        </w:rPr>
        <w:t>má jiné a mnohem důležitější poslání. I</w:t>
      </w:r>
      <w:r w:rsidR="08F3620A" w:rsidRPr="003D1E07">
        <w:rPr>
          <w:rStyle w:val="Zkladntext158dkovn0pt"/>
          <w:color w:val="auto"/>
          <w:spacing w:val="0"/>
          <w:sz w:val="24"/>
          <w:lang w:val="cs-CZ"/>
        </w:rPr>
        <w:t xml:space="preserve">lumináti </w:t>
      </w:r>
      <w:r w:rsidR="08E23FDE" w:rsidRPr="003D1E07">
        <w:rPr>
          <w:rStyle w:val="Zkladntext158dkovn0pt"/>
          <w:color w:val="auto"/>
          <w:spacing w:val="0"/>
          <w:sz w:val="24"/>
          <w:lang w:val="cs-CZ"/>
        </w:rPr>
        <w:t xml:space="preserve">místo záchrany světa </w:t>
      </w:r>
      <w:r w:rsidR="08F3620A" w:rsidRPr="003D1E07">
        <w:rPr>
          <w:rStyle w:val="Zkladntext158dkovn0pt"/>
          <w:color w:val="auto"/>
          <w:spacing w:val="0"/>
          <w:sz w:val="24"/>
          <w:lang w:val="cs-CZ"/>
        </w:rPr>
        <w:t>pořádají</w:t>
      </w:r>
      <w:r w:rsidR="08CE4BE2" w:rsidRPr="003D1E07">
        <w:rPr>
          <w:rStyle w:val="Zkladntext158dkovn0pt"/>
          <w:color w:val="auto"/>
          <w:spacing w:val="0"/>
          <w:sz w:val="24"/>
          <w:lang w:val="cs-CZ"/>
        </w:rPr>
        <w:t xml:space="preserve"> </w:t>
      </w:r>
      <w:r w:rsidR="08E23FDE" w:rsidRPr="003D1E07">
        <w:rPr>
          <w:rStyle w:val="Zkladntext158dkovn0pt"/>
          <w:color w:val="auto"/>
          <w:spacing w:val="0"/>
          <w:sz w:val="24"/>
          <w:lang w:val="cs-CZ"/>
        </w:rPr>
        <w:t xml:space="preserve">globální </w:t>
      </w:r>
      <w:r w:rsidR="08F3620A" w:rsidRPr="003D1E07">
        <w:rPr>
          <w:rStyle w:val="Zkladntext158dkovn0pt"/>
          <w:color w:val="auto"/>
          <w:spacing w:val="0"/>
          <w:sz w:val="24"/>
          <w:lang w:val="cs-CZ"/>
        </w:rPr>
        <w:t xml:space="preserve">náboženské uctívání </w:t>
      </w:r>
      <w:r w:rsidR="00C271C8" w:rsidRPr="003D1E07">
        <w:rPr>
          <w:lang w:eastAsia="en-US"/>
        </w:rPr>
        <w:t>(</w:t>
      </w:r>
      <w:r w:rsidR="00C271C8" w:rsidRPr="003D1E07">
        <w:t xml:space="preserve">τά </w:t>
      </w:r>
      <w:r w:rsidR="00C271C8" w:rsidRPr="003D1E07">
        <w:rPr>
          <w:lang w:eastAsia="en-US"/>
        </w:rPr>
        <w:t>ὄργι</w:t>
      </w:r>
      <w:r w:rsidR="00C271C8" w:rsidRPr="003D1E07">
        <w:rPr>
          <w:rFonts w:cs="Calibri"/>
          <w:lang w:eastAsia="en-US"/>
        </w:rPr>
        <w:t xml:space="preserve">α, </w:t>
      </w:r>
      <w:r w:rsidR="00C271C8" w:rsidRPr="003D1E07">
        <w:rPr>
          <w:rFonts w:cs="Calibri"/>
          <w:i/>
          <w:lang w:eastAsia="en-US"/>
        </w:rPr>
        <w:t>conferentia</w:t>
      </w:r>
      <w:r w:rsidR="00C271C8" w:rsidRPr="003D1E07">
        <w:rPr>
          <w:lang w:eastAsia="en-US"/>
        </w:rPr>
        <w:t xml:space="preserve">) jejich </w:t>
      </w:r>
      <w:r w:rsidR="08E47D89" w:rsidRPr="003D1E07">
        <w:rPr>
          <w:rStyle w:val="Zkladntext158dkovn0pt"/>
          <w:color w:val="auto"/>
          <w:spacing w:val="0"/>
          <w:sz w:val="24"/>
          <w:lang w:val="cs-CZ"/>
        </w:rPr>
        <w:t xml:space="preserve">objektivně osvíceného </w:t>
      </w:r>
      <w:r w:rsidR="08CE4BE2" w:rsidRPr="003D1E07">
        <w:rPr>
          <w:rStyle w:val="Zkladntext158dkovn0pt"/>
          <w:color w:val="auto"/>
          <w:spacing w:val="0"/>
          <w:sz w:val="24"/>
          <w:lang w:val="cs-CZ"/>
        </w:rPr>
        <w:t xml:space="preserve">ducha. </w:t>
      </w:r>
      <w:r w:rsidR="08BD4B3B" w:rsidRPr="003D1E07">
        <w:rPr>
          <w:rStyle w:val="Zkladntext158dkovn0pt"/>
          <w:color w:val="auto"/>
          <w:spacing w:val="0"/>
          <w:sz w:val="24"/>
          <w:lang w:val="cs-CZ"/>
        </w:rPr>
        <w:t>Orgiastický i</w:t>
      </w:r>
      <w:r w:rsidR="00FE36CB" w:rsidRPr="003D1E07">
        <w:rPr>
          <w:rStyle w:val="Zkladntext158dkovn0pt"/>
          <w:color w:val="auto"/>
          <w:spacing w:val="0"/>
          <w:sz w:val="24"/>
          <w:lang w:val="cs-CZ"/>
        </w:rPr>
        <w:t xml:space="preserve">ntelekt avicennistů a </w:t>
      </w:r>
      <w:r w:rsidR="08DE18BB" w:rsidRPr="003D1E07">
        <w:rPr>
          <w:rStyle w:val="Zkladntext158dkovn0pt"/>
          <w:color w:val="auto"/>
          <w:spacing w:val="0"/>
          <w:sz w:val="24"/>
          <w:lang w:val="cs-CZ"/>
        </w:rPr>
        <w:t>alexandrovc</w:t>
      </w:r>
      <w:r w:rsidR="00FE36CB" w:rsidRPr="003D1E07">
        <w:rPr>
          <w:rStyle w:val="Zkladntext158dkovn0pt"/>
          <w:color w:val="auto"/>
          <w:spacing w:val="0"/>
          <w:sz w:val="24"/>
          <w:lang w:val="cs-CZ"/>
        </w:rPr>
        <w:t>ů</w:t>
      </w:r>
      <w:r w:rsidR="00955903" w:rsidRPr="003D1E07">
        <w:rPr>
          <w:rStyle w:val="Zkladntext158dkovn0pt"/>
          <w:color w:val="auto"/>
          <w:spacing w:val="0"/>
          <w:sz w:val="24"/>
          <w:lang w:val="cs-CZ"/>
        </w:rPr>
        <w:fldChar w:fldCharType="begin"/>
      </w:r>
      <w:r w:rsidR="00955903" w:rsidRPr="003D1E07">
        <w:instrText xml:space="preserve"> XE "</w:instrText>
      </w:r>
      <w:r w:rsidR="08DE18BB" w:rsidRPr="003D1E07">
        <w:instrText>alexandrovci</w:instrText>
      </w:r>
      <w:r w:rsidR="00955903" w:rsidRPr="003D1E07">
        <w:instrText xml:space="preserve">" </w:instrText>
      </w:r>
      <w:r w:rsidR="00955903" w:rsidRPr="003D1E07">
        <w:rPr>
          <w:rStyle w:val="Zkladntext158dkovn0pt"/>
          <w:color w:val="auto"/>
          <w:spacing w:val="0"/>
          <w:sz w:val="24"/>
          <w:lang w:val="cs-CZ"/>
        </w:rPr>
        <w:fldChar w:fldCharType="end"/>
      </w:r>
      <w:r w:rsidR="00FE36CB" w:rsidRPr="003D1E07">
        <w:rPr>
          <w:rStyle w:val="Zkladntext158dkovn0pt"/>
          <w:color w:val="auto"/>
          <w:spacing w:val="0"/>
          <w:sz w:val="24"/>
          <w:lang w:val="cs-CZ"/>
        </w:rPr>
        <w:t xml:space="preserve"> je substancí </w:t>
      </w:r>
      <w:r w:rsidR="08D30BB2" w:rsidRPr="003D1E07">
        <w:rPr>
          <w:rStyle w:val="Zkladntext158dkovn0pt"/>
          <w:color w:val="auto"/>
          <w:spacing w:val="0"/>
          <w:sz w:val="24"/>
          <w:lang w:val="cs-CZ"/>
        </w:rPr>
        <w:t>a zjevu</w:t>
      </w:r>
      <w:r w:rsidR="086233F0" w:rsidRPr="003D1E07">
        <w:rPr>
          <w:rStyle w:val="Zkladntext158dkovn0pt"/>
          <w:color w:val="auto"/>
          <w:spacing w:val="0"/>
          <w:sz w:val="24"/>
          <w:lang w:val="cs-CZ"/>
        </w:rPr>
        <w:t>je se v modu sebereflexivní par</w:t>
      </w:r>
      <w:r w:rsidR="08D30BB2" w:rsidRPr="003D1E07">
        <w:rPr>
          <w:rStyle w:val="Zkladntext158dkovn0pt"/>
          <w:color w:val="auto"/>
          <w:spacing w:val="0"/>
          <w:sz w:val="24"/>
          <w:lang w:val="cs-CZ"/>
        </w:rPr>
        <w:t>usie. Buď je jeho sebepřítomnost dána čistě intelektuálně nebo čistě materiálně</w:t>
      </w:r>
      <w:r w:rsidR="00AD216A">
        <w:rPr>
          <w:rStyle w:val="Zkladntext158dkovn0pt"/>
          <w:color w:val="auto"/>
          <w:spacing w:val="0"/>
          <w:sz w:val="24"/>
          <w:lang w:val="cs-CZ"/>
        </w:rPr>
        <w:t xml:space="preserve">. To </w:t>
      </w:r>
      <w:r w:rsidR="08D30BB2" w:rsidRPr="003D1E07">
        <w:rPr>
          <w:rStyle w:val="Zkladntext158dkovn0pt"/>
          <w:color w:val="auto"/>
          <w:spacing w:val="0"/>
          <w:sz w:val="24"/>
          <w:lang w:val="cs-CZ"/>
        </w:rPr>
        <w:t xml:space="preserve">je ve výsledném </w:t>
      </w:r>
      <w:r w:rsidR="004273C4">
        <w:rPr>
          <w:rStyle w:val="Zkladntext158dkovn0pt"/>
          <w:color w:val="auto"/>
          <w:spacing w:val="0"/>
          <w:sz w:val="24"/>
          <w:lang w:val="cs-CZ"/>
        </w:rPr>
        <w:t>iracionálním bloudění m</w:t>
      </w:r>
      <w:r w:rsidR="08E716BD" w:rsidRPr="003D1E07">
        <w:rPr>
          <w:rStyle w:val="Zkladntext158dkovn0pt"/>
          <w:color w:val="auto"/>
          <w:spacing w:val="0"/>
          <w:sz w:val="24"/>
          <w:lang w:val="cs-CZ"/>
        </w:rPr>
        <w:t xml:space="preserve">oderny </w:t>
      </w:r>
      <w:r w:rsidR="004273C4">
        <w:rPr>
          <w:rStyle w:val="Zkladntext158dkovn0pt"/>
          <w:color w:val="auto"/>
          <w:spacing w:val="0"/>
          <w:sz w:val="24"/>
          <w:lang w:val="cs-CZ"/>
        </w:rPr>
        <w:t>(</w:t>
      </w:r>
      <w:r w:rsidR="004273C4" w:rsidRPr="004273C4">
        <w:rPr>
          <w:rStyle w:val="Zkladntext158dkovn0pt"/>
          <w:i/>
          <w:color w:val="auto"/>
          <w:spacing w:val="0"/>
          <w:sz w:val="24"/>
          <w:lang w:val="cs-CZ"/>
        </w:rPr>
        <w:t>Irre</w:t>
      </w:r>
      <w:r w:rsidR="00AD216A">
        <w:rPr>
          <w:rStyle w:val="Zkladntext158dkovn0pt"/>
          <w:i/>
          <w:color w:val="auto"/>
          <w:spacing w:val="0"/>
          <w:sz w:val="24"/>
          <w:lang w:val="cs-CZ"/>
        </w:rPr>
        <w:fldChar w:fldCharType="begin"/>
      </w:r>
      <w:r w:rsidR="00AD216A">
        <w:instrText xml:space="preserve"> XE "</w:instrText>
      </w:r>
      <w:r w:rsidR="00AD216A" w:rsidRPr="00834E8C">
        <w:rPr>
          <w:rStyle w:val="Zkladntext158dkovn0pt"/>
          <w:i/>
          <w:color w:val="auto"/>
          <w:spacing w:val="0"/>
          <w:sz w:val="24"/>
          <w:lang w:val="cs-CZ"/>
        </w:rPr>
        <w:instrText>Irre</w:instrText>
      </w:r>
      <w:r w:rsidR="00AD216A">
        <w:instrText xml:space="preserve">" </w:instrText>
      </w:r>
      <w:r w:rsidR="00AD216A">
        <w:rPr>
          <w:rStyle w:val="Zkladntext158dkovn0pt"/>
          <w:i/>
          <w:color w:val="auto"/>
          <w:spacing w:val="0"/>
          <w:sz w:val="24"/>
          <w:lang w:val="cs-CZ"/>
        </w:rPr>
        <w:fldChar w:fldCharType="end"/>
      </w:r>
      <w:r w:rsidR="004273C4">
        <w:rPr>
          <w:rStyle w:val="Zkladntext158dkovn0pt"/>
          <w:color w:val="auto"/>
          <w:spacing w:val="0"/>
          <w:sz w:val="24"/>
          <w:lang w:val="cs-CZ"/>
        </w:rPr>
        <w:t xml:space="preserve">) </w:t>
      </w:r>
      <w:r w:rsidR="08D30BB2" w:rsidRPr="003D1E07">
        <w:rPr>
          <w:rStyle w:val="Zkladntext158dkovn0pt"/>
          <w:color w:val="auto"/>
          <w:spacing w:val="0"/>
          <w:sz w:val="24"/>
          <w:lang w:val="cs-CZ"/>
        </w:rPr>
        <w:t>jedno a totéž</w:t>
      </w:r>
      <w:r w:rsidR="00FE36CB" w:rsidRPr="003D1E07">
        <w:rPr>
          <w:rStyle w:val="Zkladntext158dkovn0pt"/>
          <w:color w:val="auto"/>
          <w:spacing w:val="0"/>
          <w:sz w:val="24"/>
          <w:lang w:val="cs-CZ"/>
        </w:rPr>
        <w:t xml:space="preserve">. </w:t>
      </w:r>
      <w:r w:rsidR="088D66A1" w:rsidRPr="003D1E07">
        <w:rPr>
          <w:rStyle w:val="Zkladntext158dkovn0pt"/>
          <w:color w:val="auto"/>
          <w:spacing w:val="0"/>
          <w:sz w:val="24"/>
          <w:lang w:val="cs-CZ"/>
        </w:rPr>
        <w:t xml:space="preserve">V </w:t>
      </w:r>
      <w:r w:rsidR="00170A52" w:rsidRPr="003D1E07">
        <w:rPr>
          <w:rStyle w:val="Zkladntext158dkovn0pt"/>
          <w:color w:val="auto"/>
          <w:spacing w:val="0"/>
          <w:sz w:val="24"/>
          <w:lang w:val="cs-CZ"/>
        </w:rPr>
        <w:t xml:space="preserve">substancializaci </w:t>
      </w:r>
      <w:r w:rsidR="00170A52" w:rsidRPr="003D1E07">
        <w:rPr>
          <w:rStyle w:val="Zkladntext158dkovn0pt"/>
          <w:i/>
          <w:color w:val="auto"/>
          <w:spacing w:val="0"/>
          <w:sz w:val="24"/>
          <w:lang w:val="cs-CZ"/>
        </w:rPr>
        <w:t>intellectus in potentia</w:t>
      </w:r>
      <w:r w:rsidR="00A45866" w:rsidRPr="003D1E07">
        <w:rPr>
          <w:rStyle w:val="Zkladntext158dkovn0pt"/>
          <w:color w:val="auto"/>
          <w:spacing w:val="0"/>
          <w:sz w:val="24"/>
          <w:lang w:val="cs-CZ"/>
        </w:rPr>
        <w:t xml:space="preserve"> </w:t>
      </w:r>
      <w:r w:rsidR="08E716BD" w:rsidRPr="003D1E07">
        <w:rPr>
          <w:rStyle w:val="Zkladntext158dkovn0pt"/>
          <w:color w:val="auto"/>
          <w:spacing w:val="0"/>
          <w:sz w:val="24"/>
          <w:lang w:val="cs-CZ"/>
        </w:rPr>
        <w:t xml:space="preserve">dané v objektivním modu </w:t>
      </w:r>
      <w:r w:rsidR="08E716BD" w:rsidRPr="003D1E07">
        <w:rPr>
          <w:rStyle w:val="Zkladntext158dkovn0pt"/>
          <w:i/>
          <w:color w:val="auto"/>
          <w:spacing w:val="0"/>
          <w:sz w:val="24"/>
          <w:lang w:val="cs-CZ"/>
        </w:rPr>
        <w:t>idem</w:t>
      </w:r>
      <w:r w:rsidR="08E716BD" w:rsidRPr="003D1E07">
        <w:rPr>
          <w:rStyle w:val="Zkladntext158dkovn0pt"/>
          <w:color w:val="auto"/>
          <w:spacing w:val="0"/>
          <w:sz w:val="24"/>
          <w:lang w:val="cs-CZ"/>
        </w:rPr>
        <w:t xml:space="preserve"> </w:t>
      </w:r>
      <w:r w:rsidR="088D66A1" w:rsidRPr="003D1E07">
        <w:rPr>
          <w:rStyle w:val="Zkladntext158dkovn0pt"/>
          <w:color w:val="auto"/>
          <w:spacing w:val="0"/>
          <w:sz w:val="24"/>
          <w:lang w:val="cs-CZ"/>
        </w:rPr>
        <w:t>spočívá</w:t>
      </w:r>
      <w:r w:rsidR="08415290" w:rsidRPr="003D1E07">
        <w:rPr>
          <w:rStyle w:val="Zkladntext158dkovn0pt"/>
          <w:color w:val="auto"/>
          <w:spacing w:val="0"/>
          <w:sz w:val="24"/>
          <w:lang w:val="cs-CZ"/>
        </w:rPr>
        <w:t xml:space="preserve"> </w:t>
      </w:r>
      <w:r w:rsidR="00FE36CB" w:rsidRPr="003D1E07">
        <w:rPr>
          <w:rStyle w:val="Zkladntext158dkovn0pt"/>
          <w:color w:val="auto"/>
          <w:spacing w:val="0"/>
          <w:sz w:val="24"/>
          <w:lang w:val="cs-CZ"/>
        </w:rPr>
        <w:t xml:space="preserve">epochální </w:t>
      </w:r>
      <w:r w:rsidR="081D061C" w:rsidRPr="003D1E07">
        <w:rPr>
          <w:rStyle w:val="Zkladntext158dkovn0pt"/>
          <w:color w:val="auto"/>
          <w:spacing w:val="0"/>
          <w:sz w:val="24"/>
          <w:lang w:val="cs-CZ"/>
        </w:rPr>
        <w:t>temnota</w:t>
      </w:r>
      <w:r w:rsidR="00FE36CB" w:rsidRPr="003D1E07">
        <w:rPr>
          <w:rStyle w:val="Zkladntext158dkovn0pt"/>
          <w:color w:val="auto"/>
          <w:spacing w:val="0"/>
          <w:sz w:val="24"/>
          <w:lang w:val="cs-CZ"/>
        </w:rPr>
        <w:t xml:space="preserve"> metafyziky </w:t>
      </w:r>
      <w:r w:rsidR="00FE36CB" w:rsidRPr="003D1E07">
        <w:rPr>
          <w:rStyle w:val="Zkladntext158dkovn0pt"/>
          <w:i/>
          <w:color w:val="auto"/>
          <w:spacing w:val="0"/>
          <w:sz w:val="24"/>
          <w:lang w:val="cs-CZ"/>
        </w:rPr>
        <w:t>Modernorum</w:t>
      </w:r>
      <w:r w:rsidR="0099725C" w:rsidRPr="003D1E07">
        <w:rPr>
          <w:rStyle w:val="Zkladntext158dkovn0pt"/>
          <w:i/>
          <w:color w:val="auto"/>
          <w:spacing w:val="0"/>
          <w:sz w:val="24"/>
          <w:lang w:val="cs-CZ"/>
        </w:rPr>
        <w:fldChar w:fldCharType="begin"/>
      </w:r>
      <w:r w:rsidR="0099725C" w:rsidRPr="003D1E07">
        <w:instrText xml:space="preserve"> XE "zatmění:substance" </w:instrText>
      </w:r>
      <w:r w:rsidR="0099725C" w:rsidRPr="003D1E07">
        <w:rPr>
          <w:rStyle w:val="Zkladntext158dkovn0pt"/>
          <w:i/>
          <w:color w:val="auto"/>
          <w:spacing w:val="0"/>
          <w:sz w:val="24"/>
          <w:lang w:val="cs-CZ"/>
        </w:rPr>
        <w:fldChar w:fldCharType="end"/>
      </w:r>
      <w:r w:rsidR="082F6993" w:rsidRPr="003D1E07">
        <w:rPr>
          <w:rStyle w:val="Zkladntext158dkovn0pt"/>
          <w:color w:val="auto"/>
          <w:spacing w:val="0"/>
          <w:sz w:val="24"/>
          <w:lang w:val="cs-CZ"/>
        </w:rPr>
        <w:t xml:space="preserve">. </w:t>
      </w:r>
      <w:r w:rsidR="08C07775" w:rsidRPr="003D1E07">
        <w:rPr>
          <w:lang w:eastAsia="en-US"/>
        </w:rPr>
        <w:t xml:space="preserve">Vzhledem ke svým současníkům učinil Averroes sebekritickou glosu ukazující epochální </w:t>
      </w:r>
      <w:r w:rsidR="08C07775" w:rsidRPr="003D1E07">
        <w:rPr>
          <w:i/>
          <w:lang w:eastAsia="en-US"/>
        </w:rPr>
        <w:t>Seinsvergessenheit</w:t>
      </w:r>
      <w:r w:rsidR="08C07775" w:rsidRPr="003D1E07">
        <w:rPr>
          <w:i/>
          <w:lang w:eastAsia="en-US"/>
        </w:rPr>
        <w:fldChar w:fldCharType="begin"/>
      </w:r>
      <w:r w:rsidR="08C07775" w:rsidRPr="003D1E07">
        <w:instrText xml:space="preserve"> XE "</w:instrText>
      </w:r>
      <w:r w:rsidR="08C07775" w:rsidRPr="003D1E07">
        <w:rPr>
          <w:i/>
          <w:lang w:eastAsia="en-US"/>
        </w:rPr>
        <w:instrText>Seinsvergessenheit</w:instrText>
      </w:r>
      <w:r w:rsidR="08C07775" w:rsidRPr="003D1E07">
        <w:instrText xml:space="preserve">" </w:instrText>
      </w:r>
      <w:r w:rsidR="08C07775" w:rsidRPr="003D1E07">
        <w:rPr>
          <w:i/>
          <w:lang w:eastAsia="en-US"/>
        </w:rPr>
        <w:fldChar w:fldCharType="end"/>
      </w:r>
      <w:r w:rsidR="08C07775" w:rsidRPr="003D1E07">
        <w:rPr>
          <w:lang w:eastAsia="en-US"/>
        </w:rPr>
        <w:t xml:space="preserve"> aristotelského smyslu jsoucna. </w:t>
      </w:r>
    </w:p>
    <w:p w14:paraId="64BEEFAF" w14:textId="1806DB8B" w:rsidR="08C07775" w:rsidRPr="003D1E07" w:rsidRDefault="08C07775" w:rsidP="08C07775">
      <w:pPr>
        <w:pStyle w:val="Citace"/>
        <w:rPr>
          <w:rStyle w:val="Zkladntext1"/>
          <w:rFonts w:ascii="Calibri" w:eastAsia="Times" w:hAnsi="Calibri"/>
          <w:spacing w:val="0"/>
          <w:sz w:val="22"/>
          <w:u w:val="none"/>
          <w:lang w:val="cs-CZ"/>
        </w:rPr>
      </w:pPr>
      <w:r w:rsidRPr="003D1E07">
        <w:rPr>
          <w:rStyle w:val="Zkladntext1"/>
          <w:rFonts w:ascii="Calibri" w:eastAsia="Times" w:hAnsi="Calibri"/>
          <w:spacing w:val="0"/>
          <w:sz w:val="22"/>
          <w:u w:val="none"/>
          <w:lang w:val="cs-CZ"/>
        </w:rPr>
        <w:t>„Ibn Báju a nás dlouhou dobu mýlil fakt, že moderní myslitelé přestali číst Aristotela (</w:t>
      </w:r>
      <w:r w:rsidRPr="003D1E07">
        <w:rPr>
          <w:rStyle w:val="Zkladntext1"/>
          <w:rFonts w:ascii="Calibri" w:eastAsia="Times" w:hAnsi="Calibri"/>
          <w:i/>
          <w:spacing w:val="0"/>
          <w:sz w:val="22"/>
          <w:u w:val="none"/>
          <w:lang w:val="cs-CZ"/>
        </w:rPr>
        <w:t>quia Moderni dimittunt libros Aristotelis</w:t>
      </w:r>
      <w:r w:rsidRPr="003D1E07">
        <w:rPr>
          <w:rStyle w:val="Zkladntext1"/>
          <w:rFonts w:ascii="Calibri" w:eastAsia="Times" w:hAnsi="Calibri"/>
          <w:spacing w:val="0"/>
          <w:sz w:val="22"/>
          <w:u w:val="none"/>
          <w:lang w:val="cs-CZ"/>
        </w:rPr>
        <w:t>) a vzali pouze díla komentátorů (</w:t>
      </w:r>
      <w:r w:rsidRPr="003D1E07">
        <w:rPr>
          <w:i/>
          <w:lang w:val="cs-CZ"/>
        </w:rPr>
        <w:t>considerant libros expositorum</w:t>
      </w:r>
      <w:r w:rsidRPr="003D1E07">
        <w:rPr>
          <w:rStyle w:val="Zkladntext1"/>
          <w:rFonts w:ascii="Calibri" w:eastAsia="Times" w:hAnsi="Calibri"/>
          <w:spacing w:val="0"/>
          <w:sz w:val="22"/>
          <w:u w:val="none"/>
          <w:lang w:val="cs-CZ"/>
        </w:rPr>
        <w:t>). Nejvíce je to vidět v případě nauky o duši (</w:t>
      </w:r>
      <w:r w:rsidRPr="003D1E07">
        <w:rPr>
          <w:i/>
          <w:lang w:val="cs-CZ"/>
        </w:rPr>
        <w:t>maxime in anima</w:t>
      </w:r>
      <w:r w:rsidRPr="003D1E07">
        <w:rPr>
          <w:rStyle w:val="Zkladntext1"/>
          <w:rFonts w:ascii="Calibri" w:eastAsia="Times" w:hAnsi="Calibri"/>
          <w:spacing w:val="0"/>
          <w:sz w:val="22"/>
          <w:u w:val="none"/>
          <w:lang w:val="cs-CZ"/>
        </w:rPr>
        <w:t xml:space="preserve">), protože modernisté tvrdili, že Aristotelův spis </w:t>
      </w:r>
      <w:r w:rsidRPr="003D1E07">
        <w:rPr>
          <w:rStyle w:val="Zkladntext1"/>
          <w:rFonts w:ascii="Calibri" w:eastAsia="Times" w:hAnsi="Calibri"/>
          <w:i/>
          <w:spacing w:val="0"/>
          <w:sz w:val="22"/>
          <w:u w:val="none"/>
          <w:lang w:val="cs-CZ"/>
        </w:rPr>
        <w:t>O duši</w:t>
      </w:r>
      <w:r w:rsidRPr="003D1E07">
        <w:rPr>
          <w:rStyle w:val="Zkladntext1"/>
          <w:rFonts w:ascii="Calibri" w:eastAsia="Times" w:hAnsi="Calibri"/>
          <w:spacing w:val="0"/>
          <w:sz w:val="22"/>
          <w:u w:val="none"/>
          <w:lang w:val="cs-CZ"/>
        </w:rPr>
        <w:t xml:space="preserve"> není možné pochopit </w:t>
      </w:r>
      <w:r w:rsidR="0050388B" w:rsidRPr="003D1E07">
        <w:rPr>
          <w:rStyle w:val="Zkladntext1"/>
          <w:rFonts w:ascii="Calibri" w:eastAsia="Times" w:hAnsi="Calibri"/>
          <w:spacing w:val="0"/>
          <w:sz w:val="22"/>
          <w:u w:val="none"/>
          <w:lang w:val="cs-CZ"/>
        </w:rPr>
        <w:t xml:space="preserve">sám o sobě </w:t>
      </w:r>
      <w:r w:rsidRPr="003D1E07">
        <w:rPr>
          <w:rStyle w:val="Zkladntext1"/>
          <w:rFonts w:ascii="Calibri" w:eastAsia="Times" w:hAnsi="Calibri"/>
          <w:spacing w:val="0"/>
          <w:sz w:val="22"/>
          <w:u w:val="none"/>
          <w:lang w:val="cs-CZ"/>
        </w:rPr>
        <w:t>(</w:t>
      </w:r>
      <w:r w:rsidRPr="003D1E07">
        <w:rPr>
          <w:i/>
          <w:lang w:val="cs-CZ"/>
        </w:rPr>
        <w:t>iste liber impossibile est ut intelligatur</w:t>
      </w:r>
      <w:r w:rsidRPr="003D1E07">
        <w:rPr>
          <w:rStyle w:val="Zkladntext1"/>
          <w:rFonts w:ascii="Calibri" w:eastAsia="Times" w:hAnsi="Calibri"/>
          <w:spacing w:val="0"/>
          <w:sz w:val="22"/>
          <w:u w:val="none"/>
          <w:lang w:val="cs-CZ"/>
        </w:rPr>
        <w:t xml:space="preserve">). To platí zejména o Avicennovi, který Aristotela následoval pouze podle spisu </w:t>
      </w:r>
      <w:r w:rsidRPr="003D1E07">
        <w:rPr>
          <w:rStyle w:val="Zkladntext1"/>
          <w:rFonts w:ascii="Calibri" w:eastAsia="Times" w:hAnsi="Calibri"/>
          <w:i/>
          <w:spacing w:val="0"/>
          <w:sz w:val="22"/>
          <w:u w:val="none"/>
          <w:lang w:val="cs-CZ"/>
        </w:rPr>
        <w:t>Dialektika</w:t>
      </w:r>
      <w:r w:rsidRPr="003D1E07">
        <w:rPr>
          <w:rStyle w:val="Zkladntext1"/>
          <w:rFonts w:ascii="Calibri" w:eastAsia="Times" w:hAnsi="Calibri"/>
          <w:spacing w:val="0"/>
          <w:sz w:val="22"/>
          <w:u w:val="none"/>
          <w:lang w:val="cs-CZ"/>
        </w:rPr>
        <w:t xml:space="preserve">, ale v ostatních věcech se mýlil, a nejvíce ohledně spisu </w:t>
      </w:r>
      <w:r w:rsidRPr="003D1E07">
        <w:rPr>
          <w:rStyle w:val="Zkladntext1"/>
          <w:rFonts w:ascii="Calibri" w:eastAsia="Times" w:hAnsi="Calibri"/>
          <w:i/>
          <w:spacing w:val="0"/>
          <w:sz w:val="22"/>
          <w:u w:val="none"/>
          <w:lang w:val="cs-CZ"/>
        </w:rPr>
        <w:t>Metafyzika</w:t>
      </w:r>
      <w:r w:rsidRPr="003D1E07">
        <w:rPr>
          <w:rStyle w:val="Zkladntext1"/>
          <w:rFonts w:ascii="Calibri" w:eastAsia="Times" w:hAnsi="Calibri"/>
          <w:spacing w:val="0"/>
          <w:sz w:val="22"/>
          <w:u w:val="none"/>
          <w:lang w:val="cs-CZ"/>
        </w:rPr>
        <w:t xml:space="preserve"> (</w:t>
      </w:r>
      <w:r w:rsidRPr="003D1E07">
        <w:rPr>
          <w:rStyle w:val="Zkladntext1"/>
          <w:rFonts w:ascii="Calibri" w:eastAsia="Times" w:hAnsi="Calibri"/>
          <w:i/>
          <w:spacing w:val="0"/>
          <w:sz w:val="22"/>
          <w:u w:val="none"/>
          <w:lang w:val="cs-CZ"/>
        </w:rPr>
        <w:t>maxime in Metaphysica</w:t>
      </w:r>
      <w:r w:rsidRPr="003D1E07">
        <w:rPr>
          <w:rStyle w:val="Zkladntext1"/>
          <w:rFonts w:ascii="Calibri" w:eastAsia="Times" w:hAnsi="Calibri"/>
          <w:spacing w:val="0"/>
          <w:sz w:val="22"/>
          <w:u w:val="none"/>
          <w:lang w:val="cs-CZ"/>
        </w:rPr>
        <w:t>). A to</w:t>
      </w:r>
      <w:r w:rsidR="00632DAB">
        <w:rPr>
          <w:rStyle w:val="Zkladntext1"/>
          <w:rFonts w:ascii="Calibri" w:eastAsia="Times" w:hAnsi="Calibri"/>
          <w:spacing w:val="0"/>
          <w:sz w:val="22"/>
          <w:u w:val="none"/>
          <w:lang w:val="cs-CZ"/>
        </w:rPr>
        <w:t xml:space="preserve"> proto, že začal zkoumání </w:t>
      </w:r>
      <w:r w:rsidR="008E0FFE">
        <w:rPr>
          <w:rStyle w:val="Zkladntext1"/>
          <w:rFonts w:ascii="Calibri" w:eastAsia="Times" w:hAnsi="Calibri"/>
          <w:spacing w:val="0"/>
          <w:sz w:val="22"/>
          <w:u w:val="none"/>
          <w:lang w:val="cs-CZ"/>
        </w:rPr>
        <w:t xml:space="preserve">od </w:t>
      </w:r>
      <w:r w:rsidR="00632DAB">
        <w:rPr>
          <w:rStyle w:val="Zkladntext1"/>
          <w:rFonts w:ascii="Calibri" w:eastAsia="Times" w:hAnsi="Calibri"/>
          <w:spacing w:val="0"/>
          <w:sz w:val="22"/>
          <w:u w:val="none"/>
          <w:lang w:val="cs-CZ"/>
        </w:rPr>
        <w:t xml:space="preserve">svých vlastních představ </w:t>
      </w:r>
      <w:r w:rsidRPr="003D1E07">
        <w:rPr>
          <w:rStyle w:val="Zkladntext1"/>
          <w:rFonts w:ascii="Calibri" w:eastAsia="Times" w:hAnsi="Calibri"/>
          <w:spacing w:val="0"/>
          <w:sz w:val="22"/>
          <w:u w:val="none"/>
          <w:lang w:val="cs-CZ"/>
        </w:rPr>
        <w:t>(</w:t>
      </w:r>
      <w:r w:rsidRPr="003D1E07">
        <w:rPr>
          <w:rStyle w:val="Zkladntext1"/>
          <w:rFonts w:ascii="Calibri" w:eastAsia="Times" w:hAnsi="Calibri"/>
          <w:i/>
          <w:spacing w:val="0"/>
          <w:sz w:val="22"/>
          <w:u w:val="none"/>
          <w:lang w:val="cs-CZ"/>
        </w:rPr>
        <w:t>incepit quasi a se</w:t>
      </w:r>
      <w:r w:rsidRPr="003D1E07">
        <w:rPr>
          <w:rStyle w:val="Zkladntext1"/>
          <w:rFonts w:ascii="Calibri" w:eastAsia="Times" w:hAnsi="Calibri"/>
          <w:spacing w:val="0"/>
          <w:sz w:val="22"/>
          <w:u w:val="none"/>
          <w:lang w:val="cs-CZ"/>
        </w:rPr>
        <w:t>).“ </w:t>
      </w:r>
      <w:r w:rsidRPr="003D1E07">
        <w:rPr>
          <w:rStyle w:val="Znakapoznpodarou"/>
          <w:lang w:val="cs-CZ"/>
        </w:rPr>
        <w:footnoteReference w:id="287"/>
      </w:r>
    </w:p>
    <w:p w14:paraId="2EA29424" w14:textId="77777777" w:rsidR="00F10A3F" w:rsidRDefault="08C07775" w:rsidP="00A5363D">
      <w:r w:rsidRPr="003D1E07">
        <w:rPr>
          <w:lang w:eastAsia="en-US"/>
        </w:rPr>
        <w:t xml:space="preserve">Citát obhajuje aristotelské pojetí vědy a </w:t>
      </w:r>
      <w:r w:rsidRPr="003D1E07">
        <w:t xml:space="preserve">podává originální výklad spisu </w:t>
      </w:r>
      <w:r w:rsidRPr="003D1E07">
        <w:rPr>
          <w:i/>
        </w:rPr>
        <w:t>De anima</w:t>
      </w:r>
      <w:r w:rsidRPr="003D1E07">
        <w:t xml:space="preserve"> návratem k Aristotelovi. Tomu se jeho předchůdci vyhýbali pro údajnou</w:t>
      </w:r>
      <w:r w:rsidRPr="003D1E07">
        <w:rPr>
          <w:lang w:eastAsia="en-US"/>
        </w:rPr>
        <w:t xml:space="preserve"> nesrozumitelnost a obtížnost </w:t>
      </w:r>
      <w:r w:rsidR="00511182" w:rsidRPr="00511182">
        <w:rPr>
          <w:i/>
          <w:lang w:eastAsia="en-US"/>
        </w:rPr>
        <w:t>Corpus Aristotelicum</w:t>
      </w:r>
      <w:r w:rsidRPr="003D1E07">
        <w:t>. Modernisté o</w:t>
      </w:r>
      <w:r w:rsidRPr="003D1E07">
        <w:rPr>
          <w:lang w:eastAsia="en-US"/>
        </w:rPr>
        <w:t xml:space="preserve">pakovali </w:t>
      </w:r>
      <w:r w:rsidR="004A3DA3">
        <w:rPr>
          <w:lang w:eastAsia="en-US"/>
        </w:rPr>
        <w:t xml:space="preserve">problematická </w:t>
      </w:r>
      <w:r w:rsidRPr="003D1E07">
        <w:rPr>
          <w:lang w:eastAsia="en-US"/>
        </w:rPr>
        <w:t>moudra starých komentářů Korpusu, místo aby četli originá</w:t>
      </w:r>
      <w:r w:rsidR="08872B8C" w:rsidRPr="003D1E07">
        <w:rPr>
          <w:lang w:eastAsia="en-US"/>
        </w:rPr>
        <w:t xml:space="preserve">l </w:t>
      </w:r>
      <w:r w:rsidR="08872B8C" w:rsidRPr="003D1E07">
        <w:t>(</w:t>
      </w:r>
      <w:r w:rsidRPr="003D1E07">
        <w:rPr>
          <w:i/>
        </w:rPr>
        <w:t>Moderni dimittunt libros Aristotelis</w:t>
      </w:r>
      <w:r w:rsidRPr="003D1E07">
        <w:t xml:space="preserve">). </w:t>
      </w:r>
      <w:r w:rsidR="00A5363D" w:rsidRPr="00A5363D">
        <w:t xml:space="preserve">Závěrečná věta kritizuje narcistický počátek první vědy, kterou založila moderna. Avicenna </w:t>
      </w:r>
      <w:r w:rsidR="000E24B7">
        <w:t xml:space="preserve">dal </w:t>
      </w:r>
      <w:r w:rsidR="00A5363D" w:rsidRPr="00A5363D">
        <w:t xml:space="preserve">na první místo vlastní poznávající subjekt, a nikoliv první </w:t>
      </w:r>
      <w:r w:rsidR="00A5363D">
        <w:t xml:space="preserve">substanci </w:t>
      </w:r>
      <w:r w:rsidRPr="003D1E07">
        <w:t>(</w:t>
      </w:r>
      <w:r w:rsidRPr="003D1E07">
        <w:rPr>
          <w:i/>
        </w:rPr>
        <w:t>quia incepit quasi a se</w:t>
      </w:r>
      <w:r w:rsidRPr="003D1E07">
        <w:t xml:space="preserve">). </w:t>
      </w:r>
      <w:r w:rsidRPr="003D1E07">
        <w:rPr>
          <w:lang w:eastAsia="en-US"/>
        </w:rPr>
        <w:t xml:space="preserve">Averroes přesně vidí roli Avicenny, který </w:t>
      </w:r>
      <w:r w:rsidR="00812949">
        <w:rPr>
          <w:lang w:eastAsia="en-US"/>
        </w:rPr>
        <w:t xml:space="preserve">uvedl </w:t>
      </w:r>
      <w:r w:rsidRPr="003D1E07">
        <w:rPr>
          <w:lang w:eastAsia="en-US"/>
        </w:rPr>
        <w:t xml:space="preserve">do světa nový typ myšlení. </w:t>
      </w:r>
      <w:r w:rsidRPr="003D1E07">
        <w:t xml:space="preserve">Moderní filosofie dostala počátek nikoliv od první substance, ale od prvního objektivního myslitele Západu. </w:t>
      </w:r>
      <w:r w:rsidR="08026126" w:rsidRPr="003D1E07">
        <w:t xml:space="preserve">Myšlení moderny </w:t>
      </w:r>
      <w:r w:rsidR="00BC5466" w:rsidRPr="003D1E07">
        <w:t>dalo sa</w:t>
      </w:r>
      <w:r w:rsidR="00B025B7" w:rsidRPr="003D1E07">
        <w:t xml:space="preserve">mo sebe jako </w:t>
      </w:r>
      <w:r w:rsidR="08026126" w:rsidRPr="003D1E07">
        <w:t xml:space="preserve">výchozí počátek </w:t>
      </w:r>
      <w:r w:rsidR="00B025B7" w:rsidRPr="003D1E07">
        <w:t xml:space="preserve">a </w:t>
      </w:r>
      <w:r w:rsidR="000E74EA" w:rsidRPr="003D1E07">
        <w:t>přísun veškerého smyslu jsoucna (</w:t>
      </w:r>
      <w:r w:rsidR="000E74EA" w:rsidRPr="003D1E07">
        <w:rPr>
          <w:i/>
        </w:rPr>
        <w:t>Ge-Stell</w:t>
      </w:r>
      <w:r w:rsidR="00B55041" w:rsidRPr="003D1E07">
        <w:t xml:space="preserve">). Moderna stanovila </w:t>
      </w:r>
      <w:r w:rsidR="009A49F3" w:rsidRPr="003D1E07">
        <w:t xml:space="preserve">subjektivní </w:t>
      </w:r>
      <w:r w:rsidR="00FB76BD">
        <w:t xml:space="preserve">základ </w:t>
      </w:r>
      <w:r w:rsidR="00B55041" w:rsidRPr="003D1E07">
        <w:t>veškerého smyslu sama v sobě (</w:t>
      </w:r>
      <w:r w:rsidR="00B55041" w:rsidRPr="003D1E07">
        <w:rPr>
          <w:i/>
        </w:rPr>
        <w:t>incepit quasi a se</w:t>
      </w:r>
      <w:r w:rsidR="00B55041" w:rsidRPr="003D1E07">
        <w:t>). Nová m</w:t>
      </w:r>
      <w:r w:rsidR="08246596" w:rsidRPr="003D1E07">
        <w:t xml:space="preserve">etafyzika začíná od poznávajícího subjektu moderny, který dal sám sebe jako Archimédův </w:t>
      </w:r>
      <w:r w:rsidR="08246596" w:rsidRPr="003D1E07">
        <w:lastRenderedPageBreak/>
        <w:t>pevný bod, odkud po</w:t>
      </w:r>
      <w:r w:rsidR="00505059" w:rsidRPr="003D1E07">
        <w:t>hnul světem až k dnešnímu antropocénu</w:t>
      </w:r>
      <w:r w:rsidR="08246596" w:rsidRPr="003D1E07">
        <w:t xml:space="preserve">. </w:t>
      </w:r>
      <w:r w:rsidR="009B31E7" w:rsidRPr="003D1E07">
        <w:t xml:space="preserve">Citát </w:t>
      </w:r>
      <w:r w:rsidR="08026126" w:rsidRPr="003D1E07">
        <w:t xml:space="preserve">poodkrývá v modu </w:t>
      </w:r>
      <w:r w:rsidR="00411DB0" w:rsidRPr="003D1E07">
        <w:rPr>
          <w:i/>
        </w:rPr>
        <w:t>a</w:t>
      </w:r>
      <w:r w:rsidR="08026126" w:rsidRPr="003D1E07">
        <w:rPr>
          <w:i/>
        </w:rPr>
        <w:t>létheia</w:t>
      </w:r>
      <w:r w:rsidR="08026126" w:rsidRPr="003D1E07">
        <w:rPr>
          <w:i/>
        </w:rPr>
        <w:fldChar w:fldCharType="begin"/>
      </w:r>
      <w:r w:rsidR="08026126" w:rsidRPr="003D1E07">
        <w:instrText xml:space="preserve"> XE "</w:instrText>
      </w:r>
      <w:r w:rsidR="08026126" w:rsidRPr="003D1E07">
        <w:rPr>
          <w:i/>
          <w:lang w:eastAsia="en-US"/>
        </w:rPr>
        <w:instrText>a/létheia</w:instrText>
      </w:r>
      <w:r w:rsidR="08026126" w:rsidRPr="003D1E07">
        <w:instrText xml:space="preserve">" </w:instrText>
      </w:r>
      <w:r w:rsidR="08026126" w:rsidRPr="003D1E07">
        <w:rPr>
          <w:i/>
        </w:rPr>
        <w:fldChar w:fldCharType="end"/>
      </w:r>
      <w:r w:rsidR="08026126" w:rsidRPr="003D1E07">
        <w:t xml:space="preserve"> epochální </w:t>
      </w:r>
      <w:r w:rsidR="08026126" w:rsidRPr="003D1E07">
        <w:rPr>
          <w:i/>
        </w:rPr>
        <w:t>Lichtung</w:t>
      </w:r>
      <w:r w:rsidR="08026126" w:rsidRPr="003D1E07">
        <w:t xml:space="preserve"> všech následujících </w:t>
      </w:r>
      <w:r w:rsidR="08F61EBC" w:rsidRPr="003D1E07">
        <w:t xml:space="preserve">fází </w:t>
      </w:r>
      <w:r w:rsidR="08026126" w:rsidRPr="003D1E07">
        <w:t xml:space="preserve">objektivity. </w:t>
      </w:r>
      <w:r w:rsidR="08C60797" w:rsidRPr="003D1E07">
        <w:t xml:space="preserve">Citát ukazuje, že </w:t>
      </w:r>
      <w:r w:rsidRPr="003D1E07">
        <w:t xml:space="preserve">Averroes našel </w:t>
      </w:r>
      <w:r w:rsidR="08577C03" w:rsidRPr="003D1E07">
        <w:t xml:space="preserve">metafyzickou </w:t>
      </w:r>
      <w:r w:rsidRPr="003D1E07">
        <w:rPr>
          <w:i/>
        </w:rPr>
        <w:t>arché</w:t>
      </w:r>
      <w:r w:rsidRPr="003D1E07">
        <w:t xml:space="preserve"> západní objektivity a odmítl </w:t>
      </w:r>
      <w:r w:rsidR="08C60797" w:rsidRPr="003D1E07">
        <w:t xml:space="preserve">Avicennova </w:t>
      </w:r>
      <w:r w:rsidRPr="003D1E07">
        <w:t>jsoucn</w:t>
      </w:r>
      <w:r w:rsidR="08C60797" w:rsidRPr="003D1E07">
        <w:t>a</w:t>
      </w:r>
      <w:r w:rsidRPr="003D1E07">
        <w:t xml:space="preserve"> třetího druhu. Archeologie objektivity</w:t>
      </w:r>
      <w:r w:rsidRPr="003D1E07">
        <w:fldChar w:fldCharType="begin"/>
      </w:r>
      <w:r w:rsidRPr="003D1E07">
        <w:instrText xml:space="preserve"> XE "objektivita:archeologie" </w:instrText>
      </w:r>
      <w:r w:rsidRPr="003D1E07">
        <w:fldChar w:fldCharType="end"/>
      </w:r>
      <w:r w:rsidRPr="003D1E07">
        <w:t xml:space="preserve"> ukazuje, že myšlení začalo vnímat svět v modu soběstačné oddělenosti od smyslově dané reality. Moderní a postmoderní myšlení se stalo vzhledem k realitě paranoické a vzhledem k reálné existenci člověka schizofrenní. </w:t>
      </w:r>
      <w:r w:rsidRPr="003D1E07">
        <w:rPr>
          <w:lang w:eastAsia="en-US"/>
        </w:rPr>
        <w:t>Citát ukazuje na zásadní rozd</w:t>
      </w:r>
      <w:r w:rsidR="00305158" w:rsidRPr="003D1E07">
        <w:rPr>
          <w:lang w:eastAsia="en-US"/>
        </w:rPr>
        <w:t xml:space="preserve">íl </w:t>
      </w:r>
      <w:r w:rsidRPr="003D1E07">
        <w:rPr>
          <w:lang w:eastAsia="en-US"/>
        </w:rPr>
        <w:t>metafyziky ob</w:t>
      </w:r>
      <w:r w:rsidR="00736197" w:rsidRPr="003D1E07">
        <w:rPr>
          <w:lang w:eastAsia="en-US"/>
        </w:rPr>
        <w:t>ou myslitelů. H</w:t>
      </w:r>
      <w:r w:rsidRPr="003D1E07">
        <w:rPr>
          <w:lang w:eastAsia="en-US"/>
        </w:rPr>
        <w:t xml:space="preserve">ermeneutika </w:t>
      </w:r>
      <w:r w:rsidR="00736197" w:rsidRPr="003D1E07">
        <w:rPr>
          <w:lang w:eastAsia="en-US"/>
        </w:rPr>
        <w:t xml:space="preserve">jej </w:t>
      </w:r>
      <w:r w:rsidRPr="003D1E07">
        <w:rPr>
          <w:lang w:eastAsia="en-US"/>
        </w:rPr>
        <w:t>vyložila v podobě diference mezi „meta</w:t>
      </w:r>
      <w:r w:rsidRPr="003D1E07">
        <w:rPr>
          <w:lang w:eastAsia="en-US"/>
        </w:rPr>
        <w:noBreakHyphen/>
        <w:t xml:space="preserve">fyzikou“ Averroese a objektivní všeobecnou vědou Avicenny. </w:t>
      </w:r>
      <w:r w:rsidRPr="003D1E07">
        <w:rPr>
          <w:rStyle w:val="Zkladntext158dkovn0pt"/>
          <w:color w:val="auto"/>
          <w:spacing w:val="0"/>
          <w:sz w:val="24"/>
          <w:lang w:val="cs-CZ"/>
        </w:rPr>
        <w:t xml:space="preserve">Avicenna a po něm scholastičtí avicennisté jsou zaslepeni </w:t>
      </w:r>
      <w:r w:rsidR="08F716A1" w:rsidRPr="003D1E07">
        <w:rPr>
          <w:rStyle w:val="Zkladntext158dkovn0pt"/>
          <w:color w:val="auto"/>
          <w:spacing w:val="0"/>
          <w:sz w:val="24"/>
          <w:lang w:val="cs-CZ"/>
        </w:rPr>
        <w:t>i</w:t>
      </w:r>
      <w:r w:rsidRPr="003D1E07">
        <w:rPr>
          <w:rStyle w:val="Zkladntext158dkovn0pt"/>
          <w:color w:val="auto"/>
          <w:spacing w:val="0"/>
          <w:sz w:val="24"/>
          <w:lang w:val="cs-CZ"/>
        </w:rPr>
        <w:t>ntelektem</w:t>
      </w:r>
      <w:r w:rsidR="08F716A1" w:rsidRPr="003D1E07">
        <w:rPr>
          <w:rStyle w:val="Zkladntext158dkovn0pt"/>
          <w:color w:val="auto"/>
          <w:spacing w:val="0"/>
          <w:sz w:val="24"/>
          <w:lang w:val="cs-CZ"/>
        </w:rPr>
        <w:t>-sluncem</w:t>
      </w:r>
      <w:r w:rsidRPr="003D1E07">
        <w:rPr>
          <w:rStyle w:val="Zkladntext158dkovn0pt"/>
          <w:color w:val="auto"/>
          <w:spacing w:val="0"/>
          <w:sz w:val="24"/>
          <w:lang w:val="cs-CZ"/>
        </w:rPr>
        <w:t xml:space="preserve"> jako </w:t>
      </w:r>
      <w:r w:rsidR="00CE53C5" w:rsidRPr="003D1E07">
        <w:rPr>
          <w:rStyle w:val="Zkladntext158dkovn0pt"/>
          <w:color w:val="auto"/>
          <w:spacing w:val="0"/>
          <w:sz w:val="24"/>
          <w:lang w:val="cs-CZ"/>
        </w:rPr>
        <w:t xml:space="preserve">mytopoetickou </w:t>
      </w:r>
      <w:r w:rsidR="00441FB1">
        <w:rPr>
          <w:rStyle w:val="Zkladntext158dkovn0pt"/>
          <w:color w:val="auto"/>
          <w:spacing w:val="0"/>
          <w:sz w:val="24"/>
          <w:lang w:val="cs-CZ"/>
        </w:rPr>
        <w:t xml:space="preserve">entitou. Jejich metafyzický obskurantismus </w:t>
      </w:r>
      <w:r w:rsidR="002729B7" w:rsidRPr="003D1E07">
        <w:rPr>
          <w:rStyle w:val="Zkladntext158dkovn0pt"/>
          <w:color w:val="auto"/>
          <w:spacing w:val="0"/>
          <w:sz w:val="24"/>
          <w:lang w:val="cs-CZ"/>
        </w:rPr>
        <w:t>(</w:t>
      </w:r>
      <w:r w:rsidR="006F5CF6" w:rsidRPr="003D1E07">
        <w:rPr>
          <w:rStyle w:val="Zkladntext158dkovn0pt"/>
          <w:color w:val="auto"/>
          <w:spacing w:val="0"/>
          <w:sz w:val="24"/>
          <w:lang w:val="cs-CZ"/>
        </w:rPr>
        <w:t xml:space="preserve">Avicennova </w:t>
      </w:r>
      <w:r w:rsidRPr="003D1E07">
        <w:rPr>
          <w:rStyle w:val="Zkladntext158dkovn0pt"/>
          <w:i/>
          <w:color w:val="auto"/>
          <w:spacing w:val="0"/>
          <w:sz w:val="24"/>
          <w:lang w:val="cs-CZ"/>
        </w:rPr>
        <w:t>obscurity</w:t>
      </w:r>
      <w:r w:rsidRPr="003D1E07">
        <w:rPr>
          <w:rStyle w:val="Zkladntext158dkovn0pt"/>
          <w:i/>
          <w:color w:val="auto"/>
          <w:spacing w:val="0"/>
          <w:sz w:val="24"/>
          <w:lang w:val="cs-CZ"/>
        </w:rPr>
        <w:fldChar w:fldCharType="begin"/>
      </w:r>
      <w:r w:rsidRPr="003D1E07">
        <w:instrText xml:space="preserve"> XE "zatmění:substance" </w:instrText>
      </w:r>
      <w:r w:rsidRPr="003D1E07">
        <w:rPr>
          <w:rStyle w:val="Zkladntext158dkovn0pt"/>
          <w:i/>
          <w:color w:val="auto"/>
          <w:spacing w:val="0"/>
          <w:sz w:val="24"/>
          <w:lang w:val="cs-CZ"/>
        </w:rPr>
        <w:fldChar w:fldCharType="end"/>
      </w:r>
      <w:r w:rsidR="002729B7" w:rsidRPr="003D1E07">
        <w:rPr>
          <w:rStyle w:val="Zkladntext158dkovn0pt"/>
          <w:color w:val="auto"/>
          <w:spacing w:val="0"/>
          <w:sz w:val="24"/>
          <w:lang w:val="cs-CZ"/>
        </w:rPr>
        <w:t xml:space="preserve">) </w:t>
      </w:r>
      <w:r w:rsidRPr="003D1E07">
        <w:rPr>
          <w:rStyle w:val="Zkladntext158dkovn0pt"/>
          <w:color w:val="auto"/>
          <w:spacing w:val="0"/>
          <w:sz w:val="24"/>
          <w:lang w:val="cs-CZ"/>
        </w:rPr>
        <w:t xml:space="preserve">spočívá v tom, že </w:t>
      </w:r>
      <w:r w:rsidR="00176F09">
        <w:rPr>
          <w:rStyle w:val="Zkladntext158dkovn0pt"/>
          <w:color w:val="auto"/>
          <w:spacing w:val="0"/>
          <w:sz w:val="24"/>
          <w:lang w:val="cs-CZ"/>
        </w:rPr>
        <w:t xml:space="preserve">ilumináti nepochopili roli diafanum v procesu poznání. Modernisté </w:t>
      </w:r>
      <w:r w:rsidR="00406954" w:rsidRPr="003D1E07">
        <w:rPr>
          <w:rStyle w:val="Zkladntext158dkovn0pt"/>
          <w:color w:val="auto"/>
          <w:spacing w:val="0"/>
          <w:sz w:val="24"/>
          <w:lang w:val="cs-CZ"/>
        </w:rPr>
        <w:t xml:space="preserve">smysl světa </w:t>
      </w:r>
      <w:r w:rsidR="00176F09">
        <w:rPr>
          <w:rStyle w:val="Zkladntext158dkovn0pt"/>
          <w:color w:val="auto"/>
          <w:spacing w:val="0"/>
          <w:sz w:val="24"/>
          <w:lang w:val="cs-CZ"/>
        </w:rPr>
        <w:t xml:space="preserve">určují </w:t>
      </w:r>
      <w:r w:rsidR="00406954" w:rsidRPr="003D1E07">
        <w:rPr>
          <w:rStyle w:val="Zkladntext158dkovn0pt"/>
          <w:color w:val="auto"/>
          <w:spacing w:val="0"/>
          <w:sz w:val="24"/>
          <w:lang w:val="cs-CZ"/>
        </w:rPr>
        <w:t>sami od sebe</w:t>
      </w:r>
      <w:r w:rsidR="00176F09">
        <w:rPr>
          <w:rStyle w:val="Zkladntext158dkovn0pt"/>
          <w:color w:val="auto"/>
          <w:spacing w:val="0"/>
          <w:sz w:val="24"/>
          <w:lang w:val="cs-CZ"/>
        </w:rPr>
        <w:t>, od své vlastní subjektivity</w:t>
      </w:r>
      <w:r w:rsidRPr="003D1E07">
        <w:rPr>
          <w:rStyle w:val="Zkladntext158dkovn0pt"/>
          <w:color w:val="auto"/>
          <w:spacing w:val="0"/>
          <w:sz w:val="24"/>
          <w:lang w:val="cs-CZ"/>
        </w:rPr>
        <w:t xml:space="preserve">. Moderní intelekt osvícený hypostázovanými formami nakonec zrcadlí jen sám sebe. </w:t>
      </w:r>
      <w:r w:rsidR="0027679E" w:rsidRPr="003D1E07">
        <w:t>Averroes dokončil ar</w:t>
      </w:r>
      <w:r w:rsidR="08872B8C" w:rsidRPr="003D1E07">
        <w:t>istotelský výstup z neoplatonské jeskyně poznán</w:t>
      </w:r>
      <w:r w:rsidR="0027679E" w:rsidRPr="003D1E07">
        <w:t>í</w:t>
      </w:r>
      <w:r w:rsidR="00F5430B">
        <w:t>, proto byl po zásluze objektivně potrestán moderními akademiky</w:t>
      </w:r>
      <w:r w:rsidR="0027679E" w:rsidRPr="003D1E07">
        <w:t xml:space="preserve">. Komentátor </w:t>
      </w:r>
      <w:r w:rsidR="08872B8C" w:rsidRPr="003D1E07">
        <w:rPr>
          <w:rStyle w:val="FontStyle129"/>
          <w:rFonts w:ascii="Calibri" w:hAnsi="Calibri"/>
          <w:sz w:val="24"/>
        </w:rPr>
        <w:t>založil n</w:t>
      </w:r>
      <w:r w:rsidR="004F7DA4">
        <w:t>ovou první vědu. Z</w:t>
      </w:r>
      <w:r w:rsidR="006B48D8" w:rsidRPr="006B48D8">
        <w:t>ruš</w:t>
      </w:r>
      <w:r w:rsidR="004F7DA4">
        <w:t xml:space="preserve">il </w:t>
      </w:r>
      <w:r w:rsidR="00D524F0">
        <w:t>neoplatónskou metafyziku</w:t>
      </w:r>
      <w:r w:rsidR="006B48D8" w:rsidRPr="006B48D8">
        <w:t xml:space="preserve"> a </w:t>
      </w:r>
      <w:r w:rsidR="004F7DA4">
        <w:t>nastolil klasick</w:t>
      </w:r>
      <w:r w:rsidR="00D524F0">
        <w:t>ý</w:t>
      </w:r>
      <w:r w:rsidR="004F7DA4">
        <w:t xml:space="preserve"> </w:t>
      </w:r>
      <w:r w:rsidR="006B48D8" w:rsidRPr="006B48D8">
        <w:t>aristotelismu</w:t>
      </w:r>
      <w:r w:rsidR="00D524F0">
        <w:t>s</w:t>
      </w:r>
      <w:r w:rsidR="006B48D8" w:rsidRPr="006B48D8">
        <w:t>.</w:t>
      </w:r>
    </w:p>
    <w:p w14:paraId="0BFDF0DF" w14:textId="6A584B25" w:rsidR="08C07775" w:rsidRPr="003D1E07" w:rsidRDefault="08872B8C" w:rsidP="00F10A3F">
      <w:pPr>
        <w:ind w:firstLine="397"/>
      </w:pPr>
      <w:r w:rsidRPr="003D1E07">
        <w:rPr>
          <w:rStyle w:val="Zkladntext158dkovn0pt"/>
          <w:color w:val="auto"/>
          <w:spacing w:val="0"/>
          <w:sz w:val="24"/>
          <w:lang w:val="cs-CZ"/>
        </w:rPr>
        <w:t xml:space="preserve">Averroesovo pojetí </w:t>
      </w:r>
      <w:r w:rsidR="004766C5">
        <w:rPr>
          <w:rStyle w:val="Zkladntext158dkovn0pt"/>
          <w:color w:val="auto"/>
          <w:spacing w:val="0"/>
          <w:sz w:val="24"/>
          <w:lang w:val="cs-CZ"/>
        </w:rPr>
        <w:t xml:space="preserve">metafyziky </w:t>
      </w:r>
      <w:r w:rsidRPr="003D1E07">
        <w:rPr>
          <w:rStyle w:val="Zkladntext158dkovn0pt"/>
          <w:color w:val="auto"/>
          <w:spacing w:val="0"/>
          <w:sz w:val="24"/>
          <w:lang w:val="cs-CZ"/>
        </w:rPr>
        <w:t>bylo natolik novátorské a geniální, že je nikdo z jeho muslimských současníků nepochopil do hloubky, mimo jiné i vinou zániku falsafy. Celý spor o určování intelektu a jeho poznání se znovu proběhl na latinském Západě, ale v jiných dějinných podmínkách. Formálně-kauzální</w:t>
      </w:r>
      <w:r w:rsidRPr="003D1E07">
        <w:rPr>
          <w:rStyle w:val="Zkladntext158dkovn0pt"/>
          <w:i/>
          <w:color w:val="auto"/>
          <w:spacing w:val="0"/>
          <w:sz w:val="24"/>
          <w:lang w:val="cs-CZ"/>
        </w:rPr>
        <w:t xml:space="preserve"> </w:t>
      </w:r>
      <w:r w:rsidRPr="003D1E07">
        <w:rPr>
          <w:rStyle w:val="Zkladntext158dkovn0pt"/>
          <w:color w:val="auto"/>
          <w:spacing w:val="0"/>
          <w:sz w:val="24"/>
          <w:lang w:val="cs-CZ"/>
        </w:rPr>
        <w:t xml:space="preserve">roli možného intelektu následně odkryli další </w:t>
      </w:r>
      <w:r w:rsidR="003F0CA3" w:rsidRPr="003D1E07">
        <w:rPr>
          <w:rStyle w:val="Zkladntext158dkovn0pt"/>
          <w:color w:val="auto"/>
          <w:spacing w:val="0"/>
          <w:sz w:val="24"/>
          <w:lang w:val="cs-CZ"/>
        </w:rPr>
        <w:t xml:space="preserve">významní aristotelikové </w:t>
      </w:r>
      <w:r w:rsidRPr="003D1E07">
        <w:rPr>
          <w:rStyle w:val="Zkladntext158dkovn0pt"/>
          <w:color w:val="auto"/>
          <w:spacing w:val="0"/>
          <w:sz w:val="24"/>
          <w:lang w:val="cs-CZ"/>
        </w:rPr>
        <w:t xml:space="preserve">v latinské scholastice. Ti převzali Averroesův kauzálně-formální vztah pro smyslově-intelektuální abstrakci a postavili jeho schéma poznání proti avicennistickému </w:t>
      </w:r>
      <w:r w:rsidRPr="003D1E07">
        <w:rPr>
          <w:rStyle w:val="Zkladntext158dkovn0pt"/>
          <w:i/>
          <w:color w:val="auto"/>
          <w:spacing w:val="0"/>
          <w:sz w:val="24"/>
          <w:lang w:val="cs-CZ"/>
        </w:rPr>
        <w:t>illuminatio</w:t>
      </w:r>
      <w:r w:rsidRPr="003D1E07">
        <w:rPr>
          <w:rStyle w:val="Zkladntext158dkovn0pt"/>
          <w:color w:val="auto"/>
          <w:spacing w:val="0"/>
          <w:sz w:val="24"/>
          <w:lang w:val="cs-CZ"/>
        </w:rPr>
        <w:t xml:space="preserve">. </w:t>
      </w:r>
      <w:r w:rsidR="0067306F" w:rsidRPr="003D1E07">
        <w:rPr>
          <w:rStyle w:val="Zkladntext158dkovn0pt"/>
          <w:color w:val="auto"/>
          <w:spacing w:val="0"/>
          <w:sz w:val="24"/>
          <w:lang w:val="cs-CZ"/>
        </w:rPr>
        <w:t>A</w:t>
      </w:r>
      <w:r w:rsidR="08C07775" w:rsidRPr="003D1E07">
        <w:rPr>
          <w:rStyle w:val="Zkladntext158dkovn0pt"/>
          <w:color w:val="auto"/>
          <w:spacing w:val="0"/>
          <w:sz w:val="24"/>
          <w:lang w:val="cs-CZ"/>
        </w:rPr>
        <w:t>vicennovsk</w:t>
      </w:r>
      <w:r w:rsidR="0067306F" w:rsidRPr="003D1E07">
        <w:rPr>
          <w:rStyle w:val="Zkladntext158dkovn0pt"/>
          <w:color w:val="auto"/>
          <w:spacing w:val="0"/>
          <w:sz w:val="24"/>
          <w:lang w:val="cs-CZ"/>
        </w:rPr>
        <w:t>á moderna</w:t>
      </w:r>
      <w:r w:rsidR="08C07775" w:rsidRPr="003D1E07">
        <w:rPr>
          <w:rStyle w:val="Zkladntext158dkovn0pt"/>
          <w:color w:val="auto"/>
          <w:spacing w:val="0"/>
          <w:sz w:val="24"/>
          <w:lang w:val="cs-CZ"/>
        </w:rPr>
        <w:t xml:space="preserve"> a p</w:t>
      </w:r>
      <w:r w:rsidR="0067306F" w:rsidRPr="003D1E07">
        <w:rPr>
          <w:rStyle w:val="Zkladntext158dkovn0pt"/>
          <w:color w:val="auto"/>
          <w:spacing w:val="0"/>
          <w:sz w:val="24"/>
          <w:lang w:val="cs-CZ"/>
        </w:rPr>
        <w:t>ostmoderna</w:t>
      </w:r>
      <w:r w:rsidR="08C07775" w:rsidRPr="003D1E07">
        <w:rPr>
          <w:rStyle w:val="Zkladntext158dkovn0pt"/>
          <w:color w:val="auto"/>
          <w:spacing w:val="0"/>
          <w:sz w:val="24"/>
          <w:lang w:val="cs-CZ"/>
        </w:rPr>
        <w:t xml:space="preserve"> (Descartes, Arnauld</w:t>
      </w:r>
      <w:r w:rsidR="08C07775" w:rsidRPr="003D1E07">
        <w:rPr>
          <w:rStyle w:val="Zkladntext158dkovn0pt"/>
          <w:color w:val="auto"/>
          <w:spacing w:val="0"/>
          <w:sz w:val="24"/>
          <w:lang w:val="cs-CZ"/>
        </w:rPr>
        <w:fldChar w:fldCharType="begin"/>
      </w:r>
      <w:r w:rsidR="08C07775" w:rsidRPr="003D1E07">
        <w:instrText xml:space="preserve"> XE "Arnauld, A." </w:instrText>
      </w:r>
      <w:r w:rsidR="08C07775" w:rsidRPr="003D1E07">
        <w:rPr>
          <w:rStyle w:val="Zkladntext158dkovn0pt"/>
          <w:color w:val="auto"/>
          <w:spacing w:val="0"/>
          <w:sz w:val="24"/>
          <w:lang w:val="cs-CZ"/>
        </w:rPr>
        <w:fldChar w:fldCharType="end"/>
      </w:r>
      <w:r w:rsidR="08C07775" w:rsidRPr="003D1E07">
        <w:rPr>
          <w:rStyle w:val="Zkladntext158dkovn0pt"/>
          <w:color w:val="auto"/>
          <w:spacing w:val="0"/>
          <w:sz w:val="24"/>
          <w:lang w:val="cs-CZ"/>
        </w:rPr>
        <w:t>) nepotřebuj</w:t>
      </w:r>
      <w:r w:rsidR="0067306F" w:rsidRPr="003D1E07">
        <w:rPr>
          <w:rStyle w:val="Zkladntext158dkovn0pt"/>
          <w:color w:val="auto"/>
          <w:spacing w:val="0"/>
          <w:sz w:val="24"/>
          <w:lang w:val="cs-CZ"/>
        </w:rPr>
        <w:t>e</w:t>
      </w:r>
      <w:r w:rsidR="08C07775" w:rsidRPr="003D1E07">
        <w:rPr>
          <w:rStyle w:val="Zkladntext158dkovn0pt"/>
          <w:color w:val="auto"/>
          <w:spacing w:val="0"/>
          <w:sz w:val="24"/>
          <w:lang w:val="cs-CZ"/>
        </w:rPr>
        <w:t xml:space="preserve"> adekvaci danou skrze reálnou kauzalitu světa. M</w:t>
      </w:r>
      <w:r w:rsidR="08AD1476" w:rsidRPr="003D1E07">
        <w:rPr>
          <w:rStyle w:val="Zkladntext158dkovn0pt"/>
          <w:color w:val="auto"/>
          <w:spacing w:val="0"/>
          <w:sz w:val="24"/>
          <w:lang w:val="cs-CZ"/>
        </w:rPr>
        <w:t xml:space="preserve">odernisté mají </w:t>
      </w:r>
      <w:r w:rsidR="08C07775" w:rsidRPr="003D1E07">
        <w:rPr>
          <w:rStyle w:val="Zkladntext158dkovn0pt"/>
          <w:color w:val="auto"/>
          <w:spacing w:val="0"/>
          <w:sz w:val="24"/>
          <w:lang w:val="cs-CZ"/>
        </w:rPr>
        <w:t>unitární svět daný skrze objektivní ontoteologii</w:t>
      </w:r>
      <w:r w:rsidR="08C07775" w:rsidRPr="003D1E07">
        <w:rPr>
          <w:rStyle w:val="Zkladntext158dkovn0pt"/>
          <w:color w:val="auto"/>
          <w:spacing w:val="0"/>
          <w:sz w:val="24"/>
          <w:lang w:val="cs-CZ"/>
        </w:rPr>
        <w:fldChar w:fldCharType="begin"/>
      </w:r>
      <w:r w:rsidR="08C07775" w:rsidRPr="003D1E07">
        <w:instrText xml:space="preserve"> XE "</w:instrText>
      </w:r>
      <w:r w:rsidR="08C07775" w:rsidRPr="003D1E07">
        <w:rPr>
          <w:rStyle w:val="addmd"/>
        </w:rPr>
        <w:instrText>ontoteologie</w:instrText>
      </w:r>
      <w:r w:rsidR="08C07775" w:rsidRPr="003D1E07">
        <w:instrText xml:space="preserve">" </w:instrText>
      </w:r>
      <w:r w:rsidR="08C07775" w:rsidRPr="003D1E07">
        <w:rPr>
          <w:rStyle w:val="Zkladntext158dkovn0pt"/>
          <w:color w:val="auto"/>
          <w:spacing w:val="0"/>
          <w:sz w:val="24"/>
          <w:lang w:val="cs-CZ"/>
        </w:rPr>
        <w:fldChar w:fldCharType="end"/>
      </w:r>
      <w:r w:rsidR="08C07775" w:rsidRPr="003D1E07">
        <w:rPr>
          <w:rStyle w:val="Zkladntext158dkovn0pt"/>
          <w:color w:val="auto"/>
          <w:spacing w:val="0"/>
          <w:sz w:val="24"/>
          <w:lang w:val="cs-CZ"/>
        </w:rPr>
        <w:t xml:space="preserve"> </w:t>
      </w:r>
      <w:r w:rsidR="08C07775" w:rsidRPr="003D1E07">
        <w:rPr>
          <w:rStyle w:val="Zkladntext158dkovn0pt"/>
          <w:i/>
          <w:color w:val="auto"/>
          <w:spacing w:val="0"/>
          <w:sz w:val="24"/>
          <w:lang w:val="cs-CZ"/>
        </w:rPr>
        <w:t>Modernorum</w:t>
      </w:r>
      <w:r w:rsidR="08C07775" w:rsidRPr="003D1E07">
        <w:rPr>
          <w:rStyle w:val="Zkladntext158dkovn0pt"/>
          <w:color w:val="auto"/>
          <w:spacing w:val="0"/>
          <w:sz w:val="24"/>
          <w:lang w:val="cs-CZ"/>
        </w:rPr>
        <w:t xml:space="preserve"> nebo skrze postmoderní antropocentrismus různých forem </w:t>
      </w:r>
      <w:r w:rsidR="08C07775" w:rsidRPr="003D1E07">
        <w:rPr>
          <w:rStyle w:val="Zkladntext158dkovn0pt"/>
          <w:i/>
          <w:color w:val="auto"/>
          <w:spacing w:val="0"/>
          <w:sz w:val="24"/>
          <w:lang w:val="cs-CZ"/>
        </w:rPr>
        <w:t>tertium ens</w:t>
      </w:r>
      <w:r w:rsidR="007D6F83" w:rsidRPr="003D1E07">
        <w:rPr>
          <w:rStyle w:val="Zkladntext158dkovn0pt"/>
          <w:color w:val="auto"/>
          <w:spacing w:val="0"/>
          <w:sz w:val="24"/>
          <w:lang w:val="cs-CZ"/>
        </w:rPr>
        <w:t xml:space="preserve">. Současný diakosmos je </w:t>
      </w:r>
      <w:r w:rsidR="08C07775" w:rsidRPr="003D1E07">
        <w:rPr>
          <w:rStyle w:val="Zkladntext158dkovn0pt"/>
          <w:color w:val="auto"/>
          <w:spacing w:val="0"/>
          <w:sz w:val="24"/>
          <w:lang w:val="cs-CZ"/>
        </w:rPr>
        <w:t>daný v rámci nekonečné plurality jazykových her</w:t>
      </w:r>
      <w:r w:rsidR="007D6F83" w:rsidRPr="003D1E07">
        <w:rPr>
          <w:rStyle w:val="Zkladntext158dkovn0pt"/>
          <w:color w:val="auto"/>
          <w:spacing w:val="0"/>
          <w:sz w:val="24"/>
          <w:lang w:val="cs-CZ"/>
        </w:rPr>
        <w:t xml:space="preserve"> a </w:t>
      </w:r>
      <w:r w:rsidR="08C07775" w:rsidRPr="003D1E07">
        <w:rPr>
          <w:rStyle w:val="Zkladntext158dkovn0pt"/>
          <w:color w:val="auto"/>
          <w:spacing w:val="0"/>
          <w:sz w:val="24"/>
          <w:lang w:val="cs-CZ"/>
        </w:rPr>
        <w:t>kultur</w:t>
      </w:r>
      <w:r w:rsidR="007D6F83" w:rsidRPr="003D1E07">
        <w:rPr>
          <w:rStyle w:val="Zkladntext158dkovn0pt"/>
          <w:color w:val="auto"/>
          <w:spacing w:val="0"/>
          <w:sz w:val="24"/>
          <w:lang w:val="cs-CZ"/>
        </w:rPr>
        <w:t>y</w:t>
      </w:r>
      <w:r w:rsidR="08C07775" w:rsidRPr="003D1E07">
        <w:rPr>
          <w:rStyle w:val="Zkladntext158dkovn0pt"/>
          <w:color w:val="auto"/>
          <w:spacing w:val="0"/>
          <w:sz w:val="24"/>
          <w:lang w:val="cs-CZ"/>
        </w:rPr>
        <w:t xml:space="preserve"> narcistního ega.</w:t>
      </w:r>
      <w:r w:rsidR="08C07775" w:rsidRPr="003D1E07">
        <w:rPr>
          <w:rStyle w:val="Zkladntext158dkovn0pt"/>
          <w:color w:val="auto"/>
          <w:spacing w:val="0"/>
          <w:sz w:val="24"/>
          <w:szCs w:val="20"/>
          <w:shd w:val="clear" w:color="auto" w:fill="auto"/>
          <w:lang w:val="cs-CZ" w:eastAsia="en-US"/>
        </w:rPr>
        <w:t xml:space="preserve"> </w:t>
      </w:r>
      <w:r w:rsidR="08C07775" w:rsidRPr="003D1E07">
        <w:rPr>
          <w:rStyle w:val="Zkladntext158dkovn0pt"/>
          <w:color w:val="auto"/>
          <w:spacing w:val="0"/>
          <w:sz w:val="24"/>
          <w:lang w:val="cs-CZ"/>
        </w:rPr>
        <w:t xml:space="preserve">Zatmění první substance </w:t>
      </w:r>
      <w:r w:rsidR="00157C0A" w:rsidRPr="003D1E07">
        <w:rPr>
          <w:rStyle w:val="Zkladntext158dkovn0pt"/>
          <w:color w:val="auto"/>
          <w:spacing w:val="0"/>
          <w:sz w:val="24"/>
          <w:lang w:val="cs-CZ"/>
        </w:rPr>
        <w:t xml:space="preserve">začalo nasvícením </w:t>
      </w:r>
      <w:r w:rsidR="08C07775" w:rsidRPr="003D1E07">
        <w:rPr>
          <w:rStyle w:val="Zkladntext158dkovn0pt"/>
          <w:color w:val="auto"/>
          <w:spacing w:val="0"/>
          <w:sz w:val="24"/>
          <w:lang w:val="cs-CZ"/>
        </w:rPr>
        <w:t xml:space="preserve">jsoucna mimo reálně existující první substance a jejich kauzalitu zakoušenou smyslově. Neoplatonský intelekt nevidí první substanci, protože je zaslepený od aktivního intelektu a od světa </w:t>
      </w:r>
      <w:r w:rsidR="00F214C5" w:rsidRPr="003D1E07">
        <w:rPr>
          <w:rStyle w:val="Zkladntext158dkovn0pt"/>
          <w:color w:val="auto"/>
          <w:spacing w:val="0"/>
          <w:sz w:val="24"/>
          <w:lang w:val="cs-CZ"/>
        </w:rPr>
        <w:t>species</w:t>
      </w:r>
      <w:r w:rsidR="08C07775" w:rsidRPr="003D1E07">
        <w:rPr>
          <w:rStyle w:val="Zkladntext158dkovn0pt"/>
          <w:color w:val="auto"/>
          <w:spacing w:val="0"/>
          <w:sz w:val="24"/>
          <w:lang w:val="cs-CZ"/>
        </w:rPr>
        <w:t xml:space="preserve"> jako nezávislých subsistentních forem. Dnes jsou tato jsoucna třetího druhu </w:t>
      </w:r>
      <w:r w:rsidR="00104EE8" w:rsidRPr="003D1E07">
        <w:rPr>
          <w:rStyle w:val="Zkladntext158dkovn0pt"/>
          <w:color w:val="auto"/>
          <w:spacing w:val="0"/>
          <w:sz w:val="24"/>
          <w:lang w:val="cs-CZ"/>
        </w:rPr>
        <w:t>produkována v</w:t>
      </w:r>
      <w:r w:rsidR="08C07775" w:rsidRPr="003D1E07">
        <w:rPr>
          <w:rStyle w:val="Zkladntext158dkovn0pt"/>
          <w:color w:val="auto"/>
          <w:spacing w:val="0"/>
          <w:sz w:val="24"/>
          <w:lang w:val="cs-CZ"/>
        </w:rPr>
        <w:t xml:space="preserve"> rámci matematiky a informatiky</w:t>
      </w:r>
      <w:r w:rsidR="08C07775" w:rsidRPr="003D1E07">
        <w:rPr>
          <w:rStyle w:val="Zkladntext158dkovn0pt"/>
          <w:color w:val="auto"/>
          <w:spacing w:val="0"/>
          <w:sz w:val="24"/>
          <w:lang w:val="cs-CZ"/>
        </w:rPr>
        <w:fldChar w:fldCharType="begin"/>
      </w:r>
      <w:r w:rsidR="08C07775" w:rsidRPr="003D1E07">
        <w:instrText xml:space="preserve"> XE "informatika" </w:instrText>
      </w:r>
      <w:r w:rsidR="08C07775" w:rsidRPr="003D1E07">
        <w:rPr>
          <w:rStyle w:val="Zkladntext158dkovn0pt"/>
          <w:color w:val="auto"/>
          <w:spacing w:val="0"/>
          <w:sz w:val="24"/>
          <w:lang w:val="cs-CZ"/>
        </w:rPr>
        <w:fldChar w:fldCharType="end"/>
      </w:r>
      <w:r w:rsidR="08C07775" w:rsidRPr="003D1E07">
        <w:rPr>
          <w:rStyle w:val="Zkladntext158dkovn0pt"/>
          <w:color w:val="auto"/>
          <w:spacing w:val="0"/>
          <w:sz w:val="24"/>
          <w:lang w:val="cs-CZ"/>
        </w:rPr>
        <w:t xml:space="preserve">, </w:t>
      </w:r>
      <w:r w:rsidR="00104EE8" w:rsidRPr="003D1E07">
        <w:rPr>
          <w:rStyle w:val="Zkladntext158dkovn0pt"/>
          <w:color w:val="auto"/>
          <w:spacing w:val="0"/>
          <w:sz w:val="24"/>
          <w:lang w:val="cs-CZ"/>
        </w:rPr>
        <w:t xml:space="preserve">které hypostázují </w:t>
      </w:r>
      <w:r w:rsidR="08C07775" w:rsidRPr="003D1E07">
        <w:rPr>
          <w:rStyle w:val="Zkladntext158dkovn0pt"/>
          <w:color w:val="auto"/>
          <w:spacing w:val="0"/>
          <w:sz w:val="24"/>
          <w:lang w:val="cs-CZ"/>
        </w:rPr>
        <w:t>primár</w:t>
      </w:r>
      <w:r w:rsidR="00104EE8" w:rsidRPr="003D1E07">
        <w:rPr>
          <w:rStyle w:val="Zkladntext158dkovn0pt"/>
          <w:color w:val="auto"/>
          <w:spacing w:val="0"/>
          <w:sz w:val="24"/>
          <w:lang w:val="cs-CZ"/>
        </w:rPr>
        <w:t xml:space="preserve">ní a sekundární vlastnosti </w:t>
      </w:r>
      <w:r w:rsidR="00C954BB" w:rsidRPr="003D1E07">
        <w:rPr>
          <w:rStyle w:val="Zkladntext158dkovn0pt"/>
          <w:color w:val="auto"/>
          <w:spacing w:val="0"/>
          <w:sz w:val="24"/>
          <w:lang w:val="cs-CZ"/>
        </w:rPr>
        <w:t xml:space="preserve">prakticky </w:t>
      </w:r>
      <w:r w:rsidR="00104EE8" w:rsidRPr="003D1E07">
        <w:rPr>
          <w:rStyle w:val="Zkladntext158dkovn0pt"/>
          <w:color w:val="auto"/>
          <w:spacing w:val="0"/>
          <w:sz w:val="24"/>
          <w:lang w:val="cs-CZ"/>
        </w:rPr>
        <w:t>čehokoliv</w:t>
      </w:r>
      <w:r w:rsidR="08B21A5B" w:rsidRPr="003D1E07">
        <w:rPr>
          <w:rStyle w:val="Zkladntext158dkovn0pt"/>
          <w:color w:val="auto"/>
          <w:spacing w:val="0"/>
          <w:sz w:val="24"/>
          <w:lang w:val="cs-CZ"/>
        </w:rPr>
        <w:t>. V</w:t>
      </w:r>
      <w:r w:rsidR="08C07775" w:rsidRPr="003D1E07">
        <w:rPr>
          <w:rStyle w:val="Zkladntext158dkovn0pt"/>
          <w:color w:val="auto"/>
          <w:spacing w:val="0"/>
          <w:sz w:val="24"/>
          <w:lang w:val="cs-CZ"/>
        </w:rPr>
        <w:t>irtuální dluh</w:t>
      </w:r>
      <w:r w:rsidR="08B21A5B" w:rsidRPr="003D1E07">
        <w:rPr>
          <w:rStyle w:val="Zkladntext158dkovn0pt"/>
          <w:color w:val="auto"/>
          <w:spacing w:val="0"/>
          <w:sz w:val="24"/>
          <w:lang w:val="cs-CZ"/>
        </w:rPr>
        <w:t xml:space="preserve"> a finanční derivát</w:t>
      </w:r>
      <w:r w:rsidR="089E79C0" w:rsidRPr="003D1E07">
        <w:rPr>
          <w:rStyle w:val="Zkladntext158dkovn0pt"/>
          <w:color w:val="auto"/>
          <w:spacing w:val="0"/>
          <w:sz w:val="24"/>
          <w:lang w:val="cs-CZ"/>
        </w:rPr>
        <w:t>y</w:t>
      </w:r>
      <w:r w:rsidR="08B21A5B" w:rsidRPr="003D1E07">
        <w:fldChar w:fldCharType="begin"/>
      </w:r>
      <w:r w:rsidR="08B21A5B" w:rsidRPr="003D1E07">
        <w:instrText xml:space="preserve"> XE "finanční deriváty" </w:instrText>
      </w:r>
      <w:r w:rsidR="08B21A5B" w:rsidRPr="003D1E07">
        <w:fldChar w:fldCharType="end"/>
      </w:r>
      <w:r w:rsidR="08B21A5B" w:rsidRPr="003D1E07">
        <w:rPr>
          <w:rStyle w:val="Zkladntext158dkovn0pt"/>
          <w:color w:val="auto"/>
          <w:spacing w:val="0"/>
          <w:sz w:val="24"/>
          <w:lang w:val="cs-CZ"/>
        </w:rPr>
        <w:t xml:space="preserve"> představují </w:t>
      </w:r>
      <w:r w:rsidR="08C07775" w:rsidRPr="003D1E07">
        <w:rPr>
          <w:rStyle w:val="Zkladntext158dkovn0pt"/>
          <w:i/>
          <w:color w:val="auto"/>
          <w:spacing w:val="0"/>
          <w:sz w:val="24"/>
          <w:lang w:val="cs-CZ"/>
        </w:rPr>
        <w:t>tremendum fascinosum</w:t>
      </w:r>
      <w:r w:rsidR="08C07775" w:rsidRPr="003D1E07">
        <w:rPr>
          <w:rStyle w:val="Zkladntext158dkovn0pt"/>
          <w:i/>
          <w:color w:val="auto"/>
          <w:spacing w:val="0"/>
          <w:sz w:val="24"/>
          <w:lang w:val="cs-CZ"/>
        </w:rPr>
        <w:fldChar w:fldCharType="begin"/>
      </w:r>
      <w:r w:rsidR="08C07775" w:rsidRPr="003D1E07">
        <w:instrText xml:space="preserve"> XE "</w:instrText>
      </w:r>
      <w:r w:rsidR="08C07775" w:rsidRPr="003D1E07">
        <w:rPr>
          <w:rStyle w:val="Zkladntext158dkovn0pt"/>
          <w:i/>
          <w:color w:val="auto"/>
          <w:spacing w:val="0"/>
          <w:sz w:val="24"/>
          <w:lang w:val="cs-CZ"/>
        </w:rPr>
        <w:instrText>tremendum fascinosum</w:instrText>
      </w:r>
      <w:r w:rsidR="08C07775" w:rsidRPr="003D1E07">
        <w:instrText xml:space="preserve">" </w:instrText>
      </w:r>
      <w:r w:rsidR="08C07775" w:rsidRPr="003D1E07">
        <w:rPr>
          <w:rStyle w:val="Zkladntext158dkovn0pt"/>
          <w:i/>
          <w:color w:val="auto"/>
          <w:spacing w:val="0"/>
          <w:sz w:val="24"/>
          <w:lang w:val="cs-CZ"/>
        </w:rPr>
        <w:fldChar w:fldCharType="end"/>
      </w:r>
      <w:r w:rsidR="08C07775" w:rsidRPr="003D1E07">
        <w:rPr>
          <w:rStyle w:val="Zkladntext158dkovn0pt"/>
          <w:color w:val="auto"/>
          <w:spacing w:val="0"/>
          <w:sz w:val="24"/>
          <w:lang w:val="cs-CZ"/>
        </w:rPr>
        <w:t xml:space="preserve"> </w:t>
      </w:r>
      <w:r w:rsidR="009E641C" w:rsidRPr="003D1E07">
        <w:rPr>
          <w:rStyle w:val="Zkladntext158dkovn0pt"/>
          <w:color w:val="auto"/>
          <w:spacing w:val="0"/>
          <w:sz w:val="24"/>
          <w:lang w:val="cs-CZ"/>
        </w:rPr>
        <w:t xml:space="preserve">nihilistické </w:t>
      </w:r>
      <w:r w:rsidR="009E641C" w:rsidRPr="003D1E07">
        <w:rPr>
          <w:rStyle w:val="Zkladntext158dkovn0pt"/>
          <w:color w:val="auto"/>
          <w:spacing w:val="0"/>
          <w:sz w:val="24"/>
          <w:lang w:val="cs-CZ"/>
        </w:rPr>
        <w:lastRenderedPageBreak/>
        <w:t>simulákrum</w:t>
      </w:r>
      <w:r w:rsidR="0858102A" w:rsidRPr="003D1E07">
        <w:rPr>
          <w:rStyle w:val="Zkladntext158dkovn0pt"/>
          <w:color w:val="auto"/>
          <w:spacing w:val="0"/>
          <w:sz w:val="24"/>
          <w:lang w:val="cs-CZ"/>
        </w:rPr>
        <w:t xml:space="preserve">, jehož planetárně provozované orgie dnes provozují světové burzy. </w:t>
      </w:r>
      <w:r w:rsidR="08940022" w:rsidRPr="003D1E07">
        <w:rPr>
          <w:lang w:eastAsia="en-US"/>
        </w:rPr>
        <w:t>Tragické</w:t>
      </w:r>
      <w:r w:rsidR="0831274E" w:rsidRPr="003D1E07">
        <w:rPr>
          <w:lang w:eastAsia="en-US"/>
        </w:rPr>
        <w:t xml:space="preserve"> myšlení sofistických Latiníků (</w:t>
      </w:r>
      <w:r w:rsidR="0831274E" w:rsidRPr="003D1E07">
        <w:rPr>
          <w:i/>
          <w:lang w:eastAsia="en-US"/>
        </w:rPr>
        <w:t>sophistae Latini</w:t>
      </w:r>
      <w:r w:rsidR="0831274E" w:rsidRPr="003D1E07">
        <w:rPr>
          <w:i/>
          <w:lang w:eastAsia="en-US"/>
        </w:rPr>
        <w:fldChar w:fldCharType="begin"/>
      </w:r>
      <w:r w:rsidR="0831274E" w:rsidRPr="003D1E07">
        <w:instrText xml:space="preserve"> XE "</w:instrText>
      </w:r>
      <w:r w:rsidR="0831274E" w:rsidRPr="003D1E07">
        <w:rPr>
          <w:i/>
          <w:lang w:eastAsia="en-US"/>
        </w:rPr>
        <w:instrText>sophistae Latini</w:instrText>
      </w:r>
      <w:r w:rsidR="0831274E" w:rsidRPr="003D1E07">
        <w:instrText xml:space="preserve">" </w:instrText>
      </w:r>
      <w:r w:rsidR="0831274E" w:rsidRPr="003D1E07">
        <w:rPr>
          <w:i/>
          <w:lang w:eastAsia="en-US"/>
        </w:rPr>
        <w:fldChar w:fldCharType="end"/>
      </w:r>
      <w:r w:rsidR="0831274E" w:rsidRPr="003D1E07">
        <w:rPr>
          <w:lang w:eastAsia="en-US"/>
        </w:rPr>
        <w:t xml:space="preserve">) </w:t>
      </w:r>
      <w:r w:rsidR="08940022" w:rsidRPr="003D1E07">
        <w:rPr>
          <w:lang w:eastAsia="en-US"/>
        </w:rPr>
        <w:t>ve 13. století způsobilo</w:t>
      </w:r>
      <w:r w:rsidR="08C07775" w:rsidRPr="003D1E07">
        <w:rPr>
          <w:lang w:eastAsia="en-US"/>
        </w:rPr>
        <w:t>, že Averroesovo geniální řešení bylo označeno jako averroismus</w:t>
      </w:r>
      <w:r w:rsidR="0831274E" w:rsidRPr="003D1E07">
        <w:rPr>
          <w:lang w:eastAsia="en-US"/>
        </w:rPr>
        <w:t xml:space="preserve">. Bohyně pomsty využily moderní </w:t>
      </w:r>
      <w:r w:rsidR="0831274E" w:rsidRPr="003D1E07">
        <w:rPr>
          <w:i/>
          <w:lang w:eastAsia="en-US"/>
        </w:rPr>
        <w:t>hýbris</w:t>
      </w:r>
      <w:r w:rsidR="0831274E" w:rsidRPr="003D1E07">
        <w:rPr>
          <w:lang w:eastAsia="en-US"/>
        </w:rPr>
        <w:t xml:space="preserve"> iluminátů slavících vlastní mystéria </w:t>
      </w:r>
      <w:r w:rsidR="08ED2891" w:rsidRPr="003D1E07">
        <w:rPr>
          <w:lang w:eastAsia="en-US"/>
        </w:rPr>
        <w:t xml:space="preserve">osvíceného </w:t>
      </w:r>
      <w:r w:rsidR="08D34B6D" w:rsidRPr="003D1E07">
        <w:rPr>
          <w:lang w:eastAsia="en-US"/>
        </w:rPr>
        <w:t xml:space="preserve">rozumu. Fúrie </w:t>
      </w:r>
      <w:r w:rsidR="0831274E" w:rsidRPr="003D1E07">
        <w:rPr>
          <w:lang w:eastAsia="en-US"/>
        </w:rPr>
        <w:t xml:space="preserve">vytvořily </w:t>
      </w:r>
      <w:r w:rsidR="08ED2891" w:rsidRPr="003D1E07">
        <w:rPr>
          <w:lang w:eastAsia="en-US"/>
        </w:rPr>
        <w:t xml:space="preserve">nový metafyzický strašák západního myšlení </w:t>
      </w:r>
      <w:r w:rsidR="0831274E" w:rsidRPr="003D1E07">
        <w:rPr>
          <w:lang w:eastAsia="en-US"/>
        </w:rPr>
        <w:t xml:space="preserve">skrze </w:t>
      </w:r>
      <w:r w:rsidR="0831274E" w:rsidRPr="003D1E07">
        <w:rPr>
          <w:i/>
          <w:lang w:eastAsia="en-US"/>
        </w:rPr>
        <w:t>Seinsvergessenheit</w:t>
      </w:r>
      <w:r w:rsidR="0831274E" w:rsidRPr="003D1E07">
        <w:rPr>
          <w:i/>
          <w:lang w:eastAsia="en-US"/>
        </w:rPr>
        <w:fldChar w:fldCharType="begin"/>
      </w:r>
      <w:r w:rsidR="0831274E" w:rsidRPr="003D1E07">
        <w:instrText xml:space="preserve"> XE "</w:instrText>
      </w:r>
      <w:r w:rsidR="0831274E" w:rsidRPr="003D1E07">
        <w:rPr>
          <w:i/>
        </w:rPr>
        <w:instrText>Seinsvergessenheit</w:instrText>
      </w:r>
      <w:r w:rsidR="0831274E" w:rsidRPr="003D1E07">
        <w:instrText xml:space="preserve">" </w:instrText>
      </w:r>
      <w:r w:rsidR="0831274E" w:rsidRPr="003D1E07">
        <w:rPr>
          <w:i/>
          <w:lang w:eastAsia="en-US"/>
        </w:rPr>
        <w:fldChar w:fldCharType="end"/>
      </w:r>
      <w:r w:rsidR="0831274E" w:rsidRPr="003D1E07">
        <w:rPr>
          <w:lang w:eastAsia="en-US"/>
        </w:rPr>
        <w:t xml:space="preserve"> a </w:t>
      </w:r>
      <w:r w:rsidR="08D34B6D" w:rsidRPr="003D1E07">
        <w:rPr>
          <w:lang w:eastAsia="en-US"/>
        </w:rPr>
        <w:t xml:space="preserve">skrze </w:t>
      </w:r>
      <w:r w:rsidR="0831274E" w:rsidRPr="003D1E07">
        <w:rPr>
          <w:lang w:eastAsia="en-US"/>
        </w:rPr>
        <w:t xml:space="preserve">objektivistickou </w:t>
      </w:r>
      <w:r w:rsidR="0831274E" w:rsidRPr="003D1E07">
        <w:rPr>
          <w:i/>
          <w:lang w:eastAsia="en-US"/>
        </w:rPr>
        <w:t>Irre</w:t>
      </w:r>
      <w:r w:rsidR="0831274E" w:rsidRPr="003D1E07">
        <w:rPr>
          <w:i/>
          <w:lang w:eastAsia="en-US"/>
        </w:rPr>
        <w:fldChar w:fldCharType="begin"/>
      </w:r>
      <w:r w:rsidR="0831274E" w:rsidRPr="003D1E07">
        <w:instrText xml:space="preserve"> XE "</w:instrText>
      </w:r>
      <w:r w:rsidR="0831274E" w:rsidRPr="003D1E07">
        <w:rPr>
          <w:i/>
        </w:rPr>
        <w:instrText>Irre</w:instrText>
      </w:r>
      <w:r w:rsidR="0831274E" w:rsidRPr="003D1E07">
        <w:instrText xml:space="preserve">" </w:instrText>
      </w:r>
      <w:r w:rsidR="0831274E" w:rsidRPr="003D1E07">
        <w:rPr>
          <w:i/>
          <w:lang w:eastAsia="en-US"/>
        </w:rPr>
        <w:fldChar w:fldCharType="end"/>
      </w:r>
      <w:r w:rsidR="0831274E" w:rsidRPr="003D1E07">
        <w:rPr>
          <w:lang w:eastAsia="en-US"/>
        </w:rPr>
        <w:t xml:space="preserve"> západní metafyziky</w:t>
      </w:r>
      <w:r w:rsidR="08C07775" w:rsidRPr="003D1E07">
        <w:rPr>
          <w:lang w:eastAsia="en-US"/>
        </w:rPr>
        <w:t>.</w:t>
      </w:r>
    </w:p>
    <w:p w14:paraId="280E402E" w14:textId="15F33371" w:rsidR="00217096" w:rsidRPr="003D1E07" w:rsidRDefault="08A678DB" w:rsidP="08A678DB">
      <w:pPr>
        <w:pStyle w:val="Nadpis2"/>
        <w:rPr>
          <w:lang w:val="cs-CZ"/>
        </w:rPr>
      </w:pPr>
      <w:r w:rsidRPr="003D1E07">
        <w:rPr>
          <w:lang w:val="cs-CZ"/>
        </w:rPr>
        <w:br w:type="page"/>
      </w:r>
      <w:bookmarkStart w:id="72" w:name="_Toc93747287"/>
      <w:bookmarkStart w:id="73" w:name="_Toc102906177"/>
      <w:r w:rsidR="08A9721A" w:rsidRPr="003D1E07">
        <w:rPr>
          <w:lang w:val="cs-CZ"/>
        </w:rPr>
        <w:lastRenderedPageBreak/>
        <w:t>2.5</w:t>
      </w:r>
      <w:r w:rsidR="08FE3CB9" w:rsidRPr="003D1E07">
        <w:rPr>
          <w:lang w:val="cs-CZ"/>
        </w:rPr>
        <w:t xml:space="preserve"> Tragick</w:t>
      </w:r>
      <w:r w:rsidR="00043964" w:rsidRPr="003D1E07">
        <w:rPr>
          <w:lang w:val="cs-CZ"/>
        </w:rPr>
        <w:t xml:space="preserve">ý osud </w:t>
      </w:r>
      <w:r w:rsidR="006E00E2" w:rsidRPr="003D1E07">
        <w:rPr>
          <w:lang w:val="cs-CZ"/>
        </w:rPr>
        <w:t>metafyziky</w:t>
      </w:r>
      <w:bookmarkEnd w:id="72"/>
      <w:bookmarkEnd w:id="73"/>
    </w:p>
    <w:p w14:paraId="45C0DBC9" w14:textId="33295DBF" w:rsidR="0827100A" w:rsidRPr="003D1E07" w:rsidRDefault="00D15906" w:rsidP="08A678DB">
      <w:r>
        <w:t>D</w:t>
      </w:r>
      <w:r w:rsidR="005540EC">
        <w:t>ě</w:t>
      </w:r>
      <w:r>
        <w:t xml:space="preserve">jiny </w:t>
      </w:r>
      <w:r w:rsidR="005E662D">
        <w:t xml:space="preserve">objektivní západní filosofie opěvují </w:t>
      </w:r>
      <w:r>
        <w:t xml:space="preserve">vítězství </w:t>
      </w:r>
      <w:r w:rsidR="00E56F75" w:rsidRPr="003D1E07">
        <w:t>objektivní substance</w:t>
      </w:r>
      <w:r>
        <w:t xml:space="preserve">. </w:t>
      </w:r>
      <w:r w:rsidR="005E662D">
        <w:t xml:space="preserve">Každému, co jeho jest, </w:t>
      </w:r>
      <w:r w:rsidR="005E662D" w:rsidRPr="005E662D">
        <w:rPr>
          <w:i/>
        </w:rPr>
        <w:t>suum cuique</w:t>
      </w:r>
      <w:r w:rsidR="005E662D">
        <w:t xml:space="preserve">. </w:t>
      </w:r>
      <w:r>
        <w:t xml:space="preserve">Tento typ vědění </w:t>
      </w:r>
      <w:r w:rsidR="00E56F75" w:rsidRPr="003D1E07">
        <w:t xml:space="preserve">je třeba zhasnout v apollinské </w:t>
      </w:r>
      <w:r w:rsidR="00E56F75" w:rsidRPr="003D1E07">
        <w:rPr>
          <w:i/>
        </w:rPr>
        <w:t>epoché</w:t>
      </w:r>
      <w:r w:rsidR="00E56F75" w:rsidRPr="003D1E07">
        <w:rPr>
          <w:i/>
        </w:rPr>
        <w:fldChar w:fldCharType="begin"/>
      </w:r>
      <w:r w:rsidR="00E56F75" w:rsidRPr="003D1E07">
        <w:instrText xml:space="preserve"> XE "</w:instrText>
      </w:r>
      <w:r w:rsidR="00E56F75" w:rsidRPr="003D1E07">
        <w:rPr>
          <w:i/>
        </w:rPr>
        <w:instrText>epoché</w:instrText>
      </w:r>
      <w:r w:rsidR="00E56F75" w:rsidRPr="003D1E07">
        <w:instrText xml:space="preserve">" </w:instrText>
      </w:r>
      <w:r w:rsidR="00E56F75" w:rsidRPr="003D1E07">
        <w:rPr>
          <w:i/>
        </w:rPr>
        <w:fldChar w:fldCharType="end"/>
      </w:r>
      <w:r w:rsidR="00E56F75" w:rsidRPr="003D1E07">
        <w:t xml:space="preserve">, aby byl pythicky a proto sokratovsky vidět původní smysl jsoucna. </w:t>
      </w:r>
      <w:r w:rsidR="008475A5" w:rsidRPr="003D1E07">
        <w:t xml:space="preserve">Archeologie původního smyslu objektivity začíná v temnotě </w:t>
      </w:r>
      <w:r w:rsidR="005E662D">
        <w:t>jeskyně, kde se narodil Hermés</w:t>
      </w:r>
      <w:r w:rsidR="008475A5">
        <w:t xml:space="preserve">. </w:t>
      </w:r>
      <w:r w:rsidR="00E56F75" w:rsidRPr="003D1E07">
        <w:t>Archaická hermeneutika zkoumá objektivitu z múzické dráhy náhledu (</w:t>
      </w:r>
      <w:r w:rsidR="00E56F75" w:rsidRPr="003D1E07">
        <w:rPr>
          <w:i/>
        </w:rPr>
        <w:t>Vor-blickbahn</w:t>
      </w:r>
      <w:r w:rsidR="00E56F75" w:rsidRPr="003D1E07">
        <w:rPr>
          <w:i/>
        </w:rPr>
        <w:fldChar w:fldCharType="begin"/>
      </w:r>
      <w:r w:rsidR="00E56F75" w:rsidRPr="003D1E07">
        <w:instrText xml:space="preserve"> XE "</w:instrText>
      </w:r>
      <w:r w:rsidR="00E56F75" w:rsidRPr="003D1E07">
        <w:rPr>
          <w:i/>
        </w:rPr>
        <w:instrText>Vor-blickbahn</w:instrText>
      </w:r>
      <w:r w:rsidR="00E56F75" w:rsidRPr="003D1E07">
        <w:instrText xml:space="preserve">" </w:instrText>
      </w:r>
      <w:r w:rsidR="00E56F75" w:rsidRPr="003D1E07">
        <w:rPr>
          <w:i/>
        </w:rPr>
        <w:fldChar w:fldCharType="end"/>
      </w:r>
      <w:r w:rsidR="00E56F75" w:rsidRPr="003D1E07">
        <w:t xml:space="preserve">). </w:t>
      </w:r>
      <w:r w:rsidR="008475A5">
        <w:t>Její m</w:t>
      </w:r>
      <w:r w:rsidR="00E56F75" w:rsidRPr="003D1E07">
        <w:t xml:space="preserve">etodický postup začíná v temnotě </w:t>
      </w:r>
      <w:r w:rsidR="009A0873">
        <w:t>apollinského orákula</w:t>
      </w:r>
      <w:r w:rsidR="00E56F75" w:rsidRPr="003D1E07">
        <w:t>.</w:t>
      </w:r>
      <w:r w:rsidR="00E56F75">
        <w:t xml:space="preserve"> </w:t>
      </w:r>
      <w:r w:rsidR="00E74CD1" w:rsidRPr="003D1E07">
        <w:t xml:space="preserve">Vědění je třeba zhasnout v jeho objektivním významu. Kritický výklad objektivity etabloval původní akt </w:t>
      </w:r>
      <w:r w:rsidR="00E74CD1" w:rsidRPr="003D1E07">
        <w:rPr>
          <w:i/>
        </w:rPr>
        <w:t>krísis</w:t>
      </w:r>
      <w:r w:rsidR="00E74CD1" w:rsidRPr="003D1E07">
        <w:rPr>
          <w:i/>
        </w:rPr>
        <w:fldChar w:fldCharType="begin"/>
      </w:r>
      <w:r w:rsidR="00E74CD1" w:rsidRPr="003D1E07">
        <w:instrText xml:space="preserve"> XE "</w:instrText>
      </w:r>
      <w:r w:rsidR="00E74CD1" w:rsidRPr="003D1E07">
        <w:rPr>
          <w:i/>
        </w:rPr>
        <w:instrText>krísis</w:instrText>
      </w:r>
      <w:r w:rsidR="00E74CD1" w:rsidRPr="003D1E07">
        <w:instrText xml:space="preserve">" </w:instrText>
      </w:r>
      <w:r w:rsidR="00E74CD1" w:rsidRPr="003D1E07">
        <w:rPr>
          <w:i/>
        </w:rPr>
        <w:fldChar w:fldCharType="end"/>
      </w:r>
      <w:r w:rsidR="00E74CD1" w:rsidRPr="003D1E07">
        <w:t xml:space="preserve"> dané moudrostí první filosofie a tragiků. </w:t>
      </w:r>
      <w:r w:rsidR="00E74CD1" w:rsidRPr="003D1E07">
        <w:rPr>
          <w:lang w:eastAsia="en-US"/>
        </w:rPr>
        <w:t xml:space="preserve">Filosofické zamyšlení nad původem metafyziky a tím i objektivity vysvětlilo způsob, jak toto vědění vytěsnilo původní vidění a jak zakládá a nese moderní typ vědy a vzdělanosti. Výklad nemůže jít cestou objektivně dané metodologie a vědy, protože rozlišování pravdy se děje v hermeneutické triádě dějinnosti, dějin a historie. </w:t>
      </w:r>
      <w:r w:rsidR="086878FE" w:rsidRPr="003D1E07">
        <w:t xml:space="preserve">Předložený výklad objektivního vidění světa </w:t>
      </w:r>
      <w:r w:rsidR="00453CB5" w:rsidRPr="003D1E07">
        <w:t xml:space="preserve">se vyhnul popisným </w:t>
      </w:r>
      <w:r w:rsidR="086878FE" w:rsidRPr="003D1E07">
        <w:t>analýz</w:t>
      </w:r>
      <w:r w:rsidR="00453CB5" w:rsidRPr="003D1E07">
        <w:t xml:space="preserve">ám historie a ontickým </w:t>
      </w:r>
      <w:r w:rsidR="086878FE" w:rsidRPr="003D1E07">
        <w:t>dějin</w:t>
      </w:r>
      <w:r w:rsidR="00453CB5" w:rsidRPr="003D1E07">
        <w:t>ám</w:t>
      </w:r>
      <w:r w:rsidR="086878FE" w:rsidRPr="003D1E07">
        <w:t xml:space="preserve"> filosofie. </w:t>
      </w:r>
      <w:r w:rsidR="002137C7">
        <w:t>F</w:t>
      </w:r>
      <w:r w:rsidR="086878FE" w:rsidRPr="003D1E07">
        <w:t xml:space="preserve">ilosofie </w:t>
      </w:r>
      <w:r w:rsidR="002137C7">
        <w:t xml:space="preserve">se dá zkoumat i </w:t>
      </w:r>
      <w:r w:rsidR="086878FE" w:rsidRPr="003D1E07">
        <w:t xml:space="preserve">objektivně a tento typ zkoumání tvoří základ </w:t>
      </w:r>
      <w:r w:rsidR="007902FA" w:rsidRPr="003D1E07">
        <w:t xml:space="preserve">specializovaných </w:t>
      </w:r>
      <w:r w:rsidR="002137C7">
        <w:t>ontických věd</w:t>
      </w:r>
      <w:r w:rsidR="086878FE" w:rsidRPr="003D1E07">
        <w:t xml:space="preserve">. </w:t>
      </w:r>
      <w:r w:rsidR="086878FE" w:rsidRPr="003D1E07">
        <w:rPr>
          <w:lang w:eastAsia="en-US"/>
        </w:rPr>
        <w:t>Pýthie v Delfách</w:t>
      </w:r>
      <w:r w:rsidR="001773F3" w:rsidRPr="003D1E07">
        <w:rPr>
          <w:lang w:eastAsia="en-US"/>
        </w:rPr>
        <w:fldChar w:fldCharType="begin"/>
      </w:r>
      <w:r w:rsidR="001773F3" w:rsidRPr="003D1E07">
        <w:instrText xml:space="preserve"> XE "</w:instrText>
      </w:r>
      <w:r w:rsidR="001773F3" w:rsidRPr="003D1E07">
        <w:rPr>
          <w:lang w:eastAsia="en-US"/>
        </w:rPr>
        <w:instrText>Delfy</w:instrText>
      </w:r>
      <w:r w:rsidR="001773F3" w:rsidRPr="003D1E07">
        <w:instrText xml:space="preserve">" </w:instrText>
      </w:r>
      <w:r w:rsidR="001773F3" w:rsidRPr="003D1E07">
        <w:rPr>
          <w:lang w:eastAsia="en-US"/>
        </w:rPr>
        <w:fldChar w:fldCharType="end"/>
      </w:r>
      <w:r w:rsidR="086878FE" w:rsidRPr="003D1E07">
        <w:rPr>
          <w:lang w:eastAsia="en-US"/>
        </w:rPr>
        <w:t xml:space="preserve"> říká lýdskému králi Krésovi, jaké dějinné možnosti jsou skryté v jeho konkrétním jednání</w:t>
      </w:r>
      <w:r w:rsidR="08985A82" w:rsidRPr="003D1E07">
        <w:rPr>
          <w:lang w:eastAsia="en-US"/>
        </w:rPr>
        <w:t>. Pokud p</w:t>
      </w:r>
      <w:r w:rsidR="0827522E" w:rsidRPr="003D1E07">
        <w:rPr>
          <w:lang w:eastAsia="en-US"/>
        </w:rPr>
        <w:t>řekročí</w:t>
      </w:r>
      <w:r w:rsidR="08985A82" w:rsidRPr="003D1E07">
        <w:rPr>
          <w:lang w:eastAsia="en-US"/>
        </w:rPr>
        <w:t xml:space="preserve"> řeku Halys, pak zničí velkou říši (</w:t>
      </w:r>
      <w:r w:rsidR="08985A82" w:rsidRPr="003D1E07">
        <w:rPr>
          <w:i/>
          <w:lang w:eastAsia="en-US"/>
        </w:rPr>
        <w:t>Hist</w:t>
      </w:r>
      <w:r w:rsidR="08985A82" w:rsidRPr="003D1E07">
        <w:rPr>
          <w:lang w:eastAsia="en-US"/>
        </w:rPr>
        <w:t>. 1.53</w:t>
      </w:r>
      <w:r w:rsidR="08985A82" w:rsidRPr="003D1E07">
        <w:t>.13</w:t>
      </w:r>
      <w:r w:rsidR="08985A82" w:rsidRPr="003D1E07">
        <w:fldChar w:fldCharType="begin"/>
      </w:r>
      <w:r w:rsidR="08985A82" w:rsidRPr="003D1E07">
        <w:instrText xml:space="preserve"> XE "Herodotos:</w:instrText>
      </w:r>
      <w:r w:rsidR="08985A82" w:rsidRPr="003D1E07">
        <w:rPr>
          <w:i/>
          <w:lang w:eastAsia="en-US"/>
        </w:rPr>
        <w:instrText>Hist</w:instrText>
      </w:r>
      <w:r w:rsidR="08985A82" w:rsidRPr="003D1E07">
        <w:rPr>
          <w:lang w:eastAsia="en-US"/>
        </w:rPr>
        <w:instrText>. 1.53</w:instrText>
      </w:r>
      <w:r w:rsidR="08985A82" w:rsidRPr="003D1E07">
        <w:instrText xml:space="preserve">.13" </w:instrText>
      </w:r>
      <w:r w:rsidR="08985A82" w:rsidRPr="003D1E07">
        <w:fldChar w:fldCharType="end"/>
      </w:r>
      <w:r w:rsidR="08985A82" w:rsidRPr="003D1E07">
        <w:rPr>
          <w:lang w:eastAsia="en-US"/>
        </w:rPr>
        <w:t>)</w:t>
      </w:r>
      <w:r w:rsidR="08AD3EE6" w:rsidRPr="003D1E07">
        <w:rPr>
          <w:lang w:eastAsia="en-US"/>
        </w:rPr>
        <w:t xml:space="preserve">. Překročení řeky Halys mělo symbolický význam </w:t>
      </w:r>
      <w:r w:rsidR="00FD0E07" w:rsidRPr="003D1E07">
        <w:rPr>
          <w:lang w:eastAsia="en-US"/>
        </w:rPr>
        <w:t xml:space="preserve">skrytého znamení </w:t>
      </w:r>
      <w:r w:rsidR="08AD3EE6" w:rsidRPr="003D1E07">
        <w:rPr>
          <w:lang w:eastAsia="en-US"/>
        </w:rPr>
        <w:t xml:space="preserve">pro </w:t>
      </w:r>
      <w:r w:rsidR="00FD0E07" w:rsidRPr="003D1E07">
        <w:rPr>
          <w:lang w:eastAsia="en-US"/>
        </w:rPr>
        <w:t xml:space="preserve">následné </w:t>
      </w:r>
      <w:r w:rsidR="08AD3EE6" w:rsidRPr="003D1E07">
        <w:rPr>
          <w:lang w:eastAsia="en-US"/>
        </w:rPr>
        <w:t>ř</w:t>
      </w:r>
      <w:r w:rsidR="08625892" w:rsidRPr="003D1E07">
        <w:rPr>
          <w:lang w:eastAsia="en-US"/>
        </w:rPr>
        <w:t xml:space="preserve">ecko-perské války, které zkoumal </w:t>
      </w:r>
      <w:r w:rsidR="003063BA" w:rsidRPr="003D1E07">
        <w:rPr>
          <w:lang w:eastAsia="en-US"/>
        </w:rPr>
        <w:t>Hérodotos. T</w:t>
      </w:r>
      <w:r w:rsidR="08AD3EE6" w:rsidRPr="003D1E07">
        <w:rPr>
          <w:lang w:eastAsia="en-US"/>
        </w:rPr>
        <w:t xml:space="preserve">ento moudrý současník </w:t>
      </w:r>
      <w:r w:rsidR="003063BA" w:rsidRPr="003D1E07">
        <w:rPr>
          <w:lang w:eastAsia="en-US"/>
        </w:rPr>
        <w:t xml:space="preserve">prvních </w:t>
      </w:r>
      <w:r w:rsidR="08AD3EE6" w:rsidRPr="003D1E07">
        <w:rPr>
          <w:lang w:eastAsia="en-US"/>
        </w:rPr>
        <w:t>tragiků</w:t>
      </w:r>
      <w:r w:rsidR="003063BA" w:rsidRPr="003D1E07">
        <w:rPr>
          <w:lang w:eastAsia="en-US"/>
        </w:rPr>
        <w:t xml:space="preserve"> </w:t>
      </w:r>
      <w:r w:rsidR="08AD3EE6" w:rsidRPr="003D1E07">
        <w:rPr>
          <w:lang w:eastAsia="en-US"/>
        </w:rPr>
        <w:t>za</w:t>
      </w:r>
      <w:r w:rsidR="004959A0" w:rsidRPr="003D1E07">
        <w:rPr>
          <w:lang w:eastAsia="en-US"/>
        </w:rPr>
        <w:t>znamenal výrok D</w:t>
      </w:r>
      <w:r w:rsidR="08AD3EE6" w:rsidRPr="003D1E07">
        <w:rPr>
          <w:lang w:eastAsia="en-US"/>
        </w:rPr>
        <w:t>el</w:t>
      </w:r>
      <w:r w:rsidR="08754905" w:rsidRPr="003D1E07">
        <w:rPr>
          <w:lang w:eastAsia="en-US"/>
        </w:rPr>
        <w:t>f</w:t>
      </w:r>
      <w:r w:rsidR="08AD3EE6" w:rsidRPr="003D1E07">
        <w:rPr>
          <w:lang w:eastAsia="en-US"/>
        </w:rPr>
        <w:t xml:space="preserve">ské věštírny, který </w:t>
      </w:r>
      <w:r w:rsidR="00DA5FA5" w:rsidRPr="003D1E07">
        <w:rPr>
          <w:lang w:eastAsia="en-US"/>
        </w:rPr>
        <w:t xml:space="preserve">múzicky </w:t>
      </w:r>
      <w:r w:rsidR="08AD3EE6" w:rsidRPr="003D1E07">
        <w:rPr>
          <w:lang w:eastAsia="en-US"/>
        </w:rPr>
        <w:t xml:space="preserve">po-odhaluje v modu </w:t>
      </w:r>
      <w:r w:rsidR="08AD3EE6" w:rsidRPr="003D1E07">
        <w:rPr>
          <w:i/>
          <w:lang w:eastAsia="en-US"/>
        </w:rPr>
        <w:t>a/léth</w:t>
      </w:r>
      <w:r w:rsidR="0827522E" w:rsidRPr="003D1E07">
        <w:rPr>
          <w:lang w:eastAsia="en-US"/>
        </w:rPr>
        <w:t xml:space="preserve">eia dějinnost Krésova jednání. </w:t>
      </w:r>
      <w:r w:rsidR="08B519D7" w:rsidRPr="003D1E07">
        <w:rPr>
          <w:lang w:eastAsia="en-US"/>
        </w:rPr>
        <w:t>Nerozumný k</w:t>
      </w:r>
      <w:r w:rsidR="086878FE" w:rsidRPr="003D1E07">
        <w:rPr>
          <w:lang w:eastAsia="en-US"/>
        </w:rPr>
        <w:t xml:space="preserve">rál si věštbu vyložil tak, že řeku překročil a šel do </w:t>
      </w:r>
      <w:r w:rsidR="0819383C" w:rsidRPr="003D1E07">
        <w:rPr>
          <w:lang w:eastAsia="en-US"/>
        </w:rPr>
        <w:t xml:space="preserve">prohrané </w:t>
      </w:r>
      <w:r w:rsidR="086878FE" w:rsidRPr="003D1E07">
        <w:rPr>
          <w:lang w:eastAsia="en-US"/>
        </w:rPr>
        <w:t xml:space="preserve">války </w:t>
      </w:r>
      <w:r w:rsidR="0819383C" w:rsidRPr="003D1E07">
        <w:rPr>
          <w:lang w:eastAsia="en-US"/>
        </w:rPr>
        <w:t xml:space="preserve">s Peršany vedenými králem </w:t>
      </w:r>
      <w:r w:rsidR="086878FE" w:rsidRPr="003D1E07">
        <w:rPr>
          <w:lang w:eastAsia="en-US"/>
        </w:rPr>
        <w:t>Kýrem</w:t>
      </w:r>
      <w:r w:rsidR="0819383C" w:rsidRPr="003D1E07">
        <w:rPr>
          <w:lang w:eastAsia="en-US"/>
        </w:rPr>
        <w:t xml:space="preserve">. </w:t>
      </w:r>
      <w:r w:rsidR="08515293" w:rsidRPr="003D1E07">
        <w:rPr>
          <w:szCs w:val="24"/>
        </w:rPr>
        <w:t>A tím se také splnilo další proroctví o Kýrovi</w:t>
      </w:r>
      <w:r w:rsidR="003D21B0" w:rsidRPr="003D1E07">
        <w:rPr>
          <w:szCs w:val="24"/>
        </w:rPr>
        <w:t xml:space="preserve">: mula </w:t>
      </w:r>
      <w:r w:rsidR="08515293" w:rsidRPr="003D1E07">
        <w:rPr>
          <w:szCs w:val="24"/>
        </w:rPr>
        <w:t xml:space="preserve">se stala králem Médské říše </w:t>
      </w:r>
      <w:r w:rsidR="08515293" w:rsidRPr="003D1E07">
        <w:rPr>
          <w:lang w:eastAsia="en-US"/>
        </w:rPr>
        <w:t>(</w:t>
      </w:r>
      <w:r w:rsidR="08515293" w:rsidRPr="003D1E07">
        <w:rPr>
          <w:i/>
          <w:lang w:eastAsia="en-US"/>
        </w:rPr>
        <w:t>Hist</w:t>
      </w:r>
      <w:r w:rsidR="08515293" w:rsidRPr="003D1E07">
        <w:rPr>
          <w:lang w:eastAsia="en-US"/>
        </w:rPr>
        <w:t>. 1</w:t>
      </w:r>
      <w:r w:rsidR="08515293" w:rsidRPr="003D1E07">
        <w:t>.55.6</w:t>
      </w:r>
      <w:r w:rsidR="08515293" w:rsidRPr="003D1E07">
        <w:fldChar w:fldCharType="begin"/>
      </w:r>
      <w:r w:rsidR="08515293" w:rsidRPr="003D1E07">
        <w:instrText xml:space="preserve"> XE "Herodot</w:instrText>
      </w:r>
      <w:r w:rsidR="08AA0221" w:rsidRPr="003D1E07">
        <w:instrText>os</w:instrText>
      </w:r>
      <w:r w:rsidR="08515293" w:rsidRPr="003D1E07">
        <w:instrText>:</w:instrText>
      </w:r>
      <w:r w:rsidR="08515293" w:rsidRPr="003D1E07">
        <w:rPr>
          <w:i/>
          <w:lang w:eastAsia="en-US"/>
        </w:rPr>
        <w:instrText>Hist</w:instrText>
      </w:r>
      <w:r w:rsidR="08515293" w:rsidRPr="003D1E07">
        <w:rPr>
          <w:lang w:eastAsia="en-US"/>
        </w:rPr>
        <w:instrText>. 1</w:instrText>
      </w:r>
      <w:r w:rsidR="08515293" w:rsidRPr="003D1E07">
        <w:instrText xml:space="preserve">.55.6" </w:instrText>
      </w:r>
      <w:r w:rsidR="08515293" w:rsidRPr="003D1E07">
        <w:fldChar w:fldCharType="end"/>
      </w:r>
      <w:r w:rsidR="08515293" w:rsidRPr="003D1E07">
        <w:rPr>
          <w:lang w:eastAsia="en-US"/>
        </w:rPr>
        <w:t>)</w:t>
      </w:r>
      <w:r w:rsidR="08515293" w:rsidRPr="003D1E07">
        <w:rPr>
          <w:szCs w:val="24"/>
        </w:rPr>
        <w:t>.</w:t>
      </w:r>
      <w:r w:rsidR="08515293" w:rsidRPr="003D1E07">
        <w:rPr>
          <w:lang w:eastAsia="en-US"/>
        </w:rPr>
        <w:t xml:space="preserve"> </w:t>
      </w:r>
      <w:r w:rsidR="0819383C" w:rsidRPr="003D1E07">
        <w:rPr>
          <w:lang w:eastAsia="en-US"/>
        </w:rPr>
        <w:t xml:space="preserve">Tragický výklad věštby přinesl zničení říše Médů a nástup globálně úspěšných </w:t>
      </w:r>
      <w:r w:rsidR="086878FE" w:rsidRPr="003D1E07">
        <w:rPr>
          <w:lang w:eastAsia="en-US"/>
        </w:rPr>
        <w:t xml:space="preserve">Peršanů. </w:t>
      </w:r>
      <w:r w:rsidR="0819383C" w:rsidRPr="003D1E07">
        <w:rPr>
          <w:lang w:eastAsia="en-US"/>
        </w:rPr>
        <w:t xml:space="preserve">Apollinská sémantika </w:t>
      </w:r>
      <w:r w:rsidR="085959BC" w:rsidRPr="003D1E07">
        <w:rPr>
          <w:lang w:eastAsia="en-US"/>
        </w:rPr>
        <w:t xml:space="preserve">sleduje bytí </w:t>
      </w:r>
      <w:r w:rsidR="08B77C17" w:rsidRPr="003D1E07">
        <w:rPr>
          <w:lang w:eastAsia="en-US"/>
        </w:rPr>
        <w:t xml:space="preserve">skryté </w:t>
      </w:r>
      <w:r w:rsidR="085959BC" w:rsidRPr="003D1E07">
        <w:rPr>
          <w:lang w:eastAsia="en-US"/>
        </w:rPr>
        <w:t>dějinnosti</w:t>
      </w:r>
      <w:r w:rsidR="08B77C17" w:rsidRPr="003D1E07">
        <w:rPr>
          <w:lang w:eastAsia="en-US"/>
        </w:rPr>
        <w:t>, která</w:t>
      </w:r>
      <w:r w:rsidR="085959BC" w:rsidRPr="003D1E07">
        <w:rPr>
          <w:lang w:eastAsia="en-US"/>
        </w:rPr>
        <w:t xml:space="preserve"> se </w:t>
      </w:r>
      <w:r w:rsidR="001D2FDE" w:rsidRPr="003D1E07">
        <w:rPr>
          <w:lang w:eastAsia="en-US"/>
        </w:rPr>
        <w:t xml:space="preserve">ukazuje </w:t>
      </w:r>
      <w:r w:rsidR="085959BC" w:rsidRPr="003D1E07">
        <w:rPr>
          <w:lang w:eastAsia="en-US"/>
        </w:rPr>
        <w:t xml:space="preserve">v podobě </w:t>
      </w:r>
      <w:r w:rsidR="08B77C17" w:rsidRPr="003D1E07">
        <w:rPr>
          <w:lang w:eastAsia="en-US"/>
        </w:rPr>
        <w:t xml:space="preserve">múzické </w:t>
      </w:r>
      <w:r w:rsidR="085959BC" w:rsidRPr="003D1E07">
        <w:rPr>
          <w:lang w:eastAsia="en-US"/>
        </w:rPr>
        <w:t>prav</w:t>
      </w:r>
      <w:r w:rsidR="001D2FDE" w:rsidRPr="003D1E07">
        <w:rPr>
          <w:lang w:eastAsia="en-US"/>
        </w:rPr>
        <w:t>dy a klamu</w:t>
      </w:r>
      <w:r w:rsidR="08EB45ED" w:rsidRPr="003D1E07">
        <w:rPr>
          <w:lang w:eastAsia="en-US"/>
        </w:rPr>
        <w:t>. D</w:t>
      </w:r>
      <w:r w:rsidR="085959BC" w:rsidRPr="003D1E07">
        <w:rPr>
          <w:lang w:eastAsia="en-US"/>
        </w:rPr>
        <w:t xml:space="preserve">elfské orákulum </w:t>
      </w:r>
      <w:r w:rsidR="0819383C" w:rsidRPr="003D1E07">
        <w:rPr>
          <w:lang w:eastAsia="en-US"/>
        </w:rPr>
        <w:t xml:space="preserve">vidí </w:t>
      </w:r>
      <w:r w:rsidR="086878FE" w:rsidRPr="003D1E07">
        <w:rPr>
          <w:lang w:eastAsia="en-US"/>
        </w:rPr>
        <w:t xml:space="preserve">nástup epochy </w:t>
      </w:r>
      <w:r w:rsidR="08372F30" w:rsidRPr="003D1E07">
        <w:rPr>
          <w:lang w:eastAsia="en-US"/>
        </w:rPr>
        <w:t xml:space="preserve">Peršanů </w:t>
      </w:r>
      <w:r w:rsidR="086878FE" w:rsidRPr="003D1E07">
        <w:rPr>
          <w:lang w:eastAsia="en-US"/>
        </w:rPr>
        <w:t xml:space="preserve">v určitém typu rozlišování a přemýšlení, které </w:t>
      </w:r>
      <w:r w:rsidR="08625892" w:rsidRPr="003D1E07">
        <w:rPr>
          <w:lang w:eastAsia="en-US"/>
        </w:rPr>
        <w:t xml:space="preserve">pošetilý a pyšný </w:t>
      </w:r>
      <w:r w:rsidR="086878FE" w:rsidRPr="003D1E07">
        <w:rPr>
          <w:lang w:eastAsia="en-US"/>
        </w:rPr>
        <w:t xml:space="preserve">Krésos považoval za zbytečné. </w:t>
      </w:r>
      <w:r w:rsidR="00920545" w:rsidRPr="003D1E07">
        <w:rPr>
          <w:lang w:eastAsia="en-US"/>
        </w:rPr>
        <w:t>Z</w:t>
      </w:r>
      <w:r w:rsidR="08ED5223" w:rsidRPr="003D1E07">
        <w:rPr>
          <w:lang w:eastAsia="en-US"/>
        </w:rPr>
        <w:t>akladatel historie</w:t>
      </w:r>
      <w:r w:rsidR="08EE7D82" w:rsidRPr="003D1E07">
        <w:rPr>
          <w:lang w:eastAsia="en-US"/>
        </w:rPr>
        <w:fldChar w:fldCharType="begin"/>
      </w:r>
      <w:r w:rsidR="08EE7D82" w:rsidRPr="003D1E07">
        <w:instrText xml:space="preserve"> XE "Herodotos" </w:instrText>
      </w:r>
      <w:r w:rsidR="08EE7D82" w:rsidRPr="003D1E07">
        <w:rPr>
          <w:lang w:eastAsia="en-US"/>
        </w:rPr>
        <w:fldChar w:fldCharType="end"/>
      </w:r>
      <w:r w:rsidR="08ED5223" w:rsidRPr="003D1E07">
        <w:rPr>
          <w:lang w:eastAsia="en-US"/>
        </w:rPr>
        <w:t xml:space="preserve"> cituje delfskou věštbu ohledně Kýra proto, že společně s Pýthií kriticky určil přechod řeky Halys jako epochální jev</w:t>
      </w:r>
      <w:r w:rsidR="08F20BEC" w:rsidRPr="003D1E07">
        <w:rPr>
          <w:lang w:eastAsia="en-US"/>
        </w:rPr>
        <w:t xml:space="preserve"> utvářející dějiny řecko-perských válek. </w:t>
      </w:r>
      <w:r w:rsidR="08ED5223" w:rsidRPr="003D1E07">
        <w:rPr>
          <w:lang w:eastAsia="en-US"/>
        </w:rPr>
        <w:t xml:space="preserve">Správný výklad a rozlišování orákula z Delf ukázali Athéňané před bitvou u Salamíny (480 př. Kr.). Delfská věštba pravila, že </w:t>
      </w:r>
      <w:r w:rsidR="08ED5223" w:rsidRPr="003D1E07">
        <w:rPr>
          <w:iCs/>
        </w:rPr>
        <w:t>Heladě zůstanou dřevěné hradby, které vydrží nápor Peršanů</w:t>
      </w:r>
      <w:r w:rsidR="08AA0221" w:rsidRPr="003D1E07">
        <w:rPr>
          <w:iCs/>
        </w:rPr>
        <w:t xml:space="preserve"> (</w:t>
      </w:r>
      <w:r w:rsidR="08AA0221" w:rsidRPr="003D1E07">
        <w:rPr>
          <w:i/>
          <w:iCs/>
        </w:rPr>
        <w:t>Hist</w:t>
      </w:r>
      <w:r w:rsidR="08AA0221" w:rsidRPr="003D1E07">
        <w:rPr>
          <w:iCs/>
        </w:rPr>
        <w:t>. 7.141.17</w:t>
      </w:r>
      <w:r w:rsidR="08AA0221" w:rsidRPr="003D1E07">
        <w:fldChar w:fldCharType="begin"/>
      </w:r>
      <w:r w:rsidR="08AA0221" w:rsidRPr="003D1E07">
        <w:instrText xml:space="preserve"> XE "Herodotos:</w:instrText>
      </w:r>
      <w:r w:rsidR="08AA0221" w:rsidRPr="003D1E07">
        <w:rPr>
          <w:i/>
          <w:lang w:eastAsia="en-US"/>
        </w:rPr>
        <w:instrText>Hist</w:instrText>
      </w:r>
      <w:r w:rsidR="08AA0221" w:rsidRPr="003D1E07">
        <w:rPr>
          <w:lang w:eastAsia="en-US"/>
        </w:rPr>
        <w:instrText xml:space="preserve">. </w:instrText>
      </w:r>
      <w:r w:rsidR="083E5404" w:rsidRPr="003D1E07">
        <w:rPr>
          <w:lang w:eastAsia="en-US"/>
        </w:rPr>
        <w:instrText>7</w:instrText>
      </w:r>
      <w:r w:rsidR="083E5404" w:rsidRPr="003D1E07">
        <w:instrText>.141.17</w:instrText>
      </w:r>
      <w:r w:rsidR="08AA0221" w:rsidRPr="003D1E07">
        <w:instrText xml:space="preserve">" </w:instrText>
      </w:r>
      <w:r w:rsidR="08AA0221" w:rsidRPr="003D1E07">
        <w:fldChar w:fldCharType="end"/>
      </w:r>
      <w:r w:rsidR="08AA0221" w:rsidRPr="003D1E07">
        <w:rPr>
          <w:iCs/>
        </w:rPr>
        <w:t>)</w:t>
      </w:r>
      <w:r w:rsidR="08ED5223" w:rsidRPr="003D1E07">
        <w:rPr>
          <w:iCs/>
        </w:rPr>
        <w:t xml:space="preserve">. Vojevůdce </w:t>
      </w:r>
      <w:r w:rsidR="08ED5223" w:rsidRPr="003D1E07">
        <w:t xml:space="preserve">Themistoklés předložil přesvědčivý výklad věštby, podle kterého vznikla vítězná strategie Řeků. Bojovníci opustili Athény, nechali město vyplenit Peršany a </w:t>
      </w:r>
      <w:r w:rsidR="08ED5223" w:rsidRPr="003D1E07">
        <w:lastRenderedPageBreak/>
        <w:t xml:space="preserve">místo obrany hradeb vybojovali vítěznou námořní bitvu </w:t>
      </w:r>
      <w:r w:rsidR="0009549E">
        <w:t xml:space="preserve">u Salamíny </w:t>
      </w:r>
      <w:r w:rsidR="00B46BE7">
        <w:t>(480 př. Kr.)</w:t>
      </w:r>
      <w:r w:rsidR="08ED5223" w:rsidRPr="003D1E07">
        <w:t xml:space="preserve">. Vojevůdce Xerxes prohrál rozhodující bitvu řecko-perských válek, kterou skončila nadvláda Perské říše a nastala zlatá epocha athénské demokracie. </w:t>
      </w:r>
      <w:r w:rsidR="08875F67" w:rsidRPr="003D1E07">
        <w:rPr>
          <w:lang w:eastAsia="en-US"/>
        </w:rPr>
        <w:t>Moderní historio</w:t>
      </w:r>
      <w:r w:rsidR="08524DC8" w:rsidRPr="003D1E07">
        <w:rPr>
          <w:lang w:eastAsia="en-US"/>
        </w:rPr>
        <w:t xml:space="preserve">grafie považuje </w:t>
      </w:r>
      <w:r w:rsidR="08AF575F" w:rsidRPr="003D1E07">
        <w:rPr>
          <w:lang w:eastAsia="en-US"/>
        </w:rPr>
        <w:t xml:space="preserve">asi 50 delfských věšteb v Hérodotově díle </w:t>
      </w:r>
      <w:r w:rsidR="08524DC8" w:rsidRPr="003D1E07">
        <w:rPr>
          <w:lang w:eastAsia="en-US"/>
        </w:rPr>
        <w:t xml:space="preserve">za mytický pozůstatek </w:t>
      </w:r>
      <w:r w:rsidR="00E724A9" w:rsidRPr="003D1E07">
        <w:rPr>
          <w:lang w:eastAsia="en-US"/>
        </w:rPr>
        <w:t>myšlení. Jeho obdiv věšteb z Delf zbytečně kazí smysl spisu, který založil historii jako moderní vědu</w:t>
      </w:r>
      <w:r w:rsidR="08875F67" w:rsidRPr="003D1E07">
        <w:rPr>
          <w:lang w:eastAsia="en-US"/>
        </w:rPr>
        <w:t xml:space="preserve">. </w:t>
      </w:r>
      <w:r w:rsidR="082D77E4" w:rsidRPr="003D1E07">
        <w:rPr>
          <w:lang w:eastAsia="en-US"/>
        </w:rPr>
        <w:t>K</w:t>
      </w:r>
      <w:r w:rsidR="089A18FA" w:rsidRPr="003D1E07">
        <w:rPr>
          <w:lang w:eastAsia="en-US"/>
        </w:rPr>
        <w:t xml:space="preserve">riticky </w:t>
      </w:r>
      <w:r w:rsidR="082D77E4" w:rsidRPr="003D1E07">
        <w:rPr>
          <w:lang w:eastAsia="en-US"/>
        </w:rPr>
        <w:t>založená objek</w:t>
      </w:r>
      <w:r w:rsidR="089A18FA" w:rsidRPr="003D1E07">
        <w:rPr>
          <w:lang w:eastAsia="en-US"/>
        </w:rPr>
        <w:t xml:space="preserve">tivní věda musí </w:t>
      </w:r>
      <w:r w:rsidR="080D2F53" w:rsidRPr="003D1E07">
        <w:rPr>
          <w:lang w:eastAsia="en-US"/>
        </w:rPr>
        <w:t xml:space="preserve">odmítnout </w:t>
      </w:r>
      <w:r w:rsidR="082D77E4" w:rsidRPr="003D1E07">
        <w:rPr>
          <w:lang w:eastAsia="en-US"/>
        </w:rPr>
        <w:t xml:space="preserve">Hérodotovu </w:t>
      </w:r>
      <w:r w:rsidR="00B66D4E" w:rsidRPr="003D1E07">
        <w:rPr>
          <w:lang w:eastAsia="en-US"/>
        </w:rPr>
        <w:t xml:space="preserve">múzicky </w:t>
      </w:r>
      <w:r w:rsidR="082D77E4" w:rsidRPr="003D1E07">
        <w:rPr>
          <w:lang w:eastAsia="en-US"/>
        </w:rPr>
        <w:t xml:space="preserve">založenou </w:t>
      </w:r>
      <w:r w:rsidR="082D77E4" w:rsidRPr="003D1E07">
        <w:rPr>
          <w:i/>
          <w:lang w:eastAsia="en-US"/>
        </w:rPr>
        <w:t>krísis</w:t>
      </w:r>
      <w:r w:rsidR="003C6891" w:rsidRPr="003D1E07">
        <w:rPr>
          <w:i/>
          <w:lang w:eastAsia="en-US"/>
        </w:rPr>
        <w:fldChar w:fldCharType="begin"/>
      </w:r>
      <w:r w:rsidR="003C6891" w:rsidRPr="003D1E07">
        <w:instrText xml:space="preserve"> XE "</w:instrText>
      </w:r>
      <w:r w:rsidR="003C6891" w:rsidRPr="003D1E07">
        <w:rPr>
          <w:i/>
          <w:lang w:eastAsia="en-US"/>
        </w:rPr>
        <w:instrText>krísis</w:instrText>
      </w:r>
      <w:r w:rsidR="003C6891" w:rsidRPr="003D1E07">
        <w:instrText xml:space="preserve">" </w:instrText>
      </w:r>
      <w:r w:rsidR="003C6891" w:rsidRPr="003D1E07">
        <w:rPr>
          <w:i/>
          <w:lang w:eastAsia="en-US"/>
        </w:rPr>
        <w:fldChar w:fldCharType="end"/>
      </w:r>
      <w:r w:rsidR="089A18FA" w:rsidRPr="003D1E07">
        <w:rPr>
          <w:lang w:eastAsia="en-US"/>
        </w:rPr>
        <w:t xml:space="preserve">, protože </w:t>
      </w:r>
      <w:r w:rsidR="00B66D4E" w:rsidRPr="003D1E07">
        <w:rPr>
          <w:lang w:eastAsia="en-US"/>
        </w:rPr>
        <w:t xml:space="preserve">nemá jak ověřit </w:t>
      </w:r>
      <w:r w:rsidR="082D77E4" w:rsidRPr="003D1E07">
        <w:rPr>
          <w:lang w:eastAsia="en-US"/>
        </w:rPr>
        <w:t xml:space="preserve">apollinské </w:t>
      </w:r>
      <w:r w:rsidR="00B66D4E" w:rsidRPr="003D1E07">
        <w:rPr>
          <w:lang w:eastAsia="en-US"/>
        </w:rPr>
        <w:t>pojetí pravdy</w:t>
      </w:r>
      <w:r w:rsidR="08F638F2" w:rsidRPr="003D1E07">
        <w:rPr>
          <w:lang w:eastAsia="en-US"/>
        </w:rPr>
        <w:t xml:space="preserve">. </w:t>
      </w:r>
      <w:r w:rsidR="089A18FA" w:rsidRPr="003D1E07">
        <w:rPr>
          <w:lang w:eastAsia="en-US"/>
        </w:rPr>
        <w:t xml:space="preserve">A co </w:t>
      </w:r>
      <w:r w:rsidR="08910D95" w:rsidRPr="003D1E07">
        <w:rPr>
          <w:lang w:eastAsia="en-US"/>
        </w:rPr>
        <w:t xml:space="preserve">nelze objektivně ověřit, to </w:t>
      </w:r>
      <w:r w:rsidR="089A18FA" w:rsidRPr="003D1E07">
        <w:rPr>
          <w:lang w:eastAsia="en-US"/>
        </w:rPr>
        <w:t xml:space="preserve">nemá </w:t>
      </w:r>
      <w:r w:rsidR="084B30D6" w:rsidRPr="003D1E07">
        <w:rPr>
          <w:lang w:eastAsia="en-US"/>
        </w:rPr>
        <w:t xml:space="preserve">pro moderní </w:t>
      </w:r>
      <w:r w:rsidR="08910D95" w:rsidRPr="003D1E07">
        <w:rPr>
          <w:lang w:eastAsia="en-US"/>
        </w:rPr>
        <w:t>vědu</w:t>
      </w:r>
      <w:r w:rsidR="085633A5" w:rsidRPr="003D1E07">
        <w:rPr>
          <w:lang w:eastAsia="en-US"/>
        </w:rPr>
        <w:t xml:space="preserve"> žádný význam</w:t>
      </w:r>
      <w:r w:rsidR="082D77E4" w:rsidRPr="003D1E07">
        <w:rPr>
          <w:lang w:eastAsia="en-US"/>
        </w:rPr>
        <w:t xml:space="preserve">. </w:t>
      </w:r>
      <w:r w:rsidR="08AA3428" w:rsidRPr="003D1E07">
        <w:rPr>
          <w:lang w:eastAsia="en-US"/>
        </w:rPr>
        <w:t>Pr</w:t>
      </w:r>
      <w:r w:rsidR="084D2DE7" w:rsidRPr="003D1E07">
        <w:rPr>
          <w:lang w:eastAsia="en-US"/>
        </w:rPr>
        <w:t>oto byla archaická sémantika vy</w:t>
      </w:r>
      <w:r w:rsidR="08AA3428" w:rsidRPr="003D1E07">
        <w:rPr>
          <w:lang w:eastAsia="en-US"/>
        </w:rPr>
        <w:t xml:space="preserve">těsněna z vítězných </w:t>
      </w:r>
      <w:r w:rsidR="084D2DE7" w:rsidRPr="003D1E07">
        <w:rPr>
          <w:lang w:eastAsia="en-US"/>
        </w:rPr>
        <w:t>dějin objektivního myšlení</w:t>
      </w:r>
      <w:r w:rsidR="08962955" w:rsidRPr="003D1E07">
        <w:rPr>
          <w:lang w:eastAsia="en-US"/>
        </w:rPr>
        <w:t xml:space="preserve"> a z moderní formy historiografie</w:t>
      </w:r>
      <w:r w:rsidR="084D2DE7" w:rsidRPr="003D1E07">
        <w:rPr>
          <w:lang w:eastAsia="en-US"/>
        </w:rPr>
        <w:t xml:space="preserve">. </w:t>
      </w:r>
      <w:r w:rsidR="08F47425" w:rsidRPr="003D1E07">
        <w:rPr>
          <w:lang w:eastAsia="en-US"/>
        </w:rPr>
        <w:t>Z Hérodota se stal nový pseudo-Sokrates</w:t>
      </w:r>
      <w:r w:rsidR="008965B1" w:rsidRPr="003D1E07">
        <w:rPr>
          <w:lang w:eastAsia="en-US"/>
        </w:rPr>
        <w:t xml:space="preserve"> a objektivní historiografie oslavuje </w:t>
      </w:r>
      <w:r w:rsidR="08F47425" w:rsidRPr="003D1E07">
        <w:rPr>
          <w:lang w:eastAsia="en-US"/>
        </w:rPr>
        <w:t>jeho objektivně dané nanebe</w:t>
      </w:r>
      <w:r w:rsidR="008965B1" w:rsidRPr="003D1E07">
        <w:rPr>
          <w:lang w:eastAsia="en-US"/>
        </w:rPr>
        <w:t>vstoupení do vědeckého panteonu</w:t>
      </w:r>
      <w:r w:rsidR="08F47425" w:rsidRPr="003D1E07">
        <w:rPr>
          <w:lang w:eastAsia="en-US"/>
        </w:rPr>
        <w:t xml:space="preserve">. </w:t>
      </w:r>
      <w:r w:rsidR="004A2E6E" w:rsidRPr="003D1E07">
        <w:rPr>
          <w:i/>
          <w:lang w:eastAsia="en-US"/>
        </w:rPr>
        <w:t>Suum cuique</w:t>
      </w:r>
      <w:r w:rsidR="004A2E6E" w:rsidRPr="003D1E07">
        <w:rPr>
          <w:lang w:eastAsia="en-US"/>
        </w:rPr>
        <w:t xml:space="preserve">. </w:t>
      </w:r>
      <w:r w:rsidR="08F47425" w:rsidRPr="003D1E07">
        <w:rPr>
          <w:lang w:eastAsia="en-US"/>
        </w:rPr>
        <w:t xml:space="preserve">Platon zařídil </w:t>
      </w:r>
      <w:r w:rsidR="00BD03F7" w:rsidRPr="003D1E07">
        <w:rPr>
          <w:lang w:eastAsia="en-US"/>
        </w:rPr>
        <w:t>v</w:t>
      </w:r>
      <w:r w:rsidR="00BD03F7">
        <w:rPr>
          <w:lang w:eastAsia="en-US"/>
        </w:rPr>
        <w:t> </w:t>
      </w:r>
      <w:r w:rsidR="00BD03F7" w:rsidRPr="003D1E07">
        <w:rPr>
          <w:lang w:eastAsia="en-US"/>
        </w:rPr>
        <w:t>metafyzice</w:t>
      </w:r>
      <w:r w:rsidR="00BD03F7">
        <w:rPr>
          <w:lang w:eastAsia="en-US"/>
        </w:rPr>
        <w:t xml:space="preserve"> </w:t>
      </w:r>
      <w:r w:rsidR="00555144" w:rsidRPr="003D1E07">
        <w:rPr>
          <w:lang w:eastAsia="en-US"/>
        </w:rPr>
        <w:t xml:space="preserve">stejné nanebevstoupení </w:t>
      </w:r>
      <w:r w:rsidR="08F47425" w:rsidRPr="003D1E07">
        <w:rPr>
          <w:lang w:eastAsia="en-US"/>
        </w:rPr>
        <w:t>pro Sokratovo</w:t>
      </w:r>
      <w:r w:rsidR="00BD03F7">
        <w:rPr>
          <w:lang w:eastAsia="en-US"/>
        </w:rPr>
        <w:t xml:space="preserve"> simulákrum</w:t>
      </w:r>
      <w:r w:rsidR="08F47425" w:rsidRPr="003D1E07">
        <w:rPr>
          <w:lang w:eastAsia="en-US"/>
        </w:rPr>
        <w:t xml:space="preserve">. Moderní troglodyté si vyzdobili </w:t>
      </w:r>
      <w:r w:rsidR="000E23BA">
        <w:rPr>
          <w:lang w:eastAsia="en-US"/>
        </w:rPr>
        <w:t xml:space="preserve">platonskou jeskyni objektivními ikonami </w:t>
      </w:r>
      <w:r w:rsidR="08F47425" w:rsidRPr="003D1E07">
        <w:rPr>
          <w:lang w:eastAsia="en-US"/>
        </w:rPr>
        <w:t xml:space="preserve">svých zakladatelů. Tuto antikvární a monumentární formu idolatrie přesně viděl Nietzsche pohrdající nihilistickými formami historie. Fenomény a znamení, která moderna nemá jak vidět, </w:t>
      </w:r>
      <w:r w:rsidR="00227B01">
        <w:rPr>
          <w:lang w:eastAsia="en-US"/>
        </w:rPr>
        <w:t xml:space="preserve">ty musí </w:t>
      </w:r>
      <w:r w:rsidR="08F47425" w:rsidRPr="003D1E07">
        <w:rPr>
          <w:lang w:eastAsia="en-US"/>
        </w:rPr>
        <w:t xml:space="preserve">logicky a nutně </w:t>
      </w:r>
      <w:r w:rsidR="00227B01">
        <w:rPr>
          <w:lang w:eastAsia="en-US"/>
        </w:rPr>
        <w:t>u</w:t>
      </w:r>
      <w:r w:rsidR="08F47425" w:rsidRPr="003D1E07">
        <w:rPr>
          <w:lang w:eastAsia="en-US"/>
        </w:rPr>
        <w:t xml:space="preserve">mlčet. </w:t>
      </w:r>
      <w:r w:rsidR="08610490" w:rsidRPr="003D1E07">
        <w:rPr>
          <w:lang w:eastAsia="en-US"/>
        </w:rPr>
        <w:t xml:space="preserve">Kritický výklad dějin filosofie </w:t>
      </w:r>
      <w:r w:rsidR="084504E0" w:rsidRPr="003D1E07">
        <w:rPr>
          <w:lang w:eastAsia="en-US"/>
        </w:rPr>
        <w:t xml:space="preserve">naopak </w:t>
      </w:r>
      <w:r w:rsidR="08610490" w:rsidRPr="003D1E07">
        <w:rPr>
          <w:lang w:eastAsia="en-US"/>
        </w:rPr>
        <w:t>sleduje skrytá znamení ustavující původní sémantiku dějinnosti</w:t>
      </w:r>
      <w:r w:rsidR="084337BD" w:rsidRPr="003D1E07">
        <w:fldChar w:fldCharType="begin"/>
      </w:r>
      <w:r w:rsidR="084337BD" w:rsidRPr="003D1E07">
        <w:instrText xml:space="preserve"> XE "dějinnost" </w:instrText>
      </w:r>
      <w:r w:rsidR="084337BD" w:rsidRPr="003D1E07">
        <w:fldChar w:fldCharType="end"/>
      </w:r>
      <w:r w:rsidR="08610490" w:rsidRPr="003D1E07">
        <w:rPr>
          <w:lang w:eastAsia="en-US"/>
        </w:rPr>
        <w:t xml:space="preserve">. </w:t>
      </w:r>
      <w:r w:rsidR="085264F8" w:rsidRPr="003D1E07">
        <w:rPr>
          <w:lang w:eastAsia="en-US"/>
        </w:rPr>
        <w:t xml:space="preserve">Myšlení Hérodota a Sokrata a na nich založené hermeneutiky není determinováno tehdejší mytopoetikou moderních athénských sofistů a jejich akademických nástupců. </w:t>
      </w:r>
      <w:r w:rsidR="085633A5" w:rsidRPr="003D1E07">
        <w:t>Na rozdíl od objektivistické historiografie dneška Hérodotos dobře věděl, že archegetický dativ</w:t>
      </w:r>
      <w:r w:rsidR="00513AA1" w:rsidRPr="003D1E07">
        <w:t xml:space="preserve"> </w:t>
      </w:r>
      <w:r w:rsidR="00513AA1" w:rsidRPr="003D1E07">
        <w:rPr>
          <w:noProof w:val="0"/>
          <w:lang w:eastAsia="en-US"/>
        </w:rPr>
        <w:t>(</w:t>
      </w:r>
      <w:r w:rsidR="00513AA1" w:rsidRPr="003D1E07">
        <w:rPr>
          <w:i/>
          <w:noProof w:val="0"/>
          <w:lang w:eastAsia="en-US"/>
        </w:rPr>
        <w:t>dativus archegeticus</w:t>
      </w:r>
      <w:r w:rsidR="00513AA1" w:rsidRPr="003D1E07">
        <w:rPr>
          <w:noProof w:val="0"/>
          <w:lang w:eastAsia="en-US"/>
        </w:rPr>
        <w:t>)</w:t>
      </w:r>
      <w:r w:rsidR="085633A5" w:rsidRPr="003D1E07">
        <w:fldChar w:fldCharType="begin"/>
      </w:r>
      <w:r w:rsidR="085633A5" w:rsidRPr="003D1E07">
        <w:instrText xml:space="preserve"> XE "</w:instrText>
      </w:r>
      <w:r w:rsidR="085633A5" w:rsidRPr="003D1E07">
        <w:rPr>
          <w:i/>
        </w:rPr>
        <w:instrText xml:space="preserve">dativus </w:instrText>
      </w:r>
      <w:r w:rsidR="08E22F7A" w:rsidRPr="003D1E07">
        <w:rPr>
          <w:i/>
        </w:rPr>
        <w:instrText>archegeticus</w:instrText>
      </w:r>
      <w:r w:rsidR="085633A5" w:rsidRPr="003D1E07">
        <w:instrText xml:space="preserve">" </w:instrText>
      </w:r>
      <w:r w:rsidR="085633A5" w:rsidRPr="003D1E07">
        <w:fldChar w:fldCharType="end"/>
      </w:r>
      <w:r w:rsidR="085633A5" w:rsidRPr="003D1E07">
        <w:t xml:space="preserve"> </w:t>
      </w:r>
      <w:r w:rsidR="00513AA1" w:rsidRPr="003D1E07">
        <w:t xml:space="preserve">zvěstovaný v </w:t>
      </w:r>
      <w:r w:rsidR="085633A5" w:rsidRPr="003D1E07">
        <w:t>Delf</w:t>
      </w:r>
      <w:r w:rsidR="00513AA1" w:rsidRPr="003D1E07">
        <w:t>ách</w:t>
      </w:r>
      <w:r w:rsidR="085633A5" w:rsidRPr="003D1E07">
        <w:t xml:space="preserve"> </w:t>
      </w:r>
      <w:r w:rsidR="00AD081C">
        <w:t xml:space="preserve">manifestoval smysl </w:t>
      </w:r>
      <w:r w:rsidR="00F74D84" w:rsidRPr="003D1E07">
        <w:t>tehdejší</w:t>
      </w:r>
      <w:r w:rsidR="00AD081C">
        <w:t>ch</w:t>
      </w:r>
      <w:r w:rsidR="00513AA1" w:rsidRPr="003D1E07">
        <w:t xml:space="preserve"> </w:t>
      </w:r>
      <w:r w:rsidR="00AD081C">
        <w:t>světových</w:t>
      </w:r>
      <w:r w:rsidR="008166FC" w:rsidRPr="003D1E07">
        <w:t xml:space="preserve"> </w:t>
      </w:r>
      <w:r w:rsidR="085633A5" w:rsidRPr="003D1E07">
        <w:t xml:space="preserve">dějin. </w:t>
      </w:r>
      <w:r w:rsidR="08162B94" w:rsidRPr="003D1E07">
        <w:rPr>
          <w:szCs w:val="24"/>
        </w:rPr>
        <w:t>Pythie věštila plnost budoucích dějů v modu pythické pravdy (</w:t>
      </w:r>
      <w:r w:rsidR="08162B94" w:rsidRPr="003D1E07">
        <w:rPr>
          <w:i/>
          <w:szCs w:val="24"/>
        </w:rPr>
        <w:t>a/létheia</w:t>
      </w:r>
      <w:r w:rsidR="08162B94" w:rsidRPr="003D1E07">
        <w:rPr>
          <w:szCs w:val="24"/>
        </w:rPr>
        <w:t>), která nerozlišeně zahrnuje minulost, přítomnost a budoucnost (</w:t>
      </w:r>
      <w:r w:rsidR="08162B94" w:rsidRPr="003D1E07">
        <w:rPr>
          <w:i/>
          <w:szCs w:val="24"/>
        </w:rPr>
        <w:t>Ilias</w:t>
      </w:r>
      <w:r w:rsidR="08162B94" w:rsidRPr="003D1E07">
        <w:rPr>
          <w:szCs w:val="24"/>
        </w:rPr>
        <w:t xml:space="preserve"> 1.70</w:t>
      </w:r>
      <w:r w:rsidR="08162B94" w:rsidRPr="003D1E07">
        <w:rPr>
          <w:szCs w:val="24"/>
        </w:rPr>
        <w:fldChar w:fldCharType="begin"/>
      </w:r>
      <w:r w:rsidR="08162B94" w:rsidRPr="003D1E07">
        <w:instrText xml:space="preserve"> XE "Homer:</w:instrText>
      </w:r>
      <w:r w:rsidR="08162B94" w:rsidRPr="003D1E07">
        <w:rPr>
          <w:i/>
          <w:szCs w:val="24"/>
        </w:rPr>
        <w:instrText>Ilias</w:instrText>
      </w:r>
      <w:r w:rsidR="08162B94" w:rsidRPr="003D1E07">
        <w:rPr>
          <w:szCs w:val="24"/>
        </w:rPr>
        <w:instrText xml:space="preserve"> 1.70</w:instrText>
      </w:r>
      <w:r w:rsidR="08162B94" w:rsidRPr="003D1E07">
        <w:instrText xml:space="preserve">" </w:instrText>
      </w:r>
      <w:r w:rsidR="08162B94" w:rsidRPr="003D1E07">
        <w:rPr>
          <w:szCs w:val="24"/>
        </w:rPr>
        <w:fldChar w:fldCharType="end"/>
      </w:r>
      <w:r w:rsidR="08162B94" w:rsidRPr="003D1E07">
        <w:rPr>
          <w:szCs w:val="24"/>
        </w:rPr>
        <w:t>). Tento typ věštecké pravdy Herodotos zpětně potvrdil jako historik v modu plné dějinné manifestace pythické pravdy a klamu (</w:t>
      </w:r>
      <w:r w:rsidR="08162B94" w:rsidRPr="003D1E07">
        <w:rPr>
          <w:i/>
          <w:szCs w:val="24"/>
        </w:rPr>
        <w:t>alétheia</w:t>
      </w:r>
      <w:r w:rsidR="08162B94" w:rsidRPr="003D1E07">
        <w:rPr>
          <w:szCs w:val="24"/>
        </w:rPr>
        <w:t xml:space="preserve">). Herodotos </w:t>
      </w:r>
      <w:r w:rsidR="08162B94" w:rsidRPr="003D1E07">
        <w:t>vyložil citovaná orákula Pýthie stejně kriticky jako Sokrates</w:t>
      </w:r>
      <w:r w:rsidR="0050433D" w:rsidRPr="003D1E07">
        <w:t xml:space="preserve"> vyložil slavnou věštbu ohledně jeho osoby</w:t>
      </w:r>
      <w:r w:rsidR="08162B94" w:rsidRPr="003D1E07">
        <w:t xml:space="preserve">. Jeho hledání pravdy řešilo smysl věštby Delf, která v modu pythické dějinnosti </w:t>
      </w:r>
      <w:r w:rsidR="0002544F" w:rsidRPr="003D1E07">
        <w:t xml:space="preserve">rekapitulovala </w:t>
      </w:r>
      <w:r w:rsidR="08162B94" w:rsidRPr="003D1E07">
        <w:t xml:space="preserve">jeho minulý, přítomný a budoucí osud. </w:t>
      </w:r>
      <w:r w:rsidR="085633A5" w:rsidRPr="003D1E07">
        <w:t>Skrytým archegetickým působením Delf</w:t>
      </w:r>
      <w:r w:rsidR="08F463D5" w:rsidRPr="003D1E07">
        <w:fldChar w:fldCharType="begin"/>
      </w:r>
      <w:r w:rsidR="08F463D5" w:rsidRPr="003D1E07">
        <w:instrText xml:space="preserve"> XE "Delfy" </w:instrText>
      </w:r>
      <w:r w:rsidR="08F463D5" w:rsidRPr="003D1E07">
        <w:fldChar w:fldCharType="end"/>
      </w:r>
      <w:r w:rsidR="085633A5" w:rsidRPr="003D1E07">
        <w:t xml:space="preserve"> vznikla </w:t>
      </w:r>
      <w:r w:rsidR="08093341" w:rsidRPr="003D1E07">
        <w:t xml:space="preserve">dvojí </w:t>
      </w:r>
      <w:r w:rsidR="085633A5" w:rsidRPr="003D1E07">
        <w:t>múzická podoba moudrosti</w:t>
      </w:r>
      <w:r w:rsidR="08093341" w:rsidRPr="003D1E07">
        <w:t xml:space="preserve"> v podobě filosofie a historie</w:t>
      </w:r>
      <w:r w:rsidR="085633A5" w:rsidRPr="003D1E07">
        <w:t xml:space="preserve">, která epochálně poznamenala nové vidění světa. </w:t>
      </w:r>
      <w:r w:rsidR="0039389B" w:rsidRPr="003D1E07">
        <w:t xml:space="preserve">Toto </w:t>
      </w:r>
      <w:r w:rsidR="00621156" w:rsidRPr="003D1E07">
        <w:t>působení apolinské pravdy (</w:t>
      </w:r>
      <w:r w:rsidR="00621156" w:rsidRPr="003D1E07">
        <w:rPr>
          <w:i/>
        </w:rPr>
        <w:t>Wirkunsgeschichte</w:t>
      </w:r>
      <w:r w:rsidR="00621156" w:rsidRPr="003D1E07">
        <w:t xml:space="preserve">) </w:t>
      </w:r>
      <w:r w:rsidR="0039389B" w:rsidRPr="003D1E07">
        <w:t xml:space="preserve">je </w:t>
      </w:r>
      <w:r w:rsidR="00EE4682" w:rsidRPr="003D1E07">
        <w:t xml:space="preserve">zásadně </w:t>
      </w:r>
      <w:r w:rsidR="007C356D" w:rsidRPr="003D1E07">
        <w:t>důležité. Apolló</w:t>
      </w:r>
      <w:r w:rsidR="0039389B" w:rsidRPr="003D1E07">
        <w:t xml:space="preserve">nská sémantika zakládá </w:t>
      </w:r>
      <w:r w:rsidR="007C356D" w:rsidRPr="003D1E07">
        <w:t xml:space="preserve">dějinnost </w:t>
      </w:r>
      <w:r w:rsidR="0039389B" w:rsidRPr="003D1E07">
        <w:t xml:space="preserve">filosofie v její archaické </w:t>
      </w:r>
      <w:r w:rsidR="0039389B" w:rsidRPr="003D1E07">
        <w:rPr>
          <w:i/>
        </w:rPr>
        <w:t>a/létheia</w:t>
      </w:r>
      <w:r w:rsidR="0039389B" w:rsidRPr="003D1E07">
        <w:t xml:space="preserve"> (</w:t>
      </w:r>
      <w:r w:rsidR="0039389B" w:rsidRPr="003D1E07">
        <w:rPr>
          <w:i/>
        </w:rPr>
        <w:t>dativus archegeticus</w:t>
      </w:r>
      <w:r w:rsidR="0039389B" w:rsidRPr="003D1E07">
        <w:rPr>
          <w:i/>
        </w:rPr>
        <w:fldChar w:fldCharType="begin"/>
      </w:r>
      <w:r w:rsidR="0039389B" w:rsidRPr="003D1E07">
        <w:instrText xml:space="preserve"> XE "</w:instrText>
      </w:r>
      <w:r w:rsidR="0039389B" w:rsidRPr="003D1E07">
        <w:rPr>
          <w:i/>
        </w:rPr>
        <w:instrText>dativus archegeticus</w:instrText>
      </w:r>
      <w:r w:rsidR="0039389B" w:rsidRPr="003D1E07">
        <w:instrText xml:space="preserve">" </w:instrText>
      </w:r>
      <w:r w:rsidR="0039389B" w:rsidRPr="003D1E07">
        <w:rPr>
          <w:i/>
        </w:rPr>
        <w:fldChar w:fldCharType="end"/>
      </w:r>
      <w:r w:rsidR="0039389B" w:rsidRPr="003D1E07">
        <w:t xml:space="preserve">). Původní </w:t>
      </w:r>
      <w:r w:rsidR="0039389B" w:rsidRPr="003D1E07">
        <w:rPr>
          <w:i/>
        </w:rPr>
        <w:t>Lichtung</w:t>
      </w:r>
      <w:r w:rsidR="0039389B" w:rsidRPr="003D1E07">
        <w:rPr>
          <w:i/>
        </w:rPr>
        <w:fldChar w:fldCharType="begin"/>
      </w:r>
      <w:r w:rsidR="0039389B" w:rsidRPr="003D1E07">
        <w:instrText xml:space="preserve"> XE "</w:instrText>
      </w:r>
      <w:r w:rsidR="0039389B" w:rsidRPr="003D1E07">
        <w:rPr>
          <w:i/>
        </w:rPr>
        <w:instrText>Lichtung</w:instrText>
      </w:r>
      <w:r w:rsidR="0039389B" w:rsidRPr="003D1E07">
        <w:instrText xml:space="preserve">" </w:instrText>
      </w:r>
      <w:r w:rsidR="0039389B" w:rsidRPr="003D1E07">
        <w:rPr>
          <w:i/>
        </w:rPr>
        <w:fldChar w:fldCharType="end"/>
      </w:r>
      <w:r w:rsidR="0039389B" w:rsidRPr="003D1E07">
        <w:t xml:space="preserve"> této </w:t>
      </w:r>
      <w:r w:rsidR="00AD419E" w:rsidRPr="003D1E07">
        <w:t xml:space="preserve">po-odkryté </w:t>
      </w:r>
      <w:r w:rsidR="0039389B" w:rsidRPr="003D1E07">
        <w:rPr>
          <w:i/>
        </w:rPr>
        <w:t>a/létheia</w:t>
      </w:r>
      <w:r w:rsidR="0039389B" w:rsidRPr="003D1E07">
        <w:t xml:space="preserve"> určuje odk</w:t>
      </w:r>
      <w:r w:rsidR="00AD419E" w:rsidRPr="003D1E07">
        <w:t>r</w:t>
      </w:r>
      <w:r w:rsidR="0039389B" w:rsidRPr="003D1E07">
        <w:t xml:space="preserve">ytý </w:t>
      </w:r>
      <w:r w:rsidR="00AD419E" w:rsidRPr="003D1E07">
        <w:t xml:space="preserve">a tedy </w:t>
      </w:r>
      <w:r w:rsidR="0039389B" w:rsidRPr="003D1E07">
        <w:t>principiální smysl smysl bytí</w:t>
      </w:r>
      <w:r w:rsidR="00812E07">
        <w:t xml:space="preserve"> (Parmenidova </w:t>
      </w:r>
      <w:r w:rsidR="00812E07" w:rsidRPr="00812E07">
        <w:rPr>
          <w:i/>
        </w:rPr>
        <w:t>a</w:t>
      </w:r>
      <w:r w:rsidR="007D6A44" w:rsidRPr="00812E07">
        <w:rPr>
          <w:i/>
        </w:rPr>
        <w:t>létheia</w:t>
      </w:r>
      <w:r w:rsidR="007D6A44" w:rsidRPr="003D1E07">
        <w:t>)</w:t>
      </w:r>
      <w:r w:rsidR="0039389B" w:rsidRPr="003D1E07">
        <w:t xml:space="preserve">, který </w:t>
      </w:r>
      <w:r w:rsidR="006C35EE" w:rsidRPr="003D1E07">
        <w:t xml:space="preserve">zakládá </w:t>
      </w:r>
      <w:r w:rsidR="0039389B" w:rsidRPr="003D1E07">
        <w:t>dějiny první filosofie (</w:t>
      </w:r>
      <w:r w:rsidR="0039389B" w:rsidRPr="003D1E07">
        <w:rPr>
          <w:i/>
        </w:rPr>
        <w:t>dativus principalis</w:t>
      </w:r>
      <w:r w:rsidR="0039389B" w:rsidRPr="003D1E07">
        <w:rPr>
          <w:i/>
        </w:rPr>
        <w:fldChar w:fldCharType="begin"/>
      </w:r>
      <w:r w:rsidR="0039389B" w:rsidRPr="003D1E07">
        <w:instrText xml:space="preserve"> XE "</w:instrText>
      </w:r>
      <w:r w:rsidR="0039389B" w:rsidRPr="003D1E07">
        <w:rPr>
          <w:i/>
        </w:rPr>
        <w:instrText>dativus principalis</w:instrText>
      </w:r>
      <w:r w:rsidR="0039389B" w:rsidRPr="003D1E07">
        <w:instrText xml:space="preserve">" </w:instrText>
      </w:r>
      <w:r w:rsidR="0039389B" w:rsidRPr="003D1E07">
        <w:rPr>
          <w:i/>
        </w:rPr>
        <w:fldChar w:fldCharType="end"/>
      </w:r>
      <w:r w:rsidR="0039389B" w:rsidRPr="003D1E07">
        <w:t xml:space="preserve">). </w:t>
      </w:r>
      <w:r w:rsidR="000F4F22" w:rsidRPr="003D1E07">
        <w:t xml:space="preserve">Degradace </w:t>
      </w:r>
      <w:r w:rsidR="0039389B" w:rsidRPr="003D1E07">
        <w:t xml:space="preserve">dějin první filosofie na </w:t>
      </w:r>
      <w:r w:rsidR="009512D7" w:rsidRPr="003D1E07">
        <w:lastRenderedPageBreak/>
        <w:t>metafyzický dativ</w:t>
      </w:r>
      <w:r w:rsidR="003A0169" w:rsidRPr="003D1E07">
        <w:t xml:space="preserve"> (</w:t>
      </w:r>
      <w:r w:rsidR="003A0169" w:rsidRPr="003D1E07">
        <w:rPr>
          <w:i/>
        </w:rPr>
        <w:t>dativus metaphysicus</w:t>
      </w:r>
      <w:r w:rsidR="008822FC" w:rsidRPr="003D1E07">
        <w:rPr>
          <w:i/>
        </w:rPr>
        <w:fldChar w:fldCharType="begin"/>
      </w:r>
      <w:r w:rsidR="008822FC" w:rsidRPr="003D1E07">
        <w:instrText xml:space="preserve"> XE "</w:instrText>
      </w:r>
      <w:r w:rsidR="008822FC" w:rsidRPr="003D1E07">
        <w:rPr>
          <w:i/>
        </w:rPr>
        <w:instrText>dativus metaphysicus</w:instrText>
      </w:r>
      <w:r w:rsidR="008822FC" w:rsidRPr="003D1E07">
        <w:instrText xml:space="preserve">" </w:instrText>
      </w:r>
      <w:r w:rsidR="008822FC" w:rsidRPr="003D1E07">
        <w:rPr>
          <w:i/>
        </w:rPr>
        <w:fldChar w:fldCharType="end"/>
      </w:r>
      <w:r w:rsidR="003A0169" w:rsidRPr="003D1E07">
        <w:t xml:space="preserve">) zakládá </w:t>
      </w:r>
      <w:r w:rsidR="00250AF0" w:rsidRPr="003D1E07">
        <w:t xml:space="preserve">platonskou </w:t>
      </w:r>
      <w:r w:rsidR="00EB6267" w:rsidRPr="003D1E07">
        <w:t xml:space="preserve">a aristotelskou </w:t>
      </w:r>
      <w:r w:rsidR="0039389B" w:rsidRPr="003D1E07">
        <w:t xml:space="preserve">pravdu jako </w:t>
      </w:r>
      <w:r w:rsidR="009512D7" w:rsidRPr="003D1E07">
        <w:t xml:space="preserve">metafyzickou </w:t>
      </w:r>
      <w:r w:rsidR="0039389B" w:rsidRPr="003D1E07">
        <w:rPr>
          <w:i/>
        </w:rPr>
        <w:t>veritas</w:t>
      </w:r>
      <w:r w:rsidR="009512D7" w:rsidRPr="003D1E07">
        <w:rPr>
          <w:i/>
        </w:rPr>
        <w:fldChar w:fldCharType="begin"/>
      </w:r>
      <w:r w:rsidR="009512D7" w:rsidRPr="003D1E07">
        <w:instrText xml:space="preserve"> XE "</w:instrText>
      </w:r>
      <w:r w:rsidR="00636E66" w:rsidRPr="003D1E07">
        <w:instrText>pravda:</w:instrText>
      </w:r>
      <w:r w:rsidR="009512D7" w:rsidRPr="003D1E07">
        <w:rPr>
          <w:i/>
        </w:rPr>
        <w:instrText>veritas</w:instrText>
      </w:r>
      <w:r w:rsidR="009512D7" w:rsidRPr="003D1E07">
        <w:instrText xml:space="preserve">" </w:instrText>
      </w:r>
      <w:r w:rsidR="009512D7" w:rsidRPr="003D1E07">
        <w:rPr>
          <w:i/>
        </w:rPr>
        <w:fldChar w:fldCharType="end"/>
      </w:r>
      <w:r w:rsidR="0063113B" w:rsidRPr="003D1E07">
        <w:t xml:space="preserve">. </w:t>
      </w:r>
      <w:r w:rsidR="088916AA" w:rsidRPr="003D1E07">
        <w:rPr>
          <w:lang w:eastAsia="en-US"/>
        </w:rPr>
        <w:t xml:space="preserve">Nově </w:t>
      </w:r>
      <w:r w:rsidR="0878454B" w:rsidRPr="003D1E07">
        <w:rPr>
          <w:lang w:eastAsia="en-US"/>
        </w:rPr>
        <w:t xml:space="preserve">daná dráha kritického vidění </w:t>
      </w:r>
      <w:r w:rsidR="08AC7D7E" w:rsidRPr="003D1E07">
        <w:rPr>
          <w:lang w:eastAsia="en-US"/>
        </w:rPr>
        <w:t>se di</w:t>
      </w:r>
      <w:r w:rsidR="08F73033" w:rsidRPr="003D1E07">
        <w:rPr>
          <w:lang w:eastAsia="en-US"/>
        </w:rPr>
        <w:t>sta</w:t>
      </w:r>
      <w:r w:rsidR="08AC7D7E" w:rsidRPr="003D1E07">
        <w:rPr>
          <w:lang w:eastAsia="en-US"/>
        </w:rPr>
        <w:t>ncovala od ideového vědění</w:t>
      </w:r>
      <w:r w:rsidR="08F73033" w:rsidRPr="003D1E07">
        <w:rPr>
          <w:lang w:eastAsia="en-US"/>
        </w:rPr>
        <w:t xml:space="preserve"> metafyziky</w:t>
      </w:r>
      <w:r w:rsidR="00B74F1C" w:rsidRPr="003D1E07">
        <w:rPr>
          <w:lang w:eastAsia="en-US"/>
        </w:rPr>
        <w:t xml:space="preserve">, které není </w:t>
      </w:r>
      <w:r w:rsidR="08AC7D7E" w:rsidRPr="003D1E07">
        <w:rPr>
          <w:lang w:eastAsia="en-US"/>
        </w:rPr>
        <w:t>původní</w:t>
      </w:r>
      <w:r w:rsidR="08F73033" w:rsidRPr="003D1E07">
        <w:rPr>
          <w:lang w:eastAsia="en-US"/>
        </w:rPr>
        <w:t xml:space="preserve">m uchopením celku </w:t>
      </w:r>
      <w:r w:rsidR="00B74F1C" w:rsidRPr="003D1E07">
        <w:rPr>
          <w:lang w:eastAsia="en-US"/>
        </w:rPr>
        <w:t>bytí</w:t>
      </w:r>
      <w:r w:rsidR="08AC7D7E" w:rsidRPr="003D1E07">
        <w:rPr>
          <w:lang w:eastAsia="en-US"/>
        </w:rPr>
        <w:t xml:space="preserve">. Nově postavená priorita apollinského bytí </w:t>
      </w:r>
      <w:r w:rsidR="0816665A" w:rsidRPr="003D1E07">
        <w:rPr>
          <w:lang w:eastAsia="en-US"/>
        </w:rPr>
        <w:t xml:space="preserve">celku jsoucna je dána proti sekundárnímu bytí </w:t>
      </w:r>
      <w:r w:rsidR="08DB5ACC" w:rsidRPr="003D1E07">
        <w:rPr>
          <w:lang w:eastAsia="en-US"/>
        </w:rPr>
        <w:t xml:space="preserve">metafyzické </w:t>
      </w:r>
      <w:r w:rsidR="0816665A" w:rsidRPr="003D1E07">
        <w:rPr>
          <w:lang w:eastAsia="en-US"/>
        </w:rPr>
        <w:t xml:space="preserve">substance. </w:t>
      </w:r>
      <w:r w:rsidR="08FC7CAF" w:rsidRPr="003D1E07">
        <w:t xml:space="preserve">Hermeneutika sleduje působení archegetického apollinského dativu z Delf skrze múzickou sémantiku Sokratovy </w:t>
      </w:r>
      <w:r w:rsidR="08872D9D" w:rsidRPr="003D1E07">
        <w:t xml:space="preserve">a Herodotovy </w:t>
      </w:r>
      <w:r w:rsidR="08FC7CAF" w:rsidRPr="003D1E07">
        <w:t xml:space="preserve">formy moudrosti. </w:t>
      </w:r>
      <w:r w:rsidR="008E5C8A" w:rsidRPr="003D1E07">
        <w:rPr>
          <w:lang w:eastAsia="en-US"/>
        </w:rPr>
        <w:t xml:space="preserve">Archaická hermenutika je založena na apolinském </w:t>
      </w:r>
      <w:r w:rsidR="008E5C8A" w:rsidRPr="003D1E07">
        <w:rPr>
          <w:i/>
          <w:lang w:eastAsia="en-US"/>
        </w:rPr>
        <w:t>modus ponens</w:t>
      </w:r>
      <w:r w:rsidR="008E5C8A" w:rsidRPr="003D1E07">
        <w:rPr>
          <w:lang w:eastAsia="en-US"/>
        </w:rPr>
        <w:t xml:space="preserve"> v delfském adytonu.</w:t>
      </w:r>
      <w:r w:rsidR="008E5C8A">
        <w:rPr>
          <w:lang w:eastAsia="en-US"/>
        </w:rPr>
        <w:t xml:space="preserve"> </w:t>
      </w:r>
      <w:r w:rsidR="08FC7CAF" w:rsidRPr="003D1E07">
        <w:t>Etapa archaické moudrosti první filosofie sledova</w:t>
      </w:r>
      <w:r w:rsidR="08872D9D" w:rsidRPr="003D1E07">
        <w:t>la jiné pojetí pravdy než ideologická</w:t>
      </w:r>
      <w:r w:rsidR="08FC7CAF" w:rsidRPr="003D1E07">
        <w:t xml:space="preserve"> škola </w:t>
      </w:r>
      <w:r w:rsidR="00A26367" w:rsidRPr="003D1E07">
        <w:t xml:space="preserve">založená Platonem. Dějinnost </w:t>
      </w:r>
      <w:r w:rsidR="08FC7CAF" w:rsidRPr="003D1E07">
        <w:t xml:space="preserve">odhalenosti bytí v modu </w:t>
      </w:r>
      <w:r w:rsidR="00A26367" w:rsidRPr="003D1E07">
        <w:rPr>
          <w:i/>
        </w:rPr>
        <w:t>a</w:t>
      </w:r>
      <w:r w:rsidR="08FC7CAF" w:rsidRPr="003D1E07">
        <w:rPr>
          <w:i/>
        </w:rPr>
        <w:t>létheia</w:t>
      </w:r>
      <w:r w:rsidR="08FC7CAF" w:rsidRPr="003D1E07">
        <w:t xml:space="preserve"> se oddělila od </w:t>
      </w:r>
      <w:r w:rsidR="08591D05" w:rsidRPr="003D1E07">
        <w:t xml:space="preserve">metafyzické </w:t>
      </w:r>
      <w:r w:rsidR="08FC7CAF" w:rsidRPr="003D1E07">
        <w:t>zjevnosti substance, která je dána zde a nyní v ideově daném vědění (</w:t>
      </w:r>
      <w:r w:rsidR="00A26367" w:rsidRPr="003D1E07">
        <w:rPr>
          <w:i/>
        </w:rPr>
        <w:t>veritas</w:t>
      </w:r>
      <w:r w:rsidR="003C6891" w:rsidRPr="003D1E07">
        <w:rPr>
          <w:i/>
        </w:rPr>
        <w:fldChar w:fldCharType="begin"/>
      </w:r>
      <w:r w:rsidR="003C6891" w:rsidRPr="003D1E07">
        <w:instrText xml:space="preserve"> XE "</w:instrText>
      </w:r>
      <w:r w:rsidR="003C6891" w:rsidRPr="003D1E07">
        <w:rPr>
          <w:i/>
        </w:rPr>
        <w:instrText>veritas</w:instrText>
      </w:r>
      <w:r w:rsidR="003C6891" w:rsidRPr="003D1E07">
        <w:instrText xml:space="preserve">" </w:instrText>
      </w:r>
      <w:r w:rsidR="003C6891" w:rsidRPr="003D1E07">
        <w:rPr>
          <w:i/>
        </w:rPr>
        <w:fldChar w:fldCharType="end"/>
      </w:r>
      <w:r w:rsidR="08FC7CAF" w:rsidRPr="003D1E07">
        <w:t xml:space="preserve">). Archegetický </w:t>
      </w:r>
      <w:r w:rsidR="00312183" w:rsidRPr="003D1E07">
        <w:t>a princip</w:t>
      </w:r>
      <w:r w:rsidR="002221AC" w:rsidRPr="003D1E07">
        <w:t>i</w:t>
      </w:r>
      <w:r w:rsidR="00312183" w:rsidRPr="003D1E07">
        <w:t xml:space="preserve">ální dativ </w:t>
      </w:r>
      <w:r w:rsidR="08FC7CAF" w:rsidRPr="003D1E07">
        <w:t xml:space="preserve">byl vystřídán </w:t>
      </w:r>
      <w:r w:rsidR="08E22F7A" w:rsidRPr="003D1E07">
        <w:t>metafyzickým dativem</w:t>
      </w:r>
      <w:r w:rsidR="08FC7CAF" w:rsidRPr="003D1E07">
        <w:t xml:space="preserve">. Vědění nové formy první filosofie tím nahradilo původní vidění prvních filosofů. </w:t>
      </w:r>
      <w:r w:rsidR="087B4811" w:rsidRPr="003D1E07">
        <w:t xml:space="preserve">Syntéza aristotelismu a platonismu v neoplatonských školách pozdní antiky vznikla modernizací </w:t>
      </w:r>
      <w:r w:rsidR="08E22F7A" w:rsidRPr="003D1E07">
        <w:t xml:space="preserve">metafyzického </w:t>
      </w:r>
      <w:r w:rsidR="087B4811" w:rsidRPr="003D1E07">
        <w:t>dativu vázaného na nový druh individuálně pojaté substance (ἄτομος οὐσία</w:t>
      </w:r>
      <w:r w:rsidR="087B4811" w:rsidRPr="003D1E07">
        <w:fldChar w:fldCharType="begin"/>
      </w:r>
      <w:r w:rsidR="087B4811" w:rsidRPr="003D1E07">
        <w:instrText xml:space="preserve"> XE "substance:atomární" </w:instrText>
      </w:r>
      <w:r w:rsidR="087B4811" w:rsidRPr="003D1E07">
        <w:fldChar w:fldCharType="end"/>
      </w:r>
      <w:r w:rsidR="087B4811" w:rsidRPr="003D1E07">
        <w:t xml:space="preserve">, </w:t>
      </w:r>
      <w:r w:rsidR="087B4811" w:rsidRPr="003D1E07">
        <w:rPr>
          <w:i/>
        </w:rPr>
        <w:t>Porph. in Cat.</w:t>
      </w:r>
      <w:r w:rsidR="087B4811" w:rsidRPr="003D1E07">
        <w:t xml:space="preserve"> 90.31</w:t>
      </w:r>
      <w:r w:rsidR="08C92228" w:rsidRPr="003D1E07">
        <w:t>)</w:t>
      </w:r>
      <w:r w:rsidR="087B4811" w:rsidRPr="003D1E07">
        <w:fldChar w:fldCharType="begin"/>
      </w:r>
      <w:r w:rsidR="087B4811" w:rsidRPr="003D1E07">
        <w:instrText xml:space="preserve"> XE "Porfyrius:</w:instrText>
      </w:r>
      <w:r w:rsidR="087B4811" w:rsidRPr="003D1E07">
        <w:rPr>
          <w:i/>
        </w:rPr>
        <w:instrText>Porph. in Cat.</w:instrText>
      </w:r>
      <w:r w:rsidR="087B4811" w:rsidRPr="003D1E07">
        <w:instrText xml:space="preserve"> 90.31" </w:instrText>
      </w:r>
      <w:r w:rsidR="087B4811" w:rsidRPr="003D1E07">
        <w:fldChar w:fldCharType="end"/>
      </w:r>
      <w:r w:rsidR="08666354" w:rsidRPr="003D1E07">
        <w:t xml:space="preserve"> jako jsoucna třetího druhu</w:t>
      </w:r>
      <w:r w:rsidR="087B4811" w:rsidRPr="003D1E07">
        <w:t xml:space="preserve">. </w:t>
      </w:r>
      <w:r w:rsidR="00BF2BB9">
        <w:t xml:space="preserve">Základem </w:t>
      </w:r>
      <w:r w:rsidR="00BF2BB9" w:rsidRPr="003D1E07">
        <w:t xml:space="preserve">klasické metafyziky </w:t>
      </w:r>
      <w:r w:rsidR="00BF2BB9">
        <w:t>je první věda</w:t>
      </w:r>
      <w:r w:rsidR="00BF2BB9" w:rsidRPr="003D1E07">
        <w:t xml:space="preserve"> o substanci </w:t>
      </w:r>
      <w:r w:rsidR="00BF2BB9" w:rsidRPr="003D1E07">
        <w:rPr>
          <w:i/>
        </w:rPr>
        <w:t>qua</w:t>
      </w:r>
      <w:r w:rsidR="00BF2BB9" w:rsidRPr="003D1E07">
        <w:t xml:space="preserve"> substanc</w:t>
      </w:r>
      <w:r w:rsidR="00BF2BB9" w:rsidRPr="003D1E07">
        <w:fldChar w:fldCharType="begin"/>
      </w:r>
      <w:r w:rsidR="00BF2BB9" w:rsidRPr="003D1E07">
        <w:instrText xml:space="preserve"> XE "substance </w:instrText>
      </w:r>
      <w:r w:rsidR="00BF2BB9" w:rsidRPr="003D1E07">
        <w:rPr>
          <w:i/>
        </w:rPr>
        <w:instrText>qua</w:instrText>
      </w:r>
      <w:r w:rsidR="00BF2BB9" w:rsidRPr="003D1E07">
        <w:instrText xml:space="preserve"> substance" </w:instrText>
      </w:r>
      <w:r w:rsidR="00BF2BB9" w:rsidRPr="003D1E07">
        <w:fldChar w:fldCharType="end"/>
      </w:r>
      <w:r w:rsidR="00BF2BB9" w:rsidRPr="003D1E07">
        <w:t>i</w:t>
      </w:r>
      <w:r w:rsidR="00BF2BB9">
        <w:t xml:space="preserve">. Po jejím úpadku začala epocha </w:t>
      </w:r>
      <w:r w:rsidR="00BF2BB9" w:rsidRPr="003D1E07">
        <w:t xml:space="preserve">moderní filosofie, </w:t>
      </w:r>
      <w:r w:rsidR="00BF2BB9">
        <w:t xml:space="preserve">což je </w:t>
      </w:r>
      <w:r w:rsidR="00BF2BB9" w:rsidRPr="003D1E07">
        <w:t xml:space="preserve">první </w:t>
      </w:r>
      <w:r w:rsidR="00BF2BB9">
        <w:t>věda</w:t>
      </w:r>
      <w:r w:rsidR="00BF2BB9" w:rsidRPr="003D1E07">
        <w:t xml:space="preserve"> o jsoucnu jako objektivním simulákru (</w:t>
      </w:r>
      <w:r w:rsidR="00BF2BB9" w:rsidRPr="003D1E07">
        <w:rPr>
          <w:i/>
          <w:noProof w:val="0"/>
          <w:lang w:eastAsia="en-US"/>
        </w:rPr>
        <w:t>ens inquantum ens</w:t>
      </w:r>
      <w:r w:rsidR="00BF2BB9" w:rsidRPr="003D1E07">
        <w:rPr>
          <w:i/>
          <w:noProof w:val="0"/>
          <w:lang w:eastAsia="en-US"/>
        </w:rPr>
        <w:fldChar w:fldCharType="begin"/>
      </w:r>
      <w:r w:rsidR="00BF2BB9" w:rsidRPr="003D1E07">
        <w:instrText xml:space="preserve"> XE "</w:instrText>
      </w:r>
      <w:r w:rsidR="00BF2BB9" w:rsidRPr="003D1E07">
        <w:rPr>
          <w:i/>
          <w:noProof w:val="0"/>
          <w:lang w:eastAsia="en-US"/>
        </w:rPr>
        <w:instrText>ens inquantum ens</w:instrText>
      </w:r>
      <w:r w:rsidR="00BF2BB9" w:rsidRPr="003D1E07">
        <w:instrText xml:space="preserve">" </w:instrText>
      </w:r>
      <w:r w:rsidR="00BF2BB9" w:rsidRPr="003D1E07">
        <w:rPr>
          <w:i/>
          <w:noProof w:val="0"/>
          <w:lang w:eastAsia="en-US"/>
        </w:rPr>
        <w:fldChar w:fldCharType="end"/>
      </w:r>
      <w:r w:rsidR="00BF2BB9" w:rsidRPr="003D1E07">
        <w:rPr>
          <w:noProof w:val="0"/>
          <w:lang w:eastAsia="en-US"/>
        </w:rPr>
        <w:t>)</w:t>
      </w:r>
      <w:r w:rsidR="00BF2BB9" w:rsidRPr="003D1E07">
        <w:t xml:space="preserve">. </w:t>
      </w:r>
      <w:r w:rsidR="087B4811" w:rsidRPr="003D1E07">
        <w:t>Předložený vý</w:t>
      </w:r>
      <w:r w:rsidR="08666354" w:rsidRPr="003D1E07">
        <w:t xml:space="preserve">klad metafyziky prvního dílu </w:t>
      </w:r>
      <w:r w:rsidR="087B4811" w:rsidRPr="003D1E07">
        <w:t xml:space="preserve">vyložil </w:t>
      </w:r>
      <w:r w:rsidR="08666354" w:rsidRPr="003D1E07">
        <w:rPr>
          <w:i/>
        </w:rPr>
        <w:t>tertium ens</w:t>
      </w:r>
      <w:r w:rsidR="08666354" w:rsidRPr="003D1E07">
        <w:t xml:space="preserve"> antiky a falsafy </w:t>
      </w:r>
      <w:r w:rsidR="087B4811" w:rsidRPr="003D1E07">
        <w:t xml:space="preserve">z hlediska múzické podoby pravdy, kterou sledoval </w:t>
      </w:r>
      <w:r w:rsidR="00B71ADE">
        <w:t xml:space="preserve">Sokrates jako </w:t>
      </w:r>
      <w:r w:rsidR="087B4811" w:rsidRPr="003D1E07">
        <w:t xml:space="preserve">nejmoudřejší ze všech lidí. </w:t>
      </w:r>
      <w:r w:rsidR="00BF2BB9" w:rsidRPr="003D1E07">
        <w:rPr>
          <w:lang w:eastAsia="en-US"/>
        </w:rPr>
        <w:t xml:space="preserve"> </w:t>
      </w:r>
      <w:r w:rsidR="00BF2BB9" w:rsidRPr="003D1E07">
        <w:t>Moudrost je po vzoru Sokrata tragická a přešla v současné epoše do globální tragikomedie myšlení. Po úpadku metafyziky tomu už nešlo zabránit.</w:t>
      </w:r>
    </w:p>
    <w:p w14:paraId="70B3DA93" w14:textId="7C615F18" w:rsidR="00FA1B83" w:rsidRDefault="00756578" w:rsidP="00B411EB">
      <w:pPr>
        <w:ind w:firstLine="397"/>
        <w:rPr>
          <w:rStyle w:val="Zkladntext158dkovn0pt"/>
          <w:color w:val="auto"/>
          <w:spacing w:val="0"/>
          <w:sz w:val="24"/>
          <w:szCs w:val="20"/>
          <w:shd w:val="clear" w:color="auto" w:fill="auto"/>
          <w:lang w:val="cs-CZ"/>
        </w:rPr>
      </w:pPr>
      <w:r w:rsidRPr="003D1E07">
        <w:t>Shrňme stručně hlavní rysy objektivity</w:t>
      </w:r>
      <w:r w:rsidR="08C75D00" w:rsidRPr="003D1E07">
        <w:t xml:space="preserve"> v neoplatonismu a ve </w:t>
      </w:r>
      <w:r w:rsidRPr="003D1E07">
        <w:t xml:space="preserve">falsafě, </w:t>
      </w:r>
      <w:r w:rsidR="08C75D00" w:rsidRPr="003D1E07">
        <w:t xml:space="preserve">protože mají </w:t>
      </w:r>
      <w:r w:rsidR="00A60293">
        <w:t xml:space="preserve">zásadní </w:t>
      </w:r>
      <w:r w:rsidR="08C75D00" w:rsidRPr="003D1E07">
        <w:t xml:space="preserve">význam </w:t>
      </w:r>
      <w:r w:rsidRPr="003D1E07">
        <w:t>pro další epochy Západu</w:t>
      </w:r>
      <w:r w:rsidR="00DB6470" w:rsidRPr="003D1E07">
        <w:t xml:space="preserve">. Tato studie je </w:t>
      </w:r>
      <w:r w:rsidR="08427AF7" w:rsidRPr="003D1E07">
        <w:t>zkou</w:t>
      </w:r>
      <w:r w:rsidR="00DB6470" w:rsidRPr="003D1E07">
        <w:t xml:space="preserve">má </w:t>
      </w:r>
      <w:r w:rsidR="08427AF7" w:rsidRPr="003D1E07">
        <w:t>v </w:t>
      </w:r>
      <w:r w:rsidR="08C32769" w:rsidRPr="003D1E07">
        <w:t>dalších</w:t>
      </w:r>
      <w:r w:rsidR="08427AF7" w:rsidRPr="003D1E07">
        <w:t xml:space="preserve"> dvou částech</w:t>
      </w:r>
      <w:r w:rsidR="00DB6470" w:rsidRPr="003D1E07">
        <w:t xml:space="preserve"> skrze tak zvané „matrice“</w:t>
      </w:r>
      <w:r w:rsidRPr="003D1E07">
        <w:t xml:space="preserve">. </w:t>
      </w:r>
      <w:r w:rsidR="08D23B35" w:rsidRPr="003D1E07">
        <w:t>Od Platonova založení metafyziky je bytí skryté již trvale</w:t>
      </w:r>
      <w:r w:rsidR="00434886">
        <w:t>. M</w:t>
      </w:r>
      <w:r w:rsidR="002072E0" w:rsidRPr="003D1E07">
        <w:t xml:space="preserve">etafyzické </w:t>
      </w:r>
      <w:r w:rsidR="08D23B35" w:rsidRPr="003D1E07">
        <w:t xml:space="preserve">jsoucno </w:t>
      </w:r>
      <w:r w:rsidR="00434886">
        <w:t xml:space="preserve">jako </w:t>
      </w:r>
      <w:r w:rsidR="00436BCE">
        <w:t xml:space="preserve">platonská idea, aristotelská </w:t>
      </w:r>
      <w:r w:rsidR="00434886">
        <w:t xml:space="preserve">substance a </w:t>
      </w:r>
      <w:r w:rsidR="00436BCE">
        <w:t xml:space="preserve">avicennovská essence </w:t>
      </w:r>
      <w:r w:rsidR="00171947" w:rsidRPr="003D1E07">
        <w:t>vyplnil</w:t>
      </w:r>
      <w:r w:rsidR="00436BCE">
        <w:t>y</w:t>
      </w:r>
      <w:r w:rsidR="00171947" w:rsidRPr="003D1E07">
        <w:t xml:space="preserve"> prázdné místo </w:t>
      </w:r>
      <w:r w:rsidR="00436BCE">
        <w:t xml:space="preserve">vytvořené fenoménem </w:t>
      </w:r>
      <w:r w:rsidR="08D23B35" w:rsidRPr="003D1E07">
        <w:t>opuštěnosti bytí (</w:t>
      </w:r>
      <w:r w:rsidR="08D23B35" w:rsidRPr="003D1E07">
        <w:rPr>
          <w:i/>
        </w:rPr>
        <w:t>Seinsverlassenheit</w:t>
      </w:r>
      <w:r w:rsidR="08D23B35" w:rsidRPr="003D1E07">
        <w:rPr>
          <w:i/>
        </w:rPr>
        <w:fldChar w:fldCharType="begin"/>
      </w:r>
      <w:r w:rsidR="08D23B35" w:rsidRPr="003D1E07">
        <w:instrText xml:space="preserve"> XE "</w:instrText>
      </w:r>
      <w:r w:rsidR="08D23B35" w:rsidRPr="003D1E07">
        <w:rPr>
          <w:i/>
        </w:rPr>
        <w:instrText>Seinsverlassenheit</w:instrText>
      </w:r>
      <w:r w:rsidR="08D23B35" w:rsidRPr="003D1E07">
        <w:instrText xml:space="preserve">" </w:instrText>
      </w:r>
      <w:r w:rsidR="08D23B35" w:rsidRPr="003D1E07">
        <w:rPr>
          <w:i/>
        </w:rPr>
        <w:fldChar w:fldCharType="end"/>
      </w:r>
      <w:r w:rsidR="08D23B35" w:rsidRPr="003D1E07">
        <w:t xml:space="preserve">). Bytí přešlo do dějinně ustavené </w:t>
      </w:r>
      <w:r w:rsidR="0069168A" w:rsidRPr="003D1E07">
        <w:t>léthé</w:t>
      </w:r>
      <w:r w:rsidR="00A75C09" w:rsidRPr="003D1E07">
        <w:t xml:space="preserve"> </w:t>
      </w:r>
      <w:r w:rsidR="08D23B35" w:rsidRPr="003D1E07">
        <w:t>a</w:t>
      </w:r>
      <w:r w:rsidR="00A75C09" w:rsidRPr="003D1E07">
        <w:t xml:space="preserve"> </w:t>
      </w:r>
      <w:r w:rsidR="08D23B35" w:rsidRPr="003D1E07">
        <w:t xml:space="preserve">v následujících epochách </w:t>
      </w:r>
      <w:r w:rsidR="00A75C09" w:rsidRPr="003D1E07">
        <w:t xml:space="preserve">zvítězila fakticita </w:t>
      </w:r>
      <w:r w:rsidR="00512687" w:rsidRPr="003D1E07">
        <w:t xml:space="preserve">nově definovaného </w:t>
      </w:r>
      <w:r w:rsidR="08D23B35" w:rsidRPr="003D1E07">
        <w:t xml:space="preserve">jsoucna. </w:t>
      </w:r>
      <w:r w:rsidR="00F928A0" w:rsidRPr="003D1E07">
        <w:t xml:space="preserve">Heideggerův pojem </w:t>
      </w:r>
      <w:r w:rsidR="00F928A0" w:rsidRPr="003D1E07">
        <w:rPr>
          <w:i/>
          <w:iCs/>
        </w:rPr>
        <w:t>Bildung</w:t>
      </w:r>
      <w:r w:rsidR="00F928A0" w:rsidRPr="003D1E07">
        <w:t xml:space="preserve"> popsal t</w:t>
      </w:r>
      <w:r w:rsidR="08D23B35" w:rsidRPr="003D1E07">
        <w:t xml:space="preserve">uto změnu v návaznosti na Platonův termín παιδεία (kap. 1). </w:t>
      </w:r>
      <w:r w:rsidR="088B795D" w:rsidRPr="003D1E07">
        <w:rPr>
          <w:rStyle w:val="FontStyle129"/>
          <w:rFonts w:ascii="Calibri" w:hAnsi="Calibri"/>
          <w:sz w:val="24"/>
        </w:rPr>
        <w:t>P</w:t>
      </w:r>
      <w:r w:rsidR="088B795D" w:rsidRPr="003D1E07">
        <w:t xml:space="preserve">erská falsafa provedla rozhodující krok k vytvoření západní objektivity skrze ontoteologickou determinaci </w:t>
      </w:r>
      <w:r w:rsidR="088B795D" w:rsidRPr="003D1E07">
        <w:rPr>
          <w:i/>
        </w:rPr>
        <w:t>tertium ens</w:t>
      </w:r>
      <w:r w:rsidR="088B795D" w:rsidRPr="003D1E07">
        <w:rPr>
          <w:i/>
        </w:rPr>
        <w:fldChar w:fldCharType="begin"/>
      </w:r>
      <w:r w:rsidR="088B795D" w:rsidRPr="003D1E07">
        <w:instrText xml:space="preserve"> XE "</w:instrText>
      </w:r>
      <w:r w:rsidR="088B795D" w:rsidRPr="003D1E07">
        <w:rPr>
          <w:rStyle w:val="Zvraznn"/>
        </w:rPr>
        <w:instrText>tertium ens</w:instrText>
      </w:r>
      <w:r w:rsidR="088B795D" w:rsidRPr="003D1E07">
        <w:rPr>
          <w:rStyle w:val="Zvraznn"/>
          <w:i w:val="0"/>
        </w:rPr>
        <w:instrText>:falsafa</w:instrText>
      </w:r>
      <w:r w:rsidR="088B795D" w:rsidRPr="003D1E07">
        <w:instrText xml:space="preserve">" </w:instrText>
      </w:r>
      <w:r w:rsidR="088B795D" w:rsidRPr="003D1E07">
        <w:rPr>
          <w:i/>
        </w:rPr>
        <w:fldChar w:fldCharType="end"/>
      </w:r>
      <w:r w:rsidR="088B795D" w:rsidRPr="003D1E07">
        <w:t xml:space="preserve">. </w:t>
      </w:r>
      <w:r w:rsidR="08EB17E4" w:rsidRPr="003D1E07">
        <w:rPr>
          <w:rStyle w:val="Zvraznn"/>
          <w:i w:val="0"/>
        </w:rPr>
        <w:t xml:space="preserve">Kombinací neoplatonismu a aristotelismu do nové formy ontoteologie </w:t>
      </w:r>
      <w:r w:rsidR="00430595" w:rsidRPr="003D1E07">
        <w:rPr>
          <w:rStyle w:val="Zvraznn"/>
          <w:i w:val="0"/>
        </w:rPr>
        <w:t xml:space="preserve">vznikla nová </w:t>
      </w:r>
      <w:r w:rsidR="008C2151">
        <w:rPr>
          <w:rStyle w:val="Zvraznn"/>
          <w:i w:val="0"/>
        </w:rPr>
        <w:t>metafyzika</w:t>
      </w:r>
      <w:r w:rsidR="08EB17E4" w:rsidRPr="003D1E07">
        <w:rPr>
          <w:rStyle w:val="Zvraznn"/>
          <w:i w:val="0"/>
        </w:rPr>
        <w:t xml:space="preserve">. </w:t>
      </w:r>
      <w:r w:rsidR="08EB17E4" w:rsidRPr="003D1E07">
        <w:rPr>
          <w:rStyle w:val="FontStyle129"/>
          <w:rFonts w:ascii="Calibri" w:hAnsi="Calibri"/>
          <w:sz w:val="24"/>
        </w:rPr>
        <w:t xml:space="preserve">Univoční predikace jsoucna jako transcendentálie dělá z bytí jsoucna nejvyšší rod, který je pak homonymicky přičítaný </w:t>
      </w:r>
      <w:r w:rsidR="08EB17E4" w:rsidRPr="003D1E07">
        <w:rPr>
          <w:rStyle w:val="FontStyle129"/>
          <w:rFonts w:ascii="Calibri" w:hAnsi="Calibri"/>
          <w:sz w:val="24"/>
        </w:rPr>
        <w:lastRenderedPageBreak/>
        <w:t xml:space="preserve">čemukoliv. </w:t>
      </w:r>
      <w:r w:rsidR="08356879" w:rsidRPr="003D1E07">
        <w:rPr>
          <w:rStyle w:val="FontStyle129"/>
          <w:rFonts w:ascii="Calibri" w:hAnsi="Calibri"/>
          <w:sz w:val="24"/>
        </w:rPr>
        <w:t xml:space="preserve">Původní spor na toto téma </w:t>
      </w:r>
      <w:r w:rsidR="08EB17E4" w:rsidRPr="003D1E07">
        <w:rPr>
          <w:rStyle w:val="FontStyle129"/>
          <w:rFonts w:ascii="Calibri" w:hAnsi="Calibri"/>
          <w:sz w:val="24"/>
        </w:rPr>
        <w:t xml:space="preserve">běžel v antickém neoplatonismu. </w:t>
      </w:r>
      <w:r w:rsidR="08525C9B" w:rsidRPr="003D1E07">
        <w:rPr>
          <w:rStyle w:val="FontStyle129"/>
          <w:rFonts w:ascii="Calibri" w:hAnsi="Calibri"/>
          <w:sz w:val="24"/>
        </w:rPr>
        <w:t>Porfyrius</w:t>
      </w:r>
      <w:r w:rsidR="00B848CD">
        <w:rPr>
          <w:rStyle w:val="FontStyle129"/>
          <w:rFonts w:ascii="Calibri" w:hAnsi="Calibri"/>
          <w:sz w:val="24"/>
        </w:rPr>
        <w:t xml:space="preserve"> v polemice s</w:t>
      </w:r>
      <w:r w:rsidR="08EB17E4" w:rsidRPr="003D1E07">
        <w:rPr>
          <w:rStyle w:val="FontStyle129"/>
          <w:rFonts w:ascii="Calibri" w:hAnsi="Calibri"/>
          <w:sz w:val="24"/>
        </w:rPr>
        <w:t xml:space="preserve"> Plotinem odmítl </w:t>
      </w:r>
      <w:r w:rsidR="08A4112B" w:rsidRPr="003D1E07">
        <w:rPr>
          <w:rStyle w:val="FontStyle129"/>
          <w:rFonts w:ascii="Calibri" w:hAnsi="Calibri"/>
          <w:sz w:val="24"/>
        </w:rPr>
        <w:t xml:space="preserve">neoplatonský výklad </w:t>
      </w:r>
      <w:r w:rsidR="08EB17E4" w:rsidRPr="003D1E07">
        <w:rPr>
          <w:rStyle w:val="FontStyle129"/>
          <w:rFonts w:ascii="Calibri" w:hAnsi="Calibri"/>
          <w:sz w:val="24"/>
        </w:rPr>
        <w:t>Aristotela, protože bytí jsoucna nemůže být primárně dáno jako jeden z nejvyšších rodů</w:t>
      </w:r>
      <w:r w:rsidR="084E7952" w:rsidRPr="003D1E07">
        <w:rPr>
          <w:rStyle w:val="FontStyle129"/>
          <w:rFonts w:ascii="Calibri" w:hAnsi="Calibri"/>
          <w:sz w:val="24"/>
        </w:rPr>
        <w:t xml:space="preserve"> (kap. 1.3</w:t>
      </w:r>
      <w:r w:rsidR="08EB17E4" w:rsidRPr="003D1E07">
        <w:rPr>
          <w:rStyle w:val="FontStyle129"/>
          <w:rFonts w:ascii="Calibri" w:hAnsi="Calibri"/>
          <w:sz w:val="24"/>
        </w:rPr>
        <w:t xml:space="preserve">). </w:t>
      </w:r>
      <w:r w:rsidR="00B411EB">
        <w:rPr>
          <w:rStyle w:val="FontStyle129"/>
          <w:rFonts w:ascii="Calibri" w:hAnsi="Calibri"/>
          <w:sz w:val="24"/>
        </w:rPr>
        <w:t xml:space="preserve">Myslitelé falsafy </w:t>
      </w:r>
      <w:r w:rsidR="00B411EB" w:rsidRPr="00B411EB">
        <w:rPr>
          <w:rStyle w:val="FontStyle129"/>
          <w:rFonts w:ascii="Calibri" w:hAnsi="Calibri"/>
          <w:sz w:val="24"/>
        </w:rPr>
        <w:t xml:space="preserve">převzali </w:t>
      </w:r>
      <w:r w:rsidR="00B411EB">
        <w:rPr>
          <w:rStyle w:val="FontStyle129"/>
          <w:rFonts w:ascii="Calibri" w:hAnsi="Calibri"/>
          <w:sz w:val="24"/>
        </w:rPr>
        <w:t xml:space="preserve">neoplatónskou definici jsoucna a </w:t>
      </w:r>
      <w:r w:rsidR="00B411EB" w:rsidRPr="00B411EB">
        <w:rPr>
          <w:rStyle w:val="FontStyle129"/>
          <w:rFonts w:ascii="Calibri" w:hAnsi="Calibri"/>
          <w:sz w:val="24"/>
        </w:rPr>
        <w:t>vyt</w:t>
      </w:r>
      <w:r w:rsidR="00B411EB">
        <w:rPr>
          <w:rStyle w:val="FontStyle129"/>
          <w:rFonts w:ascii="Calibri" w:hAnsi="Calibri"/>
          <w:sz w:val="24"/>
        </w:rPr>
        <w:t xml:space="preserve">vořili novou oblast zjevování jsoucna v rámci kategoriální predikace. </w:t>
      </w:r>
      <w:r w:rsidR="00B411EB" w:rsidRPr="00B411EB">
        <w:rPr>
          <w:rStyle w:val="FontStyle129"/>
          <w:rFonts w:ascii="Calibri" w:hAnsi="Calibri"/>
          <w:sz w:val="24"/>
        </w:rPr>
        <w:t xml:space="preserve">V této nové perspektivě se význam </w:t>
      </w:r>
      <w:r w:rsidR="00B411EB">
        <w:rPr>
          <w:rStyle w:val="FontStyle129"/>
          <w:rFonts w:ascii="Calibri" w:hAnsi="Calibri"/>
          <w:sz w:val="24"/>
        </w:rPr>
        <w:t xml:space="preserve">substance zjevuje ve dvou typech </w:t>
      </w:r>
      <w:r w:rsidR="00D238E8">
        <w:rPr>
          <w:rStyle w:val="FontStyle129"/>
          <w:rFonts w:ascii="Calibri" w:hAnsi="Calibri"/>
          <w:sz w:val="24"/>
        </w:rPr>
        <w:t>smyslu (</w:t>
      </w:r>
      <w:r w:rsidR="00D238E8" w:rsidRPr="00D238E8">
        <w:rPr>
          <w:rStyle w:val="FontStyle129"/>
          <w:rFonts w:ascii="Calibri" w:hAnsi="Calibri"/>
          <w:i/>
          <w:sz w:val="24"/>
        </w:rPr>
        <w:t>Bezugssinn</w:t>
      </w:r>
      <w:r w:rsidR="00D238E8">
        <w:rPr>
          <w:rStyle w:val="FontStyle129"/>
          <w:rFonts w:ascii="Calibri" w:hAnsi="Calibri"/>
          <w:i/>
          <w:sz w:val="24"/>
        </w:rPr>
        <w:fldChar w:fldCharType="begin"/>
      </w:r>
      <w:r w:rsidR="00D238E8">
        <w:instrText xml:space="preserve"> XE "</w:instrText>
      </w:r>
      <w:r w:rsidR="00D238E8" w:rsidRPr="004A0E35">
        <w:rPr>
          <w:rStyle w:val="FontStyle129"/>
          <w:rFonts w:ascii="Calibri" w:hAnsi="Calibri"/>
          <w:i/>
          <w:sz w:val="24"/>
        </w:rPr>
        <w:instrText>Bezugssinn</w:instrText>
      </w:r>
      <w:r w:rsidR="00D238E8">
        <w:instrText xml:space="preserve">" </w:instrText>
      </w:r>
      <w:r w:rsidR="00D238E8">
        <w:rPr>
          <w:rStyle w:val="FontStyle129"/>
          <w:rFonts w:ascii="Calibri" w:hAnsi="Calibri"/>
          <w:i/>
          <w:sz w:val="24"/>
        </w:rPr>
        <w:fldChar w:fldCharType="end"/>
      </w:r>
      <w:r w:rsidR="00D238E8">
        <w:rPr>
          <w:rStyle w:val="FontStyle129"/>
          <w:rFonts w:ascii="Calibri" w:hAnsi="Calibri"/>
          <w:sz w:val="24"/>
        </w:rPr>
        <w:t xml:space="preserve">) daného dvojí ontologickou formou </w:t>
      </w:r>
      <w:r w:rsidR="00B411EB">
        <w:rPr>
          <w:rStyle w:val="FontStyle129"/>
          <w:rFonts w:ascii="Calibri" w:hAnsi="Calibri"/>
          <w:sz w:val="24"/>
        </w:rPr>
        <w:t>předchůdného náhledu (</w:t>
      </w:r>
      <w:r w:rsidR="00B411EB" w:rsidRPr="00B411EB">
        <w:rPr>
          <w:rStyle w:val="FontStyle129"/>
          <w:rFonts w:ascii="Calibri" w:hAnsi="Calibri"/>
          <w:i/>
          <w:sz w:val="24"/>
        </w:rPr>
        <w:t>Vor-blickbahn</w:t>
      </w:r>
      <w:r w:rsidR="00D238E8">
        <w:rPr>
          <w:rStyle w:val="FontStyle129"/>
          <w:rFonts w:ascii="Calibri" w:hAnsi="Calibri"/>
          <w:i/>
          <w:sz w:val="24"/>
        </w:rPr>
        <w:fldChar w:fldCharType="begin"/>
      </w:r>
      <w:r w:rsidR="00D238E8">
        <w:instrText xml:space="preserve"> XE "</w:instrText>
      </w:r>
      <w:r w:rsidR="00D238E8" w:rsidRPr="002E6566">
        <w:rPr>
          <w:rStyle w:val="FontStyle129"/>
          <w:rFonts w:ascii="Calibri" w:hAnsi="Calibri"/>
          <w:i/>
          <w:sz w:val="24"/>
        </w:rPr>
        <w:instrText>Vor-blickbahn</w:instrText>
      </w:r>
      <w:r w:rsidR="00D238E8">
        <w:instrText xml:space="preserve">" </w:instrText>
      </w:r>
      <w:r w:rsidR="00D238E8">
        <w:rPr>
          <w:rStyle w:val="FontStyle129"/>
          <w:rFonts w:ascii="Calibri" w:hAnsi="Calibri"/>
          <w:i/>
          <w:sz w:val="24"/>
        </w:rPr>
        <w:fldChar w:fldCharType="end"/>
      </w:r>
      <w:r w:rsidR="00B411EB">
        <w:rPr>
          <w:rStyle w:val="FontStyle129"/>
          <w:rFonts w:ascii="Calibri" w:hAnsi="Calibri"/>
          <w:sz w:val="24"/>
        </w:rPr>
        <w:t>)</w:t>
      </w:r>
      <w:r w:rsidR="00B411EB" w:rsidRPr="00B411EB">
        <w:rPr>
          <w:rStyle w:val="FontStyle129"/>
          <w:rFonts w:ascii="Calibri" w:hAnsi="Calibri"/>
          <w:sz w:val="24"/>
        </w:rPr>
        <w:t>.</w:t>
      </w:r>
      <w:r w:rsidR="00B411EB">
        <w:rPr>
          <w:rStyle w:val="FontStyle129"/>
          <w:rFonts w:ascii="Calibri" w:hAnsi="Calibri"/>
          <w:sz w:val="24"/>
        </w:rPr>
        <w:t xml:space="preserve"> </w:t>
      </w:r>
      <w:r w:rsidR="003C146D" w:rsidRPr="003D1E07">
        <w:t xml:space="preserve">Buď je intelekt determinovaný od materiálních forem, nebo </w:t>
      </w:r>
      <w:r w:rsidR="00863D7C" w:rsidRPr="003D1E07">
        <w:t>od čistě intelektuálních forem.</w:t>
      </w:r>
      <w:r w:rsidR="087528DE" w:rsidRPr="003D1E07">
        <w:t xml:space="preserve"> </w:t>
      </w:r>
      <w:r w:rsidR="08356879" w:rsidRPr="003D1E07">
        <w:t>Al</w:t>
      </w:r>
      <w:r w:rsidR="08356879" w:rsidRPr="003D1E07">
        <w:noBreakHyphen/>
        <w:t xml:space="preserve">Fárábí předložil první analýzu ambivalentní povahy intelektu, který vytváří nové </w:t>
      </w:r>
      <w:r w:rsidR="08356879" w:rsidRPr="003D1E07">
        <w:rPr>
          <w:i/>
        </w:rPr>
        <w:t>Lichtung</w:t>
      </w:r>
      <w:r w:rsidR="004667CF" w:rsidRPr="003D1E07">
        <w:t xml:space="preserve"> západní metafyziky. </w:t>
      </w:r>
      <w:r w:rsidR="08DE4F57" w:rsidRPr="003D1E07">
        <w:t xml:space="preserve">Druhý mistr </w:t>
      </w:r>
      <w:r w:rsidR="00FF35EF" w:rsidRPr="003D1E07">
        <w:t>se stal praotcem západní objektivity z titulu dvojího určení substance</w:t>
      </w:r>
      <w:r w:rsidR="00A70FA4" w:rsidRPr="003D1E07">
        <w:fldChar w:fldCharType="begin"/>
      </w:r>
      <w:r w:rsidR="00A70FA4" w:rsidRPr="003D1E07">
        <w:instrText xml:space="preserve"> XE "substance</w:instrText>
      </w:r>
      <w:r w:rsidR="00E0038B" w:rsidRPr="003D1E07">
        <w:instrText>:Al-</w:instrText>
      </w:r>
      <w:r w:rsidR="008E02F5" w:rsidRPr="003D1E07">
        <w:instrText>Fárábí</w:instrText>
      </w:r>
      <w:r w:rsidR="00A70FA4" w:rsidRPr="003D1E07">
        <w:instrText xml:space="preserve">" </w:instrText>
      </w:r>
      <w:r w:rsidR="00A70FA4" w:rsidRPr="003D1E07">
        <w:fldChar w:fldCharType="end"/>
      </w:r>
      <w:r w:rsidR="00FF35EF" w:rsidRPr="003D1E07">
        <w:t xml:space="preserve">, jejíž predikace </w:t>
      </w:r>
      <w:r w:rsidR="00FF35EF" w:rsidRPr="003D1E07">
        <w:rPr>
          <w:i/>
        </w:rPr>
        <w:t>per prius</w:t>
      </w:r>
      <w:r w:rsidR="00FF35EF" w:rsidRPr="003D1E07">
        <w:t xml:space="preserve"> a </w:t>
      </w:r>
      <w:r w:rsidR="00FF35EF" w:rsidRPr="003D1E07">
        <w:rPr>
          <w:i/>
        </w:rPr>
        <w:t>per posterius</w:t>
      </w:r>
      <w:r w:rsidR="00FF35EF" w:rsidRPr="003D1E07">
        <w:t xml:space="preserve"> je dána na </w:t>
      </w:r>
      <w:r w:rsidR="00C64123" w:rsidRPr="003D1E07">
        <w:t>po</w:t>
      </w:r>
      <w:r w:rsidR="00FF35FA" w:rsidRPr="003D1E07">
        <w:t>mezí dvou pojetí metafyziky.</w:t>
      </w:r>
      <w:r w:rsidR="003F20F3" w:rsidRPr="003D1E07">
        <w:rPr>
          <w:szCs w:val="27"/>
          <w:shd w:val="clear" w:color="auto" w:fill="FFFFFF"/>
        </w:rPr>
        <w:t xml:space="preserve"> </w:t>
      </w:r>
      <w:r w:rsidR="0072464A" w:rsidRPr="003D1E07">
        <w:rPr>
          <w:szCs w:val="27"/>
          <w:shd w:val="clear" w:color="auto" w:fill="FFFFFF"/>
        </w:rPr>
        <w:t xml:space="preserve">První proud existoval </w:t>
      </w:r>
      <w:r w:rsidR="088F1056" w:rsidRPr="003D1E07">
        <w:rPr>
          <w:szCs w:val="27"/>
          <w:shd w:val="clear" w:color="auto" w:fill="FFFFFF"/>
        </w:rPr>
        <w:t>v </w:t>
      </w:r>
      <w:r w:rsidR="08B16C7B" w:rsidRPr="003D1E07">
        <w:rPr>
          <w:szCs w:val="27"/>
          <w:shd w:val="clear" w:color="auto" w:fill="FFFFFF"/>
        </w:rPr>
        <w:t>bagdád</w:t>
      </w:r>
      <w:r w:rsidR="088F1056" w:rsidRPr="003D1E07">
        <w:rPr>
          <w:szCs w:val="27"/>
          <w:shd w:val="clear" w:color="auto" w:fill="FFFFFF"/>
        </w:rPr>
        <w:t xml:space="preserve">ském Domě moudrosti </w:t>
      </w:r>
      <w:r w:rsidR="0072464A" w:rsidRPr="003D1E07">
        <w:rPr>
          <w:szCs w:val="27"/>
          <w:shd w:val="clear" w:color="auto" w:fill="FFFFFF"/>
        </w:rPr>
        <w:t xml:space="preserve">již před </w:t>
      </w:r>
      <w:r w:rsidR="088F1056" w:rsidRPr="003D1E07">
        <w:rPr>
          <w:szCs w:val="27"/>
          <w:shd w:val="clear" w:color="auto" w:fill="FFFFFF"/>
        </w:rPr>
        <w:t>jeho působením</w:t>
      </w:r>
      <w:r w:rsidR="0072464A" w:rsidRPr="003D1E07">
        <w:rPr>
          <w:szCs w:val="27"/>
          <w:shd w:val="clear" w:color="auto" w:fill="FFFFFF"/>
        </w:rPr>
        <w:t xml:space="preserve">. </w:t>
      </w:r>
      <w:r w:rsidR="086E0647" w:rsidRPr="003D1E07">
        <w:rPr>
          <w:lang w:eastAsia="en-US"/>
        </w:rPr>
        <w:t>Neoplatonik Al</w:t>
      </w:r>
      <w:r w:rsidR="086E0647" w:rsidRPr="003D1E07">
        <w:rPr>
          <w:lang w:eastAsia="en-US"/>
        </w:rPr>
        <w:noBreakHyphen/>
        <w:t>Kindí</w:t>
      </w:r>
      <w:r w:rsidR="086E0647" w:rsidRPr="003D1E07">
        <w:rPr>
          <w:lang w:eastAsia="en-US"/>
        </w:rPr>
        <w:fldChar w:fldCharType="begin"/>
      </w:r>
      <w:r w:rsidR="086E0647" w:rsidRPr="003D1E07">
        <w:instrText xml:space="preserve"> XE "</w:instrText>
      </w:r>
      <w:r w:rsidR="086E0647" w:rsidRPr="003D1E07">
        <w:rPr>
          <w:lang w:eastAsia="en-US"/>
        </w:rPr>
        <w:instrText>Al-Kindí</w:instrText>
      </w:r>
      <w:r w:rsidR="086E0647" w:rsidRPr="003D1E07">
        <w:instrText xml:space="preserve">" </w:instrText>
      </w:r>
      <w:r w:rsidR="086E0647" w:rsidRPr="003D1E07">
        <w:rPr>
          <w:lang w:eastAsia="en-US"/>
        </w:rPr>
        <w:fldChar w:fldCharType="end"/>
      </w:r>
      <w:r w:rsidR="086E0647" w:rsidRPr="003D1E07">
        <w:rPr>
          <w:lang w:eastAsia="en-US"/>
        </w:rPr>
        <w:t xml:space="preserve"> pojímá </w:t>
      </w:r>
      <w:r w:rsidR="00A724E6">
        <w:rPr>
          <w:lang w:eastAsia="en-US"/>
        </w:rPr>
        <w:t>stvořené věci</w:t>
      </w:r>
      <w:r w:rsidR="086E0647" w:rsidRPr="003D1E07">
        <w:rPr>
          <w:lang w:eastAsia="en-US"/>
        </w:rPr>
        <w:t xml:space="preserve"> </w:t>
      </w:r>
      <w:r w:rsidR="00761E75" w:rsidRPr="003D1E07">
        <w:rPr>
          <w:lang w:eastAsia="en-US"/>
        </w:rPr>
        <w:t xml:space="preserve">v rámci </w:t>
      </w:r>
      <w:r w:rsidR="00D51DD0" w:rsidRPr="003D1E07">
        <w:rPr>
          <w:lang w:eastAsia="en-US"/>
        </w:rPr>
        <w:t>univocity a homogenity</w:t>
      </w:r>
      <w:r w:rsidR="00E33CCC" w:rsidRPr="003D1E07">
        <w:rPr>
          <w:lang w:eastAsia="en-US"/>
        </w:rPr>
        <w:t xml:space="preserve"> neoplatonského jsoucna</w:t>
      </w:r>
      <w:r w:rsidR="00983826" w:rsidRPr="003D1E07">
        <w:rPr>
          <w:lang w:eastAsia="en-US"/>
        </w:rPr>
        <w:t xml:space="preserve"> jako nejvyššího rodu</w:t>
      </w:r>
      <w:r w:rsidR="00AE37E2" w:rsidRPr="003D1E07">
        <w:rPr>
          <w:lang w:eastAsia="en-US"/>
        </w:rPr>
        <w:t xml:space="preserve">. </w:t>
      </w:r>
      <w:r w:rsidR="006B645A">
        <w:rPr>
          <w:lang w:eastAsia="en-US"/>
        </w:rPr>
        <w:t xml:space="preserve">Intelekt </w:t>
      </w:r>
      <w:r w:rsidR="00D51DD0" w:rsidRPr="003D1E07">
        <w:rPr>
          <w:lang w:eastAsia="en-US"/>
        </w:rPr>
        <w:t xml:space="preserve">osvícený </w:t>
      </w:r>
      <w:r w:rsidR="006B645A">
        <w:rPr>
          <w:lang w:eastAsia="en-US"/>
        </w:rPr>
        <w:t xml:space="preserve">kosmickými formami </w:t>
      </w:r>
      <w:r w:rsidR="00D51DD0" w:rsidRPr="003D1E07">
        <w:rPr>
          <w:lang w:eastAsia="en-US"/>
        </w:rPr>
        <w:t>vystupuje a sestupuje po žebříku jsoucen třetího druhu až k</w:t>
      </w:r>
      <w:r w:rsidR="08155C51" w:rsidRPr="003D1E07">
        <w:rPr>
          <w:lang w:eastAsia="en-US"/>
        </w:rPr>
        <w:t xml:space="preserve"> nejvyššímu a oddělenému </w:t>
      </w:r>
      <w:r w:rsidR="00D51DD0" w:rsidRPr="003D1E07">
        <w:rPr>
          <w:lang w:eastAsia="en-US"/>
        </w:rPr>
        <w:t xml:space="preserve">Jednomu. </w:t>
      </w:r>
      <w:r w:rsidR="003B24B5" w:rsidRPr="003D1E07">
        <w:rPr>
          <w:lang w:eastAsia="en-US"/>
        </w:rPr>
        <w:t xml:space="preserve">Smyslová realita, daná u Aristotela skrze </w:t>
      </w:r>
      <w:r w:rsidR="0833349D" w:rsidRPr="003D1E07">
        <w:rPr>
          <w:lang w:eastAsia="en-US"/>
        </w:rPr>
        <w:t xml:space="preserve">hyparchický </w:t>
      </w:r>
      <w:r w:rsidR="003B24B5" w:rsidRPr="003D1E07">
        <w:rPr>
          <w:lang w:eastAsia="en-US"/>
        </w:rPr>
        <w:t xml:space="preserve">primát </w:t>
      </w:r>
      <w:r w:rsidR="00A24F8F" w:rsidRPr="003D1E07">
        <w:rPr>
          <w:lang w:eastAsia="en-US"/>
        </w:rPr>
        <w:t xml:space="preserve">aktuální </w:t>
      </w:r>
      <w:r w:rsidR="003B24B5" w:rsidRPr="003D1E07">
        <w:rPr>
          <w:lang w:eastAsia="en-US"/>
        </w:rPr>
        <w:t xml:space="preserve">první substance, </w:t>
      </w:r>
      <w:r w:rsidR="006E1DFC" w:rsidRPr="003D1E07">
        <w:rPr>
          <w:lang w:eastAsia="en-US"/>
        </w:rPr>
        <w:t xml:space="preserve">není </w:t>
      </w:r>
      <w:r w:rsidR="00095266" w:rsidRPr="003D1E07">
        <w:rPr>
          <w:lang w:eastAsia="en-US"/>
        </w:rPr>
        <w:t xml:space="preserve">pro </w:t>
      </w:r>
      <w:r w:rsidR="00874074" w:rsidRPr="003D1E07">
        <w:rPr>
          <w:lang w:eastAsia="en-US"/>
        </w:rPr>
        <w:t>neoplatonsk</w:t>
      </w:r>
      <w:r w:rsidR="000D20F6" w:rsidRPr="003D1E07">
        <w:rPr>
          <w:lang w:eastAsia="en-US"/>
        </w:rPr>
        <w:t xml:space="preserve">é </w:t>
      </w:r>
      <w:r w:rsidR="00095266" w:rsidRPr="003D1E07">
        <w:rPr>
          <w:lang w:eastAsia="en-US"/>
        </w:rPr>
        <w:t xml:space="preserve">ilumináty </w:t>
      </w:r>
      <w:r w:rsidR="006E1DFC" w:rsidRPr="003D1E07">
        <w:rPr>
          <w:lang w:eastAsia="en-US"/>
        </w:rPr>
        <w:t>důležitá</w:t>
      </w:r>
      <w:r w:rsidR="00587900">
        <w:rPr>
          <w:lang w:eastAsia="en-US"/>
        </w:rPr>
        <w:t xml:space="preserve">. Materiální realita netvoří základ pravdy, a tím ani pravdivého </w:t>
      </w:r>
      <w:r w:rsidR="006E1DFC" w:rsidRPr="003D1E07">
        <w:rPr>
          <w:lang w:eastAsia="en-US"/>
        </w:rPr>
        <w:t xml:space="preserve">poznání. </w:t>
      </w:r>
      <w:r w:rsidR="08A24B6A" w:rsidRPr="003D1E07">
        <w:rPr>
          <w:lang w:eastAsia="en-US"/>
        </w:rPr>
        <w:t xml:space="preserve">Neoplatonským </w:t>
      </w:r>
      <w:r w:rsidR="009A18EB" w:rsidRPr="003D1E07">
        <w:rPr>
          <w:lang w:eastAsia="en-US"/>
        </w:rPr>
        <w:t xml:space="preserve">složením </w:t>
      </w:r>
      <w:r w:rsidR="006E2C87" w:rsidRPr="003D1E07">
        <w:rPr>
          <w:lang w:eastAsia="en-US"/>
        </w:rPr>
        <w:t xml:space="preserve">esence a existence </w:t>
      </w:r>
      <w:r w:rsidR="009A18EB" w:rsidRPr="003D1E07">
        <w:rPr>
          <w:lang w:eastAsia="en-US"/>
        </w:rPr>
        <w:t xml:space="preserve">nevznikla hledaná aktuální jednota první vědy, </w:t>
      </w:r>
      <w:r w:rsidR="00FD1E50" w:rsidRPr="003D1E07">
        <w:rPr>
          <w:lang w:eastAsia="en-US"/>
        </w:rPr>
        <w:t xml:space="preserve">ale </w:t>
      </w:r>
      <w:r w:rsidR="009A18EB" w:rsidRPr="003D1E07">
        <w:rPr>
          <w:lang w:eastAsia="en-US"/>
        </w:rPr>
        <w:t xml:space="preserve">pouze prázdný myšlenkový koncept. </w:t>
      </w:r>
      <w:r w:rsidR="086E0647" w:rsidRPr="003D1E07">
        <w:rPr>
          <w:lang w:eastAsia="en-US"/>
        </w:rPr>
        <w:t xml:space="preserve">Druhý mistr odmítl participaci jsoucen na </w:t>
      </w:r>
      <w:r w:rsidR="00464D8A" w:rsidRPr="003D1E07">
        <w:rPr>
          <w:lang w:eastAsia="en-US"/>
        </w:rPr>
        <w:t xml:space="preserve">existenci </w:t>
      </w:r>
      <w:r w:rsidR="086E0647" w:rsidRPr="003D1E07">
        <w:rPr>
          <w:lang w:eastAsia="en-US"/>
        </w:rPr>
        <w:t xml:space="preserve">Jednoho </w:t>
      </w:r>
      <w:r w:rsidR="00464D8A" w:rsidRPr="003D1E07">
        <w:rPr>
          <w:lang w:eastAsia="en-US"/>
        </w:rPr>
        <w:t>jako přímou ontologickou závislost</w:t>
      </w:r>
      <w:r w:rsidR="086E0647" w:rsidRPr="003D1E07">
        <w:rPr>
          <w:lang w:eastAsia="en-US"/>
        </w:rPr>
        <w:t>. Bytí nelze přičítat věcem zvnějšku jako nějaký akcident</w:t>
      </w:r>
      <w:r w:rsidR="009A556D" w:rsidRPr="003D1E07">
        <w:rPr>
          <w:lang w:eastAsia="en-US"/>
        </w:rPr>
        <w:t xml:space="preserve">, navíc definovaný </w:t>
      </w:r>
      <w:r w:rsidR="086E0647" w:rsidRPr="003D1E07">
        <w:rPr>
          <w:lang w:eastAsia="en-US"/>
        </w:rPr>
        <w:t xml:space="preserve">v řádu </w:t>
      </w:r>
      <w:r w:rsidR="009A556D" w:rsidRPr="003D1E07">
        <w:rPr>
          <w:lang w:eastAsia="en-US"/>
        </w:rPr>
        <w:t xml:space="preserve">neoplatonských </w:t>
      </w:r>
      <w:r w:rsidR="086E0647" w:rsidRPr="003D1E07">
        <w:rPr>
          <w:lang w:eastAsia="en-US"/>
        </w:rPr>
        <w:t xml:space="preserve">emanací od </w:t>
      </w:r>
      <w:r w:rsidR="006707CE" w:rsidRPr="003D1E07">
        <w:rPr>
          <w:lang w:eastAsia="en-US"/>
        </w:rPr>
        <w:t xml:space="preserve">odděleného bytí </w:t>
      </w:r>
      <w:r w:rsidR="086E0647" w:rsidRPr="003D1E07">
        <w:rPr>
          <w:lang w:eastAsia="en-US"/>
        </w:rPr>
        <w:t xml:space="preserve">Jednoho. </w:t>
      </w:r>
      <w:r w:rsidR="003B0EA1" w:rsidRPr="003D1E07">
        <w:rPr>
          <w:lang w:eastAsia="en-US"/>
        </w:rPr>
        <w:t>Al-Fá</w:t>
      </w:r>
      <w:r w:rsidR="0072464A" w:rsidRPr="003D1E07">
        <w:rPr>
          <w:lang w:eastAsia="en-US"/>
        </w:rPr>
        <w:t>rábí postavil nový n</w:t>
      </w:r>
      <w:r w:rsidR="0072464A" w:rsidRPr="003D1E07">
        <w:t>áhled m</w:t>
      </w:r>
      <w:r w:rsidR="005C3FA9" w:rsidRPr="003D1E07">
        <w:t>etafyziky na spojnici mezi Plato</w:t>
      </w:r>
      <w:r w:rsidR="0072464A" w:rsidRPr="003D1E07">
        <w:t>nem a Aristotelem</w:t>
      </w:r>
      <w:r w:rsidR="00FD1E50" w:rsidRPr="003D1E07">
        <w:t xml:space="preserve"> tím, že vyřešil vztah mezi první a druhou substancí podle spisu </w:t>
      </w:r>
      <w:r w:rsidR="00FD1E50" w:rsidRPr="003D1E07">
        <w:rPr>
          <w:i/>
        </w:rPr>
        <w:t>Kategorie</w:t>
      </w:r>
      <w:r w:rsidR="0072464A" w:rsidRPr="003D1E07">
        <w:t xml:space="preserve">. </w:t>
      </w:r>
      <w:r w:rsidR="0072464A" w:rsidRPr="003D1E07">
        <w:rPr>
          <w:rStyle w:val="Zkladntext158dkovn0pt"/>
          <w:color w:val="auto"/>
          <w:spacing w:val="0"/>
          <w:sz w:val="24"/>
          <w:lang w:val="cs-CZ"/>
        </w:rPr>
        <w:t xml:space="preserve">Nová forma </w:t>
      </w:r>
      <w:r w:rsidR="001F7F66" w:rsidRPr="003D1E07">
        <w:rPr>
          <w:rStyle w:val="Zkladntext158dkovn0pt"/>
          <w:color w:val="auto"/>
          <w:spacing w:val="0"/>
          <w:sz w:val="24"/>
          <w:lang w:val="cs-CZ"/>
        </w:rPr>
        <w:t xml:space="preserve">predikace </w:t>
      </w:r>
      <w:r w:rsidR="0072464A" w:rsidRPr="003D1E07">
        <w:rPr>
          <w:rStyle w:val="Zkladntext158dkovn0pt"/>
          <w:color w:val="auto"/>
          <w:spacing w:val="0"/>
          <w:sz w:val="24"/>
          <w:lang w:val="cs-CZ"/>
        </w:rPr>
        <w:t xml:space="preserve">odmítla svět </w:t>
      </w:r>
      <w:r w:rsidR="08B16C7B" w:rsidRPr="003D1E07">
        <w:rPr>
          <w:rStyle w:val="Zkladntext158dkovn0pt"/>
          <w:color w:val="auto"/>
          <w:spacing w:val="0"/>
          <w:sz w:val="24"/>
          <w:lang w:val="cs-CZ"/>
        </w:rPr>
        <w:t xml:space="preserve">neoplatonských </w:t>
      </w:r>
      <w:r w:rsidR="0072464A" w:rsidRPr="003D1E07">
        <w:rPr>
          <w:rStyle w:val="Zkladntext158dkovn0pt"/>
          <w:color w:val="auto"/>
          <w:spacing w:val="0"/>
          <w:sz w:val="24"/>
          <w:lang w:val="cs-CZ"/>
        </w:rPr>
        <w:t>simuláker</w:t>
      </w:r>
      <w:r w:rsidR="00B40981" w:rsidRPr="003D1E07">
        <w:rPr>
          <w:rStyle w:val="Zkladntext158dkovn0pt"/>
          <w:color w:val="auto"/>
          <w:spacing w:val="0"/>
          <w:sz w:val="24"/>
          <w:lang w:val="cs-CZ"/>
        </w:rPr>
        <w:fldChar w:fldCharType="begin"/>
      </w:r>
      <w:r w:rsidR="00B40981" w:rsidRPr="003D1E07">
        <w:instrText xml:space="preserve"> XE "</w:instrText>
      </w:r>
      <w:r w:rsidR="002E709C" w:rsidRPr="003D1E07">
        <w:instrText>simulákrum</w:instrText>
      </w:r>
      <w:r w:rsidR="00B40981" w:rsidRPr="003D1E07">
        <w:instrText xml:space="preserve">" </w:instrText>
      </w:r>
      <w:r w:rsidR="00B40981" w:rsidRPr="003D1E07">
        <w:rPr>
          <w:rStyle w:val="Zkladntext158dkovn0pt"/>
          <w:color w:val="auto"/>
          <w:spacing w:val="0"/>
          <w:sz w:val="24"/>
          <w:lang w:val="cs-CZ"/>
        </w:rPr>
        <w:fldChar w:fldCharType="end"/>
      </w:r>
      <w:r w:rsidR="0072464A" w:rsidRPr="003D1E07">
        <w:rPr>
          <w:rStyle w:val="Zkladntext158dkovn0pt"/>
          <w:color w:val="auto"/>
          <w:spacing w:val="0"/>
          <w:sz w:val="24"/>
          <w:lang w:val="cs-CZ"/>
        </w:rPr>
        <w:t xml:space="preserve"> a vyvedla filosofii z</w:t>
      </w:r>
      <w:r w:rsidR="08B16C7B" w:rsidRPr="003D1E07">
        <w:rPr>
          <w:rStyle w:val="Zkladntext158dkovn0pt"/>
          <w:color w:val="auto"/>
          <w:spacing w:val="0"/>
          <w:sz w:val="24"/>
          <w:lang w:val="cs-CZ"/>
        </w:rPr>
        <w:t xml:space="preserve"> mytopoetické </w:t>
      </w:r>
      <w:r w:rsidR="0072464A" w:rsidRPr="003D1E07">
        <w:rPr>
          <w:rStyle w:val="Zkladntext158dkovn0pt"/>
          <w:color w:val="auto"/>
          <w:spacing w:val="0"/>
          <w:sz w:val="24"/>
          <w:lang w:val="cs-CZ"/>
        </w:rPr>
        <w:t xml:space="preserve">jeskyně zpět do reálného světa. Smysly kauzálně a formálně určují rozumové </w:t>
      </w:r>
      <w:r w:rsidR="006927A6" w:rsidRPr="003D1E07">
        <w:rPr>
          <w:rStyle w:val="Zkladntext158dkovn0pt"/>
          <w:color w:val="auto"/>
          <w:spacing w:val="0"/>
          <w:sz w:val="24"/>
          <w:lang w:val="cs-CZ"/>
        </w:rPr>
        <w:t>poznání,</w:t>
      </w:r>
      <w:r w:rsidR="084B4B73" w:rsidRPr="003D1E07">
        <w:rPr>
          <w:rStyle w:val="Zkladntext158dkovn0pt"/>
          <w:color w:val="auto"/>
          <w:spacing w:val="0"/>
          <w:sz w:val="24"/>
          <w:lang w:val="cs-CZ"/>
        </w:rPr>
        <w:t xml:space="preserve"> protože intelekt </w:t>
      </w:r>
      <w:r w:rsidR="006927A6" w:rsidRPr="003D1E07">
        <w:rPr>
          <w:rStyle w:val="Zkladntext158dkovn0pt"/>
          <w:color w:val="auto"/>
          <w:spacing w:val="0"/>
          <w:sz w:val="24"/>
          <w:lang w:val="cs-CZ"/>
        </w:rPr>
        <w:t xml:space="preserve">jde </w:t>
      </w:r>
      <w:r w:rsidR="084B4B73" w:rsidRPr="003D1E07">
        <w:rPr>
          <w:rStyle w:val="Zkladntext158dkovn0pt"/>
          <w:color w:val="auto"/>
          <w:spacing w:val="0"/>
          <w:sz w:val="24"/>
          <w:lang w:val="cs-CZ"/>
        </w:rPr>
        <w:t xml:space="preserve">skrze smysly </w:t>
      </w:r>
      <w:r w:rsidR="00290AC1" w:rsidRPr="003D1E07">
        <w:rPr>
          <w:rStyle w:val="Zkladntext158dkovn0pt"/>
          <w:color w:val="auto"/>
          <w:spacing w:val="0"/>
          <w:sz w:val="24"/>
          <w:lang w:val="cs-CZ"/>
        </w:rPr>
        <w:t>k reálné první substanci</w:t>
      </w:r>
      <w:r w:rsidR="0072464A" w:rsidRPr="003D1E07">
        <w:rPr>
          <w:rStyle w:val="Zkladntext158dkovn0pt"/>
          <w:color w:val="auto"/>
          <w:spacing w:val="0"/>
          <w:sz w:val="24"/>
          <w:lang w:val="cs-CZ"/>
        </w:rPr>
        <w:t xml:space="preserve">. </w:t>
      </w:r>
      <w:r w:rsidR="08297CC9" w:rsidRPr="003D1E07">
        <w:rPr>
          <w:rStyle w:val="Zkladntext158dkovn0pt"/>
          <w:color w:val="auto"/>
          <w:spacing w:val="0"/>
          <w:sz w:val="24"/>
          <w:lang w:val="cs-CZ"/>
        </w:rPr>
        <w:t>Reálná</w:t>
      </w:r>
      <w:r w:rsidR="08482693" w:rsidRPr="003D1E07">
        <w:rPr>
          <w:rStyle w:val="Zkladntext158dkovn0pt"/>
          <w:color w:val="auto"/>
          <w:spacing w:val="0"/>
          <w:sz w:val="24"/>
          <w:lang w:val="cs-CZ"/>
        </w:rPr>
        <w:t xml:space="preserve"> první substance </w:t>
      </w:r>
      <w:r w:rsidR="08297CC9" w:rsidRPr="003D1E07">
        <w:rPr>
          <w:rStyle w:val="Zkladntext158dkovn0pt"/>
          <w:color w:val="auto"/>
          <w:spacing w:val="0"/>
          <w:sz w:val="24"/>
          <w:lang w:val="cs-CZ"/>
        </w:rPr>
        <w:t xml:space="preserve">aktualizuje poznání tím, že umožňuje syntézu významů </w:t>
      </w:r>
      <w:r w:rsidR="0072464A" w:rsidRPr="003D1E07">
        <w:rPr>
          <w:rStyle w:val="Zkladntext158dkovn0pt"/>
          <w:color w:val="auto"/>
          <w:spacing w:val="0"/>
          <w:sz w:val="24"/>
          <w:lang w:val="cs-CZ"/>
        </w:rPr>
        <w:t>v animální nebo intelektuální duši. Obojí forma receptivity na úrovni intencionality je pouze potenci</w:t>
      </w:r>
      <w:r w:rsidR="08482693" w:rsidRPr="003D1E07">
        <w:rPr>
          <w:rStyle w:val="Zkladntext158dkovn0pt"/>
          <w:color w:val="auto"/>
          <w:spacing w:val="0"/>
          <w:sz w:val="24"/>
          <w:lang w:val="cs-CZ"/>
        </w:rPr>
        <w:t xml:space="preserve">ální a její </w:t>
      </w:r>
      <w:r w:rsidR="0072464A" w:rsidRPr="003D1E07">
        <w:rPr>
          <w:rStyle w:val="Zkladntext158dkovn0pt"/>
          <w:color w:val="auto"/>
          <w:spacing w:val="0"/>
          <w:sz w:val="24"/>
          <w:lang w:val="cs-CZ"/>
        </w:rPr>
        <w:t>ak</w:t>
      </w:r>
      <w:r w:rsidR="08482693" w:rsidRPr="003D1E07">
        <w:rPr>
          <w:rStyle w:val="Zkladntext158dkovn0pt"/>
          <w:color w:val="auto"/>
          <w:spacing w:val="0"/>
          <w:sz w:val="24"/>
          <w:lang w:val="cs-CZ"/>
        </w:rPr>
        <w:t>tualizace běží</w:t>
      </w:r>
      <w:r w:rsidR="0072464A" w:rsidRPr="003D1E07">
        <w:rPr>
          <w:rStyle w:val="Zkladntext158dkovn0pt"/>
          <w:color w:val="auto"/>
          <w:spacing w:val="0"/>
          <w:sz w:val="24"/>
          <w:lang w:val="cs-CZ"/>
        </w:rPr>
        <w:t xml:space="preserve"> ve dvojím procesu abstrakce. Představivost</w:t>
      </w:r>
      <w:r w:rsidR="081625A0" w:rsidRPr="003D1E07">
        <w:rPr>
          <w:rStyle w:val="Zkladntext158dkovn0pt"/>
          <w:color w:val="auto"/>
          <w:spacing w:val="0"/>
          <w:sz w:val="24"/>
          <w:lang w:val="cs-CZ"/>
        </w:rPr>
        <w:t xml:space="preserve"> a syntéza smyslových poznatků </w:t>
      </w:r>
      <w:r w:rsidR="0072464A" w:rsidRPr="003D1E07">
        <w:rPr>
          <w:rStyle w:val="Zkladntext158dkovn0pt"/>
          <w:color w:val="auto"/>
          <w:spacing w:val="0"/>
          <w:sz w:val="24"/>
          <w:lang w:val="cs-CZ"/>
        </w:rPr>
        <w:t xml:space="preserve">tvoří </w:t>
      </w:r>
      <w:r w:rsidR="00F214C5" w:rsidRPr="003D1E07">
        <w:rPr>
          <w:rStyle w:val="Zkladntext158dkovn0pt"/>
          <w:color w:val="auto"/>
          <w:spacing w:val="0"/>
          <w:sz w:val="24"/>
          <w:lang w:val="cs-CZ"/>
        </w:rPr>
        <w:t>species</w:t>
      </w:r>
      <w:r w:rsidR="0072464A" w:rsidRPr="003D1E07">
        <w:rPr>
          <w:rStyle w:val="Zkladntext158dkovn0pt"/>
          <w:color w:val="auto"/>
          <w:spacing w:val="0"/>
          <w:sz w:val="24"/>
          <w:lang w:val="cs-CZ"/>
        </w:rPr>
        <w:t xml:space="preserve"> na animální úrovni pro smysly</w:t>
      </w:r>
      <w:r w:rsidR="08921E10" w:rsidRPr="003D1E07">
        <w:rPr>
          <w:rStyle w:val="Zkladntext158dkovn0pt"/>
          <w:color w:val="auto"/>
          <w:spacing w:val="0"/>
          <w:sz w:val="24"/>
          <w:lang w:val="cs-CZ"/>
        </w:rPr>
        <w:t>. I</w:t>
      </w:r>
      <w:r w:rsidR="0072464A" w:rsidRPr="003D1E07">
        <w:rPr>
          <w:rStyle w:val="Zkladntext158dkovn0pt"/>
          <w:color w:val="auto"/>
          <w:spacing w:val="0"/>
          <w:sz w:val="24"/>
          <w:lang w:val="cs-CZ"/>
        </w:rPr>
        <w:t xml:space="preserve">ntelekt </w:t>
      </w:r>
      <w:r w:rsidR="08921E10" w:rsidRPr="003D1E07">
        <w:rPr>
          <w:rStyle w:val="Zkladntext158dkovn0pt"/>
          <w:color w:val="auto"/>
          <w:spacing w:val="0"/>
          <w:sz w:val="24"/>
          <w:lang w:val="cs-CZ"/>
        </w:rPr>
        <w:t xml:space="preserve">pak </w:t>
      </w:r>
      <w:r w:rsidR="0072464A" w:rsidRPr="003D1E07">
        <w:rPr>
          <w:rStyle w:val="Zkladntext158dkovn0pt"/>
          <w:color w:val="auto"/>
          <w:spacing w:val="0"/>
          <w:sz w:val="24"/>
          <w:lang w:val="cs-CZ"/>
        </w:rPr>
        <w:t xml:space="preserve">vytváří univerzální pojmy lidské rozumové duše. Proto je intelekt </w:t>
      </w:r>
      <w:r w:rsidR="0072464A" w:rsidRPr="003D1E07">
        <w:rPr>
          <w:rStyle w:val="Zkladntext158dkovn0pt"/>
          <w:i/>
          <w:color w:val="auto"/>
          <w:spacing w:val="0"/>
          <w:sz w:val="24"/>
          <w:lang w:val="cs-CZ"/>
        </w:rPr>
        <w:t>per prius</w:t>
      </w:r>
      <w:r w:rsidR="0072464A" w:rsidRPr="003D1E07">
        <w:rPr>
          <w:rStyle w:val="Zkladntext158dkovn0pt"/>
          <w:color w:val="auto"/>
          <w:spacing w:val="0"/>
          <w:sz w:val="24"/>
          <w:lang w:val="cs-CZ"/>
        </w:rPr>
        <w:t xml:space="preserve"> dán ve schopnosti individuální duše a </w:t>
      </w:r>
      <w:r w:rsidR="0072464A" w:rsidRPr="003D1E07">
        <w:rPr>
          <w:rStyle w:val="Zkladntext158dkovn0pt"/>
          <w:i/>
          <w:color w:val="auto"/>
          <w:spacing w:val="0"/>
          <w:sz w:val="24"/>
          <w:lang w:val="cs-CZ"/>
        </w:rPr>
        <w:t>per posterius</w:t>
      </w:r>
      <w:r w:rsidR="0072464A" w:rsidRPr="003D1E07">
        <w:rPr>
          <w:rStyle w:val="Zkladntext158dkovn0pt"/>
          <w:color w:val="auto"/>
          <w:spacing w:val="0"/>
          <w:sz w:val="24"/>
          <w:lang w:val="cs-CZ"/>
        </w:rPr>
        <w:t xml:space="preserve"> tvoří univerzální určení lidstva. Připomeňme, že </w:t>
      </w:r>
      <w:r w:rsidR="08590622" w:rsidRPr="003D1E07">
        <w:rPr>
          <w:rStyle w:val="Zkladntext158dkovn0pt"/>
          <w:color w:val="auto"/>
          <w:spacing w:val="0"/>
          <w:sz w:val="24"/>
          <w:lang w:val="cs-CZ"/>
        </w:rPr>
        <w:t xml:space="preserve">Al-Fárábím založená </w:t>
      </w:r>
      <w:r w:rsidR="0072464A" w:rsidRPr="003D1E07">
        <w:rPr>
          <w:rStyle w:val="Zkladntext158dkovn0pt"/>
          <w:i/>
          <w:color w:val="auto"/>
          <w:spacing w:val="0"/>
          <w:sz w:val="24"/>
          <w:lang w:val="cs-CZ"/>
        </w:rPr>
        <w:t>universitas humana</w:t>
      </w:r>
      <w:r w:rsidR="008B47B0" w:rsidRPr="003D1E07">
        <w:rPr>
          <w:rStyle w:val="Zkladntext158dkovn0pt"/>
          <w:i/>
          <w:color w:val="auto"/>
          <w:spacing w:val="0"/>
          <w:sz w:val="24"/>
          <w:lang w:val="cs-CZ"/>
        </w:rPr>
        <w:fldChar w:fldCharType="begin"/>
      </w:r>
      <w:r w:rsidR="008B47B0" w:rsidRPr="003D1E07">
        <w:instrText xml:space="preserve"> XE "</w:instrText>
      </w:r>
      <w:r w:rsidR="008B47B0" w:rsidRPr="003D1E07">
        <w:rPr>
          <w:i/>
        </w:rPr>
        <w:instrText>universitas humana</w:instrText>
      </w:r>
      <w:r w:rsidR="008B47B0" w:rsidRPr="003D1E07">
        <w:instrText xml:space="preserve">" </w:instrText>
      </w:r>
      <w:r w:rsidR="008B47B0" w:rsidRPr="003D1E07">
        <w:rPr>
          <w:rStyle w:val="Zkladntext158dkovn0pt"/>
          <w:i/>
          <w:color w:val="auto"/>
          <w:spacing w:val="0"/>
          <w:sz w:val="24"/>
          <w:lang w:val="cs-CZ"/>
        </w:rPr>
        <w:fldChar w:fldCharType="end"/>
      </w:r>
      <w:r w:rsidR="0072464A" w:rsidRPr="003D1E07">
        <w:rPr>
          <w:rStyle w:val="Zkladntext158dkovn0pt"/>
          <w:color w:val="auto"/>
          <w:spacing w:val="0"/>
          <w:sz w:val="24"/>
          <w:lang w:val="cs-CZ"/>
        </w:rPr>
        <w:t xml:space="preserve"> je možná pouze díky nemateriální formě </w:t>
      </w:r>
      <w:r w:rsidR="0072464A" w:rsidRPr="003D1E07">
        <w:rPr>
          <w:rStyle w:val="Zkladntext158dkovn0pt"/>
          <w:i/>
          <w:color w:val="auto"/>
          <w:spacing w:val="0"/>
          <w:sz w:val="24"/>
          <w:lang w:val="cs-CZ"/>
        </w:rPr>
        <w:t>intellectus possibilis</w:t>
      </w:r>
      <w:r w:rsidR="00C64FCB" w:rsidRPr="003D1E07">
        <w:rPr>
          <w:rStyle w:val="Zkladntext158dkovn0pt"/>
          <w:color w:val="auto"/>
          <w:spacing w:val="0"/>
          <w:sz w:val="24"/>
          <w:lang w:val="cs-CZ"/>
        </w:rPr>
        <w:t xml:space="preserve">. </w:t>
      </w:r>
      <w:r w:rsidR="00C64FCB" w:rsidRPr="003D1E07">
        <w:rPr>
          <w:rStyle w:val="Zkladntext158dkovn0pt"/>
          <w:color w:val="auto"/>
          <w:spacing w:val="0"/>
          <w:sz w:val="24"/>
          <w:lang w:val="cs-CZ"/>
        </w:rPr>
        <w:lastRenderedPageBreak/>
        <w:t xml:space="preserve">Tuto receptivitu nemají </w:t>
      </w:r>
      <w:r w:rsidR="0072464A" w:rsidRPr="003D1E07">
        <w:rPr>
          <w:rStyle w:val="Zkladntext158dkovn0pt"/>
          <w:color w:val="auto"/>
          <w:spacing w:val="0"/>
          <w:sz w:val="24"/>
          <w:lang w:val="cs-CZ"/>
        </w:rPr>
        <w:t>smyslově recip</w:t>
      </w:r>
      <w:r w:rsidR="00FC3B1F">
        <w:rPr>
          <w:rStyle w:val="Zkladntext158dkovn0pt"/>
          <w:color w:val="auto"/>
          <w:spacing w:val="0"/>
          <w:sz w:val="24"/>
          <w:lang w:val="cs-CZ"/>
        </w:rPr>
        <w:t>ující a syntetizující zvířata. K</w:t>
      </w:r>
      <w:r w:rsidR="0072464A" w:rsidRPr="003D1E07">
        <w:rPr>
          <w:rStyle w:val="Zkladntext158dkovn0pt"/>
          <w:color w:val="auto"/>
          <w:spacing w:val="0"/>
          <w:sz w:val="24"/>
          <w:lang w:val="cs-CZ"/>
        </w:rPr>
        <w:t>osmické inteligence ji nepotřebují</w:t>
      </w:r>
      <w:r w:rsidR="00FC3B1F">
        <w:rPr>
          <w:rStyle w:val="Zkladntext158dkovn0pt"/>
          <w:color w:val="auto"/>
          <w:spacing w:val="0"/>
          <w:sz w:val="24"/>
          <w:lang w:val="cs-CZ"/>
        </w:rPr>
        <w:t>, protože jejich intelekt je plně aktualizovaný</w:t>
      </w:r>
      <w:r w:rsidR="0072464A" w:rsidRPr="003D1E07">
        <w:rPr>
          <w:rStyle w:val="Zkladntext158dkovn0pt"/>
          <w:color w:val="auto"/>
          <w:spacing w:val="0"/>
          <w:sz w:val="24"/>
          <w:lang w:val="cs-CZ"/>
        </w:rPr>
        <w:t xml:space="preserve">. </w:t>
      </w:r>
      <w:r w:rsidR="00CF1C31">
        <w:rPr>
          <w:rStyle w:val="Zkladntext158dkovn0pt"/>
          <w:color w:val="auto"/>
          <w:spacing w:val="0"/>
          <w:sz w:val="24"/>
          <w:lang w:val="cs-CZ"/>
        </w:rPr>
        <w:t xml:space="preserve">Tím vzniklo první </w:t>
      </w:r>
      <w:r w:rsidR="00E00F80">
        <w:rPr>
          <w:rStyle w:val="Zkladntext158dkovn0pt"/>
          <w:color w:val="auto"/>
          <w:spacing w:val="0"/>
          <w:sz w:val="24"/>
          <w:lang w:val="cs-CZ"/>
        </w:rPr>
        <w:t xml:space="preserve">filosofické </w:t>
      </w:r>
      <w:r w:rsidR="00CF1C31">
        <w:rPr>
          <w:rStyle w:val="Zkladntext158dkovn0pt"/>
          <w:color w:val="auto"/>
          <w:spacing w:val="0"/>
          <w:sz w:val="24"/>
          <w:lang w:val="cs-CZ"/>
        </w:rPr>
        <w:t xml:space="preserve">určení jednoty lidstva založené na pojetí </w:t>
      </w:r>
      <w:r w:rsidR="00CF1C31" w:rsidRPr="00CF1C31">
        <w:rPr>
          <w:rStyle w:val="Zkladntext158dkovn0pt"/>
          <w:i/>
          <w:color w:val="auto"/>
          <w:spacing w:val="0"/>
          <w:sz w:val="24"/>
          <w:lang w:val="cs-CZ"/>
        </w:rPr>
        <w:t>intellectus in potentia</w:t>
      </w:r>
      <w:r w:rsidR="00E85E22">
        <w:rPr>
          <w:rStyle w:val="Zkladntext158dkovn0pt"/>
          <w:color w:val="auto"/>
          <w:spacing w:val="0"/>
          <w:sz w:val="24"/>
          <w:lang w:val="cs-CZ"/>
        </w:rPr>
        <w:t xml:space="preserve">, který dostal specifický charakter. </w:t>
      </w:r>
      <w:r w:rsidR="003A797E" w:rsidRPr="003D1E07">
        <w:rPr>
          <w:rStyle w:val="Zkladntext158dkovn0pt"/>
          <w:color w:val="auto"/>
          <w:spacing w:val="0"/>
          <w:sz w:val="24"/>
          <w:lang w:val="cs-CZ"/>
        </w:rPr>
        <w:t>Alfarabius současně podržel tradici mysticko-filosofi</w:t>
      </w:r>
      <w:r w:rsidR="08555851" w:rsidRPr="003D1E07">
        <w:rPr>
          <w:rStyle w:val="Zkladntext158dkovn0pt"/>
          <w:color w:val="auto"/>
          <w:spacing w:val="0"/>
          <w:sz w:val="24"/>
          <w:lang w:val="cs-CZ"/>
        </w:rPr>
        <w:t>cké iluminace dané neoplatoniky a tím se stal zakladatelem objektivity.</w:t>
      </w:r>
    </w:p>
    <w:p w14:paraId="1A52CB98" w14:textId="0B7F08CD" w:rsidR="00D053A8" w:rsidRDefault="005A03F4" w:rsidP="00D053A8">
      <w:pPr>
        <w:ind w:firstLine="397"/>
      </w:pPr>
      <w:r w:rsidRPr="003D1E07">
        <w:rPr>
          <w:lang w:eastAsia="en-US"/>
        </w:rPr>
        <w:t xml:space="preserve">Avicenna </w:t>
      </w:r>
      <w:r w:rsidR="088D033A" w:rsidRPr="003D1E07">
        <w:rPr>
          <w:lang w:eastAsia="en-US"/>
        </w:rPr>
        <w:t xml:space="preserve">rozvíjí neoplatonskou </w:t>
      </w:r>
      <w:r w:rsidR="006A2D4B" w:rsidRPr="003D1E07">
        <w:rPr>
          <w:lang w:eastAsia="en-US"/>
        </w:rPr>
        <w:t>linii A</w:t>
      </w:r>
      <w:r w:rsidR="081625A0" w:rsidRPr="003D1E07">
        <w:rPr>
          <w:lang w:eastAsia="en-US"/>
        </w:rPr>
        <w:t>l-</w:t>
      </w:r>
      <w:r w:rsidR="00760168" w:rsidRPr="003D1E07">
        <w:rPr>
          <w:lang w:eastAsia="en-US"/>
        </w:rPr>
        <w:t xml:space="preserve">Kindího </w:t>
      </w:r>
      <w:r w:rsidR="006A2D4B" w:rsidRPr="003D1E07">
        <w:rPr>
          <w:lang w:eastAsia="en-US"/>
        </w:rPr>
        <w:t>a Druhého mistra</w:t>
      </w:r>
      <w:r w:rsidR="00B85EB9" w:rsidRPr="003D1E07">
        <w:rPr>
          <w:lang w:eastAsia="en-US"/>
        </w:rPr>
        <w:t>. C</w:t>
      </w:r>
      <w:r w:rsidR="00760168" w:rsidRPr="003D1E07">
        <w:rPr>
          <w:lang w:eastAsia="en-US"/>
        </w:rPr>
        <w:t>hápe smyslové poznání jednotlivin</w:t>
      </w:r>
      <w:r w:rsidR="00E53950" w:rsidRPr="003D1E07">
        <w:rPr>
          <w:lang w:eastAsia="en-US"/>
        </w:rPr>
        <w:t xml:space="preserve"> jako </w:t>
      </w:r>
      <w:r w:rsidR="00760168" w:rsidRPr="003D1E07">
        <w:rPr>
          <w:lang w:eastAsia="en-US"/>
        </w:rPr>
        <w:t xml:space="preserve">propedeutickou přípravu k činnosti intelektu v říši čistých forem. </w:t>
      </w:r>
      <w:r w:rsidR="083C5308" w:rsidRPr="003D1E07">
        <w:t>Nov</w:t>
      </w:r>
      <w:r w:rsidR="00013935" w:rsidRPr="003D1E07">
        <w:t>ý a</w:t>
      </w:r>
      <w:r w:rsidR="083C5308" w:rsidRPr="003D1E07">
        <w:t>ristotelismu</w:t>
      </w:r>
      <w:r w:rsidR="00013935" w:rsidRPr="003D1E07">
        <w:t>s</w:t>
      </w:r>
      <w:r w:rsidR="083C5308" w:rsidRPr="003D1E07">
        <w:t xml:space="preserve"> </w:t>
      </w:r>
      <w:r w:rsidR="00214576" w:rsidRPr="003D1E07">
        <w:t xml:space="preserve">predikuje </w:t>
      </w:r>
      <w:r w:rsidR="0070167A" w:rsidRPr="003D1E07">
        <w:t xml:space="preserve">reálné </w:t>
      </w:r>
      <w:r w:rsidR="00321211" w:rsidRPr="003D1E07">
        <w:rPr>
          <w:rStyle w:val="FontStyle129"/>
          <w:rFonts w:ascii="Calibri" w:hAnsi="Calibri"/>
          <w:sz w:val="24"/>
        </w:rPr>
        <w:t>jsou</w:t>
      </w:r>
      <w:r w:rsidR="00214576" w:rsidRPr="003D1E07">
        <w:rPr>
          <w:rStyle w:val="FontStyle129"/>
          <w:rFonts w:ascii="Calibri" w:hAnsi="Calibri"/>
          <w:sz w:val="24"/>
        </w:rPr>
        <w:t>cno</w:t>
      </w:r>
      <w:r w:rsidR="083C5308" w:rsidRPr="003D1E07">
        <w:rPr>
          <w:rStyle w:val="FontStyle129"/>
          <w:rFonts w:ascii="Calibri" w:hAnsi="Calibri"/>
          <w:sz w:val="24"/>
        </w:rPr>
        <w:t xml:space="preserve"> </w:t>
      </w:r>
      <w:r w:rsidR="0070167A" w:rsidRPr="003D1E07">
        <w:rPr>
          <w:rStyle w:val="FontStyle129"/>
          <w:rFonts w:ascii="Calibri" w:hAnsi="Calibri"/>
          <w:sz w:val="24"/>
        </w:rPr>
        <w:t>skrze genericky definovanou</w:t>
      </w:r>
      <w:r w:rsidR="00321211" w:rsidRPr="003D1E07">
        <w:rPr>
          <w:rStyle w:val="FontStyle129"/>
          <w:rFonts w:ascii="Calibri" w:hAnsi="Calibri"/>
          <w:sz w:val="24"/>
        </w:rPr>
        <w:t xml:space="preserve"> </w:t>
      </w:r>
      <w:r w:rsidR="083C5308" w:rsidRPr="003D1E07">
        <w:rPr>
          <w:rStyle w:val="FontStyle129"/>
          <w:rFonts w:ascii="Calibri" w:hAnsi="Calibri"/>
          <w:sz w:val="24"/>
        </w:rPr>
        <w:t>jsoucnost (</w:t>
      </w:r>
      <w:r w:rsidR="083C5308" w:rsidRPr="003D1E07">
        <w:rPr>
          <w:rStyle w:val="FontStyle129"/>
          <w:rFonts w:ascii="Calibri" w:hAnsi="Calibri"/>
          <w:i/>
          <w:sz w:val="24"/>
        </w:rPr>
        <w:t>ens inquantum ens</w:t>
      </w:r>
      <w:r w:rsidR="083C5308" w:rsidRPr="003D1E07">
        <w:rPr>
          <w:rStyle w:val="FontStyle129"/>
          <w:rFonts w:ascii="Calibri" w:hAnsi="Calibri"/>
          <w:i/>
          <w:sz w:val="24"/>
        </w:rPr>
        <w:fldChar w:fldCharType="begin"/>
      </w:r>
      <w:r w:rsidR="083C5308" w:rsidRPr="003D1E07">
        <w:instrText xml:space="preserve"> XE "</w:instrText>
      </w:r>
      <w:r w:rsidR="083C5308" w:rsidRPr="003D1E07">
        <w:rPr>
          <w:i/>
        </w:rPr>
        <w:instrText>ens inquantum ens</w:instrText>
      </w:r>
      <w:r w:rsidR="083C5308" w:rsidRPr="003D1E07">
        <w:instrText xml:space="preserve">" </w:instrText>
      </w:r>
      <w:r w:rsidR="083C5308" w:rsidRPr="003D1E07">
        <w:rPr>
          <w:rStyle w:val="FontStyle129"/>
          <w:rFonts w:ascii="Calibri" w:hAnsi="Calibri"/>
          <w:i/>
          <w:sz w:val="24"/>
        </w:rPr>
        <w:fldChar w:fldCharType="end"/>
      </w:r>
      <w:r w:rsidR="083C5308" w:rsidRPr="003D1E07">
        <w:rPr>
          <w:rStyle w:val="FontStyle129"/>
          <w:rFonts w:ascii="Calibri" w:hAnsi="Calibri"/>
          <w:sz w:val="24"/>
        </w:rPr>
        <w:t xml:space="preserve">). </w:t>
      </w:r>
      <w:r w:rsidR="00627278" w:rsidRPr="003D1E07">
        <w:rPr>
          <w:rStyle w:val="FontStyle129"/>
          <w:rFonts w:ascii="Calibri" w:hAnsi="Calibri"/>
          <w:sz w:val="24"/>
        </w:rPr>
        <w:t>P</w:t>
      </w:r>
      <w:r w:rsidR="00627278" w:rsidRPr="003D1E07">
        <w:t xml:space="preserve">erský filosof, astronom, politický rádce, lékař a věřící muslim založil nové zjevování jsoucna díky ontoteologické struktuře </w:t>
      </w:r>
      <w:r w:rsidR="003D5722" w:rsidRPr="003D1E07">
        <w:t xml:space="preserve">objektivně pojaté </w:t>
      </w:r>
      <w:r w:rsidR="00627278" w:rsidRPr="003D1E07">
        <w:t>metafyziky.</w:t>
      </w:r>
      <w:r w:rsidR="08482693" w:rsidRPr="003D1E07">
        <w:t xml:space="preserve"> </w:t>
      </w:r>
      <w:r w:rsidR="00760168" w:rsidRPr="003D1E07">
        <w:rPr>
          <w:lang w:eastAsia="en-US"/>
        </w:rPr>
        <w:t xml:space="preserve">Avicenna vztáhl predikaci </w:t>
      </w:r>
      <w:r w:rsidR="00760168" w:rsidRPr="003D1E07">
        <w:rPr>
          <w:i/>
          <w:lang w:eastAsia="en-US"/>
        </w:rPr>
        <w:t>per prius</w:t>
      </w:r>
      <w:r w:rsidR="00760168" w:rsidRPr="003D1E07">
        <w:rPr>
          <w:lang w:eastAsia="en-US"/>
        </w:rPr>
        <w:t xml:space="preserve"> </w:t>
      </w:r>
      <w:r w:rsidR="00281D5F" w:rsidRPr="003D1E07">
        <w:rPr>
          <w:rStyle w:val="Zkladntext158dkovn0pt"/>
          <w:i/>
          <w:color w:val="auto"/>
          <w:spacing w:val="0"/>
          <w:sz w:val="24"/>
          <w:lang w:val="cs-CZ"/>
        </w:rPr>
        <w:fldChar w:fldCharType="begin"/>
      </w:r>
      <w:r w:rsidR="00281D5F" w:rsidRPr="003D1E07">
        <w:instrText xml:space="preserve"> XE "predikace:</w:instrText>
      </w:r>
      <w:r w:rsidR="00281D5F" w:rsidRPr="003D1E07">
        <w:rPr>
          <w:i/>
        </w:rPr>
        <w:instrText>per prius</w:instrText>
      </w:r>
      <w:r w:rsidR="00281D5F" w:rsidRPr="003D1E07">
        <w:instrText xml:space="preserve">" </w:instrText>
      </w:r>
      <w:r w:rsidR="00281D5F" w:rsidRPr="003D1E07">
        <w:rPr>
          <w:rStyle w:val="Zkladntext158dkovn0pt"/>
          <w:i/>
          <w:color w:val="auto"/>
          <w:spacing w:val="0"/>
          <w:sz w:val="24"/>
          <w:lang w:val="cs-CZ"/>
        </w:rPr>
        <w:fldChar w:fldCharType="end"/>
      </w:r>
      <w:r w:rsidR="00760168" w:rsidRPr="003D1E07">
        <w:rPr>
          <w:lang w:eastAsia="en-US"/>
        </w:rPr>
        <w:t xml:space="preserve">k bytí Jednoho a spojil </w:t>
      </w:r>
      <w:r w:rsidR="08D334C6" w:rsidRPr="003D1E07">
        <w:rPr>
          <w:lang w:eastAsia="en-US"/>
        </w:rPr>
        <w:t xml:space="preserve">henologickou </w:t>
      </w:r>
      <w:r w:rsidR="00760168" w:rsidRPr="003D1E07">
        <w:rPr>
          <w:lang w:eastAsia="en-US"/>
        </w:rPr>
        <w:t xml:space="preserve">predikaci </w:t>
      </w:r>
      <w:r w:rsidR="00760168" w:rsidRPr="003D1E07">
        <w:t xml:space="preserve">s kategoriálním určením </w:t>
      </w:r>
      <w:r w:rsidR="00CC5058" w:rsidRPr="003D1E07">
        <w:t xml:space="preserve">aristotelské </w:t>
      </w:r>
      <w:r w:rsidR="00760168" w:rsidRPr="003D1E07">
        <w:t>substance</w:t>
      </w:r>
      <w:r w:rsidR="00CC5058" w:rsidRPr="003D1E07">
        <w:t xml:space="preserve">. Tím se </w:t>
      </w:r>
      <w:r w:rsidR="00930DCC">
        <w:t xml:space="preserve">kategoriální </w:t>
      </w:r>
      <w:r w:rsidR="00CC5058" w:rsidRPr="003D1E07">
        <w:t xml:space="preserve">predikace </w:t>
      </w:r>
      <w:r w:rsidR="00930DCC">
        <w:t xml:space="preserve">aristotelismu </w:t>
      </w:r>
      <w:r w:rsidR="00CC5058" w:rsidRPr="003D1E07">
        <w:t>změnila na amfibolní predikaci</w:t>
      </w:r>
      <w:r w:rsidR="00930DCC">
        <w:t xml:space="preserve"> neoplatonimu</w:t>
      </w:r>
      <w:r w:rsidR="00CC5058" w:rsidRPr="003D1E07">
        <w:t>.</w:t>
      </w:r>
      <w:r w:rsidR="08C816B4" w:rsidRPr="003D1E07">
        <w:t xml:space="preserve"> </w:t>
      </w:r>
      <w:r w:rsidR="087B6EC3" w:rsidRPr="003D1E07">
        <w:rPr>
          <w:lang w:eastAsia="en-US"/>
        </w:rPr>
        <w:t>Některé transcendentální vlastnosti (bytí, jedno</w:t>
      </w:r>
      <w:r w:rsidR="082E66B6" w:rsidRPr="003D1E07">
        <w:rPr>
          <w:lang w:eastAsia="en-US"/>
        </w:rPr>
        <w:t>ta, pravda, intellekt</w:t>
      </w:r>
      <w:r w:rsidR="087B6EC3" w:rsidRPr="003D1E07">
        <w:rPr>
          <w:lang w:eastAsia="en-US"/>
        </w:rPr>
        <w:t xml:space="preserve">) umožňují </w:t>
      </w:r>
      <w:r w:rsidR="00767531">
        <w:rPr>
          <w:lang w:eastAsia="en-US"/>
        </w:rPr>
        <w:t xml:space="preserve">univoční </w:t>
      </w:r>
      <w:r w:rsidR="087B6EC3" w:rsidRPr="003D1E07">
        <w:rPr>
          <w:lang w:eastAsia="en-US"/>
        </w:rPr>
        <w:t>predikaci</w:t>
      </w:r>
      <w:r w:rsidR="00FA1A08" w:rsidRPr="003D1E07">
        <w:rPr>
          <w:lang w:eastAsia="en-US"/>
        </w:rPr>
        <w:t xml:space="preserve"> </w:t>
      </w:r>
      <w:r w:rsidR="00FA1A08" w:rsidRPr="003D1E07">
        <w:rPr>
          <w:i/>
          <w:lang w:eastAsia="en-US"/>
        </w:rPr>
        <w:t>ad unum</w:t>
      </w:r>
      <w:r w:rsidR="00C51236" w:rsidRPr="003D1E07">
        <w:rPr>
          <w:lang w:eastAsia="en-US"/>
        </w:rPr>
        <w:t xml:space="preserve">. V transcendentální predikaci platí, že poslední rovina univočního </w:t>
      </w:r>
      <w:r w:rsidR="00B602A1" w:rsidRPr="003D1E07">
        <w:rPr>
          <w:lang w:eastAsia="en-US"/>
        </w:rPr>
        <w:t xml:space="preserve">významu </w:t>
      </w:r>
      <w:r w:rsidR="00C51236" w:rsidRPr="003D1E07">
        <w:rPr>
          <w:lang w:eastAsia="en-US"/>
        </w:rPr>
        <w:t xml:space="preserve">není dána generickým významem aristotelské </w:t>
      </w:r>
      <w:r w:rsidR="00C41C70">
        <w:rPr>
          <w:lang w:eastAsia="en-US"/>
        </w:rPr>
        <w:t xml:space="preserve">druhé </w:t>
      </w:r>
      <w:r w:rsidR="00C51236" w:rsidRPr="003D1E07">
        <w:rPr>
          <w:lang w:eastAsia="en-US"/>
        </w:rPr>
        <w:t xml:space="preserve">substance. Transcentálie fungují </w:t>
      </w:r>
      <w:r w:rsidR="00825C3F" w:rsidRPr="003D1E07">
        <w:rPr>
          <w:lang w:eastAsia="en-US"/>
        </w:rPr>
        <w:t xml:space="preserve">v nové predikaci </w:t>
      </w:r>
      <w:r w:rsidR="00C51236" w:rsidRPr="003D1E07">
        <w:rPr>
          <w:lang w:eastAsia="en-US"/>
        </w:rPr>
        <w:t xml:space="preserve">jako </w:t>
      </w:r>
      <w:r w:rsidR="00FA1A08" w:rsidRPr="003D1E07">
        <w:rPr>
          <w:lang w:eastAsia="en-US"/>
        </w:rPr>
        <w:t>vyšší rod jsoucna</w:t>
      </w:r>
      <w:r w:rsidR="00771E16" w:rsidRPr="003D1E07">
        <w:rPr>
          <w:lang w:eastAsia="en-US"/>
        </w:rPr>
        <w:t xml:space="preserve">. </w:t>
      </w:r>
      <w:r w:rsidR="00E76569" w:rsidRPr="003D1E07">
        <w:rPr>
          <w:noProof w:val="0"/>
          <w:lang w:eastAsia="en-US"/>
        </w:rPr>
        <w:t>Inteligibilní f</w:t>
      </w:r>
      <w:r w:rsidR="00E76569" w:rsidRPr="003D1E07">
        <w:rPr>
          <w:rStyle w:val="FontStyle129"/>
          <w:rFonts w:ascii="Calibri" w:hAnsi="Calibri"/>
          <w:sz w:val="24"/>
        </w:rPr>
        <w:t>ormy dostaly o</w:t>
      </w:r>
      <w:r w:rsidR="087B6EC3" w:rsidRPr="003D1E07">
        <w:rPr>
          <w:rStyle w:val="FontStyle129"/>
          <w:rFonts w:ascii="Calibri" w:hAnsi="Calibri"/>
          <w:sz w:val="24"/>
        </w:rPr>
        <w:t xml:space="preserve">ntoteologický status </w:t>
      </w:r>
      <w:r w:rsidR="00E76569" w:rsidRPr="003D1E07">
        <w:rPr>
          <w:rStyle w:val="FontStyle129"/>
          <w:rFonts w:ascii="Calibri" w:hAnsi="Calibri"/>
          <w:sz w:val="24"/>
        </w:rPr>
        <w:t xml:space="preserve">substance třetího druhu a jejich </w:t>
      </w:r>
      <w:r w:rsidR="087B6EC3" w:rsidRPr="003D1E07">
        <w:rPr>
          <w:rStyle w:val="FontStyle129"/>
          <w:rFonts w:ascii="Calibri" w:hAnsi="Calibri"/>
          <w:sz w:val="24"/>
        </w:rPr>
        <w:t xml:space="preserve">komitace </w:t>
      </w:r>
      <w:r w:rsidR="00E76569" w:rsidRPr="003D1E07">
        <w:rPr>
          <w:rStyle w:val="FontStyle129"/>
          <w:rFonts w:ascii="Calibri" w:hAnsi="Calibri"/>
          <w:sz w:val="24"/>
        </w:rPr>
        <w:t xml:space="preserve">je zajištěna skrze amfibolní predikaci </w:t>
      </w:r>
      <w:r w:rsidR="087B6EC3" w:rsidRPr="003D1E07">
        <w:rPr>
          <w:rStyle w:val="FontStyle129"/>
          <w:rFonts w:ascii="Calibri" w:hAnsi="Calibri"/>
          <w:i/>
          <w:sz w:val="24"/>
        </w:rPr>
        <w:t>per prius</w:t>
      </w:r>
      <w:r w:rsidR="00E76569" w:rsidRPr="003D1E07">
        <w:rPr>
          <w:rStyle w:val="FontStyle129"/>
          <w:rFonts w:ascii="Calibri" w:hAnsi="Calibri"/>
          <w:sz w:val="24"/>
        </w:rPr>
        <w:t>.</w:t>
      </w:r>
      <w:r w:rsidR="00E43329" w:rsidRPr="003D1E07">
        <w:rPr>
          <w:rStyle w:val="FontStyle129"/>
          <w:rFonts w:ascii="Calibri" w:hAnsi="Calibri"/>
          <w:sz w:val="24"/>
        </w:rPr>
        <w:t xml:space="preserve"> </w:t>
      </w:r>
      <w:r w:rsidR="009D41A1" w:rsidRPr="003D1E07">
        <w:rPr>
          <w:rStyle w:val="FontStyle129"/>
          <w:rFonts w:ascii="Calibri" w:hAnsi="Calibri"/>
          <w:sz w:val="24"/>
        </w:rPr>
        <w:t xml:space="preserve">Objektivní </w:t>
      </w:r>
      <w:r w:rsidR="00E76569" w:rsidRPr="003D1E07">
        <w:rPr>
          <w:rStyle w:val="FontStyle129"/>
          <w:rFonts w:ascii="Calibri" w:hAnsi="Calibri"/>
          <w:sz w:val="24"/>
        </w:rPr>
        <w:t xml:space="preserve">produkce světa probíhá jako mytopoetické </w:t>
      </w:r>
      <w:r w:rsidR="00E76569" w:rsidRPr="003D1E07">
        <w:rPr>
          <w:rStyle w:val="FontStyle129"/>
          <w:rFonts w:ascii="Calibri" w:hAnsi="Calibri"/>
          <w:i/>
          <w:sz w:val="24"/>
        </w:rPr>
        <w:t>creatio ex nihilo</w:t>
      </w:r>
      <w:r w:rsidR="00E76569" w:rsidRPr="003D1E07">
        <w:rPr>
          <w:rStyle w:val="FontStyle129"/>
          <w:rFonts w:ascii="Calibri" w:hAnsi="Calibri"/>
          <w:i/>
          <w:sz w:val="24"/>
        </w:rPr>
        <w:fldChar w:fldCharType="begin"/>
      </w:r>
      <w:r w:rsidR="00E76569" w:rsidRPr="003D1E07">
        <w:instrText xml:space="preserve"> XE "</w:instrText>
      </w:r>
      <w:r w:rsidR="00E76569" w:rsidRPr="003D1E07">
        <w:rPr>
          <w:rStyle w:val="FontStyle129"/>
          <w:rFonts w:ascii="Calibri" w:hAnsi="Calibri"/>
          <w:i/>
          <w:sz w:val="24"/>
        </w:rPr>
        <w:instrText>creatio ex nihilo</w:instrText>
      </w:r>
      <w:r w:rsidR="00E76569" w:rsidRPr="003D1E07">
        <w:instrText xml:space="preserve">" </w:instrText>
      </w:r>
      <w:r w:rsidR="00E76569" w:rsidRPr="003D1E07">
        <w:rPr>
          <w:rStyle w:val="FontStyle129"/>
          <w:rFonts w:ascii="Calibri" w:hAnsi="Calibri"/>
          <w:i/>
          <w:sz w:val="24"/>
        </w:rPr>
        <w:fldChar w:fldCharType="end"/>
      </w:r>
      <w:r w:rsidR="00E76569" w:rsidRPr="003D1E07">
        <w:rPr>
          <w:rStyle w:val="FontStyle129"/>
          <w:rFonts w:ascii="Calibri" w:hAnsi="Calibri"/>
          <w:sz w:val="24"/>
        </w:rPr>
        <w:t xml:space="preserve"> prostřednictvím univerzální komitace</w:t>
      </w:r>
      <w:r w:rsidR="00767531">
        <w:rPr>
          <w:rStyle w:val="FontStyle129"/>
          <w:rFonts w:ascii="Calibri" w:hAnsi="Calibri"/>
          <w:sz w:val="24"/>
        </w:rPr>
        <w:t xml:space="preserve"> </w:t>
      </w:r>
      <w:r w:rsidR="0030591F">
        <w:rPr>
          <w:rStyle w:val="FontStyle129"/>
          <w:rFonts w:ascii="Calibri" w:hAnsi="Calibri"/>
          <w:sz w:val="24"/>
        </w:rPr>
        <w:t>generické jsoucnosti</w:t>
      </w:r>
      <w:r w:rsidR="009737F9">
        <w:rPr>
          <w:rStyle w:val="FontStyle129"/>
          <w:rFonts w:ascii="Calibri" w:hAnsi="Calibri"/>
          <w:sz w:val="24"/>
        </w:rPr>
        <w:t xml:space="preserve"> </w:t>
      </w:r>
      <w:r w:rsidR="00767531" w:rsidRPr="003D1E07">
        <w:rPr>
          <w:rStyle w:val="FontStyle129"/>
          <w:rFonts w:ascii="Calibri" w:hAnsi="Calibri"/>
          <w:sz w:val="24"/>
        </w:rPr>
        <w:t>(</w:t>
      </w:r>
      <w:r w:rsidR="00767531" w:rsidRPr="003D1E07">
        <w:rPr>
          <w:rStyle w:val="FontStyle129"/>
          <w:rFonts w:ascii="Calibri" w:hAnsi="Calibri"/>
          <w:i/>
          <w:sz w:val="24"/>
        </w:rPr>
        <w:t>Ge-Stell</w:t>
      </w:r>
      <w:r w:rsidR="00767531" w:rsidRPr="003D1E07">
        <w:rPr>
          <w:rStyle w:val="FontStyle129"/>
          <w:rFonts w:ascii="Calibri" w:hAnsi="Calibri"/>
          <w:i/>
          <w:sz w:val="24"/>
        </w:rPr>
        <w:fldChar w:fldCharType="begin"/>
      </w:r>
      <w:r w:rsidR="00767531" w:rsidRPr="003D1E07">
        <w:instrText xml:space="preserve"> XE "</w:instrText>
      </w:r>
      <w:r w:rsidR="00767531" w:rsidRPr="003D1E07">
        <w:rPr>
          <w:rStyle w:val="FontStyle129"/>
          <w:rFonts w:ascii="Calibri" w:hAnsi="Calibri"/>
          <w:i/>
          <w:sz w:val="24"/>
        </w:rPr>
        <w:instrText>Ge-Stell</w:instrText>
      </w:r>
      <w:r w:rsidR="00767531" w:rsidRPr="003D1E07">
        <w:instrText xml:space="preserve">" </w:instrText>
      </w:r>
      <w:r w:rsidR="00767531" w:rsidRPr="003D1E07">
        <w:rPr>
          <w:rStyle w:val="FontStyle129"/>
          <w:rFonts w:ascii="Calibri" w:hAnsi="Calibri"/>
          <w:i/>
          <w:sz w:val="24"/>
        </w:rPr>
        <w:fldChar w:fldCharType="end"/>
      </w:r>
      <w:r w:rsidR="00767531">
        <w:rPr>
          <w:rStyle w:val="FontStyle129"/>
          <w:rFonts w:ascii="Calibri" w:hAnsi="Calibri"/>
          <w:sz w:val="24"/>
        </w:rPr>
        <w:t xml:space="preserve">). Přísun božské objektivity </w:t>
      </w:r>
      <w:r w:rsidR="00CF29EC">
        <w:rPr>
          <w:rStyle w:val="FontStyle129"/>
          <w:rFonts w:ascii="Calibri" w:hAnsi="Calibri"/>
          <w:sz w:val="24"/>
        </w:rPr>
        <w:t xml:space="preserve">do moderní fabriky myšlení </w:t>
      </w:r>
      <w:r w:rsidR="00767531">
        <w:rPr>
          <w:rStyle w:val="FontStyle129"/>
          <w:rFonts w:ascii="Calibri" w:hAnsi="Calibri"/>
          <w:sz w:val="24"/>
        </w:rPr>
        <w:t xml:space="preserve">je zajištěn </w:t>
      </w:r>
      <w:r w:rsidR="00E76569" w:rsidRPr="003D1E07">
        <w:rPr>
          <w:rStyle w:val="FontStyle129"/>
          <w:rFonts w:ascii="Calibri" w:hAnsi="Calibri"/>
          <w:sz w:val="24"/>
        </w:rPr>
        <w:t xml:space="preserve">v rámci </w:t>
      </w:r>
      <w:r w:rsidR="00E76569" w:rsidRPr="003D1E07">
        <w:rPr>
          <w:rStyle w:val="FontStyle129"/>
          <w:rFonts w:ascii="Calibri" w:hAnsi="Calibri"/>
          <w:i/>
          <w:sz w:val="24"/>
        </w:rPr>
        <w:t>tertium ens</w:t>
      </w:r>
      <w:r w:rsidR="00E76569" w:rsidRPr="003D1E07">
        <w:rPr>
          <w:rStyle w:val="FontStyle129"/>
          <w:rFonts w:ascii="Calibri" w:hAnsi="Calibri"/>
          <w:sz w:val="24"/>
        </w:rPr>
        <w:t xml:space="preserve"> daného jako minimální bytí (</w:t>
      </w:r>
      <w:r w:rsidR="00E76569" w:rsidRPr="003D1E07">
        <w:rPr>
          <w:rStyle w:val="FontStyle129"/>
          <w:rFonts w:ascii="Calibri" w:hAnsi="Calibri"/>
          <w:i/>
          <w:sz w:val="24"/>
        </w:rPr>
        <w:t>esse diminutum</w:t>
      </w:r>
      <w:r w:rsidR="00E76569" w:rsidRPr="003D1E07">
        <w:rPr>
          <w:rStyle w:val="FontStyle129"/>
          <w:rFonts w:ascii="Calibri" w:hAnsi="Calibri"/>
          <w:i/>
          <w:sz w:val="24"/>
        </w:rPr>
        <w:fldChar w:fldCharType="begin"/>
      </w:r>
      <w:r w:rsidR="00E76569" w:rsidRPr="003D1E07">
        <w:instrText xml:space="preserve"> XE "</w:instrText>
      </w:r>
      <w:r w:rsidR="00E76569" w:rsidRPr="003D1E07">
        <w:rPr>
          <w:rStyle w:val="FontStyle129"/>
          <w:rFonts w:ascii="Calibri" w:hAnsi="Calibri"/>
          <w:i/>
          <w:sz w:val="24"/>
        </w:rPr>
        <w:instrText>esse diminutum</w:instrText>
      </w:r>
      <w:r w:rsidR="00E76569" w:rsidRPr="003D1E07">
        <w:instrText xml:space="preserve">" </w:instrText>
      </w:r>
      <w:r w:rsidR="00E76569" w:rsidRPr="003D1E07">
        <w:rPr>
          <w:rStyle w:val="FontStyle129"/>
          <w:rFonts w:ascii="Calibri" w:hAnsi="Calibri"/>
          <w:i/>
          <w:sz w:val="24"/>
        </w:rPr>
        <w:fldChar w:fldCharType="end"/>
      </w:r>
      <w:r w:rsidR="00E76569" w:rsidRPr="003D1E07">
        <w:rPr>
          <w:rStyle w:val="FontStyle129"/>
          <w:rFonts w:ascii="Calibri" w:hAnsi="Calibri"/>
          <w:sz w:val="24"/>
        </w:rPr>
        <w:t xml:space="preserve">). </w:t>
      </w:r>
      <w:r w:rsidR="00E767D7" w:rsidRPr="003D1E07">
        <w:rPr>
          <w:noProof w:val="0"/>
          <w:lang w:eastAsia="en-US"/>
        </w:rPr>
        <w:t xml:space="preserve"> </w:t>
      </w:r>
      <w:r w:rsidR="08C816B4" w:rsidRPr="003D1E07">
        <w:t>Z</w:t>
      </w:r>
      <w:r w:rsidR="00760168" w:rsidRPr="003D1E07">
        <w:t xml:space="preserve">vláštní bytí a nebytí </w:t>
      </w:r>
      <w:r w:rsidR="08C816B4" w:rsidRPr="003D1E07">
        <w:t xml:space="preserve">amfibolií </w:t>
      </w:r>
      <w:r w:rsidR="00760168" w:rsidRPr="003D1E07">
        <w:t xml:space="preserve">je </w:t>
      </w:r>
      <w:r w:rsidR="0030017E" w:rsidRPr="003D1E07">
        <w:t xml:space="preserve">postaveno </w:t>
      </w:r>
      <w:r w:rsidR="00760168" w:rsidRPr="003D1E07">
        <w:t xml:space="preserve">za kategoriální </w:t>
      </w:r>
      <w:r w:rsidR="0852745D" w:rsidRPr="003D1E07">
        <w:t xml:space="preserve">jednotou </w:t>
      </w:r>
      <w:r w:rsidR="0027269B" w:rsidRPr="003D1E07">
        <w:t>aristotelské metafyziky</w:t>
      </w:r>
      <w:r w:rsidR="00A31F5B" w:rsidRPr="003D1E07">
        <w:t>, pro</w:t>
      </w:r>
      <w:r w:rsidR="00C63D33" w:rsidRPr="003D1E07">
        <w:t>t</w:t>
      </w:r>
      <w:r w:rsidR="00A31F5B" w:rsidRPr="003D1E07">
        <w:t>o</w:t>
      </w:r>
      <w:r w:rsidR="00C63D33" w:rsidRPr="003D1E07">
        <w:t>že v ní platí princip vyloučeného třetího</w:t>
      </w:r>
      <w:r w:rsidR="0027269B" w:rsidRPr="003D1E07">
        <w:t xml:space="preserve">. Objektivní jsoucno </w:t>
      </w:r>
      <w:r w:rsidR="00A31F5B" w:rsidRPr="003D1E07">
        <w:t xml:space="preserve">intencionálně </w:t>
      </w:r>
      <w:r w:rsidR="00486E1A">
        <w:t>„ek</w:t>
      </w:r>
      <w:r w:rsidR="0030017E" w:rsidRPr="003D1E07">
        <w:t>sistuje“ (</w:t>
      </w:r>
      <w:r w:rsidR="0030017E" w:rsidRPr="003D1E07">
        <w:rPr>
          <w:i/>
        </w:rPr>
        <w:t>exsistere</w:t>
      </w:r>
      <w:r w:rsidR="0030017E" w:rsidRPr="003D1E07">
        <w:t xml:space="preserve">) </w:t>
      </w:r>
      <w:r w:rsidR="00760168" w:rsidRPr="003D1E07">
        <w:t xml:space="preserve">ve sféře </w:t>
      </w:r>
      <w:r w:rsidR="0027269B" w:rsidRPr="003D1E07">
        <w:t xml:space="preserve">moderního </w:t>
      </w:r>
      <w:r w:rsidR="00760168" w:rsidRPr="003D1E07">
        <w:t>božího intelektu</w:t>
      </w:r>
      <w:r w:rsidR="00E97B8E" w:rsidRPr="003D1E07">
        <w:t xml:space="preserve">. </w:t>
      </w:r>
      <w:r w:rsidR="00032348" w:rsidRPr="003D1E07">
        <w:rPr>
          <w:lang w:eastAsia="en-US"/>
        </w:rPr>
        <w:t xml:space="preserve">Poslední jednota se vztahuje k modernímu bohu jako dárci forem </w:t>
      </w:r>
      <w:r w:rsidR="00032348" w:rsidRPr="003D1E07">
        <w:rPr>
          <w:noProof w:val="0"/>
          <w:lang w:eastAsia="en-US"/>
        </w:rPr>
        <w:t>(</w:t>
      </w:r>
      <w:r w:rsidR="00032348" w:rsidRPr="004319BF">
        <w:rPr>
          <w:i/>
          <w:noProof w:val="0"/>
          <w:lang w:eastAsia="en-US"/>
        </w:rPr>
        <w:t>Dator formarum</w:t>
      </w:r>
      <w:r w:rsidR="00032348" w:rsidRPr="003D1E07">
        <w:rPr>
          <w:i/>
          <w:noProof w:val="0"/>
          <w:lang w:eastAsia="en-US"/>
        </w:rPr>
        <w:fldChar w:fldCharType="begin"/>
      </w:r>
      <w:r w:rsidR="00032348" w:rsidRPr="003D1E07">
        <w:instrText xml:space="preserve"> XE "</w:instrText>
      </w:r>
      <w:r w:rsidR="00032348" w:rsidRPr="004319BF">
        <w:rPr>
          <w:i/>
          <w:noProof w:val="0"/>
          <w:lang w:eastAsia="en-US"/>
        </w:rPr>
        <w:instrText>Dator formarum</w:instrText>
      </w:r>
      <w:r w:rsidR="00032348" w:rsidRPr="003D1E07">
        <w:instrText xml:space="preserve">" </w:instrText>
      </w:r>
      <w:r w:rsidR="00032348" w:rsidRPr="003D1E07">
        <w:rPr>
          <w:i/>
          <w:noProof w:val="0"/>
          <w:lang w:eastAsia="en-US"/>
        </w:rPr>
        <w:fldChar w:fldCharType="end"/>
      </w:r>
      <w:r w:rsidR="00032348" w:rsidRPr="003D1E07">
        <w:rPr>
          <w:noProof w:val="0"/>
          <w:lang w:eastAsia="en-US"/>
        </w:rPr>
        <w:t xml:space="preserve">). </w:t>
      </w:r>
      <w:r w:rsidR="00331AE2">
        <w:rPr>
          <w:noProof w:val="0"/>
          <w:lang w:eastAsia="en-US"/>
        </w:rPr>
        <w:t>Moderní bůh zajišťuje</w:t>
      </w:r>
      <w:r w:rsidR="00142D48">
        <w:rPr>
          <w:noProof w:val="0"/>
          <w:lang w:eastAsia="en-US"/>
        </w:rPr>
        <w:t xml:space="preserve"> </w:t>
      </w:r>
      <w:r w:rsidR="00032348" w:rsidRPr="003D1E07">
        <w:rPr>
          <w:noProof w:val="0"/>
          <w:lang w:eastAsia="en-US"/>
        </w:rPr>
        <w:t>kontinuitu aktuálních nemateriálních forem v nižších patrech stvořeného světa.</w:t>
      </w:r>
      <w:r w:rsidR="00032348">
        <w:rPr>
          <w:noProof w:val="0"/>
          <w:lang w:eastAsia="en-US"/>
        </w:rPr>
        <w:t xml:space="preserve"> </w:t>
      </w:r>
      <w:r w:rsidR="00397E9E" w:rsidRPr="003D1E07">
        <w:t>Avicenna vytvo</w:t>
      </w:r>
      <w:r w:rsidR="0027269B" w:rsidRPr="003D1E07">
        <w:t>řil p</w:t>
      </w:r>
      <w:r w:rsidR="00E97B8E" w:rsidRPr="003D1E07">
        <w:rPr>
          <w:rStyle w:val="FontStyle129"/>
          <w:rFonts w:ascii="Calibri" w:hAnsi="Calibri"/>
          <w:sz w:val="24"/>
        </w:rPr>
        <w:t xml:space="preserve">rvní model tohoto </w:t>
      </w:r>
      <w:r w:rsidR="08070A9E" w:rsidRPr="003D1E07">
        <w:rPr>
          <w:rStyle w:val="FontStyle129"/>
          <w:rFonts w:ascii="Calibri" w:hAnsi="Calibri"/>
          <w:sz w:val="24"/>
        </w:rPr>
        <w:t>objektivního poj</w:t>
      </w:r>
      <w:r w:rsidR="00E97B8E" w:rsidRPr="003D1E07">
        <w:rPr>
          <w:rStyle w:val="FontStyle129"/>
          <w:rFonts w:ascii="Calibri" w:hAnsi="Calibri"/>
          <w:sz w:val="24"/>
        </w:rPr>
        <w:t xml:space="preserve">etí jsoucna </w:t>
      </w:r>
      <w:r w:rsidR="0027269B" w:rsidRPr="003D1E07">
        <w:rPr>
          <w:rStyle w:val="FontStyle129"/>
          <w:rFonts w:ascii="Calibri" w:hAnsi="Calibri"/>
          <w:sz w:val="24"/>
        </w:rPr>
        <w:t xml:space="preserve">podle definice </w:t>
      </w:r>
      <w:r w:rsidR="00FC33B7">
        <w:rPr>
          <w:rStyle w:val="FontStyle129"/>
          <w:rFonts w:ascii="Calibri" w:hAnsi="Calibri"/>
          <w:sz w:val="24"/>
        </w:rPr>
        <w:t xml:space="preserve">Boží </w:t>
      </w:r>
      <w:r w:rsidR="0027269B" w:rsidRPr="003D1E07">
        <w:rPr>
          <w:rStyle w:val="FontStyle129"/>
          <w:rFonts w:ascii="Calibri" w:hAnsi="Calibri"/>
          <w:sz w:val="24"/>
        </w:rPr>
        <w:t xml:space="preserve">Trojice </w:t>
      </w:r>
      <w:r w:rsidR="004E2B2A" w:rsidRPr="003D1E07">
        <w:rPr>
          <w:rStyle w:val="FontStyle129"/>
          <w:rFonts w:ascii="Calibri" w:hAnsi="Calibri"/>
          <w:sz w:val="24"/>
        </w:rPr>
        <w:t xml:space="preserve">v díle </w:t>
      </w:r>
      <w:r w:rsidR="00E97B8E" w:rsidRPr="003D1E07">
        <w:rPr>
          <w:rStyle w:val="FontStyle129"/>
          <w:rFonts w:ascii="Calibri" w:hAnsi="Calibri"/>
          <w:sz w:val="24"/>
        </w:rPr>
        <w:t>Ibn Ádí</w:t>
      </w:r>
      <w:r w:rsidR="004E2B2A" w:rsidRPr="003D1E07">
        <w:rPr>
          <w:rStyle w:val="FontStyle129"/>
          <w:rFonts w:ascii="Calibri" w:hAnsi="Calibri"/>
          <w:sz w:val="24"/>
        </w:rPr>
        <w:t>ho</w:t>
      </w:r>
      <w:r w:rsidR="00281D5F" w:rsidRPr="003D1E07">
        <w:rPr>
          <w:rStyle w:val="Zkladntext158dkovn0pt"/>
          <w:i/>
          <w:color w:val="auto"/>
          <w:spacing w:val="0"/>
          <w:sz w:val="24"/>
          <w:lang w:val="cs-CZ"/>
        </w:rPr>
        <w:fldChar w:fldCharType="begin"/>
      </w:r>
      <w:r w:rsidR="00281D5F" w:rsidRPr="003D1E07">
        <w:instrText xml:space="preserve"> XE "objektivita:Ibn-Ádí" </w:instrText>
      </w:r>
      <w:r w:rsidR="00281D5F" w:rsidRPr="003D1E07">
        <w:rPr>
          <w:rStyle w:val="Zkladntext158dkovn0pt"/>
          <w:i/>
          <w:color w:val="auto"/>
          <w:spacing w:val="0"/>
          <w:sz w:val="24"/>
          <w:lang w:val="cs-CZ"/>
        </w:rPr>
        <w:fldChar w:fldCharType="end"/>
      </w:r>
      <w:r w:rsidR="00E97B8E" w:rsidRPr="003D1E07">
        <w:rPr>
          <w:rStyle w:val="FontStyle129"/>
          <w:rFonts w:ascii="Calibri" w:hAnsi="Calibri"/>
          <w:sz w:val="24"/>
        </w:rPr>
        <w:t xml:space="preserve">. </w:t>
      </w:r>
      <w:r w:rsidR="00A00F7B">
        <w:rPr>
          <w:rStyle w:val="FontStyle129"/>
          <w:rFonts w:ascii="Calibri" w:hAnsi="Calibri"/>
          <w:sz w:val="24"/>
        </w:rPr>
        <w:t>Posvátný n</w:t>
      </w:r>
      <w:r w:rsidR="005868D1" w:rsidRPr="003D1E07">
        <w:rPr>
          <w:rStyle w:val="FontStyle129"/>
          <w:rFonts w:ascii="Calibri" w:hAnsi="Calibri"/>
          <w:sz w:val="24"/>
        </w:rPr>
        <w:t xml:space="preserve">áhled na jednotu jsoucna se </w:t>
      </w:r>
      <w:r w:rsidR="005868D1" w:rsidRPr="003D1E07">
        <w:rPr>
          <w:rStyle w:val="Zvraznn"/>
          <w:i w:val="0"/>
        </w:rPr>
        <w:t xml:space="preserve">přesunul z lidské mysli do božího intelektu. Věčné </w:t>
      </w:r>
      <w:r w:rsidR="005868D1" w:rsidRPr="003D1E07">
        <w:rPr>
          <w:rStyle w:val="FontStyle129"/>
          <w:rFonts w:ascii="Calibri" w:hAnsi="Calibri"/>
          <w:sz w:val="24"/>
        </w:rPr>
        <w:t xml:space="preserve">Jedno se stalo objektivním Mnohým skrze diferenci božího bytí a myšlení v modu </w:t>
      </w:r>
      <w:r w:rsidR="005868D1" w:rsidRPr="003D1E07">
        <w:rPr>
          <w:rStyle w:val="FontStyle129"/>
          <w:rFonts w:ascii="Calibri" w:hAnsi="Calibri"/>
          <w:i/>
          <w:sz w:val="24"/>
        </w:rPr>
        <w:t>esse ad</w:t>
      </w:r>
      <w:r w:rsidR="005868D1" w:rsidRPr="003D1E07">
        <w:rPr>
          <w:rStyle w:val="FontStyle129"/>
          <w:rFonts w:ascii="Calibri" w:hAnsi="Calibri"/>
          <w:sz w:val="24"/>
        </w:rPr>
        <w:t xml:space="preserve">. </w:t>
      </w:r>
      <w:r w:rsidR="00912487">
        <w:t>Moderní b</w:t>
      </w:r>
      <w:r w:rsidR="001F1E2D" w:rsidRPr="003D1E07">
        <w:t>ůh zvažuje ve</w:t>
      </w:r>
      <w:r w:rsidR="003F37BD">
        <w:t xml:space="preserve"> své věčnosti </w:t>
      </w:r>
      <w:r w:rsidR="00985D8E">
        <w:t xml:space="preserve">každé </w:t>
      </w:r>
      <w:r w:rsidR="003F37BD">
        <w:t>potenciální jsou</w:t>
      </w:r>
      <w:r w:rsidR="001F1E2D" w:rsidRPr="003D1E07">
        <w:t xml:space="preserve">cno </w:t>
      </w:r>
      <w:r w:rsidR="00985D8E">
        <w:t xml:space="preserve">dané </w:t>
      </w:r>
      <w:r w:rsidR="001F1E2D" w:rsidRPr="003D1E07">
        <w:t xml:space="preserve">jako intencionální obsah </w:t>
      </w:r>
      <w:r w:rsidR="00985D8E">
        <w:t xml:space="preserve">jeho </w:t>
      </w:r>
      <w:r w:rsidR="00121487">
        <w:t xml:space="preserve">inovativního </w:t>
      </w:r>
      <w:r w:rsidR="001F1E2D" w:rsidRPr="003D1E07">
        <w:t xml:space="preserve">myšlení. Vzato z perspektivy reálného stvoření, je to čiré nebytí, protože toto jsoucno ještě není skutečně stvořeno. </w:t>
      </w:r>
      <w:r w:rsidR="00AA3315" w:rsidRPr="003D1E07">
        <w:rPr>
          <w:rStyle w:val="FontStyle129"/>
          <w:rFonts w:ascii="Calibri" w:hAnsi="Calibri"/>
          <w:sz w:val="24"/>
        </w:rPr>
        <w:t>Moderna udělala z b</w:t>
      </w:r>
      <w:r w:rsidR="00C56A88" w:rsidRPr="003D1E07">
        <w:rPr>
          <w:rStyle w:val="FontStyle129"/>
          <w:rFonts w:ascii="Calibri" w:hAnsi="Calibri"/>
          <w:sz w:val="24"/>
        </w:rPr>
        <w:t xml:space="preserve">oha schizofrenní </w:t>
      </w:r>
      <w:r w:rsidR="00C56A88" w:rsidRPr="003D1E07">
        <w:rPr>
          <w:rStyle w:val="FontStyle129"/>
          <w:rFonts w:ascii="Calibri" w:hAnsi="Calibri"/>
          <w:sz w:val="24"/>
        </w:rPr>
        <w:lastRenderedPageBreak/>
        <w:t xml:space="preserve">bytost, která nutně následovala putování moderního dualistického subjektu. </w:t>
      </w:r>
      <w:r w:rsidR="08404804" w:rsidRPr="003D1E07">
        <w:rPr>
          <w:rStyle w:val="FontStyle129"/>
          <w:rFonts w:ascii="Calibri" w:hAnsi="Calibri"/>
          <w:sz w:val="24"/>
        </w:rPr>
        <w:t xml:space="preserve">Objektivní </w:t>
      </w:r>
      <w:r w:rsidR="0817146C" w:rsidRPr="003D1E07">
        <w:rPr>
          <w:rStyle w:val="FontStyle129"/>
          <w:rFonts w:ascii="Calibri" w:hAnsi="Calibri"/>
          <w:sz w:val="24"/>
        </w:rPr>
        <w:t xml:space="preserve">antropomorfismus zásadně poznamenal mytopoetickou existenci </w:t>
      </w:r>
      <w:r w:rsidR="08404804" w:rsidRPr="003D1E07">
        <w:rPr>
          <w:rStyle w:val="FontStyle129"/>
          <w:rFonts w:ascii="Calibri" w:hAnsi="Calibri"/>
          <w:sz w:val="24"/>
        </w:rPr>
        <w:t>tohoto simulákra</w:t>
      </w:r>
      <w:r w:rsidR="00142D48">
        <w:rPr>
          <w:rStyle w:val="FontStyle129"/>
          <w:rFonts w:ascii="Calibri" w:hAnsi="Calibri"/>
          <w:sz w:val="24"/>
        </w:rPr>
        <w:t xml:space="preserve">. </w:t>
      </w:r>
      <w:r w:rsidR="00142D48">
        <w:rPr>
          <w:noProof w:val="0"/>
          <w:lang w:eastAsia="en-US"/>
        </w:rPr>
        <w:t xml:space="preserve">Smrt moderního boha nastartovala smrt </w:t>
      </w:r>
      <w:r w:rsidR="00142D48" w:rsidRPr="003D1E07">
        <w:rPr>
          <w:rStyle w:val="FontStyle129"/>
          <w:rFonts w:ascii="Calibri" w:hAnsi="Calibri"/>
          <w:sz w:val="24"/>
        </w:rPr>
        <w:t>postmoderní</w:t>
      </w:r>
      <w:r w:rsidR="00142D48">
        <w:rPr>
          <w:rStyle w:val="FontStyle129"/>
          <w:rFonts w:ascii="Calibri" w:hAnsi="Calibri"/>
          <w:sz w:val="24"/>
        </w:rPr>
        <w:t>ho</w:t>
      </w:r>
      <w:r w:rsidR="00142D48" w:rsidRPr="003D1E07">
        <w:rPr>
          <w:rStyle w:val="FontStyle129"/>
          <w:rFonts w:ascii="Calibri" w:hAnsi="Calibri"/>
          <w:sz w:val="24"/>
        </w:rPr>
        <w:t xml:space="preserve"> </w:t>
      </w:r>
      <w:r w:rsidR="007B7B33">
        <w:rPr>
          <w:rStyle w:val="FontStyle129"/>
          <w:rFonts w:ascii="Calibri" w:hAnsi="Calibri"/>
          <w:sz w:val="24"/>
        </w:rPr>
        <w:t xml:space="preserve">kartesiánského </w:t>
      </w:r>
      <w:r w:rsidR="00142D48" w:rsidRPr="003D1E07">
        <w:rPr>
          <w:rStyle w:val="FontStyle129"/>
          <w:rFonts w:ascii="Calibri" w:hAnsi="Calibri"/>
          <w:sz w:val="24"/>
        </w:rPr>
        <w:t>subjekt</w:t>
      </w:r>
      <w:r w:rsidR="00142D48">
        <w:rPr>
          <w:rStyle w:val="FontStyle129"/>
          <w:rFonts w:ascii="Calibri" w:hAnsi="Calibri"/>
          <w:sz w:val="24"/>
        </w:rPr>
        <w:t xml:space="preserve">u </w:t>
      </w:r>
      <w:r w:rsidR="0817146C" w:rsidRPr="003D1E07">
        <w:rPr>
          <w:rStyle w:val="FontStyle129"/>
          <w:rFonts w:ascii="Calibri" w:hAnsi="Calibri"/>
          <w:sz w:val="24"/>
        </w:rPr>
        <w:t xml:space="preserve">v epoše </w:t>
      </w:r>
      <w:r w:rsidR="00142D48">
        <w:rPr>
          <w:rStyle w:val="FontStyle129"/>
          <w:rFonts w:ascii="Calibri" w:hAnsi="Calibri"/>
          <w:sz w:val="24"/>
        </w:rPr>
        <w:t>současného nihilismu</w:t>
      </w:r>
      <w:r w:rsidR="0817146C" w:rsidRPr="003D1E07">
        <w:rPr>
          <w:rStyle w:val="FontStyle129"/>
          <w:rFonts w:ascii="Calibri" w:hAnsi="Calibri"/>
          <w:sz w:val="24"/>
        </w:rPr>
        <w:t xml:space="preserve">. </w:t>
      </w:r>
      <w:r w:rsidR="081E18B4" w:rsidRPr="003D1E07">
        <w:rPr>
          <w:lang w:eastAsia="en-US"/>
        </w:rPr>
        <w:t xml:space="preserve">Avicenna vytvořil </w:t>
      </w:r>
      <w:r w:rsidR="081E18B4" w:rsidRPr="003D1E07">
        <w:t>objektivní o</w:t>
      </w:r>
      <w:r w:rsidR="081E18B4" w:rsidRPr="003D1E07">
        <w:rPr>
          <w:lang w:eastAsia="en-US"/>
        </w:rPr>
        <w:t>ntoteologii</w:t>
      </w:r>
      <w:r w:rsidR="081E18B4" w:rsidRPr="003D1E07">
        <w:rPr>
          <w:lang w:eastAsia="en-US"/>
        </w:rPr>
        <w:fldChar w:fldCharType="begin"/>
      </w:r>
      <w:r w:rsidR="081E18B4" w:rsidRPr="003D1E07">
        <w:instrText xml:space="preserve"> XE "</w:instrText>
      </w:r>
      <w:r w:rsidR="081E18B4" w:rsidRPr="003D1E07">
        <w:rPr>
          <w:rStyle w:val="addmd"/>
        </w:rPr>
        <w:instrText>ontoteologie:</w:instrText>
      </w:r>
      <w:r w:rsidR="004A4D2F" w:rsidRPr="003D1E07">
        <w:instrText>Avicenna</w:instrText>
      </w:r>
      <w:r w:rsidR="081E18B4" w:rsidRPr="003D1E07">
        <w:instrText xml:space="preserve">" </w:instrText>
      </w:r>
      <w:r w:rsidR="081E18B4" w:rsidRPr="003D1E07">
        <w:rPr>
          <w:lang w:eastAsia="en-US"/>
        </w:rPr>
        <w:fldChar w:fldCharType="end"/>
      </w:r>
      <w:r w:rsidR="081E18B4" w:rsidRPr="003D1E07">
        <w:rPr>
          <w:lang w:eastAsia="en-US"/>
        </w:rPr>
        <w:t xml:space="preserve"> tím, že zavedl nový pojem intencionality a abstrakce, který se dal univočně přičítat jak boží, tak i lidské mysli. </w:t>
      </w:r>
      <w:r w:rsidR="08745EEB" w:rsidRPr="003D1E07">
        <w:t xml:space="preserve">Avicennův </w:t>
      </w:r>
      <w:r w:rsidR="08745EEB" w:rsidRPr="003D1E07">
        <w:rPr>
          <w:lang w:eastAsia="en-US"/>
        </w:rPr>
        <w:t>pohled na čisté jsoucno v jeho individuálně-genericky dané jsoucnosti radikalizoval amfibolní predikaci</w:t>
      </w:r>
      <w:r w:rsidR="08745EEB" w:rsidRPr="003D1E07">
        <w:rPr>
          <w:rStyle w:val="Zkladntext158dkovn0pt"/>
          <w:color w:val="auto"/>
          <w:spacing w:val="0"/>
          <w:sz w:val="24"/>
          <w:lang w:val="cs-CZ"/>
        </w:rPr>
        <w:fldChar w:fldCharType="begin"/>
      </w:r>
      <w:r w:rsidR="08745EEB" w:rsidRPr="003D1E07">
        <w:instrText xml:space="preserve"> XE "</w:instrText>
      </w:r>
      <w:r w:rsidR="08745EEB" w:rsidRPr="003D1E07">
        <w:rPr>
          <w:rStyle w:val="Zkladntext158dkovn0pt"/>
          <w:color w:val="auto"/>
          <w:spacing w:val="0"/>
          <w:sz w:val="24"/>
          <w:lang w:val="cs-CZ"/>
        </w:rPr>
        <w:instrText>predikace:amfibolní</w:instrText>
      </w:r>
      <w:r w:rsidR="08745EEB" w:rsidRPr="003D1E07">
        <w:instrText xml:space="preserve">" </w:instrText>
      </w:r>
      <w:r w:rsidR="08745EEB" w:rsidRPr="003D1E07">
        <w:rPr>
          <w:rStyle w:val="Zkladntext158dkovn0pt"/>
          <w:color w:val="auto"/>
          <w:spacing w:val="0"/>
          <w:sz w:val="24"/>
          <w:lang w:val="cs-CZ"/>
        </w:rPr>
        <w:fldChar w:fldCharType="end"/>
      </w:r>
      <w:r w:rsidR="08745EEB" w:rsidRPr="003D1E07">
        <w:rPr>
          <w:lang w:eastAsia="en-US"/>
        </w:rPr>
        <w:t xml:space="preserve"> Druhého mistra. </w:t>
      </w:r>
      <w:r w:rsidR="006A0B9E">
        <w:rPr>
          <w:lang w:eastAsia="en-US"/>
        </w:rPr>
        <w:t>Na základě nového</w:t>
      </w:r>
      <w:r w:rsidR="006A0B9E" w:rsidRPr="003D1E07">
        <w:rPr>
          <w:lang w:eastAsia="en-US"/>
        </w:rPr>
        <w:t xml:space="preserve"> aktu poznání a intencionality</w:t>
      </w:r>
      <w:r w:rsidR="006A0B9E">
        <w:rPr>
          <w:lang w:eastAsia="en-US"/>
        </w:rPr>
        <w:t xml:space="preserve"> vznikl n</w:t>
      </w:r>
      <w:r w:rsidR="08745EEB" w:rsidRPr="003D1E07">
        <w:rPr>
          <w:lang w:eastAsia="en-US"/>
        </w:rPr>
        <w:t xml:space="preserve">ový pohled </w:t>
      </w:r>
      <w:r w:rsidR="006A0B9E">
        <w:rPr>
          <w:lang w:eastAsia="en-US"/>
        </w:rPr>
        <w:t xml:space="preserve">na svět, který </w:t>
      </w:r>
      <w:r w:rsidR="08745EEB" w:rsidRPr="003D1E07">
        <w:rPr>
          <w:lang w:eastAsia="en-US"/>
        </w:rPr>
        <w:t xml:space="preserve">umožnil přechod do říše objektivních forem. </w:t>
      </w:r>
      <w:r w:rsidR="00EA7A59" w:rsidRPr="003D1E07">
        <w:rPr>
          <w:rStyle w:val="FontStyle129"/>
          <w:rFonts w:ascii="Calibri" w:hAnsi="Calibri"/>
          <w:sz w:val="24"/>
        </w:rPr>
        <w:t xml:space="preserve">Avicenna </w:t>
      </w:r>
      <w:r w:rsidR="08223F4E" w:rsidRPr="003D1E07">
        <w:rPr>
          <w:rStyle w:val="FontStyle129"/>
          <w:rFonts w:ascii="Calibri" w:hAnsi="Calibri"/>
          <w:sz w:val="24"/>
        </w:rPr>
        <w:t>vytvořil pro Západ gnostic</w:t>
      </w:r>
      <w:r w:rsidR="00D63555">
        <w:rPr>
          <w:rStyle w:val="FontStyle129"/>
          <w:rFonts w:ascii="Calibri" w:hAnsi="Calibri"/>
          <w:sz w:val="24"/>
        </w:rPr>
        <w:t xml:space="preserve">ký příběh o minimálním jsoucnu. To vzniklo z ničeho a </w:t>
      </w:r>
      <w:r w:rsidR="08223F4E" w:rsidRPr="003D1E07">
        <w:rPr>
          <w:rStyle w:val="FontStyle129"/>
          <w:rFonts w:ascii="Calibri" w:hAnsi="Calibri"/>
          <w:sz w:val="24"/>
        </w:rPr>
        <w:t xml:space="preserve">božská inteligence </w:t>
      </w:r>
      <w:r w:rsidR="00D63555">
        <w:rPr>
          <w:rStyle w:val="FontStyle129"/>
          <w:rFonts w:ascii="Calibri" w:hAnsi="Calibri"/>
          <w:sz w:val="24"/>
        </w:rPr>
        <w:t xml:space="preserve">mu </w:t>
      </w:r>
      <w:r w:rsidR="08223F4E" w:rsidRPr="003D1E07">
        <w:rPr>
          <w:rStyle w:val="FontStyle129"/>
          <w:rFonts w:ascii="Calibri" w:hAnsi="Calibri"/>
          <w:sz w:val="24"/>
        </w:rPr>
        <w:t xml:space="preserve">zajišťuje </w:t>
      </w:r>
      <w:r w:rsidR="08EF7C3B" w:rsidRPr="003D1E07">
        <w:rPr>
          <w:rStyle w:val="FontStyle129"/>
          <w:rFonts w:ascii="Calibri" w:hAnsi="Calibri"/>
          <w:sz w:val="24"/>
        </w:rPr>
        <w:t xml:space="preserve">objektivní </w:t>
      </w:r>
      <w:r w:rsidR="08223F4E" w:rsidRPr="003D1E07">
        <w:rPr>
          <w:rStyle w:val="FontStyle129"/>
          <w:rFonts w:ascii="Calibri" w:hAnsi="Calibri"/>
          <w:sz w:val="24"/>
        </w:rPr>
        <w:t xml:space="preserve">existenci </w:t>
      </w:r>
      <w:r w:rsidR="08EF7C3B" w:rsidRPr="003D1E07">
        <w:rPr>
          <w:rStyle w:val="FontStyle129"/>
          <w:rFonts w:ascii="Calibri" w:hAnsi="Calibri"/>
          <w:sz w:val="24"/>
        </w:rPr>
        <w:t>skrze intencionalitu</w:t>
      </w:r>
      <w:r w:rsidR="08223F4E" w:rsidRPr="003D1E07">
        <w:rPr>
          <w:rStyle w:val="FontStyle129"/>
          <w:rFonts w:ascii="Calibri" w:hAnsi="Calibri"/>
          <w:sz w:val="24"/>
        </w:rPr>
        <w:t xml:space="preserve">. </w:t>
      </w:r>
      <w:r w:rsidR="00D57C1C">
        <w:rPr>
          <w:rStyle w:val="FontStyle129"/>
          <w:rFonts w:ascii="Calibri" w:hAnsi="Calibri"/>
          <w:sz w:val="24"/>
        </w:rPr>
        <w:t>S</w:t>
      </w:r>
      <w:r w:rsidR="08EF7C3B" w:rsidRPr="003D1E07">
        <w:rPr>
          <w:rStyle w:val="FontStyle129"/>
          <w:rFonts w:ascii="Calibri" w:hAnsi="Calibri"/>
          <w:sz w:val="24"/>
        </w:rPr>
        <w:t>tvoření objektivního di</w:t>
      </w:r>
      <w:r w:rsidR="00361A95">
        <w:rPr>
          <w:rStyle w:val="FontStyle129"/>
          <w:rFonts w:ascii="Calibri" w:hAnsi="Calibri"/>
          <w:sz w:val="24"/>
        </w:rPr>
        <w:t>a</w:t>
      </w:r>
      <w:r w:rsidR="08EF7C3B" w:rsidRPr="003D1E07">
        <w:rPr>
          <w:rStyle w:val="FontStyle129"/>
          <w:rFonts w:ascii="Calibri" w:hAnsi="Calibri"/>
          <w:sz w:val="24"/>
        </w:rPr>
        <w:t>kosmu v</w:t>
      </w:r>
      <w:r w:rsidR="00E36298" w:rsidRPr="003D1E07">
        <w:rPr>
          <w:rStyle w:val="FontStyle129"/>
          <w:rFonts w:ascii="Calibri" w:hAnsi="Calibri"/>
          <w:sz w:val="24"/>
        </w:rPr>
        <w:t xml:space="preserve"> moderním </w:t>
      </w:r>
      <w:r w:rsidR="08EF7C3B" w:rsidRPr="003D1E07">
        <w:rPr>
          <w:rStyle w:val="FontStyle129"/>
          <w:rFonts w:ascii="Calibri" w:hAnsi="Calibri"/>
          <w:sz w:val="24"/>
        </w:rPr>
        <w:t>bohu a v</w:t>
      </w:r>
      <w:r w:rsidR="00E36298" w:rsidRPr="003D1E07">
        <w:rPr>
          <w:rStyle w:val="FontStyle129"/>
          <w:rFonts w:ascii="Calibri" w:hAnsi="Calibri"/>
          <w:sz w:val="24"/>
        </w:rPr>
        <w:t xml:space="preserve"> jeho </w:t>
      </w:r>
      <w:r w:rsidR="00D96EC2" w:rsidRPr="003D1E07">
        <w:rPr>
          <w:rStyle w:val="FontStyle129"/>
          <w:rFonts w:ascii="Calibri" w:hAnsi="Calibri"/>
          <w:sz w:val="24"/>
        </w:rPr>
        <w:t xml:space="preserve">pozemském </w:t>
      </w:r>
      <w:r w:rsidR="00E36298" w:rsidRPr="003D1E07">
        <w:rPr>
          <w:rStyle w:val="FontStyle129"/>
          <w:rFonts w:ascii="Calibri" w:hAnsi="Calibri"/>
          <w:sz w:val="24"/>
        </w:rPr>
        <w:t xml:space="preserve">tvůrci </w:t>
      </w:r>
      <w:r w:rsidR="08EF7C3B" w:rsidRPr="003D1E07">
        <w:rPr>
          <w:rStyle w:val="FontStyle129"/>
          <w:rFonts w:ascii="Calibri" w:hAnsi="Calibri"/>
          <w:sz w:val="24"/>
        </w:rPr>
        <w:t xml:space="preserve">je vytvořeno pomocí komitační predikace. </w:t>
      </w:r>
      <w:r w:rsidR="089D3F13" w:rsidRPr="003D1E07">
        <w:t xml:space="preserve">Nové poznání světa je radikálně intelektuální a přitom nábožensko-mystické. </w:t>
      </w:r>
      <w:r w:rsidR="08CB27C2" w:rsidRPr="003D1E07">
        <w:rPr>
          <w:rStyle w:val="FontStyle129"/>
          <w:rFonts w:ascii="Calibri" w:hAnsi="Calibri"/>
          <w:sz w:val="24"/>
        </w:rPr>
        <w:t xml:space="preserve">Mytopoeticky </w:t>
      </w:r>
      <w:r w:rsidR="08CB27C2" w:rsidRPr="003D1E07">
        <w:t xml:space="preserve">nastolená objektivita nastolila nové poznání světa, boha a člověka. </w:t>
      </w:r>
      <w:r w:rsidR="0829271C" w:rsidRPr="003D1E07">
        <w:rPr>
          <w:rStyle w:val="FontStyle129"/>
          <w:rFonts w:ascii="Calibri" w:hAnsi="Calibri"/>
          <w:sz w:val="24"/>
        </w:rPr>
        <w:t xml:space="preserve">Boží psychologie a intelekt iluminátů </w:t>
      </w:r>
      <w:r w:rsidR="00726D25" w:rsidRPr="003D1E07">
        <w:rPr>
          <w:rStyle w:val="FontStyle129"/>
          <w:rFonts w:ascii="Calibri" w:hAnsi="Calibri"/>
          <w:sz w:val="24"/>
        </w:rPr>
        <w:t xml:space="preserve">je </w:t>
      </w:r>
      <w:r w:rsidR="0829271C" w:rsidRPr="003D1E07">
        <w:rPr>
          <w:rStyle w:val="FontStyle129"/>
          <w:rFonts w:ascii="Calibri" w:hAnsi="Calibri"/>
          <w:sz w:val="24"/>
        </w:rPr>
        <w:t xml:space="preserve">oddělený od reality v modu </w:t>
      </w:r>
      <w:r w:rsidR="0829271C" w:rsidRPr="003D1E07">
        <w:rPr>
          <w:rStyle w:val="FontStyle129"/>
          <w:rFonts w:ascii="Calibri" w:hAnsi="Calibri"/>
          <w:i/>
          <w:sz w:val="24"/>
        </w:rPr>
        <w:t>absolute</w:t>
      </w:r>
      <w:r w:rsidR="00844AE2">
        <w:rPr>
          <w:rStyle w:val="FontStyle129"/>
          <w:rFonts w:ascii="Calibri" w:hAnsi="Calibri"/>
          <w:sz w:val="24"/>
        </w:rPr>
        <w:t>. Mytopoetická „ek</w:t>
      </w:r>
      <w:r w:rsidR="00726D25" w:rsidRPr="003D1E07">
        <w:rPr>
          <w:rStyle w:val="FontStyle129"/>
          <w:rFonts w:ascii="Calibri" w:hAnsi="Calibri"/>
          <w:sz w:val="24"/>
        </w:rPr>
        <w:t xml:space="preserve">sistence“ objektivního světa je zajištěna skrze </w:t>
      </w:r>
      <w:r w:rsidR="0829271C" w:rsidRPr="003D1E07">
        <w:rPr>
          <w:rStyle w:val="FontStyle129"/>
          <w:rFonts w:ascii="Calibri" w:hAnsi="Calibri"/>
          <w:sz w:val="24"/>
        </w:rPr>
        <w:t>obje</w:t>
      </w:r>
      <w:r w:rsidR="00FC6456">
        <w:rPr>
          <w:rStyle w:val="FontStyle129"/>
          <w:rFonts w:ascii="Calibri" w:hAnsi="Calibri"/>
          <w:sz w:val="24"/>
        </w:rPr>
        <w:t>ktivní „ex</w:t>
      </w:r>
      <w:r w:rsidR="00726D25" w:rsidRPr="003D1E07">
        <w:rPr>
          <w:rStyle w:val="FontStyle129"/>
          <w:rFonts w:ascii="Calibri" w:hAnsi="Calibri"/>
          <w:sz w:val="24"/>
        </w:rPr>
        <w:t xml:space="preserve">sistenci“ </w:t>
      </w:r>
      <w:r w:rsidR="0829271C" w:rsidRPr="003D1E07">
        <w:rPr>
          <w:rStyle w:val="FontStyle129"/>
          <w:rFonts w:ascii="Calibri" w:hAnsi="Calibri"/>
          <w:sz w:val="24"/>
        </w:rPr>
        <w:t>minimálního jsoucna</w:t>
      </w:r>
      <w:r w:rsidR="00D01450">
        <w:rPr>
          <w:rStyle w:val="FontStyle129"/>
          <w:rFonts w:ascii="Calibri" w:hAnsi="Calibri"/>
          <w:sz w:val="24"/>
        </w:rPr>
        <w:t xml:space="preserve"> (</w:t>
      </w:r>
      <w:r w:rsidR="00D01450" w:rsidRPr="003D1E07">
        <w:rPr>
          <w:rStyle w:val="FontStyle129"/>
          <w:rFonts w:ascii="Calibri" w:hAnsi="Calibri"/>
          <w:i/>
          <w:sz w:val="24"/>
        </w:rPr>
        <w:t>exsistere</w:t>
      </w:r>
      <w:r w:rsidR="00D01450">
        <w:rPr>
          <w:rStyle w:val="FontStyle129"/>
          <w:rFonts w:ascii="Calibri" w:hAnsi="Calibri"/>
          <w:sz w:val="24"/>
        </w:rPr>
        <w:t>)</w:t>
      </w:r>
      <w:r w:rsidR="0829271C" w:rsidRPr="003D1E07">
        <w:rPr>
          <w:rStyle w:val="FontStyle129"/>
          <w:rFonts w:ascii="Calibri" w:hAnsi="Calibri"/>
          <w:sz w:val="24"/>
        </w:rPr>
        <w:t xml:space="preserve">. </w:t>
      </w:r>
      <w:r w:rsidR="003C6D88" w:rsidRPr="003D1E07">
        <w:rPr>
          <w:rStyle w:val="FontStyle129"/>
          <w:rFonts w:ascii="Calibri" w:hAnsi="Calibri"/>
          <w:sz w:val="24"/>
        </w:rPr>
        <w:t xml:space="preserve">Takto uchopené objektivní jsoucno se stalo předmětem zkoumání pro metafyzicky pojatou </w:t>
      </w:r>
      <w:r w:rsidR="003C6D88">
        <w:rPr>
          <w:rStyle w:val="FontStyle129"/>
          <w:rFonts w:ascii="Calibri" w:hAnsi="Calibri"/>
          <w:sz w:val="24"/>
        </w:rPr>
        <w:t>onto-</w:t>
      </w:r>
      <w:r w:rsidR="003C6D88" w:rsidRPr="003D1E07">
        <w:rPr>
          <w:rStyle w:val="FontStyle129"/>
          <w:rFonts w:ascii="Calibri" w:hAnsi="Calibri"/>
          <w:sz w:val="24"/>
        </w:rPr>
        <w:t xml:space="preserve">psychologii islámské a později i křesťanské moderny. </w:t>
      </w:r>
      <w:r w:rsidR="0829271C" w:rsidRPr="003D1E07">
        <w:rPr>
          <w:rStyle w:val="FontStyle129"/>
          <w:rFonts w:ascii="Calibri" w:hAnsi="Calibri"/>
          <w:sz w:val="24"/>
        </w:rPr>
        <w:t xml:space="preserve">Boží forma </w:t>
      </w:r>
      <w:r w:rsidR="0829271C" w:rsidRPr="003D1E07">
        <w:rPr>
          <w:rStyle w:val="FontStyle129"/>
          <w:rFonts w:ascii="Calibri" w:hAnsi="Calibri"/>
          <w:i/>
          <w:sz w:val="24"/>
        </w:rPr>
        <w:t>tertium ens</w:t>
      </w:r>
      <w:r w:rsidR="0829271C" w:rsidRPr="003D1E07">
        <w:rPr>
          <w:rStyle w:val="FontStyle129"/>
          <w:rFonts w:ascii="Calibri" w:hAnsi="Calibri"/>
          <w:sz w:val="24"/>
        </w:rPr>
        <w:t xml:space="preserve"> vzniká v mytopoetickém aktu </w:t>
      </w:r>
      <w:r w:rsidR="00923243">
        <w:rPr>
          <w:rStyle w:val="FontStyle129"/>
          <w:rFonts w:ascii="Calibri" w:hAnsi="Calibri"/>
          <w:sz w:val="24"/>
        </w:rPr>
        <w:t xml:space="preserve">stvoření </w:t>
      </w:r>
      <w:r w:rsidR="0829271C" w:rsidRPr="003D1E07">
        <w:rPr>
          <w:rStyle w:val="FontStyle129"/>
          <w:rFonts w:ascii="Calibri" w:hAnsi="Calibri"/>
          <w:sz w:val="24"/>
        </w:rPr>
        <w:t xml:space="preserve">ještě před vznikem světa. </w:t>
      </w:r>
      <w:r w:rsidR="084643E4" w:rsidRPr="003D1E07">
        <w:rPr>
          <w:rStyle w:val="FontStyle129"/>
          <w:rFonts w:ascii="Calibri" w:hAnsi="Calibri"/>
          <w:sz w:val="24"/>
        </w:rPr>
        <w:t xml:space="preserve">Boží psychologie a intelekt iluminátů </w:t>
      </w:r>
      <w:r w:rsidR="00F467FB">
        <w:rPr>
          <w:rStyle w:val="FontStyle129"/>
          <w:rFonts w:ascii="Calibri" w:hAnsi="Calibri"/>
          <w:sz w:val="24"/>
        </w:rPr>
        <w:t xml:space="preserve">je </w:t>
      </w:r>
      <w:r w:rsidR="084643E4" w:rsidRPr="003D1E07">
        <w:rPr>
          <w:rStyle w:val="FontStyle129"/>
          <w:rFonts w:ascii="Calibri" w:hAnsi="Calibri"/>
          <w:sz w:val="24"/>
        </w:rPr>
        <w:t xml:space="preserve">oddělený od reality v modu </w:t>
      </w:r>
      <w:r w:rsidR="084643E4" w:rsidRPr="003D1E07">
        <w:rPr>
          <w:rStyle w:val="FontStyle129"/>
          <w:rFonts w:ascii="Calibri" w:hAnsi="Calibri"/>
          <w:i/>
          <w:sz w:val="24"/>
        </w:rPr>
        <w:t>absolute</w:t>
      </w:r>
      <w:r w:rsidR="00F467FB">
        <w:rPr>
          <w:rStyle w:val="FontStyle129"/>
          <w:rFonts w:ascii="Calibri" w:hAnsi="Calibri"/>
          <w:sz w:val="24"/>
        </w:rPr>
        <w:t xml:space="preserve">, což </w:t>
      </w:r>
      <w:r w:rsidR="00A17895">
        <w:rPr>
          <w:rStyle w:val="FontStyle129"/>
          <w:rFonts w:ascii="Calibri" w:hAnsi="Calibri"/>
          <w:sz w:val="24"/>
        </w:rPr>
        <w:t xml:space="preserve">spolehlivě </w:t>
      </w:r>
      <w:r w:rsidR="00F467FB">
        <w:rPr>
          <w:rStyle w:val="FontStyle129"/>
          <w:rFonts w:ascii="Calibri" w:hAnsi="Calibri"/>
          <w:sz w:val="24"/>
        </w:rPr>
        <w:t>zajišťuje</w:t>
      </w:r>
      <w:r w:rsidR="084643E4" w:rsidRPr="003D1E07">
        <w:rPr>
          <w:rStyle w:val="FontStyle129"/>
          <w:rFonts w:ascii="Calibri" w:hAnsi="Calibri"/>
          <w:sz w:val="24"/>
        </w:rPr>
        <w:t xml:space="preserve"> objektivní existenci minimálního </w:t>
      </w:r>
      <w:r w:rsidR="084643E4" w:rsidRPr="003D1E07">
        <w:t xml:space="preserve">jsoucna. Tato absolutně jistá a evidentní forma </w:t>
      </w:r>
      <w:r w:rsidR="084643E4" w:rsidRPr="003D1E07">
        <w:rPr>
          <w:i/>
        </w:rPr>
        <w:t>tertium ens</w:t>
      </w:r>
      <w:r w:rsidR="084643E4" w:rsidRPr="003D1E07">
        <w:t xml:space="preserve"> vzniká v mytopoetickém aktu </w:t>
      </w:r>
      <w:r w:rsidR="084643E4" w:rsidRPr="003D1E07">
        <w:rPr>
          <w:i/>
        </w:rPr>
        <w:t>exsistere</w:t>
      </w:r>
      <w:r w:rsidR="084643E4" w:rsidRPr="003D1E07">
        <w:rPr>
          <w:rStyle w:val="FontStyle129"/>
          <w:rFonts w:ascii="Calibri" w:hAnsi="Calibri"/>
          <w:sz w:val="24"/>
        </w:rPr>
        <w:t xml:space="preserve"> ještě před vznikem světa</w:t>
      </w:r>
      <w:r w:rsidR="084643E4" w:rsidRPr="003D1E07">
        <w:t xml:space="preserve">. Avicenna přetvořil filosofickou pohádku </w:t>
      </w:r>
      <w:r w:rsidR="084643E4" w:rsidRPr="003D1E07">
        <w:rPr>
          <w:i/>
        </w:rPr>
        <w:t>Timaios</w:t>
      </w:r>
      <w:r w:rsidR="084643E4" w:rsidRPr="003D1E07">
        <w:t xml:space="preserve"> do objektivně platné</w:t>
      </w:r>
      <w:r w:rsidR="005C4F73" w:rsidRPr="003D1E07">
        <w:t>ho narativu moderní filosofie</w:t>
      </w:r>
      <w:r w:rsidR="084643E4" w:rsidRPr="003D1E07">
        <w:t xml:space="preserve">. </w:t>
      </w:r>
      <w:r w:rsidR="00D8085C" w:rsidRPr="003D1E07">
        <w:t>Akademikové šíří m</w:t>
      </w:r>
      <w:r w:rsidR="084643E4" w:rsidRPr="003D1E07">
        <w:t>ýtus absolutně chudého jsoucna, které se stalo absolutně bohatým</w:t>
      </w:r>
      <w:r w:rsidR="00D80142" w:rsidRPr="003D1E07">
        <w:t xml:space="preserve"> v jejich božském myšlení. Tento nesmysl </w:t>
      </w:r>
      <w:r w:rsidR="084643E4" w:rsidRPr="003D1E07">
        <w:t xml:space="preserve">dodnes utváří dějiny </w:t>
      </w:r>
      <w:r w:rsidR="08BD3019" w:rsidRPr="003D1E07">
        <w:t xml:space="preserve">nekritického </w:t>
      </w:r>
      <w:r w:rsidR="084643E4" w:rsidRPr="003D1E07">
        <w:t xml:space="preserve">Západu. Bagdádská moderna vytvořila </w:t>
      </w:r>
      <w:r w:rsidR="08772E24" w:rsidRPr="003D1E07">
        <w:t xml:space="preserve">filosofickou a teologickou </w:t>
      </w:r>
      <w:r w:rsidR="084643E4" w:rsidRPr="003D1E07">
        <w:t xml:space="preserve">pohádku o tom, jak </w:t>
      </w:r>
      <w:r w:rsidR="00B641BC">
        <w:t xml:space="preserve">absolutně </w:t>
      </w:r>
      <w:r w:rsidR="084643E4" w:rsidRPr="003D1E07">
        <w:t xml:space="preserve">chudé jsoucno ke svému </w:t>
      </w:r>
      <w:r w:rsidR="00B641BC">
        <w:t xml:space="preserve">absolutnímu </w:t>
      </w:r>
      <w:r w:rsidR="0025470D" w:rsidRPr="003D1E07">
        <w:t xml:space="preserve">akademickému </w:t>
      </w:r>
      <w:r w:rsidR="084643E4" w:rsidRPr="003D1E07">
        <w:t xml:space="preserve">štěstí přišlo. </w:t>
      </w:r>
      <w:r w:rsidR="007A41E5" w:rsidRPr="003D1E07">
        <w:t>Nezapomínejme, že první m</w:t>
      </w:r>
      <w:r w:rsidR="00B641BC">
        <w:t xml:space="preserve">odernisté žili v době slavných </w:t>
      </w:r>
      <w:r w:rsidR="00B641BC" w:rsidRPr="00B641BC">
        <w:rPr>
          <w:i/>
        </w:rPr>
        <w:t>Pohádek t</w:t>
      </w:r>
      <w:r w:rsidR="007A41E5" w:rsidRPr="00B641BC">
        <w:rPr>
          <w:i/>
        </w:rPr>
        <w:t xml:space="preserve">isíce a jedné </w:t>
      </w:r>
      <w:r w:rsidR="007A41E5" w:rsidRPr="000B0E72">
        <w:rPr>
          <w:i/>
        </w:rPr>
        <w:t>noci</w:t>
      </w:r>
      <w:r w:rsidR="002376A0">
        <w:t>.</w:t>
      </w:r>
      <w:r w:rsidR="00D053A8">
        <w:t xml:space="preserve"> </w:t>
      </w:r>
      <w:r w:rsidR="00D053A8" w:rsidRPr="003D1E07">
        <w:rPr>
          <w:lang w:eastAsia="en-US"/>
        </w:rPr>
        <w:t xml:space="preserve">Avicenna </w:t>
      </w:r>
      <w:r w:rsidR="00D053A8">
        <w:rPr>
          <w:lang w:eastAsia="en-US"/>
        </w:rPr>
        <w:t xml:space="preserve">jako zakladatel západní moderny </w:t>
      </w:r>
      <w:r w:rsidR="00D053A8" w:rsidRPr="003D1E07">
        <w:rPr>
          <w:lang w:eastAsia="en-US"/>
        </w:rPr>
        <w:t xml:space="preserve">našel novou formu </w:t>
      </w:r>
      <w:r w:rsidR="00D053A8" w:rsidRPr="003D1E07">
        <w:t xml:space="preserve">objektivity díky nově pojaté abstrakci dané světlem odděleného činného intelektu. </w:t>
      </w:r>
      <w:r w:rsidR="00D053A8" w:rsidRPr="003D1E07">
        <w:rPr>
          <w:lang w:eastAsia="en-US"/>
        </w:rPr>
        <w:t xml:space="preserve">Myslitelská substance je aktivní svou vlastní podstatou a díky aktu zcela autonomní sebereflexe tvoří poznávací formu sama ze sebe. </w:t>
      </w:r>
      <w:r w:rsidR="00D053A8" w:rsidRPr="003D1E07">
        <w:t>Lidský intelekt není primárně nasvícen od reálně existující věci, ale od kosmického činného intelektu (</w:t>
      </w:r>
      <w:r w:rsidR="00D053A8" w:rsidRPr="003D1E07">
        <w:rPr>
          <w:i/>
        </w:rPr>
        <w:t>intellectus agens</w:t>
      </w:r>
      <w:r w:rsidR="00D053A8" w:rsidRPr="003D1E07">
        <w:t>).</w:t>
      </w:r>
      <w:r w:rsidR="00D053A8" w:rsidRPr="003D1E07">
        <w:rPr>
          <w:lang w:eastAsia="en-US"/>
        </w:rPr>
        <w:t xml:space="preserve"> Kauzální nexus </w:t>
      </w:r>
      <w:r w:rsidR="00D053A8" w:rsidRPr="003D1E07">
        <w:rPr>
          <w:lang w:eastAsia="en-US"/>
        </w:rPr>
        <w:lastRenderedPageBreak/>
        <w:t>pro moderní poznání je dán v darovaném intelektu (</w:t>
      </w:r>
      <w:r w:rsidR="00D053A8" w:rsidRPr="003D1E07">
        <w:rPr>
          <w:i/>
          <w:lang w:eastAsia="en-US"/>
        </w:rPr>
        <w:t>intellectus adeptus</w:t>
      </w:r>
      <w:r w:rsidR="00D053A8" w:rsidRPr="003D1E07">
        <w:rPr>
          <w:lang w:eastAsia="en-US"/>
        </w:rPr>
        <w:t xml:space="preserve">), kde se mísí první a druhá abstrakce. Averroes toto pojetí odmítl a našel původní aristotelský výklad </w:t>
      </w:r>
      <w:r w:rsidR="00D053A8" w:rsidRPr="003D1E07">
        <w:rPr>
          <w:i/>
          <w:lang w:eastAsia="en-US"/>
        </w:rPr>
        <w:t>De anima</w:t>
      </w:r>
      <w:r w:rsidR="00D053A8" w:rsidRPr="003D1E07">
        <w:rPr>
          <w:lang w:eastAsia="en-US"/>
        </w:rPr>
        <w:t xml:space="preserve">. </w:t>
      </w:r>
      <w:r w:rsidR="00D053A8" w:rsidRPr="003D1E07">
        <w:rPr>
          <w:rStyle w:val="Zkladntext158dkovn0pt"/>
          <w:color w:val="auto"/>
          <w:spacing w:val="0"/>
          <w:sz w:val="24"/>
          <w:lang w:val="cs-CZ"/>
        </w:rPr>
        <w:t>Impozice aktuality do intelektu zakládá možnost univoční predikace mezi individuálním intelektem (</w:t>
      </w:r>
      <w:r w:rsidR="00D053A8" w:rsidRPr="003D1E07">
        <w:rPr>
          <w:rStyle w:val="Zkladntext158dkovn0pt"/>
          <w:i/>
          <w:color w:val="auto"/>
          <w:spacing w:val="0"/>
          <w:sz w:val="24"/>
          <w:lang w:val="cs-CZ"/>
        </w:rPr>
        <w:t>tertium</w:t>
      </w:r>
      <w:r w:rsidR="00D053A8" w:rsidRPr="003D1E07">
        <w:rPr>
          <w:rStyle w:val="Zkladntext158dkovn0pt"/>
          <w:color w:val="auto"/>
          <w:spacing w:val="0"/>
          <w:sz w:val="24"/>
          <w:lang w:val="cs-CZ"/>
        </w:rPr>
        <w:t xml:space="preserve"> </w:t>
      </w:r>
      <w:r w:rsidR="00D053A8" w:rsidRPr="006459C2">
        <w:rPr>
          <w:rStyle w:val="Zkladntext158dkovn0pt"/>
          <w:i/>
          <w:color w:val="auto"/>
          <w:spacing w:val="0"/>
          <w:sz w:val="24"/>
          <w:lang w:val="cs-CZ"/>
        </w:rPr>
        <w:t>genus</w:t>
      </w:r>
      <w:r w:rsidR="00D053A8" w:rsidRPr="003D1E07">
        <w:rPr>
          <w:rStyle w:val="Zkladntext158dkovn0pt"/>
          <w:i/>
          <w:color w:val="auto"/>
          <w:spacing w:val="0"/>
          <w:sz w:val="24"/>
          <w:lang w:val="cs-CZ"/>
        </w:rPr>
        <w:fldChar w:fldCharType="begin"/>
      </w:r>
      <w:r w:rsidR="00D053A8" w:rsidRPr="003D1E07">
        <w:instrText xml:space="preserve"> XE "</w:instrText>
      </w:r>
      <w:r w:rsidR="00D053A8" w:rsidRPr="003D1E07">
        <w:rPr>
          <w:i/>
        </w:rPr>
        <w:instrText>tertium genus</w:instrText>
      </w:r>
      <w:r w:rsidR="00D053A8" w:rsidRPr="003D1E07">
        <w:instrText xml:space="preserve">" </w:instrText>
      </w:r>
      <w:r w:rsidR="00D053A8" w:rsidRPr="003D1E07">
        <w:rPr>
          <w:rStyle w:val="Zkladntext158dkovn0pt"/>
          <w:i/>
          <w:color w:val="auto"/>
          <w:spacing w:val="0"/>
          <w:sz w:val="24"/>
          <w:lang w:val="cs-CZ"/>
        </w:rPr>
        <w:fldChar w:fldCharType="end"/>
      </w:r>
      <w:r w:rsidR="00D053A8" w:rsidRPr="003D1E07">
        <w:rPr>
          <w:rStyle w:val="Zkladntext158dkovn0pt"/>
          <w:color w:val="auto"/>
          <w:spacing w:val="0"/>
          <w:sz w:val="24"/>
          <w:lang w:val="cs-CZ"/>
        </w:rPr>
        <w:t>) a mezi jeho univerzální formou poznání (</w:t>
      </w:r>
      <w:r w:rsidR="00D053A8" w:rsidRPr="003D1E07">
        <w:rPr>
          <w:rStyle w:val="Zkladntext158dkovn0pt"/>
          <w:i/>
          <w:color w:val="auto"/>
          <w:spacing w:val="0"/>
          <w:sz w:val="24"/>
          <w:lang w:val="cs-CZ"/>
        </w:rPr>
        <w:t xml:space="preserve">quartum </w:t>
      </w:r>
      <w:r w:rsidR="00D053A8" w:rsidRPr="006459C2">
        <w:rPr>
          <w:rStyle w:val="Zkladntext158dkovn0pt"/>
          <w:i/>
          <w:color w:val="auto"/>
          <w:spacing w:val="0"/>
          <w:sz w:val="24"/>
          <w:lang w:val="cs-CZ"/>
        </w:rPr>
        <w:t>genus</w:t>
      </w:r>
      <w:r w:rsidR="00D053A8" w:rsidRPr="003D1E07">
        <w:rPr>
          <w:rStyle w:val="Zkladntext158dkovn0pt"/>
          <w:i/>
          <w:color w:val="auto"/>
          <w:spacing w:val="0"/>
          <w:sz w:val="24"/>
          <w:lang w:val="cs-CZ"/>
        </w:rPr>
        <w:fldChar w:fldCharType="begin"/>
      </w:r>
      <w:r w:rsidR="00D053A8" w:rsidRPr="003D1E07">
        <w:instrText xml:space="preserve"> XE "</w:instrText>
      </w:r>
      <w:r w:rsidR="00D053A8" w:rsidRPr="003D1E07">
        <w:rPr>
          <w:i/>
        </w:rPr>
        <w:instrText>quartum genus</w:instrText>
      </w:r>
      <w:r w:rsidR="00D053A8" w:rsidRPr="003D1E07">
        <w:instrText xml:space="preserve">" </w:instrText>
      </w:r>
      <w:r w:rsidR="00D053A8" w:rsidRPr="003D1E07">
        <w:rPr>
          <w:rStyle w:val="Zkladntext158dkovn0pt"/>
          <w:i/>
          <w:color w:val="auto"/>
          <w:spacing w:val="0"/>
          <w:sz w:val="24"/>
          <w:lang w:val="cs-CZ"/>
        </w:rPr>
        <w:fldChar w:fldCharType="end"/>
      </w:r>
      <w:r w:rsidR="00D053A8" w:rsidRPr="003D1E07">
        <w:rPr>
          <w:rStyle w:val="Zkladntext158dkovn0pt"/>
          <w:color w:val="auto"/>
          <w:spacing w:val="0"/>
          <w:sz w:val="24"/>
          <w:lang w:val="cs-CZ"/>
        </w:rPr>
        <w:t>).</w:t>
      </w:r>
      <w:r w:rsidR="00D053A8" w:rsidRPr="003D1E07">
        <w:rPr>
          <w:rStyle w:val="Zkladntext158dkovn0pt"/>
          <w:lang w:val="cs-CZ"/>
        </w:rPr>
        <w:t xml:space="preserve"> </w:t>
      </w:r>
      <w:r w:rsidR="00D053A8" w:rsidRPr="003D1E07">
        <w:rPr>
          <w:rStyle w:val="Zkladntext158dkovn0pt"/>
          <w:color w:val="auto"/>
          <w:spacing w:val="0"/>
          <w:sz w:val="24"/>
          <w:lang w:val="cs-CZ"/>
        </w:rPr>
        <w:t xml:space="preserve">Pojem jednoty lidstva jako intelektuální schopnosti vše poznávat je daný supozicí univerzální species typu Al-Fárábího lidské přirozenosti a Averroesovy </w:t>
      </w:r>
      <w:r w:rsidR="00D053A8" w:rsidRPr="00C7435E">
        <w:rPr>
          <w:rStyle w:val="Zkladntext158dkovn0pt"/>
          <w:i/>
          <w:color w:val="auto"/>
          <w:spacing w:val="0"/>
          <w:sz w:val="24"/>
          <w:lang w:val="cs-CZ"/>
        </w:rPr>
        <w:t>species</w:t>
      </w:r>
      <w:r w:rsidR="00D053A8" w:rsidRPr="003D1E07">
        <w:rPr>
          <w:rStyle w:val="Zkladntext158dkovn0pt"/>
          <w:i/>
          <w:color w:val="auto"/>
          <w:spacing w:val="0"/>
          <w:sz w:val="24"/>
          <w:lang w:val="cs-CZ"/>
        </w:rPr>
        <w:t xml:space="preserve"> humana</w:t>
      </w:r>
      <w:r w:rsidR="00D053A8" w:rsidRPr="003D1E07">
        <w:rPr>
          <w:rStyle w:val="Zkladntext158dkovn0pt"/>
          <w:color w:val="auto"/>
          <w:spacing w:val="0"/>
          <w:sz w:val="24"/>
          <w:lang w:val="cs-CZ"/>
        </w:rPr>
        <w:t xml:space="preserve">, z níž později Dante </w:t>
      </w:r>
      <w:r w:rsidR="00D053A8">
        <w:rPr>
          <w:rStyle w:val="Zkladntext158dkovn0pt"/>
          <w:color w:val="auto"/>
          <w:spacing w:val="0"/>
          <w:sz w:val="24"/>
          <w:lang w:val="cs-CZ"/>
        </w:rPr>
        <w:t xml:space="preserve">pod vedením božských Múz </w:t>
      </w:r>
      <w:r w:rsidR="00D053A8" w:rsidRPr="003D1E07">
        <w:rPr>
          <w:rStyle w:val="Zkladntext158dkovn0pt"/>
          <w:color w:val="auto"/>
          <w:spacing w:val="0"/>
          <w:sz w:val="24"/>
          <w:lang w:val="cs-CZ"/>
        </w:rPr>
        <w:t>utvoří politickou jednotu lidstva (</w:t>
      </w:r>
      <w:r w:rsidR="00D053A8" w:rsidRPr="003D1E07">
        <w:rPr>
          <w:rStyle w:val="Zkladntext158dkovn0pt"/>
          <w:i/>
          <w:color w:val="auto"/>
          <w:spacing w:val="0"/>
          <w:sz w:val="24"/>
          <w:lang w:val="cs-CZ"/>
        </w:rPr>
        <w:t>universitas humana</w:t>
      </w:r>
      <w:r w:rsidR="00D053A8" w:rsidRPr="003D1E07">
        <w:rPr>
          <w:rStyle w:val="Zkladntext158dkovn0pt"/>
          <w:color w:val="auto"/>
          <w:spacing w:val="0"/>
          <w:sz w:val="24"/>
          <w:lang w:val="cs-CZ"/>
        </w:rPr>
        <w:t xml:space="preserve">). Moderní humanismus oslavuje člověka jako mrtvolu v modu hypostázovaného species. Toto </w:t>
      </w:r>
      <w:r w:rsidR="00D053A8" w:rsidRPr="003D1E07">
        <w:rPr>
          <w:rStyle w:val="Zkladntext158dkovn0pt"/>
          <w:i/>
          <w:color w:val="auto"/>
          <w:spacing w:val="0"/>
          <w:sz w:val="24"/>
          <w:lang w:val="cs-CZ"/>
        </w:rPr>
        <w:t>tertium ens</w:t>
      </w:r>
      <w:r w:rsidR="00D053A8" w:rsidRPr="003D1E07">
        <w:rPr>
          <w:rStyle w:val="Zkladntext158dkovn0pt"/>
          <w:color w:val="auto"/>
          <w:spacing w:val="0"/>
          <w:sz w:val="24"/>
          <w:lang w:val="cs-CZ"/>
        </w:rPr>
        <w:t xml:space="preserve"> má charakter objektivní lidskosti, kterou </w:t>
      </w:r>
      <w:r w:rsidR="00D053A8">
        <w:rPr>
          <w:rStyle w:val="Zkladntext158dkovn0pt"/>
          <w:color w:val="auto"/>
          <w:spacing w:val="0"/>
          <w:sz w:val="24"/>
          <w:lang w:val="cs-CZ"/>
        </w:rPr>
        <w:t xml:space="preserve">stejné </w:t>
      </w:r>
      <w:r w:rsidR="00D053A8" w:rsidRPr="003D1E07">
        <w:rPr>
          <w:rStyle w:val="Zkladntext158dkovn0pt"/>
          <w:color w:val="auto"/>
          <w:spacing w:val="0"/>
          <w:sz w:val="24"/>
          <w:lang w:val="cs-CZ"/>
        </w:rPr>
        <w:t xml:space="preserve">božské síly Múz formují do moderního myslitelského </w:t>
      </w:r>
      <w:r w:rsidR="00D053A8">
        <w:rPr>
          <w:rStyle w:val="Zkladntext158dkovn0pt"/>
          <w:color w:val="auto"/>
          <w:spacing w:val="0"/>
          <w:sz w:val="24"/>
          <w:lang w:val="cs-CZ"/>
        </w:rPr>
        <w:t>c</w:t>
      </w:r>
      <w:r w:rsidR="00D053A8" w:rsidRPr="003D1E07">
        <w:rPr>
          <w:rStyle w:val="Zkladntext158dkovn0pt"/>
          <w:color w:val="auto"/>
          <w:spacing w:val="0"/>
          <w:sz w:val="24"/>
          <w:lang w:val="cs-CZ"/>
        </w:rPr>
        <w:t>haosu. Základním znakem humanismu moderny je rozpad osoby</w:t>
      </w:r>
      <w:r w:rsidR="00D053A8">
        <w:rPr>
          <w:rStyle w:val="Zkladntext158dkovn0pt"/>
          <w:color w:val="auto"/>
          <w:spacing w:val="0"/>
          <w:sz w:val="24"/>
          <w:lang w:val="cs-CZ"/>
        </w:rPr>
        <w:t xml:space="preserve"> určené kategoriální impozicí</w:t>
      </w:r>
      <w:r w:rsidR="00D053A8" w:rsidRPr="003D1E07">
        <w:rPr>
          <w:rStyle w:val="Zkladntext158dkovn0pt"/>
          <w:color w:val="auto"/>
          <w:spacing w:val="0"/>
          <w:sz w:val="24"/>
          <w:lang w:val="cs-CZ"/>
        </w:rPr>
        <w:t>. Ilumináti zaslepení intelektem-sluncem nejsou schopni vidět rozdíl mezi dvěma výkony jedné intelektuálně poznávající osoby (</w:t>
      </w:r>
      <w:r w:rsidR="00D053A8" w:rsidRPr="003D1E07">
        <w:rPr>
          <w:rStyle w:val="Zkladntext158dkovn0pt"/>
          <w:i/>
          <w:color w:val="auto"/>
          <w:spacing w:val="0"/>
          <w:sz w:val="24"/>
          <w:lang w:val="cs-CZ"/>
        </w:rPr>
        <w:t>intellectus</w:t>
      </w:r>
      <w:r w:rsidR="00D053A8" w:rsidRPr="003D1E07">
        <w:rPr>
          <w:rStyle w:val="Zkladntext158dkovn0pt"/>
          <w:color w:val="auto"/>
          <w:spacing w:val="0"/>
          <w:sz w:val="24"/>
          <w:lang w:val="cs-CZ"/>
        </w:rPr>
        <w:t xml:space="preserve"> </w:t>
      </w:r>
      <w:r w:rsidR="00D053A8" w:rsidRPr="003D1E07">
        <w:rPr>
          <w:rStyle w:val="Zkladntext158dkovn0pt"/>
          <w:i/>
          <w:color w:val="auto"/>
          <w:spacing w:val="0"/>
          <w:sz w:val="24"/>
          <w:lang w:val="cs-CZ"/>
        </w:rPr>
        <w:t>possibilis, intellectus</w:t>
      </w:r>
      <w:r w:rsidR="00D053A8" w:rsidRPr="003D1E07">
        <w:rPr>
          <w:rStyle w:val="Zkladntext158dkovn0pt"/>
          <w:color w:val="auto"/>
          <w:spacing w:val="0"/>
          <w:sz w:val="24"/>
          <w:lang w:val="cs-CZ"/>
        </w:rPr>
        <w:t xml:space="preserve"> </w:t>
      </w:r>
      <w:r w:rsidR="00D053A8" w:rsidRPr="003D1E07">
        <w:rPr>
          <w:rStyle w:val="Zkladntext158dkovn0pt"/>
          <w:i/>
          <w:color w:val="auto"/>
          <w:spacing w:val="0"/>
          <w:sz w:val="24"/>
          <w:lang w:val="cs-CZ"/>
        </w:rPr>
        <w:t>agens</w:t>
      </w:r>
      <w:r w:rsidR="00D053A8" w:rsidRPr="003D1E07">
        <w:rPr>
          <w:rStyle w:val="Zkladntext158dkovn0pt"/>
          <w:color w:val="auto"/>
          <w:spacing w:val="0"/>
          <w:sz w:val="24"/>
          <w:lang w:val="cs-CZ"/>
        </w:rPr>
        <w:t>). Modernisté vidí v mytopoetickém jsoucnu třetího druhu („člověk“) dvě substance (</w:t>
      </w:r>
      <w:r w:rsidR="00D053A8" w:rsidRPr="003D1E07">
        <w:rPr>
          <w:rStyle w:val="Zkladntext158dkovn0pt"/>
          <w:i/>
          <w:color w:val="auto"/>
          <w:spacing w:val="0"/>
          <w:sz w:val="24"/>
          <w:lang w:val="cs-CZ"/>
        </w:rPr>
        <w:t>res extensa</w:t>
      </w:r>
      <w:r w:rsidR="00D053A8" w:rsidRPr="003D1E07">
        <w:rPr>
          <w:rStyle w:val="Zkladntext158dkovn0pt"/>
          <w:i/>
          <w:color w:val="auto"/>
          <w:spacing w:val="0"/>
          <w:sz w:val="24"/>
          <w:lang w:val="cs-CZ"/>
        </w:rPr>
        <w:fldChar w:fldCharType="begin"/>
      </w:r>
      <w:r w:rsidR="00D053A8" w:rsidRPr="003D1E07">
        <w:instrText xml:space="preserve"> XE "</w:instrText>
      </w:r>
      <w:r w:rsidR="00D053A8" w:rsidRPr="003D1E07">
        <w:rPr>
          <w:i/>
        </w:rPr>
        <w:instrText>res extensa</w:instrText>
      </w:r>
      <w:r w:rsidR="00D053A8" w:rsidRPr="003D1E07">
        <w:instrText xml:space="preserve">" </w:instrText>
      </w:r>
      <w:r w:rsidR="00D053A8" w:rsidRPr="003D1E07">
        <w:rPr>
          <w:rStyle w:val="Zkladntext158dkovn0pt"/>
          <w:i/>
          <w:color w:val="auto"/>
          <w:spacing w:val="0"/>
          <w:sz w:val="24"/>
          <w:lang w:val="cs-CZ"/>
        </w:rPr>
        <w:fldChar w:fldCharType="end"/>
      </w:r>
      <w:r w:rsidR="00D053A8" w:rsidRPr="003D1E07">
        <w:rPr>
          <w:rStyle w:val="Zkladntext158dkovn0pt"/>
          <w:color w:val="auto"/>
          <w:spacing w:val="0"/>
          <w:sz w:val="24"/>
          <w:lang w:val="cs-CZ"/>
        </w:rPr>
        <w:t xml:space="preserve">, </w:t>
      </w:r>
      <w:r w:rsidR="00D053A8" w:rsidRPr="003D1E07">
        <w:rPr>
          <w:rStyle w:val="Zkladntext158dkovn0pt"/>
          <w:i/>
          <w:color w:val="auto"/>
          <w:spacing w:val="0"/>
          <w:sz w:val="24"/>
          <w:lang w:val="cs-CZ"/>
        </w:rPr>
        <w:t>res</w:t>
      </w:r>
      <w:r w:rsidR="00D053A8" w:rsidRPr="003D1E07">
        <w:rPr>
          <w:rStyle w:val="Zkladntext158dkovn0pt"/>
          <w:color w:val="auto"/>
          <w:spacing w:val="0"/>
          <w:sz w:val="24"/>
          <w:lang w:val="cs-CZ"/>
        </w:rPr>
        <w:t xml:space="preserve"> </w:t>
      </w:r>
      <w:r w:rsidR="00D053A8" w:rsidRPr="003D1E07">
        <w:rPr>
          <w:rStyle w:val="Zkladntext158dkovn0pt"/>
          <w:i/>
          <w:color w:val="auto"/>
          <w:spacing w:val="0"/>
          <w:sz w:val="24"/>
          <w:lang w:val="cs-CZ"/>
        </w:rPr>
        <w:t>cogitans</w:t>
      </w:r>
      <w:r w:rsidR="00D053A8" w:rsidRPr="003D1E07">
        <w:rPr>
          <w:rStyle w:val="Zkladntext158dkovn0pt"/>
          <w:color w:val="auto"/>
          <w:spacing w:val="0"/>
          <w:sz w:val="24"/>
          <w:lang w:val="cs-CZ"/>
        </w:rPr>
        <w:t>), a nikoliv dva formální akty jednoho existenciálně-osobního poznání světa. Obě schopnosti jsou zprostředkované formální kauzalitou. Proto mají rodově stejnou potenci, ale dvo</w:t>
      </w:r>
      <w:r w:rsidR="00D053A8">
        <w:rPr>
          <w:rStyle w:val="Zkladntext158dkovn0pt"/>
          <w:color w:val="auto"/>
          <w:spacing w:val="0"/>
          <w:sz w:val="24"/>
          <w:lang w:val="cs-CZ"/>
        </w:rPr>
        <w:t xml:space="preserve">jí </w:t>
      </w:r>
      <w:r w:rsidR="00D053A8" w:rsidRPr="003D1E07">
        <w:rPr>
          <w:rStyle w:val="Zkladntext158dkovn0pt"/>
          <w:color w:val="auto"/>
          <w:spacing w:val="0"/>
          <w:sz w:val="24"/>
          <w:lang w:val="cs-CZ"/>
        </w:rPr>
        <w:t xml:space="preserve">funkci vykonávanou skrze aktualitu oduševnělého těla. Po vytěsnění diafanum neexistuje formální kauzalita, která by spojila </w:t>
      </w:r>
      <w:r w:rsidR="00D053A8">
        <w:rPr>
          <w:rStyle w:val="Zkladntext158dkovn0pt"/>
          <w:color w:val="auto"/>
          <w:spacing w:val="0"/>
          <w:sz w:val="24"/>
          <w:lang w:val="cs-CZ"/>
        </w:rPr>
        <w:t xml:space="preserve">různorodé </w:t>
      </w:r>
      <w:r w:rsidR="00D053A8" w:rsidRPr="003D1E07">
        <w:rPr>
          <w:rStyle w:val="Zkladntext158dkovn0pt"/>
          <w:color w:val="auto"/>
          <w:spacing w:val="0"/>
          <w:sz w:val="24"/>
          <w:lang w:val="cs-CZ"/>
        </w:rPr>
        <w:t xml:space="preserve">lidské potence. Z duševních potencí se staly neoplatonské hypostáze, které dokonaly zmizení osoby v její ipseitě. Karteziánský avicennismus změnil tyto moderní hypostáze na dvě oddělené substance třetího druhu. Moderní člověk se stal neexistujícím jsoucnem třetího druhu a k tomu ještě objektivním schizofrenikem. Tato simulákra neexistují ve světě reálných prvních substancí. Proto potřebují ke svému </w:t>
      </w:r>
      <w:r w:rsidR="00D053A8" w:rsidRPr="003D1E07">
        <w:rPr>
          <w:rStyle w:val="Zkladntext158dkovn0pt"/>
          <w:i/>
          <w:color w:val="auto"/>
          <w:spacing w:val="0"/>
          <w:sz w:val="24"/>
          <w:lang w:val="cs-CZ"/>
        </w:rPr>
        <w:t>coniunctio</w:t>
      </w:r>
      <w:r w:rsidR="00D053A8" w:rsidRPr="003D1E07">
        <w:rPr>
          <w:rStyle w:val="Zkladntext158dkovn0pt"/>
          <w:color w:val="auto"/>
          <w:spacing w:val="0"/>
          <w:sz w:val="24"/>
          <w:lang w:val="cs-CZ"/>
        </w:rPr>
        <w:t xml:space="preserve"> a mytopoetickému </w:t>
      </w:r>
      <w:r w:rsidR="00D053A8" w:rsidRPr="003D1E07">
        <w:rPr>
          <w:rStyle w:val="Zkladntext158dkovn0pt"/>
          <w:i/>
          <w:color w:val="auto"/>
          <w:spacing w:val="0"/>
          <w:sz w:val="24"/>
          <w:lang w:val="cs-CZ"/>
        </w:rPr>
        <w:t>copulatio</w:t>
      </w:r>
      <w:r w:rsidR="00D053A8" w:rsidRPr="003D1E07">
        <w:rPr>
          <w:rStyle w:val="Zkladntext158dkovn0pt"/>
          <w:i/>
          <w:color w:val="auto"/>
          <w:spacing w:val="0"/>
          <w:sz w:val="24"/>
          <w:lang w:val="cs-CZ"/>
        </w:rPr>
        <w:fldChar w:fldCharType="begin"/>
      </w:r>
      <w:r w:rsidR="00D053A8" w:rsidRPr="003D1E07">
        <w:instrText xml:space="preserve"> XE "</w:instrText>
      </w:r>
      <w:r w:rsidR="00D053A8" w:rsidRPr="003D1E07">
        <w:rPr>
          <w:i/>
        </w:rPr>
        <w:instrText>copulatio</w:instrText>
      </w:r>
      <w:r w:rsidR="00D053A8" w:rsidRPr="003D1E07">
        <w:instrText xml:space="preserve">" </w:instrText>
      </w:r>
      <w:r w:rsidR="00D053A8" w:rsidRPr="003D1E07">
        <w:rPr>
          <w:rStyle w:val="Zkladntext158dkovn0pt"/>
          <w:i/>
          <w:color w:val="auto"/>
          <w:spacing w:val="0"/>
          <w:sz w:val="24"/>
          <w:lang w:val="cs-CZ"/>
        </w:rPr>
        <w:fldChar w:fldCharType="end"/>
      </w:r>
      <w:r w:rsidR="00D053A8" w:rsidRPr="003D1E07">
        <w:rPr>
          <w:rStyle w:val="Zkladntext158dkovn0pt"/>
          <w:color w:val="auto"/>
          <w:spacing w:val="0"/>
          <w:sz w:val="24"/>
          <w:lang w:val="cs-CZ"/>
        </w:rPr>
        <w:t xml:space="preserve"> příslušné objektivní zásvětí, které zajišťují akademicky graduované Fúrie. Člověk se stal demiurgickým božstvem a takové sakrilegium trestají božské síly v řecké tragédii jedině a pouze smrtí. Modernisté pak produkují Jamblichovu ontoteologii</w:t>
      </w:r>
      <w:r w:rsidR="00D053A8" w:rsidRPr="003D1E07">
        <w:rPr>
          <w:rStyle w:val="Zkladntext158dkovn0pt"/>
          <w:color w:val="auto"/>
          <w:spacing w:val="0"/>
          <w:sz w:val="24"/>
          <w:lang w:val="cs-CZ"/>
        </w:rPr>
        <w:fldChar w:fldCharType="begin"/>
      </w:r>
      <w:r w:rsidR="00D053A8" w:rsidRPr="003D1E07">
        <w:instrText xml:space="preserve"> XE "</w:instrText>
      </w:r>
      <w:r w:rsidR="00D053A8" w:rsidRPr="003D1E07">
        <w:rPr>
          <w:rStyle w:val="addmd"/>
        </w:rPr>
        <w:instrText>ontoteologie:</w:instrText>
      </w:r>
      <w:r w:rsidR="00D053A8" w:rsidRPr="003D1E07">
        <w:instrText xml:space="preserve">Jamblichos" </w:instrText>
      </w:r>
      <w:r w:rsidR="00D053A8" w:rsidRPr="003D1E07">
        <w:rPr>
          <w:rStyle w:val="Zkladntext158dkovn0pt"/>
          <w:color w:val="auto"/>
          <w:spacing w:val="0"/>
          <w:sz w:val="24"/>
          <w:lang w:val="cs-CZ"/>
        </w:rPr>
        <w:fldChar w:fldCharType="end"/>
      </w:r>
      <w:r w:rsidR="00D053A8" w:rsidRPr="003D1E07">
        <w:rPr>
          <w:rStyle w:val="Zkladntext158dkovn0pt"/>
          <w:color w:val="auto"/>
          <w:spacing w:val="0"/>
          <w:sz w:val="24"/>
          <w:lang w:val="cs-CZ"/>
        </w:rPr>
        <w:t xml:space="preserve"> a postmodernisté Leibnizovu ontoteologickou matematiku jako vyšší druh syntézy jsoucna třetího druhu, která stojí mimo existující svět. Na začátku 20. století se kyvadlo moderní racionality otočilo na opačnou stranu, protože Nietzsche zrušil platonské zásvětí nemocného ducha. Metafyzický nihilismus interpretuje člověka </w:t>
      </w:r>
      <w:r w:rsidR="00D053A8">
        <w:rPr>
          <w:rStyle w:val="Zkladntext158dkovn0pt"/>
          <w:color w:val="auto"/>
          <w:spacing w:val="0"/>
          <w:sz w:val="24"/>
          <w:lang w:val="cs-CZ"/>
        </w:rPr>
        <w:t xml:space="preserve">jako super-zvíře nebo dnes už jako </w:t>
      </w:r>
      <w:r w:rsidR="00D053A8" w:rsidRPr="003D1E07">
        <w:rPr>
          <w:rStyle w:val="Zkladntext158dkovn0pt"/>
          <w:color w:val="auto"/>
          <w:spacing w:val="0"/>
          <w:sz w:val="24"/>
          <w:lang w:val="cs-CZ"/>
        </w:rPr>
        <w:t xml:space="preserve">super-počítač. Speciální vědy postavené na metafyzickém nihlismu jako první vědě o jsoucnu třetího druhu pak vyznávají skrze neurovědu všemoc hylického intelektu daného pouze tělesně. Pak ovšem není žádný </w:t>
      </w:r>
      <w:r w:rsidR="00D053A8" w:rsidRPr="003D1E07">
        <w:rPr>
          <w:rStyle w:val="Zkladntext158dkovn0pt"/>
          <w:color w:val="auto"/>
          <w:spacing w:val="0"/>
          <w:sz w:val="24"/>
          <w:lang w:val="cs-CZ"/>
        </w:rPr>
        <w:lastRenderedPageBreak/>
        <w:t xml:space="preserve">rozdíl mezi člověkem a zvířetem, což je skutečná tragédie dnešního myšlenkově zbankrotovaného nihilismu. Po smrti moderního boha nastala epocha úplného zatmění první substance a nutně i zbytku kritického rozumu. V temnotě kritického aristotelismu učinil postmodernismus další krok. Po Avicennově smrti moderního boha se i moderní subjekt vydal na cestu do Lethe spravované Fúriemi. Tento subjekt byl rovněž založen metafyzickým praotcem celé západní moderny. Smrt postmoderního subjektu přišla skrze další metafyzické </w:t>
      </w:r>
      <w:r w:rsidR="00D053A8" w:rsidRPr="003D1E07">
        <w:rPr>
          <w:rStyle w:val="Zkladntext158dkovn0pt"/>
          <w:i/>
          <w:color w:val="auto"/>
          <w:spacing w:val="0"/>
          <w:sz w:val="24"/>
          <w:lang w:val="cs-CZ"/>
        </w:rPr>
        <w:t>Irrtum</w:t>
      </w:r>
      <w:r w:rsidR="00D053A8" w:rsidRPr="003D1E07">
        <w:rPr>
          <w:rStyle w:val="Zkladntext158dkovn0pt"/>
          <w:color w:val="auto"/>
          <w:spacing w:val="0"/>
          <w:sz w:val="24"/>
          <w:lang w:val="cs-CZ"/>
        </w:rPr>
        <w:t xml:space="preserve"> jako proměna člověka v objektivně zdokonalené zvíře. Nyní, po smrti modeního subjektu, přichází na jatka všechno živé, protože žijeme v epoše masového vymírání na konci holocénu. Všechno živé jde cestou smrti určené západní modernou. </w:t>
      </w:r>
      <w:r w:rsidR="00D053A8" w:rsidRPr="003D1E07">
        <w:rPr>
          <w:rStyle w:val="FontStyle129"/>
          <w:rFonts w:ascii="Calibri" w:hAnsi="Calibri"/>
          <w:sz w:val="24"/>
        </w:rPr>
        <w:t xml:space="preserve">Metafyzika zbudovaná na kritickém aristotelismu nemůže žít z alegorických filosofických pohádek, i když jsou naprosto přesvědčivé, jako například dialog </w:t>
      </w:r>
      <w:r w:rsidR="00D053A8" w:rsidRPr="003D1E07">
        <w:rPr>
          <w:rStyle w:val="FontStyle129"/>
          <w:rFonts w:ascii="Calibri" w:hAnsi="Calibri"/>
          <w:i/>
          <w:sz w:val="24"/>
        </w:rPr>
        <w:t>Timaios</w:t>
      </w:r>
      <w:r w:rsidR="00D053A8" w:rsidRPr="003D1E07">
        <w:rPr>
          <w:rStyle w:val="FontStyle129"/>
          <w:rFonts w:ascii="Calibri" w:hAnsi="Calibri"/>
          <w:sz w:val="24"/>
        </w:rPr>
        <w:fldChar w:fldCharType="begin"/>
      </w:r>
      <w:r w:rsidR="00D053A8" w:rsidRPr="003D1E07">
        <w:instrText xml:space="preserve"> XE "dialog </w:instrText>
      </w:r>
      <w:r w:rsidR="00D053A8" w:rsidRPr="003D1E07">
        <w:rPr>
          <w:i/>
        </w:rPr>
        <w:instrText>Timaios</w:instrText>
      </w:r>
      <w:r w:rsidR="00D053A8" w:rsidRPr="003D1E07">
        <w:instrText xml:space="preserve">" </w:instrText>
      </w:r>
      <w:r w:rsidR="00D053A8" w:rsidRPr="003D1E07">
        <w:rPr>
          <w:rStyle w:val="FontStyle129"/>
          <w:rFonts w:ascii="Calibri" w:hAnsi="Calibri"/>
          <w:sz w:val="24"/>
        </w:rPr>
        <w:fldChar w:fldCharType="end"/>
      </w:r>
      <w:r w:rsidR="00D053A8" w:rsidRPr="003D1E07">
        <w:rPr>
          <w:rStyle w:val="FontStyle129"/>
          <w:rFonts w:ascii="Calibri" w:hAnsi="Calibri"/>
          <w:sz w:val="24"/>
        </w:rPr>
        <w:t xml:space="preserve">. </w:t>
      </w:r>
      <w:r w:rsidR="00D053A8" w:rsidRPr="003D1E07">
        <w:rPr>
          <w:rStyle w:val="Zkladntext158dkovn0pt"/>
          <w:color w:val="auto"/>
          <w:spacing w:val="0"/>
          <w:sz w:val="24"/>
          <w:lang w:val="cs-CZ"/>
        </w:rPr>
        <w:t>Moderní alexandrovci</w:t>
      </w:r>
      <w:r w:rsidR="00D053A8" w:rsidRPr="003D1E07">
        <w:rPr>
          <w:rStyle w:val="Zkladntext158dkovn0pt"/>
          <w:color w:val="auto"/>
          <w:spacing w:val="0"/>
          <w:sz w:val="24"/>
          <w:lang w:val="cs-CZ"/>
        </w:rPr>
        <w:fldChar w:fldCharType="begin"/>
      </w:r>
      <w:r w:rsidR="00D053A8" w:rsidRPr="003D1E07">
        <w:instrText xml:space="preserve"> XE "alexandrovci" </w:instrText>
      </w:r>
      <w:r w:rsidR="00D053A8" w:rsidRPr="003D1E07">
        <w:rPr>
          <w:rStyle w:val="Zkladntext158dkovn0pt"/>
          <w:color w:val="auto"/>
          <w:spacing w:val="0"/>
          <w:sz w:val="24"/>
          <w:lang w:val="cs-CZ"/>
        </w:rPr>
        <w:fldChar w:fldCharType="end"/>
      </w:r>
      <w:r w:rsidR="00D053A8" w:rsidRPr="003D1E07">
        <w:rPr>
          <w:rStyle w:val="Zkladntext158dkovn0pt"/>
          <w:color w:val="auto"/>
          <w:spacing w:val="0"/>
          <w:sz w:val="24"/>
          <w:lang w:val="cs-CZ"/>
        </w:rPr>
        <w:t xml:space="preserve"> působí na svět objektivně svým demiurgickým myšlením podle predikace </w:t>
      </w:r>
      <w:r w:rsidR="00D053A8" w:rsidRPr="003D1E07">
        <w:rPr>
          <w:rStyle w:val="Zkladntext158dkovn0pt"/>
          <w:i/>
          <w:color w:val="auto"/>
          <w:spacing w:val="0"/>
          <w:sz w:val="24"/>
          <w:lang w:val="cs-CZ"/>
        </w:rPr>
        <w:t>in artificialibus</w:t>
      </w:r>
      <w:r w:rsidR="00D053A8" w:rsidRPr="003D1E07">
        <w:rPr>
          <w:rStyle w:val="Zkladntext158dkovn0pt"/>
          <w:i/>
          <w:color w:val="auto"/>
          <w:spacing w:val="0"/>
          <w:sz w:val="24"/>
          <w:lang w:val="cs-CZ"/>
        </w:rPr>
        <w:fldChar w:fldCharType="begin"/>
      </w:r>
      <w:r w:rsidR="00D053A8" w:rsidRPr="003D1E07">
        <w:instrText xml:space="preserve"> XE "</w:instrText>
      </w:r>
      <w:r w:rsidR="00D053A8" w:rsidRPr="003D1E07">
        <w:rPr>
          <w:rStyle w:val="Zkladntext158dkovn0pt"/>
          <w:color w:val="auto"/>
          <w:spacing w:val="0"/>
          <w:sz w:val="24"/>
          <w:lang w:val="cs-CZ"/>
        </w:rPr>
        <w:instrText>predikace:</w:instrText>
      </w:r>
      <w:r w:rsidR="00D053A8" w:rsidRPr="003D1E07">
        <w:rPr>
          <w:rStyle w:val="Zkladntext158dkovn0pt"/>
          <w:i/>
          <w:color w:val="auto"/>
          <w:spacing w:val="0"/>
          <w:sz w:val="24"/>
          <w:lang w:val="cs-CZ"/>
        </w:rPr>
        <w:instrText>in artificialibus</w:instrText>
      </w:r>
      <w:r w:rsidR="00D053A8" w:rsidRPr="003D1E07">
        <w:instrText xml:space="preserve">" </w:instrText>
      </w:r>
      <w:r w:rsidR="00D053A8" w:rsidRPr="003D1E07">
        <w:rPr>
          <w:rStyle w:val="Zkladntext158dkovn0pt"/>
          <w:i/>
          <w:color w:val="auto"/>
          <w:spacing w:val="0"/>
          <w:sz w:val="24"/>
          <w:lang w:val="cs-CZ"/>
        </w:rPr>
        <w:fldChar w:fldCharType="end"/>
      </w:r>
      <w:r w:rsidR="00D053A8" w:rsidRPr="003D1E07">
        <w:rPr>
          <w:rStyle w:val="Zkladntext158dkovn0pt"/>
          <w:color w:val="auto"/>
          <w:spacing w:val="0"/>
          <w:sz w:val="24"/>
          <w:lang w:val="cs-CZ"/>
        </w:rPr>
        <w:t xml:space="preserve"> (OBJ II, kap. 1.4). F</w:t>
      </w:r>
      <w:r w:rsidR="00D053A8" w:rsidRPr="003D1E07">
        <w:rPr>
          <w:rStyle w:val="FontStyle129"/>
          <w:rFonts w:ascii="Calibri" w:hAnsi="Calibri"/>
          <w:sz w:val="24"/>
        </w:rPr>
        <w:t xml:space="preserve">ilosofická mytopoetika založila jak objektivní diakosmos Avicenny tak nejlepší možný svět Leibnize. Z nihilistického diakosmu daného v hlavě těch či oněch iluminátů, plutokratů a oligarchů je třeba přijít zpět do reality společného světa. Ten je dán nejprve fyzikálně skrze působení prvních substancí, pak biologicky skrze entelechické živé substance. Živé organismy intendují a syntetizují první formu společného světa. Tento svět života musí dostat další smysl skrze existenci moudrých lidí. Kde moudří vedou dialog o archaické formě pravdy, tam začnou znovu mluvit Múzy v modu </w:t>
      </w:r>
      <w:r w:rsidR="00D053A8" w:rsidRPr="003D1E07">
        <w:rPr>
          <w:rStyle w:val="FontStyle129"/>
          <w:rFonts w:ascii="Calibri" w:hAnsi="Calibri"/>
          <w:i/>
          <w:sz w:val="24"/>
        </w:rPr>
        <w:t>alétheia</w:t>
      </w:r>
      <w:r w:rsidR="00D053A8" w:rsidRPr="003D1E07">
        <w:rPr>
          <w:rStyle w:val="FontStyle129"/>
          <w:rFonts w:ascii="Calibri" w:hAnsi="Calibri"/>
          <w:sz w:val="24"/>
        </w:rPr>
        <w:t>. Existuje pouze jedna pravdivá moudrost v myšlení, protože společný svět existuje jen v jednom exempláři.</w:t>
      </w:r>
    </w:p>
    <w:p w14:paraId="2F71DA5E" w14:textId="55C057B5" w:rsidR="007F7881" w:rsidRDefault="08C44A4C" w:rsidP="009946EA">
      <w:pPr>
        <w:ind w:firstLine="397"/>
        <w:rPr>
          <w:lang w:eastAsia="en-US"/>
        </w:rPr>
      </w:pPr>
      <w:r w:rsidRPr="003D1E07">
        <w:rPr>
          <w:rStyle w:val="FontStyle129"/>
          <w:rFonts w:ascii="Calibri" w:hAnsi="Calibri"/>
          <w:sz w:val="24"/>
        </w:rPr>
        <w:t xml:space="preserve">Algazel a po něm Averroes se stavěli zásadně kriticky k Avicennovu gnostickému příběhu objektivní emanace a komitace, který Leibniz potvrdil demiurgickým kalkulem objektivního světa. </w:t>
      </w:r>
      <w:r w:rsidR="08FC5ABB" w:rsidRPr="003D1E07">
        <w:rPr>
          <w:lang w:eastAsia="en-US"/>
        </w:rPr>
        <w:t xml:space="preserve">Adekvační teorie pravdy </w:t>
      </w:r>
      <w:r w:rsidR="005F2B9F" w:rsidRPr="003D1E07">
        <w:rPr>
          <w:lang w:eastAsia="en-US"/>
        </w:rPr>
        <w:t>odmítla pseudo-</w:t>
      </w:r>
      <w:r w:rsidR="08FC5ABB" w:rsidRPr="003D1E07">
        <w:rPr>
          <w:lang w:eastAsia="en-US"/>
        </w:rPr>
        <w:t>mysti</w:t>
      </w:r>
      <w:r w:rsidR="005F2B9F" w:rsidRPr="003D1E07">
        <w:rPr>
          <w:lang w:eastAsia="en-US"/>
        </w:rPr>
        <w:t xml:space="preserve">ku </w:t>
      </w:r>
      <w:r w:rsidR="08FC5ABB" w:rsidRPr="003D1E07">
        <w:rPr>
          <w:lang w:eastAsia="en-US"/>
        </w:rPr>
        <w:t xml:space="preserve">jsoucího </w:t>
      </w:r>
      <w:r w:rsidR="005F2B9F" w:rsidRPr="003D1E07">
        <w:rPr>
          <w:lang w:eastAsia="en-US"/>
        </w:rPr>
        <w:t xml:space="preserve">podle Avicenny. Aristotelismus </w:t>
      </w:r>
      <w:r w:rsidR="08FC5ABB" w:rsidRPr="003D1E07">
        <w:rPr>
          <w:lang w:eastAsia="en-US"/>
        </w:rPr>
        <w:t>začíná věděním reálné biologie a reálné fyziky. Nový projekt „met</w:t>
      </w:r>
      <w:r w:rsidR="08702B4A" w:rsidRPr="003D1E07">
        <w:rPr>
          <w:lang w:eastAsia="en-US"/>
        </w:rPr>
        <w:t>a-</w:t>
      </w:r>
      <w:r w:rsidR="08FC5ABB" w:rsidRPr="003D1E07">
        <w:rPr>
          <w:lang w:eastAsia="en-US"/>
        </w:rPr>
        <w:t>fyziky“ nemůže být spojen ani se světem kosmických inteligencí ani s intencionálním působením moderního boha</w:t>
      </w:r>
      <w:r w:rsidR="004B4FB7" w:rsidRPr="003D1E07">
        <w:rPr>
          <w:lang w:eastAsia="en-US"/>
        </w:rPr>
        <w:t>. Ten podle Avicenny intencionálně promýšlí elegantní svět ve své demiurgické mysli</w:t>
      </w:r>
      <w:r w:rsidR="08FC5ABB" w:rsidRPr="003D1E07">
        <w:rPr>
          <w:lang w:eastAsia="en-US"/>
        </w:rPr>
        <w:t>.</w:t>
      </w:r>
      <w:r w:rsidRPr="003D1E07">
        <w:rPr>
          <w:lang w:eastAsia="en-US"/>
        </w:rPr>
        <w:t xml:space="preserve"> </w:t>
      </w:r>
      <w:r w:rsidR="086D17D4" w:rsidRPr="003D1E07">
        <w:t>Gigantomachie o substanci vedená mezi Averroesem a Avicennou ukazuje</w:t>
      </w:r>
      <w:r w:rsidR="00B77AD5" w:rsidRPr="003D1E07">
        <w:t xml:space="preserve"> </w:t>
      </w:r>
      <w:r w:rsidR="00610353" w:rsidRPr="003D1E07">
        <w:t xml:space="preserve">skryté působení </w:t>
      </w:r>
      <w:r w:rsidR="086D17D4" w:rsidRPr="003D1E07">
        <w:t>dějinnosti</w:t>
      </w:r>
      <w:r w:rsidR="001D60DD" w:rsidRPr="003D1E07">
        <w:t xml:space="preserve"> skrze </w:t>
      </w:r>
      <w:r w:rsidR="003E1F2E" w:rsidRPr="003D1E07">
        <w:t xml:space="preserve">nové </w:t>
      </w:r>
      <w:r w:rsidR="001D60DD" w:rsidRPr="003D1E07">
        <w:t>dějiny metafyziky</w:t>
      </w:r>
      <w:r w:rsidR="084337BD" w:rsidRPr="003D1E07">
        <w:fldChar w:fldCharType="begin"/>
      </w:r>
      <w:r w:rsidR="084337BD" w:rsidRPr="003D1E07">
        <w:instrText xml:space="preserve"> XE "dějinnost" </w:instrText>
      </w:r>
      <w:r w:rsidR="084337BD" w:rsidRPr="003D1E07">
        <w:fldChar w:fldCharType="end"/>
      </w:r>
      <w:r w:rsidR="086D17D4" w:rsidRPr="003D1E07">
        <w:t>. Hermeneutika považuje Komentátora za prvního západního aristotelika, který si zaslouží tento čestný titul po Boethiovi. Averroeso</w:t>
      </w:r>
      <w:r w:rsidR="08702B4A" w:rsidRPr="003D1E07">
        <w:t>vo pojetí první vědy jako „meta-</w:t>
      </w:r>
      <w:r w:rsidR="086D17D4" w:rsidRPr="003D1E07">
        <w:t xml:space="preserve">fyziky“ důsledně a zásadně odmítlo ve všech klíčových bodech ontoteologickou koncepci Avicenny. Komentátor je prvním </w:t>
      </w:r>
      <w:r w:rsidR="086D17D4" w:rsidRPr="003D1E07">
        <w:lastRenderedPageBreak/>
        <w:t xml:space="preserve">intelektuálem Západu, který skrze soud kritického myšlení vrátil filosofii její původní autonomii vůči mystice a teologii. </w:t>
      </w:r>
      <w:r w:rsidR="086D17D4" w:rsidRPr="003D1E07">
        <w:rPr>
          <w:lang w:eastAsia="en-US"/>
        </w:rPr>
        <w:t>V pojetí první vědy jako aristotelské metafyziky je realita smyslově poznatelných věcí jediným zdrojem aktuality, která je pro poznání dostupná. Intelekt může skrze kauzalitu př</w:t>
      </w:r>
      <w:r w:rsidR="08434892" w:rsidRPr="003D1E07">
        <w:rPr>
          <w:lang w:eastAsia="en-US"/>
        </w:rPr>
        <w:t>ejít až k původní nemateriální p</w:t>
      </w:r>
      <w:r w:rsidR="086D17D4" w:rsidRPr="003D1E07">
        <w:rPr>
          <w:lang w:eastAsia="en-US"/>
        </w:rPr>
        <w:t xml:space="preserve">rvní příčině a substanci, což ukazuje </w:t>
      </w:r>
      <w:r w:rsidR="086D17D4" w:rsidRPr="003D1E07">
        <w:rPr>
          <w:i/>
          <w:lang w:eastAsia="en-US"/>
        </w:rPr>
        <w:t>Metafyzika</w:t>
      </w:r>
      <w:r w:rsidR="086D17D4" w:rsidRPr="003D1E07">
        <w:rPr>
          <w:lang w:eastAsia="en-US"/>
        </w:rPr>
        <w:t xml:space="preserve"> završující </w:t>
      </w:r>
      <w:r w:rsidR="08A668DA" w:rsidRPr="003D1E07">
        <w:rPr>
          <w:i/>
          <w:lang w:eastAsia="en-US"/>
        </w:rPr>
        <w:t>Fyziku</w:t>
      </w:r>
      <w:r w:rsidR="08A668DA" w:rsidRPr="003D1E07">
        <w:rPr>
          <w:lang w:eastAsia="en-US"/>
        </w:rPr>
        <w:t xml:space="preserve"> a také </w:t>
      </w:r>
      <w:r w:rsidR="086D17D4" w:rsidRPr="003D1E07">
        <w:rPr>
          <w:lang w:eastAsia="en-US"/>
        </w:rPr>
        <w:t xml:space="preserve">spisy </w:t>
      </w:r>
      <w:r w:rsidR="086D17D4" w:rsidRPr="003D1E07">
        <w:rPr>
          <w:i/>
          <w:lang w:eastAsia="en-US"/>
        </w:rPr>
        <w:t>Kategorie</w:t>
      </w:r>
      <w:r w:rsidR="086D17D4" w:rsidRPr="003D1E07">
        <w:rPr>
          <w:lang w:eastAsia="en-US"/>
        </w:rPr>
        <w:t xml:space="preserve">, </w:t>
      </w:r>
      <w:r w:rsidR="086D17D4" w:rsidRPr="003D1E07">
        <w:rPr>
          <w:i/>
          <w:lang w:eastAsia="en-US"/>
        </w:rPr>
        <w:t>De anima</w:t>
      </w:r>
      <w:r w:rsidR="086D17D4" w:rsidRPr="003D1E07">
        <w:rPr>
          <w:lang w:eastAsia="en-US"/>
        </w:rPr>
        <w:t xml:space="preserve"> a </w:t>
      </w:r>
      <w:r w:rsidR="086D17D4" w:rsidRPr="003D1E07">
        <w:rPr>
          <w:i/>
          <w:lang w:eastAsia="en-US"/>
        </w:rPr>
        <w:t>Druhé analytiky</w:t>
      </w:r>
      <w:r w:rsidR="086D17D4" w:rsidRPr="003D1E07">
        <w:rPr>
          <w:lang w:eastAsia="en-US"/>
        </w:rPr>
        <w:t xml:space="preserve">. </w:t>
      </w:r>
      <w:r w:rsidR="086D17D4" w:rsidRPr="003D1E07">
        <w:t xml:space="preserve">Averroes nechal Aristotela být aristotelikem a neudělal z něj neoplatonika jen proto, aby vyhověl nárokům </w:t>
      </w:r>
      <w:r w:rsidR="00D52C2F" w:rsidRPr="003D1E07">
        <w:t xml:space="preserve">moderní </w:t>
      </w:r>
      <w:r w:rsidR="086D17D4" w:rsidRPr="003D1E07">
        <w:t xml:space="preserve">mystiky, teologie </w:t>
      </w:r>
      <w:r w:rsidR="00D52C2F" w:rsidRPr="003D1E07">
        <w:t xml:space="preserve">v </w:t>
      </w:r>
      <w:r w:rsidR="086D17D4" w:rsidRPr="003D1E07">
        <w:t>diakosmu jsoucen třetího druhu. Komentátorův p</w:t>
      </w:r>
      <w:r w:rsidR="086D17D4" w:rsidRPr="003D1E07">
        <w:rPr>
          <w:lang w:eastAsia="en-US"/>
        </w:rPr>
        <w:t xml:space="preserve">rojekt </w:t>
      </w:r>
      <w:r w:rsidR="08702B4A" w:rsidRPr="003D1E07">
        <w:rPr>
          <w:lang w:eastAsia="en-US"/>
        </w:rPr>
        <w:t>„meta-</w:t>
      </w:r>
      <w:r w:rsidR="086D17D4" w:rsidRPr="003D1E07">
        <w:rPr>
          <w:lang w:eastAsia="en-US"/>
        </w:rPr>
        <w:t xml:space="preserve">fyziky“ vyšlý z Al-Fárábího školy hledá jednotu jsoucího v závislosti na kategoriální predikaci dané vzhledem k první substanci existující </w:t>
      </w:r>
      <w:r w:rsidR="086D17D4" w:rsidRPr="003D1E07">
        <w:rPr>
          <w:i/>
          <w:lang w:eastAsia="en-US"/>
        </w:rPr>
        <w:t>per se</w:t>
      </w:r>
      <w:r w:rsidR="086D17D4" w:rsidRPr="003D1E07">
        <w:rPr>
          <w:i/>
          <w:lang w:eastAsia="en-US"/>
        </w:rPr>
        <w:fldChar w:fldCharType="begin"/>
      </w:r>
      <w:r w:rsidR="086D17D4" w:rsidRPr="003D1E07">
        <w:instrText xml:space="preserve"> XE "substance:první" </w:instrText>
      </w:r>
      <w:r w:rsidR="086D17D4" w:rsidRPr="003D1E07">
        <w:rPr>
          <w:i/>
          <w:lang w:eastAsia="en-US"/>
        </w:rPr>
        <w:fldChar w:fldCharType="end"/>
      </w:r>
      <w:r w:rsidR="086D17D4" w:rsidRPr="003D1E07">
        <w:rPr>
          <w:lang w:eastAsia="en-US"/>
        </w:rPr>
        <w:t xml:space="preserve">. Aristotelské </w:t>
      </w:r>
      <w:r w:rsidR="086D17D4" w:rsidRPr="003D1E07">
        <w:t>určení metafyziky sleduje Averroes důrazem na tradici první filosofie, kterou pro něj reprezentoval Alexander Afrodisias</w:t>
      </w:r>
      <w:r w:rsidR="086D17D4" w:rsidRPr="003D1E07">
        <w:fldChar w:fldCharType="begin"/>
      </w:r>
      <w:r w:rsidR="086D17D4" w:rsidRPr="003D1E07">
        <w:instrText xml:space="preserve"> XE "Alexander Afrodisias" </w:instrText>
      </w:r>
      <w:r w:rsidR="086D17D4" w:rsidRPr="003D1E07">
        <w:fldChar w:fldCharType="end"/>
      </w:r>
      <w:r w:rsidR="086D17D4" w:rsidRPr="003D1E07">
        <w:t xml:space="preserve">. Ten ale oddělil fyziku a metafyziku, což Komentátor zásadně odmítl a předložil první </w:t>
      </w:r>
      <w:r w:rsidR="08232061" w:rsidRPr="003D1E07">
        <w:t xml:space="preserve">a poslední </w:t>
      </w:r>
      <w:r w:rsidR="086D17D4" w:rsidRPr="003D1E07">
        <w:t>jednotný projekt Aristotelovy první vědy na Západě. M</w:t>
      </w:r>
      <w:r w:rsidR="086D17D4" w:rsidRPr="003D1E07">
        <w:rPr>
          <w:lang w:eastAsia="en-US"/>
        </w:rPr>
        <w:t>etafyzika stává poznáním nemateriálních těles daných za sublunárním světem, včetně poznání jejich oddělené první příčiny pohybu, popřípadě i vzniku a zániku. Poznání biologa, fyzika metafyzika řídí vztah k reálné živé či neživé substan</w:t>
      </w:r>
      <w:r w:rsidR="00ED67CA" w:rsidRPr="003D1E07">
        <w:rPr>
          <w:lang w:eastAsia="en-US"/>
        </w:rPr>
        <w:t xml:space="preserve">ci, materiální či nemateriální. Bůh bytuje za první sférou kosmu a je oddělen od </w:t>
      </w:r>
      <w:r w:rsidR="086D17D4" w:rsidRPr="003D1E07">
        <w:rPr>
          <w:lang w:eastAsia="en-US"/>
        </w:rPr>
        <w:t>světa rozdíl</w:t>
      </w:r>
      <w:r w:rsidR="00ED67CA" w:rsidRPr="003D1E07">
        <w:rPr>
          <w:lang w:eastAsia="en-US"/>
        </w:rPr>
        <w:t>em</w:t>
      </w:r>
      <w:r w:rsidR="086D17D4" w:rsidRPr="003D1E07">
        <w:rPr>
          <w:lang w:eastAsia="en-US"/>
        </w:rPr>
        <w:t xml:space="preserve"> mezi </w:t>
      </w:r>
      <w:r w:rsidR="00ED67CA" w:rsidRPr="003D1E07">
        <w:rPr>
          <w:lang w:eastAsia="en-US"/>
        </w:rPr>
        <w:t xml:space="preserve">jeho bytím a </w:t>
      </w:r>
      <w:r w:rsidR="086D17D4" w:rsidRPr="003D1E07">
        <w:rPr>
          <w:lang w:eastAsia="en-US"/>
        </w:rPr>
        <w:t>jím založeným stvořite</w:t>
      </w:r>
      <w:r w:rsidR="00ED67CA" w:rsidRPr="003D1E07">
        <w:rPr>
          <w:lang w:eastAsia="en-US"/>
        </w:rPr>
        <w:t xml:space="preserve">lským pohybem v rámci </w:t>
      </w:r>
      <w:r w:rsidR="086D17D4" w:rsidRPr="003D1E07">
        <w:rPr>
          <w:lang w:eastAsia="en-US"/>
        </w:rPr>
        <w:t xml:space="preserve">kosmických sfér. Závislost na </w:t>
      </w:r>
      <w:r w:rsidR="08327FAD" w:rsidRPr="003D1E07">
        <w:rPr>
          <w:lang w:eastAsia="en-US"/>
        </w:rPr>
        <w:t>této p</w:t>
      </w:r>
      <w:r w:rsidR="086D17D4" w:rsidRPr="003D1E07">
        <w:rPr>
          <w:lang w:eastAsia="en-US"/>
        </w:rPr>
        <w:t>rvní příčině našeho pozn</w:t>
      </w:r>
      <w:r w:rsidR="08C31BAB" w:rsidRPr="003D1E07">
        <w:rPr>
          <w:lang w:eastAsia="en-US"/>
        </w:rPr>
        <w:t>ání je kauzálně-ontologická</w:t>
      </w:r>
      <w:r w:rsidR="00ED67CA" w:rsidRPr="003D1E07">
        <w:rPr>
          <w:lang w:eastAsia="en-US"/>
        </w:rPr>
        <w:t>,</w:t>
      </w:r>
      <w:r w:rsidR="08C31BAB" w:rsidRPr="003D1E07">
        <w:rPr>
          <w:lang w:eastAsia="en-US"/>
        </w:rPr>
        <w:t xml:space="preserve"> a ne mytopoetická. Cestu k </w:t>
      </w:r>
      <w:r w:rsidR="08F5581B" w:rsidRPr="003D1E07">
        <w:rPr>
          <w:lang w:eastAsia="en-US"/>
        </w:rPr>
        <w:t>p</w:t>
      </w:r>
      <w:r w:rsidR="08C31BAB" w:rsidRPr="003D1E07">
        <w:rPr>
          <w:lang w:eastAsia="en-US"/>
        </w:rPr>
        <w:t xml:space="preserve">rvní příčině pohybu </w:t>
      </w:r>
      <w:r w:rsidR="00835F9E" w:rsidRPr="003D1E07">
        <w:rPr>
          <w:lang w:eastAsia="en-US"/>
        </w:rPr>
        <w:t xml:space="preserve">indikuje </w:t>
      </w:r>
      <w:r w:rsidR="08C31BAB" w:rsidRPr="003D1E07">
        <w:rPr>
          <w:lang w:eastAsia="en-US"/>
        </w:rPr>
        <w:t xml:space="preserve">kauzalita reálné první substance, a ne intencionální psychologie božské mysli v modu </w:t>
      </w:r>
      <w:r w:rsidR="08C31BAB" w:rsidRPr="003D1E07">
        <w:rPr>
          <w:i/>
          <w:lang w:eastAsia="en-US"/>
        </w:rPr>
        <w:t>esse ad</w:t>
      </w:r>
      <w:r w:rsidR="08C31BAB" w:rsidRPr="003D1E07">
        <w:rPr>
          <w:lang w:eastAsia="en-US"/>
        </w:rPr>
        <w:t>. C</w:t>
      </w:r>
      <w:r w:rsidR="086D17D4" w:rsidRPr="003D1E07">
        <w:rPr>
          <w:lang w:eastAsia="en-US"/>
        </w:rPr>
        <w:t>esta poznání skrze kauzální důkaz (</w:t>
      </w:r>
      <w:r w:rsidR="086D17D4" w:rsidRPr="003D1E07">
        <w:rPr>
          <w:rStyle w:val="ZkladntextKurzvadkovn0pt"/>
          <w:rFonts w:ascii="Calibri" w:eastAsia="Times" w:hAnsi="Calibri"/>
          <w:iCs w:val="0"/>
          <w:color w:val="auto"/>
          <w:spacing w:val="0"/>
          <w:sz w:val="24"/>
          <w:u w:val="none"/>
          <w:lang w:val="cs-CZ"/>
        </w:rPr>
        <w:t>dalā'il</w:t>
      </w:r>
      <w:r w:rsidR="086D17D4" w:rsidRPr="003D1E07">
        <w:rPr>
          <w:rStyle w:val="ZkladntextKurzvadkovn0pt"/>
          <w:rFonts w:ascii="Calibri" w:eastAsia="Times" w:hAnsi="Calibri"/>
          <w:iCs w:val="0"/>
          <w:color w:val="auto"/>
          <w:spacing w:val="0"/>
          <w:sz w:val="24"/>
          <w:u w:val="none"/>
          <w:lang w:val="cs-CZ"/>
        </w:rPr>
        <w:fldChar w:fldCharType="begin"/>
      </w:r>
      <w:r w:rsidR="086D17D4" w:rsidRPr="003D1E07">
        <w:instrText xml:space="preserve"> XE "</w:instrText>
      </w:r>
      <w:r w:rsidR="086D17D4" w:rsidRPr="003D1E07">
        <w:rPr>
          <w:rStyle w:val="ZkladntextKurzvadkovn0pt"/>
          <w:rFonts w:ascii="Calibri" w:eastAsia="Times" w:hAnsi="Calibri"/>
          <w:iCs w:val="0"/>
          <w:color w:val="auto"/>
          <w:spacing w:val="0"/>
          <w:sz w:val="24"/>
          <w:u w:val="none"/>
          <w:lang w:val="cs-CZ"/>
        </w:rPr>
        <w:instrText>dalā'il</w:instrText>
      </w:r>
      <w:r w:rsidR="086D17D4" w:rsidRPr="003D1E07">
        <w:instrText xml:space="preserve">" </w:instrText>
      </w:r>
      <w:r w:rsidR="086D17D4" w:rsidRPr="003D1E07">
        <w:rPr>
          <w:rStyle w:val="ZkladntextKurzvadkovn0pt"/>
          <w:rFonts w:ascii="Calibri" w:eastAsia="Times" w:hAnsi="Calibri"/>
          <w:iCs w:val="0"/>
          <w:color w:val="auto"/>
          <w:spacing w:val="0"/>
          <w:sz w:val="24"/>
          <w:u w:val="none"/>
          <w:lang w:val="cs-CZ"/>
        </w:rPr>
        <w:fldChar w:fldCharType="end"/>
      </w:r>
      <w:r w:rsidR="086D17D4" w:rsidRPr="003D1E07">
        <w:rPr>
          <w:lang w:eastAsia="en-US"/>
        </w:rPr>
        <w:t>) směrem k první příčině netvoří ontoteologii</w:t>
      </w:r>
      <w:r w:rsidR="086D17D4" w:rsidRPr="003D1E07">
        <w:rPr>
          <w:lang w:eastAsia="en-US"/>
        </w:rPr>
        <w:fldChar w:fldCharType="begin"/>
      </w:r>
      <w:r w:rsidR="086D17D4" w:rsidRPr="003D1E07">
        <w:instrText xml:space="preserve"> XE "</w:instrText>
      </w:r>
      <w:r w:rsidR="086D17D4" w:rsidRPr="003D1E07">
        <w:rPr>
          <w:rStyle w:val="addmd"/>
        </w:rPr>
        <w:instrText>ontoteologie:</w:instrText>
      </w:r>
      <w:r w:rsidR="086D17D4" w:rsidRPr="003D1E07">
        <w:instrText xml:space="preserve">Jamblichos" </w:instrText>
      </w:r>
      <w:r w:rsidR="086D17D4" w:rsidRPr="003D1E07">
        <w:rPr>
          <w:lang w:eastAsia="en-US"/>
        </w:rPr>
        <w:fldChar w:fldCharType="end"/>
      </w:r>
      <w:r w:rsidR="086D17D4" w:rsidRPr="003D1E07">
        <w:rPr>
          <w:lang w:eastAsia="en-US"/>
        </w:rPr>
        <w:t xml:space="preserve"> jsoucna třetího druhu, protože vychází z působení </w:t>
      </w:r>
      <w:r w:rsidR="08E22F7A" w:rsidRPr="003D1E07">
        <w:t xml:space="preserve">metafyzického </w:t>
      </w:r>
      <w:r w:rsidR="086D17D4" w:rsidRPr="003D1E07">
        <w:rPr>
          <w:lang w:eastAsia="en-US"/>
        </w:rPr>
        <w:t>dativu</w:t>
      </w:r>
      <w:r w:rsidR="086D17D4" w:rsidRPr="003D1E07">
        <w:rPr>
          <w:lang w:eastAsia="en-US"/>
        </w:rPr>
        <w:fldChar w:fldCharType="begin"/>
      </w:r>
      <w:r w:rsidR="086D17D4" w:rsidRPr="003D1E07">
        <w:instrText xml:space="preserve"> XE "</w:instrText>
      </w:r>
      <w:r w:rsidR="086D17D4" w:rsidRPr="003D1E07">
        <w:rPr>
          <w:i/>
          <w:lang w:eastAsia="en-US"/>
        </w:rPr>
        <w:instrText>dativus</w:instrText>
      </w:r>
      <w:r w:rsidR="08E22F7A" w:rsidRPr="003D1E07">
        <w:rPr>
          <w:i/>
          <w:lang w:eastAsia="en-US"/>
        </w:rPr>
        <w:instrText xml:space="preserve"> metaphysi</w:instrText>
      </w:r>
      <w:r w:rsidR="086D17D4" w:rsidRPr="003D1E07">
        <w:rPr>
          <w:i/>
          <w:lang w:eastAsia="en-US"/>
        </w:rPr>
        <w:instrText>cus</w:instrText>
      </w:r>
      <w:r w:rsidR="086D17D4" w:rsidRPr="003D1E07">
        <w:instrText xml:space="preserve">" </w:instrText>
      </w:r>
      <w:r w:rsidR="086D17D4" w:rsidRPr="003D1E07">
        <w:rPr>
          <w:lang w:eastAsia="en-US"/>
        </w:rPr>
        <w:fldChar w:fldCharType="end"/>
      </w:r>
      <w:r w:rsidR="086D17D4" w:rsidRPr="003D1E07">
        <w:rPr>
          <w:lang w:eastAsia="en-US"/>
        </w:rPr>
        <w:t xml:space="preserve">. Rozum jde ke skrytému bohu v modu </w:t>
      </w:r>
      <w:r w:rsidR="086D17D4" w:rsidRPr="003D1E07">
        <w:t>původního řeckého znamení zanechaného poutníkům na cestě ve formě hromádek kamení (</w:t>
      </w:r>
      <w:r w:rsidR="08327FAD" w:rsidRPr="003D1E07">
        <w:rPr>
          <w:i/>
        </w:rPr>
        <w:t>hérma</w:t>
      </w:r>
      <w:r w:rsidR="086D17D4" w:rsidRPr="003D1E07">
        <w:t xml:space="preserve">). </w:t>
      </w:r>
      <w:r w:rsidR="00B761DA" w:rsidRPr="003D1E07">
        <w:t xml:space="preserve">Poznání Boha skrze kauzalitu tvoří hermeneutickou a v žádném případě ne hermetickou tradici myšlení. Takovou cestu lze nalézt u Alfarabiho, Algazela a zejména u Averroese. Akvinského pojetí pěti kauzálně daných cest k bohu jako první příčině se vztahuje k této tradici. </w:t>
      </w:r>
      <w:r w:rsidR="08EF50B1" w:rsidRPr="003D1E07">
        <w:rPr>
          <w:lang w:eastAsia="en-US"/>
        </w:rPr>
        <w:t>Reálná s</w:t>
      </w:r>
      <w:r w:rsidR="086D17D4" w:rsidRPr="003D1E07">
        <w:rPr>
          <w:lang w:eastAsia="en-US"/>
        </w:rPr>
        <w:t xml:space="preserve">ubstance zakládá poznání kauzálně, protože její aktualita skrze smysly formuje poznání v naší duši. </w:t>
      </w:r>
      <w:r w:rsidR="00540A96" w:rsidRPr="003D1E07">
        <w:rPr>
          <w:lang w:eastAsia="en-US"/>
        </w:rPr>
        <w:t>Z</w:t>
      </w:r>
      <w:r w:rsidR="086D17D4" w:rsidRPr="003D1E07">
        <w:rPr>
          <w:lang w:eastAsia="en-US"/>
        </w:rPr>
        <w:t>jevování jsoucna v duši je nasvíceno od aktuální substance</w:t>
      </w:r>
      <w:r w:rsidR="086D17D4" w:rsidRPr="003D1E07">
        <w:rPr>
          <w:lang w:eastAsia="en-US"/>
        </w:rPr>
        <w:fldChar w:fldCharType="begin"/>
      </w:r>
      <w:r w:rsidR="086D17D4" w:rsidRPr="003D1E07">
        <w:instrText xml:space="preserve"> XE "zjevování:nasvícení zepředu" </w:instrText>
      </w:r>
      <w:r w:rsidR="086D17D4" w:rsidRPr="003D1E07">
        <w:rPr>
          <w:lang w:eastAsia="en-US"/>
        </w:rPr>
        <w:fldChar w:fldCharType="end"/>
      </w:r>
      <w:r w:rsidR="086D17D4" w:rsidRPr="003D1E07">
        <w:rPr>
          <w:lang w:eastAsia="en-US"/>
        </w:rPr>
        <w:t xml:space="preserve"> a </w:t>
      </w:r>
      <w:r w:rsidR="00540A96" w:rsidRPr="003D1E07">
        <w:rPr>
          <w:lang w:eastAsia="en-US"/>
        </w:rPr>
        <w:t>intelekt daný v těle provádí výkon poznání</w:t>
      </w:r>
      <w:r w:rsidR="086D17D4" w:rsidRPr="003D1E07">
        <w:rPr>
          <w:lang w:eastAsia="en-US"/>
        </w:rPr>
        <w:t xml:space="preserve">. </w:t>
      </w:r>
      <w:r w:rsidR="0055770D" w:rsidRPr="003D1E07">
        <w:rPr>
          <w:lang w:eastAsia="en-US"/>
        </w:rPr>
        <w:t xml:space="preserve">To je </w:t>
      </w:r>
      <w:r w:rsidR="0855426C" w:rsidRPr="003D1E07">
        <w:rPr>
          <w:lang w:eastAsia="en-US"/>
        </w:rPr>
        <w:t>specifický druh pohybu</w:t>
      </w:r>
      <w:r w:rsidR="08E045E2" w:rsidRPr="003D1E07">
        <w:rPr>
          <w:lang w:eastAsia="en-US"/>
        </w:rPr>
        <w:t>,</w:t>
      </w:r>
      <w:r w:rsidR="0855426C" w:rsidRPr="003D1E07">
        <w:rPr>
          <w:lang w:eastAsia="en-US"/>
        </w:rPr>
        <w:t xml:space="preserve"> který je vlastní v plné nemateriální míře </w:t>
      </w:r>
      <w:r w:rsidR="08E045E2" w:rsidRPr="003D1E07">
        <w:rPr>
          <w:lang w:eastAsia="en-US"/>
        </w:rPr>
        <w:t xml:space="preserve">pouze </w:t>
      </w:r>
      <w:r w:rsidR="0855426C" w:rsidRPr="003D1E07">
        <w:rPr>
          <w:lang w:eastAsia="en-US"/>
        </w:rPr>
        <w:t xml:space="preserve">člověku, kosmickým inteligencím a Nehybnému intelektu. </w:t>
      </w:r>
      <w:r w:rsidR="086D17D4" w:rsidRPr="003D1E07">
        <w:rPr>
          <w:lang w:eastAsia="en-US"/>
        </w:rPr>
        <w:t xml:space="preserve">V tomto případě je ideálem pravdy shoda formálně-univerzálního rozumu </w:t>
      </w:r>
      <w:r w:rsidR="08723B12" w:rsidRPr="003D1E07">
        <w:rPr>
          <w:lang w:eastAsia="en-US"/>
        </w:rPr>
        <w:t xml:space="preserve">(existenciální modus </w:t>
      </w:r>
      <w:r w:rsidR="08723B12" w:rsidRPr="003D1E07">
        <w:rPr>
          <w:i/>
          <w:lang w:eastAsia="en-US"/>
        </w:rPr>
        <w:t>idem</w:t>
      </w:r>
      <w:r w:rsidR="08723B12" w:rsidRPr="003D1E07">
        <w:rPr>
          <w:lang w:eastAsia="en-US"/>
        </w:rPr>
        <w:t xml:space="preserve">) </w:t>
      </w:r>
      <w:r w:rsidR="086D17D4" w:rsidRPr="003D1E07">
        <w:rPr>
          <w:lang w:eastAsia="en-US"/>
        </w:rPr>
        <w:t xml:space="preserve">s </w:t>
      </w:r>
      <w:r w:rsidR="08203CB8" w:rsidRPr="003D1E07">
        <w:rPr>
          <w:lang w:eastAsia="en-US"/>
        </w:rPr>
        <w:t>jedinečně</w:t>
      </w:r>
      <w:r w:rsidR="086D17D4" w:rsidRPr="003D1E07">
        <w:rPr>
          <w:lang w:eastAsia="en-US"/>
        </w:rPr>
        <w:t>-aktuální věcí</w:t>
      </w:r>
      <w:r w:rsidR="08723B12" w:rsidRPr="003D1E07">
        <w:rPr>
          <w:lang w:eastAsia="en-US"/>
        </w:rPr>
        <w:t xml:space="preserve"> (existenciální </w:t>
      </w:r>
      <w:r w:rsidR="08723B12" w:rsidRPr="003D1E07">
        <w:rPr>
          <w:lang w:eastAsia="en-US"/>
        </w:rPr>
        <w:lastRenderedPageBreak/>
        <w:t xml:space="preserve">modus </w:t>
      </w:r>
      <w:r w:rsidR="08723B12" w:rsidRPr="003D1E07">
        <w:rPr>
          <w:i/>
          <w:lang w:eastAsia="en-US"/>
        </w:rPr>
        <w:t>ipse</w:t>
      </w:r>
      <w:r w:rsidR="08723B12" w:rsidRPr="003D1E07">
        <w:rPr>
          <w:lang w:eastAsia="en-US"/>
        </w:rPr>
        <w:t>)</w:t>
      </w:r>
      <w:r w:rsidR="086D17D4" w:rsidRPr="003D1E07">
        <w:rPr>
          <w:lang w:eastAsia="en-US"/>
        </w:rPr>
        <w:t xml:space="preserve">. Tento vztah vyjadřuje metafyzické </w:t>
      </w:r>
      <w:r w:rsidR="086D17D4" w:rsidRPr="003D1E07">
        <w:rPr>
          <w:i/>
          <w:lang w:eastAsia="en-US"/>
        </w:rPr>
        <w:t>proportio</w:t>
      </w:r>
      <w:r w:rsidR="086D17D4" w:rsidRPr="003D1E07">
        <w:rPr>
          <w:i/>
          <w:lang w:eastAsia="en-US"/>
        </w:rPr>
        <w:fldChar w:fldCharType="begin"/>
      </w:r>
      <w:r w:rsidR="086D17D4" w:rsidRPr="003D1E07">
        <w:instrText xml:space="preserve"> XE "pravda:</w:instrText>
      </w:r>
      <w:r w:rsidR="086D17D4" w:rsidRPr="003D1E07">
        <w:rPr>
          <w:i/>
          <w:lang w:eastAsia="en-US"/>
        </w:rPr>
        <w:instrText>proportio</w:instrText>
      </w:r>
      <w:r w:rsidR="086D17D4" w:rsidRPr="003D1E07">
        <w:instrText xml:space="preserve">" </w:instrText>
      </w:r>
      <w:r w:rsidR="086D17D4" w:rsidRPr="003D1E07">
        <w:rPr>
          <w:i/>
          <w:lang w:eastAsia="en-US"/>
        </w:rPr>
        <w:fldChar w:fldCharType="end"/>
      </w:r>
      <w:r w:rsidR="086D17D4" w:rsidRPr="003D1E07">
        <w:rPr>
          <w:lang w:eastAsia="en-US"/>
        </w:rPr>
        <w:t xml:space="preserve">, které skrze formální kauzalitu diafanum </w:t>
      </w:r>
      <w:r w:rsidR="08203CB8" w:rsidRPr="003D1E07">
        <w:rPr>
          <w:lang w:eastAsia="en-US"/>
        </w:rPr>
        <w:t xml:space="preserve">zakládá architektonický rozvrh </w:t>
      </w:r>
      <w:r w:rsidR="086D17D4" w:rsidRPr="003D1E07">
        <w:rPr>
          <w:lang w:eastAsia="en-US"/>
        </w:rPr>
        <w:t xml:space="preserve">první vědy. </w:t>
      </w:r>
      <w:r w:rsidR="087B2B13" w:rsidRPr="003D1E07">
        <w:rPr>
          <w:rStyle w:val="Zkladntext158dkovn0pt"/>
          <w:color w:val="auto"/>
          <w:spacing w:val="0"/>
          <w:sz w:val="24"/>
          <w:lang w:val="cs-CZ"/>
        </w:rPr>
        <w:t>Proto není třeba žádný nadpřirozený zásah do průběhu poznání jako to měl moderní Bonaventura</w:t>
      </w:r>
      <w:r w:rsidR="087B2B13" w:rsidRPr="003D1E07">
        <w:rPr>
          <w:rStyle w:val="Zkladntext158dkovn0pt"/>
          <w:color w:val="auto"/>
          <w:spacing w:val="0"/>
          <w:sz w:val="24"/>
          <w:lang w:val="cs-CZ"/>
        </w:rPr>
        <w:fldChar w:fldCharType="begin"/>
      </w:r>
      <w:r w:rsidR="087B2B13" w:rsidRPr="003D1E07">
        <w:instrText xml:space="preserve"> XE "</w:instrText>
      </w:r>
      <w:r w:rsidR="087B2B13" w:rsidRPr="003D1E07">
        <w:rPr>
          <w:rStyle w:val="Zkladntext158dkovn0pt"/>
          <w:color w:val="auto"/>
          <w:spacing w:val="0"/>
          <w:sz w:val="24"/>
          <w:lang w:val="cs-CZ"/>
        </w:rPr>
        <w:instrText>Bonaventura</w:instrText>
      </w:r>
      <w:r w:rsidR="087B2B13" w:rsidRPr="003D1E07">
        <w:instrText xml:space="preserve">" </w:instrText>
      </w:r>
      <w:r w:rsidR="087B2B13" w:rsidRPr="003D1E07">
        <w:rPr>
          <w:rStyle w:val="Zkladntext158dkovn0pt"/>
          <w:color w:val="auto"/>
          <w:spacing w:val="0"/>
          <w:sz w:val="24"/>
          <w:lang w:val="cs-CZ"/>
        </w:rPr>
        <w:fldChar w:fldCharType="end"/>
      </w:r>
      <w:r w:rsidR="087B2B13" w:rsidRPr="003D1E07">
        <w:rPr>
          <w:rStyle w:val="Zkladntext158dkovn0pt"/>
          <w:color w:val="auto"/>
          <w:spacing w:val="0"/>
          <w:sz w:val="24"/>
          <w:lang w:val="cs-CZ"/>
        </w:rPr>
        <w:t xml:space="preserve"> a po n</w:t>
      </w:r>
      <w:r w:rsidR="00031BFF" w:rsidRPr="003D1E07">
        <w:rPr>
          <w:rStyle w:val="Zkladntext158dkovn0pt"/>
          <w:color w:val="auto"/>
          <w:spacing w:val="0"/>
          <w:sz w:val="24"/>
          <w:lang w:val="cs-CZ"/>
        </w:rPr>
        <w:t>ěm postmoderní Descartes, Malebr</w:t>
      </w:r>
      <w:r w:rsidR="087B2B13" w:rsidRPr="003D1E07">
        <w:rPr>
          <w:rStyle w:val="Zkladntext158dkovn0pt"/>
          <w:color w:val="auto"/>
          <w:spacing w:val="0"/>
          <w:sz w:val="24"/>
          <w:lang w:val="cs-CZ"/>
        </w:rPr>
        <w:t>anche a Berkeley</w:t>
      </w:r>
      <w:r w:rsidR="087B2B13" w:rsidRPr="003D1E07">
        <w:rPr>
          <w:rStyle w:val="Zkladntext158dkovn0pt"/>
          <w:color w:val="auto"/>
          <w:spacing w:val="0"/>
          <w:sz w:val="24"/>
          <w:lang w:val="cs-CZ"/>
        </w:rPr>
        <w:fldChar w:fldCharType="begin"/>
      </w:r>
      <w:r w:rsidR="087B2B13" w:rsidRPr="003D1E07">
        <w:instrText xml:space="preserve"> XE "Berkeley, G." </w:instrText>
      </w:r>
      <w:r w:rsidR="087B2B13" w:rsidRPr="003D1E07">
        <w:rPr>
          <w:rStyle w:val="Zkladntext158dkovn0pt"/>
          <w:color w:val="auto"/>
          <w:spacing w:val="0"/>
          <w:sz w:val="24"/>
          <w:lang w:val="cs-CZ"/>
        </w:rPr>
        <w:fldChar w:fldCharType="end"/>
      </w:r>
      <w:r w:rsidR="087B2B13" w:rsidRPr="003D1E07">
        <w:rPr>
          <w:rStyle w:val="Zkladntext158dkovn0pt"/>
          <w:color w:val="auto"/>
          <w:spacing w:val="0"/>
          <w:sz w:val="24"/>
          <w:lang w:val="cs-CZ"/>
        </w:rPr>
        <w:t xml:space="preserve">. </w:t>
      </w:r>
      <w:r w:rsidR="086D17D4" w:rsidRPr="003D1E07">
        <w:rPr>
          <w:rStyle w:val="Zkladntext158dkovn0pt"/>
          <w:color w:val="auto"/>
          <w:spacing w:val="0"/>
          <w:sz w:val="24"/>
          <w:lang w:val="cs-CZ"/>
        </w:rPr>
        <w:t>Reálné poznání dané nasvícením jsoucna zepředu není ani schizofrenické, ani paranoické. Díky své vlastní receptivitě a díky existenci první substance nepotřebuje žádný nadpřirozený zásah zhůry, protože reálná první substance aktuálně existuje mimo nás.</w:t>
      </w:r>
      <w:r w:rsidR="00423476">
        <w:rPr>
          <w:lang w:eastAsia="en-US"/>
        </w:rPr>
        <w:t xml:space="preserve"> </w:t>
      </w:r>
      <w:r w:rsidR="086D17D4" w:rsidRPr="003D1E07">
        <w:rPr>
          <w:lang w:eastAsia="en-US"/>
        </w:rPr>
        <w:t xml:space="preserve">Averroesova metafyzika nemá ontoteologický charakter, což naopak u Avicenny tvoří podmínku </w:t>
      </w:r>
      <w:r w:rsidR="086D17D4" w:rsidRPr="003D1E07">
        <w:rPr>
          <w:i/>
          <w:lang w:eastAsia="en-US"/>
        </w:rPr>
        <w:t>sine qua non</w:t>
      </w:r>
      <w:r w:rsidR="086D17D4" w:rsidRPr="003D1E07">
        <w:rPr>
          <w:lang w:eastAsia="en-US"/>
        </w:rPr>
        <w:t xml:space="preserve"> pro hledanou jednotu jsoucna predikovanou </w:t>
      </w:r>
      <w:r w:rsidR="004C76C4">
        <w:rPr>
          <w:lang w:eastAsia="en-US"/>
        </w:rPr>
        <w:t>směrem k d</w:t>
      </w:r>
      <w:r w:rsidR="086D17D4" w:rsidRPr="003D1E07">
        <w:rPr>
          <w:lang w:eastAsia="en-US"/>
        </w:rPr>
        <w:t xml:space="preserve">árci forem. </w:t>
      </w:r>
      <w:r w:rsidR="086D17D4" w:rsidRPr="003D1E07">
        <w:t xml:space="preserve">Darovaný intelekt Al-Fárábího a Avicenny nakonec přešel do podoby postmoderního avicennismu, který </w:t>
      </w:r>
      <w:r w:rsidR="086D17D4" w:rsidRPr="003D1E07">
        <w:rPr>
          <w:i/>
        </w:rPr>
        <w:t>intellectus adeptus</w:t>
      </w:r>
      <w:r w:rsidR="086D17D4" w:rsidRPr="003D1E07">
        <w:rPr>
          <w:i/>
        </w:rPr>
        <w:fldChar w:fldCharType="begin"/>
      </w:r>
      <w:r w:rsidR="086D17D4" w:rsidRPr="003D1E07">
        <w:instrText xml:space="preserve"> XE "</w:instrText>
      </w:r>
      <w:r w:rsidR="086D17D4" w:rsidRPr="003D1E07">
        <w:rPr>
          <w:i/>
        </w:rPr>
        <w:instrText>intellectus adeptus:</w:instrText>
      </w:r>
      <w:r w:rsidR="086D17D4" w:rsidRPr="003D1E07">
        <w:instrText xml:space="preserve">moderna" </w:instrText>
      </w:r>
      <w:r w:rsidR="086D17D4" w:rsidRPr="003D1E07">
        <w:rPr>
          <w:i/>
        </w:rPr>
        <w:fldChar w:fldCharType="end"/>
      </w:r>
      <w:r w:rsidR="086D17D4" w:rsidRPr="003D1E07">
        <w:t xml:space="preserve"> identifikoval se sférou autonomního </w:t>
      </w:r>
      <w:r w:rsidR="086D17D4" w:rsidRPr="003D1E07">
        <w:rPr>
          <w:i/>
        </w:rPr>
        <w:t>cogita</w:t>
      </w:r>
      <w:r w:rsidR="086D17D4" w:rsidRPr="003D1E07">
        <w:t xml:space="preserve"> daného jako aktuální myslící substance.</w:t>
      </w:r>
      <w:r w:rsidR="086D17D4" w:rsidRPr="003D1E07">
        <w:rPr>
          <w:lang w:eastAsia="en-US"/>
        </w:rPr>
        <w:t xml:space="preserve"> </w:t>
      </w:r>
      <w:r w:rsidR="086D17D4" w:rsidRPr="003D1E07">
        <w:t xml:space="preserve">Modernisté objektivně rehabilitovali mystiku skrze </w:t>
      </w:r>
      <w:r w:rsidR="00F81213" w:rsidRPr="003D1E07">
        <w:t xml:space="preserve">mytologickou </w:t>
      </w:r>
      <w:r w:rsidR="086D17D4" w:rsidRPr="003D1E07">
        <w:t xml:space="preserve">onteoteologii jsoucen třetího druhu a skrze schizofrenické pojetí osoby </w:t>
      </w:r>
      <w:r w:rsidR="00F4499A">
        <w:t xml:space="preserve">složené ze </w:t>
      </w:r>
      <w:r w:rsidR="086D17D4" w:rsidRPr="003D1E07">
        <w:t xml:space="preserve">dvou </w:t>
      </w:r>
      <w:r w:rsidR="00E8381E">
        <w:t xml:space="preserve">a více </w:t>
      </w:r>
      <w:r w:rsidR="00F4499A">
        <w:t>substancí</w:t>
      </w:r>
      <w:r w:rsidR="08355398" w:rsidRPr="003D1E07">
        <w:t>.</w:t>
      </w:r>
      <w:r w:rsidR="08E644B6" w:rsidRPr="003D1E07">
        <w:t xml:space="preserve"> </w:t>
      </w:r>
      <w:r w:rsidR="086D17D4" w:rsidRPr="003D1E07">
        <w:rPr>
          <w:lang w:eastAsia="en-US"/>
        </w:rPr>
        <w:t xml:space="preserve">Averroes tematizoval epochálně novou figuru </w:t>
      </w:r>
      <w:r w:rsidR="086D17D4" w:rsidRPr="003D1E07">
        <w:rPr>
          <w:i/>
          <w:lang w:eastAsia="en-US"/>
        </w:rPr>
        <w:t>intellectus possibilis</w:t>
      </w:r>
      <w:r w:rsidR="086D17D4" w:rsidRPr="003D1E07">
        <w:rPr>
          <w:lang w:eastAsia="en-US"/>
        </w:rPr>
        <w:t xml:space="preserve"> a ukázal nový smysl jsoucna, které se zjevuje skrze jednotnou architektonickou výstavbu fyziky a metafyziky</w:t>
      </w:r>
      <w:r w:rsidR="08087CEB" w:rsidRPr="003D1E07">
        <w:rPr>
          <w:lang w:eastAsia="en-US"/>
        </w:rPr>
        <w:t>.</w:t>
      </w:r>
      <w:r w:rsidR="009B7217">
        <w:rPr>
          <w:lang w:eastAsia="en-US"/>
        </w:rPr>
        <w:t xml:space="preserve"> </w:t>
      </w:r>
      <w:r w:rsidR="009B7217" w:rsidRPr="003D1E07">
        <w:t xml:space="preserve">Kritická moudrost tehdejších aristoteliků tento nesmysl zásadně odmítla. V islámu byl základní akt rozlišování pravdy a nepravdy </w:t>
      </w:r>
      <w:r w:rsidR="009B7217">
        <w:t xml:space="preserve">moderny </w:t>
      </w:r>
      <w:r w:rsidR="009B7217" w:rsidRPr="003D1E07">
        <w:t>provedený ve falsafě mezi 10. až 12. stoletím</w:t>
      </w:r>
      <w:r w:rsidR="009B7217">
        <w:t>. Vztah</w:t>
      </w:r>
      <w:r w:rsidR="009B7217" w:rsidRPr="003D1E07">
        <w:t xml:space="preserve"> k modernismu rozdělil první západní univerzitu v Bagdádu (</w:t>
      </w:r>
      <w:r w:rsidR="009B7217" w:rsidRPr="003D1E07">
        <w:rPr>
          <w:i/>
        </w:rPr>
        <w:t>Bajt al-Hikma</w:t>
      </w:r>
      <w:r w:rsidR="009B7217" w:rsidRPr="003D1E07">
        <w:rPr>
          <w:i/>
        </w:rPr>
        <w:fldChar w:fldCharType="begin"/>
      </w:r>
      <w:r w:rsidR="009B7217" w:rsidRPr="003D1E07">
        <w:instrText xml:space="preserve"> XE "</w:instrText>
      </w:r>
      <w:r w:rsidR="009B7217" w:rsidRPr="003D1E07">
        <w:rPr>
          <w:i/>
        </w:rPr>
        <w:instrText>Bajt al-Hikma</w:instrText>
      </w:r>
      <w:r w:rsidR="009B7217" w:rsidRPr="003D1E07">
        <w:instrText xml:space="preserve">" </w:instrText>
      </w:r>
      <w:r w:rsidR="009B7217" w:rsidRPr="003D1E07">
        <w:rPr>
          <w:i/>
        </w:rPr>
        <w:fldChar w:fldCharType="end"/>
      </w:r>
      <w:r w:rsidR="009B7217" w:rsidRPr="003D1E07">
        <w:t>) na dvě antagonistické školy. Nakonec už jejich sporu nikdo z jiných učenců nerozuměl a výklady modernistů ohrožovaly autoritu právě vznikajícího písemného korpusu Koránu. Skrytá dějinnost prvního střetu modernistů a antimodernistů vedla k rozdělení moudrosti Západu do dvou odlišných dějin</w:t>
      </w:r>
      <w:r w:rsidR="009B7217">
        <w:t xml:space="preserve"> myšlení a kultury</w:t>
      </w:r>
      <w:r w:rsidR="009B7217" w:rsidRPr="003D1E07">
        <w:t>. Jak dále uvidíme, formálně stejný proces proběhl na l</w:t>
      </w:r>
      <w:r w:rsidR="009B7217">
        <w:t xml:space="preserve">atinském Západě ve 13. století, ale s úplně opačným výsledkem. </w:t>
      </w:r>
      <w:r w:rsidR="009B7217" w:rsidRPr="003D1E07">
        <w:t xml:space="preserve">Aristotelská pravda jako adekvace reality a intelektu v moderně zanikla, protože vzniklo její objektivní simulákrum. Moderní subjekt vznikl u Avicenny a pak byl zavedený na latinském Západě. Jak správně poznamenal Averroes, tento subjekt určuje důvod bytí jsoucna ze sebe sama. V procesu </w:t>
      </w:r>
      <w:r w:rsidR="009B7217">
        <w:t xml:space="preserve">moderní intencionality vzniká </w:t>
      </w:r>
      <w:r w:rsidR="009B7217" w:rsidRPr="003D1E07">
        <w:t>potenciálně dané bytí</w:t>
      </w:r>
      <w:r w:rsidR="009B7217">
        <w:t xml:space="preserve"> nikoliv z reality, ale ze subjeiitvně pojaté komitace</w:t>
      </w:r>
      <w:r w:rsidR="009B7217" w:rsidRPr="003D1E07">
        <w:t xml:space="preserve">. Tímto způsobem vznikla nová podoba moderního diakosmu. </w:t>
      </w:r>
      <w:r w:rsidR="009B7217" w:rsidRPr="003D1E07">
        <w:rPr>
          <w:rStyle w:val="FontStyle129"/>
          <w:rFonts w:ascii="Calibri" w:hAnsi="Calibri"/>
          <w:sz w:val="24"/>
        </w:rPr>
        <w:t>Avicenna založil porozumění reálného světa logicky, a to skrze objektivní ontoteologii a demiurgickou matematiku.</w:t>
      </w:r>
      <w:r w:rsidR="009B7217" w:rsidRPr="003D1E07">
        <w:rPr>
          <w:lang w:eastAsia="en-US"/>
        </w:rPr>
        <w:t xml:space="preserve"> Tato </w:t>
      </w:r>
      <w:r w:rsidR="009B7217" w:rsidRPr="003D1E07">
        <w:rPr>
          <w:i/>
          <w:lang w:eastAsia="en-US"/>
        </w:rPr>
        <w:t>mathesis</w:t>
      </w:r>
      <w:r w:rsidR="009B7217" w:rsidRPr="003D1E07">
        <w:rPr>
          <w:lang w:eastAsia="en-US"/>
        </w:rPr>
        <w:t xml:space="preserve"> </w:t>
      </w:r>
      <w:r w:rsidR="009B7217" w:rsidRPr="003D1E07">
        <w:rPr>
          <w:i/>
          <w:lang w:eastAsia="en-US"/>
        </w:rPr>
        <w:t>universalis</w:t>
      </w:r>
      <w:r w:rsidR="009B7217" w:rsidRPr="003D1E07">
        <w:rPr>
          <w:lang w:eastAsia="en-US"/>
        </w:rPr>
        <w:t xml:space="preserve"> do sebe zahrnula boží </w:t>
      </w:r>
      <w:r w:rsidR="009B7217">
        <w:rPr>
          <w:lang w:eastAsia="en-US"/>
        </w:rPr>
        <w:t>onto-</w:t>
      </w:r>
      <w:r w:rsidR="009B7217" w:rsidRPr="003D1E07">
        <w:rPr>
          <w:lang w:eastAsia="en-US"/>
        </w:rPr>
        <w:t>psychologii a kalkulativní schopnosti. Leibniz</w:t>
      </w:r>
      <w:r w:rsidR="009B7217" w:rsidRPr="003D1E07">
        <w:rPr>
          <w:lang w:eastAsia="en-US"/>
        </w:rPr>
        <w:fldChar w:fldCharType="begin"/>
      </w:r>
      <w:r w:rsidR="009B7217" w:rsidRPr="003D1E07">
        <w:instrText xml:space="preserve"> XE "</w:instrText>
      </w:r>
      <w:r w:rsidR="009B7217" w:rsidRPr="003D1E07">
        <w:rPr>
          <w:lang w:eastAsia="en-US"/>
        </w:rPr>
        <w:instrText>Leibniz, G. W.</w:instrText>
      </w:r>
      <w:r w:rsidR="009B7217" w:rsidRPr="003D1E07">
        <w:instrText xml:space="preserve">" </w:instrText>
      </w:r>
      <w:r w:rsidR="009B7217" w:rsidRPr="003D1E07">
        <w:rPr>
          <w:lang w:eastAsia="en-US"/>
        </w:rPr>
        <w:fldChar w:fldCharType="end"/>
      </w:r>
      <w:r w:rsidR="009B7217" w:rsidRPr="003D1E07">
        <w:rPr>
          <w:lang w:eastAsia="en-US"/>
        </w:rPr>
        <w:t xml:space="preserve"> jako postmoderní avicennista dokonal smrt boha </w:t>
      </w:r>
      <w:r w:rsidR="009B7217" w:rsidRPr="003D1E07">
        <w:rPr>
          <w:i/>
          <w:lang w:eastAsia="en-US"/>
        </w:rPr>
        <w:t>Modernorum</w:t>
      </w:r>
      <w:r w:rsidR="009B7217" w:rsidRPr="003D1E07">
        <w:rPr>
          <w:lang w:eastAsia="en-US"/>
        </w:rPr>
        <w:t xml:space="preserve">, protože poslal tuto moderní </w:t>
      </w:r>
      <w:r w:rsidR="009B7217" w:rsidRPr="003D1E07">
        <w:rPr>
          <w:lang w:eastAsia="en-US"/>
        </w:rPr>
        <w:lastRenderedPageBreak/>
        <w:t xml:space="preserve">modlu na věčný odpočinek. Matematika na sebe vzala všechny kalkulativní činnosti, které toto moderní simulákrum dělalo předtím. Princip produkce jsoucna v díle </w:t>
      </w:r>
      <w:r w:rsidR="009B7217" w:rsidRPr="003D1E07">
        <w:rPr>
          <w:i/>
        </w:rPr>
        <w:t>De rerum originatione radicali</w:t>
      </w:r>
      <w:r w:rsidR="009B7217" w:rsidRPr="003D1E07">
        <w:t xml:space="preserve"> (1697) podává první systém </w:t>
      </w:r>
      <w:r w:rsidR="009B7217" w:rsidRPr="003D1E07">
        <w:rPr>
          <w:lang w:eastAsia="en-US"/>
        </w:rPr>
        <w:t>postmoderní scientistické gnóze.</w:t>
      </w:r>
      <w:r w:rsidR="009B7217" w:rsidRPr="003D1E07">
        <w:rPr>
          <w:rStyle w:val="Znakapoznpodarou"/>
          <w:lang w:eastAsia="en-US"/>
        </w:rPr>
        <w:footnoteReference w:id="288"/>
      </w:r>
      <w:r w:rsidR="009B7217" w:rsidRPr="003D1E07">
        <w:rPr>
          <w:lang w:eastAsia="en-US"/>
        </w:rPr>
        <w:t xml:space="preserve"> Postmoderní metafyzika zakládá fyziku v rámci logické nutnosti (</w:t>
      </w:r>
      <w:r w:rsidR="009B7217" w:rsidRPr="003D1E07">
        <w:rPr>
          <w:i/>
        </w:rPr>
        <w:t>habemus physicam necessitatem ex metaphysica</w:t>
      </w:r>
      <w:r w:rsidR="009B7217" w:rsidRPr="003D1E07">
        <w:rPr>
          <w:lang w:eastAsia="en-US"/>
        </w:rPr>
        <w:t>).</w:t>
      </w:r>
      <w:r w:rsidR="009B7217">
        <w:rPr>
          <w:lang w:eastAsia="en-US"/>
        </w:rPr>
        <w:t xml:space="preserve"> Nutnost je nyní určena supozičně ze subjektu jako jediného zdropje moderního významu světa. Tato „dedukce“ se omylem prohlásila za metafyzickou nutnost, kterou v klasické metafyzice určuje pouze impozice významu z reality. </w:t>
      </w:r>
      <w:r w:rsidR="009B7217" w:rsidRPr="003D1E07">
        <w:rPr>
          <w:lang w:eastAsia="en-US"/>
        </w:rPr>
        <w:t>Svět v jeho metafyzickém smyslu už není nutný (</w:t>
      </w:r>
      <w:r w:rsidR="009B7217" w:rsidRPr="003D1E07">
        <w:rPr>
          <w:i/>
        </w:rPr>
        <w:t>mundus non sit metaphysice necessarius</w:t>
      </w:r>
      <w:r w:rsidR="009B7217" w:rsidRPr="003D1E07">
        <w:rPr>
          <w:lang w:eastAsia="en-US"/>
        </w:rPr>
        <w:t>).</w:t>
      </w:r>
      <w:r w:rsidR="009B7217" w:rsidRPr="003D1E07">
        <w:t xml:space="preserve"> Reálný svět už nezakládá nutnost myšlení, ale naopak. </w:t>
      </w:r>
      <w:r w:rsidR="009B7217" w:rsidRPr="003D1E07">
        <w:rPr>
          <w:lang w:eastAsia="en-US"/>
        </w:rPr>
        <w:t xml:space="preserve">Dogmatickou logiku účinně platnou pro všechna myslitelná jsoucna dokazuje fyzikální zákon gravitace až </w:t>
      </w:r>
      <w:r w:rsidR="009B7217" w:rsidRPr="003D1E07">
        <w:rPr>
          <w:i/>
          <w:lang w:eastAsia="en-US"/>
        </w:rPr>
        <w:t>ex post</w:t>
      </w:r>
      <w:r w:rsidR="009B7217" w:rsidRPr="003D1E07">
        <w:rPr>
          <w:lang w:eastAsia="en-US"/>
        </w:rPr>
        <w:t>. Postmoderna potřebuje reálnou věc či fyzikální jev typu gravitace jen jako dodatečné potvrzení mytopoetické pravdy dané ontoteologickou dedukcí</w:t>
      </w:r>
      <w:r w:rsidR="009B7217">
        <w:rPr>
          <w:lang w:eastAsia="en-US"/>
        </w:rPr>
        <w:t xml:space="preserve"> </w:t>
      </w:r>
      <w:r w:rsidR="009B7217" w:rsidRPr="003D1E07">
        <w:rPr>
          <w:noProof w:val="0"/>
          <w:lang w:eastAsia="en-US"/>
        </w:rPr>
        <w:t>(</w:t>
      </w:r>
      <w:r w:rsidR="009B7217" w:rsidRPr="003D1E07">
        <w:rPr>
          <w:i/>
          <w:noProof w:val="0"/>
          <w:lang w:eastAsia="en-US"/>
        </w:rPr>
        <w:t>Ge-Stell</w:t>
      </w:r>
      <w:r w:rsidR="009B7217" w:rsidRPr="003D1E07">
        <w:rPr>
          <w:i/>
          <w:noProof w:val="0"/>
          <w:lang w:eastAsia="en-US"/>
        </w:rPr>
        <w:fldChar w:fldCharType="begin"/>
      </w:r>
      <w:r w:rsidR="009B7217" w:rsidRPr="003D1E07">
        <w:instrText xml:space="preserve"> XE "</w:instrText>
      </w:r>
      <w:r w:rsidR="009B7217" w:rsidRPr="003D1E07">
        <w:rPr>
          <w:i/>
          <w:noProof w:val="0"/>
          <w:lang w:eastAsia="en-US"/>
        </w:rPr>
        <w:instrText>Ge-Stell</w:instrText>
      </w:r>
      <w:r w:rsidR="009B7217" w:rsidRPr="003D1E07">
        <w:instrText xml:space="preserve">" </w:instrText>
      </w:r>
      <w:r w:rsidR="009B7217" w:rsidRPr="003D1E07">
        <w:rPr>
          <w:i/>
          <w:noProof w:val="0"/>
          <w:lang w:eastAsia="en-US"/>
        </w:rPr>
        <w:fldChar w:fldCharType="end"/>
      </w:r>
      <w:r w:rsidR="009B7217" w:rsidRPr="003D1E07">
        <w:rPr>
          <w:noProof w:val="0"/>
          <w:lang w:eastAsia="en-US"/>
        </w:rPr>
        <w:t>)</w:t>
      </w:r>
      <w:r w:rsidR="009B7217" w:rsidRPr="003D1E07">
        <w:rPr>
          <w:lang w:eastAsia="en-US"/>
        </w:rPr>
        <w:t xml:space="preserve">. Proto je fyzická a metafyzická nutnost reálného světa až druhotná vzhledem k matematické a logické nutnosti </w:t>
      </w:r>
      <w:r w:rsidR="009B7217" w:rsidRPr="003D1E07">
        <w:rPr>
          <w:rStyle w:val="FontStyle129"/>
          <w:rFonts w:ascii="Calibri" w:hAnsi="Calibri"/>
          <w:sz w:val="24"/>
        </w:rPr>
        <w:t>(</w:t>
      </w:r>
      <w:r w:rsidR="009B7217" w:rsidRPr="003D1E07">
        <w:rPr>
          <w:i/>
        </w:rPr>
        <w:t>est tamen necessarius physice vel determinatus</w:t>
      </w:r>
      <w:r w:rsidR="009B7217" w:rsidRPr="003D1E07">
        <w:rPr>
          <w:rStyle w:val="FontStyle129"/>
          <w:rFonts w:ascii="Calibri" w:hAnsi="Calibri"/>
          <w:sz w:val="24"/>
        </w:rPr>
        <w:t xml:space="preserve">). </w:t>
      </w:r>
      <w:r w:rsidR="009B7217" w:rsidRPr="003D1E07">
        <w:rPr>
          <w:lang w:eastAsia="en-US"/>
        </w:rPr>
        <w:t>Esence a logické bytí nemůže nebýt, alespoň podle Leibnizova principu dostatečného důvodu</w:t>
      </w:r>
      <w:r w:rsidR="009B7217" w:rsidRPr="003D1E07">
        <w:rPr>
          <w:lang w:eastAsia="en-US"/>
        </w:rPr>
        <w:fldChar w:fldCharType="begin"/>
      </w:r>
      <w:r w:rsidR="009B7217" w:rsidRPr="003D1E07">
        <w:instrText xml:space="preserve"> XE "</w:instrText>
      </w:r>
      <w:r w:rsidR="009B7217" w:rsidRPr="003D1E07">
        <w:rPr>
          <w:lang w:eastAsia="en-US"/>
        </w:rPr>
        <w:instrText>princip dostatečného důvodu</w:instrText>
      </w:r>
      <w:r w:rsidR="009B7217" w:rsidRPr="003D1E07">
        <w:instrText xml:space="preserve">" </w:instrText>
      </w:r>
      <w:r w:rsidR="009B7217" w:rsidRPr="003D1E07">
        <w:rPr>
          <w:lang w:eastAsia="en-US"/>
        </w:rPr>
        <w:fldChar w:fldCharType="end"/>
      </w:r>
      <w:r w:rsidR="009B7217" w:rsidRPr="003D1E07">
        <w:rPr>
          <w:lang w:eastAsia="en-US"/>
        </w:rPr>
        <w:t xml:space="preserve"> </w:t>
      </w:r>
      <w:r w:rsidR="009B7217" w:rsidRPr="003D1E07">
        <w:t>(</w:t>
      </w:r>
      <w:r w:rsidR="009B7217" w:rsidRPr="003D1E07">
        <w:rPr>
          <w:i/>
        </w:rPr>
        <w:t>contrarium implicet contradictionem seu absurditatem logicam</w:t>
      </w:r>
      <w:r w:rsidR="009B7217" w:rsidRPr="003D1E07">
        <w:t>). Komitace objektivních vlastností jsoucna nevychází z aristotelské vědecké dedukce (</w:t>
      </w:r>
      <w:r w:rsidR="009B7217" w:rsidRPr="003D1E07">
        <w:rPr>
          <w:i/>
        </w:rPr>
        <w:t>demonstratio</w:t>
      </w:r>
      <w:r w:rsidR="009B7217" w:rsidRPr="003D1E07">
        <w:t xml:space="preserve">), ale z moderní logiky. </w:t>
      </w:r>
      <w:r w:rsidR="009B7217" w:rsidRPr="003D1E07">
        <w:rPr>
          <w:lang w:eastAsia="en-US"/>
        </w:rPr>
        <w:t>Z hlediska objektivní definice reality (</w:t>
      </w:r>
      <w:r w:rsidR="009B7217" w:rsidRPr="003D1E07">
        <w:rPr>
          <w:i/>
        </w:rPr>
        <w:t>pro ratione realitatis</w:t>
      </w:r>
      <w:r w:rsidR="009B7217" w:rsidRPr="003D1E07">
        <w:rPr>
          <w:lang w:eastAsia="en-US"/>
        </w:rPr>
        <w:t>) má každá možnost formálně stejný ontologický nárok (</w:t>
      </w:r>
      <w:r w:rsidR="009B7217" w:rsidRPr="003D1E07">
        <w:rPr>
          <w:i/>
        </w:rPr>
        <w:t>omnia possibilia pari jure</w:t>
      </w:r>
      <w:r w:rsidR="009B7217" w:rsidRPr="003D1E07">
        <w:t>)</w:t>
      </w:r>
      <w:r w:rsidR="009B7217" w:rsidRPr="003D1E07">
        <w:rPr>
          <w:i/>
        </w:rPr>
        <w:t xml:space="preserve"> </w:t>
      </w:r>
      <w:r w:rsidR="009B7217" w:rsidRPr="003D1E07">
        <w:rPr>
          <w:lang w:eastAsia="en-US"/>
        </w:rPr>
        <w:t>na aktuální existenci (</w:t>
      </w:r>
      <w:r w:rsidR="009B7217" w:rsidRPr="003D1E07">
        <w:rPr>
          <w:i/>
        </w:rPr>
        <w:t>ad existendum tendunt</w:t>
      </w:r>
      <w:r w:rsidR="009B7217" w:rsidRPr="003D1E07">
        <w:rPr>
          <w:lang w:eastAsia="en-US"/>
        </w:rPr>
        <w:t xml:space="preserve">). Leibnizova komitace hypostázovaných vlastností jsoucna v objektivním modu </w:t>
      </w:r>
      <w:r w:rsidR="009B7217" w:rsidRPr="003D1E07">
        <w:rPr>
          <w:i/>
          <w:lang w:eastAsia="en-US"/>
        </w:rPr>
        <w:t>esse ad</w:t>
      </w:r>
      <w:r w:rsidR="009B7217" w:rsidRPr="003D1E07">
        <w:rPr>
          <w:lang w:eastAsia="en-US"/>
        </w:rPr>
        <w:t xml:space="preserve"> je řízena principem maximálně efektivní racionální produkce. Tato mytopoetická produkce zakládá hypotetický svět s maximem objektivně daných možností (</w:t>
      </w:r>
      <w:r w:rsidR="009B7217" w:rsidRPr="003D1E07">
        <w:rPr>
          <w:i/>
        </w:rPr>
        <w:t>prodit mundus per quem maxima fit possibilium productio</w:t>
      </w:r>
      <w:r w:rsidR="009B7217" w:rsidRPr="003D1E07">
        <w:rPr>
          <w:lang w:eastAsia="en-US"/>
        </w:rPr>
        <w:t xml:space="preserve">). </w:t>
      </w:r>
      <w:r w:rsidR="009B7217" w:rsidRPr="003D1E07">
        <w:rPr>
          <w:rStyle w:val="FontStyle129"/>
          <w:rFonts w:ascii="Calibri" w:hAnsi="Calibri"/>
          <w:sz w:val="24"/>
        </w:rPr>
        <w:t>Ve věku metafyzického nihilismu tuto globálně významnou roli Leibnizova boha-kalkulátora a producenta objektivních významů převzaly cloudové databáze a supercomputery</w:t>
      </w:r>
      <w:r w:rsidR="009B7217" w:rsidRPr="003D1E07">
        <w:rPr>
          <w:i/>
          <w:iCs/>
        </w:rPr>
        <w:fldChar w:fldCharType="begin"/>
      </w:r>
      <w:r w:rsidR="009B7217" w:rsidRPr="003D1E07">
        <w:instrText xml:space="preserve"> XE "</w:instrText>
      </w:r>
      <w:r w:rsidR="009B7217" w:rsidRPr="003D1E07">
        <w:rPr>
          <w:i/>
        </w:rPr>
        <w:instrText>cloud computing</w:instrText>
      </w:r>
      <w:r w:rsidR="009B7217" w:rsidRPr="003D1E07">
        <w:instrText xml:space="preserve">" </w:instrText>
      </w:r>
      <w:r w:rsidR="009B7217" w:rsidRPr="003D1E07">
        <w:rPr>
          <w:i/>
          <w:iCs/>
        </w:rPr>
        <w:fldChar w:fldCharType="end"/>
      </w:r>
      <w:r w:rsidR="009B7217" w:rsidRPr="003D1E07">
        <w:rPr>
          <w:rStyle w:val="FontStyle129"/>
          <w:rFonts w:ascii="Calibri" w:hAnsi="Calibri"/>
          <w:sz w:val="24"/>
        </w:rPr>
        <w:t xml:space="preserve">. </w:t>
      </w:r>
      <w:r w:rsidR="009B7217" w:rsidRPr="003D1E07">
        <w:rPr>
          <w:lang w:eastAsia="en-US"/>
        </w:rPr>
        <w:t xml:space="preserve">Citát ukazuje místo vzniku </w:t>
      </w:r>
      <w:r w:rsidR="009B7217" w:rsidRPr="003D1E07">
        <w:t>instrumentálního rozumu</w:t>
      </w:r>
      <w:r w:rsidR="009B7217" w:rsidRPr="003D1E07">
        <w:fldChar w:fldCharType="begin"/>
      </w:r>
      <w:r w:rsidR="009B7217" w:rsidRPr="003D1E07">
        <w:instrText xml:space="preserve"> XE "instrumentální rozum" </w:instrText>
      </w:r>
      <w:r w:rsidR="009B7217" w:rsidRPr="003D1E07">
        <w:fldChar w:fldCharType="end"/>
      </w:r>
      <w:r w:rsidR="009B7217" w:rsidRPr="003D1E07">
        <w:t xml:space="preserve"> </w:t>
      </w:r>
      <w:r w:rsidR="009B7217" w:rsidRPr="003D1E07">
        <w:rPr>
          <w:lang w:eastAsia="en-US"/>
        </w:rPr>
        <w:t>postmoderního Západu. Frankfurtská škola</w:t>
      </w:r>
      <w:r w:rsidR="009B7217" w:rsidRPr="003D1E07">
        <w:rPr>
          <w:lang w:eastAsia="en-US"/>
        </w:rPr>
        <w:fldChar w:fldCharType="begin"/>
      </w:r>
      <w:r w:rsidR="009B7217" w:rsidRPr="003D1E07">
        <w:instrText xml:space="preserve"> XE "</w:instrText>
      </w:r>
      <w:r w:rsidR="009B7217" w:rsidRPr="003D1E07">
        <w:rPr>
          <w:lang w:eastAsia="en-US"/>
        </w:rPr>
        <w:instrText>Frankfurtská škola</w:instrText>
      </w:r>
      <w:r w:rsidR="009B7217" w:rsidRPr="003D1E07">
        <w:instrText xml:space="preserve">" </w:instrText>
      </w:r>
      <w:r w:rsidR="009B7217" w:rsidRPr="003D1E07">
        <w:rPr>
          <w:lang w:eastAsia="en-US"/>
        </w:rPr>
        <w:fldChar w:fldCharType="end"/>
      </w:r>
      <w:r w:rsidR="009B7217" w:rsidRPr="003D1E07">
        <w:rPr>
          <w:lang w:eastAsia="en-US"/>
        </w:rPr>
        <w:t xml:space="preserve"> </w:t>
      </w:r>
      <w:r w:rsidR="009B7217" w:rsidRPr="003D1E07">
        <w:rPr>
          <w:lang w:eastAsia="en-US"/>
        </w:rPr>
        <w:lastRenderedPageBreak/>
        <w:t xml:space="preserve">působící ve věku vrcholného metafyzického nihilismu odmítla tuto racionalitu </w:t>
      </w:r>
      <w:r w:rsidR="009B7217">
        <w:rPr>
          <w:lang w:eastAsia="en-US"/>
        </w:rPr>
        <w:t>zásadním způsosobem. Jejím produktem je fašistický typ kapitalismu, který má plně totalitní rysy.</w:t>
      </w:r>
    </w:p>
    <w:p w14:paraId="7054088E" w14:textId="77777777" w:rsidR="00E43C14" w:rsidRDefault="088E4522" w:rsidP="009946EA">
      <w:pPr>
        <w:ind w:firstLine="397"/>
      </w:pPr>
      <w:r w:rsidRPr="003D1E07">
        <w:rPr>
          <w:lang w:eastAsia="en-US"/>
        </w:rPr>
        <w:t>Spor mezi oběma konce</w:t>
      </w:r>
      <w:r w:rsidR="00333027">
        <w:rPr>
          <w:lang w:eastAsia="en-US"/>
        </w:rPr>
        <w:t>pcemi metafyziky se týká základní dráhy porozumění (</w:t>
      </w:r>
      <w:r w:rsidR="00333027" w:rsidRPr="00333027">
        <w:rPr>
          <w:i/>
          <w:lang w:eastAsia="en-US"/>
        </w:rPr>
        <w:t>Vor-blickbahn</w:t>
      </w:r>
      <w:r w:rsidR="00333027">
        <w:rPr>
          <w:lang w:eastAsia="en-US"/>
        </w:rPr>
        <w:t>)</w:t>
      </w:r>
      <w:r w:rsidRPr="003D1E07">
        <w:rPr>
          <w:lang w:eastAsia="en-US"/>
        </w:rPr>
        <w:t xml:space="preserve">, jak se zjevuje jsoucno v intelektu. </w:t>
      </w:r>
      <w:r w:rsidRPr="003D1E07">
        <w:t xml:space="preserve">Vznik nového náhledu je doložen jako vědomá volba Avicenny a Averroese, kteří viděli </w:t>
      </w:r>
      <w:r w:rsidR="00E168A2" w:rsidRPr="003D1E07">
        <w:t xml:space="preserve">jiný smysl </w:t>
      </w:r>
      <w:r w:rsidRPr="003D1E07">
        <w:t xml:space="preserve">celku jsoucna než jejich předchůdci. </w:t>
      </w:r>
      <w:r w:rsidRPr="003D1E07">
        <w:rPr>
          <w:rStyle w:val="Zkladntext158dkovn0pt"/>
          <w:color w:val="auto"/>
          <w:spacing w:val="0"/>
          <w:sz w:val="24"/>
          <w:lang w:val="cs-CZ"/>
        </w:rPr>
        <w:t xml:space="preserve">Averroes vytvořil nové </w:t>
      </w:r>
      <w:r w:rsidR="000A5E28" w:rsidRPr="003D1E07">
        <w:rPr>
          <w:rStyle w:val="Zkladntext158dkovn0pt"/>
          <w:color w:val="auto"/>
          <w:spacing w:val="0"/>
          <w:sz w:val="24"/>
          <w:lang w:val="cs-CZ"/>
        </w:rPr>
        <w:t xml:space="preserve">schéma dvojího </w:t>
      </w:r>
      <w:r w:rsidR="08043FAA" w:rsidRPr="003D1E07">
        <w:rPr>
          <w:rStyle w:val="Zkladntext158dkovn0pt"/>
          <w:color w:val="auto"/>
          <w:spacing w:val="0"/>
          <w:sz w:val="24"/>
          <w:lang w:val="cs-CZ"/>
        </w:rPr>
        <w:t>intelektu. N</w:t>
      </w:r>
      <w:r w:rsidRPr="003D1E07">
        <w:rPr>
          <w:rStyle w:val="Zkladntext158dkovn0pt"/>
          <w:color w:val="auto"/>
          <w:spacing w:val="0"/>
          <w:sz w:val="24"/>
          <w:lang w:val="cs-CZ"/>
        </w:rPr>
        <w:t xml:space="preserve">emateriální potence osoby </w:t>
      </w:r>
      <w:r w:rsidR="00611399" w:rsidRPr="003D1E07">
        <w:rPr>
          <w:rStyle w:val="Zkladntext158dkovn0pt"/>
          <w:color w:val="auto"/>
          <w:spacing w:val="0"/>
          <w:sz w:val="24"/>
          <w:lang w:val="cs-CZ"/>
        </w:rPr>
        <w:t xml:space="preserve">je </w:t>
      </w:r>
      <w:r w:rsidRPr="003D1E07">
        <w:rPr>
          <w:rStyle w:val="Zkladntext158dkovn0pt"/>
          <w:color w:val="auto"/>
          <w:spacing w:val="0"/>
          <w:sz w:val="24"/>
          <w:lang w:val="cs-CZ"/>
        </w:rPr>
        <w:t xml:space="preserve">aktualizovaná </w:t>
      </w:r>
      <w:r w:rsidR="08043FAA" w:rsidRPr="003D1E07">
        <w:rPr>
          <w:rStyle w:val="Zkladntext158dkovn0pt"/>
          <w:color w:val="auto"/>
          <w:spacing w:val="0"/>
          <w:sz w:val="24"/>
          <w:lang w:val="cs-CZ"/>
        </w:rPr>
        <w:t>zde a nyní v aktuálním  výkonu poznání osoby jako první substance</w:t>
      </w:r>
      <w:r w:rsidR="00611399" w:rsidRPr="003D1E07">
        <w:rPr>
          <w:rStyle w:val="Zkladntext158dkovn0pt"/>
          <w:color w:val="auto"/>
          <w:spacing w:val="0"/>
          <w:sz w:val="24"/>
          <w:lang w:val="cs-CZ"/>
        </w:rPr>
        <w:t xml:space="preserve"> (</w:t>
      </w:r>
      <w:r w:rsidR="00611399" w:rsidRPr="003D1E07">
        <w:rPr>
          <w:rStyle w:val="Zkladntext158dkovn0pt"/>
          <w:i/>
          <w:color w:val="auto"/>
          <w:spacing w:val="0"/>
          <w:sz w:val="24"/>
          <w:lang w:val="cs-CZ"/>
        </w:rPr>
        <w:t>tertium genus</w:t>
      </w:r>
      <w:r w:rsidR="00611399" w:rsidRPr="003D1E07">
        <w:rPr>
          <w:rStyle w:val="Zkladntext158dkovn0pt"/>
          <w:color w:val="auto"/>
          <w:spacing w:val="0"/>
          <w:sz w:val="24"/>
          <w:lang w:val="cs-CZ"/>
        </w:rPr>
        <w:t>)</w:t>
      </w:r>
      <w:r w:rsidR="08043FAA" w:rsidRPr="003D1E07">
        <w:rPr>
          <w:rStyle w:val="Zkladntext158dkovn0pt"/>
          <w:color w:val="auto"/>
          <w:spacing w:val="0"/>
          <w:sz w:val="24"/>
          <w:lang w:val="cs-CZ"/>
        </w:rPr>
        <w:t xml:space="preserve">. </w:t>
      </w:r>
      <w:r w:rsidR="00611399" w:rsidRPr="003D1E07">
        <w:rPr>
          <w:rStyle w:val="Zkladntext158dkovn0pt"/>
          <w:color w:val="auto"/>
          <w:spacing w:val="0"/>
          <w:sz w:val="24"/>
          <w:lang w:val="cs-CZ"/>
        </w:rPr>
        <w:t>Nehmotná potence poznání celého lidstva je postulována na základě univerzální jednoty týkající se lidského druhu (</w:t>
      </w:r>
      <w:r w:rsidR="00611399" w:rsidRPr="003D1E07">
        <w:rPr>
          <w:rStyle w:val="Zkladntext158dkovn0pt"/>
          <w:i/>
          <w:color w:val="auto"/>
          <w:spacing w:val="0"/>
          <w:sz w:val="24"/>
          <w:lang w:val="cs-CZ"/>
        </w:rPr>
        <w:t>quartum genus</w:t>
      </w:r>
      <w:r w:rsidR="00611399" w:rsidRPr="003D1E07">
        <w:rPr>
          <w:rStyle w:val="Zkladntext158dkovn0pt"/>
          <w:color w:val="auto"/>
          <w:spacing w:val="0"/>
          <w:sz w:val="24"/>
          <w:lang w:val="cs-CZ"/>
        </w:rPr>
        <w:t xml:space="preserve">). Specifický intelekt vytváří potenciální pojem v podobě druhé substance. </w:t>
      </w:r>
      <w:r w:rsidRPr="003D1E07">
        <w:rPr>
          <w:rStyle w:val="Zkladntext158dkovn0pt"/>
          <w:color w:val="auto"/>
          <w:spacing w:val="0"/>
          <w:sz w:val="24"/>
          <w:lang w:val="cs-CZ"/>
        </w:rPr>
        <w:t xml:space="preserve">Jen osoba může naplnit svůj dějinný úděl pravdivým myšlením a činem. Tuto racionální přirozenost osoby danou skrze </w:t>
      </w:r>
      <w:r w:rsidRPr="003D1E07">
        <w:rPr>
          <w:rStyle w:val="Zkladntext158dkovn0pt"/>
          <w:i/>
          <w:color w:val="auto"/>
          <w:spacing w:val="0"/>
          <w:sz w:val="24"/>
          <w:lang w:val="cs-CZ"/>
        </w:rPr>
        <w:t>intellectus possibilis</w:t>
      </w:r>
      <w:r w:rsidRPr="003D1E07">
        <w:rPr>
          <w:rStyle w:val="Zkladntext158dkovn0pt"/>
          <w:color w:val="auto"/>
          <w:spacing w:val="0"/>
          <w:sz w:val="24"/>
          <w:lang w:val="cs-CZ"/>
        </w:rPr>
        <w:t xml:space="preserve"> a </w:t>
      </w:r>
      <w:r w:rsidRPr="003D1E07">
        <w:rPr>
          <w:rStyle w:val="Zkladntext158dkovn0pt"/>
          <w:i/>
          <w:color w:val="auto"/>
          <w:spacing w:val="0"/>
          <w:sz w:val="24"/>
          <w:lang w:val="cs-CZ"/>
        </w:rPr>
        <w:t>intellectus practicus</w:t>
      </w:r>
      <w:r w:rsidRPr="003D1E07">
        <w:rPr>
          <w:rStyle w:val="Zkladntext158dkovn0pt"/>
          <w:color w:val="auto"/>
          <w:spacing w:val="0"/>
          <w:sz w:val="24"/>
          <w:lang w:val="cs-CZ"/>
        </w:rPr>
        <w:t xml:space="preserve"> lze abstr</w:t>
      </w:r>
      <w:r w:rsidR="0076290B" w:rsidRPr="003D1E07">
        <w:rPr>
          <w:rStyle w:val="Zkladntext158dkovn0pt"/>
          <w:color w:val="auto"/>
          <w:spacing w:val="0"/>
          <w:sz w:val="24"/>
          <w:lang w:val="cs-CZ"/>
        </w:rPr>
        <w:t xml:space="preserve">ahovat a adekvátně predikovat </w:t>
      </w:r>
      <w:r w:rsidRPr="003D1E07">
        <w:rPr>
          <w:rStyle w:val="Zkladntext158dkovn0pt"/>
          <w:color w:val="auto"/>
          <w:spacing w:val="0"/>
          <w:sz w:val="24"/>
          <w:lang w:val="cs-CZ"/>
        </w:rPr>
        <w:t>na úrovni celého lidstva.</w:t>
      </w:r>
      <w:r w:rsidRPr="003D1E07">
        <w:rPr>
          <w:lang w:eastAsia="en-US"/>
        </w:rPr>
        <w:t xml:space="preserve"> </w:t>
      </w:r>
      <w:r w:rsidRPr="003D1E07">
        <w:t>V</w:t>
      </w:r>
      <w:r w:rsidRPr="003D1E07">
        <w:rPr>
          <w:lang w:eastAsia="en-US"/>
        </w:rPr>
        <w:t xml:space="preserve">iz citovaný termín </w:t>
      </w:r>
      <w:r w:rsidRPr="003D1E07">
        <w:rPr>
          <w:i/>
          <w:lang w:eastAsia="en-US"/>
        </w:rPr>
        <w:t>décision ontologique</w:t>
      </w:r>
      <w:r w:rsidRPr="003D1E07">
        <w:rPr>
          <w:i/>
          <w:lang w:eastAsia="en-US"/>
        </w:rPr>
        <w:fldChar w:fldCharType="begin"/>
      </w:r>
      <w:r w:rsidRPr="003D1E07">
        <w:instrText xml:space="preserve"> XE "</w:instrText>
      </w:r>
      <w:r w:rsidRPr="003D1E07">
        <w:rPr>
          <w:i/>
          <w:lang w:eastAsia="en-US"/>
        </w:rPr>
        <w:instrText>décision ontologique</w:instrText>
      </w:r>
      <w:r w:rsidRPr="003D1E07">
        <w:instrText xml:space="preserve">" </w:instrText>
      </w:r>
      <w:r w:rsidRPr="003D1E07">
        <w:rPr>
          <w:i/>
          <w:lang w:eastAsia="en-US"/>
        </w:rPr>
        <w:fldChar w:fldCharType="end"/>
      </w:r>
      <w:r w:rsidRPr="003D1E07">
        <w:rPr>
          <w:lang w:eastAsia="en-US"/>
        </w:rPr>
        <w:t xml:space="preserve"> </w:t>
      </w:r>
      <w:r w:rsidR="0008230E" w:rsidRPr="003D1E07">
        <w:t xml:space="preserve">(kap. 2.4) </w:t>
      </w:r>
      <w:r w:rsidRPr="003D1E07">
        <w:rPr>
          <w:lang w:eastAsia="en-US"/>
        </w:rPr>
        <w:t>popisující základní volby Komentátora jako spravedlivého soudce v oblasti metafyziky, morálky a obecného práva</w:t>
      </w:r>
      <w:r w:rsidRPr="003D1E07">
        <w:t xml:space="preserve">. </w:t>
      </w:r>
      <w:r w:rsidRPr="003D1E07">
        <w:rPr>
          <w:lang w:eastAsia="en-US"/>
        </w:rPr>
        <w:t>Abstrahované jsoucno dané v intelektu má pouze potenciální a abstraktní charakter (</w:t>
      </w:r>
      <w:r w:rsidRPr="003D1E07">
        <w:rPr>
          <w:i/>
          <w:lang w:eastAsia="en-US"/>
        </w:rPr>
        <w:t>ens rationis</w:t>
      </w:r>
      <w:r w:rsidRPr="003D1E07">
        <w:rPr>
          <w:i/>
          <w:lang w:eastAsia="en-US"/>
        </w:rPr>
        <w:fldChar w:fldCharType="begin"/>
      </w:r>
      <w:r w:rsidRPr="003D1E07">
        <w:instrText xml:space="preserve"> XE "</w:instrText>
      </w:r>
      <w:r w:rsidRPr="003D1E07">
        <w:rPr>
          <w:i/>
        </w:rPr>
        <w:instrText>ens rationis</w:instrText>
      </w:r>
      <w:r w:rsidRPr="003D1E07">
        <w:instrText xml:space="preserve">" </w:instrText>
      </w:r>
      <w:r w:rsidRPr="003D1E07">
        <w:rPr>
          <w:i/>
          <w:lang w:eastAsia="en-US"/>
        </w:rPr>
        <w:fldChar w:fldCharType="end"/>
      </w:r>
      <w:r w:rsidRPr="003D1E07">
        <w:rPr>
          <w:lang w:eastAsia="en-US"/>
        </w:rPr>
        <w:t xml:space="preserve">), na rozdíl od jednoduchého a aktuálního bytí první substance. </w:t>
      </w:r>
      <w:r w:rsidRPr="003D1E07">
        <w:t xml:space="preserve">Averroes ubránil hodnotu reálné první substance, což před ním udělal aristotelský Porfyrius proti Plotinově neoplatonské škole. </w:t>
      </w:r>
      <w:r w:rsidRPr="003D1E07">
        <w:rPr>
          <w:lang w:eastAsia="en-US"/>
        </w:rPr>
        <w:t xml:space="preserve">Rozdíl obou metafyzik vedl Averroese k odmítnutí Avicennovy dialektiky ve prospěch apodiktického vědeckého důkazu. </w:t>
      </w:r>
      <w:r w:rsidR="080430C3" w:rsidRPr="003D1E07">
        <w:t>Nový způsob vidění světa je dán</w:t>
      </w:r>
      <w:r w:rsidRPr="003D1E07">
        <w:t xml:space="preserve"> ve figuře možného intelektu (</w:t>
      </w:r>
      <w:r w:rsidRPr="003D1E07">
        <w:rPr>
          <w:i/>
        </w:rPr>
        <w:t>intellectus possibilis</w:t>
      </w:r>
      <w:r w:rsidRPr="003D1E07">
        <w:t>)</w:t>
      </w:r>
      <w:r w:rsidR="00C426E6" w:rsidRPr="003D1E07">
        <w:t xml:space="preserve">. Tímto konceptem </w:t>
      </w:r>
      <w:r w:rsidRPr="003D1E07">
        <w:t xml:space="preserve">Averroes překonal citovanou </w:t>
      </w:r>
      <w:r w:rsidRPr="003D1E07">
        <w:rPr>
          <w:i/>
        </w:rPr>
        <w:t>obscurity</w:t>
      </w:r>
      <w:r w:rsidRPr="003D1E07">
        <w:rPr>
          <w:i/>
        </w:rPr>
        <w:fldChar w:fldCharType="begin"/>
      </w:r>
      <w:r w:rsidRPr="003D1E07">
        <w:instrText xml:space="preserve"> XE "zatmění:substance" </w:instrText>
      </w:r>
      <w:r w:rsidRPr="003D1E07">
        <w:rPr>
          <w:i/>
        </w:rPr>
        <w:fldChar w:fldCharType="end"/>
      </w:r>
      <w:r w:rsidRPr="003D1E07">
        <w:t xml:space="preserve"> jsoucna skrytou v neoplatonském pojetí Avicenny. </w:t>
      </w:r>
      <w:r w:rsidRPr="003D1E07">
        <w:rPr>
          <w:lang w:eastAsia="en-US"/>
        </w:rPr>
        <w:t>První věda neoplatonských a moderních iluminátů</w:t>
      </w:r>
      <w:r w:rsidRPr="003D1E07">
        <w:rPr>
          <w:lang w:eastAsia="en-US"/>
        </w:rPr>
        <w:fldChar w:fldCharType="begin"/>
      </w:r>
      <w:r w:rsidRPr="003D1E07">
        <w:instrText xml:space="preserve"> XE "ilumináti" </w:instrText>
      </w:r>
      <w:r w:rsidRPr="003D1E07">
        <w:rPr>
          <w:lang w:eastAsia="en-US"/>
        </w:rPr>
        <w:fldChar w:fldCharType="end"/>
      </w:r>
      <w:r w:rsidRPr="003D1E07">
        <w:rPr>
          <w:lang w:eastAsia="en-US"/>
        </w:rPr>
        <w:t xml:space="preserve"> spočívá na mystickém osvícení daném skrze oddělený intelekt</w:t>
      </w:r>
      <w:r w:rsidR="08767208" w:rsidRPr="003D1E07">
        <w:rPr>
          <w:lang w:eastAsia="en-US"/>
        </w:rPr>
        <w:t xml:space="preserve">. Moderna zrušila v metafyzice </w:t>
      </w:r>
      <w:r w:rsidRPr="003D1E07">
        <w:rPr>
          <w:lang w:eastAsia="en-US"/>
        </w:rPr>
        <w:t>vědecké poznání reálného světa dané v deduktivním sylogismu determinovaném reálnou existencí a kauzalitou první substance (</w:t>
      </w:r>
      <w:r w:rsidRPr="003D1E07">
        <w:t xml:space="preserve">ἀπόδειξις, </w:t>
      </w:r>
      <w:r w:rsidRPr="003D1E07">
        <w:rPr>
          <w:i/>
        </w:rPr>
        <w:t>demonstratio</w:t>
      </w:r>
      <w:r w:rsidRPr="003D1E07">
        <w:rPr>
          <w:i/>
        </w:rPr>
        <w:fldChar w:fldCharType="begin"/>
      </w:r>
      <w:r w:rsidRPr="003D1E07">
        <w:instrText xml:space="preserve"> XE "</w:instrText>
      </w:r>
      <w:r w:rsidRPr="003D1E07">
        <w:rPr>
          <w:i/>
        </w:rPr>
        <w:instrText>demonstratio:</w:instrText>
      </w:r>
      <w:r w:rsidRPr="003D1E07">
        <w:instrText xml:space="preserve">Averroes" </w:instrText>
      </w:r>
      <w:r w:rsidRPr="003D1E07">
        <w:rPr>
          <w:i/>
        </w:rPr>
        <w:fldChar w:fldCharType="end"/>
      </w:r>
      <w:r w:rsidRPr="003D1E07">
        <w:rPr>
          <w:lang w:eastAsia="en-US"/>
        </w:rPr>
        <w:t xml:space="preserve">). </w:t>
      </w:r>
      <w:r w:rsidR="0054548B" w:rsidRPr="003D1E07">
        <w:rPr>
          <w:lang w:eastAsia="en-US"/>
        </w:rPr>
        <w:t xml:space="preserve">Modernisté </w:t>
      </w:r>
      <w:r w:rsidRPr="003D1E07">
        <w:rPr>
          <w:lang w:eastAsia="en-US"/>
        </w:rPr>
        <w:t>neprovádí demonstraci reálného světa</w:t>
      </w:r>
      <w:r w:rsidR="08395543" w:rsidRPr="003D1E07">
        <w:rPr>
          <w:lang w:eastAsia="en-US"/>
        </w:rPr>
        <w:t xml:space="preserve"> v kritickém myšlení</w:t>
      </w:r>
      <w:r w:rsidR="080C7FA0" w:rsidRPr="003D1E07">
        <w:rPr>
          <w:lang w:eastAsia="en-US"/>
        </w:rPr>
        <w:t xml:space="preserve">, pouze o něm spekulují </w:t>
      </w:r>
      <w:r w:rsidR="000D1F59">
        <w:rPr>
          <w:lang w:eastAsia="en-US"/>
        </w:rPr>
        <w:t xml:space="preserve">na základě </w:t>
      </w:r>
      <w:r w:rsidR="080C7FA0" w:rsidRPr="003D1E07">
        <w:rPr>
          <w:lang w:eastAsia="en-US"/>
        </w:rPr>
        <w:t>mytopoeticky dané boží mysli a intencionality</w:t>
      </w:r>
      <w:r w:rsidRPr="003D1E07">
        <w:rPr>
          <w:lang w:eastAsia="en-US"/>
        </w:rPr>
        <w:t xml:space="preserve">. Vytěsněním </w:t>
      </w:r>
      <w:r w:rsidR="08E22F7A" w:rsidRPr="003D1E07">
        <w:t xml:space="preserve">metafyzického </w:t>
      </w:r>
      <w:r w:rsidRPr="003D1E07">
        <w:rPr>
          <w:lang w:eastAsia="en-US"/>
        </w:rPr>
        <w:t>dativu z poznání a z metafyziky se z </w:t>
      </w:r>
      <w:r w:rsidRPr="003D1E07">
        <w:rPr>
          <w:i/>
          <w:lang w:eastAsia="en-US"/>
        </w:rPr>
        <w:t>ousía</w:t>
      </w:r>
      <w:r w:rsidRPr="003D1E07">
        <w:rPr>
          <w:lang w:eastAsia="en-US"/>
        </w:rPr>
        <w:t xml:space="preserve"> stala pouhá </w:t>
      </w:r>
      <w:r w:rsidRPr="003D1E07">
        <w:rPr>
          <w:i/>
          <w:lang w:eastAsia="en-US"/>
        </w:rPr>
        <w:t xml:space="preserve">parousía </w:t>
      </w:r>
      <w:r w:rsidR="08CF4594" w:rsidRPr="003D1E07">
        <w:rPr>
          <w:lang w:eastAsia="en-US"/>
        </w:rPr>
        <w:t xml:space="preserve">mythopoetického </w:t>
      </w:r>
      <w:r w:rsidRPr="003D1E07">
        <w:t xml:space="preserve">významu daná </w:t>
      </w:r>
      <w:r w:rsidRPr="003D1E07">
        <w:rPr>
          <w:lang w:eastAsia="en-US"/>
        </w:rPr>
        <w:t xml:space="preserve">v mysli ilumináta. </w:t>
      </w:r>
      <w:r w:rsidR="0817510B" w:rsidRPr="003D1E07">
        <w:rPr>
          <w:szCs w:val="24"/>
        </w:rPr>
        <w:t xml:space="preserve">Po zmizení ipseity první substance začala vláda neomezené ontoteologické identity všeho se vším. </w:t>
      </w:r>
      <w:r w:rsidR="00437FD2">
        <w:rPr>
          <w:szCs w:val="24"/>
        </w:rPr>
        <w:t>První modernisté f</w:t>
      </w:r>
      <w:r w:rsidR="00FF50EE" w:rsidRPr="003D1E07">
        <w:rPr>
          <w:szCs w:val="24"/>
        </w:rPr>
        <w:t>alsafy neviděli skutečný svět, ale jeho simulákrum. To stvořily vesmírné inteligence a ilumináti jej pozorovali v zrcadle (</w:t>
      </w:r>
      <w:r w:rsidR="00FF50EE" w:rsidRPr="003D1E07">
        <w:rPr>
          <w:i/>
          <w:szCs w:val="24"/>
        </w:rPr>
        <w:t>speculum</w:t>
      </w:r>
      <w:r w:rsidR="00FF50EE" w:rsidRPr="003D1E07">
        <w:rPr>
          <w:szCs w:val="24"/>
        </w:rPr>
        <w:t>) darovaného intelektu (</w:t>
      </w:r>
      <w:r w:rsidR="00FF50EE" w:rsidRPr="003D1E07">
        <w:rPr>
          <w:i/>
          <w:szCs w:val="24"/>
        </w:rPr>
        <w:t>intellectus adeptus</w:t>
      </w:r>
      <w:r w:rsidR="00FF50EE" w:rsidRPr="003D1E07">
        <w:rPr>
          <w:szCs w:val="24"/>
        </w:rPr>
        <w:t xml:space="preserve">). Ve věku současného </w:t>
      </w:r>
      <w:r w:rsidR="00FF50EE" w:rsidRPr="003D1E07">
        <w:rPr>
          <w:szCs w:val="24"/>
        </w:rPr>
        <w:lastRenderedPageBreak/>
        <w:t xml:space="preserve">nihilismu byly </w:t>
      </w:r>
      <w:r w:rsidR="004F0E21" w:rsidRPr="003D1E07">
        <w:rPr>
          <w:szCs w:val="24"/>
        </w:rPr>
        <w:t xml:space="preserve">separované </w:t>
      </w:r>
      <w:r w:rsidR="00FF50EE" w:rsidRPr="003D1E07">
        <w:rPr>
          <w:szCs w:val="24"/>
        </w:rPr>
        <w:t>vesmírné inteligence nahrazeny počítači a matematikou.</w:t>
      </w:r>
      <w:r w:rsidR="004F0E21" w:rsidRPr="003D1E07">
        <w:rPr>
          <w:szCs w:val="24"/>
        </w:rPr>
        <w:t xml:space="preserve"> </w:t>
      </w:r>
      <w:r w:rsidRPr="003D1E07">
        <w:t>Moderní věd</w:t>
      </w:r>
      <w:r w:rsidRPr="003D1E07">
        <w:rPr>
          <w:lang w:eastAsia="en-US"/>
        </w:rPr>
        <w:t>ě</w:t>
      </w:r>
      <w:r w:rsidRPr="003D1E07">
        <w:t xml:space="preserve">ní stalo dějinně účinným viděním světa tím, že je založeno </w:t>
      </w:r>
      <w:r w:rsidRPr="003D1E07">
        <w:rPr>
          <w:lang w:eastAsia="en-US"/>
        </w:rPr>
        <w:t>na konjunkci lidského intelektu s odděleným kosmickým intelektem</w:t>
      </w:r>
      <w:r w:rsidR="006E45D1">
        <w:rPr>
          <w:lang w:eastAsia="en-US"/>
        </w:rPr>
        <w:t xml:space="preserve"> a dnes pouze s počítačově danou umělou inteligencí</w:t>
      </w:r>
      <w:r w:rsidRPr="003D1E07">
        <w:rPr>
          <w:lang w:eastAsia="en-US"/>
        </w:rPr>
        <w:t xml:space="preserve">. Mystická konjunkce </w:t>
      </w:r>
      <w:r w:rsidR="006E4894">
        <w:rPr>
          <w:lang w:eastAsia="en-US"/>
        </w:rPr>
        <w:t xml:space="preserve">těchto </w:t>
      </w:r>
      <w:r w:rsidR="000C06BB">
        <w:rPr>
          <w:lang w:eastAsia="en-US"/>
        </w:rPr>
        <w:t xml:space="preserve">dvou nesmyslů </w:t>
      </w:r>
      <w:r w:rsidRPr="003D1E07">
        <w:rPr>
          <w:lang w:eastAsia="en-US"/>
        </w:rPr>
        <w:t xml:space="preserve">nechává manifestovat pravdu jako </w:t>
      </w:r>
      <w:r w:rsidR="005206EA" w:rsidRPr="003D1E07">
        <w:rPr>
          <w:lang w:eastAsia="en-US"/>
        </w:rPr>
        <w:t xml:space="preserve">asimilaci </w:t>
      </w:r>
      <w:r w:rsidR="00355022">
        <w:rPr>
          <w:lang w:eastAsia="en-US"/>
        </w:rPr>
        <w:t xml:space="preserve">všeho s intelektem moderních iluminátů. Ti se spojují </w:t>
      </w:r>
      <w:r w:rsidR="00355022" w:rsidRPr="00355022">
        <w:rPr>
          <w:lang w:eastAsia="en-US"/>
        </w:rPr>
        <w:t>v aktu objektivní</w:t>
      </w:r>
      <w:r w:rsidR="00355022">
        <w:rPr>
          <w:lang w:eastAsia="en-US"/>
        </w:rPr>
        <w:t>ho</w:t>
      </w:r>
      <w:r w:rsidR="00355022" w:rsidRPr="00355022">
        <w:rPr>
          <w:lang w:eastAsia="en-US"/>
        </w:rPr>
        <w:t xml:space="preserve"> </w:t>
      </w:r>
      <w:r w:rsidR="00355022" w:rsidRPr="00355022">
        <w:rPr>
          <w:i/>
          <w:lang w:eastAsia="en-US"/>
        </w:rPr>
        <w:t>copulatio</w:t>
      </w:r>
      <w:r w:rsidR="00355022" w:rsidRPr="00355022">
        <w:rPr>
          <w:lang w:eastAsia="en-US"/>
        </w:rPr>
        <w:t xml:space="preserve"> s vlastní projekcí neexistujícího světa daného jako </w:t>
      </w:r>
      <w:r w:rsidR="00355022" w:rsidRPr="009946EA">
        <w:rPr>
          <w:i/>
          <w:lang w:eastAsia="en-US"/>
        </w:rPr>
        <w:t>tertium ens</w:t>
      </w:r>
      <w:r w:rsidR="009946EA">
        <w:rPr>
          <w:lang w:eastAsia="en-US"/>
        </w:rPr>
        <w:t xml:space="preserve">. </w:t>
      </w:r>
      <w:r w:rsidRPr="003D1E07">
        <w:rPr>
          <w:lang w:eastAsia="en-US"/>
        </w:rPr>
        <w:t>Psychologický narcismus a</w:t>
      </w:r>
      <w:r w:rsidR="08094651" w:rsidRPr="003D1E07">
        <w:rPr>
          <w:lang w:eastAsia="en-US"/>
        </w:rPr>
        <w:t xml:space="preserve"> metafyzický antropomorfismus</w:t>
      </w:r>
      <w:r w:rsidRPr="003D1E07">
        <w:rPr>
          <w:lang w:eastAsia="en-US"/>
        </w:rPr>
        <w:t xml:space="preserve"> stojí v základu moderny. Intelektuální </w:t>
      </w:r>
      <w:r w:rsidR="002E22E3" w:rsidRPr="003D1E07">
        <w:rPr>
          <w:lang w:eastAsia="en-US"/>
        </w:rPr>
        <w:t xml:space="preserve">jistota </w:t>
      </w:r>
      <w:r w:rsidRPr="003D1E07">
        <w:rPr>
          <w:lang w:eastAsia="en-US"/>
        </w:rPr>
        <w:t xml:space="preserve">daná iluminací projektuje vlastní představy a mytopoetickou produkci </w:t>
      </w:r>
      <w:r w:rsidRPr="003D1E07">
        <w:rPr>
          <w:i/>
          <w:lang w:eastAsia="en-US"/>
        </w:rPr>
        <w:t>tertium ens</w:t>
      </w:r>
      <w:r w:rsidRPr="003D1E07">
        <w:rPr>
          <w:lang w:eastAsia="en-US"/>
        </w:rPr>
        <w:t xml:space="preserve"> do metafyzického uspořádání světa. Averroes tvrdil, že v takové formě dialektiky neexistuje pravdivý vztah ke světu vyjádřený v CMDA různým způsobem (</w:t>
      </w:r>
      <w:r w:rsidRPr="003D1E07">
        <w:rPr>
          <w:i/>
          <w:lang w:eastAsia="en-US"/>
        </w:rPr>
        <w:t>similitudo</w:t>
      </w:r>
      <w:r w:rsidRPr="003D1E07">
        <w:rPr>
          <w:lang w:eastAsia="en-US"/>
        </w:rPr>
        <w:t xml:space="preserve">, </w:t>
      </w:r>
      <w:r w:rsidRPr="003D1E07">
        <w:rPr>
          <w:i/>
          <w:lang w:eastAsia="en-US"/>
        </w:rPr>
        <w:t>proportio</w:t>
      </w:r>
      <w:r w:rsidRPr="003D1E07">
        <w:rPr>
          <w:lang w:eastAsia="en-US"/>
        </w:rPr>
        <w:t xml:space="preserve">, </w:t>
      </w:r>
      <w:r w:rsidRPr="003D1E07">
        <w:rPr>
          <w:i/>
          <w:lang w:eastAsia="en-US"/>
        </w:rPr>
        <w:t>adaequatio</w:t>
      </w:r>
      <w:r w:rsidRPr="003D1E07">
        <w:rPr>
          <w:lang w:eastAsia="en-US"/>
        </w:rPr>
        <w:t xml:space="preserve">, </w:t>
      </w:r>
      <w:r w:rsidRPr="003D1E07">
        <w:rPr>
          <w:i/>
          <w:lang w:eastAsia="en-US"/>
        </w:rPr>
        <w:t>dispositio</w:t>
      </w:r>
      <w:r w:rsidRPr="003D1E07">
        <w:rPr>
          <w:lang w:eastAsia="en-US"/>
        </w:rPr>
        <w:t xml:space="preserve">). Komentátor zásadně odmítl neoplatonský koncept hypostázovaného darovaného intelektu. </w:t>
      </w:r>
      <w:r w:rsidRPr="003D1E07">
        <w:rPr>
          <w:rStyle w:val="Zkladntext158dkovn0pt"/>
          <w:color w:val="auto"/>
          <w:spacing w:val="0"/>
          <w:sz w:val="24"/>
          <w:lang w:val="cs-CZ"/>
        </w:rPr>
        <w:t xml:space="preserve">Klíčem k novému pojetí intelektu je zcela odlišný statut </w:t>
      </w:r>
      <w:r w:rsidR="00A008FF">
        <w:rPr>
          <w:rStyle w:val="Zkladntext158dkovn0pt"/>
          <w:color w:val="auto"/>
          <w:spacing w:val="0"/>
          <w:sz w:val="24"/>
          <w:lang w:val="cs-CZ"/>
        </w:rPr>
        <w:t xml:space="preserve">intencionálních </w:t>
      </w:r>
      <w:r w:rsidR="00F214C5" w:rsidRPr="003D1E07">
        <w:rPr>
          <w:rStyle w:val="Zkladntext158dkovn0pt"/>
          <w:color w:val="auto"/>
          <w:spacing w:val="0"/>
          <w:sz w:val="24"/>
          <w:lang w:val="cs-CZ"/>
        </w:rPr>
        <w:t>species</w:t>
      </w:r>
      <w:r w:rsidRPr="003D1E07">
        <w:rPr>
          <w:rStyle w:val="Zkladntext158dkovn0pt"/>
          <w:color w:val="auto"/>
          <w:spacing w:val="0"/>
          <w:sz w:val="24"/>
          <w:lang w:val="cs-CZ"/>
        </w:rPr>
        <w:t xml:space="preserve">, který oddělil Avicennu a Averroese. </w:t>
      </w:r>
      <w:r w:rsidRPr="003D1E07">
        <w:t xml:space="preserve">V moderně je </w:t>
      </w:r>
      <w:r w:rsidR="00F214C5" w:rsidRPr="003D1E07">
        <w:t>species</w:t>
      </w:r>
      <w:r w:rsidRPr="003D1E07">
        <w:t xml:space="preserve"> ve skutečnosti kosmická forma ve formě </w:t>
      </w:r>
      <w:r w:rsidRPr="003D1E07">
        <w:rPr>
          <w:i/>
        </w:rPr>
        <w:t>tertium ens</w:t>
      </w:r>
      <w:r w:rsidRPr="003D1E07">
        <w:t>, kterou zrcadlí darovaný intelekt iluminátů.</w:t>
      </w:r>
    </w:p>
    <w:p w14:paraId="05012806" w14:textId="62D93615" w:rsidR="00D21BC0" w:rsidRPr="009946EA" w:rsidRDefault="088E4522" w:rsidP="009946EA">
      <w:pPr>
        <w:ind w:firstLine="397"/>
        <w:rPr>
          <w:rStyle w:val="Zkladntext158dkovn0pt"/>
          <w:color w:val="auto"/>
          <w:spacing w:val="0"/>
          <w:sz w:val="24"/>
          <w:szCs w:val="20"/>
          <w:shd w:val="clear" w:color="auto" w:fill="auto"/>
          <w:lang w:val="cs-CZ" w:eastAsia="en-US"/>
        </w:rPr>
      </w:pPr>
      <w:r w:rsidRPr="003D1E07">
        <w:rPr>
          <w:rStyle w:val="Zkladntext158dkovn0pt"/>
          <w:color w:val="auto"/>
          <w:spacing w:val="0"/>
          <w:sz w:val="24"/>
          <w:lang w:val="cs-CZ"/>
        </w:rPr>
        <w:t>Komentátor p</w:t>
      </w:r>
      <w:r w:rsidR="08015371" w:rsidRPr="003D1E07">
        <w:rPr>
          <w:rStyle w:val="Zkladntext158dkovn0pt"/>
          <w:color w:val="auto"/>
          <w:spacing w:val="0"/>
          <w:sz w:val="24"/>
          <w:lang w:val="cs-CZ"/>
        </w:rPr>
        <w:t>ochopil v linii Aristotela a Al-</w:t>
      </w:r>
      <w:r w:rsidRPr="003D1E07">
        <w:rPr>
          <w:rStyle w:val="Zkladntext158dkovn0pt"/>
          <w:color w:val="auto"/>
          <w:spacing w:val="0"/>
          <w:sz w:val="24"/>
          <w:lang w:val="cs-CZ"/>
        </w:rPr>
        <w:t xml:space="preserve">Fárábího, že intelekt je aktualizován v modu </w:t>
      </w:r>
      <w:r w:rsidRPr="003D1E07">
        <w:rPr>
          <w:rStyle w:val="Zkladntext158dkovn0pt"/>
          <w:i/>
          <w:color w:val="auto"/>
          <w:spacing w:val="0"/>
          <w:sz w:val="24"/>
          <w:lang w:val="cs-CZ"/>
        </w:rPr>
        <w:t>per prius</w:t>
      </w:r>
      <w:r w:rsidRPr="003D1E07">
        <w:rPr>
          <w:rStyle w:val="Zkladntext158dkovn0pt"/>
          <w:color w:val="auto"/>
          <w:spacing w:val="0"/>
          <w:sz w:val="24"/>
          <w:lang w:val="cs-CZ"/>
        </w:rPr>
        <w:t xml:space="preserve"> skrze aktuálně danou první substanci vnímanou smyslově a následně intendovanou a abstrahovanou do </w:t>
      </w:r>
      <w:r w:rsidR="00F214C5" w:rsidRPr="003D1E07">
        <w:rPr>
          <w:rStyle w:val="Zkladntext158dkovn0pt"/>
          <w:color w:val="auto"/>
          <w:spacing w:val="0"/>
          <w:sz w:val="24"/>
          <w:lang w:val="cs-CZ"/>
        </w:rPr>
        <w:t>species</w:t>
      </w:r>
      <w:r w:rsidRPr="003D1E07">
        <w:rPr>
          <w:rStyle w:val="Zkladntext158dkovn0pt"/>
          <w:color w:val="auto"/>
          <w:spacing w:val="0"/>
          <w:sz w:val="24"/>
          <w:lang w:val="cs-CZ"/>
        </w:rPr>
        <w:t xml:space="preserve"> daných pouze v mysli. </w:t>
      </w:r>
      <w:r w:rsidR="08F53BC5" w:rsidRPr="003D1E07">
        <w:rPr>
          <w:rStyle w:val="Zkladntext158dkovn0pt"/>
          <w:color w:val="auto"/>
          <w:spacing w:val="0"/>
          <w:sz w:val="24"/>
          <w:lang w:val="cs-CZ"/>
        </w:rPr>
        <w:t xml:space="preserve">Komentátor </w:t>
      </w:r>
      <w:r w:rsidRPr="003D1E07">
        <w:rPr>
          <w:lang w:eastAsia="en-US"/>
        </w:rPr>
        <w:t xml:space="preserve">navrhl nový způsob zjevování bytí jsoucna skrze diafanum, jehož význam pro smyslové poznání ukázal spis </w:t>
      </w:r>
      <w:r w:rsidRPr="003D1E07">
        <w:rPr>
          <w:i/>
          <w:lang w:eastAsia="en-US"/>
        </w:rPr>
        <w:t>De anima</w:t>
      </w:r>
      <w:r w:rsidR="002E74E7" w:rsidRPr="003D1E07">
        <w:rPr>
          <w:lang w:eastAsia="en-US"/>
        </w:rPr>
        <w:t>. Alfarábí potvrdil význam zprostředkování (</w:t>
      </w:r>
      <w:r w:rsidR="000501F9" w:rsidRPr="003D1E07">
        <w:rPr>
          <w:i/>
          <w:lang w:eastAsia="en-US"/>
        </w:rPr>
        <w:t>diapho</w:t>
      </w:r>
      <w:r w:rsidR="002E74E7" w:rsidRPr="003D1E07">
        <w:rPr>
          <w:i/>
          <w:lang w:eastAsia="en-US"/>
        </w:rPr>
        <w:t>num</w:t>
      </w:r>
      <w:r w:rsidR="002E74E7" w:rsidRPr="003D1E07">
        <w:rPr>
          <w:lang w:eastAsia="en-US"/>
        </w:rPr>
        <w:t>), který opomíjeli tehdejší neoplatonikové. Averroes objevil diaphanum jako novou formu materiálního intelektu (</w:t>
      </w:r>
      <w:r w:rsidR="002E74E7" w:rsidRPr="003D1E07">
        <w:rPr>
          <w:i/>
          <w:lang w:eastAsia="en-US"/>
        </w:rPr>
        <w:t>intellectus possibilis</w:t>
      </w:r>
      <w:r w:rsidR="002E74E7" w:rsidRPr="003D1E07">
        <w:rPr>
          <w:lang w:eastAsia="en-US"/>
        </w:rPr>
        <w:t xml:space="preserve">). </w:t>
      </w:r>
      <w:r w:rsidRPr="003D1E07">
        <w:rPr>
          <w:lang w:eastAsia="en-US"/>
        </w:rPr>
        <w:t xml:space="preserve">Roli </w:t>
      </w:r>
      <w:r w:rsidRPr="003D1E07">
        <w:rPr>
          <w:i/>
          <w:lang w:eastAsia="en-US"/>
        </w:rPr>
        <w:t xml:space="preserve">intellectus adeptus </w:t>
      </w:r>
      <w:r w:rsidRPr="003D1E07">
        <w:rPr>
          <w:lang w:eastAsia="en-US"/>
        </w:rPr>
        <w:t xml:space="preserve">převezme Averroesův spekulativní intelekt, ale v odlišném schématu poznání, než má Avicenna. </w:t>
      </w:r>
      <w:r w:rsidRPr="003D1E07">
        <w:rPr>
          <w:rStyle w:val="Zkladntext158dkovn0pt"/>
          <w:color w:val="auto"/>
          <w:spacing w:val="0"/>
          <w:sz w:val="24"/>
          <w:lang w:val="cs-CZ"/>
        </w:rPr>
        <w:t xml:space="preserve">Neoplatonské schéma Avicenny </w:t>
      </w:r>
      <w:r w:rsidRPr="003D1E07">
        <w:rPr>
          <w:rStyle w:val="Zkladntext158dkovn0pt"/>
          <w:color w:val="auto"/>
          <w:spacing w:val="0"/>
          <w:sz w:val="24"/>
          <w:lang w:val="cs-CZ"/>
        </w:rPr>
        <w:fldChar w:fldCharType="begin"/>
      </w:r>
      <w:r w:rsidRPr="003D1E07">
        <w:instrText xml:space="preserve"> XE "zjevování:Avicenna" </w:instrText>
      </w:r>
      <w:r w:rsidRPr="003D1E07">
        <w:rPr>
          <w:rStyle w:val="Zkladntext158dkovn0pt"/>
          <w:color w:val="auto"/>
          <w:spacing w:val="0"/>
          <w:sz w:val="24"/>
          <w:lang w:val="cs-CZ"/>
        </w:rPr>
        <w:fldChar w:fldCharType="end"/>
      </w:r>
      <w:r w:rsidRPr="003D1E07">
        <w:rPr>
          <w:rStyle w:val="FontStyle129"/>
          <w:rFonts w:ascii="Calibri" w:hAnsi="Calibri"/>
          <w:sz w:val="24"/>
        </w:rPr>
        <w:t xml:space="preserve">zdůraznilo z původní předlohy spisu </w:t>
      </w:r>
      <w:r w:rsidRPr="003D1E07">
        <w:rPr>
          <w:rStyle w:val="FontStyle129"/>
          <w:rFonts w:ascii="Calibri" w:hAnsi="Calibri"/>
          <w:i/>
          <w:sz w:val="24"/>
        </w:rPr>
        <w:t>De anima</w:t>
      </w:r>
      <w:r w:rsidRPr="003D1E07">
        <w:rPr>
          <w:rStyle w:val="FontStyle129"/>
          <w:rFonts w:ascii="Calibri" w:hAnsi="Calibri"/>
          <w:sz w:val="24"/>
        </w:rPr>
        <w:t xml:space="preserve"> pouze linii nasvícení danou efektivní kauzalitou: </w:t>
      </w:r>
      <w:r w:rsidRPr="003D1E07">
        <w:t>slunce (</w:t>
      </w:r>
      <w:r w:rsidRPr="003D1E07">
        <w:rPr>
          <w:i/>
        </w:rPr>
        <w:t>causa prima</w:t>
      </w:r>
      <w:r w:rsidRPr="003D1E07">
        <w:rPr>
          <w:i/>
        </w:rPr>
        <w:fldChar w:fldCharType="begin"/>
      </w:r>
      <w:r w:rsidRPr="003D1E07">
        <w:instrText xml:space="preserve"> XE "</w:instrText>
      </w:r>
      <w:r w:rsidRPr="003D1E07">
        <w:rPr>
          <w:i/>
          <w:color w:val="000000"/>
        </w:rPr>
        <w:instrText>causa prima</w:instrText>
      </w:r>
      <w:r w:rsidRPr="003D1E07">
        <w:instrText xml:space="preserve">" </w:instrText>
      </w:r>
      <w:r w:rsidRPr="003D1E07">
        <w:rPr>
          <w:i/>
        </w:rPr>
        <w:fldChar w:fldCharType="end"/>
      </w:r>
      <w:r w:rsidRPr="003D1E07">
        <w:t>) – paprsek (</w:t>
      </w:r>
      <w:r w:rsidRPr="003D1E07">
        <w:rPr>
          <w:i/>
        </w:rPr>
        <w:t>intellectus agens</w:t>
      </w:r>
      <w:r w:rsidRPr="003D1E07">
        <w:t>) – barva (</w:t>
      </w:r>
      <w:r w:rsidRPr="003D1E07">
        <w:rPr>
          <w:i/>
        </w:rPr>
        <w:t>intellectum</w:t>
      </w:r>
      <w:r w:rsidRPr="003D1E07">
        <w:t>) – oko (</w:t>
      </w:r>
      <w:r w:rsidRPr="003D1E07">
        <w:rPr>
          <w:i/>
        </w:rPr>
        <w:t>intellectus adeptus</w:t>
      </w:r>
      <w:r w:rsidRPr="003D1E07">
        <w:t xml:space="preserve">). </w:t>
      </w:r>
      <w:r w:rsidRPr="003D1E07">
        <w:rPr>
          <w:rStyle w:val="Zkladntext158dkovn0pt"/>
          <w:color w:val="auto"/>
          <w:spacing w:val="0"/>
          <w:sz w:val="24"/>
          <w:lang w:val="cs-CZ"/>
        </w:rPr>
        <w:t xml:space="preserve">Komentátor pochopil důkladnou četbou </w:t>
      </w:r>
      <w:r w:rsidRPr="003D1E07">
        <w:rPr>
          <w:rStyle w:val="Zkladntext158dkovn0pt"/>
          <w:i/>
          <w:color w:val="auto"/>
          <w:spacing w:val="0"/>
          <w:sz w:val="24"/>
          <w:lang w:val="cs-CZ"/>
        </w:rPr>
        <w:t>De anima</w:t>
      </w:r>
      <w:r w:rsidRPr="003D1E07">
        <w:rPr>
          <w:rStyle w:val="Zkladntext158dkovn0pt"/>
          <w:color w:val="auto"/>
          <w:spacing w:val="0"/>
          <w:sz w:val="24"/>
          <w:lang w:val="cs-CZ"/>
        </w:rPr>
        <w:t xml:space="preserve">, že nemateriální intelekt v nás musí být nasvícen zepředu, od smyslově vnímaných věcí skrze akt individuální intencionality smyslů a intelektu. Způsob tohoto nasvícení skrze je kauzálně-formální, protože tak pracuje diafanum vzhledem ke světlu a k věcem. </w:t>
      </w:r>
      <w:r w:rsidRPr="003D1E07">
        <w:t xml:space="preserve">Smyslové poznání není dáno v nemateriální duši (zvířecí, lidské) </w:t>
      </w:r>
      <w:r w:rsidR="000D387F">
        <w:t>m</w:t>
      </w:r>
      <w:r w:rsidRPr="003D1E07">
        <w:t>ateriálně</w:t>
      </w:r>
      <w:r w:rsidR="000D387F">
        <w:t xml:space="preserve">. To je případ </w:t>
      </w:r>
      <w:r w:rsidR="00D24A12">
        <w:t xml:space="preserve">fyzikálně </w:t>
      </w:r>
      <w:r w:rsidRPr="003D1E07">
        <w:t>nasvícené</w:t>
      </w:r>
      <w:r w:rsidR="000D387F">
        <w:t xml:space="preserve">ho tělesa a </w:t>
      </w:r>
      <w:r w:rsidR="004808DD">
        <w:t xml:space="preserve">také </w:t>
      </w:r>
      <w:r w:rsidR="000D387F">
        <w:t>smyslového</w:t>
      </w:r>
      <w:r w:rsidRPr="003D1E07">
        <w:t xml:space="preserve"> vněm</w:t>
      </w:r>
      <w:r w:rsidR="000D387F">
        <w:t>u, kte</w:t>
      </w:r>
      <w:r w:rsidR="004808DD">
        <w:t>rý</w:t>
      </w:r>
      <w:r w:rsidR="000D387F">
        <w:t xml:space="preserve"> </w:t>
      </w:r>
      <w:r w:rsidR="004808DD">
        <w:t xml:space="preserve">je </w:t>
      </w:r>
      <w:r w:rsidR="000D387F">
        <w:t>dán</w:t>
      </w:r>
      <w:r w:rsidRPr="003D1E07">
        <w:t xml:space="preserve"> </w:t>
      </w:r>
      <w:r w:rsidR="002C63F2">
        <w:t xml:space="preserve">tělesně </w:t>
      </w:r>
      <w:r w:rsidRPr="003D1E07">
        <w:t xml:space="preserve">v receptivním smyslovém orgánu. Diafanum přenese kauzalitu smyslově vnímaného světa do zvířecí nebo lidské duše, protože vzhledem k duši vystupuje v roli </w:t>
      </w:r>
      <w:r w:rsidRPr="003D1E07">
        <w:lastRenderedPageBreak/>
        <w:t>nemateriálního zprostředkovatele formální kauzality (</w:t>
      </w:r>
      <w:r w:rsidRPr="003D1E07">
        <w:rPr>
          <w:i/>
        </w:rPr>
        <w:t>esse spiritual</w:t>
      </w:r>
      <w:r w:rsidR="000D387F">
        <w:rPr>
          <w:i/>
        </w:rPr>
        <w:t>e</w:t>
      </w:r>
      <w:r w:rsidR="00FE7A05">
        <w:rPr>
          <w:i/>
        </w:rPr>
        <w:fldChar w:fldCharType="begin"/>
      </w:r>
      <w:r w:rsidR="00FE7A05">
        <w:instrText xml:space="preserve"> XE "</w:instrText>
      </w:r>
      <w:r w:rsidR="00FE7A05" w:rsidRPr="00AD6A19">
        <w:rPr>
          <w:i/>
        </w:rPr>
        <w:instrText>esse spirituale</w:instrText>
      </w:r>
      <w:r w:rsidR="00FE7A05">
        <w:instrText xml:space="preserve">" </w:instrText>
      </w:r>
      <w:r w:rsidR="00FE7A05">
        <w:rPr>
          <w:i/>
        </w:rPr>
        <w:fldChar w:fldCharType="end"/>
      </w:r>
      <w:r w:rsidRPr="003D1E07">
        <w:t xml:space="preserve">). </w:t>
      </w:r>
      <w:r w:rsidR="00A8224E" w:rsidRPr="003D1E07">
        <w:t xml:space="preserve">Proto smysly potřebují k poznání vnější reality zprostředkování </w:t>
      </w:r>
      <w:r w:rsidR="002013B7">
        <w:t>skrze intencionalit</w:t>
      </w:r>
      <w:r w:rsidR="00A8224E" w:rsidRPr="003D1E07">
        <w:t xml:space="preserve">u. Podobným způsobem se </w:t>
      </w:r>
      <w:r w:rsidR="00EB22AE" w:rsidRPr="003D1E07">
        <w:t>aktualizuje</w:t>
      </w:r>
      <w:r w:rsidR="00EB22AE">
        <w:t xml:space="preserve"> </w:t>
      </w:r>
      <w:r w:rsidR="00A8224E" w:rsidRPr="003D1E07">
        <w:t xml:space="preserve">receptivní </w:t>
      </w:r>
      <w:r w:rsidR="00A8224E" w:rsidRPr="003D1E07">
        <w:rPr>
          <w:i/>
        </w:rPr>
        <w:t>intellectus possibilis</w:t>
      </w:r>
      <w:r w:rsidR="00EB22AE">
        <w:t xml:space="preserve"> jako čistá schopnost duše</w:t>
      </w:r>
      <w:r w:rsidR="00A8224E" w:rsidRPr="003D1E07">
        <w:t xml:space="preserve">, aby přijímala </w:t>
      </w:r>
      <w:r w:rsidR="00A8224E" w:rsidRPr="003D1E07">
        <w:rPr>
          <w:i/>
        </w:rPr>
        <w:t>species intelligibilis</w:t>
      </w:r>
      <w:r w:rsidR="00A8224E" w:rsidRPr="003D1E07">
        <w:t xml:space="preserve">. </w:t>
      </w:r>
      <w:r w:rsidR="00907149" w:rsidRPr="003D1E07">
        <w:t xml:space="preserve">Pak teprve může </w:t>
      </w:r>
      <w:r w:rsidR="00A8224E" w:rsidRPr="003D1E07">
        <w:t xml:space="preserve">aktivní intelekt jako další schopnost duše může </w:t>
      </w:r>
      <w:r w:rsidR="00907149" w:rsidRPr="003D1E07">
        <w:t>vytvořit výsledný poznatek</w:t>
      </w:r>
      <w:r w:rsidR="00A8224E" w:rsidRPr="003D1E07">
        <w:t>.</w:t>
      </w:r>
      <w:r w:rsidR="00907149" w:rsidRPr="003D1E07">
        <w:t xml:space="preserve"> </w:t>
      </w:r>
      <w:r w:rsidRPr="003D1E07">
        <w:t>Ten nasvěcuje již přijatou nemateriální formu danou v možném intelektu skrze smyslové poznání věcí. Aktualizace potenciálních poznávacích forem daných skrze recepci externích materiálních věcí umožňuje vznik inteligibilních obsahů v nemateriální duši. Smyslová představivost (</w:t>
      </w:r>
      <w:r w:rsidRPr="003D1E07">
        <w:rPr>
          <w:i/>
        </w:rPr>
        <w:t>sensus</w:t>
      </w:r>
      <w:r w:rsidRPr="003D1E07">
        <w:t xml:space="preserve"> </w:t>
      </w:r>
      <w:r w:rsidRPr="003D1E07">
        <w:rPr>
          <w:i/>
        </w:rPr>
        <w:t>communis</w:t>
      </w:r>
      <w:r w:rsidRPr="003D1E07">
        <w:rPr>
          <w:i/>
        </w:rPr>
        <w:fldChar w:fldCharType="begin"/>
      </w:r>
      <w:r w:rsidRPr="003D1E07">
        <w:instrText xml:space="preserve"> XE "</w:instrText>
      </w:r>
      <w:r w:rsidRPr="003D1E07">
        <w:rPr>
          <w:i/>
        </w:rPr>
        <w:instrText>sensus communis</w:instrText>
      </w:r>
      <w:r w:rsidRPr="003D1E07">
        <w:instrText xml:space="preserve">" </w:instrText>
      </w:r>
      <w:r w:rsidRPr="003D1E07">
        <w:rPr>
          <w:i/>
        </w:rPr>
        <w:fldChar w:fldCharType="end"/>
      </w:r>
      <w:r w:rsidRPr="003D1E07">
        <w:t>) a receptivní intelekt (</w:t>
      </w:r>
      <w:r w:rsidRPr="003D1E07">
        <w:rPr>
          <w:i/>
        </w:rPr>
        <w:t>intellectus possibilis</w:t>
      </w:r>
      <w:r w:rsidRPr="003D1E07">
        <w:t xml:space="preserve">) jsou dány podle </w:t>
      </w:r>
      <w:r w:rsidRPr="003D1E07">
        <w:rPr>
          <w:i/>
        </w:rPr>
        <w:t>De anima</w:t>
      </w:r>
      <w:r w:rsidRPr="003D1E07">
        <w:t xml:space="preserve"> pouze v potenci a fungují v poznávacím subjektu jako diafanum skrze individuální výkon smyslové a inteligibilní intencionality. Poznávající duše díky potenciálnímu intelektu tvoří univerzální médium recepce smyslových forem a následně umožňuje jejich aktualizaci skrze individuální </w:t>
      </w:r>
      <w:r w:rsidRPr="003D1E07">
        <w:rPr>
          <w:i/>
        </w:rPr>
        <w:t>intellectus agens</w:t>
      </w:r>
      <w:r w:rsidRPr="003D1E07">
        <w:t xml:space="preserve">. Stejně tak je </w:t>
      </w:r>
      <w:r w:rsidR="003F253C" w:rsidRPr="003D1E07">
        <w:rPr>
          <w:i/>
        </w:rPr>
        <w:t>perspicuum</w:t>
      </w:r>
      <w:r w:rsidR="003F253C" w:rsidRPr="003D1E07">
        <w:t xml:space="preserve"> </w:t>
      </w:r>
      <w:r w:rsidRPr="003D1E07">
        <w:t xml:space="preserve">dáno v původní možnosti recepce a mediace, která je na fyzikální úrovni aktualizována paprskem světla. Diafanum zachraňuje </w:t>
      </w:r>
      <w:r w:rsidR="08E22F7A" w:rsidRPr="003D1E07">
        <w:t xml:space="preserve">metafyzický </w:t>
      </w:r>
      <w:r w:rsidRPr="003D1E07">
        <w:t xml:space="preserve">dativ jako </w:t>
      </w:r>
      <w:r w:rsidR="007F6B7C" w:rsidRPr="003D1E07">
        <w:t xml:space="preserve">neviditelný </w:t>
      </w:r>
      <w:r w:rsidRPr="003D1E07">
        <w:t>fenomén</w:t>
      </w:r>
      <w:r w:rsidR="008612FA">
        <w:t xml:space="preserve"> tím, že </w:t>
      </w:r>
      <w:r w:rsidRPr="003D1E07">
        <w:t>přenáší reálnou věc danou už v minulostním modu do našeho poznání</w:t>
      </w:r>
      <w:r w:rsidR="0036360C">
        <w:t xml:space="preserve"> </w:t>
      </w:r>
      <w:r w:rsidR="0036360C" w:rsidRPr="003D1E07">
        <w:t xml:space="preserve">skrze akt </w:t>
      </w:r>
      <w:r w:rsidR="0036360C">
        <w:t xml:space="preserve">mediatizované </w:t>
      </w:r>
      <w:r w:rsidR="0036360C" w:rsidRPr="003D1E07">
        <w:t>donace</w:t>
      </w:r>
      <w:r w:rsidRPr="003D1E07">
        <w:t xml:space="preserve">. </w:t>
      </w:r>
      <w:r w:rsidR="00053F6C" w:rsidRPr="003D1E07">
        <w:t xml:space="preserve">Co </w:t>
      </w:r>
      <w:r w:rsidR="0093320C">
        <w:t>je v mysli</w:t>
      </w:r>
      <w:r w:rsidR="00053F6C" w:rsidRPr="003D1E07">
        <w:t>, to nemůže mít efektivní kauzalitu</w:t>
      </w:r>
      <w:r w:rsidR="0093320C">
        <w:t xml:space="preserve"> na úrovni prvních substancí</w:t>
      </w:r>
      <w:r w:rsidR="00053F6C" w:rsidRPr="003D1E07">
        <w:t xml:space="preserve">, jak si to mylně myslí moderna. </w:t>
      </w:r>
      <w:r w:rsidRPr="003D1E07">
        <w:t>Donace věci v</w:t>
      </w:r>
      <w:r w:rsidR="08E22F7A" w:rsidRPr="003D1E07">
        <w:t xml:space="preserve"> metafyzickém </w:t>
      </w:r>
      <w:r w:rsidRPr="003D1E07">
        <w:t>dativu</w:t>
      </w:r>
      <w:r w:rsidRPr="003D1E07">
        <w:fldChar w:fldCharType="begin"/>
      </w:r>
      <w:r w:rsidRPr="003D1E07">
        <w:instrText xml:space="preserve"> XE "</w:instrText>
      </w:r>
      <w:r w:rsidR="08E22F7A" w:rsidRPr="003D1E07">
        <w:rPr>
          <w:i/>
        </w:rPr>
        <w:instrText>dativus metaphysi</w:instrText>
      </w:r>
      <w:r w:rsidRPr="003D1E07">
        <w:rPr>
          <w:i/>
        </w:rPr>
        <w:instrText>cus</w:instrText>
      </w:r>
      <w:r w:rsidRPr="003D1E07">
        <w:instrText xml:space="preserve">" </w:instrText>
      </w:r>
      <w:r w:rsidRPr="003D1E07">
        <w:fldChar w:fldCharType="end"/>
      </w:r>
      <w:r w:rsidRPr="003D1E07">
        <w:t xml:space="preserve"> se mění na donaci poznané formy, smyslové nebo inteligibilní. Poznání jde díky diafanum až k věci v realitě, ale poznaná forma existuje jen v naší mysli jako intencionální předmět (</w:t>
      </w:r>
      <w:r w:rsidR="00F214C5" w:rsidRPr="00AD6F79">
        <w:rPr>
          <w:i/>
        </w:rPr>
        <w:t>species</w:t>
      </w:r>
      <w:r w:rsidRPr="003D1E07">
        <w:rPr>
          <w:i/>
        </w:rPr>
        <w:t xml:space="preserve"> sensibilis</w:t>
      </w:r>
      <w:r w:rsidRPr="003D1E07">
        <w:t xml:space="preserve">, </w:t>
      </w:r>
      <w:r w:rsidRPr="003D1E07">
        <w:rPr>
          <w:i/>
        </w:rPr>
        <w:t>intelligibilis</w:t>
      </w:r>
      <w:r w:rsidRPr="003D1E07">
        <w:t>)</w:t>
      </w:r>
      <w:r w:rsidRPr="003D1E07">
        <w:rPr>
          <w:rStyle w:val="Zkladntext158dkovn0pt"/>
          <w:color w:val="auto"/>
          <w:spacing w:val="0"/>
          <w:sz w:val="24"/>
          <w:lang w:val="cs-CZ"/>
        </w:rPr>
        <w:fldChar w:fldCharType="begin"/>
      </w:r>
      <w:r w:rsidRPr="003D1E07">
        <w:instrText xml:space="preserve"> XE "zjevování:Averroes" </w:instrText>
      </w:r>
      <w:r w:rsidRPr="003D1E07">
        <w:rPr>
          <w:rStyle w:val="Zkladntext158dkovn0pt"/>
          <w:color w:val="auto"/>
          <w:spacing w:val="0"/>
          <w:sz w:val="24"/>
          <w:lang w:val="cs-CZ"/>
        </w:rPr>
        <w:fldChar w:fldCharType="end"/>
      </w:r>
      <w:r w:rsidRPr="003D1E07">
        <w:t xml:space="preserve">. Intencionálně je nám zprostředkována smyslově či intelektuálně abstrahovaná forma, která  </w:t>
      </w:r>
      <w:r w:rsidR="00C10F99">
        <w:t xml:space="preserve">je </w:t>
      </w:r>
      <w:r w:rsidR="00C10F99" w:rsidRPr="003D1E07">
        <w:t>pouze formálně</w:t>
      </w:r>
      <w:r w:rsidR="00C10F99">
        <w:t xml:space="preserve"> </w:t>
      </w:r>
      <w:r w:rsidRPr="003D1E07">
        <w:t>determinovaná bytím</w:t>
      </w:r>
      <w:r w:rsidR="00C10F99">
        <w:t xml:space="preserve"> jedinečné existující substance</w:t>
      </w:r>
      <w:r w:rsidRPr="003D1E07">
        <w:t>. Adekvace vzhledem k věci je dána skrze intencionální akt smyslového vnímání, jejíž formální kauzalitu zprostředkovalo potenciální diafanum dané v poznávající osobě (</w:t>
      </w:r>
      <w:r w:rsidRPr="003D1E07">
        <w:rPr>
          <w:i/>
        </w:rPr>
        <w:t>intellectus possibilis</w:t>
      </w:r>
      <w:r w:rsidRPr="003D1E07">
        <w:t xml:space="preserve">). Na další rovině poznání jsou abstrahované formy dané v receptivním intelektu syntetizovány činným intelektem v procesu </w:t>
      </w:r>
      <w:r w:rsidR="009C6DDA">
        <w:t xml:space="preserve">aktivního </w:t>
      </w:r>
      <w:r w:rsidRPr="003D1E07">
        <w:rPr>
          <w:i/>
        </w:rPr>
        <w:t>intellectio</w:t>
      </w:r>
      <w:r w:rsidRPr="003D1E07">
        <w:t xml:space="preserve">. Výsledkem </w:t>
      </w:r>
      <w:r w:rsidR="005E735F" w:rsidRPr="003D1E07">
        <w:t xml:space="preserve">aktivní </w:t>
      </w:r>
      <w:r w:rsidRPr="003D1E07">
        <w:t>syntézy je univerzální poznatek (</w:t>
      </w:r>
      <w:r w:rsidRPr="003D1E07">
        <w:rPr>
          <w:i/>
        </w:rPr>
        <w:t>intellectum</w:t>
      </w:r>
      <w:r w:rsidR="003A18E3">
        <w:rPr>
          <w:i/>
        </w:rPr>
        <w:fldChar w:fldCharType="begin"/>
      </w:r>
      <w:r w:rsidR="003A18E3">
        <w:instrText xml:space="preserve"> XE "</w:instrText>
      </w:r>
      <w:r w:rsidR="003A18E3" w:rsidRPr="00AF0BD5">
        <w:rPr>
          <w:i/>
        </w:rPr>
        <w:instrText>intellectio/intellectum</w:instrText>
      </w:r>
      <w:r w:rsidR="003A18E3">
        <w:instrText xml:space="preserve">" </w:instrText>
      </w:r>
      <w:r w:rsidR="003A18E3">
        <w:rPr>
          <w:i/>
        </w:rPr>
        <w:fldChar w:fldCharType="end"/>
      </w:r>
      <w:r w:rsidRPr="003D1E07">
        <w:t>)</w:t>
      </w:r>
      <w:r w:rsidR="009F7926" w:rsidRPr="003D1E07">
        <w:t xml:space="preserve"> </w:t>
      </w:r>
      <w:r w:rsidR="005E735F" w:rsidRPr="003D1E07">
        <w:t xml:space="preserve">ve spekulativním intelektu. </w:t>
      </w:r>
      <w:r w:rsidRPr="003D1E07">
        <w:t>Vlastnosti reálné první substance jsou zprostředované v CMDA skrze dvojí diafanum dané skrze fyzikální prostor (</w:t>
      </w:r>
      <w:r w:rsidRPr="003D1E07">
        <w:rPr>
          <w:i/>
        </w:rPr>
        <w:t>perspicuum</w:t>
      </w:r>
      <w:r w:rsidRPr="003D1E07">
        <w:rPr>
          <w:i/>
        </w:rPr>
        <w:fldChar w:fldCharType="begin"/>
      </w:r>
      <w:r w:rsidRPr="003D1E07">
        <w:instrText xml:space="preserve"> XE "</w:instrText>
      </w:r>
      <w:r w:rsidRPr="003D1E07">
        <w:rPr>
          <w:rStyle w:val="Zkladntext158dkovn0pt"/>
          <w:i/>
          <w:color w:val="auto"/>
          <w:spacing w:val="0"/>
          <w:sz w:val="24"/>
          <w:lang w:val="cs-CZ"/>
        </w:rPr>
        <w:instrText>perspicuum</w:instrText>
      </w:r>
      <w:r w:rsidRPr="003D1E07">
        <w:instrText xml:space="preserve">" </w:instrText>
      </w:r>
      <w:r w:rsidRPr="003D1E07">
        <w:rPr>
          <w:i/>
        </w:rPr>
        <w:fldChar w:fldCharType="end"/>
      </w:r>
      <w:r w:rsidRPr="003D1E07">
        <w:t>) a skrze dvojí subjektivní intencionalitu (</w:t>
      </w:r>
      <w:r w:rsidRPr="003D1E07">
        <w:rPr>
          <w:i/>
        </w:rPr>
        <w:t>diaffonum</w:t>
      </w:r>
      <w:r w:rsidRPr="003D1E07">
        <w:rPr>
          <w:i/>
        </w:rPr>
        <w:fldChar w:fldCharType="begin"/>
      </w:r>
      <w:r w:rsidRPr="003D1E07">
        <w:instrText xml:space="preserve"> XE "diafanum:Averroes" </w:instrText>
      </w:r>
      <w:r w:rsidRPr="003D1E07">
        <w:rPr>
          <w:i/>
        </w:rPr>
        <w:fldChar w:fldCharType="end"/>
      </w:r>
      <w:r w:rsidRPr="003D1E07">
        <w:t>). Pak vidíme barevnou květinu, cítíme její vůni a můžeme tyto poznatky univerzálně predikovat</w:t>
      </w:r>
      <w:r w:rsidR="08EC13BC" w:rsidRPr="003D1E07">
        <w:t xml:space="preserve"> v pojmu</w:t>
      </w:r>
      <w:r w:rsidRPr="003D1E07">
        <w:t xml:space="preserve">. </w:t>
      </w:r>
      <w:r w:rsidR="08A829F5" w:rsidRPr="003D1E07">
        <w:rPr>
          <w:rStyle w:val="Zkladntext158dkovn0pt"/>
          <w:color w:val="auto"/>
          <w:spacing w:val="0"/>
          <w:sz w:val="24"/>
          <w:lang w:val="cs-CZ"/>
        </w:rPr>
        <w:t xml:space="preserve">Fundamentální </w:t>
      </w:r>
      <w:r w:rsidR="08A829F5" w:rsidRPr="003D1E07">
        <w:rPr>
          <w:rStyle w:val="Zkladntext158dkovn0pt"/>
          <w:i/>
          <w:color w:val="auto"/>
          <w:spacing w:val="0"/>
          <w:sz w:val="24"/>
          <w:lang w:val="cs-CZ"/>
        </w:rPr>
        <w:t>proportio</w:t>
      </w:r>
      <w:r w:rsidR="08A829F5" w:rsidRPr="003D1E07">
        <w:rPr>
          <w:rStyle w:val="Zkladntext158dkovn0pt"/>
          <w:color w:val="auto"/>
          <w:spacing w:val="0"/>
          <w:sz w:val="24"/>
          <w:lang w:val="cs-CZ"/>
        </w:rPr>
        <w:t xml:space="preserve"> mezi realitou a intelektem se uskutečňuje v modu dvojí mediace diafanum skrze smysly a rozum. Svět k nám kauzálně přichází skrze smysly a my jej přijímáme skrze dvojí mediaci </w:t>
      </w:r>
      <w:r w:rsidR="08A829F5" w:rsidRPr="003D1E07">
        <w:rPr>
          <w:rStyle w:val="Zkladntext158dkovn0pt"/>
          <w:color w:val="auto"/>
          <w:spacing w:val="0"/>
          <w:sz w:val="24"/>
          <w:lang w:val="cs-CZ"/>
        </w:rPr>
        <w:lastRenderedPageBreak/>
        <w:t xml:space="preserve">danou dvojím pohybem diafanum. Diafanum pro alexandrovce a karteziánce neexistuje, protože není subsistentní jsoucno ve smyslu </w:t>
      </w:r>
      <w:r w:rsidR="08A829F5" w:rsidRPr="003D1E07">
        <w:rPr>
          <w:rStyle w:val="Zkladntext158dkovn0pt"/>
          <w:i/>
          <w:color w:val="auto"/>
          <w:spacing w:val="0"/>
          <w:sz w:val="24"/>
          <w:lang w:val="cs-CZ"/>
        </w:rPr>
        <w:t>hoc aliquid</w:t>
      </w:r>
      <w:r w:rsidR="08A829F5" w:rsidRPr="003D1E07">
        <w:rPr>
          <w:rStyle w:val="Zkladntext158dkovn0pt"/>
          <w:color w:val="auto"/>
          <w:spacing w:val="0"/>
          <w:sz w:val="24"/>
          <w:lang w:val="cs-CZ"/>
        </w:rPr>
        <w:t xml:space="preserve">. Ale aristotelikové vědí, že díky jeho formálnímu a potenciálnímu charakteru je zajištěna možnost pravdivého poznání jak smyslů, tak intelektu. </w:t>
      </w:r>
      <w:r w:rsidR="08A829F5" w:rsidRPr="003D1E07">
        <w:rPr>
          <w:lang w:eastAsia="en-US"/>
        </w:rPr>
        <w:t xml:space="preserve">Formální kauzalita daná skrze diafanum od smyslů k receptivnímu intelektu je něco jiného než </w:t>
      </w:r>
      <w:r w:rsidR="009F7926" w:rsidRPr="003D1E07">
        <w:rPr>
          <w:lang w:eastAsia="en-US"/>
        </w:rPr>
        <w:t xml:space="preserve">moderní </w:t>
      </w:r>
      <w:r w:rsidR="08A829F5" w:rsidRPr="003D1E07">
        <w:rPr>
          <w:i/>
          <w:lang w:eastAsia="en-US"/>
        </w:rPr>
        <w:t>analogia entis</w:t>
      </w:r>
      <w:r w:rsidR="08A829F5" w:rsidRPr="003D1E07">
        <w:rPr>
          <w:i/>
          <w:lang w:eastAsia="en-US"/>
        </w:rPr>
        <w:fldChar w:fldCharType="begin"/>
      </w:r>
      <w:r w:rsidR="08A829F5" w:rsidRPr="003D1E07">
        <w:instrText xml:space="preserve"> XE "</w:instrText>
      </w:r>
      <w:r w:rsidR="08A829F5" w:rsidRPr="003D1E07">
        <w:rPr>
          <w:rStyle w:val="addmd"/>
          <w:i/>
        </w:rPr>
        <w:instrText>analogia entis</w:instrText>
      </w:r>
      <w:r w:rsidR="08A829F5" w:rsidRPr="003D1E07">
        <w:instrText xml:space="preserve">" </w:instrText>
      </w:r>
      <w:r w:rsidR="08A829F5" w:rsidRPr="003D1E07">
        <w:rPr>
          <w:i/>
          <w:lang w:eastAsia="en-US"/>
        </w:rPr>
        <w:fldChar w:fldCharType="end"/>
      </w:r>
      <w:r w:rsidR="08A829F5" w:rsidRPr="003D1E07">
        <w:rPr>
          <w:i/>
          <w:lang w:eastAsia="en-US"/>
        </w:rPr>
        <w:t xml:space="preserve">, </w:t>
      </w:r>
      <w:r w:rsidR="08A829F5" w:rsidRPr="003D1E07">
        <w:rPr>
          <w:lang w:eastAsia="en-US"/>
        </w:rPr>
        <w:t>která pracuje s</w:t>
      </w:r>
      <w:r w:rsidR="009F7926" w:rsidRPr="003D1E07">
        <w:rPr>
          <w:lang w:eastAsia="en-US"/>
        </w:rPr>
        <w:t xml:space="preserve"> generickým </w:t>
      </w:r>
      <w:r w:rsidR="08A829F5" w:rsidRPr="003D1E07">
        <w:rPr>
          <w:lang w:eastAsia="en-US"/>
        </w:rPr>
        <w:t xml:space="preserve">konceptem jsoucna. </w:t>
      </w:r>
      <w:r w:rsidRPr="003D1E07">
        <w:rPr>
          <w:rStyle w:val="Zkladntext158dkovn0pt"/>
          <w:color w:val="auto"/>
          <w:spacing w:val="0"/>
          <w:sz w:val="24"/>
          <w:lang w:val="cs-CZ"/>
        </w:rPr>
        <w:t xml:space="preserve">Neoplatonská temnota rozumu daná v aktu mystické či objektivní iluminace zrušila </w:t>
      </w:r>
      <w:r w:rsidR="086F0928" w:rsidRPr="003D1E07">
        <w:rPr>
          <w:rStyle w:val="Zkladntext158dkovn0pt"/>
          <w:color w:val="auto"/>
          <w:spacing w:val="0"/>
          <w:sz w:val="24"/>
          <w:lang w:val="cs-CZ"/>
        </w:rPr>
        <w:t xml:space="preserve">aristotelské </w:t>
      </w:r>
      <w:r w:rsidRPr="003D1E07">
        <w:rPr>
          <w:rStyle w:val="Zkladntext158dkovn0pt"/>
          <w:i/>
          <w:color w:val="auto"/>
          <w:spacing w:val="0"/>
          <w:sz w:val="24"/>
          <w:lang w:val="cs-CZ"/>
        </w:rPr>
        <w:t>proportio</w:t>
      </w:r>
      <w:r w:rsidR="086F0928" w:rsidRPr="003D1E07">
        <w:rPr>
          <w:rStyle w:val="Zkladntext158dkovn0pt"/>
          <w:color w:val="auto"/>
          <w:spacing w:val="0"/>
          <w:sz w:val="24"/>
          <w:lang w:val="cs-CZ"/>
        </w:rPr>
        <w:t>.</w:t>
      </w:r>
      <w:r w:rsidR="080E4156" w:rsidRPr="003D1E07">
        <w:rPr>
          <w:rStyle w:val="Zkladntext158dkovn0pt"/>
          <w:color w:val="auto"/>
          <w:spacing w:val="0"/>
          <w:sz w:val="24"/>
          <w:lang w:val="cs-CZ"/>
        </w:rPr>
        <w:t xml:space="preserve"> Obranný mechanismus pod vlivem </w:t>
      </w:r>
      <w:r w:rsidR="00185EFE">
        <w:rPr>
          <w:rStyle w:val="Zkladntext158dkovn0pt"/>
          <w:color w:val="auto"/>
          <w:spacing w:val="0"/>
          <w:sz w:val="24"/>
          <w:lang w:val="cs-CZ"/>
        </w:rPr>
        <w:t xml:space="preserve">akademických </w:t>
      </w:r>
      <w:r w:rsidR="080E4156" w:rsidRPr="003D1E07">
        <w:rPr>
          <w:rStyle w:val="Zkladntext158dkovn0pt"/>
          <w:color w:val="auto"/>
          <w:spacing w:val="0"/>
          <w:sz w:val="24"/>
          <w:lang w:val="cs-CZ"/>
        </w:rPr>
        <w:t xml:space="preserve">Fúrií vytěsnil z myšlení moderny působení </w:t>
      </w:r>
      <w:r w:rsidR="08E22F7A" w:rsidRPr="003D1E07">
        <w:t xml:space="preserve">metafyzického </w:t>
      </w:r>
      <w:r w:rsidR="080E4156" w:rsidRPr="003D1E07">
        <w:rPr>
          <w:rStyle w:val="Zkladntext158dkovn0pt"/>
          <w:color w:val="auto"/>
          <w:spacing w:val="0"/>
          <w:sz w:val="24"/>
          <w:lang w:val="cs-CZ"/>
        </w:rPr>
        <w:t xml:space="preserve">dativu. Zapomenutí první substance a její reálné kauzality </w:t>
      </w:r>
      <w:r w:rsidRPr="003D1E07">
        <w:rPr>
          <w:rStyle w:val="Zkladntext158dkovn0pt"/>
          <w:color w:val="auto"/>
          <w:spacing w:val="0"/>
          <w:sz w:val="24"/>
          <w:lang w:val="cs-CZ"/>
        </w:rPr>
        <w:t xml:space="preserve">znemožnilo vidět jednotu první vědy založenou na </w:t>
      </w:r>
      <w:r w:rsidR="080E4156" w:rsidRPr="003D1E07">
        <w:rPr>
          <w:rStyle w:val="Zkladntext158dkovn0pt"/>
          <w:color w:val="auto"/>
          <w:spacing w:val="0"/>
          <w:sz w:val="24"/>
          <w:lang w:val="cs-CZ"/>
        </w:rPr>
        <w:t xml:space="preserve">pravdivém </w:t>
      </w:r>
      <w:r w:rsidRPr="003D1E07">
        <w:rPr>
          <w:rStyle w:val="Zkladntext158dkovn0pt"/>
          <w:color w:val="auto"/>
          <w:spacing w:val="0"/>
          <w:sz w:val="24"/>
          <w:lang w:val="cs-CZ"/>
        </w:rPr>
        <w:t xml:space="preserve">poznání </w:t>
      </w:r>
      <w:r w:rsidR="080E4156" w:rsidRPr="003D1E07">
        <w:rPr>
          <w:rStyle w:val="Zkladntext158dkovn0pt"/>
          <w:color w:val="auto"/>
          <w:spacing w:val="0"/>
          <w:sz w:val="24"/>
          <w:lang w:val="cs-CZ"/>
        </w:rPr>
        <w:t>reálného světa</w:t>
      </w:r>
      <w:r w:rsidRPr="003D1E07">
        <w:rPr>
          <w:rStyle w:val="Zkladntext158dkovn0pt"/>
          <w:color w:val="auto"/>
          <w:spacing w:val="0"/>
          <w:sz w:val="24"/>
          <w:lang w:val="cs-CZ"/>
        </w:rPr>
        <w:t xml:space="preserve">. Tuto novou formu aristotelské metafyziky po etablování skutečného aktu poznání v CMDA následně tematizují velké Averroesovy komentáře k Aristotelově </w:t>
      </w:r>
      <w:r w:rsidRPr="003D1E07">
        <w:rPr>
          <w:rStyle w:val="Zkladntext158dkovn0pt"/>
          <w:i/>
          <w:color w:val="auto"/>
          <w:spacing w:val="0"/>
          <w:sz w:val="24"/>
          <w:lang w:val="cs-CZ"/>
        </w:rPr>
        <w:t>Fyzice</w:t>
      </w:r>
      <w:r w:rsidRPr="003D1E07">
        <w:rPr>
          <w:rStyle w:val="Zkladntext158dkovn0pt"/>
          <w:color w:val="auto"/>
          <w:spacing w:val="0"/>
          <w:sz w:val="24"/>
          <w:lang w:val="cs-CZ"/>
        </w:rPr>
        <w:t xml:space="preserve">, </w:t>
      </w:r>
      <w:r w:rsidRPr="003D1E07">
        <w:rPr>
          <w:rStyle w:val="Zkladntext158dkovn0pt"/>
          <w:i/>
          <w:color w:val="auto"/>
          <w:spacing w:val="0"/>
          <w:sz w:val="24"/>
          <w:lang w:val="cs-CZ"/>
        </w:rPr>
        <w:t xml:space="preserve">Metafyzice </w:t>
      </w:r>
      <w:r w:rsidRPr="003D1E07">
        <w:rPr>
          <w:rStyle w:val="Zkladntext158dkovn0pt"/>
          <w:color w:val="auto"/>
          <w:spacing w:val="0"/>
          <w:sz w:val="24"/>
          <w:lang w:val="cs-CZ"/>
        </w:rPr>
        <w:t>a ke spisu</w:t>
      </w:r>
      <w:r w:rsidRPr="003D1E07">
        <w:rPr>
          <w:rStyle w:val="Zkladntext158dkovn0pt"/>
          <w:i/>
          <w:color w:val="auto"/>
          <w:spacing w:val="0"/>
          <w:sz w:val="24"/>
          <w:lang w:val="cs-CZ"/>
        </w:rPr>
        <w:t xml:space="preserve"> De caelo</w:t>
      </w:r>
      <w:r w:rsidRPr="003D1E07">
        <w:rPr>
          <w:rStyle w:val="Zkladntext158dkovn0pt"/>
          <w:color w:val="auto"/>
          <w:spacing w:val="0"/>
          <w:sz w:val="24"/>
          <w:lang w:val="cs-CZ"/>
        </w:rPr>
        <w:t xml:space="preserve">. Významný faktor zakládající vznik objektivity je vázaný na rozdílný výklad diafanum ve falsafě. </w:t>
      </w:r>
      <w:r w:rsidRPr="003D1E07">
        <w:rPr>
          <w:lang w:eastAsia="en-US"/>
        </w:rPr>
        <w:t xml:space="preserve">Objevení diafanum změnilo v modu dějinného </w:t>
      </w:r>
      <w:r w:rsidRPr="003D1E07">
        <w:rPr>
          <w:i/>
          <w:lang w:eastAsia="en-US"/>
        </w:rPr>
        <w:t>Ereignis</w:t>
      </w:r>
      <w:r w:rsidRPr="003D1E07">
        <w:rPr>
          <w:lang w:eastAsia="en-US"/>
        </w:rPr>
        <w:t xml:space="preserve"> základní scénu metafyzického zjevování bytí jsoucna (</w:t>
      </w:r>
      <w:r w:rsidRPr="003D1E07">
        <w:rPr>
          <w:i/>
          <w:lang w:eastAsia="en-US"/>
        </w:rPr>
        <w:t>Lichtung</w:t>
      </w:r>
      <w:r w:rsidRPr="003D1E07">
        <w:rPr>
          <w:i/>
          <w:lang w:eastAsia="en-US"/>
        </w:rPr>
        <w:fldChar w:fldCharType="begin"/>
      </w:r>
      <w:r w:rsidRPr="003D1E07">
        <w:instrText xml:space="preserve"> XE "</w:instrText>
      </w:r>
      <w:r w:rsidRPr="003D1E07">
        <w:rPr>
          <w:i/>
          <w:lang w:eastAsia="en-US"/>
        </w:rPr>
        <w:instrText>Lichtung</w:instrText>
      </w:r>
      <w:r w:rsidRPr="003D1E07">
        <w:rPr>
          <w:lang w:eastAsia="en-US"/>
        </w:rPr>
        <w:instrText>:diafanum</w:instrText>
      </w:r>
      <w:r w:rsidRPr="003D1E07">
        <w:instrText xml:space="preserve">" </w:instrText>
      </w:r>
      <w:r w:rsidRPr="003D1E07">
        <w:rPr>
          <w:i/>
          <w:lang w:eastAsia="en-US"/>
        </w:rPr>
        <w:fldChar w:fldCharType="end"/>
      </w:r>
      <w:r w:rsidRPr="003D1E07">
        <w:rPr>
          <w:lang w:eastAsia="en-US"/>
        </w:rPr>
        <w:t xml:space="preserve">). Avicennova škola následovaná </w:t>
      </w:r>
      <w:r w:rsidR="087F4150" w:rsidRPr="003D1E07">
        <w:rPr>
          <w:lang w:eastAsia="en-US"/>
        </w:rPr>
        <w:t xml:space="preserve">latinskou </w:t>
      </w:r>
      <w:r w:rsidRPr="003D1E07">
        <w:rPr>
          <w:lang w:eastAsia="en-US"/>
        </w:rPr>
        <w:t xml:space="preserve">Toledskou překladatelskou školou neviděla roli diafanum. Averroes z něj </w:t>
      </w:r>
      <w:r w:rsidR="00125C8E">
        <w:rPr>
          <w:lang w:eastAsia="en-US"/>
        </w:rPr>
        <w:t xml:space="preserve">ale </w:t>
      </w:r>
      <w:r w:rsidRPr="003D1E07">
        <w:rPr>
          <w:lang w:eastAsia="en-US"/>
        </w:rPr>
        <w:t xml:space="preserve">udělal centrální bod výkladu nového typu intencionality a receptivního intelektu. </w:t>
      </w:r>
      <w:r w:rsidRPr="003D1E07">
        <w:rPr>
          <w:rStyle w:val="Zkladntext158dkovn0pt"/>
          <w:color w:val="auto"/>
          <w:spacing w:val="0"/>
          <w:sz w:val="24"/>
          <w:lang w:val="cs-CZ"/>
        </w:rPr>
        <w:t>Diafanum pro neoplatoniky a pro objektivisty neexistuje</w:t>
      </w:r>
      <w:r w:rsidR="08F8778B" w:rsidRPr="003D1E07">
        <w:rPr>
          <w:rStyle w:val="Zkladntext158dkovn0pt"/>
          <w:color w:val="auto"/>
          <w:spacing w:val="0"/>
          <w:sz w:val="24"/>
          <w:lang w:val="cs-CZ"/>
        </w:rPr>
        <w:t xml:space="preserve"> ani dnes</w:t>
      </w:r>
      <w:r w:rsidRPr="003D1E07">
        <w:rPr>
          <w:rStyle w:val="Zkladntext158dkovn0pt"/>
          <w:color w:val="auto"/>
          <w:spacing w:val="0"/>
          <w:sz w:val="24"/>
          <w:lang w:val="cs-CZ"/>
        </w:rPr>
        <w:t>. Podle Averroese z tohoto zásadního důvodu nemají</w:t>
      </w:r>
      <w:r w:rsidR="0066380E">
        <w:rPr>
          <w:rStyle w:val="Zkladntext158dkovn0pt"/>
          <w:color w:val="auto"/>
          <w:spacing w:val="0"/>
          <w:sz w:val="24"/>
          <w:lang w:val="cs-CZ"/>
        </w:rPr>
        <w:t xml:space="preserve"> modernisté </w:t>
      </w:r>
      <w:r w:rsidRPr="003D1E07">
        <w:rPr>
          <w:rStyle w:val="Zkladntext158dkovn0pt"/>
          <w:color w:val="auto"/>
          <w:spacing w:val="0"/>
          <w:sz w:val="24"/>
          <w:lang w:val="cs-CZ"/>
        </w:rPr>
        <w:t xml:space="preserve">ani </w:t>
      </w:r>
      <w:r w:rsidRPr="003D1E07">
        <w:rPr>
          <w:rStyle w:val="Zkladntext158dkovn0pt"/>
          <w:i/>
          <w:color w:val="auto"/>
          <w:spacing w:val="0"/>
          <w:sz w:val="24"/>
          <w:lang w:val="cs-CZ"/>
        </w:rPr>
        <w:t>proportio</w:t>
      </w:r>
      <w:r w:rsidRPr="003D1E07">
        <w:rPr>
          <w:rStyle w:val="Zkladntext158dkovn0pt"/>
          <w:color w:val="auto"/>
          <w:spacing w:val="0"/>
          <w:sz w:val="24"/>
          <w:lang w:val="cs-CZ"/>
        </w:rPr>
        <w:t xml:space="preserve"> smyslů a intelektu, a tím ani pravdu jako výsledné </w:t>
      </w:r>
      <w:r w:rsidRPr="003D1E07">
        <w:rPr>
          <w:rStyle w:val="Zkladntext158dkovn0pt"/>
          <w:i/>
          <w:color w:val="auto"/>
          <w:spacing w:val="0"/>
          <w:sz w:val="24"/>
          <w:lang w:val="cs-CZ"/>
        </w:rPr>
        <w:t>adaequatio</w:t>
      </w:r>
      <w:r w:rsidR="006E7EE0" w:rsidRPr="003D1E07">
        <w:rPr>
          <w:rStyle w:val="Zkladntext158dkovn0pt"/>
          <w:color w:val="auto"/>
          <w:spacing w:val="0"/>
          <w:sz w:val="24"/>
          <w:lang w:val="cs-CZ"/>
        </w:rPr>
        <w:t xml:space="preserve"> mezi smysly a rozumem. </w:t>
      </w:r>
      <w:r w:rsidRPr="003D1E07">
        <w:rPr>
          <w:rStyle w:val="Zkladntext158dkovn0pt"/>
          <w:color w:val="auto"/>
          <w:spacing w:val="0"/>
          <w:sz w:val="24"/>
          <w:lang w:val="cs-CZ"/>
        </w:rPr>
        <w:t xml:space="preserve">Vytěsnění diafanum zahájilo v západní metafyzice Heideggerem popsaný proces </w:t>
      </w:r>
      <w:r w:rsidRPr="003D1E07">
        <w:rPr>
          <w:rStyle w:val="Zkladntext158dkovn0pt"/>
          <w:i/>
          <w:color w:val="auto"/>
          <w:spacing w:val="0"/>
          <w:sz w:val="24"/>
          <w:lang w:val="cs-CZ"/>
        </w:rPr>
        <w:t>Seinsvergessenheit</w:t>
      </w:r>
      <w:r w:rsidRPr="003D1E07">
        <w:rPr>
          <w:rStyle w:val="Zkladntext158dkovn0pt"/>
          <w:i/>
          <w:color w:val="auto"/>
          <w:spacing w:val="0"/>
          <w:sz w:val="24"/>
          <w:lang w:val="cs-CZ"/>
        </w:rPr>
        <w:fldChar w:fldCharType="begin"/>
      </w:r>
      <w:r w:rsidRPr="003D1E07">
        <w:instrText xml:space="preserve"> XE "</w:instrText>
      </w:r>
      <w:r w:rsidRPr="003D1E07">
        <w:rPr>
          <w:i/>
        </w:rPr>
        <w:instrText>Seinsvergessenheit</w:instrText>
      </w:r>
      <w:r w:rsidRPr="003D1E07">
        <w:instrText xml:space="preserve">" </w:instrText>
      </w:r>
      <w:r w:rsidRPr="003D1E07">
        <w:rPr>
          <w:rStyle w:val="Zkladntext158dkovn0pt"/>
          <w:i/>
          <w:color w:val="auto"/>
          <w:spacing w:val="0"/>
          <w:sz w:val="24"/>
          <w:lang w:val="cs-CZ"/>
        </w:rPr>
        <w:fldChar w:fldCharType="end"/>
      </w:r>
      <w:r w:rsidRPr="003D1E07">
        <w:rPr>
          <w:rStyle w:val="Zkladntext158dkovn0pt"/>
          <w:color w:val="auto"/>
          <w:spacing w:val="0"/>
          <w:sz w:val="24"/>
          <w:lang w:val="cs-CZ"/>
        </w:rPr>
        <w:t>, který vedl k ustavení objektivity jako fundamentální slepoty k pravdě bytí první substance.</w:t>
      </w:r>
      <w:r w:rsidRPr="003D1E07">
        <w:rPr>
          <w:rStyle w:val="Zkladntext158dkovn0pt"/>
          <w:color w:val="auto"/>
          <w:spacing w:val="0"/>
          <w:sz w:val="24"/>
          <w:szCs w:val="20"/>
          <w:shd w:val="clear" w:color="auto" w:fill="auto"/>
          <w:lang w:val="cs-CZ"/>
        </w:rPr>
        <w:t xml:space="preserve"> </w:t>
      </w:r>
      <w:r w:rsidR="006E7EE0" w:rsidRPr="003D1E07">
        <w:rPr>
          <w:rStyle w:val="Zkladntext158dkovn0pt"/>
          <w:color w:val="auto"/>
          <w:spacing w:val="0"/>
          <w:sz w:val="24"/>
          <w:lang w:val="cs-CZ"/>
        </w:rPr>
        <w:t xml:space="preserve">Každý duševní akt je daný existenciálně skrze impozici od osoby jako reálné substance. </w:t>
      </w:r>
      <w:r w:rsidRPr="003D1E07">
        <w:rPr>
          <w:rStyle w:val="Zkladntext158dkovn0pt"/>
          <w:color w:val="auto"/>
          <w:spacing w:val="0"/>
          <w:sz w:val="24"/>
          <w:lang w:val="cs-CZ"/>
        </w:rPr>
        <w:t xml:space="preserve">Rodový význam intelektu v CMDA není stejný jako u Avicenny, protože </w:t>
      </w:r>
      <w:r w:rsidR="00D079DE" w:rsidRPr="003D1E07">
        <w:rPr>
          <w:rStyle w:val="Zkladntext158dkovn0pt"/>
          <w:color w:val="auto"/>
          <w:spacing w:val="0"/>
          <w:sz w:val="24"/>
          <w:lang w:val="cs-CZ"/>
        </w:rPr>
        <w:t>logická supozice není metafyzická impozice. Oba filosofové se zá</w:t>
      </w:r>
      <w:r w:rsidR="00AF1005" w:rsidRPr="003D1E07">
        <w:rPr>
          <w:rStyle w:val="Zkladntext158dkovn0pt"/>
          <w:color w:val="auto"/>
          <w:spacing w:val="0"/>
          <w:sz w:val="24"/>
          <w:lang w:val="cs-CZ"/>
        </w:rPr>
        <w:t>sa</w:t>
      </w:r>
      <w:r w:rsidR="00D079DE" w:rsidRPr="003D1E07">
        <w:rPr>
          <w:rStyle w:val="Zkladntext158dkovn0pt"/>
          <w:color w:val="auto"/>
          <w:spacing w:val="0"/>
          <w:sz w:val="24"/>
          <w:lang w:val="cs-CZ"/>
        </w:rPr>
        <w:t>dně liší v tom,</w:t>
      </w:r>
      <w:r w:rsidR="00AF1005" w:rsidRPr="003D1E07">
        <w:rPr>
          <w:rStyle w:val="Zkladntext158dkovn0pt"/>
          <w:color w:val="auto"/>
          <w:spacing w:val="0"/>
          <w:sz w:val="24"/>
          <w:lang w:val="cs-CZ"/>
        </w:rPr>
        <w:t xml:space="preserve"> jak chápou fenomén zvaný „intelekt“, protože tím míní zásadně odlišnou věc</w:t>
      </w:r>
      <w:r w:rsidR="00D079DE" w:rsidRPr="003D1E07">
        <w:rPr>
          <w:rStyle w:val="Zkladntext158dkovn0pt"/>
          <w:color w:val="auto"/>
          <w:spacing w:val="0"/>
          <w:sz w:val="24"/>
          <w:lang w:val="cs-CZ"/>
        </w:rPr>
        <w:t xml:space="preserve">. </w:t>
      </w:r>
      <w:r w:rsidR="085E3CD7" w:rsidRPr="003D1E07">
        <w:rPr>
          <w:rStyle w:val="Zkladntext158dkovn0pt"/>
          <w:color w:val="auto"/>
          <w:spacing w:val="0"/>
          <w:sz w:val="24"/>
          <w:lang w:val="cs-CZ"/>
        </w:rPr>
        <w:t xml:space="preserve">Identita intelektu jako univerzální druhé substance stojí v aristotelismu na ipseitě osoby jako aktuální první substance. </w:t>
      </w:r>
      <w:r w:rsidRPr="003D1E07">
        <w:rPr>
          <w:rStyle w:val="Zkladntext158dkovn0pt"/>
          <w:color w:val="auto"/>
          <w:spacing w:val="0"/>
          <w:sz w:val="24"/>
          <w:lang w:val="cs-CZ"/>
        </w:rPr>
        <w:t>Pojetí člověka v modu aristotelského a moderního humanismu nemůže být stejné, protože ilumináti nevidí svět stejným způsobem jako kritičtí myslitelé a nemají stejné pojetí pravdy.</w:t>
      </w:r>
    </w:p>
    <w:p w14:paraId="390354B1" w14:textId="77777777" w:rsidR="008F3431" w:rsidRDefault="087101DF" w:rsidP="005C6A1F">
      <w:pPr>
        <w:ind w:firstLine="397"/>
      </w:pPr>
      <w:r w:rsidRPr="003D1E07">
        <w:rPr>
          <w:lang w:eastAsia="en-US"/>
        </w:rPr>
        <w:t xml:space="preserve">Otázka nasvícení jsoucna v modu Heideggerovy </w:t>
      </w:r>
      <w:r w:rsidR="08015371" w:rsidRPr="003D1E07">
        <w:rPr>
          <w:i/>
          <w:lang w:eastAsia="en-US"/>
        </w:rPr>
        <w:t>Vor-</w:t>
      </w:r>
      <w:r w:rsidRPr="003D1E07">
        <w:rPr>
          <w:i/>
          <w:lang w:eastAsia="en-US"/>
        </w:rPr>
        <w:t>blickbahn</w:t>
      </w:r>
      <w:r w:rsidRPr="003D1E07">
        <w:rPr>
          <w:i/>
          <w:lang w:eastAsia="en-US"/>
        </w:rPr>
        <w:fldChar w:fldCharType="begin"/>
      </w:r>
      <w:r w:rsidRPr="003D1E07">
        <w:instrText xml:space="preserve"> XE "</w:instrText>
      </w:r>
      <w:r w:rsidRPr="003D1E07">
        <w:rPr>
          <w:i/>
          <w:lang w:eastAsia="en-US"/>
        </w:rPr>
        <w:instrText>Vor-blickbahn</w:instrText>
      </w:r>
      <w:r w:rsidRPr="003D1E07">
        <w:rPr>
          <w:lang w:eastAsia="en-US"/>
        </w:rPr>
        <w:instrText>:falsafa</w:instrText>
      </w:r>
      <w:r w:rsidRPr="003D1E07">
        <w:instrText xml:space="preserve">" </w:instrText>
      </w:r>
      <w:r w:rsidRPr="003D1E07">
        <w:rPr>
          <w:i/>
          <w:lang w:eastAsia="en-US"/>
        </w:rPr>
        <w:fldChar w:fldCharType="end"/>
      </w:r>
      <w:r w:rsidRPr="003D1E07">
        <w:rPr>
          <w:lang w:eastAsia="en-US"/>
        </w:rPr>
        <w:t xml:space="preserve"> vytváří základní dělící linii mezi Avicennou a Averroesem. </w:t>
      </w:r>
      <w:r w:rsidR="00491CCA" w:rsidRPr="003D1E07">
        <w:rPr>
          <w:rStyle w:val="FontStyle129"/>
          <w:rFonts w:ascii="Calibri" w:hAnsi="Calibri"/>
          <w:sz w:val="24"/>
        </w:rPr>
        <w:t>Porfyriovo zdvojení bytí v Jednom (kap. 1.3.1) spustilo p</w:t>
      </w:r>
      <w:r w:rsidR="005672B2" w:rsidRPr="003D1E07">
        <w:rPr>
          <w:rStyle w:val="FontStyle129"/>
          <w:rFonts w:ascii="Calibri" w:hAnsi="Calibri"/>
          <w:sz w:val="24"/>
        </w:rPr>
        <w:t>roces</w:t>
      </w:r>
      <w:r w:rsidR="00A84C0D" w:rsidRPr="003D1E07">
        <w:rPr>
          <w:rStyle w:val="FontStyle129"/>
          <w:rFonts w:ascii="Calibri" w:hAnsi="Calibri"/>
          <w:sz w:val="24"/>
        </w:rPr>
        <w:t xml:space="preserve"> objektivace</w:t>
      </w:r>
      <w:r w:rsidR="00491CCA" w:rsidRPr="003D1E07">
        <w:rPr>
          <w:rStyle w:val="FontStyle129"/>
          <w:rFonts w:ascii="Calibri" w:hAnsi="Calibri"/>
          <w:sz w:val="24"/>
        </w:rPr>
        <w:t xml:space="preserve">. </w:t>
      </w:r>
      <w:r w:rsidR="005672B2" w:rsidRPr="003D1E07">
        <w:rPr>
          <w:lang w:eastAsia="en-US"/>
        </w:rPr>
        <w:t xml:space="preserve">V první </w:t>
      </w:r>
      <w:r w:rsidR="08F61EBC" w:rsidRPr="003D1E07">
        <w:rPr>
          <w:lang w:eastAsia="en-US"/>
        </w:rPr>
        <w:t xml:space="preserve">fázi </w:t>
      </w:r>
      <w:r w:rsidR="005672B2" w:rsidRPr="003D1E07">
        <w:rPr>
          <w:lang w:eastAsia="en-US"/>
        </w:rPr>
        <w:t>mají dar objektivního vidění pouze nemnozí ilumináti typu Avicenny</w:t>
      </w:r>
      <w:r w:rsidR="00A16BB0" w:rsidRPr="003D1E07">
        <w:rPr>
          <w:lang w:eastAsia="en-US"/>
        </w:rPr>
        <w:t xml:space="preserve">. </w:t>
      </w:r>
      <w:r w:rsidR="00A16BB0" w:rsidRPr="003D1E07">
        <w:rPr>
          <w:lang w:eastAsia="en-US"/>
        </w:rPr>
        <w:lastRenderedPageBreak/>
        <w:t xml:space="preserve">Tento danajský dar </w:t>
      </w:r>
      <w:r w:rsidR="089D2335" w:rsidRPr="003D1E07">
        <w:rPr>
          <w:lang w:eastAsia="en-US"/>
        </w:rPr>
        <w:t xml:space="preserve">díky mystickým direktivám </w:t>
      </w:r>
      <w:r w:rsidR="08FF6403" w:rsidRPr="003D1E07">
        <w:rPr>
          <w:lang w:eastAsia="en-US"/>
        </w:rPr>
        <w:t xml:space="preserve">přijímaným </w:t>
      </w:r>
      <w:r w:rsidR="089D2335" w:rsidRPr="003D1E07">
        <w:rPr>
          <w:lang w:eastAsia="en-US"/>
        </w:rPr>
        <w:t xml:space="preserve">ve snu </w:t>
      </w:r>
      <w:r w:rsidR="00A16BB0" w:rsidRPr="003D1E07">
        <w:rPr>
          <w:rStyle w:val="FontStyle129"/>
          <w:rFonts w:ascii="Calibri" w:hAnsi="Calibri"/>
          <w:sz w:val="24"/>
        </w:rPr>
        <w:t>vytvořil</w:t>
      </w:r>
      <w:r w:rsidR="005672B2" w:rsidRPr="003D1E07">
        <w:rPr>
          <w:rStyle w:val="FontStyle129"/>
          <w:rFonts w:ascii="Calibri" w:hAnsi="Calibri"/>
          <w:sz w:val="24"/>
        </w:rPr>
        <w:t xml:space="preserve"> novou sféru ontoteologického určení </w:t>
      </w:r>
      <w:r w:rsidR="005672B2" w:rsidRPr="003D1E07">
        <w:rPr>
          <w:rStyle w:val="FontStyle129"/>
          <w:rFonts w:ascii="Calibri" w:hAnsi="Calibri"/>
          <w:i/>
          <w:sz w:val="24"/>
        </w:rPr>
        <w:t>tertium ens</w:t>
      </w:r>
      <w:r w:rsidR="005672B2" w:rsidRPr="003D1E07">
        <w:rPr>
          <w:rStyle w:val="FontStyle129"/>
          <w:rFonts w:ascii="Calibri" w:hAnsi="Calibri"/>
          <w:sz w:val="24"/>
        </w:rPr>
        <w:t xml:space="preserve">. </w:t>
      </w:r>
      <w:r w:rsidR="080C4E7E" w:rsidRPr="003D1E07">
        <w:rPr>
          <w:rStyle w:val="Zkladntext184"/>
          <w:rFonts w:ascii="Calibri" w:eastAsia="Times" w:hAnsi="Calibri" w:cs="Times New Roman"/>
          <w:color w:val="auto"/>
          <w:spacing w:val="0"/>
          <w:sz w:val="24"/>
          <w:lang w:val="cs-CZ"/>
        </w:rPr>
        <w:t xml:space="preserve">Avicennova metafyzika </w:t>
      </w:r>
      <w:r w:rsidR="08A76926" w:rsidRPr="003D1E07">
        <w:rPr>
          <w:rStyle w:val="Zkladntext184"/>
          <w:rFonts w:ascii="Calibri" w:eastAsia="Times" w:hAnsi="Calibri" w:cs="Times New Roman"/>
          <w:color w:val="auto"/>
          <w:spacing w:val="0"/>
          <w:sz w:val="24"/>
          <w:lang w:val="cs-CZ"/>
        </w:rPr>
        <w:t xml:space="preserve">září </w:t>
      </w:r>
      <w:r w:rsidR="080C4E7E" w:rsidRPr="003D1E07">
        <w:rPr>
          <w:rStyle w:val="Zkladntext184"/>
          <w:rFonts w:ascii="Calibri" w:eastAsia="Times" w:hAnsi="Calibri" w:cs="Times New Roman"/>
          <w:color w:val="auto"/>
          <w:spacing w:val="0"/>
          <w:sz w:val="24"/>
          <w:lang w:val="cs-CZ"/>
        </w:rPr>
        <w:t>v objektivní pravdě založené na výkladu jsoucna třetího druhu</w:t>
      </w:r>
      <w:r w:rsidR="00BB29DF" w:rsidRPr="003D1E07">
        <w:rPr>
          <w:rStyle w:val="Zkladntext184"/>
          <w:rFonts w:ascii="Calibri" w:eastAsia="Times" w:hAnsi="Calibri" w:cs="Times New Roman"/>
          <w:color w:val="auto"/>
          <w:spacing w:val="0"/>
          <w:sz w:val="24"/>
          <w:lang w:val="cs-CZ"/>
        </w:rPr>
        <w:t xml:space="preserve">. Cenou bylo </w:t>
      </w:r>
      <w:r w:rsidR="00573C35" w:rsidRPr="003D1E07">
        <w:rPr>
          <w:rStyle w:val="Zkladntext184"/>
          <w:rFonts w:ascii="Calibri" w:eastAsia="Times" w:hAnsi="Calibri" w:cs="Times New Roman"/>
          <w:color w:val="auto"/>
          <w:spacing w:val="0"/>
          <w:sz w:val="24"/>
          <w:lang w:val="cs-CZ"/>
        </w:rPr>
        <w:t xml:space="preserve">zničení klasické </w:t>
      </w:r>
      <w:r w:rsidR="00E2479F" w:rsidRPr="003D1E07">
        <w:rPr>
          <w:rStyle w:val="Zkladntext184"/>
          <w:rFonts w:ascii="Calibri" w:eastAsia="Times" w:hAnsi="Calibri" w:cs="Times New Roman"/>
          <w:color w:val="auto"/>
          <w:spacing w:val="0"/>
          <w:sz w:val="24"/>
          <w:lang w:val="cs-CZ"/>
        </w:rPr>
        <w:t>metafyziky. V</w:t>
      </w:r>
      <w:r w:rsidR="08BC291B" w:rsidRPr="003D1E07">
        <w:rPr>
          <w:rStyle w:val="Zkladntext184"/>
          <w:rFonts w:ascii="Calibri" w:eastAsia="Times" w:hAnsi="Calibri" w:cs="Times New Roman"/>
          <w:color w:val="auto"/>
          <w:spacing w:val="0"/>
          <w:sz w:val="24"/>
          <w:lang w:val="cs-CZ"/>
        </w:rPr>
        <w:t>ytěsnění aristotelské pravdy jako adekvace věci a intelek</w:t>
      </w:r>
      <w:r w:rsidR="00E2479F" w:rsidRPr="003D1E07">
        <w:rPr>
          <w:rStyle w:val="Zkladntext184"/>
          <w:rFonts w:ascii="Calibri" w:eastAsia="Times" w:hAnsi="Calibri" w:cs="Times New Roman"/>
          <w:color w:val="auto"/>
          <w:spacing w:val="0"/>
          <w:sz w:val="24"/>
          <w:lang w:val="cs-CZ"/>
        </w:rPr>
        <w:t>t</w:t>
      </w:r>
      <w:r w:rsidR="08BC291B" w:rsidRPr="003D1E07">
        <w:rPr>
          <w:rStyle w:val="Zkladntext184"/>
          <w:rFonts w:ascii="Calibri" w:eastAsia="Times" w:hAnsi="Calibri" w:cs="Times New Roman"/>
          <w:color w:val="auto"/>
          <w:spacing w:val="0"/>
          <w:sz w:val="24"/>
          <w:lang w:val="cs-CZ"/>
        </w:rPr>
        <w:t xml:space="preserve">u způsobilo </w:t>
      </w:r>
      <w:r w:rsidR="080C4E7E" w:rsidRPr="003D1E07">
        <w:rPr>
          <w:rStyle w:val="Zkladntext184"/>
          <w:rFonts w:ascii="Calibri" w:eastAsia="Times" w:hAnsi="Calibri" w:cs="Times New Roman"/>
          <w:color w:val="auto"/>
          <w:spacing w:val="0"/>
          <w:sz w:val="24"/>
          <w:lang w:val="cs-CZ"/>
        </w:rPr>
        <w:t>zatmění první substance (</w:t>
      </w:r>
      <w:r w:rsidR="080C4E7E" w:rsidRPr="003D1E07">
        <w:rPr>
          <w:rStyle w:val="Zkladntext184"/>
          <w:rFonts w:ascii="Calibri" w:eastAsia="Times" w:hAnsi="Calibri" w:cs="Times New Roman"/>
          <w:i/>
          <w:color w:val="auto"/>
          <w:spacing w:val="0"/>
          <w:sz w:val="24"/>
          <w:lang w:val="cs-CZ"/>
        </w:rPr>
        <w:t>Seinsvergessenheit</w:t>
      </w:r>
      <w:r w:rsidR="080C4E7E" w:rsidRPr="003D1E07">
        <w:rPr>
          <w:rStyle w:val="Zkladntext184"/>
          <w:rFonts w:ascii="Calibri" w:eastAsia="Times" w:hAnsi="Calibri" w:cs="Times New Roman"/>
          <w:i/>
          <w:color w:val="auto"/>
          <w:spacing w:val="0"/>
          <w:sz w:val="24"/>
          <w:lang w:val="cs-CZ"/>
        </w:rPr>
        <w:fldChar w:fldCharType="begin"/>
      </w:r>
      <w:r w:rsidR="080C4E7E" w:rsidRPr="003D1E07">
        <w:instrText xml:space="preserve"> XE "</w:instrText>
      </w:r>
      <w:r w:rsidR="080C4E7E" w:rsidRPr="003D1E07">
        <w:rPr>
          <w:rStyle w:val="Zkladntext184"/>
          <w:rFonts w:ascii="Calibri" w:eastAsia="Times" w:hAnsi="Calibri" w:cs="Times New Roman"/>
          <w:i/>
          <w:color w:val="auto"/>
          <w:spacing w:val="0"/>
          <w:sz w:val="24"/>
          <w:lang w:val="cs-CZ"/>
        </w:rPr>
        <w:instrText>Seinsvergessenheit</w:instrText>
      </w:r>
      <w:r w:rsidR="080C4E7E" w:rsidRPr="003D1E07">
        <w:instrText xml:space="preserve">" </w:instrText>
      </w:r>
      <w:r w:rsidR="080C4E7E" w:rsidRPr="003D1E07">
        <w:rPr>
          <w:rStyle w:val="Zkladntext184"/>
          <w:rFonts w:ascii="Calibri" w:eastAsia="Times" w:hAnsi="Calibri" w:cs="Times New Roman"/>
          <w:i/>
          <w:color w:val="auto"/>
          <w:spacing w:val="0"/>
          <w:sz w:val="24"/>
          <w:lang w:val="cs-CZ"/>
        </w:rPr>
        <w:fldChar w:fldCharType="end"/>
      </w:r>
      <w:r w:rsidR="08BC291B" w:rsidRPr="003D1E07">
        <w:rPr>
          <w:rStyle w:val="Zkladntext184"/>
          <w:rFonts w:ascii="Calibri" w:eastAsia="Times" w:hAnsi="Calibri" w:cs="Times New Roman"/>
          <w:color w:val="auto"/>
          <w:spacing w:val="0"/>
          <w:sz w:val="24"/>
          <w:lang w:val="cs-CZ"/>
        </w:rPr>
        <w:t xml:space="preserve">) ve falsafě a na latinském Západě. </w:t>
      </w:r>
      <w:r w:rsidR="080C4E7E" w:rsidRPr="003D1E07">
        <w:rPr>
          <w:rStyle w:val="Zkladntext184"/>
          <w:rFonts w:ascii="Calibri" w:eastAsia="Times" w:hAnsi="Calibri" w:cs="Times New Roman"/>
          <w:color w:val="auto"/>
          <w:spacing w:val="0"/>
          <w:sz w:val="24"/>
          <w:lang w:val="cs-CZ"/>
        </w:rPr>
        <w:t xml:space="preserve">Avicennova metafyzická </w:t>
      </w:r>
      <w:r w:rsidR="080C4E7E" w:rsidRPr="003D1E07">
        <w:rPr>
          <w:rStyle w:val="Zkladntext184"/>
          <w:rFonts w:ascii="Calibri" w:eastAsia="Times" w:hAnsi="Calibri" w:cs="Times New Roman"/>
          <w:i/>
          <w:color w:val="auto"/>
          <w:spacing w:val="0"/>
          <w:sz w:val="24"/>
          <w:lang w:val="cs-CZ"/>
        </w:rPr>
        <w:t>obscurity</w:t>
      </w:r>
      <w:r w:rsidR="080C4E7E" w:rsidRPr="003D1E07">
        <w:rPr>
          <w:rStyle w:val="Zkladntext184"/>
          <w:rFonts w:ascii="Calibri" w:eastAsia="Times" w:hAnsi="Calibri" w:cs="Times New Roman"/>
          <w:i/>
          <w:color w:val="auto"/>
          <w:spacing w:val="0"/>
          <w:sz w:val="24"/>
          <w:lang w:val="cs-CZ"/>
        </w:rPr>
        <w:fldChar w:fldCharType="begin"/>
      </w:r>
      <w:r w:rsidR="080C4E7E" w:rsidRPr="003D1E07">
        <w:instrText xml:space="preserve"> XE "zatmění:substance" </w:instrText>
      </w:r>
      <w:r w:rsidR="080C4E7E" w:rsidRPr="003D1E07">
        <w:rPr>
          <w:rStyle w:val="Zkladntext184"/>
          <w:rFonts w:ascii="Calibri" w:eastAsia="Times" w:hAnsi="Calibri" w:cs="Times New Roman"/>
          <w:i/>
          <w:color w:val="auto"/>
          <w:spacing w:val="0"/>
          <w:sz w:val="24"/>
          <w:lang w:val="cs-CZ"/>
        </w:rPr>
        <w:fldChar w:fldCharType="end"/>
      </w:r>
      <w:r w:rsidR="080C4E7E" w:rsidRPr="003D1E07">
        <w:rPr>
          <w:rStyle w:val="Zkladntext184"/>
          <w:rFonts w:ascii="Calibri" w:eastAsia="Times" w:hAnsi="Calibri" w:cs="Times New Roman"/>
          <w:color w:val="auto"/>
          <w:spacing w:val="0"/>
          <w:sz w:val="24"/>
          <w:lang w:val="cs-CZ"/>
        </w:rPr>
        <w:t xml:space="preserve"> </w:t>
      </w:r>
      <w:r w:rsidR="08E40F6C" w:rsidRPr="003D1E07">
        <w:rPr>
          <w:rStyle w:val="Zkladntext184"/>
          <w:rFonts w:ascii="Calibri" w:eastAsia="Times" w:hAnsi="Calibri" w:cs="Times New Roman"/>
          <w:color w:val="auto"/>
          <w:spacing w:val="0"/>
          <w:sz w:val="24"/>
          <w:lang w:val="cs-CZ"/>
        </w:rPr>
        <w:t xml:space="preserve">odsouzená Averroesem stojí na </w:t>
      </w:r>
      <w:r w:rsidR="080C4E7E" w:rsidRPr="003D1E07">
        <w:rPr>
          <w:rStyle w:val="Zkladntext184"/>
          <w:rFonts w:ascii="Calibri" w:eastAsia="Times" w:hAnsi="Calibri" w:cs="Times New Roman"/>
          <w:color w:val="auto"/>
          <w:spacing w:val="0"/>
          <w:sz w:val="24"/>
          <w:lang w:val="cs-CZ"/>
        </w:rPr>
        <w:t>nasvícení jsoucna zezadu</w:t>
      </w:r>
      <w:r w:rsidR="08E40F6C" w:rsidRPr="003D1E07">
        <w:rPr>
          <w:rStyle w:val="Zkladntext184"/>
          <w:rFonts w:ascii="Calibri" w:eastAsia="Times" w:hAnsi="Calibri" w:cs="Times New Roman"/>
          <w:color w:val="auto"/>
          <w:spacing w:val="0"/>
          <w:sz w:val="24"/>
          <w:lang w:val="cs-CZ"/>
        </w:rPr>
        <w:t xml:space="preserve"> od kosmických inteligencí a hypostázovaných forem</w:t>
      </w:r>
      <w:r w:rsidR="080C4E7E" w:rsidRPr="003D1E07">
        <w:rPr>
          <w:rStyle w:val="Zkladntext184"/>
          <w:rFonts w:ascii="Calibri" w:eastAsia="Times" w:hAnsi="Calibri" w:cs="Times New Roman"/>
          <w:color w:val="auto"/>
          <w:spacing w:val="0"/>
          <w:sz w:val="24"/>
          <w:lang w:val="cs-CZ"/>
        </w:rPr>
        <w:t xml:space="preserve">. Toto pochybení metafyziky dané zatměním první </w:t>
      </w:r>
      <w:r w:rsidR="086027C9" w:rsidRPr="003D1E07">
        <w:rPr>
          <w:rStyle w:val="Zkladntext184"/>
          <w:rFonts w:ascii="Calibri" w:eastAsia="Times" w:hAnsi="Calibri" w:cs="Times New Roman"/>
          <w:color w:val="auto"/>
          <w:spacing w:val="0"/>
          <w:sz w:val="24"/>
          <w:lang w:val="cs-CZ"/>
        </w:rPr>
        <w:t xml:space="preserve">hylemorfické </w:t>
      </w:r>
      <w:r w:rsidR="081067AB" w:rsidRPr="003D1E07">
        <w:rPr>
          <w:rStyle w:val="Zkladntext184"/>
          <w:rFonts w:ascii="Calibri" w:eastAsia="Times" w:hAnsi="Calibri" w:cs="Times New Roman"/>
          <w:color w:val="auto"/>
          <w:spacing w:val="0"/>
          <w:sz w:val="24"/>
          <w:lang w:val="cs-CZ"/>
        </w:rPr>
        <w:t>substance převezmou latinští avicennisté</w:t>
      </w:r>
      <w:r w:rsidR="080C4E7E" w:rsidRPr="003D1E07">
        <w:rPr>
          <w:rStyle w:val="Zkladntext184"/>
          <w:rFonts w:ascii="Calibri" w:eastAsia="Times" w:hAnsi="Calibri" w:cs="Times New Roman"/>
          <w:i/>
          <w:color w:val="auto"/>
          <w:spacing w:val="0"/>
          <w:sz w:val="24"/>
          <w:lang w:val="cs-CZ"/>
        </w:rPr>
        <w:fldChar w:fldCharType="begin"/>
      </w:r>
      <w:r w:rsidR="080C4E7E" w:rsidRPr="003D1E07">
        <w:instrText xml:space="preserve"> XE "</w:instrText>
      </w:r>
      <w:r w:rsidR="080C4E7E" w:rsidRPr="003D1E07">
        <w:rPr>
          <w:rStyle w:val="Zkladntext184"/>
          <w:rFonts w:ascii="Calibri" w:eastAsia="Times" w:hAnsi="Calibri" w:cs="Times New Roman"/>
          <w:i/>
          <w:color w:val="auto"/>
          <w:spacing w:val="0"/>
          <w:sz w:val="24"/>
          <w:lang w:val="cs-CZ"/>
        </w:rPr>
        <w:instrText>via Modernorum</w:instrText>
      </w:r>
      <w:r w:rsidR="080C4E7E" w:rsidRPr="003D1E07">
        <w:instrText xml:space="preserve">" </w:instrText>
      </w:r>
      <w:r w:rsidR="080C4E7E" w:rsidRPr="003D1E07">
        <w:rPr>
          <w:rStyle w:val="Zkladntext184"/>
          <w:rFonts w:ascii="Calibri" w:eastAsia="Times" w:hAnsi="Calibri" w:cs="Times New Roman"/>
          <w:i/>
          <w:color w:val="auto"/>
          <w:spacing w:val="0"/>
          <w:sz w:val="24"/>
          <w:lang w:val="cs-CZ"/>
        </w:rPr>
        <w:fldChar w:fldCharType="end"/>
      </w:r>
      <w:r w:rsidR="080C4E7E" w:rsidRPr="003D1E07">
        <w:rPr>
          <w:rStyle w:val="Zkladntext184"/>
          <w:rFonts w:ascii="Calibri" w:eastAsia="Times" w:hAnsi="Calibri" w:cs="Times New Roman"/>
          <w:color w:val="auto"/>
          <w:spacing w:val="0"/>
          <w:sz w:val="24"/>
          <w:lang w:val="cs-CZ"/>
        </w:rPr>
        <w:t xml:space="preserve">. </w:t>
      </w:r>
      <w:r w:rsidR="08A76926" w:rsidRPr="003D1E07">
        <w:rPr>
          <w:rStyle w:val="Zkladntext184"/>
          <w:rFonts w:ascii="Calibri" w:eastAsia="Times" w:hAnsi="Calibri" w:cs="Times New Roman"/>
          <w:color w:val="auto"/>
          <w:spacing w:val="0"/>
          <w:sz w:val="24"/>
          <w:lang w:val="cs-CZ"/>
        </w:rPr>
        <w:t xml:space="preserve">Vznik aristotelské </w:t>
      </w:r>
      <w:r w:rsidR="087D78C8" w:rsidRPr="003D1E07">
        <w:rPr>
          <w:rStyle w:val="Zkladntext184"/>
          <w:rFonts w:ascii="Calibri" w:eastAsia="Times" w:hAnsi="Calibri" w:cs="Times New Roman"/>
          <w:color w:val="auto"/>
          <w:spacing w:val="0"/>
          <w:sz w:val="24"/>
          <w:lang w:val="cs-CZ"/>
        </w:rPr>
        <w:t xml:space="preserve">metafyziky </w:t>
      </w:r>
      <w:r w:rsidR="08A76926" w:rsidRPr="003D1E07">
        <w:rPr>
          <w:rStyle w:val="Zkladntext184"/>
          <w:rFonts w:ascii="Calibri" w:eastAsia="Times" w:hAnsi="Calibri" w:cs="Times New Roman"/>
          <w:color w:val="auto"/>
          <w:spacing w:val="0"/>
          <w:sz w:val="24"/>
          <w:lang w:val="cs-CZ"/>
        </w:rPr>
        <w:t xml:space="preserve">a pravdy </w:t>
      </w:r>
      <w:r w:rsidR="087D78C8" w:rsidRPr="003D1E07">
        <w:rPr>
          <w:rStyle w:val="Zkladntext184"/>
          <w:rFonts w:ascii="Calibri" w:eastAsia="Times" w:hAnsi="Calibri" w:cs="Times New Roman"/>
          <w:color w:val="auto"/>
          <w:spacing w:val="0"/>
          <w:sz w:val="24"/>
          <w:lang w:val="cs-CZ"/>
        </w:rPr>
        <w:t xml:space="preserve">napojené na monoteismus </w:t>
      </w:r>
      <w:r w:rsidR="08A76926" w:rsidRPr="003D1E07">
        <w:rPr>
          <w:rStyle w:val="Zkladntext184"/>
          <w:rFonts w:ascii="Calibri" w:eastAsia="Times" w:hAnsi="Calibri" w:cs="Times New Roman"/>
          <w:color w:val="auto"/>
          <w:spacing w:val="0"/>
          <w:sz w:val="24"/>
          <w:lang w:val="cs-CZ"/>
        </w:rPr>
        <w:t>se stal s</w:t>
      </w:r>
      <w:r w:rsidR="087D78C8" w:rsidRPr="003D1E07">
        <w:rPr>
          <w:rStyle w:val="Zkladntext184"/>
          <w:rFonts w:ascii="Calibri" w:eastAsia="Times" w:hAnsi="Calibri" w:cs="Times New Roman"/>
          <w:color w:val="auto"/>
          <w:spacing w:val="0"/>
          <w:sz w:val="24"/>
          <w:lang w:val="cs-CZ"/>
        </w:rPr>
        <w:t xml:space="preserve">polečným ekumenickým dílem bagdádského Domu moudrosti. </w:t>
      </w:r>
      <w:r w:rsidR="00B106A8" w:rsidRPr="003D1E07">
        <w:rPr>
          <w:rStyle w:val="Zkladntext184"/>
          <w:rFonts w:ascii="Calibri" w:eastAsia="Times" w:hAnsi="Calibri" w:cs="Times New Roman"/>
          <w:color w:val="auto"/>
          <w:spacing w:val="0"/>
          <w:sz w:val="24"/>
          <w:lang w:val="cs-CZ"/>
        </w:rPr>
        <w:t>M</w:t>
      </w:r>
      <w:r w:rsidR="087D78C8" w:rsidRPr="003D1E07">
        <w:rPr>
          <w:rStyle w:val="Zkladntext184"/>
          <w:rFonts w:ascii="Calibri" w:eastAsia="Times" w:hAnsi="Calibri" w:cs="Times New Roman"/>
          <w:color w:val="auto"/>
          <w:spacing w:val="0"/>
          <w:sz w:val="24"/>
          <w:lang w:val="cs-CZ"/>
        </w:rPr>
        <w:t xml:space="preserve">oudrost sjednocuje, protože moudří </w:t>
      </w:r>
      <w:r w:rsidR="00B106A8" w:rsidRPr="003D1E07">
        <w:rPr>
          <w:rStyle w:val="Zkladntext184"/>
          <w:rFonts w:ascii="Calibri" w:eastAsia="Times" w:hAnsi="Calibri" w:cs="Times New Roman"/>
          <w:color w:val="auto"/>
          <w:spacing w:val="0"/>
          <w:sz w:val="24"/>
          <w:lang w:val="cs-CZ"/>
        </w:rPr>
        <w:t xml:space="preserve">lidé </w:t>
      </w:r>
      <w:r w:rsidR="087D78C8" w:rsidRPr="003D1E07">
        <w:rPr>
          <w:rStyle w:val="Zkladntext184"/>
          <w:rFonts w:ascii="Calibri" w:eastAsia="Times" w:hAnsi="Calibri" w:cs="Times New Roman"/>
          <w:color w:val="auto"/>
          <w:spacing w:val="0"/>
          <w:sz w:val="24"/>
          <w:lang w:val="cs-CZ"/>
        </w:rPr>
        <w:t xml:space="preserve">hledají </w:t>
      </w:r>
      <w:r w:rsidR="00B106A8" w:rsidRPr="003D1E07">
        <w:rPr>
          <w:rStyle w:val="Zkladntext184"/>
          <w:rFonts w:ascii="Calibri" w:eastAsia="Times" w:hAnsi="Calibri" w:cs="Times New Roman"/>
          <w:color w:val="auto"/>
          <w:spacing w:val="0"/>
          <w:sz w:val="24"/>
          <w:lang w:val="cs-CZ"/>
        </w:rPr>
        <w:t>pravdu</w:t>
      </w:r>
      <w:r w:rsidR="087D78C8" w:rsidRPr="003D1E07">
        <w:rPr>
          <w:rStyle w:val="Zkladntext184"/>
          <w:rFonts w:ascii="Calibri" w:eastAsia="Times" w:hAnsi="Calibri" w:cs="Times New Roman"/>
          <w:color w:val="auto"/>
          <w:spacing w:val="0"/>
          <w:sz w:val="24"/>
          <w:lang w:val="cs-CZ"/>
        </w:rPr>
        <w:t xml:space="preserve">. </w:t>
      </w:r>
      <w:r w:rsidR="082D5BD6" w:rsidRPr="003D1E07">
        <w:rPr>
          <w:rStyle w:val="Zkladntext184"/>
          <w:rFonts w:ascii="Calibri" w:eastAsia="Times" w:hAnsi="Calibri" w:cs="Times New Roman"/>
          <w:color w:val="auto"/>
          <w:spacing w:val="0"/>
          <w:sz w:val="24"/>
          <w:lang w:val="cs-CZ"/>
        </w:rPr>
        <w:t xml:space="preserve">Společný </w:t>
      </w:r>
      <w:r w:rsidR="08957BAA" w:rsidRPr="003D1E07">
        <w:rPr>
          <w:rStyle w:val="Zkladntext184"/>
          <w:rFonts w:ascii="Calibri" w:eastAsia="Times" w:hAnsi="Calibri" w:cs="Times New Roman"/>
          <w:color w:val="auto"/>
          <w:spacing w:val="0"/>
          <w:sz w:val="24"/>
          <w:lang w:val="cs-CZ"/>
        </w:rPr>
        <w:t xml:space="preserve">tragický </w:t>
      </w:r>
      <w:r w:rsidR="082D5BD6" w:rsidRPr="003D1E07">
        <w:rPr>
          <w:rStyle w:val="Zkladntext184"/>
          <w:rFonts w:ascii="Calibri" w:eastAsia="Times" w:hAnsi="Calibri" w:cs="Times New Roman"/>
          <w:color w:val="auto"/>
          <w:spacing w:val="0"/>
          <w:sz w:val="24"/>
          <w:lang w:val="cs-CZ"/>
        </w:rPr>
        <w:t xml:space="preserve">osud myšlení islámského a latinského Západu určuje </w:t>
      </w:r>
      <w:r w:rsidR="00556ECB" w:rsidRPr="003D1E07">
        <w:rPr>
          <w:rStyle w:val="Zkladntext184"/>
          <w:rFonts w:ascii="Calibri" w:eastAsia="Times" w:hAnsi="Calibri" w:cs="Times New Roman"/>
          <w:color w:val="auto"/>
          <w:spacing w:val="0"/>
          <w:sz w:val="24"/>
          <w:lang w:val="cs-CZ"/>
        </w:rPr>
        <w:t xml:space="preserve">událost </w:t>
      </w:r>
      <w:r w:rsidR="085F32FD" w:rsidRPr="003D1E07">
        <w:rPr>
          <w:rStyle w:val="Zkladntext184"/>
          <w:rFonts w:ascii="Calibri" w:eastAsia="Times" w:hAnsi="Calibri" w:cs="Times New Roman"/>
          <w:color w:val="auto"/>
          <w:spacing w:val="0"/>
          <w:sz w:val="24"/>
          <w:lang w:val="cs-CZ"/>
        </w:rPr>
        <w:t>zatmění první s</w:t>
      </w:r>
      <w:r w:rsidR="089649F7" w:rsidRPr="003D1E07">
        <w:rPr>
          <w:rStyle w:val="Zkladntext184"/>
          <w:rFonts w:ascii="Calibri" w:eastAsia="Times" w:hAnsi="Calibri" w:cs="Times New Roman"/>
          <w:color w:val="auto"/>
          <w:spacing w:val="0"/>
          <w:sz w:val="24"/>
          <w:lang w:val="cs-CZ"/>
        </w:rPr>
        <w:t>ubstance</w:t>
      </w:r>
      <w:r w:rsidR="00556ECB" w:rsidRPr="003D1E07">
        <w:rPr>
          <w:rStyle w:val="Zkladntext184"/>
          <w:rFonts w:ascii="Calibri" w:eastAsia="Times" w:hAnsi="Calibri" w:cs="Times New Roman"/>
          <w:color w:val="auto"/>
          <w:spacing w:val="0"/>
          <w:sz w:val="24"/>
          <w:lang w:val="cs-CZ"/>
        </w:rPr>
        <w:t xml:space="preserve"> (</w:t>
      </w:r>
      <w:r w:rsidR="00556ECB" w:rsidRPr="003D1E07">
        <w:rPr>
          <w:rStyle w:val="Zkladntext184"/>
          <w:rFonts w:ascii="Calibri" w:eastAsia="Times" w:hAnsi="Calibri" w:cs="Times New Roman"/>
          <w:i/>
          <w:color w:val="auto"/>
          <w:spacing w:val="0"/>
          <w:sz w:val="24"/>
          <w:lang w:val="cs-CZ"/>
        </w:rPr>
        <w:t>Ereignis</w:t>
      </w:r>
      <w:r w:rsidR="00556ECB" w:rsidRPr="003D1E07">
        <w:rPr>
          <w:rStyle w:val="Zkladntext184"/>
          <w:rFonts w:ascii="Calibri" w:eastAsia="Times" w:hAnsi="Calibri" w:cs="Times New Roman"/>
          <w:i/>
          <w:color w:val="auto"/>
          <w:spacing w:val="0"/>
          <w:sz w:val="24"/>
          <w:lang w:val="cs-CZ"/>
        </w:rPr>
        <w:fldChar w:fldCharType="begin"/>
      </w:r>
      <w:r w:rsidR="00556ECB" w:rsidRPr="003D1E07">
        <w:instrText xml:space="preserve"> XE "</w:instrText>
      </w:r>
      <w:r w:rsidR="00556ECB" w:rsidRPr="003D1E07">
        <w:rPr>
          <w:rStyle w:val="Zkladntext184"/>
          <w:rFonts w:ascii="Calibri" w:eastAsia="Times" w:hAnsi="Calibri" w:cs="Times New Roman"/>
          <w:i/>
          <w:color w:val="auto"/>
          <w:spacing w:val="0"/>
          <w:sz w:val="24"/>
          <w:lang w:val="cs-CZ"/>
        </w:rPr>
        <w:instrText>Ereignis</w:instrText>
      </w:r>
      <w:r w:rsidR="00556ECB" w:rsidRPr="003D1E07">
        <w:instrText xml:space="preserve">" </w:instrText>
      </w:r>
      <w:r w:rsidR="00556ECB" w:rsidRPr="003D1E07">
        <w:rPr>
          <w:rStyle w:val="Zkladntext184"/>
          <w:rFonts w:ascii="Calibri" w:eastAsia="Times" w:hAnsi="Calibri" w:cs="Times New Roman"/>
          <w:i/>
          <w:color w:val="auto"/>
          <w:spacing w:val="0"/>
          <w:sz w:val="24"/>
          <w:lang w:val="cs-CZ"/>
        </w:rPr>
        <w:fldChar w:fldCharType="end"/>
      </w:r>
      <w:r w:rsidR="00556ECB" w:rsidRPr="003D1E07">
        <w:rPr>
          <w:rStyle w:val="Zkladntext184"/>
          <w:rFonts w:ascii="Calibri" w:eastAsia="Times" w:hAnsi="Calibri" w:cs="Times New Roman"/>
          <w:color w:val="auto"/>
          <w:spacing w:val="0"/>
          <w:sz w:val="24"/>
          <w:lang w:val="cs-CZ"/>
        </w:rPr>
        <w:t>)</w:t>
      </w:r>
      <w:r w:rsidR="089649F7" w:rsidRPr="003D1E07">
        <w:rPr>
          <w:rStyle w:val="Zkladntext184"/>
          <w:rFonts w:ascii="Calibri" w:eastAsia="Times" w:hAnsi="Calibri" w:cs="Times New Roman"/>
          <w:color w:val="auto"/>
          <w:spacing w:val="0"/>
          <w:sz w:val="24"/>
          <w:lang w:val="cs-CZ"/>
        </w:rPr>
        <w:t xml:space="preserve">. </w:t>
      </w:r>
      <w:r w:rsidR="08D56A08" w:rsidRPr="003D1E07">
        <w:rPr>
          <w:rStyle w:val="Zkladntext184"/>
          <w:rFonts w:ascii="Calibri" w:eastAsia="Times" w:hAnsi="Calibri" w:cs="Times New Roman"/>
          <w:color w:val="auto"/>
          <w:spacing w:val="0"/>
          <w:sz w:val="24"/>
          <w:lang w:val="cs-CZ"/>
        </w:rPr>
        <w:t xml:space="preserve">Božská komedie pod vedením Múz spočívá v tom, že </w:t>
      </w:r>
      <w:r w:rsidR="00562B1B" w:rsidRPr="003D1E07">
        <w:rPr>
          <w:rStyle w:val="Zkladntext184"/>
          <w:rFonts w:ascii="Calibri" w:eastAsia="Times" w:hAnsi="Calibri" w:cs="Times New Roman"/>
          <w:color w:val="auto"/>
          <w:spacing w:val="0"/>
          <w:sz w:val="24"/>
          <w:lang w:val="cs-CZ"/>
        </w:rPr>
        <w:t xml:space="preserve">myšlení </w:t>
      </w:r>
      <w:r w:rsidR="08D56A08" w:rsidRPr="003D1E07">
        <w:rPr>
          <w:rStyle w:val="Zkladntext184"/>
          <w:rFonts w:ascii="Calibri" w:eastAsia="Times" w:hAnsi="Calibri" w:cs="Times New Roman"/>
          <w:color w:val="auto"/>
          <w:spacing w:val="0"/>
          <w:sz w:val="24"/>
          <w:lang w:val="cs-CZ"/>
        </w:rPr>
        <w:t>Západu</w:t>
      </w:r>
      <w:r w:rsidR="00562B1B" w:rsidRPr="003D1E07">
        <w:rPr>
          <w:rStyle w:val="Zkladntext184"/>
          <w:rFonts w:ascii="Calibri" w:eastAsia="Times" w:hAnsi="Calibri" w:cs="Times New Roman"/>
          <w:color w:val="auto"/>
          <w:spacing w:val="0"/>
          <w:sz w:val="24"/>
          <w:lang w:val="cs-CZ"/>
        </w:rPr>
        <w:t xml:space="preserve"> následovalo </w:t>
      </w:r>
      <w:r w:rsidR="00562B1B" w:rsidRPr="003D1E07">
        <w:t xml:space="preserve">mytopoetickou a proto slepou cestu </w:t>
      </w:r>
      <w:r w:rsidR="08D56A08" w:rsidRPr="003D1E07">
        <w:t>vítězného Avicenny. Pravdivé poznání reálného světa bránil Averroes</w:t>
      </w:r>
      <w:r w:rsidR="005C6A1F">
        <w:t>. P</w:t>
      </w:r>
      <w:r w:rsidR="08D56A08" w:rsidRPr="003D1E07">
        <w:t xml:space="preserve">aranoičtí tvůrci západní objektivity </w:t>
      </w:r>
      <w:r w:rsidR="005C6A1F">
        <w:t xml:space="preserve">z něj udělali </w:t>
      </w:r>
      <w:r w:rsidR="08D56A08" w:rsidRPr="003D1E07">
        <w:t xml:space="preserve">skrze obranný mechanismus </w:t>
      </w:r>
      <w:r w:rsidR="08D56A08" w:rsidRPr="003D1E07">
        <w:rPr>
          <w:i/>
        </w:rPr>
        <w:t>Verkehrung ins Gegenteil</w:t>
      </w:r>
      <w:r w:rsidR="08D56A08" w:rsidRPr="003D1E07">
        <w:t xml:space="preserve"> mytopoetickou a démonickou </w:t>
      </w:r>
      <w:r w:rsidR="08D56A08" w:rsidRPr="003D1E07">
        <w:rPr>
          <w:i/>
        </w:rPr>
        <w:t>bête-noire</w:t>
      </w:r>
      <w:r w:rsidR="08D56A08" w:rsidRPr="003D1E07">
        <w:t xml:space="preserve"> západní metafyziky.</w:t>
      </w:r>
      <w:r w:rsidR="084C73E5" w:rsidRPr="003D1E07">
        <w:t xml:space="preserve"> </w:t>
      </w:r>
      <w:r w:rsidR="00082B90" w:rsidRPr="003D1E07">
        <w:t xml:space="preserve">Po takovém sakrilegiu myšlení, už nešlo zadržet </w:t>
      </w:r>
      <w:r w:rsidR="00082B90" w:rsidRPr="003D1E07">
        <w:rPr>
          <w:rStyle w:val="Zkladntext184"/>
          <w:rFonts w:ascii="Calibri" w:eastAsia="Times" w:hAnsi="Calibri" w:cs="Times New Roman"/>
          <w:color w:val="auto"/>
          <w:spacing w:val="0"/>
          <w:sz w:val="24"/>
          <w:lang w:val="cs-CZ"/>
        </w:rPr>
        <w:t>d</w:t>
      </w:r>
      <w:r w:rsidR="081C187B" w:rsidRPr="003D1E07">
        <w:t xml:space="preserve">ějinné působení objektivity </w:t>
      </w:r>
      <w:r w:rsidR="00082B90" w:rsidRPr="003D1E07">
        <w:t>dané skrze perskou falsafu</w:t>
      </w:r>
      <w:r w:rsidR="081C187B" w:rsidRPr="003D1E07">
        <w:t xml:space="preserve">. </w:t>
      </w:r>
      <w:r w:rsidR="009366EB" w:rsidRPr="003D1E07">
        <w:rPr>
          <w:rStyle w:val="Zkladntext184"/>
          <w:rFonts w:ascii="Calibri" w:eastAsia="Times" w:hAnsi="Calibri" w:cs="Times New Roman"/>
          <w:color w:val="auto"/>
          <w:spacing w:val="0"/>
          <w:sz w:val="24"/>
          <w:lang w:val="cs-CZ"/>
        </w:rPr>
        <w:t>Averroesova metafyzika</w:t>
      </w:r>
      <w:r w:rsidR="080C4E7E" w:rsidRPr="003D1E07">
        <w:rPr>
          <w:rStyle w:val="Zkladntext184"/>
          <w:rFonts w:ascii="Calibri" w:eastAsia="Times" w:hAnsi="Calibri" w:cs="Times New Roman"/>
          <w:color w:val="auto"/>
          <w:spacing w:val="0"/>
          <w:sz w:val="24"/>
          <w:lang w:val="cs-CZ"/>
        </w:rPr>
        <w:t xml:space="preserve"> se v epoše objektivity manifestuje </w:t>
      </w:r>
      <w:r w:rsidR="00607339" w:rsidRPr="003D1E07">
        <w:rPr>
          <w:rStyle w:val="Zkladntext184"/>
          <w:rFonts w:ascii="Calibri" w:eastAsia="Times" w:hAnsi="Calibri" w:cs="Times New Roman"/>
          <w:color w:val="auto"/>
          <w:spacing w:val="0"/>
          <w:sz w:val="24"/>
          <w:lang w:val="cs-CZ"/>
        </w:rPr>
        <w:t>ve figuře tzv. „averroismu“</w:t>
      </w:r>
      <w:r w:rsidR="080C4E7E" w:rsidRPr="003D1E07">
        <w:rPr>
          <w:rStyle w:val="Zkladntext184"/>
          <w:rFonts w:ascii="Calibri" w:eastAsia="Times" w:hAnsi="Calibri" w:cs="Times New Roman"/>
          <w:color w:val="auto"/>
          <w:spacing w:val="0"/>
          <w:sz w:val="24"/>
          <w:lang w:val="cs-CZ"/>
        </w:rPr>
        <w:t xml:space="preserve">, tedy </w:t>
      </w:r>
      <w:r w:rsidR="08977B48" w:rsidRPr="003D1E07">
        <w:rPr>
          <w:rStyle w:val="Zkladntext184"/>
          <w:rFonts w:ascii="Calibri" w:eastAsia="Times" w:hAnsi="Calibri" w:cs="Times New Roman"/>
          <w:color w:val="auto"/>
          <w:spacing w:val="0"/>
          <w:sz w:val="24"/>
          <w:lang w:val="cs-CZ"/>
        </w:rPr>
        <w:t xml:space="preserve">v modu Freudova obranného mechanismu </w:t>
      </w:r>
      <w:r w:rsidR="08977B48" w:rsidRPr="003D1E07">
        <w:rPr>
          <w:rStyle w:val="Zkladntext184"/>
          <w:rFonts w:ascii="Calibri" w:eastAsia="Times" w:hAnsi="Calibri" w:cs="Times New Roman"/>
          <w:i/>
          <w:color w:val="auto"/>
          <w:spacing w:val="0"/>
          <w:sz w:val="24"/>
          <w:lang w:val="cs-CZ"/>
        </w:rPr>
        <w:t>Verkehrung ins Gegenteil</w:t>
      </w:r>
      <w:r w:rsidR="08977B48" w:rsidRPr="003D1E07">
        <w:rPr>
          <w:rStyle w:val="Zkladntext184"/>
          <w:rFonts w:ascii="Calibri" w:eastAsia="Times" w:hAnsi="Calibri" w:cs="Times New Roman"/>
          <w:i/>
          <w:color w:val="auto"/>
          <w:spacing w:val="0"/>
          <w:sz w:val="24"/>
          <w:lang w:val="cs-CZ"/>
        </w:rPr>
        <w:fldChar w:fldCharType="begin"/>
      </w:r>
      <w:r w:rsidR="08977B48" w:rsidRPr="003D1E07">
        <w:instrText xml:space="preserve"> XE "</w:instrText>
      </w:r>
      <w:r w:rsidR="08977B48" w:rsidRPr="003D1E07">
        <w:rPr>
          <w:rStyle w:val="Zkladntext184"/>
          <w:rFonts w:ascii="Calibri" w:eastAsia="Times" w:hAnsi="Calibri" w:cs="Times New Roman"/>
          <w:i/>
          <w:color w:val="auto"/>
          <w:spacing w:val="0"/>
          <w:sz w:val="24"/>
          <w:lang w:val="cs-CZ"/>
        </w:rPr>
        <w:instrText>Verkehrung ins Gegenteil</w:instrText>
      </w:r>
      <w:r w:rsidR="08977B48" w:rsidRPr="003D1E07">
        <w:instrText xml:space="preserve">" </w:instrText>
      </w:r>
      <w:r w:rsidR="08977B48" w:rsidRPr="003D1E07">
        <w:rPr>
          <w:rStyle w:val="Zkladntext184"/>
          <w:rFonts w:ascii="Calibri" w:eastAsia="Times" w:hAnsi="Calibri" w:cs="Times New Roman"/>
          <w:i/>
          <w:color w:val="auto"/>
          <w:spacing w:val="0"/>
          <w:sz w:val="24"/>
          <w:lang w:val="cs-CZ"/>
        </w:rPr>
        <w:fldChar w:fldCharType="end"/>
      </w:r>
      <w:r w:rsidR="08977B48" w:rsidRPr="003D1E07">
        <w:rPr>
          <w:rStyle w:val="Zkladntext184"/>
          <w:rFonts w:ascii="Calibri" w:eastAsia="Times" w:hAnsi="Calibri" w:cs="Times New Roman"/>
          <w:color w:val="auto"/>
          <w:spacing w:val="0"/>
          <w:sz w:val="24"/>
          <w:lang w:val="cs-CZ"/>
        </w:rPr>
        <w:t xml:space="preserve">. Vítězní modernisté objektivně vytěsnili Averroesovu metafyziku a uvalili na ni akademické </w:t>
      </w:r>
      <w:r w:rsidR="080C4E7E" w:rsidRPr="003D1E07">
        <w:rPr>
          <w:rStyle w:val="Zkladntext184"/>
          <w:rFonts w:ascii="Calibri" w:eastAsia="Times" w:hAnsi="Calibri" w:cs="Times New Roman"/>
          <w:i/>
          <w:color w:val="auto"/>
          <w:spacing w:val="0"/>
          <w:sz w:val="24"/>
          <w:lang w:val="cs-CZ"/>
        </w:rPr>
        <w:t>damnatio memoriae</w:t>
      </w:r>
      <w:r w:rsidR="080C4E7E" w:rsidRPr="003D1E07">
        <w:rPr>
          <w:rStyle w:val="Zkladntext184"/>
          <w:rFonts w:ascii="Calibri" w:eastAsia="Times" w:hAnsi="Calibri" w:cs="Times New Roman"/>
          <w:i/>
          <w:color w:val="auto"/>
          <w:spacing w:val="0"/>
          <w:sz w:val="24"/>
          <w:lang w:val="cs-CZ"/>
        </w:rPr>
        <w:fldChar w:fldCharType="begin"/>
      </w:r>
      <w:r w:rsidR="080C4E7E" w:rsidRPr="003D1E07">
        <w:instrText xml:space="preserve"> XE "</w:instrText>
      </w:r>
      <w:r w:rsidR="080C4E7E" w:rsidRPr="003D1E07">
        <w:rPr>
          <w:rStyle w:val="Zkladntext184"/>
          <w:rFonts w:ascii="Calibri" w:eastAsia="Times" w:hAnsi="Calibri" w:cs="Times New Roman"/>
          <w:i/>
          <w:color w:val="auto"/>
          <w:spacing w:val="0"/>
          <w:sz w:val="24"/>
          <w:lang w:val="cs-CZ"/>
        </w:rPr>
        <w:instrText>damnatio memoriae</w:instrText>
      </w:r>
      <w:r w:rsidR="080C4E7E" w:rsidRPr="003D1E07">
        <w:instrText xml:space="preserve">" </w:instrText>
      </w:r>
      <w:r w:rsidR="080C4E7E" w:rsidRPr="003D1E07">
        <w:rPr>
          <w:rStyle w:val="Zkladntext184"/>
          <w:rFonts w:ascii="Calibri" w:eastAsia="Times" w:hAnsi="Calibri" w:cs="Times New Roman"/>
          <w:i/>
          <w:color w:val="auto"/>
          <w:spacing w:val="0"/>
          <w:sz w:val="24"/>
          <w:lang w:val="cs-CZ"/>
        </w:rPr>
        <w:fldChar w:fldCharType="end"/>
      </w:r>
      <w:r w:rsidR="080C4E7E" w:rsidRPr="003D1E07">
        <w:rPr>
          <w:rStyle w:val="Zkladntext184"/>
          <w:rFonts w:ascii="Calibri" w:eastAsia="Times" w:hAnsi="Calibri" w:cs="Times New Roman"/>
          <w:color w:val="auto"/>
          <w:spacing w:val="0"/>
          <w:sz w:val="24"/>
          <w:lang w:val="cs-CZ"/>
        </w:rPr>
        <w:t>.</w:t>
      </w:r>
      <w:r w:rsidR="08D329E3" w:rsidRPr="003D1E07">
        <w:rPr>
          <w:rStyle w:val="Zkladntext184"/>
          <w:rFonts w:ascii="Calibri" w:eastAsia="Times" w:hAnsi="Calibri" w:cs="Times New Roman"/>
          <w:color w:val="auto"/>
          <w:spacing w:val="0"/>
          <w:sz w:val="24"/>
          <w:lang w:val="cs-CZ"/>
        </w:rPr>
        <w:t xml:space="preserve"> </w:t>
      </w:r>
      <w:r w:rsidR="00ED085B" w:rsidRPr="003D1E07">
        <w:rPr>
          <w:rStyle w:val="Zkladntext184"/>
          <w:rFonts w:ascii="Calibri" w:eastAsia="Times" w:hAnsi="Calibri" w:cs="Times New Roman"/>
          <w:color w:val="auto"/>
          <w:spacing w:val="0"/>
          <w:sz w:val="24"/>
          <w:lang w:val="cs-CZ"/>
        </w:rPr>
        <w:t xml:space="preserve">Subjekt, který tuto metafyziku Fúrií provozuje, se </w:t>
      </w:r>
      <w:r w:rsidR="008F40C7" w:rsidRPr="003D1E07">
        <w:rPr>
          <w:rStyle w:val="Zkladntext184"/>
          <w:rFonts w:ascii="Calibri" w:eastAsia="Times" w:hAnsi="Calibri" w:cs="Times New Roman"/>
          <w:color w:val="auto"/>
          <w:spacing w:val="0"/>
          <w:sz w:val="24"/>
          <w:lang w:val="cs-CZ"/>
        </w:rPr>
        <w:t>ma</w:t>
      </w:r>
      <w:r w:rsidR="00ED085B" w:rsidRPr="003D1E07">
        <w:rPr>
          <w:rStyle w:val="Zkladntext184"/>
          <w:rFonts w:ascii="Calibri" w:eastAsia="Times" w:hAnsi="Calibri" w:cs="Times New Roman"/>
          <w:color w:val="auto"/>
          <w:spacing w:val="0"/>
          <w:sz w:val="24"/>
          <w:lang w:val="cs-CZ"/>
        </w:rPr>
        <w:t xml:space="preserve">nifestuje jako západní intelektuální gnostik. Ten </w:t>
      </w:r>
      <w:r w:rsidR="005C24FC" w:rsidRPr="003D1E07">
        <w:t>vznikl v prostředí syntetizujícího proudu islámské falsafy</w:t>
      </w:r>
      <w:r w:rsidR="0004107C" w:rsidRPr="003D1E07">
        <w:t xml:space="preserve"> </w:t>
      </w:r>
      <w:r w:rsidR="00F24C27" w:rsidRPr="003D1E07">
        <w:fldChar w:fldCharType="begin"/>
      </w:r>
      <w:r w:rsidR="00F24C27" w:rsidRPr="003D1E07">
        <w:instrText xml:space="preserve"> XE "islám" </w:instrText>
      </w:r>
      <w:r w:rsidR="00F24C27" w:rsidRPr="003D1E07">
        <w:fldChar w:fldCharType="end"/>
      </w:r>
      <w:r w:rsidR="00EB7644" w:rsidRPr="003D1E07">
        <w:t xml:space="preserve">na přelomu </w:t>
      </w:r>
      <w:r w:rsidR="00CC0005" w:rsidRPr="003D1E07">
        <w:t xml:space="preserve">v 10. </w:t>
      </w:r>
      <w:r w:rsidR="00EB7644" w:rsidRPr="003D1E07">
        <w:t xml:space="preserve">a 11. </w:t>
      </w:r>
      <w:r w:rsidR="00CC0005" w:rsidRPr="003D1E07">
        <w:t>století</w:t>
      </w:r>
      <w:r w:rsidR="00DD6439" w:rsidRPr="003D1E07">
        <w:t xml:space="preserve"> (Avicenna, Ibn Bája)</w:t>
      </w:r>
      <w:r w:rsidR="00294AD0" w:rsidRPr="003D1E07">
        <w:t xml:space="preserve">. </w:t>
      </w:r>
      <w:r w:rsidR="005C24FC" w:rsidRPr="003D1E07">
        <w:t>Následně je tento subjekt západního intelektuála-ilumináta ust</w:t>
      </w:r>
      <w:r w:rsidR="00FE060D" w:rsidRPr="003D1E07">
        <w:t xml:space="preserve">anoven na </w:t>
      </w:r>
      <w:r w:rsidR="08576E57" w:rsidRPr="003D1E07">
        <w:t xml:space="preserve">latinském </w:t>
      </w:r>
      <w:r w:rsidR="00FE060D" w:rsidRPr="003D1E07">
        <w:t xml:space="preserve">Západě </w:t>
      </w:r>
      <w:r w:rsidR="005C24FC" w:rsidRPr="003D1E07">
        <w:t xml:space="preserve">skrze </w:t>
      </w:r>
      <w:r w:rsidR="008F40C7" w:rsidRPr="003D1E07">
        <w:t>neoplatonskou četb</w:t>
      </w:r>
      <w:r w:rsidR="005C24FC" w:rsidRPr="003D1E07">
        <w:t xml:space="preserve">u </w:t>
      </w:r>
      <w:r w:rsidR="005C24FC" w:rsidRPr="003D1E07">
        <w:rPr>
          <w:i/>
        </w:rPr>
        <w:t>Etiky Nikomachovy</w:t>
      </w:r>
      <w:r w:rsidR="005C24FC" w:rsidRPr="003D1E07">
        <w:t xml:space="preserve"> </w:t>
      </w:r>
      <w:r w:rsidR="00DF09E9" w:rsidRPr="003D1E07">
        <w:t xml:space="preserve">a skrze spory </w:t>
      </w:r>
      <w:r w:rsidR="008F40C7" w:rsidRPr="003D1E07">
        <w:t>ukončené pařížským</w:t>
      </w:r>
      <w:r w:rsidR="006F7956" w:rsidRPr="003D1E07">
        <w:t xml:space="preserve"> odsouzení</w:t>
      </w:r>
      <w:r w:rsidR="008F40C7" w:rsidRPr="003D1E07">
        <w:t xml:space="preserve">m v </w:t>
      </w:r>
      <w:r w:rsidR="006F7956" w:rsidRPr="003D1E07">
        <w:fldChar w:fldCharType="begin"/>
      </w:r>
      <w:r w:rsidR="006F7956" w:rsidRPr="003D1E07">
        <w:instrText xml:space="preserve"> XE "odsouzení 1277" </w:instrText>
      </w:r>
      <w:r w:rsidR="006F7956" w:rsidRPr="003D1E07">
        <w:fldChar w:fldCharType="end"/>
      </w:r>
      <w:r w:rsidR="008F40C7" w:rsidRPr="003D1E07">
        <w:t xml:space="preserve"> roce</w:t>
      </w:r>
      <w:r w:rsidR="006F7956" w:rsidRPr="003D1E07">
        <w:t xml:space="preserve"> 1277. </w:t>
      </w:r>
      <w:r w:rsidR="088D2679" w:rsidRPr="003D1E07">
        <w:t xml:space="preserve">Tuto linii představují myslitelé ze školy </w:t>
      </w:r>
      <w:r w:rsidR="08E93694" w:rsidRPr="003D1E07">
        <w:t>tzv. „</w:t>
      </w:r>
      <w:r w:rsidR="088D2679" w:rsidRPr="003D1E07">
        <w:t>druhého averroismu</w:t>
      </w:r>
      <w:r w:rsidR="08E93694" w:rsidRPr="003D1E07">
        <w:t>“, které představí druhý díl výkladu objektivity</w:t>
      </w:r>
      <w:r w:rsidR="088D2679" w:rsidRPr="003D1E07">
        <w:t xml:space="preserve">. </w:t>
      </w:r>
      <w:r w:rsidR="085B6A09" w:rsidRPr="003D1E07">
        <w:rPr>
          <w:lang w:eastAsia="en-US"/>
        </w:rPr>
        <w:t>Descartes</w:t>
      </w:r>
      <w:r w:rsidR="085B6A09" w:rsidRPr="003D1E07">
        <w:t xml:space="preserve"> nakonec vytvoří postmoderní figuru iluminát</w:t>
      </w:r>
      <w:r w:rsidR="083C31BB" w:rsidRPr="003D1E07">
        <w:t>a</w:t>
      </w:r>
      <w:r w:rsidR="085B6A09" w:rsidRPr="003D1E07">
        <w:t xml:space="preserve"> vytvářejícího </w:t>
      </w:r>
      <w:r w:rsidR="085B6A09" w:rsidRPr="003D1E07">
        <w:rPr>
          <w:lang w:eastAsia="en-US"/>
        </w:rPr>
        <w:t>nový objektivní výklad světa a matematick</w:t>
      </w:r>
      <w:r w:rsidR="00804CB5" w:rsidRPr="003D1E07">
        <w:rPr>
          <w:lang w:eastAsia="en-US"/>
        </w:rPr>
        <w:t xml:space="preserve">é </w:t>
      </w:r>
      <w:r w:rsidR="085B6A09" w:rsidRPr="003D1E07">
        <w:rPr>
          <w:rStyle w:val="FontStyle129"/>
          <w:rFonts w:ascii="Calibri" w:hAnsi="Calibri"/>
          <w:sz w:val="24"/>
        </w:rPr>
        <w:t xml:space="preserve">určení </w:t>
      </w:r>
      <w:r w:rsidR="085B6A09" w:rsidRPr="003D1E07">
        <w:rPr>
          <w:rStyle w:val="FontStyle129"/>
          <w:rFonts w:ascii="Calibri" w:hAnsi="Calibri"/>
          <w:i/>
          <w:sz w:val="24"/>
        </w:rPr>
        <w:t>tertium ens</w:t>
      </w:r>
      <w:r w:rsidR="085B6A09" w:rsidRPr="003D1E07">
        <w:rPr>
          <w:rStyle w:val="FontStyle129"/>
          <w:rFonts w:ascii="Calibri" w:hAnsi="Calibri"/>
          <w:sz w:val="24"/>
        </w:rPr>
        <w:t xml:space="preserve">. </w:t>
      </w:r>
      <w:r w:rsidR="00513794" w:rsidRPr="003D1E07">
        <w:rPr>
          <w:rStyle w:val="FontStyle129"/>
          <w:rFonts w:ascii="Calibri" w:hAnsi="Calibri"/>
          <w:sz w:val="24"/>
        </w:rPr>
        <w:t xml:space="preserve">Postmoderna se vrátila </w:t>
      </w:r>
      <w:r w:rsidR="083C31BB" w:rsidRPr="003D1E07">
        <w:rPr>
          <w:rStyle w:val="FontStyle129"/>
          <w:rFonts w:ascii="Calibri" w:hAnsi="Calibri"/>
          <w:sz w:val="24"/>
        </w:rPr>
        <w:t>zpět do neoplatoni</w:t>
      </w:r>
      <w:r w:rsidR="085B6A09" w:rsidRPr="003D1E07">
        <w:rPr>
          <w:rStyle w:val="FontStyle129"/>
          <w:rFonts w:ascii="Calibri" w:hAnsi="Calibri"/>
          <w:sz w:val="24"/>
        </w:rPr>
        <w:t>smu určené</w:t>
      </w:r>
      <w:r w:rsidR="083C31BB" w:rsidRPr="003D1E07">
        <w:rPr>
          <w:rStyle w:val="FontStyle129"/>
          <w:rFonts w:ascii="Calibri" w:hAnsi="Calibri"/>
          <w:sz w:val="24"/>
        </w:rPr>
        <w:t>ho</w:t>
      </w:r>
      <w:r w:rsidR="085B6A09" w:rsidRPr="003D1E07">
        <w:rPr>
          <w:rStyle w:val="FontStyle129"/>
          <w:rFonts w:ascii="Calibri" w:hAnsi="Calibri"/>
          <w:sz w:val="24"/>
        </w:rPr>
        <w:t xml:space="preserve"> analogickými vztahy Si</w:t>
      </w:r>
      <w:r w:rsidR="083C31BB" w:rsidRPr="003D1E07">
        <w:rPr>
          <w:rStyle w:val="FontStyle129"/>
          <w:rFonts w:ascii="Calibri" w:hAnsi="Calibri"/>
          <w:sz w:val="24"/>
        </w:rPr>
        <w:t>m</w:t>
      </w:r>
      <w:r w:rsidR="083F4CAF" w:rsidRPr="003D1E07">
        <w:rPr>
          <w:rStyle w:val="FontStyle129"/>
          <w:rFonts w:ascii="Calibri" w:hAnsi="Calibri"/>
          <w:sz w:val="24"/>
        </w:rPr>
        <w:t xml:space="preserve">plikia a </w:t>
      </w:r>
      <w:r w:rsidR="08E237C8" w:rsidRPr="003D1E07">
        <w:rPr>
          <w:rStyle w:val="FontStyle129"/>
          <w:rFonts w:ascii="Calibri" w:hAnsi="Calibri"/>
          <w:sz w:val="24"/>
        </w:rPr>
        <w:t xml:space="preserve">do </w:t>
      </w:r>
      <w:r w:rsidR="083F4CAF" w:rsidRPr="003D1E07">
        <w:rPr>
          <w:rStyle w:val="FontStyle129"/>
          <w:rFonts w:ascii="Calibri" w:hAnsi="Calibri"/>
          <w:sz w:val="24"/>
        </w:rPr>
        <w:t xml:space="preserve">mytopoetiky </w:t>
      </w:r>
      <w:r w:rsidR="085B6A09" w:rsidRPr="003D1E07">
        <w:rPr>
          <w:rStyle w:val="FontStyle129"/>
          <w:rFonts w:ascii="Calibri" w:hAnsi="Calibri"/>
          <w:sz w:val="24"/>
        </w:rPr>
        <w:t xml:space="preserve">dialogu </w:t>
      </w:r>
      <w:r w:rsidR="085B6A09" w:rsidRPr="003D1E07">
        <w:rPr>
          <w:rStyle w:val="FontStyle129"/>
          <w:rFonts w:ascii="Calibri" w:hAnsi="Calibri"/>
          <w:i/>
          <w:sz w:val="24"/>
        </w:rPr>
        <w:t>Timaios</w:t>
      </w:r>
      <w:r w:rsidR="085B6A09" w:rsidRPr="003D1E07">
        <w:rPr>
          <w:rStyle w:val="FontStyle129"/>
          <w:rFonts w:ascii="Calibri" w:hAnsi="Calibri"/>
          <w:sz w:val="24"/>
        </w:rPr>
        <w:t xml:space="preserve">. </w:t>
      </w:r>
      <w:r w:rsidR="082A7AAB" w:rsidRPr="003D1E07">
        <w:rPr>
          <w:rStyle w:val="FontStyle129"/>
          <w:rFonts w:ascii="Calibri" w:hAnsi="Calibri"/>
          <w:sz w:val="24"/>
        </w:rPr>
        <w:t xml:space="preserve">Vytěsněná </w:t>
      </w:r>
      <w:r w:rsidR="00C97A00" w:rsidRPr="003D1E07">
        <w:t xml:space="preserve">figura </w:t>
      </w:r>
      <w:r w:rsidR="00D528CF" w:rsidRPr="003D1E07">
        <w:t xml:space="preserve">aristotelského </w:t>
      </w:r>
      <w:r w:rsidR="00C97A00" w:rsidRPr="003D1E07">
        <w:t xml:space="preserve">intelektuála je dána </w:t>
      </w:r>
      <w:r w:rsidR="00B76E82" w:rsidRPr="003D1E07">
        <w:t>islámskými vykladači Aristotela, což byli myslitelé</w:t>
      </w:r>
      <w:r w:rsidR="00C97A00" w:rsidRPr="003D1E07">
        <w:t xml:space="preserve"> </w:t>
      </w:r>
      <w:r w:rsidR="00DD6439" w:rsidRPr="003D1E07">
        <w:t xml:space="preserve">jako </w:t>
      </w:r>
      <w:r w:rsidR="00DD6439" w:rsidRPr="003D1E07">
        <w:rPr>
          <w:rStyle w:val="FontStyle129"/>
          <w:rFonts w:ascii="Calibri" w:hAnsi="Calibri"/>
          <w:sz w:val="24"/>
        </w:rPr>
        <w:t xml:space="preserve">Ibn Ádí, </w:t>
      </w:r>
      <w:r w:rsidR="00DD6439" w:rsidRPr="003D1E07">
        <w:t>Al-Ghazálí</w:t>
      </w:r>
      <w:r w:rsidR="001507D0" w:rsidRPr="003D1E07">
        <w:fldChar w:fldCharType="begin"/>
      </w:r>
      <w:r w:rsidR="001507D0" w:rsidRPr="003D1E07">
        <w:instrText xml:space="preserve"> XE "</w:instrText>
      </w:r>
      <w:r w:rsidR="001507D0" w:rsidRPr="003D1E07">
        <w:rPr>
          <w:rStyle w:val="FontStyle129"/>
          <w:rFonts w:ascii="Calibri" w:hAnsi="Calibri"/>
          <w:sz w:val="24"/>
        </w:rPr>
        <w:instrText>Al-Ghazálí</w:instrText>
      </w:r>
      <w:r w:rsidR="001507D0" w:rsidRPr="003D1E07">
        <w:instrText xml:space="preserve">" </w:instrText>
      </w:r>
      <w:r w:rsidR="001507D0" w:rsidRPr="003D1E07">
        <w:fldChar w:fldCharType="end"/>
      </w:r>
      <w:r w:rsidR="08B0611A" w:rsidRPr="003D1E07">
        <w:t xml:space="preserve"> </w:t>
      </w:r>
      <w:r w:rsidR="00875766" w:rsidRPr="003D1E07">
        <w:t xml:space="preserve">a </w:t>
      </w:r>
      <w:r w:rsidR="006F7956" w:rsidRPr="003D1E07">
        <w:t>Averroe</w:t>
      </w:r>
      <w:r w:rsidR="08B0611A" w:rsidRPr="003D1E07">
        <w:t>s</w:t>
      </w:r>
      <w:r w:rsidR="005A53AE" w:rsidRPr="003D1E07">
        <w:t xml:space="preserve">. Tento proud </w:t>
      </w:r>
      <w:r w:rsidR="00DD6439" w:rsidRPr="003D1E07">
        <w:t xml:space="preserve">najde scholastické pokračovatele ve škole </w:t>
      </w:r>
      <w:r w:rsidR="082A7AAB" w:rsidRPr="003D1E07">
        <w:t>tzv. „</w:t>
      </w:r>
      <w:r w:rsidR="007F01EE" w:rsidRPr="003D1E07">
        <w:t>prvního averroismu</w:t>
      </w:r>
      <w:r w:rsidR="082A7AAB" w:rsidRPr="003D1E07">
        <w:t>“</w:t>
      </w:r>
      <w:r w:rsidR="007F01EE" w:rsidRPr="003D1E07">
        <w:t xml:space="preserve">. </w:t>
      </w:r>
      <w:r w:rsidR="005F20EA" w:rsidRPr="003D1E07">
        <w:t>Albert</w:t>
      </w:r>
      <w:r w:rsidR="088531A8" w:rsidRPr="003D1E07">
        <w:t xml:space="preserve"> Veliký</w:t>
      </w:r>
      <w:r w:rsidR="005F20EA" w:rsidRPr="003D1E07">
        <w:t xml:space="preserve">, </w:t>
      </w:r>
      <w:r w:rsidR="088531A8" w:rsidRPr="003D1E07">
        <w:t xml:space="preserve">Roger </w:t>
      </w:r>
      <w:r w:rsidR="005F20EA" w:rsidRPr="003D1E07">
        <w:t>Bacon, Siger</w:t>
      </w:r>
      <w:r w:rsidR="088531A8" w:rsidRPr="003D1E07">
        <w:t xml:space="preserve"> z Brabantu</w:t>
      </w:r>
      <w:r w:rsidR="00710AE4" w:rsidRPr="003D1E07">
        <w:fldChar w:fldCharType="begin"/>
      </w:r>
      <w:r w:rsidR="00710AE4" w:rsidRPr="003D1E07">
        <w:instrText xml:space="preserve"> XE "Siger z Brabantu" </w:instrText>
      </w:r>
      <w:r w:rsidR="00710AE4" w:rsidRPr="003D1E07">
        <w:fldChar w:fldCharType="end"/>
      </w:r>
      <w:r w:rsidR="005F20EA" w:rsidRPr="003D1E07">
        <w:t>, Boethius z Dácie</w:t>
      </w:r>
      <w:r w:rsidR="088531A8" w:rsidRPr="003D1E07">
        <w:fldChar w:fldCharType="begin"/>
      </w:r>
      <w:r w:rsidR="088531A8" w:rsidRPr="003D1E07">
        <w:instrText xml:space="preserve"> XE "</w:instrText>
      </w:r>
      <w:r w:rsidR="088531A8" w:rsidRPr="003D1E07">
        <w:rPr>
          <w:lang w:eastAsia="en-US"/>
        </w:rPr>
        <w:instrText>Boethius z Dácie</w:instrText>
      </w:r>
      <w:r w:rsidR="088531A8" w:rsidRPr="003D1E07">
        <w:instrText xml:space="preserve">" </w:instrText>
      </w:r>
      <w:r w:rsidR="088531A8" w:rsidRPr="003D1E07">
        <w:fldChar w:fldCharType="end"/>
      </w:r>
      <w:r w:rsidR="005F20EA" w:rsidRPr="003D1E07">
        <w:t xml:space="preserve"> </w:t>
      </w:r>
      <w:r w:rsidR="007F01EE" w:rsidRPr="003D1E07">
        <w:t>navázali</w:t>
      </w:r>
      <w:r w:rsidR="00C97A00" w:rsidRPr="003D1E07">
        <w:t xml:space="preserve"> </w:t>
      </w:r>
      <w:r w:rsidR="006F7956" w:rsidRPr="003D1E07">
        <w:lastRenderedPageBreak/>
        <w:t>na dědictví racionálního Averroe</w:t>
      </w:r>
      <w:r w:rsidR="00C97A00" w:rsidRPr="003D1E07">
        <w:t>se</w:t>
      </w:r>
      <w:r w:rsidR="007F01EE" w:rsidRPr="003D1E07">
        <w:t xml:space="preserve"> a kritizovali </w:t>
      </w:r>
      <w:r w:rsidR="000D65FC" w:rsidRPr="003D1E07">
        <w:t>latinské avicennistické ilumináty</w:t>
      </w:r>
      <w:r w:rsidR="005F20EA" w:rsidRPr="003D1E07">
        <w:t xml:space="preserve"> ze školy druhého averroismu</w:t>
      </w:r>
      <w:r w:rsidR="008075AA" w:rsidRPr="003D1E07">
        <w:t xml:space="preserve">, kteří založili </w:t>
      </w:r>
      <w:r w:rsidR="008075AA" w:rsidRPr="003D1E07">
        <w:rPr>
          <w:i/>
        </w:rPr>
        <w:t>via Modernorum</w:t>
      </w:r>
      <w:r w:rsidR="00C97A00" w:rsidRPr="003D1E07">
        <w:t>.</w:t>
      </w:r>
      <w:r w:rsidR="006F7956" w:rsidRPr="003D1E07">
        <w:t xml:space="preserve"> </w:t>
      </w:r>
      <w:r w:rsidR="08DD2C1E" w:rsidRPr="003D1E07">
        <w:t xml:space="preserve">Dnešní </w:t>
      </w:r>
      <w:r w:rsidR="08214FC5" w:rsidRPr="003D1E07">
        <w:t xml:space="preserve">objektivní </w:t>
      </w:r>
      <w:r w:rsidR="08DD2C1E" w:rsidRPr="003D1E07">
        <w:t>badatelé zařadili</w:t>
      </w:r>
      <w:r w:rsidR="006F7956" w:rsidRPr="003D1E07">
        <w:t xml:space="preserve"> aristotelské intelektuály </w:t>
      </w:r>
      <w:r w:rsidR="08DD2C1E" w:rsidRPr="003D1E07">
        <w:t xml:space="preserve">z Rue du Fouarre </w:t>
      </w:r>
      <w:r w:rsidR="006F7956" w:rsidRPr="003D1E07">
        <w:t xml:space="preserve">do dějinné formace moderních pokrokářů typu Avicenny </w:t>
      </w:r>
      <w:r w:rsidR="08F40371" w:rsidRPr="003D1E07">
        <w:t>a udělal</w:t>
      </w:r>
      <w:r w:rsidR="08DD2C1E" w:rsidRPr="003D1E07">
        <w:t>i</w:t>
      </w:r>
      <w:r w:rsidR="08F40371" w:rsidRPr="003D1E07">
        <w:t xml:space="preserve"> z nich </w:t>
      </w:r>
      <w:r w:rsidR="08AE155D" w:rsidRPr="003D1E07">
        <w:t xml:space="preserve">jednu univoční </w:t>
      </w:r>
      <w:r w:rsidR="08AC7E0A" w:rsidRPr="003D1E07">
        <w:t>f</w:t>
      </w:r>
      <w:r w:rsidR="08F40371" w:rsidRPr="003D1E07">
        <w:t>iguru latinského intelektuála (Libera 1991</w:t>
      </w:r>
      <w:r w:rsidR="08AC7E0A" w:rsidRPr="003D1E07">
        <w:t>, 1994</w:t>
      </w:r>
      <w:r w:rsidR="006F7956" w:rsidRPr="003D1E07">
        <w:t xml:space="preserve">). </w:t>
      </w:r>
      <w:r w:rsidR="00514D0A" w:rsidRPr="003D1E07">
        <w:t>P</w:t>
      </w:r>
      <w:r w:rsidR="08013FF8" w:rsidRPr="003D1E07">
        <w:t xml:space="preserve">rvním kritikem </w:t>
      </w:r>
      <w:r w:rsidR="00864018" w:rsidRPr="003D1E07">
        <w:t xml:space="preserve">moderních </w:t>
      </w:r>
      <w:r w:rsidR="08013FF8" w:rsidRPr="003D1E07">
        <w:t xml:space="preserve">iluminátů </w:t>
      </w:r>
      <w:r w:rsidR="00EE5548" w:rsidRPr="003D1E07">
        <w:t>byl Al-Ghazálí</w:t>
      </w:r>
      <w:r w:rsidR="009507B1" w:rsidRPr="003D1E07">
        <w:fldChar w:fldCharType="begin"/>
      </w:r>
      <w:r w:rsidR="009507B1" w:rsidRPr="003D1E07">
        <w:instrText xml:space="preserve"> XE "Al</w:instrText>
      </w:r>
      <w:r w:rsidR="00247EF8" w:rsidRPr="003D1E07">
        <w:instrText>-</w:instrText>
      </w:r>
      <w:r w:rsidR="009507B1" w:rsidRPr="003D1E07">
        <w:instrText xml:space="preserve">Ghazálí" </w:instrText>
      </w:r>
      <w:r w:rsidR="009507B1" w:rsidRPr="003D1E07">
        <w:fldChar w:fldCharType="end"/>
      </w:r>
      <w:r w:rsidR="00EE5548" w:rsidRPr="003D1E07">
        <w:t xml:space="preserve">, který </w:t>
      </w:r>
      <w:r w:rsidR="00514D0A" w:rsidRPr="003D1E07">
        <w:t>odmítl</w:t>
      </w:r>
      <w:r w:rsidR="00EE5548" w:rsidRPr="003D1E07">
        <w:t xml:space="preserve"> ont</w:t>
      </w:r>
      <w:r w:rsidR="00864018" w:rsidRPr="003D1E07">
        <w:t xml:space="preserve">oteologii </w:t>
      </w:r>
      <w:r w:rsidR="004453D7" w:rsidRPr="003D1E07">
        <w:t xml:space="preserve">modernistů </w:t>
      </w:r>
      <w:r w:rsidR="00864018" w:rsidRPr="003D1E07">
        <w:t>jako byl Avicenna</w:t>
      </w:r>
      <w:r w:rsidR="004453D7" w:rsidRPr="003D1E07">
        <w:t xml:space="preserve">. </w:t>
      </w:r>
      <w:r w:rsidR="00CE7467" w:rsidRPr="003D1E07">
        <w:t>Pro vznik člověka na Západě bylo naprosto důležité, že v islámu převážila al-Ghazálího</w:t>
      </w:r>
      <w:r w:rsidR="00CE7467" w:rsidRPr="003D1E07">
        <w:fldChar w:fldCharType="begin"/>
      </w:r>
      <w:r w:rsidR="00CE7467" w:rsidRPr="003D1E07">
        <w:instrText xml:space="preserve"> XE "al-Ghazálí" </w:instrText>
      </w:r>
      <w:r w:rsidR="00CE7467" w:rsidRPr="003D1E07">
        <w:fldChar w:fldCharType="end"/>
      </w:r>
      <w:r w:rsidR="00CE7467" w:rsidRPr="003D1E07">
        <w:t xml:space="preserve"> obhajoba boží nedeterminované volby (</w:t>
      </w:r>
      <w:r w:rsidR="00CE7467" w:rsidRPr="003D1E07">
        <w:rPr>
          <w:i/>
        </w:rPr>
        <w:t>irāda</w:t>
      </w:r>
      <w:r w:rsidR="00CE7467" w:rsidRPr="003D1E07">
        <w:t>) a lidské svobodné vůle (</w:t>
      </w:r>
      <w:r w:rsidR="00CE7467" w:rsidRPr="003D1E07">
        <w:rPr>
          <w:i/>
        </w:rPr>
        <w:t>ikhtiyār</w:t>
      </w:r>
      <w:r w:rsidR="00CE7467" w:rsidRPr="003D1E07">
        <w:t xml:space="preserve">) nad Avicennovou nutností. Avicennova osoba jako </w:t>
      </w:r>
      <w:r w:rsidR="00CE7467" w:rsidRPr="003D1E07">
        <w:rPr>
          <w:i/>
        </w:rPr>
        <w:t>tertium ens</w:t>
      </w:r>
      <w:r w:rsidR="00CE7467" w:rsidRPr="003D1E07">
        <w:t xml:space="preserve"> navazovala na jeho logickou povahu moderní metafyziky. </w:t>
      </w:r>
      <w:r w:rsidR="004453D7" w:rsidRPr="003D1E07">
        <w:t xml:space="preserve">Algazel správně viděl, že </w:t>
      </w:r>
      <w:r w:rsidR="082A2BB8" w:rsidRPr="003D1E07">
        <w:t xml:space="preserve">komitační predikace Avicenny je ve skutečnosti emanační model </w:t>
      </w:r>
      <w:r w:rsidR="00874074" w:rsidRPr="003D1E07">
        <w:t>neoplatonsk</w:t>
      </w:r>
      <w:r w:rsidR="004453D7" w:rsidRPr="003D1E07">
        <w:t>ého myšlení</w:t>
      </w:r>
      <w:r w:rsidR="082A2BB8" w:rsidRPr="003D1E07">
        <w:t xml:space="preserve">. Antropomorfizace boha nutně </w:t>
      </w:r>
      <w:r w:rsidR="004453D7" w:rsidRPr="003D1E07">
        <w:t>vede k objektivní smrti boha</w:t>
      </w:r>
      <w:r w:rsidR="00C72114" w:rsidRPr="003D1E07">
        <w:t xml:space="preserve"> </w:t>
      </w:r>
      <w:r w:rsidR="001330D8" w:rsidRPr="003D1E07">
        <w:rPr>
          <w:color w:val="000000"/>
        </w:rPr>
        <w:fldChar w:fldCharType="begin"/>
      </w:r>
      <w:r w:rsidR="001330D8" w:rsidRPr="003D1E07">
        <w:instrText xml:space="preserve"> XE "smrt boha" </w:instrText>
      </w:r>
      <w:r w:rsidR="001330D8" w:rsidRPr="003D1E07">
        <w:rPr>
          <w:color w:val="000000"/>
        </w:rPr>
        <w:fldChar w:fldCharType="end"/>
      </w:r>
      <w:r w:rsidR="00C72114" w:rsidRPr="003D1E07">
        <w:t>skrze filosofickou sofistiku</w:t>
      </w:r>
      <w:r w:rsidR="005C24FC" w:rsidRPr="003D1E07">
        <w:t xml:space="preserve">. Tento islámský myslitel sledoval vpád </w:t>
      </w:r>
      <w:r w:rsidR="00874074" w:rsidRPr="003D1E07">
        <w:t>neoplatonsk</w:t>
      </w:r>
      <w:r w:rsidR="007D182A" w:rsidRPr="003D1E07">
        <w:t xml:space="preserve">é </w:t>
      </w:r>
      <w:r w:rsidR="005C24FC" w:rsidRPr="003D1E07">
        <w:t>filosofie do teologie se stejným znepokojením jako</w:t>
      </w:r>
      <w:r w:rsidR="007D182A" w:rsidRPr="003D1E07">
        <w:t xml:space="preserve"> </w:t>
      </w:r>
      <w:r w:rsidR="0066676F" w:rsidRPr="003D1E07">
        <w:t>p</w:t>
      </w:r>
      <w:r w:rsidR="00477A1D" w:rsidRPr="003D1E07">
        <w:t>rvní scholastičtí znalci Averroe</w:t>
      </w:r>
      <w:r w:rsidR="0066676F" w:rsidRPr="003D1E07">
        <w:t>se</w:t>
      </w:r>
      <w:r w:rsidR="005953F3" w:rsidRPr="003D1E07">
        <w:t xml:space="preserve">, kteří </w:t>
      </w:r>
      <w:r w:rsidR="005C24FC" w:rsidRPr="003D1E07">
        <w:t xml:space="preserve">nesouhlasili s </w:t>
      </w:r>
      <w:r w:rsidR="08794933" w:rsidRPr="003D1E07">
        <w:t xml:space="preserve">modernistickou </w:t>
      </w:r>
      <w:r w:rsidR="005C24FC" w:rsidRPr="003D1E07">
        <w:t xml:space="preserve">transformací filosofického a teologického paradigmatu na latinském Západě. </w:t>
      </w:r>
      <w:r w:rsidR="08AA24BF" w:rsidRPr="003D1E07">
        <w:t>K</w:t>
      </w:r>
      <w:r w:rsidR="009A6762" w:rsidRPr="003D1E07">
        <w:t xml:space="preserve">líčovým protagonistou </w:t>
      </w:r>
      <w:r w:rsidR="08AA24BF" w:rsidRPr="003D1E07">
        <w:t xml:space="preserve">této školy prvního averroismu </w:t>
      </w:r>
      <w:r w:rsidR="009A6762" w:rsidRPr="003D1E07">
        <w:t xml:space="preserve">byl </w:t>
      </w:r>
      <w:r w:rsidR="08CE026F" w:rsidRPr="003D1E07">
        <w:t>pařížský arci</w:t>
      </w:r>
      <w:r w:rsidR="009A6762" w:rsidRPr="003D1E07">
        <w:t>bis</w:t>
      </w:r>
      <w:r w:rsidR="08794933" w:rsidRPr="003D1E07">
        <w:t xml:space="preserve">kup </w:t>
      </w:r>
      <w:r w:rsidR="08CE026F" w:rsidRPr="003D1E07">
        <w:rPr>
          <w:bCs/>
        </w:rPr>
        <w:t>Guilielmus Alvernus</w:t>
      </w:r>
      <w:r w:rsidR="00B96FE2" w:rsidRPr="003D1E07">
        <w:rPr>
          <w:bCs/>
        </w:rPr>
        <w:t xml:space="preserve"> jako </w:t>
      </w:r>
      <w:r w:rsidR="00B96FE2" w:rsidRPr="003D1E07">
        <w:rPr>
          <w:i/>
        </w:rPr>
        <w:t>Algazel redivivus</w:t>
      </w:r>
      <w:r w:rsidR="009A6762" w:rsidRPr="003D1E07">
        <w:t xml:space="preserve">. </w:t>
      </w:r>
      <w:r w:rsidR="00FB3CC1" w:rsidRPr="003D1E07">
        <w:t>Al-Ghazálí</w:t>
      </w:r>
      <w:r w:rsidR="00FB3CC1" w:rsidRPr="003D1E07">
        <w:fldChar w:fldCharType="begin"/>
      </w:r>
      <w:r w:rsidR="00FB3CC1" w:rsidRPr="003D1E07">
        <w:instrText xml:space="preserve"> XE "Al-Ghazálí" </w:instrText>
      </w:r>
      <w:r w:rsidR="00FB3CC1" w:rsidRPr="003D1E07">
        <w:fldChar w:fldCharType="end"/>
      </w:r>
      <w:r w:rsidR="00FB3CC1" w:rsidRPr="003D1E07">
        <w:t xml:space="preserve"> vytvořil v díle </w:t>
      </w:r>
      <w:r w:rsidR="08F24E07" w:rsidRPr="003D1E07">
        <w:rPr>
          <w:i/>
          <w:iCs/>
        </w:rPr>
        <w:t>Tahāfut al-</w:t>
      </w:r>
      <w:r w:rsidR="00FB3CC1" w:rsidRPr="003D1E07">
        <w:rPr>
          <w:i/>
          <w:iCs/>
        </w:rPr>
        <w:t>Falāsifah</w:t>
      </w:r>
      <w:r w:rsidR="00FB3CC1" w:rsidRPr="003D1E07">
        <w:t xml:space="preserve"> seznam </w:t>
      </w:r>
      <w:r w:rsidR="08A63261" w:rsidRPr="003D1E07">
        <w:t xml:space="preserve">dvaceti </w:t>
      </w:r>
      <w:r w:rsidR="08FB6195" w:rsidRPr="003D1E07">
        <w:t xml:space="preserve">zásadních </w:t>
      </w:r>
      <w:r w:rsidR="00FB3CC1" w:rsidRPr="003D1E07">
        <w:t xml:space="preserve">omylů Avicenny. </w:t>
      </w:r>
      <w:r w:rsidR="08D92613" w:rsidRPr="003D1E07">
        <w:t>O</w:t>
      </w:r>
      <w:r w:rsidR="08A63261" w:rsidRPr="003D1E07">
        <w:t>myly, které Al-Ghazálí přič</w:t>
      </w:r>
      <w:r w:rsidR="08A21253" w:rsidRPr="003D1E07">
        <w:t xml:space="preserve">ítal avicennistům, se znovu objeví v novém kole </w:t>
      </w:r>
      <w:r w:rsidR="08A63261" w:rsidRPr="003D1E07">
        <w:t xml:space="preserve">gigantomachie </w:t>
      </w:r>
      <w:r w:rsidR="08026914" w:rsidRPr="003D1E07">
        <w:t xml:space="preserve">v učení </w:t>
      </w:r>
      <w:r w:rsidR="08905D09" w:rsidRPr="003D1E07">
        <w:t xml:space="preserve">druhého averroismu. Šlo opravdu o zásadní témata: </w:t>
      </w:r>
      <w:r w:rsidR="088A1F01" w:rsidRPr="003D1E07">
        <w:t xml:space="preserve">smrt boha ve filosofii, </w:t>
      </w:r>
      <w:r w:rsidR="08013627" w:rsidRPr="003D1E07">
        <w:t xml:space="preserve">problematicky ustavená </w:t>
      </w:r>
      <w:r w:rsidR="08A63261" w:rsidRPr="003D1E07">
        <w:t>věčnost světa, odmítnutí boží</w:t>
      </w:r>
      <w:r w:rsidR="083B03DF" w:rsidRPr="003D1E07">
        <w:t xml:space="preserve"> reálné</w:t>
      </w:r>
      <w:r w:rsidR="08013627" w:rsidRPr="003D1E07">
        <w:t xml:space="preserve"> kauzality</w:t>
      </w:r>
      <w:r w:rsidR="08A63261" w:rsidRPr="003D1E07">
        <w:t>, monopsychická jednota intelektu, univerzá</w:t>
      </w:r>
      <w:r w:rsidR="08905D09" w:rsidRPr="003D1E07">
        <w:t>lní determinismus daný emanačně</w:t>
      </w:r>
      <w:r w:rsidR="08A63261" w:rsidRPr="003D1E07">
        <w:t xml:space="preserve">. </w:t>
      </w:r>
      <w:r w:rsidR="00FB3CC1" w:rsidRPr="003D1E07">
        <w:t xml:space="preserve">Na </w:t>
      </w:r>
      <w:r w:rsidR="084044B2" w:rsidRPr="003D1E07">
        <w:t>Al-</w:t>
      </w:r>
      <w:r w:rsidR="00FB3CC1" w:rsidRPr="003D1E07">
        <w:t>Ghazálího</w:t>
      </w:r>
      <w:r w:rsidR="00FB3CC1" w:rsidRPr="003D1E07">
        <w:fldChar w:fldCharType="begin"/>
      </w:r>
      <w:r w:rsidR="00FB3CC1" w:rsidRPr="003D1E07">
        <w:instrText xml:space="preserve"> XE "Al-Ghazálí" </w:instrText>
      </w:r>
      <w:r w:rsidR="00FB3CC1" w:rsidRPr="003D1E07">
        <w:fldChar w:fldCharType="end"/>
      </w:r>
      <w:r w:rsidR="00FB3CC1" w:rsidRPr="003D1E07">
        <w:t xml:space="preserve"> kritiku smrti boha v moderní filosofii tematicky navazovalo odsouzení</w:t>
      </w:r>
      <w:r w:rsidR="00FB3CC1" w:rsidRPr="003D1E07">
        <w:fldChar w:fldCharType="begin"/>
      </w:r>
      <w:r w:rsidR="00FB3CC1" w:rsidRPr="003D1E07">
        <w:instrText xml:space="preserve"> XE "odsouzení 1270" </w:instrText>
      </w:r>
      <w:r w:rsidR="00FB3CC1" w:rsidRPr="003D1E07">
        <w:fldChar w:fldCharType="end"/>
      </w:r>
      <w:r w:rsidR="00FB3CC1" w:rsidRPr="003D1E07">
        <w:t xml:space="preserve"> 13 tezí promulgované 10. prosince 1270 pařížským biskupem Etiennem Tempierem</w:t>
      </w:r>
      <w:r w:rsidR="08026914" w:rsidRPr="003D1E07">
        <w:rPr>
          <w:szCs w:val="24"/>
        </w:rPr>
        <w:fldChar w:fldCharType="begin"/>
      </w:r>
      <w:r w:rsidR="08026914" w:rsidRPr="003D1E07">
        <w:instrText xml:space="preserve"> XE "</w:instrText>
      </w:r>
      <w:r w:rsidR="08026914" w:rsidRPr="003D1E07">
        <w:rPr>
          <w:szCs w:val="24"/>
        </w:rPr>
        <w:instrText>Tempier, E.</w:instrText>
      </w:r>
      <w:r w:rsidR="08026914" w:rsidRPr="003D1E07">
        <w:instrText xml:space="preserve">" </w:instrText>
      </w:r>
      <w:r w:rsidR="08026914" w:rsidRPr="003D1E07">
        <w:rPr>
          <w:szCs w:val="24"/>
        </w:rPr>
        <w:fldChar w:fldCharType="end"/>
      </w:r>
      <w:r w:rsidR="00FB3CC1" w:rsidRPr="003D1E07">
        <w:t xml:space="preserve">. </w:t>
      </w:r>
      <w:r w:rsidR="00992D57" w:rsidRPr="003D1E07">
        <w:t xml:space="preserve">Na redakci </w:t>
      </w:r>
      <w:r w:rsidR="08B348DD" w:rsidRPr="003D1E07">
        <w:t xml:space="preserve">13 odsuzujících tezí </w:t>
      </w:r>
      <w:r w:rsidR="00992D57" w:rsidRPr="003D1E07">
        <w:t>měli ještě vliv představitelé prvního averroismu, což povrdilo prohlášení magistrů artistické fakulty z 1. dubna 1272</w:t>
      </w:r>
      <w:r w:rsidR="00E2393C" w:rsidRPr="003D1E07">
        <w:rPr>
          <w:szCs w:val="24"/>
        </w:rPr>
        <w:fldChar w:fldCharType="begin"/>
      </w:r>
      <w:r w:rsidR="00E2393C" w:rsidRPr="003D1E07">
        <w:instrText xml:space="preserve"> XE "</w:instrText>
      </w:r>
      <w:r w:rsidR="00E2393C" w:rsidRPr="003D1E07">
        <w:rPr>
          <w:szCs w:val="24"/>
        </w:rPr>
        <w:instrText>dekret artistů 1272</w:instrText>
      </w:r>
      <w:r w:rsidR="00E2393C" w:rsidRPr="003D1E07">
        <w:instrText xml:space="preserve">" </w:instrText>
      </w:r>
      <w:r w:rsidR="00E2393C" w:rsidRPr="003D1E07">
        <w:rPr>
          <w:szCs w:val="24"/>
        </w:rPr>
        <w:fldChar w:fldCharType="end"/>
      </w:r>
      <w:r w:rsidR="00992D57" w:rsidRPr="003D1E07">
        <w:t>. Ale klíčové odsouzení z roku 1277</w:t>
      </w:r>
      <w:r w:rsidR="00992D57" w:rsidRPr="003D1E07">
        <w:fldChar w:fldCharType="begin"/>
      </w:r>
      <w:r w:rsidR="00992D57" w:rsidRPr="003D1E07">
        <w:instrText xml:space="preserve"> XE "odsouzení 1277" </w:instrText>
      </w:r>
      <w:r w:rsidR="00992D57" w:rsidRPr="003D1E07">
        <w:fldChar w:fldCharType="end"/>
      </w:r>
      <w:r w:rsidR="00992D57" w:rsidRPr="003D1E07">
        <w:t xml:space="preserve"> už koncipovali představitelé druhého averroismu</w:t>
      </w:r>
      <w:r w:rsidR="087A3827" w:rsidRPr="003D1E07">
        <w:t>. T</w:t>
      </w:r>
      <w:r w:rsidR="08061C46" w:rsidRPr="003D1E07">
        <w:t xml:space="preserve">ato škola </w:t>
      </w:r>
      <w:r w:rsidR="08E01C5D" w:rsidRPr="003D1E07">
        <w:t xml:space="preserve">avicennistických </w:t>
      </w:r>
      <w:r w:rsidR="08061C46" w:rsidRPr="003D1E07">
        <w:t xml:space="preserve">modernistů porazila a zničila kritické myšlení prvního averroismu. </w:t>
      </w:r>
      <w:r w:rsidR="08F07F5D" w:rsidRPr="003D1E07">
        <w:t xml:space="preserve">Aristotelismus na filosofické fakultě v Rue du Fouarre následoval tragický osud bagdádského Domu moudrosti. </w:t>
      </w:r>
      <w:r w:rsidR="00E2393C" w:rsidRPr="003D1E07">
        <w:t>Stejný spor proběh</w:t>
      </w:r>
      <w:r w:rsidR="08D37ADF" w:rsidRPr="003D1E07">
        <w:t>l ve falsaf</w:t>
      </w:r>
      <w:r w:rsidR="00992D57" w:rsidRPr="003D1E07">
        <w:t>ě</w:t>
      </w:r>
      <w:r w:rsidR="081D0375" w:rsidRPr="003D1E07">
        <w:t xml:space="preserve"> o dvě století předtím</w:t>
      </w:r>
      <w:r w:rsidR="00992D57" w:rsidRPr="003D1E07">
        <w:t xml:space="preserve">, ale místo filosofických modernistů zvítězili </w:t>
      </w:r>
      <w:r w:rsidR="08994862" w:rsidRPr="003D1E07">
        <w:t xml:space="preserve">islámští </w:t>
      </w:r>
      <w:r w:rsidR="00992D57" w:rsidRPr="003D1E07">
        <w:t xml:space="preserve">teologové a právníci. </w:t>
      </w:r>
      <w:r w:rsidR="0051319B" w:rsidRPr="003D1E07">
        <w:t>Právní školy  založené</w:t>
      </w:r>
      <w:r w:rsidR="00C73912" w:rsidRPr="003D1E07">
        <w:t xml:space="preserve"> </w:t>
      </w:r>
      <w:r w:rsidR="0051319B" w:rsidRPr="003D1E07">
        <w:t xml:space="preserve">na orálních tradicích Koránu zničily </w:t>
      </w:r>
      <w:r w:rsidR="089467B0" w:rsidRPr="003D1E07">
        <w:t xml:space="preserve">celou </w:t>
      </w:r>
      <w:r w:rsidR="0051319B" w:rsidRPr="003D1E07">
        <w:t>školu</w:t>
      </w:r>
      <w:r w:rsidR="00C73912" w:rsidRPr="003D1E07">
        <w:t xml:space="preserve"> mutazilitů</w:t>
      </w:r>
      <w:r w:rsidR="08965A84" w:rsidRPr="003D1E07">
        <w:t>, tedy modernisty i aristoteliky</w:t>
      </w:r>
      <w:r w:rsidR="00C73912" w:rsidRPr="003D1E07">
        <w:t>.</w:t>
      </w:r>
      <w:r w:rsidR="08965A84" w:rsidRPr="003D1E07">
        <w:t xml:space="preserve"> </w:t>
      </w:r>
      <w:r w:rsidR="086B494F" w:rsidRPr="003D1E07">
        <w:t xml:space="preserve">V islámu určeném </w:t>
      </w:r>
      <w:r w:rsidR="089467B0" w:rsidRPr="003D1E07">
        <w:t>orálními a písemnými</w:t>
      </w:r>
      <w:r w:rsidR="086B494F" w:rsidRPr="003D1E07">
        <w:t xml:space="preserve"> tradic</w:t>
      </w:r>
      <w:r w:rsidR="089467B0" w:rsidRPr="003D1E07">
        <w:t>emi</w:t>
      </w:r>
      <w:r w:rsidR="086B494F" w:rsidRPr="003D1E07">
        <w:t xml:space="preserve"> různorodých kultur islámu byla filosofie nahrazena kolektivní moudrostí příslušných kultur tvořících posvátné tradice a školy</w:t>
      </w:r>
      <w:r w:rsidR="086B494F" w:rsidRPr="003D1E07">
        <w:fldChar w:fldCharType="begin"/>
      </w:r>
      <w:r w:rsidR="086B494F" w:rsidRPr="003D1E07">
        <w:instrText xml:space="preserve"> XE "islám" </w:instrText>
      </w:r>
      <w:r w:rsidR="086B494F" w:rsidRPr="003D1E07">
        <w:fldChar w:fldCharType="end"/>
      </w:r>
      <w:r w:rsidR="086B494F" w:rsidRPr="003D1E07">
        <w:t xml:space="preserve">. </w:t>
      </w:r>
      <w:r w:rsidR="08E71C98" w:rsidRPr="003D1E07">
        <w:t xml:space="preserve">Islámu pokračujícímu na své </w:t>
      </w:r>
      <w:r w:rsidR="08E71C98" w:rsidRPr="003D1E07">
        <w:lastRenderedPageBreak/>
        <w:t xml:space="preserve">cestě už bez falsafy zbyla moudrost teologie, právní </w:t>
      </w:r>
      <w:r w:rsidR="08885059" w:rsidRPr="003D1E07">
        <w:t xml:space="preserve">řád </w:t>
      </w:r>
      <w:r w:rsidR="08E71C98" w:rsidRPr="003D1E07">
        <w:t>omezující zvůli politické moci</w:t>
      </w:r>
      <w:r w:rsidR="08706160" w:rsidRPr="003D1E07">
        <w:t xml:space="preserve">, sociální spravedlnost a společenský řád </w:t>
      </w:r>
      <w:r w:rsidR="08E71C98" w:rsidRPr="003D1E07">
        <w:t xml:space="preserve">vázaný </w:t>
      </w:r>
      <w:r w:rsidR="08F853F5" w:rsidRPr="003D1E07">
        <w:t xml:space="preserve">na </w:t>
      </w:r>
      <w:r w:rsidR="08E71C98" w:rsidRPr="003D1E07">
        <w:t xml:space="preserve">příslušné koránské tradice. </w:t>
      </w:r>
      <w:r w:rsidR="086B494F" w:rsidRPr="003D1E07">
        <w:t xml:space="preserve">Objektivní </w:t>
      </w:r>
      <w:r w:rsidR="083F29C1" w:rsidRPr="003D1E07">
        <w:t xml:space="preserve">božský idol </w:t>
      </w:r>
      <w:r w:rsidR="086B494F" w:rsidRPr="003D1E07">
        <w:rPr>
          <w:i/>
        </w:rPr>
        <w:t>Modernorum</w:t>
      </w:r>
      <w:r w:rsidR="083F29C1" w:rsidRPr="003D1E07">
        <w:t xml:space="preserve"> sice vznikl</w:t>
      </w:r>
      <w:r w:rsidR="086B494F" w:rsidRPr="003D1E07">
        <w:t xml:space="preserve"> v Avicennově filosofii, ale v dějinách islámu se nijak </w:t>
      </w:r>
      <w:r w:rsidR="00CD63A4">
        <w:t>neprosadil</w:t>
      </w:r>
      <w:r w:rsidR="086B494F" w:rsidRPr="003D1E07">
        <w:t xml:space="preserve"> kvůli mocenském</w:t>
      </w:r>
      <w:r w:rsidR="00A1640D" w:rsidRPr="003D1E07">
        <w:t xml:space="preserve">u zničení celé falsafy. Islámský aristotelismus </w:t>
      </w:r>
      <w:r w:rsidR="086B494F" w:rsidRPr="003D1E07">
        <w:t>přeš</w:t>
      </w:r>
      <w:r w:rsidR="00A1640D" w:rsidRPr="003D1E07">
        <w:t>el</w:t>
      </w:r>
      <w:r w:rsidR="086B494F" w:rsidRPr="003D1E07">
        <w:t xml:space="preserve"> po smrti Komentátora do epochální </w:t>
      </w:r>
      <w:r w:rsidR="00381EBA" w:rsidRPr="003D1E07">
        <w:rPr>
          <w:i/>
        </w:rPr>
        <w:t>léthe</w:t>
      </w:r>
      <w:r w:rsidR="00A1640D" w:rsidRPr="003D1E07">
        <w:t xml:space="preserve"> a přestal</w:t>
      </w:r>
      <w:r w:rsidR="086B494F" w:rsidRPr="003D1E07">
        <w:t xml:space="preserve"> působit v dějinách islámského myšlení jako účinná síla. </w:t>
      </w:r>
      <w:r w:rsidR="08E71C98" w:rsidRPr="003D1E07">
        <w:t>Islámu zůstala moudrost tradice, islámských kultur a litera Koránu</w:t>
      </w:r>
      <w:r w:rsidR="08E71C98" w:rsidRPr="003D1E07">
        <w:fldChar w:fldCharType="begin"/>
      </w:r>
      <w:r w:rsidR="08E71C98" w:rsidRPr="003D1E07">
        <w:instrText xml:space="preserve"> XE "Korán" </w:instrText>
      </w:r>
      <w:r w:rsidR="08E71C98" w:rsidRPr="003D1E07">
        <w:fldChar w:fldCharType="end"/>
      </w:r>
      <w:r w:rsidR="08E71C98" w:rsidRPr="003D1E07">
        <w:t xml:space="preserve">. </w:t>
      </w:r>
      <w:r w:rsidR="00017A21" w:rsidRPr="003D1E07">
        <w:t xml:space="preserve">Islám mocensky zachránil vědění o bohu před objektivní smrtí </w:t>
      </w:r>
      <w:r w:rsidR="081B6902" w:rsidRPr="003D1E07">
        <w:t xml:space="preserve">boha </w:t>
      </w:r>
      <w:r w:rsidR="00017A21" w:rsidRPr="003D1E07">
        <w:t>v moder</w:t>
      </w:r>
      <w:r w:rsidR="08EE3178" w:rsidRPr="003D1E07">
        <w:t>ně tím, že vylil dítě i s vaničk</w:t>
      </w:r>
      <w:r w:rsidR="00017A21" w:rsidRPr="003D1E07">
        <w:t xml:space="preserve">ou a zrušil </w:t>
      </w:r>
      <w:r w:rsidR="08AF1603" w:rsidRPr="003D1E07">
        <w:t>filosofickou tradici moudrosti</w:t>
      </w:r>
      <w:r w:rsidR="00017A21" w:rsidRPr="003D1E07">
        <w:t xml:space="preserve">, kterou na konci </w:t>
      </w:r>
      <w:r w:rsidR="0863279E" w:rsidRPr="003D1E07">
        <w:t xml:space="preserve">falsafy </w:t>
      </w:r>
      <w:r w:rsidR="00C73912" w:rsidRPr="003D1E07">
        <w:t>brilantně obhájil Averroe</w:t>
      </w:r>
      <w:r w:rsidR="00017A21" w:rsidRPr="003D1E07">
        <w:t xml:space="preserve">s. </w:t>
      </w:r>
      <w:r w:rsidR="08926754" w:rsidRPr="003D1E07">
        <w:t>Komentátor odmítl Algazelův paušální útok na falsafu</w:t>
      </w:r>
      <w:r w:rsidR="084717D2" w:rsidRPr="003D1E07">
        <w:t>, pro</w:t>
      </w:r>
      <w:r w:rsidR="086A208E" w:rsidRPr="003D1E07">
        <w:t>tože bůh filosof</w:t>
      </w:r>
      <w:r w:rsidR="084717D2" w:rsidRPr="003D1E07">
        <w:t xml:space="preserve">ů je poznatelný jako </w:t>
      </w:r>
      <w:r w:rsidR="084717D2" w:rsidRPr="003D1E07">
        <w:rPr>
          <w:i/>
        </w:rPr>
        <w:t>causa prima</w:t>
      </w:r>
      <w:r w:rsidR="084717D2" w:rsidRPr="003D1E07">
        <w:t xml:space="preserve">. </w:t>
      </w:r>
      <w:r w:rsidR="086A208E" w:rsidRPr="003D1E07">
        <w:t xml:space="preserve">A jako první kauza </w:t>
      </w:r>
      <w:r w:rsidR="08C93195" w:rsidRPr="003D1E07">
        <w:t>te</w:t>
      </w:r>
      <w:r w:rsidR="082E3640" w:rsidRPr="003D1E07">
        <w:t>n</w:t>
      </w:r>
      <w:r w:rsidR="08C93195" w:rsidRPr="003D1E07">
        <w:t>t</w:t>
      </w:r>
      <w:r w:rsidR="082E3640" w:rsidRPr="003D1E07">
        <w:t xml:space="preserve">o bůh </w:t>
      </w:r>
      <w:r w:rsidR="086A208E" w:rsidRPr="003D1E07">
        <w:t xml:space="preserve">poznává přímo a efektivně celé stvoření. </w:t>
      </w:r>
      <w:r w:rsidR="084717D2" w:rsidRPr="003D1E07">
        <w:t xml:space="preserve">Proto </w:t>
      </w:r>
      <w:r w:rsidR="08851468" w:rsidRPr="003D1E07">
        <w:t xml:space="preserve">bůh a člověk </w:t>
      </w:r>
      <w:r w:rsidR="084717D2" w:rsidRPr="003D1E07">
        <w:t xml:space="preserve">není esenciální mrtvolou, jako to měl modernistický Avicennna. </w:t>
      </w:r>
      <w:r w:rsidR="00B05AD0" w:rsidRPr="003D1E07">
        <w:t xml:space="preserve">Koránští </w:t>
      </w:r>
      <w:r w:rsidR="00017A21" w:rsidRPr="003D1E07">
        <w:t xml:space="preserve">dogmatičtí myslitelé </w:t>
      </w:r>
      <w:r w:rsidR="00B05AD0" w:rsidRPr="003D1E07">
        <w:t xml:space="preserve">a právníci v dalším století </w:t>
      </w:r>
      <w:r w:rsidR="00017A21" w:rsidRPr="003D1E07">
        <w:t>už nebyli schopni kritického rozlišování filosoficky vzdělaných učenců typu</w:t>
      </w:r>
      <w:r w:rsidR="087F1239" w:rsidRPr="003D1E07">
        <w:t xml:space="preserve"> Al-</w:t>
      </w:r>
      <w:r w:rsidR="00B05AD0" w:rsidRPr="003D1E07">
        <w:t>Ghazálího</w:t>
      </w:r>
      <w:r w:rsidR="00B05AD0" w:rsidRPr="003D1E07">
        <w:fldChar w:fldCharType="begin"/>
      </w:r>
      <w:r w:rsidR="00B05AD0" w:rsidRPr="003D1E07">
        <w:instrText xml:space="preserve"> XE "Al-Ghazálí" </w:instrText>
      </w:r>
      <w:r w:rsidR="00B05AD0" w:rsidRPr="003D1E07">
        <w:fldChar w:fldCharType="end"/>
      </w:r>
      <w:r w:rsidR="00017A21" w:rsidRPr="003D1E07">
        <w:t xml:space="preserve">. </w:t>
      </w:r>
      <w:r w:rsidR="08851468" w:rsidRPr="003D1E07">
        <w:t xml:space="preserve">Proto byl Averroes vyhnán z učení islámských teologů </w:t>
      </w:r>
      <w:r w:rsidR="00C31073">
        <w:t xml:space="preserve">a tím i </w:t>
      </w:r>
      <w:r w:rsidR="08851468" w:rsidRPr="003D1E07">
        <w:t xml:space="preserve">ze škol šáríje. </w:t>
      </w:r>
      <w:r w:rsidR="08C93195" w:rsidRPr="003D1E07">
        <w:t xml:space="preserve">V islámu bůh moderny umřít nemohl, protože tato modla byla zásadně odmítnuta a pro jistotu byla zničena celá falsafa. V obou případech byla na poražené uvalena klatba dějinně působícího </w:t>
      </w:r>
      <w:r w:rsidR="08C93195" w:rsidRPr="003D1E07">
        <w:rPr>
          <w:i/>
        </w:rPr>
        <w:t>damnatio memoriae</w:t>
      </w:r>
      <w:r w:rsidR="08C93195" w:rsidRPr="003D1E07">
        <w:fldChar w:fldCharType="begin"/>
      </w:r>
      <w:r w:rsidR="08C93195" w:rsidRPr="003D1E07">
        <w:instrText xml:space="preserve"> XE "</w:instrText>
      </w:r>
      <w:r w:rsidR="08C93195" w:rsidRPr="003D1E07">
        <w:rPr>
          <w:i/>
        </w:rPr>
        <w:instrText>damnatio memoriae</w:instrText>
      </w:r>
      <w:r w:rsidR="08C93195" w:rsidRPr="003D1E07">
        <w:instrText xml:space="preserve">" </w:instrText>
      </w:r>
      <w:r w:rsidR="08C93195" w:rsidRPr="003D1E07">
        <w:fldChar w:fldCharType="end"/>
      </w:r>
      <w:r w:rsidR="00D370A5" w:rsidRPr="003D1E07">
        <w:t xml:space="preserve"> </w:t>
      </w:r>
      <w:r w:rsidR="08C93195" w:rsidRPr="003D1E07">
        <w:t xml:space="preserve">církevních interdiktů islámu a křesťanství. </w:t>
      </w:r>
      <w:r w:rsidR="08C1781C" w:rsidRPr="003D1E07">
        <w:t xml:space="preserve">Koránští učenci uvalili </w:t>
      </w:r>
      <w:r w:rsidR="00017A21" w:rsidRPr="003D1E07">
        <w:t xml:space="preserve">na </w:t>
      </w:r>
      <w:r w:rsidR="080A22CE" w:rsidRPr="003D1E07">
        <w:t xml:space="preserve">Komentátorovy </w:t>
      </w:r>
      <w:r w:rsidR="00017A21" w:rsidRPr="003D1E07">
        <w:t xml:space="preserve">spisy první formu </w:t>
      </w:r>
      <w:r w:rsidR="00017A21" w:rsidRPr="003D1E07">
        <w:rPr>
          <w:i/>
        </w:rPr>
        <w:t>damnatio memoriae</w:t>
      </w:r>
      <w:r w:rsidR="08C1781C" w:rsidRPr="003D1E07">
        <w:t xml:space="preserve"> už v epoše falsafy</w:t>
      </w:r>
      <w:r w:rsidR="00017A21" w:rsidRPr="003D1E07">
        <w:t>. Po nich totéž provedli l</w:t>
      </w:r>
      <w:r w:rsidR="00627311" w:rsidRPr="003D1E07">
        <w:t>atinští modernisté</w:t>
      </w:r>
      <w:r w:rsidR="00237065" w:rsidRPr="003D1E07">
        <w:t xml:space="preserve"> </w:t>
      </w:r>
      <w:r w:rsidR="00627311" w:rsidRPr="003D1E07">
        <w:t xml:space="preserve">osvíceni </w:t>
      </w:r>
      <w:r w:rsidR="009F38E4" w:rsidRPr="003D1E07">
        <w:t xml:space="preserve">světlem </w:t>
      </w:r>
      <w:r w:rsidR="00874074" w:rsidRPr="003D1E07">
        <w:t>neoplatonsk</w:t>
      </w:r>
      <w:r w:rsidR="00627311" w:rsidRPr="003D1E07">
        <w:t xml:space="preserve">é metafyziky, </w:t>
      </w:r>
      <w:r w:rsidR="00237065" w:rsidRPr="003D1E07">
        <w:t xml:space="preserve">kteří </w:t>
      </w:r>
      <w:r w:rsidR="00627311" w:rsidRPr="003D1E07">
        <w:t xml:space="preserve">odmítli </w:t>
      </w:r>
      <w:r w:rsidR="002E3B62" w:rsidRPr="003D1E07">
        <w:t>Averroes</w:t>
      </w:r>
      <w:r w:rsidR="00627311" w:rsidRPr="003D1E07">
        <w:t>ův aristotelský racionalismus</w:t>
      </w:r>
      <w:r w:rsidR="004326C3" w:rsidRPr="003D1E07">
        <w:t xml:space="preserve"> a jednotné pojetí osoby</w:t>
      </w:r>
      <w:r w:rsidR="00627311" w:rsidRPr="003D1E07">
        <w:t xml:space="preserve">. </w:t>
      </w:r>
      <w:r w:rsidR="087C5718" w:rsidRPr="003D1E07">
        <w:t>První modernisté pokračovali na latinském Západě v destrukci aristotelské větve falsafy tím, že z Aristotela</w:t>
      </w:r>
      <w:r w:rsidR="008F3431">
        <w:t xml:space="preserve"> a z Averrose udělali heretiky.</w:t>
      </w:r>
    </w:p>
    <w:p w14:paraId="05E87F9A" w14:textId="4FD4E018" w:rsidR="08DE1F6D" w:rsidRPr="003D1E07" w:rsidRDefault="08307517" w:rsidP="005C6A1F">
      <w:pPr>
        <w:ind w:firstLine="397"/>
        <w:rPr>
          <w:rStyle w:val="FontStyle129"/>
          <w:rFonts w:ascii="Calibri" w:hAnsi="Calibri"/>
          <w:sz w:val="24"/>
          <w:szCs w:val="20"/>
        </w:rPr>
      </w:pPr>
      <w:r w:rsidRPr="003D1E07">
        <w:t>Po recepci Averroe</w:t>
      </w:r>
      <w:r w:rsidR="088A329C" w:rsidRPr="003D1E07">
        <w:t>se</w:t>
      </w:r>
      <w:r w:rsidRPr="003D1E07">
        <w:t xml:space="preserve"> na latinském Západě se </w:t>
      </w:r>
      <w:r w:rsidR="088A329C" w:rsidRPr="003D1E07">
        <w:t xml:space="preserve">rozběhlo další kolo </w:t>
      </w:r>
      <w:r w:rsidR="08460A6C" w:rsidRPr="003D1E07">
        <w:t>zápas</w:t>
      </w:r>
      <w:r w:rsidR="088A329C" w:rsidRPr="003D1E07">
        <w:t>u</w:t>
      </w:r>
      <w:r w:rsidR="086B6C85" w:rsidRPr="003D1E07">
        <w:t xml:space="preserve"> o pravdivou podobu metafyziky</w:t>
      </w:r>
      <w:r w:rsidR="086779EA" w:rsidRPr="003D1E07">
        <w:t xml:space="preserve">, kterému předsedal </w:t>
      </w:r>
      <w:r w:rsidR="08823478" w:rsidRPr="003D1E07">
        <w:t xml:space="preserve">Alvernus, </w:t>
      </w:r>
      <w:r w:rsidR="086779EA" w:rsidRPr="003D1E07">
        <w:t xml:space="preserve">pařížský biskup a kancléř </w:t>
      </w:r>
      <w:r w:rsidR="088A329C" w:rsidRPr="003D1E07">
        <w:t xml:space="preserve">Pařížské </w:t>
      </w:r>
      <w:r w:rsidR="08823478" w:rsidRPr="003D1E07">
        <w:t>univerzity</w:t>
      </w:r>
      <w:r w:rsidR="086B6C85" w:rsidRPr="003D1E07">
        <w:t>. L</w:t>
      </w:r>
      <w:r w:rsidR="08356E37" w:rsidRPr="003D1E07">
        <w:t xml:space="preserve">atinští modernisté </w:t>
      </w:r>
      <w:r w:rsidR="086B6C85" w:rsidRPr="003D1E07">
        <w:t xml:space="preserve">přijali </w:t>
      </w:r>
      <w:r w:rsidR="00D25EEE" w:rsidRPr="003D1E07">
        <w:t xml:space="preserve">systém </w:t>
      </w:r>
      <w:r w:rsidR="005C24FC" w:rsidRPr="003D1E07">
        <w:t xml:space="preserve">avicennovské </w:t>
      </w:r>
      <w:r w:rsidR="004A055A" w:rsidRPr="003D1E07">
        <w:t>komitace</w:t>
      </w:r>
      <w:r w:rsidR="00EB71B3" w:rsidRPr="003D1E07">
        <w:fldChar w:fldCharType="begin"/>
      </w:r>
      <w:r w:rsidR="00EB71B3" w:rsidRPr="003D1E07">
        <w:instrText xml:space="preserve"> XE "komitace" </w:instrText>
      </w:r>
      <w:r w:rsidR="00EB71B3" w:rsidRPr="003D1E07">
        <w:fldChar w:fldCharType="end"/>
      </w:r>
      <w:r w:rsidR="005C24FC" w:rsidRPr="003D1E07">
        <w:t xml:space="preserve"> </w:t>
      </w:r>
      <w:r w:rsidR="08A20D74" w:rsidRPr="003D1E07">
        <w:t xml:space="preserve">a spojili jej s </w:t>
      </w:r>
      <w:r w:rsidR="007E26AF" w:rsidRPr="003D1E07">
        <w:t>ontoteologický</w:t>
      </w:r>
      <w:r w:rsidR="08A20D74" w:rsidRPr="003D1E07">
        <w:t>m</w:t>
      </w:r>
      <w:r w:rsidR="007E26AF" w:rsidRPr="003D1E07">
        <w:t xml:space="preserve"> scénář</w:t>
      </w:r>
      <w:r w:rsidR="08A20D74" w:rsidRPr="003D1E07">
        <w:t>em</w:t>
      </w:r>
      <w:r w:rsidR="0805010D" w:rsidRPr="003D1E07">
        <w:t xml:space="preserve"> </w:t>
      </w:r>
      <w:r w:rsidR="0834787D" w:rsidRPr="003D1E07">
        <w:t>metafyziky</w:t>
      </w:r>
      <w:r w:rsidR="00B23AE5" w:rsidRPr="003D1E07">
        <w:t xml:space="preserve">. </w:t>
      </w:r>
      <w:r w:rsidR="081479A8" w:rsidRPr="003D1E07">
        <w:t xml:space="preserve">Bonaventura vytvořil </w:t>
      </w:r>
      <w:r w:rsidR="0834787D" w:rsidRPr="003D1E07">
        <w:t xml:space="preserve">novou podobu </w:t>
      </w:r>
      <w:r w:rsidR="081479A8" w:rsidRPr="003D1E07">
        <w:t xml:space="preserve">avicennovské křesťanské </w:t>
      </w:r>
      <w:r w:rsidR="0834787D" w:rsidRPr="003D1E07">
        <w:t>metafyziky navázanou na aristotelismus. P</w:t>
      </w:r>
      <w:r w:rsidR="00321242" w:rsidRPr="003D1E07">
        <w:rPr>
          <w:rStyle w:val="FontStyle129"/>
          <w:rFonts w:ascii="Calibri" w:hAnsi="Calibri"/>
          <w:sz w:val="24"/>
        </w:rPr>
        <w:t>odobný výklad</w:t>
      </w:r>
      <w:r w:rsidR="0878344B" w:rsidRPr="003D1E07">
        <w:rPr>
          <w:rStyle w:val="FontStyle129"/>
          <w:rFonts w:ascii="Calibri" w:hAnsi="Calibri"/>
          <w:sz w:val="24"/>
        </w:rPr>
        <w:t>,</w:t>
      </w:r>
      <w:r w:rsidR="00321242" w:rsidRPr="003D1E07">
        <w:rPr>
          <w:rStyle w:val="FontStyle129"/>
          <w:rFonts w:ascii="Calibri" w:hAnsi="Calibri"/>
          <w:sz w:val="24"/>
        </w:rPr>
        <w:t xml:space="preserve"> </w:t>
      </w:r>
      <w:r w:rsidR="083341E9" w:rsidRPr="003D1E07">
        <w:rPr>
          <w:rStyle w:val="FontStyle129"/>
          <w:rFonts w:ascii="Calibri" w:hAnsi="Calibri"/>
          <w:sz w:val="24"/>
        </w:rPr>
        <w:t>ale v duchu neoplatonské emanace</w:t>
      </w:r>
      <w:r w:rsidR="0878344B" w:rsidRPr="003D1E07">
        <w:rPr>
          <w:rStyle w:val="FontStyle129"/>
          <w:rFonts w:ascii="Calibri" w:hAnsi="Calibri"/>
          <w:sz w:val="24"/>
        </w:rPr>
        <w:t>,</w:t>
      </w:r>
      <w:r w:rsidR="083341E9" w:rsidRPr="003D1E07">
        <w:rPr>
          <w:rStyle w:val="FontStyle129"/>
          <w:rFonts w:ascii="Calibri" w:hAnsi="Calibri"/>
          <w:sz w:val="24"/>
        </w:rPr>
        <w:t xml:space="preserve"> </w:t>
      </w:r>
      <w:r w:rsidR="00321242" w:rsidRPr="003D1E07">
        <w:rPr>
          <w:rStyle w:val="FontStyle129"/>
          <w:rFonts w:ascii="Calibri" w:hAnsi="Calibri"/>
          <w:sz w:val="24"/>
        </w:rPr>
        <w:t xml:space="preserve">zavedl před </w:t>
      </w:r>
      <w:r w:rsidR="00E44F74" w:rsidRPr="003D1E07">
        <w:rPr>
          <w:rStyle w:val="FontStyle129"/>
          <w:rFonts w:ascii="Calibri" w:hAnsi="Calibri"/>
          <w:sz w:val="24"/>
        </w:rPr>
        <w:t xml:space="preserve">aristotelským </w:t>
      </w:r>
      <w:r w:rsidR="00321242" w:rsidRPr="003D1E07">
        <w:rPr>
          <w:rStyle w:val="FontStyle129"/>
          <w:rFonts w:ascii="Calibri" w:hAnsi="Calibri"/>
          <w:sz w:val="24"/>
        </w:rPr>
        <w:t>Avi</w:t>
      </w:r>
      <w:r w:rsidR="004A772E" w:rsidRPr="003D1E07">
        <w:rPr>
          <w:rStyle w:val="FontStyle129"/>
          <w:rFonts w:ascii="Calibri" w:hAnsi="Calibri"/>
          <w:sz w:val="24"/>
        </w:rPr>
        <w:t xml:space="preserve">cennou do západní scholastiky </w:t>
      </w:r>
      <w:r w:rsidR="00321242" w:rsidRPr="003D1E07">
        <w:rPr>
          <w:rStyle w:val="FontStyle129"/>
          <w:rFonts w:ascii="Calibri" w:hAnsi="Calibri"/>
          <w:sz w:val="24"/>
        </w:rPr>
        <w:t>n</w:t>
      </w:r>
      <w:r w:rsidR="00E44F74" w:rsidRPr="003D1E07">
        <w:rPr>
          <w:rStyle w:val="FontStyle129"/>
          <w:rFonts w:ascii="Calibri" w:hAnsi="Calibri"/>
          <w:sz w:val="24"/>
        </w:rPr>
        <w:t xml:space="preserve">eoplatonik Jan Scotus Eurigena </w:t>
      </w:r>
      <w:r w:rsidR="084E7952" w:rsidRPr="003D1E07">
        <w:rPr>
          <w:rStyle w:val="FontStyle129"/>
          <w:rFonts w:ascii="Calibri" w:hAnsi="Calibri"/>
          <w:sz w:val="24"/>
        </w:rPr>
        <w:t>(kap. 1.3</w:t>
      </w:r>
      <w:r w:rsidR="00321242" w:rsidRPr="003D1E07">
        <w:rPr>
          <w:rStyle w:val="FontStyle129"/>
          <w:rFonts w:ascii="Calibri" w:hAnsi="Calibri"/>
          <w:sz w:val="24"/>
        </w:rPr>
        <w:t>.1).</w:t>
      </w:r>
      <w:r w:rsidR="005672B2" w:rsidRPr="003D1E07">
        <w:rPr>
          <w:rStyle w:val="FontStyle129"/>
          <w:rFonts w:ascii="Calibri" w:hAnsi="Calibri"/>
          <w:sz w:val="24"/>
        </w:rPr>
        <w:t xml:space="preserve"> </w:t>
      </w:r>
      <w:r w:rsidR="002956C6" w:rsidRPr="003D1E07">
        <w:t>S</w:t>
      </w:r>
      <w:r w:rsidR="00EC71F6" w:rsidRPr="003D1E07">
        <w:rPr>
          <w:lang w:eastAsia="en-US"/>
        </w:rPr>
        <w:t xml:space="preserve">imulákrum </w:t>
      </w:r>
      <w:r w:rsidR="00D56C0E" w:rsidRPr="003D1E07">
        <w:rPr>
          <w:lang w:eastAsia="en-US"/>
        </w:rPr>
        <w:t>objek</w:t>
      </w:r>
      <w:r w:rsidR="002956C6" w:rsidRPr="003D1E07">
        <w:rPr>
          <w:lang w:eastAsia="en-US"/>
        </w:rPr>
        <w:t xml:space="preserve">tivního boha a světa </w:t>
      </w:r>
      <w:r w:rsidR="003C3D18" w:rsidRPr="003D1E07">
        <w:rPr>
          <w:lang w:eastAsia="en-US"/>
        </w:rPr>
        <w:t>prosperoval</w:t>
      </w:r>
      <w:r w:rsidR="00EC71F6" w:rsidRPr="003D1E07">
        <w:rPr>
          <w:lang w:eastAsia="en-US"/>
        </w:rPr>
        <w:t>o</w:t>
      </w:r>
      <w:r w:rsidR="003C3D18" w:rsidRPr="003D1E07">
        <w:rPr>
          <w:lang w:eastAsia="en-US"/>
        </w:rPr>
        <w:t xml:space="preserve"> v západní metafyzice až do Nietz</w:t>
      </w:r>
      <w:r w:rsidR="00D51DFD" w:rsidRPr="003D1E07">
        <w:rPr>
          <w:lang w:eastAsia="en-US"/>
        </w:rPr>
        <w:t>s</w:t>
      </w:r>
      <w:r w:rsidR="003C3D18" w:rsidRPr="003D1E07">
        <w:rPr>
          <w:lang w:eastAsia="en-US"/>
        </w:rPr>
        <w:t>cheho filosofování kladivem.</w:t>
      </w:r>
      <w:r w:rsidR="08486883" w:rsidRPr="003D1E07">
        <w:rPr>
          <w:lang w:eastAsia="en-US"/>
        </w:rPr>
        <w:t xml:space="preserve"> </w:t>
      </w:r>
      <w:r w:rsidR="08DD0068" w:rsidRPr="003D1E07">
        <w:rPr>
          <w:lang w:eastAsia="en-US"/>
        </w:rPr>
        <w:t xml:space="preserve">Ontoteologie vybudovaná na aristotelské verzi avicennismu se stala filosofickou antropologií </w:t>
      </w:r>
      <w:r w:rsidR="08DD0068" w:rsidRPr="003D1E07">
        <w:rPr>
          <w:i/>
          <w:lang w:eastAsia="en-US"/>
        </w:rPr>
        <w:t>par excellence</w:t>
      </w:r>
      <w:r w:rsidR="08DD0068" w:rsidRPr="003D1E07">
        <w:rPr>
          <w:lang w:eastAsia="en-US"/>
        </w:rPr>
        <w:t xml:space="preserve">, protože vytvořila ke svému obrazu jak polidštělého boha, tak i svět pojatý </w:t>
      </w:r>
      <w:r w:rsidR="08DD0068" w:rsidRPr="003D1E07">
        <w:rPr>
          <w:lang w:eastAsia="en-US"/>
        </w:rPr>
        <w:lastRenderedPageBreak/>
        <w:t xml:space="preserve">objektivně z boží psychologické perspektivy. Descartovy </w:t>
      </w:r>
      <w:r w:rsidR="08DD0068" w:rsidRPr="003D1E07">
        <w:rPr>
          <w:i/>
          <w:lang w:eastAsia="en-US"/>
        </w:rPr>
        <w:t>Meditationes de prima</w:t>
      </w:r>
      <w:r w:rsidR="08DD0068" w:rsidRPr="003D1E07">
        <w:t xml:space="preserve"> </w:t>
      </w:r>
      <w:r w:rsidR="08DD0068" w:rsidRPr="003D1E07">
        <w:rPr>
          <w:i/>
          <w:lang w:eastAsia="en-US"/>
        </w:rPr>
        <w:t xml:space="preserve">philosophia </w:t>
      </w:r>
      <w:r w:rsidR="08DD0068" w:rsidRPr="003D1E07">
        <w:t>postaví do zakládající osmyslňující role činný lidský subjekt, který se stal pilným agentem západní civilizace.</w:t>
      </w:r>
      <w:r w:rsidR="08BA7AFF" w:rsidRPr="003D1E07">
        <w:rPr>
          <w:lang w:eastAsia="en-US"/>
        </w:rPr>
        <w:t xml:space="preserve"> V dokonaném metafyzickém nihilismu byla smrt boha</w:t>
      </w:r>
      <w:r w:rsidR="08BA7AFF" w:rsidRPr="003D1E07">
        <w:rPr>
          <w:lang w:eastAsia="en-US"/>
        </w:rPr>
        <w:fldChar w:fldCharType="begin"/>
      </w:r>
      <w:r w:rsidR="08BA7AFF" w:rsidRPr="003D1E07">
        <w:instrText xml:space="preserve"> XE "</w:instrText>
      </w:r>
      <w:r w:rsidR="08BA7AFF" w:rsidRPr="003D1E07">
        <w:rPr>
          <w:lang w:eastAsia="en-US"/>
        </w:rPr>
        <w:instrText>smrt boha</w:instrText>
      </w:r>
      <w:r w:rsidR="08BA7AFF" w:rsidRPr="003D1E07">
        <w:instrText xml:space="preserve">" </w:instrText>
      </w:r>
      <w:r w:rsidR="08BA7AFF" w:rsidRPr="003D1E07">
        <w:rPr>
          <w:lang w:eastAsia="en-US"/>
        </w:rPr>
        <w:fldChar w:fldCharType="end"/>
      </w:r>
      <w:r w:rsidR="08BA7AFF" w:rsidRPr="003D1E07">
        <w:rPr>
          <w:lang w:eastAsia="en-US"/>
        </w:rPr>
        <w:t xml:space="preserve"> </w:t>
      </w:r>
      <w:r w:rsidR="08BA7AFF" w:rsidRPr="003D1E07">
        <w:rPr>
          <w:i/>
          <w:lang w:eastAsia="en-US"/>
        </w:rPr>
        <w:t>Modernorum</w:t>
      </w:r>
      <w:r w:rsidR="08BA7AFF" w:rsidRPr="003D1E07">
        <w:rPr>
          <w:lang w:eastAsia="en-US"/>
        </w:rPr>
        <w:t xml:space="preserve"> dějinně nutná a nevyhnutelná, což exaktně dokázal výše uvedený Leibniz.</w:t>
      </w:r>
      <w:r w:rsidR="086D17D4" w:rsidRPr="003D1E07">
        <w:t xml:space="preserve"> </w:t>
      </w:r>
      <w:r w:rsidR="08533739" w:rsidRPr="003D1E07">
        <w:rPr>
          <w:lang w:eastAsia="en-US"/>
        </w:rPr>
        <w:t>Post</w:t>
      </w:r>
      <w:r w:rsidR="08793115" w:rsidRPr="003D1E07">
        <w:rPr>
          <w:lang w:eastAsia="en-US"/>
        </w:rPr>
        <w:t xml:space="preserve">moderna nechala agonizujícího boha moderny technokraticky promýšlet </w:t>
      </w:r>
      <w:r w:rsidR="08533739" w:rsidRPr="003D1E07">
        <w:rPr>
          <w:lang w:eastAsia="en-US"/>
        </w:rPr>
        <w:t xml:space="preserve">už jen </w:t>
      </w:r>
      <w:r w:rsidR="08A94F29" w:rsidRPr="003D1E07">
        <w:rPr>
          <w:lang w:eastAsia="en-US"/>
        </w:rPr>
        <w:t>svět nejlépe produktivně a racionálně možný (Leibniz), kte</w:t>
      </w:r>
      <w:r w:rsidR="08793115" w:rsidRPr="003D1E07">
        <w:rPr>
          <w:lang w:eastAsia="en-US"/>
        </w:rPr>
        <w:t xml:space="preserve">rý instrumentální kalkul této modly </w:t>
      </w:r>
      <w:r w:rsidR="0898387F" w:rsidRPr="003D1E07">
        <w:rPr>
          <w:lang w:eastAsia="en-US"/>
        </w:rPr>
        <w:t xml:space="preserve">logicky </w:t>
      </w:r>
      <w:r w:rsidR="088A7D45" w:rsidRPr="003D1E07">
        <w:rPr>
          <w:lang w:eastAsia="en-US"/>
        </w:rPr>
        <w:t xml:space="preserve">nutně a </w:t>
      </w:r>
      <w:r w:rsidR="0898387F" w:rsidRPr="003D1E07">
        <w:rPr>
          <w:lang w:eastAsia="en-US"/>
        </w:rPr>
        <w:t xml:space="preserve">matematicky </w:t>
      </w:r>
      <w:r w:rsidR="088A7D45" w:rsidRPr="003D1E07">
        <w:rPr>
          <w:lang w:eastAsia="en-US"/>
        </w:rPr>
        <w:t xml:space="preserve">správně </w:t>
      </w:r>
      <w:r w:rsidR="08793115" w:rsidRPr="003D1E07">
        <w:rPr>
          <w:lang w:eastAsia="en-US"/>
        </w:rPr>
        <w:t xml:space="preserve">připravuje </w:t>
      </w:r>
      <w:r w:rsidR="08A94F29" w:rsidRPr="003D1E07">
        <w:rPr>
          <w:lang w:eastAsia="en-US"/>
        </w:rPr>
        <w:t>před aktuálním stvořením</w:t>
      </w:r>
      <w:r w:rsidR="088A7D45" w:rsidRPr="003D1E07">
        <w:rPr>
          <w:lang w:eastAsia="en-US"/>
        </w:rPr>
        <w:t xml:space="preserve"> světa</w:t>
      </w:r>
      <w:r w:rsidR="08A94F29" w:rsidRPr="003D1E07">
        <w:rPr>
          <w:lang w:eastAsia="en-US"/>
        </w:rPr>
        <w:t xml:space="preserve">. </w:t>
      </w:r>
      <w:r w:rsidR="087B761B" w:rsidRPr="003D1E07">
        <w:t xml:space="preserve">Filosofie ztratila autonomii v mystickém synkretismu Jamblicha, v neoplatonismu východního křesťanství, synkretistické falsafy a pozdější objektivity Scota, Descarta a Leibnize. </w:t>
      </w:r>
      <w:r w:rsidR="08043AAA" w:rsidRPr="003D1E07">
        <w:t xml:space="preserve">Spor těchto postmoderních </w:t>
      </w:r>
      <w:r w:rsidR="089B6918" w:rsidRPr="003D1E07">
        <w:t>metafyzik</w:t>
      </w:r>
      <w:r w:rsidR="08043AAA" w:rsidRPr="003D1E07">
        <w:t>ů</w:t>
      </w:r>
      <w:r w:rsidR="089B6918" w:rsidRPr="003D1E07">
        <w:t xml:space="preserve"> změnil základní </w:t>
      </w:r>
      <w:r w:rsidR="08A37B40" w:rsidRPr="003D1E07">
        <w:t xml:space="preserve">perspektivu </w:t>
      </w:r>
      <w:r w:rsidR="089B6918" w:rsidRPr="003D1E07">
        <w:t xml:space="preserve">vidění jsoucna </w:t>
      </w:r>
      <w:r w:rsidR="002A7501" w:rsidRPr="003D1E07">
        <w:t>na metafyzický</w:t>
      </w:r>
      <w:r w:rsidR="0819072E" w:rsidRPr="003D1E07">
        <w:t xml:space="preserve"> nihilismu</w:t>
      </w:r>
      <w:r w:rsidR="002A7501" w:rsidRPr="003D1E07">
        <w:t>s</w:t>
      </w:r>
      <w:r w:rsidR="089B6918" w:rsidRPr="003D1E07">
        <w:t xml:space="preserve">. </w:t>
      </w:r>
      <w:r w:rsidR="00681925" w:rsidRPr="003D1E07">
        <w:t xml:space="preserve">Avicenna zahájil cestu </w:t>
      </w:r>
      <w:r w:rsidR="087D131F" w:rsidRPr="003D1E07">
        <w:t>myšlení k jedné objektivní pravdě</w:t>
      </w:r>
      <w:r w:rsidR="00681925" w:rsidRPr="003D1E07">
        <w:t xml:space="preserve"> a jeho </w:t>
      </w:r>
      <w:r w:rsidR="087D131F" w:rsidRPr="003D1E07">
        <w:t>ontoteologické pojetí metafyziky dalo základy moderní objektivitě.</w:t>
      </w:r>
      <w:r w:rsidR="00F43DD2" w:rsidRPr="003D1E07">
        <w:rPr>
          <w:lang w:eastAsia="en-US"/>
        </w:rPr>
        <w:t xml:space="preserve"> </w:t>
      </w:r>
      <w:r w:rsidR="08443471" w:rsidRPr="003D1E07">
        <w:t xml:space="preserve">Dějinné působení </w:t>
      </w:r>
      <w:r w:rsidR="08443471" w:rsidRPr="003D1E07">
        <w:rPr>
          <w:i/>
        </w:rPr>
        <w:t>Seinsvergessenheit</w:t>
      </w:r>
      <w:r w:rsidR="08443471" w:rsidRPr="003D1E07">
        <w:rPr>
          <w:i/>
        </w:rPr>
        <w:fldChar w:fldCharType="begin"/>
      </w:r>
      <w:r w:rsidR="08443471" w:rsidRPr="003D1E07">
        <w:instrText xml:space="preserve"> XE "</w:instrText>
      </w:r>
      <w:r w:rsidR="08443471" w:rsidRPr="003D1E07">
        <w:rPr>
          <w:i/>
        </w:rPr>
        <w:instrText>Seinsvergessenheit</w:instrText>
      </w:r>
      <w:r w:rsidR="08443471" w:rsidRPr="003D1E07">
        <w:instrText xml:space="preserve">" </w:instrText>
      </w:r>
      <w:r w:rsidR="08443471" w:rsidRPr="003D1E07">
        <w:rPr>
          <w:i/>
        </w:rPr>
        <w:fldChar w:fldCharType="end"/>
      </w:r>
      <w:r w:rsidR="08443471" w:rsidRPr="003D1E07">
        <w:t xml:space="preserve"> nastolené po zániku falsafy a následnou deformací Averroesovy filosofie způsobí bloudění metafyzického rozumu (</w:t>
      </w:r>
      <w:r w:rsidR="08443471" w:rsidRPr="003D1E07">
        <w:rPr>
          <w:i/>
        </w:rPr>
        <w:t>Irre</w:t>
      </w:r>
      <w:r w:rsidR="08443471" w:rsidRPr="003D1E07">
        <w:rPr>
          <w:i/>
        </w:rPr>
        <w:fldChar w:fldCharType="begin"/>
      </w:r>
      <w:r w:rsidR="08443471" w:rsidRPr="003D1E07">
        <w:instrText xml:space="preserve"> XE "</w:instrText>
      </w:r>
      <w:r w:rsidR="08443471" w:rsidRPr="003D1E07">
        <w:rPr>
          <w:i/>
        </w:rPr>
        <w:instrText>Irre</w:instrText>
      </w:r>
      <w:r w:rsidR="08443471" w:rsidRPr="003D1E07">
        <w:instrText xml:space="preserve">" </w:instrText>
      </w:r>
      <w:r w:rsidR="08443471" w:rsidRPr="003D1E07">
        <w:rPr>
          <w:i/>
        </w:rPr>
        <w:fldChar w:fldCharType="end"/>
      </w:r>
      <w:r w:rsidR="08443471" w:rsidRPr="003D1E07">
        <w:t>) v</w:t>
      </w:r>
      <w:r w:rsidR="087B761B" w:rsidRPr="003D1E07">
        <w:t>e sporech vrcholné scholastiky.</w:t>
      </w:r>
      <w:r w:rsidR="089B6918" w:rsidRPr="003D1E07">
        <w:t xml:space="preserve"> </w:t>
      </w:r>
      <w:r w:rsidR="08364B47" w:rsidRPr="003D1E07">
        <w:t xml:space="preserve">Islámská civilizace </w:t>
      </w:r>
      <w:r w:rsidR="08364B47" w:rsidRPr="003D1E07">
        <w:fldChar w:fldCharType="begin"/>
      </w:r>
      <w:r w:rsidR="08364B47" w:rsidRPr="003D1E07">
        <w:instrText xml:space="preserve"> XE "islám" </w:instrText>
      </w:r>
      <w:r w:rsidR="08364B47" w:rsidRPr="003D1E07">
        <w:fldChar w:fldCharType="end"/>
      </w:r>
      <w:r w:rsidR="08364B47" w:rsidRPr="003D1E07">
        <w:t>se této gigantomachie odmítla zúčastnit tím, že optovala p</w:t>
      </w:r>
      <w:r w:rsidR="08B240FA" w:rsidRPr="003D1E07">
        <w:t>ro moudrost teologie a práva. S</w:t>
      </w:r>
      <w:r w:rsidR="0839664A" w:rsidRPr="003D1E07">
        <w:t>m</w:t>
      </w:r>
      <w:r w:rsidR="08B240FA" w:rsidRPr="003D1E07">
        <w:t>r</w:t>
      </w:r>
      <w:r w:rsidR="0839664A" w:rsidRPr="003D1E07">
        <w:t xml:space="preserve">t boha se pro velkou část Západu odložila </w:t>
      </w:r>
      <w:r w:rsidR="08B240FA" w:rsidRPr="003D1E07">
        <w:t xml:space="preserve">na neurčito </w:t>
      </w:r>
      <w:r w:rsidR="0839664A" w:rsidRPr="003D1E07">
        <w:t>tím, že kmeny a civilizace konvertovaly k islámu a mocensky dobyly</w:t>
      </w:r>
      <w:r w:rsidR="08A35C90" w:rsidRPr="003D1E07">
        <w:t xml:space="preserve"> rozpadlé východní </w:t>
      </w:r>
      <w:r w:rsidR="08A35C90" w:rsidRPr="003D1E07">
        <w:rPr>
          <w:i/>
        </w:rPr>
        <w:t>Impe</w:t>
      </w:r>
      <w:r w:rsidR="08364B47" w:rsidRPr="003D1E07">
        <w:rPr>
          <w:i/>
        </w:rPr>
        <w:t xml:space="preserve">rium </w:t>
      </w:r>
      <w:r w:rsidR="08A35C90" w:rsidRPr="003D1E07">
        <w:rPr>
          <w:i/>
        </w:rPr>
        <w:t>Romanum</w:t>
      </w:r>
      <w:r w:rsidR="08A35C90" w:rsidRPr="003D1E07">
        <w:t xml:space="preserve"> </w:t>
      </w:r>
      <w:r w:rsidR="08364B47" w:rsidRPr="003D1E07">
        <w:t xml:space="preserve">po zaniklé antice. Interní kruciáta islámských teologů proti filosofickým školám zabránila nihilistické smrti boha </w:t>
      </w:r>
      <w:r w:rsidR="08364B47" w:rsidRPr="003D1E07">
        <w:rPr>
          <w:i/>
        </w:rPr>
        <w:t>Modernorum</w:t>
      </w:r>
      <w:r w:rsidR="08364B47" w:rsidRPr="003D1E07">
        <w:t xml:space="preserve">, kterou </w:t>
      </w:r>
      <w:r w:rsidR="000D5F56" w:rsidRPr="003D1E07">
        <w:t xml:space="preserve">s úspěchem </w:t>
      </w:r>
      <w:r w:rsidR="08364B47" w:rsidRPr="003D1E07">
        <w:t xml:space="preserve">dokonal </w:t>
      </w:r>
      <w:r w:rsidR="08BC0479" w:rsidRPr="003D1E07">
        <w:t xml:space="preserve">latinský </w:t>
      </w:r>
      <w:r w:rsidR="08364B47" w:rsidRPr="003D1E07">
        <w:t xml:space="preserve">Západ. Z podstaty výše uvedeného metafyzického </w:t>
      </w:r>
      <w:r w:rsidR="08364B47" w:rsidRPr="003D1E07">
        <w:rPr>
          <w:i/>
        </w:rPr>
        <w:t>Ereignis</w:t>
      </w:r>
      <w:r w:rsidR="08364B47" w:rsidRPr="003D1E07">
        <w:t xml:space="preserve"> je jasné, že další událost nikoliv dějinného, ale historického setkání muslimského Východu a křesťanského Západu se nekonala ve studovně již zaniklého bagdádského Domu moudrosti, ale na bitevním poli křížových výprav</w:t>
      </w:r>
      <w:r w:rsidR="08364B47" w:rsidRPr="003D1E07">
        <w:fldChar w:fldCharType="begin"/>
      </w:r>
      <w:r w:rsidR="08364B47" w:rsidRPr="003D1E07">
        <w:instrText xml:space="preserve"> XE "křížové výpravy" </w:instrText>
      </w:r>
      <w:r w:rsidR="08364B47" w:rsidRPr="003D1E07">
        <w:fldChar w:fldCharType="end"/>
      </w:r>
      <w:r w:rsidR="08364B47" w:rsidRPr="003D1E07">
        <w:t xml:space="preserve"> od 11. do 13. století. Tyto středověké kruciáty dnes pokračují hybridními válkami </w:t>
      </w:r>
      <w:r w:rsidR="08941422" w:rsidRPr="003D1E07">
        <w:t xml:space="preserve">a terorem </w:t>
      </w:r>
      <w:r w:rsidR="08364B47" w:rsidRPr="003D1E07">
        <w:t xml:space="preserve">na Blízkém východě, </w:t>
      </w:r>
      <w:r w:rsidR="08EB0245" w:rsidRPr="003D1E07">
        <w:t xml:space="preserve">v nichž se </w:t>
      </w:r>
      <w:r w:rsidR="083877C8" w:rsidRPr="003D1E07">
        <w:t xml:space="preserve">ilumináti </w:t>
      </w:r>
      <w:r w:rsidR="000D5F56" w:rsidRPr="003D1E07">
        <w:t xml:space="preserve">nihilistického </w:t>
      </w:r>
      <w:r w:rsidR="08364B47" w:rsidRPr="003D1E07">
        <w:t>Západ</w:t>
      </w:r>
      <w:r w:rsidR="083877C8" w:rsidRPr="003D1E07">
        <w:t>u</w:t>
      </w:r>
      <w:r w:rsidR="08364B47" w:rsidRPr="003D1E07">
        <w:t xml:space="preserve"> </w:t>
      </w:r>
      <w:r w:rsidR="08EB0245" w:rsidRPr="003D1E07">
        <w:t>spojil</w:t>
      </w:r>
      <w:r w:rsidR="083877C8" w:rsidRPr="003D1E07">
        <w:t>i</w:t>
      </w:r>
      <w:r w:rsidR="08EB0245" w:rsidRPr="003D1E07">
        <w:t xml:space="preserve"> </w:t>
      </w:r>
      <w:r w:rsidR="08DF3442" w:rsidRPr="003D1E07">
        <w:t xml:space="preserve">s </w:t>
      </w:r>
      <w:r w:rsidR="083877C8" w:rsidRPr="003D1E07">
        <w:t xml:space="preserve">ilumináty </w:t>
      </w:r>
      <w:r w:rsidR="000D5F56" w:rsidRPr="003D1E07">
        <w:t>post</w:t>
      </w:r>
      <w:r w:rsidR="08DF3442" w:rsidRPr="003D1E07">
        <w:t>moderní</w:t>
      </w:r>
      <w:r w:rsidR="083877C8" w:rsidRPr="003D1E07">
        <w:t>ch wahabitských</w:t>
      </w:r>
      <w:r w:rsidR="08DF3442" w:rsidRPr="003D1E07">
        <w:t xml:space="preserve"> despoci</w:t>
      </w:r>
      <w:r w:rsidR="083877C8" w:rsidRPr="003D1E07">
        <w:t>í</w:t>
      </w:r>
      <w:r w:rsidR="08364B47" w:rsidRPr="003D1E07">
        <w:t>.</w:t>
      </w:r>
      <w:r w:rsidR="08CD0DAB" w:rsidRPr="003D1E07">
        <w:rPr>
          <w:lang w:eastAsia="en-US"/>
        </w:rPr>
        <w:t xml:space="preserve"> </w:t>
      </w:r>
      <w:r w:rsidR="085F261E" w:rsidRPr="003D1E07">
        <w:rPr>
          <w:lang w:eastAsia="en-US"/>
        </w:rPr>
        <w:t>Pro múzickou moudrost je to jen zdánlivý paradox, protože myšlení obou skupin ovládají iracioná</w:t>
      </w:r>
      <w:r w:rsidR="08862157" w:rsidRPr="003D1E07">
        <w:rPr>
          <w:lang w:eastAsia="en-US"/>
        </w:rPr>
        <w:t>l</w:t>
      </w:r>
      <w:r w:rsidR="088E4522" w:rsidRPr="003D1E07">
        <w:rPr>
          <w:lang w:eastAsia="en-US"/>
        </w:rPr>
        <w:t xml:space="preserve">ní pohyně Pomsty. </w:t>
      </w:r>
      <w:r w:rsidR="086E7F39" w:rsidRPr="003D1E07">
        <w:rPr>
          <w:rStyle w:val="FontStyle129"/>
          <w:rFonts w:ascii="Calibri" w:hAnsi="Calibri"/>
          <w:sz w:val="24"/>
        </w:rPr>
        <w:t xml:space="preserve">V řinčení </w:t>
      </w:r>
      <w:r w:rsidR="08826C71" w:rsidRPr="003D1E07">
        <w:rPr>
          <w:rStyle w:val="FontStyle129"/>
          <w:rFonts w:ascii="Calibri" w:hAnsi="Calibri"/>
          <w:sz w:val="24"/>
        </w:rPr>
        <w:t>zbran</w:t>
      </w:r>
      <w:r w:rsidR="086E7F39" w:rsidRPr="003D1E07">
        <w:rPr>
          <w:rStyle w:val="FontStyle129"/>
          <w:rFonts w:ascii="Calibri" w:hAnsi="Calibri"/>
          <w:sz w:val="24"/>
        </w:rPr>
        <w:t>í</w:t>
      </w:r>
      <w:r w:rsidR="08C50556" w:rsidRPr="003D1E07">
        <w:rPr>
          <w:rStyle w:val="FontStyle129"/>
          <w:rFonts w:ascii="Calibri" w:hAnsi="Calibri"/>
          <w:sz w:val="24"/>
        </w:rPr>
        <w:t xml:space="preserve"> </w:t>
      </w:r>
      <w:r w:rsidR="004909CB" w:rsidRPr="003D1E07">
        <w:rPr>
          <w:rStyle w:val="FontStyle129"/>
          <w:rFonts w:ascii="Calibri" w:hAnsi="Calibri"/>
          <w:sz w:val="24"/>
        </w:rPr>
        <w:t>mlčí</w:t>
      </w:r>
      <w:r w:rsidR="004909CB">
        <w:rPr>
          <w:rStyle w:val="FontStyle129"/>
          <w:rFonts w:ascii="Calibri" w:hAnsi="Calibri"/>
          <w:sz w:val="24"/>
        </w:rPr>
        <w:t xml:space="preserve"> </w:t>
      </w:r>
      <w:r w:rsidR="08C50556" w:rsidRPr="003D1E07">
        <w:rPr>
          <w:rStyle w:val="FontStyle129"/>
          <w:rFonts w:ascii="Calibri" w:hAnsi="Calibri"/>
          <w:sz w:val="24"/>
        </w:rPr>
        <w:t>M</w:t>
      </w:r>
      <w:r w:rsidR="004909CB">
        <w:rPr>
          <w:rStyle w:val="FontStyle129"/>
          <w:rFonts w:ascii="Calibri" w:hAnsi="Calibri"/>
          <w:sz w:val="24"/>
        </w:rPr>
        <w:t>úzy</w:t>
      </w:r>
      <w:r w:rsidR="08876C59" w:rsidRPr="003D1E07">
        <w:rPr>
          <w:rStyle w:val="FontStyle129"/>
          <w:rFonts w:ascii="Calibri" w:hAnsi="Calibri"/>
          <w:sz w:val="24"/>
        </w:rPr>
        <w:t>. Pak m</w:t>
      </w:r>
      <w:r w:rsidR="08826C71" w:rsidRPr="003D1E07">
        <w:rPr>
          <w:rStyle w:val="FontStyle129"/>
          <w:rFonts w:ascii="Calibri" w:hAnsi="Calibri"/>
          <w:sz w:val="24"/>
        </w:rPr>
        <w:t xml:space="preserve">luví </w:t>
      </w:r>
      <w:r w:rsidR="085908E2" w:rsidRPr="003D1E07">
        <w:rPr>
          <w:rStyle w:val="FontStyle129"/>
          <w:rFonts w:ascii="Calibri" w:hAnsi="Calibri"/>
          <w:sz w:val="24"/>
        </w:rPr>
        <w:t xml:space="preserve">k hlupákům </w:t>
      </w:r>
      <w:r w:rsidR="08826C71" w:rsidRPr="003D1E07">
        <w:rPr>
          <w:rStyle w:val="FontStyle129"/>
          <w:rFonts w:ascii="Calibri" w:hAnsi="Calibri"/>
          <w:sz w:val="24"/>
        </w:rPr>
        <w:t xml:space="preserve">jen </w:t>
      </w:r>
      <w:r w:rsidR="08A34D11" w:rsidRPr="003D1E07">
        <w:rPr>
          <w:rStyle w:val="FontStyle129"/>
          <w:rFonts w:ascii="Calibri" w:hAnsi="Calibri"/>
          <w:sz w:val="24"/>
        </w:rPr>
        <w:t xml:space="preserve">skrze </w:t>
      </w:r>
      <w:r w:rsidR="080A1EA8" w:rsidRPr="003D1E07">
        <w:rPr>
          <w:rStyle w:val="FontStyle129"/>
          <w:rFonts w:ascii="Calibri" w:hAnsi="Calibri"/>
          <w:sz w:val="24"/>
        </w:rPr>
        <w:t>mytopoetiku manických</w:t>
      </w:r>
      <w:r w:rsidR="08A34D11" w:rsidRPr="003D1E07">
        <w:rPr>
          <w:rStyle w:val="FontStyle129"/>
          <w:rFonts w:ascii="Calibri" w:hAnsi="Calibri"/>
          <w:sz w:val="24"/>
        </w:rPr>
        <w:t xml:space="preserve"> Fúri</w:t>
      </w:r>
      <w:r w:rsidR="086713EE" w:rsidRPr="003D1E07">
        <w:rPr>
          <w:rStyle w:val="FontStyle129"/>
          <w:rFonts w:ascii="Calibri" w:hAnsi="Calibri"/>
          <w:sz w:val="24"/>
        </w:rPr>
        <w:t xml:space="preserve">í, které z objektivně neexistujícího podsvětí řídí letální provoz dnešního </w:t>
      </w:r>
      <w:r w:rsidR="08034CD8" w:rsidRPr="003D1E07">
        <w:rPr>
          <w:rStyle w:val="FontStyle129"/>
          <w:rFonts w:ascii="Calibri" w:hAnsi="Calibri"/>
          <w:sz w:val="24"/>
        </w:rPr>
        <w:t>metafyzického nihilismu</w:t>
      </w:r>
      <w:r w:rsidR="08826C71" w:rsidRPr="003D1E07">
        <w:rPr>
          <w:rStyle w:val="FontStyle129"/>
          <w:rFonts w:ascii="Calibri" w:hAnsi="Calibri"/>
          <w:sz w:val="24"/>
        </w:rPr>
        <w:t>.</w:t>
      </w:r>
    </w:p>
    <w:p w14:paraId="4373E4F4" w14:textId="77777777" w:rsidR="009D6C0B" w:rsidRPr="003D1E07" w:rsidRDefault="08DE1F6D" w:rsidP="08D8359A">
      <w:pPr>
        <w:pStyle w:val="Nadpis3"/>
        <w:rPr>
          <w:lang w:val="cs-CZ"/>
        </w:rPr>
      </w:pPr>
      <w:r w:rsidRPr="003D1E07">
        <w:rPr>
          <w:rStyle w:val="FontStyle129"/>
          <w:rFonts w:ascii="Calibri" w:hAnsi="Calibri"/>
          <w:sz w:val="24"/>
          <w:lang w:val="cs-CZ"/>
        </w:rPr>
        <w:br w:type="page"/>
      </w:r>
      <w:bookmarkStart w:id="74" w:name="_Toc93747288"/>
      <w:bookmarkStart w:id="75" w:name="_Toc102906178"/>
      <w:r w:rsidR="00F345D4" w:rsidRPr="003D1E07">
        <w:rPr>
          <w:lang w:val="cs-CZ"/>
        </w:rPr>
        <w:lastRenderedPageBreak/>
        <w:t>Po</w:t>
      </w:r>
      <w:r w:rsidR="009D6C0B" w:rsidRPr="003D1E07">
        <w:rPr>
          <w:lang w:val="cs-CZ"/>
        </w:rPr>
        <w:t>užité zkratky</w:t>
      </w:r>
      <w:bookmarkEnd w:id="74"/>
      <w:bookmarkEnd w:id="75"/>
    </w:p>
    <w:p w14:paraId="50232C59" w14:textId="77777777" w:rsidR="08D64BC7" w:rsidRPr="003D1E07" w:rsidRDefault="08D64BC7" w:rsidP="00466853">
      <w:pPr>
        <w:pStyle w:val="Literatura"/>
        <w:rPr>
          <w:b/>
        </w:rPr>
      </w:pPr>
    </w:p>
    <w:p w14:paraId="706925A6" w14:textId="77777777" w:rsidR="08D66F3A" w:rsidRPr="003D1E07" w:rsidRDefault="08D66F3A" w:rsidP="00466853">
      <w:pPr>
        <w:pStyle w:val="Literatura"/>
        <w:rPr>
          <w:b/>
          <w:lang w:eastAsia="en-US"/>
        </w:rPr>
      </w:pPr>
      <w:r w:rsidRPr="003D1E07">
        <w:rPr>
          <w:b/>
        </w:rPr>
        <w:t>ABMA</w:t>
      </w:r>
      <w:r w:rsidRPr="003D1E07">
        <w:t xml:space="preserve"> </w:t>
      </w:r>
      <w:r w:rsidRPr="003D1E07">
        <w:tab/>
      </w:r>
      <w:r w:rsidRPr="003D1E07">
        <w:tab/>
      </w:r>
      <w:r w:rsidRPr="003D1E07">
        <w:rPr>
          <w:i/>
        </w:rPr>
        <w:t xml:space="preserve">William of Ockham: Dialogus. Latin Text and English Translation. Edited by John Kilcullen, John </w:t>
      </w:r>
      <w:r w:rsidR="084B2C42" w:rsidRPr="003D1E07">
        <w:rPr>
          <w:i/>
        </w:rPr>
        <w:tab/>
      </w:r>
      <w:r w:rsidR="084B2C42" w:rsidRPr="003D1E07">
        <w:rPr>
          <w:i/>
        </w:rPr>
        <w:tab/>
      </w:r>
      <w:r w:rsidR="084B2C42" w:rsidRPr="003D1E07">
        <w:rPr>
          <w:i/>
        </w:rPr>
        <w:tab/>
      </w:r>
      <w:r w:rsidRPr="003D1E07">
        <w:rPr>
          <w:i/>
        </w:rPr>
        <w:t>Scott, George Knysh, Volker Leppin, Jan Ballweg, Karl Ubl, Semih Heinen</w:t>
      </w:r>
      <w:r w:rsidRPr="003D1E07">
        <w:t>.</w:t>
      </w:r>
      <w:r w:rsidR="084B2C42" w:rsidRPr="003D1E07">
        <w:t xml:space="preserve"> Dílo </w:t>
      </w:r>
      <w:r w:rsidR="084B2C42" w:rsidRPr="003D1E07">
        <w:rPr>
          <w:i/>
        </w:rPr>
        <w:t>Dialogus</w:t>
      </w:r>
      <w:r w:rsidR="084B2C42" w:rsidRPr="003D1E07">
        <w:t xml:space="preserve"> citujeme </w:t>
      </w:r>
      <w:r w:rsidR="084B2C42" w:rsidRPr="003D1E07">
        <w:tab/>
      </w:r>
      <w:r w:rsidR="084B2C42" w:rsidRPr="003D1E07">
        <w:tab/>
      </w:r>
      <w:r w:rsidR="084B2C42" w:rsidRPr="003D1E07">
        <w:tab/>
        <w:t xml:space="preserve">podle kritické edice </w:t>
      </w:r>
      <w:r w:rsidR="084B2C42" w:rsidRPr="003D1E07">
        <w:rPr>
          <w:i/>
        </w:rPr>
        <w:t xml:space="preserve">Auctores Britannici Medii Aevi </w:t>
      </w:r>
      <w:r w:rsidR="0841700C" w:rsidRPr="003D1E07">
        <w:t xml:space="preserve">průběžně vydávané v </w:t>
      </w:r>
      <w:r w:rsidR="084B2C42" w:rsidRPr="003D1E07">
        <w:t>digitální formě</w:t>
      </w:r>
      <w:r w:rsidR="08AA47FC" w:rsidRPr="003D1E07">
        <w:t xml:space="preserve"> </w:t>
      </w:r>
      <w:r w:rsidR="08AA47FC" w:rsidRPr="003D1E07">
        <w:tab/>
      </w:r>
      <w:r w:rsidR="08AA47FC" w:rsidRPr="003D1E07">
        <w:tab/>
      </w:r>
      <w:r w:rsidR="08AA47FC" w:rsidRPr="003D1E07">
        <w:tab/>
      </w:r>
      <w:r w:rsidR="08AA47FC" w:rsidRPr="003D1E07">
        <w:tab/>
      </w:r>
      <w:r w:rsidR="08AA47FC" w:rsidRPr="003D1E07">
        <w:tab/>
        <w:t>(www.britac.ac.uk/pubs/dialogus/)</w:t>
      </w:r>
      <w:r w:rsidR="084B2C42" w:rsidRPr="003D1E07">
        <w:t>.</w:t>
      </w:r>
    </w:p>
    <w:p w14:paraId="0CD650E9" w14:textId="6F59DDB0" w:rsidR="080C3BA1" w:rsidRPr="003D1E07" w:rsidRDefault="080C3BA1" w:rsidP="00466853">
      <w:pPr>
        <w:pStyle w:val="Literatura"/>
        <w:rPr>
          <w:b/>
          <w:lang w:eastAsia="en-US"/>
        </w:rPr>
      </w:pPr>
      <w:r w:rsidRPr="003D1E07">
        <w:rPr>
          <w:b/>
          <w:lang w:eastAsia="en-US"/>
        </w:rPr>
        <w:t>CCSL</w:t>
      </w:r>
      <w:r w:rsidRPr="003D1E07">
        <w:rPr>
          <w:b/>
          <w:lang w:eastAsia="en-US"/>
        </w:rPr>
        <w:tab/>
      </w:r>
      <w:r w:rsidRPr="003D1E07">
        <w:rPr>
          <w:b/>
          <w:lang w:eastAsia="en-US"/>
        </w:rPr>
        <w:tab/>
      </w:r>
      <w:r w:rsidRPr="003D1E07">
        <w:rPr>
          <w:b/>
          <w:lang w:eastAsia="en-US"/>
        </w:rPr>
        <w:tab/>
      </w:r>
      <w:r w:rsidRPr="003D1E07">
        <w:rPr>
          <w:i/>
        </w:rPr>
        <w:t>Corpus Christianorum Series Latina</w:t>
      </w:r>
      <w:r w:rsidR="004E1700">
        <w:t>. E</w:t>
      </w:r>
      <w:r w:rsidRPr="003D1E07">
        <w:t>d. Brepols, 1953‒.</w:t>
      </w:r>
    </w:p>
    <w:p w14:paraId="14EABB03" w14:textId="77777777" w:rsidR="000E7690" w:rsidRPr="003D1E07" w:rsidRDefault="009D6C0B" w:rsidP="00466853">
      <w:pPr>
        <w:pStyle w:val="Literatura"/>
      </w:pPr>
      <w:r w:rsidRPr="003D1E07">
        <w:rPr>
          <w:b/>
          <w:lang w:eastAsia="en-US"/>
        </w:rPr>
        <w:t>CMDA</w:t>
      </w:r>
      <w:r w:rsidR="08060608" w:rsidRPr="003D1E07">
        <w:rPr>
          <w:lang w:eastAsia="en-US"/>
        </w:rPr>
        <w:tab/>
      </w:r>
      <w:r w:rsidR="08060608" w:rsidRPr="003D1E07">
        <w:rPr>
          <w:lang w:eastAsia="en-US"/>
        </w:rPr>
        <w:tab/>
      </w:r>
      <w:r w:rsidRPr="003D1E07">
        <w:rPr>
          <w:i/>
        </w:rPr>
        <w:t xml:space="preserve">Averrois Cordubensis Commentarium Magnum in Aristotelis </w:t>
      </w:r>
      <w:r w:rsidR="00B713C5" w:rsidRPr="003D1E07">
        <w:rPr>
          <w:i/>
        </w:rPr>
        <w:t>De anima</w:t>
      </w:r>
      <w:r w:rsidRPr="003D1E07">
        <w:rPr>
          <w:i/>
        </w:rPr>
        <w:t xml:space="preserve"> Libros</w:t>
      </w:r>
      <w:r w:rsidR="08060608" w:rsidRPr="003D1E07">
        <w:t xml:space="preserve">. F. Stuart Crawford </w:t>
      </w:r>
      <w:r w:rsidR="08060608" w:rsidRPr="003D1E07">
        <w:tab/>
      </w:r>
      <w:r w:rsidR="08060608" w:rsidRPr="003D1E07">
        <w:tab/>
      </w:r>
      <w:r w:rsidR="08060608" w:rsidRPr="003D1E07">
        <w:tab/>
      </w:r>
      <w:r w:rsidRPr="003D1E07">
        <w:t>(ed.)., Cambridge: Mediaeval Academy of America, 1953.</w:t>
      </w:r>
    </w:p>
    <w:p w14:paraId="0C1516B1" w14:textId="77777777" w:rsidR="08F065E8" w:rsidRPr="003D1E07" w:rsidRDefault="008F2496" w:rsidP="08F065E8">
      <w:pPr>
        <w:pStyle w:val="Literatura"/>
        <w:ind w:left="1185" w:hanging="1185"/>
      </w:pPr>
      <w:r w:rsidRPr="003D1E07">
        <w:rPr>
          <w:b/>
        </w:rPr>
        <w:t>DK</w:t>
      </w:r>
      <w:r w:rsidR="08F065E8" w:rsidRPr="003D1E07">
        <w:tab/>
      </w:r>
      <w:r w:rsidR="08F065E8" w:rsidRPr="003D1E07">
        <w:tab/>
      </w:r>
      <w:r w:rsidR="08F065E8" w:rsidRPr="003D1E07">
        <w:rPr>
          <w:i/>
          <w:iCs/>
        </w:rPr>
        <w:t>Die Fragmente der Vorsokratiker</w:t>
      </w:r>
      <w:r w:rsidR="08F065E8" w:rsidRPr="003D1E07">
        <w:t xml:space="preserve"> </w:t>
      </w:r>
      <w:r w:rsidR="08F065E8" w:rsidRPr="003D1E07">
        <w:rPr>
          <w:i/>
        </w:rPr>
        <w:t>I</w:t>
      </w:r>
      <w:r w:rsidR="08F065E8" w:rsidRPr="003D1E07">
        <w:rPr>
          <w:rFonts w:cs="Calibri"/>
          <w:i/>
        </w:rPr>
        <w:t>−</w:t>
      </w:r>
      <w:r w:rsidR="08F065E8" w:rsidRPr="003D1E07">
        <w:rPr>
          <w:i/>
        </w:rPr>
        <w:t>III</w:t>
      </w:r>
      <w:r w:rsidR="08F065E8" w:rsidRPr="003D1E07">
        <w:t xml:space="preserve">. Herausgegeben von </w:t>
      </w:r>
      <w:r w:rsidR="003E1E66" w:rsidRPr="003D1E07">
        <w:t xml:space="preserve">Hermann Diels und </w:t>
      </w:r>
      <w:r w:rsidR="08F065E8" w:rsidRPr="003D1E07">
        <w:t>Walter Kranz. Curych: Weidmann 1952.</w:t>
      </w:r>
    </w:p>
    <w:p w14:paraId="20144B69" w14:textId="1E271559" w:rsidR="08060608" w:rsidRPr="003D1E07" w:rsidRDefault="00352657" w:rsidP="00466853">
      <w:pPr>
        <w:pStyle w:val="Literatura"/>
      </w:pPr>
      <w:r w:rsidRPr="003D1E07">
        <w:rPr>
          <w:b/>
          <w:bCs/>
        </w:rPr>
        <w:t>GA</w:t>
      </w:r>
      <w:r w:rsidR="08060608" w:rsidRPr="003D1E07">
        <w:tab/>
      </w:r>
      <w:r w:rsidR="08060608" w:rsidRPr="003D1E07">
        <w:tab/>
      </w:r>
      <w:r w:rsidR="08060608" w:rsidRPr="003D1E07">
        <w:tab/>
      </w:r>
      <w:r w:rsidRPr="003D1E07">
        <w:t>Heidegger</w:t>
      </w:r>
      <w:r w:rsidR="00867FF7">
        <w:t>, Martin</w:t>
      </w:r>
      <w:r w:rsidRPr="003D1E07">
        <w:rPr>
          <w:smallCaps/>
        </w:rPr>
        <w:t xml:space="preserve">. </w:t>
      </w:r>
      <w:r w:rsidRPr="003D1E07">
        <w:rPr>
          <w:i/>
          <w:iCs/>
        </w:rPr>
        <w:t>Gesamtausgabe</w:t>
      </w:r>
      <w:r w:rsidR="00867FF7">
        <w:t>.</w:t>
      </w:r>
      <w:r w:rsidRPr="003D1E07">
        <w:t xml:space="preserve"> Vittorio Klostermann, Frankfurt am Main (1975‒).</w:t>
      </w:r>
    </w:p>
    <w:p w14:paraId="459DBD15" w14:textId="375CCB7C" w:rsidR="088B0220" w:rsidRPr="003D1E07" w:rsidRDefault="088B0220" w:rsidP="00466853">
      <w:pPr>
        <w:pStyle w:val="Literatura"/>
      </w:pPr>
      <w:r w:rsidRPr="003D1E07">
        <w:rPr>
          <w:b/>
          <w:bCs/>
        </w:rPr>
        <w:t>Hegel</w:t>
      </w:r>
      <w:r w:rsidRPr="003D1E07">
        <w:tab/>
      </w:r>
      <w:r w:rsidRPr="003D1E07">
        <w:tab/>
        <w:t xml:space="preserve">Hegel, Georg Wilhelm Friedrich. </w:t>
      </w:r>
      <w:r w:rsidRPr="003D1E07">
        <w:rPr>
          <w:i/>
          <w:iCs/>
        </w:rPr>
        <w:t>Werke in zwanzig Bänden</w:t>
      </w:r>
      <w:r w:rsidR="000B43C2">
        <w:t xml:space="preserve">. </w:t>
      </w:r>
      <w:r w:rsidRPr="003D1E07">
        <w:t>Frankfurt am Main: Suhrkamp, 1969-</w:t>
      </w:r>
      <w:r w:rsidRPr="003D1E07">
        <w:tab/>
      </w:r>
      <w:r w:rsidRPr="003D1E07">
        <w:tab/>
      </w:r>
      <w:r w:rsidRPr="003D1E07">
        <w:tab/>
        <w:t>1971 (Theorie-Werkausgabe).</w:t>
      </w:r>
    </w:p>
    <w:p w14:paraId="4F6BA279" w14:textId="77777777" w:rsidR="081D1A7C" w:rsidRPr="003D1E07" w:rsidRDefault="081D1A7C" w:rsidP="00466853">
      <w:pPr>
        <w:pStyle w:val="Literatura"/>
      </w:pPr>
      <w:r w:rsidRPr="003D1E07">
        <w:rPr>
          <w:b/>
        </w:rPr>
        <w:t>KdRV</w:t>
      </w:r>
      <w:r w:rsidRPr="003D1E07">
        <w:tab/>
      </w:r>
      <w:r w:rsidRPr="003D1E07">
        <w:tab/>
      </w:r>
      <w:r w:rsidR="0834309C" w:rsidRPr="003D1E07">
        <w:t xml:space="preserve">Kant, Immanuel. </w:t>
      </w:r>
      <w:r w:rsidRPr="003D1E07">
        <w:rPr>
          <w:i/>
          <w:iCs/>
        </w:rPr>
        <w:t>Kritik der reinen Vernunft</w:t>
      </w:r>
      <w:r w:rsidRPr="003D1E07">
        <w:t xml:space="preserve"> </w:t>
      </w:r>
      <w:r w:rsidR="08C04591" w:rsidRPr="003D1E07">
        <w:t xml:space="preserve">podle prvního vydání </w:t>
      </w:r>
      <w:r w:rsidR="084C06D3" w:rsidRPr="003D1E07">
        <w:t>1781 (</w:t>
      </w:r>
      <w:r w:rsidR="08AC6B9C" w:rsidRPr="003D1E07">
        <w:t xml:space="preserve">Berlin: </w:t>
      </w:r>
      <w:r w:rsidR="08C04591" w:rsidRPr="003D1E07">
        <w:t>Akademieausgabe</w:t>
      </w:r>
      <w:r w:rsidR="08AC6B9C" w:rsidRPr="003D1E07">
        <w:t xml:space="preserve">, </w:t>
      </w:r>
      <w:r w:rsidR="08AC6B9C" w:rsidRPr="003D1E07">
        <w:tab/>
      </w:r>
      <w:r w:rsidR="08AC6B9C" w:rsidRPr="003D1E07">
        <w:tab/>
      </w:r>
      <w:r w:rsidR="08AC6B9C" w:rsidRPr="003D1E07">
        <w:tab/>
      </w:r>
      <w:r w:rsidR="0847213C" w:rsidRPr="003D1E07">
        <w:t>1904,</w:t>
      </w:r>
      <w:r w:rsidR="08AC6B9C" w:rsidRPr="003D1E07">
        <w:t xml:space="preserve"> </w:t>
      </w:r>
      <w:r w:rsidR="0834309C" w:rsidRPr="003D1E07">
        <w:t>Band</w:t>
      </w:r>
      <w:r w:rsidR="0847213C" w:rsidRPr="003D1E07">
        <w:t xml:space="preserve"> </w:t>
      </w:r>
      <w:r w:rsidRPr="003D1E07">
        <w:t>IV</w:t>
      </w:r>
      <w:r w:rsidR="084C06D3" w:rsidRPr="003D1E07">
        <w:t>.) citováno pod značkou „A“. D</w:t>
      </w:r>
      <w:r w:rsidR="08C04591" w:rsidRPr="003D1E07">
        <w:t xml:space="preserve">ruhé vydání </w:t>
      </w:r>
      <w:r w:rsidR="084C06D3" w:rsidRPr="003D1E07">
        <w:t xml:space="preserve">1787 </w:t>
      </w:r>
      <w:r w:rsidRPr="003D1E07">
        <w:t>(</w:t>
      </w:r>
      <w:r w:rsidR="08AC6B9C" w:rsidRPr="003D1E07">
        <w:t xml:space="preserve">Berlin: </w:t>
      </w:r>
      <w:r w:rsidR="08C04591" w:rsidRPr="003D1E07">
        <w:t>Akademieausgabe</w:t>
      </w:r>
      <w:r w:rsidRPr="003D1E07">
        <w:t xml:space="preserve">, </w:t>
      </w:r>
      <w:r w:rsidR="0847213C" w:rsidRPr="003D1E07">
        <w:t xml:space="preserve">1911, </w:t>
      </w:r>
      <w:r w:rsidR="08AC6B9C" w:rsidRPr="003D1E07">
        <w:tab/>
      </w:r>
      <w:r w:rsidR="08AC6B9C" w:rsidRPr="003D1E07">
        <w:tab/>
      </w:r>
      <w:r w:rsidR="08AC6B9C" w:rsidRPr="003D1E07">
        <w:tab/>
      </w:r>
      <w:r w:rsidRPr="003D1E07">
        <w:t>Band III)</w:t>
      </w:r>
      <w:r w:rsidR="084C06D3" w:rsidRPr="003D1E07">
        <w:t xml:space="preserve"> je citováno </w:t>
      </w:r>
      <w:r w:rsidR="0847213C" w:rsidRPr="003D1E07">
        <w:t xml:space="preserve">pod </w:t>
      </w:r>
      <w:r w:rsidR="084C06D3" w:rsidRPr="003D1E07">
        <w:t xml:space="preserve">značkou </w:t>
      </w:r>
      <w:r w:rsidRPr="003D1E07">
        <w:t>„B</w:t>
      </w:r>
      <w:r w:rsidR="08C04591" w:rsidRPr="003D1E07">
        <w:t>“.</w:t>
      </w:r>
    </w:p>
    <w:p w14:paraId="6F44DF9C" w14:textId="77777777" w:rsidR="081D1A7C" w:rsidRPr="003D1E07" w:rsidRDefault="08C04591" w:rsidP="00466853">
      <w:pPr>
        <w:pStyle w:val="Literatura"/>
      </w:pPr>
      <w:r w:rsidRPr="003D1E07">
        <w:rPr>
          <w:b/>
        </w:rPr>
        <w:t>KdPV</w:t>
      </w:r>
      <w:r w:rsidRPr="003D1E07">
        <w:rPr>
          <w:b/>
        </w:rPr>
        <w:tab/>
      </w:r>
      <w:r w:rsidRPr="003D1E07">
        <w:rPr>
          <w:b/>
        </w:rPr>
        <w:tab/>
      </w:r>
      <w:r w:rsidR="0834309C" w:rsidRPr="003D1E07">
        <w:t xml:space="preserve">Kant, Immanuel. </w:t>
      </w:r>
      <w:r w:rsidRPr="003D1E07">
        <w:rPr>
          <w:i/>
          <w:iCs/>
        </w:rPr>
        <w:t>Kritik der praktischen Vernunft</w:t>
      </w:r>
      <w:r w:rsidR="0847213C" w:rsidRPr="003D1E07">
        <w:rPr>
          <w:iCs/>
        </w:rPr>
        <w:t xml:space="preserve">. </w:t>
      </w:r>
      <w:r w:rsidR="08AC6B9C" w:rsidRPr="003D1E07">
        <w:rPr>
          <w:iCs/>
        </w:rPr>
        <w:t xml:space="preserve">Berlin: </w:t>
      </w:r>
      <w:r w:rsidRPr="003D1E07">
        <w:t>Akademieausgabe</w:t>
      </w:r>
      <w:r w:rsidR="0847213C" w:rsidRPr="003D1E07">
        <w:t xml:space="preserve"> 1913</w:t>
      </w:r>
      <w:r w:rsidRPr="003D1E07">
        <w:t>, Band V</w:t>
      </w:r>
      <w:r w:rsidR="089416F6" w:rsidRPr="003D1E07">
        <w:t>, 1–163</w:t>
      </w:r>
      <w:r w:rsidRPr="003D1E07">
        <w:t>.</w:t>
      </w:r>
    </w:p>
    <w:p w14:paraId="404353D7" w14:textId="77777777" w:rsidR="08B25EF0" w:rsidRPr="003D1E07" w:rsidRDefault="08B25EF0" w:rsidP="00466853">
      <w:pPr>
        <w:pStyle w:val="Literatura"/>
        <w:rPr>
          <w:b/>
        </w:rPr>
      </w:pPr>
      <w:r w:rsidRPr="003D1E07">
        <w:rPr>
          <w:b/>
        </w:rPr>
        <w:t>KdU</w:t>
      </w:r>
      <w:r w:rsidRPr="003D1E07">
        <w:tab/>
      </w:r>
      <w:r w:rsidRPr="003D1E07">
        <w:tab/>
      </w:r>
      <w:r w:rsidRPr="003D1E07">
        <w:tab/>
        <w:t xml:space="preserve">Kant, Immanuel. </w:t>
      </w:r>
      <w:r w:rsidRPr="003D1E07">
        <w:rPr>
          <w:i/>
          <w:iCs/>
        </w:rPr>
        <w:t>Kritik der Urteilskraft</w:t>
      </w:r>
      <w:r w:rsidRPr="003D1E07">
        <w:rPr>
          <w:iCs/>
        </w:rPr>
        <w:t xml:space="preserve">. Berlin: </w:t>
      </w:r>
      <w:r w:rsidRPr="003D1E07">
        <w:t>Akademieausgabe 1913, Band V</w:t>
      </w:r>
      <w:r w:rsidR="089416F6" w:rsidRPr="003D1E07">
        <w:t xml:space="preserve">, </w:t>
      </w:r>
      <w:r w:rsidR="08E81951" w:rsidRPr="003D1E07">
        <w:t>165–485</w:t>
      </w:r>
      <w:r w:rsidRPr="003D1E07">
        <w:t>.</w:t>
      </w:r>
    </w:p>
    <w:p w14:paraId="71F435CB" w14:textId="77777777" w:rsidR="007E6441" w:rsidRPr="003D1E07" w:rsidRDefault="006C4B38" w:rsidP="00466853">
      <w:pPr>
        <w:pStyle w:val="Literatura"/>
      </w:pPr>
      <w:r w:rsidRPr="003D1E07">
        <w:rPr>
          <w:b/>
        </w:rPr>
        <w:t>KSA</w:t>
      </w:r>
      <w:r w:rsidRPr="003D1E07">
        <w:tab/>
      </w:r>
      <w:r w:rsidRPr="003D1E07">
        <w:tab/>
      </w:r>
      <w:r w:rsidRPr="003D1E07">
        <w:tab/>
        <w:t>Nietzsche, Friedrich</w:t>
      </w:r>
      <w:r w:rsidRPr="003D1E07">
        <w:rPr>
          <w:i/>
          <w:iCs/>
        </w:rPr>
        <w:t xml:space="preserve">. </w:t>
      </w:r>
      <w:r w:rsidR="007E6441" w:rsidRPr="003D1E07">
        <w:rPr>
          <w:i/>
        </w:rPr>
        <w:t>Sämtliche Werke. Kritische Studienausgabe in 15 Bänden</w:t>
      </w:r>
      <w:r w:rsidR="007E6441" w:rsidRPr="003D1E07">
        <w:t xml:space="preserve">. Hg. von Giorgio </w:t>
      </w:r>
      <w:r w:rsidR="007E6441" w:rsidRPr="003D1E07">
        <w:tab/>
      </w:r>
      <w:r w:rsidR="007E6441" w:rsidRPr="003D1E07">
        <w:tab/>
      </w:r>
      <w:r w:rsidR="007E6441" w:rsidRPr="003D1E07">
        <w:tab/>
        <w:t>Colli und Mazzino Montinari. München und New York 1980.</w:t>
      </w:r>
    </w:p>
    <w:p w14:paraId="40C0B305" w14:textId="77777777" w:rsidR="000E7690" w:rsidRPr="003D1E07" w:rsidRDefault="000E7690" w:rsidP="00466853">
      <w:pPr>
        <w:pStyle w:val="Literatura"/>
        <w:rPr>
          <w:b/>
        </w:rPr>
      </w:pPr>
      <w:r w:rsidRPr="003D1E07">
        <w:rPr>
          <w:b/>
        </w:rPr>
        <w:t>LCDA</w:t>
      </w:r>
      <w:r w:rsidR="08060608" w:rsidRPr="003D1E07">
        <w:rPr>
          <w:b/>
        </w:rPr>
        <w:tab/>
      </w:r>
      <w:r w:rsidR="08060608" w:rsidRPr="003D1E07">
        <w:rPr>
          <w:b/>
        </w:rPr>
        <w:tab/>
      </w:r>
      <w:r w:rsidRPr="003D1E07">
        <w:t xml:space="preserve">Averroes (Ibn Rushd) of Cordoba. </w:t>
      </w:r>
      <w:r w:rsidRPr="003D1E07">
        <w:rPr>
          <w:i/>
        </w:rPr>
        <w:t xml:space="preserve">Long Commentary on the </w:t>
      </w:r>
      <w:r w:rsidR="00B713C5" w:rsidRPr="003D1E07">
        <w:rPr>
          <w:i/>
        </w:rPr>
        <w:t>De anima</w:t>
      </w:r>
      <w:r w:rsidRPr="003D1E07">
        <w:rPr>
          <w:i/>
        </w:rPr>
        <w:t xml:space="preserve"> of Aristotle. Translated </w:t>
      </w:r>
      <w:r w:rsidR="08060608" w:rsidRPr="003D1E07">
        <w:rPr>
          <w:i/>
        </w:rPr>
        <w:tab/>
      </w:r>
      <w:r w:rsidR="08060608" w:rsidRPr="003D1E07">
        <w:rPr>
          <w:i/>
        </w:rPr>
        <w:tab/>
      </w:r>
      <w:r w:rsidR="08060608" w:rsidRPr="003D1E07">
        <w:rPr>
          <w:i/>
        </w:rPr>
        <w:tab/>
      </w:r>
      <w:r w:rsidRPr="003D1E07">
        <w:rPr>
          <w:i/>
        </w:rPr>
        <w:t>and with introduction and notes by Richard C. Taylor with Therese-Anne Druart, subeditor</w:t>
      </w:r>
      <w:r w:rsidRPr="003D1E07">
        <w:t xml:space="preserve">. New </w:t>
      </w:r>
      <w:r w:rsidR="08060608" w:rsidRPr="003D1E07">
        <w:tab/>
      </w:r>
      <w:r w:rsidR="08060608" w:rsidRPr="003D1E07">
        <w:tab/>
      </w:r>
      <w:r w:rsidR="08060608" w:rsidRPr="003D1E07">
        <w:tab/>
      </w:r>
      <w:r w:rsidRPr="003D1E07">
        <w:t>Haven &amp; London: Yale University Press, 2009.</w:t>
      </w:r>
    </w:p>
    <w:p w14:paraId="3BA08D79" w14:textId="258EAC0F" w:rsidR="08287122" w:rsidRPr="003D1E07" w:rsidRDefault="08287122" w:rsidP="08287122">
      <w:pPr>
        <w:pStyle w:val="Literatura"/>
        <w:rPr>
          <w:b/>
        </w:rPr>
      </w:pPr>
      <w:r w:rsidRPr="003D1E07">
        <w:rPr>
          <w:b/>
        </w:rPr>
        <w:t>OBJ</w:t>
      </w:r>
      <w:r w:rsidRPr="003D1E07">
        <w:rPr>
          <w:b/>
        </w:rPr>
        <w:tab/>
      </w:r>
      <w:r w:rsidRPr="003D1E07">
        <w:rPr>
          <w:b/>
        </w:rPr>
        <w:tab/>
      </w:r>
      <w:r w:rsidRPr="003D1E07">
        <w:rPr>
          <w:b/>
        </w:rPr>
        <w:tab/>
      </w:r>
      <w:r w:rsidRPr="003D1E07">
        <w:rPr>
          <w:i/>
        </w:rPr>
        <w:t>Her</w:t>
      </w:r>
      <w:r w:rsidR="003B024E">
        <w:rPr>
          <w:i/>
        </w:rPr>
        <w:t>meneutika objektivity I–</w:t>
      </w:r>
      <w:r w:rsidR="08C94A67" w:rsidRPr="003D1E07">
        <w:rPr>
          <w:i/>
        </w:rPr>
        <w:t>III</w:t>
      </w:r>
      <w:r w:rsidRPr="003D1E07">
        <w:t>. V textu je citován příslušný díl a kapitola.</w:t>
      </w:r>
    </w:p>
    <w:p w14:paraId="19603FD0" w14:textId="498F5E85" w:rsidR="00533FDD" w:rsidRPr="003D1E07" w:rsidRDefault="00533FDD" w:rsidP="00466853">
      <w:pPr>
        <w:pStyle w:val="Literatura"/>
      </w:pPr>
      <w:r w:rsidRPr="003D1E07">
        <w:rPr>
          <w:b/>
          <w:bCs/>
        </w:rPr>
        <w:t>PL</w:t>
      </w:r>
      <w:r w:rsidRPr="003D1E07">
        <w:tab/>
      </w:r>
      <w:r w:rsidRPr="003D1E07">
        <w:tab/>
      </w:r>
      <w:r w:rsidR="08060608" w:rsidRPr="003D1E07">
        <w:tab/>
      </w:r>
      <w:r w:rsidRPr="003D1E07">
        <w:rPr>
          <w:i/>
          <w:iCs/>
        </w:rPr>
        <w:t>Patrologiae latinae cursus completus</w:t>
      </w:r>
      <w:r w:rsidR="003B024E">
        <w:t>. E</w:t>
      </w:r>
      <w:r w:rsidRPr="003D1E07">
        <w:t>d. Migne, 1844‒1864.</w:t>
      </w:r>
    </w:p>
    <w:p w14:paraId="1C7CD4C6" w14:textId="77777777" w:rsidR="08D66F3A" w:rsidRPr="003D1E07" w:rsidRDefault="08D66F3A" w:rsidP="00466853">
      <w:pPr>
        <w:pStyle w:val="Literatura"/>
        <w:rPr>
          <w:rStyle w:val="TextpoznpodarouChar"/>
        </w:rPr>
      </w:pPr>
      <w:r w:rsidRPr="003D1E07">
        <w:rPr>
          <w:b/>
          <w:bCs/>
        </w:rPr>
        <w:t>RRP</w:t>
      </w:r>
      <w:r w:rsidRPr="003D1E07">
        <w:rPr>
          <w:b/>
          <w:bCs/>
        </w:rPr>
        <w:tab/>
      </w:r>
      <w:r w:rsidRPr="003D1E07">
        <w:rPr>
          <w:b/>
          <w:bCs/>
        </w:rPr>
        <w:tab/>
      </w:r>
      <w:r w:rsidRPr="003D1E07">
        <w:rPr>
          <w:b/>
          <w:bCs/>
        </w:rPr>
        <w:tab/>
      </w:r>
      <w:r w:rsidR="084A7A09" w:rsidRPr="003D1E07">
        <w:rPr>
          <w:rStyle w:val="TextpoznpodarouChar"/>
        </w:rPr>
        <w:t xml:space="preserve">Edice </w:t>
      </w:r>
      <w:r w:rsidR="084A7A09" w:rsidRPr="003D1E07">
        <w:rPr>
          <w:rStyle w:val="TextpoznpodarouChar"/>
          <w:i/>
        </w:rPr>
        <w:t>The Richard Rufus of Cornwall Project</w:t>
      </w:r>
      <w:r w:rsidR="084A7A09" w:rsidRPr="003D1E07">
        <w:rPr>
          <w:rStyle w:val="TextpoznpodarouChar"/>
        </w:rPr>
        <w:t>,</w:t>
      </w:r>
      <w:r w:rsidR="08EC0D11" w:rsidRPr="003D1E07">
        <w:rPr>
          <w:rStyle w:val="TextpoznpodarouChar"/>
        </w:rPr>
        <w:t xml:space="preserve"> University of Stanford </w:t>
      </w:r>
      <w:r w:rsidR="084A7A09" w:rsidRPr="003D1E07">
        <w:rPr>
          <w:rStyle w:val="TextpoznpodarouChar"/>
        </w:rPr>
        <w:t xml:space="preserve">(http://rrp.stanford.edu). </w:t>
      </w:r>
      <w:r w:rsidR="084A7A09" w:rsidRPr="003D1E07">
        <w:rPr>
          <w:rStyle w:val="TextpoznpodarouChar"/>
        </w:rPr>
        <w:tab/>
      </w:r>
      <w:r w:rsidR="084A7A09" w:rsidRPr="003D1E07">
        <w:rPr>
          <w:rStyle w:val="TextpoznpodarouChar"/>
        </w:rPr>
        <w:tab/>
      </w:r>
      <w:r w:rsidR="084A7A09" w:rsidRPr="003D1E07">
        <w:rPr>
          <w:rStyle w:val="TextpoznpodarouChar"/>
        </w:rPr>
        <w:tab/>
      </w:r>
      <w:r w:rsidR="08B25EF0" w:rsidRPr="003D1E07">
        <w:rPr>
          <w:bCs/>
        </w:rPr>
        <w:t>Richard Rufus of Cornwall.</w:t>
      </w:r>
      <w:r w:rsidR="08B25EF0" w:rsidRPr="003D1E07">
        <w:rPr>
          <w:b/>
          <w:bCs/>
        </w:rPr>
        <w:t xml:space="preserve"> </w:t>
      </w:r>
      <w:r w:rsidRPr="003D1E07">
        <w:rPr>
          <w:rStyle w:val="TextpoznpodarouChar"/>
          <w:i/>
        </w:rPr>
        <w:t>In Aristoteli Analytica posteriora</w:t>
      </w:r>
      <w:r w:rsidRPr="003D1E07">
        <w:rPr>
          <w:rStyle w:val="TextpoznpodarouChar"/>
        </w:rPr>
        <w:t xml:space="preserve"> (ed. Rega Wood)</w:t>
      </w:r>
      <w:r w:rsidR="08B25EF0" w:rsidRPr="003D1E07">
        <w:rPr>
          <w:rStyle w:val="TextpoznpodarouChar"/>
        </w:rPr>
        <w:t xml:space="preserve">; </w:t>
      </w:r>
      <w:r w:rsidRPr="003D1E07">
        <w:rPr>
          <w:rStyle w:val="TextpoznpodarouChar"/>
          <w:i/>
        </w:rPr>
        <w:t xml:space="preserve">Memoriale in </w:t>
      </w:r>
      <w:r w:rsidR="08B25EF0" w:rsidRPr="003D1E07">
        <w:rPr>
          <w:rStyle w:val="TextpoznpodarouChar"/>
          <w:i/>
        </w:rPr>
        <w:tab/>
      </w:r>
      <w:r w:rsidR="084A7A09" w:rsidRPr="003D1E07">
        <w:rPr>
          <w:rStyle w:val="TextpoznpodarouChar"/>
          <w:i/>
        </w:rPr>
        <w:tab/>
      </w:r>
      <w:r w:rsidR="084A7A09" w:rsidRPr="003D1E07">
        <w:rPr>
          <w:rStyle w:val="TextpoznpodarouChar"/>
          <w:i/>
        </w:rPr>
        <w:tab/>
      </w:r>
      <w:r w:rsidR="084A7A09" w:rsidRPr="003D1E07">
        <w:rPr>
          <w:rStyle w:val="TextpoznpodarouChar"/>
          <w:i/>
        </w:rPr>
        <w:tab/>
      </w:r>
      <w:r w:rsidRPr="003D1E07">
        <w:rPr>
          <w:rStyle w:val="TextpoznpodarouChar"/>
          <w:i/>
        </w:rPr>
        <w:t>Metaphysicam Aristotelis</w:t>
      </w:r>
      <w:r w:rsidRPr="003D1E07">
        <w:rPr>
          <w:rStyle w:val="TextpoznpodarouChar"/>
        </w:rPr>
        <w:t xml:space="preserve"> (eds. Rega Wood</w:t>
      </w:r>
      <w:r w:rsidR="08B25EF0" w:rsidRPr="003D1E07">
        <w:rPr>
          <w:rStyle w:val="TextpoznpodarouChar"/>
        </w:rPr>
        <w:t xml:space="preserve"> &amp; Neil Lewis, 2013); </w:t>
      </w:r>
      <w:r w:rsidRPr="003D1E07">
        <w:rPr>
          <w:rStyle w:val="TextpoznpodarouChar"/>
          <w:i/>
        </w:rPr>
        <w:t>In</w:t>
      </w:r>
      <w:r w:rsidR="08B25EF0" w:rsidRPr="003D1E07">
        <w:rPr>
          <w:rStyle w:val="TextpoznpodarouChar"/>
          <w:i/>
        </w:rPr>
        <w:t xml:space="preserve"> </w:t>
      </w:r>
      <w:r w:rsidR="084A7A09" w:rsidRPr="003D1E07">
        <w:rPr>
          <w:rStyle w:val="TextpoznpodarouChar"/>
          <w:i/>
        </w:rPr>
        <w:t xml:space="preserve">Aristotelis De anima. Redactio </w:t>
      </w:r>
      <w:r w:rsidR="084A7A09" w:rsidRPr="003D1E07">
        <w:rPr>
          <w:rStyle w:val="TextpoznpodarouChar"/>
          <w:i/>
        </w:rPr>
        <w:tab/>
      </w:r>
      <w:r w:rsidR="084A7A09" w:rsidRPr="003D1E07">
        <w:rPr>
          <w:rStyle w:val="TextpoznpodarouChar"/>
          <w:i/>
        </w:rPr>
        <w:tab/>
      </w:r>
      <w:r w:rsidR="084A7A09" w:rsidRPr="003D1E07">
        <w:rPr>
          <w:rStyle w:val="TextpoznpodarouChar"/>
          <w:i/>
        </w:rPr>
        <w:tab/>
      </w:r>
      <w:r w:rsidRPr="003D1E07">
        <w:rPr>
          <w:rStyle w:val="TextpoznpodarouChar"/>
          <w:i/>
        </w:rPr>
        <w:t>brevior. Liber 1–3</w:t>
      </w:r>
      <w:r w:rsidRPr="003D1E07">
        <w:rPr>
          <w:rStyle w:val="TextpoznpodarouChar"/>
        </w:rPr>
        <w:t xml:space="preserve">. </w:t>
      </w:r>
      <w:r w:rsidR="08B25EF0" w:rsidRPr="003D1E07">
        <w:rPr>
          <w:rStyle w:val="TextpoznpodarouChar"/>
        </w:rPr>
        <w:t>(</w:t>
      </w:r>
      <w:r w:rsidRPr="003D1E07">
        <w:rPr>
          <w:rStyle w:val="TextpoznpodarouChar"/>
        </w:rPr>
        <w:t>Eds. Christopher J. Martin, Neil Lewis, Rega Wood 2007)</w:t>
      </w:r>
      <w:r w:rsidR="08B25EF0" w:rsidRPr="003D1E07">
        <w:rPr>
          <w:rStyle w:val="TextpoznpodarouChar"/>
        </w:rPr>
        <w:t xml:space="preserve">. </w:t>
      </w:r>
    </w:p>
    <w:p w14:paraId="7BFB6AF8" w14:textId="77777777" w:rsidR="00F43FB6" w:rsidRPr="003D1E07" w:rsidRDefault="00F43FB6" w:rsidP="00466853">
      <w:pPr>
        <w:pStyle w:val="Literatura"/>
        <w:ind w:left="705" w:hanging="705"/>
      </w:pPr>
      <w:r w:rsidRPr="003D1E07">
        <w:rPr>
          <w:b/>
          <w:bCs/>
        </w:rPr>
        <w:t>SZ</w:t>
      </w:r>
      <w:r w:rsidRPr="003D1E07">
        <w:tab/>
      </w:r>
      <w:r w:rsidRPr="003D1E07">
        <w:tab/>
      </w:r>
      <w:r w:rsidR="08060608" w:rsidRPr="003D1E07">
        <w:tab/>
      </w:r>
      <w:r w:rsidR="00ED71DB" w:rsidRPr="003D1E07">
        <w:t xml:space="preserve">Heidegger, Martin. </w:t>
      </w:r>
      <w:r w:rsidRPr="003D1E07">
        <w:rPr>
          <w:i/>
          <w:iCs/>
        </w:rPr>
        <w:t>Sein und Zeit</w:t>
      </w:r>
      <w:r w:rsidR="00ED71DB" w:rsidRPr="003D1E07">
        <w:t xml:space="preserve">. Tübingen: </w:t>
      </w:r>
      <w:r w:rsidRPr="003D1E07">
        <w:t xml:space="preserve">Max Niemeyer Verlag, </w:t>
      </w:r>
      <w:r w:rsidRPr="003D1E07">
        <w:rPr>
          <w:vertAlign w:val="superscript"/>
        </w:rPr>
        <w:t>17</w:t>
      </w:r>
      <w:r w:rsidRPr="003D1E07">
        <w:t>1993.</w:t>
      </w:r>
    </w:p>
    <w:p w14:paraId="7743B163" w14:textId="664B2042" w:rsidR="08060608" w:rsidRPr="003D1E07" w:rsidRDefault="08802AB8" w:rsidP="00466853">
      <w:pPr>
        <w:pStyle w:val="Literatura"/>
      </w:pPr>
      <w:r w:rsidRPr="003D1E07">
        <w:rPr>
          <w:b/>
        </w:rPr>
        <w:t>WA</w:t>
      </w:r>
      <w:r w:rsidR="08D65D30" w:rsidRPr="003D1E07">
        <w:rPr>
          <w:b/>
        </w:rPr>
        <w:tab/>
      </w:r>
      <w:r w:rsidR="08060608" w:rsidRPr="003D1E07">
        <w:tab/>
      </w:r>
      <w:r w:rsidRPr="003D1E07">
        <w:tab/>
      </w:r>
      <w:r w:rsidR="00814C8E">
        <w:rPr>
          <w:rStyle w:val="st"/>
          <w:i/>
        </w:rPr>
        <w:t>The Works of Aristotle I–</w:t>
      </w:r>
      <w:r w:rsidR="08060608" w:rsidRPr="003D1E07">
        <w:rPr>
          <w:rStyle w:val="st"/>
          <w:i/>
        </w:rPr>
        <w:t>XII</w:t>
      </w:r>
      <w:r w:rsidR="08060608" w:rsidRPr="003D1E07">
        <w:rPr>
          <w:rStyle w:val="st"/>
        </w:rPr>
        <w:t>, ed. W.</w:t>
      </w:r>
      <w:r w:rsidR="08592747" w:rsidRPr="003D1E07">
        <w:rPr>
          <w:rStyle w:val="st"/>
        </w:rPr>
        <w:t xml:space="preserve"> </w:t>
      </w:r>
      <w:r w:rsidR="08060608" w:rsidRPr="003D1E07">
        <w:rPr>
          <w:rStyle w:val="st"/>
        </w:rPr>
        <w:t xml:space="preserve">D. Ross. </w:t>
      </w:r>
      <w:r w:rsidR="08060608" w:rsidRPr="003D1E07">
        <w:t>Oxford, 1908‒52.</w:t>
      </w:r>
    </w:p>
    <w:p w14:paraId="7AF9288F" w14:textId="77777777" w:rsidR="08291CBF" w:rsidRPr="003D1E07" w:rsidRDefault="08291CBF" w:rsidP="00466853">
      <w:pPr>
        <w:pStyle w:val="Literatura"/>
      </w:pPr>
    </w:p>
    <w:p w14:paraId="4395F10E" w14:textId="77777777" w:rsidR="00ED71DB" w:rsidRPr="003D1E07" w:rsidRDefault="00ED71DB" w:rsidP="00466853">
      <w:pPr>
        <w:pStyle w:val="Literatura"/>
        <w:ind w:left="705" w:hanging="705"/>
      </w:pPr>
    </w:p>
    <w:p w14:paraId="6A4D90B5" w14:textId="77777777" w:rsidR="00F43FB6" w:rsidRPr="003D1E07" w:rsidRDefault="00F43FB6" w:rsidP="00466853">
      <w:pPr>
        <w:pStyle w:val="Literatura"/>
        <w:ind w:left="705" w:hanging="705"/>
      </w:pPr>
    </w:p>
    <w:p w14:paraId="3CB55BCD" w14:textId="77777777" w:rsidR="00F43FB6" w:rsidRPr="003D1E07" w:rsidRDefault="00F43FB6" w:rsidP="00466853">
      <w:pPr>
        <w:pStyle w:val="Literatura"/>
      </w:pPr>
    </w:p>
    <w:p w14:paraId="148F9E78" w14:textId="77777777" w:rsidR="00F43FB6" w:rsidRPr="003D1E07" w:rsidRDefault="00F43FB6" w:rsidP="00466853">
      <w:pPr>
        <w:pStyle w:val="Literatura"/>
      </w:pPr>
    </w:p>
    <w:p w14:paraId="64BF10A6" w14:textId="77777777" w:rsidR="000E7690" w:rsidRPr="003D1E07" w:rsidRDefault="000E7690" w:rsidP="00466853">
      <w:pPr>
        <w:pStyle w:val="Literatura"/>
      </w:pPr>
    </w:p>
    <w:p w14:paraId="10EE8CD8" w14:textId="77777777" w:rsidR="085E25E8" w:rsidRPr="003D1E07" w:rsidRDefault="083C7C26" w:rsidP="085E25E8">
      <w:pPr>
        <w:pStyle w:val="Nadpis3"/>
        <w:rPr>
          <w:lang w:val="cs-CZ"/>
        </w:rPr>
      </w:pPr>
      <w:r w:rsidRPr="003D1E07">
        <w:rPr>
          <w:lang w:val="cs-CZ"/>
        </w:rPr>
        <w:br w:type="page"/>
      </w:r>
      <w:bookmarkStart w:id="76" w:name="_Toc93747289"/>
      <w:bookmarkStart w:id="77" w:name="_Toc102906179"/>
      <w:r w:rsidR="085E25E8" w:rsidRPr="003D1E07">
        <w:rPr>
          <w:lang w:val="cs-CZ"/>
        </w:rPr>
        <w:lastRenderedPageBreak/>
        <w:t>Index locorum</w:t>
      </w:r>
      <w:bookmarkEnd w:id="76"/>
      <w:bookmarkEnd w:id="77"/>
    </w:p>
    <w:p w14:paraId="2A9DFA76" w14:textId="77777777" w:rsidR="085E25E8" w:rsidRPr="003D1E07" w:rsidRDefault="085E25E8" w:rsidP="082F1D1D">
      <w:pPr>
        <w:pStyle w:val="Literatura"/>
      </w:pPr>
      <w:r w:rsidRPr="003D1E07">
        <w:t>Citováno je dílo (popř. svazek díla a kvestie), stránka, řádka kritického vydání, které je uvedeno v biblio</w:t>
      </w:r>
      <w:r w:rsidR="08746BA1" w:rsidRPr="003D1E07">
        <w:t>grafii</w:t>
      </w:r>
      <w:r w:rsidRPr="003D1E07">
        <w:t>.</w:t>
      </w:r>
    </w:p>
    <w:p w14:paraId="099E38FE" w14:textId="77777777" w:rsidR="08F87EA5" w:rsidRPr="003D1E07" w:rsidRDefault="08F87EA5" w:rsidP="082F1D1D">
      <w:pPr>
        <w:pStyle w:val="Literatura"/>
      </w:pPr>
    </w:p>
    <w:p w14:paraId="15FD1DA0" w14:textId="77777777" w:rsidR="08E416AA" w:rsidRPr="003D1E07" w:rsidRDefault="08E416AA" w:rsidP="08FC7DBD">
      <w:pPr>
        <w:spacing w:line="240" w:lineRule="auto"/>
        <w:contextualSpacing/>
        <w:jc w:val="left"/>
        <w:rPr>
          <w:rFonts w:cs="Calibri"/>
          <w:b/>
          <w:sz w:val="20"/>
          <w:lang w:eastAsia="en-US"/>
        </w:rPr>
        <w:sectPr w:rsidR="08E416AA" w:rsidRPr="003D1E07" w:rsidSect="00EA5233">
          <w:footerReference w:type="default" r:id="rId12"/>
          <w:pgSz w:w="11905" w:h="16837"/>
          <w:pgMar w:top="1417" w:right="1417" w:bottom="1417" w:left="1417" w:header="708" w:footer="720" w:gutter="0"/>
          <w:pgNumType w:start="1"/>
          <w:cols w:space="708"/>
          <w:docGrid w:linePitch="360"/>
        </w:sectPr>
      </w:pPr>
    </w:p>
    <w:p w14:paraId="72ECD4AB" w14:textId="77777777" w:rsidR="00367E15" w:rsidRPr="003D1E07" w:rsidRDefault="00367E15" w:rsidP="00367E15">
      <w:pPr>
        <w:spacing w:line="240" w:lineRule="auto"/>
        <w:contextualSpacing/>
        <w:jc w:val="left"/>
        <w:rPr>
          <w:rFonts w:cs="Calibri"/>
          <w:b/>
          <w:sz w:val="18"/>
          <w:szCs w:val="18"/>
          <w:lang w:eastAsia="en-US"/>
        </w:rPr>
      </w:pPr>
      <w:r w:rsidRPr="003D1E07">
        <w:rPr>
          <w:rFonts w:cs="Calibri"/>
          <w:b/>
          <w:sz w:val="18"/>
          <w:szCs w:val="18"/>
          <w:lang w:eastAsia="en-US"/>
        </w:rPr>
        <w:lastRenderedPageBreak/>
        <w:t>Aischylos</w:t>
      </w:r>
    </w:p>
    <w:p w14:paraId="02A787DB" w14:textId="77777777" w:rsidR="00367E15" w:rsidRPr="003D1E07" w:rsidRDefault="00367E15" w:rsidP="00367E15">
      <w:pPr>
        <w:pStyle w:val="Rejstk2"/>
        <w:tabs>
          <w:tab w:val="right" w:leader="dot" w:pos="4171"/>
        </w:tabs>
        <w:spacing w:line="240" w:lineRule="auto"/>
        <w:ind w:left="240"/>
      </w:pPr>
      <w:r w:rsidRPr="003D1E07">
        <w:rPr>
          <w:i/>
        </w:rPr>
        <w:t>Agamemnon</w:t>
      </w:r>
      <w:r w:rsidRPr="003D1E07">
        <w:t xml:space="preserve"> 178</w:t>
      </w:r>
      <w:r w:rsidRPr="003D1E07">
        <w:tab/>
        <w:t>49</w:t>
      </w:r>
    </w:p>
    <w:p w14:paraId="7013870A" w14:textId="77777777" w:rsidR="00367E15" w:rsidRPr="003D1E07" w:rsidRDefault="00367E15" w:rsidP="00367E15">
      <w:pPr>
        <w:pStyle w:val="Rejstk2"/>
        <w:tabs>
          <w:tab w:val="right" w:leader="dot" w:pos="4171"/>
        </w:tabs>
        <w:spacing w:line="240" w:lineRule="auto"/>
        <w:ind w:left="240"/>
      </w:pPr>
      <w:r w:rsidRPr="003D1E07">
        <w:rPr>
          <w:i/>
        </w:rPr>
        <w:t>Eumenidae</w:t>
      </w:r>
      <w:r w:rsidRPr="003D1E07">
        <w:t xml:space="preserve"> 377‒80</w:t>
      </w:r>
      <w:r w:rsidRPr="003D1E07">
        <w:tab/>
        <w:t>50</w:t>
      </w:r>
    </w:p>
    <w:p w14:paraId="38308A77" w14:textId="77777777" w:rsidR="00367E15" w:rsidRPr="003D1E07" w:rsidRDefault="00367E15" w:rsidP="00367E15">
      <w:pPr>
        <w:pStyle w:val="Rejstk2"/>
        <w:tabs>
          <w:tab w:val="right" w:leader="dot" w:pos="4171"/>
        </w:tabs>
        <w:spacing w:line="240" w:lineRule="auto"/>
        <w:ind w:left="240"/>
      </w:pPr>
      <w:r w:rsidRPr="003D1E07">
        <w:rPr>
          <w:i/>
        </w:rPr>
        <w:t>Eumenidae</w:t>
      </w:r>
      <w:r w:rsidRPr="003D1E07">
        <w:t xml:space="preserve"> 690–1</w:t>
      </w:r>
      <w:r w:rsidRPr="003D1E07">
        <w:tab/>
        <w:t>51</w:t>
      </w:r>
    </w:p>
    <w:p w14:paraId="393CBD24" w14:textId="77777777" w:rsidR="00367E15" w:rsidRPr="003D1E07" w:rsidRDefault="00367E15" w:rsidP="00367E15">
      <w:pPr>
        <w:spacing w:line="240" w:lineRule="auto"/>
        <w:contextualSpacing/>
        <w:jc w:val="left"/>
        <w:rPr>
          <w:rFonts w:cs="Calibri"/>
          <w:b/>
          <w:sz w:val="18"/>
          <w:szCs w:val="18"/>
        </w:rPr>
      </w:pPr>
    </w:p>
    <w:p w14:paraId="6A30D39C" w14:textId="77777777" w:rsidR="00367E15" w:rsidRPr="003D1E07" w:rsidRDefault="00367E15" w:rsidP="00367E15">
      <w:pPr>
        <w:spacing w:line="240" w:lineRule="auto"/>
        <w:contextualSpacing/>
        <w:jc w:val="left"/>
        <w:rPr>
          <w:rFonts w:cs="Calibri"/>
          <w:b/>
          <w:sz w:val="18"/>
          <w:szCs w:val="18"/>
        </w:rPr>
      </w:pPr>
      <w:r w:rsidRPr="003D1E07">
        <w:rPr>
          <w:rFonts w:cs="Calibri"/>
          <w:b/>
          <w:sz w:val="18"/>
          <w:szCs w:val="18"/>
        </w:rPr>
        <w:t>Alexander Afrodisias</w:t>
      </w:r>
    </w:p>
    <w:p w14:paraId="6E32F716" w14:textId="77777777" w:rsidR="00367E15" w:rsidRPr="003D1E07" w:rsidRDefault="00367E15" w:rsidP="00367E15">
      <w:pPr>
        <w:pStyle w:val="Rejstk2"/>
        <w:tabs>
          <w:tab w:val="right" w:leader="dot" w:pos="4171"/>
        </w:tabs>
        <w:spacing w:line="240" w:lineRule="auto"/>
        <w:ind w:left="240"/>
      </w:pPr>
      <w:r w:rsidRPr="003D1E07">
        <w:rPr>
          <w:i/>
        </w:rPr>
        <w:t>De anima liber cum Mantissa</w:t>
      </w:r>
      <w:r w:rsidRPr="003D1E07">
        <w:t xml:space="preserve"> 88.23‒24</w:t>
      </w:r>
      <w:r w:rsidRPr="003D1E07">
        <w:tab/>
        <w:t>255</w:t>
      </w:r>
    </w:p>
    <w:p w14:paraId="343E0B04" w14:textId="77777777" w:rsidR="00367E15" w:rsidRPr="003D1E07" w:rsidRDefault="00367E15" w:rsidP="00367E15">
      <w:pPr>
        <w:pStyle w:val="Rejstk2"/>
        <w:tabs>
          <w:tab w:val="right" w:leader="dot" w:pos="4171"/>
        </w:tabs>
        <w:spacing w:line="240" w:lineRule="auto"/>
        <w:ind w:left="240"/>
      </w:pPr>
      <w:r w:rsidRPr="003D1E07">
        <w:rPr>
          <w:i/>
        </w:rPr>
        <w:t>De anima liber cum Mantissa</w:t>
      </w:r>
      <w:r w:rsidRPr="003D1E07">
        <w:rPr>
          <w:i/>
          <w:color w:val="000000"/>
        </w:rPr>
        <w:t xml:space="preserve"> </w:t>
      </w:r>
      <w:r w:rsidRPr="003D1E07">
        <w:rPr>
          <w:color w:val="000000"/>
        </w:rPr>
        <w:t>107.15‒20</w:t>
      </w:r>
      <w:r w:rsidRPr="003D1E07">
        <w:tab/>
        <w:t>186</w:t>
      </w:r>
    </w:p>
    <w:p w14:paraId="4B397464" w14:textId="77777777" w:rsidR="00367E15" w:rsidRPr="003D1E07" w:rsidRDefault="00367E15" w:rsidP="00367E15">
      <w:pPr>
        <w:pStyle w:val="Rejstk2"/>
        <w:tabs>
          <w:tab w:val="right" w:leader="dot" w:pos="4171"/>
        </w:tabs>
        <w:spacing w:line="240" w:lineRule="auto"/>
        <w:ind w:left="240"/>
      </w:pPr>
      <w:r w:rsidRPr="003D1E07">
        <w:rPr>
          <w:i/>
        </w:rPr>
        <w:t>De anima liber cum Mantissa</w:t>
      </w:r>
      <w:r w:rsidRPr="003D1E07">
        <w:rPr>
          <w:i/>
          <w:color w:val="000000"/>
        </w:rPr>
        <w:t xml:space="preserve"> </w:t>
      </w:r>
      <w:r w:rsidRPr="003D1E07">
        <w:rPr>
          <w:color w:val="000000"/>
        </w:rPr>
        <w:t>107.17</w:t>
      </w:r>
      <w:r w:rsidRPr="003D1E07">
        <w:tab/>
        <w:t>186</w:t>
      </w:r>
    </w:p>
    <w:p w14:paraId="7632F54B" w14:textId="77777777" w:rsidR="00367E15" w:rsidRPr="003D1E07" w:rsidRDefault="00367E15" w:rsidP="00367E15">
      <w:pPr>
        <w:pStyle w:val="Rejstk2"/>
        <w:tabs>
          <w:tab w:val="right" w:leader="dot" w:pos="4171"/>
        </w:tabs>
        <w:spacing w:line="240" w:lineRule="auto"/>
        <w:ind w:left="240"/>
      </w:pPr>
      <w:r w:rsidRPr="003D1E07">
        <w:rPr>
          <w:i/>
        </w:rPr>
        <w:t>De anima liber cum Mantissa</w:t>
      </w:r>
      <w:r w:rsidRPr="003D1E07">
        <w:rPr>
          <w:i/>
          <w:color w:val="000000"/>
        </w:rPr>
        <w:t xml:space="preserve"> </w:t>
      </w:r>
      <w:r w:rsidRPr="003D1E07">
        <w:rPr>
          <w:color w:val="000000"/>
        </w:rPr>
        <w:t>110.4</w:t>
      </w:r>
      <w:r w:rsidRPr="003D1E07">
        <w:tab/>
        <w:t>198</w:t>
      </w:r>
    </w:p>
    <w:p w14:paraId="1BF93DB4" w14:textId="77777777" w:rsidR="00367E15" w:rsidRPr="003D1E07" w:rsidRDefault="00367E15" w:rsidP="00367E15">
      <w:pPr>
        <w:pStyle w:val="Rejstk2"/>
        <w:tabs>
          <w:tab w:val="right" w:leader="dot" w:pos="4171"/>
        </w:tabs>
        <w:spacing w:line="240" w:lineRule="auto"/>
        <w:ind w:left="240"/>
      </w:pPr>
      <w:r w:rsidRPr="003D1E07">
        <w:rPr>
          <w:i/>
        </w:rPr>
        <w:t>De anima liber cum Mantissa</w:t>
      </w:r>
      <w:r w:rsidRPr="003D1E07">
        <w:rPr>
          <w:i/>
          <w:color w:val="000000"/>
        </w:rPr>
        <w:t xml:space="preserve"> </w:t>
      </w:r>
      <w:r w:rsidRPr="003D1E07">
        <w:rPr>
          <w:color w:val="000000"/>
        </w:rPr>
        <w:t>111.32</w:t>
      </w:r>
      <w:r w:rsidRPr="003D1E07">
        <w:tab/>
        <w:t>190</w:t>
      </w:r>
    </w:p>
    <w:p w14:paraId="43C0D4D1" w14:textId="77777777" w:rsidR="00367E15" w:rsidRPr="003D1E07" w:rsidRDefault="00367E15" w:rsidP="00367E15">
      <w:pPr>
        <w:pStyle w:val="Rejstk2"/>
        <w:tabs>
          <w:tab w:val="right" w:leader="dot" w:pos="4171"/>
        </w:tabs>
        <w:spacing w:line="240" w:lineRule="auto"/>
        <w:ind w:left="240"/>
      </w:pPr>
      <w:r w:rsidRPr="003D1E07">
        <w:rPr>
          <w:i/>
        </w:rPr>
        <w:t>De anima liber cum Mantissa</w:t>
      </w:r>
      <w:r w:rsidRPr="003D1E07">
        <w:rPr>
          <w:i/>
          <w:color w:val="000000"/>
        </w:rPr>
        <w:t xml:space="preserve"> </w:t>
      </w:r>
      <w:r w:rsidRPr="003D1E07">
        <w:rPr>
          <w:color w:val="000000"/>
        </w:rPr>
        <w:t>111.32‒36</w:t>
      </w:r>
      <w:r w:rsidRPr="003D1E07">
        <w:tab/>
        <w:t>190</w:t>
      </w:r>
    </w:p>
    <w:p w14:paraId="57B13921" w14:textId="77777777" w:rsidR="00367E15" w:rsidRPr="003D1E07" w:rsidRDefault="00367E15" w:rsidP="00367E15">
      <w:pPr>
        <w:pStyle w:val="Rejstk2"/>
        <w:tabs>
          <w:tab w:val="right" w:leader="dot" w:pos="4171"/>
        </w:tabs>
        <w:spacing w:line="240" w:lineRule="auto"/>
        <w:ind w:left="240"/>
      </w:pPr>
      <w:r w:rsidRPr="003D1E07">
        <w:rPr>
          <w:i/>
        </w:rPr>
        <w:t>De anima liber cum Mantissa</w:t>
      </w:r>
      <w:r w:rsidRPr="003D1E07">
        <w:rPr>
          <w:i/>
          <w:color w:val="000000"/>
        </w:rPr>
        <w:t xml:space="preserve"> </w:t>
      </w:r>
      <w:r w:rsidRPr="003D1E07">
        <w:rPr>
          <w:color w:val="000000"/>
        </w:rPr>
        <w:t>111.34</w:t>
      </w:r>
      <w:r w:rsidRPr="003D1E07">
        <w:tab/>
        <w:t>190</w:t>
      </w:r>
    </w:p>
    <w:p w14:paraId="44E993B6" w14:textId="77777777" w:rsidR="00367E15" w:rsidRPr="003D1E07" w:rsidRDefault="00367E15" w:rsidP="00367E15">
      <w:pPr>
        <w:pStyle w:val="Rejstk2"/>
        <w:tabs>
          <w:tab w:val="right" w:leader="dot" w:pos="4171"/>
        </w:tabs>
        <w:spacing w:line="240" w:lineRule="auto"/>
        <w:ind w:left="240"/>
      </w:pPr>
      <w:r w:rsidRPr="003D1E07">
        <w:rPr>
          <w:i/>
        </w:rPr>
        <w:t>De anima liber cum Mantissa</w:t>
      </w:r>
      <w:r w:rsidRPr="003D1E07">
        <w:rPr>
          <w:i/>
          <w:color w:val="000000"/>
        </w:rPr>
        <w:t xml:space="preserve"> </w:t>
      </w:r>
      <w:r w:rsidRPr="003D1E07">
        <w:rPr>
          <w:color w:val="000000"/>
        </w:rPr>
        <w:t>88‒89</w:t>
      </w:r>
      <w:r w:rsidRPr="003D1E07">
        <w:tab/>
        <w:t>185</w:t>
      </w:r>
    </w:p>
    <w:p w14:paraId="4FD47619" w14:textId="77777777" w:rsidR="00367E15" w:rsidRPr="003D1E07" w:rsidRDefault="00367E15" w:rsidP="00367E15">
      <w:pPr>
        <w:pStyle w:val="Rejstk2"/>
        <w:tabs>
          <w:tab w:val="right" w:leader="dot" w:pos="4171"/>
        </w:tabs>
        <w:spacing w:line="240" w:lineRule="auto"/>
        <w:ind w:left="240"/>
      </w:pPr>
      <w:r w:rsidRPr="003D1E07">
        <w:rPr>
          <w:i/>
        </w:rPr>
        <w:t>Alex.</w:t>
      </w:r>
      <w:r w:rsidRPr="003D1E07">
        <w:t xml:space="preserve"> </w:t>
      </w:r>
      <w:r w:rsidRPr="003D1E07">
        <w:rPr>
          <w:i/>
        </w:rPr>
        <w:t>in Met</w:t>
      </w:r>
      <w:r w:rsidRPr="003D1E07">
        <w:t>. 671.12‒13</w:t>
      </w:r>
      <w:r w:rsidRPr="003D1E07">
        <w:tab/>
        <w:t>347</w:t>
      </w:r>
    </w:p>
    <w:p w14:paraId="24C373C7" w14:textId="77777777" w:rsidR="00367E15" w:rsidRPr="003D1E07" w:rsidRDefault="00367E15" w:rsidP="00367E15">
      <w:pPr>
        <w:pStyle w:val="Rejstk2"/>
        <w:tabs>
          <w:tab w:val="right" w:leader="dot" w:pos="4171"/>
        </w:tabs>
        <w:spacing w:line="240" w:lineRule="auto"/>
        <w:ind w:left="240"/>
      </w:pPr>
      <w:r w:rsidRPr="003D1E07">
        <w:rPr>
          <w:i/>
        </w:rPr>
        <w:t>Alex.</w:t>
      </w:r>
      <w:r w:rsidRPr="003D1E07">
        <w:t xml:space="preserve"> </w:t>
      </w:r>
      <w:r w:rsidRPr="003D1E07">
        <w:rPr>
          <w:i/>
        </w:rPr>
        <w:t>in Met</w:t>
      </w:r>
      <w:r w:rsidRPr="003D1E07">
        <w:t>. 671.13</w:t>
      </w:r>
      <w:r w:rsidRPr="003D1E07">
        <w:tab/>
        <w:t>348</w:t>
      </w:r>
    </w:p>
    <w:p w14:paraId="793D52D6" w14:textId="77777777" w:rsidR="00367E15" w:rsidRPr="003D1E07" w:rsidRDefault="00367E15" w:rsidP="00367E15">
      <w:pPr>
        <w:pStyle w:val="Rejstk2"/>
        <w:tabs>
          <w:tab w:val="right" w:leader="dot" w:pos="4171"/>
        </w:tabs>
        <w:spacing w:line="240" w:lineRule="auto"/>
        <w:ind w:left="240"/>
      </w:pPr>
      <w:r w:rsidRPr="003D1E07">
        <w:rPr>
          <w:i/>
        </w:rPr>
        <w:t>Alex.</w:t>
      </w:r>
      <w:r w:rsidRPr="003D1E07">
        <w:t xml:space="preserve"> </w:t>
      </w:r>
      <w:r w:rsidRPr="003D1E07">
        <w:rPr>
          <w:i/>
        </w:rPr>
        <w:t>in Met</w:t>
      </w:r>
      <w:r w:rsidRPr="003D1E07">
        <w:t>. 671.15</w:t>
      </w:r>
      <w:r w:rsidRPr="003D1E07">
        <w:tab/>
        <w:t>348</w:t>
      </w:r>
    </w:p>
    <w:p w14:paraId="409FC8C3" w14:textId="77777777" w:rsidR="00367E15" w:rsidRPr="003D1E07" w:rsidRDefault="00367E15" w:rsidP="00367E15">
      <w:pPr>
        <w:pStyle w:val="Rejstk2"/>
        <w:tabs>
          <w:tab w:val="right" w:leader="dot" w:pos="4171"/>
        </w:tabs>
        <w:spacing w:line="240" w:lineRule="auto"/>
        <w:ind w:left="240"/>
      </w:pPr>
      <w:r w:rsidRPr="003D1E07">
        <w:rPr>
          <w:i/>
        </w:rPr>
        <w:t>Alex.</w:t>
      </w:r>
      <w:r w:rsidRPr="003D1E07">
        <w:t xml:space="preserve"> </w:t>
      </w:r>
      <w:r w:rsidRPr="003D1E07">
        <w:rPr>
          <w:i/>
        </w:rPr>
        <w:t>in Met</w:t>
      </w:r>
      <w:r w:rsidRPr="003D1E07">
        <w:t>. 671.16</w:t>
      </w:r>
      <w:r w:rsidRPr="003D1E07">
        <w:tab/>
        <w:t>348</w:t>
      </w:r>
    </w:p>
    <w:p w14:paraId="4CE5C5C5" w14:textId="77777777" w:rsidR="00367E15" w:rsidRPr="003D1E07" w:rsidRDefault="00367E15" w:rsidP="00367E15">
      <w:pPr>
        <w:pStyle w:val="Rejstk2"/>
        <w:tabs>
          <w:tab w:val="right" w:leader="dot" w:pos="4171"/>
        </w:tabs>
        <w:spacing w:line="240" w:lineRule="auto"/>
        <w:ind w:left="240"/>
      </w:pPr>
      <w:r w:rsidRPr="003D1E07">
        <w:rPr>
          <w:i/>
        </w:rPr>
        <w:t>De anima liber cum Mantissa</w:t>
      </w:r>
      <w:r w:rsidRPr="003D1E07">
        <w:t xml:space="preserve"> 107.15‒20</w:t>
      </w:r>
      <w:r w:rsidRPr="003D1E07">
        <w:tab/>
        <w:t>387</w:t>
      </w:r>
    </w:p>
    <w:p w14:paraId="25E0E3BF" w14:textId="77777777" w:rsidR="00367E15" w:rsidRPr="003D1E07" w:rsidRDefault="00367E15" w:rsidP="00367E15">
      <w:pPr>
        <w:pStyle w:val="Rejstk2"/>
        <w:tabs>
          <w:tab w:val="right" w:leader="dot" w:pos="4171"/>
        </w:tabs>
        <w:spacing w:line="240" w:lineRule="auto"/>
        <w:ind w:left="240"/>
      </w:pPr>
      <w:r w:rsidRPr="003D1E07">
        <w:rPr>
          <w:i/>
        </w:rPr>
        <w:t>De anima liber cum Mantissa</w:t>
      </w:r>
      <w:r w:rsidRPr="003D1E07">
        <w:t xml:space="preserve"> 84.25</w:t>
      </w:r>
      <w:r w:rsidRPr="003D1E07">
        <w:tab/>
        <w:t>263</w:t>
      </w:r>
    </w:p>
    <w:p w14:paraId="3F8DCD4F" w14:textId="77777777" w:rsidR="00367E15" w:rsidRPr="003D1E07" w:rsidRDefault="00367E15" w:rsidP="00367E15">
      <w:pPr>
        <w:spacing w:line="240" w:lineRule="auto"/>
        <w:contextualSpacing/>
        <w:jc w:val="left"/>
        <w:rPr>
          <w:rFonts w:cs="Calibri"/>
          <w:b/>
          <w:sz w:val="18"/>
          <w:szCs w:val="18"/>
        </w:rPr>
      </w:pPr>
    </w:p>
    <w:p w14:paraId="3E0A2F02" w14:textId="77777777" w:rsidR="00367E15" w:rsidRPr="003D1E07" w:rsidRDefault="00367E15" w:rsidP="00367E15">
      <w:pPr>
        <w:spacing w:line="240" w:lineRule="auto"/>
        <w:contextualSpacing/>
        <w:jc w:val="left"/>
        <w:rPr>
          <w:rFonts w:cs="Calibri"/>
          <w:b/>
          <w:sz w:val="18"/>
          <w:szCs w:val="18"/>
        </w:rPr>
      </w:pPr>
      <w:r w:rsidRPr="003D1E07">
        <w:rPr>
          <w:rFonts w:cs="Calibri"/>
          <w:b/>
          <w:sz w:val="18"/>
          <w:szCs w:val="18"/>
        </w:rPr>
        <w:t>Al-Fárábí</w:t>
      </w:r>
    </w:p>
    <w:p w14:paraId="27BA3B5E" w14:textId="77777777" w:rsidR="00367E15" w:rsidRPr="003D1E07" w:rsidRDefault="00367E15" w:rsidP="00367E15">
      <w:pPr>
        <w:pStyle w:val="Rejstk2"/>
        <w:tabs>
          <w:tab w:val="right" w:leader="dot" w:pos="4171"/>
        </w:tabs>
        <w:spacing w:line="240" w:lineRule="auto"/>
        <w:ind w:left="242"/>
      </w:pPr>
      <w:r w:rsidRPr="003D1E07">
        <w:rPr>
          <w:i/>
        </w:rPr>
        <w:t>De intellectu</w:t>
      </w:r>
      <w:r w:rsidRPr="003D1E07">
        <w:t xml:space="preserve"> 117.86–87</w:t>
      </w:r>
      <w:r w:rsidRPr="003D1E07">
        <w:tab/>
        <w:t>188</w:t>
      </w:r>
    </w:p>
    <w:p w14:paraId="2E843E3F" w14:textId="77777777" w:rsidR="00367E15" w:rsidRPr="003D1E07" w:rsidRDefault="00367E15" w:rsidP="00367E15">
      <w:pPr>
        <w:pStyle w:val="Rejstk2"/>
        <w:tabs>
          <w:tab w:val="right" w:leader="dot" w:pos="4171"/>
        </w:tabs>
        <w:spacing w:line="240" w:lineRule="auto"/>
        <w:ind w:left="242"/>
      </w:pPr>
      <w:r w:rsidRPr="003D1E07">
        <w:rPr>
          <w:i/>
        </w:rPr>
        <w:t>De intellectu</w:t>
      </w:r>
      <w:r w:rsidRPr="003D1E07">
        <w:t xml:space="preserve"> 117.87–88</w:t>
      </w:r>
      <w:r w:rsidRPr="003D1E07">
        <w:tab/>
        <w:t>188</w:t>
      </w:r>
    </w:p>
    <w:p w14:paraId="2254BA19" w14:textId="77777777" w:rsidR="00367E15" w:rsidRPr="003D1E07" w:rsidRDefault="00367E15" w:rsidP="00367E15">
      <w:pPr>
        <w:pStyle w:val="Rejstk2"/>
        <w:tabs>
          <w:tab w:val="right" w:leader="dot" w:pos="4171"/>
        </w:tabs>
        <w:spacing w:line="240" w:lineRule="auto"/>
        <w:ind w:left="242"/>
      </w:pPr>
      <w:r w:rsidRPr="003D1E07">
        <w:rPr>
          <w:i/>
        </w:rPr>
        <w:t>De intellectu</w:t>
      </w:r>
      <w:r w:rsidRPr="003D1E07">
        <w:t xml:space="preserve"> 118.110–12</w:t>
      </w:r>
      <w:r w:rsidRPr="003D1E07">
        <w:tab/>
        <w:t>188</w:t>
      </w:r>
    </w:p>
    <w:p w14:paraId="2774284D" w14:textId="77777777" w:rsidR="00367E15" w:rsidRPr="003D1E07" w:rsidRDefault="00367E15" w:rsidP="00367E15">
      <w:pPr>
        <w:pStyle w:val="Rejstk2"/>
        <w:tabs>
          <w:tab w:val="right" w:leader="dot" w:pos="4171"/>
        </w:tabs>
        <w:spacing w:line="240" w:lineRule="auto"/>
        <w:ind w:left="242"/>
      </w:pPr>
      <w:r w:rsidRPr="003D1E07">
        <w:rPr>
          <w:i/>
          <w:iCs/>
        </w:rPr>
        <w:t xml:space="preserve">De intellectu </w:t>
      </w:r>
      <w:r w:rsidRPr="003D1E07">
        <w:t>119.135–140</w:t>
      </w:r>
      <w:r w:rsidRPr="003D1E07">
        <w:tab/>
        <w:t>201</w:t>
      </w:r>
    </w:p>
    <w:p w14:paraId="2E3AD5EF" w14:textId="77777777" w:rsidR="00367E15" w:rsidRPr="003D1E07" w:rsidRDefault="00367E15" w:rsidP="00367E15">
      <w:pPr>
        <w:pStyle w:val="Rejstk2"/>
        <w:tabs>
          <w:tab w:val="right" w:leader="dot" w:pos="4171"/>
        </w:tabs>
        <w:spacing w:line="240" w:lineRule="auto"/>
        <w:ind w:left="242"/>
      </w:pPr>
      <w:r w:rsidRPr="003D1E07">
        <w:rPr>
          <w:i/>
          <w:iCs/>
        </w:rPr>
        <w:t xml:space="preserve">De intellectu </w:t>
      </w:r>
      <w:r w:rsidRPr="003D1E07">
        <w:t>119.144–148</w:t>
      </w:r>
      <w:r w:rsidRPr="003D1E07">
        <w:tab/>
        <w:t>202</w:t>
      </w:r>
    </w:p>
    <w:p w14:paraId="222E0200" w14:textId="77777777" w:rsidR="00367E15" w:rsidRPr="003D1E07" w:rsidRDefault="00367E15" w:rsidP="00367E15">
      <w:pPr>
        <w:pStyle w:val="Rejstk2"/>
        <w:tabs>
          <w:tab w:val="right" w:leader="dot" w:pos="4171"/>
        </w:tabs>
        <w:spacing w:line="240" w:lineRule="auto"/>
        <w:ind w:left="242"/>
      </w:pPr>
      <w:r w:rsidRPr="003D1E07">
        <w:rPr>
          <w:i/>
          <w:iCs/>
        </w:rPr>
        <w:t xml:space="preserve">De intellectu </w:t>
      </w:r>
      <w:r w:rsidRPr="003D1E07">
        <w:t>119.150–153</w:t>
      </w:r>
      <w:r w:rsidRPr="003D1E07">
        <w:tab/>
        <w:t>203</w:t>
      </w:r>
    </w:p>
    <w:p w14:paraId="5A0F7B1D" w14:textId="77777777" w:rsidR="00367E15" w:rsidRPr="003D1E07" w:rsidRDefault="00367E15" w:rsidP="00367E15">
      <w:pPr>
        <w:pStyle w:val="Rejstk2"/>
        <w:tabs>
          <w:tab w:val="right" w:leader="dot" w:pos="4171"/>
        </w:tabs>
        <w:spacing w:line="240" w:lineRule="auto"/>
        <w:ind w:left="242"/>
      </w:pPr>
      <w:r w:rsidRPr="003D1E07">
        <w:rPr>
          <w:i/>
          <w:iCs/>
        </w:rPr>
        <w:t xml:space="preserve">De intellectu </w:t>
      </w:r>
      <w:r w:rsidRPr="003D1E07">
        <w:t>119.155–159</w:t>
      </w:r>
      <w:r w:rsidRPr="003D1E07">
        <w:tab/>
        <w:t>204</w:t>
      </w:r>
    </w:p>
    <w:p w14:paraId="1EF2DB75" w14:textId="77777777" w:rsidR="00367E15" w:rsidRPr="003D1E07" w:rsidRDefault="00367E15" w:rsidP="00367E15">
      <w:pPr>
        <w:pStyle w:val="Rejstk2"/>
        <w:tabs>
          <w:tab w:val="right" w:leader="dot" w:pos="4171"/>
        </w:tabs>
        <w:spacing w:line="240" w:lineRule="auto"/>
        <w:ind w:left="242"/>
      </w:pPr>
      <w:r w:rsidRPr="003D1E07">
        <w:rPr>
          <w:i/>
          <w:iCs/>
        </w:rPr>
        <w:t xml:space="preserve">De intellectu </w:t>
      </w:r>
      <w:r w:rsidRPr="003D1E07">
        <w:t>120.185–87</w:t>
      </w:r>
      <w:r w:rsidRPr="003D1E07">
        <w:tab/>
        <w:t>229</w:t>
      </w:r>
    </w:p>
    <w:p w14:paraId="65D9DBC3" w14:textId="77777777" w:rsidR="00367E15" w:rsidRPr="003D1E07" w:rsidRDefault="00367E15" w:rsidP="00367E15">
      <w:pPr>
        <w:pStyle w:val="Rejstk2"/>
        <w:tabs>
          <w:tab w:val="right" w:leader="dot" w:pos="4171"/>
        </w:tabs>
        <w:spacing w:line="240" w:lineRule="auto"/>
        <w:ind w:left="242"/>
      </w:pPr>
      <w:r w:rsidRPr="003D1E07">
        <w:rPr>
          <w:i/>
          <w:iCs/>
        </w:rPr>
        <w:t xml:space="preserve">De intellectu </w:t>
      </w:r>
      <w:r w:rsidRPr="003D1E07">
        <w:t>120.189‒92</w:t>
      </w:r>
      <w:r w:rsidRPr="003D1E07">
        <w:tab/>
        <w:t>226</w:t>
      </w:r>
    </w:p>
    <w:p w14:paraId="71D0B3E2" w14:textId="77777777" w:rsidR="00367E15" w:rsidRPr="003D1E07" w:rsidRDefault="00367E15" w:rsidP="00367E15">
      <w:pPr>
        <w:pStyle w:val="Rejstk2"/>
        <w:tabs>
          <w:tab w:val="right" w:leader="dot" w:pos="4171"/>
        </w:tabs>
        <w:spacing w:line="240" w:lineRule="auto"/>
        <w:ind w:left="242"/>
      </w:pPr>
      <w:r w:rsidRPr="003D1E07">
        <w:rPr>
          <w:i/>
          <w:iCs/>
        </w:rPr>
        <w:t xml:space="preserve">De intellectu </w:t>
      </w:r>
      <w:r w:rsidRPr="003D1E07">
        <w:t>121.207–214</w:t>
      </w:r>
      <w:r w:rsidRPr="003D1E07">
        <w:tab/>
        <w:t>207</w:t>
      </w:r>
    </w:p>
    <w:p w14:paraId="6E91E274" w14:textId="77777777" w:rsidR="00367E15" w:rsidRPr="003D1E07" w:rsidRDefault="00367E15" w:rsidP="00367E15">
      <w:pPr>
        <w:pStyle w:val="Rejstk2"/>
        <w:tabs>
          <w:tab w:val="right" w:leader="dot" w:pos="4171"/>
        </w:tabs>
        <w:spacing w:line="240" w:lineRule="auto"/>
        <w:ind w:left="242"/>
      </w:pPr>
      <w:r w:rsidRPr="003D1E07">
        <w:rPr>
          <w:i/>
          <w:iCs/>
        </w:rPr>
        <w:t xml:space="preserve">De intellectu </w:t>
      </w:r>
      <w:r w:rsidRPr="003D1E07">
        <w:t>122.257–66</w:t>
      </w:r>
      <w:r w:rsidRPr="003D1E07">
        <w:tab/>
        <w:t>194</w:t>
      </w:r>
    </w:p>
    <w:p w14:paraId="6DA977FF" w14:textId="77777777" w:rsidR="00367E15" w:rsidRPr="003D1E07" w:rsidRDefault="00367E15" w:rsidP="00367E15">
      <w:pPr>
        <w:pStyle w:val="Rejstk2"/>
        <w:tabs>
          <w:tab w:val="right" w:leader="dot" w:pos="4171"/>
        </w:tabs>
        <w:spacing w:line="240" w:lineRule="auto"/>
        <w:ind w:left="242"/>
      </w:pPr>
      <w:r w:rsidRPr="003D1E07">
        <w:rPr>
          <w:i/>
        </w:rPr>
        <w:t>De intellectu</w:t>
      </w:r>
      <w:r w:rsidRPr="003D1E07">
        <w:t xml:space="preserve"> 123.300–310</w:t>
      </w:r>
      <w:r w:rsidRPr="003D1E07">
        <w:tab/>
        <w:t>215</w:t>
      </w:r>
    </w:p>
    <w:p w14:paraId="196D5538" w14:textId="77777777" w:rsidR="00367E15" w:rsidRPr="003D1E07" w:rsidRDefault="00367E15" w:rsidP="00367E15">
      <w:pPr>
        <w:pStyle w:val="Rejstk2"/>
        <w:tabs>
          <w:tab w:val="right" w:leader="dot" w:pos="4171"/>
        </w:tabs>
        <w:spacing w:line="240" w:lineRule="auto"/>
        <w:ind w:left="242"/>
      </w:pPr>
      <w:r w:rsidRPr="003D1E07">
        <w:rPr>
          <w:i/>
          <w:iCs/>
        </w:rPr>
        <w:t xml:space="preserve">De intellectu </w:t>
      </w:r>
      <w:r w:rsidRPr="003D1E07">
        <w:t>124.326–330</w:t>
      </w:r>
      <w:r w:rsidRPr="003D1E07">
        <w:tab/>
        <w:t>200</w:t>
      </w:r>
    </w:p>
    <w:p w14:paraId="126B0842" w14:textId="77777777" w:rsidR="00367E15" w:rsidRPr="003D1E07" w:rsidRDefault="00367E15" w:rsidP="00367E15">
      <w:pPr>
        <w:pStyle w:val="Rejstk2"/>
        <w:tabs>
          <w:tab w:val="right" w:leader="dot" w:pos="4171"/>
        </w:tabs>
        <w:spacing w:line="240" w:lineRule="auto"/>
        <w:ind w:left="242"/>
      </w:pPr>
      <w:r w:rsidRPr="003D1E07">
        <w:rPr>
          <w:i/>
        </w:rPr>
        <w:t>De intellectu</w:t>
      </w:r>
      <w:r w:rsidRPr="003D1E07">
        <w:t xml:space="preserve"> 68.4–7</w:t>
      </w:r>
      <w:r w:rsidRPr="003D1E07">
        <w:tab/>
        <w:t>187</w:t>
      </w:r>
    </w:p>
    <w:p w14:paraId="2F288752" w14:textId="77777777" w:rsidR="00367E15" w:rsidRPr="003D1E07" w:rsidRDefault="00367E15" w:rsidP="00367E15">
      <w:pPr>
        <w:pStyle w:val="Rejstk2"/>
        <w:tabs>
          <w:tab w:val="right" w:leader="dot" w:pos="4171"/>
        </w:tabs>
        <w:spacing w:line="240" w:lineRule="auto"/>
        <w:ind w:left="242"/>
      </w:pPr>
      <w:r w:rsidRPr="003D1E07">
        <w:rPr>
          <w:i/>
        </w:rPr>
        <w:t>De intellectu</w:t>
      </w:r>
      <w:r w:rsidRPr="003D1E07">
        <w:t xml:space="preserve"> 74.22‒30</w:t>
      </w:r>
      <w:r w:rsidRPr="003D1E07">
        <w:tab/>
        <w:t>192</w:t>
      </w:r>
    </w:p>
    <w:p w14:paraId="40DC293C" w14:textId="77777777" w:rsidR="00367E15" w:rsidRPr="003D1E07" w:rsidRDefault="00367E15" w:rsidP="00367E15">
      <w:pPr>
        <w:pStyle w:val="Rejstk2"/>
        <w:tabs>
          <w:tab w:val="right" w:leader="dot" w:pos="4171"/>
        </w:tabs>
        <w:spacing w:line="240" w:lineRule="auto"/>
        <w:ind w:left="242"/>
      </w:pPr>
      <w:r w:rsidRPr="003D1E07">
        <w:rPr>
          <w:i/>
        </w:rPr>
        <w:t>De ortu</w:t>
      </w:r>
      <w:r w:rsidRPr="003D1E07">
        <w:t xml:space="preserve"> </w:t>
      </w:r>
      <w:r w:rsidRPr="003D1E07">
        <w:rPr>
          <w:i/>
        </w:rPr>
        <w:t>scientiarum</w:t>
      </w:r>
      <w:r w:rsidRPr="003D1E07">
        <w:t xml:space="preserve"> 21.15–17</w:t>
      </w:r>
      <w:r w:rsidRPr="003D1E07">
        <w:tab/>
        <w:t>179</w:t>
      </w:r>
    </w:p>
    <w:p w14:paraId="5926B178" w14:textId="77777777" w:rsidR="00367E15" w:rsidRPr="003D1E07" w:rsidRDefault="00367E15" w:rsidP="00367E15">
      <w:pPr>
        <w:pStyle w:val="Rejstk2"/>
        <w:tabs>
          <w:tab w:val="right" w:leader="dot" w:pos="4171"/>
        </w:tabs>
        <w:spacing w:line="240" w:lineRule="auto"/>
        <w:ind w:left="242"/>
      </w:pPr>
      <w:r w:rsidRPr="003D1E07">
        <w:rPr>
          <w:i/>
        </w:rPr>
        <w:t>De ortu</w:t>
      </w:r>
      <w:r w:rsidRPr="003D1E07">
        <w:t xml:space="preserve"> </w:t>
      </w:r>
      <w:r w:rsidRPr="003D1E07">
        <w:rPr>
          <w:i/>
        </w:rPr>
        <w:t>scientiarum</w:t>
      </w:r>
      <w:r w:rsidRPr="003D1E07">
        <w:t xml:space="preserve"> 23.33</w:t>
      </w:r>
      <w:r w:rsidRPr="003D1E07">
        <w:tab/>
        <w:t>180</w:t>
      </w:r>
    </w:p>
    <w:p w14:paraId="3C733E28" w14:textId="77777777" w:rsidR="00367E15" w:rsidRPr="003D1E07" w:rsidRDefault="00367E15" w:rsidP="00367E15">
      <w:pPr>
        <w:pStyle w:val="Rejstk2"/>
        <w:tabs>
          <w:tab w:val="right" w:leader="dot" w:pos="4171"/>
        </w:tabs>
        <w:spacing w:line="240" w:lineRule="auto"/>
        <w:ind w:left="242"/>
      </w:pPr>
      <w:r w:rsidRPr="003D1E07">
        <w:rPr>
          <w:i/>
        </w:rPr>
        <w:t xml:space="preserve">Der Musterstaat von Al-Fārābī </w:t>
      </w:r>
      <w:r w:rsidRPr="003D1E07">
        <w:t>92</w:t>
      </w:r>
      <w:r w:rsidRPr="003D1E07">
        <w:tab/>
        <w:t>209, 213</w:t>
      </w:r>
    </w:p>
    <w:p w14:paraId="2C245E26" w14:textId="77777777" w:rsidR="00367E15" w:rsidRPr="003D1E07" w:rsidRDefault="00367E15" w:rsidP="00367E15">
      <w:pPr>
        <w:pStyle w:val="Rejstk2"/>
        <w:tabs>
          <w:tab w:val="right" w:leader="dot" w:pos="4171"/>
        </w:tabs>
        <w:spacing w:line="240" w:lineRule="auto"/>
        <w:ind w:left="242"/>
      </w:pPr>
      <w:r w:rsidRPr="003D1E07">
        <w:rPr>
          <w:i/>
        </w:rPr>
        <w:t xml:space="preserve">Die Abhandlung von den Tendenzen der aristotelischen Metaphysik von dem zweiten Meister </w:t>
      </w:r>
      <w:r w:rsidRPr="003D1E07">
        <w:t>57.26–28</w:t>
      </w:r>
      <w:r w:rsidRPr="003D1E07">
        <w:tab/>
        <w:t>236</w:t>
      </w:r>
    </w:p>
    <w:p w14:paraId="0A3C9493" w14:textId="77777777" w:rsidR="00367E15" w:rsidRPr="003D1E07" w:rsidRDefault="00367E15" w:rsidP="00367E15">
      <w:pPr>
        <w:pStyle w:val="Rejstk2"/>
        <w:tabs>
          <w:tab w:val="right" w:leader="dot" w:pos="4171"/>
        </w:tabs>
        <w:spacing w:line="240" w:lineRule="auto"/>
        <w:ind w:left="242"/>
      </w:pPr>
      <w:r w:rsidRPr="003D1E07">
        <w:rPr>
          <w:i/>
        </w:rPr>
        <w:t>Die Antworten Alfārābī's auf einzelne vorgelegte Fragen</w:t>
      </w:r>
      <w:r w:rsidRPr="003D1E07">
        <w:t xml:space="preserve"> 146.23–147.6</w:t>
      </w:r>
      <w:r w:rsidRPr="003D1E07">
        <w:tab/>
        <w:t>177</w:t>
      </w:r>
    </w:p>
    <w:p w14:paraId="511C8ACA" w14:textId="77777777" w:rsidR="00367E15" w:rsidRPr="003D1E07" w:rsidRDefault="00367E15" w:rsidP="00367E15">
      <w:pPr>
        <w:pStyle w:val="Rejstk2"/>
        <w:tabs>
          <w:tab w:val="right" w:leader="dot" w:pos="4171"/>
        </w:tabs>
        <w:spacing w:line="240" w:lineRule="auto"/>
        <w:ind w:left="242"/>
      </w:pPr>
      <w:r w:rsidRPr="003D1E07">
        <w:rPr>
          <w:i/>
        </w:rPr>
        <w:t>Die Harmonie zwischen Plato und Aristoteles</w:t>
      </w:r>
      <w:r w:rsidRPr="003D1E07">
        <w:t xml:space="preserve"> 46.12–17</w:t>
      </w:r>
      <w:r w:rsidRPr="003D1E07">
        <w:tab/>
        <w:t>233</w:t>
      </w:r>
    </w:p>
    <w:p w14:paraId="4F055AD9" w14:textId="77777777" w:rsidR="00367E15" w:rsidRPr="003D1E07" w:rsidRDefault="00367E15" w:rsidP="00367E15">
      <w:pPr>
        <w:pStyle w:val="Rejstk2"/>
        <w:tabs>
          <w:tab w:val="right" w:leader="dot" w:pos="4171"/>
        </w:tabs>
        <w:spacing w:line="240" w:lineRule="auto"/>
        <w:ind w:left="242"/>
      </w:pPr>
      <w:r w:rsidRPr="003D1E07">
        <w:rPr>
          <w:i/>
        </w:rPr>
        <w:t>Die Hauptfragen von Abu Naṣr Alfārābī</w:t>
      </w:r>
      <w:r w:rsidRPr="003D1E07">
        <w:t xml:space="preserve"> 96.16–21</w:t>
      </w:r>
      <w:r w:rsidRPr="003D1E07">
        <w:tab/>
        <w:t>233</w:t>
      </w:r>
    </w:p>
    <w:p w14:paraId="1B7B0D27" w14:textId="77777777" w:rsidR="00367E15" w:rsidRPr="003D1E07" w:rsidRDefault="00367E15" w:rsidP="00367E15">
      <w:pPr>
        <w:pStyle w:val="Rejstk2"/>
        <w:tabs>
          <w:tab w:val="right" w:leader="dot" w:pos="4171"/>
        </w:tabs>
        <w:spacing w:line="240" w:lineRule="auto"/>
        <w:ind w:left="242"/>
      </w:pPr>
      <w:r w:rsidRPr="003D1E07">
        <w:rPr>
          <w:i/>
        </w:rPr>
        <w:t>Kitāb al-Ḥurūf</w:t>
      </w:r>
      <w:r w:rsidRPr="003D1E07">
        <w:t xml:space="preserve"> 116.5</w:t>
      </w:r>
      <w:r w:rsidRPr="003D1E07">
        <w:tab/>
        <w:t>181</w:t>
      </w:r>
    </w:p>
    <w:p w14:paraId="5AB44E3C" w14:textId="77777777" w:rsidR="00367E15" w:rsidRPr="003D1E07" w:rsidRDefault="00367E15" w:rsidP="00367E15">
      <w:pPr>
        <w:pStyle w:val="Rejstk2"/>
        <w:tabs>
          <w:tab w:val="right" w:leader="dot" w:pos="4171"/>
        </w:tabs>
        <w:spacing w:line="240" w:lineRule="auto"/>
        <w:ind w:left="242"/>
      </w:pPr>
      <w:r w:rsidRPr="003D1E07">
        <w:rPr>
          <w:i/>
        </w:rPr>
        <w:t>Kitāb al-Ḥurūf</w:t>
      </w:r>
      <w:r w:rsidRPr="003D1E07">
        <w:t xml:space="preserve"> 116.7</w:t>
      </w:r>
      <w:r w:rsidRPr="003D1E07">
        <w:tab/>
        <w:t>181</w:t>
      </w:r>
    </w:p>
    <w:p w14:paraId="522A2F0F" w14:textId="77777777" w:rsidR="00367E15" w:rsidRPr="003D1E07" w:rsidRDefault="00367E15" w:rsidP="00367E15">
      <w:pPr>
        <w:pStyle w:val="Rejstk2"/>
        <w:tabs>
          <w:tab w:val="right" w:leader="dot" w:pos="4171"/>
        </w:tabs>
        <w:spacing w:line="240" w:lineRule="auto"/>
        <w:ind w:left="242"/>
      </w:pPr>
      <w:r w:rsidRPr="003D1E07">
        <w:rPr>
          <w:i/>
        </w:rPr>
        <w:t>Tendenzen der aristotelischen Metaphysik</w:t>
      </w:r>
      <w:r w:rsidRPr="003D1E07">
        <w:t xml:space="preserve"> 56.1–14</w:t>
      </w:r>
      <w:r w:rsidRPr="003D1E07">
        <w:tab/>
        <w:t>234</w:t>
      </w:r>
    </w:p>
    <w:p w14:paraId="375C356E" w14:textId="77777777" w:rsidR="00367E15" w:rsidRPr="003D1E07" w:rsidRDefault="00367E15" w:rsidP="00367E15">
      <w:pPr>
        <w:pStyle w:val="Rejstk2"/>
        <w:tabs>
          <w:tab w:val="right" w:leader="dot" w:pos="4171"/>
        </w:tabs>
        <w:spacing w:line="240" w:lineRule="auto"/>
        <w:ind w:left="242"/>
      </w:pPr>
      <w:r w:rsidRPr="003D1E07">
        <w:rPr>
          <w:i/>
        </w:rPr>
        <w:t>Tendenzen der aristotelischen Metaphysik</w:t>
      </w:r>
      <w:r w:rsidRPr="003D1E07">
        <w:t xml:space="preserve"> 56.23–25</w:t>
      </w:r>
      <w:r w:rsidRPr="003D1E07">
        <w:tab/>
        <w:t>235</w:t>
      </w:r>
    </w:p>
    <w:p w14:paraId="677A94C6" w14:textId="77777777" w:rsidR="00367E15" w:rsidRPr="003D1E07" w:rsidRDefault="00367E15" w:rsidP="00367E15">
      <w:pPr>
        <w:pStyle w:val="Rejstk2"/>
        <w:tabs>
          <w:tab w:val="right" w:leader="dot" w:pos="4171"/>
        </w:tabs>
        <w:spacing w:line="240" w:lineRule="auto"/>
        <w:ind w:left="242"/>
      </w:pPr>
      <w:r w:rsidRPr="003D1E07">
        <w:rPr>
          <w:i/>
        </w:rPr>
        <w:t>Tendenzen der aristotelischen Metaphysik</w:t>
      </w:r>
      <w:r w:rsidRPr="003D1E07">
        <w:t xml:space="preserve"> 57.3–9</w:t>
      </w:r>
      <w:r w:rsidRPr="003D1E07">
        <w:tab/>
        <w:t>235</w:t>
      </w:r>
    </w:p>
    <w:p w14:paraId="64AA6BA2" w14:textId="77777777" w:rsidR="00367E15" w:rsidRPr="003D1E07" w:rsidRDefault="00367E15" w:rsidP="00367E15">
      <w:pPr>
        <w:pStyle w:val="Rejstk2"/>
        <w:tabs>
          <w:tab w:val="right" w:leader="dot" w:pos="4171"/>
        </w:tabs>
        <w:spacing w:line="240" w:lineRule="auto"/>
        <w:ind w:left="242"/>
      </w:pPr>
      <w:r w:rsidRPr="003D1E07">
        <w:rPr>
          <w:i/>
        </w:rPr>
        <w:t xml:space="preserve">The philosophy of Plato and Aristotle </w:t>
      </w:r>
      <w:r w:rsidRPr="003D1E07">
        <w:t>130.23–35</w:t>
      </w:r>
      <w:r w:rsidRPr="003D1E07">
        <w:tab/>
        <w:t>178</w:t>
      </w:r>
    </w:p>
    <w:p w14:paraId="78F021C8" w14:textId="77777777" w:rsidR="00367E15" w:rsidRPr="003D1E07" w:rsidRDefault="00367E15" w:rsidP="00367E15">
      <w:pPr>
        <w:spacing w:line="240" w:lineRule="auto"/>
        <w:contextualSpacing/>
        <w:jc w:val="left"/>
        <w:rPr>
          <w:rFonts w:cs="Calibri"/>
          <w:b/>
          <w:sz w:val="18"/>
          <w:szCs w:val="18"/>
          <w:lang w:eastAsia="en-US"/>
        </w:rPr>
      </w:pPr>
    </w:p>
    <w:p w14:paraId="2F4CE021" w14:textId="77777777" w:rsidR="00367E15" w:rsidRPr="003D1E07" w:rsidRDefault="00367E15" w:rsidP="00367E15">
      <w:pPr>
        <w:spacing w:line="240" w:lineRule="auto"/>
        <w:contextualSpacing/>
        <w:jc w:val="left"/>
        <w:rPr>
          <w:rFonts w:cs="Calibri"/>
          <w:b/>
          <w:sz w:val="18"/>
          <w:szCs w:val="18"/>
          <w:lang w:eastAsia="en-US"/>
        </w:rPr>
      </w:pPr>
      <w:r w:rsidRPr="003D1E07">
        <w:rPr>
          <w:rFonts w:cs="Calibri"/>
          <w:b/>
          <w:sz w:val="18"/>
          <w:szCs w:val="18"/>
          <w:lang w:eastAsia="en-US"/>
        </w:rPr>
        <w:t>Al-Ghazálí</w:t>
      </w:r>
    </w:p>
    <w:p w14:paraId="333F302D" w14:textId="77777777" w:rsidR="00367E15" w:rsidRPr="003D1E07" w:rsidRDefault="00367E15" w:rsidP="00367E15">
      <w:pPr>
        <w:pStyle w:val="Rejstk2"/>
        <w:tabs>
          <w:tab w:val="right" w:leader="dot" w:pos="4171"/>
        </w:tabs>
        <w:spacing w:line="240" w:lineRule="auto"/>
        <w:ind w:left="238"/>
      </w:pPr>
      <w:r w:rsidRPr="003D1E07">
        <w:rPr>
          <w:i/>
        </w:rPr>
        <w:t>Tahāfut al-Falāsifah</w:t>
      </w:r>
      <w:r w:rsidRPr="003D1E07">
        <w:t xml:space="preserve"> 130</w:t>
      </w:r>
      <w:r w:rsidRPr="003D1E07">
        <w:tab/>
        <w:t>301</w:t>
      </w:r>
    </w:p>
    <w:p w14:paraId="1A27EE30" w14:textId="77777777" w:rsidR="00367E15" w:rsidRPr="003D1E07" w:rsidRDefault="00367E15" w:rsidP="00367E15">
      <w:pPr>
        <w:pStyle w:val="Rejstk2"/>
        <w:tabs>
          <w:tab w:val="right" w:leader="dot" w:pos="4171"/>
        </w:tabs>
        <w:spacing w:line="240" w:lineRule="auto"/>
        <w:ind w:left="238"/>
      </w:pPr>
      <w:r w:rsidRPr="003D1E07">
        <w:rPr>
          <w:i/>
        </w:rPr>
        <w:t>Tahāfut al-Falāsifah</w:t>
      </w:r>
      <w:r w:rsidRPr="003D1E07">
        <w:t xml:space="preserve"> 28</w:t>
      </w:r>
      <w:r w:rsidRPr="003D1E07">
        <w:tab/>
        <w:t>302</w:t>
      </w:r>
    </w:p>
    <w:p w14:paraId="08E977FD" w14:textId="77777777" w:rsidR="00367E15" w:rsidRPr="003D1E07" w:rsidRDefault="00367E15" w:rsidP="00367E15">
      <w:pPr>
        <w:pStyle w:val="Rejstk2"/>
        <w:tabs>
          <w:tab w:val="right" w:leader="dot" w:pos="4171"/>
        </w:tabs>
        <w:spacing w:line="240" w:lineRule="auto"/>
        <w:ind w:left="238"/>
      </w:pPr>
      <w:r w:rsidRPr="003D1E07">
        <w:rPr>
          <w:i/>
        </w:rPr>
        <w:lastRenderedPageBreak/>
        <w:t>Tahāfut al-Falāsifah</w:t>
      </w:r>
      <w:r w:rsidRPr="003D1E07">
        <w:t xml:space="preserve"> 64</w:t>
      </w:r>
      <w:r w:rsidRPr="003D1E07">
        <w:tab/>
        <w:t>302</w:t>
      </w:r>
    </w:p>
    <w:p w14:paraId="7FACE27F" w14:textId="77777777" w:rsidR="00367E15" w:rsidRPr="003D1E07" w:rsidRDefault="00367E15" w:rsidP="00367E15">
      <w:pPr>
        <w:pStyle w:val="Rejstk2"/>
        <w:tabs>
          <w:tab w:val="right" w:leader="dot" w:pos="4171"/>
        </w:tabs>
        <w:spacing w:line="240" w:lineRule="auto"/>
        <w:ind w:left="238"/>
      </w:pPr>
      <w:r w:rsidRPr="003D1E07">
        <w:rPr>
          <w:i/>
        </w:rPr>
        <w:t>Tahāfut al-Falāsifah</w:t>
      </w:r>
      <w:r w:rsidRPr="003D1E07">
        <w:t xml:space="preserve"> 80</w:t>
      </w:r>
      <w:r w:rsidRPr="003D1E07">
        <w:tab/>
        <w:t>301</w:t>
      </w:r>
    </w:p>
    <w:p w14:paraId="267A2E2E" w14:textId="77777777" w:rsidR="00367E15" w:rsidRPr="003D1E07" w:rsidRDefault="00367E15" w:rsidP="00367E15">
      <w:pPr>
        <w:spacing w:line="240" w:lineRule="auto"/>
        <w:contextualSpacing/>
        <w:jc w:val="left"/>
        <w:rPr>
          <w:rFonts w:cs="Calibri"/>
          <w:b/>
          <w:sz w:val="18"/>
          <w:szCs w:val="18"/>
        </w:rPr>
      </w:pPr>
    </w:p>
    <w:p w14:paraId="384A60EB" w14:textId="77777777" w:rsidR="00367E15" w:rsidRPr="003D1E07" w:rsidRDefault="00367E15" w:rsidP="00367E15">
      <w:pPr>
        <w:spacing w:line="240" w:lineRule="auto"/>
        <w:contextualSpacing/>
        <w:jc w:val="left"/>
        <w:rPr>
          <w:rFonts w:cs="Calibri"/>
          <w:b/>
          <w:sz w:val="18"/>
          <w:szCs w:val="18"/>
        </w:rPr>
      </w:pPr>
      <w:r w:rsidRPr="003D1E07">
        <w:rPr>
          <w:rFonts w:cs="Calibri"/>
          <w:b/>
          <w:sz w:val="18"/>
          <w:szCs w:val="18"/>
        </w:rPr>
        <w:t>Ammonius</w:t>
      </w:r>
    </w:p>
    <w:p w14:paraId="1874F8C8" w14:textId="77777777" w:rsidR="00367E15" w:rsidRPr="003D1E07" w:rsidRDefault="00367E15" w:rsidP="00367E15">
      <w:pPr>
        <w:pStyle w:val="Rejstk2"/>
        <w:tabs>
          <w:tab w:val="right" w:leader="dot" w:pos="4171"/>
        </w:tabs>
        <w:spacing w:line="240" w:lineRule="auto"/>
        <w:ind w:left="240"/>
      </w:pPr>
      <w:r w:rsidRPr="003D1E07">
        <w:rPr>
          <w:i/>
        </w:rPr>
        <w:t>Amonii in Cat</w:t>
      </w:r>
      <w:r w:rsidRPr="003D1E07">
        <w:t>. 86.11‒12</w:t>
      </w:r>
      <w:r w:rsidRPr="003D1E07">
        <w:tab/>
        <w:t>145</w:t>
      </w:r>
    </w:p>
    <w:p w14:paraId="5A78C93A" w14:textId="77777777" w:rsidR="00367E15" w:rsidRPr="003D1E07" w:rsidRDefault="00367E15" w:rsidP="00367E15">
      <w:pPr>
        <w:pStyle w:val="Rejstk2"/>
        <w:tabs>
          <w:tab w:val="right" w:leader="dot" w:pos="4171"/>
        </w:tabs>
        <w:spacing w:line="240" w:lineRule="auto"/>
        <w:ind w:left="240"/>
      </w:pPr>
      <w:r w:rsidRPr="003D1E07">
        <w:rPr>
          <w:i/>
        </w:rPr>
        <w:t>Amonii in Cat</w:t>
      </w:r>
      <w:r w:rsidRPr="003D1E07">
        <w:t>. 86.21‒22</w:t>
      </w:r>
      <w:r w:rsidRPr="003D1E07">
        <w:tab/>
        <w:t>145</w:t>
      </w:r>
    </w:p>
    <w:p w14:paraId="66CC953A" w14:textId="77777777" w:rsidR="00367E15" w:rsidRPr="003D1E07" w:rsidRDefault="00367E15" w:rsidP="00367E15">
      <w:pPr>
        <w:spacing w:line="240" w:lineRule="auto"/>
        <w:contextualSpacing/>
        <w:jc w:val="left"/>
        <w:rPr>
          <w:rFonts w:cs="Calibri"/>
          <w:b/>
          <w:sz w:val="18"/>
          <w:szCs w:val="18"/>
        </w:rPr>
      </w:pPr>
    </w:p>
    <w:p w14:paraId="5185C622" w14:textId="77777777" w:rsidR="00367E15" w:rsidRPr="003D1E07" w:rsidRDefault="00367E15" w:rsidP="00367E15">
      <w:pPr>
        <w:spacing w:line="240" w:lineRule="auto"/>
        <w:contextualSpacing/>
        <w:jc w:val="left"/>
        <w:rPr>
          <w:rFonts w:cs="Calibri"/>
          <w:b/>
          <w:sz w:val="18"/>
          <w:szCs w:val="18"/>
        </w:rPr>
      </w:pPr>
      <w:r w:rsidRPr="003D1E07">
        <w:rPr>
          <w:rFonts w:cs="Calibri"/>
          <w:b/>
          <w:sz w:val="18"/>
          <w:szCs w:val="18"/>
        </w:rPr>
        <w:t>Aristoteles</w:t>
      </w:r>
    </w:p>
    <w:p w14:paraId="140EEE0E" w14:textId="77777777" w:rsidR="00367E15" w:rsidRPr="003D1E07" w:rsidRDefault="00367E15" w:rsidP="00367E15">
      <w:pPr>
        <w:pStyle w:val="Rejstk2"/>
        <w:tabs>
          <w:tab w:val="right" w:leader="dot" w:pos="4171"/>
        </w:tabs>
        <w:spacing w:line="240" w:lineRule="auto"/>
        <w:ind w:left="242"/>
      </w:pPr>
      <w:r w:rsidRPr="003D1E07">
        <w:rPr>
          <w:i/>
        </w:rPr>
        <w:t>Anal. Post</w:t>
      </w:r>
      <w:r w:rsidRPr="003D1E07">
        <w:t>. 100a10‒11</w:t>
      </w:r>
      <w:r w:rsidRPr="003D1E07">
        <w:tab/>
        <w:t>89</w:t>
      </w:r>
    </w:p>
    <w:p w14:paraId="1BCF518D" w14:textId="77777777" w:rsidR="00367E15" w:rsidRPr="003D1E07" w:rsidRDefault="00367E15" w:rsidP="00367E15">
      <w:pPr>
        <w:pStyle w:val="Rejstk2"/>
        <w:tabs>
          <w:tab w:val="right" w:leader="dot" w:pos="4171"/>
        </w:tabs>
        <w:spacing w:line="240" w:lineRule="auto"/>
        <w:ind w:left="242"/>
      </w:pPr>
      <w:r w:rsidRPr="003D1E07">
        <w:rPr>
          <w:i/>
        </w:rPr>
        <w:t>Anal. Post</w:t>
      </w:r>
      <w:r w:rsidRPr="003D1E07">
        <w:t>. 100b11–12</w:t>
      </w:r>
      <w:r w:rsidRPr="003D1E07">
        <w:tab/>
        <w:t>205</w:t>
      </w:r>
    </w:p>
    <w:p w14:paraId="7B78461E" w14:textId="77777777" w:rsidR="00367E15" w:rsidRPr="003D1E07" w:rsidRDefault="00367E15" w:rsidP="00367E15">
      <w:pPr>
        <w:pStyle w:val="Rejstk2"/>
        <w:tabs>
          <w:tab w:val="right" w:leader="dot" w:pos="4171"/>
        </w:tabs>
        <w:spacing w:line="240" w:lineRule="auto"/>
        <w:ind w:left="242"/>
      </w:pPr>
      <w:r w:rsidRPr="003D1E07">
        <w:rPr>
          <w:i/>
        </w:rPr>
        <w:t>Anal. Post</w:t>
      </w:r>
      <w:r w:rsidRPr="003D1E07">
        <w:t>. 71b9‒12</w:t>
      </w:r>
      <w:r w:rsidRPr="003D1E07">
        <w:tab/>
        <w:t>89</w:t>
      </w:r>
    </w:p>
    <w:p w14:paraId="5026DA11" w14:textId="77777777" w:rsidR="00367E15" w:rsidRPr="003D1E07" w:rsidRDefault="00367E15" w:rsidP="00367E15">
      <w:pPr>
        <w:pStyle w:val="Rejstk2"/>
        <w:tabs>
          <w:tab w:val="right" w:leader="dot" w:pos="4171"/>
        </w:tabs>
        <w:spacing w:line="240" w:lineRule="auto"/>
        <w:ind w:left="242"/>
      </w:pPr>
      <w:r w:rsidRPr="003D1E07">
        <w:rPr>
          <w:i/>
        </w:rPr>
        <w:t>Anal. Post</w:t>
      </w:r>
      <w:r w:rsidRPr="003D1E07">
        <w:t>. 85a31</w:t>
      </w:r>
      <w:r w:rsidRPr="003D1E07">
        <w:tab/>
        <w:t>39</w:t>
      </w:r>
    </w:p>
    <w:p w14:paraId="7D88B10A" w14:textId="77777777" w:rsidR="00367E15" w:rsidRPr="003D1E07" w:rsidRDefault="00367E15" w:rsidP="00367E15">
      <w:pPr>
        <w:pStyle w:val="Rejstk2"/>
        <w:tabs>
          <w:tab w:val="right" w:leader="dot" w:pos="4171"/>
        </w:tabs>
        <w:spacing w:line="240" w:lineRule="auto"/>
        <w:ind w:left="242"/>
      </w:pPr>
      <w:r w:rsidRPr="003D1E07">
        <w:rPr>
          <w:i/>
        </w:rPr>
        <w:t>Anal. Post</w:t>
      </w:r>
      <w:r w:rsidRPr="003D1E07">
        <w:t>. 88b37</w:t>
      </w:r>
      <w:r w:rsidRPr="003D1E07">
        <w:tab/>
        <w:t>263</w:t>
      </w:r>
    </w:p>
    <w:p w14:paraId="7FFCB7ED" w14:textId="77777777" w:rsidR="00367E15" w:rsidRPr="003D1E07" w:rsidRDefault="00367E15" w:rsidP="00367E15">
      <w:pPr>
        <w:pStyle w:val="Rejstk2"/>
        <w:tabs>
          <w:tab w:val="right" w:leader="dot" w:pos="4171"/>
        </w:tabs>
        <w:spacing w:line="240" w:lineRule="auto"/>
        <w:ind w:left="242"/>
      </w:pPr>
      <w:r w:rsidRPr="003D1E07">
        <w:rPr>
          <w:i/>
        </w:rPr>
        <w:t>Anal. Post</w:t>
      </w:r>
      <w:r w:rsidRPr="003D1E07">
        <w:t>. 89b10‒11</w:t>
      </w:r>
      <w:r w:rsidRPr="003D1E07">
        <w:tab/>
        <w:t>263</w:t>
      </w:r>
    </w:p>
    <w:p w14:paraId="1D290380" w14:textId="77777777" w:rsidR="00367E15" w:rsidRPr="003D1E07" w:rsidRDefault="00367E15" w:rsidP="00367E15">
      <w:pPr>
        <w:pStyle w:val="Rejstk2"/>
        <w:tabs>
          <w:tab w:val="right" w:leader="dot" w:pos="4171"/>
        </w:tabs>
        <w:spacing w:line="240" w:lineRule="auto"/>
        <w:ind w:left="242"/>
      </w:pPr>
      <w:r w:rsidRPr="003D1E07">
        <w:rPr>
          <w:i/>
        </w:rPr>
        <w:t>Anal. Post</w:t>
      </w:r>
      <w:r w:rsidRPr="003D1E07">
        <w:t>. 90a1</w:t>
      </w:r>
      <w:r w:rsidRPr="003D1E07">
        <w:tab/>
        <w:t>191</w:t>
      </w:r>
    </w:p>
    <w:p w14:paraId="4977F77A" w14:textId="77777777" w:rsidR="00367E15" w:rsidRPr="003D1E07" w:rsidRDefault="00367E15" w:rsidP="00367E15">
      <w:pPr>
        <w:pStyle w:val="Rejstk2"/>
        <w:tabs>
          <w:tab w:val="right" w:leader="dot" w:pos="4171"/>
        </w:tabs>
        <w:spacing w:line="240" w:lineRule="auto"/>
        <w:ind w:left="242"/>
      </w:pPr>
      <w:r w:rsidRPr="003D1E07">
        <w:rPr>
          <w:bCs/>
        </w:rPr>
        <w:t>Anal. Post. 93a26–27</w:t>
      </w:r>
      <w:r w:rsidRPr="003D1E07">
        <w:tab/>
        <w:t>359</w:t>
      </w:r>
    </w:p>
    <w:p w14:paraId="1A5DE315" w14:textId="77777777" w:rsidR="00367E15" w:rsidRPr="003D1E07" w:rsidRDefault="00367E15" w:rsidP="00367E15">
      <w:pPr>
        <w:pStyle w:val="Rejstk2"/>
        <w:tabs>
          <w:tab w:val="right" w:leader="dot" w:pos="4171"/>
        </w:tabs>
        <w:spacing w:line="240" w:lineRule="auto"/>
        <w:ind w:left="242"/>
      </w:pPr>
      <w:r w:rsidRPr="003D1E07">
        <w:rPr>
          <w:bCs/>
          <w:i/>
          <w:iCs/>
        </w:rPr>
        <w:t>Anal. Prior</w:t>
      </w:r>
      <w:r w:rsidRPr="003D1E07">
        <w:rPr>
          <w:bCs/>
          <w:iCs/>
        </w:rPr>
        <w:t>. 24b27</w:t>
      </w:r>
      <w:r w:rsidRPr="003D1E07">
        <w:tab/>
        <w:t>89</w:t>
      </w:r>
    </w:p>
    <w:p w14:paraId="1EDD555A" w14:textId="77777777" w:rsidR="00367E15" w:rsidRPr="003D1E07" w:rsidRDefault="00367E15" w:rsidP="00367E15">
      <w:pPr>
        <w:pStyle w:val="Rejstk2"/>
        <w:tabs>
          <w:tab w:val="right" w:leader="dot" w:pos="4171"/>
        </w:tabs>
        <w:spacing w:line="240" w:lineRule="auto"/>
        <w:ind w:left="242"/>
      </w:pPr>
      <w:r w:rsidRPr="003D1E07">
        <w:rPr>
          <w:i/>
        </w:rPr>
        <w:t>Anal. prior.</w:t>
      </w:r>
      <w:r w:rsidRPr="003D1E07">
        <w:t xml:space="preserve"> 402b7‒8</w:t>
      </w:r>
      <w:r w:rsidRPr="003D1E07">
        <w:tab/>
        <w:t>182</w:t>
      </w:r>
    </w:p>
    <w:p w14:paraId="2C20246E" w14:textId="77777777" w:rsidR="00367E15" w:rsidRPr="003D1E07" w:rsidRDefault="00367E15" w:rsidP="00367E15">
      <w:pPr>
        <w:pStyle w:val="Rejstk2"/>
        <w:tabs>
          <w:tab w:val="right" w:leader="dot" w:pos="4171"/>
        </w:tabs>
        <w:spacing w:line="240" w:lineRule="auto"/>
        <w:ind w:left="242"/>
      </w:pPr>
      <w:r w:rsidRPr="003D1E07">
        <w:rPr>
          <w:i/>
        </w:rPr>
        <w:t>Cat</w:t>
      </w:r>
      <w:r w:rsidRPr="003D1E07">
        <w:t>. 10b21</w:t>
      </w:r>
      <w:r w:rsidRPr="003D1E07">
        <w:tab/>
        <w:t>83</w:t>
      </w:r>
    </w:p>
    <w:p w14:paraId="6822556B" w14:textId="77777777" w:rsidR="00367E15" w:rsidRPr="003D1E07" w:rsidRDefault="00367E15" w:rsidP="00367E15">
      <w:pPr>
        <w:pStyle w:val="Rejstk2"/>
        <w:tabs>
          <w:tab w:val="right" w:leader="dot" w:pos="4171"/>
        </w:tabs>
        <w:spacing w:line="240" w:lineRule="auto"/>
        <w:ind w:left="242"/>
      </w:pPr>
      <w:r w:rsidRPr="003D1E07">
        <w:rPr>
          <w:i/>
        </w:rPr>
        <w:t>Cat</w:t>
      </w:r>
      <w:r w:rsidRPr="003D1E07">
        <w:t>. 10ba19</w:t>
      </w:r>
      <w:r w:rsidRPr="003D1E07">
        <w:tab/>
        <w:t>83</w:t>
      </w:r>
    </w:p>
    <w:p w14:paraId="0833D253" w14:textId="77777777" w:rsidR="00367E15" w:rsidRPr="003D1E07" w:rsidRDefault="00367E15" w:rsidP="00367E15">
      <w:pPr>
        <w:pStyle w:val="Rejstk2"/>
        <w:tabs>
          <w:tab w:val="right" w:leader="dot" w:pos="4171"/>
        </w:tabs>
        <w:spacing w:line="240" w:lineRule="auto"/>
        <w:ind w:left="242"/>
      </w:pPr>
      <w:r w:rsidRPr="003D1E07">
        <w:rPr>
          <w:i/>
        </w:rPr>
        <w:t>Cat</w:t>
      </w:r>
      <w:r w:rsidRPr="003D1E07">
        <w:t>. 11a38</w:t>
      </w:r>
      <w:r w:rsidRPr="003D1E07">
        <w:tab/>
        <w:t>82</w:t>
      </w:r>
    </w:p>
    <w:p w14:paraId="47187592" w14:textId="77777777" w:rsidR="00367E15" w:rsidRPr="003D1E07" w:rsidRDefault="00367E15" w:rsidP="00367E15">
      <w:pPr>
        <w:pStyle w:val="Rejstk2"/>
        <w:tabs>
          <w:tab w:val="right" w:leader="dot" w:pos="4171"/>
        </w:tabs>
        <w:spacing w:line="240" w:lineRule="auto"/>
        <w:ind w:left="242"/>
      </w:pPr>
      <w:r w:rsidRPr="003D1E07">
        <w:rPr>
          <w:i/>
        </w:rPr>
        <w:t xml:space="preserve">Cat. </w:t>
      </w:r>
      <w:r w:rsidRPr="003D1E07">
        <w:t>11b13</w:t>
      </w:r>
      <w:r w:rsidRPr="003D1E07">
        <w:tab/>
        <w:t>141</w:t>
      </w:r>
    </w:p>
    <w:p w14:paraId="10633D74" w14:textId="77777777" w:rsidR="00367E15" w:rsidRPr="003D1E07" w:rsidRDefault="00367E15" w:rsidP="00367E15">
      <w:pPr>
        <w:pStyle w:val="Rejstk2"/>
        <w:tabs>
          <w:tab w:val="right" w:leader="dot" w:pos="4171"/>
        </w:tabs>
        <w:spacing w:line="240" w:lineRule="auto"/>
        <w:ind w:left="242"/>
      </w:pPr>
      <w:r w:rsidRPr="003D1E07">
        <w:rPr>
          <w:i/>
        </w:rPr>
        <w:t>Cat</w:t>
      </w:r>
      <w:r w:rsidRPr="003D1E07">
        <w:t>. 1a12</w:t>
      </w:r>
      <w:r w:rsidRPr="003D1E07">
        <w:tab/>
        <w:t>144, 364</w:t>
      </w:r>
    </w:p>
    <w:p w14:paraId="4A3955B2" w14:textId="77777777" w:rsidR="00367E15" w:rsidRPr="003D1E07" w:rsidRDefault="00367E15" w:rsidP="00367E15">
      <w:pPr>
        <w:pStyle w:val="Rejstk2"/>
        <w:tabs>
          <w:tab w:val="right" w:leader="dot" w:pos="4171"/>
        </w:tabs>
        <w:spacing w:line="240" w:lineRule="auto"/>
        <w:ind w:left="242"/>
      </w:pPr>
      <w:r w:rsidRPr="003D1E07">
        <w:rPr>
          <w:i/>
        </w:rPr>
        <w:t>Cat</w:t>
      </w:r>
      <w:r w:rsidRPr="003D1E07">
        <w:t>. 1a20‒b9</w:t>
      </w:r>
      <w:r w:rsidRPr="003D1E07">
        <w:tab/>
        <w:t>83</w:t>
      </w:r>
    </w:p>
    <w:p w14:paraId="14995D3E" w14:textId="77777777" w:rsidR="00367E15" w:rsidRPr="003D1E07" w:rsidRDefault="00367E15" w:rsidP="00367E15">
      <w:pPr>
        <w:pStyle w:val="Rejstk2"/>
        <w:tabs>
          <w:tab w:val="right" w:leader="dot" w:pos="4171"/>
        </w:tabs>
        <w:spacing w:line="240" w:lineRule="auto"/>
        <w:ind w:left="242"/>
      </w:pPr>
      <w:r w:rsidRPr="003D1E07">
        <w:rPr>
          <w:i/>
        </w:rPr>
        <w:t>Cat</w:t>
      </w:r>
      <w:r w:rsidRPr="003D1E07">
        <w:t>. 1a21</w:t>
      </w:r>
      <w:r w:rsidRPr="003D1E07">
        <w:tab/>
        <w:t>83, 84</w:t>
      </w:r>
    </w:p>
    <w:p w14:paraId="5A9AC340" w14:textId="77777777" w:rsidR="00367E15" w:rsidRPr="003D1E07" w:rsidRDefault="00367E15" w:rsidP="00367E15">
      <w:pPr>
        <w:pStyle w:val="Rejstk2"/>
        <w:tabs>
          <w:tab w:val="right" w:leader="dot" w:pos="4171"/>
        </w:tabs>
        <w:spacing w:line="240" w:lineRule="auto"/>
        <w:ind w:left="242"/>
      </w:pPr>
      <w:r w:rsidRPr="003D1E07">
        <w:rPr>
          <w:i/>
        </w:rPr>
        <w:t>Cat</w:t>
      </w:r>
      <w:r w:rsidRPr="003D1E07">
        <w:t>. 1b11‒12</w:t>
      </w:r>
      <w:r w:rsidRPr="003D1E07">
        <w:tab/>
        <w:t>89</w:t>
      </w:r>
    </w:p>
    <w:p w14:paraId="7E416322" w14:textId="77777777" w:rsidR="00367E15" w:rsidRPr="003D1E07" w:rsidRDefault="00367E15" w:rsidP="00367E15">
      <w:pPr>
        <w:pStyle w:val="Rejstk2"/>
        <w:tabs>
          <w:tab w:val="right" w:leader="dot" w:pos="4171"/>
        </w:tabs>
        <w:spacing w:line="240" w:lineRule="auto"/>
        <w:ind w:left="242"/>
      </w:pPr>
      <w:r w:rsidRPr="003D1E07">
        <w:rPr>
          <w:i/>
        </w:rPr>
        <w:t>Cat</w:t>
      </w:r>
      <w:r w:rsidRPr="003D1E07">
        <w:t>. 1b4</w:t>
      </w:r>
      <w:r w:rsidRPr="003D1E07">
        <w:tab/>
        <w:t>84</w:t>
      </w:r>
    </w:p>
    <w:p w14:paraId="2D851D58" w14:textId="77777777" w:rsidR="00367E15" w:rsidRPr="003D1E07" w:rsidRDefault="00367E15" w:rsidP="00367E15">
      <w:pPr>
        <w:pStyle w:val="Rejstk2"/>
        <w:tabs>
          <w:tab w:val="right" w:leader="dot" w:pos="4171"/>
        </w:tabs>
        <w:spacing w:line="240" w:lineRule="auto"/>
        <w:ind w:left="242"/>
      </w:pPr>
      <w:r w:rsidRPr="003D1E07">
        <w:rPr>
          <w:i/>
        </w:rPr>
        <w:t>Cat.</w:t>
      </w:r>
      <w:r w:rsidRPr="003D1E07">
        <w:t xml:space="preserve"> 2a11</w:t>
      </w:r>
      <w:r w:rsidRPr="003D1E07">
        <w:tab/>
        <w:t>108</w:t>
      </w:r>
    </w:p>
    <w:p w14:paraId="66C37489" w14:textId="77777777" w:rsidR="00367E15" w:rsidRPr="003D1E07" w:rsidRDefault="00367E15" w:rsidP="00367E15">
      <w:pPr>
        <w:pStyle w:val="Rejstk2"/>
        <w:tabs>
          <w:tab w:val="right" w:leader="dot" w:pos="4171"/>
        </w:tabs>
        <w:spacing w:line="240" w:lineRule="auto"/>
        <w:ind w:left="242"/>
      </w:pPr>
      <w:r w:rsidRPr="003D1E07">
        <w:rPr>
          <w:i/>
        </w:rPr>
        <w:t>Cat</w:t>
      </w:r>
      <w:r w:rsidRPr="003D1E07">
        <w:t>. 2a11–12</w:t>
      </w:r>
      <w:r w:rsidRPr="003D1E07">
        <w:tab/>
        <w:t>95, 131</w:t>
      </w:r>
    </w:p>
    <w:p w14:paraId="735A951E" w14:textId="77777777" w:rsidR="00367E15" w:rsidRPr="003D1E07" w:rsidRDefault="00367E15" w:rsidP="00367E15">
      <w:pPr>
        <w:pStyle w:val="Rejstk2"/>
        <w:tabs>
          <w:tab w:val="right" w:leader="dot" w:pos="4171"/>
        </w:tabs>
        <w:spacing w:line="240" w:lineRule="auto"/>
        <w:ind w:left="242"/>
      </w:pPr>
      <w:r w:rsidRPr="003D1E07">
        <w:rPr>
          <w:i/>
        </w:rPr>
        <w:t>Cat</w:t>
      </w:r>
      <w:r w:rsidRPr="003D1E07">
        <w:t>. 2a11‒12</w:t>
      </w:r>
      <w:r w:rsidRPr="003D1E07">
        <w:tab/>
        <w:t>84, 109</w:t>
      </w:r>
    </w:p>
    <w:p w14:paraId="75178892" w14:textId="77777777" w:rsidR="00367E15" w:rsidRPr="003D1E07" w:rsidRDefault="00367E15" w:rsidP="00367E15">
      <w:pPr>
        <w:pStyle w:val="Rejstk2"/>
        <w:tabs>
          <w:tab w:val="right" w:leader="dot" w:pos="4171"/>
        </w:tabs>
        <w:spacing w:line="240" w:lineRule="auto"/>
        <w:ind w:left="238" w:hanging="238"/>
      </w:pPr>
      <w:r w:rsidRPr="003D1E07">
        <w:rPr>
          <w:i/>
        </w:rPr>
        <w:t>Cat</w:t>
      </w:r>
      <w:r w:rsidRPr="003D1E07">
        <w:t>. 2a11–16</w:t>
      </w:r>
      <w:r w:rsidRPr="003D1E07">
        <w:tab/>
        <w:t xml:space="preserve">  177, 182, 204, 241, 337, 353, 361, 375, 413</w:t>
      </w:r>
    </w:p>
    <w:p w14:paraId="22DF3FCD" w14:textId="77777777" w:rsidR="00367E15" w:rsidRPr="003D1E07" w:rsidRDefault="00367E15" w:rsidP="00367E15">
      <w:pPr>
        <w:pStyle w:val="Rejstk2"/>
        <w:tabs>
          <w:tab w:val="right" w:leader="dot" w:pos="4171"/>
        </w:tabs>
        <w:spacing w:line="240" w:lineRule="auto"/>
        <w:ind w:left="242"/>
      </w:pPr>
      <w:r w:rsidRPr="003D1E07">
        <w:rPr>
          <w:i/>
        </w:rPr>
        <w:t>Cat</w:t>
      </w:r>
      <w:r w:rsidRPr="003D1E07">
        <w:t>. 2a14</w:t>
      </w:r>
      <w:r w:rsidRPr="003D1E07">
        <w:tab/>
        <w:t>131</w:t>
      </w:r>
    </w:p>
    <w:p w14:paraId="699F7190" w14:textId="77777777" w:rsidR="00367E15" w:rsidRPr="003D1E07" w:rsidRDefault="00367E15" w:rsidP="00367E15">
      <w:pPr>
        <w:pStyle w:val="Rejstk2"/>
        <w:tabs>
          <w:tab w:val="right" w:leader="dot" w:pos="4171"/>
        </w:tabs>
        <w:spacing w:line="240" w:lineRule="auto"/>
        <w:ind w:left="242"/>
      </w:pPr>
      <w:r w:rsidRPr="003D1E07">
        <w:rPr>
          <w:i/>
        </w:rPr>
        <w:t>Cat.</w:t>
      </w:r>
      <w:r w:rsidRPr="003D1E07">
        <w:t xml:space="preserve"> 2a14–15</w:t>
      </w:r>
      <w:r w:rsidRPr="003D1E07">
        <w:tab/>
        <w:t>96, 116, 134, 178, 363</w:t>
      </w:r>
    </w:p>
    <w:p w14:paraId="24D49634" w14:textId="77777777" w:rsidR="00367E15" w:rsidRPr="003D1E07" w:rsidRDefault="00367E15" w:rsidP="00367E15">
      <w:pPr>
        <w:pStyle w:val="Rejstk2"/>
        <w:tabs>
          <w:tab w:val="right" w:leader="dot" w:pos="4171"/>
        </w:tabs>
        <w:spacing w:line="240" w:lineRule="auto"/>
        <w:ind w:left="242"/>
      </w:pPr>
      <w:r w:rsidRPr="003D1E07">
        <w:rPr>
          <w:i/>
        </w:rPr>
        <w:t>Cat</w:t>
      </w:r>
      <w:r w:rsidRPr="003D1E07">
        <w:t>. 2a14‒15</w:t>
      </w:r>
      <w:r w:rsidRPr="003D1E07">
        <w:tab/>
        <w:t>89</w:t>
      </w:r>
    </w:p>
    <w:p w14:paraId="0A930A28" w14:textId="77777777" w:rsidR="00367E15" w:rsidRPr="003D1E07" w:rsidRDefault="00367E15" w:rsidP="00367E15">
      <w:pPr>
        <w:pStyle w:val="Rejstk2"/>
        <w:tabs>
          <w:tab w:val="right" w:leader="dot" w:pos="4171"/>
        </w:tabs>
        <w:spacing w:line="240" w:lineRule="auto"/>
        <w:ind w:left="242"/>
      </w:pPr>
      <w:r w:rsidRPr="003D1E07">
        <w:rPr>
          <w:i/>
        </w:rPr>
        <w:t>Cat</w:t>
      </w:r>
      <w:r w:rsidRPr="003D1E07">
        <w:t>. 2a14‒16</w:t>
      </w:r>
      <w:r w:rsidRPr="003D1E07">
        <w:tab/>
        <w:t>85, 88, 105, 112, 353</w:t>
      </w:r>
    </w:p>
    <w:p w14:paraId="45F95C06" w14:textId="77777777" w:rsidR="00367E15" w:rsidRPr="003D1E07" w:rsidRDefault="00367E15" w:rsidP="00367E15">
      <w:pPr>
        <w:pStyle w:val="Rejstk2"/>
        <w:tabs>
          <w:tab w:val="right" w:leader="dot" w:pos="4171"/>
        </w:tabs>
        <w:spacing w:line="240" w:lineRule="auto"/>
        <w:ind w:left="242"/>
      </w:pPr>
      <w:r w:rsidRPr="003D1E07">
        <w:rPr>
          <w:i/>
        </w:rPr>
        <w:t>Cat</w:t>
      </w:r>
      <w:r w:rsidRPr="003D1E07">
        <w:t>. 2a15–16</w:t>
      </w:r>
      <w:r w:rsidRPr="003D1E07">
        <w:tab/>
        <w:t>86, 134, 183, 404, 413, 420</w:t>
      </w:r>
    </w:p>
    <w:p w14:paraId="0A4C3490" w14:textId="77777777" w:rsidR="00367E15" w:rsidRPr="003D1E07" w:rsidRDefault="00367E15" w:rsidP="00367E15">
      <w:pPr>
        <w:pStyle w:val="Rejstk2"/>
        <w:tabs>
          <w:tab w:val="right" w:leader="dot" w:pos="4171"/>
        </w:tabs>
        <w:spacing w:line="240" w:lineRule="auto"/>
        <w:ind w:left="242"/>
      </w:pPr>
      <w:r w:rsidRPr="003D1E07">
        <w:rPr>
          <w:i/>
        </w:rPr>
        <w:t xml:space="preserve">Cat. </w:t>
      </w:r>
      <w:r w:rsidRPr="003D1E07">
        <w:t>2a3</w:t>
      </w:r>
      <w:r w:rsidRPr="003D1E07">
        <w:tab/>
        <w:t>141</w:t>
      </w:r>
    </w:p>
    <w:p w14:paraId="28893EBF" w14:textId="77777777" w:rsidR="00367E15" w:rsidRPr="003D1E07" w:rsidRDefault="00367E15" w:rsidP="00367E15">
      <w:pPr>
        <w:pStyle w:val="Rejstk2"/>
        <w:tabs>
          <w:tab w:val="right" w:leader="dot" w:pos="4171"/>
        </w:tabs>
        <w:spacing w:line="240" w:lineRule="auto"/>
        <w:ind w:left="242"/>
      </w:pPr>
      <w:r w:rsidRPr="003D1E07">
        <w:rPr>
          <w:i/>
        </w:rPr>
        <w:t>Cat</w:t>
      </w:r>
      <w:r w:rsidRPr="003D1E07">
        <w:t>. 2b11‒13</w:t>
      </w:r>
      <w:r w:rsidRPr="003D1E07">
        <w:tab/>
        <w:t>83</w:t>
      </w:r>
    </w:p>
    <w:p w14:paraId="3438F556" w14:textId="77777777" w:rsidR="00367E15" w:rsidRPr="003D1E07" w:rsidRDefault="00367E15" w:rsidP="00367E15">
      <w:pPr>
        <w:pStyle w:val="Rejstk2"/>
        <w:tabs>
          <w:tab w:val="right" w:leader="dot" w:pos="4171"/>
        </w:tabs>
        <w:spacing w:line="240" w:lineRule="auto"/>
        <w:ind w:left="242"/>
      </w:pPr>
      <w:r w:rsidRPr="003D1E07">
        <w:rPr>
          <w:i/>
        </w:rPr>
        <w:t>Cat</w:t>
      </w:r>
      <w:r w:rsidRPr="003D1E07">
        <w:t>. 2b20</w:t>
      </w:r>
      <w:r w:rsidRPr="003D1E07">
        <w:tab/>
        <w:t>90, 97, 178</w:t>
      </w:r>
    </w:p>
    <w:p w14:paraId="0828B6D1" w14:textId="77777777" w:rsidR="00367E15" w:rsidRPr="003D1E07" w:rsidRDefault="00367E15" w:rsidP="00367E15">
      <w:pPr>
        <w:pStyle w:val="Rejstk2"/>
        <w:tabs>
          <w:tab w:val="right" w:leader="dot" w:pos="4171"/>
        </w:tabs>
        <w:spacing w:line="240" w:lineRule="auto"/>
        <w:ind w:left="242"/>
      </w:pPr>
      <w:r w:rsidRPr="003D1E07">
        <w:rPr>
          <w:i/>
        </w:rPr>
        <w:t>Cat</w:t>
      </w:r>
      <w:r w:rsidRPr="003D1E07">
        <w:t>. 2b25</w:t>
      </w:r>
      <w:r w:rsidRPr="003D1E07">
        <w:tab/>
        <w:t>90</w:t>
      </w:r>
    </w:p>
    <w:p w14:paraId="1CFA29D9" w14:textId="77777777" w:rsidR="00367E15" w:rsidRPr="003D1E07" w:rsidRDefault="00367E15" w:rsidP="00367E15">
      <w:pPr>
        <w:pStyle w:val="Rejstk2"/>
        <w:tabs>
          <w:tab w:val="right" w:leader="dot" w:pos="4171"/>
        </w:tabs>
        <w:spacing w:line="240" w:lineRule="auto"/>
        <w:ind w:left="242"/>
      </w:pPr>
      <w:r w:rsidRPr="003D1E07">
        <w:rPr>
          <w:i/>
        </w:rPr>
        <w:t>Cat</w:t>
      </w:r>
      <w:r w:rsidRPr="003D1E07">
        <w:t>. 2b5</w:t>
      </w:r>
      <w:r w:rsidRPr="003D1E07">
        <w:tab/>
        <w:t>84</w:t>
      </w:r>
    </w:p>
    <w:p w14:paraId="44242CF8" w14:textId="77777777" w:rsidR="00367E15" w:rsidRPr="003D1E07" w:rsidRDefault="00367E15" w:rsidP="00367E15">
      <w:pPr>
        <w:pStyle w:val="Rejstk2"/>
        <w:tabs>
          <w:tab w:val="right" w:leader="dot" w:pos="4171"/>
        </w:tabs>
        <w:spacing w:line="240" w:lineRule="auto"/>
        <w:ind w:left="242"/>
      </w:pPr>
      <w:r w:rsidRPr="003D1E07">
        <w:rPr>
          <w:i/>
        </w:rPr>
        <w:t>Cat</w:t>
      </w:r>
      <w:r w:rsidRPr="003D1E07">
        <w:t>. 2b5‒6</w:t>
      </w:r>
      <w:r w:rsidRPr="003D1E07">
        <w:tab/>
        <w:t>84</w:t>
      </w:r>
    </w:p>
    <w:p w14:paraId="3ADDF658" w14:textId="77777777" w:rsidR="00367E15" w:rsidRPr="003D1E07" w:rsidRDefault="00367E15" w:rsidP="00367E15">
      <w:pPr>
        <w:pStyle w:val="Rejstk2"/>
        <w:tabs>
          <w:tab w:val="right" w:leader="dot" w:pos="4171"/>
        </w:tabs>
        <w:spacing w:line="240" w:lineRule="auto"/>
        <w:ind w:left="242"/>
      </w:pPr>
      <w:r w:rsidRPr="003D1E07">
        <w:rPr>
          <w:i/>
        </w:rPr>
        <w:t>Cat.</w:t>
      </w:r>
      <w:r w:rsidRPr="003D1E07">
        <w:t xml:space="preserve"> 2b7–8</w:t>
      </w:r>
      <w:r w:rsidRPr="003D1E07">
        <w:tab/>
        <w:t>130, 413, 430</w:t>
      </w:r>
    </w:p>
    <w:p w14:paraId="7040560C" w14:textId="77777777" w:rsidR="00367E15" w:rsidRPr="003D1E07" w:rsidRDefault="00367E15" w:rsidP="00367E15">
      <w:pPr>
        <w:pStyle w:val="Rejstk2"/>
        <w:tabs>
          <w:tab w:val="right" w:leader="dot" w:pos="4171"/>
        </w:tabs>
        <w:spacing w:line="240" w:lineRule="auto"/>
        <w:ind w:left="242"/>
      </w:pPr>
      <w:r w:rsidRPr="003D1E07">
        <w:rPr>
          <w:i/>
        </w:rPr>
        <w:t>Cat</w:t>
      </w:r>
      <w:r w:rsidRPr="003D1E07">
        <w:t>. 2b7‒8</w:t>
      </w:r>
      <w:r w:rsidRPr="003D1E07">
        <w:tab/>
        <w:t>85</w:t>
      </w:r>
    </w:p>
    <w:p w14:paraId="6F320085" w14:textId="77777777" w:rsidR="00367E15" w:rsidRPr="003D1E07" w:rsidRDefault="00367E15" w:rsidP="00367E15">
      <w:pPr>
        <w:pStyle w:val="Rejstk2"/>
        <w:tabs>
          <w:tab w:val="right" w:leader="dot" w:pos="4171"/>
        </w:tabs>
        <w:spacing w:line="240" w:lineRule="auto"/>
        <w:ind w:left="242"/>
      </w:pPr>
      <w:r w:rsidRPr="003D1E07">
        <w:rPr>
          <w:i/>
        </w:rPr>
        <w:t>Cat</w:t>
      </w:r>
      <w:r w:rsidRPr="003D1E07">
        <w:t>. 2b8</w:t>
      </w:r>
      <w:r w:rsidRPr="003D1E07">
        <w:tab/>
        <w:t>95</w:t>
      </w:r>
    </w:p>
    <w:p w14:paraId="6C4AD963" w14:textId="77777777" w:rsidR="00367E15" w:rsidRPr="003D1E07" w:rsidRDefault="00367E15" w:rsidP="00367E15">
      <w:pPr>
        <w:pStyle w:val="Rejstk2"/>
        <w:tabs>
          <w:tab w:val="right" w:leader="dot" w:pos="4171"/>
        </w:tabs>
        <w:spacing w:line="240" w:lineRule="auto"/>
        <w:ind w:left="242"/>
      </w:pPr>
      <w:r w:rsidRPr="003D1E07">
        <w:rPr>
          <w:i/>
        </w:rPr>
        <w:t>Cat</w:t>
      </w:r>
      <w:r w:rsidRPr="003D1E07">
        <w:t>. 3a37</w:t>
      </w:r>
      <w:r w:rsidRPr="003D1E07">
        <w:tab/>
        <w:t>83</w:t>
      </w:r>
    </w:p>
    <w:p w14:paraId="0E829A89" w14:textId="77777777" w:rsidR="00367E15" w:rsidRPr="003D1E07" w:rsidRDefault="00367E15" w:rsidP="00367E15">
      <w:pPr>
        <w:pStyle w:val="Rejstk2"/>
        <w:tabs>
          <w:tab w:val="right" w:leader="dot" w:pos="4171"/>
        </w:tabs>
        <w:spacing w:line="240" w:lineRule="auto"/>
        <w:ind w:left="242"/>
      </w:pPr>
      <w:r w:rsidRPr="003D1E07">
        <w:rPr>
          <w:i/>
        </w:rPr>
        <w:t>Cat</w:t>
      </w:r>
      <w:r w:rsidRPr="003D1E07">
        <w:t>. 9a28</w:t>
      </w:r>
      <w:r w:rsidRPr="003D1E07">
        <w:tab/>
        <w:t>144</w:t>
      </w:r>
    </w:p>
    <w:p w14:paraId="436F3F14" w14:textId="77777777" w:rsidR="00367E15" w:rsidRPr="003D1E07" w:rsidRDefault="00367E15" w:rsidP="00367E15">
      <w:pPr>
        <w:pStyle w:val="Rejstk2"/>
        <w:tabs>
          <w:tab w:val="right" w:leader="dot" w:pos="4171"/>
        </w:tabs>
        <w:spacing w:line="240" w:lineRule="auto"/>
        <w:ind w:left="242"/>
      </w:pPr>
      <w:r w:rsidRPr="003D1E07">
        <w:rPr>
          <w:i/>
        </w:rPr>
        <w:t>Cat</w:t>
      </w:r>
      <w:r w:rsidRPr="003D1E07">
        <w:t>. 9a32–33</w:t>
      </w:r>
      <w:r w:rsidRPr="003D1E07">
        <w:tab/>
        <w:t>145</w:t>
      </w:r>
    </w:p>
    <w:p w14:paraId="1DD3BCC8" w14:textId="77777777" w:rsidR="00367E15" w:rsidRPr="003D1E07" w:rsidRDefault="00367E15" w:rsidP="00367E15">
      <w:pPr>
        <w:pStyle w:val="Rejstk2"/>
        <w:tabs>
          <w:tab w:val="right" w:leader="dot" w:pos="4171"/>
        </w:tabs>
        <w:spacing w:line="240" w:lineRule="auto"/>
        <w:ind w:left="242"/>
      </w:pPr>
      <w:r w:rsidRPr="003D1E07">
        <w:rPr>
          <w:i/>
        </w:rPr>
        <w:t>Cat</w:t>
      </w:r>
      <w:r w:rsidRPr="003D1E07">
        <w:t>. 9a33</w:t>
      </w:r>
      <w:r w:rsidRPr="003D1E07">
        <w:tab/>
        <w:t>145</w:t>
      </w:r>
    </w:p>
    <w:p w14:paraId="5EFE0851" w14:textId="77777777" w:rsidR="00367E15" w:rsidRPr="003D1E07" w:rsidRDefault="00367E15" w:rsidP="00367E15">
      <w:pPr>
        <w:pStyle w:val="Rejstk2"/>
        <w:tabs>
          <w:tab w:val="right" w:leader="dot" w:pos="4171"/>
        </w:tabs>
        <w:spacing w:line="240" w:lineRule="auto"/>
        <w:ind w:left="242"/>
      </w:pPr>
      <w:r w:rsidRPr="003D1E07">
        <w:rPr>
          <w:i/>
        </w:rPr>
        <w:t>Cat</w:t>
      </w:r>
      <w:r w:rsidRPr="003D1E07">
        <w:t>. 9b2‒3</w:t>
      </w:r>
      <w:r w:rsidRPr="003D1E07">
        <w:tab/>
        <w:t>145</w:t>
      </w:r>
    </w:p>
    <w:p w14:paraId="5291E617"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411a8</w:t>
      </w:r>
      <w:r w:rsidRPr="003D1E07">
        <w:tab/>
        <w:t>398</w:t>
      </w:r>
    </w:p>
    <w:p w14:paraId="4234D1F4"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412a6</w:t>
      </w:r>
      <w:r w:rsidRPr="003D1E07">
        <w:tab/>
        <w:t>82</w:t>
      </w:r>
    </w:p>
    <w:p w14:paraId="7F67500F"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413b19‒23</w:t>
      </w:r>
      <w:r w:rsidRPr="003D1E07">
        <w:tab/>
        <w:t>464</w:t>
      </w:r>
    </w:p>
    <w:p w14:paraId="39774829"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413b23‒24</w:t>
      </w:r>
      <w:r w:rsidRPr="003D1E07">
        <w:tab/>
        <w:t>464</w:t>
      </w:r>
    </w:p>
    <w:p w14:paraId="30181859"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413b24‒27</w:t>
      </w:r>
      <w:r w:rsidRPr="003D1E07">
        <w:tab/>
        <w:t>416</w:t>
      </w:r>
    </w:p>
    <w:p w14:paraId="276AE4CD"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417a1‒2</w:t>
      </w:r>
      <w:r w:rsidRPr="003D1E07">
        <w:tab/>
        <w:t>376</w:t>
      </w:r>
    </w:p>
    <w:p w14:paraId="4AD8577A" w14:textId="77777777" w:rsidR="00367E15" w:rsidRPr="003D1E07" w:rsidRDefault="00367E15" w:rsidP="00367E15">
      <w:pPr>
        <w:pStyle w:val="Rejstk2"/>
        <w:tabs>
          <w:tab w:val="right" w:leader="dot" w:pos="4171"/>
        </w:tabs>
        <w:spacing w:line="240" w:lineRule="auto"/>
        <w:ind w:left="242"/>
      </w:pPr>
      <w:r w:rsidRPr="003D1E07">
        <w:rPr>
          <w:i/>
        </w:rPr>
        <w:lastRenderedPageBreak/>
        <w:t>De anima</w:t>
      </w:r>
      <w:r w:rsidRPr="003D1E07">
        <w:t xml:space="preserve"> 417a14</w:t>
      </w:r>
      <w:r w:rsidRPr="003D1E07">
        <w:tab/>
        <w:t>256</w:t>
      </w:r>
    </w:p>
    <w:p w14:paraId="68A0B657"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417a3‒7</w:t>
      </w:r>
      <w:r w:rsidRPr="003D1E07">
        <w:tab/>
        <w:t>254, 255</w:t>
      </w:r>
    </w:p>
    <w:p w14:paraId="78800B55"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418a29</w:t>
      </w:r>
      <w:r w:rsidRPr="003D1E07">
        <w:tab/>
        <w:t>450</w:t>
      </w:r>
    </w:p>
    <w:p w14:paraId="633FB303"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418a30</w:t>
      </w:r>
      <w:r w:rsidRPr="003D1E07">
        <w:tab/>
        <w:t>450</w:t>
      </w:r>
    </w:p>
    <w:p w14:paraId="1DC3731A"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418a31‒b1</w:t>
      </w:r>
      <w:r w:rsidRPr="003D1E07">
        <w:tab/>
        <w:t>441</w:t>
      </w:r>
    </w:p>
    <w:p w14:paraId="6E236D55"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418ab1</w:t>
      </w:r>
      <w:r w:rsidRPr="003D1E07">
        <w:tab/>
        <w:t>440</w:t>
      </w:r>
    </w:p>
    <w:p w14:paraId="60263B41"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418b1</w:t>
      </w:r>
      <w:r w:rsidRPr="003D1E07">
        <w:tab/>
        <w:t>442</w:t>
      </w:r>
    </w:p>
    <w:p w14:paraId="35BC23AD"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429a14‒18</w:t>
      </w:r>
      <w:r w:rsidRPr="003D1E07">
        <w:tab/>
        <w:t>377</w:t>
      </w:r>
    </w:p>
    <w:p w14:paraId="0DB16F61"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429a18</w:t>
      </w:r>
      <w:r w:rsidRPr="003D1E07">
        <w:tab/>
        <w:t>377</w:t>
      </w:r>
    </w:p>
    <w:p w14:paraId="0FC22AF3"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430a1–2</w:t>
      </w:r>
      <w:r w:rsidRPr="003D1E07">
        <w:tab/>
        <w:t>263</w:t>
      </w:r>
    </w:p>
    <w:p w14:paraId="26F65976"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430a14</w:t>
      </w:r>
      <w:r w:rsidRPr="003D1E07">
        <w:tab/>
        <w:t>197</w:t>
      </w:r>
    </w:p>
    <w:p w14:paraId="53D2CBA6"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430a14–15</w:t>
      </w:r>
      <w:r w:rsidRPr="003D1E07">
        <w:tab/>
        <w:t>413, 414, 417, 427, 429</w:t>
      </w:r>
    </w:p>
    <w:p w14:paraId="58DB7998"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430a14‒15</w:t>
      </w:r>
      <w:r w:rsidRPr="003D1E07">
        <w:tab/>
        <w:t>192, 254, 378, 391</w:t>
      </w:r>
    </w:p>
    <w:p w14:paraId="76D49156"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430a14–17</w:t>
      </w:r>
      <w:r w:rsidRPr="003D1E07">
        <w:tab/>
        <w:t>192</w:t>
      </w:r>
    </w:p>
    <w:p w14:paraId="53D87745" w14:textId="77777777" w:rsidR="00367E15" w:rsidRPr="003D1E07" w:rsidRDefault="00367E15" w:rsidP="00367E15">
      <w:pPr>
        <w:pStyle w:val="Rejstk2"/>
        <w:tabs>
          <w:tab w:val="right" w:leader="dot" w:pos="4171"/>
        </w:tabs>
        <w:spacing w:line="240" w:lineRule="auto"/>
        <w:ind w:left="242"/>
      </w:pPr>
      <w:r w:rsidRPr="003D1E07">
        <w:t>De anima 430a16–17</w:t>
      </w:r>
      <w:r w:rsidRPr="003D1E07">
        <w:tab/>
        <w:t>193</w:t>
      </w:r>
    </w:p>
    <w:p w14:paraId="3264629E"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430a20</w:t>
      </w:r>
      <w:r w:rsidRPr="003D1E07">
        <w:tab/>
        <w:t>432</w:t>
      </w:r>
    </w:p>
    <w:p w14:paraId="502804FD"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430a20–25</w:t>
      </w:r>
      <w:r w:rsidRPr="003D1E07">
        <w:tab/>
        <w:t>428, 430</w:t>
      </w:r>
    </w:p>
    <w:p w14:paraId="2A544397"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430a21</w:t>
      </w:r>
      <w:r w:rsidRPr="003D1E07">
        <w:tab/>
        <w:t>429, 430, 431</w:t>
      </w:r>
    </w:p>
    <w:p w14:paraId="7DB1BDFC"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430a22</w:t>
      </w:r>
      <w:r w:rsidRPr="003D1E07">
        <w:tab/>
        <w:t>431</w:t>
      </w:r>
    </w:p>
    <w:p w14:paraId="26D26D5A" w14:textId="77777777" w:rsidR="00367E15" w:rsidRPr="003D1E07" w:rsidRDefault="00367E15" w:rsidP="00367E15">
      <w:pPr>
        <w:pStyle w:val="Rejstk2"/>
        <w:tabs>
          <w:tab w:val="right" w:leader="dot" w:pos="4171"/>
        </w:tabs>
        <w:spacing w:line="240" w:lineRule="auto"/>
        <w:ind w:left="242"/>
      </w:pPr>
      <w:r w:rsidRPr="003D1E07">
        <w:rPr>
          <w:i/>
          <w:lang w:eastAsia="en-US"/>
        </w:rPr>
        <w:t>De anima</w:t>
      </w:r>
      <w:r w:rsidRPr="003D1E07">
        <w:rPr>
          <w:lang w:eastAsia="en-US"/>
        </w:rPr>
        <w:t xml:space="preserve"> 430a24</w:t>
      </w:r>
      <w:r w:rsidRPr="003D1E07">
        <w:tab/>
        <w:t>342</w:t>
      </w:r>
    </w:p>
    <w:p w14:paraId="71B9D276"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431b20‒21</w:t>
      </w:r>
      <w:r w:rsidRPr="003D1E07">
        <w:tab/>
        <w:t>401</w:t>
      </w:r>
    </w:p>
    <w:p w14:paraId="00CBDEA0"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431b21</w:t>
      </w:r>
      <w:r w:rsidRPr="003D1E07">
        <w:tab/>
        <w:t>189, 254, 255, 256, 266, 267, 276, 378</w:t>
      </w:r>
    </w:p>
    <w:p w14:paraId="28284704" w14:textId="77777777" w:rsidR="00367E15" w:rsidRPr="003D1E07" w:rsidRDefault="00367E15" w:rsidP="00367E15">
      <w:pPr>
        <w:pStyle w:val="Rejstk2"/>
        <w:tabs>
          <w:tab w:val="right" w:leader="dot" w:pos="4171"/>
        </w:tabs>
        <w:spacing w:line="240" w:lineRule="auto"/>
        <w:ind w:left="242"/>
      </w:pPr>
      <w:r w:rsidRPr="003D1E07">
        <w:rPr>
          <w:i/>
        </w:rPr>
        <w:t xml:space="preserve">De anima </w:t>
      </w:r>
      <w:r w:rsidRPr="003D1E07">
        <w:t>III.4‒8</w:t>
      </w:r>
      <w:r w:rsidRPr="003D1E07">
        <w:tab/>
        <w:t>187</w:t>
      </w:r>
    </w:p>
    <w:p w14:paraId="2C392259" w14:textId="77777777" w:rsidR="00367E15" w:rsidRPr="003D1E07" w:rsidRDefault="00367E15" w:rsidP="00367E15">
      <w:pPr>
        <w:pStyle w:val="Rejstk2"/>
        <w:tabs>
          <w:tab w:val="right" w:leader="dot" w:pos="4171"/>
        </w:tabs>
        <w:spacing w:line="240" w:lineRule="auto"/>
        <w:ind w:left="242"/>
      </w:pPr>
      <w:r w:rsidRPr="003D1E07">
        <w:rPr>
          <w:i/>
        </w:rPr>
        <w:t>De gen. et corr</w:t>
      </w:r>
      <w:r w:rsidRPr="003D1E07">
        <w:t>. 319b3</w:t>
      </w:r>
      <w:r w:rsidRPr="003D1E07">
        <w:tab/>
        <w:t>164</w:t>
      </w:r>
    </w:p>
    <w:p w14:paraId="26E770A9" w14:textId="77777777" w:rsidR="00367E15" w:rsidRPr="003D1E07" w:rsidRDefault="00367E15" w:rsidP="00367E15">
      <w:pPr>
        <w:pStyle w:val="Rejstk2"/>
        <w:tabs>
          <w:tab w:val="right" w:leader="dot" w:pos="4171"/>
        </w:tabs>
        <w:spacing w:line="240" w:lineRule="auto"/>
        <w:ind w:left="242"/>
      </w:pPr>
      <w:r w:rsidRPr="003D1E07">
        <w:rPr>
          <w:i/>
        </w:rPr>
        <w:t>De gen. et corr</w:t>
      </w:r>
      <w:r w:rsidRPr="003D1E07">
        <w:t>. 320b23</w:t>
      </w:r>
      <w:r w:rsidRPr="003D1E07">
        <w:tab/>
        <w:t>159</w:t>
      </w:r>
    </w:p>
    <w:p w14:paraId="17D9C7B2" w14:textId="77777777" w:rsidR="00367E15" w:rsidRPr="003D1E07" w:rsidRDefault="00367E15" w:rsidP="00367E15">
      <w:pPr>
        <w:pStyle w:val="Rejstk2"/>
        <w:tabs>
          <w:tab w:val="right" w:leader="dot" w:pos="4171"/>
        </w:tabs>
        <w:spacing w:line="240" w:lineRule="auto"/>
        <w:ind w:left="242"/>
      </w:pPr>
      <w:r w:rsidRPr="003D1E07">
        <w:rPr>
          <w:i/>
        </w:rPr>
        <w:t>De generatione animalium</w:t>
      </w:r>
      <w:r w:rsidRPr="003D1E07">
        <w:t xml:space="preserve"> 736b12</w:t>
      </w:r>
      <w:r w:rsidRPr="003D1E07">
        <w:tab/>
        <w:t>363</w:t>
      </w:r>
    </w:p>
    <w:p w14:paraId="18CEADA7" w14:textId="77777777" w:rsidR="00367E15" w:rsidRPr="003D1E07" w:rsidRDefault="00367E15" w:rsidP="00367E15">
      <w:pPr>
        <w:pStyle w:val="Rejstk2"/>
        <w:tabs>
          <w:tab w:val="right" w:leader="dot" w:pos="4171"/>
        </w:tabs>
        <w:spacing w:line="240" w:lineRule="auto"/>
        <w:ind w:left="242"/>
      </w:pPr>
      <w:r w:rsidRPr="003D1E07">
        <w:rPr>
          <w:i/>
        </w:rPr>
        <w:t xml:space="preserve">De Int. </w:t>
      </w:r>
      <w:r w:rsidRPr="003D1E07">
        <w:t>16a3–8</w:t>
      </w:r>
      <w:r w:rsidRPr="003D1E07">
        <w:tab/>
        <w:t>149</w:t>
      </w:r>
    </w:p>
    <w:p w14:paraId="4BE8A16B" w14:textId="77777777" w:rsidR="00367E15" w:rsidRPr="003D1E07" w:rsidRDefault="00367E15" w:rsidP="00367E15">
      <w:pPr>
        <w:pStyle w:val="Rejstk2"/>
        <w:tabs>
          <w:tab w:val="right" w:leader="dot" w:pos="4171"/>
        </w:tabs>
        <w:spacing w:line="240" w:lineRule="auto"/>
        <w:ind w:left="242"/>
      </w:pPr>
      <w:r w:rsidRPr="003D1E07">
        <w:rPr>
          <w:i/>
        </w:rPr>
        <w:t>De Interpretatione</w:t>
      </w:r>
      <w:r w:rsidRPr="003D1E07">
        <w:t xml:space="preserve"> 16a3–8</w:t>
      </w:r>
      <w:r w:rsidRPr="003D1E07">
        <w:tab/>
        <w:t>93</w:t>
      </w:r>
    </w:p>
    <w:p w14:paraId="36855B7A" w14:textId="77777777" w:rsidR="00367E15" w:rsidRPr="003D1E07" w:rsidRDefault="00367E15" w:rsidP="00367E15">
      <w:pPr>
        <w:pStyle w:val="Rejstk2"/>
        <w:tabs>
          <w:tab w:val="right" w:leader="dot" w:pos="4171"/>
        </w:tabs>
        <w:spacing w:line="240" w:lineRule="auto"/>
        <w:ind w:left="242"/>
      </w:pPr>
      <w:r w:rsidRPr="003D1E07">
        <w:rPr>
          <w:lang w:eastAsia="en-US"/>
        </w:rPr>
        <w:t>E.N. 1096b27–28</w:t>
      </w:r>
      <w:r w:rsidRPr="003D1E07">
        <w:tab/>
        <w:t>125</w:t>
      </w:r>
    </w:p>
    <w:p w14:paraId="35133222" w14:textId="77777777" w:rsidR="00367E15" w:rsidRPr="003D1E07" w:rsidRDefault="00367E15" w:rsidP="00367E15">
      <w:pPr>
        <w:pStyle w:val="Rejstk2"/>
        <w:tabs>
          <w:tab w:val="right" w:leader="dot" w:pos="4171"/>
        </w:tabs>
        <w:spacing w:line="240" w:lineRule="auto"/>
        <w:ind w:left="242"/>
      </w:pPr>
      <w:r w:rsidRPr="003D1E07">
        <w:t>E.N. 1107a1</w:t>
      </w:r>
      <w:r w:rsidRPr="003D1E07">
        <w:tab/>
        <w:t>306</w:t>
      </w:r>
    </w:p>
    <w:p w14:paraId="3C7721E3" w14:textId="77777777" w:rsidR="00367E15" w:rsidRPr="003D1E07" w:rsidRDefault="00367E15" w:rsidP="00367E15">
      <w:pPr>
        <w:pStyle w:val="Rejstk2"/>
        <w:tabs>
          <w:tab w:val="right" w:leader="dot" w:pos="4171"/>
        </w:tabs>
        <w:spacing w:line="240" w:lineRule="auto"/>
        <w:ind w:left="242"/>
      </w:pPr>
      <w:r w:rsidRPr="003D1E07">
        <w:t>E.N. 1177b33‒34</w:t>
      </w:r>
      <w:r w:rsidRPr="003D1E07">
        <w:tab/>
        <w:t>198</w:t>
      </w:r>
    </w:p>
    <w:p w14:paraId="415BCBA5" w14:textId="77777777" w:rsidR="00367E15" w:rsidRPr="003D1E07" w:rsidRDefault="00367E15" w:rsidP="00367E15">
      <w:pPr>
        <w:pStyle w:val="Rejstk2"/>
        <w:tabs>
          <w:tab w:val="right" w:leader="dot" w:pos="4171"/>
        </w:tabs>
        <w:spacing w:line="240" w:lineRule="auto"/>
        <w:ind w:left="242"/>
      </w:pPr>
      <w:r w:rsidRPr="003D1E07">
        <w:t>Gen. anim. 768b5‒1</w:t>
      </w:r>
      <w:r w:rsidRPr="003D1E07">
        <w:tab/>
        <w:t>104</w:t>
      </w:r>
    </w:p>
    <w:p w14:paraId="79A04C09" w14:textId="77777777" w:rsidR="00367E15" w:rsidRPr="003D1E07" w:rsidRDefault="00367E15" w:rsidP="00367E15">
      <w:pPr>
        <w:pStyle w:val="Rejstk2"/>
        <w:tabs>
          <w:tab w:val="right" w:leader="dot" w:pos="4171"/>
        </w:tabs>
        <w:spacing w:line="240" w:lineRule="auto"/>
        <w:ind w:left="242"/>
      </w:pPr>
      <w:r w:rsidRPr="003D1E07">
        <w:rPr>
          <w:i/>
          <w:lang w:eastAsia="en-US"/>
        </w:rPr>
        <w:t>Met.</w:t>
      </w:r>
      <w:r w:rsidRPr="003D1E07">
        <w:rPr>
          <w:lang w:eastAsia="en-US"/>
        </w:rPr>
        <w:t xml:space="preserve"> 1003a33</w:t>
      </w:r>
      <w:r w:rsidRPr="003D1E07">
        <w:tab/>
        <w:t>85</w:t>
      </w:r>
    </w:p>
    <w:p w14:paraId="1591DFF8" w14:textId="77777777" w:rsidR="00367E15" w:rsidRPr="003D1E07" w:rsidRDefault="00367E15" w:rsidP="00367E15">
      <w:pPr>
        <w:pStyle w:val="Rejstk2"/>
        <w:tabs>
          <w:tab w:val="right" w:leader="dot" w:pos="4171"/>
        </w:tabs>
        <w:spacing w:line="240" w:lineRule="auto"/>
        <w:ind w:left="242"/>
      </w:pPr>
      <w:r w:rsidRPr="003D1E07">
        <w:rPr>
          <w:i/>
        </w:rPr>
        <w:t>Met</w:t>
      </w:r>
      <w:r w:rsidRPr="003D1E07">
        <w:t>. 1005b14–16</w:t>
      </w:r>
      <w:r w:rsidRPr="003D1E07">
        <w:tab/>
        <w:t>205</w:t>
      </w:r>
    </w:p>
    <w:p w14:paraId="1849F9C0" w14:textId="77777777" w:rsidR="00367E15" w:rsidRPr="003D1E07" w:rsidRDefault="00367E15" w:rsidP="00367E15">
      <w:pPr>
        <w:pStyle w:val="Rejstk2"/>
        <w:tabs>
          <w:tab w:val="right" w:leader="dot" w:pos="4171"/>
        </w:tabs>
        <w:spacing w:line="240" w:lineRule="auto"/>
        <w:ind w:left="242"/>
      </w:pPr>
      <w:r w:rsidRPr="003D1E07">
        <w:rPr>
          <w:i/>
        </w:rPr>
        <w:t>Met</w:t>
      </w:r>
      <w:r w:rsidRPr="003D1E07">
        <w:t>. 1006a3–5</w:t>
      </w:r>
      <w:r w:rsidRPr="003D1E07">
        <w:tab/>
        <w:t>32</w:t>
      </w:r>
    </w:p>
    <w:p w14:paraId="68FEE741" w14:textId="77777777" w:rsidR="00367E15" w:rsidRPr="003D1E07" w:rsidRDefault="00367E15" w:rsidP="00367E15">
      <w:pPr>
        <w:pStyle w:val="Rejstk2"/>
        <w:tabs>
          <w:tab w:val="right" w:leader="dot" w:pos="4171"/>
        </w:tabs>
        <w:spacing w:line="240" w:lineRule="auto"/>
        <w:ind w:left="242"/>
      </w:pPr>
      <w:r w:rsidRPr="003D1E07">
        <w:rPr>
          <w:i/>
        </w:rPr>
        <w:t>Met</w:t>
      </w:r>
      <w:r w:rsidRPr="003D1E07">
        <w:t>. 1006a6</w:t>
      </w:r>
      <w:r w:rsidRPr="003D1E07">
        <w:tab/>
        <w:t>73, 359, 376, 407</w:t>
      </w:r>
    </w:p>
    <w:p w14:paraId="15FAA4C6" w14:textId="77777777" w:rsidR="00367E15" w:rsidRPr="003D1E07" w:rsidRDefault="00367E15" w:rsidP="00367E15">
      <w:pPr>
        <w:pStyle w:val="Rejstk2"/>
        <w:tabs>
          <w:tab w:val="right" w:leader="dot" w:pos="4171"/>
        </w:tabs>
        <w:spacing w:line="240" w:lineRule="auto"/>
        <w:ind w:left="242"/>
      </w:pPr>
      <w:r w:rsidRPr="003D1E07">
        <w:rPr>
          <w:i/>
        </w:rPr>
        <w:t>Met</w:t>
      </w:r>
      <w:r w:rsidRPr="003D1E07">
        <w:t>. 1006a7–11</w:t>
      </w:r>
      <w:r w:rsidRPr="003D1E07">
        <w:tab/>
        <w:t>356</w:t>
      </w:r>
    </w:p>
    <w:p w14:paraId="4B8FF295" w14:textId="77777777" w:rsidR="00367E15" w:rsidRPr="003D1E07" w:rsidRDefault="00367E15" w:rsidP="00367E15">
      <w:pPr>
        <w:pStyle w:val="Rejstk2"/>
        <w:tabs>
          <w:tab w:val="right" w:leader="dot" w:pos="4171"/>
        </w:tabs>
        <w:spacing w:line="240" w:lineRule="auto"/>
        <w:ind w:left="242"/>
      </w:pPr>
      <w:r w:rsidRPr="003D1E07">
        <w:rPr>
          <w:i/>
        </w:rPr>
        <w:t>Met</w:t>
      </w:r>
      <w:r w:rsidRPr="003D1E07">
        <w:t>. 1011b26‒29</w:t>
      </w:r>
      <w:r w:rsidRPr="003D1E07">
        <w:tab/>
        <w:t>92</w:t>
      </w:r>
    </w:p>
    <w:p w14:paraId="6C5A0FE0" w14:textId="77777777" w:rsidR="00367E15" w:rsidRPr="003D1E07" w:rsidRDefault="00367E15" w:rsidP="00367E15">
      <w:pPr>
        <w:pStyle w:val="Rejstk2"/>
        <w:tabs>
          <w:tab w:val="right" w:leader="dot" w:pos="4171"/>
        </w:tabs>
        <w:spacing w:line="240" w:lineRule="auto"/>
        <w:ind w:left="242"/>
      </w:pPr>
      <w:r w:rsidRPr="003D1E07">
        <w:rPr>
          <w:i/>
        </w:rPr>
        <w:t>Met</w:t>
      </w:r>
      <w:r w:rsidRPr="003D1E07">
        <w:t>. 1011b27</w:t>
      </w:r>
      <w:r w:rsidRPr="003D1E07">
        <w:tab/>
        <w:t>151</w:t>
      </w:r>
    </w:p>
    <w:p w14:paraId="561FE4BB" w14:textId="77777777" w:rsidR="00367E15" w:rsidRPr="003D1E07" w:rsidRDefault="00367E15" w:rsidP="00367E15">
      <w:pPr>
        <w:pStyle w:val="Rejstk2"/>
        <w:tabs>
          <w:tab w:val="right" w:leader="dot" w:pos="4171"/>
        </w:tabs>
        <w:spacing w:line="240" w:lineRule="auto"/>
        <w:ind w:left="242"/>
      </w:pPr>
      <w:r w:rsidRPr="003D1E07">
        <w:rPr>
          <w:i/>
        </w:rPr>
        <w:t>Met</w:t>
      </w:r>
      <w:r w:rsidRPr="003D1E07">
        <w:t>. 1017a23</w:t>
      </w:r>
      <w:r w:rsidRPr="003D1E07">
        <w:tab/>
        <w:t>109</w:t>
      </w:r>
    </w:p>
    <w:p w14:paraId="2096CA8E" w14:textId="77777777" w:rsidR="00367E15" w:rsidRPr="003D1E07" w:rsidRDefault="00367E15" w:rsidP="00367E15">
      <w:pPr>
        <w:pStyle w:val="Rejstk2"/>
        <w:tabs>
          <w:tab w:val="right" w:leader="dot" w:pos="4171"/>
        </w:tabs>
        <w:spacing w:line="240" w:lineRule="auto"/>
        <w:ind w:left="242"/>
      </w:pPr>
      <w:r w:rsidRPr="003D1E07">
        <w:rPr>
          <w:i/>
        </w:rPr>
        <w:t>Met</w:t>
      </w:r>
      <w:r w:rsidRPr="003D1E07">
        <w:t>. 1022a25</w:t>
      </w:r>
      <w:r w:rsidRPr="003D1E07">
        <w:tab/>
        <w:t>150</w:t>
      </w:r>
    </w:p>
    <w:p w14:paraId="53E55D49" w14:textId="77777777" w:rsidR="00367E15" w:rsidRPr="003D1E07" w:rsidRDefault="00367E15" w:rsidP="00367E15">
      <w:pPr>
        <w:pStyle w:val="Rejstk2"/>
        <w:tabs>
          <w:tab w:val="right" w:leader="dot" w:pos="4171"/>
        </w:tabs>
        <w:spacing w:line="240" w:lineRule="auto"/>
        <w:ind w:left="242"/>
      </w:pPr>
      <w:r w:rsidRPr="003D1E07">
        <w:rPr>
          <w:i/>
        </w:rPr>
        <w:t>Met</w:t>
      </w:r>
      <w:r w:rsidRPr="003D1E07">
        <w:t>. 1022b4</w:t>
      </w:r>
      <w:r w:rsidRPr="003D1E07">
        <w:tab/>
        <w:t>146</w:t>
      </w:r>
    </w:p>
    <w:p w14:paraId="2138A019" w14:textId="77777777" w:rsidR="00367E15" w:rsidRPr="003D1E07" w:rsidRDefault="00367E15" w:rsidP="00367E15">
      <w:pPr>
        <w:pStyle w:val="Rejstk2"/>
        <w:tabs>
          <w:tab w:val="right" w:leader="dot" w:pos="4171"/>
        </w:tabs>
        <w:spacing w:line="240" w:lineRule="auto"/>
        <w:ind w:left="242"/>
      </w:pPr>
      <w:r w:rsidRPr="003D1E07">
        <w:rPr>
          <w:i/>
        </w:rPr>
        <w:t>Met</w:t>
      </w:r>
      <w:r w:rsidRPr="003D1E07">
        <w:t>. 1022b4‒5</w:t>
      </w:r>
      <w:r w:rsidRPr="003D1E07">
        <w:tab/>
        <w:t>142</w:t>
      </w:r>
    </w:p>
    <w:p w14:paraId="1462AC1C" w14:textId="77777777" w:rsidR="00367E15" w:rsidRPr="003D1E07" w:rsidRDefault="00367E15" w:rsidP="00367E15">
      <w:pPr>
        <w:pStyle w:val="Rejstk2"/>
        <w:tabs>
          <w:tab w:val="right" w:leader="dot" w:pos="4171"/>
        </w:tabs>
        <w:spacing w:line="240" w:lineRule="auto"/>
        <w:ind w:left="242"/>
      </w:pPr>
      <w:r w:rsidRPr="003D1E07">
        <w:rPr>
          <w:i/>
        </w:rPr>
        <w:t>Met</w:t>
      </w:r>
      <w:r w:rsidRPr="003D1E07">
        <w:t>. 1022b4‒6</w:t>
      </w:r>
      <w:r w:rsidRPr="003D1E07">
        <w:tab/>
        <w:t>141, 142</w:t>
      </w:r>
    </w:p>
    <w:p w14:paraId="28717D86" w14:textId="77777777" w:rsidR="00367E15" w:rsidRPr="003D1E07" w:rsidRDefault="00367E15" w:rsidP="00367E15">
      <w:pPr>
        <w:pStyle w:val="Rejstk2"/>
        <w:tabs>
          <w:tab w:val="right" w:leader="dot" w:pos="4171"/>
        </w:tabs>
        <w:spacing w:line="240" w:lineRule="auto"/>
        <w:ind w:left="242"/>
      </w:pPr>
      <w:r w:rsidRPr="003D1E07">
        <w:rPr>
          <w:i/>
        </w:rPr>
        <w:t>Met</w:t>
      </w:r>
      <w:r w:rsidRPr="003D1E07">
        <w:t>. 1022b6</w:t>
      </w:r>
      <w:r w:rsidRPr="003D1E07">
        <w:tab/>
        <w:t>142</w:t>
      </w:r>
    </w:p>
    <w:p w14:paraId="24E93EDF" w14:textId="77777777" w:rsidR="00367E15" w:rsidRPr="003D1E07" w:rsidRDefault="00367E15" w:rsidP="00367E15">
      <w:pPr>
        <w:pStyle w:val="Rejstk2"/>
        <w:tabs>
          <w:tab w:val="right" w:leader="dot" w:pos="4171"/>
        </w:tabs>
        <w:spacing w:line="240" w:lineRule="auto"/>
        <w:ind w:left="242"/>
      </w:pPr>
      <w:r w:rsidRPr="003D1E07">
        <w:rPr>
          <w:i/>
        </w:rPr>
        <w:t>Met</w:t>
      </w:r>
      <w:r w:rsidRPr="003D1E07">
        <w:t>. 1026a27‒32</w:t>
      </w:r>
      <w:r w:rsidRPr="003D1E07">
        <w:tab/>
        <w:t>362</w:t>
      </w:r>
    </w:p>
    <w:p w14:paraId="231DA58A" w14:textId="77777777" w:rsidR="00367E15" w:rsidRPr="003D1E07" w:rsidRDefault="00367E15" w:rsidP="00367E15">
      <w:pPr>
        <w:pStyle w:val="Rejstk2"/>
        <w:tabs>
          <w:tab w:val="right" w:leader="dot" w:pos="4171"/>
        </w:tabs>
        <w:spacing w:line="240" w:lineRule="auto"/>
        <w:ind w:left="242"/>
      </w:pPr>
      <w:r w:rsidRPr="003D1E07">
        <w:rPr>
          <w:i/>
          <w:lang w:eastAsia="en-US"/>
        </w:rPr>
        <w:t>Met</w:t>
      </w:r>
      <w:r w:rsidRPr="003D1E07">
        <w:rPr>
          <w:lang w:eastAsia="en-US"/>
        </w:rPr>
        <w:t>. 1026a33</w:t>
      </w:r>
      <w:r w:rsidRPr="003D1E07">
        <w:tab/>
        <w:t>336</w:t>
      </w:r>
    </w:p>
    <w:p w14:paraId="43645F46" w14:textId="77777777" w:rsidR="00367E15" w:rsidRPr="003D1E07" w:rsidRDefault="00367E15" w:rsidP="00367E15">
      <w:pPr>
        <w:pStyle w:val="Rejstk2"/>
        <w:tabs>
          <w:tab w:val="right" w:leader="dot" w:pos="4171"/>
        </w:tabs>
        <w:spacing w:line="240" w:lineRule="auto"/>
        <w:ind w:left="242"/>
      </w:pPr>
      <w:r w:rsidRPr="003D1E07">
        <w:rPr>
          <w:i/>
        </w:rPr>
        <w:t>Met</w:t>
      </w:r>
      <w:r w:rsidRPr="003D1E07">
        <w:t>. 1026a33‒35</w:t>
      </w:r>
      <w:r w:rsidRPr="003D1E07">
        <w:tab/>
        <w:t>236</w:t>
      </w:r>
    </w:p>
    <w:p w14:paraId="7CA7C67C" w14:textId="77777777" w:rsidR="00367E15" w:rsidRPr="003D1E07" w:rsidRDefault="00367E15" w:rsidP="00367E15">
      <w:pPr>
        <w:pStyle w:val="Rejstk2"/>
        <w:tabs>
          <w:tab w:val="right" w:leader="dot" w:pos="4171"/>
        </w:tabs>
        <w:spacing w:line="240" w:lineRule="auto"/>
        <w:ind w:left="242"/>
      </w:pPr>
      <w:r w:rsidRPr="003D1E07">
        <w:rPr>
          <w:i/>
          <w:lang w:eastAsia="en-US"/>
        </w:rPr>
        <w:t>Met</w:t>
      </w:r>
      <w:r w:rsidRPr="003D1E07">
        <w:rPr>
          <w:lang w:eastAsia="en-US"/>
        </w:rPr>
        <w:t>. 1026a33–b2</w:t>
      </w:r>
      <w:r w:rsidRPr="003D1E07">
        <w:tab/>
        <w:t>181, 225, 336</w:t>
      </w:r>
    </w:p>
    <w:p w14:paraId="4B767CE1" w14:textId="77777777" w:rsidR="00367E15" w:rsidRPr="003D1E07" w:rsidRDefault="00367E15" w:rsidP="00367E15">
      <w:pPr>
        <w:pStyle w:val="Rejstk2"/>
        <w:tabs>
          <w:tab w:val="right" w:leader="dot" w:pos="4171"/>
        </w:tabs>
        <w:spacing w:line="240" w:lineRule="auto"/>
        <w:ind w:left="242"/>
      </w:pPr>
      <w:r w:rsidRPr="003D1E07">
        <w:rPr>
          <w:i/>
          <w:lang w:eastAsia="en-US"/>
        </w:rPr>
        <w:t>Met</w:t>
      </w:r>
      <w:r w:rsidRPr="003D1E07">
        <w:rPr>
          <w:lang w:eastAsia="en-US"/>
        </w:rPr>
        <w:t>. 1026b25–27</w:t>
      </w:r>
      <w:r w:rsidRPr="003D1E07">
        <w:tab/>
        <w:t>336</w:t>
      </w:r>
    </w:p>
    <w:p w14:paraId="1BA1AB11" w14:textId="77777777" w:rsidR="00367E15" w:rsidRPr="003D1E07" w:rsidRDefault="00367E15" w:rsidP="00367E15">
      <w:pPr>
        <w:pStyle w:val="Rejstk2"/>
        <w:tabs>
          <w:tab w:val="right" w:leader="dot" w:pos="4171"/>
        </w:tabs>
        <w:spacing w:line="240" w:lineRule="auto"/>
        <w:ind w:left="242"/>
      </w:pPr>
      <w:r w:rsidRPr="003D1E07">
        <w:rPr>
          <w:i/>
          <w:lang w:eastAsia="en-US"/>
        </w:rPr>
        <w:t>Met</w:t>
      </w:r>
      <w:r w:rsidRPr="003D1E07">
        <w:rPr>
          <w:lang w:eastAsia="en-US"/>
        </w:rPr>
        <w:t>. 1026b30–31</w:t>
      </w:r>
      <w:r w:rsidRPr="003D1E07">
        <w:tab/>
        <w:t>336, 338</w:t>
      </w:r>
    </w:p>
    <w:p w14:paraId="242C7129" w14:textId="77777777" w:rsidR="00367E15" w:rsidRPr="003D1E07" w:rsidRDefault="00367E15" w:rsidP="00367E15">
      <w:pPr>
        <w:pStyle w:val="Rejstk2"/>
        <w:tabs>
          <w:tab w:val="right" w:leader="dot" w:pos="4171"/>
        </w:tabs>
        <w:spacing w:line="240" w:lineRule="auto"/>
        <w:ind w:left="242"/>
      </w:pPr>
      <w:r w:rsidRPr="003D1E07">
        <w:rPr>
          <w:i/>
          <w:lang w:eastAsia="en-US"/>
        </w:rPr>
        <w:t>Met</w:t>
      </w:r>
      <w:r w:rsidRPr="003D1E07">
        <w:rPr>
          <w:lang w:eastAsia="en-US"/>
        </w:rPr>
        <w:t>. 1026b34</w:t>
      </w:r>
      <w:r w:rsidRPr="003D1E07">
        <w:tab/>
        <w:t>337</w:t>
      </w:r>
    </w:p>
    <w:p w14:paraId="57FDFE65" w14:textId="77777777" w:rsidR="00367E15" w:rsidRPr="003D1E07" w:rsidRDefault="00367E15" w:rsidP="00367E15">
      <w:pPr>
        <w:pStyle w:val="Rejstk2"/>
        <w:tabs>
          <w:tab w:val="right" w:leader="dot" w:pos="4171"/>
        </w:tabs>
        <w:spacing w:line="240" w:lineRule="auto"/>
        <w:ind w:left="242"/>
      </w:pPr>
      <w:r w:rsidRPr="003D1E07">
        <w:rPr>
          <w:i/>
          <w:lang w:eastAsia="en-US"/>
        </w:rPr>
        <w:t>Met</w:t>
      </w:r>
      <w:r w:rsidRPr="003D1E07">
        <w:rPr>
          <w:lang w:eastAsia="en-US"/>
        </w:rPr>
        <w:t xml:space="preserve">. </w:t>
      </w:r>
      <w:r w:rsidRPr="003D1E07">
        <w:t>1027b30–31</w:t>
      </w:r>
      <w:r w:rsidRPr="003D1E07">
        <w:tab/>
        <w:t>361</w:t>
      </w:r>
    </w:p>
    <w:p w14:paraId="461553FD" w14:textId="77777777" w:rsidR="00367E15" w:rsidRPr="003D1E07" w:rsidRDefault="00367E15" w:rsidP="00367E15">
      <w:pPr>
        <w:pStyle w:val="Rejstk2"/>
        <w:tabs>
          <w:tab w:val="right" w:leader="dot" w:pos="4171"/>
        </w:tabs>
        <w:spacing w:line="240" w:lineRule="auto"/>
        <w:ind w:left="242"/>
      </w:pPr>
      <w:r w:rsidRPr="003D1E07">
        <w:rPr>
          <w:i/>
        </w:rPr>
        <w:t>Met.</w:t>
      </w:r>
      <w:r w:rsidRPr="003D1E07">
        <w:t xml:space="preserve"> 1028b34</w:t>
      </w:r>
      <w:r w:rsidRPr="003D1E07">
        <w:tab/>
        <w:t>83</w:t>
      </w:r>
    </w:p>
    <w:p w14:paraId="3B43EEF2" w14:textId="77777777" w:rsidR="00367E15" w:rsidRPr="003D1E07" w:rsidRDefault="00367E15" w:rsidP="00367E15">
      <w:pPr>
        <w:pStyle w:val="Rejstk2"/>
        <w:tabs>
          <w:tab w:val="right" w:leader="dot" w:pos="4171"/>
        </w:tabs>
        <w:spacing w:line="240" w:lineRule="auto"/>
        <w:ind w:left="242"/>
      </w:pPr>
      <w:r w:rsidRPr="003D1E07">
        <w:rPr>
          <w:i/>
        </w:rPr>
        <w:t>Met</w:t>
      </w:r>
      <w:r w:rsidRPr="003D1E07">
        <w:t>. 1029a18–19</w:t>
      </w:r>
      <w:r w:rsidRPr="003D1E07">
        <w:tab/>
        <w:t>158</w:t>
      </w:r>
    </w:p>
    <w:p w14:paraId="3832922E" w14:textId="77777777" w:rsidR="00367E15" w:rsidRPr="003D1E07" w:rsidRDefault="00367E15" w:rsidP="00367E15">
      <w:pPr>
        <w:pStyle w:val="Rejstk2"/>
        <w:tabs>
          <w:tab w:val="right" w:leader="dot" w:pos="4171"/>
        </w:tabs>
        <w:spacing w:line="240" w:lineRule="auto"/>
        <w:ind w:left="242"/>
      </w:pPr>
      <w:r w:rsidRPr="003D1E07">
        <w:rPr>
          <w:i/>
        </w:rPr>
        <w:t>Met.</w:t>
      </w:r>
      <w:r w:rsidRPr="003D1E07">
        <w:t xml:space="preserve"> 1031a12–13</w:t>
      </w:r>
      <w:r w:rsidRPr="003D1E07">
        <w:tab/>
        <w:t>84</w:t>
      </w:r>
    </w:p>
    <w:p w14:paraId="071EC781" w14:textId="77777777" w:rsidR="00367E15" w:rsidRPr="003D1E07" w:rsidRDefault="00367E15" w:rsidP="00367E15">
      <w:pPr>
        <w:pStyle w:val="Rejstk2"/>
        <w:tabs>
          <w:tab w:val="right" w:leader="dot" w:pos="4171"/>
        </w:tabs>
        <w:spacing w:line="240" w:lineRule="auto"/>
        <w:ind w:left="242"/>
      </w:pPr>
      <w:r w:rsidRPr="003D1E07">
        <w:rPr>
          <w:i/>
        </w:rPr>
        <w:t>Met.</w:t>
      </w:r>
      <w:r w:rsidRPr="003D1E07">
        <w:t xml:space="preserve"> 1033a33‒34</w:t>
      </w:r>
      <w:r w:rsidRPr="003D1E07">
        <w:tab/>
        <w:t>348</w:t>
      </w:r>
    </w:p>
    <w:p w14:paraId="42D85CB5" w14:textId="77777777" w:rsidR="00367E15" w:rsidRPr="003D1E07" w:rsidRDefault="00367E15" w:rsidP="00367E15">
      <w:pPr>
        <w:pStyle w:val="Rejstk2"/>
        <w:tabs>
          <w:tab w:val="right" w:leader="dot" w:pos="4171"/>
        </w:tabs>
        <w:spacing w:line="240" w:lineRule="auto"/>
        <w:ind w:left="242"/>
      </w:pPr>
      <w:r w:rsidRPr="003D1E07">
        <w:rPr>
          <w:i/>
        </w:rPr>
        <w:t>Met</w:t>
      </w:r>
      <w:r w:rsidRPr="003D1E07">
        <w:t>. 1044a1</w:t>
      </w:r>
      <w:r w:rsidRPr="003D1E07">
        <w:rPr>
          <w:rFonts w:ascii="Georgia" w:hAnsi="Georgia"/>
        </w:rPr>
        <w:t>–</w:t>
      </w:r>
      <w:r w:rsidRPr="003D1E07">
        <w:t>2</w:t>
      </w:r>
      <w:r w:rsidRPr="003D1E07">
        <w:tab/>
        <w:t>128</w:t>
      </w:r>
    </w:p>
    <w:p w14:paraId="0169521E" w14:textId="77777777" w:rsidR="00367E15" w:rsidRPr="003D1E07" w:rsidRDefault="00367E15" w:rsidP="00367E15">
      <w:pPr>
        <w:pStyle w:val="Rejstk2"/>
        <w:tabs>
          <w:tab w:val="right" w:leader="dot" w:pos="4171"/>
        </w:tabs>
        <w:spacing w:line="240" w:lineRule="auto"/>
        <w:ind w:left="242"/>
      </w:pPr>
      <w:r w:rsidRPr="003D1E07">
        <w:rPr>
          <w:i/>
        </w:rPr>
        <w:t>Met</w:t>
      </w:r>
      <w:r w:rsidRPr="003D1E07">
        <w:t>. 1053b18‒20</w:t>
      </w:r>
      <w:r w:rsidRPr="003D1E07">
        <w:tab/>
        <w:t>92</w:t>
      </w:r>
    </w:p>
    <w:p w14:paraId="407FEB84" w14:textId="77777777" w:rsidR="00367E15" w:rsidRPr="003D1E07" w:rsidRDefault="00367E15" w:rsidP="00367E15">
      <w:pPr>
        <w:pStyle w:val="Rejstk2"/>
        <w:tabs>
          <w:tab w:val="right" w:leader="dot" w:pos="4171"/>
        </w:tabs>
        <w:spacing w:line="240" w:lineRule="auto"/>
        <w:ind w:left="242"/>
      </w:pPr>
      <w:r w:rsidRPr="003D1E07">
        <w:rPr>
          <w:i/>
          <w:lang w:eastAsia="en-US"/>
        </w:rPr>
        <w:t>Met</w:t>
      </w:r>
      <w:r w:rsidRPr="003D1E07">
        <w:rPr>
          <w:lang w:eastAsia="en-US"/>
        </w:rPr>
        <w:t>. 1069a18–</w:t>
      </w:r>
      <w:r w:rsidRPr="003D1E07">
        <w:t>1072b16</w:t>
      </w:r>
      <w:r w:rsidRPr="003D1E07">
        <w:tab/>
        <w:t>347</w:t>
      </w:r>
    </w:p>
    <w:p w14:paraId="28292E1B" w14:textId="77777777" w:rsidR="00FD1829" w:rsidRPr="003D1E07" w:rsidRDefault="00367E15" w:rsidP="00FD1829">
      <w:pPr>
        <w:pStyle w:val="Rejstk2"/>
        <w:tabs>
          <w:tab w:val="right" w:leader="dot" w:pos="4171"/>
        </w:tabs>
        <w:spacing w:line="240" w:lineRule="auto"/>
        <w:ind w:left="238"/>
      </w:pPr>
      <w:r w:rsidRPr="003D1E07">
        <w:rPr>
          <w:i/>
        </w:rPr>
        <w:t>Met</w:t>
      </w:r>
      <w:r w:rsidRPr="003D1E07">
        <w:t>. 1069a34</w:t>
      </w:r>
      <w:r w:rsidRPr="003D1E07">
        <w:tab/>
        <w:t>128</w:t>
      </w:r>
    </w:p>
    <w:p w14:paraId="37618E51" w14:textId="4EDA98A6" w:rsidR="00367E15" w:rsidRPr="003D1E07" w:rsidRDefault="00367E15" w:rsidP="00FD1829">
      <w:pPr>
        <w:pStyle w:val="Rejstk2"/>
        <w:tabs>
          <w:tab w:val="right" w:leader="dot" w:pos="4171"/>
        </w:tabs>
        <w:spacing w:line="240" w:lineRule="auto"/>
        <w:ind w:left="238"/>
      </w:pPr>
      <w:r w:rsidRPr="003D1E07">
        <w:rPr>
          <w:i/>
        </w:rPr>
        <w:t>Met</w:t>
      </w:r>
      <w:r w:rsidRPr="003D1E07">
        <w:t>. 1070a4</w:t>
      </w:r>
      <w:r w:rsidRPr="003D1E07">
        <w:tab/>
        <w:t>348</w:t>
      </w:r>
    </w:p>
    <w:p w14:paraId="349D7811" w14:textId="77777777" w:rsidR="00367E15" w:rsidRPr="003D1E07" w:rsidRDefault="00367E15" w:rsidP="00367E15">
      <w:pPr>
        <w:pStyle w:val="Rejstk2"/>
        <w:tabs>
          <w:tab w:val="right" w:leader="dot" w:pos="4171"/>
        </w:tabs>
        <w:spacing w:line="240" w:lineRule="auto"/>
        <w:ind w:left="0" w:firstLine="0"/>
      </w:pPr>
      <w:r w:rsidRPr="003D1E07">
        <w:rPr>
          <w:i/>
        </w:rPr>
        <w:lastRenderedPageBreak/>
        <w:t>Met</w:t>
      </w:r>
      <w:r w:rsidRPr="003D1E07">
        <w:t>. 1070b2‒7</w:t>
      </w:r>
      <w:r w:rsidRPr="003D1E07">
        <w:tab/>
        <w:t>85</w:t>
      </w:r>
    </w:p>
    <w:p w14:paraId="1813F853" w14:textId="77777777" w:rsidR="00367E15" w:rsidRPr="003D1E07" w:rsidRDefault="00367E15" w:rsidP="00367E15">
      <w:pPr>
        <w:pStyle w:val="Rejstk2"/>
        <w:tabs>
          <w:tab w:val="right" w:leader="dot" w:pos="4171"/>
        </w:tabs>
        <w:spacing w:line="240" w:lineRule="auto"/>
        <w:ind w:left="0" w:firstLine="0"/>
      </w:pPr>
      <w:r w:rsidRPr="003D1E07">
        <w:rPr>
          <w:i/>
        </w:rPr>
        <w:t>Met</w:t>
      </w:r>
      <w:r w:rsidRPr="003D1E07">
        <w:t>. 1071b4</w:t>
      </w:r>
      <w:r w:rsidRPr="003D1E07">
        <w:tab/>
        <w:t>128</w:t>
      </w:r>
    </w:p>
    <w:p w14:paraId="512A3AF4" w14:textId="77777777" w:rsidR="00367E15" w:rsidRPr="003D1E07" w:rsidRDefault="00367E15" w:rsidP="00367E15">
      <w:pPr>
        <w:pStyle w:val="Rejstk2"/>
        <w:tabs>
          <w:tab w:val="right" w:leader="dot" w:pos="4171"/>
        </w:tabs>
        <w:spacing w:line="240" w:lineRule="auto"/>
        <w:ind w:left="0" w:firstLine="0"/>
      </w:pPr>
      <w:r w:rsidRPr="003D1E07">
        <w:rPr>
          <w:i/>
        </w:rPr>
        <w:t>Met</w:t>
      </w:r>
      <w:r w:rsidRPr="003D1E07">
        <w:t>. 1072a12‒13</w:t>
      </w:r>
      <w:r w:rsidRPr="003D1E07">
        <w:tab/>
        <w:t>42</w:t>
      </w:r>
    </w:p>
    <w:p w14:paraId="5C248253" w14:textId="77777777" w:rsidR="00367E15" w:rsidRPr="003D1E07" w:rsidRDefault="00367E15" w:rsidP="00367E15">
      <w:pPr>
        <w:pStyle w:val="Rejstk2"/>
        <w:tabs>
          <w:tab w:val="right" w:leader="dot" w:pos="4171"/>
        </w:tabs>
        <w:spacing w:line="240" w:lineRule="auto"/>
        <w:ind w:left="0" w:firstLine="0"/>
      </w:pPr>
      <w:r w:rsidRPr="003D1E07">
        <w:rPr>
          <w:i/>
        </w:rPr>
        <w:t>Met</w:t>
      </w:r>
      <w:r w:rsidRPr="003D1E07">
        <w:t>. 1073b2</w:t>
      </w:r>
      <w:r w:rsidRPr="003D1E07">
        <w:tab/>
        <w:t>45</w:t>
      </w:r>
    </w:p>
    <w:p w14:paraId="7FA88244" w14:textId="77777777" w:rsidR="00367E15" w:rsidRPr="003D1E07" w:rsidRDefault="00367E15" w:rsidP="00367E15">
      <w:pPr>
        <w:pStyle w:val="Rejstk2"/>
        <w:tabs>
          <w:tab w:val="right" w:leader="dot" w:pos="4171"/>
        </w:tabs>
        <w:spacing w:line="240" w:lineRule="auto"/>
        <w:ind w:left="0" w:firstLine="0"/>
      </w:pPr>
      <w:r w:rsidRPr="003D1E07">
        <w:rPr>
          <w:i/>
        </w:rPr>
        <w:t>Met</w:t>
      </w:r>
      <w:r w:rsidRPr="003D1E07">
        <w:t>. 1076b13‒16</w:t>
      </w:r>
      <w:r w:rsidRPr="003D1E07">
        <w:tab/>
        <w:t>91</w:t>
      </w:r>
    </w:p>
    <w:p w14:paraId="7E9A5BEB" w14:textId="77777777" w:rsidR="00367E15" w:rsidRPr="003D1E07" w:rsidRDefault="00367E15" w:rsidP="00367E15">
      <w:pPr>
        <w:pStyle w:val="Rejstk2"/>
        <w:tabs>
          <w:tab w:val="right" w:leader="dot" w:pos="4171"/>
        </w:tabs>
        <w:spacing w:line="240" w:lineRule="auto"/>
        <w:ind w:left="0" w:firstLine="0"/>
      </w:pPr>
      <w:r w:rsidRPr="003D1E07">
        <w:rPr>
          <w:i/>
        </w:rPr>
        <w:t>Met</w:t>
      </w:r>
      <w:r w:rsidRPr="003D1E07">
        <w:t>. 1077b1‒2</w:t>
      </w:r>
      <w:r w:rsidRPr="003D1E07">
        <w:tab/>
        <w:t>91</w:t>
      </w:r>
    </w:p>
    <w:p w14:paraId="02C531E6" w14:textId="77777777" w:rsidR="00367E15" w:rsidRPr="003D1E07" w:rsidRDefault="00367E15" w:rsidP="00367E15">
      <w:pPr>
        <w:pStyle w:val="Rejstk2"/>
        <w:tabs>
          <w:tab w:val="right" w:leader="dot" w:pos="4171"/>
        </w:tabs>
        <w:spacing w:line="240" w:lineRule="auto"/>
        <w:ind w:left="0" w:firstLine="0"/>
      </w:pPr>
      <w:r w:rsidRPr="003D1E07">
        <w:rPr>
          <w:i/>
        </w:rPr>
        <w:t>Met</w:t>
      </w:r>
      <w:r w:rsidRPr="003D1E07">
        <w:t>. 998b22‒23</w:t>
      </w:r>
      <w:r w:rsidRPr="003D1E07">
        <w:tab/>
        <w:t>91</w:t>
      </w:r>
    </w:p>
    <w:p w14:paraId="6217EAD7" w14:textId="77777777" w:rsidR="00367E15" w:rsidRPr="003D1E07" w:rsidRDefault="00367E15" w:rsidP="00367E15">
      <w:pPr>
        <w:pStyle w:val="Rejstk2"/>
        <w:tabs>
          <w:tab w:val="right" w:leader="dot" w:pos="4171"/>
        </w:tabs>
        <w:spacing w:line="240" w:lineRule="auto"/>
        <w:ind w:left="0" w:firstLine="0"/>
      </w:pPr>
      <w:r w:rsidRPr="003D1E07">
        <w:rPr>
          <w:i/>
        </w:rPr>
        <w:t>Met</w:t>
      </w:r>
      <w:r w:rsidRPr="003D1E07">
        <w:t>.1003a33</w:t>
      </w:r>
      <w:r w:rsidRPr="003D1E07">
        <w:tab/>
        <w:t>114</w:t>
      </w:r>
    </w:p>
    <w:p w14:paraId="4A993357" w14:textId="77777777" w:rsidR="00367E15" w:rsidRPr="003D1E07" w:rsidRDefault="00367E15" w:rsidP="00367E15">
      <w:pPr>
        <w:pStyle w:val="Rejstk2"/>
        <w:tabs>
          <w:tab w:val="right" w:leader="dot" w:pos="4171"/>
        </w:tabs>
        <w:spacing w:line="240" w:lineRule="auto"/>
        <w:ind w:left="0" w:firstLine="0"/>
      </w:pPr>
      <w:r w:rsidRPr="003D1E07">
        <w:rPr>
          <w:i/>
        </w:rPr>
        <w:t>Phys</w:t>
      </w:r>
      <w:r w:rsidRPr="003D1E07">
        <w:t>. 193a3</w:t>
      </w:r>
      <w:r w:rsidRPr="003D1E07">
        <w:tab/>
        <w:t>286</w:t>
      </w:r>
    </w:p>
    <w:p w14:paraId="72537D66" w14:textId="77777777" w:rsidR="00367E15" w:rsidRPr="003D1E07" w:rsidRDefault="00367E15" w:rsidP="00367E15">
      <w:pPr>
        <w:pStyle w:val="Rejstk2"/>
        <w:tabs>
          <w:tab w:val="right" w:leader="dot" w:pos="4171"/>
        </w:tabs>
        <w:spacing w:line="240" w:lineRule="auto"/>
        <w:ind w:left="0" w:firstLine="0"/>
      </w:pPr>
      <w:r w:rsidRPr="003D1E07">
        <w:rPr>
          <w:i/>
        </w:rPr>
        <w:t>Phys</w:t>
      </w:r>
      <w:r w:rsidRPr="003D1E07">
        <w:t>. 193a3‒6</w:t>
      </w:r>
      <w:r w:rsidRPr="003D1E07">
        <w:tab/>
        <w:t>286</w:t>
      </w:r>
    </w:p>
    <w:p w14:paraId="07FEA85F" w14:textId="77777777" w:rsidR="00367E15" w:rsidRPr="003D1E07" w:rsidRDefault="00367E15" w:rsidP="00367E15">
      <w:pPr>
        <w:pStyle w:val="Rejstk2"/>
        <w:tabs>
          <w:tab w:val="right" w:leader="dot" w:pos="4171"/>
        </w:tabs>
        <w:spacing w:line="240" w:lineRule="auto"/>
        <w:ind w:left="0" w:firstLine="0"/>
      </w:pPr>
      <w:r w:rsidRPr="003D1E07">
        <w:rPr>
          <w:i/>
        </w:rPr>
        <w:t>Phys</w:t>
      </w:r>
      <w:r w:rsidRPr="003D1E07">
        <w:t>. 200b33–34</w:t>
      </w:r>
      <w:r w:rsidRPr="003D1E07">
        <w:tab/>
        <w:t>154</w:t>
      </w:r>
    </w:p>
    <w:p w14:paraId="4F8DF0CB" w14:textId="77777777" w:rsidR="00367E15" w:rsidRPr="003D1E07" w:rsidRDefault="00367E15" w:rsidP="00367E15">
      <w:pPr>
        <w:pStyle w:val="Rejstk2"/>
        <w:tabs>
          <w:tab w:val="right" w:leader="dot" w:pos="4171"/>
        </w:tabs>
        <w:spacing w:line="240" w:lineRule="auto"/>
        <w:ind w:left="0" w:firstLine="0"/>
      </w:pPr>
      <w:r w:rsidRPr="003D1E07">
        <w:rPr>
          <w:i/>
        </w:rPr>
        <w:t>Phys</w:t>
      </w:r>
      <w:r w:rsidRPr="003D1E07">
        <w:t>. 209b6–7</w:t>
      </w:r>
      <w:r w:rsidRPr="003D1E07">
        <w:tab/>
        <w:t>161</w:t>
      </w:r>
    </w:p>
    <w:p w14:paraId="135B8300" w14:textId="77777777" w:rsidR="00367E15" w:rsidRPr="003D1E07" w:rsidRDefault="00367E15" w:rsidP="00367E15">
      <w:pPr>
        <w:pStyle w:val="Rejstk2"/>
        <w:tabs>
          <w:tab w:val="right" w:leader="dot" w:pos="4171"/>
        </w:tabs>
        <w:spacing w:line="240" w:lineRule="auto"/>
        <w:ind w:left="0" w:firstLine="0"/>
      </w:pPr>
      <w:r w:rsidRPr="003D1E07">
        <w:rPr>
          <w:i/>
        </w:rPr>
        <w:t>Phys</w:t>
      </w:r>
      <w:r w:rsidRPr="003D1E07">
        <w:t>. 209b6‒7</w:t>
      </w:r>
      <w:r w:rsidRPr="003D1E07">
        <w:tab/>
        <w:t>159</w:t>
      </w:r>
    </w:p>
    <w:p w14:paraId="38BD5604" w14:textId="77777777" w:rsidR="00367E15" w:rsidRPr="003D1E07" w:rsidRDefault="00367E15" w:rsidP="00367E15">
      <w:pPr>
        <w:pStyle w:val="Rejstk2"/>
        <w:tabs>
          <w:tab w:val="right" w:leader="dot" w:pos="4171"/>
        </w:tabs>
        <w:spacing w:line="240" w:lineRule="auto"/>
        <w:ind w:left="0" w:firstLine="0"/>
      </w:pPr>
      <w:r w:rsidRPr="003D1E07">
        <w:rPr>
          <w:i/>
        </w:rPr>
        <w:t>Phys</w:t>
      </w:r>
      <w:r w:rsidRPr="003D1E07">
        <w:t>. 209b8</w:t>
      </w:r>
      <w:r w:rsidRPr="003D1E07">
        <w:tab/>
        <w:t>158</w:t>
      </w:r>
    </w:p>
    <w:p w14:paraId="5299A813" w14:textId="77777777" w:rsidR="00367E15" w:rsidRPr="003D1E07" w:rsidRDefault="00367E15" w:rsidP="00367E15">
      <w:pPr>
        <w:pStyle w:val="Rejstk2"/>
        <w:tabs>
          <w:tab w:val="right" w:leader="dot" w:pos="4171"/>
        </w:tabs>
        <w:spacing w:line="240" w:lineRule="auto"/>
        <w:ind w:left="0" w:firstLine="0"/>
      </w:pPr>
      <w:r w:rsidRPr="003D1E07">
        <w:rPr>
          <w:i/>
        </w:rPr>
        <w:t>Phys</w:t>
      </w:r>
      <w:r w:rsidRPr="003D1E07">
        <w:t>. 209b9</w:t>
      </w:r>
      <w:r w:rsidRPr="003D1E07">
        <w:tab/>
        <w:t>158</w:t>
      </w:r>
    </w:p>
    <w:p w14:paraId="6BD1CBD3" w14:textId="77777777" w:rsidR="00367E15" w:rsidRPr="003D1E07" w:rsidRDefault="00367E15" w:rsidP="00367E15">
      <w:pPr>
        <w:pStyle w:val="Rejstk2"/>
        <w:tabs>
          <w:tab w:val="right" w:leader="dot" w:pos="4171"/>
        </w:tabs>
        <w:spacing w:line="240" w:lineRule="auto"/>
        <w:ind w:left="0" w:firstLine="0"/>
      </w:pPr>
      <w:r w:rsidRPr="003D1E07">
        <w:rPr>
          <w:i/>
        </w:rPr>
        <w:t>Phys</w:t>
      </w:r>
      <w:r w:rsidRPr="003D1E07">
        <w:t>. 219a24–25</w:t>
      </w:r>
      <w:r w:rsidRPr="003D1E07">
        <w:tab/>
        <w:t>154</w:t>
      </w:r>
    </w:p>
    <w:p w14:paraId="6A853F35" w14:textId="77777777" w:rsidR="00367E15" w:rsidRPr="003D1E07" w:rsidRDefault="00367E15" w:rsidP="00367E15">
      <w:pPr>
        <w:pStyle w:val="Rejstk2"/>
        <w:tabs>
          <w:tab w:val="right" w:leader="dot" w:pos="4171"/>
        </w:tabs>
        <w:spacing w:line="240" w:lineRule="auto"/>
        <w:ind w:left="0" w:firstLine="0"/>
      </w:pPr>
      <w:r w:rsidRPr="003D1E07">
        <w:rPr>
          <w:i/>
        </w:rPr>
        <w:t>Phys</w:t>
      </w:r>
      <w:r w:rsidRPr="003D1E07">
        <w:t>. 219a27‒28</w:t>
      </w:r>
      <w:r w:rsidRPr="003D1E07">
        <w:tab/>
        <w:t>155</w:t>
      </w:r>
    </w:p>
    <w:p w14:paraId="14D6C147" w14:textId="77777777" w:rsidR="00367E15" w:rsidRPr="003D1E07" w:rsidRDefault="00367E15" w:rsidP="00367E15">
      <w:pPr>
        <w:pStyle w:val="Rejstk2"/>
        <w:tabs>
          <w:tab w:val="right" w:leader="dot" w:pos="4171"/>
        </w:tabs>
        <w:spacing w:line="240" w:lineRule="auto"/>
        <w:ind w:left="0" w:firstLine="0"/>
      </w:pPr>
      <w:r w:rsidRPr="003D1E07">
        <w:rPr>
          <w:i/>
        </w:rPr>
        <w:t>Phys</w:t>
      </w:r>
      <w:r w:rsidRPr="003D1E07">
        <w:t>. 219a33‒34</w:t>
      </w:r>
      <w:r w:rsidRPr="003D1E07">
        <w:tab/>
        <w:t>155</w:t>
      </w:r>
    </w:p>
    <w:p w14:paraId="0DC17F49" w14:textId="77777777" w:rsidR="00367E15" w:rsidRPr="003D1E07" w:rsidRDefault="00367E15" w:rsidP="00367E15">
      <w:pPr>
        <w:pStyle w:val="Rejstk2"/>
        <w:tabs>
          <w:tab w:val="right" w:leader="dot" w:pos="4171"/>
        </w:tabs>
        <w:spacing w:line="240" w:lineRule="auto"/>
        <w:ind w:left="0" w:firstLine="0"/>
      </w:pPr>
      <w:r w:rsidRPr="003D1E07">
        <w:rPr>
          <w:i/>
        </w:rPr>
        <w:t>Phys</w:t>
      </w:r>
      <w:r w:rsidRPr="003D1E07">
        <w:t>. 219b1</w:t>
      </w:r>
      <w:r w:rsidRPr="003D1E07">
        <w:tab/>
        <w:t>155</w:t>
      </w:r>
    </w:p>
    <w:p w14:paraId="533CD9BA" w14:textId="77777777" w:rsidR="00367E15" w:rsidRPr="003D1E07" w:rsidRDefault="00367E15" w:rsidP="00367E15">
      <w:pPr>
        <w:pStyle w:val="Rejstk2"/>
        <w:tabs>
          <w:tab w:val="right" w:leader="dot" w:pos="4171"/>
        </w:tabs>
        <w:spacing w:line="240" w:lineRule="auto"/>
        <w:ind w:left="0" w:firstLine="0"/>
      </w:pPr>
      <w:r w:rsidRPr="003D1E07">
        <w:rPr>
          <w:i/>
        </w:rPr>
        <w:t>Refut. Soph</w:t>
      </w:r>
      <w:r w:rsidRPr="003D1E07">
        <w:t>. 165a6</w:t>
      </w:r>
      <w:r w:rsidRPr="003D1E07">
        <w:tab/>
        <w:t>83</w:t>
      </w:r>
    </w:p>
    <w:p w14:paraId="607995FA" w14:textId="77777777" w:rsidR="00367E15" w:rsidRPr="003D1E07" w:rsidRDefault="00367E15" w:rsidP="00367E15">
      <w:pPr>
        <w:pStyle w:val="Rejstk2"/>
        <w:tabs>
          <w:tab w:val="right" w:leader="dot" w:pos="4171"/>
        </w:tabs>
        <w:spacing w:line="240" w:lineRule="auto"/>
        <w:ind w:left="0" w:firstLine="0"/>
      </w:pPr>
      <w:r w:rsidRPr="003D1E07">
        <w:rPr>
          <w:i/>
        </w:rPr>
        <w:t>Top</w:t>
      </w:r>
      <w:r w:rsidRPr="003D1E07">
        <w:t>. 144b10–11</w:t>
      </w:r>
      <w:r w:rsidRPr="003D1E07">
        <w:tab/>
        <w:t>91</w:t>
      </w:r>
    </w:p>
    <w:p w14:paraId="337B76C1" w14:textId="77777777" w:rsidR="00367E15" w:rsidRPr="003D1E07" w:rsidRDefault="00367E15" w:rsidP="00367E15">
      <w:pPr>
        <w:pStyle w:val="Rejstk2"/>
        <w:tabs>
          <w:tab w:val="right" w:leader="dot" w:pos="4171"/>
        </w:tabs>
        <w:spacing w:line="240" w:lineRule="auto"/>
        <w:ind w:left="0"/>
        <w:contextualSpacing/>
      </w:pPr>
    </w:p>
    <w:p w14:paraId="2287A946" w14:textId="77777777" w:rsidR="00367E15" w:rsidRPr="003D1E07" w:rsidRDefault="00367E15" w:rsidP="00367E15">
      <w:pPr>
        <w:pStyle w:val="Rejstk2"/>
        <w:tabs>
          <w:tab w:val="right" w:leader="dot" w:pos="4171"/>
        </w:tabs>
        <w:spacing w:line="240" w:lineRule="auto"/>
        <w:ind w:left="0"/>
        <w:contextualSpacing/>
        <w:rPr>
          <w:b/>
        </w:rPr>
      </w:pPr>
      <w:r w:rsidRPr="003D1E07">
        <w:rPr>
          <w:b/>
        </w:rPr>
        <w:t>Antoine Arnauld</w:t>
      </w:r>
    </w:p>
    <w:p w14:paraId="4975B021" w14:textId="77777777" w:rsidR="00367E15" w:rsidRPr="003D1E07" w:rsidRDefault="00367E15" w:rsidP="00367E15">
      <w:pPr>
        <w:pStyle w:val="Rejstk2"/>
        <w:tabs>
          <w:tab w:val="right" w:leader="dot" w:pos="4171"/>
        </w:tabs>
        <w:spacing w:line="240" w:lineRule="auto"/>
        <w:ind w:left="0"/>
        <w:contextualSpacing/>
      </w:pPr>
      <w:r w:rsidRPr="003D1E07">
        <w:rPr>
          <w:i/>
        </w:rPr>
        <w:t>Des vraies et de fausses ideés</w:t>
      </w:r>
      <w:r w:rsidRPr="003D1E07">
        <w:t xml:space="preserve"> 46‒47</w:t>
      </w:r>
      <w:r w:rsidRPr="003D1E07">
        <w:tab/>
        <w:t>447</w:t>
      </w:r>
    </w:p>
    <w:p w14:paraId="42F2C9B0" w14:textId="77777777" w:rsidR="00367E15" w:rsidRPr="003D1E07" w:rsidRDefault="00367E15" w:rsidP="00367E15">
      <w:pPr>
        <w:pStyle w:val="Rejstk2"/>
        <w:tabs>
          <w:tab w:val="right" w:leader="dot" w:pos="4171"/>
        </w:tabs>
        <w:spacing w:line="240" w:lineRule="auto"/>
        <w:ind w:left="0"/>
        <w:contextualSpacing/>
      </w:pPr>
    </w:p>
    <w:p w14:paraId="77304DC2" w14:textId="77777777" w:rsidR="00367E15" w:rsidRPr="003D1E07" w:rsidRDefault="00367E15" w:rsidP="00367E15">
      <w:pPr>
        <w:pStyle w:val="Rejstk2"/>
        <w:tabs>
          <w:tab w:val="right" w:leader="dot" w:pos="4171"/>
        </w:tabs>
        <w:spacing w:line="240" w:lineRule="auto"/>
        <w:ind w:left="0"/>
        <w:contextualSpacing/>
      </w:pPr>
      <w:r w:rsidRPr="003D1E07">
        <w:rPr>
          <w:b/>
        </w:rPr>
        <w:t>Averroes</w:t>
      </w:r>
    </w:p>
    <w:p w14:paraId="1324101A" w14:textId="77777777" w:rsidR="00367E15" w:rsidRPr="003D1E07" w:rsidRDefault="00367E15" w:rsidP="00367E15">
      <w:pPr>
        <w:pStyle w:val="Rejstk2"/>
        <w:tabs>
          <w:tab w:val="right" w:leader="dot" w:pos="4171"/>
        </w:tabs>
        <w:spacing w:line="240" w:lineRule="auto"/>
        <w:ind w:left="0" w:hanging="238"/>
        <w:contextualSpacing/>
      </w:pPr>
      <w:r w:rsidRPr="003D1E07">
        <w:rPr>
          <w:i/>
        </w:rPr>
        <w:t>Averroes On Aristotle’s Metaphysics</w:t>
      </w:r>
      <w:r w:rsidRPr="003D1E07">
        <w:rPr>
          <w:i/>
          <w:lang w:eastAsia="en-US"/>
        </w:rPr>
        <w:t xml:space="preserve"> </w:t>
      </w:r>
      <w:r w:rsidRPr="003D1E07">
        <w:rPr>
          <w:lang w:eastAsia="en-US"/>
        </w:rPr>
        <w:t>109.417</w:t>
      </w:r>
      <w:r w:rsidRPr="003D1E07">
        <w:tab/>
        <w:t>337</w:t>
      </w:r>
    </w:p>
    <w:p w14:paraId="698A7C66" w14:textId="77777777" w:rsidR="00367E15" w:rsidRPr="003D1E07" w:rsidRDefault="00367E15" w:rsidP="00367E15">
      <w:pPr>
        <w:pStyle w:val="Rejstk2"/>
        <w:tabs>
          <w:tab w:val="right" w:leader="dot" w:pos="4171"/>
        </w:tabs>
        <w:spacing w:line="240" w:lineRule="auto"/>
        <w:ind w:left="0"/>
        <w:contextualSpacing/>
      </w:pPr>
      <w:r w:rsidRPr="003D1E07">
        <w:rPr>
          <w:i/>
        </w:rPr>
        <w:t>Averroes On Aristotle’s Metaphysics</w:t>
      </w:r>
      <w:r w:rsidRPr="003D1E07">
        <w:t xml:space="preserve"> 110.423</w:t>
      </w:r>
      <w:r w:rsidRPr="003D1E07">
        <w:tab/>
        <w:t>338</w:t>
      </w:r>
    </w:p>
    <w:p w14:paraId="00D355C9" w14:textId="77777777" w:rsidR="00367E15" w:rsidRPr="003D1E07" w:rsidRDefault="00367E15" w:rsidP="00367E15">
      <w:pPr>
        <w:pStyle w:val="Rejstk2"/>
        <w:tabs>
          <w:tab w:val="right" w:leader="dot" w:pos="4171"/>
        </w:tabs>
        <w:spacing w:line="240" w:lineRule="auto"/>
        <w:ind w:left="0"/>
        <w:contextualSpacing/>
      </w:pPr>
      <w:r w:rsidRPr="003D1E07">
        <w:rPr>
          <w:i/>
        </w:rPr>
        <w:t>Averroes On Aristotle’s Metaphysics</w:t>
      </w:r>
      <w:r w:rsidRPr="003D1E07">
        <w:t xml:space="preserve"> 24.14</w:t>
      </w:r>
      <w:r w:rsidRPr="003D1E07">
        <w:tab/>
        <w:t>367</w:t>
      </w:r>
    </w:p>
    <w:p w14:paraId="468EB5BE" w14:textId="77777777" w:rsidR="00367E15" w:rsidRPr="003D1E07" w:rsidRDefault="00367E15" w:rsidP="00367E15">
      <w:pPr>
        <w:pStyle w:val="Rejstk2"/>
        <w:tabs>
          <w:tab w:val="right" w:leader="dot" w:pos="4171"/>
        </w:tabs>
        <w:spacing w:line="240" w:lineRule="auto"/>
        <w:ind w:left="0"/>
        <w:contextualSpacing/>
      </w:pPr>
      <w:r w:rsidRPr="003D1E07">
        <w:rPr>
          <w:i/>
        </w:rPr>
        <w:t>Averroes On Aristotle’s Metaphysics</w:t>
      </w:r>
      <w:r w:rsidRPr="003D1E07">
        <w:t xml:space="preserve"> 39.77</w:t>
      </w:r>
      <w:r w:rsidRPr="003D1E07">
        <w:tab/>
        <w:t>349</w:t>
      </w:r>
    </w:p>
    <w:p w14:paraId="6BDF1CED" w14:textId="77777777" w:rsidR="00367E15" w:rsidRPr="003D1E07" w:rsidRDefault="00367E15" w:rsidP="00367E15">
      <w:pPr>
        <w:pStyle w:val="Rejstk2"/>
        <w:tabs>
          <w:tab w:val="right" w:leader="dot" w:pos="4171"/>
        </w:tabs>
        <w:spacing w:line="240" w:lineRule="auto"/>
        <w:ind w:left="0"/>
        <w:contextualSpacing/>
      </w:pPr>
      <w:r w:rsidRPr="003D1E07">
        <w:rPr>
          <w:i/>
        </w:rPr>
        <w:t>Averroes On Aristotle’s Metaphysics</w:t>
      </w:r>
      <w:r w:rsidRPr="003D1E07">
        <w:t xml:space="preserve"> 59.205</w:t>
      </w:r>
      <w:r w:rsidRPr="003D1E07">
        <w:tab/>
        <w:t>355</w:t>
      </w:r>
    </w:p>
    <w:p w14:paraId="6965B2C5" w14:textId="77777777" w:rsidR="00367E15" w:rsidRPr="003D1E07" w:rsidRDefault="00367E15" w:rsidP="00367E15">
      <w:pPr>
        <w:pStyle w:val="Rejstk2"/>
        <w:tabs>
          <w:tab w:val="right" w:leader="dot" w:pos="4171"/>
        </w:tabs>
        <w:spacing w:line="240" w:lineRule="auto"/>
        <w:ind w:left="0"/>
        <w:contextualSpacing/>
      </w:pPr>
      <w:r w:rsidRPr="003D1E07">
        <w:rPr>
          <w:i/>
        </w:rPr>
        <w:t>Averroes On Aristotle’s Metaphysics</w:t>
      </w:r>
      <w:r w:rsidRPr="003D1E07">
        <w:t xml:space="preserve"> 77.270</w:t>
      </w:r>
      <w:r w:rsidRPr="003D1E07">
        <w:tab/>
        <w:t>367</w:t>
      </w:r>
    </w:p>
    <w:p w14:paraId="7D882760" w14:textId="77777777" w:rsidR="00367E15" w:rsidRPr="003D1E07" w:rsidRDefault="00367E15" w:rsidP="00367E15">
      <w:pPr>
        <w:pStyle w:val="Rejstk2"/>
        <w:tabs>
          <w:tab w:val="right" w:leader="dot" w:pos="4171"/>
        </w:tabs>
        <w:spacing w:line="240" w:lineRule="auto"/>
        <w:ind w:left="0"/>
        <w:contextualSpacing/>
      </w:pPr>
      <w:r w:rsidRPr="003D1E07">
        <w:rPr>
          <w:i/>
        </w:rPr>
        <w:t>Averroes On Aristotle’s Metaphysics</w:t>
      </w:r>
      <w:r w:rsidRPr="003D1E07">
        <w:t xml:space="preserve"> 82.287</w:t>
      </w:r>
      <w:r w:rsidRPr="003D1E07">
        <w:tab/>
        <w:t>363</w:t>
      </w:r>
    </w:p>
    <w:p w14:paraId="6B5B78B8" w14:textId="77777777" w:rsidR="00367E15" w:rsidRPr="003D1E07" w:rsidRDefault="00367E15" w:rsidP="00367E15">
      <w:pPr>
        <w:pStyle w:val="Rejstk2"/>
        <w:tabs>
          <w:tab w:val="right" w:leader="dot" w:pos="4171"/>
        </w:tabs>
        <w:spacing w:line="240" w:lineRule="auto"/>
        <w:ind w:left="0"/>
        <w:contextualSpacing/>
      </w:pPr>
      <w:r w:rsidRPr="003D1E07">
        <w:rPr>
          <w:i/>
        </w:rPr>
        <w:t>Averroes On Aristotle’s Metaphysics</w:t>
      </w:r>
      <w:r w:rsidRPr="003D1E07">
        <w:t xml:space="preserve"> 89.321–90.323</w:t>
      </w:r>
      <w:r w:rsidRPr="003D1E07">
        <w:tab/>
        <w:t>364</w:t>
      </w:r>
    </w:p>
    <w:p w14:paraId="2F332BF2" w14:textId="77777777" w:rsidR="00367E15" w:rsidRPr="003D1E07" w:rsidRDefault="00367E15" w:rsidP="00367E15">
      <w:pPr>
        <w:pStyle w:val="Rejstk2"/>
        <w:tabs>
          <w:tab w:val="right" w:leader="dot" w:pos="4171"/>
        </w:tabs>
        <w:spacing w:line="240" w:lineRule="auto"/>
        <w:ind w:left="0"/>
        <w:contextualSpacing/>
      </w:pPr>
      <w:r w:rsidRPr="003D1E07">
        <w:rPr>
          <w:i/>
        </w:rPr>
        <w:t>Averroes On Aristotle’s Metaphysics</w:t>
      </w:r>
      <w:r w:rsidRPr="003D1E07">
        <w:t xml:space="preserve"> 90.324</w:t>
      </w:r>
      <w:r w:rsidRPr="003D1E07">
        <w:tab/>
        <w:t>364</w:t>
      </w:r>
    </w:p>
    <w:p w14:paraId="5929BB8E" w14:textId="77777777" w:rsidR="00367E15" w:rsidRPr="003D1E07" w:rsidRDefault="00367E15" w:rsidP="00367E15">
      <w:pPr>
        <w:pStyle w:val="Rejstk2"/>
        <w:tabs>
          <w:tab w:val="right" w:leader="dot" w:pos="4171"/>
        </w:tabs>
        <w:spacing w:line="240" w:lineRule="auto"/>
        <w:ind w:left="0"/>
        <w:contextualSpacing/>
      </w:pPr>
      <w:r w:rsidRPr="003D1E07">
        <w:rPr>
          <w:i/>
        </w:rPr>
        <w:t>Averroes On Aristotle’s Metaphysics</w:t>
      </w:r>
      <w:r w:rsidRPr="003D1E07">
        <w:t xml:space="preserve"> 90.326</w:t>
      </w:r>
      <w:r w:rsidRPr="003D1E07">
        <w:tab/>
        <w:t>365</w:t>
      </w:r>
    </w:p>
    <w:p w14:paraId="310D0BDB" w14:textId="77777777" w:rsidR="00367E15" w:rsidRPr="003D1E07" w:rsidRDefault="00367E15" w:rsidP="00367E15">
      <w:pPr>
        <w:pStyle w:val="Rejstk2"/>
        <w:tabs>
          <w:tab w:val="right" w:leader="dot" w:pos="4171"/>
        </w:tabs>
        <w:spacing w:line="240" w:lineRule="auto"/>
        <w:ind w:left="0"/>
        <w:contextualSpacing/>
      </w:pPr>
      <w:r w:rsidRPr="003D1E07">
        <w:rPr>
          <w:i/>
        </w:rPr>
        <w:t>Averroes On Aristotle’s Metaphysics</w:t>
      </w:r>
      <w:r w:rsidRPr="003D1E07">
        <w:t xml:space="preserve"> 92.328</w:t>
      </w:r>
      <w:r w:rsidRPr="003D1E07">
        <w:tab/>
        <w:t>366</w:t>
      </w:r>
    </w:p>
    <w:p w14:paraId="5C8C9F28" w14:textId="77777777" w:rsidR="00367E15" w:rsidRPr="003D1E07" w:rsidRDefault="00367E15" w:rsidP="00367E15">
      <w:pPr>
        <w:pStyle w:val="Rejstk2"/>
        <w:tabs>
          <w:tab w:val="right" w:leader="dot" w:pos="4171"/>
        </w:tabs>
        <w:spacing w:line="240" w:lineRule="auto"/>
        <w:ind w:left="0"/>
        <w:contextualSpacing/>
      </w:pPr>
      <w:r w:rsidRPr="003D1E07">
        <w:t>CMDA 118.77‒79</w:t>
      </w:r>
      <w:r w:rsidRPr="003D1E07">
        <w:tab/>
        <w:t>398</w:t>
      </w:r>
    </w:p>
    <w:p w14:paraId="19C2B021" w14:textId="77777777" w:rsidR="00367E15" w:rsidRPr="003D1E07" w:rsidRDefault="00367E15" w:rsidP="00367E15">
      <w:pPr>
        <w:pStyle w:val="Rejstk2"/>
        <w:tabs>
          <w:tab w:val="right" w:leader="dot" w:pos="4171"/>
        </w:tabs>
        <w:spacing w:line="240" w:lineRule="auto"/>
        <w:ind w:left="0"/>
        <w:contextualSpacing/>
      </w:pPr>
      <w:r w:rsidRPr="003D1E07">
        <w:t>CMDA 12.21–26</w:t>
      </w:r>
      <w:r w:rsidRPr="003D1E07">
        <w:tab/>
        <w:t>368</w:t>
      </w:r>
    </w:p>
    <w:p w14:paraId="5CEB995C" w14:textId="77777777" w:rsidR="00367E15" w:rsidRPr="003D1E07" w:rsidRDefault="00367E15" w:rsidP="00367E15">
      <w:pPr>
        <w:pStyle w:val="Rejstk2"/>
        <w:tabs>
          <w:tab w:val="right" w:leader="dot" w:pos="4171"/>
        </w:tabs>
        <w:spacing w:line="240" w:lineRule="auto"/>
        <w:ind w:left="0"/>
        <w:contextualSpacing/>
      </w:pPr>
      <w:r w:rsidRPr="003D1E07">
        <w:t>CMDA 120.41‒44</w:t>
      </w:r>
      <w:r w:rsidRPr="003D1E07">
        <w:tab/>
        <w:t>399</w:t>
      </w:r>
    </w:p>
    <w:p w14:paraId="5567412D" w14:textId="77777777" w:rsidR="00367E15" w:rsidRPr="003D1E07" w:rsidRDefault="00367E15" w:rsidP="00367E15">
      <w:pPr>
        <w:pStyle w:val="Rejstk2"/>
        <w:tabs>
          <w:tab w:val="right" w:leader="dot" w:pos="4171"/>
        </w:tabs>
        <w:spacing w:line="240" w:lineRule="auto"/>
        <w:ind w:left="0"/>
        <w:contextualSpacing/>
      </w:pPr>
      <w:r w:rsidRPr="003D1E07">
        <w:t>CMDA 123.25–32</w:t>
      </w:r>
      <w:r w:rsidRPr="003D1E07">
        <w:tab/>
        <w:t>409</w:t>
      </w:r>
    </w:p>
    <w:p w14:paraId="753C449E" w14:textId="77777777" w:rsidR="00367E15" w:rsidRPr="003D1E07" w:rsidRDefault="00367E15" w:rsidP="00367E15">
      <w:pPr>
        <w:pStyle w:val="Rejstk2"/>
        <w:tabs>
          <w:tab w:val="right" w:leader="dot" w:pos="4171"/>
        </w:tabs>
        <w:spacing w:line="240" w:lineRule="auto"/>
        <w:ind w:left="0"/>
        <w:contextualSpacing/>
      </w:pPr>
      <w:r w:rsidRPr="003D1E07">
        <w:t>CMDA 210.29‒37</w:t>
      </w:r>
      <w:r w:rsidRPr="003D1E07">
        <w:tab/>
        <w:t>376</w:t>
      </w:r>
    </w:p>
    <w:p w14:paraId="24216978" w14:textId="77777777" w:rsidR="00367E15" w:rsidRPr="003D1E07" w:rsidRDefault="00367E15" w:rsidP="00367E15">
      <w:pPr>
        <w:pStyle w:val="Rejstk2"/>
        <w:tabs>
          <w:tab w:val="right" w:leader="dot" w:pos="4171"/>
        </w:tabs>
        <w:spacing w:line="240" w:lineRule="auto"/>
        <w:ind w:left="0"/>
        <w:contextualSpacing/>
      </w:pPr>
      <w:r w:rsidRPr="003D1E07">
        <w:t>CMDA 225.44–50</w:t>
      </w:r>
      <w:r w:rsidRPr="003D1E07">
        <w:tab/>
        <w:t>389</w:t>
      </w:r>
    </w:p>
    <w:p w14:paraId="30D7F50A" w14:textId="77777777" w:rsidR="00367E15" w:rsidRPr="003D1E07" w:rsidRDefault="00367E15" w:rsidP="00367E15">
      <w:pPr>
        <w:pStyle w:val="Rejstk2"/>
        <w:tabs>
          <w:tab w:val="right" w:leader="dot" w:pos="4171"/>
        </w:tabs>
        <w:spacing w:line="240" w:lineRule="auto"/>
        <w:ind w:left="0"/>
        <w:contextualSpacing/>
      </w:pPr>
      <w:r w:rsidRPr="003D1E07">
        <w:t>CMDA 225.53–55</w:t>
      </w:r>
      <w:r w:rsidRPr="003D1E07">
        <w:tab/>
        <w:t>388</w:t>
      </w:r>
    </w:p>
    <w:p w14:paraId="67E04F4E" w14:textId="77777777" w:rsidR="00367E15" w:rsidRPr="003D1E07" w:rsidRDefault="00367E15" w:rsidP="00367E15">
      <w:pPr>
        <w:pStyle w:val="Rejstk2"/>
        <w:tabs>
          <w:tab w:val="right" w:leader="dot" w:pos="4171"/>
        </w:tabs>
        <w:spacing w:line="240" w:lineRule="auto"/>
        <w:ind w:left="0"/>
        <w:contextualSpacing/>
      </w:pPr>
      <w:r w:rsidRPr="003D1E07">
        <w:t>CMDA 232.45–49</w:t>
      </w:r>
      <w:r w:rsidRPr="003D1E07">
        <w:tab/>
        <w:t>442</w:t>
      </w:r>
    </w:p>
    <w:p w14:paraId="234F58E7" w14:textId="77777777" w:rsidR="00367E15" w:rsidRPr="003D1E07" w:rsidRDefault="00367E15" w:rsidP="00367E15">
      <w:pPr>
        <w:pStyle w:val="Rejstk2"/>
        <w:tabs>
          <w:tab w:val="right" w:leader="dot" w:pos="4171"/>
        </w:tabs>
        <w:spacing w:line="240" w:lineRule="auto"/>
        <w:ind w:left="0"/>
        <w:contextualSpacing/>
      </w:pPr>
      <w:r w:rsidRPr="003D1E07">
        <w:t>CMDA 232.68–233.74</w:t>
      </w:r>
      <w:r w:rsidRPr="003D1E07">
        <w:tab/>
        <w:t>443</w:t>
      </w:r>
    </w:p>
    <w:p w14:paraId="3612492B" w14:textId="77777777" w:rsidR="00367E15" w:rsidRPr="003D1E07" w:rsidRDefault="00367E15" w:rsidP="00367E15">
      <w:pPr>
        <w:pStyle w:val="Rejstk2"/>
        <w:tabs>
          <w:tab w:val="right" w:leader="dot" w:pos="4171"/>
        </w:tabs>
        <w:spacing w:line="240" w:lineRule="auto"/>
        <w:ind w:left="0"/>
        <w:contextualSpacing/>
      </w:pPr>
      <w:r w:rsidRPr="003D1E07">
        <w:t>CMDA 243.47‒54</w:t>
      </w:r>
      <w:r w:rsidRPr="003D1E07">
        <w:tab/>
        <w:t>451</w:t>
      </w:r>
    </w:p>
    <w:p w14:paraId="768DD9C0" w14:textId="77777777" w:rsidR="00367E15" w:rsidRPr="003D1E07" w:rsidRDefault="00367E15" w:rsidP="00367E15">
      <w:pPr>
        <w:pStyle w:val="Rejstk2"/>
        <w:tabs>
          <w:tab w:val="right" w:leader="dot" w:pos="4171"/>
        </w:tabs>
        <w:spacing w:line="240" w:lineRule="auto"/>
        <w:ind w:left="0"/>
        <w:contextualSpacing/>
      </w:pPr>
      <w:r w:rsidRPr="003D1E07">
        <w:t>CMDA 277.27–33</w:t>
      </w:r>
      <w:r w:rsidRPr="003D1E07">
        <w:tab/>
        <w:t>444</w:t>
      </w:r>
    </w:p>
    <w:p w14:paraId="3AE78081" w14:textId="77777777" w:rsidR="00367E15" w:rsidRPr="003D1E07" w:rsidRDefault="00367E15" w:rsidP="00367E15">
      <w:pPr>
        <w:pStyle w:val="Rejstk2"/>
        <w:tabs>
          <w:tab w:val="right" w:leader="dot" w:pos="4171"/>
        </w:tabs>
        <w:spacing w:line="240" w:lineRule="auto"/>
        <w:ind w:left="0"/>
        <w:contextualSpacing/>
      </w:pPr>
      <w:r w:rsidRPr="003D1E07">
        <w:t>CMDA 317.17‒20</w:t>
      </w:r>
      <w:r w:rsidRPr="003D1E07">
        <w:tab/>
        <w:t>384, 449</w:t>
      </w:r>
    </w:p>
    <w:p w14:paraId="5E39A21D" w14:textId="77777777" w:rsidR="00367E15" w:rsidRPr="003D1E07" w:rsidRDefault="00367E15" w:rsidP="00367E15">
      <w:pPr>
        <w:pStyle w:val="Rejstk2"/>
        <w:tabs>
          <w:tab w:val="right" w:leader="dot" w:pos="4171"/>
        </w:tabs>
        <w:spacing w:line="240" w:lineRule="auto"/>
        <w:ind w:left="0"/>
        <w:contextualSpacing/>
      </w:pPr>
      <w:r w:rsidRPr="003D1E07">
        <w:t>CMDA 317.32‒35</w:t>
      </w:r>
      <w:r w:rsidRPr="003D1E07">
        <w:tab/>
        <w:t>384</w:t>
      </w:r>
    </w:p>
    <w:p w14:paraId="640D16CA" w14:textId="77777777" w:rsidR="00367E15" w:rsidRPr="003D1E07" w:rsidRDefault="00367E15" w:rsidP="00367E15">
      <w:pPr>
        <w:pStyle w:val="Rejstk2"/>
        <w:tabs>
          <w:tab w:val="right" w:leader="dot" w:pos="4171"/>
        </w:tabs>
        <w:spacing w:line="240" w:lineRule="auto"/>
        <w:ind w:left="0"/>
        <w:contextualSpacing/>
      </w:pPr>
      <w:r w:rsidRPr="003D1E07">
        <w:t>CMDA 382.26–30</w:t>
      </w:r>
      <w:r w:rsidRPr="003D1E07">
        <w:tab/>
        <w:t>377</w:t>
      </w:r>
    </w:p>
    <w:p w14:paraId="65301E92" w14:textId="77777777" w:rsidR="00367E15" w:rsidRPr="003D1E07" w:rsidRDefault="00367E15" w:rsidP="00367E15">
      <w:pPr>
        <w:pStyle w:val="Rejstk2"/>
        <w:tabs>
          <w:tab w:val="right" w:leader="dot" w:pos="4171"/>
        </w:tabs>
        <w:spacing w:line="240" w:lineRule="auto"/>
        <w:ind w:left="0"/>
        <w:contextualSpacing/>
      </w:pPr>
      <w:r w:rsidRPr="003D1E07">
        <w:t>CMDA 392.152–53</w:t>
      </w:r>
      <w:r w:rsidRPr="003D1E07">
        <w:tab/>
        <w:t>382</w:t>
      </w:r>
    </w:p>
    <w:p w14:paraId="0211A30E" w14:textId="77777777" w:rsidR="00367E15" w:rsidRPr="003D1E07" w:rsidRDefault="00367E15" w:rsidP="00367E15">
      <w:pPr>
        <w:pStyle w:val="Rejstk2"/>
        <w:tabs>
          <w:tab w:val="right" w:leader="dot" w:pos="4171"/>
        </w:tabs>
        <w:spacing w:line="240" w:lineRule="auto"/>
        <w:ind w:left="0"/>
        <w:contextualSpacing/>
      </w:pPr>
      <w:r w:rsidRPr="003D1E07">
        <w:t>CMDA 394.217–19</w:t>
      </w:r>
      <w:r w:rsidRPr="003D1E07">
        <w:tab/>
        <w:t>386</w:t>
      </w:r>
    </w:p>
    <w:p w14:paraId="79A905A8" w14:textId="77777777" w:rsidR="00367E15" w:rsidRPr="003D1E07" w:rsidRDefault="00367E15" w:rsidP="00367E15">
      <w:pPr>
        <w:pStyle w:val="Rejstk2"/>
        <w:tabs>
          <w:tab w:val="right" w:leader="dot" w:pos="4171"/>
        </w:tabs>
        <w:spacing w:line="240" w:lineRule="auto"/>
        <w:ind w:left="0"/>
        <w:contextualSpacing/>
      </w:pPr>
      <w:r w:rsidRPr="003D1E07">
        <w:t>CMDA 396.282–83</w:t>
      </w:r>
      <w:r w:rsidRPr="003D1E07">
        <w:tab/>
        <w:t>379</w:t>
      </w:r>
    </w:p>
    <w:p w14:paraId="644AF95D" w14:textId="77777777" w:rsidR="00367E15" w:rsidRPr="003D1E07" w:rsidRDefault="00367E15" w:rsidP="00367E15">
      <w:pPr>
        <w:pStyle w:val="Rejstk2"/>
        <w:tabs>
          <w:tab w:val="right" w:leader="dot" w:pos="4171"/>
        </w:tabs>
        <w:spacing w:line="240" w:lineRule="auto"/>
        <w:ind w:left="0"/>
        <w:contextualSpacing/>
      </w:pPr>
      <w:r w:rsidRPr="003D1E07">
        <w:t>CMDA 398.340–43</w:t>
      </w:r>
      <w:r w:rsidRPr="003D1E07">
        <w:tab/>
        <w:t>383</w:t>
      </w:r>
    </w:p>
    <w:p w14:paraId="2B4D54F4" w14:textId="77777777" w:rsidR="00367E15" w:rsidRPr="003D1E07" w:rsidRDefault="00367E15" w:rsidP="00367E15">
      <w:pPr>
        <w:pStyle w:val="Rejstk2"/>
        <w:tabs>
          <w:tab w:val="right" w:leader="dot" w:pos="4171"/>
        </w:tabs>
        <w:spacing w:line="240" w:lineRule="auto"/>
        <w:ind w:left="0"/>
        <w:contextualSpacing/>
      </w:pPr>
      <w:r w:rsidRPr="003D1E07">
        <w:t>CMDA 401.424‒402.431</w:t>
      </w:r>
      <w:r w:rsidRPr="003D1E07">
        <w:tab/>
        <w:t>402</w:t>
      </w:r>
    </w:p>
    <w:p w14:paraId="50C0EB42" w14:textId="77777777" w:rsidR="00367E15" w:rsidRPr="003D1E07" w:rsidRDefault="00367E15" w:rsidP="00367E15">
      <w:pPr>
        <w:pStyle w:val="Rejstk2"/>
        <w:tabs>
          <w:tab w:val="right" w:leader="dot" w:pos="4171"/>
        </w:tabs>
        <w:spacing w:line="240" w:lineRule="auto"/>
        <w:ind w:left="0"/>
        <w:contextualSpacing/>
      </w:pPr>
      <w:r w:rsidRPr="003D1E07">
        <w:t>CMDA 404.501‒503</w:t>
      </w:r>
      <w:r w:rsidRPr="003D1E07">
        <w:tab/>
        <w:t>405</w:t>
      </w:r>
    </w:p>
    <w:p w14:paraId="140E1BEB" w14:textId="77777777" w:rsidR="00367E15" w:rsidRPr="003D1E07" w:rsidRDefault="00367E15" w:rsidP="00367E15">
      <w:pPr>
        <w:pStyle w:val="Rejstk2"/>
        <w:tabs>
          <w:tab w:val="right" w:leader="dot" w:pos="4171"/>
        </w:tabs>
        <w:spacing w:line="240" w:lineRule="auto"/>
        <w:ind w:left="0"/>
        <w:contextualSpacing/>
      </w:pPr>
      <w:r w:rsidRPr="003D1E07">
        <w:t>CMDA 404.507–12</w:t>
      </w:r>
      <w:r w:rsidRPr="003D1E07">
        <w:tab/>
        <w:t>388</w:t>
      </w:r>
    </w:p>
    <w:p w14:paraId="7C51D125" w14:textId="77777777" w:rsidR="00367E15" w:rsidRPr="003D1E07" w:rsidRDefault="00367E15" w:rsidP="00367E15">
      <w:pPr>
        <w:pStyle w:val="Rejstk2"/>
        <w:tabs>
          <w:tab w:val="right" w:leader="dot" w:pos="4171"/>
        </w:tabs>
        <w:spacing w:line="240" w:lineRule="auto"/>
        <w:ind w:left="0"/>
        <w:contextualSpacing/>
      </w:pPr>
      <w:r w:rsidRPr="003D1E07">
        <w:t>CMDA 405.528–33</w:t>
      </w:r>
      <w:r w:rsidRPr="003D1E07">
        <w:tab/>
        <w:t>411</w:t>
      </w:r>
    </w:p>
    <w:p w14:paraId="69D18348" w14:textId="77777777" w:rsidR="00367E15" w:rsidRPr="003D1E07" w:rsidRDefault="00367E15" w:rsidP="00367E15">
      <w:pPr>
        <w:pStyle w:val="Rejstk2"/>
        <w:tabs>
          <w:tab w:val="right" w:leader="dot" w:pos="4171"/>
        </w:tabs>
        <w:spacing w:line="240" w:lineRule="auto"/>
        <w:ind w:left="0"/>
        <w:contextualSpacing/>
      </w:pPr>
      <w:r w:rsidRPr="003D1E07">
        <w:t>CMDA 405.528–533</w:t>
      </w:r>
      <w:r w:rsidRPr="003D1E07">
        <w:tab/>
        <w:t>424</w:t>
      </w:r>
    </w:p>
    <w:p w14:paraId="25A65153" w14:textId="77777777" w:rsidR="00367E15" w:rsidRPr="003D1E07" w:rsidRDefault="00367E15" w:rsidP="00367E15">
      <w:pPr>
        <w:pStyle w:val="Rejstk2"/>
        <w:tabs>
          <w:tab w:val="right" w:leader="dot" w:pos="4171"/>
        </w:tabs>
        <w:spacing w:line="240" w:lineRule="auto"/>
        <w:ind w:left="0"/>
        <w:contextualSpacing/>
      </w:pPr>
      <w:r w:rsidRPr="003D1E07">
        <w:t>CMDA 406.575‒407.581</w:t>
      </w:r>
      <w:r w:rsidRPr="003D1E07">
        <w:tab/>
        <w:t>403</w:t>
      </w:r>
    </w:p>
    <w:p w14:paraId="788AB3C4" w14:textId="77777777" w:rsidR="00367E15" w:rsidRPr="003D1E07" w:rsidRDefault="00367E15" w:rsidP="00367E15">
      <w:pPr>
        <w:pStyle w:val="Rejstk2"/>
        <w:tabs>
          <w:tab w:val="right" w:leader="dot" w:pos="4171"/>
        </w:tabs>
        <w:spacing w:line="240" w:lineRule="auto"/>
        <w:ind w:left="0"/>
        <w:contextualSpacing/>
      </w:pPr>
      <w:r w:rsidRPr="003D1E07">
        <w:t>CMDA 406–409</w:t>
      </w:r>
      <w:r w:rsidRPr="003D1E07">
        <w:tab/>
        <w:t>382</w:t>
      </w:r>
    </w:p>
    <w:p w14:paraId="7C1F6581" w14:textId="77777777" w:rsidR="00367E15" w:rsidRPr="003D1E07" w:rsidRDefault="00367E15" w:rsidP="00367E15">
      <w:pPr>
        <w:pStyle w:val="Rejstk2"/>
        <w:tabs>
          <w:tab w:val="right" w:leader="dot" w:pos="4171"/>
        </w:tabs>
        <w:spacing w:line="240" w:lineRule="auto"/>
        <w:ind w:left="0"/>
        <w:contextualSpacing/>
      </w:pPr>
      <w:r w:rsidRPr="003D1E07">
        <w:lastRenderedPageBreak/>
        <w:t>CMDA 407.594–600</w:t>
      </w:r>
      <w:r w:rsidRPr="003D1E07">
        <w:tab/>
        <w:t>420</w:t>
      </w:r>
    </w:p>
    <w:p w14:paraId="5B85F714" w14:textId="77777777" w:rsidR="00367E15" w:rsidRPr="003D1E07" w:rsidRDefault="00367E15" w:rsidP="00367E15">
      <w:pPr>
        <w:pStyle w:val="Rejstk2"/>
        <w:tabs>
          <w:tab w:val="right" w:leader="dot" w:pos="4171"/>
        </w:tabs>
        <w:spacing w:line="240" w:lineRule="auto"/>
        <w:ind w:left="0"/>
        <w:contextualSpacing/>
      </w:pPr>
      <w:r w:rsidRPr="003D1E07">
        <w:t>CMDA 408.610–15</w:t>
      </w:r>
      <w:r w:rsidRPr="003D1E07">
        <w:tab/>
        <w:t>422</w:t>
      </w:r>
    </w:p>
    <w:p w14:paraId="3D64A5CA" w14:textId="77777777" w:rsidR="00367E15" w:rsidRPr="003D1E07" w:rsidRDefault="00367E15" w:rsidP="00367E15">
      <w:pPr>
        <w:pStyle w:val="Rejstk2"/>
        <w:tabs>
          <w:tab w:val="right" w:leader="dot" w:pos="4171"/>
        </w:tabs>
        <w:spacing w:line="240" w:lineRule="auto"/>
        <w:ind w:left="0"/>
        <w:contextualSpacing/>
      </w:pPr>
      <w:r w:rsidRPr="003D1E07">
        <w:t>CMDA 409.654–62</w:t>
      </w:r>
      <w:r w:rsidRPr="003D1E07">
        <w:tab/>
        <w:t>416</w:t>
      </w:r>
    </w:p>
    <w:p w14:paraId="593902F5" w14:textId="77777777" w:rsidR="00367E15" w:rsidRPr="003D1E07" w:rsidRDefault="00367E15" w:rsidP="00367E15">
      <w:pPr>
        <w:pStyle w:val="Rejstk2"/>
        <w:tabs>
          <w:tab w:val="right" w:leader="dot" w:pos="4171"/>
        </w:tabs>
        <w:spacing w:line="240" w:lineRule="auto"/>
        <w:ind w:left="0"/>
        <w:contextualSpacing/>
      </w:pPr>
      <w:r w:rsidRPr="003D1E07">
        <w:t>CMDA 411.693–702</w:t>
      </w:r>
      <w:r w:rsidRPr="003D1E07">
        <w:tab/>
        <w:t>452</w:t>
      </w:r>
    </w:p>
    <w:p w14:paraId="7B336344" w14:textId="77777777" w:rsidR="00367E15" w:rsidRPr="003D1E07" w:rsidRDefault="00367E15" w:rsidP="00367E15">
      <w:pPr>
        <w:pStyle w:val="Rejstk2"/>
        <w:tabs>
          <w:tab w:val="right" w:leader="dot" w:pos="4171"/>
        </w:tabs>
        <w:spacing w:line="240" w:lineRule="auto"/>
        <w:ind w:left="0"/>
        <w:contextualSpacing/>
      </w:pPr>
      <w:r w:rsidRPr="003D1E07">
        <w:t>CMDA 415.62‒68</w:t>
      </w:r>
      <w:r w:rsidRPr="003D1E07">
        <w:tab/>
        <w:t>390, 419</w:t>
      </w:r>
    </w:p>
    <w:p w14:paraId="7D7427FA" w14:textId="77777777" w:rsidR="00367E15" w:rsidRPr="003D1E07" w:rsidRDefault="00367E15" w:rsidP="00367E15">
      <w:pPr>
        <w:pStyle w:val="Rejstk2"/>
        <w:tabs>
          <w:tab w:val="right" w:leader="dot" w:pos="4171"/>
        </w:tabs>
        <w:spacing w:line="240" w:lineRule="auto"/>
        <w:ind w:left="0"/>
        <w:contextualSpacing/>
      </w:pPr>
      <w:r w:rsidRPr="003D1E07">
        <w:t>CMDA 422.47–50</w:t>
      </w:r>
      <w:r w:rsidRPr="003D1E07">
        <w:tab/>
        <w:t>383</w:t>
      </w:r>
    </w:p>
    <w:p w14:paraId="6C2EA0D2" w14:textId="77777777" w:rsidR="00367E15" w:rsidRPr="003D1E07" w:rsidRDefault="00367E15" w:rsidP="00367E15">
      <w:pPr>
        <w:pStyle w:val="Rejstk2"/>
        <w:tabs>
          <w:tab w:val="right" w:leader="dot" w:pos="4171"/>
        </w:tabs>
        <w:spacing w:line="240" w:lineRule="auto"/>
        <w:ind w:left="0"/>
        <w:contextualSpacing/>
      </w:pPr>
      <w:r w:rsidRPr="003D1E07">
        <w:t>CMDA 430.50–54</w:t>
      </w:r>
      <w:r w:rsidRPr="003D1E07">
        <w:tab/>
        <w:t>384</w:t>
      </w:r>
    </w:p>
    <w:p w14:paraId="53DC93FF" w14:textId="77777777" w:rsidR="00367E15" w:rsidRPr="003D1E07" w:rsidRDefault="00367E15" w:rsidP="00367E15">
      <w:pPr>
        <w:pStyle w:val="Rejstk2"/>
        <w:tabs>
          <w:tab w:val="right" w:leader="dot" w:pos="4171"/>
        </w:tabs>
        <w:spacing w:line="240" w:lineRule="auto"/>
        <w:ind w:left="0"/>
        <w:contextualSpacing/>
      </w:pPr>
      <w:r w:rsidRPr="003D1E07">
        <w:t>CMDA 433.149‒53</w:t>
      </w:r>
      <w:r w:rsidRPr="003D1E07">
        <w:tab/>
        <w:t>343</w:t>
      </w:r>
    </w:p>
    <w:p w14:paraId="50267347" w14:textId="77777777" w:rsidR="00367E15" w:rsidRPr="003D1E07" w:rsidRDefault="00367E15" w:rsidP="00367E15">
      <w:pPr>
        <w:pStyle w:val="Rejstk2"/>
        <w:tabs>
          <w:tab w:val="right" w:leader="dot" w:pos="4171"/>
        </w:tabs>
        <w:spacing w:line="240" w:lineRule="auto"/>
        <w:ind w:left="0"/>
        <w:contextualSpacing/>
      </w:pPr>
      <w:r w:rsidRPr="003D1E07">
        <w:t>CMDA 436.8–13</w:t>
      </w:r>
      <w:r w:rsidRPr="003D1E07">
        <w:tab/>
        <w:t>429</w:t>
      </w:r>
    </w:p>
    <w:p w14:paraId="6E215C3B" w14:textId="77777777" w:rsidR="00367E15" w:rsidRPr="003D1E07" w:rsidRDefault="00367E15" w:rsidP="00367E15">
      <w:pPr>
        <w:pStyle w:val="Rejstk2"/>
        <w:tabs>
          <w:tab w:val="right" w:leader="dot" w:pos="4171"/>
        </w:tabs>
        <w:spacing w:line="240" w:lineRule="auto"/>
        <w:ind w:left="0"/>
        <w:contextualSpacing/>
      </w:pPr>
      <w:r w:rsidRPr="003D1E07">
        <w:t>CMDA 437.18–438.24</w:t>
      </w:r>
      <w:r w:rsidRPr="003D1E07">
        <w:tab/>
        <w:t>414</w:t>
      </w:r>
    </w:p>
    <w:p w14:paraId="10DC43CA" w14:textId="77777777" w:rsidR="00367E15" w:rsidRPr="003D1E07" w:rsidRDefault="00367E15" w:rsidP="00367E15">
      <w:pPr>
        <w:pStyle w:val="Rejstk2"/>
        <w:tabs>
          <w:tab w:val="right" w:leader="dot" w:pos="4171"/>
        </w:tabs>
        <w:spacing w:line="240" w:lineRule="auto"/>
        <w:ind w:left="0"/>
        <w:contextualSpacing/>
      </w:pPr>
      <w:r w:rsidRPr="003D1E07">
        <w:t>CMDA 439.71–76</w:t>
      </w:r>
      <w:r w:rsidRPr="003D1E07">
        <w:tab/>
        <w:t>396</w:t>
      </w:r>
    </w:p>
    <w:p w14:paraId="6D2155B3" w14:textId="77777777" w:rsidR="00367E15" w:rsidRPr="003D1E07" w:rsidRDefault="00367E15" w:rsidP="00367E15">
      <w:pPr>
        <w:pStyle w:val="Rejstk2"/>
        <w:tabs>
          <w:tab w:val="right" w:leader="dot" w:pos="4171"/>
        </w:tabs>
        <w:spacing w:line="240" w:lineRule="auto"/>
        <w:ind w:left="0"/>
        <w:contextualSpacing/>
      </w:pPr>
      <w:r w:rsidRPr="003D1E07">
        <w:t>CMDA 440.96‒98</w:t>
      </w:r>
      <w:r w:rsidRPr="003D1E07">
        <w:tab/>
        <w:t>105</w:t>
      </w:r>
    </w:p>
    <w:p w14:paraId="32E1B282" w14:textId="77777777" w:rsidR="00367E15" w:rsidRPr="003D1E07" w:rsidRDefault="00367E15" w:rsidP="00367E15">
      <w:pPr>
        <w:pStyle w:val="Rejstk2"/>
        <w:tabs>
          <w:tab w:val="right" w:leader="dot" w:pos="4171"/>
        </w:tabs>
        <w:spacing w:line="240" w:lineRule="auto"/>
        <w:ind w:left="0"/>
        <w:contextualSpacing/>
      </w:pPr>
      <w:r w:rsidRPr="003D1E07">
        <w:t>CMDA 443.1–8</w:t>
      </w:r>
      <w:r w:rsidRPr="003D1E07">
        <w:tab/>
        <w:t>430</w:t>
      </w:r>
    </w:p>
    <w:p w14:paraId="1789F015" w14:textId="77777777" w:rsidR="00367E15" w:rsidRPr="003D1E07" w:rsidRDefault="00367E15" w:rsidP="00367E15">
      <w:pPr>
        <w:pStyle w:val="Rejstk2"/>
        <w:tabs>
          <w:tab w:val="right" w:leader="dot" w:pos="4171"/>
        </w:tabs>
        <w:spacing w:line="240" w:lineRule="auto"/>
        <w:ind w:left="0"/>
        <w:contextualSpacing/>
      </w:pPr>
      <w:r w:rsidRPr="003D1E07">
        <w:t>CMDA 444.13–18</w:t>
      </w:r>
      <w:r w:rsidRPr="003D1E07">
        <w:tab/>
        <w:t>425</w:t>
      </w:r>
    </w:p>
    <w:p w14:paraId="21CC1AB7" w14:textId="77777777" w:rsidR="00367E15" w:rsidRPr="003D1E07" w:rsidRDefault="00367E15" w:rsidP="00367E15">
      <w:pPr>
        <w:pStyle w:val="Rejstk2"/>
        <w:tabs>
          <w:tab w:val="right" w:leader="dot" w:pos="4171"/>
        </w:tabs>
        <w:spacing w:line="240" w:lineRule="auto"/>
        <w:ind w:left="0"/>
        <w:contextualSpacing/>
      </w:pPr>
      <w:r w:rsidRPr="003D1E07">
        <w:t>CMDA 446.93–447.97</w:t>
      </w:r>
      <w:r w:rsidRPr="003D1E07">
        <w:tab/>
        <w:t>426</w:t>
      </w:r>
    </w:p>
    <w:p w14:paraId="2E29A417" w14:textId="77777777" w:rsidR="00367E15" w:rsidRPr="003D1E07" w:rsidRDefault="00367E15" w:rsidP="00367E15">
      <w:pPr>
        <w:pStyle w:val="Rejstk2"/>
        <w:tabs>
          <w:tab w:val="right" w:leader="dot" w:pos="4171"/>
        </w:tabs>
        <w:spacing w:line="240" w:lineRule="auto"/>
        <w:ind w:left="0"/>
        <w:contextualSpacing/>
      </w:pPr>
      <w:r w:rsidRPr="003D1E07">
        <w:t>CMDA 447.106–13</w:t>
      </w:r>
      <w:r w:rsidRPr="003D1E07">
        <w:tab/>
        <w:t>427</w:t>
      </w:r>
    </w:p>
    <w:p w14:paraId="0E88D662" w14:textId="77777777" w:rsidR="00367E15" w:rsidRPr="003D1E07" w:rsidRDefault="00367E15" w:rsidP="00367E15">
      <w:pPr>
        <w:pStyle w:val="Rejstk2"/>
        <w:tabs>
          <w:tab w:val="right" w:leader="dot" w:pos="4171"/>
        </w:tabs>
        <w:spacing w:line="240" w:lineRule="auto"/>
        <w:ind w:left="0"/>
        <w:contextualSpacing/>
      </w:pPr>
      <w:r w:rsidRPr="003D1E07">
        <w:t>CMDA 447.121–23</w:t>
      </w:r>
      <w:r w:rsidRPr="003D1E07">
        <w:tab/>
        <w:t>433</w:t>
      </w:r>
    </w:p>
    <w:p w14:paraId="329520C7" w14:textId="77777777" w:rsidR="00367E15" w:rsidRPr="003D1E07" w:rsidRDefault="00367E15" w:rsidP="00367E15">
      <w:pPr>
        <w:pStyle w:val="Rejstk2"/>
        <w:tabs>
          <w:tab w:val="right" w:leader="dot" w:pos="4171"/>
        </w:tabs>
        <w:spacing w:line="240" w:lineRule="auto"/>
        <w:ind w:left="0"/>
        <w:contextualSpacing/>
      </w:pPr>
      <w:r w:rsidRPr="003D1E07">
        <w:t>CMDA 448.134–139</w:t>
      </w:r>
      <w:r w:rsidRPr="003D1E07">
        <w:tab/>
        <w:t>429</w:t>
      </w:r>
    </w:p>
    <w:p w14:paraId="1E174E75" w14:textId="77777777" w:rsidR="00367E15" w:rsidRPr="003D1E07" w:rsidRDefault="00367E15" w:rsidP="00367E15">
      <w:pPr>
        <w:pStyle w:val="Rejstk2"/>
        <w:tabs>
          <w:tab w:val="right" w:leader="dot" w:pos="4171"/>
        </w:tabs>
        <w:spacing w:line="240" w:lineRule="auto"/>
        <w:ind w:left="0"/>
        <w:contextualSpacing/>
      </w:pPr>
      <w:r w:rsidRPr="003D1E07">
        <w:t>CMDA 449.158</w:t>
      </w:r>
      <w:r w:rsidRPr="003D1E07">
        <w:tab/>
        <w:t>429</w:t>
      </w:r>
    </w:p>
    <w:p w14:paraId="7F29A203" w14:textId="77777777" w:rsidR="00367E15" w:rsidRPr="003D1E07" w:rsidRDefault="00367E15" w:rsidP="00367E15">
      <w:pPr>
        <w:pStyle w:val="Rejstk2"/>
        <w:tabs>
          <w:tab w:val="right" w:leader="dot" w:pos="4171"/>
        </w:tabs>
        <w:spacing w:line="240" w:lineRule="auto"/>
        <w:ind w:left="0"/>
        <w:contextualSpacing/>
      </w:pPr>
      <w:r w:rsidRPr="003D1E07">
        <w:t>CMDA 470.42–48</w:t>
      </w:r>
      <w:r w:rsidRPr="003D1E07">
        <w:tab/>
        <w:t>469</w:t>
      </w:r>
    </w:p>
    <w:p w14:paraId="7B39402D" w14:textId="77777777" w:rsidR="00367E15" w:rsidRPr="003D1E07" w:rsidRDefault="00367E15" w:rsidP="00367E15">
      <w:pPr>
        <w:pStyle w:val="Rejstk2"/>
        <w:tabs>
          <w:tab w:val="right" w:leader="dot" w:pos="4171"/>
        </w:tabs>
        <w:spacing w:line="240" w:lineRule="auto"/>
        <w:ind w:left="0"/>
        <w:contextualSpacing/>
      </w:pPr>
      <w:r w:rsidRPr="003D1E07">
        <w:t>CMDA 484.128–134</w:t>
      </w:r>
      <w:r w:rsidRPr="003D1E07">
        <w:tab/>
        <w:t>393</w:t>
      </w:r>
    </w:p>
    <w:p w14:paraId="5E5FFE8C" w14:textId="77777777" w:rsidR="00367E15" w:rsidRPr="003D1E07" w:rsidRDefault="00367E15" w:rsidP="00367E15">
      <w:pPr>
        <w:pStyle w:val="Rejstk2"/>
        <w:tabs>
          <w:tab w:val="right" w:leader="dot" w:pos="4171"/>
        </w:tabs>
        <w:spacing w:line="240" w:lineRule="auto"/>
        <w:ind w:left="0"/>
        <w:contextualSpacing/>
      </w:pPr>
      <w:r w:rsidRPr="003D1E07">
        <w:t>CMDA 484.138–42</w:t>
      </w:r>
      <w:r w:rsidRPr="003D1E07">
        <w:tab/>
        <w:t>383</w:t>
      </w:r>
    </w:p>
    <w:p w14:paraId="23B538F9" w14:textId="77777777" w:rsidR="00367E15" w:rsidRPr="003D1E07" w:rsidRDefault="00367E15" w:rsidP="00367E15">
      <w:pPr>
        <w:pStyle w:val="Rejstk2"/>
        <w:tabs>
          <w:tab w:val="right" w:leader="dot" w:pos="4171"/>
        </w:tabs>
        <w:spacing w:line="240" w:lineRule="auto"/>
        <w:ind w:left="0"/>
        <w:contextualSpacing/>
      </w:pPr>
      <w:r w:rsidRPr="003D1E07">
        <w:t>CMDA 496.481‒87</w:t>
      </w:r>
      <w:r w:rsidRPr="003D1E07">
        <w:tab/>
        <w:t>380</w:t>
      </w:r>
    </w:p>
    <w:p w14:paraId="7A576273" w14:textId="77777777" w:rsidR="00367E15" w:rsidRPr="003D1E07" w:rsidRDefault="00367E15" w:rsidP="00367E15">
      <w:pPr>
        <w:pStyle w:val="Rejstk2"/>
        <w:tabs>
          <w:tab w:val="right" w:leader="dot" w:pos="4171"/>
        </w:tabs>
        <w:spacing w:line="240" w:lineRule="auto"/>
        <w:ind w:left="0"/>
        <w:contextualSpacing/>
      </w:pPr>
      <w:r w:rsidRPr="003D1E07">
        <w:t>CMDA 499.559–66</w:t>
      </w:r>
      <w:r w:rsidRPr="003D1E07">
        <w:tab/>
        <w:t>462</w:t>
      </w:r>
    </w:p>
    <w:p w14:paraId="0568C640" w14:textId="77777777" w:rsidR="00367E15" w:rsidRPr="003D1E07" w:rsidRDefault="00367E15" w:rsidP="00367E15">
      <w:pPr>
        <w:pStyle w:val="Rejstk2"/>
        <w:tabs>
          <w:tab w:val="right" w:leader="dot" w:pos="4171"/>
        </w:tabs>
        <w:spacing w:line="240" w:lineRule="auto"/>
        <w:ind w:left="0"/>
        <w:contextualSpacing/>
      </w:pPr>
      <w:r w:rsidRPr="003D1E07">
        <w:t>CMDA 501.640–502.649</w:t>
      </w:r>
      <w:r w:rsidRPr="003D1E07">
        <w:tab/>
        <w:t>437</w:t>
      </w:r>
    </w:p>
    <w:p w14:paraId="1F8A2B17" w14:textId="77777777" w:rsidR="00367E15" w:rsidRPr="003D1E07" w:rsidRDefault="00367E15" w:rsidP="00367E15">
      <w:pPr>
        <w:pStyle w:val="Rejstk2"/>
        <w:tabs>
          <w:tab w:val="right" w:leader="dot" w:pos="4171"/>
        </w:tabs>
        <w:spacing w:line="240" w:lineRule="auto"/>
        <w:ind w:left="0"/>
        <w:contextualSpacing/>
      </w:pPr>
      <w:r w:rsidRPr="003D1E07">
        <w:rPr>
          <w:i/>
        </w:rPr>
        <w:t>Comm. Magnum in Met.</w:t>
      </w:r>
      <w:r w:rsidRPr="003D1E07">
        <w:t xml:space="preserve"> 1423</w:t>
      </w:r>
      <w:r w:rsidRPr="003D1E07">
        <w:tab/>
        <w:t>358, 359</w:t>
      </w:r>
    </w:p>
    <w:p w14:paraId="12A3E0C8" w14:textId="77777777" w:rsidR="00367E15" w:rsidRPr="003D1E07" w:rsidRDefault="00367E15" w:rsidP="00367E15">
      <w:pPr>
        <w:pStyle w:val="Rejstk2"/>
        <w:tabs>
          <w:tab w:val="right" w:leader="dot" w:pos="4171"/>
        </w:tabs>
        <w:spacing w:line="240" w:lineRule="auto"/>
        <w:ind w:left="0"/>
        <w:contextualSpacing/>
      </w:pPr>
      <w:r w:rsidRPr="003D1E07">
        <w:rPr>
          <w:i/>
        </w:rPr>
        <w:t xml:space="preserve">Comm. Magnum in Met. </w:t>
      </w:r>
      <w:r w:rsidRPr="003D1E07">
        <w:t>1423–24</w:t>
      </w:r>
      <w:r w:rsidRPr="003D1E07">
        <w:tab/>
        <w:t>354</w:t>
      </w:r>
    </w:p>
    <w:p w14:paraId="33F320D0" w14:textId="77777777" w:rsidR="00367E15" w:rsidRPr="003D1E07" w:rsidRDefault="00367E15" w:rsidP="00367E15">
      <w:pPr>
        <w:pStyle w:val="Rejstk2"/>
        <w:tabs>
          <w:tab w:val="right" w:leader="dot" w:pos="4171"/>
        </w:tabs>
        <w:spacing w:line="240" w:lineRule="auto"/>
        <w:ind w:left="0"/>
        <w:contextualSpacing/>
      </w:pPr>
      <w:r w:rsidRPr="003D1E07">
        <w:rPr>
          <w:i/>
        </w:rPr>
        <w:t>Comm. Magnum in Met.</w:t>
      </w:r>
      <w:r w:rsidRPr="003D1E07">
        <w:t xml:space="preserve"> 1424</w:t>
      </w:r>
      <w:r w:rsidRPr="003D1E07">
        <w:tab/>
        <w:t>355, 357</w:t>
      </w:r>
    </w:p>
    <w:p w14:paraId="113EA255" w14:textId="77777777" w:rsidR="00367E15" w:rsidRPr="003D1E07" w:rsidRDefault="00367E15" w:rsidP="00367E15">
      <w:pPr>
        <w:pStyle w:val="Rejstk2"/>
        <w:tabs>
          <w:tab w:val="right" w:leader="dot" w:pos="4171"/>
        </w:tabs>
        <w:spacing w:line="240" w:lineRule="auto"/>
        <w:ind w:left="0"/>
        <w:contextualSpacing/>
      </w:pPr>
      <w:r w:rsidRPr="003D1E07">
        <w:rPr>
          <w:i/>
        </w:rPr>
        <w:t>Comm. Magnum in Met.</w:t>
      </w:r>
      <w:r w:rsidRPr="003D1E07">
        <w:t xml:space="preserve"> 1426</w:t>
      </w:r>
      <w:r w:rsidRPr="003D1E07">
        <w:tab/>
        <w:t>358</w:t>
      </w:r>
    </w:p>
    <w:p w14:paraId="2AE65765" w14:textId="77777777" w:rsidR="00367E15" w:rsidRPr="003D1E07" w:rsidRDefault="00367E15" w:rsidP="00367E15">
      <w:pPr>
        <w:pStyle w:val="Rejstk2"/>
        <w:tabs>
          <w:tab w:val="right" w:leader="dot" w:pos="4171"/>
        </w:tabs>
        <w:spacing w:line="240" w:lineRule="auto"/>
        <w:ind w:left="0"/>
        <w:contextualSpacing/>
      </w:pPr>
      <w:r w:rsidRPr="003D1E07">
        <w:rPr>
          <w:i/>
        </w:rPr>
        <w:t>Comm. Magnum in Met.</w:t>
      </w:r>
      <w:r w:rsidRPr="003D1E07">
        <w:t xml:space="preserve"> 1436</w:t>
      </w:r>
      <w:r w:rsidRPr="003D1E07">
        <w:tab/>
        <w:t>349</w:t>
      </w:r>
    </w:p>
    <w:p w14:paraId="61B3803A" w14:textId="77777777" w:rsidR="00367E15" w:rsidRPr="003D1E07" w:rsidRDefault="00367E15" w:rsidP="00367E15">
      <w:pPr>
        <w:pStyle w:val="Rejstk2"/>
        <w:tabs>
          <w:tab w:val="right" w:leader="dot" w:pos="4171"/>
        </w:tabs>
        <w:spacing w:line="240" w:lineRule="auto"/>
        <w:ind w:left="0"/>
        <w:contextualSpacing/>
      </w:pPr>
      <w:r w:rsidRPr="003D1E07">
        <w:rPr>
          <w:i/>
        </w:rPr>
        <w:t>Comm. Magnum in Met.</w:t>
      </w:r>
      <w:r w:rsidRPr="003D1E07">
        <w:t xml:space="preserve"> 1521</w:t>
      </w:r>
      <w:r w:rsidRPr="003D1E07">
        <w:tab/>
        <w:t>348</w:t>
      </w:r>
    </w:p>
    <w:p w14:paraId="3E4B164D" w14:textId="77777777" w:rsidR="00367E15" w:rsidRPr="003D1E07" w:rsidRDefault="00367E15" w:rsidP="00367E15">
      <w:pPr>
        <w:pStyle w:val="Rejstk2"/>
        <w:tabs>
          <w:tab w:val="right" w:leader="dot" w:pos="4171"/>
        </w:tabs>
        <w:spacing w:line="240" w:lineRule="auto"/>
        <w:ind w:left="0"/>
        <w:contextualSpacing/>
      </w:pPr>
      <w:r w:rsidRPr="003D1E07">
        <w:rPr>
          <w:i/>
        </w:rPr>
        <w:t>Comm. magnum in Met.</w:t>
      </w:r>
      <w:r w:rsidRPr="003D1E07">
        <w:t xml:space="preserve"> 1543</w:t>
      </w:r>
      <w:r w:rsidRPr="003D1E07">
        <w:tab/>
        <w:t>368</w:t>
      </w:r>
    </w:p>
    <w:p w14:paraId="61A34AA8" w14:textId="77777777" w:rsidR="00367E15" w:rsidRPr="003D1E07" w:rsidRDefault="00367E15" w:rsidP="00367E15">
      <w:pPr>
        <w:pStyle w:val="Rejstk2"/>
        <w:tabs>
          <w:tab w:val="right" w:leader="dot" w:pos="4171"/>
        </w:tabs>
        <w:spacing w:line="240" w:lineRule="auto"/>
        <w:ind w:left="0"/>
        <w:contextualSpacing/>
      </w:pPr>
      <w:r w:rsidRPr="003D1E07">
        <w:rPr>
          <w:i/>
        </w:rPr>
        <w:t>Commentum medium super libro Praedicamentorum Aristotelis</w:t>
      </w:r>
      <w:r w:rsidRPr="003D1E07">
        <w:t xml:space="preserve"> 2.2.20</w:t>
      </w:r>
      <w:r w:rsidRPr="003D1E07">
        <w:tab/>
        <w:t>353</w:t>
      </w:r>
    </w:p>
    <w:p w14:paraId="50740232" w14:textId="77777777" w:rsidR="00367E15" w:rsidRPr="003D1E07" w:rsidRDefault="00367E15" w:rsidP="00367E15">
      <w:pPr>
        <w:pStyle w:val="Rejstk2"/>
        <w:tabs>
          <w:tab w:val="right" w:leader="dot" w:pos="4171"/>
        </w:tabs>
        <w:spacing w:line="240" w:lineRule="auto"/>
        <w:ind w:left="0"/>
        <w:contextualSpacing/>
      </w:pPr>
      <w:r w:rsidRPr="003D1E07">
        <w:rPr>
          <w:i/>
        </w:rPr>
        <w:t>De substantia orbis</w:t>
      </w:r>
      <w:r w:rsidRPr="003D1E07">
        <w:t xml:space="preserve"> 62</w:t>
      </w:r>
      <w:r w:rsidRPr="003D1E07">
        <w:tab/>
        <w:t>365</w:t>
      </w:r>
    </w:p>
    <w:p w14:paraId="0D8518FA" w14:textId="77777777" w:rsidR="00367E15" w:rsidRPr="003D1E07" w:rsidRDefault="00367E15" w:rsidP="00367E15">
      <w:pPr>
        <w:pStyle w:val="Rejstk2"/>
        <w:tabs>
          <w:tab w:val="right" w:leader="dot" w:pos="4171"/>
        </w:tabs>
        <w:spacing w:line="240" w:lineRule="auto"/>
        <w:ind w:left="0"/>
        <w:contextualSpacing/>
      </w:pPr>
      <w:r w:rsidRPr="003D1E07">
        <w:rPr>
          <w:i/>
        </w:rPr>
        <w:t>De substantia orbis</w:t>
      </w:r>
      <w:r w:rsidRPr="003D1E07">
        <w:t xml:space="preserve"> 63</w:t>
      </w:r>
      <w:r w:rsidRPr="003D1E07">
        <w:tab/>
        <w:t>365</w:t>
      </w:r>
    </w:p>
    <w:p w14:paraId="461BD602" w14:textId="77777777" w:rsidR="00367E15" w:rsidRPr="003D1E07" w:rsidRDefault="00367E15" w:rsidP="00367E15">
      <w:pPr>
        <w:pStyle w:val="Rejstk2"/>
        <w:tabs>
          <w:tab w:val="right" w:leader="dot" w:pos="4171"/>
        </w:tabs>
        <w:spacing w:line="240" w:lineRule="auto"/>
        <w:ind w:left="0"/>
        <w:contextualSpacing/>
      </w:pPr>
      <w:r w:rsidRPr="003D1E07">
        <w:rPr>
          <w:i/>
        </w:rPr>
        <w:t>In Aristot. Metaph.</w:t>
      </w:r>
      <w:r w:rsidRPr="003D1E07">
        <w:t xml:space="preserve"> IV.67 B</w:t>
      </w:r>
      <w:r w:rsidRPr="003D1E07">
        <w:tab/>
        <w:t>351</w:t>
      </w:r>
    </w:p>
    <w:p w14:paraId="34EDE47E" w14:textId="77777777" w:rsidR="00367E15" w:rsidRPr="003D1E07" w:rsidRDefault="00367E15" w:rsidP="00367E15">
      <w:pPr>
        <w:pStyle w:val="Rejstk2"/>
        <w:tabs>
          <w:tab w:val="right" w:leader="dot" w:pos="4171"/>
        </w:tabs>
        <w:spacing w:line="240" w:lineRule="auto"/>
        <w:ind w:left="0"/>
        <w:contextualSpacing/>
      </w:pPr>
      <w:r w:rsidRPr="003D1E07">
        <w:rPr>
          <w:i/>
        </w:rPr>
        <w:t>In Aristot. Metaph.</w:t>
      </w:r>
      <w:r w:rsidRPr="003D1E07">
        <w:t xml:space="preserve"> VI, 151 H</w:t>
      </w:r>
      <w:r w:rsidRPr="003D1E07">
        <w:tab/>
        <w:t>361</w:t>
      </w:r>
    </w:p>
    <w:p w14:paraId="2563807B" w14:textId="77777777" w:rsidR="00367E15" w:rsidRPr="003D1E07" w:rsidRDefault="00367E15" w:rsidP="00367E15">
      <w:pPr>
        <w:pStyle w:val="Rejstk2"/>
        <w:tabs>
          <w:tab w:val="right" w:leader="dot" w:pos="4171"/>
        </w:tabs>
        <w:spacing w:line="240" w:lineRule="auto"/>
        <w:ind w:left="0"/>
        <w:contextualSpacing/>
      </w:pPr>
      <w:r w:rsidRPr="003D1E07">
        <w:rPr>
          <w:i/>
        </w:rPr>
        <w:t>In Aristot. Metaph</w:t>
      </w:r>
      <w:r w:rsidRPr="003D1E07">
        <w:t>. VII.153 H</w:t>
      </w:r>
      <w:r w:rsidRPr="003D1E07">
        <w:tab/>
        <w:t>353</w:t>
      </w:r>
    </w:p>
    <w:p w14:paraId="7544A5D4" w14:textId="77777777" w:rsidR="00367E15" w:rsidRPr="003D1E07" w:rsidRDefault="00367E15" w:rsidP="00367E15">
      <w:pPr>
        <w:pStyle w:val="Rejstk2"/>
        <w:tabs>
          <w:tab w:val="right" w:leader="dot" w:pos="4171"/>
        </w:tabs>
        <w:spacing w:line="240" w:lineRule="auto"/>
        <w:ind w:left="0"/>
        <w:contextualSpacing/>
      </w:pPr>
      <w:r w:rsidRPr="003D1E07">
        <w:rPr>
          <w:i/>
        </w:rPr>
        <w:t>Tahafut al-tahafut</w:t>
      </w:r>
      <w:r w:rsidRPr="003D1E07">
        <w:t xml:space="preserve"> 241</w:t>
      </w:r>
      <w:r w:rsidRPr="003D1E07">
        <w:tab/>
        <w:t>345</w:t>
      </w:r>
    </w:p>
    <w:p w14:paraId="659AAA3A" w14:textId="77777777" w:rsidR="00367E15" w:rsidRPr="003D1E07" w:rsidRDefault="00367E15" w:rsidP="00367E15">
      <w:pPr>
        <w:pStyle w:val="Rejstk2"/>
        <w:tabs>
          <w:tab w:val="right" w:leader="dot" w:pos="4171"/>
        </w:tabs>
        <w:spacing w:line="240" w:lineRule="auto"/>
        <w:ind w:left="0"/>
        <w:contextualSpacing/>
        <w:rPr>
          <w:i/>
        </w:rPr>
      </w:pPr>
    </w:p>
    <w:p w14:paraId="798168C8" w14:textId="77777777" w:rsidR="00367E15" w:rsidRPr="003D1E07" w:rsidRDefault="00367E15" w:rsidP="00367E15">
      <w:pPr>
        <w:pStyle w:val="Rejstk2"/>
        <w:tabs>
          <w:tab w:val="right" w:leader="dot" w:pos="4171"/>
        </w:tabs>
        <w:spacing w:line="240" w:lineRule="auto"/>
        <w:ind w:left="2"/>
        <w:contextualSpacing/>
        <w:rPr>
          <w:b/>
        </w:rPr>
      </w:pPr>
      <w:r w:rsidRPr="003D1E07">
        <w:rPr>
          <w:b/>
        </w:rPr>
        <w:t>Avicenna</w:t>
      </w:r>
    </w:p>
    <w:p w14:paraId="749DA834" w14:textId="77777777" w:rsidR="00367E15" w:rsidRPr="003D1E07" w:rsidRDefault="00367E15" w:rsidP="00367E15">
      <w:pPr>
        <w:pStyle w:val="Rejstk2"/>
        <w:tabs>
          <w:tab w:val="right" w:leader="dot" w:pos="4171"/>
        </w:tabs>
        <w:spacing w:line="240" w:lineRule="auto"/>
        <w:ind w:left="2"/>
        <w:contextualSpacing/>
        <w:rPr>
          <w:b/>
        </w:rPr>
      </w:pPr>
      <w:r w:rsidRPr="003D1E07">
        <w:rPr>
          <w:i/>
        </w:rPr>
        <w:t>Kitāb al Najāt</w:t>
      </w:r>
      <w:r w:rsidRPr="003D1E07">
        <w:t xml:space="preserve"> 34.13‒22</w:t>
      </w:r>
      <w:r w:rsidRPr="003D1E07">
        <w:tab/>
        <w:t>268</w:t>
      </w:r>
    </w:p>
    <w:p w14:paraId="5F4AD44A" w14:textId="77777777" w:rsidR="00367E15" w:rsidRPr="003D1E07" w:rsidRDefault="00367E15" w:rsidP="00367E15">
      <w:pPr>
        <w:pStyle w:val="Rejstk2"/>
        <w:tabs>
          <w:tab w:val="right" w:leader="dot" w:pos="4171"/>
        </w:tabs>
        <w:spacing w:line="240" w:lineRule="auto"/>
        <w:ind w:left="2"/>
        <w:contextualSpacing/>
        <w:rPr>
          <w:b/>
        </w:rPr>
      </w:pPr>
      <w:r w:rsidRPr="003D1E07">
        <w:rPr>
          <w:i/>
        </w:rPr>
        <w:t>Kitāb al Najāt</w:t>
      </w:r>
      <w:r w:rsidRPr="003D1E07">
        <w:t xml:space="preserve"> 53.26‒32</w:t>
      </w:r>
      <w:r w:rsidRPr="003D1E07">
        <w:tab/>
        <w:t>256</w:t>
      </w:r>
    </w:p>
    <w:p w14:paraId="54BF0F65" w14:textId="77777777" w:rsidR="00367E15" w:rsidRPr="003D1E07" w:rsidRDefault="00367E15" w:rsidP="00367E15">
      <w:pPr>
        <w:pStyle w:val="Rejstk2"/>
        <w:tabs>
          <w:tab w:val="right" w:leader="dot" w:pos="4171"/>
        </w:tabs>
        <w:spacing w:line="240" w:lineRule="auto"/>
        <w:ind w:left="2" w:hanging="238"/>
        <w:contextualSpacing/>
        <w:rPr>
          <w:b/>
        </w:rPr>
      </w:pPr>
      <w:r w:rsidRPr="003D1E07">
        <w:rPr>
          <w:i/>
        </w:rPr>
        <w:t>Kitāb al-Nağāt</w:t>
      </w:r>
      <w:r w:rsidRPr="003D1E07">
        <w:t xml:space="preserve"> 333.2‒5</w:t>
      </w:r>
      <w:r w:rsidRPr="003D1E07">
        <w:tab/>
        <w:t>264</w:t>
      </w:r>
    </w:p>
    <w:p w14:paraId="40BE80D7" w14:textId="77777777" w:rsidR="00367E15" w:rsidRPr="003D1E07" w:rsidRDefault="00367E15" w:rsidP="00367E15">
      <w:pPr>
        <w:pStyle w:val="Rejstk2"/>
        <w:tabs>
          <w:tab w:val="right" w:leader="dot" w:pos="4171"/>
        </w:tabs>
        <w:spacing w:line="240" w:lineRule="auto"/>
        <w:ind w:left="2"/>
        <w:contextualSpacing/>
      </w:pPr>
      <w:r w:rsidRPr="003D1E07">
        <w:rPr>
          <w:i/>
        </w:rPr>
        <w:t>Kitáb al-Šifá</w:t>
      </w:r>
      <w:r w:rsidRPr="003D1E07">
        <w:t xml:space="preserve"> 1.213–219</w:t>
      </w:r>
      <w:r w:rsidRPr="003D1E07">
        <w:tab/>
        <w:t>276</w:t>
      </w:r>
    </w:p>
    <w:p w14:paraId="67618834" w14:textId="77777777" w:rsidR="00367E15" w:rsidRPr="003D1E07" w:rsidRDefault="00367E15" w:rsidP="00367E15">
      <w:pPr>
        <w:pStyle w:val="Rejstk2"/>
        <w:tabs>
          <w:tab w:val="right" w:leader="dot" w:pos="4171"/>
        </w:tabs>
        <w:spacing w:line="240" w:lineRule="auto"/>
        <w:ind w:left="2"/>
        <w:contextualSpacing/>
      </w:pPr>
      <w:r w:rsidRPr="003D1E07">
        <w:rPr>
          <w:i/>
        </w:rPr>
        <w:t>Liber de anima</w:t>
      </w:r>
      <w:r w:rsidRPr="003D1E07">
        <w:t xml:space="preserve"> 127.36–39</w:t>
      </w:r>
      <w:r w:rsidRPr="003D1E07">
        <w:tab/>
        <w:t>258</w:t>
      </w:r>
    </w:p>
    <w:p w14:paraId="23B31366" w14:textId="77777777" w:rsidR="00367E15" w:rsidRPr="003D1E07" w:rsidRDefault="00367E15" w:rsidP="00367E15">
      <w:pPr>
        <w:pStyle w:val="Rejstk2"/>
        <w:tabs>
          <w:tab w:val="right" w:leader="dot" w:pos="4171"/>
        </w:tabs>
        <w:spacing w:line="240" w:lineRule="auto"/>
        <w:ind w:left="2"/>
        <w:contextualSpacing/>
      </w:pPr>
      <w:r w:rsidRPr="003D1E07">
        <w:rPr>
          <w:i/>
        </w:rPr>
        <w:t>Liber de anima</w:t>
      </w:r>
      <w:r w:rsidRPr="003D1E07">
        <w:t xml:space="preserve"> 127.39–47</w:t>
      </w:r>
      <w:r w:rsidRPr="003D1E07">
        <w:tab/>
        <w:t>259</w:t>
      </w:r>
    </w:p>
    <w:p w14:paraId="27FC0819" w14:textId="77777777" w:rsidR="00367E15" w:rsidRPr="003D1E07" w:rsidRDefault="00367E15" w:rsidP="00367E15">
      <w:pPr>
        <w:pStyle w:val="Rejstk2"/>
        <w:tabs>
          <w:tab w:val="right" w:leader="dot" w:pos="4171"/>
        </w:tabs>
        <w:spacing w:line="240" w:lineRule="auto"/>
        <w:ind w:left="2"/>
        <w:contextualSpacing/>
      </w:pPr>
      <w:r w:rsidRPr="003D1E07">
        <w:rPr>
          <w:i/>
        </w:rPr>
        <w:t>Liber de anima</w:t>
      </w:r>
      <w:r w:rsidRPr="003D1E07">
        <w:t xml:space="preserve"> 127.41</w:t>
      </w:r>
      <w:r w:rsidRPr="003D1E07">
        <w:tab/>
        <w:t>269</w:t>
      </w:r>
    </w:p>
    <w:p w14:paraId="0ACF6AF8" w14:textId="77777777" w:rsidR="00367E15" w:rsidRPr="003D1E07" w:rsidRDefault="00367E15" w:rsidP="00367E15">
      <w:pPr>
        <w:pStyle w:val="Rejstk2"/>
        <w:tabs>
          <w:tab w:val="right" w:leader="dot" w:pos="4171"/>
        </w:tabs>
        <w:spacing w:line="240" w:lineRule="auto"/>
        <w:ind w:left="2"/>
        <w:contextualSpacing/>
      </w:pPr>
      <w:r w:rsidRPr="003D1E07">
        <w:rPr>
          <w:i/>
        </w:rPr>
        <w:t>Liber de anima</w:t>
      </w:r>
      <w:r w:rsidRPr="003D1E07">
        <w:t xml:space="preserve"> 127.48–50</w:t>
      </w:r>
      <w:r w:rsidRPr="003D1E07">
        <w:tab/>
        <w:t>262</w:t>
      </w:r>
    </w:p>
    <w:p w14:paraId="5247754C" w14:textId="77777777" w:rsidR="00367E15" w:rsidRPr="003D1E07" w:rsidRDefault="00367E15" w:rsidP="00367E15">
      <w:pPr>
        <w:pStyle w:val="Rejstk2"/>
        <w:tabs>
          <w:tab w:val="right" w:leader="dot" w:pos="4171"/>
        </w:tabs>
        <w:spacing w:line="240" w:lineRule="auto"/>
        <w:ind w:left="2"/>
        <w:contextualSpacing/>
      </w:pPr>
      <w:r w:rsidRPr="003D1E07">
        <w:rPr>
          <w:i/>
        </w:rPr>
        <w:t>Liber de anima</w:t>
      </w:r>
      <w:r w:rsidRPr="003D1E07">
        <w:t xml:space="preserve"> 129.82‒130.90</w:t>
      </w:r>
      <w:r w:rsidRPr="003D1E07">
        <w:tab/>
        <w:t>279</w:t>
      </w:r>
    </w:p>
    <w:p w14:paraId="1A6BD036" w14:textId="77777777" w:rsidR="00367E15" w:rsidRPr="003D1E07" w:rsidRDefault="00367E15" w:rsidP="00367E15">
      <w:pPr>
        <w:pStyle w:val="Rejstk2"/>
        <w:tabs>
          <w:tab w:val="right" w:leader="dot" w:pos="4171"/>
        </w:tabs>
        <w:spacing w:line="240" w:lineRule="auto"/>
        <w:ind w:left="2"/>
        <w:contextualSpacing/>
      </w:pPr>
      <w:r w:rsidRPr="003D1E07">
        <w:rPr>
          <w:i/>
        </w:rPr>
        <w:t>Liber de anima</w:t>
      </w:r>
      <w:r w:rsidRPr="003D1E07">
        <w:t xml:space="preserve"> 134.45–49</w:t>
      </w:r>
      <w:r w:rsidRPr="003D1E07">
        <w:tab/>
        <w:t>304</w:t>
      </w:r>
    </w:p>
    <w:p w14:paraId="351F54CD" w14:textId="77777777" w:rsidR="00367E15" w:rsidRPr="003D1E07" w:rsidRDefault="00367E15" w:rsidP="00367E15">
      <w:pPr>
        <w:pStyle w:val="Rejstk2"/>
        <w:tabs>
          <w:tab w:val="right" w:leader="dot" w:pos="4171"/>
        </w:tabs>
        <w:spacing w:line="240" w:lineRule="auto"/>
        <w:ind w:left="2"/>
        <w:contextualSpacing/>
      </w:pPr>
      <w:r w:rsidRPr="003D1E07">
        <w:rPr>
          <w:i/>
        </w:rPr>
        <w:t>Liber de anima</w:t>
      </w:r>
      <w:r w:rsidRPr="003D1E07">
        <w:t xml:space="preserve"> 153.10‒18</w:t>
      </w:r>
      <w:r w:rsidRPr="003D1E07">
        <w:tab/>
        <w:t>267</w:t>
      </w:r>
    </w:p>
    <w:p w14:paraId="0E050442" w14:textId="77777777" w:rsidR="00367E15" w:rsidRPr="003D1E07" w:rsidRDefault="00367E15" w:rsidP="00367E15">
      <w:pPr>
        <w:pStyle w:val="Rejstk2"/>
        <w:tabs>
          <w:tab w:val="right" w:leader="dot" w:pos="4171"/>
        </w:tabs>
        <w:spacing w:line="240" w:lineRule="auto"/>
        <w:ind w:left="2"/>
        <w:contextualSpacing/>
      </w:pPr>
      <w:r w:rsidRPr="003D1E07">
        <w:rPr>
          <w:i/>
        </w:rPr>
        <w:t>Liber de anima</w:t>
      </w:r>
      <w:r w:rsidRPr="003D1E07">
        <w:t xml:space="preserve"> 184.6–10</w:t>
      </w:r>
      <w:r w:rsidRPr="003D1E07">
        <w:tab/>
        <w:t>279</w:t>
      </w:r>
    </w:p>
    <w:p w14:paraId="71810BE6" w14:textId="77777777" w:rsidR="00367E15" w:rsidRPr="003D1E07" w:rsidRDefault="00367E15" w:rsidP="00367E15">
      <w:pPr>
        <w:pStyle w:val="Rejstk2"/>
        <w:tabs>
          <w:tab w:val="right" w:leader="dot" w:pos="4171"/>
        </w:tabs>
        <w:spacing w:line="240" w:lineRule="auto"/>
        <w:ind w:left="2"/>
        <w:contextualSpacing/>
      </w:pPr>
      <w:r w:rsidRPr="003D1E07">
        <w:rPr>
          <w:i/>
        </w:rPr>
        <w:t>Liber de anima</w:t>
      </w:r>
      <w:r w:rsidRPr="003D1E07">
        <w:t xml:space="preserve"> 29.60–63</w:t>
      </w:r>
      <w:r w:rsidRPr="003D1E07">
        <w:tab/>
        <w:t>274</w:t>
      </w:r>
    </w:p>
    <w:p w14:paraId="7EB27208" w14:textId="77777777" w:rsidR="00367E15" w:rsidRPr="003D1E07" w:rsidRDefault="00367E15" w:rsidP="00367E15">
      <w:pPr>
        <w:pStyle w:val="Rejstk2"/>
        <w:tabs>
          <w:tab w:val="right" w:leader="dot" w:pos="4171"/>
        </w:tabs>
        <w:spacing w:line="240" w:lineRule="auto"/>
        <w:ind w:left="2"/>
        <w:contextualSpacing/>
      </w:pPr>
      <w:r w:rsidRPr="003D1E07">
        <w:rPr>
          <w:i/>
        </w:rPr>
        <w:t>Liber de anima</w:t>
      </w:r>
      <w:r w:rsidRPr="003D1E07">
        <w:t xml:space="preserve"> 4.60–64</w:t>
      </w:r>
      <w:r w:rsidRPr="003D1E07">
        <w:tab/>
        <w:t>317</w:t>
      </w:r>
    </w:p>
    <w:p w14:paraId="1ECDAA4C" w14:textId="77777777" w:rsidR="00367E15" w:rsidRPr="003D1E07" w:rsidRDefault="00367E15" w:rsidP="00367E15">
      <w:pPr>
        <w:pStyle w:val="Rejstk2"/>
        <w:tabs>
          <w:tab w:val="right" w:leader="dot" w:pos="4171"/>
        </w:tabs>
        <w:spacing w:line="240" w:lineRule="auto"/>
        <w:ind w:left="2"/>
        <w:contextualSpacing/>
      </w:pPr>
      <w:r w:rsidRPr="003D1E07">
        <w:rPr>
          <w:i/>
        </w:rPr>
        <w:t>Liber de anima</w:t>
      </w:r>
      <w:r w:rsidRPr="003D1E07">
        <w:t xml:space="preserve"> 93.60</w:t>
      </w:r>
      <w:r w:rsidRPr="003D1E07">
        <w:tab/>
        <w:t>270</w:t>
      </w:r>
    </w:p>
    <w:p w14:paraId="530AF628" w14:textId="77777777" w:rsidR="00367E15" w:rsidRPr="003D1E07" w:rsidRDefault="00367E15" w:rsidP="00367E15">
      <w:pPr>
        <w:pStyle w:val="Rejstk2"/>
        <w:tabs>
          <w:tab w:val="right" w:leader="dot" w:pos="4171"/>
        </w:tabs>
        <w:spacing w:line="240" w:lineRule="auto"/>
        <w:ind w:left="2"/>
        <w:contextualSpacing/>
      </w:pPr>
      <w:r w:rsidRPr="003D1E07">
        <w:rPr>
          <w:i/>
        </w:rPr>
        <w:t>Liber de anima</w:t>
      </w:r>
      <w:r w:rsidRPr="003D1E07">
        <w:t xml:space="preserve"> 99.82–84</w:t>
      </w:r>
      <w:r w:rsidRPr="003D1E07">
        <w:tab/>
        <w:t>309</w:t>
      </w:r>
    </w:p>
    <w:p w14:paraId="6692407C"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12.37‒39</w:t>
      </w:r>
      <w:r w:rsidRPr="003D1E07">
        <w:tab/>
        <w:t>292</w:t>
      </w:r>
    </w:p>
    <w:p w14:paraId="13C0BABA"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149.44–50</w:t>
      </w:r>
      <w:r w:rsidRPr="003D1E07">
        <w:tab/>
        <w:t>270</w:t>
      </w:r>
    </w:p>
    <w:p w14:paraId="63C837B4"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15.86–16.91</w:t>
      </w:r>
      <w:r w:rsidRPr="003D1E07">
        <w:tab/>
        <w:t>315</w:t>
      </w:r>
    </w:p>
    <w:p w14:paraId="130DCED5"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2.27‒28</w:t>
      </w:r>
      <w:r w:rsidRPr="003D1E07">
        <w:tab/>
        <w:t>313</w:t>
      </w:r>
    </w:p>
    <w:p w14:paraId="13C47E13" w14:textId="77777777" w:rsidR="00367E15" w:rsidRPr="003D1E07" w:rsidRDefault="00367E15" w:rsidP="00367E15">
      <w:pPr>
        <w:pStyle w:val="Rejstk2"/>
        <w:tabs>
          <w:tab w:val="right" w:leader="dot" w:pos="4171"/>
        </w:tabs>
        <w:spacing w:line="240" w:lineRule="auto"/>
        <w:ind w:left="2"/>
        <w:contextualSpacing/>
      </w:pPr>
      <w:r w:rsidRPr="003D1E07">
        <w:rPr>
          <w:i/>
        </w:rPr>
        <w:lastRenderedPageBreak/>
        <w:t>Liber de philosophia prima</w:t>
      </w:r>
      <w:r w:rsidRPr="003D1E07">
        <w:t xml:space="preserve"> 20.74‒76</w:t>
      </w:r>
      <w:r w:rsidRPr="003D1E07">
        <w:tab/>
        <w:t>300</w:t>
      </w:r>
    </w:p>
    <w:p w14:paraId="74255752"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228.29–36</w:t>
      </w:r>
      <w:r w:rsidRPr="003D1E07">
        <w:tab/>
        <w:t>277</w:t>
      </w:r>
    </w:p>
    <w:p w14:paraId="5793DC60"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231.74–81</w:t>
      </w:r>
      <w:r w:rsidRPr="003D1E07">
        <w:tab/>
        <w:t>295</w:t>
      </w:r>
    </w:p>
    <w:p w14:paraId="5E7A24D1"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234.42–44</w:t>
      </w:r>
      <w:r w:rsidRPr="003D1E07">
        <w:tab/>
        <w:t>293</w:t>
      </w:r>
    </w:p>
    <w:p w14:paraId="0EE34CE1"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234.58–60</w:t>
      </w:r>
      <w:r w:rsidRPr="003D1E07">
        <w:tab/>
        <w:t>285</w:t>
      </w:r>
    </w:p>
    <w:p w14:paraId="41091D3E"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239.71</w:t>
      </w:r>
      <w:r w:rsidRPr="003D1E07">
        <w:tab/>
        <w:t>296</w:t>
      </w:r>
    </w:p>
    <w:p w14:paraId="15B3B4A2"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264.46</w:t>
      </w:r>
      <w:r w:rsidRPr="003D1E07">
        <w:tab/>
        <w:t>296</w:t>
      </w:r>
    </w:p>
    <w:p w14:paraId="2A256DEA"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264.47</w:t>
      </w:r>
      <w:r w:rsidRPr="003D1E07">
        <w:tab/>
        <w:t>296</w:t>
      </w:r>
    </w:p>
    <w:p w14:paraId="78F67349"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34.55‒35.59</w:t>
      </w:r>
      <w:r w:rsidRPr="003D1E07">
        <w:tab/>
        <w:t>282</w:t>
      </w:r>
    </w:p>
    <w:p w14:paraId="21B1AA16"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35.62–68</w:t>
      </w:r>
      <w:r w:rsidRPr="003D1E07">
        <w:tab/>
        <w:t>284</w:t>
      </w:r>
    </w:p>
    <w:p w14:paraId="37D6DD7E"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36.78‒83</w:t>
      </w:r>
      <w:r w:rsidRPr="003D1E07">
        <w:tab/>
        <w:t>289</w:t>
      </w:r>
    </w:p>
    <w:p w14:paraId="48FBF9E6"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37.95</w:t>
      </w:r>
      <w:r w:rsidRPr="003D1E07">
        <w:tab/>
        <w:t>311</w:t>
      </w:r>
    </w:p>
    <w:p w14:paraId="05AEBF34"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423.81–85</w:t>
      </w:r>
      <w:r w:rsidRPr="003D1E07">
        <w:tab/>
        <w:t>262</w:t>
      </w:r>
    </w:p>
    <w:p w14:paraId="1BE9EEC8"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478.73–78</w:t>
      </w:r>
      <w:r w:rsidRPr="003D1E07">
        <w:tab/>
        <w:t>318</w:t>
      </w:r>
    </w:p>
    <w:p w14:paraId="787A2DAB"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481.50–51</w:t>
      </w:r>
      <w:r w:rsidRPr="003D1E07">
        <w:tab/>
        <w:t>318</w:t>
      </w:r>
    </w:p>
    <w:p w14:paraId="0236F01C"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51.83–88</w:t>
      </w:r>
      <w:r w:rsidRPr="003D1E07">
        <w:tab/>
        <w:t>331</w:t>
      </w:r>
    </w:p>
    <w:p w14:paraId="10A626BC"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511.79–83</w:t>
      </w:r>
      <w:r w:rsidRPr="003D1E07">
        <w:tab/>
        <w:t>323</w:t>
      </w:r>
    </w:p>
    <w:p w14:paraId="5128B57E"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55.58‒56.69</w:t>
      </w:r>
      <w:r w:rsidRPr="003D1E07">
        <w:tab/>
        <w:t>298</w:t>
      </w:r>
    </w:p>
    <w:p w14:paraId="21C78049"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55.64‒56.66</w:t>
      </w:r>
      <w:r w:rsidRPr="003D1E07">
        <w:tab/>
        <w:t>300</w:t>
      </w:r>
    </w:p>
    <w:p w14:paraId="7D913E5E"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70.14–71.18</w:t>
      </w:r>
      <w:r w:rsidRPr="003D1E07">
        <w:tab/>
        <w:t>310</w:t>
      </w:r>
    </w:p>
    <w:p w14:paraId="481291C9"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71.30‒33</w:t>
      </w:r>
      <w:r w:rsidRPr="003D1E07">
        <w:tab/>
        <w:t>313</w:t>
      </w:r>
    </w:p>
    <w:p w14:paraId="0B6FACC1"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72.47‒48</w:t>
      </w:r>
      <w:r w:rsidRPr="003D1E07">
        <w:tab/>
        <w:t>312</w:t>
      </w:r>
    </w:p>
    <w:p w14:paraId="56432EB2" w14:textId="77777777" w:rsidR="00367E15" w:rsidRPr="003D1E07" w:rsidRDefault="00367E15" w:rsidP="00367E15">
      <w:pPr>
        <w:pStyle w:val="Rejstk2"/>
        <w:tabs>
          <w:tab w:val="right" w:leader="dot" w:pos="4171"/>
        </w:tabs>
        <w:spacing w:line="240" w:lineRule="auto"/>
        <w:ind w:left="2"/>
        <w:contextualSpacing/>
      </w:pPr>
      <w:r w:rsidRPr="003D1E07">
        <w:rPr>
          <w:i/>
        </w:rPr>
        <w:t xml:space="preserve">Liber primus Naturalium </w:t>
      </w:r>
      <w:r w:rsidRPr="003D1E07">
        <w:t>66.29‒35</w:t>
      </w:r>
      <w:r w:rsidRPr="003D1E07">
        <w:tab/>
        <w:t>286</w:t>
      </w:r>
    </w:p>
    <w:p w14:paraId="6A63408C" w14:textId="77777777" w:rsidR="00367E15" w:rsidRPr="003D1E07" w:rsidRDefault="00367E15" w:rsidP="00367E15">
      <w:pPr>
        <w:pStyle w:val="Rejstk2"/>
        <w:tabs>
          <w:tab w:val="right" w:leader="dot" w:pos="4171"/>
        </w:tabs>
        <w:spacing w:line="240" w:lineRule="auto"/>
        <w:ind w:left="2"/>
        <w:contextualSpacing/>
      </w:pPr>
      <w:r w:rsidRPr="003D1E07">
        <w:rPr>
          <w:i/>
        </w:rPr>
        <w:t>Quaestiones Naturales</w:t>
      </w:r>
      <w:r w:rsidRPr="003D1E07">
        <w:t xml:space="preserve"> 53.18‒21</w:t>
      </w:r>
      <w:r w:rsidRPr="003D1E07">
        <w:tab/>
        <w:t>276</w:t>
      </w:r>
    </w:p>
    <w:p w14:paraId="7CB02B8C" w14:textId="77777777" w:rsidR="00367E15" w:rsidRPr="003D1E07" w:rsidRDefault="00367E15" w:rsidP="00367E15">
      <w:pPr>
        <w:pStyle w:val="Rejstk2"/>
        <w:tabs>
          <w:tab w:val="right" w:leader="dot" w:pos="4171"/>
        </w:tabs>
        <w:spacing w:line="240" w:lineRule="auto"/>
        <w:ind w:left="0"/>
        <w:contextualSpacing/>
      </w:pPr>
    </w:p>
    <w:p w14:paraId="0D83A142" w14:textId="77777777" w:rsidR="00367E15" w:rsidRPr="003D1E07" w:rsidRDefault="00367E15" w:rsidP="00367E15">
      <w:pPr>
        <w:pStyle w:val="Rejstk2"/>
        <w:tabs>
          <w:tab w:val="right" w:leader="dot" w:pos="4171"/>
        </w:tabs>
        <w:spacing w:line="240" w:lineRule="auto"/>
        <w:ind w:left="0"/>
        <w:contextualSpacing/>
      </w:pPr>
      <w:r w:rsidRPr="003D1E07">
        <w:rPr>
          <w:b/>
        </w:rPr>
        <w:t>Boethius</w:t>
      </w:r>
    </w:p>
    <w:p w14:paraId="0DCE1D26" w14:textId="77777777" w:rsidR="00367E15" w:rsidRPr="003D1E07" w:rsidRDefault="00367E15" w:rsidP="00367E15">
      <w:pPr>
        <w:pStyle w:val="Rejstk2"/>
        <w:tabs>
          <w:tab w:val="right" w:leader="dot" w:pos="4171"/>
        </w:tabs>
        <w:spacing w:line="240" w:lineRule="auto"/>
        <w:ind w:left="0" w:hanging="238"/>
        <w:contextualSpacing/>
      </w:pPr>
      <w:r w:rsidRPr="003D1E07">
        <w:rPr>
          <w:i/>
        </w:rPr>
        <w:t>In Porph. Isag.</w:t>
      </w:r>
      <w:r w:rsidRPr="003D1E07">
        <w:t xml:space="preserve"> 2.16</w:t>
      </w:r>
      <w:r w:rsidRPr="003D1E07">
        <w:tab/>
        <w:t>98, 108, 109, 169</w:t>
      </w:r>
    </w:p>
    <w:p w14:paraId="3740E8D0" w14:textId="77777777" w:rsidR="00367E15" w:rsidRPr="003D1E07" w:rsidRDefault="00367E15" w:rsidP="00367E15">
      <w:pPr>
        <w:pStyle w:val="Rejstk2"/>
        <w:tabs>
          <w:tab w:val="right" w:leader="dot" w:pos="4171"/>
        </w:tabs>
        <w:spacing w:line="240" w:lineRule="auto"/>
        <w:ind w:left="0"/>
        <w:contextualSpacing/>
        <w:rPr>
          <w:b/>
        </w:rPr>
      </w:pPr>
    </w:p>
    <w:p w14:paraId="50303B45" w14:textId="77777777" w:rsidR="00367E15" w:rsidRPr="003D1E07" w:rsidRDefault="00367E15" w:rsidP="00367E15">
      <w:pPr>
        <w:pStyle w:val="Rejstk2"/>
        <w:tabs>
          <w:tab w:val="right" w:leader="dot" w:pos="4171"/>
        </w:tabs>
        <w:spacing w:line="240" w:lineRule="auto"/>
        <w:ind w:left="0"/>
        <w:contextualSpacing/>
      </w:pPr>
      <w:r w:rsidRPr="003D1E07">
        <w:rPr>
          <w:b/>
        </w:rPr>
        <w:t>Damascius</w:t>
      </w:r>
    </w:p>
    <w:p w14:paraId="655E9962" w14:textId="77777777" w:rsidR="00367E15" w:rsidRPr="003D1E07" w:rsidRDefault="00367E15" w:rsidP="00367E15">
      <w:pPr>
        <w:pStyle w:val="Rejstk2"/>
        <w:tabs>
          <w:tab w:val="right" w:leader="dot" w:pos="4171"/>
        </w:tabs>
        <w:spacing w:line="240" w:lineRule="auto"/>
        <w:ind w:left="0"/>
        <w:contextualSpacing/>
      </w:pPr>
      <w:r w:rsidRPr="003D1E07">
        <w:rPr>
          <w:i/>
        </w:rPr>
        <w:t xml:space="preserve">In Phil. </w:t>
      </w:r>
      <w:r w:rsidRPr="003D1E07">
        <w:t>105.1–6</w:t>
      </w:r>
      <w:r w:rsidRPr="003D1E07">
        <w:tab/>
        <w:t>124</w:t>
      </w:r>
    </w:p>
    <w:p w14:paraId="792F4434" w14:textId="77777777" w:rsidR="00367E15" w:rsidRPr="003D1E07" w:rsidRDefault="00367E15" w:rsidP="00367E15">
      <w:pPr>
        <w:pStyle w:val="Rejstk2"/>
        <w:tabs>
          <w:tab w:val="right" w:leader="dot" w:pos="4171"/>
        </w:tabs>
        <w:spacing w:line="240" w:lineRule="auto"/>
        <w:ind w:left="0"/>
        <w:contextualSpacing/>
        <w:rPr>
          <w:b/>
        </w:rPr>
      </w:pPr>
    </w:p>
    <w:p w14:paraId="2558658B" w14:textId="77777777" w:rsidR="00367E15" w:rsidRPr="003D1E07" w:rsidRDefault="00367E15" w:rsidP="00367E15">
      <w:pPr>
        <w:pStyle w:val="Rejstk2"/>
        <w:tabs>
          <w:tab w:val="right" w:leader="dot" w:pos="4171"/>
        </w:tabs>
        <w:spacing w:line="240" w:lineRule="auto"/>
        <w:ind w:left="0"/>
        <w:contextualSpacing/>
      </w:pPr>
      <w:r w:rsidRPr="003D1E07">
        <w:rPr>
          <w:b/>
        </w:rPr>
        <w:t>René Descartes</w:t>
      </w:r>
    </w:p>
    <w:p w14:paraId="4B3C59A4" w14:textId="77777777" w:rsidR="00367E15" w:rsidRPr="003D1E07" w:rsidRDefault="00367E15" w:rsidP="00367E15">
      <w:pPr>
        <w:pStyle w:val="Rejstk2"/>
        <w:tabs>
          <w:tab w:val="right" w:leader="dot" w:pos="4171"/>
        </w:tabs>
        <w:spacing w:line="240" w:lineRule="auto"/>
        <w:ind w:left="0"/>
        <w:contextualSpacing/>
      </w:pPr>
      <w:r w:rsidRPr="003D1E07">
        <w:rPr>
          <w:i/>
        </w:rPr>
        <w:t>La Dioptrique</w:t>
      </w:r>
      <w:r w:rsidRPr="003D1E07">
        <w:t xml:space="preserve"> 6.85.24‒27</w:t>
      </w:r>
      <w:r w:rsidRPr="003D1E07">
        <w:tab/>
        <w:t>446</w:t>
      </w:r>
    </w:p>
    <w:p w14:paraId="6547C1BE" w14:textId="77777777" w:rsidR="00367E15" w:rsidRPr="003D1E07" w:rsidRDefault="00367E15" w:rsidP="00367E15">
      <w:pPr>
        <w:pStyle w:val="Rejstk2"/>
        <w:tabs>
          <w:tab w:val="right" w:leader="dot" w:pos="4171"/>
        </w:tabs>
        <w:spacing w:line="240" w:lineRule="auto"/>
        <w:ind w:left="0"/>
        <w:contextualSpacing/>
      </w:pPr>
      <w:r w:rsidRPr="003D1E07">
        <w:rPr>
          <w:i/>
        </w:rPr>
        <w:t>Principia philosophiae</w:t>
      </w:r>
      <w:r w:rsidRPr="003D1E07">
        <w:t xml:space="preserve"> 7.22.3‒9</w:t>
      </w:r>
      <w:r w:rsidRPr="003D1E07">
        <w:tab/>
        <w:t>273</w:t>
      </w:r>
    </w:p>
    <w:p w14:paraId="0CE075B6" w14:textId="77777777" w:rsidR="00367E15" w:rsidRPr="003D1E07" w:rsidRDefault="00367E15" w:rsidP="00367E15">
      <w:pPr>
        <w:pStyle w:val="Rejstk2"/>
        <w:tabs>
          <w:tab w:val="right" w:leader="dot" w:pos="4171"/>
        </w:tabs>
        <w:spacing w:line="240" w:lineRule="auto"/>
        <w:ind w:left="0"/>
        <w:contextualSpacing/>
        <w:rPr>
          <w:b/>
        </w:rPr>
      </w:pPr>
    </w:p>
    <w:p w14:paraId="1A1078DF" w14:textId="77777777" w:rsidR="00367E15" w:rsidRPr="003D1E07" w:rsidRDefault="00367E15" w:rsidP="00367E15">
      <w:pPr>
        <w:pStyle w:val="Rejstk2"/>
        <w:tabs>
          <w:tab w:val="right" w:leader="dot" w:pos="4171"/>
        </w:tabs>
        <w:spacing w:line="240" w:lineRule="auto"/>
        <w:ind w:left="0"/>
        <w:contextualSpacing/>
      </w:pPr>
      <w:r w:rsidRPr="003D1E07">
        <w:rPr>
          <w:b/>
        </w:rPr>
        <w:t>Dexippus</w:t>
      </w:r>
    </w:p>
    <w:p w14:paraId="04F9CDDE" w14:textId="77777777" w:rsidR="00367E15" w:rsidRPr="003D1E07" w:rsidRDefault="00367E15" w:rsidP="00367E15">
      <w:pPr>
        <w:pStyle w:val="Rejstk2"/>
        <w:tabs>
          <w:tab w:val="right" w:leader="dot" w:pos="4171"/>
        </w:tabs>
        <w:spacing w:line="240" w:lineRule="auto"/>
        <w:ind w:left="0"/>
        <w:contextualSpacing/>
      </w:pPr>
      <w:r w:rsidRPr="003D1E07">
        <w:rPr>
          <w:i/>
        </w:rPr>
        <w:t>Dexip.</w:t>
      </w:r>
      <w:r w:rsidRPr="003D1E07">
        <w:t xml:space="preserve"> </w:t>
      </w:r>
      <w:r w:rsidRPr="003D1E07">
        <w:rPr>
          <w:i/>
        </w:rPr>
        <w:t>in Cat.</w:t>
      </w:r>
      <w:r w:rsidRPr="003D1E07">
        <w:t xml:space="preserve"> 40.14</w:t>
      </w:r>
      <w:r w:rsidRPr="003D1E07">
        <w:tab/>
        <w:t>127</w:t>
      </w:r>
    </w:p>
    <w:p w14:paraId="7E5B82BB" w14:textId="77777777" w:rsidR="00367E15" w:rsidRPr="003D1E07" w:rsidRDefault="00367E15" w:rsidP="00367E15">
      <w:pPr>
        <w:pStyle w:val="Rejstk2"/>
        <w:tabs>
          <w:tab w:val="right" w:leader="dot" w:pos="4171"/>
        </w:tabs>
        <w:spacing w:line="240" w:lineRule="auto"/>
        <w:ind w:left="0"/>
        <w:contextualSpacing/>
      </w:pPr>
      <w:r w:rsidRPr="003D1E07">
        <w:rPr>
          <w:i/>
        </w:rPr>
        <w:t>Dexip.</w:t>
      </w:r>
      <w:r w:rsidRPr="003D1E07">
        <w:t xml:space="preserve"> </w:t>
      </w:r>
      <w:r w:rsidRPr="003D1E07">
        <w:rPr>
          <w:i/>
        </w:rPr>
        <w:t>in Cat.</w:t>
      </w:r>
      <w:r w:rsidRPr="003D1E07">
        <w:t xml:space="preserve"> 40.14–18</w:t>
      </w:r>
      <w:r w:rsidRPr="003D1E07">
        <w:tab/>
        <w:t>127</w:t>
      </w:r>
    </w:p>
    <w:p w14:paraId="17B32BE8" w14:textId="77777777" w:rsidR="00367E15" w:rsidRPr="003D1E07" w:rsidRDefault="00367E15" w:rsidP="00367E15">
      <w:pPr>
        <w:pStyle w:val="Rejstk2"/>
        <w:tabs>
          <w:tab w:val="right" w:leader="dot" w:pos="4171"/>
        </w:tabs>
        <w:spacing w:line="240" w:lineRule="auto"/>
        <w:ind w:left="0"/>
        <w:contextualSpacing/>
      </w:pPr>
      <w:r w:rsidRPr="003D1E07">
        <w:rPr>
          <w:i/>
        </w:rPr>
        <w:t>Dexip.</w:t>
      </w:r>
      <w:r w:rsidRPr="003D1E07">
        <w:t xml:space="preserve"> </w:t>
      </w:r>
      <w:r w:rsidRPr="003D1E07">
        <w:rPr>
          <w:i/>
        </w:rPr>
        <w:t>in Cat.</w:t>
      </w:r>
      <w:r w:rsidRPr="003D1E07">
        <w:t xml:space="preserve"> 40.15–16</w:t>
      </w:r>
      <w:r w:rsidRPr="003D1E07">
        <w:tab/>
        <w:t>127</w:t>
      </w:r>
    </w:p>
    <w:p w14:paraId="4FA83361" w14:textId="77777777" w:rsidR="00367E15" w:rsidRPr="003D1E07" w:rsidRDefault="00367E15" w:rsidP="00367E15">
      <w:pPr>
        <w:pStyle w:val="Rejstk2"/>
        <w:tabs>
          <w:tab w:val="right" w:leader="dot" w:pos="4171"/>
        </w:tabs>
        <w:spacing w:line="240" w:lineRule="auto"/>
        <w:ind w:left="0"/>
        <w:contextualSpacing/>
      </w:pPr>
      <w:r w:rsidRPr="003D1E07">
        <w:rPr>
          <w:i/>
        </w:rPr>
        <w:t>Dexip.</w:t>
      </w:r>
      <w:r w:rsidRPr="003D1E07">
        <w:t xml:space="preserve"> </w:t>
      </w:r>
      <w:r w:rsidRPr="003D1E07">
        <w:rPr>
          <w:i/>
        </w:rPr>
        <w:t>in Cat.</w:t>
      </w:r>
      <w:r w:rsidRPr="003D1E07">
        <w:t xml:space="preserve"> 40.17–18</w:t>
      </w:r>
      <w:r w:rsidRPr="003D1E07">
        <w:tab/>
        <w:t>128</w:t>
      </w:r>
    </w:p>
    <w:p w14:paraId="02C7F0C0" w14:textId="77777777" w:rsidR="00367E15" w:rsidRPr="003D1E07" w:rsidRDefault="00367E15" w:rsidP="00367E15">
      <w:pPr>
        <w:pStyle w:val="Rejstk2"/>
        <w:tabs>
          <w:tab w:val="right" w:leader="dot" w:pos="4171"/>
        </w:tabs>
        <w:spacing w:line="240" w:lineRule="auto"/>
        <w:ind w:left="0" w:hanging="238"/>
        <w:contextualSpacing/>
      </w:pPr>
      <w:r w:rsidRPr="003D1E07">
        <w:rPr>
          <w:i/>
        </w:rPr>
        <w:t>Dexip.</w:t>
      </w:r>
      <w:r w:rsidRPr="003D1E07">
        <w:t xml:space="preserve"> </w:t>
      </w:r>
      <w:r w:rsidRPr="003D1E07">
        <w:rPr>
          <w:i/>
        </w:rPr>
        <w:t>in Cat.</w:t>
      </w:r>
      <w:r w:rsidRPr="003D1E07">
        <w:t xml:space="preserve"> 42.20</w:t>
      </w:r>
      <w:r w:rsidRPr="003D1E07">
        <w:tab/>
        <w:t>129</w:t>
      </w:r>
    </w:p>
    <w:p w14:paraId="4B6BA76D" w14:textId="77777777" w:rsidR="00367E15" w:rsidRPr="003D1E07" w:rsidRDefault="00367E15" w:rsidP="00367E15">
      <w:pPr>
        <w:pStyle w:val="Rejstk2"/>
        <w:tabs>
          <w:tab w:val="right" w:leader="dot" w:pos="4171"/>
        </w:tabs>
        <w:spacing w:line="240" w:lineRule="auto"/>
        <w:ind w:left="0"/>
        <w:contextualSpacing/>
        <w:rPr>
          <w:b/>
        </w:rPr>
      </w:pPr>
    </w:p>
    <w:p w14:paraId="7C02EAD8" w14:textId="77777777" w:rsidR="00367E15" w:rsidRPr="003D1E07" w:rsidRDefault="00367E15" w:rsidP="00367E15">
      <w:pPr>
        <w:pStyle w:val="Rejstk2"/>
        <w:tabs>
          <w:tab w:val="right" w:leader="dot" w:pos="4171"/>
        </w:tabs>
        <w:spacing w:line="240" w:lineRule="auto"/>
        <w:ind w:left="0"/>
        <w:contextualSpacing/>
      </w:pPr>
      <w:r w:rsidRPr="003D1E07">
        <w:rPr>
          <w:b/>
        </w:rPr>
        <w:t>Elias</w:t>
      </w:r>
    </w:p>
    <w:p w14:paraId="16F8670B" w14:textId="77777777" w:rsidR="00367E15" w:rsidRPr="003D1E07" w:rsidRDefault="00367E15" w:rsidP="00367E15">
      <w:pPr>
        <w:pStyle w:val="Rejstk2"/>
        <w:tabs>
          <w:tab w:val="right" w:leader="dot" w:pos="4171"/>
        </w:tabs>
        <w:spacing w:line="240" w:lineRule="auto"/>
        <w:ind w:left="0"/>
        <w:contextualSpacing/>
      </w:pPr>
      <w:r w:rsidRPr="003D1E07">
        <w:rPr>
          <w:i/>
        </w:rPr>
        <w:t>Eliae in Isag</w:t>
      </w:r>
      <w:r w:rsidRPr="003D1E07">
        <w:t>. 71.2‒3</w:t>
      </w:r>
      <w:r w:rsidRPr="003D1E07">
        <w:tab/>
        <w:t>223</w:t>
      </w:r>
    </w:p>
    <w:p w14:paraId="5295CD2A" w14:textId="77777777" w:rsidR="00367E15" w:rsidRPr="003D1E07" w:rsidRDefault="00367E15" w:rsidP="00367E15">
      <w:pPr>
        <w:pStyle w:val="Rejstk2"/>
        <w:tabs>
          <w:tab w:val="right" w:leader="dot" w:pos="4171"/>
        </w:tabs>
        <w:spacing w:line="240" w:lineRule="auto"/>
        <w:ind w:left="0"/>
        <w:contextualSpacing/>
        <w:rPr>
          <w:b/>
        </w:rPr>
      </w:pPr>
    </w:p>
    <w:p w14:paraId="57EC98A0" w14:textId="77777777" w:rsidR="00367E15" w:rsidRPr="003D1E07" w:rsidRDefault="00367E15" w:rsidP="00367E15">
      <w:pPr>
        <w:pStyle w:val="Rejstk2"/>
        <w:tabs>
          <w:tab w:val="right" w:leader="dot" w:pos="4171"/>
        </w:tabs>
        <w:spacing w:line="240" w:lineRule="auto"/>
        <w:ind w:left="0"/>
        <w:contextualSpacing/>
      </w:pPr>
      <w:r w:rsidRPr="003D1E07">
        <w:rPr>
          <w:b/>
        </w:rPr>
        <w:t>Euripides</w:t>
      </w:r>
    </w:p>
    <w:p w14:paraId="2AA82032" w14:textId="77777777" w:rsidR="00367E15" w:rsidRPr="003D1E07" w:rsidRDefault="00367E15" w:rsidP="00367E15">
      <w:pPr>
        <w:pStyle w:val="Rejstk2"/>
        <w:tabs>
          <w:tab w:val="right" w:leader="dot" w:pos="4171"/>
        </w:tabs>
        <w:spacing w:line="240" w:lineRule="auto"/>
        <w:ind w:left="0"/>
        <w:contextualSpacing/>
      </w:pPr>
      <w:r w:rsidRPr="003D1E07">
        <w:rPr>
          <w:i/>
        </w:rPr>
        <w:t>Bacchae</w:t>
      </w:r>
      <w:r w:rsidRPr="003D1E07">
        <w:t xml:space="preserve"> 470</w:t>
      </w:r>
      <w:r w:rsidRPr="003D1E07">
        <w:tab/>
        <w:t>62</w:t>
      </w:r>
    </w:p>
    <w:p w14:paraId="0EE7F17D" w14:textId="77777777" w:rsidR="00367E15" w:rsidRPr="003D1E07" w:rsidRDefault="00367E15" w:rsidP="00367E15">
      <w:pPr>
        <w:pStyle w:val="Rejstk2"/>
        <w:tabs>
          <w:tab w:val="right" w:leader="dot" w:pos="4171"/>
        </w:tabs>
        <w:spacing w:line="240" w:lineRule="auto"/>
        <w:ind w:left="0"/>
        <w:contextualSpacing/>
        <w:rPr>
          <w:b/>
        </w:rPr>
      </w:pPr>
    </w:p>
    <w:p w14:paraId="7327FB49" w14:textId="77777777" w:rsidR="00367E15" w:rsidRPr="003D1E07" w:rsidRDefault="00367E15" w:rsidP="00367E15">
      <w:pPr>
        <w:pStyle w:val="Rejstk2"/>
        <w:tabs>
          <w:tab w:val="right" w:leader="dot" w:pos="4171"/>
        </w:tabs>
        <w:spacing w:line="240" w:lineRule="auto"/>
        <w:ind w:left="0"/>
        <w:contextualSpacing/>
      </w:pPr>
      <w:r w:rsidRPr="003D1E07">
        <w:rPr>
          <w:b/>
        </w:rPr>
        <w:t>Filoponus</w:t>
      </w:r>
    </w:p>
    <w:p w14:paraId="5FE0062B" w14:textId="77777777" w:rsidR="00367E15" w:rsidRPr="003D1E07" w:rsidRDefault="00367E15" w:rsidP="00367E15">
      <w:pPr>
        <w:pStyle w:val="Rejstk2"/>
        <w:tabs>
          <w:tab w:val="right" w:leader="dot" w:pos="4171"/>
        </w:tabs>
        <w:spacing w:line="240" w:lineRule="auto"/>
        <w:ind w:left="0"/>
        <w:contextualSpacing/>
      </w:pPr>
      <w:r w:rsidRPr="003D1E07">
        <w:rPr>
          <w:i/>
        </w:rPr>
        <w:t>De aeter</w:t>
      </w:r>
      <w:r w:rsidRPr="003D1E07">
        <w:t>. 424.10</w:t>
      </w:r>
      <w:r w:rsidRPr="003D1E07">
        <w:tab/>
        <w:t>164</w:t>
      </w:r>
    </w:p>
    <w:p w14:paraId="30599A21" w14:textId="77777777" w:rsidR="00367E15" w:rsidRPr="003D1E07" w:rsidRDefault="00367E15" w:rsidP="00367E15">
      <w:pPr>
        <w:pStyle w:val="Rejstk2"/>
        <w:tabs>
          <w:tab w:val="right" w:leader="dot" w:pos="4171"/>
        </w:tabs>
        <w:spacing w:line="240" w:lineRule="auto"/>
        <w:ind w:left="0"/>
        <w:contextualSpacing/>
      </w:pPr>
      <w:r w:rsidRPr="003D1E07">
        <w:rPr>
          <w:i/>
        </w:rPr>
        <w:t>De aeter</w:t>
      </w:r>
      <w:r w:rsidRPr="003D1E07">
        <w:t>. 424.10–11</w:t>
      </w:r>
      <w:r w:rsidRPr="003D1E07">
        <w:tab/>
        <w:t>164</w:t>
      </w:r>
    </w:p>
    <w:p w14:paraId="787ABD26" w14:textId="77777777" w:rsidR="00367E15" w:rsidRPr="003D1E07" w:rsidRDefault="00367E15" w:rsidP="00367E15">
      <w:pPr>
        <w:pStyle w:val="Rejstk2"/>
        <w:tabs>
          <w:tab w:val="right" w:leader="dot" w:pos="4171"/>
        </w:tabs>
        <w:spacing w:line="240" w:lineRule="auto"/>
        <w:ind w:left="0"/>
        <w:contextualSpacing/>
      </w:pPr>
      <w:r w:rsidRPr="003D1E07">
        <w:rPr>
          <w:i/>
        </w:rPr>
        <w:t>De aeter</w:t>
      </w:r>
      <w:r w:rsidRPr="003D1E07">
        <w:t>. 424.9</w:t>
      </w:r>
      <w:r w:rsidRPr="003D1E07">
        <w:tab/>
        <w:t>164</w:t>
      </w:r>
    </w:p>
    <w:p w14:paraId="17B760DB" w14:textId="77777777" w:rsidR="00367E15" w:rsidRPr="003D1E07" w:rsidRDefault="00367E15" w:rsidP="00367E15">
      <w:pPr>
        <w:pStyle w:val="Rejstk2"/>
        <w:tabs>
          <w:tab w:val="right" w:leader="dot" w:pos="4171"/>
        </w:tabs>
        <w:spacing w:line="240" w:lineRule="auto"/>
        <w:ind w:left="0"/>
        <w:contextualSpacing/>
      </w:pPr>
      <w:r w:rsidRPr="003D1E07">
        <w:rPr>
          <w:i/>
        </w:rPr>
        <w:t>De aeter</w:t>
      </w:r>
      <w:r w:rsidRPr="003D1E07">
        <w:t>. 424.9–11</w:t>
      </w:r>
      <w:r w:rsidRPr="003D1E07">
        <w:tab/>
        <w:t>164</w:t>
      </w:r>
    </w:p>
    <w:p w14:paraId="710B6362" w14:textId="77777777" w:rsidR="00367E15" w:rsidRPr="003D1E07" w:rsidRDefault="00367E15" w:rsidP="00367E15">
      <w:pPr>
        <w:pStyle w:val="Rejstk2"/>
        <w:tabs>
          <w:tab w:val="right" w:leader="dot" w:pos="4171"/>
        </w:tabs>
        <w:spacing w:line="240" w:lineRule="auto"/>
        <w:ind w:left="0"/>
        <w:contextualSpacing/>
      </w:pPr>
      <w:r w:rsidRPr="003D1E07">
        <w:rPr>
          <w:i/>
        </w:rPr>
        <w:t xml:space="preserve">Phil. in De gen. et corr. </w:t>
      </w:r>
      <w:r w:rsidRPr="003D1E07">
        <w:t>63.11</w:t>
      </w:r>
      <w:r w:rsidRPr="003D1E07">
        <w:tab/>
        <w:t>165</w:t>
      </w:r>
    </w:p>
    <w:p w14:paraId="5CF09EC9" w14:textId="77777777" w:rsidR="00367E15" w:rsidRPr="003D1E07" w:rsidRDefault="00367E15" w:rsidP="00367E15">
      <w:pPr>
        <w:pStyle w:val="Rejstk2"/>
        <w:tabs>
          <w:tab w:val="right" w:leader="dot" w:pos="4171"/>
        </w:tabs>
        <w:spacing w:line="240" w:lineRule="auto"/>
        <w:ind w:left="0"/>
        <w:contextualSpacing/>
      </w:pPr>
      <w:r w:rsidRPr="003D1E07">
        <w:rPr>
          <w:i/>
        </w:rPr>
        <w:t>Philoponi in Cat</w:t>
      </w:r>
      <w:r w:rsidRPr="003D1E07">
        <w:t>. 149.19</w:t>
      </w:r>
      <w:r w:rsidRPr="003D1E07">
        <w:tab/>
        <w:t>145</w:t>
      </w:r>
    </w:p>
    <w:p w14:paraId="16086C59" w14:textId="77777777" w:rsidR="00367E15" w:rsidRPr="003D1E07" w:rsidRDefault="00367E15" w:rsidP="00367E15">
      <w:pPr>
        <w:pStyle w:val="Rejstk2"/>
        <w:tabs>
          <w:tab w:val="right" w:leader="dot" w:pos="4171"/>
        </w:tabs>
        <w:spacing w:line="240" w:lineRule="auto"/>
        <w:ind w:left="0" w:hanging="238"/>
        <w:contextualSpacing/>
      </w:pPr>
      <w:r w:rsidRPr="003D1E07">
        <w:rPr>
          <w:i/>
        </w:rPr>
        <w:t>Philoponi in Cat</w:t>
      </w:r>
      <w:r w:rsidRPr="003D1E07">
        <w:t>. 149.20</w:t>
      </w:r>
      <w:r w:rsidRPr="003D1E07">
        <w:tab/>
        <w:t>145</w:t>
      </w:r>
    </w:p>
    <w:p w14:paraId="5C315850" w14:textId="77777777" w:rsidR="00367E15" w:rsidRPr="003D1E07" w:rsidRDefault="00367E15" w:rsidP="00367E15">
      <w:pPr>
        <w:pStyle w:val="Rejstk2"/>
        <w:tabs>
          <w:tab w:val="right" w:leader="dot" w:pos="4171"/>
        </w:tabs>
        <w:spacing w:line="240" w:lineRule="auto"/>
        <w:ind w:left="0"/>
        <w:contextualSpacing/>
        <w:rPr>
          <w:b/>
        </w:rPr>
      </w:pPr>
    </w:p>
    <w:p w14:paraId="6C15E7ED" w14:textId="77777777" w:rsidR="00367E15" w:rsidRPr="003D1E07" w:rsidRDefault="00367E15" w:rsidP="00367E15">
      <w:pPr>
        <w:pStyle w:val="Rejstk2"/>
        <w:tabs>
          <w:tab w:val="right" w:leader="dot" w:pos="4171"/>
        </w:tabs>
        <w:spacing w:line="240" w:lineRule="auto"/>
        <w:ind w:left="0"/>
        <w:contextualSpacing/>
      </w:pPr>
      <w:r w:rsidRPr="003D1E07">
        <w:rPr>
          <w:b/>
        </w:rPr>
        <w:t xml:space="preserve">Sigmund Freud </w:t>
      </w:r>
    </w:p>
    <w:p w14:paraId="1F6F5A66" w14:textId="77777777" w:rsidR="00367E15" w:rsidRPr="003D1E07" w:rsidRDefault="00367E15" w:rsidP="00367E15">
      <w:pPr>
        <w:pStyle w:val="Rejstk2"/>
        <w:tabs>
          <w:tab w:val="right" w:leader="dot" w:pos="4171"/>
        </w:tabs>
        <w:spacing w:line="240" w:lineRule="auto"/>
        <w:ind w:left="0"/>
        <w:contextualSpacing/>
      </w:pPr>
      <w:r w:rsidRPr="003D1E07">
        <w:t>GW 10, 219</w:t>
      </w:r>
      <w:r w:rsidRPr="003D1E07">
        <w:tab/>
        <w:t>79</w:t>
      </w:r>
    </w:p>
    <w:p w14:paraId="0DEBB2BB" w14:textId="77777777" w:rsidR="00367E15" w:rsidRPr="003D1E07" w:rsidRDefault="00367E15" w:rsidP="00367E15">
      <w:pPr>
        <w:pStyle w:val="Rejstk2"/>
        <w:tabs>
          <w:tab w:val="right" w:leader="dot" w:pos="4171"/>
        </w:tabs>
        <w:spacing w:line="240" w:lineRule="auto"/>
        <w:ind w:left="0"/>
        <w:contextualSpacing/>
        <w:rPr>
          <w:b/>
        </w:rPr>
      </w:pPr>
    </w:p>
    <w:p w14:paraId="263461D6" w14:textId="77777777" w:rsidR="00367E15" w:rsidRPr="003D1E07" w:rsidRDefault="00367E15" w:rsidP="00367E15">
      <w:pPr>
        <w:pStyle w:val="Rejstk2"/>
        <w:tabs>
          <w:tab w:val="right" w:leader="dot" w:pos="4171"/>
        </w:tabs>
        <w:spacing w:line="240" w:lineRule="auto"/>
        <w:ind w:left="0"/>
        <w:contextualSpacing/>
      </w:pPr>
      <w:r w:rsidRPr="003D1E07">
        <w:rPr>
          <w:b/>
        </w:rPr>
        <w:t>Gundissalinus</w:t>
      </w:r>
    </w:p>
    <w:p w14:paraId="429A2788" w14:textId="77777777" w:rsidR="00367E15" w:rsidRPr="003D1E07" w:rsidRDefault="00367E15" w:rsidP="00367E15">
      <w:pPr>
        <w:pStyle w:val="Rejstk2"/>
        <w:tabs>
          <w:tab w:val="right" w:leader="dot" w:pos="4171"/>
        </w:tabs>
        <w:spacing w:line="240" w:lineRule="auto"/>
        <w:ind w:left="0"/>
        <w:contextualSpacing/>
      </w:pPr>
      <w:r w:rsidRPr="003D1E07">
        <w:rPr>
          <w:i/>
        </w:rPr>
        <w:t>In De anima</w:t>
      </w:r>
      <w:r w:rsidRPr="003D1E07">
        <w:t xml:space="preserve"> 42.14–15</w:t>
      </w:r>
      <w:r w:rsidRPr="003D1E07">
        <w:tab/>
        <w:t>274</w:t>
      </w:r>
    </w:p>
    <w:p w14:paraId="2EEB6F9D" w14:textId="77777777" w:rsidR="00367E15" w:rsidRPr="003D1E07" w:rsidRDefault="00367E15" w:rsidP="00367E15">
      <w:pPr>
        <w:pStyle w:val="Rejstk2"/>
        <w:tabs>
          <w:tab w:val="right" w:leader="dot" w:pos="4171"/>
        </w:tabs>
        <w:spacing w:line="240" w:lineRule="auto"/>
        <w:ind w:left="0"/>
        <w:contextualSpacing/>
        <w:rPr>
          <w:b/>
        </w:rPr>
      </w:pPr>
    </w:p>
    <w:p w14:paraId="1925A065" w14:textId="77777777" w:rsidR="00367E15" w:rsidRPr="003D1E07" w:rsidRDefault="00367E15" w:rsidP="00367E15">
      <w:pPr>
        <w:pStyle w:val="Rejstk2"/>
        <w:tabs>
          <w:tab w:val="right" w:leader="dot" w:pos="4171"/>
        </w:tabs>
        <w:spacing w:line="240" w:lineRule="auto"/>
        <w:ind w:left="0"/>
        <w:contextualSpacing/>
      </w:pPr>
      <w:r w:rsidRPr="003D1E07">
        <w:rPr>
          <w:b/>
        </w:rPr>
        <w:t>Martin Heidegger</w:t>
      </w:r>
    </w:p>
    <w:p w14:paraId="53870BAC" w14:textId="77777777" w:rsidR="00367E15" w:rsidRPr="003D1E07" w:rsidRDefault="00367E15" w:rsidP="00367E15">
      <w:pPr>
        <w:pStyle w:val="Rejstk2"/>
        <w:tabs>
          <w:tab w:val="right" w:leader="dot" w:pos="4171"/>
        </w:tabs>
        <w:spacing w:line="240" w:lineRule="auto"/>
        <w:ind w:left="0" w:hanging="238"/>
        <w:contextualSpacing/>
      </w:pPr>
      <w:r w:rsidRPr="003D1E07">
        <w:t>GA 11, 48</w:t>
      </w:r>
      <w:r w:rsidRPr="003D1E07">
        <w:tab/>
        <w:t>60</w:t>
      </w:r>
    </w:p>
    <w:p w14:paraId="7ED79C2C" w14:textId="77777777" w:rsidR="00367E15" w:rsidRPr="003D1E07" w:rsidRDefault="00367E15" w:rsidP="00367E15">
      <w:pPr>
        <w:pStyle w:val="Rejstk2"/>
        <w:tabs>
          <w:tab w:val="right" w:leader="dot" w:pos="4171"/>
        </w:tabs>
        <w:spacing w:line="240" w:lineRule="auto"/>
        <w:ind w:left="0"/>
        <w:contextualSpacing/>
      </w:pPr>
      <w:r w:rsidRPr="003D1E07">
        <w:t>GA 12, 115</w:t>
      </w:r>
      <w:r w:rsidRPr="003D1E07">
        <w:tab/>
        <w:t>19</w:t>
      </w:r>
    </w:p>
    <w:p w14:paraId="308F4A42" w14:textId="77777777" w:rsidR="00367E15" w:rsidRPr="003D1E07" w:rsidRDefault="00367E15" w:rsidP="00367E15">
      <w:pPr>
        <w:pStyle w:val="Rejstk2"/>
        <w:tabs>
          <w:tab w:val="right" w:leader="dot" w:pos="4171"/>
        </w:tabs>
        <w:spacing w:line="240" w:lineRule="auto"/>
        <w:ind w:left="0"/>
        <w:contextualSpacing/>
      </w:pPr>
      <w:r w:rsidRPr="003D1E07">
        <w:t>GA 14, 80</w:t>
      </w:r>
      <w:r w:rsidRPr="003D1E07">
        <w:tab/>
        <w:t>54</w:t>
      </w:r>
    </w:p>
    <w:p w14:paraId="04208CA3" w14:textId="77777777" w:rsidR="00367E15" w:rsidRPr="003D1E07" w:rsidRDefault="00367E15" w:rsidP="00367E15">
      <w:pPr>
        <w:pStyle w:val="Rejstk2"/>
        <w:tabs>
          <w:tab w:val="right" w:leader="dot" w:pos="4171"/>
        </w:tabs>
        <w:spacing w:line="240" w:lineRule="auto"/>
        <w:ind w:left="0"/>
        <w:contextualSpacing/>
      </w:pPr>
      <w:r w:rsidRPr="003D1E07">
        <w:t>GA 14, 82</w:t>
      </w:r>
      <w:r w:rsidRPr="003D1E07">
        <w:tab/>
        <w:t>54</w:t>
      </w:r>
    </w:p>
    <w:p w14:paraId="6FC007B4" w14:textId="77777777" w:rsidR="00367E15" w:rsidRPr="003D1E07" w:rsidRDefault="00367E15" w:rsidP="00367E15">
      <w:pPr>
        <w:pStyle w:val="Rejstk2"/>
        <w:tabs>
          <w:tab w:val="right" w:leader="dot" w:pos="4171"/>
        </w:tabs>
        <w:spacing w:line="240" w:lineRule="auto"/>
        <w:ind w:left="0"/>
        <w:contextualSpacing/>
      </w:pPr>
      <w:r w:rsidRPr="003D1E07">
        <w:t>GA 14, 88</w:t>
      </w:r>
      <w:r w:rsidRPr="003D1E07">
        <w:tab/>
        <w:t>56</w:t>
      </w:r>
    </w:p>
    <w:p w14:paraId="34F470F6" w14:textId="77777777" w:rsidR="00367E15" w:rsidRPr="003D1E07" w:rsidRDefault="00367E15" w:rsidP="00367E15">
      <w:pPr>
        <w:pStyle w:val="Rejstk2"/>
        <w:tabs>
          <w:tab w:val="right" w:leader="dot" w:pos="4171"/>
        </w:tabs>
        <w:spacing w:line="240" w:lineRule="auto"/>
        <w:ind w:left="0"/>
        <w:contextualSpacing/>
      </w:pPr>
      <w:r w:rsidRPr="003D1E07">
        <w:t>GA 14,84</w:t>
      </w:r>
      <w:r w:rsidRPr="003D1E07">
        <w:tab/>
        <w:t>54</w:t>
      </w:r>
    </w:p>
    <w:p w14:paraId="209E6EDA" w14:textId="77777777" w:rsidR="00367E15" w:rsidRPr="003D1E07" w:rsidRDefault="00367E15" w:rsidP="00367E15">
      <w:pPr>
        <w:pStyle w:val="Rejstk2"/>
        <w:tabs>
          <w:tab w:val="right" w:leader="dot" w:pos="4171"/>
        </w:tabs>
        <w:spacing w:line="240" w:lineRule="auto"/>
        <w:ind w:left="0"/>
        <w:contextualSpacing/>
      </w:pPr>
      <w:r w:rsidRPr="003D1E07">
        <w:t>GA 40, 125</w:t>
      </w:r>
      <w:r w:rsidRPr="003D1E07">
        <w:tab/>
        <w:t>17</w:t>
      </w:r>
    </w:p>
    <w:p w14:paraId="790F60BB" w14:textId="77777777" w:rsidR="00367E15" w:rsidRPr="003D1E07" w:rsidRDefault="00367E15" w:rsidP="00367E15">
      <w:pPr>
        <w:pStyle w:val="Rejstk2"/>
        <w:tabs>
          <w:tab w:val="right" w:leader="dot" w:pos="4171"/>
        </w:tabs>
        <w:spacing w:line="240" w:lineRule="auto"/>
        <w:ind w:left="0"/>
        <w:contextualSpacing/>
      </w:pPr>
      <w:r w:rsidRPr="003D1E07">
        <w:t>GA 5, 337</w:t>
      </w:r>
      <w:r w:rsidRPr="003D1E07">
        <w:tab/>
        <w:t>56, 68</w:t>
      </w:r>
    </w:p>
    <w:p w14:paraId="5DFEE755" w14:textId="77777777" w:rsidR="00367E15" w:rsidRPr="003D1E07" w:rsidRDefault="00367E15" w:rsidP="00367E15">
      <w:pPr>
        <w:pStyle w:val="Rejstk2"/>
        <w:tabs>
          <w:tab w:val="right" w:leader="dot" w:pos="4171"/>
        </w:tabs>
        <w:spacing w:line="240" w:lineRule="auto"/>
        <w:ind w:left="0"/>
        <w:contextualSpacing/>
      </w:pPr>
      <w:r w:rsidRPr="003D1E07">
        <w:t>GA 5, 338</w:t>
      </w:r>
      <w:r w:rsidRPr="003D1E07">
        <w:tab/>
        <w:t>68</w:t>
      </w:r>
    </w:p>
    <w:p w14:paraId="16FD9C65" w14:textId="77777777" w:rsidR="00367E15" w:rsidRPr="003D1E07" w:rsidRDefault="00367E15" w:rsidP="00367E15">
      <w:pPr>
        <w:pStyle w:val="Rejstk2"/>
        <w:tabs>
          <w:tab w:val="right" w:leader="dot" w:pos="4171"/>
        </w:tabs>
        <w:spacing w:line="240" w:lineRule="auto"/>
        <w:ind w:left="0"/>
        <w:contextualSpacing/>
      </w:pPr>
      <w:r w:rsidRPr="003D1E07">
        <w:t>GA 5, 368</w:t>
      </w:r>
      <w:r w:rsidRPr="003D1E07">
        <w:tab/>
        <w:t>61</w:t>
      </w:r>
    </w:p>
    <w:p w14:paraId="1A65937A" w14:textId="77777777" w:rsidR="00367E15" w:rsidRPr="003D1E07" w:rsidRDefault="00367E15" w:rsidP="00367E15">
      <w:pPr>
        <w:pStyle w:val="Rejstk2"/>
        <w:tabs>
          <w:tab w:val="right" w:leader="dot" w:pos="4171"/>
        </w:tabs>
        <w:spacing w:line="240" w:lineRule="auto"/>
        <w:ind w:left="0"/>
        <w:contextualSpacing/>
      </w:pPr>
      <w:r w:rsidRPr="003D1E07">
        <w:t>GA 59, 60–89</w:t>
      </w:r>
      <w:r w:rsidRPr="003D1E07">
        <w:tab/>
        <w:t>15</w:t>
      </w:r>
    </w:p>
    <w:p w14:paraId="45D77F6B" w14:textId="77777777" w:rsidR="00367E15" w:rsidRPr="003D1E07" w:rsidRDefault="00367E15" w:rsidP="00367E15">
      <w:pPr>
        <w:pStyle w:val="Rejstk2"/>
        <w:tabs>
          <w:tab w:val="right" w:leader="dot" w:pos="4171"/>
        </w:tabs>
        <w:spacing w:line="240" w:lineRule="auto"/>
        <w:ind w:left="0"/>
        <w:contextualSpacing/>
      </w:pPr>
      <w:r w:rsidRPr="003D1E07">
        <w:t>GA 6.1, 177−178</w:t>
      </w:r>
      <w:r w:rsidRPr="003D1E07">
        <w:tab/>
        <w:t>35</w:t>
      </w:r>
    </w:p>
    <w:p w14:paraId="77400C60" w14:textId="77777777" w:rsidR="00367E15" w:rsidRPr="003D1E07" w:rsidRDefault="00367E15" w:rsidP="00367E15">
      <w:pPr>
        <w:pStyle w:val="Rejstk2"/>
        <w:tabs>
          <w:tab w:val="right" w:leader="dot" w:pos="4171"/>
        </w:tabs>
        <w:spacing w:line="240" w:lineRule="auto"/>
        <w:ind w:left="0"/>
        <w:contextualSpacing/>
      </w:pPr>
      <w:r w:rsidRPr="003D1E07">
        <w:t>GA 63, 80</w:t>
      </w:r>
      <w:r w:rsidRPr="003D1E07">
        <w:tab/>
        <w:t>16</w:t>
      </w:r>
    </w:p>
    <w:p w14:paraId="6F27BD47" w14:textId="77777777" w:rsidR="00367E15" w:rsidRPr="003D1E07" w:rsidRDefault="00367E15" w:rsidP="00367E15">
      <w:pPr>
        <w:pStyle w:val="Rejstk2"/>
        <w:tabs>
          <w:tab w:val="right" w:leader="dot" w:pos="4171"/>
        </w:tabs>
        <w:spacing w:line="240" w:lineRule="auto"/>
        <w:ind w:left="0"/>
        <w:contextualSpacing/>
      </w:pPr>
      <w:r w:rsidRPr="003D1E07">
        <w:t>GA 65, 64</w:t>
      </w:r>
      <w:r w:rsidRPr="003D1E07">
        <w:tab/>
        <w:t>63</w:t>
      </w:r>
    </w:p>
    <w:p w14:paraId="6295371D" w14:textId="77777777" w:rsidR="00367E15" w:rsidRPr="003D1E07" w:rsidRDefault="00367E15" w:rsidP="00367E15">
      <w:pPr>
        <w:pStyle w:val="Rejstk2"/>
        <w:tabs>
          <w:tab w:val="right" w:leader="dot" w:pos="4171"/>
        </w:tabs>
        <w:spacing w:line="240" w:lineRule="auto"/>
        <w:ind w:left="0"/>
        <w:contextualSpacing/>
      </w:pPr>
      <w:r w:rsidRPr="003D1E07">
        <w:t>GA 65, 71</w:t>
      </w:r>
      <w:r w:rsidRPr="003D1E07">
        <w:tab/>
        <w:t>66</w:t>
      </w:r>
    </w:p>
    <w:p w14:paraId="11704A26" w14:textId="77777777" w:rsidR="00367E15" w:rsidRPr="003D1E07" w:rsidRDefault="00367E15" w:rsidP="00367E15">
      <w:pPr>
        <w:pStyle w:val="Rejstk2"/>
        <w:tabs>
          <w:tab w:val="right" w:leader="dot" w:pos="4171"/>
        </w:tabs>
        <w:spacing w:line="240" w:lineRule="auto"/>
        <w:ind w:left="0"/>
        <w:contextualSpacing/>
      </w:pPr>
      <w:r w:rsidRPr="003D1E07">
        <w:t>GA 7, 141</w:t>
      </w:r>
      <w:r w:rsidRPr="003D1E07">
        <w:tab/>
        <w:t>251</w:t>
      </w:r>
    </w:p>
    <w:p w14:paraId="1BD95BE3" w14:textId="77777777" w:rsidR="00367E15" w:rsidRPr="003D1E07" w:rsidRDefault="00367E15" w:rsidP="00367E15">
      <w:pPr>
        <w:pStyle w:val="Rejstk2"/>
        <w:tabs>
          <w:tab w:val="right" w:leader="dot" w:pos="4171"/>
        </w:tabs>
        <w:spacing w:line="240" w:lineRule="auto"/>
        <w:ind w:left="0"/>
        <w:contextualSpacing/>
      </w:pPr>
      <w:r w:rsidRPr="003D1E07">
        <w:t>GA 7, 183</w:t>
      </w:r>
      <w:r w:rsidRPr="003D1E07">
        <w:tab/>
        <w:t>65</w:t>
      </w:r>
    </w:p>
    <w:p w14:paraId="7CA6E343" w14:textId="77777777" w:rsidR="00367E15" w:rsidRPr="003D1E07" w:rsidRDefault="00367E15" w:rsidP="00367E15">
      <w:pPr>
        <w:pStyle w:val="Rejstk2"/>
        <w:tabs>
          <w:tab w:val="right" w:leader="dot" w:pos="4171"/>
        </w:tabs>
        <w:spacing w:line="240" w:lineRule="auto"/>
        <w:ind w:left="0"/>
        <w:contextualSpacing/>
      </w:pPr>
      <w:r w:rsidRPr="003D1E07">
        <w:t>GA 79, 32</w:t>
      </w:r>
      <w:r w:rsidRPr="003D1E07">
        <w:tab/>
        <w:t>69</w:t>
      </w:r>
    </w:p>
    <w:p w14:paraId="29696C57" w14:textId="77777777" w:rsidR="00367E15" w:rsidRPr="003D1E07" w:rsidRDefault="00367E15" w:rsidP="00367E15">
      <w:pPr>
        <w:pStyle w:val="Rejstk2"/>
        <w:tabs>
          <w:tab w:val="right" w:leader="dot" w:pos="4171"/>
        </w:tabs>
        <w:spacing w:line="240" w:lineRule="auto"/>
        <w:ind w:left="0"/>
        <w:contextualSpacing/>
      </w:pPr>
      <w:r w:rsidRPr="003D1E07">
        <w:t>GA 9, 196‒97</w:t>
      </w:r>
      <w:r w:rsidRPr="003D1E07">
        <w:tab/>
        <w:t>68</w:t>
      </w:r>
    </w:p>
    <w:p w14:paraId="4C6E07C4" w14:textId="77777777" w:rsidR="00367E15" w:rsidRPr="003D1E07" w:rsidRDefault="00367E15" w:rsidP="00367E15">
      <w:pPr>
        <w:pStyle w:val="Rejstk2"/>
        <w:tabs>
          <w:tab w:val="right" w:leader="dot" w:pos="4171"/>
        </w:tabs>
        <w:spacing w:line="240" w:lineRule="auto"/>
        <w:ind w:left="0"/>
        <w:contextualSpacing/>
      </w:pPr>
      <w:r w:rsidRPr="003D1E07">
        <w:t>GA 9, 218</w:t>
      </w:r>
      <w:r w:rsidRPr="003D1E07">
        <w:tab/>
        <w:t>31</w:t>
      </w:r>
    </w:p>
    <w:p w14:paraId="342CD2F4" w14:textId="77777777" w:rsidR="00367E15" w:rsidRPr="003D1E07" w:rsidRDefault="00367E15" w:rsidP="00367E15">
      <w:pPr>
        <w:pStyle w:val="Rejstk2"/>
        <w:tabs>
          <w:tab w:val="right" w:leader="dot" w:pos="4171"/>
        </w:tabs>
        <w:spacing w:line="240" w:lineRule="auto"/>
        <w:ind w:left="0"/>
        <w:contextualSpacing/>
      </w:pPr>
      <w:r w:rsidRPr="003D1E07">
        <w:t>GA 9, 225</w:t>
      </w:r>
      <w:r w:rsidRPr="003D1E07">
        <w:tab/>
        <w:t>34</w:t>
      </w:r>
    </w:p>
    <w:p w14:paraId="36A5B1EF" w14:textId="77777777" w:rsidR="00367E15" w:rsidRPr="003D1E07" w:rsidRDefault="00367E15" w:rsidP="00367E15">
      <w:pPr>
        <w:pStyle w:val="Rejstk2"/>
        <w:tabs>
          <w:tab w:val="right" w:leader="dot" w:pos="4171"/>
        </w:tabs>
        <w:spacing w:line="240" w:lineRule="auto"/>
        <w:ind w:left="0"/>
        <w:contextualSpacing/>
      </w:pPr>
      <w:r w:rsidRPr="003D1E07">
        <w:t>GA 9, 230</w:t>
      </w:r>
      <w:r w:rsidRPr="003D1E07">
        <w:tab/>
        <w:t>30</w:t>
      </w:r>
    </w:p>
    <w:p w14:paraId="0DA7E8C2" w14:textId="77777777" w:rsidR="00367E15" w:rsidRPr="003D1E07" w:rsidRDefault="00367E15" w:rsidP="00367E15">
      <w:pPr>
        <w:pStyle w:val="Rejstk2"/>
        <w:tabs>
          <w:tab w:val="right" w:leader="dot" w:pos="4171"/>
        </w:tabs>
        <w:spacing w:line="240" w:lineRule="auto"/>
        <w:ind w:left="0"/>
        <w:contextualSpacing/>
      </w:pPr>
      <w:r w:rsidRPr="003D1E07">
        <w:t>GA 9, 231</w:t>
      </w:r>
      <w:r w:rsidRPr="003D1E07">
        <w:tab/>
        <w:t>34</w:t>
      </w:r>
    </w:p>
    <w:p w14:paraId="7D990029" w14:textId="77777777" w:rsidR="00367E15" w:rsidRPr="003D1E07" w:rsidRDefault="00367E15" w:rsidP="00367E15">
      <w:pPr>
        <w:pStyle w:val="Rejstk2"/>
        <w:tabs>
          <w:tab w:val="right" w:leader="dot" w:pos="4171"/>
        </w:tabs>
        <w:spacing w:line="240" w:lineRule="auto"/>
        <w:ind w:left="0"/>
        <w:contextualSpacing/>
      </w:pPr>
      <w:r w:rsidRPr="003D1E07">
        <w:t>GA 9, 323‒24</w:t>
      </w:r>
      <w:r w:rsidRPr="003D1E07">
        <w:tab/>
        <w:t>231</w:t>
      </w:r>
    </w:p>
    <w:p w14:paraId="71A8331B" w14:textId="77777777" w:rsidR="00367E15" w:rsidRPr="003D1E07" w:rsidRDefault="00367E15" w:rsidP="00367E15">
      <w:pPr>
        <w:pStyle w:val="Rejstk2"/>
        <w:tabs>
          <w:tab w:val="right" w:leader="dot" w:pos="4171"/>
        </w:tabs>
        <w:spacing w:line="240" w:lineRule="auto"/>
        <w:ind w:left="0"/>
        <w:contextualSpacing/>
      </w:pPr>
      <w:r w:rsidRPr="003D1E07">
        <w:t>GA 9, 330</w:t>
      </w:r>
      <w:r w:rsidRPr="003D1E07">
        <w:tab/>
        <w:t>67</w:t>
      </w:r>
    </w:p>
    <w:p w14:paraId="5CBD89B8" w14:textId="77777777" w:rsidR="00367E15" w:rsidRPr="003D1E07" w:rsidRDefault="00367E15" w:rsidP="00367E15">
      <w:pPr>
        <w:pStyle w:val="Rejstk2"/>
        <w:tabs>
          <w:tab w:val="right" w:leader="dot" w:pos="4171"/>
        </w:tabs>
        <w:spacing w:line="240" w:lineRule="auto"/>
        <w:ind w:left="0"/>
        <w:contextualSpacing/>
      </w:pPr>
      <w:r w:rsidRPr="003D1E07">
        <w:t>SZ 133</w:t>
      </w:r>
      <w:r w:rsidRPr="003D1E07">
        <w:tab/>
        <w:t>53</w:t>
      </w:r>
    </w:p>
    <w:p w14:paraId="6E593BDF" w14:textId="77777777" w:rsidR="00367E15" w:rsidRPr="003D1E07" w:rsidRDefault="00367E15" w:rsidP="00367E15">
      <w:pPr>
        <w:pStyle w:val="Rejstk2"/>
        <w:tabs>
          <w:tab w:val="right" w:leader="dot" w:pos="4171"/>
        </w:tabs>
        <w:spacing w:line="240" w:lineRule="auto"/>
        <w:ind w:left="0"/>
        <w:contextualSpacing/>
      </w:pPr>
      <w:r w:rsidRPr="003D1E07">
        <w:t>SZ 149</w:t>
      </w:r>
      <w:r w:rsidRPr="003D1E07">
        <w:tab/>
        <w:t>17</w:t>
      </w:r>
    </w:p>
    <w:p w14:paraId="705AC6A8" w14:textId="77777777" w:rsidR="00367E15" w:rsidRPr="003D1E07" w:rsidRDefault="00367E15" w:rsidP="00367E15">
      <w:pPr>
        <w:pStyle w:val="Rejstk2"/>
        <w:tabs>
          <w:tab w:val="right" w:leader="dot" w:pos="4171"/>
        </w:tabs>
        <w:spacing w:line="240" w:lineRule="auto"/>
        <w:ind w:left="0"/>
        <w:contextualSpacing/>
      </w:pPr>
      <w:r w:rsidRPr="003D1E07">
        <w:t>SZ 170</w:t>
      </w:r>
      <w:r w:rsidRPr="003D1E07">
        <w:tab/>
        <w:t>53</w:t>
      </w:r>
    </w:p>
    <w:p w14:paraId="6584038E" w14:textId="77777777" w:rsidR="00367E15" w:rsidRPr="003D1E07" w:rsidRDefault="00367E15" w:rsidP="00367E15">
      <w:pPr>
        <w:pStyle w:val="Rejstk2"/>
        <w:tabs>
          <w:tab w:val="right" w:leader="dot" w:pos="4171"/>
        </w:tabs>
        <w:spacing w:line="240" w:lineRule="auto"/>
        <w:ind w:left="0"/>
        <w:contextualSpacing/>
      </w:pPr>
      <w:r w:rsidRPr="003D1E07">
        <w:t>SZ 27</w:t>
      </w:r>
      <w:r w:rsidRPr="003D1E07">
        <w:tab/>
        <w:t>16</w:t>
      </w:r>
    </w:p>
    <w:p w14:paraId="1489476A" w14:textId="77777777" w:rsidR="00367E15" w:rsidRPr="003D1E07" w:rsidRDefault="00367E15" w:rsidP="00367E15">
      <w:pPr>
        <w:pStyle w:val="Rejstk2"/>
        <w:tabs>
          <w:tab w:val="right" w:leader="dot" w:pos="4171"/>
        </w:tabs>
        <w:spacing w:line="240" w:lineRule="auto"/>
        <w:ind w:left="0"/>
        <w:contextualSpacing/>
      </w:pPr>
      <w:r w:rsidRPr="003D1E07">
        <w:t>SZ 7</w:t>
      </w:r>
      <w:r w:rsidRPr="003D1E07">
        <w:tab/>
        <w:t>458</w:t>
      </w:r>
    </w:p>
    <w:p w14:paraId="71856567" w14:textId="77777777" w:rsidR="00367E15" w:rsidRPr="003D1E07" w:rsidRDefault="00367E15" w:rsidP="00367E15">
      <w:pPr>
        <w:pStyle w:val="Rejstk2"/>
        <w:tabs>
          <w:tab w:val="right" w:leader="dot" w:pos="4171"/>
        </w:tabs>
        <w:spacing w:line="240" w:lineRule="auto"/>
        <w:ind w:left="0"/>
        <w:contextualSpacing/>
      </w:pPr>
      <w:r w:rsidRPr="003D1E07">
        <w:t>SZ 75</w:t>
      </w:r>
      <w:r w:rsidRPr="003D1E07">
        <w:tab/>
        <w:t>16</w:t>
      </w:r>
    </w:p>
    <w:p w14:paraId="25900D97" w14:textId="77777777" w:rsidR="00367E15" w:rsidRPr="003D1E07" w:rsidRDefault="00367E15" w:rsidP="00367E15">
      <w:pPr>
        <w:pStyle w:val="Rejstk2"/>
        <w:tabs>
          <w:tab w:val="right" w:leader="dot" w:pos="4171"/>
        </w:tabs>
        <w:spacing w:line="240" w:lineRule="auto"/>
        <w:ind w:left="0"/>
        <w:contextualSpacing/>
      </w:pPr>
    </w:p>
    <w:p w14:paraId="2266265C" w14:textId="77777777" w:rsidR="00367E15" w:rsidRPr="003D1E07" w:rsidRDefault="00367E15" w:rsidP="00367E15">
      <w:pPr>
        <w:pStyle w:val="Rejstk2"/>
        <w:tabs>
          <w:tab w:val="right" w:leader="dot" w:pos="4171"/>
        </w:tabs>
        <w:spacing w:line="240" w:lineRule="auto"/>
        <w:ind w:left="0"/>
        <w:contextualSpacing/>
      </w:pPr>
      <w:r w:rsidRPr="003D1E07">
        <w:rPr>
          <w:b/>
        </w:rPr>
        <w:t>Hérakleitos z Efezu</w:t>
      </w:r>
    </w:p>
    <w:p w14:paraId="43DA5C5B" w14:textId="77777777" w:rsidR="00367E15" w:rsidRPr="003D1E07" w:rsidRDefault="00367E15" w:rsidP="00367E15">
      <w:pPr>
        <w:pStyle w:val="Rejstk2"/>
        <w:tabs>
          <w:tab w:val="right" w:leader="dot" w:pos="4171"/>
        </w:tabs>
        <w:spacing w:line="240" w:lineRule="auto"/>
        <w:ind w:left="0"/>
        <w:contextualSpacing/>
      </w:pPr>
      <w:r w:rsidRPr="003D1E07">
        <w:t>B 49</w:t>
      </w:r>
      <w:r w:rsidRPr="003D1E07">
        <w:tab/>
        <w:t>15</w:t>
      </w:r>
    </w:p>
    <w:p w14:paraId="2B15ED18" w14:textId="77777777" w:rsidR="00367E15" w:rsidRPr="003D1E07" w:rsidRDefault="00367E15" w:rsidP="00367E15">
      <w:pPr>
        <w:pStyle w:val="Rejstk2"/>
        <w:tabs>
          <w:tab w:val="right" w:leader="dot" w:pos="4171"/>
        </w:tabs>
        <w:spacing w:line="240" w:lineRule="auto"/>
        <w:ind w:left="0" w:hanging="238"/>
        <w:contextualSpacing/>
      </w:pPr>
      <w:r w:rsidRPr="003D1E07">
        <w:t>B 93</w:t>
      </w:r>
      <w:r w:rsidRPr="003D1E07">
        <w:tab/>
        <w:t>55</w:t>
      </w:r>
    </w:p>
    <w:p w14:paraId="033589FD" w14:textId="77777777" w:rsidR="00367E15" w:rsidRPr="003D1E07" w:rsidRDefault="00367E15" w:rsidP="00367E15">
      <w:pPr>
        <w:pStyle w:val="Rejstk2"/>
        <w:tabs>
          <w:tab w:val="right" w:leader="dot" w:pos="4171"/>
        </w:tabs>
        <w:spacing w:line="240" w:lineRule="auto"/>
        <w:ind w:left="0"/>
        <w:contextualSpacing/>
        <w:rPr>
          <w:b/>
        </w:rPr>
      </w:pPr>
    </w:p>
    <w:p w14:paraId="37FB6156" w14:textId="77777777" w:rsidR="00367E15" w:rsidRPr="003D1E07" w:rsidRDefault="00367E15" w:rsidP="00367E15">
      <w:pPr>
        <w:pStyle w:val="Rejstk2"/>
        <w:tabs>
          <w:tab w:val="right" w:leader="dot" w:pos="4171"/>
        </w:tabs>
        <w:spacing w:line="240" w:lineRule="auto"/>
        <w:ind w:left="0"/>
        <w:contextualSpacing/>
      </w:pPr>
      <w:r w:rsidRPr="003D1E07">
        <w:rPr>
          <w:b/>
        </w:rPr>
        <w:t>Herodotos</w:t>
      </w:r>
    </w:p>
    <w:p w14:paraId="41D20373" w14:textId="77777777" w:rsidR="00367E15" w:rsidRPr="003D1E07" w:rsidRDefault="00367E15" w:rsidP="00367E15">
      <w:pPr>
        <w:pStyle w:val="Rejstk2"/>
        <w:tabs>
          <w:tab w:val="right" w:leader="dot" w:pos="4171"/>
        </w:tabs>
        <w:spacing w:line="240" w:lineRule="auto"/>
        <w:ind w:left="0"/>
        <w:contextualSpacing/>
      </w:pPr>
      <w:r w:rsidRPr="003D1E07">
        <w:rPr>
          <w:i/>
          <w:lang w:eastAsia="en-US"/>
        </w:rPr>
        <w:t>Hist</w:t>
      </w:r>
      <w:r w:rsidRPr="003D1E07">
        <w:rPr>
          <w:lang w:eastAsia="en-US"/>
        </w:rPr>
        <w:t>. 1.53</w:t>
      </w:r>
      <w:r w:rsidRPr="003D1E07">
        <w:t>.13</w:t>
      </w:r>
      <w:r w:rsidRPr="003D1E07">
        <w:tab/>
        <w:t>472</w:t>
      </w:r>
    </w:p>
    <w:p w14:paraId="30DB3024" w14:textId="77777777" w:rsidR="00367E15" w:rsidRPr="003D1E07" w:rsidRDefault="00367E15" w:rsidP="00367E15">
      <w:pPr>
        <w:pStyle w:val="Rejstk2"/>
        <w:tabs>
          <w:tab w:val="right" w:leader="dot" w:pos="4171"/>
        </w:tabs>
        <w:spacing w:line="240" w:lineRule="auto"/>
        <w:ind w:left="0"/>
        <w:contextualSpacing/>
      </w:pPr>
      <w:r w:rsidRPr="003D1E07">
        <w:rPr>
          <w:i/>
          <w:lang w:eastAsia="en-US"/>
        </w:rPr>
        <w:t>Hist</w:t>
      </w:r>
      <w:r w:rsidRPr="003D1E07">
        <w:rPr>
          <w:lang w:eastAsia="en-US"/>
        </w:rPr>
        <w:t>. 1</w:t>
      </w:r>
      <w:r w:rsidRPr="003D1E07">
        <w:t>.55.6</w:t>
      </w:r>
      <w:r w:rsidRPr="003D1E07">
        <w:tab/>
        <w:t>472</w:t>
      </w:r>
    </w:p>
    <w:p w14:paraId="63D294FD" w14:textId="77777777" w:rsidR="00367E15" w:rsidRPr="003D1E07" w:rsidRDefault="00367E15" w:rsidP="00367E15">
      <w:pPr>
        <w:pStyle w:val="Rejstk2"/>
        <w:tabs>
          <w:tab w:val="right" w:leader="dot" w:pos="4171"/>
        </w:tabs>
        <w:spacing w:line="240" w:lineRule="auto"/>
        <w:ind w:left="0" w:hanging="238"/>
        <w:contextualSpacing/>
      </w:pPr>
      <w:r w:rsidRPr="003D1E07">
        <w:rPr>
          <w:i/>
          <w:lang w:eastAsia="en-US"/>
        </w:rPr>
        <w:t>Hist</w:t>
      </w:r>
      <w:r w:rsidRPr="003D1E07">
        <w:rPr>
          <w:lang w:eastAsia="en-US"/>
        </w:rPr>
        <w:t>. 7</w:t>
      </w:r>
      <w:r w:rsidRPr="003D1E07">
        <w:t>.141.17</w:t>
      </w:r>
      <w:r w:rsidRPr="003D1E07">
        <w:tab/>
        <w:t>472</w:t>
      </w:r>
    </w:p>
    <w:p w14:paraId="20AAABCB" w14:textId="77777777" w:rsidR="00367E15" w:rsidRPr="003D1E07" w:rsidRDefault="00367E15" w:rsidP="00367E15">
      <w:pPr>
        <w:pStyle w:val="Rejstk2"/>
        <w:tabs>
          <w:tab w:val="right" w:leader="dot" w:pos="4171"/>
        </w:tabs>
        <w:spacing w:line="240" w:lineRule="auto"/>
        <w:ind w:left="0"/>
        <w:contextualSpacing/>
        <w:rPr>
          <w:b/>
        </w:rPr>
      </w:pPr>
    </w:p>
    <w:p w14:paraId="4E8D4437" w14:textId="77777777" w:rsidR="00367E15" w:rsidRPr="003D1E07" w:rsidRDefault="00367E15" w:rsidP="00367E15">
      <w:pPr>
        <w:pStyle w:val="Rejstk2"/>
        <w:tabs>
          <w:tab w:val="right" w:leader="dot" w:pos="4171"/>
        </w:tabs>
        <w:spacing w:line="240" w:lineRule="auto"/>
        <w:ind w:left="0"/>
        <w:contextualSpacing/>
      </w:pPr>
      <w:r w:rsidRPr="003D1E07">
        <w:rPr>
          <w:b/>
        </w:rPr>
        <w:t>Hesiod</w:t>
      </w:r>
    </w:p>
    <w:p w14:paraId="1C7ED809" w14:textId="77777777" w:rsidR="00367E15" w:rsidRPr="003D1E07" w:rsidRDefault="00367E15" w:rsidP="00367E15">
      <w:pPr>
        <w:pStyle w:val="Rejstk2"/>
        <w:tabs>
          <w:tab w:val="right" w:leader="dot" w:pos="4171"/>
        </w:tabs>
        <w:spacing w:line="240" w:lineRule="auto"/>
        <w:ind w:left="0"/>
        <w:contextualSpacing/>
      </w:pPr>
      <w:r w:rsidRPr="003D1E07">
        <w:rPr>
          <w:i/>
        </w:rPr>
        <w:t>Theogonie</w:t>
      </w:r>
      <w:r w:rsidRPr="003D1E07">
        <w:t xml:space="preserve"> 27‒28</w:t>
      </w:r>
      <w:r w:rsidRPr="003D1E07">
        <w:tab/>
        <w:t>23</w:t>
      </w:r>
    </w:p>
    <w:p w14:paraId="493293E1" w14:textId="77777777" w:rsidR="00367E15" w:rsidRPr="003D1E07" w:rsidRDefault="00367E15" w:rsidP="00367E15">
      <w:pPr>
        <w:pStyle w:val="Rejstk2"/>
        <w:tabs>
          <w:tab w:val="right" w:leader="dot" w:pos="4171"/>
        </w:tabs>
        <w:spacing w:line="240" w:lineRule="auto"/>
        <w:ind w:left="0"/>
        <w:contextualSpacing/>
        <w:rPr>
          <w:b/>
        </w:rPr>
      </w:pPr>
    </w:p>
    <w:p w14:paraId="34600AF0" w14:textId="77777777" w:rsidR="00367E15" w:rsidRPr="003D1E07" w:rsidRDefault="00367E15" w:rsidP="00367E15">
      <w:pPr>
        <w:pStyle w:val="Rejstk2"/>
        <w:tabs>
          <w:tab w:val="right" w:leader="dot" w:pos="4171"/>
        </w:tabs>
        <w:spacing w:line="240" w:lineRule="auto"/>
        <w:ind w:left="0"/>
        <w:contextualSpacing/>
      </w:pPr>
      <w:r w:rsidRPr="003D1E07">
        <w:rPr>
          <w:b/>
        </w:rPr>
        <w:t>Homér</w:t>
      </w:r>
    </w:p>
    <w:p w14:paraId="639057C0" w14:textId="77777777" w:rsidR="00367E15" w:rsidRPr="003D1E07" w:rsidRDefault="00367E15" w:rsidP="00367E15">
      <w:pPr>
        <w:pStyle w:val="Rejstk2"/>
        <w:tabs>
          <w:tab w:val="right" w:leader="dot" w:pos="4171"/>
        </w:tabs>
        <w:spacing w:line="240" w:lineRule="auto"/>
        <w:ind w:left="0"/>
        <w:contextualSpacing/>
      </w:pPr>
      <w:r w:rsidRPr="003D1E07">
        <w:rPr>
          <w:i/>
        </w:rPr>
        <w:t>Ilias</w:t>
      </w:r>
      <w:r w:rsidRPr="003D1E07">
        <w:t xml:space="preserve"> 1.70</w:t>
      </w:r>
      <w:r w:rsidRPr="003D1E07">
        <w:tab/>
        <w:t>21, 45, 52, 63, 64, 172, 473</w:t>
      </w:r>
    </w:p>
    <w:p w14:paraId="3383544A" w14:textId="77777777" w:rsidR="00367E15" w:rsidRPr="003D1E07" w:rsidRDefault="00367E15" w:rsidP="00367E15">
      <w:pPr>
        <w:pStyle w:val="Rejstk2"/>
        <w:tabs>
          <w:tab w:val="right" w:leader="dot" w:pos="4171"/>
        </w:tabs>
        <w:spacing w:line="240" w:lineRule="auto"/>
        <w:ind w:left="0" w:hanging="238"/>
        <w:contextualSpacing/>
      </w:pPr>
      <w:r w:rsidRPr="003D1E07">
        <w:rPr>
          <w:i/>
        </w:rPr>
        <w:t>Odys.</w:t>
      </w:r>
      <w:r w:rsidRPr="003D1E07">
        <w:t xml:space="preserve"> 18.264</w:t>
      </w:r>
      <w:r w:rsidRPr="003D1E07">
        <w:tab/>
        <w:t>6</w:t>
      </w:r>
    </w:p>
    <w:p w14:paraId="5045782B" w14:textId="77777777" w:rsidR="00367E15" w:rsidRPr="003D1E07" w:rsidRDefault="00367E15" w:rsidP="00367E15">
      <w:pPr>
        <w:pStyle w:val="Rejstk2"/>
        <w:tabs>
          <w:tab w:val="right" w:leader="dot" w:pos="4171"/>
        </w:tabs>
        <w:spacing w:line="240" w:lineRule="auto"/>
        <w:ind w:left="0"/>
        <w:contextualSpacing/>
        <w:rPr>
          <w:b/>
        </w:rPr>
      </w:pPr>
    </w:p>
    <w:p w14:paraId="141FE8EF" w14:textId="77777777" w:rsidR="00367E15" w:rsidRPr="003D1E07" w:rsidRDefault="00367E15" w:rsidP="00367E15">
      <w:pPr>
        <w:pStyle w:val="Rejstk2"/>
        <w:tabs>
          <w:tab w:val="right" w:leader="dot" w:pos="4171"/>
        </w:tabs>
        <w:spacing w:line="240" w:lineRule="auto"/>
        <w:ind w:left="0"/>
        <w:contextualSpacing/>
      </w:pPr>
      <w:r w:rsidRPr="003D1E07">
        <w:rPr>
          <w:b/>
        </w:rPr>
        <w:t>Edmund Husserl</w:t>
      </w:r>
    </w:p>
    <w:p w14:paraId="2737CE1A" w14:textId="77777777" w:rsidR="00367E15" w:rsidRPr="003D1E07" w:rsidRDefault="00367E15" w:rsidP="00367E15">
      <w:pPr>
        <w:pStyle w:val="Rejstk2"/>
        <w:tabs>
          <w:tab w:val="right" w:leader="dot" w:pos="4171"/>
        </w:tabs>
        <w:spacing w:line="240" w:lineRule="auto"/>
        <w:ind w:left="0"/>
        <w:contextualSpacing/>
      </w:pPr>
      <w:r w:rsidRPr="003D1E07">
        <w:rPr>
          <w:i/>
        </w:rPr>
        <w:t>Krisis der europäischen Wissenschaften</w:t>
      </w:r>
      <w:r w:rsidRPr="003D1E07">
        <w:t xml:space="preserve"> 151.5‒11</w:t>
      </w:r>
      <w:r w:rsidRPr="003D1E07">
        <w:tab/>
        <w:t>467</w:t>
      </w:r>
    </w:p>
    <w:p w14:paraId="22EA748B" w14:textId="77777777" w:rsidR="00367E15" w:rsidRPr="003D1E07" w:rsidRDefault="00367E15" w:rsidP="00367E15">
      <w:pPr>
        <w:pStyle w:val="Rejstk2"/>
        <w:tabs>
          <w:tab w:val="right" w:leader="dot" w:pos="4171"/>
        </w:tabs>
        <w:spacing w:line="240" w:lineRule="auto"/>
        <w:ind w:left="0"/>
        <w:contextualSpacing/>
        <w:rPr>
          <w:b/>
        </w:rPr>
      </w:pPr>
    </w:p>
    <w:p w14:paraId="1785BBB6" w14:textId="77777777" w:rsidR="00367E15" w:rsidRPr="003D1E07" w:rsidRDefault="00367E15" w:rsidP="00367E15">
      <w:pPr>
        <w:pStyle w:val="Rejstk2"/>
        <w:tabs>
          <w:tab w:val="right" w:leader="dot" w:pos="4171"/>
        </w:tabs>
        <w:spacing w:line="240" w:lineRule="auto"/>
        <w:ind w:left="0"/>
        <w:contextualSpacing/>
      </w:pPr>
      <w:r w:rsidRPr="003D1E07">
        <w:rPr>
          <w:b/>
        </w:rPr>
        <w:t>Ibn Ádí</w:t>
      </w:r>
    </w:p>
    <w:p w14:paraId="007EE5FA" w14:textId="77777777" w:rsidR="00367E15" w:rsidRPr="003D1E07" w:rsidRDefault="00367E15" w:rsidP="00367E15">
      <w:pPr>
        <w:pStyle w:val="Rejstk2"/>
        <w:tabs>
          <w:tab w:val="right" w:leader="dot" w:pos="4171"/>
        </w:tabs>
        <w:spacing w:line="240" w:lineRule="auto"/>
        <w:ind w:left="0" w:hanging="238"/>
        <w:contextualSpacing/>
      </w:pPr>
      <w:r w:rsidRPr="003D1E07">
        <w:rPr>
          <w:i/>
        </w:rPr>
        <w:t xml:space="preserve">Défense de la Trinité contre Al-Kindi </w:t>
      </w:r>
      <w:r w:rsidRPr="003D1E07">
        <w:t>118–28</w:t>
      </w:r>
      <w:r w:rsidRPr="003D1E07">
        <w:tab/>
        <w:t>244</w:t>
      </w:r>
    </w:p>
    <w:p w14:paraId="1F49456B" w14:textId="77777777" w:rsidR="00367E15" w:rsidRPr="003D1E07" w:rsidRDefault="00367E15" w:rsidP="00367E15">
      <w:pPr>
        <w:pStyle w:val="Rejstk2"/>
        <w:tabs>
          <w:tab w:val="right" w:leader="dot" w:pos="4171"/>
        </w:tabs>
        <w:spacing w:line="240" w:lineRule="auto"/>
        <w:ind w:left="0"/>
        <w:contextualSpacing/>
        <w:rPr>
          <w:i/>
        </w:rPr>
      </w:pPr>
      <w:r w:rsidRPr="003D1E07">
        <w:rPr>
          <w:i/>
        </w:rPr>
        <w:t>On the Four Scientific Questions 90</w:t>
      </w:r>
      <w:r w:rsidRPr="003D1E07">
        <w:rPr>
          <w:i/>
        </w:rPr>
        <w:tab/>
        <w:t>286</w:t>
      </w:r>
    </w:p>
    <w:p w14:paraId="58F8EA0B" w14:textId="77777777" w:rsidR="00367E15" w:rsidRPr="003D1E07" w:rsidRDefault="00367E15" w:rsidP="00367E15">
      <w:pPr>
        <w:pStyle w:val="Rejstk2"/>
        <w:tabs>
          <w:tab w:val="right" w:leader="dot" w:pos="4171"/>
        </w:tabs>
        <w:spacing w:line="240" w:lineRule="auto"/>
        <w:ind w:left="0"/>
        <w:contextualSpacing/>
        <w:rPr>
          <w:i/>
        </w:rPr>
      </w:pPr>
      <w:r w:rsidRPr="003D1E07">
        <w:rPr>
          <w:i/>
        </w:rPr>
        <w:t>On the Four Scientific Questions 92</w:t>
      </w:r>
      <w:r w:rsidRPr="003D1E07">
        <w:rPr>
          <w:i/>
        </w:rPr>
        <w:tab/>
        <w:t>242</w:t>
      </w:r>
    </w:p>
    <w:p w14:paraId="60379AF9" w14:textId="77777777" w:rsidR="00367E15" w:rsidRPr="003D1E07" w:rsidRDefault="00367E15" w:rsidP="00367E15">
      <w:pPr>
        <w:pStyle w:val="Rejstk2"/>
        <w:tabs>
          <w:tab w:val="right" w:leader="dot" w:pos="4171"/>
        </w:tabs>
        <w:spacing w:line="240" w:lineRule="auto"/>
        <w:ind w:left="0"/>
        <w:contextualSpacing/>
        <w:rPr>
          <w:i/>
        </w:rPr>
      </w:pPr>
      <w:r w:rsidRPr="003D1E07">
        <w:rPr>
          <w:i/>
        </w:rPr>
        <w:t>On the Four Scientific Questions 95</w:t>
      </w:r>
      <w:r w:rsidRPr="003D1E07">
        <w:rPr>
          <w:i/>
        </w:rPr>
        <w:tab/>
        <w:t>241</w:t>
      </w:r>
    </w:p>
    <w:p w14:paraId="50412510" w14:textId="77777777" w:rsidR="00367E15" w:rsidRPr="003D1E07" w:rsidRDefault="00367E15" w:rsidP="00367E15">
      <w:pPr>
        <w:pStyle w:val="Rejstk2"/>
        <w:tabs>
          <w:tab w:val="right" w:leader="dot" w:pos="4171"/>
        </w:tabs>
        <w:spacing w:line="240" w:lineRule="auto"/>
        <w:ind w:left="0"/>
        <w:contextualSpacing/>
        <w:rPr>
          <w:i/>
        </w:rPr>
      </w:pPr>
      <w:r w:rsidRPr="003D1E07">
        <w:rPr>
          <w:i/>
        </w:rPr>
        <w:t>On the Four Scientific Questions 96</w:t>
      </w:r>
      <w:r w:rsidRPr="003D1E07">
        <w:rPr>
          <w:i/>
        </w:rPr>
        <w:tab/>
        <w:t>246</w:t>
      </w:r>
    </w:p>
    <w:p w14:paraId="6E37B226" w14:textId="77777777" w:rsidR="00367E15" w:rsidRPr="003D1E07" w:rsidRDefault="00367E15" w:rsidP="00367E15">
      <w:pPr>
        <w:pStyle w:val="Rejstk2"/>
        <w:tabs>
          <w:tab w:val="right" w:leader="dot" w:pos="4171"/>
        </w:tabs>
        <w:spacing w:line="240" w:lineRule="auto"/>
        <w:ind w:left="0"/>
        <w:contextualSpacing/>
        <w:rPr>
          <w:i/>
        </w:rPr>
      </w:pPr>
      <w:r w:rsidRPr="003D1E07">
        <w:rPr>
          <w:i/>
        </w:rPr>
        <w:t>Traité 1.18‒19</w:t>
      </w:r>
      <w:r w:rsidRPr="003D1E07">
        <w:rPr>
          <w:i/>
        </w:rPr>
        <w:tab/>
        <w:t>243</w:t>
      </w:r>
    </w:p>
    <w:p w14:paraId="69BA45C0" w14:textId="77777777" w:rsidR="00367E15" w:rsidRPr="003D1E07" w:rsidRDefault="00367E15" w:rsidP="00367E15">
      <w:pPr>
        <w:pStyle w:val="Rejstk2"/>
        <w:tabs>
          <w:tab w:val="right" w:leader="dot" w:pos="4171"/>
        </w:tabs>
        <w:spacing w:line="240" w:lineRule="auto"/>
        <w:ind w:left="0"/>
        <w:contextualSpacing/>
        <w:rPr>
          <w:i/>
        </w:rPr>
      </w:pPr>
      <w:r w:rsidRPr="003D1E07">
        <w:rPr>
          <w:i/>
        </w:rPr>
        <w:t>Traité 1.20</w:t>
      </w:r>
      <w:r w:rsidRPr="003D1E07">
        <w:rPr>
          <w:i/>
        </w:rPr>
        <w:tab/>
        <w:t>244</w:t>
      </w:r>
    </w:p>
    <w:p w14:paraId="2A12D0F6" w14:textId="77777777" w:rsidR="00367E15" w:rsidRPr="003D1E07" w:rsidRDefault="00367E15" w:rsidP="00367E15">
      <w:pPr>
        <w:pStyle w:val="Rejstk2"/>
        <w:tabs>
          <w:tab w:val="right" w:leader="dot" w:pos="4171"/>
        </w:tabs>
        <w:spacing w:line="240" w:lineRule="auto"/>
        <w:ind w:left="0"/>
        <w:contextualSpacing/>
        <w:rPr>
          <w:i/>
        </w:rPr>
      </w:pPr>
      <w:r w:rsidRPr="003D1E07">
        <w:rPr>
          <w:i/>
        </w:rPr>
        <w:t xml:space="preserve">Traité </w:t>
      </w:r>
      <w:r w:rsidRPr="003D1E07">
        <w:t>1.22</w:t>
      </w:r>
      <w:r w:rsidRPr="003D1E07">
        <w:tab/>
        <w:t>244</w:t>
      </w:r>
    </w:p>
    <w:p w14:paraId="1DB7C457" w14:textId="0548E3B7" w:rsidR="00C776C4" w:rsidRPr="00C776C4" w:rsidRDefault="00C776C4" w:rsidP="00367E15">
      <w:pPr>
        <w:pStyle w:val="Rejstk2"/>
        <w:tabs>
          <w:tab w:val="right" w:leader="dot" w:pos="4171"/>
        </w:tabs>
        <w:spacing w:line="240" w:lineRule="auto"/>
        <w:ind w:left="0"/>
        <w:contextualSpacing/>
      </w:pPr>
      <w:r>
        <w:rPr>
          <w:i/>
        </w:rPr>
        <w:lastRenderedPageBreak/>
        <w:t xml:space="preserve">Traité </w:t>
      </w:r>
      <w:r>
        <w:t>3.33</w:t>
      </w:r>
      <w:r>
        <w:tab/>
        <w:t>237</w:t>
      </w:r>
    </w:p>
    <w:p w14:paraId="2EE72AA9" w14:textId="77777777" w:rsidR="00367E15" w:rsidRPr="003D1E07" w:rsidRDefault="00367E15" w:rsidP="00367E15">
      <w:pPr>
        <w:pStyle w:val="Rejstk2"/>
        <w:tabs>
          <w:tab w:val="right" w:leader="dot" w:pos="4171"/>
        </w:tabs>
        <w:spacing w:line="240" w:lineRule="auto"/>
        <w:ind w:left="0"/>
        <w:contextualSpacing/>
        <w:rPr>
          <w:i/>
        </w:rPr>
      </w:pPr>
      <w:r w:rsidRPr="003D1E07">
        <w:rPr>
          <w:i/>
        </w:rPr>
        <w:t xml:space="preserve">Traité </w:t>
      </w:r>
      <w:r w:rsidRPr="003D1E07">
        <w:t>6.75</w:t>
      </w:r>
      <w:r w:rsidRPr="003D1E07">
        <w:tab/>
        <w:t>248</w:t>
      </w:r>
    </w:p>
    <w:p w14:paraId="755C5F32" w14:textId="77777777" w:rsidR="00367E15" w:rsidRPr="003D1E07" w:rsidRDefault="00367E15" w:rsidP="00367E15">
      <w:pPr>
        <w:pStyle w:val="Rejstk2"/>
        <w:tabs>
          <w:tab w:val="right" w:leader="dot" w:pos="4171"/>
        </w:tabs>
        <w:spacing w:line="240" w:lineRule="auto"/>
        <w:ind w:left="0"/>
        <w:contextualSpacing/>
        <w:rPr>
          <w:i/>
        </w:rPr>
      </w:pPr>
      <w:r w:rsidRPr="003D1E07">
        <w:rPr>
          <w:i/>
        </w:rPr>
        <w:t xml:space="preserve">Traité </w:t>
      </w:r>
      <w:r w:rsidRPr="003D1E07">
        <w:t>6.80</w:t>
      </w:r>
      <w:r w:rsidRPr="003D1E07">
        <w:tab/>
        <w:t>241</w:t>
      </w:r>
    </w:p>
    <w:p w14:paraId="73BCFE24" w14:textId="77777777" w:rsidR="00367E15" w:rsidRPr="003D1E07" w:rsidRDefault="00367E15" w:rsidP="00367E15">
      <w:pPr>
        <w:pStyle w:val="Rejstk2"/>
        <w:tabs>
          <w:tab w:val="right" w:leader="dot" w:pos="4171"/>
        </w:tabs>
        <w:spacing w:line="240" w:lineRule="auto"/>
        <w:ind w:left="0" w:hanging="238"/>
        <w:contextualSpacing/>
        <w:rPr>
          <w:i/>
        </w:rPr>
      </w:pPr>
      <w:r w:rsidRPr="003D1E07">
        <w:rPr>
          <w:i/>
        </w:rPr>
        <w:t xml:space="preserve">Traité </w:t>
      </w:r>
      <w:r w:rsidRPr="003D1E07">
        <w:t>7.89–91</w:t>
      </w:r>
      <w:r w:rsidRPr="003D1E07">
        <w:tab/>
        <w:t>245</w:t>
      </w:r>
    </w:p>
    <w:p w14:paraId="346EAA62" w14:textId="77777777" w:rsidR="00367E15" w:rsidRPr="003D1E07" w:rsidRDefault="00367E15" w:rsidP="00367E15">
      <w:pPr>
        <w:pStyle w:val="Rejstk2"/>
        <w:tabs>
          <w:tab w:val="right" w:leader="dot" w:pos="4171"/>
        </w:tabs>
        <w:spacing w:line="240" w:lineRule="auto"/>
        <w:ind w:left="0"/>
        <w:contextualSpacing/>
      </w:pPr>
    </w:p>
    <w:p w14:paraId="148B3C75" w14:textId="77777777" w:rsidR="00367E15" w:rsidRPr="003D1E07" w:rsidRDefault="00367E15" w:rsidP="00367E15">
      <w:pPr>
        <w:pStyle w:val="Rejstk2"/>
        <w:tabs>
          <w:tab w:val="right" w:leader="dot" w:pos="4171"/>
        </w:tabs>
        <w:spacing w:line="240" w:lineRule="auto"/>
        <w:ind w:left="0"/>
        <w:contextualSpacing/>
      </w:pPr>
      <w:r w:rsidRPr="003D1E07">
        <w:rPr>
          <w:b/>
          <w:lang w:eastAsia="en-US"/>
        </w:rPr>
        <w:t>Immanuel Kant</w:t>
      </w:r>
    </w:p>
    <w:p w14:paraId="3C9B1997" w14:textId="77777777" w:rsidR="00367E15" w:rsidRPr="003D1E07" w:rsidRDefault="00367E15" w:rsidP="00367E15">
      <w:pPr>
        <w:pStyle w:val="Rejstk2"/>
        <w:tabs>
          <w:tab w:val="right" w:leader="dot" w:pos="4171"/>
        </w:tabs>
        <w:spacing w:line="240" w:lineRule="auto"/>
        <w:ind w:left="0"/>
        <w:contextualSpacing/>
      </w:pPr>
      <w:r w:rsidRPr="003D1E07">
        <w:t>KdRV B 176</w:t>
      </w:r>
      <w:r w:rsidRPr="003D1E07">
        <w:tab/>
        <w:t>457</w:t>
      </w:r>
    </w:p>
    <w:p w14:paraId="25317B77" w14:textId="77777777" w:rsidR="00367E15" w:rsidRPr="003D1E07" w:rsidRDefault="00367E15" w:rsidP="00367E15">
      <w:pPr>
        <w:pStyle w:val="Rejstk2"/>
        <w:tabs>
          <w:tab w:val="right" w:leader="dot" w:pos="4171"/>
        </w:tabs>
        <w:spacing w:line="240" w:lineRule="auto"/>
        <w:ind w:left="0"/>
        <w:contextualSpacing/>
      </w:pPr>
      <w:r w:rsidRPr="003D1E07">
        <w:t>KdRV B 308‒310</w:t>
      </w:r>
      <w:r w:rsidRPr="003D1E07">
        <w:tab/>
        <w:t>438</w:t>
      </w:r>
    </w:p>
    <w:p w14:paraId="765A5440" w14:textId="77777777" w:rsidR="00367E15" w:rsidRPr="003D1E07" w:rsidRDefault="00367E15" w:rsidP="00367E15">
      <w:pPr>
        <w:pStyle w:val="Rejstk2"/>
        <w:tabs>
          <w:tab w:val="right" w:leader="dot" w:pos="4171"/>
        </w:tabs>
        <w:spacing w:line="240" w:lineRule="auto"/>
        <w:ind w:left="0"/>
        <w:contextualSpacing/>
      </w:pPr>
      <w:r w:rsidRPr="003D1E07">
        <w:t>KdU 179</w:t>
      </w:r>
      <w:r w:rsidRPr="003D1E07">
        <w:tab/>
        <w:t>12</w:t>
      </w:r>
    </w:p>
    <w:p w14:paraId="025F1B28" w14:textId="77777777" w:rsidR="00367E15" w:rsidRPr="003D1E07" w:rsidRDefault="00367E15" w:rsidP="00367E15">
      <w:pPr>
        <w:pStyle w:val="Rejstk2"/>
        <w:tabs>
          <w:tab w:val="right" w:leader="dot" w:pos="4171"/>
        </w:tabs>
        <w:spacing w:line="240" w:lineRule="auto"/>
        <w:ind w:left="0"/>
        <w:contextualSpacing/>
      </w:pPr>
      <w:r w:rsidRPr="003D1E07">
        <w:t>KdU 189</w:t>
      </w:r>
      <w:r w:rsidRPr="003D1E07">
        <w:tab/>
        <w:t>13</w:t>
      </w:r>
    </w:p>
    <w:p w14:paraId="15A18368" w14:textId="77777777" w:rsidR="00367E15" w:rsidRPr="003D1E07" w:rsidRDefault="00367E15" w:rsidP="00367E15">
      <w:pPr>
        <w:pStyle w:val="Rejstk2"/>
        <w:tabs>
          <w:tab w:val="right" w:leader="dot" w:pos="4171"/>
        </w:tabs>
        <w:spacing w:line="240" w:lineRule="auto"/>
        <w:ind w:left="0" w:hanging="238"/>
        <w:contextualSpacing/>
      </w:pPr>
      <w:r w:rsidRPr="003D1E07">
        <w:rPr>
          <w:iCs/>
        </w:rPr>
        <w:t>KrV</w:t>
      </w:r>
      <w:r w:rsidRPr="003D1E07">
        <w:t>, B 72</w:t>
      </w:r>
      <w:r w:rsidRPr="003D1E07">
        <w:tab/>
        <w:t>331</w:t>
      </w:r>
    </w:p>
    <w:p w14:paraId="703AF742" w14:textId="77777777" w:rsidR="00367E15" w:rsidRPr="003D1E07" w:rsidRDefault="00367E15" w:rsidP="00367E15">
      <w:pPr>
        <w:pStyle w:val="Rejstk2"/>
        <w:tabs>
          <w:tab w:val="right" w:leader="dot" w:pos="4171"/>
        </w:tabs>
        <w:spacing w:line="240" w:lineRule="auto"/>
        <w:ind w:left="0"/>
        <w:contextualSpacing/>
        <w:rPr>
          <w:rStyle w:val="st"/>
          <w:b/>
        </w:rPr>
      </w:pPr>
    </w:p>
    <w:p w14:paraId="212CA4F3" w14:textId="77777777" w:rsidR="00367E15" w:rsidRPr="003D1E07" w:rsidRDefault="00367E15" w:rsidP="00367E15">
      <w:pPr>
        <w:pStyle w:val="Rejstk2"/>
        <w:tabs>
          <w:tab w:val="right" w:leader="dot" w:pos="4171"/>
        </w:tabs>
        <w:spacing w:line="240" w:lineRule="auto"/>
        <w:ind w:left="0"/>
        <w:contextualSpacing/>
      </w:pPr>
      <w:r w:rsidRPr="003D1E07">
        <w:rPr>
          <w:rStyle w:val="st"/>
          <w:b/>
        </w:rPr>
        <w:t xml:space="preserve">Gottfried Wilhelm </w:t>
      </w:r>
      <w:r w:rsidRPr="003D1E07">
        <w:rPr>
          <w:b/>
        </w:rPr>
        <w:t xml:space="preserve">Leibniz </w:t>
      </w:r>
    </w:p>
    <w:p w14:paraId="48C0CF6D" w14:textId="77777777" w:rsidR="00367E15" w:rsidRPr="003D1E07" w:rsidRDefault="00367E15" w:rsidP="00367E15">
      <w:pPr>
        <w:pStyle w:val="Rejstk2"/>
        <w:tabs>
          <w:tab w:val="right" w:leader="dot" w:pos="4171"/>
        </w:tabs>
        <w:spacing w:line="240" w:lineRule="auto"/>
        <w:ind w:left="0"/>
        <w:contextualSpacing/>
      </w:pPr>
      <w:r w:rsidRPr="003D1E07">
        <w:rPr>
          <w:i/>
        </w:rPr>
        <w:t>De rerum originatione radicali</w:t>
      </w:r>
      <w:r w:rsidRPr="003D1E07">
        <w:t xml:space="preserve"> 661</w:t>
      </w:r>
      <w:r w:rsidRPr="003D1E07">
        <w:tab/>
        <w:t>479</w:t>
      </w:r>
    </w:p>
    <w:p w14:paraId="27E25793" w14:textId="77777777" w:rsidR="00367E15" w:rsidRPr="003D1E07" w:rsidRDefault="00367E15" w:rsidP="00367E15">
      <w:pPr>
        <w:pStyle w:val="Rejstk2"/>
        <w:tabs>
          <w:tab w:val="right" w:leader="dot" w:pos="4171"/>
        </w:tabs>
        <w:spacing w:line="240" w:lineRule="auto"/>
        <w:ind w:left="0"/>
        <w:contextualSpacing/>
        <w:rPr>
          <w:b/>
        </w:rPr>
      </w:pPr>
    </w:p>
    <w:p w14:paraId="3146671D" w14:textId="77777777" w:rsidR="00367E15" w:rsidRPr="003D1E07" w:rsidRDefault="00367E15" w:rsidP="00367E15">
      <w:pPr>
        <w:pStyle w:val="Rejstk2"/>
        <w:tabs>
          <w:tab w:val="right" w:leader="dot" w:pos="4171"/>
        </w:tabs>
        <w:spacing w:line="240" w:lineRule="auto"/>
        <w:ind w:left="0"/>
        <w:contextualSpacing/>
      </w:pPr>
      <w:r w:rsidRPr="003D1E07">
        <w:rPr>
          <w:b/>
        </w:rPr>
        <w:t>Liber de causis</w:t>
      </w:r>
    </w:p>
    <w:p w14:paraId="74EE8CAA" w14:textId="77777777" w:rsidR="00367E15" w:rsidRPr="003D1E07" w:rsidRDefault="00367E15" w:rsidP="00367E15">
      <w:pPr>
        <w:pStyle w:val="Rejstk2"/>
        <w:tabs>
          <w:tab w:val="right" w:leader="dot" w:pos="4171"/>
        </w:tabs>
        <w:spacing w:line="240" w:lineRule="auto"/>
        <w:ind w:left="0"/>
        <w:contextualSpacing/>
      </w:pPr>
      <w:r w:rsidRPr="003D1E07">
        <w:rPr>
          <w:i/>
        </w:rPr>
        <w:t>Liber de causis</w:t>
      </w:r>
      <w:r w:rsidRPr="003D1E07">
        <w:t xml:space="preserve"> 4.49</w:t>
      </w:r>
      <w:r w:rsidRPr="003D1E07">
        <w:tab/>
        <w:t>121</w:t>
      </w:r>
    </w:p>
    <w:p w14:paraId="7E973A62" w14:textId="77777777" w:rsidR="00367E15" w:rsidRPr="003D1E07" w:rsidRDefault="00367E15" w:rsidP="00367E15">
      <w:pPr>
        <w:pStyle w:val="Rejstk2"/>
        <w:tabs>
          <w:tab w:val="right" w:leader="dot" w:pos="4171"/>
        </w:tabs>
        <w:spacing w:line="240" w:lineRule="auto"/>
        <w:ind w:left="0"/>
        <w:contextualSpacing/>
        <w:rPr>
          <w:b/>
        </w:rPr>
      </w:pPr>
    </w:p>
    <w:p w14:paraId="0AA7BFB6" w14:textId="77777777" w:rsidR="00367E15" w:rsidRPr="003D1E07" w:rsidRDefault="00367E15" w:rsidP="00367E15">
      <w:pPr>
        <w:pStyle w:val="Rejstk2"/>
        <w:tabs>
          <w:tab w:val="right" w:leader="dot" w:pos="4171"/>
        </w:tabs>
        <w:spacing w:line="240" w:lineRule="auto"/>
        <w:ind w:left="0"/>
        <w:contextualSpacing/>
      </w:pPr>
      <w:r w:rsidRPr="003D1E07">
        <w:rPr>
          <w:b/>
        </w:rPr>
        <w:t>John Locke</w:t>
      </w:r>
    </w:p>
    <w:p w14:paraId="60725134" w14:textId="77777777" w:rsidR="00367E15" w:rsidRPr="003D1E07" w:rsidRDefault="00367E15" w:rsidP="00367E15">
      <w:pPr>
        <w:pStyle w:val="Rejstk2"/>
        <w:tabs>
          <w:tab w:val="right" w:leader="dot" w:pos="4171"/>
        </w:tabs>
        <w:spacing w:line="240" w:lineRule="auto"/>
        <w:ind w:left="0"/>
        <w:contextualSpacing/>
      </w:pPr>
      <w:r w:rsidRPr="003D1E07">
        <w:rPr>
          <w:i/>
        </w:rPr>
        <w:t>An Essay Concerning Human Understanding</w:t>
      </w:r>
      <w:r w:rsidRPr="003D1E07">
        <w:t xml:space="preserve"> 177</w:t>
      </w:r>
      <w:r w:rsidRPr="003D1E07">
        <w:tab/>
        <w:t>447</w:t>
      </w:r>
    </w:p>
    <w:p w14:paraId="1CA2188D" w14:textId="77777777" w:rsidR="00367E15" w:rsidRPr="003D1E07" w:rsidRDefault="00367E15" w:rsidP="00367E15">
      <w:pPr>
        <w:pStyle w:val="Rejstk2"/>
        <w:tabs>
          <w:tab w:val="right" w:leader="dot" w:pos="4171"/>
        </w:tabs>
        <w:spacing w:line="240" w:lineRule="auto"/>
        <w:ind w:left="0"/>
        <w:contextualSpacing/>
        <w:rPr>
          <w:b/>
        </w:rPr>
      </w:pPr>
    </w:p>
    <w:p w14:paraId="119498D7" w14:textId="77777777" w:rsidR="00367E15" w:rsidRPr="003D1E07" w:rsidRDefault="00367E15" w:rsidP="00367E15">
      <w:pPr>
        <w:pStyle w:val="Rejstk2"/>
        <w:tabs>
          <w:tab w:val="right" w:leader="dot" w:pos="4171"/>
        </w:tabs>
        <w:spacing w:line="240" w:lineRule="auto"/>
        <w:ind w:left="0"/>
        <w:contextualSpacing/>
        <w:rPr>
          <w:b/>
        </w:rPr>
      </w:pPr>
      <w:r w:rsidRPr="003D1E07">
        <w:rPr>
          <w:b/>
        </w:rPr>
        <w:t>Agostino Nifo</w:t>
      </w:r>
    </w:p>
    <w:p w14:paraId="0CB82BC0" w14:textId="77777777" w:rsidR="00367E15" w:rsidRPr="003D1E07" w:rsidRDefault="00367E15" w:rsidP="00367E15">
      <w:pPr>
        <w:pStyle w:val="Rejstk2"/>
        <w:tabs>
          <w:tab w:val="right" w:leader="dot" w:pos="4171"/>
        </w:tabs>
        <w:spacing w:line="240" w:lineRule="auto"/>
        <w:ind w:left="0"/>
        <w:contextualSpacing/>
      </w:pPr>
      <w:r w:rsidRPr="003D1E07">
        <w:rPr>
          <w:i/>
        </w:rPr>
        <w:t>De Intellectu</w:t>
      </w:r>
      <w:r w:rsidRPr="003D1E07">
        <w:t xml:space="preserve"> </w:t>
      </w:r>
      <w:r w:rsidRPr="003D1E07">
        <w:rPr>
          <w:rFonts w:eastAsia="MinionPro-Regular"/>
        </w:rPr>
        <w:t>437.1–10</w:t>
      </w:r>
      <w:r w:rsidRPr="003D1E07">
        <w:tab/>
        <w:t>446</w:t>
      </w:r>
    </w:p>
    <w:p w14:paraId="10732EB5" w14:textId="77777777" w:rsidR="00367E15" w:rsidRPr="003D1E07" w:rsidRDefault="00367E15" w:rsidP="00367E15">
      <w:pPr>
        <w:pStyle w:val="Rejstk2"/>
        <w:tabs>
          <w:tab w:val="right" w:leader="dot" w:pos="4171"/>
        </w:tabs>
        <w:spacing w:line="240" w:lineRule="auto"/>
        <w:ind w:left="0"/>
        <w:contextualSpacing/>
        <w:rPr>
          <w:b/>
        </w:rPr>
      </w:pPr>
    </w:p>
    <w:p w14:paraId="2DD393F2" w14:textId="77777777" w:rsidR="00367E15" w:rsidRPr="003D1E07" w:rsidRDefault="00367E15" w:rsidP="00367E15">
      <w:pPr>
        <w:pStyle w:val="Rejstk2"/>
        <w:tabs>
          <w:tab w:val="right" w:leader="dot" w:pos="4171"/>
        </w:tabs>
        <w:spacing w:line="240" w:lineRule="auto"/>
        <w:ind w:left="0"/>
        <w:contextualSpacing/>
      </w:pPr>
      <w:r w:rsidRPr="003D1E07">
        <w:rPr>
          <w:b/>
        </w:rPr>
        <w:t>Friedrich Nietzsche</w:t>
      </w:r>
    </w:p>
    <w:p w14:paraId="28DF7B9D" w14:textId="77777777" w:rsidR="00367E15" w:rsidRPr="003D1E07" w:rsidRDefault="00367E15" w:rsidP="00367E15">
      <w:pPr>
        <w:pStyle w:val="Rejstk2"/>
        <w:tabs>
          <w:tab w:val="right" w:leader="dot" w:pos="4171"/>
        </w:tabs>
        <w:spacing w:line="240" w:lineRule="auto"/>
        <w:ind w:left="0"/>
        <w:contextualSpacing/>
      </w:pPr>
      <w:r w:rsidRPr="003D1E07">
        <w:t>KSA 1, 269</w:t>
      </w:r>
      <w:r w:rsidRPr="003D1E07">
        <w:tab/>
        <w:t>46</w:t>
      </w:r>
    </w:p>
    <w:p w14:paraId="20960191" w14:textId="77777777" w:rsidR="00367E15" w:rsidRPr="003D1E07" w:rsidRDefault="00367E15" w:rsidP="00367E15">
      <w:pPr>
        <w:pStyle w:val="Rejstk2"/>
        <w:tabs>
          <w:tab w:val="right" w:leader="dot" w:pos="4171"/>
        </w:tabs>
        <w:spacing w:line="240" w:lineRule="auto"/>
        <w:ind w:left="0"/>
        <w:contextualSpacing/>
      </w:pPr>
      <w:r w:rsidRPr="003D1E07">
        <w:t>KSA 13, 373</w:t>
      </w:r>
      <w:r w:rsidRPr="003D1E07">
        <w:tab/>
        <w:t>4</w:t>
      </w:r>
    </w:p>
    <w:p w14:paraId="35C6CEC0" w14:textId="77777777" w:rsidR="00367E15" w:rsidRPr="003D1E07" w:rsidRDefault="00367E15" w:rsidP="00367E15">
      <w:pPr>
        <w:pStyle w:val="Rejstk2"/>
        <w:tabs>
          <w:tab w:val="right" w:leader="dot" w:pos="4171"/>
        </w:tabs>
        <w:spacing w:line="240" w:lineRule="auto"/>
        <w:ind w:left="0" w:hanging="238"/>
        <w:contextualSpacing/>
      </w:pPr>
      <w:r w:rsidRPr="003D1E07">
        <w:t>KSA 6, 80</w:t>
      </w:r>
      <w:r w:rsidRPr="003D1E07">
        <w:tab/>
        <w:t>37</w:t>
      </w:r>
    </w:p>
    <w:p w14:paraId="26F662A2" w14:textId="77777777" w:rsidR="00367E15" w:rsidRPr="003D1E07" w:rsidRDefault="00367E15" w:rsidP="00367E15">
      <w:pPr>
        <w:pStyle w:val="Rejstk2"/>
        <w:tabs>
          <w:tab w:val="right" w:leader="dot" w:pos="4171"/>
        </w:tabs>
        <w:spacing w:line="240" w:lineRule="auto"/>
        <w:ind w:left="0"/>
        <w:contextualSpacing/>
        <w:rPr>
          <w:b/>
        </w:rPr>
      </w:pPr>
    </w:p>
    <w:p w14:paraId="5532B43F" w14:textId="77777777" w:rsidR="00367E15" w:rsidRPr="003D1E07" w:rsidRDefault="00367E15" w:rsidP="00367E15">
      <w:pPr>
        <w:pStyle w:val="Rejstk2"/>
        <w:tabs>
          <w:tab w:val="right" w:leader="dot" w:pos="4171"/>
        </w:tabs>
        <w:spacing w:line="240" w:lineRule="auto"/>
        <w:ind w:left="0"/>
        <w:contextualSpacing/>
      </w:pPr>
      <w:r w:rsidRPr="003D1E07">
        <w:rPr>
          <w:b/>
        </w:rPr>
        <w:t>William Ockham</w:t>
      </w:r>
    </w:p>
    <w:p w14:paraId="1539B519" w14:textId="77777777" w:rsidR="00367E15" w:rsidRPr="003D1E07" w:rsidRDefault="00367E15" w:rsidP="00367E15">
      <w:pPr>
        <w:pStyle w:val="Rejstk2"/>
        <w:tabs>
          <w:tab w:val="right" w:leader="dot" w:pos="4171"/>
        </w:tabs>
        <w:spacing w:line="240" w:lineRule="auto"/>
        <w:ind w:left="0"/>
        <w:contextualSpacing/>
      </w:pPr>
      <w:r w:rsidRPr="003D1E07">
        <w:rPr>
          <w:i/>
          <w:lang w:eastAsia="en-US"/>
        </w:rPr>
        <w:t>In I Sent</w:t>
      </w:r>
      <w:r w:rsidRPr="003D1E07">
        <w:rPr>
          <w:lang w:eastAsia="en-US"/>
        </w:rPr>
        <w:t>. 234.1‒3</w:t>
      </w:r>
      <w:r w:rsidRPr="003D1E07">
        <w:tab/>
        <w:t>352</w:t>
      </w:r>
    </w:p>
    <w:p w14:paraId="61E53C3F" w14:textId="77777777" w:rsidR="00367E15" w:rsidRPr="003D1E07" w:rsidRDefault="00367E15" w:rsidP="00367E15">
      <w:pPr>
        <w:pStyle w:val="Rejstk2"/>
        <w:tabs>
          <w:tab w:val="right" w:leader="dot" w:pos="4171"/>
        </w:tabs>
        <w:spacing w:line="240" w:lineRule="auto"/>
        <w:ind w:left="0"/>
        <w:contextualSpacing/>
        <w:rPr>
          <w:b/>
        </w:rPr>
      </w:pPr>
    </w:p>
    <w:p w14:paraId="3245379F" w14:textId="77777777" w:rsidR="00367E15" w:rsidRPr="003D1E07" w:rsidRDefault="00367E15" w:rsidP="00367E15">
      <w:pPr>
        <w:pStyle w:val="Rejstk2"/>
        <w:tabs>
          <w:tab w:val="right" w:leader="dot" w:pos="4171"/>
        </w:tabs>
        <w:spacing w:line="240" w:lineRule="auto"/>
        <w:ind w:left="0"/>
        <w:contextualSpacing/>
      </w:pPr>
      <w:r w:rsidRPr="003D1E07">
        <w:rPr>
          <w:b/>
        </w:rPr>
        <w:t>Parmenides</w:t>
      </w:r>
    </w:p>
    <w:p w14:paraId="24739678" w14:textId="77777777" w:rsidR="00367E15" w:rsidRPr="003D1E07" w:rsidRDefault="00367E15" w:rsidP="00367E15">
      <w:pPr>
        <w:pStyle w:val="Rejstk2"/>
        <w:tabs>
          <w:tab w:val="right" w:leader="dot" w:pos="4171"/>
        </w:tabs>
        <w:spacing w:line="240" w:lineRule="auto"/>
        <w:ind w:left="0"/>
        <w:contextualSpacing/>
      </w:pPr>
      <w:r w:rsidRPr="003D1E07">
        <w:t>B 1.53</w:t>
      </w:r>
      <w:r w:rsidRPr="003D1E07">
        <w:tab/>
        <w:t>57, 74</w:t>
      </w:r>
    </w:p>
    <w:p w14:paraId="01604CEB" w14:textId="77777777" w:rsidR="00367E15" w:rsidRPr="003D1E07" w:rsidRDefault="00367E15" w:rsidP="00367E15">
      <w:pPr>
        <w:pStyle w:val="Rejstk2"/>
        <w:tabs>
          <w:tab w:val="right" w:leader="dot" w:pos="4171"/>
        </w:tabs>
        <w:spacing w:line="240" w:lineRule="auto"/>
        <w:ind w:left="0"/>
        <w:contextualSpacing/>
      </w:pPr>
      <w:r w:rsidRPr="003D1E07">
        <w:t>B 3</w:t>
      </w:r>
      <w:r w:rsidRPr="003D1E07">
        <w:tab/>
      </w:r>
      <w:r w:rsidRPr="003D1E07">
        <w:tab/>
        <w:t>22</w:t>
      </w:r>
    </w:p>
    <w:p w14:paraId="6673863F" w14:textId="77777777" w:rsidR="00367E15" w:rsidRPr="003D1E07" w:rsidRDefault="00367E15" w:rsidP="00367E15">
      <w:pPr>
        <w:pStyle w:val="Rejstk2"/>
        <w:tabs>
          <w:tab w:val="right" w:leader="dot" w:pos="4171"/>
        </w:tabs>
        <w:spacing w:line="240" w:lineRule="auto"/>
        <w:ind w:left="0"/>
        <w:contextualSpacing/>
      </w:pPr>
      <w:r w:rsidRPr="003D1E07">
        <w:t>B 6.8</w:t>
      </w:r>
      <w:r w:rsidRPr="003D1E07">
        <w:tab/>
        <w:t>21, 52, 316</w:t>
      </w:r>
    </w:p>
    <w:p w14:paraId="78F20589" w14:textId="77777777" w:rsidR="00367E15" w:rsidRPr="003D1E07" w:rsidRDefault="00367E15" w:rsidP="00367E15">
      <w:pPr>
        <w:pStyle w:val="Rejstk2"/>
        <w:tabs>
          <w:tab w:val="right" w:leader="dot" w:pos="4171"/>
        </w:tabs>
        <w:spacing w:line="240" w:lineRule="auto"/>
        <w:ind w:left="0"/>
        <w:contextualSpacing/>
      </w:pPr>
      <w:r w:rsidRPr="003D1E07">
        <w:t>B 6.5</w:t>
      </w:r>
      <w:r w:rsidRPr="003D1E07">
        <w:tab/>
        <w:t>26</w:t>
      </w:r>
    </w:p>
    <w:p w14:paraId="77CB5E97" w14:textId="77777777" w:rsidR="00367E15" w:rsidRPr="003D1E07" w:rsidRDefault="00367E15" w:rsidP="00367E15">
      <w:pPr>
        <w:pStyle w:val="Rejstk2"/>
        <w:tabs>
          <w:tab w:val="right" w:leader="dot" w:pos="4171"/>
        </w:tabs>
        <w:spacing w:line="240" w:lineRule="auto"/>
        <w:ind w:left="0" w:hanging="238"/>
        <w:contextualSpacing/>
      </w:pPr>
      <w:r w:rsidRPr="003D1E07">
        <w:t>B 6.9</w:t>
      </w:r>
      <w:r w:rsidRPr="003D1E07">
        <w:tab/>
        <w:t>26</w:t>
      </w:r>
    </w:p>
    <w:p w14:paraId="4FF8B094" w14:textId="77777777" w:rsidR="00367E15" w:rsidRPr="003D1E07" w:rsidRDefault="00367E15" w:rsidP="00367E15">
      <w:pPr>
        <w:pStyle w:val="Rejstk2"/>
        <w:tabs>
          <w:tab w:val="right" w:leader="dot" w:pos="4171"/>
        </w:tabs>
        <w:spacing w:line="240" w:lineRule="auto"/>
        <w:ind w:left="0"/>
        <w:contextualSpacing/>
        <w:rPr>
          <w:b/>
        </w:rPr>
      </w:pPr>
    </w:p>
    <w:p w14:paraId="129B02FF" w14:textId="77777777" w:rsidR="00367E15" w:rsidRPr="003D1E07" w:rsidRDefault="00367E15" w:rsidP="00367E15">
      <w:pPr>
        <w:pStyle w:val="Rejstk2"/>
        <w:tabs>
          <w:tab w:val="right" w:leader="dot" w:pos="4171"/>
        </w:tabs>
        <w:spacing w:line="240" w:lineRule="auto"/>
        <w:ind w:left="0"/>
        <w:contextualSpacing/>
      </w:pPr>
      <w:r w:rsidRPr="003D1E07">
        <w:rPr>
          <w:b/>
        </w:rPr>
        <w:t>Platon</w:t>
      </w:r>
    </w:p>
    <w:p w14:paraId="5FCEB352" w14:textId="77777777" w:rsidR="00367E15" w:rsidRPr="003D1E07" w:rsidRDefault="00367E15" w:rsidP="00367E15">
      <w:pPr>
        <w:pStyle w:val="Rejstk2"/>
        <w:tabs>
          <w:tab w:val="right" w:leader="dot" w:pos="4171"/>
        </w:tabs>
        <w:spacing w:line="240" w:lineRule="auto"/>
        <w:ind w:left="0"/>
        <w:contextualSpacing/>
      </w:pPr>
      <w:r w:rsidRPr="003D1E07">
        <w:rPr>
          <w:i/>
        </w:rPr>
        <w:t>Apol</w:t>
      </w:r>
      <w:r w:rsidRPr="003D1E07">
        <w:t>. 20e5‒21a8</w:t>
      </w:r>
      <w:r w:rsidRPr="003D1E07">
        <w:tab/>
        <w:t>25</w:t>
      </w:r>
    </w:p>
    <w:p w14:paraId="17C243F5" w14:textId="77777777" w:rsidR="00367E15" w:rsidRPr="003D1E07" w:rsidRDefault="00367E15" w:rsidP="00367E15">
      <w:pPr>
        <w:pStyle w:val="Rejstk2"/>
        <w:tabs>
          <w:tab w:val="right" w:leader="dot" w:pos="4171"/>
        </w:tabs>
        <w:spacing w:line="240" w:lineRule="auto"/>
        <w:ind w:left="0"/>
        <w:contextualSpacing/>
      </w:pPr>
      <w:r w:rsidRPr="003D1E07">
        <w:rPr>
          <w:i/>
        </w:rPr>
        <w:t>Apol</w:t>
      </w:r>
      <w:r w:rsidRPr="003D1E07">
        <w:t>. 40c3–4</w:t>
      </w:r>
      <w:r w:rsidRPr="003D1E07">
        <w:tab/>
        <w:t>50</w:t>
      </w:r>
    </w:p>
    <w:p w14:paraId="12B5C873" w14:textId="77777777" w:rsidR="00367E15" w:rsidRPr="003D1E07" w:rsidRDefault="00367E15" w:rsidP="00367E15">
      <w:pPr>
        <w:pStyle w:val="Rejstk2"/>
        <w:tabs>
          <w:tab w:val="right" w:leader="dot" w:pos="4171"/>
        </w:tabs>
        <w:spacing w:line="240" w:lineRule="auto"/>
        <w:ind w:left="0"/>
        <w:contextualSpacing/>
      </w:pPr>
      <w:r w:rsidRPr="003D1E07">
        <w:rPr>
          <w:i/>
        </w:rPr>
        <w:t>Hippias maior</w:t>
      </w:r>
      <w:r w:rsidRPr="003D1E07">
        <w:t xml:space="preserve"> 287d3</w:t>
      </w:r>
      <w:r w:rsidRPr="003D1E07">
        <w:tab/>
        <w:t>41</w:t>
      </w:r>
    </w:p>
    <w:p w14:paraId="62D7B154" w14:textId="77777777" w:rsidR="00367E15" w:rsidRPr="003D1E07" w:rsidRDefault="00367E15" w:rsidP="00367E15">
      <w:pPr>
        <w:pStyle w:val="Rejstk2"/>
        <w:tabs>
          <w:tab w:val="right" w:leader="dot" w:pos="4171"/>
        </w:tabs>
        <w:spacing w:line="240" w:lineRule="auto"/>
        <w:ind w:left="0"/>
        <w:contextualSpacing/>
      </w:pPr>
      <w:r w:rsidRPr="003D1E07">
        <w:rPr>
          <w:i/>
        </w:rPr>
        <w:t>Parm.</w:t>
      </w:r>
      <w:r w:rsidRPr="003D1E07">
        <w:t xml:space="preserve"> 142a</w:t>
      </w:r>
      <w:r w:rsidRPr="003D1E07">
        <w:tab/>
        <w:t>120</w:t>
      </w:r>
    </w:p>
    <w:p w14:paraId="07BABD49" w14:textId="77777777" w:rsidR="00367E15" w:rsidRPr="003D1E07" w:rsidRDefault="00367E15" w:rsidP="00367E15">
      <w:pPr>
        <w:pStyle w:val="Rejstk2"/>
        <w:tabs>
          <w:tab w:val="right" w:leader="dot" w:pos="4171"/>
        </w:tabs>
        <w:spacing w:line="240" w:lineRule="auto"/>
        <w:ind w:left="0"/>
        <w:contextualSpacing/>
      </w:pPr>
      <w:r w:rsidRPr="003D1E07">
        <w:rPr>
          <w:i/>
        </w:rPr>
        <w:t>Parm</w:t>
      </w:r>
      <w:r w:rsidRPr="003D1E07">
        <w:t>. 143a</w:t>
      </w:r>
      <w:r w:rsidRPr="003D1E07">
        <w:tab/>
        <w:t>115</w:t>
      </w:r>
    </w:p>
    <w:p w14:paraId="21FC3DDD" w14:textId="77777777" w:rsidR="00367E15" w:rsidRPr="003D1E07" w:rsidRDefault="00367E15" w:rsidP="00367E15">
      <w:pPr>
        <w:pStyle w:val="Rejstk2"/>
        <w:tabs>
          <w:tab w:val="right" w:leader="dot" w:pos="4171"/>
        </w:tabs>
        <w:spacing w:line="240" w:lineRule="auto"/>
        <w:ind w:left="0"/>
        <w:contextualSpacing/>
      </w:pPr>
      <w:r w:rsidRPr="003D1E07">
        <w:rPr>
          <w:i/>
        </w:rPr>
        <w:t>Parm</w:t>
      </w:r>
      <w:r w:rsidRPr="003D1E07">
        <w:t>. 156d3</w:t>
      </w:r>
      <w:r w:rsidRPr="003D1E07">
        <w:tab/>
        <w:t>115, 233</w:t>
      </w:r>
    </w:p>
    <w:p w14:paraId="64DDFE6E" w14:textId="77777777" w:rsidR="00367E15" w:rsidRPr="003D1E07" w:rsidRDefault="00367E15" w:rsidP="00367E15">
      <w:pPr>
        <w:pStyle w:val="Rejstk2"/>
        <w:tabs>
          <w:tab w:val="right" w:leader="dot" w:pos="4171"/>
        </w:tabs>
        <w:spacing w:line="240" w:lineRule="auto"/>
        <w:ind w:left="0"/>
        <w:contextualSpacing/>
      </w:pPr>
      <w:r w:rsidRPr="003D1E07">
        <w:rPr>
          <w:i/>
        </w:rPr>
        <w:t>Parm</w:t>
      </w:r>
      <w:r w:rsidRPr="003D1E07">
        <w:t>. 156d5–e1</w:t>
      </w:r>
      <w:r w:rsidRPr="003D1E07">
        <w:tab/>
        <w:t>115</w:t>
      </w:r>
    </w:p>
    <w:p w14:paraId="3376B62D" w14:textId="77777777" w:rsidR="00367E15" w:rsidRPr="003D1E07" w:rsidRDefault="00367E15" w:rsidP="00367E15">
      <w:pPr>
        <w:pStyle w:val="Rejstk2"/>
        <w:tabs>
          <w:tab w:val="right" w:leader="dot" w:pos="4171"/>
        </w:tabs>
        <w:spacing w:line="240" w:lineRule="auto"/>
        <w:ind w:left="0"/>
        <w:contextualSpacing/>
      </w:pPr>
      <w:r w:rsidRPr="003D1E07">
        <w:rPr>
          <w:i/>
        </w:rPr>
        <w:t>Rep</w:t>
      </w:r>
      <w:r w:rsidRPr="003D1E07">
        <w:t>. 506d8-e1</w:t>
      </w:r>
      <w:r w:rsidRPr="003D1E07">
        <w:tab/>
        <w:t>42</w:t>
      </w:r>
    </w:p>
    <w:p w14:paraId="6C37AB9F" w14:textId="77777777" w:rsidR="00367E15" w:rsidRPr="003D1E07" w:rsidRDefault="00367E15" w:rsidP="00367E15">
      <w:pPr>
        <w:pStyle w:val="Rejstk2"/>
        <w:tabs>
          <w:tab w:val="right" w:leader="dot" w:pos="4171"/>
        </w:tabs>
        <w:spacing w:line="240" w:lineRule="auto"/>
        <w:ind w:left="0"/>
        <w:contextualSpacing/>
      </w:pPr>
      <w:r w:rsidRPr="003D1E07">
        <w:rPr>
          <w:i/>
        </w:rPr>
        <w:t>Rep</w:t>
      </w:r>
      <w:r w:rsidRPr="003D1E07">
        <w:t>. 508e1‒3</w:t>
      </w:r>
      <w:r w:rsidRPr="003D1E07">
        <w:tab/>
        <w:t>29</w:t>
      </w:r>
    </w:p>
    <w:p w14:paraId="2EBFD358" w14:textId="77777777" w:rsidR="00367E15" w:rsidRPr="003D1E07" w:rsidRDefault="00367E15" w:rsidP="00367E15">
      <w:pPr>
        <w:pStyle w:val="Rejstk2"/>
        <w:tabs>
          <w:tab w:val="right" w:leader="dot" w:pos="4171"/>
        </w:tabs>
        <w:spacing w:line="240" w:lineRule="auto"/>
        <w:ind w:left="0"/>
        <w:contextualSpacing/>
      </w:pPr>
      <w:r w:rsidRPr="003D1E07">
        <w:rPr>
          <w:i/>
        </w:rPr>
        <w:t>Rep</w:t>
      </w:r>
      <w:r w:rsidRPr="003D1E07">
        <w:t>. 509b9</w:t>
      </w:r>
      <w:r w:rsidRPr="003D1E07">
        <w:tab/>
        <w:t>235, 315</w:t>
      </w:r>
    </w:p>
    <w:p w14:paraId="101BB60E" w14:textId="77777777" w:rsidR="00367E15" w:rsidRPr="003D1E07" w:rsidRDefault="00367E15" w:rsidP="00367E15">
      <w:pPr>
        <w:pStyle w:val="Rejstk2"/>
        <w:tabs>
          <w:tab w:val="right" w:leader="dot" w:pos="4171"/>
        </w:tabs>
        <w:spacing w:line="240" w:lineRule="auto"/>
        <w:ind w:left="0"/>
        <w:contextualSpacing/>
      </w:pPr>
      <w:r w:rsidRPr="003D1E07">
        <w:rPr>
          <w:i/>
        </w:rPr>
        <w:t>Rep</w:t>
      </w:r>
      <w:r w:rsidRPr="003D1E07">
        <w:t>. 514a2−517a7</w:t>
      </w:r>
      <w:r w:rsidRPr="003D1E07">
        <w:tab/>
        <w:t>28</w:t>
      </w:r>
    </w:p>
    <w:p w14:paraId="1223FDD2" w14:textId="77777777" w:rsidR="00367E15" w:rsidRPr="003D1E07" w:rsidRDefault="00367E15" w:rsidP="00367E15">
      <w:pPr>
        <w:pStyle w:val="Rejstk2"/>
        <w:tabs>
          <w:tab w:val="right" w:leader="dot" w:pos="4171"/>
        </w:tabs>
        <w:spacing w:line="240" w:lineRule="auto"/>
        <w:ind w:left="0"/>
        <w:contextualSpacing/>
      </w:pPr>
      <w:r w:rsidRPr="003D1E07">
        <w:rPr>
          <w:i/>
        </w:rPr>
        <w:t>Rep</w:t>
      </w:r>
      <w:r w:rsidRPr="003D1E07">
        <w:t>. 515c2</w:t>
      </w:r>
      <w:r w:rsidRPr="003D1E07">
        <w:tab/>
        <w:t>28</w:t>
      </w:r>
    </w:p>
    <w:p w14:paraId="09CD26C0" w14:textId="77777777" w:rsidR="00367E15" w:rsidRPr="003D1E07" w:rsidRDefault="00367E15" w:rsidP="00367E15">
      <w:pPr>
        <w:pStyle w:val="Rejstk2"/>
        <w:tabs>
          <w:tab w:val="right" w:leader="dot" w:pos="4171"/>
        </w:tabs>
        <w:spacing w:line="240" w:lineRule="auto"/>
        <w:ind w:left="0"/>
        <w:contextualSpacing/>
      </w:pPr>
      <w:r w:rsidRPr="003D1E07">
        <w:rPr>
          <w:i/>
        </w:rPr>
        <w:t>Rep</w:t>
      </w:r>
      <w:r w:rsidRPr="003D1E07">
        <w:t>. 515d4</w:t>
      </w:r>
      <w:r w:rsidRPr="003D1E07">
        <w:tab/>
        <w:t>28</w:t>
      </w:r>
    </w:p>
    <w:p w14:paraId="1E5455D7" w14:textId="77777777" w:rsidR="00367E15" w:rsidRPr="003D1E07" w:rsidRDefault="00367E15" w:rsidP="00367E15">
      <w:pPr>
        <w:pStyle w:val="Rejstk2"/>
        <w:tabs>
          <w:tab w:val="right" w:leader="dot" w:pos="4171"/>
        </w:tabs>
        <w:spacing w:line="240" w:lineRule="auto"/>
        <w:ind w:left="0"/>
        <w:contextualSpacing/>
      </w:pPr>
      <w:r w:rsidRPr="003D1E07">
        <w:rPr>
          <w:i/>
        </w:rPr>
        <w:t>Rep</w:t>
      </w:r>
      <w:r w:rsidRPr="003D1E07">
        <w:t>. 515d6‒7</w:t>
      </w:r>
      <w:r w:rsidRPr="003D1E07">
        <w:tab/>
        <w:t>28</w:t>
      </w:r>
    </w:p>
    <w:p w14:paraId="246DD487" w14:textId="77777777" w:rsidR="00367E15" w:rsidRPr="003D1E07" w:rsidRDefault="00367E15" w:rsidP="00367E15">
      <w:pPr>
        <w:pStyle w:val="Rejstk2"/>
        <w:tabs>
          <w:tab w:val="right" w:leader="dot" w:pos="4171"/>
        </w:tabs>
        <w:spacing w:line="240" w:lineRule="auto"/>
        <w:ind w:left="0"/>
        <w:contextualSpacing/>
      </w:pPr>
      <w:r w:rsidRPr="003D1E07">
        <w:rPr>
          <w:i/>
        </w:rPr>
        <w:t>Rep</w:t>
      </w:r>
      <w:r w:rsidRPr="003D1E07">
        <w:t>. 517c3‒4</w:t>
      </w:r>
      <w:r w:rsidRPr="003D1E07">
        <w:tab/>
        <w:t>29</w:t>
      </w:r>
    </w:p>
    <w:p w14:paraId="247EF418" w14:textId="77777777" w:rsidR="00367E15" w:rsidRPr="003D1E07" w:rsidRDefault="00367E15" w:rsidP="00367E15">
      <w:pPr>
        <w:pStyle w:val="Rejstk2"/>
        <w:tabs>
          <w:tab w:val="right" w:leader="dot" w:pos="4171"/>
        </w:tabs>
        <w:spacing w:line="240" w:lineRule="auto"/>
        <w:ind w:left="0"/>
        <w:contextualSpacing/>
      </w:pPr>
      <w:r w:rsidRPr="003D1E07">
        <w:rPr>
          <w:i/>
        </w:rPr>
        <w:t xml:space="preserve">Rep. </w:t>
      </w:r>
      <w:r w:rsidRPr="003D1E07">
        <w:t>596b7−8</w:t>
      </w:r>
      <w:r w:rsidRPr="003D1E07">
        <w:tab/>
        <w:t>35</w:t>
      </w:r>
    </w:p>
    <w:p w14:paraId="35670746" w14:textId="77777777" w:rsidR="00367E15" w:rsidRPr="003D1E07" w:rsidRDefault="00367E15" w:rsidP="00367E15">
      <w:pPr>
        <w:pStyle w:val="Rejstk2"/>
        <w:tabs>
          <w:tab w:val="right" w:leader="dot" w:pos="4171"/>
        </w:tabs>
        <w:spacing w:line="240" w:lineRule="auto"/>
        <w:ind w:left="0"/>
        <w:contextualSpacing/>
      </w:pPr>
      <w:r w:rsidRPr="003D1E07">
        <w:rPr>
          <w:i/>
        </w:rPr>
        <w:t>Soph</w:t>
      </w:r>
      <w:r w:rsidRPr="003D1E07">
        <w:t>. 246a4–5</w:t>
      </w:r>
      <w:r w:rsidRPr="003D1E07">
        <w:tab/>
        <w:t>7</w:t>
      </w:r>
    </w:p>
    <w:p w14:paraId="4C8ED801" w14:textId="77777777" w:rsidR="00367E15" w:rsidRPr="003D1E07" w:rsidRDefault="00367E15" w:rsidP="00367E15">
      <w:pPr>
        <w:pStyle w:val="Rejstk2"/>
        <w:tabs>
          <w:tab w:val="right" w:leader="dot" w:pos="4171"/>
        </w:tabs>
        <w:spacing w:line="240" w:lineRule="auto"/>
        <w:ind w:left="0"/>
        <w:contextualSpacing/>
      </w:pPr>
      <w:r w:rsidRPr="003D1E07">
        <w:rPr>
          <w:i/>
        </w:rPr>
        <w:t>Soph</w:t>
      </w:r>
      <w:r w:rsidRPr="003D1E07">
        <w:t>. 254a–259c</w:t>
      </w:r>
      <w:r w:rsidRPr="003D1E07">
        <w:tab/>
        <w:t>115</w:t>
      </w:r>
    </w:p>
    <w:p w14:paraId="1F017475" w14:textId="77777777" w:rsidR="00367E15" w:rsidRPr="003D1E07" w:rsidRDefault="00367E15" w:rsidP="00367E15">
      <w:pPr>
        <w:pStyle w:val="Rejstk2"/>
        <w:tabs>
          <w:tab w:val="right" w:leader="dot" w:pos="4171"/>
        </w:tabs>
        <w:spacing w:line="240" w:lineRule="auto"/>
        <w:ind w:left="0"/>
        <w:contextualSpacing/>
      </w:pPr>
      <w:r w:rsidRPr="003D1E07">
        <w:rPr>
          <w:i/>
        </w:rPr>
        <w:t>Soph.</w:t>
      </w:r>
      <w:r w:rsidRPr="003D1E07">
        <w:t xml:space="preserve"> 254d</w:t>
      </w:r>
      <w:r w:rsidRPr="003D1E07">
        <w:tab/>
        <w:t>81</w:t>
      </w:r>
    </w:p>
    <w:p w14:paraId="15DD7B08" w14:textId="77777777" w:rsidR="00367E15" w:rsidRPr="003D1E07" w:rsidRDefault="00367E15" w:rsidP="00367E15">
      <w:pPr>
        <w:pStyle w:val="Rejstk2"/>
        <w:tabs>
          <w:tab w:val="right" w:leader="dot" w:pos="4171"/>
        </w:tabs>
        <w:spacing w:line="240" w:lineRule="auto"/>
        <w:ind w:left="0"/>
        <w:contextualSpacing/>
      </w:pPr>
      <w:r w:rsidRPr="003D1E07">
        <w:rPr>
          <w:i/>
        </w:rPr>
        <w:t>Theait</w:t>
      </w:r>
      <w:r w:rsidRPr="003D1E07">
        <w:t>. 176b1‒2</w:t>
      </w:r>
      <w:r w:rsidRPr="003D1E07">
        <w:tab/>
        <w:t>198</w:t>
      </w:r>
    </w:p>
    <w:p w14:paraId="6CC5A32B" w14:textId="77777777" w:rsidR="00367E15" w:rsidRPr="003D1E07" w:rsidRDefault="00367E15" w:rsidP="00367E15">
      <w:pPr>
        <w:pStyle w:val="Rejstk2"/>
        <w:tabs>
          <w:tab w:val="right" w:leader="dot" w:pos="4171"/>
        </w:tabs>
        <w:spacing w:line="240" w:lineRule="auto"/>
        <w:ind w:left="0"/>
        <w:contextualSpacing/>
      </w:pPr>
      <w:r w:rsidRPr="003D1E07">
        <w:rPr>
          <w:i/>
        </w:rPr>
        <w:t>Theait</w:t>
      </w:r>
      <w:r w:rsidRPr="003D1E07">
        <w:t>. 191d7‒9</w:t>
      </w:r>
      <w:r w:rsidRPr="003D1E07">
        <w:tab/>
        <w:t>379</w:t>
      </w:r>
    </w:p>
    <w:p w14:paraId="75118A79" w14:textId="77777777" w:rsidR="00367E15" w:rsidRPr="003D1E07" w:rsidRDefault="00367E15" w:rsidP="00367E15">
      <w:pPr>
        <w:pStyle w:val="Rejstk2"/>
        <w:tabs>
          <w:tab w:val="right" w:leader="dot" w:pos="4171"/>
        </w:tabs>
        <w:spacing w:line="240" w:lineRule="auto"/>
        <w:ind w:left="0"/>
        <w:contextualSpacing/>
      </w:pPr>
      <w:r w:rsidRPr="003D1E07">
        <w:rPr>
          <w:i/>
        </w:rPr>
        <w:t>Tim</w:t>
      </w:r>
      <w:r w:rsidRPr="003D1E07">
        <w:t>. 31a3–4</w:t>
      </w:r>
      <w:r w:rsidRPr="003D1E07">
        <w:tab/>
        <w:t>154</w:t>
      </w:r>
    </w:p>
    <w:p w14:paraId="3CFA4CDA" w14:textId="77777777" w:rsidR="00367E15" w:rsidRPr="003D1E07" w:rsidRDefault="00367E15" w:rsidP="00367E15">
      <w:pPr>
        <w:pStyle w:val="Rejstk2"/>
        <w:tabs>
          <w:tab w:val="right" w:leader="dot" w:pos="4171"/>
        </w:tabs>
        <w:spacing w:line="240" w:lineRule="auto"/>
        <w:ind w:left="0"/>
        <w:contextualSpacing/>
      </w:pPr>
      <w:r w:rsidRPr="003D1E07">
        <w:rPr>
          <w:i/>
        </w:rPr>
        <w:lastRenderedPageBreak/>
        <w:t>Tim</w:t>
      </w:r>
      <w:r w:rsidRPr="003D1E07">
        <w:t>. 36b7</w:t>
      </w:r>
      <w:r w:rsidRPr="003D1E07">
        <w:tab/>
        <w:t>157</w:t>
      </w:r>
    </w:p>
    <w:p w14:paraId="69631BA3" w14:textId="77777777" w:rsidR="00367E15" w:rsidRPr="003D1E07" w:rsidRDefault="00367E15" w:rsidP="00367E15">
      <w:pPr>
        <w:pStyle w:val="Rejstk2"/>
        <w:tabs>
          <w:tab w:val="right" w:leader="dot" w:pos="4171"/>
        </w:tabs>
        <w:spacing w:line="240" w:lineRule="auto"/>
        <w:ind w:left="0"/>
        <w:contextualSpacing/>
      </w:pPr>
      <w:r w:rsidRPr="003D1E07">
        <w:rPr>
          <w:i/>
        </w:rPr>
        <w:t>Tim</w:t>
      </w:r>
      <w:r w:rsidRPr="003D1E07">
        <w:t>. 48e–53c</w:t>
      </w:r>
      <w:r w:rsidRPr="003D1E07">
        <w:tab/>
        <w:t>379</w:t>
      </w:r>
    </w:p>
    <w:p w14:paraId="1A283141" w14:textId="77777777" w:rsidR="00367E15" w:rsidRPr="003D1E07" w:rsidRDefault="00367E15" w:rsidP="00367E15">
      <w:pPr>
        <w:pStyle w:val="Rejstk2"/>
        <w:tabs>
          <w:tab w:val="right" w:leader="dot" w:pos="4171"/>
        </w:tabs>
        <w:spacing w:line="240" w:lineRule="auto"/>
        <w:ind w:left="0"/>
        <w:contextualSpacing/>
      </w:pPr>
      <w:r w:rsidRPr="003D1E07">
        <w:rPr>
          <w:i/>
        </w:rPr>
        <w:t>Tim</w:t>
      </w:r>
      <w:r w:rsidRPr="003D1E07">
        <w:t>. 50c7</w:t>
      </w:r>
      <w:r w:rsidRPr="003D1E07">
        <w:tab/>
        <w:t>155</w:t>
      </w:r>
    </w:p>
    <w:p w14:paraId="12F659D1" w14:textId="77777777" w:rsidR="00367E15" w:rsidRPr="003D1E07" w:rsidRDefault="00367E15" w:rsidP="00367E15">
      <w:pPr>
        <w:pStyle w:val="Rejstk2"/>
        <w:tabs>
          <w:tab w:val="right" w:leader="dot" w:pos="4171"/>
        </w:tabs>
        <w:spacing w:line="240" w:lineRule="auto"/>
        <w:ind w:left="0" w:hanging="238"/>
        <w:contextualSpacing/>
      </w:pPr>
      <w:r w:rsidRPr="003D1E07">
        <w:rPr>
          <w:i/>
        </w:rPr>
        <w:t>Tim</w:t>
      </w:r>
      <w:r w:rsidRPr="003D1E07">
        <w:t>. 50d1</w:t>
      </w:r>
      <w:r w:rsidRPr="003D1E07">
        <w:tab/>
        <w:t>156</w:t>
      </w:r>
    </w:p>
    <w:p w14:paraId="0FE05A2E" w14:textId="77777777" w:rsidR="00367E15" w:rsidRPr="003D1E07" w:rsidRDefault="00367E15" w:rsidP="00367E15">
      <w:pPr>
        <w:pStyle w:val="Rejstk2"/>
        <w:tabs>
          <w:tab w:val="right" w:leader="dot" w:pos="4171"/>
        </w:tabs>
        <w:spacing w:line="240" w:lineRule="auto"/>
        <w:ind w:left="0"/>
        <w:contextualSpacing/>
        <w:rPr>
          <w:b/>
        </w:rPr>
      </w:pPr>
    </w:p>
    <w:p w14:paraId="2CF0537B" w14:textId="77777777" w:rsidR="00367E15" w:rsidRPr="003D1E07" w:rsidRDefault="00367E15" w:rsidP="00367E15">
      <w:pPr>
        <w:pStyle w:val="Rejstk2"/>
        <w:tabs>
          <w:tab w:val="right" w:leader="dot" w:pos="4171"/>
        </w:tabs>
        <w:spacing w:line="240" w:lineRule="auto"/>
        <w:ind w:left="0"/>
        <w:contextualSpacing/>
      </w:pPr>
      <w:r w:rsidRPr="003D1E07">
        <w:rPr>
          <w:b/>
        </w:rPr>
        <w:t>Plotinos</w:t>
      </w:r>
    </w:p>
    <w:p w14:paraId="1ABF5513" w14:textId="77777777" w:rsidR="00367E15" w:rsidRPr="003D1E07" w:rsidRDefault="00367E15" w:rsidP="00367E15">
      <w:pPr>
        <w:pStyle w:val="Rejstk2"/>
        <w:tabs>
          <w:tab w:val="right" w:leader="dot" w:pos="4171"/>
        </w:tabs>
        <w:spacing w:line="240" w:lineRule="auto"/>
        <w:ind w:left="0"/>
        <w:contextualSpacing/>
      </w:pPr>
      <w:r w:rsidRPr="003D1E07">
        <w:rPr>
          <w:i/>
        </w:rPr>
        <w:t>Enn</w:t>
      </w:r>
      <w:r w:rsidRPr="003D1E07">
        <w:t>. 2.4.12.36–37</w:t>
      </w:r>
      <w:r w:rsidRPr="003D1E07">
        <w:tab/>
        <w:t>161</w:t>
      </w:r>
    </w:p>
    <w:p w14:paraId="392F8701" w14:textId="77777777" w:rsidR="00367E15" w:rsidRPr="003D1E07" w:rsidRDefault="00367E15" w:rsidP="00367E15">
      <w:pPr>
        <w:pStyle w:val="Rejstk2"/>
        <w:tabs>
          <w:tab w:val="right" w:leader="dot" w:pos="4171"/>
        </w:tabs>
        <w:spacing w:line="240" w:lineRule="auto"/>
        <w:ind w:left="0"/>
        <w:contextualSpacing/>
      </w:pPr>
      <w:r w:rsidRPr="003D1E07">
        <w:rPr>
          <w:i/>
          <w:iCs/>
        </w:rPr>
        <w:t>Enn.</w:t>
      </w:r>
      <w:r w:rsidRPr="003D1E07">
        <w:rPr>
          <w:i/>
        </w:rPr>
        <w:t xml:space="preserve"> </w:t>
      </w:r>
      <w:r w:rsidRPr="003D1E07">
        <w:t>5.5.7.1</w:t>
      </w:r>
      <w:r w:rsidRPr="003D1E07">
        <w:tab/>
        <w:t>118</w:t>
      </w:r>
    </w:p>
    <w:p w14:paraId="6F5B07AE" w14:textId="77777777" w:rsidR="00367E15" w:rsidRPr="003D1E07" w:rsidRDefault="00367E15" w:rsidP="00367E15">
      <w:pPr>
        <w:pStyle w:val="Rejstk2"/>
        <w:tabs>
          <w:tab w:val="right" w:leader="dot" w:pos="4171"/>
        </w:tabs>
        <w:spacing w:line="240" w:lineRule="auto"/>
        <w:ind w:left="0"/>
        <w:contextualSpacing/>
      </w:pPr>
      <w:r w:rsidRPr="003D1E07">
        <w:rPr>
          <w:i/>
          <w:iCs/>
        </w:rPr>
        <w:t xml:space="preserve">Enn. </w:t>
      </w:r>
      <w:r w:rsidRPr="003D1E07">
        <w:t>5.5.7.4</w:t>
      </w:r>
      <w:r w:rsidRPr="003D1E07">
        <w:tab/>
        <w:t>118, 244</w:t>
      </w:r>
    </w:p>
    <w:p w14:paraId="124281A5" w14:textId="77777777" w:rsidR="00367E15" w:rsidRPr="003D1E07" w:rsidRDefault="00367E15" w:rsidP="00367E15">
      <w:pPr>
        <w:pStyle w:val="Rejstk2"/>
        <w:tabs>
          <w:tab w:val="right" w:leader="dot" w:pos="4171"/>
        </w:tabs>
        <w:spacing w:line="240" w:lineRule="auto"/>
        <w:ind w:left="0"/>
        <w:contextualSpacing/>
      </w:pPr>
      <w:r w:rsidRPr="003D1E07">
        <w:rPr>
          <w:i/>
          <w:iCs/>
        </w:rPr>
        <w:t>Enn.</w:t>
      </w:r>
      <w:r w:rsidRPr="003D1E07">
        <w:rPr>
          <w:i/>
        </w:rPr>
        <w:t xml:space="preserve"> </w:t>
      </w:r>
      <w:r w:rsidRPr="003D1E07">
        <w:t>5.5.7.5</w:t>
      </w:r>
      <w:r w:rsidRPr="003D1E07">
        <w:tab/>
        <w:t>118, 249</w:t>
      </w:r>
    </w:p>
    <w:p w14:paraId="1C744BEB" w14:textId="77777777" w:rsidR="00367E15" w:rsidRPr="003D1E07" w:rsidRDefault="00367E15" w:rsidP="00367E15">
      <w:pPr>
        <w:pStyle w:val="Rejstk2"/>
        <w:tabs>
          <w:tab w:val="right" w:leader="dot" w:pos="4171"/>
        </w:tabs>
        <w:spacing w:line="240" w:lineRule="auto"/>
        <w:ind w:left="0"/>
        <w:contextualSpacing/>
      </w:pPr>
      <w:r w:rsidRPr="003D1E07">
        <w:rPr>
          <w:i/>
          <w:shd w:val="clear" w:color="auto" w:fill="FFFFFF"/>
        </w:rPr>
        <w:t>Enn</w:t>
      </w:r>
      <w:r w:rsidRPr="003D1E07">
        <w:rPr>
          <w:shd w:val="clear" w:color="auto" w:fill="FFFFFF"/>
        </w:rPr>
        <w:t>. 6.1.6.20‒21</w:t>
      </w:r>
      <w:r w:rsidRPr="003D1E07">
        <w:tab/>
        <w:t>116</w:t>
      </w:r>
    </w:p>
    <w:p w14:paraId="349139F5" w14:textId="77777777" w:rsidR="00367E15" w:rsidRPr="003D1E07" w:rsidRDefault="00367E15" w:rsidP="00367E15">
      <w:pPr>
        <w:pStyle w:val="Rejstk2"/>
        <w:tabs>
          <w:tab w:val="right" w:leader="dot" w:pos="4171"/>
        </w:tabs>
        <w:spacing w:line="240" w:lineRule="auto"/>
        <w:ind w:left="0"/>
        <w:contextualSpacing/>
      </w:pPr>
      <w:r w:rsidRPr="003D1E07">
        <w:rPr>
          <w:i/>
        </w:rPr>
        <w:t>Enn</w:t>
      </w:r>
      <w:r w:rsidRPr="003D1E07">
        <w:t>. 6.1–3</w:t>
      </w:r>
      <w:r w:rsidRPr="003D1E07">
        <w:tab/>
        <w:t>81, 123</w:t>
      </w:r>
    </w:p>
    <w:p w14:paraId="42693FB3" w14:textId="77777777" w:rsidR="00367E15" w:rsidRPr="003D1E07" w:rsidRDefault="00367E15" w:rsidP="00367E15">
      <w:pPr>
        <w:pStyle w:val="Rejstk2"/>
        <w:tabs>
          <w:tab w:val="right" w:leader="dot" w:pos="4171"/>
        </w:tabs>
        <w:spacing w:line="240" w:lineRule="auto"/>
        <w:ind w:left="0"/>
        <w:contextualSpacing/>
      </w:pPr>
      <w:r w:rsidRPr="003D1E07">
        <w:rPr>
          <w:i/>
        </w:rPr>
        <w:t>Enn.</w:t>
      </w:r>
      <w:r w:rsidRPr="003D1E07">
        <w:t xml:space="preserve"> 6.2.12.12</w:t>
      </w:r>
      <w:r w:rsidRPr="003D1E07">
        <w:tab/>
        <w:t>81</w:t>
      </w:r>
    </w:p>
    <w:p w14:paraId="5ABD8BBE" w14:textId="77777777" w:rsidR="00367E15" w:rsidRPr="003D1E07" w:rsidRDefault="00367E15" w:rsidP="00367E15">
      <w:pPr>
        <w:pStyle w:val="Rejstk2"/>
        <w:tabs>
          <w:tab w:val="right" w:leader="dot" w:pos="4171"/>
        </w:tabs>
        <w:spacing w:line="240" w:lineRule="auto"/>
        <w:ind w:left="0"/>
        <w:contextualSpacing/>
      </w:pPr>
      <w:r w:rsidRPr="003D1E07">
        <w:rPr>
          <w:i/>
        </w:rPr>
        <w:t>Enn</w:t>
      </w:r>
      <w:r w:rsidRPr="003D1E07">
        <w:t>. 6.2.12.13–14</w:t>
      </w:r>
      <w:r w:rsidRPr="003D1E07">
        <w:tab/>
        <w:t>94</w:t>
      </w:r>
    </w:p>
    <w:p w14:paraId="34A6F06F" w14:textId="77777777" w:rsidR="00367E15" w:rsidRPr="003D1E07" w:rsidRDefault="00367E15" w:rsidP="00367E15">
      <w:pPr>
        <w:pStyle w:val="Rejstk2"/>
        <w:tabs>
          <w:tab w:val="right" w:leader="dot" w:pos="4171"/>
        </w:tabs>
        <w:spacing w:line="240" w:lineRule="auto"/>
        <w:ind w:left="0"/>
        <w:contextualSpacing/>
      </w:pPr>
      <w:r w:rsidRPr="003D1E07">
        <w:rPr>
          <w:i/>
        </w:rPr>
        <w:t>Enn.</w:t>
      </w:r>
      <w:r w:rsidRPr="003D1E07">
        <w:t xml:space="preserve"> 6.2.15.13‒14</w:t>
      </w:r>
      <w:r w:rsidRPr="003D1E07">
        <w:tab/>
        <w:t>81</w:t>
      </w:r>
    </w:p>
    <w:p w14:paraId="0362A832" w14:textId="77777777" w:rsidR="00367E15" w:rsidRPr="003D1E07" w:rsidRDefault="00367E15" w:rsidP="00367E15">
      <w:pPr>
        <w:pStyle w:val="Rejstk2"/>
        <w:tabs>
          <w:tab w:val="right" w:leader="dot" w:pos="4171"/>
        </w:tabs>
        <w:spacing w:line="240" w:lineRule="auto"/>
        <w:ind w:left="0"/>
        <w:contextualSpacing/>
      </w:pPr>
      <w:r w:rsidRPr="003D1E07">
        <w:rPr>
          <w:i/>
        </w:rPr>
        <w:t>Enn.</w:t>
      </w:r>
      <w:r w:rsidRPr="003D1E07">
        <w:t xml:space="preserve"> 6.2.15.18</w:t>
      </w:r>
      <w:r w:rsidRPr="003D1E07">
        <w:tab/>
        <w:t>81</w:t>
      </w:r>
    </w:p>
    <w:p w14:paraId="7ADB3FC8" w14:textId="77777777" w:rsidR="00367E15" w:rsidRPr="003D1E07" w:rsidRDefault="00367E15" w:rsidP="00367E15">
      <w:pPr>
        <w:pStyle w:val="Rejstk2"/>
        <w:tabs>
          <w:tab w:val="right" w:leader="dot" w:pos="4171"/>
        </w:tabs>
        <w:spacing w:line="240" w:lineRule="auto"/>
        <w:ind w:left="0"/>
        <w:contextualSpacing/>
      </w:pPr>
      <w:r w:rsidRPr="003D1E07">
        <w:rPr>
          <w:i/>
        </w:rPr>
        <w:t>Enn</w:t>
      </w:r>
      <w:r w:rsidRPr="003D1E07">
        <w:t>. 6.2.21.24–59</w:t>
      </w:r>
      <w:r w:rsidRPr="003D1E07">
        <w:tab/>
        <w:t>94</w:t>
      </w:r>
    </w:p>
    <w:p w14:paraId="482ACFA5" w14:textId="77777777" w:rsidR="00367E15" w:rsidRPr="003D1E07" w:rsidRDefault="00367E15" w:rsidP="00367E15">
      <w:pPr>
        <w:pStyle w:val="Rejstk2"/>
        <w:tabs>
          <w:tab w:val="right" w:leader="dot" w:pos="4171"/>
        </w:tabs>
        <w:spacing w:line="240" w:lineRule="auto"/>
        <w:ind w:left="0"/>
        <w:contextualSpacing/>
      </w:pPr>
      <w:r w:rsidRPr="003D1E07">
        <w:rPr>
          <w:i/>
        </w:rPr>
        <w:t>Enn.</w:t>
      </w:r>
      <w:r w:rsidRPr="003D1E07">
        <w:t xml:space="preserve"> 6.3.5.1‒2</w:t>
      </w:r>
      <w:r w:rsidRPr="003D1E07">
        <w:tab/>
        <w:t>82</w:t>
      </w:r>
    </w:p>
    <w:p w14:paraId="2D6CCDAD" w14:textId="77777777" w:rsidR="00367E15" w:rsidRPr="003D1E07" w:rsidRDefault="00367E15" w:rsidP="00367E15">
      <w:pPr>
        <w:pStyle w:val="Rejstk2"/>
        <w:tabs>
          <w:tab w:val="right" w:leader="dot" w:pos="4171"/>
        </w:tabs>
        <w:spacing w:line="240" w:lineRule="auto"/>
        <w:ind w:left="0"/>
        <w:contextualSpacing/>
      </w:pPr>
      <w:r w:rsidRPr="003D1E07">
        <w:rPr>
          <w:i/>
        </w:rPr>
        <w:t>Enn.</w:t>
      </w:r>
      <w:r w:rsidRPr="003D1E07">
        <w:t xml:space="preserve"> 6.3.5.2‒3</w:t>
      </w:r>
      <w:r w:rsidRPr="003D1E07">
        <w:tab/>
        <w:t>82</w:t>
      </w:r>
    </w:p>
    <w:p w14:paraId="421B2C6E" w14:textId="77777777" w:rsidR="00367E15" w:rsidRPr="003D1E07" w:rsidRDefault="00367E15" w:rsidP="00367E15">
      <w:pPr>
        <w:pStyle w:val="Rejstk2"/>
        <w:tabs>
          <w:tab w:val="right" w:leader="dot" w:pos="4171"/>
        </w:tabs>
        <w:spacing w:line="240" w:lineRule="auto"/>
        <w:ind w:left="0"/>
        <w:contextualSpacing/>
      </w:pPr>
      <w:r w:rsidRPr="003D1E07">
        <w:rPr>
          <w:i/>
        </w:rPr>
        <w:t>Enn.</w:t>
      </w:r>
      <w:r w:rsidRPr="003D1E07">
        <w:t xml:space="preserve"> 6.3.5.3‒4</w:t>
      </w:r>
      <w:r w:rsidRPr="003D1E07">
        <w:tab/>
        <w:t>82</w:t>
      </w:r>
    </w:p>
    <w:p w14:paraId="278455D9" w14:textId="77777777" w:rsidR="00367E15" w:rsidRPr="003D1E07" w:rsidRDefault="00367E15" w:rsidP="00367E15">
      <w:pPr>
        <w:pStyle w:val="Rejstk2"/>
        <w:tabs>
          <w:tab w:val="right" w:leader="dot" w:pos="4171"/>
        </w:tabs>
        <w:spacing w:line="240" w:lineRule="auto"/>
        <w:ind w:left="0"/>
        <w:contextualSpacing/>
      </w:pPr>
      <w:r w:rsidRPr="003D1E07">
        <w:rPr>
          <w:i/>
        </w:rPr>
        <w:t>Enn.</w:t>
      </w:r>
      <w:r w:rsidRPr="003D1E07">
        <w:t xml:space="preserve"> 6.3.8.32</w:t>
      </w:r>
      <w:r w:rsidRPr="003D1E07">
        <w:tab/>
        <w:t>82</w:t>
      </w:r>
    </w:p>
    <w:p w14:paraId="1ADE302A" w14:textId="77777777" w:rsidR="00367E15" w:rsidRPr="003D1E07" w:rsidRDefault="00367E15" w:rsidP="00367E15">
      <w:pPr>
        <w:pStyle w:val="Rejstk2"/>
        <w:tabs>
          <w:tab w:val="right" w:leader="dot" w:pos="4171"/>
        </w:tabs>
        <w:spacing w:line="240" w:lineRule="auto"/>
        <w:ind w:left="0" w:hanging="238"/>
        <w:contextualSpacing/>
      </w:pPr>
      <w:r w:rsidRPr="003D1E07">
        <w:rPr>
          <w:i/>
        </w:rPr>
        <w:t>Enn.</w:t>
      </w:r>
      <w:r w:rsidRPr="003D1E07">
        <w:t xml:space="preserve"> 6.7.17.41–42</w:t>
      </w:r>
      <w:r w:rsidRPr="003D1E07">
        <w:tab/>
        <w:t>115</w:t>
      </w:r>
    </w:p>
    <w:p w14:paraId="58EA75ED" w14:textId="77777777" w:rsidR="00367E15" w:rsidRPr="003D1E07" w:rsidRDefault="00367E15" w:rsidP="00367E15">
      <w:pPr>
        <w:pStyle w:val="Rejstk2"/>
        <w:tabs>
          <w:tab w:val="right" w:leader="dot" w:pos="4171"/>
        </w:tabs>
        <w:spacing w:line="240" w:lineRule="auto"/>
        <w:ind w:left="0"/>
        <w:contextualSpacing/>
        <w:rPr>
          <w:lang w:eastAsia="en-US"/>
        </w:rPr>
      </w:pPr>
    </w:p>
    <w:p w14:paraId="35BAE78E" w14:textId="77777777" w:rsidR="00367E15" w:rsidRPr="003D1E07" w:rsidRDefault="00367E15" w:rsidP="00367E15">
      <w:pPr>
        <w:pStyle w:val="Rejstk2"/>
        <w:tabs>
          <w:tab w:val="right" w:leader="dot" w:pos="4171"/>
        </w:tabs>
        <w:spacing w:line="240" w:lineRule="auto"/>
        <w:ind w:left="0"/>
        <w:contextualSpacing/>
      </w:pPr>
      <w:r w:rsidRPr="003D1E07">
        <w:rPr>
          <w:b/>
        </w:rPr>
        <w:t>Plutarchos</w:t>
      </w:r>
    </w:p>
    <w:p w14:paraId="5E51FFFC" w14:textId="77777777" w:rsidR="00367E15" w:rsidRPr="003D1E07" w:rsidRDefault="00367E15" w:rsidP="00367E15">
      <w:pPr>
        <w:pStyle w:val="Rejstk2"/>
        <w:tabs>
          <w:tab w:val="right" w:leader="dot" w:pos="4171"/>
        </w:tabs>
        <w:spacing w:line="240" w:lineRule="auto"/>
        <w:ind w:left="0"/>
        <w:contextualSpacing/>
      </w:pPr>
      <w:r w:rsidRPr="003D1E07">
        <w:rPr>
          <w:i/>
        </w:rPr>
        <w:t>De facie in orbe lunae</w:t>
      </w:r>
      <w:r w:rsidRPr="003D1E07">
        <w:t xml:space="preserve"> 923A3‒4</w:t>
      </w:r>
      <w:r w:rsidRPr="003D1E07">
        <w:tab/>
        <w:t>167</w:t>
      </w:r>
    </w:p>
    <w:p w14:paraId="0AD658BE" w14:textId="77777777" w:rsidR="00367E15" w:rsidRPr="003D1E07" w:rsidRDefault="00367E15" w:rsidP="00367E15">
      <w:pPr>
        <w:pStyle w:val="Rejstk2"/>
        <w:tabs>
          <w:tab w:val="right" w:leader="dot" w:pos="4171"/>
        </w:tabs>
        <w:spacing w:line="240" w:lineRule="auto"/>
        <w:ind w:left="0"/>
        <w:contextualSpacing/>
        <w:rPr>
          <w:b/>
        </w:rPr>
      </w:pPr>
    </w:p>
    <w:p w14:paraId="5C171D9B" w14:textId="77777777" w:rsidR="00367E15" w:rsidRPr="003D1E07" w:rsidRDefault="00367E15" w:rsidP="00367E15">
      <w:pPr>
        <w:pStyle w:val="Rejstk2"/>
        <w:tabs>
          <w:tab w:val="right" w:leader="dot" w:pos="4171"/>
        </w:tabs>
        <w:spacing w:line="240" w:lineRule="auto"/>
        <w:ind w:left="0"/>
        <w:contextualSpacing/>
      </w:pPr>
      <w:r w:rsidRPr="003D1E07">
        <w:rPr>
          <w:b/>
        </w:rPr>
        <w:t>Porfyrius</w:t>
      </w:r>
    </w:p>
    <w:p w14:paraId="7DD7A011" w14:textId="77777777" w:rsidR="00367E15" w:rsidRPr="003D1E07" w:rsidRDefault="00367E15" w:rsidP="00367E15">
      <w:pPr>
        <w:pStyle w:val="Rejstk2"/>
        <w:tabs>
          <w:tab w:val="right" w:leader="dot" w:pos="4171"/>
        </w:tabs>
        <w:spacing w:line="240" w:lineRule="auto"/>
        <w:ind w:left="0"/>
        <w:contextualSpacing/>
      </w:pPr>
      <w:r w:rsidRPr="003D1E07">
        <w:rPr>
          <w:i/>
        </w:rPr>
        <w:t>Isag</w:t>
      </w:r>
      <w:r w:rsidRPr="003D1E07">
        <w:t>. 1.10–14</w:t>
      </w:r>
      <w:r w:rsidRPr="003D1E07">
        <w:tab/>
        <w:t>122</w:t>
      </w:r>
    </w:p>
    <w:p w14:paraId="5424A76F" w14:textId="77777777" w:rsidR="00367E15" w:rsidRPr="003D1E07" w:rsidRDefault="00367E15" w:rsidP="00367E15">
      <w:pPr>
        <w:pStyle w:val="Rejstk2"/>
        <w:tabs>
          <w:tab w:val="right" w:leader="dot" w:pos="4171"/>
        </w:tabs>
        <w:spacing w:line="240" w:lineRule="auto"/>
        <w:ind w:left="0"/>
        <w:contextualSpacing/>
      </w:pPr>
      <w:r w:rsidRPr="003D1E07">
        <w:rPr>
          <w:i/>
        </w:rPr>
        <w:t>Isag</w:t>
      </w:r>
      <w:r w:rsidRPr="003D1E07">
        <w:t>. 13.23–19.3</w:t>
      </w:r>
      <w:r w:rsidRPr="003D1E07">
        <w:tab/>
        <w:t>94</w:t>
      </w:r>
    </w:p>
    <w:p w14:paraId="1D381F86" w14:textId="77777777" w:rsidR="00367E15" w:rsidRPr="003D1E07" w:rsidRDefault="00367E15" w:rsidP="00367E15">
      <w:pPr>
        <w:pStyle w:val="Rejstk2"/>
        <w:tabs>
          <w:tab w:val="right" w:leader="dot" w:pos="4171"/>
        </w:tabs>
        <w:spacing w:line="240" w:lineRule="auto"/>
        <w:ind w:left="0"/>
        <w:contextualSpacing/>
      </w:pPr>
      <w:r w:rsidRPr="003D1E07">
        <w:rPr>
          <w:i/>
        </w:rPr>
        <w:t>Isag</w:t>
      </w:r>
      <w:r w:rsidRPr="003D1E07">
        <w:t>. 7.27‒8.3</w:t>
      </w:r>
      <w:r w:rsidRPr="003D1E07">
        <w:tab/>
        <w:t>98, 104, 108</w:t>
      </w:r>
    </w:p>
    <w:p w14:paraId="0D1E1520" w14:textId="77777777" w:rsidR="00367E15" w:rsidRPr="003D1E07" w:rsidRDefault="00367E15" w:rsidP="00367E15">
      <w:pPr>
        <w:pStyle w:val="Rejstk2"/>
        <w:tabs>
          <w:tab w:val="right" w:leader="dot" w:pos="4171"/>
        </w:tabs>
        <w:spacing w:line="240" w:lineRule="auto"/>
        <w:ind w:left="0"/>
        <w:contextualSpacing/>
      </w:pPr>
      <w:r w:rsidRPr="003D1E07">
        <w:rPr>
          <w:i/>
        </w:rPr>
        <w:t>Porph. in Cat.</w:t>
      </w:r>
      <w:r w:rsidRPr="003D1E07">
        <w:t xml:space="preserve"> 90.19–20</w:t>
      </w:r>
      <w:r w:rsidRPr="003D1E07">
        <w:tab/>
        <w:t>94</w:t>
      </w:r>
    </w:p>
    <w:p w14:paraId="561D1E00" w14:textId="77777777" w:rsidR="00367E15" w:rsidRPr="003D1E07" w:rsidRDefault="00367E15" w:rsidP="00367E15">
      <w:pPr>
        <w:pStyle w:val="Rejstk2"/>
        <w:tabs>
          <w:tab w:val="right" w:leader="dot" w:pos="4171"/>
        </w:tabs>
        <w:spacing w:line="240" w:lineRule="auto"/>
        <w:ind w:left="0"/>
        <w:contextualSpacing/>
      </w:pPr>
      <w:r w:rsidRPr="003D1E07">
        <w:rPr>
          <w:i/>
        </w:rPr>
        <w:t>Porph. in Cat.</w:t>
      </w:r>
      <w:r w:rsidRPr="003D1E07">
        <w:t xml:space="preserve"> 90.25–26</w:t>
      </w:r>
      <w:r w:rsidRPr="003D1E07">
        <w:tab/>
        <w:t>96</w:t>
      </w:r>
    </w:p>
    <w:p w14:paraId="3614DABD" w14:textId="77777777" w:rsidR="00367E15" w:rsidRPr="003D1E07" w:rsidRDefault="00367E15" w:rsidP="00367E15">
      <w:pPr>
        <w:pStyle w:val="Rejstk2"/>
        <w:tabs>
          <w:tab w:val="right" w:leader="dot" w:pos="4171"/>
        </w:tabs>
        <w:spacing w:line="240" w:lineRule="auto"/>
        <w:ind w:left="0"/>
        <w:contextualSpacing/>
      </w:pPr>
      <w:r w:rsidRPr="003D1E07">
        <w:rPr>
          <w:i/>
        </w:rPr>
        <w:t>Porph. in Cat.</w:t>
      </w:r>
      <w:r w:rsidRPr="003D1E07">
        <w:t xml:space="preserve"> 90.30–90.1</w:t>
      </w:r>
      <w:r w:rsidRPr="003D1E07">
        <w:tab/>
        <w:t>96</w:t>
      </w:r>
    </w:p>
    <w:p w14:paraId="59185E59" w14:textId="77777777" w:rsidR="00367E15" w:rsidRPr="003D1E07" w:rsidRDefault="00367E15" w:rsidP="00367E15">
      <w:pPr>
        <w:pStyle w:val="Rejstk2"/>
        <w:tabs>
          <w:tab w:val="right" w:leader="dot" w:pos="4171"/>
        </w:tabs>
        <w:spacing w:line="240" w:lineRule="auto"/>
        <w:ind w:left="0"/>
        <w:contextualSpacing/>
      </w:pPr>
      <w:r w:rsidRPr="003D1E07">
        <w:rPr>
          <w:i/>
        </w:rPr>
        <w:t>Porph. in Cat.</w:t>
      </w:r>
      <w:r w:rsidRPr="003D1E07">
        <w:t xml:space="preserve"> 90.31</w:t>
      </w:r>
      <w:r w:rsidRPr="003D1E07">
        <w:tab/>
        <w:t>96, 107, 475</w:t>
      </w:r>
    </w:p>
    <w:p w14:paraId="16E8666F" w14:textId="77777777" w:rsidR="00367E15" w:rsidRPr="003D1E07" w:rsidRDefault="00367E15" w:rsidP="00367E15">
      <w:pPr>
        <w:pStyle w:val="Rejstk2"/>
        <w:tabs>
          <w:tab w:val="right" w:leader="dot" w:pos="4171"/>
        </w:tabs>
        <w:spacing w:line="240" w:lineRule="auto"/>
        <w:ind w:left="0"/>
        <w:contextualSpacing/>
      </w:pPr>
      <w:r w:rsidRPr="003D1E07">
        <w:rPr>
          <w:i/>
        </w:rPr>
        <w:t>Porph. in Cat.</w:t>
      </w:r>
      <w:r w:rsidRPr="003D1E07">
        <w:t xml:space="preserve"> 90.31–33</w:t>
      </w:r>
      <w:r w:rsidRPr="003D1E07">
        <w:tab/>
        <w:t>108</w:t>
      </w:r>
    </w:p>
    <w:p w14:paraId="6CAE6B97" w14:textId="77777777" w:rsidR="00367E15" w:rsidRPr="003D1E07" w:rsidRDefault="00367E15" w:rsidP="00367E15">
      <w:pPr>
        <w:pStyle w:val="Rejstk2"/>
        <w:tabs>
          <w:tab w:val="right" w:leader="dot" w:pos="4171"/>
        </w:tabs>
        <w:spacing w:line="240" w:lineRule="auto"/>
        <w:ind w:left="0"/>
        <w:contextualSpacing/>
      </w:pPr>
      <w:r w:rsidRPr="003D1E07">
        <w:rPr>
          <w:i/>
        </w:rPr>
        <w:t>Porph. in Cat.</w:t>
      </w:r>
      <w:r w:rsidRPr="003D1E07">
        <w:t xml:space="preserve"> 90.32–33</w:t>
      </w:r>
      <w:r w:rsidRPr="003D1E07">
        <w:tab/>
        <w:t>96</w:t>
      </w:r>
    </w:p>
    <w:p w14:paraId="7A6273B1" w14:textId="77777777" w:rsidR="00367E15" w:rsidRPr="003D1E07" w:rsidRDefault="00367E15" w:rsidP="00367E15">
      <w:pPr>
        <w:pStyle w:val="Rejstk2"/>
        <w:tabs>
          <w:tab w:val="right" w:leader="dot" w:pos="4171"/>
        </w:tabs>
        <w:spacing w:line="240" w:lineRule="auto"/>
        <w:ind w:left="0"/>
        <w:contextualSpacing/>
      </w:pPr>
      <w:r w:rsidRPr="003D1E07">
        <w:rPr>
          <w:i/>
        </w:rPr>
        <w:t>Porph. in Cat.</w:t>
      </w:r>
      <w:r w:rsidRPr="003D1E07">
        <w:t xml:space="preserve"> 90.32‒33</w:t>
      </w:r>
      <w:r w:rsidRPr="003D1E07">
        <w:tab/>
        <w:t>107</w:t>
      </w:r>
    </w:p>
    <w:p w14:paraId="2DFD469C" w14:textId="77777777" w:rsidR="00367E15" w:rsidRPr="003D1E07" w:rsidRDefault="00367E15" w:rsidP="00367E15">
      <w:pPr>
        <w:pStyle w:val="Rejstk2"/>
        <w:tabs>
          <w:tab w:val="right" w:leader="dot" w:pos="4171"/>
        </w:tabs>
        <w:spacing w:line="240" w:lineRule="auto"/>
        <w:ind w:left="0"/>
        <w:contextualSpacing/>
      </w:pPr>
      <w:r w:rsidRPr="003D1E07">
        <w:rPr>
          <w:i/>
        </w:rPr>
        <w:t>Porph. in Cat.</w:t>
      </w:r>
      <w:r w:rsidRPr="003D1E07">
        <w:t xml:space="preserve"> 91.3–4</w:t>
      </w:r>
      <w:r w:rsidRPr="003D1E07">
        <w:tab/>
        <w:t>112</w:t>
      </w:r>
    </w:p>
    <w:p w14:paraId="688AAB82" w14:textId="77777777" w:rsidR="00367E15" w:rsidRPr="003D1E07" w:rsidRDefault="00367E15" w:rsidP="00367E15">
      <w:pPr>
        <w:pStyle w:val="Rejstk2"/>
        <w:tabs>
          <w:tab w:val="right" w:leader="dot" w:pos="4171"/>
        </w:tabs>
        <w:spacing w:line="240" w:lineRule="auto"/>
        <w:ind w:left="0"/>
        <w:contextualSpacing/>
      </w:pPr>
      <w:r w:rsidRPr="003D1E07">
        <w:rPr>
          <w:i/>
        </w:rPr>
        <w:t>Porph</w:t>
      </w:r>
      <w:r w:rsidRPr="003D1E07">
        <w:t xml:space="preserve">. </w:t>
      </w:r>
      <w:r w:rsidRPr="003D1E07">
        <w:rPr>
          <w:i/>
        </w:rPr>
        <w:t>in Cat</w:t>
      </w:r>
      <w:r w:rsidRPr="003D1E07">
        <w:t>. 95.19–20</w:t>
      </w:r>
      <w:r w:rsidRPr="003D1E07">
        <w:tab/>
        <w:t>146</w:t>
      </w:r>
    </w:p>
    <w:p w14:paraId="2AE27617" w14:textId="77777777" w:rsidR="00367E15" w:rsidRPr="003D1E07" w:rsidRDefault="00367E15" w:rsidP="00367E15">
      <w:pPr>
        <w:pStyle w:val="Rejstk2"/>
        <w:tabs>
          <w:tab w:val="right" w:leader="dot" w:pos="4171"/>
        </w:tabs>
        <w:spacing w:line="240" w:lineRule="auto"/>
        <w:ind w:left="0"/>
        <w:contextualSpacing/>
      </w:pPr>
      <w:r w:rsidRPr="003D1E07">
        <w:rPr>
          <w:i/>
        </w:rPr>
        <w:t>Porph. in Parm.</w:t>
      </w:r>
      <w:r w:rsidRPr="003D1E07">
        <w:t xml:space="preserve"> 12.19‒30</w:t>
      </w:r>
      <w:r w:rsidRPr="003D1E07">
        <w:tab/>
        <w:t>116</w:t>
      </w:r>
    </w:p>
    <w:p w14:paraId="4CD91E5B" w14:textId="77777777" w:rsidR="00367E15" w:rsidRPr="003D1E07" w:rsidRDefault="00367E15" w:rsidP="00367E15">
      <w:pPr>
        <w:pStyle w:val="Rejstk2"/>
        <w:tabs>
          <w:tab w:val="right" w:leader="dot" w:pos="4171"/>
        </w:tabs>
        <w:spacing w:line="240" w:lineRule="auto"/>
        <w:ind w:left="0"/>
        <w:contextualSpacing/>
      </w:pPr>
      <w:r w:rsidRPr="003D1E07">
        <w:rPr>
          <w:i/>
        </w:rPr>
        <w:t>Porph. in Parm.</w:t>
      </w:r>
      <w:r w:rsidRPr="003D1E07">
        <w:t xml:space="preserve"> 12.25‒26</w:t>
      </w:r>
      <w:r w:rsidRPr="003D1E07">
        <w:tab/>
        <w:t>169</w:t>
      </w:r>
    </w:p>
    <w:p w14:paraId="406E6645" w14:textId="77777777" w:rsidR="00367E15" w:rsidRPr="003D1E07" w:rsidRDefault="00367E15" w:rsidP="00367E15">
      <w:pPr>
        <w:pStyle w:val="Rejstk2"/>
        <w:tabs>
          <w:tab w:val="right" w:leader="dot" w:pos="4171"/>
        </w:tabs>
        <w:spacing w:line="240" w:lineRule="auto"/>
        <w:ind w:left="0"/>
        <w:contextualSpacing/>
      </w:pPr>
      <w:r w:rsidRPr="003D1E07">
        <w:rPr>
          <w:i/>
        </w:rPr>
        <w:t>Porph. in Parm.</w:t>
      </w:r>
      <w:r w:rsidRPr="003D1E07">
        <w:t xml:space="preserve"> 12.25‒33</w:t>
      </w:r>
      <w:r w:rsidRPr="003D1E07">
        <w:tab/>
        <w:t>117</w:t>
      </w:r>
    </w:p>
    <w:p w14:paraId="66563D68" w14:textId="77777777" w:rsidR="00367E15" w:rsidRPr="003D1E07" w:rsidRDefault="00367E15" w:rsidP="00367E15">
      <w:pPr>
        <w:pStyle w:val="Rejstk2"/>
        <w:tabs>
          <w:tab w:val="right" w:leader="dot" w:pos="4171"/>
        </w:tabs>
        <w:spacing w:line="240" w:lineRule="auto"/>
        <w:ind w:left="0"/>
        <w:contextualSpacing/>
      </w:pPr>
      <w:r w:rsidRPr="003D1E07">
        <w:rPr>
          <w:i/>
        </w:rPr>
        <w:t>Porph. in Parm.</w:t>
      </w:r>
      <w:r w:rsidRPr="003D1E07">
        <w:t xml:space="preserve"> 12.26</w:t>
      </w:r>
      <w:r w:rsidRPr="003D1E07">
        <w:tab/>
        <w:t>119</w:t>
      </w:r>
    </w:p>
    <w:p w14:paraId="157E9E8B" w14:textId="77777777" w:rsidR="00367E15" w:rsidRPr="003D1E07" w:rsidRDefault="00367E15" w:rsidP="00367E15">
      <w:pPr>
        <w:pStyle w:val="Rejstk2"/>
        <w:tabs>
          <w:tab w:val="right" w:leader="dot" w:pos="4171"/>
        </w:tabs>
        <w:spacing w:line="240" w:lineRule="auto"/>
        <w:ind w:left="0"/>
        <w:contextualSpacing/>
      </w:pPr>
      <w:r w:rsidRPr="003D1E07">
        <w:rPr>
          <w:i/>
        </w:rPr>
        <w:t>Porph. in Parm.</w:t>
      </w:r>
      <w:r w:rsidRPr="003D1E07">
        <w:t xml:space="preserve"> 12.31</w:t>
      </w:r>
      <w:r w:rsidRPr="003D1E07">
        <w:tab/>
        <w:t>116</w:t>
      </w:r>
    </w:p>
    <w:p w14:paraId="3594F338" w14:textId="77777777" w:rsidR="00367E15" w:rsidRPr="003D1E07" w:rsidRDefault="00367E15" w:rsidP="00367E15">
      <w:pPr>
        <w:pStyle w:val="Rejstk2"/>
        <w:tabs>
          <w:tab w:val="right" w:leader="dot" w:pos="4171"/>
        </w:tabs>
        <w:spacing w:line="240" w:lineRule="auto"/>
        <w:ind w:left="0"/>
        <w:contextualSpacing/>
      </w:pPr>
      <w:r w:rsidRPr="003D1E07">
        <w:rPr>
          <w:i/>
        </w:rPr>
        <w:t>Porph. in Parm.</w:t>
      </w:r>
      <w:r w:rsidRPr="003D1E07">
        <w:t xml:space="preserve"> 12.32</w:t>
      </w:r>
      <w:r w:rsidRPr="003D1E07">
        <w:tab/>
        <w:t>115, 119</w:t>
      </w:r>
    </w:p>
    <w:p w14:paraId="2E437214" w14:textId="77777777" w:rsidR="00367E15" w:rsidRPr="003D1E07" w:rsidRDefault="00367E15" w:rsidP="00367E15">
      <w:pPr>
        <w:pStyle w:val="Rejstk2"/>
        <w:tabs>
          <w:tab w:val="right" w:leader="dot" w:pos="4171"/>
        </w:tabs>
        <w:spacing w:line="240" w:lineRule="auto"/>
        <w:ind w:left="0" w:hanging="238"/>
        <w:contextualSpacing/>
      </w:pPr>
      <w:r w:rsidRPr="003D1E07">
        <w:rPr>
          <w:i/>
        </w:rPr>
        <w:t>Porph. in Parm.</w:t>
      </w:r>
      <w:r w:rsidRPr="003D1E07">
        <w:t xml:space="preserve"> 12.32‒33</w:t>
      </w:r>
      <w:r w:rsidRPr="003D1E07">
        <w:tab/>
        <w:t>115</w:t>
      </w:r>
    </w:p>
    <w:p w14:paraId="6C7C2EB9" w14:textId="77777777" w:rsidR="00367E15" w:rsidRPr="003D1E07" w:rsidRDefault="00367E15" w:rsidP="00367E15">
      <w:pPr>
        <w:pStyle w:val="Rejstk2"/>
        <w:tabs>
          <w:tab w:val="right" w:leader="dot" w:pos="4171"/>
        </w:tabs>
        <w:spacing w:line="240" w:lineRule="auto"/>
        <w:ind w:left="0"/>
        <w:contextualSpacing/>
      </w:pPr>
      <w:r w:rsidRPr="003D1E07">
        <w:rPr>
          <w:i/>
        </w:rPr>
        <w:t>Porph. in Parm</w:t>
      </w:r>
      <w:r w:rsidRPr="003D1E07">
        <w:t>. 12.33</w:t>
      </w:r>
      <w:r w:rsidRPr="003D1E07">
        <w:tab/>
        <w:t>119</w:t>
      </w:r>
    </w:p>
    <w:p w14:paraId="731957A7" w14:textId="77777777" w:rsidR="00367E15" w:rsidRPr="003D1E07" w:rsidRDefault="00367E15" w:rsidP="00367E15">
      <w:pPr>
        <w:pStyle w:val="Rejstk2"/>
        <w:tabs>
          <w:tab w:val="right" w:leader="dot" w:pos="4171"/>
        </w:tabs>
        <w:spacing w:line="240" w:lineRule="auto"/>
        <w:ind w:left="0"/>
        <w:contextualSpacing/>
        <w:rPr>
          <w:b/>
        </w:rPr>
      </w:pPr>
    </w:p>
    <w:p w14:paraId="2E44A9F7" w14:textId="77777777" w:rsidR="00367E15" w:rsidRPr="003D1E07" w:rsidRDefault="00367E15" w:rsidP="00367E15">
      <w:pPr>
        <w:pStyle w:val="Rejstk2"/>
        <w:tabs>
          <w:tab w:val="right" w:leader="dot" w:pos="4171"/>
        </w:tabs>
        <w:spacing w:line="240" w:lineRule="auto"/>
        <w:ind w:left="0"/>
        <w:contextualSpacing/>
        <w:rPr>
          <w:b/>
        </w:rPr>
      </w:pPr>
      <w:r w:rsidRPr="003D1E07">
        <w:rPr>
          <w:b/>
        </w:rPr>
        <w:t>Proklus</w:t>
      </w:r>
    </w:p>
    <w:p w14:paraId="1B392BCB" w14:textId="77777777" w:rsidR="00367E15" w:rsidRPr="003D1E07" w:rsidRDefault="00367E15" w:rsidP="00367E15">
      <w:pPr>
        <w:pStyle w:val="Rejstk2"/>
        <w:tabs>
          <w:tab w:val="right" w:leader="dot" w:pos="4171"/>
        </w:tabs>
        <w:spacing w:line="240" w:lineRule="auto"/>
        <w:ind w:left="0"/>
        <w:contextualSpacing/>
        <w:rPr>
          <w:b/>
        </w:rPr>
      </w:pPr>
      <w:r w:rsidRPr="003D1E07">
        <w:rPr>
          <w:i/>
        </w:rPr>
        <w:t>Procl. in</w:t>
      </w:r>
      <w:r w:rsidRPr="003D1E07">
        <w:t xml:space="preserve"> </w:t>
      </w:r>
      <w:r w:rsidRPr="003D1E07">
        <w:rPr>
          <w:i/>
        </w:rPr>
        <w:t>Parm</w:t>
      </w:r>
      <w:r w:rsidRPr="003D1E07">
        <w:t>. 981.12‒13</w:t>
      </w:r>
      <w:r w:rsidRPr="003D1E07">
        <w:tab/>
        <w:t>121</w:t>
      </w:r>
    </w:p>
    <w:p w14:paraId="7B51D406" w14:textId="77777777" w:rsidR="00367E15" w:rsidRPr="003D1E07" w:rsidRDefault="00367E15" w:rsidP="00367E15">
      <w:pPr>
        <w:pStyle w:val="Rejstk2"/>
        <w:tabs>
          <w:tab w:val="right" w:leader="dot" w:pos="4171"/>
        </w:tabs>
        <w:spacing w:line="240" w:lineRule="auto"/>
        <w:ind w:left="0"/>
        <w:contextualSpacing/>
        <w:rPr>
          <w:b/>
        </w:rPr>
      </w:pPr>
      <w:r w:rsidRPr="003D1E07">
        <w:rPr>
          <w:i/>
        </w:rPr>
        <w:t>Procl. in</w:t>
      </w:r>
      <w:r w:rsidRPr="003D1E07">
        <w:t xml:space="preserve"> </w:t>
      </w:r>
      <w:r w:rsidRPr="003D1E07">
        <w:rPr>
          <w:i/>
        </w:rPr>
        <w:t>Parm</w:t>
      </w:r>
      <w:r w:rsidRPr="003D1E07">
        <w:t>. 981.5‒27</w:t>
      </w:r>
      <w:r w:rsidRPr="003D1E07">
        <w:tab/>
        <w:t>120</w:t>
      </w:r>
    </w:p>
    <w:p w14:paraId="0D3FDCC0" w14:textId="77777777" w:rsidR="00367E15" w:rsidRPr="003D1E07" w:rsidRDefault="00367E15" w:rsidP="00367E15">
      <w:pPr>
        <w:pStyle w:val="Rejstk2"/>
        <w:tabs>
          <w:tab w:val="right" w:leader="dot" w:pos="4171"/>
        </w:tabs>
        <w:spacing w:line="240" w:lineRule="auto"/>
        <w:ind w:left="0"/>
        <w:contextualSpacing/>
        <w:rPr>
          <w:b/>
        </w:rPr>
      </w:pPr>
      <w:r w:rsidRPr="003D1E07">
        <w:rPr>
          <w:i/>
        </w:rPr>
        <w:t>Procl. in</w:t>
      </w:r>
      <w:r w:rsidRPr="003D1E07">
        <w:t xml:space="preserve"> </w:t>
      </w:r>
      <w:r w:rsidRPr="003D1E07">
        <w:rPr>
          <w:i/>
        </w:rPr>
        <w:t>Parm</w:t>
      </w:r>
      <w:r w:rsidRPr="003D1E07">
        <w:t>. 981.8‒9</w:t>
      </w:r>
      <w:r w:rsidRPr="003D1E07">
        <w:tab/>
        <w:t>120</w:t>
      </w:r>
    </w:p>
    <w:p w14:paraId="66045AE2" w14:textId="77777777" w:rsidR="00367E15" w:rsidRPr="003D1E07" w:rsidRDefault="00367E15" w:rsidP="00367E15">
      <w:pPr>
        <w:pStyle w:val="Rejstk2"/>
        <w:tabs>
          <w:tab w:val="right" w:leader="dot" w:pos="4171"/>
        </w:tabs>
        <w:spacing w:line="240" w:lineRule="auto"/>
        <w:ind w:left="0"/>
        <w:contextualSpacing/>
        <w:rPr>
          <w:b/>
        </w:rPr>
      </w:pPr>
      <w:r w:rsidRPr="003D1E07">
        <w:rPr>
          <w:i/>
        </w:rPr>
        <w:t>Procl. in</w:t>
      </w:r>
      <w:r w:rsidRPr="003D1E07">
        <w:t xml:space="preserve"> </w:t>
      </w:r>
      <w:r w:rsidRPr="003D1E07">
        <w:rPr>
          <w:i/>
        </w:rPr>
        <w:t>Parm</w:t>
      </w:r>
      <w:r w:rsidRPr="003D1E07">
        <w:t>. 981.9‒11</w:t>
      </w:r>
      <w:r w:rsidRPr="003D1E07">
        <w:tab/>
        <w:t>121</w:t>
      </w:r>
    </w:p>
    <w:p w14:paraId="501F8597" w14:textId="77777777" w:rsidR="00367E15" w:rsidRPr="003D1E07" w:rsidRDefault="00367E15" w:rsidP="00367E15">
      <w:pPr>
        <w:pStyle w:val="Rejstk2"/>
        <w:tabs>
          <w:tab w:val="right" w:leader="dot" w:pos="4171"/>
        </w:tabs>
        <w:spacing w:line="240" w:lineRule="auto"/>
        <w:ind w:left="0"/>
        <w:contextualSpacing/>
        <w:rPr>
          <w:b/>
        </w:rPr>
      </w:pPr>
      <w:r w:rsidRPr="003D1E07">
        <w:rPr>
          <w:i/>
        </w:rPr>
        <w:t xml:space="preserve">Procl. in Tim. </w:t>
      </w:r>
      <w:r w:rsidRPr="003D1E07">
        <w:t>130.24</w:t>
      </w:r>
      <w:r w:rsidRPr="003D1E07">
        <w:tab/>
        <w:t>268</w:t>
      </w:r>
    </w:p>
    <w:p w14:paraId="6454C480" w14:textId="77777777" w:rsidR="00367E15" w:rsidRPr="003D1E07" w:rsidRDefault="00367E15" w:rsidP="00367E15">
      <w:pPr>
        <w:pStyle w:val="Rejstk2"/>
        <w:tabs>
          <w:tab w:val="right" w:leader="dot" w:pos="4171"/>
        </w:tabs>
        <w:spacing w:line="240" w:lineRule="auto"/>
        <w:ind w:left="0"/>
        <w:contextualSpacing/>
        <w:rPr>
          <w:b/>
        </w:rPr>
      </w:pPr>
      <w:r w:rsidRPr="003D1E07">
        <w:rPr>
          <w:i/>
        </w:rPr>
        <w:t>Procl</w:t>
      </w:r>
      <w:r w:rsidRPr="003D1E07">
        <w:t xml:space="preserve">. </w:t>
      </w:r>
      <w:r w:rsidRPr="003D1E07">
        <w:rPr>
          <w:i/>
        </w:rPr>
        <w:t>in Tim</w:t>
      </w:r>
      <w:r w:rsidRPr="003D1E07">
        <w:t>. 257.8–9</w:t>
      </w:r>
      <w:r w:rsidRPr="003D1E07">
        <w:tab/>
        <w:t>132</w:t>
      </w:r>
    </w:p>
    <w:p w14:paraId="230349C1" w14:textId="77777777" w:rsidR="00367E15" w:rsidRPr="003D1E07" w:rsidRDefault="00367E15" w:rsidP="00367E15">
      <w:pPr>
        <w:pStyle w:val="Rejstk2"/>
        <w:tabs>
          <w:tab w:val="right" w:leader="dot" w:pos="4171"/>
        </w:tabs>
        <w:spacing w:line="240" w:lineRule="auto"/>
        <w:ind w:left="0"/>
        <w:contextualSpacing/>
        <w:rPr>
          <w:b/>
        </w:rPr>
      </w:pPr>
      <w:r w:rsidRPr="003D1E07">
        <w:rPr>
          <w:i/>
        </w:rPr>
        <w:t>Procl</w:t>
      </w:r>
      <w:r w:rsidRPr="003D1E07">
        <w:t xml:space="preserve">. </w:t>
      </w:r>
      <w:r w:rsidRPr="003D1E07">
        <w:rPr>
          <w:i/>
        </w:rPr>
        <w:t>in Tim</w:t>
      </w:r>
      <w:r w:rsidRPr="003D1E07">
        <w:t>. 257.9–11</w:t>
      </w:r>
      <w:r w:rsidRPr="003D1E07">
        <w:tab/>
        <w:t>132</w:t>
      </w:r>
    </w:p>
    <w:p w14:paraId="50313021" w14:textId="77777777" w:rsidR="00367E15" w:rsidRPr="003D1E07" w:rsidRDefault="00367E15" w:rsidP="00367E15">
      <w:pPr>
        <w:pStyle w:val="Rejstk2"/>
        <w:tabs>
          <w:tab w:val="right" w:leader="dot" w:pos="4171"/>
        </w:tabs>
        <w:spacing w:line="240" w:lineRule="auto"/>
        <w:ind w:left="0" w:hanging="238"/>
        <w:contextualSpacing/>
        <w:rPr>
          <w:b/>
        </w:rPr>
      </w:pPr>
      <w:r w:rsidRPr="003D1E07">
        <w:rPr>
          <w:i/>
        </w:rPr>
        <w:t>Sent</w:t>
      </w:r>
      <w:r w:rsidRPr="003D1E07">
        <w:t>. 36.16–17</w:t>
      </w:r>
      <w:r w:rsidRPr="003D1E07">
        <w:tab/>
        <w:t>115</w:t>
      </w:r>
    </w:p>
    <w:p w14:paraId="0A10329D" w14:textId="77777777" w:rsidR="00367E15" w:rsidRPr="003D1E07" w:rsidRDefault="00367E15" w:rsidP="00367E15">
      <w:pPr>
        <w:pStyle w:val="Rejstk2"/>
        <w:tabs>
          <w:tab w:val="right" w:leader="dot" w:pos="4171"/>
        </w:tabs>
        <w:spacing w:line="240" w:lineRule="auto"/>
        <w:ind w:left="0"/>
        <w:contextualSpacing/>
        <w:rPr>
          <w:b/>
        </w:rPr>
      </w:pPr>
    </w:p>
    <w:p w14:paraId="2A727599" w14:textId="77777777" w:rsidR="00367E15" w:rsidRPr="003D1E07" w:rsidRDefault="00367E15" w:rsidP="00367E15">
      <w:pPr>
        <w:pStyle w:val="Rejstk2"/>
        <w:tabs>
          <w:tab w:val="right" w:leader="dot" w:pos="4171"/>
        </w:tabs>
        <w:spacing w:line="240" w:lineRule="auto"/>
        <w:ind w:left="0"/>
        <w:contextualSpacing/>
      </w:pPr>
      <w:r w:rsidRPr="003D1E07">
        <w:rPr>
          <w:b/>
        </w:rPr>
        <w:lastRenderedPageBreak/>
        <w:t>Simplikius</w:t>
      </w:r>
    </w:p>
    <w:p w14:paraId="041629C8" w14:textId="77777777" w:rsidR="00367E15" w:rsidRPr="003D1E07" w:rsidRDefault="00367E15" w:rsidP="00367E15">
      <w:pPr>
        <w:pStyle w:val="Rejstk2"/>
        <w:tabs>
          <w:tab w:val="right" w:leader="dot" w:pos="4171"/>
        </w:tabs>
        <w:spacing w:line="240" w:lineRule="auto"/>
        <w:ind w:left="0"/>
        <w:contextualSpacing/>
      </w:pPr>
      <w:r w:rsidRPr="003D1E07">
        <w:rPr>
          <w:i/>
        </w:rPr>
        <w:t>Simpl</w:t>
      </w:r>
      <w:r w:rsidRPr="003D1E07">
        <w:t xml:space="preserve">. </w:t>
      </w:r>
      <w:r w:rsidRPr="003D1E07">
        <w:rPr>
          <w:i/>
        </w:rPr>
        <w:t>in Cat</w:t>
      </w:r>
      <w:r w:rsidRPr="003D1E07">
        <w:t>. 116.25–26</w:t>
      </w:r>
      <w:r w:rsidRPr="003D1E07">
        <w:tab/>
        <w:t>126</w:t>
      </w:r>
    </w:p>
    <w:p w14:paraId="614D7DCC" w14:textId="77777777" w:rsidR="00367E15" w:rsidRPr="003D1E07" w:rsidRDefault="00367E15" w:rsidP="00367E15">
      <w:pPr>
        <w:pStyle w:val="Rejstk2"/>
        <w:tabs>
          <w:tab w:val="right" w:leader="dot" w:pos="4171"/>
        </w:tabs>
        <w:spacing w:line="240" w:lineRule="auto"/>
        <w:ind w:left="0"/>
        <w:contextualSpacing/>
      </w:pPr>
      <w:r w:rsidRPr="003D1E07">
        <w:rPr>
          <w:i/>
        </w:rPr>
        <w:t xml:space="preserve">Simpl. in Cat. </w:t>
      </w:r>
      <w:r w:rsidRPr="003D1E07">
        <w:t>12.18‒25</w:t>
      </w:r>
      <w:r w:rsidRPr="003D1E07">
        <w:tab/>
        <w:t>138</w:t>
      </w:r>
    </w:p>
    <w:p w14:paraId="74DFF863" w14:textId="77777777" w:rsidR="00367E15" w:rsidRPr="003D1E07" w:rsidRDefault="00367E15" w:rsidP="00367E15">
      <w:pPr>
        <w:pStyle w:val="Rejstk2"/>
        <w:tabs>
          <w:tab w:val="right" w:leader="dot" w:pos="4171"/>
        </w:tabs>
        <w:spacing w:line="240" w:lineRule="auto"/>
        <w:ind w:left="0"/>
        <w:contextualSpacing/>
      </w:pPr>
      <w:r w:rsidRPr="003D1E07">
        <w:rPr>
          <w:i/>
        </w:rPr>
        <w:t>Simpl</w:t>
      </w:r>
      <w:r w:rsidRPr="003D1E07">
        <w:t xml:space="preserve">. </w:t>
      </w:r>
      <w:r w:rsidRPr="003D1E07">
        <w:rPr>
          <w:i/>
        </w:rPr>
        <w:t>in Cat</w:t>
      </w:r>
      <w:r w:rsidRPr="003D1E07">
        <w:t>. 12.23</w:t>
      </w:r>
      <w:r w:rsidRPr="003D1E07">
        <w:tab/>
        <w:t>147</w:t>
      </w:r>
    </w:p>
    <w:p w14:paraId="4F48E2C7" w14:textId="77777777" w:rsidR="00367E15" w:rsidRPr="003D1E07" w:rsidRDefault="00367E15" w:rsidP="00367E15">
      <w:pPr>
        <w:pStyle w:val="Rejstk2"/>
        <w:tabs>
          <w:tab w:val="right" w:leader="dot" w:pos="4171"/>
        </w:tabs>
        <w:spacing w:line="240" w:lineRule="auto"/>
        <w:ind w:left="0"/>
        <w:contextualSpacing/>
      </w:pPr>
      <w:r w:rsidRPr="003D1E07">
        <w:rPr>
          <w:i/>
        </w:rPr>
        <w:t>Simpl</w:t>
      </w:r>
      <w:r w:rsidRPr="003D1E07">
        <w:t xml:space="preserve">. </w:t>
      </w:r>
      <w:r w:rsidRPr="003D1E07">
        <w:rPr>
          <w:i/>
        </w:rPr>
        <w:t>in Cat</w:t>
      </w:r>
      <w:r w:rsidRPr="003D1E07">
        <w:t>. 13.4‒5</w:t>
      </w:r>
      <w:r w:rsidRPr="003D1E07">
        <w:tab/>
        <w:t>148</w:t>
      </w:r>
    </w:p>
    <w:p w14:paraId="3A30CD07" w14:textId="77777777" w:rsidR="00367E15" w:rsidRPr="003D1E07" w:rsidRDefault="00367E15" w:rsidP="00367E15">
      <w:pPr>
        <w:pStyle w:val="Rejstk2"/>
        <w:tabs>
          <w:tab w:val="right" w:leader="dot" w:pos="4171"/>
        </w:tabs>
        <w:spacing w:line="240" w:lineRule="auto"/>
        <w:ind w:left="0"/>
        <w:contextualSpacing/>
      </w:pPr>
      <w:r w:rsidRPr="003D1E07">
        <w:rPr>
          <w:i/>
        </w:rPr>
        <w:t>Simpl</w:t>
      </w:r>
      <w:r w:rsidRPr="003D1E07">
        <w:t xml:space="preserve">. </w:t>
      </w:r>
      <w:r w:rsidRPr="003D1E07">
        <w:rPr>
          <w:i/>
        </w:rPr>
        <w:t>in Cat</w:t>
      </w:r>
      <w:r w:rsidRPr="003D1E07">
        <w:t>. 13.5‒6</w:t>
      </w:r>
      <w:r w:rsidRPr="003D1E07">
        <w:tab/>
        <w:t>148</w:t>
      </w:r>
    </w:p>
    <w:p w14:paraId="7D364C1F" w14:textId="77777777" w:rsidR="00367E15" w:rsidRPr="003D1E07" w:rsidRDefault="00367E15" w:rsidP="00367E15">
      <w:pPr>
        <w:pStyle w:val="Rejstk2"/>
        <w:tabs>
          <w:tab w:val="right" w:leader="dot" w:pos="4171"/>
        </w:tabs>
        <w:spacing w:line="240" w:lineRule="auto"/>
        <w:ind w:left="0"/>
        <w:contextualSpacing/>
      </w:pPr>
      <w:r w:rsidRPr="003D1E07">
        <w:rPr>
          <w:i/>
        </w:rPr>
        <w:t>Simpl. in Cat</w:t>
      </w:r>
      <w:r w:rsidRPr="003D1E07">
        <w:t>. 163.31</w:t>
      </w:r>
      <w:r w:rsidRPr="003D1E07">
        <w:tab/>
        <w:t>141</w:t>
      </w:r>
    </w:p>
    <w:p w14:paraId="27134583" w14:textId="77777777" w:rsidR="00367E15" w:rsidRPr="003D1E07" w:rsidRDefault="00367E15" w:rsidP="00367E15">
      <w:pPr>
        <w:pStyle w:val="Rejstk2"/>
        <w:tabs>
          <w:tab w:val="right" w:leader="dot" w:pos="4171"/>
        </w:tabs>
        <w:spacing w:line="240" w:lineRule="auto"/>
        <w:ind w:left="0"/>
        <w:contextualSpacing/>
      </w:pPr>
      <w:r w:rsidRPr="003D1E07">
        <w:rPr>
          <w:i/>
        </w:rPr>
        <w:t>Simpl.</w:t>
      </w:r>
      <w:r w:rsidRPr="003D1E07">
        <w:t xml:space="preserve"> </w:t>
      </w:r>
      <w:r w:rsidRPr="003D1E07">
        <w:rPr>
          <w:i/>
        </w:rPr>
        <w:t>in Cat</w:t>
      </w:r>
      <w:r w:rsidRPr="003D1E07">
        <w:t>. 164.10</w:t>
      </w:r>
      <w:r w:rsidRPr="003D1E07">
        <w:tab/>
        <w:t>143</w:t>
      </w:r>
    </w:p>
    <w:p w14:paraId="295E7CFF" w14:textId="77777777" w:rsidR="00367E15" w:rsidRPr="003D1E07" w:rsidRDefault="00367E15" w:rsidP="00367E15">
      <w:pPr>
        <w:pStyle w:val="Rejstk2"/>
        <w:tabs>
          <w:tab w:val="right" w:leader="dot" w:pos="4171"/>
        </w:tabs>
        <w:spacing w:line="240" w:lineRule="auto"/>
        <w:ind w:left="0"/>
        <w:contextualSpacing/>
      </w:pPr>
      <w:r w:rsidRPr="003D1E07">
        <w:rPr>
          <w:i/>
        </w:rPr>
        <w:t xml:space="preserve">Simpl. in Cat. </w:t>
      </w:r>
      <w:r w:rsidRPr="003D1E07">
        <w:t>164.13‒21</w:t>
      </w:r>
      <w:r w:rsidRPr="003D1E07">
        <w:tab/>
        <w:t>141</w:t>
      </w:r>
    </w:p>
    <w:p w14:paraId="28EE0447" w14:textId="77777777" w:rsidR="00367E15" w:rsidRPr="003D1E07" w:rsidRDefault="00367E15" w:rsidP="00367E15">
      <w:pPr>
        <w:pStyle w:val="Rejstk2"/>
        <w:tabs>
          <w:tab w:val="right" w:leader="dot" w:pos="4171"/>
        </w:tabs>
        <w:spacing w:line="240" w:lineRule="auto"/>
        <w:ind w:left="0"/>
        <w:contextualSpacing/>
      </w:pPr>
      <w:r w:rsidRPr="003D1E07">
        <w:rPr>
          <w:i/>
        </w:rPr>
        <w:t>Simpl.</w:t>
      </w:r>
      <w:r w:rsidRPr="003D1E07">
        <w:t xml:space="preserve"> </w:t>
      </w:r>
      <w:r w:rsidRPr="003D1E07">
        <w:rPr>
          <w:i/>
        </w:rPr>
        <w:t>in Cat</w:t>
      </w:r>
      <w:r w:rsidRPr="003D1E07">
        <w:t>. 164.15</w:t>
      </w:r>
      <w:r w:rsidRPr="003D1E07">
        <w:tab/>
        <w:t>141</w:t>
      </w:r>
    </w:p>
    <w:p w14:paraId="4E26CFC4" w14:textId="77777777" w:rsidR="00367E15" w:rsidRPr="003D1E07" w:rsidRDefault="00367E15" w:rsidP="00367E15">
      <w:pPr>
        <w:pStyle w:val="Rejstk2"/>
        <w:tabs>
          <w:tab w:val="right" w:leader="dot" w:pos="4171"/>
        </w:tabs>
        <w:spacing w:line="240" w:lineRule="auto"/>
        <w:ind w:left="0"/>
        <w:contextualSpacing/>
      </w:pPr>
      <w:r w:rsidRPr="003D1E07">
        <w:rPr>
          <w:i/>
        </w:rPr>
        <w:t>Simpl.</w:t>
      </w:r>
      <w:r w:rsidRPr="003D1E07">
        <w:t xml:space="preserve"> </w:t>
      </w:r>
      <w:r w:rsidRPr="003D1E07">
        <w:rPr>
          <w:i/>
        </w:rPr>
        <w:t>in Cat</w:t>
      </w:r>
      <w:r w:rsidRPr="003D1E07">
        <w:t>. 164.16</w:t>
      </w:r>
      <w:r w:rsidRPr="003D1E07">
        <w:tab/>
        <w:t>143</w:t>
      </w:r>
    </w:p>
    <w:p w14:paraId="41FD5FFB" w14:textId="77777777" w:rsidR="00367E15" w:rsidRPr="003D1E07" w:rsidRDefault="00367E15" w:rsidP="00367E15">
      <w:pPr>
        <w:pStyle w:val="Rejstk2"/>
        <w:tabs>
          <w:tab w:val="right" w:leader="dot" w:pos="4171"/>
        </w:tabs>
        <w:spacing w:line="240" w:lineRule="auto"/>
        <w:ind w:left="0"/>
        <w:contextualSpacing/>
      </w:pPr>
      <w:r w:rsidRPr="003D1E07">
        <w:rPr>
          <w:i/>
        </w:rPr>
        <w:t>Simpl.</w:t>
      </w:r>
      <w:r w:rsidRPr="003D1E07">
        <w:t xml:space="preserve"> </w:t>
      </w:r>
      <w:r w:rsidRPr="003D1E07">
        <w:rPr>
          <w:i/>
        </w:rPr>
        <w:t>in Cat</w:t>
      </w:r>
      <w:r w:rsidRPr="003D1E07">
        <w:t>. 164.19‒20</w:t>
      </w:r>
      <w:r w:rsidRPr="003D1E07">
        <w:tab/>
        <w:t>142</w:t>
      </w:r>
    </w:p>
    <w:p w14:paraId="3057E87E" w14:textId="77777777" w:rsidR="00367E15" w:rsidRPr="003D1E07" w:rsidRDefault="00367E15" w:rsidP="00367E15">
      <w:pPr>
        <w:pStyle w:val="Rejstk2"/>
        <w:tabs>
          <w:tab w:val="right" w:leader="dot" w:pos="4171"/>
        </w:tabs>
        <w:spacing w:line="240" w:lineRule="auto"/>
        <w:ind w:left="0"/>
        <w:contextualSpacing/>
      </w:pPr>
      <w:r w:rsidRPr="003D1E07">
        <w:rPr>
          <w:i/>
        </w:rPr>
        <w:t>Simpl.</w:t>
      </w:r>
      <w:r w:rsidRPr="003D1E07">
        <w:t xml:space="preserve"> </w:t>
      </w:r>
      <w:r w:rsidRPr="003D1E07">
        <w:rPr>
          <w:i/>
        </w:rPr>
        <w:t>in Cat</w:t>
      </w:r>
      <w:r w:rsidRPr="003D1E07">
        <w:t>. 164.20</w:t>
      </w:r>
      <w:r w:rsidRPr="003D1E07">
        <w:tab/>
        <w:t>142</w:t>
      </w:r>
    </w:p>
    <w:p w14:paraId="377EE81D" w14:textId="77777777" w:rsidR="00367E15" w:rsidRPr="003D1E07" w:rsidRDefault="00367E15" w:rsidP="00367E15">
      <w:pPr>
        <w:pStyle w:val="Rejstk2"/>
        <w:tabs>
          <w:tab w:val="right" w:leader="dot" w:pos="4171"/>
        </w:tabs>
        <w:spacing w:line="240" w:lineRule="auto"/>
        <w:ind w:left="0"/>
        <w:contextualSpacing/>
      </w:pPr>
      <w:r w:rsidRPr="003D1E07">
        <w:rPr>
          <w:i/>
        </w:rPr>
        <w:t>Simpl.</w:t>
      </w:r>
      <w:r w:rsidRPr="003D1E07">
        <w:t xml:space="preserve"> </w:t>
      </w:r>
      <w:r w:rsidRPr="003D1E07">
        <w:rPr>
          <w:i/>
        </w:rPr>
        <w:t>in Cat</w:t>
      </w:r>
      <w:r w:rsidRPr="003D1E07">
        <w:t>. 164.21</w:t>
      </w:r>
      <w:r w:rsidRPr="003D1E07">
        <w:tab/>
        <w:t>143</w:t>
      </w:r>
    </w:p>
    <w:p w14:paraId="1A9B7F2C" w14:textId="77777777" w:rsidR="00367E15" w:rsidRPr="003D1E07" w:rsidRDefault="00367E15" w:rsidP="00367E15">
      <w:pPr>
        <w:pStyle w:val="Rejstk2"/>
        <w:tabs>
          <w:tab w:val="right" w:leader="dot" w:pos="4171"/>
        </w:tabs>
        <w:spacing w:line="240" w:lineRule="auto"/>
        <w:ind w:left="0"/>
        <w:contextualSpacing/>
      </w:pPr>
      <w:r w:rsidRPr="003D1E07">
        <w:rPr>
          <w:i/>
        </w:rPr>
        <w:t>Simpl.</w:t>
      </w:r>
      <w:r w:rsidRPr="003D1E07">
        <w:t xml:space="preserve"> </w:t>
      </w:r>
      <w:r w:rsidRPr="003D1E07">
        <w:rPr>
          <w:i/>
        </w:rPr>
        <w:t>in Cat</w:t>
      </w:r>
      <w:r w:rsidRPr="003D1E07">
        <w:t>. 164.9</w:t>
      </w:r>
      <w:r w:rsidRPr="003D1E07">
        <w:tab/>
        <w:t>143</w:t>
      </w:r>
    </w:p>
    <w:p w14:paraId="5A6A7E45" w14:textId="77777777" w:rsidR="00367E15" w:rsidRPr="003D1E07" w:rsidRDefault="00367E15" w:rsidP="00367E15">
      <w:pPr>
        <w:pStyle w:val="Rejstk2"/>
        <w:tabs>
          <w:tab w:val="right" w:leader="dot" w:pos="4171"/>
        </w:tabs>
        <w:spacing w:line="240" w:lineRule="auto"/>
        <w:ind w:left="0"/>
        <w:contextualSpacing/>
      </w:pPr>
      <w:r w:rsidRPr="003D1E07">
        <w:rPr>
          <w:i/>
        </w:rPr>
        <w:t>Simpl</w:t>
      </w:r>
      <w:r w:rsidRPr="003D1E07">
        <w:t xml:space="preserve">. </w:t>
      </w:r>
      <w:r w:rsidRPr="003D1E07">
        <w:rPr>
          <w:i/>
        </w:rPr>
        <w:t>in Cat</w:t>
      </w:r>
      <w:r w:rsidRPr="003D1E07">
        <w:t>. 2.13</w:t>
      </w:r>
      <w:r w:rsidRPr="003D1E07">
        <w:tab/>
        <w:t>127</w:t>
      </w:r>
    </w:p>
    <w:p w14:paraId="427AFB40" w14:textId="77777777" w:rsidR="00367E15" w:rsidRPr="003D1E07" w:rsidRDefault="00367E15" w:rsidP="00367E15">
      <w:pPr>
        <w:pStyle w:val="Rejstk2"/>
        <w:tabs>
          <w:tab w:val="right" w:leader="dot" w:pos="4171"/>
        </w:tabs>
        <w:spacing w:line="240" w:lineRule="auto"/>
        <w:ind w:left="0"/>
        <w:contextualSpacing/>
      </w:pPr>
      <w:r w:rsidRPr="003D1E07">
        <w:rPr>
          <w:i/>
        </w:rPr>
        <w:t>Simpl. in Cat</w:t>
      </w:r>
      <w:r w:rsidRPr="003D1E07">
        <w:t>. 350.22</w:t>
      </w:r>
      <w:r w:rsidRPr="003D1E07">
        <w:tab/>
        <w:t>157</w:t>
      </w:r>
    </w:p>
    <w:p w14:paraId="0305AC75" w14:textId="77777777" w:rsidR="00367E15" w:rsidRPr="003D1E07" w:rsidRDefault="00367E15" w:rsidP="00367E15">
      <w:pPr>
        <w:pStyle w:val="Rejstk2"/>
        <w:tabs>
          <w:tab w:val="right" w:leader="dot" w:pos="4171"/>
        </w:tabs>
        <w:spacing w:line="240" w:lineRule="auto"/>
        <w:ind w:left="0"/>
        <w:contextualSpacing/>
      </w:pPr>
      <w:r w:rsidRPr="003D1E07">
        <w:rPr>
          <w:i/>
        </w:rPr>
        <w:t>Simpl. in Cat</w:t>
      </w:r>
      <w:r w:rsidRPr="003D1E07">
        <w:t>. 351.13</w:t>
      </w:r>
      <w:r w:rsidRPr="003D1E07">
        <w:tab/>
        <w:t>157</w:t>
      </w:r>
    </w:p>
    <w:p w14:paraId="0BB5AEB1" w14:textId="77777777" w:rsidR="00367E15" w:rsidRPr="003D1E07" w:rsidRDefault="00367E15" w:rsidP="00367E15">
      <w:pPr>
        <w:pStyle w:val="Rejstk2"/>
        <w:tabs>
          <w:tab w:val="right" w:leader="dot" w:pos="4171"/>
        </w:tabs>
        <w:spacing w:line="240" w:lineRule="auto"/>
        <w:ind w:left="0"/>
        <w:contextualSpacing/>
      </w:pPr>
      <w:r w:rsidRPr="003D1E07">
        <w:rPr>
          <w:i/>
        </w:rPr>
        <w:t>Simpl. in Cat</w:t>
      </w:r>
      <w:r w:rsidRPr="003D1E07">
        <w:t>. 351.14</w:t>
      </w:r>
      <w:r w:rsidRPr="003D1E07">
        <w:tab/>
        <w:t>158</w:t>
      </w:r>
    </w:p>
    <w:p w14:paraId="53FB79E5" w14:textId="77777777" w:rsidR="00367E15" w:rsidRPr="003D1E07" w:rsidRDefault="00367E15" w:rsidP="00367E15">
      <w:pPr>
        <w:pStyle w:val="Rejstk2"/>
        <w:tabs>
          <w:tab w:val="right" w:leader="dot" w:pos="4171"/>
        </w:tabs>
        <w:spacing w:line="240" w:lineRule="auto"/>
        <w:ind w:left="0"/>
        <w:contextualSpacing/>
      </w:pPr>
      <w:r w:rsidRPr="003D1E07">
        <w:rPr>
          <w:i/>
        </w:rPr>
        <w:t>Simpl. in Cat.</w:t>
      </w:r>
      <w:r w:rsidRPr="003D1E07">
        <w:t xml:space="preserve"> 351.3</w:t>
      </w:r>
      <w:r w:rsidRPr="003D1E07">
        <w:tab/>
        <w:t>158</w:t>
      </w:r>
    </w:p>
    <w:p w14:paraId="71801C7F" w14:textId="77777777" w:rsidR="00367E15" w:rsidRPr="003D1E07" w:rsidRDefault="00367E15" w:rsidP="00367E15">
      <w:pPr>
        <w:pStyle w:val="Rejstk2"/>
        <w:tabs>
          <w:tab w:val="right" w:leader="dot" w:pos="4171"/>
        </w:tabs>
        <w:spacing w:line="240" w:lineRule="auto"/>
        <w:ind w:left="0"/>
        <w:contextualSpacing/>
      </w:pPr>
      <w:r w:rsidRPr="003D1E07">
        <w:rPr>
          <w:i/>
        </w:rPr>
        <w:t>Simpl. in Cat</w:t>
      </w:r>
      <w:r w:rsidRPr="003D1E07">
        <w:t>. 351.8‒9</w:t>
      </w:r>
      <w:r w:rsidRPr="003D1E07">
        <w:tab/>
        <w:t>158</w:t>
      </w:r>
    </w:p>
    <w:p w14:paraId="5AD22EA5" w14:textId="77777777" w:rsidR="00367E15" w:rsidRPr="003D1E07" w:rsidRDefault="00367E15" w:rsidP="00367E15">
      <w:pPr>
        <w:pStyle w:val="Rejstk2"/>
        <w:tabs>
          <w:tab w:val="right" w:leader="dot" w:pos="4171"/>
        </w:tabs>
        <w:spacing w:line="240" w:lineRule="auto"/>
        <w:ind w:left="0"/>
        <w:contextualSpacing/>
      </w:pPr>
      <w:r w:rsidRPr="003D1E07">
        <w:rPr>
          <w:i/>
        </w:rPr>
        <w:t>Simpl. in Cat</w:t>
      </w:r>
      <w:r w:rsidRPr="003D1E07">
        <w:t>. 61.10</w:t>
      </w:r>
      <w:r w:rsidRPr="003D1E07">
        <w:tab/>
        <w:t>140</w:t>
      </w:r>
    </w:p>
    <w:p w14:paraId="4C54492E" w14:textId="77777777" w:rsidR="00367E15" w:rsidRPr="003D1E07" w:rsidRDefault="00367E15" w:rsidP="00367E15">
      <w:pPr>
        <w:pStyle w:val="Rejstk2"/>
        <w:tabs>
          <w:tab w:val="right" w:leader="dot" w:pos="4171"/>
        </w:tabs>
        <w:spacing w:line="240" w:lineRule="auto"/>
        <w:ind w:left="0"/>
        <w:contextualSpacing/>
      </w:pPr>
      <w:r w:rsidRPr="003D1E07">
        <w:rPr>
          <w:i/>
        </w:rPr>
        <w:t>Simpl. in Cat</w:t>
      </w:r>
      <w:r w:rsidRPr="003D1E07">
        <w:t>. 61.9</w:t>
      </w:r>
      <w:r w:rsidRPr="003D1E07">
        <w:tab/>
        <w:t>140</w:t>
      </w:r>
    </w:p>
    <w:p w14:paraId="5888505D" w14:textId="77777777" w:rsidR="00367E15" w:rsidRPr="003D1E07" w:rsidRDefault="00367E15" w:rsidP="00367E15">
      <w:pPr>
        <w:pStyle w:val="Rejstk2"/>
        <w:tabs>
          <w:tab w:val="right" w:leader="dot" w:pos="4171"/>
        </w:tabs>
        <w:spacing w:line="240" w:lineRule="auto"/>
        <w:ind w:left="0"/>
        <w:contextualSpacing/>
      </w:pPr>
      <w:r w:rsidRPr="003D1E07">
        <w:rPr>
          <w:i/>
        </w:rPr>
        <w:t>Simpl.</w:t>
      </w:r>
      <w:r w:rsidRPr="003D1E07">
        <w:t xml:space="preserve"> </w:t>
      </w:r>
      <w:r w:rsidRPr="003D1E07">
        <w:rPr>
          <w:i/>
        </w:rPr>
        <w:t>in Cat</w:t>
      </w:r>
      <w:r w:rsidRPr="003D1E07">
        <w:t>. 73.20</w:t>
      </w:r>
      <w:r w:rsidRPr="003D1E07">
        <w:tab/>
        <w:t>135</w:t>
      </w:r>
    </w:p>
    <w:p w14:paraId="007FD3C9" w14:textId="77777777" w:rsidR="00367E15" w:rsidRPr="003D1E07" w:rsidRDefault="00367E15" w:rsidP="00367E15">
      <w:pPr>
        <w:pStyle w:val="Rejstk2"/>
        <w:tabs>
          <w:tab w:val="right" w:leader="dot" w:pos="4171"/>
        </w:tabs>
        <w:spacing w:line="240" w:lineRule="auto"/>
        <w:ind w:left="0"/>
        <w:contextualSpacing/>
      </w:pPr>
      <w:r w:rsidRPr="003D1E07">
        <w:rPr>
          <w:i/>
        </w:rPr>
        <w:t>Simpl</w:t>
      </w:r>
      <w:r w:rsidRPr="003D1E07">
        <w:t xml:space="preserve">. </w:t>
      </w:r>
      <w:r w:rsidRPr="003D1E07">
        <w:rPr>
          <w:i/>
        </w:rPr>
        <w:t>in Cat</w:t>
      </w:r>
      <w:r w:rsidRPr="003D1E07">
        <w:t>. 73.21‒23</w:t>
      </w:r>
      <w:r w:rsidRPr="003D1E07">
        <w:tab/>
        <w:t>148</w:t>
      </w:r>
    </w:p>
    <w:p w14:paraId="42EC6AE2" w14:textId="77777777" w:rsidR="00367E15" w:rsidRPr="003D1E07" w:rsidRDefault="00367E15" w:rsidP="00367E15">
      <w:pPr>
        <w:pStyle w:val="Rejstk2"/>
        <w:tabs>
          <w:tab w:val="right" w:leader="dot" w:pos="4171"/>
        </w:tabs>
        <w:spacing w:line="240" w:lineRule="auto"/>
        <w:ind w:left="0"/>
        <w:contextualSpacing/>
      </w:pPr>
      <w:r w:rsidRPr="003D1E07">
        <w:rPr>
          <w:i/>
        </w:rPr>
        <w:t>Simpl.</w:t>
      </w:r>
      <w:r w:rsidRPr="003D1E07">
        <w:t xml:space="preserve"> </w:t>
      </w:r>
      <w:r w:rsidRPr="003D1E07">
        <w:rPr>
          <w:i/>
        </w:rPr>
        <w:t>in Cat</w:t>
      </w:r>
      <w:r w:rsidRPr="003D1E07">
        <w:t>. 73.25</w:t>
      </w:r>
      <w:r w:rsidRPr="003D1E07">
        <w:tab/>
        <w:t>135</w:t>
      </w:r>
    </w:p>
    <w:p w14:paraId="02CD4808" w14:textId="77777777" w:rsidR="00367E15" w:rsidRPr="003D1E07" w:rsidRDefault="00367E15" w:rsidP="00367E15">
      <w:pPr>
        <w:pStyle w:val="Rejstk2"/>
        <w:tabs>
          <w:tab w:val="right" w:leader="dot" w:pos="4171"/>
        </w:tabs>
        <w:spacing w:line="240" w:lineRule="auto"/>
        <w:ind w:left="0"/>
        <w:contextualSpacing/>
      </w:pPr>
      <w:r w:rsidRPr="003D1E07">
        <w:rPr>
          <w:i/>
        </w:rPr>
        <w:t>Simpl.</w:t>
      </w:r>
      <w:r w:rsidRPr="003D1E07">
        <w:t xml:space="preserve"> </w:t>
      </w:r>
      <w:r w:rsidRPr="003D1E07">
        <w:rPr>
          <w:i/>
        </w:rPr>
        <w:t>in Cat</w:t>
      </w:r>
      <w:r w:rsidRPr="003D1E07">
        <w:t>. 85.11</w:t>
      </w:r>
      <w:r w:rsidRPr="003D1E07">
        <w:tab/>
        <w:t>135</w:t>
      </w:r>
    </w:p>
    <w:p w14:paraId="18511760" w14:textId="77777777" w:rsidR="00367E15" w:rsidRPr="003D1E07" w:rsidRDefault="00367E15" w:rsidP="00367E15">
      <w:pPr>
        <w:pStyle w:val="Rejstk2"/>
        <w:tabs>
          <w:tab w:val="right" w:leader="dot" w:pos="4171"/>
        </w:tabs>
        <w:spacing w:line="240" w:lineRule="auto"/>
        <w:ind w:left="0"/>
        <w:contextualSpacing/>
      </w:pPr>
      <w:r w:rsidRPr="003D1E07">
        <w:rPr>
          <w:i/>
        </w:rPr>
        <w:t>Simpl.</w:t>
      </w:r>
      <w:r w:rsidRPr="003D1E07">
        <w:t xml:space="preserve"> </w:t>
      </w:r>
      <w:r w:rsidRPr="003D1E07">
        <w:rPr>
          <w:i/>
        </w:rPr>
        <w:t>in Cat</w:t>
      </w:r>
      <w:r w:rsidRPr="003D1E07">
        <w:t>. 85.11−12</w:t>
      </w:r>
      <w:r w:rsidRPr="003D1E07">
        <w:tab/>
        <w:t>135</w:t>
      </w:r>
    </w:p>
    <w:p w14:paraId="79FA87C1" w14:textId="77777777" w:rsidR="00367E15" w:rsidRPr="003D1E07" w:rsidRDefault="00367E15" w:rsidP="00367E15">
      <w:pPr>
        <w:pStyle w:val="Rejstk2"/>
        <w:tabs>
          <w:tab w:val="right" w:leader="dot" w:pos="4171"/>
        </w:tabs>
        <w:spacing w:line="240" w:lineRule="auto"/>
        <w:ind w:left="0"/>
        <w:contextualSpacing/>
      </w:pPr>
      <w:r w:rsidRPr="003D1E07">
        <w:rPr>
          <w:i/>
        </w:rPr>
        <w:t>Simpl.</w:t>
      </w:r>
      <w:r w:rsidRPr="003D1E07">
        <w:t xml:space="preserve"> </w:t>
      </w:r>
      <w:r w:rsidRPr="003D1E07">
        <w:rPr>
          <w:i/>
        </w:rPr>
        <w:t>in Cat</w:t>
      </w:r>
      <w:r w:rsidRPr="003D1E07">
        <w:t>. 85.12–13</w:t>
      </w:r>
      <w:r w:rsidRPr="003D1E07">
        <w:tab/>
        <w:t>133</w:t>
      </w:r>
    </w:p>
    <w:p w14:paraId="1B36EBB4" w14:textId="77777777" w:rsidR="00367E15" w:rsidRPr="003D1E07" w:rsidRDefault="00367E15" w:rsidP="00367E15">
      <w:pPr>
        <w:pStyle w:val="Rejstk2"/>
        <w:tabs>
          <w:tab w:val="right" w:leader="dot" w:pos="4171"/>
        </w:tabs>
        <w:spacing w:line="240" w:lineRule="auto"/>
        <w:ind w:left="0"/>
        <w:contextualSpacing/>
      </w:pPr>
      <w:r w:rsidRPr="003D1E07">
        <w:rPr>
          <w:i/>
        </w:rPr>
        <w:t>Simpl.</w:t>
      </w:r>
      <w:r w:rsidRPr="003D1E07">
        <w:t xml:space="preserve"> </w:t>
      </w:r>
      <w:r w:rsidRPr="003D1E07">
        <w:rPr>
          <w:i/>
        </w:rPr>
        <w:t>in Parm</w:t>
      </w:r>
      <w:r w:rsidRPr="003D1E07">
        <w:t>. fr. 5.36</w:t>
      </w:r>
      <w:r w:rsidRPr="003D1E07">
        <w:tab/>
        <w:t>126</w:t>
      </w:r>
    </w:p>
    <w:p w14:paraId="24FD2425" w14:textId="77777777" w:rsidR="00367E15" w:rsidRPr="003D1E07" w:rsidRDefault="00367E15" w:rsidP="00367E15">
      <w:pPr>
        <w:pStyle w:val="Rejstk2"/>
        <w:tabs>
          <w:tab w:val="right" w:leader="dot" w:pos="4171"/>
        </w:tabs>
        <w:spacing w:line="240" w:lineRule="auto"/>
        <w:ind w:left="0"/>
        <w:contextualSpacing/>
      </w:pPr>
      <w:r w:rsidRPr="003D1E07">
        <w:rPr>
          <w:i/>
        </w:rPr>
        <w:t>Simpl. in Phys</w:t>
      </w:r>
      <w:r w:rsidRPr="003D1E07">
        <w:t>. 227.30</w:t>
      </w:r>
      <w:r w:rsidRPr="003D1E07">
        <w:tab/>
        <w:t>155</w:t>
      </w:r>
    </w:p>
    <w:p w14:paraId="1E606B6C" w14:textId="77777777" w:rsidR="00367E15" w:rsidRPr="003D1E07" w:rsidRDefault="00367E15" w:rsidP="00367E15">
      <w:pPr>
        <w:pStyle w:val="Rejstk2"/>
        <w:tabs>
          <w:tab w:val="right" w:leader="dot" w:pos="4171"/>
        </w:tabs>
        <w:spacing w:line="240" w:lineRule="auto"/>
        <w:ind w:left="0"/>
        <w:contextualSpacing/>
      </w:pPr>
      <w:r w:rsidRPr="003D1E07">
        <w:rPr>
          <w:i/>
        </w:rPr>
        <w:t>Simpl. in Phys</w:t>
      </w:r>
      <w:r w:rsidRPr="003D1E07">
        <w:t>. 230.23</w:t>
      </w:r>
      <w:r w:rsidRPr="003D1E07">
        <w:tab/>
        <w:t>161</w:t>
      </w:r>
    </w:p>
    <w:p w14:paraId="7405C8C0" w14:textId="77777777" w:rsidR="00367E15" w:rsidRPr="003D1E07" w:rsidRDefault="00367E15" w:rsidP="00367E15">
      <w:pPr>
        <w:pStyle w:val="Rejstk2"/>
        <w:tabs>
          <w:tab w:val="right" w:leader="dot" w:pos="4171"/>
        </w:tabs>
        <w:spacing w:line="240" w:lineRule="auto"/>
        <w:ind w:left="0"/>
        <w:contextualSpacing/>
      </w:pPr>
      <w:r w:rsidRPr="003D1E07">
        <w:rPr>
          <w:i/>
        </w:rPr>
        <w:t>Simpl. in Phys</w:t>
      </w:r>
      <w:r w:rsidRPr="003D1E07">
        <w:t>. 230.25‒26</w:t>
      </w:r>
      <w:r w:rsidRPr="003D1E07">
        <w:tab/>
        <w:t>161</w:t>
      </w:r>
    </w:p>
    <w:p w14:paraId="1CF368A3" w14:textId="77777777" w:rsidR="00367E15" w:rsidRPr="003D1E07" w:rsidRDefault="00367E15" w:rsidP="00367E15">
      <w:pPr>
        <w:pStyle w:val="Rejstk2"/>
        <w:tabs>
          <w:tab w:val="right" w:leader="dot" w:pos="4171"/>
        </w:tabs>
        <w:spacing w:line="240" w:lineRule="auto"/>
        <w:ind w:left="0"/>
        <w:contextualSpacing/>
      </w:pPr>
      <w:r w:rsidRPr="003D1E07">
        <w:rPr>
          <w:i/>
        </w:rPr>
        <w:t>Simpl. in Phys</w:t>
      </w:r>
      <w:r w:rsidRPr="003D1E07">
        <w:t>. 537.10</w:t>
      </w:r>
      <w:r w:rsidRPr="003D1E07">
        <w:tab/>
        <w:t>161</w:t>
      </w:r>
    </w:p>
    <w:p w14:paraId="4101E47F" w14:textId="77777777" w:rsidR="00367E15" w:rsidRPr="003D1E07" w:rsidRDefault="00367E15" w:rsidP="00367E15">
      <w:pPr>
        <w:pStyle w:val="Rejstk2"/>
        <w:tabs>
          <w:tab w:val="right" w:leader="dot" w:pos="4171"/>
        </w:tabs>
        <w:spacing w:line="240" w:lineRule="auto"/>
        <w:ind w:left="0"/>
        <w:contextualSpacing/>
      </w:pPr>
      <w:r w:rsidRPr="003D1E07">
        <w:rPr>
          <w:i/>
        </w:rPr>
        <w:t>Simpl. in Phys</w:t>
      </w:r>
      <w:r w:rsidRPr="003D1E07">
        <w:t>. 537.10–11</w:t>
      </w:r>
      <w:r w:rsidRPr="003D1E07">
        <w:tab/>
        <w:t>160</w:t>
      </w:r>
    </w:p>
    <w:p w14:paraId="00A7A738" w14:textId="77777777" w:rsidR="00367E15" w:rsidRPr="003D1E07" w:rsidRDefault="00367E15" w:rsidP="00367E15">
      <w:pPr>
        <w:pStyle w:val="Rejstk2"/>
        <w:tabs>
          <w:tab w:val="right" w:leader="dot" w:pos="4171"/>
        </w:tabs>
        <w:spacing w:line="240" w:lineRule="auto"/>
        <w:ind w:left="0"/>
        <w:contextualSpacing/>
      </w:pPr>
      <w:r w:rsidRPr="003D1E07">
        <w:rPr>
          <w:i/>
        </w:rPr>
        <w:t>Simpl. in Phys</w:t>
      </w:r>
      <w:r w:rsidRPr="003D1E07">
        <w:t>. 537.12–13</w:t>
      </w:r>
      <w:r w:rsidRPr="003D1E07">
        <w:tab/>
        <w:t>161</w:t>
      </w:r>
    </w:p>
    <w:p w14:paraId="3AC6C2F8" w14:textId="77777777" w:rsidR="00367E15" w:rsidRPr="003D1E07" w:rsidRDefault="00367E15" w:rsidP="00367E15">
      <w:pPr>
        <w:pStyle w:val="Rejstk2"/>
        <w:tabs>
          <w:tab w:val="right" w:leader="dot" w:pos="4171"/>
        </w:tabs>
        <w:spacing w:line="240" w:lineRule="auto"/>
        <w:ind w:left="0"/>
        <w:contextualSpacing/>
      </w:pPr>
      <w:r w:rsidRPr="003D1E07">
        <w:rPr>
          <w:i/>
        </w:rPr>
        <w:t>Simpl. in Phys</w:t>
      </w:r>
      <w:r w:rsidRPr="003D1E07">
        <w:t>. 623.16</w:t>
      </w:r>
      <w:r w:rsidRPr="003D1E07">
        <w:tab/>
        <w:t>166</w:t>
      </w:r>
    </w:p>
    <w:p w14:paraId="763283B3" w14:textId="77777777" w:rsidR="00367E15" w:rsidRPr="003D1E07" w:rsidRDefault="00367E15" w:rsidP="00367E15">
      <w:pPr>
        <w:pStyle w:val="Rejstk2"/>
        <w:tabs>
          <w:tab w:val="right" w:leader="dot" w:pos="4171"/>
        </w:tabs>
        <w:spacing w:line="240" w:lineRule="auto"/>
        <w:ind w:left="0"/>
        <w:contextualSpacing/>
      </w:pPr>
      <w:r w:rsidRPr="003D1E07">
        <w:rPr>
          <w:i/>
        </w:rPr>
        <w:t>Simpl. in Phys</w:t>
      </w:r>
      <w:r w:rsidRPr="003D1E07">
        <w:t>. 623.17</w:t>
      </w:r>
      <w:r w:rsidRPr="003D1E07">
        <w:tab/>
        <w:t>166</w:t>
      </w:r>
    </w:p>
    <w:p w14:paraId="0AF36D01" w14:textId="77777777" w:rsidR="00367E15" w:rsidRPr="003D1E07" w:rsidRDefault="00367E15" w:rsidP="00367E15">
      <w:pPr>
        <w:pStyle w:val="Rejstk2"/>
        <w:tabs>
          <w:tab w:val="right" w:leader="dot" w:pos="4171"/>
        </w:tabs>
        <w:spacing w:line="240" w:lineRule="auto"/>
        <w:ind w:left="0"/>
        <w:contextualSpacing/>
      </w:pPr>
      <w:r w:rsidRPr="003D1E07">
        <w:rPr>
          <w:i/>
        </w:rPr>
        <w:t>Simpl. in Phys</w:t>
      </w:r>
      <w:r w:rsidRPr="003D1E07">
        <w:t>. 623.18</w:t>
      </w:r>
      <w:r w:rsidRPr="003D1E07">
        <w:tab/>
        <w:t>162</w:t>
      </w:r>
    </w:p>
    <w:p w14:paraId="37A98652" w14:textId="77777777" w:rsidR="00367E15" w:rsidRPr="003D1E07" w:rsidRDefault="00367E15" w:rsidP="00367E15">
      <w:pPr>
        <w:pStyle w:val="Rejstk2"/>
        <w:tabs>
          <w:tab w:val="right" w:leader="dot" w:pos="4171"/>
        </w:tabs>
        <w:spacing w:line="240" w:lineRule="auto"/>
        <w:ind w:left="0"/>
        <w:contextualSpacing/>
      </w:pPr>
      <w:r w:rsidRPr="003D1E07">
        <w:rPr>
          <w:i/>
        </w:rPr>
        <w:t>Simpl. in Phys</w:t>
      </w:r>
      <w:r w:rsidRPr="003D1E07">
        <w:t>. 623.18‒19</w:t>
      </w:r>
      <w:r w:rsidRPr="003D1E07">
        <w:tab/>
        <w:t>162</w:t>
      </w:r>
    </w:p>
    <w:p w14:paraId="7D92D226" w14:textId="77777777" w:rsidR="00367E15" w:rsidRPr="003D1E07" w:rsidRDefault="00367E15" w:rsidP="00367E15">
      <w:pPr>
        <w:pStyle w:val="Rejstk2"/>
        <w:tabs>
          <w:tab w:val="right" w:leader="dot" w:pos="4171"/>
        </w:tabs>
        <w:spacing w:line="240" w:lineRule="auto"/>
        <w:ind w:left="0"/>
        <w:contextualSpacing/>
      </w:pPr>
      <w:r w:rsidRPr="003D1E07">
        <w:rPr>
          <w:i/>
        </w:rPr>
        <w:t>Simpl. in Phys</w:t>
      </w:r>
      <w:r w:rsidRPr="003D1E07">
        <w:t>. 623.19‒20</w:t>
      </w:r>
      <w:r w:rsidRPr="003D1E07">
        <w:tab/>
        <w:t>162</w:t>
      </w:r>
    </w:p>
    <w:p w14:paraId="0494FE42" w14:textId="77777777" w:rsidR="00367E15" w:rsidRPr="003D1E07" w:rsidRDefault="00367E15" w:rsidP="00367E15">
      <w:pPr>
        <w:pStyle w:val="Rejstk2"/>
        <w:tabs>
          <w:tab w:val="right" w:leader="dot" w:pos="4171"/>
        </w:tabs>
        <w:spacing w:line="240" w:lineRule="auto"/>
        <w:ind w:left="0"/>
        <w:contextualSpacing/>
      </w:pPr>
      <w:r w:rsidRPr="003D1E07">
        <w:rPr>
          <w:i/>
        </w:rPr>
        <w:t>Simpl. in Phys</w:t>
      </w:r>
      <w:r w:rsidRPr="003D1E07">
        <w:t>. 623.20</w:t>
      </w:r>
      <w:r w:rsidRPr="003D1E07">
        <w:tab/>
        <w:t>162</w:t>
      </w:r>
    </w:p>
    <w:p w14:paraId="62EAE697" w14:textId="77777777" w:rsidR="00367E15" w:rsidRPr="003D1E07" w:rsidRDefault="00367E15" w:rsidP="00367E15">
      <w:pPr>
        <w:pStyle w:val="Rejstk2"/>
        <w:tabs>
          <w:tab w:val="right" w:leader="dot" w:pos="4171"/>
        </w:tabs>
        <w:spacing w:line="240" w:lineRule="auto"/>
        <w:ind w:left="0" w:hanging="238"/>
        <w:contextualSpacing/>
      </w:pPr>
      <w:r w:rsidRPr="003D1E07">
        <w:rPr>
          <w:i/>
        </w:rPr>
        <w:t>Simpl.in Cat</w:t>
      </w:r>
      <w:r w:rsidRPr="003D1E07">
        <w:t>. 61.9‒11</w:t>
      </w:r>
      <w:r w:rsidRPr="003D1E07">
        <w:tab/>
        <w:t>140</w:t>
      </w:r>
    </w:p>
    <w:p w14:paraId="689D2D08" w14:textId="77777777" w:rsidR="00367E15" w:rsidRPr="003D1E07" w:rsidRDefault="00367E15" w:rsidP="00367E15">
      <w:pPr>
        <w:pStyle w:val="Rejstk2"/>
        <w:tabs>
          <w:tab w:val="right" w:leader="dot" w:pos="4171"/>
        </w:tabs>
        <w:spacing w:line="240" w:lineRule="auto"/>
        <w:ind w:left="0"/>
        <w:contextualSpacing/>
      </w:pPr>
    </w:p>
    <w:p w14:paraId="70D5879C" w14:textId="77777777" w:rsidR="00367E15" w:rsidRPr="003D1E07" w:rsidRDefault="00367E15" w:rsidP="00367E15">
      <w:pPr>
        <w:pStyle w:val="Rejstk2"/>
        <w:tabs>
          <w:tab w:val="right" w:leader="dot" w:pos="4171"/>
        </w:tabs>
        <w:spacing w:line="240" w:lineRule="auto"/>
        <w:ind w:left="0"/>
        <w:contextualSpacing/>
      </w:pPr>
    </w:p>
    <w:p w14:paraId="4AC0679A" w14:textId="77777777" w:rsidR="00367E15" w:rsidRPr="003D1E07" w:rsidRDefault="00367E15" w:rsidP="00367E15">
      <w:pPr>
        <w:pStyle w:val="Rejstk2"/>
        <w:tabs>
          <w:tab w:val="right" w:leader="dot" w:pos="4171"/>
        </w:tabs>
        <w:spacing w:line="240" w:lineRule="auto"/>
        <w:ind w:left="0"/>
        <w:contextualSpacing/>
      </w:pPr>
      <w:r w:rsidRPr="003D1E07">
        <w:rPr>
          <w:b/>
        </w:rPr>
        <w:t>Starý zákon</w:t>
      </w:r>
    </w:p>
    <w:p w14:paraId="212000A8" w14:textId="00F77100" w:rsidR="007A7B88" w:rsidRPr="003D1E07" w:rsidRDefault="007A7B88" w:rsidP="00367E15">
      <w:pPr>
        <w:pStyle w:val="Rejstk2"/>
        <w:tabs>
          <w:tab w:val="right" w:leader="dot" w:pos="4171"/>
        </w:tabs>
        <w:spacing w:line="240" w:lineRule="auto"/>
        <w:ind w:left="0"/>
        <w:contextualSpacing/>
      </w:pPr>
      <w:r w:rsidRPr="003D1E07">
        <w:rPr>
          <w:i/>
        </w:rPr>
        <w:t>Exodus</w:t>
      </w:r>
      <w:r w:rsidRPr="003D1E07">
        <w:t xml:space="preserve"> 33:18–33</w:t>
      </w:r>
      <w:r w:rsidRPr="003D1E07">
        <w:tab/>
        <w:t>63</w:t>
      </w:r>
    </w:p>
    <w:p w14:paraId="52536991" w14:textId="63C5E753" w:rsidR="00367E15" w:rsidRPr="003D1E07" w:rsidRDefault="00367E15" w:rsidP="00367E15">
      <w:pPr>
        <w:pStyle w:val="Rejstk2"/>
        <w:tabs>
          <w:tab w:val="right" w:leader="dot" w:pos="4171"/>
        </w:tabs>
        <w:spacing w:line="240" w:lineRule="auto"/>
        <w:ind w:left="0"/>
        <w:contextualSpacing/>
      </w:pPr>
      <w:r w:rsidRPr="003D1E07">
        <w:rPr>
          <w:i/>
        </w:rPr>
        <w:t>Gn</w:t>
      </w:r>
      <w:r w:rsidRPr="003D1E07">
        <w:t xml:space="preserve"> 28:12–18</w:t>
      </w:r>
      <w:r w:rsidRPr="003D1E07">
        <w:tab/>
        <w:t>323</w:t>
      </w:r>
    </w:p>
    <w:p w14:paraId="6505CBB8" w14:textId="77777777" w:rsidR="00367E15" w:rsidRPr="003D1E07" w:rsidRDefault="00367E15" w:rsidP="00367E15">
      <w:pPr>
        <w:pStyle w:val="Rejstk2"/>
        <w:tabs>
          <w:tab w:val="right" w:leader="dot" w:pos="4171"/>
        </w:tabs>
        <w:spacing w:line="240" w:lineRule="auto"/>
        <w:ind w:left="0"/>
        <w:contextualSpacing/>
      </w:pPr>
    </w:p>
    <w:p w14:paraId="2A654F33" w14:textId="77777777" w:rsidR="00367E15" w:rsidRPr="003D1E07" w:rsidRDefault="00367E15" w:rsidP="00367E15">
      <w:pPr>
        <w:pStyle w:val="Rejstk2"/>
        <w:tabs>
          <w:tab w:val="right" w:leader="dot" w:pos="4171"/>
        </w:tabs>
        <w:spacing w:line="240" w:lineRule="auto"/>
        <w:ind w:left="0"/>
        <w:contextualSpacing/>
        <w:rPr>
          <w:b/>
        </w:rPr>
      </w:pPr>
      <w:r w:rsidRPr="003D1E07">
        <w:rPr>
          <w:b/>
        </w:rPr>
        <w:t>Themistius</w:t>
      </w:r>
    </w:p>
    <w:p w14:paraId="0B9C2CF3" w14:textId="77777777" w:rsidR="00367E15" w:rsidRPr="003D1E07" w:rsidRDefault="00367E15" w:rsidP="00367E15">
      <w:pPr>
        <w:pStyle w:val="Rejstk2"/>
        <w:tabs>
          <w:tab w:val="right" w:leader="dot" w:pos="4171"/>
        </w:tabs>
        <w:spacing w:line="240" w:lineRule="auto"/>
        <w:ind w:left="0"/>
        <w:contextualSpacing/>
      </w:pPr>
      <w:r w:rsidRPr="003D1E07">
        <w:rPr>
          <w:i/>
        </w:rPr>
        <w:t>In Aristotelis libros de anima paraphrasis</w:t>
      </w:r>
      <w:r w:rsidRPr="003D1E07">
        <w:t xml:space="preserve"> 103.30–31</w:t>
      </w:r>
      <w:r w:rsidRPr="003D1E07">
        <w:tab/>
        <w:t>379</w:t>
      </w:r>
    </w:p>
    <w:p w14:paraId="01751C74" w14:textId="77777777" w:rsidR="00367E15" w:rsidRPr="003D1E07" w:rsidRDefault="00367E15" w:rsidP="00367E15">
      <w:pPr>
        <w:pStyle w:val="Rejstk2"/>
        <w:tabs>
          <w:tab w:val="right" w:leader="dot" w:pos="4171"/>
        </w:tabs>
        <w:spacing w:line="240" w:lineRule="auto"/>
        <w:ind w:left="0"/>
        <w:contextualSpacing/>
      </w:pPr>
      <w:r w:rsidRPr="003D1E07">
        <w:rPr>
          <w:i/>
        </w:rPr>
        <w:t>In Aristotelis libros de anima paraphrasis</w:t>
      </w:r>
      <w:r w:rsidRPr="003D1E07">
        <w:t xml:space="preserve"> 103.32</w:t>
      </w:r>
      <w:r w:rsidRPr="003D1E07">
        <w:tab/>
        <w:t>380</w:t>
      </w:r>
    </w:p>
    <w:p w14:paraId="04D14E22" w14:textId="77777777" w:rsidR="00367E15" w:rsidRPr="003D1E07" w:rsidRDefault="00367E15" w:rsidP="00367E15">
      <w:pPr>
        <w:pStyle w:val="Rejstk2"/>
        <w:tabs>
          <w:tab w:val="right" w:leader="dot" w:pos="4171"/>
        </w:tabs>
        <w:spacing w:line="240" w:lineRule="auto"/>
        <w:ind w:left="0" w:hanging="238"/>
        <w:contextualSpacing/>
      </w:pPr>
      <w:r w:rsidRPr="003D1E07">
        <w:rPr>
          <w:i/>
        </w:rPr>
        <w:t>In Aristotelis libros de anima paraphrasis</w:t>
      </w:r>
      <w:r w:rsidRPr="003D1E07">
        <w:t xml:space="preserve"> 94.5‒15</w:t>
      </w:r>
      <w:r w:rsidRPr="003D1E07">
        <w:tab/>
        <w:t>381</w:t>
      </w:r>
    </w:p>
    <w:p w14:paraId="6CAF2679" w14:textId="77777777" w:rsidR="00367E15" w:rsidRPr="003D1E07" w:rsidRDefault="00367E15" w:rsidP="00367E15">
      <w:pPr>
        <w:pStyle w:val="Rejstk2"/>
        <w:tabs>
          <w:tab w:val="right" w:leader="dot" w:pos="4171"/>
        </w:tabs>
        <w:spacing w:line="240" w:lineRule="auto"/>
        <w:ind w:left="0"/>
        <w:contextualSpacing/>
      </w:pPr>
    </w:p>
    <w:p w14:paraId="1663D72B" w14:textId="77777777" w:rsidR="00367E15" w:rsidRPr="003D1E07" w:rsidRDefault="00367E15" w:rsidP="00367E15">
      <w:pPr>
        <w:pStyle w:val="Rejstk2"/>
        <w:tabs>
          <w:tab w:val="right" w:leader="dot" w:pos="4171"/>
        </w:tabs>
        <w:spacing w:line="240" w:lineRule="auto"/>
        <w:ind w:left="0"/>
        <w:contextualSpacing/>
        <w:rPr>
          <w:b/>
        </w:rPr>
      </w:pPr>
      <w:r w:rsidRPr="003D1E07">
        <w:rPr>
          <w:b/>
        </w:rPr>
        <w:t>Theologia Aristotelis</w:t>
      </w:r>
    </w:p>
    <w:p w14:paraId="0F4253BB" w14:textId="77777777" w:rsidR="00367E15" w:rsidRPr="003D1E07" w:rsidRDefault="00367E15" w:rsidP="00367E15">
      <w:pPr>
        <w:pStyle w:val="Rejstk2"/>
        <w:tabs>
          <w:tab w:val="right" w:leader="dot" w:pos="4171"/>
        </w:tabs>
        <w:spacing w:line="240" w:lineRule="auto"/>
        <w:ind w:left="0"/>
        <w:contextualSpacing/>
      </w:pPr>
      <w:r w:rsidRPr="003D1E07">
        <w:rPr>
          <w:rFonts w:eastAsia="Century Schoolbook"/>
          <w:i/>
        </w:rPr>
        <w:t>Theologia Aristotelis</w:t>
      </w:r>
      <w:r w:rsidRPr="003D1E07">
        <w:t xml:space="preserve"> 161</w:t>
      </w:r>
      <w:r w:rsidRPr="003D1E07">
        <w:tab/>
        <w:t>330</w:t>
      </w:r>
    </w:p>
    <w:p w14:paraId="7E92EEDE" w14:textId="77777777" w:rsidR="00367E15" w:rsidRPr="003D1E07" w:rsidRDefault="00367E15" w:rsidP="00367E15">
      <w:pPr>
        <w:pStyle w:val="Rejstk2"/>
        <w:tabs>
          <w:tab w:val="right" w:leader="dot" w:pos="4171"/>
        </w:tabs>
        <w:spacing w:line="240" w:lineRule="auto"/>
        <w:ind w:left="0"/>
        <w:contextualSpacing/>
        <w:rPr>
          <w:b/>
        </w:rPr>
      </w:pPr>
      <w:r w:rsidRPr="003D1E07">
        <w:rPr>
          <w:i/>
        </w:rPr>
        <w:t>Theologia Aristotelis</w:t>
      </w:r>
      <w:r w:rsidRPr="003D1E07">
        <w:t xml:space="preserve"> 18</w:t>
      </w:r>
      <w:r w:rsidRPr="003D1E07">
        <w:tab/>
        <w:t>244</w:t>
      </w:r>
    </w:p>
    <w:p w14:paraId="65E2B4DB" w14:textId="77777777" w:rsidR="00367E15" w:rsidRPr="003D1E07" w:rsidRDefault="00367E15" w:rsidP="00367E15"/>
    <w:p w14:paraId="4541194A" w14:textId="77777777" w:rsidR="00367E15" w:rsidRPr="003D1E07" w:rsidRDefault="00367E15" w:rsidP="00367E15">
      <w:pPr>
        <w:sectPr w:rsidR="00367E15" w:rsidRPr="003D1E07" w:rsidSect="08E416AA">
          <w:footerReference w:type="default" r:id="rId13"/>
          <w:type w:val="continuous"/>
          <w:pgSz w:w="11905" w:h="16837"/>
          <w:pgMar w:top="1417" w:right="1417" w:bottom="1417" w:left="1417" w:header="708" w:footer="720" w:gutter="0"/>
          <w:cols w:num="2" w:space="708"/>
          <w:docGrid w:linePitch="360"/>
        </w:sectPr>
      </w:pPr>
    </w:p>
    <w:p w14:paraId="6D73FCA7" w14:textId="77777777" w:rsidR="00367E15" w:rsidRPr="003D1E07" w:rsidRDefault="00367E15" w:rsidP="00367E15"/>
    <w:p w14:paraId="2DD131C5" w14:textId="77777777" w:rsidR="08651FA8" w:rsidRPr="003D1E07" w:rsidRDefault="08E416AA" w:rsidP="08B23C07">
      <w:pPr>
        <w:pStyle w:val="Nadpis3"/>
        <w:rPr>
          <w:lang w:val="cs-CZ"/>
        </w:rPr>
      </w:pPr>
      <w:r w:rsidRPr="003D1E07">
        <w:rPr>
          <w:lang w:val="cs-CZ"/>
        </w:rPr>
        <w:br w:type="page"/>
      </w:r>
      <w:bookmarkStart w:id="78" w:name="_Toc93747290"/>
      <w:bookmarkStart w:id="79" w:name="_Toc102906180"/>
      <w:r w:rsidR="08651FA8" w:rsidRPr="003D1E07">
        <w:rPr>
          <w:lang w:val="cs-CZ"/>
        </w:rPr>
        <w:lastRenderedPageBreak/>
        <w:t>Jmenný a věcný rejstřík</w:t>
      </w:r>
      <w:bookmarkEnd w:id="78"/>
      <w:bookmarkEnd w:id="79"/>
    </w:p>
    <w:p w14:paraId="5A546B76" w14:textId="77777777" w:rsidR="00C04C0A" w:rsidRPr="003D1E07" w:rsidRDefault="00C04C0A" w:rsidP="00DB7A19">
      <w:pPr>
        <w:spacing w:line="240" w:lineRule="auto"/>
        <w:sectPr w:rsidR="00C04C0A" w:rsidRPr="003D1E07" w:rsidSect="00C04C0A">
          <w:footerReference w:type="default" r:id="rId14"/>
          <w:type w:val="continuous"/>
          <w:pgSz w:w="11905" w:h="16837"/>
          <w:pgMar w:top="1417" w:right="1417" w:bottom="1417" w:left="1417" w:header="708" w:footer="720" w:gutter="0"/>
          <w:cols w:space="708"/>
          <w:docGrid w:linePitch="360"/>
        </w:sectPr>
      </w:pPr>
      <w:r w:rsidRPr="003D1E07">
        <w:fldChar w:fldCharType="begin"/>
      </w:r>
      <w:r w:rsidRPr="003D1E07">
        <w:instrText xml:space="preserve"> INDEX \e "</w:instrText>
      </w:r>
      <w:r w:rsidRPr="003D1E07">
        <w:tab/>
        <w:instrText xml:space="preserve">" \h "A" \c "2" \z "1029" </w:instrText>
      </w:r>
      <w:r w:rsidRPr="003D1E07">
        <w:fldChar w:fldCharType="separate"/>
      </w:r>
    </w:p>
    <w:p w14:paraId="73AB780A" w14:textId="77777777" w:rsidR="00C04C0A" w:rsidRPr="003D1E07" w:rsidRDefault="00C04C0A" w:rsidP="00C04C0A">
      <w:pPr>
        <w:pStyle w:val="Hlavikarejstku"/>
        <w:keepNext/>
        <w:tabs>
          <w:tab w:val="right" w:leader="dot" w:pos="4171"/>
        </w:tabs>
        <w:spacing w:line="240" w:lineRule="auto"/>
        <w:rPr>
          <w:rFonts w:eastAsia="Times New Roman" w:cs="Times New Roman"/>
          <w:b w:val="0"/>
          <w:bCs w:val="0"/>
        </w:rPr>
      </w:pPr>
      <w:r w:rsidRPr="003D1E07">
        <w:lastRenderedPageBreak/>
        <w:t>A</w:t>
      </w:r>
    </w:p>
    <w:p w14:paraId="1429003C" w14:textId="77777777" w:rsidR="00C04C0A" w:rsidRPr="003D1E07" w:rsidRDefault="00C04C0A" w:rsidP="00C04C0A">
      <w:pPr>
        <w:pStyle w:val="Rejstk1"/>
        <w:tabs>
          <w:tab w:val="right" w:leader="dot" w:pos="4171"/>
        </w:tabs>
        <w:spacing w:line="240" w:lineRule="auto"/>
      </w:pPr>
      <w:r w:rsidRPr="003D1E07">
        <w:rPr>
          <w:i/>
        </w:rPr>
        <w:t>a/létheia</w:t>
      </w:r>
      <w:r w:rsidRPr="003D1E07">
        <w:tab/>
        <w:t>19, 36, 57, 67, 72, 78, 169, 193, 221, 238, 251, 283, 327, 399, 460, 461, 470</w:t>
      </w:r>
    </w:p>
    <w:p w14:paraId="03FAC728" w14:textId="77777777" w:rsidR="00C04C0A" w:rsidRPr="003D1E07" w:rsidRDefault="00C04C0A" w:rsidP="00C04C0A">
      <w:pPr>
        <w:pStyle w:val="Rejstk1"/>
        <w:tabs>
          <w:tab w:val="right" w:leader="dot" w:pos="4171"/>
        </w:tabs>
        <w:spacing w:line="240" w:lineRule="auto"/>
      </w:pPr>
      <w:r w:rsidRPr="003D1E07">
        <w:t>abstrakce</w:t>
      </w:r>
    </w:p>
    <w:p w14:paraId="46B6F657" w14:textId="77777777" w:rsidR="00C04C0A" w:rsidRPr="003D1E07" w:rsidRDefault="00C04C0A" w:rsidP="00C04C0A">
      <w:pPr>
        <w:pStyle w:val="Rejstk2"/>
        <w:tabs>
          <w:tab w:val="right" w:leader="dot" w:pos="4171"/>
        </w:tabs>
        <w:spacing w:line="240" w:lineRule="auto"/>
      </w:pPr>
      <w:r w:rsidRPr="003D1E07">
        <w:t>Al-Fárábí</w:t>
      </w:r>
      <w:r w:rsidRPr="003D1E07">
        <w:tab/>
        <w:t>201, 209, 210, 220</w:t>
      </w:r>
    </w:p>
    <w:p w14:paraId="741532E8" w14:textId="77777777" w:rsidR="00C04C0A" w:rsidRPr="003D1E07" w:rsidRDefault="00C04C0A" w:rsidP="00C04C0A">
      <w:pPr>
        <w:pStyle w:val="Rejstk2"/>
        <w:tabs>
          <w:tab w:val="right" w:leader="dot" w:pos="4171"/>
        </w:tabs>
        <w:spacing w:line="240" w:lineRule="auto"/>
      </w:pPr>
      <w:r w:rsidRPr="003D1E07">
        <w:t>Averroes</w:t>
      </w:r>
      <w:r w:rsidRPr="003D1E07">
        <w:tab/>
        <w:t>389, 431</w:t>
      </w:r>
    </w:p>
    <w:p w14:paraId="6C4EDD2C" w14:textId="77777777" w:rsidR="00C04C0A" w:rsidRPr="003D1E07" w:rsidRDefault="00C04C0A" w:rsidP="00C04C0A">
      <w:pPr>
        <w:pStyle w:val="Rejstk2"/>
        <w:tabs>
          <w:tab w:val="right" w:leader="dot" w:pos="4171"/>
        </w:tabs>
        <w:spacing w:line="240" w:lineRule="auto"/>
      </w:pPr>
      <w:r w:rsidRPr="003D1E07">
        <w:t>Avicenna</w:t>
      </w:r>
      <w:r w:rsidRPr="003D1E07">
        <w:tab/>
        <w:t>260, 267, 280</w:t>
      </w:r>
    </w:p>
    <w:p w14:paraId="2887DA98" w14:textId="77777777" w:rsidR="00C04C0A" w:rsidRPr="003D1E07" w:rsidRDefault="00C04C0A" w:rsidP="00C04C0A">
      <w:pPr>
        <w:pStyle w:val="Rejstk2"/>
        <w:tabs>
          <w:tab w:val="right" w:leader="dot" w:pos="4171"/>
        </w:tabs>
        <w:spacing w:line="240" w:lineRule="auto"/>
      </w:pPr>
      <w:r w:rsidRPr="003D1E07">
        <w:t>matematická</w:t>
      </w:r>
      <w:r w:rsidRPr="003D1E07">
        <w:tab/>
        <w:t>235, 365</w:t>
      </w:r>
    </w:p>
    <w:p w14:paraId="7ED9CB90" w14:textId="77777777" w:rsidR="00C04C0A" w:rsidRPr="003D1E07" w:rsidRDefault="00C04C0A" w:rsidP="00C04C0A">
      <w:pPr>
        <w:pStyle w:val="Rejstk1"/>
        <w:tabs>
          <w:tab w:val="right" w:leader="dot" w:pos="4171"/>
        </w:tabs>
        <w:spacing w:line="240" w:lineRule="auto"/>
      </w:pPr>
      <w:r w:rsidRPr="003D1E07">
        <w:t>Abú Bišr Mattá</w:t>
      </w:r>
      <w:r w:rsidRPr="003D1E07">
        <w:tab/>
        <w:t>347</w:t>
      </w:r>
    </w:p>
    <w:p w14:paraId="0463450F" w14:textId="77777777" w:rsidR="00C04C0A" w:rsidRPr="003D1E07" w:rsidRDefault="00C04C0A" w:rsidP="00C04C0A">
      <w:pPr>
        <w:pStyle w:val="Rejstk1"/>
        <w:tabs>
          <w:tab w:val="right" w:leader="dot" w:pos="4171"/>
        </w:tabs>
        <w:spacing w:line="240" w:lineRule="auto"/>
      </w:pPr>
      <w:r w:rsidRPr="003D1E07">
        <w:t>Abu Hanifa</w:t>
      </w:r>
      <w:r w:rsidRPr="003D1E07">
        <w:tab/>
        <w:t>326</w:t>
      </w:r>
    </w:p>
    <w:p w14:paraId="6F5CF9BB" w14:textId="77777777" w:rsidR="00C04C0A" w:rsidRPr="003D1E07" w:rsidRDefault="00C04C0A" w:rsidP="00C04C0A">
      <w:pPr>
        <w:pStyle w:val="Rejstk1"/>
        <w:tabs>
          <w:tab w:val="right" w:leader="dot" w:pos="4171"/>
        </w:tabs>
        <w:spacing w:line="240" w:lineRule="auto"/>
      </w:pPr>
      <w:r w:rsidRPr="003D1E07">
        <w:rPr>
          <w:i/>
        </w:rPr>
        <w:t>actus essendi</w:t>
      </w:r>
      <w:r w:rsidRPr="003D1E07">
        <w:tab/>
        <w:t>118, 364, 402, 409</w:t>
      </w:r>
    </w:p>
    <w:p w14:paraId="5CE57E5B" w14:textId="77777777" w:rsidR="00C04C0A" w:rsidRPr="003D1E07" w:rsidRDefault="00C04C0A" w:rsidP="00C04C0A">
      <w:pPr>
        <w:pStyle w:val="Rejstk1"/>
        <w:tabs>
          <w:tab w:val="right" w:leader="dot" w:pos="4171"/>
        </w:tabs>
        <w:spacing w:line="240" w:lineRule="auto"/>
      </w:pPr>
      <w:r w:rsidRPr="003D1E07">
        <w:rPr>
          <w:i/>
        </w:rPr>
        <w:t>ad mentem Averrois</w:t>
      </w:r>
      <w:r w:rsidRPr="003D1E07">
        <w:tab/>
        <w:t>467</w:t>
      </w:r>
    </w:p>
    <w:p w14:paraId="6B2D59F9" w14:textId="37772D9F" w:rsidR="00C04C0A" w:rsidRPr="003D1E07" w:rsidRDefault="00C04C0A" w:rsidP="00C04C0A">
      <w:pPr>
        <w:pStyle w:val="Rejstk1"/>
        <w:tabs>
          <w:tab w:val="right" w:leader="dot" w:pos="4171"/>
        </w:tabs>
        <w:spacing w:line="240" w:lineRule="auto"/>
      </w:pPr>
      <w:r w:rsidRPr="003D1E07">
        <w:t xml:space="preserve">Aischylos, viz </w:t>
      </w:r>
      <w:r w:rsidRPr="003D1E07">
        <w:rPr>
          <w:i/>
        </w:rPr>
        <w:t>Index locorum</w:t>
      </w:r>
    </w:p>
    <w:p w14:paraId="0C02680E" w14:textId="77777777" w:rsidR="00C04C0A" w:rsidRPr="003D1E07" w:rsidRDefault="00C04C0A" w:rsidP="00C04C0A">
      <w:pPr>
        <w:pStyle w:val="Rejstk1"/>
        <w:tabs>
          <w:tab w:val="right" w:leader="dot" w:pos="4171"/>
        </w:tabs>
        <w:spacing w:line="240" w:lineRule="auto"/>
      </w:pPr>
      <w:r w:rsidRPr="003D1E07">
        <w:t>Akvinský, T.</w:t>
      </w:r>
      <w:r w:rsidRPr="003D1E07">
        <w:tab/>
        <w:t>358</w:t>
      </w:r>
    </w:p>
    <w:p w14:paraId="535EAB44" w14:textId="77777777" w:rsidR="00C04C0A" w:rsidRPr="003D1E07" w:rsidRDefault="00C04C0A" w:rsidP="00C04C0A">
      <w:pPr>
        <w:pStyle w:val="Rejstk1"/>
        <w:tabs>
          <w:tab w:val="right" w:leader="dot" w:pos="4171"/>
        </w:tabs>
        <w:spacing w:line="240" w:lineRule="auto"/>
      </w:pPr>
      <w:r w:rsidRPr="003D1E07">
        <w:rPr>
          <w:lang w:eastAsia="en-US"/>
        </w:rPr>
        <w:t>Albert Veliký</w:t>
      </w:r>
      <w:r w:rsidRPr="003D1E07">
        <w:tab/>
        <w:t>371</w:t>
      </w:r>
    </w:p>
    <w:p w14:paraId="71DD22CC" w14:textId="4FA1F53B" w:rsidR="00C04C0A" w:rsidRPr="003D1E07" w:rsidRDefault="00C04C0A" w:rsidP="00C04C0A">
      <w:pPr>
        <w:pStyle w:val="Rejstk1"/>
        <w:tabs>
          <w:tab w:val="right" w:leader="dot" w:pos="4171"/>
        </w:tabs>
        <w:spacing w:line="240" w:lineRule="auto"/>
      </w:pPr>
      <w:r w:rsidRPr="003D1E07">
        <w:t xml:space="preserve">Alexander Afrodisias, </w:t>
      </w:r>
    </w:p>
    <w:p w14:paraId="4B8CD6CF" w14:textId="403C478C" w:rsidR="00C04C0A" w:rsidRPr="003D1E07" w:rsidRDefault="00C04C0A" w:rsidP="00C04C0A">
      <w:pPr>
        <w:pStyle w:val="Rejstk2"/>
        <w:tabs>
          <w:tab w:val="right" w:leader="dot" w:pos="4171"/>
        </w:tabs>
        <w:spacing w:line="240" w:lineRule="auto"/>
      </w:pPr>
    </w:p>
    <w:p w14:paraId="75198FD9" w14:textId="6F197687" w:rsidR="00C04C0A" w:rsidRPr="003D1E07" w:rsidRDefault="00C04C0A" w:rsidP="00C04C0A">
      <w:pPr>
        <w:pStyle w:val="Rejstk1"/>
        <w:tabs>
          <w:tab w:val="right" w:leader="dot" w:pos="4171"/>
        </w:tabs>
        <w:spacing w:line="240" w:lineRule="auto"/>
      </w:pPr>
      <w:r w:rsidRPr="003D1E07">
        <w:t>Alexander Afrodisias</w:t>
      </w:r>
      <w:r w:rsidRPr="003D1E07">
        <w:tab/>
        <w:t xml:space="preserve">viz </w:t>
      </w:r>
      <w:r w:rsidRPr="003D1E07">
        <w:rPr>
          <w:i/>
        </w:rPr>
        <w:t xml:space="preserve">Index locorum, </w:t>
      </w:r>
      <w:r w:rsidRPr="003D1E07">
        <w:t>131, 132, 136, 147, 170, 185, 189, 217, 254, 347, 348, 349, 357, 361, 363, 367, 384</w:t>
      </w:r>
      <w:r w:rsidR="00B36DB8" w:rsidRPr="003D1E07">
        <w:t>, 393, 398, 408, 411, 417. 424, 480</w:t>
      </w:r>
    </w:p>
    <w:p w14:paraId="3D422114" w14:textId="77777777" w:rsidR="00C04C0A" w:rsidRPr="003D1E07" w:rsidRDefault="00C04C0A" w:rsidP="00C04C0A">
      <w:pPr>
        <w:pStyle w:val="Rejstk1"/>
        <w:tabs>
          <w:tab w:val="right" w:leader="dot" w:pos="4171"/>
        </w:tabs>
        <w:spacing w:line="240" w:lineRule="auto"/>
      </w:pPr>
      <w:r w:rsidRPr="003D1E07">
        <w:t>alexandrovci</w:t>
      </w:r>
      <w:r w:rsidRPr="003D1E07">
        <w:tab/>
        <w:t>266, 343, 374, 388, 398, 408, 423, 424, 432, 438, 459, 467, 469, 487</w:t>
      </w:r>
    </w:p>
    <w:p w14:paraId="2CFBC6AC" w14:textId="0F8C4786" w:rsidR="00C04C0A" w:rsidRPr="003D1E07" w:rsidRDefault="00C04C0A" w:rsidP="00C04C0A">
      <w:pPr>
        <w:pStyle w:val="Rejstk1"/>
        <w:tabs>
          <w:tab w:val="right" w:leader="dot" w:pos="4171"/>
        </w:tabs>
        <w:spacing w:line="240" w:lineRule="auto"/>
      </w:pPr>
      <w:r w:rsidRPr="003D1E07">
        <w:t>Al-Fárábí</w:t>
      </w:r>
      <w:r w:rsidR="00B36DB8" w:rsidRPr="003D1E07">
        <w:t xml:space="preserve">, viz </w:t>
      </w:r>
      <w:r w:rsidR="00B36DB8" w:rsidRPr="003D1E07">
        <w:rPr>
          <w:i/>
        </w:rPr>
        <w:t>Index locorum</w:t>
      </w:r>
    </w:p>
    <w:p w14:paraId="0BA0E661" w14:textId="4C5DA5A2" w:rsidR="00C04C0A" w:rsidRPr="003D1E07" w:rsidRDefault="00C04C0A" w:rsidP="00C04C0A">
      <w:pPr>
        <w:pStyle w:val="Rejstk1"/>
        <w:tabs>
          <w:tab w:val="right" w:leader="dot" w:pos="4171"/>
        </w:tabs>
        <w:spacing w:line="240" w:lineRule="auto"/>
      </w:pPr>
      <w:r w:rsidRPr="003D1E07">
        <w:t>Al-Ghazálí</w:t>
      </w:r>
      <w:r w:rsidRPr="003D1E07">
        <w:tab/>
      </w:r>
      <w:r w:rsidR="00B36DB8" w:rsidRPr="003D1E07">
        <w:t xml:space="preserve">viz </w:t>
      </w:r>
      <w:r w:rsidR="00B36DB8" w:rsidRPr="003D1E07">
        <w:rPr>
          <w:i/>
        </w:rPr>
        <w:t xml:space="preserve">Index locorum, </w:t>
      </w:r>
      <w:r w:rsidRPr="003D1E07">
        <w:t>177, 214, 244, 293, 323, 326, 334, 345, 360, 367, 488, 489, 490</w:t>
      </w:r>
    </w:p>
    <w:p w14:paraId="02605DDD" w14:textId="77777777" w:rsidR="00C04C0A" w:rsidRPr="003D1E07" w:rsidRDefault="00C04C0A" w:rsidP="00C04C0A">
      <w:pPr>
        <w:pStyle w:val="Rejstk1"/>
        <w:tabs>
          <w:tab w:val="right" w:leader="dot" w:pos="4171"/>
        </w:tabs>
        <w:spacing w:line="240" w:lineRule="auto"/>
      </w:pPr>
      <w:r w:rsidRPr="003D1E07">
        <w:rPr>
          <w:i/>
        </w:rPr>
        <w:t>aliud esse</w:t>
      </w:r>
      <w:r w:rsidRPr="003D1E07">
        <w:tab/>
        <w:t>219, 252</w:t>
      </w:r>
    </w:p>
    <w:p w14:paraId="45FD9C7C" w14:textId="77777777" w:rsidR="00C04C0A" w:rsidRPr="003D1E07" w:rsidRDefault="00C04C0A" w:rsidP="00C04C0A">
      <w:pPr>
        <w:pStyle w:val="Rejstk2"/>
        <w:tabs>
          <w:tab w:val="right" w:leader="dot" w:pos="4171"/>
        </w:tabs>
        <w:spacing w:line="240" w:lineRule="auto"/>
      </w:pPr>
      <w:r w:rsidRPr="003D1E07">
        <w:t>Al-Fárábí</w:t>
      </w:r>
      <w:r w:rsidRPr="003D1E07">
        <w:tab/>
        <w:t>306</w:t>
      </w:r>
    </w:p>
    <w:p w14:paraId="2D69198A" w14:textId="77777777" w:rsidR="00C04C0A" w:rsidRPr="003D1E07" w:rsidRDefault="00C04C0A" w:rsidP="00C04C0A">
      <w:pPr>
        <w:pStyle w:val="Rejstk2"/>
        <w:tabs>
          <w:tab w:val="right" w:leader="dot" w:pos="4171"/>
        </w:tabs>
        <w:spacing w:line="240" w:lineRule="auto"/>
      </w:pPr>
      <w:r w:rsidRPr="003D1E07">
        <w:t>Avicenna</w:t>
      </w:r>
      <w:r w:rsidRPr="003D1E07">
        <w:tab/>
        <w:t>259, 284, 293, 295</w:t>
      </w:r>
    </w:p>
    <w:p w14:paraId="3405A178" w14:textId="77777777" w:rsidR="00C04C0A" w:rsidRPr="003D1E07" w:rsidRDefault="00C04C0A" w:rsidP="00C04C0A">
      <w:pPr>
        <w:pStyle w:val="Rejstk1"/>
        <w:tabs>
          <w:tab w:val="right" w:leader="dot" w:pos="4171"/>
        </w:tabs>
        <w:spacing w:line="240" w:lineRule="auto"/>
      </w:pPr>
      <w:r w:rsidRPr="003D1E07">
        <w:t>Alkibiádés</w:t>
      </w:r>
      <w:r w:rsidRPr="003D1E07">
        <w:tab/>
        <w:t>33</w:t>
      </w:r>
    </w:p>
    <w:p w14:paraId="5710465E" w14:textId="77777777" w:rsidR="00C04C0A" w:rsidRPr="003D1E07" w:rsidRDefault="00C04C0A" w:rsidP="00C04C0A">
      <w:pPr>
        <w:pStyle w:val="Rejstk1"/>
        <w:tabs>
          <w:tab w:val="right" w:leader="dot" w:pos="4171"/>
        </w:tabs>
        <w:spacing w:line="240" w:lineRule="auto"/>
      </w:pPr>
      <w:r w:rsidRPr="003D1E07">
        <w:rPr>
          <w:lang w:eastAsia="en-US"/>
        </w:rPr>
        <w:t>Al-Kindí</w:t>
      </w:r>
      <w:r w:rsidRPr="003D1E07">
        <w:tab/>
        <w:t>176, 244, 286, 309, 330, 449, 475</w:t>
      </w:r>
    </w:p>
    <w:p w14:paraId="266872D2" w14:textId="77777777" w:rsidR="00C04C0A" w:rsidRPr="003D1E07" w:rsidRDefault="00C04C0A" w:rsidP="00C04C0A">
      <w:pPr>
        <w:pStyle w:val="Rejstk1"/>
        <w:tabs>
          <w:tab w:val="right" w:leader="dot" w:pos="4171"/>
        </w:tabs>
        <w:spacing w:line="240" w:lineRule="auto"/>
      </w:pPr>
      <w:r w:rsidRPr="003D1E07">
        <w:rPr>
          <w:i/>
        </w:rPr>
        <w:t>al-muʿtazilah</w:t>
      </w:r>
      <w:r w:rsidRPr="003D1E07">
        <w:tab/>
        <w:t>327</w:t>
      </w:r>
    </w:p>
    <w:p w14:paraId="1009A0A2" w14:textId="77777777" w:rsidR="00C04C0A" w:rsidRPr="003D1E07" w:rsidRDefault="00C04C0A" w:rsidP="00C04C0A">
      <w:pPr>
        <w:pStyle w:val="Rejstk1"/>
        <w:tabs>
          <w:tab w:val="right" w:leader="dot" w:pos="4171"/>
        </w:tabs>
        <w:spacing w:line="240" w:lineRule="auto"/>
      </w:pPr>
      <w:r w:rsidRPr="003D1E07">
        <w:t>amfibolia</w:t>
      </w:r>
      <w:r w:rsidRPr="003D1E07">
        <w:tab/>
        <w:t>223, 309</w:t>
      </w:r>
    </w:p>
    <w:p w14:paraId="5C641F1F" w14:textId="168CB3DF" w:rsidR="00C04C0A" w:rsidRPr="003D1E07" w:rsidRDefault="00C04C0A" w:rsidP="00C04C0A">
      <w:pPr>
        <w:pStyle w:val="Rejstk1"/>
        <w:tabs>
          <w:tab w:val="right" w:leader="dot" w:pos="4171"/>
        </w:tabs>
        <w:spacing w:line="240" w:lineRule="auto"/>
      </w:pPr>
      <w:r w:rsidRPr="003D1E07">
        <w:t>Ammonius</w:t>
      </w:r>
      <w:r w:rsidR="00B36DB8" w:rsidRPr="003D1E07">
        <w:t xml:space="preserve">, viz </w:t>
      </w:r>
      <w:r w:rsidR="00B36DB8" w:rsidRPr="003D1E07">
        <w:rPr>
          <w:i/>
        </w:rPr>
        <w:t>Index locorum</w:t>
      </w:r>
    </w:p>
    <w:p w14:paraId="4F036C38" w14:textId="77777777" w:rsidR="00C04C0A" w:rsidRPr="003D1E07" w:rsidRDefault="00C04C0A" w:rsidP="00C04C0A">
      <w:pPr>
        <w:pStyle w:val="Rejstk1"/>
        <w:tabs>
          <w:tab w:val="right" w:leader="dot" w:pos="4171"/>
        </w:tabs>
        <w:spacing w:line="240" w:lineRule="auto"/>
      </w:pPr>
      <w:r w:rsidRPr="003D1E07">
        <w:rPr>
          <w:i/>
        </w:rPr>
        <w:t>analogia entis</w:t>
      </w:r>
      <w:r w:rsidRPr="003D1E07">
        <w:tab/>
        <w:t>125, 334, 366, 484</w:t>
      </w:r>
    </w:p>
    <w:p w14:paraId="515B70E4" w14:textId="77777777" w:rsidR="00C04C0A" w:rsidRPr="003D1E07" w:rsidRDefault="00C04C0A" w:rsidP="00C04C0A">
      <w:pPr>
        <w:pStyle w:val="Rejstk1"/>
        <w:tabs>
          <w:tab w:val="right" w:leader="dot" w:pos="4171"/>
        </w:tabs>
        <w:spacing w:line="240" w:lineRule="auto"/>
      </w:pPr>
      <w:r w:rsidRPr="003D1E07">
        <w:t>analogie</w:t>
      </w:r>
    </w:p>
    <w:p w14:paraId="3C06BEC8" w14:textId="77777777" w:rsidR="00C04C0A" w:rsidRPr="003D1E07" w:rsidRDefault="00C04C0A" w:rsidP="00C04C0A">
      <w:pPr>
        <w:pStyle w:val="Rejstk2"/>
        <w:tabs>
          <w:tab w:val="right" w:leader="dot" w:pos="4171"/>
        </w:tabs>
        <w:spacing w:line="240" w:lineRule="auto"/>
      </w:pPr>
      <w:r w:rsidRPr="003D1E07">
        <w:t>Jamblichos</w:t>
      </w:r>
      <w:r w:rsidRPr="003D1E07">
        <w:tab/>
        <w:t>125, 126</w:t>
      </w:r>
    </w:p>
    <w:p w14:paraId="69D1E455" w14:textId="77777777" w:rsidR="00C04C0A" w:rsidRPr="003D1E07" w:rsidRDefault="00C04C0A" w:rsidP="00C04C0A">
      <w:pPr>
        <w:pStyle w:val="Rejstk2"/>
        <w:tabs>
          <w:tab w:val="right" w:leader="dot" w:pos="4171"/>
        </w:tabs>
        <w:spacing w:line="240" w:lineRule="auto"/>
      </w:pPr>
      <w:r w:rsidRPr="003D1E07">
        <w:t>matematická</w:t>
      </w:r>
      <w:r w:rsidRPr="003D1E07">
        <w:tab/>
        <w:t>166</w:t>
      </w:r>
    </w:p>
    <w:p w14:paraId="34317D60" w14:textId="77777777" w:rsidR="00C04C0A" w:rsidRPr="003D1E07" w:rsidRDefault="00C04C0A" w:rsidP="00C04C0A">
      <w:pPr>
        <w:pStyle w:val="Rejstk1"/>
        <w:tabs>
          <w:tab w:val="right" w:leader="dot" w:pos="4171"/>
        </w:tabs>
        <w:spacing w:line="240" w:lineRule="auto"/>
      </w:pPr>
      <w:r w:rsidRPr="003D1E07">
        <w:t>Andronikos z Rhodu</w:t>
      </w:r>
      <w:r w:rsidRPr="003D1E07">
        <w:tab/>
        <w:t>356</w:t>
      </w:r>
    </w:p>
    <w:p w14:paraId="69A3A650" w14:textId="77777777" w:rsidR="00C04C0A" w:rsidRPr="003D1E07" w:rsidRDefault="00C04C0A" w:rsidP="00C04C0A">
      <w:pPr>
        <w:pStyle w:val="Rejstk1"/>
        <w:tabs>
          <w:tab w:val="right" w:leader="dot" w:pos="4171"/>
        </w:tabs>
        <w:spacing w:line="240" w:lineRule="auto"/>
      </w:pPr>
      <w:r w:rsidRPr="003D1E07">
        <w:rPr>
          <w:i/>
        </w:rPr>
        <w:t>Anfang</w:t>
      </w:r>
      <w:r w:rsidRPr="003D1E07">
        <w:tab/>
        <w:t>168, 231</w:t>
      </w:r>
    </w:p>
    <w:p w14:paraId="46302E1E" w14:textId="77777777" w:rsidR="00C04C0A" w:rsidRPr="003D1E07" w:rsidRDefault="00C04C0A" w:rsidP="00C04C0A">
      <w:pPr>
        <w:pStyle w:val="Rejstk1"/>
        <w:tabs>
          <w:tab w:val="right" w:leader="dot" w:pos="4171"/>
        </w:tabs>
        <w:spacing w:line="240" w:lineRule="auto"/>
      </w:pPr>
      <w:r w:rsidRPr="003D1E07">
        <w:rPr>
          <w:i/>
        </w:rPr>
        <w:t>Anfang/Beginn</w:t>
      </w:r>
      <w:r w:rsidRPr="003D1E07">
        <w:tab/>
        <w:t>35, 63, 354</w:t>
      </w:r>
    </w:p>
    <w:p w14:paraId="416613AF" w14:textId="77777777" w:rsidR="00C04C0A" w:rsidRPr="003D1E07" w:rsidRDefault="00C04C0A" w:rsidP="00C04C0A">
      <w:pPr>
        <w:pStyle w:val="Rejstk1"/>
        <w:tabs>
          <w:tab w:val="right" w:leader="dot" w:pos="4171"/>
        </w:tabs>
        <w:spacing w:line="240" w:lineRule="auto"/>
      </w:pPr>
      <w:r w:rsidRPr="003D1E07">
        <w:t>Anselm z Canterbury</w:t>
      </w:r>
      <w:r w:rsidRPr="003D1E07">
        <w:tab/>
        <w:t>151</w:t>
      </w:r>
    </w:p>
    <w:p w14:paraId="040DF1CD" w14:textId="77777777" w:rsidR="00C04C0A" w:rsidRPr="003D1E07" w:rsidRDefault="00C04C0A" w:rsidP="00C04C0A">
      <w:pPr>
        <w:pStyle w:val="Rejstk1"/>
        <w:tabs>
          <w:tab w:val="right" w:leader="dot" w:pos="4171"/>
        </w:tabs>
        <w:spacing w:line="240" w:lineRule="auto"/>
      </w:pPr>
      <w:r w:rsidRPr="003D1E07">
        <w:t>antropocén</w:t>
      </w:r>
      <w:r w:rsidRPr="003D1E07">
        <w:tab/>
        <w:t>174, 438</w:t>
      </w:r>
    </w:p>
    <w:p w14:paraId="2601F50E" w14:textId="77777777" w:rsidR="00C04C0A" w:rsidRPr="003D1E07" w:rsidRDefault="00C04C0A" w:rsidP="00C04C0A">
      <w:pPr>
        <w:pStyle w:val="Rejstk1"/>
        <w:tabs>
          <w:tab w:val="right" w:leader="dot" w:pos="4171"/>
        </w:tabs>
        <w:spacing w:line="240" w:lineRule="auto"/>
      </w:pPr>
      <w:r w:rsidRPr="003D1E07">
        <w:rPr>
          <w:i/>
        </w:rPr>
        <w:t>apaideusía</w:t>
      </w:r>
      <w:r w:rsidRPr="003D1E07">
        <w:tab/>
        <w:t>73, 106, 376</w:t>
      </w:r>
    </w:p>
    <w:p w14:paraId="3422DAAD" w14:textId="77777777" w:rsidR="00C04C0A" w:rsidRPr="003D1E07" w:rsidRDefault="00C04C0A" w:rsidP="00C04C0A">
      <w:pPr>
        <w:pStyle w:val="Rejstk1"/>
        <w:tabs>
          <w:tab w:val="right" w:leader="dot" w:pos="4171"/>
        </w:tabs>
        <w:spacing w:line="240" w:lineRule="auto"/>
      </w:pPr>
      <w:r w:rsidRPr="003D1E07">
        <w:t>Apaté</w:t>
      </w:r>
      <w:r w:rsidRPr="003D1E07">
        <w:tab/>
        <w:t>68</w:t>
      </w:r>
    </w:p>
    <w:p w14:paraId="382BE85A" w14:textId="77777777" w:rsidR="00C04C0A" w:rsidRPr="003D1E07" w:rsidRDefault="00C04C0A" w:rsidP="00C04C0A">
      <w:pPr>
        <w:pStyle w:val="Rejstk1"/>
        <w:tabs>
          <w:tab w:val="right" w:leader="dot" w:pos="4171"/>
        </w:tabs>
        <w:spacing w:line="240" w:lineRule="auto"/>
      </w:pPr>
      <w:r w:rsidRPr="003D1E07">
        <w:t>apodiktické zkoumání</w:t>
      </w:r>
      <w:r w:rsidRPr="003D1E07">
        <w:tab/>
        <w:t>362</w:t>
      </w:r>
    </w:p>
    <w:p w14:paraId="077DA5CE" w14:textId="77777777" w:rsidR="00C04C0A" w:rsidRPr="003D1E07" w:rsidRDefault="00C04C0A" w:rsidP="00C04C0A">
      <w:pPr>
        <w:pStyle w:val="Rejstk1"/>
        <w:tabs>
          <w:tab w:val="right" w:leader="dot" w:pos="4171"/>
        </w:tabs>
        <w:spacing w:line="240" w:lineRule="auto"/>
      </w:pPr>
      <w:r w:rsidRPr="003D1E07">
        <w:rPr>
          <w:i/>
        </w:rPr>
        <w:t>Arbor Porphyriana</w:t>
      </w:r>
      <w:r w:rsidRPr="003D1E07">
        <w:tab/>
        <w:t>88, 97, 104, 105, 297, 420</w:t>
      </w:r>
    </w:p>
    <w:p w14:paraId="7A4E92E5" w14:textId="77777777" w:rsidR="00C04C0A" w:rsidRPr="003D1E07" w:rsidRDefault="00C04C0A" w:rsidP="00C04C0A">
      <w:pPr>
        <w:pStyle w:val="Rejstk1"/>
        <w:tabs>
          <w:tab w:val="right" w:leader="dot" w:pos="4171"/>
        </w:tabs>
        <w:spacing w:line="240" w:lineRule="auto"/>
      </w:pPr>
      <w:r w:rsidRPr="003D1E07">
        <w:t>Archytás</w:t>
      </w:r>
      <w:r w:rsidRPr="003D1E07">
        <w:tab/>
        <w:t>27, 140, 157, 167</w:t>
      </w:r>
    </w:p>
    <w:p w14:paraId="33664AD6" w14:textId="77777777" w:rsidR="00C04C0A" w:rsidRPr="003D1E07" w:rsidRDefault="00C04C0A" w:rsidP="00C04C0A">
      <w:pPr>
        <w:pStyle w:val="Rejstk1"/>
        <w:tabs>
          <w:tab w:val="right" w:leader="dot" w:pos="4171"/>
        </w:tabs>
        <w:spacing w:line="240" w:lineRule="auto"/>
      </w:pPr>
      <w:r w:rsidRPr="003D1E07">
        <w:t>Aristofanes</w:t>
      </w:r>
      <w:r w:rsidRPr="003D1E07">
        <w:tab/>
        <w:t>26</w:t>
      </w:r>
    </w:p>
    <w:p w14:paraId="7651C017" w14:textId="6743291A" w:rsidR="00C04C0A" w:rsidRPr="003D1E07" w:rsidRDefault="00C04C0A" w:rsidP="00C04C0A">
      <w:pPr>
        <w:pStyle w:val="Rejstk1"/>
        <w:tabs>
          <w:tab w:val="right" w:leader="dot" w:pos="4171"/>
        </w:tabs>
        <w:spacing w:line="240" w:lineRule="auto"/>
      </w:pPr>
      <w:r w:rsidRPr="003D1E07">
        <w:t>Aristoteles</w:t>
      </w:r>
      <w:r w:rsidR="00B36DB8" w:rsidRPr="003D1E07">
        <w:t xml:space="preserve">, viz </w:t>
      </w:r>
      <w:r w:rsidR="00B36DB8" w:rsidRPr="003D1E07">
        <w:rPr>
          <w:i/>
        </w:rPr>
        <w:t>Index locorum</w:t>
      </w:r>
    </w:p>
    <w:p w14:paraId="398E9DE3" w14:textId="6B753434" w:rsidR="0033119B" w:rsidRPr="003D1E07" w:rsidRDefault="00C04C0A" w:rsidP="0033119B">
      <w:pPr>
        <w:pStyle w:val="Rejstk1"/>
        <w:tabs>
          <w:tab w:val="right" w:leader="dot" w:pos="4171"/>
        </w:tabs>
        <w:spacing w:line="240" w:lineRule="auto"/>
      </w:pPr>
      <w:r w:rsidRPr="003D1E07">
        <w:t>Arnauld</w:t>
      </w:r>
      <w:r w:rsidR="0033119B" w:rsidRPr="003D1E07">
        <w:t>, A.</w:t>
      </w:r>
      <w:r w:rsidR="0033119B" w:rsidRPr="003D1E07">
        <w:tab/>
        <w:t xml:space="preserve">viz </w:t>
      </w:r>
      <w:r w:rsidR="0033119B" w:rsidRPr="003D1E07">
        <w:rPr>
          <w:i/>
        </w:rPr>
        <w:t xml:space="preserve">Index locorum, </w:t>
      </w:r>
      <w:r w:rsidR="0033119B" w:rsidRPr="003D1E07">
        <w:t>446, 447, 449, 470</w:t>
      </w:r>
    </w:p>
    <w:p w14:paraId="557F3522" w14:textId="4531F578" w:rsidR="00C04C0A" w:rsidRPr="003D1E07" w:rsidRDefault="00C04C0A" w:rsidP="00C04C0A">
      <w:pPr>
        <w:pStyle w:val="Rejstk1"/>
        <w:tabs>
          <w:tab w:val="right" w:leader="dot" w:pos="4171"/>
        </w:tabs>
        <w:spacing w:line="240" w:lineRule="auto"/>
      </w:pPr>
      <w:r w:rsidRPr="003D1E07">
        <w:t>Arnauld, A.</w:t>
      </w:r>
      <w:r w:rsidRPr="003D1E07">
        <w:tab/>
      </w:r>
    </w:p>
    <w:p w14:paraId="0C263E0F" w14:textId="77777777" w:rsidR="00C04C0A" w:rsidRPr="003D1E07" w:rsidRDefault="00C04C0A" w:rsidP="00C04C0A">
      <w:pPr>
        <w:pStyle w:val="Rejstk1"/>
        <w:tabs>
          <w:tab w:val="right" w:leader="dot" w:pos="4171"/>
        </w:tabs>
        <w:spacing w:line="240" w:lineRule="auto"/>
      </w:pPr>
      <w:r w:rsidRPr="003D1E07">
        <w:rPr>
          <w:i/>
        </w:rPr>
        <w:t>Aufhebung</w:t>
      </w:r>
      <w:r w:rsidRPr="003D1E07">
        <w:tab/>
        <w:t>131, 267</w:t>
      </w:r>
    </w:p>
    <w:p w14:paraId="32277DB9" w14:textId="77777777" w:rsidR="00C04C0A" w:rsidRPr="003D1E07" w:rsidRDefault="00C04C0A" w:rsidP="00C04C0A">
      <w:pPr>
        <w:pStyle w:val="Rejstk1"/>
        <w:tabs>
          <w:tab w:val="right" w:leader="dot" w:pos="4171"/>
        </w:tabs>
        <w:spacing w:line="240" w:lineRule="auto"/>
      </w:pPr>
      <w:r w:rsidRPr="003D1E07">
        <w:t>Avendauth</w:t>
      </w:r>
      <w:r w:rsidRPr="003D1E07">
        <w:tab/>
        <w:t>274</w:t>
      </w:r>
    </w:p>
    <w:p w14:paraId="4A51A3CE" w14:textId="77777777" w:rsidR="0033119B" w:rsidRPr="003D1E07" w:rsidRDefault="00C04C0A" w:rsidP="0033119B">
      <w:pPr>
        <w:pStyle w:val="Rejstk1"/>
        <w:tabs>
          <w:tab w:val="right" w:leader="dot" w:pos="4171"/>
        </w:tabs>
        <w:spacing w:line="240" w:lineRule="auto"/>
      </w:pPr>
      <w:r w:rsidRPr="003D1E07">
        <w:t>Averroes</w:t>
      </w:r>
      <w:r w:rsidR="0033119B" w:rsidRPr="003D1E07">
        <w:t xml:space="preserve">, viz </w:t>
      </w:r>
      <w:r w:rsidR="0033119B" w:rsidRPr="003D1E07">
        <w:rPr>
          <w:i/>
        </w:rPr>
        <w:t>Index locorum</w:t>
      </w:r>
    </w:p>
    <w:p w14:paraId="119A1277" w14:textId="77777777" w:rsidR="00C04C0A" w:rsidRPr="003D1E07" w:rsidRDefault="00C04C0A" w:rsidP="00C04C0A">
      <w:pPr>
        <w:pStyle w:val="Rejstk1"/>
        <w:tabs>
          <w:tab w:val="right" w:leader="dot" w:pos="4171"/>
        </w:tabs>
        <w:spacing w:line="240" w:lineRule="auto"/>
      </w:pPr>
      <w:r w:rsidRPr="003D1E07">
        <w:t>averroismus</w:t>
      </w:r>
    </w:p>
    <w:p w14:paraId="5EC32390" w14:textId="77777777" w:rsidR="00C04C0A" w:rsidRPr="003D1E07" w:rsidRDefault="00C04C0A" w:rsidP="00C04C0A">
      <w:pPr>
        <w:pStyle w:val="Rejstk2"/>
        <w:tabs>
          <w:tab w:val="right" w:leader="dot" w:pos="4171"/>
        </w:tabs>
        <w:spacing w:line="240" w:lineRule="auto"/>
      </w:pPr>
      <w:r w:rsidRPr="003D1E07">
        <w:t>latinský</w:t>
      </w:r>
      <w:r w:rsidRPr="003D1E07">
        <w:tab/>
        <w:t>344</w:t>
      </w:r>
    </w:p>
    <w:p w14:paraId="7F383E53" w14:textId="77777777" w:rsidR="00C04C0A" w:rsidRPr="003D1E07" w:rsidRDefault="00C04C0A" w:rsidP="00C04C0A">
      <w:pPr>
        <w:pStyle w:val="Rejstk2"/>
        <w:tabs>
          <w:tab w:val="right" w:leader="dot" w:pos="4171"/>
        </w:tabs>
        <w:spacing w:line="240" w:lineRule="auto"/>
      </w:pPr>
      <w:r w:rsidRPr="003D1E07">
        <w:rPr>
          <w:i/>
        </w:rPr>
        <w:t>Moderni</w:t>
      </w:r>
      <w:r w:rsidRPr="003D1E07">
        <w:tab/>
        <w:t>221, 343, 344, 371, 374</w:t>
      </w:r>
    </w:p>
    <w:p w14:paraId="2BBBEF63" w14:textId="77777777" w:rsidR="00C04C0A" w:rsidRPr="003D1E07" w:rsidRDefault="00C04C0A" w:rsidP="00C04C0A">
      <w:pPr>
        <w:pStyle w:val="Rejstk1"/>
        <w:tabs>
          <w:tab w:val="right" w:leader="dot" w:pos="4171"/>
        </w:tabs>
        <w:spacing w:line="240" w:lineRule="auto"/>
      </w:pPr>
      <w:r w:rsidRPr="003D1E07">
        <w:lastRenderedPageBreak/>
        <w:t>Avicebron</w:t>
      </w:r>
      <w:r w:rsidRPr="003D1E07">
        <w:tab/>
        <w:t>165</w:t>
      </w:r>
    </w:p>
    <w:p w14:paraId="46B83EFF" w14:textId="66FE445C" w:rsidR="00C04C0A" w:rsidRPr="003D1E07" w:rsidRDefault="00C04C0A" w:rsidP="00245D71">
      <w:pPr>
        <w:pStyle w:val="Rejstk1"/>
        <w:tabs>
          <w:tab w:val="right" w:leader="dot" w:pos="4171"/>
        </w:tabs>
        <w:spacing w:line="240" w:lineRule="auto"/>
      </w:pPr>
      <w:r w:rsidRPr="003D1E07">
        <w:t>Avicenna</w:t>
      </w:r>
      <w:r w:rsidR="00245D71" w:rsidRPr="003D1E07">
        <w:t xml:space="preserve">, </w:t>
      </w:r>
      <w:r w:rsidRPr="003D1E07">
        <w:t xml:space="preserve">viz </w:t>
      </w:r>
      <w:r w:rsidRPr="003D1E07">
        <w:rPr>
          <w:i/>
        </w:rPr>
        <w:t>Index locorum</w:t>
      </w:r>
    </w:p>
    <w:p w14:paraId="2555914F" w14:textId="77777777" w:rsidR="00C04C0A" w:rsidRPr="003D1E07" w:rsidRDefault="00C04C0A" w:rsidP="00C04C0A">
      <w:pPr>
        <w:pStyle w:val="Hlavikarejstku"/>
        <w:keepNext/>
        <w:tabs>
          <w:tab w:val="right" w:leader="dot" w:pos="4171"/>
        </w:tabs>
        <w:spacing w:line="240" w:lineRule="auto"/>
        <w:rPr>
          <w:rFonts w:eastAsia="Times New Roman" w:cs="Times New Roman"/>
          <w:b w:val="0"/>
          <w:bCs w:val="0"/>
        </w:rPr>
      </w:pPr>
      <w:r w:rsidRPr="003D1E07">
        <w:t>B</w:t>
      </w:r>
    </w:p>
    <w:p w14:paraId="5EB440EA" w14:textId="77777777" w:rsidR="00C04C0A" w:rsidRPr="003D1E07" w:rsidRDefault="00C04C0A" w:rsidP="00C04C0A">
      <w:pPr>
        <w:pStyle w:val="Rejstk1"/>
        <w:tabs>
          <w:tab w:val="right" w:leader="dot" w:pos="4171"/>
        </w:tabs>
        <w:spacing w:line="240" w:lineRule="auto"/>
      </w:pPr>
      <w:r w:rsidRPr="003D1E07">
        <w:t>Bacon, R.</w:t>
      </w:r>
      <w:r w:rsidRPr="003D1E07">
        <w:tab/>
        <w:t>371</w:t>
      </w:r>
    </w:p>
    <w:p w14:paraId="442B3A35" w14:textId="77777777" w:rsidR="00C04C0A" w:rsidRPr="003D1E07" w:rsidRDefault="00C04C0A" w:rsidP="00C04C0A">
      <w:pPr>
        <w:pStyle w:val="Rejstk1"/>
        <w:tabs>
          <w:tab w:val="right" w:leader="dot" w:pos="4171"/>
        </w:tabs>
        <w:spacing w:line="240" w:lineRule="auto"/>
      </w:pPr>
      <w:r w:rsidRPr="003D1E07">
        <w:rPr>
          <w:i/>
        </w:rPr>
        <w:t>Bajt al-Hikma</w:t>
      </w:r>
      <w:r w:rsidRPr="003D1E07">
        <w:tab/>
        <w:t>216, 241, 250, 328, 478</w:t>
      </w:r>
    </w:p>
    <w:p w14:paraId="4964DDFE" w14:textId="77777777" w:rsidR="00C04C0A" w:rsidRPr="003D1E07" w:rsidRDefault="00C04C0A" w:rsidP="00C04C0A">
      <w:pPr>
        <w:pStyle w:val="Rejstk1"/>
        <w:tabs>
          <w:tab w:val="right" w:leader="dot" w:pos="4171"/>
        </w:tabs>
        <w:spacing w:line="240" w:lineRule="auto"/>
      </w:pPr>
      <w:r w:rsidRPr="003D1E07">
        <w:rPr>
          <w:i/>
        </w:rPr>
        <w:t>Beginn</w:t>
      </w:r>
      <w:r w:rsidRPr="003D1E07">
        <w:tab/>
        <w:t>168</w:t>
      </w:r>
    </w:p>
    <w:p w14:paraId="3DA531D7" w14:textId="77777777" w:rsidR="00C04C0A" w:rsidRPr="003D1E07" w:rsidRDefault="00C04C0A" w:rsidP="00C04C0A">
      <w:pPr>
        <w:pStyle w:val="Rejstk1"/>
        <w:tabs>
          <w:tab w:val="right" w:leader="dot" w:pos="4171"/>
        </w:tabs>
        <w:spacing w:line="240" w:lineRule="auto"/>
      </w:pPr>
      <w:r w:rsidRPr="003D1E07">
        <w:t>Berkeley, G.</w:t>
      </w:r>
      <w:r w:rsidRPr="003D1E07">
        <w:tab/>
        <w:t>481</w:t>
      </w:r>
    </w:p>
    <w:p w14:paraId="0575D369" w14:textId="77777777" w:rsidR="00C04C0A" w:rsidRPr="003D1E07" w:rsidRDefault="00C04C0A" w:rsidP="00C04C0A">
      <w:pPr>
        <w:pStyle w:val="Rejstk1"/>
        <w:tabs>
          <w:tab w:val="right" w:leader="dot" w:pos="4171"/>
        </w:tabs>
        <w:spacing w:line="240" w:lineRule="auto"/>
      </w:pPr>
      <w:r w:rsidRPr="003D1E07">
        <w:rPr>
          <w:i/>
        </w:rPr>
        <w:t>bête-machine</w:t>
      </w:r>
      <w:r w:rsidRPr="003D1E07">
        <w:tab/>
        <w:t>400, 467</w:t>
      </w:r>
    </w:p>
    <w:p w14:paraId="143C0F81" w14:textId="77777777" w:rsidR="00C04C0A" w:rsidRPr="003D1E07" w:rsidRDefault="00C04C0A" w:rsidP="00C04C0A">
      <w:pPr>
        <w:pStyle w:val="Rejstk1"/>
        <w:tabs>
          <w:tab w:val="right" w:leader="dot" w:pos="4171"/>
        </w:tabs>
        <w:spacing w:line="240" w:lineRule="auto"/>
      </w:pPr>
      <w:r w:rsidRPr="003D1E07">
        <w:rPr>
          <w:i/>
          <w:iCs/>
        </w:rPr>
        <w:t>Bezugssinn</w:t>
      </w:r>
      <w:r w:rsidRPr="003D1E07">
        <w:tab/>
        <w:t>15, 183, 360</w:t>
      </w:r>
    </w:p>
    <w:p w14:paraId="5F2B8FB8" w14:textId="77777777" w:rsidR="00C04C0A" w:rsidRPr="003D1E07" w:rsidRDefault="00C04C0A" w:rsidP="00C04C0A">
      <w:pPr>
        <w:pStyle w:val="Rejstk1"/>
        <w:tabs>
          <w:tab w:val="right" w:leader="dot" w:pos="4171"/>
        </w:tabs>
        <w:spacing w:line="240" w:lineRule="auto"/>
      </w:pPr>
      <w:r w:rsidRPr="003D1E07">
        <w:rPr>
          <w:i/>
        </w:rPr>
        <w:t>Big</w:t>
      </w:r>
      <w:r w:rsidRPr="003D1E07">
        <w:t xml:space="preserve"> </w:t>
      </w:r>
      <w:r w:rsidRPr="003D1E07">
        <w:rPr>
          <w:i/>
        </w:rPr>
        <w:t>Bang</w:t>
      </w:r>
      <w:r w:rsidRPr="003D1E07">
        <w:tab/>
        <w:t>63</w:t>
      </w:r>
    </w:p>
    <w:p w14:paraId="2535671A" w14:textId="77777777" w:rsidR="00C04C0A" w:rsidRPr="003D1E07" w:rsidRDefault="00C04C0A" w:rsidP="00C04C0A">
      <w:pPr>
        <w:pStyle w:val="Rejstk1"/>
        <w:tabs>
          <w:tab w:val="right" w:leader="dot" w:pos="4171"/>
        </w:tabs>
        <w:spacing w:line="240" w:lineRule="auto"/>
      </w:pPr>
      <w:r w:rsidRPr="003D1E07">
        <w:rPr>
          <w:i/>
        </w:rPr>
        <w:t>Bildung</w:t>
      </w:r>
      <w:r w:rsidRPr="003D1E07">
        <w:tab/>
        <w:t>31</w:t>
      </w:r>
    </w:p>
    <w:p w14:paraId="0CC12172" w14:textId="77777777" w:rsidR="00C04C0A" w:rsidRPr="003D1E07" w:rsidRDefault="00C04C0A" w:rsidP="00C04C0A">
      <w:pPr>
        <w:pStyle w:val="Rejstk1"/>
        <w:tabs>
          <w:tab w:val="right" w:leader="dot" w:pos="4171"/>
        </w:tabs>
        <w:spacing w:line="240" w:lineRule="auto"/>
      </w:pPr>
      <w:r w:rsidRPr="003D1E07">
        <w:t>Blund, J.</w:t>
      </w:r>
      <w:r w:rsidRPr="003D1E07">
        <w:tab/>
        <w:t>192, 196, 226, 230, 324, 328, 467</w:t>
      </w:r>
    </w:p>
    <w:p w14:paraId="6EA6CDC9" w14:textId="56FEB0A9" w:rsidR="00F92F08" w:rsidRPr="003D1E07" w:rsidRDefault="00C04C0A" w:rsidP="00F92F08">
      <w:pPr>
        <w:pStyle w:val="Rejstk1"/>
        <w:tabs>
          <w:tab w:val="right" w:leader="dot" w:pos="4171"/>
        </w:tabs>
        <w:spacing w:line="240" w:lineRule="auto"/>
      </w:pPr>
      <w:r w:rsidRPr="003D1E07">
        <w:t>Boethius</w:t>
      </w:r>
      <w:r w:rsidR="00077DA6" w:rsidRPr="003D1E07">
        <w:t xml:space="preserve">, </w:t>
      </w:r>
      <w:r w:rsidR="00F92F08" w:rsidRPr="003D1E07">
        <w:t xml:space="preserve">viz </w:t>
      </w:r>
      <w:r w:rsidR="00F92F08" w:rsidRPr="003D1E07">
        <w:rPr>
          <w:i/>
        </w:rPr>
        <w:t>Index locorum</w:t>
      </w:r>
    </w:p>
    <w:p w14:paraId="3FFA1F1A" w14:textId="77777777" w:rsidR="00C04C0A" w:rsidRPr="003D1E07" w:rsidRDefault="00C04C0A" w:rsidP="00C04C0A">
      <w:pPr>
        <w:pStyle w:val="Rejstk1"/>
        <w:tabs>
          <w:tab w:val="right" w:leader="dot" w:pos="4171"/>
        </w:tabs>
        <w:spacing w:line="240" w:lineRule="auto"/>
      </w:pPr>
      <w:r w:rsidRPr="003D1E07">
        <w:rPr>
          <w:lang w:eastAsia="en-US"/>
        </w:rPr>
        <w:t>Boethius z Dácie</w:t>
      </w:r>
      <w:r w:rsidRPr="003D1E07">
        <w:tab/>
        <w:t>488</w:t>
      </w:r>
    </w:p>
    <w:p w14:paraId="7987EDC0" w14:textId="77777777" w:rsidR="00C04C0A" w:rsidRPr="003D1E07" w:rsidRDefault="00C04C0A" w:rsidP="00C04C0A">
      <w:pPr>
        <w:pStyle w:val="Rejstk1"/>
        <w:tabs>
          <w:tab w:val="right" w:leader="dot" w:pos="4171"/>
        </w:tabs>
        <w:spacing w:line="240" w:lineRule="auto"/>
      </w:pPr>
      <w:r w:rsidRPr="003D1E07">
        <w:rPr>
          <w:lang w:eastAsia="en-US"/>
        </w:rPr>
        <w:t>Boethius, Anicius</w:t>
      </w:r>
      <w:r w:rsidRPr="003D1E07">
        <w:tab/>
        <w:t>170</w:t>
      </w:r>
    </w:p>
    <w:p w14:paraId="6EB8DFA0" w14:textId="77777777" w:rsidR="00C04C0A" w:rsidRPr="003D1E07" w:rsidRDefault="00C04C0A" w:rsidP="00C04C0A">
      <w:pPr>
        <w:pStyle w:val="Rejstk1"/>
        <w:tabs>
          <w:tab w:val="right" w:leader="dot" w:pos="4171"/>
        </w:tabs>
        <w:spacing w:line="240" w:lineRule="auto"/>
      </w:pPr>
      <w:r w:rsidRPr="003D1E07">
        <w:t>Bonaventura</w:t>
      </w:r>
      <w:r w:rsidRPr="003D1E07">
        <w:tab/>
        <w:t>481</w:t>
      </w:r>
    </w:p>
    <w:p w14:paraId="4567E726" w14:textId="77777777" w:rsidR="00C04C0A" w:rsidRPr="003D1E07" w:rsidRDefault="00C04C0A" w:rsidP="00C04C0A">
      <w:pPr>
        <w:pStyle w:val="Rejstk1"/>
        <w:tabs>
          <w:tab w:val="right" w:leader="dot" w:pos="4171"/>
        </w:tabs>
        <w:spacing w:line="240" w:lineRule="auto"/>
      </w:pPr>
      <w:r w:rsidRPr="003D1E07">
        <w:rPr>
          <w:i/>
        </w:rPr>
        <w:t>Book of Divinity</w:t>
      </w:r>
      <w:r w:rsidRPr="003D1E07">
        <w:tab/>
        <w:t>182</w:t>
      </w:r>
    </w:p>
    <w:p w14:paraId="3E1B778B" w14:textId="77777777" w:rsidR="00C04C0A" w:rsidRPr="003D1E07" w:rsidRDefault="00C04C0A" w:rsidP="00C04C0A">
      <w:pPr>
        <w:pStyle w:val="Rejstk1"/>
        <w:tabs>
          <w:tab w:val="right" w:leader="dot" w:pos="4171"/>
        </w:tabs>
        <w:spacing w:line="240" w:lineRule="auto"/>
      </w:pPr>
      <w:r w:rsidRPr="003D1E07">
        <w:t>boží muž</w:t>
      </w:r>
      <w:r w:rsidRPr="003D1E07">
        <w:tab/>
        <w:t>167</w:t>
      </w:r>
    </w:p>
    <w:p w14:paraId="3EC5E810" w14:textId="77777777" w:rsidR="00C04C0A" w:rsidRPr="003D1E07" w:rsidRDefault="00C04C0A" w:rsidP="00C04C0A">
      <w:pPr>
        <w:pStyle w:val="Rejstk1"/>
        <w:tabs>
          <w:tab w:val="right" w:leader="dot" w:pos="4171"/>
        </w:tabs>
        <w:spacing w:line="240" w:lineRule="auto"/>
      </w:pPr>
      <w:r w:rsidRPr="003D1E07">
        <w:rPr>
          <w:lang w:eastAsia="en-US"/>
        </w:rPr>
        <w:t>Boží Trojice</w:t>
      </w:r>
      <w:r w:rsidRPr="003D1E07">
        <w:tab/>
        <w:t>243, 244, 245, 247, 248, 279, 317, 330</w:t>
      </w:r>
    </w:p>
    <w:p w14:paraId="49647C1D" w14:textId="77777777" w:rsidR="00C04C0A" w:rsidRPr="003D1E07" w:rsidRDefault="00C04C0A" w:rsidP="00C04C0A">
      <w:pPr>
        <w:pStyle w:val="Rejstk1"/>
        <w:tabs>
          <w:tab w:val="right" w:leader="dot" w:pos="4171"/>
        </w:tabs>
        <w:spacing w:line="240" w:lineRule="auto"/>
      </w:pPr>
      <w:r w:rsidRPr="003D1E07">
        <w:t>božská komedie</w:t>
      </w:r>
      <w:r w:rsidRPr="003D1E07">
        <w:tab/>
        <w:t>68, 167, 174</w:t>
      </w:r>
    </w:p>
    <w:p w14:paraId="2EFA3742" w14:textId="77777777" w:rsidR="00C04C0A" w:rsidRPr="003D1E07" w:rsidRDefault="00C04C0A" w:rsidP="00C04C0A">
      <w:pPr>
        <w:pStyle w:val="Rejstk1"/>
        <w:tabs>
          <w:tab w:val="right" w:leader="dot" w:pos="4171"/>
        </w:tabs>
        <w:spacing w:line="240" w:lineRule="auto"/>
      </w:pPr>
      <w:r w:rsidRPr="003D1E07">
        <w:rPr>
          <w:i/>
        </w:rPr>
        <w:t>Brain in a Vat</w:t>
      </w:r>
      <w:r w:rsidRPr="003D1E07">
        <w:tab/>
        <w:t>265</w:t>
      </w:r>
    </w:p>
    <w:p w14:paraId="5026A6D5" w14:textId="77777777" w:rsidR="00C04C0A" w:rsidRPr="003D1E07" w:rsidRDefault="00C04C0A" w:rsidP="00C04C0A">
      <w:pPr>
        <w:pStyle w:val="Rejstk1"/>
        <w:tabs>
          <w:tab w:val="right" w:leader="dot" w:pos="4171"/>
        </w:tabs>
        <w:spacing w:line="240" w:lineRule="auto"/>
      </w:pPr>
      <w:r w:rsidRPr="003D1E07">
        <w:t>Broglie, L.-V.</w:t>
      </w:r>
      <w:r w:rsidRPr="003D1E07">
        <w:tab/>
        <w:t>441</w:t>
      </w:r>
    </w:p>
    <w:p w14:paraId="75DB1AA2" w14:textId="5642F545" w:rsidR="00C04C0A" w:rsidRPr="003D1E07" w:rsidRDefault="00C04C0A" w:rsidP="00C04C0A">
      <w:pPr>
        <w:pStyle w:val="Hlavikarejstku"/>
        <w:keepNext/>
        <w:tabs>
          <w:tab w:val="right" w:leader="dot" w:pos="4171"/>
        </w:tabs>
        <w:spacing w:line="240" w:lineRule="auto"/>
        <w:rPr>
          <w:rFonts w:eastAsia="Times New Roman" w:cs="Times New Roman"/>
          <w:b w:val="0"/>
          <w:bCs w:val="0"/>
        </w:rPr>
      </w:pPr>
      <w:r w:rsidRPr="003D1E07">
        <w:t>C</w:t>
      </w:r>
      <w:r w:rsidR="00077DA6" w:rsidRPr="003D1E07">
        <w:t>, Č</w:t>
      </w:r>
    </w:p>
    <w:p w14:paraId="7199B036" w14:textId="77777777" w:rsidR="00C04C0A" w:rsidRPr="003D1E07" w:rsidRDefault="00C04C0A" w:rsidP="00C04C0A">
      <w:pPr>
        <w:pStyle w:val="Rejstk1"/>
        <w:tabs>
          <w:tab w:val="right" w:leader="dot" w:pos="4171"/>
        </w:tabs>
        <w:spacing w:line="240" w:lineRule="auto"/>
      </w:pPr>
      <w:r w:rsidRPr="003D1E07">
        <w:t>Carnap, R.</w:t>
      </w:r>
      <w:r w:rsidRPr="003D1E07">
        <w:tab/>
        <w:t>3</w:t>
      </w:r>
    </w:p>
    <w:p w14:paraId="1CB45217" w14:textId="4CBE02B6" w:rsidR="00B939C5" w:rsidRDefault="00B939C5" w:rsidP="00C04C0A">
      <w:pPr>
        <w:pStyle w:val="Rejstk1"/>
        <w:tabs>
          <w:tab w:val="right" w:leader="dot" w:pos="4171"/>
        </w:tabs>
        <w:spacing w:line="240" w:lineRule="auto"/>
        <w:rPr>
          <w:i/>
          <w:color w:val="000000"/>
        </w:rPr>
      </w:pPr>
      <w:r w:rsidRPr="00B51607">
        <w:rPr>
          <w:i/>
          <w:noProof w:val="0"/>
          <w:lang w:val="fr-FR" w:eastAsia="en-US"/>
        </w:rPr>
        <w:t>Cargo cult</w:t>
      </w:r>
      <w:r>
        <w:rPr>
          <w:noProof w:val="0"/>
          <w:lang w:val="fr-FR"/>
        </w:rPr>
        <w:tab/>
        <w:t>520</w:t>
      </w:r>
    </w:p>
    <w:p w14:paraId="3009EF18" w14:textId="77777777" w:rsidR="00C04C0A" w:rsidRPr="003D1E07" w:rsidRDefault="00C04C0A" w:rsidP="00C04C0A">
      <w:pPr>
        <w:pStyle w:val="Rejstk1"/>
        <w:tabs>
          <w:tab w:val="right" w:leader="dot" w:pos="4171"/>
        </w:tabs>
        <w:spacing w:line="240" w:lineRule="auto"/>
      </w:pPr>
      <w:r w:rsidRPr="003D1E07">
        <w:rPr>
          <w:i/>
          <w:color w:val="000000"/>
        </w:rPr>
        <w:t>causa prima</w:t>
      </w:r>
      <w:r w:rsidRPr="003D1E07">
        <w:tab/>
        <w:t>253, 258, 314, 326, 483</w:t>
      </w:r>
    </w:p>
    <w:p w14:paraId="08263FB8" w14:textId="77777777" w:rsidR="00C04C0A" w:rsidRPr="003D1E07" w:rsidRDefault="00C04C0A" w:rsidP="00C04C0A">
      <w:pPr>
        <w:pStyle w:val="Rejstk1"/>
        <w:tabs>
          <w:tab w:val="right" w:leader="dot" w:pos="4171"/>
        </w:tabs>
        <w:spacing w:line="240" w:lineRule="auto"/>
      </w:pPr>
      <w:r w:rsidRPr="003D1E07">
        <w:rPr>
          <w:i/>
        </w:rPr>
        <w:t>circulus vitiosus</w:t>
      </w:r>
      <w:r w:rsidRPr="003D1E07">
        <w:tab/>
        <w:t>10, 18, 288, 303</w:t>
      </w:r>
    </w:p>
    <w:p w14:paraId="3E671AB5" w14:textId="77777777" w:rsidR="00C04C0A" w:rsidRPr="003D1E07" w:rsidRDefault="00C04C0A" w:rsidP="00C04C0A">
      <w:pPr>
        <w:pStyle w:val="Rejstk1"/>
        <w:tabs>
          <w:tab w:val="right" w:leader="dot" w:pos="4171"/>
        </w:tabs>
        <w:spacing w:line="240" w:lineRule="auto"/>
      </w:pPr>
      <w:r w:rsidRPr="003D1E07">
        <w:rPr>
          <w:i/>
        </w:rPr>
        <w:t>cloud computing</w:t>
      </w:r>
      <w:r w:rsidRPr="003D1E07">
        <w:tab/>
        <w:t>479</w:t>
      </w:r>
    </w:p>
    <w:p w14:paraId="147879AF" w14:textId="77777777" w:rsidR="00C04C0A" w:rsidRPr="003D1E07" w:rsidRDefault="00C04C0A" w:rsidP="00C04C0A">
      <w:pPr>
        <w:pStyle w:val="Rejstk1"/>
        <w:tabs>
          <w:tab w:val="right" w:leader="dot" w:pos="4171"/>
        </w:tabs>
        <w:spacing w:line="240" w:lineRule="auto"/>
      </w:pPr>
      <w:r w:rsidRPr="003D1E07">
        <w:rPr>
          <w:i/>
        </w:rPr>
        <w:t>cogito</w:t>
      </w:r>
      <w:r w:rsidRPr="003D1E07">
        <w:tab/>
        <w:t>146, 264, 271, 321</w:t>
      </w:r>
    </w:p>
    <w:p w14:paraId="6CE0DF93" w14:textId="77777777" w:rsidR="00C04C0A" w:rsidRPr="003D1E07" w:rsidRDefault="00C04C0A" w:rsidP="00C04C0A">
      <w:pPr>
        <w:pStyle w:val="Rejstk1"/>
        <w:tabs>
          <w:tab w:val="right" w:leader="dot" w:pos="4171"/>
        </w:tabs>
        <w:spacing w:line="240" w:lineRule="auto"/>
      </w:pPr>
      <w:r w:rsidRPr="003D1E07">
        <w:rPr>
          <w:i/>
        </w:rPr>
        <w:t>cogito</w:t>
      </w:r>
      <w:r w:rsidRPr="003D1E07">
        <w:t xml:space="preserve"> </w:t>
      </w:r>
      <w:r w:rsidRPr="003D1E07">
        <w:rPr>
          <w:i/>
        </w:rPr>
        <w:t>ergo sum</w:t>
      </w:r>
      <w:r w:rsidRPr="003D1E07">
        <w:tab/>
        <w:t>272</w:t>
      </w:r>
    </w:p>
    <w:p w14:paraId="09EE02AA" w14:textId="77777777" w:rsidR="00C04C0A" w:rsidRPr="003D1E07" w:rsidRDefault="00C04C0A" w:rsidP="00C04C0A">
      <w:pPr>
        <w:pStyle w:val="Rejstk1"/>
        <w:tabs>
          <w:tab w:val="right" w:leader="dot" w:pos="4171"/>
        </w:tabs>
        <w:spacing w:line="240" w:lineRule="auto"/>
      </w:pPr>
      <w:r w:rsidRPr="003D1E07">
        <w:rPr>
          <w:i/>
        </w:rPr>
        <w:t>coincidentia oppositorum</w:t>
      </w:r>
      <w:r w:rsidRPr="003D1E07">
        <w:tab/>
        <w:t>126</w:t>
      </w:r>
    </w:p>
    <w:p w14:paraId="0AE8FBC4" w14:textId="77777777" w:rsidR="00C04C0A" w:rsidRPr="003D1E07" w:rsidRDefault="00C04C0A" w:rsidP="00C04C0A">
      <w:pPr>
        <w:pStyle w:val="Rejstk1"/>
        <w:tabs>
          <w:tab w:val="right" w:leader="dot" w:pos="4171"/>
        </w:tabs>
        <w:spacing w:line="240" w:lineRule="auto"/>
      </w:pPr>
      <w:r w:rsidRPr="003D1E07">
        <w:rPr>
          <w:i/>
        </w:rPr>
        <w:t>collectio</w:t>
      </w:r>
      <w:r w:rsidRPr="003D1E07">
        <w:tab/>
        <w:t>262</w:t>
      </w:r>
    </w:p>
    <w:p w14:paraId="270F5709" w14:textId="77777777" w:rsidR="00C04C0A" w:rsidRPr="003D1E07" w:rsidRDefault="00C04C0A" w:rsidP="00C04C0A">
      <w:pPr>
        <w:pStyle w:val="Rejstk1"/>
        <w:tabs>
          <w:tab w:val="right" w:leader="dot" w:pos="4171"/>
        </w:tabs>
        <w:spacing w:line="240" w:lineRule="auto"/>
      </w:pPr>
      <w:r w:rsidRPr="003D1E07">
        <w:rPr>
          <w:i/>
        </w:rPr>
        <w:t>conceptus simpliciter simplex</w:t>
      </w:r>
      <w:r w:rsidRPr="003D1E07">
        <w:tab/>
        <w:t>283</w:t>
      </w:r>
    </w:p>
    <w:p w14:paraId="128ABD07" w14:textId="77777777" w:rsidR="00C04C0A" w:rsidRPr="003D1E07" w:rsidRDefault="00C04C0A" w:rsidP="00C04C0A">
      <w:pPr>
        <w:pStyle w:val="Rejstk1"/>
        <w:tabs>
          <w:tab w:val="right" w:leader="dot" w:pos="4171"/>
        </w:tabs>
        <w:spacing w:line="240" w:lineRule="auto"/>
      </w:pPr>
      <w:r w:rsidRPr="003D1E07">
        <w:rPr>
          <w:i/>
        </w:rPr>
        <w:t>coniunctio</w:t>
      </w:r>
      <w:r w:rsidRPr="003D1E07">
        <w:tab/>
        <w:t>288</w:t>
      </w:r>
    </w:p>
    <w:p w14:paraId="6F827754" w14:textId="77777777" w:rsidR="00C04C0A" w:rsidRPr="003D1E07" w:rsidRDefault="00C04C0A" w:rsidP="00C04C0A">
      <w:pPr>
        <w:pStyle w:val="Rejstk2"/>
        <w:tabs>
          <w:tab w:val="right" w:leader="dot" w:pos="4171"/>
        </w:tabs>
        <w:spacing w:line="240" w:lineRule="auto"/>
      </w:pPr>
      <w:r w:rsidRPr="003D1E07">
        <w:t>Averroes</w:t>
      </w:r>
      <w:r w:rsidRPr="003D1E07">
        <w:tab/>
        <w:t>395</w:t>
      </w:r>
    </w:p>
    <w:p w14:paraId="7B28BDC9" w14:textId="77777777" w:rsidR="00C04C0A" w:rsidRPr="003D1E07" w:rsidRDefault="00C04C0A" w:rsidP="00C04C0A">
      <w:pPr>
        <w:pStyle w:val="Rejstk2"/>
        <w:tabs>
          <w:tab w:val="right" w:leader="dot" w:pos="4171"/>
        </w:tabs>
        <w:spacing w:line="240" w:lineRule="auto"/>
      </w:pPr>
      <w:r w:rsidRPr="003D1E07">
        <w:t>Avicenna</w:t>
      </w:r>
      <w:r w:rsidRPr="003D1E07">
        <w:tab/>
        <w:t>217, 323, 341</w:t>
      </w:r>
    </w:p>
    <w:p w14:paraId="6505B3FD" w14:textId="77777777" w:rsidR="00C04C0A" w:rsidRPr="003D1E07" w:rsidRDefault="00C04C0A" w:rsidP="00C04C0A">
      <w:pPr>
        <w:pStyle w:val="Rejstk1"/>
        <w:tabs>
          <w:tab w:val="right" w:leader="dot" w:pos="4171"/>
        </w:tabs>
        <w:spacing w:line="240" w:lineRule="auto"/>
      </w:pPr>
      <w:r w:rsidRPr="003D1E07">
        <w:rPr>
          <w:i/>
        </w:rPr>
        <w:t>copulatio</w:t>
      </w:r>
      <w:r w:rsidRPr="003D1E07">
        <w:tab/>
        <w:t>395, 397, 400, 406, 408, 427, 468, 486</w:t>
      </w:r>
    </w:p>
    <w:p w14:paraId="26D6E760" w14:textId="77777777" w:rsidR="00C04C0A" w:rsidRPr="003D1E07" w:rsidRDefault="00C04C0A" w:rsidP="00C04C0A">
      <w:pPr>
        <w:pStyle w:val="Rejstk1"/>
        <w:tabs>
          <w:tab w:val="right" w:leader="dot" w:pos="4171"/>
        </w:tabs>
        <w:spacing w:line="240" w:lineRule="auto"/>
      </w:pPr>
      <w:r w:rsidRPr="003D1E07">
        <w:rPr>
          <w:i/>
        </w:rPr>
        <w:t>creatio ex nihilo</w:t>
      </w:r>
      <w:r w:rsidRPr="003D1E07">
        <w:tab/>
        <w:t>96, 105, 139, 171, 183, 249, 288, 295, 310, 318, 320, 321, 324, 332, 421, 477</w:t>
      </w:r>
    </w:p>
    <w:p w14:paraId="7A7B7FDB" w14:textId="77777777" w:rsidR="00C04C0A" w:rsidRPr="003D1E07" w:rsidRDefault="00C04C0A" w:rsidP="00C04C0A">
      <w:pPr>
        <w:pStyle w:val="Rejstk1"/>
        <w:tabs>
          <w:tab w:val="right" w:leader="dot" w:pos="4171"/>
        </w:tabs>
        <w:spacing w:line="240" w:lineRule="auto"/>
      </w:pPr>
      <w:r w:rsidRPr="003D1E07">
        <w:t>čas</w:t>
      </w:r>
    </w:p>
    <w:p w14:paraId="6EE4DECE" w14:textId="77777777" w:rsidR="00C04C0A" w:rsidRPr="003D1E07" w:rsidRDefault="00C04C0A" w:rsidP="00C04C0A">
      <w:pPr>
        <w:pStyle w:val="Rejstk2"/>
        <w:tabs>
          <w:tab w:val="right" w:leader="dot" w:pos="4171"/>
        </w:tabs>
        <w:spacing w:line="240" w:lineRule="auto"/>
      </w:pPr>
      <w:r w:rsidRPr="003D1E07">
        <w:t>Jamblichos</w:t>
      </w:r>
      <w:r w:rsidRPr="003D1E07">
        <w:tab/>
        <w:t>157, 162</w:t>
      </w:r>
    </w:p>
    <w:p w14:paraId="5D44748D" w14:textId="77777777" w:rsidR="00C04C0A" w:rsidRPr="003D1E07" w:rsidRDefault="00C04C0A" w:rsidP="00C04C0A">
      <w:pPr>
        <w:pStyle w:val="Rejstk2"/>
        <w:tabs>
          <w:tab w:val="right" w:leader="dot" w:pos="4171"/>
        </w:tabs>
        <w:spacing w:line="240" w:lineRule="auto"/>
      </w:pPr>
      <w:r w:rsidRPr="003D1E07">
        <w:t>objektivní</w:t>
      </w:r>
      <w:r w:rsidRPr="003D1E07">
        <w:tab/>
        <w:t>334</w:t>
      </w:r>
    </w:p>
    <w:p w14:paraId="26383ED5" w14:textId="77777777" w:rsidR="00C04C0A" w:rsidRPr="003D1E07" w:rsidRDefault="00C04C0A" w:rsidP="00C04C0A">
      <w:pPr>
        <w:pStyle w:val="Rejstk2"/>
        <w:tabs>
          <w:tab w:val="right" w:leader="dot" w:pos="4171"/>
        </w:tabs>
        <w:spacing w:line="240" w:lineRule="auto"/>
      </w:pPr>
      <w:r w:rsidRPr="003D1E07">
        <w:t>Simplikius</w:t>
      </w:r>
      <w:r w:rsidRPr="003D1E07">
        <w:tab/>
        <w:t>157</w:t>
      </w:r>
    </w:p>
    <w:p w14:paraId="56CF43A6" w14:textId="77777777" w:rsidR="00C04C0A" w:rsidRPr="003D1E07" w:rsidRDefault="00C04C0A" w:rsidP="00C04C0A">
      <w:pPr>
        <w:pStyle w:val="Hlavikarejstku"/>
        <w:keepNext/>
        <w:tabs>
          <w:tab w:val="right" w:leader="dot" w:pos="4171"/>
        </w:tabs>
        <w:spacing w:line="240" w:lineRule="auto"/>
        <w:rPr>
          <w:rFonts w:eastAsia="Times New Roman" w:cs="Times New Roman"/>
          <w:b w:val="0"/>
          <w:bCs w:val="0"/>
        </w:rPr>
      </w:pPr>
      <w:r w:rsidRPr="003D1E07">
        <w:t>D</w:t>
      </w:r>
    </w:p>
    <w:p w14:paraId="68632213" w14:textId="77777777" w:rsidR="00C04C0A" w:rsidRPr="003D1E07" w:rsidRDefault="00C04C0A" w:rsidP="00C04C0A">
      <w:pPr>
        <w:pStyle w:val="Rejstk1"/>
        <w:tabs>
          <w:tab w:val="right" w:leader="dot" w:pos="4171"/>
        </w:tabs>
        <w:spacing w:line="240" w:lineRule="auto"/>
      </w:pPr>
      <w:r w:rsidRPr="003D1E07">
        <w:t>dalā'il</w:t>
      </w:r>
      <w:r w:rsidRPr="003D1E07">
        <w:tab/>
        <w:t>359, 480</w:t>
      </w:r>
    </w:p>
    <w:p w14:paraId="3E1F2CE3" w14:textId="334037FE" w:rsidR="00C04C0A" w:rsidRPr="003D1E07" w:rsidRDefault="00C04C0A" w:rsidP="00C04C0A">
      <w:pPr>
        <w:pStyle w:val="Rejstk1"/>
        <w:tabs>
          <w:tab w:val="right" w:leader="dot" w:pos="4171"/>
        </w:tabs>
        <w:spacing w:line="240" w:lineRule="auto"/>
      </w:pPr>
      <w:r w:rsidRPr="003D1E07">
        <w:t>Damascius</w:t>
      </w:r>
      <w:r w:rsidR="00077DA6" w:rsidRPr="003D1E07">
        <w:t xml:space="preserve">,viz </w:t>
      </w:r>
      <w:r w:rsidR="00077DA6" w:rsidRPr="003D1E07">
        <w:rPr>
          <w:i/>
        </w:rPr>
        <w:t>Index locorum</w:t>
      </w:r>
    </w:p>
    <w:p w14:paraId="0C5F4727" w14:textId="77777777" w:rsidR="00C04C0A" w:rsidRPr="003D1E07" w:rsidRDefault="00C04C0A" w:rsidP="00C04C0A">
      <w:pPr>
        <w:pStyle w:val="Rejstk1"/>
        <w:tabs>
          <w:tab w:val="right" w:leader="dot" w:pos="4171"/>
        </w:tabs>
        <w:spacing w:line="240" w:lineRule="auto"/>
      </w:pPr>
      <w:r w:rsidRPr="003D1E07">
        <w:rPr>
          <w:i/>
        </w:rPr>
        <w:t>damnatio memoriae</w:t>
      </w:r>
      <w:r w:rsidRPr="003D1E07">
        <w:tab/>
        <w:t>328, 345, 375, 422, 426, 488, 490</w:t>
      </w:r>
    </w:p>
    <w:p w14:paraId="3E39524C" w14:textId="77777777" w:rsidR="00C04C0A" w:rsidRPr="003D1E07" w:rsidRDefault="00C04C0A" w:rsidP="00C04C0A">
      <w:pPr>
        <w:pStyle w:val="Rejstk1"/>
        <w:tabs>
          <w:tab w:val="right" w:leader="dot" w:pos="4171"/>
        </w:tabs>
        <w:spacing w:line="240" w:lineRule="auto"/>
      </w:pPr>
      <w:r w:rsidRPr="003D1E07">
        <w:t>Dante, A.</w:t>
      </w:r>
      <w:r w:rsidRPr="003D1E07">
        <w:tab/>
        <w:t>213, 418, 419, 423, 436</w:t>
      </w:r>
    </w:p>
    <w:p w14:paraId="3817111D" w14:textId="77777777" w:rsidR="00C04C0A" w:rsidRPr="003D1E07" w:rsidRDefault="00C04C0A" w:rsidP="00C04C0A">
      <w:pPr>
        <w:pStyle w:val="Rejstk1"/>
        <w:tabs>
          <w:tab w:val="right" w:leader="dot" w:pos="4171"/>
        </w:tabs>
        <w:spacing w:line="240" w:lineRule="auto"/>
      </w:pPr>
      <w:r w:rsidRPr="003D1E07">
        <w:rPr>
          <w:i/>
        </w:rPr>
        <w:t>das andenkende Denken</w:t>
      </w:r>
      <w:r w:rsidRPr="003D1E07">
        <w:tab/>
        <w:t>65</w:t>
      </w:r>
    </w:p>
    <w:p w14:paraId="67F867C4" w14:textId="77777777" w:rsidR="00C04C0A" w:rsidRPr="003D1E07" w:rsidRDefault="00C04C0A" w:rsidP="00C04C0A">
      <w:pPr>
        <w:pStyle w:val="Rejstk1"/>
        <w:tabs>
          <w:tab w:val="right" w:leader="dot" w:pos="4171"/>
        </w:tabs>
        <w:spacing w:line="240" w:lineRule="auto"/>
      </w:pPr>
      <w:r w:rsidRPr="003D1E07">
        <w:rPr>
          <w:i/>
        </w:rPr>
        <w:t>dativus archegeticus</w:t>
      </w:r>
      <w:r w:rsidRPr="003D1E07">
        <w:tab/>
        <w:t>19, 20, 67, 473, 474</w:t>
      </w:r>
    </w:p>
    <w:p w14:paraId="3FB1A910" w14:textId="77777777" w:rsidR="00C04C0A" w:rsidRPr="003D1E07" w:rsidRDefault="00C04C0A" w:rsidP="00C04C0A">
      <w:pPr>
        <w:pStyle w:val="Rejstk1"/>
        <w:tabs>
          <w:tab w:val="right" w:leader="dot" w:pos="4171"/>
        </w:tabs>
        <w:spacing w:line="240" w:lineRule="auto"/>
      </w:pPr>
      <w:r w:rsidRPr="003D1E07">
        <w:rPr>
          <w:i/>
        </w:rPr>
        <w:t>dativus metaphysicus</w:t>
      </w:r>
      <w:r w:rsidRPr="003D1E07">
        <w:tab/>
        <w:t xml:space="preserve">39, 40, 42, 56, 82, 83, 86, 92, 105, 109, 122, 123, 135, 138, 149, 160, 197, 204, 251, 261, 281, 284, 288, 302, 311, 316, 350, 355, 356, 364, 370, </w:t>
      </w:r>
      <w:r w:rsidRPr="003D1E07">
        <w:lastRenderedPageBreak/>
        <w:t>373, 374, 376, 380, 389, 390, 395, 430, 436, 448, 460, 474, 480, 484</w:t>
      </w:r>
    </w:p>
    <w:p w14:paraId="1DAFA301" w14:textId="77777777" w:rsidR="00C04C0A" w:rsidRPr="003D1E07" w:rsidRDefault="00C04C0A" w:rsidP="00C04C0A">
      <w:pPr>
        <w:pStyle w:val="Rejstk1"/>
        <w:tabs>
          <w:tab w:val="right" w:leader="dot" w:pos="4171"/>
        </w:tabs>
        <w:spacing w:line="240" w:lineRule="auto"/>
      </w:pPr>
      <w:r w:rsidRPr="003D1E07">
        <w:rPr>
          <w:i/>
          <w:lang w:eastAsia="x-none"/>
        </w:rPr>
        <w:t>dativus obiectivus</w:t>
      </w:r>
      <w:r w:rsidRPr="003D1E07">
        <w:tab/>
        <w:t>20, 102, 138, 209, 278, 414, 456</w:t>
      </w:r>
    </w:p>
    <w:p w14:paraId="760D2F2F" w14:textId="77777777" w:rsidR="00C04C0A" w:rsidRPr="003D1E07" w:rsidRDefault="00C04C0A" w:rsidP="00C04C0A">
      <w:pPr>
        <w:pStyle w:val="Rejstk1"/>
        <w:tabs>
          <w:tab w:val="right" w:leader="dot" w:pos="4171"/>
        </w:tabs>
        <w:spacing w:line="240" w:lineRule="auto"/>
      </w:pPr>
      <w:r w:rsidRPr="003D1E07">
        <w:rPr>
          <w:i/>
        </w:rPr>
        <w:t>dativus possessivus</w:t>
      </w:r>
      <w:r w:rsidRPr="003D1E07">
        <w:tab/>
        <w:t>102, 278</w:t>
      </w:r>
    </w:p>
    <w:p w14:paraId="72D80566" w14:textId="77777777" w:rsidR="00C04C0A" w:rsidRPr="003D1E07" w:rsidRDefault="00C04C0A" w:rsidP="00C04C0A">
      <w:pPr>
        <w:pStyle w:val="Rejstk1"/>
        <w:tabs>
          <w:tab w:val="right" w:leader="dot" w:pos="4171"/>
        </w:tabs>
        <w:spacing w:line="240" w:lineRule="auto"/>
      </w:pPr>
      <w:r w:rsidRPr="003D1E07">
        <w:rPr>
          <w:i/>
        </w:rPr>
        <w:t>dativus principalis</w:t>
      </w:r>
      <w:r w:rsidRPr="003D1E07">
        <w:tab/>
        <w:t>20, 36, 40, 44, 52, 63, 64, 474</w:t>
      </w:r>
    </w:p>
    <w:p w14:paraId="64540679" w14:textId="0331426D" w:rsidR="00C04C0A" w:rsidRPr="003D1E07" w:rsidRDefault="004319BF" w:rsidP="00C04C0A">
      <w:pPr>
        <w:pStyle w:val="Rejstk1"/>
        <w:tabs>
          <w:tab w:val="right" w:leader="dot" w:pos="4171"/>
        </w:tabs>
        <w:spacing w:line="240" w:lineRule="auto"/>
      </w:pPr>
      <w:r w:rsidRPr="004319BF">
        <w:rPr>
          <w:i/>
          <w:lang w:eastAsia="en-US"/>
        </w:rPr>
        <w:t>Dator formarum</w:t>
      </w:r>
      <w:r w:rsidR="00C04C0A" w:rsidRPr="003D1E07">
        <w:tab/>
        <w:t>308, 375, 476</w:t>
      </w:r>
    </w:p>
    <w:p w14:paraId="068949DF" w14:textId="77777777" w:rsidR="00C04C0A" w:rsidRPr="003D1E07" w:rsidRDefault="00C04C0A" w:rsidP="00C04C0A">
      <w:pPr>
        <w:pStyle w:val="Rejstk1"/>
        <w:tabs>
          <w:tab w:val="right" w:leader="dot" w:pos="4171"/>
        </w:tabs>
        <w:spacing w:line="240" w:lineRule="auto"/>
      </w:pPr>
      <w:r w:rsidRPr="003D1E07">
        <w:rPr>
          <w:i/>
        </w:rPr>
        <w:t>Dator formarum</w:t>
      </w:r>
      <w:r w:rsidRPr="003D1E07">
        <w:tab/>
        <w:t>232, 274, 287, 295, 304, 308, 321, 334, 394</w:t>
      </w:r>
    </w:p>
    <w:p w14:paraId="5BE3916E" w14:textId="77777777" w:rsidR="00C04C0A" w:rsidRPr="003D1E07" w:rsidRDefault="00C04C0A" w:rsidP="00C04C0A">
      <w:pPr>
        <w:pStyle w:val="Rejstk1"/>
        <w:tabs>
          <w:tab w:val="right" w:leader="dot" w:pos="4171"/>
        </w:tabs>
        <w:spacing w:line="240" w:lineRule="auto"/>
      </w:pPr>
      <w:r w:rsidRPr="003D1E07">
        <w:t>David z Dinantu</w:t>
      </w:r>
      <w:r w:rsidRPr="003D1E07">
        <w:tab/>
        <w:t>397</w:t>
      </w:r>
    </w:p>
    <w:p w14:paraId="444F0340" w14:textId="77777777" w:rsidR="00C04C0A" w:rsidRPr="003D1E07" w:rsidRDefault="00C04C0A" w:rsidP="00C04C0A">
      <w:pPr>
        <w:pStyle w:val="Rejstk1"/>
        <w:tabs>
          <w:tab w:val="right" w:leader="dot" w:pos="4171"/>
        </w:tabs>
        <w:spacing w:line="240" w:lineRule="auto"/>
      </w:pPr>
      <w:r w:rsidRPr="003D1E07">
        <w:t>Dawud al-Zahiri</w:t>
      </w:r>
      <w:r w:rsidRPr="003D1E07">
        <w:tab/>
        <w:t>326</w:t>
      </w:r>
    </w:p>
    <w:p w14:paraId="263C835F" w14:textId="77777777" w:rsidR="00C04C0A" w:rsidRPr="003D1E07" w:rsidRDefault="00C04C0A" w:rsidP="00C04C0A">
      <w:pPr>
        <w:pStyle w:val="Rejstk1"/>
        <w:tabs>
          <w:tab w:val="right" w:leader="dot" w:pos="4171"/>
        </w:tabs>
        <w:spacing w:line="240" w:lineRule="auto"/>
      </w:pPr>
      <w:r w:rsidRPr="003D1E07">
        <w:rPr>
          <w:i/>
          <w:lang w:eastAsia="en-US"/>
        </w:rPr>
        <w:t>décision ontologique</w:t>
      </w:r>
      <w:r w:rsidRPr="003D1E07">
        <w:tab/>
        <w:t>339, 482</w:t>
      </w:r>
    </w:p>
    <w:p w14:paraId="7A88942C" w14:textId="77777777" w:rsidR="00C04C0A" w:rsidRPr="003D1E07" w:rsidRDefault="00C04C0A" w:rsidP="00C04C0A">
      <w:pPr>
        <w:pStyle w:val="Rejstk1"/>
        <w:tabs>
          <w:tab w:val="right" w:leader="dot" w:pos="4171"/>
        </w:tabs>
        <w:spacing w:line="240" w:lineRule="auto"/>
      </w:pPr>
      <w:r w:rsidRPr="003D1E07">
        <w:t>dějinnost</w:t>
      </w:r>
      <w:r w:rsidRPr="003D1E07">
        <w:tab/>
        <w:t>8, 9, 10, 14, 15, 36, 50, 53, 55, 63, 67, 213, 327, 344, 473, 480</w:t>
      </w:r>
    </w:p>
    <w:p w14:paraId="64A952D2" w14:textId="77777777" w:rsidR="00C04C0A" w:rsidRPr="003D1E07" w:rsidRDefault="00C04C0A" w:rsidP="00C04C0A">
      <w:pPr>
        <w:pStyle w:val="Rejstk1"/>
        <w:tabs>
          <w:tab w:val="right" w:leader="dot" w:pos="4171"/>
        </w:tabs>
        <w:spacing w:line="240" w:lineRule="auto"/>
      </w:pPr>
      <w:r w:rsidRPr="003D1E07">
        <w:t>dekret artistů 1272</w:t>
      </w:r>
      <w:r w:rsidRPr="003D1E07">
        <w:tab/>
        <w:t>489</w:t>
      </w:r>
    </w:p>
    <w:p w14:paraId="4EDB1F6D" w14:textId="77777777" w:rsidR="00C04C0A" w:rsidRPr="003D1E07" w:rsidRDefault="00C04C0A" w:rsidP="00C04C0A">
      <w:pPr>
        <w:pStyle w:val="Rejstk1"/>
        <w:tabs>
          <w:tab w:val="right" w:leader="dot" w:pos="4171"/>
        </w:tabs>
        <w:spacing w:line="240" w:lineRule="auto"/>
      </w:pPr>
      <w:r w:rsidRPr="003D1E07">
        <w:rPr>
          <w:lang w:eastAsia="en-US"/>
        </w:rPr>
        <w:t>Delfy</w:t>
      </w:r>
      <w:r w:rsidRPr="003D1E07">
        <w:tab/>
        <w:t>472, 473</w:t>
      </w:r>
    </w:p>
    <w:p w14:paraId="475169F8" w14:textId="77777777" w:rsidR="00C04C0A" w:rsidRPr="003D1E07" w:rsidRDefault="00C04C0A" w:rsidP="00C04C0A">
      <w:pPr>
        <w:pStyle w:val="Rejstk1"/>
        <w:tabs>
          <w:tab w:val="right" w:leader="dot" w:pos="4171"/>
        </w:tabs>
        <w:spacing w:line="240" w:lineRule="auto"/>
      </w:pPr>
      <w:r w:rsidRPr="003D1E07">
        <w:t>demiurg</w:t>
      </w:r>
      <w:r w:rsidRPr="003D1E07">
        <w:tab/>
        <w:t>33, 34, 35, 119, 124, 159, 163, 166, 169, 300, 303</w:t>
      </w:r>
    </w:p>
    <w:p w14:paraId="195B32FA" w14:textId="77777777" w:rsidR="00C04C0A" w:rsidRPr="003D1E07" w:rsidRDefault="00C04C0A" w:rsidP="00C04C0A">
      <w:pPr>
        <w:pStyle w:val="Rejstk1"/>
        <w:tabs>
          <w:tab w:val="right" w:leader="dot" w:pos="4171"/>
        </w:tabs>
        <w:spacing w:line="240" w:lineRule="auto"/>
      </w:pPr>
      <w:r w:rsidRPr="003D1E07">
        <w:rPr>
          <w:i/>
        </w:rPr>
        <w:t>demonstratio</w:t>
      </w:r>
    </w:p>
    <w:p w14:paraId="5ABF592A" w14:textId="77777777" w:rsidR="00C04C0A" w:rsidRPr="003D1E07" w:rsidRDefault="00C04C0A" w:rsidP="00C04C0A">
      <w:pPr>
        <w:pStyle w:val="Rejstk2"/>
        <w:tabs>
          <w:tab w:val="right" w:leader="dot" w:pos="4171"/>
        </w:tabs>
        <w:spacing w:line="240" w:lineRule="auto"/>
      </w:pPr>
      <w:r w:rsidRPr="003D1E07">
        <w:t>Averroes</w:t>
      </w:r>
      <w:r w:rsidRPr="003D1E07">
        <w:tab/>
        <w:t>423, 482</w:t>
      </w:r>
    </w:p>
    <w:p w14:paraId="79CC90DF" w14:textId="77777777" w:rsidR="00C04C0A" w:rsidRPr="003D1E07" w:rsidRDefault="00C04C0A" w:rsidP="00C04C0A">
      <w:pPr>
        <w:pStyle w:val="Rejstk2"/>
        <w:tabs>
          <w:tab w:val="right" w:leader="dot" w:pos="4171"/>
        </w:tabs>
        <w:spacing w:line="240" w:lineRule="auto"/>
      </w:pPr>
      <w:r w:rsidRPr="003D1E07">
        <w:t>Avicenna</w:t>
      </w:r>
      <w:r w:rsidRPr="003D1E07">
        <w:tab/>
        <w:t>268</w:t>
      </w:r>
    </w:p>
    <w:p w14:paraId="37DEBB71" w14:textId="77777777" w:rsidR="00C04C0A" w:rsidRPr="003D1E07" w:rsidRDefault="00C04C0A" w:rsidP="00C04C0A">
      <w:pPr>
        <w:pStyle w:val="Rejstk1"/>
        <w:tabs>
          <w:tab w:val="right" w:leader="dot" w:pos="4171"/>
        </w:tabs>
        <w:spacing w:line="240" w:lineRule="auto"/>
      </w:pPr>
      <w:r w:rsidRPr="003D1E07">
        <w:rPr>
          <w:i/>
        </w:rPr>
        <w:t>denudatio</w:t>
      </w:r>
      <w:r w:rsidRPr="003D1E07">
        <w:tab/>
        <w:t>201, 206, 208, 209, 212, 220, 229, 237, 256, 260, 261, 263, 264, 272, 280, 299, 306, 419</w:t>
      </w:r>
    </w:p>
    <w:p w14:paraId="76C99E69" w14:textId="77777777" w:rsidR="00C04C0A" w:rsidRPr="003D1E07" w:rsidRDefault="00C04C0A" w:rsidP="00C04C0A">
      <w:pPr>
        <w:pStyle w:val="Rejstk1"/>
        <w:tabs>
          <w:tab w:val="right" w:leader="dot" w:pos="4171"/>
        </w:tabs>
        <w:spacing w:line="240" w:lineRule="auto"/>
      </w:pPr>
      <w:r w:rsidRPr="003D1E07">
        <w:t>derivace</w:t>
      </w:r>
      <w:r w:rsidRPr="003D1E07">
        <w:tab/>
        <w:t>310</w:t>
      </w:r>
    </w:p>
    <w:p w14:paraId="216EF62A" w14:textId="2E454397" w:rsidR="00C04C0A" w:rsidRPr="003D1E07" w:rsidRDefault="00C04C0A" w:rsidP="00C04C0A">
      <w:pPr>
        <w:pStyle w:val="Rejstk1"/>
        <w:tabs>
          <w:tab w:val="right" w:leader="dot" w:pos="4171"/>
        </w:tabs>
        <w:spacing w:line="240" w:lineRule="auto"/>
      </w:pPr>
      <w:r w:rsidRPr="003D1E07">
        <w:t>Descartes, R.</w:t>
      </w:r>
      <w:r w:rsidRPr="003D1E07">
        <w:tab/>
      </w:r>
      <w:r w:rsidR="00077DA6" w:rsidRPr="003D1E07">
        <w:t xml:space="preserve">viz </w:t>
      </w:r>
      <w:r w:rsidR="00077DA6" w:rsidRPr="003D1E07">
        <w:rPr>
          <w:i/>
        </w:rPr>
        <w:t>Index locorum</w:t>
      </w:r>
      <w:r w:rsidR="00077DA6" w:rsidRPr="003D1E07">
        <w:t xml:space="preserve">, </w:t>
      </w:r>
      <w:r w:rsidRPr="003D1E07">
        <w:t>13, 172, 212, 217, 259, 273, 275, 289, 292, 297, 409, 446, 447, 467</w:t>
      </w:r>
    </w:p>
    <w:p w14:paraId="38E6674D" w14:textId="77777777" w:rsidR="00C04C0A" w:rsidRPr="003D1E07" w:rsidRDefault="00C04C0A" w:rsidP="00C04C0A">
      <w:pPr>
        <w:pStyle w:val="Rejstk1"/>
        <w:tabs>
          <w:tab w:val="right" w:leader="dot" w:pos="4171"/>
        </w:tabs>
        <w:spacing w:line="240" w:lineRule="auto"/>
      </w:pPr>
      <w:r w:rsidRPr="003D1E07">
        <w:rPr>
          <w:i/>
        </w:rPr>
        <w:t>destructio primis</w:t>
      </w:r>
      <w:r w:rsidRPr="003D1E07">
        <w:tab/>
        <w:t>84, 105, 160, 220, 242, 421</w:t>
      </w:r>
    </w:p>
    <w:p w14:paraId="7A15B7BB" w14:textId="77777777" w:rsidR="00C04C0A" w:rsidRPr="003D1E07" w:rsidRDefault="00C04C0A" w:rsidP="00C04C0A">
      <w:pPr>
        <w:pStyle w:val="Rejstk1"/>
        <w:tabs>
          <w:tab w:val="right" w:leader="dot" w:pos="4171"/>
        </w:tabs>
        <w:spacing w:line="240" w:lineRule="auto"/>
      </w:pPr>
      <w:r w:rsidRPr="003D1E07">
        <w:rPr>
          <w:i/>
        </w:rPr>
        <w:t>deus otiosus</w:t>
      </w:r>
      <w:r w:rsidRPr="003D1E07">
        <w:tab/>
        <w:t>46, 329</w:t>
      </w:r>
    </w:p>
    <w:p w14:paraId="2E367B11" w14:textId="77777777" w:rsidR="00C04C0A" w:rsidRPr="003D1E07" w:rsidRDefault="00C04C0A" w:rsidP="00C04C0A">
      <w:pPr>
        <w:pStyle w:val="Rejstk1"/>
        <w:tabs>
          <w:tab w:val="right" w:leader="dot" w:pos="4171"/>
        </w:tabs>
        <w:spacing w:line="240" w:lineRule="auto"/>
      </w:pPr>
      <w:r w:rsidRPr="003D1E07">
        <w:rPr>
          <w:i/>
        </w:rPr>
        <w:t>dévalorisation de l'Alétheia</w:t>
      </w:r>
      <w:r w:rsidRPr="003D1E07">
        <w:tab/>
        <w:t>23</w:t>
      </w:r>
    </w:p>
    <w:p w14:paraId="7B1C1802" w14:textId="4567E539" w:rsidR="00C04C0A" w:rsidRPr="003D1E07" w:rsidRDefault="00C04C0A" w:rsidP="00C04C0A">
      <w:pPr>
        <w:pStyle w:val="Rejstk1"/>
        <w:tabs>
          <w:tab w:val="right" w:leader="dot" w:pos="4171"/>
        </w:tabs>
        <w:spacing w:line="240" w:lineRule="auto"/>
      </w:pPr>
      <w:r w:rsidRPr="003D1E07">
        <w:t>Dexippus</w:t>
      </w:r>
      <w:r w:rsidR="00077DA6" w:rsidRPr="003D1E07">
        <w:t xml:space="preserve">,viz </w:t>
      </w:r>
      <w:r w:rsidR="00077DA6" w:rsidRPr="003D1E07">
        <w:rPr>
          <w:i/>
        </w:rPr>
        <w:t>Index locorum</w:t>
      </w:r>
    </w:p>
    <w:p w14:paraId="63E70711" w14:textId="77777777" w:rsidR="00C04C0A" w:rsidRPr="003D1E07" w:rsidRDefault="00C04C0A" w:rsidP="00C04C0A">
      <w:pPr>
        <w:pStyle w:val="Rejstk1"/>
        <w:tabs>
          <w:tab w:val="right" w:leader="dot" w:pos="4171"/>
        </w:tabs>
        <w:spacing w:line="240" w:lineRule="auto"/>
      </w:pPr>
      <w:r w:rsidRPr="003D1E07">
        <w:t>diafanum</w:t>
      </w:r>
    </w:p>
    <w:p w14:paraId="310704A6" w14:textId="77777777" w:rsidR="00C04C0A" w:rsidRPr="003D1E07" w:rsidRDefault="00C04C0A" w:rsidP="00C04C0A">
      <w:pPr>
        <w:pStyle w:val="Rejstk2"/>
        <w:tabs>
          <w:tab w:val="right" w:leader="dot" w:pos="4171"/>
        </w:tabs>
        <w:spacing w:line="240" w:lineRule="auto"/>
      </w:pPr>
      <w:r w:rsidRPr="003D1E07">
        <w:t>Al-Fárábí</w:t>
      </w:r>
      <w:r w:rsidRPr="003D1E07">
        <w:tab/>
        <w:t>191, 192, 194, 196, 255</w:t>
      </w:r>
    </w:p>
    <w:p w14:paraId="754A163D" w14:textId="77777777" w:rsidR="00C04C0A" w:rsidRPr="003D1E07" w:rsidRDefault="00C04C0A" w:rsidP="00C04C0A">
      <w:pPr>
        <w:pStyle w:val="Rejstk2"/>
        <w:tabs>
          <w:tab w:val="right" w:leader="dot" w:pos="4171"/>
        </w:tabs>
        <w:spacing w:line="240" w:lineRule="auto"/>
      </w:pPr>
      <w:r w:rsidRPr="003D1E07">
        <w:t>Averroes</w:t>
      </w:r>
      <w:r w:rsidRPr="003D1E07">
        <w:tab/>
        <w:t>265, 375, 440, 453, 484</w:t>
      </w:r>
    </w:p>
    <w:p w14:paraId="36441C5E" w14:textId="77777777" w:rsidR="00C04C0A" w:rsidRPr="003D1E07" w:rsidRDefault="00C04C0A" w:rsidP="00C04C0A">
      <w:pPr>
        <w:pStyle w:val="Rejstk2"/>
        <w:tabs>
          <w:tab w:val="right" w:leader="dot" w:pos="4171"/>
        </w:tabs>
        <w:spacing w:line="240" w:lineRule="auto"/>
      </w:pPr>
      <w:r w:rsidRPr="003D1E07">
        <w:t>Blund</w:t>
      </w:r>
      <w:r w:rsidRPr="003D1E07">
        <w:tab/>
        <w:t>196</w:t>
      </w:r>
    </w:p>
    <w:p w14:paraId="6E0125E0" w14:textId="77777777" w:rsidR="00C04C0A" w:rsidRPr="003D1E07" w:rsidRDefault="00C04C0A" w:rsidP="00C04C0A">
      <w:pPr>
        <w:pStyle w:val="Rejstk2"/>
        <w:tabs>
          <w:tab w:val="right" w:leader="dot" w:pos="4171"/>
        </w:tabs>
        <w:spacing w:line="240" w:lineRule="auto"/>
      </w:pPr>
      <w:r w:rsidRPr="003D1E07">
        <w:t>Descartes</w:t>
      </w:r>
      <w:r w:rsidRPr="003D1E07">
        <w:tab/>
        <w:t>446, 449</w:t>
      </w:r>
    </w:p>
    <w:p w14:paraId="3D16F983" w14:textId="77777777" w:rsidR="00C04C0A" w:rsidRPr="003D1E07" w:rsidRDefault="00C04C0A" w:rsidP="00C04C0A">
      <w:pPr>
        <w:pStyle w:val="Rejstk2"/>
        <w:tabs>
          <w:tab w:val="right" w:leader="dot" w:pos="4171"/>
        </w:tabs>
        <w:spacing w:line="240" w:lineRule="auto"/>
      </w:pPr>
      <w:r w:rsidRPr="003D1E07">
        <w:t>dvojí funkce</w:t>
      </w:r>
      <w:r w:rsidRPr="003D1E07">
        <w:tab/>
        <w:t>443, 444, 455, 468</w:t>
      </w:r>
    </w:p>
    <w:p w14:paraId="356EE93D" w14:textId="77777777" w:rsidR="00C04C0A" w:rsidRPr="003D1E07" w:rsidRDefault="00C04C0A" w:rsidP="00C04C0A">
      <w:pPr>
        <w:pStyle w:val="Rejstk2"/>
        <w:tabs>
          <w:tab w:val="right" w:leader="dot" w:pos="4171"/>
        </w:tabs>
        <w:spacing w:line="240" w:lineRule="auto"/>
      </w:pPr>
      <w:r w:rsidRPr="003D1E07">
        <w:t>Heidegger</w:t>
      </w:r>
      <w:r w:rsidRPr="003D1E07">
        <w:tab/>
        <w:t>458</w:t>
      </w:r>
    </w:p>
    <w:p w14:paraId="7AF68A0B" w14:textId="77777777" w:rsidR="00C04C0A" w:rsidRPr="003D1E07" w:rsidRDefault="00C04C0A" w:rsidP="00C04C0A">
      <w:pPr>
        <w:pStyle w:val="Rejstk2"/>
        <w:tabs>
          <w:tab w:val="right" w:leader="dot" w:pos="4171"/>
        </w:tabs>
        <w:spacing w:line="240" w:lineRule="auto"/>
      </w:pPr>
      <w:r w:rsidRPr="003D1E07">
        <w:t>moderna</w:t>
      </w:r>
      <w:r w:rsidRPr="003D1E07">
        <w:tab/>
        <w:t>468</w:t>
      </w:r>
    </w:p>
    <w:p w14:paraId="5F1AD3BC" w14:textId="77777777" w:rsidR="00C04C0A" w:rsidRPr="003D1E07" w:rsidRDefault="00C04C0A" w:rsidP="00C04C0A">
      <w:pPr>
        <w:pStyle w:val="Rejstk2"/>
        <w:tabs>
          <w:tab w:val="right" w:leader="dot" w:pos="4171"/>
        </w:tabs>
        <w:spacing w:line="240" w:lineRule="auto"/>
      </w:pPr>
      <w:r w:rsidRPr="003D1E07">
        <w:t>Nifo</w:t>
      </w:r>
      <w:r w:rsidRPr="003D1E07">
        <w:tab/>
        <w:t>446</w:t>
      </w:r>
    </w:p>
    <w:p w14:paraId="2339CA5C" w14:textId="77777777" w:rsidR="00C04C0A" w:rsidRPr="003D1E07" w:rsidRDefault="00C04C0A" w:rsidP="00C04C0A">
      <w:pPr>
        <w:pStyle w:val="Rejstk2"/>
        <w:tabs>
          <w:tab w:val="right" w:leader="dot" w:pos="4171"/>
        </w:tabs>
        <w:spacing w:line="240" w:lineRule="auto"/>
      </w:pPr>
      <w:r w:rsidRPr="003D1E07">
        <w:t>Toledská škola</w:t>
      </w:r>
      <w:r w:rsidRPr="003D1E07">
        <w:tab/>
        <w:t>195</w:t>
      </w:r>
    </w:p>
    <w:p w14:paraId="7B14F6F2" w14:textId="77777777" w:rsidR="00C04C0A" w:rsidRPr="003D1E07" w:rsidRDefault="00C04C0A" w:rsidP="00C04C0A">
      <w:pPr>
        <w:pStyle w:val="Rejstk2"/>
        <w:tabs>
          <w:tab w:val="right" w:leader="dot" w:pos="4171"/>
        </w:tabs>
        <w:spacing w:line="240" w:lineRule="auto"/>
      </w:pPr>
      <w:r w:rsidRPr="003D1E07">
        <w:t>trojí mediace</w:t>
      </w:r>
      <w:r w:rsidRPr="003D1E07">
        <w:tab/>
        <w:t>441</w:t>
      </w:r>
    </w:p>
    <w:p w14:paraId="6E52A5B6" w14:textId="77777777" w:rsidR="00C04C0A" w:rsidRPr="003D1E07" w:rsidRDefault="00C04C0A" w:rsidP="00C04C0A">
      <w:pPr>
        <w:pStyle w:val="Rejstk1"/>
        <w:tabs>
          <w:tab w:val="right" w:leader="dot" w:pos="4171"/>
        </w:tabs>
        <w:spacing w:line="240" w:lineRule="auto"/>
      </w:pPr>
      <w:r w:rsidRPr="003D1E07">
        <w:t>diakosmos</w:t>
      </w:r>
      <w:r w:rsidRPr="003D1E07">
        <w:tab/>
        <w:t>124, 125, 146, 154, 156, 171, 221, 282, 309, 321, 444, 448</w:t>
      </w:r>
    </w:p>
    <w:p w14:paraId="73AC246F" w14:textId="77777777" w:rsidR="00C04C0A" w:rsidRPr="003D1E07" w:rsidRDefault="00C04C0A" w:rsidP="00C04C0A">
      <w:pPr>
        <w:pStyle w:val="Rejstk1"/>
        <w:tabs>
          <w:tab w:val="right" w:leader="dot" w:pos="4171"/>
        </w:tabs>
        <w:spacing w:line="240" w:lineRule="auto"/>
      </w:pPr>
      <w:r w:rsidRPr="003D1E07">
        <w:t>dialog</w:t>
      </w:r>
      <w:r w:rsidRPr="003D1E07">
        <w:rPr>
          <w:i/>
        </w:rPr>
        <w:t xml:space="preserve"> Timaios</w:t>
      </w:r>
      <w:r w:rsidRPr="003D1E07">
        <w:tab/>
        <w:t>34, 124, 132, 147, 152, 155, 193, 202, 487</w:t>
      </w:r>
    </w:p>
    <w:p w14:paraId="2DFEB721" w14:textId="77777777" w:rsidR="00C04C0A" w:rsidRPr="003D1E07" w:rsidRDefault="00C04C0A" w:rsidP="00C04C0A">
      <w:pPr>
        <w:pStyle w:val="Rejstk1"/>
        <w:tabs>
          <w:tab w:val="right" w:leader="dot" w:pos="4171"/>
        </w:tabs>
        <w:spacing w:line="240" w:lineRule="auto"/>
      </w:pPr>
      <w:r w:rsidRPr="003D1E07">
        <w:t>Dilthey, W.</w:t>
      </w:r>
      <w:r w:rsidRPr="003D1E07">
        <w:tab/>
        <w:t>2</w:t>
      </w:r>
    </w:p>
    <w:p w14:paraId="1FC429C2" w14:textId="77777777" w:rsidR="00C04C0A" w:rsidRPr="003D1E07" w:rsidRDefault="00C04C0A" w:rsidP="00C04C0A">
      <w:pPr>
        <w:pStyle w:val="Rejstk1"/>
        <w:tabs>
          <w:tab w:val="right" w:leader="dot" w:pos="4171"/>
        </w:tabs>
        <w:spacing w:line="240" w:lineRule="auto"/>
      </w:pPr>
      <w:r w:rsidRPr="003D1E07">
        <w:t>druhá intence</w:t>
      </w:r>
      <w:r w:rsidRPr="003D1E07">
        <w:tab/>
        <w:t>187, 198, 229, 247, 390</w:t>
      </w:r>
    </w:p>
    <w:p w14:paraId="4382B6DE" w14:textId="20E00E57" w:rsidR="00C04C0A" w:rsidRPr="003D1E07" w:rsidRDefault="00C04C0A" w:rsidP="00C04C0A">
      <w:pPr>
        <w:pStyle w:val="Rejstk1"/>
        <w:tabs>
          <w:tab w:val="right" w:leader="dot" w:pos="4171"/>
        </w:tabs>
        <w:spacing w:line="240" w:lineRule="auto"/>
      </w:pPr>
      <w:r w:rsidRPr="003D1E07">
        <w:t>druhý averroismus</w:t>
      </w:r>
      <w:r w:rsidRPr="003D1E07">
        <w:tab/>
      </w:r>
      <w:r w:rsidR="00077DA6" w:rsidRPr="003D1E07">
        <w:t xml:space="preserve">170, 174, </w:t>
      </w:r>
      <w:r w:rsidRPr="003D1E07">
        <w:t>401</w:t>
      </w:r>
    </w:p>
    <w:p w14:paraId="1D6AAF12" w14:textId="77777777" w:rsidR="00C04C0A" w:rsidRPr="003D1E07" w:rsidRDefault="00C04C0A" w:rsidP="00C04C0A">
      <w:pPr>
        <w:pStyle w:val="Rejstk1"/>
        <w:tabs>
          <w:tab w:val="right" w:leader="dot" w:pos="4171"/>
        </w:tabs>
        <w:spacing w:line="240" w:lineRule="auto"/>
      </w:pPr>
      <w:r w:rsidRPr="003D1E07">
        <w:t>dualismus</w:t>
      </w:r>
    </w:p>
    <w:p w14:paraId="20CB029C" w14:textId="77777777" w:rsidR="00C04C0A" w:rsidRPr="003D1E07" w:rsidRDefault="00C04C0A" w:rsidP="00C04C0A">
      <w:pPr>
        <w:pStyle w:val="Rejstk2"/>
        <w:tabs>
          <w:tab w:val="right" w:leader="dot" w:pos="4171"/>
        </w:tabs>
        <w:spacing w:line="240" w:lineRule="auto"/>
      </w:pPr>
      <w:r w:rsidRPr="003D1E07">
        <w:t>Avicenna</w:t>
      </w:r>
      <w:r w:rsidRPr="003D1E07">
        <w:tab/>
        <w:t>268</w:t>
      </w:r>
    </w:p>
    <w:p w14:paraId="272FCF93" w14:textId="77777777" w:rsidR="00C04C0A" w:rsidRPr="003D1E07" w:rsidRDefault="00C04C0A" w:rsidP="00C04C0A">
      <w:pPr>
        <w:pStyle w:val="Rejstk2"/>
        <w:tabs>
          <w:tab w:val="right" w:leader="dot" w:pos="4171"/>
        </w:tabs>
        <w:spacing w:line="240" w:lineRule="auto"/>
      </w:pPr>
      <w:r w:rsidRPr="003D1E07">
        <w:t>Descartes</w:t>
      </w:r>
      <w:r w:rsidRPr="003D1E07">
        <w:tab/>
        <w:t>273</w:t>
      </w:r>
    </w:p>
    <w:p w14:paraId="703AF704" w14:textId="77777777" w:rsidR="00C04C0A" w:rsidRPr="003D1E07" w:rsidRDefault="00C04C0A" w:rsidP="00C04C0A">
      <w:pPr>
        <w:pStyle w:val="Hlavikarejstku"/>
        <w:keepNext/>
        <w:tabs>
          <w:tab w:val="right" w:leader="dot" w:pos="4171"/>
        </w:tabs>
        <w:spacing w:line="240" w:lineRule="auto"/>
        <w:rPr>
          <w:rFonts w:eastAsia="Times New Roman" w:cs="Times New Roman"/>
          <w:b w:val="0"/>
          <w:bCs w:val="0"/>
        </w:rPr>
      </w:pPr>
      <w:r w:rsidRPr="003D1E07">
        <w:t>E</w:t>
      </w:r>
    </w:p>
    <w:p w14:paraId="212352A2" w14:textId="77777777" w:rsidR="00C04C0A" w:rsidRPr="003D1E07" w:rsidRDefault="00C04C0A" w:rsidP="00C04C0A">
      <w:pPr>
        <w:pStyle w:val="Rejstk1"/>
        <w:tabs>
          <w:tab w:val="right" w:leader="dot" w:pos="4171"/>
        </w:tabs>
        <w:spacing w:line="240" w:lineRule="auto"/>
      </w:pPr>
      <w:r w:rsidRPr="003D1E07">
        <w:t>Einstein, A.</w:t>
      </w:r>
      <w:r w:rsidRPr="003D1E07">
        <w:tab/>
        <w:t>441</w:t>
      </w:r>
    </w:p>
    <w:p w14:paraId="6325E631" w14:textId="77777777" w:rsidR="00C04C0A" w:rsidRPr="003D1E07" w:rsidRDefault="00C04C0A" w:rsidP="00C04C0A">
      <w:pPr>
        <w:pStyle w:val="Rejstk1"/>
        <w:tabs>
          <w:tab w:val="right" w:leader="dot" w:pos="4171"/>
        </w:tabs>
        <w:spacing w:line="240" w:lineRule="auto"/>
      </w:pPr>
      <w:r w:rsidRPr="003D1E07">
        <w:rPr>
          <w:i/>
        </w:rPr>
        <w:t>Ek-sistenz</w:t>
      </w:r>
      <w:r w:rsidRPr="003D1E07">
        <w:tab/>
        <w:t>231</w:t>
      </w:r>
    </w:p>
    <w:p w14:paraId="3FFCE1BC" w14:textId="0767F29A" w:rsidR="00C04C0A" w:rsidRPr="003D1E07" w:rsidRDefault="00C04C0A" w:rsidP="00C04C0A">
      <w:pPr>
        <w:pStyle w:val="Rejstk1"/>
        <w:tabs>
          <w:tab w:val="right" w:leader="dot" w:pos="4171"/>
        </w:tabs>
        <w:spacing w:line="240" w:lineRule="auto"/>
      </w:pPr>
      <w:r w:rsidRPr="003D1E07">
        <w:t>Elias</w:t>
      </w:r>
      <w:r w:rsidR="000F4D2A" w:rsidRPr="003D1E07">
        <w:t xml:space="preserve">, viz </w:t>
      </w:r>
      <w:r w:rsidR="000F4D2A" w:rsidRPr="003D1E07">
        <w:rPr>
          <w:i/>
        </w:rPr>
        <w:t>Index locorum</w:t>
      </w:r>
    </w:p>
    <w:p w14:paraId="5B454CE4" w14:textId="77777777" w:rsidR="00C04C0A" w:rsidRPr="003D1E07" w:rsidRDefault="00C04C0A" w:rsidP="00C04C0A">
      <w:pPr>
        <w:pStyle w:val="Rejstk1"/>
        <w:tabs>
          <w:tab w:val="right" w:leader="dot" w:pos="4171"/>
        </w:tabs>
        <w:spacing w:line="240" w:lineRule="auto"/>
      </w:pPr>
      <w:r w:rsidRPr="003D1E07">
        <w:t>emanace</w:t>
      </w:r>
      <w:r w:rsidRPr="003D1E07">
        <w:tab/>
        <w:t>119, 124, 179, 260, 271, 317, 324, 329, 330</w:t>
      </w:r>
    </w:p>
    <w:p w14:paraId="0CA3A611" w14:textId="77777777" w:rsidR="00C04C0A" w:rsidRPr="003D1E07" w:rsidRDefault="00C04C0A" w:rsidP="00C04C0A">
      <w:pPr>
        <w:pStyle w:val="Rejstk1"/>
        <w:tabs>
          <w:tab w:val="right" w:leader="dot" w:pos="4171"/>
        </w:tabs>
        <w:spacing w:line="240" w:lineRule="auto"/>
      </w:pPr>
      <w:r w:rsidRPr="003D1E07">
        <w:rPr>
          <w:i/>
        </w:rPr>
        <w:t>ens diminutum</w:t>
      </w:r>
      <w:r w:rsidRPr="003D1E07">
        <w:tab/>
        <w:t>248, 288, 319, 419</w:t>
      </w:r>
    </w:p>
    <w:p w14:paraId="7D26887A" w14:textId="77777777" w:rsidR="00C04C0A" w:rsidRPr="003D1E07" w:rsidRDefault="00C04C0A" w:rsidP="00C04C0A">
      <w:pPr>
        <w:pStyle w:val="Rejstk1"/>
        <w:tabs>
          <w:tab w:val="right" w:leader="dot" w:pos="4171"/>
        </w:tabs>
        <w:spacing w:line="240" w:lineRule="auto"/>
      </w:pPr>
      <w:r w:rsidRPr="003D1E07">
        <w:rPr>
          <w:i/>
        </w:rPr>
        <w:t>ens inquantum ens</w:t>
      </w:r>
      <w:r w:rsidRPr="003D1E07">
        <w:tab/>
        <w:t>229, 234, 293, 301, 320, 332, 334, 338, 347, 351, 355, 356, 361, 368, 370, 396, 474, 476</w:t>
      </w:r>
    </w:p>
    <w:p w14:paraId="4A4EBA43" w14:textId="5EE41F95" w:rsidR="00C04C0A" w:rsidRPr="003D1E07" w:rsidRDefault="00AF7D2C" w:rsidP="00C04C0A">
      <w:pPr>
        <w:pStyle w:val="Rejstk1"/>
        <w:tabs>
          <w:tab w:val="right" w:leader="dot" w:pos="4171"/>
        </w:tabs>
        <w:spacing w:line="240" w:lineRule="auto"/>
      </w:pPr>
      <w:r w:rsidRPr="00AF7D2C">
        <w:t xml:space="preserve">substance </w:t>
      </w:r>
      <w:r w:rsidRPr="00AF7D2C">
        <w:rPr>
          <w:i/>
        </w:rPr>
        <w:t>qua</w:t>
      </w:r>
      <w:r w:rsidRPr="00AF7D2C">
        <w:t xml:space="preserve"> substance</w:t>
      </w:r>
      <w:r w:rsidR="00C04C0A" w:rsidRPr="003D1E07">
        <w:tab/>
        <w:t>354, 355, 356, 362</w:t>
      </w:r>
    </w:p>
    <w:p w14:paraId="494C859D" w14:textId="77777777" w:rsidR="00C04C0A" w:rsidRPr="003D1E07" w:rsidRDefault="00C04C0A" w:rsidP="00C04C0A">
      <w:pPr>
        <w:pStyle w:val="Rejstk1"/>
        <w:tabs>
          <w:tab w:val="right" w:leader="dot" w:pos="4171"/>
        </w:tabs>
        <w:spacing w:line="240" w:lineRule="auto"/>
      </w:pPr>
      <w:r w:rsidRPr="003D1E07">
        <w:rPr>
          <w:i/>
        </w:rPr>
        <w:t>ens rationis</w:t>
      </w:r>
      <w:r w:rsidRPr="003D1E07">
        <w:tab/>
        <w:t>218, 251, 482</w:t>
      </w:r>
    </w:p>
    <w:p w14:paraId="17AEB9BF" w14:textId="77777777" w:rsidR="00C04C0A" w:rsidRPr="003D1E07" w:rsidRDefault="00C04C0A" w:rsidP="00C04C0A">
      <w:pPr>
        <w:pStyle w:val="Rejstk1"/>
        <w:tabs>
          <w:tab w:val="right" w:leader="dot" w:pos="4171"/>
        </w:tabs>
        <w:spacing w:line="240" w:lineRule="auto"/>
      </w:pPr>
      <w:r w:rsidRPr="003D1E07">
        <w:rPr>
          <w:i/>
        </w:rPr>
        <w:t>ens ratum</w:t>
      </w:r>
      <w:r w:rsidRPr="003D1E07">
        <w:tab/>
        <w:t>314</w:t>
      </w:r>
    </w:p>
    <w:p w14:paraId="25188278" w14:textId="77777777" w:rsidR="00C04C0A" w:rsidRPr="003D1E07" w:rsidRDefault="00C04C0A" w:rsidP="00C04C0A">
      <w:pPr>
        <w:pStyle w:val="Rejstk1"/>
        <w:tabs>
          <w:tab w:val="right" w:leader="dot" w:pos="4171"/>
        </w:tabs>
        <w:spacing w:line="240" w:lineRule="auto"/>
      </w:pPr>
      <w:r w:rsidRPr="003D1E07">
        <w:rPr>
          <w:i/>
        </w:rPr>
        <w:lastRenderedPageBreak/>
        <w:t>Entfremdung</w:t>
      </w:r>
      <w:r w:rsidRPr="003D1E07">
        <w:tab/>
        <w:t>139</w:t>
      </w:r>
    </w:p>
    <w:p w14:paraId="38520445" w14:textId="66A932CD" w:rsidR="00C04C0A" w:rsidRPr="003D1E07" w:rsidRDefault="00C04C0A" w:rsidP="00C04C0A">
      <w:pPr>
        <w:pStyle w:val="Rejstk1"/>
        <w:tabs>
          <w:tab w:val="right" w:leader="dot" w:pos="4171"/>
        </w:tabs>
        <w:spacing w:line="240" w:lineRule="auto"/>
      </w:pPr>
      <w:r w:rsidRPr="003D1E07">
        <w:rPr>
          <w:i/>
        </w:rPr>
        <w:t>epistémé</w:t>
      </w:r>
      <w:r w:rsidRPr="003D1E07">
        <w:tab/>
      </w:r>
      <w:r w:rsidR="000F4D2A" w:rsidRPr="003D1E07">
        <w:t xml:space="preserve">2, </w:t>
      </w:r>
      <w:r w:rsidRPr="003D1E07">
        <w:t>356</w:t>
      </w:r>
    </w:p>
    <w:p w14:paraId="237CFC52" w14:textId="040EC7B4" w:rsidR="00C04C0A" w:rsidRPr="003D1E07" w:rsidRDefault="00C04C0A" w:rsidP="00C04C0A">
      <w:pPr>
        <w:pStyle w:val="Rejstk1"/>
        <w:tabs>
          <w:tab w:val="right" w:leader="dot" w:pos="4171"/>
        </w:tabs>
        <w:spacing w:line="240" w:lineRule="auto"/>
      </w:pPr>
      <w:r w:rsidRPr="003D1E07">
        <w:rPr>
          <w:i/>
        </w:rPr>
        <w:t>epoché</w:t>
      </w:r>
      <w:r w:rsidRPr="003D1E07">
        <w:tab/>
        <w:t xml:space="preserve">32, 58, 139, 169, </w:t>
      </w:r>
      <w:r w:rsidR="000F4D2A" w:rsidRPr="003D1E07">
        <w:t xml:space="preserve">301, </w:t>
      </w:r>
      <w:r w:rsidRPr="003D1E07">
        <w:t>472</w:t>
      </w:r>
    </w:p>
    <w:p w14:paraId="514B3756" w14:textId="77777777" w:rsidR="00C04C0A" w:rsidRPr="003D1E07" w:rsidRDefault="00C04C0A" w:rsidP="00C04C0A">
      <w:pPr>
        <w:pStyle w:val="Rejstk1"/>
        <w:tabs>
          <w:tab w:val="right" w:leader="dot" w:pos="4171"/>
        </w:tabs>
        <w:spacing w:line="240" w:lineRule="auto"/>
      </w:pPr>
      <w:r w:rsidRPr="003D1E07">
        <w:rPr>
          <w:i/>
        </w:rPr>
        <w:t>equinitas tantum</w:t>
      </w:r>
      <w:r w:rsidRPr="003D1E07">
        <w:tab/>
        <w:t>229, 308, 333</w:t>
      </w:r>
    </w:p>
    <w:p w14:paraId="4D96D1B5" w14:textId="77777777" w:rsidR="00C04C0A" w:rsidRPr="003D1E07" w:rsidRDefault="00C04C0A" w:rsidP="00C04C0A">
      <w:pPr>
        <w:pStyle w:val="Rejstk1"/>
        <w:tabs>
          <w:tab w:val="right" w:leader="dot" w:pos="4171"/>
        </w:tabs>
        <w:spacing w:line="240" w:lineRule="auto"/>
      </w:pPr>
      <w:r w:rsidRPr="003D1E07">
        <w:rPr>
          <w:i/>
        </w:rPr>
        <w:t>Ereignis</w:t>
      </w:r>
      <w:r w:rsidRPr="003D1E07">
        <w:tab/>
        <w:t>28, 57, 63, 65, 196, 231, 238, 266, 371, 440, 487</w:t>
      </w:r>
    </w:p>
    <w:p w14:paraId="2DF7E313" w14:textId="77777777" w:rsidR="00C04C0A" w:rsidRPr="003D1E07" w:rsidRDefault="00C04C0A" w:rsidP="00C04C0A">
      <w:pPr>
        <w:pStyle w:val="Rejstk1"/>
        <w:tabs>
          <w:tab w:val="right" w:leader="dot" w:pos="4171"/>
        </w:tabs>
        <w:spacing w:line="240" w:lineRule="auto"/>
      </w:pPr>
      <w:r w:rsidRPr="003D1E07">
        <w:t>Erínye</w:t>
      </w:r>
      <w:r w:rsidRPr="003D1E07">
        <w:tab/>
        <w:t>49, 50, 114, 122, 123, 136, 150, 171, 196, 375, 407</w:t>
      </w:r>
    </w:p>
    <w:p w14:paraId="19CF0CF9" w14:textId="77777777" w:rsidR="00C04C0A" w:rsidRPr="003D1E07" w:rsidRDefault="00C04C0A" w:rsidP="00C04C0A">
      <w:pPr>
        <w:pStyle w:val="Rejstk1"/>
        <w:tabs>
          <w:tab w:val="right" w:leader="dot" w:pos="4171"/>
        </w:tabs>
        <w:spacing w:line="240" w:lineRule="auto"/>
      </w:pPr>
      <w:r w:rsidRPr="003D1E07">
        <w:rPr>
          <w:i/>
        </w:rPr>
        <w:t>Es gibt</w:t>
      </w:r>
      <w:r w:rsidRPr="003D1E07">
        <w:tab/>
        <w:t>61</w:t>
      </w:r>
    </w:p>
    <w:p w14:paraId="3731615B" w14:textId="77777777" w:rsidR="00C04C0A" w:rsidRPr="003D1E07" w:rsidRDefault="00C04C0A" w:rsidP="00C04C0A">
      <w:pPr>
        <w:pStyle w:val="Rejstk1"/>
        <w:tabs>
          <w:tab w:val="right" w:leader="dot" w:pos="4171"/>
        </w:tabs>
        <w:spacing w:line="240" w:lineRule="auto"/>
      </w:pPr>
      <w:r w:rsidRPr="003D1E07">
        <w:t>esence</w:t>
      </w:r>
    </w:p>
    <w:p w14:paraId="7C70C309" w14:textId="77777777" w:rsidR="00C04C0A" w:rsidRPr="003D1E07" w:rsidRDefault="00C04C0A" w:rsidP="00C04C0A">
      <w:pPr>
        <w:pStyle w:val="Rejstk2"/>
        <w:tabs>
          <w:tab w:val="right" w:leader="dot" w:pos="4171"/>
        </w:tabs>
        <w:spacing w:line="240" w:lineRule="auto"/>
      </w:pPr>
      <w:r w:rsidRPr="003D1E07">
        <w:t>falsafa</w:t>
      </w:r>
      <w:r w:rsidRPr="003D1E07">
        <w:tab/>
        <w:t>243, 279, 293, 317, 331</w:t>
      </w:r>
    </w:p>
    <w:p w14:paraId="0CF72E74" w14:textId="77777777" w:rsidR="00C04C0A" w:rsidRPr="003D1E07" w:rsidRDefault="00C04C0A" w:rsidP="00C04C0A">
      <w:pPr>
        <w:pStyle w:val="Rejstk2"/>
        <w:tabs>
          <w:tab w:val="right" w:leader="dot" w:pos="4171"/>
        </w:tabs>
        <w:spacing w:line="240" w:lineRule="auto"/>
      </w:pPr>
      <w:r w:rsidRPr="003D1E07">
        <w:t>Ibn Ádí</w:t>
      </w:r>
      <w:r w:rsidRPr="003D1E07">
        <w:tab/>
        <w:t>245</w:t>
      </w:r>
    </w:p>
    <w:p w14:paraId="01BDC720" w14:textId="77777777" w:rsidR="00C04C0A" w:rsidRPr="003D1E07" w:rsidRDefault="00C04C0A" w:rsidP="00C04C0A">
      <w:pPr>
        <w:pStyle w:val="Rejstk2"/>
        <w:tabs>
          <w:tab w:val="right" w:leader="dot" w:pos="4171"/>
        </w:tabs>
        <w:spacing w:line="240" w:lineRule="auto"/>
      </w:pPr>
      <w:r w:rsidRPr="003D1E07">
        <w:t>neoplatonimus</w:t>
      </w:r>
      <w:r w:rsidRPr="003D1E07">
        <w:tab/>
        <w:t>121, 150</w:t>
      </w:r>
    </w:p>
    <w:p w14:paraId="688CC5D4" w14:textId="77777777" w:rsidR="00C04C0A" w:rsidRPr="003D1E07" w:rsidRDefault="00C04C0A" w:rsidP="00C04C0A">
      <w:pPr>
        <w:pStyle w:val="Rejstk1"/>
        <w:tabs>
          <w:tab w:val="right" w:leader="dot" w:pos="4171"/>
        </w:tabs>
        <w:spacing w:line="240" w:lineRule="auto"/>
      </w:pPr>
      <w:r w:rsidRPr="003D1E07">
        <w:rPr>
          <w:i/>
        </w:rPr>
        <w:t>esse ad</w:t>
      </w:r>
      <w:r w:rsidRPr="003D1E07">
        <w:tab/>
        <w:t>245, 334</w:t>
      </w:r>
    </w:p>
    <w:p w14:paraId="7B8E407D" w14:textId="77777777" w:rsidR="00C04C0A" w:rsidRPr="003D1E07" w:rsidRDefault="00C04C0A" w:rsidP="00C04C0A">
      <w:pPr>
        <w:pStyle w:val="Rejstk2"/>
        <w:tabs>
          <w:tab w:val="right" w:leader="dot" w:pos="4171"/>
        </w:tabs>
        <w:spacing w:line="240" w:lineRule="auto"/>
      </w:pPr>
      <w:r w:rsidRPr="003D1E07">
        <w:rPr>
          <w:lang w:eastAsia="en-US"/>
        </w:rPr>
        <w:t>Avicenna</w:t>
      </w:r>
      <w:r w:rsidRPr="003D1E07">
        <w:tab/>
        <w:t>308, 330</w:t>
      </w:r>
    </w:p>
    <w:p w14:paraId="1B4CF087" w14:textId="77777777" w:rsidR="00C04C0A" w:rsidRPr="003D1E07" w:rsidRDefault="00C04C0A" w:rsidP="00C04C0A">
      <w:pPr>
        <w:pStyle w:val="Rejstk2"/>
        <w:tabs>
          <w:tab w:val="right" w:leader="dot" w:pos="4171"/>
        </w:tabs>
        <w:spacing w:line="240" w:lineRule="auto"/>
      </w:pPr>
      <w:r w:rsidRPr="003D1E07">
        <w:t>Ibn Ádí</w:t>
      </w:r>
      <w:r w:rsidRPr="003D1E07">
        <w:tab/>
        <w:t>294, 330</w:t>
      </w:r>
    </w:p>
    <w:p w14:paraId="71B41AEB" w14:textId="77777777" w:rsidR="00C04C0A" w:rsidRPr="003D1E07" w:rsidRDefault="00C04C0A" w:rsidP="00C04C0A">
      <w:pPr>
        <w:pStyle w:val="Rejstk2"/>
        <w:tabs>
          <w:tab w:val="right" w:leader="dot" w:pos="4171"/>
        </w:tabs>
        <w:spacing w:line="240" w:lineRule="auto"/>
      </w:pPr>
      <w:r w:rsidRPr="003D1E07">
        <w:t>Simplikius</w:t>
      </w:r>
      <w:r w:rsidRPr="003D1E07">
        <w:tab/>
        <w:t>146, 246</w:t>
      </w:r>
    </w:p>
    <w:p w14:paraId="2579AC33" w14:textId="77777777" w:rsidR="00C04C0A" w:rsidRPr="003D1E07" w:rsidRDefault="00C04C0A" w:rsidP="00C04C0A">
      <w:pPr>
        <w:pStyle w:val="Rejstk1"/>
        <w:tabs>
          <w:tab w:val="right" w:leader="dot" w:pos="4171"/>
        </w:tabs>
        <w:spacing w:line="240" w:lineRule="auto"/>
      </w:pPr>
      <w:r w:rsidRPr="003D1E07">
        <w:rPr>
          <w:i/>
        </w:rPr>
        <w:t>esse aliud</w:t>
      </w:r>
      <w:r w:rsidRPr="003D1E07">
        <w:tab/>
        <w:t>282</w:t>
      </w:r>
    </w:p>
    <w:p w14:paraId="47CFD9B3" w14:textId="77777777" w:rsidR="00C04C0A" w:rsidRPr="003D1E07" w:rsidRDefault="00C04C0A" w:rsidP="00C04C0A">
      <w:pPr>
        <w:pStyle w:val="Rejstk1"/>
        <w:tabs>
          <w:tab w:val="right" w:leader="dot" w:pos="4171"/>
        </w:tabs>
        <w:spacing w:line="240" w:lineRule="auto"/>
      </w:pPr>
      <w:r w:rsidRPr="003D1E07">
        <w:rPr>
          <w:i/>
        </w:rPr>
        <w:t>esse diminutum</w:t>
      </w:r>
      <w:r w:rsidRPr="003D1E07">
        <w:tab/>
        <w:t>103, 247, 280, 284, 288, 333, 351, 419, 477</w:t>
      </w:r>
    </w:p>
    <w:p w14:paraId="0BDF7236" w14:textId="77777777" w:rsidR="00C04C0A" w:rsidRPr="003D1E07" w:rsidRDefault="00C04C0A" w:rsidP="00C04C0A">
      <w:pPr>
        <w:pStyle w:val="Rejstk1"/>
        <w:tabs>
          <w:tab w:val="right" w:leader="dot" w:pos="4171"/>
        </w:tabs>
        <w:spacing w:line="240" w:lineRule="auto"/>
      </w:pPr>
      <w:r w:rsidRPr="003D1E07">
        <w:rPr>
          <w:i/>
        </w:rPr>
        <w:t>esse ratum</w:t>
      </w:r>
      <w:r w:rsidRPr="003D1E07">
        <w:tab/>
        <w:t>103</w:t>
      </w:r>
    </w:p>
    <w:p w14:paraId="162D2E5A" w14:textId="77777777" w:rsidR="00C04C0A" w:rsidRPr="003D1E07" w:rsidRDefault="00C04C0A" w:rsidP="00C04C0A">
      <w:pPr>
        <w:pStyle w:val="Rejstk1"/>
        <w:tabs>
          <w:tab w:val="right" w:leader="dot" w:pos="4171"/>
        </w:tabs>
        <w:spacing w:line="240" w:lineRule="auto"/>
      </w:pPr>
      <w:r w:rsidRPr="003D1E07">
        <w:rPr>
          <w:i/>
          <w:lang w:eastAsia="en-US"/>
        </w:rPr>
        <w:t>esse tantum</w:t>
      </w:r>
      <w:r w:rsidRPr="003D1E07">
        <w:tab/>
        <w:t>296</w:t>
      </w:r>
    </w:p>
    <w:p w14:paraId="5E57F707" w14:textId="77777777" w:rsidR="00C04C0A" w:rsidRPr="003D1E07" w:rsidRDefault="00C04C0A" w:rsidP="00C04C0A">
      <w:pPr>
        <w:pStyle w:val="Rejstk1"/>
        <w:tabs>
          <w:tab w:val="right" w:leader="dot" w:pos="4171"/>
        </w:tabs>
        <w:spacing w:line="240" w:lineRule="auto"/>
      </w:pPr>
      <w:r w:rsidRPr="003D1E07">
        <w:t>Eurigena, Scotus</w:t>
      </w:r>
      <w:r w:rsidRPr="003D1E07">
        <w:tab/>
        <w:t>150</w:t>
      </w:r>
    </w:p>
    <w:p w14:paraId="6FACBA8E" w14:textId="4496BC05" w:rsidR="00C04C0A" w:rsidRPr="003D1E07" w:rsidRDefault="00C04C0A" w:rsidP="00C04C0A">
      <w:pPr>
        <w:pStyle w:val="Rejstk1"/>
        <w:tabs>
          <w:tab w:val="right" w:leader="dot" w:pos="4171"/>
        </w:tabs>
        <w:spacing w:line="240" w:lineRule="auto"/>
      </w:pPr>
      <w:r w:rsidRPr="003D1E07">
        <w:t>Euripides</w:t>
      </w:r>
      <w:r w:rsidR="000F4D2A" w:rsidRPr="003D1E07">
        <w:t xml:space="preserve">, viz </w:t>
      </w:r>
      <w:r w:rsidR="000F4D2A" w:rsidRPr="003D1E07">
        <w:rPr>
          <w:i/>
        </w:rPr>
        <w:t>Index locorum</w:t>
      </w:r>
    </w:p>
    <w:p w14:paraId="5295F662" w14:textId="4CFA218E" w:rsidR="00C04C0A" w:rsidRPr="003D1E07" w:rsidRDefault="00C04C0A" w:rsidP="000F4D2A">
      <w:pPr>
        <w:pStyle w:val="Rejstk1"/>
        <w:tabs>
          <w:tab w:val="right" w:leader="dot" w:pos="4171"/>
        </w:tabs>
        <w:spacing w:line="240" w:lineRule="auto"/>
      </w:pPr>
      <w:r w:rsidRPr="003D1E07">
        <w:t>evidence</w:t>
      </w:r>
      <w:r w:rsidR="000F4D2A" w:rsidRPr="003D1E07">
        <w:tab/>
      </w:r>
      <w:r w:rsidRPr="003D1E07">
        <w:t>283, 288, 297</w:t>
      </w:r>
    </w:p>
    <w:p w14:paraId="5E19FD78" w14:textId="77777777" w:rsidR="00C04C0A" w:rsidRPr="003D1E07" w:rsidRDefault="00C04C0A" w:rsidP="00C04C0A">
      <w:pPr>
        <w:pStyle w:val="Rejstk1"/>
        <w:tabs>
          <w:tab w:val="right" w:leader="dot" w:pos="4171"/>
        </w:tabs>
        <w:spacing w:line="240" w:lineRule="auto"/>
      </w:pPr>
      <w:r w:rsidRPr="003D1E07">
        <w:rPr>
          <w:i/>
        </w:rPr>
        <w:t>exsistere</w:t>
      </w:r>
      <w:r w:rsidRPr="003D1E07">
        <w:tab/>
        <w:t>247, 274, 284, 445</w:t>
      </w:r>
    </w:p>
    <w:p w14:paraId="261DC5B4" w14:textId="77777777" w:rsidR="00C04C0A" w:rsidRPr="003D1E07" w:rsidRDefault="00C04C0A" w:rsidP="00C04C0A">
      <w:pPr>
        <w:pStyle w:val="Rejstk2"/>
        <w:tabs>
          <w:tab w:val="right" w:leader="dot" w:pos="4171"/>
        </w:tabs>
        <w:spacing w:line="240" w:lineRule="auto"/>
      </w:pPr>
      <w:r w:rsidRPr="003D1E07">
        <w:t>Proklus</w:t>
      </w:r>
      <w:r w:rsidRPr="003D1E07">
        <w:tab/>
        <w:t>121</w:t>
      </w:r>
    </w:p>
    <w:p w14:paraId="5F364D73" w14:textId="77777777" w:rsidR="00C04C0A" w:rsidRPr="003D1E07" w:rsidRDefault="00C04C0A" w:rsidP="00C04C0A">
      <w:pPr>
        <w:pStyle w:val="Rejstk2"/>
        <w:tabs>
          <w:tab w:val="right" w:leader="dot" w:pos="4171"/>
        </w:tabs>
        <w:spacing w:line="240" w:lineRule="auto"/>
      </w:pPr>
      <w:r w:rsidRPr="003D1E07">
        <w:t>Rufus</w:t>
      </w:r>
      <w:r w:rsidRPr="003D1E07">
        <w:tab/>
        <w:t>232</w:t>
      </w:r>
    </w:p>
    <w:p w14:paraId="4146246C" w14:textId="77777777" w:rsidR="00C04C0A" w:rsidRPr="003D1E07" w:rsidRDefault="00C04C0A" w:rsidP="00C04C0A">
      <w:pPr>
        <w:pStyle w:val="Hlavikarejstku"/>
        <w:keepNext/>
        <w:tabs>
          <w:tab w:val="right" w:leader="dot" w:pos="4171"/>
        </w:tabs>
        <w:spacing w:line="240" w:lineRule="auto"/>
        <w:rPr>
          <w:rFonts w:eastAsia="Times New Roman" w:cs="Times New Roman"/>
          <w:b w:val="0"/>
          <w:bCs w:val="0"/>
        </w:rPr>
      </w:pPr>
      <w:r w:rsidRPr="003D1E07">
        <w:t>F</w:t>
      </w:r>
    </w:p>
    <w:p w14:paraId="3AF00F70" w14:textId="77777777" w:rsidR="00C04C0A" w:rsidRPr="003D1E07" w:rsidRDefault="00C04C0A" w:rsidP="00C04C0A">
      <w:pPr>
        <w:pStyle w:val="Rejstk1"/>
        <w:tabs>
          <w:tab w:val="right" w:leader="dot" w:pos="4171"/>
        </w:tabs>
        <w:spacing w:line="240" w:lineRule="auto"/>
      </w:pPr>
      <w:r w:rsidRPr="003D1E07">
        <w:rPr>
          <w:i/>
        </w:rPr>
        <w:t>factum</w:t>
      </w:r>
      <w:r w:rsidRPr="003D1E07">
        <w:tab/>
        <w:t>35</w:t>
      </w:r>
    </w:p>
    <w:p w14:paraId="268D0B1D" w14:textId="77777777" w:rsidR="00C04C0A" w:rsidRPr="003D1E07" w:rsidRDefault="00C04C0A" w:rsidP="00C04C0A">
      <w:pPr>
        <w:pStyle w:val="Rejstk1"/>
        <w:tabs>
          <w:tab w:val="right" w:leader="dot" w:pos="4171"/>
        </w:tabs>
        <w:spacing w:line="240" w:lineRule="auto"/>
      </w:pPr>
      <w:r w:rsidRPr="003D1E07">
        <w:t>fenomenologie</w:t>
      </w:r>
      <w:r w:rsidRPr="003D1E07">
        <w:tab/>
        <w:t>16, 171, 458</w:t>
      </w:r>
    </w:p>
    <w:p w14:paraId="0BF01FB2" w14:textId="77777777" w:rsidR="00C04C0A" w:rsidRPr="003D1E07" w:rsidRDefault="00C04C0A" w:rsidP="00C04C0A">
      <w:pPr>
        <w:pStyle w:val="Rejstk1"/>
        <w:tabs>
          <w:tab w:val="right" w:leader="dot" w:pos="4171"/>
        </w:tabs>
        <w:spacing w:line="240" w:lineRule="auto"/>
      </w:pPr>
      <w:r w:rsidRPr="003D1E07">
        <w:t>Feyerabend, P. K.</w:t>
      </w:r>
      <w:r w:rsidRPr="003D1E07">
        <w:tab/>
        <w:t>3</w:t>
      </w:r>
    </w:p>
    <w:p w14:paraId="15FCA012" w14:textId="77777777" w:rsidR="00C04C0A" w:rsidRPr="003D1E07" w:rsidRDefault="00C04C0A" w:rsidP="00C04C0A">
      <w:pPr>
        <w:pStyle w:val="Rejstk1"/>
        <w:tabs>
          <w:tab w:val="right" w:leader="dot" w:pos="4171"/>
        </w:tabs>
        <w:spacing w:line="240" w:lineRule="auto"/>
      </w:pPr>
      <w:r w:rsidRPr="003D1E07">
        <w:t>Filip Kancléř</w:t>
      </w:r>
      <w:r w:rsidRPr="003D1E07">
        <w:tab/>
        <w:t>318</w:t>
      </w:r>
    </w:p>
    <w:p w14:paraId="1795930E" w14:textId="605B880D" w:rsidR="00C04C0A" w:rsidRPr="003D1E07" w:rsidRDefault="00C04C0A" w:rsidP="00C04C0A">
      <w:pPr>
        <w:pStyle w:val="Rejstk1"/>
        <w:tabs>
          <w:tab w:val="right" w:leader="dot" w:pos="4171"/>
        </w:tabs>
        <w:spacing w:line="240" w:lineRule="auto"/>
      </w:pPr>
      <w:r w:rsidRPr="003D1E07">
        <w:t>Filoponus</w:t>
      </w:r>
      <w:r w:rsidR="000F4D2A" w:rsidRPr="003D1E07">
        <w:t xml:space="preserve">, viz </w:t>
      </w:r>
      <w:r w:rsidR="000F4D2A" w:rsidRPr="003D1E07">
        <w:rPr>
          <w:i/>
        </w:rPr>
        <w:t>Index locorum</w:t>
      </w:r>
    </w:p>
    <w:p w14:paraId="11FBEE0B" w14:textId="77777777" w:rsidR="00C04C0A" w:rsidRPr="003D1E07" w:rsidRDefault="00C04C0A" w:rsidP="00C04C0A">
      <w:pPr>
        <w:pStyle w:val="Rejstk1"/>
        <w:tabs>
          <w:tab w:val="right" w:leader="dot" w:pos="4171"/>
        </w:tabs>
        <w:spacing w:line="240" w:lineRule="auto"/>
      </w:pPr>
      <w:r w:rsidRPr="003D1E07">
        <w:t>finanční deriváty</w:t>
      </w:r>
      <w:r w:rsidRPr="003D1E07">
        <w:tab/>
        <w:t>438, 471</w:t>
      </w:r>
    </w:p>
    <w:p w14:paraId="08E7D698" w14:textId="77777777" w:rsidR="00C04C0A" w:rsidRPr="003D1E07" w:rsidRDefault="00C04C0A" w:rsidP="00C04C0A">
      <w:pPr>
        <w:pStyle w:val="Rejstk1"/>
        <w:tabs>
          <w:tab w:val="right" w:leader="dot" w:pos="4171"/>
        </w:tabs>
        <w:spacing w:line="240" w:lineRule="auto"/>
      </w:pPr>
      <w:r w:rsidRPr="003D1E07">
        <w:rPr>
          <w:i/>
        </w:rPr>
        <w:t>fiṭra</w:t>
      </w:r>
      <w:r w:rsidRPr="003D1E07">
        <w:tab/>
        <w:t>268</w:t>
      </w:r>
    </w:p>
    <w:p w14:paraId="41203A58" w14:textId="77777777" w:rsidR="00C04C0A" w:rsidRPr="003D1E07" w:rsidRDefault="00C04C0A" w:rsidP="00C04C0A">
      <w:pPr>
        <w:pStyle w:val="Rejstk1"/>
        <w:tabs>
          <w:tab w:val="right" w:leader="dot" w:pos="4171"/>
        </w:tabs>
        <w:spacing w:line="240" w:lineRule="auto"/>
      </w:pPr>
      <w:r w:rsidRPr="003D1E07">
        <w:rPr>
          <w:i/>
        </w:rPr>
        <w:t>fiṭra mushtarika</w:t>
      </w:r>
      <w:r w:rsidRPr="003D1E07">
        <w:tab/>
        <w:t>213, 412</w:t>
      </w:r>
    </w:p>
    <w:p w14:paraId="0C6B137F" w14:textId="77777777" w:rsidR="00C04C0A" w:rsidRPr="003D1E07" w:rsidRDefault="00C04C0A" w:rsidP="00C04C0A">
      <w:pPr>
        <w:pStyle w:val="Rejstk1"/>
        <w:tabs>
          <w:tab w:val="right" w:leader="dot" w:pos="4171"/>
        </w:tabs>
        <w:spacing w:line="240" w:lineRule="auto"/>
      </w:pPr>
      <w:r w:rsidRPr="003D1E07">
        <w:rPr>
          <w:i/>
        </w:rPr>
        <w:t>formale Anzeige</w:t>
      </w:r>
      <w:r w:rsidRPr="003D1E07">
        <w:tab/>
        <w:t>455</w:t>
      </w:r>
    </w:p>
    <w:p w14:paraId="02D7943B" w14:textId="77777777" w:rsidR="00C04C0A" w:rsidRPr="003D1E07" w:rsidRDefault="00C04C0A" w:rsidP="00C04C0A">
      <w:pPr>
        <w:pStyle w:val="Rejstk1"/>
        <w:tabs>
          <w:tab w:val="right" w:leader="dot" w:pos="4171"/>
        </w:tabs>
        <w:spacing w:line="240" w:lineRule="auto"/>
      </w:pPr>
      <w:r w:rsidRPr="003D1E07">
        <w:t>Foucault, M.</w:t>
      </w:r>
      <w:r w:rsidRPr="003D1E07">
        <w:tab/>
        <w:t>2</w:t>
      </w:r>
    </w:p>
    <w:p w14:paraId="235E4B8A" w14:textId="77777777" w:rsidR="00C04C0A" w:rsidRPr="003D1E07" w:rsidRDefault="00C04C0A" w:rsidP="00C04C0A">
      <w:pPr>
        <w:pStyle w:val="Rejstk1"/>
        <w:tabs>
          <w:tab w:val="right" w:leader="dot" w:pos="4171"/>
        </w:tabs>
        <w:spacing w:line="240" w:lineRule="auto"/>
      </w:pPr>
      <w:r w:rsidRPr="003D1E07">
        <w:rPr>
          <w:lang w:eastAsia="en-US"/>
        </w:rPr>
        <w:t>Frankfurtská škola</w:t>
      </w:r>
      <w:r w:rsidRPr="003D1E07">
        <w:tab/>
        <w:t>479</w:t>
      </w:r>
    </w:p>
    <w:p w14:paraId="7384B823" w14:textId="6AAF6E02" w:rsidR="00C04C0A" w:rsidRPr="003D1E07" w:rsidRDefault="00C04C0A" w:rsidP="00C04C0A">
      <w:pPr>
        <w:pStyle w:val="Rejstk1"/>
        <w:tabs>
          <w:tab w:val="right" w:leader="dot" w:pos="4171"/>
        </w:tabs>
        <w:spacing w:line="240" w:lineRule="auto"/>
      </w:pPr>
      <w:r w:rsidRPr="003D1E07">
        <w:t>Freud, S.</w:t>
      </w:r>
      <w:r w:rsidR="000F4D2A" w:rsidRPr="003D1E07">
        <w:t xml:space="preserve">, viz </w:t>
      </w:r>
      <w:r w:rsidR="000F4D2A" w:rsidRPr="003D1E07">
        <w:rPr>
          <w:i/>
        </w:rPr>
        <w:t>Index locorum</w:t>
      </w:r>
    </w:p>
    <w:p w14:paraId="19BE2D67" w14:textId="77777777" w:rsidR="00C04C0A" w:rsidRPr="003D1E07" w:rsidRDefault="00C04C0A" w:rsidP="00C04C0A">
      <w:pPr>
        <w:pStyle w:val="Rejstk1"/>
        <w:tabs>
          <w:tab w:val="right" w:leader="dot" w:pos="4171"/>
        </w:tabs>
        <w:spacing w:line="240" w:lineRule="auto"/>
      </w:pPr>
      <w:r w:rsidRPr="003D1E07">
        <w:t>Fúrie</w:t>
      </w:r>
      <w:r w:rsidRPr="003D1E07">
        <w:tab/>
        <w:t>354</w:t>
      </w:r>
    </w:p>
    <w:p w14:paraId="2FE07A9F" w14:textId="77777777" w:rsidR="00C04C0A" w:rsidRPr="003D1E07" w:rsidRDefault="00C04C0A" w:rsidP="00C04C0A">
      <w:pPr>
        <w:pStyle w:val="Hlavikarejstku"/>
        <w:keepNext/>
        <w:tabs>
          <w:tab w:val="right" w:leader="dot" w:pos="4171"/>
        </w:tabs>
        <w:spacing w:line="240" w:lineRule="auto"/>
        <w:rPr>
          <w:rFonts w:eastAsia="Times New Roman" w:cs="Times New Roman"/>
          <w:b w:val="0"/>
          <w:bCs w:val="0"/>
        </w:rPr>
      </w:pPr>
      <w:r w:rsidRPr="003D1E07">
        <w:t>G</w:t>
      </w:r>
    </w:p>
    <w:p w14:paraId="51CCF410" w14:textId="77777777" w:rsidR="00C04C0A" w:rsidRPr="003D1E07" w:rsidRDefault="00C04C0A" w:rsidP="00C04C0A">
      <w:pPr>
        <w:pStyle w:val="Rejstk1"/>
        <w:tabs>
          <w:tab w:val="right" w:leader="dot" w:pos="4171"/>
        </w:tabs>
        <w:spacing w:line="240" w:lineRule="auto"/>
      </w:pPr>
      <w:r w:rsidRPr="003D1E07">
        <w:t>Gadamer, H.-G.</w:t>
      </w:r>
      <w:r w:rsidRPr="003D1E07">
        <w:tab/>
        <w:t>8</w:t>
      </w:r>
    </w:p>
    <w:p w14:paraId="3EBBDC89" w14:textId="77777777" w:rsidR="00C04C0A" w:rsidRPr="003D1E07" w:rsidRDefault="00C04C0A" w:rsidP="00C04C0A">
      <w:pPr>
        <w:pStyle w:val="Rejstk1"/>
        <w:tabs>
          <w:tab w:val="right" w:leader="dot" w:pos="4171"/>
        </w:tabs>
        <w:spacing w:line="240" w:lineRule="auto"/>
      </w:pPr>
      <w:r w:rsidRPr="003D1E07">
        <w:rPr>
          <w:lang w:eastAsia="en-US"/>
        </w:rPr>
        <w:t>Gauthier, A. R.</w:t>
      </w:r>
      <w:r w:rsidRPr="003D1E07">
        <w:tab/>
        <w:t>344</w:t>
      </w:r>
    </w:p>
    <w:p w14:paraId="48083BA0" w14:textId="77777777" w:rsidR="00C04C0A" w:rsidRPr="003D1E07" w:rsidRDefault="00C04C0A" w:rsidP="00C04C0A">
      <w:pPr>
        <w:pStyle w:val="Rejstk1"/>
        <w:tabs>
          <w:tab w:val="right" w:leader="dot" w:pos="4171"/>
        </w:tabs>
        <w:spacing w:line="240" w:lineRule="auto"/>
      </w:pPr>
      <w:r w:rsidRPr="003D1E07">
        <w:rPr>
          <w:i/>
          <w:iCs/>
        </w:rPr>
        <w:t>Gehaltsinn</w:t>
      </w:r>
      <w:r w:rsidRPr="003D1E07">
        <w:tab/>
        <w:t>15</w:t>
      </w:r>
    </w:p>
    <w:p w14:paraId="7EE44A61" w14:textId="77777777" w:rsidR="00C04C0A" w:rsidRPr="003D1E07" w:rsidRDefault="00C04C0A" w:rsidP="00C04C0A">
      <w:pPr>
        <w:pStyle w:val="Rejstk1"/>
        <w:tabs>
          <w:tab w:val="right" w:leader="dot" w:pos="4171"/>
        </w:tabs>
        <w:spacing w:line="240" w:lineRule="auto"/>
      </w:pPr>
      <w:r w:rsidRPr="003D1E07">
        <w:rPr>
          <w:i/>
        </w:rPr>
        <w:t>Ge-Stell</w:t>
      </w:r>
      <w:r w:rsidRPr="003D1E07">
        <w:tab/>
        <w:t>68, 71, 138, 289, 301, 303, 308, 379, 435, 461, 477, 478</w:t>
      </w:r>
    </w:p>
    <w:p w14:paraId="1706629A" w14:textId="77777777" w:rsidR="00C04C0A" w:rsidRPr="003D1E07" w:rsidRDefault="00C04C0A" w:rsidP="00C04C0A">
      <w:pPr>
        <w:pStyle w:val="Rejstk1"/>
        <w:tabs>
          <w:tab w:val="right" w:leader="dot" w:pos="4171"/>
        </w:tabs>
        <w:spacing w:line="240" w:lineRule="auto"/>
      </w:pPr>
      <w:r w:rsidRPr="003D1E07">
        <w:t>Gilson, E.</w:t>
      </w:r>
      <w:r w:rsidRPr="003D1E07">
        <w:tab/>
        <w:t>212, 261, 264</w:t>
      </w:r>
    </w:p>
    <w:p w14:paraId="6B016F0E" w14:textId="77777777" w:rsidR="00C04C0A" w:rsidRPr="003D1E07" w:rsidRDefault="00C04C0A" w:rsidP="00C04C0A">
      <w:pPr>
        <w:pStyle w:val="Rejstk1"/>
        <w:tabs>
          <w:tab w:val="right" w:leader="dot" w:pos="4171"/>
        </w:tabs>
        <w:spacing w:line="240" w:lineRule="auto"/>
      </w:pPr>
      <w:r w:rsidRPr="003D1E07">
        <w:t>Gödel, K.</w:t>
      </w:r>
      <w:r w:rsidRPr="003D1E07">
        <w:tab/>
        <w:t>6</w:t>
      </w:r>
    </w:p>
    <w:p w14:paraId="310E665F" w14:textId="77777777" w:rsidR="00C04C0A" w:rsidRPr="003D1E07" w:rsidRDefault="00C04C0A" w:rsidP="00C04C0A">
      <w:pPr>
        <w:pStyle w:val="Rejstk1"/>
        <w:tabs>
          <w:tab w:val="right" w:leader="dot" w:pos="4171"/>
        </w:tabs>
        <w:spacing w:line="240" w:lineRule="auto"/>
      </w:pPr>
      <w:r w:rsidRPr="003D1E07">
        <w:rPr>
          <w:i/>
          <w:lang w:eastAsia="en-US"/>
        </w:rPr>
        <w:t>Grund</w:t>
      </w:r>
      <w:r w:rsidRPr="003D1E07">
        <w:tab/>
        <w:t>372</w:t>
      </w:r>
    </w:p>
    <w:p w14:paraId="107A0EC6" w14:textId="77777777" w:rsidR="00C04C0A" w:rsidRPr="003D1E07" w:rsidRDefault="00C04C0A" w:rsidP="00C04C0A">
      <w:pPr>
        <w:pStyle w:val="Rejstk1"/>
        <w:tabs>
          <w:tab w:val="right" w:leader="dot" w:pos="4171"/>
        </w:tabs>
        <w:spacing w:line="240" w:lineRule="auto"/>
      </w:pPr>
      <w:r w:rsidRPr="003D1E07">
        <w:rPr>
          <w:i/>
        </w:rPr>
        <w:t>Gründung</w:t>
      </w:r>
      <w:r w:rsidRPr="003D1E07">
        <w:tab/>
        <w:t>291</w:t>
      </w:r>
    </w:p>
    <w:p w14:paraId="0D4A06F7" w14:textId="1E0AC705" w:rsidR="00C04C0A" w:rsidRPr="003D1E07" w:rsidRDefault="00C04C0A" w:rsidP="000F4D2A">
      <w:pPr>
        <w:pStyle w:val="Rejstk1"/>
        <w:tabs>
          <w:tab w:val="right" w:leader="dot" w:pos="4171"/>
        </w:tabs>
        <w:spacing w:line="240" w:lineRule="auto"/>
      </w:pPr>
      <w:r w:rsidRPr="003D1E07">
        <w:t>Gundissalinus</w:t>
      </w:r>
      <w:r w:rsidR="000F4D2A" w:rsidRPr="003D1E07">
        <w:tab/>
        <w:t xml:space="preserve">viz </w:t>
      </w:r>
      <w:r w:rsidR="000F4D2A" w:rsidRPr="003D1E07">
        <w:rPr>
          <w:i/>
        </w:rPr>
        <w:t xml:space="preserve">Index locorum, </w:t>
      </w:r>
      <w:r w:rsidRPr="003D1E07">
        <w:t>194, 274</w:t>
      </w:r>
    </w:p>
    <w:p w14:paraId="6BF9E7E7" w14:textId="5C469097" w:rsidR="00C04C0A" w:rsidRPr="003D1E07" w:rsidRDefault="00C04C0A" w:rsidP="00C04C0A">
      <w:pPr>
        <w:pStyle w:val="Hlavikarejstku"/>
        <w:keepNext/>
        <w:tabs>
          <w:tab w:val="right" w:leader="dot" w:pos="4171"/>
        </w:tabs>
        <w:spacing w:line="240" w:lineRule="auto"/>
        <w:rPr>
          <w:rFonts w:eastAsia="Times New Roman" w:cs="Times New Roman"/>
          <w:b w:val="0"/>
          <w:bCs w:val="0"/>
        </w:rPr>
      </w:pPr>
      <w:r w:rsidRPr="003D1E07">
        <w:t>H</w:t>
      </w:r>
      <w:r w:rsidR="001D31DD" w:rsidRPr="003D1E07">
        <w:t>, Ch</w:t>
      </w:r>
    </w:p>
    <w:p w14:paraId="6D426F45" w14:textId="77777777" w:rsidR="00C04C0A" w:rsidRPr="003D1E07" w:rsidRDefault="00C04C0A" w:rsidP="00C04C0A">
      <w:pPr>
        <w:pStyle w:val="Rejstk1"/>
        <w:tabs>
          <w:tab w:val="right" w:leader="dot" w:pos="4171"/>
        </w:tabs>
        <w:spacing w:line="240" w:lineRule="auto"/>
      </w:pPr>
      <w:r w:rsidRPr="003D1E07">
        <w:t>habitus</w:t>
      </w:r>
      <w:r w:rsidRPr="003D1E07">
        <w:tab/>
        <w:t>118, 141, 143</w:t>
      </w:r>
    </w:p>
    <w:p w14:paraId="28B388B4" w14:textId="77777777" w:rsidR="00C04C0A" w:rsidRPr="003D1E07" w:rsidRDefault="00C04C0A" w:rsidP="00C04C0A">
      <w:pPr>
        <w:pStyle w:val="Rejstk1"/>
        <w:tabs>
          <w:tab w:val="right" w:leader="dot" w:pos="4171"/>
        </w:tabs>
        <w:spacing w:line="240" w:lineRule="auto"/>
      </w:pPr>
      <w:r w:rsidRPr="003D1E07">
        <w:rPr>
          <w:i/>
        </w:rPr>
        <w:t>habitus innatus</w:t>
      </w:r>
      <w:r w:rsidRPr="003D1E07">
        <w:tab/>
        <w:t>146</w:t>
      </w:r>
    </w:p>
    <w:p w14:paraId="56DEBEE7" w14:textId="77777777" w:rsidR="00C04C0A" w:rsidRPr="003D1E07" w:rsidRDefault="00C04C0A" w:rsidP="00C04C0A">
      <w:pPr>
        <w:pStyle w:val="Rejstk1"/>
        <w:tabs>
          <w:tab w:val="right" w:leader="dot" w:pos="4171"/>
        </w:tabs>
        <w:spacing w:line="240" w:lineRule="auto"/>
      </w:pPr>
      <w:r w:rsidRPr="003D1E07">
        <w:rPr>
          <w:bCs/>
          <w:i/>
        </w:rPr>
        <w:t>ḥadīth</w:t>
      </w:r>
      <w:r w:rsidRPr="003D1E07">
        <w:tab/>
        <w:t>327, 328</w:t>
      </w:r>
    </w:p>
    <w:p w14:paraId="71777EEB" w14:textId="77777777" w:rsidR="00C04C0A" w:rsidRPr="003D1E07" w:rsidRDefault="00C04C0A" w:rsidP="00C04C0A">
      <w:pPr>
        <w:pStyle w:val="Rejstk1"/>
        <w:tabs>
          <w:tab w:val="right" w:leader="dot" w:pos="4171"/>
        </w:tabs>
        <w:spacing w:line="240" w:lineRule="auto"/>
      </w:pPr>
      <w:r w:rsidRPr="003D1E07">
        <w:rPr>
          <w:i/>
        </w:rPr>
        <w:t>harmonie préétablie</w:t>
      </w:r>
      <w:r w:rsidRPr="003D1E07">
        <w:tab/>
        <w:t>318, 325</w:t>
      </w:r>
    </w:p>
    <w:p w14:paraId="104D042C" w14:textId="77777777" w:rsidR="00C04C0A" w:rsidRPr="003D1E07" w:rsidRDefault="00C04C0A" w:rsidP="00C04C0A">
      <w:pPr>
        <w:pStyle w:val="Rejstk1"/>
        <w:tabs>
          <w:tab w:val="right" w:leader="dot" w:pos="4171"/>
        </w:tabs>
        <w:spacing w:line="240" w:lineRule="auto"/>
      </w:pPr>
      <w:r w:rsidRPr="003D1E07">
        <w:rPr>
          <w:lang w:eastAsia="en-US"/>
        </w:rPr>
        <w:lastRenderedPageBreak/>
        <w:t>Hegel, G. W.</w:t>
      </w:r>
      <w:r w:rsidRPr="003D1E07">
        <w:tab/>
        <w:t>171</w:t>
      </w:r>
    </w:p>
    <w:p w14:paraId="75A5B6C4" w14:textId="7C3ECA34" w:rsidR="00C04C0A" w:rsidRPr="003D1E07" w:rsidRDefault="00C04C0A" w:rsidP="00C04C0A">
      <w:pPr>
        <w:pStyle w:val="Rejstk1"/>
        <w:tabs>
          <w:tab w:val="right" w:leader="dot" w:pos="4171"/>
        </w:tabs>
        <w:spacing w:line="240" w:lineRule="auto"/>
      </w:pPr>
      <w:r w:rsidRPr="003D1E07">
        <w:rPr>
          <w:lang w:eastAsia="en-US"/>
        </w:rPr>
        <w:t>Heidegger</w:t>
      </w:r>
      <w:r w:rsidR="00B722A4" w:rsidRPr="003D1E07">
        <w:rPr>
          <w:lang w:eastAsia="en-US"/>
        </w:rPr>
        <w:t xml:space="preserve">, M., viz </w:t>
      </w:r>
      <w:r w:rsidR="00B722A4" w:rsidRPr="003D1E07">
        <w:rPr>
          <w:i/>
          <w:lang w:eastAsia="en-US"/>
        </w:rPr>
        <w:t>Index locorum</w:t>
      </w:r>
    </w:p>
    <w:p w14:paraId="7855B468" w14:textId="6BECF34D" w:rsidR="00C04C0A" w:rsidRPr="003D1E07" w:rsidRDefault="00B722A4" w:rsidP="00C04C0A">
      <w:pPr>
        <w:pStyle w:val="Rejstk1"/>
        <w:tabs>
          <w:tab w:val="right" w:leader="dot" w:pos="4171"/>
        </w:tabs>
        <w:spacing w:line="240" w:lineRule="auto"/>
      </w:pPr>
      <w:r w:rsidRPr="003D1E07">
        <w:t>h</w:t>
      </w:r>
      <w:r w:rsidR="00C04C0A" w:rsidRPr="003D1E07">
        <w:t>enologie</w:t>
      </w:r>
      <w:r w:rsidR="00C04C0A" w:rsidRPr="003D1E07">
        <w:tab/>
        <w:t>115, 125, 152, 154, 171, 182</w:t>
      </w:r>
    </w:p>
    <w:p w14:paraId="0AF701A1" w14:textId="4DACD76C" w:rsidR="00C04C0A" w:rsidRPr="003D1E07" w:rsidRDefault="00C04C0A" w:rsidP="00C04C0A">
      <w:pPr>
        <w:pStyle w:val="Rejstk1"/>
        <w:tabs>
          <w:tab w:val="right" w:leader="dot" w:pos="4171"/>
        </w:tabs>
        <w:spacing w:line="240" w:lineRule="auto"/>
      </w:pPr>
      <w:r w:rsidRPr="003D1E07">
        <w:t>Hérakleitos z</w:t>
      </w:r>
      <w:r w:rsidR="00B722A4" w:rsidRPr="003D1E07">
        <w:t> </w:t>
      </w:r>
      <w:r w:rsidRPr="003D1E07">
        <w:t>Efezu</w:t>
      </w:r>
      <w:r w:rsidR="00B722A4" w:rsidRPr="003D1E07">
        <w:t xml:space="preserve">, </w:t>
      </w:r>
      <w:r w:rsidR="00B722A4" w:rsidRPr="003D1E07">
        <w:rPr>
          <w:lang w:eastAsia="en-US"/>
        </w:rPr>
        <w:t xml:space="preserve">viz </w:t>
      </w:r>
      <w:r w:rsidR="00B722A4" w:rsidRPr="003D1E07">
        <w:rPr>
          <w:i/>
          <w:lang w:eastAsia="en-US"/>
        </w:rPr>
        <w:t>Index locorum</w:t>
      </w:r>
    </w:p>
    <w:p w14:paraId="19AF5C19" w14:textId="7AD125B8" w:rsidR="00C04C0A" w:rsidRPr="003D1E07" w:rsidRDefault="00C04C0A" w:rsidP="00C04C0A">
      <w:pPr>
        <w:pStyle w:val="Rejstk1"/>
        <w:tabs>
          <w:tab w:val="right" w:leader="dot" w:pos="4171"/>
        </w:tabs>
        <w:spacing w:line="240" w:lineRule="auto"/>
      </w:pPr>
      <w:r w:rsidRPr="003D1E07">
        <w:t>hermeneutická triáda</w:t>
      </w:r>
      <w:r w:rsidRPr="003D1E07">
        <w:tab/>
        <w:t>81, 173, 344</w:t>
      </w:r>
      <w:r w:rsidR="00B722A4" w:rsidRPr="003D1E07">
        <w:t>, 306</w:t>
      </w:r>
    </w:p>
    <w:p w14:paraId="776CE945" w14:textId="77777777" w:rsidR="00C04C0A" w:rsidRPr="003D1E07" w:rsidRDefault="00C04C0A" w:rsidP="00C04C0A">
      <w:pPr>
        <w:pStyle w:val="Rejstk1"/>
        <w:tabs>
          <w:tab w:val="right" w:leader="dot" w:pos="4171"/>
        </w:tabs>
        <w:spacing w:line="240" w:lineRule="auto"/>
      </w:pPr>
      <w:r w:rsidRPr="003D1E07">
        <w:t xml:space="preserve">hermeneutické </w:t>
      </w:r>
      <w:r w:rsidRPr="003D1E07">
        <w:rPr>
          <w:i/>
        </w:rPr>
        <w:t>Wie</w:t>
      </w:r>
    </w:p>
    <w:p w14:paraId="283DF321" w14:textId="77777777" w:rsidR="00C04C0A" w:rsidRPr="003D1E07" w:rsidRDefault="00C04C0A" w:rsidP="00C04C0A">
      <w:pPr>
        <w:pStyle w:val="Rejstk2"/>
        <w:tabs>
          <w:tab w:val="right" w:leader="dot" w:pos="4171"/>
        </w:tabs>
        <w:spacing w:line="240" w:lineRule="auto"/>
      </w:pPr>
      <w:r w:rsidRPr="003D1E07">
        <w:t>Al-Fárábí</w:t>
      </w:r>
      <w:r w:rsidRPr="003D1E07">
        <w:tab/>
        <w:t>187, 220</w:t>
      </w:r>
    </w:p>
    <w:p w14:paraId="6BA50497" w14:textId="77777777" w:rsidR="00C04C0A" w:rsidRPr="003D1E07" w:rsidRDefault="00C04C0A" w:rsidP="00C04C0A">
      <w:pPr>
        <w:pStyle w:val="Rejstk2"/>
        <w:tabs>
          <w:tab w:val="right" w:leader="dot" w:pos="4171"/>
        </w:tabs>
        <w:spacing w:line="240" w:lineRule="auto"/>
      </w:pPr>
      <w:r w:rsidRPr="003D1E07">
        <w:t>Averroes</w:t>
      </w:r>
      <w:r w:rsidRPr="003D1E07">
        <w:tab/>
        <w:t>397, 437</w:t>
      </w:r>
    </w:p>
    <w:p w14:paraId="34ADF943" w14:textId="77777777" w:rsidR="00C04C0A" w:rsidRPr="003D1E07" w:rsidRDefault="00C04C0A" w:rsidP="00C04C0A">
      <w:pPr>
        <w:pStyle w:val="Rejstk2"/>
        <w:tabs>
          <w:tab w:val="right" w:leader="dot" w:pos="4171"/>
        </w:tabs>
        <w:spacing w:line="240" w:lineRule="auto"/>
      </w:pPr>
      <w:r w:rsidRPr="003D1E07">
        <w:t>Avicenna</w:t>
      </w:r>
      <w:r w:rsidRPr="003D1E07">
        <w:tab/>
        <w:t>266</w:t>
      </w:r>
    </w:p>
    <w:p w14:paraId="1140421B" w14:textId="77777777" w:rsidR="00C04C0A" w:rsidRPr="003D1E07" w:rsidRDefault="00C04C0A" w:rsidP="00C04C0A">
      <w:pPr>
        <w:pStyle w:val="Rejstk2"/>
        <w:tabs>
          <w:tab w:val="right" w:leader="dot" w:pos="4171"/>
        </w:tabs>
        <w:spacing w:line="240" w:lineRule="auto"/>
      </w:pPr>
      <w:r w:rsidRPr="003D1E07">
        <w:t>Heidegger</w:t>
      </w:r>
      <w:r w:rsidRPr="003D1E07">
        <w:tab/>
        <w:t>16, 48</w:t>
      </w:r>
    </w:p>
    <w:p w14:paraId="6934B337" w14:textId="77777777" w:rsidR="00C04C0A" w:rsidRPr="003D1E07" w:rsidRDefault="00C04C0A" w:rsidP="00C04C0A">
      <w:pPr>
        <w:pStyle w:val="Rejstk2"/>
        <w:tabs>
          <w:tab w:val="right" w:leader="dot" w:pos="4171"/>
        </w:tabs>
        <w:spacing w:line="240" w:lineRule="auto"/>
      </w:pPr>
      <w:r w:rsidRPr="003D1E07">
        <w:t>neoplatonismus</w:t>
      </w:r>
      <w:r w:rsidRPr="003D1E07">
        <w:tab/>
        <w:t>122, 172</w:t>
      </w:r>
    </w:p>
    <w:p w14:paraId="23346B0C" w14:textId="77777777" w:rsidR="00C04C0A" w:rsidRPr="003D1E07" w:rsidRDefault="00C04C0A" w:rsidP="00C04C0A">
      <w:pPr>
        <w:pStyle w:val="Rejstk1"/>
        <w:tabs>
          <w:tab w:val="right" w:leader="dot" w:pos="4171"/>
        </w:tabs>
        <w:spacing w:line="240" w:lineRule="auto"/>
      </w:pPr>
      <w:r w:rsidRPr="003D1E07">
        <w:t>hermeneutika</w:t>
      </w:r>
    </w:p>
    <w:p w14:paraId="2CFB819A" w14:textId="77777777" w:rsidR="00C04C0A" w:rsidRPr="003D1E07" w:rsidRDefault="00C04C0A" w:rsidP="00C04C0A">
      <w:pPr>
        <w:pStyle w:val="Rejstk2"/>
        <w:tabs>
          <w:tab w:val="right" w:leader="dot" w:pos="4171"/>
        </w:tabs>
        <w:spacing w:line="240" w:lineRule="auto"/>
      </w:pPr>
      <w:r w:rsidRPr="003D1E07">
        <w:t>archaická</w:t>
      </w:r>
      <w:r w:rsidRPr="003D1E07">
        <w:tab/>
        <w:t>6, 47, 221</w:t>
      </w:r>
    </w:p>
    <w:p w14:paraId="47A7CD68" w14:textId="77777777" w:rsidR="00C04C0A" w:rsidRPr="003D1E07" w:rsidRDefault="00C04C0A" w:rsidP="00C04C0A">
      <w:pPr>
        <w:pStyle w:val="Rejstk2"/>
        <w:tabs>
          <w:tab w:val="right" w:leader="dot" w:pos="4171"/>
        </w:tabs>
        <w:spacing w:line="240" w:lineRule="auto"/>
      </w:pPr>
      <w:r w:rsidRPr="003D1E07">
        <w:t>archeologie</w:t>
      </w:r>
      <w:r w:rsidRPr="003D1E07">
        <w:tab/>
        <w:t>72</w:t>
      </w:r>
    </w:p>
    <w:p w14:paraId="0B7FEE2B" w14:textId="77777777" w:rsidR="00C04C0A" w:rsidRPr="003D1E07" w:rsidRDefault="00C04C0A" w:rsidP="00C04C0A">
      <w:pPr>
        <w:pStyle w:val="Rejstk2"/>
        <w:tabs>
          <w:tab w:val="right" w:leader="dot" w:pos="4171"/>
        </w:tabs>
        <w:spacing w:line="240" w:lineRule="auto"/>
      </w:pPr>
      <w:r w:rsidRPr="003D1E07">
        <w:rPr>
          <w:i/>
        </w:rPr>
        <w:t>Dasein</w:t>
      </w:r>
      <w:r w:rsidRPr="003D1E07">
        <w:tab/>
        <w:t>15, 53</w:t>
      </w:r>
    </w:p>
    <w:p w14:paraId="45E0A3DD" w14:textId="77777777" w:rsidR="00C04C0A" w:rsidRPr="003D1E07" w:rsidRDefault="00C04C0A" w:rsidP="00C04C0A">
      <w:pPr>
        <w:pStyle w:val="Rejstk2"/>
        <w:tabs>
          <w:tab w:val="right" w:leader="dot" w:pos="4171"/>
        </w:tabs>
        <w:spacing w:line="240" w:lineRule="auto"/>
      </w:pPr>
      <w:r w:rsidRPr="003D1E07">
        <w:rPr>
          <w:i/>
        </w:rPr>
        <w:t>Da-sein</w:t>
      </w:r>
      <w:r w:rsidRPr="003D1E07">
        <w:tab/>
        <w:t>67</w:t>
      </w:r>
    </w:p>
    <w:p w14:paraId="20852DB6" w14:textId="77777777" w:rsidR="00C04C0A" w:rsidRPr="003D1E07" w:rsidRDefault="00C04C0A" w:rsidP="00C04C0A">
      <w:pPr>
        <w:pStyle w:val="Rejstk2"/>
        <w:tabs>
          <w:tab w:val="right" w:leader="dot" w:pos="4171"/>
        </w:tabs>
        <w:spacing w:line="240" w:lineRule="auto"/>
      </w:pPr>
      <w:r w:rsidRPr="003D1E07">
        <w:t>fakticity</w:t>
      </w:r>
      <w:r w:rsidRPr="003D1E07">
        <w:tab/>
        <w:t>15, 458</w:t>
      </w:r>
    </w:p>
    <w:p w14:paraId="303772D0" w14:textId="77777777" w:rsidR="00C04C0A" w:rsidRPr="003D1E07" w:rsidRDefault="00C04C0A" w:rsidP="00C04C0A">
      <w:pPr>
        <w:pStyle w:val="Rejstk2"/>
        <w:tabs>
          <w:tab w:val="right" w:leader="dot" w:pos="4171"/>
        </w:tabs>
        <w:spacing w:line="240" w:lineRule="auto"/>
      </w:pPr>
      <w:r w:rsidRPr="003D1E07">
        <w:t>kritická</w:t>
      </w:r>
      <w:r w:rsidRPr="003D1E07">
        <w:tab/>
        <w:t>6</w:t>
      </w:r>
    </w:p>
    <w:p w14:paraId="5A3C6B47" w14:textId="48F5D6C6" w:rsidR="00C04C0A" w:rsidRPr="003D1E07" w:rsidRDefault="00C04C0A" w:rsidP="00C04C0A">
      <w:pPr>
        <w:pStyle w:val="Rejstk1"/>
        <w:tabs>
          <w:tab w:val="right" w:leader="dot" w:pos="4171"/>
        </w:tabs>
        <w:spacing w:line="240" w:lineRule="auto"/>
      </w:pPr>
      <w:r w:rsidRPr="003D1E07">
        <w:t>H</w:t>
      </w:r>
      <w:r w:rsidR="00B722A4" w:rsidRPr="003D1E07">
        <w:t>é</w:t>
      </w:r>
      <w:r w:rsidRPr="003D1E07">
        <w:t>rodotos</w:t>
      </w:r>
      <w:r w:rsidR="00B722A4" w:rsidRPr="003D1E07">
        <w:t xml:space="preserve">, </w:t>
      </w:r>
      <w:r w:rsidR="00B722A4" w:rsidRPr="003D1E07">
        <w:rPr>
          <w:lang w:eastAsia="en-US"/>
        </w:rPr>
        <w:t xml:space="preserve">viz </w:t>
      </w:r>
      <w:r w:rsidR="00B722A4" w:rsidRPr="003D1E07">
        <w:rPr>
          <w:i/>
          <w:lang w:eastAsia="en-US"/>
        </w:rPr>
        <w:t>Index locorum</w:t>
      </w:r>
    </w:p>
    <w:p w14:paraId="1A285B82" w14:textId="4EB18869" w:rsidR="00C04C0A" w:rsidRPr="003D1E07" w:rsidRDefault="00C04C0A" w:rsidP="00C04C0A">
      <w:pPr>
        <w:pStyle w:val="Rejstk1"/>
        <w:tabs>
          <w:tab w:val="right" w:leader="dot" w:pos="4171"/>
        </w:tabs>
        <w:spacing w:line="240" w:lineRule="auto"/>
      </w:pPr>
      <w:r w:rsidRPr="003D1E07">
        <w:t>Hesiod</w:t>
      </w:r>
      <w:r w:rsidR="00B722A4" w:rsidRPr="003D1E07">
        <w:t xml:space="preserve">, </w:t>
      </w:r>
      <w:r w:rsidR="00B722A4" w:rsidRPr="003D1E07">
        <w:rPr>
          <w:lang w:eastAsia="en-US"/>
        </w:rPr>
        <w:t xml:space="preserve">viz </w:t>
      </w:r>
      <w:r w:rsidR="00B722A4" w:rsidRPr="003D1E07">
        <w:rPr>
          <w:i/>
          <w:lang w:eastAsia="en-US"/>
        </w:rPr>
        <w:t>Index locorum</w:t>
      </w:r>
    </w:p>
    <w:p w14:paraId="796AD2F4" w14:textId="77777777" w:rsidR="00C04C0A" w:rsidRPr="003D1E07" w:rsidRDefault="00C04C0A" w:rsidP="00C04C0A">
      <w:pPr>
        <w:pStyle w:val="Rejstk1"/>
        <w:tabs>
          <w:tab w:val="right" w:leader="dot" w:pos="4171"/>
        </w:tabs>
        <w:spacing w:line="240" w:lineRule="auto"/>
      </w:pPr>
      <w:r w:rsidRPr="003D1E07">
        <w:rPr>
          <w:i/>
          <w:lang w:eastAsia="x-none"/>
        </w:rPr>
        <w:t>hístor</w:t>
      </w:r>
      <w:r w:rsidRPr="003D1E07">
        <w:tab/>
        <w:t>21</w:t>
      </w:r>
    </w:p>
    <w:p w14:paraId="122BC737" w14:textId="77777777" w:rsidR="00C04C0A" w:rsidRPr="003D1E07" w:rsidRDefault="00C04C0A" w:rsidP="00C04C0A">
      <w:pPr>
        <w:pStyle w:val="Rejstk1"/>
        <w:tabs>
          <w:tab w:val="right" w:leader="dot" w:pos="4171"/>
        </w:tabs>
        <w:spacing w:line="240" w:lineRule="auto"/>
      </w:pPr>
      <w:r w:rsidRPr="003D1E07">
        <w:t>Hobbes, T.</w:t>
      </w:r>
      <w:r w:rsidRPr="003D1E07">
        <w:tab/>
        <w:t>467</w:t>
      </w:r>
    </w:p>
    <w:p w14:paraId="3486441A" w14:textId="77777777" w:rsidR="00C04C0A" w:rsidRPr="003D1E07" w:rsidRDefault="00C04C0A" w:rsidP="00C04C0A">
      <w:pPr>
        <w:pStyle w:val="Rejstk1"/>
        <w:tabs>
          <w:tab w:val="right" w:leader="dot" w:pos="4171"/>
        </w:tabs>
        <w:spacing w:line="240" w:lineRule="auto"/>
      </w:pPr>
      <w:r w:rsidRPr="003D1E07">
        <w:rPr>
          <w:i/>
        </w:rPr>
        <w:t>hoc aliquid</w:t>
      </w:r>
    </w:p>
    <w:p w14:paraId="1DEF58FD" w14:textId="77777777" w:rsidR="00C04C0A" w:rsidRPr="003D1E07" w:rsidRDefault="00C04C0A" w:rsidP="00C04C0A">
      <w:pPr>
        <w:pStyle w:val="Rejstk2"/>
        <w:tabs>
          <w:tab w:val="right" w:leader="dot" w:pos="4171"/>
        </w:tabs>
        <w:spacing w:line="240" w:lineRule="auto"/>
      </w:pPr>
      <w:r w:rsidRPr="003D1E07">
        <w:t>Averroes</w:t>
      </w:r>
      <w:r w:rsidRPr="003D1E07">
        <w:tab/>
        <w:t>387</w:t>
      </w:r>
    </w:p>
    <w:p w14:paraId="02359697" w14:textId="77777777" w:rsidR="00C04C0A" w:rsidRPr="003D1E07" w:rsidRDefault="00C04C0A" w:rsidP="00C04C0A">
      <w:pPr>
        <w:pStyle w:val="Rejstk2"/>
        <w:tabs>
          <w:tab w:val="right" w:leader="dot" w:pos="4171"/>
        </w:tabs>
        <w:spacing w:line="240" w:lineRule="auto"/>
      </w:pPr>
      <w:r w:rsidRPr="003D1E07">
        <w:t>Avicenna</w:t>
      </w:r>
      <w:r w:rsidRPr="003D1E07">
        <w:tab/>
        <w:t>256, 274, 307, 377, 383, 410, 417</w:t>
      </w:r>
    </w:p>
    <w:p w14:paraId="5CDEC691" w14:textId="77777777" w:rsidR="00C04C0A" w:rsidRPr="003D1E07" w:rsidRDefault="00C04C0A" w:rsidP="00C04C0A">
      <w:pPr>
        <w:pStyle w:val="Rejstk2"/>
        <w:tabs>
          <w:tab w:val="right" w:leader="dot" w:pos="4171"/>
        </w:tabs>
        <w:spacing w:line="240" w:lineRule="auto"/>
      </w:pPr>
      <w:r w:rsidRPr="003D1E07">
        <w:t>intelekt</w:t>
      </w:r>
      <w:r w:rsidRPr="003D1E07">
        <w:tab/>
        <w:t>434</w:t>
      </w:r>
    </w:p>
    <w:p w14:paraId="69748CDB" w14:textId="77777777" w:rsidR="00C04C0A" w:rsidRPr="003D1E07" w:rsidRDefault="00C04C0A" w:rsidP="00C04C0A">
      <w:pPr>
        <w:pStyle w:val="Rejstk2"/>
        <w:tabs>
          <w:tab w:val="right" w:leader="dot" w:pos="4171"/>
        </w:tabs>
        <w:spacing w:line="240" w:lineRule="auto"/>
      </w:pPr>
      <w:r w:rsidRPr="003D1E07">
        <w:t>Themistius</w:t>
      </w:r>
      <w:r w:rsidRPr="003D1E07">
        <w:tab/>
        <w:t>411</w:t>
      </w:r>
    </w:p>
    <w:p w14:paraId="374C98C8" w14:textId="77777777" w:rsidR="00C04C0A" w:rsidRPr="003D1E07" w:rsidRDefault="00C04C0A" w:rsidP="00C04C0A">
      <w:pPr>
        <w:pStyle w:val="Rejstk1"/>
        <w:tabs>
          <w:tab w:val="right" w:leader="dot" w:pos="4171"/>
        </w:tabs>
        <w:spacing w:line="240" w:lineRule="auto"/>
      </w:pPr>
      <w:r w:rsidRPr="003D1E07">
        <w:rPr>
          <w:i/>
          <w:lang w:eastAsia="en-US"/>
        </w:rPr>
        <w:t>hoc esse tantum</w:t>
      </w:r>
      <w:r w:rsidRPr="003D1E07">
        <w:tab/>
        <w:t>313, 385</w:t>
      </w:r>
    </w:p>
    <w:p w14:paraId="108E07BA" w14:textId="6474DBD0" w:rsidR="00C04C0A" w:rsidRPr="003D1E07" w:rsidRDefault="00B722A4" w:rsidP="00C04C0A">
      <w:pPr>
        <w:pStyle w:val="Rejstk1"/>
        <w:tabs>
          <w:tab w:val="right" w:leader="dot" w:pos="4171"/>
        </w:tabs>
        <w:spacing w:line="240" w:lineRule="auto"/>
      </w:pPr>
      <w:r w:rsidRPr="003D1E07">
        <w:t>Homé</w:t>
      </w:r>
      <w:r w:rsidR="00C04C0A" w:rsidRPr="003D1E07">
        <w:t>r</w:t>
      </w:r>
      <w:r w:rsidRPr="003D1E07">
        <w:t xml:space="preserve">, </w:t>
      </w:r>
      <w:r w:rsidRPr="003D1E07">
        <w:rPr>
          <w:lang w:eastAsia="en-US"/>
        </w:rPr>
        <w:t xml:space="preserve">viz </w:t>
      </w:r>
      <w:r w:rsidRPr="003D1E07">
        <w:rPr>
          <w:i/>
          <w:lang w:eastAsia="en-US"/>
        </w:rPr>
        <w:t>Index locorum</w:t>
      </w:r>
    </w:p>
    <w:p w14:paraId="6B1B450A" w14:textId="77777777" w:rsidR="00C04C0A" w:rsidRPr="003D1E07" w:rsidRDefault="00C04C0A" w:rsidP="00C04C0A">
      <w:pPr>
        <w:pStyle w:val="Rejstk1"/>
        <w:tabs>
          <w:tab w:val="right" w:leader="dot" w:pos="4171"/>
        </w:tabs>
        <w:spacing w:line="240" w:lineRule="auto"/>
      </w:pPr>
      <w:r w:rsidRPr="003D1E07">
        <w:rPr>
          <w:i/>
        </w:rPr>
        <w:t>homo</w:t>
      </w:r>
      <w:r w:rsidRPr="003D1E07">
        <w:t xml:space="preserve"> </w:t>
      </w:r>
      <w:r w:rsidRPr="003D1E07">
        <w:rPr>
          <w:i/>
        </w:rPr>
        <w:t>ipse intelligit</w:t>
      </w:r>
      <w:r w:rsidRPr="003D1E07">
        <w:tab/>
        <w:t>383</w:t>
      </w:r>
    </w:p>
    <w:p w14:paraId="103478F0" w14:textId="77777777" w:rsidR="00C04C0A" w:rsidRPr="003D1E07" w:rsidRDefault="00C04C0A" w:rsidP="00C04C0A">
      <w:pPr>
        <w:pStyle w:val="Rejstk1"/>
        <w:tabs>
          <w:tab w:val="right" w:leader="dot" w:pos="4171"/>
        </w:tabs>
        <w:spacing w:line="240" w:lineRule="auto"/>
      </w:pPr>
      <w:r w:rsidRPr="003D1E07">
        <w:rPr>
          <w:i/>
          <w:lang w:eastAsia="en-US"/>
        </w:rPr>
        <w:t>homo sapiens</w:t>
      </w:r>
      <w:r w:rsidRPr="003D1E07">
        <w:tab/>
        <w:t>474</w:t>
      </w:r>
    </w:p>
    <w:p w14:paraId="48103CAB" w14:textId="77777777" w:rsidR="00C04C0A" w:rsidRPr="003D1E07" w:rsidRDefault="00C04C0A" w:rsidP="00C04C0A">
      <w:pPr>
        <w:pStyle w:val="Rejstk1"/>
        <w:tabs>
          <w:tab w:val="right" w:leader="dot" w:pos="4171"/>
        </w:tabs>
        <w:spacing w:line="240" w:lineRule="auto"/>
      </w:pPr>
      <w:r w:rsidRPr="003D1E07">
        <w:t>homonymie</w:t>
      </w:r>
      <w:r w:rsidRPr="003D1E07">
        <w:tab/>
        <w:t>91, 128, 144, 223, 338, 366</w:t>
      </w:r>
    </w:p>
    <w:p w14:paraId="31F44FC7" w14:textId="77777777" w:rsidR="00C04C0A" w:rsidRPr="003D1E07" w:rsidRDefault="00C04C0A" w:rsidP="00C04C0A">
      <w:pPr>
        <w:pStyle w:val="Rejstk1"/>
        <w:tabs>
          <w:tab w:val="right" w:leader="dot" w:pos="4171"/>
        </w:tabs>
        <w:spacing w:line="240" w:lineRule="auto"/>
      </w:pPr>
      <w:r w:rsidRPr="003D1E07">
        <w:t>humanismus</w:t>
      </w:r>
      <w:r w:rsidRPr="003D1E07">
        <w:tab/>
        <w:t>410, 419, 423, 436</w:t>
      </w:r>
    </w:p>
    <w:p w14:paraId="04A54F1A" w14:textId="77777777" w:rsidR="00C04C0A" w:rsidRPr="003D1E07" w:rsidRDefault="00C04C0A" w:rsidP="00C04C0A">
      <w:pPr>
        <w:pStyle w:val="Rejstk2"/>
        <w:tabs>
          <w:tab w:val="right" w:leader="dot" w:pos="4171"/>
        </w:tabs>
        <w:spacing w:line="240" w:lineRule="auto"/>
      </w:pPr>
      <w:r w:rsidRPr="003D1E07">
        <w:t>Al-Fárábí</w:t>
      </w:r>
      <w:r w:rsidRPr="003D1E07">
        <w:tab/>
        <w:t>217, 387</w:t>
      </w:r>
    </w:p>
    <w:p w14:paraId="54D848B3" w14:textId="77777777" w:rsidR="00C04C0A" w:rsidRPr="003D1E07" w:rsidRDefault="00C04C0A" w:rsidP="00C04C0A">
      <w:pPr>
        <w:pStyle w:val="Rejstk2"/>
        <w:tabs>
          <w:tab w:val="right" w:leader="dot" w:pos="4171"/>
        </w:tabs>
        <w:spacing w:line="240" w:lineRule="auto"/>
      </w:pPr>
      <w:r w:rsidRPr="003D1E07">
        <w:t>Averroes</w:t>
      </w:r>
      <w:r w:rsidRPr="003D1E07">
        <w:tab/>
        <w:t>403</w:t>
      </w:r>
    </w:p>
    <w:p w14:paraId="0869D3F9" w14:textId="77777777" w:rsidR="00C04C0A" w:rsidRPr="003D1E07" w:rsidRDefault="00C04C0A" w:rsidP="00C04C0A">
      <w:pPr>
        <w:pStyle w:val="Rejstk2"/>
        <w:tabs>
          <w:tab w:val="right" w:leader="dot" w:pos="4171"/>
        </w:tabs>
        <w:spacing w:line="240" w:lineRule="auto"/>
      </w:pPr>
      <w:r w:rsidRPr="003D1E07">
        <w:t>Heidegger</w:t>
      </w:r>
      <w:r w:rsidRPr="003D1E07">
        <w:tab/>
        <w:t>458</w:t>
      </w:r>
    </w:p>
    <w:p w14:paraId="5EF59BDF" w14:textId="77777777" w:rsidR="00C04C0A" w:rsidRPr="003D1E07" w:rsidRDefault="00C04C0A" w:rsidP="00C04C0A">
      <w:pPr>
        <w:pStyle w:val="Rejstk2"/>
        <w:tabs>
          <w:tab w:val="right" w:leader="dot" w:pos="4171"/>
        </w:tabs>
        <w:spacing w:line="240" w:lineRule="auto"/>
      </w:pPr>
      <w:r w:rsidRPr="003D1E07">
        <w:t>Heideggger</w:t>
      </w:r>
      <w:r w:rsidRPr="003D1E07">
        <w:tab/>
        <w:t>67</w:t>
      </w:r>
    </w:p>
    <w:p w14:paraId="0F699E7E" w14:textId="77777777" w:rsidR="00C04C0A" w:rsidRPr="003D1E07" w:rsidRDefault="00C04C0A" w:rsidP="00C04C0A">
      <w:pPr>
        <w:pStyle w:val="Rejstk1"/>
        <w:tabs>
          <w:tab w:val="right" w:leader="dot" w:pos="4171"/>
        </w:tabs>
        <w:spacing w:line="240" w:lineRule="auto"/>
      </w:pPr>
      <w:r w:rsidRPr="003D1E07">
        <w:rPr>
          <w:i/>
        </w:rPr>
        <w:t>humanitas</w:t>
      </w:r>
    </w:p>
    <w:p w14:paraId="61F21180" w14:textId="77777777" w:rsidR="00C04C0A" w:rsidRPr="003D1E07" w:rsidRDefault="00C04C0A" w:rsidP="00C04C0A">
      <w:pPr>
        <w:pStyle w:val="Rejstk2"/>
        <w:tabs>
          <w:tab w:val="right" w:leader="dot" w:pos="4171"/>
        </w:tabs>
        <w:spacing w:line="240" w:lineRule="auto"/>
      </w:pPr>
      <w:r w:rsidRPr="003D1E07">
        <w:t>Averroes</w:t>
      </w:r>
      <w:r w:rsidRPr="003D1E07">
        <w:tab/>
        <w:t>418</w:t>
      </w:r>
    </w:p>
    <w:p w14:paraId="1E965184" w14:textId="77777777" w:rsidR="00C04C0A" w:rsidRPr="003D1E07" w:rsidRDefault="00C04C0A" w:rsidP="00C04C0A">
      <w:pPr>
        <w:pStyle w:val="Rejstk2"/>
        <w:tabs>
          <w:tab w:val="right" w:leader="dot" w:pos="4171"/>
        </w:tabs>
        <w:spacing w:line="240" w:lineRule="auto"/>
      </w:pPr>
      <w:r w:rsidRPr="003D1E07">
        <w:t>Avicenna</w:t>
      </w:r>
      <w:r w:rsidRPr="003D1E07">
        <w:tab/>
        <w:t>280, 295, 296, 419</w:t>
      </w:r>
    </w:p>
    <w:p w14:paraId="07C1EBA8" w14:textId="73FAE53A" w:rsidR="00C04C0A" w:rsidRPr="003D1E07" w:rsidRDefault="00C04C0A" w:rsidP="00C04C0A">
      <w:pPr>
        <w:pStyle w:val="Rejstk1"/>
        <w:tabs>
          <w:tab w:val="right" w:leader="dot" w:pos="4171"/>
        </w:tabs>
        <w:spacing w:line="240" w:lineRule="auto"/>
      </w:pPr>
      <w:r w:rsidRPr="003D1E07">
        <w:t>Husserl</w:t>
      </w:r>
      <w:r w:rsidR="00BA774A" w:rsidRPr="003D1E07">
        <w:t xml:space="preserve">, E., </w:t>
      </w:r>
      <w:r w:rsidR="00BA774A" w:rsidRPr="003D1E07">
        <w:rPr>
          <w:lang w:eastAsia="en-US"/>
        </w:rPr>
        <w:t xml:space="preserve">viz </w:t>
      </w:r>
      <w:r w:rsidR="00BA774A" w:rsidRPr="003D1E07">
        <w:rPr>
          <w:i/>
          <w:lang w:eastAsia="en-US"/>
        </w:rPr>
        <w:t xml:space="preserve">Index locorum, </w:t>
      </w:r>
      <w:r w:rsidR="00BA774A" w:rsidRPr="003D1E07">
        <w:t>2, 217, 289, 292, 297, 466</w:t>
      </w:r>
    </w:p>
    <w:p w14:paraId="43082E78" w14:textId="77777777" w:rsidR="00C04C0A" w:rsidRPr="003D1E07" w:rsidRDefault="00C04C0A" w:rsidP="00C04C0A">
      <w:pPr>
        <w:pStyle w:val="Rejstk1"/>
        <w:tabs>
          <w:tab w:val="right" w:leader="dot" w:pos="4171"/>
        </w:tabs>
        <w:spacing w:line="240" w:lineRule="auto"/>
      </w:pPr>
      <w:r w:rsidRPr="003D1E07">
        <w:rPr>
          <w:i/>
        </w:rPr>
        <w:t>hýbris</w:t>
      </w:r>
      <w:r w:rsidRPr="003D1E07">
        <w:tab/>
        <w:t>50, 117, 170</w:t>
      </w:r>
    </w:p>
    <w:p w14:paraId="2BEB7F5F" w14:textId="77777777" w:rsidR="00C04C0A" w:rsidRPr="003D1E07" w:rsidRDefault="00C04C0A" w:rsidP="00C04C0A">
      <w:pPr>
        <w:pStyle w:val="Rejstk1"/>
        <w:tabs>
          <w:tab w:val="right" w:leader="dot" w:pos="4171"/>
        </w:tabs>
        <w:spacing w:line="240" w:lineRule="auto"/>
      </w:pPr>
      <w:r w:rsidRPr="003D1E07">
        <w:rPr>
          <w:i/>
        </w:rPr>
        <w:t>hypodoché</w:t>
      </w:r>
      <w:r w:rsidRPr="003D1E07">
        <w:tab/>
        <w:t>155, 193, 312, 379</w:t>
      </w:r>
    </w:p>
    <w:p w14:paraId="103E61A2" w14:textId="77777777" w:rsidR="00C04C0A" w:rsidRPr="003D1E07" w:rsidRDefault="00C04C0A" w:rsidP="00C04C0A">
      <w:pPr>
        <w:pStyle w:val="Rejstk1"/>
        <w:tabs>
          <w:tab w:val="right" w:leader="dot" w:pos="4171"/>
        </w:tabs>
        <w:spacing w:line="240" w:lineRule="auto"/>
      </w:pPr>
      <w:r w:rsidRPr="003D1E07">
        <w:t>chiméra</w:t>
      </w:r>
      <w:r w:rsidRPr="003D1E07">
        <w:tab/>
        <w:t>311</w:t>
      </w:r>
    </w:p>
    <w:p w14:paraId="44343C1F" w14:textId="77777777" w:rsidR="00C04C0A" w:rsidRPr="003D1E07" w:rsidRDefault="00C04C0A" w:rsidP="00C04C0A">
      <w:pPr>
        <w:pStyle w:val="Hlavikarejstku"/>
        <w:keepNext/>
        <w:tabs>
          <w:tab w:val="right" w:leader="dot" w:pos="4171"/>
        </w:tabs>
        <w:spacing w:line="240" w:lineRule="auto"/>
        <w:rPr>
          <w:rFonts w:eastAsia="Times New Roman" w:cs="Times New Roman"/>
          <w:b w:val="0"/>
          <w:bCs w:val="0"/>
        </w:rPr>
      </w:pPr>
      <w:r w:rsidRPr="003D1E07">
        <w:t>I</w:t>
      </w:r>
    </w:p>
    <w:p w14:paraId="6CF37AD4" w14:textId="77777777" w:rsidR="00C04C0A" w:rsidRPr="003D1E07" w:rsidRDefault="00C04C0A" w:rsidP="00C04C0A">
      <w:pPr>
        <w:pStyle w:val="Rejstk1"/>
        <w:tabs>
          <w:tab w:val="right" w:leader="dot" w:pos="4171"/>
        </w:tabs>
        <w:spacing w:line="240" w:lineRule="auto"/>
      </w:pPr>
      <w:r w:rsidRPr="003D1E07">
        <w:t>Ibn Bája</w:t>
      </w:r>
      <w:r w:rsidRPr="003D1E07">
        <w:tab/>
        <w:t>341, 342, 374, 378, 386, 393</w:t>
      </w:r>
    </w:p>
    <w:p w14:paraId="53BBFD38" w14:textId="1A25E5D2" w:rsidR="00C04C0A" w:rsidRPr="003D1E07" w:rsidRDefault="00C04C0A" w:rsidP="00C04C0A">
      <w:pPr>
        <w:pStyle w:val="Rejstk1"/>
        <w:tabs>
          <w:tab w:val="right" w:leader="dot" w:pos="4171"/>
        </w:tabs>
        <w:spacing w:line="240" w:lineRule="auto"/>
      </w:pPr>
      <w:r w:rsidRPr="003D1E07">
        <w:t>Ibn-Ádí</w:t>
      </w:r>
      <w:r w:rsidR="001D31DD" w:rsidRPr="003D1E07">
        <w:t xml:space="preserve">, viz </w:t>
      </w:r>
      <w:r w:rsidR="001D31DD" w:rsidRPr="003D1E07">
        <w:rPr>
          <w:i/>
        </w:rPr>
        <w:t>Index locorum</w:t>
      </w:r>
    </w:p>
    <w:p w14:paraId="6A43B8B8" w14:textId="77777777" w:rsidR="00C04C0A" w:rsidRPr="003D1E07" w:rsidRDefault="00C04C0A" w:rsidP="00C04C0A">
      <w:pPr>
        <w:pStyle w:val="Rejstk1"/>
        <w:tabs>
          <w:tab w:val="right" w:leader="dot" w:pos="4171"/>
        </w:tabs>
        <w:spacing w:line="240" w:lineRule="auto"/>
      </w:pPr>
      <w:r w:rsidRPr="003D1E07">
        <w:rPr>
          <w:i/>
          <w:lang w:eastAsia="en-US"/>
        </w:rPr>
        <w:t>ifāda</w:t>
      </w:r>
      <w:r w:rsidRPr="003D1E07">
        <w:tab/>
        <w:t>176</w:t>
      </w:r>
    </w:p>
    <w:p w14:paraId="43126C8B" w14:textId="77777777" w:rsidR="00C04C0A" w:rsidRPr="003D1E07" w:rsidRDefault="00C04C0A" w:rsidP="00C04C0A">
      <w:pPr>
        <w:pStyle w:val="Rejstk1"/>
        <w:tabs>
          <w:tab w:val="right" w:leader="dot" w:pos="4171"/>
        </w:tabs>
        <w:spacing w:line="240" w:lineRule="auto"/>
      </w:pPr>
      <w:r w:rsidRPr="003D1E07">
        <w:rPr>
          <w:i/>
        </w:rPr>
        <w:t>iltaqaṭa</w:t>
      </w:r>
      <w:r w:rsidRPr="003D1E07">
        <w:tab/>
        <w:t>262</w:t>
      </w:r>
    </w:p>
    <w:p w14:paraId="34DAFA72" w14:textId="77777777" w:rsidR="00C04C0A" w:rsidRPr="003D1E07" w:rsidRDefault="00C04C0A" w:rsidP="00C04C0A">
      <w:pPr>
        <w:pStyle w:val="Rejstk1"/>
        <w:tabs>
          <w:tab w:val="right" w:leader="dot" w:pos="4171"/>
        </w:tabs>
        <w:spacing w:line="240" w:lineRule="auto"/>
      </w:pPr>
      <w:r w:rsidRPr="003D1E07">
        <w:t>iluminace</w:t>
      </w:r>
      <w:r w:rsidRPr="003D1E07">
        <w:tab/>
        <w:t>273, 380, 423, 455</w:t>
      </w:r>
    </w:p>
    <w:p w14:paraId="4FC6BB1C" w14:textId="77777777" w:rsidR="00C04C0A" w:rsidRPr="003D1E07" w:rsidRDefault="00C04C0A" w:rsidP="00C04C0A">
      <w:pPr>
        <w:pStyle w:val="Rejstk2"/>
        <w:tabs>
          <w:tab w:val="right" w:leader="dot" w:pos="4171"/>
        </w:tabs>
        <w:spacing w:line="240" w:lineRule="auto"/>
      </w:pPr>
      <w:r w:rsidRPr="003D1E07">
        <w:t>Al-Fárábí</w:t>
      </w:r>
      <w:r w:rsidRPr="003D1E07">
        <w:tab/>
        <w:t>204</w:t>
      </w:r>
    </w:p>
    <w:p w14:paraId="1604F6E5" w14:textId="77777777" w:rsidR="00C04C0A" w:rsidRPr="003D1E07" w:rsidRDefault="00C04C0A" w:rsidP="00C04C0A">
      <w:pPr>
        <w:pStyle w:val="Rejstk1"/>
        <w:tabs>
          <w:tab w:val="right" w:leader="dot" w:pos="4171"/>
        </w:tabs>
        <w:spacing w:line="240" w:lineRule="auto"/>
      </w:pPr>
      <w:r w:rsidRPr="003D1E07">
        <w:t>ilumináti</w:t>
      </w:r>
      <w:r w:rsidRPr="003D1E07">
        <w:tab/>
        <w:t>123, 136, 167, 191, 214, 219, 437, 482</w:t>
      </w:r>
    </w:p>
    <w:p w14:paraId="57805AE0" w14:textId="77777777" w:rsidR="00C04C0A" w:rsidRPr="003D1E07" w:rsidRDefault="00C04C0A" w:rsidP="00C04C0A">
      <w:pPr>
        <w:pStyle w:val="Rejstk1"/>
        <w:tabs>
          <w:tab w:val="right" w:leader="dot" w:pos="4171"/>
        </w:tabs>
        <w:spacing w:line="240" w:lineRule="auto"/>
      </w:pPr>
      <w:r w:rsidRPr="003D1E07">
        <w:t>impozice</w:t>
      </w:r>
    </w:p>
    <w:p w14:paraId="722B193D" w14:textId="77777777" w:rsidR="00C04C0A" w:rsidRPr="003D1E07" w:rsidRDefault="00C04C0A" w:rsidP="00C04C0A">
      <w:pPr>
        <w:pStyle w:val="Rejstk2"/>
        <w:tabs>
          <w:tab w:val="right" w:leader="dot" w:pos="4171"/>
        </w:tabs>
        <w:spacing w:line="240" w:lineRule="auto"/>
      </w:pPr>
      <w:r w:rsidRPr="003D1E07">
        <w:t>Al-Fárábí</w:t>
      </w:r>
      <w:r w:rsidRPr="003D1E07">
        <w:tab/>
        <w:t>183, 212</w:t>
      </w:r>
    </w:p>
    <w:p w14:paraId="7A743F81" w14:textId="77777777" w:rsidR="00C04C0A" w:rsidRPr="003D1E07" w:rsidRDefault="00C04C0A" w:rsidP="00C04C0A">
      <w:pPr>
        <w:pStyle w:val="Rejstk2"/>
        <w:tabs>
          <w:tab w:val="right" w:leader="dot" w:pos="4171"/>
        </w:tabs>
        <w:spacing w:line="240" w:lineRule="auto"/>
      </w:pPr>
      <w:r w:rsidRPr="003D1E07">
        <w:t>Aristoteles</w:t>
      </w:r>
      <w:r w:rsidRPr="003D1E07">
        <w:tab/>
        <w:t>85, 87</w:t>
      </w:r>
    </w:p>
    <w:p w14:paraId="58B52BED" w14:textId="77777777" w:rsidR="00C04C0A" w:rsidRPr="003D1E07" w:rsidRDefault="00C04C0A" w:rsidP="00C04C0A">
      <w:pPr>
        <w:pStyle w:val="Rejstk2"/>
        <w:tabs>
          <w:tab w:val="right" w:leader="dot" w:pos="4171"/>
        </w:tabs>
        <w:spacing w:line="240" w:lineRule="auto"/>
      </w:pPr>
      <w:r w:rsidRPr="003D1E07">
        <w:t>Averroes</w:t>
      </w:r>
      <w:r w:rsidRPr="003D1E07">
        <w:tab/>
        <w:t>338, 358, 362</w:t>
      </w:r>
    </w:p>
    <w:p w14:paraId="39630AE0" w14:textId="77777777" w:rsidR="00C04C0A" w:rsidRPr="003D1E07" w:rsidRDefault="00C04C0A" w:rsidP="00C04C0A">
      <w:pPr>
        <w:pStyle w:val="Rejstk2"/>
        <w:tabs>
          <w:tab w:val="right" w:leader="dot" w:pos="4171"/>
        </w:tabs>
        <w:spacing w:line="240" w:lineRule="auto"/>
      </w:pPr>
      <w:r w:rsidRPr="003D1E07">
        <w:t>Porfýrios</w:t>
      </w:r>
      <w:r w:rsidRPr="003D1E07">
        <w:tab/>
        <w:t>93</w:t>
      </w:r>
    </w:p>
    <w:p w14:paraId="27A4FCCE" w14:textId="77777777" w:rsidR="00C04C0A" w:rsidRPr="003D1E07" w:rsidRDefault="00C04C0A" w:rsidP="00C04C0A">
      <w:pPr>
        <w:pStyle w:val="Rejstk1"/>
        <w:tabs>
          <w:tab w:val="right" w:leader="dot" w:pos="4171"/>
        </w:tabs>
        <w:spacing w:line="240" w:lineRule="auto"/>
      </w:pPr>
      <w:r w:rsidRPr="003D1E07">
        <w:rPr>
          <w:i/>
        </w:rPr>
        <w:t>imprinting</w:t>
      </w:r>
      <w:r w:rsidRPr="003D1E07">
        <w:tab/>
        <w:t>228, 466</w:t>
      </w:r>
    </w:p>
    <w:p w14:paraId="7F8344F9" w14:textId="77777777" w:rsidR="00C04C0A" w:rsidRPr="003D1E07" w:rsidRDefault="00C04C0A" w:rsidP="00C04C0A">
      <w:pPr>
        <w:pStyle w:val="Rejstk1"/>
        <w:tabs>
          <w:tab w:val="right" w:leader="dot" w:pos="4171"/>
        </w:tabs>
        <w:spacing w:line="240" w:lineRule="auto"/>
      </w:pPr>
      <w:r w:rsidRPr="003D1E07">
        <w:rPr>
          <w:i/>
        </w:rPr>
        <w:t>in illo tempore</w:t>
      </w:r>
      <w:r w:rsidRPr="003D1E07">
        <w:tab/>
        <w:t>432</w:t>
      </w:r>
    </w:p>
    <w:p w14:paraId="69F9F200" w14:textId="77777777" w:rsidR="00C04C0A" w:rsidRPr="003D1E07" w:rsidRDefault="00C04C0A" w:rsidP="00C04C0A">
      <w:pPr>
        <w:pStyle w:val="Rejstk1"/>
        <w:tabs>
          <w:tab w:val="right" w:leader="dot" w:pos="4171"/>
        </w:tabs>
        <w:spacing w:line="240" w:lineRule="auto"/>
      </w:pPr>
      <w:r w:rsidRPr="003D1E07">
        <w:rPr>
          <w:i/>
        </w:rPr>
        <w:t>individuum</w:t>
      </w:r>
      <w:r w:rsidRPr="003D1E07">
        <w:tab/>
        <w:t>303, 308, 360, 476</w:t>
      </w:r>
    </w:p>
    <w:p w14:paraId="34C5D96B" w14:textId="77777777" w:rsidR="00C04C0A" w:rsidRPr="003D1E07" w:rsidRDefault="00C04C0A" w:rsidP="00C04C0A">
      <w:pPr>
        <w:pStyle w:val="Rejstk1"/>
        <w:tabs>
          <w:tab w:val="right" w:leader="dot" w:pos="4171"/>
        </w:tabs>
        <w:spacing w:line="240" w:lineRule="auto"/>
      </w:pPr>
      <w:r w:rsidRPr="003D1E07">
        <w:lastRenderedPageBreak/>
        <w:t>informatika</w:t>
      </w:r>
      <w:r w:rsidRPr="003D1E07">
        <w:tab/>
        <w:t>471</w:t>
      </w:r>
    </w:p>
    <w:p w14:paraId="2532BB89" w14:textId="77777777" w:rsidR="00C04C0A" w:rsidRPr="003D1E07" w:rsidRDefault="00C04C0A" w:rsidP="00C04C0A">
      <w:pPr>
        <w:pStyle w:val="Rejstk1"/>
        <w:tabs>
          <w:tab w:val="right" w:leader="dot" w:pos="4171"/>
        </w:tabs>
        <w:spacing w:line="240" w:lineRule="auto"/>
      </w:pPr>
      <w:r w:rsidRPr="003D1E07">
        <w:rPr>
          <w:i/>
        </w:rPr>
        <w:t>inquantum/qua</w:t>
      </w:r>
      <w:r w:rsidRPr="003D1E07">
        <w:tab/>
        <w:t>355</w:t>
      </w:r>
    </w:p>
    <w:p w14:paraId="26512C32" w14:textId="77777777" w:rsidR="00C04C0A" w:rsidRPr="003D1E07" w:rsidRDefault="00C04C0A" w:rsidP="00C04C0A">
      <w:pPr>
        <w:pStyle w:val="Rejstk1"/>
        <w:tabs>
          <w:tab w:val="right" w:leader="dot" w:pos="4171"/>
        </w:tabs>
        <w:spacing w:line="240" w:lineRule="auto"/>
      </w:pPr>
      <w:r w:rsidRPr="003D1E07">
        <w:t>instrumentální rozum</w:t>
      </w:r>
      <w:r w:rsidRPr="003D1E07">
        <w:tab/>
        <w:t>7, 169, 479</w:t>
      </w:r>
    </w:p>
    <w:p w14:paraId="13194133" w14:textId="77777777" w:rsidR="00C04C0A" w:rsidRPr="003D1E07" w:rsidRDefault="00C04C0A" w:rsidP="00C04C0A">
      <w:pPr>
        <w:pStyle w:val="Rejstk1"/>
        <w:tabs>
          <w:tab w:val="right" w:leader="dot" w:pos="4171"/>
        </w:tabs>
        <w:spacing w:line="240" w:lineRule="auto"/>
      </w:pPr>
      <w:r w:rsidRPr="003D1E07">
        <w:t>intelekt</w:t>
      </w:r>
    </w:p>
    <w:p w14:paraId="4AE6FC7F" w14:textId="77777777" w:rsidR="00C04C0A" w:rsidRPr="003D1E07" w:rsidRDefault="00C04C0A" w:rsidP="00C04C0A">
      <w:pPr>
        <w:pStyle w:val="Rejstk2"/>
        <w:tabs>
          <w:tab w:val="right" w:leader="dot" w:pos="4171"/>
        </w:tabs>
        <w:spacing w:line="240" w:lineRule="auto"/>
      </w:pPr>
      <w:r w:rsidRPr="003D1E07">
        <w:t>Avicenna</w:t>
      </w:r>
      <w:r w:rsidRPr="003D1E07">
        <w:tab/>
        <w:t>265</w:t>
      </w:r>
    </w:p>
    <w:p w14:paraId="1A716C1B" w14:textId="77777777" w:rsidR="00C04C0A" w:rsidRPr="003D1E07" w:rsidRDefault="00C04C0A" w:rsidP="00C04C0A">
      <w:pPr>
        <w:pStyle w:val="Rejstk2"/>
        <w:tabs>
          <w:tab w:val="right" w:leader="dot" w:pos="4171"/>
        </w:tabs>
        <w:spacing w:line="240" w:lineRule="auto"/>
      </w:pPr>
      <w:r w:rsidRPr="003D1E07">
        <w:t>dárce forem</w:t>
      </w:r>
      <w:r w:rsidRPr="003D1E07">
        <w:tab/>
        <w:t>268, 332</w:t>
      </w:r>
    </w:p>
    <w:p w14:paraId="0C4D04BB" w14:textId="77777777" w:rsidR="00C04C0A" w:rsidRPr="003D1E07" w:rsidRDefault="00C04C0A" w:rsidP="00C04C0A">
      <w:pPr>
        <w:pStyle w:val="Rejstk2"/>
        <w:tabs>
          <w:tab w:val="right" w:leader="dot" w:pos="4171"/>
        </w:tabs>
        <w:spacing w:line="240" w:lineRule="auto"/>
      </w:pPr>
      <w:r w:rsidRPr="003D1E07">
        <w:t>gigantomachie</w:t>
      </w:r>
      <w:r w:rsidRPr="003D1E07">
        <w:tab/>
        <w:t>344, 381, 389</w:t>
      </w:r>
    </w:p>
    <w:p w14:paraId="01BB20E7" w14:textId="77777777" w:rsidR="00C04C0A" w:rsidRPr="003D1E07" w:rsidRDefault="00C04C0A" w:rsidP="00C04C0A">
      <w:pPr>
        <w:pStyle w:val="Rejstk2"/>
        <w:tabs>
          <w:tab w:val="right" w:leader="dot" w:pos="4171"/>
        </w:tabs>
        <w:spacing w:line="240" w:lineRule="auto"/>
      </w:pPr>
      <w:r w:rsidRPr="003D1E07">
        <w:rPr>
          <w:i/>
        </w:rPr>
        <w:t>intellectus in potentia</w:t>
      </w:r>
      <w:r w:rsidRPr="003D1E07">
        <w:tab/>
        <w:t>374</w:t>
      </w:r>
    </w:p>
    <w:p w14:paraId="02E9DC6B" w14:textId="77777777" w:rsidR="00C04C0A" w:rsidRPr="003D1E07" w:rsidRDefault="00C04C0A" w:rsidP="00C04C0A">
      <w:pPr>
        <w:pStyle w:val="Rejstk2"/>
        <w:tabs>
          <w:tab w:val="right" w:leader="dot" w:pos="4171"/>
        </w:tabs>
        <w:spacing w:line="240" w:lineRule="auto"/>
      </w:pPr>
      <w:r w:rsidRPr="003D1E07">
        <w:t>Jamblichos</w:t>
      </w:r>
      <w:r w:rsidRPr="003D1E07">
        <w:tab/>
        <w:t>124</w:t>
      </w:r>
    </w:p>
    <w:p w14:paraId="60B9A593" w14:textId="77777777" w:rsidR="00C04C0A" w:rsidRPr="003D1E07" w:rsidRDefault="00C04C0A" w:rsidP="00C04C0A">
      <w:pPr>
        <w:pStyle w:val="Rejstk2"/>
        <w:tabs>
          <w:tab w:val="right" w:leader="dot" w:pos="4171"/>
        </w:tabs>
        <w:spacing w:line="240" w:lineRule="auto"/>
      </w:pPr>
      <w:r w:rsidRPr="003D1E07">
        <w:t>numericky jednotný</w:t>
      </w:r>
      <w:r w:rsidRPr="003D1E07">
        <w:tab/>
        <w:t>398, 402, 408, 416, 420</w:t>
      </w:r>
    </w:p>
    <w:p w14:paraId="4D11EBC9" w14:textId="77777777" w:rsidR="00C04C0A" w:rsidRPr="003D1E07" w:rsidRDefault="00C04C0A" w:rsidP="00C04C0A">
      <w:pPr>
        <w:pStyle w:val="Rejstk2"/>
        <w:tabs>
          <w:tab w:val="right" w:leader="dot" w:pos="4171"/>
        </w:tabs>
        <w:spacing w:line="240" w:lineRule="auto"/>
      </w:pPr>
      <w:r w:rsidRPr="003D1E07">
        <w:t>paranoický</w:t>
      </w:r>
      <w:r w:rsidRPr="003D1E07">
        <w:tab/>
        <w:t>172, 438</w:t>
      </w:r>
    </w:p>
    <w:p w14:paraId="438F6C17" w14:textId="77777777" w:rsidR="00C04C0A" w:rsidRPr="003D1E07" w:rsidRDefault="00C04C0A" w:rsidP="00C04C0A">
      <w:pPr>
        <w:pStyle w:val="Rejstk2"/>
        <w:tabs>
          <w:tab w:val="right" w:leader="dot" w:pos="4171"/>
        </w:tabs>
        <w:spacing w:line="240" w:lineRule="auto"/>
      </w:pPr>
      <w:r w:rsidRPr="003D1E07">
        <w:rPr>
          <w:i/>
        </w:rPr>
        <w:t>separabilis</w:t>
      </w:r>
      <w:r w:rsidRPr="003D1E07">
        <w:t>/</w:t>
      </w:r>
      <w:r w:rsidRPr="003D1E07">
        <w:rPr>
          <w:i/>
        </w:rPr>
        <w:t>separatus</w:t>
      </w:r>
      <w:r w:rsidRPr="003D1E07">
        <w:tab/>
        <w:t>388, 417</w:t>
      </w:r>
    </w:p>
    <w:p w14:paraId="101076F0" w14:textId="77777777" w:rsidR="00604426" w:rsidRPr="003D1E07" w:rsidRDefault="00C04C0A" w:rsidP="00604426">
      <w:pPr>
        <w:pStyle w:val="Rejstk2"/>
        <w:tabs>
          <w:tab w:val="right" w:leader="dot" w:pos="4171"/>
        </w:tabs>
        <w:spacing w:line="240" w:lineRule="auto"/>
      </w:pPr>
      <w:r w:rsidRPr="003D1E07">
        <w:t>substance</w:t>
      </w:r>
      <w:r w:rsidRPr="003D1E07">
        <w:tab/>
        <w:t>401</w:t>
      </w:r>
    </w:p>
    <w:p w14:paraId="5CA5A316" w14:textId="62AF8238" w:rsidR="00C04C0A" w:rsidRPr="003D1E07" w:rsidRDefault="00C04C0A" w:rsidP="00604426">
      <w:pPr>
        <w:pStyle w:val="Rejstk2"/>
        <w:tabs>
          <w:tab w:val="right" w:leader="dot" w:pos="4171"/>
        </w:tabs>
        <w:spacing w:line="240" w:lineRule="auto"/>
      </w:pPr>
      <w:r w:rsidRPr="003D1E07">
        <w:t>intelekt-slunce</w:t>
      </w:r>
      <w:r w:rsidRPr="003D1E07">
        <w:tab/>
        <w:t>58, 190, 256, 258, 375, 380, 448, 452, 459</w:t>
      </w:r>
    </w:p>
    <w:p w14:paraId="596E69B8" w14:textId="77777777" w:rsidR="00C04C0A" w:rsidRPr="003D1E07" w:rsidRDefault="00C04C0A" w:rsidP="00C04C0A">
      <w:pPr>
        <w:pStyle w:val="Rejstk1"/>
        <w:tabs>
          <w:tab w:val="right" w:leader="dot" w:pos="4171"/>
        </w:tabs>
        <w:spacing w:line="240" w:lineRule="auto"/>
      </w:pPr>
      <w:r w:rsidRPr="003D1E07">
        <w:rPr>
          <w:i/>
        </w:rPr>
        <w:t>intellectus adeptus</w:t>
      </w:r>
      <w:r w:rsidRPr="003D1E07">
        <w:tab/>
        <w:t>191, 218, 375, 393</w:t>
      </w:r>
    </w:p>
    <w:p w14:paraId="7BDA92CE" w14:textId="77777777" w:rsidR="00C04C0A" w:rsidRPr="003D1E07" w:rsidRDefault="00C04C0A" w:rsidP="00C04C0A">
      <w:pPr>
        <w:pStyle w:val="Rejstk2"/>
        <w:tabs>
          <w:tab w:val="right" w:leader="dot" w:pos="4171"/>
        </w:tabs>
        <w:spacing w:line="240" w:lineRule="auto"/>
      </w:pPr>
      <w:r w:rsidRPr="003D1E07">
        <w:t>Alexander</w:t>
      </w:r>
      <w:r w:rsidRPr="003D1E07">
        <w:tab/>
        <w:t>190</w:t>
      </w:r>
    </w:p>
    <w:p w14:paraId="0B3ED64F" w14:textId="77777777" w:rsidR="00C04C0A" w:rsidRPr="003D1E07" w:rsidRDefault="00C04C0A" w:rsidP="00C04C0A">
      <w:pPr>
        <w:pStyle w:val="Rejstk2"/>
        <w:tabs>
          <w:tab w:val="right" w:leader="dot" w:pos="4171"/>
        </w:tabs>
        <w:spacing w:line="240" w:lineRule="auto"/>
      </w:pPr>
      <w:r w:rsidRPr="003D1E07">
        <w:t>Al-Fárábí</w:t>
      </w:r>
      <w:r w:rsidRPr="003D1E07">
        <w:tab/>
        <w:t>198, 199, 200, 204, 207, 212, 213, 237, 255, 433</w:t>
      </w:r>
    </w:p>
    <w:p w14:paraId="04B056B7" w14:textId="77777777" w:rsidR="00C04C0A" w:rsidRPr="003D1E07" w:rsidRDefault="00C04C0A" w:rsidP="00C04C0A">
      <w:pPr>
        <w:pStyle w:val="Rejstk2"/>
        <w:tabs>
          <w:tab w:val="right" w:leader="dot" w:pos="4171"/>
        </w:tabs>
        <w:spacing w:line="240" w:lineRule="auto"/>
      </w:pPr>
      <w:r w:rsidRPr="003D1E07">
        <w:t>Avicenna</w:t>
      </w:r>
      <w:r w:rsidRPr="003D1E07">
        <w:tab/>
        <w:t>205, 258, 264, 281, 371, 372, 452</w:t>
      </w:r>
    </w:p>
    <w:p w14:paraId="7BFB5EED" w14:textId="77777777" w:rsidR="00C04C0A" w:rsidRPr="003D1E07" w:rsidRDefault="00C04C0A" w:rsidP="00C04C0A">
      <w:pPr>
        <w:pStyle w:val="Rejstk2"/>
        <w:tabs>
          <w:tab w:val="right" w:leader="dot" w:pos="4171"/>
        </w:tabs>
        <w:spacing w:line="240" w:lineRule="auto"/>
      </w:pPr>
      <w:r w:rsidRPr="003D1E07">
        <w:t>Descartes</w:t>
      </w:r>
      <w:r w:rsidRPr="003D1E07">
        <w:tab/>
        <w:t>273</w:t>
      </w:r>
    </w:p>
    <w:p w14:paraId="7575AFFE" w14:textId="77777777" w:rsidR="00C04C0A" w:rsidRPr="003D1E07" w:rsidRDefault="00C04C0A" w:rsidP="00C04C0A">
      <w:pPr>
        <w:pStyle w:val="Rejstk2"/>
        <w:tabs>
          <w:tab w:val="right" w:leader="dot" w:pos="4171"/>
        </w:tabs>
        <w:spacing w:line="240" w:lineRule="auto"/>
      </w:pPr>
      <w:r w:rsidRPr="003D1E07">
        <w:t>moderna</w:t>
      </w:r>
      <w:r w:rsidRPr="003D1E07">
        <w:tab/>
        <w:t>481</w:t>
      </w:r>
    </w:p>
    <w:p w14:paraId="3EED93E4" w14:textId="77777777" w:rsidR="00C04C0A" w:rsidRPr="003D1E07" w:rsidRDefault="00C04C0A" w:rsidP="00C04C0A">
      <w:pPr>
        <w:pStyle w:val="Rejstk1"/>
        <w:tabs>
          <w:tab w:val="right" w:leader="dot" w:pos="4171"/>
        </w:tabs>
        <w:spacing w:line="240" w:lineRule="auto"/>
      </w:pPr>
      <w:r w:rsidRPr="003D1E07">
        <w:rPr>
          <w:i/>
        </w:rPr>
        <w:t>intellectus agens</w:t>
      </w:r>
      <w:r w:rsidRPr="003D1E07">
        <w:tab/>
        <w:t>151</w:t>
      </w:r>
    </w:p>
    <w:p w14:paraId="3B4F6BF8" w14:textId="77777777" w:rsidR="00C04C0A" w:rsidRPr="003D1E07" w:rsidRDefault="00C04C0A" w:rsidP="00C04C0A">
      <w:pPr>
        <w:pStyle w:val="Rejstk2"/>
        <w:tabs>
          <w:tab w:val="right" w:leader="dot" w:pos="4171"/>
        </w:tabs>
        <w:spacing w:line="240" w:lineRule="auto"/>
      </w:pPr>
      <w:r w:rsidRPr="003D1E07">
        <w:t>Afrodisias</w:t>
      </w:r>
      <w:r w:rsidRPr="003D1E07">
        <w:tab/>
        <w:t>185</w:t>
      </w:r>
    </w:p>
    <w:p w14:paraId="70EDD046" w14:textId="77777777" w:rsidR="00C04C0A" w:rsidRPr="003D1E07" w:rsidRDefault="00C04C0A" w:rsidP="00C04C0A">
      <w:pPr>
        <w:pStyle w:val="Rejstk2"/>
        <w:tabs>
          <w:tab w:val="right" w:leader="dot" w:pos="4171"/>
        </w:tabs>
        <w:spacing w:line="240" w:lineRule="auto"/>
      </w:pPr>
      <w:r w:rsidRPr="003D1E07">
        <w:t>Alexander</w:t>
      </w:r>
      <w:r w:rsidRPr="003D1E07">
        <w:tab/>
        <w:t>393</w:t>
      </w:r>
    </w:p>
    <w:p w14:paraId="6E5BFCB2" w14:textId="77777777" w:rsidR="00C04C0A" w:rsidRPr="003D1E07" w:rsidRDefault="00C04C0A" w:rsidP="00C04C0A">
      <w:pPr>
        <w:pStyle w:val="Rejstk2"/>
        <w:tabs>
          <w:tab w:val="right" w:leader="dot" w:pos="4171"/>
        </w:tabs>
        <w:spacing w:line="240" w:lineRule="auto"/>
      </w:pPr>
      <w:r w:rsidRPr="003D1E07">
        <w:t>Al-Fárábí</w:t>
      </w:r>
      <w:r w:rsidRPr="003D1E07">
        <w:tab/>
        <w:t>180, 188, 198, 206, 227</w:t>
      </w:r>
    </w:p>
    <w:p w14:paraId="59FA2ED3" w14:textId="77777777" w:rsidR="00C04C0A" w:rsidRPr="003D1E07" w:rsidRDefault="00C04C0A" w:rsidP="00C04C0A">
      <w:pPr>
        <w:pStyle w:val="Rejstk2"/>
        <w:tabs>
          <w:tab w:val="right" w:leader="dot" w:pos="4171"/>
        </w:tabs>
        <w:spacing w:line="240" w:lineRule="auto"/>
      </w:pPr>
      <w:r w:rsidRPr="003D1E07">
        <w:t>Averroes</w:t>
      </w:r>
      <w:r w:rsidRPr="003D1E07">
        <w:tab/>
        <w:t>388, 424, 429, 451, 456</w:t>
      </w:r>
    </w:p>
    <w:p w14:paraId="6DE33FB9" w14:textId="60DE50BB" w:rsidR="00C04C0A" w:rsidRPr="003D1E07" w:rsidRDefault="00C04C0A" w:rsidP="00C04C0A">
      <w:pPr>
        <w:pStyle w:val="Rejstk2"/>
        <w:tabs>
          <w:tab w:val="right" w:leader="dot" w:pos="4171"/>
        </w:tabs>
        <w:spacing w:line="240" w:lineRule="auto"/>
      </w:pPr>
      <w:r w:rsidRPr="003D1E07">
        <w:t>Avicenna</w:t>
      </w:r>
      <w:r w:rsidRPr="003D1E07">
        <w:tab/>
        <w:t>205, 260, 266, 269, 304</w:t>
      </w:r>
      <w:r w:rsidR="00D971D6" w:rsidRPr="003D1E07">
        <w:t>, 372</w:t>
      </w:r>
    </w:p>
    <w:p w14:paraId="0FCC36A9" w14:textId="77777777" w:rsidR="00C04C0A" w:rsidRPr="003D1E07" w:rsidRDefault="00C04C0A" w:rsidP="00C04C0A">
      <w:pPr>
        <w:pStyle w:val="Rejstk2"/>
        <w:tabs>
          <w:tab w:val="right" w:leader="dot" w:pos="4171"/>
        </w:tabs>
        <w:spacing w:line="240" w:lineRule="auto"/>
      </w:pPr>
      <w:r w:rsidRPr="003D1E07">
        <w:t>falsafa</w:t>
      </w:r>
      <w:r w:rsidRPr="003D1E07">
        <w:tab/>
        <w:t>199, 203, 225</w:t>
      </w:r>
    </w:p>
    <w:p w14:paraId="2859A2B3" w14:textId="77777777" w:rsidR="00C04C0A" w:rsidRPr="003D1E07" w:rsidRDefault="00C04C0A" w:rsidP="00C04C0A">
      <w:pPr>
        <w:pStyle w:val="Rejstk2"/>
        <w:tabs>
          <w:tab w:val="right" w:leader="dot" w:pos="4171"/>
        </w:tabs>
        <w:spacing w:line="240" w:lineRule="auto"/>
      </w:pPr>
      <w:r w:rsidRPr="003D1E07">
        <w:t>neoplatonismus</w:t>
      </w:r>
      <w:r w:rsidRPr="003D1E07">
        <w:tab/>
        <w:t>171, 189, 210, 215, 224, 237, 239, 267, 270, 273, 322</w:t>
      </w:r>
    </w:p>
    <w:p w14:paraId="11C37470" w14:textId="77777777" w:rsidR="00C04C0A" w:rsidRPr="003D1E07" w:rsidRDefault="00C04C0A" w:rsidP="00C04C0A">
      <w:pPr>
        <w:pStyle w:val="Rejstk2"/>
        <w:tabs>
          <w:tab w:val="right" w:leader="dot" w:pos="4171"/>
        </w:tabs>
        <w:spacing w:line="240" w:lineRule="auto"/>
      </w:pPr>
      <w:r w:rsidRPr="003D1E07">
        <w:t>numericky jeden</w:t>
      </w:r>
      <w:r w:rsidRPr="003D1E07">
        <w:tab/>
        <w:t>400</w:t>
      </w:r>
    </w:p>
    <w:p w14:paraId="1256A423" w14:textId="77777777" w:rsidR="00C04C0A" w:rsidRPr="003D1E07" w:rsidRDefault="00C04C0A" w:rsidP="00C04C0A">
      <w:pPr>
        <w:pStyle w:val="Rejstk1"/>
        <w:tabs>
          <w:tab w:val="right" w:leader="dot" w:pos="4171"/>
        </w:tabs>
        <w:spacing w:line="240" w:lineRule="auto"/>
      </w:pPr>
      <w:r w:rsidRPr="003D1E07">
        <w:rPr>
          <w:i/>
        </w:rPr>
        <w:t>intellectus in effectu</w:t>
      </w:r>
      <w:r w:rsidRPr="003D1E07">
        <w:tab/>
        <w:t>199, 200, 203, 206, 207, 208, 209, 271</w:t>
      </w:r>
    </w:p>
    <w:p w14:paraId="20E39614" w14:textId="77777777" w:rsidR="00C04C0A" w:rsidRPr="003D1E07" w:rsidRDefault="00C04C0A" w:rsidP="00C04C0A">
      <w:pPr>
        <w:pStyle w:val="Rejstk2"/>
        <w:tabs>
          <w:tab w:val="right" w:leader="dot" w:pos="4171"/>
        </w:tabs>
        <w:spacing w:line="240" w:lineRule="auto"/>
      </w:pPr>
      <w:r w:rsidRPr="003D1E07">
        <w:t>Al-Fárábí</w:t>
      </w:r>
      <w:r w:rsidRPr="003D1E07">
        <w:tab/>
        <w:t>226</w:t>
      </w:r>
    </w:p>
    <w:p w14:paraId="56013C0E" w14:textId="77777777" w:rsidR="00C04C0A" w:rsidRPr="003D1E07" w:rsidRDefault="00C04C0A" w:rsidP="00C04C0A">
      <w:pPr>
        <w:pStyle w:val="Rejstk2"/>
        <w:tabs>
          <w:tab w:val="right" w:leader="dot" w:pos="4171"/>
        </w:tabs>
        <w:spacing w:line="240" w:lineRule="auto"/>
      </w:pPr>
      <w:r w:rsidRPr="003D1E07">
        <w:t>Avicenna</w:t>
      </w:r>
      <w:r w:rsidRPr="003D1E07">
        <w:tab/>
        <w:t>268, 403</w:t>
      </w:r>
    </w:p>
    <w:p w14:paraId="0869C72C" w14:textId="77777777" w:rsidR="00C04C0A" w:rsidRPr="003D1E07" w:rsidRDefault="00C04C0A" w:rsidP="00C04C0A">
      <w:pPr>
        <w:pStyle w:val="Rejstk1"/>
        <w:tabs>
          <w:tab w:val="right" w:leader="dot" w:pos="4171"/>
        </w:tabs>
        <w:spacing w:line="240" w:lineRule="auto"/>
      </w:pPr>
      <w:r w:rsidRPr="003D1E07">
        <w:rPr>
          <w:i/>
        </w:rPr>
        <w:t>intellectus in potentia</w:t>
      </w:r>
    </w:p>
    <w:p w14:paraId="5D0A8D8B" w14:textId="77777777" w:rsidR="00C04C0A" w:rsidRPr="003D1E07" w:rsidRDefault="00C04C0A" w:rsidP="00C04C0A">
      <w:pPr>
        <w:pStyle w:val="Rejstk2"/>
        <w:tabs>
          <w:tab w:val="right" w:leader="dot" w:pos="4171"/>
        </w:tabs>
        <w:spacing w:line="240" w:lineRule="auto"/>
      </w:pPr>
      <w:r w:rsidRPr="003D1E07">
        <w:t>Al-Fárábí</w:t>
      </w:r>
      <w:r w:rsidRPr="003D1E07">
        <w:tab/>
        <w:t>230, 237, 340, 417, 461</w:t>
      </w:r>
    </w:p>
    <w:p w14:paraId="78E4EDED" w14:textId="77777777" w:rsidR="00C04C0A" w:rsidRPr="003D1E07" w:rsidRDefault="00C04C0A" w:rsidP="00C04C0A">
      <w:pPr>
        <w:pStyle w:val="Rejstk2"/>
        <w:tabs>
          <w:tab w:val="right" w:leader="dot" w:pos="4171"/>
        </w:tabs>
        <w:spacing w:line="240" w:lineRule="auto"/>
      </w:pPr>
      <w:r w:rsidRPr="003D1E07">
        <w:t>Averroes</w:t>
      </w:r>
      <w:r w:rsidRPr="003D1E07">
        <w:tab/>
        <w:t>426</w:t>
      </w:r>
    </w:p>
    <w:p w14:paraId="0188948A" w14:textId="77777777" w:rsidR="00C04C0A" w:rsidRPr="003D1E07" w:rsidRDefault="00C04C0A" w:rsidP="00C04C0A">
      <w:pPr>
        <w:pStyle w:val="Rejstk1"/>
        <w:tabs>
          <w:tab w:val="right" w:leader="dot" w:pos="4171"/>
        </w:tabs>
        <w:spacing w:line="240" w:lineRule="auto"/>
      </w:pPr>
      <w:r w:rsidRPr="003D1E07">
        <w:rPr>
          <w:i/>
        </w:rPr>
        <w:t>intellectus materialis</w:t>
      </w:r>
      <w:r w:rsidRPr="003D1E07">
        <w:tab/>
        <w:t>342</w:t>
      </w:r>
    </w:p>
    <w:p w14:paraId="6FB713EC" w14:textId="77777777" w:rsidR="00C04C0A" w:rsidRPr="003D1E07" w:rsidRDefault="00C04C0A" w:rsidP="00C04C0A">
      <w:pPr>
        <w:pStyle w:val="Rejstk2"/>
        <w:tabs>
          <w:tab w:val="right" w:leader="dot" w:pos="4171"/>
        </w:tabs>
        <w:spacing w:line="240" w:lineRule="auto"/>
      </w:pPr>
      <w:r w:rsidRPr="003D1E07">
        <w:t>Afrodisias</w:t>
      </w:r>
      <w:r w:rsidRPr="003D1E07">
        <w:tab/>
        <w:t>185</w:t>
      </w:r>
    </w:p>
    <w:p w14:paraId="5D8441DD" w14:textId="77777777" w:rsidR="00C04C0A" w:rsidRPr="003D1E07" w:rsidRDefault="00C04C0A" w:rsidP="00C04C0A">
      <w:pPr>
        <w:pStyle w:val="Rejstk2"/>
        <w:tabs>
          <w:tab w:val="right" w:leader="dot" w:pos="4171"/>
        </w:tabs>
        <w:spacing w:line="240" w:lineRule="auto"/>
      </w:pPr>
      <w:r w:rsidRPr="003D1E07">
        <w:t>Alexander</w:t>
      </w:r>
      <w:r w:rsidRPr="003D1E07">
        <w:tab/>
        <w:t>186, 411, 427</w:t>
      </w:r>
    </w:p>
    <w:p w14:paraId="35DFADB4" w14:textId="77777777" w:rsidR="00C04C0A" w:rsidRPr="003D1E07" w:rsidRDefault="00C04C0A" w:rsidP="00C04C0A">
      <w:pPr>
        <w:pStyle w:val="Rejstk2"/>
        <w:tabs>
          <w:tab w:val="right" w:leader="dot" w:pos="4171"/>
        </w:tabs>
        <w:spacing w:line="240" w:lineRule="auto"/>
      </w:pPr>
      <w:r w:rsidRPr="003D1E07">
        <w:t>Al-Fárábí</w:t>
      </w:r>
      <w:r w:rsidRPr="003D1E07">
        <w:tab/>
        <w:t>209</w:t>
      </w:r>
    </w:p>
    <w:p w14:paraId="611793E0" w14:textId="77777777" w:rsidR="00C04C0A" w:rsidRPr="003D1E07" w:rsidRDefault="00C04C0A" w:rsidP="00C04C0A">
      <w:pPr>
        <w:pStyle w:val="Rejstk2"/>
        <w:tabs>
          <w:tab w:val="right" w:leader="dot" w:pos="4171"/>
        </w:tabs>
        <w:spacing w:line="240" w:lineRule="auto"/>
      </w:pPr>
      <w:r w:rsidRPr="003D1E07">
        <w:t>Averroes</w:t>
      </w:r>
      <w:r w:rsidRPr="003D1E07">
        <w:tab/>
        <w:t>340, 374, 415</w:t>
      </w:r>
    </w:p>
    <w:p w14:paraId="6090EF22" w14:textId="77777777" w:rsidR="00C04C0A" w:rsidRPr="003D1E07" w:rsidRDefault="00C04C0A" w:rsidP="00C04C0A">
      <w:pPr>
        <w:pStyle w:val="Rejstk2"/>
        <w:tabs>
          <w:tab w:val="right" w:leader="dot" w:pos="4171"/>
        </w:tabs>
        <w:spacing w:line="240" w:lineRule="auto"/>
      </w:pPr>
      <w:r w:rsidRPr="003D1E07">
        <w:t>Avicenna</w:t>
      </w:r>
      <w:r w:rsidRPr="003D1E07">
        <w:tab/>
        <w:t>265, 378, 387</w:t>
      </w:r>
    </w:p>
    <w:p w14:paraId="3332E7BC" w14:textId="77777777" w:rsidR="00C04C0A" w:rsidRPr="003D1E07" w:rsidRDefault="00C04C0A" w:rsidP="00C04C0A">
      <w:pPr>
        <w:pStyle w:val="Rejstk2"/>
        <w:tabs>
          <w:tab w:val="right" w:leader="dot" w:pos="4171"/>
        </w:tabs>
        <w:spacing w:line="240" w:lineRule="auto"/>
      </w:pPr>
      <w:r w:rsidRPr="003D1E07">
        <w:t>moderna</w:t>
      </w:r>
      <w:r w:rsidRPr="003D1E07">
        <w:tab/>
        <w:t>468</w:t>
      </w:r>
    </w:p>
    <w:p w14:paraId="42F0DEDB" w14:textId="77777777" w:rsidR="00C04C0A" w:rsidRPr="003D1E07" w:rsidRDefault="00C04C0A" w:rsidP="00C04C0A">
      <w:pPr>
        <w:pStyle w:val="Rejstk2"/>
        <w:tabs>
          <w:tab w:val="right" w:leader="dot" w:pos="4171"/>
        </w:tabs>
        <w:spacing w:line="240" w:lineRule="auto"/>
      </w:pPr>
      <w:r w:rsidRPr="003D1E07">
        <w:t>Themistius</w:t>
      </w:r>
      <w:r w:rsidRPr="003D1E07">
        <w:tab/>
        <w:t>427</w:t>
      </w:r>
    </w:p>
    <w:p w14:paraId="2DA23CF2" w14:textId="77777777" w:rsidR="00C04C0A" w:rsidRPr="003D1E07" w:rsidRDefault="00C04C0A" w:rsidP="00C04C0A">
      <w:pPr>
        <w:pStyle w:val="Rejstk1"/>
        <w:tabs>
          <w:tab w:val="right" w:leader="dot" w:pos="4171"/>
        </w:tabs>
        <w:spacing w:line="240" w:lineRule="auto"/>
      </w:pPr>
      <w:r w:rsidRPr="003D1E07">
        <w:rPr>
          <w:i/>
        </w:rPr>
        <w:t>intellectus possibilis</w:t>
      </w:r>
      <w:r w:rsidRPr="003D1E07">
        <w:tab/>
        <w:t>396</w:t>
      </w:r>
    </w:p>
    <w:p w14:paraId="4408CB08" w14:textId="77777777" w:rsidR="00C04C0A" w:rsidRPr="003D1E07" w:rsidRDefault="00C04C0A" w:rsidP="00C04C0A">
      <w:pPr>
        <w:pStyle w:val="Rejstk2"/>
        <w:tabs>
          <w:tab w:val="right" w:leader="dot" w:pos="4171"/>
        </w:tabs>
        <w:spacing w:line="240" w:lineRule="auto"/>
      </w:pPr>
      <w:r w:rsidRPr="003D1E07">
        <w:t>Alexander</w:t>
      </w:r>
      <w:r w:rsidRPr="003D1E07">
        <w:tab/>
        <w:t>393</w:t>
      </w:r>
    </w:p>
    <w:p w14:paraId="2061D7D0" w14:textId="77777777" w:rsidR="00C04C0A" w:rsidRPr="003D1E07" w:rsidRDefault="00C04C0A" w:rsidP="00C04C0A">
      <w:pPr>
        <w:pStyle w:val="Rejstk2"/>
        <w:tabs>
          <w:tab w:val="right" w:leader="dot" w:pos="4171"/>
        </w:tabs>
        <w:spacing w:line="240" w:lineRule="auto"/>
      </w:pPr>
      <w:r w:rsidRPr="003D1E07">
        <w:t>Al-Fárábí</w:t>
      </w:r>
      <w:r w:rsidRPr="003D1E07">
        <w:tab/>
        <w:t>188, 189, 194, 200, 217, 240, 255</w:t>
      </w:r>
    </w:p>
    <w:p w14:paraId="64A0FB3C" w14:textId="77777777" w:rsidR="00C04C0A" w:rsidRPr="003D1E07" w:rsidRDefault="00C04C0A" w:rsidP="00C04C0A">
      <w:pPr>
        <w:pStyle w:val="Rejstk2"/>
        <w:tabs>
          <w:tab w:val="right" w:leader="dot" w:pos="4171"/>
        </w:tabs>
        <w:spacing w:line="240" w:lineRule="auto"/>
      </w:pPr>
      <w:r w:rsidRPr="003D1E07">
        <w:t>Aristoteles</w:t>
      </w:r>
      <w:r w:rsidRPr="003D1E07">
        <w:tab/>
        <w:t>273</w:t>
      </w:r>
    </w:p>
    <w:p w14:paraId="0ED3213D" w14:textId="77777777" w:rsidR="00C04C0A" w:rsidRPr="003D1E07" w:rsidRDefault="00C04C0A" w:rsidP="00C04C0A">
      <w:pPr>
        <w:pStyle w:val="Rejstk2"/>
        <w:tabs>
          <w:tab w:val="right" w:leader="dot" w:pos="4171"/>
        </w:tabs>
        <w:spacing w:line="240" w:lineRule="auto"/>
      </w:pPr>
      <w:r w:rsidRPr="003D1E07">
        <w:t>Averroes</w:t>
      </w:r>
      <w:r w:rsidRPr="003D1E07">
        <w:tab/>
        <w:t>340, 343, 361, 380, 418, 424, 426, 427, 434, 459</w:t>
      </w:r>
    </w:p>
    <w:p w14:paraId="54AEDEFA" w14:textId="77777777" w:rsidR="00C04C0A" w:rsidRPr="003D1E07" w:rsidRDefault="00C04C0A" w:rsidP="00C04C0A">
      <w:pPr>
        <w:pStyle w:val="Rejstk2"/>
        <w:tabs>
          <w:tab w:val="right" w:leader="dot" w:pos="4171"/>
        </w:tabs>
        <w:spacing w:line="240" w:lineRule="auto"/>
      </w:pPr>
      <w:r w:rsidRPr="003D1E07">
        <w:t>Avicenna</w:t>
      </w:r>
      <w:r w:rsidRPr="003D1E07">
        <w:tab/>
        <w:t>259, 302</w:t>
      </w:r>
    </w:p>
    <w:p w14:paraId="53ACF10A" w14:textId="77777777" w:rsidR="00C04C0A" w:rsidRPr="003D1E07" w:rsidRDefault="00C04C0A" w:rsidP="00C04C0A">
      <w:pPr>
        <w:pStyle w:val="Rejstk2"/>
        <w:tabs>
          <w:tab w:val="right" w:leader="dot" w:pos="4171"/>
        </w:tabs>
        <w:spacing w:line="240" w:lineRule="auto"/>
      </w:pPr>
      <w:r w:rsidRPr="003D1E07">
        <w:t>moderna</w:t>
      </w:r>
      <w:r w:rsidRPr="003D1E07">
        <w:tab/>
        <w:t>408, 468</w:t>
      </w:r>
    </w:p>
    <w:p w14:paraId="2CA7ECC4" w14:textId="77777777" w:rsidR="00C04C0A" w:rsidRPr="003D1E07" w:rsidRDefault="00C04C0A" w:rsidP="00C04C0A">
      <w:pPr>
        <w:pStyle w:val="Rejstk2"/>
        <w:tabs>
          <w:tab w:val="right" w:leader="dot" w:pos="4171"/>
        </w:tabs>
        <w:spacing w:line="240" w:lineRule="auto"/>
      </w:pPr>
      <w:r w:rsidRPr="003D1E07">
        <w:t>první averroismus</w:t>
      </w:r>
      <w:r w:rsidRPr="003D1E07">
        <w:tab/>
        <w:t>197, 421</w:t>
      </w:r>
    </w:p>
    <w:p w14:paraId="4132F6C4" w14:textId="77777777" w:rsidR="00C04C0A" w:rsidRPr="003D1E07" w:rsidRDefault="00C04C0A" w:rsidP="00C04C0A">
      <w:pPr>
        <w:pStyle w:val="Rejstk2"/>
        <w:tabs>
          <w:tab w:val="right" w:leader="dot" w:pos="4171"/>
        </w:tabs>
        <w:spacing w:line="240" w:lineRule="auto"/>
      </w:pPr>
      <w:r w:rsidRPr="003D1E07">
        <w:t>Themistius</w:t>
      </w:r>
      <w:r w:rsidRPr="003D1E07">
        <w:tab/>
        <w:t>392, 393, 463</w:t>
      </w:r>
    </w:p>
    <w:p w14:paraId="5B3195B1" w14:textId="77777777" w:rsidR="00C04C0A" w:rsidRPr="003D1E07" w:rsidRDefault="00C04C0A" w:rsidP="00C04C0A">
      <w:pPr>
        <w:pStyle w:val="Rejstk1"/>
        <w:tabs>
          <w:tab w:val="right" w:leader="dot" w:pos="4171"/>
        </w:tabs>
        <w:spacing w:line="240" w:lineRule="auto"/>
      </w:pPr>
      <w:r w:rsidRPr="003D1E07">
        <w:rPr>
          <w:i/>
        </w:rPr>
        <w:t>intellectus sanctus</w:t>
      </w:r>
      <w:r w:rsidRPr="003D1E07">
        <w:tab/>
        <w:t>266, 267, 302, 304, 322, 332</w:t>
      </w:r>
    </w:p>
    <w:p w14:paraId="18489500" w14:textId="77777777" w:rsidR="00C04C0A" w:rsidRPr="003D1E07" w:rsidRDefault="00C04C0A" w:rsidP="00C04C0A">
      <w:pPr>
        <w:pStyle w:val="Rejstk1"/>
        <w:tabs>
          <w:tab w:val="right" w:leader="dot" w:pos="4171"/>
        </w:tabs>
        <w:spacing w:line="240" w:lineRule="auto"/>
      </w:pPr>
      <w:r w:rsidRPr="003D1E07">
        <w:rPr>
          <w:i/>
        </w:rPr>
        <w:t>intellectus speculativus</w:t>
      </w:r>
      <w:r w:rsidRPr="003D1E07">
        <w:tab/>
        <w:t>374, 379, 419, 420, 421, 433, 456</w:t>
      </w:r>
    </w:p>
    <w:p w14:paraId="0DA925FE" w14:textId="081EC346" w:rsidR="00680D9E" w:rsidRPr="00680D9E" w:rsidRDefault="00680D9E" w:rsidP="00C04C0A">
      <w:pPr>
        <w:pStyle w:val="Rejstk1"/>
        <w:tabs>
          <w:tab w:val="right" w:leader="dot" w:pos="4171"/>
        </w:tabs>
        <w:spacing w:line="240" w:lineRule="auto"/>
      </w:pPr>
      <w:r w:rsidRPr="00AF0BD5">
        <w:rPr>
          <w:i/>
        </w:rPr>
        <w:t>intellectio/intellectum</w:t>
      </w:r>
      <w:r>
        <w:rPr>
          <w:i/>
        </w:rPr>
        <w:tab/>
      </w:r>
      <w:r>
        <w:t>155, 255, 341, 455</w:t>
      </w:r>
    </w:p>
    <w:p w14:paraId="3388D17B" w14:textId="77777777" w:rsidR="00C04C0A" w:rsidRPr="003D1E07" w:rsidRDefault="00C04C0A" w:rsidP="00C04C0A">
      <w:pPr>
        <w:pStyle w:val="Rejstk1"/>
        <w:tabs>
          <w:tab w:val="right" w:leader="dot" w:pos="4171"/>
        </w:tabs>
        <w:spacing w:line="240" w:lineRule="auto"/>
      </w:pPr>
      <w:r w:rsidRPr="003D1E07">
        <w:t>intencionalita</w:t>
      </w:r>
    </w:p>
    <w:p w14:paraId="22D9232B" w14:textId="77777777" w:rsidR="00C04C0A" w:rsidRPr="003D1E07" w:rsidRDefault="00C04C0A" w:rsidP="00C04C0A">
      <w:pPr>
        <w:pStyle w:val="Rejstk2"/>
        <w:tabs>
          <w:tab w:val="right" w:leader="dot" w:pos="4171"/>
        </w:tabs>
        <w:spacing w:line="240" w:lineRule="auto"/>
      </w:pPr>
      <w:r w:rsidRPr="003D1E07">
        <w:t>Al-Fárábí</w:t>
      </w:r>
      <w:r w:rsidRPr="003D1E07">
        <w:tab/>
        <w:t>179, 187, 204, 227, 229</w:t>
      </w:r>
    </w:p>
    <w:p w14:paraId="7F26E708" w14:textId="77777777" w:rsidR="00C04C0A" w:rsidRPr="003D1E07" w:rsidRDefault="00C04C0A" w:rsidP="00C04C0A">
      <w:pPr>
        <w:pStyle w:val="Rejstk2"/>
        <w:tabs>
          <w:tab w:val="right" w:leader="dot" w:pos="4171"/>
        </w:tabs>
        <w:spacing w:line="240" w:lineRule="auto"/>
      </w:pPr>
      <w:r w:rsidRPr="003D1E07">
        <w:lastRenderedPageBreak/>
        <w:t>Averroes</w:t>
      </w:r>
      <w:r w:rsidRPr="003D1E07">
        <w:tab/>
        <w:t>396, 452, 459</w:t>
      </w:r>
    </w:p>
    <w:p w14:paraId="127A29E0" w14:textId="77777777" w:rsidR="00C04C0A" w:rsidRPr="003D1E07" w:rsidRDefault="00C04C0A" w:rsidP="00C04C0A">
      <w:pPr>
        <w:pStyle w:val="Rejstk2"/>
        <w:tabs>
          <w:tab w:val="right" w:leader="dot" w:pos="4171"/>
        </w:tabs>
        <w:spacing w:line="240" w:lineRule="auto"/>
      </w:pPr>
      <w:r w:rsidRPr="003D1E07">
        <w:t>Avicenna</w:t>
      </w:r>
      <w:r w:rsidRPr="003D1E07">
        <w:tab/>
        <w:t>280, 285, 388</w:t>
      </w:r>
    </w:p>
    <w:p w14:paraId="73A53589" w14:textId="77777777" w:rsidR="00C04C0A" w:rsidRPr="003D1E07" w:rsidRDefault="00C04C0A" w:rsidP="00C04C0A">
      <w:pPr>
        <w:pStyle w:val="Rejstk2"/>
        <w:tabs>
          <w:tab w:val="right" w:leader="dot" w:pos="4171"/>
        </w:tabs>
        <w:spacing w:line="240" w:lineRule="auto"/>
      </w:pPr>
      <w:r w:rsidRPr="003D1E07">
        <w:t>boží</w:t>
      </w:r>
      <w:r w:rsidRPr="003D1E07">
        <w:tab/>
        <w:t>320</w:t>
      </w:r>
    </w:p>
    <w:p w14:paraId="2403CDB2" w14:textId="77777777" w:rsidR="00C04C0A" w:rsidRPr="003D1E07" w:rsidRDefault="00C04C0A" w:rsidP="00C04C0A">
      <w:pPr>
        <w:pStyle w:val="Rejstk2"/>
        <w:tabs>
          <w:tab w:val="right" w:leader="dot" w:pos="4171"/>
        </w:tabs>
        <w:spacing w:line="240" w:lineRule="auto"/>
      </w:pPr>
      <w:r w:rsidRPr="003D1E07">
        <w:t>Descartes</w:t>
      </w:r>
      <w:r w:rsidRPr="003D1E07">
        <w:tab/>
        <w:t>449</w:t>
      </w:r>
    </w:p>
    <w:p w14:paraId="40F6E222" w14:textId="77777777" w:rsidR="00C04C0A" w:rsidRPr="003D1E07" w:rsidRDefault="00C04C0A" w:rsidP="00C04C0A">
      <w:pPr>
        <w:pStyle w:val="Rejstk2"/>
        <w:tabs>
          <w:tab w:val="right" w:leader="dot" w:pos="4171"/>
        </w:tabs>
        <w:spacing w:line="240" w:lineRule="auto"/>
      </w:pPr>
      <w:r w:rsidRPr="003D1E07">
        <w:t>diafanum</w:t>
      </w:r>
      <w:r w:rsidRPr="003D1E07">
        <w:tab/>
        <w:t>441</w:t>
      </w:r>
    </w:p>
    <w:p w14:paraId="5A4DFC3B" w14:textId="77777777" w:rsidR="00C04C0A" w:rsidRPr="003D1E07" w:rsidRDefault="00C04C0A" w:rsidP="00C04C0A">
      <w:pPr>
        <w:pStyle w:val="Rejstk2"/>
        <w:tabs>
          <w:tab w:val="right" w:leader="dot" w:pos="4171"/>
        </w:tabs>
        <w:spacing w:line="240" w:lineRule="auto"/>
      </w:pPr>
      <w:r w:rsidRPr="003D1E07">
        <w:rPr>
          <w:i/>
        </w:rPr>
        <w:t>esse ad</w:t>
      </w:r>
      <w:r w:rsidRPr="003D1E07">
        <w:tab/>
        <w:t>247</w:t>
      </w:r>
    </w:p>
    <w:p w14:paraId="7CD24104" w14:textId="77777777" w:rsidR="00C04C0A" w:rsidRPr="003D1E07" w:rsidRDefault="00C04C0A" w:rsidP="00C04C0A">
      <w:pPr>
        <w:pStyle w:val="Rejstk2"/>
        <w:tabs>
          <w:tab w:val="right" w:leader="dot" w:pos="4171"/>
        </w:tabs>
        <w:spacing w:line="240" w:lineRule="auto"/>
      </w:pPr>
      <w:r w:rsidRPr="003D1E07">
        <w:t>Heidegger</w:t>
      </w:r>
      <w:r w:rsidRPr="003D1E07">
        <w:tab/>
        <w:t>458</w:t>
      </w:r>
    </w:p>
    <w:p w14:paraId="291531A3" w14:textId="77777777" w:rsidR="00C04C0A" w:rsidRPr="003D1E07" w:rsidRDefault="00C04C0A" w:rsidP="00C04C0A">
      <w:pPr>
        <w:pStyle w:val="Rejstk2"/>
        <w:tabs>
          <w:tab w:val="right" w:leader="dot" w:pos="4171"/>
        </w:tabs>
        <w:spacing w:line="240" w:lineRule="auto"/>
      </w:pPr>
      <w:r w:rsidRPr="003D1E07">
        <w:t>Husserl</w:t>
      </w:r>
      <w:r w:rsidRPr="003D1E07">
        <w:tab/>
        <w:t>283, 458</w:t>
      </w:r>
    </w:p>
    <w:p w14:paraId="2D1E055F" w14:textId="77777777" w:rsidR="00C04C0A" w:rsidRPr="003D1E07" w:rsidRDefault="00C04C0A" w:rsidP="00C04C0A">
      <w:pPr>
        <w:pStyle w:val="Rejstk2"/>
        <w:tabs>
          <w:tab w:val="right" w:leader="dot" w:pos="4171"/>
        </w:tabs>
        <w:spacing w:line="240" w:lineRule="auto"/>
      </w:pPr>
      <w:r w:rsidRPr="003D1E07">
        <w:t>Ibn-Ádí</w:t>
      </w:r>
      <w:r w:rsidRPr="003D1E07">
        <w:tab/>
        <w:t>320</w:t>
      </w:r>
    </w:p>
    <w:p w14:paraId="73C0C81A" w14:textId="77777777" w:rsidR="00C04C0A" w:rsidRPr="003D1E07" w:rsidRDefault="00C04C0A" w:rsidP="00C04C0A">
      <w:pPr>
        <w:pStyle w:val="Rejstk2"/>
        <w:tabs>
          <w:tab w:val="right" w:leader="dot" w:pos="4171"/>
        </w:tabs>
        <w:spacing w:line="240" w:lineRule="auto"/>
      </w:pPr>
      <w:r w:rsidRPr="003D1E07">
        <w:t>moderna</w:t>
      </w:r>
      <w:r w:rsidRPr="003D1E07">
        <w:tab/>
        <w:t>460</w:t>
      </w:r>
    </w:p>
    <w:p w14:paraId="45C98F4C" w14:textId="77777777" w:rsidR="00C04C0A" w:rsidRPr="003D1E07" w:rsidRDefault="00C04C0A" w:rsidP="00C04C0A">
      <w:pPr>
        <w:pStyle w:val="Rejstk2"/>
        <w:tabs>
          <w:tab w:val="right" w:leader="dot" w:pos="4171"/>
        </w:tabs>
        <w:spacing w:line="240" w:lineRule="auto"/>
      </w:pPr>
      <w:r w:rsidRPr="003D1E07">
        <w:t>zvířata</w:t>
      </w:r>
      <w:r w:rsidRPr="003D1E07">
        <w:tab/>
        <w:t>257, 455, 464</w:t>
      </w:r>
    </w:p>
    <w:p w14:paraId="55924BAD" w14:textId="64CCA4E5" w:rsidR="00C04C0A" w:rsidRPr="003D1E07" w:rsidRDefault="00C04C0A" w:rsidP="00C04C0A">
      <w:pPr>
        <w:pStyle w:val="Rejstk1"/>
        <w:tabs>
          <w:tab w:val="right" w:leader="dot" w:pos="4171"/>
        </w:tabs>
        <w:spacing w:line="240" w:lineRule="auto"/>
      </w:pPr>
      <w:r w:rsidRPr="003D1E07">
        <w:rPr>
          <w:i/>
        </w:rPr>
        <w:t>ipse/idem</w:t>
      </w:r>
      <w:r w:rsidRPr="003D1E07">
        <w:tab/>
        <w:t xml:space="preserve">36, </w:t>
      </w:r>
      <w:r w:rsidR="00CB69C4" w:rsidRPr="003D1E07">
        <w:t xml:space="preserve">67, </w:t>
      </w:r>
      <w:r w:rsidRPr="003D1E07">
        <w:t>148, 372</w:t>
      </w:r>
    </w:p>
    <w:p w14:paraId="686DFE31" w14:textId="77777777" w:rsidR="00C04C0A" w:rsidRPr="003D1E07" w:rsidRDefault="00C04C0A" w:rsidP="00C04C0A">
      <w:pPr>
        <w:pStyle w:val="Rejstk1"/>
        <w:tabs>
          <w:tab w:val="right" w:leader="dot" w:pos="4171"/>
        </w:tabs>
        <w:spacing w:line="240" w:lineRule="auto"/>
      </w:pPr>
      <w:r w:rsidRPr="003D1E07">
        <w:t>ipseita</w:t>
      </w:r>
      <w:r w:rsidRPr="003D1E07">
        <w:tab/>
        <w:t>37, 60</w:t>
      </w:r>
    </w:p>
    <w:p w14:paraId="5EBD8F8A" w14:textId="77777777" w:rsidR="00C04C0A" w:rsidRPr="003D1E07" w:rsidRDefault="00C04C0A" w:rsidP="00C04C0A">
      <w:pPr>
        <w:pStyle w:val="Rejstk1"/>
        <w:tabs>
          <w:tab w:val="right" w:leader="dot" w:pos="4171"/>
        </w:tabs>
        <w:spacing w:line="240" w:lineRule="auto"/>
      </w:pPr>
      <w:r w:rsidRPr="003D1E07">
        <w:t>ironie</w:t>
      </w:r>
      <w:r w:rsidRPr="003D1E07">
        <w:tab/>
        <w:t>51</w:t>
      </w:r>
    </w:p>
    <w:p w14:paraId="293896FF" w14:textId="77777777" w:rsidR="00C04C0A" w:rsidRPr="003D1E07" w:rsidRDefault="00C04C0A" w:rsidP="00C04C0A">
      <w:pPr>
        <w:pStyle w:val="Rejstk1"/>
        <w:tabs>
          <w:tab w:val="right" w:leader="dot" w:pos="4171"/>
        </w:tabs>
        <w:spacing w:line="240" w:lineRule="auto"/>
      </w:pPr>
      <w:r w:rsidRPr="003D1E07">
        <w:rPr>
          <w:i/>
        </w:rPr>
        <w:t>Irre</w:t>
      </w:r>
      <w:r w:rsidRPr="003D1E07">
        <w:tab/>
        <w:t>67, 68, 77, 100, 136, 167, 168, 173, 185, 220, 302, 356, 359, 371, 425, 471, 491</w:t>
      </w:r>
    </w:p>
    <w:p w14:paraId="7B0583C2" w14:textId="77777777" w:rsidR="00C04C0A" w:rsidRPr="003D1E07" w:rsidRDefault="00C04C0A" w:rsidP="00C04C0A">
      <w:pPr>
        <w:pStyle w:val="Rejstk1"/>
        <w:tabs>
          <w:tab w:val="right" w:leader="dot" w:pos="4171"/>
        </w:tabs>
        <w:spacing w:line="240" w:lineRule="auto"/>
      </w:pPr>
      <w:r w:rsidRPr="003D1E07">
        <w:rPr>
          <w:i/>
        </w:rPr>
        <w:t>Irrtum</w:t>
      </w:r>
      <w:r w:rsidRPr="003D1E07">
        <w:tab/>
        <w:t>168, 173, 185, 195, 202, 232, 302, 316, 355, 371, 406, 460</w:t>
      </w:r>
    </w:p>
    <w:p w14:paraId="1D9CA27D" w14:textId="77777777" w:rsidR="00C04C0A" w:rsidRPr="003D1E07" w:rsidRDefault="00C04C0A" w:rsidP="00C04C0A">
      <w:pPr>
        <w:pStyle w:val="Rejstk2"/>
        <w:tabs>
          <w:tab w:val="right" w:leader="dot" w:pos="4171"/>
        </w:tabs>
        <w:spacing w:line="240" w:lineRule="auto"/>
      </w:pPr>
      <w:r w:rsidRPr="003D1E07">
        <w:t>Avicenna</w:t>
      </w:r>
      <w:r w:rsidRPr="003D1E07">
        <w:tab/>
        <w:t>252</w:t>
      </w:r>
    </w:p>
    <w:p w14:paraId="1D125660" w14:textId="77777777" w:rsidR="00C04C0A" w:rsidRPr="003D1E07" w:rsidRDefault="00C04C0A" w:rsidP="00C04C0A">
      <w:pPr>
        <w:pStyle w:val="Rejstk2"/>
        <w:tabs>
          <w:tab w:val="right" w:leader="dot" w:pos="4171"/>
        </w:tabs>
        <w:spacing w:line="240" w:lineRule="auto"/>
      </w:pPr>
      <w:r w:rsidRPr="003D1E07">
        <w:t>moderna</w:t>
      </w:r>
      <w:r w:rsidRPr="003D1E07">
        <w:tab/>
        <w:t>321, 436</w:t>
      </w:r>
    </w:p>
    <w:p w14:paraId="638866DB" w14:textId="77777777" w:rsidR="00C04C0A" w:rsidRPr="003D1E07" w:rsidRDefault="00C04C0A" w:rsidP="00C04C0A">
      <w:pPr>
        <w:pStyle w:val="Rejstk2"/>
        <w:tabs>
          <w:tab w:val="right" w:leader="dot" w:pos="4171"/>
        </w:tabs>
        <w:spacing w:line="240" w:lineRule="auto"/>
      </w:pPr>
      <w:r w:rsidRPr="003D1E07">
        <w:t>neoplatonismus</w:t>
      </w:r>
      <w:r w:rsidRPr="003D1E07">
        <w:tab/>
        <w:t>153</w:t>
      </w:r>
    </w:p>
    <w:p w14:paraId="02DED26D" w14:textId="77777777" w:rsidR="00C04C0A" w:rsidRPr="003D1E07" w:rsidRDefault="00C04C0A" w:rsidP="00C04C0A">
      <w:pPr>
        <w:pStyle w:val="Rejstk2"/>
        <w:tabs>
          <w:tab w:val="right" w:leader="dot" w:pos="4171"/>
        </w:tabs>
        <w:spacing w:line="240" w:lineRule="auto"/>
      </w:pPr>
      <w:r w:rsidRPr="003D1E07">
        <w:t>Toledská škola</w:t>
      </w:r>
      <w:r w:rsidRPr="003D1E07">
        <w:tab/>
        <w:t>194</w:t>
      </w:r>
    </w:p>
    <w:p w14:paraId="393B6488" w14:textId="77777777" w:rsidR="00C04C0A" w:rsidRPr="003D1E07" w:rsidRDefault="00C04C0A" w:rsidP="00C04C0A">
      <w:pPr>
        <w:pStyle w:val="Rejstk1"/>
        <w:tabs>
          <w:tab w:val="right" w:leader="dot" w:pos="4171"/>
        </w:tabs>
        <w:spacing w:line="240" w:lineRule="auto"/>
      </w:pPr>
      <w:r w:rsidRPr="003D1E07">
        <w:t>islám</w:t>
      </w:r>
      <w:r w:rsidRPr="003D1E07">
        <w:tab/>
        <w:t>232, 488, 489, 491</w:t>
      </w:r>
    </w:p>
    <w:p w14:paraId="368C9372" w14:textId="77777777" w:rsidR="00C04C0A" w:rsidRPr="003D1E07" w:rsidRDefault="00C04C0A" w:rsidP="00C04C0A">
      <w:pPr>
        <w:pStyle w:val="Rejstk1"/>
        <w:tabs>
          <w:tab w:val="right" w:leader="dot" w:pos="4171"/>
        </w:tabs>
        <w:spacing w:line="240" w:lineRule="auto"/>
      </w:pPr>
      <w:r w:rsidRPr="003D1E07">
        <w:rPr>
          <w:i/>
        </w:rPr>
        <w:t>ittiṣāl</w:t>
      </w:r>
      <w:r w:rsidRPr="003D1E07">
        <w:tab/>
        <w:t>217, 225, 248, 264, 341</w:t>
      </w:r>
    </w:p>
    <w:p w14:paraId="4A014552" w14:textId="45E7A657" w:rsidR="00C04C0A" w:rsidRPr="003D1E07" w:rsidRDefault="00C04C0A" w:rsidP="00C04C0A">
      <w:pPr>
        <w:pStyle w:val="Hlavikarejstku"/>
        <w:keepNext/>
        <w:tabs>
          <w:tab w:val="right" w:leader="dot" w:pos="4171"/>
        </w:tabs>
        <w:spacing w:line="240" w:lineRule="auto"/>
        <w:rPr>
          <w:rFonts w:eastAsia="Times New Roman" w:cs="Times New Roman"/>
          <w:b w:val="0"/>
          <w:bCs w:val="0"/>
        </w:rPr>
      </w:pPr>
      <w:r w:rsidRPr="003D1E07">
        <w:t>J</w:t>
      </w:r>
      <w:r w:rsidR="006B0BBF" w:rsidRPr="003D1E07">
        <w:t>, K</w:t>
      </w:r>
    </w:p>
    <w:p w14:paraId="2DCD2A84" w14:textId="77777777" w:rsidR="00C04C0A" w:rsidRPr="003D1E07" w:rsidRDefault="00C04C0A" w:rsidP="00C04C0A">
      <w:pPr>
        <w:pStyle w:val="Rejstk1"/>
        <w:tabs>
          <w:tab w:val="right" w:leader="dot" w:pos="4171"/>
        </w:tabs>
        <w:spacing w:line="240" w:lineRule="auto"/>
      </w:pPr>
      <w:r w:rsidRPr="003D1E07">
        <w:t>Jakubův žebřík</w:t>
      </w:r>
      <w:r w:rsidRPr="003D1E07">
        <w:tab/>
        <w:t>323</w:t>
      </w:r>
    </w:p>
    <w:p w14:paraId="32E4C79F" w14:textId="62E53723" w:rsidR="00C04C0A" w:rsidRPr="003D1E07" w:rsidRDefault="00C04C0A" w:rsidP="00C04C0A">
      <w:pPr>
        <w:pStyle w:val="Rejstk1"/>
        <w:tabs>
          <w:tab w:val="right" w:leader="dot" w:pos="4171"/>
        </w:tabs>
        <w:spacing w:line="240" w:lineRule="auto"/>
      </w:pPr>
      <w:r w:rsidRPr="003D1E07">
        <w:t>Jamblichos</w:t>
      </w:r>
      <w:r w:rsidRPr="003D1E07">
        <w:tab/>
      </w:r>
      <w:r w:rsidR="006B0BBF" w:rsidRPr="003D1E07">
        <w:t xml:space="preserve">123. </w:t>
      </w:r>
      <w:r w:rsidRPr="003D1E07">
        <w:t>126, 152</w:t>
      </w:r>
    </w:p>
    <w:p w14:paraId="12D77A54" w14:textId="77777777" w:rsidR="00C04C0A" w:rsidRPr="003D1E07" w:rsidRDefault="00C04C0A" w:rsidP="00C04C0A">
      <w:pPr>
        <w:pStyle w:val="Rejstk1"/>
        <w:tabs>
          <w:tab w:val="right" w:leader="dot" w:pos="4171"/>
        </w:tabs>
        <w:spacing w:line="240" w:lineRule="auto"/>
      </w:pPr>
      <w:r w:rsidRPr="003D1E07">
        <w:t>Kalchás</w:t>
      </w:r>
      <w:r w:rsidRPr="003D1E07">
        <w:tab/>
        <w:t>21</w:t>
      </w:r>
    </w:p>
    <w:p w14:paraId="6F7CA1AF" w14:textId="58186406" w:rsidR="00C04C0A" w:rsidRPr="003D1E07" w:rsidRDefault="00C04C0A" w:rsidP="00C04C0A">
      <w:pPr>
        <w:pStyle w:val="Rejstk1"/>
        <w:tabs>
          <w:tab w:val="right" w:leader="dot" w:pos="4171"/>
        </w:tabs>
        <w:spacing w:line="240" w:lineRule="auto"/>
      </w:pPr>
      <w:r w:rsidRPr="003D1E07">
        <w:t>Kant</w:t>
      </w:r>
      <w:r w:rsidR="006B0BBF" w:rsidRPr="003D1E07">
        <w:t xml:space="preserve">,I. </w:t>
      </w:r>
      <w:r w:rsidR="006B0BBF" w:rsidRPr="003D1E07">
        <w:tab/>
        <w:t xml:space="preserve">viz </w:t>
      </w:r>
      <w:r w:rsidR="006B0BBF" w:rsidRPr="003D1E07">
        <w:rPr>
          <w:i/>
        </w:rPr>
        <w:t>Index locorum</w:t>
      </w:r>
      <w:r w:rsidR="006B0BBF" w:rsidRPr="003D1E07">
        <w:t>, 4, 12, 232, 438, 457</w:t>
      </w:r>
    </w:p>
    <w:p w14:paraId="005E975D" w14:textId="77777777" w:rsidR="00C04C0A" w:rsidRPr="003D1E07" w:rsidRDefault="00C04C0A" w:rsidP="00C04C0A">
      <w:pPr>
        <w:pStyle w:val="Rejstk1"/>
        <w:tabs>
          <w:tab w:val="right" w:leader="dot" w:pos="4171"/>
        </w:tabs>
        <w:spacing w:line="240" w:lineRule="auto"/>
      </w:pPr>
      <w:r w:rsidRPr="003D1E07">
        <w:t>kapitál</w:t>
      </w:r>
      <w:r w:rsidRPr="003D1E07">
        <w:tab/>
        <w:t>33, 43</w:t>
      </w:r>
    </w:p>
    <w:p w14:paraId="47E16AA1" w14:textId="77777777" w:rsidR="00C04C0A" w:rsidRPr="003D1E07" w:rsidRDefault="00C04C0A" w:rsidP="00C04C0A">
      <w:pPr>
        <w:pStyle w:val="Rejstk1"/>
        <w:tabs>
          <w:tab w:val="right" w:leader="dot" w:pos="4171"/>
        </w:tabs>
        <w:spacing w:line="240" w:lineRule="auto"/>
      </w:pPr>
      <w:r w:rsidRPr="003D1E07">
        <w:t>kastrace pravdy</w:t>
      </w:r>
      <w:r w:rsidRPr="003D1E07">
        <w:tab/>
        <w:t>45, 47</w:t>
      </w:r>
    </w:p>
    <w:p w14:paraId="2DC483E6" w14:textId="77777777" w:rsidR="00C04C0A" w:rsidRPr="003D1E07" w:rsidRDefault="00C04C0A" w:rsidP="00C04C0A">
      <w:pPr>
        <w:pStyle w:val="Rejstk1"/>
        <w:tabs>
          <w:tab w:val="right" w:leader="dot" w:pos="4171"/>
        </w:tabs>
        <w:spacing w:line="240" w:lineRule="auto"/>
      </w:pPr>
      <w:r w:rsidRPr="003D1E07">
        <w:t>kauzalita</w:t>
      </w:r>
    </w:p>
    <w:p w14:paraId="6704D582" w14:textId="77777777" w:rsidR="00C04C0A" w:rsidRPr="003D1E07" w:rsidRDefault="00C04C0A" w:rsidP="00C04C0A">
      <w:pPr>
        <w:pStyle w:val="Rejstk2"/>
        <w:tabs>
          <w:tab w:val="right" w:leader="dot" w:pos="4171"/>
        </w:tabs>
        <w:spacing w:line="240" w:lineRule="auto"/>
      </w:pPr>
      <w:r w:rsidRPr="003D1E07">
        <w:t>Aristoteles</w:t>
      </w:r>
      <w:r w:rsidRPr="003D1E07">
        <w:tab/>
        <w:t>92</w:t>
      </w:r>
    </w:p>
    <w:p w14:paraId="3F7FDCF4" w14:textId="77777777" w:rsidR="00C04C0A" w:rsidRPr="003D1E07" w:rsidRDefault="00C04C0A" w:rsidP="00C04C0A">
      <w:pPr>
        <w:pStyle w:val="Rejstk2"/>
        <w:tabs>
          <w:tab w:val="right" w:leader="dot" w:pos="4171"/>
        </w:tabs>
        <w:spacing w:line="240" w:lineRule="auto"/>
      </w:pPr>
      <w:r w:rsidRPr="003D1E07">
        <w:t>formální</w:t>
      </w:r>
      <w:r w:rsidRPr="003D1E07">
        <w:tab/>
        <w:t>461, 463</w:t>
      </w:r>
    </w:p>
    <w:p w14:paraId="274C58BB" w14:textId="77777777" w:rsidR="00C04C0A" w:rsidRPr="003D1E07" w:rsidRDefault="00C04C0A" w:rsidP="00C04C0A">
      <w:pPr>
        <w:pStyle w:val="Rejstk1"/>
        <w:tabs>
          <w:tab w:val="right" w:leader="dot" w:pos="4171"/>
        </w:tabs>
        <w:spacing w:line="240" w:lineRule="auto"/>
      </w:pPr>
      <w:r w:rsidRPr="003D1E07">
        <w:t>Kilwardby, R.</w:t>
      </w:r>
      <w:r w:rsidRPr="003D1E07">
        <w:tab/>
        <w:t>400</w:t>
      </w:r>
    </w:p>
    <w:p w14:paraId="36F4BA7A" w14:textId="77777777" w:rsidR="00C04C0A" w:rsidRPr="003D1E07" w:rsidRDefault="00C04C0A" w:rsidP="00C04C0A">
      <w:pPr>
        <w:pStyle w:val="Rejstk1"/>
        <w:tabs>
          <w:tab w:val="right" w:leader="dot" w:pos="4171"/>
        </w:tabs>
        <w:spacing w:line="240" w:lineRule="auto"/>
      </w:pPr>
      <w:r w:rsidRPr="003D1E07">
        <w:t>komitace</w:t>
      </w:r>
      <w:r w:rsidRPr="003D1E07">
        <w:tab/>
        <w:t>247, 289, 290, 291, 292, 294, 296, 310, 312, 318, 320, 330, 334, 351, 490</w:t>
      </w:r>
    </w:p>
    <w:p w14:paraId="65A2AB2A" w14:textId="77777777" w:rsidR="00C04C0A" w:rsidRPr="003D1E07" w:rsidRDefault="00C04C0A" w:rsidP="00C04C0A">
      <w:pPr>
        <w:pStyle w:val="Rejstk1"/>
        <w:tabs>
          <w:tab w:val="right" w:leader="dot" w:pos="4171"/>
        </w:tabs>
        <w:spacing w:line="240" w:lineRule="auto"/>
      </w:pPr>
      <w:r w:rsidRPr="003D1E07">
        <w:t>Korán</w:t>
      </w:r>
      <w:r w:rsidRPr="003D1E07">
        <w:tab/>
        <w:t>216, 322, 323, 326, 327, 489</w:t>
      </w:r>
    </w:p>
    <w:p w14:paraId="2C8D6A16" w14:textId="77777777" w:rsidR="00C04C0A" w:rsidRPr="003D1E07" w:rsidRDefault="00C04C0A" w:rsidP="00C04C0A">
      <w:pPr>
        <w:pStyle w:val="Rejstk1"/>
        <w:tabs>
          <w:tab w:val="right" w:leader="dot" w:pos="4171"/>
        </w:tabs>
        <w:spacing w:line="240" w:lineRule="auto"/>
      </w:pPr>
      <w:r w:rsidRPr="003D1E07">
        <w:rPr>
          <w:i/>
        </w:rPr>
        <w:t>krísis</w:t>
      </w:r>
      <w:r w:rsidRPr="003D1E07">
        <w:tab/>
        <w:t>472, 473</w:t>
      </w:r>
    </w:p>
    <w:p w14:paraId="482BA32F" w14:textId="77777777" w:rsidR="00C04C0A" w:rsidRPr="003D1E07" w:rsidRDefault="00C04C0A" w:rsidP="00C04C0A">
      <w:pPr>
        <w:pStyle w:val="Rejstk1"/>
        <w:tabs>
          <w:tab w:val="right" w:leader="dot" w:pos="4171"/>
        </w:tabs>
        <w:spacing w:line="240" w:lineRule="auto"/>
      </w:pPr>
      <w:r w:rsidRPr="003D1E07">
        <w:t>křížové výpravy</w:t>
      </w:r>
      <w:r w:rsidRPr="003D1E07">
        <w:tab/>
        <w:t>491</w:t>
      </w:r>
    </w:p>
    <w:p w14:paraId="4D203012" w14:textId="77777777" w:rsidR="00C04C0A" w:rsidRPr="003D1E07" w:rsidRDefault="00C04C0A" w:rsidP="00C04C0A">
      <w:pPr>
        <w:pStyle w:val="Rejstk1"/>
        <w:tabs>
          <w:tab w:val="right" w:leader="dot" w:pos="4171"/>
        </w:tabs>
        <w:spacing w:line="240" w:lineRule="auto"/>
      </w:pPr>
      <w:r w:rsidRPr="003D1E07">
        <w:t>Kuhn, T.</w:t>
      </w:r>
      <w:r w:rsidRPr="003D1E07">
        <w:tab/>
        <w:t>3, 78</w:t>
      </w:r>
    </w:p>
    <w:p w14:paraId="66E0EEE4" w14:textId="77777777" w:rsidR="00C04C0A" w:rsidRPr="003D1E07" w:rsidRDefault="00C04C0A" w:rsidP="00C04C0A">
      <w:pPr>
        <w:pStyle w:val="Hlavikarejstku"/>
        <w:keepNext/>
        <w:tabs>
          <w:tab w:val="right" w:leader="dot" w:pos="4171"/>
        </w:tabs>
        <w:spacing w:line="240" w:lineRule="auto"/>
        <w:rPr>
          <w:rFonts w:eastAsia="Times New Roman" w:cs="Times New Roman"/>
          <w:b w:val="0"/>
          <w:bCs w:val="0"/>
        </w:rPr>
      </w:pPr>
      <w:r w:rsidRPr="003D1E07">
        <w:t>L</w:t>
      </w:r>
    </w:p>
    <w:p w14:paraId="5E397E30" w14:textId="77777777" w:rsidR="00C04C0A" w:rsidRPr="003D1E07" w:rsidRDefault="00C04C0A" w:rsidP="00C04C0A">
      <w:pPr>
        <w:pStyle w:val="Rejstk1"/>
        <w:tabs>
          <w:tab w:val="right" w:leader="dot" w:pos="4171"/>
        </w:tabs>
        <w:spacing w:line="240" w:lineRule="auto"/>
      </w:pPr>
      <w:r w:rsidRPr="003D1E07">
        <w:t>latinský avicennismus</w:t>
      </w:r>
      <w:r w:rsidRPr="003D1E07">
        <w:tab/>
        <w:t>259, 344, 438</w:t>
      </w:r>
    </w:p>
    <w:p w14:paraId="5EAADDB7" w14:textId="77777777" w:rsidR="00C04C0A" w:rsidRPr="003D1E07" w:rsidRDefault="00C04C0A" w:rsidP="00C04C0A">
      <w:pPr>
        <w:pStyle w:val="Rejstk1"/>
        <w:tabs>
          <w:tab w:val="right" w:leader="dot" w:pos="4171"/>
        </w:tabs>
        <w:spacing w:line="240" w:lineRule="auto"/>
      </w:pPr>
      <w:r w:rsidRPr="003D1E07">
        <w:rPr>
          <w:i/>
        </w:rPr>
        <w:t>Lebenswelt</w:t>
      </w:r>
      <w:r w:rsidRPr="003D1E07">
        <w:tab/>
        <w:t>466, 467</w:t>
      </w:r>
    </w:p>
    <w:p w14:paraId="1803CBA6" w14:textId="4BCE0F83" w:rsidR="00C04C0A" w:rsidRPr="003D1E07" w:rsidRDefault="00C04C0A" w:rsidP="00FB7189">
      <w:pPr>
        <w:pStyle w:val="Rejstk1"/>
        <w:tabs>
          <w:tab w:val="right" w:leader="dot" w:pos="4171"/>
        </w:tabs>
        <w:spacing w:line="240" w:lineRule="auto"/>
      </w:pPr>
      <w:r w:rsidRPr="003D1E07">
        <w:t>Leibniz, G. W.</w:t>
      </w:r>
      <w:r w:rsidR="00FB7189" w:rsidRPr="003D1E07">
        <w:t xml:space="preserve"> </w:t>
      </w:r>
      <w:r w:rsidR="00FB7189" w:rsidRPr="003D1E07">
        <w:tab/>
        <w:t xml:space="preserve">viz </w:t>
      </w:r>
      <w:r w:rsidR="00FB7189" w:rsidRPr="003D1E07">
        <w:rPr>
          <w:i/>
        </w:rPr>
        <w:t>Index locorum</w:t>
      </w:r>
      <w:r w:rsidR="00FB7189" w:rsidRPr="003D1E07">
        <w:t xml:space="preserve">, </w:t>
      </w:r>
      <w:r w:rsidRPr="003D1E07">
        <w:t>139, 478</w:t>
      </w:r>
    </w:p>
    <w:p w14:paraId="64A861EA" w14:textId="77777777" w:rsidR="00C04C0A" w:rsidRPr="003D1E07" w:rsidRDefault="00C04C0A" w:rsidP="00C04C0A">
      <w:pPr>
        <w:pStyle w:val="Rejstk1"/>
        <w:tabs>
          <w:tab w:val="right" w:leader="dot" w:pos="4171"/>
        </w:tabs>
        <w:spacing w:line="240" w:lineRule="auto"/>
      </w:pPr>
      <w:r w:rsidRPr="003D1E07">
        <w:t>létající muž</w:t>
      </w:r>
      <w:r w:rsidRPr="003D1E07">
        <w:tab/>
        <w:t>264, 288, 304, 424, 438</w:t>
      </w:r>
    </w:p>
    <w:p w14:paraId="2AC13A35" w14:textId="77777777" w:rsidR="00C04C0A" w:rsidRPr="003D1E07" w:rsidRDefault="00C04C0A" w:rsidP="00C04C0A">
      <w:pPr>
        <w:pStyle w:val="Rejstk1"/>
        <w:tabs>
          <w:tab w:val="right" w:leader="dot" w:pos="4171"/>
        </w:tabs>
        <w:spacing w:line="240" w:lineRule="auto"/>
      </w:pPr>
      <w:r w:rsidRPr="003D1E07">
        <w:rPr>
          <w:i/>
        </w:rPr>
        <w:t>l'herméneutique du soupçon</w:t>
      </w:r>
      <w:r w:rsidRPr="003D1E07">
        <w:tab/>
        <w:t>28</w:t>
      </w:r>
    </w:p>
    <w:p w14:paraId="51E2C1D1" w14:textId="214345E5" w:rsidR="00C04C0A" w:rsidRPr="003D1E07" w:rsidRDefault="00C04C0A" w:rsidP="00C04C0A">
      <w:pPr>
        <w:pStyle w:val="Rejstk1"/>
        <w:tabs>
          <w:tab w:val="right" w:leader="dot" w:pos="4171"/>
        </w:tabs>
        <w:spacing w:line="240" w:lineRule="auto"/>
      </w:pPr>
      <w:r w:rsidRPr="003D1E07">
        <w:rPr>
          <w:i/>
        </w:rPr>
        <w:t>Liber de causis</w:t>
      </w:r>
      <w:r w:rsidR="006E38A4" w:rsidRPr="003D1E07">
        <w:rPr>
          <w:i/>
        </w:rPr>
        <w:t xml:space="preserve">  </w:t>
      </w:r>
      <w:r w:rsidR="006E38A4" w:rsidRPr="003D1E07">
        <w:rPr>
          <w:i/>
        </w:rPr>
        <w:tab/>
      </w:r>
      <w:r w:rsidR="006E38A4" w:rsidRPr="003D1E07">
        <w:t xml:space="preserve">viz </w:t>
      </w:r>
      <w:r w:rsidR="006E38A4" w:rsidRPr="003D1E07">
        <w:rPr>
          <w:i/>
        </w:rPr>
        <w:t>Index locorum</w:t>
      </w:r>
      <w:r w:rsidR="006E38A4" w:rsidRPr="003D1E07">
        <w:t>,</w:t>
      </w:r>
      <w:r w:rsidRPr="003D1E07">
        <w:t>111, 120, 121, 179, 188, 218, 224</w:t>
      </w:r>
    </w:p>
    <w:p w14:paraId="3EF84C84" w14:textId="77777777" w:rsidR="00C04C0A" w:rsidRPr="003D1E07" w:rsidRDefault="00C04C0A" w:rsidP="00C04C0A">
      <w:pPr>
        <w:pStyle w:val="Rejstk1"/>
        <w:tabs>
          <w:tab w:val="right" w:leader="dot" w:pos="4171"/>
        </w:tabs>
        <w:spacing w:line="240" w:lineRule="auto"/>
      </w:pPr>
      <w:r w:rsidRPr="003D1E07">
        <w:rPr>
          <w:i/>
        </w:rPr>
        <w:t>liberum arbitrium</w:t>
      </w:r>
      <w:r w:rsidRPr="003D1E07">
        <w:tab/>
        <w:t>153</w:t>
      </w:r>
    </w:p>
    <w:p w14:paraId="569C4343" w14:textId="77777777" w:rsidR="00C04C0A" w:rsidRPr="003D1E07" w:rsidRDefault="00C04C0A" w:rsidP="00C04C0A">
      <w:pPr>
        <w:pStyle w:val="Rejstk1"/>
        <w:tabs>
          <w:tab w:val="right" w:leader="dot" w:pos="4171"/>
        </w:tabs>
        <w:spacing w:line="240" w:lineRule="auto"/>
      </w:pPr>
      <w:r w:rsidRPr="003D1E07">
        <w:t>lidská přirozenost</w:t>
      </w:r>
      <w:r w:rsidRPr="003D1E07">
        <w:tab/>
        <w:t>213, 214, 268</w:t>
      </w:r>
    </w:p>
    <w:p w14:paraId="43CD53FB" w14:textId="77777777" w:rsidR="00C04C0A" w:rsidRPr="003D1E07" w:rsidRDefault="00C04C0A" w:rsidP="00C04C0A">
      <w:pPr>
        <w:pStyle w:val="Rejstk1"/>
        <w:tabs>
          <w:tab w:val="right" w:leader="dot" w:pos="4171"/>
        </w:tabs>
        <w:spacing w:line="240" w:lineRule="auto"/>
      </w:pPr>
      <w:r w:rsidRPr="003D1E07">
        <w:rPr>
          <w:i/>
        </w:rPr>
        <w:t>Lichtung</w:t>
      </w:r>
      <w:r w:rsidRPr="003D1E07">
        <w:tab/>
        <w:t>20, 302, 316, 474</w:t>
      </w:r>
    </w:p>
    <w:p w14:paraId="371B9A94" w14:textId="77777777" w:rsidR="00C04C0A" w:rsidRPr="003D1E07" w:rsidRDefault="00C04C0A" w:rsidP="00C04C0A">
      <w:pPr>
        <w:pStyle w:val="Rejstk2"/>
        <w:tabs>
          <w:tab w:val="right" w:leader="dot" w:pos="4171"/>
        </w:tabs>
        <w:spacing w:line="240" w:lineRule="auto"/>
      </w:pPr>
      <w:r w:rsidRPr="003D1E07">
        <w:rPr>
          <w:iCs/>
        </w:rPr>
        <w:t>Al-Fárábí</w:t>
      </w:r>
      <w:r w:rsidRPr="003D1E07">
        <w:tab/>
        <w:t>184</w:t>
      </w:r>
    </w:p>
    <w:p w14:paraId="3905E3CD" w14:textId="77777777" w:rsidR="00C04C0A" w:rsidRPr="003D1E07" w:rsidRDefault="00C04C0A" w:rsidP="00C04C0A">
      <w:pPr>
        <w:pStyle w:val="Rejstk2"/>
        <w:tabs>
          <w:tab w:val="right" w:leader="dot" w:pos="4171"/>
        </w:tabs>
        <w:spacing w:line="240" w:lineRule="auto"/>
      </w:pPr>
      <w:r w:rsidRPr="003D1E07">
        <w:t>Aristoteles</w:t>
      </w:r>
      <w:r w:rsidRPr="003D1E07">
        <w:tab/>
        <w:t>88</w:t>
      </w:r>
    </w:p>
    <w:p w14:paraId="3201069E" w14:textId="77777777" w:rsidR="00C04C0A" w:rsidRPr="003D1E07" w:rsidRDefault="00C04C0A" w:rsidP="00C04C0A">
      <w:pPr>
        <w:pStyle w:val="Rejstk2"/>
        <w:tabs>
          <w:tab w:val="right" w:leader="dot" w:pos="4171"/>
        </w:tabs>
        <w:spacing w:line="240" w:lineRule="auto"/>
      </w:pPr>
      <w:r w:rsidRPr="003D1E07">
        <w:t>Avicenna</w:t>
      </w:r>
      <w:r w:rsidRPr="003D1E07">
        <w:tab/>
        <w:t>283</w:t>
      </w:r>
    </w:p>
    <w:p w14:paraId="6C679863" w14:textId="77777777" w:rsidR="00C04C0A" w:rsidRPr="003D1E07" w:rsidRDefault="00C04C0A" w:rsidP="00C04C0A">
      <w:pPr>
        <w:pStyle w:val="Rejstk2"/>
        <w:tabs>
          <w:tab w:val="right" w:leader="dot" w:pos="4171"/>
        </w:tabs>
        <w:spacing w:line="240" w:lineRule="auto"/>
      </w:pPr>
      <w:r w:rsidRPr="003D1E07">
        <w:t>diafanum</w:t>
      </w:r>
      <w:r w:rsidRPr="003D1E07">
        <w:tab/>
        <w:t>193, 485</w:t>
      </w:r>
    </w:p>
    <w:p w14:paraId="5D4E089F" w14:textId="77777777" w:rsidR="00C04C0A" w:rsidRPr="003D1E07" w:rsidRDefault="00C04C0A" w:rsidP="00C04C0A">
      <w:pPr>
        <w:pStyle w:val="Rejstk2"/>
        <w:tabs>
          <w:tab w:val="right" w:leader="dot" w:pos="4171"/>
        </w:tabs>
        <w:spacing w:line="240" w:lineRule="auto"/>
      </w:pPr>
      <w:r w:rsidRPr="003D1E07">
        <w:t>falsafa</w:t>
      </w:r>
      <w:r w:rsidRPr="003D1E07">
        <w:tab/>
        <w:t>217, 238</w:t>
      </w:r>
    </w:p>
    <w:p w14:paraId="15ADA2F1" w14:textId="77777777" w:rsidR="00C04C0A" w:rsidRPr="003D1E07" w:rsidRDefault="00C04C0A" w:rsidP="00C04C0A">
      <w:pPr>
        <w:pStyle w:val="Rejstk2"/>
        <w:tabs>
          <w:tab w:val="right" w:leader="dot" w:pos="4171"/>
        </w:tabs>
        <w:spacing w:line="240" w:lineRule="auto"/>
      </w:pPr>
      <w:r w:rsidRPr="003D1E07">
        <w:t>Heidegger</w:t>
      </w:r>
      <w:r w:rsidRPr="003D1E07">
        <w:tab/>
        <w:t>53, 54</w:t>
      </w:r>
    </w:p>
    <w:p w14:paraId="4150AF99" w14:textId="77777777" w:rsidR="00C04C0A" w:rsidRPr="003D1E07" w:rsidRDefault="00C04C0A" w:rsidP="00C04C0A">
      <w:pPr>
        <w:pStyle w:val="Rejstk2"/>
        <w:tabs>
          <w:tab w:val="right" w:leader="dot" w:pos="4171"/>
        </w:tabs>
        <w:spacing w:line="240" w:lineRule="auto"/>
      </w:pPr>
      <w:r w:rsidRPr="003D1E07">
        <w:lastRenderedPageBreak/>
        <w:t>humanismus</w:t>
      </w:r>
      <w:r w:rsidRPr="003D1E07">
        <w:tab/>
        <w:t>214</w:t>
      </w:r>
    </w:p>
    <w:p w14:paraId="4F6D5553" w14:textId="77777777" w:rsidR="00C04C0A" w:rsidRPr="003D1E07" w:rsidRDefault="00C04C0A" w:rsidP="00C04C0A">
      <w:pPr>
        <w:pStyle w:val="Rejstk2"/>
        <w:tabs>
          <w:tab w:val="right" w:leader="dot" w:pos="4171"/>
        </w:tabs>
        <w:spacing w:line="240" w:lineRule="auto"/>
      </w:pPr>
      <w:r w:rsidRPr="003D1E07">
        <w:rPr>
          <w:lang w:eastAsia="en-US"/>
        </w:rPr>
        <w:t>metafyzika</w:t>
      </w:r>
      <w:r w:rsidRPr="003D1E07">
        <w:tab/>
        <w:t>70</w:t>
      </w:r>
    </w:p>
    <w:p w14:paraId="306F3BB4" w14:textId="77777777" w:rsidR="00C04C0A" w:rsidRPr="003D1E07" w:rsidRDefault="00C04C0A" w:rsidP="00C04C0A">
      <w:pPr>
        <w:pStyle w:val="Rejstk2"/>
        <w:tabs>
          <w:tab w:val="right" w:leader="dot" w:pos="4171"/>
        </w:tabs>
        <w:spacing w:line="240" w:lineRule="auto"/>
      </w:pPr>
      <w:r w:rsidRPr="003D1E07">
        <w:t>moderní subjekt</w:t>
      </w:r>
      <w:r w:rsidRPr="003D1E07">
        <w:tab/>
        <w:t>146</w:t>
      </w:r>
    </w:p>
    <w:p w14:paraId="3652271B" w14:textId="77777777" w:rsidR="00C04C0A" w:rsidRPr="003D1E07" w:rsidRDefault="00C04C0A" w:rsidP="00C04C0A">
      <w:pPr>
        <w:pStyle w:val="Rejstk2"/>
        <w:tabs>
          <w:tab w:val="right" w:leader="dot" w:pos="4171"/>
        </w:tabs>
        <w:spacing w:line="240" w:lineRule="auto"/>
      </w:pPr>
      <w:r w:rsidRPr="003D1E07">
        <w:t>neoplatonismus</w:t>
      </w:r>
      <w:r w:rsidRPr="003D1E07">
        <w:tab/>
        <w:t>173</w:t>
      </w:r>
    </w:p>
    <w:p w14:paraId="08B311ED" w14:textId="43A504D8" w:rsidR="00C04C0A" w:rsidRPr="003D1E07" w:rsidRDefault="00C04C0A" w:rsidP="00C04C0A">
      <w:pPr>
        <w:pStyle w:val="Rejstk2"/>
        <w:tabs>
          <w:tab w:val="right" w:leader="dot" w:pos="4171"/>
        </w:tabs>
        <w:spacing w:line="240" w:lineRule="auto"/>
      </w:pPr>
      <w:r w:rsidRPr="003D1E07">
        <w:t>objektivita</w:t>
      </w:r>
      <w:r w:rsidRPr="003D1E07">
        <w:tab/>
        <w:t>132</w:t>
      </w:r>
      <w:r w:rsidR="00092CAE" w:rsidRPr="003D1E07">
        <w:t>, 333</w:t>
      </w:r>
    </w:p>
    <w:p w14:paraId="5A3E355A" w14:textId="77777777" w:rsidR="00C04C0A" w:rsidRPr="003D1E07" w:rsidRDefault="00C04C0A" w:rsidP="00C04C0A">
      <w:pPr>
        <w:pStyle w:val="Rejstk2"/>
        <w:tabs>
          <w:tab w:val="right" w:leader="dot" w:pos="4171"/>
        </w:tabs>
        <w:spacing w:line="240" w:lineRule="auto"/>
      </w:pPr>
      <w:r w:rsidRPr="003D1E07">
        <w:t>Porfyrius</w:t>
      </w:r>
      <w:r w:rsidRPr="003D1E07">
        <w:tab/>
        <w:t>117</w:t>
      </w:r>
    </w:p>
    <w:p w14:paraId="1F91924B" w14:textId="77777777" w:rsidR="00C04C0A" w:rsidRPr="003D1E07" w:rsidRDefault="00C04C0A" w:rsidP="00C04C0A">
      <w:pPr>
        <w:pStyle w:val="Rejstk2"/>
        <w:tabs>
          <w:tab w:val="right" w:leader="dot" w:pos="4171"/>
        </w:tabs>
        <w:spacing w:line="240" w:lineRule="auto"/>
      </w:pPr>
      <w:r w:rsidRPr="003D1E07">
        <w:t>zjevování bytí</w:t>
      </w:r>
      <w:r w:rsidRPr="003D1E07">
        <w:tab/>
        <w:t>65</w:t>
      </w:r>
    </w:p>
    <w:p w14:paraId="1D754B16" w14:textId="6D65D4A4" w:rsidR="00C04C0A" w:rsidRPr="003D1E07" w:rsidRDefault="00C04C0A" w:rsidP="00C04C0A">
      <w:pPr>
        <w:pStyle w:val="Rejstk1"/>
        <w:tabs>
          <w:tab w:val="right" w:leader="dot" w:pos="4171"/>
        </w:tabs>
        <w:spacing w:line="240" w:lineRule="auto"/>
      </w:pPr>
      <w:r w:rsidRPr="003D1E07">
        <w:t>Locke, J,</w:t>
      </w:r>
      <w:r w:rsidR="00092CAE" w:rsidRPr="003D1E07">
        <w:tab/>
        <w:t xml:space="preserve">viz </w:t>
      </w:r>
      <w:r w:rsidR="00092CAE" w:rsidRPr="003D1E07">
        <w:rPr>
          <w:i/>
        </w:rPr>
        <w:t>Index locorum</w:t>
      </w:r>
      <w:r w:rsidR="00092CAE" w:rsidRPr="003D1E07">
        <w:t xml:space="preserve">, </w:t>
      </w:r>
      <w:r w:rsidRPr="003D1E07">
        <w:t>144</w:t>
      </w:r>
      <w:r w:rsidR="00092CAE" w:rsidRPr="003D1E07">
        <w:t>, 447</w:t>
      </w:r>
    </w:p>
    <w:p w14:paraId="7E958F62" w14:textId="77777777" w:rsidR="00C04C0A" w:rsidRPr="003D1E07" w:rsidRDefault="00C04C0A" w:rsidP="00C04C0A">
      <w:pPr>
        <w:pStyle w:val="Rejstk1"/>
        <w:tabs>
          <w:tab w:val="right" w:leader="dot" w:pos="4171"/>
        </w:tabs>
        <w:spacing w:line="240" w:lineRule="auto"/>
      </w:pPr>
      <w:r w:rsidRPr="003D1E07">
        <w:rPr>
          <w:i/>
        </w:rPr>
        <w:t>locus specierum</w:t>
      </w:r>
      <w:r w:rsidRPr="003D1E07">
        <w:tab/>
        <w:t>259, 308, 333</w:t>
      </w:r>
    </w:p>
    <w:p w14:paraId="4AAA99D0" w14:textId="4BF79176" w:rsidR="00C04C0A" w:rsidRPr="003D1E07" w:rsidRDefault="0028586A" w:rsidP="00C04C0A">
      <w:pPr>
        <w:pStyle w:val="Rejstk1"/>
        <w:tabs>
          <w:tab w:val="right" w:leader="dot" w:pos="4171"/>
        </w:tabs>
        <w:spacing w:line="240" w:lineRule="auto"/>
      </w:pPr>
      <w:r w:rsidRPr="003D1E07">
        <w:rPr>
          <w:i/>
        </w:rPr>
        <w:t>L</w:t>
      </w:r>
      <w:r w:rsidR="00C04C0A" w:rsidRPr="003D1E07">
        <w:rPr>
          <w:i/>
        </w:rPr>
        <w:t>ogica Vetus</w:t>
      </w:r>
      <w:r w:rsidR="00C04C0A" w:rsidRPr="003D1E07">
        <w:tab/>
        <w:t>88</w:t>
      </w:r>
    </w:p>
    <w:p w14:paraId="0DDB9A1B" w14:textId="77777777" w:rsidR="00C04C0A" w:rsidRPr="003D1E07" w:rsidRDefault="00C04C0A" w:rsidP="00C04C0A">
      <w:pPr>
        <w:pStyle w:val="Hlavikarejstku"/>
        <w:keepNext/>
        <w:tabs>
          <w:tab w:val="right" w:leader="dot" w:pos="4171"/>
        </w:tabs>
        <w:spacing w:line="240" w:lineRule="auto"/>
        <w:rPr>
          <w:rFonts w:eastAsia="Times New Roman" w:cs="Times New Roman"/>
          <w:b w:val="0"/>
          <w:bCs w:val="0"/>
        </w:rPr>
      </w:pPr>
      <w:r w:rsidRPr="003D1E07">
        <w:t>M</w:t>
      </w:r>
    </w:p>
    <w:p w14:paraId="3CB3B39C" w14:textId="77777777" w:rsidR="00C04C0A" w:rsidRPr="003D1E07" w:rsidRDefault="00C04C0A" w:rsidP="00C04C0A">
      <w:pPr>
        <w:pStyle w:val="Rejstk1"/>
        <w:tabs>
          <w:tab w:val="right" w:leader="dot" w:pos="4171"/>
        </w:tabs>
        <w:spacing w:line="240" w:lineRule="auto"/>
      </w:pPr>
      <w:r w:rsidRPr="003D1E07">
        <w:rPr>
          <w:i/>
          <w:lang w:eastAsia="en-US"/>
        </w:rPr>
        <w:t>Magna Graecia</w:t>
      </w:r>
      <w:r w:rsidRPr="003D1E07">
        <w:tab/>
        <w:t>37, 55, 70</w:t>
      </w:r>
    </w:p>
    <w:p w14:paraId="54FE2B2E" w14:textId="77777777" w:rsidR="00C04C0A" w:rsidRPr="003D1E07" w:rsidRDefault="00C04C0A" w:rsidP="00C04C0A">
      <w:pPr>
        <w:pStyle w:val="Rejstk1"/>
        <w:tabs>
          <w:tab w:val="right" w:leader="dot" w:pos="4171"/>
        </w:tabs>
        <w:spacing w:line="240" w:lineRule="auto"/>
      </w:pPr>
      <w:r w:rsidRPr="003D1E07">
        <w:t>Malebranche, N.</w:t>
      </w:r>
      <w:r w:rsidRPr="003D1E07">
        <w:tab/>
        <w:t>467</w:t>
      </w:r>
    </w:p>
    <w:p w14:paraId="35CB76CD" w14:textId="77777777" w:rsidR="00C04C0A" w:rsidRPr="003D1E07" w:rsidRDefault="00C04C0A" w:rsidP="00C04C0A">
      <w:pPr>
        <w:pStyle w:val="Rejstk1"/>
        <w:tabs>
          <w:tab w:val="right" w:leader="dot" w:pos="4171"/>
        </w:tabs>
        <w:spacing w:line="240" w:lineRule="auto"/>
      </w:pPr>
      <w:r w:rsidRPr="003D1E07">
        <w:rPr>
          <w:lang w:eastAsia="en-US"/>
        </w:rPr>
        <w:t>Marx, K.</w:t>
      </w:r>
      <w:r w:rsidRPr="003D1E07">
        <w:tab/>
        <w:t>172</w:t>
      </w:r>
    </w:p>
    <w:p w14:paraId="5999704F" w14:textId="77777777" w:rsidR="00C04C0A" w:rsidRPr="003D1E07" w:rsidRDefault="00C04C0A" w:rsidP="00C04C0A">
      <w:pPr>
        <w:pStyle w:val="Rejstk1"/>
        <w:tabs>
          <w:tab w:val="right" w:leader="dot" w:pos="4171"/>
        </w:tabs>
        <w:spacing w:line="240" w:lineRule="auto"/>
      </w:pPr>
      <w:r w:rsidRPr="003D1E07">
        <w:t>matematika</w:t>
      </w:r>
      <w:r w:rsidRPr="003D1E07">
        <w:tab/>
        <w:t>163, 235, 266, 292, 438</w:t>
      </w:r>
    </w:p>
    <w:p w14:paraId="6E767EBB" w14:textId="77777777" w:rsidR="00C04C0A" w:rsidRPr="003D1E07" w:rsidRDefault="00C04C0A" w:rsidP="00C04C0A">
      <w:pPr>
        <w:pStyle w:val="Rejstk1"/>
        <w:tabs>
          <w:tab w:val="right" w:leader="dot" w:pos="4171"/>
        </w:tabs>
        <w:spacing w:line="240" w:lineRule="auto"/>
      </w:pPr>
      <w:r w:rsidRPr="003D1E07">
        <w:t>materie</w:t>
      </w:r>
    </w:p>
    <w:p w14:paraId="52E8CBAF" w14:textId="77777777" w:rsidR="00C04C0A" w:rsidRPr="003D1E07" w:rsidRDefault="00C04C0A" w:rsidP="00C04C0A">
      <w:pPr>
        <w:pStyle w:val="Rejstk2"/>
        <w:tabs>
          <w:tab w:val="right" w:leader="dot" w:pos="4171"/>
        </w:tabs>
        <w:spacing w:line="240" w:lineRule="auto"/>
      </w:pPr>
      <w:r w:rsidRPr="003D1E07">
        <w:t>hvězdných sfér</w:t>
      </w:r>
      <w:r w:rsidRPr="003D1E07">
        <w:tab/>
        <w:t>180</w:t>
      </w:r>
    </w:p>
    <w:p w14:paraId="47DAED3D" w14:textId="77777777" w:rsidR="00C04C0A" w:rsidRPr="003D1E07" w:rsidRDefault="00C04C0A" w:rsidP="00C04C0A">
      <w:pPr>
        <w:pStyle w:val="Rejstk2"/>
        <w:tabs>
          <w:tab w:val="right" w:leader="dot" w:pos="4171"/>
        </w:tabs>
        <w:spacing w:line="240" w:lineRule="auto"/>
      </w:pPr>
      <w:r w:rsidRPr="003D1E07">
        <w:rPr>
          <w:i/>
        </w:rPr>
        <w:t>materia prima</w:t>
      </w:r>
      <w:r w:rsidRPr="003D1E07">
        <w:tab/>
        <w:t>165, 166, 312, 363, 366, 418</w:t>
      </w:r>
    </w:p>
    <w:p w14:paraId="34CC0FE2" w14:textId="77777777" w:rsidR="00C04C0A" w:rsidRPr="003D1E07" w:rsidRDefault="00C04C0A" w:rsidP="00C04C0A">
      <w:pPr>
        <w:pStyle w:val="Rejstk2"/>
        <w:tabs>
          <w:tab w:val="right" w:leader="dot" w:pos="4171"/>
        </w:tabs>
        <w:spacing w:line="240" w:lineRule="auto"/>
      </w:pPr>
      <w:r w:rsidRPr="003D1E07">
        <w:t>primární</w:t>
      </w:r>
      <w:r w:rsidRPr="003D1E07">
        <w:tab/>
        <w:t>363, 366</w:t>
      </w:r>
    </w:p>
    <w:p w14:paraId="138A18F6" w14:textId="77777777" w:rsidR="00C04C0A" w:rsidRPr="003D1E07" w:rsidRDefault="00C04C0A" w:rsidP="00C04C0A">
      <w:pPr>
        <w:pStyle w:val="Rejstk2"/>
        <w:tabs>
          <w:tab w:val="right" w:leader="dot" w:pos="4171"/>
        </w:tabs>
        <w:spacing w:line="240" w:lineRule="auto"/>
      </w:pPr>
      <w:r w:rsidRPr="003D1E07">
        <w:t>třetího druhu</w:t>
      </w:r>
      <w:r w:rsidRPr="003D1E07">
        <w:tab/>
        <w:t>312</w:t>
      </w:r>
    </w:p>
    <w:p w14:paraId="33EC5043" w14:textId="77777777" w:rsidR="00C04C0A" w:rsidRPr="003D1E07" w:rsidRDefault="00C04C0A" w:rsidP="00C04C0A">
      <w:pPr>
        <w:pStyle w:val="Rejstk1"/>
        <w:tabs>
          <w:tab w:val="right" w:leader="dot" w:pos="4171"/>
        </w:tabs>
        <w:spacing w:line="240" w:lineRule="auto"/>
      </w:pPr>
      <w:r w:rsidRPr="003D1E07">
        <w:rPr>
          <w:i/>
        </w:rPr>
        <w:t>mathesis universalis</w:t>
      </w:r>
      <w:r w:rsidRPr="003D1E07">
        <w:tab/>
        <w:t>174, 247, 326</w:t>
      </w:r>
    </w:p>
    <w:p w14:paraId="0BCFEB57" w14:textId="77777777" w:rsidR="00C04C0A" w:rsidRPr="003D1E07" w:rsidRDefault="00C04C0A" w:rsidP="00C04C0A">
      <w:pPr>
        <w:pStyle w:val="Rejstk1"/>
        <w:tabs>
          <w:tab w:val="right" w:leader="dot" w:pos="4171"/>
        </w:tabs>
        <w:spacing w:line="240" w:lineRule="auto"/>
      </w:pPr>
      <w:r w:rsidRPr="003D1E07">
        <w:rPr>
          <w:i/>
        </w:rPr>
        <w:t>medium</w:t>
      </w:r>
    </w:p>
    <w:p w14:paraId="428429A5" w14:textId="77777777" w:rsidR="00C04C0A" w:rsidRPr="003D1E07" w:rsidRDefault="00C04C0A" w:rsidP="00C04C0A">
      <w:pPr>
        <w:pStyle w:val="Rejstk2"/>
        <w:tabs>
          <w:tab w:val="right" w:leader="dot" w:pos="4171"/>
        </w:tabs>
        <w:spacing w:line="240" w:lineRule="auto"/>
      </w:pPr>
      <w:r w:rsidRPr="003D1E07">
        <w:t>Albert</w:t>
      </w:r>
      <w:r w:rsidRPr="003D1E07">
        <w:tab/>
        <w:t>191</w:t>
      </w:r>
    </w:p>
    <w:p w14:paraId="633E6BE4" w14:textId="77777777" w:rsidR="00C04C0A" w:rsidRPr="003D1E07" w:rsidRDefault="00C04C0A" w:rsidP="00C04C0A">
      <w:pPr>
        <w:pStyle w:val="Rejstk2"/>
        <w:tabs>
          <w:tab w:val="right" w:leader="dot" w:pos="4171"/>
        </w:tabs>
        <w:spacing w:line="240" w:lineRule="auto"/>
      </w:pPr>
      <w:r w:rsidRPr="003D1E07">
        <w:t>Aristoteles</w:t>
      </w:r>
      <w:r w:rsidRPr="003D1E07">
        <w:tab/>
        <w:t>92</w:t>
      </w:r>
    </w:p>
    <w:p w14:paraId="6CBDF892" w14:textId="77777777" w:rsidR="00C04C0A" w:rsidRPr="003D1E07" w:rsidRDefault="00C04C0A" w:rsidP="00C04C0A">
      <w:pPr>
        <w:pStyle w:val="Rejstk2"/>
        <w:tabs>
          <w:tab w:val="right" w:leader="dot" w:pos="4171"/>
        </w:tabs>
        <w:spacing w:line="240" w:lineRule="auto"/>
      </w:pPr>
      <w:r w:rsidRPr="003D1E07">
        <w:t>Avicenna</w:t>
      </w:r>
      <w:r w:rsidRPr="003D1E07">
        <w:tab/>
        <w:t>268</w:t>
      </w:r>
    </w:p>
    <w:p w14:paraId="4EF5E4B6" w14:textId="77777777" w:rsidR="00C04C0A" w:rsidRPr="003D1E07" w:rsidRDefault="00C04C0A" w:rsidP="00C04C0A">
      <w:pPr>
        <w:pStyle w:val="Rejstk1"/>
        <w:tabs>
          <w:tab w:val="right" w:leader="dot" w:pos="4171"/>
        </w:tabs>
        <w:spacing w:line="240" w:lineRule="auto"/>
      </w:pPr>
      <w:r w:rsidRPr="003D1E07">
        <w:rPr>
          <w:i/>
        </w:rPr>
        <w:t>memoria</w:t>
      </w:r>
    </w:p>
    <w:p w14:paraId="4A53F4B5" w14:textId="77777777" w:rsidR="00C04C0A" w:rsidRPr="003D1E07" w:rsidRDefault="00C04C0A" w:rsidP="00C04C0A">
      <w:pPr>
        <w:pStyle w:val="Rejstk2"/>
        <w:tabs>
          <w:tab w:val="right" w:leader="dot" w:pos="4171"/>
        </w:tabs>
        <w:spacing w:line="240" w:lineRule="auto"/>
      </w:pPr>
      <w:r w:rsidRPr="003D1E07">
        <w:t>Avicenna</w:t>
      </w:r>
      <w:r w:rsidRPr="003D1E07">
        <w:tab/>
        <w:t>259, 333</w:t>
      </w:r>
    </w:p>
    <w:p w14:paraId="11DF8E63" w14:textId="77777777" w:rsidR="00C04C0A" w:rsidRPr="003D1E07" w:rsidRDefault="00C04C0A" w:rsidP="00C04C0A">
      <w:pPr>
        <w:pStyle w:val="Rejstk2"/>
        <w:tabs>
          <w:tab w:val="right" w:leader="dot" w:pos="4171"/>
        </w:tabs>
        <w:spacing w:line="240" w:lineRule="auto"/>
      </w:pPr>
      <w:r w:rsidRPr="003D1E07">
        <w:t>druhý averroismus</w:t>
      </w:r>
      <w:r w:rsidRPr="003D1E07">
        <w:tab/>
        <w:t>308</w:t>
      </w:r>
    </w:p>
    <w:p w14:paraId="48661C25" w14:textId="77777777" w:rsidR="00C04C0A" w:rsidRPr="003D1E07" w:rsidRDefault="00C04C0A" w:rsidP="00C04C0A">
      <w:pPr>
        <w:pStyle w:val="Rejstk1"/>
        <w:tabs>
          <w:tab w:val="right" w:leader="dot" w:pos="4171"/>
        </w:tabs>
        <w:spacing w:line="240" w:lineRule="auto"/>
      </w:pPr>
      <w:r w:rsidRPr="003D1E07">
        <w:t>metafyzika</w:t>
      </w:r>
    </w:p>
    <w:p w14:paraId="1052896B" w14:textId="77777777" w:rsidR="00C04C0A" w:rsidRPr="003D1E07" w:rsidRDefault="00C04C0A" w:rsidP="00C04C0A">
      <w:pPr>
        <w:pStyle w:val="Rejstk2"/>
        <w:tabs>
          <w:tab w:val="right" w:leader="dot" w:pos="4171"/>
        </w:tabs>
        <w:spacing w:line="240" w:lineRule="auto"/>
      </w:pPr>
      <w:r w:rsidRPr="003D1E07">
        <w:t>Al-Fárábí</w:t>
      </w:r>
      <w:r w:rsidRPr="003D1E07">
        <w:tab/>
        <w:t>179, 236</w:t>
      </w:r>
    </w:p>
    <w:p w14:paraId="496E7668" w14:textId="77777777" w:rsidR="00C04C0A" w:rsidRPr="003D1E07" w:rsidRDefault="00C04C0A" w:rsidP="00C04C0A">
      <w:pPr>
        <w:pStyle w:val="Rejstk2"/>
        <w:tabs>
          <w:tab w:val="right" w:leader="dot" w:pos="4171"/>
        </w:tabs>
        <w:spacing w:line="240" w:lineRule="auto"/>
      </w:pPr>
      <w:r w:rsidRPr="003D1E07">
        <w:t>Al-Ghazálí</w:t>
      </w:r>
      <w:r w:rsidRPr="003D1E07">
        <w:tab/>
        <w:t>324</w:t>
      </w:r>
    </w:p>
    <w:p w14:paraId="2DC157E3" w14:textId="77777777" w:rsidR="00C04C0A" w:rsidRPr="003D1E07" w:rsidRDefault="00C04C0A" w:rsidP="00C04C0A">
      <w:pPr>
        <w:pStyle w:val="Rejstk2"/>
        <w:tabs>
          <w:tab w:val="right" w:leader="dot" w:pos="4171"/>
        </w:tabs>
        <w:spacing w:line="240" w:lineRule="auto"/>
      </w:pPr>
      <w:r w:rsidRPr="003D1E07">
        <w:rPr>
          <w:i/>
        </w:rPr>
        <w:t>Anfang</w:t>
      </w:r>
      <w:r w:rsidRPr="003D1E07">
        <w:t>/</w:t>
      </w:r>
      <w:r w:rsidRPr="003D1E07">
        <w:rPr>
          <w:i/>
        </w:rPr>
        <w:t>Beginn</w:t>
      </w:r>
      <w:r w:rsidRPr="003D1E07">
        <w:tab/>
        <w:t>62</w:t>
      </w:r>
    </w:p>
    <w:p w14:paraId="6D556CB7" w14:textId="77777777" w:rsidR="00C04C0A" w:rsidRPr="003D1E07" w:rsidRDefault="00C04C0A" w:rsidP="00C04C0A">
      <w:pPr>
        <w:pStyle w:val="Rejstk2"/>
        <w:tabs>
          <w:tab w:val="right" w:leader="dot" w:pos="4171"/>
        </w:tabs>
        <w:spacing w:line="240" w:lineRule="auto"/>
      </w:pPr>
      <w:r w:rsidRPr="003D1E07">
        <w:t>aristotelismus</w:t>
      </w:r>
      <w:r w:rsidRPr="003D1E07">
        <w:tab/>
        <w:t>170</w:t>
      </w:r>
    </w:p>
    <w:p w14:paraId="01388CBD" w14:textId="77777777" w:rsidR="00C04C0A" w:rsidRPr="003D1E07" w:rsidRDefault="00C04C0A" w:rsidP="00C04C0A">
      <w:pPr>
        <w:pStyle w:val="Rejstk2"/>
        <w:tabs>
          <w:tab w:val="right" w:leader="dot" w:pos="4171"/>
        </w:tabs>
        <w:spacing w:line="240" w:lineRule="auto"/>
      </w:pPr>
      <w:r w:rsidRPr="003D1E07">
        <w:t>Averroes</w:t>
      </w:r>
      <w:r w:rsidRPr="003D1E07">
        <w:tab/>
        <w:t>343, 347, 354, 358, 360, 372, 398, 435</w:t>
      </w:r>
    </w:p>
    <w:p w14:paraId="717BE3A2" w14:textId="77777777" w:rsidR="00C04C0A" w:rsidRPr="003D1E07" w:rsidRDefault="00C04C0A" w:rsidP="00C04C0A">
      <w:pPr>
        <w:pStyle w:val="Rejstk2"/>
        <w:tabs>
          <w:tab w:val="right" w:leader="dot" w:pos="4171"/>
        </w:tabs>
        <w:spacing w:line="240" w:lineRule="auto"/>
      </w:pPr>
      <w:r w:rsidRPr="003D1E07">
        <w:t>Avicenna</w:t>
      </w:r>
      <w:r w:rsidRPr="003D1E07">
        <w:tab/>
        <w:t>253, 367</w:t>
      </w:r>
    </w:p>
    <w:p w14:paraId="38D8A7CD" w14:textId="77777777" w:rsidR="00C04C0A" w:rsidRPr="003D1E07" w:rsidRDefault="00C04C0A" w:rsidP="00C04C0A">
      <w:pPr>
        <w:pStyle w:val="Rejstk2"/>
        <w:tabs>
          <w:tab w:val="right" w:leader="dot" w:pos="4171"/>
        </w:tabs>
        <w:spacing w:line="240" w:lineRule="auto"/>
      </w:pPr>
      <w:r w:rsidRPr="003D1E07">
        <w:t>druhý začátek</w:t>
      </w:r>
      <w:r w:rsidRPr="003D1E07">
        <w:tab/>
        <w:t>216</w:t>
      </w:r>
    </w:p>
    <w:p w14:paraId="6AAA42B4" w14:textId="77777777" w:rsidR="00C04C0A" w:rsidRPr="003D1E07" w:rsidRDefault="00C04C0A" w:rsidP="00C04C0A">
      <w:pPr>
        <w:pStyle w:val="Rejstk2"/>
        <w:tabs>
          <w:tab w:val="right" w:leader="dot" w:pos="4171"/>
        </w:tabs>
        <w:spacing w:line="240" w:lineRule="auto"/>
      </w:pPr>
      <w:r w:rsidRPr="003D1E07">
        <w:rPr>
          <w:i/>
        </w:rPr>
        <w:t>Ereignis</w:t>
      </w:r>
      <w:r w:rsidRPr="003D1E07">
        <w:tab/>
        <w:t>150</w:t>
      </w:r>
    </w:p>
    <w:p w14:paraId="20CDEE6D" w14:textId="77777777" w:rsidR="00C04C0A" w:rsidRPr="003D1E07" w:rsidRDefault="00C04C0A" w:rsidP="00C04C0A">
      <w:pPr>
        <w:pStyle w:val="Rejstk2"/>
        <w:tabs>
          <w:tab w:val="right" w:leader="dot" w:pos="4171"/>
        </w:tabs>
        <w:spacing w:line="240" w:lineRule="auto"/>
      </w:pPr>
      <w:r w:rsidRPr="003D1E07">
        <w:rPr>
          <w:i/>
        </w:rPr>
        <w:t>Ge-Stell</w:t>
      </w:r>
      <w:r w:rsidRPr="003D1E07">
        <w:tab/>
        <w:t>185</w:t>
      </w:r>
    </w:p>
    <w:p w14:paraId="174088D1" w14:textId="77777777" w:rsidR="00C04C0A" w:rsidRPr="003D1E07" w:rsidRDefault="00C04C0A" w:rsidP="00C04C0A">
      <w:pPr>
        <w:pStyle w:val="Rejstk2"/>
        <w:tabs>
          <w:tab w:val="right" w:leader="dot" w:pos="4171"/>
        </w:tabs>
        <w:spacing w:line="240" w:lineRule="auto"/>
      </w:pPr>
      <w:r w:rsidRPr="003D1E07">
        <w:t>gigantomachie</w:t>
      </w:r>
      <w:r w:rsidRPr="003D1E07">
        <w:tab/>
        <w:t>7, 97, 107, 170, 176, 239, 371, 461</w:t>
      </w:r>
    </w:p>
    <w:p w14:paraId="21CD7CC4" w14:textId="77777777" w:rsidR="00C04C0A" w:rsidRPr="003D1E07" w:rsidRDefault="00C04C0A" w:rsidP="00C04C0A">
      <w:pPr>
        <w:pStyle w:val="Rejstk2"/>
        <w:tabs>
          <w:tab w:val="right" w:leader="dot" w:pos="4171"/>
        </w:tabs>
        <w:spacing w:line="240" w:lineRule="auto"/>
      </w:pPr>
      <w:r w:rsidRPr="003D1E07">
        <w:rPr>
          <w:i/>
        </w:rPr>
        <w:t>Gründung</w:t>
      </w:r>
      <w:r w:rsidRPr="003D1E07">
        <w:tab/>
        <w:t>60, 315, 321, 344, 356</w:t>
      </w:r>
    </w:p>
    <w:p w14:paraId="63381F94" w14:textId="77777777" w:rsidR="00C04C0A" w:rsidRPr="003D1E07" w:rsidRDefault="00C04C0A" w:rsidP="00C04C0A">
      <w:pPr>
        <w:pStyle w:val="Rejstk2"/>
        <w:tabs>
          <w:tab w:val="right" w:leader="dot" w:pos="4171"/>
        </w:tabs>
        <w:spacing w:line="240" w:lineRule="auto"/>
      </w:pPr>
      <w:r w:rsidRPr="003D1E07">
        <w:t>henologie</w:t>
      </w:r>
      <w:r w:rsidRPr="003D1E07">
        <w:tab/>
        <w:t>316</w:t>
      </w:r>
    </w:p>
    <w:p w14:paraId="7B204954" w14:textId="77777777" w:rsidR="00C04C0A" w:rsidRPr="003D1E07" w:rsidRDefault="00C04C0A" w:rsidP="00C04C0A">
      <w:pPr>
        <w:pStyle w:val="Rejstk2"/>
        <w:tabs>
          <w:tab w:val="right" w:leader="dot" w:pos="4171"/>
        </w:tabs>
        <w:spacing w:line="240" w:lineRule="auto"/>
      </w:pPr>
      <w:r w:rsidRPr="003D1E07">
        <w:t>homonymie bytí</w:t>
      </w:r>
      <w:r w:rsidRPr="003D1E07">
        <w:tab/>
        <w:t>147</w:t>
      </w:r>
    </w:p>
    <w:p w14:paraId="20AA102E" w14:textId="77777777" w:rsidR="00C04C0A" w:rsidRPr="003D1E07" w:rsidRDefault="00C04C0A" w:rsidP="00C04C0A">
      <w:pPr>
        <w:pStyle w:val="Rejstk2"/>
        <w:tabs>
          <w:tab w:val="right" w:leader="dot" w:pos="4171"/>
        </w:tabs>
        <w:spacing w:line="240" w:lineRule="auto"/>
      </w:pPr>
      <w:r w:rsidRPr="003D1E07">
        <w:rPr>
          <w:i/>
        </w:rPr>
        <w:t>Modernorum</w:t>
      </w:r>
      <w:r w:rsidRPr="003D1E07">
        <w:tab/>
        <w:t>110</w:t>
      </w:r>
    </w:p>
    <w:p w14:paraId="373B8782" w14:textId="77777777" w:rsidR="00C04C0A" w:rsidRPr="003D1E07" w:rsidRDefault="00C04C0A" w:rsidP="00C04C0A">
      <w:pPr>
        <w:pStyle w:val="Rejstk2"/>
        <w:tabs>
          <w:tab w:val="right" w:leader="dot" w:pos="4171"/>
        </w:tabs>
        <w:spacing w:line="240" w:lineRule="auto"/>
      </w:pPr>
      <w:r w:rsidRPr="003D1E07">
        <w:t>nasvícení zepředu</w:t>
      </w:r>
      <w:r w:rsidRPr="003D1E07">
        <w:tab/>
        <w:t>240</w:t>
      </w:r>
    </w:p>
    <w:p w14:paraId="01CA550E" w14:textId="77777777" w:rsidR="00C04C0A" w:rsidRPr="003D1E07" w:rsidRDefault="00C04C0A" w:rsidP="00C04C0A">
      <w:pPr>
        <w:pStyle w:val="Rejstk2"/>
        <w:tabs>
          <w:tab w:val="right" w:leader="dot" w:pos="4171"/>
        </w:tabs>
        <w:spacing w:line="240" w:lineRule="auto"/>
      </w:pPr>
      <w:r w:rsidRPr="003D1E07">
        <w:t>nasvícení zezadu</w:t>
      </w:r>
      <w:r w:rsidRPr="003D1E07">
        <w:tab/>
        <w:t>233</w:t>
      </w:r>
    </w:p>
    <w:p w14:paraId="4A2DB0DC" w14:textId="77777777" w:rsidR="00C04C0A" w:rsidRPr="003D1E07" w:rsidRDefault="00C04C0A" w:rsidP="00C04C0A">
      <w:pPr>
        <w:pStyle w:val="Rejstk2"/>
        <w:tabs>
          <w:tab w:val="right" w:leader="dot" w:pos="4171"/>
        </w:tabs>
        <w:spacing w:line="240" w:lineRule="auto"/>
      </w:pPr>
      <w:r w:rsidRPr="003D1E07">
        <w:t>neoplatonismus</w:t>
      </w:r>
      <w:r w:rsidRPr="003D1E07">
        <w:tab/>
        <w:t>239</w:t>
      </w:r>
    </w:p>
    <w:p w14:paraId="55E6B94C" w14:textId="77777777" w:rsidR="00C04C0A" w:rsidRPr="003D1E07" w:rsidRDefault="00C04C0A" w:rsidP="00C04C0A">
      <w:pPr>
        <w:pStyle w:val="Rejstk2"/>
        <w:tabs>
          <w:tab w:val="right" w:leader="dot" w:pos="4171"/>
        </w:tabs>
        <w:spacing w:line="240" w:lineRule="auto"/>
      </w:pPr>
      <w:r w:rsidRPr="003D1E07">
        <w:t>Platon</w:t>
      </w:r>
      <w:r w:rsidRPr="003D1E07">
        <w:tab/>
        <w:t>20, 72</w:t>
      </w:r>
    </w:p>
    <w:p w14:paraId="0F5F6D22" w14:textId="77777777" w:rsidR="00C04C0A" w:rsidRPr="003D1E07" w:rsidRDefault="00C04C0A" w:rsidP="00C04C0A">
      <w:pPr>
        <w:pStyle w:val="Rejstk2"/>
        <w:tabs>
          <w:tab w:val="right" w:leader="dot" w:pos="4171"/>
        </w:tabs>
        <w:spacing w:line="240" w:lineRule="auto"/>
      </w:pPr>
      <w:r w:rsidRPr="003D1E07">
        <w:t>první věda</w:t>
      </w:r>
      <w:r w:rsidRPr="003D1E07">
        <w:tab/>
        <w:t>238, 292, 300, 306, 317, 320, 353, 358, 437</w:t>
      </w:r>
    </w:p>
    <w:p w14:paraId="5AEA60A1" w14:textId="77777777" w:rsidR="00C04C0A" w:rsidRPr="003D1E07" w:rsidRDefault="00C04C0A" w:rsidP="00C04C0A">
      <w:pPr>
        <w:pStyle w:val="Rejstk2"/>
        <w:tabs>
          <w:tab w:val="right" w:leader="dot" w:pos="4171"/>
        </w:tabs>
        <w:spacing w:line="240" w:lineRule="auto"/>
      </w:pPr>
      <w:r w:rsidRPr="003D1E07">
        <w:rPr>
          <w:i/>
        </w:rPr>
        <w:t>scientia transcendens</w:t>
      </w:r>
      <w:r w:rsidRPr="003D1E07">
        <w:tab/>
        <w:t>120</w:t>
      </w:r>
    </w:p>
    <w:p w14:paraId="6C89F1ED" w14:textId="77777777" w:rsidR="00C04C0A" w:rsidRPr="003D1E07" w:rsidRDefault="00C04C0A" w:rsidP="00C04C0A">
      <w:pPr>
        <w:pStyle w:val="Rejstk1"/>
        <w:tabs>
          <w:tab w:val="right" w:leader="dot" w:pos="4171"/>
        </w:tabs>
        <w:spacing w:line="240" w:lineRule="auto"/>
      </w:pPr>
      <w:r w:rsidRPr="003D1E07">
        <w:rPr>
          <w:i/>
        </w:rPr>
        <w:t>méta</w:t>
      </w:r>
      <w:r w:rsidRPr="003D1E07">
        <w:rPr>
          <w:i/>
        </w:rPr>
        <w:noBreakHyphen/>
        <w:t>ontologie</w:t>
      </w:r>
      <w:r w:rsidRPr="003D1E07">
        <w:tab/>
        <w:t>123</w:t>
      </w:r>
    </w:p>
    <w:p w14:paraId="03131174" w14:textId="4E3C7637" w:rsidR="00C04C0A" w:rsidRPr="003D1E07" w:rsidRDefault="00C04C0A" w:rsidP="00C04C0A">
      <w:pPr>
        <w:pStyle w:val="Rejstk1"/>
        <w:tabs>
          <w:tab w:val="right" w:leader="dot" w:pos="4171"/>
        </w:tabs>
        <w:spacing w:line="240" w:lineRule="auto"/>
      </w:pPr>
      <w:r w:rsidRPr="003D1E07">
        <w:rPr>
          <w:i/>
        </w:rPr>
        <w:t>metaphysica generalis</w:t>
      </w:r>
      <w:r w:rsidRPr="003D1E07">
        <w:tab/>
        <w:t>112</w:t>
      </w:r>
      <w:r w:rsidR="000F4400" w:rsidRPr="003D1E07">
        <w:t xml:space="preserve">, 109, 234, 253, 332, 334, 352, 457 </w:t>
      </w:r>
    </w:p>
    <w:p w14:paraId="18D252A7" w14:textId="77777777" w:rsidR="00C04C0A" w:rsidRPr="003D1E07" w:rsidRDefault="00C04C0A" w:rsidP="00C04C0A">
      <w:pPr>
        <w:pStyle w:val="Rejstk1"/>
        <w:tabs>
          <w:tab w:val="right" w:leader="dot" w:pos="4171"/>
        </w:tabs>
        <w:spacing w:line="240" w:lineRule="auto"/>
      </w:pPr>
      <w:r w:rsidRPr="003D1E07">
        <w:rPr>
          <w:i/>
        </w:rPr>
        <w:t>metaphysica transcendens</w:t>
      </w:r>
      <w:r w:rsidRPr="003D1E07">
        <w:tab/>
        <w:t>112</w:t>
      </w:r>
    </w:p>
    <w:p w14:paraId="57B98471" w14:textId="77777777" w:rsidR="00C04C0A" w:rsidRPr="003D1E07" w:rsidRDefault="00C04C0A" w:rsidP="00C04C0A">
      <w:pPr>
        <w:pStyle w:val="Rejstk1"/>
        <w:tabs>
          <w:tab w:val="right" w:leader="dot" w:pos="4171"/>
        </w:tabs>
        <w:spacing w:line="240" w:lineRule="auto"/>
      </w:pPr>
      <w:r w:rsidRPr="003D1E07">
        <w:rPr>
          <w:i/>
        </w:rPr>
        <w:t>métis</w:t>
      </w:r>
      <w:r w:rsidRPr="003D1E07">
        <w:tab/>
        <w:t>9</w:t>
      </w:r>
    </w:p>
    <w:p w14:paraId="031AD09A" w14:textId="77777777" w:rsidR="00C04C0A" w:rsidRPr="003D1E07" w:rsidRDefault="00C04C0A" w:rsidP="00C04C0A">
      <w:pPr>
        <w:pStyle w:val="Rejstk1"/>
        <w:tabs>
          <w:tab w:val="right" w:leader="dot" w:pos="4171"/>
        </w:tabs>
        <w:spacing w:line="240" w:lineRule="auto"/>
      </w:pPr>
      <w:r w:rsidRPr="003D1E07">
        <w:t>mezisvět</w:t>
      </w:r>
      <w:r w:rsidRPr="003D1E07">
        <w:tab/>
        <w:t>331</w:t>
      </w:r>
    </w:p>
    <w:p w14:paraId="36C1467D" w14:textId="77777777" w:rsidR="00C04C0A" w:rsidRPr="003D1E07" w:rsidRDefault="00C04C0A" w:rsidP="00C04C0A">
      <w:pPr>
        <w:pStyle w:val="Rejstk1"/>
        <w:tabs>
          <w:tab w:val="right" w:leader="dot" w:pos="4171"/>
        </w:tabs>
        <w:spacing w:line="240" w:lineRule="auto"/>
      </w:pPr>
      <w:r w:rsidRPr="003D1E07">
        <w:rPr>
          <w:rFonts w:cs="Times New Roman"/>
          <w:i/>
        </w:rPr>
        <w:t>Mind‒Body Problem</w:t>
      </w:r>
      <w:r w:rsidRPr="003D1E07">
        <w:tab/>
        <w:t>406, 424, 438</w:t>
      </w:r>
    </w:p>
    <w:p w14:paraId="2FB9F923" w14:textId="77777777" w:rsidR="00C04C0A" w:rsidRPr="003D1E07" w:rsidRDefault="00C04C0A" w:rsidP="00C04C0A">
      <w:pPr>
        <w:pStyle w:val="Rejstk1"/>
        <w:tabs>
          <w:tab w:val="right" w:leader="dot" w:pos="4171"/>
        </w:tabs>
        <w:spacing w:line="240" w:lineRule="auto"/>
      </w:pPr>
      <w:r w:rsidRPr="003D1E07">
        <w:rPr>
          <w:i/>
        </w:rPr>
        <w:t>modo geometrico</w:t>
      </w:r>
      <w:r w:rsidRPr="003D1E07">
        <w:tab/>
        <w:t>121, 248</w:t>
      </w:r>
    </w:p>
    <w:p w14:paraId="0C978863" w14:textId="77777777" w:rsidR="00C04C0A" w:rsidRPr="003D1E07" w:rsidRDefault="00C04C0A" w:rsidP="00C04C0A">
      <w:pPr>
        <w:pStyle w:val="Rejstk1"/>
        <w:tabs>
          <w:tab w:val="right" w:leader="dot" w:pos="4171"/>
        </w:tabs>
        <w:spacing w:line="240" w:lineRule="auto"/>
      </w:pPr>
      <w:r w:rsidRPr="003D1E07">
        <w:rPr>
          <w:i/>
        </w:rPr>
        <w:t>modus essendi</w:t>
      </w:r>
      <w:r w:rsidRPr="003D1E07">
        <w:tab/>
        <w:t>282</w:t>
      </w:r>
    </w:p>
    <w:p w14:paraId="2C57FB2F" w14:textId="77777777" w:rsidR="00C04C0A" w:rsidRPr="003D1E07" w:rsidRDefault="00C04C0A" w:rsidP="00C04C0A">
      <w:pPr>
        <w:pStyle w:val="Rejstk1"/>
        <w:tabs>
          <w:tab w:val="right" w:leader="dot" w:pos="4171"/>
        </w:tabs>
        <w:spacing w:line="240" w:lineRule="auto"/>
      </w:pPr>
      <w:r w:rsidRPr="003D1E07">
        <w:rPr>
          <w:i/>
        </w:rPr>
        <w:t>modus essendi/cognoscendi</w:t>
      </w:r>
      <w:r w:rsidRPr="003D1E07">
        <w:tab/>
        <w:t>361</w:t>
      </w:r>
    </w:p>
    <w:p w14:paraId="23D92802" w14:textId="12F99A9D" w:rsidR="005E32C1" w:rsidRPr="005E32C1" w:rsidRDefault="005E32C1" w:rsidP="00C04C0A">
      <w:pPr>
        <w:pStyle w:val="Rejstk1"/>
        <w:tabs>
          <w:tab w:val="right" w:leader="dot" w:pos="4171"/>
        </w:tabs>
        <w:spacing w:line="240" w:lineRule="auto"/>
      </w:pPr>
      <w:r>
        <w:rPr>
          <w:i/>
        </w:rPr>
        <w:t>modus intelligendi</w:t>
      </w:r>
      <w:r>
        <w:tab/>
        <w:t>255, 315</w:t>
      </w:r>
    </w:p>
    <w:p w14:paraId="464BFCE9" w14:textId="5CE0A9D8" w:rsidR="00C04C0A" w:rsidRPr="003D1E07" w:rsidRDefault="00C04C0A" w:rsidP="00C04C0A">
      <w:pPr>
        <w:pStyle w:val="Rejstk1"/>
        <w:tabs>
          <w:tab w:val="right" w:leader="dot" w:pos="4171"/>
        </w:tabs>
        <w:spacing w:line="240" w:lineRule="auto"/>
      </w:pPr>
      <w:r w:rsidRPr="003D1E07">
        <w:rPr>
          <w:i/>
        </w:rPr>
        <w:lastRenderedPageBreak/>
        <w:t>modus ponens</w:t>
      </w:r>
      <w:r w:rsidRPr="003D1E07">
        <w:tab/>
        <w:t>19, 58, 60, 94, 132, 161, 308, 355, 373, 395, 406, 421</w:t>
      </w:r>
    </w:p>
    <w:p w14:paraId="6C325161" w14:textId="77777777" w:rsidR="00C04C0A" w:rsidRPr="003D1E07" w:rsidRDefault="00C04C0A" w:rsidP="00C04C0A">
      <w:pPr>
        <w:pStyle w:val="Rejstk1"/>
        <w:tabs>
          <w:tab w:val="right" w:leader="dot" w:pos="4171"/>
        </w:tabs>
        <w:spacing w:line="240" w:lineRule="auto"/>
      </w:pPr>
      <w:r w:rsidRPr="003D1E07">
        <w:rPr>
          <w:i/>
        </w:rPr>
        <w:t>modus tollens</w:t>
      </w:r>
      <w:r w:rsidRPr="003D1E07">
        <w:tab/>
        <w:t>94, 105, 132, 155, 241, 421</w:t>
      </w:r>
    </w:p>
    <w:p w14:paraId="6168F52A" w14:textId="77777777" w:rsidR="00C04C0A" w:rsidRPr="003D1E07" w:rsidRDefault="00C04C0A" w:rsidP="00C04C0A">
      <w:pPr>
        <w:pStyle w:val="Rejstk1"/>
        <w:tabs>
          <w:tab w:val="right" w:leader="dot" w:pos="4171"/>
        </w:tabs>
        <w:spacing w:line="240" w:lineRule="auto"/>
      </w:pPr>
      <w:r w:rsidRPr="003D1E07">
        <w:t>Moerbeke, W.</w:t>
      </w:r>
      <w:r w:rsidRPr="003D1E07">
        <w:tab/>
        <w:t>130</w:t>
      </w:r>
    </w:p>
    <w:p w14:paraId="12924113" w14:textId="77777777" w:rsidR="00C04C0A" w:rsidRPr="003D1E07" w:rsidRDefault="00C04C0A" w:rsidP="00C04C0A">
      <w:pPr>
        <w:pStyle w:val="Rejstk1"/>
        <w:tabs>
          <w:tab w:val="right" w:leader="dot" w:pos="4171"/>
        </w:tabs>
        <w:spacing w:line="240" w:lineRule="auto"/>
      </w:pPr>
      <w:r w:rsidRPr="003D1E07">
        <w:rPr>
          <w:i/>
        </w:rPr>
        <w:t>more geometrico</w:t>
      </w:r>
      <w:r w:rsidRPr="003D1E07">
        <w:tab/>
        <w:t>33, 34, 239</w:t>
      </w:r>
    </w:p>
    <w:p w14:paraId="0FD73033" w14:textId="77777777" w:rsidR="00C04C0A" w:rsidRPr="003D1E07" w:rsidRDefault="00C04C0A" w:rsidP="00C04C0A">
      <w:pPr>
        <w:pStyle w:val="Rejstk1"/>
        <w:tabs>
          <w:tab w:val="right" w:leader="dot" w:pos="4171"/>
        </w:tabs>
        <w:spacing w:line="240" w:lineRule="auto"/>
      </w:pPr>
      <w:r w:rsidRPr="003D1E07">
        <w:t>Muḥammad ibn Jarīr al-Ṭabarī</w:t>
      </w:r>
      <w:r w:rsidRPr="003D1E07">
        <w:tab/>
        <w:t>326</w:t>
      </w:r>
    </w:p>
    <w:p w14:paraId="4D60D424" w14:textId="77777777" w:rsidR="00C04C0A" w:rsidRPr="003D1E07" w:rsidRDefault="00C04C0A" w:rsidP="00C04C0A">
      <w:pPr>
        <w:pStyle w:val="Rejstk1"/>
        <w:tabs>
          <w:tab w:val="right" w:leader="dot" w:pos="4171"/>
        </w:tabs>
        <w:spacing w:line="240" w:lineRule="auto"/>
      </w:pPr>
      <w:r w:rsidRPr="003D1E07">
        <w:rPr>
          <w:i/>
          <w:iCs/>
        </w:rPr>
        <w:t>mundus imaginalis</w:t>
      </w:r>
      <w:r w:rsidRPr="003D1E07">
        <w:tab/>
        <w:t>322</w:t>
      </w:r>
    </w:p>
    <w:p w14:paraId="16B74B16" w14:textId="77777777" w:rsidR="00C04C0A" w:rsidRPr="003D1E07" w:rsidRDefault="00C04C0A" w:rsidP="00C04C0A">
      <w:pPr>
        <w:pStyle w:val="Rejstk1"/>
        <w:tabs>
          <w:tab w:val="right" w:leader="dot" w:pos="4171"/>
        </w:tabs>
        <w:spacing w:line="240" w:lineRule="auto"/>
      </w:pPr>
      <w:r w:rsidRPr="003D1E07">
        <w:rPr>
          <w:i/>
        </w:rPr>
        <w:t>musica universalis</w:t>
      </w:r>
      <w:r w:rsidRPr="003D1E07">
        <w:tab/>
        <w:t>27</w:t>
      </w:r>
    </w:p>
    <w:p w14:paraId="10C854F3" w14:textId="77777777" w:rsidR="00C04C0A" w:rsidRPr="003D1E07" w:rsidRDefault="00C04C0A" w:rsidP="00C04C0A">
      <w:pPr>
        <w:pStyle w:val="Rejstk1"/>
        <w:tabs>
          <w:tab w:val="right" w:leader="dot" w:pos="4171"/>
        </w:tabs>
        <w:spacing w:line="240" w:lineRule="auto"/>
      </w:pPr>
      <w:r w:rsidRPr="003D1E07">
        <w:rPr>
          <w:i/>
        </w:rPr>
        <w:t>mutakallim</w:t>
      </w:r>
      <w:r w:rsidRPr="003D1E07">
        <w:tab/>
        <w:t>328, 332</w:t>
      </w:r>
    </w:p>
    <w:p w14:paraId="706FAC77" w14:textId="77777777" w:rsidR="00C04C0A" w:rsidRPr="003D1E07" w:rsidRDefault="00C04C0A" w:rsidP="00C04C0A">
      <w:pPr>
        <w:pStyle w:val="Rejstk1"/>
        <w:tabs>
          <w:tab w:val="right" w:leader="dot" w:pos="4171"/>
        </w:tabs>
        <w:spacing w:line="240" w:lineRule="auto"/>
      </w:pPr>
      <w:r w:rsidRPr="003D1E07">
        <w:t>Múzy</w:t>
      </w:r>
      <w:r w:rsidRPr="003D1E07">
        <w:tab/>
        <w:t>78, 104, 151, 422</w:t>
      </w:r>
    </w:p>
    <w:p w14:paraId="0738484C" w14:textId="77777777" w:rsidR="00C04C0A" w:rsidRPr="003D1E07" w:rsidRDefault="00C04C0A" w:rsidP="00C04C0A">
      <w:pPr>
        <w:pStyle w:val="Rejstk1"/>
        <w:tabs>
          <w:tab w:val="right" w:leader="dot" w:pos="4171"/>
        </w:tabs>
        <w:spacing w:line="240" w:lineRule="auto"/>
      </w:pPr>
      <w:r w:rsidRPr="003D1E07">
        <w:rPr>
          <w:lang w:eastAsia="en-US"/>
        </w:rPr>
        <w:t>mystika</w:t>
      </w:r>
      <w:r w:rsidRPr="003D1E07">
        <w:tab/>
        <w:t>121, 154, 217</w:t>
      </w:r>
    </w:p>
    <w:p w14:paraId="7470D93C" w14:textId="2C329DD8" w:rsidR="00C04C0A" w:rsidRPr="003D1E07" w:rsidRDefault="00C04C0A" w:rsidP="00C04C0A">
      <w:pPr>
        <w:pStyle w:val="Rejstk1"/>
        <w:tabs>
          <w:tab w:val="right" w:leader="dot" w:pos="4171"/>
        </w:tabs>
        <w:spacing w:line="240" w:lineRule="auto"/>
      </w:pPr>
      <w:r w:rsidRPr="003D1E07">
        <w:t>mytopoiesis</w:t>
      </w:r>
      <w:r w:rsidRPr="003D1E07">
        <w:tab/>
        <w:t xml:space="preserve">108, 168, </w:t>
      </w:r>
      <w:r w:rsidR="000F4400" w:rsidRPr="003D1E07">
        <w:t xml:space="preserve">169, </w:t>
      </w:r>
      <w:r w:rsidRPr="003D1E07">
        <w:t xml:space="preserve">171, </w:t>
      </w:r>
      <w:r w:rsidR="000F4400" w:rsidRPr="003D1E07">
        <w:t xml:space="preserve">221, </w:t>
      </w:r>
      <w:r w:rsidRPr="003D1E07">
        <w:t>265, 368</w:t>
      </w:r>
    </w:p>
    <w:p w14:paraId="284ABBEC" w14:textId="77777777" w:rsidR="00C04C0A" w:rsidRPr="003D1E07" w:rsidRDefault="00C04C0A" w:rsidP="00C04C0A">
      <w:pPr>
        <w:pStyle w:val="Hlavikarejstku"/>
        <w:keepNext/>
        <w:tabs>
          <w:tab w:val="right" w:leader="dot" w:pos="4171"/>
        </w:tabs>
        <w:spacing w:line="240" w:lineRule="auto"/>
        <w:rPr>
          <w:rFonts w:eastAsia="Times New Roman" w:cs="Times New Roman"/>
          <w:b w:val="0"/>
          <w:bCs w:val="0"/>
        </w:rPr>
      </w:pPr>
      <w:r w:rsidRPr="003D1E07">
        <w:t>N</w:t>
      </w:r>
    </w:p>
    <w:p w14:paraId="76A6B16B" w14:textId="1C4E9760" w:rsidR="00C04C0A" w:rsidRPr="003D1E07" w:rsidRDefault="00C04C0A" w:rsidP="000D1D92">
      <w:pPr>
        <w:pStyle w:val="Rejstk1"/>
        <w:tabs>
          <w:tab w:val="right" w:leader="dot" w:pos="4171"/>
        </w:tabs>
        <w:spacing w:line="240" w:lineRule="auto"/>
      </w:pPr>
      <w:r w:rsidRPr="003D1E07">
        <w:t>náhled</w:t>
      </w:r>
      <w:r w:rsidR="000D1D92" w:rsidRPr="003D1E07">
        <w:t xml:space="preserve">, </w:t>
      </w:r>
      <w:r w:rsidRPr="003D1E07">
        <w:t>eidetický</w:t>
      </w:r>
      <w:r w:rsidRPr="003D1E07">
        <w:tab/>
        <w:t>137</w:t>
      </w:r>
    </w:p>
    <w:p w14:paraId="73F14609" w14:textId="77777777" w:rsidR="00C04C0A" w:rsidRPr="003D1E07" w:rsidRDefault="00C04C0A" w:rsidP="00C04C0A">
      <w:pPr>
        <w:pStyle w:val="Rejstk1"/>
        <w:tabs>
          <w:tab w:val="right" w:leader="dot" w:pos="4171"/>
        </w:tabs>
        <w:spacing w:line="240" w:lineRule="auto"/>
      </w:pPr>
      <w:r w:rsidRPr="003D1E07">
        <w:t>neopozitivismus</w:t>
      </w:r>
      <w:r w:rsidRPr="003D1E07">
        <w:tab/>
        <w:t>3</w:t>
      </w:r>
    </w:p>
    <w:p w14:paraId="0A18C454" w14:textId="77777777" w:rsidR="00C04C0A" w:rsidRPr="003D1E07" w:rsidRDefault="00C04C0A" w:rsidP="00C04C0A">
      <w:pPr>
        <w:pStyle w:val="Rejstk1"/>
        <w:tabs>
          <w:tab w:val="right" w:leader="dot" w:pos="4171"/>
        </w:tabs>
        <w:spacing w:line="240" w:lineRule="auto"/>
      </w:pPr>
      <w:r w:rsidRPr="003D1E07">
        <w:rPr>
          <w:i/>
          <w:lang w:eastAsia="en-US"/>
        </w:rPr>
        <w:t>neutrum</w:t>
      </w:r>
      <w:r w:rsidRPr="003D1E07">
        <w:tab/>
        <w:t>243</w:t>
      </w:r>
    </w:p>
    <w:p w14:paraId="5BE15952" w14:textId="3CFE8074" w:rsidR="00C04C0A" w:rsidRPr="003D1E07" w:rsidRDefault="00C04C0A" w:rsidP="00C04C0A">
      <w:pPr>
        <w:pStyle w:val="Rejstk1"/>
        <w:tabs>
          <w:tab w:val="right" w:leader="dot" w:pos="4171"/>
        </w:tabs>
        <w:spacing w:line="240" w:lineRule="auto"/>
      </w:pPr>
      <w:r w:rsidRPr="003D1E07">
        <w:t>Nietzsche, F.</w:t>
      </w:r>
      <w:r w:rsidR="001165C7" w:rsidRPr="003D1E07">
        <w:tab/>
        <w:t>viz</w:t>
      </w:r>
      <w:r w:rsidR="001165C7" w:rsidRPr="003D1E07">
        <w:rPr>
          <w:i/>
        </w:rPr>
        <w:t xml:space="preserve"> Index locorum</w:t>
      </w:r>
      <w:r w:rsidR="001165C7" w:rsidRPr="003D1E07">
        <w:t xml:space="preserve">, </w:t>
      </w:r>
      <w:r w:rsidRPr="003D1E07">
        <w:t>4, 15</w:t>
      </w:r>
    </w:p>
    <w:p w14:paraId="7BD14902" w14:textId="74E13DEA" w:rsidR="00C04C0A" w:rsidRPr="003D1E07" w:rsidRDefault="00C04C0A" w:rsidP="00C04C0A">
      <w:pPr>
        <w:pStyle w:val="Rejstk1"/>
        <w:tabs>
          <w:tab w:val="right" w:leader="dot" w:pos="4171"/>
        </w:tabs>
        <w:spacing w:line="240" w:lineRule="auto"/>
      </w:pPr>
      <w:r w:rsidRPr="003D1E07">
        <w:t>Nifo, A.</w:t>
      </w:r>
      <w:r w:rsidRPr="003D1E07">
        <w:tab/>
      </w:r>
      <w:r w:rsidR="001165C7" w:rsidRPr="003D1E07">
        <w:t>viz</w:t>
      </w:r>
      <w:r w:rsidR="001165C7" w:rsidRPr="003D1E07">
        <w:rPr>
          <w:i/>
        </w:rPr>
        <w:t xml:space="preserve"> Index locorum</w:t>
      </w:r>
      <w:r w:rsidR="001165C7" w:rsidRPr="003D1E07">
        <w:t xml:space="preserve">, </w:t>
      </w:r>
      <w:r w:rsidRPr="003D1E07">
        <w:t>445, 446, 459</w:t>
      </w:r>
    </w:p>
    <w:p w14:paraId="26EACC76" w14:textId="77777777" w:rsidR="00C04C0A" w:rsidRPr="003D1E07" w:rsidRDefault="00C04C0A" w:rsidP="00C04C0A">
      <w:pPr>
        <w:pStyle w:val="Rejstk1"/>
        <w:tabs>
          <w:tab w:val="right" w:leader="dot" w:pos="4171"/>
        </w:tabs>
        <w:spacing w:line="240" w:lineRule="auto"/>
      </w:pPr>
      <w:r w:rsidRPr="003D1E07">
        <w:rPr>
          <w:iCs/>
        </w:rPr>
        <w:t>noemata</w:t>
      </w:r>
      <w:r w:rsidRPr="003D1E07">
        <w:tab/>
        <w:t>138</w:t>
      </w:r>
    </w:p>
    <w:p w14:paraId="18B292BA" w14:textId="77777777" w:rsidR="00C04C0A" w:rsidRPr="003D1E07" w:rsidRDefault="00C04C0A" w:rsidP="00C04C0A">
      <w:pPr>
        <w:pStyle w:val="Rejstk1"/>
        <w:tabs>
          <w:tab w:val="right" w:leader="dot" w:pos="4171"/>
        </w:tabs>
        <w:spacing w:line="240" w:lineRule="auto"/>
      </w:pPr>
      <w:r w:rsidRPr="003D1E07">
        <w:rPr>
          <w:i/>
        </w:rPr>
        <w:t>non repugnat esse</w:t>
      </w:r>
      <w:r w:rsidRPr="003D1E07">
        <w:tab/>
        <w:t>165, 310</w:t>
      </w:r>
    </w:p>
    <w:p w14:paraId="15B3A478" w14:textId="77777777" w:rsidR="00C04C0A" w:rsidRPr="003D1E07" w:rsidRDefault="00C04C0A" w:rsidP="00C04C0A">
      <w:pPr>
        <w:pStyle w:val="Hlavikarejstku"/>
        <w:keepNext/>
        <w:tabs>
          <w:tab w:val="right" w:leader="dot" w:pos="4171"/>
        </w:tabs>
        <w:spacing w:line="240" w:lineRule="auto"/>
        <w:rPr>
          <w:rFonts w:eastAsia="Times New Roman" w:cs="Times New Roman"/>
          <w:b w:val="0"/>
          <w:bCs w:val="0"/>
        </w:rPr>
      </w:pPr>
      <w:r w:rsidRPr="003D1E07">
        <w:t>O</w:t>
      </w:r>
    </w:p>
    <w:p w14:paraId="27B93A3B" w14:textId="77777777" w:rsidR="00C04C0A" w:rsidRPr="003D1E07" w:rsidRDefault="00C04C0A" w:rsidP="00C04C0A">
      <w:pPr>
        <w:pStyle w:val="Rejstk1"/>
        <w:tabs>
          <w:tab w:val="right" w:leader="dot" w:pos="4171"/>
        </w:tabs>
        <w:spacing w:line="240" w:lineRule="auto"/>
      </w:pPr>
      <w:r w:rsidRPr="003D1E07">
        <w:t>objektivita</w:t>
      </w:r>
    </w:p>
    <w:p w14:paraId="07FBAA7A" w14:textId="77777777" w:rsidR="00C04C0A" w:rsidRPr="003D1E07" w:rsidRDefault="00C04C0A" w:rsidP="00C04C0A">
      <w:pPr>
        <w:pStyle w:val="Rejstk2"/>
        <w:tabs>
          <w:tab w:val="right" w:leader="dot" w:pos="4171"/>
        </w:tabs>
        <w:spacing w:line="240" w:lineRule="auto"/>
      </w:pPr>
      <w:r w:rsidRPr="003D1E07">
        <w:rPr>
          <w:i/>
        </w:rPr>
        <w:t>alétheia</w:t>
      </w:r>
      <w:r w:rsidRPr="003D1E07">
        <w:tab/>
        <w:t>247, 381</w:t>
      </w:r>
    </w:p>
    <w:p w14:paraId="5CC7B0E8" w14:textId="77777777" w:rsidR="00C04C0A" w:rsidRPr="003D1E07" w:rsidRDefault="00C04C0A" w:rsidP="00C04C0A">
      <w:pPr>
        <w:pStyle w:val="Rejstk2"/>
        <w:tabs>
          <w:tab w:val="right" w:leader="dot" w:pos="4171"/>
        </w:tabs>
        <w:spacing w:line="240" w:lineRule="auto"/>
      </w:pPr>
      <w:r w:rsidRPr="003D1E07">
        <w:t>analytická filosofie</w:t>
      </w:r>
      <w:r w:rsidRPr="003D1E07">
        <w:tab/>
        <w:t>2</w:t>
      </w:r>
    </w:p>
    <w:p w14:paraId="73DAA306" w14:textId="77777777" w:rsidR="00C04C0A" w:rsidRPr="003D1E07" w:rsidRDefault="00C04C0A" w:rsidP="00C04C0A">
      <w:pPr>
        <w:pStyle w:val="Rejstk2"/>
        <w:tabs>
          <w:tab w:val="right" w:leader="dot" w:pos="4171"/>
        </w:tabs>
        <w:spacing w:line="240" w:lineRule="auto"/>
      </w:pPr>
      <w:r w:rsidRPr="003D1E07">
        <w:rPr>
          <w:i/>
        </w:rPr>
        <w:t>Anfang/Beginn</w:t>
      </w:r>
      <w:r w:rsidRPr="003D1E07">
        <w:tab/>
        <w:t>222, 371</w:t>
      </w:r>
    </w:p>
    <w:p w14:paraId="25AD08DB" w14:textId="77777777" w:rsidR="00C04C0A" w:rsidRPr="003D1E07" w:rsidRDefault="00C04C0A" w:rsidP="00C04C0A">
      <w:pPr>
        <w:pStyle w:val="Rejstk2"/>
        <w:tabs>
          <w:tab w:val="right" w:leader="dot" w:pos="4171"/>
        </w:tabs>
        <w:spacing w:line="240" w:lineRule="auto"/>
      </w:pPr>
      <w:r w:rsidRPr="003D1E07">
        <w:t>archeologie</w:t>
      </w:r>
      <w:r w:rsidRPr="003D1E07">
        <w:tab/>
        <w:t>61, 74, 114, 470</w:t>
      </w:r>
    </w:p>
    <w:p w14:paraId="7A396DC8" w14:textId="77777777" w:rsidR="00C04C0A" w:rsidRPr="003D1E07" w:rsidRDefault="00C04C0A" w:rsidP="00C04C0A">
      <w:pPr>
        <w:pStyle w:val="Rejstk2"/>
        <w:tabs>
          <w:tab w:val="right" w:leader="dot" w:pos="4171"/>
        </w:tabs>
        <w:spacing w:line="240" w:lineRule="auto"/>
      </w:pPr>
      <w:r w:rsidRPr="003D1E07">
        <w:t>Avicenna</w:t>
      </w:r>
      <w:r w:rsidRPr="003D1E07">
        <w:tab/>
        <w:t>212, 278</w:t>
      </w:r>
    </w:p>
    <w:p w14:paraId="083582A7" w14:textId="77777777" w:rsidR="00C04C0A" w:rsidRPr="003D1E07" w:rsidRDefault="00C04C0A" w:rsidP="00C04C0A">
      <w:pPr>
        <w:pStyle w:val="Rejstk2"/>
        <w:tabs>
          <w:tab w:val="right" w:leader="dot" w:pos="4171"/>
        </w:tabs>
        <w:spacing w:line="240" w:lineRule="auto"/>
      </w:pPr>
      <w:r w:rsidRPr="003D1E07">
        <w:t>Boethius</w:t>
      </w:r>
      <w:r w:rsidRPr="003D1E07">
        <w:tab/>
        <w:t>98</w:t>
      </w:r>
    </w:p>
    <w:p w14:paraId="07E1F0DA" w14:textId="77777777" w:rsidR="00C04C0A" w:rsidRPr="003D1E07" w:rsidRDefault="00C04C0A" w:rsidP="00C04C0A">
      <w:pPr>
        <w:pStyle w:val="Rejstk2"/>
        <w:tabs>
          <w:tab w:val="right" w:leader="dot" w:pos="4171"/>
        </w:tabs>
        <w:spacing w:line="240" w:lineRule="auto"/>
      </w:pPr>
      <w:r w:rsidRPr="003D1E07">
        <w:t>času a prostoru</w:t>
      </w:r>
      <w:r w:rsidRPr="003D1E07">
        <w:tab/>
        <w:t>160</w:t>
      </w:r>
    </w:p>
    <w:p w14:paraId="01E186CF" w14:textId="77777777" w:rsidR="00C04C0A" w:rsidRPr="003D1E07" w:rsidRDefault="00C04C0A" w:rsidP="00C04C0A">
      <w:pPr>
        <w:pStyle w:val="Rejstk2"/>
        <w:tabs>
          <w:tab w:val="right" w:leader="dot" w:pos="4171"/>
        </w:tabs>
        <w:spacing w:line="240" w:lineRule="auto"/>
      </w:pPr>
      <w:r w:rsidRPr="003D1E07">
        <w:t>demiurgická</w:t>
      </w:r>
      <w:r w:rsidRPr="003D1E07">
        <w:tab/>
        <w:t>233</w:t>
      </w:r>
    </w:p>
    <w:p w14:paraId="43FD5BBC" w14:textId="77777777" w:rsidR="00C04C0A" w:rsidRPr="003D1E07" w:rsidRDefault="00C04C0A" w:rsidP="00C04C0A">
      <w:pPr>
        <w:pStyle w:val="Rejstk2"/>
        <w:tabs>
          <w:tab w:val="right" w:leader="dot" w:pos="4171"/>
        </w:tabs>
        <w:spacing w:line="240" w:lineRule="auto"/>
      </w:pPr>
      <w:r w:rsidRPr="003D1E07">
        <w:t>diakosmos</w:t>
      </w:r>
      <w:r w:rsidRPr="003D1E07">
        <w:tab/>
        <w:t>127</w:t>
      </w:r>
    </w:p>
    <w:p w14:paraId="69B51F67" w14:textId="77777777" w:rsidR="00C04C0A" w:rsidRPr="003D1E07" w:rsidRDefault="00C04C0A" w:rsidP="00C04C0A">
      <w:pPr>
        <w:pStyle w:val="Rejstk2"/>
        <w:tabs>
          <w:tab w:val="right" w:leader="dot" w:pos="4171"/>
        </w:tabs>
        <w:spacing w:line="240" w:lineRule="auto"/>
      </w:pPr>
      <w:r w:rsidRPr="003D1E07">
        <w:rPr>
          <w:i/>
        </w:rPr>
        <w:t>equinitas tantum</w:t>
      </w:r>
      <w:r w:rsidRPr="003D1E07">
        <w:tab/>
        <w:t>277, 278, 313</w:t>
      </w:r>
    </w:p>
    <w:p w14:paraId="648296AC" w14:textId="4F366A5F" w:rsidR="00C04C0A" w:rsidRPr="003D1E07" w:rsidRDefault="001165C7" w:rsidP="00C04C0A">
      <w:pPr>
        <w:pStyle w:val="Rejstk2"/>
        <w:tabs>
          <w:tab w:val="right" w:leader="dot" w:pos="4171"/>
        </w:tabs>
        <w:spacing w:line="240" w:lineRule="auto"/>
      </w:pPr>
      <w:r w:rsidRPr="003D1E07">
        <w:t xml:space="preserve">Ibn </w:t>
      </w:r>
      <w:r w:rsidR="00C04C0A" w:rsidRPr="003D1E07">
        <w:t>Ádí</w:t>
      </w:r>
      <w:r w:rsidR="00C04C0A" w:rsidRPr="003D1E07">
        <w:tab/>
        <w:t>249, 477</w:t>
      </w:r>
    </w:p>
    <w:p w14:paraId="00DB1FAD" w14:textId="77777777" w:rsidR="00C04C0A" w:rsidRPr="003D1E07" w:rsidRDefault="00C04C0A" w:rsidP="00C04C0A">
      <w:pPr>
        <w:pStyle w:val="Rejstk2"/>
        <w:tabs>
          <w:tab w:val="right" w:leader="dot" w:pos="4171"/>
        </w:tabs>
        <w:spacing w:line="240" w:lineRule="auto"/>
      </w:pPr>
      <w:r w:rsidRPr="003D1E07">
        <w:t>intelektuálních forem</w:t>
      </w:r>
      <w:r w:rsidRPr="003D1E07">
        <w:tab/>
        <w:t>212</w:t>
      </w:r>
    </w:p>
    <w:p w14:paraId="715AE57E" w14:textId="77777777" w:rsidR="00C04C0A" w:rsidRPr="003D1E07" w:rsidRDefault="00C04C0A" w:rsidP="00C04C0A">
      <w:pPr>
        <w:pStyle w:val="Rejstk2"/>
        <w:tabs>
          <w:tab w:val="right" w:leader="dot" w:pos="4171"/>
        </w:tabs>
        <w:spacing w:line="240" w:lineRule="auto"/>
      </w:pPr>
      <w:r w:rsidRPr="003D1E07">
        <w:t>Kant</w:t>
      </w:r>
      <w:r w:rsidRPr="003D1E07">
        <w:tab/>
        <w:t>12, 13</w:t>
      </w:r>
    </w:p>
    <w:p w14:paraId="47231513" w14:textId="77777777" w:rsidR="00C04C0A" w:rsidRPr="003D1E07" w:rsidRDefault="00C04C0A" w:rsidP="00C04C0A">
      <w:pPr>
        <w:pStyle w:val="Rejstk2"/>
        <w:tabs>
          <w:tab w:val="right" w:leader="dot" w:pos="4171"/>
        </w:tabs>
        <w:spacing w:line="240" w:lineRule="auto"/>
      </w:pPr>
      <w:r w:rsidRPr="003D1E07">
        <w:t>Leibniz</w:t>
      </w:r>
      <w:r w:rsidRPr="003D1E07">
        <w:tab/>
        <w:t>117</w:t>
      </w:r>
    </w:p>
    <w:p w14:paraId="27EC5A7D" w14:textId="77777777" w:rsidR="00C04C0A" w:rsidRPr="003D1E07" w:rsidRDefault="00C04C0A" w:rsidP="00C04C0A">
      <w:pPr>
        <w:pStyle w:val="Rejstk2"/>
        <w:tabs>
          <w:tab w:val="right" w:leader="dot" w:pos="4171"/>
        </w:tabs>
        <w:spacing w:line="240" w:lineRule="auto"/>
      </w:pPr>
      <w:r w:rsidRPr="003D1E07">
        <w:rPr>
          <w:i/>
        </w:rPr>
        <w:t>Lichtung</w:t>
      </w:r>
      <w:r w:rsidRPr="003D1E07">
        <w:tab/>
        <w:t>186</w:t>
      </w:r>
    </w:p>
    <w:p w14:paraId="3158260F" w14:textId="77777777" w:rsidR="00C04C0A" w:rsidRPr="003D1E07" w:rsidRDefault="00C04C0A" w:rsidP="00C04C0A">
      <w:pPr>
        <w:pStyle w:val="Rejstk2"/>
        <w:tabs>
          <w:tab w:val="right" w:leader="dot" w:pos="4171"/>
        </w:tabs>
        <w:spacing w:line="240" w:lineRule="auto"/>
      </w:pPr>
      <w:r w:rsidRPr="003D1E07">
        <w:t>moderní vědy</w:t>
      </w:r>
      <w:r w:rsidRPr="003D1E07">
        <w:tab/>
        <w:t>12</w:t>
      </w:r>
    </w:p>
    <w:p w14:paraId="1DB8CD37" w14:textId="77777777" w:rsidR="00C04C0A" w:rsidRPr="003D1E07" w:rsidRDefault="00C04C0A" w:rsidP="00C04C0A">
      <w:pPr>
        <w:pStyle w:val="Rejstk2"/>
        <w:tabs>
          <w:tab w:val="right" w:leader="dot" w:pos="4171"/>
        </w:tabs>
        <w:spacing w:line="240" w:lineRule="auto"/>
      </w:pPr>
      <w:r w:rsidRPr="003D1E07">
        <w:t>nasvícení zezadu</w:t>
      </w:r>
      <w:r w:rsidRPr="003D1E07">
        <w:tab/>
        <w:t>134</w:t>
      </w:r>
    </w:p>
    <w:p w14:paraId="55A5808F" w14:textId="77777777" w:rsidR="00C04C0A" w:rsidRPr="003D1E07" w:rsidRDefault="00C04C0A" w:rsidP="00C04C0A">
      <w:pPr>
        <w:pStyle w:val="Rejstk2"/>
        <w:tabs>
          <w:tab w:val="right" w:leader="dot" w:pos="4171"/>
        </w:tabs>
        <w:spacing w:line="240" w:lineRule="auto"/>
      </w:pPr>
      <w:r w:rsidRPr="003D1E07">
        <w:t>Platon</w:t>
      </w:r>
      <w:r w:rsidRPr="003D1E07">
        <w:tab/>
        <w:t>22</w:t>
      </w:r>
    </w:p>
    <w:p w14:paraId="4941D606" w14:textId="77777777" w:rsidR="00C04C0A" w:rsidRPr="003D1E07" w:rsidRDefault="00C04C0A" w:rsidP="00C04C0A">
      <w:pPr>
        <w:pStyle w:val="Rejstk2"/>
        <w:tabs>
          <w:tab w:val="right" w:leader="dot" w:pos="4171"/>
        </w:tabs>
        <w:spacing w:line="240" w:lineRule="auto"/>
      </w:pPr>
      <w:r w:rsidRPr="003D1E07">
        <w:t>Porfyrius</w:t>
      </w:r>
      <w:r w:rsidRPr="003D1E07">
        <w:tab/>
        <w:t>118</w:t>
      </w:r>
    </w:p>
    <w:p w14:paraId="3EAD7925" w14:textId="42A10C09" w:rsidR="00C04C0A" w:rsidRPr="003D1E07" w:rsidRDefault="00C04C0A" w:rsidP="00C04C0A">
      <w:pPr>
        <w:pStyle w:val="Rejstk1"/>
        <w:tabs>
          <w:tab w:val="right" w:leader="dot" w:pos="4171"/>
        </w:tabs>
        <w:spacing w:line="240" w:lineRule="auto"/>
      </w:pPr>
      <w:r w:rsidRPr="003D1E07">
        <w:rPr>
          <w:lang w:eastAsia="en-US"/>
        </w:rPr>
        <w:t>Ockham, W.</w:t>
      </w:r>
      <w:r w:rsidRPr="003D1E07">
        <w:tab/>
      </w:r>
      <w:r w:rsidR="00A82F67" w:rsidRPr="003D1E07">
        <w:t>viz</w:t>
      </w:r>
      <w:r w:rsidR="00A82F67" w:rsidRPr="003D1E07">
        <w:rPr>
          <w:i/>
        </w:rPr>
        <w:t xml:space="preserve"> Index locorum</w:t>
      </w:r>
      <w:r w:rsidR="00A82F67" w:rsidRPr="003D1E07">
        <w:t xml:space="preserve">, </w:t>
      </w:r>
      <w:r w:rsidRPr="003D1E07">
        <w:t>352</w:t>
      </w:r>
    </w:p>
    <w:p w14:paraId="200D6898" w14:textId="77777777" w:rsidR="00C04C0A" w:rsidRPr="003D1E07" w:rsidRDefault="00C04C0A" w:rsidP="00C04C0A">
      <w:pPr>
        <w:pStyle w:val="Rejstk1"/>
        <w:tabs>
          <w:tab w:val="right" w:leader="dot" w:pos="4171"/>
        </w:tabs>
        <w:spacing w:line="240" w:lineRule="auto"/>
      </w:pPr>
      <w:r w:rsidRPr="003D1E07">
        <w:t>Ockhamova břitva</w:t>
      </w:r>
      <w:r w:rsidRPr="003D1E07">
        <w:tab/>
        <w:t>221</w:t>
      </w:r>
    </w:p>
    <w:p w14:paraId="3D725521" w14:textId="77777777" w:rsidR="00C04C0A" w:rsidRPr="003D1E07" w:rsidRDefault="00C04C0A" w:rsidP="00C04C0A">
      <w:pPr>
        <w:pStyle w:val="Rejstk1"/>
        <w:tabs>
          <w:tab w:val="right" w:leader="dot" w:pos="4171"/>
        </w:tabs>
        <w:spacing w:line="240" w:lineRule="auto"/>
      </w:pPr>
      <w:r w:rsidRPr="003D1E07">
        <w:t>odsouzení 1270</w:t>
      </w:r>
      <w:r w:rsidRPr="003D1E07">
        <w:tab/>
        <w:t>489</w:t>
      </w:r>
    </w:p>
    <w:p w14:paraId="66389885" w14:textId="77777777" w:rsidR="00C04C0A" w:rsidRPr="003D1E07" w:rsidRDefault="00C04C0A" w:rsidP="00C04C0A">
      <w:pPr>
        <w:pStyle w:val="Rejstk1"/>
        <w:tabs>
          <w:tab w:val="right" w:leader="dot" w:pos="4171"/>
        </w:tabs>
        <w:spacing w:line="240" w:lineRule="auto"/>
      </w:pPr>
      <w:r w:rsidRPr="003D1E07">
        <w:t>odsouzení 1277</w:t>
      </w:r>
      <w:r w:rsidRPr="003D1E07">
        <w:tab/>
        <w:t>14, 214, 329, 448, 488, 489</w:t>
      </w:r>
    </w:p>
    <w:p w14:paraId="244015BD" w14:textId="77777777" w:rsidR="00C04C0A" w:rsidRPr="003D1E07" w:rsidRDefault="00C04C0A" w:rsidP="00C04C0A">
      <w:pPr>
        <w:pStyle w:val="Rejstk1"/>
        <w:tabs>
          <w:tab w:val="right" w:leader="dot" w:pos="4171"/>
        </w:tabs>
        <w:spacing w:line="240" w:lineRule="auto"/>
      </w:pPr>
      <w:r w:rsidRPr="003D1E07">
        <w:t>Oidipus</w:t>
      </w:r>
      <w:r w:rsidRPr="003D1E07">
        <w:tab/>
        <w:t>44</w:t>
      </w:r>
    </w:p>
    <w:p w14:paraId="498EAAF5" w14:textId="77777777" w:rsidR="00C04C0A" w:rsidRPr="003D1E07" w:rsidRDefault="00C04C0A" w:rsidP="00C04C0A">
      <w:pPr>
        <w:pStyle w:val="Rejstk1"/>
        <w:tabs>
          <w:tab w:val="right" w:leader="dot" w:pos="4171"/>
        </w:tabs>
        <w:spacing w:line="240" w:lineRule="auto"/>
      </w:pPr>
      <w:r w:rsidRPr="003D1E07">
        <w:t>Omezené‒Neomezené</w:t>
      </w:r>
      <w:r w:rsidRPr="003D1E07">
        <w:tab/>
        <w:t>124, 143, 155, 164, 224, 313, 363</w:t>
      </w:r>
    </w:p>
    <w:p w14:paraId="014154CC" w14:textId="77777777" w:rsidR="00C04C0A" w:rsidRPr="003D1E07" w:rsidRDefault="00C04C0A" w:rsidP="00C04C0A">
      <w:pPr>
        <w:pStyle w:val="Rejstk1"/>
        <w:tabs>
          <w:tab w:val="right" w:leader="dot" w:pos="4171"/>
        </w:tabs>
        <w:spacing w:line="240" w:lineRule="auto"/>
      </w:pPr>
      <w:r w:rsidRPr="003D1E07">
        <w:t>ontoteologie</w:t>
      </w:r>
      <w:r w:rsidRPr="003D1E07">
        <w:tab/>
        <w:t>171, 470</w:t>
      </w:r>
    </w:p>
    <w:p w14:paraId="425EB6C7" w14:textId="77777777" w:rsidR="00C04C0A" w:rsidRPr="003D1E07" w:rsidRDefault="00C04C0A" w:rsidP="00C04C0A">
      <w:pPr>
        <w:pStyle w:val="Rejstk2"/>
        <w:tabs>
          <w:tab w:val="right" w:leader="dot" w:pos="4171"/>
        </w:tabs>
        <w:spacing w:line="240" w:lineRule="auto"/>
      </w:pPr>
      <w:r w:rsidRPr="003D1E07">
        <w:t>Al-Fárábí</w:t>
      </w:r>
      <w:r w:rsidRPr="003D1E07">
        <w:tab/>
        <w:t>233</w:t>
      </w:r>
    </w:p>
    <w:p w14:paraId="4696D1A0" w14:textId="77777777" w:rsidR="00C04C0A" w:rsidRPr="003D1E07" w:rsidRDefault="00C04C0A" w:rsidP="00C04C0A">
      <w:pPr>
        <w:pStyle w:val="Rejstk2"/>
        <w:tabs>
          <w:tab w:val="right" w:leader="dot" w:pos="4171"/>
        </w:tabs>
        <w:spacing w:line="240" w:lineRule="auto"/>
      </w:pPr>
      <w:r w:rsidRPr="003D1E07">
        <w:t>Avicenna</w:t>
      </w:r>
      <w:r w:rsidRPr="003D1E07">
        <w:tab/>
        <w:t>307, 314, 315, 319, 320, 477</w:t>
      </w:r>
    </w:p>
    <w:p w14:paraId="22F4CA8F" w14:textId="77777777" w:rsidR="00C04C0A" w:rsidRPr="003D1E07" w:rsidRDefault="00C04C0A" w:rsidP="00C04C0A">
      <w:pPr>
        <w:pStyle w:val="Rejstk2"/>
        <w:tabs>
          <w:tab w:val="right" w:leader="dot" w:pos="4171"/>
        </w:tabs>
        <w:spacing w:line="240" w:lineRule="auto"/>
      </w:pPr>
      <w:r w:rsidRPr="003D1E07">
        <w:t>Jamblichos</w:t>
      </w:r>
      <w:r w:rsidRPr="003D1E07">
        <w:tab/>
        <w:t>123, 332, 480, 486</w:t>
      </w:r>
    </w:p>
    <w:p w14:paraId="240B84DA" w14:textId="77777777" w:rsidR="00C04C0A" w:rsidRPr="003D1E07" w:rsidRDefault="00C04C0A" w:rsidP="00C04C0A">
      <w:pPr>
        <w:pStyle w:val="Rejstk2"/>
        <w:tabs>
          <w:tab w:val="right" w:leader="dot" w:pos="4171"/>
        </w:tabs>
        <w:spacing w:line="240" w:lineRule="auto"/>
      </w:pPr>
      <w:r w:rsidRPr="003D1E07">
        <w:t>Porfyrius</w:t>
      </w:r>
      <w:r w:rsidRPr="003D1E07">
        <w:tab/>
        <w:t>117, 119</w:t>
      </w:r>
    </w:p>
    <w:p w14:paraId="68F45BCF" w14:textId="77777777" w:rsidR="00C04C0A" w:rsidRPr="003D1E07" w:rsidRDefault="00C04C0A" w:rsidP="00C04C0A">
      <w:pPr>
        <w:pStyle w:val="Rejstk1"/>
        <w:tabs>
          <w:tab w:val="right" w:leader="dot" w:pos="4171"/>
        </w:tabs>
        <w:spacing w:line="240" w:lineRule="auto"/>
      </w:pPr>
      <w:r w:rsidRPr="003D1E07">
        <w:rPr>
          <w:i/>
        </w:rPr>
        <w:t>ortus scientiarum</w:t>
      </w:r>
      <w:r w:rsidRPr="003D1E07">
        <w:tab/>
        <w:t>49, 62, 65</w:t>
      </w:r>
    </w:p>
    <w:p w14:paraId="01731262" w14:textId="77777777" w:rsidR="00C04C0A" w:rsidRPr="003D1E07" w:rsidRDefault="00C04C0A" w:rsidP="00C04C0A">
      <w:pPr>
        <w:pStyle w:val="Rejstk1"/>
        <w:tabs>
          <w:tab w:val="right" w:leader="dot" w:pos="4171"/>
        </w:tabs>
        <w:spacing w:line="240" w:lineRule="auto"/>
      </w:pPr>
      <w:r w:rsidRPr="003D1E07">
        <w:t>osoba</w:t>
      </w:r>
    </w:p>
    <w:p w14:paraId="3694E895" w14:textId="77777777" w:rsidR="00C04C0A" w:rsidRPr="003D1E07" w:rsidRDefault="00C04C0A" w:rsidP="00C04C0A">
      <w:pPr>
        <w:pStyle w:val="Rejstk2"/>
        <w:tabs>
          <w:tab w:val="right" w:leader="dot" w:pos="4171"/>
        </w:tabs>
        <w:spacing w:line="240" w:lineRule="auto"/>
      </w:pPr>
      <w:r w:rsidRPr="003D1E07">
        <w:t>atomární substance</w:t>
      </w:r>
      <w:r w:rsidRPr="003D1E07">
        <w:tab/>
        <w:t>401</w:t>
      </w:r>
    </w:p>
    <w:p w14:paraId="09AB71B4" w14:textId="77777777" w:rsidR="00C04C0A" w:rsidRPr="003D1E07" w:rsidRDefault="00C04C0A" w:rsidP="00C04C0A">
      <w:pPr>
        <w:pStyle w:val="Rejstk2"/>
        <w:tabs>
          <w:tab w:val="right" w:leader="dot" w:pos="4171"/>
        </w:tabs>
        <w:spacing w:line="240" w:lineRule="auto"/>
      </w:pPr>
      <w:r w:rsidRPr="003D1E07">
        <w:rPr>
          <w:i/>
        </w:rPr>
        <w:t>Dasein</w:t>
      </w:r>
      <w:r w:rsidRPr="003D1E07">
        <w:tab/>
        <w:t>426</w:t>
      </w:r>
    </w:p>
    <w:p w14:paraId="1135AF9B" w14:textId="77777777" w:rsidR="00C04C0A" w:rsidRPr="003D1E07" w:rsidRDefault="00C04C0A" w:rsidP="00C04C0A">
      <w:pPr>
        <w:pStyle w:val="Rejstk2"/>
        <w:tabs>
          <w:tab w:val="right" w:leader="dot" w:pos="4171"/>
        </w:tabs>
        <w:spacing w:line="240" w:lineRule="auto"/>
      </w:pPr>
      <w:r w:rsidRPr="003D1E07">
        <w:t>dualismus</w:t>
      </w:r>
      <w:r w:rsidRPr="003D1E07">
        <w:tab/>
        <w:t>268</w:t>
      </w:r>
    </w:p>
    <w:p w14:paraId="539E7D09" w14:textId="77777777" w:rsidR="00C04C0A" w:rsidRPr="003D1E07" w:rsidRDefault="00C04C0A" w:rsidP="00C04C0A">
      <w:pPr>
        <w:pStyle w:val="Rejstk2"/>
        <w:tabs>
          <w:tab w:val="right" w:leader="dot" w:pos="4171"/>
        </w:tabs>
        <w:spacing w:line="240" w:lineRule="auto"/>
      </w:pPr>
      <w:r w:rsidRPr="003D1E07">
        <w:rPr>
          <w:i/>
        </w:rPr>
        <w:t>homo ipse intelligit</w:t>
      </w:r>
      <w:r w:rsidRPr="003D1E07">
        <w:tab/>
        <w:t>414</w:t>
      </w:r>
    </w:p>
    <w:p w14:paraId="022FB729" w14:textId="77777777" w:rsidR="00C04C0A" w:rsidRPr="003D1E07" w:rsidRDefault="00C04C0A" w:rsidP="00C04C0A">
      <w:pPr>
        <w:pStyle w:val="Rejstk2"/>
        <w:tabs>
          <w:tab w:val="right" w:leader="dot" w:pos="4171"/>
        </w:tabs>
        <w:spacing w:line="240" w:lineRule="auto"/>
      </w:pPr>
      <w:r w:rsidRPr="003D1E07">
        <w:lastRenderedPageBreak/>
        <w:t>individuum</w:t>
      </w:r>
      <w:r w:rsidRPr="003D1E07">
        <w:tab/>
        <w:t>407, 425</w:t>
      </w:r>
    </w:p>
    <w:p w14:paraId="7B926127" w14:textId="77777777" w:rsidR="00C04C0A" w:rsidRPr="003D1E07" w:rsidRDefault="00C04C0A" w:rsidP="00C04C0A">
      <w:pPr>
        <w:pStyle w:val="Rejstk2"/>
        <w:tabs>
          <w:tab w:val="right" w:leader="dot" w:pos="4171"/>
        </w:tabs>
        <w:spacing w:line="240" w:lineRule="auto"/>
      </w:pPr>
      <w:r w:rsidRPr="003D1E07">
        <w:t>ipseita</w:t>
      </w:r>
      <w:r w:rsidRPr="003D1E07">
        <w:tab/>
        <w:t>383, 415, 418, 434</w:t>
      </w:r>
    </w:p>
    <w:p w14:paraId="39A61D64" w14:textId="77777777" w:rsidR="00C04C0A" w:rsidRPr="003D1E07" w:rsidRDefault="00C04C0A" w:rsidP="00C04C0A">
      <w:pPr>
        <w:pStyle w:val="Rejstk2"/>
        <w:tabs>
          <w:tab w:val="right" w:leader="dot" w:pos="4171"/>
        </w:tabs>
        <w:spacing w:line="240" w:lineRule="auto"/>
      </w:pPr>
      <w:r w:rsidRPr="003D1E07">
        <w:t>objektivní</w:t>
      </w:r>
      <w:r w:rsidRPr="003D1E07">
        <w:tab/>
        <w:t>208, 410</w:t>
      </w:r>
    </w:p>
    <w:p w14:paraId="34C2586D" w14:textId="77777777" w:rsidR="00C04C0A" w:rsidRPr="003D1E07" w:rsidRDefault="00C04C0A" w:rsidP="00C04C0A">
      <w:pPr>
        <w:pStyle w:val="Rejstk2"/>
        <w:tabs>
          <w:tab w:val="right" w:leader="dot" w:pos="4171"/>
        </w:tabs>
        <w:spacing w:line="240" w:lineRule="auto"/>
      </w:pPr>
      <w:r w:rsidRPr="003D1E07">
        <w:t>pluralita substancí</w:t>
      </w:r>
      <w:r w:rsidRPr="003D1E07">
        <w:tab/>
        <w:t>378, 400, 409, 410</w:t>
      </w:r>
    </w:p>
    <w:p w14:paraId="1EC711EF" w14:textId="77777777" w:rsidR="00C04C0A" w:rsidRPr="003D1E07" w:rsidRDefault="00C04C0A" w:rsidP="00C04C0A">
      <w:pPr>
        <w:pStyle w:val="Rejstk2"/>
        <w:tabs>
          <w:tab w:val="right" w:leader="dot" w:pos="4171"/>
        </w:tabs>
        <w:spacing w:line="240" w:lineRule="auto"/>
      </w:pPr>
      <w:r w:rsidRPr="003D1E07">
        <w:t>první substance</w:t>
      </w:r>
      <w:r w:rsidRPr="003D1E07">
        <w:tab/>
        <w:t>374</w:t>
      </w:r>
    </w:p>
    <w:p w14:paraId="5607CA7A" w14:textId="77777777" w:rsidR="00C04C0A" w:rsidRPr="003D1E07" w:rsidRDefault="00C04C0A" w:rsidP="00C04C0A">
      <w:pPr>
        <w:pStyle w:val="Rejstk2"/>
        <w:tabs>
          <w:tab w:val="right" w:leader="dot" w:pos="4171"/>
        </w:tabs>
        <w:spacing w:line="240" w:lineRule="auto"/>
      </w:pPr>
      <w:r w:rsidRPr="003D1E07">
        <w:rPr>
          <w:i/>
        </w:rPr>
        <w:t>subiectum</w:t>
      </w:r>
      <w:r w:rsidRPr="003D1E07">
        <w:tab/>
        <w:t>410</w:t>
      </w:r>
    </w:p>
    <w:p w14:paraId="03EF7D32" w14:textId="77777777" w:rsidR="00C04C0A" w:rsidRPr="003D1E07" w:rsidRDefault="00C04C0A" w:rsidP="00C04C0A">
      <w:pPr>
        <w:pStyle w:val="Rejstk1"/>
        <w:tabs>
          <w:tab w:val="right" w:leader="dot" w:pos="4171"/>
        </w:tabs>
        <w:spacing w:line="240" w:lineRule="auto"/>
      </w:pPr>
      <w:r w:rsidRPr="003D1E07">
        <w:rPr>
          <w:i/>
          <w:lang w:eastAsia="en-US"/>
        </w:rPr>
        <w:t>ousía/parousía</w:t>
      </w:r>
      <w:r w:rsidRPr="003D1E07">
        <w:tab/>
        <w:t>39, 102</w:t>
      </w:r>
    </w:p>
    <w:p w14:paraId="15A29699" w14:textId="77777777" w:rsidR="00C04C0A" w:rsidRPr="003D1E07" w:rsidRDefault="00C04C0A" w:rsidP="00C04C0A">
      <w:pPr>
        <w:pStyle w:val="Rejstk1"/>
        <w:tabs>
          <w:tab w:val="right" w:leader="dot" w:pos="4171"/>
        </w:tabs>
        <w:spacing w:line="240" w:lineRule="auto"/>
      </w:pPr>
      <w:r w:rsidRPr="003D1E07">
        <w:rPr>
          <w:i/>
        </w:rPr>
        <w:t>Oxfordian Fallacy</w:t>
      </w:r>
      <w:r w:rsidRPr="003D1E07">
        <w:tab/>
        <w:t>438</w:t>
      </w:r>
    </w:p>
    <w:p w14:paraId="19781E3C" w14:textId="77777777" w:rsidR="00C04C0A" w:rsidRPr="003D1E07" w:rsidRDefault="00C04C0A" w:rsidP="00C04C0A">
      <w:pPr>
        <w:pStyle w:val="Rejstk2"/>
        <w:tabs>
          <w:tab w:val="right" w:leader="dot" w:pos="4171"/>
        </w:tabs>
        <w:spacing w:line="240" w:lineRule="auto"/>
      </w:pPr>
      <w:r w:rsidRPr="003D1E07">
        <w:t>Al-Fárábí</w:t>
      </w:r>
      <w:r w:rsidRPr="003D1E07">
        <w:tab/>
        <w:t>231</w:t>
      </w:r>
    </w:p>
    <w:p w14:paraId="302CB58C" w14:textId="77777777" w:rsidR="00C04C0A" w:rsidRPr="003D1E07" w:rsidRDefault="00C04C0A" w:rsidP="00C04C0A">
      <w:pPr>
        <w:pStyle w:val="Rejstk2"/>
        <w:tabs>
          <w:tab w:val="right" w:leader="dot" w:pos="4171"/>
        </w:tabs>
        <w:spacing w:line="240" w:lineRule="auto"/>
      </w:pPr>
      <w:r w:rsidRPr="003D1E07">
        <w:t>Avicenna</w:t>
      </w:r>
      <w:r w:rsidRPr="003D1E07">
        <w:tab/>
        <w:t>263</w:t>
      </w:r>
    </w:p>
    <w:p w14:paraId="3E3D75DB" w14:textId="77777777" w:rsidR="00C04C0A" w:rsidRPr="003D1E07" w:rsidRDefault="00C04C0A" w:rsidP="00C04C0A">
      <w:pPr>
        <w:pStyle w:val="Rejstk2"/>
        <w:tabs>
          <w:tab w:val="right" w:leader="dot" w:pos="4171"/>
        </w:tabs>
        <w:spacing w:line="240" w:lineRule="auto"/>
      </w:pPr>
      <w:r w:rsidRPr="003D1E07">
        <w:t>původ</w:t>
      </w:r>
      <w:r w:rsidRPr="003D1E07">
        <w:tab/>
        <w:t>352, 356</w:t>
      </w:r>
    </w:p>
    <w:p w14:paraId="56DF1CA9" w14:textId="77777777" w:rsidR="00C04C0A" w:rsidRPr="003D1E07" w:rsidRDefault="00C04C0A" w:rsidP="00C04C0A">
      <w:pPr>
        <w:pStyle w:val="Hlavikarejstku"/>
        <w:keepNext/>
        <w:tabs>
          <w:tab w:val="right" w:leader="dot" w:pos="4171"/>
        </w:tabs>
        <w:spacing w:line="240" w:lineRule="auto"/>
        <w:rPr>
          <w:rFonts w:eastAsia="Times New Roman" w:cs="Times New Roman"/>
          <w:b w:val="0"/>
          <w:bCs w:val="0"/>
        </w:rPr>
      </w:pPr>
      <w:r w:rsidRPr="003D1E07">
        <w:t>P</w:t>
      </w:r>
    </w:p>
    <w:p w14:paraId="485B71E3" w14:textId="77777777" w:rsidR="00C04C0A" w:rsidRPr="003D1E07" w:rsidRDefault="00C04C0A" w:rsidP="00C04C0A">
      <w:pPr>
        <w:pStyle w:val="Rejstk1"/>
        <w:tabs>
          <w:tab w:val="right" w:leader="dot" w:pos="4171"/>
        </w:tabs>
        <w:spacing w:line="240" w:lineRule="auto"/>
      </w:pPr>
      <w:r w:rsidRPr="003D1E07">
        <w:t>panteismus</w:t>
      </w:r>
      <w:r w:rsidRPr="003D1E07">
        <w:tab/>
        <w:t>329</w:t>
      </w:r>
    </w:p>
    <w:p w14:paraId="772CD9EB" w14:textId="608DA9E2" w:rsidR="00C04C0A" w:rsidRPr="003D1E07" w:rsidRDefault="00C04C0A" w:rsidP="00C04C0A">
      <w:pPr>
        <w:pStyle w:val="Rejstk1"/>
        <w:tabs>
          <w:tab w:val="right" w:leader="dot" w:pos="4171"/>
        </w:tabs>
        <w:spacing w:line="240" w:lineRule="auto"/>
      </w:pPr>
      <w:r w:rsidRPr="003D1E07">
        <w:t>Parmenides</w:t>
      </w:r>
      <w:r w:rsidR="00A82F67" w:rsidRPr="003D1E07">
        <w:t xml:space="preserve">, viz </w:t>
      </w:r>
      <w:r w:rsidR="00A82F67" w:rsidRPr="003D1E07">
        <w:rPr>
          <w:i/>
        </w:rPr>
        <w:t>Index locorum</w:t>
      </w:r>
    </w:p>
    <w:p w14:paraId="385EEDC4" w14:textId="77777777" w:rsidR="00C04C0A" w:rsidRPr="003D1E07" w:rsidRDefault="00C04C0A" w:rsidP="00C04C0A">
      <w:pPr>
        <w:pStyle w:val="Rejstk1"/>
        <w:tabs>
          <w:tab w:val="right" w:leader="dot" w:pos="4171"/>
        </w:tabs>
        <w:spacing w:line="240" w:lineRule="auto"/>
      </w:pPr>
      <w:r w:rsidRPr="003D1E07">
        <w:t>parusie</w:t>
      </w:r>
      <w:r w:rsidRPr="003D1E07">
        <w:tab/>
        <w:t>283, 460</w:t>
      </w:r>
    </w:p>
    <w:p w14:paraId="2CD45C75" w14:textId="77777777" w:rsidR="00C04C0A" w:rsidRPr="003D1E07" w:rsidRDefault="00C04C0A" w:rsidP="00C04C0A">
      <w:pPr>
        <w:pStyle w:val="Rejstk1"/>
        <w:tabs>
          <w:tab w:val="right" w:leader="dot" w:pos="4171"/>
        </w:tabs>
        <w:spacing w:line="240" w:lineRule="auto"/>
      </w:pPr>
      <w:r w:rsidRPr="003D1E07">
        <w:rPr>
          <w:i/>
        </w:rPr>
        <w:t>passio entis</w:t>
      </w:r>
      <w:r w:rsidRPr="003D1E07">
        <w:tab/>
        <w:t>239</w:t>
      </w:r>
    </w:p>
    <w:p w14:paraId="69EBCFB0" w14:textId="77777777" w:rsidR="00C04C0A" w:rsidRPr="003D1E07" w:rsidRDefault="00C04C0A" w:rsidP="00C04C0A">
      <w:pPr>
        <w:pStyle w:val="Rejstk1"/>
        <w:tabs>
          <w:tab w:val="right" w:leader="dot" w:pos="4171"/>
        </w:tabs>
        <w:spacing w:line="240" w:lineRule="auto"/>
      </w:pPr>
      <w:r w:rsidRPr="003D1E07">
        <w:rPr>
          <w:i/>
        </w:rPr>
        <w:t>passiones entis</w:t>
      </w:r>
      <w:r w:rsidRPr="003D1E07">
        <w:tab/>
        <w:t>289</w:t>
      </w:r>
    </w:p>
    <w:p w14:paraId="168B9551" w14:textId="77777777" w:rsidR="00C04C0A" w:rsidRPr="003D1E07" w:rsidRDefault="00C04C0A" w:rsidP="00C04C0A">
      <w:pPr>
        <w:pStyle w:val="Rejstk1"/>
        <w:tabs>
          <w:tab w:val="right" w:leader="dot" w:pos="4171"/>
        </w:tabs>
        <w:spacing w:line="240" w:lineRule="auto"/>
      </w:pPr>
      <w:r w:rsidRPr="003D1E07">
        <w:t>Periklés</w:t>
      </w:r>
      <w:r w:rsidRPr="003D1E07">
        <w:tab/>
        <w:t>26</w:t>
      </w:r>
    </w:p>
    <w:p w14:paraId="03EBFA01" w14:textId="77777777" w:rsidR="00C04C0A" w:rsidRPr="003D1E07" w:rsidRDefault="00C04C0A" w:rsidP="00C04C0A">
      <w:pPr>
        <w:pStyle w:val="Rejstk1"/>
        <w:tabs>
          <w:tab w:val="right" w:leader="dot" w:pos="4171"/>
        </w:tabs>
        <w:spacing w:line="240" w:lineRule="auto"/>
      </w:pPr>
      <w:r w:rsidRPr="003D1E07">
        <w:rPr>
          <w:i/>
        </w:rPr>
        <w:t>perspicuum</w:t>
      </w:r>
      <w:r w:rsidRPr="003D1E07">
        <w:tab/>
        <w:t>443, 450, 452, 454, 462, 468, 484</w:t>
      </w:r>
    </w:p>
    <w:p w14:paraId="0EE2A6F9" w14:textId="77777777" w:rsidR="00C04C0A" w:rsidRPr="003D1E07" w:rsidRDefault="00C04C0A" w:rsidP="00C04C0A">
      <w:pPr>
        <w:pStyle w:val="Rejstk1"/>
        <w:tabs>
          <w:tab w:val="right" w:leader="dot" w:pos="4171"/>
        </w:tabs>
        <w:spacing w:line="240" w:lineRule="auto"/>
      </w:pPr>
      <w:r w:rsidRPr="003D1E07">
        <w:t>Petritsi, Ioane</w:t>
      </w:r>
      <w:r w:rsidRPr="003D1E07">
        <w:tab/>
        <w:t>239</w:t>
      </w:r>
    </w:p>
    <w:p w14:paraId="282C512F" w14:textId="144A6ECF" w:rsidR="00C04C0A" w:rsidRPr="003D1E07" w:rsidRDefault="00C04C0A" w:rsidP="00C04C0A">
      <w:pPr>
        <w:pStyle w:val="Rejstk1"/>
        <w:tabs>
          <w:tab w:val="right" w:leader="dot" w:pos="4171"/>
        </w:tabs>
        <w:spacing w:line="240" w:lineRule="auto"/>
      </w:pPr>
      <w:r w:rsidRPr="003D1E07">
        <w:t>Platon</w:t>
      </w:r>
      <w:r w:rsidR="00A82F67" w:rsidRPr="003D1E07">
        <w:t xml:space="preserve">, viz </w:t>
      </w:r>
      <w:r w:rsidR="00A82F67" w:rsidRPr="003D1E07">
        <w:rPr>
          <w:i/>
        </w:rPr>
        <w:t>Index locorum</w:t>
      </w:r>
    </w:p>
    <w:p w14:paraId="18DB540D" w14:textId="0303AE7C" w:rsidR="00C04C0A" w:rsidRPr="003D1E07" w:rsidRDefault="00C04C0A" w:rsidP="00C04C0A">
      <w:pPr>
        <w:pStyle w:val="Rejstk1"/>
        <w:tabs>
          <w:tab w:val="right" w:leader="dot" w:pos="4171"/>
        </w:tabs>
        <w:spacing w:line="240" w:lineRule="auto"/>
      </w:pPr>
      <w:r w:rsidRPr="003D1E07">
        <w:t>Plotinos</w:t>
      </w:r>
      <w:r w:rsidR="00A82F67" w:rsidRPr="003D1E07">
        <w:t xml:space="preserve">, viz </w:t>
      </w:r>
      <w:r w:rsidR="00A82F67" w:rsidRPr="003D1E07">
        <w:rPr>
          <w:i/>
        </w:rPr>
        <w:t>Index locorum</w:t>
      </w:r>
    </w:p>
    <w:p w14:paraId="435A9D1F" w14:textId="132849E6" w:rsidR="00C04C0A" w:rsidRPr="003D1E07" w:rsidRDefault="00C04C0A" w:rsidP="00C04C0A">
      <w:pPr>
        <w:pStyle w:val="Rejstk1"/>
        <w:tabs>
          <w:tab w:val="right" w:leader="dot" w:pos="4171"/>
        </w:tabs>
        <w:spacing w:line="240" w:lineRule="auto"/>
      </w:pPr>
      <w:r w:rsidRPr="003D1E07">
        <w:t>Plutarchos</w:t>
      </w:r>
      <w:r w:rsidR="00A82F67" w:rsidRPr="003D1E07">
        <w:t xml:space="preserve">, viz </w:t>
      </w:r>
      <w:r w:rsidR="00A82F67" w:rsidRPr="003D1E07">
        <w:rPr>
          <w:i/>
        </w:rPr>
        <w:t>Index locorum</w:t>
      </w:r>
    </w:p>
    <w:p w14:paraId="7431AC21" w14:textId="77777777" w:rsidR="00C04C0A" w:rsidRPr="003D1E07" w:rsidRDefault="00C04C0A" w:rsidP="00C04C0A">
      <w:pPr>
        <w:pStyle w:val="Rejstk1"/>
        <w:tabs>
          <w:tab w:val="right" w:leader="dot" w:pos="4171"/>
        </w:tabs>
        <w:spacing w:line="240" w:lineRule="auto"/>
      </w:pPr>
      <w:r w:rsidRPr="003D1E07">
        <w:t>Popper, K. R.</w:t>
      </w:r>
      <w:r w:rsidRPr="003D1E07">
        <w:tab/>
        <w:t>3</w:t>
      </w:r>
    </w:p>
    <w:p w14:paraId="30A570D0" w14:textId="19D094AB" w:rsidR="00C04C0A" w:rsidRPr="003D1E07" w:rsidRDefault="00C04C0A" w:rsidP="00C04C0A">
      <w:pPr>
        <w:pStyle w:val="Rejstk1"/>
        <w:tabs>
          <w:tab w:val="right" w:leader="dot" w:pos="4171"/>
        </w:tabs>
        <w:spacing w:line="240" w:lineRule="auto"/>
      </w:pPr>
      <w:r w:rsidRPr="003D1E07">
        <w:t>Porfyrius</w:t>
      </w:r>
      <w:r w:rsidRPr="003D1E07">
        <w:tab/>
      </w:r>
      <w:r w:rsidR="00A82F67" w:rsidRPr="003D1E07">
        <w:t xml:space="preserve">viz </w:t>
      </w:r>
      <w:r w:rsidR="00A82F67" w:rsidRPr="003D1E07">
        <w:rPr>
          <w:i/>
        </w:rPr>
        <w:t>Index locorum</w:t>
      </w:r>
      <w:r w:rsidR="00A82F67" w:rsidRPr="003D1E07">
        <w:t xml:space="preserve">, </w:t>
      </w:r>
      <w:r w:rsidRPr="003D1E07">
        <w:t>107, 126, 130, 319</w:t>
      </w:r>
    </w:p>
    <w:p w14:paraId="2D4D4C7C" w14:textId="77777777" w:rsidR="00C04C0A" w:rsidRPr="003D1E07" w:rsidRDefault="00C04C0A" w:rsidP="00C04C0A">
      <w:pPr>
        <w:pStyle w:val="Rejstk1"/>
        <w:tabs>
          <w:tab w:val="right" w:leader="dot" w:pos="4171"/>
        </w:tabs>
        <w:spacing w:line="240" w:lineRule="auto"/>
      </w:pPr>
      <w:r w:rsidRPr="003D1E07">
        <w:rPr>
          <w:i/>
        </w:rPr>
        <w:t>positum</w:t>
      </w:r>
      <w:r w:rsidRPr="003D1E07">
        <w:tab/>
        <w:t>60</w:t>
      </w:r>
    </w:p>
    <w:p w14:paraId="097C074B" w14:textId="77777777" w:rsidR="00C04C0A" w:rsidRPr="003D1E07" w:rsidRDefault="00C04C0A" w:rsidP="00C04C0A">
      <w:pPr>
        <w:pStyle w:val="Rejstk1"/>
        <w:tabs>
          <w:tab w:val="right" w:leader="dot" w:pos="4171"/>
        </w:tabs>
        <w:spacing w:line="240" w:lineRule="auto"/>
      </w:pPr>
      <w:r w:rsidRPr="003D1E07">
        <w:rPr>
          <w:i/>
        </w:rPr>
        <w:t>postpraedicamenta</w:t>
      </w:r>
      <w:r w:rsidRPr="003D1E07">
        <w:tab/>
        <w:t>144</w:t>
      </w:r>
    </w:p>
    <w:p w14:paraId="76307E57" w14:textId="77777777" w:rsidR="00C04C0A" w:rsidRPr="003D1E07" w:rsidRDefault="00C04C0A" w:rsidP="00C04C0A">
      <w:pPr>
        <w:pStyle w:val="Rejstk1"/>
        <w:tabs>
          <w:tab w:val="right" w:leader="dot" w:pos="4171"/>
        </w:tabs>
        <w:spacing w:line="240" w:lineRule="auto"/>
      </w:pPr>
      <w:r w:rsidRPr="003D1E07">
        <w:rPr>
          <w:i/>
        </w:rPr>
        <w:t>post-truths</w:t>
      </w:r>
      <w:r w:rsidRPr="003D1E07">
        <w:tab/>
        <w:t>7</w:t>
      </w:r>
    </w:p>
    <w:p w14:paraId="3D6BD55A" w14:textId="77777777" w:rsidR="00C04C0A" w:rsidRPr="003D1E07" w:rsidRDefault="00C04C0A" w:rsidP="00C04C0A">
      <w:pPr>
        <w:pStyle w:val="Rejstk1"/>
        <w:tabs>
          <w:tab w:val="right" w:leader="dot" w:pos="4171"/>
        </w:tabs>
        <w:spacing w:line="240" w:lineRule="auto"/>
      </w:pPr>
      <w:r w:rsidRPr="003D1E07">
        <w:t>pravda</w:t>
      </w:r>
    </w:p>
    <w:p w14:paraId="6CE4C060" w14:textId="77777777" w:rsidR="00C04C0A" w:rsidRPr="003D1E07" w:rsidRDefault="00C04C0A" w:rsidP="00C04C0A">
      <w:pPr>
        <w:pStyle w:val="Rejstk2"/>
        <w:tabs>
          <w:tab w:val="right" w:leader="dot" w:pos="4171"/>
        </w:tabs>
        <w:spacing w:line="240" w:lineRule="auto"/>
      </w:pPr>
      <w:r w:rsidRPr="003D1E07">
        <w:rPr>
          <w:i/>
          <w:lang w:eastAsia="en-US"/>
        </w:rPr>
        <w:t>a/létheia</w:t>
      </w:r>
      <w:r w:rsidRPr="003D1E07">
        <w:tab/>
        <w:t>66</w:t>
      </w:r>
    </w:p>
    <w:p w14:paraId="1EB5052F" w14:textId="77777777" w:rsidR="00C04C0A" w:rsidRPr="003D1E07" w:rsidRDefault="00C04C0A" w:rsidP="00C04C0A">
      <w:pPr>
        <w:pStyle w:val="Rejstk2"/>
        <w:tabs>
          <w:tab w:val="right" w:leader="dot" w:pos="4171"/>
        </w:tabs>
        <w:spacing w:line="240" w:lineRule="auto"/>
      </w:pPr>
      <w:r w:rsidRPr="003D1E07">
        <w:rPr>
          <w:i/>
        </w:rPr>
        <w:t>adaequatio</w:t>
      </w:r>
      <w:r w:rsidRPr="003D1E07">
        <w:tab/>
        <w:t>302, 435, 462</w:t>
      </w:r>
    </w:p>
    <w:p w14:paraId="21949B8A" w14:textId="77777777" w:rsidR="00C04C0A" w:rsidRPr="003D1E07" w:rsidRDefault="00C04C0A" w:rsidP="00C04C0A">
      <w:pPr>
        <w:pStyle w:val="Rejstk2"/>
        <w:tabs>
          <w:tab w:val="right" w:leader="dot" w:pos="4171"/>
        </w:tabs>
        <w:spacing w:line="240" w:lineRule="auto"/>
      </w:pPr>
      <w:r w:rsidRPr="003D1E07">
        <w:t>Al-Fárábí</w:t>
      </w:r>
      <w:r w:rsidRPr="003D1E07">
        <w:tab/>
        <w:t>301</w:t>
      </w:r>
    </w:p>
    <w:p w14:paraId="5D1FD133" w14:textId="77777777" w:rsidR="00C04C0A" w:rsidRPr="003D1E07" w:rsidRDefault="00C04C0A" w:rsidP="00C04C0A">
      <w:pPr>
        <w:pStyle w:val="Rejstk2"/>
        <w:tabs>
          <w:tab w:val="right" w:leader="dot" w:pos="4171"/>
        </w:tabs>
        <w:spacing w:line="240" w:lineRule="auto"/>
      </w:pPr>
      <w:r w:rsidRPr="003D1E07">
        <w:t>archaická</w:t>
      </w:r>
      <w:r w:rsidRPr="003D1E07">
        <w:tab/>
        <w:t>6</w:t>
      </w:r>
    </w:p>
    <w:p w14:paraId="28A98A17" w14:textId="77777777" w:rsidR="00C04C0A" w:rsidRPr="003D1E07" w:rsidRDefault="00C04C0A" w:rsidP="00C04C0A">
      <w:pPr>
        <w:pStyle w:val="Rejstk2"/>
        <w:tabs>
          <w:tab w:val="right" w:leader="dot" w:pos="4171"/>
        </w:tabs>
        <w:spacing w:line="240" w:lineRule="auto"/>
      </w:pPr>
      <w:r w:rsidRPr="003D1E07">
        <w:t>Aristoteles</w:t>
      </w:r>
      <w:r w:rsidRPr="003D1E07">
        <w:tab/>
        <w:t>201</w:t>
      </w:r>
    </w:p>
    <w:p w14:paraId="0B2351CD" w14:textId="77777777" w:rsidR="00C04C0A" w:rsidRPr="003D1E07" w:rsidRDefault="00C04C0A" w:rsidP="00C04C0A">
      <w:pPr>
        <w:pStyle w:val="Rejstk2"/>
        <w:tabs>
          <w:tab w:val="right" w:leader="dot" w:pos="4171"/>
        </w:tabs>
        <w:spacing w:line="240" w:lineRule="auto"/>
      </w:pPr>
      <w:r w:rsidRPr="003D1E07">
        <w:t>asimilace</w:t>
      </w:r>
      <w:r w:rsidRPr="003D1E07">
        <w:tab/>
        <w:t>461</w:t>
      </w:r>
    </w:p>
    <w:p w14:paraId="6505D6D9" w14:textId="77777777" w:rsidR="00C04C0A" w:rsidRPr="003D1E07" w:rsidRDefault="00C04C0A" w:rsidP="00C04C0A">
      <w:pPr>
        <w:pStyle w:val="Rejstk2"/>
        <w:tabs>
          <w:tab w:val="right" w:leader="dot" w:pos="4171"/>
        </w:tabs>
        <w:spacing w:line="240" w:lineRule="auto"/>
      </w:pPr>
      <w:r w:rsidRPr="003D1E07">
        <w:t>Avicenna</w:t>
      </w:r>
      <w:r w:rsidRPr="003D1E07">
        <w:tab/>
        <w:t>298</w:t>
      </w:r>
    </w:p>
    <w:p w14:paraId="2C103792" w14:textId="77777777" w:rsidR="00C04C0A" w:rsidRPr="003D1E07" w:rsidRDefault="00C04C0A" w:rsidP="00C04C0A">
      <w:pPr>
        <w:pStyle w:val="Rejstk2"/>
        <w:tabs>
          <w:tab w:val="right" w:leader="dot" w:pos="4171"/>
        </w:tabs>
        <w:spacing w:line="240" w:lineRule="auto"/>
      </w:pPr>
      <w:r w:rsidRPr="003D1E07">
        <w:rPr>
          <w:i/>
        </w:rPr>
        <w:t>Bildung</w:t>
      </w:r>
      <w:r w:rsidRPr="003D1E07">
        <w:tab/>
        <w:t>196, 359, 407</w:t>
      </w:r>
    </w:p>
    <w:p w14:paraId="0530B5BB" w14:textId="77777777" w:rsidR="00C04C0A" w:rsidRPr="003D1E07" w:rsidRDefault="00C04C0A" w:rsidP="00C04C0A">
      <w:pPr>
        <w:pStyle w:val="Rejstk2"/>
        <w:tabs>
          <w:tab w:val="right" w:leader="dot" w:pos="4171"/>
        </w:tabs>
        <w:spacing w:line="240" w:lineRule="auto"/>
      </w:pPr>
      <w:r w:rsidRPr="003D1E07">
        <w:rPr>
          <w:i/>
        </w:rPr>
        <w:t>certitudo</w:t>
      </w:r>
      <w:r w:rsidRPr="003D1E07">
        <w:tab/>
        <w:t>281, 284, 303, 334</w:t>
      </w:r>
    </w:p>
    <w:p w14:paraId="38B88AAB" w14:textId="77777777" w:rsidR="00C04C0A" w:rsidRPr="003D1E07" w:rsidRDefault="00C04C0A" w:rsidP="00C04C0A">
      <w:pPr>
        <w:pStyle w:val="Rejstk2"/>
        <w:tabs>
          <w:tab w:val="right" w:leader="dot" w:pos="4171"/>
        </w:tabs>
        <w:spacing w:line="240" w:lineRule="auto"/>
      </w:pPr>
      <w:r w:rsidRPr="003D1E07">
        <w:rPr>
          <w:i/>
        </w:rPr>
        <w:t>coaequatio</w:t>
      </w:r>
      <w:r w:rsidRPr="003D1E07">
        <w:tab/>
        <w:t>299, 385, 449</w:t>
      </w:r>
    </w:p>
    <w:p w14:paraId="1AACA3C1" w14:textId="77777777" w:rsidR="00C04C0A" w:rsidRPr="003D1E07" w:rsidRDefault="00C04C0A" w:rsidP="00C04C0A">
      <w:pPr>
        <w:pStyle w:val="Rejstk2"/>
        <w:tabs>
          <w:tab w:val="right" w:leader="dot" w:pos="4171"/>
        </w:tabs>
        <w:spacing w:line="240" w:lineRule="auto"/>
      </w:pPr>
      <w:r w:rsidRPr="003D1E07">
        <w:rPr>
          <w:i/>
        </w:rPr>
        <w:t>das Offene</w:t>
      </w:r>
      <w:r w:rsidRPr="003D1E07">
        <w:tab/>
        <w:t>61</w:t>
      </w:r>
    </w:p>
    <w:p w14:paraId="6C12F096" w14:textId="77777777" w:rsidR="00C04C0A" w:rsidRPr="003D1E07" w:rsidRDefault="00C04C0A" w:rsidP="00C04C0A">
      <w:pPr>
        <w:pStyle w:val="Rejstk2"/>
        <w:tabs>
          <w:tab w:val="right" w:leader="dot" w:pos="4171"/>
        </w:tabs>
        <w:spacing w:line="240" w:lineRule="auto"/>
      </w:pPr>
      <w:r w:rsidRPr="003D1E07">
        <w:rPr>
          <w:i/>
        </w:rPr>
        <w:t>dispositio</w:t>
      </w:r>
      <w:r w:rsidRPr="003D1E07">
        <w:tab/>
        <w:t>377</w:t>
      </w:r>
    </w:p>
    <w:p w14:paraId="2DA4A3A7" w14:textId="77777777" w:rsidR="00C04C0A" w:rsidRPr="003D1E07" w:rsidRDefault="00C04C0A" w:rsidP="00C04C0A">
      <w:pPr>
        <w:pStyle w:val="Rejstk2"/>
        <w:tabs>
          <w:tab w:val="right" w:leader="dot" w:pos="4171"/>
        </w:tabs>
        <w:spacing w:line="240" w:lineRule="auto"/>
      </w:pPr>
      <w:r w:rsidRPr="003D1E07">
        <w:t>múzická</w:t>
      </w:r>
      <w:r w:rsidRPr="003D1E07">
        <w:tab/>
        <w:t>8, 75</w:t>
      </w:r>
    </w:p>
    <w:p w14:paraId="20270C92" w14:textId="77777777" w:rsidR="00C04C0A" w:rsidRPr="003D1E07" w:rsidRDefault="00C04C0A" w:rsidP="00C04C0A">
      <w:pPr>
        <w:pStyle w:val="Rejstk2"/>
        <w:tabs>
          <w:tab w:val="right" w:leader="dot" w:pos="4171"/>
        </w:tabs>
        <w:spacing w:line="240" w:lineRule="auto"/>
      </w:pPr>
      <w:r w:rsidRPr="003D1E07">
        <w:t>odkrytost</w:t>
      </w:r>
      <w:r w:rsidRPr="003D1E07">
        <w:tab/>
        <w:t>461</w:t>
      </w:r>
    </w:p>
    <w:p w14:paraId="1519FAC8" w14:textId="77777777" w:rsidR="00C04C0A" w:rsidRPr="003D1E07" w:rsidRDefault="00C04C0A" w:rsidP="00C04C0A">
      <w:pPr>
        <w:pStyle w:val="Rejstk2"/>
        <w:tabs>
          <w:tab w:val="right" w:leader="dot" w:pos="4171"/>
        </w:tabs>
        <w:spacing w:line="240" w:lineRule="auto"/>
      </w:pPr>
      <w:r w:rsidRPr="003D1E07">
        <w:t>Platonova jeskyně</w:t>
      </w:r>
      <w:r w:rsidRPr="003D1E07">
        <w:tab/>
        <w:t>28</w:t>
      </w:r>
    </w:p>
    <w:p w14:paraId="20B697E9" w14:textId="77777777" w:rsidR="00C04C0A" w:rsidRPr="003D1E07" w:rsidRDefault="00C04C0A" w:rsidP="00C04C0A">
      <w:pPr>
        <w:pStyle w:val="Rejstk2"/>
        <w:tabs>
          <w:tab w:val="right" w:leader="dot" w:pos="4171"/>
        </w:tabs>
        <w:spacing w:line="240" w:lineRule="auto"/>
      </w:pPr>
      <w:r w:rsidRPr="003D1E07">
        <w:t>po-odkrytost</w:t>
      </w:r>
      <w:r w:rsidRPr="003D1E07">
        <w:tab/>
        <w:t>55, 56, 360, 435</w:t>
      </w:r>
    </w:p>
    <w:p w14:paraId="17EE838A" w14:textId="77777777" w:rsidR="00C04C0A" w:rsidRPr="003D1E07" w:rsidRDefault="00C04C0A" w:rsidP="00C04C0A">
      <w:pPr>
        <w:pStyle w:val="Rejstk2"/>
        <w:tabs>
          <w:tab w:val="right" w:leader="dot" w:pos="4171"/>
        </w:tabs>
        <w:spacing w:line="240" w:lineRule="auto"/>
      </w:pPr>
      <w:r w:rsidRPr="003D1E07">
        <w:rPr>
          <w:i/>
        </w:rPr>
        <w:t>proportio</w:t>
      </w:r>
      <w:r w:rsidRPr="003D1E07">
        <w:tab/>
        <w:t>376, 386, 389, 423, 435, 438, 449, 463, 467, 481</w:t>
      </w:r>
    </w:p>
    <w:p w14:paraId="3438F9F5" w14:textId="77777777" w:rsidR="00C04C0A" w:rsidRPr="003D1E07" w:rsidRDefault="00C04C0A" w:rsidP="00C04C0A">
      <w:pPr>
        <w:pStyle w:val="Rejstk2"/>
        <w:tabs>
          <w:tab w:val="right" w:leader="dot" w:pos="4171"/>
        </w:tabs>
        <w:spacing w:line="240" w:lineRule="auto"/>
      </w:pPr>
      <w:r w:rsidRPr="003D1E07">
        <w:rPr>
          <w:i/>
        </w:rPr>
        <w:t>rectitudo</w:t>
      </w:r>
      <w:r w:rsidRPr="003D1E07">
        <w:tab/>
        <w:t>151, 283</w:t>
      </w:r>
    </w:p>
    <w:p w14:paraId="08DA0805" w14:textId="77777777" w:rsidR="00C04C0A" w:rsidRPr="003D1E07" w:rsidRDefault="00C04C0A" w:rsidP="00C04C0A">
      <w:pPr>
        <w:pStyle w:val="Rejstk2"/>
        <w:tabs>
          <w:tab w:val="right" w:leader="dot" w:pos="4171"/>
        </w:tabs>
        <w:spacing w:line="240" w:lineRule="auto"/>
      </w:pPr>
      <w:r w:rsidRPr="003D1E07">
        <w:rPr>
          <w:i/>
        </w:rPr>
        <w:t>semel‒semper</w:t>
      </w:r>
      <w:r w:rsidRPr="003D1E07">
        <w:tab/>
        <w:t>299</w:t>
      </w:r>
    </w:p>
    <w:p w14:paraId="2F725D64" w14:textId="77777777" w:rsidR="00C04C0A" w:rsidRPr="003D1E07" w:rsidRDefault="00C04C0A" w:rsidP="00C04C0A">
      <w:pPr>
        <w:pStyle w:val="Rejstk2"/>
        <w:tabs>
          <w:tab w:val="right" w:leader="dot" w:pos="4171"/>
        </w:tabs>
        <w:spacing w:line="240" w:lineRule="auto"/>
      </w:pPr>
      <w:r w:rsidRPr="003D1E07">
        <w:rPr>
          <w:i/>
        </w:rPr>
        <w:t>similitudo</w:t>
      </w:r>
      <w:r w:rsidRPr="003D1E07">
        <w:tab/>
        <w:t>377, 450</w:t>
      </w:r>
    </w:p>
    <w:p w14:paraId="51759A4C" w14:textId="77777777" w:rsidR="00C04C0A" w:rsidRPr="003D1E07" w:rsidRDefault="00C04C0A" w:rsidP="00C04C0A">
      <w:pPr>
        <w:pStyle w:val="Rejstk2"/>
        <w:tabs>
          <w:tab w:val="right" w:leader="dot" w:pos="4171"/>
        </w:tabs>
        <w:spacing w:line="240" w:lineRule="auto"/>
      </w:pPr>
      <w:r w:rsidRPr="003D1E07">
        <w:t>transcendentália</w:t>
      </w:r>
      <w:r w:rsidRPr="003D1E07">
        <w:tab/>
        <w:t>180, 336</w:t>
      </w:r>
    </w:p>
    <w:p w14:paraId="27AD2EB3" w14:textId="77777777" w:rsidR="00C04C0A" w:rsidRPr="003D1E07" w:rsidRDefault="00C04C0A" w:rsidP="00C04C0A">
      <w:pPr>
        <w:pStyle w:val="Rejstk2"/>
        <w:tabs>
          <w:tab w:val="right" w:leader="dot" w:pos="4171"/>
        </w:tabs>
        <w:spacing w:line="240" w:lineRule="auto"/>
      </w:pPr>
      <w:r w:rsidRPr="003D1E07">
        <w:rPr>
          <w:i/>
        </w:rPr>
        <w:t>veritas</w:t>
      </w:r>
      <w:r w:rsidRPr="003D1E07">
        <w:tab/>
        <w:t>29, 30, 34, 474</w:t>
      </w:r>
    </w:p>
    <w:p w14:paraId="39E561BE" w14:textId="77777777" w:rsidR="00C04C0A" w:rsidRPr="003D1E07" w:rsidRDefault="00C04C0A" w:rsidP="00C04C0A">
      <w:pPr>
        <w:pStyle w:val="Rejstk2"/>
        <w:tabs>
          <w:tab w:val="right" w:leader="dot" w:pos="4171"/>
        </w:tabs>
        <w:spacing w:line="240" w:lineRule="auto"/>
      </w:pPr>
      <w:r w:rsidRPr="003D1E07">
        <w:rPr>
          <w:i/>
        </w:rPr>
        <w:t>verum</w:t>
      </w:r>
      <w:r w:rsidRPr="003D1E07">
        <w:tab/>
        <w:t>31</w:t>
      </w:r>
    </w:p>
    <w:p w14:paraId="2FE39243" w14:textId="77777777" w:rsidR="00C04C0A" w:rsidRPr="003D1E07" w:rsidRDefault="00C04C0A" w:rsidP="00C04C0A">
      <w:pPr>
        <w:pStyle w:val="Rejstk1"/>
        <w:tabs>
          <w:tab w:val="right" w:leader="dot" w:pos="4171"/>
        </w:tabs>
        <w:spacing w:line="240" w:lineRule="auto"/>
      </w:pPr>
      <w:r w:rsidRPr="003D1E07">
        <w:t>predikace</w:t>
      </w:r>
    </w:p>
    <w:p w14:paraId="486EDED2" w14:textId="77777777" w:rsidR="00C04C0A" w:rsidRPr="003D1E07" w:rsidRDefault="00C04C0A" w:rsidP="00C04C0A">
      <w:pPr>
        <w:pStyle w:val="Rejstk2"/>
        <w:tabs>
          <w:tab w:val="right" w:leader="dot" w:pos="4171"/>
        </w:tabs>
        <w:spacing w:line="240" w:lineRule="auto"/>
      </w:pPr>
      <w:r w:rsidRPr="003D1E07">
        <w:rPr>
          <w:i/>
        </w:rPr>
        <w:t>ad modum universalis</w:t>
      </w:r>
      <w:r w:rsidRPr="003D1E07">
        <w:tab/>
        <w:t>331</w:t>
      </w:r>
    </w:p>
    <w:p w14:paraId="6066E6E5" w14:textId="77777777" w:rsidR="00C04C0A" w:rsidRPr="003D1E07" w:rsidRDefault="00C04C0A" w:rsidP="00C04C0A">
      <w:pPr>
        <w:pStyle w:val="Rejstk2"/>
        <w:tabs>
          <w:tab w:val="right" w:leader="dot" w:pos="4171"/>
        </w:tabs>
        <w:spacing w:line="240" w:lineRule="auto"/>
      </w:pPr>
      <w:r w:rsidRPr="003D1E07">
        <w:rPr>
          <w:rFonts w:eastAsia="NewAster"/>
          <w:i/>
        </w:rPr>
        <w:t>ad unum</w:t>
      </w:r>
      <w:r w:rsidRPr="003D1E07">
        <w:tab/>
        <w:t>309</w:t>
      </w:r>
    </w:p>
    <w:p w14:paraId="66B4B967" w14:textId="77777777" w:rsidR="00C04C0A" w:rsidRPr="003D1E07" w:rsidRDefault="00C04C0A" w:rsidP="00C04C0A">
      <w:pPr>
        <w:pStyle w:val="Rejstk2"/>
        <w:tabs>
          <w:tab w:val="right" w:leader="dot" w:pos="4171"/>
        </w:tabs>
        <w:spacing w:line="240" w:lineRule="auto"/>
      </w:pPr>
      <w:r w:rsidRPr="003D1E07">
        <w:t>akcidenciální</w:t>
      </w:r>
      <w:r w:rsidRPr="003D1E07">
        <w:tab/>
        <w:t>141</w:t>
      </w:r>
    </w:p>
    <w:p w14:paraId="3E3998EF" w14:textId="77777777" w:rsidR="00C04C0A" w:rsidRPr="003D1E07" w:rsidRDefault="00C04C0A" w:rsidP="00C04C0A">
      <w:pPr>
        <w:pStyle w:val="Rejstk2"/>
        <w:tabs>
          <w:tab w:val="right" w:leader="dot" w:pos="4171"/>
        </w:tabs>
        <w:spacing w:line="240" w:lineRule="auto"/>
      </w:pPr>
      <w:r w:rsidRPr="003D1E07">
        <w:t>Al-Fárábí</w:t>
      </w:r>
      <w:r w:rsidRPr="003D1E07">
        <w:tab/>
        <w:t>177, 182</w:t>
      </w:r>
    </w:p>
    <w:p w14:paraId="42ACCD9C" w14:textId="77777777" w:rsidR="00C04C0A" w:rsidRPr="003D1E07" w:rsidRDefault="00C04C0A" w:rsidP="00C04C0A">
      <w:pPr>
        <w:pStyle w:val="Rejstk2"/>
        <w:tabs>
          <w:tab w:val="right" w:leader="dot" w:pos="4171"/>
        </w:tabs>
        <w:spacing w:line="240" w:lineRule="auto"/>
      </w:pPr>
      <w:r w:rsidRPr="003D1E07">
        <w:t>amfibolní</w:t>
      </w:r>
      <w:r w:rsidRPr="003D1E07">
        <w:tab/>
        <w:t>223, 225, 235, 243, 262, 276, 279, 280, 285, 309, 336, 477</w:t>
      </w:r>
    </w:p>
    <w:p w14:paraId="7A58A9C4" w14:textId="77777777" w:rsidR="00C04C0A" w:rsidRPr="003D1E07" w:rsidRDefault="00C04C0A" w:rsidP="00C04C0A">
      <w:pPr>
        <w:pStyle w:val="Rejstk2"/>
        <w:tabs>
          <w:tab w:val="right" w:leader="dot" w:pos="4171"/>
        </w:tabs>
        <w:spacing w:line="240" w:lineRule="auto"/>
      </w:pPr>
      <w:r w:rsidRPr="003D1E07">
        <w:lastRenderedPageBreak/>
        <w:t>Ammonius</w:t>
      </w:r>
      <w:r w:rsidRPr="003D1E07">
        <w:tab/>
        <w:t>145</w:t>
      </w:r>
    </w:p>
    <w:p w14:paraId="3675CB13" w14:textId="77777777" w:rsidR="00C04C0A" w:rsidRPr="003D1E07" w:rsidRDefault="00C04C0A" w:rsidP="00C04C0A">
      <w:pPr>
        <w:pStyle w:val="Rejstk2"/>
        <w:tabs>
          <w:tab w:val="right" w:leader="dot" w:pos="4171"/>
        </w:tabs>
        <w:spacing w:line="240" w:lineRule="auto"/>
      </w:pPr>
      <w:r w:rsidRPr="003D1E07">
        <w:t>analogická</w:t>
      </w:r>
      <w:r w:rsidRPr="003D1E07">
        <w:tab/>
        <w:t>365, 373</w:t>
      </w:r>
    </w:p>
    <w:p w14:paraId="5FFC6FF1" w14:textId="77777777" w:rsidR="00C04C0A" w:rsidRPr="003D1E07" w:rsidRDefault="00C04C0A" w:rsidP="00C04C0A">
      <w:pPr>
        <w:pStyle w:val="Rejstk2"/>
        <w:tabs>
          <w:tab w:val="right" w:leader="dot" w:pos="4171"/>
        </w:tabs>
        <w:spacing w:line="240" w:lineRule="auto"/>
      </w:pPr>
      <w:r w:rsidRPr="003D1E07">
        <w:t>Averroes</w:t>
      </w:r>
      <w:r w:rsidRPr="003D1E07">
        <w:tab/>
        <w:t>362</w:t>
      </w:r>
    </w:p>
    <w:p w14:paraId="725F5ACC" w14:textId="77777777" w:rsidR="00C04C0A" w:rsidRPr="003D1E07" w:rsidRDefault="00C04C0A" w:rsidP="00C04C0A">
      <w:pPr>
        <w:pStyle w:val="Rejstk2"/>
        <w:tabs>
          <w:tab w:val="right" w:leader="dot" w:pos="4171"/>
        </w:tabs>
        <w:spacing w:line="240" w:lineRule="auto"/>
      </w:pPr>
      <w:r w:rsidRPr="003D1E07">
        <w:t>běloba</w:t>
      </w:r>
      <w:r w:rsidRPr="003D1E07">
        <w:tab/>
        <w:t>144, 280</w:t>
      </w:r>
    </w:p>
    <w:p w14:paraId="4F2B33AD" w14:textId="77777777" w:rsidR="00C04C0A" w:rsidRPr="003D1E07" w:rsidRDefault="00C04C0A" w:rsidP="00C04C0A">
      <w:pPr>
        <w:pStyle w:val="Rejstk2"/>
        <w:tabs>
          <w:tab w:val="right" w:leader="dot" w:pos="4171"/>
        </w:tabs>
        <w:spacing w:line="240" w:lineRule="auto"/>
      </w:pPr>
      <w:r w:rsidRPr="003D1E07">
        <w:t>hyparchická</w:t>
      </w:r>
      <w:r w:rsidRPr="003D1E07">
        <w:tab/>
        <w:t>85, 93, 116, 118, 182, 370</w:t>
      </w:r>
    </w:p>
    <w:p w14:paraId="476A5F85" w14:textId="77777777" w:rsidR="00C04C0A" w:rsidRPr="003D1E07" w:rsidRDefault="00C04C0A" w:rsidP="00C04C0A">
      <w:pPr>
        <w:pStyle w:val="Rejstk2"/>
        <w:tabs>
          <w:tab w:val="right" w:leader="dot" w:pos="4171"/>
        </w:tabs>
        <w:spacing w:line="240" w:lineRule="auto"/>
      </w:pPr>
      <w:r w:rsidRPr="003D1E07">
        <w:rPr>
          <w:i/>
        </w:rPr>
        <w:t>in artificialibus</w:t>
      </w:r>
      <w:r w:rsidRPr="003D1E07">
        <w:tab/>
        <w:t>199, 206, 309, 325, 382, 487</w:t>
      </w:r>
    </w:p>
    <w:p w14:paraId="56DF4BD4" w14:textId="77777777" w:rsidR="00C04C0A" w:rsidRPr="003D1E07" w:rsidRDefault="00C04C0A" w:rsidP="00C04C0A">
      <w:pPr>
        <w:pStyle w:val="Rejstk2"/>
        <w:tabs>
          <w:tab w:val="right" w:leader="dot" w:pos="4171"/>
        </w:tabs>
        <w:spacing w:line="240" w:lineRule="auto"/>
      </w:pPr>
      <w:r w:rsidRPr="003D1E07">
        <w:t>konkrétní</w:t>
      </w:r>
      <w:r w:rsidRPr="003D1E07">
        <w:tab/>
        <w:t>297</w:t>
      </w:r>
    </w:p>
    <w:p w14:paraId="4F6CEE0A" w14:textId="77777777" w:rsidR="00C04C0A" w:rsidRPr="003D1E07" w:rsidRDefault="00C04C0A" w:rsidP="00C04C0A">
      <w:pPr>
        <w:pStyle w:val="Rejstk2"/>
        <w:tabs>
          <w:tab w:val="right" w:leader="dot" w:pos="4171"/>
        </w:tabs>
        <w:spacing w:line="240" w:lineRule="auto"/>
      </w:pPr>
      <w:r w:rsidRPr="003D1E07">
        <w:t xml:space="preserve">modus </w:t>
      </w:r>
      <w:r w:rsidRPr="003D1E07">
        <w:rPr>
          <w:i/>
        </w:rPr>
        <w:t>absolute</w:t>
      </w:r>
      <w:r w:rsidRPr="003D1E07">
        <w:tab/>
        <w:t>140, 287, 294, 300</w:t>
      </w:r>
    </w:p>
    <w:p w14:paraId="20F4D04C" w14:textId="77777777" w:rsidR="00C04C0A" w:rsidRPr="003D1E07" w:rsidRDefault="00C04C0A" w:rsidP="00C04C0A">
      <w:pPr>
        <w:pStyle w:val="Rejstk2"/>
        <w:tabs>
          <w:tab w:val="right" w:leader="dot" w:pos="4171"/>
        </w:tabs>
        <w:spacing w:line="240" w:lineRule="auto"/>
      </w:pPr>
      <w:r w:rsidRPr="003D1E07">
        <w:rPr>
          <w:i/>
        </w:rPr>
        <w:t>modus ponens</w:t>
      </w:r>
      <w:r w:rsidRPr="003D1E07">
        <w:tab/>
        <w:t>133</w:t>
      </w:r>
    </w:p>
    <w:p w14:paraId="6AE7C534" w14:textId="77777777" w:rsidR="00C04C0A" w:rsidRPr="003D1E07" w:rsidRDefault="00C04C0A" w:rsidP="00C04C0A">
      <w:pPr>
        <w:pStyle w:val="Rejstk2"/>
        <w:tabs>
          <w:tab w:val="right" w:leader="dot" w:pos="4171"/>
        </w:tabs>
        <w:spacing w:line="240" w:lineRule="auto"/>
      </w:pPr>
      <w:r w:rsidRPr="003D1E07">
        <w:rPr>
          <w:i/>
        </w:rPr>
        <w:t>modus prophetiae</w:t>
      </w:r>
      <w:r w:rsidRPr="003D1E07">
        <w:tab/>
        <w:t>267</w:t>
      </w:r>
    </w:p>
    <w:p w14:paraId="588554AD" w14:textId="77777777" w:rsidR="00C04C0A" w:rsidRPr="003D1E07" w:rsidRDefault="00C04C0A" w:rsidP="00C04C0A">
      <w:pPr>
        <w:pStyle w:val="Rejstk2"/>
        <w:tabs>
          <w:tab w:val="right" w:leader="dot" w:pos="4171"/>
        </w:tabs>
        <w:spacing w:line="240" w:lineRule="auto"/>
      </w:pPr>
      <w:r w:rsidRPr="003D1E07">
        <w:rPr>
          <w:i/>
        </w:rPr>
        <w:t>modus tollens</w:t>
      </w:r>
      <w:r w:rsidRPr="003D1E07">
        <w:tab/>
        <w:t>96, 131, 132, 160</w:t>
      </w:r>
    </w:p>
    <w:p w14:paraId="0E0E4332" w14:textId="77777777" w:rsidR="00C04C0A" w:rsidRPr="003D1E07" w:rsidRDefault="00C04C0A" w:rsidP="00C04C0A">
      <w:pPr>
        <w:pStyle w:val="Rejstk2"/>
        <w:tabs>
          <w:tab w:val="right" w:leader="dot" w:pos="4171"/>
        </w:tabs>
        <w:spacing w:line="240" w:lineRule="auto"/>
      </w:pPr>
      <w:r w:rsidRPr="003D1E07">
        <w:t>objektivní</w:t>
      </w:r>
      <w:r w:rsidRPr="003D1E07">
        <w:tab/>
        <w:t>285, 290, 291, 296, 314</w:t>
      </w:r>
    </w:p>
    <w:p w14:paraId="5434A08B" w14:textId="77777777" w:rsidR="00C04C0A" w:rsidRPr="003D1E07" w:rsidRDefault="00C04C0A" w:rsidP="00C04C0A">
      <w:pPr>
        <w:pStyle w:val="Rejstk2"/>
        <w:tabs>
          <w:tab w:val="right" w:leader="dot" w:pos="4171"/>
        </w:tabs>
        <w:spacing w:line="240" w:lineRule="auto"/>
      </w:pPr>
      <w:r w:rsidRPr="003D1E07">
        <w:t>ontoteologická</w:t>
      </w:r>
      <w:r w:rsidRPr="003D1E07">
        <w:tab/>
        <w:t>171</w:t>
      </w:r>
    </w:p>
    <w:p w14:paraId="01FFC400" w14:textId="77777777" w:rsidR="00C04C0A" w:rsidRPr="003D1E07" w:rsidRDefault="00C04C0A" w:rsidP="00C04C0A">
      <w:pPr>
        <w:pStyle w:val="Rejstk2"/>
        <w:tabs>
          <w:tab w:val="right" w:leader="dot" w:pos="4171"/>
        </w:tabs>
        <w:spacing w:line="240" w:lineRule="auto"/>
      </w:pPr>
      <w:r w:rsidRPr="003D1E07">
        <w:rPr>
          <w:i/>
        </w:rPr>
        <w:t>per posterius</w:t>
      </w:r>
      <w:r w:rsidRPr="003D1E07">
        <w:tab/>
        <w:t>86, 89, 135, 139, 143, 179, 281, 295, 368, 413, 420</w:t>
      </w:r>
    </w:p>
    <w:p w14:paraId="4C0EDCC3" w14:textId="261EE3D2" w:rsidR="00C04C0A" w:rsidRPr="003D1E07" w:rsidRDefault="00C04C0A" w:rsidP="00C04C0A">
      <w:pPr>
        <w:pStyle w:val="Rejstk2"/>
        <w:tabs>
          <w:tab w:val="right" w:leader="dot" w:pos="4171"/>
        </w:tabs>
        <w:spacing w:line="240" w:lineRule="auto"/>
      </w:pPr>
      <w:r w:rsidRPr="003D1E07">
        <w:rPr>
          <w:i/>
        </w:rPr>
        <w:t>per prius</w:t>
      </w:r>
      <w:r w:rsidRPr="003D1E07">
        <w:tab/>
        <w:t xml:space="preserve">86, 89, 107, 110, 111, 118, </w:t>
      </w:r>
      <w:r w:rsidR="0064264C" w:rsidRPr="003D1E07">
        <w:t xml:space="preserve">127, </w:t>
      </w:r>
      <w:r w:rsidRPr="003D1E07">
        <w:t>133, 135, 178, 210, 212, 218, 245, 279, 337, 425, 434, 476</w:t>
      </w:r>
    </w:p>
    <w:p w14:paraId="0B1E4E4E" w14:textId="77777777" w:rsidR="00C04C0A" w:rsidRPr="003D1E07" w:rsidRDefault="00C04C0A" w:rsidP="00C04C0A">
      <w:pPr>
        <w:pStyle w:val="Rejstk2"/>
        <w:tabs>
          <w:tab w:val="right" w:leader="dot" w:pos="4171"/>
        </w:tabs>
        <w:spacing w:line="240" w:lineRule="auto"/>
      </w:pPr>
      <w:r w:rsidRPr="003D1E07">
        <w:t>probalická</w:t>
      </w:r>
      <w:r w:rsidRPr="003D1E07">
        <w:tab/>
        <w:t>139</w:t>
      </w:r>
    </w:p>
    <w:p w14:paraId="24AEBC5C" w14:textId="77777777" w:rsidR="00C04C0A" w:rsidRPr="003D1E07" w:rsidRDefault="00C04C0A" w:rsidP="00C04C0A">
      <w:pPr>
        <w:pStyle w:val="Rejstk2"/>
        <w:tabs>
          <w:tab w:val="right" w:leader="dot" w:pos="4171"/>
        </w:tabs>
        <w:spacing w:line="240" w:lineRule="auto"/>
      </w:pPr>
      <w:r w:rsidRPr="003D1E07">
        <w:t>prohyparchická</w:t>
      </w:r>
      <w:r w:rsidRPr="003D1E07">
        <w:tab/>
        <w:t>123, 126, 128, 147, 152, 233, 294, 319</w:t>
      </w:r>
    </w:p>
    <w:p w14:paraId="79BD1177" w14:textId="0A16C3A9" w:rsidR="00C04C0A" w:rsidRPr="003D1E07" w:rsidRDefault="00C04C0A" w:rsidP="00C04C0A">
      <w:pPr>
        <w:pStyle w:val="Rejstk2"/>
        <w:tabs>
          <w:tab w:val="right" w:leader="dot" w:pos="4171"/>
        </w:tabs>
        <w:spacing w:line="240" w:lineRule="auto"/>
      </w:pPr>
      <w:r w:rsidRPr="003D1E07">
        <w:rPr>
          <w:i/>
        </w:rPr>
        <w:t>semel</w:t>
      </w:r>
      <w:r w:rsidRPr="003D1E07">
        <w:t>‒</w:t>
      </w:r>
      <w:r w:rsidRPr="003D1E07">
        <w:rPr>
          <w:i/>
        </w:rPr>
        <w:t>semper</w:t>
      </w:r>
      <w:r w:rsidRPr="003D1E07">
        <w:tab/>
        <w:t>163, 247, 290</w:t>
      </w:r>
      <w:r w:rsidR="0064264C" w:rsidRPr="003D1E07">
        <w:t>, 332</w:t>
      </w:r>
    </w:p>
    <w:p w14:paraId="6554038E" w14:textId="77777777" w:rsidR="00C04C0A" w:rsidRPr="003D1E07" w:rsidRDefault="00C04C0A" w:rsidP="00C04C0A">
      <w:pPr>
        <w:pStyle w:val="Rejstk2"/>
        <w:tabs>
          <w:tab w:val="right" w:leader="dot" w:pos="4171"/>
        </w:tabs>
        <w:spacing w:line="240" w:lineRule="auto"/>
      </w:pPr>
      <w:r w:rsidRPr="003D1E07">
        <w:t>střední člen soudu</w:t>
      </w:r>
      <w:r w:rsidRPr="003D1E07">
        <w:tab/>
        <w:t>92</w:t>
      </w:r>
    </w:p>
    <w:p w14:paraId="63194C34" w14:textId="77777777" w:rsidR="00C04C0A" w:rsidRPr="003D1E07" w:rsidRDefault="00C04C0A" w:rsidP="00C04C0A">
      <w:pPr>
        <w:pStyle w:val="Rejstk1"/>
        <w:tabs>
          <w:tab w:val="right" w:leader="dot" w:pos="4171"/>
        </w:tabs>
        <w:spacing w:line="240" w:lineRule="auto"/>
      </w:pPr>
      <w:r w:rsidRPr="003D1E07">
        <w:t>primární kvality</w:t>
      </w:r>
      <w:r w:rsidRPr="003D1E07">
        <w:tab/>
        <w:t>144, 146, 447, 448</w:t>
      </w:r>
    </w:p>
    <w:p w14:paraId="5C8D5D20" w14:textId="77777777" w:rsidR="00C04C0A" w:rsidRPr="003D1E07" w:rsidRDefault="00C04C0A" w:rsidP="00C04C0A">
      <w:pPr>
        <w:pStyle w:val="Rejstk1"/>
        <w:tabs>
          <w:tab w:val="right" w:leader="dot" w:pos="4171"/>
        </w:tabs>
        <w:spacing w:line="240" w:lineRule="auto"/>
      </w:pPr>
      <w:r w:rsidRPr="003D1E07">
        <w:rPr>
          <w:i/>
        </w:rPr>
        <w:t>Primum Mobile</w:t>
      </w:r>
      <w:r w:rsidRPr="003D1E07">
        <w:tab/>
        <w:t>168, 236, 239</w:t>
      </w:r>
    </w:p>
    <w:p w14:paraId="363A8698" w14:textId="77777777" w:rsidR="00C04C0A" w:rsidRPr="003D1E07" w:rsidRDefault="00C04C0A" w:rsidP="00C04C0A">
      <w:pPr>
        <w:pStyle w:val="Rejstk1"/>
        <w:tabs>
          <w:tab w:val="right" w:leader="dot" w:pos="4171"/>
        </w:tabs>
        <w:spacing w:line="240" w:lineRule="auto"/>
      </w:pPr>
      <w:r w:rsidRPr="003D1E07">
        <w:t>princip dostatečného důvodu</w:t>
      </w:r>
      <w:r w:rsidRPr="003D1E07">
        <w:tab/>
        <w:t>139, 331, 479</w:t>
      </w:r>
    </w:p>
    <w:p w14:paraId="7E4A3342" w14:textId="77777777" w:rsidR="00C04C0A" w:rsidRPr="003D1E07" w:rsidRDefault="00C04C0A" w:rsidP="00C04C0A">
      <w:pPr>
        <w:pStyle w:val="Rejstk1"/>
        <w:tabs>
          <w:tab w:val="right" w:leader="dot" w:pos="4171"/>
        </w:tabs>
        <w:spacing w:line="240" w:lineRule="auto"/>
      </w:pPr>
      <w:r w:rsidRPr="003D1E07">
        <w:t xml:space="preserve">princip </w:t>
      </w:r>
      <w:r w:rsidRPr="003D1E07">
        <w:rPr>
          <w:i/>
        </w:rPr>
        <w:t>ex inmediatis</w:t>
      </w:r>
      <w:r w:rsidRPr="003D1E07">
        <w:tab/>
        <w:t>92, 370</w:t>
      </w:r>
    </w:p>
    <w:p w14:paraId="7F9D5419" w14:textId="77777777" w:rsidR="00C04C0A" w:rsidRPr="003D1E07" w:rsidRDefault="00C04C0A" w:rsidP="00C04C0A">
      <w:pPr>
        <w:pStyle w:val="Rejstk1"/>
        <w:tabs>
          <w:tab w:val="right" w:leader="dot" w:pos="4171"/>
        </w:tabs>
        <w:spacing w:line="240" w:lineRule="auto"/>
      </w:pPr>
      <w:r w:rsidRPr="003D1E07">
        <w:t>princip non-kontradikce</w:t>
      </w:r>
      <w:r w:rsidRPr="003D1E07">
        <w:tab/>
        <w:t>32</w:t>
      </w:r>
    </w:p>
    <w:p w14:paraId="51B03D4A" w14:textId="77777777" w:rsidR="00C04C0A" w:rsidRPr="003D1E07" w:rsidRDefault="00C04C0A" w:rsidP="00C04C0A">
      <w:pPr>
        <w:pStyle w:val="Rejstk1"/>
        <w:tabs>
          <w:tab w:val="right" w:leader="dot" w:pos="4171"/>
        </w:tabs>
        <w:spacing w:line="240" w:lineRule="auto"/>
      </w:pPr>
      <w:r w:rsidRPr="003D1E07">
        <w:rPr>
          <w:i/>
        </w:rPr>
        <w:t>processio</w:t>
      </w:r>
      <w:r w:rsidRPr="003D1E07">
        <w:tab/>
        <w:t>245</w:t>
      </w:r>
    </w:p>
    <w:p w14:paraId="712C239C" w14:textId="56C0A2C4" w:rsidR="00C04C0A" w:rsidRPr="003D1E07" w:rsidRDefault="00C04C0A" w:rsidP="00C04C0A">
      <w:pPr>
        <w:pStyle w:val="Rejstk1"/>
        <w:tabs>
          <w:tab w:val="right" w:leader="dot" w:pos="4171"/>
        </w:tabs>
        <w:spacing w:line="240" w:lineRule="auto"/>
      </w:pPr>
      <w:r w:rsidRPr="003D1E07">
        <w:t>Proklus</w:t>
      </w:r>
      <w:r w:rsidR="0064264C" w:rsidRPr="003D1E07">
        <w:t xml:space="preserve">, viz </w:t>
      </w:r>
      <w:r w:rsidR="0064264C" w:rsidRPr="003D1E07">
        <w:rPr>
          <w:i/>
        </w:rPr>
        <w:t>Index locorum</w:t>
      </w:r>
    </w:p>
    <w:p w14:paraId="139B522C" w14:textId="77777777" w:rsidR="00C04C0A" w:rsidRPr="003D1E07" w:rsidRDefault="00C04C0A" w:rsidP="00C04C0A">
      <w:pPr>
        <w:pStyle w:val="Rejstk1"/>
        <w:tabs>
          <w:tab w:val="right" w:leader="dot" w:pos="4171"/>
        </w:tabs>
        <w:spacing w:line="240" w:lineRule="auto"/>
      </w:pPr>
      <w:r w:rsidRPr="003D1E07">
        <w:rPr>
          <w:i/>
        </w:rPr>
        <w:t>proportio</w:t>
      </w:r>
      <w:r w:rsidRPr="003D1E07">
        <w:tab/>
        <w:t>414</w:t>
      </w:r>
    </w:p>
    <w:p w14:paraId="48AC1C94" w14:textId="77777777" w:rsidR="00C04C0A" w:rsidRPr="003D1E07" w:rsidRDefault="00C04C0A" w:rsidP="00C04C0A">
      <w:pPr>
        <w:pStyle w:val="Rejstk1"/>
        <w:tabs>
          <w:tab w:val="right" w:leader="dot" w:pos="4171"/>
        </w:tabs>
        <w:spacing w:line="240" w:lineRule="auto"/>
      </w:pPr>
      <w:r w:rsidRPr="003D1E07">
        <w:t>první averroismus</w:t>
      </w:r>
      <w:r w:rsidRPr="003D1E07">
        <w:tab/>
        <w:t>401</w:t>
      </w:r>
    </w:p>
    <w:p w14:paraId="0DD13542" w14:textId="77777777" w:rsidR="00C04C0A" w:rsidRPr="003D1E07" w:rsidRDefault="00C04C0A" w:rsidP="00C04C0A">
      <w:pPr>
        <w:pStyle w:val="Rejstk2"/>
        <w:tabs>
          <w:tab w:val="right" w:leader="dot" w:pos="4171"/>
        </w:tabs>
        <w:spacing w:line="240" w:lineRule="auto"/>
      </w:pPr>
      <w:r w:rsidRPr="003D1E07">
        <w:t>původ</w:t>
      </w:r>
      <w:r w:rsidRPr="003D1E07">
        <w:tab/>
        <w:t>170, 174</w:t>
      </w:r>
    </w:p>
    <w:p w14:paraId="2DF4D023" w14:textId="77777777" w:rsidR="00C04C0A" w:rsidRPr="003D1E07" w:rsidRDefault="00C04C0A" w:rsidP="00C04C0A">
      <w:pPr>
        <w:pStyle w:val="Rejstk2"/>
        <w:tabs>
          <w:tab w:val="right" w:leader="dot" w:pos="4171"/>
        </w:tabs>
        <w:spacing w:line="240" w:lineRule="auto"/>
      </w:pPr>
      <w:r w:rsidRPr="003D1E07">
        <w:t>substance</w:t>
      </w:r>
      <w:r w:rsidRPr="003D1E07">
        <w:tab/>
        <w:t>110</w:t>
      </w:r>
    </w:p>
    <w:p w14:paraId="23E19A2B" w14:textId="77777777" w:rsidR="00C04C0A" w:rsidRPr="003D1E07" w:rsidRDefault="00C04C0A" w:rsidP="00C04C0A">
      <w:pPr>
        <w:pStyle w:val="Rejstk1"/>
        <w:tabs>
          <w:tab w:val="right" w:leader="dot" w:pos="4171"/>
        </w:tabs>
        <w:spacing w:line="240" w:lineRule="auto"/>
      </w:pPr>
      <w:r w:rsidRPr="003D1E07">
        <w:t>První hybatel</w:t>
      </w:r>
      <w:r w:rsidRPr="003D1E07">
        <w:tab/>
        <w:t>180, 367, 373</w:t>
      </w:r>
    </w:p>
    <w:p w14:paraId="6E954F5B" w14:textId="0A020D24" w:rsidR="00C04C0A" w:rsidRPr="003D1E07" w:rsidRDefault="00C04C0A" w:rsidP="00C04C0A">
      <w:pPr>
        <w:pStyle w:val="Rejstk1"/>
        <w:tabs>
          <w:tab w:val="right" w:leader="dot" w:pos="4171"/>
        </w:tabs>
        <w:spacing w:line="240" w:lineRule="auto"/>
      </w:pPr>
      <w:r w:rsidRPr="003D1E07">
        <w:t>Pythágoras</w:t>
      </w:r>
      <w:r w:rsidRPr="003D1E07">
        <w:tab/>
        <w:t>27</w:t>
      </w:r>
      <w:r w:rsidR="00E14493" w:rsidRPr="003D1E07">
        <w:t>, 167</w:t>
      </w:r>
    </w:p>
    <w:p w14:paraId="71124F71" w14:textId="4474C381" w:rsidR="00C04C0A" w:rsidRPr="003D1E07" w:rsidRDefault="00C04C0A" w:rsidP="00C04C0A">
      <w:pPr>
        <w:pStyle w:val="Hlavikarejstku"/>
        <w:keepNext/>
        <w:tabs>
          <w:tab w:val="right" w:leader="dot" w:pos="4171"/>
        </w:tabs>
        <w:spacing w:line="240" w:lineRule="auto"/>
        <w:rPr>
          <w:rFonts w:eastAsia="Times New Roman" w:cs="Times New Roman"/>
          <w:b w:val="0"/>
          <w:bCs w:val="0"/>
        </w:rPr>
      </w:pPr>
      <w:r w:rsidRPr="003D1E07">
        <w:t>Q</w:t>
      </w:r>
      <w:r w:rsidR="00BB61A0" w:rsidRPr="003D1E07">
        <w:t>, R</w:t>
      </w:r>
    </w:p>
    <w:p w14:paraId="1EDF1A82" w14:textId="7BE07FBD" w:rsidR="00C04C0A" w:rsidRPr="003D1E07" w:rsidRDefault="00C04C0A" w:rsidP="00C04C0A">
      <w:pPr>
        <w:pStyle w:val="Rejstk1"/>
        <w:tabs>
          <w:tab w:val="right" w:leader="dot" w:pos="4171"/>
        </w:tabs>
        <w:spacing w:line="240" w:lineRule="auto"/>
      </w:pPr>
      <w:r w:rsidRPr="003D1E07">
        <w:rPr>
          <w:i/>
        </w:rPr>
        <w:t>qua/inquantum</w:t>
      </w:r>
      <w:r w:rsidRPr="003D1E07">
        <w:tab/>
        <w:t>360</w:t>
      </w:r>
      <w:r w:rsidR="00BB61A0" w:rsidRPr="003D1E07">
        <w:t>, 396</w:t>
      </w:r>
    </w:p>
    <w:p w14:paraId="7008A053" w14:textId="77777777" w:rsidR="00C04C0A" w:rsidRPr="003D1E07" w:rsidRDefault="00C04C0A" w:rsidP="00C04C0A">
      <w:pPr>
        <w:pStyle w:val="Rejstk1"/>
        <w:tabs>
          <w:tab w:val="right" w:leader="dot" w:pos="4171"/>
        </w:tabs>
        <w:spacing w:line="240" w:lineRule="auto"/>
      </w:pPr>
      <w:r w:rsidRPr="003D1E07">
        <w:rPr>
          <w:i/>
        </w:rPr>
        <w:t>quartum genus</w:t>
      </w:r>
      <w:r w:rsidRPr="003D1E07">
        <w:tab/>
        <w:t>374, 375, 383, 406, 411, 417, 418, 421, 423, 428, 431, 432, 434, 459, 463, 485</w:t>
      </w:r>
    </w:p>
    <w:p w14:paraId="15FB8BB6" w14:textId="77777777" w:rsidR="00C04C0A" w:rsidRPr="003D1E07" w:rsidRDefault="00C04C0A" w:rsidP="00C04C0A">
      <w:pPr>
        <w:pStyle w:val="Rejstk1"/>
        <w:tabs>
          <w:tab w:val="right" w:leader="dot" w:pos="4171"/>
        </w:tabs>
        <w:spacing w:line="240" w:lineRule="auto"/>
      </w:pPr>
      <w:r w:rsidRPr="003D1E07">
        <w:rPr>
          <w:i/>
        </w:rPr>
        <w:t>quidditas</w:t>
      </w:r>
      <w:r w:rsidRPr="003D1E07">
        <w:tab/>
        <w:t>39, 48, 71, 103, 135, 173, 252, 284, 287, 334, 370, 379, 390, 407, 414</w:t>
      </w:r>
    </w:p>
    <w:p w14:paraId="6E2B8CD2" w14:textId="77777777" w:rsidR="00C04C0A" w:rsidRPr="003D1E07" w:rsidRDefault="00C04C0A" w:rsidP="00C04C0A">
      <w:pPr>
        <w:pStyle w:val="Rejstk1"/>
        <w:tabs>
          <w:tab w:val="right" w:leader="dot" w:pos="4171"/>
        </w:tabs>
        <w:spacing w:line="240" w:lineRule="auto"/>
      </w:pPr>
      <w:r w:rsidRPr="003D1E07">
        <w:rPr>
          <w:bCs/>
          <w:i/>
          <w:iCs/>
        </w:rPr>
        <w:t>quinque viae</w:t>
      </w:r>
      <w:r w:rsidRPr="003D1E07">
        <w:tab/>
        <w:t>358</w:t>
      </w:r>
    </w:p>
    <w:p w14:paraId="2DAA22B3" w14:textId="77777777" w:rsidR="00C04C0A" w:rsidRPr="003D1E07" w:rsidRDefault="00C04C0A" w:rsidP="00C04C0A">
      <w:pPr>
        <w:pStyle w:val="Rejstk1"/>
        <w:tabs>
          <w:tab w:val="right" w:leader="dot" w:pos="4171"/>
        </w:tabs>
        <w:spacing w:line="240" w:lineRule="auto"/>
      </w:pPr>
      <w:r w:rsidRPr="003D1E07">
        <w:rPr>
          <w:bCs/>
          <w:i/>
        </w:rPr>
        <w:t>ratio sufficiens</w:t>
      </w:r>
      <w:r w:rsidRPr="003D1E07">
        <w:tab/>
        <w:t>163, 174</w:t>
      </w:r>
    </w:p>
    <w:p w14:paraId="7301ED50" w14:textId="77777777" w:rsidR="00C04C0A" w:rsidRPr="003D1E07" w:rsidRDefault="00C04C0A" w:rsidP="00C04C0A">
      <w:pPr>
        <w:pStyle w:val="Rejstk1"/>
        <w:tabs>
          <w:tab w:val="right" w:leader="dot" w:pos="4171"/>
        </w:tabs>
        <w:spacing w:line="240" w:lineRule="auto"/>
      </w:pPr>
      <w:r w:rsidRPr="003D1E07">
        <w:rPr>
          <w:i/>
        </w:rPr>
        <w:t>rationes seminales</w:t>
      </w:r>
      <w:r w:rsidRPr="003D1E07">
        <w:tab/>
        <w:t>147</w:t>
      </w:r>
    </w:p>
    <w:p w14:paraId="2BFA106C" w14:textId="77777777" w:rsidR="00C04C0A" w:rsidRPr="003D1E07" w:rsidRDefault="00C04C0A" w:rsidP="00C04C0A">
      <w:pPr>
        <w:pStyle w:val="Rejstk1"/>
        <w:tabs>
          <w:tab w:val="right" w:leader="dot" w:pos="4171"/>
        </w:tabs>
        <w:spacing w:line="240" w:lineRule="auto"/>
      </w:pPr>
      <w:r w:rsidRPr="003D1E07">
        <w:rPr>
          <w:i/>
        </w:rPr>
        <w:t>Reformed Epistemology</w:t>
      </w:r>
      <w:r w:rsidRPr="003D1E07">
        <w:tab/>
        <w:t>326</w:t>
      </w:r>
    </w:p>
    <w:p w14:paraId="3354CA8A" w14:textId="77777777" w:rsidR="00C04C0A" w:rsidRPr="003D1E07" w:rsidRDefault="00C04C0A" w:rsidP="00C04C0A">
      <w:pPr>
        <w:pStyle w:val="Rejstk1"/>
        <w:tabs>
          <w:tab w:val="right" w:leader="dot" w:pos="4171"/>
        </w:tabs>
        <w:spacing w:line="240" w:lineRule="auto"/>
      </w:pPr>
      <w:r w:rsidRPr="003D1E07">
        <w:rPr>
          <w:i/>
        </w:rPr>
        <w:t>relatio</w:t>
      </w:r>
      <w:r w:rsidRPr="003D1E07">
        <w:tab/>
        <w:t>146</w:t>
      </w:r>
    </w:p>
    <w:p w14:paraId="56EAD8AA" w14:textId="77777777" w:rsidR="00C04C0A" w:rsidRPr="003D1E07" w:rsidRDefault="00C04C0A" w:rsidP="00C04C0A">
      <w:pPr>
        <w:pStyle w:val="Rejstk1"/>
        <w:tabs>
          <w:tab w:val="right" w:leader="dot" w:pos="4171"/>
        </w:tabs>
        <w:spacing w:line="240" w:lineRule="auto"/>
      </w:pPr>
      <w:r w:rsidRPr="003D1E07">
        <w:rPr>
          <w:i/>
        </w:rPr>
        <w:t>res cogitans</w:t>
      </w:r>
      <w:r w:rsidRPr="003D1E07">
        <w:tab/>
        <w:t>147, 213, 267, 272, 288, 410, 424, 460</w:t>
      </w:r>
    </w:p>
    <w:p w14:paraId="0A86C502" w14:textId="77777777" w:rsidR="00C04C0A" w:rsidRPr="003D1E07" w:rsidRDefault="00C04C0A" w:rsidP="00C04C0A">
      <w:pPr>
        <w:pStyle w:val="Rejstk1"/>
        <w:tabs>
          <w:tab w:val="right" w:leader="dot" w:pos="4171"/>
        </w:tabs>
        <w:spacing w:line="240" w:lineRule="auto"/>
      </w:pPr>
      <w:r w:rsidRPr="003D1E07">
        <w:rPr>
          <w:i/>
        </w:rPr>
        <w:t>res extensa</w:t>
      </w:r>
      <w:r w:rsidRPr="003D1E07">
        <w:tab/>
        <w:t>213, 273, 486</w:t>
      </w:r>
    </w:p>
    <w:p w14:paraId="6F4089A2" w14:textId="77777777" w:rsidR="00C04C0A" w:rsidRPr="003D1E07" w:rsidRDefault="00C04C0A" w:rsidP="00C04C0A">
      <w:pPr>
        <w:pStyle w:val="Rejstk1"/>
        <w:tabs>
          <w:tab w:val="right" w:leader="dot" w:pos="4171"/>
        </w:tabs>
        <w:spacing w:line="240" w:lineRule="auto"/>
      </w:pPr>
      <w:r w:rsidRPr="003D1E07">
        <w:rPr>
          <w:i/>
        </w:rPr>
        <w:t>resolutio</w:t>
      </w:r>
    </w:p>
    <w:p w14:paraId="19ECF6A1" w14:textId="77777777" w:rsidR="00C04C0A" w:rsidRPr="003D1E07" w:rsidRDefault="00C04C0A" w:rsidP="00C04C0A">
      <w:pPr>
        <w:pStyle w:val="Rejstk2"/>
        <w:tabs>
          <w:tab w:val="right" w:leader="dot" w:pos="4171"/>
        </w:tabs>
        <w:spacing w:line="240" w:lineRule="auto"/>
      </w:pPr>
      <w:r w:rsidRPr="003D1E07">
        <w:t>Al-Fárábí</w:t>
      </w:r>
      <w:r w:rsidRPr="003D1E07">
        <w:tab/>
        <w:t>179, 185</w:t>
      </w:r>
    </w:p>
    <w:p w14:paraId="32BE2BD2" w14:textId="77777777" w:rsidR="00C04C0A" w:rsidRPr="003D1E07" w:rsidRDefault="00C04C0A" w:rsidP="00C04C0A">
      <w:pPr>
        <w:pStyle w:val="Rejstk2"/>
        <w:tabs>
          <w:tab w:val="right" w:leader="dot" w:pos="4171"/>
        </w:tabs>
        <w:spacing w:line="240" w:lineRule="auto"/>
      </w:pPr>
      <w:r w:rsidRPr="003D1E07">
        <w:t>falsafa</w:t>
      </w:r>
      <w:r w:rsidRPr="003D1E07">
        <w:tab/>
        <w:t>211</w:t>
      </w:r>
    </w:p>
    <w:p w14:paraId="44A3ED02" w14:textId="77777777" w:rsidR="00C04C0A" w:rsidRPr="003D1E07" w:rsidRDefault="00C04C0A" w:rsidP="00C04C0A">
      <w:pPr>
        <w:pStyle w:val="Rejstk2"/>
        <w:tabs>
          <w:tab w:val="right" w:leader="dot" w:pos="4171"/>
        </w:tabs>
        <w:spacing w:line="240" w:lineRule="auto"/>
      </w:pPr>
      <w:r w:rsidRPr="003D1E07">
        <w:t>Filip Kancléř</w:t>
      </w:r>
      <w:r w:rsidRPr="003D1E07">
        <w:tab/>
        <w:t>318</w:t>
      </w:r>
    </w:p>
    <w:p w14:paraId="5FC837C5" w14:textId="77777777" w:rsidR="00C04C0A" w:rsidRPr="003D1E07" w:rsidRDefault="00C04C0A" w:rsidP="00C04C0A">
      <w:pPr>
        <w:pStyle w:val="Rejstk2"/>
        <w:tabs>
          <w:tab w:val="right" w:leader="dot" w:pos="4171"/>
        </w:tabs>
        <w:spacing w:line="240" w:lineRule="auto"/>
      </w:pPr>
      <w:r w:rsidRPr="003D1E07">
        <w:t>Porfyrius</w:t>
      </w:r>
      <w:r w:rsidRPr="003D1E07">
        <w:tab/>
        <w:t>118</w:t>
      </w:r>
    </w:p>
    <w:p w14:paraId="1F107CCD" w14:textId="77777777" w:rsidR="00C04C0A" w:rsidRPr="003D1E07" w:rsidRDefault="00C04C0A" w:rsidP="00C04C0A">
      <w:pPr>
        <w:pStyle w:val="Rejstk2"/>
        <w:tabs>
          <w:tab w:val="right" w:leader="dot" w:pos="4171"/>
        </w:tabs>
        <w:spacing w:line="240" w:lineRule="auto"/>
      </w:pPr>
      <w:r w:rsidRPr="003D1E07">
        <w:t>Simplikius</w:t>
      </w:r>
      <w:r w:rsidRPr="003D1E07">
        <w:tab/>
        <w:t>135</w:t>
      </w:r>
    </w:p>
    <w:p w14:paraId="56907E17" w14:textId="77777777" w:rsidR="00C04C0A" w:rsidRPr="003D1E07" w:rsidRDefault="00C04C0A" w:rsidP="00C04C0A">
      <w:pPr>
        <w:pStyle w:val="Rejstk1"/>
        <w:tabs>
          <w:tab w:val="right" w:leader="dot" w:pos="4171"/>
        </w:tabs>
        <w:spacing w:line="240" w:lineRule="auto"/>
      </w:pPr>
      <w:r w:rsidRPr="003D1E07">
        <w:rPr>
          <w:i/>
        </w:rPr>
        <w:t>restitutio ad integrum</w:t>
      </w:r>
      <w:r w:rsidRPr="003D1E07">
        <w:tab/>
        <w:t>29, 31</w:t>
      </w:r>
    </w:p>
    <w:p w14:paraId="00422C59" w14:textId="77777777" w:rsidR="00C04C0A" w:rsidRPr="003D1E07" w:rsidRDefault="00C04C0A" w:rsidP="00C04C0A">
      <w:pPr>
        <w:pStyle w:val="Rejstk1"/>
        <w:tabs>
          <w:tab w:val="right" w:leader="dot" w:pos="4171"/>
        </w:tabs>
        <w:spacing w:line="240" w:lineRule="auto"/>
      </w:pPr>
      <w:r w:rsidRPr="003D1E07">
        <w:t>Ricoeur, P.</w:t>
      </w:r>
      <w:r w:rsidRPr="003D1E07">
        <w:tab/>
        <w:t>28</w:t>
      </w:r>
    </w:p>
    <w:p w14:paraId="05AC0CB4" w14:textId="77777777" w:rsidR="00C04C0A" w:rsidRPr="003D1E07" w:rsidRDefault="00C04C0A" w:rsidP="00C04C0A">
      <w:pPr>
        <w:pStyle w:val="Rejstk1"/>
        <w:tabs>
          <w:tab w:val="right" w:leader="dot" w:pos="4171"/>
        </w:tabs>
        <w:spacing w:line="240" w:lineRule="auto"/>
      </w:pPr>
      <w:r w:rsidRPr="003D1E07">
        <w:t>rozsažnost</w:t>
      </w:r>
      <w:r w:rsidRPr="003D1E07">
        <w:tab/>
        <w:t>159, 160, 161, 282, 311, 363</w:t>
      </w:r>
    </w:p>
    <w:p w14:paraId="34701BFA" w14:textId="77777777" w:rsidR="00C04C0A" w:rsidRPr="003D1E07" w:rsidRDefault="00C04C0A" w:rsidP="00C04C0A">
      <w:pPr>
        <w:pStyle w:val="Hlavikarejstku"/>
        <w:keepNext/>
        <w:tabs>
          <w:tab w:val="right" w:leader="dot" w:pos="4171"/>
        </w:tabs>
        <w:spacing w:line="240" w:lineRule="auto"/>
        <w:rPr>
          <w:rFonts w:eastAsia="Times New Roman" w:cs="Times New Roman"/>
          <w:b w:val="0"/>
          <w:bCs w:val="0"/>
        </w:rPr>
      </w:pPr>
      <w:r w:rsidRPr="003D1E07">
        <w:t>S</w:t>
      </w:r>
    </w:p>
    <w:p w14:paraId="4BEE0BB7" w14:textId="77777777" w:rsidR="00C04C0A" w:rsidRPr="003D1E07" w:rsidRDefault="00C04C0A" w:rsidP="00C04C0A">
      <w:pPr>
        <w:pStyle w:val="Rejstk1"/>
        <w:tabs>
          <w:tab w:val="right" w:leader="dot" w:pos="4171"/>
        </w:tabs>
        <w:spacing w:line="240" w:lineRule="auto"/>
      </w:pPr>
      <w:r w:rsidRPr="003D1E07">
        <w:t>Saussure, F.</w:t>
      </w:r>
      <w:r w:rsidRPr="003D1E07">
        <w:tab/>
        <w:t>5</w:t>
      </w:r>
    </w:p>
    <w:p w14:paraId="0644407E" w14:textId="77777777" w:rsidR="00C04C0A" w:rsidRPr="003D1E07" w:rsidRDefault="00C04C0A" w:rsidP="00C04C0A">
      <w:pPr>
        <w:pStyle w:val="Rejstk1"/>
        <w:tabs>
          <w:tab w:val="right" w:leader="dot" w:pos="4171"/>
        </w:tabs>
        <w:spacing w:line="240" w:lineRule="auto"/>
      </w:pPr>
      <w:r w:rsidRPr="003D1E07">
        <w:rPr>
          <w:i/>
        </w:rPr>
        <w:lastRenderedPageBreak/>
        <w:t>scibile</w:t>
      </w:r>
      <w:r w:rsidRPr="003D1E07">
        <w:tab/>
        <w:t>140, 285</w:t>
      </w:r>
    </w:p>
    <w:p w14:paraId="036AC4D8" w14:textId="77777777" w:rsidR="00C04C0A" w:rsidRPr="003D1E07" w:rsidRDefault="00C04C0A" w:rsidP="00C04C0A">
      <w:pPr>
        <w:pStyle w:val="Rejstk1"/>
        <w:tabs>
          <w:tab w:val="right" w:leader="dot" w:pos="4171"/>
        </w:tabs>
        <w:spacing w:line="240" w:lineRule="auto"/>
      </w:pPr>
      <w:r w:rsidRPr="003D1E07">
        <w:rPr>
          <w:i/>
        </w:rPr>
        <w:t>scientia cogitabilis</w:t>
      </w:r>
      <w:r w:rsidRPr="003D1E07">
        <w:tab/>
        <w:t>163, 271</w:t>
      </w:r>
    </w:p>
    <w:p w14:paraId="320E463F" w14:textId="77777777" w:rsidR="00C04C0A" w:rsidRPr="003D1E07" w:rsidRDefault="00C04C0A" w:rsidP="00C04C0A">
      <w:pPr>
        <w:pStyle w:val="Rejstk1"/>
        <w:tabs>
          <w:tab w:val="right" w:leader="dot" w:pos="4171"/>
        </w:tabs>
        <w:spacing w:line="240" w:lineRule="auto"/>
      </w:pPr>
      <w:r w:rsidRPr="003D1E07">
        <w:rPr>
          <w:i/>
        </w:rPr>
        <w:t>scientia transcendens</w:t>
      </w:r>
      <w:r w:rsidRPr="003D1E07">
        <w:tab/>
        <w:t>109, 111, 291</w:t>
      </w:r>
    </w:p>
    <w:p w14:paraId="68A9A611" w14:textId="77777777" w:rsidR="00C04C0A" w:rsidRPr="003D1E07" w:rsidRDefault="00C04C0A" w:rsidP="00C04C0A">
      <w:pPr>
        <w:pStyle w:val="Rejstk1"/>
        <w:tabs>
          <w:tab w:val="right" w:leader="dot" w:pos="4171"/>
        </w:tabs>
        <w:spacing w:line="240" w:lineRule="auto"/>
      </w:pPr>
      <w:r w:rsidRPr="003D1E07">
        <w:t>Scotus, Michael</w:t>
      </w:r>
      <w:r w:rsidRPr="003D1E07">
        <w:tab/>
        <w:t>467</w:t>
      </w:r>
    </w:p>
    <w:p w14:paraId="4F54C972" w14:textId="77777777" w:rsidR="00C04C0A" w:rsidRPr="003D1E07" w:rsidRDefault="00C04C0A" w:rsidP="00C04C0A">
      <w:pPr>
        <w:pStyle w:val="Rejstk1"/>
        <w:tabs>
          <w:tab w:val="right" w:leader="dot" w:pos="4171"/>
        </w:tabs>
        <w:spacing w:line="240" w:lineRule="auto"/>
      </w:pPr>
      <w:r w:rsidRPr="003D1E07">
        <w:rPr>
          <w:i/>
        </w:rPr>
        <w:t>second intelligibile</w:t>
      </w:r>
      <w:r w:rsidRPr="003D1E07">
        <w:tab/>
        <w:t>179</w:t>
      </w:r>
    </w:p>
    <w:p w14:paraId="02C0EA24" w14:textId="77777777" w:rsidR="00C04C0A" w:rsidRPr="003D1E07" w:rsidRDefault="00C04C0A" w:rsidP="00C04C0A">
      <w:pPr>
        <w:pStyle w:val="Rejstk1"/>
        <w:tabs>
          <w:tab w:val="right" w:leader="dot" w:pos="4171"/>
        </w:tabs>
        <w:spacing w:line="240" w:lineRule="auto"/>
      </w:pPr>
      <w:r w:rsidRPr="003D1E07">
        <w:rPr>
          <w:i/>
        </w:rPr>
        <w:t>Seinsvergessenheit</w:t>
      </w:r>
      <w:r w:rsidRPr="003D1E07">
        <w:tab/>
        <w:t>69, 78, 149, 153, 167, 169, 173, 232, 261, 287, 301, 311, 371, 375, 438, 469, 471, 485, 487, 491</w:t>
      </w:r>
    </w:p>
    <w:p w14:paraId="3DE324BF" w14:textId="77777777" w:rsidR="00C04C0A" w:rsidRPr="003D1E07" w:rsidRDefault="00C04C0A" w:rsidP="00C04C0A">
      <w:pPr>
        <w:pStyle w:val="Rejstk1"/>
        <w:tabs>
          <w:tab w:val="right" w:leader="dot" w:pos="4171"/>
        </w:tabs>
        <w:spacing w:line="240" w:lineRule="auto"/>
      </w:pPr>
      <w:r w:rsidRPr="003D1E07">
        <w:rPr>
          <w:i/>
        </w:rPr>
        <w:t>Seinsverlassenheit</w:t>
      </w:r>
      <w:r w:rsidRPr="003D1E07">
        <w:tab/>
        <w:t>62, 64, 153, 168, 173, 371, 475</w:t>
      </w:r>
    </w:p>
    <w:p w14:paraId="4E0579AC" w14:textId="77777777" w:rsidR="00C04C0A" w:rsidRPr="003D1E07" w:rsidRDefault="00C04C0A" w:rsidP="00C04C0A">
      <w:pPr>
        <w:pStyle w:val="Rejstk1"/>
        <w:tabs>
          <w:tab w:val="right" w:leader="dot" w:pos="4171"/>
        </w:tabs>
        <w:spacing w:line="240" w:lineRule="auto"/>
      </w:pPr>
      <w:r w:rsidRPr="003D1E07">
        <w:t>sekularizace</w:t>
      </w:r>
      <w:r w:rsidRPr="003D1E07">
        <w:tab/>
        <w:t>332</w:t>
      </w:r>
    </w:p>
    <w:p w14:paraId="43199480" w14:textId="77777777" w:rsidR="00C04C0A" w:rsidRPr="003D1E07" w:rsidRDefault="00C04C0A" w:rsidP="00C04C0A">
      <w:pPr>
        <w:pStyle w:val="Rejstk1"/>
        <w:tabs>
          <w:tab w:val="right" w:leader="dot" w:pos="4171"/>
        </w:tabs>
        <w:spacing w:line="240" w:lineRule="auto"/>
      </w:pPr>
      <w:r w:rsidRPr="003D1E07">
        <w:rPr>
          <w:lang w:eastAsia="en-US"/>
        </w:rPr>
        <w:t>semiaverroismus</w:t>
      </w:r>
      <w:r w:rsidRPr="003D1E07">
        <w:tab/>
        <w:t>345</w:t>
      </w:r>
    </w:p>
    <w:p w14:paraId="4762C43F" w14:textId="77777777" w:rsidR="00C04C0A" w:rsidRPr="003D1E07" w:rsidRDefault="00C04C0A" w:rsidP="00C04C0A">
      <w:pPr>
        <w:pStyle w:val="Rejstk1"/>
        <w:tabs>
          <w:tab w:val="right" w:leader="dot" w:pos="4171"/>
        </w:tabs>
        <w:spacing w:line="240" w:lineRule="auto"/>
      </w:pPr>
      <w:r w:rsidRPr="003D1E07">
        <w:rPr>
          <w:i/>
        </w:rPr>
        <w:t>sensus communis</w:t>
      </w:r>
      <w:r w:rsidRPr="003D1E07">
        <w:tab/>
        <w:t>389, 390, 455, 468, 483</w:t>
      </w:r>
    </w:p>
    <w:p w14:paraId="330F853F" w14:textId="77777777" w:rsidR="00C04C0A" w:rsidRPr="003D1E07" w:rsidRDefault="00C04C0A" w:rsidP="00C04C0A">
      <w:pPr>
        <w:pStyle w:val="Rejstk1"/>
        <w:tabs>
          <w:tab w:val="right" w:leader="dot" w:pos="4171"/>
        </w:tabs>
        <w:spacing w:line="240" w:lineRule="auto"/>
      </w:pPr>
      <w:r w:rsidRPr="003D1E07">
        <w:rPr>
          <w:i/>
        </w:rPr>
        <w:t>separabilis/separatus</w:t>
      </w:r>
      <w:r w:rsidRPr="003D1E07">
        <w:tab/>
        <w:t>388</w:t>
      </w:r>
    </w:p>
    <w:p w14:paraId="75778BFD" w14:textId="77777777" w:rsidR="00C04C0A" w:rsidRPr="003D1E07" w:rsidRDefault="00C04C0A" w:rsidP="00C04C0A">
      <w:pPr>
        <w:pStyle w:val="Rejstk1"/>
        <w:tabs>
          <w:tab w:val="right" w:leader="dot" w:pos="4171"/>
        </w:tabs>
        <w:spacing w:line="240" w:lineRule="auto"/>
      </w:pPr>
      <w:r w:rsidRPr="003D1E07">
        <w:t>scholastika</w:t>
      </w:r>
    </w:p>
    <w:p w14:paraId="06425B68" w14:textId="77777777" w:rsidR="00C04C0A" w:rsidRPr="003D1E07" w:rsidRDefault="00C04C0A" w:rsidP="00C04C0A">
      <w:pPr>
        <w:pStyle w:val="Rejstk2"/>
        <w:tabs>
          <w:tab w:val="right" w:leader="dot" w:pos="4171"/>
        </w:tabs>
        <w:spacing w:line="240" w:lineRule="auto"/>
      </w:pPr>
      <w:r w:rsidRPr="003D1E07">
        <w:rPr>
          <w:i/>
        </w:rPr>
        <w:t>Anfang/Beginn</w:t>
      </w:r>
      <w:r w:rsidRPr="003D1E07">
        <w:tab/>
        <w:t>77</w:t>
      </w:r>
    </w:p>
    <w:p w14:paraId="3AB946E0" w14:textId="77777777" w:rsidR="00C04C0A" w:rsidRPr="003D1E07" w:rsidRDefault="00C04C0A" w:rsidP="00C04C0A">
      <w:pPr>
        <w:pStyle w:val="Rejstk2"/>
        <w:tabs>
          <w:tab w:val="right" w:leader="dot" w:pos="4171"/>
        </w:tabs>
        <w:spacing w:line="240" w:lineRule="auto"/>
      </w:pPr>
      <w:r w:rsidRPr="003D1E07">
        <w:t>druhý začátek</w:t>
      </w:r>
      <w:r w:rsidRPr="003D1E07">
        <w:tab/>
        <w:t>77</w:t>
      </w:r>
    </w:p>
    <w:p w14:paraId="70E0CBA6" w14:textId="77777777" w:rsidR="00C04C0A" w:rsidRPr="003D1E07" w:rsidRDefault="00C04C0A" w:rsidP="00C04C0A">
      <w:pPr>
        <w:pStyle w:val="Rejstk1"/>
        <w:tabs>
          <w:tab w:val="right" w:leader="dot" w:pos="4171"/>
        </w:tabs>
        <w:spacing w:line="240" w:lineRule="auto"/>
      </w:pPr>
      <w:r w:rsidRPr="003D1E07">
        <w:rPr>
          <w:i/>
        </w:rPr>
        <w:t>scholé</w:t>
      </w:r>
      <w:r w:rsidRPr="003D1E07">
        <w:tab/>
        <w:t>43</w:t>
      </w:r>
    </w:p>
    <w:p w14:paraId="7AF19C0F" w14:textId="77777777" w:rsidR="00C04C0A" w:rsidRPr="003D1E07" w:rsidRDefault="00C04C0A" w:rsidP="00C04C0A">
      <w:pPr>
        <w:pStyle w:val="Rejstk1"/>
        <w:tabs>
          <w:tab w:val="right" w:leader="dot" w:pos="4171"/>
        </w:tabs>
        <w:spacing w:line="240" w:lineRule="auto"/>
      </w:pPr>
      <w:r w:rsidRPr="003D1E07">
        <w:t>Sicilská škola</w:t>
      </w:r>
      <w:r w:rsidRPr="003D1E07">
        <w:tab/>
        <w:t>196, 266, 467</w:t>
      </w:r>
    </w:p>
    <w:p w14:paraId="21FCD5ED" w14:textId="77777777" w:rsidR="00C04C0A" w:rsidRPr="003D1E07" w:rsidRDefault="00C04C0A" w:rsidP="00C04C0A">
      <w:pPr>
        <w:pStyle w:val="Rejstk1"/>
        <w:tabs>
          <w:tab w:val="right" w:leader="dot" w:pos="4171"/>
        </w:tabs>
        <w:spacing w:line="240" w:lineRule="auto"/>
      </w:pPr>
      <w:r w:rsidRPr="003D1E07">
        <w:t>Siger z Brabantu</w:t>
      </w:r>
      <w:r w:rsidRPr="003D1E07">
        <w:tab/>
        <w:t>488</w:t>
      </w:r>
    </w:p>
    <w:p w14:paraId="7BA79CEA" w14:textId="77777777" w:rsidR="00C04C0A" w:rsidRPr="003D1E07" w:rsidRDefault="00C04C0A" w:rsidP="00C04C0A">
      <w:pPr>
        <w:pStyle w:val="Rejstk1"/>
        <w:tabs>
          <w:tab w:val="right" w:leader="dot" w:pos="4171"/>
        </w:tabs>
        <w:spacing w:line="240" w:lineRule="auto"/>
      </w:pPr>
      <w:r w:rsidRPr="003D1E07">
        <w:t>signifikace</w:t>
      </w:r>
    </w:p>
    <w:p w14:paraId="683BC992" w14:textId="77777777" w:rsidR="00C04C0A" w:rsidRPr="003D1E07" w:rsidRDefault="00C04C0A" w:rsidP="00C04C0A">
      <w:pPr>
        <w:pStyle w:val="Rejstk2"/>
        <w:tabs>
          <w:tab w:val="right" w:leader="dot" w:pos="4171"/>
        </w:tabs>
        <w:spacing w:line="240" w:lineRule="auto"/>
      </w:pPr>
      <w:r w:rsidRPr="003D1E07">
        <w:t>Aristoteles</w:t>
      </w:r>
      <w:r w:rsidRPr="003D1E07">
        <w:tab/>
        <w:t>148</w:t>
      </w:r>
    </w:p>
    <w:p w14:paraId="58B0DCF3" w14:textId="77777777" w:rsidR="00C04C0A" w:rsidRPr="003D1E07" w:rsidRDefault="00C04C0A" w:rsidP="00C04C0A">
      <w:pPr>
        <w:pStyle w:val="Rejstk2"/>
        <w:tabs>
          <w:tab w:val="right" w:leader="dot" w:pos="4171"/>
        </w:tabs>
        <w:spacing w:line="240" w:lineRule="auto"/>
      </w:pPr>
      <w:r w:rsidRPr="003D1E07">
        <w:t xml:space="preserve">modus </w:t>
      </w:r>
      <w:r w:rsidRPr="003D1E07">
        <w:rPr>
          <w:i/>
        </w:rPr>
        <w:t>absolute</w:t>
      </w:r>
      <w:r w:rsidRPr="003D1E07">
        <w:tab/>
        <w:t>140</w:t>
      </w:r>
    </w:p>
    <w:p w14:paraId="7A372743" w14:textId="2F72B350" w:rsidR="00DA5DCC" w:rsidRPr="003D1E07" w:rsidRDefault="00DA5DCC" w:rsidP="00C04C0A">
      <w:pPr>
        <w:pStyle w:val="Rejstk1"/>
        <w:tabs>
          <w:tab w:val="right" w:leader="dot" w:pos="4171"/>
        </w:tabs>
        <w:spacing w:line="240" w:lineRule="auto"/>
      </w:pPr>
      <w:r w:rsidRPr="003D1E07">
        <w:t>Simonidés z Keu</w:t>
      </w:r>
      <w:r w:rsidRPr="003D1E07">
        <w:tab/>
        <w:t>35</w:t>
      </w:r>
    </w:p>
    <w:p w14:paraId="14193A3C" w14:textId="6DBDA704" w:rsidR="00C04C0A" w:rsidRPr="003D1E07" w:rsidRDefault="00C04C0A" w:rsidP="00C04C0A">
      <w:pPr>
        <w:pStyle w:val="Rejstk1"/>
        <w:tabs>
          <w:tab w:val="right" w:leader="dot" w:pos="4171"/>
        </w:tabs>
        <w:spacing w:line="240" w:lineRule="auto"/>
      </w:pPr>
      <w:r w:rsidRPr="003D1E07">
        <w:t>Simplikius</w:t>
      </w:r>
      <w:r w:rsidR="00FC5CC5" w:rsidRPr="003D1E07">
        <w:t xml:space="preserve">, viz </w:t>
      </w:r>
      <w:r w:rsidR="00FC5CC5" w:rsidRPr="003D1E07">
        <w:rPr>
          <w:i/>
        </w:rPr>
        <w:t>Index locorum</w:t>
      </w:r>
    </w:p>
    <w:p w14:paraId="7B43CB4F" w14:textId="77777777" w:rsidR="00C04C0A" w:rsidRPr="003D1E07" w:rsidRDefault="00C04C0A" w:rsidP="00C04C0A">
      <w:pPr>
        <w:pStyle w:val="Rejstk1"/>
        <w:tabs>
          <w:tab w:val="right" w:leader="dot" w:pos="4171"/>
        </w:tabs>
        <w:spacing w:line="240" w:lineRule="auto"/>
      </w:pPr>
      <w:r w:rsidRPr="003D1E07">
        <w:t>simulákrum</w:t>
      </w:r>
      <w:r w:rsidRPr="003D1E07">
        <w:tab/>
        <w:t>171, 344, 437, 476</w:t>
      </w:r>
    </w:p>
    <w:p w14:paraId="72DB8AA9" w14:textId="77777777" w:rsidR="00C04C0A" w:rsidRPr="003D1E07" w:rsidRDefault="00C04C0A" w:rsidP="00C04C0A">
      <w:pPr>
        <w:pStyle w:val="Rejstk1"/>
        <w:tabs>
          <w:tab w:val="right" w:leader="dot" w:pos="4171"/>
        </w:tabs>
        <w:spacing w:line="240" w:lineRule="auto"/>
      </w:pPr>
      <w:r w:rsidRPr="003D1E07">
        <w:t>smrt boha</w:t>
      </w:r>
      <w:r w:rsidRPr="003D1E07">
        <w:tab/>
        <w:t>31, 46, 234, 291, 319, 321, 324, 332, 488, 490</w:t>
      </w:r>
    </w:p>
    <w:p w14:paraId="6B636410" w14:textId="77777777" w:rsidR="00C04C0A" w:rsidRPr="003D1E07" w:rsidRDefault="00C04C0A" w:rsidP="00C04C0A">
      <w:pPr>
        <w:pStyle w:val="Rejstk1"/>
        <w:tabs>
          <w:tab w:val="right" w:leader="dot" w:pos="4171"/>
        </w:tabs>
        <w:spacing w:line="240" w:lineRule="auto"/>
      </w:pPr>
      <w:r w:rsidRPr="003D1E07">
        <w:t>smrt subjektu</w:t>
      </w:r>
      <w:r w:rsidRPr="003D1E07">
        <w:tab/>
        <w:t>408, 437</w:t>
      </w:r>
    </w:p>
    <w:p w14:paraId="5F029E97" w14:textId="77777777" w:rsidR="00C04C0A" w:rsidRPr="003D1E07" w:rsidRDefault="00C04C0A" w:rsidP="00C04C0A">
      <w:pPr>
        <w:pStyle w:val="Rejstk1"/>
        <w:tabs>
          <w:tab w:val="right" w:leader="dot" w:pos="4171"/>
        </w:tabs>
        <w:spacing w:line="240" w:lineRule="auto"/>
      </w:pPr>
      <w:r w:rsidRPr="003D1E07">
        <w:t>sofisma člověk-mrtvola</w:t>
      </w:r>
      <w:r w:rsidRPr="003D1E07">
        <w:tab/>
        <w:t>88</w:t>
      </w:r>
    </w:p>
    <w:p w14:paraId="028AEC8A" w14:textId="77777777" w:rsidR="00C04C0A" w:rsidRPr="003D1E07" w:rsidRDefault="00C04C0A" w:rsidP="00C04C0A">
      <w:pPr>
        <w:pStyle w:val="Rejstk1"/>
        <w:tabs>
          <w:tab w:val="right" w:leader="dot" w:pos="4171"/>
        </w:tabs>
        <w:spacing w:line="240" w:lineRule="auto"/>
      </w:pPr>
      <w:r w:rsidRPr="003D1E07">
        <w:t>Sofokles</w:t>
      </w:r>
      <w:r w:rsidRPr="003D1E07">
        <w:tab/>
        <w:t>26, 44, 66</w:t>
      </w:r>
    </w:p>
    <w:p w14:paraId="26A109E7" w14:textId="77777777" w:rsidR="00C04C0A" w:rsidRPr="003D1E07" w:rsidRDefault="00C04C0A" w:rsidP="00C04C0A">
      <w:pPr>
        <w:pStyle w:val="Rejstk1"/>
        <w:tabs>
          <w:tab w:val="right" w:leader="dot" w:pos="4171"/>
        </w:tabs>
        <w:spacing w:line="240" w:lineRule="auto"/>
      </w:pPr>
      <w:r w:rsidRPr="003D1E07">
        <w:rPr>
          <w:i/>
        </w:rPr>
        <w:t>sola gratia</w:t>
      </w:r>
      <w:r w:rsidRPr="003D1E07">
        <w:tab/>
        <w:t>331</w:t>
      </w:r>
    </w:p>
    <w:p w14:paraId="0B05BD5D" w14:textId="77777777" w:rsidR="00C04C0A" w:rsidRPr="003D1E07" w:rsidRDefault="00C04C0A" w:rsidP="00C04C0A">
      <w:pPr>
        <w:pStyle w:val="Rejstk1"/>
        <w:tabs>
          <w:tab w:val="right" w:leader="dot" w:pos="4171"/>
        </w:tabs>
        <w:spacing w:line="240" w:lineRule="auto"/>
      </w:pPr>
      <w:r w:rsidRPr="003D1E07">
        <w:rPr>
          <w:i/>
        </w:rPr>
        <w:t>sophistae Latini</w:t>
      </w:r>
      <w:r w:rsidRPr="003D1E07">
        <w:tab/>
        <w:t>328, 471</w:t>
      </w:r>
    </w:p>
    <w:p w14:paraId="763E461D" w14:textId="77777777" w:rsidR="00C04C0A" w:rsidRPr="003D1E07" w:rsidRDefault="00C04C0A" w:rsidP="00C04C0A">
      <w:pPr>
        <w:pStyle w:val="Rejstk1"/>
        <w:tabs>
          <w:tab w:val="right" w:leader="dot" w:pos="4171"/>
        </w:tabs>
        <w:spacing w:line="240" w:lineRule="auto"/>
      </w:pPr>
      <w:r w:rsidRPr="003D1E07">
        <w:rPr>
          <w:i/>
        </w:rPr>
        <w:t>species intelligibilis</w:t>
      </w:r>
    </w:p>
    <w:p w14:paraId="4E14C29E" w14:textId="77777777" w:rsidR="00C04C0A" w:rsidRPr="003D1E07" w:rsidRDefault="00C04C0A" w:rsidP="00C04C0A">
      <w:pPr>
        <w:pStyle w:val="Rejstk2"/>
        <w:tabs>
          <w:tab w:val="right" w:leader="dot" w:pos="4171"/>
        </w:tabs>
        <w:spacing w:line="240" w:lineRule="auto"/>
      </w:pPr>
      <w:r w:rsidRPr="003D1E07">
        <w:t>Averroes</w:t>
      </w:r>
      <w:r w:rsidRPr="003D1E07">
        <w:tab/>
        <w:t>391, 392, 450, 456</w:t>
      </w:r>
    </w:p>
    <w:p w14:paraId="0D7AF973" w14:textId="77777777" w:rsidR="00C04C0A" w:rsidRPr="003D1E07" w:rsidRDefault="00C04C0A" w:rsidP="00C04C0A">
      <w:pPr>
        <w:pStyle w:val="Rejstk2"/>
        <w:tabs>
          <w:tab w:val="right" w:leader="dot" w:pos="4171"/>
        </w:tabs>
        <w:spacing w:line="240" w:lineRule="auto"/>
      </w:pPr>
      <w:r w:rsidRPr="003D1E07">
        <w:t>Avicenna</w:t>
      </w:r>
      <w:r w:rsidRPr="003D1E07">
        <w:tab/>
        <w:t>256, 263, 303</w:t>
      </w:r>
    </w:p>
    <w:p w14:paraId="41C06048" w14:textId="77777777" w:rsidR="00C04C0A" w:rsidRPr="003D1E07" w:rsidRDefault="00C04C0A" w:rsidP="00C04C0A">
      <w:pPr>
        <w:pStyle w:val="Rejstk1"/>
        <w:tabs>
          <w:tab w:val="right" w:leader="dot" w:pos="4171"/>
        </w:tabs>
        <w:spacing w:line="240" w:lineRule="auto"/>
      </w:pPr>
      <w:r w:rsidRPr="003D1E07">
        <w:rPr>
          <w:i/>
        </w:rPr>
        <w:t>species sensibilis</w:t>
      </w:r>
      <w:r w:rsidRPr="003D1E07">
        <w:tab/>
        <w:t>256, 259, 303, 391, 392, 421, 451</w:t>
      </w:r>
    </w:p>
    <w:p w14:paraId="0C3A8A25" w14:textId="77777777" w:rsidR="00C04C0A" w:rsidRPr="003D1E07" w:rsidRDefault="00C04C0A" w:rsidP="00C04C0A">
      <w:pPr>
        <w:pStyle w:val="Rejstk2"/>
        <w:tabs>
          <w:tab w:val="right" w:leader="dot" w:pos="4171"/>
        </w:tabs>
        <w:spacing w:line="240" w:lineRule="auto"/>
      </w:pPr>
      <w:r w:rsidRPr="003D1E07">
        <w:t>Averroes</w:t>
      </w:r>
      <w:r w:rsidRPr="003D1E07">
        <w:tab/>
        <w:t>450</w:t>
      </w:r>
    </w:p>
    <w:p w14:paraId="3CD254B4" w14:textId="77777777" w:rsidR="00C04C0A" w:rsidRPr="003D1E07" w:rsidRDefault="00C04C0A" w:rsidP="00C04C0A">
      <w:pPr>
        <w:pStyle w:val="Rejstk1"/>
        <w:tabs>
          <w:tab w:val="right" w:leader="dot" w:pos="4171"/>
        </w:tabs>
        <w:spacing w:line="240" w:lineRule="auto"/>
      </w:pPr>
      <w:r w:rsidRPr="003D1E07">
        <w:rPr>
          <w:i/>
        </w:rPr>
        <w:t>species specialissima</w:t>
      </w:r>
      <w:r w:rsidRPr="003D1E07">
        <w:tab/>
        <w:t>287, 296, 321</w:t>
      </w:r>
    </w:p>
    <w:p w14:paraId="6C085E1F" w14:textId="77777777" w:rsidR="00C04C0A" w:rsidRPr="003D1E07" w:rsidRDefault="00C04C0A" w:rsidP="00C04C0A">
      <w:pPr>
        <w:pStyle w:val="Rejstk1"/>
        <w:tabs>
          <w:tab w:val="right" w:leader="dot" w:pos="4171"/>
        </w:tabs>
        <w:spacing w:line="240" w:lineRule="auto"/>
      </w:pPr>
      <w:r w:rsidRPr="003D1E07">
        <w:t>spor o univerzália</w:t>
      </w:r>
      <w:r w:rsidRPr="003D1E07">
        <w:tab/>
        <w:t>112, 144, 299</w:t>
      </w:r>
    </w:p>
    <w:p w14:paraId="180FB836" w14:textId="3A94DB52" w:rsidR="00C04C0A" w:rsidRPr="003D1E07" w:rsidRDefault="00C04C0A" w:rsidP="00C04C0A">
      <w:pPr>
        <w:pStyle w:val="Rejstk1"/>
        <w:tabs>
          <w:tab w:val="right" w:leader="dot" w:pos="4171"/>
        </w:tabs>
        <w:spacing w:line="240" w:lineRule="auto"/>
      </w:pPr>
      <w:r w:rsidRPr="003D1E07">
        <w:t>Starý zákon</w:t>
      </w:r>
      <w:r w:rsidR="00492907" w:rsidRPr="003D1E07">
        <w:t xml:space="preserve">, viz </w:t>
      </w:r>
      <w:r w:rsidR="00492907" w:rsidRPr="003D1E07">
        <w:rPr>
          <w:i/>
        </w:rPr>
        <w:t>Index locorum</w:t>
      </w:r>
    </w:p>
    <w:p w14:paraId="79767C97" w14:textId="77777777" w:rsidR="00C04C0A" w:rsidRPr="003D1E07" w:rsidRDefault="00C04C0A" w:rsidP="00C04C0A">
      <w:pPr>
        <w:pStyle w:val="Rejstk1"/>
        <w:tabs>
          <w:tab w:val="right" w:leader="dot" w:pos="4171"/>
        </w:tabs>
        <w:spacing w:line="240" w:lineRule="auto"/>
      </w:pPr>
      <w:r w:rsidRPr="003D1E07">
        <w:t>Suárez, F.</w:t>
      </w:r>
      <w:r w:rsidRPr="003D1E07">
        <w:tab/>
        <w:t>112, 315, 332, 457</w:t>
      </w:r>
    </w:p>
    <w:p w14:paraId="5196B66C" w14:textId="77777777" w:rsidR="00C04C0A" w:rsidRPr="003D1E07" w:rsidRDefault="00C04C0A" w:rsidP="00C04C0A">
      <w:pPr>
        <w:pStyle w:val="Rejstk1"/>
        <w:tabs>
          <w:tab w:val="right" w:leader="dot" w:pos="4171"/>
        </w:tabs>
        <w:spacing w:line="240" w:lineRule="auto"/>
      </w:pPr>
      <w:r w:rsidRPr="003D1E07">
        <w:rPr>
          <w:i/>
        </w:rPr>
        <w:t>subiectum</w:t>
      </w:r>
      <w:r w:rsidRPr="003D1E07">
        <w:tab/>
        <w:t>33</w:t>
      </w:r>
    </w:p>
    <w:p w14:paraId="1DE139F5" w14:textId="77777777" w:rsidR="00C04C0A" w:rsidRPr="003D1E07" w:rsidRDefault="00C04C0A" w:rsidP="00C04C0A">
      <w:pPr>
        <w:pStyle w:val="Rejstk2"/>
        <w:tabs>
          <w:tab w:val="right" w:leader="dot" w:pos="4171"/>
        </w:tabs>
        <w:spacing w:line="240" w:lineRule="auto"/>
      </w:pPr>
      <w:r w:rsidRPr="003D1E07">
        <w:t>Al-Fárábí</w:t>
      </w:r>
      <w:r w:rsidRPr="003D1E07">
        <w:tab/>
        <w:t>208, 217</w:t>
      </w:r>
    </w:p>
    <w:p w14:paraId="647934FB" w14:textId="77777777" w:rsidR="00C04C0A" w:rsidRPr="003D1E07" w:rsidRDefault="00C04C0A" w:rsidP="00C04C0A">
      <w:pPr>
        <w:pStyle w:val="Rejstk2"/>
        <w:tabs>
          <w:tab w:val="right" w:leader="dot" w:pos="4171"/>
        </w:tabs>
        <w:spacing w:line="240" w:lineRule="auto"/>
      </w:pPr>
      <w:r w:rsidRPr="003D1E07">
        <w:t>duše</w:t>
      </w:r>
      <w:r w:rsidRPr="003D1E07">
        <w:tab/>
        <w:t>410</w:t>
      </w:r>
    </w:p>
    <w:p w14:paraId="18F27E3E" w14:textId="77777777" w:rsidR="00C04C0A" w:rsidRPr="003D1E07" w:rsidRDefault="00C04C0A" w:rsidP="00C04C0A">
      <w:pPr>
        <w:pStyle w:val="Rejstk2"/>
        <w:tabs>
          <w:tab w:val="right" w:leader="dot" w:pos="4171"/>
        </w:tabs>
        <w:spacing w:line="240" w:lineRule="auto"/>
      </w:pPr>
      <w:r w:rsidRPr="003D1E07">
        <w:t>třetího druhu</w:t>
      </w:r>
      <w:r w:rsidRPr="003D1E07">
        <w:tab/>
        <w:t>60, 125, 165, 225, 273, 274, 307</w:t>
      </w:r>
    </w:p>
    <w:p w14:paraId="29E1CA12" w14:textId="77777777" w:rsidR="00C04C0A" w:rsidRPr="003D1E07" w:rsidRDefault="00C04C0A" w:rsidP="00C04C0A">
      <w:pPr>
        <w:pStyle w:val="Rejstk1"/>
        <w:tabs>
          <w:tab w:val="right" w:leader="dot" w:pos="4171"/>
        </w:tabs>
        <w:spacing w:line="240" w:lineRule="auto"/>
      </w:pPr>
      <w:r w:rsidRPr="003D1E07">
        <w:t>subsistence</w:t>
      </w:r>
      <w:r w:rsidRPr="003D1E07">
        <w:tab/>
        <w:t>82</w:t>
      </w:r>
    </w:p>
    <w:p w14:paraId="5611DB32" w14:textId="77777777" w:rsidR="00C04C0A" w:rsidRPr="003D1E07" w:rsidRDefault="00C04C0A" w:rsidP="00C04C0A">
      <w:pPr>
        <w:pStyle w:val="Rejstk1"/>
        <w:tabs>
          <w:tab w:val="right" w:leader="dot" w:pos="4171"/>
        </w:tabs>
        <w:spacing w:line="240" w:lineRule="auto"/>
      </w:pPr>
      <w:r w:rsidRPr="003D1E07">
        <w:t>substance</w:t>
      </w:r>
    </w:p>
    <w:p w14:paraId="0612F205" w14:textId="77777777" w:rsidR="00C04C0A" w:rsidRPr="003D1E07" w:rsidRDefault="00C04C0A" w:rsidP="00C04C0A">
      <w:pPr>
        <w:pStyle w:val="Rejstk2"/>
        <w:tabs>
          <w:tab w:val="right" w:leader="dot" w:pos="4171"/>
        </w:tabs>
        <w:spacing w:line="240" w:lineRule="auto"/>
      </w:pPr>
      <w:r w:rsidRPr="003D1E07">
        <w:rPr>
          <w:i/>
        </w:rPr>
        <w:t>absolute</w:t>
      </w:r>
      <w:r w:rsidRPr="003D1E07">
        <w:tab/>
        <w:t>292</w:t>
      </w:r>
    </w:p>
    <w:p w14:paraId="1FDB7007" w14:textId="77777777" w:rsidR="00C04C0A" w:rsidRPr="003D1E07" w:rsidRDefault="00C04C0A" w:rsidP="00C04C0A">
      <w:pPr>
        <w:pStyle w:val="Rejstk2"/>
        <w:tabs>
          <w:tab w:val="right" w:leader="dot" w:pos="4171"/>
        </w:tabs>
        <w:spacing w:line="240" w:lineRule="auto"/>
      </w:pPr>
      <w:r w:rsidRPr="003D1E07">
        <w:t>absolutní</w:t>
      </w:r>
      <w:r w:rsidRPr="003D1E07">
        <w:tab/>
        <w:t>284</w:t>
      </w:r>
    </w:p>
    <w:p w14:paraId="40657796" w14:textId="77777777" w:rsidR="00C04C0A" w:rsidRPr="003D1E07" w:rsidRDefault="00C04C0A" w:rsidP="00C04C0A">
      <w:pPr>
        <w:pStyle w:val="Rejstk2"/>
        <w:tabs>
          <w:tab w:val="right" w:leader="dot" w:pos="4171"/>
        </w:tabs>
        <w:spacing w:line="240" w:lineRule="auto"/>
      </w:pPr>
      <w:r w:rsidRPr="003D1E07">
        <w:t>Al-Fárábí</w:t>
      </w:r>
      <w:r w:rsidRPr="003D1E07">
        <w:tab/>
        <w:t>177, 180, 221, 230, 353, 475</w:t>
      </w:r>
    </w:p>
    <w:p w14:paraId="0FA9946E" w14:textId="77777777" w:rsidR="00C04C0A" w:rsidRPr="003D1E07" w:rsidRDefault="00C04C0A" w:rsidP="00C04C0A">
      <w:pPr>
        <w:pStyle w:val="Rejstk2"/>
        <w:tabs>
          <w:tab w:val="right" w:leader="dot" w:pos="4171"/>
        </w:tabs>
        <w:spacing w:line="240" w:lineRule="auto"/>
      </w:pPr>
      <w:r w:rsidRPr="003D1E07">
        <w:rPr>
          <w:i/>
        </w:rPr>
        <w:t>aliud esse</w:t>
      </w:r>
      <w:r w:rsidRPr="003D1E07">
        <w:tab/>
        <w:t>201, 206, 210, 212, 219</w:t>
      </w:r>
    </w:p>
    <w:p w14:paraId="77AFF8C1" w14:textId="77777777" w:rsidR="00C04C0A" w:rsidRPr="003D1E07" w:rsidRDefault="00C04C0A" w:rsidP="00C04C0A">
      <w:pPr>
        <w:pStyle w:val="Rejstk2"/>
        <w:tabs>
          <w:tab w:val="right" w:leader="dot" w:pos="4171"/>
        </w:tabs>
        <w:spacing w:line="240" w:lineRule="auto"/>
      </w:pPr>
      <w:r w:rsidRPr="003D1E07">
        <w:t>atomární</w:t>
      </w:r>
      <w:r w:rsidRPr="003D1E07">
        <w:tab/>
        <w:t>96, 97, 98, 101, 105, 107, 108, 131, 134, 149, 152, 201, 205, 229, 287, 475</w:t>
      </w:r>
    </w:p>
    <w:p w14:paraId="34E6F82E" w14:textId="77777777" w:rsidR="00C04C0A" w:rsidRPr="003D1E07" w:rsidRDefault="00C04C0A" w:rsidP="00C04C0A">
      <w:pPr>
        <w:pStyle w:val="Rejstk2"/>
        <w:tabs>
          <w:tab w:val="right" w:leader="dot" w:pos="4171"/>
        </w:tabs>
        <w:spacing w:line="240" w:lineRule="auto"/>
      </w:pPr>
      <w:r w:rsidRPr="003D1E07">
        <w:t>Averroes</w:t>
      </w:r>
      <w:r w:rsidRPr="003D1E07">
        <w:tab/>
        <w:t>358, 368</w:t>
      </w:r>
    </w:p>
    <w:p w14:paraId="1BCBBE20" w14:textId="77777777" w:rsidR="00C04C0A" w:rsidRPr="003D1E07" w:rsidRDefault="00C04C0A" w:rsidP="00C04C0A">
      <w:pPr>
        <w:pStyle w:val="Rejstk2"/>
        <w:tabs>
          <w:tab w:val="right" w:leader="dot" w:pos="4171"/>
        </w:tabs>
        <w:spacing w:line="240" w:lineRule="auto"/>
      </w:pPr>
      <w:r w:rsidRPr="003D1E07">
        <w:t>Avicenna</w:t>
      </w:r>
      <w:r w:rsidRPr="003D1E07">
        <w:tab/>
        <w:t>230, 258, 285, 299, 312, 339</w:t>
      </w:r>
    </w:p>
    <w:p w14:paraId="72499B0D" w14:textId="77777777" w:rsidR="00C04C0A" w:rsidRPr="003D1E07" w:rsidRDefault="00C04C0A" w:rsidP="00C04C0A">
      <w:pPr>
        <w:pStyle w:val="Rejstk2"/>
        <w:tabs>
          <w:tab w:val="right" w:leader="dot" w:pos="4171"/>
        </w:tabs>
        <w:spacing w:line="240" w:lineRule="auto"/>
      </w:pPr>
      <w:r w:rsidRPr="003D1E07">
        <w:t>Descartes</w:t>
      </w:r>
      <w:r w:rsidRPr="003D1E07">
        <w:tab/>
        <w:t>272</w:t>
      </w:r>
    </w:p>
    <w:p w14:paraId="0CCE423A" w14:textId="77777777" w:rsidR="00C04C0A" w:rsidRPr="003D1E07" w:rsidRDefault="00C04C0A" w:rsidP="00C04C0A">
      <w:pPr>
        <w:pStyle w:val="Rejstk2"/>
        <w:tabs>
          <w:tab w:val="right" w:leader="dot" w:pos="4171"/>
        </w:tabs>
        <w:spacing w:line="240" w:lineRule="auto"/>
      </w:pPr>
      <w:r w:rsidRPr="003D1E07">
        <w:t>Dexippus</w:t>
      </w:r>
      <w:r w:rsidRPr="003D1E07">
        <w:tab/>
        <w:t>127</w:t>
      </w:r>
    </w:p>
    <w:p w14:paraId="5FCF7253" w14:textId="77777777" w:rsidR="00C04C0A" w:rsidRPr="003D1E07" w:rsidRDefault="00C04C0A" w:rsidP="00C04C0A">
      <w:pPr>
        <w:pStyle w:val="Rejstk2"/>
        <w:tabs>
          <w:tab w:val="right" w:leader="dot" w:pos="4171"/>
        </w:tabs>
        <w:spacing w:line="240" w:lineRule="auto"/>
      </w:pPr>
      <w:r w:rsidRPr="003D1E07">
        <w:t>druhá</w:t>
      </w:r>
      <w:r w:rsidRPr="003D1E07">
        <w:tab/>
        <w:t>85, 296, 353, 420</w:t>
      </w:r>
    </w:p>
    <w:p w14:paraId="3461D064" w14:textId="77777777" w:rsidR="00C04C0A" w:rsidRPr="003D1E07" w:rsidRDefault="00C04C0A" w:rsidP="00C04C0A">
      <w:pPr>
        <w:pStyle w:val="Rejstk2"/>
        <w:tabs>
          <w:tab w:val="right" w:leader="dot" w:pos="4171"/>
        </w:tabs>
        <w:spacing w:line="240" w:lineRule="auto"/>
      </w:pPr>
      <w:r w:rsidRPr="003D1E07">
        <w:t>duše</w:t>
      </w:r>
      <w:r w:rsidRPr="003D1E07">
        <w:tab/>
        <w:t>399</w:t>
      </w:r>
    </w:p>
    <w:p w14:paraId="278457EF" w14:textId="77777777" w:rsidR="00C04C0A" w:rsidRPr="003D1E07" w:rsidRDefault="00C04C0A" w:rsidP="00C04C0A">
      <w:pPr>
        <w:pStyle w:val="Rejstk2"/>
        <w:tabs>
          <w:tab w:val="right" w:leader="dot" w:pos="4171"/>
        </w:tabs>
        <w:spacing w:line="240" w:lineRule="auto"/>
      </w:pPr>
      <w:r w:rsidRPr="003D1E07">
        <w:t>fyzikální</w:t>
      </w:r>
      <w:r w:rsidRPr="003D1E07">
        <w:tab/>
        <w:t>160, 161</w:t>
      </w:r>
    </w:p>
    <w:p w14:paraId="1B2E29DE" w14:textId="77777777" w:rsidR="00C04C0A" w:rsidRPr="003D1E07" w:rsidRDefault="00C04C0A" w:rsidP="00C04C0A">
      <w:pPr>
        <w:pStyle w:val="Rejstk2"/>
        <w:tabs>
          <w:tab w:val="right" w:leader="dot" w:pos="4171"/>
        </w:tabs>
        <w:spacing w:line="240" w:lineRule="auto"/>
      </w:pPr>
      <w:r w:rsidRPr="003D1E07">
        <w:t>gigantomachie</w:t>
      </w:r>
      <w:r w:rsidRPr="003D1E07">
        <w:tab/>
        <w:t>108, 148, 168, 174, 196, 251, 376</w:t>
      </w:r>
    </w:p>
    <w:p w14:paraId="5508EC69" w14:textId="77777777" w:rsidR="00C04C0A" w:rsidRPr="003D1E07" w:rsidRDefault="00C04C0A" w:rsidP="00C04C0A">
      <w:pPr>
        <w:pStyle w:val="Rejstk2"/>
        <w:tabs>
          <w:tab w:val="right" w:leader="dot" w:pos="4171"/>
        </w:tabs>
        <w:spacing w:line="240" w:lineRule="auto"/>
      </w:pPr>
      <w:r w:rsidRPr="003D1E07">
        <w:t>hylemorfická</w:t>
      </w:r>
      <w:r w:rsidRPr="003D1E07">
        <w:tab/>
        <w:t>122, 188, 217, 259, 283, 373, 429</w:t>
      </w:r>
    </w:p>
    <w:p w14:paraId="52624BEA" w14:textId="77777777" w:rsidR="00C04C0A" w:rsidRPr="003D1E07" w:rsidRDefault="00C04C0A" w:rsidP="00C04C0A">
      <w:pPr>
        <w:pStyle w:val="Rejstk2"/>
        <w:tabs>
          <w:tab w:val="right" w:leader="dot" w:pos="4171"/>
        </w:tabs>
        <w:spacing w:line="240" w:lineRule="auto"/>
      </w:pPr>
      <w:r w:rsidRPr="003D1E07">
        <w:t>hyparchická</w:t>
      </w:r>
      <w:r w:rsidRPr="003D1E07">
        <w:tab/>
        <w:t>153</w:t>
      </w:r>
    </w:p>
    <w:p w14:paraId="20072CB2" w14:textId="77777777" w:rsidR="00C04C0A" w:rsidRPr="003D1E07" w:rsidRDefault="00C04C0A" w:rsidP="00C04C0A">
      <w:pPr>
        <w:pStyle w:val="Rejstk2"/>
        <w:tabs>
          <w:tab w:val="right" w:leader="dot" w:pos="4171"/>
        </w:tabs>
        <w:spacing w:line="240" w:lineRule="auto"/>
      </w:pPr>
      <w:r w:rsidRPr="003D1E07">
        <w:lastRenderedPageBreak/>
        <w:t>Ibn-Ádí</w:t>
      </w:r>
      <w:r w:rsidRPr="003D1E07">
        <w:tab/>
        <w:t>241, 244</w:t>
      </w:r>
    </w:p>
    <w:p w14:paraId="4E4A7697" w14:textId="77777777" w:rsidR="00C04C0A" w:rsidRPr="003D1E07" w:rsidRDefault="00C04C0A" w:rsidP="00C04C0A">
      <w:pPr>
        <w:pStyle w:val="Rejstk2"/>
        <w:tabs>
          <w:tab w:val="right" w:leader="dot" w:pos="4171"/>
        </w:tabs>
        <w:spacing w:line="240" w:lineRule="auto"/>
      </w:pPr>
      <w:r w:rsidRPr="003D1E07">
        <w:t>individuum</w:t>
      </w:r>
      <w:r w:rsidRPr="003D1E07">
        <w:tab/>
        <w:t>97, 98, 101, 110, 131, 229, 285</w:t>
      </w:r>
    </w:p>
    <w:p w14:paraId="19B4551A" w14:textId="77777777" w:rsidR="00C04C0A" w:rsidRPr="003D1E07" w:rsidRDefault="00C04C0A" w:rsidP="00C04C0A">
      <w:pPr>
        <w:pStyle w:val="Rejstk2"/>
        <w:tabs>
          <w:tab w:val="right" w:leader="dot" w:pos="4171"/>
        </w:tabs>
        <w:spacing w:line="240" w:lineRule="auto"/>
      </w:pPr>
      <w:r w:rsidRPr="003D1E07">
        <w:t>intelekt</w:t>
      </w:r>
      <w:r w:rsidRPr="003D1E07">
        <w:tab/>
        <w:t>393, 395, 396, 408, 411, 418, 424, 427, 460</w:t>
      </w:r>
    </w:p>
    <w:p w14:paraId="36317C8B" w14:textId="77777777" w:rsidR="00C04C0A" w:rsidRPr="003D1E07" w:rsidRDefault="00C04C0A" w:rsidP="00C04C0A">
      <w:pPr>
        <w:pStyle w:val="Rejstk2"/>
        <w:tabs>
          <w:tab w:val="right" w:leader="dot" w:pos="4171"/>
        </w:tabs>
        <w:spacing w:line="240" w:lineRule="auto"/>
      </w:pPr>
      <w:r w:rsidRPr="003D1E07">
        <w:t>jednota osoby</w:t>
      </w:r>
      <w:r w:rsidRPr="003D1E07">
        <w:tab/>
        <w:t>414</w:t>
      </w:r>
    </w:p>
    <w:p w14:paraId="2383BFE2" w14:textId="77777777" w:rsidR="00C04C0A" w:rsidRPr="003D1E07" w:rsidRDefault="00C04C0A" w:rsidP="00C04C0A">
      <w:pPr>
        <w:pStyle w:val="Rejstk2"/>
        <w:tabs>
          <w:tab w:val="right" w:leader="dot" w:pos="4171"/>
        </w:tabs>
        <w:spacing w:line="240" w:lineRule="auto"/>
      </w:pPr>
      <w:r w:rsidRPr="003D1E07">
        <w:t>kategoriální danost</w:t>
      </w:r>
      <w:r w:rsidRPr="003D1E07">
        <w:tab/>
        <w:t>60</w:t>
      </w:r>
    </w:p>
    <w:p w14:paraId="1064FD59" w14:textId="77777777" w:rsidR="00C04C0A" w:rsidRPr="003D1E07" w:rsidRDefault="00C04C0A" w:rsidP="00C04C0A">
      <w:pPr>
        <w:pStyle w:val="Rejstk2"/>
        <w:tabs>
          <w:tab w:val="right" w:leader="dot" w:pos="4171"/>
        </w:tabs>
        <w:spacing w:line="240" w:lineRule="auto"/>
      </w:pPr>
      <w:r w:rsidRPr="003D1E07">
        <w:t>nehybná</w:t>
      </w:r>
      <w:r w:rsidRPr="003D1E07">
        <w:tab/>
        <w:t>350, 358</w:t>
      </w:r>
    </w:p>
    <w:p w14:paraId="0D57F44F" w14:textId="77777777" w:rsidR="00C04C0A" w:rsidRPr="003D1E07" w:rsidRDefault="00C04C0A" w:rsidP="00C04C0A">
      <w:pPr>
        <w:pStyle w:val="Rejstk2"/>
        <w:tabs>
          <w:tab w:val="right" w:leader="dot" w:pos="4171"/>
        </w:tabs>
        <w:spacing w:line="240" w:lineRule="auto"/>
      </w:pPr>
      <w:r w:rsidRPr="003D1E07">
        <w:t>neoplatonismus</w:t>
      </w:r>
      <w:r w:rsidRPr="003D1E07">
        <w:tab/>
        <w:t>125, 126, 148</w:t>
      </w:r>
    </w:p>
    <w:p w14:paraId="02443E4A" w14:textId="77777777" w:rsidR="00C04C0A" w:rsidRPr="003D1E07" w:rsidRDefault="00C04C0A" w:rsidP="00C04C0A">
      <w:pPr>
        <w:pStyle w:val="Rejstk2"/>
        <w:tabs>
          <w:tab w:val="right" w:leader="dot" w:pos="4171"/>
        </w:tabs>
        <w:spacing w:line="240" w:lineRule="auto"/>
      </w:pPr>
      <w:r w:rsidRPr="003D1E07">
        <w:t>nihilismus</w:t>
      </w:r>
      <w:r w:rsidRPr="003D1E07">
        <w:tab/>
        <w:t>294, 318</w:t>
      </w:r>
    </w:p>
    <w:p w14:paraId="0F164A38" w14:textId="77777777" w:rsidR="00C04C0A" w:rsidRPr="003D1E07" w:rsidRDefault="00C04C0A" w:rsidP="00C04C0A">
      <w:pPr>
        <w:pStyle w:val="Rejstk2"/>
        <w:tabs>
          <w:tab w:val="right" w:leader="dot" w:pos="4171"/>
        </w:tabs>
        <w:spacing w:line="240" w:lineRule="auto"/>
      </w:pPr>
      <w:r w:rsidRPr="003D1E07">
        <w:t>objektivní</w:t>
      </w:r>
      <w:r w:rsidRPr="003D1E07">
        <w:tab/>
        <w:t>111</w:t>
      </w:r>
    </w:p>
    <w:p w14:paraId="6529F5B3" w14:textId="77777777" w:rsidR="00C04C0A" w:rsidRPr="003D1E07" w:rsidRDefault="00C04C0A" w:rsidP="00C04C0A">
      <w:pPr>
        <w:pStyle w:val="Rejstk2"/>
        <w:tabs>
          <w:tab w:val="right" w:leader="dot" w:pos="4171"/>
        </w:tabs>
        <w:spacing w:line="240" w:lineRule="auto"/>
      </w:pPr>
      <w:r w:rsidRPr="003D1E07">
        <w:rPr>
          <w:i/>
        </w:rPr>
        <w:t>parousía</w:t>
      </w:r>
      <w:r w:rsidRPr="003D1E07">
        <w:tab/>
        <w:t>320</w:t>
      </w:r>
    </w:p>
    <w:p w14:paraId="15C3BD14" w14:textId="77777777" w:rsidR="00C04C0A" w:rsidRPr="003D1E07" w:rsidRDefault="00C04C0A" w:rsidP="00C04C0A">
      <w:pPr>
        <w:pStyle w:val="Rejstk2"/>
        <w:tabs>
          <w:tab w:val="right" w:leader="dot" w:pos="4171"/>
        </w:tabs>
        <w:spacing w:line="240" w:lineRule="auto"/>
      </w:pPr>
      <w:r w:rsidRPr="003D1E07">
        <w:rPr>
          <w:i/>
        </w:rPr>
        <w:t>per prius</w:t>
      </w:r>
      <w:r w:rsidRPr="003D1E07">
        <w:tab/>
        <w:t>84</w:t>
      </w:r>
    </w:p>
    <w:p w14:paraId="11397512" w14:textId="77777777" w:rsidR="00C04C0A" w:rsidRPr="003D1E07" w:rsidRDefault="00C04C0A" w:rsidP="00C04C0A">
      <w:pPr>
        <w:pStyle w:val="Rejstk2"/>
        <w:tabs>
          <w:tab w:val="right" w:leader="dot" w:pos="4171"/>
        </w:tabs>
        <w:spacing w:line="240" w:lineRule="auto"/>
      </w:pPr>
      <w:r w:rsidRPr="003D1E07">
        <w:rPr>
          <w:i/>
        </w:rPr>
        <w:t>per se</w:t>
      </w:r>
      <w:r w:rsidRPr="003D1E07">
        <w:tab/>
        <w:t>180, 184</w:t>
      </w:r>
    </w:p>
    <w:p w14:paraId="644CEDFB" w14:textId="77777777" w:rsidR="00C04C0A" w:rsidRPr="003D1E07" w:rsidRDefault="00C04C0A" w:rsidP="00C04C0A">
      <w:pPr>
        <w:pStyle w:val="Rejstk2"/>
        <w:tabs>
          <w:tab w:val="right" w:leader="dot" w:pos="4171"/>
        </w:tabs>
        <w:spacing w:line="240" w:lineRule="auto"/>
      </w:pPr>
      <w:r w:rsidRPr="003D1E07">
        <w:t>Platon</w:t>
      </w:r>
      <w:r w:rsidRPr="003D1E07">
        <w:tab/>
        <w:t>7, 30, 47</w:t>
      </w:r>
    </w:p>
    <w:p w14:paraId="7652AA18" w14:textId="77777777" w:rsidR="00C04C0A" w:rsidRPr="003D1E07" w:rsidRDefault="00C04C0A" w:rsidP="00C04C0A">
      <w:pPr>
        <w:pStyle w:val="Rejstk2"/>
        <w:tabs>
          <w:tab w:val="right" w:leader="dot" w:pos="4171"/>
        </w:tabs>
        <w:spacing w:line="240" w:lineRule="auto"/>
      </w:pPr>
      <w:r w:rsidRPr="003D1E07">
        <w:t>Plotinos</w:t>
      </w:r>
      <w:r w:rsidRPr="003D1E07">
        <w:tab/>
        <w:t>82</w:t>
      </w:r>
    </w:p>
    <w:p w14:paraId="5C545AD8" w14:textId="77777777" w:rsidR="00C04C0A" w:rsidRPr="003D1E07" w:rsidRDefault="00C04C0A" w:rsidP="00C04C0A">
      <w:pPr>
        <w:pStyle w:val="Rejstk2"/>
        <w:tabs>
          <w:tab w:val="right" w:leader="dot" w:pos="4171"/>
        </w:tabs>
        <w:spacing w:line="240" w:lineRule="auto"/>
      </w:pPr>
      <w:r w:rsidRPr="003D1E07">
        <w:t>Porfyrius</w:t>
      </w:r>
      <w:r w:rsidRPr="003D1E07">
        <w:tab/>
        <w:t>90, 93, 112</w:t>
      </w:r>
    </w:p>
    <w:p w14:paraId="2B2E01B0" w14:textId="77777777" w:rsidR="00C04C0A" w:rsidRPr="003D1E07" w:rsidRDefault="00C04C0A" w:rsidP="00C04C0A">
      <w:pPr>
        <w:pStyle w:val="Rejstk2"/>
        <w:tabs>
          <w:tab w:val="right" w:leader="dot" w:pos="4171"/>
        </w:tabs>
        <w:spacing w:line="240" w:lineRule="auto"/>
      </w:pPr>
      <w:r w:rsidRPr="003D1E07">
        <w:t>Proklus</w:t>
      </w:r>
      <w:r w:rsidRPr="003D1E07">
        <w:tab/>
        <w:t>120</w:t>
      </w:r>
    </w:p>
    <w:p w14:paraId="1F038206" w14:textId="77777777" w:rsidR="00C04C0A" w:rsidRPr="003D1E07" w:rsidRDefault="00C04C0A" w:rsidP="00C04C0A">
      <w:pPr>
        <w:pStyle w:val="Rejstk2"/>
        <w:tabs>
          <w:tab w:val="right" w:leader="dot" w:pos="4171"/>
        </w:tabs>
        <w:spacing w:line="240" w:lineRule="auto"/>
      </w:pPr>
      <w:r w:rsidRPr="003D1E07">
        <w:t>první</w:t>
      </w:r>
      <w:r w:rsidRPr="003D1E07">
        <w:tab/>
        <w:t>83, 84, 86, 131, 134, 138, 170, 178, 197, 254, 308, 335, 339, 357, 370, 392, 409, 430, 480</w:t>
      </w:r>
    </w:p>
    <w:p w14:paraId="653F4667" w14:textId="77777777" w:rsidR="00C04C0A" w:rsidRPr="003D1E07" w:rsidRDefault="00C04C0A" w:rsidP="00C04C0A">
      <w:pPr>
        <w:pStyle w:val="Rejstk2"/>
        <w:tabs>
          <w:tab w:val="right" w:leader="dot" w:pos="4171"/>
        </w:tabs>
        <w:spacing w:line="240" w:lineRule="auto"/>
      </w:pPr>
      <w:r w:rsidRPr="003D1E07">
        <w:t>rod</w:t>
      </w:r>
      <w:r w:rsidRPr="003D1E07">
        <w:tab/>
        <w:t>87, 90</w:t>
      </w:r>
    </w:p>
    <w:p w14:paraId="477CDD52" w14:textId="77777777" w:rsidR="00C04C0A" w:rsidRPr="003D1E07" w:rsidRDefault="00C04C0A" w:rsidP="00C04C0A">
      <w:pPr>
        <w:pStyle w:val="Rejstk2"/>
        <w:tabs>
          <w:tab w:val="right" w:leader="dot" w:pos="4171"/>
        </w:tabs>
        <w:spacing w:line="240" w:lineRule="auto"/>
      </w:pPr>
      <w:r w:rsidRPr="003D1E07">
        <w:t>rozsažnost</w:t>
      </w:r>
      <w:r w:rsidRPr="003D1E07">
        <w:tab/>
        <w:t>159</w:t>
      </w:r>
    </w:p>
    <w:p w14:paraId="1C436EF4" w14:textId="77777777" w:rsidR="00C04C0A" w:rsidRPr="003D1E07" w:rsidRDefault="00C04C0A" w:rsidP="00C04C0A">
      <w:pPr>
        <w:pStyle w:val="Rejstk2"/>
        <w:tabs>
          <w:tab w:val="right" w:leader="dot" w:pos="4171"/>
        </w:tabs>
        <w:spacing w:line="240" w:lineRule="auto"/>
      </w:pPr>
      <w:r w:rsidRPr="003D1E07">
        <w:t>Simplikius</w:t>
      </w:r>
      <w:r w:rsidRPr="003D1E07">
        <w:tab/>
        <w:t>130, 133, 147</w:t>
      </w:r>
    </w:p>
    <w:p w14:paraId="62044A26" w14:textId="77777777" w:rsidR="00C04C0A" w:rsidRPr="003D1E07" w:rsidRDefault="00C04C0A" w:rsidP="00C04C0A">
      <w:pPr>
        <w:pStyle w:val="Rejstk2"/>
        <w:tabs>
          <w:tab w:val="right" w:leader="dot" w:pos="4171"/>
        </w:tabs>
        <w:spacing w:line="240" w:lineRule="auto"/>
      </w:pPr>
      <w:r w:rsidRPr="003D1E07">
        <w:rPr>
          <w:i/>
        </w:rPr>
        <w:t>species</w:t>
      </w:r>
      <w:r w:rsidRPr="003D1E07">
        <w:tab/>
        <w:t>94, 98, 130, 149, 154</w:t>
      </w:r>
    </w:p>
    <w:p w14:paraId="599D86E5" w14:textId="77777777" w:rsidR="00C04C0A" w:rsidRPr="003D1E07" w:rsidRDefault="00C04C0A" w:rsidP="00C04C0A">
      <w:pPr>
        <w:pStyle w:val="Rejstk2"/>
        <w:tabs>
          <w:tab w:val="right" w:leader="dot" w:pos="4171"/>
        </w:tabs>
        <w:spacing w:line="240" w:lineRule="auto"/>
      </w:pPr>
      <w:r w:rsidRPr="003D1E07">
        <w:rPr>
          <w:i/>
        </w:rPr>
        <w:t>tertium ens</w:t>
      </w:r>
      <w:r w:rsidRPr="003D1E07">
        <w:tab/>
        <w:t>104</w:t>
      </w:r>
    </w:p>
    <w:p w14:paraId="0B4CD909" w14:textId="77777777" w:rsidR="00C04C0A" w:rsidRPr="003D1E07" w:rsidRDefault="00C04C0A" w:rsidP="00C04C0A">
      <w:pPr>
        <w:pStyle w:val="Rejstk2"/>
        <w:tabs>
          <w:tab w:val="right" w:leader="dot" w:pos="4171"/>
        </w:tabs>
        <w:spacing w:line="240" w:lineRule="auto"/>
      </w:pPr>
      <w:r w:rsidRPr="003D1E07">
        <w:t>třetího druhu</w:t>
      </w:r>
      <w:r w:rsidRPr="003D1E07">
        <w:tab/>
        <w:t>79, 133, 184, 200, 288, 290, 313</w:t>
      </w:r>
    </w:p>
    <w:p w14:paraId="1E2ED995" w14:textId="77777777" w:rsidR="00C04C0A" w:rsidRPr="003D1E07" w:rsidRDefault="00C04C0A" w:rsidP="00C04C0A">
      <w:pPr>
        <w:pStyle w:val="Rejstk2"/>
        <w:tabs>
          <w:tab w:val="right" w:leader="dot" w:pos="4171"/>
        </w:tabs>
        <w:spacing w:line="240" w:lineRule="auto"/>
      </w:pPr>
      <w:r w:rsidRPr="003D1E07">
        <w:t>univerzália</w:t>
      </w:r>
      <w:r w:rsidRPr="003D1E07">
        <w:tab/>
        <w:t>224</w:t>
      </w:r>
    </w:p>
    <w:p w14:paraId="065DDC29" w14:textId="77777777" w:rsidR="00C04C0A" w:rsidRPr="003D1E07" w:rsidRDefault="00C04C0A" w:rsidP="00C04C0A">
      <w:pPr>
        <w:pStyle w:val="Rejstk2"/>
        <w:tabs>
          <w:tab w:val="right" w:leader="dot" w:pos="4171"/>
        </w:tabs>
        <w:spacing w:line="240" w:lineRule="auto"/>
      </w:pPr>
      <w:r w:rsidRPr="003D1E07">
        <w:t>zatmění</w:t>
      </w:r>
      <w:r w:rsidRPr="003D1E07">
        <w:tab/>
        <w:t>137, 152, 173, 196</w:t>
      </w:r>
    </w:p>
    <w:p w14:paraId="59D3B8C1" w14:textId="77777777" w:rsidR="00C04C0A" w:rsidRPr="003D1E07" w:rsidRDefault="00C04C0A" w:rsidP="00C04C0A">
      <w:pPr>
        <w:pStyle w:val="Rejstk2"/>
        <w:tabs>
          <w:tab w:val="right" w:leader="dot" w:pos="4171"/>
        </w:tabs>
        <w:spacing w:line="240" w:lineRule="auto"/>
      </w:pPr>
      <w:r w:rsidRPr="003D1E07">
        <w:t>πρός τι</w:t>
      </w:r>
      <w:r w:rsidRPr="003D1E07">
        <w:tab/>
        <w:t>297</w:t>
      </w:r>
    </w:p>
    <w:p w14:paraId="534A28C8" w14:textId="77777777" w:rsidR="00310F7D" w:rsidRPr="003D1E07" w:rsidRDefault="00310F7D" w:rsidP="00310F7D">
      <w:pPr>
        <w:pStyle w:val="Rejstk2"/>
        <w:tabs>
          <w:tab w:val="right" w:leader="dot" w:pos="4171"/>
        </w:tabs>
        <w:spacing w:line="240" w:lineRule="auto"/>
      </w:pPr>
      <w:r w:rsidRPr="003D1E07">
        <w:t>τί ἐστι</w:t>
      </w:r>
      <w:r w:rsidRPr="003D1E07">
        <w:tab/>
        <w:t>337</w:t>
      </w:r>
    </w:p>
    <w:p w14:paraId="2A63B63B" w14:textId="77777777" w:rsidR="00C04C0A" w:rsidRPr="003D1E07" w:rsidRDefault="00C04C0A" w:rsidP="00C04C0A">
      <w:pPr>
        <w:pStyle w:val="Rejstk2"/>
        <w:tabs>
          <w:tab w:val="right" w:leader="dot" w:pos="4171"/>
        </w:tabs>
        <w:spacing w:line="240" w:lineRule="auto"/>
      </w:pPr>
      <w:r w:rsidRPr="003D1E07">
        <w:t>τό τί ἦν εἶναι</w:t>
      </w:r>
      <w:r w:rsidRPr="003D1E07">
        <w:tab/>
        <w:t>38, 122, 251, 379, 414</w:t>
      </w:r>
    </w:p>
    <w:p w14:paraId="4E52C169" w14:textId="77777777" w:rsidR="00C04C0A" w:rsidRPr="003D1E07" w:rsidRDefault="00C04C0A" w:rsidP="00C04C0A">
      <w:pPr>
        <w:pStyle w:val="Rejstk2"/>
        <w:tabs>
          <w:tab w:val="right" w:leader="dot" w:pos="4171"/>
        </w:tabs>
        <w:spacing w:line="240" w:lineRule="auto"/>
      </w:pPr>
      <w:r w:rsidRPr="003D1E07">
        <w:t>τόδε τι</w:t>
      </w:r>
      <w:r w:rsidRPr="003D1E07">
        <w:tab/>
        <w:t>71, 83, 111, 166, 186, 251, 293, 297, 313, 340, 457</w:t>
      </w:r>
    </w:p>
    <w:p w14:paraId="57D2BA07" w14:textId="77777777" w:rsidR="00C04C0A" w:rsidRPr="003D1E07" w:rsidRDefault="00C04C0A" w:rsidP="00C04C0A">
      <w:pPr>
        <w:pStyle w:val="Rejstk2"/>
        <w:tabs>
          <w:tab w:val="right" w:leader="dot" w:pos="4171"/>
        </w:tabs>
        <w:spacing w:line="240" w:lineRule="auto"/>
      </w:pPr>
      <w:r w:rsidRPr="003D1E07">
        <w:t>τοιόνδε</w:t>
      </w:r>
      <w:r w:rsidRPr="003D1E07">
        <w:tab/>
        <w:t>112, 122</w:t>
      </w:r>
    </w:p>
    <w:p w14:paraId="4A377310" w14:textId="7167658D" w:rsidR="00C04C0A" w:rsidRPr="003D1E07" w:rsidRDefault="00C04C0A" w:rsidP="00C04C0A">
      <w:pPr>
        <w:pStyle w:val="Rejstk1"/>
        <w:tabs>
          <w:tab w:val="right" w:leader="dot" w:pos="4171"/>
        </w:tabs>
        <w:spacing w:line="240" w:lineRule="auto"/>
      </w:pPr>
      <w:r w:rsidRPr="003D1E07">
        <w:t xml:space="preserve">substance </w:t>
      </w:r>
      <w:r w:rsidRPr="003D1E07">
        <w:rPr>
          <w:i/>
        </w:rPr>
        <w:t>qua</w:t>
      </w:r>
      <w:r w:rsidRPr="003D1E07">
        <w:t xml:space="preserve"> substance</w:t>
      </w:r>
      <w:r w:rsidRPr="003D1E07">
        <w:tab/>
      </w:r>
      <w:r w:rsidR="00310F7D" w:rsidRPr="003D1E07">
        <w:t xml:space="preserve">43, 168, 347, 351, 353, 358, 359, </w:t>
      </w:r>
      <w:r w:rsidRPr="003D1E07">
        <w:t>396, 459, 474</w:t>
      </w:r>
    </w:p>
    <w:p w14:paraId="05EAE71F" w14:textId="77777777" w:rsidR="00C04C0A" w:rsidRPr="003D1E07" w:rsidRDefault="00C04C0A" w:rsidP="00C04C0A">
      <w:pPr>
        <w:pStyle w:val="Rejstk1"/>
        <w:tabs>
          <w:tab w:val="right" w:leader="dot" w:pos="4171"/>
        </w:tabs>
        <w:spacing w:line="240" w:lineRule="auto"/>
      </w:pPr>
      <w:r w:rsidRPr="003D1E07">
        <w:t>súfismus</w:t>
      </w:r>
      <w:r w:rsidRPr="003D1E07">
        <w:tab/>
        <w:t>304, 322</w:t>
      </w:r>
    </w:p>
    <w:p w14:paraId="1FB14982" w14:textId="77777777" w:rsidR="00C04C0A" w:rsidRPr="003D1E07" w:rsidRDefault="00C04C0A" w:rsidP="00C04C0A">
      <w:pPr>
        <w:pStyle w:val="Rejstk1"/>
        <w:tabs>
          <w:tab w:val="right" w:leader="dot" w:pos="4171"/>
        </w:tabs>
        <w:spacing w:line="240" w:lineRule="auto"/>
      </w:pPr>
      <w:r w:rsidRPr="003D1E07">
        <w:rPr>
          <w:i/>
        </w:rPr>
        <w:t>Summa Halensis</w:t>
      </w:r>
      <w:r w:rsidRPr="003D1E07">
        <w:tab/>
        <w:t>167</w:t>
      </w:r>
    </w:p>
    <w:p w14:paraId="6F5DD15F" w14:textId="77777777" w:rsidR="00C04C0A" w:rsidRPr="003D1E07" w:rsidRDefault="00C04C0A" w:rsidP="00C04C0A">
      <w:pPr>
        <w:pStyle w:val="Rejstk1"/>
        <w:tabs>
          <w:tab w:val="right" w:leader="dot" w:pos="4171"/>
        </w:tabs>
        <w:spacing w:line="240" w:lineRule="auto"/>
      </w:pPr>
      <w:r w:rsidRPr="003D1E07">
        <w:t>supozice</w:t>
      </w:r>
    </w:p>
    <w:p w14:paraId="7D361ED9" w14:textId="77777777" w:rsidR="00C04C0A" w:rsidRPr="003D1E07" w:rsidRDefault="00C04C0A" w:rsidP="00C04C0A">
      <w:pPr>
        <w:pStyle w:val="Rejstk2"/>
        <w:tabs>
          <w:tab w:val="right" w:leader="dot" w:pos="4171"/>
        </w:tabs>
        <w:spacing w:line="240" w:lineRule="auto"/>
      </w:pPr>
      <w:r w:rsidRPr="003D1E07">
        <w:t>Al-Fárábí</w:t>
      </w:r>
      <w:r w:rsidRPr="003D1E07">
        <w:tab/>
        <w:t>183, 211</w:t>
      </w:r>
    </w:p>
    <w:p w14:paraId="204A560F" w14:textId="77777777" w:rsidR="00C04C0A" w:rsidRPr="003D1E07" w:rsidRDefault="00C04C0A" w:rsidP="00C04C0A">
      <w:pPr>
        <w:pStyle w:val="Rejstk2"/>
        <w:tabs>
          <w:tab w:val="right" w:leader="dot" w:pos="4171"/>
        </w:tabs>
        <w:spacing w:line="240" w:lineRule="auto"/>
      </w:pPr>
      <w:r w:rsidRPr="003D1E07">
        <w:t>Aristoteles</w:t>
      </w:r>
      <w:r w:rsidRPr="003D1E07">
        <w:tab/>
        <w:t>85, 88</w:t>
      </w:r>
    </w:p>
    <w:p w14:paraId="5ED42E3A" w14:textId="77777777" w:rsidR="00C04C0A" w:rsidRPr="003D1E07" w:rsidRDefault="00C04C0A" w:rsidP="00C04C0A">
      <w:pPr>
        <w:pStyle w:val="Rejstk2"/>
        <w:tabs>
          <w:tab w:val="right" w:leader="dot" w:pos="4171"/>
        </w:tabs>
        <w:spacing w:line="240" w:lineRule="auto"/>
      </w:pPr>
      <w:r w:rsidRPr="003D1E07">
        <w:t>Averroes</w:t>
      </w:r>
      <w:r w:rsidRPr="003D1E07">
        <w:tab/>
        <w:t>431</w:t>
      </w:r>
    </w:p>
    <w:p w14:paraId="0CFE4A6E" w14:textId="77777777" w:rsidR="00C04C0A" w:rsidRPr="003D1E07" w:rsidRDefault="00C04C0A" w:rsidP="00C04C0A">
      <w:pPr>
        <w:pStyle w:val="Rejstk2"/>
        <w:tabs>
          <w:tab w:val="right" w:leader="dot" w:pos="4171"/>
        </w:tabs>
        <w:spacing w:line="240" w:lineRule="auto"/>
      </w:pPr>
      <w:r w:rsidRPr="003D1E07">
        <w:t>Avicenna</w:t>
      </w:r>
      <w:r w:rsidRPr="003D1E07">
        <w:tab/>
        <w:t>299</w:t>
      </w:r>
    </w:p>
    <w:p w14:paraId="127A0BE5" w14:textId="77777777" w:rsidR="00C04C0A" w:rsidRPr="003D1E07" w:rsidRDefault="00C04C0A" w:rsidP="00C04C0A">
      <w:pPr>
        <w:pStyle w:val="Rejstk1"/>
        <w:tabs>
          <w:tab w:val="right" w:leader="dot" w:pos="4171"/>
        </w:tabs>
        <w:spacing w:line="240" w:lineRule="auto"/>
      </w:pPr>
      <w:r w:rsidRPr="003D1E07">
        <w:rPr>
          <w:i/>
        </w:rPr>
        <w:t>sýmbolon</w:t>
      </w:r>
      <w:r w:rsidRPr="003D1E07">
        <w:tab/>
        <w:t>354</w:t>
      </w:r>
    </w:p>
    <w:p w14:paraId="6F2710ED" w14:textId="77777777" w:rsidR="00C04C0A" w:rsidRPr="003D1E07" w:rsidRDefault="00C04C0A" w:rsidP="00C04C0A">
      <w:pPr>
        <w:pStyle w:val="Hlavikarejstku"/>
        <w:keepNext/>
        <w:tabs>
          <w:tab w:val="right" w:leader="dot" w:pos="4171"/>
        </w:tabs>
        <w:spacing w:line="240" w:lineRule="auto"/>
        <w:rPr>
          <w:rFonts w:eastAsia="Times New Roman" w:cs="Times New Roman"/>
          <w:b w:val="0"/>
          <w:bCs w:val="0"/>
        </w:rPr>
      </w:pPr>
      <w:r w:rsidRPr="003D1E07">
        <w:t>T</w:t>
      </w:r>
    </w:p>
    <w:p w14:paraId="48C151E7" w14:textId="77777777" w:rsidR="00C04C0A" w:rsidRPr="003D1E07" w:rsidRDefault="00C04C0A" w:rsidP="00C04C0A">
      <w:pPr>
        <w:pStyle w:val="Rejstk1"/>
        <w:tabs>
          <w:tab w:val="right" w:leader="dot" w:pos="4171"/>
        </w:tabs>
        <w:spacing w:line="240" w:lineRule="auto"/>
      </w:pPr>
      <w:r w:rsidRPr="003D1E07">
        <w:rPr>
          <w:i/>
        </w:rPr>
        <w:t>ta metá ta physiká</w:t>
      </w:r>
      <w:r w:rsidRPr="003D1E07">
        <w:tab/>
        <w:t>356</w:t>
      </w:r>
    </w:p>
    <w:p w14:paraId="3B6FE3DC" w14:textId="77777777" w:rsidR="00C04C0A" w:rsidRPr="003D1E07" w:rsidRDefault="00C04C0A" w:rsidP="00C04C0A">
      <w:pPr>
        <w:pStyle w:val="Rejstk1"/>
        <w:tabs>
          <w:tab w:val="right" w:leader="dot" w:pos="4171"/>
        </w:tabs>
        <w:spacing w:line="240" w:lineRule="auto"/>
      </w:pPr>
      <w:r w:rsidRPr="003D1E07">
        <w:rPr>
          <w:i/>
        </w:rPr>
        <w:t>tá ónta</w:t>
      </w:r>
      <w:r w:rsidRPr="003D1E07">
        <w:tab/>
        <w:t>38, 40</w:t>
      </w:r>
    </w:p>
    <w:p w14:paraId="4E8539B3" w14:textId="77777777" w:rsidR="00C04C0A" w:rsidRPr="003D1E07" w:rsidRDefault="00C04C0A" w:rsidP="00C04C0A">
      <w:pPr>
        <w:pStyle w:val="Rejstk1"/>
        <w:tabs>
          <w:tab w:val="right" w:leader="dot" w:pos="4171"/>
        </w:tabs>
        <w:spacing w:line="240" w:lineRule="auto"/>
      </w:pPr>
      <w:r w:rsidRPr="003D1E07">
        <w:rPr>
          <w:i/>
        </w:rPr>
        <w:t>tabula rasa</w:t>
      </w:r>
      <w:r w:rsidRPr="003D1E07">
        <w:tab/>
        <w:t>87, 211, 263, 271, 380, 384, 424, 466</w:t>
      </w:r>
    </w:p>
    <w:p w14:paraId="68036C81" w14:textId="77777777" w:rsidR="00C04C0A" w:rsidRPr="003D1E07" w:rsidRDefault="00C04C0A" w:rsidP="00C04C0A">
      <w:pPr>
        <w:pStyle w:val="Rejstk1"/>
        <w:tabs>
          <w:tab w:val="right" w:leader="dot" w:pos="4171"/>
        </w:tabs>
        <w:spacing w:line="240" w:lineRule="auto"/>
      </w:pPr>
      <w:r w:rsidRPr="003D1E07">
        <w:rPr>
          <w:i/>
        </w:rPr>
        <w:t>tantum esse</w:t>
      </w:r>
      <w:r w:rsidRPr="003D1E07">
        <w:tab/>
        <w:t>291, 293, 294, 300, 314, 319, 322, 334</w:t>
      </w:r>
    </w:p>
    <w:p w14:paraId="666680F4" w14:textId="77777777" w:rsidR="00C04C0A" w:rsidRPr="003D1E07" w:rsidRDefault="00C04C0A" w:rsidP="00C04C0A">
      <w:pPr>
        <w:pStyle w:val="Rejstk1"/>
        <w:tabs>
          <w:tab w:val="right" w:leader="dot" w:pos="4171"/>
        </w:tabs>
        <w:spacing w:line="240" w:lineRule="auto"/>
      </w:pPr>
      <w:r w:rsidRPr="003D1E07">
        <w:t>Taormina, D. P.</w:t>
      </w:r>
      <w:r w:rsidRPr="003D1E07">
        <w:tab/>
        <w:t>94, 112, 123, 157</w:t>
      </w:r>
    </w:p>
    <w:p w14:paraId="056E06A8" w14:textId="10000369" w:rsidR="00C04C0A" w:rsidRPr="003D1E07" w:rsidRDefault="00C04C0A" w:rsidP="00C04C0A">
      <w:pPr>
        <w:pStyle w:val="Rejstk1"/>
        <w:tabs>
          <w:tab w:val="right" w:leader="dot" w:pos="4171"/>
        </w:tabs>
        <w:spacing w:line="240" w:lineRule="auto"/>
      </w:pPr>
      <w:r w:rsidRPr="003D1E07">
        <w:t>technika</w:t>
      </w:r>
      <w:r w:rsidRPr="003D1E07">
        <w:tab/>
        <w:t>34, 35</w:t>
      </w:r>
      <w:r w:rsidR="00027649" w:rsidRPr="003D1E07">
        <w:t>, 69</w:t>
      </w:r>
    </w:p>
    <w:p w14:paraId="0F6EFD57" w14:textId="77777777" w:rsidR="00C04C0A" w:rsidRPr="003D1E07" w:rsidRDefault="00C04C0A" w:rsidP="00C04C0A">
      <w:pPr>
        <w:pStyle w:val="Rejstk1"/>
        <w:tabs>
          <w:tab w:val="right" w:leader="dot" w:pos="4171"/>
        </w:tabs>
        <w:spacing w:line="240" w:lineRule="auto"/>
      </w:pPr>
      <w:r w:rsidRPr="003D1E07">
        <w:t>těleso</w:t>
      </w:r>
    </w:p>
    <w:p w14:paraId="2FF9B43E" w14:textId="77777777" w:rsidR="00C04C0A" w:rsidRPr="003D1E07" w:rsidRDefault="00C04C0A" w:rsidP="00C04C0A">
      <w:pPr>
        <w:pStyle w:val="Rejstk2"/>
        <w:tabs>
          <w:tab w:val="right" w:leader="dot" w:pos="4171"/>
        </w:tabs>
        <w:spacing w:line="240" w:lineRule="auto"/>
      </w:pPr>
      <w:r w:rsidRPr="003D1E07">
        <w:t>Aristoteles</w:t>
      </w:r>
      <w:r w:rsidRPr="003D1E07">
        <w:tab/>
        <w:t>155</w:t>
      </w:r>
    </w:p>
    <w:p w14:paraId="19848CDC" w14:textId="77777777" w:rsidR="00C04C0A" w:rsidRPr="003D1E07" w:rsidRDefault="00C04C0A" w:rsidP="00C04C0A">
      <w:pPr>
        <w:pStyle w:val="Rejstk2"/>
        <w:tabs>
          <w:tab w:val="right" w:leader="dot" w:pos="4171"/>
        </w:tabs>
        <w:spacing w:line="240" w:lineRule="auto"/>
      </w:pPr>
      <w:r w:rsidRPr="003D1E07">
        <w:t>hylemorfické</w:t>
      </w:r>
      <w:r w:rsidRPr="003D1E07">
        <w:tab/>
        <w:t>161</w:t>
      </w:r>
    </w:p>
    <w:p w14:paraId="0D1CA1B3" w14:textId="77777777" w:rsidR="00C04C0A" w:rsidRPr="003D1E07" w:rsidRDefault="00C04C0A" w:rsidP="00C04C0A">
      <w:pPr>
        <w:pStyle w:val="Rejstk2"/>
        <w:tabs>
          <w:tab w:val="right" w:leader="dot" w:pos="4171"/>
        </w:tabs>
        <w:spacing w:line="240" w:lineRule="auto"/>
      </w:pPr>
      <w:r w:rsidRPr="003D1E07">
        <w:t>Jamblichos</w:t>
      </w:r>
      <w:r w:rsidRPr="003D1E07">
        <w:tab/>
        <w:t>157</w:t>
      </w:r>
    </w:p>
    <w:p w14:paraId="1E741856" w14:textId="77777777" w:rsidR="00C04C0A" w:rsidRPr="003D1E07" w:rsidRDefault="00C04C0A" w:rsidP="00C04C0A">
      <w:pPr>
        <w:pStyle w:val="Rejstk2"/>
        <w:tabs>
          <w:tab w:val="right" w:leader="dot" w:pos="4171"/>
        </w:tabs>
        <w:spacing w:line="240" w:lineRule="auto"/>
      </w:pPr>
      <w:r w:rsidRPr="003D1E07">
        <w:t>neoplatonismus</w:t>
      </w:r>
      <w:r w:rsidRPr="003D1E07">
        <w:tab/>
        <w:t>157</w:t>
      </w:r>
    </w:p>
    <w:p w14:paraId="66D65995" w14:textId="77777777" w:rsidR="00C04C0A" w:rsidRPr="003D1E07" w:rsidRDefault="00C04C0A" w:rsidP="00C04C0A">
      <w:pPr>
        <w:pStyle w:val="Rejstk2"/>
        <w:tabs>
          <w:tab w:val="right" w:leader="dot" w:pos="4171"/>
        </w:tabs>
        <w:spacing w:line="240" w:lineRule="auto"/>
      </w:pPr>
      <w:r w:rsidRPr="003D1E07">
        <w:t>objektivní</w:t>
      </w:r>
      <w:r w:rsidRPr="003D1E07">
        <w:tab/>
        <w:t>155, 309, 365</w:t>
      </w:r>
    </w:p>
    <w:p w14:paraId="483787C3" w14:textId="77777777" w:rsidR="00C04C0A" w:rsidRPr="003D1E07" w:rsidRDefault="00C04C0A" w:rsidP="00C04C0A">
      <w:pPr>
        <w:pStyle w:val="Rejstk2"/>
        <w:tabs>
          <w:tab w:val="right" w:leader="dot" w:pos="4171"/>
        </w:tabs>
        <w:spacing w:line="240" w:lineRule="auto"/>
      </w:pPr>
      <w:r w:rsidRPr="003D1E07">
        <w:t>třetího druhu</w:t>
      </w:r>
      <w:r w:rsidRPr="003D1E07">
        <w:tab/>
        <w:t>155, 311, 447</w:t>
      </w:r>
    </w:p>
    <w:p w14:paraId="15602D7E" w14:textId="77777777" w:rsidR="00C04C0A" w:rsidRPr="003D1E07" w:rsidRDefault="00C04C0A" w:rsidP="00C04C0A">
      <w:pPr>
        <w:pStyle w:val="Rejstk1"/>
        <w:tabs>
          <w:tab w:val="right" w:leader="dot" w:pos="4171"/>
        </w:tabs>
        <w:spacing w:line="240" w:lineRule="auto"/>
      </w:pPr>
      <w:r w:rsidRPr="003D1E07">
        <w:t>Tempier, E.</w:t>
      </w:r>
      <w:r w:rsidRPr="003D1E07">
        <w:tab/>
        <w:t>489</w:t>
      </w:r>
    </w:p>
    <w:p w14:paraId="25BDF299" w14:textId="77777777" w:rsidR="00C04C0A" w:rsidRPr="003D1E07" w:rsidRDefault="00C04C0A" w:rsidP="00C04C0A">
      <w:pPr>
        <w:pStyle w:val="Rejstk1"/>
        <w:tabs>
          <w:tab w:val="right" w:leader="dot" w:pos="4171"/>
        </w:tabs>
        <w:spacing w:line="240" w:lineRule="auto"/>
      </w:pPr>
      <w:r w:rsidRPr="003D1E07">
        <w:t>teorie dvojí pravdy</w:t>
      </w:r>
      <w:r w:rsidRPr="003D1E07">
        <w:tab/>
        <w:t>214, 236, 326, 346</w:t>
      </w:r>
    </w:p>
    <w:p w14:paraId="0310976D" w14:textId="77777777" w:rsidR="00C04C0A" w:rsidRPr="003D1E07" w:rsidRDefault="00C04C0A" w:rsidP="00C04C0A">
      <w:pPr>
        <w:pStyle w:val="Rejstk1"/>
        <w:tabs>
          <w:tab w:val="right" w:leader="dot" w:pos="4171"/>
        </w:tabs>
        <w:spacing w:line="240" w:lineRule="auto"/>
      </w:pPr>
      <w:r w:rsidRPr="003D1E07">
        <w:t>teorie možných světů</w:t>
      </w:r>
      <w:r w:rsidRPr="003D1E07">
        <w:tab/>
        <w:t>318</w:t>
      </w:r>
    </w:p>
    <w:p w14:paraId="2E8DDAC9" w14:textId="77777777" w:rsidR="00C04C0A" w:rsidRPr="003D1E07" w:rsidRDefault="00C04C0A" w:rsidP="00C04C0A">
      <w:pPr>
        <w:pStyle w:val="Rejstk1"/>
        <w:tabs>
          <w:tab w:val="right" w:leader="dot" w:pos="4171"/>
        </w:tabs>
        <w:spacing w:line="240" w:lineRule="auto"/>
      </w:pPr>
      <w:r w:rsidRPr="003D1E07">
        <w:rPr>
          <w:i/>
        </w:rPr>
        <w:t>tertium ens</w:t>
      </w:r>
      <w:r w:rsidRPr="003D1E07">
        <w:tab/>
        <w:t>445</w:t>
      </w:r>
    </w:p>
    <w:p w14:paraId="130F0E9E" w14:textId="77777777" w:rsidR="00C04C0A" w:rsidRPr="003D1E07" w:rsidRDefault="00C04C0A" w:rsidP="00C04C0A">
      <w:pPr>
        <w:pStyle w:val="Rejstk2"/>
        <w:tabs>
          <w:tab w:val="right" w:leader="dot" w:pos="4171"/>
        </w:tabs>
        <w:spacing w:line="240" w:lineRule="auto"/>
      </w:pPr>
      <w:r w:rsidRPr="003D1E07">
        <w:lastRenderedPageBreak/>
        <w:t>Al-Fárábí</w:t>
      </w:r>
      <w:r w:rsidRPr="003D1E07">
        <w:tab/>
        <w:t>180, 201, 210, 230</w:t>
      </w:r>
    </w:p>
    <w:p w14:paraId="43B0735A" w14:textId="77777777" w:rsidR="00C04C0A" w:rsidRPr="003D1E07" w:rsidRDefault="00C04C0A" w:rsidP="00C04C0A">
      <w:pPr>
        <w:pStyle w:val="Rejstk2"/>
        <w:tabs>
          <w:tab w:val="right" w:leader="dot" w:pos="4171"/>
        </w:tabs>
        <w:spacing w:line="240" w:lineRule="auto"/>
      </w:pPr>
      <w:r w:rsidRPr="003D1E07">
        <w:t>analogická jednota</w:t>
      </w:r>
      <w:r w:rsidRPr="003D1E07">
        <w:tab/>
        <w:t>125, 128</w:t>
      </w:r>
    </w:p>
    <w:p w14:paraId="63462720" w14:textId="77777777" w:rsidR="00C04C0A" w:rsidRPr="003D1E07" w:rsidRDefault="00C04C0A" w:rsidP="00C04C0A">
      <w:pPr>
        <w:pStyle w:val="Rejstk2"/>
        <w:tabs>
          <w:tab w:val="right" w:leader="dot" w:pos="4171"/>
        </w:tabs>
        <w:spacing w:line="240" w:lineRule="auto"/>
      </w:pPr>
      <w:r w:rsidRPr="003D1E07">
        <w:t>Aristoteles</w:t>
      </w:r>
      <w:r w:rsidRPr="003D1E07">
        <w:tab/>
        <w:t>41</w:t>
      </w:r>
    </w:p>
    <w:p w14:paraId="1557D1E4" w14:textId="77777777" w:rsidR="00C04C0A" w:rsidRPr="003D1E07" w:rsidRDefault="00C04C0A" w:rsidP="00C04C0A">
      <w:pPr>
        <w:pStyle w:val="Rejstk2"/>
        <w:tabs>
          <w:tab w:val="right" w:leader="dot" w:pos="4171"/>
        </w:tabs>
        <w:spacing w:line="240" w:lineRule="auto"/>
      </w:pPr>
      <w:r w:rsidRPr="003D1E07">
        <w:t>Avicenna</w:t>
      </w:r>
      <w:r w:rsidRPr="003D1E07">
        <w:tab/>
        <w:t>280, 293, 308, 317, 334</w:t>
      </w:r>
    </w:p>
    <w:p w14:paraId="651BD471" w14:textId="77777777" w:rsidR="00C04C0A" w:rsidRPr="003D1E07" w:rsidRDefault="00C04C0A" w:rsidP="00C04C0A">
      <w:pPr>
        <w:pStyle w:val="Rejstk2"/>
        <w:tabs>
          <w:tab w:val="right" w:leader="dot" w:pos="4171"/>
        </w:tabs>
        <w:spacing w:line="240" w:lineRule="auto"/>
      </w:pPr>
      <w:r w:rsidRPr="003D1E07">
        <w:t>čas a prostor</w:t>
      </w:r>
      <w:r w:rsidRPr="003D1E07">
        <w:tab/>
        <w:t>161</w:t>
      </w:r>
    </w:p>
    <w:p w14:paraId="77B1F13A" w14:textId="77777777" w:rsidR="00C04C0A" w:rsidRPr="003D1E07" w:rsidRDefault="00C04C0A" w:rsidP="00C04C0A">
      <w:pPr>
        <w:pStyle w:val="Rejstk2"/>
        <w:tabs>
          <w:tab w:val="right" w:leader="dot" w:pos="4171"/>
        </w:tabs>
        <w:spacing w:line="240" w:lineRule="auto"/>
      </w:pPr>
      <w:r w:rsidRPr="003D1E07">
        <w:t>Elias</w:t>
      </w:r>
      <w:r w:rsidRPr="003D1E07">
        <w:tab/>
        <w:t>223</w:t>
      </w:r>
    </w:p>
    <w:p w14:paraId="008039C8" w14:textId="77777777" w:rsidR="00C04C0A" w:rsidRPr="003D1E07" w:rsidRDefault="00C04C0A" w:rsidP="00C04C0A">
      <w:pPr>
        <w:pStyle w:val="Rejstk2"/>
        <w:tabs>
          <w:tab w:val="right" w:leader="dot" w:pos="4171"/>
        </w:tabs>
        <w:spacing w:line="240" w:lineRule="auto"/>
      </w:pPr>
      <w:r w:rsidRPr="003D1E07">
        <w:t>emanace</w:t>
      </w:r>
      <w:r w:rsidRPr="003D1E07">
        <w:tab/>
        <w:t>295</w:t>
      </w:r>
    </w:p>
    <w:p w14:paraId="52355CEF" w14:textId="77777777" w:rsidR="00C04C0A" w:rsidRPr="003D1E07" w:rsidRDefault="00C04C0A" w:rsidP="00C04C0A">
      <w:pPr>
        <w:pStyle w:val="Rejstk2"/>
        <w:tabs>
          <w:tab w:val="right" w:leader="dot" w:pos="4171"/>
        </w:tabs>
        <w:spacing w:line="240" w:lineRule="auto"/>
      </w:pPr>
      <w:r w:rsidRPr="003D1E07">
        <w:t>falsafa</w:t>
      </w:r>
      <w:r w:rsidRPr="003D1E07">
        <w:tab/>
        <w:t>475</w:t>
      </w:r>
    </w:p>
    <w:p w14:paraId="643B2E44" w14:textId="77777777" w:rsidR="00C04C0A" w:rsidRPr="003D1E07" w:rsidRDefault="00C04C0A" w:rsidP="00C04C0A">
      <w:pPr>
        <w:pStyle w:val="Rejstk2"/>
        <w:tabs>
          <w:tab w:val="right" w:leader="dot" w:pos="4171"/>
        </w:tabs>
        <w:spacing w:line="240" w:lineRule="auto"/>
      </w:pPr>
      <w:r w:rsidRPr="003D1E07">
        <w:t>Ibn Ádí</w:t>
      </w:r>
      <w:r w:rsidRPr="003D1E07">
        <w:tab/>
        <w:t>247</w:t>
      </w:r>
    </w:p>
    <w:p w14:paraId="4D6ACC28" w14:textId="77777777" w:rsidR="00C04C0A" w:rsidRPr="003D1E07" w:rsidRDefault="00C04C0A" w:rsidP="00C04C0A">
      <w:pPr>
        <w:pStyle w:val="Rejstk2"/>
        <w:tabs>
          <w:tab w:val="right" w:leader="dot" w:pos="4171"/>
        </w:tabs>
        <w:spacing w:line="240" w:lineRule="auto"/>
      </w:pPr>
      <w:r w:rsidRPr="003D1E07">
        <w:t>intelekt</w:t>
      </w:r>
      <w:r w:rsidRPr="003D1E07">
        <w:tab/>
        <w:t>426</w:t>
      </w:r>
    </w:p>
    <w:p w14:paraId="1526F220" w14:textId="77777777" w:rsidR="00C04C0A" w:rsidRPr="003D1E07" w:rsidRDefault="00C04C0A" w:rsidP="00C04C0A">
      <w:pPr>
        <w:pStyle w:val="Rejstk2"/>
        <w:tabs>
          <w:tab w:val="right" w:leader="dot" w:pos="4171"/>
        </w:tabs>
        <w:spacing w:line="240" w:lineRule="auto"/>
      </w:pPr>
      <w:r w:rsidRPr="003D1E07">
        <w:t>kritika Averroese</w:t>
      </w:r>
      <w:r w:rsidRPr="003D1E07">
        <w:tab/>
        <w:t>363, 366, 373, 383</w:t>
      </w:r>
    </w:p>
    <w:p w14:paraId="12237611" w14:textId="77777777" w:rsidR="00C04C0A" w:rsidRPr="003D1E07" w:rsidRDefault="00C04C0A" w:rsidP="00C04C0A">
      <w:pPr>
        <w:pStyle w:val="Rejstk2"/>
        <w:tabs>
          <w:tab w:val="right" w:leader="dot" w:pos="4171"/>
        </w:tabs>
        <w:spacing w:line="240" w:lineRule="auto"/>
      </w:pPr>
      <w:r w:rsidRPr="003D1E07">
        <w:t>Locke</w:t>
      </w:r>
      <w:r w:rsidRPr="003D1E07">
        <w:tab/>
        <w:t>448</w:t>
      </w:r>
    </w:p>
    <w:p w14:paraId="757525BE" w14:textId="77777777" w:rsidR="00C04C0A" w:rsidRPr="003D1E07" w:rsidRDefault="00C04C0A" w:rsidP="00C04C0A">
      <w:pPr>
        <w:pStyle w:val="Rejstk2"/>
        <w:tabs>
          <w:tab w:val="right" w:leader="dot" w:pos="4171"/>
        </w:tabs>
        <w:spacing w:line="240" w:lineRule="auto"/>
      </w:pPr>
      <w:r w:rsidRPr="003D1E07">
        <w:t>manifestace</w:t>
      </w:r>
      <w:r w:rsidRPr="003D1E07">
        <w:tab/>
        <w:t>79</w:t>
      </w:r>
    </w:p>
    <w:p w14:paraId="2A35D360" w14:textId="77777777" w:rsidR="00C04C0A" w:rsidRPr="003D1E07" w:rsidRDefault="00C04C0A" w:rsidP="00C04C0A">
      <w:pPr>
        <w:pStyle w:val="Rejstk2"/>
        <w:tabs>
          <w:tab w:val="right" w:leader="dot" w:pos="4171"/>
        </w:tabs>
        <w:spacing w:line="240" w:lineRule="auto"/>
      </w:pPr>
      <w:r w:rsidRPr="003D1E07">
        <w:t>metafyzická neutralita</w:t>
      </w:r>
      <w:r w:rsidRPr="003D1E07">
        <w:tab/>
        <w:t>233</w:t>
      </w:r>
    </w:p>
    <w:p w14:paraId="6DFACC55" w14:textId="77777777" w:rsidR="00C04C0A" w:rsidRPr="003D1E07" w:rsidRDefault="00C04C0A" w:rsidP="00C04C0A">
      <w:pPr>
        <w:pStyle w:val="Rejstk2"/>
        <w:tabs>
          <w:tab w:val="right" w:leader="dot" w:pos="4171"/>
        </w:tabs>
        <w:spacing w:line="240" w:lineRule="auto"/>
      </w:pPr>
      <w:r w:rsidRPr="003D1E07">
        <w:t>metafyzika</w:t>
      </w:r>
      <w:r w:rsidRPr="003D1E07">
        <w:tab/>
        <w:t>73, 78</w:t>
      </w:r>
    </w:p>
    <w:p w14:paraId="497DDD80" w14:textId="77777777" w:rsidR="00C04C0A" w:rsidRPr="003D1E07" w:rsidRDefault="00C04C0A" w:rsidP="00C04C0A">
      <w:pPr>
        <w:pStyle w:val="Rejstk2"/>
        <w:tabs>
          <w:tab w:val="right" w:leader="dot" w:pos="4171"/>
        </w:tabs>
        <w:spacing w:line="240" w:lineRule="auto"/>
      </w:pPr>
      <w:r w:rsidRPr="003D1E07">
        <w:t>neoplatonismus</w:t>
      </w:r>
      <w:r w:rsidRPr="003D1E07">
        <w:tab/>
        <w:t>146</w:t>
      </w:r>
    </w:p>
    <w:p w14:paraId="7CA764D1" w14:textId="77777777" w:rsidR="00C04C0A" w:rsidRPr="003D1E07" w:rsidRDefault="00C04C0A" w:rsidP="00C04C0A">
      <w:pPr>
        <w:pStyle w:val="Rejstk2"/>
        <w:tabs>
          <w:tab w:val="right" w:leader="dot" w:pos="4171"/>
        </w:tabs>
        <w:spacing w:line="240" w:lineRule="auto"/>
      </w:pPr>
      <w:r w:rsidRPr="003D1E07">
        <w:t>Parmenides</w:t>
      </w:r>
      <w:r w:rsidRPr="003D1E07">
        <w:tab/>
        <w:t>20</w:t>
      </w:r>
    </w:p>
    <w:p w14:paraId="3CD3A6A7" w14:textId="77777777" w:rsidR="00C04C0A" w:rsidRPr="003D1E07" w:rsidRDefault="00C04C0A" w:rsidP="00C04C0A">
      <w:pPr>
        <w:pStyle w:val="Rejstk2"/>
        <w:tabs>
          <w:tab w:val="right" w:leader="dot" w:pos="4171"/>
        </w:tabs>
        <w:spacing w:line="240" w:lineRule="auto"/>
      </w:pPr>
      <w:r w:rsidRPr="003D1E07">
        <w:t>Platon</w:t>
      </w:r>
      <w:r w:rsidRPr="003D1E07">
        <w:tab/>
        <w:t>32</w:t>
      </w:r>
    </w:p>
    <w:p w14:paraId="1EAD30E8" w14:textId="77777777" w:rsidR="00C04C0A" w:rsidRPr="003D1E07" w:rsidRDefault="00C04C0A" w:rsidP="00C04C0A">
      <w:pPr>
        <w:pStyle w:val="Rejstk2"/>
        <w:tabs>
          <w:tab w:val="right" w:leader="dot" w:pos="4171"/>
        </w:tabs>
        <w:spacing w:line="240" w:lineRule="auto"/>
      </w:pPr>
      <w:r w:rsidRPr="003D1E07">
        <w:t>Porfyrius</w:t>
      </w:r>
      <w:r w:rsidRPr="003D1E07">
        <w:tab/>
        <w:t>113, 114</w:t>
      </w:r>
    </w:p>
    <w:p w14:paraId="7539FEC2" w14:textId="77777777" w:rsidR="00C04C0A" w:rsidRPr="003D1E07" w:rsidRDefault="00C04C0A" w:rsidP="00C04C0A">
      <w:pPr>
        <w:pStyle w:val="Rejstk2"/>
        <w:tabs>
          <w:tab w:val="right" w:leader="dot" w:pos="4171"/>
        </w:tabs>
        <w:spacing w:line="240" w:lineRule="auto"/>
      </w:pPr>
      <w:r w:rsidRPr="003D1E07">
        <w:t>Simplikius</w:t>
      </w:r>
      <w:r w:rsidRPr="003D1E07">
        <w:tab/>
        <w:t>134</w:t>
      </w:r>
    </w:p>
    <w:p w14:paraId="4CEF4772" w14:textId="77777777" w:rsidR="00C04C0A" w:rsidRPr="003D1E07" w:rsidRDefault="00C04C0A" w:rsidP="00C04C0A">
      <w:pPr>
        <w:pStyle w:val="Rejstk2"/>
        <w:tabs>
          <w:tab w:val="right" w:leader="dot" w:pos="4171"/>
        </w:tabs>
        <w:spacing w:line="240" w:lineRule="auto"/>
      </w:pPr>
      <w:r w:rsidRPr="003D1E07">
        <w:t>substance</w:t>
      </w:r>
      <w:r w:rsidRPr="003D1E07">
        <w:tab/>
        <w:t>276</w:t>
      </w:r>
    </w:p>
    <w:p w14:paraId="1294BAB5" w14:textId="77777777" w:rsidR="00C04C0A" w:rsidRPr="003D1E07" w:rsidRDefault="00C04C0A" w:rsidP="00C04C0A">
      <w:pPr>
        <w:pStyle w:val="Rejstk2"/>
        <w:tabs>
          <w:tab w:val="right" w:leader="dot" w:pos="4171"/>
        </w:tabs>
        <w:spacing w:line="240" w:lineRule="auto"/>
      </w:pPr>
      <w:r w:rsidRPr="003D1E07">
        <w:t>substanční intelekt</w:t>
      </w:r>
      <w:r w:rsidRPr="003D1E07">
        <w:tab/>
        <w:t>397</w:t>
      </w:r>
    </w:p>
    <w:p w14:paraId="6ECB6082" w14:textId="77777777" w:rsidR="00C04C0A" w:rsidRPr="003D1E07" w:rsidRDefault="00C04C0A" w:rsidP="00C04C0A">
      <w:pPr>
        <w:pStyle w:val="Rejstk2"/>
        <w:tabs>
          <w:tab w:val="right" w:leader="dot" w:pos="4171"/>
        </w:tabs>
        <w:spacing w:line="240" w:lineRule="auto"/>
      </w:pPr>
      <w:r w:rsidRPr="003D1E07">
        <w:t>těleso</w:t>
      </w:r>
      <w:r w:rsidRPr="003D1E07">
        <w:tab/>
        <w:t>164</w:t>
      </w:r>
    </w:p>
    <w:p w14:paraId="0B424242" w14:textId="77777777" w:rsidR="00C04C0A" w:rsidRPr="003D1E07" w:rsidRDefault="00C04C0A" w:rsidP="00C04C0A">
      <w:pPr>
        <w:pStyle w:val="Rejstk2"/>
        <w:tabs>
          <w:tab w:val="right" w:leader="dot" w:pos="4171"/>
        </w:tabs>
        <w:spacing w:line="240" w:lineRule="auto"/>
      </w:pPr>
      <w:r w:rsidRPr="003D1E07">
        <w:t>transcendentália</w:t>
      </w:r>
      <w:r w:rsidRPr="003D1E07">
        <w:tab/>
        <w:t>225</w:t>
      </w:r>
    </w:p>
    <w:p w14:paraId="07F4882A" w14:textId="77777777" w:rsidR="00C04C0A" w:rsidRPr="003D1E07" w:rsidRDefault="00C04C0A" w:rsidP="00C04C0A">
      <w:pPr>
        <w:pStyle w:val="Rejstk1"/>
        <w:tabs>
          <w:tab w:val="right" w:leader="dot" w:pos="4171"/>
        </w:tabs>
        <w:spacing w:line="240" w:lineRule="auto"/>
      </w:pPr>
      <w:r w:rsidRPr="003D1E07">
        <w:rPr>
          <w:i/>
        </w:rPr>
        <w:t>tertium genus</w:t>
      </w:r>
      <w:r w:rsidRPr="003D1E07">
        <w:tab/>
        <w:t>374, 375, 383, 406, 412, 425, 428, 429, 432, 434, 456, 459, 463, 466, 485</w:t>
      </w:r>
    </w:p>
    <w:p w14:paraId="4B1870D9" w14:textId="6B8F9F7E" w:rsidR="00C04C0A" w:rsidRPr="003D1E07" w:rsidRDefault="00C04C0A" w:rsidP="00C04C0A">
      <w:pPr>
        <w:pStyle w:val="Rejstk1"/>
        <w:tabs>
          <w:tab w:val="right" w:leader="dot" w:pos="4171"/>
        </w:tabs>
        <w:spacing w:line="240" w:lineRule="auto"/>
      </w:pPr>
      <w:r w:rsidRPr="003D1E07">
        <w:t>Themistius</w:t>
      </w:r>
      <w:r w:rsidRPr="003D1E07">
        <w:tab/>
      </w:r>
      <w:r w:rsidR="00027649" w:rsidRPr="003D1E07">
        <w:t xml:space="preserve">viz </w:t>
      </w:r>
      <w:r w:rsidR="00027649" w:rsidRPr="003D1E07">
        <w:rPr>
          <w:i/>
        </w:rPr>
        <w:t>Index locorum</w:t>
      </w:r>
      <w:r w:rsidR="00027649" w:rsidRPr="003D1E07">
        <w:t xml:space="preserve">, </w:t>
      </w:r>
      <w:r w:rsidRPr="003D1E07">
        <w:t>218, 342, 347, 379, 381, 393, 398, 411, 417, 427, 445</w:t>
      </w:r>
    </w:p>
    <w:p w14:paraId="14E76500" w14:textId="77777777" w:rsidR="00C04C0A" w:rsidRPr="003D1E07" w:rsidRDefault="00C04C0A" w:rsidP="00C04C0A">
      <w:pPr>
        <w:pStyle w:val="Rejstk1"/>
        <w:tabs>
          <w:tab w:val="right" w:leader="dot" w:pos="4171"/>
        </w:tabs>
        <w:spacing w:line="240" w:lineRule="auto"/>
      </w:pPr>
      <w:r w:rsidRPr="003D1E07">
        <w:rPr>
          <w:lang w:eastAsia="en-US"/>
        </w:rPr>
        <w:t>Theofrastus</w:t>
      </w:r>
      <w:r w:rsidRPr="003D1E07">
        <w:tab/>
        <w:t>393</w:t>
      </w:r>
    </w:p>
    <w:p w14:paraId="0C1A696D" w14:textId="3C52D0B2" w:rsidR="00C04C0A" w:rsidRPr="003D1E07" w:rsidRDefault="00C04C0A" w:rsidP="00C04C0A">
      <w:pPr>
        <w:pStyle w:val="Rejstk1"/>
        <w:tabs>
          <w:tab w:val="right" w:leader="dot" w:pos="4171"/>
        </w:tabs>
        <w:spacing w:line="240" w:lineRule="auto"/>
      </w:pPr>
      <w:r w:rsidRPr="003D1E07">
        <w:rPr>
          <w:i/>
        </w:rPr>
        <w:t>Theologia Aristotelis</w:t>
      </w:r>
      <w:r w:rsidR="00027649" w:rsidRPr="003D1E07">
        <w:rPr>
          <w:i/>
        </w:rPr>
        <w:t xml:space="preserve">, </w:t>
      </w:r>
      <w:r w:rsidR="00027649" w:rsidRPr="003D1E07">
        <w:t>viz</w:t>
      </w:r>
      <w:r w:rsidR="00027649" w:rsidRPr="003D1E07">
        <w:rPr>
          <w:i/>
        </w:rPr>
        <w:t xml:space="preserve"> Index locorum</w:t>
      </w:r>
      <w:r w:rsidRPr="003D1E07">
        <w:tab/>
        <w:t>244</w:t>
      </w:r>
    </w:p>
    <w:p w14:paraId="136B2F72" w14:textId="77777777" w:rsidR="00C04C0A" w:rsidRPr="003D1E07" w:rsidRDefault="00C04C0A" w:rsidP="00C04C0A">
      <w:pPr>
        <w:pStyle w:val="Rejstk1"/>
        <w:tabs>
          <w:tab w:val="right" w:leader="dot" w:pos="4171"/>
        </w:tabs>
        <w:spacing w:line="240" w:lineRule="auto"/>
      </w:pPr>
      <w:r w:rsidRPr="003D1E07">
        <w:rPr>
          <w:i/>
          <w:iCs/>
        </w:rPr>
        <w:t>theologia naturalis</w:t>
      </w:r>
      <w:r w:rsidRPr="003D1E07">
        <w:tab/>
        <w:t>253, 334</w:t>
      </w:r>
    </w:p>
    <w:p w14:paraId="1207D287" w14:textId="77777777" w:rsidR="00C04C0A" w:rsidRPr="003D1E07" w:rsidRDefault="00C04C0A" w:rsidP="00C04C0A">
      <w:pPr>
        <w:pStyle w:val="Rejstk1"/>
        <w:tabs>
          <w:tab w:val="right" w:leader="dot" w:pos="4171"/>
        </w:tabs>
        <w:spacing w:line="240" w:lineRule="auto"/>
      </w:pPr>
      <w:r w:rsidRPr="003D1E07">
        <w:rPr>
          <w:i/>
        </w:rPr>
        <w:t>Theology of Aristotle</w:t>
      </w:r>
      <w:r w:rsidRPr="003D1E07">
        <w:tab/>
        <w:t>182</w:t>
      </w:r>
    </w:p>
    <w:p w14:paraId="51243BAA" w14:textId="77777777" w:rsidR="00C04C0A" w:rsidRPr="003D1E07" w:rsidRDefault="00C04C0A" w:rsidP="00C04C0A">
      <w:pPr>
        <w:pStyle w:val="Rejstk1"/>
        <w:tabs>
          <w:tab w:val="right" w:leader="dot" w:pos="4171"/>
        </w:tabs>
        <w:spacing w:line="240" w:lineRule="auto"/>
      </w:pPr>
      <w:r w:rsidRPr="003D1E07">
        <w:t>theurgie</w:t>
      </w:r>
      <w:r w:rsidRPr="003D1E07">
        <w:tab/>
        <w:t>153, 154, 161</w:t>
      </w:r>
    </w:p>
    <w:p w14:paraId="7611D28E" w14:textId="77777777" w:rsidR="00C04C0A" w:rsidRPr="003D1E07" w:rsidRDefault="00C04C0A" w:rsidP="00C04C0A">
      <w:pPr>
        <w:pStyle w:val="Rejstk1"/>
        <w:tabs>
          <w:tab w:val="right" w:leader="dot" w:pos="4171"/>
        </w:tabs>
        <w:spacing w:line="240" w:lineRule="auto"/>
      </w:pPr>
      <w:r w:rsidRPr="003D1E07">
        <w:t>Toledská škola</w:t>
      </w:r>
      <w:r w:rsidRPr="003D1E07">
        <w:tab/>
        <w:t>174, 194, 196, 258, 467</w:t>
      </w:r>
    </w:p>
    <w:p w14:paraId="24C77DB6" w14:textId="77777777" w:rsidR="00C04C0A" w:rsidRPr="003D1E07" w:rsidRDefault="00C04C0A" w:rsidP="00C04C0A">
      <w:pPr>
        <w:pStyle w:val="Rejstk1"/>
        <w:tabs>
          <w:tab w:val="right" w:leader="dot" w:pos="4171"/>
        </w:tabs>
        <w:spacing w:line="240" w:lineRule="auto"/>
      </w:pPr>
      <w:r w:rsidRPr="003D1E07">
        <w:rPr>
          <w:i/>
        </w:rPr>
        <w:t>totum integrum</w:t>
      </w:r>
      <w:r w:rsidRPr="003D1E07">
        <w:tab/>
        <w:t>104</w:t>
      </w:r>
    </w:p>
    <w:p w14:paraId="142E66CB" w14:textId="77777777" w:rsidR="00C04C0A" w:rsidRPr="003D1E07" w:rsidRDefault="00C04C0A" w:rsidP="00C04C0A">
      <w:pPr>
        <w:pStyle w:val="Rejstk1"/>
        <w:tabs>
          <w:tab w:val="right" w:leader="dot" w:pos="4171"/>
        </w:tabs>
        <w:spacing w:line="240" w:lineRule="auto"/>
      </w:pPr>
      <w:r w:rsidRPr="003D1E07">
        <w:rPr>
          <w:i/>
        </w:rPr>
        <w:t>totum universale</w:t>
      </w:r>
      <w:r w:rsidRPr="003D1E07">
        <w:tab/>
        <w:t>104</w:t>
      </w:r>
    </w:p>
    <w:p w14:paraId="532A2BA6" w14:textId="77777777" w:rsidR="00C04C0A" w:rsidRPr="003D1E07" w:rsidRDefault="00C04C0A" w:rsidP="00C04C0A">
      <w:pPr>
        <w:pStyle w:val="Rejstk1"/>
        <w:tabs>
          <w:tab w:val="right" w:leader="dot" w:pos="4171"/>
        </w:tabs>
        <w:spacing w:line="240" w:lineRule="auto"/>
      </w:pPr>
      <w:r w:rsidRPr="003D1E07">
        <w:t>transcendentália</w:t>
      </w:r>
      <w:r w:rsidRPr="003D1E07">
        <w:tab/>
        <w:t>289</w:t>
      </w:r>
    </w:p>
    <w:p w14:paraId="13D95819" w14:textId="77777777" w:rsidR="00C04C0A" w:rsidRPr="003D1E07" w:rsidRDefault="00C04C0A" w:rsidP="00C04C0A">
      <w:pPr>
        <w:pStyle w:val="Rejstk1"/>
        <w:tabs>
          <w:tab w:val="right" w:leader="dot" w:pos="4171"/>
        </w:tabs>
        <w:spacing w:line="240" w:lineRule="auto"/>
      </w:pPr>
      <w:r w:rsidRPr="003D1E07">
        <w:rPr>
          <w:i/>
        </w:rPr>
        <w:t>translatio entis</w:t>
      </w:r>
      <w:r w:rsidRPr="003D1E07">
        <w:tab/>
        <w:t>136</w:t>
      </w:r>
    </w:p>
    <w:p w14:paraId="141573ED" w14:textId="77777777" w:rsidR="00C04C0A" w:rsidRPr="003D1E07" w:rsidRDefault="00C04C0A" w:rsidP="00C04C0A">
      <w:pPr>
        <w:pStyle w:val="Rejstk1"/>
        <w:tabs>
          <w:tab w:val="right" w:leader="dot" w:pos="4171"/>
        </w:tabs>
        <w:spacing w:line="240" w:lineRule="auto"/>
      </w:pPr>
      <w:r w:rsidRPr="003D1E07">
        <w:rPr>
          <w:i/>
          <w:lang w:eastAsia="en-US"/>
        </w:rPr>
        <w:t>translatio studiorum</w:t>
      </w:r>
      <w:r w:rsidRPr="003D1E07">
        <w:tab/>
        <w:t>80, 135, 136, 140, 150</w:t>
      </w:r>
    </w:p>
    <w:p w14:paraId="160D1175" w14:textId="77777777" w:rsidR="00C04C0A" w:rsidRPr="003D1E07" w:rsidRDefault="00C04C0A" w:rsidP="00C04C0A">
      <w:pPr>
        <w:pStyle w:val="Rejstk1"/>
        <w:tabs>
          <w:tab w:val="right" w:leader="dot" w:pos="4171"/>
        </w:tabs>
        <w:spacing w:line="240" w:lineRule="auto"/>
      </w:pPr>
      <w:r w:rsidRPr="003D1E07">
        <w:rPr>
          <w:i/>
        </w:rPr>
        <w:t>tremendum fascinosum</w:t>
      </w:r>
      <w:r w:rsidRPr="003D1E07">
        <w:tab/>
        <w:t>471</w:t>
      </w:r>
    </w:p>
    <w:p w14:paraId="0E637E7D" w14:textId="77777777" w:rsidR="00C04C0A" w:rsidRPr="003D1E07" w:rsidRDefault="00C04C0A" w:rsidP="00C04C0A">
      <w:pPr>
        <w:pStyle w:val="Rejstk1"/>
        <w:tabs>
          <w:tab w:val="right" w:leader="dot" w:pos="4171"/>
        </w:tabs>
        <w:spacing w:line="240" w:lineRule="auto"/>
      </w:pPr>
      <w:r w:rsidRPr="003D1E07">
        <w:t>Trojská válka</w:t>
      </w:r>
      <w:r w:rsidRPr="003D1E07">
        <w:tab/>
        <w:t>7</w:t>
      </w:r>
    </w:p>
    <w:p w14:paraId="19F831BE" w14:textId="0336B180" w:rsidR="00C04C0A" w:rsidRPr="003D1E07" w:rsidRDefault="00C04C0A" w:rsidP="00C04C0A">
      <w:pPr>
        <w:pStyle w:val="Hlavikarejstku"/>
        <w:keepNext/>
        <w:tabs>
          <w:tab w:val="right" w:leader="dot" w:pos="4171"/>
        </w:tabs>
        <w:spacing w:line="240" w:lineRule="auto"/>
        <w:rPr>
          <w:rFonts w:eastAsia="Times New Roman" w:cs="Times New Roman"/>
          <w:b w:val="0"/>
          <w:bCs w:val="0"/>
        </w:rPr>
      </w:pPr>
      <w:r w:rsidRPr="003D1E07">
        <w:t>U</w:t>
      </w:r>
      <w:r w:rsidR="00201EFA" w:rsidRPr="003D1E07">
        <w:t>, V</w:t>
      </w:r>
    </w:p>
    <w:p w14:paraId="6198FF91" w14:textId="77777777" w:rsidR="00C04C0A" w:rsidRPr="003D1E07" w:rsidRDefault="00C04C0A" w:rsidP="00C04C0A">
      <w:pPr>
        <w:pStyle w:val="Rejstk1"/>
        <w:tabs>
          <w:tab w:val="right" w:leader="dot" w:pos="4171"/>
        </w:tabs>
        <w:spacing w:line="240" w:lineRule="auto"/>
      </w:pPr>
      <w:r w:rsidRPr="003D1E07">
        <w:rPr>
          <w:i/>
        </w:rPr>
        <w:t>Unified Science</w:t>
      </w:r>
      <w:r w:rsidRPr="003D1E07">
        <w:tab/>
        <w:t>171, 352</w:t>
      </w:r>
    </w:p>
    <w:p w14:paraId="45914AB2" w14:textId="77777777" w:rsidR="00C04C0A" w:rsidRPr="003D1E07" w:rsidRDefault="00C04C0A" w:rsidP="00C04C0A">
      <w:pPr>
        <w:pStyle w:val="Rejstk1"/>
        <w:tabs>
          <w:tab w:val="right" w:leader="dot" w:pos="4171"/>
        </w:tabs>
        <w:spacing w:line="240" w:lineRule="auto"/>
      </w:pPr>
      <w:r w:rsidRPr="003D1E07">
        <w:rPr>
          <w:i/>
        </w:rPr>
        <w:t>universitas humana</w:t>
      </w:r>
      <w:r w:rsidRPr="003D1E07">
        <w:tab/>
        <w:t>213, 419, 435, 476</w:t>
      </w:r>
    </w:p>
    <w:p w14:paraId="71EB7384" w14:textId="77777777" w:rsidR="00C04C0A" w:rsidRPr="003D1E07" w:rsidRDefault="00C04C0A" w:rsidP="00C04C0A">
      <w:pPr>
        <w:pStyle w:val="Rejstk1"/>
        <w:tabs>
          <w:tab w:val="right" w:leader="dot" w:pos="4171"/>
        </w:tabs>
        <w:spacing w:line="240" w:lineRule="auto"/>
      </w:pPr>
      <w:r w:rsidRPr="003D1E07">
        <w:t>univerzální hylemorfismus</w:t>
      </w:r>
      <w:r w:rsidRPr="003D1E07">
        <w:tab/>
        <w:t>156, 219, 312, 409</w:t>
      </w:r>
    </w:p>
    <w:p w14:paraId="0C92FBE0" w14:textId="77A593CD" w:rsidR="00C04C0A" w:rsidRPr="003D1E07" w:rsidRDefault="00C04C0A" w:rsidP="00770E57">
      <w:pPr>
        <w:pStyle w:val="Rejstk1"/>
        <w:tabs>
          <w:tab w:val="right" w:leader="dot" w:pos="4171"/>
        </w:tabs>
        <w:spacing w:line="240" w:lineRule="auto"/>
      </w:pPr>
      <w:r w:rsidRPr="003D1E07">
        <w:t>věc</w:t>
      </w:r>
      <w:r w:rsidR="00770E57" w:rsidRPr="003D1E07">
        <w:t xml:space="preserve">, </w:t>
      </w:r>
      <w:r w:rsidRPr="003D1E07">
        <w:t xml:space="preserve">objektivní </w:t>
      </w:r>
      <w:r w:rsidRPr="003D1E07">
        <w:rPr>
          <w:i/>
        </w:rPr>
        <w:t>res</w:t>
      </w:r>
      <w:r w:rsidRPr="003D1E07">
        <w:tab/>
        <w:t>289, 290, 295, 297, 301, 321</w:t>
      </w:r>
    </w:p>
    <w:p w14:paraId="7DD57C04" w14:textId="77777777" w:rsidR="00C04C0A" w:rsidRPr="003D1E07" w:rsidRDefault="00C04C0A" w:rsidP="00C04C0A">
      <w:pPr>
        <w:pStyle w:val="Rejstk1"/>
        <w:tabs>
          <w:tab w:val="right" w:leader="dot" w:pos="4171"/>
        </w:tabs>
        <w:spacing w:line="240" w:lineRule="auto"/>
      </w:pPr>
      <w:r w:rsidRPr="003D1E07">
        <w:rPr>
          <w:i/>
        </w:rPr>
        <w:t>veritas</w:t>
      </w:r>
      <w:r w:rsidRPr="003D1E07">
        <w:tab/>
        <w:t>474</w:t>
      </w:r>
    </w:p>
    <w:p w14:paraId="020395C6" w14:textId="77777777" w:rsidR="00C04C0A" w:rsidRPr="003D1E07" w:rsidRDefault="00C04C0A" w:rsidP="00C04C0A">
      <w:pPr>
        <w:pStyle w:val="Rejstk1"/>
        <w:tabs>
          <w:tab w:val="right" w:leader="dot" w:pos="4171"/>
        </w:tabs>
        <w:spacing w:line="240" w:lineRule="auto"/>
      </w:pPr>
      <w:r w:rsidRPr="003D1E07">
        <w:rPr>
          <w:i/>
        </w:rPr>
        <w:t>Verkehrung ins Gegenteil</w:t>
      </w:r>
      <w:r w:rsidRPr="003D1E07">
        <w:tab/>
        <w:t>79, 375, 396, 488</w:t>
      </w:r>
    </w:p>
    <w:p w14:paraId="5E958B32" w14:textId="77777777" w:rsidR="00C04C0A" w:rsidRPr="003D1E07" w:rsidRDefault="00C04C0A" w:rsidP="00C04C0A">
      <w:pPr>
        <w:pStyle w:val="Rejstk1"/>
        <w:tabs>
          <w:tab w:val="right" w:leader="dot" w:pos="4171"/>
        </w:tabs>
        <w:spacing w:line="240" w:lineRule="auto"/>
      </w:pPr>
      <w:r w:rsidRPr="003D1E07">
        <w:t>Vernant, J.-P.</w:t>
      </w:r>
      <w:r w:rsidRPr="003D1E07">
        <w:tab/>
        <w:t>20</w:t>
      </w:r>
    </w:p>
    <w:p w14:paraId="2A09D4D6" w14:textId="77777777" w:rsidR="00C04C0A" w:rsidRPr="003D1E07" w:rsidRDefault="00C04C0A" w:rsidP="00C04C0A">
      <w:pPr>
        <w:pStyle w:val="Rejstk1"/>
        <w:tabs>
          <w:tab w:val="right" w:leader="dot" w:pos="4171"/>
        </w:tabs>
        <w:spacing w:line="240" w:lineRule="auto"/>
      </w:pPr>
      <w:r w:rsidRPr="003D1E07">
        <w:rPr>
          <w:i/>
        </w:rPr>
        <w:t>via Modernorum</w:t>
      </w:r>
      <w:r w:rsidRPr="003D1E07">
        <w:tab/>
        <w:t>10, 62, 213, 219, 286, 437, 487</w:t>
      </w:r>
    </w:p>
    <w:p w14:paraId="5636CDCA" w14:textId="77777777" w:rsidR="00C04C0A" w:rsidRPr="003D1E07" w:rsidRDefault="00C04C0A" w:rsidP="00C04C0A">
      <w:pPr>
        <w:pStyle w:val="Rejstk1"/>
        <w:tabs>
          <w:tab w:val="right" w:leader="dot" w:pos="4171"/>
        </w:tabs>
        <w:spacing w:line="240" w:lineRule="auto"/>
      </w:pPr>
      <w:r w:rsidRPr="003D1E07">
        <w:t>vidění</w:t>
      </w:r>
    </w:p>
    <w:p w14:paraId="0F819321" w14:textId="77777777" w:rsidR="00C04C0A" w:rsidRPr="003D1E07" w:rsidRDefault="00C04C0A" w:rsidP="00C04C0A">
      <w:pPr>
        <w:pStyle w:val="Rejstk2"/>
        <w:tabs>
          <w:tab w:val="right" w:leader="dot" w:pos="4171"/>
        </w:tabs>
        <w:spacing w:line="240" w:lineRule="auto"/>
      </w:pPr>
      <w:r w:rsidRPr="003D1E07">
        <w:rPr>
          <w:i/>
        </w:rPr>
        <w:t>ad modum universalis</w:t>
      </w:r>
      <w:r w:rsidRPr="003D1E07">
        <w:tab/>
        <w:t>285</w:t>
      </w:r>
    </w:p>
    <w:p w14:paraId="78F61D2B" w14:textId="77777777" w:rsidR="00C04C0A" w:rsidRPr="003D1E07" w:rsidRDefault="00C04C0A" w:rsidP="00C04C0A">
      <w:pPr>
        <w:pStyle w:val="Rejstk2"/>
        <w:tabs>
          <w:tab w:val="right" w:leader="dot" w:pos="4171"/>
        </w:tabs>
        <w:spacing w:line="240" w:lineRule="auto"/>
      </w:pPr>
      <w:r w:rsidRPr="003D1E07">
        <w:rPr>
          <w:i/>
        </w:rPr>
        <w:t>Blickbahn</w:t>
      </w:r>
      <w:r w:rsidRPr="003D1E07">
        <w:tab/>
        <w:t>16</w:t>
      </w:r>
    </w:p>
    <w:p w14:paraId="14CA0611" w14:textId="77777777" w:rsidR="00C04C0A" w:rsidRPr="003D1E07" w:rsidRDefault="00C04C0A" w:rsidP="00C04C0A">
      <w:pPr>
        <w:pStyle w:val="Rejstk2"/>
        <w:tabs>
          <w:tab w:val="right" w:leader="dot" w:pos="4171"/>
        </w:tabs>
        <w:spacing w:line="240" w:lineRule="auto"/>
      </w:pPr>
      <w:r w:rsidRPr="003D1E07">
        <w:t>dráha náhledu</w:t>
      </w:r>
      <w:r w:rsidRPr="003D1E07">
        <w:tab/>
        <w:t>85</w:t>
      </w:r>
    </w:p>
    <w:p w14:paraId="25576F01" w14:textId="77777777" w:rsidR="00C04C0A" w:rsidRPr="003D1E07" w:rsidRDefault="00C04C0A" w:rsidP="00C04C0A">
      <w:pPr>
        <w:pStyle w:val="Rejstk2"/>
        <w:tabs>
          <w:tab w:val="right" w:leader="dot" w:pos="4171"/>
        </w:tabs>
        <w:spacing w:line="240" w:lineRule="auto"/>
      </w:pPr>
      <w:r w:rsidRPr="003D1E07">
        <w:t>eidetické</w:t>
      </w:r>
      <w:r w:rsidRPr="003D1E07">
        <w:tab/>
        <w:t>60, 181, 262, 271, 285, 385</w:t>
      </w:r>
    </w:p>
    <w:p w14:paraId="264A2F04" w14:textId="77777777" w:rsidR="00C04C0A" w:rsidRPr="003D1E07" w:rsidRDefault="00C04C0A" w:rsidP="00C04C0A">
      <w:pPr>
        <w:pStyle w:val="Rejstk2"/>
        <w:tabs>
          <w:tab w:val="right" w:leader="dot" w:pos="4171"/>
        </w:tabs>
        <w:spacing w:line="240" w:lineRule="auto"/>
      </w:pPr>
      <w:r w:rsidRPr="003D1E07">
        <w:rPr>
          <w:i/>
        </w:rPr>
        <w:t>formale Anzeige</w:t>
      </w:r>
      <w:r w:rsidRPr="003D1E07">
        <w:tab/>
        <w:t>15</w:t>
      </w:r>
    </w:p>
    <w:p w14:paraId="06FA6208" w14:textId="77777777" w:rsidR="00C04C0A" w:rsidRPr="003D1E07" w:rsidRDefault="00C04C0A" w:rsidP="00C04C0A">
      <w:pPr>
        <w:pStyle w:val="Rejstk2"/>
        <w:tabs>
          <w:tab w:val="right" w:leader="dot" w:pos="4171"/>
        </w:tabs>
        <w:spacing w:line="240" w:lineRule="auto"/>
      </w:pPr>
      <w:r w:rsidRPr="003D1E07">
        <w:t>ideové vědění</w:t>
      </w:r>
      <w:r w:rsidRPr="003D1E07">
        <w:tab/>
        <w:t>29</w:t>
      </w:r>
    </w:p>
    <w:p w14:paraId="4E8F7B83" w14:textId="77777777" w:rsidR="00C04C0A" w:rsidRPr="003D1E07" w:rsidRDefault="00C04C0A" w:rsidP="00C04C0A">
      <w:pPr>
        <w:pStyle w:val="Rejstk2"/>
        <w:tabs>
          <w:tab w:val="right" w:leader="dot" w:pos="4171"/>
        </w:tabs>
        <w:spacing w:line="240" w:lineRule="auto"/>
      </w:pPr>
      <w:r w:rsidRPr="003D1E07">
        <w:t>ilumináti</w:t>
      </w:r>
      <w:r w:rsidRPr="003D1E07">
        <w:tab/>
        <w:t>171</w:t>
      </w:r>
    </w:p>
    <w:p w14:paraId="718229AD" w14:textId="77777777" w:rsidR="00C04C0A" w:rsidRPr="003D1E07" w:rsidRDefault="00C04C0A" w:rsidP="00C04C0A">
      <w:pPr>
        <w:pStyle w:val="Rejstk2"/>
        <w:tabs>
          <w:tab w:val="right" w:leader="dot" w:pos="4171"/>
        </w:tabs>
        <w:spacing w:line="240" w:lineRule="auto"/>
      </w:pPr>
      <w:r w:rsidRPr="003D1E07">
        <w:t>jsoucna</w:t>
      </w:r>
      <w:r w:rsidRPr="003D1E07">
        <w:tab/>
        <w:t>16</w:t>
      </w:r>
    </w:p>
    <w:p w14:paraId="2985D0ED" w14:textId="77777777" w:rsidR="00C04C0A" w:rsidRPr="003D1E07" w:rsidRDefault="00C04C0A" w:rsidP="00C04C0A">
      <w:pPr>
        <w:pStyle w:val="Rejstk2"/>
        <w:tabs>
          <w:tab w:val="right" w:leader="dot" w:pos="4171"/>
        </w:tabs>
        <w:spacing w:line="240" w:lineRule="auto"/>
      </w:pPr>
      <w:r w:rsidRPr="003D1E07">
        <w:t>mystéria</w:t>
      </w:r>
      <w:r w:rsidRPr="003D1E07">
        <w:tab/>
        <w:t>26</w:t>
      </w:r>
    </w:p>
    <w:p w14:paraId="0DACF056" w14:textId="77777777" w:rsidR="00C04C0A" w:rsidRPr="003D1E07" w:rsidRDefault="00C04C0A" w:rsidP="00C04C0A">
      <w:pPr>
        <w:pStyle w:val="Rejstk2"/>
        <w:tabs>
          <w:tab w:val="right" w:leader="dot" w:pos="4171"/>
        </w:tabs>
        <w:spacing w:line="240" w:lineRule="auto"/>
      </w:pPr>
      <w:r w:rsidRPr="003D1E07">
        <w:lastRenderedPageBreak/>
        <w:t>paranoické</w:t>
      </w:r>
      <w:r w:rsidRPr="003D1E07">
        <w:tab/>
        <w:t>151</w:t>
      </w:r>
    </w:p>
    <w:p w14:paraId="3E8CDDB9" w14:textId="77777777" w:rsidR="00C04C0A" w:rsidRPr="003D1E07" w:rsidRDefault="00C04C0A" w:rsidP="00C04C0A">
      <w:pPr>
        <w:pStyle w:val="Rejstk2"/>
        <w:tabs>
          <w:tab w:val="right" w:leader="dot" w:pos="4171"/>
        </w:tabs>
        <w:spacing w:line="240" w:lineRule="auto"/>
      </w:pPr>
      <w:r w:rsidRPr="003D1E07">
        <w:rPr>
          <w:i/>
        </w:rPr>
        <w:t>speculum</w:t>
      </w:r>
      <w:r w:rsidRPr="003D1E07">
        <w:tab/>
        <w:t>151</w:t>
      </w:r>
    </w:p>
    <w:p w14:paraId="3D22CAD0" w14:textId="77777777" w:rsidR="00C04C0A" w:rsidRPr="003D1E07" w:rsidRDefault="00C04C0A" w:rsidP="00C04C0A">
      <w:pPr>
        <w:pStyle w:val="Rejstk1"/>
        <w:tabs>
          <w:tab w:val="right" w:leader="dot" w:pos="4171"/>
        </w:tabs>
        <w:spacing w:line="240" w:lineRule="auto"/>
      </w:pPr>
      <w:r w:rsidRPr="003D1E07">
        <w:t>vidění/vědění</w:t>
      </w:r>
      <w:r w:rsidRPr="003D1E07">
        <w:tab/>
        <w:t>4, 7</w:t>
      </w:r>
    </w:p>
    <w:p w14:paraId="7ACB67C6" w14:textId="77777777" w:rsidR="00C04C0A" w:rsidRPr="003D1E07" w:rsidRDefault="00C04C0A" w:rsidP="00C04C0A">
      <w:pPr>
        <w:pStyle w:val="Rejstk1"/>
        <w:tabs>
          <w:tab w:val="right" w:leader="dot" w:pos="4171"/>
        </w:tabs>
        <w:spacing w:line="240" w:lineRule="auto"/>
      </w:pPr>
      <w:r w:rsidRPr="003D1E07">
        <w:rPr>
          <w:i/>
        </w:rPr>
        <w:t>vis aestimativa</w:t>
      </w:r>
      <w:r w:rsidRPr="003D1E07">
        <w:tab/>
        <w:t>257, 306, 391, 454, 455, 466</w:t>
      </w:r>
    </w:p>
    <w:p w14:paraId="68590B71" w14:textId="77777777" w:rsidR="00C04C0A" w:rsidRPr="003D1E07" w:rsidRDefault="00C04C0A" w:rsidP="00C04C0A">
      <w:pPr>
        <w:pStyle w:val="Rejstk1"/>
        <w:tabs>
          <w:tab w:val="right" w:leader="dot" w:pos="4171"/>
        </w:tabs>
        <w:spacing w:line="240" w:lineRule="auto"/>
      </w:pPr>
      <w:r w:rsidRPr="003D1E07">
        <w:rPr>
          <w:i/>
          <w:iCs/>
        </w:rPr>
        <w:t>Vollzugssinn</w:t>
      </w:r>
      <w:r w:rsidRPr="003D1E07">
        <w:tab/>
        <w:t>15, 360</w:t>
      </w:r>
    </w:p>
    <w:p w14:paraId="3B18D946" w14:textId="77777777" w:rsidR="00C04C0A" w:rsidRPr="003D1E07" w:rsidRDefault="00C04C0A" w:rsidP="00C04C0A">
      <w:pPr>
        <w:pStyle w:val="Rejstk1"/>
        <w:tabs>
          <w:tab w:val="right" w:leader="dot" w:pos="4171"/>
        </w:tabs>
        <w:spacing w:line="240" w:lineRule="auto"/>
      </w:pPr>
      <w:r w:rsidRPr="003D1E07">
        <w:rPr>
          <w:i/>
        </w:rPr>
        <w:t>Vor-b</w:t>
      </w:r>
      <w:r w:rsidRPr="003D1E07">
        <w:rPr>
          <w:i/>
          <w:iCs/>
        </w:rPr>
        <w:t>lickbahn</w:t>
      </w:r>
      <w:r w:rsidRPr="003D1E07">
        <w:tab/>
        <w:t>17, 30, 36, 90, 147, 276, 307, 361, 472</w:t>
      </w:r>
    </w:p>
    <w:p w14:paraId="4354297F" w14:textId="77777777" w:rsidR="00C04C0A" w:rsidRPr="003D1E07" w:rsidRDefault="00C04C0A" w:rsidP="00C04C0A">
      <w:pPr>
        <w:pStyle w:val="Rejstk2"/>
        <w:tabs>
          <w:tab w:val="right" w:leader="dot" w:pos="4171"/>
        </w:tabs>
        <w:spacing w:line="240" w:lineRule="auto"/>
      </w:pPr>
      <w:r w:rsidRPr="003D1E07">
        <w:rPr>
          <w:iCs/>
        </w:rPr>
        <w:t>Al-Fárábí</w:t>
      </w:r>
      <w:r w:rsidRPr="003D1E07">
        <w:tab/>
        <w:t>183, 188, 205</w:t>
      </w:r>
    </w:p>
    <w:p w14:paraId="0EC8C987" w14:textId="77777777" w:rsidR="00C04C0A" w:rsidRPr="003D1E07" w:rsidRDefault="00C04C0A" w:rsidP="00C04C0A">
      <w:pPr>
        <w:pStyle w:val="Rejstk2"/>
        <w:tabs>
          <w:tab w:val="right" w:leader="dot" w:pos="4171"/>
        </w:tabs>
        <w:spacing w:line="240" w:lineRule="auto"/>
      </w:pPr>
      <w:r w:rsidRPr="003D1E07">
        <w:rPr>
          <w:iCs/>
        </w:rPr>
        <w:t>amfibolia</w:t>
      </w:r>
      <w:r w:rsidRPr="003D1E07">
        <w:tab/>
        <w:t>227</w:t>
      </w:r>
    </w:p>
    <w:p w14:paraId="47E7F218" w14:textId="77777777" w:rsidR="00C04C0A" w:rsidRPr="003D1E07" w:rsidRDefault="00C04C0A" w:rsidP="00C04C0A">
      <w:pPr>
        <w:pStyle w:val="Rejstk2"/>
        <w:tabs>
          <w:tab w:val="right" w:leader="dot" w:pos="4171"/>
        </w:tabs>
        <w:spacing w:line="240" w:lineRule="auto"/>
      </w:pPr>
      <w:r w:rsidRPr="003D1E07">
        <w:rPr>
          <w:lang w:eastAsia="en-US"/>
        </w:rPr>
        <w:t>archaická hermeneutika</w:t>
      </w:r>
      <w:r w:rsidRPr="003D1E07">
        <w:tab/>
        <w:t>52</w:t>
      </w:r>
    </w:p>
    <w:p w14:paraId="283F6972" w14:textId="77777777" w:rsidR="00C04C0A" w:rsidRPr="003D1E07" w:rsidRDefault="00C04C0A" w:rsidP="00C04C0A">
      <w:pPr>
        <w:pStyle w:val="Rejstk2"/>
        <w:tabs>
          <w:tab w:val="right" w:leader="dot" w:pos="4171"/>
        </w:tabs>
        <w:spacing w:line="240" w:lineRule="auto"/>
      </w:pPr>
      <w:r w:rsidRPr="003D1E07">
        <w:rPr>
          <w:iCs/>
        </w:rPr>
        <w:t>Aristoteles</w:t>
      </w:r>
      <w:r w:rsidRPr="003D1E07">
        <w:tab/>
        <w:t>85, 168</w:t>
      </w:r>
    </w:p>
    <w:p w14:paraId="23BD1561" w14:textId="77777777" w:rsidR="00C04C0A" w:rsidRPr="003D1E07" w:rsidRDefault="00C04C0A" w:rsidP="00C04C0A">
      <w:pPr>
        <w:pStyle w:val="Rejstk2"/>
        <w:tabs>
          <w:tab w:val="right" w:leader="dot" w:pos="4171"/>
        </w:tabs>
        <w:spacing w:line="240" w:lineRule="auto"/>
      </w:pPr>
      <w:r w:rsidRPr="003D1E07">
        <w:rPr>
          <w:iCs/>
        </w:rPr>
        <w:t>Averroes</w:t>
      </w:r>
      <w:r w:rsidRPr="003D1E07">
        <w:tab/>
        <w:t>341, 355, 406, 413, 431, 455</w:t>
      </w:r>
    </w:p>
    <w:p w14:paraId="27E9F159" w14:textId="77777777" w:rsidR="00C04C0A" w:rsidRPr="003D1E07" w:rsidRDefault="00C04C0A" w:rsidP="00C04C0A">
      <w:pPr>
        <w:pStyle w:val="Rejstk2"/>
        <w:tabs>
          <w:tab w:val="right" w:leader="dot" w:pos="4171"/>
        </w:tabs>
        <w:spacing w:line="240" w:lineRule="auto"/>
      </w:pPr>
      <w:r w:rsidRPr="003D1E07">
        <w:rPr>
          <w:iCs/>
        </w:rPr>
        <w:t>Avicenna</w:t>
      </w:r>
      <w:r w:rsidRPr="003D1E07">
        <w:tab/>
        <w:t>275, 284, 292, 315</w:t>
      </w:r>
    </w:p>
    <w:p w14:paraId="54DCA545" w14:textId="77777777" w:rsidR="00C04C0A" w:rsidRPr="003D1E07" w:rsidRDefault="00C04C0A" w:rsidP="00C04C0A">
      <w:pPr>
        <w:pStyle w:val="Rejstk2"/>
        <w:tabs>
          <w:tab w:val="right" w:leader="dot" w:pos="4171"/>
        </w:tabs>
        <w:spacing w:line="240" w:lineRule="auto"/>
      </w:pPr>
      <w:r w:rsidRPr="003D1E07">
        <w:rPr>
          <w:lang w:eastAsia="en-US"/>
        </w:rPr>
        <w:t>falsafa</w:t>
      </w:r>
      <w:r w:rsidRPr="003D1E07">
        <w:tab/>
        <w:t>487</w:t>
      </w:r>
    </w:p>
    <w:p w14:paraId="2FBD1BEA" w14:textId="77777777" w:rsidR="00C04C0A" w:rsidRPr="003D1E07" w:rsidRDefault="00C04C0A" w:rsidP="00C04C0A">
      <w:pPr>
        <w:pStyle w:val="Rejstk2"/>
        <w:tabs>
          <w:tab w:val="right" w:leader="dot" w:pos="4171"/>
        </w:tabs>
        <w:spacing w:line="240" w:lineRule="auto"/>
      </w:pPr>
      <w:r w:rsidRPr="003D1E07">
        <w:rPr>
          <w:iCs/>
        </w:rPr>
        <w:t>hermeneutická</w:t>
      </w:r>
      <w:r w:rsidRPr="003D1E07">
        <w:tab/>
        <w:t>61</w:t>
      </w:r>
    </w:p>
    <w:p w14:paraId="04E49D4E" w14:textId="77777777" w:rsidR="00C04C0A" w:rsidRPr="003D1E07" w:rsidRDefault="00C04C0A" w:rsidP="00C04C0A">
      <w:pPr>
        <w:pStyle w:val="Rejstk2"/>
        <w:tabs>
          <w:tab w:val="right" w:leader="dot" w:pos="4171"/>
        </w:tabs>
        <w:spacing w:line="240" w:lineRule="auto"/>
      </w:pPr>
      <w:r w:rsidRPr="003D1E07">
        <w:rPr>
          <w:iCs/>
        </w:rPr>
        <w:t>iluminace</w:t>
      </w:r>
      <w:r w:rsidRPr="003D1E07">
        <w:tab/>
        <w:t>237</w:t>
      </w:r>
    </w:p>
    <w:p w14:paraId="51735CC7" w14:textId="77777777" w:rsidR="00C04C0A" w:rsidRPr="003D1E07" w:rsidRDefault="00C04C0A" w:rsidP="00C04C0A">
      <w:pPr>
        <w:pStyle w:val="Rejstk2"/>
        <w:tabs>
          <w:tab w:val="right" w:leader="dot" w:pos="4171"/>
        </w:tabs>
        <w:spacing w:line="240" w:lineRule="auto"/>
      </w:pPr>
      <w:r w:rsidRPr="003D1E07">
        <w:rPr>
          <w:iCs/>
        </w:rPr>
        <w:t>objektivní</w:t>
      </w:r>
      <w:r w:rsidRPr="003D1E07">
        <w:tab/>
        <w:t>150</w:t>
      </w:r>
    </w:p>
    <w:p w14:paraId="51BB14E9" w14:textId="77777777" w:rsidR="00C04C0A" w:rsidRPr="003D1E07" w:rsidRDefault="00C04C0A" w:rsidP="00C04C0A">
      <w:pPr>
        <w:pStyle w:val="Rejstk2"/>
        <w:tabs>
          <w:tab w:val="right" w:leader="dot" w:pos="4171"/>
        </w:tabs>
        <w:spacing w:line="240" w:lineRule="auto"/>
      </w:pPr>
      <w:r w:rsidRPr="003D1E07">
        <w:rPr>
          <w:iCs/>
        </w:rPr>
        <w:t>Porfyrius</w:t>
      </w:r>
      <w:r w:rsidRPr="003D1E07">
        <w:tab/>
        <w:t>114</w:t>
      </w:r>
    </w:p>
    <w:p w14:paraId="111E0796" w14:textId="77777777" w:rsidR="00C04C0A" w:rsidRPr="003D1E07" w:rsidRDefault="00C04C0A" w:rsidP="00C04C0A">
      <w:pPr>
        <w:pStyle w:val="Rejstk2"/>
        <w:tabs>
          <w:tab w:val="right" w:leader="dot" w:pos="4171"/>
        </w:tabs>
        <w:spacing w:line="240" w:lineRule="auto"/>
      </w:pPr>
      <w:r w:rsidRPr="003D1E07">
        <w:rPr>
          <w:iCs/>
        </w:rPr>
        <w:t>Proklus</w:t>
      </w:r>
      <w:r w:rsidRPr="003D1E07">
        <w:tab/>
        <w:t>121</w:t>
      </w:r>
    </w:p>
    <w:p w14:paraId="4815D045" w14:textId="77777777" w:rsidR="00C04C0A" w:rsidRPr="003D1E07" w:rsidRDefault="00C04C0A" w:rsidP="00C04C0A">
      <w:pPr>
        <w:pStyle w:val="Rejstk2"/>
        <w:tabs>
          <w:tab w:val="right" w:leader="dot" w:pos="4171"/>
        </w:tabs>
        <w:spacing w:line="240" w:lineRule="auto"/>
      </w:pPr>
      <w:r w:rsidRPr="003D1E07">
        <w:rPr>
          <w:iCs/>
        </w:rPr>
        <w:t>Simplikius</w:t>
      </w:r>
      <w:r w:rsidRPr="003D1E07">
        <w:tab/>
        <w:t>136</w:t>
      </w:r>
    </w:p>
    <w:p w14:paraId="07E3CB8D" w14:textId="77777777" w:rsidR="00C04C0A" w:rsidRPr="003D1E07" w:rsidRDefault="00C04C0A" w:rsidP="00C04C0A">
      <w:pPr>
        <w:pStyle w:val="Rejstk1"/>
        <w:tabs>
          <w:tab w:val="right" w:leader="dot" w:pos="4171"/>
        </w:tabs>
        <w:spacing w:line="240" w:lineRule="auto"/>
      </w:pPr>
      <w:r w:rsidRPr="003D1E07">
        <w:rPr>
          <w:i/>
        </w:rPr>
        <w:t>Vorhabe</w:t>
      </w:r>
      <w:r w:rsidRPr="003D1E07">
        <w:tab/>
        <w:t>15</w:t>
      </w:r>
    </w:p>
    <w:p w14:paraId="49048397" w14:textId="77777777" w:rsidR="00C04C0A" w:rsidRPr="003D1E07" w:rsidRDefault="00C04C0A" w:rsidP="00C04C0A">
      <w:pPr>
        <w:pStyle w:val="Rejstk1"/>
        <w:tabs>
          <w:tab w:val="right" w:leader="dot" w:pos="4171"/>
        </w:tabs>
        <w:spacing w:line="240" w:lineRule="auto"/>
      </w:pPr>
      <w:r w:rsidRPr="003D1E07">
        <w:t>vůle k moci</w:t>
      </w:r>
      <w:r w:rsidRPr="003D1E07">
        <w:tab/>
        <w:t>5, 35</w:t>
      </w:r>
    </w:p>
    <w:p w14:paraId="4D390781" w14:textId="4A92BDD8" w:rsidR="00C04C0A" w:rsidRPr="003D1E07" w:rsidRDefault="00C04C0A" w:rsidP="00C04C0A">
      <w:pPr>
        <w:pStyle w:val="Hlavikarejstku"/>
        <w:keepNext/>
        <w:tabs>
          <w:tab w:val="right" w:leader="dot" w:pos="4171"/>
        </w:tabs>
        <w:spacing w:line="240" w:lineRule="auto"/>
        <w:rPr>
          <w:rFonts w:eastAsia="Times New Roman" w:cs="Times New Roman"/>
          <w:b w:val="0"/>
          <w:bCs w:val="0"/>
        </w:rPr>
      </w:pPr>
      <w:r w:rsidRPr="003D1E07">
        <w:t>W</w:t>
      </w:r>
      <w:r w:rsidR="00476BD3" w:rsidRPr="003D1E07">
        <w:t>, Y, Z</w:t>
      </w:r>
    </w:p>
    <w:p w14:paraId="1FE1BCED" w14:textId="77777777" w:rsidR="00C04C0A" w:rsidRPr="003D1E07" w:rsidRDefault="00C04C0A" w:rsidP="00C04C0A">
      <w:pPr>
        <w:pStyle w:val="Rejstk1"/>
        <w:tabs>
          <w:tab w:val="right" w:leader="dot" w:pos="4171"/>
        </w:tabs>
        <w:spacing w:line="240" w:lineRule="auto"/>
      </w:pPr>
      <w:r w:rsidRPr="003D1E07">
        <w:rPr>
          <w:i/>
        </w:rPr>
        <w:t>wahm</w:t>
      </w:r>
      <w:r w:rsidRPr="003D1E07">
        <w:tab/>
        <w:t>257, 268, 374</w:t>
      </w:r>
    </w:p>
    <w:p w14:paraId="32199A81" w14:textId="77777777" w:rsidR="00C04C0A" w:rsidRPr="003D1E07" w:rsidRDefault="00C04C0A" w:rsidP="00C04C0A">
      <w:pPr>
        <w:pStyle w:val="Rejstk1"/>
        <w:tabs>
          <w:tab w:val="right" w:leader="dot" w:pos="4171"/>
        </w:tabs>
        <w:spacing w:line="240" w:lineRule="auto"/>
      </w:pPr>
      <w:r w:rsidRPr="003D1E07">
        <w:rPr>
          <w:i/>
        </w:rPr>
        <w:t>Was-sein</w:t>
      </w:r>
      <w:r w:rsidRPr="003D1E07">
        <w:tab/>
        <w:t>34</w:t>
      </w:r>
    </w:p>
    <w:p w14:paraId="1B490881" w14:textId="77777777" w:rsidR="00C04C0A" w:rsidRPr="003D1E07" w:rsidRDefault="00C04C0A" w:rsidP="00C04C0A">
      <w:pPr>
        <w:pStyle w:val="Rejstk1"/>
        <w:tabs>
          <w:tab w:val="right" w:leader="dot" w:pos="4171"/>
        </w:tabs>
        <w:spacing w:line="240" w:lineRule="auto"/>
      </w:pPr>
      <w:r w:rsidRPr="003D1E07">
        <w:rPr>
          <w:i/>
        </w:rPr>
        <w:t>Weltanschauung</w:t>
      </w:r>
      <w:r w:rsidRPr="003D1E07">
        <w:tab/>
        <w:t>51, 270</w:t>
      </w:r>
    </w:p>
    <w:p w14:paraId="5BD7F4D5" w14:textId="77777777" w:rsidR="00C04C0A" w:rsidRPr="003D1E07" w:rsidRDefault="00C04C0A" w:rsidP="00C04C0A">
      <w:pPr>
        <w:pStyle w:val="Rejstk1"/>
        <w:tabs>
          <w:tab w:val="right" w:leader="dot" w:pos="4171"/>
        </w:tabs>
        <w:spacing w:line="240" w:lineRule="auto"/>
      </w:pPr>
      <w:r w:rsidRPr="003D1E07">
        <w:rPr>
          <w:i/>
        </w:rPr>
        <w:lastRenderedPageBreak/>
        <w:t>Wesensschau</w:t>
      </w:r>
      <w:r w:rsidRPr="003D1E07">
        <w:tab/>
        <w:t>140, 285</w:t>
      </w:r>
    </w:p>
    <w:p w14:paraId="06D88386" w14:textId="77777777" w:rsidR="00C04C0A" w:rsidRPr="003D1E07" w:rsidRDefault="00C04C0A" w:rsidP="00C04C0A">
      <w:pPr>
        <w:pStyle w:val="Rejstk1"/>
        <w:tabs>
          <w:tab w:val="right" w:leader="dot" w:pos="4171"/>
        </w:tabs>
        <w:spacing w:line="240" w:lineRule="auto"/>
      </w:pPr>
      <w:r w:rsidRPr="003D1E07">
        <w:rPr>
          <w:i/>
        </w:rPr>
        <w:t>Wirkungsgeschichte</w:t>
      </w:r>
      <w:r w:rsidRPr="003D1E07">
        <w:tab/>
        <w:t>3, 14</w:t>
      </w:r>
    </w:p>
    <w:p w14:paraId="3B3A4D9F" w14:textId="77777777" w:rsidR="00C04C0A" w:rsidRPr="003D1E07" w:rsidRDefault="00C04C0A" w:rsidP="00C04C0A">
      <w:pPr>
        <w:pStyle w:val="Rejstk1"/>
        <w:tabs>
          <w:tab w:val="right" w:leader="dot" w:pos="4171"/>
        </w:tabs>
        <w:spacing w:line="240" w:lineRule="auto"/>
      </w:pPr>
      <w:r w:rsidRPr="003D1E07">
        <w:t>Wittgenstein, L.</w:t>
      </w:r>
      <w:r w:rsidRPr="003D1E07">
        <w:tab/>
        <w:t>2</w:t>
      </w:r>
    </w:p>
    <w:p w14:paraId="696500DD" w14:textId="77777777" w:rsidR="00C04C0A" w:rsidRPr="003D1E07" w:rsidRDefault="00C04C0A" w:rsidP="00C04C0A">
      <w:pPr>
        <w:pStyle w:val="Rejstk1"/>
        <w:tabs>
          <w:tab w:val="right" w:leader="dot" w:pos="4171"/>
        </w:tabs>
        <w:spacing w:line="240" w:lineRule="auto"/>
      </w:pPr>
      <w:r w:rsidRPr="003D1E07">
        <w:t>Yorck, P.</w:t>
      </w:r>
      <w:r w:rsidRPr="003D1E07">
        <w:tab/>
        <w:t>458</w:t>
      </w:r>
    </w:p>
    <w:p w14:paraId="21403A03" w14:textId="77777777" w:rsidR="00C04C0A" w:rsidRPr="003D1E07" w:rsidRDefault="00C04C0A" w:rsidP="00C04C0A">
      <w:pPr>
        <w:pStyle w:val="Rejstk1"/>
        <w:tabs>
          <w:tab w:val="right" w:leader="dot" w:pos="4171"/>
        </w:tabs>
        <w:spacing w:line="240" w:lineRule="auto"/>
      </w:pPr>
      <w:r w:rsidRPr="003D1E07">
        <w:rPr>
          <w:lang w:eastAsia="en-US"/>
        </w:rPr>
        <w:t>zatmění</w:t>
      </w:r>
    </w:p>
    <w:p w14:paraId="37FE44EE" w14:textId="77777777" w:rsidR="00C04C0A" w:rsidRPr="003D1E07" w:rsidRDefault="00C04C0A" w:rsidP="00C04C0A">
      <w:pPr>
        <w:pStyle w:val="Rejstk2"/>
        <w:tabs>
          <w:tab w:val="right" w:leader="dot" w:pos="4171"/>
        </w:tabs>
        <w:spacing w:line="240" w:lineRule="auto"/>
      </w:pPr>
      <w:r w:rsidRPr="003D1E07">
        <w:rPr>
          <w:lang w:eastAsia="en-US"/>
        </w:rPr>
        <w:t>jsoucna</w:t>
      </w:r>
      <w:r w:rsidRPr="003D1E07">
        <w:tab/>
        <w:t>53, 190</w:t>
      </w:r>
    </w:p>
    <w:p w14:paraId="30A72F03" w14:textId="77777777" w:rsidR="00C04C0A" w:rsidRPr="003D1E07" w:rsidRDefault="00C04C0A" w:rsidP="00C04C0A">
      <w:pPr>
        <w:pStyle w:val="Rejstk2"/>
        <w:tabs>
          <w:tab w:val="right" w:leader="dot" w:pos="4171"/>
        </w:tabs>
        <w:spacing w:line="240" w:lineRule="auto"/>
      </w:pPr>
      <w:r w:rsidRPr="003D1E07">
        <w:t>substance</w:t>
      </w:r>
      <w:r w:rsidRPr="003D1E07">
        <w:tab/>
        <w:t>95, 114, 134, 153, 167, 190, 219, 275, 283, 286, 297, 349, 375, 398, 435, 457, 460, 469, 470, 482, 487</w:t>
      </w:r>
    </w:p>
    <w:p w14:paraId="18C343AF" w14:textId="77777777" w:rsidR="00C04C0A" w:rsidRPr="003D1E07" w:rsidRDefault="00C04C0A" w:rsidP="00C04C0A">
      <w:pPr>
        <w:pStyle w:val="Rejstk1"/>
        <w:tabs>
          <w:tab w:val="right" w:leader="dot" w:pos="4171"/>
        </w:tabs>
        <w:spacing w:line="240" w:lineRule="auto"/>
      </w:pPr>
      <w:r w:rsidRPr="003D1E07">
        <w:t>zdvojení bytí</w:t>
      </w:r>
      <w:r w:rsidRPr="003D1E07">
        <w:tab/>
        <w:t>116, 118, 125, 136, 152, 171, 244, 319</w:t>
      </w:r>
    </w:p>
    <w:p w14:paraId="16084FE4" w14:textId="77777777" w:rsidR="00C04C0A" w:rsidRPr="003D1E07" w:rsidRDefault="00C04C0A" w:rsidP="00C04C0A">
      <w:pPr>
        <w:pStyle w:val="Rejstk1"/>
        <w:tabs>
          <w:tab w:val="right" w:leader="dot" w:pos="4171"/>
        </w:tabs>
        <w:spacing w:line="240" w:lineRule="auto"/>
      </w:pPr>
      <w:r w:rsidRPr="003D1E07">
        <w:t>zjevování</w:t>
      </w:r>
    </w:p>
    <w:p w14:paraId="57EDA3F6" w14:textId="77777777" w:rsidR="00C04C0A" w:rsidRPr="003D1E07" w:rsidRDefault="00C04C0A" w:rsidP="00C04C0A">
      <w:pPr>
        <w:pStyle w:val="Rejstk2"/>
        <w:tabs>
          <w:tab w:val="right" w:leader="dot" w:pos="4171"/>
        </w:tabs>
        <w:spacing w:line="240" w:lineRule="auto"/>
      </w:pPr>
      <w:r w:rsidRPr="003D1E07">
        <w:rPr>
          <w:i/>
        </w:rPr>
        <w:t>Anwesenheit</w:t>
      </w:r>
      <w:r w:rsidRPr="003D1E07">
        <w:tab/>
        <w:t>61</w:t>
      </w:r>
    </w:p>
    <w:p w14:paraId="52B7EECE" w14:textId="77777777" w:rsidR="00C04C0A" w:rsidRPr="003D1E07" w:rsidRDefault="00C04C0A" w:rsidP="00C04C0A">
      <w:pPr>
        <w:pStyle w:val="Rejstk2"/>
        <w:tabs>
          <w:tab w:val="right" w:leader="dot" w:pos="4171"/>
        </w:tabs>
        <w:spacing w:line="240" w:lineRule="auto"/>
      </w:pPr>
      <w:r w:rsidRPr="003D1E07">
        <w:t>Averroes</w:t>
      </w:r>
      <w:r w:rsidRPr="003D1E07">
        <w:tab/>
        <w:t>484</w:t>
      </w:r>
    </w:p>
    <w:p w14:paraId="755137E3" w14:textId="77777777" w:rsidR="00C04C0A" w:rsidRPr="003D1E07" w:rsidRDefault="00C04C0A" w:rsidP="00C04C0A">
      <w:pPr>
        <w:pStyle w:val="Rejstk2"/>
        <w:tabs>
          <w:tab w:val="right" w:leader="dot" w:pos="4171"/>
        </w:tabs>
        <w:spacing w:line="240" w:lineRule="auto"/>
      </w:pPr>
      <w:r w:rsidRPr="003D1E07">
        <w:t>Avicenna</w:t>
      </w:r>
      <w:r w:rsidRPr="003D1E07">
        <w:tab/>
        <w:t>258, 260, 483</w:t>
      </w:r>
    </w:p>
    <w:p w14:paraId="47DA049D" w14:textId="77777777" w:rsidR="00C04C0A" w:rsidRPr="003D1E07" w:rsidRDefault="00C04C0A" w:rsidP="00C04C0A">
      <w:pPr>
        <w:pStyle w:val="Rejstk2"/>
        <w:tabs>
          <w:tab w:val="right" w:leader="dot" w:pos="4171"/>
        </w:tabs>
        <w:spacing w:line="240" w:lineRule="auto"/>
      </w:pPr>
      <w:r w:rsidRPr="003D1E07">
        <w:t>avicennismus</w:t>
      </w:r>
      <w:r w:rsidRPr="003D1E07">
        <w:tab/>
        <w:t>307</w:t>
      </w:r>
    </w:p>
    <w:p w14:paraId="11EFCC56" w14:textId="77777777" w:rsidR="00C04C0A" w:rsidRPr="003D1E07" w:rsidRDefault="00C04C0A" w:rsidP="00C04C0A">
      <w:pPr>
        <w:pStyle w:val="Rejstk2"/>
        <w:tabs>
          <w:tab w:val="right" w:leader="dot" w:pos="4171"/>
        </w:tabs>
        <w:spacing w:line="240" w:lineRule="auto"/>
      </w:pPr>
      <w:r w:rsidRPr="003D1E07">
        <w:t>iluminace</w:t>
      </w:r>
      <w:r w:rsidRPr="003D1E07">
        <w:tab/>
        <w:t>283, 302, 333</w:t>
      </w:r>
    </w:p>
    <w:p w14:paraId="377EB5CA" w14:textId="77777777" w:rsidR="00C04C0A" w:rsidRPr="003D1E07" w:rsidRDefault="00C04C0A" w:rsidP="00C04C0A">
      <w:pPr>
        <w:pStyle w:val="Rejstk2"/>
        <w:tabs>
          <w:tab w:val="right" w:leader="dot" w:pos="4171"/>
        </w:tabs>
        <w:spacing w:line="240" w:lineRule="auto"/>
      </w:pPr>
      <w:r w:rsidRPr="003D1E07">
        <w:t>nasvícení zepředu</w:t>
      </w:r>
      <w:r w:rsidRPr="003D1E07">
        <w:tab/>
        <w:t>86, 89, 171, 178, 208, 254, 338, 357, 376, 433, 436, 450, 481</w:t>
      </w:r>
    </w:p>
    <w:p w14:paraId="1310E937" w14:textId="77777777" w:rsidR="00C04C0A" w:rsidRPr="003D1E07" w:rsidRDefault="00C04C0A" w:rsidP="00C04C0A">
      <w:pPr>
        <w:pStyle w:val="Rejstk2"/>
        <w:tabs>
          <w:tab w:val="right" w:leader="dot" w:pos="4171"/>
        </w:tabs>
        <w:spacing w:line="240" w:lineRule="auto"/>
      </w:pPr>
      <w:r w:rsidRPr="003D1E07">
        <w:t>nasvícení zezadu</w:t>
      </w:r>
      <w:r w:rsidRPr="003D1E07">
        <w:tab/>
        <w:t>64, 87, 93, 127, 131, 138, 151, 178, 199, 210, 227, 295, 338</w:t>
      </w:r>
    </w:p>
    <w:p w14:paraId="0ACFACDD" w14:textId="77777777" w:rsidR="00C04C0A" w:rsidRPr="003D1E07" w:rsidRDefault="00C04C0A" w:rsidP="00C04C0A">
      <w:pPr>
        <w:pStyle w:val="Rejstk2"/>
        <w:tabs>
          <w:tab w:val="right" w:leader="dot" w:pos="4171"/>
        </w:tabs>
        <w:spacing w:line="240" w:lineRule="auto"/>
      </w:pPr>
      <w:r w:rsidRPr="003D1E07">
        <w:rPr>
          <w:i/>
        </w:rPr>
        <w:t>parousía</w:t>
      </w:r>
      <w:r w:rsidRPr="003D1E07">
        <w:tab/>
        <w:t>251</w:t>
      </w:r>
    </w:p>
    <w:p w14:paraId="5C275182" w14:textId="77777777" w:rsidR="00C04C0A" w:rsidRPr="003D1E07" w:rsidRDefault="00C04C0A" w:rsidP="00C04C0A">
      <w:pPr>
        <w:pStyle w:val="Rejstk2"/>
        <w:tabs>
          <w:tab w:val="right" w:leader="dot" w:pos="4171"/>
        </w:tabs>
        <w:spacing w:line="240" w:lineRule="auto"/>
      </w:pPr>
      <w:r w:rsidRPr="003D1E07">
        <w:rPr>
          <w:i/>
        </w:rPr>
        <w:t>per posterius</w:t>
      </w:r>
      <w:r w:rsidRPr="003D1E07">
        <w:tab/>
        <w:t>44</w:t>
      </w:r>
    </w:p>
    <w:p w14:paraId="6B6EBD0B" w14:textId="77777777" w:rsidR="00C04C0A" w:rsidRPr="003D1E07" w:rsidRDefault="00C04C0A" w:rsidP="00C04C0A">
      <w:pPr>
        <w:pStyle w:val="Rejstk2"/>
        <w:tabs>
          <w:tab w:val="right" w:leader="dot" w:pos="4171"/>
        </w:tabs>
        <w:spacing w:line="240" w:lineRule="auto"/>
      </w:pPr>
      <w:r w:rsidRPr="003D1E07">
        <w:rPr>
          <w:i/>
        </w:rPr>
        <w:t>per prius</w:t>
      </w:r>
      <w:r w:rsidRPr="003D1E07">
        <w:tab/>
        <w:t>44</w:t>
      </w:r>
    </w:p>
    <w:p w14:paraId="12574084" w14:textId="77777777" w:rsidR="00C04C0A" w:rsidRPr="003D1E07" w:rsidRDefault="00C04C0A" w:rsidP="00C04C0A">
      <w:pPr>
        <w:pStyle w:val="Rejstk2"/>
        <w:tabs>
          <w:tab w:val="right" w:leader="dot" w:pos="4171"/>
        </w:tabs>
        <w:spacing w:line="240" w:lineRule="auto"/>
      </w:pPr>
      <w:r w:rsidRPr="003D1E07">
        <w:t>role diafanum</w:t>
      </w:r>
      <w:r w:rsidRPr="003D1E07">
        <w:tab/>
        <w:t>194</w:t>
      </w:r>
    </w:p>
    <w:p w14:paraId="3852C29F" w14:textId="77777777" w:rsidR="00C04C0A" w:rsidRPr="003D1E07" w:rsidRDefault="00C04C0A" w:rsidP="00C04C0A">
      <w:pPr>
        <w:pStyle w:val="Rejstk2"/>
        <w:tabs>
          <w:tab w:val="right" w:leader="dot" w:pos="4171"/>
        </w:tabs>
        <w:spacing w:line="240" w:lineRule="auto"/>
      </w:pPr>
      <w:r w:rsidRPr="003D1E07">
        <w:rPr>
          <w:i/>
        </w:rPr>
        <w:t>speculatio</w:t>
      </w:r>
      <w:r w:rsidRPr="003D1E07">
        <w:tab/>
        <w:t>256</w:t>
      </w:r>
    </w:p>
    <w:p w14:paraId="5A013037" w14:textId="77777777" w:rsidR="00C04C0A" w:rsidRPr="003D1E07" w:rsidRDefault="00C04C0A" w:rsidP="00C04C0A">
      <w:pPr>
        <w:pStyle w:val="Rejstk2"/>
        <w:tabs>
          <w:tab w:val="right" w:leader="dot" w:pos="4171"/>
        </w:tabs>
        <w:spacing w:line="240" w:lineRule="auto"/>
      </w:pPr>
      <w:r w:rsidRPr="003D1E07">
        <w:t>vidění/vědění</w:t>
      </w:r>
      <w:r w:rsidRPr="003D1E07">
        <w:tab/>
        <w:t>196</w:t>
      </w:r>
    </w:p>
    <w:p w14:paraId="4C86616D" w14:textId="77777777" w:rsidR="00C04C0A" w:rsidRPr="003D1E07" w:rsidRDefault="00C04C0A" w:rsidP="00C04C0A">
      <w:pPr>
        <w:spacing w:line="240" w:lineRule="auto"/>
        <w:sectPr w:rsidR="00C04C0A" w:rsidRPr="003D1E07" w:rsidSect="00C04C0A">
          <w:type w:val="continuous"/>
          <w:pgSz w:w="11905" w:h="16837"/>
          <w:pgMar w:top="1417" w:right="1417" w:bottom="1417" w:left="1417" w:header="708" w:footer="720" w:gutter="0"/>
          <w:cols w:num="2" w:space="708"/>
          <w:docGrid w:linePitch="360"/>
        </w:sectPr>
      </w:pPr>
    </w:p>
    <w:p w14:paraId="033098F7" w14:textId="176FDB8C" w:rsidR="086D1522" w:rsidRPr="003D1E07" w:rsidRDefault="00C04C0A" w:rsidP="004B15B3">
      <w:pPr>
        <w:pStyle w:val="Nadpis3"/>
        <w:rPr>
          <w:lang w:val="cs-CZ"/>
        </w:rPr>
      </w:pPr>
      <w:r w:rsidRPr="003D1E07">
        <w:rPr>
          <w:lang w:val="cs-CZ"/>
        </w:rPr>
        <w:lastRenderedPageBreak/>
        <w:fldChar w:fldCharType="end"/>
      </w:r>
      <w:r w:rsidR="006B7A2C" w:rsidRPr="003D1E07">
        <w:rPr>
          <w:lang w:val="cs-CZ"/>
        </w:rPr>
        <w:br w:type="page"/>
      </w:r>
      <w:bookmarkStart w:id="80" w:name="_Toc93747291"/>
      <w:bookmarkStart w:id="81" w:name="_Toc102906181"/>
      <w:r w:rsidR="08FD541E" w:rsidRPr="003D1E07">
        <w:rPr>
          <w:lang w:val="cs-CZ"/>
        </w:rPr>
        <w:lastRenderedPageBreak/>
        <w:t>L</w:t>
      </w:r>
      <w:r w:rsidR="086D1522" w:rsidRPr="003D1E07">
        <w:rPr>
          <w:lang w:val="cs-CZ"/>
        </w:rPr>
        <w:t>iteratura</w:t>
      </w:r>
      <w:bookmarkEnd w:id="80"/>
      <w:bookmarkEnd w:id="81"/>
    </w:p>
    <w:p w14:paraId="7A68FEDD" w14:textId="77777777" w:rsidR="086D1522" w:rsidRPr="003D1E07" w:rsidRDefault="086D1522" w:rsidP="086D1522">
      <w:pPr>
        <w:pStyle w:val="Literatura"/>
        <w:rPr>
          <w:lang w:eastAsia="en-US"/>
        </w:rPr>
      </w:pPr>
      <w:r w:rsidRPr="003D1E07">
        <w:rPr>
          <w:lang w:eastAsia="en-US"/>
        </w:rPr>
        <w:t>Seznam obsahuje autory a díla citovaná ve všech třech svazcích. Citace řeckých textů bez výslovného uvedení kritického vydání jsou převzaty z digitální edice</w:t>
      </w:r>
      <w:r w:rsidRPr="003D1E07">
        <w:rPr>
          <w:b/>
          <w:lang w:eastAsia="en-US"/>
        </w:rPr>
        <w:t xml:space="preserve"> </w:t>
      </w:r>
      <w:r w:rsidRPr="003D1E07">
        <w:rPr>
          <w:rStyle w:val="Zvraznn"/>
        </w:rPr>
        <w:t>Thesaurus Linguae Graecae</w:t>
      </w:r>
      <w:r w:rsidRPr="003D1E07">
        <w:t xml:space="preserve">, the Packard Humanities Institute, </w:t>
      </w:r>
      <w:r w:rsidRPr="003D1E07">
        <w:rPr>
          <w:i/>
        </w:rPr>
        <w:t>The Perseus Project and others</w:t>
      </w:r>
      <w:r w:rsidRPr="003D1E07">
        <w:t>, 1999–2007.</w:t>
      </w:r>
    </w:p>
    <w:p w14:paraId="29065AE7" w14:textId="77777777" w:rsidR="086D1522" w:rsidRPr="003D1E07" w:rsidRDefault="086D1522" w:rsidP="086D1522">
      <w:pPr>
        <w:pStyle w:val="Literatura"/>
        <w:rPr>
          <w:lang w:eastAsia="en-US"/>
        </w:rPr>
      </w:pPr>
    </w:p>
    <w:p w14:paraId="73DA08A3" w14:textId="78F94D34" w:rsidR="08FF59F5" w:rsidRPr="003D1E07" w:rsidRDefault="08FF59F5" w:rsidP="08FF59F5">
      <w:pPr>
        <w:pStyle w:val="Literatura"/>
        <w:rPr>
          <w:rStyle w:val="st"/>
          <w:rFonts w:cs="Calibri"/>
        </w:rPr>
      </w:pPr>
      <w:r w:rsidRPr="003D1E07">
        <w:rPr>
          <w:rStyle w:val="st"/>
        </w:rPr>
        <w:t>Ab</w:t>
      </w:r>
      <w:r w:rsidR="00074691">
        <w:rPr>
          <w:rStyle w:val="st"/>
        </w:rPr>
        <w:t>a</w:t>
      </w:r>
      <w:r w:rsidRPr="003D1E07">
        <w:rPr>
          <w:rStyle w:val="st"/>
        </w:rPr>
        <w:t xml:space="preserve">elard, Petrus </w:t>
      </w:r>
      <w:r w:rsidRPr="003D1E07">
        <w:t>(1885):</w:t>
      </w:r>
      <w:r w:rsidRPr="003D1E07">
        <w:rPr>
          <w:bCs/>
          <w:i/>
        </w:rPr>
        <w:t xml:space="preserve"> Dialogus inter Philosophum Judaeum et Christianum</w:t>
      </w:r>
      <w:r w:rsidRPr="003D1E07">
        <w:rPr>
          <w:i/>
        </w:rPr>
        <w:t xml:space="preserve">. </w:t>
      </w:r>
      <w:r w:rsidRPr="003D1E07">
        <w:t xml:space="preserve">Patrologia Latina. Paris: Migne, </w:t>
      </w:r>
      <w:r w:rsidRPr="003D1E07">
        <w:rPr>
          <w:i/>
        </w:rPr>
        <w:tab/>
      </w:r>
      <w:r w:rsidRPr="003D1E07">
        <w:t>tome 178, cols 1611‒1684.</w:t>
      </w:r>
    </w:p>
    <w:p w14:paraId="0E8A4250" w14:textId="77777777" w:rsidR="08FF59F5" w:rsidRPr="003D1E07" w:rsidRDefault="08FF59F5" w:rsidP="08FF59F5">
      <w:pPr>
        <w:pStyle w:val="Literatura"/>
        <w:rPr>
          <w:rStyle w:val="st"/>
        </w:rPr>
      </w:pPr>
      <w:r w:rsidRPr="003D1E07">
        <w:rPr>
          <w:rStyle w:val="st"/>
          <w:rFonts w:cs="Calibri"/>
        </w:rPr>
        <w:t>‒</w:t>
      </w:r>
      <w:r w:rsidRPr="003D1E07">
        <w:rPr>
          <w:rStyle w:val="st"/>
        </w:rPr>
        <w:t xml:space="preserve"> (1921): </w:t>
      </w:r>
      <w:r w:rsidRPr="003D1E07">
        <w:rPr>
          <w:rStyle w:val="st"/>
          <w:i/>
        </w:rPr>
        <w:t>Peter Abaelards Philosophische Schriften. Logica „Ingredientibus“ I.2. Die Glossen zum Kategorien.</w:t>
      </w:r>
      <w:r w:rsidRPr="003D1E07">
        <w:rPr>
          <w:rStyle w:val="st"/>
        </w:rPr>
        <w:t xml:space="preserve"> </w:t>
      </w:r>
      <w:r w:rsidRPr="003D1E07">
        <w:rPr>
          <w:rStyle w:val="st"/>
        </w:rPr>
        <w:tab/>
        <w:t xml:space="preserve">Zum erstem Male herausgegeben </w:t>
      </w:r>
      <w:r w:rsidRPr="003D1E07">
        <w:rPr>
          <w:rStyle w:val="st"/>
        </w:rPr>
        <w:tab/>
        <w:t>von Bernhard Geyer. M</w:t>
      </w:r>
      <w:r w:rsidRPr="003D1E07">
        <w:rPr>
          <w:rStyle w:val="st"/>
          <w:rFonts w:cs="Calibri"/>
        </w:rPr>
        <w:t>ü</w:t>
      </w:r>
      <w:r w:rsidRPr="003D1E07">
        <w:rPr>
          <w:rStyle w:val="st"/>
        </w:rPr>
        <w:t xml:space="preserve">nster: Verlag der Aschendorffschen </w:t>
      </w:r>
      <w:r w:rsidRPr="003D1E07">
        <w:rPr>
          <w:rStyle w:val="st"/>
        </w:rPr>
        <w:tab/>
        <w:t>Verlagsbuchhandlung.</w:t>
      </w:r>
    </w:p>
    <w:p w14:paraId="691EBC85" w14:textId="77777777" w:rsidR="08FF59F5" w:rsidRPr="003D1E07" w:rsidRDefault="08FF59F5" w:rsidP="08FF59F5">
      <w:pPr>
        <w:pStyle w:val="Literatura"/>
        <w:rPr>
          <w:rStyle w:val="st"/>
        </w:rPr>
      </w:pPr>
      <w:r w:rsidRPr="003D1E07">
        <w:rPr>
          <w:rStyle w:val="st"/>
          <w:rFonts w:cs="Calibri"/>
        </w:rPr>
        <w:t>‒</w:t>
      </w:r>
      <w:r w:rsidRPr="003D1E07">
        <w:rPr>
          <w:rStyle w:val="st"/>
        </w:rPr>
        <w:t xml:space="preserve"> (1927): </w:t>
      </w:r>
      <w:r w:rsidRPr="003D1E07">
        <w:rPr>
          <w:rStyle w:val="st"/>
          <w:i/>
        </w:rPr>
        <w:t xml:space="preserve">Peter Abaelards Philosophische Schriften. Logica „Ingredientibus“ I.3. Die Glossen zum Peri </w:t>
      </w:r>
      <w:r w:rsidRPr="003D1E07">
        <w:rPr>
          <w:rStyle w:val="st"/>
          <w:i/>
        </w:rPr>
        <w:tab/>
        <w:t>Hermeneias.</w:t>
      </w:r>
      <w:r w:rsidRPr="003D1E07">
        <w:rPr>
          <w:rStyle w:val="st"/>
        </w:rPr>
        <w:t xml:space="preserve"> Zum erstem Male herausgegeben von Bernhard Geyer. M</w:t>
      </w:r>
      <w:r w:rsidRPr="003D1E07">
        <w:rPr>
          <w:rStyle w:val="st"/>
          <w:rFonts w:cs="Calibri"/>
        </w:rPr>
        <w:t>ü</w:t>
      </w:r>
      <w:r w:rsidRPr="003D1E07">
        <w:rPr>
          <w:rStyle w:val="st"/>
        </w:rPr>
        <w:t xml:space="preserve">nster: Verlag der </w:t>
      </w:r>
      <w:r w:rsidRPr="003D1E07">
        <w:rPr>
          <w:rStyle w:val="st"/>
        </w:rPr>
        <w:tab/>
        <w:t>Aschendorffschen Verlagsbuchhandlung.</w:t>
      </w:r>
    </w:p>
    <w:p w14:paraId="5B3322C4" w14:textId="77777777" w:rsidR="08FF59F5" w:rsidRPr="003D1E07" w:rsidRDefault="08FF59F5" w:rsidP="08FF59F5">
      <w:pPr>
        <w:pStyle w:val="Literatura"/>
        <w:rPr>
          <w:rStyle w:val="st"/>
        </w:rPr>
      </w:pPr>
      <w:r w:rsidRPr="003D1E07">
        <w:rPr>
          <w:rStyle w:val="st"/>
          <w:rFonts w:cs="Calibri"/>
        </w:rPr>
        <w:t>‒</w:t>
      </w:r>
      <w:r w:rsidRPr="003D1E07">
        <w:rPr>
          <w:rStyle w:val="st"/>
        </w:rPr>
        <w:t xml:space="preserve"> (1956): </w:t>
      </w:r>
      <w:r w:rsidRPr="003D1E07">
        <w:rPr>
          <w:rStyle w:val="st"/>
          <w:i/>
        </w:rPr>
        <w:t>Dialectica</w:t>
      </w:r>
      <w:r w:rsidRPr="003D1E07">
        <w:rPr>
          <w:rStyle w:val="st"/>
        </w:rPr>
        <w:t xml:space="preserve">. </w:t>
      </w:r>
      <w:r w:rsidRPr="003D1E07">
        <w:rPr>
          <w:rStyle w:val="st"/>
          <w:i/>
        </w:rPr>
        <w:t>First Complete Edition of the Parisian Manuscript by L. M. De Rijk</w:t>
      </w:r>
      <w:r w:rsidRPr="003D1E07">
        <w:rPr>
          <w:rStyle w:val="st"/>
        </w:rPr>
        <w:t>. Assen: Van Gorcum.</w:t>
      </w:r>
    </w:p>
    <w:p w14:paraId="53C99AFC" w14:textId="77777777" w:rsidR="08FF59F5" w:rsidRPr="003D1E07" w:rsidRDefault="08FF59F5" w:rsidP="08FF59F5">
      <w:pPr>
        <w:pStyle w:val="Literatura"/>
        <w:rPr>
          <w:rStyle w:val="st"/>
        </w:rPr>
      </w:pPr>
      <w:r w:rsidRPr="003D1E07">
        <w:t xml:space="preserve"> ‒ (1959): </w:t>
      </w:r>
      <w:r w:rsidRPr="003D1E07">
        <w:rPr>
          <w:i/>
        </w:rPr>
        <w:t>Historia Calamitatum. Texte critique avec une introduction. Edited by J. Monfrin</w:t>
      </w:r>
      <w:r w:rsidRPr="003D1E07">
        <w:t>. Paris:</w:t>
      </w:r>
      <w:r w:rsidR="087A2129" w:rsidRPr="003D1E07">
        <w:t xml:space="preserve"> </w:t>
      </w:r>
      <w:r w:rsidRPr="003D1E07">
        <w:t xml:space="preserve">Bibliothèque </w:t>
      </w:r>
      <w:r w:rsidRPr="003D1E07">
        <w:tab/>
        <w:t>des textes philosophiques.</w:t>
      </w:r>
    </w:p>
    <w:p w14:paraId="784B90F5" w14:textId="77777777" w:rsidR="08FF59F5" w:rsidRPr="003D1E07" w:rsidRDefault="08FF59F5" w:rsidP="08FF59F5">
      <w:pPr>
        <w:pStyle w:val="Literatura"/>
        <w:rPr>
          <w:szCs w:val="24"/>
        </w:rPr>
      </w:pPr>
      <w:r w:rsidRPr="003D1E07">
        <w:rPr>
          <w:szCs w:val="24"/>
        </w:rPr>
        <w:t xml:space="preserve">Aertsen, Jan (2012): </w:t>
      </w:r>
      <w:r w:rsidRPr="003D1E07">
        <w:rPr>
          <w:i/>
          <w:szCs w:val="24"/>
        </w:rPr>
        <w:t xml:space="preserve">Medieval Philosophy as Transcendental Thought: From Philip the Chancellor (ca. 1225) to </w:t>
      </w:r>
      <w:r w:rsidRPr="003D1E07">
        <w:rPr>
          <w:i/>
          <w:szCs w:val="24"/>
        </w:rPr>
        <w:tab/>
        <w:t>Francisco Suárez</w:t>
      </w:r>
      <w:r w:rsidRPr="003D1E07">
        <w:rPr>
          <w:szCs w:val="24"/>
        </w:rPr>
        <w:t>. Leiden: Brill.</w:t>
      </w:r>
    </w:p>
    <w:p w14:paraId="0604F7ED" w14:textId="77777777" w:rsidR="08FF59F5" w:rsidRPr="003D1E07" w:rsidRDefault="08FF59F5" w:rsidP="08FF59F5">
      <w:pPr>
        <w:pStyle w:val="Literatura"/>
      </w:pPr>
      <w:r w:rsidRPr="003D1E07">
        <w:t>Albertus Magnus (1890−1899):</w:t>
      </w:r>
      <w:r w:rsidRPr="003D1E07">
        <w:rPr>
          <w:smallCaps/>
        </w:rPr>
        <w:t xml:space="preserve"> </w:t>
      </w:r>
      <w:r w:rsidRPr="003D1E07">
        <w:rPr>
          <w:i/>
          <w:iCs/>
        </w:rPr>
        <w:t xml:space="preserve">Opera Omnia </w:t>
      </w:r>
      <w:r w:rsidRPr="003D1E07">
        <w:t>I-XXXVIII. Ed. Borgnet, Paris.</w:t>
      </w:r>
    </w:p>
    <w:p w14:paraId="07A7E863" w14:textId="77777777" w:rsidR="08FF59F5" w:rsidRPr="003D1E07" w:rsidRDefault="08FF59F5" w:rsidP="08FF59F5">
      <w:pPr>
        <w:pStyle w:val="Literatura"/>
      </w:pPr>
      <w:r w:rsidRPr="003D1E07">
        <w:t xml:space="preserve">‒ (1896): </w:t>
      </w:r>
      <w:r w:rsidRPr="003D1E07">
        <w:rPr>
          <w:i/>
        </w:rPr>
        <w:t>D. Alberti Magni Summae de creaturis secunda pars, quae est de homine</w:t>
      </w:r>
      <w:r w:rsidRPr="003D1E07">
        <w:t xml:space="preserve">. Volumen 35. Parisiis, apud </w:t>
      </w:r>
      <w:r w:rsidRPr="003D1E07">
        <w:tab/>
        <w:t>Ludovicum Vivès.</w:t>
      </w:r>
    </w:p>
    <w:p w14:paraId="4F8AD4A9" w14:textId="77777777" w:rsidR="08FF59F5" w:rsidRPr="003D1E07" w:rsidRDefault="08FF59F5" w:rsidP="08FF59F5">
      <w:pPr>
        <w:pStyle w:val="Literatura"/>
      </w:pPr>
      <w:r w:rsidRPr="003D1E07">
        <w:t xml:space="preserve">‒ (1890): </w:t>
      </w:r>
      <w:r w:rsidRPr="003D1E07">
        <w:rPr>
          <w:i/>
        </w:rPr>
        <w:t>D. Alberti Magni Posteriorum analyticorum</w:t>
      </w:r>
      <w:r w:rsidRPr="003D1E07">
        <w:t>. Volumen 2. Parisiis, apud Ludovicum Vivès.</w:t>
      </w:r>
    </w:p>
    <w:p w14:paraId="1C0D482A" w14:textId="77777777" w:rsidR="08FF59F5" w:rsidRPr="003D1E07" w:rsidRDefault="08FF59F5" w:rsidP="08FF59F5">
      <w:pPr>
        <w:pStyle w:val="Literatura"/>
      </w:pPr>
      <w:r w:rsidRPr="003D1E07">
        <w:t xml:space="preserve">‒ (1890): </w:t>
      </w:r>
      <w:r w:rsidRPr="003D1E07">
        <w:rPr>
          <w:i/>
        </w:rPr>
        <w:t>D. Alberti Magni De anima, libri tres</w:t>
      </w:r>
      <w:r w:rsidRPr="003D1E07">
        <w:t>. Volumen 5. Parisiis, apud Ludovicum Vivès.</w:t>
      </w:r>
    </w:p>
    <w:p w14:paraId="449634E5" w14:textId="77777777" w:rsidR="08FF59F5" w:rsidRPr="003D1E07" w:rsidRDefault="08FF59F5" w:rsidP="08FF59F5">
      <w:pPr>
        <w:pStyle w:val="Literatura"/>
      </w:pPr>
      <w:r w:rsidRPr="003D1E07">
        <w:t xml:space="preserve">‒ (1890): </w:t>
      </w:r>
      <w:r w:rsidRPr="003D1E07">
        <w:rPr>
          <w:i/>
        </w:rPr>
        <w:t xml:space="preserve">D. Alberti Magni Parvorum Naturalium. Pars prima. </w:t>
      </w:r>
      <w:r w:rsidRPr="003D1E07">
        <w:t>(</w:t>
      </w:r>
      <w:r w:rsidRPr="003D1E07">
        <w:rPr>
          <w:i/>
        </w:rPr>
        <w:t xml:space="preserve">De Natura et Origine Animae, Libellus de Unitate </w:t>
      </w:r>
      <w:r w:rsidRPr="003D1E07">
        <w:rPr>
          <w:i/>
        </w:rPr>
        <w:tab/>
        <w:t>Intellectus contra Averroem, De Intellectu et Intelligibili</w:t>
      </w:r>
      <w:r w:rsidRPr="003D1E07">
        <w:t>). Volumen 9. Parisiis, apud Ludovicum Vivès.</w:t>
      </w:r>
    </w:p>
    <w:p w14:paraId="51781386" w14:textId="77777777" w:rsidR="08FF59F5" w:rsidRPr="003D1E07" w:rsidRDefault="08FF59F5" w:rsidP="08FF59F5">
      <w:pPr>
        <w:pStyle w:val="Literatura"/>
      </w:pPr>
      <w:r w:rsidRPr="003D1E07">
        <w:rPr>
          <w:rStyle w:val="unicode"/>
        </w:rPr>
        <w:t xml:space="preserve">Alfarabius Latinus (Abū Naṣr Muḥammad ibn Muḥammad Al Fārābī) (1892): </w:t>
      </w:r>
      <w:r w:rsidRPr="003D1E07">
        <w:rPr>
          <w:i/>
        </w:rPr>
        <w:t xml:space="preserve">Alfārābī's philosophische </w:t>
      </w:r>
      <w:r w:rsidRPr="003D1E07">
        <w:rPr>
          <w:szCs w:val="18"/>
        </w:rPr>
        <w:tab/>
      </w:r>
      <w:r w:rsidRPr="003D1E07">
        <w:rPr>
          <w:i/>
        </w:rPr>
        <w:t>Abhandlungen</w:t>
      </w:r>
      <w:r w:rsidRPr="003D1E07">
        <w:t xml:space="preserve">. </w:t>
      </w:r>
      <w:r w:rsidRPr="003D1E07">
        <w:rPr>
          <w:i/>
        </w:rPr>
        <w:t>Aus dem Arabischen übersetzt von F. Dieterici</w:t>
      </w:r>
      <w:r w:rsidRPr="003D1E07">
        <w:t>. Leiden: Brill.</w:t>
      </w:r>
    </w:p>
    <w:p w14:paraId="0691EFD3" w14:textId="77777777" w:rsidR="08FF59F5" w:rsidRPr="003D1E07" w:rsidRDefault="08FF59F5" w:rsidP="08FF59F5">
      <w:pPr>
        <w:pStyle w:val="Literatura"/>
      </w:pPr>
      <w:r w:rsidRPr="003D1E07">
        <w:rPr>
          <w:i/>
        </w:rPr>
        <w:t xml:space="preserve">‒ </w:t>
      </w:r>
      <w:r w:rsidRPr="003D1E07">
        <w:t xml:space="preserve">(1900): </w:t>
      </w:r>
      <w:r w:rsidRPr="003D1E07">
        <w:rPr>
          <w:i/>
        </w:rPr>
        <w:t xml:space="preserve">Der Musterstaat von Al-Fārābī. Aus dem Arabischen übertragen von F. Dieterici. </w:t>
      </w:r>
      <w:r w:rsidRPr="003D1E07">
        <w:t>Leiden: E. J. Brill.</w:t>
      </w:r>
    </w:p>
    <w:p w14:paraId="27AA1399" w14:textId="77777777" w:rsidR="08FF59F5" w:rsidRPr="003D1E07" w:rsidRDefault="08FF59F5" w:rsidP="08FF59F5">
      <w:pPr>
        <w:pStyle w:val="Literatura"/>
      </w:pPr>
      <w:r w:rsidRPr="003D1E07">
        <w:t xml:space="preserve">‒ </w:t>
      </w:r>
      <w:r w:rsidRPr="003D1E07">
        <w:rPr>
          <w:rStyle w:val="TextpoznpodarouChar"/>
          <w:i/>
        </w:rPr>
        <w:t>De ortu</w:t>
      </w:r>
      <w:r w:rsidRPr="003D1E07">
        <w:rPr>
          <w:rStyle w:val="TextpoznpodarouChar"/>
        </w:rPr>
        <w:t xml:space="preserve"> </w:t>
      </w:r>
      <w:r w:rsidRPr="003D1E07">
        <w:rPr>
          <w:rStyle w:val="TextpoznpodarouChar"/>
          <w:i/>
        </w:rPr>
        <w:t xml:space="preserve">scientiarum </w:t>
      </w:r>
      <w:r w:rsidRPr="003D1E07">
        <w:rPr>
          <w:rStyle w:val="TextpoznpodarouChar"/>
        </w:rPr>
        <w:t xml:space="preserve">(1916): </w:t>
      </w:r>
      <w:r w:rsidRPr="003D1E07">
        <w:rPr>
          <w:rStyle w:val="TextpoznpodarouChar"/>
          <w:i/>
        </w:rPr>
        <w:t>Über den Ursprung der Wissenschaften. De ortu scientiarum</w:t>
      </w:r>
      <w:r w:rsidRPr="003D1E07">
        <w:rPr>
          <w:rStyle w:val="TextpoznpodarouChar"/>
        </w:rPr>
        <w:t xml:space="preserve">. Edited by Clemes </w:t>
      </w:r>
      <w:r w:rsidRPr="003D1E07">
        <w:rPr>
          <w:rStyle w:val="TextpoznpodarouChar"/>
        </w:rPr>
        <w:tab/>
        <w:t>Baeumker. Münster:Aschendorffsche Verlagsbuchhandlung.</w:t>
      </w:r>
    </w:p>
    <w:p w14:paraId="42BE92EC" w14:textId="77777777" w:rsidR="08FF59F5" w:rsidRPr="003D1E07" w:rsidRDefault="08FF59F5" w:rsidP="08FF59F5">
      <w:pPr>
        <w:pStyle w:val="Literatura"/>
        <w:rPr>
          <w:rStyle w:val="st"/>
        </w:rPr>
      </w:pPr>
      <w:r w:rsidRPr="003D1E07">
        <w:t xml:space="preserve">‒ </w:t>
      </w:r>
      <w:r w:rsidRPr="003D1E07">
        <w:rPr>
          <w:rStyle w:val="st"/>
        </w:rPr>
        <w:t xml:space="preserve">(1929): </w:t>
      </w:r>
      <w:r w:rsidRPr="003D1E07">
        <w:rPr>
          <w:i/>
        </w:rPr>
        <w:t xml:space="preserve">Liber Alpharabii </w:t>
      </w:r>
      <w:r w:rsidRPr="003D1E07">
        <w:rPr>
          <w:i/>
          <w:iCs/>
        </w:rPr>
        <w:t xml:space="preserve">De Intellectu et intellecto. </w:t>
      </w:r>
      <w:r w:rsidRPr="003D1E07">
        <w:rPr>
          <w:iCs/>
        </w:rPr>
        <w:t xml:space="preserve">Edited by </w:t>
      </w:r>
      <w:r w:rsidRPr="003D1E07">
        <w:rPr>
          <w:rStyle w:val="st"/>
        </w:rPr>
        <w:t xml:space="preserve">Étienne Gilson. </w:t>
      </w:r>
      <w:r w:rsidRPr="003D1E07">
        <w:rPr>
          <w:rStyle w:val="st"/>
          <w:i/>
        </w:rPr>
        <w:t xml:space="preserve">Archives d'histoire </w:t>
      </w:r>
      <w:r w:rsidRPr="003D1E07">
        <w:rPr>
          <w:rStyle w:val="st"/>
          <w:i/>
        </w:rPr>
        <w:tab/>
        <w:t xml:space="preserve">doctrinale et </w:t>
      </w:r>
      <w:r w:rsidRPr="003D1E07">
        <w:rPr>
          <w:rStyle w:val="st"/>
          <w:i/>
        </w:rPr>
        <w:tab/>
        <w:t>litteraire du Moyen Âge</w:t>
      </w:r>
      <w:r w:rsidRPr="003D1E07">
        <w:rPr>
          <w:rStyle w:val="st"/>
        </w:rPr>
        <w:t xml:space="preserve"> 4: 115–126.</w:t>
      </w:r>
    </w:p>
    <w:p w14:paraId="2417465F" w14:textId="77777777" w:rsidR="08FF59F5" w:rsidRPr="003D1E07" w:rsidRDefault="08FF59F5" w:rsidP="08FF59F5">
      <w:pPr>
        <w:pStyle w:val="Literatura"/>
      </w:pPr>
      <w:r w:rsidRPr="003D1E07">
        <w:rPr>
          <w:rStyle w:val="st"/>
        </w:rPr>
        <w:t xml:space="preserve">‒ </w:t>
      </w:r>
      <w:r w:rsidRPr="003D1E07">
        <w:t xml:space="preserve">(1962): </w:t>
      </w:r>
      <w:r w:rsidRPr="003D1E07">
        <w:rPr>
          <w:i/>
        </w:rPr>
        <w:t>The Philosophy of Plato and Aristotle.</w:t>
      </w:r>
      <w:r w:rsidRPr="003D1E07">
        <w:t xml:space="preserve"> Translated, with an Introduction by Muhsin Mahdi. New </w:t>
      </w:r>
      <w:r w:rsidRPr="003D1E07">
        <w:tab/>
        <w:t xml:space="preserve">York:The Free Press of </w:t>
      </w:r>
      <w:r w:rsidRPr="003D1E07">
        <w:tab/>
        <w:t>Glencoe.</w:t>
      </w:r>
    </w:p>
    <w:p w14:paraId="2BF36DCD" w14:textId="77777777" w:rsidR="08FF59F5" w:rsidRPr="003D1E07" w:rsidRDefault="08FF59F5" w:rsidP="08FF59F5">
      <w:pPr>
        <w:pStyle w:val="Literatura"/>
      </w:pPr>
      <w:r w:rsidRPr="003D1E07">
        <w:t>Alexander Afrodisias, and Themistius (</w:t>
      </w:r>
      <w:r w:rsidRPr="003D1E07">
        <w:rPr>
          <w:rStyle w:val="TextpoznpodarouChar"/>
          <w:lang w:eastAsia="en-US"/>
        </w:rPr>
        <w:t>1950):</w:t>
      </w:r>
      <w:r w:rsidRPr="003D1E07">
        <w:t xml:space="preserve"> </w:t>
      </w:r>
      <w:r w:rsidRPr="003D1E07">
        <w:rPr>
          <w:i/>
        </w:rPr>
        <w:t xml:space="preserve">Two Greek Aristotelian commentators on the intellect : the De </w:t>
      </w:r>
      <w:r w:rsidRPr="003D1E07">
        <w:rPr>
          <w:i/>
        </w:rPr>
        <w:tab/>
        <w:t xml:space="preserve">intellectu attributed to Alexander of Aphrodisias and Themistius' Paraphrase of Aristotle De anima, </w:t>
      </w:r>
      <w:r w:rsidRPr="003D1E07">
        <w:tab/>
      </w:r>
      <w:r w:rsidRPr="003D1E07">
        <w:rPr>
          <w:i/>
        </w:rPr>
        <w:t>3.4‒8</w:t>
      </w:r>
      <w:r w:rsidRPr="003D1E07">
        <w:t xml:space="preserve">. Introduction, translation, commentary, and notes by Frederic M. Schroeder. Roma: Pontifical </w:t>
      </w:r>
      <w:r w:rsidRPr="003D1E07">
        <w:tab/>
        <w:t>Institute of Mediaeval Studies.</w:t>
      </w:r>
    </w:p>
    <w:p w14:paraId="34C8094C" w14:textId="77777777" w:rsidR="08FF59F5" w:rsidRPr="003D1E07" w:rsidRDefault="08FF59F5" w:rsidP="08FF59F5">
      <w:pPr>
        <w:pStyle w:val="Literatura"/>
      </w:pPr>
      <w:r w:rsidRPr="003D1E07">
        <w:t xml:space="preserve">Algazel Latinus (Abū Ḥāmid Muḥammad ibn Muḥammad al-Ghazālī) (1963): </w:t>
      </w:r>
      <w:r w:rsidRPr="003D1E07">
        <w:rPr>
          <w:i/>
        </w:rPr>
        <w:t xml:space="preserve">Al-Ghazali's Tahāfut al-Falāsifah. </w:t>
      </w:r>
      <w:r w:rsidRPr="003D1E07">
        <w:tab/>
      </w:r>
      <w:r w:rsidRPr="003D1E07">
        <w:rPr>
          <w:i/>
        </w:rPr>
        <w:t>Incoherence of the Philosophers</w:t>
      </w:r>
      <w:r w:rsidRPr="003D1E07">
        <w:t xml:space="preserve">. Transl. by Sabih Ahmad </w:t>
      </w:r>
      <w:r w:rsidRPr="003D1E07">
        <w:tab/>
        <w:t xml:space="preserve">Kamali. Lahore: Pakistan Philosophical </w:t>
      </w:r>
      <w:r w:rsidRPr="003D1E07">
        <w:tab/>
        <w:t>Congress.</w:t>
      </w:r>
    </w:p>
    <w:p w14:paraId="79196872" w14:textId="77777777" w:rsidR="08FF59F5" w:rsidRPr="003D1E07" w:rsidRDefault="08FF59F5" w:rsidP="08FF59F5">
      <w:pPr>
        <w:pStyle w:val="Literatura"/>
      </w:pPr>
      <w:r w:rsidRPr="003D1E07">
        <w:rPr>
          <w:rStyle w:val="addmd"/>
        </w:rPr>
        <w:t>Amerini, Fabrizio, and Gabriele Galluzzo (2014):</w:t>
      </w:r>
      <w:r w:rsidRPr="003D1E07">
        <w:t xml:space="preserve"> A </w:t>
      </w:r>
      <w:r w:rsidRPr="003D1E07">
        <w:rPr>
          <w:i/>
        </w:rPr>
        <w:t xml:space="preserve">Companion to the Latin Medieval Commentaries on </w:t>
      </w:r>
      <w:r w:rsidRPr="003D1E07">
        <w:rPr>
          <w:i/>
        </w:rPr>
        <w:tab/>
        <w:t>Aristotle’s Metaphysics</w:t>
      </w:r>
      <w:r w:rsidRPr="003D1E07">
        <w:t xml:space="preserve">, edited by </w:t>
      </w:r>
      <w:r w:rsidRPr="003D1E07">
        <w:rPr>
          <w:rStyle w:val="addmd"/>
        </w:rPr>
        <w:t xml:space="preserve">Fabrizio Amerini et al., </w:t>
      </w:r>
      <w:r w:rsidRPr="003D1E07">
        <w:t>Leiden: Brill.</w:t>
      </w:r>
    </w:p>
    <w:p w14:paraId="5EC8D453" w14:textId="77777777" w:rsidR="08FF59F5" w:rsidRPr="003D1E07" w:rsidRDefault="08FF59F5" w:rsidP="08FF59F5">
      <w:pPr>
        <w:pStyle w:val="Literatura"/>
      </w:pPr>
      <w:r w:rsidRPr="003D1E07">
        <w:t xml:space="preserve">Andrews, Robert (2008): "Interconnected literal commentaries on the </w:t>
      </w:r>
      <w:r w:rsidRPr="003D1E07">
        <w:rPr>
          <w:i/>
        </w:rPr>
        <w:t>Categories</w:t>
      </w:r>
      <w:r w:rsidRPr="003D1E07">
        <w:t xml:space="preserve"> in the Middle Ages". </w:t>
      </w:r>
      <w:r w:rsidRPr="003D1E07">
        <w:rPr>
          <w:rStyle w:val="fn"/>
          <w:i/>
        </w:rPr>
        <w:t xml:space="preserve">Medieval </w:t>
      </w:r>
      <w:r w:rsidRPr="003D1E07">
        <w:rPr>
          <w:rStyle w:val="fn"/>
          <w:i/>
        </w:rPr>
        <w:tab/>
        <w:t>Commentaries on Aristotle's Categories</w:t>
      </w:r>
      <w:r w:rsidRPr="003D1E07">
        <w:t xml:space="preserve">, edited by Lloyd A. Newton, Leiden: Brill, pp. 99‒118. </w:t>
      </w:r>
    </w:p>
    <w:p w14:paraId="5986582E" w14:textId="77777777" w:rsidR="08FF59F5" w:rsidRPr="003D1E07" w:rsidRDefault="08FF59F5" w:rsidP="08FF59F5">
      <w:pPr>
        <w:pStyle w:val="Literatura"/>
      </w:pPr>
      <w:r w:rsidRPr="003D1E07">
        <w:t xml:space="preserve">Anonymi in </w:t>
      </w:r>
      <w:r w:rsidRPr="003D1E07">
        <w:rPr>
          <w:i/>
        </w:rPr>
        <w:t>De anima</w:t>
      </w:r>
      <w:r w:rsidRPr="003D1E07">
        <w:t xml:space="preserve"> (1225‒1277) (1982):</w:t>
      </w:r>
      <w:r w:rsidRPr="003D1E07">
        <w:rPr>
          <w:i/>
        </w:rPr>
        <w:t xml:space="preserve"> De anima et de potenciis eius</w:t>
      </w:r>
      <w:r w:rsidRPr="003D1E07">
        <w:t xml:space="preserve">. Edited by R. A. Gauthier, in 'Le traité </w:t>
      </w:r>
      <w:r w:rsidRPr="003D1E07">
        <w:rPr>
          <w:szCs w:val="18"/>
        </w:rPr>
        <w:tab/>
      </w:r>
      <w:r w:rsidRPr="003D1E07">
        <w:t xml:space="preserve">De anima et de potentiis eius d’un maître es arts (vers 1225), introduction et texte critique'. </w:t>
      </w:r>
      <w:r w:rsidRPr="003D1E07">
        <w:rPr>
          <w:i/>
        </w:rPr>
        <w:t xml:space="preserve">Revue des </w:t>
      </w:r>
      <w:r w:rsidRPr="003D1E07">
        <w:rPr>
          <w:szCs w:val="18"/>
        </w:rPr>
        <w:tab/>
      </w:r>
      <w:r w:rsidRPr="003D1E07">
        <w:rPr>
          <w:i/>
        </w:rPr>
        <w:t>sciences philosophiques et théologiques</w:t>
      </w:r>
      <w:r w:rsidRPr="003D1E07">
        <w:t xml:space="preserve"> 66, pp. 3‒55.</w:t>
      </w:r>
    </w:p>
    <w:p w14:paraId="11F1C95C" w14:textId="77777777" w:rsidR="08FF59F5" w:rsidRPr="003D1E07" w:rsidRDefault="08FF59F5" w:rsidP="08FF59F5">
      <w:pPr>
        <w:pStyle w:val="Literatura"/>
      </w:pPr>
      <w:r w:rsidRPr="003D1E07">
        <w:rPr>
          <w:rStyle w:val="ZkladntextKurzva"/>
          <w:rFonts w:ascii="Times New Roman" w:hAnsi="Times New Roman" w:cs="Times New Roman"/>
          <w:spacing w:val="10"/>
          <w:szCs w:val="17"/>
          <w:u w:val="single"/>
        </w:rPr>
        <w:t>‒</w:t>
      </w:r>
      <w:r w:rsidRPr="003D1E07">
        <w:rPr>
          <w:rStyle w:val="ZkladntextKurzva"/>
          <w:spacing w:val="10"/>
          <w:szCs w:val="17"/>
          <w:u w:val="single"/>
        </w:rPr>
        <w:t xml:space="preserve"> (</w:t>
      </w:r>
      <w:r w:rsidRPr="003D1E07">
        <w:t>1952</w:t>
      </w:r>
      <w:r w:rsidRPr="003D1E07">
        <w:rPr>
          <w:rStyle w:val="ZkladntextKurzva"/>
          <w:spacing w:val="10"/>
          <w:szCs w:val="17"/>
          <w:u w:val="single"/>
        </w:rPr>
        <w:t xml:space="preserve">): De potentiis animae et obiectis. Edited by </w:t>
      </w:r>
      <w:r w:rsidRPr="003D1E07">
        <w:t xml:space="preserve">D. A. Callus, in 'The Powers of the Soul: An Early </w:t>
      </w:r>
      <w:r w:rsidRPr="003D1E07">
        <w:tab/>
        <w:t xml:space="preserve">Unpublished Text', </w:t>
      </w:r>
      <w:r w:rsidRPr="003D1E07">
        <w:rPr>
          <w:rStyle w:val="ZkladntextKurzva"/>
          <w:i w:val="0"/>
          <w:spacing w:val="10"/>
          <w:szCs w:val="17"/>
          <w:u w:val="single"/>
        </w:rPr>
        <w:t>Recherches de théologie ancienne et médiévale</w:t>
      </w:r>
      <w:r w:rsidRPr="003D1E07">
        <w:t xml:space="preserve"> 19, pp. 131‒170.</w:t>
      </w:r>
    </w:p>
    <w:p w14:paraId="03C69070" w14:textId="77777777" w:rsidR="08FF59F5" w:rsidRPr="003D1E07" w:rsidRDefault="08FF59F5" w:rsidP="08FF59F5">
      <w:pPr>
        <w:pStyle w:val="Literatura"/>
      </w:pPr>
      <w:r w:rsidRPr="003D1E07">
        <w:lastRenderedPageBreak/>
        <w:t>‒ (1971):</w:t>
      </w:r>
      <w:r w:rsidRPr="003D1E07">
        <w:rPr>
          <w:i/>
        </w:rPr>
        <w:t xml:space="preserve"> Un commentaire anti-averroïste du Traité de l'Âme</w:t>
      </w:r>
      <w:r w:rsidRPr="003D1E07">
        <w:t xml:space="preserve">. Edited by </w:t>
      </w:r>
      <w:r w:rsidRPr="003D1E07">
        <w:rPr>
          <w:bCs/>
        </w:rPr>
        <w:t>Carlos Bernardo Bazán</w:t>
      </w:r>
      <w:r w:rsidRPr="003D1E07">
        <w:t xml:space="preserve">. </w:t>
      </w:r>
      <w:r w:rsidRPr="003D1E07">
        <w:rPr>
          <w:rStyle w:val="st"/>
          <w:bCs/>
          <w:i/>
        </w:rPr>
        <w:t xml:space="preserve">Trois </w:t>
      </w:r>
      <w:r w:rsidRPr="003D1E07">
        <w:rPr>
          <w:rStyle w:val="st"/>
          <w:bCs/>
          <w:i/>
        </w:rPr>
        <w:tab/>
        <w:t>commentaires anonymes</w:t>
      </w:r>
      <w:r w:rsidRPr="003D1E07">
        <w:rPr>
          <w:rStyle w:val="st"/>
          <w:i/>
        </w:rPr>
        <w:t xml:space="preserve"> sur le </w:t>
      </w:r>
      <w:r w:rsidRPr="003D1E07">
        <w:rPr>
          <w:rStyle w:val="st"/>
          <w:bCs/>
          <w:i/>
        </w:rPr>
        <w:t>traité</w:t>
      </w:r>
      <w:r w:rsidRPr="003D1E07">
        <w:rPr>
          <w:rStyle w:val="st"/>
          <w:i/>
        </w:rPr>
        <w:t xml:space="preserve"> De l'</w:t>
      </w:r>
      <w:r w:rsidRPr="003D1E07">
        <w:rPr>
          <w:rStyle w:val="st"/>
          <w:bCs/>
          <w:i/>
        </w:rPr>
        <w:t>âme</w:t>
      </w:r>
      <w:r w:rsidRPr="003D1E07">
        <w:rPr>
          <w:rStyle w:val="st"/>
          <w:i/>
        </w:rPr>
        <w:t xml:space="preserve"> d'</w:t>
      </w:r>
      <w:r w:rsidRPr="003D1E07">
        <w:rPr>
          <w:rStyle w:val="st"/>
          <w:bCs/>
          <w:i/>
        </w:rPr>
        <w:t>Aristote</w:t>
      </w:r>
      <w:r w:rsidRPr="003D1E07">
        <w:rPr>
          <w:rStyle w:val="st"/>
          <w:bCs/>
        </w:rPr>
        <w:t>, edited by</w:t>
      </w:r>
      <w:r w:rsidRPr="003D1E07">
        <w:rPr>
          <w:rStyle w:val="st"/>
          <w:bCs/>
          <w:i/>
        </w:rPr>
        <w:t xml:space="preserve"> </w:t>
      </w:r>
      <w:r w:rsidRPr="003D1E07">
        <w:t xml:space="preserve">Fernand van </w:t>
      </w:r>
      <w:r w:rsidRPr="003D1E07">
        <w:rPr>
          <w:bCs/>
        </w:rPr>
        <w:t xml:space="preserve">Steenberghen, </w:t>
      </w:r>
      <w:r w:rsidRPr="003D1E07">
        <w:t xml:space="preserve">Leuven: </w:t>
      </w:r>
      <w:r w:rsidRPr="003D1E07">
        <w:tab/>
        <w:t>Publication Universitaires, pp. 349‒525.</w:t>
      </w:r>
    </w:p>
    <w:p w14:paraId="739FCD22" w14:textId="77777777" w:rsidR="08FF59F5" w:rsidRPr="003D1E07" w:rsidRDefault="08FF59F5" w:rsidP="08FF59F5">
      <w:pPr>
        <w:pStyle w:val="Literatura"/>
      </w:pPr>
      <w:r w:rsidRPr="003D1E07">
        <w:t>‒ (1971):</w:t>
      </w:r>
      <w:r w:rsidRPr="003D1E07">
        <w:rPr>
          <w:i/>
        </w:rPr>
        <w:t xml:space="preserve"> Un commentaire averroïste sur les Livres I at II du Traité de l'Âme</w:t>
      </w:r>
      <w:r w:rsidRPr="003D1E07">
        <w:t xml:space="preserve">. Edited by Maurice Giele. </w:t>
      </w:r>
      <w:r w:rsidRPr="003D1E07">
        <w:rPr>
          <w:rStyle w:val="st"/>
          <w:bCs/>
          <w:i/>
        </w:rPr>
        <w:t xml:space="preserve">Trois </w:t>
      </w:r>
      <w:r w:rsidRPr="003D1E07">
        <w:rPr>
          <w:rStyle w:val="st"/>
          <w:bCs/>
          <w:i/>
        </w:rPr>
        <w:tab/>
        <w:t>commentaires anonymes</w:t>
      </w:r>
      <w:r w:rsidRPr="003D1E07">
        <w:rPr>
          <w:rStyle w:val="st"/>
          <w:i/>
        </w:rPr>
        <w:t xml:space="preserve"> sur le </w:t>
      </w:r>
      <w:r w:rsidRPr="003D1E07">
        <w:rPr>
          <w:rStyle w:val="st"/>
          <w:bCs/>
          <w:i/>
        </w:rPr>
        <w:t>traité</w:t>
      </w:r>
      <w:r w:rsidRPr="003D1E07">
        <w:rPr>
          <w:rStyle w:val="st"/>
          <w:i/>
        </w:rPr>
        <w:t xml:space="preserve"> De l'</w:t>
      </w:r>
      <w:r w:rsidRPr="003D1E07">
        <w:rPr>
          <w:rStyle w:val="st"/>
          <w:bCs/>
          <w:i/>
        </w:rPr>
        <w:t>âme</w:t>
      </w:r>
      <w:r w:rsidRPr="003D1E07">
        <w:rPr>
          <w:rStyle w:val="st"/>
          <w:i/>
        </w:rPr>
        <w:t xml:space="preserve"> d'</w:t>
      </w:r>
      <w:r w:rsidRPr="003D1E07">
        <w:rPr>
          <w:rStyle w:val="st"/>
          <w:bCs/>
          <w:i/>
        </w:rPr>
        <w:t>Aristote</w:t>
      </w:r>
      <w:r w:rsidRPr="003D1E07">
        <w:rPr>
          <w:rStyle w:val="st"/>
          <w:bCs/>
        </w:rPr>
        <w:t>, edited by</w:t>
      </w:r>
      <w:r w:rsidRPr="003D1E07">
        <w:rPr>
          <w:rStyle w:val="st"/>
          <w:bCs/>
          <w:i/>
        </w:rPr>
        <w:t xml:space="preserve"> </w:t>
      </w:r>
      <w:r w:rsidRPr="003D1E07">
        <w:t xml:space="preserve">Fernand van </w:t>
      </w:r>
      <w:r w:rsidRPr="003D1E07">
        <w:rPr>
          <w:bCs/>
        </w:rPr>
        <w:t xml:space="preserve">Steenberghen, </w:t>
      </w:r>
      <w:r w:rsidRPr="003D1E07">
        <w:rPr>
          <w:rStyle w:val="st"/>
          <w:bCs/>
          <w:i/>
        </w:rPr>
        <w:tab/>
      </w:r>
      <w:r w:rsidRPr="003D1E07">
        <w:t xml:space="preserve">Leuven: </w:t>
      </w:r>
      <w:r w:rsidRPr="003D1E07">
        <w:tab/>
        <w:t>Publication Universitaires, pp. 12‒120.</w:t>
      </w:r>
    </w:p>
    <w:p w14:paraId="548D973F" w14:textId="77777777" w:rsidR="08FF59F5" w:rsidRPr="003D1E07" w:rsidRDefault="08FF59F5" w:rsidP="08FF59F5">
      <w:pPr>
        <w:pStyle w:val="Literatura"/>
      </w:pPr>
      <w:r w:rsidRPr="003D1E07">
        <w:t>‒ (1971):</w:t>
      </w:r>
      <w:r w:rsidRPr="003D1E07">
        <w:rPr>
          <w:i/>
        </w:rPr>
        <w:t xml:space="preserve"> Un commentaire semi-averroïste du Traité de l'Âme</w:t>
      </w:r>
      <w:r w:rsidRPr="003D1E07">
        <w:t xml:space="preserve">. Edited by Fernand van </w:t>
      </w:r>
      <w:r w:rsidRPr="003D1E07">
        <w:rPr>
          <w:bCs/>
        </w:rPr>
        <w:t xml:space="preserve">Steenberghen. </w:t>
      </w:r>
      <w:r w:rsidRPr="003D1E07">
        <w:rPr>
          <w:rStyle w:val="st"/>
          <w:bCs/>
          <w:i/>
        </w:rPr>
        <w:t xml:space="preserve">Trois </w:t>
      </w:r>
      <w:r w:rsidRPr="003D1E07">
        <w:rPr>
          <w:rStyle w:val="st"/>
          <w:bCs/>
          <w:i/>
        </w:rPr>
        <w:tab/>
        <w:t>commentaires anonymes</w:t>
      </w:r>
      <w:r w:rsidRPr="003D1E07">
        <w:rPr>
          <w:rStyle w:val="st"/>
          <w:i/>
        </w:rPr>
        <w:t xml:space="preserve"> sur le </w:t>
      </w:r>
      <w:r w:rsidRPr="003D1E07">
        <w:rPr>
          <w:rStyle w:val="st"/>
          <w:bCs/>
          <w:i/>
        </w:rPr>
        <w:t>traité</w:t>
      </w:r>
      <w:r w:rsidRPr="003D1E07">
        <w:rPr>
          <w:rStyle w:val="st"/>
          <w:i/>
        </w:rPr>
        <w:t xml:space="preserve"> De l'</w:t>
      </w:r>
      <w:r w:rsidRPr="003D1E07">
        <w:rPr>
          <w:rStyle w:val="st"/>
          <w:bCs/>
          <w:i/>
        </w:rPr>
        <w:t>âme</w:t>
      </w:r>
      <w:r w:rsidRPr="003D1E07">
        <w:rPr>
          <w:rStyle w:val="st"/>
          <w:i/>
        </w:rPr>
        <w:t xml:space="preserve"> d'</w:t>
      </w:r>
      <w:r w:rsidRPr="003D1E07">
        <w:rPr>
          <w:rStyle w:val="st"/>
          <w:bCs/>
          <w:i/>
        </w:rPr>
        <w:t>Aristote</w:t>
      </w:r>
      <w:r w:rsidRPr="003D1E07">
        <w:rPr>
          <w:rStyle w:val="st"/>
          <w:bCs/>
        </w:rPr>
        <w:t xml:space="preserve">, edited by </w:t>
      </w:r>
      <w:r w:rsidRPr="003D1E07">
        <w:t xml:space="preserve">Fernand van </w:t>
      </w:r>
      <w:r w:rsidRPr="003D1E07">
        <w:rPr>
          <w:bCs/>
        </w:rPr>
        <w:t xml:space="preserve">Steenberghen, </w:t>
      </w:r>
      <w:r w:rsidRPr="003D1E07">
        <w:rPr>
          <w:rStyle w:val="st"/>
          <w:bCs/>
          <w:i/>
        </w:rPr>
        <w:tab/>
      </w:r>
      <w:r w:rsidRPr="003D1E07">
        <w:t xml:space="preserve">Leuven: </w:t>
      </w:r>
      <w:r w:rsidRPr="003D1E07">
        <w:tab/>
        <w:t>Publication Universitaires, pp. 121‒348.</w:t>
      </w:r>
    </w:p>
    <w:p w14:paraId="56F03C81" w14:textId="77777777" w:rsidR="08FF59F5" w:rsidRPr="003D1E07" w:rsidRDefault="08FF59F5" w:rsidP="08FF59F5">
      <w:pPr>
        <w:pStyle w:val="Literatura"/>
        <w:rPr>
          <w:rStyle w:val="TextpoznpodarouChar"/>
          <w:lang w:eastAsia="en-US"/>
        </w:rPr>
      </w:pPr>
      <w:r w:rsidRPr="003D1E07">
        <w:rPr>
          <w:rStyle w:val="TextpoznpodarouChar"/>
          <w:lang w:eastAsia="en-US"/>
        </w:rPr>
        <w:t xml:space="preserve">Arnauld, Antoine (1843): </w:t>
      </w:r>
      <w:r w:rsidRPr="003D1E07">
        <w:rPr>
          <w:i/>
        </w:rPr>
        <w:t xml:space="preserve">Des vraies et de fausses ideés. </w:t>
      </w:r>
      <w:r w:rsidRPr="003D1E07">
        <w:rPr>
          <w:rStyle w:val="TextpoznpodarouChar"/>
          <w:i/>
          <w:lang w:eastAsia="en-US"/>
        </w:rPr>
        <w:t>Les Oeuvres philosophiques</w:t>
      </w:r>
      <w:r w:rsidRPr="003D1E07">
        <w:rPr>
          <w:rStyle w:val="TextpoznpodarouChar"/>
          <w:lang w:eastAsia="en-US"/>
        </w:rPr>
        <w:t xml:space="preserve">. Ed. par Jules Simon. Paris: </w:t>
      </w:r>
      <w:r w:rsidRPr="003D1E07">
        <w:rPr>
          <w:rStyle w:val="TextpoznpodarouChar"/>
          <w:lang w:eastAsia="en-US"/>
        </w:rPr>
        <w:tab/>
        <w:t xml:space="preserve">Charpentier Libraire. </w:t>
      </w:r>
    </w:p>
    <w:p w14:paraId="594DFAED" w14:textId="77777777" w:rsidR="08FF59F5" w:rsidRPr="003D1E07" w:rsidRDefault="08FF59F5" w:rsidP="08FF59F5">
      <w:pPr>
        <w:pStyle w:val="Literatura"/>
      </w:pPr>
      <w:r w:rsidRPr="003D1E07">
        <w:rPr>
          <w:rStyle w:val="st"/>
        </w:rPr>
        <w:t xml:space="preserve">Anselm z Canterbury </w:t>
      </w:r>
      <w:r w:rsidRPr="003D1E07">
        <w:t>(1863):</w:t>
      </w:r>
      <w:r w:rsidRPr="003D1E07">
        <w:rPr>
          <w:i/>
        </w:rPr>
        <w:t xml:space="preserve"> De divinitatis essentia Monologium. </w:t>
      </w:r>
      <w:r w:rsidRPr="003D1E07">
        <w:t xml:space="preserve">Patrologia Latina. Paris: Migne, tome 158, cols </w:t>
      </w:r>
      <w:r w:rsidRPr="003D1E07">
        <w:rPr>
          <w:szCs w:val="18"/>
        </w:rPr>
        <w:tab/>
      </w:r>
      <w:r w:rsidRPr="003D1E07">
        <w:t>141‒222.</w:t>
      </w:r>
    </w:p>
    <w:p w14:paraId="1FA03CAD" w14:textId="77777777" w:rsidR="08FF59F5" w:rsidRPr="003D1E07" w:rsidRDefault="08FF59F5" w:rsidP="08FF59F5">
      <w:pPr>
        <w:pStyle w:val="Literatura"/>
      </w:pPr>
      <w:r w:rsidRPr="003D1E07">
        <w:t>‒ (1863):</w:t>
      </w:r>
      <w:r w:rsidRPr="003D1E07">
        <w:rPr>
          <w:i/>
        </w:rPr>
        <w:t xml:space="preserve"> Dialogus de Veritate. </w:t>
      </w:r>
      <w:r w:rsidRPr="003D1E07">
        <w:t>Patrologia Latina. Paris: Migne, tome 158, cols 467‒486.</w:t>
      </w:r>
    </w:p>
    <w:p w14:paraId="614485DF" w14:textId="77777777" w:rsidR="08FF59F5" w:rsidRPr="003D1E07" w:rsidRDefault="08FF59F5" w:rsidP="08FF59F5">
      <w:pPr>
        <w:pStyle w:val="Literatura"/>
      </w:pPr>
      <w:r w:rsidRPr="003D1E07">
        <w:t>‒ (1863):</w:t>
      </w:r>
      <w:r w:rsidRPr="003D1E07">
        <w:rPr>
          <w:i/>
        </w:rPr>
        <w:t xml:space="preserve"> Dialogus de libero arbitrio. </w:t>
      </w:r>
      <w:r w:rsidRPr="003D1E07">
        <w:t>Patrologia Latina. Paris: Migne, tome 158, cols 489‒506.</w:t>
      </w:r>
    </w:p>
    <w:p w14:paraId="1CD0B1BA" w14:textId="77777777" w:rsidR="08FF59F5" w:rsidRPr="003D1E07" w:rsidRDefault="08FF59F5" w:rsidP="08FF59F5">
      <w:pPr>
        <w:pStyle w:val="Literatura"/>
        <w:rPr>
          <w:szCs w:val="18"/>
        </w:rPr>
      </w:pPr>
      <w:r w:rsidRPr="003D1E07">
        <w:t>Anzulewicz</w:t>
      </w:r>
      <w:r w:rsidRPr="003D1E07">
        <w:rPr>
          <w:szCs w:val="30"/>
        </w:rPr>
        <w:t xml:space="preserve">, </w:t>
      </w:r>
      <w:r w:rsidRPr="003D1E07">
        <w:t xml:space="preserve">Henryk (2003): "Entwicklung und Stellung der Intellekttheorie im Systems des Albertus Magnus".  </w:t>
      </w:r>
      <w:r w:rsidRPr="003D1E07">
        <w:tab/>
      </w:r>
      <w:r w:rsidRPr="003D1E07">
        <w:rPr>
          <w:i/>
        </w:rPr>
        <w:t>Archives d'histoire doctrinale et littéraire du Moyen Âge</w:t>
      </w:r>
      <w:r w:rsidRPr="003D1E07">
        <w:t xml:space="preserve"> 70</w:t>
      </w:r>
      <w:r w:rsidRPr="003D1E07">
        <w:rPr>
          <w:szCs w:val="18"/>
        </w:rPr>
        <w:t>: 165‒218.</w:t>
      </w:r>
    </w:p>
    <w:p w14:paraId="0D3EEDC3" w14:textId="77777777" w:rsidR="005B7B9F" w:rsidRPr="003D1E07" w:rsidRDefault="005B7B9F" w:rsidP="08FF59F5">
      <w:pPr>
        <w:pStyle w:val="Literatura"/>
        <w:rPr>
          <w:rStyle w:val="reference-text"/>
        </w:rPr>
      </w:pPr>
      <w:r w:rsidRPr="003D1E07">
        <w:t xml:space="preserve">Appleton (1898): </w:t>
      </w:r>
      <w:r w:rsidRPr="003D1E07">
        <w:rPr>
          <w:i/>
        </w:rPr>
        <w:t xml:space="preserve">Evolutionary Ethics and Animal Psychology. </w:t>
      </w:r>
      <w:r w:rsidRPr="003D1E07">
        <w:t>New York: D. Appleton &amp; Company.</w:t>
      </w:r>
    </w:p>
    <w:p w14:paraId="4234065D" w14:textId="77777777" w:rsidR="08FF59F5" w:rsidRPr="003D1E07" w:rsidRDefault="08FF59F5" w:rsidP="08FF59F5">
      <w:pPr>
        <w:pStyle w:val="Literatura"/>
        <w:rPr>
          <w:rStyle w:val="reference-text"/>
        </w:rPr>
      </w:pPr>
      <w:r w:rsidRPr="003D1E07">
        <w:rPr>
          <w:rStyle w:val="reference-text"/>
        </w:rPr>
        <w:t xml:space="preserve">Arendt, Hannah (1958): </w:t>
      </w:r>
      <w:r w:rsidRPr="003D1E07">
        <w:rPr>
          <w:i/>
          <w:iCs/>
        </w:rPr>
        <w:t>The Human Condition</w:t>
      </w:r>
      <w:r w:rsidRPr="003D1E07">
        <w:t>. Chicago: University of Chicago Press.</w:t>
      </w:r>
    </w:p>
    <w:p w14:paraId="60E50449" w14:textId="77777777" w:rsidR="08FF59F5" w:rsidRPr="003D1E07" w:rsidRDefault="08FF59F5" w:rsidP="08FF59F5">
      <w:pPr>
        <w:pStyle w:val="Literatura"/>
        <w:rPr>
          <w:noProof w:val="0"/>
        </w:rPr>
      </w:pPr>
      <w:r w:rsidRPr="003D1E07">
        <w:rPr>
          <w:i/>
        </w:rPr>
        <w:t xml:space="preserve">‒ </w:t>
      </w:r>
      <w:r w:rsidRPr="003D1E07">
        <w:rPr>
          <w:rStyle w:val="reference-text"/>
        </w:rPr>
        <w:t xml:space="preserve">(1961): </w:t>
      </w:r>
      <w:r w:rsidRPr="003D1E07">
        <w:rPr>
          <w:i/>
          <w:iCs/>
          <w:noProof w:val="0"/>
        </w:rPr>
        <w:t>Between Past und Future. Eight Exercises in Political Thought</w:t>
      </w:r>
      <w:r w:rsidRPr="003D1E07">
        <w:rPr>
          <w:noProof w:val="0"/>
        </w:rPr>
        <w:t>. New York, Viking Press.</w:t>
      </w:r>
    </w:p>
    <w:p w14:paraId="4CE250F1" w14:textId="77777777" w:rsidR="08FF59F5" w:rsidRPr="003D1E07" w:rsidRDefault="08FF59F5" w:rsidP="08FF59F5">
      <w:pPr>
        <w:pStyle w:val="Literatura"/>
        <w:rPr>
          <w:rStyle w:val="reference-text"/>
        </w:rPr>
      </w:pPr>
      <w:r w:rsidRPr="003D1E07">
        <w:rPr>
          <w:i/>
        </w:rPr>
        <w:t xml:space="preserve">‒ </w:t>
      </w:r>
      <w:r w:rsidRPr="003D1E07">
        <w:rPr>
          <w:rStyle w:val="reference-text"/>
        </w:rPr>
        <w:t xml:space="preserve">(1962): </w:t>
      </w:r>
      <w:r w:rsidRPr="003D1E07">
        <w:rPr>
          <w:rStyle w:val="reference-text"/>
          <w:i/>
        </w:rPr>
        <w:t>The Origins of Totalitarianism</w:t>
      </w:r>
      <w:r w:rsidRPr="003D1E07">
        <w:rPr>
          <w:rStyle w:val="reference-text"/>
        </w:rPr>
        <w:t xml:space="preserve">. Cleveland: Meridian Books. </w:t>
      </w:r>
    </w:p>
    <w:p w14:paraId="21480106" w14:textId="77777777" w:rsidR="08FF59F5" w:rsidRPr="003D1E07" w:rsidRDefault="08FF59F5" w:rsidP="08FF59F5">
      <w:pPr>
        <w:pStyle w:val="Literatura"/>
        <w:rPr>
          <w:rStyle w:val="reference-text"/>
        </w:rPr>
      </w:pPr>
      <w:r w:rsidRPr="003D1E07">
        <w:t xml:space="preserve">Aston, Trevor Henry (1984): </w:t>
      </w:r>
      <w:r w:rsidRPr="003D1E07">
        <w:rPr>
          <w:rStyle w:val="fn"/>
          <w:i/>
        </w:rPr>
        <w:t>The History of the University of Oxford. The early Oxford schools</w:t>
      </w:r>
      <w:r w:rsidRPr="003D1E07">
        <w:rPr>
          <w:rStyle w:val="Podtitul1"/>
        </w:rPr>
        <w:t xml:space="preserve">. Tome I. Oxford </w:t>
      </w:r>
      <w:r w:rsidRPr="003D1E07">
        <w:rPr>
          <w:rStyle w:val="Podtitul1"/>
        </w:rPr>
        <w:tab/>
      </w:r>
      <w:r w:rsidRPr="003D1E07">
        <w:t>Clarendon Press.</w:t>
      </w:r>
    </w:p>
    <w:p w14:paraId="625C03FE" w14:textId="77777777" w:rsidR="08FF59F5" w:rsidRPr="003D1E07" w:rsidRDefault="08FF59F5" w:rsidP="08FF59F5">
      <w:pPr>
        <w:pStyle w:val="Literatura"/>
        <w:rPr>
          <w:rStyle w:val="TextpoznpodarouChar"/>
          <w:lang w:eastAsia="en-US"/>
        </w:rPr>
      </w:pPr>
      <w:r w:rsidRPr="003D1E07">
        <w:rPr>
          <w:rStyle w:val="reference-text"/>
        </w:rPr>
        <w:t xml:space="preserve">Aubé, Pierre (2003): </w:t>
      </w:r>
      <w:r w:rsidRPr="003D1E07">
        <w:rPr>
          <w:rStyle w:val="reference-text"/>
          <w:i/>
          <w:iCs/>
        </w:rPr>
        <w:t>Saint Bernard de Clairvaux</w:t>
      </w:r>
      <w:r w:rsidRPr="003D1E07">
        <w:rPr>
          <w:rStyle w:val="reference-text"/>
        </w:rPr>
        <w:t>. Paris: Fayard.</w:t>
      </w:r>
    </w:p>
    <w:p w14:paraId="7F1205AE" w14:textId="77777777" w:rsidR="08FF59F5" w:rsidRPr="003D1E07" w:rsidRDefault="08FF59F5" w:rsidP="08FF59F5">
      <w:pPr>
        <w:pStyle w:val="Literatura"/>
        <w:rPr>
          <w:rStyle w:val="TextpoznpodarouChar"/>
          <w:lang w:eastAsia="en-US"/>
        </w:rPr>
      </w:pPr>
      <w:r w:rsidRPr="003D1E07">
        <w:rPr>
          <w:rStyle w:val="TextpoznpodarouChar"/>
          <w:lang w:eastAsia="en-US"/>
        </w:rPr>
        <w:t xml:space="preserve">Aubenque, Pierre (1962): </w:t>
      </w:r>
      <w:r w:rsidRPr="003D1E07">
        <w:rPr>
          <w:rStyle w:val="TextpoznpodarouChar"/>
          <w:i/>
          <w:lang w:eastAsia="en-US"/>
        </w:rPr>
        <w:t>Le problème de l´être chez Aristote</w:t>
      </w:r>
      <w:r w:rsidRPr="003D1E07">
        <w:rPr>
          <w:rStyle w:val="TextpoznpodarouChar"/>
          <w:lang w:eastAsia="en-US"/>
        </w:rPr>
        <w:t>. Paris: Presses Universitaires de France.</w:t>
      </w:r>
    </w:p>
    <w:p w14:paraId="7170DF51" w14:textId="77777777" w:rsidR="08FF59F5" w:rsidRPr="003D1E07" w:rsidRDefault="08FF59F5" w:rsidP="08FF59F5">
      <w:pPr>
        <w:pStyle w:val="Literatura"/>
        <w:rPr>
          <w:szCs w:val="24"/>
        </w:rPr>
      </w:pPr>
      <w:r w:rsidRPr="003D1E07">
        <w:rPr>
          <w:szCs w:val="24"/>
        </w:rPr>
        <w:t xml:space="preserve">Aurélien, Robert (2007): "L'universalité réduite au discours. Sur quelques théories franciscaines de l'abstraction </w:t>
      </w:r>
      <w:r w:rsidRPr="003D1E07">
        <w:rPr>
          <w:szCs w:val="24"/>
        </w:rPr>
        <w:tab/>
        <w:t xml:space="preserve">à la fin du XIIIe siècle". </w:t>
      </w:r>
      <w:r w:rsidRPr="003D1E07">
        <w:rPr>
          <w:i/>
          <w:szCs w:val="24"/>
        </w:rPr>
        <w:t>Documenti e studi sulla tradizione filosofica medievale</w:t>
      </w:r>
      <w:r w:rsidRPr="003D1E07">
        <w:rPr>
          <w:szCs w:val="24"/>
        </w:rPr>
        <w:t xml:space="preserve"> XVIII, pp. 363‒393.</w:t>
      </w:r>
    </w:p>
    <w:p w14:paraId="1234110D" w14:textId="77777777" w:rsidR="08FF59F5" w:rsidRPr="003D1E07" w:rsidRDefault="08FF59F5" w:rsidP="08FF59F5">
      <w:pPr>
        <w:pStyle w:val="Literatura"/>
      </w:pPr>
      <w:r w:rsidRPr="003D1E07">
        <w:t>Averroes Latinus (</w:t>
      </w:r>
      <w:r w:rsidRPr="003D1E07">
        <w:rPr>
          <w:rStyle w:val="unicode"/>
          <w:iCs/>
        </w:rPr>
        <w:t>ʾAbū l-Walīd Muḥammad Ibn ʾAḥmad Ibn Rushd</w:t>
      </w:r>
      <w:r w:rsidRPr="003D1E07">
        <w:t xml:space="preserve">‎) </w:t>
      </w:r>
      <w:r w:rsidRPr="003D1E07">
        <w:rPr>
          <w:rStyle w:val="style30"/>
        </w:rPr>
        <w:t xml:space="preserve">(1562): </w:t>
      </w:r>
      <w:r w:rsidRPr="003D1E07">
        <w:rPr>
          <w:rStyle w:val="style30"/>
          <w:i/>
        </w:rPr>
        <w:t xml:space="preserve">Aristotelis Stagiritae de physico </w:t>
      </w:r>
      <w:r w:rsidRPr="003D1E07">
        <w:rPr>
          <w:szCs w:val="18"/>
        </w:rPr>
        <w:tab/>
      </w:r>
      <w:r w:rsidRPr="003D1E07">
        <w:rPr>
          <w:rStyle w:val="style30"/>
          <w:i/>
        </w:rPr>
        <w:t>auditu libri octo</w:t>
      </w:r>
      <w:r w:rsidRPr="003D1E07">
        <w:t>. Editio Juntina secunda, Venezia.</w:t>
      </w:r>
    </w:p>
    <w:p w14:paraId="727EE57A" w14:textId="77777777" w:rsidR="08FF59F5" w:rsidRPr="003D1E07" w:rsidRDefault="08FF59F5" w:rsidP="08FF59F5">
      <w:pPr>
        <w:pStyle w:val="Literatura"/>
      </w:pPr>
      <w:r w:rsidRPr="003D1E07">
        <w:t xml:space="preserve">‒ (1562): </w:t>
      </w:r>
      <w:r w:rsidRPr="003D1E07">
        <w:rPr>
          <w:rStyle w:val="Zvraznn"/>
        </w:rPr>
        <w:t xml:space="preserve">Aristotelis metaphysicorum libri XIIII cum Averrois Cordubensis in eosdem commentariis et epitome, </w:t>
      </w:r>
      <w:r w:rsidRPr="003D1E07">
        <w:rPr>
          <w:rStyle w:val="Zvraznn"/>
        </w:rPr>
        <w:tab/>
        <w:t xml:space="preserve">Theophrasti metaphysicorum </w:t>
      </w:r>
      <w:r w:rsidRPr="003D1E07">
        <w:rPr>
          <w:rStyle w:val="Zvraznn"/>
          <w:i w:val="0"/>
        </w:rPr>
        <w:t xml:space="preserve">liber. </w:t>
      </w:r>
      <w:r w:rsidRPr="003D1E07">
        <w:t>Editio Juntina secunda, vol. VIII. Venezia.</w:t>
      </w:r>
    </w:p>
    <w:p w14:paraId="09367DA6" w14:textId="77777777" w:rsidR="08FF59F5" w:rsidRPr="003D1E07" w:rsidRDefault="08FF59F5" w:rsidP="08FF59F5">
      <w:pPr>
        <w:pStyle w:val="Literatura"/>
      </w:pPr>
      <w:r w:rsidRPr="003D1E07">
        <w:rPr>
          <w:i/>
        </w:rPr>
        <w:t xml:space="preserve">‒ </w:t>
      </w:r>
      <w:r w:rsidRPr="003D1E07">
        <w:t xml:space="preserve">(1953): </w:t>
      </w:r>
      <w:r w:rsidRPr="003D1E07">
        <w:rPr>
          <w:i/>
        </w:rPr>
        <w:t>Averrois Cordubensis Commentarium Magnum in Aristotelis De anima Libros</w:t>
      </w:r>
      <w:r w:rsidRPr="003D1E07">
        <w:t xml:space="preserve">. F. Stuart Crawford (ed.)., </w:t>
      </w:r>
      <w:r w:rsidRPr="003D1E07">
        <w:tab/>
        <w:t>Cambridge: Mediaeval Academy of America.</w:t>
      </w:r>
    </w:p>
    <w:p w14:paraId="0A7EF464" w14:textId="77777777" w:rsidR="08FF59F5" w:rsidRPr="003D1E07" w:rsidRDefault="08FF59F5" w:rsidP="08FF59F5">
      <w:pPr>
        <w:pStyle w:val="Literatura"/>
      </w:pPr>
      <w:r w:rsidRPr="003D1E07">
        <w:t xml:space="preserve">‒ (1954): </w:t>
      </w:r>
      <w:r w:rsidRPr="003D1E07">
        <w:rPr>
          <w:i/>
        </w:rPr>
        <w:t>Tahafut al-tahafut (The incoherence of the incoherence)</w:t>
      </w:r>
      <w:r w:rsidRPr="003D1E07">
        <w:t xml:space="preserve">. Translated from the Arabic with introd. and </w:t>
      </w:r>
      <w:r w:rsidRPr="003D1E07">
        <w:tab/>
        <w:t>notes by Simon van den Bergh. London: Lusac.</w:t>
      </w:r>
    </w:p>
    <w:p w14:paraId="437264D0" w14:textId="77777777" w:rsidR="08FF59F5" w:rsidRPr="003D1E07" w:rsidRDefault="08FF59F5" w:rsidP="08FF59F5">
      <w:pPr>
        <w:pStyle w:val="Literatura"/>
      </w:pPr>
      <w:r w:rsidRPr="003D1E07">
        <w:t>‒ (</w:t>
      </w:r>
      <w:r w:rsidRPr="003D1E07">
        <w:rPr>
          <w:rStyle w:val="TextpoznpodarouChar"/>
          <w:lang w:eastAsia="en-US"/>
        </w:rPr>
        <w:t xml:space="preserve">1984): </w:t>
      </w:r>
      <w:r w:rsidRPr="003D1E07">
        <w:rPr>
          <w:i/>
        </w:rPr>
        <w:t xml:space="preserve">Ibn Rushd’s Metaphysics. A Translation with Introduction of Ibn Rushd's Commentary on </w:t>
      </w:r>
      <w:r w:rsidRPr="003D1E07">
        <w:rPr>
          <w:i/>
        </w:rPr>
        <w:tab/>
        <w:t>Aristotle's Metaphysics. Book Lām</w:t>
      </w:r>
      <w:r w:rsidRPr="003D1E07">
        <w:t>. Ed. Charles Genequand, Leiden: Brill.</w:t>
      </w:r>
    </w:p>
    <w:p w14:paraId="16925A27" w14:textId="77777777" w:rsidR="08FF59F5" w:rsidRPr="003D1E07" w:rsidRDefault="08FF59F5" w:rsidP="08FF59F5">
      <w:pPr>
        <w:pStyle w:val="Literatura"/>
      </w:pPr>
      <w:r w:rsidRPr="003D1E07">
        <w:t xml:space="preserve">‒ (1986): </w:t>
      </w:r>
      <w:r w:rsidRPr="003D1E07">
        <w:rPr>
          <w:i/>
        </w:rPr>
        <w:t>Averroe's De substantia orbis</w:t>
      </w:r>
      <w:r w:rsidRPr="003D1E07">
        <w:t xml:space="preserve">. Critical edition of Hebrew Text with English Translation and </w:t>
      </w:r>
      <w:r w:rsidRPr="003D1E07">
        <w:tab/>
        <w:t>Commentary by Artur Hyman. Cambridge: Massachusetts and Jerusalem.</w:t>
      </w:r>
    </w:p>
    <w:p w14:paraId="079954CD" w14:textId="77777777" w:rsidR="08FF59F5" w:rsidRPr="003D1E07" w:rsidRDefault="08FF59F5" w:rsidP="08FF59F5">
      <w:pPr>
        <w:pStyle w:val="Literatura"/>
      </w:pPr>
      <w:r w:rsidRPr="003D1E07">
        <w:rPr>
          <w:i/>
        </w:rPr>
        <w:t xml:space="preserve">‒ </w:t>
      </w:r>
      <w:r w:rsidRPr="003D1E07">
        <w:t xml:space="preserve">(2001): </w:t>
      </w:r>
      <w:r w:rsidRPr="003D1E07">
        <w:rPr>
          <w:i/>
        </w:rPr>
        <w:t>Averroès</w:t>
      </w:r>
      <w:r w:rsidRPr="003D1E07">
        <w:t xml:space="preserve">. </w:t>
      </w:r>
      <w:r w:rsidRPr="003D1E07">
        <w:rPr>
          <w:i/>
        </w:rPr>
        <w:t>La béatitude de l’âme</w:t>
      </w:r>
      <w:r w:rsidRPr="003D1E07">
        <w:t xml:space="preserve">. Éditions, traductions annotées, études doctrinales et historiques </w:t>
      </w:r>
      <w:r w:rsidRPr="003D1E07">
        <w:tab/>
        <w:t xml:space="preserve">d’un traité « d’Averroès » par Marc Geoffroy et Carlos Steel. Paris: Vrin, « Sic et Non ». </w:t>
      </w:r>
    </w:p>
    <w:p w14:paraId="2056ECA7" w14:textId="77777777" w:rsidR="08FF59F5" w:rsidRPr="003D1E07" w:rsidRDefault="08FF59F5" w:rsidP="08FF59F5">
      <w:pPr>
        <w:pStyle w:val="Literatura"/>
      </w:pPr>
      <w:r w:rsidRPr="003D1E07">
        <w:t>‒ (2004):</w:t>
      </w:r>
      <w:r w:rsidRPr="003D1E07">
        <w:rPr>
          <w:i/>
        </w:rPr>
        <w:t xml:space="preserve"> Averroës: Middle Commentary on Aristotle’s De anima</w:t>
      </w:r>
      <w:r w:rsidRPr="003D1E07">
        <w:t xml:space="preserve">. A Critical Edition of the Arabic Text with </w:t>
      </w:r>
      <w:r w:rsidRPr="003D1E07">
        <w:tab/>
        <w:t xml:space="preserve">English Translation, Notes, and Introduction by Alfred L. Ivry, </w:t>
      </w:r>
      <w:r w:rsidRPr="003D1E07">
        <w:rPr>
          <w:rStyle w:val="Zvraznn"/>
        </w:rPr>
        <w:t>Aestimatio</w:t>
      </w:r>
      <w:r w:rsidRPr="003D1E07">
        <w:t xml:space="preserve"> 1: 57–61.</w:t>
      </w:r>
    </w:p>
    <w:p w14:paraId="41C194A4" w14:textId="77777777" w:rsidR="08FF59F5" w:rsidRPr="003D1E07" w:rsidRDefault="08FF59F5" w:rsidP="08FF59F5">
      <w:pPr>
        <w:pStyle w:val="Literatura"/>
      </w:pPr>
      <w:r w:rsidRPr="003D1E07">
        <w:rPr>
          <w:i/>
        </w:rPr>
        <w:t xml:space="preserve">‒ </w:t>
      </w:r>
      <w:r w:rsidRPr="003D1E07">
        <w:t xml:space="preserve">(2009): </w:t>
      </w:r>
      <w:r w:rsidRPr="003D1E07">
        <w:rPr>
          <w:i/>
        </w:rPr>
        <w:t>Averroes (Ibn Rushd) of Cordoba.</w:t>
      </w:r>
      <w:r w:rsidRPr="003D1E07">
        <w:t xml:space="preserve"> </w:t>
      </w:r>
      <w:r w:rsidRPr="003D1E07">
        <w:rPr>
          <w:i/>
        </w:rPr>
        <w:t>Long Commentary on the</w:t>
      </w:r>
      <w:r w:rsidRPr="003D1E07">
        <w:rPr>
          <w:rStyle w:val="ZkladntextKurzva"/>
          <w:rFonts w:ascii="Constantia" w:eastAsia="Constantia" w:hAnsi="Constantia" w:cs="Constantia"/>
          <w:b/>
          <w:bCs/>
          <w:iCs w:val="0"/>
          <w:spacing w:val="-12"/>
          <w:sz w:val="22"/>
          <w:szCs w:val="22"/>
        </w:rPr>
        <w:t xml:space="preserve"> </w:t>
      </w:r>
      <w:r w:rsidRPr="003D1E07">
        <w:rPr>
          <w:i/>
        </w:rPr>
        <w:t>De anima</w:t>
      </w:r>
      <w:r w:rsidRPr="003D1E07">
        <w:rPr>
          <w:rStyle w:val="ZkladntextKurzva"/>
          <w:rFonts w:ascii="Constantia" w:eastAsia="Constantia" w:hAnsi="Constantia" w:cs="Constantia"/>
          <w:b/>
          <w:bCs/>
          <w:iCs w:val="0"/>
          <w:spacing w:val="-12"/>
          <w:sz w:val="22"/>
          <w:szCs w:val="22"/>
        </w:rPr>
        <w:t xml:space="preserve"> </w:t>
      </w:r>
      <w:r w:rsidRPr="003D1E07">
        <w:rPr>
          <w:i/>
        </w:rPr>
        <w:t>of Aristotle</w:t>
      </w:r>
      <w:r w:rsidRPr="003D1E07">
        <w:t xml:space="preserve">. Translated and with </w:t>
      </w:r>
      <w:r w:rsidRPr="003D1E07">
        <w:tab/>
        <w:t xml:space="preserve">introduction and notes by Richard C. Taylor with Therese-Anne Druart, subeditor. </w:t>
      </w:r>
      <w:r w:rsidRPr="003D1E07">
        <w:rPr>
          <w:color w:val="000000"/>
        </w:rPr>
        <w:t xml:space="preserve">New Haven &amp; </w:t>
      </w:r>
      <w:r w:rsidRPr="003D1E07">
        <w:rPr>
          <w:rStyle w:val="st"/>
          <w:bCs/>
          <w:i/>
        </w:rPr>
        <w:tab/>
      </w:r>
      <w:r w:rsidRPr="003D1E07">
        <w:rPr>
          <w:color w:val="000000"/>
        </w:rPr>
        <w:t xml:space="preserve">London: </w:t>
      </w:r>
      <w:r w:rsidRPr="003D1E07">
        <w:t>Yale University Press.</w:t>
      </w:r>
    </w:p>
    <w:p w14:paraId="3A70267A" w14:textId="77777777" w:rsidR="08FF59F5" w:rsidRPr="003D1E07" w:rsidRDefault="08FF59F5" w:rsidP="08FF59F5">
      <w:pPr>
        <w:pStyle w:val="Literatura"/>
      </w:pPr>
      <w:r w:rsidRPr="003D1E07">
        <w:rPr>
          <w:i/>
        </w:rPr>
        <w:t xml:space="preserve">‒ </w:t>
      </w:r>
      <w:r w:rsidRPr="003D1E07">
        <w:t xml:space="preserve">(2010): </w:t>
      </w:r>
      <w:r w:rsidRPr="003D1E07">
        <w:rPr>
          <w:i/>
        </w:rPr>
        <w:t>Averroes On Aristotle’s "Metaphysics"</w:t>
      </w:r>
      <w:r w:rsidRPr="003D1E07">
        <w:t xml:space="preserve">. </w:t>
      </w:r>
      <w:r w:rsidRPr="003D1E07">
        <w:rPr>
          <w:i/>
        </w:rPr>
        <w:t xml:space="preserve">An Annotated Translation of the So-called "Epitome“ (Scientia </w:t>
      </w:r>
      <w:r w:rsidRPr="003D1E07">
        <w:rPr>
          <w:i/>
        </w:rPr>
        <w:tab/>
        <w:t>Graeco-Arabica)</w:t>
      </w:r>
      <w:r w:rsidRPr="003D1E07">
        <w:t xml:space="preserve">. Edited </w:t>
      </w:r>
      <w:r w:rsidRPr="003D1E07">
        <w:rPr>
          <w:rStyle w:val="st"/>
        </w:rPr>
        <w:t xml:space="preserve">Rüdiger Arnzen. </w:t>
      </w:r>
      <w:r w:rsidRPr="003D1E07">
        <w:t>Scientia Graeco-Arabica (Book 5), De Gruyter.</w:t>
      </w:r>
    </w:p>
    <w:p w14:paraId="7B80FA6C" w14:textId="77777777" w:rsidR="08FF59F5" w:rsidRPr="003D1E07" w:rsidRDefault="08FF59F5" w:rsidP="08FF59F5">
      <w:pPr>
        <w:pStyle w:val="Literatura"/>
      </w:pPr>
      <w:r w:rsidRPr="003D1E07">
        <w:rPr>
          <w:rFonts w:cs="Calibri"/>
        </w:rPr>
        <w:t>−</w:t>
      </w:r>
      <w:r w:rsidRPr="003D1E07">
        <w:t xml:space="preserve"> (2010): </w:t>
      </w:r>
      <w:r w:rsidRPr="003D1E07">
        <w:rPr>
          <w:i/>
        </w:rPr>
        <w:t xml:space="preserve">Commentum medium super libro praedicamentorum Aristotelis. Translatio Wilhelmo de Luna </w:t>
      </w:r>
      <w:r w:rsidRPr="003D1E07">
        <w:tab/>
      </w:r>
      <w:r w:rsidRPr="003D1E07">
        <w:rPr>
          <w:i/>
        </w:rPr>
        <w:t>adscripta</w:t>
      </w:r>
      <w:r w:rsidRPr="003D1E07">
        <w:t>. Ed. Roland Hissette. Averroes Latinus 11. Leuven: Peeters Publishers.</w:t>
      </w:r>
    </w:p>
    <w:p w14:paraId="1E13F4DA" w14:textId="77777777" w:rsidR="08FF59F5" w:rsidRPr="003D1E07" w:rsidRDefault="08FF59F5" w:rsidP="08FF59F5">
      <w:pPr>
        <w:pStyle w:val="Literatura"/>
        <w:rPr>
          <w:szCs w:val="22"/>
        </w:rPr>
      </w:pPr>
      <w:r w:rsidRPr="003D1E07">
        <w:rPr>
          <w:rStyle w:val="st"/>
        </w:rPr>
        <w:lastRenderedPageBreak/>
        <w:t xml:space="preserve">Avicebron (1895): </w:t>
      </w:r>
      <w:r w:rsidRPr="003D1E07">
        <w:rPr>
          <w:rStyle w:val="st"/>
          <w:i/>
        </w:rPr>
        <w:t>Avencebrolis (Ibn Gebirol) Fons Vitae</w:t>
      </w:r>
      <w:r w:rsidRPr="003D1E07">
        <w:rPr>
          <w:rStyle w:val="st"/>
        </w:rPr>
        <w:t xml:space="preserve">. Ed. Clemens Baeumker. Monasterii: Formis </w:t>
      </w:r>
      <w:r w:rsidRPr="003D1E07">
        <w:rPr>
          <w:rStyle w:val="st"/>
        </w:rPr>
        <w:tab/>
        <w:t>Aschendorffianis.</w:t>
      </w:r>
    </w:p>
    <w:p w14:paraId="7EA50D28" w14:textId="77777777" w:rsidR="08FF59F5" w:rsidRPr="003D1E07" w:rsidRDefault="08FF59F5" w:rsidP="08FF59F5">
      <w:pPr>
        <w:pStyle w:val="Literatura"/>
      </w:pPr>
      <w:r w:rsidRPr="003D1E07">
        <w:t>Avicenna Latinus</w:t>
      </w:r>
      <w:r w:rsidRPr="003D1E07">
        <w:rPr>
          <w:rStyle w:val="st"/>
        </w:rPr>
        <w:t xml:space="preserve"> (Abū ʿAlī al-Ḥusayn ibn ʿAbd Allāh ibn Al-Hasan ibn Ali ibn Sīnā</w:t>
      </w:r>
      <w:r w:rsidRPr="003D1E07">
        <w:t xml:space="preserve">) (1952): </w:t>
      </w:r>
      <w:r w:rsidRPr="003D1E07">
        <w:rPr>
          <w:i/>
        </w:rPr>
        <w:t xml:space="preserve">Avicenna's Psychology. </w:t>
      </w:r>
      <w:r w:rsidRPr="003D1E07">
        <w:rPr>
          <w:szCs w:val="18"/>
        </w:rPr>
        <w:tab/>
      </w:r>
      <w:r w:rsidRPr="003D1E07">
        <w:rPr>
          <w:i/>
          <w:szCs w:val="24"/>
        </w:rPr>
        <w:t xml:space="preserve">An English Translation of </w:t>
      </w:r>
      <w:r w:rsidRPr="003D1E07">
        <w:rPr>
          <w:i/>
        </w:rPr>
        <w:t>Kitāb</w:t>
      </w:r>
      <w:r w:rsidRPr="003D1E07">
        <w:rPr>
          <w:i/>
          <w:szCs w:val="24"/>
        </w:rPr>
        <w:t xml:space="preserve"> al Naj</w:t>
      </w:r>
      <w:r w:rsidRPr="003D1E07">
        <w:rPr>
          <w:i/>
        </w:rPr>
        <w:t>āt</w:t>
      </w:r>
      <w:r w:rsidRPr="003D1E07">
        <w:rPr>
          <w:i/>
          <w:szCs w:val="24"/>
        </w:rPr>
        <w:t xml:space="preserve">, Book II, Chapter VI with Historico-Philosophical Notes and Textual </w:t>
      </w:r>
      <w:r w:rsidRPr="003D1E07">
        <w:rPr>
          <w:szCs w:val="18"/>
        </w:rPr>
        <w:tab/>
      </w:r>
      <w:r w:rsidRPr="003D1E07">
        <w:rPr>
          <w:i/>
          <w:szCs w:val="24"/>
        </w:rPr>
        <w:t>Improvements of the Cairo Edition</w:t>
      </w:r>
      <w:r w:rsidRPr="003D1E07">
        <w:rPr>
          <w:szCs w:val="24"/>
        </w:rPr>
        <w:t xml:space="preserve">. Edited by </w:t>
      </w:r>
      <w:r w:rsidRPr="003D1E07">
        <w:rPr>
          <w:rStyle w:val="st"/>
        </w:rPr>
        <w:t xml:space="preserve">Fazlur </w:t>
      </w:r>
      <w:r w:rsidRPr="003D1E07">
        <w:t>Rahman</w:t>
      </w:r>
      <w:r w:rsidRPr="003D1E07">
        <w:rPr>
          <w:rStyle w:val="st"/>
        </w:rPr>
        <w:t>, Oxford University Press.</w:t>
      </w:r>
    </w:p>
    <w:p w14:paraId="1CF6C00E" w14:textId="77777777" w:rsidR="08FF59F5" w:rsidRPr="003D1E07" w:rsidRDefault="08FF59F5" w:rsidP="08FF59F5">
      <w:pPr>
        <w:pStyle w:val="Literatura"/>
      </w:pPr>
      <w:r w:rsidRPr="003D1E07">
        <w:rPr>
          <w:i/>
        </w:rPr>
        <w:t xml:space="preserve">‒ </w:t>
      </w:r>
      <w:r w:rsidRPr="003D1E07">
        <w:t xml:space="preserve">(1968): </w:t>
      </w:r>
      <w:r w:rsidRPr="003D1E07">
        <w:rPr>
          <w:i/>
        </w:rPr>
        <w:t xml:space="preserve">Liber de anima, seu sextus de naturalibus I‒II. </w:t>
      </w:r>
      <w:r w:rsidRPr="003D1E07">
        <w:t>Ed. Simone Van Riet, Louvain: E. J. Brill.</w:t>
      </w:r>
    </w:p>
    <w:p w14:paraId="41328AC3" w14:textId="77777777" w:rsidR="08FF59F5" w:rsidRPr="003D1E07" w:rsidRDefault="08FF59F5" w:rsidP="08FF59F5">
      <w:pPr>
        <w:pStyle w:val="Literatura"/>
      </w:pPr>
      <w:r w:rsidRPr="003D1E07">
        <w:rPr>
          <w:i/>
        </w:rPr>
        <w:t xml:space="preserve">‒ </w:t>
      </w:r>
      <w:r w:rsidRPr="003D1E07">
        <w:t xml:space="preserve">(1977): </w:t>
      </w:r>
      <w:r w:rsidRPr="003D1E07">
        <w:rPr>
          <w:i/>
        </w:rPr>
        <w:t>Liber De Philosophia Prima Sive Scientia Divina I–IV</w:t>
      </w:r>
      <w:r w:rsidRPr="003D1E07">
        <w:t xml:space="preserve">. Ed. Simone Van Riet, introduction par Gérard </w:t>
      </w:r>
      <w:r w:rsidRPr="003D1E07">
        <w:tab/>
        <w:t>Verbeke. Louvain: Édition Peeters.</w:t>
      </w:r>
    </w:p>
    <w:p w14:paraId="4B024516" w14:textId="77777777" w:rsidR="08FF59F5" w:rsidRPr="003D1E07" w:rsidRDefault="08FF59F5" w:rsidP="08FF59F5">
      <w:pPr>
        <w:pStyle w:val="Literatura"/>
      </w:pPr>
      <w:r w:rsidRPr="003D1E07">
        <w:rPr>
          <w:i/>
        </w:rPr>
        <w:t xml:space="preserve">‒ </w:t>
      </w:r>
      <w:r w:rsidRPr="003D1E07">
        <w:t xml:space="preserve">(1980): </w:t>
      </w:r>
      <w:r w:rsidRPr="003D1E07">
        <w:rPr>
          <w:i/>
        </w:rPr>
        <w:t>Liber De Philosophia Prima Sive Scientia Divina V–X</w:t>
      </w:r>
      <w:r w:rsidRPr="003D1E07">
        <w:t xml:space="preserve">. Ed. Simone Van Riet, introduction par Gérard </w:t>
      </w:r>
      <w:r w:rsidRPr="003D1E07">
        <w:tab/>
        <w:t>Verbeke. Louvain: Édition Peeters.</w:t>
      </w:r>
    </w:p>
    <w:p w14:paraId="31214C90" w14:textId="77777777" w:rsidR="08FF59F5" w:rsidRPr="003D1E07" w:rsidRDefault="08FF59F5" w:rsidP="08FF59F5">
      <w:pPr>
        <w:pStyle w:val="Literatura"/>
      </w:pPr>
      <w:r w:rsidRPr="003D1E07">
        <w:t xml:space="preserve">‒ (1992): </w:t>
      </w:r>
      <w:r w:rsidRPr="003D1E07">
        <w:rPr>
          <w:i/>
        </w:rPr>
        <w:t xml:space="preserve">Liber primus Naturalium. Tractatus Primus de causis et principiis naturalium. </w:t>
      </w:r>
      <w:r w:rsidRPr="003D1E07">
        <w:t xml:space="preserve">Ed. Simone Van Riet, </w:t>
      </w:r>
      <w:r w:rsidRPr="003D1E07">
        <w:tab/>
        <w:t>Louvain: E. J. Brill.</w:t>
      </w:r>
    </w:p>
    <w:p w14:paraId="6582F58B" w14:textId="77777777" w:rsidR="08FF59F5" w:rsidRPr="003D1E07" w:rsidRDefault="08FF59F5" w:rsidP="08FF59F5">
      <w:pPr>
        <w:pStyle w:val="Literatura"/>
        <w:rPr>
          <w:szCs w:val="22"/>
        </w:rPr>
      </w:pPr>
      <w:r w:rsidRPr="003D1E07">
        <w:rPr>
          <w:szCs w:val="22"/>
        </w:rPr>
        <w:t xml:space="preserve">Bacon, Roger </w:t>
      </w:r>
      <w:r w:rsidRPr="003D1E07">
        <w:t xml:space="preserve">(1859): </w:t>
      </w:r>
      <w:r w:rsidRPr="003D1E07">
        <w:rPr>
          <w:i/>
        </w:rPr>
        <w:t xml:space="preserve">Fr. Rogeri Bacon. Opera Quaedam Hactenus Inedita </w:t>
      </w:r>
      <w:r w:rsidRPr="003D1E07">
        <w:t>1</w:t>
      </w:r>
      <w:r w:rsidRPr="003D1E07">
        <w:rPr>
          <w:i/>
        </w:rPr>
        <w:t xml:space="preserve">. Opus tertium (I.), Opus minus (II.), </w:t>
      </w:r>
      <w:r w:rsidRPr="003D1E07">
        <w:rPr>
          <w:szCs w:val="18"/>
        </w:rPr>
        <w:tab/>
      </w:r>
      <w:r w:rsidRPr="003D1E07">
        <w:rPr>
          <w:i/>
        </w:rPr>
        <w:t>Compendium studii philosophiae (III)</w:t>
      </w:r>
      <w:r w:rsidRPr="003D1E07">
        <w:t xml:space="preserve">.  Edited by J. S. Brewer. London: Longman, Green, Longman, and </w:t>
      </w:r>
      <w:r w:rsidRPr="003D1E07">
        <w:tab/>
        <w:t>Roberts.</w:t>
      </w:r>
    </w:p>
    <w:p w14:paraId="6C12CF67" w14:textId="77777777" w:rsidR="08FF59F5" w:rsidRPr="003D1E07" w:rsidRDefault="08FF59F5" w:rsidP="08FF59F5">
      <w:pPr>
        <w:pStyle w:val="Literatura"/>
      </w:pPr>
      <w:r w:rsidRPr="003D1E07">
        <w:t xml:space="preserve">‒ (1911): </w:t>
      </w:r>
      <w:r w:rsidRPr="003D1E07">
        <w:rPr>
          <w:i/>
        </w:rPr>
        <w:t>Liber primus Communium naturalium, Pars Quarta, Distinctio tertia de anima</w:t>
      </w:r>
      <w:r w:rsidRPr="003D1E07">
        <w:t xml:space="preserve">. Edited by R. Steele, </w:t>
      </w:r>
      <w:r w:rsidRPr="003D1E07">
        <w:tab/>
      </w:r>
      <w:r w:rsidRPr="003D1E07">
        <w:rPr>
          <w:i/>
        </w:rPr>
        <w:t>Opera hactenus inedita Rogeri Baconi</w:t>
      </w:r>
      <w:r w:rsidRPr="003D1E07">
        <w:t xml:space="preserve"> 3. Oxford: Clarendon Press.</w:t>
      </w:r>
    </w:p>
    <w:p w14:paraId="28AB9090" w14:textId="77777777" w:rsidR="08FF59F5" w:rsidRPr="003D1E07" w:rsidRDefault="08FF59F5" w:rsidP="08FF59F5">
      <w:pPr>
        <w:pStyle w:val="Literatura"/>
      </w:pPr>
      <w:r w:rsidRPr="003D1E07">
        <w:t xml:space="preserve">‒ (1911): </w:t>
      </w:r>
      <w:r w:rsidRPr="003D1E07">
        <w:rPr>
          <w:i/>
        </w:rPr>
        <w:t>Compendium Studii Theologiae</w:t>
      </w:r>
      <w:r w:rsidRPr="003D1E07">
        <w:t xml:space="preserve">. Edited by H. Rashdall, British Society of Franciscan Studies, 3. </w:t>
      </w:r>
      <w:r w:rsidRPr="003D1E07">
        <w:tab/>
        <w:t>Aberdeen: Academic Press.</w:t>
      </w:r>
    </w:p>
    <w:p w14:paraId="58D5BEC0" w14:textId="77777777" w:rsidR="08FF59F5" w:rsidRPr="003D1E07" w:rsidRDefault="08FF59F5" w:rsidP="08FF59F5">
      <w:pPr>
        <w:pStyle w:val="Literatura"/>
      </w:pPr>
      <w:r w:rsidRPr="003D1E07">
        <w:t xml:space="preserve">‒ (1932): </w:t>
      </w:r>
      <w:r w:rsidRPr="003D1E07">
        <w:rPr>
          <w:i/>
        </w:rPr>
        <w:t>Quaestiones altere supra libros prime philosophie Aristotelis</w:t>
      </w:r>
      <w:r w:rsidRPr="003D1E07">
        <w:t xml:space="preserve"> (</w:t>
      </w:r>
      <w:r w:rsidRPr="003D1E07">
        <w:rPr>
          <w:i/>
        </w:rPr>
        <w:t>Metaphysica</w:t>
      </w:r>
      <w:r w:rsidRPr="003D1E07">
        <w:t xml:space="preserve"> I‒IV). Edited by R. Steele &amp; </w:t>
      </w:r>
      <w:r w:rsidRPr="003D1E07">
        <w:tab/>
        <w:t xml:space="preserve">F.M. Delorme. </w:t>
      </w:r>
      <w:r w:rsidRPr="003D1E07">
        <w:rPr>
          <w:i/>
        </w:rPr>
        <w:t>Opera hactenus inedita Rogeri Baconi</w:t>
      </w:r>
      <w:r w:rsidRPr="003D1E07">
        <w:t xml:space="preserve"> 11, Oxford: Clarendon Press.</w:t>
      </w:r>
    </w:p>
    <w:p w14:paraId="1B03AECF" w14:textId="77777777" w:rsidR="08FF59F5" w:rsidRPr="003D1E07" w:rsidRDefault="08FF59F5" w:rsidP="08FF59F5">
      <w:pPr>
        <w:pStyle w:val="Literatura"/>
      </w:pPr>
      <w:r w:rsidRPr="003D1E07">
        <w:t xml:space="preserve">‒ (1930): </w:t>
      </w:r>
      <w:r w:rsidRPr="003D1E07">
        <w:rPr>
          <w:i/>
        </w:rPr>
        <w:t>Quaestiones altere supra libros prime philosophie Aristotelis</w:t>
      </w:r>
      <w:r w:rsidRPr="003D1E07">
        <w:t xml:space="preserve"> (</w:t>
      </w:r>
      <w:r w:rsidRPr="003D1E07">
        <w:rPr>
          <w:i/>
        </w:rPr>
        <w:t>Metaphysica</w:t>
      </w:r>
      <w:r w:rsidRPr="003D1E07">
        <w:t xml:space="preserve"> I, II, V‒X). Edited by R. </w:t>
      </w:r>
      <w:r w:rsidRPr="003D1E07">
        <w:tab/>
        <w:t xml:space="preserve">Steele &amp; F.M. Delorme. </w:t>
      </w:r>
      <w:r w:rsidRPr="003D1E07">
        <w:rPr>
          <w:i/>
        </w:rPr>
        <w:t>Opera hactenus inedita Rogeri Baconi</w:t>
      </w:r>
      <w:r w:rsidRPr="003D1E07">
        <w:t xml:space="preserve"> 10, Oxford: Clarendon Press.</w:t>
      </w:r>
    </w:p>
    <w:p w14:paraId="7755F39E" w14:textId="77777777" w:rsidR="08FF59F5" w:rsidRPr="003D1E07" w:rsidRDefault="08FF59F5" w:rsidP="08FF59F5">
      <w:pPr>
        <w:pStyle w:val="Literatura"/>
      </w:pPr>
      <w:r w:rsidRPr="003D1E07">
        <w:rPr>
          <w:szCs w:val="22"/>
        </w:rPr>
        <w:t xml:space="preserve">‒ (1986): </w:t>
      </w:r>
      <w:r w:rsidRPr="003D1E07">
        <w:rPr>
          <w:i/>
        </w:rPr>
        <w:t>Summulae dialectices I-II</w:t>
      </w:r>
      <w:r w:rsidRPr="003D1E07">
        <w:t xml:space="preserve">. Edited by Allain de Libera. </w:t>
      </w:r>
      <w:r w:rsidRPr="003D1E07">
        <w:rPr>
          <w:rStyle w:val="st"/>
          <w:bCs/>
          <w:i/>
        </w:rPr>
        <w:t>Archives d'Histoire</w:t>
      </w:r>
      <w:r w:rsidRPr="003D1E07">
        <w:rPr>
          <w:rStyle w:val="st"/>
          <w:i/>
        </w:rPr>
        <w:t xml:space="preserve"> </w:t>
      </w:r>
      <w:r w:rsidRPr="003D1E07">
        <w:rPr>
          <w:rStyle w:val="st"/>
          <w:bCs/>
          <w:i/>
        </w:rPr>
        <w:t xml:space="preserve">Doctrinale et Littéraire du </w:t>
      </w:r>
      <w:r w:rsidRPr="003D1E07">
        <w:rPr>
          <w:rStyle w:val="st"/>
          <w:bCs/>
          <w:i/>
        </w:rPr>
        <w:tab/>
        <w:t>Moyen Âge</w:t>
      </w:r>
      <w:r w:rsidRPr="003D1E07">
        <w:rPr>
          <w:i/>
        </w:rPr>
        <w:t xml:space="preserve"> </w:t>
      </w:r>
      <w:r w:rsidRPr="003D1E07">
        <w:t>53: 139‒289.</w:t>
      </w:r>
    </w:p>
    <w:p w14:paraId="376FEBFC" w14:textId="77777777" w:rsidR="08FF59F5" w:rsidRPr="003D1E07" w:rsidRDefault="08FF59F5" w:rsidP="08FF59F5">
      <w:pPr>
        <w:pStyle w:val="Literatura"/>
      </w:pPr>
      <w:r w:rsidRPr="003D1E07">
        <w:t xml:space="preserve">Bangert, Kurt (2016): </w:t>
      </w:r>
      <w:r w:rsidRPr="003D1E07">
        <w:rPr>
          <w:i/>
          <w:szCs w:val="60"/>
        </w:rPr>
        <w:t xml:space="preserve">Muhammad. </w:t>
      </w:r>
      <w:r w:rsidRPr="003D1E07">
        <w:rPr>
          <w:i/>
        </w:rPr>
        <w:t xml:space="preserve">Eine historisch-kritische Studie zur Entstehung des Islams und seines </w:t>
      </w:r>
      <w:r w:rsidRPr="003D1E07">
        <w:rPr>
          <w:szCs w:val="24"/>
        </w:rPr>
        <w:tab/>
      </w:r>
      <w:r w:rsidRPr="003D1E07">
        <w:rPr>
          <w:i/>
        </w:rPr>
        <w:t>Propheten</w:t>
      </w:r>
      <w:r w:rsidRPr="003D1E07">
        <w:t>. Springer Verlag:Weisbaden.</w:t>
      </w:r>
    </w:p>
    <w:p w14:paraId="5BBCF87D" w14:textId="77777777" w:rsidR="08FF59F5" w:rsidRPr="003D1E07" w:rsidRDefault="08FF59F5" w:rsidP="08FF59F5">
      <w:pPr>
        <w:pStyle w:val="Literatura"/>
        <w:rPr>
          <w:szCs w:val="22"/>
        </w:rPr>
      </w:pPr>
      <w:r w:rsidRPr="003D1E07">
        <w:t>Baumgarten, Alexander (2001): "</w:t>
      </w:r>
      <w:r w:rsidRPr="003D1E07">
        <w:rPr>
          <w:iCs/>
        </w:rPr>
        <w:t xml:space="preserve">Disputation on the Unity of the Intellect and the Birth of the Parisian </w:t>
      </w:r>
      <w:r w:rsidRPr="003D1E07">
        <w:rPr>
          <w:iCs/>
        </w:rPr>
        <w:tab/>
        <w:t>University Intellectual"</w:t>
      </w:r>
      <w:r w:rsidRPr="003D1E07">
        <w:t xml:space="preserve">, </w:t>
      </w:r>
      <w:r w:rsidRPr="003D1E07">
        <w:rPr>
          <w:i/>
          <w:szCs w:val="22"/>
        </w:rPr>
        <w:t>New Europe College Yearbook</w:t>
      </w:r>
      <w:r w:rsidRPr="003D1E07">
        <w:rPr>
          <w:szCs w:val="22"/>
        </w:rPr>
        <w:t xml:space="preserve"> 8, pp. 15−71.</w:t>
      </w:r>
    </w:p>
    <w:p w14:paraId="7B95BA5C" w14:textId="77777777" w:rsidR="08FF59F5" w:rsidRPr="003D1E07" w:rsidRDefault="08FF59F5" w:rsidP="08FF59F5">
      <w:pPr>
        <w:pStyle w:val="Literatura"/>
      </w:pPr>
      <w:r w:rsidRPr="003D1E07">
        <w:t>Baeumker</w:t>
      </w:r>
      <w:r w:rsidRPr="003D1E07">
        <w:rPr>
          <w:smallCaps/>
        </w:rPr>
        <w:t xml:space="preserve">, </w:t>
      </w:r>
      <w:r w:rsidRPr="003D1E07">
        <w:t xml:space="preserve">Clemens (1898): </w:t>
      </w:r>
      <w:r w:rsidRPr="003D1E07">
        <w:rPr>
          <w:i/>
        </w:rPr>
        <w:t xml:space="preserve">Die Impossibilia des Siger von Brabant. Eine philosophische Streitschrift aus dem </w:t>
      </w:r>
      <w:r w:rsidRPr="003D1E07">
        <w:rPr>
          <w:i/>
        </w:rPr>
        <w:tab/>
        <w:t>XIII. Jahrhundert</w:t>
      </w:r>
      <w:r w:rsidRPr="003D1E07">
        <w:t>. Münster: Aschendorffche Verlagsbuchhandlung.</w:t>
      </w:r>
    </w:p>
    <w:p w14:paraId="3A1B4B4A" w14:textId="77777777" w:rsidR="08FF59F5" w:rsidRPr="003D1E07" w:rsidRDefault="08FF59F5" w:rsidP="08FF59F5">
      <w:pPr>
        <w:pStyle w:val="Literatura"/>
      </w:pPr>
      <w:r w:rsidRPr="003D1E07">
        <w:t xml:space="preserve">‒ (1916): </w:t>
      </w:r>
      <w:r w:rsidRPr="003D1E07">
        <w:rPr>
          <w:i/>
        </w:rPr>
        <w:t>Alfarabi über den Ursprung der Wissenschaften. De ortu scientiarum</w:t>
      </w:r>
      <w:r w:rsidRPr="003D1E07">
        <w:t xml:space="preserve">. Münster: Aschendorffche </w:t>
      </w:r>
      <w:r w:rsidRPr="003D1E07">
        <w:tab/>
        <w:t>Verlagsbuchhandlung.</w:t>
      </w:r>
    </w:p>
    <w:p w14:paraId="44243711" w14:textId="77777777" w:rsidR="08FF59F5" w:rsidRPr="003D1E07" w:rsidRDefault="08FF59F5" w:rsidP="08FF59F5">
      <w:pPr>
        <w:pStyle w:val="Literatura"/>
      </w:pPr>
      <w:r w:rsidRPr="003D1E07">
        <w:t>Baumgartner, Hans (1980): "</w:t>
      </w:r>
      <w:r w:rsidRPr="003D1E07">
        <w:rPr>
          <w:iCs/>
        </w:rPr>
        <w:t>Arbor porphyriana, porphyrischer Baum"</w:t>
      </w:r>
      <w:r w:rsidRPr="003D1E07">
        <w:rPr>
          <w:i/>
          <w:iCs/>
        </w:rPr>
        <w:t>, Lexikon des Mittelalters</w:t>
      </w:r>
      <w:r w:rsidRPr="003D1E07">
        <w:t xml:space="preserve"> 1. </w:t>
      </w:r>
      <w:r w:rsidRPr="003D1E07">
        <w:tab/>
        <w:t>München/Zürich: Artemis &amp; Winkler, pp. 889–890.</w:t>
      </w:r>
    </w:p>
    <w:p w14:paraId="3C615135" w14:textId="77777777" w:rsidR="08FF59F5" w:rsidRPr="003D1E07" w:rsidRDefault="08FF59F5" w:rsidP="08FF59F5">
      <w:pPr>
        <w:pStyle w:val="Literatura"/>
        <w:rPr>
          <w:szCs w:val="22"/>
        </w:rPr>
      </w:pPr>
      <w:r w:rsidRPr="003D1E07">
        <w:rPr>
          <w:szCs w:val="22"/>
        </w:rPr>
        <w:t xml:space="preserve">Baumgartner, Matthias. (1893): </w:t>
      </w:r>
      <w:r w:rsidRPr="003D1E07">
        <w:rPr>
          <w:i/>
          <w:szCs w:val="22"/>
        </w:rPr>
        <w:t>Die Erkenntnislehre des Wilhelm von Auvergne</w:t>
      </w:r>
      <w:r w:rsidRPr="003D1E07">
        <w:rPr>
          <w:szCs w:val="22"/>
        </w:rPr>
        <w:t xml:space="preserve">. Münster: Druck und Verlag des </w:t>
      </w:r>
      <w:r w:rsidRPr="003D1E07">
        <w:rPr>
          <w:szCs w:val="22"/>
        </w:rPr>
        <w:tab/>
        <w:t>Aschendorffschen Buchandlung.</w:t>
      </w:r>
    </w:p>
    <w:p w14:paraId="7C752369" w14:textId="77777777" w:rsidR="08FF59F5" w:rsidRPr="003D1E07" w:rsidRDefault="08FF59F5" w:rsidP="08FF59F5">
      <w:pPr>
        <w:pStyle w:val="Literatura"/>
      </w:pPr>
      <w:r w:rsidRPr="003D1E07">
        <w:rPr>
          <w:bCs/>
        </w:rPr>
        <w:t>Bazán, Carlos Bernardo (1969): "</w:t>
      </w:r>
      <w:r w:rsidRPr="003D1E07">
        <w:t xml:space="preserve">Pluralisme de formes ou dualisme de substances? La pensée pré-thomiste </w:t>
      </w:r>
      <w:r w:rsidRPr="003D1E07">
        <w:tab/>
        <w:t xml:space="preserve">touchant la nature de l'âme". </w:t>
      </w:r>
      <w:r w:rsidRPr="003D1E07">
        <w:rPr>
          <w:i/>
        </w:rPr>
        <w:t>Revue Philosophique de Louvain</w:t>
      </w:r>
      <w:r w:rsidRPr="003D1E07">
        <w:t xml:space="preserve"> 93: 30‒73.</w:t>
      </w:r>
    </w:p>
    <w:p w14:paraId="34DC6616" w14:textId="77777777" w:rsidR="08FF59F5" w:rsidRPr="003D1E07" w:rsidRDefault="08FF59F5" w:rsidP="08FF59F5">
      <w:pPr>
        <w:pStyle w:val="Literatura"/>
      </w:pPr>
      <w:r w:rsidRPr="003D1E07">
        <w:rPr>
          <w:szCs w:val="22"/>
        </w:rPr>
        <w:t xml:space="preserve">Boethius Anicius </w:t>
      </w:r>
      <w:r w:rsidRPr="003D1E07">
        <w:rPr>
          <w:szCs w:val="21"/>
        </w:rPr>
        <w:t>(1847):</w:t>
      </w:r>
      <w:r w:rsidRPr="003D1E07">
        <w:rPr>
          <w:i/>
          <w:szCs w:val="21"/>
        </w:rPr>
        <w:t xml:space="preserve"> In Categorias Aristotelis libri quattuor</w:t>
      </w:r>
      <w:r w:rsidRPr="003D1E07">
        <w:rPr>
          <w:szCs w:val="21"/>
        </w:rPr>
        <w:t xml:space="preserve">. Patrologia Latina, Paris: Migne, tome 64, cols </w:t>
      </w:r>
      <w:r w:rsidRPr="003D1E07">
        <w:rPr>
          <w:szCs w:val="18"/>
        </w:rPr>
        <w:tab/>
      </w:r>
      <w:r w:rsidRPr="003D1E07">
        <w:t>159–294.</w:t>
      </w:r>
    </w:p>
    <w:p w14:paraId="0645260C" w14:textId="77777777" w:rsidR="08FF59F5" w:rsidRPr="003D1E07" w:rsidRDefault="08FF59F5" w:rsidP="08FF59F5">
      <w:pPr>
        <w:pStyle w:val="Literatura"/>
        <w:rPr>
          <w:rStyle w:val="TextpoznpodarouChar"/>
        </w:rPr>
      </w:pPr>
      <w:r w:rsidRPr="003D1E07">
        <w:rPr>
          <w:szCs w:val="22"/>
        </w:rPr>
        <w:t xml:space="preserve">‒ (1876): </w:t>
      </w:r>
      <w:r w:rsidRPr="003D1E07">
        <w:rPr>
          <w:rStyle w:val="TextpoznpodarouChar"/>
          <w:i/>
        </w:rPr>
        <w:t>Anicii Manlii Severini Boethii commentarii in librum Peri hermeneias</w:t>
      </w:r>
      <w:r w:rsidRPr="003D1E07">
        <w:rPr>
          <w:rStyle w:val="TextpoznpodarouChar"/>
        </w:rPr>
        <w:t xml:space="preserve">. Edited by Carolus Meiser. </w:t>
      </w:r>
      <w:r w:rsidRPr="003D1E07">
        <w:rPr>
          <w:rStyle w:val="TextpoznpodarouChar"/>
        </w:rPr>
        <w:tab/>
        <w:t>Lipsiae: B. G. Teubner.</w:t>
      </w:r>
    </w:p>
    <w:p w14:paraId="25D15BD9" w14:textId="77777777" w:rsidR="08FF59F5" w:rsidRPr="003D1E07" w:rsidRDefault="08FF59F5" w:rsidP="08FF59F5">
      <w:pPr>
        <w:pStyle w:val="Literatura"/>
        <w:rPr>
          <w:szCs w:val="22"/>
        </w:rPr>
      </w:pPr>
      <w:r w:rsidRPr="003D1E07">
        <w:rPr>
          <w:szCs w:val="21"/>
        </w:rPr>
        <w:t>‒ (1847):</w:t>
      </w:r>
      <w:r w:rsidRPr="003D1E07">
        <w:rPr>
          <w:i/>
          <w:szCs w:val="21"/>
        </w:rPr>
        <w:t xml:space="preserve"> </w:t>
      </w:r>
      <w:r w:rsidRPr="003D1E07">
        <w:rPr>
          <w:i/>
        </w:rPr>
        <w:t xml:space="preserve">Liber de divisione. </w:t>
      </w:r>
      <w:r w:rsidRPr="003D1E07">
        <w:rPr>
          <w:szCs w:val="21"/>
        </w:rPr>
        <w:t xml:space="preserve">Patrologia Latina, Paris: Migne, tome 64, cols </w:t>
      </w:r>
      <w:r w:rsidRPr="003D1E07">
        <w:rPr>
          <w:rStyle w:val="st"/>
        </w:rPr>
        <w:t>875‒892</w:t>
      </w:r>
      <w:r w:rsidRPr="003D1E07">
        <w:rPr>
          <w:szCs w:val="21"/>
        </w:rPr>
        <w:t>.</w:t>
      </w:r>
    </w:p>
    <w:p w14:paraId="6BBD643A" w14:textId="77777777" w:rsidR="08FF59F5" w:rsidRPr="003D1E07" w:rsidRDefault="08FF59F5" w:rsidP="08FF59F5">
      <w:pPr>
        <w:pStyle w:val="Literatura"/>
        <w:rPr>
          <w:szCs w:val="22"/>
        </w:rPr>
      </w:pPr>
      <w:r w:rsidRPr="003D1E07">
        <w:t xml:space="preserve">Benveniste, Emile (1969): </w:t>
      </w:r>
      <w:r w:rsidRPr="003D1E07">
        <w:rPr>
          <w:rStyle w:val="Zvraznn"/>
        </w:rPr>
        <w:t>Le vocabulaire des institutions indo-européennes.</w:t>
      </w:r>
      <w:r w:rsidRPr="003D1E07">
        <w:t xml:space="preserve"> I :</w:t>
      </w:r>
      <w:r w:rsidRPr="003D1E07">
        <w:rPr>
          <w:rStyle w:val="Zvraznn"/>
        </w:rPr>
        <w:t xml:space="preserve"> économie, parenté, société </w:t>
      </w:r>
      <w:r w:rsidRPr="003D1E07">
        <w:t xml:space="preserve">; II : </w:t>
      </w:r>
      <w:r w:rsidRPr="003D1E07">
        <w:tab/>
      </w:r>
      <w:r w:rsidRPr="003D1E07">
        <w:rPr>
          <w:rStyle w:val="Zvraznn"/>
        </w:rPr>
        <w:t>pouvoir, droit, religion.</w:t>
      </w:r>
      <w:r w:rsidRPr="003D1E07">
        <w:rPr>
          <w:rStyle w:val="Zvraznn"/>
          <w:i w:val="0"/>
        </w:rPr>
        <w:t xml:space="preserve"> Paris: Editions de Minuit.</w:t>
      </w:r>
    </w:p>
    <w:p w14:paraId="5BBB0173" w14:textId="77777777" w:rsidR="08FF59F5" w:rsidRPr="003D1E07" w:rsidRDefault="08FF59F5" w:rsidP="08FF59F5">
      <w:pPr>
        <w:pStyle w:val="Literatura"/>
        <w:rPr>
          <w:szCs w:val="18"/>
        </w:rPr>
      </w:pPr>
      <w:r w:rsidRPr="003D1E07">
        <w:rPr>
          <w:szCs w:val="18"/>
        </w:rPr>
        <w:t xml:space="preserve">Bérubé, Camille. Le ‘Dialogue’ de S. Bonaventure et de Roger Bacon. </w:t>
      </w:r>
      <w:r w:rsidRPr="003D1E07">
        <w:rPr>
          <w:i/>
          <w:szCs w:val="18"/>
        </w:rPr>
        <w:t>Collectanea Franciscana</w:t>
      </w:r>
      <w:r w:rsidRPr="003D1E07">
        <w:rPr>
          <w:szCs w:val="18"/>
        </w:rPr>
        <w:t xml:space="preserve"> 39 (1969): </w:t>
      </w:r>
      <w:r w:rsidRPr="003D1E07">
        <w:rPr>
          <w:szCs w:val="18"/>
        </w:rPr>
        <w:tab/>
        <w:t>59‒103.</w:t>
      </w:r>
    </w:p>
    <w:p w14:paraId="303386B3" w14:textId="77777777" w:rsidR="08FF59F5" w:rsidRPr="003D1E07" w:rsidRDefault="08FF59F5" w:rsidP="08FF59F5">
      <w:pPr>
        <w:pStyle w:val="Literatura"/>
      </w:pPr>
      <w:r w:rsidRPr="003D1E07">
        <w:t xml:space="preserve">Bernstein, E. Alan (1978): "Magisterium and License: Corporate Autonomy against Papal Authority in the </w:t>
      </w:r>
      <w:r w:rsidRPr="003D1E07">
        <w:tab/>
        <w:t xml:space="preserve">Medieval University of Paris." </w:t>
      </w:r>
      <w:r w:rsidRPr="003D1E07">
        <w:rPr>
          <w:i/>
        </w:rPr>
        <w:t>Viator</w:t>
      </w:r>
      <w:r w:rsidRPr="003D1E07">
        <w:t xml:space="preserve"> 9: 291‒308.</w:t>
      </w:r>
    </w:p>
    <w:p w14:paraId="43C34669" w14:textId="77777777" w:rsidR="08FF59F5" w:rsidRPr="003D1E07" w:rsidRDefault="08FF59F5" w:rsidP="08FF59F5">
      <w:pPr>
        <w:pStyle w:val="Literatura"/>
      </w:pPr>
      <w:r w:rsidRPr="003D1E07">
        <w:lastRenderedPageBreak/>
        <w:t xml:space="preserve">Bertolacci, Amos (1998): "Albert the Great, </w:t>
      </w:r>
      <w:r w:rsidRPr="003D1E07">
        <w:rPr>
          <w:i/>
          <w:iCs/>
        </w:rPr>
        <w:t>Metaph</w:t>
      </w:r>
      <w:r w:rsidRPr="003D1E07">
        <w:t xml:space="preserve">. IV, 1, 5: From the </w:t>
      </w:r>
      <w:r w:rsidRPr="003D1E07">
        <w:rPr>
          <w:i/>
          <w:iCs/>
        </w:rPr>
        <w:t xml:space="preserve">Refutatio </w:t>
      </w:r>
      <w:r w:rsidRPr="003D1E07">
        <w:t xml:space="preserve">to the </w:t>
      </w:r>
      <w:r w:rsidRPr="003D1E07">
        <w:rPr>
          <w:i/>
          <w:iCs/>
        </w:rPr>
        <w:t xml:space="preserve">Excusatio </w:t>
      </w:r>
      <w:r w:rsidRPr="003D1E07">
        <w:t xml:space="preserve">of Avicenna’s </w:t>
      </w:r>
      <w:r w:rsidRPr="003D1E07">
        <w:tab/>
        <w:t xml:space="preserve">Theory of Unity". </w:t>
      </w:r>
      <w:r w:rsidRPr="003D1E07">
        <w:rPr>
          <w:i/>
          <w:iCs/>
        </w:rPr>
        <w:t>Was ist Philosophie im Mittelalter</w:t>
      </w:r>
      <w:r w:rsidRPr="003D1E07">
        <w:t>, edited by J. A. Aertsen and A. Speer</w:t>
      </w:r>
      <w:r w:rsidRPr="003D1E07">
        <w:rPr>
          <w:i/>
          <w:iCs/>
        </w:rPr>
        <w:t xml:space="preserve">, </w:t>
      </w:r>
      <w:r w:rsidRPr="003D1E07">
        <w:t xml:space="preserve">Miscellanea </w:t>
      </w:r>
      <w:r w:rsidRPr="003D1E07">
        <w:tab/>
        <w:t>Mediaevalia 26, Berlin-New York: Walter de Gruyter, pp. 881‒887.</w:t>
      </w:r>
    </w:p>
    <w:p w14:paraId="35710BA1" w14:textId="77777777" w:rsidR="08FF59F5" w:rsidRPr="003D1E07" w:rsidRDefault="08FF59F5" w:rsidP="08FF59F5">
      <w:pPr>
        <w:pStyle w:val="Literatura"/>
      </w:pPr>
      <w:r w:rsidRPr="003D1E07">
        <w:t xml:space="preserve">‒ (2001): "From al-Kindi to al-Farabi: Avicenna's Progressive Knowledge of Aristotle's </w:t>
      </w:r>
      <w:r w:rsidRPr="003D1E07">
        <w:rPr>
          <w:i/>
        </w:rPr>
        <w:t>Metaphysics</w:t>
      </w:r>
      <w:r w:rsidRPr="003D1E07">
        <w:t xml:space="preserve"> according to </w:t>
      </w:r>
      <w:r w:rsidRPr="003D1E07">
        <w:tab/>
        <w:t xml:space="preserve">his Autobiography." </w:t>
      </w:r>
      <w:r w:rsidRPr="003D1E07">
        <w:rPr>
          <w:i/>
        </w:rPr>
        <w:t>Arabic Sciences and Philosophy</w:t>
      </w:r>
      <w:r w:rsidRPr="003D1E07">
        <w:t xml:space="preserve"> 11: 257‒295.</w:t>
      </w:r>
    </w:p>
    <w:p w14:paraId="4CD7DF07" w14:textId="77777777" w:rsidR="08FF59F5" w:rsidRPr="003D1E07" w:rsidRDefault="08FF59F5" w:rsidP="08FF59F5">
      <w:pPr>
        <w:pStyle w:val="Literatura"/>
      </w:pPr>
      <w:r w:rsidRPr="003D1E07">
        <w:t xml:space="preserve">‒ (2002): "The Structure of Metaphysical Science in the Ilāhiyyāt (Divine Science) of Avicenna’s Kitāb al-šifā </w:t>
      </w:r>
      <w:r w:rsidRPr="003D1E07">
        <w:tab/>
        <w:t xml:space="preserve">(Book of the Cure)". </w:t>
      </w:r>
      <w:r w:rsidRPr="003D1E07">
        <w:rPr>
          <w:i/>
          <w:szCs w:val="13"/>
        </w:rPr>
        <w:t>Documenti e studi sulla tradizione filosofica medievale XIII</w:t>
      </w:r>
      <w:r w:rsidRPr="003D1E07">
        <w:rPr>
          <w:szCs w:val="13"/>
        </w:rPr>
        <w:t xml:space="preserve">, SISMEL, Firenze: Edizioni </w:t>
      </w:r>
      <w:r w:rsidRPr="003D1E07">
        <w:rPr>
          <w:szCs w:val="13"/>
        </w:rPr>
        <w:tab/>
        <w:t>del Galluzo, pp. 1‒70.</w:t>
      </w:r>
    </w:p>
    <w:p w14:paraId="1093EA96" w14:textId="77777777" w:rsidR="08FF59F5" w:rsidRPr="003D1E07" w:rsidRDefault="08FF59F5" w:rsidP="08FF59F5">
      <w:pPr>
        <w:pStyle w:val="Literatura"/>
      </w:pPr>
      <w:r w:rsidRPr="003D1E07">
        <w:t>‒ (2004)</w:t>
      </w:r>
      <w:r w:rsidRPr="003D1E07">
        <w:tab/>
        <w:t xml:space="preserve">"The reception of Book B (Beta) of Aristotle's Metaphysics in the Ilāhīyāt of Avicenna's Kitāb aš-Šifāʼ", </w:t>
      </w:r>
      <w:r w:rsidRPr="003D1E07">
        <w:tab/>
      </w:r>
      <w:r w:rsidRPr="003D1E07">
        <w:rPr>
          <w:i/>
        </w:rPr>
        <w:t>Interpreting Avicenna. Science and Philosohy in Medieval Islam</w:t>
      </w:r>
      <w:r w:rsidRPr="003D1E07">
        <w:t xml:space="preserve">, edited by Jon McGinnis, Leiden: Brill, </w:t>
      </w:r>
      <w:r w:rsidRPr="003D1E07">
        <w:tab/>
        <w:t>pp. 157–174.</w:t>
      </w:r>
    </w:p>
    <w:p w14:paraId="159B2435" w14:textId="77777777" w:rsidR="08FF59F5" w:rsidRPr="003D1E07" w:rsidRDefault="08FF59F5" w:rsidP="08FF59F5">
      <w:pPr>
        <w:pStyle w:val="Literatura"/>
      </w:pPr>
      <w:r w:rsidRPr="003D1E07">
        <w:t xml:space="preserve">‒ (2006): </w:t>
      </w:r>
      <w:r w:rsidRPr="003D1E07">
        <w:rPr>
          <w:i/>
        </w:rPr>
        <w:t xml:space="preserve">The Reception of Aristotle’s Metaphysics in Avicenna’s Kitāb al-Šifā. A Milestone of Western </w:t>
      </w:r>
      <w:r w:rsidRPr="003D1E07">
        <w:rPr>
          <w:i/>
        </w:rPr>
        <w:tab/>
        <w:t>Metaphysical Thought</w:t>
      </w:r>
      <w:r w:rsidRPr="003D1E07">
        <w:t xml:space="preserve">. </w:t>
      </w:r>
      <w:r w:rsidRPr="003D1E07">
        <w:rPr>
          <w:i/>
        </w:rPr>
        <w:t>Islamic Philosophy, Theology and Science, Texts and Studies</w:t>
      </w:r>
      <w:r w:rsidRPr="003D1E07">
        <w:t xml:space="preserve"> 63. Leiden – Boston: </w:t>
      </w:r>
      <w:r w:rsidRPr="003D1E07">
        <w:tab/>
        <w:t>Brill.</w:t>
      </w:r>
    </w:p>
    <w:p w14:paraId="7BC8C311" w14:textId="77777777" w:rsidR="08FF59F5" w:rsidRPr="003D1E07" w:rsidRDefault="08FF59F5" w:rsidP="08FF59F5">
      <w:pPr>
        <w:pStyle w:val="Literatura"/>
      </w:pPr>
      <w:r w:rsidRPr="003D1E07">
        <w:t>‒ (2012): "</w:t>
      </w:r>
      <w:r w:rsidRPr="003D1E07">
        <w:rPr>
          <w:szCs w:val="22"/>
        </w:rPr>
        <w:t xml:space="preserve">On the Latin Reception of Avicenna’s Metaphysics before Albertus Magnus: An Attempt at </w:t>
      </w:r>
      <w:r w:rsidRPr="003D1E07">
        <w:rPr>
          <w:szCs w:val="22"/>
        </w:rPr>
        <w:tab/>
        <w:t xml:space="preserve">Periodization", </w:t>
      </w:r>
      <w:r w:rsidRPr="003D1E07">
        <w:rPr>
          <w:i/>
        </w:rPr>
        <w:t>The Arabic, Hebrew and Latin Reception of Avicenna's Metaphysics. Scientia Graeco-</w:t>
      </w:r>
      <w:r w:rsidRPr="003D1E07">
        <w:rPr>
          <w:i/>
        </w:rPr>
        <w:tab/>
        <w:t xml:space="preserve">Arabica 7, </w:t>
      </w:r>
      <w:r w:rsidRPr="003D1E07">
        <w:t xml:space="preserve">edited by Dag Nikolaus Hasse and Amos Bertolacci, Berlin: Walter de Gruyter, </w:t>
      </w:r>
      <w:r w:rsidRPr="003D1E07">
        <w:rPr>
          <w:szCs w:val="22"/>
        </w:rPr>
        <w:t>197–224</w:t>
      </w:r>
      <w:r w:rsidRPr="003D1E07">
        <w:t>.</w:t>
      </w:r>
    </w:p>
    <w:p w14:paraId="5FF05DC2" w14:textId="77777777" w:rsidR="08FF59F5" w:rsidRPr="003D1E07" w:rsidRDefault="08FF59F5" w:rsidP="08FF59F5">
      <w:pPr>
        <w:pStyle w:val="Literatura"/>
      </w:pPr>
      <w:r w:rsidRPr="003D1E07">
        <w:t xml:space="preserve">‒ (2014): </w:t>
      </w:r>
      <w:r w:rsidRPr="003D1E07">
        <w:rPr>
          <w:rFonts w:eastAsia="Brill-Roman"/>
          <w:szCs w:val="22"/>
        </w:rPr>
        <w:t>"Avicenna</w:t>
      </w:r>
      <w:r w:rsidRPr="003D1E07">
        <w:t>'</w:t>
      </w:r>
      <w:r w:rsidRPr="003D1E07">
        <w:rPr>
          <w:szCs w:val="22"/>
        </w:rPr>
        <w:t>s and Averroes</w:t>
      </w:r>
      <w:r w:rsidRPr="003D1E07">
        <w:t>'</w:t>
      </w:r>
      <w:r w:rsidRPr="003D1E07">
        <w:rPr>
          <w:szCs w:val="22"/>
        </w:rPr>
        <w:t>s Interpretations and Their Influence in</w:t>
      </w:r>
      <w:r w:rsidRPr="003D1E07">
        <w:rPr>
          <w:rFonts w:eastAsia="Brill-Roman"/>
          <w:szCs w:val="22"/>
        </w:rPr>
        <w:t xml:space="preserve"> </w:t>
      </w:r>
      <w:r w:rsidRPr="003D1E07">
        <w:rPr>
          <w:szCs w:val="22"/>
        </w:rPr>
        <w:t>Albertus Magnus",</w:t>
      </w:r>
      <w:r w:rsidRPr="003D1E07">
        <w:t xml:space="preserve"> </w:t>
      </w:r>
      <w:r w:rsidRPr="003D1E07">
        <w:rPr>
          <w:i/>
        </w:rPr>
        <w:t xml:space="preserve">A Companion </w:t>
      </w:r>
      <w:r w:rsidRPr="003D1E07">
        <w:rPr>
          <w:i/>
        </w:rPr>
        <w:tab/>
        <w:t xml:space="preserve">to the Latin Medieval Commentaries on Aristotle's Metaphysics, </w:t>
      </w:r>
      <w:r w:rsidRPr="003D1E07">
        <w:t>edited by</w:t>
      </w:r>
      <w:r w:rsidRPr="003D1E07">
        <w:rPr>
          <w:i/>
        </w:rPr>
        <w:t xml:space="preserve"> </w:t>
      </w:r>
      <w:r w:rsidRPr="003D1E07">
        <w:rPr>
          <w:szCs w:val="28"/>
        </w:rPr>
        <w:t xml:space="preserve">Fabrizio Amerini and Gabriele </w:t>
      </w:r>
      <w:r w:rsidRPr="003D1E07">
        <w:rPr>
          <w:szCs w:val="18"/>
        </w:rPr>
        <w:tab/>
      </w:r>
      <w:r w:rsidRPr="003D1E07">
        <w:rPr>
          <w:szCs w:val="28"/>
        </w:rPr>
        <w:t>Galluzzo</w:t>
      </w:r>
      <w:r w:rsidRPr="003D1E07">
        <w:rPr>
          <w:rFonts w:eastAsia="Brill-Roman"/>
        </w:rPr>
        <w:t>, Leiden – Boston: Brill, pp. 95–135.</w:t>
      </w:r>
    </w:p>
    <w:p w14:paraId="2349BB9D" w14:textId="77777777" w:rsidR="08FF59F5" w:rsidRPr="003D1E07" w:rsidRDefault="08FF59F5" w:rsidP="08FF59F5">
      <w:pPr>
        <w:pStyle w:val="Literatura"/>
      </w:pPr>
      <w:r w:rsidRPr="003D1E07">
        <w:t xml:space="preserve">Bianchi, Luca (2008): </w:t>
      </w:r>
      <w:r w:rsidRPr="003D1E07">
        <w:rPr>
          <w:rStyle w:val="fn"/>
          <w:i/>
        </w:rPr>
        <w:t>Pour une histoire de la "double vérité"</w:t>
      </w:r>
      <w:r w:rsidRPr="003D1E07">
        <w:rPr>
          <w:rStyle w:val="fn"/>
        </w:rPr>
        <w:t xml:space="preserve">. </w:t>
      </w:r>
      <w:r w:rsidRPr="003D1E07">
        <w:t>Paris: J. Vrin.</w:t>
      </w:r>
    </w:p>
    <w:p w14:paraId="5EAF2B3C" w14:textId="77777777" w:rsidR="08FF59F5" w:rsidRPr="003D1E07" w:rsidRDefault="08FF59F5" w:rsidP="08FF59F5">
      <w:pPr>
        <w:pStyle w:val="Literatura"/>
      </w:pPr>
      <w:r w:rsidRPr="003D1E07">
        <w:t xml:space="preserve">Birkenmajer, Alexander (1922): "Der Brief Robert Kilwardbys an Peter von Conflans und die Streitschrift des </w:t>
      </w:r>
      <w:r w:rsidRPr="003D1E07">
        <w:tab/>
        <w:t xml:space="preserve">Ägidius von Lessines". </w:t>
      </w:r>
      <w:r w:rsidRPr="003D1E07">
        <w:rPr>
          <w:i/>
        </w:rPr>
        <w:t>Vermischte Untersuchungen zur Geschichte der Mittelalterlichen Philosophie</w:t>
      </w:r>
      <w:r w:rsidRPr="003D1E07">
        <w:t xml:space="preserve"> 20: </w:t>
      </w:r>
      <w:r w:rsidRPr="003D1E07">
        <w:tab/>
        <w:t>46‒69.</w:t>
      </w:r>
    </w:p>
    <w:p w14:paraId="011A754B" w14:textId="77777777" w:rsidR="08FF59F5" w:rsidRPr="003D1E07" w:rsidRDefault="08FF59F5" w:rsidP="08FF59F5">
      <w:pPr>
        <w:pStyle w:val="Literatura"/>
      </w:pPr>
      <w:r w:rsidRPr="003D1E07">
        <w:t xml:space="preserve">Bobzien, Susanne (1998): "The Inadvertent Conception and Late Birth of the Free-Will problem". </w:t>
      </w:r>
      <w:r w:rsidRPr="003D1E07">
        <w:rPr>
          <w:i/>
        </w:rPr>
        <w:t>Phronesis</w:t>
      </w:r>
      <w:r w:rsidRPr="003D1E07">
        <w:t xml:space="preserve"> </w:t>
      </w:r>
      <w:r w:rsidRPr="003D1E07">
        <w:tab/>
        <w:t>43/1: 133‒175.</w:t>
      </w:r>
    </w:p>
    <w:p w14:paraId="6F125F36" w14:textId="77777777" w:rsidR="08FF59F5" w:rsidRPr="003D1E07" w:rsidRDefault="08FF59F5" w:rsidP="08FF59F5">
      <w:pPr>
        <w:pStyle w:val="Literatura"/>
      </w:pPr>
      <w:r w:rsidRPr="003D1E07">
        <w:rPr>
          <w:iCs/>
        </w:rPr>
        <w:t xml:space="preserve">Bonaventura de Bagnoregio </w:t>
      </w:r>
      <w:r w:rsidRPr="003D1E07">
        <w:t xml:space="preserve">(1882‒1902): </w:t>
      </w:r>
      <w:r w:rsidRPr="003D1E07">
        <w:rPr>
          <w:i/>
        </w:rPr>
        <w:t>Doctoris Seraphici S. Bonaventurae Opera omnia I‒X</w:t>
      </w:r>
      <w:r w:rsidRPr="003D1E07">
        <w:t xml:space="preserve">. Edita studio et </w:t>
      </w:r>
      <w:r w:rsidRPr="003D1E07">
        <w:rPr>
          <w:szCs w:val="18"/>
        </w:rPr>
        <w:tab/>
      </w:r>
      <w:r w:rsidRPr="003D1E07">
        <w:t>cura PP. Collegii a S. Bonaventura, Ad Claras Aquas (Quaracchi).</w:t>
      </w:r>
    </w:p>
    <w:p w14:paraId="2EDB97D3" w14:textId="77777777" w:rsidR="08FF59F5" w:rsidRPr="003D1E07" w:rsidRDefault="08FF59F5" w:rsidP="08FF59F5">
      <w:pPr>
        <w:pStyle w:val="Literatura"/>
      </w:pPr>
      <w:r w:rsidRPr="003D1E07">
        <w:rPr>
          <w:i/>
        </w:rPr>
        <w:t xml:space="preserve">‒ </w:t>
      </w:r>
      <w:r w:rsidRPr="003D1E07">
        <w:t xml:space="preserve">(1882‒89): </w:t>
      </w:r>
      <w:r w:rsidRPr="003D1E07">
        <w:rPr>
          <w:i/>
          <w:iCs/>
        </w:rPr>
        <w:t>Commentaria in Quatuor Libros Sententiarum I-IV</w:t>
      </w:r>
      <w:r w:rsidRPr="003D1E07">
        <w:t xml:space="preserve">. </w:t>
      </w:r>
      <w:r w:rsidRPr="003D1E07">
        <w:rPr>
          <w:i/>
        </w:rPr>
        <w:t xml:space="preserve">Doctoris Seraphici S. Bonaventurae Opera </w:t>
      </w:r>
      <w:r w:rsidRPr="003D1E07">
        <w:rPr>
          <w:i/>
        </w:rPr>
        <w:tab/>
        <w:t>omnia I‒IV</w:t>
      </w:r>
      <w:r w:rsidRPr="003D1E07">
        <w:t>. Edita studio et cura PP. Collegii a S. Bonaventura, Ad Claras Aquas (Quaracchi).</w:t>
      </w:r>
    </w:p>
    <w:p w14:paraId="395C4CC0" w14:textId="77777777" w:rsidR="08FF59F5" w:rsidRPr="003D1E07" w:rsidRDefault="08FF59F5" w:rsidP="08FF59F5">
      <w:pPr>
        <w:pStyle w:val="Literatura"/>
      </w:pPr>
      <w:r w:rsidRPr="003D1E07">
        <w:rPr>
          <w:color w:val="000000"/>
        </w:rPr>
        <w:t xml:space="preserve">Bonhoeffer, Dietrich (1970): </w:t>
      </w:r>
      <w:r w:rsidRPr="003D1E07">
        <w:rPr>
          <w:i/>
          <w:color w:val="000000"/>
        </w:rPr>
        <w:t>Widerstand und Ergebung</w:t>
      </w:r>
      <w:r w:rsidRPr="003D1E07">
        <w:rPr>
          <w:color w:val="000000"/>
        </w:rPr>
        <w:t xml:space="preserve">. Hrsg. von E. Bethge. München: </w:t>
      </w:r>
      <w:r w:rsidRPr="003D1E07">
        <w:t>GTB Siebenstern</w:t>
      </w:r>
      <w:r w:rsidRPr="003D1E07">
        <w:rPr>
          <w:color w:val="000000"/>
        </w:rPr>
        <w:t>.</w:t>
      </w:r>
    </w:p>
    <w:p w14:paraId="24F92616" w14:textId="77777777" w:rsidR="08FF59F5" w:rsidRPr="003D1E07" w:rsidRDefault="08FF59F5" w:rsidP="08FF59F5">
      <w:pPr>
        <w:pStyle w:val="Literatura"/>
        <w:rPr>
          <w:szCs w:val="22"/>
        </w:rPr>
      </w:pPr>
      <w:r w:rsidRPr="003D1E07">
        <w:rPr>
          <w:szCs w:val="22"/>
        </w:rPr>
        <w:t xml:space="preserve">Boehner, Philoteus (1945): "Ockham's Theory of Truth". </w:t>
      </w:r>
      <w:r w:rsidRPr="003D1E07">
        <w:rPr>
          <w:i/>
          <w:szCs w:val="22"/>
        </w:rPr>
        <w:t>Franciscan Studies</w:t>
      </w:r>
      <w:r w:rsidRPr="003D1E07">
        <w:rPr>
          <w:szCs w:val="22"/>
        </w:rPr>
        <w:t>, New Series 5 (no. 2): 138‒161.</w:t>
      </w:r>
    </w:p>
    <w:p w14:paraId="0536E6A6" w14:textId="77777777" w:rsidR="08FF59F5" w:rsidRPr="003D1E07" w:rsidRDefault="08FF59F5" w:rsidP="08FF59F5">
      <w:pPr>
        <w:pStyle w:val="Literatura"/>
        <w:rPr>
          <w:rStyle w:val="st"/>
        </w:rPr>
      </w:pPr>
      <w:r w:rsidRPr="003D1E07">
        <w:t xml:space="preserve">Boer, Sander de (2013): </w:t>
      </w:r>
      <w:r w:rsidRPr="003D1E07">
        <w:rPr>
          <w:i/>
          <w:iCs/>
        </w:rPr>
        <w:t xml:space="preserve">The Science of the Soul: The Commentary Tradition on Aristotle’s ‘De anima’, c. 1260–c. </w:t>
      </w:r>
      <w:r w:rsidRPr="003D1E07">
        <w:rPr>
          <w:i/>
          <w:iCs/>
        </w:rPr>
        <w:tab/>
        <w:t xml:space="preserve">1360. </w:t>
      </w:r>
      <w:r w:rsidRPr="003D1E07">
        <w:t>Leuven University Press.</w:t>
      </w:r>
    </w:p>
    <w:p w14:paraId="263B1AD0" w14:textId="77777777" w:rsidR="08FF59F5" w:rsidRPr="003D1E07" w:rsidRDefault="08FF59F5" w:rsidP="08FF59F5">
      <w:pPr>
        <w:pStyle w:val="Literatura"/>
        <w:rPr>
          <w:color w:val="000000"/>
        </w:rPr>
      </w:pPr>
      <w:r w:rsidRPr="003D1E07">
        <w:rPr>
          <w:color w:val="000000"/>
        </w:rPr>
        <w:t xml:space="preserve">Bormann, Karl (1982): "Wahrheitsbegriff und NOYΣ-Lehre bei Aristoteles und einigen seiner Kommentatoren". </w:t>
      </w:r>
      <w:r w:rsidRPr="003D1E07">
        <w:rPr>
          <w:color w:val="000000"/>
        </w:rPr>
        <w:tab/>
      </w:r>
      <w:r w:rsidRPr="003D1E07">
        <w:rPr>
          <w:i/>
          <w:color w:val="000000"/>
        </w:rPr>
        <w:t>Studien zur mittelalterlichen Geistesgeschichte und ihren Quellen</w:t>
      </w:r>
      <w:r w:rsidRPr="003D1E07">
        <w:rPr>
          <w:color w:val="000000"/>
        </w:rPr>
        <w:t xml:space="preserve">, edited by Albert Zimmermann, </w:t>
      </w:r>
      <w:r w:rsidRPr="003D1E07">
        <w:rPr>
          <w:color w:val="000000"/>
        </w:rPr>
        <w:tab/>
        <w:t xml:space="preserve">Miscellanea Mediaevalia 15, Berlin, 1982:1‒24.  </w:t>
      </w:r>
    </w:p>
    <w:p w14:paraId="59BC0A11" w14:textId="77777777" w:rsidR="00770CD2" w:rsidRDefault="00770CD2" w:rsidP="00770CD2">
      <w:pPr>
        <w:pStyle w:val="Literatura"/>
      </w:pPr>
      <w:r>
        <w:t xml:space="preserve">Bourdieu, Pierre (1984): </w:t>
      </w:r>
      <w:r w:rsidRPr="00606FE7">
        <w:rPr>
          <w:i/>
        </w:rPr>
        <w:t>Homo academicus</w:t>
      </w:r>
      <w:r>
        <w:t>. Paris: Les Édition de Minuit.</w:t>
      </w:r>
    </w:p>
    <w:p w14:paraId="1DDB0877" w14:textId="77777777" w:rsidR="00770CD2" w:rsidRPr="009A6AF5" w:rsidRDefault="00770CD2" w:rsidP="00770CD2">
      <w:pPr>
        <w:pStyle w:val="Literatura"/>
        <w:rPr>
          <w:noProof w:val="0"/>
          <w:lang w:val="en-US"/>
        </w:rPr>
      </w:pPr>
      <w:r w:rsidRPr="009A6AF5">
        <w:rPr>
          <w:noProof w:val="0"/>
          <w:lang w:val="en-US"/>
        </w:rPr>
        <w:t>Boulnois, Olivier</w:t>
      </w:r>
      <w:r>
        <w:rPr>
          <w:noProof w:val="0"/>
          <w:lang w:val="en-US"/>
        </w:rPr>
        <w:t xml:space="preserve"> (2007):</w:t>
      </w:r>
      <w:r w:rsidRPr="009A6AF5">
        <w:rPr>
          <w:noProof w:val="0"/>
          <w:lang w:val="en-US"/>
        </w:rPr>
        <w:t xml:space="preserve"> </w:t>
      </w:r>
      <w:r w:rsidRPr="009A6AF5">
        <w:rPr>
          <w:i/>
          <w:noProof w:val="0"/>
          <w:lang w:val="en-US"/>
        </w:rPr>
        <w:t>Généalogies du sujet. De saint Anselme à Malebranche</w:t>
      </w:r>
      <w:r>
        <w:rPr>
          <w:noProof w:val="0"/>
          <w:lang w:val="en-US"/>
        </w:rPr>
        <w:t>. Paris: J. Vrin</w:t>
      </w:r>
      <w:r w:rsidRPr="009A6AF5">
        <w:rPr>
          <w:noProof w:val="0"/>
          <w:lang w:val="en-US"/>
        </w:rPr>
        <w:t>.</w:t>
      </w:r>
    </w:p>
    <w:p w14:paraId="0ED64314" w14:textId="77777777" w:rsidR="08FF59F5" w:rsidRPr="003D1E07" w:rsidRDefault="08FF59F5" w:rsidP="08FF59F5">
      <w:pPr>
        <w:pStyle w:val="Literatura"/>
      </w:pPr>
      <w:bookmarkStart w:id="82" w:name="_GoBack"/>
      <w:bookmarkEnd w:id="82"/>
      <w:r w:rsidRPr="003D1E07">
        <w:t xml:space="preserve">Brentano, Lujo (1913): </w:t>
      </w:r>
      <w:r w:rsidRPr="003D1E07">
        <w:rPr>
          <w:i/>
        </w:rPr>
        <w:t>Die Anfänge des modernen Kapitalismus</w:t>
      </w:r>
      <w:r w:rsidRPr="003D1E07">
        <w:t xml:space="preserve">. München: Verlag der K. B. Akademie der </w:t>
      </w:r>
      <w:r w:rsidRPr="003D1E07">
        <w:rPr>
          <w:color w:val="000000"/>
        </w:rPr>
        <w:tab/>
      </w:r>
      <w:r w:rsidRPr="003D1E07">
        <w:t xml:space="preserve">Wissenschaften. </w:t>
      </w:r>
    </w:p>
    <w:p w14:paraId="4CD801A6" w14:textId="77777777" w:rsidR="08FF59F5" w:rsidRPr="003D1E07" w:rsidRDefault="08FF59F5" w:rsidP="08FF59F5">
      <w:pPr>
        <w:pStyle w:val="Literatura"/>
      </w:pPr>
      <w:r w:rsidRPr="003D1E07">
        <w:t xml:space="preserve">Buffon, Valeria Andrea. </w:t>
      </w:r>
      <w:r w:rsidRPr="003D1E07">
        <w:rPr>
          <w:i/>
        </w:rPr>
        <w:t>L'idéal éthique des maîtres ès arts de Paris vers 1250</w:t>
      </w:r>
      <w:r w:rsidRPr="003D1E07">
        <w:t xml:space="preserve">. Québec: Faculté philosophie </w:t>
      </w:r>
      <w:r w:rsidRPr="003D1E07">
        <w:tab/>
        <w:t>université Laval, 2007.</w:t>
      </w:r>
    </w:p>
    <w:p w14:paraId="15C41DAA" w14:textId="77777777" w:rsidR="08FF59F5" w:rsidRPr="003D1E07" w:rsidRDefault="08FF59F5" w:rsidP="08FF59F5">
      <w:pPr>
        <w:pStyle w:val="Literatura"/>
        <w:rPr>
          <w:szCs w:val="18"/>
        </w:rPr>
      </w:pPr>
      <w:r w:rsidRPr="003D1E07">
        <w:rPr>
          <w:szCs w:val="18"/>
        </w:rPr>
        <w:t xml:space="preserve">Callus, Daniel A. (1939): "Two early Oxford Masters on the Problem of Plurality of Forms. Adam of Buckfield — </w:t>
      </w:r>
      <w:r w:rsidRPr="003D1E07">
        <w:rPr>
          <w:szCs w:val="18"/>
        </w:rPr>
        <w:tab/>
        <w:t xml:space="preserve">Richard Rufus of Cornwall". </w:t>
      </w:r>
      <w:r w:rsidRPr="003D1E07">
        <w:rPr>
          <w:i/>
          <w:szCs w:val="18"/>
        </w:rPr>
        <w:t>Revue néo-scolastique de philosophie</w:t>
      </w:r>
      <w:r w:rsidRPr="003D1E07">
        <w:rPr>
          <w:szCs w:val="18"/>
        </w:rPr>
        <w:t xml:space="preserve"> 63: 411‒445.</w:t>
      </w:r>
    </w:p>
    <w:p w14:paraId="1FB2CCDD" w14:textId="77777777" w:rsidR="08FF59F5" w:rsidRPr="003D1E07" w:rsidRDefault="08FF59F5" w:rsidP="08FF59F5">
      <w:pPr>
        <w:pStyle w:val="Literatura"/>
        <w:rPr>
          <w:szCs w:val="18"/>
        </w:rPr>
      </w:pPr>
      <w:r w:rsidRPr="003D1E07">
        <w:t>‒</w:t>
      </w:r>
      <w:r w:rsidRPr="003D1E07">
        <w:rPr>
          <w:szCs w:val="18"/>
        </w:rPr>
        <w:t xml:space="preserve"> (1945): "</w:t>
      </w:r>
      <w:r w:rsidRPr="003D1E07">
        <w:t>The Oxford Career of Robert Grosseteste</w:t>
      </w:r>
      <w:r w:rsidRPr="003D1E07">
        <w:rPr>
          <w:szCs w:val="18"/>
        </w:rPr>
        <w:t>".</w:t>
      </w:r>
      <w:r w:rsidRPr="003D1E07">
        <w:t xml:space="preserve"> </w:t>
      </w:r>
      <w:r w:rsidRPr="003D1E07">
        <w:rPr>
          <w:i/>
        </w:rPr>
        <w:t>Oxoniensia</w:t>
      </w:r>
      <w:r w:rsidRPr="003D1E07">
        <w:t xml:space="preserve"> 10: 42</w:t>
      </w:r>
      <w:r w:rsidRPr="003D1E07">
        <w:rPr>
          <w:rFonts w:cs="Calibri"/>
        </w:rPr>
        <w:t>−</w:t>
      </w:r>
      <w:r w:rsidRPr="003D1E07">
        <w:t>72.</w:t>
      </w:r>
    </w:p>
    <w:p w14:paraId="296A066A" w14:textId="77777777" w:rsidR="08FF59F5" w:rsidRPr="003D1E07" w:rsidRDefault="08FF59F5" w:rsidP="08FF59F5">
      <w:pPr>
        <w:pStyle w:val="Literatura"/>
      </w:pPr>
      <w:r w:rsidRPr="003D1E07">
        <w:t xml:space="preserve">Carnap, Rudolf (1931): "Überwindung der Metaphysik durch logische Analyse der Sprache". </w:t>
      </w:r>
      <w:r w:rsidRPr="003D1E07">
        <w:rPr>
          <w:i/>
        </w:rPr>
        <w:t>Erkenntnis</w:t>
      </w:r>
      <w:r w:rsidRPr="003D1E07">
        <w:t xml:space="preserve"> 2: 219–</w:t>
      </w:r>
      <w:r w:rsidRPr="003D1E07">
        <w:tab/>
        <w:t>241.</w:t>
      </w:r>
    </w:p>
    <w:p w14:paraId="6384D8F6" w14:textId="77777777" w:rsidR="08FF59F5" w:rsidRPr="003D1E07" w:rsidRDefault="08FF59F5" w:rsidP="08FF59F5">
      <w:pPr>
        <w:pStyle w:val="Literatura"/>
      </w:pPr>
      <w:r w:rsidRPr="003D1E07">
        <w:t xml:space="preserve">Certeau, Michel (1975): </w:t>
      </w:r>
      <w:r w:rsidRPr="003D1E07">
        <w:rPr>
          <w:i/>
        </w:rPr>
        <w:t>L’Écriture de l’histoire</w:t>
      </w:r>
      <w:r w:rsidRPr="003D1E07">
        <w:t>. Paris: Gallimard.</w:t>
      </w:r>
    </w:p>
    <w:p w14:paraId="7A844801" w14:textId="77777777" w:rsidR="08FF59F5" w:rsidRPr="003D1E07" w:rsidRDefault="08FF59F5" w:rsidP="08FF59F5">
      <w:pPr>
        <w:pStyle w:val="Literatura"/>
      </w:pPr>
      <w:r w:rsidRPr="003D1E07">
        <w:t xml:space="preserve">Constable, Giles (1967): </w:t>
      </w:r>
      <w:r w:rsidRPr="003D1E07">
        <w:rPr>
          <w:i/>
        </w:rPr>
        <w:t>The letters of Peter the Venerable</w:t>
      </w:r>
      <w:r w:rsidRPr="003D1E07">
        <w:t>, Band 1, Harvard Univesity Press.</w:t>
      </w:r>
    </w:p>
    <w:p w14:paraId="3FCB4B1F" w14:textId="77777777" w:rsidR="005C4982" w:rsidRPr="003D1E07" w:rsidRDefault="005C4982" w:rsidP="005C4982">
      <w:pPr>
        <w:pStyle w:val="Literatura"/>
      </w:pPr>
      <w:r w:rsidRPr="003D1E07">
        <w:lastRenderedPageBreak/>
        <w:t xml:space="preserve">Corbin, Henry (1964): </w:t>
      </w:r>
      <w:r w:rsidRPr="003D1E07">
        <w:rPr>
          <w:rFonts w:cs="Calibri"/>
        </w:rPr>
        <w:t>"Mundus imaginalis ou l'imaginaire et l'imaginal."</w:t>
      </w:r>
      <w:r w:rsidRPr="003D1E07">
        <w:t xml:space="preserve"> </w:t>
      </w:r>
      <w:r w:rsidRPr="003D1E07">
        <w:rPr>
          <w:i/>
        </w:rPr>
        <w:t>Cahiers internationaux de symbolisme</w:t>
      </w:r>
      <w:r w:rsidRPr="003D1E07">
        <w:t xml:space="preserve"> </w:t>
      </w:r>
      <w:r w:rsidRPr="003D1E07">
        <w:tab/>
        <w:t>6: 3–26.</w:t>
      </w:r>
    </w:p>
    <w:p w14:paraId="750DA85E" w14:textId="77777777" w:rsidR="08FF59F5" w:rsidRPr="003D1E07" w:rsidRDefault="08FF59F5" w:rsidP="08FF59F5">
      <w:pPr>
        <w:pStyle w:val="Literatura"/>
      </w:pPr>
      <w:r w:rsidRPr="003D1E07">
        <w:t xml:space="preserve">Corbini, Amos (2013): "Robert Kilwardby and the Aristotelian Theory of Science". </w:t>
      </w:r>
      <w:r w:rsidRPr="003D1E07">
        <w:rPr>
          <w:i/>
        </w:rPr>
        <w:t xml:space="preserve">A Companion to the </w:t>
      </w:r>
      <w:r w:rsidRPr="003D1E07">
        <w:rPr>
          <w:i/>
        </w:rPr>
        <w:tab/>
        <w:t>Philosophy of Robert Kilwardby</w:t>
      </w:r>
      <w:r w:rsidRPr="003D1E07">
        <w:t>, edited by Henrik Lagergrund and Paul Thom, Brill, pp. 163‒207.</w:t>
      </w:r>
    </w:p>
    <w:p w14:paraId="280122A0" w14:textId="77777777" w:rsidR="08FF59F5" w:rsidRPr="003D1E07" w:rsidRDefault="08FF59F5" w:rsidP="08FF59F5">
      <w:pPr>
        <w:pStyle w:val="Literatura"/>
      </w:pPr>
      <w:r w:rsidRPr="003D1E07">
        <w:rPr>
          <w:szCs w:val="28"/>
        </w:rPr>
        <w:t>Courtenay, J. William</w:t>
      </w:r>
      <w:r w:rsidRPr="003D1E07">
        <w:t xml:space="preserve"> (1992): "Peter of Capua as a Nominalist". </w:t>
      </w:r>
      <w:r w:rsidRPr="003D1E07">
        <w:rPr>
          <w:i/>
        </w:rPr>
        <w:t>Vivarium</w:t>
      </w:r>
      <w:r w:rsidRPr="003D1E07">
        <w:t xml:space="preserve"> 30: 157‒172.</w:t>
      </w:r>
    </w:p>
    <w:p w14:paraId="4E9A0CFF" w14:textId="77777777" w:rsidR="08FF59F5" w:rsidRPr="003D1E07" w:rsidRDefault="08FF59F5" w:rsidP="08FF59F5">
      <w:pPr>
        <w:pStyle w:val="Literatura"/>
      </w:pPr>
      <w:r w:rsidRPr="003D1E07">
        <w:t xml:space="preserve">‒ (2008): </w:t>
      </w:r>
      <w:r w:rsidRPr="003D1E07">
        <w:rPr>
          <w:i/>
          <w:szCs w:val="60"/>
        </w:rPr>
        <w:t>Ockham and Ockhamism</w:t>
      </w:r>
      <w:r w:rsidRPr="003D1E07">
        <w:rPr>
          <w:i/>
        </w:rPr>
        <w:t xml:space="preserve">. </w:t>
      </w:r>
      <w:r w:rsidRPr="003D1E07">
        <w:rPr>
          <w:i/>
          <w:szCs w:val="32"/>
        </w:rPr>
        <w:t>Studies in the Dissemination and Impact of His Thought</w:t>
      </w:r>
      <w:r w:rsidRPr="003D1E07">
        <w:rPr>
          <w:szCs w:val="32"/>
        </w:rPr>
        <w:t xml:space="preserve">. </w:t>
      </w:r>
      <w:r w:rsidRPr="003D1E07">
        <w:rPr>
          <w:szCs w:val="18"/>
        </w:rPr>
        <w:t xml:space="preserve">Leiden: Brill. </w:t>
      </w:r>
    </w:p>
    <w:p w14:paraId="06F1674F" w14:textId="77777777" w:rsidR="08FF59F5" w:rsidRPr="003D1E07" w:rsidRDefault="08FF59F5" w:rsidP="08FF59F5">
      <w:pPr>
        <w:pStyle w:val="Literatura"/>
      </w:pPr>
      <w:r w:rsidRPr="003D1E07">
        <w:t xml:space="preserve">Courtine,  Jean-François (1990): </w:t>
      </w:r>
      <w:r w:rsidRPr="003D1E07">
        <w:rPr>
          <w:i/>
        </w:rPr>
        <w:t>Suarez et le système de la métaphysique</w:t>
      </w:r>
      <w:r w:rsidRPr="003D1E07">
        <w:t xml:space="preserve">. Paris: Presses Universitaires de </w:t>
      </w:r>
      <w:r w:rsidRPr="003D1E07">
        <w:tab/>
        <w:t>France.</w:t>
      </w:r>
    </w:p>
    <w:p w14:paraId="7614FEEA" w14:textId="77777777" w:rsidR="08FF59F5" w:rsidRPr="003D1E07" w:rsidRDefault="08FF59F5" w:rsidP="08FF59F5">
      <w:pPr>
        <w:pStyle w:val="Literatura"/>
      </w:pPr>
      <w:r w:rsidRPr="003D1E07">
        <w:t xml:space="preserve">Crone, Patricia (2004): </w:t>
      </w:r>
      <w:r w:rsidRPr="003D1E07">
        <w:rPr>
          <w:i/>
        </w:rPr>
        <w:t>God's Rule. Government and Islam</w:t>
      </w:r>
      <w:r w:rsidRPr="003D1E07">
        <w:t>. New York: Columbia University Press.</w:t>
      </w:r>
    </w:p>
    <w:p w14:paraId="1E844036" w14:textId="77777777" w:rsidR="08FF59F5" w:rsidRPr="003D1E07" w:rsidRDefault="08FF59F5" w:rsidP="08FF59F5">
      <w:pPr>
        <w:pStyle w:val="Literatura"/>
      </w:pPr>
      <w:r w:rsidRPr="003D1E07">
        <w:t xml:space="preserve">Dante Alighieri (1997‒1999): </w:t>
      </w:r>
      <w:r w:rsidRPr="003D1E07">
        <w:rPr>
          <w:i/>
        </w:rPr>
        <w:t>La Comedìa.</w:t>
      </w:r>
      <w:r w:rsidRPr="003D1E07">
        <w:rPr>
          <w:b/>
          <w:bCs/>
          <w:i/>
          <w:iCs/>
        </w:rPr>
        <w:t xml:space="preserve"> </w:t>
      </w:r>
      <w:r w:rsidRPr="003D1E07">
        <w:t xml:space="preserve">The Princeton Dante project. The Trustees of Princeton University </w:t>
      </w:r>
      <w:r w:rsidRPr="003D1E07">
        <w:rPr>
          <w:szCs w:val="18"/>
        </w:rPr>
        <w:tab/>
      </w:r>
      <w:r w:rsidRPr="003D1E07">
        <w:t>and Prof. Robert Hollander.</w:t>
      </w:r>
    </w:p>
    <w:p w14:paraId="52A00BFE" w14:textId="77777777" w:rsidR="08FF59F5" w:rsidRPr="003D1E07" w:rsidRDefault="08FF59F5" w:rsidP="08FF59F5">
      <w:pPr>
        <w:pStyle w:val="Literatura"/>
      </w:pPr>
      <w:r w:rsidRPr="003D1E07">
        <w:t xml:space="preserve">‒ (1965): </w:t>
      </w:r>
      <w:r w:rsidRPr="003D1E07">
        <w:rPr>
          <w:i/>
        </w:rPr>
        <w:t>Monarchia. Le opere di Dante Alighieri</w:t>
      </w:r>
      <w:r w:rsidRPr="003D1E07">
        <w:t xml:space="preserve"> V, edited by P. G. Ricci, Milano: Mondadori.</w:t>
      </w:r>
    </w:p>
    <w:p w14:paraId="60F8E7D6" w14:textId="77777777" w:rsidR="08FF59F5" w:rsidRPr="003D1E07" w:rsidRDefault="08FF59F5" w:rsidP="08FF59F5">
      <w:pPr>
        <w:pStyle w:val="Literatura"/>
      </w:pPr>
      <w:r w:rsidRPr="003D1E07">
        <w:t xml:space="preserve">D'Ancona, Cristina (1998): "Al-Kindī on the Subject-Matter of the First Philosophy. Direct and Indirect Sources </w:t>
      </w:r>
      <w:r w:rsidRPr="003D1E07">
        <w:tab/>
        <w:t xml:space="preserve">of Falsafa al-ūlā, Chaper One." </w:t>
      </w:r>
      <w:r w:rsidRPr="003D1E07">
        <w:rPr>
          <w:i/>
          <w:iCs/>
        </w:rPr>
        <w:t xml:space="preserve">Was ist Philosophie im Mittelalter, </w:t>
      </w:r>
      <w:r w:rsidRPr="003D1E07">
        <w:rPr>
          <w:iCs/>
        </w:rPr>
        <w:t xml:space="preserve">edited by </w:t>
      </w:r>
      <w:r w:rsidRPr="003D1E07">
        <w:t xml:space="preserve">J. A. Aertsen and A. Speer, </w:t>
      </w:r>
      <w:r w:rsidRPr="003D1E07">
        <w:tab/>
        <w:t>Miscellanea Mediaevalia 26, Berlin-New York: Walter de Gruyter, pp. 841–855.</w:t>
      </w:r>
    </w:p>
    <w:p w14:paraId="47E2F168" w14:textId="77777777" w:rsidR="08FF59F5" w:rsidRPr="003D1E07" w:rsidRDefault="08FF59F5" w:rsidP="08FF59F5">
      <w:pPr>
        <w:pStyle w:val="Literatura"/>
      </w:pPr>
      <w:r w:rsidRPr="003D1E07">
        <w:t xml:space="preserve">‒ (2008): "Degrees of Abstraction in Avicenna". </w:t>
      </w:r>
      <w:r w:rsidRPr="003D1E07">
        <w:rPr>
          <w:i/>
        </w:rPr>
        <w:t xml:space="preserve">Theories of Perception in Medieval and Early Modern </w:t>
      </w:r>
      <w:r w:rsidRPr="003D1E07">
        <w:rPr>
          <w:i/>
        </w:rPr>
        <w:tab/>
        <w:t>Philosophy</w:t>
      </w:r>
      <w:r w:rsidRPr="003D1E07">
        <w:t xml:space="preserve">, edited by Simo Knuuttila and Pekka Kärkkäinen, Studies in the History of Philosophy of </w:t>
      </w:r>
      <w:r w:rsidRPr="003D1E07">
        <w:rPr>
          <w:i/>
        </w:rPr>
        <w:tab/>
      </w:r>
      <w:r w:rsidRPr="003D1E07">
        <w:t xml:space="preserve">Mind 6, pp. 47‒71. </w:t>
      </w:r>
    </w:p>
    <w:p w14:paraId="6853F580" w14:textId="77777777" w:rsidR="08FF59F5" w:rsidRPr="003D1E07" w:rsidRDefault="08FF59F5" w:rsidP="08FF59F5">
      <w:pPr>
        <w:pStyle w:val="Literatura"/>
      </w:pPr>
      <w:r w:rsidRPr="003D1E07">
        <w:t>Dales, C. Richard (1987): "</w:t>
      </w:r>
      <w:r w:rsidRPr="003D1E07">
        <w:rPr>
          <w:szCs w:val="24"/>
        </w:rPr>
        <w:t xml:space="preserve">Early Latin Discussions of the Eternity of the World in the Thirteenth Century". </w:t>
      </w:r>
      <w:r w:rsidRPr="003D1E07">
        <w:rPr>
          <w:szCs w:val="24"/>
        </w:rPr>
        <w:tab/>
      </w:r>
      <w:r w:rsidRPr="003D1E07">
        <w:rPr>
          <w:i/>
          <w:szCs w:val="22"/>
        </w:rPr>
        <w:t>Traditio</w:t>
      </w:r>
      <w:r w:rsidRPr="003D1E07">
        <w:rPr>
          <w:szCs w:val="22"/>
        </w:rPr>
        <w:t xml:space="preserve"> 43: 171‒197.</w:t>
      </w:r>
    </w:p>
    <w:p w14:paraId="77FE1DB7" w14:textId="77777777" w:rsidR="08FF59F5" w:rsidRPr="003D1E07" w:rsidRDefault="08FF59F5" w:rsidP="08FF59F5">
      <w:pPr>
        <w:pStyle w:val="Literatura"/>
      </w:pPr>
      <w:r w:rsidRPr="003D1E07">
        <w:t xml:space="preserve">‒ (1995): </w:t>
      </w:r>
      <w:r w:rsidRPr="003D1E07">
        <w:rPr>
          <w:i/>
        </w:rPr>
        <w:t>The Problem of the Rational Soul in the Thirteenth Century</w:t>
      </w:r>
      <w:r w:rsidRPr="003D1E07">
        <w:t>. Leiden: E. J. Brill.</w:t>
      </w:r>
    </w:p>
    <w:p w14:paraId="6AC6FD19" w14:textId="77777777" w:rsidR="08FF59F5" w:rsidRPr="003D1E07" w:rsidRDefault="08FF59F5" w:rsidP="08FF59F5">
      <w:pPr>
        <w:pStyle w:val="Literatura"/>
      </w:pPr>
      <w:r w:rsidRPr="003D1E07">
        <w:rPr>
          <w:szCs w:val="22"/>
        </w:rPr>
        <w:t xml:space="preserve">David de Dinant (2003): Sur le fragment &lt;Hyle, Mens, Deus&gt; des Quaternuli. Edited by Tristan Dagron. </w:t>
      </w:r>
      <w:r w:rsidRPr="003D1E07">
        <w:rPr>
          <w:i/>
          <w:szCs w:val="22"/>
        </w:rPr>
        <w:t xml:space="preserve">Revue de </w:t>
      </w:r>
      <w:r w:rsidRPr="003D1E07">
        <w:rPr>
          <w:i/>
          <w:szCs w:val="22"/>
        </w:rPr>
        <w:tab/>
        <w:t>Métaphysique et de Morale</w:t>
      </w:r>
      <w:r w:rsidRPr="003D1E07">
        <w:rPr>
          <w:szCs w:val="22"/>
        </w:rPr>
        <w:t xml:space="preserve"> 4: 419‒436.</w:t>
      </w:r>
      <w:r w:rsidRPr="003D1E07">
        <w:t xml:space="preserve"> </w:t>
      </w:r>
    </w:p>
    <w:p w14:paraId="6EE89F97" w14:textId="77777777" w:rsidR="08FF59F5" w:rsidRPr="003D1E07" w:rsidRDefault="08FF59F5" w:rsidP="08FF59F5">
      <w:pPr>
        <w:pStyle w:val="Literatura"/>
      </w:pPr>
      <w:r w:rsidRPr="003D1E07">
        <w:t xml:space="preserve">Davidson, A. Herbert (1992): </w:t>
      </w:r>
      <w:r w:rsidRPr="003D1E07">
        <w:rPr>
          <w:i/>
        </w:rPr>
        <w:t>Alfarabi, Avicenna, and Averroes, on Intellect</w:t>
      </w:r>
      <w:r w:rsidRPr="003D1E07">
        <w:t>. Oxford University Press.</w:t>
      </w:r>
    </w:p>
    <w:p w14:paraId="6D3F5944" w14:textId="77777777" w:rsidR="08FF59F5" w:rsidRPr="003D1E07" w:rsidRDefault="08FF59F5" w:rsidP="08FF59F5">
      <w:pPr>
        <w:pStyle w:val="Literatura"/>
        <w:rPr>
          <w:rStyle w:val="Podtitul1"/>
        </w:rPr>
      </w:pPr>
      <w:r w:rsidRPr="003D1E07">
        <w:t xml:space="preserve">De Haas, Frans A. J. (1977): </w:t>
      </w:r>
      <w:r w:rsidRPr="003D1E07">
        <w:rPr>
          <w:rStyle w:val="fn"/>
          <w:i/>
        </w:rPr>
        <w:t>John Philoponus' New Definition of Prime Matter</w:t>
      </w:r>
      <w:r w:rsidRPr="003D1E07">
        <w:rPr>
          <w:i/>
        </w:rPr>
        <w:t xml:space="preserve">: </w:t>
      </w:r>
      <w:r w:rsidRPr="003D1E07">
        <w:rPr>
          <w:rStyle w:val="Podtitul1"/>
          <w:i/>
        </w:rPr>
        <w:t xml:space="preserve">Aspects of Its Background in </w:t>
      </w:r>
      <w:r w:rsidRPr="003D1E07">
        <w:rPr>
          <w:rStyle w:val="Podtitul1"/>
          <w:i/>
        </w:rPr>
        <w:tab/>
        <w:t>Neoplatonism and the Ancient Commentary Tradition</w:t>
      </w:r>
      <w:r w:rsidRPr="003D1E07">
        <w:rPr>
          <w:rStyle w:val="Podtitul1"/>
        </w:rPr>
        <w:t>. Leiden: Brill.</w:t>
      </w:r>
    </w:p>
    <w:p w14:paraId="325077D2" w14:textId="77777777" w:rsidR="08FF59F5" w:rsidRPr="003D1E07" w:rsidRDefault="08FF59F5" w:rsidP="08FF59F5">
      <w:pPr>
        <w:pStyle w:val="Literatura"/>
      </w:pPr>
      <w:r w:rsidRPr="003D1E07">
        <w:t xml:space="preserve">De Vaux, Roland (1933): "La première entrée d'Averroès chez les Latins". </w:t>
      </w:r>
      <w:r w:rsidRPr="003D1E07">
        <w:rPr>
          <w:i/>
        </w:rPr>
        <w:t xml:space="preserve">Revue des Sciences philosophiques et </w:t>
      </w:r>
      <w:r w:rsidRPr="003D1E07">
        <w:rPr>
          <w:i/>
        </w:rPr>
        <w:tab/>
        <w:t xml:space="preserve">théologiques </w:t>
      </w:r>
      <w:r w:rsidRPr="003D1E07">
        <w:t>XXII, pp. 193–245.</w:t>
      </w:r>
    </w:p>
    <w:p w14:paraId="54117F57" w14:textId="77777777" w:rsidR="08FF59F5" w:rsidRPr="003D1E07" w:rsidRDefault="08FF59F5" w:rsidP="08FF59F5">
      <w:pPr>
        <w:pStyle w:val="Literatura"/>
      </w:pPr>
      <w:r w:rsidRPr="003D1E07">
        <w:t xml:space="preserve">‒ (1934): </w:t>
      </w:r>
      <w:r w:rsidRPr="003D1E07">
        <w:rPr>
          <w:i/>
        </w:rPr>
        <w:t>Notes et textes sur l’Avicennisme latin aux confins des Xlle–Xllle siècles</w:t>
      </w:r>
      <w:r w:rsidRPr="003D1E07">
        <w:t>. Paris: J. Vrin.</w:t>
      </w:r>
    </w:p>
    <w:p w14:paraId="3E4F1475" w14:textId="77777777" w:rsidR="08FF59F5" w:rsidRPr="003D1E07" w:rsidRDefault="08FF59F5" w:rsidP="08FF59F5">
      <w:pPr>
        <w:pStyle w:val="Literatura"/>
      </w:pPr>
      <w:r w:rsidRPr="003D1E07">
        <w:t xml:space="preserve">Decorte, Jos (2002): "Avicenna's Ontology of Relation: a Source of Inspiration to Henry of Ghent". </w:t>
      </w:r>
      <w:r w:rsidRPr="003D1E07">
        <w:rPr>
          <w:i/>
        </w:rPr>
        <w:t xml:space="preserve">Avicenna and </w:t>
      </w:r>
      <w:r w:rsidRPr="003D1E07">
        <w:rPr>
          <w:i/>
        </w:rPr>
        <w:tab/>
        <w:t xml:space="preserve">his Heritage. Acts of the International Colloquium Leuven – Louvain-la-Neuve (September 8-September </w:t>
      </w:r>
      <w:r w:rsidRPr="003D1E07">
        <w:rPr>
          <w:i/>
        </w:rPr>
        <w:tab/>
        <w:t xml:space="preserve">11, </w:t>
      </w:r>
      <w:r w:rsidRPr="003D1E07">
        <w:rPr>
          <w:rStyle w:val="st"/>
        </w:rPr>
        <w:tab/>
      </w:r>
      <w:r w:rsidRPr="003D1E07">
        <w:rPr>
          <w:i/>
        </w:rPr>
        <w:t>1999)</w:t>
      </w:r>
      <w:r w:rsidRPr="003D1E07">
        <w:t>, edited by Jules Janssens and Daniël de Smet, Leuven: Leuven University Press, pp. 197‒224.</w:t>
      </w:r>
    </w:p>
    <w:p w14:paraId="7AD09CE6" w14:textId="77777777" w:rsidR="08FF59F5" w:rsidRPr="003D1E07" w:rsidRDefault="08FF59F5" w:rsidP="08FF59F5">
      <w:pPr>
        <w:pStyle w:val="Literatura"/>
      </w:pPr>
      <w:r w:rsidRPr="003D1E07">
        <w:t xml:space="preserve">Derrida, Jacques (1967): </w:t>
      </w:r>
      <w:r w:rsidRPr="003D1E07">
        <w:rPr>
          <w:i/>
        </w:rPr>
        <w:t>Écriture et différance</w:t>
      </w:r>
      <w:r w:rsidRPr="003D1E07">
        <w:t>. Paris, Éditions du Seuil.</w:t>
      </w:r>
    </w:p>
    <w:p w14:paraId="30201FF0" w14:textId="77777777" w:rsidR="08FF59F5" w:rsidRPr="003D1E07" w:rsidRDefault="08FF59F5" w:rsidP="08FF59F5">
      <w:pPr>
        <w:pStyle w:val="Literatura"/>
      </w:pPr>
      <w:r w:rsidRPr="003D1E07">
        <w:t xml:space="preserve">Destrez, Jean (1930): </w:t>
      </w:r>
      <w:r w:rsidRPr="003D1E07">
        <w:rPr>
          <w:i/>
        </w:rPr>
        <w:t xml:space="preserve">La lettre de Saint Thomas d'Aquin dite lettre au lecteur de Venise d'après la tradition </w:t>
      </w:r>
      <w:r w:rsidRPr="003D1E07">
        <w:rPr>
          <w:i/>
        </w:rPr>
        <w:tab/>
        <w:t>manuscrite</w:t>
      </w:r>
      <w:r w:rsidRPr="003D1E07">
        <w:t>. Paris: Vrin.</w:t>
      </w:r>
    </w:p>
    <w:p w14:paraId="5B7601BE" w14:textId="77777777" w:rsidR="08FF59F5" w:rsidRPr="003D1E07" w:rsidRDefault="08FF59F5" w:rsidP="08FF59F5">
      <w:pPr>
        <w:pStyle w:val="Literatura"/>
      </w:pPr>
      <w:r w:rsidRPr="003D1E07">
        <w:t xml:space="preserve">Detienne, Marcel (1967): </w:t>
      </w:r>
      <w:r w:rsidRPr="003D1E07">
        <w:rPr>
          <w:i/>
          <w:iCs/>
        </w:rPr>
        <w:t>Les maîtres de vérité dans la Grèce archaïque</w:t>
      </w:r>
      <w:r w:rsidRPr="003D1E07">
        <w:t>. Paris: François Maspero.</w:t>
      </w:r>
    </w:p>
    <w:p w14:paraId="592DC1C5" w14:textId="77777777" w:rsidR="08FF59F5" w:rsidRPr="003D1E07" w:rsidRDefault="08FF59F5" w:rsidP="08FF59F5">
      <w:pPr>
        <w:pStyle w:val="Literatura"/>
        <w:rPr>
          <w:rStyle w:val="st"/>
        </w:rPr>
      </w:pPr>
      <w:r w:rsidRPr="003D1E07">
        <w:t>‒</w:t>
      </w:r>
      <w:r w:rsidRPr="003D1E07">
        <w:rPr>
          <w:rFonts w:cs="Calibri"/>
        </w:rPr>
        <w:t xml:space="preserve"> (1998): </w:t>
      </w:r>
      <w:r w:rsidRPr="003D1E07">
        <w:rPr>
          <w:rFonts w:cs="Calibri"/>
          <w:i/>
        </w:rPr>
        <w:t>Apollon le coutaux à la main</w:t>
      </w:r>
      <w:r w:rsidRPr="003D1E07">
        <w:rPr>
          <w:rFonts w:cs="Calibri"/>
        </w:rPr>
        <w:t>. Paris: Gallimard.</w:t>
      </w:r>
    </w:p>
    <w:p w14:paraId="4B6F840C" w14:textId="77777777" w:rsidR="08FF59F5" w:rsidRPr="003D1E07" w:rsidRDefault="08FF59F5" w:rsidP="08FF59F5">
      <w:pPr>
        <w:pStyle w:val="Literatura"/>
      </w:pPr>
      <w:r w:rsidRPr="003D1E07">
        <w:t xml:space="preserve">Diels, Hermann (1951/52). </w:t>
      </w:r>
      <w:r w:rsidRPr="003D1E07">
        <w:rPr>
          <w:i/>
          <w:iCs/>
        </w:rPr>
        <w:t>Die Fragmente der Vorsokratiker I-III</w:t>
      </w:r>
      <w:r w:rsidRPr="003D1E07">
        <w:t xml:space="preserve">. </w:t>
      </w:r>
      <w:r w:rsidRPr="003D1E07">
        <w:rPr>
          <w:i/>
        </w:rPr>
        <w:t>Herausgegeben von Walter Kranz</w:t>
      </w:r>
      <w:r w:rsidRPr="003D1E07">
        <w:t xml:space="preserve">. Curych: </w:t>
      </w:r>
      <w:r w:rsidRPr="003D1E07">
        <w:tab/>
        <w:t>Weidmann.</w:t>
      </w:r>
    </w:p>
    <w:p w14:paraId="1029A644" w14:textId="77777777" w:rsidR="08FF59F5" w:rsidRPr="003D1E07" w:rsidRDefault="08FF59F5" w:rsidP="08FF59F5">
      <w:pPr>
        <w:pStyle w:val="Literatura"/>
      </w:pPr>
      <w:r w:rsidRPr="003D1E07">
        <w:rPr>
          <w:rStyle w:val="st"/>
        </w:rPr>
        <w:t>Di Giovanni, Matteo (2004): "</w:t>
      </w:r>
      <w:r w:rsidRPr="003D1E07">
        <w:rPr>
          <w:rStyle w:val="st"/>
          <w:bCs/>
        </w:rPr>
        <w:t xml:space="preserve">Averroes on the Doctrine of Genus as Matter". </w:t>
      </w:r>
      <w:r w:rsidRPr="003D1E07">
        <w:rPr>
          <w:rStyle w:val="st"/>
          <w:i/>
        </w:rPr>
        <w:t xml:space="preserve">Documenti e Studi sulla Tradizione </w:t>
      </w:r>
      <w:r w:rsidRPr="003D1E07">
        <w:rPr>
          <w:rStyle w:val="st"/>
          <w:i/>
        </w:rPr>
        <w:tab/>
        <w:t xml:space="preserve">Filosofica Medievale </w:t>
      </w:r>
      <w:r w:rsidRPr="003D1E07">
        <w:rPr>
          <w:rStyle w:val="st"/>
        </w:rPr>
        <w:t>15: 255‒285.</w:t>
      </w:r>
    </w:p>
    <w:p w14:paraId="28DC3361" w14:textId="77777777" w:rsidR="08FF59F5" w:rsidRPr="003D1E07" w:rsidRDefault="08FF59F5" w:rsidP="08FF59F5">
      <w:pPr>
        <w:pStyle w:val="Literatura"/>
      </w:pPr>
      <w:r w:rsidRPr="003D1E07">
        <w:t xml:space="preserve">Druart, </w:t>
      </w:r>
      <w:r w:rsidRPr="003D1E07">
        <w:rPr>
          <w:rStyle w:val="st"/>
        </w:rPr>
        <w:t>Thérèse-Anne (1988): "</w:t>
      </w:r>
      <w:r w:rsidRPr="003D1E07">
        <w:t>The Soul-Body Problem: Avicenna and Descartes".</w:t>
      </w:r>
      <w:r w:rsidRPr="003D1E07">
        <w:rPr>
          <w:i/>
        </w:rPr>
        <w:t xml:space="preserve"> Arabic Philosophy and the </w:t>
      </w:r>
      <w:r w:rsidRPr="003D1E07">
        <w:rPr>
          <w:i/>
        </w:rPr>
        <w:tab/>
        <w:t>West: Continuity and Interaction</w:t>
      </w:r>
      <w:r w:rsidRPr="003D1E07">
        <w:t xml:space="preserve">, edited by </w:t>
      </w:r>
      <w:r w:rsidRPr="003D1E07">
        <w:rPr>
          <w:rStyle w:val="st"/>
        </w:rPr>
        <w:t>Thérèse-Anne</w:t>
      </w:r>
      <w:r w:rsidRPr="003D1E07">
        <w:t xml:space="preserve"> Druart, Washington, D.C.: Center for </w:t>
      </w:r>
      <w:r w:rsidRPr="003D1E07">
        <w:tab/>
        <w:t xml:space="preserve">Contemporary Arab Studies, Georgetown University, pp. 27–49. </w:t>
      </w:r>
    </w:p>
    <w:p w14:paraId="22ABDE51" w14:textId="77777777" w:rsidR="08FF59F5" w:rsidRPr="003D1E07" w:rsidRDefault="08FF59F5" w:rsidP="08FF59F5">
      <w:pPr>
        <w:pStyle w:val="Literatura"/>
      </w:pPr>
      <w:r w:rsidRPr="003D1E07">
        <w:rPr>
          <w:szCs w:val="24"/>
        </w:rPr>
        <w:t xml:space="preserve">Easton, C. Stewart (1971): </w:t>
      </w:r>
      <w:r w:rsidRPr="003D1E07">
        <w:rPr>
          <w:i/>
          <w:szCs w:val="24"/>
        </w:rPr>
        <w:t>Roger Bacon and His Search For a Universal Science</w:t>
      </w:r>
      <w:r w:rsidRPr="003D1E07">
        <w:rPr>
          <w:szCs w:val="24"/>
        </w:rPr>
        <w:t>. New York: Russell and Russell.</w:t>
      </w:r>
    </w:p>
    <w:p w14:paraId="367C873E" w14:textId="77777777" w:rsidR="08FF59F5" w:rsidRPr="003D1E07" w:rsidRDefault="08FF59F5" w:rsidP="08FF59F5">
      <w:pPr>
        <w:pStyle w:val="Literatura"/>
      </w:pPr>
      <w:r w:rsidRPr="003D1E07">
        <w:t xml:space="preserve">Ebbesen, Sten (1979): "The Dead Man is Alive". </w:t>
      </w:r>
      <w:r w:rsidRPr="003D1E07">
        <w:rPr>
          <w:i/>
        </w:rPr>
        <w:t>Synthese</w:t>
      </w:r>
      <w:r w:rsidRPr="003D1E07">
        <w:t xml:space="preserve"> 40: 43‒70.</w:t>
      </w:r>
    </w:p>
    <w:p w14:paraId="625D29BE" w14:textId="77777777" w:rsidR="08FF59F5" w:rsidRPr="003D1E07" w:rsidRDefault="08FF59F5" w:rsidP="08FF59F5">
      <w:pPr>
        <w:pStyle w:val="Literatura"/>
      </w:pPr>
      <w:r w:rsidRPr="003D1E07">
        <w:t xml:space="preserve">‒ (1986): "The Chimera's diary“. </w:t>
      </w:r>
      <w:r w:rsidRPr="003D1E07">
        <w:rPr>
          <w:i/>
        </w:rPr>
        <w:t>The Logic of Being</w:t>
      </w:r>
      <w:r w:rsidRPr="003D1E07">
        <w:t xml:space="preserve">, edited by Simo Knuuttila, Hingham: Kluwer Academic </w:t>
      </w:r>
      <w:r w:rsidRPr="003D1E07">
        <w:tab/>
        <w:t>Publishers, pp. 115‒143.</w:t>
      </w:r>
    </w:p>
    <w:p w14:paraId="2B173E28" w14:textId="77777777" w:rsidR="08FF59F5" w:rsidRPr="003D1E07" w:rsidRDefault="08FF59F5" w:rsidP="08FF59F5">
      <w:pPr>
        <w:pStyle w:val="Literatura"/>
      </w:pPr>
      <w:r w:rsidRPr="003D1E07">
        <w:t xml:space="preserve">‒ (2009): </w:t>
      </w:r>
      <w:r w:rsidRPr="003D1E07">
        <w:rPr>
          <w:i/>
        </w:rPr>
        <w:t>Topics in Latin Philosophy from the 12th–14th centuries</w:t>
      </w:r>
      <w:r w:rsidRPr="003D1E07">
        <w:t>. Farnham: Ashgate Publishing Limited.</w:t>
      </w:r>
    </w:p>
    <w:p w14:paraId="35B86018" w14:textId="77777777" w:rsidR="08FF59F5" w:rsidRPr="003D1E07" w:rsidRDefault="08FF59F5" w:rsidP="08FF59F5">
      <w:pPr>
        <w:pStyle w:val="Literatura"/>
      </w:pPr>
      <w:r w:rsidRPr="003D1E07">
        <w:lastRenderedPageBreak/>
        <w:t xml:space="preserve">‒ (2010): "The Prior Analytics in the Latin West: 12th-13th Centuries". </w:t>
      </w:r>
      <w:r w:rsidRPr="003D1E07">
        <w:rPr>
          <w:i/>
        </w:rPr>
        <w:t>Vivarium</w:t>
      </w:r>
      <w:r w:rsidRPr="003D1E07">
        <w:t xml:space="preserve"> 48: 96‒133.</w:t>
      </w:r>
    </w:p>
    <w:p w14:paraId="7D4B5135" w14:textId="77777777" w:rsidR="08FF59F5" w:rsidRPr="003D1E07" w:rsidRDefault="08FF59F5" w:rsidP="08FF59F5">
      <w:pPr>
        <w:pStyle w:val="Literatura"/>
        <w:rPr>
          <w:b/>
        </w:rPr>
      </w:pPr>
      <w:r w:rsidRPr="003D1E07">
        <w:rPr>
          <w:rStyle w:val="addmd"/>
        </w:rPr>
        <w:t xml:space="preserve">Evangeliou, Christos (1988): </w:t>
      </w:r>
      <w:r w:rsidRPr="003D1E07">
        <w:rPr>
          <w:i/>
        </w:rPr>
        <w:t>Aristotle's Categories and Porphyry</w:t>
      </w:r>
      <w:r w:rsidRPr="003D1E07">
        <w:t>. Leiden: Brill, 1988.</w:t>
      </w:r>
    </w:p>
    <w:p w14:paraId="4D774BF3" w14:textId="77777777" w:rsidR="08FF59F5" w:rsidRPr="003D1E07" w:rsidRDefault="08FF59F5" w:rsidP="08FF59F5">
      <w:pPr>
        <w:pStyle w:val="Literatura"/>
      </w:pPr>
      <w:r w:rsidRPr="003D1E07">
        <w:t xml:space="preserve">Evans, Edward Payson (1906): </w:t>
      </w:r>
      <w:r w:rsidRPr="003D1E07">
        <w:rPr>
          <w:i/>
        </w:rPr>
        <w:t>The criminal prosecution and capital punishment of animals</w:t>
      </w:r>
      <w:r w:rsidRPr="003D1E07">
        <w:t xml:space="preserve">. London: W. </w:t>
      </w:r>
      <w:r w:rsidRPr="003D1E07">
        <w:tab/>
        <w:t>Heinemann.</w:t>
      </w:r>
    </w:p>
    <w:p w14:paraId="74A9801E" w14:textId="77777777" w:rsidR="08FF59F5" w:rsidRPr="003D1E07" w:rsidRDefault="08FF59F5" w:rsidP="08FF59F5">
      <w:pPr>
        <w:pStyle w:val="Literatura"/>
      </w:pPr>
      <w:r w:rsidRPr="003D1E07">
        <w:t xml:space="preserve">Everard of Ypres (1953): </w:t>
      </w:r>
      <w:r w:rsidRPr="003D1E07">
        <w:rPr>
          <w:i/>
        </w:rPr>
        <w:t>Dialogus Ratii et Everardi</w:t>
      </w:r>
      <w:r w:rsidRPr="003D1E07">
        <w:t xml:space="preserve">, edited by N. M. Häring, </w:t>
      </w:r>
      <w:r w:rsidRPr="003D1E07">
        <w:rPr>
          <w:i/>
        </w:rPr>
        <w:t>Mediaeval Studies</w:t>
      </w:r>
      <w:r w:rsidRPr="003D1E07">
        <w:t xml:space="preserve"> 15: 243‒289.</w:t>
      </w:r>
    </w:p>
    <w:p w14:paraId="25A4ECBF" w14:textId="77777777" w:rsidR="08FF59F5" w:rsidRPr="003D1E07" w:rsidRDefault="08FF59F5" w:rsidP="08FF59F5">
      <w:pPr>
        <w:pStyle w:val="Literatura"/>
      </w:pPr>
      <w:r w:rsidRPr="003D1E07">
        <w:t xml:space="preserve">Fakhry, Majid (2001): Averroes: His Life, Works, and Influence. </w:t>
      </w:r>
      <w:r w:rsidRPr="003D1E07">
        <w:rPr>
          <w:szCs w:val="28"/>
        </w:rPr>
        <w:t>Oxford: Great Islamic Thinkers.</w:t>
      </w:r>
    </w:p>
    <w:p w14:paraId="431B19F4" w14:textId="77777777" w:rsidR="08FF59F5" w:rsidRPr="003D1E07" w:rsidRDefault="08FF59F5" w:rsidP="08FF59F5">
      <w:pPr>
        <w:pStyle w:val="Literatura"/>
        <w:rPr>
          <w:smallCaps/>
        </w:rPr>
      </w:pPr>
      <w:r w:rsidRPr="003D1E07">
        <w:t xml:space="preserve">‒ (2002): </w:t>
      </w:r>
      <w:r w:rsidRPr="003D1E07">
        <w:rPr>
          <w:i/>
        </w:rPr>
        <w:t>Al-F</w:t>
      </w:r>
      <w:r w:rsidRPr="003D1E07">
        <w:rPr>
          <w:rStyle w:val="TextpoznpodarouChar"/>
          <w:i/>
        </w:rPr>
        <w:t>ā</w:t>
      </w:r>
      <w:r w:rsidRPr="003D1E07">
        <w:rPr>
          <w:i/>
        </w:rPr>
        <w:t>r</w:t>
      </w:r>
      <w:r w:rsidRPr="003D1E07">
        <w:rPr>
          <w:rStyle w:val="TextpoznpodarouChar"/>
          <w:i/>
        </w:rPr>
        <w:t>ā</w:t>
      </w:r>
      <w:r w:rsidRPr="003D1E07">
        <w:rPr>
          <w:i/>
        </w:rPr>
        <w:t xml:space="preserve">bi, Founder of Islamic Neoplatonism. </w:t>
      </w:r>
      <w:r w:rsidRPr="003D1E07">
        <w:rPr>
          <w:i/>
          <w:szCs w:val="28"/>
        </w:rPr>
        <w:t>His Life, Works and Influence</w:t>
      </w:r>
      <w:r w:rsidRPr="003D1E07">
        <w:rPr>
          <w:szCs w:val="28"/>
        </w:rPr>
        <w:t xml:space="preserve">. Oxford: Great Islamic </w:t>
      </w:r>
      <w:r w:rsidRPr="003D1E07">
        <w:rPr>
          <w:szCs w:val="28"/>
        </w:rPr>
        <w:tab/>
        <w:t>Thinkers.</w:t>
      </w:r>
    </w:p>
    <w:p w14:paraId="01BF72D2" w14:textId="77777777" w:rsidR="08FF59F5" w:rsidRPr="003D1E07" w:rsidRDefault="08FF59F5" w:rsidP="08FF59F5">
      <w:pPr>
        <w:pStyle w:val="Literatura"/>
      </w:pPr>
      <w:r w:rsidRPr="003D1E07">
        <w:t xml:space="preserve">Friedman Michael (2000): </w:t>
      </w:r>
      <w:r w:rsidRPr="003D1E07">
        <w:rPr>
          <w:i/>
          <w:iCs/>
        </w:rPr>
        <w:t>A Parting of the Ways: Carnap, Cassirer, and Heidegger</w:t>
      </w:r>
      <w:r w:rsidRPr="003D1E07">
        <w:t xml:space="preserve">. Chicago, Open Court </w:t>
      </w:r>
      <w:r w:rsidRPr="003D1E07">
        <w:tab/>
        <w:t>Publishing.</w:t>
      </w:r>
    </w:p>
    <w:p w14:paraId="28A49937" w14:textId="77777777" w:rsidR="08FF59F5" w:rsidRPr="003D1E07" w:rsidRDefault="08FF59F5" w:rsidP="08FF59F5">
      <w:pPr>
        <w:pStyle w:val="Literatura"/>
      </w:pPr>
      <w:r w:rsidRPr="003D1E07">
        <w:t xml:space="preserve">Feuerbach, Ludwig (1883): </w:t>
      </w:r>
      <w:r w:rsidRPr="003D1E07">
        <w:rPr>
          <w:i/>
        </w:rPr>
        <w:t>Das Wesen des Christenthums. Ludwig Feuerbachs sämtliche Werke</w:t>
      </w:r>
      <w:r w:rsidRPr="003D1E07">
        <w:t xml:space="preserve">. Band 7. </w:t>
      </w:r>
      <w:r w:rsidRPr="003D1E07">
        <w:tab/>
        <w:t>Leipzig: Verlag von Otto Wigand.</w:t>
      </w:r>
    </w:p>
    <w:p w14:paraId="4D968BEE" w14:textId="77777777" w:rsidR="08FF59F5" w:rsidRPr="003D1E07" w:rsidRDefault="08FF59F5" w:rsidP="08FF59F5">
      <w:pPr>
        <w:pStyle w:val="Literatura"/>
        <w:rPr>
          <w:smallCaps/>
        </w:rPr>
      </w:pPr>
      <w:r w:rsidRPr="003D1E07">
        <w:rPr>
          <w:rStyle w:val="st"/>
        </w:rPr>
        <w:t xml:space="preserve">Feyerabend, Paul Karl (1993): </w:t>
      </w:r>
      <w:r w:rsidRPr="003D1E07">
        <w:rPr>
          <w:rStyle w:val="st"/>
          <w:i/>
        </w:rPr>
        <w:t>Against Method</w:t>
      </w:r>
      <w:r w:rsidRPr="003D1E07">
        <w:rPr>
          <w:rStyle w:val="st"/>
        </w:rPr>
        <w:t>. London: Verso. Third Edition.</w:t>
      </w:r>
      <w:r w:rsidRPr="003D1E07">
        <w:t xml:space="preserve"> </w:t>
      </w:r>
    </w:p>
    <w:p w14:paraId="2382F5BD" w14:textId="77777777" w:rsidR="08FF59F5" w:rsidRPr="003D1E07" w:rsidRDefault="08FF59F5" w:rsidP="08FF59F5">
      <w:pPr>
        <w:pStyle w:val="Literatura"/>
      </w:pPr>
      <w:r w:rsidRPr="003D1E07">
        <w:t xml:space="preserve">Finnegan, James (1965): "Avicenna's refutation of Porphyrius". </w:t>
      </w:r>
      <w:r w:rsidRPr="003D1E07">
        <w:rPr>
          <w:i/>
        </w:rPr>
        <w:t>Avicenna Commemoration Volume</w:t>
      </w:r>
      <w:r w:rsidRPr="003D1E07">
        <w:t xml:space="preserve">. Calcutta: </w:t>
      </w:r>
      <w:r w:rsidRPr="003D1E07">
        <w:tab/>
        <w:t>Iranian Society, pp. 187–203.</w:t>
      </w:r>
    </w:p>
    <w:p w14:paraId="721A2A0D" w14:textId="77777777" w:rsidR="08FF59F5" w:rsidRPr="003D1E07" w:rsidRDefault="08FF59F5" w:rsidP="08FF59F5">
      <w:pPr>
        <w:pStyle w:val="Literatura"/>
      </w:pPr>
      <w:r w:rsidRPr="003D1E07">
        <w:rPr>
          <w:rStyle w:val="reference-text"/>
        </w:rPr>
        <w:t xml:space="preserve">Fodor, Jerry A. (1983). </w:t>
      </w:r>
      <w:r w:rsidRPr="003D1E07">
        <w:rPr>
          <w:rStyle w:val="reference-text"/>
          <w:i/>
          <w:iCs/>
        </w:rPr>
        <w:t>Modularity of Mind: An Essay on Faculty Psychology</w:t>
      </w:r>
      <w:r w:rsidRPr="003D1E07">
        <w:rPr>
          <w:rStyle w:val="reference-text"/>
        </w:rPr>
        <w:t xml:space="preserve">. Cambridge, Massachusetts: MIT </w:t>
      </w:r>
      <w:r w:rsidRPr="003D1E07">
        <w:rPr>
          <w:rStyle w:val="reference-text"/>
        </w:rPr>
        <w:tab/>
        <w:t>Press.</w:t>
      </w:r>
    </w:p>
    <w:p w14:paraId="70CC1F1E" w14:textId="77777777" w:rsidR="08FF59F5" w:rsidRPr="003D1E07" w:rsidRDefault="08FF59F5" w:rsidP="08FF59F5">
      <w:pPr>
        <w:pStyle w:val="Literatura"/>
      </w:pPr>
      <w:r w:rsidRPr="003D1E07">
        <w:t xml:space="preserve">Foucault, Michel (1966): </w:t>
      </w:r>
      <w:r w:rsidRPr="003D1E07">
        <w:rPr>
          <w:i/>
        </w:rPr>
        <w:t>Les mots et les choses</w:t>
      </w:r>
      <w:r w:rsidRPr="003D1E07">
        <w:t>. Paris, Gallimard.</w:t>
      </w:r>
    </w:p>
    <w:p w14:paraId="61D2BF67" w14:textId="77777777" w:rsidR="08FF59F5" w:rsidRPr="003D1E07" w:rsidRDefault="08FF59F5" w:rsidP="08FF59F5">
      <w:pPr>
        <w:pStyle w:val="Literatura"/>
      </w:pPr>
      <w:r w:rsidRPr="003D1E07">
        <w:t xml:space="preserve">‒ (1971): </w:t>
      </w:r>
      <w:r w:rsidRPr="003D1E07">
        <w:rPr>
          <w:i/>
        </w:rPr>
        <w:t>L´ordre du discours</w:t>
      </w:r>
      <w:r w:rsidRPr="003D1E07">
        <w:t>. Paris, Gallimard.</w:t>
      </w:r>
    </w:p>
    <w:p w14:paraId="6D05B5D8" w14:textId="77777777" w:rsidR="08FF59F5" w:rsidRPr="003D1E07" w:rsidRDefault="08FF59F5" w:rsidP="08FF59F5">
      <w:pPr>
        <w:pStyle w:val="Literatura"/>
      </w:pPr>
      <w:r w:rsidRPr="003D1E07">
        <w:t xml:space="preserve">Gardet, Louis (1951): </w:t>
      </w:r>
      <w:r w:rsidRPr="003D1E07">
        <w:rPr>
          <w:i/>
        </w:rPr>
        <w:t xml:space="preserve">La pensée religieuse </w:t>
      </w:r>
      <w:r w:rsidRPr="003D1E07">
        <w:t>d</w:t>
      </w:r>
      <w:r w:rsidRPr="003D1E07">
        <w:rPr>
          <w:rStyle w:val="Zvraznn"/>
        </w:rPr>
        <w:t>’Avicenne (Ibn Sīnā)</w:t>
      </w:r>
      <w:r w:rsidRPr="003D1E07">
        <w:rPr>
          <w:rStyle w:val="Zvraznn"/>
          <w:i w:val="0"/>
        </w:rPr>
        <w:t xml:space="preserve">. Paris: Vrin. </w:t>
      </w:r>
    </w:p>
    <w:p w14:paraId="0F1E2119" w14:textId="77777777" w:rsidR="08FF59F5" w:rsidRPr="003D1E07" w:rsidRDefault="08FF59F5" w:rsidP="08FF59F5">
      <w:pPr>
        <w:pStyle w:val="Literatura"/>
      </w:pPr>
      <w:r w:rsidRPr="003D1E07">
        <w:t xml:space="preserve">Gauthier, René-Antoine (1963): "Arnoul de Provence et la doctrine de la fronesis, vertu mystique suprême". </w:t>
      </w:r>
      <w:r w:rsidRPr="003D1E07">
        <w:tab/>
      </w:r>
      <w:r w:rsidRPr="003D1E07">
        <w:rPr>
          <w:i/>
          <w:iCs/>
        </w:rPr>
        <w:t xml:space="preserve">Revue du Moyen Age Latin </w:t>
      </w:r>
      <w:r w:rsidRPr="003D1E07">
        <w:rPr>
          <w:iCs/>
        </w:rPr>
        <w:t>19</w:t>
      </w:r>
      <w:r w:rsidRPr="003D1E07">
        <w:t>: 129‒170.</w:t>
      </w:r>
    </w:p>
    <w:p w14:paraId="11E878DA" w14:textId="77777777" w:rsidR="08FF59F5" w:rsidRPr="003D1E07" w:rsidRDefault="08FF59F5" w:rsidP="08FF59F5">
      <w:pPr>
        <w:pStyle w:val="Literatura"/>
      </w:pPr>
      <w:r w:rsidRPr="003D1E07">
        <w:t xml:space="preserve">‒ (1982a): "Le traité De anima et de potenciis eius d'un maître ès arts (vers 1225). Introduction et texte </w:t>
      </w:r>
      <w:r w:rsidRPr="003D1E07">
        <w:tab/>
        <w:t xml:space="preserve">critique". </w:t>
      </w:r>
      <w:r w:rsidRPr="003D1E07">
        <w:rPr>
          <w:i/>
        </w:rPr>
        <w:t>Revue des Sciences Philosophiques et Théologiques Paris</w:t>
      </w:r>
      <w:r w:rsidRPr="003D1E07">
        <w:t xml:space="preserve"> 66/1: 3–55.</w:t>
      </w:r>
    </w:p>
    <w:p w14:paraId="1E710296" w14:textId="77777777" w:rsidR="08FF59F5" w:rsidRPr="003D1E07" w:rsidRDefault="08FF59F5" w:rsidP="08FF59F5">
      <w:pPr>
        <w:pStyle w:val="Literatura"/>
      </w:pPr>
      <w:r w:rsidRPr="003D1E07">
        <w:t xml:space="preserve">‒ (1982b): "Notes sur les débuts (1225–1240) du premier averroïsme". </w:t>
      </w:r>
      <w:r w:rsidRPr="003D1E07">
        <w:rPr>
          <w:i/>
        </w:rPr>
        <w:t xml:space="preserve">Revue des Sciences Philosophiques et </w:t>
      </w:r>
      <w:r w:rsidRPr="003D1E07">
        <w:rPr>
          <w:i/>
        </w:rPr>
        <w:tab/>
        <w:t>Théologiques Paris</w:t>
      </w:r>
      <w:r w:rsidRPr="003D1E07">
        <w:t xml:space="preserve"> 66/3: 321–374.</w:t>
      </w:r>
    </w:p>
    <w:p w14:paraId="707D0197" w14:textId="77777777" w:rsidR="08FF59F5" w:rsidRPr="003D1E07" w:rsidRDefault="08FF59F5" w:rsidP="08FF59F5">
      <w:pPr>
        <w:pStyle w:val="Literatura"/>
      </w:pPr>
      <w:r w:rsidRPr="003D1E07">
        <w:t xml:space="preserve">‒ (1983): Notes sur Siger de Brabant I. Siger en 1265. </w:t>
      </w:r>
      <w:r w:rsidRPr="003D1E07">
        <w:rPr>
          <w:i/>
        </w:rPr>
        <w:t>Revue des Sciences Philosophiques et Thé</w:t>
      </w:r>
      <w:r w:rsidRPr="003D1E07">
        <w:t xml:space="preserve">ologiques 57: </w:t>
      </w:r>
      <w:r w:rsidRPr="003D1E07">
        <w:tab/>
        <w:t>201–232.</w:t>
      </w:r>
    </w:p>
    <w:p w14:paraId="06B2FA8A" w14:textId="77777777" w:rsidR="08FF59F5" w:rsidRPr="003D1E07" w:rsidRDefault="08FF59F5" w:rsidP="08FF59F5">
      <w:pPr>
        <w:pStyle w:val="Literatura"/>
      </w:pPr>
      <w:r w:rsidRPr="003D1E07">
        <w:t xml:space="preserve">‒ (1984): </w:t>
      </w:r>
      <w:r w:rsidRPr="003D1E07">
        <w:rPr>
          <w:iCs/>
        </w:rPr>
        <w:t>Notes sur Siger de Brabant. II. Siger en 1272−1275. Aubry de Reims et la scission des Normands</w:t>
      </w:r>
      <w:r w:rsidRPr="003D1E07">
        <w:rPr>
          <w:spacing w:val="-1"/>
        </w:rPr>
        <w:t xml:space="preserve">, </w:t>
      </w:r>
      <w:r w:rsidRPr="003D1E07">
        <w:rPr>
          <w:spacing w:val="-1"/>
        </w:rPr>
        <w:tab/>
      </w:r>
      <w:r w:rsidRPr="003D1E07">
        <w:rPr>
          <w:i/>
          <w:iCs/>
          <w:spacing w:val="-1"/>
        </w:rPr>
        <w:t>Revue des sciences philo</w:t>
      </w:r>
      <w:r w:rsidRPr="003D1E07">
        <w:rPr>
          <w:i/>
          <w:iCs/>
        </w:rPr>
        <w:t xml:space="preserve">sophiques et théologiques, </w:t>
      </w:r>
      <w:r w:rsidRPr="003D1E07">
        <w:t>68: 3−49.</w:t>
      </w:r>
    </w:p>
    <w:p w14:paraId="1B423D34" w14:textId="77777777" w:rsidR="08FF59F5" w:rsidRPr="003D1E07" w:rsidRDefault="08FF59F5" w:rsidP="08FF59F5">
      <w:pPr>
        <w:pStyle w:val="Literatura"/>
      </w:pPr>
      <w:r w:rsidRPr="003D1E07">
        <w:t xml:space="preserve">Freud, Sigmund (1991): </w:t>
      </w:r>
      <w:r w:rsidRPr="003D1E07">
        <w:rPr>
          <w:i/>
        </w:rPr>
        <w:t xml:space="preserve">Gesammelte Werke in achtzehn Bänden mit einem Nachtragsband. Werke aus den </w:t>
      </w:r>
      <w:r w:rsidRPr="003D1E07">
        <w:rPr>
          <w:i/>
        </w:rPr>
        <w:tab/>
        <w:t xml:space="preserve">Jahren 1913 – 1917 </w:t>
      </w:r>
      <w:r w:rsidRPr="003D1E07">
        <w:t>(Band 10). Edited by Anna Freud et al. Frankfurt am Main: S. Fischer Verlag.</w:t>
      </w:r>
    </w:p>
    <w:p w14:paraId="5732A8CA" w14:textId="77777777" w:rsidR="08FF59F5" w:rsidRPr="003D1E07" w:rsidRDefault="08FF59F5" w:rsidP="08FF59F5">
      <w:pPr>
        <w:pStyle w:val="Literatura"/>
        <w:rPr>
          <w:smallCaps/>
        </w:rPr>
      </w:pPr>
      <w:r w:rsidRPr="003D1E07">
        <w:t xml:space="preserve">Galston, Miriam (1977): "A Re-examination of al-Fārābī's Neoplatonism". </w:t>
      </w:r>
      <w:r w:rsidRPr="003D1E07">
        <w:rPr>
          <w:i/>
          <w:iCs/>
        </w:rPr>
        <w:t>Journal of the History of Philosophy</w:t>
      </w:r>
      <w:r w:rsidRPr="003D1E07">
        <w:t xml:space="preserve"> </w:t>
      </w:r>
      <w:r w:rsidRPr="003D1E07">
        <w:tab/>
        <w:t>15: 13‒32.</w:t>
      </w:r>
    </w:p>
    <w:p w14:paraId="4D82305D" w14:textId="77777777" w:rsidR="08FF59F5" w:rsidRPr="003D1E07" w:rsidRDefault="08FF59F5" w:rsidP="08FF59F5">
      <w:pPr>
        <w:pStyle w:val="Literatura"/>
      </w:pPr>
      <w:r w:rsidRPr="003D1E07">
        <w:t xml:space="preserve">Geoffroy, Marc (2002): "La Tradition arabe du Peri nou d'Alexandre d'Aphrodise et les origines de la théorie </w:t>
      </w:r>
      <w:r w:rsidRPr="003D1E07">
        <w:tab/>
        <w:t xml:space="preserve">farabienne des quatre degrés de l'intellect".  </w:t>
      </w:r>
      <w:r w:rsidRPr="003D1E07">
        <w:rPr>
          <w:i/>
          <w:iCs/>
        </w:rPr>
        <w:t>Aristotele e Alessandro di Afrodisia nella tradizione araba</w:t>
      </w:r>
      <w:r w:rsidRPr="003D1E07">
        <w:t xml:space="preserve">, </w:t>
      </w:r>
      <w:r w:rsidRPr="003D1E07">
        <w:tab/>
        <w:t>edited by C. D'Ancona and G. Serra, Padova: Il poligrafo, 2002, pp. 156‒198.</w:t>
      </w:r>
    </w:p>
    <w:p w14:paraId="1686379B" w14:textId="77777777" w:rsidR="08FF59F5" w:rsidRPr="003D1E07" w:rsidRDefault="08FF59F5" w:rsidP="08FF59F5">
      <w:pPr>
        <w:pStyle w:val="Literatura"/>
      </w:pPr>
      <w:r w:rsidRPr="003D1E07">
        <w:t xml:space="preserve">Gersh, Stephen, and Maarten J. F. M. Hoenen (2002): </w:t>
      </w:r>
      <w:r w:rsidRPr="003D1E07">
        <w:rPr>
          <w:i/>
        </w:rPr>
        <w:t xml:space="preserve">The Platonic Tradition in the Middle Ages. A Doxographic </w:t>
      </w:r>
      <w:r w:rsidRPr="003D1E07">
        <w:rPr>
          <w:i/>
        </w:rPr>
        <w:tab/>
        <w:t>Approach</w:t>
      </w:r>
      <w:r w:rsidRPr="003D1E07">
        <w:t>. Walter de Gruyter.</w:t>
      </w:r>
    </w:p>
    <w:p w14:paraId="360FE44A" w14:textId="77777777" w:rsidR="08FF59F5" w:rsidRPr="003D1E07" w:rsidRDefault="08FF59F5" w:rsidP="08FF59F5">
      <w:pPr>
        <w:pStyle w:val="Literatura"/>
        <w:rPr>
          <w:smallCaps/>
        </w:rPr>
      </w:pPr>
      <w:r w:rsidRPr="003D1E07">
        <w:t xml:space="preserve">Giele, Maurice (1960): "La date d’un commentaire médiéval anonyme et inédit sur le Traité de l'âme d'Aristote </w:t>
      </w:r>
      <w:r w:rsidRPr="003D1E07">
        <w:tab/>
        <w:t xml:space="preserve">(Oxford, Merton College 275, fol. 108r-121v)". </w:t>
      </w:r>
      <w:r w:rsidRPr="003D1E07">
        <w:rPr>
          <w:rStyle w:val="ZkladntextKurzva"/>
          <w:i w:val="0"/>
          <w:spacing w:val="10"/>
          <w:sz w:val="17"/>
          <w:szCs w:val="17"/>
          <w:u w:val="single"/>
        </w:rPr>
        <w:t>Revue Philosophique Louvain</w:t>
      </w:r>
      <w:r w:rsidRPr="003D1E07">
        <w:t xml:space="preserve"> 58: 529‒556.</w:t>
      </w:r>
    </w:p>
    <w:p w14:paraId="1AB5C074" w14:textId="77777777" w:rsidR="08FF59F5" w:rsidRPr="003D1E07" w:rsidRDefault="08FF59F5" w:rsidP="08FF59F5">
      <w:pPr>
        <w:pStyle w:val="Literatura"/>
      </w:pPr>
      <w:r w:rsidRPr="003D1E07">
        <w:t xml:space="preserve">Gilbertus Porretanus (1966): </w:t>
      </w:r>
      <w:r w:rsidRPr="003D1E07">
        <w:rPr>
          <w:i/>
        </w:rPr>
        <w:t xml:space="preserve">Expositio in Boetii librum De bonorum hebdomade. The Commentaries on Boethius </w:t>
      </w:r>
      <w:r w:rsidRPr="003D1E07">
        <w:rPr>
          <w:i/>
        </w:rPr>
        <w:tab/>
        <w:t>by Gilbert of Poitiers</w:t>
      </w:r>
      <w:r w:rsidRPr="003D1E07">
        <w:t xml:space="preserve">. Edited by N.M. Häring, Studies and Texts 13. Toronto: Pontifical Institute of </w:t>
      </w:r>
      <w:r w:rsidRPr="003D1E07">
        <w:tab/>
        <w:t>Mediaeval Studies, pp. 181‒230.</w:t>
      </w:r>
    </w:p>
    <w:p w14:paraId="49A4E640" w14:textId="77777777" w:rsidR="08FF59F5" w:rsidRPr="003D1E07" w:rsidRDefault="08FF59F5" w:rsidP="08FF59F5">
      <w:pPr>
        <w:pStyle w:val="Literatura"/>
        <w:rPr>
          <w:szCs w:val="24"/>
        </w:rPr>
      </w:pPr>
      <w:r w:rsidRPr="003D1E07">
        <w:rPr>
          <w:szCs w:val="24"/>
        </w:rPr>
        <w:t xml:space="preserve">Geiger, </w:t>
      </w:r>
      <w:r w:rsidRPr="003D1E07">
        <w:t>Louis-Bertrand (1947): "</w:t>
      </w:r>
      <w:r w:rsidRPr="003D1E07">
        <w:rPr>
          <w:szCs w:val="24"/>
        </w:rPr>
        <w:t xml:space="preserve">Abstraction et séparation d'après saint Thomas". </w:t>
      </w:r>
      <w:r w:rsidRPr="003D1E07">
        <w:rPr>
          <w:i/>
          <w:szCs w:val="24"/>
        </w:rPr>
        <w:t xml:space="preserve">Revue des sciences </w:t>
      </w:r>
      <w:r w:rsidRPr="003D1E07">
        <w:rPr>
          <w:i/>
          <w:szCs w:val="24"/>
        </w:rPr>
        <w:tab/>
        <w:t xml:space="preserve">philosophiques et théologiques </w:t>
      </w:r>
      <w:r w:rsidRPr="003D1E07">
        <w:rPr>
          <w:color w:val="000000"/>
        </w:rPr>
        <w:t>31: 3‒40.</w:t>
      </w:r>
    </w:p>
    <w:p w14:paraId="5622035C" w14:textId="77777777" w:rsidR="08FF59F5" w:rsidRPr="003D1E07" w:rsidRDefault="08FF59F5" w:rsidP="08FF59F5">
      <w:pPr>
        <w:pStyle w:val="Literatura"/>
      </w:pPr>
      <w:r w:rsidRPr="003D1E07">
        <w:t xml:space="preserve">Gilson, Etienne (1921): </w:t>
      </w:r>
      <w:r w:rsidRPr="003D1E07">
        <w:rPr>
          <w:i/>
          <w:iCs/>
        </w:rPr>
        <w:t>Études de philosophie médiévale</w:t>
      </w:r>
      <w:r w:rsidRPr="003D1E07">
        <w:t>, Strasbourg.</w:t>
      </w:r>
    </w:p>
    <w:p w14:paraId="71E7BFA7" w14:textId="77777777" w:rsidR="08FF59F5" w:rsidRPr="003D1E07" w:rsidRDefault="08FF59F5" w:rsidP="08FF59F5">
      <w:pPr>
        <w:pStyle w:val="Literatura"/>
      </w:pPr>
      <w:r w:rsidRPr="003D1E07">
        <w:t xml:space="preserve">‒ (1926): "Pourquoi saint Thomas a critiqué saint Augustin". </w:t>
      </w:r>
      <w:r w:rsidRPr="003D1E07">
        <w:rPr>
          <w:i/>
        </w:rPr>
        <w:t xml:space="preserve">Archives d’histoire doctrinale et littéraire du Moyen </w:t>
      </w:r>
      <w:r w:rsidRPr="003D1E07">
        <w:rPr>
          <w:i/>
        </w:rPr>
        <w:tab/>
      </w:r>
      <w:r w:rsidRPr="003D1E07">
        <w:rPr>
          <w:rStyle w:val="st"/>
          <w:i/>
        </w:rPr>
        <w:t>Âge</w:t>
      </w:r>
      <w:r w:rsidRPr="003D1E07">
        <w:t xml:space="preserve"> 1: 5–127.</w:t>
      </w:r>
    </w:p>
    <w:p w14:paraId="62B064B3" w14:textId="77777777" w:rsidR="08FF59F5" w:rsidRPr="003D1E07" w:rsidRDefault="08FF59F5" w:rsidP="08FF59F5">
      <w:pPr>
        <w:pStyle w:val="Literatura"/>
        <w:rPr>
          <w:rStyle w:val="st"/>
        </w:rPr>
      </w:pPr>
      <w:r w:rsidRPr="003D1E07">
        <w:lastRenderedPageBreak/>
        <w:t>‒ (1927): "</w:t>
      </w:r>
      <w:r w:rsidRPr="003D1E07">
        <w:rPr>
          <w:rStyle w:val="st"/>
        </w:rPr>
        <w:t xml:space="preserve">Avicenne et le point de départ de Duns Scot". </w:t>
      </w:r>
      <w:r w:rsidRPr="003D1E07">
        <w:rPr>
          <w:rStyle w:val="st"/>
          <w:i/>
        </w:rPr>
        <w:t xml:space="preserve">Archives d’histoire doctrinale et littéraire du Moyen </w:t>
      </w:r>
      <w:r w:rsidRPr="003D1E07">
        <w:rPr>
          <w:rStyle w:val="st"/>
          <w:i/>
        </w:rPr>
        <w:tab/>
        <w:t>Âge</w:t>
      </w:r>
      <w:r w:rsidRPr="003D1E07">
        <w:rPr>
          <w:rStyle w:val="st"/>
        </w:rPr>
        <w:t xml:space="preserve"> 2: 89‒149.</w:t>
      </w:r>
    </w:p>
    <w:p w14:paraId="24140AC2" w14:textId="77777777" w:rsidR="08FF59F5" w:rsidRPr="003D1E07" w:rsidRDefault="08FF59F5" w:rsidP="08FF59F5">
      <w:pPr>
        <w:pStyle w:val="Literatura"/>
      </w:pPr>
      <w:r w:rsidRPr="003D1E07">
        <w:t>‒ (1930): "</w:t>
      </w:r>
      <w:r w:rsidRPr="003D1E07">
        <w:rPr>
          <w:rStyle w:val="st"/>
        </w:rPr>
        <w:t xml:space="preserve">Les sources gréco-arabes de l'augustinisme avicennisant". </w:t>
      </w:r>
      <w:r w:rsidRPr="003D1E07">
        <w:rPr>
          <w:i/>
        </w:rPr>
        <w:t>Archives</w:t>
      </w:r>
      <w:r w:rsidRPr="003D1E07">
        <w:t xml:space="preserve"> </w:t>
      </w:r>
      <w:r w:rsidRPr="003D1E07">
        <w:rPr>
          <w:i/>
        </w:rPr>
        <w:t xml:space="preserve">d'histoire doctrinale et </w:t>
      </w:r>
      <w:r w:rsidRPr="003D1E07">
        <w:rPr>
          <w:i/>
        </w:rPr>
        <w:tab/>
        <w:t xml:space="preserve">littéraire du Moyen </w:t>
      </w:r>
      <w:r w:rsidRPr="003D1E07">
        <w:rPr>
          <w:rStyle w:val="st"/>
          <w:i/>
        </w:rPr>
        <w:t>Âge</w:t>
      </w:r>
      <w:r w:rsidRPr="003D1E07">
        <w:rPr>
          <w:rStyle w:val="st"/>
        </w:rPr>
        <w:t xml:space="preserve"> </w:t>
      </w:r>
      <w:r w:rsidRPr="003D1E07">
        <w:t>4: 5–107.</w:t>
      </w:r>
    </w:p>
    <w:p w14:paraId="2FED8540" w14:textId="77777777" w:rsidR="08FF59F5" w:rsidRPr="003D1E07" w:rsidRDefault="08FF59F5" w:rsidP="08FF59F5">
      <w:pPr>
        <w:pStyle w:val="Literatura"/>
      </w:pPr>
      <w:r w:rsidRPr="003D1E07">
        <w:rPr>
          <w:iCs/>
        </w:rPr>
        <w:t xml:space="preserve">‒ (1934): "Sur quelques difficultés de l'illumination augustinienne". </w:t>
      </w:r>
      <w:r w:rsidRPr="003D1E07">
        <w:rPr>
          <w:i/>
          <w:iCs/>
        </w:rPr>
        <w:t>Revue néo-scolastique de philosophie</w:t>
      </w:r>
      <w:r w:rsidRPr="003D1E07">
        <w:rPr>
          <w:iCs/>
        </w:rPr>
        <w:t xml:space="preserve"> 41: </w:t>
      </w:r>
      <w:r w:rsidRPr="003D1E07">
        <w:rPr>
          <w:iCs/>
        </w:rPr>
        <w:tab/>
        <w:t>321‒331.</w:t>
      </w:r>
    </w:p>
    <w:p w14:paraId="461DBABF" w14:textId="77777777" w:rsidR="08FF59F5" w:rsidRPr="003D1E07" w:rsidRDefault="08FF59F5" w:rsidP="08FF59F5">
      <w:pPr>
        <w:pStyle w:val="Literatura"/>
      </w:pPr>
      <w:r w:rsidRPr="003D1E07">
        <w:rPr>
          <w:iCs/>
        </w:rPr>
        <w:t xml:space="preserve">‒ (1939): </w:t>
      </w:r>
      <w:r w:rsidRPr="003D1E07">
        <w:rPr>
          <w:i/>
          <w:iCs/>
        </w:rPr>
        <w:t>Dante et la philosophie</w:t>
      </w:r>
      <w:r w:rsidRPr="003D1E07">
        <w:t>, Paris, J. Vrin.</w:t>
      </w:r>
    </w:p>
    <w:p w14:paraId="7D920AB3" w14:textId="77777777" w:rsidR="08FF59F5" w:rsidRPr="003D1E07" w:rsidRDefault="08FF59F5" w:rsidP="08FF59F5">
      <w:pPr>
        <w:pStyle w:val="Literatura"/>
      </w:pPr>
      <w:r w:rsidRPr="003D1E07">
        <w:rPr>
          <w:iCs/>
        </w:rPr>
        <w:t xml:space="preserve">‒ (1974): </w:t>
      </w:r>
      <w:r w:rsidRPr="003D1E07">
        <w:t xml:space="preserve">"Quasi Definitio Substantiae". </w:t>
      </w:r>
      <w:r w:rsidRPr="003D1E07">
        <w:rPr>
          <w:i/>
        </w:rPr>
        <w:t>St. Thomas Aquinas Commemorative Studies I</w:t>
      </w:r>
      <w:r w:rsidRPr="003D1E07">
        <w:t>, edited by</w:t>
      </w:r>
      <w:r w:rsidRPr="003D1E07">
        <w:rPr>
          <w:i/>
        </w:rPr>
        <w:t xml:space="preserve"> </w:t>
      </w:r>
      <w:r w:rsidRPr="003D1E07">
        <w:t xml:space="preserve">Arman Maurer  </w:t>
      </w:r>
      <w:r w:rsidRPr="003D1E07">
        <w:tab/>
        <w:t>et al., Toronto: Pontifical Institute of Medieval Studies, pp. 111‒129.</w:t>
      </w:r>
    </w:p>
    <w:p w14:paraId="66B162A5" w14:textId="77777777" w:rsidR="08FF59F5" w:rsidRPr="003D1E07" w:rsidRDefault="08FF59F5" w:rsidP="08FF59F5">
      <w:pPr>
        <w:pStyle w:val="Literatura"/>
      </w:pPr>
      <w:r w:rsidRPr="003D1E07">
        <w:t xml:space="preserve">‒ (2004) Glasner, Ruth. "Review of Averroës: Middle Commentary on Aristotle’s De anima by Alfred L. Ivry". </w:t>
      </w:r>
      <w:r w:rsidRPr="003D1E07">
        <w:tab/>
      </w:r>
      <w:r w:rsidRPr="003D1E07">
        <w:rPr>
          <w:i/>
        </w:rPr>
        <w:t>Aestimatio</w:t>
      </w:r>
      <w:r w:rsidRPr="003D1E07">
        <w:t xml:space="preserve"> 1 (2004): 57–61</w:t>
      </w:r>
    </w:p>
    <w:p w14:paraId="3E224A41" w14:textId="77777777" w:rsidR="08FF59F5" w:rsidRPr="003D1E07" w:rsidRDefault="08FF59F5" w:rsidP="08FF59F5">
      <w:pPr>
        <w:pStyle w:val="Literatura"/>
        <w:rPr>
          <w:i/>
        </w:rPr>
      </w:pPr>
      <w:r w:rsidRPr="003D1E07">
        <w:t xml:space="preserve">Godefroid de Fontaines (1914): </w:t>
      </w:r>
      <w:r w:rsidRPr="003D1E07">
        <w:rPr>
          <w:i/>
        </w:rPr>
        <w:t>Les Quodlibet Cinq, Six Et Sept de Godefroid de Fontaines</w:t>
      </w:r>
      <w:r w:rsidRPr="003D1E07">
        <w:t xml:space="preserve">. </w:t>
      </w:r>
      <w:r w:rsidRPr="003D1E07">
        <w:rPr>
          <w:i/>
        </w:rPr>
        <w:t>Texte Inédit</w:t>
      </w:r>
      <w:r w:rsidRPr="003D1E07">
        <w:t xml:space="preserve">. Edited </w:t>
      </w:r>
      <w:r w:rsidRPr="003D1E07">
        <w:tab/>
        <w:t xml:space="preserve">by M. de Wulf  et J. Hoffmans. Louvain: Université Catholique de Louvain, Institut Supérieur de </w:t>
      </w:r>
      <w:r w:rsidRPr="003D1E07">
        <w:tab/>
        <w:t>Philosophie de L'Université.</w:t>
      </w:r>
    </w:p>
    <w:p w14:paraId="4487722F" w14:textId="77777777" w:rsidR="08FF59F5" w:rsidRPr="003D1E07" w:rsidRDefault="08FF59F5" w:rsidP="08FF59F5">
      <w:pPr>
        <w:pStyle w:val="Literatura"/>
        <w:rPr>
          <w:rStyle w:val="a-size-large"/>
        </w:rPr>
      </w:pPr>
      <w:r w:rsidRPr="003D1E07">
        <w:t xml:space="preserve">Grabmann, Martin (1906): </w:t>
      </w:r>
      <w:r w:rsidRPr="003D1E07">
        <w:rPr>
          <w:rStyle w:val="a-size-large"/>
          <w:i/>
        </w:rPr>
        <w:t xml:space="preserve">Die philosophische und theologische Erkenntnislehre des Kardinals Matthaeus von </w:t>
      </w:r>
      <w:r w:rsidRPr="003D1E07">
        <w:rPr>
          <w:rStyle w:val="a-size-large"/>
          <w:i/>
        </w:rPr>
        <w:tab/>
        <w:t>Aquasparta</w:t>
      </w:r>
      <w:r w:rsidRPr="003D1E07">
        <w:rPr>
          <w:rStyle w:val="a-size-large"/>
        </w:rPr>
        <w:t>. Wien: Verlag von Mayer &amp; Co.</w:t>
      </w:r>
    </w:p>
    <w:p w14:paraId="1B34555C" w14:textId="77777777" w:rsidR="08FF59F5" w:rsidRPr="003D1E07" w:rsidRDefault="08FF59F5" w:rsidP="08FF59F5">
      <w:pPr>
        <w:pStyle w:val="Literatura"/>
      </w:pPr>
      <w:r w:rsidRPr="003D1E07">
        <w:t>Grauert</w:t>
      </w:r>
      <w:r w:rsidRPr="003D1E07">
        <w:rPr>
          <w:szCs w:val="30"/>
        </w:rPr>
        <w:t xml:space="preserve">, Hermann (1912): </w:t>
      </w:r>
      <w:r w:rsidRPr="003D1E07">
        <w:rPr>
          <w:i/>
          <w:szCs w:val="39"/>
        </w:rPr>
        <w:t xml:space="preserve">Magister Heinrich </w:t>
      </w:r>
      <w:r w:rsidRPr="003D1E07">
        <w:rPr>
          <w:i/>
          <w:szCs w:val="38"/>
        </w:rPr>
        <w:t xml:space="preserve">der </w:t>
      </w:r>
      <w:r w:rsidRPr="003D1E07">
        <w:rPr>
          <w:i/>
          <w:szCs w:val="40"/>
        </w:rPr>
        <w:t xml:space="preserve">Poet </w:t>
      </w:r>
      <w:r w:rsidRPr="003D1E07">
        <w:rPr>
          <w:i/>
        </w:rPr>
        <w:t xml:space="preserve">in </w:t>
      </w:r>
      <w:r w:rsidRPr="003D1E07">
        <w:rPr>
          <w:i/>
          <w:szCs w:val="37"/>
        </w:rPr>
        <w:t xml:space="preserve">Würzburg </w:t>
      </w:r>
      <w:r w:rsidRPr="003D1E07">
        <w:rPr>
          <w:i/>
          <w:szCs w:val="34"/>
        </w:rPr>
        <w:t xml:space="preserve">und </w:t>
      </w:r>
      <w:r w:rsidRPr="003D1E07">
        <w:rPr>
          <w:i/>
          <w:szCs w:val="27"/>
        </w:rPr>
        <w:t xml:space="preserve">die </w:t>
      </w:r>
      <w:r w:rsidRPr="003D1E07">
        <w:rPr>
          <w:i/>
          <w:szCs w:val="32"/>
        </w:rPr>
        <w:t>römische Kurie</w:t>
      </w:r>
      <w:r w:rsidRPr="003D1E07">
        <w:rPr>
          <w:szCs w:val="32"/>
        </w:rPr>
        <w:t xml:space="preserve">. </w:t>
      </w:r>
      <w:r w:rsidRPr="003D1E07">
        <w:t xml:space="preserve"> </w:t>
      </w:r>
      <w:r w:rsidRPr="003D1E07">
        <w:rPr>
          <w:szCs w:val="21"/>
        </w:rPr>
        <w:t xml:space="preserve">München: </w:t>
      </w:r>
      <w:r w:rsidRPr="003D1E07">
        <w:rPr>
          <w:szCs w:val="16"/>
        </w:rPr>
        <w:t xml:space="preserve">Verlag </w:t>
      </w:r>
      <w:r w:rsidRPr="003D1E07">
        <w:rPr>
          <w:szCs w:val="16"/>
        </w:rPr>
        <w:tab/>
      </w:r>
      <w:r w:rsidRPr="003D1E07">
        <w:rPr>
          <w:szCs w:val="14"/>
        </w:rPr>
        <w:t xml:space="preserve">der </w:t>
      </w:r>
      <w:r w:rsidRPr="003D1E07">
        <w:rPr>
          <w:szCs w:val="15"/>
        </w:rPr>
        <w:t xml:space="preserve">Königlich Bayerischen </w:t>
      </w:r>
      <w:r w:rsidRPr="003D1E07">
        <w:rPr>
          <w:szCs w:val="17"/>
        </w:rPr>
        <w:t xml:space="preserve">Akademie </w:t>
      </w:r>
      <w:r w:rsidRPr="003D1E07">
        <w:rPr>
          <w:szCs w:val="14"/>
        </w:rPr>
        <w:t xml:space="preserve">der </w:t>
      </w:r>
      <w:r w:rsidRPr="003D1E07">
        <w:rPr>
          <w:szCs w:val="15"/>
        </w:rPr>
        <w:t>Wissenschaften</w:t>
      </w:r>
      <w:r w:rsidRPr="003D1E07">
        <w:rPr>
          <w:szCs w:val="19"/>
        </w:rPr>
        <w:t>.</w:t>
      </w:r>
    </w:p>
    <w:p w14:paraId="41BB6D8F" w14:textId="77777777" w:rsidR="08FF59F5" w:rsidRPr="003D1E07" w:rsidRDefault="08FF59F5" w:rsidP="08FF59F5">
      <w:pPr>
        <w:pStyle w:val="Literatura"/>
      </w:pPr>
      <w:r w:rsidRPr="003D1E07">
        <w:t xml:space="preserve">Griffel, Frank (2009): </w:t>
      </w:r>
      <w:r w:rsidRPr="003D1E07">
        <w:rPr>
          <w:i/>
        </w:rPr>
        <w:t>Al-Ghazālī's Philosophical Teology</w:t>
      </w:r>
      <w:r w:rsidRPr="003D1E07">
        <w:t>. Oxford University Press.</w:t>
      </w:r>
    </w:p>
    <w:p w14:paraId="4E66D732" w14:textId="77777777" w:rsidR="08FF59F5" w:rsidRPr="003D1E07" w:rsidRDefault="08FF59F5" w:rsidP="08FF59F5">
      <w:pPr>
        <w:pStyle w:val="Literatura"/>
      </w:pPr>
      <w:r w:rsidRPr="003D1E07">
        <w:t>– (2012): "Al-Ghazālī's Use of “Original Human Disposition” (</w:t>
      </w:r>
      <w:r w:rsidRPr="003D1E07">
        <w:rPr>
          <w:rStyle w:val="Zvraznn"/>
        </w:rPr>
        <w:t>Fiṭra</w:t>
      </w:r>
      <w:r w:rsidRPr="003D1E07">
        <w:t>) and Its Background in the Teachings of al-</w:t>
      </w:r>
      <w:r w:rsidRPr="003D1E07">
        <w:rPr>
          <w:szCs w:val="18"/>
        </w:rPr>
        <w:tab/>
      </w:r>
      <w:r w:rsidRPr="003D1E07">
        <w:t xml:space="preserve">Fārābī and Avicenna". </w:t>
      </w:r>
      <w:r w:rsidRPr="003D1E07">
        <w:rPr>
          <w:i/>
        </w:rPr>
        <w:t>The Muslim World</w:t>
      </w:r>
      <w:r w:rsidRPr="003D1E07">
        <w:t xml:space="preserve"> 102: 1–32.</w:t>
      </w:r>
    </w:p>
    <w:p w14:paraId="5A5A879B" w14:textId="77777777" w:rsidR="08FF59F5" w:rsidRPr="003D1E07" w:rsidRDefault="08FF59F5" w:rsidP="08FF59F5">
      <w:pPr>
        <w:pStyle w:val="Literatura"/>
      </w:pPr>
      <w:r w:rsidRPr="003D1E07">
        <w:t xml:space="preserve">Grosseteste, Robertus (1912): </w:t>
      </w:r>
      <w:r w:rsidRPr="003D1E07">
        <w:rPr>
          <w:i/>
        </w:rPr>
        <w:t>Die philosophischen Werke des Robert Grosseteste, Bischofs of Lincoln</w:t>
      </w:r>
      <w:r w:rsidRPr="003D1E07">
        <w:t xml:space="preserve">. Besorgt </w:t>
      </w:r>
      <w:r w:rsidRPr="003D1E07">
        <w:rPr>
          <w:szCs w:val="18"/>
        </w:rPr>
        <w:tab/>
      </w:r>
      <w:r w:rsidRPr="003D1E07">
        <w:t>von dr. Ludwig Baur, Münster: Aschendorffsche Verlagbuchshandlung.</w:t>
      </w:r>
    </w:p>
    <w:p w14:paraId="5E113B78" w14:textId="77777777" w:rsidR="08FF59F5" w:rsidRPr="003D1E07" w:rsidRDefault="08FF59F5" w:rsidP="08FF59F5">
      <w:pPr>
        <w:pStyle w:val="Literatura"/>
      </w:pPr>
      <w:r w:rsidRPr="003D1E07">
        <w:t xml:space="preserve">‒ (1981): </w:t>
      </w:r>
      <w:r w:rsidRPr="003D1E07">
        <w:rPr>
          <w:i/>
        </w:rPr>
        <w:t>Commentarius in Posteriorum analyticorum libros</w:t>
      </w:r>
      <w:r w:rsidRPr="003D1E07">
        <w:t xml:space="preserve">. Edited by Pietro Rossi. </w:t>
      </w:r>
      <w:r w:rsidRPr="003D1E07">
        <w:tab/>
        <w:t xml:space="preserve">Firenze: Leo S. Olschki </w:t>
      </w:r>
      <w:r w:rsidRPr="003D1E07">
        <w:tab/>
        <w:t>Editore.</w:t>
      </w:r>
    </w:p>
    <w:p w14:paraId="56235597" w14:textId="77777777" w:rsidR="08FF59F5" w:rsidRPr="003D1E07" w:rsidRDefault="08FF59F5" w:rsidP="08FF59F5">
      <w:pPr>
        <w:pStyle w:val="Literatura"/>
      </w:pPr>
      <w:r w:rsidRPr="003D1E07">
        <w:rPr>
          <w:rStyle w:val="CittHTML"/>
          <w:i w:val="0"/>
        </w:rPr>
        <w:t xml:space="preserve">Grotius, Hugo (1919): </w:t>
      </w:r>
      <w:r w:rsidRPr="003D1E07">
        <w:rPr>
          <w:rStyle w:val="CittHTML"/>
        </w:rPr>
        <w:t xml:space="preserve">Hugonis Grotii. De iure belli ac pacis. Libri tres, in quibus ius naturae et gentium, item iuris </w:t>
      </w:r>
      <w:r w:rsidRPr="003D1E07">
        <w:rPr>
          <w:rStyle w:val="CittHTML"/>
        </w:rPr>
        <w:tab/>
        <w:t>publici praecipua explicantur: cum annotatis auctoris</w:t>
      </w:r>
      <w:r w:rsidRPr="003D1E07">
        <w:rPr>
          <w:rStyle w:val="CittHTML"/>
          <w:i w:val="0"/>
        </w:rPr>
        <w:t xml:space="preserve">. Edited by Philip Christiaan Molhuysen, Lugduni </w:t>
      </w:r>
      <w:r w:rsidRPr="003D1E07">
        <w:rPr>
          <w:rStyle w:val="CittHTML"/>
          <w:i w:val="0"/>
        </w:rPr>
        <w:tab/>
        <w:t>Batavorum: A.W. Sijthoff, 1919.</w:t>
      </w:r>
    </w:p>
    <w:p w14:paraId="24976A62" w14:textId="77777777" w:rsidR="08FF59F5" w:rsidRPr="003D1E07" w:rsidRDefault="08FF59F5" w:rsidP="08FF59F5">
      <w:pPr>
        <w:pStyle w:val="Literatura"/>
        <w:rPr>
          <w:rStyle w:val="TextpoznpodarouChar"/>
        </w:rPr>
      </w:pPr>
      <w:r w:rsidRPr="003D1E07">
        <w:t xml:space="preserve">Guilielmus Alvernus (William of Auvergne) (1674): </w:t>
      </w:r>
      <w:r w:rsidRPr="003D1E07">
        <w:rPr>
          <w:rStyle w:val="TextpoznpodarouChar"/>
          <w:i/>
        </w:rPr>
        <w:t>Guilielmi Alverni Episcopo Parisiensis Opera Omnia</w:t>
      </w:r>
      <w:r w:rsidRPr="003D1E07">
        <w:rPr>
          <w:rStyle w:val="TextpoznpodarouChar"/>
        </w:rPr>
        <w:t xml:space="preserve">. Edited by </w:t>
      </w:r>
      <w:r w:rsidRPr="003D1E07">
        <w:rPr>
          <w:szCs w:val="18"/>
        </w:rPr>
        <w:tab/>
      </w:r>
      <w:r w:rsidRPr="003D1E07">
        <w:rPr>
          <w:rStyle w:val="TextpoznpodarouChar"/>
        </w:rPr>
        <w:t>F. Hotot, 2 vols et Supplementum, Orléans/Paris: Le Feron.</w:t>
      </w:r>
    </w:p>
    <w:p w14:paraId="5FD8F3FD" w14:textId="77777777" w:rsidR="08FF59F5" w:rsidRPr="003D1E07" w:rsidRDefault="08FF59F5" w:rsidP="08FF59F5">
      <w:pPr>
        <w:pStyle w:val="Literatura"/>
      </w:pPr>
      <w:r w:rsidRPr="003D1E07">
        <w:t xml:space="preserve">‒ (1976): </w:t>
      </w:r>
      <w:r w:rsidRPr="003D1E07">
        <w:rPr>
          <w:i/>
        </w:rPr>
        <w:t>De Trinitate. An Edition of the Latin Text with an Introduction</w:t>
      </w:r>
      <w:r w:rsidRPr="003D1E07">
        <w:t xml:space="preserve">. Ed. Bruno Switalski. Toronto: Pontifical </w:t>
      </w:r>
      <w:r w:rsidRPr="003D1E07">
        <w:tab/>
        <w:t>Institute of Mediaeval Studies.</w:t>
      </w:r>
    </w:p>
    <w:p w14:paraId="21150834" w14:textId="77777777" w:rsidR="08FF59F5" w:rsidRPr="003D1E07" w:rsidRDefault="08FF59F5" w:rsidP="08FF59F5">
      <w:pPr>
        <w:pStyle w:val="Literatura"/>
      </w:pPr>
      <w:r w:rsidRPr="003D1E07">
        <w:t>Ockham, William,</w:t>
      </w:r>
      <w:r w:rsidRPr="003D1E07">
        <w:rPr>
          <w:i/>
        </w:rPr>
        <w:t xml:space="preserve"> Guillielmi de Ockham opera philosophica et theologica</w:t>
      </w:r>
      <w:r w:rsidRPr="003D1E07">
        <w:t xml:space="preserve"> (1967‒1988). Edited by Gedeon Gál, </w:t>
      </w:r>
      <w:r w:rsidRPr="003D1E07">
        <w:tab/>
        <w:t>Stephen Brown, et al. New York: The Franciscan Institute, St. Bonaventure.</w:t>
      </w:r>
    </w:p>
    <w:p w14:paraId="3EE87DD2" w14:textId="77777777" w:rsidR="08FF59F5" w:rsidRPr="003D1E07" w:rsidRDefault="08FF59F5" w:rsidP="08FF59F5">
      <w:pPr>
        <w:pStyle w:val="Literatura"/>
      </w:pPr>
      <w:r w:rsidRPr="003D1E07">
        <w:t xml:space="preserve">‒ (1967‒1986): </w:t>
      </w:r>
      <w:r w:rsidRPr="003D1E07">
        <w:rPr>
          <w:i/>
        </w:rPr>
        <w:t>Opera theologica</w:t>
      </w:r>
      <w:r w:rsidRPr="003D1E07">
        <w:t>, 10 vols. (OTh).</w:t>
      </w:r>
    </w:p>
    <w:p w14:paraId="782FAD57" w14:textId="77777777" w:rsidR="08FF59F5" w:rsidRPr="003D1E07" w:rsidRDefault="08FF59F5" w:rsidP="08FF59F5">
      <w:pPr>
        <w:pStyle w:val="Literatura"/>
      </w:pPr>
      <w:r w:rsidRPr="003D1E07">
        <w:t xml:space="preserve">‒ (1967-1988): </w:t>
      </w:r>
      <w:r w:rsidRPr="003D1E07">
        <w:rPr>
          <w:i/>
        </w:rPr>
        <w:t>Opera philosophica</w:t>
      </w:r>
      <w:r w:rsidRPr="003D1E07">
        <w:t>, 7 vols. (OPh).</w:t>
      </w:r>
    </w:p>
    <w:p w14:paraId="5819CA74" w14:textId="77777777" w:rsidR="08FF59F5" w:rsidRPr="003D1E07" w:rsidRDefault="08FF59F5" w:rsidP="08FF59F5">
      <w:pPr>
        <w:pStyle w:val="Literatura"/>
      </w:pPr>
      <w:r w:rsidRPr="003D1E07">
        <w:t xml:space="preserve">‒ (1995‒): </w:t>
      </w:r>
      <w:r w:rsidRPr="003D1E07">
        <w:rPr>
          <w:i/>
        </w:rPr>
        <w:t>Dialogus. Latin Text and English Translation</w:t>
      </w:r>
      <w:r w:rsidRPr="003D1E07">
        <w:t xml:space="preserve">. Edited by John Kilcullen, John Scott, George </w:t>
      </w:r>
      <w:r w:rsidRPr="003D1E07">
        <w:tab/>
        <w:t xml:space="preserve">Knysh, </w:t>
      </w:r>
      <w:r w:rsidRPr="003D1E07">
        <w:tab/>
        <w:t>Volker Leppin, Jan Ballweg, Karl Ubl, Semih Heinen. Oxford: Auctores Britannici Medii Aevi. (ABMA)</w:t>
      </w:r>
    </w:p>
    <w:p w14:paraId="7078BB0D" w14:textId="77777777" w:rsidR="08FF59F5" w:rsidRPr="003D1E07" w:rsidRDefault="08FF59F5" w:rsidP="08FF59F5">
      <w:pPr>
        <w:pStyle w:val="Literatura"/>
      </w:pPr>
      <w:r w:rsidRPr="003D1E07">
        <w:t xml:space="preserve">Gundisalvi, Dominicus (1897): </w:t>
      </w:r>
      <w:r w:rsidRPr="003D1E07">
        <w:rPr>
          <w:i/>
        </w:rPr>
        <w:t>De immortalitate animae</w:t>
      </w:r>
      <w:r w:rsidRPr="003D1E07">
        <w:t>. Ed. G. Bülow, Münster: Aschendorff.</w:t>
      </w:r>
    </w:p>
    <w:p w14:paraId="62ACC5AD" w14:textId="77777777" w:rsidR="08FF59F5" w:rsidRPr="003D1E07" w:rsidRDefault="08FF59F5" w:rsidP="08FF59F5">
      <w:pPr>
        <w:pStyle w:val="Literatura"/>
      </w:pPr>
      <w:r w:rsidRPr="003D1E07">
        <w:t xml:space="preserve">Hegel, Georg Wilhelm Friedrich. </w:t>
      </w:r>
      <w:r w:rsidRPr="003D1E07">
        <w:rPr>
          <w:i/>
          <w:iCs/>
        </w:rPr>
        <w:t>Werke in zwanzig Bänden</w:t>
      </w:r>
      <w:r w:rsidRPr="003D1E07">
        <w:t xml:space="preserve">. Frankfurt am Main: Suhrkamp, 1969‒1971, </w:t>
      </w:r>
      <w:r w:rsidRPr="003D1E07">
        <w:tab/>
        <w:t>Theorie</w:t>
      </w:r>
      <w:r w:rsidRPr="003D1E07">
        <w:noBreakHyphen/>
        <w:t>Werkausgabe.</w:t>
      </w:r>
    </w:p>
    <w:p w14:paraId="192863AE" w14:textId="77777777" w:rsidR="08FF59F5" w:rsidRPr="003D1E07" w:rsidRDefault="08FF59F5" w:rsidP="08FF59F5">
      <w:pPr>
        <w:pStyle w:val="Literatura"/>
      </w:pPr>
      <w:r w:rsidRPr="003D1E07">
        <w:t xml:space="preserve">‒ (1970): </w:t>
      </w:r>
      <w:r w:rsidRPr="003D1E07">
        <w:rPr>
          <w:i/>
        </w:rPr>
        <w:t>Phänomenologie des Geistes</w:t>
      </w:r>
      <w:r w:rsidRPr="003D1E07">
        <w:t>, Theorie-Werkausgabe, Band 3.</w:t>
      </w:r>
    </w:p>
    <w:p w14:paraId="3D84B7EB" w14:textId="77777777" w:rsidR="08FF59F5" w:rsidRPr="003D1E07" w:rsidRDefault="08FF59F5" w:rsidP="08FF59F5">
      <w:pPr>
        <w:pStyle w:val="Literatura"/>
      </w:pPr>
      <w:r w:rsidRPr="003D1E07">
        <w:t xml:space="preserve">‒ (1970): </w:t>
      </w:r>
      <w:r w:rsidRPr="003D1E07">
        <w:rPr>
          <w:rStyle w:val="st"/>
          <w:bCs/>
          <w:i/>
        </w:rPr>
        <w:t>Enzyklopädie</w:t>
      </w:r>
      <w:r w:rsidRPr="003D1E07">
        <w:rPr>
          <w:rStyle w:val="st"/>
          <w:i/>
        </w:rPr>
        <w:t xml:space="preserve"> der philosophischen </w:t>
      </w:r>
      <w:r w:rsidRPr="003D1E07">
        <w:rPr>
          <w:rStyle w:val="st"/>
          <w:bCs/>
          <w:i/>
        </w:rPr>
        <w:t>Wissenschaften</w:t>
      </w:r>
      <w:r w:rsidRPr="003D1E07">
        <w:rPr>
          <w:rStyle w:val="st"/>
          <w:bCs/>
        </w:rPr>
        <w:t xml:space="preserve">, </w:t>
      </w:r>
      <w:r w:rsidRPr="003D1E07">
        <w:t>Theorie-Werkausgabe</w:t>
      </w:r>
      <w:r w:rsidRPr="003D1E07">
        <w:rPr>
          <w:rStyle w:val="st"/>
          <w:bCs/>
        </w:rPr>
        <w:t xml:space="preserve">, </w:t>
      </w:r>
      <w:r w:rsidRPr="003D1E07">
        <w:t>Band 8.</w:t>
      </w:r>
    </w:p>
    <w:p w14:paraId="27908492" w14:textId="77777777" w:rsidR="08FF59F5" w:rsidRPr="003D1E07" w:rsidRDefault="08FF59F5" w:rsidP="08FF59F5">
      <w:pPr>
        <w:pStyle w:val="Literatura"/>
      </w:pPr>
      <w:r w:rsidRPr="003D1E07">
        <w:t xml:space="preserve">Henri d'Andeli (1914): </w:t>
      </w:r>
      <w:r w:rsidRPr="003D1E07">
        <w:rPr>
          <w:i/>
        </w:rPr>
        <w:t>The Battle of the Seven Arts</w:t>
      </w:r>
      <w:r w:rsidRPr="003D1E07">
        <w:t xml:space="preserve">. Edited and translated by Louis John Paetow. Berkeley: </w:t>
      </w:r>
      <w:r w:rsidRPr="003D1E07">
        <w:tab/>
        <w:t>University of California Press.</w:t>
      </w:r>
    </w:p>
    <w:p w14:paraId="6E3A927A" w14:textId="77777777" w:rsidR="08FF59F5" w:rsidRPr="003D1E07" w:rsidRDefault="08FF59F5" w:rsidP="08FF59F5">
      <w:pPr>
        <w:pStyle w:val="Literatura"/>
      </w:pPr>
      <w:r w:rsidRPr="003D1E07">
        <w:t xml:space="preserve">Heidegger, Martin. </w:t>
      </w:r>
      <w:r w:rsidRPr="003D1E07">
        <w:rPr>
          <w:i/>
          <w:iCs/>
        </w:rPr>
        <w:t>Gesamtausgabe</w:t>
      </w:r>
      <w:r w:rsidRPr="003D1E07">
        <w:t>, Frankfurt am Main, Vittorio Klostermann, 1975-. (GA)</w:t>
      </w:r>
    </w:p>
    <w:p w14:paraId="5812506C" w14:textId="77777777" w:rsidR="08FF59F5" w:rsidRPr="003D1E07" w:rsidRDefault="08FF59F5" w:rsidP="08FF59F5">
      <w:pPr>
        <w:pStyle w:val="Literatura"/>
      </w:pPr>
      <w:r w:rsidRPr="003D1E07">
        <w:t xml:space="preserve">‒ (1993): </w:t>
      </w:r>
      <w:r w:rsidRPr="003D1E07">
        <w:rPr>
          <w:i/>
          <w:iCs/>
        </w:rPr>
        <w:t>Sein und Zeit</w:t>
      </w:r>
      <w:r w:rsidRPr="003D1E07">
        <w:t>, Tübingen, Max Niemeyer Verlag, 17. Auflage, (SZ).</w:t>
      </w:r>
    </w:p>
    <w:p w14:paraId="51A4340C" w14:textId="77777777" w:rsidR="08FF59F5" w:rsidRPr="003D1E07" w:rsidRDefault="08FF59F5" w:rsidP="08FF59F5">
      <w:pPr>
        <w:pStyle w:val="Literatura"/>
      </w:pPr>
      <w:r w:rsidRPr="003D1E07">
        <w:t xml:space="preserve">‒ (1977): </w:t>
      </w:r>
      <w:r w:rsidRPr="003D1E07">
        <w:rPr>
          <w:i/>
        </w:rPr>
        <w:t>Holzwege</w:t>
      </w:r>
      <w:r w:rsidRPr="003D1E07">
        <w:t xml:space="preserve"> (1935–1946). Hrsg. F.-W. von Herrmann, GA 5.</w:t>
      </w:r>
    </w:p>
    <w:p w14:paraId="236D9105" w14:textId="77777777" w:rsidR="08FF59F5" w:rsidRPr="003D1E07" w:rsidRDefault="08FF59F5" w:rsidP="08FF59F5">
      <w:pPr>
        <w:pStyle w:val="Literatura"/>
      </w:pPr>
      <w:r w:rsidRPr="003D1E07">
        <w:t xml:space="preserve">‒ (1996): </w:t>
      </w:r>
      <w:r w:rsidRPr="003D1E07">
        <w:rPr>
          <w:i/>
        </w:rPr>
        <w:t>Nietzsche</w:t>
      </w:r>
      <w:r w:rsidRPr="003D1E07">
        <w:t xml:space="preserve"> 1 (1936–1939). Hrsg. B. Schillbach, GA 6.1.</w:t>
      </w:r>
    </w:p>
    <w:p w14:paraId="3D612C6E" w14:textId="77777777" w:rsidR="08FF59F5" w:rsidRPr="003D1E07" w:rsidRDefault="08FF59F5" w:rsidP="08FF59F5">
      <w:pPr>
        <w:pStyle w:val="Literatura"/>
      </w:pPr>
      <w:r w:rsidRPr="003D1E07">
        <w:lastRenderedPageBreak/>
        <w:t xml:space="preserve">‒ (2000): </w:t>
      </w:r>
      <w:r w:rsidRPr="003D1E07">
        <w:rPr>
          <w:i/>
        </w:rPr>
        <w:t>Vorträge und Aufsätze</w:t>
      </w:r>
      <w:r w:rsidRPr="003D1E07">
        <w:t xml:space="preserve"> (1936–1953). Hrsg. F.-W. von Herrmann, GA 7.</w:t>
      </w:r>
    </w:p>
    <w:p w14:paraId="53F259F7" w14:textId="77777777" w:rsidR="08FF59F5" w:rsidRPr="003D1E07" w:rsidRDefault="08FF59F5" w:rsidP="08FF59F5">
      <w:pPr>
        <w:pStyle w:val="Literatura"/>
      </w:pPr>
      <w:r w:rsidRPr="003D1E07">
        <w:t xml:space="preserve">‒ (2002): </w:t>
      </w:r>
      <w:r w:rsidRPr="003D1E07">
        <w:rPr>
          <w:i/>
        </w:rPr>
        <w:t>Was heisst Denken?</w:t>
      </w:r>
      <w:r w:rsidRPr="003D1E07">
        <w:t xml:space="preserve"> (1951–1952). Hrsg. P.-L. Coriando, GA 8.</w:t>
      </w:r>
    </w:p>
    <w:p w14:paraId="1372490D" w14:textId="77777777" w:rsidR="08FF59F5" w:rsidRPr="003D1E07" w:rsidRDefault="08FF59F5" w:rsidP="08FF59F5">
      <w:pPr>
        <w:pStyle w:val="Literatura"/>
      </w:pPr>
      <w:r w:rsidRPr="003D1E07">
        <w:t xml:space="preserve">‒ (1976): </w:t>
      </w:r>
      <w:r w:rsidRPr="003D1E07">
        <w:rPr>
          <w:i/>
        </w:rPr>
        <w:t>Wegmarken</w:t>
      </w:r>
      <w:r w:rsidRPr="003D1E07">
        <w:t xml:space="preserve"> (1919–1961). Hrsg. F.-W. von Herrmann, GA 9.</w:t>
      </w:r>
    </w:p>
    <w:p w14:paraId="226935EA" w14:textId="77777777" w:rsidR="08FF59F5" w:rsidRPr="003D1E07" w:rsidRDefault="08FF59F5" w:rsidP="08FF59F5">
      <w:pPr>
        <w:pStyle w:val="Literatura"/>
      </w:pPr>
      <w:r w:rsidRPr="003D1E07">
        <w:t xml:space="preserve">‒ (2006): </w:t>
      </w:r>
      <w:r w:rsidRPr="003D1E07">
        <w:rPr>
          <w:i/>
        </w:rPr>
        <w:t>Identität und Differenz</w:t>
      </w:r>
      <w:r w:rsidRPr="003D1E07">
        <w:t xml:space="preserve"> (1955–1957). Hrsg. F.-W. von Herrmann, GA 11.</w:t>
      </w:r>
    </w:p>
    <w:p w14:paraId="394622B5" w14:textId="77777777" w:rsidR="08FF59F5" w:rsidRPr="003D1E07" w:rsidRDefault="08FF59F5" w:rsidP="08FF59F5">
      <w:pPr>
        <w:pStyle w:val="Literatura"/>
      </w:pPr>
      <w:r w:rsidRPr="003D1E07">
        <w:t xml:space="preserve">‒ (1985): </w:t>
      </w:r>
      <w:r w:rsidRPr="003D1E07">
        <w:rPr>
          <w:i/>
        </w:rPr>
        <w:t>Unterwegs zur Sprache</w:t>
      </w:r>
      <w:r w:rsidRPr="003D1E07">
        <w:t xml:space="preserve"> (1950–1959). Hrsg. F.-W. von Herrmann, GA 12.</w:t>
      </w:r>
    </w:p>
    <w:p w14:paraId="52AE4548" w14:textId="77777777" w:rsidR="08FF59F5" w:rsidRPr="003D1E07" w:rsidRDefault="08FF59F5" w:rsidP="08FF59F5">
      <w:pPr>
        <w:pStyle w:val="Literatura"/>
      </w:pPr>
      <w:r w:rsidRPr="003D1E07">
        <w:t xml:space="preserve">‒ (2007): </w:t>
      </w:r>
      <w:r w:rsidRPr="003D1E07">
        <w:rPr>
          <w:i/>
        </w:rPr>
        <w:t>Zur Sache des Denkens</w:t>
      </w:r>
      <w:r w:rsidRPr="003D1E07">
        <w:t xml:space="preserve"> (1962–1964). Hrsg. F.-W. von Herrmann, GA 14.</w:t>
      </w:r>
    </w:p>
    <w:p w14:paraId="02A4B899" w14:textId="77777777" w:rsidR="08FF59F5" w:rsidRPr="003D1E07" w:rsidRDefault="08FF59F5" w:rsidP="08FF59F5">
      <w:pPr>
        <w:pStyle w:val="Literatura"/>
      </w:pPr>
      <w:r w:rsidRPr="003D1E07">
        <w:t xml:space="preserve">‒ (1983): </w:t>
      </w:r>
      <w:r w:rsidRPr="003D1E07">
        <w:rPr>
          <w:i/>
        </w:rPr>
        <w:t xml:space="preserve">Einführung in die Metaphysik </w:t>
      </w:r>
      <w:r w:rsidRPr="003D1E07">
        <w:t>(Sommersemester 1935). Hrsg. P. Jaeger, GA 40.</w:t>
      </w:r>
    </w:p>
    <w:p w14:paraId="044A661B" w14:textId="77777777" w:rsidR="08FF59F5" w:rsidRPr="003D1E07" w:rsidRDefault="08FF59F5" w:rsidP="08FF59F5">
      <w:pPr>
        <w:pStyle w:val="Literatura"/>
      </w:pPr>
      <w:r w:rsidRPr="003D1E07">
        <w:t xml:space="preserve">‒ (1988): </w:t>
      </w:r>
      <w:r w:rsidRPr="003D1E07">
        <w:rPr>
          <w:i/>
        </w:rPr>
        <w:t xml:space="preserve">Ontologie. Hermeneutik der Faktizität </w:t>
      </w:r>
      <w:r w:rsidRPr="003D1E07">
        <w:t>(Sommersemester 1923). Hrsg. K. Bröcker-Oltmanns, GA 63.</w:t>
      </w:r>
    </w:p>
    <w:p w14:paraId="353BC6D8" w14:textId="77777777" w:rsidR="08FF59F5" w:rsidRPr="003D1E07" w:rsidRDefault="08FF59F5" w:rsidP="08FF59F5">
      <w:pPr>
        <w:pStyle w:val="Literatura"/>
      </w:pPr>
      <w:r w:rsidRPr="003D1E07">
        <w:t xml:space="preserve">‒ (1989): </w:t>
      </w:r>
      <w:r w:rsidRPr="003D1E07">
        <w:rPr>
          <w:i/>
        </w:rPr>
        <w:t>Beiträge zur Philosophie. Vom Ereignis (1936–1938)</w:t>
      </w:r>
      <w:r w:rsidRPr="003D1E07">
        <w:t>. Hrsg. F.-W. von Herrmann, GA 65.</w:t>
      </w:r>
    </w:p>
    <w:p w14:paraId="51481D4E" w14:textId="77777777" w:rsidR="08FF59F5" w:rsidRPr="003D1E07" w:rsidRDefault="08FF59F5" w:rsidP="08FF59F5">
      <w:pPr>
        <w:pStyle w:val="Literatura"/>
      </w:pPr>
      <w:r w:rsidRPr="003D1E07">
        <w:t xml:space="preserve">‒ (1994): </w:t>
      </w:r>
      <w:r w:rsidRPr="003D1E07">
        <w:rPr>
          <w:i/>
        </w:rPr>
        <w:t>Bremer und Freiburger Vorträge</w:t>
      </w:r>
      <w:r w:rsidRPr="003D1E07">
        <w:t>, Hrsg. P. Jaeger, GA 79.</w:t>
      </w:r>
    </w:p>
    <w:p w14:paraId="569929EA" w14:textId="77777777" w:rsidR="08FF59F5" w:rsidRPr="003D1E07" w:rsidRDefault="08FF59F5" w:rsidP="08FF59F5">
      <w:pPr>
        <w:pStyle w:val="Literatura"/>
        <w:rPr>
          <w:szCs w:val="48"/>
        </w:rPr>
      </w:pPr>
      <w:r w:rsidRPr="003D1E07">
        <w:rPr>
          <w:szCs w:val="48"/>
        </w:rPr>
        <w:t>Henry of Avranches (1935):</w:t>
      </w:r>
      <w:r w:rsidRPr="003D1E07">
        <w:rPr>
          <w:i/>
          <w:szCs w:val="48"/>
        </w:rPr>
        <w:t xml:space="preserve"> The Shorter Latin Poems of Master Henry of Avranches Relating to England</w:t>
      </w:r>
      <w:r w:rsidRPr="003D1E07">
        <w:rPr>
          <w:szCs w:val="48"/>
        </w:rPr>
        <w:t xml:space="preserve">. Edited </w:t>
      </w:r>
      <w:r w:rsidRPr="003D1E07">
        <w:rPr>
          <w:szCs w:val="48"/>
        </w:rPr>
        <w:tab/>
        <w:t>by J.C. Russel and J. P. Heironimus. The Mediaeval Academy of America. Massachusetts: Cambridge.</w:t>
      </w:r>
    </w:p>
    <w:p w14:paraId="4CE9DFCE" w14:textId="77777777" w:rsidR="08FF59F5" w:rsidRPr="003D1E07" w:rsidRDefault="08FF59F5" w:rsidP="08FF59F5">
      <w:pPr>
        <w:pStyle w:val="Literatura"/>
      </w:pPr>
      <w:r w:rsidRPr="003D1E07">
        <w:t xml:space="preserve">Hugues de Saint-Cher (1932): "Un petit traité sur l'âme de Hugues de Saint-Cher". Edited by Dom Odon Lottin. </w:t>
      </w:r>
      <w:r w:rsidRPr="003D1E07">
        <w:tab/>
      </w:r>
      <w:r w:rsidRPr="003D1E07">
        <w:rPr>
          <w:i/>
        </w:rPr>
        <w:t>Revue néo-scolastique de philosophie</w:t>
      </w:r>
      <w:r w:rsidRPr="003D1E07">
        <w:t xml:space="preserve"> 36 (1932): 468‒475.</w:t>
      </w:r>
    </w:p>
    <w:p w14:paraId="433BCDF5" w14:textId="77777777" w:rsidR="08FF59F5" w:rsidRPr="003D1E07" w:rsidRDefault="08FF59F5" w:rsidP="08FF59F5">
      <w:pPr>
        <w:pStyle w:val="Literatura"/>
      </w:pPr>
      <w:r w:rsidRPr="003D1E07">
        <w:t xml:space="preserve">Husserl, Edmund </w:t>
      </w:r>
      <w:r w:rsidRPr="003D1E07">
        <w:rPr>
          <w:rStyle w:val="CittHTML"/>
          <w:i w:val="0"/>
        </w:rPr>
        <w:t>(1913):</w:t>
      </w:r>
      <w:r w:rsidRPr="003D1E07">
        <w:rPr>
          <w:rStyle w:val="CittHTML"/>
        </w:rPr>
        <w:t xml:space="preserve"> </w:t>
      </w:r>
      <w:r w:rsidRPr="003D1E07">
        <w:t>Logische Untersuchungen I. Tübingen: Max Niemeyer Verlag.</w:t>
      </w:r>
    </w:p>
    <w:p w14:paraId="68590DF6" w14:textId="77777777" w:rsidR="08FF59F5" w:rsidRPr="003D1E07" w:rsidRDefault="08FF59F5" w:rsidP="08FF59F5">
      <w:pPr>
        <w:pStyle w:val="Literatura"/>
      </w:pPr>
      <w:r w:rsidRPr="003D1E07">
        <w:rPr>
          <w:rStyle w:val="CittHTML"/>
          <w:i w:val="0"/>
        </w:rPr>
        <w:t>‒ (1954):</w:t>
      </w:r>
      <w:r w:rsidRPr="003D1E07">
        <w:rPr>
          <w:rStyle w:val="CittHTML"/>
        </w:rPr>
        <w:t xml:space="preserve"> </w:t>
      </w:r>
      <w:r w:rsidRPr="003D1E07">
        <w:rPr>
          <w:i/>
        </w:rPr>
        <w:t>Erfahrung und Urteil</w:t>
      </w:r>
      <w:r w:rsidRPr="003D1E07">
        <w:t>, edited by  Ludwig Landgrebe. Hamburg: Claassen.</w:t>
      </w:r>
    </w:p>
    <w:p w14:paraId="3B798E07" w14:textId="77777777" w:rsidR="08FF59F5" w:rsidRPr="003D1E07" w:rsidRDefault="08FF59F5" w:rsidP="08FF59F5">
      <w:pPr>
        <w:pStyle w:val="Literatura"/>
        <w:rPr>
          <w:rStyle w:val="CittHTML"/>
          <w:rFonts w:cs="TimesNewRomanPSMT"/>
          <w:i w:val="0"/>
          <w:iCs w:val="0"/>
          <w:szCs w:val="24"/>
        </w:rPr>
      </w:pPr>
      <w:r w:rsidRPr="003D1E07">
        <w:rPr>
          <w:rStyle w:val="CittHTML"/>
          <w:i w:val="0"/>
        </w:rPr>
        <w:t>‒ (1973):</w:t>
      </w:r>
      <w:r w:rsidRPr="003D1E07">
        <w:rPr>
          <w:rStyle w:val="CittHTML"/>
        </w:rPr>
        <w:t xml:space="preserve"> </w:t>
      </w:r>
      <w:r w:rsidRPr="003D1E07">
        <w:rPr>
          <w:rFonts w:cs="TimesNewRomanPSMT"/>
          <w:i/>
          <w:szCs w:val="24"/>
        </w:rPr>
        <w:t>Cartesianische Mediationen und Pariser Vorträge</w:t>
      </w:r>
      <w:r w:rsidRPr="003D1E07">
        <w:rPr>
          <w:rFonts w:cs="TimesNewRomanPSMT"/>
          <w:szCs w:val="24"/>
        </w:rPr>
        <w:t xml:space="preserve">; Husserliana I. </w:t>
      </w:r>
      <w:r w:rsidRPr="003D1E07">
        <w:t xml:space="preserve">Edited by S. Strasser. The Hague: </w:t>
      </w:r>
      <w:r w:rsidRPr="003D1E07">
        <w:tab/>
        <w:t>Martinus Nijhoff.</w:t>
      </w:r>
    </w:p>
    <w:p w14:paraId="414A7F74" w14:textId="77777777" w:rsidR="08FF59F5" w:rsidRPr="003D1E07" w:rsidRDefault="08FF59F5" w:rsidP="08FF59F5">
      <w:pPr>
        <w:pStyle w:val="Literatura"/>
        <w:rPr>
          <w:rStyle w:val="CittHTML"/>
          <w:i w:val="0"/>
        </w:rPr>
      </w:pPr>
      <w:r w:rsidRPr="003D1E07">
        <w:rPr>
          <w:rStyle w:val="CittHTML"/>
          <w:i w:val="0"/>
        </w:rPr>
        <w:t>‒ (1977):</w:t>
      </w:r>
      <w:r w:rsidRPr="003D1E07">
        <w:rPr>
          <w:rStyle w:val="CittHTML"/>
        </w:rPr>
        <w:t xml:space="preserve"> </w:t>
      </w:r>
      <w:r w:rsidRPr="003D1E07">
        <w:rPr>
          <w:i/>
        </w:rPr>
        <w:t>Ideen zu einer reinen Phänomenologie und phänomenologischen Philosophie</w:t>
      </w:r>
      <w:r w:rsidRPr="003D1E07">
        <w:rPr>
          <w:rStyle w:val="st"/>
        </w:rPr>
        <w:t xml:space="preserve"> I, </w:t>
      </w:r>
      <w:r w:rsidRPr="003D1E07">
        <w:t xml:space="preserve">Husserliana III/1. </w:t>
      </w:r>
      <w:r w:rsidRPr="003D1E07">
        <w:tab/>
        <w:t>Edited by Karl Schuhmann. The Hague, Netherlands: Martinus Nijhoff.</w:t>
      </w:r>
    </w:p>
    <w:p w14:paraId="620867F8" w14:textId="77777777" w:rsidR="08FF59F5" w:rsidRPr="003D1E07" w:rsidRDefault="08FF59F5" w:rsidP="08FF59F5">
      <w:pPr>
        <w:pStyle w:val="Literatura"/>
      </w:pPr>
      <w:r w:rsidRPr="003D1E07">
        <w:rPr>
          <w:rStyle w:val="CittHTML"/>
          <w:i w:val="0"/>
        </w:rPr>
        <w:t>‒ (1983):</w:t>
      </w:r>
      <w:r w:rsidRPr="003D1E07">
        <w:rPr>
          <w:rStyle w:val="CittHTML"/>
        </w:rPr>
        <w:t xml:space="preserve"> Studien zur Arithmetik und Geometrie.</w:t>
      </w:r>
      <w:r w:rsidRPr="003D1E07">
        <w:t xml:space="preserve"> Texte aus dem Nachlass (1886-1901). [Studies on arithmetic </w:t>
      </w:r>
      <w:r w:rsidRPr="003D1E07">
        <w:tab/>
        <w:t xml:space="preserve">and geometry. Texts from the estate (1886-1901). Edited by Ingeborg Strohmeyer. The Hague, </w:t>
      </w:r>
      <w:r w:rsidRPr="003D1E07">
        <w:tab/>
        <w:t>Netherlands: Martinus Nijhoff.</w:t>
      </w:r>
    </w:p>
    <w:p w14:paraId="77898555" w14:textId="77777777" w:rsidR="08FF59F5" w:rsidRPr="003D1E07" w:rsidRDefault="08FF59F5" w:rsidP="08FF59F5">
      <w:pPr>
        <w:pStyle w:val="Literatura"/>
        <w:rPr>
          <w:rStyle w:val="TextpoznpodarouChar"/>
        </w:rPr>
      </w:pPr>
      <w:r w:rsidRPr="003D1E07">
        <w:rPr>
          <w:rStyle w:val="st"/>
        </w:rPr>
        <w:t xml:space="preserve">Gutas, Dimitri (1988). </w:t>
      </w:r>
      <w:r w:rsidRPr="003D1E07">
        <w:rPr>
          <w:rStyle w:val="st"/>
          <w:i/>
        </w:rPr>
        <w:t xml:space="preserve">Avicenna and the Aristotelian Tradition. Introduction to Reading Avicenna's Philosophical </w:t>
      </w:r>
      <w:r w:rsidRPr="003D1E07">
        <w:rPr>
          <w:rStyle w:val="st"/>
          <w:i/>
        </w:rPr>
        <w:tab/>
        <w:t>Works</w:t>
      </w:r>
      <w:r w:rsidRPr="003D1E07">
        <w:rPr>
          <w:rStyle w:val="st"/>
        </w:rPr>
        <w:t>. Leiden: E. J. Brill.</w:t>
      </w:r>
    </w:p>
    <w:p w14:paraId="71CD11D3" w14:textId="77777777" w:rsidR="08FF59F5" w:rsidRPr="003D1E07" w:rsidRDefault="08FF59F5" w:rsidP="08FF59F5">
      <w:pPr>
        <w:pStyle w:val="Literatura"/>
      </w:pPr>
      <w:r w:rsidRPr="003D1E07">
        <w:t xml:space="preserve">Gyekye, Kwame (1971): "The Terms "Prima Intentio" and "Secunda Intentio" in Arabic Logic". </w:t>
      </w:r>
      <w:r w:rsidRPr="003D1E07">
        <w:rPr>
          <w:i/>
        </w:rPr>
        <w:t>Speculum</w:t>
      </w:r>
      <w:r w:rsidRPr="003D1E07">
        <w:t xml:space="preserve"> 46: </w:t>
      </w:r>
      <w:r w:rsidRPr="003D1E07">
        <w:tab/>
        <w:t>32‒38.</w:t>
      </w:r>
    </w:p>
    <w:p w14:paraId="6331C6E8" w14:textId="77777777" w:rsidR="08FF59F5" w:rsidRPr="003D1E07" w:rsidRDefault="08FF59F5" w:rsidP="08FF59F5">
      <w:pPr>
        <w:pStyle w:val="Literatura"/>
        <w:rPr>
          <w:szCs w:val="22"/>
        </w:rPr>
      </w:pPr>
      <w:r w:rsidRPr="003D1E07">
        <w:rPr>
          <w:szCs w:val="24"/>
        </w:rPr>
        <w:t xml:space="preserve">Hackett, Jeremiah </w:t>
      </w:r>
      <w:r w:rsidRPr="003D1E07">
        <w:rPr>
          <w:szCs w:val="22"/>
        </w:rPr>
        <w:t xml:space="preserve">(1997a): "Roger Bacon, Aristotle, and the Parisian Condemnations of 1270, 1277". </w:t>
      </w:r>
      <w:r w:rsidRPr="003D1E07">
        <w:rPr>
          <w:i/>
          <w:szCs w:val="22"/>
        </w:rPr>
        <w:t>Vivarium</w:t>
      </w:r>
      <w:r w:rsidRPr="003D1E07">
        <w:rPr>
          <w:szCs w:val="22"/>
        </w:rPr>
        <w:t xml:space="preserve"> </w:t>
      </w:r>
      <w:r w:rsidRPr="003D1E07">
        <w:rPr>
          <w:szCs w:val="22"/>
        </w:rPr>
        <w:tab/>
        <w:t>35/2: 283‒314.</w:t>
      </w:r>
    </w:p>
    <w:p w14:paraId="07A8AAD8" w14:textId="77777777" w:rsidR="08FF59F5" w:rsidRPr="003D1E07" w:rsidRDefault="08FF59F5" w:rsidP="08FF59F5">
      <w:pPr>
        <w:pStyle w:val="Literatura"/>
        <w:rPr>
          <w:szCs w:val="22"/>
        </w:rPr>
      </w:pPr>
      <w:r w:rsidRPr="003D1E07">
        <w:rPr>
          <w:szCs w:val="22"/>
        </w:rPr>
        <w:t>‒ (</w:t>
      </w:r>
      <w:r w:rsidRPr="003D1E07">
        <w:t>1997b</w:t>
      </w:r>
      <w:r w:rsidRPr="003D1E07">
        <w:rPr>
          <w:szCs w:val="22"/>
        </w:rPr>
        <w:t xml:space="preserve">): </w:t>
      </w:r>
      <w:r w:rsidRPr="003D1E07">
        <w:rPr>
          <w:i/>
        </w:rPr>
        <w:t>Roger Bacon and the Sciences: Commemorative Essays</w:t>
      </w:r>
      <w:r w:rsidRPr="003D1E07">
        <w:t>. Leiden: Brill.</w:t>
      </w:r>
    </w:p>
    <w:p w14:paraId="6CAEDDE8" w14:textId="77777777" w:rsidR="08FF59F5" w:rsidRPr="003D1E07" w:rsidRDefault="08FF59F5" w:rsidP="08FF59F5">
      <w:pPr>
        <w:pStyle w:val="Literatura"/>
      </w:pPr>
      <w:r w:rsidRPr="003D1E07">
        <w:t xml:space="preserve">Hadot, Pierre (1990): "The harmony of Plotinus and Aristotle according to Porphyry". </w:t>
      </w:r>
      <w:r w:rsidRPr="003D1E07">
        <w:rPr>
          <w:i/>
        </w:rPr>
        <w:t xml:space="preserve">Aristotle transformed: the </w:t>
      </w:r>
      <w:r w:rsidRPr="003D1E07">
        <w:rPr>
          <w:i/>
        </w:rPr>
        <w:tab/>
        <w:t>ancient commentators and their influence</w:t>
      </w:r>
      <w:r w:rsidRPr="003D1E07">
        <w:t xml:space="preserve">, edited by Richard Sorabji, New York: Cornell Univesity </w:t>
      </w:r>
      <w:r w:rsidRPr="003D1E07">
        <w:rPr>
          <w:i/>
        </w:rPr>
        <w:tab/>
      </w:r>
      <w:r w:rsidRPr="003D1E07">
        <w:t xml:space="preserve">Press, </w:t>
      </w:r>
      <w:r w:rsidRPr="003D1E07">
        <w:rPr>
          <w:rStyle w:val="st"/>
        </w:rPr>
        <w:tab/>
      </w:r>
      <w:r w:rsidRPr="003D1E07">
        <w:t>pp. 125–140.</w:t>
      </w:r>
    </w:p>
    <w:p w14:paraId="0B840B64" w14:textId="77777777" w:rsidR="08FF59F5" w:rsidRPr="003D1E07" w:rsidRDefault="08FF59F5" w:rsidP="08FF59F5">
      <w:pPr>
        <w:pStyle w:val="Literatura"/>
      </w:pPr>
      <w:r w:rsidRPr="003D1E07">
        <w:t xml:space="preserve">Hammond, Jay, and Wayne Hellmann, Jared Goff (2013): </w:t>
      </w:r>
      <w:r w:rsidRPr="003D1E07">
        <w:rPr>
          <w:i/>
        </w:rPr>
        <w:t>A Companion to Bonaventure</w:t>
      </w:r>
      <w:r w:rsidRPr="003D1E07">
        <w:t>. Brill.</w:t>
      </w:r>
    </w:p>
    <w:p w14:paraId="63B5A36A" w14:textId="77777777" w:rsidR="08FF59F5" w:rsidRPr="003D1E07" w:rsidRDefault="08FF59F5" w:rsidP="08FF59F5">
      <w:pPr>
        <w:pStyle w:val="Literatura"/>
      </w:pPr>
      <w:r w:rsidRPr="003D1E07">
        <w:t xml:space="preserve">Hasse, Dag Nicolaus (1999): "Das Lehrstück von den vier Intellekten in der Scholastik". </w:t>
      </w:r>
      <w:r w:rsidRPr="003D1E07">
        <w:rPr>
          <w:i/>
        </w:rPr>
        <w:t xml:space="preserve">Recherches de Théologie </w:t>
      </w:r>
      <w:r w:rsidRPr="003D1E07">
        <w:rPr>
          <w:i/>
        </w:rPr>
        <w:tab/>
        <w:t>et Philosophie Médiévales</w:t>
      </w:r>
      <w:r w:rsidRPr="003D1E07">
        <w:t xml:space="preserve"> 66/1: 21‒77.</w:t>
      </w:r>
    </w:p>
    <w:p w14:paraId="4A4AFA2A" w14:textId="77777777" w:rsidR="08FF59F5" w:rsidRPr="003D1E07" w:rsidRDefault="08FF59F5" w:rsidP="08FF59F5">
      <w:pPr>
        <w:pStyle w:val="Literatura"/>
      </w:pPr>
      <w:r w:rsidRPr="003D1E07">
        <w:rPr>
          <w:szCs w:val="22"/>
        </w:rPr>
        <w:t>‒ (</w:t>
      </w:r>
      <w:r w:rsidRPr="003D1E07">
        <w:t>2000</w:t>
      </w:r>
      <w:r w:rsidRPr="003D1E07">
        <w:rPr>
          <w:szCs w:val="22"/>
        </w:rPr>
        <w:t xml:space="preserve">): </w:t>
      </w:r>
      <w:r w:rsidRPr="003D1E07">
        <w:rPr>
          <w:i/>
        </w:rPr>
        <w:t>Avicenna’s De anima in the Latin West</w:t>
      </w:r>
      <w:r w:rsidRPr="003D1E07">
        <w:t>. London – Turin: The Warburg Institute – Nino Aragno Editore.</w:t>
      </w:r>
    </w:p>
    <w:p w14:paraId="396C033C" w14:textId="77777777" w:rsidR="00465362" w:rsidRPr="003D1E07" w:rsidRDefault="00465362" w:rsidP="08FF59F5">
      <w:pPr>
        <w:pStyle w:val="Literatura"/>
        <w:rPr>
          <w:szCs w:val="22"/>
        </w:rPr>
      </w:pPr>
      <w:r w:rsidRPr="003D1E07">
        <w:t xml:space="preserve">– (2007): </w:t>
      </w:r>
      <w:r w:rsidRPr="003D1E07">
        <w:rPr>
          <w:rFonts w:cs="Calibri"/>
        </w:rPr>
        <w:t>"</w:t>
      </w:r>
      <w:r w:rsidRPr="003D1E07">
        <w:t xml:space="preserve">Averroica secta: Notes on the Formation of Averroist Movements in Fourteenth-Century Bologna </w:t>
      </w:r>
      <w:r w:rsidRPr="003D1E07">
        <w:rPr>
          <w:rStyle w:val="st"/>
        </w:rPr>
        <w:tab/>
      </w:r>
      <w:r w:rsidRPr="003D1E07">
        <w:t>and Renaissance Italy</w:t>
      </w:r>
      <w:r w:rsidRPr="003D1E07">
        <w:rPr>
          <w:rFonts w:cs="Calibri"/>
        </w:rPr>
        <w:t>"</w:t>
      </w:r>
      <w:r w:rsidRPr="003D1E07">
        <w:t xml:space="preserve">, in: </w:t>
      </w:r>
      <w:r w:rsidRPr="003D1E07">
        <w:rPr>
          <w:i/>
        </w:rPr>
        <w:t xml:space="preserve">Averroes et les averroïsmes juif et latin: Actes du Colloque International (Paris, </w:t>
      </w:r>
      <w:r w:rsidRPr="003D1E07">
        <w:rPr>
          <w:rStyle w:val="st"/>
        </w:rPr>
        <w:tab/>
      </w:r>
      <w:r w:rsidRPr="003D1E07">
        <w:rPr>
          <w:i/>
        </w:rPr>
        <w:t>16-18 juin 2005)</w:t>
      </w:r>
      <w:r w:rsidRPr="003D1E07">
        <w:t>, Brepols Publishers.</w:t>
      </w:r>
    </w:p>
    <w:p w14:paraId="7FC4F6CD" w14:textId="77777777" w:rsidR="08FF59F5" w:rsidRPr="003D1E07" w:rsidRDefault="08FF59F5" w:rsidP="08FF59F5">
      <w:pPr>
        <w:pStyle w:val="Literatura"/>
      </w:pPr>
      <w:r w:rsidRPr="003D1E07">
        <w:rPr>
          <w:szCs w:val="22"/>
        </w:rPr>
        <w:t>‒ (</w:t>
      </w:r>
      <w:r w:rsidRPr="003D1E07">
        <w:t>2010</w:t>
      </w:r>
      <w:r w:rsidRPr="003D1E07">
        <w:rPr>
          <w:szCs w:val="22"/>
        </w:rPr>
        <w:t xml:space="preserve">): </w:t>
      </w:r>
      <w:r w:rsidRPr="003D1E07">
        <w:rPr>
          <w:i/>
        </w:rPr>
        <w:t>Latin Averroes Translations of the First Half of the Thirteenth Century</w:t>
      </w:r>
      <w:r w:rsidRPr="003D1E07">
        <w:t>, Zurich-New York: Hildesheim.</w:t>
      </w:r>
    </w:p>
    <w:p w14:paraId="423D06CA" w14:textId="77777777" w:rsidR="08FF59F5" w:rsidRPr="003D1E07" w:rsidRDefault="08FF59F5" w:rsidP="08FF59F5">
      <w:pPr>
        <w:pStyle w:val="Literatura"/>
      </w:pPr>
      <w:r w:rsidRPr="003D1E07">
        <w:t xml:space="preserve">Hasse, Dag Nikolaus, and Amos Bertolacci (2012): </w:t>
      </w:r>
      <w:r w:rsidRPr="003D1E07">
        <w:rPr>
          <w:i/>
        </w:rPr>
        <w:t xml:space="preserve">The Arabic, Hebrew and Latin Reception of Avicenna's </w:t>
      </w:r>
      <w:r w:rsidRPr="003D1E07">
        <w:rPr>
          <w:i/>
        </w:rPr>
        <w:tab/>
        <w:t>Metaphysics. Scientia Graeco-Arabica 7</w:t>
      </w:r>
      <w:r w:rsidRPr="003D1E07">
        <w:t>. Berlin: Walter de Gruyter.</w:t>
      </w:r>
    </w:p>
    <w:p w14:paraId="3A3A5803" w14:textId="77777777" w:rsidR="08FF59F5" w:rsidRPr="003D1E07" w:rsidRDefault="08FF59F5" w:rsidP="08FF59F5">
      <w:pPr>
        <w:pStyle w:val="Literatura"/>
        <w:rPr>
          <w:smallCaps/>
        </w:rPr>
      </w:pPr>
      <w:r w:rsidRPr="003D1E07">
        <w:t xml:space="preserve">Hissette, Roland (1977): </w:t>
      </w:r>
      <w:r w:rsidRPr="003D1E07">
        <w:rPr>
          <w:i/>
          <w:iCs/>
        </w:rPr>
        <w:t>Enquête sur les 219 articles condamnés à Paris le 7 Mars 1277</w:t>
      </w:r>
      <w:r w:rsidRPr="003D1E07">
        <w:t xml:space="preserve">. Publications </w:t>
      </w:r>
      <w:r w:rsidRPr="003D1E07">
        <w:tab/>
        <w:t>Universitaires, Louvain.</w:t>
      </w:r>
    </w:p>
    <w:p w14:paraId="6B4F42C1" w14:textId="77777777" w:rsidR="08FF59F5" w:rsidRPr="003D1E07" w:rsidRDefault="08FF59F5" w:rsidP="08FF59F5">
      <w:pPr>
        <w:pStyle w:val="Literatura"/>
      </w:pPr>
      <w:r w:rsidRPr="003D1E07">
        <w:t xml:space="preserve">Honnefelder, Ludger (1987): "Der Zweite Anfang der Metaphysik. Voraussetzungen, Ansätze und Folgen der </w:t>
      </w:r>
      <w:r w:rsidRPr="003D1E07">
        <w:tab/>
        <w:t xml:space="preserve">Wiederbegündung der Metaphysik im 13./14. Jahrhundert". </w:t>
      </w:r>
      <w:r w:rsidRPr="003D1E07">
        <w:rPr>
          <w:i/>
        </w:rPr>
        <w:t xml:space="preserve">Philosophie im Mittelater. Entwicklunglinien </w:t>
      </w:r>
      <w:r w:rsidRPr="003D1E07">
        <w:rPr>
          <w:rStyle w:val="st"/>
        </w:rPr>
        <w:tab/>
      </w:r>
      <w:r w:rsidRPr="003D1E07">
        <w:rPr>
          <w:i/>
        </w:rPr>
        <w:t xml:space="preserve">und Paradigmen, </w:t>
      </w:r>
      <w:r w:rsidRPr="003D1E07">
        <w:t>edited by Jan P. Beckmann, Hamburg: Felix Meiner Verlag, pp. 165–186.</w:t>
      </w:r>
    </w:p>
    <w:p w14:paraId="5AC0D3E2" w14:textId="77777777" w:rsidR="08FF59F5" w:rsidRPr="003D1E07" w:rsidRDefault="08FF59F5" w:rsidP="08FF59F5">
      <w:pPr>
        <w:pStyle w:val="Literatura"/>
      </w:pPr>
      <w:r w:rsidRPr="003D1E07">
        <w:rPr>
          <w:szCs w:val="22"/>
        </w:rPr>
        <w:lastRenderedPageBreak/>
        <w:t>‒ (</w:t>
      </w:r>
      <w:r w:rsidRPr="003D1E07">
        <w:t>2007</w:t>
      </w:r>
      <w:r w:rsidRPr="003D1E07">
        <w:rPr>
          <w:szCs w:val="22"/>
        </w:rPr>
        <w:t>): "</w:t>
      </w:r>
      <w:r w:rsidRPr="003D1E07">
        <w:t xml:space="preserve">Metaphysik als scientia transcendens: Johannes Duns Scotus und der zweite Anfang der </w:t>
      </w:r>
      <w:r w:rsidRPr="003D1E07">
        <w:tab/>
        <w:t xml:space="preserve">Metaphysik". </w:t>
      </w:r>
      <w:r w:rsidRPr="003D1E07">
        <w:rPr>
          <w:rStyle w:val="Zvraznn"/>
        </w:rPr>
        <w:t xml:space="preserve">New Essays on Metaphysics as "Scientia Transcendens": Proceedings of the Second </w:t>
      </w:r>
      <w:r w:rsidRPr="003D1E07">
        <w:rPr>
          <w:rStyle w:val="Zvraznn"/>
        </w:rPr>
        <w:tab/>
        <w:t xml:space="preserve">International Conference of Medieval Philosophy, Held at the Pontifical Catholic University of Rio Grande </w:t>
      </w:r>
      <w:r w:rsidRPr="003D1E07">
        <w:rPr>
          <w:rStyle w:val="st"/>
        </w:rPr>
        <w:tab/>
      </w:r>
      <w:r w:rsidRPr="003D1E07">
        <w:rPr>
          <w:rStyle w:val="Zvraznn"/>
        </w:rPr>
        <w:t>Do Sul (Pucrs), Porto Alegre/Brazil, 15-18 August 2006</w:t>
      </w:r>
      <w:r w:rsidRPr="003D1E07">
        <w:rPr>
          <w:rStyle w:val="Zvraznn"/>
          <w:i w:val="0"/>
        </w:rPr>
        <w:t>, e</w:t>
      </w:r>
      <w:r w:rsidRPr="003D1E07">
        <w:t xml:space="preserve">dited by Roberto Hofmeister Pich, Fédération </w:t>
      </w:r>
      <w:r w:rsidRPr="003D1E07">
        <w:rPr>
          <w:rStyle w:val="st"/>
        </w:rPr>
        <w:tab/>
      </w:r>
      <w:r w:rsidRPr="003D1E07">
        <w:t xml:space="preserve">Internationale des Instituts d'Études Médiévales, pp. 1–19. </w:t>
      </w:r>
    </w:p>
    <w:p w14:paraId="328D62FD" w14:textId="77777777" w:rsidR="08FF59F5" w:rsidRPr="003D1E07" w:rsidRDefault="08FF59F5" w:rsidP="08FF59F5">
      <w:pPr>
        <w:pStyle w:val="Literatura"/>
        <w:rPr>
          <w:szCs w:val="24"/>
        </w:rPr>
      </w:pPr>
      <w:r w:rsidRPr="003D1E07">
        <w:t xml:space="preserve">Horkheimer, Max; Adorno, Theodor W. (2000): </w:t>
      </w:r>
      <w:r w:rsidRPr="003D1E07">
        <w:rPr>
          <w:i/>
          <w:iCs/>
        </w:rPr>
        <w:t>Dialektik der Aufklärung</w:t>
      </w:r>
      <w:r w:rsidRPr="003D1E07">
        <w:t>, Frankfurt: S. Fischer Taschenbuch.</w:t>
      </w:r>
    </w:p>
    <w:p w14:paraId="751B4E3C" w14:textId="77777777" w:rsidR="08FF59F5" w:rsidRPr="003D1E07" w:rsidRDefault="08FF59F5" w:rsidP="08FF59F5">
      <w:pPr>
        <w:pStyle w:val="Literatura"/>
      </w:pPr>
      <w:r w:rsidRPr="003D1E07">
        <w:t xml:space="preserve">Hoye, J. William (1976): "Gotteserkenntnis </w:t>
      </w:r>
      <w:r w:rsidRPr="003D1E07">
        <w:rPr>
          <w:i/>
        </w:rPr>
        <w:t>per essentiam</w:t>
      </w:r>
      <w:r w:rsidRPr="003D1E07">
        <w:t xml:space="preserve"> im 13. Jahrhundert".</w:t>
      </w:r>
      <w:r w:rsidRPr="003D1E07">
        <w:rPr>
          <w:rStyle w:val="fn"/>
          <w:i/>
        </w:rPr>
        <w:t xml:space="preserve"> Die Auseinandersetzungen an </w:t>
      </w:r>
      <w:r w:rsidRPr="003D1E07">
        <w:rPr>
          <w:rStyle w:val="fn"/>
          <w:i/>
        </w:rPr>
        <w:tab/>
        <w:t xml:space="preserve">der Pariser Universität im XIII. Jahrhundert, </w:t>
      </w:r>
      <w:r w:rsidRPr="003D1E07">
        <w:t xml:space="preserve">edited by Albert Zimmermann, </w:t>
      </w:r>
      <w:r w:rsidRPr="003D1E07">
        <w:rPr>
          <w:szCs w:val="24"/>
        </w:rPr>
        <w:t>Universität Köln Thomas-</w:t>
      </w:r>
      <w:r w:rsidRPr="003D1E07">
        <w:rPr>
          <w:szCs w:val="24"/>
        </w:rPr>
        <w:tab/>
        <w:t xml:space="preserve">Institut: </w:t>
      </w:r>
      <w:r w:rsidRPr="003D1E07">
        <w:t xml:space="preserve">Walter de Gruyter: Miscellanea Mediaevalia 10, pp. 269‒284. </w:t>
      </w:r>
    </w:p>
    <w:p w14:paraId="33955B32" w14:textId="77777777" w:rsidR="08FF59F5" w:rsidRPr="003D1E07" w:rsidRDefault="08FF59F5" w:rsidP="08FF59F5">
      <w:pPr>
        <w:pStyle w:val="Literatura"/>
      </w:pPr>
      <w:r w:rsidRPr="003D1E07">
        <w:t xml:space="preserve">Certeau, Michel de (1973): </w:t>
      </w:r>
      <w:r w:rsidRPr="003D1E07">
        <w:rPr>
          <w:i/>
        </w:rPr>
        <w:t>L'Absent de l'histoire</w:t>
      </w:r>
      <w:r w:rsidRPr="003D1E07">
        <w:t>. Paris: Maison Mame.</w:t>
      </w:r>
    </w:p>
    <w:p w14:paraId="03D84956" w14:textId="77777777" w:rsidR="08FF59F5" w:rsidRPr="003D1E07" w:rsidRDefault="08FF59F5" w:rsidP="08FF59F5">
      <w:pPr>
        <w:pStyle w:val="Literatura"/>
      </w:pPr>
      <w:r w:rsidRPr="003D1E07">
        <w:t xml:space="preserve">Chenu, Marie-Dominique (1927): "Notes de lexicographie philosophique mediévale: collectio, collatio". </w:t>
      </w:r>
      <w:r w:rsidRPr="003D1E07">
        <w:rPr>
          <w:i/>
        </w:rPr>
        <w:t xml:space="preserve">Revue </w:t>
      </w:r>
      <w:r w:rsidRPr="003D1E07">
        <w:rPr>
          <w:i/>
        </w:rPr>
        <w:tab/>
        <w:t>des sciences philosophiques et theologiques</w:t>
      </w:r>
      <w:r w:rsidRPr="003D1E07">
        <w:t xml:space="preserve"> 16: 435‒446.</w:t>
      </w:r>
    </w:p>
    <w:p w14:paraId="1B821640" w14:textId="77777777" w:rsidR="08FF59F5" w:rsidRPr="003D1E07" w:rsidRDefault="08FF59F5" w:rsidP="08FF59F5">
      <w:pPr>
        <w:pStyle w:val="Literatura"/>
      </w:pPr>
      <w:r w:rsidRPr="003D1E07">
        <w:t xml:space="preserve">‒ (1930): "Les réponses de S. Thomas et de Kilwardby à la consultation de Jean de Verceil (1271)". </w:t>
      </w:r>
      <w:r w:rsidRPr="003D1E07">
        <w:rPr>
          <w:i/>
        </w:rPr>
        <w:t xml:space="preserve">Mélanges </w:t>
      </w:r>
      <w:r w:rsidRPr="003D1E07">
        <w:rPr>
          <w:i/>
        </w:rPr>
        <w:tab/>
        <w:t>Mandonnet. Études d'histoire littéraire et doctrinale du Moyen Âge 1</w:t>
      </w:r>
      <w:r w:rsidRPr="003D1E07">
        <w:t>. Kain: Le Saulchoir, pp. 191‒221.</w:t>
      </w:r>
    </w:p>
    <w:p w14:paraId="689C5CF4" w14:textId="77777777" w:rsidR="08FF59F5" w:rsidRPr="003D1E07" w:rsidRDefault="08FF59F5" w:rsidP="08FF59F5">
      <w:pPr>
        <w:pStyle w:val="Literatura"/>
      </w:pPr>
      <w:r w:rsidRPr="003D1E07">
        <w:t xml:space="preserve">‒ (1935): Grammaire et théologie aux XIIe et XIIIe siècles. </w:t>
      </w:r>
      <w:r w:rsidRPr="003D1E07">
        <w:rPr>
          <w:i/>
        </w:rPr>
        <w:t xml:space="preserve">Archives d'histoire doctrinale et littéraire du </w:t>
      </w:r>
      <w:r w:rsidRPr="003D1E07">
        <w:rPr>
          <w:i/>
        </w:rPr>
        <w:tab/>
        <w:t xml:space="preserve">Moyen </w:t>
      </w:r>
      <w:r w:rsidRPr="003D1E07">
        <w:rPr>
          <w:i/>
        </w:rPr>
        <w:tab/>
      </w:r>
      <w:r w:rsidRPr="003D1E07">
        <w:rPr>
          <w:rStyle w:val="st"/>
          <w:i/>
        </w:rPr>
        <w:t>Âge</w:t>
      </w:r>
      <w:r w:rsidRPr="003D1E07">
        <w:t xml:space="preserve"> 10: 5‒28.</w:t>
      </w:r>
    </w:p>
    <w:p w14:paraId="51A6F653" w14:textId="77777777" w:rsidR="08FF59F5" w:rsidRPr="003D1E07" w:rsidRDefault="08FF59F5" w:rsidP="08FF59F5">
      <w:pPr>
        <w:pStyle w:val="Literatura"/>
        <w:rPr>
          <w:rFonts w:cs="Calibri"/>
          <w:szCs w:val="22"/>
        </w:rPr>
      </w:pPr>
      <w:r w:rsidRPr="003D1E07">
        <w:rPr>
          <w:rFonts w:cs="Calibri"/>
          <w:i/>
          <w:szCs w:val="22"/>
        </w:rPr>
        <w:t xml:space="preserve">Chartularium Universitatis Parisiensis I </w:t>
      </w:r>
      <w:r w:rsidRPr="003D1E07">
        <w:rPr>
          <w:rFonts w:cs="Calibri"/>
          <w:szCs w:val="22"/>
        </w:rPr>
        <w:t>(1889): Edited by Henricus Denifle. Paris.</w:t>
      </w:r>
    </w:p>
    <w:p w14:paraId="0D44A765" w14:textId="77777777" w:rsidR="08FF59F5" w:rsidRPr="003D1E07" w:rsidRDefault="08FF59F5" w:rsidP="08FF59F5">
      <w:pPr>
        <w:pStyle w:val="Literatura"/>
      </w:pPr>
      <w:r w:rsidRPr="003D1E07">
        <w:t xml:space="preserve">Chroust, Anton-Hermann (1947): "The Corporate Idea and the Body Politic in the Middle Ages". </w:t>
      </w:r>
      <w:r w:rsidRPr="003D1E07">
        <w:rPr>
          <w:i/>
        </w:rPr>
        <w:t xml:space="preserve">The Review of </w:t>
      </w:r>
      <w:r w:rsidRPr="003D1E07">
        <w:rPr>
          <w:i/>
        </w:rPr>
        <w:tab/>
        <w:t>Politics</w:t>
      </w:r>
      <w:r w:rsidRPr="003D1E07">
        <w:t xml:space="preserve"> 9/4: 423‒452.</w:t>
      </w:r>
    </w:p>
    <w:p w14:paraId="1DD68DFB" w14:textId="77777777" w:rsidR="08FF59F5" w:rsidRPr="003D1E07" w:rsidRDefault="08FF59F5" w:rsidP="08FF59F5">
      <w:pPr>
        <w:pStyle w:val="Literatura"/>
      </w:pPr>
      <w:r w:rsidRPr="003D1E07">
        <w:t xml:space="preserve">Ivry. L. Afred (1984): "Destiny Revisited: Avicenna's Concept of Determinism". </w:t>
      </w:r>
      <w:r w:rsidRPr="003D1E07">
        <w:rPr>
          <w:i/>
        </w:rPr>
        <w:t xml:space="preserve">Islamic Theology and Philosophy: </w:t>
      </w:r>
      <w:r w:rsidRPr="003D1E07">
        <w:rPr>
          <w:i/>
        </w:rPr>
        <w:tab/>
        <w:t>Studies in Honour of George F. Hourani</w:t>
      </w:r>
      <w:r w:rsidRPr="003D1E07">
        <w:t xml:space="preserve">, edited by Michael E. Marmura, Albany, NY: State University of </w:t>
      </w:r>
      <w:r w:rsidRPr="003D1E07">
        <w:tab/>
        <w:t xml:space="preserve">New York Press, pp. 160‒171. </w:t>
      </w:r>
    </w:p>
    <w:p w14:paraId="4B11AA2E" w14:textId="77777777" w:rsidR="08FF59F5" w:rsidRPr="003D1E07" w:rsidRDefault="08FF59F5" w:rsidP="08FF59F5">
      <w:pPr>
        <w:pStyle w:val="Literatura"/>
        <w:rPr>
          <w:rFonts w:cs="Calibri"/>
          <w:i/>
          <w:szCs w:val="22"/>
        </w:rPr>
      </w:pPr>
      <w:r w:rsidRPr="003D1E07">
        <w:rPr>
          <w:szCs w:val="22"/>
        </w:rPr>
        <w:t xml:space="preserve">Iwakuma, Yukio, and Sten Ebbesen (1992): "Logico-Theological Schools from the Second Half of the 12th </w:t>
      </w:r>
      <w:r w:rsidRPr="003D1E07">
        <w:rPr>
          <w:szCs w:val="22"/>
        </w:rPr>
        <w:tab/>
        <w:t xml:space="preserve">Century: A List of Sources". </w:t>
      </w:r>
      <w:r w:rsidRPr="003D1E07">
        <w:rPr>
          <w:i/>
          <w:szCs w:val="22"/>
        </w:rPr>
        <w:t>Vivarium</w:t>
      </w:r>
      <w:r w:rsidRPr="003D1E07">
        <w:rPr>
          <w:szCs w:val="22"/>
        </w:rPr>
        <w:t xml:space="preserve"> 30/1: 173–210.</w:t>
      </w:r>
    </w:p>
    <w:p w14:paraId="7FBA71EF" w14:textId="77777777" w:rsidR="08FF59F5" w:rsidRPr="003D1E07" w:rsidRDefault="08FF59F5" w:rsidP="08FF59F5">
      <w:pPr>
        <w:pStyle w:val="Literatura"/>
        <w:rPr>
          <w:szCs w:val="22"/>
        </w:rPr>
      </w:pPr>
      <w:r w:rsidRPr="003D1E07">
        <w:rPr>
          <w:szCs w:val="22"/>
        </w:rPr>
        <w:t xml:space="preserve">Iwakuma, Yukio (1992): "Twelfth-Century Nominales The Posthumous School of Peter Abelard". </w:t>
      </w:r>
      <w:r w:rsidRPr="003D1E07">
        <w:rPr>
          <w:i/>
          <w:szCs w:val="22"/>
        </w:rPr>
        <w:t xml:space="preserve">Vivarium </w:t>
      </w:r>
      <w:r w:rsidRPr="003D1E07">
        <w:rPr>
          <w:szCs w:val="22"/>
        </w:rPr>
        <w:t xml:space="preserve">30/1: </w:t>
      </w:r>
      <w:r w:rsidRPr="003D1E07">
        <w:rPr>
          <w:szCs w:val="16"/>
        </w:rPr>
        <w:tab/>
      </w:r>
      <w:r w:rsidRPr="003D1E07">
        <w:rPr>
          <w:szCs w:val="22"/>
        </w:rPr>
        <w:t>97‒109.</w:t>
      </w:r>
    </w:p>
    <w:p w14:paraId="2EB1EC1D" w14:textId="77777777" w:rsidR="08FF59F5" w:rsidRPr="003D1E07" w:rsidRDefault="08FF59F5" w:rsidP="08FF59F5">
      <w:pPr>
        <w:pStyle w:val="Literatura"/>
      </w:pPr>
      <w:r w:rsidRPr="003D1E07">
        <w:rPr>
          <w:szCs w:val="22"/>
        </w:rPr>
        <w:t>‒ (1993): "</w:t>
      </w:r>
      <w:r w:rsidRPr="003D1E07">
        <w:rPr>
          <w:szCs w:val="16"/>
        </w:rPr>
        <w:t>Parvip</w:t>
      </w:r>
      <w:r w:rsidRPr="003D1E07">
        <w:t>onta</w:t>
      </w:r>
      <w:r w:rsidRPr="003D1E07">
        <w:rPr>
          <w:szCs w:val="16"/>
        </w:rPr>
        <w:t>ni's Thesis ex impossibili quidlibet sequitur</w:t>
      </w:r>
      <w:r w:rsidRPr="003D1E07">
        <w:t>:</w:t>
      </w:r>
      <w:r w:rsidRPr="003D1E07">
        <w:rPr>
          <w:szCs w:val="16"/>
        </w:rPr>
        <w:t xml:space="preserve"> Comments on the Sources of the Thesis from </w:t>
      </w:r>
      <w:r w:rsidRPr="003D1E07">
        <w:rPr>
          <w:szCs w:val="16"/>
        </w:rPr>
        <w:tab/>
        <w:t>the Twelfth</w:t>
      </w:r>
      <w:r w:rsidRPr="003D1E07">
        <w:t xml:space="preserve"> </w:t>
      </w:r>
      <w:r w:rsidRPr="003D1E07">
        <w:rPr>
          <w:szCs w:val="16"/>
        </w:rPr>
        <w:t xml:space="preserve">Century". </w:t>
      </w:r>
      <w:r w:rsidRPr="003D1E07">
        <w:rPr>
          <w:rStyle w:val="a-size-large"/>
          <w:i/>
          <w:iCs/>
        </w:rPr>
        <w:t xml:space="preserve">Argumentations Theorie: Scholastische Forschungen zu den logischen und </w:t>
      </w:r>
      <w:r w:rsidRPr="003D1E07">
        <w:rPr>
          <w:rStyle w:val="a-size-large"/>
          <w:i/>
          <w:iCs/>
        </w:rPr>
        <w:tab/>
        <w:t xml:space="preserve">semantischen Regeln korrekten Folgerns, </w:t>
      </w:r>
      <w:r w:rsidRPr="003D1E07">
        <w:rPr>
          <w:szCs w:val="16"/>
        </w:rPr>
        <w:t xml:space="preserve">edited by </w:t>
      </w:r>
      <w:r w:rsidRPr="003D1E07">
        <w:rPr>
          <w:rStyle w:val="addmd"/>
        </w:rPr>
        <w:t>Jacobi</w:t>
      </w:r>
      <w:r w:rsidRPr="003D1E07">
        <w:rPr>
          <w:szCs w:val="16"/>
        </w:rPr>
        <w:t xml:space="preserve"> </w:t>
      </w:r>
      <w:r w:rsidRPr="003D1E07">
        <w:rPr>
          <w:rStyle w:val="addmd"/>
        </w:rPr>
        <w:t xml:space="preserve">Klaus, </w:t>
      </w:r>
      <w:r w:rsidRPr="003D1E07">
        <w:rPr>
          <w:rStyle w:val="a-size-large"/>
          <w:iCs/>
        </w:rPr>
        <w:t>Leiden: Brill</w:t>
      </w:r>
      <w:r w:rsidRPr="003D1E07">
        <w:rPr>
          <w:rStyle w:val="a-size-large"/>
          <w:i/>
          <w:iCs/>
        </w:rPr>
        <w:t xml:space="preserve">, </w:t>
      </w:r>
      <w:r w:rsidRPr="003D1E07">
        <w:t>pp. 123‒152.</w:t>
      </w:r>
    </w:p>
    <w:p w14:paraId="7ABBEBF9" w14:textId="77777777" w:rsidR="08FF59F5" w:rsidRPr="003D1E07" w:rsidRDefault="08FF59F5" w:rsidP="08FF59F5">
      <w:pPr>
        <w:pStyle w:val="Literatura"/>
      </w:pPr>
      <w:r w:rsidRPr="003D1E07">
        <w:t xml:space="preserve">Jacobson, Roman, and Morris Halle. </w:t>
      </w:r>
      <w:r w:rsidRPr="003D1E07">
        <w:rPr>
          <w:i/>
        </w:rPr>
        <w:t>Fundamentals of Language</w:t>
      </w:r>
      <w:r w:rsidRPr="003D1E07">
        <w:t>. Gravengage:Mouton&amp;Co, 1956.</w:t>
      </w:r>
    </w:p>
    <w:p w14:paraId="1658AEB0" w14:textId="77777777" w:rsidR="08FF59F5" w:rsidRPr="003D1E07" w:rsidRDefault="08FF59F5" w:rsidP="08FF59F5">
      <w:pPr>
        <w:pStyle w:val="Literatura"/>
      </w:pPr>
      <w:r w:rsidRPr="003D1E07">
        <w:t xml:space="preserve">Jordan,  D. Mark (1982): "The Controversy of the Correctoria and the Limits of Metaphysics". </w:t>
      </w:r>
      <w:r w:rsidRPr="003D1E07">
        <w:rPr>
          <w:i/>
        </w:rPr>
        <w:t>Speculum</w:t>
      </w:r>
      <w:r w:rsidRPr="003D1E07">
        <w:t xml:space="preserve"> 57/2: </w:t>
      </w:r>
      <w:r w:rsidRPr="003D1E07">
        <w:tab/>
        <w:t>292‒314.</w:t>
      </w:r>
    </w:p>
    <w:p w14:paraId="633259E5" w14:textId="77777777" w:rsidR="08FF59F5" w:rsidRPr="003D1E07" w:rsidRDefault="08FF59F5" w:rsidP="08FF59F5">
      <w:pPr>
        <w:pStyle w:val="Literatura"/>
      </w:pPr>
      <w:r w:rsidRPr="003D1E07">
        <w:rPr>
          <w:iCs/>
        </w:rPr>
        <w:t>Jean de la Rochelle(</w:t>
      </w:r>
      <w:r w:rsidRPr="003D1E07">
        <w:t>1964</w:t>
      </w:r>
      <w:r w:rsidRPr="003D1E07">
        <w:rPr>
          <w:iCs/>
        </w:rPr>
        <w:t xml:space="preserve">): </w:t>
      </w:r>
      <w:r w:rsidRPr="003D1E07">
        <w:rPr>
          <w:i/>
        </w:rPr>
        <w:t>Tractatus de divisione multiplicis potentiarum animae</w:t>
      </w:r>
      <w:r w:rsidRPr="003D1E07">
        <w:t>. Edited by</w:t>
      </w:r>
      <w:r w:rsidRPr="003D1E07">
        <w:rPr>
          <w:i/>
        </w:rPr>
        <w:t xml:space="preserve"> </w:t>
      </w:r>
      <w:r w:rsidRPr="003D1E07">
        <w:t>Pierre Michaud-</w:t>
      </w:r>
      <w:r w:rsidRPr="003D1E07">
        <w:rPr>
          <w:szCs w:val="22"/>
        </w:rPr>
        <w:tab/>
      </w:r>
      <w:r w:rsidRPr="003D1E07">
        <w:t>Quantin. Paris: Librairie philosophique J. Vrin.</w:t>
      </w:r>
    </w:p>
    <w:p w14:paraId="1DAF9CBB" w14:textId="77777777" w:rsidR="08FF59F5" w:rsidRPr="003D1E07" w:rsidRDefault="08FF59F5" w:rsidP="08FF59F5">
      <w:pPr>
        <w:pStyle w:val="Literatura"/>
      </w:pPr>
      <w:r w:rsidRPr="003D1E07">
        <w:t xml:space="preserve">‒ (1995): </w:t>
      </w:r>
      <w:r w:rsidRPr="003D1E07">
        <w:rPr>
          <w:i/>
        </w:rPr>
        <w:t>Summa de anima</w:t>
      </w:r>
      <w:r w:rsidRPr="003D1E07">
        <w:t>. Edited by Jacques Guy Bougerol. Paris: J. Vrin.</w:t>
      </w:r>
    </w:p>
    <w:p w14:paraId="751C730B" w14:textId="77777777" w:rsidR="08FF59F5" w:rsidRPr="003D1E07" w:rsidRDefault="08FF59F5" w:rsidP="08FF59F5">
      <w:pPr>
        <w:pStyle w:val="Literatura"/>
      </w:pPr>
      <w:r w:rsidRPr="003D1E07">
        <w:rPr>
          <w:szCs w:val="22"/>
        </w:rPr>
        <w:t xml:space="preserve">Jolivet, Jean (1992): "Trois variations médiévales sur l'universel et l'individu: Roscelin, Abélard, Gilbert de la </w:t>
      </w:r>
      <w:r w:rsidRPr="003D1E07">
        <w:rPr>
          <w:szCs w:val="22"/>
        </w:rPr>
        <w:tab/>
        <w:t xml:space="preserve">Porrée". </w:t>
      </w:r>
      <w:r w:rsidRPr="003D1E07">
        <w:rPr>
          <w:i/>
          <w:szCs w:val="22"/>
        </w:rPr>
        <w:t>Revue de Métaphysique et de Morale</w:t>
      </w:r>
      <w:r w:rsidRPr="003D1E07">
        <w:rPr>
          <w:szCs w:val="22"/>
        </w:rPr>
        <w:t xml:space="preserve"> 97/1: 111‒155.</w:t>
      </w:r>
    </w:p>
    <w:p w14:paraId="5F766747" w14:textId="77777777" w:rsidR="08FF59F5" w:rsidRPr="003D1E07" w:rsidRDefault="08FF59F5" w:rsidP="08FF59F5">
      <w:pPr>
        <w:pStyle w:val="Literatura"/>
      </w:pPr>
      <w:r w:rsidRPr="003D1E07">
        <w:t xml:space="preserve">Kalista, Zdeněk (1982): </w:t>
      </w:r>
      <w:r w:rsidRPr="003D1E07">
        <w:rPr>
          <w:i/>
        </w:rPr>
        <w:t>Tvář baroka</w:t>
      </w:r>
      <w:r w:rsidRPr="003D1E07">
        <w:t>. Mnichov: Arkýř.</w:t>
      </w:r>
    </w:p>
    <w:p w14:paraId="5C64F96A" w14:textId="77777777" w:rsidR="08FF59F5" w:rsidRPr="003D1E07" w:rsidRDefault="08FF59F5" w:rsidP="08FF59F5">
      <w:pPr>
        <w:pStyle w:val="Literatura"/>
      </w:pPr>
      <w:r w:rsidRPr="003D1E07">
        <w:t xml:space="preserve">Kant, Immanuel. </w:t>
      </w:r>
      <w:r w:rsidRPr="003D1E07">
        <w:rPr>
          <w:i/>
          <w:iCs/>
        </w:rPr>
        <w:t xml:space="preserve">Gesammelte Schriften I-IXXX. </w:t>
      </w:r>
      <w:r w:rsidRPr="003D1E07">
        <w:t>Berlin, de Gruyter, 1904–1997, Erweiterte Akademieausgabe.</w:t>
      </w:r>
    </w:p>
    <w:p w14:paraId="28C1438E" w14:textId="77777777" w:rsidR="08FF59F5" w:rsidRPr="003D1E07" w:rsidRDefault="08FF59F5" w:rsidP="08FF59F5">
      <w:pPr>
        <w:pStyle w:val="Literatura"/>
      </w:pPr>
      <w:r w:rsidRPr="003D1E07">
        <w:t xml:space="preserve">‒ (1911): </w:t>
      </w:r>
      <w:r w:rsidRPr="003D1E07">
        <w:rPr>
          <w:i/>
        </w:rPr>
        <w:t>Kritik der reinen Vernunft</w:t>
      </w:r>
      <w:r w:rsidRPr="003D1E07">
        <w:t>. Erste Auflage 1781, Akademieausgabe, Band IV, KdRV / A.</w:t>
      </w:r>
    </w:p>
    <w:p w14:paraId="19497595" w14:textId="77777777" w:rsidR="08FF59F5" w:rsidRPr="003D1E07" w:rsidRDefault="08FF59F5" w:rsidP="08FF59F5">
      <w:pPr>
        <w:pStyle w:val="Literatura"/>
      </w:pPr>
      <w:r w:rsidRPr="003D1E07">
        <w:t xml:space="preserve">‒ (1911): </w:t>
      </w:r>
      <w:r w:rsidRPr="003D1E07">
        <w:rPr>
          <w:i/>
        </w:rPr>
        <w:t>Kritik der reinen Vernunft</w:t>
      </w:r>
      <w:r w:rsidRPr="003D1E07">
        <w:t>. Zweite Auflage 1787, Akademieausgabe, Band III, KdRV / B.</w:t>
      </w:r>
    </w:p>
    <w:p w14:paraId="3230842F" w14:textId="77777777" w:rsidR="08FF59F5" w:rsidRPr="003D1E07" w:rsidRDefault="08FF59F5" w:rsidP="08FF59F5">
      <w:pPr>
        <w:pStyle w:val="Literatura"/>
      </w:pPr>
      <w:r w:rsidRPr="003D1E07">
        <w:t xml:space="preserve">‒ (1913): </w:t>
      </w:r>
      <w:r w:rsidRPr="003D1E07">
        <w:rPr>
          <w:i/>
          <w:iCs/>
        </w:rPr>
        <w:t xml:space="preserve">Kritik der Urteilskraft. </w:t>
      </w:r>
      <w:r w:rsidRPr="003D1E07">
        <w:t>Akademieausgabe, Band V, pp. 165–485, KdU.</w:t>
      </w:r>
    </w:p>
    <w:p w14:paraId="0A4BDB9D" w14:textId="77777777" w:rsidR="08FF59F5" w:rsidRPr="003D1E07" w:rsidRDefault="08FF59F5" w:rsidP="08FF59F5">
      <w:pPr>
        <w:pStyle w:val="Literatura"/>
      </w:pPr>
      <w:r w:rsidRPr="003D1E07">
        <w:t xml:space="preserve">‒ (1912): </w:t>
      </w:r>
      <w:r w:rsidRPr="003D1E07">
        <w:rPr>
          <w:i/>
          <w:iCs/>
        </w:rPr>
        <w:t xml:space="preserve">Idee zu einer allgemeinen Geschichte in weltbürgerlicher Absicht, </w:t>
      </w:r>
      <w:r w:rsidRPr="003D1E07">
        <w:t xml:space="preserve">Akademieausgabe, Band VIII, pp. </w:t>
      </w:r>
      <w:r w:rsidRPr="003D1E07">
        <w:tab/>
        <w:t>15–32.</w:t>
      </w:r>
    </w:p>
    <w:p w14:paraId="1B34D607" w14:textId="77777777" w:rsidR="08FF59F5" w:rsidRPr="003D1E07" w:rsidRDefault="08FF59F5" w:rsidP="08FF59F5">
      <w:pPr>
        <w:pStyle w:val="Literatura"/>
      </w:pPr>
      <w:r w:rsidRPr="003D1E07">
        <w:t xml:space="preserve">Kilwardby, Robert (1976): </w:t>
      </w:r>
      <w:r w:rsidRPr="003D1E07">
        <w:rPr>
          <w:i/>
        </w:rPr>
        <w:t xml:space="preserve">De ortu scientiarum. </w:t>
      </w:r>
      <w:r w:rsidRPr="003D1E07">
        <w:t xml:space="preserve">Edited by Albert G. Judy. Auctores Britannici Medii Aevi IV. The </w:t>
      </w:r>
      <w:r w:rsidRPr="003D1E07">
        <w:tab/>
        <w:t xml:space="preserve">British Academy: </w:t>
      </w:r>
      <w:r w:rsidRPr="003D1E07">
        <w:tab/>
        <w:t>London.</w:t>
      </w:r>
    </w:p>
    <w:p w14:paraId="550382AA" w14:textId="77777777" w:rsidR="08FF59F5" w:rsidRPr="003D1E07" w:rsidRDefault="08FF59F5" w:rsidP="08FF59F5">
      <w:pPr>
        <w:pStyle w:val="Literatura"/>
        <w:rPr>
          <w:szCs w:val="13"/>
        </w:rPr>
      </w:pPr>
      <w:r w:rsidRPr="003D1E07">
        <w:t>‒ (2002): "</w:t>
      </w:r>
      <w:r w:rsidRPr="003D1E07">
        <w:rPr>
          <w:rStyle w:val="Zvraznn"/>
        </w:rPr>
        <w:t>Notule Libri Posteriorum</w:t>
      </w:r>
      <w:r w:rsidRPr="003D1E07">
        <w:t xml:space="preserve"> di Robert Kilwardby: il commento ad </w:t>
      </w:r>
      <w:r w:rsidRPr="003D1E07">
        <w:rPr>
          <w:rStyle w:val="Zvraznn"/>
        </w:rPr>
        <w:t>Analitici Posteriori</w:t>
      </w:r>
      <w:r w:rsidRPr="003D1E07">
        <w:t xml:space="preserve">, I.4, 73a34–b24". </w:t>
      </w:r>
      <w:r w:rsidRPr="003D1E07">
        <w:tab/>
        <w:t xml:space="preserve">Edited by Debora Cannone. </w:t>
      </w:r>
      <w:r w:rsidRPr="003D1E07">
        <w:rPr>
          <w:bCs/>
          <w:i/>
        </w:rPr>
        <w:t>Documenti e studi sulla tradizione filosofica medievale</w:t>
      </w:r>
      <w:r w:rsidRPr="003D1E07">
        <w:rPr>
          <w:i/>
        </w:rPr>
        <w:t>. Volume 13</w:t>
      </w:r>
      <w:r w:rsidRPr="003D1E07">
        <w:t xml:space="preserve">, edited </w:t>
      </w:r>
      <w:r w:rsidRPr="003D1E07">
        <w:tab/>
        <w:t xml:space="preserve">by Mario Bertagna and Gabriele Galluzzo and Giorgio Pini, </w:t>
      </w:r>
      <w:r w:rsidRPr="003D1E07">
        <w:rPr>
          <w:szCs w:val="13"/>
        </w:rPr>
        <w:t xml:space="preserve">SISMEL, Firenze: Edizioni del Galluzo, </w:t>
      </w:r>
      <w:r w:rsidRPr="003D1E07">
        <w:rPr>
          <w:szCs w:val="13"/>
        </w:rPr>
        <w:tab/>
        <w:t>pp. 71‒136.</w:t>
      </w:r>
    </w:p>
    <w:p w14:paraId="02B88F79" w14:textId="77777777" w:rsidR="08FF59F5" w:rsidRPr="003D1E07" w:rsidRDefault="08FF59F5" w:rsidP="08FF59F5">
      <w:pPr>
        <w:pStyle w:val="Literatura"/>
        <w:rPr>
          <w:szCs w:val="24"/>
        </w:rPr>
      </w:pPr>
      <w:r w:rsidRPr="003D1E07">
        <w:rPr>
          <w:szCs w:val="24"/>
        </w:rPr>
        <w:lastRenderedPageBreak/>
        <w:t xml:space="preserve">King, Daniel (2010): </w:t>
      </w:r>
      <w:r w:rsidRPr="003D1E07">
        <w:rPr>
          <w:rStyle w:val="fn"/>
          <w:i/>
        </w:rPr>
        <w:t>The Earliest Syriac Translation of Aristotle's Categories</w:t>
      </w:r>
      <w:r w:rsidRPr="003D1E07">
        <w:rPr>
          <w:i/>
        </w:rPr>
        <w:t xml:space="preserve">: </w:t>
      </w:r>
      <w:r w:rsidRPr="003D1E07">
        <w:rPr>
          <w:rStyle w:val="Podtitul1"/>
          <w:i/>
        </w:rPr>
        <w:t>Text, Translation and Commentary</w:t>
      </w:r>
      <w:r w:rsidRPr="003D1E07">
        <w:rPr>
          <w:rStyle w:val="Podtitul1"/>
        </w:rPr>
        <w:t xml:space="preserve">. </w:t>
      </w:r>
      <w:r w:rsidRPr="003D1E07">
        <w:rPr>
          <w:rStyle w:val="Podtitul1"/>
        </w:rPr>
        <w:tab/>
        <w:t>Leiden: Brill.</w:t>
      </w:r>
    </w:p>
    <w:p w14:paraId="7D64D504" w14:textId="77777777" w:rsidR="08FF59F5" w:rsidRPr="003D1E07" w:rsidRDefault="08FF59F5" w:rsidP="08FF59F5">
      <w:pPr>
        <w:pStyle w:val="Literatura"/>
      </w:pPr>
      <w:r w:rsidRPr="003D1E07">
        <w:t xml:space="preserve">Kieckhefer, Richard (1976): </w:t>
      </w:r>
      <w:r w:rsidRPr="003D1E07">
        <w:rPr>
          <w:i/>
        </w:rPr>
        <w:t>European Witch Trials: Their Foundations in Popular and Learned Culture, 1300-</w:t>
      </w:r>
      <w:r w:rsidRPr="003D1E07">
        <w:rPr>
          <w:i/>
        </w:rPr>
        <w:tab/>
        <w:t>1500</w:t>
      </w:r>
      <w:r w:rsidRPr="003D1E07">
        <w:t>. Berkeley: University of California Press.</w:t>
      </w:r>
    </w:p>
    <w:p w14:paraId="204D0646" w14:textId="77777777" w:rsidR="08FF59F5" w:rsidRPr="003D1E07" w:rsidRDefault="08FF59F5" w:rsidP="08FF59F5">
      <w:pPr>
        <w:pStyle w:val="Literatura"/>
      </w:pPr>
      <w:r w:rsidRPr="003D1E07">
        <w:t>Klaus Jacobi, and Christian Strub, and Peter King (1996): "</w:t>
      </w:r>
      <w:r w:rsidRPr="003D1E07">
        <w:rPr>
          <w:szCs w:val="24"/>
        </w:rPr>
        <w:t xml:space="preserve">From intellectus verus/falsus to the dictum </w:t>
      </w:r>
      <w:r w:rsidRPr="003D1E07">
        <w:rPr>
          <w:szCs w:val="24"/>
        </w:rPr>
        <w:tab/>
        <w:t>propositionis: The Semantics of Peter Abelard and his Circle"</w:t>
      </w:r>
      <w:r w:rsidRPr="003D1E07">
        <w:t xml:space="preserve">. </w:t>
      </w:r>
      <w:r w:rsidRPr="003D1E07">
        <w:rPr>
          <w:i/>
        </w:rPr>
        <w:t>Vivarium</w:t>
      </w:r>
      <w:r w:rsidRPr="003D1E07">
        <w:t xml:space="preserve"> 34: 15–40.</w:t>
      </w:r>
    </w:p>
    <w:p w14:paraId="45F673BC" w14:textId="77777777" w:rsidR="08FF59F5" w:rsidRPr="003D1E07" w:rsidRDefault="08FF59F5" w:rsidP="08FF59F5">
      <w:pPr>
        <w:pStyle w:val="Literatura"/>
      </w:pPr>
      <w:r w:rsidRPr="003D1E07">
        <w:t xml:space="preserve">Klima, Gyula (1993). "The Changing Role of "Entia Rationis" in Mediaeval Semantics and Ontology: A </w:t>
      </w:r>
      <w:r w:rsidRPr="003D1E07">
        <w:tab/>
        <w:t xml:space="preserve">Comparative Study with a Reconstruction". </w:t>
      </w:r>
      <w:r w:rsidRPr="003D1E07">
        <w:rPr>
          <w:i/>
        </w:rPr>
        <w:t xml:space="preserve">Synthese </w:t>
      </w:r>
      <w:r w:rsidRPr="003D1E07">
        <w:t>96/1: 25‒58.</w:t>
      </w:r>
    </w:p>
    <w:p w14:paraId="1AC2D801" w14:textId="77777777" w:rsidR="08FF59F5" w:rsidRPr="003D1E07" w:rsidRDefault="08FF59F5" w:rsidP="08FF59F5">
      <w:pPr>
        <w:pStyle w:val="Literatura"/>
        <w:rPr>
          <w:smallCaps/>
        </w:rPr>
      </w:pPr>
      <w:r w:rsidRPr="003D1E07">
        <w:t xml:space="preserve">Kosík, Karel (1966): </w:t>
      </w:r>
      <w:r w:rsidRPr="003D1E07">
        <w:rPr>
          <w:i/>
          <w:iCs/>
        </w:rPr>
        <w:t>Dialektika konkrétního</w:t>
      </w:r>
      <w:r w:rsidRPr="003D1E07">
        <w:t>, Praha: Academia.</w:t>
      </w:r>
    </w:p>
    <w:p w14:paraId="3FE556A2" w14:textId="77777777" w:rsidR="08FF59F5" w:rsidRPr="003D1E07" w:rsidRDefault="08FF59F5" w:rsidP="08FF59F5">
      <w:pPr>
        <w:pStyle w:val="Literatura"/>
      </w:pPr>
      <w:r w:rsidRPr="003D1E07">
        <w:t xml:space="preserve">Koyré, Alexandre (1957): </w:t>
      </w:r>
      <w:r w:rsidRPr="003D1E07">
        <w:rPr>
          <w:i/>
        </w:rPr>
        <w:t>From the Closed World to the Infinite Universe</w:t>
      </w:r>
      <w:r w:rsidRPr="003D1E07">
        <w:t xml:space="preserve">. Baltimore: The Johns Hopkins Press. </w:t>
      </w:r>
    </w:p>
    <w:p w14:paraId="5C396E80" w14:textId="77777777" w:rsidR="08FF59F5" w:rsidRPr="003D1E07" w:rsidRDefault="08FF59F5" w:rsidP="08FF59F5">
      <w:pPr>
        <w:pStyle w:val="Literatura"/>
        <w:rPr>
          <w:rStyle w:val="text"/>
        </w:rPr>
      </w:pPr>
      <w:r w:rsidRPr="003D1E07">
        <w:rPr>
          <w:rStyle w:val="familyname"/>
        </w:rPr>
        <w:t>König-Pralong</w:t>
      </w:r>
      <w:r w:rsidRPr="003D1E07">
        <w:rPr>
          <w:rStyle w:val="Siln"/>
          <w:b w:val="0"/>
        </w:rPr>
        <w:t>, Catherine (2008): "</w:t>
      </w:r>
      <w:r w:rsidRPr="003D1E07">
        <w:rPr>
          <w:rStyle w:val="text"/>
        </w:rPr>
        <w:t xml:space="preserve">Évaluations des savoirs d’importation dans l’université médiévale: Henri de </w:t>
      </w:r>
      <w:r w:rsidRPr="003D1E07">
        <w:rPr>
          <w:rStyle w:val="text"/>
        </w:rPr>
        <w:tab/>
        <w:t xml:space="preserve">Gand en position d’expert". </w:t>
      </w:r>
      <w:r w:rsidRPr="003D1E07">
        <w:rPr>
          <w:rStyle w:val="text"/>
          <w:i/>
        </w:rPr>
        <w:t>European Journal of Social Sciences</w:t>
      </w:r>
      <w:r w:rsidRPr="003D1E07">
        <w:rPr>
          <w:rStyle w:val="text"/>
        </w:rPr>
        <w:t xml:space="preserve"> 141: 11‒28.</w:t>
      </w:r>
    </w:p>
    <w:p w14:paraId="225102B0" w14:textId="77777777" w:rsidR="08FF59F5" w:rsidRPr="003D1E07" w:rsidRDefault="08FF59F5" w:rsidP="08FF59F5">
      <w:pPr>
        <w:pStyle w:val="Literatura"/>
      </w:pPr>
      <w:r w:rsidRPr="003D1E07">
        <w:rPr>
          <w:szCs w:val="22"/>
        </w:rPr>
        <w:t xml:space="preserve">Kneepkens, </w:t>
      </w:r>
      <w:r w:rsidRPr="003D1E07">
        <w:t>Qorneille Henri (1992): "</w:t>
      </w:r>
      <w:r w:rsidRPr="003D1E07">
        <w:rPr>
          <w:szCs w:val="22"/>
        </w:rPr>
        <w:t xml:space="preserve">Nominalism and Grammatical Theory in the Late Eleventh and Early </w:t>
      </w:r>
      <w:r w:rsidRPr="003D1E07">
        <w:rPr>
          <w:szCs w:val="22"/>
        </w:rPr>
        <w:tab/>
        <w:t xml:space="preserve">Twelfth Centuries. An Explorative Study". </w:t>
      </w:r>
      <w:r w:rsidRPr="003D1E07">
        <w:rPr>
          <w:i/>
          <w:szCs w:val="22"/>
        </w:rPr>
        <w:t>Vivarium</w:t>
      </w:r>
      <w:r w:rsidRPr="003D1E07">
        <w:rPr>
          <w:szCs w:val="22"/>
        </w:rPr>
        <w:t xml:space="preserve"> 30/1: 34–50.</w:t>
      </w:r>
    </w:p>
    <w:p w14:paraId="18E0D9C7" w14:textId="77777777" w:rsidR="08FF59F5" w:rsidRPr="003D1E07" w:rsidRDefault="08FF59F5" w:rsidP="08FF59F5">
      <w:pPr>
        <w:pStyle w:val="Literatura"/>
        <w:rPr>
          <w:rFonts w:eastAsia="Times New Roman" w:cs="Courier"/>
        </w:rPr>
      </w:pPr>
      <w:r w:rsidRPr="003D1E07">
        <w:t xml:space="preserve">Krause, Joseph (1888): </w:t>
      </w:r>
      <w:r w:rsidRPr="003D1E07">
        <w:rPr>
          <w:i/>
        </w:rPr>
        <w:t xml:space="preserve">Die Lehre des hl. Bonaventura über die Natur der körperlichen und geistigen Wesen </w:t>
      </w:r>
      <w:r w:rsidRPr="003D1E07">
        <w:rPr>
          <w:rFonts w:eastAsia="Times New Roman" w:cs="Courier"/>
          <w:i/>
        </w:rPr>
        <w:t xml:space="preserve">und </w:t>
      </w:r>
      <w:r w:rsidRPr="003D1E07">
        <w:rPr>
          <w:rFonts w:eastAsia="Times New Roman" w:cs="Courier"/>
          <w:i/>
        </w:rPr>
        <w:tab/>
        <w:t>ihr Verhältnis zum Thomismus</w:t>
      </w:r>
      <w:r w:rsidRPr="003D1E07">
        <w:rPr>
          <w:rFonts w:eastAsia="Times New Roman" w:cs="Courier"/>
        </w:rPr>
        <w:t>. Paderborn: Verlag von F. Schöningh.</w:t>
      </w:r>
    </w:p>
    <w:p w14:paraId="050F77D8" w14:textId="77777777" w:rsidR="08FF59F5" w:rsidRPr="003D1E07" w:rsidRDefault="08FF59F5" w:rsidP="08FF59F5">
      <w:pPr>
        <w:pStyle w:val="Literatura"/>
        <w:rPr>
          <w:smallCaps/>
        </w:rPr>
      </w:pPr>
      <w:r w:rsidRPr="003D1E07">
        <w:t xml:space="preserve">Kremer, Alfred von (1868): </w:t>
      </w:r>
      <w:r w:rsidRPr="003D1E07">
        <w:rPr>
          <w:i/>
          <w:iCs/>
        </w:rPr>
        <w:t>Geschichte der herrschenden Ideen des Islams</w:t>
      </w:r>
      <w:r w:rsidRPr="003D1E07">
        <w:t>, Leipzig.</w:t>
      </w:r>
    </w:p>
    <w:p w14:paraId="3D75570F" w14:textId="77777777" w:rsidR="08FF59F5" w:rsidRPr="003D1E07" w:rsidRDefault="08FF59F5" w:rsidP="08FF59F5">
      <w:pPr>
        <w:pStyle w:val="Literatura"/>
      </w:pPr>
      <w:r w:rsidRPr="003D1E07">
        <w:rPr>
          <w:szCs w:val="28"/>
        </w:rPr>
        <w:t xml:space="preserve">Lagarde, de Georges </w:t>
      </w:r>
      <w:r w:rsidRPr="003D1E07">
        <w:rPr>
          <w:szCs w:val="36"/>
        </w:rPr>
        <w:t>(1937a):</w:t>
      </w:r>
      <w:r w:rsidRPr="003D1E07">
        <w:rPr>
          <w:szCs w:val="28"/>
        </w:rPr>
        <w:t xml:space="preserve"> "</w:t>
      </w:r>
      <w:r w:rsidRPr="003D1E07">
        <w:rPr>
          <w:szCs w:val="36"/>
        </w:rPr>
        <w:t xml:space="preserve">Marsile de Padoue et Guillaume d'Ockham I". </w:t>
      </w:r>
      <w:r w:rsidRPr="003D1E07">
        <w:rPr>
          <w:i/>
        </w:rPr>
        <w:t xml:space="preserve">Revue des Sciences Religieuses </w:t>
      </w:r>
      <w:r w:rsidRPr="003D1E07">
        <w:tab/>
        <w:t>17/2: 168‒185.</w:t>
      </w:r>
    </w:p>
    <w:p w14:paraId="5999C020" w14:textId="77777777" w:rsidR="08FF59F5" w:rsidRPr="003D1E07" w:rsidRDefault="08FF59F5" w:rsidP="08FF59F5">
      <w:pPr>
        <w:pStyle w:val="Literatura"/>
      </w:pPr>
      <w:r w:rsidRPr="003D1E07">
        <w:rPr>
          <w:szCs w:val="36"/>
        </w:rPr>
        <w:t>‒ (1937b):</w:t>
      </w:r>
      <w:r w:rsidRPr="003D1E07">
        <w:rPr>
          <w:szCs w:val="28"/>
        </w:rPr>
        <w:t xml:space="preserve"> "</w:t>
      </w:r>
      <w:r w:rsidRPr="003D1E07">
        <w:rPr>
          <w:szCs w:val="36"/>
        </w:rPr>
        <w:t xml:space="preserve">Marsile de Padoue et Guillaume d'Ockham II". </w:t>
      </w:r>
      <w:r w:rsidRPr="003D1E07">
        <w:rPr>
          <w:i/>
        </w:rPr>
        <w:t xml:space="preserve">Revue des Sciences Religieuses </w:t>
      </w:r>
      <w:r w:rsidRPr="003D1E07">
        <w:t>17/4: 428‒454.</w:t>
      </w:r>
    </w:p>
    <w:p w14:paraId="7A6C781E" w14:textId="77777777" w:rsidR="08FF59F5" w:rsidRPr="003D1E07" w:rsidRDefault="08FF59F5" w:rsidP="08FF59F5">
      <w:pPr>
        <w:pStyle w:val="Literatura"/>
      </w:pPr>
      <w:r w:rsidRPr="003D1E07">
        <w:rPr>
          <w:rStyle w:val="addmd"/>
        </w:rPr>
        <w:t>Larsen, E. Andrew (2011):</w:t>
      </w:r>
      <w:r w:rsidRPr="003D1E07">
        <w:t xml:space="preserve"> </w:t>
      </w:r>
      <w:r w:rsidRPr="003D1E07">
        <w:rPr>
          <w:rStyle w:val="fn"/>
          <w:i/>
        </w:rPr>
        <w:t>The School of Heretics</w:t>
      </w:r>
      <w:r w:rsidRPr="003D1E07">
        <w:rPr>
          <w:i/>
        </w:rPr>
        <w:t xml:space="preserve">. </w:t>
      </w:r>
      <w:r w:rsidRPr="003D1E07">
        <w:rPr>
          <w:rStyle w:val="Podtitul1"/>
          <w:i/>
        </w:rPr>
        <w:t xml:space="preserve">Academic Condemnation at the University of Oxford, </w:t>
      </w:r>
      <w:r w:rsidRPr="003D1E07">
        <w:rPr>
          <w:rStyle w:val="Podtitul1"/>
          <w:i/>
        </w:rPr>
        <w:tab/>
        <w:t>1277‒1409</w:t>
      </w:r>
      <w:r w:rsidRPr="003D1E07">
        <w:rPr>
          <w:rStyle w:val="Podtitul1"/>
        </w:rPr>
        <w:t>. Leiden: Brill.</w:t>
      </w:r>
    </w:p>
    <w:p w14:paraId="2E4917B4" w14:textId="77777777" w:rsidR="08FF59F5" w:rsidRPr="003D1E07" w:rsidRDefault="08FF59F5" w:rsidP="08FF59F5">
      <w:pPr>
        <w:pStyle w:val="Literatura"/>
      </w:pPr>
      <w:r w:rsidRPr="003D1E07">
        <w:t xml:space="preserve">Lecler, Joseph (1931): "L'argument des deux glaives dans les controverses politiques du Moyen Age". </w:t>
      </w:r>
      <w:r w:rsidRPr="003D1E07">
        <w:tab/>
      </w:r>
      <w:r w:rsidRPr="003D1E07">
        <w:rPr>
          <w:i/>
        </w:rPr>
        <w:t>Recherches de sciences religieuses</w:t>
      </w:r>
      <w:r w:rsidRPr="003D1E07">
        <w:t xml:space="preserve"> 21: 299‒339.</w:t>
      </w:r>
    </w:p>
    <w:p w14:paraId="451F1128" w14:textId="77777777" w:rsidR="08FF59F5" w:rsidRPr="003D1E07" w:rsidRDefault="08FF59F5" w:rsidP="08FF59F5">
      <w:pPr>
        <w:pStyle w:val="Literatura"/>
      </w:pPr>
      <w:r w:rsidRPr="003D1E07">
        <w:t xml:space="preserve">‒ (1932a): "L'argument des deux glaives dans les controverses politiques du Moyen Age". </w:t>
      </w:r>
      <w:r w:rsidRPr="003D1E07">
        <w:rPr>
          <w:i/>
        </w:rPr>
        <w:t xml:space="preserve">Recherches de </w:t>
      </w:r>
      <w:r w:rsidRPr="003D1E07">
        <w:rPr>
          <w:i/>
        </w:rPr>
        <w:tab/>
        <w:t xml:space="preserve">sciences religieuses </w:t>
      </w:r>
      <w:r w:rsidRPr="003D1E07">
        <w:t>22: 152‒177.</w:t>
      </w:r>
    </w:p>
    <w:p w14:paraId="53E21148" w14:textId="77777777" w:rsidR="08FF59F5" w:rsidRPr="003D1E07" w:rsidRDefault="08FF59F5" w:rsidP="08FF59F5">
      <w:pPr>
        <w:pStyle w:val="Literatura"/>
      </w:pPr>
      <w:r w:rsidRPr="003D1E07">
        <w:t xml:space="preserve">‒ (1932b): "L'argument des deux glaives. Critique et déclin. </w:t>
      </w:r>
      <w:r w:rsidRPr="003D1E07">
        <w:rPr>
          <w:i/>
        </w:rPr>
        <w:t xml:space="preserve">Recherches de sciences religieuses </w:t>
      </w:r>
      <w:r w:rsidRPr="003D1E07">
        <w:t>22: 280‒303.</w:t>
      </w:r>
    </w:p>
    <w:p w14:paraId="22BDEA9F" w14:textId="77777777" w:rsidR="08FF59F5" w:rsidRPr="003D1E07" w:rsidRDefault="08FF59F5" w:rsidP="08FF59F5">
      <w:pPr>
        <w:pStyle w:val="Literatura"/>
      </w:pPr>
      <w:r w:rsidRPr="003D1E07">
        <w:t xml:space="preserve">Leibniz, Gottfried Wilhelm (1900): "Essais de Théodicée". </w:t>
      </w:r>
      <w:r w:rsidRPr="003D1E07">
        <w:rPr>
          <w:i/>
          <w:iCs/>
        </w:rPr>
        <w:t>Œuvres philosophiques de Leibniz II</w:t>
      </w:r>
      <w:r w:rsidRPr="003D1E07">
        <w:t xml:space="preserve">. Texte établi par </w:t>
      </w:r>
      <w:r w:rsidRPr="003D1E07">
        <w:tab/>
        <w:t>Paul Janet. Paris: Félix Alcan.</w:t>
      </w:r>
    </w:p>
    <w:p w14:paraId="6ADEAC14" w14:textId="77777777" w:rsidR="08FF59F5" w:rsidRPr="003D1E07" w:rsidRDefault="08FF59F5" w:rsidP="08FF59F5">
      <w:pPr>
        <w:pStyle w:val="Literatura"/>
      </w:pPr>
      <w:r w:rsidRPr="003D1E07">
        <w:t xml:space="preserve">Lefèvre, Eckard. (1987): </w:t>
      </w:r>
      <w:r w:rsidRPr="003D1E07">
        <w:rPr>
          <w:i/>
        </w:rPr>
        <w:t>"</w:t>
      </w:r>
      <w:r w:rsidRPr="003D1E07">
        <w:t xml:space="preserve">Die Unfähigkeit, sich zu erkennen : unzeitgemäße Bemerkungen zu Sophokles' Oidipus </w:t>
      </w:r>
      <w:r w:rsidRPr="003D1E07">
        <w:tab/>
        <w:t xml:space="preserve">Tyrannos." </w:t>
      </w:r>
      <w:r w:rsidRPr="003D1E07">
        <w:rPr>
          <w:i/>
        </w:rPr>
        <w:t xml:space="preserve">Würzburger Jahrbücher für die Altertumswissenschaft </w:t>
      </w:r>
      <w:r w:rsidRPr="003D1E07">
        <w:t>13: 37–58.</w:t>
      </w:r>
    </w:p>
    <w:p w14:paraId="7B7C5EB1" w14:textId="77777777" w:rsidR="08FF59F5" w:rsidRPr="003D1E07" w:rsidRDefault="08FF59F5" w:rsidP="08FF59F5">
      <w:pPr>
        <w:pStyle w:val="Literatura"/>
        <w:rPr>
          <w:rStyle w:val="tpp"/>
          <w:szCs w:val="22"/>
        </w:rPr>
      </w:pPr>
      <w:r w:rsidRPr="003D1E07">
        <w:rPr>
          <w:rStyle w:val="tpp"/>
          <w:szCs w:val="22"/>
        </w:rPr>
        <w:t xml:space="preserve">Lefort, Claude (1986a): </w:t>
      </w:r>
      <w:r w:rsidRPr="003D1E07">
        <w:rPr>
          <w:rStyle w:val="st"/>
          <w:i/>
        </w:rPr>
        <w:t>Un homme en trop</w:t>
      </w:r>
      <w:r w:rsidRPr="003D1E07">
        <w:rPr>
          <w:rStyle w:val="st"/>
        </w:rPr>
        <w:t xml:space="preserve">. </w:t>
      </w:r>
      <w:r w:rsidRPr="003D1E07">
        <w:rPr>
          <w:rStyle w:val="tpp"/>
          <w:szCs w:val="22"/>
        </w:rPr>
        <w:t>Paris: Éditions du Seuil.</w:t>
      </w:r>
    </w:p>
    <w:p w14:paraId="6D49AE00" w14:textId="77777777" w:rsidR="08FF59F5" w:rsidRPr="003D1E07" w:rsidRDefault="08FF59F5" w:rsidP="08FF59F5">
      <w:pPr>
        <w:pStyle w:val="Literatura"/>
      </w:pPr>
      <w:r w:rsidRPr="003D1E07">
        <w:rPr>
          <w:rStyle w:val="tpp"/>
          <w:szCs w:val="22"/>
        </w:rPr>
        <w:t>‒ (1986b):</w:t>
      </w:r>
      <w:r w:rsidRPr="003D1E07">
        <w:rPr>
          <w:rStyle w:val="tpp"/>
          <w:i/>
          <w:szCs w:val="22"/>
        </w:rPr>
        <w:t xml:space="preserve"> Essais sur le politique</w:t>
      </w:r>
      <w:r w:rsidRPr="003D1E07">
        <w:rPr>
          <w:rStyle w:val="tpp"/>
          <w:szCs w:val="22"/>
        </w:rPr>
        <w:t>. Paris: Éditions du Seuil.</w:t>
      </w:r>
    </w:p>
    <w:p w14:paraId="3EA52006" w14:textId="77777777" w:rsidR="08FF59F5" w:rsidRPr="003D1E07" w:rsidRDefault="08FF59F5" w:rsidP="08FF59F5">
      <w:pPr>
        <w:pStyle w:val="Literatura"/>
      </w:pPr>
      <w:r w:rsidRPr="003D1E07">
        <w:rPr>
          <w:rStyle w:val="name"/>
        </w:rPr>
        <w:t>Lévinas</w:t>
      </w:r>
      <w:r w:rsidRPr="003D1E07">
        <w:t xml:space="preserve">. </w:t>
      </w:r>
      <w:r w:rsidRPr="003D1E07">
        <w:rPr>
          <w:rStyle w:val="name"/>
        </w:rPr>
        <w:t>Emmanuel (1951): "</w:t>
      </w:r>
      <w:r w:rsidRPr="003D1E07">
        <w:t xml:space="preserve">L'ontologie est-elle fondamentale?" </w:t>
      </w:r>
      <w:r w:rsidRPr="003D1E07">
        <w:rPr>
          <w:rStyle w:val="Zvraznn"/>
          <w:iCs w:val="0"/>
        </w:rPr>
        <w:t>Revue de Métaphysique et de Morale</w:t>
      </w:r>
      <w:r w:rsidRPr="003D1E07">
        <w:t xml:space="preserve"> 56/1: </w:t>
      </w:r>
      <w:r w:rsidRPr="003D1E07">
        <w:tab/>
        <w:t xml:space="preserve">88‒98. </w:t>
      </w:r>
    </w:p>
    <w:p w14:paraId="5FCA60EB" w14:textId="77777777" w:rsidR="08FF59F5" w:rsidRPr="003D1E07" w:rsidRDefault="08FF59F5" w:rsidP="08FF59F5">
      <w:pPr>
        <w:pStyle w:val="Literatura"/>
        <w:rPr>
          <w:rStyle w:val="CittHTML"/>
          <w:i w:val="0"/>
          <w:iCs w:val="0"/>
        </w:rPr>
      </w:pPr>
      <w:r w:rsidRPr="003D1E07">
        <w:rPr>
          <w:i/>
          <w:iCs/>
        </w:rPr>
        <w:t>Les auctoritates Aristotelis</w:t>
      </w:r>
      <w:r w:rsidRPr="003D1E07">
        <w:t xml:space="preserve"> (1974): Ed. Jacqueline Hamesse, Louvain &amp; Paris: Publications universitaires.</w:t>
      </w:r>
    </w:p>
    <w:p w14:paraId="71F4EFEF" w14:textId="77777777" w:rsidR="08FF59F5" w:rsidRPr="003D1E07" w:rsidRDefault="08FF59F5" w:rsidP="08FF59F5">
      <w:pPr>
        <w:pStyle w:val="Literatura"/>
      </w:pPr>
      <w:r w:rsidRPr="003D1E07">
        <w:rPr>
          <w:szCs w:val="22"/>
        </w:rPr>
        <w:t xml:space="preserve">Lewis, Neil (1995): "William of Auvergne's Account of the Enuntiable: its Relations to Nominalism and the </w:t>
      </w:r>
      <w:r w:rsidRPr="003D1E07">
        <w:rPr>
          <w:szCs w:val="22"/>
        </w:rPr>
        <w:tab/>
        <w:t xml:space="preserve">Doctrine of the Eternal Truths".  </w:t>
      </w:r>
      <w:r w:rsidRPr="003D1E07">
        <w:rPr>
          <w:i/>
          <w:szCs w:val="22"/>
        </w:rPr>
        <w:t>Vivarium</w:t>
      </w:r>
      <w:r w:rsidRPr="003D1E07">
        <w:rPr>
          <w:szCs w:val="22"/>
        </w:rPr>
        <w:t xml:space="preserve"> 33/2: 113‒136.</w:t>
      </w:r>
    </w:p>
    <w:p w14:paraId="5CA5987C" w14:textId="77777777" w:rsidR="08FF59F5" w:rsidRPr="003D1E07" w:rsidRDefault="08FF59F5" w:rsidP="08FF59F5">
      <w:pPr>
        <w:pStyle w:val="Literatura"/>
      </w:pPr>
      <w:r w:rsidRPr="003D1E07">
        <w:rPr>
          <w:i/>
        </w:rPr>
        <w:t>Liber de causis</w:t>
      </w:r>
      <w:r w:rsidRPr="003D1E07">
        <w:t xml:space="preserve"> (2001): Critical text of Adriaan Pattin (1966) revised by Hans Zimmermann. Zdroj: </w:t>
      </w:r>
      <w:r w:rsidRPr="003D1E07">
        <w:tab/>
        <w:t>http://12koerbe.de/pan/causis.htm</w:t>
      </w:r>
    </w:p>
    <w:p w14:paraId="57D7C634" w14:textId="77777777" w:rsidR="08FF59F5" w:rsidRPr="003D1E07" w:rsidRDefault="08FF59F5" w:rsidP="08FF59F5">
      <w:pPr>
        <w:pStyle w:val="Literatura"/>
        <w:rPr>
          <w:szCs w:val="16"/>
        </w:rPr>
      </w:pPr>
      <w:r w:rsidRPr="003D1E07">
        <w:t>Libera, Alain de (1982): "</w:t>
      </w:r>
      <w:r w:rsidRPr="003D1E07">
        <w:rPr>
          <w:szCs w:val="16"/>
        </w:rPr>
        <w:t xml:space="preserve">The Oxford and Paris Traditions in Logic". </w:t>
      </w:r>
      <w:r w:rsidRPr="003D1E07">
        <w:rPr>
          <w:i/>
          <w:szCs w:val="16"/>
        </w:rPr>
        <w:t xml:space="preserve">The Cambridge History of Later Mediaeval </w:t>
      </w:r>
      <w:r w:rsidRPr="003D1E07">
        <w:rPr>
          <w:i/>
          <w:szCs w:val="16"/>
        </w:rPr>
        <w:tab/>
        <w:t xml:space="preserve">Philosophy, </w:t>
      </w:r>
      <w:r w:rsidRPr="003D1E07">
        <w:rPr>
          <w:szCs w:val="16"/>
        </w:rPr>
        <w:t>edited by N. Kretzmann, Norman et al., Cambridge University Press, pp. 174‒187.</w:t>
      </w:r>
    </w:p>
    <w:p w14:paraId="0BDBAE15" w14:textId="77777777" w:rsidR="08FF59F5" w:rsidRPr="003D1E07" w:rsidRDefault="08FF59F5" w:rsidP="08FF59F5">
      <w:pPr>
        <w:pStyle w:val="Literatura"/>
      </w:pPr>
      <w:r w:rsidRPr="003D1E07">
        <w:rPr>
          <w:szCs w:val="16"/>
        </w:rPr>
        <w:t xml:space="preserve">‒ (1991): </w:t>
      </w:r>
      <w:r w:rsidRPr="003D1E07">
        <w:rPr>
          <w:i/>
          <w:iCs/>
        </w:rPr>
        <w:t>Penser au Moyen Âge</w:t>
      </w:r>
      <w:r w:rsidRPr="003D1E07">
        <w:t>, Éditions du Seuil, Paris.</w:t>
      </w:r>
    </w:p>
    <w:p w14:paraId="05B21268" w14:textId="77777777" w:rsidR="08FF59F5" w:rsidRPr="003D1E07" w:rsidRDefault="08FF59F5" w:rsidP="08FF59F5">
      <w:pPr>
        <w:pStyle w:val="Literatura"/>
      </w:pPr>
      <w:r w:rsidRPr="003D1E07">
        <w:rPr>
          <w:szCs w:val="16"/>
        </w:rPr>
        <w:t>‒ (1994): "</w:t>
      </w:r>
      <w:r w:rsidRPr="003D1E07">
        <w:t xml:space="preserve">Averroïsme éthique et philosophie mystique. De la félicité intellectuelle à la vie bienheureuse". </w:t>
      </w:r>
      <w:r w:rsidRPr="003D1E07">
        <w:tab/>
      </w:r>
      <w:r w:rsidRPr="003D1E07">
        <w:rPr>
          <w:i/>
        </w:rPr>
        <w:t xml:space="preserve">Filosofia e teologia nel Trecento, </w:t>
      </w:r>
      <w:r w:rsidRPr="003D1E07">
        <w:t>edited by L. Bianchi, Louvain‒la‒Neuve, pp. 33‒56.</w:t>
      </w:r>
    </w:p>
    <w:p w14:paraId="1B78CACB" w14:textId="77777777" w:rsidR="08FF59F5" w:rsidRPr="003D1E07" w:rsidRDefault="08FF59F5" w:rsidP="08FF59F5">
      <w:pPr>
        <w:pStyle w:val="Literatura"/>
        <w:rPr>
          <w:lang w:eastAsia="en-US"/>
        </w:rPr>
      </w:pPr>
      <w:r w:rsidRPr="003D1E07">
        <w:rPr>
          <w:szCs w:val="16"/>
        </w:rPr>
        <w:t xml:space="preserve">‒ (1996): </w:t>
      </w:r>
      <w:r w:rsidRPr="003D1E07">
        <w:rPr>
          <w:i/>
          <w:lang w:eastAsia="en-US"/>
        </w:rPr>
        <w:t>La querelle des universaux. De Platon à la fin du Moyen</w:t>
      </w:r>
      <w:r w:rsidRPr="003D1E07">
        <w:rPr>
          <w:rStyle w:val="st"/>
          <w:i/>
        </w:rPr>
        <w:t xml:space="preserve"> Âge</w:t>
      </w:r>
      <w:r w:rsidRPr="003D1E07">
        <w:rPr>
          <w:lang w:eastAsia="en-US"/>
        </w:rPr>
        <w:t>. Paris: Édition du Seuil.</w:t>
      </w:r>
    </w:p>
    <w:p w14:paraId="04088B44" w14:textId="77777777" w:rsidR="08FF59F5" w:rsidRPr="003D1E07" w:rsidRDefault="08FF59F5" w:rsidP="08FF59F5">
      <w:pPr>
        <w:pStyle w:val="Literatura"/>
      </w:pPr>
      <w:r w:rsidRPr="003D1E07">
        <w:rPr>
          <w:szCs w:val="16"/>
        </w:rPr>
        <w:t xml:space="preserve">‒ (1999): </w:t>
      </w:r>
      <w:r w:rsidRPr="003D1E07">
        <w:rPr>
          <w:rStyle w:val="fn"/>
          <w:i/>
        </w:rPr>
        <w:t>L'Art des généralités</w:t>
      </w:r>
      <w:r w:rsidRPr="003D1E07">
        <w:rPr>
          <w:i/>
        </w:rPr>
        <w:t xml:space="preserve">: </w:t>
      </w:r>
      <w:r w:rsidRPr="003D1E07">
        <w:rPr>
          <w:rStyle w:val="Podtitul1"/>
          <w:i/>
        </w:rPr>
        <w:t>Théories de l'abstraction</w:t>
      </w:r>
      <w:r w:rsidRPr="003D1E07">
        <w:rPr>
          <w:rStyle w:val="Podtitul1"/>
        </w:rPr>
        <w:t xml:space="preserve">. Paris: </w:t>
      </w:r>
      <w:r w:rsidRPr="003D1E07">
        <w:t>Editions Aubier.</w:t>
      </w:r>
    </w:p>
    <w:p w14:paraId="56D3680C" w14:textId="77777777" w:rsidR="08FF59F5" w:rsidRPr="003D1E07" w:rsidRDefault="08FF59F5" w:rsidP="08FF59F5">
      <w:pPr>
        <w:pStyle w:val="Literatura"/>
      </w:pPr>
      <w:r w:rsidRPr="003D1E07">
        <w:rPr>
          <w:szCs w:val="16"/>
        </w:rPr>
        <w:t>‒ (2002): "</w:t>
      </w:r>
      <w:r w:rsidRPr="003D1E07">
        <w:rPr>
          <w:szCs w:val="18"/>
        </w:rPr>
        <w:t xml:space="preserve">Omnis homo de necessitate est animal référence et modalité selon l'anonymus erfordensis q. 328 </w:t>
      </w:r>
      <w:r w:rsidRPr="003D1E07">
        <w:rPr>
          <w:szCs w:val="18"/>
        </w:rPr>
        <w:tab/>
        <w:t xml:space="preserve">(pseudo-Robert Kilwardby)". </w:t>
      </w:r>
      <w:r w:rsidRPr="003D1E07">
        <w:rPr>
          <w:i/>
          <w:szCs w:val="18"/>
        </w:rPr>
        <w:t>Archives d'histoire doctrinale et littéraire du Moyen Âge</w:t>
      </w:r>
      <w:r w:rsidRPr="003D1E07">
        <w:rPr>
          <w:szCs w:val="18"/>
        </w:rPr>
        <w:t xml:space="preserve"> 69/1: 201‒237.</w:t>
      </w:r>
    </w:p>
    <w:p w14:paraId="074B84FB" w14:textId="77777777" w:rsidR="08FF59F5" w:rsidRPr="003D1E07" w:rsidRDefault="08FF59F5" w:rsidP="08FF59F5">
      <w:pPr>
        <w:pStyle w:val="Literatura"/>
      </w:pPr>
      <w:r w:rsidRPr="003D1E07">
        <w:rPr>
          <w:szCs w:val="16"/>
        </w:rPr>
        <w:lastRenderedPageBreak/>
        <w:t xml:space="preserve">‒ (2003): </w:t>
      </w:r>
      <w:r w:rsidRPr="003D1E07">
        <w:rPr>
          <w:i/>
          <w:iCs/>
        </w:rPr>
        <w:t>Raison et Foi</w:t>
      </w:r>
      <w:r w:rsidRPr="003D1E07">
        <w:t xml:space="preserve">, </w:t>
      </w:r>
      <w:r w:rsidRPr="003D1E07">
        <w:rPr>
          <w:lang w:eastAsia="en-US"/>
        </w:rPr>
        <w:t>Paris: Édition du Seuil</w:t>
      </w:r>
      <w:r w:rsidRPr="003D1E07">
        <w:t>.</w:t>
      </w:r>
    </w:p>
    <w:p w14:paraId="773944E2" w14:textId="77777777" w:rsidR="08FF59F5" w:rsidRPr="003D1E07" w:rsidRDefault="08FF59F5" w:rsidP="08FF59F5">
      <w:pPr>
        <w:pStyle w:val="Literatura"/>
      </w:pPr>
      <w:r w:rsidRPr="003D1E07">
        <w:rPr>
          <w:szCs w:val="16"/>
        </w:rPr>
        <w:t xml:space="preserve">‒ (2004): </w:t>
      </w:r>
      <w:r w:rsidRPr="003D1E07">
        <w:t>L'</w:t>
      </w:r>
      <w:r w:rsidRPr="003D1E07">
        <w:rPr>
          <w:i/>
        </w:rPr>
        <w:t>Unité de l'intellect</w:t>
      </w:r>
      <w:r w:rsidRPr="003D1E07">
        <w:t xml:space="preserve"> de Thomas d'Aquin. Paris: Vrin.</w:t>
      </w:r>
    </w:p>
    <w:p w14:paraId="6B1478AD" w14:textId="77777777" w:rsidR="08FF59F5" w:rsidRPr="003D1E07" w:rsidRDefault="08FF59F5" w:rsidP="08FF59F5">
      <w:pPr>
        <w:pStyle w:val="Literatura"/>
      </w:pPr>
      <w:r w:rsidRPr="003D1E07">
        <w:rPr>
          <w:szCs w:val="16"/>
        </w:rPr>
        <w:t xml:space="preserve">‒ (2005): </w:t>
      </w:r>
      <w:r w:rsidRPr="003D1E07">
        <w:rPr>
          <w:rStyle w:val="fn"/>
          <w:i/>
        </w:rPr>
        <w:t>Métaphysique et noétique</w:t>
      </w:r>
      <w:r w:rsidRPr="003D1E07">
        <w:rPr>
          <w:i/>
        </w:rPr>
        <w:t xml:space="preserve">: </w:t>
      </w:r>
      <w:r w:rsidRPr="003D1E07">
        <w:rPr>
          <w:rStyle w:val="Podtitul1"/>
          <w:i/>
        </w:rPr>
        <w:t>Albert le Grand</w:t>
      </w:r>
      <w:r w:rsidRPr="003D1E07">
        <w:rPr>
          <w:rStyle w:val="Podtitul1"/>
        </w:rPr>
        <w:t xml:space="preserve">. Paris: </w:t>
      </w:r>
      <w:r w:rsidRPr="003D1E07">
        <w:t>Vrin.</w:t>
      </w:r>
    </w:p>
    <w:p w14:paraId="0B667851" w14:textId="77777777" w:rsidR="08FF59F5" w:rsidRPr="003D1E07" w:rsidRDefault="08FF59F5" w:rsidP="08FF59F5">
      <w:pPr>
        <w:pStyle w:val="Literatura"/>
      </w:pPr>
      <w:r w:rsidRPr="003D1E07">
        <w:t xml:space="preserve">Lipovetsky, Gilles (1983): </w:t>
      </w:r>
      <w:r w:rsidRPr="003D1E07">
        <w:rPr>
          <w:i/>
        </w:rPr>
        <w:t>L'Ère du vide. Essais sur l'individualisme contemporain</w:t>
      </w:r>
      <w:r w:rsidRPr="003D1E07">
        <w:t>, Paris, Gallimard.</w:t>
      </w:r>
    </w:p>
    <w:p w14:paraId="75226B74" w14:textId="77777777" w:rsidR="08FF59F5" w:rsidRPr="003D1E07" w:rsidRDefault="08FF59F5" w:rsidP="08FF59F5">
      <w:pPr>
        <w:pStyle w:val="Literatura"/>
      </w:pPr>
      <w:r w:rsidRPr="003D1E07">
        <w:t xml:space="preserve">‒ (1992): </w:t>
      </w:r>
      <w:r w:rsidRPr="003D1E07">
        <w:rPr>
          <w:i/>
        </w:rPr>
        <w:t>Le Crépuscule du devoir. L'éthique indolore des nouveaux temps démocratiques</w:t>
      </w:r>
      <w:r w:rsidRPr="003D1E07">
        <w:t>. Paris, Gallimard.</w:t>
      </w:r>
    </w:p>
    <w:p w14:paraId="44812B8A" w14:textId="77777777" w:rsidR="08FF59F5" w:rsidRPr="003D1E07" w:rsidRDefault="08FF59F5" w:rsidP="08FF59F5">
      <w:pPr>
        <w:pStyle w:val="Literatura"/>
      </w:pPr>
      <w:r w:rsidRPr="003D1E07">
        <w:t xml:space="preserve">Lizzini, Olga Lucia (2003a): "Le traité sur l'unité de Yaḥiā Ibn ʿAdī et la troisième maqālah de la métaphysique du </w:t>
      </w:r>
      <w:r w:rsidRPr="003D1E07">
        <w:tab/>
        <w:t xml:space="preserve">Kitāb al-Šifā d'Avicenne". </w:t>
      </w:r>
      <w:r w:rsidRPr="003D1E07">
        <w:rPr>
          <w:i/>
        </w:rPr>
        <w:t>Parole de lʿOrient</w:t>
      </w:r>
      <w:r w:rsidRPr="003D1E07">
        <w:t xml:space="preserve"> 28: 497–529.</w:t>
      </w:r>
    </w:p>
    <w:p w14:paraId="2A702447" w14:textId="77777777" w:rsidR="08FF59F5" w:rsidRPr="003D1E07" w:rsidRDefault="08FF59F5" w:rsidP="08FF59F5">
      <w:pPr>
        <w:pStyle w:val="Literatura"/>
      </w:pPr>
      <w:r w:rsidRPr="003D1E07">
        <w:t xml:space="preserve">‒ </w:t>
      </w:r>
      <w:r w:rsidRPr="003D1E07">
        <w:rPr>
          <w:rStyle w:val="st"/>
        </w:rPr>
        <w:t>(2003b): "Wujūd-Mawjūd/</w:t>
      </w:r>
      <w:r w:rsidRPr="003D1E07">
        <w:rPr>
          <w:rStyle w:val="st"/>
          <w:bCs/>
        </w:rPr>
        <w:t>Existence</w:t>
      </w:r>
      <w:r w:rsidRPr="003D1E07">
        <w:rPr>
          <w:rStyle w:val="st"/>
        </w:rPr>
        <w:t>-</w:t>
      </w:r>
      <w:r w:rsidRPr="003D1E07">
        <w:rPr>
          <w:rStyle w:val="st"/>
          <w:bCs/>
        </w:rPr>
        <w:t>Existent</w:t>
      </w:r>
      <w:r w:rsidRPr="003D1E07">
        <w:rPr>
          <w:rStyle w:val="st"/>
        </w:rPr>
        <w:t xml:space="preserve"> in </w:t>
      </w:r>
      <w:r w:rsidRPr="003D1E07">
        <w:rPr>
          <w:rStyle w:val="st"/>
          <w:bCs/>
        </w:rPr>
        <w:t>Avicenna</w:t>
      </w:r>
      <w:r w:rsidRPr="003D1E07">
        <w:rPr>
          <w:rStyle w:val="st"/>
        </w:rPr>
        <w:t xml:space="preserve">: a </w:t>
      </w:r>
      <w:r w:rsidRPr="003D1E07">
        <w:rPr>
          <w:rStyle w:val="st"/>
          <w:bCs/>
        </w:rPr>
        <w:t>Key Ontological</w:t>
      </w:r>
      <w:r w:rsidRPr="003D1E07">
        <w:rPr>
          <w:rStyle w:val="st"/>
        </w:rPr>
        <w:t xml:space="preserve"> </w:t>
      </w:r>
      <w:r w:rsidRPr="003D1E07">
        <w:rPr>
          <w:rStyle w:val="st"/>
          <w:bCs/>
        </w:rPr>
        <w:t>Notion</w:t>
      </w:r>
      <w:r w:rsidRPr="003D1E07">
        <w:rPr>
          <w:rStyle w:val="st"/>
        </w:rPr>
        <w:t xml:space="preserve"> of </w:t>
      </w:r>
      <w:r w:rsidRPr="003D1E07">
        <w:rPr>
          <w:rStyle w:val="st"/>
          <w:bCs/>
        </w:rPr>
        <w:t>Arabic Philosophy"</w:t>
      </w:r>
      <w:r w:rsidRPr="003D1E07">
        <w:rPr>
          <w:rStyle w:val="st"/>
        </w:rPr>
        <w:t xml:space="preserve">. </w:t>
      </w:r>
      <w:r w:rsidRPr="003D1E07">
        <w:rPr>
          <w:rStyle w:val="st"/>
        </w:rPr>
        <w:tab/>
      </w:r>
      <w:r w:rsidRPr="003D1E07">
        <w:rPr>
          <w:rStyle w:val="st"/>
          <w:i/>
        </w:rPr>
        <w:t>Quaestio</w:t>
      </w:r>
      <w:r w:rsidRPr="003D1E07">
        <w:rPr>
          <w:rStyle w:val="st"/>
        </w:rPr>
        <w:t xml:space="preserve"> 3: 111–138.</w:t>
      </w:r>
      <w:r w:rsidRPr="003D1E07">
        <w:t xml:space="preserve">  </w:t>
      </w:r>
    </w:p>
    <w:p w14:paraId="2B2C74C9" w14:textId="77777777" w:rsidR="08FF59F5" w:rsidRPr="003D1E07" w:rsidRDefault="08FF59F5" w:rsidP="08FF59F5">
      <w:pPr>
        <w:pStyle w:val="Literatura"/>
      </w:pPr>
      <w:r w:rsidRPr="003D1E07">
        <w:t xml:space="preserve">Liessmann, Konrad Paul (2006): </w:t>
      </w:r>
      <w:r w:rsidRPr="003D1E07">
        <w:rPr>
          <w:i/>
        </w:rPr>
        <w:t>Theorie der Unbildung. Die Irrtümer der Wissensgesellschaft</w:t>
      </w:r>
      <w:r w:rsidRPr="003D1E07">
        <w:t>. Wien: Zsolnay.</w:t>
      </w:r>
    </w:p>
    <w:p w14:paraId="63891750" w14:textId="77777777" w:rsidR="08FF59F5" w:rsidRPr="003D1E07" w:rsidRDefault="08FF59F5" w:rsidP="08FF59F5">
      <w:pPr>
        <w:pStyle w:val="Literatura"/>
        <w:rPr>
          <w:rStyle w:val="CittHTML"/>
          <w:i w:val="0"/>
          <w:iCs w:val="0"/>
        </w:rPr>
      </w:pPr>
      <w:r w:rsidRPr="003D1E07">
        <w:rPr>
          <w:rStyle w:val="CittHTML"/>
          <w:i w:val="0"/>
          <w:iCs w:val="0"/>
        </w:rPr>
        <w:t xml:space="preserve">Locke, John(1975): </w:t>
      </w:r>
      <w:r w:rsidRPr="003D1E07">
        <w:rPr>
          <w:rStyle w:val="CittHTML"/>
          <w:iCs w:val="0"/>
        </w:rPr>
        <w:t>An Essay concerning Human Understanding</w:t>
      </w:r>
      <w:r w:rsidRPr="003D1E07">
        <w:rPr>
          <w:rStyle w:val="CittHTML"/>
          <w:i w:val="0"/>
          <w:iCs w:val="0"/>
        </w:rPr>
        <w:t xml:space="preserve">. The Clarendon Edition of the Works of John </w:t>
      </w:r>
      <w:r w:rsidRPr="003D1E07">
        <w:rPr>
          <w:rStyle w:val="CittHTML"/>
          <w:i w:val="0"/>
          <w:iCs w:val="0"/>
        </w:rPr>
        <w:tab/>
        <w:t>Locke. Edited by Peter H. Nidditch, and John Yolton. Clarendon Press.</w:t>
      </w:r>
    </w:p>
    <w:p w14:paraId="1D503F2B" w14:textId="77777777" w:rsidR="08FF59F5" w:rsidRPr="003D1E07" w:rsidRDefault="08FF59F5" w:rsidP="08FF59F5">
      <w:pPr>
        <w:pStyle w:val="Literatura"/>
        <w:rPr>
          <w:rStyle w:val="CittHTML"/>
          <w:i w:val="0"/>
          <w:iCs w:val="0"/>
        </w:rPr>
      </w:pPr>
      <w:r w:rsidRPr="003D1E07">
        <w:rPr>
          <w:rStyle w:val="CittHTML"/>
          <w:i w:val="0"/>
          <w:iCs w:val="0"/>
        </w:rPr>
        <w:t xml:space="preserve">‒ (1980): </w:t>
      </w:r>
      <w:r w:rsidRPr="003D1E07">
        <w:rPr>
          <w:rStyle w:val="CittHTML"/>
          <w:iCs w:val="0"/>
        </w:rPr>
        <w:t>Second Treatise of Government</w:t>
      </w:r>
      <w:r w:rsidRPr="003D1E07">
        <w:rPr>
          <w:rStyle w:val="CittHTML"/>
          <w:i w:val="0"/>
          <w:iCs w:val="0"/>
        </w:rPr>
        <w:t>. Ed. C. B. Macpherson, Hackett Publishing.</w:t>
      </w:r>
    </w:p>
    <w:p w14:paraId="2A9405B3" w14:textId="77777777" w:rsidR="08FF59F5" w:rsidRPr="003D1E07" w:rsidRDefault="08FF59F5" w:rsidP="08FF59F5">
      <w:pPr>
        <w:pStyle w:val="Literatura"/>
      </w:pPr>
      <w:r w:rsidRPr="003D1E07">
        <w:rPr>
          <w:rStyle w:val="CittHTML"/>
          <w:iCs w:val="0"/>
        </w:rPr>
        <w:t>Logica Modernorum II</w:t>
      </w:r>
      <w:r w:rsidRPr="003D1E07">
        <w:rPr>
          <w:rStyle w:val="CittHTML"/>
          <w:i w:val="0"/>
          <w:iCs w:val="0"/>
        </w:rPr>
        <w:t xml:space="preserve"> (1967):</w:t>
      </w:r>
      <w:r w:rsidRPr="003D1E07">
        <w:rPr>
          <w:rStyle w:val="CittHTML"/>
          <w:iCs w:val="0"/>
        </w:rPr>
        <w:t xml:space="preserve"> The Origin and Early Development of the Theory of Supposition</w:t>
      </w:r>
      <w:r w:rsidRPr="003D1E07">
        <w:rPr>
          <w:rStyle w:val="CittHTML"/>
          <w:i w:val="0"/>
          <w:iCs w:val="0"/>
        </w:rPr>
        <w:t xml:space="preserve">, edited by </w:t>
      </w:r>
      <w:r w:rsidRPr="003D1E07">
        <w:rPr>
          <w:rStyle w:val="CittHTML"/>
          <w:i w:val="0"/>
          <w:iCs w:val="0"/>
        </w:rPr>
        <w:tab/>
      </w:r>
      <w:r w:rsidRPr="003D1E07">
        <w:t>Lambertus Marie De Rijk</w:t>
      </w:r>
      <w:r w:rsidRPr="003D1E07">
        <w:rPr>
          <w:rStyle w:val="CittHTML"/>
          <w:i w:val="0"/>
          <w:iCs w:val="0"/>
        </w:rPr>
        <w:t>, Assen: Van Gorcum.</w:t>
      </w:r>
    </w:p>
    <w:p w14:paraId="0BAB7CE5" w14:textId="77777777" w:rsidR="08FF59F5" w:rsidRPr="003D1E07" w:rsidRDefault="08FF59F5" w:rsidP="08FF59F5">
      <w:pPr>
        <w:pStyle w:val="Literatura"/>
      </w:pPr>
      <w:r w:rsidRPr="003D1E07">
        <w:t xml:space="preserve">Lottin, Dom Odon (1926): "Les premiers linéaments du Traité de la Syndérèse au moyen âge". </w:t>
      </w:r>
      <w:r w:rsidRPr="003D1E07">
        <w:rPr>
          <w:i/>
        </w:rPr>
        <w:t>Revue néo-</w:t>
      </w:r>
      <w:r w:rsidRPr="003D1E07">
        <w:rPr>
          <w:i/>
        </w:rPr>
        <w:tab/>
        <w:t>scolastique de philosophie</w:t>
      </w:r>
      <w:r w:rsidRPr="003D1E07">
        <w:t xml:space="preserve"> 12: 422‒454.</w:t>
      </w:r>
    </w:p>
    <w:p w14:paraId="4CE32100" w14:textId="77777777" w:rsidR="08FF59F5" w:rsidRPr="003D1E07" w:rsidRDefault="08FF59F5" w:rsidP="08FF59F5">
      <w:pPr>
        <w:pStyle w:val="Literatura"/>
      </w:pPr>
      <w:r w:rsidRPr="003D1E07">
        <w:t>‒ (1932): "</w:t>
      </w:r>
      <w:r w:rsidRPr="003D1E07">
        <w:rPr>
          <w:szCs w:val="36"/>
        </w:rPr>
        <w:t xml:space="preserve">La composition hylémorphique des substances spirituelles. Les débuts de la controverse". </w:t>
      </w:r>
      <w:r w:rsidRPr="003D1E07">
        <w:rPr>
          <w:i/>
        </w:rPr>
        <w:t>Revue néo-</w:t>
      </w:r>
      <w:r w:rsidRPr="003D1E07">
        <w:rPr>
          <w:i/>
        </w:rPr>
        <w:tab/>
        <w:t>scolastique de philosophie</w:t>
      </w:r>
      <w:r w:rsidRPr="003D1E07">
        <w:t xml:space="preserve"> 34: 21‒41.</w:t>
      </w:r>
    </w:p>
    <w:p w14:paraId="4075E59A" w14:textId="77777777" w:rsidR="08FF59F5" w:rsidRPr="003D1E07" w:rsidRDefault="08FF59F5" w:rsidP="08FF59F5">
      <w:pPr>
        <w:pStyle w:val="Literatura"/>
      </w:pPr>
      <w:r w:rsidRPr="003D1E07">
        <w:t xml:space="preserve">‒ (1939): "Psychologie et Morale à la Faculté des Arts de Paris aux approches de 1250". </w:t>
      </w:r>
      <w:r w:rsidRPr="003D1E07">
        <w:rPr>
          <w:i/>
        </w:rPr>
        <w:t xml:space="preserve">Revue néo-scolastique </w:t>
      </w:r>
      <w:r w:rsidRPr="003D1E07">
        <w:rPr>
          <w:i/>
        </w:rPr>
        <w:tab/>
        <w:t>de philosophie</w:t>
      </w:r>
      <w:r w:rsidRPr="003D1E07">
        <w:t xml:space="preserve"> 62: 182‒212.</w:t>
      </w:r>
    </w:p>
    <w:p w14:paraId="05F60E4E" w14:textId="77777777" w:rsidR="08FF59F5" w:rsidRPr="003D1E07" w:rsidRDefault="08FF59F5" w:rsidP="08FF59F5">
      <w:pPr>
        <w:pStyle w:val="Literatura"/>
      </w:pPr>
      <w:r w:rsidRPr="003D1E07">
        <w:t xml:space="preserve">Lubac, Henri de (1965): </w:t>
      </w:r>
      <w:r w:rsidRPr="003D1E07">
        <w:rPr>
          <w:i/>
        </w:rPr>
        <w:t>Le mystère du surnaturel</w:t>
      </w:r>
      <w:r w:rsidRPr="003D1E07">
        <w:t>. Paris: Aubier.</w:t>
      </w:r>
    </w:p>
    <w:p w14:paraId="4B8F7325" w14:textId="77777777" w:rsidR="08FF59F5" w:rsidRPr="003D1E07" w:rsidRDefault="08FF59F5" w:rsidP="08FF59F5">
      <w:pPr>
        <w:pStyle w:val="Literatura"/>
      </w:pPr>
      <w:r w:rsidRPr="003D1E07">
        <w:t xml:space="preserve">Luscombe, David (1969): </w:t>
      </w:r>
      <w:r w:rsidRPr="003D1E07">
        <w:rPr>
          <w:i/>
        </w:rPr>
        <w:t>The School of Peter Abelard</w:t>
      </w:r>
      <w:r w:rsidRPr="003D1E07">
        <w:t xml:space="preserve">. </w:t>
      </w:r>
      <w:r w:rsidRPr="003D1E07">
        <w:rPr>
          <w:rStyle w:val="medium-8"/>
        </w:rPr>
        <w:t>Cambridge University Press.</w:t>
      </w:r>
    </w:p>
    <w:p w14:paraId="59411DBE" w14:textId="77777777" w:rsidR="08FF59F5" w:rsidRPr="003D1E07" w:rsidRDefault="08FF59F5" w:rsidP="08FF59F5">
      <w:pPr>
        <w:pStyle w:val="Literatura"/>
      </w:pPr>
      <w:r w:rsidRPr="003D1E07">
        <w:rPr>
          <w:rFonts w:cs="Calibri"/>
        </w:rPr>
        <w:t>−</w:t>
      </w:r>
      <w:r w:rsidRPr="003D1E07">
        <w:t xml:space="preserve"> (1988): "From Paris to the Paraclete: The Correspondence of Abelard and Heloise". </w:t>
      </w:r>
      <w:r w:rsidRPr="003D1E07">
        <w:rPr>
          <w:i/>
        </w:rPr>
        <w:t xml:space="preserve">Proceedings of the British </w:t>
      </w:r>
      <w:r w:rsidRPr="003D1E07">
        <w:rPr>
          <w:rFonts w:cs="Calibri"/>
        </w:rPr>
        <w:tab/>
      </w:r>
      <w:r w:rsidRPr="003D1E07">
        <w:rPr>
          <w:i/>
        </w:rPr>
        <w:t>Academy</w:t>
      </w:r>
      <w:r w:rsidRPr="003D1E07">
        <w:t xml:space="preserve"> 74: 247‒283.</w:t>
      </w:r>
    </w:p>
    <w:p w14:paraId="321EF0EB" w14:textId="77777777" w:rsidR="08FF59F5" w:rsidRPr="003D1E07" w:rsidRDefault="08FF59F5" w:rsidP="08FF59F5">
      <w:pPr>
        <w:pStyle w:val="Literatura"/>
        <w:rPr>
          <w:rFonts w:cs="Calibri"/>
        </w:rPr>
      </w:pPr>
      <w:r w:rsidRPr="003D1E07">
        <w:t>Mahoney, P. Edward (1988): "Aristotle as '</w:t>
      </w:r>
      <w:r w:rsidRPr="003D1E07">
        <w:rPr>
          <w:rFonts w:cs="Calibri"/>
        </w:rPr>
        <w:t>The Worst Natural Philosopher' (</w:t>
      </w:r>
      <w:r w:rsidRPr="003D1E07">
        <w:rPr>
          <w:rFonts w:cs="Calibri"/>
          <w:i/>
        </w:rPr>
        <w:t>pessimus</w:t>
      </w:r>
      <w:r w:rsidRPr="003D1E07">
        <w:rPr>
          <w:i/>
        </w:rPr>
        <w:t xml:space="preserve"> naturalis</w:t>
      </w:r>
      <w:r w:rsidRPr="003D1E07">
        <w:t>) and '</w:t>
      </w:r>
      <w:r w:rsidRPr="003D1E07">
        <w:rPr>
          <w:rFonts w:cs="Calibri"/>
        </w:rPr>
        <w:t xml:space="preserve">The Worst </w:t>
      </w:r>
      <w:r w:rsidRPr="003D1E07">
        <w:rPr>
          <w:rFonts w:cs="Calibri"/>
        </w:rPr>
        <w:tab/>
        <w:t>Metaphysician' (</w:t>
      </w:r>
      <w:r w:rsidRPr="003D1E07">
        <w:rPr>
          <w:rFonts w:cs="Calibri"/>
          <w:i/>
        </w:rPr>
        <w:t>pessimus metaphysicus</w:t>
      </w:r>
      <w:r w:rsidRPr="003D1E07">
        <w:rPr>
          <w:rFonts w:cs="Calibri"/>
        </w:rPr>
        <w:t xml:space="preserve">)". </w:t>
      </w:r>
      <w:r w:rsidRPr="003D1E07">
        <w:rPr>
          <w:i/>
        </w:rPr>
        <w:t xml:space="preserve">Die Philosophie im 14. und 15. Jahrhundert. In memoriam </w:t>
      </w:r>
      <w:r w:rsidRPr="003D1E07">
        <w:rPr>
          <w:i/>
        </w:rPr>
        <w:tab/>
        <w:t xml:space="preserve">Konstanty Michalski (1879–1947), edited by </w:t>
      </w:r>
      <w:r w:rsidRPr="003D1E07">
        <w:rPr>
          <w:rFonts w:cs="Calibri"/>
        </w:rPr>
        <w:t xml:space="preserve">Olaf </w:t>
      </w:r>
      <w:r w:rsidRPr="003D1E07">
        <w:t xml:space="preserve">Pluta, Amsterodam: B.R. Grüner Publishing Company, </w:t>
      </w:r>
      <w:r w:rsidRPr="003D1E07">
        <w:rPr>
          <w:i/>
        </w:rPr>
        <w:tab/>
      </w:r>
      <w:r w:rsidRPr="003D1E07">
        <w:t>pp. 261–273.</w:t>
      </w:r>
    </w:p>
    <w:p w14:paraId="680D3A9D" w14:textId="77777777" w:rsidR="08FF59F5" w:rsidRPr="003D1E07" w:rsidRDefault="08FF59F5" w:rsidP="08FF59F5">
      <w:pPr>
        <w:pStyle w:val="Literatura"/>
      </w:pPr>
      <w:r w:rsidRPr="003D1E07">
        <w:t xml:space="preserve">Marx, Karl (1961): </w:t>
      </w:r>
      <w:r w:rsidRPr="003D1E07">
        <w:rPr>
          <w:i/>
        </w:rPr>
        <w:t>Einleitung zur Kritik der politischen Ökonomie</w:t>
      </w:r>
      <w:r w:rsidRPr="003D1E07">
        <w:t xml:space="preserve">. </w:t>
      </w:r>
      <w:r w:rsidRPr="003D1E07">
        <w:rPr>
          <w:bCs/>
          <w:i/>
        </w:rPr>
        <w:t>Marx-Engels-Werke</w:t>
      </w:r>
      <w:r w:rsidRPr="003D1E07">
        <w:t>. Dietz Verlag, Berlin/DDR, 1956‒1976 (MEW Ausgabe), Band 13.</w:t>
      </w:r>
    </w:p>
    <w:p w14:paraId="5E8E91AB" w14:textId="77777777" w:rsidR="08FF59F5" w:rsidRPr="003D1E07" w:rsidRDefault="08FF59F5" w:rsidP="08FF59F5">
      <w:pPr>
        <w:pStyle w:val="Literatura"/>
      </w:pPr>
      <w:r w:rsidRPr="003D1E07">
        <w:t xml:space="preserve">‒ (1968): </w:t>
      </w:r>
      <w:r w:rsidRPr="003D1E07">
        <w:rPr>
          <w:i/>
        </w:rPr>
        <w:t>Das Kapital</w:t>
      </w:r>
      <w:r w:rsidRPr="003D1E07">
        <w:t xml:space="preserve"> I, MEW Ausgabe, Band 23.</w:t>
      </w:r>
    </w:p>
    <w:p w14:paraId="1E7737E5" w14:textId="77777777" w:rsidR="08FF59F5" w:rsidRPr="003D1E07" w:rsidRDefault="08FF59F5" w:rsidP="08FF59F5">
      <w:pPr>
        <w:pStyle w:val="Literatura"/>
      </w:pPr>
      <w:r w:rsidRPr="003D1E07">
        <w:t xml:space="preserve">– (1976): </w:t>
      </w:r>
      <w:r w:rsidRPr="003D1E07">
        <w:rPr>
          <w:i/>
        </w:rPr>
        <w:t>Zur Kritik der Hegelschen Rechtsphilosophie</w:t>
      </w:r>
      <w:r w:rsidRPr="003D1E07">
        <w:t>. MEW Ausgabe, Band 1.</w:t>
      </w:r>
    </w:p>
    <w:p w14:paraId="5EA81FCF" w14:textId="77777777" w:rsidR="08FF59F5" w:rsidRPr="003D1E07" w:rsidRDefault="08FF59F5" w:rsidP="08FF59F5">
      <w:pPr>
        <w:pStyle w:val="Literatura"/>
      </w:pPr>
      <w:r w:rsidRPr="003D1E07">
        <w:t xml:space="preserve">– (1977): </w:t>
      </w:r>
      <w:r w:rsidRPr="003D1E07">
        <w:rPr>
          <w:i/>
        </w:rPr>
        <w:t>Das Elend der Philosophie</w:t>
      </w:r>
      <w:r w:rsidRPr="003D1E07">
        <w:t>. MEW Ausgabe, Band 4.</w:t>
      </w:r>
    </w:p>
    <w:p w14:paraId="72D93D4F" w14:textId="77777777" w:rsidR="08FF59F5" w:rsidRPr="003D1E07" w:rsidRDefault="08FF59F5" w:rsidP="08FF59F5">
      <w:pPr>
        <w:pStyle w:val="Literatura"/>
      </w:pPr>
      <w:r w:rsidRPr="003D1E07">
        <w:t>Mandonnet, Pierre (1907): "</w:t>
      </w:r>
      <w:r w:rsidRPr="003D1E07">
        <w:rPr>
          <w:i/>
        </w:rPr>
        <w:t xml:space="preserve">Le traité </w:t>
      </w:r>
      <w:r w:rsidRPr="003D1E07">
        <w:rPr>
          <w:rStyle w:val="Zvraznn"/>
          <w:i w:val="0"/>
        </w:rPr>
        <w:t xml:space="preserve">De erroribus Philosophorum </w:t>
      </w:r>
      <w:r w:rsidRPr="003D1E07">
        <w:rPr>
          <w:i/>
        </w:rPr>
        <w:t>(XIIIe siècle)</w:t>
      </w:r>
      <w:r w:rsidRPr="003D1E07">
        <w:t xml:space="preserve">". </w:t>
      </w:r>
      <w:r w:rsidRPr="003D1E07">
        <w:rPr>
          <w:rStyle w:val="collection"/>
          <w:i/>
        </w:rPr>
        <w:t>Revue néo-scolastique</w:t>
      </w:r>
      <w:r w:rsidRPr="003D1E07">
        <w:rPr>
          <w:rStyle w:val="collection"/>
        </w:rPr>
        <w:t xml:space="preserve"> </w:t>
      </w:r>
      <w:r w:rsidRPr="003D1E07">
        <w:rPr>
          <w:rStyle w:val="documentvolume"/>
        </w:rPr>
        <w:t xml:space="preserve">14: </w:t>
      </w:r>
      <w:r w:rsidRPr="003D1E07">
        <w:rPr>
          <w:rStyle w:val="documentvolume"/>
        </w:rPr>
        <w:tab/>
      </w:r>
      <w:r w:rsidRPr="003D1E07">
        <w:rPr>
          <w:rStyle w:val="documentpagerange"/>
        </w:rPr>
        <w:t>533‒552.</w:t>
      </w:r>
    </w:p>
    <w:p w14:paraId="1311FC3C" w14:textId="77777777" w:rsidR="08FF59F5" w:rsidRPr="003D1E07" w:rsidRDefault="08FF59F5" w:rsidP="08FF59F5">
      <w:pPr>
        <w:pStyle w:val="Literatura"/>
      </w:pPr>
      <w:r w:rsidRPr="003D1E07">
        <w:t xml:space="preserve">‒ (1911): </w:t>
      </w:r>
      <w:r w:rsidRPr="003D1E07">
        <w:rPr>
          <w:i/>
        </w:rPr>
        <w:t>Siger de Brabant et l'averroïsme latin au XIII</w:t>
      </w:r>
      <w:r w:rsidRPr="003D1E07">
        <w:rPr>
          <w:i/>
          <w:vertAlign w:val="superscript"/>
        </w:rPr>
        <w:t>me</w:t>
      </w:r>
      <w:r w:rsidRPr="003D1E07">
        <w:rPr>
          <w:i/>
        </w:rPr>
        <w:t xml:space="preserve"> siècle. Tome 2. Étude critique</w:t>
      </w:r>
      <w:r w:rsidRPr="003D1E07">
        <w:t xml:space="preserve">. Louvain: Institut </w:t>
      </w:r>
      <w:r w:rsidRPr="003D1E07">
        <w:tab/>
        <w:t>supérieur de philosophie de l'Université.</w:t>
      </w:r>
    </w:p>
    <w:p w14:paraId="34063914" w14:textId="77777777" w:rsidR="08FF59F5" w:rsidRPr="003D1E07" w:rsidRDefault="08FF59F5" w:rsidP="08FF59F5">
      <w:pPr>
        <w:pStyle w:val="Literatura"/>
      </w:pPr>
      <w:r w:rsidRPr="003D1E07">
        <w:rPr>
          <w:rStyle w:val="search-item"/>
        </w:rPr>
        <w:t>Mannheim, Karl (</w:t>
      </w:r>
      <w:r w:rsidRPr="003D1E07">
        <w:t>1995</w:t>
      </w:r>
      <w:r w:rsidRPr="003D1E07">
        <w:rPr>
          <w:rStyle w:val="search-item"/>
        </w:rPr>
        <w:t>)</w:t>
      </w:r>
      <w:r w:rsidRPr="003D1E07">
        <w:t xml:space="preserve">. </w:t>
      </w:r>
      <w:r w:rsidRPr="003D1E07">
        <w:rPr>
          <w:i/>
        </w:rPr>
        <w:t>Ideologie und Utopie</w:t>
      </w:r>
      <w:r w:rsidRPr="003D1E07">
        <w:t>, 8. Auflage, Frankfurt am Main: Vittorio Klostermann.</w:t>
      </w:r>
    </w:p>
    <w:p w14:paraId="6DC87F57" w14:textId="77777777" w:rsidR="08FF59F5" w:rsidRPr="003D1E07" w:rsidRDefault="08FF59F5" w:rsidP="08FF59F5">
      <w:pPr>
        <w:pStyle w:val="Literatura"/>
      </w:pPr>
      <w:r w:rsidRPr="003D1E07">
        <w:t xml:space="preserve">Marazzi, Luca (1990): </w:t>
      </w:r>
      <w:r w:rsidRPr="003D1E07">
        <w:rPr>
          <w:i/>
        </w:rPr>
        <w:t>Das iustum pretium im Tractatus de emptionibus et venditionibus des Petrus Ioannis Olivi</w:t>
      </w:r>
      <w:r w:rsidRPr="003D1E07">
        <w:t xml:space="preserve">. </w:t>
      </w:r>
      <w:r w:rsidRPr="003D1E07">
        <w:tab/>
        <w:t>Zürich: Zürcher Studien zur Rechtsgeschichte 20.</w:t>
      </w:r>
    </w:p>
    <w:p w14:paraId="3FCA2CF5" w14:textId="77777777" w:rsidR="08FF59F5" w:rsidRPr="003D1E07" w:rsidRDefault="08FF59F5" w:rsidP="08FF59F5">
      <w:pPr>
        <w:pStyle w:val="Literatura"/>
      </w:pPr>
      <w:r w:rsidRPr="003D1E07">
        <w:t xml:space="preserve">Marmura, Michael (1986): "Avicenna’s 'Flying Man' in Context". </w:t>
      </w:r>
      <w:r w:rsidRPr="003D1E07">
        <w:rPr>
          <w:i/>
        </w:rPr>
        <w:t>Monist</w:t>
      </w:r>
      <w:r w:rsidRPr="003D1E07">
        <w:t xml:space="preserve"> 69: 383‒395.</w:t>
      </w:r>
    </w:p>
    <w:p w14:paraId="4A2B92B0" w14:textId="77777777" w:rsidR="08FF59F5" w:rsidRPr="003D1E07" w:rsidRDefault="08FF59F5" w:rsidP="08FF59F5">
      <w:pPr>
        <w:pStyle w:val="Literatura"/>
      </w:pPr>
      <w:r w:rsidRPr="003D1E07">
        <w:t xml:space="preserve">Marrone, Steven (1983): </w:t>
      </w:r>
      <w:r w:rsidRPr="003D1E07">
        <w:rPr>
          <w:i/>
        </w:rPr>
        <w:t xml:space="preserve">William of Auvergne and Robert Grosseteste: New Ideas of Truth in the Early </w:t>
      </w:r>
      <w:r w:rsidRPr="003D1E07">
        <w:rPr>
          <w:i/>
        </w:rPr>
        <w:tab/>
        <w:t>Thirteenth Century</w:t>
      </w:r>
      <w:r w:rsidRPr="003D1E07">
        <w:t>. Princeton University Press.</w:t>
      </w:r>
    </w:p>
    <w:p w14:paraId="04A7420F" w14:textId="77777777" w:rsidR="08FF59F5" w:rsidRPr="003D1E07" w:rsidRDefault="08FF59F5" w:rsidP="08FF59F5">
      <w:pPr>
        <w:pStyle w:val="Literatura"/>
      </w:pPr>
      <w:r w:rsidRPr="003D1E07">
        <w:t xml:space="preserve">Martin, Conor (1951). "Some Medieval Commentaries on Aristotle's Politics." </w:t>
      </w:r>
      <w:r w:rsidRPr="003D1E07">
        <w:rPr>
          <w:i/>
          <w:iCs/>
        </w:rPr>
        <w:t xml:space="preserve">History </w:t>
      </w:r>
      <w:r w:rsidRPr="003D1E07">
        <w:rPr>
          <w:iCs/>
        </w:rPr>
        <w:t>36</w:t>
      </w:r>
      <w:r w:rsidRPr="003D1E07">
        <w:rPr>
          <w:i/>
          <w:iCs/>
        </w:rPr>
        <w:t xml:space="preserve"> </w:t>
      </w:r>
      <w:r w:rsidRPr="003D1E07">
        <w:t xml:space="preserve">(126/127), New Series, </w:t>
      </w:r>
      <w:r w:rsidRPr="003D1E07">
        <w:tab/>
        <w:t>pp. 29‒44.</w:t>
      </w:r>
    </w:p>
    <w:p w14:paraId="1F9DDDF1" w14:textId="77777777" w:rsidR="08FF59F5" w:rsidRPr="003D1E07" w:rsidRDefault="08FF59F5" w:rsidP="08FF59F5">
      <w:pPr>
        <w:pStyle w:val="Literatura"/>
      </w:pPr>
      <w:r w:rsidRPr="003D1E07">
        <w:t xml:space="preserve">Matsen, Herbert Stanley (1974): </w:t>
      </w:r>
      <w:r w:rsidRPr="003D1E07">
        <w:rPr>
          <w:i/>
        </w:rPr>
        <w:t xml:space="preserve">Alessandro Achillini (1463‒1512) and His Doctrine of "universals" and </w:t>
      </w:r>
      <w:r w:rsidRPr="003D1E07">
        <w:rPr>
          <w:i/>
        </w:rPr>
        <w:tab/>
        <w:t>"transcendentals": A Study in Renaissance Ockhamism</w:t>
      </w:r>
      <w:r w:rsidRPr="003D1E07">
        <w:t>. Bucknell University Press.</w:t>
      </w:r>
    </w:p>
    <w:p w14:paraId="06582BA3" w14:textId="77777777" w:rsidR="08FF59F5" w:rsidRPr="003D1E07" w:rsidRDefault="08FF59F5" w:rsidP="08FF59F5">
      <w:pPr>
        <w:pStyle w:val="Literatura"/>
      </w:pPr>
      <w:r w:rsidRPr="003D1E07">
        <w:rPr>
          <w:rStyle w:val="fn"/>
        </w:rPr>
        <w:lastRenderedPageBreak/>
        <w:t xml:space="preserve">Matthew of Orleans </w:t>
      </w:r>
      <w:r w:rsidRPr="003D1E07">
        <w:rPr>
          <w:rStyle w:val="Podtitul1"/>
        </w:rPr>
        <w:t>(2001)</w:t>
      </w:r>
      <w:r w:rsidRPr="003D1E07">
        <w:t>:</w:t>
      </w:r>
      <w:r w:rsidRPr="003D1E07">
        <w:rPr>
          <w:i/>
        </w:rPr>
        <w:t xml:space="preserve"> </w:t>
      </w:r>
      <w:r w:rsidRPr="003D1E07">
        <w:rPr>
          <w:rStyle w:val="fn"/>
          <w:i/>
        </w:rPr>
        <w:t>Matthew of Orleans</w:t>
      </w:r>
      <w:r w:rsidRPr="003D1E07">
        <w:rPr>
          <w:rStyle w:val="fn"/>
        </w:rPr>
        <w:t xml:space="preserve">: </w:t>
      </w:r>
      <w:r w:rsidRPr="003D1E07">
        <w:rPr>
          <w:rStyle w:val="Podtitul1"/>
          <w:i/>
        </w:rPr>
        <w:t xml:space="preserve">Sophistaria Sive Communium Distinctionum Circa Sophismata </w:t>
      </w:r>
      <w:r w:rsidRPr="003D1E07">
        <w:rPr>
          <w:rStyle w:val="Podtitul1"/>
          <w:i/>
        </w:rPr>
        <w:tab/>
        <w:t>Accidentium</w:t>
      </w:r>
      <w:r w:rsidRPr="003D1E07">
        <w:rPr>
          <w:rStyle w:val="Podtitul1"/>
        </w:rPr>
        <w:t>. Edited by Joke Spruyt, Leiden.</w:t>
      </w:r>
    </w:p>
    <w:p w14:paraId="7F8ED1D2" w14:textId="77777777" w:rsidR="08FF59F5" w:rsidRPr="003D1E07" w:rsidRDefault="08FF59F5" w:rsidP="08FF59F5">
      <w:pPr>
        <w:pStyle w:val="Literatura"/>
        <w:rPr>
          <w:rStyle w:val="reference-text"/>
        </w:rPr>
      </w:pPr>
      <w:r w:rsidRPr="003D1E07">
        <w:rPr>
          <w:rStyle w:val="reference-text"/>
        </w:rPr>
        <w:t xml:space="preserve">McCombs, E. Maxwell, and Donald L. Shaw (1972): "The Agenda-Setting Function of Mass Media". </w:t>
      </w:r>
      <w:r w:rsidRPr="003D1E07">
        <w:rPr>
          <w:rStyle w:val="reference-text"/>
          <w:i/>
        </w:rPr>
        <w:t xml:space="preserve">Public </w:t>
      </w:r>
      <w:r w:rsidRPr="003D1E07">
        <w:rPr>
          <w:rStyle w:val="reference-text"/>
          <w:i/>
        </w:rPr>
        <w:tab/>
        <w:t>Opinion Quarterly</w:t>
      </w:r>
      <w:r w:rsidRPr="003D1E07">
        <w:rPr>
          <w:rStyle w:val="reference-text"/>
        </w:rPr>
        <w:t xml:space="preserve"> 36: 176‒187.</w:t>
      </w:r>
    </w:p>
    <w:p w14:paraId="25145BAD" w14:textId="77777777" w:rsidR="08FF59F5" w:rsidRPr="003D1E07" w:rsidRDefault="08FF59F5" w:rsidP="08FF59F5">
      <w:pPr>
        <w:pStyle w:val="Literatura"/>
      </w:pPr>
      <w:r w:rsidRPr="003D1E07">
        <w:t>McEvoy, James (1977): "</w:t>
      </w:r>
      <w:r w:rsidRPr="003D1E07">
        <w:rPr>
          <w:szCs w:val="36"/>
        </w:rPr>
        <w:t xml:space="preserve">La connaissance individuelle selon Robert Grosseteste". </w:t>
      </w:r>
      <w:r w:rsidRPr="003D1E07">
        <w:rPr>
          <w:i/>
        </w:rPr>
        <w:t xml:space="preserve">Revue Philosophique de </w:t>
      </w:r>
      <w:r w:rsidRPr="003D1E07">
        <w:rPr>
          <w:i/>
        </w:rPr>
        <w:tab/>
        <w:t>Louvain</w:t>
      </w:r>
      <w:r w:rsidRPr="003D1E07">
        <w:t xml:space="preserve"> 75: 5‒48.</w:t>
      </w:r>
    </w:p>
    <w:p w14:paraId="190DD564" w14:textId="77777777" w:rsidR="08FF59F5" w:rsidRPr="003D1E07" w:rsidRDefault="08FF59F5" w:rsidP="08FF59F5">
      <w:pPr>
        <w:pStyle w:val="Literatura"/>
      </w:pPr>
      <w:r w:rsidRPr="003D1E07">
        <w:t xml:space="preserve">‒ (2000): </w:t>
      </w:r>
      <w:r w:rsidRPr="003D1E07">
        <w:rPr>
          <w:i/>
        </w:rPr>
        <w:t>Robert Grosseteste</w:t>
      </w:r>
      <w:r w:rsidRPr="003D1E07">
        <w:t>. Great Medieval Thinkers. Oxford University Press.</w:t>
      </w:r>
    </w:p>
    <w:p w14:paraId="42C01320" w14:textId="77777777" w:rsidR="08FF59F5" w:rsidRPr="003D1E07" w:rsidRDefault="08FF59F5" w:rsidP="08FF59F5">
      <w:pPr>
        <w:pStyle w:val="Literatura"/>
        <w:rPr>
          <w:rStyle w:val="fn"/>
        </w:rPr>
      </w:pPr>
      <w:r w:rsidRPr="003D1E07">
        <w:t xml:space="preserve">McInerny, Ralph (1990). </w:t>
      </w:r>
      <w:r w:rsidRPr="003D1E07">
        <w:rPr>
          <w:rStyle w:val="fn"/>
          <w:i/>
        </w:rPr>
        <w:t>Boethius and Aquinas</w:t>
      </w:r>
      <w:r w:rsidRPr="003D1E07">
        <w:rPr>
          <w:rStyle w:val="fn"/>
        </w:rPr>
        <w:t>. Washington, D.C.: The Catholic University of America Press.</w:t>
      </w:r>
    </w:p>
    <w:p w14:paraId="5DAA9C7F" w14:textId="77777777" w:rsidR="08FF59F5" w:rsidRPr="003D1E07" w:rsidRDefault="08FF59F5" w:rsidP="08FF59F5">
      <w:pPr>
        <w:pStyle w:val="Literatura"/>
      </w:pPr>
      <w:r w:rsidRPr="003D1E07">
        <w:t xml:space="preserve">Meinong, Alexius (1899): "Über Gegenstände höherer Ordnung und deren Verhältnis zur inneren </w:t>
      </w:r>
      <w:r w:rsidRPr="003D1E07">
        <w:tab/>
        <w:t xml:space="preserve">Wahrnehmung". </w:t>
      </w:r>
      <w:r w:rsidRPr="003D1E07">
        <w:rPr>
          <w:i/>
        </w:rPr>
        <w:t>Zeitschrift für Psychologie Und Physiologie der Sinnesorgane</w:t>
      </w:r>
      <w:r w:rsidRPr="003D1E07">
        <w:t xml:space="preserve"> 21: 182‒272.</w:t>
      </w:r>
    </w:p>
    <w:p w14:paraId="7542A739" w14:textId="77777777" w:rsidR="08FF59F5" w:rsidRPr="003D1E07" w:rsidRDefault="08FF59F5" w:rsidP="08FF59F5">
      <w:pPr>
        <w:pStyle w:val="Literatura"/>
      </w:pPr>
      <w:r w:rsidRPr="003D1E07">
        <w:t>Menn, Stephen (2008): "</w:t>
      </w:r>
      <w:r w:rsidRPr="003D1E07">
        <w:rPr>
          <w:rStyle w:val="TextpoznpodarouChar"/>
        </w:rPr>
        <w:t xml:space="preserve">Alfārābī's </w:t>
      </w:r>
      <w:r w:rsidRPr="003D1E07">
        <w:rPr>
          <w:rStyle w:val="Zvraznn"/>
          <w:i w:val="0"/>
        </w:rPr>
        <w:t>Kit</w:t>
      </w:r>
      <w:r w:rsidRPr="003D1E07">
        <w:rPr>
          <w:rStyle w:val="TextpoznpodarouChar"/>
        </w:rPr>
        <w:t>āb</w:t>
      </w:r>
      <w:r w:rsidRPr="003D1E07">
        <w:rPr>
          <w:rStyle w:val="Zvraznn"/>
        </w:rPr>
        <w:t xml:space="preserve"> </w:t>
      </w:r>
      <w:r w:rsidRPr="003D1E07">
        <w:rPr>
          <w:rStyle w:val="Zvraznn"/>
          <w:i w:val="0"/>
        </w:rPr>
        <w:t>Al-Ḥurūf</w:t>
      </w:r>
      <w:r w:rsidRPr="003D1E07">
        <w:rPr>
          <w:i/>
        </w:rPr>
        <w:t xml:space="preserve"> </w:t>
      </w:r>
      <w:r w:rsidRPr="003D1E07">
        <w:t>and his</w:t>
      </w:r>
      <w:r w:rsidRPr="003D1E07">
        <w:rPr>
          <w:i/>
        </w:rPr>
        <w:t xml:space="preserve"> </w:t>
      </w:r>
      <w:r w:rsidRPr="003D1E07">
        <w:t xml:space="preserve">Analysis of the Senses of Being". </w:t>
      </w:r>
      <w:r w:rsidRPr="003D1E07">
        <w:rPr>
          <w:i/>
        </w:rPr>
        <w:t xml:space="preserve">Arabic Sciences and </w:t>
      </w:r>
      <w:r w:rsidRPr="003D1E07">
        <w:rPr>
          <w:i/>
        </w:rPr>
        <w:tab/>
        <w:t>Philosophy</w:t>
      </w:r>
      <w:r w:rsidRPr="003D1E07">
        <w:rPr>
          <w:rFonts w:ascii="CenturySchbookMT" w:hAnsi="CenturySchbookMT" w:cs="CenturySchbookMT"/>
        </w:rPr>
        <w:t xml:space="preserve"> </w:t>
      </w:r>
      <w:r w:rsidRPr="003D1E07">
        <w:t>18, 59–97.</w:t>
      </w:r>
    </w:p>
    <w:p w14:paraId="191635E9" w14:textId="77777777" w:rsidR="08FF59F5" w:rsidRPr="003D1E07" w:rsidRDefault="08FF59F5" w:rsidP="08FF59F5">
      <w:pPr>
        <w:pStyle w:val="Literatura"/>
      </w:pPr>
      <w:r w:rsidRPr="003D1E07">
        <w:t>‒ (2012): "</w:t>
      </w:r>
      <w:r w:rsidRPr="003D1E07">
        <w:rPr>
          <w:rStyle w:val="TextpoznpodarouChar"/>
        </w:rPr>
        <w:t>Fārābī in the Reception of Avicenna's Metaphysics: Averroes against Avicenna on Being and Unity</w:t>
      </w:r>
      <w:r w:rsidRPr="003D1E07">
        <w:t xml:space="preserve">". </w:t>
      </w:r>
      <w:r w:rsidRPr="003D1E07">
        <w:tab/>
      </w:r>
      <w:r w:rsidRPr="003D1E07">
        <w:rPr>
          <w:i/>
        </w:rPr>
        <w:t>The Arabic, Hebrew and Latin Reception of Avicenna's Metaphysics,</w:t>
      </w:r>
      <w:r w:rsidRPr="003D1E07">
        <w:t xml:space="preserve"> </w:t>
      </w:r>
      <w:r w:rsidRPr="003D1E07">
        <w:rPr>
          <w:rStyle w:val="TextpoznpodarouChar"/>
        </w:rPr>
        <w:t xml:space="preserve">edited by </w:t>
      </w:r>
      <w:r w:rsidRPr="003D1E07">
        <w:t xml:space="preserve">Dag Nikolaus Hasse and </w:t>
      </w:r>
      <w:r w:rsidRPr="003D1E07">
        <w:tab/>
        <w:t>Amos Bertolacci, Scientia Graeco-Arabica 7. Berlin: Walter de Gruyter, pp. 52–96.</w:t>
      </w:r>
    </w:p>
    <w:p w14:paraId="041EFD65" w14:textId="77777777" w:rsidR="08FF59F5" w:rsidRPr="003D1E07" w:rsidRDefault="08FF59F5" w:rsidP="08FF59F5">
      <w:pPr>
        <w:pStyle w:val="Literatura"/>
      </w:pPr>
      <w:r w:rsidRPr="003D1E07">
        <w:t xml:space="preserve">‒ (2013): "Avicenna's Metaphysics". </w:t>
      </w:r>
      <w:r w:rsidRPr="003D1E07">
        <w:rPr>
          <w:i/>
        </w:rPr>
        <w:t>Interpreting Avicenna. Critical essays</w:t>
      </w:r>
      <w:r w:rsidRPr="003D1E07">
        <w:t xml:space="preserve">, edited by Petr  Adamson, Cambridge </w:t>
      </w:r>
      <w:r w:rsidRPr="003D1E07">
        <w:rPr>
          <w:i/>
        </w:rPr>
        <w:tab/>
      </w:r>
      <w:r w:rsidRPr="003D1E07">
        <w:t>University Press, pp. 143–169.</w:t>
      </w:r>
    </w:p>
    <w:p w14:paraId="33EBC5B0" w14:textId="77777777" w:rsidR="08FF59F5" w:rsidRPr="003D1E07" w:rsidRDefault="08FF59F5" w:rsidP="08FF59F5">
      <w:pPr>
        <w:pStyle w:val="Literatura"/>
        <w:rPr>
          <w:rStyle w:val="TextpoznpodarouChar"/>
        </w:rPr>
      </w:pPr>
      <w:r w:rsidRPr="003D1E07">
        <w:rPr>
          <w:szCs w:val="21"/>
        </w:rPr>
        <w:t xml:space="preserve">Mews, Constant (1992): "Nominalism and Theology before Abaelard: New Light on Roscelin of Compiègne". </w:t>
      </w:r>
      <w:r w:rsidRPr="003D1E07">
        <w:rPr>
          <w:szCs w:val="21"/>
        </w:rPr>
        <w:tab/>
      </w:r>
      <w:r w:rsidRPr="003D1E07">
        <w:rPr>
          <w:i/>
          <w:szCs w:val="21"/>
        </w:rPr>
        <w:t>Vivarium</w:t>
      </w:r>
      <w:r w:rsidRPr="003D1E07">
        <w:rPr>
          <w:szCs w:val="21"/>
        </w:rPr>
        <w:t xml:space="preserve"> 30/1: 4‒33.</w:t>
      </w:r>
    </w:p>
    <w:p w14:paraId="770BBB0A" w14:textId="77777777" w:rsidR="08FF59F5" w:rsidRPr="003D1E07" w:rsidRDefault="08FF59F5" w:rsidP="08FF59F5">
      <w:pPr>
        <w:pStyle w:val="Literatura"/>
      </w:pPr>
      <w:r w:rsidRPr="003D1E07">
        <w:t>Mora-Márquez, Ana María (2011): "</w:t>
      </w:r>
      <w:r w:rsidRPr="003D1E07">
        <w:rPr>
          <w:rStyle w:val="sstitre"/>
        </w:rPr>
        <w:t xml:space="preserve">Histoire d’une rupture de la tradition interprétative dans le bas Moyen </w:t>
      </w:r>
      <w:r w:rsidRPr="003D1E07">
        <w:rPr>
          <w:rStyle w:val="sstitre"/>
        </w:rPr>
        <w:tab/>
        <w:t xml:space="preserve">Âge". </w:t>
      </w:r>
      <w:r w:rsidRPr="003D1E07">
        <w:rPr>
          <w:i/>
        </w:rPr>
        <w:t>Revue philosophique de la France et de l'étranger</w:t>
      </w:r>
      <w:r w:rsidRPr="003D1E07">
        <w:t xml:space="preserve"> 136/1): 67‒84. </w:t>
      </w:r>
    </w:p>
    <w:p w14:paraId="18136120" w14:textId="77777777" w:rsidR="08FF59F5" w:rsidRPr="003D1E07" w:rsidRDefault="08FF59F5" w:rsidP="08FF59F5">
      <w:pPr>
        <w:pStyle w:val="Literatura"/>
      </w:pPr>
      <w:r w:rsidRPr="003D1E07">
        <w:t xml:space="preserve">Newton, A. Loyd (2008): </w:t>
      </w:r>
      <w:r w:rsidRPr="003D1E07">
        <w:rPr>
          <w:rStyle w:val="fn"/>
          <w:i/>
        </w:rPr>
        <w:t>Medieval Commentaries on Aristotle's Categories</w:t>
      </w:r>
      <w:r w:rsidRPr="003D1E07">
        <w:rPr>
          <w:rStyle w:val="fn"/>
        </w:rPr>
        <w:t xml:space="preserve">. Leuven: </w:t>
      </w:r>
      <w:r w:rsidRPr="003D1E07">
        <w:t>Brill.</w:t>
      </w:r>
    </w:p>
    <w:p w14:paraId="3A81D115" w14:textId="77777777" w:rsidR="08FF59F5" w:rsidRPr="003D1E07" w:rsidRDefault="08FF59F5" w:rsidP="08FF59F5">
      <w:pPr>
        <w:pStyle w:val="Literatura"/>
      </w:pPr>
      <w:r w:rsidRPr="003D1E07">
        <w:t xml:space="preserve">Newton, Isaac (1871): </w:t>
      </w:r>
      <w:r w:rsidRPr="003D1E07">
        <w:rPr>
          <w:i/>
        </w:rPr>
        <w:t xml:space="preserve">Philosophiae naturalis principia mathematica. Auctore Isaaco Newtono, eq. aur. Editio </w:t>
      </w:r>
      <w:r w:rsidRPr="003D1E07">
        <w:rPr>
          <w:i/>
        </w:rPr>
        <w:tab/>
        <w:t>tertia aucta &amp; emendata</w:t>
      </w:r>
      <w:r w:rsidRPr="003D1E07">
        <w:t>. Glasgow: J. Maclehose.</w:t>
      </w:r>
    </w:p>
    <w:p w14:paraId="213EDEE8" w14:textId="77777777" w:rsidR="08FF59F5" w:rsidRPr="003D1E07" w:rsidRDefault="08FF59F5" w:rsidP="08FF59F5">
      <w:pPr>
        <w:pStyle w:val="Literatura"/>
      </w:pPr>
      <w:r w:rsidRPr="003D1E07">
        <w:t xml:space="preserve">Nielsen, Lauge Olaf (1989): </w:t>
      </w:r>
      <w:r w:rsidRPr="003D1E07">
        <w:rPr>
          <w:i/>
        </w:rPr>
        <w:t xml:space="preserve">Theology and Philosophy in the Twelfth Century: A Study of Gilbert Porreta's </w:t>
      </w:r>
      <w:r w:rsidRPr="003D1E07">
        <w:rPr>
          <w:i/>
        </w:rPr>
        <w:tab/>
      </w:r>
      <w:r w:rsidRPr="003D1E07">
        <w:rPr>
          <w:rStyle w:val="a-size-large"/>
          <w:i/>
        </w:rPr>
        <w:t>Thinking and the Theological Expositions of the Doctrine of the Incarnation</w:t>
      </w:r>
      <w:r w:rsidRPr="003D1E07">
        <w:rPr>
          <w:rStyle w:val="a-size-large"/>
        </w:rPr>
        <w:t xml:space="preserve">. Copenhagen: Acta </w:t>
      </w:r>
      <w:r w:rsidRPr="003D1E07">
        <w:rPr>
          <w:i/>
        </w:rPr>
        <w:tab/>
      </w:r>
      <w:r w:rsidRPr="003D1E07">
        <w:rPr>
          <w:rStyle w:val="a-size-large"/>
        </w:rPr>
        <w:t xml:space="preserve">Theologica Danica 15. </w:t>
      </w:r>
    </w:p>
    <w:p w14:paraId="03FA40AD" w14:textId="77777777" w:rsidR="08FF59F5" w:rsidRPr="003D1E07" w:rsidRDefault="08FF59F5" w:rsidP="08FF59F5">
      <w:pPr>
        <w:pStyle w:val="Literatura"/>
      </w:pPr>
      <w:r w:rsidRPr="003D1E07">
        <w:t>Nietzsche, Friedrich (1980):</w:t>
      </w:r>
      <w:r w:rsidRPr="003D1E07">
        <w:rPr>
          <w:i/>
          <w:iCs/>
        </w:rPr>
        <w:t xml:space="preserve"> </w:t>
      </w:r>
      <w:r w:rsidRPr="003D1E07">
        <w:rPr>
          <w:i/>
        </w:rPr>
        <w:t>Sämtliche Werke. Kritische Studienausgabe in 15 Bänden</w:t>
      </w:r>
      <w:r w:rsidRPr="003D1E07">
        <w:t xml:space="preserve">. München und New York: </w:t>
      </w:r>
      <w:r w:rsidRPr="003D1E07">
        <w:tab/>
        <w:t>Edited by Giorgio Colli and Mazzino Montinari.</w:t>
      </w:r>
    </w:p>
    <w:p w14:paraId="328FF0E2" w14:textId="64A8417D" w:rsidR="08FF59F5" w:rsidRPr="003D1E07" w:rsidRDefault="00041A30" w:rsidP="08FF59F5">
      <w:pPr>
        <w:pStyle w:val="Literatura"/>
      </w:pPr>
      <w:r w:rsidRPr="003D1E07">
        <w:rPr>
          <w:szCs w:val="18"/>
        </w:rPr>
        <w:t>Nifo, Agostino (</w:t>
      </w:r>
      <w:r w:rsidR="00344830" w:rsidRPr="003D1E07">
        <w:rPr>
          <w:szCs w:val="18"/>
        </w:rPr>
        <w:t>2011</w:t>
      </w:r>
      <w:r w:rsidR="08FF59F5" w:rsidRPr="003D1E07">
        <w:rPr>
          <w:szCs w:val="18"/>
        </w:rPr>
        <w:t xml:space="preserve">): </w:t>
      </w:r>
      <w:r w:rsidR="00344830" w:rsidRPr="003D1E07">
        <w:rPr>
          <w:i/>
          <w:szCs w:val="18"/>
        </w:rPr>
        <w:t>De intellectu</w:t>
      </w:r>
      <w:r w:rsidR="00344830" w:rsidRPr="003D1E07">
        <w:rPr>
          <w:szCs w:val="18"/>
        </w:rPr>
        <w:t>. Ed. Leen Spruit. Leiden: Brill.</w:t>
      </w:r>
    </w:p>
    <w:p w14:paraId="5718E53E" w14:textId="77777777" w:rsidR="08FF59F5" w:rsidRPr="003D1E07" w:rsidRDefault="08FF59F5" w:rsidP="08FF59F5">
      <w:pPr>
        <w:pStyle w:val="Literatura"/>
      </w:pPr>
      <w:r w:rsidRPr="003D1E07">
        <w:t xml:space="preserve">Nogales, S. Gomes (1976): "Saint Thomas, Averroès et l'averroïsme". </w:t>
      </w:r>
      <w:r w:rsidRPr="003D1E07">
        <w:rPr>
          <w:i/>
        </w:rPr>
        <w:t>Aquinas and Problems of his Time</w:t>
      </w:r>
      <w:r w:rsidRPr="003D1E07">
        <w:t xml:space="preserve">, edited </w:t>
      </w:r>
      <w:r w:rsidRPr="003D1E07">
        <w:tab/>
        <w:t>by G. Verbeke, and D. Verhelst, Leuven, pp. 161–177.</w:t>
      </w:r>
    </w:p>
    <w:p w14:paraId="711F5EE0" w14:textId="77777777" w:rsidR="08FF59F5" w:rsidRPr="003D1E07" w:rsidRDefault="08FF59F5" w:rsidP="08FF59F5">
      <w:pPr>
        <w:pStyle w:val="Literatura"/>
      </w:pPr>
      <w:r w:rsidRPr="003D1E07">
        <w:t xml:space="preserve">Noone, B. Timothy (1992). "Albert the Great on the Subject of Metaphysics and Demonstrating the Existence of </w:t>
      </w:r>
      <w:r w:rsidRPr="003D1E07">
        <w:tab/>
        <w:t xml:space="preserve">God". </w:t>
      </w:r>
      <w:r w:rsidRPr="003D1E07">
        <w:rPr>
          <w:i/>
        </w:rPr>
        <w:t>Medieval Philosophy and Theology</w:t>
      </w:r>
      <w:r w:rsidRPr="003D1E07">
        <w:t xml:space="preserve"> 2: 31–52.</w:t>
      </w:r>
    </w:p>
    <w:p w14:paraId="5B87B208" w14:textId="77777777" w:rsidR="08FF59F5" w:rsidRPr="003D1E07" w:rsidRDefault="08FF59F5" w:rsidP="08FF59F5">
      <w:pPr>
        <w:pStyle w:val="Literatura"/>
      </w:pPr>
      <w:r w:rsidRPr="003D1E07">
        <w:t xml:space="preserve">‒ (1997): "Roger Bacon and Richard Rufus on Aristotle's Metaphysics: A Search for the Grounds of </w:t>
      </w:r>
      <w:r w:rsidRPr="003D1E07">
        <w:tab/>
        <w:t xml:space="preserve">Disagreement". </w:t>
      </w:r>
      <w:r w:rsidRPr="003D1E07">
        <w:rPr>
          <w:i/>
        </w:rPr>
        <w:t>Vivarium</w:t>
      </w:r>
      <w:r w:rsidRPr="003D1E07">
        <w:t xml:space="preserve"> 35/2: 251‒265.</w:t>
      </w:r>
    </w:p>
    <w:p w14:paraId="7FC5C414" w14:textId="77777777" w:rsidR="08FF59F5" w:rsidRPr="003D1E07" w:rsidRDefault="08FF59F5" w:rsidP="08FF59F5">
      <w:pPr>
        <w:pStyle w:val="Literatura"/>
        <w:rPr>
          <w:szCs w:val="22"/>
        </w:rPr>
      </w:pPr>
      <w:r w:rsidRPr="003D1E07">
        <w:rPr>
          <w:szCs w:val="22"/>
        </w:rPr>
        <w:t xml:space="preserve">Normore, G. Calvin (1992): "Abelard and the School of the Nominales". </w:t>
      </w:r>
      <w:r w:rsidRPr="003D1E07">
        <w:rPr>
          <w:i/>
          <w:szCs w:val="22"/>
        </w:rPr>
        <w:t>Vivarium</w:t>
      </w:r>
      <w:r w:rsidRPr="003D1E07">
        <w:rPr>
          <w:szCs w:val="22"/>
        </w:rPr>
        <w:t xml:space="preserve"> 30/1: 80‒96.</w:t>
      </w:r>
    </w:p>
    <w:p w14:paraId="61003809" w14:textId="77777777" w:rsidR="08FF59F5" w:rsidRPr="003D1E07" w:rsidRDefault="08FF59F5" w:rsidP="08FF59F5">
      <w:pPr>
        <w:pStyle w:val="Literatura"/>
        <w:rPr>
          <w:szCs w:val="18"/>
        </w:rPr>
      </w:pPr>
      <w:r w:rsidRPr="003D1E07">
        <w:t xml:space="preserve">Olivi, Iohannes, (1922‒24): </w:t>
      </w:r>
      <w:r w:rsidRPr="003D1E07">
        <w:rPr>
          <w:i/>
        </w:rPr>
        <w:t>Quaestiones in secundum librum Sententiarum</w:t>
      </w:r>
      <w:r w:rsidRPr="003D1E07">
        <w:t xml:space="preserve"> I-II. Edited by Bernhard Jansen. </w:t>
      </w:r>
      <w:r w:rsidRPr="003D1E07">
        <w:tab/>
        <w:t>Bibliotheca Franciscana scholastica medii aevi. Quaracchi.</w:t>
      </w:r>
    </w:p>
    <w:p w14:paraId="6072AC60" w14:textId="77777777" w:rsidR="08FF59F5" w:rsidRPr="003D1E07" w:rsidRDefault="08FF59F5" w:rsidP="08FF59F5">
      <w:pPr>
        <w:pStyle w:val="Literatura"/>
      </w:pPr>
      <w:r w:rsidRPr="003D1E07">
        <w:rPr>
          <w:szCs w:val="18"/>
        </w:rPr>
        <w:t xml:space="preserve">‒ (1980): </w:t>
      </w:r>
      <w:r w:rsidRPr="003D1E07">
        <w:rPr>
          <w:rStyle w:val="CittHTML"/>
        </w:rPr>
        <w:t xml:space="preserve">Un trattato di economia politica francescana: Il "De emptionibus et venditionibus, de usuris, de </w:t>
      </w:r>
      <w:r w:rsidRPr="003D1E07">
        <w:rPr>
          <w:rStyle w:val="CittHTML"/>
        </w:rPr>
        <w:tab/>
        <w:t>restitutionibus" di Pietro di Giovanni Olivi</w:t>
      </w:r>
      <w:r w:rsidRPr="003D1E07">
        <w:t xml:space="preserve">. Ed. Giacomo Todeschini. Roma: Istituto storico italiano per il </w:t>
      </w:r>
      <w:r w:rsidRPr="003D1E07">
        <w:tab/>
        <w:t>medio evo.</w:t>
      </w:r>
    </w:p>
    <w:p w14:paraId="2A4BC96D" w14:textId="77777777" w:rsidR="08FF59F5" w:rsidRPr="003D1E07" w:rsidRDefault="08FF59F5" w:rsidP="08FF59F5">
      <w:pPr>
        <w:pStyle w:val="Literatura"/>
      </w:pPr>
      <w:r w:rsidRPr="003D1E07">
        <w:t xml:space="preserve">Pagus, John (2012): </w:t>
      </w:r>
      <w:r w:rsidRPr="003D1E07">
        <w:rPr>
          <w:rStyle w:val="fn"/>
          <w:i/>
        </w:rPr>
        <w:t>John Pagus on Aristotle's Categories</w:t>
      </w:r>
      <w:r w:rsidRPr="003D1E07">
        <w:rPr>
          <w:i/>
        </w:rPr>
        <w:t xml:space="preserve">: </w:t>
      </w:r>
      <w:r w:rsidRPr="003D1E07">
        <w:rPr>
          <w:rStyle w:val="Podtitul1"/>
          <w:i/>
        </w:rPr>
        <w:t xml:space="preserve">A Study and Edition of the Rationes Super </w:t>
      </w:r>
      <w:r w:rsidRPr="003D1E07">
        <w:rPr>
          <w:rStyle w:val="Podtitul1"/>
          <w:i/>
        </w:rPr>
        <w:tab/>
        <w:t>Praedicamenta Aristotelis</w:t>
      </w:r>
      <w:r w:rsidRPr="003D1E07">
        <w:rPr>
          <w:rStyle w:val="Podtitul1"/>
        </w:rPr>
        <w:t xml:space="preserve">. Edited by Heine Hansen, Leuven: </w:t>
      </w:r>
      <w:r w:rsidRPr="003D1E07">
        <w:t>Leuven University Press.</w:t>
      </w:r>
    </w:p>
    <w:p w14:paraId="387B1950" w14:textId="77777777" w:rsidR="08FF59F5" w:rsidRPr="003D1E07" w:rsidRDefault="08FF59F5" w:rsidP="08FF59F5">
      <w:pPr>
        <w:pStyle w:val="Literatura"/>
        <w:rPr>
          <w:szCs w:val="18"/>
        </w:rPr>
      </w:pPr>
      <w:r w:rsidRPr="003D1E07">
        <w:rPr>
          <w:szCs w:val="18"/>
        </w:rPr>
        <w:t xml:space="preserve">Palhoriès, </w:t>
      </w:r>
      <w:r w:rsidRPr="003D1E07">
        <w:rPr>
          <w:rStyle w:val="st"/>
        </w:rPr>
        <w:t>Fortuné (1912):</w:t>
      </w:r>
      <w:r w:rsidRPr="003D1E07">
        <w:rPr>
          <w:szCs w:val="18"/>
        </w:rPr>
        <w:t xml:space="preserve"> "La nature d'après saint Bonaventure". </w:t>
      </w:r>
      <w:r w:rsidRPr="003D1E07">
        <w:rPr>
          <w:i/>
          <w:szCs w:val="18"/>
        </w:rPr>
        <w:t>Revue néo-scolastique de philosophie</w:t>
      </w:r>
      <w:r w:rsidRPr="003D1E07">
        <w:rPr>
          <w:szCs w:val="18"/>
        </w:rPr>
        <w:t xml:space="preserve"> 19: </w:t>
      </w:r>
      <w:r w:rsidRPr="003D1E07">
        <w:rPr>
          <w:szCs w:val="18"/>
        </w:rPr>
        <w:tab/>
        <w:t>177‒200.</w:t>
      </w:r>
    </w:p>
    <w:p w14:paraId="6586ED2C" w14:textId="77777777" w:rsidR="08FF59F5" w:rsidRPr="003D1E07" w:rsidRDefault="08FF59F5" w:rsidP="08FF59F5">
      <w:pPr>
        <w:pStyle w:val="Literatura"/>
      </w:pPr>
      <w:r w:rsidRPr="003D1E07">
        <w:t xml:space="preserve">Parolin, Gianluca Paolo (2009): </w:t>
      </w:r>
      <w:r w:rsidRPr="003D1E07">
        <w:rPr>
          <w:i/>
        </w:rPr>
        <w:t>Citizenship in the Arab World: Kin, Religion and Nation-state</w:t>
      </w:r>
      <w:r w:rsidRPr="003D1E07">
        <w:t xml:space="preserve">. Amsterdam </w:t>
      </w:r>
      <w:r w:rsidRPr="003D1E07">
        <w:tab/>
        <w:t>University Press.</w:t>
      </w:r>
    </w:p>
    <w:p w14:paraId="0445AC65" w14:textId="77777777" w:rsidR="08FF59F5" w:rsidRPr="003D1E07" w:rsidRDefault="08FF59F5" w:rsidP="08FF59F5">
      <w:pPr>
        <w:pStyle w:val="Literatura"/>
        <w:rPr>
          <w:szCs w:val="26"/>
        </w:rPr>
      </w:pPr>
      <w:r w:rsidRPr="003D1E07">
        <w:lastRenderedPageBreak/>
        <w:t xml:space="preserve">Pasnau, Robert (1999): "Olivi on human freedom". </w:t>
      </w:r>
      <w:r w:rsidRPr="003D1E07">
        <w:rPr>
          <w:i/>
          <w:szCs w:val="26"/>
        </w:rPr>
        <w:t xml:space="preserve">Pierre de Jean Olivi 1248‒1298. Pensée scolastique, </w:t>
      </w:r>
      <w:r w:rsidRPr="003D1E07">
        <w:rPr>
          <w:i/>
          <w:szCs w:val="26"/>
        </w:rPr>
        <w:tab/>
        <w:t>dissidence spirituelle et société. Actes du colloque de Narbonne, mars 1998</w:t>
      </w:r>
      <w:r w:rsidRPr="003D1E07">
        <w:rPr>
          <w:szCs w:val="26"/>
        </w:rPr>
        <w:t xml:space="preserve">, </w:t>
      </w:r>
      <w:r w:rsidRPr="003D1E07">
        <w:t xml:space="preserve">edited by Alain </w:t>
      </w:r>
      <w:r w:rsidRPr="003D1E07">
        <w:rPr>
          <w:szCs w:val="26"/>
        </w:rPr>
        <w:t xml:space="preserve">Boureau, and </w:t>
      </w:r>
      <w:r w:rsidRPr="003D1E07">
        <w:rPr>
          <w:szCs w:val="18"/>
        </w:rPr>
        <w:tab/>
      </w:r>
      <w:r w:rsidRPr="003D1E07">
        <w:rPr>
          <w:szCs w:val="26"/>
        </w:rPr>
        <w:t>Sylvain Piron,</w:t>
      </w:r>
      <w:r w:rsidRPr="003D1E07">
        <w:rPr>
          <w:i/>
          <w:szCs w:val="26"/>
        </w:rPr>
        <w:t xml:space="preserve"> </w:t>
      </w:r>
      <w:r w:rsidRPr="003D1E07">
        <w:rPr>
          <w:szCs w:val="26"/>
        </w:rPr>
        <w:t>Paris, J. Vrin, pp. 15‒25.</w:t>
      </w:r>
    </w:p>
    <w:p w14:paraId="7FF35862" w14:textId="77777777" w:rsidR="08FF59F5" w:rsidRPr="003D1E07" w:rsidRDefault="08FF59F5" w:rsidP="08FF59F5">
      <w:pPr>
        <w:pStyle w:val="Literatura"/>
      </w:pPr>
      <w:r w:rsidRPr="003D1E07">
        <w:t>Peckham, John (1918):</w:t>
      </w:r>
      <w:r w:rsidRPr="003D1E07">
        <w:rPr>
          <w:i/>
        </w:rPr>
        <w:t xml:space="preserve"> Johannis Pechami</w:t>
      </w:r>
      <w:r w:rsidRPr="003D1E07">
        <w:t xml:space="preserve"> </w:t>
      </w:r>
      <w:r w:rsidRPr="003D1E07">
        <w:rPr>
          <w:i/>
        </w:rPr>
        <w:t xml:space="preserve">Quaestiones tractantes De anima. </w:t>
      </w:r>
      <w:r w:rsidRPr="003D1E07">
        <w:t xml:space="preserve">Edited by H. Spettmann. Beiträge </w:t>
      </w:r>
      <w:r w:rsidRPr="003D1E07">
        <w:tab/>
        <w:t>zur Geschichte der Philosophie des Mittelalters, Band 19, Heft 5-6, Münster.</w:t>
      </w:r>
    </w:p>
    <w:p w14:paraId="3592A28F" w14:textId="77777777" w:rsidR="08FF59F5" w:rsidRPr="003D1E07" w:rsidRDefault="08FF59F5" w:rsidP="08FF59F5">
      <w:pPr>
        <w:pStyle w:val="Literatura"/>
      </w:pPr>
      <w:r w:rsidRPr="003D1E07">
        <w:t>‒ (1993):</w:t>
      </w:r>
      <w:r w:rsidRPr="003D1E07">
        <w:rPr>
          <w:i/>
        </w:rPr>
        <w:t xml:space="preserve"> De aeternitate mundi. Questions Concerning the Eternity of the World</w:t>
      </w:r>
      <w:r w:rsidRPr="003D1E07">
        <w:t xml:space="preserve">. Edited by Ignatius Brady, </w:t>
      </w:r>
      <w:r w:rsidRPr="003D1E07">
        <w:tab/>
        <w:t>Fordham University Press.</w:t>
      </w:r>
    </w:p>
    <w:p w14:paraId="557324A2" w14:textId="77777777" w:rsidR="08FF59F5" w:rsidRPr="003D1E07" w:rsidRDefault="08FF59F5" w:rsidP="08FF59F5">
      <w:pPr>
        <w:pStyle w:val="Literatura"/>
      </w:pPr>
      <w:r w:rsidRPr="003D1E07">
        <w:t xml:space="preserve">Pelster, Franz (1949): "Der Oxforder Theologe Richardus Rufus O.F.M. über die Frage: Utrum Christus in triduo </w:t>
      </w:r>
      <w:r w:rsidRPr="003D1E07">
        <w:tab/>
        <w:t xml:space="preserve">mortis fuerit homo". </w:t>
      </w:r>
      <w:r w:rsidRPr="003D1E07">
        <w:rPr>
          <w:i/>
        </w:rPr>
        <w:t>Recherches de théologie ancienne et médiévale</w:t>
      </w:r>
      <w:r w:rsidRPr="003D1E07">
        <w:t xml:space="preserve"> 16: 258–280.</w:t>
      </w:r>
    </w:p>
    <w:p w14:paraId="3D514F24" w14:textId="77777777" w:rsidR="08FF59F5" w:rsidRPr="003D1E07" w:rsidRDefault="08FF59F5" w:rsidP="08FF59F5">
      <w:pPr>
        <w:pStyle w:val="Literatura"/>
      </w:pPr>
      <w:r w:rsidRPr="003D1E07">
        <w:t xml:space="preserve">Périer, Augustin (1920a): </w:t>
      </w:r>
      <w:r w:rsidRPr="003D1E07">
        <w:rPr>
          <w:i/>
        </w:rPr>
        <w:t>Yaḥyā ben Άdī. Un philosophe arabe chrétien du X</w:t>
      </w:r>
      <w:r w:rsidRPr="003D1E07">
        <w:rPr>
          <w:i/>
          <w:vertAlign w:val="superscript"/>
        </w:rPr>
        <w:t>e</w:t>
      </w:r>
      <w:r w:rsidRPr="003D1E07">
        <w:rPr>
          <w:i/>
        </w:rPr>
        <w:t xml:space="preserve"> siècle</w:t>
      </w:r>
      <w:r w:rsidRPr="003D1E07">
        <w:t>. Paris: J. Gabalda.</w:t>
      </w:r>
    </w:p>
    <w:p w14:paraId="7355EE51" w14:textId="77777777" w:rsidR="002A1E39" w:rsidRPr="003D1E07" w:rsidRDefault="002A1E39" w:rsidP="08FF59F5">
      <w:pPr>
        <w:pStyle w:val="Literatura"/>
      </w:pPr>
      <w:r w:rsidRPr="003D1E07">
        <w:t xml:space="preserve">– (1920b): </w:t>
      </w:r>
      <w:r w:rsidR="0036035E" w:rsidRPr="003D1E07">
        <w:rPr>
          <w:i/>
        </w:rPr>
        <w:t xml:space="preserve">Yaḥyā ben Άdī. </w:t>
      </w:r>
      <w:r w:rsidR="0036035E" w:rsidRPr="003D1E07">
        <w:rPr>
          <w:i/>
          <w:lang w:eastAsia="en-US"/>
        </w:rPr>
        <w:t xml:space="preserve">Petits traités apologétiques. </w:t>
      </w:r>
      <w:r w:rsidR="0036035E" w:rsidRPr="003D1E07">
        <w:t>Paris: J. Gabalda.</w:t>
      </w:r>
    </w:p>
    <w:p w14:paraId="42A49C40" w14:textId="77777777" w:rsidR="08FF59F5" w:rsidRPr="003D1E07" w:rsidRDefault="08FF59F5" w:rsidP="08FF59F5">
      <w:pPr>
        <w:pStyle w:val="Literatura"/>
      </w:pPr>
      <w:r w:rsidRPr="003D1E07">
        <w:t xml:space="preserve">Pessin, Sarah (2013): </w:t>
      </w:r>
      <w:r w:rsidRPr="003D1E07">
        <w:rPr>
          <w:i/>
        </w:rPr>
        <w:t>Ibn Gabirol's Theology of Desire: Matter and Method in Jewish Medieval Neoplatonism</w:t>
      </w:r>
      <w:r w:rsidRPr="003D1E07">
        <w:t xml:space="preserve">. </w:t>
      </w:r>
      <w:r w:rsidRPr="003D1E07">
        <w:tab/>
        <w:t>Cambridge University Press.</w:t>
      </w:r>
    </w:p>
    <w:p w14:paraId="400B22C9" w14:textId="77777777" w:rsidR="08FF59F5" w:rsidRPr="003D1E07" w:rsidRDefault="08FF59F5" w:rsidP="08FF59F5">
      <w:pPr>
        <w:pStyle w:val="Literatura"/>
      </w:pPr>
      <w:r w:rsidRPr="003D1E07">
        <w:t xml:space="preserve">Petrus de Alvernia (1987): </w:t>
      </w:r>
      <w:r w:rsidRPr="003D1E07">
        <w:rPr>
          <w:i/>
        </w:rPr>
        <w:t>Quaestiones super Praedicamentis</w:t>
      </w:r>
      <w:r w:rsidRPr="003D1E07">
        <w:t xml:space="preserve">. Edited by Robert Andrews. Cahiers de l'institut </w:t>
      </w:r>
      <w:r w:rsidRPr="003D1E07">
        <w:tab/>
        <w:t>du moyen-âge grec et latin 55: 3‒84.</w:t>
      </w:r>
    </w:p>
    <w:p w14:paraId="06424334" w14:textId="77777777" w:rsidR="08FF59F5" w:rsidRPr="003D1E07" w:rsidRDefault="08FF59F5" w:rsidP="08FF59F5">
      <w:pPr>
        <w:pStyle w:val="Literatura"/>
      </w:pPr>
      <w:r w:rsidRPr="003D1E07">
        <w:t xml:space="preserve">Philippus Cancellarius (1985): </w:t>
      </w:r>
      <w:r w:rsidRPr="003D1E07">
        <w:rPr>
          <w:rStyle w:val="st"/>
          <w:i/>
        </w:rPr>
        <w:t xml:space="preserve">Philippi Cancellarii Parisiensis </w:t>
      </w:r>
      <w:r w:rsidRPr="003D1E07">
        <w:rPr>
          <w:rStyle w:val="Zvraznn"/>
          <w:iCs w:val="0"/>
        </w:rPr>
        <w:t>Summa de Bono I-II.</w:t>
      </w:r>
      <w:r w:rsidRPr="003D1E07">
        <w:t xml:space="preserve"> </w:t>
      </w:r>
      <w:r w:rsidRPr="003D1E07">
        <w:rPr>
          <w:iCs/>
        </w:rPr>
        <w:t>E</w:t>
      </w:r>
      <w:r w:rsidRPr="003D1E07">
        <w:t xml:space="preserve">dited by Nicolaus Wicki, </w:t>
      </w:r>
      <w:r w:rsidRPr="003D1E07">
        <w:tab/>
      </w:r>
      <w:r w:rsidRPr="003D1E07">
        <w:rPr>
          <w:iCs/>
        </w:rPr>
        <w:t xml:space="preserve">Corpus philosophorum medii aevi II, </w:t>
      </w:r>
      <w:r w:rsidRPr="003D1E07">
        <w:t>Bern: Francke.</w:t>
      </w:r>
    </w:p>
    <w:p w14:paraId="3718CEA0" w14:textId="77777777" w:rsidR="08FF59F5" w:rsidRPr="003D1E07" w:rsidRDefault="08FF59F5" w:rsidP="08FF59F5">
      <w:pPr>
        <w:pStyle w:val="Literatura"/>
      </w:pPr>
      <w:r w:rsidRPr="003D1E07">
        <w:t xml:space="preserve">Piketty, Thomas (2013): </w:t>
      </w:r>
      <w:r w:rsidRPr="003D1E07">
        <w:rPr>
          <w:i/>
        </w:rPr>
        <w:t>Le Capital au XXIe siècle</w:t>
      </w:r>
      <w:r w:rsidRPr="003D1E07">
        <w:t>. Paris:Éditions du Seuil.</w:t>
      </w:r>
    </w:p>
    <w:p w14:paraId="4DBB9476" w14:textId="77777777" w:rsidR="08FF59F5" w:rsidRPr="003D1E07" w:rsidRDefault="08FF59F5" w:rsidP="08FF59F5">
      <w:pPr>
        <w:pStyle w:val="Literatura"/>
      </w:pPr>
      <w:r w:rsidRPr="003D1E07">
        <w:t>Pinborg</w:t>
      </w:r>
      <w:r w:rsidRPr="003D1E07">
        <w:rPr>
          <w:smallCaps/>
        </w:rPr>
        <w:t xml:space="preserve">, </w:t>
      </w:r>
      <w:r w:rsidRPr="003D1E07">
        <w:t xml:space="preserve">Jan (1984): </w:t>
      </w:r>
      <w:r w:rsidRPr="003D1E07">
        <w:rPr>
          <w:i/>
          <w:iCs/>
        </w:rPr>
        <w:t>Medieval Semantic</w:t>
      </w:r>
      <w:r w:rsidRPr="003D1E07">
        <w:t>, London: Variorum Reprints.</w:t>
      </w:r>
    </w:p>
    <w:p w14:paraId="303B3F85" w14:textId="77777777" w:rsidR="08FF59F5" w:rsidRPr="003D1E07" w:rsidRDefault="08FF59F5" w:rsidP="08FF59F5">
      <w:pPr>
        <w:pStyle w:val="Literatura"/>
      </w:pPr>
      <w:r w:rsidRPr="003D1E07">
        <w:t xml:space="preserve">Pini, Giorgio </w:t>
      </w:r>
      <w:r w:rsidRPr="003D1E07">
        <w:rPr>
          <w:rStyle w:val="style3"/>
        </w:rPr>
        <w:t xml:space="preserve">(2002): </w:t>
      </w:r>
      <w:r w:rsidRPr="003D1E07">
        <w:rPr>
          <w:i/>
        </w:rPr>
        <w:t>Categories and Logic in Duns Scotus</w:t>
      </w:r>
      <w:r w:rsidRPr="003D1E07">
        <w:t>. Leiden, Boston: Brill.</w:t>
      </w:r>
    </w:p>
    <w:p w14:paraId="6C00A42F" w14:textId="77777777" w:rsidR="08FF59F5" w:rsidRPr="003D1E07" w:rsidRDefault="08FF59F5" w:rsidP="08FF59F5">
      <w:pPr>
        <w:pStyle w:val="Literatura"/>
        <w:rPr>
          <w:rStyle w:val="style3"/>
        </w:rPr>
      </w:pPr>
      <w:r w:rsidRPr="003D1E07">
        <w:t>‒ (2012): "</w:t>
      </w:r>
      <w:r w:rsidRPr="003D1E07">
        <w:rPr>
          <w:rStyle w:val="style3"/>
        </w:rPr>
        <w:t xml:space="preserve">The Individuation of Angels from Bonaventure to Duns Scotus". </w:t>
      </w:r>
      <w:r w:rsidRPr="003D1E07">
        <w:rPr>
          <w:rStyle w:val="style4"/>
          <w:i/>
        </w:rPr>
        <w:t xml:space="preserve">A Companion to Angels in </w:t>
      </w:r>
      <w:r w:rsidRPr="003D1E07">
        <w:rPr>
          <w:rStyle w:val="style4"/>
          <w:i/>
        </w:rPr>
        <w:tab/>
        <w:t>Medieval Philosophy</w:t>
      </w:r>
      <w:r w:rsidRPr="003D1E07">
        <w:rPr>
          <w:rStyle w:val="style4"/>
        </w:rPr>
        <w:t xml:space="preserve">, </w:t>
      </w:r>
      <w:r w:rsidRPr="003D1E07">
        <w:rPr>
          <w:rStyle w:val="style3"/>
        </w:rPr>
        <w:t xml:space="preserve">edited by Tobias Hoffmann, Leiden and Boston: Brill, pp. 79–115. </w:t>
      </w:r>
    </w:p>
    <w:p w14:paraId="6FA79B3A" w14:textId="77777777" w:rsidR="08FF59F5" w:rsidRPr="003D1E07" w:rsidRDefault="08FF59F5" w:rsidP="08FF59F5">
      <w:pPr>
        <w:pStyle w:val="Literatura"/>
        <w:rPr>
          <w:i/>
        </w:rPr>
      </w:pPr>
      <w:r w:rsidRPr="003D1E07">
        <w:t xml:space="preserve">Piron, Silvaine (1999): </w:t>
      </w:r>
      <w:r w:rsidRPr="003D1E07">
        <w:rPr>
          <w:i/>
        </w:rPr>
        <w:t xml:space="preserve">Parcours d’un intellectuel franciscain. D’une théologie vers une pensée sociale: l’oeuvre </w:t>
      </w:r>
      <w:r w:rsidRPr="003D1E07">
        <w:rPr>
          <w:i/>
        </w:rPr>
        <w:tab/>
        <w:t xml:space="preserve">de Pierre de Jean Olivi (ca. 1248–1298) et son traité </w:t>
      </w:r>
      <w:r w:rsidRPr="003D1E07">
        <w:t xml:space="preserve">De contractibus. Paris: École des Hautes Études en </w:t>
      </w:r>
      <w:r w:rsidRPr="003D1E07">
        <w:tab/>
        <w:t>Sciences Sociales.</w:t>
      </w:r>
    </w:p>
    <w:p w14:paraId="0BFAFF87" w14:textId="77777777" w:rsidR="08FF59F5" w:rsidRPr="003D1E07" w:rsidRDefault="08FF59F5" w:rsidP="08FF59F5">
      <w:pPr>
        <w:pStyle w:val="Literatura"/>
      </w:pPr>
      <w:r w:rsidRPr="003D1E07">
        <w:t xml:space="preserve">Platti, Emilio (1983): </w:t>
      </w:r>
      <w:r w:rsidRPr="003D1E07">
        <w:rPr>
          <w:i/>
        </w:rPr>
        <w:t xml:space="preserve">Yaḥyā Ibn Άdī. Théologien chrétien et philosophe arabe. </w:t>
      </w:r>
      <w:r w:rsidRPr="003D1E07">
        <w:t xml:space="preserve">Leuven/Louvain, Orientalia </w:t>
      </w:r>
      <w:r w:rsidRPr="003D1E07">
        <w:tab/>
        <w:t>Lovaniensia Analecta.</w:t>
      </w:r>
    </w:p>
    <w:p w14:paraId="37299078" w14:textId="77777777" w:rsidR="08FF59F5" w:rsidRPr="003D1E07" w:rsidRDefault="08FF59F5" w:rsidP="08FF59F5">
      <w:pPr>
        <w:pStyle w:val="Literatura"/>
      </w:pPr>
      <w:r w:rsidRPr="003D1E07">
        <w:t xml:space="preserve">Plotiana Arabica (1883): </w:t>
      </w:r>
      <w:r w:rsidRPr="003D1E07">
        <w:rPr>
          <w:i/>
        </w:rPr>
        <w:t xml:space="preserve">Die sogenannte Theologie des Aristoteles. Aus dem Arabischen übersetzt und mit </w:t>
      </w:r>
      <w:r w:rsidRPr="003D1E07">
        <w:tab/>
      </w:r>
      <w:r w:rsidRPr="003D1E07">
        <w:rPr>
          <w:i/>
        </w:rPr>
        <w:t xml:space="preserve">Anmerkungen </w:t>
      </w:r>
      <w:r w:rsidRPr="003D1E07">
        <w:rPr>
          <w:i/>
        </w:rPr>
        <w:tab/>
        <w:t>versehen</w:t>
      </w:r>
      <w:r w:rsidRPr="003D1E07">
        <w:t xml:space="preserve"> von </w:t>
      </w:r>
      <w:r w:rsidRPr="003D1E07">
        <w:rPr>
          <w:i/>
        </w:rPr>
        <w:t>F. Dieterici</w:t>
      </w:r>
      <w:r w:rsidRPr="003D1E07">
        <w:t>. Leipzig: J. C. Hinrichs'sche Buchhandlung.</w:t>
      </w:r>
    </w:p>
    <w:p w14:paraId="50982ECC" w14:textId="77777777" w:rsidR="08FF59F5" w:rsidRPr="003D1E07" w:rsidRDefault="08FF59F5" w:rsidP="08FF59F5">
      <w:pPr>
        <w:pStyle w:val="Literatura"/>
      </w:pPr>
      <w:r w:rsidRPr="003D1E07">
        <w:t xml:space="preserve">Poli, Roberto, and Johanna Seibt (2010): </w:t>
      </w:r>
      <w:r w:rsidRPr="003D1E07">
        <w:rPr>
          <w:rStyle w:val="fn"/>
          <w:i/>
        </w:rPr>
        <w:t>Theory and Applications of Ontology: Philosophical Perspectives</w:t>
      </w:r>
      <w:r w:rsidRPr="003D1E07">
        <w:t xml:space="preserve">. </w:t>
      </w:r>
      <w:r w:rsidRPr="003D1E07">
        <w:tab/>
        <w:t xml:space="preserve">Dordrecht: Springer Science &amp; Business Media. </w:t>
      </w:r>
    </w:p>
    <w:p w14:paraId="794834D4" w14:textId="77777777" w:rsidR="08FF59F5" w:rsidRPr="003D1E07" w:rsidRDefault="08FF59F5" w:rsidP="08FF59F5">
      <w:pPr>
        <w:pStyle w:val="Literatura"/>
        <w:rPr>
          <w:szCs w:val="24"/>
        </w:rPr>
      </w:pPr>
      <w:r w:rsidRPr="003D1E07">
        <w:rPr>
          <w:szCs w:val="24"/>
        </w:rPr>
        <w:t xml:space="preserve">Popper, R. Karl (1935): </w:t>
      </w:r>
      <w:r w:rsidRPr="003D1E07">
        <w:rPr>
          <w:i/>
          <w:szCs w:val="24"/>
        </w:rPr>
        <w:t>Logik der Forschung</w:t>
      </w:r>
      <w:r w:rsidRPr="003D1E07">
        <w:rPr>
          <w:szCs w:val="24"/>
        </w:rPr>
        <w:t>. Vienna: J. Springer.</w:t>
      </w:r>
    </w:p>
    <w:p w14:paraId="621F985B" w14:textId="77777777" w:rsidR="08FF59F5" w:rsidRPr="003D1E07" w:rsidRDefault="08FF59F5" w:rsidP="08FF59F5">
      <w:pPr>
        <w:pStyle w:val="Literatura"/>
        <w:rPr>
          <w:iCs/>
        </w:rPr>
      </w:pPr>
      <w:r w:rsidRPr="003D1E07">
        <w:t>Porphyre</w:t>
      </w:r>
      <w:bookmarkStart w:id="83" w:name="bookmark2"/>
      <w:r w:rsidRPr="003D1E07">
        <w:t xml:space="preserve"> (1998): </w:t>
      </w:r>
      <w:r w:rsidRPr="003D1E07">
        <w:rPr>
          <w:i/>
        </w:rPr>
        <w:t>Isagoge</w:t>
      </w:r>
      <w:bookmarkStart w:id="84" w:name="bookmark3"/>
      <w:bookmarkEnd w:id="83"/>
      <w:r w:rsidRPr="003D1E07">
        <w:rPr>
          <w:i/>
        </w:rPr>
        <w:t>. Texte grec,</w:t>
      </w:r>
      <w:r w:rsidRPr="003D1E07">
        <w:t xml:space="preserve"> </w:t>
      </w:r>
      <w:r w:rsidRPr="003D1E07">
        <w:rPr>
          <w:i/>
        </w:rPr>
        <w:t>translatio Boethii</w:t>
      </w:r>
      <w:bookmarkEnd w:id="84"/>
      <w:r w:rsidRPr="003D1E07">
        <w:t xml:space="preserve">. Traduction par Alain de Libera et Alain-Philippe </w:t>
      </w:r>
      <w:r w:rsidRPr="003D1E07">
        <w:tab/>
        <w:t>Segonds, introduction et notes par Alain de Libera. Paris: J. Vrin.</w:t>
      </w:r>
    </w:p>
    <w:p w14:paraId="7124D843" w14:textId="77777777" w:rsidR="08FF59F5" w:rsidRPr="003D1E07" w:rsidRDefault="08FF59F5" w:rsidP="08FF59F5">
      <w:pPr>
        <w:pStyle w:val="Literatura"/>
      </w:pPr>
      <w:r w:rsidRPr="003D1E07">
        <w:t xml:space="preserve">Porro, Pasquale (2006): "Doing Theology (and Philosophy) in the first Person: Henry of Ghent’s </w:t>
      </w:r>
      <w:r w:rsidRPr="003D1E07">
        <w:rPr>
          <w:rStyle w:val="Zvraznn"/>
        </w:rPr>
        <w:t xml:space="preserve">Quodlibeta". </w:t>
      </w:r>
      <w:r w:rsidRPr="003D1E07">
        <w:rPr>
          <w:rStyle w:val="Zvraznn"/>
        </w:rPr>
        <w:tab/>
        <w:t xml:space="preserve">Theological Quodlibeta in the Middle Ages. The Thirteenth Century, </w:t>
      </w:r>
      <w:r w:rsidRPr="003D1E07">
        <w:t xml:space="preserve">edited by </w:t>
      </w:r>
      <w:r w:rsidRPr="003D1E07">
        <w:rPr>
          <w:rStyle w:val="st"/>
        </w:rPr>
        <w:t xml:space="preserve">Christopher </w:t>
      </w:r>
      <w:r w:rsidRPr="003D1E07">
        <w:t xml:space="preserve">Schabel, </w:t>
      </w:r>
      <w:r w:rsidRPr="003D1E07">
        <w:tab/>
        <w:t>Leiden: Brill, pp. 171‒231.</w:t>
      </w:r>
    </w:p>
    <w:p w14:paraId="2D897030" w14:textId="77777777" w:rsidR="08FF59F5" w:rsidRPr="003D1E07" w:rsidRDefault="08FF59F5" w:rsidP="08FF59F5">
      <w:pPr>
        <w:pStyle w:val="Literatura"/>
      </w:pPr>
      <w:r w:rsidRPr="003D1E07">
        <w:t xml:space="preserve">Pouillon, Henri (1939): "Le premier traité des propriétés transcendantales. La «Summa de bono» du Chancelier </w:t>
      </w:r>
      <w:r w:rsidRPr="003D1E07">
        <w:tab/>
        <w:t xml:space="preserve">Philippe". </w:t>
      </w:r>
      <w:r w:rsidRPr="003D1E07">
        <w:rPr>
          <w:i/>
        </w:rPr>
        <w:t xml:space="preserve">Revue néo-scolastique de philosophie </w:t>
      </w:r>
      <w:r w:rsidRPr="003D1E07">
        <w:t>61: 40‒77.</w:t>
      </w:r>
    </w:p>
    <w:p w14:paraId="0CA1A002" w14:textId="77777777" w:rsidR="08FF59F5" w:rsidRPr="003D1E07" w:rsidRDefault="08FF59F5" w:rsidP="08FF59F5">
      <w:pPr>
        <w:pStyle w:val="Literatura"/>
        <w:rPr>
          <w:rStyle w:val="addmd"/>
        </w:rPr>
      </w:pPr>
      <w:r w:rsidRPr="003D1E07">
        <w:t xml:space="preserve">Priscian (1855): </w:t>
      </w:r>
      <w:r w:rsidRPr="003D1E07">
        <w:rPr>
          <w:i/>
        </w:rPr>
        <w:t>Institutiones grammaticae</w:t>
      </w:r>
      <w:r w:rsidRPr="003D1E07">
        <w:t>. Edited by M. Hertz, and H. Keil. Leipzig, Grammatici Latini I.</w:t>
      </w:r>
    </w:p>
    <w:p w14:paraId="2F84138A" w14:textId="77777777" w:rsidR="08FF59F5" w:rsidRPr="003D1E07" w:rsidRDefault="08FF59F5" w:rsidP="08FF59F5">
      <w:pPr>
        <w:pStyle w:val="Literatura"/>
      </w:pPr>
      <w:r w:rsidRPr="003D1E07">
        <w:rPr>
          <w:rStyle w:val="addmd"/>
        </w:rPr>
        <w:t xml:space="preserve">Proclus (1992): </w:t>
      </w:r>
      <w:r w:rsidRPr="003D1E07">
        <w:rPr>
          <w:i/>
        </w:rPr>
        <w:t xml:space="preserve">Proclus' Commentary on Plato's </w:t>
      </w:r>
      <w:r w:rsidRPr="003D1E07">
        <w:rPr>
          <w:i/>
          <w:iCs/>
        </w:rPr>
        <w:t>Parmenides</w:t>
      </w:r>
      <w:r w:rsidRPr="003D1E07">
        <w:t xml:space="preserve">. Translated by Glenn R. Morrow, and John M. </w:t>
      </w:r>
      <w:r w:rsidRPr="003D1E07">
        <w:tab/>
        <w:t>Dillon. Princeton University Press.</w:t>
      </w:r>
    </w:p>
    <w:p w14:paraId="78EE726A" w14:textId="77777777" w:rsidR="08FF59F5" w:rsidRPr="003D1E07" w:rsidRDefault="08FF59F5" w:rsidP="08FF59F5">
      <w:pPr>
        <w:pStyle w:val="Literatura"/>
      </w:pPr>
      <w:r w:rsidRPr="003D1E07">
        <w:rPr>
          <w:rStyle w:val="addmd"/>
        </w:rPr>
        <w:t xml:space="preserve">Pseudo-Pecham (2007): </w:t>
      </w:r>
      <w:r w:rsidRPr="003D1E07">
        <w:rPr>
          <w:rStyle w:val="addmd"/>
          <w:i/>
        </w:rPr>
        <w:t>Commentarium in Ethicam Nouam et Veterem</w:t>
      </w:r>
      <w:r w:rsidRPr="003D1E07">
        <w:t xml:space="preserve">. Edited by Valeria Andrea Buffon, in: </w:t>
      </w:r>
      <w:r w:rsidRPr="003D1E07">
        <w:tab/>
      </w:r>
      <w:r w:rsidRPr="003D1E07">
        <w:rPr>
          <w:i/>
        </w:rPr>
        <w:t>L'idéal éthique des maîtres ès arts de Paris vers 1250</w:t>
      </w:r>
      <w:r w:rsidRPr="003D1E07">
        <w:t xml:space="preserve">. Québec: Faculté philosophie université Laval, pp. </w:t>
      </w:r>
      <w:r w:rsidRPr="003D1E07">
        <w:tab/>
        <w:t>220‒417.</w:t>
      </w:r>
    </w:p>
    <w:p w14:paraId="6EA8522D" w14:textId="77777777" w:rsidR="08FF59F5" w:rsidRPr="003D1E07" w:rsidRDefault="08FF59F5" w:rsidP="08FF59F5">
      <w:pPr>
        <w:pStyle w:val="Literatura"/>
      </w:pPr>
      <w:r w:rsidRPr="003D1E07">
        <w:t xml:space="preserve">Putallaz, François-Xavier (1991): </w:t>
      </w:r>
      <w:r w:rsidRPr="003D1E07">
        <w:rPr>
          <w:i/>
        </w:rPr>
        <w:t>La connaisance de soi au XIIIe siècle</w:t>
      </w:r>
      <w:r w:rsidRPr="003D1E07">
        <w:t>. Paris: J. Vrin.</w:t>
      </w:r>
    </w:p>
    <w:p w14:paraId="4A658A59" w14:textId="77777777" w:rsidR="08FF59F5" w:rsidRPr="003D1E07" w:rsidRDefault="08FF59F5" w:rsidP="08FF59F5">
      <w:pPr>
        <w:pStyle w:val="Literatura"/>
        <w:rPr>
          <w:rStyle w:val="addmd"/>
        </w:rPr>
      </w:pPr>
      <w:r w:rsidRPr="003D1E07">
        <w:t xml:space="preserve">Queneau, G. (1954): "Origine de la sentence 'Intellectus speculativus extensione fit practicus' et date du </w:t>
      </w:r>
      <w:r w:rsidRPr="003D1E07">
        <w:tab/>
        <w:t xml:space="preserve">Commentaire du De anima de S. Albert le Grand". </w:t>
      </w:r>
      <w:r w:rsidRPr="003D1E07">
        <w:rPr>
          <w:rStyle w:val="ZkladntextKurzva"/>
          <w:i w:val="0"/>
          <w:spacing w:val="10"/>
          <w:sz w:val="17"/>
          <w:szCs w:val="17"/>
          <w:u w:val="single"/>
        </w:rPr>
        <w:t xml:space="preserve">Recherches de théologie ancienne et médiévale </w:t>
      </w:r>
      <w:r w:rsidRPr="003D1E07">
        <w:rPr>
          <w:rStyle w:val="ZkladntextKurzva"/>
          <w:spacing w:val="10"/>
          <w:sz w:val="17"/>
          <w:szCs w:val="17"/>
          <w:u w:val="single"/>
        </w:rPr>
        <w:t>21</w:t>
      </w:r>
      <w:r w:rsidRPr="003D1E07">
        <w:t xml:space="preserve">: </w:t>
      </w:r>
      <w:r w:rsidRPr="003D1E07">
        <w:tab/>
        <w:t>307‒312.</w:t>
      </w:r>
    </w:p>
    <w:p w14:paraId="347957DE" w14:textId="77777777" w:rsidR="08FF59F5" w:rsidRPr="003D1E07" w:rsidRDefault="08FF59F5" w:rsidP="08FF59F5">
      <w:pPr>
        <w:pStyle w:val="Literatura"/>
        <w:rPr>
          <w:szCs w:val="24"/>
        </w:rPr>
      </w:pPr>
      <w:r w:rsidRPr="003D1E07">
        <w:rPr>
          <w:szCs w:val="24"/>
        </w:rPr>
        <w:t xml:space="preserve">Renan, Ernest (1866): </w:t>
      </w:r>
      <w:r w:rsidRPr="003D1E07">
        <w:rPr>
          <w:i/>
          <w:szCs w:val="24"/>
        </w:rPr>
        <w:t>Averroès et l'Averroïsme</w:t>
      </w:r>
      <w:r w:rsidRPr="003D1E07">
        <w:rPr>
          <w:szCs w:val="24"/>
        </w:rPr>
        <w:t>. Paris.</w:t>
      </w:r>
    </w:p>
    <w:p w14:paraId="2E2CA9D4" w14:textId="77777777" w:rsidR="08FF59F5" w:rsidRPr="003D1E07" w:rsidRDefault="08FF59F5" w:rsidP="08FF59F5">
      <w:pPr>
        <w:pStyle w:val="Literatura"/>
      </w:pPr>
      <w:r w:rsidRPr="003D1E07">
        <w:lastRenderedPageBreak/>
        <w:t xml:space="preserve">Ricoeur, Paul (1965): </w:t>
      </w:r>
      <w:r w:rsidRPr="003D1E07">
        <w:rPr>
          <w:i/>
          <w:iCs/>
        </w:rPr>
        <w:t>De l’interprétation. Essai sur Freud</w:t>
      </w:r>
      <w:r w:rsidRPr="003D1E07">
        <w:t>, Paris: Éditions du Seuil.</w:t>
      </w:r>
    </w:p>
    <w:p w14:paraId="027BFD1D" w14:textId="77777777" w:rsidR="08FF59F5" w:rsidRPr="003D1E07" w:rsidRDefault="08FF59F5" w:rsidP="08FF59F5">
      <w:pPr>
        <w:pStyle w:val="Literatura"/>
      </w:pPr>
      <w:r w:rsidRPr="003D1E07">
        <w:t xml:space="preserve">‒ (1969): "Le péché originel: étude de signification". </w:t>
      </w:r>
      <w:r w:rsidRPr="003D1E07">
        <w:rPr>
          <w:i/>
        </w:rPr>
        <w:t>Le Conflit des Interprétations</w:t>
      </w:r>
      <w:r w:rsidRPr="003D1E07">
        <w:t xml:space="preserve">. Paris: Aubier-Montaigne, pp. </w:t>
      </w:r>
      <w:r w:rsidRPr="003D1E07">
        <w:tab/>
        <w:t>265‒282.</w:t>
      </w:r>
    </w:p>
    <w:p w14:paraId="69AA05DE" w14:textId="77777777" w:rsidR="08FF59F5" w:rsidRPr="003D1E07" w:rsidRDefault="08FF59F5" w:rsidP="08FF59F5">
      <w:pPr>
        <w:pStyle w:val="Literatura"/>
      </w:pPr>
      <w:r w:rsidRPr="003D1E07">
        <w:t xml:space="preserve">‒ (1990): </w:t>
      </w:r>
      <w:r w:rsidRPr="003D1E07">
        <w:rPr>
          <w:i/>
        </w:rPr>
        <w:t>Soi-même comme un autre</w:t>
      </w:r>
      <w:r w:rsidRPr="003D1E07">
        <w:t xml:space="preserve">, Paris: Seuil. </w:t>
      </w:r>
    </w:p>
    <w:p w14:paraId="3AB008AB" w14:textId="77777777" w:rsidR="08FF59F5" w:rsidRPr="003D1E07" w:rsidRDefault="08FF59F5" w:rsidP="08FF59F5">
      <w:pPr>
        <w:pStyle w:val="Literatura"/>
      </w:pPr>
      <w:r w:rsidRPr="003D1E07">
        <w:t>Rocca</w:t>
      </w:r>
      <w:r w:rsidRPr="003D1E07">
        <w:rPr>
          <w:smallCaps/>
        </w:rPr>
        <w:t xml:space="preserve">, </w:t>
      </w:r>
      <w:r w:rsidRPr="003D1E07">
        <w:t xml:space="preserve">Gregory (1991): "The Distinction Between </w:t>
      </w:r>
      <w:r w:rsidRPr="003D1E07">
        <w:rPr>
          <w:i/>
          <w:iCs/>
        </w:rPr>
        <w:t>res significata</w:t>
      </w:r>
      <w:r w:rsidRPr="003D1E07">
        <w:t xml:space="preserve"> and </w:t>
      </w:r>
      <w:r w:rsidRPr="003D1E07">
        <w:rPr>
          <w:i/>
          <w:iCs/>
        </w:rPr>
        <w:t xml:space="preserve">modus significandi </w:t>
      </w:r>
      <w:r w:rsidRPr="003D1E07">
        <w:t>in Aquinas</w:t>
      </w:r>
      <w:r w:rsidRPr="003D1E07">
        <w:rPr>
          <w:rFonts w:cs="Calibri"/>
        </w:rPr>
        <w:t>'</w:t>
      </w:r>
      <w:r w:rsidRPr="003D1E07">
        <w:t xml:space="preserve">s Theological </w:t>
      </w:r>
      <w:r w:rsidRPr="003D1E07">
        <w:tab/>
        <w:t xml:space="preserve">Epistemology". </w:t>
      </w:r>
      <w:r w:rsidRPr="003D1E07">
        <w:rPr>
          <w:i/>
          <w:iCs/>
        </w:rPr>
        <w:t>The Thomist</w:t>
      </w:r>
      <w:r w:rsidRPr="003D1E07">
        <w:t xml:space="preserve"> 55: 173−197.</w:t>
      </w:r>
    </w:p>
    <w:p w14:paraId="0E494BA3" w14:textId="77777777" w:rsidR="08FF59F5" w:rsidRPr="003D1E07" w:rsidRDefault="08FF59F5" w:rsidP="08FF59F5">
      <w:pPr>
        <w:pStyle w:val="Literatura"/>
      </w:pPr>
      <w:r w:rsidRPr="003D1E07">
        <w:t xml:space="preserve">Rohmer, Jean (1928): "La théorie de l'abstraction dans l'école franciscaine, d'Alexandre de Halès à Jean </w:t>
      </w:r>
      <w:r w:rsidRPr="003D1E07">
        <w:tab/>
        <w:t xml:space="preserve">Peckam". </w:t>
      </w:r>
      <w:r w:rsidRPr="003D1E07">
        <w:rPr>
          <w:i/>
        </w:rPr>
        <w:t>Archives d’histoire doctrinale et littéraire du moyen âge</w:t>
      </w:r>
      <w:r w:rsidRPr="003D1E07">
        <w:t xml:space="preserve"> 3: 105–184.</w:t>
      </w:r>
    </w:p>
    <w:p w14:paraId="2CE75294" w14:textId="77777777" w:rsidR="08FF59F5" w:rsidRPr="003D1E07" w:rsidRDefault="08FF59F5" w:rsidP="08FF59F5">
      <w:pPr>
        <w:pStyle w:val="Literatura"/>
      </w:pPr>
      <w:r w:rsidRPr="003D1E07">
        <w:t>Rokay, Zoltán</w:t>
      </w:r>
      <w:r w:rsidRPr="003D1E07">
        <w:rPr>
          <w:smallCaps/>
        </w:rPr>
        <w:t xml:space="preserve"> (2004): "</w:t>
      </w:r>
      <w:r w:rsidRPr="003D1E07">
        <w:t xml:space="preserve">De unitate intellectus. Die gleichnamige Schrift des Lehrers (Alberts des Großen) und des </w:t>
      </w:r>
      <w:r w:rsidRPr="003D1E07">
        <w:tab/>
        <w:t xml:space="preserve">Schülers (Thomas von Aquin)". </w:t>
      </w:r>
      <w:r w:rsidRPr="003D1E07">
        <w:rPr>
          <w:i/>
          <w:iCs/>
        </w:rPr>
        <w:t>Verbum</w:t>
      </w:r>
      <w:r w:rsidRPr="003D1E07">
        <w:t xml:space="preserve"> 6/1: 61‒66.</w:t>
      </w:r>
    </w:p>
    <w:p w14:paraId="4157D19B" w14:textId="77777777" w:rsidR="08FF59F5" w:rsidRPr="003D1E07" w:rsidRDefault="08FF59F5" w:rsidP="08FF59F5">
      <w:pPr>
        <w:pStyle w:val="Literatura"/>
      </w:pPr>
      <w:r w:rsidRPr="003D1E07">
        <w:t xml:space="preserve">Romanus, Aegidius </w:t>
      </w:r>
      <w:r w:rsidRPr="003D1E07">
        <w:rPr>
          <w:szCs w:val="18"/>
        </w:rPr>
        <w:t xml:space="preserve">(1899): </w:t>
      </w:r>
      <w:r w:rsidRPr="003D1E07">
        <w:rPr>
          <w:i/>
          <w:szCs w:val="18"/>
        </w:rPr>
        <w:t>De erroribus Philosophorum</w:t>
      </w:r>
      <w:r w:rsidRPr="003D1E07">
        <w:rPr>
          <w:szCs w:val="18"/>
        </w:rPr>
        <w:t>. Extrait edited by Pierre</w:t>
      </w:r>
      <w:r w:rsidRPr="003D1E07">
        <w:rPr>
          <w:i/>
          <w:szCs w:val="18"/>
        </w:rPr>
        <w:t xml:space="preserve"> </w:t>
      </w:r>
      <w:r w:rsidRPr="003D1E07">
        <w:rPr>
          <w:szCs w:val="18"/>
        </w:rPr>
        <w:t xml:space="preserve">Mandonnet. </w:t>
      </w:r>
      <w:r w:rsidRPr="003D1E07">
        <w:rPr>
          <w:i/>
        </w:rPr>
        <w:t xml:space="preserve">Siger de Brabant </w:t>
      </w:r>
      <w:r w:rsidRPr="003D1E07">
        <w:tab/>
      </w:r>
      <w:r w:rsidRPr="003D1E07">
        <w:rPr>
          <w:i/>
        </w:rPr>
        <w:t>et l'averroïsme latin au XIII</w:t>
      </w:r>
      <w:r w:rsidRPr="003D1E07">
        <w:rPr>
          <w:i/>
          <w:vertAlign w:val="superscript"/>
        </w:rPr>
        <w:t>me</w:t>
      </w:r>
      <w:r w:rsidRPr="003D1E07">
        <w:rPr>
          <w:i/>
        </w:rPr>
        <w:t xml:space="preserve"> siècle. Étude critique et documents inédits</w:t>
      </w:r>
      <w:r w:rsidRPr="003D1E07">
        <w:t xml:space="preserve">. Louvain: Institut supérieur de </w:t>
      </w:r>
      <w:r w:rsidRPr="003D1E07">
        <w:tab/>
        <w:t>philosophie de l'Université.</w:t>
      </w:r>
    </w:p>
    <w:p w14:paraId="6110F8FB" w14:textId="77777777" w:rsidR="08FF59F5" w:rsidRPr="003D1E07" w:rsidRDefault="08FF59F5" w:rsidP="08FF59F5">
      <w:pPr>
        <w:pStyle w:val="Literatura"/>
      </w:pPr>
      <w:r w:rsidRPr="003D1E07">
        <w:rPr>
          <w:szCs w:val="18"/>
        </w:rPr>
        <w:t xml:space="preserve"> </w:t>
      </w:r>
      <w:r w:rsidRPr="003D1E07">
        <w:t xml:space="preserve">‒ (2012): </w:t>
      </w:r>
      <w:r w:rsidRPr="003D1E07">
        <w:rPr>
          <w:i/>
        </w:rPr>
        <w:t>De plurificatione possibilis intellectus</w:t>
      </w:r>
      <w:r w:rsidRPr="003D1E07">
        <w:t>. Edited by Olszewski, Warsava.</w:t>
      </w:r>
    </w:p>
    <w:p w14:paraId="632C8E92" w14:textId="77777777" w:rsidR="08FF59F5" w:rsidRPr="003D1E07" w:rsidRDefault="08FF59F5" w:rsidP="08FF59F5">
      <w:pPr>
        <w:pStyle w:val="Literatura"/>
        <w:rPr>
          <w:bCs/>
          <w:iCs/>
        </w:rPr>
      </w:pPr>
      <w:r w:rsidRPr="003D1E07">
        <w:rPr>
          <w:szCs w:val="28"/>
        </w:rPr>
        <w:t xml:space="preserve">Rorty, Richard (1979): </w:t>
      </w:r>
      <w:r w:rsidRPr="003D1E07">
        <w:rPr>
          <w:bCs/>
          <w:i/>
          <w:iCs/>
        </w:rPr>
        <w:t>Philosophy and the Mirror of Nature</w:t>
      </w:r>
      <w:r w:rsidRPr="003D1E07">
        <w:rPr>
          <w:bCs/>
          <w:iCs/>
        </w:rPr>
        <w:t xml:space="preserve">. </w:t>
      </w:r>
      <w:r w:rsidRPr="003D1E07">
        <w:rPr>
          <w:szCs w:val="22"/>
        </w:rPr>
        <w:t>Princeton: Princeton University Press</w:t>
      </w:r>
    </w:p>
    <w:p w14:paraId="3F666BA1" w14:textId="77777777" w:rsidR="08FF59F5" w:rsidRPr="003D1E07" w:rsidRDefault="08FF59F5" w:rsidP="08FF59F5">
      <w:pPr>
        <w:pStyle w:val="Literatura"/>
        <w:rPr>
          <w:i/>
        </w:rPr>
      </w:pPr>
      <w:r w:rsidRPr="003D1E07">
        <w:t xml:space="preserve">Rufus, Richard. </w:t>
      </w:r>
      <w:r w:rsidRPr="003D1E07">
        <w:rPr>
          <w:iCs/>
        </w:rPr>
        <w:t xml:space="preserve">The University of Stanford: </w:t>
      </w:r>
      <w:r w:rsidRPr="003D1E07">
        <w:rPr>
          <w:i/>
        </w:rPr>
        <w:t>The Richard Rufus of Cornwall Project</w:t>
      </w:r>
    </w:p>
    <w:p w14:paraId="573BCB3D" w14:textId="77777777" w:rsidR="08FF59F5" w:rsidRPr="003D1E07" w:rsidRDefault="08FF59F5" w:rsidP="08FF59F5">
      <w:pPr>
        <w:pStyle w:val="Literatura"/>
      </w:pPr>
      <w:r w:rsidRPr="003D1E07">
        <w:rPr>
          <w:i/>
        </w:rPr>
        <w:tab/>
      </w:r>
      <w:r w:rsidRPr="003D1E07">
        <w:t xml:space="preserve"> (http://rrp.stanford.edu/APos.shtml), quoted: </w:t>
      </w:r>
      <w:r w:rsidRPr="003D1E07">
        <w:rPr>
          <w:rStyle w:val="TextpoznpodarouChar"/>
        </w:rPr>
        <w:t>RRP Stanford.</w:t>
      </w:r>
    </w:p>
    <w:p w14:paraId="2BF0D581" w14:textId="77777777" w:rsidR="08FF59F5" w:rsidRPr="003D1E07" w:rsidRDefault="08FF59F5" w:rsidP="08FF59F5">
      <w:pPr>
        <w:pStyle w:val="Literatura"/>
      </w:pPr>
      <w:r w:rsidRPr="003D1E07">
        <w:t xml:space="preserve">‒ (2007): </w:t>
      </w:r>
      <w:r w:rsidRPr="003D1E07">
        <w:rPr>
          <w:i/>
          <w:iCs/>
        </w:rPr>
        <w:t>In Aristoteli Analytica posteriora</w:t>
      </w:r>
      <w:r w:rsidRPr="003D1E07">
        <w:rPr>
          <w:iCs/>
        </w:rPr>
        <w:t xml:space="preserve">. Edited by </w:t>
      </w:r>
      <w:r w:rsidRPr="003D1E07">
        <w:t xml:space="preserve">Rega Wood, </w:t>
      </w:r>
      <w:r w:rsidRPr="003D1E07">
        <w:rPr>
          <w:rStyle w:val="TextpoznpodarouChar"/>
        </w:rPr>
        <w:t>RRP Stanford.</w:t>
      </w:r>
    </w:p>
    <w:p w14:paraId="513B7062" w14:textId="77777777" w:rsidR="08FF59F5" w:rsidRPr="003D1E07" w:rsidRDefault="08FF59F5" w:rsidP="08FF59F5">
      <w:pPr>
        <w:pStyle w:val="Literatura"/>
      </w:pPr>
      <w:r w:rsidRPr="003D1E07">
        <w:t>‒ (</w:t>
      </w:r>
      <w:r w:rsidRPr="003D1E07">
        <w:rPr>
          <w:rStyle w:val="TextpoznpodarouChar"/>
        </w:rPr>
        <w:t>2007</w:t>
      </w:r>
      <w:r w:rsidRPr="003D1E07">
        <w:t xml:space="preserve">): </w:t>
      </w:r>
      <w:r w:rsidRPr="003D1E07">
        <w:rPr>
          <w:i/>
        </w:rPr>
        <w:t>In Aristotelis De anima. Redactio brevior, liber 1</w:t>
      </w:r>
      <w:r w:rsidRPr="003D1E07">
        <w:rPr>
          <w:rFonts w:ascii="Georgia" w:hAnsi="Georgia"/>
          <w:i/>
        </w:rPr>
        <w:t>–</w:t>
      </w:r>
      <w:r w:rsidRPr="003D1E07">
        <w:rPr>
          <w:i/>
        </w:rPr>
        <w:t>3</w:t>
      </w:r>
      <w:r w:rsidRPr="003D1E07">
        <w:t xml:space="preserve">. Edited by Christopher J. Martin, and Neil Lewis, </w:t>
      </w:r>
      <w:r w:rsidRPr="003D1E07">
        <w:rPr>
          <w:i/>
        </w:rPr>
        <w:tab/>
      </w:r>
      <w:r w:rsidRPr="003D1E07">
        <w:t xml:space="preserve">and Rega Wood, </w:t>
      </w:r>
      <w:r w:rsidRPr="003D1E07">
        <w:rPr>
          <w:rStyle w:val="TextpoznpodarouChar"/>
        </w:rPr>
        <w:t>RRP Stanford.</w:t>
      </w:r>
    </w:p>
    <w:p w14:paraId="7053341E" w14:textId="77777777" w:rsidR="08FF59F5" w:rsidRPr="003D1E07" w:rsidRDefault="08FF59F5" w:rsidP="08FF59F5">
      <w:pPr>
        <w:pStyle w:val="Literatura"/>
      </w:pPr>
      <w:r w:rsidRPr="003D1E07">
        <w:t>‒ (</w:t>
      </w:r>
      <w:r w:rsidRPr="003D1E07">
        <w:rPr>
          <w:rStyle w:val="TextpoznpodarouChar"/>
        </w:rPr>
        <w:t>2013</w:t>
      </w:r>
      <w:r w:rsidRPr="003D1E07">
        <w:t xml:space="preserve">): </w:t>
      </w:r>
      <w:r w:rsidRPr="003D1E07">
        <w:rPr>
          <w:i/>
        </w:rPr>
        <w:t>Memoriale in Metaphysicam Aristotelis</w:t>
      </w:r>
      <w:r w:rsidRPr="003D1E07">
        <w:t xml:space="preserve">. Edited by Rega Wood, and Neil Lewis, </w:t>
      </w:r>
      <w:r w:rsidRPr="003D1E07">
        <w:rPr>
          <w:rStyle w:val="TextpoznpodarouChar"/>
        </w:rPr>
        <w:t>RRP Stanford.</w:t>
      </w:r>
    </w:p>
    <w:p w14:paraId="43035EE8" w14:textId="77777777" w:rsidR="08FF59F5" w:rsidRPr="003D1E07" w:rsidRDefault="08FF59F5" w:rsidP="08FF59F5">
      <w:pPr>
        <w:pStyle w:val="Literatura"/>
      </w:pPr>
      <w:r w:rsidRPr="003D1E07">
        <w:t>‒ (</w:t>
      </w:r>
      <w:r w:rsidRPr="003D1E07">
        <w:rPr>
          <w:rStyle w:val="TextpoznpodarouChar"/>
        </w:rPr>
        <w:t>2011</w:t>
      </w:r>
      <w:r w:rsidRPr="003D1E07">
        <w:t xml:space="preserve">): </w:t>
      </w:r>
      <w:r w:rsidRPr="003D1E07">
        <w:rPr>
          <w:i/>
        </w:rPr>
        <w:t xml:space="preserve">Speculum animae. </w:t>
      </w:r>
      <w:r w:rsidRPr="003D1E07">
        <w:t xml:space="preserve">Edited by Matthew X. Etchemendy, and Rega Wood, in: "Speculum animae: </w:t>
      </w:r>
      <w:r w:rsidRPr="003D1E07">
        <w:tab/>
        <w:t xml:space="preserve">Richard Rufus on Perception and Cognition." </w:t>
      </w:r>
      <w:r w:rsidRPr="003D1E07">
        <w:rPr>
          <w:i/>
        </w:rPr>
        <w:t xml:space="preserve">Franciscan Studies </w:t>
      </w:r>
      <w:r w:rsidRPr="003D1E07">
        <w:t>69, Appendix, pp. 116‒140.</w:t>
      </w:r>
    </w:p>
    <w:p w14:paraId="735CB56E" w14:textId="77777777" w:rsidR="08FF59F5" w:rsidRPr="003D1E07" w:rsidRDefault="08FF59F5" w:rsidP="08FF59F5">
      <w:pPr>
        <w:pStyle w:val="Literatura"/>
        <w:rPr>
          <w:szCs w:val="28"/>
        </w:rPr>
      </w:pPr>
      <w:r w:rsidRPr="003D1E07">
        <w:t xml:space="preserve">Rusconi, Roberto (1981):  "De la prédication à la confession: transmission et contrôle de modèles de </w:t>
      </w:r>
      <w:r w:rsidRPr="003D1E07">
        <w:rPr>
          <w:i/>
        </w:rPr>
        <w:tab/>
      </w:r>
      <w:r w:rsidRPr="003D1E07">
        <w:t xml:space="preserve">comportement au XIIIe siècle." </w:t>
      </w:r>
      <w:r w:rsidRPr="003D1E07">
        <w:rPr>
          <w:i/>
        </w:rPr>
        <w:t xml:space="preserve">Faire croire. Modalités de la diffusion et de la réception des messages </w:t>
      </w:r>
      <w:r w:rsidRPr="003D1E07">
        <w:rPr>
          <w:i/>
        </w:rPr>
        <w:tab/>
        <w:t xml:space="preserve">religieux du XIIe au XVe siècle. Actes de table ronde de Rome (22-23 juin 1979). Publications de l'École </w:t>
      </w:r>
      <w:r w:rsidRPr="003D1E07">
        <w:rPr>
          <w:i/>
        </w:rPr>
        <w:tab/>
        <w:t>Française de Rome</w:t>
      </w:r>
      <w:r w:rsidRPr="003D1E07">
        <w:t xml:space="preserve"> 1981 (51): 67–85.</w:t>
      </w:r>
    </w:p>
    <w:p w14:paraId="46A94448" w14:textId="77777777" w:rsidR="08FF59F5" w:rsidRPr="003D1E07" w:rsidRDefault="08FF59F5" w:rsidP="08FF59F5">
      <w:pPr>
        <w:pStyle w:val="Literatura"/>
      </w:pPr>
      <w:r w:rsidRPr="003D1E07">
        <w:rPr>
          <w:szCs w:val="28"/>
        </w:rPr>
        <w:t>Salman, Dominique (1937): "</w:t>
      </w:r>
      <w:r w:rsidRPr="003D1E07">
        <w:t xml:space="preserve">Note sur la première influence d'Averroès". </w:t>
      </w:r>
      <w:r w:rsidRPr="003D1E07">
        <w:rPr>
          <w:i/>
        </w:rPr>
        <w:t>Revue néo-scolastique de philosophie</w:t>
      </w:r>
      <w:r w:rsidRPr="003D1E07">
        <w:t xml:space="preserve"> </w:t>
      </w:r>
      <w:r w:rsidRPr="003D1E07">
        <w:tab/>
        <w:t>54: 203–212.</w:t>
      </w:r>
    </w:p>
    <w:p w14:paraId="66AD59CB" w14:textId="77777777" w:rsidR="08FF59F5" w:rsidRPr="003D1E07" w:rsidRDefault="08FF59F5" w:rsidP="08FF59F5">
      <w:pPr>
        <w:pStyle w:val="Literatura"/>
      </w:pPr>
      <w:r w:rsidRPr="003D1E07">
        <w:t xml:space="preserve">Saussure, de Ferdinand (1972). </w:t>
      </w:r>
      <w:r w:rsidRPr="003D1E07">
        <w:rPr>
          <w:i/>
          <w:iCs/>
        </w:rPr>
        <w:t>Cours de linguistique générale</w:t>
      </w:r>
      <w:r w:rsidRPr="003D1E07">
        <w:t>, Paris: Payot.</w:t>
      </w:r>
    </w:p>
    <w:p w14:paraId="235AA035" w14:textId="77777777" w:rsidR="08FF59F5" w:rsidRPr="003D1E07" w:rsidRDefault="08FF59F5" w:rsidP="08FF59F5">
      <w:pPr>
        <w:pStyle w:val="Literatura"/>
      </w:pPr>
      <w:r w:rsidRPr="003D1E07">
        <w:t xml:space="preserve">Sebti, Meryem (2005): "Le Statut ontologique de l'image dans la doctrine avicennienne de la perception". </w:t>
      </w:r>
      <w:r w:rsidRPr="003D1E07">
        <w:tab/>
      </w:r>
      <w:r w:rsidRPr="003D1E07">
        <w:rPr>
          <w:i/>
        </w:rPr>
        <w:t>Arabic Sciences and Philosophy</w:t>
      </w:r>
      <w:r w:rsidRPr="003D1E07">
        <w:t xml:space="preserve"> 15: 109‒140.</w:t>
      </w:r>
    </w:p>
    <w:p w14:paraId="66C0D476" w14:textId="77777777" w:rsidR="08FF59F5" w:rsidRPr="003D1E07" w:rsidRDefault="08FF59F5" w:rsidP="08FF59F5">
      <w:pPr>
        <w:pStyle w:val="Literatura"/>
        <w:rPr>
          <w:rStyle w:val="tpp"/>
          <w:szCs w:val="22"/>
        </w:rPr>
      </w:pPr>
      <w:r w:rsidRPr="003D1E07">
        <w:t xml:space="preserve">Schmitt, Arbogast (1988): "Menschliches Fehlen. und tragisches Scheitern. Zur Handlungsmotivation im </w:t>
      </w:r>
      <w:r w:rsidRPr="003D1E07">
        <w:tab/>
        <w:t xml:space="preserve">Sophokleischen </w:t>
      </w:r>
      <w:r w:rsidRPr="003D1E07">
        <w:rPr>
          <w:i/>
        </w:rPr>
        <w:t>König Odipus</w:t>
      </w:r>
      <w:r w:rsidRPr="003D1E07">
        <w:t xml:space="preserve">." </w:t>
      </w:r>
      <w:r w:rsidRPr="003D1E07">
        <w:rPr>
          <w:rStyle w:val="st"/>
          <w:i/>
        </w:rPr>
        <w:t>Rheinisches Museum für Philologie</w:t>
      </w:r>
      <w:r w:rsidRPr="003D1E07">
        <w:t xml:space="preserve"> 131: 8–30.</w:t>
      </w:r>
    </w:p>
    <w:p w14:paraId="0EA3B073" w14:textId="77777777" w:rsidR="08FF59F5" w:rsidRPr="003D1E07" w:rsidRDefault="08FF59F5" w:rsidP="08FF59F5">
      <w:pPr>
        <w:pStyle w:val="Literatura"/>
      </w:pPr>
      <w:r w:rsidRPr="003D1E07">
        <w:rPr>
          <w:szCs w:val="18"/>
        </w:rPr>
        <w:t xml:space="preserve">Schöller, Marco (2001): "Lüge, Wahrheit und Dichtung im Islam", in: Kurt Röttgers und Monika Schmitz-Emans </w:t>
      </w:r>
      <w:r w:rsidRPr="003D1E07">
        <w:tab/>
      </w:r>
      <w:r w:rsidRPr="003D1E07">
        <w:rPr>
          <w:szCs w:val="18"/>
        </w:rPr>
        <w:t xml:space="preserve"> (Hg.): </w:t>
      </w:r>
      <w:r w:rsidRPr="003D1E07">
        <w:rPr>
          <w:i/>
          <w:szCs w:val="18"/>
        </w:rPr>
        <w:t>Dichter lügen</w:t>
      </w:r>
      <w:r w:rsidRPr="003D1E07">
        <w:rPr>
          <w:szCs w:val="18"/>
        </w:rPr>
        <w:t>. Blaue Eule: Essen 2001: 129─151.</w:t>
      </w:r>
    </w:p>
    <w:p w14:paraId="38B4EFBD" w14:textId="77777777" w:rsidR="08FF59F5" w:rsidRPr="003D1E07" w:rsidRDefault="08FF59F5" w:rsidP="08FF59F5">
      <w:pPr>
        <w:pStyle w:val="Literatura"/>
      </w:pPr>
      <w:r w:rsidRPr="003D1E07">
        <w:t xml:space="preserve">Siger z Brabantu (1972): </w:t>
      </w:r>
      <w:r w:rsidRPr="003D1E07">
        <w:rPr>
          <w:i/>
          <w:iCs/>
        </w:rPr>
        <w:t>Quaestiones in tertium De anima, De anima intellectiva, De aeternitate mundi</w:t>
      </w:r>
      <w:r w:rsidRPr="003D1E07">
        <w:t xml:space="preserve">. Edited </w:t>
      </w:r>
      <w:r w:rsidRPr="003D1E07">
        <w:tab/>
        <w:t>by B. Bazán. Louvain et Paris, Publications Universitaires Béatrice Nauwelarts.</w:t>
      </w:r>
    </w:p>
    <w:p w14:paraId="105DF5D6" w14:textId="77777777" w:rsidR="08FF59F5" w:rsidRPr="003D1E07" w:rsidRDefault="08FF59F5" w:rsidP="08FF59F5">
      <w:pPr>
        <w:pStyle w:val="Literatura"/>
      </w:pPr>
      <w:r w:rsidRPr="003D1E07">
        <w:t xml:space="preserve">‒ (1983): </w:t>
      </w:r>
      <w:r w:rsidRPr="003D1E07">
        <w:rPr>
          <w:i/>
        </w:rPr>
        <w:t>Quaestiones in metaphysicam</w:t>
      </w:r>
      <w:r w:rsidRPr="003D1E07">
        <w:t xml:space="preserve">. Texte inédit de la reportation de Cambridge. Édition revue de la </w:t>
      </w:r>
      <w:r w:rsidRPr="003D1E07">
        <w:tab/>
        <w:t>reportation de Paris. Ed. Mauer, A. Leuven: Peeters Publishers</w:t>
      </w:r>
    </w:p>
    <w:p w14:paraId="7FACD3DA" w14:textId="77777777" w:rsidR="08FF59F5" w:rsidRPr="003D1E07" w:rsidRDefault="08FF59F5" w:rsidP="08FF59F5">
      <w:pPr>
        <w:pStyle w:val="Literatura"/>
      </w:pPr>
      <w:r w:rsidRPr="003D1E07">
        <w:t xml:space="preserve">Simonin, Henri-Dominique (1930): "La connaissance humaine des singuliers matériels d'après les Maîtres </w:t>
      </w:r>
      <w:r w:rsidRPr="003D1E07">
        <w:tab/>
        <w:t xml:space="preserve">Franciscains de la fin du XIIIe siècle". </w:t>
      </w:r>
      <w:r w:rsidRPr="003D1E07">
        <w:rPr>
          <w:i/>
        </w:rPr>
        <w:t xml:space="preserve">Mélanges Mandonnet. Études d'histoire littéraire et doctrinale du </w:t>
      </w:r>
      <w:r w:rsidRPr="003D1E07">
        <w:rPr>
          <w:i/>
        </w:rPr>
        <w:tab/>
        <w:t>Moyen Âge 2</w:t>
      </w:r>
      <w:r w:rsidRPr="003D1E07">
        <w:t>. Kain: Le Saulchoir, pp. 289‒303.</w:t>
      </w:r>
    </w:p>
    <w:p w14:paraId="24484C7B" w14:textId="77777777" w:rsidR="08FF59F5" w:rsidRPr="003D1E07" w:rsidRDefault="08FF59F5" w:rsidP="08FF59F5">
      <w:pPr>
        <w:pStyle w:val="Literatura"/>
      </w:pPr>
      <w:r w:rsidRPr="003D1E07">
        <w:t xml:space="preserve">Simplicius (2003): </w:t>
      </w:r>
      <w:r w:rsidRPr="003D1E07">
        <w:rPr>
          <w:i/>
          <w:szCs w:val="41"/>
        </w:rPr>
        <w:t xml:space="preserve">On Aristotle's "Categories </w:t>
      </w:r>
      <w:r w:rsidRPr="003D1E07">
        <w:rPr>
          <w:i/>
          <w:szCs w:val="37"/>
        </w:rPr>
        <w:t>1‒4"</w:t>
      </w:r>
      <w:r w:rsidRPr="003D1E07">
        <w:rPr>
          <w:szCs w:val="37"/>
        </w:rPr>
        <w:t xml:space="preserve">. </w:t>
      </w:r>
      <w:r w:rsidRPr="003D1E07">
        <w:rPr>
          <w:szCs w:val="26"/>
        </w:rPr>
        <w:t xml:space="preserve">Translated by Michael Chase. </w:t>
      </w:r>
      <w:r w:rsidRPr="003D1E07">
        <w:t xml:space="preserve">Ithaca, New York: Cornell </w:t>
      </w:r>
      <w:r w:rsidRPr="003D1E07">
        <w:tab/>
        <w:t>University Press.</w:t>
      </w:r>
    </w:p>
    <w:p w14:paraId="04AACEF2" w14:textId="77777777" w:rsidR="08FF59F5" w:rsidRPr="003D1E07" w:rsidRDefault="08FF59F5" w:rsidP="08FF59F5">
      <w:pPr>
        <w:pStyle w:val="Literatura"/>
        <w:rPr>
          <w:szCs w:val="15"/>
        </w:rPr>
      </w:pPr>
      <w:r w:rsidRPr="003D1E07">
        <w:t xml:space="preserve">Singer, Peter (2011): </w:t>
      </w:r>
      <w:r w:rsidRPr="003D1E07">
        <w:rPr>
          <w:i/>
        </w:rPr>
        <w:t>P</w:t>
      </w:r>
      <w:r w:rsidRPr="003D1E07">
        <w:rPr>
          <w:rStyle w:val="b2"/>
          <w:i/>
        </w:rPr>
        <w:t>ractical Ethics</w:t>
      </w:r>
      <w:r w:rsidRPr="003D1E07">
        <w:rPr>
          <w:rStyle w:val="b2"/>
        </w:rPr>
        <w:t xml:space="preserve">. </w:t>
      </w:r>
      <w:r w:rsidRPr="003D1E07">
        <w:t>Cambridge University Press: Cambridge.</w:t>
      </w:r>
    </w:p>
    <w:p w14:paraId="27D1DF99" w14:textId="77777777" w:rsidR="08FF59F5" w:rsidRPr="003D1E07" w:rsidRDefault="08FF59F5" w:rsidP="08FF59F5">
      <w:pPr>
        <w:pStyle w:val="Literatura"/>
        <w:rPr>
          <w:szCs w:val="15"/>
        </w:rPr>
      </w:pPr>
      <w:r w:rsidRPr="003D1E07">
        <w:t xml:space="preserve">Sloterdijk, Peter (1983): </w:t>
      </w:r>
      <w:r w:rsidRPr="003D1E07">
        <w:rPr>
          <w:i/>
          <w:iCs/>
        </w:rPr>
        <w:t>Kritik der zynischen Vernunft</w:t>
      </w:r>
      <w:r w:rsidRPr="003D1E07">
        <w:t>. 2 Bände. Suhrkamp, Frankfurt am Main.</w:t>
      </w:r>
    </w:p>
    <w:p w14:paraId="397BC793" w14:textId="77777777" w:rsidR="08FF59F5" w:rsidRPr="003D1E07" w:rsidRDefault="08FF59F5" w:rsidP="08FF59F5">
      <w:pPr>
        <w:pStyle w:val="Literatura"/>
        <w:rPr>
          <w:szCs w:val="15"/>
        </w:rPr>
      </w:pPr>
      <w:r w:rsidRPr="003D1E07">
        <w:rPr>
          <w:szCs w:val="15"/>
        </w:rPr>
        <w:lastRenderedPageBreak/>
        <w:t>Sorabji, Richard (1987): "</w:t>
      </w:r>
      <w:r w:rsidRPr="003D1E07">
        <w:t>Simplicius: Prime matter as extension</w:t>
      </w:r>
      <w:r w:rsidRPr="003D1E07">
        <w:rPr>
          <w:szCs w:val="15"/>
        </w:rPr>
        <w:t>"</w:t>
      </w:r>
      <w:r w:rsidRPr="003D1E07">
        <w:t xml:space="preserve">, </w:t>
      </w:r>
      <w:r w:rsidRPr="003D1E07">
        <w:rPr>
          <w:i/>
        </w:rPr>
        <w:t xml:space="preserve">Simplicius. Sa vie, son oeuvre, sa survie. Actes </w:t>
      </w:r>
      <w:r w:rsidRPr="003D1E07">
        <w:rPr>
          <w:i/>
        </w:rPr>
        <w:tab/>
        <w:t xml:space="preserve">du colloque international de Paris (28. Sept. </w:t>
      </w:r>
      <w:r w:rsidRPr="003D1E07">
        <w:t xml:space="preserve">– </w:t>
      </w:r>
      <w:r w:rsidRPr="003D1E07">
        <w:rPr>
          <w:i/>
        </w:rPr>
        <w:t xml:space="preserve">1er Oct. 1985), </w:t>
      </w:r>
      <w:r w:rsidRPr="003D1E07">
        <w:t xml:space="preserve">edited by Ilsetraut Hadot, Berlin &amp; New York: </w:t>
      </w:r>
      <w:r w:rsidRPr="003D1E07">
        <w:tab/>
        <w:t>Walter de Gruyter, pp. 148–165.</w:t>
      </w:r>
    </w:p>
    <w:p w14:paraId="5CA427D2" w14:textId="77777777" w:rsidR="08FF59F5" w:rsidRPr="003D1E07" w:rsidRDefault="08FF59F5" w:rsidP="08FF59F5">
      <w:pPr>
        <w:pStyle w:val="Literatura"/>
      </w:pPr>
      <w:r w:rsidRPr="003D1E07">
        <w:t xml:space="preserve">Spade, Paul Vincent (1999): </w:t>
      </w:r>
      <w:r w:rsidRPr="003D1E07">
        <w:rPr>
          <w:i/>
        </w:rPr>
        <w:t>The Cambridge Companion to Ockham</w:t>
      </w:r>
      <w:r w:rsidRPr="003D1E07">
        <w:t xml:space="preserve">. Edited by Paul Vincent Spade, Cambridge </w:t>
      </w:r>
      <w:r w:rsidRPr="003D1E07">
        <w:tab/>
        <w:t>University Press.</w:t>
      </w:r>
    </w:p>
    <w:p w14:paraId="20987FD4" w14:textId="77777777" w:rsidR="08FF59F5" w:rsidRPr="003D1E07" w:rsidRDefault="08FF59F5" w:rsidP="08FF59F5">
      <w:pPr>
        <w:pStyle w:val="Literatura"/>
      </w:pPr>
      <w:r w:rsidRPr="003D1E07">
        <w:t xml:space="preserve">Spettmann, Hieronymus (1919): </w:t>
      </w:r>
      <w:r w:rsidRPr="003D1E07">
        <w:rPr>
          <w:i/>
        </w:rPr>
        <w:t>Die Psychologie des Johannes Pecham</w:t>
      </w:r>
      <w:r w:rsidRPr="003D1E07">
        <w:t xml:space="preserve">. Münster: Verlag der Aschendorffschen </w:t>
      </w:r>
      <w:r w:rsidRPr="003D1E07">
        <w:tab/>
        <w:t>Verlagsbuchhandlung.</w:t>
      </w:r>
    </w:p>
    <w:p w14:paraId="156CA802" w14:textId="77777777" w:rsidR="08FF59F5" w:rsidRPr="003D1E07" w:rsidRDefault="08FF59F5" w:rsidP="08FF59F5">
      <w:pPr>
        <w:pStyle w:val="Literatura"/>
      </w:pPr>
      <w:r w:rsidRPr="003D1E07">
        <w:rPr>
          <w:rStyle w:val="st"/>
        </w:rPr>
        <w:t xml:space="preserve">Spinoza, Benedict (1925): </w:t>
      </w:r>
      <w:r w:rsidRPr="003D1E07">
        <w:rPr>
          <w:i/>
        </w:rPr>
        <w:t>Opera. I</w:t>
      </w:r>
      <w:r w:rsidRPr="003D1E07">
        <w:rPr>
          <w:i/>
          <w:iCs/>
        </w:rPr>
        <w:t xml:space="preserve">m Auftrag der Heidelberger Akademie der Wissenschaften </w:t>
      </w:r>
      <w:r w:rsidRPr="003D1E07">
        <w:rPr>
          <w:i/>
          <w:iCs/>
        </w:rPr>
        <w:tab/>
        <w:t>herausgegeben.</w:t>
      </w:r>
      <w:r w:rsidRPr="003D1E07">
        <w:t xml:space="preserve"> </w:t>
      </w:r>
      <w:r w:rsidRPr="003D1E07">
        <w:tab/>
        <w:t>Edited by Carl Gebhardt. Heidelberg: C. Winter.</w:t>
      </w:r>
    </w:p>
    <w:p w14:paraId="04760CDA" w14:textId="77777777" w:rsidR="08FF59F5" w:rsidRPr="003D1E07" w:rsidRDefault="08FF59F5" w:rsidP="08FF59F5">
      <w:pPr>
        <w:pStyle w:val="Literatura"/>
      </w:pPr>
      <w:r w:rsidRPr="003D1E07">
        <w:t xml:space="preserve">Spruit, Leen (1994): </w:t>
      </w:r>
      <w:r w:rsidR="00F214C5" w:rsidRPr="003D1E07">
        <w:rPr>
          <w:rStyle w:val="fn"/>
        </w:rPr>
        <w:t>Species</w:t>
      </w:r>
      <w:r w:rsidRPr="003D1E07">
        <w:rPr>
          <w:rStyle w:val="fn"/>
          <w:i/>
        </w:rPr>
        <w:t xml:space="preserve"> intelligibilis. 1. Classical roots and medieval discussions</w:t>
      </w:r>
      <w:r w:rsidRPr="003D1E07">
        <w:rPr>
          <w:rStyle w:val="fn"/>
        </w:rPr>
        <w:t xml:space="preserve">. Leiden: </w:t>
      </w:r>
      <w:r w:rsidRPr="003D1E07">
        <w:t>Brill.</w:t>
      </w:r>
    </w:p>
    <w:p w14:paraId="3FD7BC8B" w14:textId="77777777" w:rsidR="08FF59F5" w:rsidRPr="003D1E07" w:rsidRDefault="08FF59F5" w:rsidP="08FF59F5">
      <w:pPr>
        <w:pStyle w:val="Literatura"/>
        <w:rPr>
          <w:rStyle w:val="st"/>
        </w:rPr>
      </w:pPr>
      <w:r w:rsidRPr="003D1E07">
        <w:t xml:space="preserve">Suarez-Nani, </w:t>
      </w:r>
      <w:r w:rsidRPr="003D1E07">
        <w:rPr>
          <w:rStyle w:val="st"/>
        </w:rPr>
        <w:t>Tiziana (2003): "</w:t>
      </w:r>
      <w:r w:rsidRPr="003D1E07">
        <w:rPr>
          <w:szCs w:val="28"/>
        </w:rPr>
        <w:t xml:space="preserve">Pierre de Jean Olivi et la subjectivité angélique". </w:t>
      </w:r>
      <w:r w:rsidRPr="003D1E07">
        <w:rPr>
          <w:rStyle w:val="st"/>
          <w:i/>
        </w:rPr>
        <w:t xml:space="preserve">Archives d'histoire doctrinale et </w:t>
      </w:r>
      <w:r w:rsidRPr="003D1E07">
        <w:rPr>
          <w:rStyle w:val="st"/>
          <w:i/>
        </w:rPr>
        <w:tab/>
        <w:t>littéraire du Moyen Âge</w:t>
      </w:r>
      <w:r w:rsidRPr="003D1E07">
        <w:rPr>
          <w:rStyle w:val="st"/>
        </w:rPr>
        <w:t xml:space="preserve"> 70/1): 233‒316.</w:t>
      </w:r>
    </w:p>
    <w:p w14:paraId="526906EC" w14:textId="77777777" w:rsidR="08FF59F5" w:rsidRPr="003D1E07" w:rsidRDefault="08FF59F5" w:rsidP="08FF59F5">
      <w:pPr>
        <w:pStyle w:val="Literatura"/>
      </w:pPr>
      <w:r w:rsidRPr="003D1E07">
        <w:rPr>
          <w:bCs/>
        </w:rPr>
        <w:t>Steenberghen,</w:t>
      </w:r>
      <w:r w:rsidRPr="003D1E07">
        <w:rPr>
          <w:i/>
        </w:rPr>
        <w:t xml:space="preserve"> </w:t>
      </w:r>
      <w:r w:rsidRPr="003D1E07">
        <w:t xml:space="preserve">Fernand van (1977): </w:t>
      </w:r>
      <w:r w:rsidRPr="003D1E07">
        <w:rPr>
          <w:i/>
        </w:rPr>
        <w:t xml:space="preserve">Maître </w:t>
      </w:r>
      <w:r w:rsidRPr="003D1E07">
        <w:rPr>
          <w:i/>
          <w:szCs w:val="29"/>
        </w:rPr>
        <w:t xml:space="preserve">Siger </w:t>
      </w:r>
      <w:r w:rsidRPr="003D1E07">
        <w:rPr>
          <w:i/>
        </w:rPr>
        <w:t xml:space="preserve">de </w:t>
      </w:r>
      <w:r w:rsidRPr="003D1E07">
        <w:rPr>
          <w:i/>
          <w:szCs w:val="26"/>
        </w:rPr>
        <w:t>Brabant</w:t>
      </w:r>
      <w:r w:rsidRPr="003D1E07">
        <w:rPr>
          <w:szCs w:val="26"/>
        </w:rPr>
        <w:t xml:space="preserve">. </w:t>
      </w:r>
      <w:r w:rsidRPr="003D1E07">
        <w:t>Louvain: Publications universitaires</w:t>
      </w:r>
      <w:r w:rsidRPr="003D1E07">
        <w:rPr>
          <w:szCs w:val="23"/>
        </w:rPr>
        <w:t>.</w:t>
      </w:r>
    </w:p>
    <w:p w14:paraId="223B7130" w14:textId="77777777" w:rsidR="08FF59F5" w:rsidRPr="003D1E07" w:rsidRDefault="08FF59F5" w:rsidP="08FF59F5">
      <w:pPr>
        <w:pStyle w:val="Literatura"/>
      </w:pPr>
      <w:r w:rsidRPr="003D1E07">
        <w:rPr>
          <w:rStyle w:val="Zvraznn"/>
          <w:i w:val="0"/>
          <w:iCs w:val="0"/>
        </w:rPr>
        <w:t xml:space="preserve">Vernani, Guido (1906): </w:t>
      </w:r>
      <w:r w:rsidRPr="003D1E07">
        <w:rPr>
          <w:rStyle w:val="Zvraznn"/>
          <w:iCs w:val="0"/>
        </w:rPr>
        <w:t>Contro Dante</w:t>
      </w:r>
      <w:r w:rsidRPr="003D1E07">
        <w:rPr>
          <w:rStyle w:val="st"/>
        </w:rPr>
        <w:t xml:space="preserve">. </w:t>
      </w:r>
      <w:r w:rsidRPr="003D1E07">
        <w:rPr>
          <w:rStyle w:val="st"/>
          <w:i/>
        </w:rPr>
        <w:t xml:space="preserve">Fr. Guidonis Vernani Tractatus </w:t>
      </w:r>
      <w:r w:rsidRPr="003D1E07">
        <w:rPr>
          <w:rStyle w:val="Zvraznn"/>
          <w:i w:val="0"/>
          <w:iCs w:val="0"/>
        </w:rPr>
        <w:t xml:space="preserve">De Reprobatione "Monarchiae" </w:t>
      </w:r>
      <w:r w:rsidRPr="003D1E07">
        <w:rPr>
          <w:rStyle w:val="Zvraznn"/>
          <w:i w:val="0"/>
          <w:iCs w:val="0"/>
        </w:rPr>
        <w:tab/>
      </w:r>
      <w:r w:rsidRPr="003D1E07">
        <w:rPr>
          <w:rStyle w:val="st"/>
          <w:i/>
        </w:rPr>
        <w:t>compositae a Dante Aligherio Florentino</w:t>
      </w:r>
      <w:r w:rsidRPr="003D1E07">
        <w:t xml:space="preserve">. Edited by Piccini G. Jarro, Florence: R. Bemporad &amp; Figlio </w:t>
      </w:r>
      <w:r w:rsidRPr="003D1E07">
        <w:tab/>
        <w:t>Lirrai‒Editori.</w:t>
      </w:r>
    </w:p>
    <w:p w14:paraId="5D721607" w14:textId="77777777" w:rsidR="08FF59F5" w:rsidRPr="003D1E07" w:rsidRDefault="08FF59F5" w:rsidP="08FF59F5">
      <w:pPr>
        <w:pStyle w:val="Literatura"/>
      </w:pPr>
      <w:r w:rsidRPr="003D1E07">
        <w:t>Vincent de Beauvais (1995):</w:t>
      </w:r>
      <w:r w:rsidRPr="003D1E07">
        <w:rPr>
          <w:i/>
        </w:rPr>
        <w:t xml:space="preserve"> Vincentii Belvacensis De morali principiis institutione</w:t>
      </w:r>
      <w:r w:rsidRPr="003D1E07">
        <w:t xml:space="preserve">. Edited by R. J. Schneider, </w:t>
      </w:r>
      <w:r w:rsidRPr="003D1E07">
        <w:tab/>
        <w:t>Turnholti: Brepols.</w:t>
      </w:r>
    </w:p>
    <w:p w14:paraId="7CC3F157" w14:textId="77777777" w:rsidR="08FF59F5" w:rsidRPr="003D1E07" w:rsidRDefault="08FF59F5" w:rsidP="08FF59F5">
      <w:pPr>
        <w:pStyle w:val="Literatura"/>
      </w:pPr>
      <w:r w:rsidRPr="003D1E07">
        <w:t>Wilhelm von Sherwood (2008):</w:t>
      </w:r>
      <w:r w:rsidRPr="003D1E07">
        <w:rPr>
          <w:i/>
        </w:rPr>
        <w:t xml:space="preserve"> Die Syncategoremata des Wilhelm von Sherwood: Kommentierung und </w:t>
      </w:r>
      <w:r w:rsidRPr="003D1E07">
        <w:tab/>
      </w:r>
      <w:r w:rsidRPr="003D1E07">
        <w:rPr>
          <w:i/>
        </w:rPr>
        <w:t>Historische Einordnung</w:t>
      </w:r>
      <w:r w:rsidRPr="003D1E07">
        <w:t>. Edited by Raina Kirchhoff. Leiden: Brill.</w:t>
      </w:r>
    </w:p>
    <w:p w14:paraId="040E9EE7" w14:textId="77777777" w:rsidR="08FF59F5" w:rsidRPr="003D1E07" w:rsidRDefault="08FF59F5" w:rsidP="08FF59F5">
      <w:pPr>
        <w:pStyle w:val="Literatura"/>
      </w:pPr>
      <w:r w:rsidRPr="003D1E07">
        <w:rPr>
          <w:rStyle w:val="addmd"/>
        </w:rPr>
        <w:t xml:space="preserve">Taormina, Daniela Patrizia (1999): </w:t>
      </w:r>
      <w:r w:rsidRPr="003D1E07">
        <w:rPr>
          <w:i/>
        </w:rPr>
        <w:t>Jamblique, critique de Plotin et de Porphyre: quatre études</w:t>
      </w:r>
      <w:r w:rsidRPr="003D1E07">
        <w:t>. Paris: J. Vrin.</w:t>
      </w:r>
    </w:p>
    <w:p w14:paraId="3FF2C6FB" w14:textId="77777777" w:rsidR="08FF59F5" w:rsidRPr="003D1E07" w:rsidRDefault="08FF59F5" w:rsidP="08FF59F5">
      <w:pPr>
        <w:pStyle w:val="Literatura"/>
      </w:pPr>
      <w:r w:rsidRPr="003D1E07">
        <w:t xml:space="preserve">Taylor, C. Richard (2005): "The Agent Intellect as "form for us" and Averroes's Critique of al-Fârâbî". </w:t>
      </w:r>
      <w:r w:rsidRPr="003D1E07">
        <w:rPr>
          <w:i/>
        </w:rPr>
        <w:t>Tópicos</w:t>
      </w:r>
      <w:r w:rsidRPr="003D1E07">
        <w:t xml:space="preserve"> 29: </w:t>
      </w:r>
      <w:r w:rsidRPr="003D1E07">
        <w:tab/>
        <w:t>29–51.</w:t>
      </w:r>
    </w:p>
    <w:p w14:paraId="5FC85476" w14:textId="77777777" w:rsidR="08FF59F5" w:rsidRPr="003D1E07" w:rsidRDefault="08FF59F5" w:rsidP="08FF59F5">
      <w:pPr>
        <w:pStyle w:val="Literatura"/>
        <w:rPr>
          <w:color w:val="000000"/>
        </w:rPr>
      </w:pPr>
      <w:r w:rsidRPr="003D1E07">
        <w:t xml:space="preserve">‒ (2009): "Intellect as intrinsic formal cause in the soul according to Aquinas and Averroes". </w:t>
      </w:r>
      <w:r w:rsidRPr="003D1E07">
        <w:rPr>
          <w:rStyle w:val="Zvraznn"/>
        </w:rPr>
        <w:t xml:space="preserve">The Afterlife of the </w:t>
      </w:r>
      <w:r w:rsidRPr="003D1E07">
        <w:rPr>
          <w:rStyle w:val="Zvraznn"/>
        </w:rPr>
        <w:tab/>
        <w:t>Platonic Soul: Reflections of Platonic Psychology in the Monotheistic Religions</w:t>
      </w:r>
      <w:r w:rsidRPr="003D1E07">
        <w:rPr>
          <w:rStyle w:val="Zvraznn"/>
          <w:i w:val="0"/>
        </w:rPr>
        <w:t xml:space="preserve">, edited by </w:t>
      </w:r>
      <w:r w:rsidRPr="003D1E07">
        <w:t>Maha Elkaisy-</w:t>
      </w:r>
      <w:r w:rsidRPr="003D1E07">
        <w:tab/>
        <w:t>Friemuth, and John M. Dillon, Leiden: Brill, pp. 187–220.</w:t>
      </w:r>
    </w:p>
    <w:p w14:paraId="235D256F" w14:textId="77777777" w:rsidR="08FF59F5" w:rsidRPr="003D1E07" w:rsidRDefault="08FF59F5" w:rsidP="08FF59F5">
      <w:pPr>
        <w:pStyle w:val="Literatura"/>
        <w:rPr>
          <w:szCs w:val="22"/>
        </w:rPr>
      </w:pPr>
      <w:r w:rsidRPr="003D1E07">
        <w:t xml:space="preserve">Tertullianus (1971): Q. S. FL. Tertulliani Adversus Valentinianos. Text, Translation, and Commentary by Mark T. </w:t>
      </w:r>
      <w:r w:rsidRPr="003D1E07">
        <w:rPr>
          <w:szCs w:val="22"/>
        </w:rPr>
        <w:tab/>
      </w:r>
      <w:r w:rsidRPr="003D1E07">
        <w:t>Riley. Stanford University.</w:t>
      </w:r>
    </w:p>
    <w:p w14:paraId="4771E2C0" w14:textId="77777777" w:rsidR="08FF59F5" w:rsidRPr="003D1E07" w:rsidRDefault="08FF59F5" w:rsidP="08FF59F5">
      <w:pPr>
        <w:pStyle w:val="Literatura"/>
      </w:pPr>
      <w:r w:rsidRPr="003D1E07">
        <w:rPr>
          <w:szCs w:val="22"/>
        </w:rPr>
        <w:t xml:space="preserve">Teske, Roland J. (2006):  </w:t>
      </w:r>
      <w:r w:rsidRPr="003D1E07">
        <w:rPr>
          <w:i/>
          <w:szCs w:val="22"/>
        </w:rPr>
        <w:t>Studies in the philosophy of William of Auvergne, Bishop of Paris (1228</w:t>
      </w:r>
      <w:r w:rsidRPr="003D1E07">
        <w:rPr>
          <w:i/>
        </w:rPr>
        <w:t>–</w:t>
      </w:r>
      <w:r w:rsidRPr="003D1E07">
        <w:rPr>
          <w:i/>
          <w:szCs w:val="22"/>
        </w:rPr>
        <w:t>1249)</w:t>
      </w:r>
      <w:r w:rsidRPr="003D1E07">
        <w:rPr>
          <w:szCs w:val="22"/>
        </w:rPr>
        <w:t xml:space="preserve">. </w:t>
      </w:r>
      <w:r w:rsidRPr="003D1E07">
        <w:rPr>
          <w:szCs w:val="22"/>
        </w:rPr>
        <w:tab/>
        <w:t xml:space="preserve">Marquette studies in philosophy 51. </w:t>
      </w:r>
      <w:r w:rsidRPr="003D1E07">
        <w:t>Milwaukee: Marquette University Press.</w:t>
      </w:r>
    </w:p>
    <w:p w14:paraId="7714A7E7" w14:textId="77777777" w:rsidR="00F71866" w:rsidRPr="003D1E07" w:rsidRDefault="00F71866" w:rsidP="08FF59F5">
      <w:pPr>
        <w:pStyle w:val="Literatura"/>
        <w:rPr>
          <w:rFonts w:eastAsia="Century Schoolbook"/>
        </w:rPr>
      </w:pPr>
      <w:bookmarkStart w:id="85" w:name="Status"/>
      <w:r w:rsidRPr="003D1E07">
        <w:rPr>
          <w:rFonts w:eastAsia="Century Schoolbook"/>
          <w:i/>
        </w:rPr>
        <w:t>Theologia Aristotelis</w:t>
      </w:r>
      <w:r w:rsidRPr="003D1E07">
        <w:rPr>
          <w:rFonts w:eastAsia="Century Schoolbook"/>
        </w:rPr>
        <w:t xml:space="preserve"> (1882): </w:t>
      </w:r>
      <w:r w:rsidRPr="003D1E07">
        <w:rPr>
          <w:i/>
        </w:rPr>
        <w:t xml:space="preserve">Die sogenannte Theologie des Aristoteles, aus arabischen Handschriften zum </w:t>
      </w:r>
      <w:r w:rsidRPr="003D1E07">
        <w:rPr>
          <w:i/>
          <w:szCs w:val="22"/>
        </w:rPr>
        <w:tab/>
      </w:r>
      <w:r w:rsidRPr="003D1E07">
        <w:rPr>
          <w:i/>
        </w:rPr>
        <w:t>ersten Mal hrsg. von Friedrich Dieterici</w:t>
      </w:r>
      <w:r w:rsidRPr="003D1E07">
        <w:t xml:space="preserve">. Leipzig. </w:t>
      </w:r>
    </w:p>
    <w:p w14:paraId="6E7A460C" w14:textId="77777777" w:rsidR="08FF59F5" w:rsidRPr="003D1E07" w:rsidRDefault="08FF59F5" w:rsidP="08FF59F5">
      <w:pPr>
        <w:pStyle w:val="Literatura"/>
        <w:rPr>
          <w:i/>
        </w:rPr>
      </w:pPr>
      <w:r w:rsidRPr="003D1E07">
        <w:rPr>
          <w:rStyle w:val="cuatro"/>
        </w:rPr>
        <w:t>Thomas de Aquino</w:t>
      </w:r>
      <w:r w:rsidRPr="003D1E07">
        <w:rPr>
          <w:rStyle w:val="cuatro"/>
          <w:i/>
        </w:rPr>
        <w:t xml:space="preserve">. Sancti Thomae de Aquino Opera omnia iussu Leonis XIII P. M. edita. </w:t>
      </w:r>
      <w:r w:rsidRPr="003D1E07">
        <w:t>Editio Leonina.</w:t>
      </w:r>
    </w:p>
    <w:bookmarkEnd w:id="85"/>
    <w:p w14:paraId="63DE2162" w14:textId="77777777" w:rsidR="08FF59F5" w:rsidRPr="003D1E07" w:rsidRDefault="08FF59F5" w:rsidP="08FF59F5">
      <w:pPr>
        <w:pStyle w:val="Literatura"/>
      </w:pPr>
      <w:r w:rsidRPr="003D1E07">
        <w:t xml:space="preserve">‒ (1882): </w:t>
      </w:r>
      <w:r w:rsidRPr="003D1E07">
        <w:rPr>
          <w:i/>
        </w:rPr>
        <w:t>Expositio Posteriorum Analyticorum.</w:t>
      </w:r>
      <w:r w:rsidRPr="003D1E07">
        <w:t xml:space="preserve"> Cum synopsibus et annotationibus Fr. Thomae Mariae Zigliara. </w:t>
      </w:r>
      <w:r w:rsidRPr="003D1E07">
        <w:tab/>
        <w:t>Leonina, tomus 1.</w:t>
      </w:r>
    </w:p>
    <w:p w14:paraId="5BB3A383" w14:textId="77777777" w:rsidR="08FF59F5" w:rsidRPr="003D1E07" w:rsidRDefault="08FF59F5" w:rsidP="08FF59F5">
      <w:pPr>
        <w:pStyle w:val="Literatura"/>
      </w:pPr>
      <w:r w:rsidRPr="003D1E07">
        <w:t xml:space="preserve">‒ (1888): </w:t>
      </w:r>
      <w:r w:rsidRPr="003D1E07">
        <w:rPr>
          <w:i/>
        </w:rPr>
        <w:t>Summa theologiae, Iª, q. 1‒49 cum commentariis Caietani</w:t>
      </w:r>
      <w:r w:rsidRPr="003D1E07">
        <w:t>.  Leonina, tomus 4.</w:t>
      </w:r>
    </w:p>
    <w:p w14:paraId="1594BC8C" w14:textId="77777777" w:rsidR="08FF59F5" w:rsidRPr="003D1E07" w:rsidRDefault="08FF59F5" w:rsidP="08FF59F5">
      <w:pPr>
        <w:pStyle w:val="Literatura"/>
      </w:pPr>
      <w:r w:rsidRPr="003D1E07">
        <w:t xml:space="preserve">‒ (1889): </w:t>
      </w:r>
      <w:r w:rsidRPr="003D1E07">
        <w:rPr>
          <w:i/>
        </w:rPr>
        <w:t>Summa theologiae, Iª, q. 50‒119 cum commentariis Caietani</w:t>
      </w:r>
      <w:r w:rsidRPr="003D1E07">
        <w:t>.  Leonina, tomus 5.</w:t>
      </w:r>
    </w:p>
    <w:p w14:paraId="0612062D" w14:textId="77777777" w:rsidR="08FF59F5" w:rsidRPr="003D1E07" w:rsidRDefault="08FF59F5" w:rsidP="08FF59F5">
      <w:pPr>
        <w:pStyle w:val="Literatura"/>
      </w:pPr>
      <w:r w:rsidRPr="003D1E07">
        <w:t xml:space="preserve">‒ (1895): </w:t>
      </w:r>
      <w:r w:rsidRPr="003D1E07">
        <w:rPr>
          <w:i/>
        </w:rPr>
        <w:t>Summa theologiae, IIª-IIae</w:t>
      </w:r>
      <w:r w:rsidRPr="003D1E07">
        <w:t>, q. 1‒57 cum commentariis Caietani. Leonina, tomus 8.</w:t>
      </w:r>
    </w:p>
    <w:p w14:paraId="7C83B27A" w14:textId="77777777" w:rsidR="08FF59F5" w:rsidRPr="003D1E07" w:rsidRDefault="08FF59F5" w:rsidP="08FF59F5">
      <w:pPr>
        <w:pStyle w:val="Literatura"/>
      </w:pPr>
      <w:r w:rsidRPr="003D1E07">
        <w:t xml:space="preserve">‒ (1897): </w:t>
      </w:r>
      <w:r w:rsidRPr="003D1E07">
        <w:rPr>
          <w:i/>
        </w:rPr>
        <w:t>Summa theologiae, IIª-IIae</w:t>
      </w:r>
      <w:r w:rsidRPr="003D1E07">
        <w:t>, q. 57‒122 cum commentariis Caietani. Leonina, tomus 9.</w:t>
      </w:r>
    </w:p>
    <w:p w14:paraId="6362F31F" w14:textId="77777777" w:rsidR="08FF59F5" w:rsidRPr="003D1E07" w:rsidRDefault="08FF59F5" w:rsidP="08FF59F5">
      <w:pPr>
        <w:pStyle w:val="Literatura"/>
      </w:pPr>
      <w:r w:rsidRPr="003D1E07">
        <w:t xml:space="preserve">‒ (1918): </w:t>
      </w:r>
      <w:r w:rsidRPr="003D1E07">
        <w:rPr>
          <w:i/>
        </w:rPr>
        <w:t>Summa contra Gentiles</w:t>
      </w:r>
      <w:r w:rsidRPr="003D1E07">
        <w:t>, lib. 1‒2 cum commentariis Ferrariensis. Leonina, tomus 13.</w:t>
      </w:r>
    </w:p>
    <w:p w14:paraId="6615CF64" w14:textId="77777777" w:rsidR="08FF59F5" w:rsidRPr="003D1E07" w:rsidRDefault="08FF59F5" w:rsidP="08FF59F5">
      <w:pPr>
        <w:pStyle w:val="Literatura"/>
      </w:pPr>
      <w:r w:rsidRPr="003D1E07">
        <w:rPr>
          <w:i/>
        </w:rPr>
        <w:t>‒</w:t>
      </w:r>
      <w:r w:rsidRPr="003D1E07">
        <w:t xml:space="preserve"> (1966): </w:t>
      </w:r>
      <w:r w:rsidRPr="003D1E07">
        <w:rPr>
          <w:i/>
        </w:rPr>
        <w:t xml:space="preserve">In Libros Politicorum Aristotelis Expositio. </w:t>
      </w:r>
      <w:r w:rsidRPr="003D1E07">
        <w:t>Taurini‒Romae</w:t>
      </w:r>
      <w:r w:rsidRPr="003D1E07">
        <w:rPr>
          <w:rStyle w:val="ref"/>
        </w:rPr>
        <w:t xml:space="preserve">: </w:t>
      </w:r>
      <w:r w:rsidRPr="003D1E07">
        <w:t>Marietti.</w:t>
      </w:r>
    </w:p>
    <w:p w14:paraId="6DC21514" w14:textId="77777777" w:rsidR="08FF59F5" w:rsidRPr="003D1E07" w:rsidRDefault="08FF59F5" w:rsidP="08FF59F5">
      <w:pPr>
        <w:pStyle w:val="Literatura"/>
      </w:pPr>
      <w:r w:rsidRPr="003D1E07">
        <w:rPr>
          <w:i/>
        </w:rPr>
        <w:t>‒</w:t>
      </w:r>
      <w:r w:rsidRPr="003D1E07">
        <w:t xml:space="preserve"> (1953): </w:t>
      </w:r>
      <w:r w:rsidRPr="003D1E07">
        <w:rPr>
          <w:i/>
        </w:rPr>
        <w:t>Quaestiones disputatae De potentia</w:t>
      </w:r>
      <w:r w:rsidRPr="003D1E07">
        <w:t>. Edited by B. Bazzi. Taurini‒Romae</w:t>
      </w:r>
      <w:r w:rsidRPr="003D1E07">
        <w:rPr>
          <w:rStyle w:val="ref"/>
        </w:rPr>
        <w:t xml:space="preserve">: </w:t>
      </w:r>
      <w:r w:rsidRPr="003D1E07">
        <w:t>Marietti.</w:t>
      </w:r>
    </w:p>
    <w:p w14:paraId="49AF93BB" w14:textId="77777777" w:rsidR="08FF59F5" w:rsidRPr="003D1E07" w:rsidRDefault="08FF59F5" w:rsidP="08FF59F5">
      <w:pPr>
        <w:pStyle w:val="Literatura"/>
      </w:pPr>
      <w:r w:rsidRPr="003D1E07">
        <w:t xml:space="preserve">‒ (1970): </w:t>
      </w:r>
      <w:r w:rsidRPr="003D1E07">
        <w:rPr>
          <w:i/>
        </w:rPr>
        <w:t>Quaestiones disputatae De veritate</w:t>
      </w:r>
      <w:r w:rsidRPr="003D1E07">
        <w:t>. Edited by P. Antoine Dondaine. Leonina, tomus 22, vol. 2, fasc. 1.</w:t>
      </w:r>
    </w:p>
    <w:p w14:paraId="6FC34353" w14:textId="77777777" w:rsidR="08FF59F5" w:rsidRPr="003D1E07" w:rsidRDefault="08FF59F5" w:rsidP="08FF59F5">
      <w:pPr>
        <w:pStyle w:val="Literatura"/>
      </w:pPr>
      <w:r w:rsidRPr="003D1E07">
        <w:t xml:space="preserve">‒ (1982): </w:t>
      </w:r>
      <w:r w:rsidRPr="003D1E07">
        <w:rPr>
          <w:i/>
        </w:rPr>
        <w:t>Quaestiones disputatae De malo</w:t>
      </w:r>
      <w:r w:rsidRPr="003D1E07">
        <w:t>. Leonina, tomus 23.</w:t>
      </w:r>
    </w:p>
    <w:p w14:paraId="30FAB18D" w14:textId="77777777" w:rsidR="08FF59F5" w:rsidRPr="003D1E07" w:rsidRDefault="08FF59F5" w:rsidP="08FF59F5">
      <w:pPr>
        <w:pStyle w:val="Literatura"/>
      </w:pPr>
      <w:r w:rsidRPr="003D1E07">
        <w:t xml:space="preserve">‒ (1996: </w:t>
      </w:r>
      <w:r w:rsidRPr="003D1E07">
        <w:rPr>
          <w:i/>
        </w:rPr>
        <w:t>Quaestiones disputatae De anima</w:t>
      </w:r>
      <w:r w:rsidRPr="003D1E07">
        <w:t>. Edited by B.-C. Bazán. Roma - Paris. Leonina, tomus 24/1.</w:t>
      </w:r>
    </w:p>
    <w:p w14:paraId="1C7A455E" w14:textId="77777777" w:rsidR="08FF59F5" w:rsidRPr="003D1E07" w:rsidRDefault="08FF59F5" w:rsidP="08FF59F5">
      <w:pPr>
        <w:pStyle w:val="Literatura"/>
      </w:pPr>
      <w:r w:rsidRPr="003D1E07">
        <w:t xml:space="preserve">‒ (1976): </w:t>
      </w:r>
      <w:r w:rsidRPr="003D1E07">
        <w:rPr>
          <w:i/>
        </w:rPr>
        <w:t>De unitate intellectu</w:t>
      </w:r>
      <w:r w:rsidRPr="003D1E07">
        <w:t>. Editori di San Tommaso. Leonina, tomus 43.</w:t>
      </w:r>
    </w:p>
    <w:p w14:paraId="19C3E425" w14:textId="77777777" w:rsidR="08FF59F5" w:rsidRPr="003D1E07" w:rsidRDefault="08FF59F5" w:rsidP="08FF59F5">
      <w:pPr>
        <w:pStyle w:val="Literatura"/>
      </w:pPr>
      <w:r w:rsidRPr="003D1E07">
        <w:t xml:space="preserve">‒ (1984): </w:t>
      </w:r>
      <w:r w:rsidRPr="003D1E07">
        <w:rPr>
          <w:i/>
        </w:rPr>
        <w:t>Sentencia libri De anima</w:t>
      </w:r>
      <w:r w:rsidRPr="003D1E07">
        <w:t>. Edited by R.-A. Gauthier. Roma - Paris. Leonina, tomus 45/1.</w:t>
      </w:r>
    </w:p>
    <w:p w14:paraId="0B140D60" w14:textId="77777777" w:rsidR="08FF59F5" w:rsidRPr="003D1E07" w:rsidRDefault="08FF59F5" w:rsidP="08FF59F5">
      <w:pPr>
        <w:pStyle w:val="Literatura"/>
        <w:ind w:left="397" w:hanging="397"/>
      </w:pPr>
      <w:r w:rsidRPr="003D1E07">
        <w:t xml:space="preserve">‒ (1992): </w:t>
      </w:r>
      <w:r w:rsidRPr="003D1E07">
        <w:rPr>
          <w:i/>
        </w:rPr>
        <w:t>Super Boetium De Trinitate. Expositio libri Boetii De ebdomadibus</w:t>
      </w:r>
      <w:r w:rsidRPr="003D1E07">
        <w:t>. Éditions du Cerf, Roma – Paris. Leonina, tome 50.</w:t>
      </w:r>
    </w:p>
    <w:p w14:paraId="1B51DC9E" w14:textId="77777777" w:rsidR="08FF59F5" w:rsidRPr="003D1E07" w:rsidRDefault="08FF59F5" w:rsidP="08FF59F5">
      <w:pPr>
        <w:pStyle w:val="Literatura"/>
      </w:pPr>
      <w:r w:rsidRPr="003D1E07">
        <w:lastRenderedPageBreak/>
        <w:t xml:space="preserve">Treiger, Alexander (2012): "Avicenna's Notion of Transcendental Modulation of Existence (taškīk al-wuğūd, </w:t>
      </w:r>
      <w:r w:rsidRPr="003D1E07">
        <w:tab/>
        <w:t xml:space="preserve">analogia entis) and Its Greek and Arabic Sources". </w:t>
      </w:r>
      <w:r w:rsidRPr="003D1E07">
        <w:rPr>
          <w:i/>
        </w:rPr>
        <w:t xml:space="preserve">Islamic Philosophy, Science, Culture, and Religion. </w:t>
      </w:r>
      <w:r w:rsidRPr="003D1E07">
        <w:rPr>
          <w:i/>
        </w:rPr>
        <w:tab/>
        <w:t>Studies in Honour of Dimitri Gutas</w:t>
      </w:r>
      <w:r w:rsidRPr="003D1E07">
        <w:t xml:space="preserve">, edited by Flecitas Opwis, and David Reisman, Leiden: Brill, pp. </w:t>
      </w:r>
      <w:r w:rsidRPr="003D1E07">
        <w:rPr>
          <w:i/>
        </w:rPr>
        <w:tab/>
      </w:r>
      <w:r w:rsidRPr="003D1E07">
        <w:t>327‒363.</w:t>
      </w:r>
    </w:p>
    <w:p w14:paraId="2E894A7A" w14:textId="77777777" w:rsidR="08FF59F5" w:rsidRPr="003D1E07" w:rsidRDefault="08FF59F5" w:rsidP="08FF59F5">
      <w:pPr>
        <w:pStyle w:val="Literatura"/>
      </w:pPr>
      <w:r w:rsidRPr="003D1E07">
        <w:t xml:space="preserve">Uckelman, L. Sara (2010): "Logic and the Condemnations of 1277". </w:t>
      </w:r>
      <w:r w:rsidRPr="003D1E07">
        <w:rPr>
          <w:i/>
        </w:rPr>
        <w:t>Journal of Philosophical Logic</w:t>
      </w:r>
      <w:r w:rsidRPr="003D1E07">
        <w:t xml:space="preserve"> 39: 201‒227.</w:t>
      </w:r>
    </w:p>
    <w:p w14:paraId="63FB032F" w14:textId="77777777" w:rsidR="08FF59F5" w:rsidRPr="003D1E07" w:rsidRDefault="08FF59F5" w:rsidP="08FF59F5">
      <w:pPr>
        <w:pStyle w:val="Literatura"/>
      </w:pPr>
      <w:r w:rsidRPr="003D1E07">
        <w:t xml:space="preserve">Ullmann, Walter (1949): "The Development of the Medieval Idea of Sovereignty". </w:t>
      </w:r>
      <w:r w:rsidRPr="003D1E07">
        <w:rPr>
          <w:i/>
        </w:rPr>
        <w:t xml:space="preserve">The English Historical Review </w:t>
      </w:r>
      <w:r w:rsidRPr="003D1E07">
        <w:tab/>
        <w:t>64: 1‒33.</w:t>
      </w:r>
    </w:p>
    <w:p w14:paraId="2FB60C40" w14:textId="77777777" w:rsidR="08FF59F5" w:rsidRPr="003D1E07" w:rsidRDefault="08FF59F5" w:rsidP="08FF59F5">
      <w:pPr>
        <w:pStyle w:val="Literatura"/>
      </w:pPr>
      <w:r w:rsidRPr="003D1E07">
        <w:t xml:space="preserve">Umlauf, Václav (2008): "Hermeneía Aischylovy trilogie." </w:t>
      </w:r>
      <w:r w:rsidRPr="003D1E07">
        <w:rPr>
          <w:i/>
        </w:rPr>
        <w:t>Aluze</w:t>
      </w:r>
      <w:r w:rsidRPr="003D1E07">
        <w:t xml:space="preserve"> 1 (2008): 60−71.</w:t>
      </w:r>
    </w:p>
    <w:p w14:paraId="7600B57C" w14:textId="77777777" w:rsidR="08FF59F5" w:rsidRPr="003D1E07" w:rsidRDefault="08FF59F5" w:rsidP="08FF59F5">
      <w:pPr>
        <w:pStyle w:val="Literatura"/>
        <w:rPr>
          <w:rFonts w:eastAsia="WarnockPro-Regular" w:cs="WarnockPro-Regular"/>
        </w:rPr>
      </w:pPr>
      <w:r w:rsidRPr="003D1E07">
        <w:rPr>
          <w:rFonts w:cs="Calibri"/>
        </w:rPr>
        <w:t>−</w:t>
      </w:r>
      <w:r w:rsidRPr="003D1E07">
        <w:t xml:space="preserve"> (2010): </w:t>
      </w:r>
      <w:r w:rsidRPr="003D1E07">
        <w:rPr>
          <w:rStyle w:val="Siln"/>
          <w:b w:val="0"/>
          <w:i/>
        </w:rPr>
        <w:t>Synopse dějinnosti a koncept historie. Hermeneutické eseje o filosofii dějin</w:t>
      </w:r>
      <w:r w:rsidRPr="003D1E07">
        <w:rPr>
          <w:rStyle w:val="Siln"/>
          <w:b w:val="0"/>
        </w:rPr>
        <w:t>. Brno: Vydavatelství CDK</w:t>
      </w:r>
      <w:r w:rsidRPr="003D1E07">
        <w:t>.</w:t>
      </w:r>
    </w:p>
    <w:p w14:paraId="143F45C5" w14:textId="77777777" w:rsidR="08FF59F5" w:rsidRPr="003D1E07" w:rsidRDefault="08FF59F5" w:rsidP="08FF59F5">
      <w:pPr>
        <w:pStyle w:val="Literatura"/>
      </w:pPr>
      <w:r w:rsidRPr="003D1E07">
        <w:t xml:space="preserve">Valente, Luis (2013): "Supposition Theory and Porretan Theology: Summa Zwettlensis and Dialogus Ratii et </w:t>
      </w:r>
      <w:r w:rsidRPr="003D1E07">
        <w:tab/>
        <w:t xml:space="preserve">Everardi".  </w:t>
      </w:r>
      <w:r w:rsidRPr="003D1E07">
        <w:rPr>
          <w:i/>
        </w:rPr>
        <w:t>Medieval Supposition Theory Revisited</w:t>
      </w:r>
      <w:r w:rsidRPr="003D1E07">
        <w:t xml:space="preserve">, edited by </w:t>
      </w:r>
      <w:r w:rsidRPr="003D1E07">
        <w:rPr>
          <w:rStyle w:val="st"/>
        </w:rPr>
        <w:t xml:space="preserve">Egbert Peter </w:t>
      </w:r>
      <w:r w:rsidRPr="003D1E07">
        <w:t>Bos, Brill, pp. 119–148.</w:t>
      </w:r>
    </w:p>
    <w:p w14:paraId="5A644372" w14:textId="77777777" w:rsidR="08FF59F5" w:rsidRPr="003D1E07" w:rsidRDefault="08FF59F5" w:rsidP="08FF59F5">
      <w:pPr>
        <w:pStyle w:val="Literatura"/>
      </w:pPr>
      <w:r w:rsidRPr="003D1E07">
        <w:t xml:space="preserve">Vallat, Philippe (2004): </w:t>
      </w:r>
      <w:r w:rsidRPr="003D1E07">
        <w:rPr>
          <w:i/>
        </w:rPr>
        <w:t xml:space="preserve">Farabi et l’école d’Alexandrie. Des Prémisses de la connaissance à la philosophie </w:t>
      </w:r>
      <w:r w:rsidRPr="003D1E07">
        <w:rPr>
          <w:i/>
        </w:rPr>
        <w:tab/>
        <w:t>politique</w:t>
      </w:r>
      <w:r w:rsidRPr="003D1E07">
        <w:t>. Paris: Vrin.</w:t>
      </w:r>
    </w:p>
    <w:p w14:paraId="537C650C" w14:textId="77777777" w:rsidR="08FF59F5" w:rsidRPr="003D1E07" w:rsidRDefault="08FF59F5" w:rsidP="08FF59F5">
      <w:pPr>
        <w:pStyle w:val="Literatura"/>
      </w:pPr>
      <w:r w:rsidRPr="003D1E07">
        <w:t>Vernant</w:t>
      </w:r>
      <w:r w:rsidRPr="003D1E07">
        <w:rPr>
          <w:i/>
        </w:rPr>
        <w:t xml:space="preserve">, </w:t>
      </w:r>
      <w:r w:rsidRPr="003D1E07">
        <w:t xml:space="preserve">Jean-Pierre (1996): </w:t>
      </w:r>
      <w:r w:rsidRPr="003D1E07">
        <w:rPr>
          <w:i/>
        </w:rPr>
        <w:t>Entre mythe et politique</w:t>
      </w:r>
      <w:r w:rsidRPr="003D1E07">
        <w:t>. Paris: Éditions du Seuil.</w:t>
      </w:r>
    </w:p>
    <w:p w14:paraId="663D6821" w14:textId="77777777" w:rsidR="08FF59F5" w:rsidRPr="003D1E07" w:rsidRDefault="08FF59F5" w:rsidP="08FF59F5">
      <w:pPr>
        <w:pStyle w:val="Literatura"/>
      </w:pPr>
      <w:r w:rsidRPr="003D1E07">
        <w:rPr>
          <w:rStyle w:val="fn"/>
        </w:rPr>
        <w:t xml:space="preserve">Vicki, Nicolaus (2005): </w:t>
      </w:r>
      <w:r w:rsidRPr="003D1E07">
        <w:rPr>
          <w:rStyle w:val="fn"/>
          <w:i/>
        </w:rPr>
        <w:t>Die Philosophie Philipps des Kanzlers</w:t>
      </w:r>
      <w:r w:rsidRPr="003D1E07">
        <w:rPr>
          <w:i/>
        </w:rPr>
        <w:t xml:space="preserve">: </w:t>
      </w:r>
      <w:r w:rsidRPr="003D1E07">
        <w:rPr>
          <w:rStyle w:val="Podtitul1"/>
          <w:i/>
        </w:rPr>
        <w:t xml:space="preserve">ein philosophierender Theologe des frühen 13. </w:t>
      </w:r>
      <w:r w:rsidRPr="003D1E07">
        <w:rPr>
          <w:rStyle w:val="Podtitul1"/>
          <w:i/>
        </w:rPr>
        <w:tab/>
        <w:t>Jahrhunderts</w:t>
      </w:r>
      <w:r w:rsidRPr="003D1E07">
        <w:rPr>
          <w:rStyle w:val="Podtitul1"/>
        </w:rPr>
        <w:t xml:space="preserve">. </w:t>
      </w:r>
      <w:r w:rsidRPr="003D1E07">
        <w:t>Saint-Paul.</w:t>
      </w:r>
    </w:p>
    <w:p w14:paraId="5CD0B3F8" w14:textId="77777777" w:rsidR="08FF59F5" w:rsidRPr="003D1E07" w:rsidRDefault="08FF59F5" w:rsidP="08FF59F5">
      <w:pPr>
        <w:pStyle w:val="Literatura"/>
      </w:pPr>
      <w:r w:rsidRPr="003D1E07">
        <w:t xml:space="preserve">West, Martin (1997): </w:t>
      </w:r>
      <w:r w:rsidRPr="003D1E07">
        <w:rPr>
          <w:i/>
        </w:rPr>
        <w:t>The East Face of Helicon: West Asiatic Elements in Greek Poetry and Myth</w:t>
      </w:r>
      <w:r w:rsidRPr="003D1E07">
        <w:t xml:space="preserve">. Oxford: </w:t>
      </w:r>
      <w:r w:rsidRPr="003D1E07">
        <w:tab/>
        <w:t>Clarendon Press.</w:t>
      </w:r>
    </w:p>
    <w:p w14:paraId="4D952635" w14:textId="77777777" w:rsidR="08FF59F5" w:rsidRPr="003D1E07" w:rsidRDefault="08FF59F5" w:rsidP="08FF59F5">
      <w:pPr>
        <w:pStyle w:val="Literatura"/>
        <w:rPr>
          <w:szCs w:val="18"/>
        </w:rPr>
      </w:pPr>
      <w:r w:rsidRPr="003D1E07">
        <w:rPr>
          <w:szCs w:val="18"/>
        </w:rPr>
        <w:t xml:space="preserve">Wippel, John (2000): </w:t>
      </w:r>
      <w:r w:rsidRPr="003D1E07">
        <w:rPr>
          <w:i/>
          <w:szCs w:val="18"/>
        </w:rPr>
        <w:t>The Metaphysical Thought of Thomas Aquinas</w:t>
      </w:r>
      <w:r w:rsidRPr="003D1E07">
        <w:rPr>
          <w:szCs w:val="18"/>
        </w:rPr>
        <w:t xml:space="preserve">. Washington, D.C.: The Catholic University </w:t>
      </w:r>
      <w:r w:rsidRPr="003D1E07">
        <w:rPr>
          <w:szCs w:val="18"/>
        </w:rPr>
        <w:tab/>
        <w:t>Press.</w:t>
      </w:r>
    </w:p>
    <w:p w14:paraId="6DE7956B" w14:textId="77777777" w:rsidR="08FF59F5" w:rsidRPr="003D1E07" w:rsidRDefault="08FF59F5" w:rsidP="08FF59F5">
      <w:pPr>
        <w:pStyle w:val="Literatura"/>
        <w:rPr>
          <w:szCs w:val="18"/>
        </w:rPr>
      </w:pPr>
      <w:r w:rsidRPr="003D1E07">
        <w:rPr>
          <w:szCs w:val="18"/>
        </w:rPr>
        <w:t xml:space="preserve">‒ (2007): </w:t>
      </w:r>
      <w:r w:rsidRPr="003D1E07">
        <w:rPr>
          <w:i/>
        </w:rPr>
        <w:t>Metaphysical Themes in Thomas Aquinas II</w:t>
      </w:r>
      <w:r w:rsidRPr="003D1E07">
        <w:t xml:space="preserve">. </w:t>
      </w:r>
      <w:r w:rsidRPr="003D1E07">
        <w:rPr>
          <w:szCs w:val="18"/>
        </w:rPr>
        <w:t>Washington, D.C.: The Catholic University Press.</w:t>
      </w:r>
    </w:p>
    <w:p w14:paraId="685C25BA" w14:textId="77777777" w:rsidR="08FF59F5" w:rsidRPr="003D1E07" w:rsidRDefault="08FF59F5" w:rsidP="08FF59F5">
      <w:pPr>
        <w:pStyle w:val="Literatura"/>
        <w:rPr>
          <w:rStyle w:val="Podtitul1"/>
        </w:rPr>
      </w:pPr>
      <w:r w:rsidRPr="003D1E07">
        <w:t xml:space="preserve">Wéber, Edouard-Henri </w:t>
      </w:r>
      <w:r w:rsidRPr="003D1E07">
        <w:rPr>
          <w:szCs w:val="24"/>
        </w:rPr>
        <w:t xml:space="preserve">(1991): </w:t>
      </w:r>
      <w:r w:rsidRPr="003D1E07">
        <w:rPr>
          <w:rStyle w:val="fn"/>
          <w:i/>
        </w:rPr>
        <w:t>La personne humaine au XIIIe siècle</w:t>
      </w:r>
      <w:r w:rsidRPr="003D1E07">
        <w:rPr>
          <w:i/>
        </w:rPr>
        <w:t xml:space="preserve">: </w:t>
      </w:r>
      <w:r w:rsidRPr="003D1E07">
        <w:rPr>
          <w:rStyle w:val="Podtitul1"/>
          <w:i/>
        </w:rPr>
        <w:t xml:space="preserve">l'avènement chez les maîtres parisiens de </w:t>
      </w:r>
      <w:r w:rsidRPr="003D1E07">
        <w:rPr>
          <w:i/>
        </w:rPr>
        <w:tab/>
      </w:r>
      <w:r w:rsidRPr="003D1E07">
        <w:rPr>
          <w:rStyle w:val="Podtitul1"/>
          <w:i/>
        </w:rPr>
        <w:t xml:space="preserve">l'acception moderne de </w:t>
      </w:r>
      <w:r w:rsidRPr="003D1E07">
        <w:rPr>
          <w:rStyle w:val="Podtitul1"/>
          <w:i/>
        </w:rPr>
        <w:tab/>
        <w:t>l'homme.</w:t>
      </w:r>
      <w:r w:rsidRPr="003D1E07">
        <w:rPr>
          <w:rStyle w:val="Podtitul1"/>
        </w:rPr>
        <w:t xml:space="preserve"> Paris: Vrin.</w:t>
      </w:r>
    </w:p>
    <w:p w14:paraId="32203427" w14:textId="77777777" w:rsidR="08FF59F5" w:rsidRPr="003D1E07" w:rsidRDefault="08FF59F5" w:rsidP="08FF59F5">
      <w:pPr>
        <w:pStyle w:val="Literatura"/>
      </w:pPr>
      <w:r w:rsidRPr="003D1E07">
        <w:t xml:space="preserve">Wolfson, Harry Austryn (1938): "The Amphibolous Terms in Aristotle, Arabic Philosophy, and Maimonides". </w:t>
      </w:r>
      <w:r w:rsidRPr="003D1E07">
        <w:tab/>
      </w:r>
      <w:r w:rsidRPr="003D1E07">
        <w:rPr>
          <w:i/>
        </w:rPr>
        <w:t>Harvard Theological Review</w:t>
      </w:r>
      <w:r w:rsidRPr="003D1E07">
        <w:t xml:space="preserve"> 31: 151‒173.</w:t>
      </w:r>
    </w:p>
    <w:p w14:paraId="187D7F02" w14:textId="77777777" w:rsidR="08FF59F5" w:rsidRPr="003D1E07" w:rsidRDefault="08FF59F5" w:rsidP="08FF59F5">
      <w:pPr>
        <w:pStyle w:val="Literatura"/>
        <w:rPr>
          <w:szCs w:val="14"/>
        </w:rPr>
      </w:pPr>
      <w:r w:rsidRPr="003D1E07">
        <w:t>Wood</w:t>
      </w:r>
      <w:r w:rsidRPr="003D1E07">
        <w:rPr>
          <w:szCs w:val="14"/>
        </w:rPr>
        <w:t>, Rega (2001): "</w:t>
      </w:r>
      <w:r w:rsidRPr="003D1E07">
        <w:rPr>
          <w:szCs w:val="36"/>
        </w:rPr>
        <w:t xml:space="preserve">Richard Rufus’s </w:t>
      </w:r>
      <w:r w:rsidRPr="003D1E07">
        <w:rPr>
          <w:i/>
          <w:szCs w:val="36"/>
        </w:rPr>
        <w:t>De anima</w:t>
      </w:r>
      <w:r w:rsidRPr="003D1E07">
        <w:rPr>
          <w:szCs w:val="36"/>
        </w:rPr>
        <w:t xml:space="preserve"> Commentary: The Earliest Known, Surviving, Western </w:t>
      </w:r>
      <w:r w:rsidRPr="003D1E07">
        <w:rPr>
          <w:i/>
          <w:szCs w:val="36"/>
        </w:rPr>
        <w:t>De anima</w:t>
      </w:r>
      <w:r w:rsidRPr="003D1E07">
        <w:rPr>
          <w:szCs w:val="36"/>
        </w:rPr>
        <w:t xml:space="preserve"> </w:t>
      </w:r>
      <w:r w:rsidRPr="003D1E07">
        <w:rPr>
          <w:szCs w:val="36"/>
        </w:rPr>
        <w:tab/>
        <w:t xml:space="preserve">Commentar". </w:t>
      </w:r>
      <w:r w:rsidRPr="003D1E07">
        <w:rPr>
          <w:szCs w:val="14"/>
        </w:rPr>
        <w:t xml:space="preserve"> </w:t>
      </w:r>
      <w:r w:rsidRPr="003D1E07">
        <w:rPr>
          <w:i/>
          <w:szCs w:val="14"/>
        </w:rPr>
        <w:t>Medieval Philosophy and Theology</w:t>
      </w:r>
      <w:r w:rsidRPr="003D1E07">
        <w:rPr>
          <w:szCs w:val="14"/>
        </w:rPr>
        <w:t xml:space="preserve"> 10: 119–156.</w:t>
      </w:r>
    </w:p>
    <w:p w14:paraId="217E241B" w14:textId="77777777" w:rsidR="08FF59F5" w:rsidRPr="003D1E07" w:rsidRDefault="08FF59F5" w:rsidP="08FF59F5">
      <w:pPr>
        <w:pStyle w:val="Literatura"/>
        <w:rPr>
          <w:szCs w:val="18"/>
        </w:rPr>
      </w:pPr>
      <w:r w:rsidRPr="003D1E07">
        <w:rPr>
          <w:szCs w:val="18"/>
        </w:rPr>
        <w:t>Zimmermann, F. W. (1986): "The origins of the so-called Theology of</w:t>
      </w:r>
      <w:r w:rsidRPr="003D1E07">
        <w:t xml:space="preserve"> </w:t>
      </w:r>
      <w:r w:rsidRPr="003D1E07">
        <w:rPr>
          <w:szCs w:val="18"/>
        </w:rPr>
        <w:t xml:space="preserve">Aristotle". </w:t>
      </w:r>
      <w:r w:rsidRPr="003D1E07">
        <w:rPr>
          <w:i/>
          <w:szCs w:val="18"/>
        </w:rPr>
        <w:t>Pseudo-Aristotle in the</w:t>
      </w:r>
      <w:r w:rsidRPr="003D1E07">
        <w:rPr>
          <w:i/>
        </w:rPr>
        <w:t xml:space="preserve"> </w:t>
      </w:r>
      <w:r w:rsidRPr="003D1E07">
        <w:rPr>
          <w:i/>
          <w:szCs w:val="18"/>
        </w:rPr>
        <w:t xml:space="preserve">Middle </w:t>
      </w:r>
      <w:r w:rsidRPr="003D1E07">
        <w:rPr>
          <w:i/>
          <w:szCs w:val="18"/>
        </w:rPr>
        <w:tab/>
        <w:t>Ages. The Theology and other Texts</w:t>
      </w:r>
      <w:r w:rsidRPr="003D1E07">
        <w:rPr>
          <w:szCs w:val="18"/>
        </w:rPr>
        <w:t>, edited by J. Kraye, and W. F. Ryan, and C. B. Schmitt, London:</w:t>
      </w:r>
      <w:r w:rsidRPr="003D1E07">
        <w:t xml:space="preserve"> </w:t>
      </w:r>
      <w:r w:rsidRPr="003D1E07">
        <w:tab/>
        <w:t>Warburg Institute,</w:t>
      </w:r>
      <w:r w:rsidRPr="003D1E07">
        <w:rPr>
          <w:szCs w:val="18"/>
        </w:rPr>
        <w:t xml:space="preserve"> pp. 110–240.</w:t>
      </w:r>
    </w:p>
    <w:p w14:paraId="7F3BD202" w14:textId="77777777" w:rsidR="08FF59F5" w:rsidRPr="003D1E07" w:rsidRDefault="08FF59F5" w:rsidP="08FF59F5">
      <w:pPr>
        <w:pStyle w:val="Literatura"/>
      </w:pPr>
      <w:r w:rsidRPr="003D1E07">
        <w:t xml:space="preserve">Zimmerman, Albert (1998): </w:t>
      </w:r>
      <w:r w:rsidRPr="003D1E07">
        <w:rPr>
          <w:i/>
        </w:rPr>
        <w:t xml:space="preserve">Ontologie oder Metaphysik: Die Diskussion über den Gegenstand der Metaphysik im </w:t>
      </w:r>
      <w:r w:rsidRPr="003D1E07">
        <w:rPr>
          <w:i/>
        </w:rPr>
        <w:tab/>
        <w:t>13. und 14. Jahrhundert</w:t>
      </w:r>
      <w:r w:rsidRPr="003D1E07">
        <w:t>. Texte und Untersuchungen, 2. erw. Auflage, Bibliotheca I. Leuven: Peeters.</w:t>
      </w:r>
    </w:p>
    <w:p w14:paraId="34F48B64" w14:textId="77777777" w:rsidR="08FF59F5" w:rsidRPr="003D1E07" w:rsidRDefault="08FF59F5" w:rsidP="08FF59F5">
      <w:pPr>
        <w:pStyle w:val="Literatura"/>
      </w:pPr>
      <w:r w:rsidRPr="003D1E07">
        <w:rPr>
          <w:szCs w:val="22"/>
        </w:rPr>
        <w:t>Zavattero, Irene (2007): "</w:t>
      </w:r>
      <w:r w:rsidRPr="003D1E07">
        <w:rPr>
          <w:szCs w:val="40"/>
        </w:rPr>
        <w:t xml:space="preserve">Le bonheur parfait dans les premiers commentaires latins de l'Éthique à Nicomaque". </w:t>
      </w:r>
      <w:r w:rsidRPr="003D1E07">
        <w:rPr>
          <w:szCs w:val="40"/>
        </w:rPr>
        <w:tab/>
      </w:r>
      <w:r w:rsidRPr="003D1E07">
        <w:rPr>
          <w:i/>
        </w:rPr>
        <w:t xml:space="preserve">Revue de théologie et de philosophie </w:t>
      </w:r>
      <w:r w:rsidRPr="003D1E07">
        <w:t>57: 311‒327.</w:t>
      </w:r>
    </w:p>
    <w:p w14:paraId="24944E20" w14:textId="77777777" w:rsidR="08FF59F5" w:rsidRPr="003D1E07" w:rsidRDefault="08FF59F5" w:rsidP="08FF59F5">
      <w:pPr>
        <w:pStyle w:val="Literatura"/>
      </w:pPr>
      <w:r w:rsidRPr="003D1E07">
        <w:t xml:space="preserve">‒ (2012): </w:t>
      </w:r>
      <w:r w:rsidRPr="003D1E07">
        <w:rPr>
          <w:szCs w:val="22"/>
        </w:rPr>
        <w:t>"</w:t>
      </w:r>
      <w:r w:rsidRPr="003D1E07">
        <w:t xml:space="preserve">Anonymus Magister Artium. Le portrait intellectuel de l’auteur du Commentaire de Paris (1235‒40) </w:t>
      </w:r>
      <w:r w:rsidRPr="003D1E07">
        <w:tab/>
        <w:t xml:space="preserve">sur l’ Ethica nova et vetus". </w:t>
      </w:r>
      <w:r w:rsidRPr="003D1E07">
        <w:rPr>
          <w:i/>
        </w:rPr>
        <w:t>Portraits de maîtres offert à Olga Weijers</w:t>
      </w:r>
      <w:r w:rsidRPr="003D1E07">
        <w:t xml:space="preserve">, edited by C. Angotti, M. Brinzei, </w:t>
      </w:r>
      <w:r w:rsidRPr="003D1E07">
        <w:rPr>
          <w:i/>
        </w:rPr>
        <w:tab/>
      </w:r>
      <w:r w:rsidRPr="003D1E07">
        <w:t xml:space="preserve">M. </w:t>
      </w:r>
      <w:r w:rsidRPr="003D1E07">
        <w:rPr>
          <w:szCs w:val="40"/>
        </w:rPr>
        <w:tab/>
      </w:r>
      <w:r w:rsidRPr="003D1E07">
        <w:t>Teeuwen, Porto: FIDEM.</w:t>
      </w:r>
    </w:p>
    <w:p w14:paraId="60975451" w14:textId="77777777" w:rsidR="00E05CA2" w:rsidRPr="003D1E07" w:rsidRDefault="00E05CA2" w:rsidP="00E05CA2">
      <w:pPr>
        <w:jc w:val="center"/>
        <w:rPr>
          <w:sz w:val="20"/>
        </w:rPr>
      </w:pPr>
      <w:r w:rsidRPr="003D1E07">
        <w:rPr>
          <w:sz w:val="20"/>
        </w:rPr>
        <w:br w:type="page"/>
      </w:r>
    </w:p>
    <w:p w14:paraId="6512196D" w14:textId="77777777" w:rsidR="00E05CA2" w:rsidRPr="003D1E07" w:rsidRDefault="00E05CA2" w:rsidP="00E05CA2">
      <w:pPr>
        <w:jc w:val="center"/>
        <w:rPr>
          <w:sz w:val="20"/>
        </w:rPr>
      </w:pPr>
    </w:p>
    <w:p w14:paraId="0266463D" w14:textId="77777777" w:rsidR="00E05CA2" w:rsidRPr="003D1E07" w:rsidRDefault="00E05CA2" w:rsidP="00E05CA2">
      <w:pPr>
        <w:jc w:val="center"/>
        <w:rPr>
          <w:sz w:val="20"/>
        </w:rPr>
      </w:pPr>
    </w:p>
    <w:p w14:paraId="28A14B42" w14:textId="77777777" w:rsidR="00E05CA2" w:rsidRPr="003D1E07" w:rsidRDefault="00E05CA2" w:rsidP="00E05CA2">
      <w:pPr>
        <w:jc w:val="center"/>
        <w:rPr>
          <w:sz w:val="20"/>
        </w:rPr>
      </w:pPr>
    </w:p>
    <w:p w14:paraId="4ED0E630" w14:textId="77777777" w:rsidR="00E05CA2" w:rsidRPr="003D1E07" w:rsidRDefault="00E05CA2" w:rsidP="00E05CA2">
      <w:pPr>
        <w:jc w:val="center"/>
        <w:rPr>
          <w:sz w:val="20"/>
        </w:rPr>
      </w:pPr>
    </w:p>
    <w:p w14:paraId="38190146" w14:textId="77777777" w:rsidR="003C678C" w:rsidRPr="003D1E07" w:rsidRDefault="003C678C" w:rsidP="00E05CA2">
      <w:pPr>
        <w:jc w:val="center"/>
        <w:rPr>
          <w:b/>
          <w:szCs w:val="24"/>
          <w:lang w:eastAsia="en-US"/>
        </w:rPr>
      </w:pPr>
    </w:p>
    <w:p w14:paraId="3252BE16" w14:textId="77777777" w:rsidR="003C678C" w:rsidRPr="003D1E07" w:rsidRDefault="003C678C" w:rsidP="00E05CA2">
      <w:pPr>
        <w:jc w:val="center"/>
        <w:rPr>
          <w:b/>
          <w:szCs w:val="24"/>
          <w:lang w:eastAsia="en-US"/>
        </w:rPr>
      </w:pPr>
    </w:p>
    <w:p w14:paraId="2B531BCC" w14:textId="77777777" w:rsidR="003C678C" w:rsidRPr="003D1E07" w:rsidRDefault="003C678C" w:rsidP="00E05CA2">
      <w:pPr>
        <w:jc w:val="center"/>
        <w:rPr>
          <w:b/>
          <w:szCs w:val="24"/>
          <w:lang w:eastAsia="en-US"/>
        </w:rPr>
      </w:pPr>
    </w:p>
    <w:p w14:paraId="2E5E37BA" w14:textId="77777777" w:rsidR="003C678C" w:rsidRPr="003D1E07" w:rsidRDefault="003C678C" w:rsidP="00E05CA2">
      <w:pPr>
        <w:jc w:val="center"/>
        <w:rPr>
          <w:b/>
          <w:szCs w:val="24"/>
          <w:lang w:eastAsia="en-US"/>
        </w:rPr>
      </w:pPr>
    </w:p>
    <w:p w14:paraId="16E16974" w14:textId="288A84B7" w:rsidR="00E05CA2" w:rsidRPr="003D1E07" w:rsidRDefault="00E05CA2" w:rsidP="003C678C">
      <w:pPr>
        <w:jc w:val="center"/>
      </w:pPr>
      <w:r w:rsidRPr="003D1E07">
        <w:t>Václav Umlauf</w:t>
      </w:r>
    </w:p>
    <w:p w14:paraId="08C982F7" w14:textId="77777777" w:rsidR="00E05CA2" w:rsidRPr="003D1E07" w:rsidRDefault="00E05CA2" w:rsidP="003C678C">
      <w:pPr>
        <w:jc w:val="center"/>
      </w:pPr>
      <w:r w:rsidRPr="003D1E07">
        <w:t>Hermeneutika objektivity I.</w:t>
      </w:r>
    </w:p>
    <w:p w14:paraId="05B8F8DA" w14:textId="77777777" w:rsidR="00E05CA2" w:rsidRPr="003D1E07" w:rsidRDefault="00E05CA2" w:rsidP="003C678C">
      <w:pPr>
        <w:jc w:val="center"/>
      </w:pPr>
      <w:r w:rsidRPr="003D1E07">
        <w:t>Božská komedie klasické metafyziky a tragédie falsafy</w:t>
      </w:r>
    </w:p>
    <w:p w14:paraId="242F8609" w14:textId="77777777" w:rsidR="00E05CA2" w:rsidRPr="003D1E07" w:rsidRDefault="00E05CA2" w:rsidP="00E05CA2">
      <w:pPr>
        <w:jc w:val="center"/>
        <w:rPr>
          <w:b/>
          <w:szCs w:val="24"/>
          <w:lang w:eastAsia="en-US"/>
        </w:rPr>
      </w:pPr>
    </w:p>
    <w:p w14:paraId="4E35BBA5" w14:textId="77777777" w:rsidR="00E05CA2" w:rsidRPr="003D1E07" w:rsidRDefault="00E05CA2" w:rsidP="00E05CA2">
      <w:pPr>
        <w:jc w:val="center"/>
        <w:rPr>
          <w:b/>
          <w:szCs w:val="24"/>
          <w:lang w:eastAsia="en-US"/>
        </w:rPr>
      </w:pPr>
    </w:p>
    <w:p w14:paraId="65DFB0F6" w14:textId="65B3D1F9" w:rsidR="00C83849" w:rsidRPr="003D1E07" w:rsidRDefault="0045678A" w:rsidP="003C678C">
      <w:pPr>
        <w:jc w:val="center"/>
      </w:pPr>
      <w:r w:rsidRPr="003D1E07">
        <w:t>Vydalo nakladatelství Herma</w:t>
      </w:r>
      <w:r w:rsidR="00E05CA2" w:rsidRPr="003D1E07">
        <w:t>ion</w:t>
      </w:r>
    </w:p>
    <w:p w14:paraId="3F1BADA8" w14:textId="4C10E924" w:rsidR="00E05CA2" w:rsidRPr="003D1E07" w:rsidRDefault="00E05CA2" w:rsidP="003C678C">
      <w:pPr>
        <w:jc w:val="center"/>
        <w:rPr>
          <w:lang w:eastAsia="en-US"/>
        </w:rPr>
      </w:pPr>
      <w:r w:rsidRPr="003D1E07">
        <w:rPr>
          <w:lang w:eastAsia="en-US"/>
        </w:rPr>
        <w:t>Adresa....</w:t>
      </w:r>
    </w:p>
    <w:p w14:paraId="2772FEF3" w14:textId="77777777" w:rsidR="00136E36" w:rsidRPr="003D1E07" w:rsidRDefault="00136E36" w:rsidP="003C678C">
      <w:pPr>
        <w:jc w:val="center"/>
        <w:rPr>
          <w:lang w:eastAsia="en-US"/>
        </w:rPr>
      </w:pPr>
    </w:p>
    <w:p w14:paraId="01AB65C8" w14:textId="77777777" w:rsidR="00136E36" w:rsidRPr="003D1E07" w:rsidRDefault="00136E36" w:rsidP="003C678C">
      <w:pPr>
        <w:jc w:val="center"/>
        <w:rPr>
          <w:lang w:eastAsia="en-US"/>
        </w:rPr>
      </w:pPr>
    </w:p>
    <w:p w14:paraId="3FCCD708" w14:textId="30EC2F60" w:rsidR="00E05CA2" w:rsidRPr="003D1E07" w:rsidRDefault="00E05CA2" w:rsidP="003C678C">
      <w:pPr>
        <w:jc w:val="center"/>
        <w:rPr>
          <w:lang w:eastAsia="en-US"/>
        </w:rPr>
      </w:pPr>
      <w:r w:rsidRPr="003D1E07">
        <w:rPr>
          <w:lang w:eastAsia="en-US"/>
        </w:rPr>
        <w:t>Jazyková redakce X.Y</w:t>
      </w:r>
    </w:p>
    <w:p w14:paraId="02452013" w14:textId="5866A4AA" w:rsidR="00E05CA2" w:rsidRPr="003D1E07" w:rsidRDefault="00E05CA2" w:rsidP="003C678C">
      <w:pPr>
        <w:jc w:val="center"/>
        <w:rPr>
          <w:lang w:eastAsia="en-US"/>
        </w:rPr>
      </w:pPr>
      <w:r w:rsidRPr="003D1E07">
        <w:rPr>
          <w:lang w:eastAsia="en-US"/>
        </w:rPr>
        <w:t>Sazba X.Y</w:t>
      </w:r>
    </w:p>
    <w:p w14:paraId="6FE251BD" w14:textId="33323415" w:rsidR="00E05CA2" w:rsidRPr="003D1E07" w:rsidRDefault="00E05CA2" w:rsidP="003C678C">
      <w:pPr>
        <w:jc w:val="center"/>
        <w:rPr>
          <w:lang w:eastAsia="en-US"/>
        </w:rPr>
      </w:pPr>
      <w:r w:rsidRPr="003D1E07">
        <w:rPr>
          <w:lang w:eastAsia="en-US"/>
        </w:rPr>
        <w:t>Grafické zpracování X.Y</w:t>
      </w:r>
    </w:p>
    <w:p w14:paraId="74C7E1E6" w14:textId="13BC7D2B" w:rsidR="00E05CA2" w:rsidRPr="003D1E07" w:rsidRDefault="00E05CA2" w:rsidP="003C678C">
      <w:pPr>
        <w:jc w:val="center"/>
        <w:rPr>
          <w:lang w:eastAsia="en-US"/>
        </w:rPr>
      </w:pPr>
      <w:r w:rsidRPr="003D1E07">
        <w:rPr>
          <w:lang w:eastAsia="en-US"/>
        </w:rPr>
        <w:t>Tisk X.Y</w:t>
      </w:r>
    </w:p>
    <w:p w14:paraId="2166175D" w14:textId="77777777" w:rsidR="00E05CA2" w:rsidRPr="003D1E07" w:rsidRDefault="00E05CA2" w:rsidP="003C678C">
      <w:pPr>
        <w:jc w:val="center"/>
        <w:rPr>
          <w:lang w:eastAsia="en-US"/>
        </w:rPr>
      </w:pPr>
    </w:p>
    <w:p w14:paraId="411A9930" w14:textId="77777777" w:rsidR="00E05CA2" w:rsidRPr="003D1E07" w:rsidRDefault="00E05CA2" w:rsidP="003C678C">
      <w:pPr>
        <w:jc w:val="center"/>
        <w:rPr>
          <w:lang w:eastAsia="en-US"/>
        </w:rPr>
      </w:pPr>
    </w:p>
    <w:p w14:paraId="3473939D" w14:textId="0E0D9658" w:rsidR="00E05CA2" w:rsidRPr="003D1E07" w:rsidRDefault="00770CD2" w:rsidP="003C678C">
      <w:pPr>
        <w:jc w:val="center"/>
        <w:rPr>
          <w:lang w:eastAsia="en-US"/>
        </w:rPr>
      </w:pPr>
      <w:hyperlink r:id="rId15" w:history="1">
        <w:r w:rsidR="00E05CA2" w:rsidRPr="003D1E07">
          <w:rPr>
            <w:rStyle w:val="Hypertextovodkaz"/>
            <w:lang w:eastAsia="en-US"/>
          </w:rPr>
          <w:t>www.hermaion.cz</w:t>
        </w:r>
      </w:hyperlink>
    </w:p>
    <w:p w14:paraId="50F2CB52" w14:textId="274DD4BA" w:rsidR="00E05CA2" w:rsidRPr="003D1E07" w:rsidRDefault="00E05CA2" w:rsidP="003C678C">
      <w:pPr>
        <w:jc w:val="center"/>
        <w:rPr>
          <w:b/>
          <w:lang w:eastAsia="en-US"/>
        </w:rPr>
      </w:pPr>
      <w:r w:rsidRPr="003D1E07">
        <w:rPr>
          <w:b/>
          <w:lang w:eastAsia="en-US"/>
        </w:rPr>
        <w:t>ISBN</w:t>
      </w:r>
      <w:r w:rsidR="0093196C" w:rsidRPr="003D1E07">
        <w:rPr>
          <w:b/>
          <w:lang w:eastAsia="en-US"/>
        </w:rPr>
        <w:t xml:space="preserve"> ....</w:t>
      </w:r>
    </w:p>
    <w:sectPr w:rsidR="00E05CA2" w:rsidRPr="003D1E07" w:rsidSect="00C04C0A">
      <w:type w:val="continuous"/>
      <w:pgSz w:w="11905" w:h="16837"/>
      <w:pgMar w:top="1417" w:right="1417" w:bottom="1417" w:left="1417" w:header="708"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F986DCE" w14:textId="77777777" w:rsidR="00344048" w:rsidRDefault="00344048" w:rsidP="00035EA2">
      <w:pPr>
        <w:spacing w:line="240" w:lineRule="auto"/>
      </w:pPr>
      <w:r>
        <w:separator/>
      </w:r>
    </w:p>
  </w:endnote>
  <w:endnote w:type="continuationSeparator" w:id="0">
    <w:p w14:paraId="663F14D0" w14:textId="77777777" w:rsidR="00344048" w:rsidRDefault="00344048" w:rsidP="00035EA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Times">
    <w:altName w:val="Times"/>
    <w:panose1 w:val="02020603050405020304"/>
    <w:charset w:val="EE"/>
    <w:family w:val="roman"/>
    <w:pitch w:val="variable"/>
    <w:sig w:usb0="E0002AFF" w:usb1="C0007841" w:usb2="00000009" w:usb3="00000000" w:csb0="000001FF" w:csb1="00000000"/>
  </w:font>
  <w:font w:name="Cambria">
    <w:panose1 w:val="02040503050406030204"/>
    <w:charset w:val="EE"/>
    <w:family w:val="roman"/>
    <w:pitch w:val="variable"/>
    <w:sig w:usb0="E00002FF" w:usb1="400004FF" w:usb2="00000000" w:usb3="00000000" w:csb0="0000019F" w:csb1="00000000"/>
  </w:font>
  <w:font w:name="Arial">
    <w:panose1 w:val="020B0604020202020204"/>
    <w:charset w:val="EE"/>
    <w:family w:val="swiss"/>
    <w:pitch w:val="variable"/>
    <w:sig w:usb0="E0002AFF" w:usb1="C0007843" w:usb2="00000009" w:usb3="00000000" w:csb0="000001FF" w:csb1="00000000"/>
  </w:font>
  <w:font w:name="APFKGB+TrebuchetMS">
    <w:altName w:val="Trebuchet MS"/>
    <w:charset w:val="00"/>
    <w:family w:val="swiss"/>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Tahoma">
    <w:panose1 w:val="020B0604030504040204"/>
    <w:charset w:val="EE"/>
    <w:family w:val="swiss"/>
    <w:pitch w:val="variable"/>
    <w:sig w:usb0="E1002EFF" w:usb1="C000605B" w:usb2="00000029" w:usb3="00000000" w:csb0="000101FF" w:csb1="00000000"/>
  </w:font>
  <w:font w:name="WBHXPF+AGaramondPro-Regular">
    <w:altName w:val="Times New Roman"/>
    <w:charset w:val="00"/>
    <w:family w:val="roman"/>
    <w:pitch w:val="default"/>
    <w:sig w:usb0="00000003" w:usb1="00000000" w:usb2="00000000" w:usb3="00000000" w:csb0="00000001" w:csb1="00000000"/>
  </w:font>
  <w:font w:name="Century Schoolbook">
    <w:panose1 w:val="02040604050505020304"/>
    <w:charset w:val="EE"/>
    <w:family w:val="roman"/>
    <w:pitch w:val="variable"/>
    <w:sig w:usb0="00000287" w:usb1="00000000" w:usb2="00000000" w:usb3="00000000" w:csb0="0000009F" w:csb1="00000000"/>
  </w:font>
  <w:font w:name="David">
    <w:altName w:val="Rubik"/>
    <w:panose1 w:val="020E0502060401010101"/>
    <w:charset w:val="B1"/>
    <w:family w:val="swiss"/>
    <w:pitch w:val="variable"/>
    <w:sig w:usb0="00000801" w:usb1="00000000" w:usb2="00000000" w:usb3="00000000" w:csb0="00000020" w:csb1="00000000"/>
  </w:font>
  <w:font w:name="SimHei">
    <w:altName w:val="黑体"/>
    <w:panose1 w:val="02010609060101010101"/>
    <w:charset w:val="86"/>
    <w:family w:val="modern"/>
    <w:pitch w:val="fixed"/>
    <w:sig w:usb0="800002BF" w:usb1="38CF7CFA" w:usb2="00000016" w:usb3="00000000" w:csb0="00040001" w:csb1="00000000"/>
  </w:font>
  <w:font w:name="Constantia">
    <w:panose1 w:val="02030602050306030303"/>
    <w:charset w:val="EE"/>
    <w:family w:val="roman"/>
    <w:pitch w:val="variable"/>
    <w:sig w:usb0="A00002EF" w:usb1="4000204B" w:usb2="00000000" w:usb3="00000000" w:csb0="0000019F" w:csb1="00000000"/>
  </w:font>
  <w:font w:name="Cordia New">
    <w:panose1 w:val="020B0304020202020204"/>
    <w:charset w:val="00"/>
    <w:family w:val="swiss"/>
    <w:pitch w:val="variable"/>
    <w:sig w:usb0="81000003" w:usb1="00000000" w:usb2="00000000" w:usb3="00000000" w:csb0="00010001" w:csb1="00000000"/>
  </w:font>
  <w:font w:name="Book Antiqua">
    <w:panose1 w:val="02040602050305030304"/>
    <w:charset w:val="EE"/>
    <w:family w:val="roman"/>
    <w:pitch w:val="variable"/>
    <w:sig w:usb0="00000287" w:usb1="00000000" w:usb2="00000000" w:usb3="00000000" w:csb0="0000009F" w:csb1="00000000"/>
  </w:font>
  <w:font w:name="Georgia">
    <w:panose1 w:val="02040502050405020303"/>
    <w:charset w:val="EE"/>
    <w:family w:val="roman"/>
    <w:pitch w:val="variable"/>
    <w:sig w:usb0="00000287" w:usb1="00000000" w:usb2="00000000" w:usb3="00000000" w:csb0="0000009F" w:csb1="00000000"/>
  </w:font>
  <w:font w:name="Sylfaen">
    <w:panose1 w:val="010A0502050306030303"/>
    <w:charset w:val="EE"/>
    <w:family w:val="roman"/>
    <w:pitch w:val="variable"/>
    <w:sig w:usb0="04000687" w:usb1="00000000" w:usb2="00000000" w:usb3="00000000" w:csb0="0000009F" w:csb1="00000000"/>
  </w:font>
  <w:font w:name="Malgun Gothic">
    <w:panose1 w:val="020B0503020000020004"/>
    <w:charset w:val="81"/>
    <w:family w:val="swiss"/>
    <w:pitch w:val="variable"/>
    <w:sig w:usb0="9000002F" w:usb1="29D77CFB" w:usb2="00000012" w:usb3="00000000" w:csb0="00080001" w:csb1="00000000"/>
  </w:font>
  <w:font w:name="Batang">
    <w:altName w:val="바탕"/>
    <w:panose1 w:val="02030600000101010101"/>
    <w:charset w:val="81"/>
    <w:family w:val="roman"/>
    <w:pitch w:val="variable"/>
    <w:sig w:usb0="B00002AF" w:usb1="69D77CFB" w:usb2="00000030" w:usb3="00000000" w:csb0="0008009F" w:csb1="00000000"/>
  </w:font>
  <w:font w:name="Lucida Sans Unicode">
    <w:panose1 w:val="020B0602030504020204"/>
    <w:charset w:val="EE"/>
    <w:family w:val="swiss"/>
    <w:pitch w:val="variable"/>
    <w:sig w:usb0="80000AFF" w:usb1="0000396B" w:usb2="00000000" w:usb3="00000000" w:csb0="000000BF" w:csb1="00000000"/>
  </w:font>
  <w:font w:name="Garamond">
    <w:panose1 w:val="02020404030301010803"/>
    <w:charset w:val="EE"/>
    <w:family w:val="roman"/>
    <w:pitch w:val="variable"/>
    <w:sig w:usb0="00000287" w:usb1="00000000" w:usb2="00000000" w:usb3="00000000" w:csb0="0000009F" w:csb1="00000000"/>
  </w:font>
  <w:font w:name="Arial Narrow">
    <w:panose1 w:val="020B0606020202030204"/>
    <w:charset w:val="EE"/>
    <w:family w:val="swiss"/>
    <w:pitch w:val="variable"/>
    <w:sig w:usb0="00000287" w:usb1="00000800" w:usb2="00000000" w:usb3="00000000" w:csb0="0000009F" w:csb1="00000000"/>
  </w:font>
  <w:font w:name="Palatino Linotype">
    <w:altName w:val="Palatino Linotype"/>
    <w:panose1 w:val="02040502050505030304"/>
    <w:charset w:val="EE"/>
    <w:family w:val="roman"/>
    <w:pitch w:val="variable"/>
    <w:sig w:usb0="E0000287" w:usb1="40000013" w:usb2="00000000" w:usb3="00000000" w:csb0="0000019F" w:csb1="00000000"/>
  </w:font>
  <w:font w:name="Century Gothic">
    <w:panose1 w:val="020B0502020202020204"/>
    <w:charset w:val="EE"/>
    <w:family w:val="swiss"/>
    <w:pitch w:val="variable"/>
    <w:sig w:usb0="00000287" w:usb1="00000000" w:usb2="00000000" w:usb3="00000000" w:csb0="0000009F" w:csb1="00000000"/>
  </w:font>
  <w:font w:name="Corbel">
    <w:panose1 w:val="020B0503020204020204"/>
    <w:charset w:val="EE"/>
    <w:family w:val="swiss"/>
    <w:pitch w:val="variable"/>
    <w:sig w:usb0="A00002EF" w:usb1="4000A44B" w:usb2="00000000" w:usb3="00000000" w:csb0="0000019F" w:csb1="00000000"/>
  </w:font>
  <w:font w:name="Bookman Old Style">
    <w:panose1 w:val="02050604050505020204"/>
    <w:charset w:val="EE"/>
    <w:family w:val="roman"/>
    <w:pitch w:val="variable"/>
    <w:sig w:usb0="00000287" w:usb1="00000000" w:usb2="00000000" w:usb3="00000000" w:csb0="0000009F" w:csb1="00000000"/>
  </w:font>
  <w:font w:name="FrankRuehl">
    <w:panose1 w:val="020E0503060101010101"/>
    <w:charset w:val="B1"/>
    <w:family w:val="swiss"/>
    <w:pitch w:val="variable"/>
    <w:sig w:usb0="00000801" w:usb1="00000000" w:usb2="00000000" w:usb3="00000000" w:csb0="00000020" w:csb1="00000000"/>
  </w:font>
  <w:font w:name="AngsanaUPC">
    <w:panose1 w:val="02020603050405020304"/>
    <w:charset w:val="00"/>
    <w:family w:val="roman"/>
    <w:pitch w:val="variable"/>
    <w:sig w:usb0="81000003" w:usb1="00000000" w:usb2="00000000" w:usb3="00000000" w:csb0="00010001" w:csb1="00000000"/>
  </w:font>
  <w:font w:name="Franklin Gothic Heavy">
    <w:panose1 w:val="020B0903020102020204"/>
    <w:charset w:val="EE"/>
    <w:family w:val="swiss"/>
    <w:pitch w:val="variable"/>
    <w:sig w:usb0="00000287" w:usb1="00000000" w:usb2="00000000" w:usb3="00000000" w:csb0="0000009F" w:csb1="00000000"/>
  </w:font>
  <w:font w:name="AGaramondPro-Regular">
    <w:altName w:val="Arial Unicode MS"/>
    <w:charset w:val="88"/>
    <w:family w:val="auto"/>
    <w:pitch w:val="default"/>
    <w:sig w:usb0="00000007" w:usb1="00000000" w:usb2="00000000" w:usb3="00000000" w:csb0="00000003" w:csb1="00000000"/>
  </w:font>
  <w:font w:name="AGaramondPro-Italic">
    <w:altName w:val="MS Mincho"/>
    <w:charset w:val="80"/>
    <w:family w:val="auto"/>
    <w:pitch w:val="default"/>
  </w:font>
  <w:font w:name="Arial Unicode MS">
    <w:panose1 w:val="020B0604020202020204"/>
    <w:charset w:val="80"/>
    <w:family w:val="swiss"/>
    <w:pitch w:val="variable"/>
    <w:sig w:usb0="F7FFAFFF" w:usb1="E9DFFFFF" w:usb2="0000003F" w:usb3="00000000" w:csb0="003F01FF" w:csb1="00000000"/>
  </w:font>
  <w:font w:name="Sabon-Italic">
    <w:altName w:val="Times New Roman"/>
    <w:charset w:val="00"/>
    <w:family w:val="roman"/>
    <w:pitch w:val="default"/>
    <w:sig w:usb0="00000003" w:usb1="00000000" w:usb2="00000000" w:usb3="00000000" w:csb0="00000001" w:csb1="00000000"/>
  </w:font>
  <w:font w:name="Sgreek">
    <w:altName w:val="Times New Roman"/>
    <w:panose1 w:val="00000000000000000000"/>
    <w:charset w:val="00"/>
    <w:family w:val="roman"/>
    <w:notTrueType/>
    <w:pitch w:val="variable"/>
    <w:sig w:usb0="00000003" w:usb1="00000000" w:usb2="00000000" w:usb3="00000000" w:csb0="00000001" w:csb1="00000000"/>
  </w:font>
  <w:font w:name="CMTI10">
    <w:altName w:val="Times New Roman"/>
    <w:charset w:val="EE"/>
    <w:family w:val="auto"/>
    <w:pitch w:val="default"/>
  </w:font>
  <w:font w:name="Courier">
    <w:panose1 w:val="02070409020205020404"/>
    <w:charset w:val="00"/>
    <w:family w:val="modern"/>
    <w:notTrueType/>
    <w:pitch w:val="fixed"/>
    <w:sig w:usb0="00000003" w:usb1="00000000" w:usb2="00000000" w:usb3="00000000" w:csb0="00000001" w:csb1="00000000"/>
  </w:font>
  <w:font w:name="Brill-Roman">
    <w:altName w:val="MS Mincho"/>
    <w:charset w:val="80"/>
    <w:family w:val="auto"/>
    <w:pitch w:val="default"/>
  </w:font>
  <w:font w:name="MUWO-Italic">
    <w:altName w:val="Arial"/>
    <w:charset w:val="00"/>
    <w:family w:val="swiss"/>
    <w:pitch w:val="default"/>
  </w:font>
  <w:font w:name="MinionPro-Regular">
    <w:altName w:val="Malgun Gothic Semilight"/>
    <w:panose1 w:val="00000000000000000000"/>
    <w:charset w:val="88"/>
    <w:family w:val="auto"/>
    <w:notTrueType/>
    <w:pitch w:val="default"/>
    <w:sig w:usb0="00000005" w:usb1="08080000" w:usb2="00000010" w:usb3="00000000" w:csb0="00100002" w:csb1="00000000"/>
  </w:font>
  <w:font w:name="MinionPro-It">
    <w:altName w:val="MS Mincho"/>
    <w:charset w:val="80"/>
    <w:family w:val="auto"/>
    <w:pitch w:val="default"/>
  </w:font>
  <w:font w:name="Verdana">
    <w:panose1 w:val="020B0604030504040204"/>
    <w:charset w:val="EE"/>
    <w:family w:val="swiss"/>
    <w:pitch w:val="variable"/>
    <w:sig w:usb0="A10006FF" w:usb1="4000205B" w:usb2="00000010" w:usb3="00000000" w:csb0="0000019F" w:csb1="00000000"/>
  </w:font>
  <w:font w:name="NewAster">
    <w:altName w:val="MS Gothic"/>
    <w:charset w:val="80"/>
    <w:family w:val="auto"/>
    <w:pitch w:val="default"/>
  </w:font>
  <w:font w:name="NewAster-Italic">
    <w:altName w:val="MS Mincho"/>
    <w:charset w:val="80"/>
    <w:family w:val="auto"/>
    <w:pitch w:val="default"/>
  </w:font>
  <w:font w:name="Islamv2-Italic">
    <w:altName w:val="MS Mincho"/>
    <w:panose1 w:val="00000000000000000000"/>
    <w:charset w:val="80"/>
    <w:family w:val="auto"/>
    <w:notTrueType/>
    <w:pitch w:val="default"/>
    <w:sig w:usb0="00000001" w:usb1="08070000" w:usb2="00000010" w:usb3="00000000" w:csb0="00020000" w:csb1="00000000"/>
  </w:font>
  <w:font w:name="TimesNewRomanPSMT">
    <w:altName w:val="Yu Gothic UI"/>
    <w:panose1 w:val="00000000000000000000"/>
    <w:charset w:val="80"/>
    <w:family w:val="roman"/>
    <w:notTrueType/>
    <w:pitch w:val="default"/>
    <w:sig w:usb0="00000003" w:usb1="08070000" w:usb2="00000010" w:usb3="00000000" w:csb0="00020003" w:csb1="00000000"/>
  </w:font>
  <w:font w:name="CenturySchbookMT">
    <w:altName w:val="Times New Roman"/>
    <w:charset w:val="00"/>
    <w:family w:val="roman"/>
    <w:pitch w:val="default"/>
  </w:font>
  <w:font w:name="WarnockPro-Regular">
    <w:altName w:val="MS Gothic"/>
    <w:charset w:val="80"/>
    <w:family w:val="roman"/>
    <w:pitch w:val="default"/>
    <w:sig w:usb0="00000005" w:usb1="00000000" w:usb2="00000000" w:usb3="00000000" w:csb0="00000002"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2A6DEE9" w14:textId="2979A785" w:rsidR="00344048" w:rsidRDefault="00344048" w:rsidP="00492978">
    <w:pPr>
      <w:pStyle w:val="Zpat"/>
      <w:tabs>
        <w:tab w:val="clear" w:pos="4536"/>
        <w:tab w:val="clear" w:pos="9072"/>
        <w:tab w:val="left" w:pos="5005"/>
      </w:tabs>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934FA04" w14:textId="4AA7DB14" w:rsidR="00344048" w:rsidRPr="00492978" w:rsidRDefault="00344048">
    <w:pPr>
      <w:pStyle w:val="Zpat"/>
      <w:rPr>
        <w:lang w:val="cs-CZ"/>
      </w:rPr>
    </w:pPr>
    <w:r>
      <w:rPr>
        <w:lang w:val="cs-CZ"/>
      </w:rP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03FFDFA" w14:textId="5A9800BB" w:rsidR="00344048" w:rsidRDefault="00344048">
    <w:pPr>
      <w:pStyle w:val="Zpat"/>
      <w:jc w:val="center"/>
    </w:pPr>
    <w:r>
      <w:fldChar w:fldCharType="begin"/>
    </w:r>
    <w:r>
      <w:instrText>PAGE   \* MERGEFORMAT</w:instrText>
    </w:r>
    <w:r>
      <w:fldChar w:fldCharType="separate"/>
    </w:r>
    <w:r w:rsidR="00770CD2" w:rsidRPr="00770CD2">
      <w:rPr>
        <w:lang w:val="cs-CZ"/>
      </w:rPr>
      <w:t>485</w:t>
    </w:r>
    <w:r>
      <w:fldChar w:fldCharType="end"/>
    </w:r>
  </w:p>
  <w:p w14:paraId="21FF220F" w14:textId="77777777" w:rsidR="00344048" w:rsidRDefault="00344048" w:rsidP="00492978">
    <w:pPr>
      <w:pStyle w:val="Zpat"/>
      <w:tabs>
        <w:tab w:val="clear" w:pos="4536"/>
        <w:tab w:val="clear" w:pos="9072"/>
        <w:tab w:val="left" w:pos="5005"/>
      </w:tabs>
      <w:jc w:val="cen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5B08B88" w14:textId="591D5C1A" w:rsidR="00344048" w:rsidRDefault="00344048">
    <w:pPr>
      <w:pStyle w:val="Zpat"/>
      <w:jc w:val="center"/>
    </w:pPr>
    <w:r>
      <w:fldChar w:fldCharType="begin"/>
    </w:r>
    <w:r>
      <w:instrText xml:space="preserve"> PAGE  \* Arabic </w:instrText>
    </w:r>
    <w:r>
      <w:fldChar w:fldCharType="separate"/>
    </w:r>
    <w:r w:rsidR="00770CD2">
      <w:t>489</w:t>
    </w:r>
    <w:r>
      <w:fldChar w:fldCharType="end"/>
    </w:r>
  </w:p>
  <w:p w14:paraId="30E5936F" w14:textId="77777777" w:rsidR="00344048" w:rsidRDefault="00344048">
    <w:pPr>
      <w:pStyle w:val="Zpat"/>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E13EAFE" w14:textId="3CE445A1" w:rsidR="00344048" w:rsidRDefault="00344048">
    <w:pPr>
      <w:pStyle w:val="Zpat"/>
      <w:jc w:val="center"/>
    </w:pPr>
    <w:r>
      <w:fldChar w:fldCharType="begin"/>
    </w:r>
    <w:r>
      <w:instrText xml:space="preserve"> PAGE   \* MERGEFORMAT </w:instrText>
    </w:r>
    <w:r>
      <w:fldChar w:fldCharType="separate"/>
    </w:r>
    <w:r w:rsidR="00770CD2">
      <w:t>501</w:t>
    </w:r>
    <w:r>
      <w:fldChar w:fldCharType="end"/>
    </w:r>
  </w:p>
  <w:p w14:paraId="0D2B00B9" w14:textId="77777777" w:rsidR="00344048" w:rsidRDefault="00344048">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3666F95" w14:textId="77777777" w:rsidR="00344048" w:rsidRDefault="00344048" w:rsidP="00035EA2">
      <w:pPr>
        <w:spacing w:line="240" w:lineRule="auto"/>
      </w:pPr>
      <w:r>
        <w:separator/>
      </w:r>
    </w:p>
  </w:footnote>
  <w:footnote w:type="continuationSeparator" w:id="0">
    <w:p w14:paraId="1BE21D73" w14:textId="77777777" w:rsidR="00344048" w:rsidRDefault="00344048" w:rsidP="00035EA2">
      <w:pPr>
        <w:spacing w:line="240" w:lineRule="auto"/>
      </w:pPr>
      <w:r>
        <w:continuationSeparator/>
      </w:r>
    </w:p>
  </w:footnote>
  <w:footnote w:id="1">
    <w:p w14:paraId="7FE87BB4" w14:textId="77777777" w:rsidR="00344048" w:rsidRPr="0085294F" w:rsidRDefault="00344048" w:rsidP="08CF7832">
      <w:pPr>
        <w:pStyle w:val="Textpoznpodarou"/>
      </w:pPr>
      <w:r w:rsidRPr="0085294F">
        <w:rPr>
          <w:rStyle w:val="Znakapoznpodarou"/>
        </w:rPr>
        <w:footnoteRef/>
      </w:r>
      <w:r w:rsidRPr="0085294F">
        <w:t xml:space="preserve"> „Und zuletzt haben sie in der Constellation etwas ausgelassen, ohne es zu wissen: eben den nothwendigen Perspektivismus, vermöge dessen jedes Kraftzentrum − und nicht nur der Mensch − von sich aus die ganze übrige Welt construirt, d. h. an seiner Kraft mißt, betastet, gestaltet... Sie haben vergessen, diese Perspektiven-</w:t>
      </w:r>
      <w:r w:rsidRPr="0085294F">
        <w:rPr>
          <w:i/>
          <w:iCs/>
        </w:rPr>
        <w:t>setzende</w:t>
      </w:r>
      <w:r w:rsidRPr="0085294F">
        <w:t xml:space="preserve"> Kraft in das »wahre Sein« einzurechnen... In der Schulsprache geredet: das Subjekt-sein...“ (</w:t>
      </w:r>
      <w:r w:rsidRPr="0085294F">
        <w:rPr>
          <w:i/>
        </w:rPr>
        <w:t>Nachlaß Frühjahr</w:t>
      </w:r>
      <w:r>
        <w:t xml:space="preserve"> 1888, 14 [186]; KSA 13, 373</w:t>
      </w:r>
      <w:r>
        <w:fldChar w:fldCharType="begin"/>
      </w:r>
      <w:r>
        <w:instrText xml:space="preserve"> XE "</w:instrText>
      </w:r>
      <w:r w:rsidRPr="001D5D63">
        <w:instrText>Nietzsche:</w:instrText>
      </w:r>
      <w:r w:rsidRPr="00E9534F">
        <w:instrText>KSA 13, 373</w:instrText>
      </w:r>
      <w:r>
        <w:instrText xml:space="preserve">" </w:instrText>
      </w:r>
      <w:r>
        <w:fldChar w:fldCharType="end"/>
      </w:r>
      <w:r w:rsidRPr="0085294F">
        <w:t>)</w:t>
      </w:r>
    </w:p>
  </w:footnote>
  <w:footnote w:id="2">
    <w:p w14:paraId="14DEB842" w14:textId="77777777" w:rsidR="00344048" w:rsidRPr="001B79E5" w:rsidRDefault="00344048" w:rsidP="080F79E5">
      <w:pPr>
        <w:pStyle w:val="Textpoznpodarou"/>
      </w:pPr>
      <w:r w:rsidRPr="001B79E5">
        <w:rPr>
          <w:rStyle w:val="Znakapoznpodarou"/>
        </w:rPr>
        <w:footnoteRef/>
      </w:r>
      <w:r w:rsidRPr="001B79E5">
        <w:t xml:space="preserve"> </w:t>
      </w:r>
      <w:r>
        <w:t>„</w:t>
      </w:r>
      <w:r w:rsidRPr="001B79E5">
        <w:t>Nun ist die Zweckmäßigkeit eines Dinges, sofern sie in der Wahrnehmung vorgestellt wird, auch keine Beschaffenheit des Objects selbst (denn eine solche kann nicht wahrgenommen werden), ob sie gleich aus einem Erkenntnisse der Dinge gefolgert werden kann.</w:t>
      </w:r>
      <w:r>
        <w:t xml:space="preserve">“ </w:t>
      </w:r>
      <w:r w:rsidRPr="005E2B99">
        <w:rPr>
          <w:noProof/>
        </w:rPr>
        <w:t>(</w:t>
      </w:r>
      <w:r>
        <w:rPr>
          <w:noProof/>
        </w:rPr>
        <w:t xml:space="preserve">KdU </w:t>
      </w:r>
      <w:r w:rsidRPr="005E2B99">
        <w:rPr>
          <w:noProof/>
        </w:rPr>
        <w:t>189</w:t>
      </w:r>
      <w:r>
        <w:fldChar w:fldCharType="begin"/>
      </w:r>
      <w:r>
        <w:instrText xml:space="preserve"> XE "Kant</w:instrText>
      </w:r>
      <w:r w:rsidRPr="001D5D63">
        <w:instrText>:</w:instrText>
      </w:r>
      <w:r>
        <w:instrText xml:space="preserve">KdU 189" </w:instrText>
      </w:r>
      <w:r>
        <w:fldChar w:fldCharType="end"/>
      </w:r>
      <w:r w:rsidRPr="005E2B99">
        <w:rPr>
          <w:noProof/>
        </w:rPr>
        <w:t>)</w:t>
      </w:r>
    </w:p>
  </w:footnote>
  <w:footnote w:id="3">
    <w:p w14:paraId="3F4F65DD" w14:textId="77777777" w:rsidR="00344048" w:rsidRPr="00271B89" w:rsidRDefault="00344048" w:rsidP="080F79E5">
      <w:pPr>
        <w:pStyle w:val="Textpoznpodarou"/>
      </w:pPr>
      <w:r>
        <w:rPr>
          <w:rStyle w:val="Znakapoznpodarou"/>
        </w:rPr>
        <w:footnoteRef/>
      </w:r>
      <w:r>
        <w:t xml:space="preserve"> Hermeneutický trojúhelník dějinnosti, dějin a historie má zásadní význam pro feno</w:t>
      </w:r>
      <w:r>
        <w:rPr>
          <w:lang w:val="cs-CZ"/>
        </w:rPr>
        <w:t xml:space="preserve">menologii </w:t>
      </w:r>
      <w:r>
        <w:t>(Umlauf 2010, 62‒65). Hermeneutika dějinnosti chápe základní dynamiku tohoto vývoje skrze proměny vztahu mezi synoptickým viděním</w:t>
      </w:r>
      <w:r>
        <w:rPr>
          <w:lang w:val="cs-CZ"/>
        </w:rPr>
        <w:t xml:space="preserve"> světa </w:t>
      </w:r>
      <w:r>
        <w:t>a teoretickým konceptem</w:t>
      </w:r>
      <w:r>
        <w:rPr>
          <w:lang w:val="cs-CZ"/>
        </w:rPr>
        <w:t xml:space="preserve"> tohoto vidění</w:t>
      </w:r>
      <w:r>
        <w:t>.</w:t>
      </w:r>
    </w:p>
  </w:footnote>
  <w:footnote w:id="4">
    <w:p w14:paraId="6403975D" w14:textId="77777777" w:rsidR="00344048" w:rsidRPr="0085294F" w:rsidRDefault="00344048" w:rsidP="0010360E">
      <w:pPr>
        <w:pStyle w:val="Textpoznpodarou"/>
      </w:pPr>
      <w:r w:rsidRPr="0085294F">
        <w:rPr>
          <w:rStyle w:val="Znakapoznpodarou"/>
        </w:rPr>
        <w:footnoteRef/>
      </w:r>
      <w:r w:rsidRPr="0085294F">
        <w:t xml:space="preserve"> „Alles liegt daran, vom unbestimmten, aber irgendwie verständlichen Anzeigegehalt aus das Verstehen auf die rechte </w:t>
      </w:r>
      <w:r w:rsidRPr="0085294F">
        <w:rPr>
          <w:i/>
          <w:iCs/>
        </w:rPr>
        <w:t>Blickbahn</w:t>
      </w:r>
      <w:r w:rsidRPr="0085294F">
        <w:t xml:space="preserve"> zu bringen. Das Gewinnen dieser Blickbahn kann und muß prophylaktisch unterstützt werden durch Abweisung </w:t>
      </w:r>
      <w:r w:rsidRPr="0085294F">
        <w:rPr>
          <w:i/>
          <w:iCs/>
        </w:rPr>
        <w:t>scheinbar</w:t>
      </w:r>
      <w:r w:rsidRPr="0085294F">
        <w:t xml:space="preserve"> verwandter und deshalb von selbst andrängender Blickstellungen, wie sie in einer jeweiligen Lage des Forschens herrschend sind.“ (</w:t>
      </w:r>
      <w:r w:rsidRPr="00800DC9">
        <w:t>GA</w:t>
      </w:r>
      <w:r w:rsidRPr="0085294F">
        <w:t xml:space="preserve"> 63, 80</w:t>
      </w:r>
      <w:r>
        <w:rPr>
          <w:lang w:val="cs-CZ"/>
        </w:rPr>
        <w:fldChar w:fldCharType="begin"/>
      </w:r>
      <w:r>
        <w:instrText xml:space="preserve"> XE "</w:instrText>
      </w:r>
      <w:r>
        <w:rPr>
          <w:lang w:val="cs-CZ"/>
        </w:rPr>
        <w:instrText>Heidegger</w:instrText>
      </w:r>
      <w:r w:rsidRPr="001D5D63">
        <w:instrText>:</w:instrText>
      </w:r>
      <w:r w:rsidRPr="00800DC9">
        <w:instrText>GA</w:instrText>
      </w:r>
      <w:r w:rsidRPr="0085294F">
        <w:instrText xml:space="preserve"> 63, 80</w:instrText>
      </w:r>
      <w:r>
        <w:instrText xml:space="preserve">" </w:instrText>
      </w:r>
      <w:r>
        <w:rPr>
          <w:lang w:val="cs-CZ"/>
        </w:rPr>
        <w:fldChar w:fldCharType="end"/>
      </w:r>
      <w:r w:rsidRPr="0085294F">
        <w:t>)</w:t>
      </w:r>
    </w:p>
  </w:footnote>
  <w:footnote w:id="5">
    <w:p w14:paraId="78D2C0F2" w14:textId="77777777" w:rsidR="00344048" w:rsidRPr="002A5012" w:rsidRDefault="00344048" w:rsidP="08932FED">
      <w:pPr>
        <w:pStyle w:val="Textpoznpodarou"/>
      </w:pPr>
      <w:r>
        <w:rPr>
          <w:rStyle w:val="Znakapoznpodarou"/>
        </w:rPr>
        <w:footnoteRef/>
      </w:r>
      <w:r w:rsidRPr="005D6ABF">
        <w:rPr>
          <w:lang w:val="de-DE"/>
        </w:rPr>
        <w:t xml:space="preserve"> „</w:t>
      </w:r>
      <w:r>
        <w:t xml:space="preserve">Der Ausdruck »Phänomenologie« bedeutet primär einen </w:t>
      </w:r>
      <w:r w:rsidRPr="005D6ABF">
        <w:rPr>
          <w:i/>
          <w:lang w:val="de-DE"/>
        </w:rPr>
        <w:t>Methodenbegriff</w:t>
      </w:r>
      <w:r>
        <w:rPr>
          <w:rFonts w:ascii="Sabon-Italic" w:hAnsi="Sabon-Italic" w:cs="Sabon-Italic"/>
          <w:i/>
          <w:iCs/>
        </w:rPr>
        <w:t xml:space="preserve">. </w:t>
      </w:r>
      <w:r>
        <w:t xml:space="preserve">Er charakterisiert nicht das sachhaltige Was der Gegenstände der philosophischen Forschung, sondern das </w:t>
      </w:r>
      <w:r w:rsidRPr="005D6ABF">
        <w:rPr>
          <w:i/>
          <w:lang w:val="de-DE"/>
        </w:rPr>
        <w:t>Wie</w:t>
      </w:r>
      <w:r>
        <w:rPr>
          <w:rFonts w:ascii="Sabon-Italic" w:hAnsi="Sabon-Italic" w:cs="Sabon-Italic"/>
          <w:i/>
          <w:iCs/>
        </w:rPr>
        <w:t xml:space="preserve"> </w:t>
      </w:r>
      <w:r>
        <w:t>dieser.“ (SZ</w:t>
      </w:r>
      <w:r>
        <w:rPr>
          <w:lang w:val="cs-CZ"/>
        </w:rPr>
        <w:t xml:space="preserve"> </w:t>
      </w:r>
      <w:r>
        <w:t>27</w:t>
      </w:r>
      <w:r>
        <w:rPr>
          <w:lang w:val="cs-CZ"/>
        </w:rPr>
        <w:fldChar w:fldCharType="begin"/>
      </w:r>
      <w:r>
        <w:instrText xml:space="preserve"> XE "</w:instrText>
      </w:r>
      <w:r>
        <w:rPr>
          <w:lang w:val="cs-CZ"/>
        </w:rPr>
        <w:instrText>Heidegger</w:instrText>
      </w:r>
      <w:r w:rsidRPr="001D5D63">
        <w:instrText>:</w:instrText>
      </w:r>
      <w:r>
        <w:rPr>
          <w:lang w:val="cs-CZ"/>
        </w:rPr>
        <w:instrText>SZ 27</w:instrText>
      </w:r>
      <w:r>
        <w:instrText xml:space="preserve">" </w:instrText>
      </w:r>
      <w:r>
        <w:rPr>
          <w:lang w:val="cs-CZ"/>
        </w:rPr>
        <w:fldChar w:fldCharType="end"/>
      </w:r>
      <w:r>
        <w:t>)</w:t>
      </w:r>
    </w:p>
  </w:footnote>
  <w:footnote w:id="6">
    <w:p w14:paraId="4840EEE9" w14:textId="77777777" w:rsidR="00344048" w:rsidRPr="00D22FEC" w:rsidRDefault="00344048" w:rsidP="083463FB">
      <w:pPr>
        <w:pStyle w:val="Textpoznpodarou"/>
        <w:rPr>
          <w:lang w:val="cs-CZ"/>
        </w:rPr>
      </w:pPr>
      <w:r>
        <w:rPr>
          <w:rStyle w:val="Znakapoznpodarou"/>
        </w:rPr>
        <w:footnoteRef/>
      </w:r>
      <w:r>
        <w:t xml:space="preserve"> „</w:t>
      </w:r>
      <w:r w:rsidRPr="002F5B9C">
        <w:t xml:space="preserve">Das umsichtig auf sein Um-zu Auseinandergelegte als solches, das </w:t>
      </w:r>
      <w:r w:rsidRPr="002F5B9C">
        <w:rPr>
          <w:i/>
        </w:rPr>
        <w:t>ausdrücklich</w:t>
      </w:r>
      <w:r w:rsidRPr="002F5B9C">
        <w:t xml:space="preserve"> Verstandene, hat die Struktur des </w:t>
      </w:r>
      <w:r w:rsidRPr="002F5B9C">
        <w:rPr>
          <w:i/>
        </w:rPr>
        <w:t>Etwas als Etwas</w:t>
      </w:r>
      <w:r w:rsidRPr="002F5B9C">
        <w:t xml:space="preserve">. Auf die umsichtige Frage, was dieses bestimmte Zuhandene sei, lautet die umsichtig auslegende Antwort: es ist zum... Die Angabe des Wozu ist nicht einfach die Nennung von etwas, sondern das Genannte ist verstanden </w:t>
      </w:r>
      <w:r w:rsidRPr="002F5B9C">
        <w:rPr>
          <w:i/>
        </w:rPr>
        <w:t>als</w:t>
      </w:r>
      <w:r w:rsidRPr="002F5B9C">
        <w:t xml:space="preserve"> das, </w:t>
      </w:r>
      <w:r w:rsidRPr="002F5B9C">
        <w:rPr>
          <w:i/>
        </w:rPr>
        <w:t>als</w:t>
      </w:r>
      <w:r w:rsidRPr="002F5B9C">
        <w:t xml:space="preserve"> welches das in Frage stehende zu nehmen ist.</w:t>
      </w:r>
      <w:r>
        <w:t>“ (SZ</w:t>
      </w:r>
      <w:r>
        <w:rPr>
          <w:lang w:val="cs-CZ"/>
        </w:rPr>
        <w:t xml:space="preserve"> </w:t>
      </w:r>
      <w:r>
        <w:t>149</w:t>
      </w:r>
      <w:r>
        <w:rPr>
          <w:lang w:val="cs-CZ"/>
        </w:rPr>
        <w:fldChar w:fldCharType="begin"/>
      </w:r>
      <w:r>
        <w:instrText xml:space="preserve"> XE "</w:instrText>
      </w:r>
      <w:r>
        <w:rPr>
          <w:lang w:val="cs-CZ"/>
        </w:rPr>
        <w:instrText>Heidegger</w:instrText>
      </w:r>
      <w:r w:rsidRPr="001D5D63">
        <w:instrText>:</w:instrText>
      </w:r>
      <w:r>
        <w:rPr>
          <w:lang w:val="cs-CZ"/>
        </w:rPr>
        <w:instrText>SZ 149</w:instrText>
      </w:r>
      <w:r>
        <w:instrText xml:space="preserve">" </w:instrText>
      </w:r>
      <w:r>
        <w:rPr>
          <w:lang w:val="cs-CZ"/>
        </w:rPr>
        <w:fldChar w:fldCharType="end"/>
      </w:r>
      <w:r>
        <w:rPr>
          <w:lang w:val="cs-CZ"/>
        </w:rPr>
        <w:t>)</w:t>
      </w:r>
    </w:p>
  </w:footnote>
  <w:footnote w:id="7">
    <w:p w14:paraId="7E1A492B" w14:textId="77777777" w:rsidR="00344048" w:rsidRPr="0085294F" w:rsidRDefault="00344048" w:rsidP="006971AF">
      <w:pPr>
        <w:pStyle w:val="Textpoznpodarou"/>
      </w:pPr>
      <w:r w:rsidRPr="0085294F">
        <w:rPr>
          <w:rStyle w:val="Znakapoznpodarou"/>
        </w:rPr>
        <w:footnoteRef/>
      </w:r>
      <w:r w:rsidRPr="0085294F">
        <w:t xml:space="preserve"> „Die Blickbahn des Anblicks muß im voraus schon gebahn</w:t>
      </w:r>
      <w:r>
        <w:t>t sein. Wir nennen sie die Vor-</w:t>
      </w:r>
      <w:r w:rsidRPr="0085294F">
        <w:t>blickbahn, die »Perspektive«. So wird sich zeigen: Das Sein ist nicht nur nicht in unbestimmter Weise verstanden, sondern das bestimmte Verstehen des Seins bewegt sich selbst in einer schon bestimmten Vorblickbahn.“ (</w:t>
      </w:r>
      <w:r w:rsidRPr="00EF1DEF">
        <w:rPr>
          <w:lang w:val="cs-CZ"/>
        </w:rPr>
        <w:fldChar w:fldCharType="begin"/>
      </w:r>
      <w:r w:rsidRPr="00EF1DEF">
        <w:instrText xml:space="preserve"> XE "</w:instrText>
      </w:r>
      <w:r w:rsidRPr="00EF1DEF">
        <w:rPr>
          <w:lang w:val="cs-CZ"/>
        </w:rPr>
        <w:instrText>Heidegger</w:instrText>
      </w:r>
      <w:r w:rsidRPr="00EF1DEF">
        <w:instrText xml:space="preserve">:GA </w:instrText>
      </w:r>
      <w:r w:rsidRPr="00EF1DEF">
        <w:rPr>
          <w:lang w:val="cs-CZ"/>
        </w:rPr>
        <w:instrText>40</w:instrText>
      </w:r>
      <w:r w:rsidRPr="00EF1DEF">
        <w:instrText xml:space="preserve">, </w:instrText>
      </w:r>
      <w:r w:rsidRPr="00EF1DEF">
        <w:rPr>
          <w:lang w:val="cs-CZ"/>
        </w:rPr>
        <w:instrText>125</w:instrText>
      </w:r>
      <w:r w:rsidRPr="00EF1DEF">
        <w:instrText xml:space="preserve">" </w:instrText>
      </w:r>
      <w:r w:rsidRPr="00EF1DEF">
        <w:rPr>
          <w:lang w:val="cs-CZ"/>
        </w:rPr>
        <w:fldChar w:fldCharType="end"/>
      </w:r>
      <w:r w:rsidRPr="00EF1DEF">
        <w:t>GA</w:t>
      </w:r>
      <w:r w:rsidRPr="0085294F">
        <w:t xml:space="preserve"> 40, 125)</w:t>
      </w:r>
    </w:p>
  </w:footnote>
  <w:footnote w:id="8">
    <w:p w14:paraId="5175DF5F" w14:textId="77777777" w:rsidR="00344048" w:rsidRPr="00FE2AE7" w:rsidRDefault="00344048" w:rsidP="08511548">
      <w:pPr>
        <w:pStyle w:val="Textpoznpodarou"/>
        <w:rPr>
          <w:lang w:val="cs-CZ"/>
        </w:rPr>
      </w:pPr>
      <w:r>
        <w:rPr>
          <w:rStyle w:val="Znakapoznpodarou"/>
        </w:rPr>
        <w:footnoteRef/>
      </w:r>
      <w:r>
        <w:t xml:space="preserve"> </w:t>
      </w:r>
      <w:r>
        <w:rPr>
          <w:lang w:val="cs-CZ"/>
        </w:rPr>
        <w:t>„</w:t>
      </w:r>
      <w:r w:rsidRPr="00FE2AE7">
        <w:t xml:space="preserve">Hermes ist der Götterbote. Er bringt die Botschaft des Geschickes; </w:t>
      </w:r>
      <w:r>
        <w:t>ἑρμηνεύειν</w:t>
      </w:r>
      <w:r>
        <w:rPr>
          <w:lang w:val="cs-CZ"/>
        </w:rPr>
        <w:t xml:space="preserve"> </w:t>
      </w:r>
      <w:r w:rsidRPr="00FE2AE7">
        <w:t xml:space="preserve">ist jenes Darlegen, das Kunde bringt, insofern es auf </w:t>
      </w:r>
      <w:r>
        <w:t>eine Botschaft zu hören vermag</w:t>
      </w:r>
      <w:r>
        <w:rPr>
          <w:lang w:val="cs-CZ"/>
        </w:rPr>
        <w:t>.“</w:t>
      </w:r>
      <w:r w:rsidRPr="00FE2AE7">
        <w:t xml:space="preserve"> (GA 12,</w:t>
      </w:r>
      <w:r>
        <w:rPr>
          <w:lang w:val="cs-CZ"/>
        </w:rPr>
        <w:t xml:space="preserve"> </w:t>
      </w:r>
      <w:r w:rsidRPr="00FE2AE7">
        <w:t>115</w:t>
      </w:r>
      <w:r>
        <w:rPr>
          <w:lang w:val="cs-CZ"/>
        </w:rPr>
        <w:fldChar w:fldCharType="begin"/>
      </w:r>
      <w:r>
        <w:instrText xml:space="preserve"> XE "</w:instrText>
      </w:r>
      <w:r>
        <w:rPr>
          <w:lang w:val="cs-CZ"/>
        </w:rPr>
        <w:instrText>Heidegger:</w:instrText>
      </w:r>
      <w:r w:rsidRPr="0020260D">
        <w:instrText>GA</w:instrText>
      </w:r>
      <w:r>
        <w:instrText xml:space="preserve"> 1</w:instrText>
      </w:r>
      <w:r>
        <w:rPr>
          <w:lang w:val="cs-CZ"/>
        </w:rPr>
        <w:instrText>2</w:instrText>
      </w:r>
      <w:r w:rsidRPr="00273106">
        <w:instrText xml:space="preserve">, </w:instrText>
      </w:r>
      <w:r>
        <w:rPr>
          <w:lang w:val="cs-CZ"/>
        </w:rPr>
        <w:instrText>115</w:instrText>
      </w:r>
      <w:r>
        <w:instrText xml:space="preserve">" </w:instrText>
      </w:r>
      <w:r>
        <w:rPr>
          <w:lang w:val="cs-CZ"/>
        </w:rPr>
        <w:fldChar w:fldCharType="end"/>
      </w:r>
      <w:r w:rsidRPr="00FE2AE7">
        <w:t>)</w:t>
      </w:r>
    </w:p>
  </w:footnote>
  <w:footnote w:id="9">
    <w:p w14:paraId="320716F4" w14:textId="77777777" w:rsidR="00344048" w:rsidRPr="0085294F" w:rsidRDefault="00344048" w:rsidP="08C4094C">
      <w:pPr>
        <w:pStyle w:val="Textpoznpodarou"/>
      </w:pPr>
      <w:r w:rsidRPr="0085294F">
        <w:rPr>
          <w:rStyle w:val="Znakapoznpodarou"/>
        </w:rPr>
        <w:footnoteRef/>
      </w:r>
      <w:r>
        <w:rPr>
          <w:lang w:val="cs-CZ"/>
        </w:rPr>
        <w:t xml:space="preserve"> </w:t>
      </w:r>
      <w:r w:rsidRPr="0085294F">
        <w:t xml:space="preserve">Viz </w:t>
      </w:r>
      <w:r>
        <w:rPr>
          <w:lang w:val="cs-CZ"/>
        </w:rPr>
        <w:t xml:space="preserve">zejména klasické </w:t>
      </w:r>
      <w:r>
        <w:t>studie</w:t>
      </w:r>
      <w:r w:rsidRPr="0085294F">
        <w:t xml:space="preserve"> </w:t>
      </w:r>
      <w:r w:rsidRPr="00B26B17">
        <w:rPr>
          <w:i/>
        </w:rPr>
        <w:t>Homme grec</w:t>
      </w:r>
      <w:r w:rsidRPr="0085294F">
        <w:t xml:space="preserve">, </w:t>
      </w:r>
      <w:r w:rsidRPr="00B26B17">
        <w:rPr>
          <w:i/>
        </w:rPr>
        <w:t>La mort dans les yeux</w:t>
      </w:r>
      <w:r>
        <w:t xml:space="preserve">, </w:t>
      </w:r>
      <w:r w:rsidRPr="0085294F">
        <w:t xml:space="preserve"> </w:t>
      </w:r>
      <w:r w:rsidRPr="00B26B17">
        <w:rPr>
          <w:i/>
          <w:lang w:val="fr-FR"/>
        </w:rPr>
        <w:t xml:space="preserve">De la présentification </w:t>
      </w:r>
      <w:r w:rsidRPr="00B26B17">
        <w:rPr>
          <w:i/>
          <w:spacing w:val="-4"/>
          <w:lang w:val="fr-FR"/>
        </w:rPr>
        <w:t xml:space="preserve">de l'invisible à l'imitation </w:t>
      </w:r>
      <w:r w:rsidRPr="00B26B17">
        <w:rPr>
          <w:i/>
          <w:lang w:val="fr-FR"/>
        </w:rPr>
        <w:t>de l'apparence</w:t>
      </w:r>
      <w:r>
        <w:t xml:space="preserve"> </w:t>
      </w:r>
      <w:r>
        <w:rPr>
          <w:lang w:val="cs-CZ"/>
        </w:rPr>
        <w:t xml:space="preserve">sebrané v souborném díle </w:t>
      </w:r>
      <w:r>
        <w:t>(Vernant 1996).</w:t>
      </w:r>
    </w:p>
  </w:footnote>
  <w:footnote w:id="10">
    <w:p w14:paraId="55086781" w14:textId="77777777" w:rsidR="00344048" w:rsidRPr="08BC561C" w:rsidRDefault="00344048" w:rsidP="087474B4">
      <w:pPr>
        <w:pStyle w:val="Textpoznpodarou"/>
        <w:rPr>
          <w:lang w:val="cs-CZ"/>
        </w:rPr>
      </w:pPr>
      <w:r>
        <w:rPr>
          <w:rStyle w:val="Znakapoznpodarou"/>
        </w:rPr>
        <w:footnoteRef/>
      </w:r>
      <w:r>
        <w:t xml:space="preserve"> </w:t>
      </w:r>
      <w:r>
        <w:rPr>
          <w:lang w:val="cs-CZ"/>
        </w:rPr>
        <w:t xml:space="preserve">Viz výklad věštecké a rápsódické formy vidění, která ustavuje první pól hermeneutické elipsy a tím zakládá triádu porozumění v modu dějinnosti, dějin a historie </w:t>
      </w:r>
      <w:r>
        <w:t>(Umlauf 2010,</w:t>
      </w:r>
      <w:r>
        <w:rPr>
          <w:lang w:val="cs-CZ"/>
        </w:rPr>
        <w:t xml:space="preserve"> 11‒66</w:t>
      </w:r>
      <w:r>
        <w:t>)</w:t>
      </w:r>
      <w:r>
        <w:rPr>
          <w:lang w:val="cs-CZ"/>
        </w:rPr>
        <w:t>.</w:t>
      </w:r>
    </w:p>
  </w:footnote>
  <w:footnote w:id="11">
    <w:p w14:paraId="3E77AA09" w14:textId="77777777" w:rsidR="00344048" w:rsidRPr="00E51432" w:rsidRDefault="00344048" w:rsidP="00A911CB">
      <w:pPr>
        <w:pStyle w:val="Textpoznpodarou"/>
        <w:rPr>
          <w:lang w:val="cs-CZ"/>
        </w:rPr>
      </w:pPr>
      <w:r>
        <w:rPr>
          <w:rStyle w:val="Znakapoznpodarou"/>
        </w:rPr>
        <w:footnoteRef/>
      </w:r>
      <w:r>
        <w:t xml:space="preserve"> </w:t>
      </w:r>
      <w:r>
        <w:rPr>
          <w:lang w:val="cs-CZ"/>
        </w:rPr>
        <w:t xml:space="preserve">„Le grec </w:t>
      </w:r>
      <w:r w:rsidRPr="00E51432">
        <w:rPr>
          <w:i/>
          <w:lang w:val="cs-CZ"/>
        </w:rPr>
        <w:t>ístor</w:t>
      </w:r>
      <w:r>
        <w:rPr>
          <w:lang w:val="cs-CZ"/>
        </w:rPr>
        <w:t xml:space="preserve"> prend place dans la m</w:t>
      </w:r>
      <w:r>
        <w:rPr>
          <w:rFonts w:cs="Calibri"/>
          <w:lang w:val="cs-CZ"/>
        </w:rPr>
        <w:t>ê</w:t>
      </w:r>
      <w:r>
        <w:rPr>
          <w:lang w:val="cs-CZ"/>
        </w:rPr>
        <w:t>me série et la valeur propre de cette racine *</w:t>
      </w:r>
      <w:r w:rsidRPr="00E51432">
        <w:rPr>
          <w:i/>
          <w:lang w:val="cs-CZ"/>
        </w:rPr>
        <w:t>wid</w:t>
      </w:r>
      <w:r>
        <w:rPr>
          <w:i/>
          <w:lang w:val="cs-CZ"/>
        </w:rPr>
        <w:t>-</w:t>
      </w:r>
      <w:r>
        <w:rPr>
          <w:lang w:val="cs-CZ"/>
        </w:rPr>
        <w:t xml:space="preserve"> est éclairée par la r</w:t>
      </w:r>
      <w:r>
        <w:rPr>
          <w:rFonts w:cs="Calibri"/>
          <w:lang w:val="cs-CZ"/>
        </w:rPr>
        <w:t>è</w:t>
      </w:r>
      <w:r>
        <w:rPr>
          <w:lang w:val="cs-CZ"/>
        </w:rPr>
        <w:t xml:space="preserve">gle énoncé dans le </w:t>
      </w:r>
      <w:r>
        <w:rPr>
          <w:rFonts w:cs="Calibri"/>
          <w:lang w:val="cs-CZ"/>
        </w:rPr>
        <w:t>Ṡ</w:t>
      </w:r>
      <w:r>
        <w:rPr>
          <w:lang w:val="cs-CZ"/>
        </w:rPr>
        <w:t>atapatha Br</w:t>
      </w:r>
      <w:r>
        <w:rPr>
          <w:rFonts w:cs="Calibri"/>
          <w:lang w:val="cs-CZ"/>
        </w:rPr>
        <w:t>ā</w:t>
      </w:r>
      <w:r>
        <w:rPr>
          <w:lang w:val="cs-CZ"/>
        </w:rPr>
        <w:t xml:space="preserve">hmana (...): „Si maintenant deux hommes se disputent (ont un litige) en disant, l´un </w:t>
      </w:r>
      <w:r>
        <w:rPr>
          <w:rFonts w:cs="Calibri"/>
          <w:lang w:val="cs-CZ"/>
        </w:rPr>
        <w:t>«</w:t>
      </w:r>
      <w:r>
        <w:rPr>
          <w:lang w:val="cs-CZ"/>
        </w:rPr>
        <w:t xml:space="preserve"> moi, j´ai vu </w:t>
      </w:r>
      <w:r>
        <w:rPr>
          <w:rFonts w:cs="Calibri"/>
          <w:lang w:val="cs-CZ"/>
        </w:rPr>
        <w:t>»</w:t>
      </w:r>
      <w:r>
        <w:rPr>
          <w:lang w:val="cs-CZ"/>
        </w:rPr>
        <w:t xml:space="preserve">, l´autre </w:t>
      </w:r>
      <w:r>
        <w:rPr>
          <w:rFonts w:cs="Calibri"/>
          <w:lang w:val="cs-CZ"/>
        </w:rPr>
        <w:t>«</w:t>
      </w:r>
      <w:r>
        <w:rPr>
          <w:lang w:val="cs-CZ"/>
        </w:rPr>
        <w:t xml:space="preserve"> moi, j´ai antendu </w:t>
      </w:r>
      <w:r>
        <w:rPr>
          <w:rFonts w:cs="Calibri"/>
          <w:lang w:val="cs-CZ"/>
        </w:rPr>
        <w:t>», celui qui dit «</w:t>
      </w:r>
      <w:r>
        <w:rPr>
          <w:lang w:val="cs-CZ"/>
        </w:rPr>
        <w:t xml:space="preserve"> moi, j´ai vu </w:t>
      </w:r>
      <w:r>
        <w:rPr>
          <w:rFonts w:cs="Calibri"/>
          <w:lang w:val="cs-CZ"/>
        </w:rPr>
        <w:t>»</w:t>
      </w:r>
      <w:r>
        <w:rPr>
          <w:lang w:val="cs-CZ"/>
        </w:rPr>
        <w:t>, c´est celui-l</w:t>
      </w:r>
      <w:r>
        <w:rPr>
          <w:rFonts w:cs="Calibri"/>
          <w:lang w:val="cs-CZ"/>
        </w:rPr>
        <w:t xml:space="preserve">à que nous devons croire.“ </w:t>
      </w:r>
      <w:r>
        <w:t>(Benveniste 1969, t. II, 173)</w:t>
      </w:r>
    </w:p>
  </w:footnote>
  <w:footnote w:id="12">
    <w:p w14:paraId="0FC303DF" w14:textId="77777777" w:rsidR="00344048" w:rsidRPr="08763702" w:rsidRDefault="00344048" w:rsidP="084626A0">
      <w:pPr>
        <w:pStyle w:val="Textpoznpodarou"/>
        <w:rPr>
          <w:lang w:val="cs-CZ"/>
        </w:rPr>
      </w:pPr>
      <w:r>
        <w:rPr>
          <w:rStyle w:val="Znakapoznpodarou"/>
        </w:rPr>
        <w:footnoteRef/>
      </w:r>
      <w:r>
        <w:t xml:space="preserve"> </w:t>
      </w:r>
      <w:r>
        <w:rPr>
          <w:lang w:val="cs-CZ"/>
        </w:rPr>
        <w:t>„Umíme říkat mnoho klamného, co se podobná pravdě</w:t>
      </w:r>
      <w:r>
        <w:t xml:space="preserve">, </w:t>
      </w:r>
      <w:r>
        <w:rPr>
          <w:lang w:val="cs-CZ"/>
        </w:rPr>
        <w:t>ale také umíme, pokud chceme, nechat zaznít pravdu.</w:t>
      </w:r>
      <w:r>
        <w:t>“</w:t>
      </w:r>
      <w:r>
        <w:rPr>
          <w:lang w:val="cs-CZ"/>
        </w:rPr>
        <w:t xml:space="preserve"> (</w:t>
      </w:r>
      <w:r w:rsidRPr="08763702">
        <w:t>ἴδμεν ψεύδεα πολλὰ λέγειν ἐτύμοισιν ὁμοῖα, ἴδμεν δ' εὖτ' ἐθέλωμεν ἀληθέα γηρύσασθαι</w:t>
      </w:r>
      <w:r>
        <w:rPr>
          <w:lang w:val="cs-CZ"/>
        </w:rPr>
        <w:t xml:space="preserve">; </w:t>
      </w:r>
      <w:r w:rsidRPr="0849610A">
        <w:rPr>
          <w:i/>
          <w:lang w:val="cs-CZ"/>
        </w:rPr>
        <w:t>Theogonie</w:t>
      </w:r>
      <w:r>
        <w:rPr>
          <w:lang w:val="cs-CZ"/>
        </w:rPr>
        <w:t>, v. 27‒28</w:t>
      </w:r>
      <w:r>
        <w:rPr>
          <w:lang w:val="cs-CZ"/>
        </w:rPr>
        <w:fldChar w:fldCharType="begin"/>
      </w:r>
      <w:r>
        <w:instrText xml:space="preserve"> XE "</w:instrText>
      </w:r>
      <w:r>
        <w:rPr>
          <w:lang w:val="cs-CZ"/>
        </w:rPr>
        <w:instrText>Hesiod:</w:instrText>
      </w:r>
      <w:r w:rsidRPr="08476996">
        <w:rPr>
          <w:i/>
          <w:lang w:val="cs-CZ"/>
        </w:rPr>
        <w:instrText>Theogonie</w:instrText>
      </w:r>
      <w:r w:rsidRPr="08476996">
        <w:rPr>
          <w:lang w:val="cs-CZ"/>
        </w:rPr>
        <w:instrText xml:space="preserve"> 27‒28</w:instrText>
      </w:r>
      <w:r>
        <w:instrText xml:space="preserve">" </w:instrText>
      </w:r>
      <w:r>
        <w:rPr>
          <w:lang w:val="cs-CZ"/>
        </w:rPr>
        <w:fldChar w:fldCharType="end"/>
      </w:r>
      <w:r>
        <w:rPr>
          <w:lang w:val="cs-CZ"/>
        </w:rPr>
        <w:t>)</w:t>
      </w:r>
    </w:p>
  </w:footnote>
  <w:footnote w:id="13">
    <w:p w14:paraId="6430BED7" w14:textId="77777777" w:rsidR="00344048" w:rsidRPr="00BB14C3" w:rsidRDefault="00344048" w:rsidP="00411B3E">
      <w:pPr>
        <w:pStyle w:val="Textpoznpodarou"/>
      </w:pPr>
      <w:r w:rsidRPr="00BB14C3">
        <w:rPr>
          <w:rStyle w:val="Znakapoznpodarou"/>
        </w:rPr>
        <w:footnoteRef/>
      </w:r>
      <w:r w:rsidRPr="00BB14C3">
        <w:t xml:space="preserve"> « Älteste Form der Idee, relativ klug, simpel, überzeugend. Umschreibung des Satzes „ich, Plato, bin die Wahrheit. » (</w:t>
      </w:r>
      <w:r w:rsidRPr="00BB14C3">
        <w:rPr>
          <w:i/>
        </w:rPr>
        <w:t>Wie die „wahre Welt“ endlich zur Fabel wurde</w:t>
      </w:r>
      <w:r>
        <w:rPr>
          <w:lang w:val="cs-CZ"/>
        </w:rPr>
        <w:t xml:space="preserve">; </w:t>
      </w:r>
      <w:r>
        <w:t>KSA 6,</w:t>
      </w:r>
      <w:r>
        <w:rPr>
          <w:lang w:val="cs-CZ"/>
        </w:rPr>
        <w:t xml:space="preserve"> </w:t>
      </w:r>
      <w:r w:rsidRPr="00BB14C3">
        <w:t>80</w:t>
      </w:r>
      <w:r>
        <w:fldChar w:fldCharType="begin"/>
      </w:r>
      <w:r>
        <w:instrText xml:space="preserve"> XE "</w:instrText>
      </w:r>
      <w:r w:rsidRPr="001D5D63">
        <w:instrText>Nietzsche:</w:instrText>
      </w:r>
      <w:r>
        <w:instrText xml:space="preserve">KSA </w:instrText>
      </w:r>
      <w:r>
        <w:rPr>
          <w:lang w:val="cs-CZ"/>
        </w:rPr>
        <w:instrText>6</w:instrText>
      </w:r>
      <w:r w:rsidRPr="00E9534F">
        <w:instrText xml:space="preserve">, </w:instrText>
      </w:r>
      <w:r>
        <w:rPr>
          <w:lang w:val="cs-CZ"/>
        </w:rPr>
        <w:instrText>80</w:instrText>
      </w:r>
      <w:r>
        <w:instrText xml:space="preserve">" </w:instrText>
      </w:r>
      <w:r>
        <w:fldChar w:fldCharType="end"/>
      </w:r>
      <w:r w:rsidRPr="00BB14C3">
        <w:t>)</w:t>
      </w:r>
    </w:p>
  </w:footnote>
  <w:footnote w:id="14">
    <w:p w14:paraId="47784B5E" w14:textId="77777777" w:rsidR="00344048" w:rsidRPr="007B474D" w:rsidRDefault="00344048" w:rsidP="00515D64">
      <w:pPr>
        <w:pStyle w:val="Textpoznpodarou"/>
      </w:pPr>
      <w:r w:rsidRPr="0085294F">
        <w:rPr>
          <w:rStyle w:val="Znakapoznpodarou"/>
        </w:rPr>
        <w:footnoteRef/>
      </w:r>
      <w:r w:rsidRPr="0085294F">
        <w:t xml:space="preserve"> </w:t>
      </w:r>
      <w:r w:rsidRPr="007B474D">
        <w:t>„An der ὀρθότης, der Richtigk</w:t>
      </w:r>
      <w:r>
        <w:t xml:space="preserve">eit des Blickens, liegt alles. </w:t>
      </w:r>
      <w:r w:rsidRPr="007B474D">
        <w:t>Durch diese Richtigkeit wird das Sehen und Erkennen ein rechtes, so daß es zuletzt geradeaus auf die höchste Idee geht und in dieser »Ausrichtung« sich festmacht.“ (GA 9, 230</w:t>
      </w:r>
      <w:r>
        <w:rPr>
          <w:lang w:val="cs-CZ"/>
        </w:rPr>
        <w:fldChar w:fldCharType="begin"/>
      </w:r>
      <w:r>
        <w:instrText xml:space="preserve"> XE "</w:instrText>
      </w:r>
      <w:r>
        <w:rPr>
          <w:lang w:val="cs-CZ"/>
        </w:rPr>
        <w:instrText>Heidegger:</w:instrText>
      </w:r>
      <w:r>
        <w:instrText>GA 9, 2</w:instrText>
      </w:r>
      <w:r>
        <w:rPr>
          <w:lang w:val="cs-CZ"/>
        </w:rPr>
        <w:instrText>30</w:instrText>
      </w:r>
      <w:r>
        <w:instrText xml:space="preserve">" </w:instrText>
      </w:r>
      <w:r>
        <w:rPr>
          <w:lang w:val="cs-CZ"/>
        </w:rPr>
        <w:fldChar w:fldCharType="end"/>
      </w:r>
      <w:r w:rsidRPr="007B474D">
        <w:t xml:space="preserve">). </w:t>
      </w:r>
    </w:p>
  </w:footnote>
  <w:footnote w:id="15">
    <w:p w14:paraId="6CF02851" w14:textId="77777777" w:rsidR="00344048" w:rsidRPr="0085294F" w:rsidRDefault="00344048" w:rsidP="003055E1">
      <w:pPr>
        <w:pStyle w:val="Textpoznpodarou"/>
      </w:pPr>
      <w:r w:rsidRPr="0085294F">
        <w:rPr>
          <w:rStyle w:val="Znakapoznpodarou"/>
        </w:rPr>
        <w:footnoteRef/>
      </w:r>
      <w:r w:rsidRPr="0085294F">
        <w:t xml:space="preserve"> „</w:t>
      </w:r>
      <w:r w:rsidRPr="00330B51">
        <w:t>παιδεία</w:t>
      </w:r>
      <w:r w:rsidRPr="0085294F">
        <w:t xml:space="preserve"> meint die Umwendung des ganzen Menschen im Sinne der eingewöhnenden Versetzung aus dem Bezirk des zunächst Begegnenden in einem anderen Bereich, darin das Seiende erscheint.“ (GA 9, 218</w:t>
      </w:r>
      <w:r>
        <w:rPr>
          <w:lang w:val="cs-CZ"/>
        </w:rPr>
        <w:fldChar w:fldCharType="begin"/>
      </w:r>
      <w:r>
        <w:instrText xml:space="preserve"> XE "</w:instrText>
      </w:r>
      <w:r>
        <w:rPr>
          <w:lang w:val="cs-CZ"/>
        </w:rPr>
        <w:instrText>Heidegger:</w:instrText>
      </w:r>
      <w:r w:rsidRPr="0085294F">
        <w:instrText>GA 9, 218</w:instrText>
      </w:r>
      <w:r>
        <w:instrText xml:space="preserve">" </w:instrText>
      </w:r>
      <w:r>
        <w:rPr>
          <w:lang w:val="cs-CZ"/>
        </w:rPr>
        <w:fldChar w:fldCharType="end"/>
      </w:r>
      <w:r w:rsidRPr="0085294F">
        <w:t>)</w:t>
      </w:r>
    </w:p>
  </w:footnote>
  <w:footnote w:id="16">
    <w:p w14:paraId="54479D17" w14:textId="77777777" w:rsidR="00344048" w:rsidRPr="00EB1320" w:rsidRDefault="00344048" w:rsidP="00B573F3">
      <w:pPr>
        <w:pStyle w:val="Textpoznpodarou"/>
        <w:rPr>
          <w:lang w:val="cs-CZ"/>
        </w:rPr>
      </w:pPr>
      <w:r>
        <w:rPr>
          <w:rStyle w:val="Znakapoznpodarou"/>
        </w:rPr>
        <w:footnoteRef/>
      </w:r>
      <w:r>
        <w:t xml:space="preserve"> </w:t>
      </w:r>
      <w:r>
        <w:rPr>
          <w:lang w:val="cs-CZ"/>
        </w:rPr>
        <w:t>„</w:t>
      </w:r>
      <w:r w:rsidRPr="00EB1320">
        <w:rPr>
          <w:lang w:val="cs-CZ"/>
        </w:rPr>
        <w:t>But we have now posited that it is impossible for anything at the same time to be and not to be, and by this means have shown that this is the most</w:t>
      </w:r>
      <w:r>
        <w:rPr>
          <w:lang w:val="cs-CZ"/>
        </w:rPr>
        <w:t xml:space="preserve"> indisputable of all principles</w:t>
      </w:r>
      <w:r w:rsidRPr="00EB1320">
        <w:rPr>
          <w:lang w:val="cs-CZ"/>
        </w:rPr>
        <w:t>.</w:t>
      </w:r>
      <w:r>
        <w:rPr>
          <w:lang w:val="cs-CZ"/>
        </w:rPr>
        <w:t xml:space="preserve">“ </w:t>
      </w:r>
      <w:r w:rsidRPr="00273106">
        <w:rPr>
          <w:rStyle w:val="Zvraznn"/>
          <w:i w:val="0"/>
        </w:rPr>
        <w:t>(</w:t>
      </w:r>
      <w:r w:rsidRPr="00273106">
        <w:rPr>
          <w:rStyle w:val="Zvraznn"/>
        </w:rPr>
        <w:t>Met.</w:t>
      </w:r>
      <w:r w:rsidRPr="00273106">
        <w:t xml:space="preserve"> </w:t>
      </w:r>
      <w:r>
        <w:rPr>
          <w:lang w:val="cs-CZ"/>
        </w:rPr>
        <w:t xml:space="preserve">IV.4, </w:t>
      </w:r>
      <w:r>
        <w:t>1006a</w:t>
      </w:r>
      <w:r>
        <w:rPr>
          <w:lang w:val="cs-CZ"/>
        </w:rPr>
        <w:t>3</w:t>
      </w:r>
      <w:r>
        <w:t>–</w:t>
      </w:r>
      <w:r>
        <w:rPr>
          <w:lang w:val="cs-CZ"/>
        </w:rPr>
        <w:t>5</w:t>
      </w:r>
      <w:r>
        <w:rPr>
          <w:i/>
        </w:rPr>
        <w:fldChar w:fldCharType="begin"/>
      </w:r>
      <w:r>
        <w:instrText xml:space="preserve"> XE "Aristoteles:</w:instrText>
      </w:r>
      <w:r w:rsidRPr="000421A2">
        <w:rPr>
          <w:i/>
        </w:rPr>
        <w:instrText>Met</w:instrText>
      </w:r>
      <w:r>
        <w:instrText>. 1006a</w:instrText>
      </w:r>
      <w:r>
        <w:rPr>
          <w:lang w:val="cs-CZ"/>
        </w:rPr>
        <w:instrText>3</w:instrText>
      </w:r>
      <w:r>
        <w:instrText>–</w:instrText>
      </w:r>
      <w:r>
        <w:rPr>
          <w:lang w:val="cs-CZ"/>
        </w:rPr>
        <w:instrText>5</w:instrText>
      </w:r>
      <w:r>
        <w:instrText xml:space="preserve">" </w:instrText>
      </w:r>
      <w:r>
        <w:rPr>
          <w:i/>
        </w:rPr>
        <w:fldChar w:fldCharType="end"/>
      </w:r>
      <w:r>
        <w:rPr>
          <w:lang w:val="cs-CZ"/>
        </w:rPr>
        <w:t>; trad. Ross, WA 8</w:t>
      </w:r>
      <w:r w:rsidRPr="00273106">
        <w:t>)</w:t>
      </w:r>
    </w:p>
  </w:footnote>
  <w:footnote w:id="17">
    <w:p w14:paraId="5A626A53" w14:textId="77777777" w:rsidR="00344048" w:rsidRPr="0085294F" w:rsidRDefault="00344048">
      <w:pPr>
        <w:pStyle w:val="Textpoznpodarou"/>
      </w:pPr>
      <w:r w:rsidRPr="0085294F">
        <w:rPr>
          <w:rStyle w:val="Znakapoznpodarou"/>
        </w:rPr>
        <w:footnoteRef/>
      </w:r>
      <w:r w:rsidRPr="0085294F">
        <w:t xml:space="preserve"> „In diesem Wandel des Wesens der Wahrheit vollzieht sich zugleich ein Wechsel des Ortes der Wahrheit. Als Unverborgenheit ist sie noch ein Grundzug des Seienden selbst. Als Richtigkeit des »Blickens« aber wird sie zur Au</w:t>
      </w:r>
      <w:r>
        <w:t>sz</w:t>
      </w:r>
      <w:r w:rsidRPr="0085294F">
        <w:t>eichnung des menschlichen Verhaltens zum Seienden.“ (</w:t>
      </w:r>
      <w:r w:rsidRPr="00B14686">
        <w:t>GA</w:t>
      </w:r>
      <w:r w:rsidRPr="0085294F">
        <w:t xml:space="preserve"> 9, 231</w:t>
      </w:r>
      <w:r>
        <w:rPr>
          <w:lang w:val="cs-CZ"/>
        </w:rPr>
        <w:fldChar w:fldCharType="begin"/>
      </w:r>
      <w:r>
        <w:instrText xml:space="preserve"> XE "</w:instrText>
      </w:r>
      <w:r>
        <w:rPr>
          <w:lang w:val="cs-CZ"/>
        </w:rPr>
        <w:instrText>Heidegger:</w:instrText>
      </w:r>
      <w:r>
        <w:instrText>GA 9, 2</w:instrText>
      </w:r>
      <w:r>
        <w:rPr>
          <w:lang w:val="cs-CZ"/>
        </w:rPr>
        <w:instrText>31</w:instrText>
      </w:r>
      <w:r>
        <w:instrText xml:space="preserve">" </w:instrText>
      </w:r>
      <w:r>
        <w:rPr>
          <w:lang w:val="cs-CZ"/>
        </w:rPr>
        <w:fldChar w:fldCharType="end"/>
      </w:r>
      <w:r w:rsidRPr="0085294F">
        <w:t>)</w:t>
      </w:r>
    </w:p>
  </w:footnote>
  <w:footnote w:id="18">
    <w:p w14:paraId="0C95CC5F" w14:textId="77777777" w:rsidR="00344048" w:rsidRPr="08356195" w:rsidRDefault="00344048" w:rsidP="005B1B01">
      <w:pPr>
        <w:pStyle w:val="Textpoznpodarou"/>
        <w:rPr>
          <w:rFonts w:cs="Calibri"/>
          <w:lang w:val="cs-CZ"/>
        </w:rPr>
      </w:pPr>
      <w:r>
        <w:rPr>
          <w:rStyle w:val="Znakapoznpodarou"/>
        </w:rPr>
        <w:footnoteRef/>
      </w:r>
      <w:r>
        <w:rPr>
          <w:lang w:val="cs-CZ"/>
        </w:rPr>
        <w:t xml:space="preserve"> „L</w:t>
      </w:r>
      <w:r>
        <w:rPr>
          <w:rFonts w:cs="Calibri"/>
          <w:lang w:val="cs-CZ"/>
        </w:rPr>
        <w:t>'</w:t>
      </w:r>
      <w:r>
        <w:rPr>
          <w:lang w:val="cs-CZ"/>
        </w:rPr>
        <w:t>Apollon de Delphes, le dieu de la parole oraculaire, autorise le départ et l</w:t>
      </w:r>
      <w:r>
        <w:rPr>
          <w:rFonts w:cs="Calibri"/>
          <w:lang w:val="cs-CZ"/>
        </w:rPr>
        <w:t xml:space="preserve">'expédition de Jason. Ses oracles vont à la fois « montrer » et « signifier » les routes de la mer et les chemins que les Argonautes vont emprunter afin de gagner le pays mystérieux de la Toison d'or. </w:t>
      </w:r>
      <w:r w:rsidRPr="08C30735">
        <w:rPr>
          <w:rFonts w:cs="Calibri"/>
          <w:i/>
          <w:lang w:val="cs-CZ"/>
        </w:rPr>
        <w:t>Sēmaínein</w:t>
      </w:r>
      <w:r>
        <w:rPr>
          <w:rFonts w:cs="Calibri"/>
          <w:lang w:val="cs-CZ"/>
        </w:rPr>
        <w:t xml:space="preserve"> « faire connaître par le signes, avec des marques, des repères, des indices », est un verbe fort de l'oracle apollinien. Il conjoint l'acte de parole et cheminement actif.“ (Detienne 1998, 138)</w:t>
      </w:r>
    </w:p>
  </w:footnote>
  <w:footnote w:id="19">
    <w:p w14:paraId="1EEE4EC2" w14:textId="77777777" w:rsidR="00344048" w:rsidRPr="0814087E" w:rsidRDefault="00344048" w:rsidP="004D08B9">
      <w:pPr>
        <w:pStyle w:val="Textpoznpodarou"/>
        <w:rPr>
          <w:lang w:val="cs-CZ"/>
        </w:rPr>
      </w:pPr>
      <w:r>
        <w:rPr>
          <w:rStyle w:val="Znakapoznpodarou"/>
        </w:rPr>
        <w:footnoteRef/>
      </w:r>
      <w:r>
        <w:t xml:space="preserve"> „Hier wird es deutlich, wie nothwendig der Mensch, neben der monumentalischen und antiquarischen Art, die Vergangenheit zu betrachten, oft genug eine </w:t>
      </w:r>
      <w:r>
        <w:rPr>
          <w:rStyle w:val="bold"/>
        </w:rPr>
        <w:t>dritte</w:t>
      </w:r>
      <w:r>
        <w:t xml:space="preserve"> Art nöthig hat, </w:t>
      </w:r>
      <w:r>
        <w:rPr>
          <w:rStyle w:val="bold"/>
        </w:rPr>
        <w:t>die kritische</w:t>
      </w:r>
      <w:r>
        <w:t>: und zwar auch diese wiederum im Dienste des Lebens. Er muss die Kraft haben und von Zeit zu Zeit anwenden, eine Vergangenheit zu zerbrechen und aufzulösen, um leben zu können: dies erreicht er dadurch, dass er sie vor Gericht zieht, peinlich inquirirt, und endlich verurtheilt; jede Vergangenheit aber ist werth verurtheilt zu werden — denn so steht es nun einmal mit den menschlichen Dingen: immer ist in ihnen menschliche Gewalt und Schwäche mächtig gewesen.“ (</w:t>
      </w:r>
      <w:r>
        <w:rPr>
          <w:kern w:val="36"/>
          <w:lang w:eastAsia="cs-CZ"/>
        </w:rPr>
        <w:t xml:space="preserve">Nietzsche, </w:t>
      </w:r>
      <w:r w:rsidRPr="0814087E">
        <w:rPr>
          <w:i/>
          <w:kern w:val="36"/>
          <w:lang w:eastAsia="cs-CZ"/>
        </w:rPr>
        <w:t>Unzeitgemässe Betrachtungen</w:t>
      </w:r>
      <w:r>
        <w:rPr>
          <w:kern w:val="36"/>
          <w:lang w:eastAsia="cs-CZ"/>
        </w:rPr>
        <w:t xml:space="preserve"> II.4;</w:t>
      </w:r>
      <w:r>
        <w:rPr>
          <w:kern w:val="36"/>
          <w:lang w:val="cs-CZ" w:eastAsia="cs-CZ"/>
        </w:rPr>
        <w:t xml:space="preserve"> </w:t>
      </w:r>
      <w:r>
        <w:rPr>
          <w:rStyle w:val="srsiglum"/>
          <w:lang w:val="cs-CZ"/>
        </w:rPr>
        <w:t>KSA 1, 269</w:t>
      </w:r>
      <w:r>
        <w:rPr>
          <w:rStyle w:val="srsiglum"/>
          <w:lang w:val="cs-CZ"/>
        </w:rPr>
        <w:fldChar w:fldCharType="begin"/>
      </w:r>
      <w:r>
        <w:instrText xml:space="preserve"> XE "</w:instrText>
      </w:r>
      <w:r w:rsidRPr="08830170">
        <w:rPr>
          <w:kern w:val="36"/>
          <w:lang w:eastAsia="cs-CZ"/>
        </w:rPr>
        <w:instrText>Nietzsche</w:instrText>
      </w:r>
      <w:r>
        <w:rPr>
          <w:kern w:val="36"/>
          <w:lang w:val="cs-CZ" w:eastAsia="cs-CZ"/>
        </w:rPr>
        <w:instrText>:</w:instrText>
      </w:r>
      <w:r w:rsidRPr="08830170">
        <w:rPr>
          <w:rStyle w:val="srsiglum"/>
          <w:lang w:val="cs-CZ"/>
        </w:rPr>
        <w:instrText>KSA 1, 269</w:instrText>
      </w:r>
      <w:r>
        <w:instrText xml:space="preserve">" </w:instrText>
      </w:r>
      <w:r>
        <w:rPr>
          <w:rStyle w:val="srsiglum"/>
          <w:lang w:val="cs-CZ"/>
        </w:rPr>
        <w:fldChar w:fldCharType="end"/>
      </w:r>
      <w:r>
        <w:rPr>
          <w:kern w:val="36"/>
          <w:lang w:val="cs-CZ" w:eastAsia="cs-CZ"/>
        </w:rPr>
        <w:t xml:space="preserve">) </w:t>
      </w:r>
    </w:p>
  </w:footnote>
  <w:footnote w:id="20">
    <w:p w14:paraId="37503893" w14:textId="77777777" w:rsidR="00344048" w:rsidRPr="08E67458" w:rsidRDefault="00344048" w:rsidP="089579E7">
      <w:pPr>
        <w:pStyle w:val="Textpoznpodarou"/>
        <w:rPr>
          <w:lang w:val="cs-CZ"/>
        </w:rPr>
      </w:pPr>
      <w:r>
        <w:rPr>
          <w:rStyle w:val="Znakapoznpodarou"/>
        </w:rPr>
        <w:footnoteRef/>
      </w:r>
      <w:r>
        <w:t xml:space="preserve"> </w:t>
      </w:r>
      <w:r>
        <w:rPr>
          <w:lang w:val="cs-CZ"/>
        </w:rPr>
        <w:t>„</w:t>
      </w:r>
      <w:r>
        <w:t>Tohle však neví, když padá, neboť je postižen ztrátou rozumu (πίπτων δ' οὐκ οἶδεν τόδ' ὑπ' ἄφρονι λύμᾳ)</w:t>
      </w:r>
      <w:r>
        <w:rPr>
          <w:lang w:val="cs-CZ"/>
        </w:rPr>
        <w:t>.</w:t>
      </w:r>
      <w:r>
        <w:t xml:space="preserve"> // </w:t>
      </w:r>
      <w:r>
        <w:rPr>
          <w:lang w:val="cs-CZ"/>
        </w:rPr>
        <w:t>T</w:t>
      </w:r>
      <w:r>
        <w:t xml:space="preserve">aková temnota poskvrny </w:t>
      </w:r>
      <w:r>
        <w:rPr>
          <w:lang w:val="cs-CZ"/>
        </w:rPr>
        <w:t>(</w:t>
      </w:r>
      <w:r>
        <w:t>μύσους</w:t>
      </w:r>
      <w:r>
        <w:rPr>
          <w:lang w:val="cs-CZ"/>
        </w:rPr>
        <w:t xml:space="preserve">) </w:t>
      </w:r>
      <w:r>
        <w:t>se kolem něj vznáší</w:t>
      </w:r>
      <w:r>
        <w:rPr>
          <w:lang w:val="cs-CZ"/>
        </w:rPr>
        <w:t>,</w:t>
      </w:r>
      <w:r>
        <w:t xml:space="preserve"> // a o husté mlze na jeho domě // vypráví pověst plná žalu.</w:t>
      </w:r>
      <w:r>
        <w:rPr>
          <w:lang w:val="cs-CZ"/>
        </w:rPr>
        <w:t xml:space="preserve">“ (Aischylos, </w:t>
      </w:r>
      <w:r w:rsidRPr="08E67458">
        <w:rPr>
          <w:i/>
          <w:lang w:val="cs-CZ"/>
        </w:rPr>
        <w:t>E</w:t>
      </w:r>
      <w:r>
        <w:rPr>
          <w:i/>
          <w:lang w:val="cs-CZ"/>
        </w:rPr>
        <w:t>umenidy</w:t>
      </w:r>
      <w:r>
        <w:rPr>
          <w:lang w:val="cs-CZ"/>
        </w:rPr>
        <w:t>, vv. 377‒80, trad. M. Havrda</w:t>
      </w:r>
      <w:r>
        <w:rPr>
          <w:lang w:val="cs-CZ"/>
        </w:rPr>
        <w:fldChar w:fldCharType="begin"/>
      </w:r>
      <w:r>
        <w:instrText xml:space="preserve"> XE "</w:instrText>
      </w:r>
      <w:r w:rsidRPr="08E67458">
        <w:instrText>A</w:instrText>
      </w:r>
      <w:r w:rsidRPr="08E67458">
        <w:rPr>
          <w:lang w:val="cs-CZ"/>
        </w:rPr>
        <w:instrText>i</w:instrText>
      </w:r>
      <w:r w:rsidRPr="08E67458">
        <w:instrText>schylos</w:instrText>
      </w:r>
      <w:r w:rsidRPr="0868561C">
        <w:rPr>
          <w:i/>
        </w:rPr>
        <w:instrText>:</w:instrText>
      </w:r>
      <w:r w:rsidRPr="0868561C">
        <w:rPr>
          <w:i/>
          <w:lang w:val="cs-CZ"/>
        </w:rPr>
        <w:instrText>Eumenid</w:instrText>
      </w:r>
      <w:r>
        <w:rPr>
          <w:i/>
          <w:lang w:val="cs-CZ"/>
        </w:rPr>
        <w:instrText>ae</w:instrText>
      </w:r>
      <w:r w:rsidRPr="0868561C">
        <w:rPr>
          <w:lang w:val="cs-CZ"/>
        </w:rPr>
        <w:instrText xml:space="preserve"> 377‒80</w:instrText>
      </w:r>
      <w:r>
        <w:instrText xml:space="preserve">" </w:instrText>
      </w:r>
      <w:r>
        <w:rPr>
          <w:lang w:val="cs-CZ"/>
        </w:rPr>
        <w:fldChar w:fldCharType="end"/>
      </w:r>
      <w:r>
        <w:rPr>
          <w:lang w:val="cs-CZ"/>
        </w:rPr>
        <w:t>)</w:t>
      </w:r>
    </w:p>
  </w:footnote>
  <w:footnote w:id="21">
    <w:p w14:paraId="1B973FEA" w14:textId="77777777" w:rsidR="00344048" w:rsidRPr="00681DE5" w:rsidRDefault="00344048" w:rsidP="00151018">
      <w:pPr>
        <w:pStyle w:val="Textpoznpodarou"/>
      </w:pPr>
      <w:r>
        <w:rPr>
          <w:rStyle w:val="Znakapoznpodarou"/>
        </w:rPr>
        <w:footnoteRef/>
      </w:r>
      <w:r>
        <w:t xml:space="preserve"> „Es ist »erleuchtet«, besagt: an ihm selbst </w:t>
      </w:r>
      <w:r w:rsidRPr="001F4823">
        <w:rPr>
          <w:i/>
        </w:rPr>
        <w:t>als</w:t>
      </w:r>
      <w:r>
        <w:rPr>
          <w:rFonts w:ascii="Sabon-Italic" w:hAnsi="Sabon-Italic" w:cs="Sabon-Italic"/>
          <w:i/>
          <w:iCs/>
        </w:rPr>
        <w:t xml:space="preserve"> </w:t>
      </w:r>
      <w:r>
        <w:t xml:space="preserve">In-der-Welt-sein gelichtet, nicht durch ein anderes Seiendes, sondern so, daß es selbst die Lichtung </w:t>
      </w:r>
      <w:r w:rsidRPr="001F4823">
        <w:rPr>
          <w:i/>
        </w:rPr>
        <w:t>ist</w:t>
      </w:r>
      <w:r w:rsidRPr="001F4823">
        <w:t>.</w:t>
      </w:r>
      <w:r>
        <w:rPr>
          <w:rFonts w:ascii="Sabon-Italic" w:hAnsi="Sabon-Italic" w:cs="Sabon-Italic"/>
          <w:i/>
          <w:iCs/>
        </w:rPr>
        <w:t xml:space="preserve"> </w:t>
      </w:r>
      <w:r>
        <w:t>Nur einem existenzial so gelichteten Seienden wird Vorhandenes im Licht zugänglich, im Dunkel verborgen.“ (SZ 133</w:t>
      </w:r>
      <w:r>
        <w:rPr>
          <w:lang w:val="cs-CZ"/>
        </w:rPr>
        <w:fldChar w:fldCharType="begin"/>
      </w:r>
      <w:r>
        <w:instrText xml:space="preserve"> XE "</w:instrText>
      </w:r>
      <w:r>
        <w:rPr>
          <w:lang w:val="cs-CZ"/>
        </w:rPr>
        <w:instrText>Heidegger:SZ 133</w:instrText>
      </w:r>
      <w:r>
        <w:instrText xml:space="preserve">" </w:instrText>
      </w:r>
      <w:r>
        <w:rPr>
          <w:lang w:val="cs-CZ"/>
        </w:rPr>
        <w:fldChar w:fldCharType="end"/>
      </w:r>
      <w:r>
        <w:t>)</w:t>
      </w:r>
    </w:p>
  </w:footnote>
  <w:footnote w:id="22">
    <w:p w14:paraId="147BA5B0" w14:textId="77777777" w:rsidR="00344048" w:rsidRPr="08C219A3" w:rsidRDefault="00344048" w:rsidP="089F4C15">
      <w:pPr>
        <w:pStyle w:val="Textpoznpodarou"/>
        <w:rPr>
          <w:szCs w:val="19"/>
          <w:lang w:val="cs-CZ"/>
        </w:rPr>
      </w:pPr>
      <w:r>
        <w:rPr>
          <w:rStyle w:val="Znakapoznpodarou"/>
        </w:rPr>
        <w:footnoteRef/>
      </w:r>
      <w:r>
        <w:t xml:space="preserve"> „Die Lichtung gew</w:t>
      </w:r>
      <w:r>
        <w:rPr>
          <w:rFonts w:cs="Calibri"/>
        </w:rPr>
        <w:t>ä</w:t>
      </w:r>
      <w:r>
        <w:t>hrt allem zuvor die M</w:t>
      </w:r>
      <w:r>
        <w:rPr>
          <w:rFonts w:cs="Calibri"/>
        </w:rPr>
        <w:t>ö</w:t>
      </w:r>
      <w:r w:rsidRPr="000E7495">
        <w:t>glichkeit de</w:t>
      </w:r>
      <w:r>
        <w:t>s Weges zur Anwesenheit und gew</w:t>
      </w:r>
      <w:r>
        <w:rPr>
          <w:rFonts w:cs="Calibri"/>
        </w:rPr>
        <w:t>ä</w:t>
      </w:r>
      <w:r>
        <w:t>hrt das m</w:t>
      </w:r>
      <w:r>
        <w:rPr>
          <w:rFonts w:cs="Calibri"/>
        </w:rPr>
        <w:t>ö</w:t>
      </w:r>
      <w:r w:rsidRPr="000E7495">
        <w:t>gliche Anwesen dieser selbst. Die</w:t>
      </w:r>
      <w:r>
        <w:t xml:space="preserve"> Ἀλήθεια, die Unverborgenheit, m</w:t>
      </w:r>
      <w:r>
        <w:rPr>
          <w:rFonts w:cs="Calibri"/>
        </w:rPr>
        <w:t>ü</w:t>
      </w:r>
      <w:r w:rsidRPr="000E7495">
        <w:t>ssen wir als die Lichtung denken, die Sein und Denken</w:t>
      </w:r>
      <w:r>
        <w:t>, deren Anwesen zu und f</w:t>
      </w:r>
      <w:r>
        <w:rPr>
          <w:rFonts w:cs="Calibri"/>
        </w:rPr>
        <w:t>ü</w:t>
      </w:r>
      <w:r>
        <w:t>r einander erst gew</w:t>
      </w:r>
      <w:r>
        <w:rPr>
          <w:rFonts w:cs="Calibri"/>
        </w:rPr>
        <w:t>ä</w:t>
      </w:r>
      <w:r w:rsidRPr="000E7495">
        <w:t>hrt.</w:t>
      </w:r>
      <w:r>
        <w:rPr>
          <w:lang w:val="cs-CZ"/>
        </w:rPr>
        <w:t xml:space="preserve"> Das ruhige Herz der Lichtung ist der Ort und Stille, aus dem her es dergleichen wie die M</w:t>
      </w:r>
      <w:r>
        <w:rPr>
          <w:rFonts w:cs="Calibri"/>
          <w:lang w:val="cs-CZ"/>
        </w:rPr>
        <w:t>ö</w:t>
      </w:r>
      <w:r>
        <w:rPr>
          <w:lang w:val="cs-CZ"/>
        </w:rPr>
        <w:t>glichkeit des Zusammengeh</w:t>
      </w:r>
      <w:r>
        <w:rPr>
          <w:rFonts w:cs="Calibri"/>
          <w:lang w:val="cs-CZ"/>
        </w:rPr>
        <w:t>ö</w:t>
      </w:r>
      <w:r>
        <w:rPr>
          <w:lang w:val="cs-CZ"/>
        </w:rPr>
        <w:t>rens von Sein und Denken, d.h. Anwesenheit und Vernehmen erst gibt.</w:t>
      </w:r>
      <w:r>
        <w:t>“</w:t>
      </w:r>
      <w:r>
        <w:rPr>
          <w:noProof/>
        </w:rPr>
        <w:t xml:space="preserve"> (</w:t>
      </w:r>
      <w:r>
        <w:rPr>
          <w:szCs w:val="19"/>
        </w:rPr>
        <w:t>GA 14, 84</w:t>
      </w:r>
      <w:r>
        <w:rPr>
          <w:i/>
        </w:rPr>
        <w:fldChar w:fldCharType="begin"/>
      </w:r>
      <w:r>
        <w:instrText xml:space="preserve"> XE "</w:instrText>
      </w:r>
      <w:r w:rsidRPr="00C35C19">
        <w:rPr>
          <w:lang w:val="cs-CZ"/>
        </w:rPr>
        <w:instrText>Heidegger</w:instrText>
      </w:r>
      <w:r w:rsidRPr="005E5B62">
        <w:rPr>
          <w:lang w:val="cs-CZ"/>
        </w:rPr>
        <w:instrText>:</w:instrText>
      </w:r>
      <w:r w:rsidRPr="00C35C19">
        <w:rPr>
          <w:lang w:val="cs-CZ"/>
        </w:rPr>
        <w:instrText>GA 14,84</w:instrText>
      </w:r>
      <w:r>
        <w:instrText xml:space="preserve">" </w:instrText>
      </w:r>
      <w:r>
        <w:rPr>
          <w:i/>
        </w:rPr>
        <w:fldChar w:fldCharType="end"/>
      </w:r>
      <w:r>
        <w:rPr>
          <w:szCs w:val="19"/>
        </w:rPr>
        <w:t>)</w:t>
      </w:r>
    </w:p>
  </w:footnote>
  <w:footnote w:id="23">
    <w:p w14:paraId="669014D2" w14:textId="77777777" w:rsidR="00344048" w:rsidRPr="00A22F5A" w:rsidRDefault="00344048" w:rsidP="00385CD9">
      <w:pPr>
        <w:pStyle w:val="Textpoznpodarou"/>
      </w:pPr>
      <w:r>
        <w:rPr>
          <w:rStyle w:val="Znakapoznpodarou"/>
        </w:rPr>
        <w:footnoteRef/>
      </w:r>
      <w:r>
        <w:t xml:space="preserve"> „</w:t>
      </w:r>
      <w:r w:rsidRPr="00AB42B4">
        <w:t xml:space="preserve">Von der Lichtung jedoch weis die Philosophie nichts. </w:t>
      </w:r>
      <w:r w:rsidRPr="00983287">
        <w:t>Die Philosophie</w:t>
      </w:r>
      <w:r>
        <w:t xml:space="preserve"> </w:t>
      </w:r>
      <w:r w:rsidRPr="00983287">
        <w:t>spricht zwar vom Licht der Vernunft, aber achtet nicht auf</w:t>
      </w:r>
      <w:r>
        <w:t xml:space="preserve"> die Lichtung des Seins. </w:t>
      </w:r>
      <w:r w:rsidRPr="00983287">
        <w:t>Das lumen naturale, das Licht der Vernunft,</w:t>
      </w:r>
      <w:r>
        <w:t xml:space="preserve"> </w:t>
      </w:r>
      <w:r w:rsidRPr="00983287">
        <w:t>erhellt nur das Offene. Es betrifft zwar die Lichtung, bildet</w:t>
      </w:r>
      <w:r>
        <w:t xml:space="preserve"> </w:t>
      </w:r>
      <w:r w:rsidRPr="00983287">
        <w:t>sie jedoch so wenig, das es vielmehr ihrer bedarf, um das in der</w:t>
      </w:r>
      <w:r>
        <w:t xml:space="preserve"> </w:t>
      </w:r>
      <w:r w:rsidRPr="00983287">
        <w:t>Lichtung Anwesende bescheinen zu konnen. Dies gilt nicht nur</w:t>
      </w:r>
      <w:r>
        <w:t xml:space="preserve"> </w:t>
      </w:r>
      <w:r w:rsidRPr="00983287">
        <w:t xml:space="preserve">von der </w:t>
      </w:r>
      <w:r w:rsidRPr="00825C06">
        <w:rPr>
          <w:i/>
        </w:rPr>
        <w:t>Methode</w:t>
      </w:r>
      <w:r w:rsidRPr="00983287">
        <w:t xml:space="preserve"> der Philosophie sondern auch und sogar zuerst</w:t>
      </w:r>
      <w:r>
        <w:t xml:space="preserve"> </w:t>
      </w:r>
      <w:r w:rsidRPr="00983287">
        <w:t xml:space="preserve">von ihrer </w:t>
      </w:r>
      <w:r w:rsidRPr="00825C06">
        <w:rPr>
          <w:i/>
        </w:rPr>
        <w:t>Sache</w:t>
      </w:r>
      <w:r>
        <w:t>, nä</w:t>
      </w:r>
      <w:r w:rsidRPr="00983287">
        <w:t>mlich von der Anwesenheit des Anwesenden.</w:t>
      </w:r>
      <w:r>
        <w:t>“ (GA 14, 82</w:t>
      </w:r>
      <w:r>
        <w:rPr>
          <w:lang w:val="cs-CZ"/>
        </w:rPr>
        <w:fldChar w:fldCharType="begin"/>
      </w:r>
      <w:r>
        <w:instrText xml:space="preserve"> XE "</w:instrText>
      </w:r>
      <w:r>
        <w:rPr>
          <w:lang w:val="cs-CZ"/>
        </w:rPr>
        <w:instrText>Heidegger:</w:instrText>
      </w:r>
      <w:r w:rsidRPr="0020260D">
        <w:instrText>GA</w:instrText>
      </w:r>
      <w:r>
        <w:instrText xml:space="preserve"> 14</w:instrText>
      </w:r>
      <w:r w:rsidRPr="00273106">
        <w:instrText xml:space="preserve">, </w:instrText>
      </w:r>
      <w:r>
        <w:instrText>8</w:instrText>
      </w:r>
      <w:r>
        <w:rPr>
          <w:lang w:val="cs-CZ"/>
        </w:rPr>
        <w:instrText>2</w:instrText>
      </w:r>
      <w:r>
        <w:instrText xml:space="preserve">" </w:instrText>
      </w:r>
      <w:r>
        <w:rPr>
          <w:lang w:val="cs-CZ"/>
        </w:rPr>
        <w:fldChar w:fldCharType="end"/>
      </w:r>
      <w:r>
        <w:t>)</w:t>
      </w:r>
    </w:p>
  </w:footnote>
  <w:footnote w:id="24">
    <w:p w14:paraId="407BABDC" w14:textId="1D80EDD2" w:rsidR="00344048" w:rsidRPr="00BD4806" w:rsidRDefault="00344048" w:rsidP="08470A77">
      <w:pPr>
        <w:pStyle w:val="Textpoznpodarou"/>
      </w:pPr>
      <w:r>
        <w:rPr>
          <w:rStyle w:val="Znakapoznpodarou"/>
        </w:rPr>
        <w:footnoteRef/>
      </w:r>
      <w:r>
        <w:t xml:space="preserve"> </w:t>
      </w:r>
      <w:r w:rsidRPr="00BD4806">
        <w:t>„Dergestalt halt das Sein mit seiner Wahrheit an sich. Dieses Ansichhalten ist die frühe Weise seines Entbergens. Das frühe Zeichen des Ansichhaltens ist die Ἀ-λήθεια. Indem sie Un-Verborgenheit des Seienden bringt, stiftet sie erst Verborgenheit des Seins. Verbergung aber bleibt im Zuge des an sich haltenden Verweigerns. Wir konnen dieses lichtende Ansichhalten mit der Wahrheit seines Wesens die ἐποχή des Seins nennen.“ (GA 5, 337</w:t>
      </w:r>
      <w:r>
        <w:rPr>
          <w:lang w:val="cs-CZ"/>
        </w:rPr>
        <w:fldChar w:fldCharType="begin"/>
      </w:r>
      <w:r>
        <w:instrText xml:space="preserve"> XE "</w:instrText>
      </w:r>
      <w:r>
        <w:rPr>
          <w:lang w:val="cs-CZ"/>
        </w:rPr>
        <w:instrText>Heidegger:</w:instrText>
      </w:r>
      <w:r w:rsidRPr="0020260D">
        <w:instrText>GA</w:instrText>
      </w:r>
      <w:r>
        <w:rPr>
          <w:lang w:val="cs-CZ"/>
        </w:rPr>
        <w:instrText xml:space="preserve"> 5</w:instrText>
      </w:r>
      <w:r w:rsidRPr="00273106">
        <w:instrText xml:space="preserve">, </w:instrText>
      </w:r>
      <w:r>
        <w:rPr>
          <w:lang w:val="cs-CZ"/>
        </w:rPr>
        <w:instrText>337</w:instrText>
      </w:r>
      <w:r>
        <w:instrText xml:space="preserve">" </w:instrText>
      </w:r>
      <w:r>
        <w:rPr>
          <w:lang w:val="cs-CZ"/>
        </w:rPr>
        <w:fldChar w:fldCharType="end"/>
      </w:r>
      <w:r w:rsidRPr="00BD4806">
        <w:t>)</w:t>
      </w:r>
    </w:p>
  </w:footnote>
  <w:footnote w:id="25">
    <w:p w14:paraId="637CDC27" w14:textId="77777777" w:rsidR="00344048" w:rsidRPr="0068361F" w:rsidRDefault="00344048" w:rsidP="081409DB">
      <w:pPr>
        <w:pStyle w:val="Textpoznpodarou"/>
      </w:pPr>
      <w:r>
        <w:rPr>
          <w:rStyle w:val="Znakapoznpodarou"/>
        </w:rPr>
        <w:footnoteRef/>
      </w:r>
      <w:r>
        <w:t xml:space="preserve"> „</w:t>
      </w:r>
      <w:r w:rsidRPr="00932E25">
        <w:t xml:space="preserve">Der Sinn des Titels »Der Satz der Identität« hätte sich gewandelt. </w:t>
      </w:r>
      <w:r>
        <w:rPr>
          <w:lang w:val="de-DE"/>
        </w:rPr>
        <w:t>Der Satz gibt sich zunächst in der Form eines Grundsatzes, der die Identität als einen Zug im Sein, d. h. im Grund des Seienden voraussetzt. Aus diesem Satz im Sinne einer Aussage ist unterwegs ein Satz geworden von der Art eines Sprunges, der sich vom Sein als dem Grund des Seienden absetzt und so in den Abgrund springt.“ (GA 11, 48</w:t>
      </w:r>
      <w:r>
        <w:rPr>
          <w:lang w:val="cs-CZ"/>
        </w:rPr>
        <w:fldChar w:fldCharType="begin"/>
      </w:r>
      <w:r>
        <w:instrText xml:space="preserve"> XE "</w:instrText>
      </w:r>
      <w:r>
        <w:rPr>
          <w:lang w:val="cs-CZ"/>
        </w:rPr>
        <w:instrText>Heidegger:</w:instrText>
      </w:r>
      <w:r w:rsidRPr="0020260D">
        <w:instrText>GA</w:instrText>
      </w:r>
      <w:r>
        <w:instrText xml:space="preserve"> 1</w:instrText>
      </w:r>
      <w:r>
        <w:rPr>
          <w:lang w:val="cs-CZ"/>
        </w:rPr>
        <w:instrText>1</w:instrText>
      </w:r>
      <w:r w:rsidRPr="00273106">
        <w:instrText xml:space="preserve">, </w:instrText>
      </w:r>
      <w:r>
        <w:rPr>
          <w:lang w:val="cs-CZ"/>
        </w:rPr>
        <w:instrText>48</w:instrText>
      </w:r>
      <w:r>
        <w:instrText xml:space="preserve">" </w:instrText>
      </w:r>
      <w:r>
        <w:rPr>
          <w:lang w:val="cs-CZ"/>
        </w:rPr>
        <w:fldChar w:fldCharType="end"/>
      </w:r>
      <w:r>
        <w:rPr>
          <w:lang w:val="de-DE"/>
        </w:rPr>
        <w:t>)</w:t>
      </w:r>
    </w:p>
  </w:footnote>
  <w:footnote w:id="26">
    <w:p w14:paraId="4816BE13" w14:textId="77777777" w:rsidR="00344048" w:rsidRPr="00AB060C" w:rsidRDefault="00344048" w:rsidP="088E763D">
      <w:pPr>
        <w:pStyle w:val="Textpoznpodarou"/>
        <w:rPr>
          <w:rStyle w:val="TextpoznpodarouChar"/>
        </w:rPr>
      </w:pPr>
      <w:r w:rsidRPr="00EC2ACA">
        <w:rPr>
          <w:rStyle w:val="Znakapoznpodarou"/>
        </w:rPr>
        <w:footnoteRef/>
      </w:r>
      <w:r w:rsidRPr="00EC2ACA">
        <w:t xml:space="preserve"> </w:t>
      </w:r>
      <w:r w:rsidRPr="00AB060C">
        <w:rPr>
          <w:rStyle w:val="TextpoznpodarouChar"/>
        </w:rPr>
        <w:t>„Wie sich diese Auffassung des Denkens dann mit der Ansetzung und Gewinnung von »Kategorien« verkoppelt und die  ›</w:t>
      </w:r>
      <w:r>
        <w:rPr>
          <w:rStyle w:val="TextpoznpodarouChar"/>
        </w:rPr>
        <w:t xml:space="preserve"> </w:t>
      </w:r>
      <w:r w:rsidRPr="00AB060C">
        <w:rPr>
          <w:rStyle w:val="TextpoznpodarouChar"/>
        </w:rPr>
        <w:t>Denkform</w:t>
      </w:r>
      <w:r>
        <w:rPr>
          <w:rStyle w:val="TextpoznpodarouChar"/>
        </w:rPr>
        <w:t xml:space="preserve"> </w:t>
      </w:r>
      <w:r w:rsidRPr="00AB060C">
        <w:rPr>
          <w:rStyle w:val="TextpoznpodarouChar"/>
        </w:rPr>
        <w:t xml:space="preserve">‹  der Aussage maßgebend wird. </w:t>
      </w:r>
      <w:r>
        <w:rPr>
          <w:rStyle w:val="TextpoznpodarouChar"/>
        </w:rPr>
        <w:t>Dieses Denken war einmal – im ersten Anfang –</w:t>
      </w:r>
      <w:r w:rsidRPr="00AB060C">
        <w:rPr>
          <w:rStyle w:val="TextpoznpodarouChar"/>
        </w:rPr>
        <w:t xml:space="preserve"> bei Plato und </w:t>
      </w:r>
      <w:r>
        <w:rPr>
          <w:rStyle w:val="TextpoznpodarouChar"/>
        </w:rPr>
        <w:t>Aristoteles</w:t>
      </w:r>
      <w:r w:rsidRPr="00AB060C">
        <w:rPr>
          <w:rStyle w:val="TextpoznpodarouChar"/>
        </w:rPr>
        <w:t xml:space="preserve"> noch schöpferisch. Aber es schuf eben den Bereich, in dem sich künftig das Vorstellen des Seienden als solchen hielt, in dem dann die Seinsverlassenheit sich immer verdeckter entfaltete.“ (GA  </w:t>
      </w:r>
      <w:r>
        <w:rPr>
          <w:rStyle w:val="TextpoznpodarouChar"/>
        </w:rPr>
        <w:t>65, 64</w:t>
      </w:r>
      <w:r>
        <w:rPr>
          <w:lang w:val="cs-CZ"/>
        </w:rPr>
        <w:fldChar w:fldCharType="begin"/>
      </w:r>
      <w:r>
        <w:instrText xml:space="preserve"> XE "</w:instrText>
      </w:r>
      <w:r>
        <w:rPr>
          <w:lang w:val="cs-CZ"/>
        </w:rPr>
        <w:instrText>Heidegger:</w:instrText>
      </w:r>
      <w:r w:rsidRPr="0020260D">
        <w:instrText>GA</w:instrText>
      </w:r>
      <w:r>
        <w:instrText xml:space="preserve"> </w:instrText>
      </w:r>
      <w:r>
        <w:rPr>
          <w:lang w:val="cs-CZ"/>
        </w:rPr>
        <w:instrText>65</w:instrText>
      </w:r>
      <w:r w:rsidRPr="00273106">
        <w:instrText xml:space="preserve">, </w:instrText>
      </w:r>
      <w:r>
        <w:rPr>
          <w:lang w:val="cs-CZ"/>
        </w:rPr>
        <w:instrText>64</w:instrText>
      </w:r>
      <w:r>
        <w:instrText xml:space="preserve">" </w:instrText>
      </w:r>
      <w:r>
        <w:rPr>
          <w:lang w:val="cs-CZ"/>
        </w:rPr>
        <w:fldChar w:fldCharType="end"/>
      </w:r>
      <w:r w:rsidRPr="00AB060C">
        <w:rPr>
          <w:rStyle w:val="TextpoznpodarouChar"/>
        </w:rPr>
        <w:t>)</w:t>
      </w:r>
    </w:p>
  </w:footnote>
  <w:footnote w:id="27">
    <w:p w14:paraId="2B86CD0C" w14:textId="77777777" w:rsidR="00344048" w:rsidRPr="087C3C75" w:rsidRDefault="00344048" w:rsidP="08CC34B6">
      <w:pPr>
        <w:pStyle w:val="Textpoznpodarou"/>
      </w:pPr>
      <w:r>
        <w:rPr>
          <w:rStyle w:val="Znakapoznpodarou"/>
        </w:rPr>
        <w:footnoteRef/>
      </w:r>
      <w:r>
        <w:t xml:space="preserve"> „Wann und wie kommen Dinge als Dinge? Sie kommen nicht </w:t>
      </w:r>
      <w:r>
        <w:rPr>
          <w:i/>
          <w:iCs/>
        </w:rPr>
        <w:t xml:space="preserve">durch </w:t>
      </w:r>
      <w:r>
        <w:t xml:space="preserve">die Machenschaft des Menschen. Sie kommen aber auch nicht </w:t>
      </w:r>
      <w:r>
        <w:rPr>
          <w:i/>
          <w:iCs/>
        </w:rPr>
        <w:t xml:space="preserve">ohne </w:t>
      </w:r>
      <w:r>
        <w:t>die Wachsamkeit der Sterblichen. Der erste Schritt zu solcher Wachsamkeit ist der Schritt zurück aus dem nur vorstellenden, d.h. erklärenden Denken in das andenkende Denken.“ (</w:t>
      </w:r>
      <w:r>
        <w:rPr>
          <w:noProof/>
        </w:rPr>
        <w:t>GA 7, 183</w:t>
      </w:r>
      <w:r>
        <w:rPr>
          <w:lang w:val="cs-CZ"/>
        </w:rPr>
        <w:fldChar w:fldCharType="begin"/>
      </w:r>
      <w:r>
        <w:instrText xml:space="preserve"> XE "</w:instrText>
      </w:r>
      <w:r>
        <w:rPr>
          <w:lang w:val="cs-CZ"/>
        </w:rPr>
        <w:instrText>Heidegger:</w:instrText>
      </w:r>
      <w:r w:rsidRPr="0020260D">
        <w:instrText>GA</w:instrText>
      </w:r>
      <w:r>
        <w:instrText xml:space="preserve"> </w:instrText>
      </w:r>
      <w:r>
        <w:rPr>
          <w:lang w:val="cs-CZ"/>
        </w:rPr>
        <w:instrText>7</w:instrText>
      </w:r>
      <w:r w:rsidRPr="00273106">
        <w:instrText xml:space="preserve">, </w:instrText>
      </w:r>
      <w:r>
        <w:rPr>
          <w:lang w:val="cs-CZ"/>
        </w:rPr>
        <w:instrText>183</w:instrText>
      </w:r>
      <w:r>
        <w:instrText xml:space="preserve">" </w:instrText>
      </w:r>
      <w:r>
        <w:rPr>
          <w:lang w:val="cs-CZ"/>
        </w:rPr>
        <w:fldChar w:fldCharType="end"/>
      </w:r>
      <w:r>
        <w:t>)</w:t>
      </w:r>
    </w:p>
  </w:footnote>
  <w:footnote w:id="28">
    <w:p w14:paraId="6D751FA5" w14:textId="77777777" w:rsidR="00344048" w:rsidRPr="08C82D9D" w:rsidRDefault="00344048" w:rsidP="08CE0ADD">
      <w:pPr>
        <w:pStyle w:val="Textpoznpodarou"/>
      </w:pPr>
      <w:r>
        <w:rPr>
          <w:rStyle w:val="Znakapoznpodarou"/>
        </w:rPr>
        <w:footnoteRef/>
      </w:r>
      <w:r>
        <w:rPr>
          <w:lang w:val="de-DE"/>
        </w:rPr>
        <w:t xml:space="preserve"> </w:t>
      </w:r>
      <w:r w:rsidRPr="08C82D9D">
        <w:t>„In allem je verschieden die Vor- und Mitgestaltung von Erkenntnis und wesentlichem Wissen als Gründung der Wahrheit. »Wissenschaft« nur ein entfernter Ableger einer be</w:t>
      </w:r>
      <w:r>
        <w:t>stimmten Durchdringung der Zeug</w:t>
      </w:r>
      <w:r>
        <w:noBreakHyphen/>
      </w:r>
      <w:r w:rsidRPr="08C82D9D">
        <w:t xml:space="preserve">anfertigung u. s. f.; nichts Eigenständiges und </w:t>
      </w:r>
      <w:r w:rsidRPr="08C82D9D">
        <w:rPr>
          <w:i/>
        </w:rPr>
        <w:t>niemals</w:t>
      </w:r>
      <w:r w:rsidRPr="08C82D9D">
        <w:t xml:space="preserve"> </w:t>
      </w:r>
      <w:r>
        <w:t>in Zu</w:t>
      </w:r>
      <w:r w:rsidRPr="08C82D9D">
        <w:t>sammenhang zu bringen mit</w:t>
      </w:r>
      <w:r>
        <w:t xml:space="preserve"> dem wesentlichen Wissen des Er</w:t>
      </w:r>
      <w:r>
        <w:noBreakHyphen/>
      </w:r>
      <w:r w:rsidRPr="08C82D9D">
        <w:t>denkens des Seins (Philosophie).“ (GA 65, 71</w:t>
      </w:r>
      <w:r>
        <w:rPr>
          <w:lang w:val="cs-CZ"/>
        </w:rPr>
        <w:fldChar w:fldCharType="begin"/>
      </w:r>
      <w:r>
        <w:instrText xml:space="preserve"> XE "</w:instrText>
      </w:r>
      <w:r>
        <w:rPr>
          <w:lang w:val="cs-CZ"/>
        </w:rPr>
        <w:instrText>Heidegger:</w:instrText>
      </w:r>
      <w:r w:rsidRPr="0020260D">
        <w:instrText>GA</w:instrText>
      </w:r>
      <w:r>
        <w:instrText xml:space="preserve"> </w:instrText>
      </w:r>
      <w:r>
        <w:rPr>
          <w:lang w:val="cs-CZ"/>
        </w:rPr>
        <w:instrText>65</w:instrText>
      </w:r>
      <w:r w:rsidRPr="00273106">
        <w:instrText xml:space="preserve">, </w:instrText>
      </w:r>
      <w:r>
        <w:rPr>
          <w:lang w:val="cs-CZ"/>
        </w:rPr>
        <w:instrText>71</w:instrText>
      </w:r>
      <w:r>
        <w:instrText xml:space="preserve">" </w:instrText>
      </w:r>
      <w:r>
        <w:rPr>
          <w:lang w:val="cs-CZ"/>
        </w:rPr>
        <w:fldChar w:fldCharType="end"/>
      </w:r>
      <w:r w:rsidRPr="08C82D9D">
        <w:t>)</w:t>
      </w:r>
    </w:p>
  </w:footnote>
  <w:footnote w:id="29">
    <w:p w14:paraId="414BF86C" w14:textId="77777777" w:rsidR="00344048" w:rsidRPr="00A102B0" w:rsidRDefault="00344048" w:rsidP="08E876BD">
      <w:pPr>
        <w:pStyle w:val="Textpoznpodarou"/>
      </w:pPr>
      <w:r w:rsidRPr="00A102B0">
        <w:rPr>
          <w:rStyle w:val="Znakapoznpodarou"/>
        </w:rPr>
        <w:footnoteRef/>
      </w:r>
      <w:r w:rsidRPr="00A102B0">
        <w:t xml:space="preserve"> „</w:t>
      </w:r>
      <w:r w:rsidRPr="00A102B0">
        <w:rPr>
          <w:szCs w:val="19"/>
        </w:rPr>
        <w:t>Das Achten auf das Sagen der Worte soll aber jetzt doch der Weg in das Denken sein. Die Wissenschaft denkt nicht, lautet der Satz aus einer früheren Stunde dieser Vorlesung. Die Wissenschaft denkt nicht im Sinne des Denkens der Denker.“ (</w:t>
      </w:r>
      <w:r>
        <w:rPr>
          <w:szCs w:val="19"/>
          <w:lang w:val="cs-CZ"/>
        </w:rPr>
        <w:t>GA 8, 138</w:t>
      </w:r>
      <w:r w:rsidRPr="00A102B0">
        <w:rPr>
          <w:szCs w:val="19"/>
        </w:rPr>
        <w:t>)</w:t>
      </w:r>
    </w:p>
    <w:p w14:paraId="1A862E43" w14:textId="77777777" w:rsidR="00344048" w:rsidRPr="00A77791" w:rsidRDefault="00344048" w:rsidP="08E876BD">
      <w:pPr>
        <w:pStyle w:val="Textpoznpodarou"/>
        <w:rPr>
          <w:lang w:val="cs-CZ"/>
        </w:rPr>
      </w:pPr>
    </w:p>
  </w:footnote>
  <w:footnote w:id="30">
    <w:p w14:paraId="28A990D1" w14:textId="77777777" w:rsidR="00344048" w:rsidRPr="006831DE" w:rsidRDefault="00344048" w:rsidP="08796AEA">
      <w:pPr>
        <w:pStyle w:val="Textpoznpodarou"/>
      </w:pPr>
      <w:r>
        <w:rPr>
          <w:rStyle w:val="Znakapoznpodarou"/>
        </w:rPr>
        <w:footnoteRef/>
      </w:r>
      <w:r>
        <w:t xml:space="preserve"> „Der Mensch ist vielmehr vom Sein selbst in die Wahrheit des Seins »geworfen«, das er, dergestalt ek</w:t>
      </w:r>
      <w:r>
        <w:rPr>
          <w:lang w:val="cs-CZ"/>
        </w:rPr>
        <w:noBreakHyphen/>
      </w:r>
      <w:r>
        <w:t>sistierend, die Wahrheit des Seins hüte, damit im Lichte des Seins das Seiende als das Seiende, das es ist, erscheine.“ (GA 9, 330</w:t>
      </w:r>
      <w:r>
        <w:rPr>
          <w:lang w:val="cs-CZ"/>
        </w:rPr>
        <w:fldChar w:fldCharType="begin"/>
      </w:r>
      <w:r>
        <w:instrText xml:space="preserve"> XE "</w:instrText>
      </w:r>
      <w:r>
        <w:rPr>
          <w:lang w:val="cs-CZ"/>
        </w:rPr>
        <w:instrText>Heidegger:</w:instrText>
      </w:r>
      <w:r w:rsidRPr="0020260D">
        <w:instrText>GA</w:instrText>
      </w:r>
      <w:r>
        <w:instrText xml:space="preserve"> </w:instrText>
      </w:r>
      <w:r>
        <w:rPr>
          <w:lang w:val="cs-CZ"/>
        </w:rPr>
        <w:instrText>9</w:instrText>
      </w:r>
      <w:r w:rsidRPr="00273106">
        <w:instrText xml:space="preserve">, </w:instrText>
      </w:r>
      <w:r>
        <w:rPr>
          <w:lang w:val="cs-CZ"/>
        </w:rPr>
        <w:instrText>330</w:instrText>
      </w:r>
      <w:r>
        <w:instrText xml:space="preserve">" </w:instrText>
      </w:r>
      <w:r>
        <w:rPr>
          <w:lang w:val="cs-CZ"/>
        </w:rPr>
        <w:fldChar w:fldCharType="end"/>
      </w:r>
      <w:r>
        <w:t>)</w:t>
      </w:r>
    </w:p>
  </w:footnote>
  <w:footnote w:id="31">
    <w:p w14:paraId="0C25588D" w14:textId="77777777" w:rsidR="00344048" w:rsidRPr="00877192" w:rsidRDefault="00344048" w:rsidP="089E454B">
      <w:pPr>
        <w:pStyle w:val="Textpoznpodarou"/>
      </w:pPr>
      <w:r>
        <w:rPr>
          <w:rStyle w:val="Znakapoznpodarou"/>
        </w:rPr>
        <w:footnoteRef/>
      </w:r>
      <w:r>
        <w:t xml:space="preserve"> </w:t>
      </w:r>
      <w:r w:rsidRPr="00877192">
        <w:t>„Die Irre ist der Spielraum jener Wende, in der die in-sistente Ek-sistenz wendig sich stets neu vergist und vermist. Die Verbergung des verborgenen Seienden im Ganzen waltet in der Entbergung des jeweiligen Seienden, die als Vergessenheit der Verbergung zur Irre wird. Die Irre ist das wesentliche Gegenwesen zum anfanglichen Wesen der Wahrheit. Die Irre offnet sich als das Offene für jegliches Widerspiel zur wesentlichen Wahrheit. Die Irre ist die offene Statte und d</w:t>
      </w:r>
      <w:r>
        <w:t>er Grund des Irrtums.“ (GA 9, 1</w:t>
      </w:r>
      <w:r w:rsidRPr="00877192">
        <w:t>9</w:t>
      </w:r>
      <w:r>
        <w:t>6–</w:t>
      </w:r>
      <w:r w:rsidRPr="00877192">
        <w:t>97</w:t>
      </w:r>
      <w:r>
        <w:rPr>
          <w:lang w:val="cs-CZ"/>
        </w:rPr>
        <w:fldChar w:fldCharType="begin"/>
      </w:r>
      <w:r>
        <w:instrText xml:space="preserve"> XE "</w:instrText>
      </w:r>
      <w:r>
        <w:rPr>
          <w:lang w:val="cs-CZ"/>
        </w:rPr>
        <w:instrText>Heidegger:</w:instrText>
      </w:r>
      <w:r w:rsidRPr="0020260D">
        <w:instrText>GA</w:instrText>
      </w:r>
      <w:r>
        <w:instrText xml:space="preserve"> </w:instrText>
      </w:r>
      <w:r>
        <w:rPr>
          <w:lang w:val="cs-CZ"/>
        </w:rPr>
        <w:instrText>9</w:instrText>
      </w:r>
      <w:r w:rsidRPr="00273106">
        <w:instrText xml:space="preserve">, </w:instrText>
      </w:r>
      <w:r>
        <w:rPr>
          <w:lang w:val="cs-CZ"/>
        </w:rPr>
        <w:instrText>196‒97</w:instrText>
      </w:r>
      <w:r>
        <w:instrText xml:space="preserve">" </w:instrText>
      </w:r>
      <w:r>
        <w:rPr>
          <w:lang w:val="cs-CZ"/>
        </w:rPr>
        <w:fldChar w:fldCharType="end"/>
      </w:r>
      <w:r w:rsidRPr="00877192">
        <w:t>)</w:t>
      </w:r>
    </w:p>
  </w:footnote>
  <w:footnote w:id="32">
    <w:p w14:paraId="0FC2DCA9" w14:textId="77777777" w:rsidR="00344048" w:rsidRPr="00A218F5" w:rsidRDefault="00344048" w:rsidP="085101C4">
      <w:pPr>
        <w:pStyle w:val="Textpoznpodarou"/>
        <w:rPr>
          <w:lang w:val="cs-CZ"/>
        </w:rPr>
      </w:pPr>
      <w:r>
        <w:rPr>
          <w:rStyle w:val="Znakapoznpodarou"/>
        </w:rPr>
        <w:footnoteRef/>
      </w:r>
      <w:r>
        <w:t xml:space="preserve"> </w:t>
      </w:r>
      <w:r>
        <w:rPr>
          <w:lang w:val="cs-CZ"/>
        </w:rPr>
        <w:t>„</w:t>
      </w:r>
      <w:r w:rsidRPr="00A218F5">
        <w:t>Jedesmal, wenn das Sein in seinem Geschick an sich hält, ereignet sich jäh und unversehens die Welt. Jede Epoche der Weltgeschichte ist eine Epoche der Irre. Das epochale Wesen des Seins gehört in dem verborgenen Zeitcharakter des Seins und kennzeichnet das im Sein gedachte Wesen der Zeit.</w:t>
      </w:r>
      <w:r>
        <w:rPr>
          <w:lang w:val="cs-CZ"/>
        </w:rPr>
        <w:t>“</w:t>
      </w:r>
      <w:r w:rsidRPr="00A218F5">
        <w:t xml:space="preserve"> (GA 5,</w:t>
      </w:r>
      <w:r>
        <w:rPr>
          <w:lang w:val="cs-CZ"/>
        </w:rPr>
        <w:t xml:space="preserve"> </w:t>
      </w:r>
      <w:r w:rsidRPr="00A218F5">
        <w:t>338</w:t>
      </w:r>
      <w:r>
        <w:rPr>
          <w:lang w:val="cs-CZ"/>
        </w:rPr>
        <w:fldChar w:fldCharType="begin"/>
      </w:r>
      <w:r>
        <w:instrText xml:space="preserve"> XE "</w:instrText>
      </w:r>
      <w:r>
        <w:rPr>
          <w:lang w:val="cs-CZ"/>
        </w:rPr>
        <w:instrText>Heidegger:</w:instrText>
      </w:r>
      <w:r w:rsidRPr="0020260D">
        <w:instrText>GA</w:instrText>
      </w:r>
      <w:r>
        <w:instrText xml:space="preserve"> </w:instrText>
      </w:r>
      <w:r>
        <w:rPr>
          <w:lang w:val="cs-CZ"/>
        </w:rPr>
        <w:instrText>5</w:instrText>
      </w:r>
      <w:r w:rsidRPr="00273106">
        <w:instrText xml:space="preserve">, </w:instrText>
      </w:r>
      <w:r>
        <w:rPr>
          <w:lang w:val="cs-CZ"/>
        </w:rPr>
        <w:instrText>338</w:instrText>
      </w:r>
      <w:r>
        <w:instrText xml:space="preserve">" </w:instrText>
      </w:r>
      <w:r>
        <w:rPr>
          <w:lang w:val="cs-CZ"/>
        </w:rPr>
        <w:fldChar w:fldCharType="end"/>
      </w:r>
      <w:r w:rsidRPr="00A218F5">
        <w:t>)</w:t>
      </w:r>
    </w:p>
  </w:footnote>
  <w:footnote w:id="33">
    <w:p w14:paraId="41980527" w14:textId="77777777" w:rsidR="00344048" w:rsidRPr="007C5195" w:rsidRDefault="00344048" w:rsidP="08EF1938">
      <w:pPr>
        <w:pStyle w:val="Textpoznpodarou"/>
      </w:pPr>
      <w:r>
        <w:rPr>
          <w:rStyle w:val="Znakapoznpodarou"/>
        </w:rPr>
        <w:footnoteRef/>
      </w:r>
      <w:r>
        <w:t xml:space="preserve"> „</w:t>
      </w:r>
      <w:r w:rsidRPr="007C5195">
        <w:t>Das Sein entzieht sich, i</w:t>
      </w:r>
      <w:r>
        <w:t>ndem es sich in das Seiende ent</w:t>
      </w:r>
      <w:r w:rsidRPr="007C5195">
        <w:t>birgt</w:t>
      </w:r>
      <w:r>
        <w:t>.</w:t>
      </w:r>
      <w:r w:rsidRPr="007C5195">
        <w:t xml:space="preserve"> Dergestalt beirrt das Sein, es lichtend, das Seiende mit der Irre. Das Seiende ist in die Irre ereignet, in der es das Sein umirrt und so den Irrtum (zu sagen wie Fürsten- und Dichter-tum) stiftet. Er ist der Wesensraum der Geschichte.</w:t>
      </w:r>
      <w:r>
        <w:t>“ (GA 5, 337</w:t>
      </w:r>
      <w:r>
        <w:rPr>
          <w:lang w:val="cs-CZ"/>
        </w:rPr>
        <w:fldChar w:fldCharType="begin"/>
      </w:r>
      <w:r>
        <w:instrText xml:space="preserve"> XE "</w:instrText>
      </w:r>
      <w:r>
        <w:rPr>
          <w:lang w:val="cs-CZ"/>
        </w:rPr>
        <w:instrText>Heidegger:</w:instrText>
      </w:r>
      <w:r w:rsidRPr="0020260D">
        <w:instrText>GA</w:instrText>
      </w:r>
      <w:r>
        <w:instrText xml:space="preserve"> </w:instrText>
      </w:r>
      <w:r>
        <w:rPr>
          <w:lang w:val="cs-CZ"/>
        </w:rPr>
        <w:instrText>5</w:instrText>
      </w:r>
      <w:r w:rsidRPr="00273106">
        <w:instrText xml:space="preserve">, </w:instrText>
      </w:r>
      <w:r>
        <w:rPr>
          <w:lang w:val="cs-CZ"/>
        </w:rPr>
        <w:instrText>337</w:instrText>
      </w:r>
      <w:r>
        <w:instrText xml:space="preserve">" </w:instrText>
      </w:r>
      <w:r>
        <w:rPr>
          <w:lang w:val="cs-CZ"/>
        </w:rPr>
        <w:fldChar w:fldCharType="end"/>
      </w:r>
      <w:r>
        <w:t>)</w:t>
      </w:r>
    </w:p>
  </w:footnote>
  <w:footnote w:id="34">
    <w:p w14:paraId="000A8722" w14:textId="77777777" w:rsidR="00344048" w:rsidRPr="00284B3A" w:rsidRDefault="00344048" w:rsidP="08796AEA">
      <w:pPr>
        <w:pStyle w:val="Textpoznpodarou"/>
        <w:rPr>
          <w:sz w:val="24"/>
          <w:szCs w:val="27"/>
          <w:shd w:val="clear" w:color="auto" w:fill="FFFFFF"/>
        </w:rPr>
      </w:pPr>
      <w:r>
        <w:rPr>
          <w:rStyle w:val="Znakapoznpodarou"/>
        </w:rPr>
        <w:footnoteRef/>
      </w:r>
      <w:r>
        <w:t xml:space="preserve"> „</w:t>
      </w:r>
      <w:r w:rsidRPr="00D13D0F">
        <w:t>Ge-Stell nennt jetzt auch nicht irgendein Beständiges des bestellten Bestandes. Ge-Stell nennt das aus sich gesammelte universale</w:t>
      </w:r>
      <w:r>
        <w:rPr>
          <w:position w:val="5"/>
          <w:sz w:val="12"/>
          <w:szCs w:val="12"/>
          <w:vertAlign w:val="superscript"/>
        </w:rPr>
        <w:t xml:space="preserve"> </w:t>
      </w:r>
      <w:r w:rsidRPr="00D13D0F">
        <w:t>Bestellen der vollstän</w:t>
      </w:r>
      <w:r>
        <w:t>digen Bestellbarkeit des An</w:t>
      </w:r>
      <w:r w:rsidRPr="00D13D0F">
        <w:t>wesenden</w:t>
      </w:r>
      <w:r>
        <w:t xml:space="preserve"> im Ganzen. Der Kreisgang des </w:t>
      </w:r>
      <w:r w:rsidRPr="00D13D0F">
        <w:t>Bestellens ereignet sich im Ge-Stell und als das Ge-Stell.</w:t>
      </w:r>
      <w:r>
        <w:t xml:space="preserve"> </w:t>
      </w:r>
      <w:r w:rsidRPr="00D13D0F">
        <w:t>Im Ge-Stell wird das Anwesen alles Anwesenden zum Be-stand.</w:t>
      </w:r>
      <w:r>
        <w:t>“ (GA 79, 32</w:t>
      </w:r>
      <w:r>
        <w:rPr>
          <w:lang w:val="cs-CZ"/>
        </w:rPr>
        <w:fldChar w:fldCharType="begin"/>
      </w:r>
      <w:r>
        <w:instrText xml:space="preserve"> XE "</w:instrText>
      </w:r>
      <w:r>
        <w:rPr>
          <w:lang w:val="cs-CZ"/>
        </w:rPr>
        <w:instrText>Heidegger:</w:instrText>
      </w:r>
      <w:r w:rsidRPr="0020260D">
        <w:instrText>GA</w:instrText>
      </w:r>
      <w:r>
        <w:instrText xml:space="preserve"> </w:instrText>
      </w:r>
      <w:r>
        <w:rPr>
          <w:lang w:val="cs-CZ"/>
        </w:rPr>
        <w:instrText>79</w:instrText>
      </w:r>
      <w:r w:rsidRPr="00273106">
        <w:instrText xml:space="preserve">, </w:instrText>
      </w:r>
      <w:r>
        <w:rPr>
          <w:lang w:val="cs-CZ"/>
        </w:rPr>
        <w:instrText>32</w:instrText>
      </w:r>
      <w:r>
        <w:instrText xml:space="preserve">" </w:instrText>
      </w:r>
      <w:r>
        <w:rPr>
          <w:lang w:val="cs-CZ"/>
        </w:rPr>
        <w:fldChar w:fldCharType="end"/>
      </w:r>
      <w:r>
        <w:t>)</w:t>
      </w:r>
    </w:p>
  </w:footnote>
  <w:footnote w:id="35">
    <w:p w14:paraId="2EEECE49" w14:textId="77777777" w:rsidR="00344048" w:rsidRPr="000F1E71" w:rsidRDefault="00344048" w:rsidP="00A3227F">
      <w:pPr>
        <w:pStyle w:val="Textpoznpodarou"/>
        <w:rPr>
          <w:lang w:val="cs-CZ"/>
        </w:rPr>
      </w:pPr>
      <w:r>
        <w:rPr>
          <w:rStyle w:val="Znakapoznpodarou"/>
        </w:rPr>
        <w:footnoteRef/>
      </w:r>
      <w:r>
        <w:rPr>
          <w:lang w:val="cs-CZ"/>
        </w:rPr>
        <w:t xml:space="preserve"> </w:t>
      </w:r>
      <w:r>
        <w:t>„</w:t>
      </w:r>
      <w:r w:rsidRPr="000F1E71">
        <w:t xml:space="preserve">Die </w:t>
      </w:r>
      <w:r w:rsidRPr="000F1E71">
        <w:rPr>
          <w:i/>
          <w:iCs/>
        </w:rPr>
        <w:t>Verkehrung ins Gegenteil</w:t>
      </w:r>
      <w:r w:rsidRPr="000F1E71">
        <w:t xml:space="preserve"> löst sich bei näherem Zusehen in zwei verschiedene Vorgänge auf, in die </w:t>
      </w:r>
      <w:r w:rsidRPr="000F1E71">
        <w:rPr>
          <w:i/>
          <w:iCs/>
        </w:rPr>
        <w:t>Wendung</w:t>
      </w:r>
      <w:r w:rsidRPr="000F1E71">
        <w:t xml:space="preserve"> eines Triebes </w:t>
      </w:r>
      <w:r w:rsidRPr="000F1E71">
        <w:rPr>
          <w:i/>
          <w:iCs/>
        </w:rPr>
        <w:t>von der Aktivität zur Passivität</w:t>
      </w:r>
      <w:r w:rsidRPr="000F1E71">
        <w:t xml:space="preserve"> und in die </w:t>
      </w:r>
      <w:r w:rsidRPr="000F1E71">
        <w:rPr>
          <w:i/>
          <w:iCs/>
        </w:rPr>
        <w:t>inhaltliche Verkehrung</w:t>
      </w:r>
      <w:r w:rsidRPr="000F1E71">
        <w:t>. Beide Vorgänge sind, weil wesensverschieden, auch gesondert zu behandeln.</w:t>
      </w:r>
      <w:r>
        <w:t xml:space="preserve"> </w:t>
      </w:r>
      <w:r w:rsidRPr="000F1E71">
        <w:t xml:space="preserve">Beispiele für den ersteren Vorgang ergeben die Gegensatzpaare Sadismus–Masochismus und Schaulust–Exhibition. Die Verkehrung betrifft nur die </w:t>
      </w:r>
      <w:r w:rsidRPr="000F1E71">
        <w:rPr>
          <w:i/>
          <w:iCs/>
        </w:rPr>
        <w:t>Ziele</w:t>
      </w:r>
      <w:r w:rsidRPr="000F1E71">
        <w:t xml:space="preserve"> des Triebes; für das aktive Ziel: quälen, beschauen, wird das passive: gequält werden, beschaut werden eingesetzt. Die inhaltliche Verkehrung findet sich in dem einen Falle der Verwandlung des Liebens in ein Hassen.</w:t>
      </w:r>
      <w:r>
        <w:rPr>
          <w:lang w:val="cs-CZ"/>
        </w:rPr>
        <w:t>“ (</w:t>
      </w:r>
      <w:r w:rsidRPr="000F1E71">
        <w:rPr>
          <w:i/>
        </w:rPr>
        <w:t>Triebe und Triebschicksale</w:t>
      </w:r>
      <w:r>
        <w:rPr>
          <w:lang w:val="cs-CZ"/>
        </w:rPr>
        <w:t xml:space="preserve">; </w:t>
      </w:r>
      <w:r w:rsidRPr="00772C75">
        <w:rPr>
          <w:i/>
        </w:rPr>
        <w:t>Gesammelte Werk</w:t>
      </w:r>
      <w:r w:rsidRPr="00772C75">
        <w:rPr>
          <w:i/>
          <w:lang w:val="cs-CZ"/>
        </w:rPr>
        <w:t>e</w:t>
      </w:r>
      <w:r>
        <w:rPr>
          <w:lang w:val="cs-CZ"/>
        </w:rPr>
        <w:t xml:space="preserve"> 10, 219, ed. Anna Freud</w:t>
      </w:r>
      <w:r>
        <w:fldChar w:fldCharType="begin"/>
      </w:r>
      <w:r>
        <w:instrText xml:space="preserve"> XE "</w:instrText>
      </w:r>
      <w:r>
        <w:rPr>
          <w:lang w:val="cs-CZ"/>
        </w:rPr>
        <w:instrText>Freud, S.: GW 10, 219</w:instrText>
      </w:r>
      <w:r>
        <w:instrText xml:space="preserve">" </w:instrText>
      </w:r>
      <w:r>
        <w:fldChar w:fldCharType="end"/>
      </w:r>
      <w:r>
        <w:rPr>
          <w:lang w:val="cs-CZ"/>
        </w:rPr>
        <w:t>).</w:t>
      </w:r>
    </w:p>
  </w:footnote>
  <w:footnote w:id="36">
    <w:p w14:paraId="1A6CA36F" w14:textId="77777777" w:rsidR="00344048" w:rsidRPr="08D44503" w:rsidRDefault="00344048" w:rsidP="08DE65A9">
      <w:pPr>
        <w:pStyle w:val="Textpoznpodarou"/>
      </w:pPr>
      <w:r>
        <w:rPr>
          <w:rStyle w:val="Znakapoznpodarou"/>
        </w:rPr>
        <w:footnoteRef/>
      </w:r>
      <w:r>
        <w:t xml:space="preserve"> </w:t>
      </w:r>
      <w:r>
        <w:rPr>
          <w:lang w:val="cs-CZ"/>
        </w:rPr>
        <w:t xml:space="preserve">Klasickou formulaci tohoto principu obsahuje </w:t>
      </w:r>
      <w:r>
        <w:t xml:space="preserve">spis </w:t>
      </w:r>
      <w:r>
        <w:rPr>
          <w:i/>
        </w:rPr>
        <w:t>Auctor</w:t>
      </w:r>
      <w:r w:rsidRPr="005A4A14">
        <w:rPr>
          <w:i/>
        </w:rPr>
        <w:t>itates Aristotelis</w:t>
      </w:r>
      <w:r>
        <w:t xml:space="preserve"> kompilovan</w:t>
      </w:r>
      <w:r>
        <w:rPr>
          <w:lang w:val="cs-CZ"/>
        </w:rPr>
        <w:t xml:space="preserve">ý </w:t>
      </w:r>
      <w:r>
        <w:t xml:space="preserve">kolem </w:t>
      </w:r>
      <w:r>
        <w:rPr>
          <w:lang w:val="cs-CZ"/>
        </w:rPr>
        <w:t xml:space="preserve">roku </w:t>
      </w:r>
      <w:r>
        <w:t>1300</w:t>
      </w:r>
      <w:r>
        <w:rPr>
          <w:lang w:val="cs-CZ"/>
        </w:rPr>
        <w:t>. Bohužel</w:t>
      </w:r>
      <w:r>
        <w:t>, první substanc</w:t>
      </w:r>
      <w:r>
        <w:rPr>
          <w:lang w:val="cs-CZ"/>
        </w:rPr>
        <w:t>e citovaná v původním Aristotelově textu (</w:t>
      </w:r>
      <w:r w:rsidRPr="002C1402">
        <w:rPr>
          <w:i/>
        </w:rPr>
        <w:t>Cat</w:t>
      </w:r>
      <w:r w:rsidRPr="005A4A14">
        <w:t>. 2b5</w:t>
      </w:r>
      <w:r>
        <w:rPr>
          <w:lang w:val="cs-CZ"/>
        </w:rPr>
        <w:t>)</w:t>
      </w:r>
      <w:r>
        <w:fldChar w:fldCharType="begin"/>
      </w:r>
      <w:r>
        <w:instrText xml:space="preserve"> XE "Aristoteles:</w:instrText>
      </w:r>
      <w:r w:rsidRPr="002C1402">
        <w:rPr>
          <w:i/>
        </w:rPr>
        <w:instrText>Cat</w:instrText>
      </w:r>
      <w:r>
        <w:instrText>. 2b</w:instrText>
      </w:r>
      <w:r>
        <w:rPr>
          <w:lang w:val="cs-CZ"/>
        </w:rPr>
        <w:instrText>5</w:instrText>
      </w:r>
      <w:r>
        <w:instrText xml:space="preserve">" </w:instrText>
      </w:r>
      <w:r>
        <w:fldChar w:fldCharType="end"/>
      </w:r>
      <w:r>
        <w:rPr>
          <w:lang w:val="cs-CZ"/>
        </w:rPr>
        <w:t xml:space="preserve"> je v tomto spise chápána </w:t>
      </w:r>
      <w:r>
        <w:t>již jako obje</w:t>
      </w:r>
      <w:r>
        <w:rPr>
          <w:lang w:val="cs-CZ"/>
        </w:rPr>
        <w:t>k</w:t>
      </w:r>
      <w:r>
        <w:t>t</w:t>
      </w:r>
      <w:r>
        <w:rPr>
          <w:lang w:val="cs-CZ"/>
        </w:rPr>
        <w:t>i</w:t>
      </w:r>
      <w:r>
        <w:t>vní indi</w:t>
      </w:r>
      <w:r>
        <w:rPr>
          <w:lang w:val="cs-CZ"/>
        </w:rPr>
        <w:t>viduum</w:t>
      </w:r>
      <w:r>
        <w:t>: „</w:t>
      </w:r>
      <w:r w:rsidRPr="08254AB1">
        <w:rPr>
          <w:i/>
        </w:rPr>
        <w:t>Destructis primis substantiis, id est individuis, impossibile est aliquid aliorum remanere.</w:t>
      </w:r>
      <w:r>
        <w:t>“ (</w:t>
      </w:r>
      <w:r>
        <w:rPr>
          <w:i/>
          <w:iCs/>
        </w:rPr>
        <w:t xml:space="preserve">Les </w:t>
      </w:r>
      <w:r>
        <w:rPr>
          <w:i/>
          <w:iCs/>
          <w:lang w:val="cs-CZ"/>
        </w:rPr>
        <w:t>A</w:t>
      </w:r>
      <w:r>
        <w:rPr>
          <w:i/>
          <w:iCs/>
        </w:rPr>
        <w:t xml:space="preserve">uctoritates </w:t>
      </w:r>
      <w:r w:rsidRPr="083A251B">
        <w:rPr>
          <w:i/>
          <w:iCs/>
        </w:rPr>
        <w:t>Aristotelis</w:t>
      </w:r>
      <w:r>
        <w:rPr>
          <w:lang w:val="cs-CZ"/>
        </w:rPr>
        <w:t xml:space="preserve">, </w:t>
      </w:r>
      <w:r>
        <w:t>ed. Hamesse, p. 305)</w:t>
      </w:r>
    </w:p>
  </w:footnote>
  <w:footnote w:id="37">
    <w:p w14:paraId="54C6A36D" w14:textId="31246CE7" w:rsidR="00344048" w:rsidRPr="08777FB0" w:rsidRDefault="00344048" w:rsidP="00344E5A">
      <w:pPr>
        <w:pStyle w:val="Textpoznpodarou"/>
        <w:rPr>
          <w:lang w:val="cs-CZ"/>
        </w:rPr>
      </w:pPr>
      <w:r w:rsidRPr="005F0EE8">
        <w:rPr>
          <w:rStyle w:val="Znakapoznpodarou"/>
        </w:rPr>
        <w:footnoteRef/>
      </w:r>
      <w:r w:rsidRPr="00160C05">
        <w:rPr>
          <w:rStyle w:val="Znakapoznpodarou"/>
        </w:rPr>
        <w:t xml:space="preserve"> </w:t>
      </w:r>
      <w:r>
        <w:rPr>
          <w:lang w:val="cs-CZ"/>
        </w:rPr>
        <w:t xml:space="preserve">Tento důležitý krok na </w:t>
      </w:r>
      <w:r>
        <w:rPr>
          <w:lang w:eastAsia="en-US"/>
        </w:rPr>
        <w:t>Aristotelo</w:t>
      </w:r>
      <w:r>
        <w:rPr>
          <w:lang w:val="cs-CZ" w:eastAsia="en-US"/>
        </w:rPr>
        <w:t xml:space="preserve">vě </w:t>
      </w:r>
      <w:r>
        <w:rPr>
          <w:lang w:eastAsia="en-US"/>
        </w:rPr>
        <w:t>cest</w:t>
      </w:r>
      <w:r>
        <w:rPr>
          <w:lang w:val="cs-CZ" w:eastAsia="en-US"/>
        </w:rPr>
        <w:t>ě</w:t>
      </w:r>
      <w:r>
        <w:rPr>
          <w:lang w:eastAsia="en-US"/>
        </w:rPr>
        <w:t xml:space="preserve"> k jednotě bytí komentuje </w:t>
      </w:r>
      <w:r w:rsidRPr="00160C05">
        <w:rPr>
          <w:rStyle w:val="TextpoznpodarouChar"/>
          <w:lang w:eastAsia="en-US"/>
        </w:rPr>
        <w:t xml:space="preserve">Pierre </w:t>
      </w:r>
      <w:r>
        <w:rPr>
          <w:rStyle w:val="TextpoznpodarouChar"/>
          <w:lang w:eastAsia="en-US"/>
        </w:rPr>
        <w:t xml:space="preserve">Aubenque v díle </w:t>
      </w:r>
      <w:r w:rsidRPr="00160C05">
        <w:rPr>
          <w:rStyle w:val="TextpoznpodarouChar"/>
          <w:i/>
          <w:lang w:eastAsia="en-US"/>
        </w:rPr>
        <w:t>Le problème de l´être chez Aristote</w:t>
      </w:r>
      <w:r>
        <w:rPr>
          <w:rStyle w:val="TextpoznpodarouChar"/>
          <w:lang w:eastAsia="en-US"/>
        </w:rPr>
        <w:t xml:space="preserve"> (</w:t>
      </w:r>
      <w:r w:rsidRPr="00457F8A">
        <w:rPr>
          <w:rStyle w:val="TextpoznpodarouChar"/>
          <w:lang w:eastAsia="en-US"/>
        </w:rPr>
        <w:t>1962</w:t>
      </w:r>
      <w:r>
        <w:rPr>
          <w:rStyle w:val="TextpoznpodarouChar"/>
          <w:lang w:eastAsia="en-US"/>
        </w:rPr>
        <w:t xml:space="preserve">), viz zejména pp. </w:t>
      </w:r>
      <w:r w:rsidRPr="00160C05">
        <w:rPr>
          <w:rStyle w:val="TextpoznpodarouChar"/>
          <w:lang w:eastAsia="en-US"/>
        </w:rPr>
        <w:t>190</w:t>
      </w:r>
      <w:r>
        <w:rPr>
          <w:rStyle w:val="TextpoznpodarouChar"/>
          <w:lang w:eastAsia="en-US"/>
        </w:rPr>
        <w:t>–</w:t>
      </w:r>
      <w:r w:rsidRPr="00160C05">
        <w:rPr>
          <w:rStyle w:val="TextpoznpodarouChar"/>
          <w:lang w:eastAsia="en-US"/>
        </w:rPr>
        <w:t>192.</w:t>
      </w:r>
      <w:r w:rsidRPr="087D4B3C">
        <w:t xml:space="preserve"> </w:t>
      </w:r>
      <w:r>
        <w:t xml:space="preserve">Citovaná </w:t>
      </w:r>
      <w:r w:rsidRPr="00160C05">
        <w:t xml:space="preserve">pasáž </w:t>
      </w:r>
      <w:r>
        <w:t xml:space="preserve">komentuje </w:t>
      </w:r>
      <w:r w:rsidRPr="00B51375">
        <w:rPr>
          <w:i/>
          <w:lang w:eastAsia="en-US"/>
        </w:rPr>
        <w:t>ultima ratio</w:t>
      </w:r>
      <w:r>
        <w:rPr>
          <w:lang w:eastAsia="en-US"/>
        </w:rPr>
        <w:t xml:space="preserve"> Aristotelovy jednoty </w:t>
      </w:r>
      <w:r w:rsidRPr="00C24F25">
        <w:rPr>
          <w:i/>
          <w:lang w:eastAsia="en-US"/>
        </w:rPr>
        <w:t>pros hen</w:t>
      </w:r>
      <w:r>
        <w:rPr>
          <w:lang w:eastAsia="en-US"/>
        </w:rPr>
        <w:t xml:space="preserve"> </w:t>
      </w:r>
      <w:r w:rsidRPr="00160C05">
        <w:rPr>
          <w:lang w:eastAsia="en-US"/>
        </w:rPr>
        <w:t>(</w:t>
      </w:r>
      <w:r w:rsidRPr="00160C05">
        <w:t>t</w:t>
      </w:r>
      <w:r>
        <w:t>ὸ</w:t>
      </w:r>
      <w:r w:rsidRPr="00160C05">
        <w:t xml:space="preserve"> </w:t>
      </w:r>
      <w:r>
        <w:t>δὲ</w:t>
      </w:r>
      <w:r w:rsidRPr="00160C05">
        <w:t xml:space="preserve"> </w:t>
      </w:r>
      <w:r>
        <w:t>ὂν</w:t>
      </w:r>
      <w:r w:rsidRPr="00160C05">
        <w:t xml:space="preserve"> </w:t>
      </w:r>
      <w:r>
        <w:t>λέγεται</w:t>
      </w:r>
      <w:r w:rsidRPr="00160C05">
        <w:t xml:space="preserve"> </w:t>
      </w:r>
      <w:r>
        <w:t>μὲν</w:t>
      </w:r>
      <w:r w:rsidRPr="00160C05">
        <w:t xml:space="preserve"> </w:t>
      </w:r>
      <w:r>
        <w:t>πολλαχῶς</w:t>
      </w:r>
      <w:r w:rsidRPr="00160C05">
        <w:t xml:space="preserve">, </w:t>
      </w:r>
      <w:r>
        <w:t>ἀλλὰ</w:t>
      </w:r>
      <w:r w:rsidRPr="00160C05">
        <w:t xml:space="preserve"> </w:t>
      </w:r>
      <w:r>
        <w:t>πρὸς</w:t>
      </w:r>
      <w:r w:rsidRPr="00160C05">
        <w:t xml:space="preserve"> </w:t>
      </w:r>
      <w:r>
        <w:t>ἓν</w:t>
      </w:r>
      <w:r w:rsidRPr="00160C05">
        <w:t xml:space="preserve"> </w:t>
      </w:r>
      <w:r w:rsidRPr="005A29E7">
        <w:t>καὶ</w:t>
      </w:r>
      <w:r w:rsidRPr="00160C05">
        <w:t xml:space="preserve"> </w:t>
      </w:r>
      <w:r w:rsidRPr="005A29E7">
        <w:t>μίαν</w:t>
      </w:r>
      <w:r w:rsidRPr="00160C05">
        <w:t xml:space="preserve"> </w:t>
      </w:r>
      <w:r w:rsidRPr="005A29E7">
        <w:t>τινὰ</w:t>
      </w:r>
      <w:r w:rsidRPr="00160C05">
        <w:t xml:space="preserve"> </w:t>
      </w:r>
      <w:r w:rsidRPr="005A29E7">
        <w:t>φύσιν</w:t>
      </w:r>
      <w:r>
        <w:rPr>
          <w:i/>
          <w:lang w:eastAsia="en-US"/>
        </w:rPr>
        <w:t xml:space="preserve">, </w:t>
      </w:r>
      <w:r w:rsidRPr="00160C05">
        <w:rPr>
          <w:i/>
          <w:lang w:eastAsia="en-US"/>
        </w:rPr>
        <w:t>Met.</w:t>
      </w:r>
      <w:r>
        <w:rPr>
          <w:lang w:eastAsia="en-US"/>
        </w:rPr>
        <w:t xml:space="preserve"> </w:t>
      </w:r>
      <w:r w:rsidRPr="00160C05">
        <w:rPr>
          <w:lang w:eastAsia="en-US"/>
        </w:rPr>
        <w:t>1003a33</w:t>
      </w:r>
      <w:r>
        <w:fldChar w:fldCharType="begin"/>
      </w:r>
      <w:r>
        <w:instrText xml:space="preserve"> XE "Aristoteles:</w:instrText>
      </w:r>
      <w:r w:rsidRPr="00160C05">
        <w:rPr>
          <w:i/>
          <w:lang w:eastAsia="en-US"/>
        </w:rPr>
        <w:instrText>Met.</w:instrText>
      </w:r>
      <w:r>
        <w:rPr>
          <w:lang w:eastAsia="en-US"/>
        </w:rPr>
        <w:instrText xml:space="preserve"> </w:instrText>
      </w:r>
      <w:r w:rsidRPr="00160C05">
        <w:rPr>
          <w:lang w:eastAsia="en-US"/>
        </w:rPr>
        <w:instrText>1003a33</w:instrText>
      </w:r>
      <w:r>
        <w:instrText xml:space="preserve">" </w:instrText>
      </w:r>
      <w:r>
        <w:fldChar w:fldCharType="end"/>
      </w:r>
      <w:r w:rsidRPr="00160C05">
        <w:rPr>
          <w:lang w:eastAsia="en-US"/>
        </w:rPr>
        <w:t>)</w:t>
      </w:r>
      <w:r>
        <w:rPr>
          <w:lang w:eastAsia="en-US"/>
        </w:rPr>
        <w:t>.</w:t>
      </w:r>
      <w:r>
        <w:rPr>
          <w:lang w:val="cs-CZ" w:eastAsia="en-US"/>
        </w:rPr>
        <w:t xml:space="preserve"> Aubenque chápal Aristotelovu cestu k jednotě jsoucna aporeticky, což není případ této studie. </w:t>
      </w:r>
    </w:p>
  </w:footnote>
  <w:footnote w:id="38">
    <w:p w14:paraId="63787F16" w14:textId="77777777" w:rsidR="00344048" w:rsidRPr="006A2420" w:rsidRDefault="00344048">
      <w:pPr>
        <w:pStyle w:val="Textpoznpodarou"/>
        <w:rPr>
          <w:lang w:val="cs-CZ"/>
        </w:rPr>
      </w:pPr>
      <w:r>
        <w:rPr>
          <w:rStyle w:val="Znakapoznpodarou"/>
        </w:rPr>
        <w:footnoteRef/>
      </w:r>
      <w:r>
        <w:t xml:space="preserve"> „</w:t>
      </w:r>
      <w:r w:rsidRPr="00671500">
        <w:t xml:space="preserve">But </w:t>
      </w:r>
      <w:r w:rsidRPr="00671500">
        <w:rPr>
          <w:szCs w:val="12"/>
        </w:rPr>
        <w:t xml:space="preserve">in </w:t>
      </w:r>
      <w:r w:rsidRPr="00671500">
        <w:rPr>
          <w:szCs w:val="15"/>
        </w:rPr>
        <w:t xml:space="preserve">a </w:t>
      </w:r>
      <w:r w:rsidRPr="00671500">
        <w:rPr>
          <w:szCs w:val="16"/>
        </w:rPr>
        <w:t xml:space="preserve">secondary </w:t>
      </w:r>
      <w:r w:rsidRPr="00671500">
        <w:rPr>
          <w:szCs w:val="15"/>
        </w:rPr>
        <w:t xml:space="preserve">sense those things </w:t>
      </w:r>
      <w:r w:rsidRPr="00671500">
        <w:rPr>
          <w:szCs w:val="14"/>
        </w:rPr>
        <w:t>are</w:t>
      </w:r>
      <w:r>
        <w:rPr>
          <w:szCs w:val="14"/>
        </w:rPr>
        <w:t xml:space="preserve"> </w:t>
      </w:r>
      <w:r w:rsidRPr="00671500">
        <w:t xml:space="preserve">called </w:t>
      </w:r>
      <w:r w:rsidRPr="00671500">
        <w:rPr>
          <w:szCs w:val="15"/>
        </w:rPr>
        <w:t xml:space="preserve">substances within which, </w:t>
      </w:r>
      <w:r w:rsidRPr="00671500">
        <w:rPr>
          <w:szCs w:val="14"/>
        </w:rPr>
        <w:t xml:space="preserve">as </w:t>
      </w:r>
      <w:r w:rsidRPr="00671500">
        <w:t xml:space="preserve">species, </w:t>
      </w:r>
      <w:r w:rsidRPr="00671500">
        <w:rPr>
          <w:szCs w:val="15"/>
        </w:rPr>
        <w:t xml:space="preserve">the </w:t>
      </w:r>
      <w:r w:rsidRPr="00671500">
        <w:rPr>
          <w:szCs w:val="16"/>
        </w:rPr>
        <w:t>primary sub</w:t>
      </w:r>
      <w:r w:rsidRPr="00671500">
        <w:rPr>
          <w:szCs w:val="15"/>
        </w:rPr>
        <w:t xml:space="preserve">stances </w:t>
      </w:r>
      <w:r w:rsidRPr="00671500">
        <w:rPr>
          <w:szCs w:val="14"/>
        </w:rPr>
        <w:t xml:space="preserve">are </w:t>
      </w:r>
      <w:r>
        <w:rPr>
          <w:szCs w:val="15"/>
        </w:rPr>
        <w:t>included</w:t>
      </w:r>
      <w:r w:rsidRPr="00671500">
        <w:rPr>
          <w:szCs w:val="5"/>
        </w:rPr>
        <w:t xml:space="preserve">; </w:t>
      </w:r>
      <w:r w:rsidRPr="00671500">
        <w:rPr>
          <w:szCs w:val="14"/>
        </w:rPr>
        <w:t xml:space="preserve">also </w:t>
      </w:r>
      <w:r w:rsidRPr="00671500">
        <w:rPr>
          <w:szCs w:val="15"/>
        </w:rPr>
        <w:t xml:space="preserve">those which, </w:t>
      </w:r>
      <w:r w:rsidRPr="00671500">
        <w:rPr>
          <w:szCs w:val="14"/>
        </w:rPr>
        <w:t xml:space="preserve">as </w:t>
      </w:r>
      <w:r w:rsidRPr="00671500">
        <w:rPr>
          <w:szCs w:val="15"/>
        </w:rPr>
        <w:t xml:space="preserve">genera, include the </w:t>
      </w:r>
      <w:r w:rsidRPr="00671500">
        <w:t>species.</w:t>
      </w:r>
      <w:r>
        <w:t>“ (</w:t>
      </w:r>
      <w:r>
        <w:rPr>
          <w:i/>
        </w:rPr>
        <w:t xml:space="preserve">Cat. </w:t>
      </w:r>
      <w:r>
        <w:t>2a1</w:t>
      </w:r>
      <w:r>
        <w:rPr>
          <w:lang w:val="cs-CZ"/>
        </w:rPr>
        <w:t>4</w:t>
      </w:r>
      <w:r>
        <w:t>‒16</w:t>
      </w:r>
      <w:r>
        <w:fldChar w:fldCharType="begin"/>
      </w:r>
      <w:r>
        <w:instrText xml:space="preserve"> XE "Aristoteles:</w:instrText>
      </w:r>
      <w:r w:rsidRPr="002C1402">
        <w:rPr>
          <w:i/>
        </w:rPr>
        <w:instrText>Cat</w:instrText>
      </w:r>
      <w:r>
        <w:instrText>. 2</w:instrText>
      </w:r>
      <w:r>
        <w:rPr>
          <w:lang w:val="cs-CZ"/>
        </w:rPr>
        <w:instrText>a14</w:instrText>
      </w:r>
      <w:r>
        <w:instrText>‒</w:instrText>
      </w:r>
      <w:r>
        <w:rPr>
          <w:lang w:val="cs-CZ"/>
        </w:rPr>
        <w:instrText>16</w:instrText>
      </w:r>
      <w:r>
        <w:instrText xml:space="preserve">" </w:instrText>
      </w:r>
      <w:r>
        <w:fldChar w:fldCharType="end"/>
      </w:r>
      <w:r>
        <w:t>, ed. WA 1, trad. Edghill)</w:t>
      </w:r>
    </w:p>
  </w:footnote>
  <w:footnote w:id="39">
    <w:p w14:paraId="20B05DD0" w14:textId="77777777" w:rsidR="00344048" w:rsidRPr="00015E4A" w:rsidRDefault="00344048">
      <w:pPr>
        <w:pStyle w:val="Textpoznpodarou"/>
        <w:rPr>
          <w:lang w:val="cs-CZ"/>
        </w:rPr>
      </w:pPr>
      <w:r>
        <w:rPr>
          <w:rStyle w:val="Znakapoznpodarou"/>
        </w:rPr>
        <w:footnoteRef/>
      </w:r>
      <w:r>
        <w:t xml:space="preserve"> </w:t>
      </w:r>
      <w:r w:rsidRPr="00273106">
        <w:rPr>
          <w:noProof/>
          <w:szCs w:val="25"/>
        </w:rPr>
        <w:t xml:space="preserve">„We </w:t>
      </w:r>
      <w:r w:rsidRPr="00273106">
        <w:rPr>
          <w:noProof/>
        </w:rPr>
        <w:t xml:space="preserve">conclude </w:t>
      </w:r>
      <w:r w:rsidRPr="00273106">
        <w:rPr>
          <w:noProof/>
          <w:szCs w:val="14"/>
        </w:rPr>
        <w:t xml:space="preserve">that these states of </w:t>
      </w:r>
      <w:r w:rsidRPr="00273106">
        <w:rPr>
          <w:noProof/>
          <w:szCs w:val="17"/>
        </w:rPr>
        <w:t xml:space="preserve">knowledge </w:t>
      </w:r>
      <w:r w:rsidRPr="00273106">
        <w:rPr>
          <w:noProof/>
          <w:szCs w:val="14"/>
        </w:rPr>
        <w:t xml:space="preserve">are neither innate </w:t>
      </w:r>
      <w:r w:rsidRPr="00273106">
        <w:rPr>
          <w:noProof/>
          <w:szCs w:val="12"/>
        </w:rPr>
        <w:t xml:space="preserve">in </w:t>
      </w:r>
      <w:r w:rsidRPr="00273106">
        <w:rPr>
          <w:noProof/>
          <w:szCs w:val="14"/>
        </w:rPr>
        <w:t xml:space="preserve">a </w:t>
      </w:r>
      <w:r w:rsidRPr="00273106">
        <w:rPr>
          <w:noProof/>
        </w:rPr>
        <w:t xml:space="preserve">determinate </w:t>
      </w:r>
      <w:r w:rsidRPr="00273106">
        <w:rPr>
          <w:noProof/>
          <w:szCs w:val="15"/>
        </w:rPr>
        <w:t xml:space="preserve">form, nor </w:t>
      </w:r>
      <w:r w:rsidRPr="00273106">
        <w:rPr>
          <w:noProof/>
        </w:rPr>
        <w:t xml:space="preserve">developed </w:t>
      </w:r>
      <w:r w:rsidRPr="00273106">
        <w:rPr>
          <w:noProof/>
          <w:szCs w:val="17"/>
        </w:rPr>
        <w:t xml:space="preserve">from </w:t>
      </w:r>
      <w:r w:rsidRPr="00273106">
        <w:rPr>
          <w:noProof/>
          <w:szCs w:val="15"/>
        </w:rPr>
        <w:t xml:space="preserve">other higher </w:t>
      </w:r>
      <w:r w:rsidRPr="00273106">
        <w:rPr>
          <w:noProof/>
          <w:szCs w:val="13"/>
        </w:rPr>
        <w:t xml:space="preserve">states </w:t>
      </w:r>
      <w:r w:rsidRPr="00273106">
        <w:rPr>
          <w:noProof/>
          <w:szCs w:val="15"/>
        </w:rPr>
        <w:t xml:space="preserve">of </w:t>
      </w:r>
      <w:r w:rsidRPr="00273106">
        <w:rPr>
          <w:noProof/>
        </w:rPr>
        <w:t xml:space="preserve">knowledge, but from </w:t>
      </w:r>
      <w:r w:rsidRPr="00273106">
        <w:rPr>
          <w:noProof/>
          <w:szCs w:val="14"/>
        </w:rPr>
        <w:t>sense-perception (</w:t>
      </w:r>
      <w:r w:rsidRPr="00273106">
        <w:rPr>
          <w:noProof/>
        </w:rPr>
        <w:t>ἀλλ' ἀπὸ αἰσθήσεως</w:t>
      </w:r>
      <w:r w:rsidRPr="00273106">
        <w:rPr>
          <w:noProof/>
          <w:szCs w:val="14"/>
        </w:rPr>
        <w:t>).“ (</w:t>
      </w:r>
      <w:r w:rsidRPr="00273106">
        <w:rPr>
          <w:i/>
          <w:noProof/>
          <w:szCs w:val="14"/>
        </w:rPr>
        <w:t>Anal. Post</w:t>
      </w:r>
      <w:r w:rsidRPr="00273106">
        <w:rPr>
          <w:noProof/>
          <w:szCs w:val="14"/>
        </w:rPr>
        <w:t>. 100a10‒11</w:t>
      </w:r>
      <w:r>
        <w:fldChar w:fldCharType="begin"/>
      </w:r>
      <w:r>
        <w:instrText xml:space="preserve"> XE "Aristoteles:</w:instrText>
      </w:r>
      <w:r w:rsidRPr="00273106">
        <w:rPr>
          <w:i/>
          <w:noProof/>
          <w:szCs w:val="14"/>
        </w:rPr>
        <w:instrText>Anal. Post</w:instrText>
      </w:r>
      <w:r w:rsidRPr="00273106">
        <w:rPr>
          <w:noProof/>
          <w:szCs w:val="14"/>
        </w:rPr>
        <w:instrText>. 100a10‒11</w:instrText>
      </w:r>
      <w:r>
        <w:instrText xml:space="preserve">" </w:instrText>
      </w:r>
      <w:r>
        <w:fldChar w:fldCharType="end"/>
      </w:r>
      <w:r w:rsidRPr="00273106">
        <w:rPr>
          <w:noProof/>
          <w:szCs w:val="14"/>
        </w:rPr>
        <w:t xml:space="preserve">; </w:t>
      </w:r>
      <w:r w:rsidRPr="00273106">
        <w:rPr>
          <w:noProof/>
          <w:szCs w:val="15"/>
        </w:rPr>
        <w:t>WA 1,</w:t>
      </w:r>
      <w:r w:rsidRPr="00273106">
        <w:rPr>
          <w:noProof/>
          <w:szCs w:val="14"/>
        </w:rPr>
        <w:t xml:space="preserve"> trad. Mure)</w:t>
      </w:r>
    </w:p>
  </w:footnote>
  <w:footnote w:id="40">
    <w:p w14:paraId="290BC0D7" w14:textId="77777777" w:rsidR="00344048" w:rsidRPr="007B4077" w:rsidRDefault="00344048" w:rsidP="00EA2A92">
      <w:pPr>
        <w:pStyle w:val="Textpoznpodarou"/>
        <w:rPr>
          <w:rFonts w:ascii="Times New Roman" w:hAnsi="Times New Roman"/>
          <w:szCs w:val="24"/>
        </w:rPr>
      </w:pPr>
      <w:r>
        <w:rPr>
          <w:rStyle w:val="Znakapoznpodarou"/>
        </w:rPr>
        <w:footnoteRef/>
      </w:r>
      <w:r>
        <w:t xml:space="preserve"> </w:t>
      </w:r>
      <w:r w:rsidRPr="007B4077">
        <w:t>„</w:t>
      </w:r>
      <w:r w:rsidRPr="007B4077">
        <w:rPr>
          <w:rStyle w:val="TextpoznpodarouChar"/>
        </w:rPr>
        <w:t>We suppose ourselves to possess unqualified scientific knowledge of a thing</w:t>
      </w:r>
      <w:r>
        <w:rPr>
          <w:rStyle w:val="TextpoznpodarouChar"/>
        </w:rPr>
        <w:t xml:space="preserve"> (</w:t>
      </w:r>
      <w:r w:rsidRPr="007B4077">
        <w:t>ἐ</w:t>
      </w:r>
      <w:r>
        <w:t>πίστασθαι δὲ οἰόμεθ' ἕκαστον ἁπλῶς</w:t>
      </w:r>
      <w:r>
        <w:rPr>
          <w:rStyle w:val="TextpoznpodarouChar"/>
        </w:rPr>
        <w:t>)</w:t>
      </w:r>
      <w:r w:rsidRPr="007B4077">
        <w:rPr>
          <w:rStyle w:val="TextpoznpodarouChar"/>
        </w:rPr>
        <w:t>, (...)</w:t>
      </w:r>
      <w:r>
        <w:rPr>
          <w:rFonts w:cs="Courier"/>
          <w:sz w:val="14"/>
          <w:szCs w:val="14"/>
        </w:rPr>
        <w:t xml:space="preserve"> </w:t>
      </w:r>
      <w:r w:rsidRPr="007B4077">
        <w:rPr>
          <w:szCs w:val="18"/>
        </w:rPr>
        <w:t xml:space="preserve">when </w:t>
      </w:r>
      <w:r w:rsidRPr="007B4077">
        <w:rPr>
          <w:szCs w:val="19"/>
        </w:rPr>
        <w:t xml:space="preserve">we </w:t>
      </w:r>
      <w:r w:rsidRPr="007B4077">
        <w:rPr>
          <w:szCs w:val="15"/>
        </w:rPr>
        <w:t xml:space="preserve">think </w:t>
      </w:r>
      <w:r w:rsidRPr="007B4077">
        <w:rPr>
          <w:szCs w:val="14"/>
        </w:rPr>
        <w:t xml:space="preserve">that </w:t>
      </w:r>
      <w:r w:rsidRPr="007B4077">
        <w:rPr>
          <w:szCs w:val="19"/>
        </w:rPr>
        <w:t xml:space="preserve">we know </w:t>
      </w:r>
      <w:r w:rsidRPr="007B4077">
        <w:rPr>
          <w:szCs w:val="15"/>
        </w:rPr>
        <w:t xml:space="preserve">the cause </w:t>
      </w:r>
      <w:r>
        <w:rPr>
          <w:szCs w:val="15"/>
        </w:rPr>
        <w:t>(</w:t>
      </w:r>
      <w:r w:rsidRPr="007B4077">
        <w:t>τήν τ' αἰτίαν οἰώμεθα γινώσκειν</w:t>
      </w:r>
      <w:r>
        <w:rPr>
          <w:szCs w:val="15"/>
        </w:rPr>
        <w:t xml:space="preserve">) </w:t>
      </w:r>
      <w:r w:rsidRPr="007B4077">
        <w:rPr>
          <w:szCs w:val="17"/>
        </w:rPr>
        <w:t xml:space="preserve">on which </w:t>
      </w:r>
      <w:r w:rsidRPr="007B4077">
        <w:rPr>
          <w:szCs w:val="15"/>
        </w:rPr>
        <w:t xml:space="preserve">the </w:t>
      </w:r>
      <w:r w:rsidRPr="007B4077">
        <w:rPr>
          <w:szCs w:val="13"/>
        </w:rPr>
        <w:t xml:space="preserve">fact </w:t>
      </w:r>
      <w:r w:rsidRPr="007B4077">
        <w:rPr>
          <w:szCs w:val="15"/>
        </w:rPr>
        <w:t>depends</w:t>
      </w:r>
      <w:r>
        <w:rPr>
          <w:szCs w:val="15"/>
        </w:rPr>
        <w:t xml:space="preserve"> (</w:t>
      </w:r>
      <w:r w:rsidRPr="007B4077">
        <w:t>δι' ἣν τὸ πρᾶγμά ἐστιν</w:t>
      </w:r>
      <w:r>
        <w:rPr>
          <w:szCs w:val="15"/>
        </w:rPr>
        <w:t>)</w:t>
      </w:r>
      <w:r w:rsidRPr="007B4077">
        <w:rPr>
          <w:szCs w:val="15"/>
        </w:rPr>
        <w:t xml:space="preserve">, </w:t>
      </w:r>
      <w:r w:rsidRPr="007B4077">
        <w:rPr>
          <w:szCs w:val="13"/>
        </w:rPr>
        <w:t xml:space="preserve">as </w:t>
      </w:r>
      <w:r w:rsidRPr="007B4077">
        <w:rPr>
          <w:szCs w:val="15"/>
        </w:rPr>
        <w:t xml:space="preserve">the cause of that </w:t>
      </w:r>
      <w:r w:rsidRPr="007B4077">
        <w:rPr>
          <w:szCs w:val="13"/>
        </w:rPr>
        <w:t xml:space="preserve">fact </w:t>
      </w:r>
      <w:r w:rsidRPr="007B4077">
        <w:rPr>
          <w:szCs w:val="17"/>
        </w:rPr>
        <w:t xml:space="preserve">and </w:t>
      </w:r>
      <w:r w:rsidRPr="007B4077">
        <w:rPr>
          <w:szCs w:val="15"/>
        </w:rPr>
        <w:t xml:space="preserve">of </w:t>
      </w:r>
      <w:r w:rsidRPr="007B4077">
        <w:rPr>
          <w:szCs w:val="17"/>
        </w:rPr>
        <w:t xml:space="preserve">no </w:t>
      </w:r>
      <w:r w:rsidRPr="007B4077">
        <w:rPr>
          <w:szCs w:val="13"/>
        </w:rPr>
        <w:t xml:space="preserve">other, </w:t>
      </w:r>
      <w:r w:rsidRPr="007B4077">
        <w:rPr>
          <w:szCs w:val="14"/>
        </w:rPr>
        <w:t xml:space="preserve">and, </w:t>
      </w:r>
      <w:r w:rsidRPr="007B4077">
        <w:rPr>
          <w:szCs w:val="13"/>
        </w:rPr>
        <w:t xml:space="preserve">further, </w:t>
      </w:r>
      <w:r w:rsidRPr="007B4077">
        <w:rPr>
          <w:szCs w:val="14"/>
        </w:rPr>
        <w:t xml:space="preserve">that the </w:t>
      </w:r>
      <w:r w:rsidRPr="007B4077">
        <w:rPr>
          <w:szCs w:val="13"/>
        </w:rPr>
        <w:t xml:space="preserve">fact  </w:t>
      </w:r>
      <w:r w:rsidRPr="007B4077">
        <w:rPr>
          <w:szCs w:val="15"/>
        </w:rPr>
        <w:t xml:space="preserve">could </w:t>
      </w:r>
      <w:r w:rsidRPr="007B4077">
        <w:rPr>
          <w:szCs w:val="16"/>
        </w:rPr>
        <w:t xml:space="preserve">not be </w:t>
      </w:r>
      <w:r w:rsidRPr="007B4077">
        <w:rPr>
          <w:szCs w:val="15"/>
        </w:rPr>
        <w:t xml:space="preserve">other </w:t>
      </w:r>
      <w:r w:rsidRPr="007B4077">
        <w:rPr>
          <w:szCs w:val="16"/>
        </w:rPr>
        <w:t xml:space="preserve">than </w:t>
      </w:r>
      <w:r w:rsidRPr="007B4077">
        <w:rPr>
          <w:szCs w:val="10"/>
        </w:rPr>
        <w:t xml:space="preserve">it </w:t>
      </w:r>
      <w:r w:rsidRPr="007B4077">
        <w:rPr>
          <w:szCs w:val="9"/>
        </w:rPr>
        <w:t>is.</w:t>
      </w:r>
      <w:r w:rsidRPr="007B4077">
        <w:rPr>
          <w:szCs w:val="15"/>
        </w:rPr>
        <w:t>“</w:t>
      </w:r>
      <w:r>
        <w:rPr>
          <w:szCs w:val="15"/>
        </w:rPr>
        <w:t xml:space="preserve"> (</w:t>
      </w:r>
      <w:r w:rsidRPr="007B4077">
        <w:rPr>
          <w:i/>
          <w:szCs w:val="15"/>
        </w:rPr>
        <w:t>Anal. Post</w:t>
      </w:r>
      <w:r>
        <w:rPr>
          <w:szCs w:val="15"/>
        </w:rPr>
        <w:t>. 71b9‒12</w:t>
      </w:r>
      <w:r>
        <w:fldChar w:fldCharType="begin"/>
      </w:r>
      <w:r>
        <w:instrText xml:space="preserve"> XE "Aristoteles:</w:instrText>
      </w:r>
      <w:r w:rsidRPr="00273106">
        <w:rPr>
          <w:i/>
          <w:noProof/>
          <w:szCs w:val="14"/>
        </w:rPr>
        <w:instrText>Anal. Post</w:instrText>
      </w:r>
      <w:r w:rsidRPr="00273106">
        <w:rPr>
          <w:noProof/>
          <w:szCs w:val="14"/>
        </w:rPr>
        <w:instrText xml:space="preserve">. </w:instrText>
      </w:r>
      <w:r>
        <w:rPr>
          <w:noProof/>
          <w:szCs w:val="14"/>
          <w:lang w:val="cs-CZ"/>
        </w:rPr>
        <w:instrText>71b9</w:instrText>
      </w:r>
      <w:r>
        <w:rPr>
          <w:noProof/>
          <w:szCs w:val="14"/>
        </w:rPr>
        <w:instrText>‒1</w:instrText>
      </w:r>
      <w:r>
        <w:rPr>
          <w:noProof/>
          <w:szCs w:val="14"/>
          <w:lang w:val="cs-CZ"/>
        </w:rPr>
        <w:instrText>2</w:instrText>
      </w:r>
      <w:r>
        <w:instrText xml:space="preserve">" </w:instrText>
      </w:r>
      <w:r>
        <w:fldChar w:fldCharType="end"/>
      </w:r>
      <w:r>
        <w:rPr>
          <w:szCs w:val="15"/>
        </w:rPr>
        <w:t>; WA 1,  trad. Mure)</w:t>
      </w:r>
    </w:p>
  </w:footnote>
  <w:footnote w:id="41">
    <w:p w14:paraId="42F1CE7F" w14:textId="77777777" w:rsidR="00344048" w:rsidRPr="00772541" w:rsidRDefault="00344048" w:rsidP="00374ED1">
      <w:pPr>
        <w:pStyle w:val="Textpoznpodarou"/>
        <w:rPr>
          <w:lang w:val="cs-CZ"/>
        </w:rPr>
      </w:pPr>
      <w:r>
        <w:rPr>
          <w:rStyle w:val="Znakapoznpodarou"/>
        </w:rPr>
        <w:footnoteRef/>
      </w:r>
      <w:r>
        <w:t xml:space="preserve"> </w:t>
      </w:r>
      <w:r>
        <w:rPr>
          <w:lang w:val="cs-CZ"/>
        </w:rPr>
        <w:t xml:space="preserve">Primární postavení ekvivočně určené první substance zakládá logickou (ale ne metafyzickou) </w:t>
      </w:r>
      <w:r w:rsidRPr="00273106">
        <w:t>platnost principu „</w:t>
      </w:r>
      <w:r w:rsidRPr="00273106">
        <w:rPr>
          <w:bCs/>
          <w:i/>
          <w:iCs/>
        </w:rPr>
        <w:t>dictum de omni et nullo</w:t>
      </w:r>
      <w:r>
        <w:rPr>
          <w:bCs/>
          <w:iCs/>
        </w:rPr>
        <w:t>“</w:t>
      </w:r>
      <w:r>
        <w:rPr>
          <w:bCs/>
          <w:iCs/>
          <w:lang w:val="cs-CZ"/>
        </w:rPr>
        <w:t>. K</w:t>
      </w:r>
      <w:r w:rsidRPr="00273106">
        <w:rPr>
          <w:bCs/>
          <w:iCs/>
        </w:rPr>
        <w:t xml:space="preserve">ategoriální determinace dané </w:t>
      </w:r>
      <w:r w:rsidRPr="00273106">
        <w:rPr>
          <w:bCs/>
          <w:i/>
          <w:iCs/>
        </w:rPr>
        <w:t>per prius</w:t>
      </w:r>
      <w:r w:rsidRPr="00273106">
        <w:rPr>
          <w:bCs/>
          <w:iCs/>
        </w:rPr>
        <w:t xml:space="preserve"> určují následná určení subjektu daná </w:t>
      </w:r>
      <w:r w:rsidRPr="00273106">
        <w:rPr>
          <w:bCs/>
          <w:i/>
          <w:iCs/>
        </w:rPr>
        <w:t>per posterius</w:t>
      </w:r>
      <w:r w:rsidRPr="00273106">
        <w:rPr>
          <w:bCs/>
          <w:iCs/>
        </w:rPr>
        <w:t xml:space="preserve"> (</w:t>
      </w:r>
      <w:r w:rsidRPr="00273106">
        <w:t xml:space="preserve">κατὰ τοῦ κατηγορουμένου λέγεται, πάντα καὶ κατὰ τοῦ ὑποκειμένου, </w:t>
      </w:r>
      <w:r w:rsidRPr="00241E59">
        <w:rPr>
          <w:bCs/>
          <w:i/>
          <w:iCs/>
        </w:rPr>
        <w:t>Cat.</w:t>
      </w:r>
      <w:r w:rsidRPr="00273106">
        <w:rPr>
          <w:bCs/>
          <w:iCs/>
        </w:rPr>
        <w:t xml:space="preserve"> 1b11‒12</w:t>
      </w:r>
      <w:r>
        <w:fldChar w:fldCharType="begin"/>
      </w:r>
      <w:r>
        <w:instrText xml:space="preserve"> XE "Aristoteles:</w:instrText>
      </w:r>
      <w:r w:rsidRPr="002C1402">
        <w:rPr>
          <w:i/>
        </w:rPr>
        <w:instrText>Cat</w:instrText>
      </w:r>
      <w:r>
        <w:instrText xml:space="preserve">. </w:instrText>
      </w:r>
      <w:r>
        <w:rPr>
          <w:lang w:val="cs-CZ"/>
        </w:rPr>
        <w:instrText>1b</w:instrText>
      </w:r>
      <w:r>
        <w:instrText>1</w:instrText>
      </w:r>
      <w:r>
        <w:rPr>
          <w:lang w:val="cs-CZ"/>
        </w:rPr>
        <w:instrText>1</w:instrText>
      </w:r>
      <w:r>
        <w:instrText>‒1</w:instrText>
      </w:r>
      <w:r>
        <w:rPr>
          <w:lang w:val="cs-CZ"/>
        </w:rPr>
        <w:instrText>2</w:instrText>
      </w:r>
      <w:r>
        <w:instrText xml:space="preserve">" </w:instrText>
      </w:r>
      <w:r>
        <w:fldChar w:fldCharType="end"/>
      </w:r>
      <w:r w:rsidRPr="00273106">
        <w:rPr>
          <w:bCs/>
          <w:iCs/>
        </w:rPr>
        <w:t xml:space="preserve">; </w:t>
      </w:r>
      <w:r w:rsidRPr="00273106">
        <w:rPr>
          <w:bCs/>
          <w:i/>
          <w:iCs/>
        </w:rPr>
        <w:t>Anal. Pr</w:t>
      </w:r>
      <w:r>
        <w:rPr>
          <w:bCs/>
          <w:i/>
          <w:iCs/>
          <w:lang w:val="cs-CZ"/>
        </w:rPr>
        <w:t>ior</w:t>
      </w:r>
      <w:r w:rsidRPr="00273106">
        <w:rPr>
          <w:bCs/>
          <w:iCs/>
        </w:rPr>
        <w:t>. 24b27</w:t>
      </w:r>
      <w:r>
        <w:fldChar w:fldCharType="begin"/>
      </w:r>
      <w:r>
        <w:instrText xml:space="preserve"> XE "Aristoteles:</w:instrText>
      </w:r>
      <w:r w:rsidRPr="00273106">
        <w:rPr>
          <w:bCs/>
          <w:i/>
          <w:iCs/>
        </w:rPr>
        <w:instrText>Anal. Pr</w:instrText>
      </w:r>
      <w:r>
        <w:rPr>
          <w:bCs/>
          <w:i/>
          <w:iCs/>
          <w:lang w:val="cs-CZ"/>
        </w:rPr>
        <w:instrText>ior</w:instrText>
      </w:r>
      <w:r w:rsidRPr="00273106">
        <w:rPr>
          <w:bCs/>
          <w:iCs/>
        </w:rPr>
        <w:instrText>. 24b27</w:instrText>
      </w:r>
      <w:r>
        <w:instrText xml:space="preserve">" </w:instrText>
      </w:r>
      <w:r>
        <w:fldChar w:fldCharType="end"/>
      </w:r>
      <w:r w:rsidRPr="00273106">
        <w:rPr>
          <w:bCs/>
          <w:iCs/>
        </w:rPr>
        <w:t>).</w:t>
      </w:r>
    </w:p>
  </w:footnote>
  <w:footnote w:id="42">
    <w:p w14:paraId="518BC889" w14:textId="77777777" w:rsidR="00344048" w:rsidRPr="00D24176" w:rsidRDefault="00344048" w:rsidP="084746E5">
      <w:pPr>
        <w:pStyle w:val="Textpoznpodarou"/>
      </w:pPr>
      <w:r>
        <w:rPr>
          <w:rStyle w:val="Znakapoznpodarou"/>
        </w:rPr>
        <w:footnoteRef/>
      </w:r>
      <w:r>
        <w:rPr>
          <w:lang w:val="cs-CZ"/>
        </w:rPr>
        <w:t xml:space="preserve"> </w:t>
      </w:r>
      <w:r>
        <w:t>„</w:t>
      </w:r>
      <w:r w:rsidRPr="00D24176">
        <w:t xml:space="preserve">Grant, </w:t>
      </w:r>
      <w:r w:rsidRPr="00D24176">
        <w:rPr>
          <w:szCs w:val="14"/>
        </w:rPr>
        <w:t xml:space="preserve">then, that </w:t>
      </w:r>
      <w:r w:rsidRPr="00D24176">
        <w:rPr>
          <w:szCs w:val="16"/>
        </w:rPr>
        <w:t xml:space="preserve">they </w:t>
      </w:r>
      <w:r w:rsidRPr="00D24176">
        <w:t xml:space="preserve">are prior </w:t>
      </w:r>
      <w:r w:rsidRPr="00D24176">
        <w:rPr>
          <w:szCs w:val="13"/>
        </w:rPr>
        <w:t xml:space="preserve">in definition. </w:t>
      </w:r>
      <w:r w:rsidRPr="00D24176">
        <w:rPr>
          <w:szCs w:val="12"/>
        </w:rPr>
        <w:t xml:space="preserve">Still </w:t>
      </w:r>
      <w:r w:rsidRPr="00D24176">
        <w:t xml:space="preserve">not </w:t>
      </w:r>
      <w:r w:rsidRPr="00D24176">
        <w:rPr>
          <w:szCs w:val="11"/>
        </w:rPr>
        <w:t>all t</w:t>
      </w:r>
      <w:r w:rsidRPr="00D24176">
        <w:t xml:space="preserve">hings </w:t>
      </w:r>
      <w:r w:rsidRPr="00D24176">
        <w:rPr>
          <w:szCs w:val="14"/>
        </w:rPr>
        <w:t xml:space="preserve">that </w:t>
      </w:r>
      <w:r w:rsidRPr="00D24176">
        <w:t xml:space="preserve">are prior </w:t>
      </w:r>
      <w:r w:rsidRPr="00D24176">
        <w:rPr>
          <w:szCs w:val="13"/>
        </w:rPr>
        <w:t xml:space="preserve">in </w:t>
      </w:r>
      <w:r w:rsidRPr="00D24176">
        <w:rPr>
          <w:szCs w:val="14"/>
        </w:rPr>
        <w:t xml:space="preserve">definition </w:t>
      </w:r>
      <w:r w:rsidRPr="00D24176">
        <w:t xml:space="preserve">are </w:t>
      </w:r>
      <w:r w:rsidRPr="00D24176">
        <w:rPr>
          <w:szCs w:val="14"/>
        </w:rPr>
        <w:t xml:space="preserve">also </w:t>
      </w:r>
      <w:r w:rsidRPr="00D24176">
        <w:t xml:space="preserve">prior </w:t>
      </w:r>
      <w:r w:rsidRPr="00D24176">
        <w:rPr>
          <w:szCs w:val="13"/>
        </w:rPr>
        <w:t xml:space="preserve">in </w:t>
      </w:r>
      <w:r w:rsidRPr="00D24176">
        <w:t>substan</w:t>
      </w:r>
      <w:r w:rsidRPr="00D24176">
        <w:rPr>
          <w:szCs w:val="11"/>
        </w:rPr>
        <w:t>tiality.</w:t>
      </w:r>
      <w:r>
        <w:rPr>
          <w:szCs w:val="11"/>
        </w:rPr>
        <w:t>“ (</w:t>
      </w:r>
      <w:r w:rsidRPr="00D24176">
        <w:t xml:space="preserve">οὐ πάντα ὅσα τῷ λόγῳ πρότερα καὶ τῇ οὐσίᾳ πρότερα, </w:t>
      </w:r>
      <w:r w:rsidRPr="003C7D5D">
        <w:rPr>
          <w:i/>
        </w:rPr>
        <w:t>Met</w:t>
      </w:r>
      <w:r w:rsidRPr="00D24176">
        <w:t xml:space="preserve">. </w:t>
      </w:r>
      <w:r>
        <w:t>1077b1‒</w:t>
      </w:r>
      <w:r w:rsidRPr="00D24176">
        <w:t>2</w:t>
      </w:r>
      <w:r>
        <w:fldChar w:fldCharType="begin"/>
      </w:r>
      <w:r>
        <w:instrText xml:space="preserve"> XE "</w:instrText>
      </w:r>
      <w:r>
        <w:rPr>
          <w:lang w:val="cs-CZ"/>
        </w:rPr>
        <w:instrText>Aristoteles:</w:instrText>
      </w:r>
      <w:r w:rsidRPr="00E31B3F">
        <w:rPr>
          <w:i/>
        </w:rPr>
        <w:instrText>Met</w:instrText>
      </w:r>
      <w:r w:rsidRPr="00E31B3F">
        <w:instrText>. 1077b1‒2</w:instrText>
      </w:r>
      <w:r>
        <w:instrText xml:space="preserve">" </w:instrText>
      </w:r>
      <w:r>
        <w:fldChar w:fldCharType="end"/>
      </w:r>
      <w:r>
        <w:t>; WA 8, trad. Ross</w:t>
      </w:r>
      <w:r w:rsidRPr="00D24176">
        <w:t>)</w:t>
      </w:r>
      <w:r>
        <w:t>.</w:t>
      </w:r>
    </w:p>
  </w:footnote>
  <w:footnote w:id="43">
    <w:p w14:paraId="7A9906E8" w14:textId="77777777" w:rsidR="00344048" w:rsidRPr="004A3550" w:rsidRDefault="00344048" w:rsidP="00236AA4">
      <w:pPr>
        <w:pStyle w:val="Textpoznpodarou"/>
        <w:rPr>
          <w:rFonts w:ascii="Times New Roman" w:hAnsi="Times New Roman"/>
          <w:szCs w:val="24"/>
        </w:rPr>
      </w:pPr>
      <w:r w:rsidRPr="002C35EB">
        <w:rPr>
          <w:rStyle w:val="Znakapoznpodarou"/>
        </w:rPr>
        <w:footnoteRef/>
      </w:r>
      <w:r>
        <w:t xml:space="preserve"> </w:t>
      </w:r>
      <w:r w:rsidRPr="007C6789">
        <w:t>Aubenque</w:t>
      </w:r>
      <w:r>
        <w:t xml:space="preserve"> shrnuje Aristotelovy pasáže argumentující proti plat</w:t>
      </w:r>
      <w:r>
        <w:rPr>
          <w:lang w:val="cs-CZ"/>
        </w:rPr>
        <w:t>o</w:t>
      </w:r>
      <w:r>
        <w:t xml:space="preserve">nskému pojetí jednoty bytí jako univoční predikace vztažené k Jednomu: </w:t>
      </w:r>
      <w:r w:rsidRPr="004A3550">
        <w:t>„Il n'est pas possible que l'être soit une essence en tant qu'unité déterminée distincte du multiple (</w:t>
      </w:r>
      <w:r w:rsidRPr="00A7358F">
        <w:t>ὡς</w:t>
      </w:r>
      <w:r w:rsidRPr="004A3550">
        <w:t xml:space="preserve"> </w:t>
      </w:r>
      <w:r w:rsidRPr="00A7358F">
        <w:t>ἕν</w:t>
      </w:r>
      <w:r w:rsidRPr="004A3550">
        <w:t xml:space="preserve"> </w:t>
      </w:r>
      <w:r w:rsidRPr="00A7358F">
        <w:t>τι</w:t>
      </w:r>
      <w:r w:rsidRPr="004A3550">
        <w:t xml:space="preserve"> </w:t>
      </w:r>
      <w:r w:rsidRPr="00A7358F">
        <w:t>παρὰ</w:t>
      </w:r>
      <w:r w:rsidRPr="004A3550">
        <w:t xml:space="preserve"> </w:t>
      </w:r>
      <w:r w:rsidRPr="00A7358F">
        <w:t>τὰ</w:t>
      </w:r>
      <w:r w:rsidRPr="004A3550">
        <w:t xml:space="preserve"> </w:t>
      </w:r>
      <w:r w:rsidRPr="00A7358F">
        <w:t>πολλὰ</w:t>
      </w:r>
      <w:r w:rsidRPr="004A3550">
        <w:t>), car il est un terme commun (</w:t>
      </w:r>
      <w:r>
        <w:t>κοινὸν</w:t>
      </w:r>
      <w:r w:rsidRPr="004A3550">
        <w:t>) et n'existe qu'en tant que prédicat (</w:t>
      </w:r>
      <w:r w:rsidRPr="00A7358F">
        <w:t>κατηγόρημα</w:t>
      </w:r>
      <w:r w:rsidRPr="004A3550">
        <w:t xml:space="preserve"> </w:t>
      </w:r>
      <w:r w:rsidRPr="00A7358F">
        <w:t>μόνον</w:t>
      </w:r>
      <w:r w:rsidRPr="004A3550">
        <w:t>).“ (</w:t>
      </w:r>
      <w:r w:rsidRPr="004A3550">
        <w:rPr>
          <w:i/>
        </w:rPr>
        <w:t>Met.</w:t>
      </w:r>
      <w:r w:rsidRPr="004A3550">
        <w:t xml:space="preserve"> 1053b18</w:t>
      </w:r>
      <w:r>
        <w:t>–</w:t>
      </w:r>
      <w:r w:rsidRPr="004A3550">
        <w:t>20</w:t>
      </w:r>
      <w:r>
        <w:fldChar w:fldCharType="begin"/>
      </w:r>
      <w:r>
        <w:instrText xml:space="preserve"> XE "Aristoteles:</w:instrText>
      </w:r>
      <w:r w:rsidRPr="002E61B3">
        <w:rPr>
          <w:i/>
        </w:rPr>
        <w:instrText>Met</w:instrText>
      </w:r>
      <w:r>
        <w:instrText xml:space="preserve">. </w:instrText>
      </w:r>
      <w:r>
        <w:rPr>
          <w:lang w:val="cs-CZ"/>
        </w:rPr>
        <w:instrText>1053</w:instrText>
      </w:r>
      <w:r>
        <w:instrText>b</w:instrText>
      </w:r>
      <w:r>
        <w:rPr>
          <w:lang w:val="cs-CZ"/>
        </w:rPr>
        <w:instrText>18</w:instrText>
      </w:r>
      <w:r>
        <w:instrText>‒2</w:instrText>
      </w:r>
      <w:r>
        <w:rPr>
          <w:lang w:val="cs-CZ"/>
        </w:rPr>
        <w:instrText>0</w:instrText>
      </w:r>
      <w:r>
        <w:instrText xml:space="preserve">" </w:instrText>
      </w:r>
      <w:r>
        <w:fldChar w:fldCharType="end"/>
      </w:r>
      <w:r w:rsidRPr="004A3550">
        <w:t xml:space="preserve">; </w:t>
      </w:r>
      <w:r w:rsidRPr="007C6789">
        <w:t>Aubenque 1962</w:t>
      </w:r>
      <w:r>
        <w:t>, 228</w:t>
      </w:r>
      <w:r w:rsidRPr="004A3550">
        <w:t>)</w:t>
      </w:r>
    </w:p>
  </w:footnote>
  <w:footnote w:id="44">
    <w:p w14:paraId="5BAAFC00" w14:textId="77777777" w:rsidR="00344048" w:rsidRPr="00E67912" w:rsidRDefault="00344048" w:rsidP="00AA6706">
      <w:pPr>
        <w:pStyle w:val="Textpoznpodarou"/>
      </w:pPr>
      <w:r>
        <w:rPr>
          <w:rStyle w:val="Znakapoznpodarou"/>
        </w:rPr>
        <w:footnoteRef/>
      </w:r>
      <w:r>
        <w:rPr>
          <w:rStyle w:val="addmd"/>
          <w:lang w:val="cs-CZ"/>
        </w:rPr>
        <w:t xml:space="preserve"> </w:t>
      </w:r>
      <w:r>
        <w:rPr>
          <w:rStyle w:val="addmd"/>
        </w:rPr>
        <w:t xml:space="preserve">„In Porphyry's view the Aristotelian categories are neither about </w:t>
      </w:r>
      <w:r w:rsidRPr="00E67912">
        <w:t xml:space="preserve">ὄντα, nor about </w:t>
      </w:r>
      <w:r>
        <w:t>νοήματα</w:t>
      </w:r>
      <w:r w:rsidRPr="00E67912">
        <w:t xml:space="preserve">, nor about </w:t>
      </w:r>
      <w:r>
        <w:t>φωνα</w:t>
      </w:r>
      <w:r w:rsidRPr="00944450">
        <w:t>ὶ</w:t>
      </w:r>
      <w:r w:rsidRPr="00E67912">
        <w:t xml:space="preserve"> exclusively. </w:t>
      </w:r>
      <w:r>
        <w:t>Rather, they are about significant articulate sounds (φωνα</w:t>
      </w:r>
      <w:r w:rsidRPr="00944450">
        <w:t>ὶ</w:t>
      </w:r>
      <w:r>
        <w:t xml:space="preserve"> σημαντικα</w:t>
      </w:r>
      <w:r w:rsidRPr="00944450">
        <w:t>ὶ</w:t>
      </w:r>
      <w:r>
        <w:t>) which signify things (πράγματα) by way of signifying concepts (νοήματα).</w:t>
      </w:r>
      <w:r>
        <w:rPr>
          <w:lang w:val="cs-CZ"/>
        </w:rPr>
        <w:t>“</w:t>
      </w:r>
      <w:r>
        <w:t xml:space="preserve"> </w:t>
      </w:r>
      <w:r>
        <w:rPr>
          <w:lang w:val="fr-FR"/>
        </w:rPr>
        <w:t>(</w:t>
      </w:r>
      <w:r w:rsidRPr="00E67912">
        <w:rPr>
          <w:rStyle w:val="addmd"/>
        </w:rPr>
        <w:t>Evangeliou 1988</w:t>
      </w:r>
      <w:r>
        <w:rPr>
          <w:rStyle w:val="addmd"/>
        </w:rPr>
        <w:t xml:space="preserve">, </w:t>
      </w:r>
      <w:r w:rsidRPr="002C35EB">
        <w:rPr>
          <w:lang w:val="fr-FR"/>
        </w:rPr>
        <w:t>165</w:t>
      </w:r>
      <w:r>
        <w:rPr>
          <w:rStyle w:val="addmd"/>
        </w:rPr>
        <w:t>)</w:t>
      </w:r>
    </w:p>
  </w:footnote>
  <w:footnote w:id="45">
    <w:p w14:paraId="49926072" w14:textId="77777777" w:rsidR="00344048" w:rsidRPr="00AF52F1" w:rsidRDefault="00344048" w:rsidP="08567157">
      <w:pPr>
        <w:pStyle w:val="Textpoznpodarou"/>
      </w:pPr>
      <w:r>
        <w:rPr>
          <w:rStyle w:val="Znakapoznpodarou"/>
        </w:rPr>
        <w:footnoteRef/>
      </w:r>
      <w:r>
        <w:t xml:space="preserve"> „</w:t>
      </w:r>
      <w:r w:rsidRPr="00273106">
        <w:t xml:space="preserve">Σωκράτους γὰρ μὴ ὄντος ἔστιν ὁ ἄνθρωπος, ἀνθρώπου </w:t>
      </w:r>
      <w:r>
        <w:t>δὲ μὴ ὄντος οὐκ ἔστιν Σωκράτης.“ (</w:t>
      </w:r>
      <w:r w:rsidRPr="00554E31">
        <w:rPr>
          <w:i/>
        </w:rPr>
        <w:t>Porph</w:t>
      </w:r>
      <w:r>
        <w:t xml:space="preserve">. </w:t>
      </w:r>
      <w:r>
        <w:rPr>
          <w:i/>
        </w:rPr>
        <w:t>in C</w:t>
      </w:r>
      <w:r w:rsidRPr="00273106">
        <w:rPr>
          <w:i/>
        </w:rPr>
        <w:t>at.</w:t>
      </w:r>
      <w:r w:rsidRPr="00273106">
        <w:t xml:space="preserve"> 90.19–20</w:t>
      </w:r>
      <w:r>
        <w:fldChar w:fldCharType="begin"/>
      </w:r>
      <w:r>
        <w:instrText xml:space="preserve"> XE "Porfyrius:</w:instrText>
      </w:r>
      <w:r>
        <w:rPr>
          <w:i/>
        </w:rPr>
        <w:instrText>Porph. in C</w:instrText>
      </w:r>
      <w:r w:rsidRPr="00273106">
        <w:rPr>
          <w:i/>
        </w:rPr>
        <w:instrText>at.</w:instrText>
      </w:r>
      <w:r w:rsidRPr="00273106">
        <w:instrText xml:space="preserve"> 90.19–20</w:instrText>
      </w:r>
      <w:r>
        <w:fldChar w:fldCharType="end"/>
      </w:r>
      <w:r>
        <w:t>)</w:t>
      </w:r>
    </w:p>
  </w:footnote>
  <w:footnote w:id="46">
    <w:p w14:paraId="0F8AC418" w14:textId="77777777" w:rsidR="00344048" w:rsidRPr="009310E8" w:rsidRDefault="00344048" w:rsidP="005304C3">
      <w:pPr>
        <w:pStyle w:val="Textpoznpodarou"/>
        <w:rPr>
          <w:lang w:val="cs-CZ"/>
        </w:rPr>
      </w:pPr>
      <w:r w:rsidRPr="00D85778">
        <w:rPr>
          <w:rStyle w:val="Znakapoznpodarou"/>
          <w:sz w:val="16"/>
          <w:szCs w:val="16"/>
        </w:rPr>
        <w:footnoteRef/>
      </w:r>
      <w:r w:rsidRPr="00D85778">
        <w:t xml:space="preserve"> </w:t>
      </w:r>
      <w:r>
        <w:t>„</w:t>
      </w:r>
      <w:r w:rsidRPr="00D85778">
        <w:t>L’ambiguïté du σκοπός de l’</w:t>
      </w:r>
      <w:r w:rsidRPr="00D85778">
        <w:rPr>
          <w:i/>
        </w:rPr>
        <w:t>Isagoge</w:t>
      </w:r>
      <w:r w:rsidRPr="00D85778">
        <w:t xml:space="preserve"> est une </w:t>
      </w:r>
      <w:r w:rsidRPr="00D85778">
        <w:rPr>
          <w:i/>
        </w:rPr>
        <w:t>fonction</w:t>
      </w:r>
      <w:r w:rsidRPr="00D85778">
        <w:t xml:space="preserve"> de celle du σκοπός des </w:t>
      </w:r>
      <w:r w:rsidRPr="00D85778">
        <w:rPr>
          <w:i/>
        </w:rPr>
        <w:t>Catégories</w:t>
      </w:r>
      <w:r w:rsidRPr="00D85778">
        <w:t xml:space="preserve"> : il y a autant de façons de répondre au problème de Porphyre qu’il y a de raisons de le formu</w:t>
      </w:r>
      <w:r w:rsidRPr="00D85778">
        <w:softHyphen/>
        <w:t xml:space="preserve">ler, c’est-à-dire de façon de </w:t>
      </w:r>
      <w:r w:rsidRPr="00D85778">
        <w:rPr>
          <w:i/>
        </w:rPr>
        <w:t>lire</w:t>
      </w:r>
      <w:r w:rsidRPr="00D85778">
        <w:t xml:space="preserve"> les </w:t>
      </w:r>
      <w:r w:rsidRPr="00D85778">
        <w:rPr>
          <w:i/>
        </w:rPr>
        <w:t>Catégories</w:t>
      </w:r>
      <w:r w:rsidRPr="00D85778">
        <w:t>.</w:t>
      </w:r>
      <w:r>
        <w:t>“ (</w:t>
      </w:r>
      <w:r>
        <w:rPr>
          <w:i/>
        </w:rPr>
        <w:t>Isagog</w:t>
      </w:r>
      <w:r>
        <w:rPr>
          <w:i/>
          <w:lang w:val="cs-CZ"/>
        </w:rPr>
        <w:t>e</w:t>
      </w:r>
      <w:r>
        <w:t>, Introd., p. XLIII, ed. Libera 1998)</w:t>
      </w:r>
    </w:p>
  </w:footnote>
  <w:footnote w:id="47">
    <w:p w14:paraId="5991758E" w14:textId="77777777" w:rsidR="00344048" w:rsidRPr="08977AB7" w:rsidRDefault="00344048" w:rsidP="08977AB7">
      <w:pPr>
        <w:pStyle w:val="Textpoznpodarou"/>
      </w:pPr>
      <w:r>
        <w:rPr>
          <w:rStyle w:val="Znakapoznpodarou"/>
        </w:rPr>
        <w:footnoteRef/>
      </w:r>
      <w:r>
        <w:t xml:space="preserve"> „Continetur igitur individuum quidem sub specie</w:t>
      </w:r>
      <w:r>
        <w:rPr>
          <w:lang w:val="cs-CZ"/>
        </w:rPr>
        <w:t xml:space="preserve"> (</w:t>
      </w:r>
      <w:r w:rsidRPr="08977AB7">
        <w:t>περιέχεται οὖν τὸ μὲν ἄτομον ὑπὸ τοῦ εἴδους</w:t>
      </w:r>
      <w:r>
        <w:rPr>
          <w:lang w:val="cs-CZ"/>
        </w:rPr>
        <w:t>)</w:t>
      </w:r>
      <w:r>
        <w:t>, species autem sub genere</w:t>
      </w:r>
      <w:r>
        <w:rPr>
          <w:lang w:val="cs-CZ"/>
        </w:rPr>
        <w:t xml:space="preserve"> (</w:t>
      </w:r>
      <w:r w:rsidRPr="08977AB7">
        <w:t>τὸ δὲ εἶδος ὑπὸ τοῦ   γένους</w:t>
      </w:r>
      <w:r>
        <w:rPr>
          <w:lang w:val="cs-CZ"/>
        </w:rPr>
        <w:t>)</w:t>
      </w:r>
      <w:r>
        <w:t>. Totum enim quiddam est genus</w:t>
      </w:r>
      <w:r>
        <w:rPr>
          <w:lang w:val="cs-CZ"/>
        </w:rPr>
        <w:t xml:space="preserve"> (</w:t>
      </w:r>
      <w:r w:rsidRPr="08977AB7">
        <w:t>ὅλον γάρ τι τὸ γένος</w:t>
      </w:r>
      <w:r>
        <w:rPr>
          <w:lang w:val="cs-CZ"/>
        </w:rPr>
        <w:t>)</w:t>
      </w:r>
      <w:r>
        <w:t>, individuum autem pars</w:t>
      </w:r>
      <w:r>
        <w:rPr>
          <w:lang w:val="cs-CZ"/>
        </w:rPr>
        <w:t xml:space="preserve"> (</w:t>
      </w:r>
      <w:r w:rsidRPr="08977AB7">
        <w:t>τὸ δὲ ἄτομον μέρος</w:t>
      </w:r>
      <w:r>
        <w:rPr>
          <w:lang w:val="cs-CZ"/>
        </w:rPr>
        <w:t>)</w:t>
      </w:r>
      <w:r>
        <w:t>, species vero et totum et pars</w:t>
      </w:r>
      <w:r>
        <w:rPr>
          <w:lang w:val="cs-CZ"/>
        </w:rPr>
        <w:t xml:space="preserve"> (</w:t>
      </w:r>
      <w:r w:rsidRPr="08977AB7">
        <w:t>τὸ δὲ εἶδος καὶ ὅλον καὶ μέρος</w:t>
      </w:r>
      <w:r>
        <w:rPr>
          <w:lang w:val="cs-CZ"/>
        </w:rPr>
        <w:t>)</w:t>
      </w:r>
      <w:r>
        <w:t>, sed pars quidem alterius</w:t>
      </w:r>
      <w:r>
        <w:rPr>
          <w:lang w:val="cs-CZ"/>
        </w:rPr>
        <w:t xml:space="preserve"> (</w:t>
      </w:r>
      <w:r w:rsidRPr="08977AB7">
        <w:t>ἀλλὰ μέρος μὲν ἄλλου</w:t>
      </w:r>
      <w:r>
        <w:rPr>
          <w:lang w:val="cs-CZ"/>
        </w:rPr>
        <w:t>)</w:t>
      </w:r>
      <w:r>
        <w:t>, totum autem non alterius</w:t>
      </w:r>
      <w:r>
        <w:rPr>
          <w:lang w:val="cs-CZ"/>
        </w:rPr>
        <w:t xml:space="preserve"> (</w:t>
      </w:r>
      <w:r w:rsidRPr="08977AB7">
        <w:t>ὅλον δὲ οὐκ ἄλλου</w:t>
      </w:r>
      <w:r>
        <w:rPr>
          <w:lang w:val="cs-CZ"/>
        </w:rPr>
        <w:t>)</w:t>
      </w:r>
      <w:r>
        <w:t>, sed aliis</w:t>
      </w:r>
      <w:r>
        <w:rPr>
          <w:lang w:val="cs-CZ"/>
        </w:rPr>
        <w:t xml:space="preserve"> (</w:t>
      </w:r>
      <w:r w:rsidRPr="08977AB7">
        <w:t>ἀλλ' ἐν ἄλλοις</w:t>
      </w:r>
      <w:r>
        <w:rPr>
          <w:lang w:val="cs-CZ"/>
        </w:rPr>
        <w:t>)</w:t>
      </w:r>
      <w:r>
        <w:t>; partibus enim totum est</w:t>
      </w:r>
      <w:r>
        <w:rPr>
          <w:lang w:val="cs-CZ"/>
        </w:rPr>
        <w:t xml:space="preserve"> (</w:t>
      </w:r>
      <w:r w:rsidRPr="08977AB7">
        <w:t>ἐν γὰρ τοῖς μέρεσι τὸ ὅλον</w:t>
      </w:r>
      <w:r>
        <w:rPr>
          <w:lang w:val="cs-CZ"/>
        </w:rPr>
        <w:t>)</w:t>
      </w:r>
      <w:r>
        <w:t>.“ (</w:t>
      </w:r>
      <w:r>
        <w:rPr>
          <w:i/>
          <w:lang w:val="cs-CZ"/>
        </w:rPr>
        <w:t>I</w:t>
      </w:r>
      <w:r w:rsidRPr="08777FB0">
        <w:rPr>
          <w:i/>
          <w:lang w:val="cs-CZ"/>
        </w:rPr>
        <w:t xml:space="preserve">n Porph. </w:t>
      </w:r>
      <w:r w:rsidRPr="08777FB0">
        <w:rPr>
          <w:i/>
        </w:rPr>
        <w:t>Isag</w:t>
      </w:r>
      <w:r>
        <w:t xml:space="preserve">. </w:t>
      </w:r>
      <w:r>
        <w:rPr>
          <w:noProof/>
        </w:rPr>
        <w:t>2.16</w:t>
      </w:r>
      <w:r>
        <w:rPr>
          <w:noProof/>
          <w:lang w:val="cs-CZ"/>
        </w:rPr>
        <w:t>;</w:t>
      </w:r>
      <w:r>
        <w:rPr>
          <w:noProof/>
        </w:rPr>
        <w:t xml:space="preserve"> ed. Libera, p. 9</w:t>
      </w:r>
      <w:r>
        <w:fldChar w:fldCharType="begin"/>
      </w:r>
      <w:r>
        <w:instrText xml:space="preserve"> XE "</w:instrText>
      </w:r>
      <w:r>
        <w:rPr>
          <w:lang w:val="cs-CZ"/>
        </w:rPr>
        <w:instrText>Boethius:</w:instrText>
      </w:r>
      <w:r w:rsidRPr="08B63B40">
        <w:rPr>
          <w:i/>
          <w:lang w:val="cs-CZ"/>
        </w:rPr>
        <w:instrText xml:space="preserve">In </w:instrText>
      </w:r>
      <w:r>
        <w:rPr>
          <w:i/>
          <w:lang w:val="cs-CZ"/>
        </w:rPr>
        <w:instrText xml:space="preserve">Porph. </w:instrText>
      </w:r>
      <w:r w:rsidRPr="00554E31">
        <w:rPr>
          <w:i/>
          <w:lang w:val="cs-CZ"/>
        </w:rPr>
        <w:instrText>Isag</w:instrText>
      </w:r>
      <w:r w:rsidRPr="005068C4">
        <w:rPr>
          <w:i/>
        </w:rPr>
        <w:instrText>.</w:instrText>
      </w:r>
      <w:r w:rsidRPr="00273106">
        <w:instrText xml:space="preserve"> </w:instrText>
      </w:r>
      <w:r>
        <w:instrText>2</w:instrText>
      </w:r>
      <w:r>
        <w:rPr>
          <w:lang w:val="cs-CZ"/>
        </w:rPr>
        <w:instrText>.16</w:instrText>
      </w:r>
      <w:r>
        <w:instrText xml:space="preserve">" </w:instrText>
      </w:r>
      <w:r>
        <w:fldChar w:fldCharType="end"/>
      </w:r>
      <w:r>
        <w:rPr>
          <w:noProof/>
          <w:lang w:val="cs-CZ"/>
        </w:rPr>
        <w:t xml:space="preserve">; </w:t>
      </w:r>
      <w:r w:rsidRPr="08977AB7">
        <w:rPr>
          <w:i/>
        </w:rPr>
        <w:t>Isag</w:t>
      </w:r>
      <w:r w:rsidRPr="08977AB7">
        <w:t>. 7.27‒8.3</w:t>
      </w:r>
      <w:r>
        <w:fldChar w:fldCharType="begin"/>
      </w:r>
      <w:r>
        <w:instrText xml:space="preserve"> XE "</w:instrText>
      </w:r>
      <w:r>
        <w:rPr>
          <w:lang w:val="cs-CZ"/>
        </w:rPr>
        <w:instrText>Porfyrius:</w:instrText>
      </w:r>
      <w:r w:rsidRPr="0892339B">
        <w:rPr>
          <w:i/>
        </w:rPr>
        <w:instrText>Isag</w:instrText>
      </w:r>
      <w:r w:rsidRPr="0892339B">
        <w:instrText>. 7.27‒8.3</w:instrText>
      </w:r>
      <w:r>
        <w:instrText xml:space="preserve">" </w:instrText>
      </w:r>
      <w:r>
        <w:fldChar w:fldCharType="end"/>
      </w:r>
      <w:r w:rsidRPr="08977AB7">
        <w:t>)</w:t>
      </w:r>
    </w:p>
  </w:footnote>
  <w:footnote w:id="48">
    <w:p w14:paraId="3C57A233" w14:textId="77777777" w:rsidR="00344048" w:rsidRPr="004C4FE6" w:rsidRDefault="00344048" w:rsidP="08F11B4D">
      <w:pPr>
        <w:pStyle w:val="Textpoznpodarou"/>
      </w:pPr>
      <w:r>
        <w:rPr>
          <w:rStyle w:val="Znakapoznpodarou"/>
        </w:rPr>
        <w:footnoteRef/>
      </w:r>
      <w:r>
        <w:t xml:space="preserve"> Porfyrius komentoval proces dělení v Aristotelově díle </w:t>
      </w:r>
      <w:r w:rsidRPr="004C4FE6">
        <w:rPr>
          <w:rStyle w:val="st"/>
          <w:i/>
        </w:rPr>
        <w:t>De</w:t>
      </w:r>
      <w:r>
        <w:rPr>
          <w:rStyle w:val="st"/>
        </w:rPr>
        <w:t xml:space="preserve"> </w:t>
      </w:r>
      <w:r>
        <w:rPr>
          <w:rStyle w:val="Zvraznn"/>
        </w:rPr>
        <w:t>Generatione Animalium</w:t>
      </w:r>
      <w:r>
        <w:rPr>
          <w:rStyle w:val="Zvraznn"/>
          <w:i w:val="0"/>
        </w:rPr>
        <w:t xml:space="preserve"> IV.3, kde je původní příklad dělení pro strom a následně je komentováno dělení muže a ženy včetně jejich fy</w:t>
      </w:r>
      <w:r>
        <w:rPr>
          <w:rStyle w:val="Zvraznn"/>
          <w:i w:val="0"/>
          <w:lang w:val="cs-CZ"/>
        </w:rPr>
        <w:t>z</w:t>
      </w:r>
      <w:r>
        <w:rPr>
          <w:rStyle w:val="Zvraznn"/>
          <w:i w:val="0"/>
        </w:rPr>
        <w:t>iologických rozdílů (</w:t>
      </w:r>
      <w:r w:rsidRPr="004C4FE6">
        <w:rPr>
          <w:rStyle w:val="Zvraznn"/>
        </w:rPr>
        <w:t>Gen. anim</w:t>
      </w:r>
      <w:r>
        <w:rPr>
          <w:rStyle w:val="Zvraznn"/>
          <w:i w:val="0"/>
        </w:rPr>
        <w:t>. 768b5‒1</w:t>
      </w:r>
      <w:r>
        <w:rPr>
          <w:i/>
          <w:lang w:eastAsia="en-US"/>
        </w:rPr>
        <w:fldChar w:fldCharType="begin"/>
      </w:r>
      <w:r>
        <w:instrText xml:space="preserve"> XE "</w:instrText>
      </w:r>
      <w:r>
        <w:rPr>
          <w:lang w:val="cs-CZ"/>
        </w:rPr>
        <w:instrText>Aristoteles:</w:instrText>
      </w:r>
      <w:r w:rsidRPr="004C4FE6">
        <w:rPr>
          <w:rStyle w:val="Zvraznn"/>
        </w:rPr>
        <w:instrText>Gen. anim</w:instrText>
      </w:r>
      <w:r>
        <w:rPr>
          <w:rStyle w:val="Zvraznn"/>
          <w:i w:val="0"/>
        </w:rPr>
        <w:instrText>. 768b5‒1</w:instrText>
      </w:r>
      <w:r>
        <w:instrText xml:space="preserve">" </w:instrText>
      </w:r>
      <w:r>
        <w:rPr>
          <w:i/>
          <w:lang w:eastAsia="en-US"/>
        </w:rPr>
        <w:fldChar w:fldCharType="end"/>
      </w:r>
      <w:r>
        <w:rPr>
          <w:rStyle w:val="Zvraznn"/>
          <w:i w:val="0"/>
        </w:rPr>
        <w:t xml:space="preserve">). Tím vzniklo první schéma toho, co pozdější tradice od Petra Hispana (kolem 1240) nazvala </w:t>
      </w:r>
      <w:r>
        <w:rPr>
          <w:rStyle w:val="Zvraznn"/>
        </w:rPr>
        <w:t>Arbor Porphyriana</w:t>
      </w:r>
      <w:r>
        <w:rPr>
          <w:rStyle w:val="Zvraznn"/>
          <w:i w:val="0"/>
        </w:rPr>
        <w:t xml:space="preserve"> (</w:t>
      </w:r>
      <w:r>
        <w:t>Baumgartner 1</w:t>
      </w:r>
      <w:r>
        <w:rPr>
          <w:lang w:val="cs-CZ"/>
        </w:rPr>
        <w:t>98</w:t>
      </w:r>
      <w:r>
        <w:t>0</w:t>
      </w:r>
      <w:r>
        <w:rPr>
          <w:rStyle w:val="Zvraznn"/>
          <w:i w:val="0"/>
        </w:rPr>
        <w:t>).</w:t>
      </w:r>
    </w:p>
  </w:footnote>
  <w:footnote w:id="49">
    <w:p w14:paraId="08F661A9" w14:textId="77777777" w:rsidR="00344048" w:rsidRPr="00411E10" w:rsidRDefault="00344048" w:rsidP="08C60092">
      <w:pPr>
        <w:pStyle w:val="Textpoznpodarou"/>
        <w:rPr>
          <w:lang w:val="cs-CZ"/>
        </w:rPr>
      </w:pPr>
      <w:r w:rsidRPr="00E24989">
        <w:rPr>
          <w:rStyle w:val="Znakapoznpodarou"/>
        </w:rPr>
        <w:footnoteRef/>
      </w:r>
      <w:r>
        <w:t xml:space="preserve"> </w:t>
      </w:r>
      <w:r w:rsidRPr="00E24989">
        <w:t>„</w:t>
      </w:r>
      <w:r w:rsidRPr="00411E10">
        <w:t>Et omnia dicta ab Aristotele in hoc sunt ita quod universalia nullum habent esse extra animam, quod intendit Plato.</w:t>
      </w:r>
      <w:r>
        <w:rPr>
          <w:lang w:val="cs-CZ"/>
        </w:rPr>
        <w:t xml:space="preserve">“ </w:t>
      </w:r>
      <w:r w:rsidRPr="00E24989">
        <w:t>(CMDA III.18; 440.96</w:t>
      </w:r>
      <w:r>
        <w:t>‒</w:t>
      </w:r>
      <w:r w:rsidRPr="00E24989">
        <w:t>98</w:t>
      </w:r>
      <w:r>
        <w:rPr>
          <w:szCs w:val="15"/>
        </w:rPr>
        <w:fldChar w:fldCharType="begin"/>
      </w:r>
      <w:r>
        <w:instrText xml:space="preserve"> XE "</w:instrText>
      </w:r>
      <w:r>
        <w:rPr>
          <w:lang w:val="cs-CZ"/>
        </w:rPr>
        <w:instrText>Averroes</w:instrText>
      </w:r>
      <w:r>
        <w:instrText>:</w:instrText>
      </w:r>
      <w:r w:rsidRPr="00E24989">
        <w:instrText>CMDA</w:instrText>
      </w:r>
      <w:r>
        <w:rPr>
          <w:lang w:val="cs-CZ"/>
        </w:rPr>
        <w:instrText xml:space="preserve"> </w:instrText>
      </w:r>
      <w:r>
        <w:instrText>440.96‒</w:instrText>
      </w:r>
      <w:r w:rsidRPr="00E24989">
        <w:instrText>98</w:instrText>
      </w:r>
      <w:r>
        <w:instrText xml:space="preserve">" </w:instrText>
      </w:r>
      <w:r>
        <w:rPr>
          <w:szCs w:val="15"/>
        </w:rPr>
        <w:fldChar w:fldCharType="end"/>
      </w:r>
      <w:r w:rsidRPr="00E24989">
        <w:t>)</w:t>
      </w:r>
    </w:p>
  </w:footnote>
  <w:footnote w:id="50">
    <w:p w14:paraId="6F0D4FC8" w14:textId="77777777" w:rsidR="00344048" w:rsidRPr="008F1EBA" w:rsidRDefault="00344048" w:rsidP="00453B2B">
      <w:pPr>
        <w:pStyle w:val="Textpoznpodarou"/>
      </w:pPr>
      <w:r w:rsidRPr="008F1EBA">
        <w:rPr>
          <w:rStyle w:val="Znakapoznpodarou"/>
        </w:rPr>
        <w:footnoteRef/>
      </w:r>
      <w:r>
        <w:t xml:space="preserve"> „D</w:t>
      </w:r>
      <w:r w:rsidRPr="008F1EBA">
        <w:t xml:space="preserve">ans l’être  </w:t>
      </w:r>
      <w:r>
        <w:t>c</w:t>
      </w:r>
      <w:r w:rsidRPr="008F1EBA">
        <w:t>’</w:t>
      </w:r>
      <w:r>
        <w:t>est unité qui est première, ainsi que l</w:t>
      </w:r>
      <w:r w:rsidRPr="008F1EBA">
        <w:t>’</w:t>
      </w:r>
      <w:r>
        <w:t>identité (ἡ</w:t>
      </w:r>
      <w:r w:rsidRPr="008F1EBA">
        <w:t xml:space="preserve"> </w:t>
      </w:r>
      <w:r>
        <w:t>μὲν</w:t>
      </w:r>
      <w:r w:rsidRPr="008F1EBA">
        <w:t xml:space="preserve"> </w:t>
      </w:r>
      <w:r>
        <w:t>ἑνότης</w:t>
      </w:r>
      <w:r w:rsidRPr="008F1EBA">
        <w:t xml:space="preserve"> </w:t>
      </w:r>
      <w:r>
        <w:t>προηγεῖται</w:t>
      </w:r>
      <w:r w:rsidRPr="008F1EBA">
        <w:t xml:space="preserve"> </w:t>
      </w:r>
      <w:r>
        <w:t>καὶ</w:t>
      </w:r>
      <w:r w:rsidRPr="008F1EBA">
        <w:t xml:space="preserve"> </w:t>
      </w:r>
      <w:r>
        <w:t>ἡ</w:t>
      </w:r>
      <w:r w:rsidRPr="008F1EBA">
        <w:t xml:space="preserve"> </w:t>
      </w:r>
      <w:r>
        <w:t>ταυτότης), l</w:t>
      </w:r>
      <w:r w:rsidRPr="008F1EBA">
        <w:t>’</w:t>
      </w:r>
      <w:r>
        <w:t>altérité venant du fait que l</w:t>
      </w:r>
      <w:r w:rsidRPr="008F1EBA">
        <w:t>’</w:t>
      </w:r>
      <w:r>
        <w:t>unité exerce son activité (δὲ</w:t>
      </w:r>
      <w:r w:rsidRPr="008F1EBA">
        <w:t xml:space="preserve"> </w:t>
      </w:r>
      <w:r>
        <w:t>ἑτερότης</w:t>
      </w:r>
      <w:r w:rsidRPr="008F1EBA">
        <w:t xml:space="preserve"> </w:t>
      </w:r>
      <w:r>
        <w:t>ἐκ</w:t>
      </w:r>
      <w:r w:rsidRPr="008F1EBA">
        <w:t xml:space="preserve"> </w:t>
      </w:r>
      <w:r>
        <w:t>τοῦ</w:t>
      </w:r>
      <w:r w:rsidRPr="008F1EBA">
        <w:t xml:space="preserve"> </w:t>
      </w:r>
      <w:r>
        <w:t>ἐνεργητικὴν</w:t>
      </w:r>
      <w:r w:rsidRPr="008F1EBA">
        <w:t xml:space="preserve"> </w:t>
      </w:r>
      <w:r>
        <w:t>εἶναι</w:t>
      </w:r>
      <w:r w:rsidRPr="008F1EBA">
        <w:t xml:space="preserve"> </w:t>
      </w:r>
      <w:r>
        <w:t>τὴν</w:t>
      </w:r>
      <w:r w:rsidRPr="008F1EBA">
        <w:t xml:space="preserve"> </w:t>
      </w:r>
      <w:r>
        <w:t>ἑνότητα</w:t>
      </w:r>
      <w:r w:rsidRPr="008F1EBA">
        <w:t xml:space="preserve"> </w:t>
      </w:r>
      <w:r>
        <w:t xml:space="preserve">γέγονε).“ (Proclus, </w:t>
      </w:r>
      <w:r w:rsidRPr="08725FC1">
        <w:rPr>
          <w:i/>
        </w:rPr>
        <w:t>Sent</w:t>
      </w:r>
      <w:r>
        <w:t>. 36.16–17</w:t>
      </w:r>
      <w:r>
        <w:fldChar w:fldCharType="begin"/>
      </w:r>
      <w:r>
        <w:instrText xml:space="preserve"> XE "</w:instrText>
      </w:r>
      <w:r>
        <w:rPr>
          <w:lang w:val="cs-CZ"/>
        </w:rPr>
        <w:instrText>Proklus</w:instrText>
      </w:r>
      <w:r>
        <w:instrText>:</w:instrText>
      </w:r>
      <w:r w:rsidRPr="08725FC1">
        <w:rPr>
          <w:i/>
        </w:rPr>
        <w:instrText>Sent</w:instrText>
      </w:r>
      <w:r>
        <w:instrText xml:space="preserve">. 36.16–17" </w:instrText>
      </w:r>
      <w:r>
        <w:fldChar w:fldCharType="end"/>
      </w:r>
      <w:r>
        <w:t xml:space="preserve">; trad. </w:t>
      </w:r>
      <w:r w:rsidRPr="003E703D">
        <w:rPr>
          <w:rStyle w:val="addmd"/>
        </w:rPr>
        <w:t>Taormina</w:t>
      </w:r>
      <w:r>
        <w:rPr>
          <w:rStyle w:val="addmd"/>
        </w:rPr>
        <w:t xml:space="preserve"> 1999, 22).</w:t>
      </w:r>
    </w:p>
  </w:footnote>
  <w:footnote w:id="51">
    <w:p w14:paraId="6CBA9F1E" w14:textId="77777777" w:rsidR="00344048" w:rsidRPr="00DC2C90" w:rsidRDefault="00344048" w:rsidP="000945F2">
      <w:pPr>
        <w:pStyle w:val="Textpoznpodarou"/>
      </w:pPr>
      <w:r>
        <w:rPr>
          <w:rStyle w:val="Znakapoznpodarou"/>
        </w:rPr>
        <w:footnoteRef/>
      </w:r>
      <w:r>
        <w:t xml:space="preserve"> Platonský vzor tohoto </w:t>
      </w:r>
      <w:r>
        <w:rPr>
          <w:lang w:val="cs-CZ"/>
        </w:rPr>
        <w:t xml:space="preserve">jsoucna třetího druhu je dán v termínu </w:t>
      </w:r>
      <w:r>
        <w:t>„okamžik“</w:t>
      </w:r>
      <w:r w:rsidRPr="003D70BB">
        <w:t xml:space="preserve"> </w:t>
      </w:r>
      <w:r w:rsidRPr="00B40DD1">
        <w:t xml:space="preserve">(τὸ ἐξαίφνης, </w:t>
      </w:r>
      <w:r w:rsidRPr="00FB064E">
        <w:rPr>
          <w:i/>
          <w:lang w:val="cs-CZ"/>
        </w:rPr>
        <w:t>Parm</w:t>
      </w:r>
      <w:r>
        <w:rPr>
          <w:lang w:val="cs-CZ"/>
        </w:rPr>
        <w:t xml:space="preserve">. </w:t>
      </w:r>
      <w:r w:rsidRPr="00B40DD1">
        <w:t>156d3</w:t>
      </w:r>
      <w:r>
        <w:fldChar w:fldCharType="begin"/>
      </w:r>
      <w:r>
        <w:instrText xml:space="preserve"> XE "</w:instrText>
      </w:r>
      <w:r>
        <w:rPr>
          <w:lang w:val="cs-CZ"/>
        </w:rPr>
        <w:instrText>Platon:</w:instrText>
      </w:r>
      <w:r w:rsidRPr="000119BD">
        <w:rPr>
          <w:i/>
          <w:lang w:val="cs-CZ"/>
        </w:rPr>
        <w:instrText>Parm</w:instrText>
      </w:r>
      <w:r w:rsidRPr="000119BD">
        <w:rPr>
          <w:lang w:val="cs-CZ"/>
        </w:rPr>
        <w:instrText xml:space="preserve">. </w:instrText>
      </w:r>
      <w:r w:rsidRPr="000119BD">
        <w:instrText>156d3</w:instrText>
      </w:r>
      <w:r>
        <w:instrText xml:space="preserve">" </w:instrText>
      </w:r>
      <w:r>
        <w:fldChar w:fldCharType="end"/>
      </w:r>
      <w:r>
        <w:t xml:space="preserve">), který spojuje všechny základní hypotézy v dialogu </w:t>
      </w:r>
      <w:r>
        <w:rPr>
          <w:i/>
        </w:rPr>
        <w:t>Parmenid</w:t>
      </w:r>
      <w:r>
        <w:rPr>
          <w:i/>
          <w:lang w:val="cs-CZ"/>
        </w:rPr>
        <w:t>e</w:t>
      </w:r>
      <w:r w:rsidRPr="089A32A1">
        <w:rPr>
          <w:i/>
        </w:rPr>
        <w:t>s</w:t>
      </w:r>
      <w:r w:rsidRPr="00B40DD1">
        <w:t xml:space="preserve">. </w:t>
      </w:r>
      <w:r>
        <w:t xml:space="preserve">Má zvláštní povahu extatické náhlosti </w:t>
      </w:r>
      <w:r w:rsidRPr="00B40DD1">
        <w:t xml:space="preserve">(ἡ ἐξαίφνης αὕτη φύσις), </w:t>
      </w:r>
      <w:r>
        <w:t xml:space="preserve">je postavený mimo prostor </w:t>
      </w:r>
      <w:r w:rsidRPr="00B40DD1">
        <w:t>(ἄτοπός τις)</w:t>
      </w:r>
      <w:r>
        <w:t>, dále mimo pohyb a klid</w:t>
      </w:r>
      <w:r w:rsidRPr="00B40DD1">
        <w:t xml:space="preserve"> (μεταξ</w:t>
      </w:r>
      <w:r>
        <w:t>ὺ τῆς κινήσεώς τε καὶ στάσεως) a neexistuje v</w:t>
      </w:r>
      <w:r>
        <w:rPr>
          <w:lang w:val="cs-CZ"/>
        </w:rPr>
        <w:t xml:space="preserve">e fyzikálním </w:t>
      </w:r>
      <w:r>
        <w:t xml:space="preserve">čase </w:t>
      </w:r>
      <w:r>
        <w:rPr>
          <w:lang w:val="cs-CZ"/>
        </w:rPr>
        <w:t xml:space="preserve">změny </w:t>
      </w:r>
      <w:r w:rsidRPr="00B40DD1">
        <w:t xml:space="preserve">(ἐν χρόνῳ οὐδενὶ οὖσα, </w:t>
      </w:r>
      <w:r w:rsidRPr="001359EE">
        <w:rPr>
          <w:i/>
        </w:rPr>
        <w:t>Parm</w:t>
      </w:r>
      <w:r>
        <w:t xml:space="preserve">. </w:t>
      </w:r>
      <w:r w:rsidRPr="00B40DD1">
        <w:t>156d5</w:t>
      </w:r>
      <w:r>
        <w:rPr>
          <w:rFonts w:cs="Calibri"/>
        </w:rPr>
        <w:t>–</w:t>
      </w:r>
      <w:r w:rsidRPr="00B40DD1">
        <w:rPr>
          <w:rFonts w:cs="Calibri"/>
        </w:rPr>
        <w:t>e</w:t>
      </w:r>
      <w:r>
        <w:t>1</w:t>
      </w:r>
      <w:r>
        <w:fldChar w:fldCharType="begin"/>
      </w:r>
      <w:r>
        <w:instrText xml:space="preserve"> XE "</w:instrText>
      </w:r>
      <w:r>
        <w:rPr>
          <w:lang w:val="cs-CZ"/>
        </w:rPr>
        <w:instrText>Platon:</w:instrText>
      </w:r>
      <w:r w:rsidRPr="001359EE">
        <w:rPr>
          <w:i/>
        </w:rPr>
        <w:instrText>Parm</w:instrText>
      </w:r>
      <w:r>
        <w:instrText xml:space="preserve">. </w:instrText>
      </w:r>
      <w:r w:rsidRPr="00B40DD1">
        <w:instrText>156d5</w:instrText>
      </w:r>
      <w:r>
        <w:rPr>
          <w:rFonts w:cs="Calibri"/>
        </w:rPr>
        <w:instrText>–</w:instrText>
      </w:r>
      <w:r w:rsidRPr="00B40DD1">
        <w:rPr>
          <w:rFonts w:cs="Calibri"/>
        </w:rPr>
        <w:instrText>e</w:instrText>
      </w:r>
      <w:r>
        <w:instrText xml:space="preserve">1" </w:instrText>
      </w:r>
      <w:r>
        <w:fldChar w:fldCharType="end"/>
      </w:r>
      <w:r>
        <w:t xml:space="preserve">). </w:t>
      </w:r>
    </w:p>
  </w:footnote>
  <w:footnote w:id="52">
    <w:p w14:paraId="4E773EA7" w14:textId="77777777" w:rsidR="00344048" w:rsidRPr="08136785" w:rsidRDefault="00344048">
      <w:pPr>
        <w:pStyle w:val="Textpoznpodarou"/>
      </w:pPr>
      <w:r>
        <w:rPr>
          <w:rStyle w:val="Znakapoznpodarou"/>
        </w:rPr>
        <w:footnoteRef/>
      </w:r>
      <w:r>
        <w:t xml:space="preserve"> „In demonstrations and definitions the particular (</w:t>
      </w:r>
      <w:r>
        <w:rPr>
          <w:i/>
          <w:iCs/>
        </w:rPr>
        <w:t>ton mekpion</w:t>
      </w:r>
      <w:r>
        <w:t>) must be subordinate to the universal (</w:t>
      </w:r>
      <w:r>
        <w:rPr>
          <w:i/>
          <w:iCs/>
        </w:rPr>
        <w:t>tou kathalou</w:t>
      </w:r>
      <w:r>
        <w:t xml:space="preserve">) and the </w:t>
      </w:r>
      <w:r>
        <w:rPr>
          <w:i/>
          <w:iCs/>
        </w:rPr>
        <w:t>definition (ton horismon</w:t>
      </w:r>
      <w:r>
        <w:t xml:space="preserve">). Definitions of common features in particular do not take in the particulars as a whole. (...) </w:t>
      </w:r>
      <w:r w:rsidRPr="00A162FC">
        <w:t>The reason-principle of Man (</w:t>
      </w:r>
      <w:r w:rsidRPr="0016636B">
        <w:rPr>
          <w:i/>
        </w:rPr>
        <w:t>ho tou anthropou logos</w:t>
      </w:r>
      <w:r w:rsidRPr="00A162FC">
        <w:t>) in us comprehends the whole of each particular, for the particular comprehends unitarily all those potencies which are seen as being involved in the individuals.</w:t>
      </w:r>
      <w:r>
        <w:t>“ (</w:t>
      </w:r>
      <w:r w:rsidRPr="006E3E86">
        <w:rPr>
          <w:i/>
          <w:lang w:val="cs-CZ"/>
        </w:rPr>
        <w:t>Procl</w:t>
      </w:r>
      <w:r>
        <w:rPr>
          <w:lang w:val="cs-CZ"/>
        </w:rPr>
        <w:t xml:space="preserve">. </w:t>
      </w:r>
      <w:r>
        <w:rPr>
          <w:i/>
          <w:lang w:val="cs-CZ"/>
        </w:rPr>
        <w:t>i</w:t>
      </w:r>
      <w:r w:rsidRPr="087D20CD">
        <w:rPr>
          <w:i/>
        </w:rPr>
        <w:t>n Platonis Parm</w:t>
      </w:r>
      <w:r>
        <w:t>. 981.5‒27</w:t>
      </w:r>
      <w:r>
        <w:fldChar w:fldCharType="begin"/>
      </w:r>
      <w:r>
        <w:instrText xml:space="preserve"> XE "</w:instrText>
      </w:r>
      <w:r>
        <w:rPr>
          <w:lang w:val="cs-CZ"/>
        </w:rPr>
        <w:instrText>P</w:instrText>
      </w:r>
      <w:r>
        <w:instrText>roklus:</w:instrText>
      </w:r>
      <w:r w:rsidRPr="00B33948">
        <w:rPr>
          <w:i/>
        </w:rPr>
        <w:instrText>Procl. in</w:instrText>
      </w:r>
      <w:r>
        <w:instrText xml:space="preserve"> </w:instrText>
      </w:r>
      <w:r w:rsidRPr="00273106">
        <w:rPr>
          <w:i/>
        </w:rPr>
        <w:instrText>Parm</w:instrText>
      </w:r>
      <w:r>
        <w:instrText>. 981.</w:instrText>
      </w:r>
      <w:r>
        <w:rPr>
          <w:lang w:val="cs-CZ"/>
        </w:rPr>
        <w:instrText>5</w:instrText>
      </w:r>
      <w:r>
        <w:instrText>‒</w:instrText>
      </w:r>
      <w:r>
        <w:rPr>
          <w:lang w:val="cs-CZ"/>
        </w:rPr>
        <w:instrText>27</w:instrText>
      </w:r>
      <w:r>
        <w:instrText xml:space="preserve">" </w:instrText>
      </w:r>
      <w:r>
        <w:fldChar w:fldCharType="end"/>
      </w:r>
      <w:r>
        <w:t>; trad. Dillon‒Morrow</w:t>
      </w:r>
      <w:r>
        <w:rPr>
          <w:lang w:val="cs-CZ"/>
        </w:rPr>
        <w:t xml:space="preserve"> 1992, </w:t>
      </w:r>
      <w:r>
        <w:t>335)</w:t>
      </w:r>
    </w:p>
  </w:footnote>
  <w:footnote w:id="53">
    <w:p w14:paraId="6B205FF7" w14:textId="77777777" w:rsidR="00344048" w:rsidRPr="00A96CA8" w:rsidRDefault="00344048" w:rsidP="005C54B0">
      <w:pPr>
        <w:pStyle w:val="Textpoznpodarou"/>
        <w:rPr>
          <w:lang w:val="cs-CZ"/>
        </w:rPr>
      </w:pPr>
      <w:r>
        <w:rPr>
          <w:rStyle w:val="Znakapoznpodarou"/>
        </w:rPr>
        <w:footnoteRef/>
      </w:r>
      <w:r>
        <w:t xml:space="preserve"> </w:t>
      </w:r>
      <w:r>
        <w:rPr>
          <w:lang w:val="cs-CZ"/>
        </w:rPr>
        <w:t>„</w:t>
      </w:r>
      <w:r w:rsidRPr="00155F51">
        <w:rPr>
          <w:lang w:val="cs-CZ"/>
        </w:rPr>
        <w:t>Intelligentiae superiores primae quae sequuntur causam primam imprimunt formas secundas stantes quae non destruuntur</w:t>
      </w:r>
      <w:r>
        <w:rPr>
          <w:lang w:val="cs-CZ"/>
        </w:rPr>
        <w:t xml:space="preserve"> </w:t>
      </w:r>
      <w:r w:rsidRPr="00155F51">
        <w:rPr>
          <w:lang w:val="cs-CZ"/>
        </w:rPr>
        <w:t>ita ut sit necessarium iterare eas vice alia. Intelligentiae autem secundae imprimunt formas declines separabiles sicut est anima.</w:t>
      </w:r>
      <w:r>
        <w:rPr>
          <w:lang w:val="cs-CZ"/>
        </w:rPr>
        <w:t>“ (</w:t>
      </w:r>
      <w:r w:rsidRPr="00A96CA8">
        <w:rPr>
          <w:i/>
          <w:lang w:val="cs-CZ"/>
        </w:rPr>
        <w:t>Liber de causis</w:t>
      </w:r>
      <w:r>
        <w:rPr>
          <w:lang w:val="cs-CZ"/>
        </w:rPr>
        <w:t xml:space="preserve"> IV, no 49; </w:t>
      </w:r>
      <w:r>
        <w:t>ed</w:t>
      </w:r>
      <w:r>
        <w:rPr>
          <w:lang w:val="cs-CZ"/>
        </w:rPr>
        <w:t>. digitalis</w:t>
      </w:r>
      <w:r>
        <w:t xml:space="preserve"> Pattin‒Zimmermann</w:t>
      </w:r>
      <w:r>
        <w:fldChar w:fldCharType="begin"/>
      </w:r>
      <w:r>
        <w:instrText xml:space="preserve"> XE "</w:instrText>
      </w:r>
      <w:r>
        <w:rPr>
          <w:lang w:val="cs-CZ"/>
        </w:rPr>
        <w:instrText>Liber de causis: 4.49</w:instrText>
      </w:r>
      <w:r>
        <w:instrText xml:space="preserve">" </w:instrText>
      </w:r>
      <w:r>
        <w:fldChar w:fldCharType="end"/>
      </w:r>
      <w:r>
        <w:rPr>
          <w:lang w:val="cs-CZ"/>
        </w:rPr>
        <w:t>).</w:t>
      </w:r>
    </w:p>
  </w:footnote>
  <w:footnote w:id="54">
    <w:p w14:paraId="00067E31" w14:textId="77777777" w:rsidR="00344048" w:rsidRPr="00AC0897" w:rsidRDefault="00344048" w:rsidP="008D3253">
      <w:pPr>
        <w:pStyle w:val="Textpoznpodarou"/>
      </w:pPr>
      <w:r w:rsidRPr="00AC0897">
        <w:rPr>
          <w:rStyle w:val="Znakapoznpodarou"/>
        </w:rPr>
        <w:footnoteRef/>
      </w:r>
      <w:r>
        <w:rPr>
          <w:lang w:val="cs-CZ"/>
        </w:rPr>
        <w:t xml:space="preserve"> </w:t>
      </w:r>
      <w:r>
        <w:t>„</w:t>
      </w:r>
      <w:r w:rsidRPr="00AC0897">
        <w:t>La question essentielle serait alors plus radicale: une méta-ontologie est-elle possible? En d’autre termes: est-il possible de donner à la méta-ontologie un statut scientifique tel qu’elle soit en mesure de contrôler toute la réalité?</w:t>
      </w:r>
      <w:r>
        <w:t>“</w:t>
      </w:r>
      <w:r w:rsidRPr="00AC0897">
        <w:t xml:space="preserve"> (</w:t>
      </w:r>
      <w:r w:rsidRPr="00AC0897">
        <w:rPr>
          <w:rStyle w:val="addmd"/>
        </w:rPr>
        <w:t>Taormina 1999, 11</w:t>
      </w:r>
      <w:r w:rsidRPr="00AC0897">
        <w:t>)</w:t>
      </w:r>
    </w:p>
  </w:footnote>
  <w:footnote w:id="55">
    <w:p w14:paraId="1423D6AD" w14:textId="77777777" w:rsidR="00344048" w:rsidRPr="002C1239" w:rsidRDefault="00344048" w:rsidP="00887078">
      <w:pPr>
        <w:pStyle w:val="Textpoznpodarou"/>
        <w:rPr>
          <w:szCs w:val="24"/>
        </w:rPr>
      </w:pPr>
      <w:r w:rsidRPr="002C1239">
        <w:rPr>
          <w:rStyle w:val="Znakapoznpodarou"/>
        </w:rPr>
        <w:footnoteRef/>
      </w:r>
      <w:r w:rsidRPr="002C1239">
        <w:t xml:space="preserve"> „Le premier intellect, le pur, crée des formes distinctes (</w:t>
      </w:r>
      <w:r w:rsidRPr="002C1239">
        <w:rPr>
          <w:szCs w:val="24"/>
        </w:rPr>
        <w:t>ἡ γὰρ περιγεγραμμένη εἰδοποιΐα νοῦ πρώτου ἐστίν, νοῦς δὲ πρῶτος ὁ καθαρὸς νοῦς</w:t>
      </w:r>
      <w:r w:rsidRPr="002C1239">
        <w:t>). Elles sont, à ce premier niveau, les monades des formes, c’est-à-dire l’élément indifférencié en chaque forme (</w:t>
      </w:r>
      <w:r w:rsidRPr="002C1239">
        <w:rPr>
          <w:szCs w:val="24"/>
        </w:rPr>
        <w:t>τὰς τῶν εἰδῶν μονάδας, τὸ ἑκάστου λέγων ἀδιάκριτον</w:t>
      </w:r>
      <w:r w:rsidRPr="002C1239">
        <w:t>). Le deuxième intellect est la cause de l’être eidétique (οὐσίας αἴτιος εἰδητικῆς) ; le troisième intellect est la cause de leur création (</w:t>
      </w:r>
      <w:r w:rsidRPr="002C1239">
        <w:rPr>
          <w:szCs w:val="24"/>
        </w:rPr>
        <w:t>ὁ τρίτος εἰδοποιΐας ἐν νοεροῖς</w:t>
      </w:r>
      <w:r w:rsidRPr="002C1239">
        <w:t>).“ (</w:t>
      </w:r>
      <w:r w:rsidRPr="002C1239">
        <w:rPr>
          <w:rStyle w:val="addmd"/>
        </w:rPr>
        <w:t xml:space="preserve">Taormina 1999, 52; Damascius, </w:t>
      </w:r>
      <w:r w:rsidRPr="002C1239">
        <w:rPr>
          <w:rStyle w:val="addmd"/>
          <w:i/>
        </w:rPr>
        <w:t>In Phil</w:t>
      </w:r>
      <w:r w:rsidRPr="002C1239">
        <w:rPr>
          <w:rStyle w:val="addmd"/>
        </w:rPr>
        <w:t>. 105, 1</w:t>
      </w:r>
      <w:r>
        <w:rPr>
          <w:rStyle w:val="addmd"/>
        </w:rPr>
        <w:t>–</w:t>
      </w:r>
      <w:r w:rsidRPr="002C1239">
        <w:rPr>
          <w:rStyle w:val="addmd"/>
        </w:rPr>
        <w:t>6</w:t>
      </w:r>
      <w:r>
        <w:fldChar w:fldCharType="begin"/>
      </w:r>
      <w:r>
        <w:instrText xml:space="preserve"> XE "</w:instrText>
      </w:r>
      <w:r w:rsidRPr="002C1239">
        <w:rPr>
          <w:rStyle w:val="addmd"/>
        </w:rPr>
        <w:instrText>Damascius</w:instrText>
      </w:r>
      <w:r>
        <w:instrText>:</w:instrText>
      </w:r>
      <w:r w:rsidRPr="002C1239">
        <w:rPr>
          <w:rStyle w:val="addmd"/>
          <w:i/>
        </w:rPr>
        <w:instrText>In Phil</w:instrText>
      </w:r>
      <w:r>
        <w:rPr>
          <w:rStyle w:val="addmd"/>
        </w:rPr>
        <w:instrText>. 105</w:instrText>
      </w:r>
      <w:r>
        <w:rPr>
          <w:rStyle w:val="addmd"/>
          <w:lang w:val="cs-CZ"/>
        </w:rPr>
        <w:instrText>.</w:instrText>
      </w:r>
      <w:r w:rsidRPr="002C1239">
        <w:rPr>
          <w:rStyle w:val="addmd"/>
        </w:rPr>
        <w:instrText>1</w:instrText>
      </w:r>
      <w:r>
        <w:rPr>
          <w:rStyle w:val="addmd"/>
        </w:rPr>
        <w:instrText>–</w:instrText>
      </w:r>
      <w:r w:rsidRPr="002C1239">
        <w:rPr>
          <w:rStyle w:val="addmd"/>
        </w:rPr>
        <w:instrText>6</w:instrText>
      </w:r>
      <w:r>
        <w:instrText xml:space="preserve">" </w:instrText>
      </w:r>
      <w:r>
        <w:fldChar w:fldCharType="end"/>
      </w:r>
      <w:r w:rsidRPr="002C1239">
        <w:t>)</w:t>
      </w:r>
    </w:p>
  </w:footnote>
  <w:footnote w:id="56">
    <w:p w14:paraId="3DEF5928" w14:textId="77777777" w:rsidR="00344048" w:rsidRPr="00920FF9" w:rsidRDefault="00344048" w:rsidP="008D3253">
      <w:pPr>
        <w:pStyle w:val="Textpoznpodarou"/>
      </w:pPr>
      <w:r>
        <w:rPr>
          <w:rStyle w:val="Znakapoznpodarou"/>
        </w:rPr>
        <w:footnoteRef/>
      </w:r>
      <w:r>
        <w:t xml:space="preserve"> </w:t>
      </w:r>
      <w:r>
        <w:rPr>
          <w:rStyle w:val="addmd"/>
        </w:rPr>
        <w:t>„</w:t>
      </w:r>
      <w:r w:rsidRPr="007A2105">
        <w:rPr>
          <w:rStyle w:val="addmd"/>
        </w:rPr>
        <w:t>Damascius témoigne du fait que le grand Jamblique « ramasse toute l</w:t>
      </w:r>
      <w:r w:rsidRPr="007A2105">
        <w:t xml:space="preserve">’opposition en une seule intellection </w:t>
      </w:r>
      <w:r w:rsidRPr="007A2105">
        <w:rPr>
          <w:rStyle w:val="addmd"/>
        </w:rPr>
        <w:t>» (</w:t>
      </w:r>
      <w:r w:rsidRPr="007A2105">
        <w:t xml:space="preserve">πᾶσαν ἀντίθεσιν </w:t>
      </w:r>
      <w:r w:rsidRPr="007A2105">
        <w:rPr>
          <w:szCs w:val="24"/>
        </w:rPr>
        <w:t>εἰς μ</w:t>
      </w:r>
      <w:r w:rsidRPr="007A2105">
        <w:t>ί</w:t>
      </w:r>
      <w:r w:rsidRPr="007A2105">
        <w:rPr>
          <w:szCs w:val="24"/>
        </w:rPr>
        <w:t xml:space="preserve">αν </w:t>
      </w:r>
      <w:r w:rsidRPr="007A2105">
        <w:t>συνάγει νόησιν</w:t>
      </w:r>
      <w:r w:rsidRPr="007A2105">
        <w:rPr>
          <w:rStyle w:val="addmd"/>
        </w:rPr>
        <w:t>) puisqu</w:t>
      </w:r>
      <w:r w:rsidRPr="007A2105">
        <w:t xml:space="preserve">’il retient que les expressions </w:t>
      </w:r>
      <w:r w:rsidRPr="007A2105">
        <w:rPr>
          <w:rStyle w:val="addmd"/>
        </w:rPr>
        <w:t>« en lui m</w:t>
      </w:r>
      <w:r w:rsidRPr="007A2105">
        <w:t>ê</w:t>
      </w:r>
      <w:r w:rsidRPr="007A2105">
        <w:rPr>
          <w:rStyle w:val="addmd"/>
        </w:rPr>
        <w:t>m</w:t>
      </w:r>
      <w:r w:rsidRPr="007A2105">
        <w:t>e</w:t>
      </w:r>
      <w:r w:rsidRPr="007A2105">
        <w:rPr>
          <w:rStyle w:val="addmd"/>
        </w:rPr>
        <w:t xml:space="preserve"> » et « en autre » signifient la contraction de l</w:t>
      </w:r>
      <w:r w:rsidRPr="007A2105">
        <w:t>’opposition  et n’expriment pas deux choses diffèrentes, mais une seule.“ (</w:t>
      </w:r>
      <w:r w:rsidRPr="006E3E86">
        <w:rPr>
          <w:i/>
          <w:lang w:val="cs-CZ"/>
        </w:rPr>
        <w:t>Simpl.</w:t>
      </w:r>
      <w:r>
        <w:rPr>
          <w:lang w:val="cs-CZ"/>
        </w:rPr>
        <w:t xml:space="preserve"> </w:t>
      </w:r>
      <w:r>
        <w:rPr>
          <w:rStyle w:val="addmd"/>
          <w:i/>
          <w:lang w:val="cs-CZ"/>
        </w:rPr>
        <w:t>i</w:t>
      </w:r>
      <w:r w:rsidRPr="00262CA5">
        <w:rPr>
          <w:rStyle w:val="addmd"/>
          <w:i/>
        </w:rPr>
        <w:t>n Parm</w:t>
      </w:r>
      <w:r w:rsidRPr="007A2105">
        <w:rPr>
          <w:rStyle w:val="addmd"/>
        </w:rPr>
        <w:t>. fr. 5.36</w:t>
      </w:r>
      <w:r>
        <w:rPr>
          <w:lang w:eastAsia="en-US"/>
        </w:rPr>
        <w:fldChar w:fldCharType="begin"/>
      </w:r>
      <w:r>
        <w:instrText xml:space="preserve"> XE "</w:instrText>
      </w:r>
      <w:r>
        <w:rPr>
          <w:lang w:val="cs-CZ"/>
        </w:rPr>
        <w:instrText>Simplikius:</w:instrText>
      </w:r>
      <w:r w:rsidRPr="006E3E86">
        <w:rPr>
          <w:i/>
          <w:lang w:val="cs-CZ"/>
        </w:rPr>
        <w:instrText>Simpl.</w:instrText>
      </w:r>
      <w:r>
        <w:rPr>
          <w:lang w:val="cs-CZ"/>
        </w:rPr>
        <w:instrText xml:space="preserve"> </w:instrText>
      </w:r>
      <w:r>
        <w:rPr>
          <w:rStyle w:val="addmd"/>
          <w:i/>
          <w:lang w:val="cs-CZ"/>
        </w:rPr>
        <w:instrText>i</w:instrText>
      </w:r>
      <w:r w:rsidRPr="00262CA5">
        <w:rPr>
          <w:rStyle w:val="addmd"/>
          <w:i/>
        </w:rPr>
        <w:instrText>n Parm</w:instrText>
      </w:r>
      <w:r w:rsidRPr="007A2105">
        <w:rPr>
          <w:rStyle w:val="addmd"/>
        </w:rPr>
        <w:instrText>. fr. 5.36</w:instrText>
      </w:r>
      <w:r>
        <w:instrText xml:space="preserve">" </w:instrText>
      </w:r>
      <w:r>
        <w:rPr>
          <w:lang w:eastAsia="en-US"/>
        </w:rPr>
        <w:fldChar w:fldCharType="end"/>
      </w:r>
      <w:r>
        <w:rPr>
          <w:rStyle w:val="addmd"/>
        </w:rPr>
        <w:t xml:space="preserve">; </w:t>
      </w:r>
      <w:r w:rsidRPr="007A2105">
        <w:rPr>
          <w:rStyle w:val="addmd"/>
        </w:rPr>
        <w:t>Taormina 1999, 52</w:t>
      </w:r>
      <w:r>
        <w:rPr>
          <w:rStyle w:val="addmd"/>
        </w:rPr>
        <w:t>–53</w:t>
      </w:r>
      <w:r w:rsidRPr="007A2105">
        <w:rPr>
          <w:rStyle w:val="addmd"/>
        </w:rPr>
        <w:t>)</w:t>
      </w:r>
    </w:p>
  </w:footnote>
  <w:footnote w:id="57">
    <w:p w14:paraId="223C1E68" w14:textId="77777777" w:rsidR="00344048" w:rsidRPr="00317FE1" w:rsidRDefault="00344048" w:rsidP="00C019EF">
      <w:pPr>
        <w:pStyle w:val="Textpoznpodarou"/>
        <w:rPr>
          <w:lang w:val="cs-CZ"/>
        </w:rPr>
      </w:pPr>
      <w:r>
        <w:rPr>
          <w:rStyle w:val="Znakapoznpodarou"/>
        </w:rPr>
        <w:footnoteRef/>
      </w:r>
      <w:r>
        <w:t xml:space="preserve"> </w:t>
      </w:r>
      <w:r w:rsidRPr="00273106">
        <w:rPr>
          <w:noProof/>
        </w:rPr>
        <w:t xml:space="preserve">„Sensible or composite </w:t>
      </w:r>
      <w:r w:rsidRPr="00273106">
        <w:rPr>
          <w:i/>
          <w:noProof/>
        </w:rPr>
        <w:t>ousia</w:t>
      </w:r>
      <w:r w:rsidRPr="00273106">
        <w:rPr>
          <w:noProof/>
        </w:rPr>
        <w:t xml:space="preserve"> is homonymous in relation to intelligible </w:t>
      </w:r>
      <w:r w:rsidRPr="00273106">
        <w:rPr>
          <w:i/>
          <w:noProof/>
        </w:rPr>
        <w:t>ousia</w:t>
      </w:r>
      <w:r w:rsidRPr="00273106">
        <w:rPr>
          <w:noProof/>
        </w:rPr>
        <w:t>, this homonymy not being complete, however, since it is compatible with an analogical relation. This doctrine is implicitly presented as Aristotelian. (...) The analogical relation thus tends to be confused with the relation 'from one and to one' (</w:t>
      </w:r>
      <w:r w:rsidRPr="00273106">
        <w:rPr>
          <w:i/>
          <w:noProof/>
        </w:rPr>
        <w:t>aph’ henos kai pros hen</w:t>
      </w:r>
      <w:r w:rsidRPr="00273106">
        <w:rPr>
          <w:noProof/>
        </w:rPr>
        <w:t>), although this relation in not made explicit either in Aristotle or in Porphyry.“ (Hadot 1990, 136)</w:t>
      </w:r>
    </w:p>
  </w:footnote>
  <w:footnote w:id="58">
    <w:p w14:paraId="776738FF" w14:textId="77777777" w:rsidR="00344048" w:rsidRPr="08575E95" w:rsidRDefault="00344048" w:rsidP="08D21F66">
      <w:pPr>
        <w:pStyle w:val="Textpoznpodarou"/>
        <w:rPr>
          <w:lang w:val="cs-CZ"/>
        </w:rPr>
      </w:pPr>
      <w:r>
        <w:rPr>
          <w:rStyle w:val="Znakapoznpodarou"/>
        </w:rPr>
        <w:footnoteRef/>
      </w:r>
      <w:r>
        <w:t xml:space="preserve"> Seznam Porfýriových děl od Suidase zmiňuje ztracený Porfýriův spis o jednotě záměru Platona a Aristotela (Περ</w:t>
      </w:r>
      <w:r w:rsidRPr="00944450">
        <w:t>ὶ</w:t>
      </w:r>
      <w:r>
        <w:t xml:space="preserve"> τοῡ μ</w:t>
      </w:r>
      <w:r w:rsidRPr="00F2306A">
        <w:t>ί</w:t>
      </w:r>
      <w:r>
        <w:t>αν εἴναι τ</w:t>
      </w:r>
      <w:r w:rsidRPr="002A3B4F">
        <w:t>ὴ</w:t>
      </w:r>
      <w:r>
        <w:t>ν Πλάτ</w:t>
      </w:r>
      <w:r w:rsidRPr="00F2306A">
        <w:t>ων</w:t>
      </w:r>
      <w:r>
        <w:t xml:space="preserve">ος </w:t>
      </w:r>
      <w:r w:rsidRPr="004A0DA2">
        <w:t>καὶ</w:t>
      </w:r>
      <w:r>
        <w:t xml:space="preserve"> Ἀριστοτέλους αἴρειν). Možná na něj naráží i Simplikiův současník Elias ve svém komentáři k </w:t>
      </w:r>
      <w:r w:rsidRPr="080E184C">
        <w:rPr>
          <w:i/>
        </w:rPr>
        <w:t>Isagog</w:t>
      </w:r>
      <w:r w:rsidRPr="080E184C">
        <w:rPr>
          <w:i/>
          <w:lang w:val="cs-CZ"/>
        </w:rPr>
        <w:t>e</w:t>
      </w:r>
      <w:r>
        <w:rPr>
          <w:lang w:val="cs-CZ"/>
        </w:rPr>
        <w:t xml:space="preserve"> </w:t>
      </w:r>
      <w:r>
        <w:t>(</w:t>
      </w:r>
      <w:r w:rsidRPr="00E67912">
        <w:rPr>
          <w:rStyle w:val="addmd"/>
        </w:rPr>
        <w:t>Evangeliou 1988,</w:t>
      </w:r>
      <w:r>
        <w:t xml:space="preserve"> 5).</w:t>
      </w:r>
      <w:r>
        <w:rPr>
          <w:lang w:val="cs-CZ"/>
        </w:rPr>
        <w:t xml:space="preserve"> Eliasovy komentáře Aristotela znala a používala falsafa ve sbírce neoplatonského korpusu připsaného tomuto autorovi. </w:t>
      </w:r>
    </w:p>
  </w:footnote>
  <w:footnote w:id="59">
    <w:p w14:paraId="4E0277D6" w14:textId="77777777" w:rsidR="00344048" w:rsidRPr="00786ECA" w:rsidRDefault="00344048" w:rsidP="001B0139">
      <w:pPr>
        <w:pStyle w:val="Textpoznpodarou"/>
      </w:pPr>
      <w:r w:rsidRPr="00786ECA">
        <w:rPr>
          <w:rStyle w:val="Znakapoznpodarou"/>
        </w:rPr>
        <w:footnoteRef/>
      </w:r>
      <w:r w:rsidRPr="00786ECA">
        <w:t xml:space="preserve"> </w:t>
      </w:r>
      <w:r>
        <w:t>„</w:t>
      </w:r>
      <w:r w:rsidRPr="00786ECA">
        <w:t xml:space="preserve">Le commentaire de Simplicius sur </w:t>
      </w:r>
      <w:r w:rsidRPr="008031C3">
        <w:rPr>
          <w:i/>
        </w:rPr>
        <w:t>Cat</w:t>
      </w:r>
      <w:r w:rsidRPr="00786ECA">
        <w:t>. 2a14</w:t>
      </w:r>
      <w:r>
        <w:fldChar w:fldCharType="begin"/>
      </w:r>
      <w:r>
        <w:instrText xml:space="preserve"> XE "</w:instrText>
      </w:r>
      <w:r>
        <w:rPr>
          <w:lang w:val="cs-CZ"/>
        </w:rPr>
        <w:instrText>Aristoteles:</w:instrText>
      </w:r>
      <w:r w:rsidRPr="00250AC9">
        <w:rPr>
          <w:i/>
        </w:rPr>
        <w:instrText>Cat</w:instrText>
      </w:r>
      <w:r w:rsidRPr="00250AC9">
        <w:instrText>. 2a14</w:instrText>
      </w:r>
      <w:r>
        <w:instrText xml:space="preserve">" </w:instrText>
      </w:r>
      <w:r>
        <w:fldChar w:fldCharType="end"/>
      </w:r>
      <w:r w:rsidRPr="00786ECA">
        <w:t xml:space="preserve"> reconstruit les thèses du débat sur les universaux antérieurs à la pluralité et les universaux postérieurs à la pluralité. Les protagonistes sont Porphyre et Alexandre d</w:t>
      </w:r>
      <w:r w:rsidRPr="00786ECA">
        <w:rPr>
          <w:rStyle w:val="TextpoznpodarouChar"/>
        </w:rPr>
        <w:t>’Aphrodise.</w:t>
      </w:r>
      <w:r>
        <w:rPr>
          <w:rStyle w:val="TextpoznpodarouChar"/>
        </w:rPr>
        <w:t>“</w:t>
      </w:r>
      <w:r>
        <w:t xml:space="preserve"> (</w:t>
      </w:r>
      <w:r w:rsidRPr="00786ECA">
        <w:t>Taormina 1999, 26</w:t>
      </w:r>
      <w:r>
        <w:t>)</w:t>
      </w:r>
      <w:r w:rsidRPr="00786ECA">
        <w:t xml:space="preserve"> </w:t>
      </w:r>
    </w:p>
  </w:footnote>
  <w:footnote w:id="60">
    <w:p w14:paraId="4FBC277B" w14:textId="77777777" w:rsidR="00344048" w:rsidRPr="080E0BBF" w:rsidRDefault="00344048">
      <w:pPr>
        <w:pStyle w:val="Textpoznpodarou"/>
      </w:pPr>
      <w:r>
        <w:rPr>
          <w:rStyle w:val="Znakapoznpodarou"/>
        </w:rPr>
        <w:footnoteRef/>
      </w:r>
      <w:r>
        <w:t xml:space="preserve"> „</w:t>
      </w:r>
      <w:r w:rsidRPr="005734EF">
        <w:t>Once, however, the soul has departed from there [sc. the intelligible world], it also separates the formulae (</w:t>
      </w:r>
      <w:r w:rsidRPr="005734EF">
        <w:rPr>
          <w:i/>
        </w:rPr>
        <w:t>logoi</w:t>
      </w:r>
      <w:r w:rsidRPr="005734EF">
        <w:t>) within itself from beings, thereby converting them into images instead of prototypes, and it introduces a distance between intellection and realities. This is all the more true, the further the soul has departed from its similarity to the Intellect, and it is henceforth content to project (</w:t>
      </w:r>
      <w:r w:rsidRPr="005734EF">
        <w:rPr>
          <w:i/>
        </w:rPr>
        <w:t>proballesthai</w:t>
      </w:r>
      <w:r w:rsidRPr="005734EF">
        <w:t>) notions which are consonant with realities.“ (</w:t>
      </w:r>
      <w:r w:rsidRPr="000870AD">
        <w:rPr>
          <w:i/>
          <w:lang w:val="cs-CZ"/>
        </w:rPr>
        <w:t>Simpl. i</w:t>
      </w:r>
      <w:r w:rsidRPr="000870AD">
        <w:rPr>
          <w:i/>
        </w:rPr>
        <w:t xml:space="preserve">n Cat. </w:t>
      </w:r>
      <w:r w:rsidRPr="005734EF">
        <w:t>12.18‒25</w:t>
      </w:r>
      <w:r>
        <w:rPr>
          <w:iCs/>
        </w:rPr>
        <w:fldChar w:fldCharType="begin"/>
      </w:r>
      <w:r>
        <w:instrText xml:space="preserve"> XE "</w:instrText>
      </w:r>
      <w:r>
        <w:rPr>
          <w:iCs/>
        </w:rPr>
        <w:instrText>Simplikius</w:instrText>
      </w:r>
      <w:r>
        <w:rPr>
          <w:iCs/>
          <w:lang w:val="cs-CZ"/>
        </w:rPr>
        <w:instrText>:</w:instrText>
      </w:r>
      <w:r w:rsidRPr="000870AD">
        <w:rPr>
          <w:i/>
          <w:lang w:val="cs-CZ"/>
        </w:rPr>
        <w:instrText>Simpl. i</w:instrText>
      </w:r>
      <w:r w:rsidRPr="000870AD">
        <w:rPr>
          <w:i/>
        </w:rPr>
        <w:instrText xml:space="preserve">n Cat. </w:instrText>
      </w:r>
      <w:r w:rsidRPr="005734EF">
        <w:instrText>12.18‒25</w:instrText>
      </w:r>
      <w:r>
        <w:instrText xml:space="preserve">" </w:instrText>
      </w:r>
      <w:r>
        <w:rPr>
          <w:iCs/>
        </w:rPr>
        <w:fldChar w:fldCharType="end"/>
      </w:r>
      <w:r w:rsidRPr="005734EF">
        <w:t>; trad. Chase</w:t>
      </w:r>
      <w:r>
        <w:rPr>
          <w:lang w:val="cs-CZ"/>
        </w:rPr>
        <w:t xml:space="preserve"> 2003, </w:t>
      </w:r>
      <w:r w:rsidRPr="005734EF">
        <w:t>28)</w:t>
      </w:r>
    </w:p>
  </w:footnote>
  <w:footnote w:id="61">
    <w:p w14:paraId="00437241" w14:textId="77777777" w:rsidR="00344048" w:rsidRPr="00A749E1" w:rsidRDefault="00344048" w:rsidP="08507327">
      <w:pPr>
        <w:pStyle w:val="Textpoznpodarou"/>
        <w:rPr>
          <w:lang w:val="cs-CZ"/>
        </w:rPr>
      </w:pPr>
      <w:r>
        <w:rPr>
          <w:rStyle w:val="Znakapoznpodarou"/>
        </w:rPr>
        <w:footnoteRef/>
      </w:r>
      <w:r>
        <w:t xml:space="preserve"> </w:t>
      </w:r>
      <w:r>
        <w:rPr>
          <w:lang w:val="cs-CZ"/>
        </w:rPr>
        <w:t>„</w:t>
      </w:r>
      <w:r w:rsidRPr="008638DC">
        <w:t>He then</w:t>
      </w:r>
      <w:r>
        <w:t xml:space="preserve"> added the proximate concept (</w:t>
      </w:r>
      <w:r w:rsidRPr="008638DC">
        <w:rPr>
          <w:i/>
        </w:rPr>
        <w:t>tên prokheiran ennoian</w:t>
      </w:r>
      <w:r w:rsidRPr="008638DC">
        <w:t>): 'Whatever signifies something in conjunction with number o</w:t>
      </w:r>
      <w:r>
        <w:t>r in accordance with number.'</w:t>
      </w:r>
      <w:r w:rsidRPr="008638DC">
        <w:t xml:space="preserve"> </w:t>
      </w:r>
      <w:r>
        <w:rPr>
          <w:lang w:val="cs-CZ"/>
        </w:rPr>
        <w:t>To the t</w:t>
      </w:r>
      <w:r w:rsidRPr="008638DC">
        <w:t>he relative [he added] 'simply being said r</w:t>
      </w:r>
      <w:r>
        <w:t>elatively to one another', and '</w:t>
      </w:r>
      <w:r w:rsidRPr="008638DC">
        <w:t>being of such a nature as not to be signified without one another'</w:t>
      </w:r>
      <w:r>
        <w:rPr>
          <w:lang w:val="cs-CZ"/>
        </w:rPr>
        <w:t>. (</w:t>
      </w:r>
      <w:r>
        <w:rPr>
          <w:rStyle w:val="TextpoznpodarouChar"/>
          <w:i/>
        </w:rPr>
        <w:t xml:space="preserve">Simpl. </w:t>
      </w:r>
      <w:r>
        <w:rPr>
          <w:rStyle w:val="TextpoznpodarouChar"/>
          <w:i/>
          <w:lang w:val="cs-CZ"/>
        </w:rPr>
        <w:t xml:space="preserve">in </w:t>
      </w:r>
      <w:r w:rsidRPr="002464DE">
        <w:rPr>
          <w:rStyle w:val="TextpoznpodarouChar"/>
          <w:i/>
        </w:rPr>
        <w:t>Cat</w:t>
      </w:r>
      <w:r>
        <w:rPr>
          <w:rStyle w:val="TextpoznpodarouChar"/>
        </w:rPr>
        <w:t>. 61.9‒1</w:t>
      </w:r>
      <w:r>
        <w:rPr>
          <w:rStyle w:val="TextpoznpodarouChar"/>
          <w:lang w:val="cs-CZ"/>
        </w:rPr>
        <w:t>1</w:t>
      </w:r>
      <w:r>
        <w:rPr>
          <w:rStyle w:val="TextpoznpodarouChar"/>
          <w:lang w:val="cs-CZ"/>
        </w:rPr>
        <w:fldChar w:fldCharType="begin"/>
      </w:r>
      <w:r>
        <w:instrText xml:space="preserve"> XE "</w:instrText>
      </w:r>
      <w:r>
        <w:rPr>
          <w:lang w:val="cs-CZ"/>
        </w:rPr>
        <w:instrText>Simplikius:</w:instrText>
      </w:r>
      <w:r w:rsidRPr="00547111">
        <w:rPr>
          <w:rStyle w:val="TextpoznpodarouChar"/>
          <w:i/>
        </w:rPr>
        <w:instrText>Simpl.</w:instrText>
      </w:r>
      <w:r>
        <w:rPr>
          <w:rStyle w:val="TextpoznpodarouChar"/>
          <w:i/>
          <w:lang w:val="cs-CZ"/>
        </w:rPr>
        <w:instrText>in</w:instrText>
      </w:r>
      <w:r w:rsidRPr="00547111">
        <w:rPr>
          <w:rStyle w:val="TextpoznpodarouChar"/>
          <w:i/>
        </w:rPr>
        <w:instrText xml:space="preserve"> Cat</w:instrText>
      </w:r>
      <w:r w:rsidRPr="00547111">
        <w:rPr>
          <w:rStyle w:val="TextpoznpodarouChar"/>
        </w:rPr>
        <w:instrText>. 61.9‒1</w:instrText>
      </w:r>
      <w:r w:rsidRPr="00547111">
        <w:rPr>
          <w:rStyle w:val="TextpoznpodarouChar"/>
          <w:lang w:val="cs-CZ"/>
        </w:rPr>
        <w:instrText>1</w:instrText>
      </w:r>
      <w:r>
        <w:instrText xml:space="preserve">" </w:instrText>
      </w:r>
      <w:r>
        <w:rPr>
          <w:rStyle w:val="TextpoznpodarouChar"/>
          <w:lang w:val="cs-CZ"/>
        </w:rPr>
        <w:fldChar w:fldCharType="end"/>
      </w:r>
      <w:r>
        <w:rPr>
          <w:rStyle w:val="TextpoznpodarouChar"/>
          <w:lang w:val="cs-CZ"/>
        </w:rPr>
        <w:t>; trad. Chase 2003, 75</w:t>
      </w:r>
      <w:r>
        <w:rPr>
          <w:lang w:val="cs-CZ"/>
        </w:rPr>
        <w:t>)</w:t>
      </w:r>
    </w:p>
  </w:footnote>
  <w:footnote w:id="62">
    <w:p w14:paraId="3682CF8D" w14:textId="77777777" w:rsidR="00344048" w:rsidRPr="003944C6" w:rsidRDefault="00344048" w:rsidP="083B0CBA">
      <w:pPr>
        <w:pStyle w:val="Textpoznpodarou"/>
      </w:pPr>
      <w:r>
        <w:rPr>
          <w:rStyle w:val="Znakapoznpodarou"/>
        </w:rPr>
        <w:footnoteRef/>
      </w:r>
      <w:r>
        <w:t xml:space="preserve"> „</w:t>
      </w:r>
      <w:r w:rsidRPr="089F69C9">
        <w:t xml:space="preserve">Having </w:t>
      </w:r>
      <w:r>
        <w:t>(</w:t>
      </w:r>
      <w:r w:rsidRPr="089F69C9">
        <w:t>Ἕξις δὲ λέγεται</w:t>
      </w:r>
      <w:r>
        <w:t xml:space="preserve">) </w:t>
      </w:r>
      <w:r w:rsidRPr="089F69C9">
        <w:t xml:space="preserve">means a kind of activity of the haver and of what he has </w:t>
      </w:r>
      <w:r>
        <w:t>(</w:t>
      </w:r>
      <w:r w:rsidRPr="089F69C9">
        <w:t>ἐνέργειά τις τοῦ ἔχοντος καὶ ἐχομένου</w:t>
      </w:r>
      <w:r>
        <w:t xml:space="preserve">) </w:t>
      </w:r>
      <w:r w:rsidRPr="089F69C9">
        <w:t>something like an action or movement</w:t>
      </w:r>
      <w:r>
        <w:t xml:space="preserve"> (ὥσπερ πρᾶξίς τις ἢ κίνησις)</w:t>
      </w:r>
      <w:r w:rsidRPr="089F69C9">
        <w:t>.</w:t>
      </w:r>
      <w:r>
        <w:t xml:space="preserve"> </w:t>
      </w:r>
      <w:r w:rsidRPr="0823354C">
        <w:t xml:space="preserve">For when one thing makes </w:t>
      </w:r>
      <w:r>
        <w:t xml:space="preserve">(τὸ μὲν ποιῇ) </w:t>
      </w:r>
      <w:r w:rsidRPr="0823354C">
        <w:t>and one is made</w:t>
      </w:r>
      <w:r>
        <w:t xml:space="preserve"> (τὸ δὲ ποιῆται)</w:t>
      </w:r>
      <w:r w:rsidRPr="0823354C">
        <w:t>, between them there is a making</w:t>
      </w:r>
      <w:r>
        <w:t xml:space="preserve"> (ἔστι ποίησις μεταξύ)</w:t>
      </w:r>
      <w:r w:rsidRPr="0823354C">
        <w:t>.</w:t>
      </w:r>
      <w:r>
        <w:t>“ (</w:t>
      </w:r>
      <w:r w:rsidRPr="08260FBD">
        <w:rPr>
          <w:i/>
        </w:rPr>
        <w:t>Met</w:t>
      </w:r>
      <w:r>
        <w:t>. 1022b4‒6</w:t>
      </w:r>
      <w:r>
        <w:rPr>
          <w:iCs/>
        </w:rPr>
        <w:fldChar w:fldCharType="begin"/>
      </w:r>
      <w:r>
        <w:instrText xml:space="preserve"> XE "Aristoteles</w:instrText>
      </w:r>
      <w:r>
        <w:rPr>
          <w:iCs/>
          <w:lang w:val="cs-CZ"/>
        </w:rPr>
        <w:instrText>:</w:instrText>
      </w:r>
      <w:r w:rsidRPr="08260FBD">
        <w:rPr>
          <w:i/>
        </w:rPr>
        <w:instrText>Met</w:instrText>
      </w:r>
      <w:r>
        <w:instrText xml:space="preserve">. 1022b4‒6" </w:instrText>
      </w:r>
      <w:r>
        <w:rPr>
          <w:iCs/>
        </w:rPr>
        <w:fldChar w:fldCharType="end"/>
      </w:r>
      <w:r>
        <w:t>;</w:t>
      </w:r>
      <w:r>
        <w:rPr>
          <w:lang w:val="cs-CZ"/>
        </w:rPr>
        <w:t xml:space="preserve"> </w:t>
      </w:r>
      <w:r>
        <w:t>trad. Ross</w:t>
      </w:r>
      <w:r>
        <w:rPr>
          <w:lang w:val="cs-CZ"/>
        </w:rPr>
        <w:t xml:space="preserve">, </w:t>
      </w:r>
      <w:r>
        <w:t>WA 8)</w:t>
      </w:r>
    </w:p>
  </w:footnote>
  <w:footnote w:id="63">
    <w:p w14:paraId="536126F2" w14:textId="77777777" w:rsidR="00344048" w:rsidRPr="009E4697" w:rsidRDefault="00344048" w:rsidP="000511B9">
      <w:pPr>
        <w:pStyle w:val="Textpoznpodarou"/>
      </w:pPr>
      <w:r>
        <w:rPr>
          <w:rStyle w:val="Znakapoznpodarou"/>
        </w:rPr>
        <w:footnoteRef/>
      </w:r>
      <w:r>
        <w:t xml:space="preserve"> „C</w:t>
      </w:r>
      <w:r w:rsidRPr="00781BB8">
        <w:t>’</w:t>
      </w:r>
      <w:r>
        <w:t>est donc grâce à Porphyre et Simplicius que le rapport grammatical de déchéance de l</w:t>
      </w:r>
      <w:r w:rsidRPr="00781BB8">
        <w:t>’</w:t>
      </w:r>
      <w:r>
        <w:t xml:space="preserve">abstrait dans le concret, caractéristique de la paronymie, a </w:t>
      </w:r>
      <w:r w:rsidRPr="00781BB8">
        <w:rPr>
          <w:i/>
        </w:rPr>
        <w:t>permis</w:t>
      </w:r>
      <w:r>
        <w:t>, contre Aristote, d</w:t>
      </w:r>
      <w:r w:rsidRPr="00DD2B36">
        <w:rPr>
          <w:lang w:val="fr-FR"/>
        </w:rPr>
        <w:t>’</w:t>
      </w:r>
      <w:r>
        <w:rPr>
          <w:lang w:val="fr-FR"/>
        </w:rPr>
        <w:t>honorer l</w:t>
      </w:r>
      <w:r w:rsidRPr="00DD2B36">
        <w:rPr>
          <w:lang w:val="fr-FR"/>
        </w:rPr>
        <w:t>’</w:t>
      </w:r>
      <w:r>
        <w:rPr>
          <w:lang w:val="fr-FR"/>
        </w:rPr>
        <w:t>invitation malheureuse que son texte faisait de passer du Platonisme grammatical au Platonisme métaphysique.</w:t>
      </w:r>
      <w:r>
        <w:t>“ (Libera 1996, 61)</w:t>
      </w:r>
    </w:p>
  </w:footnote>
  <w:footnote w:id="64">
    <w:p w14:paraId="511FE828" w14:textId="77777777" w:rsidR="00344048" w:rsidRDefault="00344048" w:rsidP="00424DFE">
      <w:pPr>
        <w:pStyle w:val="Textpoznpodarou"/>
      </w:pPr>
      <w:r>
        <w:rPr>
          <w:rStyle w:val="Znakapoznpodarou"/>
        </w:rPr>
        <w:footnoteRef/>
      </w:r>
      <w:r>
        <w:t xml:space="preserve"> Klíčová část </w:t>
      </w:r>
      <w:r>
        <w:rPr>
          <w:lang w:val="cs-CZ"/>
        </w:rPr>
        <w:t xml:space="preserve">Ammoniova </w:t>
      </w:r>
      <w:r>
        <w:t>komentáře již hypostázuje akcident, ale pořád jej podle původního úmyslu Kategorií odděluje od první a druhé substance (</w:t>
      </w:r>
      <w:r w:rsidRPr="00C443DD">
        <w:t>συμβεβηκὸς γὰρ αὐτῷ τὸ λευκὸν καὶ ἐπίκτητον, ἀλλ' οὐκ ἐν τῇ οὐσίᾳ αὐτοῦ οὐδὲ εἶδος</w:t>
      </w:r>
      <w:r>
        <w:t xml:space="preserve">, </w:t>
      </w:r>
      <w:r>
        <w:rPr>
          <w:i/>
        </w:rPr>
        <w:t>Amonii I</w:t>
      </w:r>
      <w:r w:rsidRPr="009C1ED6">
        <w:rPr>
          <w:i/>
        </w:rPr>
        <w:t>n Cat</w:t>
      </w:r>
      <w:r>
        <w:t>. 86.21‒22</w:t>
      </w:r>
      <w:r>
        <w:fldChar w:fldCharType="begin"/>
      </w:r>
      <w:r>
        <w:instrText xml:space="preserve"> XE "</w:instrText>
      </w:r>
      <w:r w:rsidRPr="008F25A3">
        <w:instrText>Ammonius</w:instrText>
      </w:r>
      <w:r>
        <w:instrText>:</w:instrText>
      </w:r>
      <w:r>
        <w:rPr>
          <w:i/>
        </w:rPr>
        <w:instrText>Amonii i</w:instrText>
      </w:r>
      <w:r w:rsidRPr="00273106">
        <w:rPr>
          <w:i/>
        </w:rPr>
        <w:instrText>n Cat</w:instrText>
      </w:r>
      <w:r>
        <w:instrText>. 86.</w:instrText>
      </w:r>
      <w:r>
        <w:rPr>
          <w:lang w:val="cs-CZ"/>
        </w:rPr>
        <w:instrText>21</w:instrText>
      </w:r>
      <w:r w:rsidRPr="00273106">
        <w:instrText>‒</w:instrText>
      </w:r>
      <w:r>
        <w:rPr>
          <w:lang w:val="cs-CZ"/>
        </w:rPr>
        <w:instrText>2</w:instrText>
      </w:r>
      <w:r>
        <w:instrText xml:space="preserve">2" </w:instrText>
      </w:r>
      <w:r>
        <w:fldChar w:fldCharType="end"/>
      </w:r>
      <w:r>
        <w:t>).</w:t>
      </w:r>
    </w:p>
  </w:footnote>
  <w:footnote w:id="65">
    <w:p w14:paraId="501A22FE" w14:textId="77777777" w:rsidR="00344048" w:rsidRDefault="00344048" w:rsidP="00CF1B18">
      <w:pPr>
        <w:pStyle w:val="Textpoznpodarou"/>
      </w:pPr>
      <w:r>
        <w:rPr>
          <w:rStyle w:val="Znakapoznpodarou"/>
        </w:rPr>
        <w:footnoteRef/>
      </w:r>
      <w:r>
        <w:t xml:space="preserve"> Spis Kategorie popisuje kvality jako bělobu a sladkost následovně: „</w:t>
      </w:r>
      <w:r w:rsidRPr="003A4B6D">
        <w:rPr>
          <w:szCs w:val="12"/>
        </w:rPr>
        <w:t xml:space="preserve">It </w:t>
      </w:r>
      <w:r w:rsidRPr="003A4B6D">
        <w:rPr>
          <w:szCs w:val="10"/>
        </w:rPr>
        <w:t xml:space="preserve">is </w:t>
      </w:r>
      <w:r w:rsidRPr="003A4B6D">
        <w:rPr>
          <w:szCs w:val="15"/>
        </w:rPr>
        <w:t xml:space="preserve">evident </w:t>
      </w:r>
      <w:r w:rsidRPr="003A4B6D">
        <w:rPr>
          <w:szCs w:val="14"/>
        </w:rPr>
        <w:t xml:space="preserve">that </w:t>
      </w:r>
      <w:r w:rsidRPr="003A4B6D">
        <w:rPr>
          <w:szCs w:val="15"/>
        </w:rPr>
        <w:t xml:space="preserve">these </w:t>
      </w:r>
      <w:r w:rsidRPr="003A4B6D">
        <w:rPr>
          <w:szCs w:val="14"/>
        </w:rPr>
        <w:t xml:space="preserve">are </w:t>
      </w:r>
      <w:r w:rsidRPr="003A4B6D">
        <w:rPr>
          <w:szCs w:val="13"/>
        </w:rPr>
        <w:t xml:space="preserve">qualities, for </w:t>
      </w:r>
      <w:r w:rsidRPr="003A4B6D">
        <w:rPr>
          <w:szCs w:val="15"/>
        </w:rPr>
        <w:t xml:space="preserve">those things that possess </w:t>
      </w:r>
      <w:r w:rsidRPr="003A4B6D">
        <w:t xml:space="preserve">them </w:t>
      </w:r>
      <w:r w:rsidRPr="003A4B6D">
        <w:rPr>
          <w:szCs w:val="14"/>
        </w:rPr>
        <w:t xml:space="preserve">are </w:t>
      </w:r>
      <w:r w:rsidRPr="003A4B6D">
        <w:t>them</w:t>
      </w:r>
      <w:r w:rsidRPr="003A4B6D">
        <w:rPr>
          <w:szCs w:val="14"/>
        </w:rPr>
        <w:t xml:space="preserve">selves </w:t>
      </w:r>
      <w:r w:rsidRPr="003A4B6D">
        <w:rPr>
          <w:szCs w:val="13"/>
        </w:rPr>
        <w:t xml:space="preserve">said </w:t>
      </w:r>
      <w:r w:rsidRPr="003A4B6D">
        <w:rPr>
          <w:szCs w:val="14"/>
        </w:rPr>
        <w:t xml:space="preserve">to </w:t>
      </w:r>
      <w:r w:rsidRPr="003A4B6D">
        <w:rPr>
          <w:szCs w:val="16"/>
        </w:rPr>
        <w:t xml:space="preserve">be such </w:t>
      </w:r>
      <w:r w:rsidRPr="003A4B6D">
        <w:rPr>
          <w:szCs w:val="17"/>
        </w:rPr>
        <w:t xml:space="preserve">and </w:t>
      </w:r>
      <w:r w:rsidRPr="003A4B6D">
        <w:rPr>
          <w:szCs w:val="16"/>
        </w:rPr>
        <w:t xml:space="preserve">such </w:t>
      </w:r>
      <w:r w:rsidRPr="003A4B6D">
        <w:t xml:space="preserve">by </w:t>
      </w:r>
      <w:r w:rsidRPr="003A4B6D">
        <w:rPr>
          <w:szCs w:val="15"/>
        </w:rPr>
        <w:t xml:space="preserve">reason </w:t>
      </w:r>
      <w:r w:rsidRPr="003A4B6D">
        <w:rPr>
          <w:szCs w:val="14"/>
        </w:rPr>
        <w:t xml:space="preserve">of </w:t>
      </w:r>
      <w:r w:rsidRPr="003A4B6D">
        <w:rPr>
          <w:szCs w:val="13"/>
        </w:rPr>
        <w:t xml:space="preserve">their </w:t>
      </w:r>
      <w:r>
        <w:rPr>
          <w:szCs w:val="14"/>
        </w:rPr>
        <w:t xml:space="preserve">presence“ </w:t>
      </w:r>
      <w:r>
        <w:t>(</w:t>
      </w:r>
      <w:r w:rsidRPr="003A3344">
        <w:t>τὰ γὰρ δεδεγμένα ποιὰ λέγεται κατ' αὐτάς</w:t>
      </w:r>
      <w:r>
        <w:rPr>
          <w:lang w:val="cs-CZ"/>
        </w:rPr>
        <w:t>). (</w:t>
      </w:r>
      <w:r w:rsidRPr="001665ED">
        <w:rPr>
          <w:i/>
        </w:rPr>
        <w:t>Cat</w:t>
      </w:r>
      <w:r>
        <w:t>. 9a32‒33</w:t>
      </w:r>
      <w:r>
        <w:rPr>
          <w:iCs/>
        </w:rPr>
        <w:fldChar w:fldCharType="begin"/>
      </w:r>
      <w:r>
        <w:instrText xml:space="preserve"> XE "Aristoteles:</w:instrText>
      </w:r>
      <w:r w:rsidRPr="00273106">
        <w:rPr>
          <w:i/>
        </w:rPr>
        <w:instrText>Cat</w:instrText>
      </w:r>
      <w:r>
        <w:instrText>. 9a</w:instrText>
      </w:r>
      <w:r>
        <w:rPr>
          <w:lang w:val="cs-CZ"/>
        </w:rPr>
        <w:instrText>32</w:instrText>
      </w:r>
      <w:r>
        <w:instrText>–</w:instrText>
      </w:r>
      <w:r>
        <w:rPr>
          <w:lang w:val="cs-CZ"/>
        </w:rPr>
        <w:instrText>33</w:instrText>
      </w:r>
      <w:r>
        <w:instrText xml:space="preserve">" </w:instrText>
      </w:r>
      <w:r>
        <w:rPr>
          <w:iCs/>
        </w:rPr>
        <w:fldChar w:fldCharType="end"/>
      </w:r>
      <w:r>
        <w:t>; trad. Edghill, WA 1)</w:t>
      </w:r>
    </w:p>
  </w:footnote>
  <w:footnote w:id="66">
    <w:p w14:paraId="15BD49A9" w14:textId="77777777" w:rsidR="00344048" w:rsidRPr="08DE2FCF" w:rsidRDefault="00344048" w:rsidP="002E32DA">
      <w:pPr>
        <w:pStyle w:val="Textpoznpodarou"/>
      </w:pPr>
      <w:r>
        <w:rPr>
          <w:rStyle w:val="Znakapoznpodarou"/>
        </w:rPr>
        <w:footnoteRef/>
      </w:r>
      <w:r>
        <w:t xml:space="preserve"> „...εἰ δὲ ὁμωνύμως λέγονται ἐπὶ τῶν νοητῶν αἱ δέκα κατηγορίαι, οὐκ ἔσονται αἱ αὐταί, εἴπερ ὀνόματος μόνου τοῦ αὐτοῦ κοινωνοῦσιν...“ </w:t>
      </w:r>
      <w:r>
        <w:rPr>
          <w:lang w:val="cs-CZ"/>
        </w:rPr>
        <w:t>(</w:t>
      </w:r>
      <w:r w:rsidRPr="00CF714E">
        <w:rPr>
          <w:i/>
          <w:lang w:val="cs-CZ"/>
        </w:rPr>
        <w:t>Simpl. i</w:t>
      </w:r>
      <w:r w:rsidRPr="00CF714E">
        <w:rPr>
          <w:i/>
        </w:rPr>
        <w:t>n Cat</w:t>
      </w:r>
      <w:r>
        <w:t>. 73.21‒23</w:t>
      </w:r>
      <w:r>
        <w:fldChar w:fldCharType="begin"/>
      </w:r>
      <w:r>
        <w:instrText xml:space="preserve"> XE "Simplikius:</w:instrText>
      </w:r>
      <w:r w:rsidRPr="002F05F4">
        <w:rPr>
          <w:i/>
        </w:rPr>
        <w:instrText xml:space="preserve"> </w:instrText>
      </w:r>
      <w:r w:rsidRPr="00CF714E">
        <w:rPr>
          <w:i/>
        </w:rPr>
        <w:instrText>Simpl</w:instrText>
      </w:r>
      <w:r>
        <w:instrText xml:space="preserve">. </w:instrText>
      </w:r>
      <w:r>
        <w:rPr>
          <w:i/>
        </w:rPr>
        <w:instrText>i</w:instrText>
      </w:r>
      <w:r w:rsidRPr="00273106">
        <w:rPr>
          <w:i/>
        </w:rPr>
        <w:instrText>n Cat</w:instrText>
      </w:r>
      <w:r>
        <w:instrText xml:space="preserve">. </w:instrText>
      </w:r>
      <w:r>
        <w:rPr>
          <w:lang w:val="cs-CZ"/>
        </w:rPr>
        <w:instrText>73</w:instrText>
      </w:r>
      <w:r>
        <w:instrText>.</w:instrText>
      </w:r>
      <w:r>
        <w:rPr>
          <w:lang w:val="cs-CZ"/>
        </w:rPr>
        <w:instrText>21‒23</w:instrText>
      </w:r>
      <w:r>
        <w:instrText xml:space="preserve">" </w:instrText>
      </w:r>
      <w:r>
        <w:fldChar w:fldCharType="end"/>
      </w:r>
      <w:r>
        <w:t>)</w:t>
      </w:r>
    </w:p>
  </w:footnote>
  <w:footnote w:id="67">
    <w:p w14:paraId="19BF94A4" w14:textId="77777777" w:rsidR="00344048" w:rsidRPr="001072E9" w:rsidRDefault="00344048" w:rsidP="089C6784">
      <w:pPr>
        <w:pStyle w:val="Textpoznpodarou"/>
      </w:pPr>
      <w:r>
        <w:rPr>
          <w:rStyle w:val="Znakapoznpodarou"/>
        </w:rPr>
        <w:footnoteRef/>
      </w:r>
      <w:r>
        <w:rPr>
          <w:lang w:val="fr-FR"/>
        </w:rPr>
        <w:t xml:space="preserve"> </w:t>
      </w:r>
      <w:r w:rsidRPr="00567719">
        <w:rPr>
          <w:lang w:val="fr-FR"/>
        </w:rPr>
        <w:t xml:space="preserve">Erigène, </w:t>
      </w:r>
      <w:r w:rsidRPr="00567719">
        <w:rPr>
          <w:i/>
          <w:lang w:val="fr-FR"/>
        </w:rPr>
        <w:t xml:space="preserve">De la division de la Nature. </w:t>
      </w:r>
      <w:r w:rsidRPr="00965E64">
        <w:rPr>
          <w:i/>
          <w:lang w:val="fr-FR"/>
        </w:rPr>
        <w:t>Periphyseon</w:t>
      </w:r>
      <w:r w:rsidRPr="00965E64">
        <w:rPr>
          <w:lang w:val="fr-FR"/>
        </w:rPr>
        <w:t>: „</w:t>
      </w:r>
      <w:r w:rsidRPr="001072E9">
        <w:rPr>
          <w:rStyle w:val="TextpoznpodarouChar"/>
          <w:lang w:val="fr-FR"/>
        </w:rPr>
        <w:t>Car le genre généralissime consiste en une essence, qui englobe toutes les natures, et c’est par leur participa</w:t>
      </w:r>
      <w:r w:rsidRPr="001072E9">
        <w:rPr>
          <w:rStyle w:val="TextpoznpodarouChar"/>
          <w:lang w:val="fr-FR"/>
        </w:rPr>
        <w:softHyphen/>
        <w:t xml:space="preserve">tion à l’essence que tous les existants subsistent ; et c’est pourquoi on l’appelle généralissime. </w:t>
      </w:r>
      <w:r w:rsidRPr="001072E9">
        <w:rPr>
          <w:rStyle w:val="TextpoznpodarouChar"/>
          <w:i/>
          <w:lang w:val="fr-FR"/>
        </w:rPr>
        <w:t>L’essence descend à travers ces subdivisions successives</w:t>
      </w:r>
      <w:r w:rsidRPr="001072E9">
        <w:rPr>
          <w:rStyle w:val="TextpoznpodarouChar"/>
          <w:lang w:val="fr-FR"/>
        </w:rPr>
        <w:t>, en passant par les genres et les espèces jusqu’à cette espèce spécialissime, à laquelle les Grecs donnent le nom d’</w:t>
      </w:r>
      <w:r w:rsidRPr="001072E9">
        <w:rPr>
          <w:rStyle w:val="TextpoznpodarouChar"/>
          <w:i/>
          <w:lang w:val="fr-FR"/>
        </w:rPr>
        <w:t>atomos</w:t>
      </w:r>
      <w:r>
        <w:rPr>
          <w:rStyle w:val="TextpoznpodarouChar"/>
          <w:lang w:val="fr-FR"/>
        </w:rPr>
        <w:t xml:space="preserve">, </w:t>
      </w:r>
      <w:r w:rsidRPr="001072E9">
        <w:rPr>
          <w:rStyle w:val="TextpoznpodarouChar"/>
          <w:lang w:val="fr-FR"/>
        </w:rPr>
        <w:t xml:space="preserve">c’est-à-dire d’individu, tel </w:t>
      </w:r>
      <w:r w:rsidRPr="001072E9">
        <w:rPr>
          <w:rStyle w:val="TextpoznpodarouChar"/>
          <w:rFonts w:eastAsia="Times"/>
          <w:lang w:val="fr-FR"/>
        </w:rPr>
        <w:t xml:space="preserve">que </w:t>
      </w:r>
      <w:r w:rsidRPr="001072E9">
        <w:rPr>
          <w:rStyle w:val="TextpoznpodarouChar"/>
          <w:lang w:val="fr-FR"/>
        </w:rPr>
        <w:t>l’homme individuel ou le bœuf individuel.”</w:t>
      </w:r>
      <w:r>
        <w:rPr>
          <w:rStyle w:val="TextpoznpodarouChar"/>
          <w:lang w:val="fr-FR"/>
        </w:rPr>
        <w:t xml:space="preserve"> </w:t>
      </w:r>
      <w:r w:rsidRPr="001072E9">
        <w:rPr>
          <w:rStyle w:val="TextpoznpodarouChar"/>
          <w:lang w:val="fr-FR"/>
        </w:rPr>
        <w:t xml:space="preserve"> </w:t>
      </w:r>
      <w:r>
        <w:t>(Libera 1998, Introd., pp. XIII–XIV)</w:t>
      </w:r>
    </w:p>
  </w:footnote>
  <w:footnote w:id="68">
    <w:p w14:paraId="65B60C8D" w14:textId="77777777" w:rsidR="00344048" w:rsidRPr="00D33F1F" w:rsidRDefault="00344048" w:rsidP="00991CEB">
      <w:pPr>
        <w:pStyle w:val="Textpoznpodarou"/>
        <w:rPr>
          <w:lang w:val="cs-CZ"/>
        </w:rPr>
      </w:pPr>
      <w:r>
        <w:rPr>
          <w:rStyle w:val="Znakapoznpodarou"/>
        </w:rPr>
        <w:footnoteRef/>
      </w:r>
      <w:r>
        <w:t xml:space="preserve"> </w:t>
      </w:r>
      <w:r>
        <w:rPr>
          <w:lang w:val="cs-CZ"/>
        </w:rPr>
        <w:t xml:space="preserve">Viz </w:t>
      </w:r>
      <w:r w:rsidRPr="00273106">
        <w:t>Sorabji 1987, 151–153</w:t>
      </w:r>
      <w:r>
        <w:rPr>
          <w:lang w:val="cs-CZ"/>
        </w:rPr>
        <w:t xml:space="preserve">. </w:t>
      </w:r>
      <w:r w:rsidRPr="00273106">
        <w:t xml:space="preserve">Citovaný komentář </w:t>
      </w:r>
      <w:r>
        <w:rPr>
          <w:lang w:val="cs-CZ"/>
        </w:rPr>
        <w:t xml:space="preserve">ale pominul </w:t>
      </w:r>
      <w:r w:rsidRPr="00273106">
        <w:t>roli Jamblichových transcendent</w:t>
      </w:r>
      <w:r>
        <w:t>álních kategorií jsoucna (πέρας‒</w:t>
      </w:r>
      <w:r w:rsidRPr="00273106">
        <w:t>ἄπειρον), které určují Sim</w:t>
      </w:r>
      <w:r>
        <w:t xml:space="preserve">plikiův a </w:t>
      </w:r>
      <w:r>
        <w:rPr>
          <w:lang w:val="cs-CZ"/>
        </w:rPr>
        <w:t>F</w:t>
      </w:r>
      <w:r w:rsidRPr="00273106">
        <w:t>iloponovův koncept formálního určení kvantity.</w:t>
      </w:r>
    </w:p>
  </w:footnote>
  <w:footnote w:id="69">
    <w:p w14:paraId="140C672D" w14:textId="77777777" w:rsidR="00344048" w:rsidRPr="08661AE0" w:rsidRDefault="00344048" w:rsidP="08D97F72">
      <w:pPr>
        <w:pStyle w:val="Textpoznpodarou"/>
        <w:rPr>
          <w:sz w:val="22"/>
        </w:rPr>
      </w:pPr>
      <w:r>
        <w:rPr>
          <w:rStyle w:val="Znakapoznpodarou"/>
        </w:rPr>
        <w:footnoteRef/>
      </w:r>
      <w:r>
        <w:t xml:space="preserve"> </w:t>
      </w:r>
      <w:r>
        <w:rPr>
          <w:szCs w:val="26"/>
        </w:rPr>
        <w:t>„</w:t>
      </w:r>
      <w:r w:rsidRPr="08393525">
        <w:rPr>
          <w:szCs w:val="26"/>
        </w:rPr>
        <w:t>Perhaps the solution is that their matter is in one sense the same, but in another sense different. For that which underlies them, whatever its nature may be qua underlying them, is the same: but its actual being is not the same.</w:t>
      </w:r>
      <w:r>
        <w:rPr>
          <w:szCs w:val="26"/>
        </w:rPr>
        <w:t xml:space="preserve">“  </w:t>
      </w:r>
      <w:r>
        <w:rPr>
          <w:sz w:val="22"/>
          <w:szCs w:val="26"/>
        </w:rPr>
        <w:t>(</w:t>
      </w:r>
      <w:r w:rsidRPr="00064B76">
        <w:t>ὂν ὑπόκειται τὸ αὐτό,</w:t>
      </w:r>
      <w:r>
        <w:t xml:space="preserve"> </w:t>
      </w:r>
      <w:r w:rsidRPr="00064B76">
        <w:t>τὸ δ' εἶναι οὐ τὸ αὐτό</w:t>
      </w:r>
      <w:r>
        <w:t xml:space="preserve">; </w:t>
      </w:r>
      <w:r w:rsidRPr="08EE1FC9">
        <w:rPr>
          <w:i/>
        </w:rPr>
        <w:t>De gen. et corr</w:t>
      </w:r>
      <w:r>
        <w:t>. 319b3</w:t>
      </w:r>
      <w:r>
        <w:fldChar w:fldCharType="begin"/>
      </w:r>
      <w:r>
        <w:instrText xml:space="preserve"> XE "</w:instrText>
      </w:r>
      <w:r>
        <w:rPr>
          <w:lang w:val="cs-CZ"/>
        </w:rPr>
        <w:instrText>Aristoteles:</w:instrText>
      </w:r>
      <w:r w:rsidRPr="00C557B4">
        <w:rPr>
          <w:i/>
        </w:rPr>
        <w:instrText>De gen. et corr</w:instrText>
      </w:r>
      <w:r>
        <w:instrText>.</w:instrText>
      </w:r>
      <w:r>
        <w:rPr>
          <w:lang w:val="cs-CZ"/>
        </w:rPr>
        <w:instrText xml:space="preserve"> </w:instrText>
      </w:r>
      <w:r w:rsidRPr="00C557B4">
        <w:instrText>319b3</w:instrText>
      </w:r>
      <w:r>
        <w:instrText xml:space="preserve">" </w:instrText>
      </w:r>
      <w:r>
        <w:fldChar w:fldCharType="end"/>
      </w:r>
      <w:r>
        <w:t>, trad. Joachim</w:t>
      </w:r>
      <w:r>
        <w:rPr>
          <w:lang w:val="cs-CZ"/>
        </w:rPr>
        <w:t>, WA 2</w:t>
      </w:r>
      <w:r>
        <w:rPr>
          <w:sz w:val="22"/>
          <w:szCs w:val="26"/>
        </w:rPr>
        <w:t>)</w:t>
      </w:r>
    </w:p>
  </w:footnote>
  <w:footnote w:id="70">
    <w:p w14:paraId="3ADED6AE" w14:textId="77777777" w:rsidR="00344048" w:rsidRPr="00064B76" w:rsidRDefault="00344048" w:rsidP="08D97F72">
      <w:pPr>
        <w:pStyle w:val="Textpoznpodarou"/>
      </w:pPr>
      <w:r>
        <w:rPr>
          <w:rStyle w:val="Znakapoznpodarou"/>
        </w:rPr>
        <w:footnoteRef/>
      </w:r>
      <w:r>
        <w:rPr>
          <w:lang w:val="cs-CZ"/>
        </w:rPr>
        <w:t xml:space="preserve"> </w:t>
      </w:r>
      <w:r>
        <w:t>„</w:t>
      </w:r>
      <w:r>
        <w:rPr>
          <w:lang w:val="cs-CZ"/>
        </w:rPr>
        <w:t>I</w:t>
      </w:r>
      <w:r>
        <w:t>t does not seem to be the traditional concept of prime matter usually assumed to be present in the Greek commentators...“</w:t>
      </w:r>
      <w:r>
        <w:rPr>
          <w:lang w:val="cs-CZ"/>
        </w:rPr>
        <w:t xml:space="preserve"> </w:t>
      </w:r>
      <w:r>
        <w:t>(De Ha</w:t>
      </w:r>
      <w:r>
        <w:rPr>
          <w:lang w:val="cs-CZ"/>
        </w:rPr>
        <w:t>a</w:t>
      </w:r>
      <w:r>
        <w:t>s 1997, 145).</w:t>
      </w:r>
    </w:p>
  </w:footnote>
  <w:footnote w:id="71">
    <w:p w14:paraId="11DEA6EF" w14:textId="77777777" w:rsidR="00344048" w:rsidRPr="08DC6B59" w:rsidRDefault="00344048" w:rsidP="001E3488">
      <w:pPr>
        <w:pStyle w:val="Textpoznpodarou"/>
        <w:rPr>
          <w:noProof/>
        </w:rPr>
      </w:pPr>
      <w:r>
        <w:rPr>
          <w:rStyle w:val="Znakapoznpodarou"/>
        </w:rPr>
        <w:footnoteRef/>
      </w:r>
      <w:r>
        <w:t xml:space="preserve"> </w:t>
      </w:r>
      <w:r w:rsidRPr="005E2B99">
        <w:rPr>
          <w:noProof/>
        </w:rPr>
        <w:t>„Knowledge of the First Cau</w:t>
      </w:r>
      <w:r>
        <w:rPr>
          <w:noProof/>
        </w:rPr>
        <w:t>se has truthfully been called «First Philosophy</w:t>
      </w:r>
      <w:r w:rsidRPr="005E2B99">
        <w:rPr>
          <w:noProof/>
        </w:rPr>
        <w:t>», since all the rest of philosophy is contained in its kno</w:t>
      </w:r>
      <w:r>
        <w:rPr>
          <w:noProof/>
        </w:rPr>
        <w:t>wledge.“ (D'Ancona 1998, 852).</w:t>
      </w:r>
    </w:p>
  </w:footnote>
  <w:footnote w:id="72">
    <w:p w14:paraId="25B6CA82" w14:textId="77777777" w:rsidR="00344048" w:rsidRPr="00490BFA" w:rsidRDefault="00344048" w:rsidP="00A41AA8">
      <w:pPr>
        <w:pStyle w:val="Textpoznpodarou"/>
        <w:rPr>
          <w:lang w:val="cs-CZ"/>
        </w:rPr>
      </w:pPr>
      <w:r>
        <w:rPr>
          <w:rStyle w:val="Znakapoznpodarou"/>
        </w:rPr>
        <w:footnoteRef/>
      </w:r>
      <w:r w:rsidRPr="0045423D">
        <w:rPr>
          <w:lang w:val="fr-FR"/>
        </w:rPr>
        <w:t xml:space="preserve"> Avicenna Latinus, </w:t>
      </w:r>
      <w:r>
        <w:rPr>
          <w:i/>
          <w:lang w:val="fr-FR"/>
        </w:rPr>
        <w:t>Scientia Divina I–</w:t>
      </w:r>
      <w:r w:rsidRPr="0045423D">
        <w:rPr>
          <w:i/>
          <w:lang w:val="fr-FR"/>
        </w:rPr>
        <w:t>IV, ed.</w:t>
      </w:r>
      <w:r w:rsidRPr="0045423D">
        <w:rPr>
          <w:lang w:val="fr-FR"/>
        </w:rPr>
        <w:t xml:space="preserve"> Van Riet, 1977. p. 1*. K </w:t>
      </w:r>
      <w:r>
        <w:rPr>
          <w:lang w:val="fr-FR"/>
        </w:rPr>
        <w:t xml:space="preserve">Avicennově recepci Al-Fárábího metafyziky </w:t>
      </w:r>
      <w:r w:rsidRPr="0045423D">
        <w:rPr>
          <w:lang w:val="fr-FR"/>
        </w:rPr>
        <w:t xml:space="preserve">viz </w:t>
      </w:r>
      <w:r>
        <w:t xml:space="preserve">Gutas 1988, 237–252, </w:t>
      </w:r>
      <w:r w:rsidRPr="0045423D">
        <w:rPr>
          <w:lang w:val="fr-FR"/>
        </w:rPr>
        <w:t xml:space="preserve">Menn 2013, 143; </w:t>
      </w:r>
      <w:r w:rsidRPr="0045423D">
        <w:rPr>
          <w:bCs/>
          <w:lang w:val="fr-FR"/>
        </w:rPr>
        <w:t>Bertolacci</w:t>
      </w:r>
      <w:r>
        <w:rPr>
          <w:lang w:val="fr-FR"/>
        </w:rPr>
        <w:t xml:space="preserve"> 2006, 37–64.</w:t>
      </w:r>
    </w:p>
  </w:footnote>
  <w:footnote w:id="73">
    <w:p w14:paraId="7083B317" w14:textId="77777777" w:rsidR="00344048" w:rsidRPr="084953AC" w:rsidRDefault="00344048">
      <w:pPr>
        <w:pStyle w:val="Textpoznpodarou"/>
      </w:pPr>
      <w:r>
        <w:rPr>
          <w:rStyle w:val="Znakapoznpodarou"/>
        </w:rPr>
        <w:footnoteRef/>
      </w:r>
      <w:r>
        <w:t xml:space="preserve"> „</w:t>
      </w:r>
      <w:r w:rsidRPr="00FC2F44">
        <w:t>Die ersten Substanzen, d. h. die Individuen, bedürfen zu ihrem Sein nichts ausser sich selbst. Die zweiten Substanzen aber, wie die Arten und die Gattungen, bedürfen zu ihrem Sein der Individuen. Folglich kommt der Begriff Substanz den Individuen früher zu und sind sie dieses Namens „Substanz“ würdiger als die (Alldinge) Universalien. Eine and</w:t>
      </w:r>
      <w:r>
        <w:rPr>
          <w:lang w:val="cs-CZ"/>
        </w:rPr>
        <w:t>e</w:t>
      </w:r>
      <w:r w:rsidRPr="00FC2F44">
        <w:t>re Weise der Betrachtung ist nun aber die: Die allgemeinen Begriffe der Substanzen sind, da sie bestehend, bleibend und während, die Individuen (Einzel</w:t>
      </w:r>
      <w:r w:rsidRPr="00FC2F44">
        <w:rPr>
          <w:szCs w:val="26"/>
        </w:rPr>
        <w:t>erscheinungen) dagegen vergehend und schwindend sind, des Namens „Substanz“ würdiger als die Individuen. Bei beiden Theorien ist klar, dass die Substanz von dem, wovon sie ausgesagt wird, im Früheren und Späteren praedicirt werde und ist „Substanz“ daher ein Wort mit Doppelsinn.“</w:t>
      </w:r>
      <w:bookmarkStart w:id="33" w:name="_Ref375940627"/>
      <w:r>
        <w:rPr>
          <w:szCs w:val="26"/>
        </w:rPr>
        <w:t xml:space="preserve"> (</w:t>
      </w:r>
      <w:r w:rsidRPr="003552AD">
        <w:rPr>
          <w:i/>
          <w:szCs w:val="26"/>
          <w:lang w:val="cs-CZ"/>
        </w:rPr>
        <w:t xml:space="preserve">Die Antworten </w:t>
      </w:r>
      <w:r w:rsidRPr="003552AD">
        <w:rPr>
          <w:i/>
        </w:rPr>
        <w:t xml:space="preserve">Alfārābī's </w:t>
      </w:r>
      <w:r w:rsidRPr="003552AD">
        <w:rPr>
          <w:i/>
          <w:lang w:val="cs-CZ"/>
        </w:rPr>
        <w:t>auf einzeln</w:t>
      </w:r>
      <w:r>
        <w:rPr>
          <w:i/>
          <w:lang w:val="cs-CZ"/>
        </w:rPr>
        <w:t>e</w:t>
      </w:r>
      <w:r w:rsidRPr="003552AD">
        <w:rPr>
          <w:i/>
          <w:lang w:val="cs-CZ"/>
        </w:rPr>
        <w:t xml:space="preserve"> </w:t>
      </w:r>
      <w:r>
        <w:rPr>
          <w:i/>
          <w:lang w:val="cs-CZ"/>
        </w:rPr>
        <w:t xml:space="preserve">vorgelegte </w:t>
      </w:r>
      <w:r w:rsidRPr="003552AD">
        <w:rPr>
          <w:i/>
          <w:lang w:val="cs-CZ"/>
        </w:rPr>
        <w:t>Fragen</w:t>
      </w:r>
      <w:r>
        <w:t xml:space="preserve">; </w:t>
      </w:r>
      <w:r w:rsidRPr="08A73116">
        <w:t>ed. Dieterici</w:t>
      </w:r>
      <w:r>
        <w:t>, p</w:t>
      </w:r>
      <w:r w:rsidRPr="00FC2F44">
        <w:t>p. 146</w:t>
      </w:r>
      <w:r>
        <w:rPr>
          <w:lang w:val="cs-CZ"/>
        </w:rPr>
        <w:t>.23</w:t>
      </w:r>
      <w:r>
        <w:t>–</w:t>
      </w:r>
      <w:r w:rsidRPr="00FC2F44">
        <w:t>147</w:t>
      </w:r>
      <w:r>
        <w:rPr>
          <w:lang w:val="cs-CZ"/>
        </w:rPr>
        <w:t>.6</w:t>
      </w:r>
      <w:r>
        <w:rPr>
          <w:lang w:val="cs-CZ"/>
        </w:rPr>
        <w:fldChar w:fldCharType="begin"/>
      </w:r>
      <w:r>
        <w:instrText xml:space="preserve"> XE "</w:instrText>
      </w:r>
      <w:r>
        <w:rPr>
          <w:lang w:val="cs-CZ"/>
        </w:rPr>
        <w:instrText>Al-Fárábí:</w:instrText>
      </w:r>
      <w:r w:rsidRPr="00E743A5">
        <w:rPr>
          <w:i/>
          <w:szCs w:val="26"/>
          <w:lang w:val="cs-CZ"/>
        </w:rPr>
        <w:instrText xml:space="preserve">Die Antworten </w:instrText>
      </w:r>
      <w:r w:rsidRPr="00E743A5">
        <w:rPr>
          <w:i/>
        </w:rPr>
        <w:instrText xml:space="preserve">Alfārābī's </w:instrText>
      </w:r>
      <w:r w:rsidRPr="00E743A5">
        <w:rPr>
          <w:i/>
          <w:lang w:val="cs-CZ"/>
        </w:rPr>
        <w:instrText>auf einzelne vorgelegte Fragen</w:instrText>
      </w:r>
      <w:r w:rsidRPr="00E743A5">
        <w:instrText xml:space="preserve"> 146</w:instrText>
      </w:r>
      <w:r w:rsidRPr="00E743A5">
        <w:rPr>
          <w:lang w:val="cs-CZ"/>
        </w:rPr>
        <w:instrText>.23</w:instrText>
      </w:r>
      <w:r w:rsidRPr="00E743A5">
        <w:instrText>–147</w:instrText>
      </w:r>
      <w:r w:rsidRPr="00E743A5">
        <w:rPr>
          <w:lang w:val="cs-CZ"/>
        </w:rPr>
        <w:instrText>.6</w:instrText>
      </w:r>
      <w:r>
        <w:instrText xml:space="preserve">" </w:instrText>
      </w:r>
      <w:r>
        <w:rPr>
          <w:lang w:val="cs-CZ"/>
        </w:rPr>
        <w:fldChar w:fldCharType="end"/>
      </w:r>
      <w:r>
        <w:rPr>
          <w:szCs w:val="26"/>
        </w:rPr>
        <w:t>)</w:t>
      </w:r>
      <w:bookmarkEnd w:id="33"/>
    </w:p>
  </w:footnote>
  <w:footnote w:id="74">
    <w:p w14:paraId="077A7FB5" w14:textId="77777777" w:rsidR="00344048" w:rsidRPr="08411B1D" w:rsidRDefault="00344048">
      <w:pPr>
        <w:pStyle w:val="Textpoznpodarou"/>
        <w:rPr>
          <w:lang w:val="cs-CZ"/>
        </w:rPr>
      </w:pPr>
      <w:r>
        <w:rPr>
          <w:rStyle w:val="Znakapoznpodarou"/>
        </w:rPr>
        <w:footnoteRef/>
      </w:r>
      <w:r>
        <w:t xml:space="preserve"> </w:t>
      </w:r>
      <w:r>
        <w:rPr>
          <w:lang w:val="cs-CZ"/>
        </w:rPr>
        <w:t>„</w:t>
      </w:r>
      <w:r w:rsidRPr="00AA6AB5">
        <w:rPr>
          <w:lang w:val="cs-CZ"/>
        </w:rPr>
        <w:t>Therefore he had to give precedence to that inquiry in order to achieve a more perfect knowledge of natural things and complete the natural philosophy, and the political and human philosophy, whic</w:t>
      </w:r>
      <w:r>
        <w:rPr>
          <w:lang w:val="cs-CZ"/>
        </w:rPr>
        <w:t>h they lacked. Therefore Aristot</w:t>
      </w:r>
      <w:r w:rsidRPr="00AA6AB5">
        <w:rPr>
          <w:lang w:val="cs-CZ"/>
        </w:rPr>
        <w:t>e proceeded in a book that he called Metaphysics to inquire into, and to investigate, the beings in a manner different than natural inquiry.</w:t>
      </w:r>
      <w:r>
        <w:rPr>
          <w:lang w:val="cs-CZ"/>
        </w:rPr>
        <w:t>“ (</w:t>
      </w:r>
      <w:r>
        <w:rPr>
          <w:rStyle w:val="TextpoznpodarouChar"/>
          <w:i/>
        </w:rPr>
        <w:t xml:space="preserve">The </w:t>
      </w:r>
      <w:r>
        <w:rPr>
          <w:rStyle w:val="TextpoznpodarouChar"/>
          <w:i/>
          <w:lang w:val="cs-CZ"/>
        </w:rPr>
        <w:t>P</w:t>
      </w:r>
      <w:r w:rsidRPr="00482565">
        <w:rPr>
          <w:rStyle w:val="TextpoznpodarouChar"/>
          <w:i/>
        </w:rPr>
        <w:t xml:space="preserve">hilosophy of </w:t>
      </w:r>
      <w:r>
        <w:rPr>
          <w:rStyle w:val="TextpoznpodarouChar"/>
          <w:i/>
          <w:lang w:val="cs-CZ"/>
        </w:rPr>
        <w:t xml:space="preserve">Plato and </w:t>
      </w:r>
      <w:r w:rsidRPr="00482565">
        <w:rPr>
          <w:rStyle w:val="TextpoznpodarouChar"/>
          <w:i/>
        </w:rPr>
        <w:t>Aristotle</w:t>
      </w:r>
      <w:r>
        <w:rPr>
          <w:rStyle w:val="TextpoznpodarouChar"/>
        </w:rPr>
        <w:t xml:space="preserve"> III.1</w:t>
      </w:r>
      <w:r>
        <w:rPr>
          <w:rStyle w:val="TextpoznpodarouChar"/>
          <w:lang w:val="cs-CZ"/>
        </w:rPr>
        <w:t>9</w:t>
      </w:r>
      <w:r>
        <w:rPr>
          <w:rStyle w:val="TextpoznpodarouChar"/>
        </w:rPr>
        <w:t>; trad. Muhsin</w:t>
      </w:r>
      <w:r>
        <w:rPr>
          <w:rStyle w:val="TextpoznpodarouChar"/>
          <w:lang w:val="cs-CZ"/>
        </w:rPr>
        <w:t xml:space="preserve"> 1962, 130.23</w:t>
      </w:r>
      <w:r>
        <w:rPr>
          <w:rStyle w:val="TextpoznpodarouChar"/>
        </w:rPr>
        <w:t>–</w:t>
      </w:r>
      <w:r>
        <w:rPr>
          <w:rStyle w:val="TextpoznpodarouChar"/>
          <w:lang w:val="cs-CZ"/>
        </w:rPr>
        <w:t>35</w:t>
      </w:r>
      <w:r>
        <w:rPr>
          <w:rStyle w:val="TextpoznpodarouChar"/>
        </w:rPr>
        <w:fldChar w:fldCharType="begin"/>
      </w:r>
      <w:r>
        <w:instrText xml:space="preserve"> XE "</w:instrText>
      </w:r>
      <w:r>
        <w:rPr>
          <w:lang w:val="cs-CZ"/>
        </w:rPr>
        <w:instrText>Al-Fárábí:</w:instrText>
      </w:r>
      <w:r w:rsidRPr="00482565">
        <w:rPr>
          <w:rStyle w:val="TextpoznpodarouChar"/>
          <w:i/>
        </w:rPr>
        <w:instrText xml:space="preserve">The philosophy of </w:instrText>
      </w:r>
      <w:r>
        <w:rPr>
          <w:rStyle w:val="TextpoznpodarouChar"/>
          <w:i/>
          <w:lang w:val="cs-CZ"/>
        </w:rPr>
        <w:instrText xml:space="preserve">Plato and </w:instrText>
      </w:r>
      <w:r w:rsidRPr="00482565">
        <w:rPr>
          <w:rStyle w:val="TextpoznpodarouChar"/>
          <w:i/>
        </w:rPr>
        <w:instrText>Aristotle</w:instrText>
      </w:r>
      <w:r>
        <w:rPr>
          <w:i/>
          <w:lang w:val="cs-CZ"/>
        </w:rPr>
        <w:instrText xml:space="preserve"> </w:instrText>
      </w:r>
      <w:r>
        <w:rPr>
          <w:lang w:val="cs-CZ"/>
        </w:rPr>
        <w:instrText>130.2</w:instrText>
      </w:r>
      <w:r w:rsidRPr="00257D2F">
        <w:rPr>
          <w:lang w:val="cs-CZ"/>
        </w:rPr>
        <w:instrText>3</w:instrText>
      </w:r>
      <w:r w:rsidRPr="00257D2F">
        <w:rPr>
          <w:rStyle w:val="TextpoznpodarouChar"/>
        </w:rPr>
        <w:instrText>–</w:instrText>
      </w:r>
      <w:r>
        <w:rPr>
          <w:rStyle w:val="TextpoznpodarouChar"/>
          <w:lang w:val="cs-CZ"/>
        </w:rPr>
        <w:instrText>35</w:instrText>
      </w:r>
      <w:r>
        <w:instrText xml:space="preserve">" </w:instrText>
      </w:r>
      <w:r>
        <w:rPr>
          <w:rStyle w:val="TextpoznpodarouChar"/>
        </w:rPr>
        <w:fldChar w:fldCharType="end"/>
      </w:r>
      <w:r>
        <w:rPr>
          <w:rStyle w:val="TextpoznpodarouChar"/>
          <w:lang w:val="cs-CZ"/>
        </w:rPr>
        <w:t>)</w:t>
      </w:r>
    </w:p>
  </w:footnote>
  <w:footnote w:id="75">
    <w:p w14:paraId="0181EA18" w14:textId="77777777" w:rsidR="00344048" w:rsidRPr="00D4681D" w:rsidRDefault="00344048" w:rsidP="000C0336">
      <w:pPr>
        <w:pStyle w:val="Textpoznpodarou"/>
      </w:pPr>
      <w:r>
        <w:rPr>
          <w:rStyle w:val="Znakapoznpodarou"/>
        </w:rPr>
        <w:footnoteRef/>
      </w:r>
      <w:r w:rsidRPr="00D4681D">
        <w:t xml:space="preserve"> </w:t>
      </w:r>
      <w:r>
        <w:t xml:space="preserve">Současní exegeti </w:t>
      </w:r>
      <w:r w:rsidRPr="00D4681D">
        <w:rPr>
          <w:lang w:eastAsia="en-US"/>
        </w:rPr>
        <w:t>upozornili na fakt, že citované Al-</w:t>
      </w:r>
      <w:r>
        <w:rPr>
          <w:lang w:eastAsia="en-US"/>
        </w:rPr>
        <w:t>Fárábí</w:t>
      </w:r>
      <w:r w:rsidRPr="00D4681D">
        <w:rPr>
          <w:lang w:eastAsia="en-US"/>
        </w:rPr>
        <w:t>ho dílo o koherenci obou per</w:t>
      </w:r>
      <w:r>
        <w:rPr>
          <w:lang w:eastAsia="en-US"/>
        </w:rPr>
        <w:t>ipatetických filosofů (Dieteric</w:t>
      </w:r>
      <w:r w:rsidRPr="00D4681D">
        <w:rPr>
          <w:lang w:eastAsia="en-US"/>
        </w:rPr>
        <w:t xml:space="preserve">i, </w:t>
      </w:r>
      <w:r>
        <w:rPr>
          <w:lang w:val="cs-CZ" w:eastAsia="en-US"/>
        </w:rPr>
        <w:t xml:space="preserve">op. cit., </w:t>
      </w:r>
      <w:r w:rsidRPr="00D4681D">
        <w:rPr>
          <w:lang w:eastAsia="en-US"/>
        </w:rPr>
        <w:t xml:space="preserve">kap. I) pracuje se scénářem emanace, ale nikoliv </w:t>
      </w:r>
      <w:r>
        <w:rPr>
          <w:lang w:val="cs-CZ" w:eastAsia="en-US"/>
        </w:rPr>
        <w:t xml:space="preserve">jeho </w:t>
      </w:r>
      <w:r w:rsidRPr="00D4681D">
        <w:rPr>
          <w:lang w:eastAsia="en-US"/>
        </w:rPr>
        <w:t>výklad Aristotelovy filo</w:t>
      </w:r>
      <w:r>
        <w:rPr>
          <w:lang w:eastAsia="en-US"/>
        </w:rPr>
        <w:t xml:space="preserve">sofie (Dieterici, </w:t>
      </w:r>
      <w:r>
        <w:rPr>
          <w:lang w:val="cs-CZ" w:eastAsia="en-US"/>
        </w:rPr>
        <w:t xml:space="preserve">op. cit., </w:t>
      </w:r>
      <w:r>
        <w:rPr>
          <w:lang w:eastAsia="en-US"/>
        </w:rPr>
        <w:t>kap. II). Al</w:t>
      </w:r>
      <w:r>
        <w:rPr>
          <w:lang w:val="cs-CZ" w:eastAsia="en-US"/>
        </w:rPr>
        <w:noBreakHyphen/>
      </w:r>
      <w:r>
        <w:rPr>
          <w:lang w:eastAsia="en-US"/>
        </w:rPr>
        <w:t xml:space="preserve">Fárábí </w:t>
      </w:r>
      <w:r w:rsidRPr="00D4681D">
        <w:rPr>
          <w:lang w:eastAsia="en-US"/>
        </w:rPr>
        <w:t xml:space="preserve">nemohl přehlédnout Aristotelovu radikální kritiku </w:t>
      </w:r>
      <w:r>
        <w:rPr>
          <w:lang w:eastAsia="en-US"/>
        </w:rPr>
        <w:t>Platon</w:t>
      </w:r>
      <w:r w:rsidRPr="00D4681D">
        <w:rPr>
          <w:lang w:eastAsia="en-US"/>
        </w:rPr>
        <w:t xml:space="preserve">ových </w:t>
      </w:r>
      <w:r>
        <w:rPr>
          <w:lang w:eastAsia="en-US"/>
        </w:rPr>
        <w:t xml:space="preserve">idejí, a proto měl pochybnosti o aristotelském původu knihy </w:t>
      </w:r>
      <w:r w:rsidRPr="00D4681D">
        <w:rPr>
          <w:i/>
          <w:lang w:eastAsia="en-US"/>
        </w:rPr>
        <w:t>Theologia Aristotelis</w:t>
      </w:r>
      <w:r>
        <w:rPr>
          <w:lang w:eastAsia="en-US"/>
        </w:rPr>
        <w:t xml:space="preserve"> (</w:t>
      </w:r>
      <w:r>
        <w:rPr>
          <w:lang w:val="cs-CZ" w:eastAsia="en-US"/>
        </w:rPr>
        <w:t xml:space="preserve">viz </w:t>
      </w:r>
      <w:r>
        <w:rPr>
          <w:lang w:eastAsia="en-US"/>
        </w:rPr>
        <w:t xml:space="preserve">Galston 1977). </w:t>
      </w:r>
    </w:p>
  </w:footnote>
  <w:footnote w:id="76">
    <w:p w14:paraId="6FFE5C0E" w14:textId="77777777" w:rsidR="00344048" w:rsidRPr="001D0DAC" w:rsidRDefault="00344048" w:rsidP="00C80FB1">
      <w:pPr>
        <w:pStyle w:val="Textpoznpodarou"/>
        <w:rPr>
          <w:rStyle w:val="TextpoznpodarouChar"/>
        </w:rPr>
      </w:pPr>
      <w:r>
        <w:rPr>
          <w:rStyle w:val="Znakapoznpodarou"/>
        </w:rPr>
        <w:footnoteRef/>
      </w:r>
      <w:r w:rsidRPr="00053FC0">
        <w:rPr>
          <w:lang w:val="fr-FR"/>
        </w:rPr>
        <w:t xml:space="preserve"> </w:t>
      </w:r>
      <w:r w:rsidRPr="00053FC0">
        <w:rPr>
          <w:rStyle w:val="TextpoznpodarouChar"/>
          <w:lang w:val="fr-FR"/>
        </w:rPr>
        <w:t xml:space="preserve">„Dico quod substantia superior, postquam mentionem fecimus de illa et consideravimus eius essentiam, induxit nos ad inquirendum de illa et de eius massa.“ </w:t>
      </w:r>
      <w:r w:rsidRPr="001E646A">
        <w:rPr>
          <w:rStyle w:val="TextpoznpodarouChar"/>
          <w:lang w:val="en-US"/>
        </w:rPr>
        <w:t>(</w:t>
      </w:r>
      <w:r w:rsidRPr="001E646A">
        <w:rPr>
          <w:rStyle w:val="TextpoznpodarouChar"/>
          <w:i/>
          <w:lang w:val="en-US"/>
        </w:rPr>
        <w:t>De ortu</w:t>
      </w:r>
      <w:r w:rsidRPr="001E646A">
        <w:rPr>
          <w:rStyle w:val="TextpoznpodarouChar"/>
          <w:lang w:val="en-US"/>
        </w:rPr>
        <w:t xml:space="preserve"> </w:t>
      </w:r>
      <w:r w:rsidRPr="008371F1">
        <w:rPr>
          <w:rStyle w:val="TextpoznpodarouChar"/>
          <w:i/>
          <w:lang w:val="en-US"/>
        </w:rPr>
        <w:t>scientiarum</w:t>
      </w:r>
      <w:r>
        <w:rPr>
          <w:rStyle w:val="TextpoznpodarouChar"/>
          <w:i/>
          <w:lang w:val="en-US"/>
        </w:rPr>
        <w:t xml:space="preserve"> </w:t>
      </w:r>
      <w:r>
        <w:rPr>
          <w:rStyle w:val="TextpoznpodarouChar"/>
          <w:lang w:val="en-US"/>
        </w:rPr>
        <w:t>I</w:t>
      </w:r>
      <w:r w:rsidRPr="001D34A4">
        <w:rPr>
          <w:rStyle w:val="TextpoznpodarouChar"/>
          <w:lang w:val="en-US"/>
        </w:rPr>
        <w:t>.6</w:t>
      </w:r>
      <w:r>
        <w:rPr>
          <w:rStyle w:val="TextpoznpodarouChar"/>
          <w:lang w:val="en-US"/>
        </w:rPr>
        <w:t xml:space="preserve">; </w:t>
      </w:r>
      <w:r w:rsidRPr="001E646A">
        <w:rPr>
          <w:rStyle w:val="TextpoznpodarouChar"/>
          <w:lang w:val="en-US"/>
        </w:rPr>
        <w:t>ed. Baeumker, p. 21</w:t>
      </w:r>
      <w:r>
        <w:rPr>
          <w:rStyle w:val="TextpoznpodarouChar"/>
          <w:lang w:val="en-US"/>
        </w:rPr>
        <w:t>.</w:t>
      </w:r>
      <w:r w:rsidRPr="001E646A">
        <w:rPr>
          <w:rStyle w:val="TextpoznpodarouChar"/>
          <w:lang w:val="en-US"/>
        </w:rPr>
        <w:t>15–17</w:t>
      </w:r>
      <w:r>
        <w:rPr>
          <w:rStyle w:val="TextpoznpodarouChar"/>
          <w:lang w:val="en-US"/>
        </w:rPr>
        <w:fldChar w:fldCharType="begin"/>
      </w:r>
      <w:r>
        <w:instrText xml:space="preserve"> XE "</w:instrText>
      </w:r>
      <w:r>
        <w:rPr>
          <w:lang w:val="cs-CZ"/>
        </w:rPr>
        <w:instrText>Al-Fárábí:</w:instrText>
      </w:r>
      <w:r w:rsidRPr="00AD4FAD">
        <w:rPr>
          <w:rStyle w:val="TextpoznpodarouChar"/>
          <w:i/>
          <w:lang w:val="en-US"/>
        </w:rPr>
        <w:instrText>De ortu</w:instrText>
      </w:r>
      <w:r>
        <w:rPr>
          <w:rStyle w:val="TextpoznpodarouChar"/>
          <w:lang w:val="en-US"/>
        </w:rPr>
        <w:instrText xml:space="preserve"> </w:instrText>
      </w:r>
      <w:r w:rsidRPr="008371F1">
        <w:rPr>
          <w:rStyle w:val="TextpoznpodarouChar"/>
          <w:i/>
          <w:lang w:val="en-US"/>
        </w:rPr>
        <w:instrText>scientiarum</w:instrText>
      </w:r>
      <w:r>
        <w:rPr>
          <w:rStyle w:val="TextpoznpodarouChar"/>
          <w:lang w:val="en-US"/>
        </w:rPr>
        <w:instrText xml:space="preserve"> 21</w:instrText>
      </w:r>
      <w:r w:rsidRPr="00AD4FAD">
        <w:rPr>
          <w:rStyle w:val="TextpoznpodarouChar"/>
          <w:lang w:val="en-US"/>
        </w:rPr>
        <w:instrText>.15–17</w:instrText>
      </w:r>
      <w:r>
        <w:instrText xml:space="preserve">" </w:instrText>
      </w:r>
      <w:r>
        <w:rPr>
          <w:rStyle w:val="TextpoznpodarouChar"/>
          <w:lang w:val="en-US"/>
        </w:rPr>
        <w:fldChar w:fldCharType="end"/>
      </w:r>
      <w:r w:rsidRPr="001E646A">
        <w:rPr>
          <w:rStyle w:val="TextpoznpodarouChar"/>
          <w:lang w:val="en-US"/>
        </w:rPr>
        <w:t>)</w:t>
      </w:r>
    </w:p>
  </w:footnote>
  <w:footnote w:id="77">
    <w:p w14:paraId="0C1E6DEA" w14:textId="77777777" w:rsidR="00344048" w:rsidRPr="00E35602" w:rsidRDefault="00344048" w:rsidP="00282208">
      <w:pPr>
        <w:pStyle w:val="Textpoznpodarou"/>
      </w:pPr>
      <w:r>
        <w:rPr>
          <w:rStyle w:val="Znakapoznpodarou"/>
        </w:rPr>
        <w:footnoteRef/>
      </w:r>
      <w:r>
        <w:t xml:space="preserve"> </w:t>
      </w:r>
      <w:r w:rsidRPr="00265843">
        <w:t xml:space="preserve">„He paraphrases being </w:t>
      </w:r>
      <w:r w:rsidRPr="00BC1FB6">
        <w:t>per se</w:t>
      </w:r>
      <w:r w:rsidRPr="00265843">
        <w:t xml:space="preserve"> as </w:t>
      </w:r>
      <w:r>
        <w:t>'</w:t>
      </w:r>
      <w:r w:rsidRPr="00265843">
        <w:t>being circumscribed [</w:t>
      </w:r>
      <w:r w:rsidRPr="00265843">
        <w:rPr>
          <w:i/>
        </w:rPr>
        <w:t>munḥāz</w:t>
      </w:r>
      <w:r w:rsidRPr="00265843">
        <w:t>] by some quiddity outside the soul, whether it has been represented [</w:t>
      </w:r>
      <w:r w:rsidRPr="00265843">
        <w:rPr>
          <w:i/>
        </w:rPr>
        <w:t>tuṣawwira</w:t>
      </w:r>
      <w:r w:rsidRPr="00265843">
        <w:t xml:space="preserve">] in the soul or has not </w:t>
      </w:r>
      <w:r>
        <w:t>been represented' (</w:t>
      </w:r>
      <w:r w:rsidRPr="00265843">
        <w:t>I,88, p. 116</w:t>
      </w:r>
      <w:r>
        <w:t>,7</w:t>
      </w:r>
      <w:r>
        <w:fldChar w:fldCharType="begin"/>
      </w:r>
      <w:r>
        <w:instrText xml:space="preserve"> XE "</w:instrText>
      </w:r>
      <w:r>
        <w:rPr>
          <w:lang w:val="cs-CZ"/>
        </w:rPr>
        <w:instrText>Al-Fárábí:</w:instrText>
      </w:r>
      <w:r>
        <w:rPr>
          <w:i/>
        </w:rPr>
        <w:instrText>Kitāb al</w:instrText>
      </w:r>
      <w:r>
        <w:rPr>
          <w:i/>
          <w:lang w:val="cs-CZ"/>
        </w:rPr>
        <w:instrText>-</w:instrText>
      </w:r>
      <w:r w:rsidRPr="00442ABA">
        <w:rPr>
          <w:i/>
        </w:rPr>
        <w:instrText>Ḥurūf</w:instrText>
      </w:r>
      <w:r>
        <w:rPr>
          <w:lang w:val="cs-CZ"/>
        </w:rPr>
        <w:instrText xml:space="preserve"> </w:instrText>
      </w:r>
      <w:r w:rsidRPr="00265843">
        <w:instrText>116</w:instrText>
      </w:r>
      <w:r>
        <w:rPr>
          <w:lang w:val="cs-CZ"/>
        </w:rPr>
        <w:instrText>.</w:instrText>
      </w:r>
      <w:r>
        <w:instrText xml:space="preserve">7" </w:instrText>
      </w:r>
      <w:r>
        <w:fldChar w:fldCharType="end"/>
      </w:r>
      <w:r>
        <w:t>), and being-as-the-true as '</w:t>
      </w:r>
      <w:r w:rsidRPr="00265843">
        <w:t>being outside the soul and being by itself [</w:t>
      </w:r>
      <w:r w:rsidRPr="00265843">
        <w:rPr>
          <w:i/>
        </w:rPr>
        <w:t>bi-‘aynihi</w:t>
      </w:r>
      <w:r>
        <w:t xml:space="preserve">] as it is in the soul' </w:t>
      </w:r>
      <w:r w:rsidRPr="00265843">
        <w:t>(I,88, p. 116,5</w:t>
      </w:r>
      <w:r>
        <w:fldChar w:fldCharType="begin"/>
      </w:r>
      <w:r>
        <w:instrText xml:space="preserve"> XE "</w:instrText>
      </w:r>
      <w:r>
        <w:rPr>
          <w:lang w:val="cs-CZ"/>
        </w:rPr>
        <w:instrText>Al-Fárábí:</w:instrText>
      </w:r>
      <w:r>
        <w:rPr>
          <w:i/>
        </w:rPr>
        <w:instrText>Kitāb al</w:instrText>
      </w:r>
      <w:r>
        <w:rPr>
          <w:i/>
          <w:lang w:val="cs-CZ"/>
        </w:rPr>
        <w:instrText>-</w:instrText>
      </w:r>
      <w:r w:rsidRPr="00442ABA">
        <w:rPr>
          <w:i/>
        </w:rPr>
        <w:instrText>Ḥurūf</w:instrText>
      </w:r>
      <w:r>
        <w:rPr>
          <w:lang w:val="cs-CZ"/>
        </w:rPr>
        <w:instrText xml:space="preserve"> </w:instrText>
      </w:r>
      <w:r w:rsidRPr="00265843">
        <w:instrText>116</w:instrText>
      </w:r>
      <w:r>
        <w:rPr>
          <w:lang w:val="cs-CZ"/>
        </w:rPr>
        <w:instrText>.5</w:instrText>
      </w:r>
      <w:r>
        <w:instrText xml:space="preserve">" </w:instrText>
      </w:r>
      <w:r>
        <w:fldChar w:fldCharType="end"/>
      </w:r>
      <w:r w:rsidRPr="00265843">
        <w:t>).</w:t>
      </w:r>
      <w:r>
        <w:t>“ (Menn 2008, 78)</w:t>
      </w:r>
    </w:p>
  </w:footnote>
  <w:footnote w:id="78">
    <w:p w14:paraId="066B6D86" w14:textId="77777777" w:rsidR="00344048" w:rsidRPr="006A0630" w:rsidRDefault="00344048" w:rsidP="0859643F">
      <w:pPr>
        <w:pStyle w:val="Textpoznpodarou"/>
        <w:rPr>
          <w:szCs w:val="28"/>
        </w:rPr>
      </w:pPr>
      <w:r>
        <w:rPr>
          <w:rStyle w:val="Znakapoznpodarou"/>
        </w:rPr>
        <w:footnoteRef/>
      </w:r>
      <w:r>
        <w:t xml:space="preserve"> </w:t>
      </w:r>
      <w:r>
        <w:rPr>
          <w:lang w:val="cs-CZ"/>
        </w:rPr>
        <w:t>K</w:t>
      </w:r>
      <w:r w:rsidRPr="006A0630">
        <w:t xml:space="preserve">ompilace Plotínových </w:t>
      </w:r>
      <w:r w:rsidRPr="00A9318B">
        <w:rPr>
          <w:i/>
        </w:rPr>
        <w:t>Enneád</w:t>
      </w:r>
      <w:r w:rsidRPr="006A0630">
        <w:t xml:space="preserve"> IV, V, VI a interpretace Aristotela od Alexandra Afrodisia existovala pravděpodobně v syrštině a byla přeložena do arabštiny na začátku 9. století pod názvy </w:t>
      </w:r>
      <w:r w:rsidRPr="006A0630">
        <w:rPr>
          <w:i/>
        </w:rPr>
        <w:t>Uthulugia Aristutālīs</w:t>
      </w:r>
      <w:r w:rsidRPr="006A0630">
        <w:t xml:space="preserve"> (</w:t>
      </w:r>
      <w:r w:rsidRPr="009D0011">
        <w:rPr>
          <w:i/>
        </w:rPr>
        <w:t>Theology of Aristotle</w:t>
      </w:r>
      <w:r>
        <w:rPr>
          <w:i/>
        </w:rPr>
        <w:fldChar w:fldCharType="begin"/>
      </w:r>
      <w:r>
        <w:instrText xml:space="preserve"> XE "</w:instrText>
      </w:r>
      <w:r w:rsidRPr="0057246B">
        <w:rPr>
          <w:i/>
        </w:rPr>
        <w:instrText>Theology of Aristotle</w:instrText>
      </w:r>
      <w:r>
        <w:instrText xml:space="preserve">" </w:instrText>
      </w:r>
      <w:r>
        <w:rPr>
          <w:i/>
        </w:rPr>
        <w:fldChar w:fldCharType="end"/>
      </w:r>
      <w:r w:rsidRPr="006A0630">
        <w:t xml:space="preserve">) a </w:t>
      </w:r>
      <w:r w:rsidRPr="006E7387">
        <w:rPr>
          <w:i/>
        </w:rPr>
        <w:t>Kitāb al-Rubūbiyah</w:t>
      </w:r>
      <w:r w:rsidRPr="006A0630">
        <w:t xml:space="preserve"> (</w:t>
      </w:r>
      <w:r w:rsidRPr="006A0630">
        <w:rPr>
          <w:i/>
        </w:rPr>
        <w:t>Book of Divinity</w:t>
      </w:r>
      <w:r>
        <w:rPr>
          <w:i/>
        </w:rPr>
        <w:fldChar w:fldCharType="begin"/>
      </w:r>
      <w:r>
        <w:instrText xml:space="preserve"> XE "</w:instrText>
      </w:r>
      <w:r w:rsidRPr="00917A58">
        <w:rPr>
          <w:i/>
        </w:rPr>
        <w:instrText>Book of Divinity</w:instrText>
      </w:r>
      <w:r>
        <w:instrText xml:space="preserve">" </w:instrText>
      </w:r>
      <w:r>
        <w:rPr>
          <w:i/>
        </w:rPr>
        <w:fldChar w:fldCharType="end"/>
      </w:r>
      <w:r w:rsidRPr="006A0630">
        <w:t>)</w:t>
      </w:r>
      <w:r>
        <w:rPr>
          <w:lang w:val="cs-CZ"/>
        </w:rPr>
        <w:t>, v</w:t>
      </w:r>
      <w:r>
        <w:t xml:space="preserve">iz </w:t>
      </w:r>
      <w:r w:rsidRPr="085264E8">
        <w:t xml:space="preserve">Zimmermann 1986. </w:t>
      </w:r>
    </w:p>
  </w:footnote>
  <w:footnote w:id="79">
    <w:p w14:paraId="6255540B" w14:textId="77777777" w:rsidR="00344048" w:rsidRPr="008431AB" w:rsidRDefault="00344048" w:rsidP="00666DA8">
      <w:pPr>
        <w:pStyle w:val="Textpoznpodarou"/>
        <w:rPr>
          <w:lang w:val="cs-CZ"/>
        </w:rPr>
      </w:pPr>
      <w:r>
        <w:rPr>
          <w:rStyle w:val="Znakapoznpodarou"/>
        </w:rPr>
        <w:footnoteRef/>
      </w:r>
      <w:r w:rsidRPr="00217540">
        <w:t xml:space="preserve"> </w:t>
      </w:r>
      <w:r>
        <w:rPr>
          <w:rStyle w:val="Zvraznn"/>
          <w:i w:val="0"/>
          <w:lang w:val="cs-CZ"/>
        </w:rPr>
        <w:t>„The fact that Fārābī</w:t>
      </w:r>
      <w:r w:rsidRPr="008431AB">
        <w:rPr>
          <w:rStyle w:val="Zvraznn"/>
          <w:i w:val="0"/>
          <w:lang w:val="cs-CZ"/>
        </w:rPr>
        <w:t xml:space="preserve"> has exposed all of these errors of Avicenna before Avicenna made them makes his exposure all the mor</w:t>
      </w:r>
      <w:r>
        <w:rPr>
          <w:rStyle w:val="Zvraznn"/>
          <w:i w:val="0"/>
          <w:lang w:val="cs-CZ"/>
        </w:rPr>
        <w:t>e persuasive: this shows (so Ave</w:t>
      </w:r>
      <w:r w:rsidRPr="008431AB">
        <w:rPr>
          <w:rStyle w:val="Zvraznn"/>
          <w:i w:val="0"/>
          <w:lang w:val="cs-CZ"/>
        </w:rPr>
        <w:t>rr</w:t>
      </w:r>
      <w:r>
        <w:rPr>
          <w:rStyle w:val="Zvraznn"/>
          <w:i w:val="0"/>
          <w:lang w:val="cs-CZ"/>
        </w:rPr>
        <w:t>oes can say) that what Averroes</w:t>
      </w:r>
      <w:r w:rsidRPr="008431AB">
        <w:rPr>
          <w:rStyle w:val="Zvraznn"/>
          <w:i w:val="0"/>
          <w:lang w:val="cs-CZ"/>
        </w:rPr>
        <w:t xml:space="preserve"> is taking from </w:t>
      </w:r>
      <w:r>
        <w:rPr>
          <w:rStyle w:val="Zvraznn"/>
          <w:i w:val="0"/>
          <w:lang w:val="cs-CZ"/>
        </w:rPr>
        <w:t>Fārābī</w:t>
      </w:r>
      <w:r w:rsidRPr="008431AB">
        <w:rPr>
          <w:rStyle w:val="Zvraznn"/>
          <w:i w:val="0"/>
          <w:lang w:val="cs-CZ"/>
        </w:rPr>
        <w:t xml:space="preserve"> is</w:t>
      </w:r>
      <w:r>
        <w:rPr>
          <w:rStyle w:val="Zvraznn"/>
          <w:i w:val="0"/>
          <w:lang w:val="cs-CZ"/>
        </w:rPr>
        <w:t xml:space="preserve"> not an </w:t>
      </w:r>
      <w:r w:rsidRPr="008431AB">
        <w:rPr>
          <w:rStyle w:val="Zvraznn"/>
          <w:lang w:val="cs-CZ"/>
        </w:rPr>
        <w:t>ad hoc</w:t>
      </w:r>
      <w:r>
        <w:rPr>
          <w:rStyle w:val="Zvraznn"/>
          <w:i w:val="0"/>
          <w:lang w:val="cs-CZ"/>
        </w:rPr>
        <w:t xml:space="preserve"> response to Avice</w:t>
      </w:r>
      <w:r w:rsidRPr="008431AB">
        <w:rPr>
          <w:rStyle w:val="Zvraznn"/>
          <w:i w:val="0"/>
          <w:lang w:val="cs-CZ"/>
        </w:rPr>
        <w:t xml:space="preserve">nna, rather </w:t>
      </w:r>
      <w:r>
        <w:rPr>
          <w:rStyle w:val="Zvraznn"/>
          <w:i w:val="0"/>
          <w:lang w:val="cs-CZ"/>
        </w:rPr>
        <w:t>Fārābī</w:t>
      </w:r>
      <w:r w:rsidRPr="008431AB">
        <w:rPr>
          <w:rStyle w:val="Zvraznn"/>
          <w:i w:val="0"/>
          <w:lang w:val="cs-CZ"/>
        </w:rPr>
        <w:t xml:space="preserve"> is pointing to objectively misleading features of the situation, and notably of the Arabic translations of Greek philosophical texts, which make it understandable that ev</w:t>
      </w:r>
      <w:r>
        <w:rPr>
          <w:rStyle w:val="Zvraznn"/>
          <w:i w:val="0"/>
          <w:lang w:val="cs-CZ"/>
        </w:rPr>
        <w:t>en someone as brilliant as Avice</w:t>
      </w:r>
      <w:r w:rsidRPr="008431AB">
        <w:rPr>
          <w:rStyle w:val="Zvraznn"/>
          <w:i w:val="0"/>
          <w:lang w:val="cs-CZ"/>
        </w:rPr>
        <w:t>nna might be misled.</w:t>
      </w:r>
      <w:r>
        <w:rPr>
          <w:rStyle w:val="Zvraznn"/>
          <w:i w:val="0"/>
          <w:lang w:val="cs-CZ"/>
        </w:rPr>
        <w:t>“ (</w:t>
      </w:r>
      <w:r w:rsidRPr="00FB5FBA">
        <w:rPr>
          <w:rStyle w:val="Zvraznn"/>
          <w:i w:val="0"/>
        </w:rPr>
        <w:t>Menn 2012, 68</w:t>
      </w:r>
      <w:r>
        <w:rPr>
          <w:rStyle w:val="Zvraznn"/>
          <w:i w:val="0"/>
          <w:lang w:val="cs-CZ"/>
        </w:rPr>
        <w:t>)</w:t>
      </w:r>
    </w:p>
  </w:footnote>
  <w:footnote w:id="80">
    <w:p w14:paraId="6C408527" w14:textId="77777777" w:rsidR="00344048" w:rsidRPr="00E56ABA" w:rsidRDefault="00344048" w:rsidP="006E02D5">
      <w:pPr>
        <w:pStyle w:val="Textpoznpodarou"/>
        <w:rPr>
          <w:color w:val="000000"/>
          <w:lang w:val="en-US"/>
        </w:rPr>
      </w:pPr>
      <w:r>
        <w:rPr>
          <w:rStyle w:val="Znakapoznpodarou"/>
        </w:rPr>
        <w:footnoteRef/>
      </w:r>
      <w:r>
        <w:rPr>
          <w:lang w:val="cs-CZ"/>
        </w:rPr>
        <w:t xml:space="preserve"> </w:t>
      </w:r>
      <w:r>
        <w:t>„</w:t>
      </w:r>
      <w:r>
        <w:rPr>
          <w:color w:val="000000"/>
          <w:lang w:val="en-US"/>
        </w:rPr>
        <w:t xml:space="preserve">Applying the rule to intellect, Alexander finds that the transcendent active intellect, which is 'preeminently and by its own nature intelligible,' can 'with reason' be considered the 'cause of other things' intelligible thought (Alexander, </w:t>
      </w:r>
      <w:r w:rsidRPr="00B8641F">
        <w:rPr>
          <w:i/>
          <w:lang w:val="en-US"/>
        </w:rPr>
        <w:t>De anima</w:t>
      </w:r>
      <w:r w:rsidRPr="00B8641F">
        <w:rPr>
          <w:i/>
          <w:color w:val="000000"/>
          <w:lang w:val="en-US"/>
        </w:rPr>
        <w:t xml:space="preserve"> </w:t>
      </w:r>
      <w:r>
        <w:rPr>
          <w:color w:val="000000"/>
          <w:lang w:val="en-US"/>
        </w:rPr>
        <w:t>88‒89</w:t>
      </w:r>
      <w:r>
        <w:rPr>
          <w:szCs w:val="15"/>
        </w:rPr>
        <w:fldChar w:fldCharType="begin"/>
      </w:r>
      <w:r>
        <w:instrText xml:space="preserve"> XE "</w:instrText>
      </w:r>
      <w:r>
        <w:rPr>
          <w:lang w:val="cs-CZ"/>
        </w:rPr>
        <w:instrText>Alexander</w:instrText>
      </w:r>
      <w:r>
        <w:instrText xml:space="preserve"> Afrodisias</w:instrText>
      </w:r>
      <w:r>
        <w:rPr>
          <w:lang w:val="cs-CZ"/>
        </w:rPr>
        <w:instrText>:</w:instrText>
      </w:r>
      <w:r w:rsidRPr="009840A7">
        <w:rPr>
          <w:rStyle w:val="TextpoznpodarouChar"/>
          <w:i/>
        </w:rPr>
        <w:instrText>De anima liber cum Mantissa</w:instrText>
      </w:r>
      <w:r w:rsidRPr="08EB49C9">
        <w:rPr>
          <w:i/>
          <w:color w:val="000000"/>
          <w:lang w:val="en-US"/>
        </w:rPr>
        <w:instrText xml:space="preserve"> </w:instrText>
      </w:r>
      <w:r>
        <w:rPr>
          <w:color w:val="000000"/>
          <w:lang w:val="en-US"/>
        </w:rPr>
        <w:instrText>88‒89</w:instrText>
      </w:r>
      <w:r>
        <w:instrText xml:space="preserve">" </w:instrText>
      </w:r>
      <w:r>
        <w:rPr>
          <w:szCs w:val="15"/>
        </w:rPr>
        <w:fldChar w:fldCharType="end"/>
      </w:r>
      <w:r>
        <w:rPr>
          <w:color w:val="000000"/>
          <w:lang w:val="en-US"/>
        </w:rPr>
        <w:t xml:space="preserve">). In a word, the active intellect is known to be the cause of human thought not because it is found to do anything, but inasmuch as it is the being with the highest degree of intelligibility.” </w:t>
      </w:r>
      <w:r w:rsidRPr="0045423D">
        <w:rPr>
          <w:color w:val="000000"/>
          <w:lang w:val="en-US"/>
        </w:rPr>
        <w:t>(Davidson 1992, 21).</w:t>
      </w:r>
    </w:p>
  </w:footnote>
  <w:footnote w:id="81">
    <w:p w14:paraId="764DFA69" w14:textId="77777777" w:rsidR="00344048" w:rsidRPr="00893178" w:rsidRDefault="00344048" w:rsidP="003C395F">
      <w:pPr>
        <w:pStyle w:val="Textpoznpodarou"/>
        <w:rPr>
          <w:lang w:val="cs-CZ"/>
        </w:rPr>
      </w:pPr>
      <w:r>
        <w:rPr>
          <w:rStyle w:val="Znakapoznpodarou"/>
        </w:rPr>
        <w:footnoteRef/>
      </w:r>
      <w:r>
        <w:rPr>
          <w:rStyle w:val="TextpoznpodarouChar"/>
          <w:lang w:val="cs-CZ"/>
        </w:rPr>
        <w:t xml:space="preserve"> </w:t>
      </w:r>
      <w:r w:rsidRPr="00893178">
        <w:rPr>
          <w:rStyle w:val="TextpoznpodarouChar"/>
        </w:rPr>
        <w:t>„</w:t>
      </w:r>
      <w:r w:rsidRPr="00893178">
        <w:rPr>
          <w:rStyle w:val="TextpoznpodarouChar"/>
          <w:lang w:val="cs-CZ"/>
        </w:rPr>
        <w:t>But [material] intellect does not apprehend things that exist by means of body since it is neither a faculty of body</w:t>
      </w:r>
      <w:r w:rsidRPr="00893178">
        <w:rPr>
          <w:rStyle w:val="TextpoznpodarouChar"/>
        </w:rPr>
        <w:t xml:space="preserve"> (νοῦς οὔτε διὰ σώματος ἀντιλαμβανόμενος τῶν ὄντων, οὔτε σώματος δύναμις ὤν)</w:t>
      </w:r>
      <w:r w:rsidRPr="00893178">
        <w:rPr>
          <w:rStyle w:val="TextpoznpodarouChar"/>
          <w:lang w:val="cs-CZ"/>
        </w:rPr>
        <w:t>, nor is it affected, nor is it one of the things that exist totally in actuality, nor is it that which is potential as a particular thing</w:t>
      </w:r>
      <w:r>
        <w:rPr>
          <w:rStyle w:val="TextpoznpodarouChar"/>
          <w:lang w:val="cs-CZ"/>
        </w:rPr>
        <w:t xml:space="preserve"> (</w:t>
      </w:r>
      <w:r>
        <w:t>οὐδέ ἐστι τόδε τι τὸ δυνάμνον</w:t>
      </w:r>
      <w:r>
        <w:rPr>
          <w:rStyle w:val="TextpoznpodarouChar"/>
          <w:lang w:val="cs-CZ"/>
        </w:rPr>
        <w:t>)</w:t>
      </w:r>
      <w:r w:rsidRPr="00893178">
        <w:rPr>
          <w:rStyle w:val="TextpoznpodarouChar"/>
          <w:lang w:val="cs-CZ"/>
        </w:rPr>
        <w:t xml:space="preserve">, but </w:t>
      </w:r>
      <w:r w:rsidRPr="00FC4F81">
        <w:t>it is simply a capacity (ἔστιν δύναμίς τις ἁπλῶς) for a certain</w:t>
      </w:r>
      <w:r w:rsidRPr="00893178">
        <w:rPr>
          <w:rStyle w:val="TextpoznpodarouChar"/>
          <w:lang w:val="cs-CZ"/>
        </w:rPr>
        <w:t xml:space="preserve"> sort of entelechy and soul and a capacity of receiving forms and thoughts.</w:t>
      </w:r>
      <w:r w:rsidRPr="00893178">
        <w:rPr>
          <w:rStyle w:val="TextpoznpodarouChar"/>
        </w:rPr>
        <w:t>“ (</w:t>
      </w:r>
      <w:r w:rsidRPr="009840A7">
        <w:rPr>
          <w:rStyle w:val="TextpoznpodarouChar"/>
          <w:i/>
        </w:rPr>
        <w:t>De anima liber cum Mantissa</w:t>
      </w:r>
      <w:r w:rsidRPr="009840A7">
        <w:rPr>
          <w:rStyle w:val="TextpoznpodarouChar"/>
        </w:rPr>
        <w:t xml:space="preserve"> </w:t>
      </w:r>
      <w:r>
        <w:rPr>
          <w:rStyle w:val="TextpoznpodarouChar"/>
          <w:lang w:val="cs-CZ"/>
        </w:rPr>
        <w:t>[</w:t>
      </w:r>
      <w:r w:rsidRPr="00893178">
        <w:rPr>
          <w:rStyle w:val="TextpoznpodarouChar"/>
        </w:rPr>
        <w:t>De intellectu</w:t>
      </w:r>
      <w:r>
        <w:rPr>
          <w:rStyle w:val="TextpoznpodarouChar"/>
          <w:lang w:val="cs-CZ"/>
        </w:rPr>
        <w:t>] 107.15‒20</w:t>
      </w:r>
      <w:r>
        <w:rPr>
          <w:szCs w:val="15"/>
        </w:rPr>
        <w:fldChar w:fldCharType="begin"/>
      </w:r>
      <w:r>
        <w:instrText xml:space="preserve"> XE "</w:instrText>
      </w:r>
      <w:r>
        <w:rPr>
          <w:lang w:val="cs-CZ"/>
        </w:rPr>
        <w:instrText>Alexander</w:instrText>
      </w:r>
      <w:r>
        <w:instrText xml:space="preserve"> Afrodisias</w:instrText>
      </w:r>
      <w:r>
        <w:rPr>
          <w:lang w:val="cs-CZ"/>
        </w:rPr>
        <w:instrText>:</w:instrText>
      </w:r>
      <w:r w:rsidRPr="009840A7">
        <w:rPr>
          <w:rStyle w:val="TextpoznpodarouChar"/>
          <w:i/>
        </w:rPr>
        <w:instrText>De anima liber cum Mantissa</w:instrText>
      </w:r>
      <w:r w:rsidRPr="00F85828">
        <w:rPr>
          <w:i/>
          <w:color w:val="000000"/>
          <w:lang w:val="de-DE"/>
        </w:rPr>
        <w:instrText xml:space="preserve"> </w:instrText>
      </w:r>
      <w:r w:rsidRPr="00F85828">
        <w:rPr>
          <w:color w:val="000000"/>
          <w:lang w:val="de-DE"/>
        </w:rPr>
        <w:instrText>107.15‒20</w:instrText>
      </w:r>
      <w:r>
        <w:instrText xml:space="preserve">" </w:instrText>
      </w:r>
      <w:r>
        <w:rPr>
          <w:szCs w:val="15"/>
        </w:rPr>
        <w:fldChar w:fldCharType="end"/>
      </w:r>
      <w:r>
        <w:rPr>
          <w:rStyle w:val="TextpoznpodarouChar"/>
          <w:lang w:val="cs-CZ"/>
        </w:rPr>
        <w:t xml:space="preserve">; trad. Schroeder 1950, 47) </w:t>
      </w:r>
    </w:p>
  </w:footnote>
  <w:footnote w:id="82">
    <w:p w14:paraId="288C8E0D" w14:textId="77777777" w:rsidR="00344048" w:rsidRPr="00940A90" w:rsidRDefault="00344048" w:rsidP="00084503">
      <w:pPr>
        <w:pStyle w:val="Textpoznpodarou"/>
        <w:rPr>
          <w:lang w:val="cs-CZ"/>
        </w:rPr>
      </w:pPr>
      <w:r>
        <w:rPr>
          <w:rStyle w:val="Znakapoznpodarou"/>
        </w:rPr>
        <w:footnoteRef/>
      </w:r>
      <w:r>
        <w:t xml:space="preserve"> „</w:t>
      </w:r>
      <w:r w:rsidRPr="00047C76">
        <w:t xml:space="preserve">In dieser Weise muss man es sich klarmachen, wie die Formen des Vorhandenen in dieses Wesen, welches </w:t>
      </w:r>
      <w:r>
        <w:t>Aristoteles</w:t>
      </w:r>
      <w:r w:rsidRPr="00047C76">
        <w:t xml:space="preserve"> </w:t>
      </w:r>
      <w:r>
        <w:t>in seinem Buch ü</w:t>
      </w:r>
      <w:r w:rsidRPr="00047C76">
        <w:t>ber die Seele den potentiellen Intellect nennt, gelangen.“</w:t>
      </w:r>
      <w:r>
        <w:t xml:space="preserve"> (</w:t>
      </w:r>
      <w:r w:rsidRPr="00916F9D">
        <w:rPr>
          <w:i/>
          <w:lang w:val="cs-CZ"/>
        </w:rPr>
        <w:t>Über die Bedeutungen des Worts '</w:t>
      </w:r>
      <w:r>
        <w:rPr>
          <w:i/>
          <w:lang w:val="cs-CZ"/>
        </w:rPr>
        <w:t>Intellec</w:t>
      </w:r>
      <w:r w:rsidRPr="00916F9D">
        <w:rPr>
          <w:i/>
          <w:lang w:val="cs-CZ"/>
        </w:rPr>
        <w:t>t', 'Vernunft'</w:t>
      </w:r>
      <w:r>
        <w:rPr>
          <w:lang w:val="cs-CZ"/>
        </w:rPr>
        <w:t xml:space="preserve">; ed. </w:t>
      </w:r>
      <w:r>
        <w:t>Dieterici</w:t>
      </w:r>
      <w:r>
        <w:rPr>
          <w:lang w:val="cs-CZ"/>
        </w:rPr>
        <w:t>,</w:t>
      </w:r>
      <w:r>
        <w:t xml:space="preserve"> p. 68.4–7</w:t>
      </w:r>
      <w:r>
        <w:rPr>
          <w:i/>
        </w:rPr>
        <w:fldChar w:fldCharType="begin"/>
      </w:r>
      <w:r>
        <w:instrText xml:space="preserve"> XE "Al</w:instrText>
      </w:r>
      <w:r>
        <w:rPr>
          <w:lang w:val="cs-CZ"/>
        </w:rPr>
        <w:instrText>-</w:instrText>
      </w:r>
      <w:r>
        <w:instrText>Fárábí:</w:instrText>
      </w:r>
      <w:r w:rsidRPr="005F22E0">
        <w:rPr>
          <w:i/>
        </w:rPr>
        <w:instrText>De intellectu</w:instrText>
      </w:r>
      <w:r>
        <w:instrText xml:space="preserve"> </w:instrText>
      </w:r>
      <w:r>
        <w:rPr>
          <w:lang w:val="cs-CZ"/>
        </w:rPr>
        <w:instrText>68</w:instrText>
      </w:r>
      <w:r>
        <w:instrText>.</w:instrText>
      </w:r>
      <w:r>
        <w:rPr>
          <w:lang w:val="cs-CZ"/>
        </w:rPr>
        <w:instrText>4</w:instrText>
      </w:r>
      <w:r>
        <w:instrText>–</w:instrText>
      </w:r>
      <w:r>
        <w:rPr>
          <w:lang w:val="cs-CZ"/>
        </w:rPr>
        <w:instrText>7</w:instrText>
      </w:r>
      <w:r>
        <w:instrText xml:space="preserve">" </w:instrText>
      </w:r>
      <w:r>
        <w:rPr>
          <w:i/>
        </w:rPr>
        <w:fldChar w:fldCharType="end"/>
      </w:r>
      <w:r>
        <w:t>)</w:t>
      </w:r>
    </w:p>
  </w:footnote>
  <w:footnote w:id="83">
    <w:p w14:paraId="33323E99" w14:textId="77777777" w:rsidR="00344048" w:rsidRPr="089B00DD" w:rsidRDefault="00344048" w:rsidP="00470A50">
      <w:pPr>
        <w:pStyle w:val="Textpoznpodarou"/>
      </w:pPr>
      <w:r>
        <w:rPr>
          <w:rStyle w:val="Znakapoznpodarou"/>
        </w:rPr>
        <w:footnoteRef/>
      </w:r>
      <w:r>
        <w:t xml:space="preserve"> </w:t>
      </w:r>
      <w:r w:rsidRPr="008B66D4">
        <w:t>„</w:t>
      </w:r>
      <w:r>
        <w:rPr>
          <w:lang w:val="cs-CZ"/>
        </w:rPr>
        <w:t>S</w:t>
      </w:r>
      <w:r>
        <w:t>ecundum hoc exemplum oportet ut intelligas acquisicionem formarum eorum que sunt in illa essencia quam uocauit Aristoteles in libro de anima intellectum in potencia.</w:t>
      </w:r>
      <w:r w:rsidRPr="008B66D4">
        <w:t xml:space="preserve">“ </w:t>
      </w:r>
      <w:r w:rsidRPr="00084503">
        <w:t>(</w:t>
      </w:r>
      <w:r w:rsidRPr="00B8641F">
        <w:rPr>
          <w:i/>
        </w:rPr>
        <w:t xml:space="preserve">Liber Alpharabii </w:t>
      </w:r>
      <w:r w:rsidRPr="00B8641F">
        <w:rPr>
          <w:i/>
          <w:iCs/>
        </w:rPr>
        <w:t>De intellectu et intellecto</w:t>
      </w:r>
      <w:r w:rsidRPr="00084503">
        <w:t>, ed. Gilson,</w:t>
      </w:r>
      <w:r>
        <w:t xml:space="preserve"> p. 11</w:t>
      </w:r>
      <w:r>
        <w:rPr>
          <w:lang w:val="cs-CZ"/>
        </w:rPr>
        <w:t>8</w:t>
      </w:r>
      <w:r>
        <w:t>.110–</w:t>
      </w:r>
      <w:r w:rsidRPr="00084503">
        <w:t>12</w:t>
      </w:r>
      <w:r>
        <w:rPr>
          <w:i/>
        </w:rPr>
        <w:fldChar w:fldCharType="begin"/>
      </w:r>
      <w:r>
        <w:instrText xml:space="preserve"> XE "Al</w:instrText>
      </w:r>
      <w:r>
        <w:rPr>
          <w:lang w:val="cs-CZ"/>
        </w:rPr>
        <w:instrText>-</w:instrText>
      </w:r>
      <w:r>
        <w:instrText>Fárábí:</w:instrText>
      </w:r>
      <w:r w:rsidRPr="005F22E0">
        <w:rPr>
          <w:i/>
        </w:rPr>
        <w:instrText>De intellectu</w:instrText>
      </w:r>
      <w:r>
        <w:instrText xml:space="preserve"> </w:instrText>
      </w:r>
      <w:r>
        <w:rPr>
          <w:lang w:val="cs-CZ"/>
        </w:rPr>
        <w:instrText>118</w:instrText>
      </w:r>
      <w:r>
        <w:instrText>.</w:instrText>
      </w:r>
      <w:r>
        <w:rPr>
          <w:lang w:val="cs-CZ"/>
        </w:rPr>
        <w:instrText>110</w:instrText>
      </w:r>
      <w:r>
        <w:instrText>–</w:instrText>
      </w:r>
      <w:r>
        <w:rPr>
          <w:lang w:val="cs-CZ"/>
        </w:rPr>
        <w:instrText>12</w:instrText>
      </w:r>
      <w:r>
        <w:instrText xml:space="preserve">" </w:instrText>
      </w:r>
      <w:r>
        <w:rPr>
          <w:i/>
        </w:rPr>
        <w:fldChar w:fldCharType="end"/>
      </w:r>
      <w:r w:rsidRPr="00084503">
        <w:t>)</w:t>
      </w:r>
    </w:p>
  </w:footnote>
  <w:footnote w:id="84">
    <w:p w14:paraId="29983E10" w14:textId="77777777" w:rsidR="00344048" w:rsidRPr="00726ECD" w:rsidRDefault="00344048" w:rsidP="000D6640">
      <w:pPr>
        <w:pStyle w:val="Textpoznpodarou"/>
        <w:rPr>
          <w:lang w:val="cs-CZ"/>
        </w:rPr>
      </w:pPr>
      <w:r>
        <w:rPr>
          <w:rStyle w:val="Znakapoznpodarou"/>
        </w:rPr>
        <w:footnoteRef/>
      </w:r>
      <w:r>
        <w:t xml:space="preserve"> </w:t>
      </w:r>
      <w:r w:rsidRPr="001744D3">
        <w:t>„</w:t>
      </w:r>
      <w:r w:rsidRPr="001744D3">
        <w:rPr>
          <w:lang w:val="cs-CZ"/>
        </w:rPr>
        <w:t xml:space="preserve">For just as light, being productive of actual vision, is itself seen along with its concomitants [sc. illumined things] </w:t>
      </w:r>
      <w:r w:rsidRPr="001744D3">
        <w:t xml:space="preserve">(ποιητικὸν ὂν τῆς κατ' ἐνέργειαν ὄψεως) </w:t>
      </w:r>
      <w:r w:rsidRPr="001744D3">
        <w:rPr>
          <w:lang w:val="cs-CZ"/>
        </w:rPr>
        <w:t xml:space="preserve">and it is through it that colour [is </w:t>
      </w:r>
      <w:r w:rsidRPr="001744D3">
        <w:t>visible]</w:t>
      </w:r>
      <w:r>
        <w:rPr>
          <w:lang w:val="cs-CZ"/>
        </w:rPr>
        <w:t xml:space="preserve"> (</w:t>
      </w:r>
      <w:r>
        <w:t>αὐτὸ ὁρᾶται καὶ τὰ σὺν αὐτῷ</w:t>
      </w:r>
      <w:r>
        <w:rPr>
          <w:lang w:val="cs-CZ"/>
        </w:rPr>
        <w:t>)</w:t>
      </w:r>
      <w:r w:rsidRPr="001744D3">
        <w:t xml:space="preserve">, so also the intellect </w:t>
      </w:r>
      <w:r w:rsidRPr="001744D3">
        <w:rPr>
          <w:lang w:val="cs-CZ"/>
        </w:rPr>
        <w:t xml:space="preserve">from without </w:t>
      </w:r>
      <w:r>
        <w:rPr>
          <w:lang w:val="cs-CZ"/>
        </w:rPr>
        <w:t>(</w:t>
      </w:r>
      <w:r>
        <w:t>ὁ θύραθεν νοῦς</w:t>
      </w:r>
      <w:r>
        <w:rPr>
          <w:lang w:val="cs-CZ"/>
        </w:rPr>
        <w:t xml:space="preserve">) </w:t>
      </w:r>
      <w:r w:rsidRPr="001744D3">
        <w:rPr>
          <w:lang w:val="cs-CZ"/>
        </w:rPr>
        <w:t>becomes the cause of thinking for us</w:t>
      </w:r>
      <w:r>
        <w:rPr>
          <w:lang w:val="cs-CZ"/>
        </w:rPr>
        <w:t xml:space="preserve"> (</w:t>
      </w:r>
      <w:r>
        <w:t>αἴτιος γίνεται τοῦ νοεῖν ἡμῖν</w:t>
      </w:r>
      <w:r>
        <w:rPr>
          <w:lang w:val="cs-CZ"/>
        </w:rPr>
        <w:t>)</w:t>
      </w:r>
      <w:r w:rsidRPr="001744D3">
        <w:rPr>
          <w:lang w:val="cs-CZ"/>
        </w:rPr>
        <w:t>, when it is itself thought [by us], not by</w:t>
      </w:r>
      <w:r w:rsidRPr="00726ECD">
        <w:rPr>
          <w:lang w:val="cs-CZ"/>
        </w:rPr>
        <w:t xml:space="preserve"> producing intellect itself but by, through its own nature, completing the intellect that exists and bringing it to its proper [activities].</w:t>
      </w:r>
      <w:r>
        <w:rPr>
          <w:lang w:val="cs-CZ"/>
        </w:rPr>
        <w:t xml:space="preserve">“ </w:t>
      </w:r>
      <w:r w:rsidRPr="00893178">
        <w:rPr>
          <w:rStyle w:val="TextpoznpodarouChar"/>
        </w:rPr>
        <w:t>(</w:t>
      </w:r>
      <w:r w:rsidRPr="009840A7">
        <w:rPr>
          <w:rStyle w:val="TextpoznpodarouChar"/>
          <w:i/>
        </w:rPr>
        <w:t>De anima liber cum Mantissa</w:t>
      </w:r>
      <w:r w:rsidRPr="009840A7">
        <w:rPr>
          <w:rStyle w:val="TextpoznpodarouChar"/>
        </w:rPr>
        <w:t xml:space="preserve"> </w:t>
      </w:r>
      <w:r>
        <w:rPr>
          <w:rStyle w:val="TextpoznpodarouChar"/>
          <w:lang w:val="cs-CZ"/>
        </w:rPr>
        <w:t>[</w:t>
      </w:r>
      <w:r w:rsidRPr="00AE33D9">
        <w:rPr>
          <w:rStyle w:val="TextpoznpodarouChar"/>
          <w:i/>
        </w:rPr>
        <w:t>De intellectu</w:t>
      </w:r>
      <w:r>
        <w:rPr>
          <w:rStyle w:val="TextpoznpodarouChar"/>
          <w:lang w:val="cs-CZ"/>
        </w:rPr>
        <w:t>] 111.32‒36</w:t>
      </w:r>
      <w:r>
        <w:rPr>
          <w:szCs w:val="15"/>
        </w:rPr>
        <w:fldChar w:fldCharType="begin"/>
      </w:r>
      <w:r>
        <w:instrText xml:space="preserve"> XE "</w:instrText>
      </w:r>
      <w:r>
        <w:rPr>
          <w:lang w:val="cs-CZ"/>
        </w:rPr>
        <w:instrText>Alexander</w:instrText>
      </w:r>
      <w:r>
        <w:instrText xml:space="preserve"> Afrodisias</w:instrText>
      </w:r>
      <w:r>
        <w:rPr>
          <w:lang w:val="cs-CZ"/>
        </w:rPr>
        <w:instrText>:</w:instrText>
      </w:r>
      <w:r w:rsidRPr="009840A7">
        <w:rPr>
          <w:rStyle w:val="TextpoznpodarouChar"/>
          <w:i/>
        </w:rPr>
        <w:instrText>De anima liber cum Mantissa</w:instrText>
      </w:r>
      <w:r w:rsidRPr="08EB49C9">
        <w:rPr>
          <w:i/>
          <w:color w:val="000000"/>
          <w:lang w:val="cs-CZ"/>
        </w:rPr>
        <w:instrText xml:space="preserve"> </w:instrText>
      </w:r>
      <w:r>
        <w:rPr>
          <w:color w:val="000000"/>
        </w:rPr>
        <w:instrText>111</w:instrText>
      </w:r>
      <w:r w:rsidRPr="08EB49C9">
        <w:rPr>
          <w:color w:val="000000"/>
          <w:lang w:val="cs-CZ"/>
        </w:rPr>
        <w:instrText>.</w:instrText>
      </w:r>
      <w:r>
        <w:rPr>
          <w:color w:val="000000"/>
        </w:rPr>
        <w:instrText>32‒</w:instrText>
      </w:r>
      <w:r>
        <w:rPr>
          <w:color w:val="000000"/>
          <w:lang w:val="cs-CZ"/>
        </w:rPr>
        <w:instrText>36</w:instrText>
      </w:r>
      <w:r>
        <w:instrText xml:space="preserve">" </w:instrText>
      </w:r>
      <w:r>
        <w:rPr>
          <w:szCs w:val="15"/>
        </w:rPr>
        <w:fldChar w:fldCharType="end"/>
      </w:r>
      <w:r>
        <w:rPr>
          <w:rStyle w:val="TextpoznpodarouChar"/>
          <w:lang w:val="cs-CZ"/>
        </w:rPr>
        <w:t>; trad. Schroeder 1950, 55)</w:t>
      </w:r>
    </w:p>
  </w:footnote>
  <w:footnote w:id="85">
    <w:p w14:paraId="5091B46B" w14:textId="77777777" w:rsidR="00344048" w:rsidRPr="00C308B2" w:rsidRDefault="00344048" w:rsidP="08850790">
      <w:pPr>
        <w:pStyle w:val="Textpoznpodarou"/>
      </w:pPr>
      <w:r>
        <w:rPr>
          <w:rStyle w:val="Znakapoznpodarou"/>
        </w:rPr>
        <w:footnoteRef/>
      </w:r>
      <w:r>
        <w:t xml:space="preserve"> </w:t>
      </w:r>
      <w:r>
        <w:rPr>
          <w:szCs w:val="25"/>
        </w:rPr>
        <w:t>„</w:t>
      </w:r>
      <w:r w:rsidRPr="00B95AB0">
        <w:rPr>
          <w:szCs w:val="25"/>
        </w:rPr>
        <w:t xml:space="preserve">We </w:t>
      </w:r>
      <w:r w:rsidRPr="00B95AB0">
        <w:t xml:space="preserve">conclude </w:t>
      </w:r>
      <w:r w:rsidRPr="00B95AB0">
        <w:rPr>
          <w:szCs w:val="14"/>
        </w:rPr>
        <w:t xml:space="preserve">that </w:t>
      </w:r>
      <w:r w:rsidRPr="00B95AB0">
        <w:rPr>
          <w:szCs w:val="12"/>
        </w:rPr>
        <w:t xml:space="preserve">in </w:t>
      </w:r>
      <w:r w:rsidRPr="00B95AB0">
        <w:rPr>
          <w:szCs w:val="11"/>
        </w:rPr>
        <w:t xml:space="preserve">all </w:t>
      </w:r>
      <w:r w:rsidRPr="00B95AB0">
        <w:t xml:space="preserve">our </w:t>
      </w:r>
      <w:r w:rsidRPr="00B95AB0">
        <w:rPr>
          <w:szCs w:val="14"/>
        </w:rPr>
        <w:t xml:space="preserve">inquiries </w:t>
      </w:r>
      <w:r w:rsidRPr="00B95AB0">
        <w:rPr>
          <w:szCs w:val="19"/>
        </w:rPr>
        <w:t xml:space="preserve">we </w:t>
      </w:r>
      <w:r w:rsidRPr="00B95AB0">
        <w:rPr>
          <w:szCs w:val="14"/>
        </w:rPr>
        <w:t xml:space="preserve">are </w:t>
      </w:r>
      <w:r w:rsidRPr="00B95AB0">
        <w:rPr>
          <w:szCs w:val="15"/>
        </w:rPr>
        <w:t xml:space="preserve">asking </w:t>
      </w:r>
      <w:r>
        <w:rPr>
          <w:szCs w:val="14"/>
        </w:rPr>
        <w:t xml:space="preserve">either </w:t>
      </w:r>
      <w:r w:rsidRPr="00B95AB0">
        <w:t xml:space="preserve">whether </w:t>
      </w:r>
      <w:r w:rsidRPr="00B95AB0">
        <w:rPr>
          <w:szCs w:val="14"/>
        </w:rPr>
        <w:t xml:space="preserve">there </w:t>
      </w:r>
      <w:r w:rsidRPr="00B95AB0">
        <w:rPr>
          <w:szCs w:val="10"/>
        </w:rPr>
        <w:t xml:space="preserve">is </w:t>
      </w:r>
      <w:r w:rsidRPr="00B95AB0">
        <w:rPr>
          <w:szCs w:val="15"/>
        </w:rPr>
        <w:t xml:space="preserve">a </w:t>
      </w:r>
      <w:r w:rsidRPr="00B95AB0">
        <w:t xml:space="preserve">middle </w:t>
      </w:r>
      <w:r w:rsidRPr="00B95AB0">
        <w:rPr>
          <w:szCs w:val="14"/>
        </w:rPr>
        <w:t xml:space="preserve">or </w:t>
      </w:r>
      <w:r w:rsidRPr="00B95AB0">
        <w:rPr>
          <w:szCs w:val="17"/>
        </w:rPr>
        <w:t xml:space="preserve">what </w:t>
      </w:r>
      <w:r w:rsidRPr="00B95AB0">
        <w:rPr>
          <w:szCs w:val="15"/>
        </w:rPr>
        <w:t xml:space="preserve">the </w:t>
      </w:r>
      <w:r w:rsidRPr="00B95AB0">
        <w:t xml:space="preserve">middle </w:t>
      </w:r>
      <w:r>
        <w:rPr>
          <w:szCs w:val="10"/>
        </w:rPr>
        <w:t>is</w:t>
      </w:r>
      <w:r w:rsidRPr="00B95AB0">
        <w:rPr>
          <w:szCs w:val="5"/>
        </w:rPr>
        <w:t xml:space="preserve">: </w:t>
      </w:r>
      <w:r w:rsidRPr="00B95AB0">
        <w:rPr>
          <w:szCs w:val="13"/>
        </w:rPr>
        <w:t xml:space="preserve">for </w:t>
      </w:r>
      <w:r w:rsidRPr="00B95AB0">
        <w:rPr>
          <w:szCs w:val="15"/>
        </w:rPr>
        <w:t>the</w:t>
      </w:r>
      <w:r>
        <w:rPr>
          <w:szCs w:val="15"/>
        </w:rPr>
        <w:t xml:space="preserve"> </w:t>
      </w:r>
      <w:r w:rsidRPr="00B95AB0">
        <w:t xml:space="preserve">middle </w:t>
      </w:r>
      <w:r w:rsidRPr="00B95AB0">
        <w:rPr>
          <w:szCs w:val="15"/>
        </w:rPr>
        <w:t xml:space="preserve">here </w:t>
      </w:r>
      <w:r w:rsidRPr="00B95AB0">
        <w:rPr>
          <w:szCs w:val="10"/>
        </w:rPr>
        <w:t xml:space="preserve">is </w:t>
      </w:r>
      <w:r w:rsidRPr="00B95AB0">
        <w:rPr>
          <w:szCs w:val="14"/>
        </w:rPr>
        <w:t xml:space="preserve">precisely </w:t>
      </w:r>
      <w:r w:rsidRPr="00B95AB0">
        <w:rPr>
          <w:szCs w:val="15"/>
        </w:rPr>
        <w:t xml:space="preserve">the </w:t>
      </w:r>
      <w:r w:rsidRPr="00B95AB0">
        <w:rPr>
          <w:szCs w:val="14"/>
        </w:rPr>
        <w:t xml:space="preserve">cause, </w:t>
      </w:r>
      <w:r w:rsidRPr="00B95AB0">
        <w:rPr>
          <w:szCs w:val="17"/>
        </w:rPr>
        <w:t xml:space="preserve">and </w:t>
      </w:r>
      <w:r w:rsidRPr="00B95AB0">
        <w:rPr>
          <w:szCs w:val="10"/>
        </w:rPr>
        <w:t xml:space="preserve">it is </w:t>
      </w:r>
      <w:r w:rsidRPr="00B95AB0">
        <w:rPr>
          <w:szCs w:val="15"/>
        </w:rPr>
        <w:t>the cause that</w:t>
      </w:r>
      <w:r>
        <w:rPr>
          <w:szCs w:val="15"/>
        </w:rPr>
        <w:t xml:space="preserve"> </w:t>
      </w:r>
      <w:r w:rsidRPr="00B95AB0">
        <w:rPr>
          <w:szCs w:val="19"/>
        </w:rPr>
        <w:t xml:space="preserve">we </w:t>
      </w:r>
      <w:r w:rsidRPr="00B95AB0">
        <w:rPr>
          <w:szCs w:val="15"/>
        </w:rPr>
        <w:t xml:space="preserve">seek </w:t>
      </w:r>
      <w:r w:rsidRPr="00B95AB0">
        <w:rPr>
          <w:szCs w:val="12"/>
        </w:rPr>
        <w:t xml:space="preserve">in </w:t>
      </w:r>
      <w:r w:rsidRPr="00B95AB0">
        <w:rPr>
          <w:szCs w:val="11"/>
        </w:rPr>
        <w:t xml:space="preserve">all </w:t>
      </w:r>
      <w:r w:rsidRPr="00B95AB0">
        <w:t xml:space="preserve">our </w:t>
      </w:r>
      <w:r>
        <w:rPr>
          <w:szCs w:val="13"/>
        </w:rPr>
        <w:t xml:space="preserve">inquiries </w:t>
      </w:r>
      <w:r>
        <w:t>(</w:t>
      </w:r>
      <w:r w:rsidRPr="00C308B2">
        <w:t>πάλιν τὸ διὰ τί ζητῶμεν ἢ τὸ τί ἐστι, τότε ζητοῦμεν τί τὸ μέσον</w:t>
      </w:r>
      <w:r>
        <w:rPr>
          <w:lang w:val="cs-CZ"/>
        </w:rPr>
        <w:t>).“ (</w:t>
      </w:r>
      <w:r w:rsidRPr="00946CF2">
        <w:rPr>
          <w:i/>
        </w:rPr>
        <w:t>Anal. Post</w:t>
      </w:r>
      <w:r>
        <w:rPr>
          <w:lang w:val="cs-CZ"/>
        </w:rPr>
        <w:t>.</w:t>
      </w:r>
      <w:r>
        <w:t xml:space="preserve"> </w:t>
      </w:r>
      <w:r w:rsidRPr="00C308B2">
        <w:t>90a1</w:t>
      </w:r>
      <w:r>
        <w:rPr>
          <w:i/>
        </w:rPr>
        <w:fldChar w:fldCharType="begin"/>
      </w:r>
      <w:r>
        <w:instrText xml:space="preserve"> XE "</w:instrText>
      </w:r>
      <w:r>
        <w:rPr>
          <w:lang w:val="cs-CZ"/>
        </w:rPr>
        <w:instrText>Aristoteles:</w:instrText>
      </w:r>
      <w:r w:rsidRPr="00946CF2">
        <w:rPr>
          <w:i/>
        </w:rPr>
        <w:instrText>Anal. Post</w:instrText>
      </w:r>
      <w:r>
        <w:rPr>
          <w:lang w:val="cs-CZ"/>
        </w:rPr>
        <w:instrText xml:space="preserve">. </w:instrText>
      </w:r>
      <w:r w:rsidRPr="00C308B2">
        <w:instrText>90a1</w:instrText>
      </w:r>
      <w:r>
        <w:instrText xml:space="preserve">" </w:instrText>
      </w:r>
      <w:r>
        <w:rPr>
          <w:i/>
        </w:rPr>
        <w:fldChar w:fldCharType="end"/>
      </w:r>
      <w:r>
        <w:t>; trad. Mure</w:t>
      </w:r>
      <w:r>
        <w:rPr>
          <w:lang w:val="cs-CZ"/>
        </w:rPr>
        <w:t xml:space="preserve">, </w:t>
      </w:r>
      <w:r>
        <w:t>WA 1</w:t>
      </w:r>
      <w:r>
        <w:rPr>
          <w:szCs w:val="13"/>
        </w:rPr>
        <w:t>)</w:t>
      </w:r>
    </w:p>
  </w:footnote>
  <w:footnote w:id="86">
    <w:p w14:paraId="00C34717" w14:textId="77777777" w:rsidR="00344048" w:rsidRPr="00941E9F" w:rsidRDefault="00344048" w:rsidP="08C45376">
      <w:pPr>
        <w:pStyle w:val="Textpoznpodarou"/>
        <w:rPr>
          <w:rFonts w:ascii="Times New Roman" w:hAnsi="Times New Roman"/>
          <w:szCs w:val="24"/>
        </w:rPr>
      </w:pPr>
      <w:r>
        <w:rPr>
          <w:rStyle w:val="Znakapoznpodarou"/>
        </w:rPr>
        <w:footnoteRef/>
      </w:r>
      <w:r>
        <w:t xml:space="preserve"> „</w:t>
      </w:r>
      <w:r w:rsidRPr="00032C7F">
        <w:t>And in fact mind as we have described it is what it is by virtue of becoming all things</w:t>
      </w:r>
      <w:r>
        <w:t xml:space="preserve"> (</w:t>
      </w:r>
      <w:r w:rsidRPr="00941E9F">
        <w:t>νοῦς τῷ πάντα γίνεσθαι</w:t>
      </w:r>
      <w:r>
        <w:t>)</w:t>
      </w:r>
      <w:r w:rsidRPr="00032C7F">
        <w:t>, while there is another which</w:t>
      </w:r>
      <w:r>
        <w:t xml:space="preserve"> </w:t>
      </w:r>
      <w:r w:rsidRPr="00032C7F">
        <w:t xml:space="preserve">is what it is by virtue of making all things </w:t>
      </w:r>
      <w:r>
        <w:t xml:space="preserve">(τῷ πάντα ποιεῖν) </w:t>
      </w:r>
      <w:r w:rsidRPr="00032C7F">
        <w:t>: this is a sort</w:t>
      </w:r>
      <w:r>
        <w:t xml:space="preserve"> </w:t>
      </w:r>
      <w:r w:rsidRPr="00032C7F">
        <w:t xml:space="preserve">of positive state like light </w:t>
      </w:r>
      <w:r>
        <w:t xml:space="preserve">(τὸ φῶς) </w:t>
      </w:r>
      <w:r w:rsidRPr="00032C7F">
        <w:t>; for in a sense light makes</w:t>
      </w:r>
      <w:r>
        <w:t xml:space="preserve"> </w:t>
      </w:r>
      <w:r w:rsidRPr="00032C7F">
        <w:t>potential colours into actual colours</w:t>
      </w:r>
      <w:r>
        <w:t xml:space="preserve"> (</w:t>
      </w:r>
      <w:r w:rsidRPr="00BB050B">
        <w:t>τ</w:t>
      </w:r>
      <w:r>
        <w:t>ὸ φῶς ποιεῖ τὰ δυνάμει ὄντα χρώ</w:t>
      </w:r>
      <w:r w:rsidRPr="00BB050B">
        <w:t>ματα ἐνεργείᾳ χρώματα</w:t>
      </w:r>
      <w:r>
        <w:t>)</w:t>
      </w:r>
      <w:r w:rsidRPr="00032C7F">
        <w:t>.</w:t>
      </w:r>
      <w:r w:rsidRPr="005E2B99">
        <w:rPr>
          <w:noProof/>
          <w:szCs w:val="26"/>
        </w:rPr>
        <w:t>“</w:t>
      </w:r>
      <w:r>
        <w:t xml:space="preserve"> (</w:t>
      </w:r>
      <w:r w:rsidRPr="00837E3C">
        <w:rPr>
          <w:i/>
        </w:rPr>
        <w:t>De anima</w:t>
      </w:r>
      <w:r>
        <w:t xml:space="preserve"> 430a14</w:t>
      </w:r>
      <w:r w:rsidRPr="00F85828">
        <w:rPr>
          <w:lang w:val="de-DE"/>
        </w:rPr>
        <w:t>–17</w:t>
      </w:r>
      <w:r>
        <w:rPr>
          <w:i/>
        </w:rPr>
        <w:fldChar w:fldCharType="begin"/>
      </w:r>
      <w:r>
        <w:instrText xml:space="preserve"> XE "Aristoteles:</w:instrText>
      </w:r>
      <w:r w:rsidRPr="00837E3C">
        <w:rPr>
          <w:i/>
        </w:rPr>
        <w:instrText>De anima</w:instrText>
      </w:r>
      <w:r>
        <w:instrText xml:space="preserve"> 430a1</w:instrText>
      </w:r>
      <w:r>
        <w:rPr>
          <w:lang w:val="cs-CZ"/>
        </w:rPr>
        <w:instrText>4</w:instrText>
      </w:r>
      <w:r w:rsidRPr="00F85828">
        <w:rPr>
          <w:lang w:val="de-DE"/>
        </w:rPr>
        <w:instrText>–17</w:instrText>
      </w:r>
      <w:r>
        <w:instrText xml:space="preserve">" </w:instrText>
      </w:r>
      <w:r>
        <w:rPr>
          <w:i/>
        </w:rPr>
        <w:fldChar w:fldCharType="end"/>
      </w:r>
      <w:r w:rsidRPr="00F85828">
        <w:rPr>
          <w:lang w:val="de-DE"/>
        </w:rPr>
        <w:t xml:space="preserve">, trad. </w:t>
      </w:r>
      <w:r w:rsidRPr="08C45376">
        <w:rPr>
          <w:lang w:val="de-DE"/>
        </w:rPr>
        <w:t>Smith</w:t>
      </w:r>
      <w:r>
        <w:rPr>
          <w:lang w:val="de-DE"/>
        </w:rPr>
        <w:t xml:space="preserve">, </w:t>
      </w:r>
      <w:r>
        <w:t xml:space="preserve">WA </w:t>
      </w:r>
      <w:r>
        <w:rPr>
          <w:lang w:val="cs-CZ"/>
        </w:rPr>
        <w:t>3</w:t>
      </w:r>
      <w:r w:rsidRPr="08C45376">
        <w:rPr>
          <w:lang w:val="de-DE"/>
        </w:rPr>
        <w:t>)</w:t>
      </w:r>
    </w:p>
  </w:footnote>
  <w:footnote w:id="87">
    <w:p w14:paraId="5E8AE524" w14:textId="77777777" w:rsidR="00344048" w:rsidRPr="00916F9D" w:rsidRDefault="00344048" w:rsidP="0023090E">
      <w:pPr>
        <w:pStyle w:val="Textpoznpodarou"/>
        <w:rPr>
          <w:lang w:val="cs-CZ"/>
        </w:rPr>
      </w:pPr>
      <w:r>
        <w:rPr>
          <w:rStyle w:val="Znakapoznpodarou"/>
        </w:rPr>
        <w:footnoteRef/>
      </w:r>
      <w:r>
        <w:t xml:space="preserve"> „</w:t>
      </w:r>
      <w:r w:rsidRPr="00AC7440">
        <w:t>Somit ist das Princip, wodurch der Blick actuell sehend ward, nachdem er doch vorher nur potentiell sehend war und das wodurch das Geschaute, welches nur potentiell erschaubar war, zum wirklich Geschauten wurde jene Sehfähigkeit (Durchsichtigkeit), die dem Blick von der Sonne her zukommt. In dieser Weise nun kommt jenem Wesen, dem potentiellen Intellect, etwas zu, das sich ebenso zu ihm verhält, wie die actuelle Sehfähigkeit zum Blick.“</w:t>
      </w:r>
      <w:r>
        <w:t xml:space="preserve"> (</w:t>
      </w:r>
      <w:r w:rsidRPr="00916F9D">
        <w:rPr>
          <w:i/>
          <w:lang w:val="cs-CZ"/>
        </w:rPr>
        <w:t>Über die Bedeutungen des Worts '</w:t>
      </w:r>
      <w:r>
        <w:rPr>
          <w:i/>
          <w:lang w:val="cs-CZ"/>
        </w:rPr>
        <w:t>Intellect', 'Vernunft'</w:t>
      </w:r>
      <w:r>
        <w:rPr>
          <w:lang w:val="cs-CZ"/>
        </w:rPr>
        <w:t xml:space="preserve">, ed. </w:t>
      </w:r>
      <w:r>
        <w:t>Dieterici; p. 74.22–30</w:t>
      </w:r>
      <w:r>
        <w:rPr>
          <w:i/>
        </w:rPr>
        <w:fldChar w:fldCharType="begin"/>
      </w:r>
      <w:r>
        <w:instrText xml:space="preserve"> XE "</w:instrText>
      </w:r>
      <w:r>
        <w:rPr>
          <w:lang w:val="cs-CZ"/>
        </w:rPr>
        <w:instrText>Al-Fárábí:</w:instrText>
      </w:r>
      <w:r w:rsidRPr="00946CF2">
        <w:rPr>
          <w:i/>
          <w:lang w:val="cs-CZ"/>
        </w:rPr>
        <w:instrText>De intellect</w:instrText>
      </w:r>
      <w:r>
        <w:rPr>
          <w:i/>
          <w:lang w:val="cs-CZ"/>
        </w:rPr>
        <w:instrText>u</w:instrText>
      </w:r>
      <w:r>
        <w:rPr>
          <w:lang w:val="cs-CZ"/>
        </w:rPr>
        <w:instrText xml:space="preserve"> 74.22‒30</w:instrText>
      </w:r>
      <w:r>
        <w:instrText xml:space="preserve">" </w:instrText>
      </w:r>
      <w:r>
        <w:rPr>
          <w:i/>
        </w:rPr>
        <w:fldChar w:fldCharType="end"/>
      </w:r>
      <w:r>
        <w:t>)</w:t>
      </w:r>
      <w:r>
        <w:rPr>
          <w:lang w:val="cs-CZ"/>
        </w:rPr>
        <w:t>.</w:t>
      </w:r>
    </w:p>
  </w:footnote>
  <w:footnote w:id="88">
    <w:p w14:paraId="1185813B" w14:textId="77777777" w:rsidR="00344048" w:rsidRPr="00C70CAF" w:rsidRDefault="00344048" w:rsidP="08E3222C">
      <w:pPr>
        <w:pStyle w:val="Textpoznpodarou"/>
      </w:pPr>
      <w:r>
        <w:rPr>
          <w:rStyle w:val="Znakapoznpodarou"/>
        </w:rPr>
        <w:footnoteRef/>
      </w:r>
      <w:r>
        <w:t xml:space="preserve"> Aristotelův s</w:t>
      </w:r>
      <w:r w:rsidRPr="00C70CAF">
        <w:t xml:space="preserve">pis </w:t>
      </w:r>
      <w:r w:rsidRPr="00837E3C">
        <w:rPr>
          <w:i/>
        </w:rPr>
        <w:t>De anima</w:t>
      </w:r>
      <w:r w:rsidRPr="00C70CAF">
        <w:t xml:space="preserve"> byl přelo</w:t>
      </w:r>
      <w:r>
        <w:t xml:space="preserve">žen z řečtiny do latiny nejméně ve třech etapách. První </w:t>
      </w:r>
      <w:r w:rsidRPr="00C70CAF">
        <w:t xml:space="preserve">překlad známý jako </w:t>
      </w:r>
      <w:r w:rsidRPr="00C70CAF">
        <w:rPr>
          <w:i/>
        </w:rPr>
        <w:t>Translatio vetus</w:t>
      </w:r>
      <w:r w:rsidRPr="00C70CAF">
        <w:t xml:space="preserve"> byl </w:t>
      </w:r>
      <w:r>
        <w:t xml:space="preserve">asi </w:t>
      </w:r>
      <w:r w:rsidRPr="00C70CAF">
        <w:t>od Jakuba z Benátek (</w:t>
      </w:r>
      <w:r>
        <w:rPr>
          <w:lang w:val="cs-CZ"/>
        </w:rPr>
        <w:t xml:space="preserve">asi </w:t>
      </w:r>
      <w:r w:rsidRPr="00C70CAF">
        <w:t xml:space="preserve">1150). </w:t>
      </w:r>
      <w:r>
        <w:rPr>
          <w:lang w:val="cs-CZ"/>
        </w:rPr>
        <w:t>Někdy</w:t>
      </w:r>
      <w:r>
        <w:t xml:space="preserve"> </w:t>
      </w:r>
      <w:r>
        <w:rPr>
          <w:lang w:val="cs-CZ"/>
        </w:rPr>
        <w:t xml:space="preserve">okolo roku </w:t>
      </w:r>
      <w:r>
        <w:t xml:space="preserve">1230 vznikl nový překlad z arabštiny (tzv. </w:t>
      </w:r>
      <w:r>
        <w:rPr>
          <w:i/>
        </w:rPr>
        <w:t>T</w:t>
      </w:r>
      <w:r w:rsidRPr="082B42EC">
        <w:rPr>
          <w:i/>
        </w:rPr>
        <w:t>ranslatio nova</w:t>
      </w:r>
      <w:r>
        <w:t xml:space="preserve">), snad </w:t>
      </w:r>
      <w:r w:rsidRPr="00C70CAF">
        <w:t>od Mich</w:t>
      </w:r>
      <w:r>
        <w:t>a</w:t>
      </w:r>
      <w:r w:rsidRPr="00C70CAF">
        <w:t>ela Scota</w:t>
      </w:r>
      <w:r>
        <w:t xml:space="preserve">, který </w:t>
      </w:r>
      <w:r>
        <w:rPr>
          <w:lang w:val="cs-CZ"/>
        </w:rPr>
        <w:t xml:space="preserve">byl inspirován </w:t>
      </w:r>
      <w:r>
        <w:t>CMDA. P</w:t>
      </w:r>
      <w:r w:rsidRPr="00C70CAF">
        <w:t xml:space="preserve">lný překlad </w:t>
      </w:r>
      <w:r>
        <w:rPr>
          <w:i/>
        </w:rPr>
        <w:t>De anima</w:t>
      </w:r>
      <w:r>
        <w:t xml:space="preserve"> </w:t>
      </w:r>
      <w:r w:rsidRPr="00C70CAF">
        <w:t xml:space="preserve">dokončil </w:t>
      </w:r>
      <w:r>
        <w:t>Guillaume de Moerbeke</w:t>
      </w:r>
      <w:r w:rsidRPr="00C70CAF">
        <w:t xml:space="preserve"> roku </w:t>
      </w:r>
      <w:r>
        <w:t xml:space="preserve">1267 (tzv. </w:t>
      </w:r>
      <w:r w:rsidRPr="08441280">
        <w:rPr>
          <w:i/>
        </w:rPr>
        <w:t>Recensio nova</w:t>
      </w:r>
      <w:r>
        <w:t>)</w:t>
      </w:r>
      <w:r w:rsidRPr="00C70CAF">
        <w:t>.</w:t>
      </w:r>
    </w:p>
  </w:footnote>
  <w:footnote w:id="89">
    <w:p w14:paraId="49BB69A2" w14:textId="77777777" w:rsidR="00344048" w:rsidRPr="08825A25" w:rsidRDefault="00344048" w:rsidP="00BA1FC0">
      <w:pPr>
        <w:pStyle w:val="Textpoznpodarou"/>
      </w:pPr>
      <w:r>
        <w:rPr>
          <w:rStyle w:val="Znakapoznpodarou"/>
        </w:rPr>
        <w:footnoteRef/>
      </w:r>
      <w:r>
        <w:t xml:space="preserve"> „</w:t>
      </w:r>
      <w:r w:rsidRPr="089B00DD">
        <w:t xml:space="preserve">Secundum hoc igitur exemplum in illa essencia que est intellectus in potencia acquiritur quiddam cuius comparacio est sicut comparacio irradiacionis in effectu ad uisum, et hoc tribuit ei intelligencia agens. </w:t>
      </w:r>
      <w:r w:rsidRPr="00941EA0">
        <w:rPr>
          <w:lang w:val="fr-FR"/>
        </w:rPr>
        <w:t xml:space="preserve">Igitur ipsa </w:t>
      </w:r>
      <w:r>
        <w:rPr>
          <w:lang w:val="fr-FR"/>
        </w:rPr>
        <w:t xml:space="preserve">est </w:t>
      </w:r>
      <w:r w:rsidRPr="00941EA0">
        <w:rPr>
          <w:lang w:val="fr-FR"/>
        </w:rPr>
        <w:t xml:space="preserve">principium quod </w:t>
      </w:r>
      <w:r>
        <w:rPr>
          <w:lang w:val="fr-FR"/>
        </w:rPr>
        <w:t>ea</w:t>
      </w:r>
      <w:r w:rsidRPr="00941EA0">
        <w:rPr>
          <w:lang w:val="fr-FR"/>
        </w:rPr>
        <w:t xml:space="preserve"> </w:t>
      </w:r>
      <w:r>
        <w:rPr>
          <w:lang w:val="fr-FR"/>
        </w:rPr>
        <w:t>que sunt intellecta in potencia, facit esse</w:t>
      </w:r>
      <w:r w:rsidRPr="00941EA0">
        <w:rPr>
          <w:lang w:val="fr-FR"/>
        </w:rPr>
        <w:t xml:space="preserve"> intellecta in effectu.</w:t>
      </w:r>
      <w:r>
        <w:rPr>
          <w:lang w:val="fr-FR"/>
        </w:rPr>
        <w:t xml:space="preserve"> </w:t>
      </w:r>
      <w:r w:rsidRPr="00941EA0">
        <w:rPr>
          <w:lang w:val="fr-FR"/>
        </w:rPr>
        <w:t xml:space="preserve">Et sicut sol </w:t>
      </w:r>
      <w:r>
        <w:rPr>
          <w:lang w:val="fr-FR"/>
        </w:rPr>
        <w:t xml:space="preserve">est qui </w:t>
      </w:r>
      <w:r w:rsidRPr="00941EA0">
        <w:rPr>
          <w:lang w:val="fr-FR"/>
        </w:rPr>
        <w:t>facit oculum uisum</w:t>
      </w:r>
      <w:r>
        <w:rPr>
          <w:vertAlign w:val="superscript"/>
          <w:lang w:val="fr-FR"/>
        </w:rPr>
        <w:t xml:space="preserve"> </w:t>
      </w:r>
      <w:r w:rsidRPr="00941EA0">
        <w:rPr>
          <w:lang w:val="fr-FR"/>
        </w:rPr>
        <w:t xml:space="preserve">in effectu </w:t>
      </w:r>
      <w:r>
        <w:rPr>
          <w:lang w:val="fr-FR"/>
        </w:rPr>
        <w:t xml:space="preserve">et </w:t>
      </w:r>
      <w:r w:rsidRPr="00941EA0">
        <w:rPr>
          <w:lang w:val="fr-FR"/>
        </w:rPr>
        <w:t xml:space="preserve">uisa in potencia facit uisa in effectu cum lumine quod confert ei, </w:t>
      </w:r>
      <w:r>
        <w:rPr>
          <w:lang w:val="fr-FR"/>
        </w:rPr>
        <w:t xml:space="preserve">sic et </w:t>
      </w:r>
      <w:r w:rsidRPr="00941EA0">
        <w:rPr>
          <w:lang w:val="fr-FR"/>
        </w:rPr>
        <w:t xml:space="preserve">intelligencia agens </w:t>
      </w:r>
      <w:r>
        <w:rPr>
          <w:lang w:val="fr-FR"/>
        </w:rPr>
        <w:t xml:space="preserve">est que trahit </w:t>
      </w:r>
      <w:r>
        <w:t xml:space="preserve">ad </w:t>
      </w:r>
      <w:r>
        <w:rPr>
          <w:lang w:val="fr-FR"/>
        </w:rPr>
        <w:t xml:space="preserve">effectum intellectum qui est </w:t>
      </w:r>
      <w:r w:rsidRPr="00941EA0">
        <w:rPr>
          <w:lang w:val="fr-FR"/>
        </w:rPr>
        <w:t xml:space="preserve">in </w:t>
      </w:r>
      <w:r>
        <w:rPr>
          <w:lang w:val="fr-FR"/>
        </w:rPr>
        <w:t xml:space="preserve">potencia et facit esse intellectum </w:t>
      </w:r>
      <w:r w:rsidRPr="00941EA0">
        <w:rPr>
          <w:lang w:val="fr-FR"/>
        </w:rPr>
        <w:t xml:space="preserve">in </w:t>
      </w:r>
      <w:r>
        <w:rPr>
          <w:lang w:val="fr-FR"/>
        </w:rPr>
        <w:t xml:space="preserve">effectu cum eo quod tribuit illi ab illo principio et </w:t>
      </w:r>
      <w:r w:rsidRPr="00941EA0">
        <w:rPr>
          <w:lang w:val="fr-FR"/>
        </w:rPr>
        <w:t xml:space="preserve">per </w:t>
      </w:r>
      <w:r>
        <w:rPr>
          <w:lang w:val="fr-FR"/>
        </w:rPr>
        <w:t xml:space="preserve">illam intellecta </w:t>
      </w:r>
      <w:r w:rsidRPr="00941EA0">
        <w:rPr>
          <w:lang w:val="fr-FR"/>
        </w:rPr>
        <w:t xml:space="preserve">in </w:t>
      </w:r>
      <w:r>
        <w:rPr>
          <w:lang w:val="fr-FR"/>
        </w:rPr>
        <w:t xml:space="preserve">potencia iiunt intellecta </w:t>
      </w:r>
      <w:r w:rsidRPr="00941EA0">
        <w:rPr>
          <w:lang w:val="fr-FR"/>
        </w:rPr>
        <w:t xml:space="preserve">in </w:t>
      </w:r>
      <w:r>
        <w:rPr>
          <w:lang w:val="fr-FR"/>
        </w:rPr>
        <w:t>effectu.</w:t>
      </w:r>
      <w:r w:rsidRPr="005E2B99">
        <w:rPr>
          <w:noProof/>
          <w:szCs w:val="26"/>
        </w:rPr>
        <w:t>“</w:t>
      </w:r>
      <w:r w:rsidRPr="006153FF">
        <w:rPr>
          <w:lang w:val="fr-FR"/>
        </w:rPr>
        <w:t xml:space="preserve"> </w:t>
      </w:r>
      <w:r w:rsidRPr="0045423D">
        <w:rPr>
          <w:lang w:val="de-DE"/>
        </w:rPr>
        <w:t>(</w:t>
      </w:r>
      <w:r w:rsidRPr="0045423D">
        <w:rPr>
          <w:i/>
          <w:lang w:val="de-DE"/>
        </w:rPr>
        <w:t xml:space="preserve">Liber Alpharabii </w:t>
      </w:r>
      <w:r w:rsidRPr="0045423D">
        <w:rPr>
          <w:i/>
          <w:iCs/>
          <w:lang w:val="de-DE"/>
        </w:rPr>
        <w:t>De intellectu et intellecto</w:t>
      </w:r>
      <w:r>
        <w:rPr>
          <w:lang w:val="de-DE"/>
        </w:rPr>
        <w:t>, ed. Gilson, p. 122.257–</w:t>
      </w:r>
      <w:r w:rsidRPr="0045423D">
        <w:rPr>
          <w:lang w:val="de-DE"/>
        </w:rPr>
        <w:t>66</w:t>
      </w:r>
      <w:r>
        <w:rPr>
          <w:i/>
        </w:rPr>
        <w:fldChar w:fldCharType="begin"/>
      </w:r>
      <w:r>
        <w:instrText xml:space="preserve"> XE "Al-Fárábí</w:instrText>
      </w:r>
      <w:r>
        <w:rPr>
          <w:lang w:val="cs-CZ"/>
        </w:rPr>
        <w:instrText>:</w:instrText>
      </w:r>
      <w:r w:rsidRPr="0045423D">
        <w:rPr>
          <w:i/>
          <w:iCs/>
          <w:lang w:val="de-DE"/>
        </w:rPr>
        <w:instrText xml:space="preserve">De intellectu </w:instrText>
      </w:r>
      <w:r>
        <w:rPr>
          <w:lang w:val="de-DE"/>
        </w:rPr>
        <w:instrText>122.257–</w:instrText>
      </w:r>
      <w:r w:rsidRPr="0045423D">
        <w:rPr>
          <w:lang w:val="de-DE"/>
        </w:rPr>
        <w:instrText>66</w:instrText>
      </w:r>
      <w:r>
        <w:instrText xml:space="preserve">" </w:instrText>
      </w:r>
      <w:r>
        <w:rPr>
          <w:i/>
        </w:rPr>
        <w:fldChar w:fldCharType="end"/>
      </w:r>
      <w:r w:rsidRPr="0045423D">
        <w:rPr>
          <w:lang w:val="de-DE"/>
        </w:rPr>
        <w:t>)</w:t>
      </w:r>
    </w:p>
  </w:footnote>
  <w:footnote w:id="90">
    <w:p w14:paraId="35D04458" w14:textId="77777777" w:rsidR="00344048" w:rsidRPr="006153FF" w:rsidRDefault="00344048" w:rsidP="00E961D0">
      <w:pPr>
        <w:pStyle w:val="Textpoznpodarou"/>
      </w:pPr>
      <w:r>
        <w:rPr>
          <w:rStyle w:val="Znakapoznpodarou"/>
        </w:rPr>
        <w:footnoteRef/>
      </w:r>
      <w:r>
        <w:t xml:space="preserve"> „Derselbe [i.e. intellectus agens] scheint aber nicht immerfort in Taetigkeit zu sein, sondern einmal ist er handelnd, ein andermal nicht. Die Unterbrechung des Handelns beweist aber notwendig einen Wandel des Zustands, sodass er von einem Zustand zum andern übergeht.</w:t>
      </w:r>
      <w:r w:rsidRPr="005E2B99">
        <w:rPr>
          <w:noProof/>
          <w:szCs w:val="26"/>
        </w:rPr>
        <w:t>“</w:t>
      </w:r>
      <w:r>
        <w:rPr>
          <w:noProof/>
          <w:szCs w:val="26"/>
        </w:rPr>
        <w:t xml:space="preserve"> </w:t>
      </w:r>
      <w:r>
        <w:t>(</w:t>
      </w:r>
      <w:r w:rsidRPr="00916F9D">
        <w:rPr>
          <w:i/>
          <w:lang w:val="cs-CZ"/>
        </w:rPr>
        <w:t>Über die Bedeutungen des Worts '</w:t>
      </w:r>
      <w:r>
        <w:rPr>
          <w:i/>
          <w:lang w:val="cs-CZ"/>
        </w:rPr>
        <w:t>Intellect', 'Vernunft'</w:t>
      </w:r>
      <w:r>
        <w:rPr>
          <w:lang w:val="cs-CZ"/>
        </w:rPr>
        <w:t xml:space="preserve">; ed. </w:t>
      </w:r>
      <w:r>
        <w:t>Dieterici</w:t>
      </w:r>
      <w:r>
        <w:rPr>
          <w:lang w:val="cs-CZ"/>
        </w:rPr>
        <w:t xml:space="preserve">, </w:t>
      </w:r>
      <w:r>
        <w:t xml:space="preserve">p. 78.1–5; </w:t>
      </w:r>
      <w:r w:rsidRPr="008B5391">
        <w:rPr>
          <w:i/>
          <w:lang w:val="de-DE"/>
        </w:rPr>
        <w:t xml:space="preserve">De Liber Alpharabii </w:t>
      </w:r>
      <w:r w:rsidRPr="008B5391">
        <w:rPr>
          <w:i/>
          <w:iCs/>
          <w:lang w:val="de-DE"/>
        </w:rPr>
        <w:t>De intellectu et intellecto</w:t>
      </w:r>
      <w:r w:rsidRPr="008B5391">
        <w:rPr>
          <w:lang w:val="de-DE"/>
        </w:rPr>
        <w:t xml:space="preserve">, ed. </w:t>
      </w:r>
      <w:r w:rsidRPr="001E646A">
        <w:rPr>
          <w:lang w:val="de-DE"/>
        </w:rPr>
        <w:t>Gilson, p. 124.326–330</w:t>
      </w:r>
      <w:r>
        <w:rPr>
          <w:i/>
        </w:rPr>
        <w:fldChar w:fldCharType="begin"/>
      </w:r>
      <w:r>
        <w:instrText xml:space="preserve"> XE "Al-Fárábí</w:instrText>
      </w:r>
      <w:r>
        <w:rPr>
          <w:lang w:val="cs-CZ"/>
        </w:rPr>
        <w:instrText>:</w:instrText>
      </w:r>
      <w:r w:rsidRPr="0045423D">
        <w:rPr>
          <w:i/>
          <w:iCs/>
          <w:lang w:val="de-DE"/>
        </w:rPr>
        <w:instrText xml:space="preserve">De intellectu </w:instrText>
      </w:r>
      <w:r w:rsidRPr="0045423D">
        <w:rPr>
          <w:lang w:val="de-DE"/>
        </w:rPr>
        <w:instrText>124.326–330</w:instrText>
      </w:r>
      <w:r>
        <w:instrText xml:space="preserve">" </w:instrText>
      </w:r>
      <w:r>
        <w:rPr>
          <w:i/>
        </w:rPr>
        <w:fldChar w:fldCharType="end"/>
      </w:r>
      <w:r w:rsidRPr="001E646A">
        <w:rPr>
          <w:lang w:val="de-DE"/>
        </w:rPr>
        <w:t>).</w:t>
      </w:r>
    </w:p>
  </w:footnote>
  <w:footnote w:id="91">
    <w:p w14:paraId="11DAAB4E" w14:textId="77777777" w:rsidR="00344048" w:rsidRPr="00D66766" w:rsidRDefault="00344048" w:rsidP="084D6A79">
      <w:pPr>
        <w:pStyle w:val="Textpoznpodarou"/>
        <w:rPr>
          <w:noProof/>
          <w:lang w:val="cs-CZ"/>
        </w:rPr>
      </w:pPr>
      <w:r w:rsidRPr="003627C7">
        <w:rPr>
          <w:rStyle w:val="Znakapoznpodarou"/>
        </w:rPr>
        <w:footnoteRef/>
      </w:r>
      <w:r w:rsidRPr="008B66D4">
        <w:t xml:space="preserve"> </w:t>
      </w:r>
      <w:r w:rsidRPr="005E2B99">
        <w:rPr>
          <w:noProof/>
        </w:rPr>
        <w:t>„Wird aber das Intelligible zum actuell Intelligibilen, so werden viele von diesen anderen Kategori</w:t>
      </w:r>
      <w:r>
        <w:rPr>
          <w:noProof/>
        </w:rPr>
        <w:t>e</w:t>
      </w:r>
      <w:r w:rsidRPr="005E2B99">
        <w:rPr>
          <w:noProof/>
        </w:rPr>
        <w:t>n von ihm hinweggehoben, so dass sein Sein ein andres wird, ein Sein, was nicht jenes Sein war.“</w:t>
      </w:r>
      <w:r w:rsidRPr="005E2B99">
        <w:rPr>
          <w:rStyle w:val="Znakapoznpodarou"/>
          <w:noProof/>
        </w:rPr>
        <w:t xml:space="preserve"> </w:t>
      </w:r>
      <w:r>
        <w:rPr>
          <w:noProof/>
        </w:rPr>
        <w:t>(</w:t>
      </w:r>
      <w:r w:rsidRPr="00916F9D">
        <w:rPr>
          <w:i/>
          <w:lang w:val="cs-CZ"/>
        </w:rPr>
        <w:t>Über die Bedeutungen des Worts '</w:t>
      </w:r>
      <w:r>
        <w:rPr>
          <w:i/>
          <w:lang w:val="cs-CZ"/>
        </w:rPr>
        <w:t>Intellect', 'Vernunft'</w:t>
      </w:r>
      <w:r>
        <w:rPr>
          <w:lang w:val="cs-CZ"/>
        </w:rPr>
        <w:t xml:space="preserve">; ed. </w:t>
      </w:r>
      <w:r>
        <w:t>Dieterici</w:t>
      </w:r>
      <w:r>
        <w:rPr>
          <w:lang w:val="cs-CZ"/>
        </w:rPr>
        <w:t xml:space="preserve">, </w:t>
      </w:r>
      <w:r>
        <w:t xml:space="preserve">p. </w:t>
      </w:r>
      <w:r>
        <w:rPr>
          <w:lang w:val="cs-CZ"/>
        </w:rPr>
        <w:t>69</w:t>
      </w:r>
      <w:r>
        <w:t>.1</w:t>
      </w:r>
      <w:r>
        <w:rPr>
          <w:lang w:val="cs-CZ"/>
        </w:rPr>
        <w:t>2</w:t>
      </w:r>
      <w:r>
        <w:t>–</w:t>
      </w:r>
      <w:r w:rsidRPr="008B66D4">
        <w:t>15</w:t>
      </w:r>
      <w:r>
        <w:rPr>
          <w:lang w:val="cs-CZ"/>
        </w:rPr>
        <w:t xml:space="preserve">; </w:t>
      </w:r>
      <w:r w:rsidRPr="001E646A">
        <w:rPr>
          <w:lang w:val="de-DE"/>
        </w:rPr>
        <w:t xml:space="preserve">ed. </w:t>
      </w:r>
      <w:r w:rsidRPr="084D6A79">
        <w:rPr>
          <w:lang w:val="de-DE"/>
        </w:rPr>
        <w:t>Gilson, p. 119.135–140</w:t>
      </w:r>
      <w:r>
        <w:rPr>
          <w:i/>
        </w:rPr>
        <w:fldChar w:fldCharType="begin"/>
      </w:r>
      <w:r>
        <w:instrText xml:space="preserve"> XE "Al-Fárábí</w:instrText>
      </w:r>
      <w:r>
        <w:rPr>
          <w:lang w:val="cs-CZ"/>
        </w:rPr>
        <w:instrText>:</w:instrText>
      </w:r>
      <w:r w:rsidRPr="0045423D">
        <w:rPr>
          <w:i/>
          <w:iCs/>
          <w:lang w:val="de-DE"/>
        </w:rPr>
        <w:instrText xml:space="preserve"> De intellectu </w:instrText>
      </w:r>
      <w:r w:rsidRPr="0045423D">
        <w:rPr>
          <w:lang w:val="de-DE"/>
        </w:rPr>
        <w:instrText>119.135–140</w:instrText>
      </w:r>
      <w:r>
        <w:instrText xml:space="preserve">" </w:instrText>
      </w:r>
      <w:r>
        <w:rPr>
          <w:i/>
        </w:rPr>
        <w:fldChar w:fldCharType="end"/>
      </w:r>
      <w:r>
        <w:rPr>
          <w:lang w:val="de-DE"/>
        </w:rPr>
        <w:t>)</w:t>
      </w:r>
    </w:p>
  </w:footnote>
  <w:footnote w:id="92">
    <w:p w14:paraId="0CEA7FD1" w14:textId="77777777" w:rsidR="00344048" w:rsidRPr="00C6075B" w:rsidRDefault="00344048">
      <w:pPr>
        <w:pStyle w:val="Textpoznpodarou"/>
        <w:rPr>
          <w:lang w:val="cs-CZ"/>
        </w:rPr>
      </w:pPr>
      <w:r>
        <w:rPr>
          <w:rStyle w:val="Znakapoznpodarou"/>
        </w:rPr>
        <w:footnoteRef/>
      </w:r>
      <w:r>
        <w:t xml:space="preserve"> </w:t>
      </w:r>
      <w:r w:rsidRPr="009B7E35">
        <w:t>„Ist nun das Intelligible zum actuell Intelligiblen geworden so wird es zu einem in der Welt Vorhandenen (</w:t>
      </w:r>
      <w:r w:rsidRPr="009B7E35">
        <w:rPr>
          <w:i/>
          <w:szCs w:val="24"/>
        </w:rPr>
        <w:t>fiunt tunc unum de hiis que habent esse in mundo</w:t>
      </w:r>
      <w:r w:rsidRPr="009B7E35">
        <w:t>) und rechnet man es somit als Intelligibles zur Gesammtheit des Vorhandenen (</w:t>
      </w:r>
      <w:r w:rsidRPr="009B7E35">
        <w:rPr>
          <w:i/>
          <w:szCs w:val="24"/>
        </w:rPr>
        <w:t>numerantur esse de universitate eorum que sunt</w:t>
      </w:r>
      <w:r w:rsidRPr="009B7E35">
        <w:t>). Es gehört aber zur Natur von allem Vorhandenen, dass es gedacht werden kann und als Form für dieses Wesen (den Intellect) statt habe.“ (</w:t>
      </w:r>
      <w:r w:rsidRPr="009B7E35">
        <w:rPr>
          <w:i/>
        </w:rPr>
        <w:t>Über die Bedeutungen de</w:t>
      </w:r>
      <w:r>
        <w:rPr>
          <w:i/>
        </w:rPr>
        <w:t>s Worts 'Intellect', 'Vernunft'</w:t>
      </w:r>
      <w:r>
        <w:t>; ed. Dieteric</w:t>
      </w:r>
      <w:r w:rsidRPr="009B7E35">
        <w:t>i, p. 69.24–29</w:t>
      </w:r>
      <w:r>
        <w:rPr>
          <w:lang w:val="cs-CZ"/>
        </w:rPr>
        <w:t xml:space="preserve">; </w:t>
      </w:r>
      <w:r w:rsidRPr="0044218E">
        <w:rPr>
          <w:i/>
          <w:lang w:val="de-DE"/>
        </w:rPr>
        <w:t xml:space="preserve">Liber Alpharabii </w:t>
      </w:r>
      <w:r w:rsidRPr="0044218E">
        <w:rPr>
          <w:i/>
          <w:iCs/>
          <w:lang w:val="de-DE"/>
        </w:rPr>
        <w:t>De intellectu et intellecto</w:t>
      </w:r>
      <w:r>
        <w:rPr>
          <w:lang w:val="de-DE"/>
        </w:rPr>
        <w:t xml:space="preserve">; </w:t>
      </w:r>
      <w:r w:rsidRPr="0044218E">
        <w:rPr>
          <w:lang w:val="de-DE"/>
        </w:rPr>
        <w:t xml:space="preserve">ed. </w:t>
      </w:r>
      <w:r>
        <w:rPr>
          <w:lang w:val="fr-FR"/>
        </w:rPr>
        <w:t>Gilson, p. 119.144–148</w:t>
      </w:r>
      <w:r>
        <w:rPr>
          <w:i/>
        </w:rPr>
        <w:fldChar w:fldCharType="begin"/>
      </w:r>
      <w:r>
        <w:instrText xml:space="preserve"> XE "Al-Fárábí</w:instrText>
      </w:r>
      <w:r>
        <w:rPr>
          <w:lang w:val="cs-CZ"/>
        </w:rPr>
        <w:instrText>:</w:instrText>
      </w:r>
      <w:r>
        <w:rPr>
          <w:i/>
          <w:iCs/>
          <w:lang w:val="fr-FR"/>
        </w:rPr>
        <w:instrText xml:space="preserve">De intellectu </w:instrText>
      </w:r>
      <w:r>
        <w:rPr>
          <w:lang w:val="fr-FR"/>
        </w:rPr>
        <w:instrText>119.144–148</w:instrText>
      </w:r>
      <w:r>
        <w:instrText xml:space="preserve">" </w:instrText>
      </w:r>
      <w:r>
        <w:rPr>
          <w:i/>
        </w:rPr>
        <w:fldChar w:fldCharType="end"/>
      </w:r>
      <w:r w:rsidRPr="009B7E35">
        <w:t>)</w:t>
      </w:r>
    </w:p>
  </w:footnote>
  <w:footnote w:id="93">
    <w:p w14:paraId="1B363C69" w14:textId="77777777" w:rsidR="00344048" w:rsidRPr="000C64E7" w:rsidRDefault="00344048" w:rsidP="00687C84">
      <w:pPr>
        <w:pStyle w:val="Textpoznpodarou"/>
      </w:pPr>
      <w:r w:rsidRPr="000C64E7">
        <w:rPr>
          <w:rStyle w:val="Znakapoznpodarou"/>
        </w:rPr>
        <w:footnoteRef/>
      </w:r>
      <w:r w:rsidRPr="000C64E7">
        <w:t xml:space="preserve"> „Hec sint intellecta in quantum sunt intellecta in effectu et ipsa essencia sit intellectus in effectu et intelligat eciam. Igitur quod intelligitur tunc non est aliud ab eo quod est intell</w:t>
      </w:r>
      <w:r>
        <w:rPr>
          <w:lang w:val="cs-CZ"/>
        </w:rPr>
        <w:t>e</w:t>
      </w:r>
      <w:r w:rsidRPr="000C64E7">
        <w:t>ctus intelligens in effectu.“ (</w:t>
      </w:r>
      <w:r w:rsidRPr="000C64E7">
        <w:rPr>
          <w:i/>
        </w:rPr>
        <w:t>Liber</w:t>
      </w:r>
      <w:r w:rsidRPr="000C64E7">
        <w:t xml:space="preserve"> </w:t>
      </w:r>
      <w:r w:rsidRPr="000C64E7">
        <w:rPr>
          <w:i/>
        </w:rPr>
        <w:t>Alpharabii De intellectu et intellecto</w:t>
      </w:r>
      <w:r>
        <w:t xml:space="preserve">; </w:t>
      </w:r>
      <w:r w:rsidRPr="000C64E7">
        <w:t xml:space="preserve">ed. </w:t>
      </w:r>
      <w:r>
        <w:t>Gilson, p. 119.1</w:t>
      </w:r>
      <w:r>
        <w:rPr>
          <w:lang w:val="cs-CZ"/>
        </w:rPr>
        <w:t>50</w:t>
      </w:r>
      <w:r>
        <w:t>–1</w:t>
      </w:r>
      <w:r>
        <w:rPr>
          <w:lang w:val="cs-CZ"/>
        </w:rPr>
        <w:t>53</w:t>
      </w:r>
      <w:r>
        <w:rPr>
          <w:i/>
        </w:rPr>
        <w:fldChar w:fldCharType="begin"/>
      </w:r>
      <w:r>
        <w:instrText xml:space="preserve"> XE "Al-Fárábí</w:instrText>
      </w:r>
      <w:r>
        <w:rPr>
          <w:lang w:val="cs-CZ"/>
        </w:rPr>
        <w:instrText>:</w:instrText>
      </w:r>
      <w:r w:rsidRPr="0045423D">
        <w:rPr>
          <w:i/>
          <w:iCs/>
          <w:lang w:val="de-DE"/>
        </w:rPr>
        <w:instrText xml:space="preserve">De intellectu </w:instrText>
      </w:r>
      <w:r w:rsidRPr="0045423D">
        <w:rPr>
          <w:lang w:val="de-DE"/>
        </w:rPr>
        <w:instrText>119.150–153</w:instrText>
      </w:r>
      <w:r>
        <w:instrText xml:space="preserve">" </w:instrText>
      </w:r>
      <w:r>
        <w:rPr>
          <w:i/>
        </w:rPr>
        <w:fldChar w:fldCharType="end"/>
      </w:r>
      <w:r w:rsidRPr="000C64E7">
        <w:t>)</w:t>
      </w:r>
    </w:p>
  </w:footnote>
  <w:footnote w:id="94">
    <w:p w14:paraId="0AB84690" w14:textId="77777777" w:rsidR="00344048" w:rsidRPr="007C460E" w:rsidRDefault="00344048">
      <w:pPr>
        <w:pStyle w:val="Textpoznpodarou"/>
        <w:rPr>
          <w:lang w:val="cs-CZ"/>
        </w:rPr>
      </w:pPr>
      <w:r>
        <w:rPr>
          <w:rStyle w:val="Znakapoznpodarou"/>
        </w:rPr>
        <w:footnoteRef/>
      </w:r>
      <w:r>
        <w:t xml:space="preserve"> „</w:t>
      </w:r>
      <w:r w:rsidRPr="00C6075B">
        <w:t>Jedoch ist das, was deshalb, weil irgend ein Intelligibles ihm zur Form geworden war, actueller Intellect wurde, einmal actueller Intellect in Beziehung auf diese Form allein, dagegen potentieller Intellect in Beziehung auf ein andres Intelligibles, was ihm noch nicht actuell zukam. Kommt diesem Intellect aber das zweite Intelligible zu, so wird es actueller Intellect im ersten und zweiten Intelligiblen</w:t>
      </w:r>
      <w:r>
        <w:rPr>
          <w:lang w:val="cs-CZ"/>
        </w:rPr>
        <w:t xml:space="preserve"> (</w:t>
      </w:r>
      <w:r w:rsidRPr="00641292">
        <w:rPr>
          <w:i/>
        </w:rPr>
        <w:t>fiet intellectus in effectu propter intellectum primum et intellectum secundum</w:t>
      </w:r>
      <w:r w:rsidRPr="00641292">
        <w:t>)</w:t>
      </w:r>
      <w:r w:rsidRPr="00C6075B">
        <w:t>.</w:t>
      </w:r>
      <w:r>
        <w:t>“</w:t>
      </w:r>
      <w:r>
        <w:rPr>
          <w:lang w:val="cs-CZ"/>
        </w:rPr>
        <w:t xml:space="preserve"> </w:t>
      </w:r>
      <w:r>
        <w:rPr>
          <w:rStyle w:val="slostrnky"/>
        </w:rPr>
        <w:t>(</w:t>
      </w:r>
      <w:r w:rsidRPr="00916F9D">
        <w:rPr>
          <w:i/>
          <w:lang w:val="cs-CZ"/>
        </w:rPr>
        <w:t>Über die Bedeutungen des Worts '</w:t>
      </w:r>
      <w:r>
        <w:rPr>
          <w:i/>
          <w:lang w:val="cs-CZ"/>
        </w:rPr>
        <w:t>Intellec</w:t>
      </w:r>
      <w:r w:rsidRPr="00916F9D">
        <w:rPr>
          <w:i/>
          <w:lang w:val="cs-CZ"/>
        </w:rPr>
        <w:t>t',</w:t>
      </w:r>
      <w:r>
        <w:rPr>
          <w:i/>
          <w:lang w:val="cs-CZ"/>
        </w:rPr>
        <w:t xml:space="preserve"> 'Vernunft'</w:t>
      </w:r>
      <w:r>
        <w:rPr>
          <w:lang w:val="cs-CZ"/>
        </w:rPr>
        <w:t xml:space="preserve">; ed. </w:t>
      </w:r>
      <w:r>
        <w:t>Dieterici</w:t>
      </w:r>
      <w:r>
        <w:rPr>
          <w:lang w:val="cs-CZ"/>
        </w:rPr>
        <w:t xml:space="preserve">, </w:t>
      </w:r>
      <w:r>
        <w:t>p. 7</w:t>
      </w:r>
      <w:r>
        <w:rPr>
          <w:lang w:val="cs-CZ"/>
        </w:rPr>
        <w:t>0</w:t>
      </w:r>
      <w:r>
        <w:t xml:space="preserve">.5–14; </w:t>
      </w:r>
      <w:r w:rsidRPr="005F7B62">
        <w:rPr>
          <w:i/>
          <w:lang w:val="de-DE"/>
        </w:rPr>
        <w:t xml:space="preserve">Liber Alpharabii </w:t>
      </w:r>
      <w:r w:rsidRPr="005F7B62">
        <w:rPr>
          <w:i/>
          <w:iCs/>
          <w:lang w:val="de-DE"/>
        </w:rPr>
        <w:t>De intellectu et intellecto</w:t>
      </w:r>
      <w:r w:rsidRPr="005F7B62">
        <w:rPr>
          <w:lang w:val="de-DE"/>
        </w:rPr>
        <w:t xml:space="preserve">; ed. </w:t>
      </w:r>
      <w:r w:rsidRPr="001E646A">
        <w:rPr>
          <w:lang w:val="de-DE"/>
        </w:rPr>
        <w:t>Gilson</w:t>
      </w:r>
      <w:r>
        <w:rPr>
          <w:lang w:val="de-DE"/>
        </w:rPr>
        <w:t>, p. 119</w:t>
      </w:r>
      <w:r w:rsidRPr="001E646A">
        <w:rPr>
          <w:lang w:val="de-DE"/>
        </w:rPr>
        <w:t>.</w:t>
      </w:r>
      <w:r>
        <w:rPr>
          <w:lang w:val="de-DE"/>
        </w:rPr>
        <w:t>155</w:t>
      </w:r>
      <w:r w:rsidRPr="001E646A">
        <w:rPr>
          <w:lang w:val="de-DE"/>
        </w:rPr>
        <w:t>–</w:t>
      </w:r>
      <w:r>
        <w:rPr>
          <w:lang w:val="de-DE"/>
        </w:rPr>
        <w:t>159</w:t>
      </w:r>
      <w:r>
        <w:rPr>
          <w:i/>
        </w:rPr>
        <w:fldChar w:fldCharType="begin"/>
      </w:r>
      <w:r>
        <w:instrText xml:space="preserve"> XE "Al-Fárábí</w:instrText>
      </w:r>
      <w:r>
        <w:rPr>
          <w:lang w:val="cs-CZ"/>
        </w:rPr>
        <w:instrText>:</w:instrText>
      </w:r>
      <w:r w:rsidRPr="0045423D">
        <w:rPr>
          <w:i/>
          <w:iCs/>
          <w:lang w:val="de-DE"/>
        </w:rPr>
        <w:instrText xml:space="preserve">De intellectu </w:instrText>
      </w:r>
      <w:r w:rsidRPr="0045423D">
        <w:rPr>
          <w:lang w:val="de-DE"/>
        </w:rPr>
        <w:instrText>119.155–159</w:instrText>
      </w:r>
      <w:r>
        <w:instrText xml:space="preserve">" </w:instrText>
      </w:r>
      <w:r>
        <w:rPr>
          <w:i/>
        </w:rPr>
        <w:fldChar w:fldCharType="end"/>
      </w:r>
      <w:r>
        <w:rPr>
          <w:rStyle w:val="slostrnky"/>
        </w:rPr>
        <w:t>)</w:t>
      </w:r>
    </w:p>
  </w:footnote>
  <w:footnote w:id="95">
    <w:p w14:paraId="5A77C18D" w14:textId="77777777" w:rsidR="00344048" w:rsidRPr="08B2672B" w:rsidRDefault="00344048" w:rsidP="00D8051B">
      <w:pPr>
        <w:pStyle w:val="Textpoznpodarou"/>
        <w:rPr>
          <w:noProof/>
        </w:rPr>
      </w:pPr>
      <w:r w:rsidRPr="003627C7">
        <w:rPr>
          <w:rStyle w:val="Znakapoznpodarou"/>
        </w:rPr>
        <w:footnoteRef/>
      </w:r>
      <w:r w:rsidRPr="08B2672B">
        <w:rPr>
          <w:lang w:val="de-DE"/>
        </w:rPr>
        <w:t xml:space="preserve"> </w:t>
      </w:r>
      <w:r w:rsidRPr="005E2B99">
        <w:rPr>
          <w:noProof/>
        </w:rPr>
        <w:t xml:space="preserve"> „Der erworbene Intellect ist also gleichsam Substrat für </w:t>
      </w:r>
      <w:r w:rsidRPr="005E2B99">
        <w:rPr>
          <w:rFonts w:cs="Arial"/>
          <w:noProof/>
        </w:rPr>
        <w:t xml:space="preserve">jene </w:t>
      </w:r>
      <w:r w:rsidRPr="005E2B99">
        <w:rPr>
          <w:noProof/>
        </w:rPr>
        <w:t xml:space="preserve">Formen und wird derselbe gleichsam zur Form für den actuellen Intellect und ist dieser letztere somit gleichsam Substrat und Stoff für den erworbenen Intellect. Der actuelle Intellect ist aber wiederum Form für dieses Wesen (den potentiellen Intellect) und dieses Wesen wie ein Stoff </w:t>
      </w:r>
      <w:r w:rsidRPr="005E2B99">
        <w:rPr>
          <w:rFonts w:cs="Arial"/>
          <w:noProof/>
        </w:rPr>
        <w:t>f</w:t>
      </w:r>
      <w:r w:rsidRPr="005E2B99">
        <w:rPr>
          <w:noProof/>
        </w:rPr>
        <w:t>ü</w:t>
      </w:r>
      <w:r w:rsidRPr="005E2B99">
        <w:rPr>
          <w:rFonts w:cs="Arial"/>
          <w:noProof/>
        </w:rPr>
        <w:t xml:space="preserve">r jenen. </w:t>
      </w:r>
      <w:r w:rsidRPr="005E2B99">
        <w:rPr>
          <w:noProof/>
        </w:rPr>
        <w:t>Hierbei beginnen nun die Formen zu den leiblichen stofflichen herabzusinken, während sie vordem sich allmählich erhoben, bis sie sich langsam von den Stoffen trennten, und dem lmmateriellen mit einander wetteifernd, zustrebten.“</w:t>
      </w:r>
      <w:r w:rsidRPr="00120F4E">
        <w:rPr>
          <w:rStyle w:val="Znakapoznpodarou"/>
          <w:noProof/>
        </w:rPr>
        <w:t xml:space="preserve"> </w:t>
      </w:r>
      <w:r>
        <w:rPr>
          <w:rStyle w:val="slostrnky"/>
        </w:rPr>
        <w:t>(</w:t>
      </w:r>
      <w:r w:rsidRPr="00916F9D">
        <w:rPr>
          <w:i/>
          <w:lang w:val="cs-CZ"/>
        </w:rPr>
        <w:t>Über die Bedeutungen des Worts '</w:t>
      </w:r>
      <w:r>
        <w:rPr>
          <w:i/>
          <w:lang w:val="cs-CZ"/>
        </w:rPr>
        <w:t>Intellect', 'Vernunft'</w:t>
      </w:r>
      <w:r>
        <w:rPr>
          <w:lang w:val="cs-CZ"/>
        </w:rPr>
        <w:t xml:space="preserve">; ed. </w:t>
      </w:r>
      <w:r>
        <w:t>Dieterici</w:t>
      </w:r>
      <w:r>
        <w:rPr>
          <w:lang w:val="cs-CZ"/>
        </w:rPr>
        <w:t xml:space="preserve">, </w:t>
      </w:r>
      <w:r w:rsidRPr="005E2B99">
        <w:rPr>
          <w:noProof/>
        </w:rPr>
        <w:t>p. 72</w:t>
      </w:r>
      <w:r>
        <w:rPr>
          <w:noProof/>
        </w:rPr>
        <w:t>.</w:t>
      </w:r>
      <w:r w:rsidRPr="005E2B99">
        <w:rPr>
          <w:noProof/>
        </w:rPr>
        <w:t>15</w:t>
      </w:r>
      <w:r>
        <w:rPr>
          <w:noProof/>
        </w:rPr>
        <w:t>–</w:t>
      </w:r>
      <w:r w:rsidRPr="005E2B99">
        <w:rPr>
          <w:noProof/>
        </w:rPr>
        <w:t>29</w:t>
      </w:r>
      <w:r>
        <w:t xml:space="preserve">; </w:t>
      </w:r>
      <w:r w:rsidRPr="00AC32C8">
        <w:rPr>
          <w:i/>
          <w:lang w:val="de-DE"/>
        </w:rPr>
        <w:t xml:space="preserve">Liber Alpharabii </w:t>
      </w:r>
      <w:r w:rsidRPr="00AC32C8">
        <w:rPr>
          <w:i/>
          <w:iCs/>
          <w:lang w:val="de-DE"/>
        </w:rPr>
        <w:t>De intellectu et intellecto</w:t>
      </w:r>
      <w:r w:rsidRPr="00AC32C8">
        <w:rPr>
          <w:lang w:val="de-DE"/>
        </w:rPr>
        <w:t xml:space="preserve">; ed. </w:t>
      </w:r>
      <w:r w:rsidRPr="00F85828">
        <w:rPr>
          <w:lang w:val="de-DE"/>
        </w:rPr>
        <w:t>Gilson,</w:t>
      </w:r>
      <w:r w:rsidRPr="00F85828">
        <w:rPr>
          <w:iCs/>
          <w:lang w:val="de-DE"/>
        </w:rPr>
        <w:t xml:space="preserve"> p. 121.</w:t>
      </w:r>
      <w:r w:rsidRPr="00F85828">
        <w:rPr>
          <w:lang w:val="de-DE"/>
        </w:rPr>
        <w:t>207–214</w:t>
      </w:r>
      <w:r>
        <w:rPr>
          <w:i/>
        </w:rPr>
        <w:fldChar w:fldCharType="begin"/>
      </w:r>
      <w:r>
        <w:instrText xml:space="preserve"> XE "Al-Fárábí</w:instrText>
      </w:r>
      <w:r>
        <w:rPr>
          <w:lang w:val="cs-CZ"/>
        </w:rPr>
        <w:instrText>:</w:instrText>
      </w:r>
      <w:r w:rsidRPr="00F85828">
        <w:rPr>
          <w:i/>
          <w:iCs/>
          <w:lang w:val="de-DE"/>
        </w:rPr>
        <w:instrText xml:space="preserve">De intellectu </w:instrText>
      </w:r>
      <w:r w:rsidRPr="00F85828">
        <w:rPr>
          <w:lang w:val="de-DE"/>
        </w:rPr>
        <w:instrText>121.207–214</w:instrText>
      </w:r>
      <w:r>
        <w:instrText xml:space="preserve">" </w:instrText>
      </w:r>
      <w:r>
        <w:rPr>
          <w:i/>
        </w:rPr>
        <w:fldChar w:fldCharType="end"/>
      </w:r>
      <w:r>
        <w:rPr>
          <w:rStyle w:val="slostrnky"/>
        </w:rPr>
        <w:t>)</w:t>
      </w:r>
    </w:p>
  </w:footnote>
  <w:footnote w:id="96">
    <w:p w14:paraId="3F4923C0" w14:textId="77777777" w:rsidR="00344048" w:rsidRPr="00523A5A" w:rsidRDefault="00344048" w:rsidP="009B588B">
      <w:pPr>
        <w:pStyle w:val="Textpoznpodarou"/>
        <w:rPr>
          <w:lang w:val="cs-CZ"/>
        </w:rPr>
      </w:pPr>
      <w:r>
        <w:rPr>
          <w:rStyle w:val="Znakapoznpodarou"/>
        </w:rPr>
        <w:footnoteRef/>
      </w:r>
      <w:r>
        <w:t xml:space="preserve"> </w:t>
      </w:r>
      <w:r>
        <w:rPr>
          <w:lang w:val="cs-CZ"/>
        </w:rPr>
        <w:t>„</w:t>
      </w:r>
      <w:r w:rsidRPr="00523A5A">
        <w:rPr>
          <w:lang w:val="cs-CZ"/>
        </w:rPr>
        <w:t>Ihm erstand dann ein actueller Intellect, der höher steht als der Passiv-Intellect, der vollendeter und noch mehr als jener immateriell wurde, und noch näher dem schaffenden Intellect ste</w:t>
      </w:r>
      <w:r>
        <w:rPr>
          <w:lang w:val="cs-CZ"/>
        </w:rPr>
        <w:t>ht. Derselbe wird dann benannt '</w:t>
      </w:r>
      <w:r w:rsidRPr="00523A5A">
        <w:rPr>
          <w:lang w:val="cs-CZ"/>
        </w:rPr>
        <w:t xml:space="preserve">der </w:t>
      </w:r>
      <w:r>
        <w:rPr>
          <w:lang w:val="cs-CZ"/>
        </w:rPr>
        <w:t>gewonnene (erworbene) Intellect'</w:t>
      </w:r>
      <w:r w:rsidRPr="00523A5A">
        <w:rPr>
          <w:lang w:val="cs-CZ"/>
        </w:rPr>
        <w:t>. Er steht zwischen dem Passiv-Intellect und dem schaffenden Intellect. Nichts andres liegt zwischen ihm und dem schaffenden Intellect. Der Passiv-Intellect ist also wie Stoff und Substrat für den gewonnenen Intellect und ist dieser Letztere wiederum wie Stoff und Substrat für den schaffenden Intellect.</w:t>
      </w:r>
      <w:r>
        <w:rPr>
          <w:lang w:val="cs-CZ"/>
        </w:rPr>
        <w:t>“ (</w:t>
      </w:r>
      <w:r w:rsidRPr="00523A5A">
        <w:rPr>
          <w:i/>
          <w:lang w:val="cs-CZ"/>
        </w:rPr>
        <w:t>Der Musterstaat von Al-Fārābī</w:t>
      </w:r>
      <w:r>
        <w:rPr>
          <w:lang w:val="cs-CZ"/>
        </w:rPr>
        <w:t>, cap. 27a; ed. Dieterici, p. 92</w:t>
      </w:r>
      <w:r>
        <w:rPr>
          <w:i/>
        </w:rPr>
        <w:fldChar w:fldCharType="begin"/>
      </w:r>
      <w:r>
        <w:instrText xml:space="preserve"> XE "</w:instrText>
      </w:r>
      <w:r w:rsidRPr="008B47B0">
        <w:rPr>
          <w:lang w:val="cs-CZ"/>
        </w:rPr>
        <w:instrText>Al-</w:instrText>
      </w:r>
      <w:r>
        <w:rPr>
          <w:lang w:val="cs-CZ"/>
        </w:rPr>
        <w:instrText>Fárábí</w:instrText>
      </w:r>
      <w:r w:rsidRPr="008B47B0">
        <w:rPr>
          <w:lang w:val="cs-CZ"/>
        </w:rPr>
        <w:instrText>:</w:instrText>
      </w:r>
      <w:r w:rsidRPr="00523A5A">
        <w:rPr>
          <w:i/>
          <w:lang w:val="cs-CZ"/>
        </w:rPr>
        <w:instrText>Der Musterstaat von Al-Fārābī</w:instrText>
      </w:r>
      <w:r>
        <w:rPr>
          <w:i/>
          <w:lang w:val="cs-CZ"/>
        </w:rPr>
        <w:instrText xml:space="preserve"> </w:instrText>
      </w:r>
      <w:r>
        <w:rPr>
          <w:lang w:val="cs-CZ"/>
        </w:rPr>
        <w:instrText>92</w:instrText>
      </w:r>
      <w:r>
        <w:instrText xml:space="preserve">" </w:instrText>
      </w:r>
      <w:r>
        <w:rPr>
          <w:i/>
        </w:rPr>
        <w:fldChar w:fldCharType="end"/>
      </w:r>
      <w:r>
        <w:rPr>
          <w:lang w:val="cs-CZ"/>
        </w:rPr>
        <w:t>)</w:t>
      </w:r>
    </w:p>
  </w:footnote>
  <w:footnote w:id="97">
    <w:p w14:paraId="73ED5B4F" w14:textId="77777777" w:rsidR="00344048" w:rsidRPr="008F569A" w:rsidRDefault="00344048" w:rsidP="00422504">
      <w:pPr>
        <w:pStyle w:val="Textpoznpodarou"/>
        <w:rPr>
          <w:lang w:val="cs-CZ"/>
        </w:rPr>
      </w:pPr>
      <w:r>
        <w:rPr>
          <w:rStyle w:val="Znakapoznpodarou"/>
        </w:rPr>
        <w:footnoteRef/>
      </w:r>
      <w:r>
        <w:t xml:space="preserve"> </w:t>
      </w:r>
      <w:r>
        <w:rPr>
          <w:lang w:val="cs-CZ"/>
        </w:rPr>
        <w:t>„</w:t>
      </w:r>
      <w:r w:rsidRPr="008F569A">
        <w:rPr>
          <w:lang w:val="cs-CZ"/>
        </w:rPr>
        <w:t>Die erste Stufe, wodurch der Mensch zum Menschen wird, ist die, dass (in ihm) die natürliche annehmende und dazu wohlbereitete Grundanlage statthabe, diese dient dazu um actuell Intellect zu werden. Diese Grundanlage ist allen gemeinsam. Zwischen ihr und dem schaffenden</w:t>
      </w:r>
      <w:r>
        <w:rPr>
          <w:lang w:val="cs-CZ"/>
        </w:rPr>
        <w:t xml:space="preserve"> </w:t>
      </w:r>
      <w:r w:rsidRPr="008F569A">
        <w:rPr>
          <w:lang w:val="cs-CZ"/>
        </w:rPr>
        <w:t>Intellect liegen dann zwei Stufen nämlich die, dass der Passiv-Intellect wirklich erstehe, so wie auch die, dass der gewonnene Intellect statthabe.</w:t>
      </w:r>
      <w:r>
        <w:rPr>
          <w:lang w:val="cs-CZ"/>
        </w:rPr>
        <w:t>“ (</w:t>
      </w:r>
      <w:r w:rsidRPr="00523A5A">
        <w:rPr>
          <w:i/>
          <w:lang w:val="cs-CZ"/>
        </w:rPr>
        <w:t>Der Musterstaat von Al-Fārābī</w:t>
      </w:r>
      <w:r>
        <w:rPr>
          <w:lang w:val="cs-CZ"/>
        </w:rPr>
        <w:t>, cap. 27a</w:t>
      </w:r>
      <w:r>
        <w:rPr>
          <w:i/>
        </w:rPr>
        <w:fldChar w:fldCharType="begin"/>
      </w:r>
      <w:r>
        <w:instrText xml:space="preserve"> XE "</w:instrText>
      </w:r>
      <w:r w:rsidRPr="008B47B0">
        <w:rPr>
          <w:lang w:val="cs-CZ"/>
        </w:rPr>
        <w:instrText>Al-</w:instrText>
      </w:r>
      <w:r>
        <w:rPr>
          <w:lang w:val="cs-CZ"/>
        </w:rPr>
        <w:instrText>Fárábí</w:instrText>
      </w:r>
      <w:r w:rsidRPr="008B47B0">
        <w:rPr>
          <w:lang w:val="cs-CZ"/>
        </w:rPr>
        <w:instrText>:</w:instrText>
      </w:r>
      <w:r w:rsidRPr="00523A5A">
        <w:rPr>
          <w:i/>
          <w:lang w:val="cs-CZ"/>
        </w:rPr>
        <w:instrText>Der Musterstaat von Al-Fārābī</w:instrText>
      </w:r>
      <w:r>
        <w:rPr>
          <w:i/>
          <w:lang w:val="cs-CZ"/>
        </w:rPr>
        <w:instrText xml:space="preserve"> </w:instrText>
      </w:r>
      <w:r>
        <w:rPr>
          <w:lang w:val="cs-CZ"/>
        </w:rPr>
        <w:instrText>92</w:instrText>
      </w:r>
      <w:r>
        <w:instrText xml:space="preserve">" </w:instrText>
      </w:r>
      <w:r>
        <w:rPr>
          <w:i/>
        </w:rPr>
        <w:fldChar w:fldCharType="end"/>
      </w:r>
      <w:r>
        <w:rPr>
          <w:lang w:val="cs-CZ"/>
        </w:rPr>
        <w:t>; ed. Dieterici, p. 92)</w:t>
      </w:r>
    </w:p>
  </w:footnote>
  <w:footnote w:id="98">
    <w:p w14:paraId="73D4C860" w14:textId="77777777" w:rsidR="00344048" w:rsidRPr="00931631" w:rsidRDefault="00344048" w:rsidP="00DF03B6">
      <w:pPr>
        <w:pStyle w:val="Textpoznpodarou"/>
      </w:pPr>
      <w:r>
        <w:rPr>
          <w:rStyle w:val="Znakapoznpodarou"/>
        </w:rPr>
        <w:footnoteRef/>
      </w:r>
      <w:r>
        <w:rPr>
          <w:lang w:val="fr-FR"/>
        </w:rPr>
        <w:t xml:space="preserve"> </w:t>
      </w:r>
      <w:r>
        <w:t>„</w:t>
      </w:r>
      <w:r w:rsidRPr="00931631">
        <w:t xml:space="preserve">Farabi s’inscrit dans le prolongement direct de cette doctrine en parlant pour sa part de la </w:t>
      </w:r>
      <w:r>
        <w:t>«norme naturelle de l’humanité</w:t>
      </w:r>
      <w:r w:rsidRPr="00931631">
        <w:t xml:space="preserve">», </w:t>
      </w:r>
      <w:r w:rsidRPr="00931631">
        <w:rPr>
          <w:i/>
        </w:rPr>
        <w:t>fiṭra insāniyya</w:t>
      </w:r>
      <w:r w:rsidRPr="00931631">
        <w:t>, qui charactérise tous les hommes de saine constitution et qui constitue pour chacun d’eux une aptitude réceptive à l’égard d’un même ensemble d’ «</w:t>
      </w:r>
      <w:r>
        <w:t>intelligibles premiers</w:t>
      </w:r>
      <w:r w:rsidRPr="00931631">
        <w:t xml:space="preserve">» et d’activités communes afférentes, ensemble qui est appelé par métonymie </w:t>
      </w:r>
      <w:r>
        <w:t>«norme naturelle commune</w:t>
      </w:r>
      <w:r w:rsidRPr="00931631">
        <w:t xml:space="preserve">», </w:t>
      </w:r>
      <w:r w:rsidRPr="00931631">
        <w:rPr>
          <w:i/>
        </w:rPr>
        <w:t>fiṭra mushtarika</w:t>
      </w:r>
      <w:r>
        <w:t>.“</w:t>
      </w:r>
      <w:r w:rsidRPr="00931631">
        <w:t xml:space="preserve"> (Vallat 2004, 223)</w:t>
      </w:r>
    </w:p>
  </w:footnote>
  <w:footnote w:id="99">
    <w:p w14:paraId="4518139F" w14:textId="77777777" w:rsidR="00344048" w:rsidRPr="006309D4" w:rsidRDefault="00344048" w:rsidP="00DF03B6">
      <w:pPr>
        <w:pStyle w:val="Textpoznpodarou"/>
      </w:pPr>
      <w:r>
        <w:rPr>
          <w:rStyle w:val="Znakapoznpodarou"/>
        </w:rPr>
        <w:footnoteRef/>
      </w:r>
      <w:r w:rsidRPr="006309D4">
        <w:t xml:space="preserve"> </w:t>
      </w:r>
      <w:r>
        <w:t xml:space="preserve">Griffel cituje </w:t>
      </w:r>
      <w:r w:rsidRPr="00EC65DF">
        <w:t>díl</w:t>
      </w:r>
      <w:r>
        <w:rPr>
          <w:lang w:val="cs-CZ"/>
        </w:rPr>
        <w:t>o</w:t>
      </w:r>
      <w:r w:rsidRPr="00EC65DF">
        <w:t xml:space="preserve"> </w:t>
      </w:r>
      <w:r w:rsidRPr="00EC65DF">
        <w:rPr>
          <w:i/>
        </w:rPr>
        <w:t>Revival of the Religious Sciences</w:t>
      </w:r>
      <w:r>
        <w:rPr>
          <w:i/>
          <w:lang w:val="cs-CZ"/>
        </w:rPr>
        <w:t xml:space="preserve">, </w:t>
      </w:r>
      <w:r w:rsidRPr="084D7E48">
        <w:rPr>
          <w:lang w:val="cs-CZ"/>
        </w:rPr>
        <w:t>kap. 29</w:t>
      </w:r>
      <w:r w:rsidRPr="00EC65DF">
        <w:rPr>
          <w:i/>
        </w:rPr>
        <w:t xml:space="preserve"> </w:t>
      </w:r>
      <w:r w:rsidRPr="00EC65DF">
        <w:t>(</w:t>
      </w:r>
      <w:r w:rsidRPr="00EC65DF">
        <w:rPr>
          <w:i/>
        </w:rPr>
        <w:t>Iḥyā’ ‘ulūm al-dīn</w:t>
      </w:r>
      <w:r>
        <w:t xml:space="preserve">) následovně: </w:t>
      </w:r>
      <w:r>
        <w:rPr>
          <w:lang w:val="cs-CZ"/>
        </w:rPr>
        <w:t>„</w:t>
      </w:r>
      <w:r w:rsidRPr="00EC65DF">
        <w:t>I mean by it (</w:t>
      </w:r>
      <w:r w:rsidRPr="00EC65DF">
        <w:rPr>
          <w:i/>
        </w:rPr>
        <w:t>scil</w:t>
      </w:r>
      <w:r w:rsidRPr="00EC65DF">
        <w:t xml:space="preserve">. the intellect) the inborn original disposition and the initial light through which people perceive the essences of things.” </w:t>
      </w:r>
      <w:r w:rsidRPr="0026144A">
        <w:t>(Griffel 2012, 6 [Al-</w:t>
      </w:r>
      <w:r>
        <w:t>Ghazál</w:t>
      </w:r>
      <w:r w:rsidRPr="0026144A">
        <w:t xml:space="preserve">í, </w:t>
      </w:r>
      <w:r w:rsidRPr="0026144A">
        <w:rPr>
          <w:i/>
        </w:rPr>
        <w:t xml:space="preserve">Iḥyā’ </w:t>
      </w:r>
      <w:r>
        <w:t xml:space="preserve">ed. Cairo </w:t>
      </w:r>
      <w:r w:rsidRPr="0026144A">
        <w:t>11:2066.18–21</w:t>
      </w:r>
      <w:r>
        <w:fldChar w:fldCharType="begin"/>
      </w:r>
      <w:r>
        <w:instrText xml:space="preserve"> XE "</w:instrText>
      </w:r>
      <w:r w:rsidRPr="009D0A43">
        <w:instrText>Al-Ghazálí:</w:instrText>
      </w:r>
      <w:r w:rsidRPr="00E506E9">
        <w:rPr>
          <w:i/>
        </w:rPr>
        <w:instrText>Revival of the Religious Sciences</w:instrText>
      </w:r>
      <w:r>
        <w:rPr>
          <w:lang w:val="cs-CZ"/>
        </w:rPr>
        <w:instrText xml:space="preserve"> </w:instrText>
      </w:r>
      <w:r w:rsidRPr="009D0A43">
        <w:instrText>2066.18–21</w:instrText>
      </w:r>
      <w:r>
        <w:instrText xml:space="preserve">" </w:instrText>
      </w:r>
      <w:r>
        <w:fldChar w:fldCharType="end"/>
      </w:r>
      <w:r w:rsidRPr="0026144A">
        <w:t>]).</w:t>
      </w:r>
    </w:p>
  </w:footnote>
  <w:footnote w:id="100">
    <w:p w14:paraId="47B58145" w14:textId="77777777" w:rsidR="00344048" w:rsidRPr="08AF5AB9" w:rsidRDefault="00344048" w:rsidP="08AF5AB9">
      <w:pPr>
        <w:pStyle w:val="Textpoznpodarou"/>
      </w:pPr>
      <w:r w:rsidRPr="08AF5AB9">
        <w:rPr>
          <w:rStyle w:val="Znakapoznpodarou"/>
        </w:rPr>
        <w:footnoteRef/>
      </w:r>
      <w:r w:rsidRPr="08AF5AB9">
        <w:t xml:space="preserve"> </w:t>
      </w:r>
      <w:r w:rsidRPr="08AF5AB9">
        <w:rPr>
          <w:rStyle w:val="Zkladntextdkovn0pt"/>
          <w:rFonts w:ascii="Calibri" w:eastAsia="Times" w:hAnsi="Calibri" w:cs="Times New Roman"/>
          <w:color w:val="auto"/>
          <w:spacing w:val="0"/>
          <w:sz w:val="20"/>
          <w:u w:val="none"/>
          <w:lang w:val="x-none"/>
        </w:rPr>
        <w:t xml:space="preserve">„Nachdem er [ie. intellectus agens] aber die Formen dem Stoff verliehn, bemüht er sich nach der zwischen ihnen herrschenden Lage das Getrennte zusammen und einander nah zu bringen, </w:t>
      </w:r>
      <w:r w:rsidRPr="08AF5AB9">
        <w:rPr>
          <w:rStyle w:val="slostrnky"/>
        </w:rPr>
        <w:t>sodass dieselben dem erworbenen Intellect, in welchem die menschliche Natur enthalten ist, zukommen, d.h. dass der Mensch in allem, was seine Natur herstellt, dem taetigen Intellect möglichst nahe steht. Hierin beruht denn auch das höchste Glück des Menschen und das himmlische Leben und wird hierdurch die höchste Vollendung und das Erhabenste, was seine Natur ausmacht, erreicht.“ (</w:t>
      </w:r>
      <w:r w:rsidRPr="0887552A">
        <w:rPr>
          <w:i/>
        </w:rPr>
        <w:t>Über die Bedeutungen des Worts 'Intellect', 'Vernunft'</w:t>
      </w:r>
      <w:r w:rsidRPr="08AF5AB9">
        <w:t xml:space="preserve">; ed. Dieterici, p. 77.5–14; </w:t>
      </w:r>
      <w:r w:rsidRPr="0887552A">
        <w:rPr>
          <w:i/>
        </w:rPr>
        <w:t>Liber Alpharabii De intellectu et intellecto</w:t>
      </w:r>
      <w:r w:rsidRPr="08AF5AB9">
        <w:t>; ed. Gilson, p. 123.300–310</w:t>
      </w:r>
      <w:r w:rsidRPr="08AF5AB9">
        <w:fldChar w:fldCharType="begin"/>
      </w:r>
      <w:r w:rsidRPr="08AF5AB9">
        <w:instrText xml:space="preserve"> XE "Al-Fárábí:</w:instrText>
      </w:r>
      <w:r w:rsidRPr="08CB76E8">
        <w:rPr>
          <w:i/>
        </w:rPr>
        <w:instrText>De intellectu</w:instrText>
      </w:r>
      <w:r w:rsidRPr="08AF5AB9">
        <w:instrText xml:space="preserve"> 123.300–310" </w:instrText>
      </w:r>
      <w:r w:rsidRPr="08AF5AB9">
        <w:fldChar w:fldCharType="end"/>
      </w:r>
      <w:r w:rsidRPr="08AF5AB9">
        <w:rPr>
          <w:rStyle w:val="slostrnky"/>
        </w:rPr>
        <w:t>)</w:t>
      </w:r>
    </w:p>
  </w:footnote>
  <w:footnote w:id="101">
    <w:p w14:paraId="192D0AFC" w14:textId="77777777" w:rsidR="00344048" w:rsidRPr="00E167A0" w:rsidRDefault="00344048" w:rsidP="00AA2D94">
      <w:pPr>
        <w:pStyle w:val="Textpoznpodarou"/>
      </w:pPr>
      <w:r>
        <w:rPr>
          <w:rStyle w:val="Znakapoznpodarou"/>
        </w:rPr>
        <w:footnoteRef/>
      </w:r>
      <w:r w:rsidRPr="00693246">
        <w:rPr>
          <w:lang w:val="de-DE"/>
        </w:rPr>
        <w:t xml:space="preserve">  „Als der Saal nahezu voll war, nahm einer der Ungläubigen das Wort und sprach: </w:t>
      </w:r>
      <w:r>
        <w:rPr>
          <w:noProof/>
        </w:rPr>
        <w:t>«</w:t>
      </w:r>
      <w:r w:rsidRPr="00693246">
        <w:rPr>
          <w:lang w:val="de-DE"/>
        </w:rPr>
        <w:t xml:space="preserve">Wir haben uns </w:t>
      </w:r>
      <w:r w:rsidRPr="005945EC">
        <w:rPr>
          <w:lang w:val="de-DE"/>
        </w:rPr>
        <w:t xml:space="preserve">versammelt, um zu discutiren, sagte er, Ihr alle kennt die Vorbedingungen, Ihr Mohammedaner dürft uns nicht mit Beweisgründen bekämpfen, die aus Eurer Schrift geschöpft sind oder auf die Reden Eures Propheten sich stützen. </w:t>
      </w:r>
      <w:r>
        <w:t xml:space="preserve">Denn wir glauben weder an dieses Buch noch an Euren Propheten. </w:t>
      </w:r>
      <w:r w:rsidRPr="00E167A0">
        <w:rPr>
          <w:lang w:val="de-DE"/>
        </w:rPr>
        <w:t>Jeder von den Anwesenden soll sich nur auf Gründe berufen, die aus der menschlichen Vernunft genommen sind.</w:t>
      </w:r>
      <w:r w:rsidRPr="005E2B99">
        <w:rPr>
          <w:noProof/>
        </w:rPr>
        <w:t>»</w:t>
      </w:r>
      <w:r w:rsidRPr="00E167A0">
        <w:rPr>
          <w:lang w:val="de-DE"/>
        </w:rPr>
        <w:t xml:space="preserve">“ </w:t>
      </w:r>
      <w:r>
        <w:t>(Kremer 1868, 241</w:t>
      </w:r>
      <w:r>
        <w:rPr>
          <w:i/>
          <w:iCs/>
        </w:rPr>
        <w:t>−</w:t>
      </w:r>
      <w:r>
        <w:t>42)</w:t>
      </w:r>
    </w:p>
  </w:footnote>
  <w:footnote w:id="102">
    <w:p w14:paraId="700B33FF" w14:textId="77777777" w:rsidR="00344048" w:rsidRPr="00B957B8" w:rsidRDefault="00344048" w:rsidP="0021296F">
      <w:pPr>
        <w:pStyle w:val="Textpoznpodarou"/>
      </w:pPr>
      <w:r>
        <w:rPr>
          <w:rStyle w:val="Znakapoznpodarou"/>
        </w:rPr>
        <w:footnoteRef/>
      </w:r>
      <w:r>
        <w:t xml:space="preserve"> Debata o tzv. „druhém začátku“ Aristotelovy metafyziky je nyní situována na úroveň Avicennovy metafyziky </w:t>
      </w:r>
      <w:r w:rsidRPr="005931BF">
        <w:rPr>
          <w:i/>
        </w:rPr>
        <w:t xml:space="preserve">Ilāhiyyāt </w:t>
      </w:r>
      <w:r>
        <w:t>(A. Bertolacci). Předtím byl začátek druhé scholastiky hledán u Akvinského a u Scota (</w:t>
      </w:r>
      <w:r w:rsidRPr="00E6378E">
        <w:t xml:space="preserve">L. </w:t>
      </w:r>
      <w:r w:rsidRPr="00E6378E">
        <w:rPr>
          <w:rFonts w:eastAsia="Brill-Roman"/>
        </w:rPr>
        <w:t>Honnefelder</w:t>
      </w:r>
      <w:r>
        <w:t xml:space="preserve">) nebo ve scholastice 12. století ovlivněné metafyzikou Avicenny (A. Speer). </w:t>
      </w:r>
      <w:r>
        <w:rPr>
          <w:lang w:val="cs-CZ"/>
        </w:rPr>
        <w:t>P</w:t>
      </w:r>
      <w:r>
        <w:t xml:space="preserve">řehled této debaty </w:t>
      </w:r>
      <w:r>
        <w:rPr>
          <w:lang w:val="cs-CZ"/>
        </w:rPr>
        <w:t xml:space="preserve">viz </w:t>
      </w:r>
      <w:r>
        <w:t>Bertolacci 2014, 102.</w:t>
      </w:r>
    </w:p>
  </w:footnote>
  <w:footnote w:id="103">
    <w:p w14:paraId="78D69E4B" w14:textId="77777777" w:rsidR="00344048" w:rsidRPr="00D7086C" w:rsidRDefault="00344048" w:rsidP="088B6D9E">
      <w:pPr>
        <w:pStyle w:val="Textpoznpodarou"/>
        <w:rPr>
          <w:lang w:val="cs-CZ"/>
        </w:rPr>
      </w:pPr>
      <w:r>
        <w:rPr>
          <w:rStyle w:val="Znakapoznpodarou"/>
        </w:rPr>
        <w:footnoteRef/>
      </w:r>
      <w:r>
        <w:t xml:space="preserve"> </w:t>
      </w:r>
      <w:r>
        <w:rPr>
          <w:lang w:val="cs-CZ"/>
        </w:rPr>
        <w:t>„</w:t>
      </w:r>
      <w:r w:rsidRPr="009518BA">
        <w:rPr>
          <w:rFonts w:eastAsia="MinionPro-Regular"/>
        </w:rPr>
        <w:t xml:space="preserve">It is obvious that by equivocity in </w:t>
      </w:r>
      <w:r>
        <w:rPr>
          <w:rFonts w:eastAsia="MinionPro-Regular"/>
          <w:lang w:val="cs-CZ"/>
        </w:rPr>
        <w:t>'</w:t>
      </w:r>
      <w:r>
        <w:rPr>
          <w:rFonts w:eastAsia="MinionPro-Regular"/>
        </w:rPr>
        <w:t>order and proportionalit</w:t>
      </w:r>
      <w:r>
        <w:rPr>
          <w:rFonts w:eastAsia="MinionPro-Regular"/>
          <w:lang w:val="cs-CZ"/>
        </w:rPr>
        <w:t>y'</w:t>
      </w:r>
      <w:r w:rsidRPr="009518BA">
        <w:rPr>
          <w:rFonts w:eastAsia="MinionPro-Regular"/>
        </w:rPr>
        <w:t xml:space="preserve"> </w:t>
      </w:r>
      <w:r w:rsidRPr="009E4ACF">
        <w:rPr>
          <w:rFonts w:eastAsia="MinionPro-Regular"/>
        </w:rPr>
        <w:t>F</w:t>
      </w:r>
      <w:r w:rsidRPr="009E4ACF">
        <w:rPr>
          <w:rFonts w:eastAsia="MinionPro-Regular" w:cs="Calibri"/>
        </w:rPr>
        <w:t>ā</w:t>
      </w:r>
      <w:r w:rsidRPr="009E4ACF">
        <w:rPr>
          <w:rFonts w:eastAsia="MinionPro-Regular"/>
        </w:rPr>
        <w:t>r</w:t>
      </w:r>
      <w:r w:rsidRPr="009E4ACF">
        <w:rPr>
          <w:rFonts w:eastAsia="MinionPro-Regular" w:cs="Calibri"/>
        </w:rPr>
        <w:t>ā</w:t>
      </w:r>
      <w:r w:rsidRPr="009E4ACF">
        <w:rPr>
          <w:rFonts w:eastAsia="MinionPro-Regular"/>
        </w:rPr>
        <w:t>b</w:t>
      </w:r>
      <w:r w:rsidRPr="009E4ACF">
        <w:rPr>
          <w:rFonts w:eastAsia="MinionPro-Regular" w:cs="Calibri"/>
        </w:rPr>
        <w:t>ī</w:t>
      </w:r>
      <w:r>
        <w:rPr>
          <w:rFonts w:eastAsia="MinionPro-Regular"/>
          <w:lang w:val="cs-CZ"/>
        </w:rPr>
        <w:t xml:space="preserve"> </w:t>
      </w:r>
      <w:r w:rsidRPr="009518BA">
        <w:rPr>
          <w:rFonts w:eastAsia="MinionPro-Regular"/>
        </w:rPr>
        <w:t>means essentially the same thing as modulated univocals (</w:t>
      </w:r>
      <w:r w:rsidRPr="00D7086C">
        <w:rPr>
          <w:rFonts w:eastAsia="MinionPro-It"/>
          <w:i/>
        </w:rPr>
        <w:t>asm</w:t>
      </w:r>
      <w:r w:rsidRPr="00D7086C">
        <w:rPr>
          <w:rFonts w:eastAsia="MinionPro-It" w:hint="eastAsia"/>
          <w:i/>
        </w:rPr>
        <w:t>ā</w:t>
      </w:r>
      <w:r w:rsidRPr="00D7086C">
        <w:rPr>
          <w:rFonts w:eastAsia="MinionPro-Regular"/>
          <w:i/>
        </w:rPr>
        <w:t>ʾ</w:t>
      </w:r>
      <w:r w:rsidRPr="00D7086C">
        <w:rPr>
          <w:rFonts w:eastAsia="MinionPro-Regular"/>
          <w:i/>
          <w:lang w:val="cs-CZ"/>
        </w:rPr>
        <w:t xml:space="preserve"> </w:t>
      </w:r>
      <w:r w:rsidRPr="00D7086C">
        <w:rPr>
          <w:rFonts w:eastAsia="MinionPro-It"/>
          <w:i/>
        </w:rPr>
        <w:t>mu</w:t>
      </w:r>
      <w:r w:rsidRPr="00D7086C">
        <w:rPr>
          <w:rFonts w:eastAsia="MinionPro-It" w:hint="eastAsia"/>
          <w:i/>
        </w:rPr>
        <w:t>š</w:t>
      </w:r>
      <w:r w:rsidRPr="00D7086C">
        <w:rPr>
          <w:rFonts w:eastAsia="MinionPro-It"/>
          <w:i/>
        </w:rPr>
        <w:t>akkika</w:t>
      </w:r>
      <w:r w:rsidRPr="009518BA">
        <w:rPr>
          <w:rFonts w:eastAsia="MinionPro-Regular"/>
        </w:rPr>
        <w:t xml:space="preserve">). This is confirmed by the following quotation from </w:t>
      </w:r>
      <w:r w:rsidRPr="009E4ACF">
        <w:rPr>
          <w:rFonts w:eastAsia="MinionPro-Regular"/>
        </w:rPr>
        <w:t>F</w:t>
      </w:r>
      <w:r w:rsidRPr="009E4ACF">
        <w:rPr>
          <w:rFonts w:eastAsia="MinionPro-Regular" w:cs="Calibri"/>
        </w:rPr>
        <w:t>ā</w:t>
      </w:r>
      <w:r w:rsidRPr="009E4ACF">
        <w:rPr>
          <w:rFonts w:eastAsia="MinionPro-Regular"/>
        </w:rPr>
        <w:t>r</w:t>
      </w:r>
      <w:r w:rsidRPr="009E4ACF">
        <w:rPr>
          <w:rFonts w:eastAsia="MinionPro-Regular" w:cs="Calibri"/>
        </w:rPr>
        <w:t>ā</w:t>
      </w:r>
      <w:r w:rsidRPr="009E4ACF">
        <w:rPr>
          <w:rFonts w:eastAsia="MinionPro-Regular"/>
        </w:rPr>
        <w:t>b</w:t>
      </w:r>
      <w:r w:rsidRPr="009E4ACF">
        <w:rPr>
          <w:rFonts w:eastAsia="MinionPro-Regular" w:cs="Calibri"/>
        </w:rPr>
        <w:t>ī</w:t>
      </w:r>
      <w:r w:rsidRPr="009E4ACF">
        <w:rPr>
          <w:rFonts w:eastAsia="MinionPro-Regular"/>
        </w:rPr>
        <w:t>s</w:t>
      </w:r>
      <w:r>
        <w:rPr>
          <w:rFonts w:eastAsia="MinionPro-Regular"/>
          <w:lang w:val="cs-CZ"/>
        </w:rPr>
        <w:t xml:space="preserve"> </w:t>
      </w:r>
      <w:r w:rsidRPr="005518C8">
        <w:rPr>
          <w:rFonts w:eastAsia="MinionPro-It"/>
          <w:i/>
        </w:rPr>
        <w:t>Kit</w:t>
      </w:r>
      <w:r w:rsidRPr="005518C8">
        <w:rPr>
          <w:rFonts w:eastAsia="MinionPro-It" w:hint="eastAsia"/>
          <w:i/>
        </w:rPr>
        <w:t>ā</w:t>
      </w:r>
      <w:r w:rsidRPr="005518C8">
        <w:rPr>
          <w:rFonts w:eastAsia="MinionPro-It"/>
          <w:i/>
        </w:rPr>
        <w:t>b al</w:t>
      </w:r>
      <w:r w:rsidRPr="005518C8">
        <w:rPr>
          <w:rFonts w:eastAsia="MinionPro-It"/>
          <w:i/>
          <w:lang w:val="cs-CZ"/>
        </w:rPr>
        <w:noBreakHyphen/>
      </w:r>
      <w:r w:rsidRPr="005518C8">
        <w:rPr>
          <w:rFonts w:eastAsia="MinionPro-It"/>
          <w:i/>
        </w:rPr>
        <w:t>Burh</w:t>
      </w:r>
      <w:r w:rsidRPr="005518C8">
        <w:rPr>
          <w:rFonts w:eastAsia="MinionPro-It" w:hint="eastAsia"/>
          <w:i/>
        </w:rPr>
        <w:t>ā</w:t>
      </w:r>
      <w:r w:rsidRPr="005518C8">
        <w:rPr>
          <w:rFonts w:eastAsia="MinionPro-It"/>
          <w:i/>
        </w:rPr>
        <w:t>n</w:t>
      </w:r>
      <w:r w:rsidRPr="009518BA">
        <w:rPr>
          <w:rFonts w:eastAsia="MinionPro-Regular"/>
        </w:rPr>
        <w:t xml:space="preserve">, where </w:t>
      </w:r>
      <w:r>
        <w:rPr>
          <w:rFonts w:eastAsia="MinionPro-Regular"/>
          <w:lang w:val="cs-CZ"/>
        </w:rPr>
        <w:t>'</w:t>
      </w:r>
      <w:r w:rsidRPr="009518BA">
        <w:rPr>
          <w:rFonts w:eastAsia="MinionPro-Regular"/>
        </w:rPr>
        <w:t>existent</w:t>
      </w:r>
      <w:r>
        <w:rPr>
          <w:rFonts w:eastAsia="MinionPro-Regular"/>
          <w:lang w:val="cs-CZ"/>
        </w:rPr>
        <w:t>'</w:t>
      </w:r>
      <w:r w:rsidRPr="009518BA">
        <w:rPr>
          <w:rFonts w:eastAsia="MinionPro-Regular"/>
        </w:rPr>
        <w:t xml:space="preserve">, </w:t>
      </w:r>
      <w:r>
        <w:rPr>
          <w:rFonts w:eastAsia="MinionPro-Regular"/>
          <w:lang w:val="cs-CZ"/>
        </w:rPr>
        <w:t>'</w:t>
      </w:r>
      <w:r>
        <w:rPr>
          <w:rFonts w:eastAsia="MinionPro-Regular"/>
        </w:rPr>
        <w:t>one</w:t>
      </w:r>
      <w:r>
        <w:rPr>
          <w:rFonts w:eastAsia="MinionPro-Regular"/>
          <w:lang w:val="cs-CZ"/>
        </w:rPr>
        <w:t>',</w:t>
      </w:r>
      <w:r w:rsidRPr="009518BA">
        <w:rPr>
          <w:rFonts w:eastAsia="MinionPro-Regular"/>
        </w:rPr>
        <w:t xml:space="preserve"> </w:t>
      </w:r>
      <w:r>
        <w:rPr>
          <w:rFonts w:eastAsia="MinionPro-Regular"/>
          <w:lang w:val="cs-CZ"/>
        </w:rPr>
        <w:t>'</w:t>
      </w:r>
      <w:r w:rsidRPr="009518BA">
        <w:rPr>
          <w:rFonts w:eastAsia="MinionPro-Regular"/>
        </w:rPr>
        <w:t>thing</w:t>
      </w:r>
      <w:r>
        <w:rPr>
          <w:rFonts w:eastAsia="MinionPro-Regular"/>
          <w:lang w:val="cs-CZ"/>
        </w:rPr>
        <w:t>'</w:t>
      </w:r>
      <w:r w:rsidRPr="009518BA">
        <w:rPr>
          <w:rFonts w:eastAsia="MinionPro-Regular"/>
        </w:rPr>
        <w:t>, and other similar</w:t>
      </w:r>
      <w:r>
        <w:rPr>
          <w:rFonts w:eastAsia="MinionPro-Regular"/>
          <w:lang w:val="cs-CZ"/>
        </w:rPr>
        <w:t xml:space="preserve"> </w:t>
      </w:r>
      <w:r w:rsidRPr="009518BA">
        <w:rPr>
          <w:rFonts w:eastAsia="MinionPro-Regular"/>
        </w:rPr>
        <w:t>terms are classified under modulated univocals.“</w:t>
      </w:r>
      <w:r>
        <w:rPr>
          <w:rFonts w:eastAsia="MinionPro-Regular"/>
          <w:lang w:val="cs-CZ"/>
        </w:rPr>
        <w:t xml:space="preserve"> (</w:t>
      </w:r>
      <w:r w:rsidRPr="00273106">
        <w:t>Treiger 2012</w:t>
      </w:r>
      <w:r>
        <w:rPr>
          <w:lang w:val="cs-CZ"/>
        </w:rPr>
        <w:t>, 350)</w:t>
      </w:r>
    </w:p>
  </w:footnote>
  <w:footnote w:id="104">
    <w:p w14:paraId="5C83895F" w14:textId="77777777" w:rsidR="00344048" w:rsidRPr="00156317" w:rsidRDefault="00344048" w:rsidP="088B6D9E">
      <w:pPr>
        <w:pStyle w:val="Textpoznpodarou"/>
        <w:rPr>
          <w:lang w:val="cs-CZ"/>
        </w:rPr>
      </w:pPr>
      <w:r>
        <w:rPr>
          <w:rStyle w:val="Znakapoznpodarou"/>
        </w:rPr>
        <w:footnoteRef/>
      </w:r>
      <w:r>
        <w:t xml:space="preserve"> „</w:t>
      </w:r>
      <w:r w:rsidRPr="005F55F8">
        <w:t>Wenn der actuelle Intellect das Intel</w:t>
      </w:r>
      <w:r>
        <w:t>ligible, welches ja in Formen fü</w:t>
      </w:r>
      <w:r w:rsidRPr="005F55F8">
        <w:t>r ihn in sofern besteht, als sie actuell gedachte sind, denkt, so</w:t>
      </w:r>
      <w:r>
        <w:t xml:space="preserve"> wird der Intellect, den wir frü</w:t>
      </w:r>
      <w:r w:rsidRPr="005F55F8">
        <w:t xml:space="preserve">her als actuell bezeichneten </w:t>
      </w:r>
      <w:r>
        <w:t>(</w:t>
      </w:r>
      <w:r w:rsidRPr="005F55F8">
        <w:rPr>
          <w:i/>
        </w:rPr>
        <w:t>intellectus in effectu</w:t>
      </w:r>
      <w:r>
        <w:t xml:space="preserve">) </w:t>
      </w:r>
      <w:r w:rsidRPr="005F55F8">
        <w:t>jetzt zum erworbenen Intellect</w:t>
      </w:r>
      <w:r>
        <w:t xml:space="preserve"> (</w:t>
      </w:r>
      <w:r w:rsidRPr="005F55F8">
        <w:rPr>
          <w:i/>
        </w:rPr>
        <w:t>intellectus adeptus</w:t>
      </w:r>
      <w:r>
        <w:t>)</w:t>
      </w:r>
      <w:r w:rsidRPr="005F55F8">
        <w:t>.</w:t>
      </w:r>
      <w:r>
        <w:t xml:space="preserve">“ </w:t>
      </w:r>
      <w:r>
        <w:rPr>
          <w:rStyle w:val="slostrnky"/>
        </w:rPr>
        <w:t>(</w:t>
      </w:r>
      <w:r w:rsidRPr="00916F9D">
        <w:rPr>
          <w:i/>
          <w:lang w:val="cs-CZ"/>
        </w:rPr>
        <w:t>Über die Bedeutungen des Worts '</w:t>
      </w:r>
      <w:r>
        <w:rPr>
          <w:i/>
          <w:lang w:val="cs-CZ"/>
        </w:rPr>
        <w:t>Intellect', 'Vernunft'</w:t>
      </w:r>
      <w:r>
        <w:rPr>
          <w:lang w:val="cs-CZ"/>
        </w:rPr>
        <w:t xml:space="preserve">; ed. </w:t>
      </w:r>
      <w:r>
        <w:t>Dieterici</w:t>
      </w:r>
      <w:r>
        <w:rPr>
          <w:lang w:val="cs-CZ"/>
        </w:rPr>
        <w:t xml:space="preserve">, </w:t>
      </w:r>
      <w:r>
        <w:t>p. 7</w:t>
      </w:r>
      <w:r>
        <w:rPr>
          <w:lang w:val="cs-CZ"/>
        </w:rPr>
        <w:t>1</w:t>
      </w:r>
      <w:r>
        <w:t>.5–</w:t>
      </w:r>
      <w:r>
        <w:rPr>
          <w:lang w:val="cs-CZ"/>
        </w:rPr>
        <w:t>9</w:t>
      </w:r>
      <w:r>
        <w:t xml:space="preserve">; </w:t>
      </w:r>
      <w:r w:rsidRPr="001F4E68">
        <w:rPr>
          <w:i/>
          <w:lang w:val="de-DE"/>
        </w:rPr>
        <w:t xml:space="preserve">Liber Alpharabii </w:t>
      </w:r>
      <w:r w:rsidRPr="001F4E68">
        <w:rPr>
          <w:i/>
          <w:iCs/>
          <w:lang w:val="de-DE"/>
        </w:rPr>
        <w:t>De intellectu et intellecto</w:t>
      </w:r>
      <w:r w:rsidRPr="001F4E68">
        <w:rPr>
          <w:lang w:val="de-DE"/>
        </w:rPr>
        <w:t xml:space="preserve">; ed. </w:t>
      </w:r>
      <w:r w:rsidRPr="00F85828">
        <w:rPr>
          <w:lang w:val="en-US"/>
        </w:rPr>
        <w:t>Gilson, p. 120.189‒92</w:t>
      </w:r>
      <w:r>
        <w:rPr>
          <w:lang w:val="fr-FR"/>
        </w:rPr>
        <w:fldChar w:fldCharType="begin"/>
      </w:r>
      <w:r>
        <w:instrText xml:space="preserve"> XE "</w:instrText>
      </w:r>
      <w:r>
        <w:rPr>
          <w:lang w:val="cs-CZ"/>
        </w:rPr>
        <w:instrText>Al-Fárábí:</w:instrText>
      </w:r>
      <w:r w:rsidRPr="00F85828">
        <w:rPr>
          <w:i/>
          <w:iCs/>
          <w:lang w:val="en-US"/>
        </w:rPr>
        <w:instrText xml:space="preserve">De intellectu </w:instrText>
      </w:r>
      <w:r w:rsidRPr="00F85828">
        <w:rPr>
          <w:lang w:val="en-US"/>
        </w:rPr>
        <w:instrText>120.189‒92</w:instrText>
      </w:r>
      <w:r>
        <w:instrText xml:space="preserve">" </w:instrText>
      </w:r>
      <w:r>
        <w:rPr>
          <w:lang w:val="fr-FR"/>
        </w:rPr>
        <w:fldChar w:fldCharType="end"/>
      </w:r>
      <w:r>
        <w:rPr>
          <w:rStyle w:val="slostrnky"/>
        </w:rPr>
        <w:t>)</w:t>
      </w:r>
    </w:p>
  </w:footnote>
  <w:footnote w:id="105">
    <w:p w14:paraId="3D39F188" w14:textId="77777777" w:rsidR="00344048" w:rsidRPr="08E82D06" w:rsidRDefault="00344048" w:rsidP="006F65E5">
      <w:pPr>
        <w:pStyle w:val="Textpoznpodarou"/>
      </w:pPr>
      <w:r>
        <w:rPr>
          <w:rStyle w:val="Znakapoznpodarou"/>
        </w:rPr>
        <w:footnoteRef/>
      </w:r>
      <w:r>
        <w:t xml:space="preserve"> „</w:t>
      </w:r>
      <w:r w:rsidRPr="08E82D06">
        <w:t>If God knows that Zayd will set out on</w:t>
      </w:r>
      <w:r>
        <w:t xml:space="preserve"> </w:t>
      </w:r>
      <w:r w:rsidRPr="08E82D06">
        <w:t>a journe</w:t>
      </w:r>
      <w:r>
        <w:t>y tomorrow, to use one of al-Far</w:t>
      </w:r>
      <w:r>
        <w:rPr>
          <w:rFonts w:cs="Calibri"/>
        </w:rPr>
        <w:t>ā</w:t>
      </w:r>
      <w:r>
        <w:t>b</w:t>
      </w:r>
      <w:r>
        <w:rPr>
          <w:rFonts w:cs="Calibri"/>
        </w:rPr>
        <w:t>ī</w:t>
      </w:r>
      <w:r w:rsidRPr="08E82D06">
        <w:t>’s examples, then Zayd will necessarily</w:t>
      </w:r>
      <w:r>
        <w:t xml:space="preserve"> </w:t>
      </w:r>
      <w:r w:rsidRPr="08E82D06">
        <w:t>travel tomorrow. The event is necessary due to something else, in this</w:t>
      </w:r>
      <w:r>
        <w:t xml:space="preserve"> </w:t>
      </w:r>
      <w:r w:rsidRPr="08E82D06">
        <w:t>case, God’s creative activity that manifests itself in God’s foreknowledge. If</w:t>
      </w:r>
      <w:r>
        <w:t xml:space="preserve"> </w:t>
      </w:r>
      <w:r w:rsidRPr="08E82D06">
        <w:t>the event is looked at solely by itself, however, Zayd’s decision to travel is not</w:t>
      </w:r>
      <w:r>
        <w:t xml:space="preserve"> </w:t>
      </w:r>
      <w:r w:rsidRPr="08E82D06">
        <w:t>necessary but merely possible, as it</w:t>
      </w:r>
      <w:r>
        <w:t xml:space="preserve"> is still within Zayd’s power (</w:t>
      </w:r>
      <w:r w:rsidRPr="08E82D06">
        <w:rPr>
          <w:i/>
        </w:rPr>
        <w:t>qudra</w:t>
      </w:r>
      <w:r w:rsidRPr="08E82D06">
        <w:t>) not to</w:t>
      </w:r>
      <w:r>
        <w:t xml:space="preserve"> </w:t>
      </w:r>
      <w:r w:rsidRPr="08E82D06">
        <w:t>travel. Divine foreknowledge does not remove human free will or the ability</w:t>
      </w:r>
      <w:r>
        <w:t xml:space="preserve"> </w:t>
      </w:r>
      <w:r w:rsidRPr="08E82D06">
        <w:t>to act differently from what is foreknown.</w:t>
      </w:r>
      <w:r>
        <w:t>“ (Griffel 2009, 140)</w:t>
      </w:r>
    </w:p>
  </w:footnote>
  <w:footnote w:id="106">
    <w:p w14:paraId="72F3B715" w14:textId="77777777" w:rsidR="00344048" w:rsidRPr="0045423D" w:rsidRDefault="00344048" w:rsidP="088B6D9E">
      <w:pPr>
        <w:pStyle w:val="Textpoznpodarou"/>
        <w:rPr>
          <w:lang w:val="en-US"/>
        </w:rPr>
      </w:pPr>
      <w:r>
        <w:rPr>
          <w:rStyle w:val="Znakapoznpodarou"/>
        </w:rPr>
        <w:footnoteRef/>
      </w:r>
      <w:r w:rsidRPr="00FD0130">
        <w:rPr>
          <w:lang w:val="fr-FR"/>
        </w:rPr>
        <w:t xml:space="preserve"> </w:t>
      </w:r>
      <w:r w:rsidRPr="00F853D5">
        <w:rPr>
          <w:lang w:val="fr-FR"/>
        </w:rPr>
        <w:t>„</w:t>
      </w:r>
      <w:r w:rsidRPr="00FD0130">
        <w:rPr>
          <w:lang w:val="fr-FR"/>
        </w:rPr>
        <w:t>Sensus autem de hoc quod ipsa intelligit aliquid hic est, scilicet quod ipsa formas que sunt in materiis abstrahit a suis materiis et fit eis esse aliud a suo esse quod erat prius.</w:t>
      </w:r>
      <w:r w:rsidRPr="00F853D5">
        <w:rPr>
          <w:lang w:val="fr-FR"/>
        </w:rPr>
        <w:t>“</w:t>
      </w:r>
      <w:r>
        <w:rPr>
          <w:lang w:val="fr-FR"/>
        </w:rPr>
        <w:t xml:space="preserve"> </w:t>
      </w:r>
      <w:r w:rsidRPr="0045423D">
        <w:rPr>
          <w:lang w:val="en-US"/>
        </w:rPr>
        <w:t>(</w:t>
      </w:r>
      <w:r w:rsidRPr="0045423D">
        <w:rPr>
          <w:i/>
          <w:lang w:val="en-US"/>
        </w:rPr>
        <w:t xml:space="preserve">Liber Alpharabii </w:t>
      </w:r>
      <w:r w:rsidRPr="0045423D">
        <w:rPr>
          <w:i/>
          <w:iCs/>
          <w:lang w:val="en-US"/>
        </w:rPr>
        <w:t>De intellectu et intellecto</w:t>
      </w:r>
      <w:r w:rsidRPr="0045423D">
        <w:rPr>
          <w:iCs/>
          <w:lang w:val="en-US"/>
        </w:rPr>
        <w:t xml:space="preserve">, ed. Gilson, </w:t>
      </w:r>
      <w:r>
        <w:rPr>
          <w:lang w:val="en-US"/>
        </w:rPr>
        <w:t>p. 120.185–</w:t>
      </w:r>
      <w:r w:rsidRPr="0045423D">
        <w:rPr>
          <w:lang w:val="en-US"/>
        </w:rPr>
        <w:t>87</w:t>
      </w:r>
      <w:r>
        <w:rPr>
          <w:lang w:val="fr-FR"/>
        </w:rPr>
        <w:fldChar w:fldCharType="begin"/>
      </w:r>
      <w:r>
        <w:instrText xml:space="preserve"> XE "</w:instrText>
      </w:r>
      <w:r>
        <w:rPr>
          <w:lang w:val="cs-CZ"/>
        </w:rPr>
        <w:instrText>Al-Fárábí:</w:instrText>
      </w:r>
      <w:r w:rsidRPr="0045423D">
        <w:rPr>
          <w:i/>
          <w:iCs/>
          <w:lang w:val="en-US"/>
        </w:rPr>
        <w:instrText xml:space="preserve">De intellectu </w:instrText>
      </w:r>
      <w:r>
        <w:rPr>
          <w:lang w:val="en-US"/>
        </w:rPr>
        <w:instrText>120.185–</w:instrText>
      </w:r>
      <w:r w:rsidRPr="0045423D">
        <w:rPr>
          <w:lang w:val="en-US"/>
        </w:rPr>
        <w:instrText>87</w:instrText>
      </w:r>
      <w:r>
        <w:instrText xml:space="preserve">" </w:instrText>
      </w:r>
      <w:r>
        <w:rPr>
          <w:lang w:val="fr-FR"/>
        </w:rPr>
        <w:fldChar w:fldCharType="end"/>
      </w:r>
      <w:r w:rsidRPr="0045423D">
        <w:rPr>
          <w:lang w:val="en-US"/>
        </w:rPr>
        <w:t>)</w:t>
      </w:r>
    </w:p>
  </w:footnote>
  <w:footnote w:id="107">
    <w:p w14:paraId="0AC3A82E" w14:textId="77777777" w:rsidR="00344048" w:rsidRPr="08F350B0" w:rsidRDefault="00344048" w:rsidP="08F72173">
      <w:pPr>
        <w:pStyle w:val="Textpoznpodarou"/>
        <w:rPr>
          <w:lang w:val="cs-CZ"/>
        </w:rPr>
      </w:pPr>
      <w:r>
        <w:rPr>
          <w:rStyle w:val="Znakapoznpodarou"/>
        </w:rPr>
        <w:footnoteRef/>
      </w:r>
      <w:r>
        <w:t xml:space="preserve"> </w:t>
      </w:r>
      <w:r>
        <w:rPr>
          <w:lang w:val="cs-CZ"/>
        </w:rPr>
        <w:t>„</w:t>
      </w:r>
      <w:r>
        <w:rPr>
          <w:color w:val="000000"/>
          <w:lang w:val="en-US"/>
        </w:rPr>
        <w:t>With respect to ‘mixed deductions,’ Averroes criticizes al-Fārābī for ‘imagining’ that the major possible premise contains the condition which, according to</w:t>
      </w:r>
      <w:r w:rsidRPr="08F350B0">
        <w:rPr>
          <w:color w:val="000000"/>
          <w:lang w:val="en-US"/>
        </w:rPr>
        <w:t xml:space="preserve"> </w:t>
      </w:r>
      <w:r>
        <w:rPr>
          <w:color w:val="000000"/>
          <w:lang w:val="en-US"/>
        </w:rPr>
        <w:t xml:space="preserve">al-Fārābī, is predicable of the whole in all the categories. For Averroes, both al-Fārābī and Alexander (of </w:t>
      </w:r>
      <w:r>
        <w:rPr>
          <w:color w:val="000000"/>
          <w:lang w:val="la"/>
        </w:rPr>
        <w:t xml:space="preserve">Aphrodisias) </w:t>
      </w:r>
      <w:r>
        <w:rPr>
          <w:color w:val="000000"/>
          <w:lang w:val="en-US"/>
        </w:rPr>
        <w:t xml:space="preserve">are in error in their interpretation of Aristotle on this point. </w:t>
      </w:r>
      <w:r w:rsidRPr="08787F39">
        <w:rPr>
          <w:color w:val="000000"/>
          <w:lang w:val="en-US"/>
        </w:rPr>
        <w:t xml:space="preserve">As regards the possible in general, Averroes agrees with </w:t>
      </w:r>
      <w:r>
        <w:rPr>
          <w:color w:val="000000"/>
          <w:lang w:val="en-US"/>
        </w:rPr>
        <w:t>al-Fārābī's</w:t>
      </w:r>
      <w:r w:rsidRPr="08787F39">
        <w:rPr>
          <w:color w:val="000000"/>
          <w:lang w:val="en-US"/>
        </w:rPr>
        <w:t xml:space="preserve"> concept of definition in the first figure, but disagrees with him regarding the</w:t>
      </w:r>
      <w:r>
        <w:rPr>
          <w:color w:val="000000"/>
          <w:lang w:val="en-US"/>
        </w:rPr>
        <w:t xml:space="preserve"> </w:t>
      </w:r>
      <w:r w:rsidRPr="08787F39">
        <w:rPr>
          <w:color w:val="000000"/>
          <w:lang w:val="en-US"/>
        </w:rPr>
        <w:t>composition of existential and possible premises, in which the conclusion is</w:t>
      </w:r>
      <w:r>
        <w:rPr>
          <w:color w:val="000000"/>
          <w:lang w:val="en-US"/>
        </w:rPr>
        <w:t xml:space="preserve"> </w:t>
      </w:r>
      <w:r w:rsidRPr="08787F39">
        <w:rPr>
          <w:color w:val="000000"/>
          <w:lang w:val="en-US"/>
        </w:rPr>
        <w:t>universal.</w:t>
      </w:r>
      <w:r>
        <w:rPr>
          <w:color w:val="000000"/>
          <w:lang w:val="en-US"/>
        </w:rPr>
        <w:t xml:space="preserve">” </w:t>
      </w:r>
      <w:r w:rsidRPr="08F72173">
        <w:rPr>
          <w:color w:val="000000"/>
          <w:lang w:val="de-DE"/>
        </w:rPr>
        <w:t>(Fakhry 2001, 40)</w:t>
      </w:r>
    </w:p>
  </w:footnote>
  <w:footnote w:id="108">
    <w:p w14:paraId="0F179074" w14:textId="77777777" w:rsidR="00344048" w:rsidRPr="00111FA0" w:rsidRDefault="00344048" w:rsidP="083C67CD">
      <w:pPr>
        <w:pStyle w:val="Textpoznpodarou"/>
        <w:rPr>
          <w:lang w:val="cs-CZ"/>
        </w:rPr>
      </w:pPr>
      <w:r>
        <w:rPr>
          <w:rStyle w:val="Znakapoznpodarou"/>
        </w:rPr>
        <w:footnoteRef/>
      </w:r>
      <w:r>
        <w:t xml:space="preserve"> </w:t>
      </w:r>
      <w:r>
        <w:rPr>
          <w:lang w:val="cs-CZ"/>
        </w:rPr>
        <w:t>„</w:t>
      </w:r>
      <w:r w:rsidRPr="00111FA0">
        <w:rPr>
          <w:lang w:val="cs-CZ"/>
        </w:rPr>
        <w:t>Das Stehen in der Lich</w:t>
      </w:r>
      <w:r>
        <w:rPr>
          <w:lang w:val="cs-CZ"/>
        </w:rPr>
        <w:t>tung des Seins nenne ich die Ek</w:t>
      </w:r>
      <w:r>
        <w:rPr>
          <w:lang w:val="cs-CZ"/>
        </w:rPr>
        <w:noBreakHyphen/>
      </w:r>
      <w:r w:rsidRPr="00111FA0">
        <w:rPr>
          <w:lang w:val="cs-CZ"/>
        </w:rPr>
        <w:t>sistenz des Menschen. Nur dem Menschen eignet diese Art zu sein. Die so verstandene Ek-sistenz ist nicht nur der Grund der Möglichkeit der Vernunft, ratio, sondern die Ek</w:t>
      </w:r>
      <w:r>
        <w:rPr>
          <w:lang w:val="cs-CZ"/>
        </w:rPr>
        <w:noBreakHyphen/>
      </w:r>
      <w:r w:rsidRPr="00111FA0">
        <w:rPr>
          <w:lang w:val="cs-CZ"/>
        </w:rPr>
        <w:t>sistenz ist das, worin das Wesen des Menschen die Herkunft</w:t>
      </w:r>
      <w:r>
        <w:rPr>
          <w:lang w:val="cs-CZ"/>
        </w:rPr>
        <w:t xml:space="preserve"> seiner Bestimmung wahrt. Die Ek</w:t>
      </w:r>
      <w:r>
        <w:rPr>
          <w:lang w:val="cs-CZ"/>
        </w:rPr>
        <w:noBreakHyphen/>
      </w:r>
      <w:r w:rsidRPr="00111FA0">
        <w:rPr>
          <w:lang w:val="cs-CZ"/>
        </w:rPr>
        <w:t>sistenz läßt sich nur vom Wesen des Menschen, das heißt, nur von der menschlichen Weise zu »sein« sagen; denn der Mensch allein ist, soweit wir e</w:t>
      </w:r>
      <w:r>
        <w:rPr>
          <w:lang w:val="cs-CZ"/>
        </w:rPr>
        <w:t>rfahren, in das Geschick der Ek</w:t>
      </w:r>
      <w:r>
        <w:rPr>
          <w:lang w:val="cs-CZ"/>
        </w:rPr>
        <w:noBreakHyphen/>
      </w:r>
      <w:r w:rsidRPr="00111FA0">
        <w:rPr>
          <w:lang w:val="cs-CZ"/>
        </w:rPr>
        <w:t>sistenz eingelassen.</w:t>
      </w:r>
      <w:r>
        <w:rPr>
          <w:lang w:val="cs-CZ"/>
        </w:rPr>
        <w:t>“ (</w:t>
      </w:r>
      <w:r w:rsidRPr="00111FA0">
        <w:rPr>
          <w:i/>
          <w:lang w:val="cs-CZ"/>
        </w:rPr>
        <w:t>Brief über den Humanismus</w:t>
      </w:r>
      <w:r>
        <w:rPr>
          <w:lang w:val="cs-CZ"/>
        </w:rPr>
        <w:t>; GA 9, 323‒24</w:t>
      </w:r>
      <w:r>
        <w:rPr>
          <w:i/>
          <w:lang w:eastAsia="en-US"/>
        </w:rPr>
        <w:fldChar w:fldCharType="begin"/>
      </w:r>
      <w:r>
        <w:instrText xml:space="preserve"> XE "</w:instrText>
      </w:r>
      <w:r w:rsidRPr="00D45AF6">
        <w:rPr>
          <w:lang w:val="cs-CZ"/>
        </w:rPr>
        <w:instrText>Heidegger:</w:instrText>
      </w:r>
      <w:r>
        <w:rPr>
          <w:lang w:val="cs-CZ"/>
        </w:rPr>
        <w:instrText>GA 9, 323‒24</w:instrText>
      </w:r>
      <w:r>
        <w:instrText xml:space="preserve">" </w:instrText>
      </w:r>
      <w:r>
        <w:rPr>
          <w:i/>
          <w:lang w:eastAsia="en-US"/>
        </w:rPr>
        <w:fldChar w:fldCharType="end"/>
      </w:r>
      <w:r>
        <w:rPr>
          <w:lang w:val="cs-CZ"/>
        </w:rPr>
        <w:t>)</w:t>
      </w:r>
    </w:p>
  </w:footnote>
  <w:footnote w:id="109">
    <w:p w14:paraId="160D7E45" w14:textId="77777777" w:rsidR="00344048" w:rsidRPr="08424697" w:rsidRDefault="00344048" w:rsidP="087E7978">
      <w:pPr>
        <w:pStyle w:val="Textpoznpodarou"/>
        <w:rPr>
          <w:noProof/>
        </w:rPr>
      </w:pPr>
      <w:r>
        <w:rPr>
          <w:rStyle w:val="Znakapoznpodarou"/>
        </w:rPr>
        <w:footnoteRef/>
      </w:r>
      <w:r>
        <w:t xml:space="preserve"> </w:t>
      </w:r>
      <w:r w:rsidRPr="005E2B99">
        <w:rPr>
          <w:noProof/>
        </w:rPr>
        <w:t>„Da Gott, der Gepriesene lebendig ist und diese Welt mit allem, was darin ist, ins Dasein rief, so war nötig, dass bei ihm die Formen dessen, was er schaffen wollte, in seinem herrlichen und unvergleichlichen Wesen existirten.“ (</w:t>
      </w:r>
      <w:r w:rsidRPr="00E42544">
        <w:rPr>
          <w:i/>
          <w:noProof/>
          <w:lang w:val="cs-CZ"/>
        </w:rPr>
        <w:t>Die Harmonie zwischen Plato und Aristoteles</w:t>
      </w:r>
      <w:r>
        <w:rPr>
          <w:noProof/>
        </w:rPr>
        <w:t xml:space="preserve">; </w:t>
      </w:r>
      <w:r>
        <w:rPr>
          <w:noProof/>
          <w:lang w:val="cs-CZ"/>
        </w:rPr>
        <w:t xml:space="preserve">ed. </w:t>
      </w:r>
      <w:r w:rsidRPr="08424697">
        <w:rPr>
          <w:noProof/>
        </w:rPr>
        <w:t>Dieterici</w:t>
      </w:r>
      <w:r>
        <w:rPr>
          <w:noProof/>
          <w:lang w:val="cs-CZ"/>
        </w:rPr>
        <w:t xml:space="preserve">, p. </w:t>
      </w:r>
      <w:r>
        <w:rPr>
          <w:noProof/>
        </w:rPr>
        <w:t>46</w:t>
      </w:r>
      <w:r>
        <w:rPr>
          <w:noProof/>
          <w:lang w:val="cs-CZ"/>
        </w:rPr>
        <w:t>.12</w:t>
      </w:r>
      <w:r>
        <w:rPr>
          <w:noProof/>
        </w:rPr>
        <w:t>–</w:t>
      </w:r>
      <w:r>
        <w:rPr>
          <w:noProof/>
          <w:lang w:val="cs-CZ"/>
        </w:rPr>
        <w:t>17</w:t>
      </w:r>
      <w:r>
        <w:rPr>
          <w:noProof/>
          <w:lang w:val="cs-CZ"/>
        </w:rPr>
        <w:fldChar w:fldCharType="begin"/>
      </w:r>
      <w:r>
        <w:instrText xml:space="preserve"> XE "</w:instrText>
      </w:r>
      <w:r>
        <w:rPr>
          <w:lang w:val="cs-CZ"/>
        </w:rPr>
        <w:instrText>Al-Fárábí:</w:instrText>
      </w:r>
      <w:r w:rsidRPr="001B5C6A">
        <w:rPr>
          <w:i/>
          <w:noProof/>
          <w:lang w:val="cs-CZ"/>
        </w:rPr>
        <w:instrText>Die Harmonie zwischen Plato und Aristoteles</w:instrText>
      </w:r>
      <w:r>
        <w:rPr>
          <w:lang w:val="cs-CZ"/>
        </w:rPr>
        <w:instrText xml:space="preserve"> </w:instrText>
      </w:r>
      <w:r w:rsidRPr="001B5C6A">
        <w:rPr>
          <w:noProof/>
        </w:rPr>
        <w:instrText>46</w:instrText>
      </w:r>
      <w:r w:rsidRPr="001B5C6A">
        <w:rPr>
          <w:noProof/>
          <w:lang w:val="cs-CZ"/>
        </w:rPr>
        <w:instrText>.12</w:instrText>
      </w:r>
      <w:r w:rsidRPr="001B5C6A">
        <w:rPr>
          <w:noProof/>
        </w:rPr>
        <w:instrText>–</w:instrText>
      </w:r>
      <w:r w:rsidRPr="001B5C6A">
        <w:rPr>
          <w:noProof/>
          <w:lang w:val="cs-CZ"/>
        </w:rPr>
        <w:instrText>17</w:instrText>
      </w:r>
      <w:r>
        <w:instrText xml:space="preserve">" </w:instrText>
      </w:r>
      <w:r>
        <w:rPr>
          <w:noProof/>
          <w:lang w:val="cs-CZ"/>
        </w:rPr>
        <w:fldChar w:fldCharType="end"/>
      </w:r>
      <w:r w:rsidRPr="005E2B99">
        <w:rPr>
          <w:noProof/>
        </w:rPr>
        <w:t>)</w:t>
      </w:r>
    </w:p>
  </w:footnote>
  <w:footnote w:id="110">
    <w:p w14:paraId="1EB1E586" w14:textId="77777777" w:rsidR="00344048" w:rsidRPr="007F1D39" w:rsidRDefault="00344048" w:rsidP="087E7978">
      <w:pPr>
        <w:pStyle w:val="Textpoznpodarou"/>
      </w:pPr>
      <w:r>
        <w:rPr>
          <w:rStyle w:val="Znakapoznpodarou"/>
        </w:rPr>
        <w:footnoteRef/>
      </w:r>
      <w:r w:rsidRPr="007F1D39">
        <w:t xml:space="preserve"> </w:t>
      </w:r>
      <w:r>
        <w:t>„</w:t>
      </w:r>
      <w:r w:rsidRPr="00F80A48">
        <w:t>Die Dinge gehn nur in sofern</w:t>
      </w:r>
      <w:r>
        <w:t xml:space="preserve"> </w:t>
      </w:r>
      <w:r w:rsidRPr="00F80A48">
        <w:t>aus ihm hervor, als er sein Wesen kennt, und er den Anfang</w:t>
      </w:r>
      <w:r>
        <w:t xml:space="preserve"> fü</w:t>
      </w:r>
      <w:r w:rsidRPr="00F80A48">
        <w:t>r die Reihenfolge des Guten im Sein bildet, die so</w:t>
      </w:r>
      <w:r>
        <w:t xml:space="preserve"> </w:t>
      </w:r>
      <w:r w:rsidRPr="00F80A48">
        <w:t>wie sie notwendig sein muss, auch ist. Somit ist sein</w:t>
      </w:r>
      <w:r>
        <w:t xml:space="preserve"> Wissen Ursache fü</w:t>
      </w:r>
      <w:r w:rsidRPr="00F80A48">
        <w:t>r die Existenz des Dings, welches er</w:t>
      </w:r>
      <w:r>
        <w:t xml:space="preserve"> </w:t>
      </w:r>
      <w:r w:rsidRPr="00F80A48">
        <w:t>weiss. Sein Wissen von den Dingen ist kein zeitliches.</w:t>
      </w:r>
      <w:r>
        <w:t>“ (</w:t>
      </w:r>
      <w:r w:rsidRPr="001E0B3E">
        <w:rPr>
          <w:i/>
          <w:lang w:val="cs-CZ"/>
        </w:rPr>
        <w:t>Die Hauptfragen von Abu Naṣr Alfārābī</w:t>
      </w:r>
      <w:r>
        <w:t xml:space="preserve">; </w:t>
      </w:r>
      <w:r>
        <w:rPr>
          <w:lang w:val="cs-CZ"/>
        </w:rPr>
        <w:t xml:space="preserve">ed. </w:t>
      </w:r>
      <w:r>
        <w:rPr>
          <w:rStyle w:val="TextpoznpodarouChar"/>
        </w:rPr>
        <w:t>Dieterici</w:t>
      </w:r>
      <w:r>
        <w:rPr>
          <w:rStyle w:val="TextpoznpodarouChar"/>
          <w:lang w:val="cs-CZ"/>
        </w:rPr>
        <w:t xml:space="preserve">, </w:t>
      </w:r>
      <w:r>
        <w:t>p. 96</w:t>
      </w:r>
      <w:r>
        <w:rPr>
          <w:lang w:val="cs-CZ"/>
        </w:rPr>
        <w:t>.</w:t>
      </w:r>
      <w:r>
        <w:t>16–21</w:t>
      </w:r>
      <w:r>
        <w:rPr>
          <w:noProof/>
          <w:lang w:val="cs-CZ"/>
        </w:rPr>
        <w:fldChar w:fldCharType="begin"/>
      </w:r>
      <w:r>
        <w:instrText xml:space="preserve"> XE "</w:instrText>
      </w:r>
      <w:r>
        <w:rPr>
          <w:lang w:val="cs-CZ"/>
        </w:rPr>
        <w:instrText>Al-Fárábí:</w:instrText>
      </w:r>
      <w:r w:rsidRPr="001E0B3E">
        <w:rPr>
          <w:i/>
          <w:lang w:val="cs-CZ"/>
        </w:rPr>
        <w:instrText>Die Hauptfragen von Abu Naṣr Alfārābī</w:instrText>
      </w:r>
      <w:r>
        <w:rPr>
          <w:lang w:val="cs-CZ"/>
        </w:rPr>
        <w:instrText xml:space="preserve"> </w:instrText>
      </w:r>
      <w:r>
        <w:instrText>96</w:instrText>
      </w:r>
      <w:r>
        <w:rPr>
          <w:lang w:val="cs-CZ"/>
        </w:rPr>
        <w:instrText>.</w:instrText>
      </w:r>
      <w:r>
        <w:instrText xml:space="preserve">16–21" </w:instrText>
      </w:r>
      <w:r>
        <w:rPr>
          <w:noProof/>
          <w:lang w:val="cs-CZ"/>
        </w:rPr>
        <w:fldChar w:fldCharType="end"/>
      </w:r>
      <w:r>
        <w:t>)</w:t>
      </w:r>
    </w:p>
  </w:footnote>
  <w:footnote w:id="111">
    <w:p w14:paraId="29BF11F5" w14:textId="77777777" w:rsidR="00344048" w:rsidRPr="00415EC5" w:rsidRDefault="00344048" w:rsidP="085602D8">
      <w:pPr>
        <w:pStyle w:val="Textpoznpodarou"/>
        <w:rPr>
          <w:lang w:eastAsia="en-US"/>
        </w:rPr>
      </w:pPr>
      <w:r>
        <w:rPr>
          <w:rStyle w:val="Znakapoznpodarou"/>
        </w:rPr>
        <w:footnoteRef/>
      </w:r>
      <w:r>
        <w:t xml:space="preserve"> </w:t>
      </w:r>
      <w:r>
        <w:rPr>
          <w:lang w:eastAsia="en-US"/>
        </w:rPr>
        <w:t xml:space="preserve">„Al-Fārābī's ingenious solution is to say that things can be separate from matter (or separate from natural things) in two ways: either as substances that actually exist without matter, or as universal attributes like being and unity that apply both to natural things and to immaterial substances, and that in this way have an existence separate from natural things, unlike the </w:t>
      </w:r>
      <w:r w:rsidRPr="00D85AA7">
        <w:rPr>
          <w:i/>
          <w:lang w:eastAsia="en-US"/>
        </w:rPr>
        <w:t>per se</w:t>
      </w:r>
      <w:r>
        <w:rPr>
          <w:lang w:eastAsia="en-US"/>
        </w:rPr>
        <w:t xml:space="preserve"> attributes of natural things, which existes only in and through natural things.“ (Menn 2013, 145–46</w:t>
      </w:r>
      <w:r w:rsidRPr="00415EC5">
        <w:rPr>
          <w:lang w:eastAsia="en-US"/>
        </w:rPr>
        <w:t>).</w:t>
      </w:r>
    </w:p>
  </w:footnote>
  <w:footnote w:id="112">
    <w:p w14:paraId="2220BA66" w14:textId="77777777" w:rsidR="00344048" w:rsidRPr="080E373A" w:rsidRDefault="00344048" w:rsidP="088C79D1">
      <w:pPr>
        <w:pStyle w:val="Textpoznpodarou"/>
        <w:rPr>
          <w:rStyle w:val="TextpoznpodarouChar"/>
        </w:rPr>
      </w:pPr>
      <w:r>
        <w:rPr>
          <w:rStyle w:val="Znakapoznpodarou"/>
        </w:rPr>
        <w:footnoteRef/>
      </w:r>
      <w:r>
        <w:t xml:space="preserve"> </w:t>
      </w:r>
      <w:r w:rsidRPr="080E373A">
        <w:rPr>
          <w:rStyle w:val="TextpoznpodarouChar"/>
        </w:rPr>
        <w:t>„Das erste Object dieser Wissenschaft ist das absolute Sein, so wie das, was demselben in der AlIgemeinheit gleich kommt, nämlich d</w:t>
      </w:r>
      <w:r>
        <w:rPr>
          <w:rStyle w:val="TextpoznpodarouChar"/>
        </w:rPr>
        <w:t>ie Eins.“ (</w:t>
      </w:r>
      <w:r w:rsidRPr="00080EA4">
        <w:rPr>
          <w:rStyle w:val="TextpoznpodarouChar"/>
          <w:i/>
        </w:rPr>
        <w:t>Die Abhandlung von den Tendenzen der aristotelischen Metaphysik von dem zweiten Meister</w:t>
      </w:r>
      <w:r>
        <w:rPr>
          <w:rStyle w:val="TextpoznpodarouChar"/>
          <w:lang w:val="cs-CZ"/>
        </w:rPr>
        <w:t xml:space="preserve">, ed. </w:t>
      </w:r>
      <w:r>
        <w:rPr>
          <w:rStyle w:val="TextpoznpodarouChar"/>
        </w:rPr>
        <w:t>Dieterici; p. 57</w:t>
      </w:r>
      <w:r>
        <w:rPr>
          <w:rStyle w:val="TextpoznpodarouChar"/>
          <w:lang w:val="cs-CZ"/>
        </w:rPr>
        <w:t>.</w:t>
      </w:r>
      <w:r w:rsidRPr="080E373A">
        <w:rPr>
          <w:rStyle w:val="TextpoznpodarouChar"/>
        </w:rPr>
        <w:t>26–28</w:t>
      </w:r>
      <w:r>
        <w:rPr>
          <w:rStyle w:val="TextpoznpodarouChar"/>
        </w:rPr>
        <w:fldChar w:fldCharType="begin"/>
      </w:r>
      <w:r>
        <w:instrText xml:space="preserve"> XE "</w:instrText>
      </w:r>
      <w:r>
        <w:rPr>
          <w:lang w:val="cs-CZ"/>
        </w:rPr>
        <w:instrText>Al-Fárábí:</w:instrText>
      </w:r>
      <w:r w:rsidRPr="083F6326">
        <w:rPr>
          <w:rStyle w:val="TextpoznpodarouChar"/>
          <w:i/>
        </w:rPr>
        <w:instrText>Die Abhandlung von den Tendenzen der aristotelischen Metaphysik von dem zweiten Meister</w:instrText>
      </w:r>
      <w:r>
        <w:rPr>
          <w:rStyle w:val="TextpoznpodarouChar"/>
          <w:i/>
          <w:lang w:val="cs-CZ"/>
        </w:rPr>
        <w:instrText xml:space="preserve"> </w:instrText>
      </w:r>
      <w:r w:rsidRPr="083F6326">
        <w:rPr>
          <w:rStyle w:val="TextpoznpodarouChar"/>
        </w:rPr>
        <w:instrText>57</w:instrText>
      </w:r>
      <w:r w:rsidRPr="083F6326">
        <w:rPr>
          <w:rStyle w:val="TextpoznpodarouChar"/>
          <w:lang w:val="cs-CZ"/>
        </w:rPr>
        <w:instrText>.</w:instrText>
      </w:r>
      <w:r w:rsidRPr="083F6326">
        <w:rPr>
          <w:rStyle w:val="TextpoznpodarouChar"/>
        </w:rPr>
        <w:instrText>26–28</w:instrText>
      </w:r>
      <w:r>
        <w:instrText xml:space="preserve">" </w:instrText>
      </w:r>
      <w:r>
        <w:rPr>
          <w:rStyle w:val="TextpoznpodarouChar"/>
        </w:rPr>
        <w:fldChar w:fldCharType="end"/>
      </w:r>
      <w:r w:rsidRPr="080E373A">
        <w:rPr>
          <w:rStyle w:val="TextpoznpodarouChar"/>
        </w:rPr>
        <w:t>)</w:t>
      </w:r>
    </w:p>
  </w:footnote>
  <w:footnote w:id="113">
    <w:p w14:paraId="5C9B9F17" w14:textId="77777777" w:rsidR="00344048" w:rsidRPr="087F7732" w:rsidRDefault="00344048">
      <w:pPr>
        <w:pStyle w:val="Textpoznpodarou"/>
        <w:rPr>
          <w:lang w:val="cs-CZ"/>
        </w:rPr>
      </w:pPr>
      <w:r>
        <w:rPr>
          <w:rStyle w:val="Znakapoznpodarou"/>
        </w:rPr>
        <w:footnoteRef/>
      </w:r>
      <w:r>
        <w:t xml:space="preserve"> </w:t>
      </w:r>
      <w:r>
        <w:rPr>
          <w:lang w:val="cs-CZ" w:eastAsia="en-US"/>
        </w:rPr>
        <w:t>„</w:t>
      </w:r>
      <w:r>
        <w:rPr>
          <w:lang w:eastAsia="en-US"/>
        </w:rPr>
        <w:t>Al-Fārābī</w:t>
      </w:r>
      <w:r>
        <w:rPr>
          <w:lang w:val="cs-CZ" w:eastAsia="en-US"/>
        </w:rPr>
        <w:t xml:space="preserve"> </w:t>
      </w:r>
      <w:r>
        <w:t>did not want religion and philosophy to collide, so he had either</w:t>
      </w:r>
      <w:r>
        <w:rPr>
          <w:lang w:val="cs-CZ"/>
        </w:rPr>
        <w:t xml:space="preserve"> </w:t>
      </w:r>
      <w:r>
        <w:t xml:space="preserve">to identify them or </w:t>
      </w:r>
      <w:r>
        <w:rPr>
          <w:sz w:val="17"/>
          <w:szCs w:val="17"/>
        </w:rPr>
        <w:t xml:space="preserve">to </w:t>
      </w:r>
      <w:r>
        <w:t>subordinate the one to the other. In effect he did both.</w:t>
      </w:r>
      <w:r>
        <w:rPr>
          <w:lang w:val="cs-CZ"/>
        </w:rPr>
        <w:t xml:space="preserve"> </w:t>
      </w:r>
      <w:r>
        <w:t xml:space="preserve">He said that both philosophy </w:t>
      </w:r>
      <w:r>
        <w:rPr>
          <w:i/>
          <w:iCs/>
          <w:sz w:val="18"/>
          <w:szCs w:val="18"/>
        </w:rPr>
        <w:t>(</w:t>
      </w:r>
      <w:r w:rsidRPr="089332BC">
        <w:rPr>
          <w:i/>
        </w:rPr>
        <w:t>falsafa</w:t>
      </w:r>
      <w:r>
        <w:rPr>
          <w:i/>
          <w:iCs/>
          <w:sz w:val="18"/>
          <w:szCs w:val="18"/>
        </w:rPr>
        <w:t xml:space="preserve">) </w:t>
      </w:r>
      <w:r>
        <w:t>and religion (</w:t>
      </w:r>
      <w:r w:rsidRPr="089332BC">
        <w:rPr>
          <w:i/>
        </w:rPr>
        <w:t>mil</w:t>
      </w:r>
      <w:r w:rsidRPr="089332BC">
        <w:rPr>
          <w:i/>
          <w:lang w:val="cs-CZ"/>
        </w:rPr>
        <w:t>l</w:t>
      </w:r>
      <w:r w:rsidRPr="089332BC">
        <w:rPr>
          <w:i/>
        </w:rPr>
        <w:t>a</w:t>
      </w:r>
      <w:r>
        <w:t>) gave you the truth,</w:t>
      </w:r>
      <w:r>
        <w:rPr>
          <w:lang w:val="cs-CZ"/>
        </w:rPr>
        <w:t xml:space="preserve"> </w:t>
      </w:r>
      <w:r>
        <w:t>but that they did so in different versions, designed for different audiences. Philosophy,</w:t>
      </w:r>
      <w:r>
        <w:rPr>
          <w:lang w:val="cs-CZ"/>
        </w:rPr>
        <w:t xml:space="preserve"> </w:t>
      </w:r>
      <w:r>
        <w:t>which had existed before religion, led you to th</w:t>
      </w:r>
      <w:r>
        <w:rPr>
          <w:lang w:val="cs-CZ"/>
        </w:rPr>
        <w:t>in</w:t>
      </w:r>
      <w:r>
        <w:t>gs as they really were</w:t>
      </w:r>
      <w:r>
        <w:rPr>
          <w:lang w:val="cs-CZ"/>
        </w:rPr>
        <w:t xml:space="preserve"> </w:t>
      </w:r>
      <w:r>
        <w:t xml:space="preserve">by means of proofs based on demonstration </w:t>
      </w:r>
      <w:r>
        <w:rPr>
          <w:i/>
          <w:iCs/>
          <w:sz w:val="18"/>
          <w:szCs w:val="18"/>
        </w:rPr>
        <w:t>(</w:t>
      </w:r>
      <w:r w:rsidRPr="089332BC">
        <w:rPr>
          <w:i/>
        </w:rPr>
        <w:t>burhān</w:t>
      </w:r>
      <w:r>
        <w:rPr>
          <w:i/>
          <w:iCs/>
          <w:sz w:val="18"/>
          <w:szCs w:val="18"/>
        </w:rPr>
        <w:t xml:space="preserve">); </w:t>
      </w:r>
      <w:r>
        <w:t>religi</w:t>
      </w:r>
      <w:r>
        <w:rPr>
          <w:lang w:val="cs-CZ"/>
        </w:rPr>
        <w:t>o</w:t>
      </w:r>
      <w:r>
        <w:t>n represented the</w:t>
      </w:r>
      <w:r>
        <w:rPr>
          <w:lang w:val="cs-CZ"/>
        </w:rPr>
        <w:t xml:space="preserve"> </w:t>
      </w:r>
      <w:r>
        <w:t>abstract truths of philosophy in symbols, images and similes that everyone</w:t>
      </w:r>
      <w:r>
        <w:rPr>
          <w:lang w:val="cs-CZ"/>
        </w:rPr>
        <w:t xml:space="preserve"> </w:t>
      </w:r>
      <w:r>
        <w:t xml:space="preserve">could understand and secured acceptance for them by persuasion </w:t>
      </w:r>
      <w:r>
        <w:rPr>
          <w:rFonts w:ascii="Arial" w:hAnsi="Arial" w:cs="Arial"/>
          <w:i/>
          <w:iCs/>
          <w:sz w:val="18"/>
          <w:szCs w:val="18"/>
        </w:rPr>
        <w:t>(</w:t>
      </w:r>
      <w:r w:rsidRPr="089332BC">
        <w:rPr>
          <w:i/>
        </w:rPr>
        <w:t>iqnā</w:t>
      </w:r>
      <w:r>
        <w:rPr>
          <w:rFonts w:ascii="Arial" w:hAnsi="Arial" w:cs="Arial"/>
          <w:sz w:val="18"/>
          <w:szCs w:val="18"/>
        </w:rPr>
        <w:t>ᶜ).</w:t>
      </w:r>
      <w:r>
        <w:rPr>
          <w:rFonts w:ascii="Arial" w:hAnsi="Arial" w:cs="Arial"/>
          <w:sz w:val="18"/>
          <w:szCs w:val="18"/>
          <w:lang w:val="cs-CZ"/>
        </w:rPr>
        <w:t xml:space="preserve">“ </w:t>
      </w:r>
      <w:r>
        <w:t>(Crone 2004, 173</w:t>
      </w:r>
      <w:r>
        <w:rPr>
          <w:lang w:val="cs-CZ"/>
        </w:rPr>
        <w:t>)</w:t>
      </w:r>
    </w:p>
  </w:footnote>
  <w:footnote w:id="114">
    <w:p w14:paraId="59330C7F" w14:textId="77777777" w:rsidR="00344048" w:rsidRPr="00CF3660" w:rsidRDefault="00344048" w:rsidP="00862B70">
      <w:pPr>
        <w:pStyle w:val="Textpoznpodarou"/>
        <w:rPr>
          <w:lang w:eastAsia="en-US"/>
        </w:rPr>
      </w:pPr>
      <w:r>
        <w:rPr>
          <w:rStyle w:val="Znakapoznpodarou"/>
        </w:rPr>
        <w:footnoteRef/>
      </w:r>
      <w:r>
        <w:rPr>
          <w:lang w:val="cs-CZ"/>
        </w:rPr>
        <w:t xml:space="preserve"> </w:t>
      </w:r>
      <w:r>
        <w:t>„En suivant un raisonnement semblable, pour toutes les essences naturelles en dehors de lʿhomme, cela amène à admettre que leur connaissance est simplement la production de leurs formes et de leurs notions abstraites de la matière, dans lʿintelligence de lʿhomme.“</w:t>
      </w:r>
      <w:r w:rsidRPr="00324A18">
        <w:rPr>
          <w:color w:val="000000"/>
        </w:rPr>
        <w:t xml:space="preserve"> </w:t>
      </w:r>
      <w:r w:rsidRPr="00324A18">
        <w:rPr>
          <w:lang w:eastAsia="en-US"/>
        </w:rPr>
        <w:t>(</w:t>
      </w:r>
      <w:r w:rsidRPr="00324A18">
        <w:rPr>
          <w:i/>
          <w:lang w:eastAsia="en-US"/>
        </w:rPr>
        <w:t>Petits traités apologétiques</w:t>
      </w:r>
      <w:r w:rsidRPr="00324A18">
        <w:rPr>
          <w:lang w:eastAsia="en-US"/>
        </w:rPr>
        <w:t xml:space="preserve">, </w:t>
      </w:r>
      <w:r w:rsidRPr="00F85828">
        <w:rPr>
          <w:i/>
          <w:lang w:val="en-US"/>
        </w:rPr>
        <w:t>Traité VI</w:t>
      </w:r>
      <w:r>
        <w:rPr>
          <w:lang w:val="en-US"/>
        </w:rPr>
        <w:t xml:space="preserve">; </w:t>
      </w:r>
      <w:r w:rsidRPr="00324A18">
        <w:rPr>
          <w:lang w:eastAsia="en-US"/>
        </w:rPr>
        <w:t>Périer</w:t>
      </w:r>
      <w:r>
        <w:rPr>
          <w:lang w:val="cs-CZ" w:eastAsia="en-US"/>
        </w:rPr>
        <w:t xml:space="preserve"> 1920b</w:t>
      </w:r>
      <w:r>
        <w:rPr>
          <w:lang w:eastAsia="en-US"/>
        </w:rPr>
        <w:t>, p.</w:t>
      </w:r>
      <w:r w:rsidRPr="00324A18">
        <w:rPr>
          <w:lang w:eastAsia="en-US"/>
        </w:rPr>
        <w:t xml:space="preserve"> 80</w:t>
      </w:r>
      <w:r>
        <w:fldChar w:fldCharType="begin"/>
      </w:r>
      <w:r>
        <w:instrText xml:space="preserve"> XE "</w:instrText>
      </w:r>
      <w:r>
        <w:rPr>
          <w:lang w:val="cs-CZ"/>
        </w:rPr>
        <w:instrText>Ibn-Ádí:</w:instrText>
      </w:r>
      <w:r w:rsidRPr="00504E4E">
        <w:rPr>
          <w:i/>
          <w:lang w:val="en-US"/>
        </w:rPr>
        <w:instrText xml:space="preserve">Traité </w:instrText>
      </w:r>
      <w:r w:rsidRPr="00504E4E">
        <w:rPr>
          <w:lang w:val="en-US"/>
        </w:rPr>
        <w:instrText>6.80</w:instrText>
      </w:r>
      <w:r>
        <w:instrText xml:space="preserve">" </w:instrText>
      </w:r>
      <w:r>
        <w:fldChar w:fldCharType="end"/>
      </w:r>
      <w:r w:rsidRPr="00324A18">
        <w:rPr>
          <w:lang w:eastAsia="en-US"/>
        </w:rPr>
        <w:t>)</w:t>
      </w:r>
    </w:p>
  </w:footnote>
  <w:footnote w:id="115">
    <w:p w14:paraId="1673477F" w14:textId="77777777" w:rsidR="00344048" w:rsidRPr="00DF6BB2" w:rsidRDefault="00344048">
      <w:pPr>
        <w:pStyle w:val="Textpoznpodarou"/>
        <w:rPr>
          <w:lang w:val="cs-CZ"/>
        </w:rPr>
      </w:pPr>
      <w:r>
        <w:rPr>
          <w:rStyle w:val="Znakapoznpodarou"/>
        </w:rPr>
        <w:footnoteRef/>
      </w:r>
      <w:r>
        <w:t xml:space="preserve"> </w:t>
      </w:r>
      <w:r>
        <w:rPr>
          <w:lang w:val="cs-CZ"/>
        </w:rPr>
        <w:t>„</w:t>
      </w:r>
      <w:r w:rsidRPr="00DF6BB2">
        <w:rPr>
          <w:lang w:val="cs-CZ"/>
        </w:rPr>
        <w:t>Because these forms are parts of the composite and for this reason are causes of it, and every cause is prior by nature to its effect, forms free of all concomitants will therefore be prior by nature to their effects. Their effects are the natural beings, so forms free [of all concomitants] will be prior by nature to the natural beings. When what is prior by nature is removed, what is posterior to it will be removed; and when what is posteri</w:t>
      </w:r>
      <w:r>
        <w:rPr>
          <w:lang w:val="cs-CZ"/>
        </w:rPr>
        <w:t>or to it exists, it will exist</w:t>
      </w:r>
      <w:r w:rsidRPr="00DF6BB2">
        <w:rPr>
          <w:lang w:val="cs-CZ"/>
        </w:rPr>
        <w:t>.</w:t>
      </w:r>
      <w:r>
        <w:rPr>
          <w:lang w:val="cs-CZ"/>
        </w:rPr>
        <w:t>“ (</w:t>
      </w:r>
      <w:r w:rsidRPr="00A852B1">
        <w:rPr>
          <w:i/>
        </w:rPr>
        <w:t>On the Four Scientific Questions concerning the Three Kinds of Existence: Divine, Natural and Logical</w:t>
      </w:r>
      <w:r>
        <w:rPr>
          <w:lang w:val="cs-CZ"/>
        </w:rPr>
        <w:t xml:space="preserve">, cap. 15; ed. </w:t>
      </w:r>
      <w:r w:rsidRPr="00273106">
        <w:rPr>
          <w:noProof/>
        </w:rPr>
        <w:t>Menn &amp; Wisnovsky</w:t>
      </w:r>
      <w:r>
        <w:rPr>
          <w:noProof/>
          <w:lang w:val="cs-CZ"/>
        </w:rPr>
        <w:t>, p. 95</w:t>
      </w:r>
      <w:r>
        <w:fldChar w:fldCharType="begin"/>
      </w:r>
      <w:r>
        <w:instrText xml:space="preserve"> XE "</w:instrText>
      </w:r>
      <w:r>
        <w:rPr>
          <w:lang w:val="cs-CZ"/>
        </w:rPr>
        <w:instrText>Ibn-Ádí:</w:instrText>
      </w:r>
      <w:r w:rsidRPr="00A852B1">
        <w:rPr>
          <w:i/>
        </w:rPr>
        <w:instrText>On the Four Scientific Questions</w:instrText>
      </w:r>
      <w:r>
        <w:rPr>
          <w:i/>
          <w:lang w:val="cs-CZ"/>
        </w:rPr>
        <w:instrText xml:space="preserve"> </w:instrText>
      </w:r>
      <w:r>
        <w:rPr>
          <w:lang w:val="cs-CZ"/>
        </w:rPr>
        <w:instrText>95</w:instrText>
      </w:r>
      <w:r>
        <w:instrText xml:space="preserve">" </w:instrText>
      </w:r>
      <w:r>
        <w:fldChar w:fldCharType="end"/>
      </w:r>
      <w:r>
        <w:rPr>
          <w:lang w:val="cs-CZ"/>
        </w:rPr>
        <w:t xml:space="preserve">) </w:t>
      </w:r>
    </w:p>
  </w:footnote>
  <w:footnote w:id="116">
    <w:p w14:paraId="5F8A8111" w14:textId="77777777" w:rsidR="00344048" w:rsidRPr="00A852B1" w:rsidRDefault="00344048" w:rsidP="00504E4E">
      <w:pPr>
        <w:pStyle w:val="Textpoznpodarou"/>
        <w:rPr>
          <w:lang w:val="cs-CZ"/>
        </w:rPr>
      </w:pPr>
      <w:r>
        <w:rPr>
          <w:rStyle w:val="Znakapoznpodarou"/>
        </w:rPr>
        <w:footnoteRef/>
      </w:r>
      <w:r>
        <w:t xml:space="preserve"> </w:t>
      </w:r>
      <w:r>
        <w:rPr>
          <w:lang w:val="cs-CZ"/>
        </w:rPr>
        <w:t>„</w:t>
      </w:r>
      <w:r w:rsidRPr="00A852B1">
        <w:rPr>
          <w:lang w:val="cs-CZ"/>
        </w:rPr>
        <w:t>This is so evident and manifest that one does not seek proof of it nor is one obliged to make it plain. It is strictly necessary that this occurrent thing must [1] either agree in every respect with the existing human who is composed of a matter and a form (and this entails an absurdity, for the composite, [complete] with its matter and its body, will be in ourselves, and this would amount to the occurrent thing’s existing in ourselves; and this is manifestly objectionable.</w:t>
      </w:r>
      <w:r>
        <w:rPr>
          <w:lang w:val="cs-CZ"/>
        </w:rPr>
        <w:t>..“ (</w:t>
      </w:r>
      <w:r w:rsidRPr="00A852B1">
        <w:rPr>
          <w:i/>
        </w:rPr>
        <w:t>On the Four Scientific Questions concerning the Three Kinds of Existence: Divine, Natural and Logical</w:t>
      </w:r>
      <w:r>
        <w:rPr>
          <w:lang w:val="cs-CZ"/>
        </w:rPr>
        <w:t xml:space="preserve">, cap. 12; ed. </w:t>
      </w:r>
      <w:r w:rsidRPr="00273106">
        <w:rPr>
          <w:noProof/>
        </w:rPr>
        <w:t>Menn &amp; Wisnovsky</w:t>
      </w:r>
      <w:r>
        <w:rPr>
          <w:noProof/>
          <w:lang w:val="cs-CZ"/>
        </w:rPr>
        <w:t>, p. 92</w:t>
      </w:r>
      <w:r>
        <w:fldChar w:fldCharType="begin"/>
      </w:r>
      <w:r>
        <w:instrText xml:space="preserve"> XE "</w:instrText>
      </w:r>
      <w:r>
        <w:rPr>
          <w:lang w:val="cs-CZ"/>
        </w:rPr>
        <w:instrText>Ibn-Ádí:</w:instrText>
      </w:r>
      <w:r w:rsidRPr="00A852B1">
        <w:rPr>
          <w:i/>
        </w:rPr>
        <w:instrText>On the Four Scientific Questions</w:instrText>
      </w:r>
      <w:r>
        <w:rPr>
          <w:i/>
          <w:lang w:val="cs-CZ"/>
        </w:rPr>
        <w:instrText xml:space="preserve"> </w:instrText>
      </w:r>
      <w:r w:rsidRPr="000F5C8A">
        <w:rPr>
          <w:lang w:val="cs-CZ"/>
        </w:rPr>
        <w:instrText>92</w:instrText>
      </w:r>
      <w:r>
        <w:instrText xml:space="preserve">" </w:instrText>
      </w:r>
      <w:r>
        <w:fldChar w:fldCharType="end"/>
      </w:r>
      <w:r>
        <w:rPr>
          <w:noProof/>
          <w:lang w:val="cs-CZ"/>
        </w:rPr>
        <w:t>)</w:t>
      </w:r>
    </w:p>
  </w:footnote>
  <w:footnote w:id="117">
    <w:p w14:paraId="5F865047" w14:textId="77777777" w:rsidR="00344048" w:rsidRPr="00587358" w:rsidRDefault="00344048">
      <w:pPr>
        <w:pStyle w:val="Textpoznpodarou"/>
      </w:pPr>
      <w:r>
        <w:rPr>
          <w:rStyle w:val="Znakapoznpodarou"/>
        </w:rPr>
        <w:footnoteRef/>
      </w:r>
      <w:r w:rsidRPr="00587358">
        <w:t xml:space="preserve"> Rukopisy z Teheránu</w:t>
      </w:r>
      <w:r>
        <w:t>, které ještě Périer</w:t>
      </w:r>
      <w:r w:rsidRPr="00587358">
        <w:t xml:space="preserve"> neznal, dokazují aristo</w:t>
      </w:r>
      <w:r>
        <w:t>telismus Ibn Ádího: „Quant aux choses universelles, leur subsistance et leur manière d</w:t>
      </w:r>
      <w:r w:rsidRPr="00B0538D">
        <w:rPr>
          <w:lang w:val="fr-FR"/>
        </w:rPr>
        <w:t>’</w:t>
      </w:r>
      <w:r>
        <w:t xml:space="preserve">être essentielle ne se trouve que dans leurs choses particulières et leur individus.“ (Platti 1983, 85) </w:t>
      </w:r>
    </w:p>
  </w:footnote>
  <w:footnote w:id="118">
    <w:p w14:paraId="3EC28B3C" w14:textId="77777777" w:rsidR="00344048" w:rsidRPr="00474474" w:rsidRDefault="00344048" w:rsidP="085C61B6">
      <w:pPr>
        <w:pStyle w:val="Textpoznpodarou"/>
        <w:rPr>
          <w:lang w:val="fr-FR"/>
        </w:rPr>
      </w:pPr>
      <w:r>
        <w:rPr>
          <w:rStyle w:val="Znakapoznpodarou"/>
        </w:rPr>
        <w:footnoteRef/>
      </w:r>
      <w:r>
        <w:rPr>
          <w:lang w:val="fr-FR"/>
        </w:rPr>
        <w:t xml:space="preserve"> </w:t>
      </w:r>
      <w:r w:rsidRPr="00474474">
        <w:t>„</w:t>
      </w:r>
      <w:r w:rsidRPr="00474474">
        <w:rPr>
          <w:lang w:val="fr-FR"/>
        </w:rPr>
        <w:t>Il y a une a</w:t>
      </w:r>
      <w:r>
        <w:rPr>
          <w:lang w:val="fr-FR"/>
        </w:rPr>
        <w:t>nalogie entre les trois Hypostas</w:t>
      </w:r>
      <w:r w:rsidRPr="00474474">
        <w:rPr>
          <w:lang w:val="fr-FR"/>
        </w:rPr>
        <w:t>es divines et l</w:t>
      </w:r>
      <w:r w:rsidRPr="00474474">
        <w:t>’intellect. En les comparant on voit que l’intellect pur (</w:t>
      </w:r>
      <w:r w:rsidRPr="00474474">
        <w:rPr>
          <w:i/>
        </w:rPr>
        <w:t>al-</w:t>
      </w:r>
      <w:r w:rsidRPr="00474474">
        <w:rPr>
          <w:i/>
          <w:lang w:val="fr-FR"/>
        </w:rPr>
        <w:t>‘aql al-mu</w:t>
      </w:r>
      <w:r w:rsidRPr="00474474">
        <w:rPr>
          <w:i/>
        </w:rPr>
        <w:t>ğarrad</w:t>
      </w:r>
      <w:r w:rsidRPr="00474474">
        <w:t>) se trouve à la place du Père ; l’intelligeant (ou ce qui intellige d’une intellection pure) (</w:t>
      </w:r>
      <w:r w:rsidRPr="00474474">
        <w:rPr>
          <w:i/>
        </w:rPr>
        <w:t>al-‘āgil</w:t>
      </w:r>
      <w:r w:rsidRPr="00474474">
        <w:rPr>
          <w:i/>
          <w:lang w:val="fr-FR"/>
        </w:rPr>
        <w:t xml:space="preserve"> ‘aql</w:t>
      </w:r>
      <w:r w:rsidRPr="00474474">
        <w:rPr>
          <w:i/>
        </w:rPr>
        <w:t>an</w:t>
      </w:r>
      <w:r w:rsidRPr="00474474">
        <w:rPr>
          <w:i/>
          <w:lang w:val="fr-FR"/>
        </w:rPr>
        <w:t xml:space="preserve"> mu</w:t>
      </w:r>
      <w:r w:rsidRPr="00474474">
        <w:rPr>
          <w:i/>
        </w:rPr>
        <w:t>ğarradan</w:t>
      </w:r>
      <w:r w:rsidRPr="00474474">
        <w:t>) se trouve à la place du Fils ; et l’intelligible (ou ce qui est intelligé d’une intellection pure) (</w:t>
      </w:r>
      <w:r w:rsidRPr="00474474">
        <w:rPr>
          <w:i/>
        </w:rPr>
        <w:t>al-</w:t>
      </w:r>
      <w:r w:rsidRPr="00474474">
        <w:rPr>
          <w:i/>
          <w:lang w:val="fr-FR"/>
        </w:rPr>
        <w:t>mā‘gūl</w:t>
      </w:r>
      <w:r w:rsidRPr="00474474">
        <w:rPr>
          <w:i/>
        </w:rPr>
        <w:t xml:space="preserve"> </w:t>
      </w:r>
      <w:r w:rsidRPr="00474474">
        <w:rPr>
          <w:i/>
          <w:lang w:val="fr-FR"/>
        </w:rPr>
        <w:t>‘a</w:t>
      </w:r>
      <w:r w:rsidRPr="00474474">
        <w:rPr>
          <w:i/>
        </w:rPr>
        <w:t>qlan muğarradan</w:t>
      </w:r>
      <w:r w:rsidRPr="00474474">
        <w:t>) vient à la place de l’Esprit. Ceci n’est pas une simple comparaison. Elle traduit une réalité interne de la Trinité.“</w:t>
      </w:r>
      <w:r>
        <w:t xml:space="preserve"> (Platti 1983, 109)</w:t>
      </w:r>
    </w:p>
  </w:footnote>
  <w:footnote w:id="119">
    <w:p w14:paraId="486455A9" w14:textId="77777777" w:rsidR="00344048" w:rsidRPr="00BE7EEE" w:rsidRDefault="00344048" w:rsidP="08440200">
      <w:pPr>
        <w:pStyle w:val="Textpoznpodarou"/>
        <w:rPr>
          <w:lang w:val="fr-FR"/>
        </w:rPr>
      </w:pPr>
      <w:r>
        <w:rPr>
          <w:rStyle w:val="Znakapoznpodarou"/>
        </w:rPr>
        <w:footnoteRef/>
      </w:r>
      <w:r w:rsidRPr="00691D7D">
        <w:rPr>
          <w:lang w:val="fr-FR"/>
        </w:rPr>
        <w:t xml:space="preserve"> </w:t>
      </w:r>
      <w:r>
        <w:t>„</w:t>
      </w:r>
      <w:r w:rsidRPr="00691D7D">
        <w:rPr>
          <w:lang w:val="fr-FR"/>
        </w:rPr>
        <w:t xml:space="preserve">Or, il est évident que </w:t>
      </w:r>
      <w:r>
        <w:rPr>
          <w:lang w:val="fr-FR"/>
        </w:rPr>
        <w:t>l</w:t>
      </w:r>
      <w:r w:rsidRPr="00B0538D">
        <w:rPr>
          <w:lang w:val="fr-FR"/>
        </w:rPr>
        <w:t>’</w:t>
      </w:r>
      <w:r>
        <w:rPr>
          <w:lang w:val="fr-FR"/>
        </w:rPr>
        <w:t>in</w:t>
      </w:r>
      <w:r w:rsidRPr="00691D7D">
        <w:rPr>
          <w:lang w:val="fr-FR"/>
        </w:rPr>
        <w:t>tell</w:t>
      </w:r>
      <w:r>
        <w:rPr>
          <w:lang w:val="fr-FR"/>
        </w:rPr>
        <w:t>e</w:t>
      </w:r>
      <w:r w:rsidRPr="00691D7D">
        <w:rPr>
          <w:lang w:val="fr-FR"/>
        </w:rPr>
        <w:t>ct</w:t>
      </w:r>
      <w:r>
        <w:rPr>
          <w:lang w:val="fr-FR"/>
        </w:rPr>
        <w:t xml:space="preserve"> ne comprend que par l</w:t>
      </w:r>
      <w:r w:rsidRPr="00B0538D">
        <w:rPr>
          <w:lang w:val="fr-FR"/>
        </w:rPr>
        <w:t>’</w:t>
      </w:r>
      <w:r>
        <w:rPr>
          <w:lang w:val="fr-FR"/>
        </w:rPr>
        <w:t xml:space="preserve">intellect </w:t>
      </w:r>
      <w:r w:rsidRPr="00691D7D">
        <w:rPr>
          <w:lang w:val="fr-FR"/>
        </w:rPr>
        <w:t xml:space="preserve"> </w:t>
      </w:r>
      <w:r>
        <w:rPr>
          <w:lang w:val="fr-FR"/>
        </w:rPr>
        <w:t>et qu</w:t>
      </w:r>
      <w:r w:rsidRPr="00B0538D">
        <w:rPr>
          <w:lang w:val="fr-FR"/>
        </w:rPr>
        <w:t>’</w:t>
      </w:r>
      <w:r>
        <w:rPr>
          <w:lang w:val="fr-FR"/>
        </w:rPr>
        <w:t>il est une essence existence réellement. La notion d</w:t>
      </w:r>
      <w:r w:rsidRPr="00B0538D">
        <w:rPr>
          <w:lang w:val="fr-FR"/>
        </w:rPr>
        <w:t>’</w:t>
      </w:r>
      <w:r>
        <w:rPr>
          <w:lang w:val="fr-FR"/>
        </w:rPr>
        <w:t>intellect n</w:t>
      </w:r>
      <w:r w:rsidRPr="00B0538D">
        <w:rPr>
          <w:lang w:val="fr-FR"/>
        </w:rPr>
        <w:t>’</w:t>
      </w:r>
      <w:r>
        <w:rPr>
          <w:lang w:val="fr-FR"/>
        </w:rPr>
        <w:t xml:space="preserve">implique pas la notion </w:t>
      </w:r>
      <w:r w:rsidRPr="00BE7EEE">
        <w:rPr>
          <w:i/>
          <w:lang w:val="fr-FR"/>
        </w:rPr>
        <w:t>d’intelligent en acte</w:t>
      </w:r>
      <w:r>
        <w:rPr>
          <w:lang w:val="fr-FR"/>
        </w:rPr>
        <w:t xml:space="preserve"> (</w:t>
      </w:r>
      <w:r w:rsidRPr="00BE7EEE">
        <w:rPr>
          <w:i/>
          <w:lang w:val="fr-FR"/>
        </w:rPr>
        <w:t>‘</w:t>
      </w:r>
      <w:r>
        <w:rPr>
          <w:i/>
          <w:lang w:val="fr-FR"/>
        </w:rPr>
        <w:t>â</w:t>
      </w:r>
      <w:r w:rsidRPr="00BE7EEE">
        <w:rPr>
          <w:i/>
          <w:lang w:val="fr-FR"/>
        </w:rPr>
        <w:t>gil</w:t>
      </w:r>
      <w:r>
        <w:rPr>
          <w:lang w:val="fr-FR"/>
        </w:rPr>
        <w:t xml:space="preserve">) ou </w:t>
      </w:r>
      <w:r w:rsidRPr="00BE7EEE">
        <w:rPr>
          <w:i/>
          <w:lang w:val="fr-FR"/>
        </w:rPr>
        <w:t>d’intelligible</w:t>
      </w:r>
      <w:r>
        <w:rPr>
          <w:lang w:val="fr-FR"/>
        </w:rPr>
        <w:t xml:space="preserve"> (</w:t>
      </w:r>
      <w:r w:rsidRPr="00BE7EEE">
        <w:rPr>
          <w:i/>
          <w:lang w:val="fr-FR"/>
        </w:rPr>
        <w:t>ma’qoûl</w:t>
      </w:r>
      <w:r>
        <w:rPr>
          <w:lang w:val="fr-FR"/>
        </w:rPr>
        <w:t>), et la notion d</w:t>
      </w:r>
      <w:r w:rsidRPr="00B0538D">
        <w:rPr>
          <w:lang w:val="fr-FR"/>
        </w:rPr>
        <w:t>’</w:t>
      </w:r>
      <w:r>
        <w:rPr>
          <w:lang w:val="fr-FR"/>
        </w:rPr>
        <w:t>intelligible est différente de la notion d</w:t>
      </w:r>
      <w:r w:rsidRPr="00B0538D">
        <w:rPr>
          <w:lang w:val="fr-FR"/>
        </w:rPr>
        <w:t>’</w:t>
      </w:r>
      <w:r>
        <w:rPr>
          <w:lang w:val="fr-FR"/>
        </w:rPr>
        <w:t>intellect ou d</w:t>
      </w:r>
      <w:r w:rsidRPr="00B0538D">
        <w:rPr>
          <w:lang w:val="fr-FR"/>
        </w:rPr>
        <w:t>’</w:t>
      </w:r>
      <w:r>
        <w:rPr>
          <w:lang w:val="fr-FR"/>
        </w:rPr>
        <w:t>intelligent.</w:t>
      </w:r>
      <w:r>
        <w:rPr>
          <w:rStyle w:val="Zkladntext1"/>
          <w:rFonts w:ascii="Calibri" w:eastAsia="Times" w:hAnsi="Calibri"/>
          <w:spacing w:val="0"/>
          <w:sz w:val="20"/>
          <w:szCs w:val="20"/>
          <w:u w:val="none"/>
          <w:lang w:val="cs-CZ"/>
        </w:rPr>
        <w:t>“</w:t>
      </w:r>
      <w:r>
        <w:rPr>
          <w:lang w:val="fr-FR"/>
        </w:rPr>
        <w:t xml:space="preserve"> (</w:t>
      </w:r>
      <w:r w:rsidRPr="085951C7">
        <w:rPr>
          <w:i/>
        </w:rPr>
        <w:t>Petits traités apologétiques</w:t>
      </w:r>
      <w:r>
        <w:t xml:space="preserve">, </w:t>
      </w:r>
      <w:r>
        <w:rPr>
          <w:lang w:val="cs-CZ"/>
        </w:rPr>
        <w:t>Traité</w:t>
      </w:r>
      <w:r>
        <w:t xml:space="preserve"> </w:t>
      </w:r>
      <w:r w:rsidRPr="083E7F39">
        <w:t>I</w:t>
      </w:r>
      <w:r>
        <w:t> </w:t>
      </w:r>
      <w:r>
        <w:rPr>
          <w:lang w:val="fr-FR"/>
        </w:rPr>
        <w:t>; ed. Périer, pp. 18–19</w:t>
      </w:r>
      <w:r>
        <w:fldChar w:fldCharType="begin"/>
      </w:r>
      <w:r>
        <w:instrText xml:space="preserve"> XE "</w:instrText>
      </w:r>
      <w:r>
        <w:rPr>
          <w:lang w:val="cs-CZ"/>
        </w:rPr>
        <w:instrText>Ibn-Ádí:</w:instrText>
      </w:r>
      <w:r>
        <w:rPr>
          <w:i/>
          <w:lang w:val="fr-FR"/>
        </w:rPr>
        <w:instrText xml:space="preserve">Traité </w:instrText>
      </w:r>
      <w:r>
        <w:rPr>
          <w:lang w:val="fr-FR"/>
        </w:rPr>
        <w:instrText>1.18‒19</w:instrText>
      </w:r>
      <w:r>
        <w:instrText xml:space="preserve">" </w:instrText>
      </w:r>
      <w:r>
        <w:fldChar w:fldCharType="end"/>
      </w:r>
      <w:r>
        <w:rPr>
          <w:lang w:val="fr-FR"/>
        </w:rPr>
        <w:t>)</w:t>
      </w:r>
    </w:p>
  </w:footnote>
  <w:footnote w:id="120">
    <w:p w14:paraId="4C371E91" w14:textId="0B78FAC9" w:rsidR="00344048" w:rsidRPr="083E7F39" w:rsidRDefault="00344048" w:rsidP="089C5049">
      <w:pPr>
        <w:pStyle w:val="Textpoznpodarou"/>
      </w:pPr>
      <w:r w:rsidRPr="083E7F39">
        <w:rPr>
          <w:rStyle w:val="Znakapoznpodarou"/>
        </w:rPr>
        <w:footnoteRef/>
      </w:r>
      <w:r w:rsidRPr="083E7F39">
        <w:t xml:space="preserve"> „L’on peut dire ainsi de l’essence, </w:t>
      </w:r>
      <w:r w:rsidRPr="083E7F39">
        <w:rPr>
          <w:rStyle w:val="Zkladntext1"/>
          <w:rFonts w:ascii="Calibri" w:eastAsia="Times" w:hAnsi="Calibri"/>
          <w:color w:val="auto"/>
          <w:spacing w:val="0"/>
          <w:sz w:val="20"/>
          <w:u w:val="none"/>
        </w:rPr>
        <w:t>considér</w:t>
      </w:r>
      <w:r>
        <w:rPr>
          <w:rStyle w:val="Zkladntext1"/>
          <w:rFonts w:ascii="Calibri" w:eastAsia="Times" w:hAnsi="Calibri"/>
          <w:color w:val="auto"/>
          <w:spacing w:val="0"/>
          <w:sz w:val="20"/>
          <w:szCs w:val="20"/>
          <w:u w:val="none"/>
        </w:rPr>
        <w:t>ée comme se représentant elle-</w:t>
      </w:r>
      <w:r w:rsidRPr="083E7F39">
        <w:rPr>
          <w:rStyle w:val="Zkladntext1"/>
          <w:rFonts w:ascii="Calibri" w:eastAsia="Times" w:hAnsi="Calibri"/>
          <w:color w:val="auto"/>
          <w:spacing w:val="0"/>
          <w:sz w:val="20"/>
          <w:szCs w:val="20"/>
          <w:u w:val="none"/>
        </w:rPr>
        <w:t>même, qu</w:t>
      </w:r>
      <w:r w:rsidRPr="083E7F39">
        <w:t>’</w:t>
      </w:r>
      <w:r w:rsidRPr="083E7F39">
        <w:rPr>
          <w:rStyle w:val="Zkladntext1"/>
          <w:rFonts w:ascii="Calibri" w:eastAsia="Times" w:hAnsi="Calibri"/>
          <w:color w:val="auto"/>
          <w:spacing w:val="0"/>
          <w:sz w:val="20"/>
          <w:u w:val="none"/>
        </w:rPr>
        <w:t>elle e</w:t>
      </w:r>
      <w:r w:rsidRPr="083E7F39">
        <w:t xml:space="preserve">st </w:t>
      </w:r>
      <w:r w:rsidRPr="083E7F39">
        <w:rPr>
          <w:rStyle w:val="ZkladntextKurzvadkovn0pt"/>
          <w:rFonts w:ascii="Calibri" w:eastAsia="Times" w:hAnsi="Calibri"/>
          <w:i w:val="0"/>
          <w:iCs w:val="0"/>
          <w:color w:val="auto"/>
          <w:spacing w:val="0"/>
          <w:sz w:val="20"/>
          <w:u w:val="none"/>
        </w:rPr>
        <w:t>intelligente</w:t>
      </w:r>
      <w:r w:rsidRPr="083E7F39">
        <w:rPr>
          <w:rStyle w:val="Zkladntext1"/>
          <w:rFonts w:ascii="Calibri" w:eastAsia="Times" w:hAnsi="Calibri"/>
          <w:color w:val="auto"/>
          <w:spacing w:val="0"/>
          <w:sz w:val="20"/>
          <w:u w:val="none"/>
        </w:rPr>
        <w:t xml:space="preserve"> et, c</w:t>
      </w:r>
      <w:r w:rsidRPr="083E7F39">
        <w:rPr>
          <w:rStyle w:val="Zkladntext1"/>
          <w:rFonts w:ascii="Calibri" w:eastAsia="Times" w:hAnsi="Calibri"/>
          <w:color w:val="auto"/>
          <w:spacing w:val="0"/>
          <w:sz w:val="20"/>
          <w:szCs w:val="20"/>
          <w:u w:val="none"/>
        </w:rPr>
        <w:t>onsidérée comme représentée, qu</w:t>
      </w:r>
      <w:r w:rsidRPr="083E7F39">
        <w:t>’</w:t>
      </w:r>
      <w:r w:rsidRPr="083E7F39">
        <w:rPr>
          <w:rStyle w:val="Zkladntext1"/>
          <w:rFonts w:ascii="Calibri" w:eastAsia="Times" w:hAnsi="Calibri"/>
          <w:color w:val="auto"/>
          <w:spacing w:val="0"/>
          <w:sz w:val="20"/>
          <w:u w:val="none"/>
        </w:rPr>
        <w:t>elle es</w:t>
      </w:r>
      <w:r w:rsidRPr="083E7F39">
        <w:t xml:space="preserve">t </w:t>
      </w:r>
      <w:r>
        <w:rPr>
          <w:rStyle w:val="ZkladntextKurzvadkovn0pt"/>
          <w:rFonts w:ascii="Calibri" w:eastAsia="Times" w:hAnsi="Calibri"/>
          <w:i w:val="0"/>
          <w:iCs w:val="0"/>
          <w:color w:val="auto"/>
          <w:spacing w:val="0"/>
          <w:sz w:val="20"/>
          <w:szCs w:val="20"/>
          <w:u w:val="none"/>
        </w:rPr>
        <w:t xml:space="preserve">intelligible. </w:t>
      </w:r>
      <w:r w:rsidRPr="083E7F39">
        <w:rPr>
          <w:rStyle w:val="ZkladntextKurzvadkovn0pt"/>
          <w:rFonts w:ascii="Calibri" w:eastAsia="Times" w:hAnsi="Calibri"/>
          <w:i w:val="0"/>
          <w:iCs w:val="0"/>
          <w:color w:val="auto"/>
          <w:spacing w:val="0"/>
          <w:sz w:val="20"/>
          <w:szCs w:val="20"/>
          <w:u w:val="none"/>
        </w:rPr>
        <w:t xml:space="preserve">Il est </w:t>
      </w:r>
      <w:r w:rsidRPr="083E7F39">
        <w:rPr>
          <w:rStyle w:val="Zkladntext1"/>
          <w:rFonts w:ascii="Calibri" w:eastAsia="Times" w:hAnsi="Calibri"/>
          <w:color w:val="auto"/>
          <w:spacing w:val="0"/>
          <w:sz w:val="20"/>
          <w:u w:val="none"/>
        </w:rPr>
        <w:t>encore</w:t>
      </w:r>
      <w:r w:rsidRPr="083E7F39">
        <w:t xml:space="preserve"> évident que la notion de l’int</w:t>
      </w:r>
      <w:r w:rsidRPr="083E7F39">
        <w:rPr>
          <w:rStyle w:val="Zkladntext1"/>
          <w:rFonts w:ascii="Calibri" w:eastAsia="Times" w:hAnsi="Calibri"/>
          <w:color w:val="auto"/>
          <w:spacing w:val="0"/>
          <w:sz w:val="20"/>
          <w:u w:val="none"/>
        </w:rPr>
        <w:t>ellect considéré seul est le principe des deux autres notio</w:t>
      </w:r>
      <w:r w:rsidRPr="083E7F39">
        <w:t>ns d’intelligent et d’intelligible, puisque la suppression de cette première no</w:t>
      </w:r>
      <w:r w:rsidRPr="083E7F39">
        <w:rPr>
          <w:rStyle w:val="Zkladntext1"/>
          <w:rFonts w:ascii="Calibri" w:eastAsia="Times" w:hAnsi="Calibri"/>
          <w:color w:val="auto"/>
          <w:spacing w:val="0"/>
          <w:sz w:val="20"/>
          <w:u w:val="none"/>
        </w:rPr>
        <w:t>tion entraîne nécessairement celle d</w:t>
      </w:r>
      <w:r w:rsidRPr="083E7F39">
        <w:t xml:space="preserve">es </w:t>
      </w:r>
      <w:r w:rsidRPr="083E7F39">
        <w:rPr>
          <w:rStyle w:val="Zkladntext1"/>
          <w:rFonts w:ascii="Calibri" w:eastAsia="Times" w:hAnsi="Calibri"/>
          <w:color w:val="auto"/>
          <w:spacing w:val="0"/>
          <w:sz w:val="20"/>
          <w:szCs w:val="20"/>
          <w:u w:val="none"/>
        </w:rPr>
        <w:t>deux au</w:t>
      </w:r>
      <w:r w:rsidRPr="083E7F39">
        <w:rPr>
          <w:rStyle w:val="Zkladntext1"/>
          <w:rFonts w:ascii="Calibri" w:eastAsia="Times" w:hAnsi="Calibri"/>
          <w:color w:val="auto"/>
          <w:spacing w:val="0"/>
          <w:sz w:val="20"/>
          <w:u w:val="none"/>
        </w:rPr>
        <w:t>tres, tandis que l’existen</w:t>
      </w:r>
      <w:r w:rsidRPr="083E7F39">
        <w:rPr>
          <w:rStyle w:val="Zkladntext1"/>
          <w:rFonts w:ascii="Calibri" w:eastAsia="Times" w:hAnsi="Calibri"/>
          <w:color w:val="auto"/>
          <w:spacing w:val="0"/>
          <w:sz w:val="20"/>
          <w:szCs w:val="20"/>
          <w:u w:val="none"/>
        </w:rPr>
        <w:t>ce de l</w:t>
      </w:r>
      <w:r w:rsidRPr="083E7F39">
        <w:t>’</w:t>
      </w:r>
      <w:r w:rsidRPr="083E7F39">
        <w:rPr>
          <w:rStyle w:val="Zkladntext1"/>
          <w:rFonts w:ascii="Calibri" w:eastAsia="Times" w:hAnsi="Calibri"/>
          <w:color w:val="auto"/>
          <w:spacing w:val="0"/>
          <w:sz w:val="20"/>
          <w:u w:val="none"/>
        </w:rPr>
        <w:t>une de ces deux</w:t>
      </w:r>
      <w:r w:rsidRPr="083E7F39">
        <w:t xml:space="preserve"> </w:t>
      </w:r>
      <w:r w:rsidRPr="083E7F39">
        <w:rPr>
          <w:rStyle w:val="Zkladntext1"/>
          <w:rFonts w:ascii="Calibri" w:eastAsia="Times" w:hAnsi="Calibri"/>
          <w:color w:val="auto"/>
          <w:spacing w:val="0"/>
          <w:sz w:val="20"/>
          <w:u w:val="none"/>
        </w:rPr>
        <w:t>dernières suppose nécessairement la première</w:t>
      </w:r>
      <w:r w:rsidRPr="083E7F39">
        <w:rPr>
          <w:rStyle w:val="Zkladntext1"/>
          <w:rFonts w:ascii="Calibri" w:eastAsia="Times" w:hAnsi="Calibri"/>
          <w:color w:val="auto"/>
          <w:spacing w:val="0"/>
          <w:sz w:val="20"/>
          <w:szCs w:val="20"/>
          <w:u w:val="none"/>
        </w:rPr>
        <w:t xml:space="preserve">.“ </w:t>
      </w:r>
      <w:r w:rsidRPr="00F85828">
        <w:rPr>
          <w:rStyle w:val="Zkladntext1"/>
          <w:rFonts w:ascii="Calibri" w:eastAsia="Times" w:hAnsi="Calibri"/>
          <w:color w:val="auto"/>
          <w:spacing w:val="0"/>
          <w:sz w:val="20"/>
          <w:szCs w:val="20"/>
          <w:u w:val="none"/>
          <w:lang w:val="de-DE"/>
        </w:rPr>
        <w:t>(</w:t>
      </w:r>
      <w:r w:rsidRPr="085951C7">
        <w:rPr>
          <w:i/>
        </w:rPr>
        <w:t>Petits traités apologétiques</w:t>
      </w:r>
      <w:r>
        <w:t xml:space="preserve">, </w:t>
      </w:r>
      <w:r>
        <w:rPr>
          <w:lang w:val="cs-CZ"/>
        </w:rPr>
        <w:t xml:space="preserve">Traité </w:t>
      </w:r>
      <w:r w:rsidRPr="083E7F39">
        <w:t>I</w:t>
      </w:r>
      <w:r>
        <w:rPr>
          <w:lang w:val="cs-CZ"/>
        </w:rPr>
        <w:t>;</w:t>
      </w:r>
      <w:r w:rsidRPr="083E7F39">
        <w:t xml:space="preserve"> ed. Périer, p.  20</w:t>
      </w:r>
      <w:r>
        <w:fldChar w:fldCharType="begin"/>
      </w:r>
      <w:r>
        <w:instrText xml:space="preserve"> XE "</w:instrText>
      </w:r>
      <w:r>
        <w:rPr>
          <w:lang w:val="cs-CZ"/>
        </w:rPr>
        <w:instrText>Ibn-Ádí:</w:instrText>
      </w:r>
      <w:r w:rsidRPr="00F85828">
        <w:rPr>
          <w:i/>
          <w:lang w:val="de-DE"/>
        </w:rPr>
        <w:instrText xml:space="preserve">Traité </w:instrText>
      </w:r>
      <w:r w:rsidRPr="00F85828">
        <w:rPr>
          <w:lang w:val="de-DE"/>
        </w:rPr>
        <w:instrText>1.20</w:instrText>
      </w:r>
      <w:r>
        <w:instrText xml:space="preserve">" </w:instrText>
      </w:r>
      <w:r>
        <w:fldChar w:fldCharType="end"/>
      </w:r>
      <w:r w:rsidRPr="00F85828">
        <w:rPr>
          <w:rStyle w:val="Zkladntext1"/>
          <w:rFonts w:ascii="Calibri" w:eastAsia="Times" w:hAnsi="Calibri"/>
          <w:color w:val="auto"/>
          <w:spacing w:val="0"/>
          <w:sz w:val="20"/>
          <w:szCs w:val="20"/>
          <w:u w:val="none"/>
          <w:lang w:val="de-DE"/>
        </w:rPr>
        <w:t>)</w:t>
      </w:r>
    </w:p>
  </w:footnote>
  <w:footnote w:id="121">
    <w:p w14:paraId="799C8946" w14:textId="77777777" w:rsidR="00344048" w:rsidRPr="00595E53" w:rsidRDefault="00344048" w:rsidP="00357A58">
      <w:pPr>
        <w:pStyle w:val="Textpoznpodarou"/>
        <w:rPr>
          <w:lang w:val="cs-CZ"/>
        </w:rPr>
      </w:pPr>
      <w:r w:rsidRPr="00614BED">
        <w:rPr>
          <w:rStyle w:val="Znakapoznpodarou"/>
        </w:rPr>
        <w:footnoteRef/>
      </w:r>
      <w:r w:rsidRPr="00614BED">
        <w:t xml:space="preserve"> </w:t>
      </w:r>
      <w:r>
        <w:t>„Denn das, was er [der Geist] wissen will, ist gleichsam sein eigener Stoff, denn er formte sich ja in der Form des Gewussten und Betrachteten. Formte sich aber der Geist in der Form des des Gewussten und Betrachteten, ward er wie dasselbe der That nach.“ (</w:t>
      </w:r>
      <w:r w:rsidRPr="009B380C">
        <w:rPr>
          <w:i/>
        </w:rPr>
        <w:t xml:space="preserve">Die sogenannte Theologie des </w:t>
      </w:r>
      <w:r>
        <w:rPr>
          <w:i/>
        </w:rPr>
        <w:t>Aristoteles</w:t>
      </w:r>
      <w:r w:rsidRPr="087C3998">
        <w:t xml:space="preserve"> </w:t>
      </w:r>
      <w:r>
        <w:t>II.17</w:t>
      </w:r>
      <w:r>
        <w:fldChar w:fldCharType="begin"/>
      </w:r>
      <w:r>
        <w:instrText xml:space="preserve"> XE "</w:instrText>
      </w:r>
      <w:r w:rsidRPr="00510E4E">
        <w:rPr>
          <w:i/>
          <w:lang w:val="cs-CZ"/>
        </w:rPr>
        <w:instrText>Theologia Aristotelis</w:instrText>
      </w:r>
      <w:r>
        <w:rPr>
          <w:lang w:val="cs-CZ"/>
        </w:rPr>
        <w:instrText xml:space="preserve"> 18</w:instrText>
      </w:r>
      <w:r>
        <w:instrText xml:space="preserve">" </w:instrText>
      </w:r>
      <w:r>
        <w:fldChar w:fldCharType="end"/>
      </w:r>
      <w:r>
        <w:t>; ed. Dieterici, p. 18</w:t>
      </w:r>
      <w:r>
        <w:rPr>
          <w:lang w:val="cs-CZ"/>
        </w:rPr>
        <w:t>)</w:t>
      </w:r>
    </w:p>
  </w:footnote>
  <w:footnote w:id="122">
    <w:p w14:paraId="054B3227" w14:textId="77777777" w:rsidR="00344048" w:rsidRPr="002E64E1" w:rsidRDefault="00344048" w:rsidP="085D4347">
      <w:pPr>
        <w:pStyle w:val="Textpoznpodarou"/>
      </w:pPr>
      <w:r>
        <w:rPr>
          <w:rStyle w:val="Znakapoznpodarou"/>
        </w:rPr>
        <w:footnoteRef/>
      </w:r>
      <w:r>
        <w:t xml:space="preserve"> </w:t>
      </w:r>
      <w:r w:rsidRPr="009B380C">
        <w:t xml:space="preserve">„Il s’intellige lui-même. </w:t>
      </w:r>
      <w:r w:rsidRPr="00FA580D">
        <w:rPr>
          <w:lang w:val="fr-FR"/>
        </w:rPr>
        <w:t xml:space="preserve">En tant qu’Il intellige son essence, Il est intelligent et intelligence en acte; et en tant que son essence intellige, il est intelligible en acte.“ </w:t>
      </w:r>
      <w:r w:rsidRPr="086332D6">
        <w:rPr>
          <w:lang w:val="en-US"/>
        </w:rPr>
        <w:t>(</w:t>
      </w:r>
      <w:r>
        <w:t xml:space="preserve">Al-Farābī, </w:t>
      </w:r>
      <w:r w:rsidRPr="00D1070E">
        <w:rPr>
          <w:i/>
        </w:rPr>
        <w:t>Al-Madīna</w:t>
      </w:r>
      <w:r w:rsidRPr="086332D6">
        <w:rPr>
          <w:lang w:val="en-US"/>
        </w:rPr>
        <w:t xml:space="preserve">; cit. podle </w:t>
      </w:r>
      <w:r>
        <w:t xml:space="preserve">Platti 1983, </w:t>
      </w:r>
      <w:r w:rsidRPr="086332D6">
        <w:rPr>
          <w:lang w:val="en-US"/>
        </w:rPr>
        <w:t>113)</w:t>
      </w:r>
      <w:r w:rsidRPr="002E64E1">
        <w:t xml:space="preserve"> </w:t>
      </w:r>
    </w:p>
  </w:footnote>
  <w:footnote w:id="123">
    <w:p w14:paraId="11D8A5BB" w14:textId="1C4E03F7" w:rsidR="00344048" w:rsidRPr="00B94FC9" w:rsidRDefault="00344048" w:rsidP="00102E6E">
      <w:pPr>
        <w:pStyle w:val="Textpoznpodarou"/>
        <w:rPr>
          <w:lang w:val="cs-CZ"/>
        </w:rPr>
      </w:pPr>
      <w:r w:rsidRPr="00B94FC9">
        <w:rPr>
          <w:rStyle w:val="Znakapoznpodarou"/>
        </w:rPr>
        <w:footnoteRef/>
      </w:r>
      <w:r>
        <w:rPr>
          <w:lang w:val="cs-CZ"/>
        </w:rPr>
        <w:t xml:space="preserve"> „</w:t>
      </w:r>
      <w:r w:rsidRPr="00B94FC9">
        <w:t xml:space="preserve">En effet, le Créateur est distinct de toutes les </w:t>
      </w:r>
      <w:r>
        <w:t>créatures, puisqu</w:t>
      </w:r>
      <w:r w:rsidRPr="00D6314C">
        <w:rPr>
          <w:lang w:val="fr-FR" w:eastAsia="en-US"/>
        </w:rPr>
        <w:t>’</w:t>
      </w:r>
      <w:r w:rsidRPr="00B94FC9">
        <w:t xml:space="preserve">il les a toutes produites, </w:t>
      </w:r>
      <w:r>
        <w:t>qu</w:t>
      </w:r>
      <w:r w:rsidRPr="00D6314C">
        <w:rPr>
          <w:lang w:val="fr-FR" w:eastAsia="en-US"/>
        </w:rPr>
        <w:t>’</w:t>
      </w:r>
      <w:r w:rsidRPr="00B94FC9">
        <w:t xml:space="preserve">il leur conserve la vie et les fait mourir. Or ces distinctions entre lui et les créatures ne lui sont pas </w:t>
      </w:r>
      <w:r>
        <w:t>substantielles puisqu</w:t>
      </w:r>
      <w:r w:rsidRPr="00D6314C">
        <w:rPr>
          <w:lang w:val="fr-FR" w:eastAsia="en-US"/>
        </w:rPr>
        <w:t>’</w:t>
      </w:r>
      <w:r>
        <w:t>elles n</w:t>
      </w:r>
      <w:r w:rsidRPr="00D6314C">
        <w:rPr>
          <w:lang w:val="fr-FR" w:eastAsia="en-US"/>
        </w:rPr>
        <w:t>’</w:t>
      </w:r>
      <w:r w:rsidRPr="00B94FC9">
        <w:t xml:space="preserve">ont existé pour le Créateur </w:t>
      </w:r>
      <w:r>
        <w:t>qu</w:t>
      </w:r>
      <w:r w:rsidRPr="00D6314C">
        <w:rPr>
          <w:lang w:val="fr-FR" w:eastAsia="en-US"/>
        </w:rPr>
        <w:t>’</w:t>
      </w:r>
      <w:r w:rsidRPr="00B94FC9">
        <w:t xml:space="preserve">après un temps où elles ne lui convenaient </w:t>
      </w:r>
      <w:r>
        <w:t>pas</w:t>
      </w:r>
      <w:r>
        <w:rPr>
          <w:lang w:val="cs-CZ"/>
        </w:rPr>
        <w:t>.“ (</w:t>
      </w:r>
      <w:r w:rsidRPr="085951C7">
        <w:rPr>
          <w:i/>
        </w:rPr>
        <w:t>Petits traités apologétiques</w:t>
      </w:r>
      <w:r>
        <w:t xml:space="preserve">, </w:t>
      </w:r>
      <w:r>
        <w:rPr>
          <w:lang w:val="cs-CZ"/>
        </w:rPr>
        <w:t>Traité</w:t>
      </w:r>
      <w:r>
        <w:t xml:space="preserve"> </w:t>
      </w:r>
      <w:r w:rsidRPr="083E7F39">
        <w:t>I</w:t>
      </w:r>
      <w:r>
        <w:rPr>
          <w:lang w:val="cs-CZ"/>
        </w:rPr>
        <w:t>II</w:t>
      </w:r>
      <w:r>
        <w:t> </w:t>
      </w:r>
      <w:r>
        <w:rPr>
          <w:lang w:val="fr-FR"/>
        </w:rPr>
        <w:t>; ed. Périer, p. 33</w:t>
      </w:r>
      <w:r>
        <w:fldChar w:fldCharType="begin"/>
      </w:r>
      <w:r>
        <w:instrText xml:space="preserve"> XE "</w:instrText>
      </w:r>
      <w:r>
        <w:rPr>
          <w:lang w:val="cs-CZ"/>
        </w:rPr>
        <w:instrText>Ibn-Ádí:</w:instrText>
      </w:r>
      <w:r w:rsidRPr="003D3905">
        <w:rPr>
          <w:i/>
          <w:lang w:val="de-DE"/>
        </w:rPr>
        <w:instrText xml:space="preserve">Traité </w:instrText>
      </w:r>
      <w:r>
        <w:rPr>
          <w:lang w:val="de-DE"/>
        </w:rPr>
        <w:instrText>3</w:instrText>
      </w:r>
      <w:r w:rsidRPr="003D3905">
        <w:rPr>
          <w:lang w:val="de-DE"/>
        </w:rPr>
        <w:instrText>.</w:instrText>
      </w:r>
      <w:r>
        <w:rPr>
          <w:lang w:val="de-DE"/>
        </w:rPr>
        <w:instrText>33</w:instrText>
      </w:r>
      <w:r>
        <w:instrText xml:space="preserve">" </w:instrText>
      </w:r>
      <w:r>
        <w:fldChar w:fldCharType="end"/>
      </w:r>
      <w:r>
        <w:rPr>
          <w:lang w:val="cs-CZ"/>
        </w:rPr>
        <w:t>)</w:t>
      </w:r>
    </w:p>
  </w:footnote>
  <w:footnote w:id="124">
    <w:p w14:paraId="30CFAF0D" w14:textId="77777777" w:rsidR="00344048" w:rsidRPr="00D07818" w:rsidRDefault="00344048" w:rsidP="0015127E">
      <w:pPr>
        <w:pStyle w:val="Textpoznpodarou"/>
        <w:rPr>
          <w:lang w:val="cs-CZ"/>
        </w:rPr>
      </w:pPr>
      <w:r>
        <w:rPr>
          <w:rStyle w:val="Znakapoznpodarou"/>
        </w:rPr>
        <w:footnoteRef/>
      </w:r>
      <w:r>
        <w:t xml:space="preserve"> </w:t>
      </w:r>
      <w:r>
        <w:rPr>
          <w:lang w:val="cs-CZ"/>
        </w:rPr>
        <w:t>„</w:t>
      </w:r>
      <w:r>
        <w:t>Now for their divine existence, which is their real existence (I mean [their existing] in their [essential] realities), and in which they are not clothed with anything else, they need nothing at all apart from themselves</w:t>
      </w:r>
      <w:r>
        <w:rPr>
          <w:lang w:val="cs-CZ"/>
        </w:rPr>
        <w:t xml:space="preserve">. (...) </w:t>
      </w:r>
      <w:r>
        <w:t>Rather, all of these three existences must always attach to it, as long as their Creator and Existentiator — hallowed be His names — wishes it.</w:t>
      </w:r>
      <w:r>
        <w:rPr>
          <w:lang w:val="cs-CZ"/>
        </w:rPr>
        <w:t>“ (</w:t>
      </w:r>
      <w:r w:rsidRPr="00A852B1">
        <w:rPr>
          <w:i/>
        </w:rPr>
        <w:t>On the Four Scientific Questions concerning the Three Kinds of Existence: Divine, Natural and Logical</w:t>
      </w:r>
      <w:r>
        <w:rPr>
          <w:lang w:val="cs-CZ"/>
        </w:rPr>
        <w:t xml:space="preserve">, cap. 16; ed. </w:t>
      </w:r>
      <w:r w:rsidRPr="00273106">
        <w:rPr>
          <w:noProof/>
        </w:rPr>
        <w:t>Menn &amp; Wisnovsky</w:t>
      </w:r>
      <w:r>
        <w:rPr>
          <w:noProof/>
          <w:lang w:val="cs-CZ"/>
        </w:rPr>
        <w:t>, p. 96</w:t>
      </w:r>
      <w:r>
        <w:fldChar w:fldCharType="begin"/>
      </w:r>
      <w:r>
        <w:instrText xml:space="preserve"> XE "</w:instrText>
      </w:r>
      <w:r>
        <w:rPr>
          <w:lang w:val="cs-CZ"/>
        </w:rPr>
        <w:instrText>Ibn-Ádí:</w:instrText>
      </w:r>
      <w:r w:rsidRPr="00A852B1">
        <w:rPr>
          <w:i/>
        </w:rPr>
        <w:instrText>On the Four Scientific Questions</w:instrText>
      </w:r>
      <w:r>
        <w:rPr>
          <w:i/>
          <w:lang w:val="cs-CZ"/>
        </w:rPr>
        <w:instrText xml:space="preserve"> </w:instrText>
      </w:r>
      <w:r>
        <w:rPr>
          <w:lang w:val="cs-CZ"/>
        </w:rPr>
        <w:instrText>96</w:instrText>
      </w:r>
      <w:r>
        <w:instrText xml:space="preserve">" </w:instrText>
      </w:r>
      <w:r>
        <w:fldChar w:fldCharType="end"/>
      </w:r>
      <w:r>
        <w:rPr>
          <w:noProof/>
          <w:lang w:val="cs-CZ"/>
        </w:rPr>
        <w:t>)</w:t>
      </w:r>
    </w:p>
  </w:footnote>
  <w:footnote w:id="125">
    <w:p w14:paraId="2A7B57FF" w14:textId="77777777" w:rsidR="00344048" w:rsidRPr="00317FE1" w:rsidRDefault="00344048">
      <w:pPr>
        <w:pStyle w:val="Textpoznpodarou"/>
        <w:rPr>
          <w:noProof/>
          <w:lang w:val="cs-CZ"/>
        </w:rPr>
      </w:pPr>
      <w:r>
        <w:rPr>
          <w:rStyle w:val="Znakapoznpodarou"/>
        </w:rPr>
        <w:footnoteRef/>
      </w:r>
      <w:r>
        <w:t xml:space="preserve"> </w:t>
      </w:r>
      <w:r w:rsidRPr="00273106">
        <w:rPr>
          <w:noProof/>
        </w:rPr>
        <w:t>„En outre, puisque l’intellect en acte et l’intelligible en acte sont un dans le sujet ainsi que l’a démontré Aristote, et comme nous l’avons nous-même démontré dans notre Traité des trois sortes d’êtres [</w:t>
      </w:r>
      <w:r w:rsidRPr="00273106">
        <w:rPr>
          <w:i/>
          <w:noProof/>
        </w:rPr>
        <w:t>On the Four Scientific Questions Concerning the Three Kinds of Existence</w:t>
      </w:r>
      <w:r w:rsidRPr="00273106">
        <w:rPr>
          <w:noProof/>
        </w:rPr>
        <w:t>], et comme nous le démontrerons encore dans le présent traité, Il faut que nos intelligences, au moment où elles perçoivent le Créateur, fassent un avec lui.“ (</w:t>
      </w:r>
      <w:r w:rsidRPr="085951C7">
        <w:rPr>
          <w:i/>
        </w:rPr>
        <w:t>Petits traités apologétiques</w:t>
      </w:r>
      <w:r>
        <w:t>,</w:t>
      </w:r>
      <w:r>
        <w:rPr>
          <w:lang w:val="cs-CZ"/>
        </w:rPr>
        <w:t xml:space="preserve"> </w:t>
      </w:r>
      <w:r w:rsidRPr="00EE3E3C">
        <w:rPr>
          <w:i/>
          <w:lang w:val="cs-CZ"/>
        </w:rPr>
        <w:t>t</w:t>
      </w:r>
      <w:r w:rsidRPr="00EE3E3C">
        <w:rPr>
          <w:i/>
          <w:noProof/>
        </w:rPr>
        <w:t>raité</w:t>
      </w:r>
      <w:r w:rsidRPr="00273106">
        <w:rPr>
          <w:i/>
          <w:noProof/>
        </w:rPr>
        <w:t xml:space="preserve"> VI</w:t>
      </w:r>
      <w:r>
        <w:rPr>
          <w:noProof/>
          <w:lang w:val="cs-CZ"/>
        </w:rPr>
        <w:t xml:space="preserve">; ed. Périer, </w:t>
      </w:r>
      <w:r w:rsidRPr="00273106">
        <w:rPr>
          <w:noProof/>
        </w:rPr>
        <w:t>p. 75</w:t>
      </w:r>
      <w:r>
        <w:fldChar w:fldCharType="begin"/>
      </w:r>
      <w:r>
        <w:instrText xml:space="preserve"> XE "</w:instrText>
      </w:r>
      <w:r>
        <w:rPr>
          <w:lang w:val="cs-CZ"/>
        </w:rPr>
        <w:instrText>Ibn-Ádí:</w:instrText>
      </w:r>
      <w:r w:rsidRPr="00F85828">
        <w:rPr>
          <w:i/>
          <w:lang w:val="de-DE"/>
        </w:rPr>
        <w:instrText xml:space="preserve">Traité </w:instrText>
      </w:r>
      <w:r w:rsidRPr="00F85828">
        <w:rPr>
          <w:lang w:val="de-DE"/>
        </w:rPr>
        <w:instrText>6.75</w:instrText>
      </w:r>
      <w:r>
        <w:instrText xml:space="preserve">" </w:instrText>
      </w:r>
      <w:r>
        <w:fldChar w:fldCharType="end"/>
      </w:r>
      <w:r w:rsidRPr="00273106">
        <w:rPr>
          <w:noProof/>
        </w:rPr>
        <w:t>)</w:t>
      </w:r>
    </w:p>
  </w:footnote>
  <w:footnote w:id="126">
    <w:p w14:paraId="149C4887" w14:textId="77777777" w:rsidR="00344048" w:rsidRPr="006E22C9" w:rsidRDefault="00344048" w:rsidP="00075064">
      <w:pPr>
        <w:pStyle w:val="Textpoznpodarou"/>
        <w:rPr>
          <w:lang w:val="cs-CZ"/>
        </w:rPr>
      </w:pPr>
      <w:r>
        <w:rPr>
          <w:rStyle w:val="Znakapoznpodarou"/>
        </w:rPr>
        <w:footnoteRef/>
      </w:r>
      <w:r>
        <w:t xml:space="preserve"> „</w:t>
      </w:r>
      <w:r w:rsidRPr="086745F5">
        <w:t>Was das Denken als Vernehmen vernimmt, ist das Präsente in seiner Präsenz. An ihr nimmt</w:t>
      </w:r>
      <w:r>
        <w:t xml:space="preserve"> das Denken das Maß für sein We</w:t>
      </w:r>
      <w:r w:rsidRPr="086745F5">
        <w:t>sen als Vernehmen. Demgemäß ist das Denken jene Präsentation des Präsenten, die uns das Anwesende in seiner Anwesenheit zu stellt und es damit vor uns st</w:t>
      </w:r>
      <w:r>
        <w:t>ellt, damit wir vor dem Anwesen</w:t>
      </w:r>
      <w:r w:rsidRPr="086745F5">
        <w:t>den stehen und innerhalb seiner dieses Stehen ausstehen können. Das Denken stellt als diese Präsentation das Anwesende in die Beziehung auf uns zu, stellt es zurück zu uns her.</w:t>
      </w:r>
      <w:r>
        <w:t>“ (</w:t>
      </w:r>
      <w:r w:rsidRPr="086D5821">
        <w:rPr>
          <w:i/>
        </w:rPr>
        <w:t>Was heißt denken?</w:t>
      </w:r>
      <w:r>
        <w:t>; GA 7, 141</w:t>
      </w:r>
      <w:r>
        <w:rPr>
          <w:i/>
        </w:rPr>
        <w:fldChar w:fldCharType="begin"/>
      </w:r>
      <w:r>
        <w:instrText xml:space="preserve"> XE "</w:instrText>
      </w:r>
      <w:r w:rsidRPr="006E22C9">
        <w:rPr>
          <w:lang w:val="cs-CZ"/>
        </w:rPr>
        <w:instrText>Heidegger:</w:instrText>
      </w:r>
      <w:r>
        <w:instrText xml:space="preserve">GA 7, 141" </w:instrText>
      </w:r>
      <w:r>
        <w:rPr>
          <w:i/>
        </w:rPr>
        <w:fldChar w:fldCharType="end"/>
      </w:r>
      <w:r>
        <w:t>)</w:t>
      </w:r>
    </w:p>
  </w:footnote>
  <w:footnote w:id="127">
    <w:p w14:paraId="60E81DFA" w14:textId="77777777" w:rsidR="00344048" w:rsidRPr="002E7A96" w:rsidRDefault="00344048">
      <w:pPr>
        <w:pStyle w:val="Textpoznpodarou"/>
        <w:rPr>
          <w:lang w:val="cs-CZ"/>
        </w:rPr>
      </w:pPr>
      <w:r>
        <w:rPr>
          <w:rStyle w:val="Znakapoznpodarou"/>
        </w:rPr>
        <w:footnoteRef/>
      </w:r>
      <w:r>
        <w:t xml:space="preserve"> </w:t>
      </w:r>
      <w:r>
        <w:rPr>
          <w:lang w:val="cs-CZ"/>
        </w:rPr>
        <w:t>„</w:t>
      </w:r>
      <w:r w:rsidRPr="00440435">
        <w:rPr>
          <w:lang w:val="cs-CZ"/>
        </w:rPr>
        <w:t>So we hold t</w:t>
      </w:r>
      <w:r>
        <w:rPr>
          <w:lang w:val="cs-CZ"/>
        </w:rPr>
        <w:t>hat the soul has two activities</w:t>
      </w:r>
      <w:r w:rsidRPr="00440435">
        <w:rPr>
          <w:lang w:val="cs-CZ"/>
        </w:rPr>
        <w:t>: an activity in relation to the body which is its government and control, and an activity in relation to itself and its principles, which is intellection. These two activities are so opposed to each other and mutually obstructive that when the soul is occupied with the one it turns away from the other, not being able easily to combine the two.</w:t>
      </w:r>
      <w:r>
        <w:rPr>
          <w:lang w:val="cs-CZ"/>
        </w:rPr>
        <w:t xml:space="preserve">“ </w:t>
      </w:r>
      <w:r w:rsidRPr="00BB1EC0">
        <w:rPr>
          <w:rStyle w:val="Zkladntext1"/>
          <w:rFonts w:ascii="Calibri" w:eastAsia="Times" w:hAnsi="Calibri"/>
          <w:color w:val="auto"/>
          <w:spacing w:val="0"/>
          <w:sz w:val="20"/>
          <w:u w:val="none"/>
          <w:lang w:val="cs-CZ"/>
        </w:rPr>
        <w:t>(</w:t>
      </w:r>
      <w:r w:rsidRPr="08A67B04">
        <w:rPr>
          <w:i/>
        </w:rPr>
        <w:t>Kitāb</w:t>
      </w:r>
      <w:r w:rsidRPr="08A67B04">
        <w:rPr>
          <w:i/>
          <w:szCs w:val="24"/>
        </w:rPr>
        <w:t xml:space="preserve"> al Naj</w:t>
      </w:r>
      <w:r w:rsidRPr="08A67B04">
        <w:rPr>
          <w:i/>
        </w:rPr>
        <w:t>āt</w:t>
      </w:r>
      <w:r w:rsidRPr="08A67B04">
        <w:t>, c</w:t>
      </w:r>
      <w:r>
        <w:t>ap. 10</w:t>
      </w:r>
      <w:r>
        <w:rPr>
          <w:lang w:val="cs-CZ"/>
        </w:rPr>
        <w:t xml:space="preserve">; ed. </w:t>
      </w:r>
      <w:r w:rsidRPr="08A67B04">
        <w:t>Rahman</w:t>
      </w:r>
      <w:r>
        <w:rPr>
          <w:lang w:val="cs-CZ"/>
        </w:rPr>
        <w:t xml:space="preserve"> 1952, 53.26‒32</w:t>
      </w:r>
      <w:r>
        <w:rPr>
          <w:i/>
        </w:rPr>
        <w:fldChar w:fldCharType="begin"/>
      </w:r>
      <w:r>
        <w:instrText xml:space="preserve"> XE "</w:instrText>
      </w:r>
      <w:r>
        <w:rPr>
          <w:lang w:val="cs-CZ"/>
        </w:rPr>
        <w:instrText>Avicenna</w:instrText>
      </w:r>
      <w:r>
        <w:instrText>:</w:instrText>
      </w:r>
      <w:r w:rsidRPr="08A67B04">
        <w:rPr>
          <w:i/>
        </w:rPr>
        <w:instrText>Kitāb</w:instrText>
      </w:r>
      <w:r w:rsidRPr="08A67B04">
        <w:rPr>
          <w:i/>
          <w:szCs w:val="24"/>
        </w:rPr>
        <w:instrText xml:space="preserve"> al Naj</w:instrText>
      </w:r>
      <w:r w:rsidRPr="08A67B04">
        <w:rPr>
          <w:i/>
        </w:rPr>
        <w:instrText>āt</w:instrText>
      </w:r>
      <w:r>
        <w:instrText xml:space="preserve"> </w:instrText>
      </w:r>
      <w:r>
        <w:rPr>
          <w:lang w:val="cs-CZ"/>
        </w:rPr>
        <w:instrText>53.26‒32</w:instrText>
      </w:r>
      <w:r>
        <w:instrText xml:space="preserve">" </w:instrText>
      </w:r>
      <w:r>
        <w:rPr>
          <w:i/>
        </w:rPr>
        <w:fldChar w:fldCharType="end"/>
      </w:r>
      <w:r w:rsidRPr="002E7A96">
        <w:rPr>
          <w:lang w:val="cs-CZ"/>
        </w:rPr>
        <w:t>)</w:t>
      </w:r>
    </w:p>
  </w:footnote>
  <w:footnote w:id="128">
    <w:p w14:paraId="43D2F4EF" w14:textId="77777777" w:rsidR="00344048" w:rsidRPr="08732573" w:rsidRDefault="00344048" w:rsidP="08732573">
      <w:pPr>
        <w:pStyle w:val="Textpoznpodarou"/>
        <w:rPr>
          <w:szCs w:val="22"/>
        </w:rPr>
      </w:pPr>
      <w:r w:rsidRPr="08664155">
        <w:rPr>
          <w:rStyle w:val="Znakapoznpodarou"/>
        </w:rPr>
        <w:footnoteRef/>
      </w:r>
      <w:r w:rsidRPr="08664155">
        <w:t xml:space="preserve"> </w:t>
      </w:r>
      <w:r w:rsidRPr="08664155">
        <w:rPr>
          <w:rFonts w:eastAsia="Times"/>
        </w:rPr>
        <w:t>„Cuius comparatio ad nostras animas est sicut comparatio solis</w:t>
      </w:r>
      <w:r w:rsidRPr="08664155">
        <w:t xml:space="preserve"> </w:t>
      </w:r>
      <w:r w:rsidRPr="08664155">
        <w:rPr>
          <w:rFonts w:eastAsia="Times"/>
        </w:rPr>
        <w:t>ad visus nostros, quia sicut sol videtur per se in effectu, et videt</w:t>
      </w:r>
      <w:r w:rsidRPr="08664155">
        <w:t xml:space="preserve">ur </w:t>
      </w:r>
      <w:r w:rsidRPr="08664155">
        <w:rPr>
          <w:rFonts w:eastAsia="Times"/>
        </w:rPr>
        <w:t>luce ipsius in effectu quod non videbatur in effectu, sic est dispositio</w:t>
      </w:r>
      <w:r w:rsidRPr="08664155">
        <w:t xml:space="preserve"> </w:t>
      </w:r>
      <w:r w:rsidRPr="08664155">
        <w:rPr>
          <w:rFonts w:eastAsia="Times"/>
        </w:rPr>
        <w:t xml:space="preserve">huius intelligentiae quantum ad nostras animas.“ </w:t>
      </w:r>
      <w:r w:rsidRPr="00E62A06">
        <w:rPr>
          <w:rStyle w:val="Zkladntext1"/>
          <w:rFonts w:ascii="Calibri" w:eastAsia="Times" w:hAnsi="Calibri"/>
          <w:spacing w:val="0"/>
          <w:sz w:val="21"/>
          <w:szCs w:val="22"/>
          <w:u w:val="none"/>
          <w:lang w:val="cs-CZ"/>
        </w:rPr>
        <w:t>(</w:t>
      </w:r>
      <w:r>
        <w:rPr>
          <w:i/>
        </w:rPr>
        <w:t xml:space="preserve">Liber de anima </w:t>
      </w:r>
      <w:r w:rsidRPr="00E62A06">
        <w:t>V.5</w:t>
      </w:r>
      <w:r>
        <w:rPr>
          <w:lang w:val="cs-CZ"/>
        </w:rPr>
        <w:t xml:space="preserve">; </w:t>
      </w:r>
      <w:r>
        <w:t xml:space="preserve">ed. Van Riet, p. </w:t>
      </w:r>
      <w:r w:rsidRPr="00E62A06">
        <w:t>127</w:t>
      </w:r>
      <w:r>
        <w:t>.36–39</w:t>
      </w:r>
      <w:r>
        <w:fldChar w:fldCharType="begin"/>
      </w:r>
      <w:r>
        <w:instrText xml:space="preserve"> XE "</w:instrText>
      </w:r>
      <w:r>
        <w:rPr>
          <w:lang w:val="cs-CZ"/>
        </w:rPr>
        <w:instrText>Avicenna:</w:instrText>
      </w:r>
      <w:r w:rsidRPr="00CC2962">
        <w:rPr>
          <w:i/>
          <w:lang w:val="cs-CZ"/>
        </w:rPr>
        <w:instrText>Liber de anima</w:instrText>
      </w:r>
      <w:r>
        <w:rPr>
          <w:lang w:val="cs-CZ"/>
        </w:rPr>
        <w:instrText xml:space="preserve"> </w:instrText>
      </w:r>
      <w:r w:rsidRPr="00E62A06">
        <w:instrText>127</w:instrText>
      </w:r>
      <w:r>
        <w:instrText xml:space="preserve">.36–39" </w:instrText>
      </w:r>
      <w:r>
        <w:fldChar w:fldCharType="end"/>
      </w:r>
      <w:r>
        <w:t>)</w:t>
      </w:r>
    </w:p>
  </w:footnote>
  <w:footnote w:id="129">
    <w:p w14:paraId="0F0B4AFF" w14:textId="77777777" w:rsidR="00344048" w:rsidRPr="08F37FDB" w:rsidRDefault="00344048" w:rsidP="00CC1DDF">
      <w:pPr>
        <w:pStyle w:val="Textpoznpodarou"/>
      </w:pPr>
      <w:r>
        <w:rPr>
          <w:rStyle w:val="Znakapoznpodarou"/>
        </w:rPr>
        <w:footnoteRef/>
      </w:r>
      <w:r>
        <w:t xml:space="preserve"> </w:t>
      </w:r>
      <w:r w:rsidRPr="00AE1ECD">
        <w:t>„When the intellectual faculty consi</w:t>
      </w:r>
      <w:r>
        <w:t xml:space="preserve">ders the particulars which are </w:t>
      </w:r>
      <w:r w:rsidRPr="00AE1ECD">
        <w:t>stored in the imagination and the light of the above-mentioned active intellect shines upon them in us, then th</w:t>
      </w:r>
      <w:r>
        <w:t xml:space="preserve">e </w:t>
      </w:r>
      <w:r w:rsidRPr="00AE1ECD">
        <w:t xml:space="preserve">particulars are transformed </w:t>
      </w:r>
      <w:r w:rsidRPr="001E646A">
        <w:rPr>
          <w:rStyle w:val="ZkladntextKurzvadkovn0pt"/>
          <w:rFonts w:ascii="Calibri" w:eastAsia="Times" w:hAnsi="Calibri"/>
          <w:i w:val="0"/>
          <w:iCs w:val="0"/>
          <w:spacing w:val="0"/>
          <w:sz w:val="21"/>
          <w:u w:val="none"/>
          <w:lang w:val="en-US"/>
        </w:rPr>
        <w:t>(</w:t>
      </w:r>
      <w:r w:rsidRPr="082D2700">
        <w:rPr>
          <w:rFonts w:eastAsia="Times"/>
          <w:i/>
        </w:rPr>
        <w:t>istaḥāla</w:t>
      </w:r>
      <w:r w:rsidRPr="001E646A">
        <w:rPr>
          <w:rStyle w:val="ZkladntextKurzvadkovn0pt"/>
          <w:rFonts w:ascii="Calibri" w:eastAsia="Times" w:hAnsi="Calibri"/>
          <w:i w:val="0"/>
          <w:iCs w:val="0"/>
          <w:spacing w:val="0"/>
          <w:sz w:val="21"/>
          <w:u w:val="none"/>
          <w:lang w:val="en-US"/>
        </w:rPr>
        <w:t>)</w:t>
      </w:r>
      <w:r w:rsidRPr="00AE1ECD">
        <w:t xml:space="preserve"> into something abstr</w:t>
      </w:r>
      <w:r>
        <w:t xml:space="preserve">acted from matter and from the </w:t>
      </w:r>
      <w:r w:rsidRPr="00AE1ECD">
        <w:t>material attachments and get impr</w:t>
      </w:r>
      <w:r>
        <w:t xml:space="preserve">inted in the rational soul, </w:t>
      </w:r>
      <w:r w:rsidRPr="00AE1ECD">
        <w:t>but not in the sense that the particulars themselves are transferred from imagination to our intellect, nor in the sense that the concept bu</w:t>
      </w:r>
      <w:r>
        <w:t>ried in material attachments ‒</w:t>
      </w:r>
      <w:r w:rsidRPr="00AE1ECD">
        <w:t xml:space="preserve"> which in itself and with reg</w:t>
      </w:r>
      <w:r>
        <w:t>ard to its essence is abstract ‒</w:t>
      </w:r>
      <w:r w:rsidRPr="00AE1ECD">
        <w:t xml:space="preserve"> produces a copy of itself, but in the sense that looking at the particulars disposes the soul for an abstraction </w:t>
      </w:r>
      <w:r w:rsidRPr="001E646A">
        <w:rPr>
          <w:rStyle w:val="ZkladntextKurzvadkovn0pt"/>
          <w:rFonts w:ascii="Calibri" w:eastAsia="Times" w:hAnsi="Calibri"/>
          <w:i w:val="0"/>
          <w:iCs w:val="0"/>
          <w:spacing w:val="0"/>
          <w:sz w:val="21"/>
          <w:u w:val="none"/>
          <w:lang w:val="en-US"/>
        </w:rPr>
        <w:t>(</w:t>
      </w:r>
      <w:r w:rsidRPr="000A7EB9">
        <w:rPr>
          <w:i/>
        </w:rPr>
        <w:t>al-muğarrad</w:t>
      </w:r>
      <w:r w:rsidRPr="001E646A">
        <w:rPr>
          <w:rStyle w:val="ZkladntextKurzvadkovn0pt"/>
          <w:rFonts w:ascii="Calibri" w:eastAsia="Times" w:hAnsi="Calibri"/>
          <w:i w:val="0"/>
          <w:iCs w:val="0"/>
          <w:spacing w:val="0"/>
          <w:sz w:val="21"/>
          <w:u w:val="none"/>
          <w:lang w:val="en-US"/>
        </w:rPr>
        <w:t>)</w:t>
      </w:r>
      <w:r w:rsidRPr="00AE1ECD">
        <w:t xml:space="preserve"> from the active intellect to flow upon it.</w:t>
      </w:r>
      <w:r>
        <w:t>“ (</w:t>
      </w:r>
      <w:r>
        <w:rPr>
          <w:i/>
        </w:rPr>
        <w:t>De anima</w:t>
      </w:r>
      <w:r>
        <w:t xml:space="preserve"> V.</w:t>
      </w:r>
      <w:r w:rsidRPr="000D5B4D">
        <w:t>5, ed. Rahman</w:t>
      </w:r>
      <w:r>
        <w:t>,</w:t>
      </w:r>
      <w:r w:rsidRPr="000D5B4D">
        <w:t xml:space="preserve"> </w:t>
      </w:r>
      <w:r>
        <w:t>pp. 235‒</w:t>
      </w:r>
      <w:r w:rsidRPr="000D5B4D">
        <w:t>36</w:t>
      </w:r>
      <w:r>
        <w:fldChar w:fldCharType="begin"/>
      </w:r>
      <w:r>
        <w:instrText xml:space="preserve"> XE "Avicenna:</w:instrText>
      </w:r>
      <w:r w:rsidRPr="00CC2962">
        <w:rPr>
          <w:i/>
        </w:rPr>
        <w:instrText>Liber de anima</w:instrText>
      </w:r>
      <w:r>
        <w:instrText xml:space="preserve"> </w:instrText>
      </w:r>
      <w:r w:rsidRPr="00E62A06">
        <w:instrText>127</w:instrText>
      </w:r>
      <w:r>
        <w:instrText xml:space="preserve">.39–47" </w:instrText>
      </w:r>
      <w:r>
        <w:fldChar w:fldCharType="end"/>
      </w:r>
      <w:r w:rsidRPr="000D5B4D">
        <w:t xml:space="preserve">; </w:t>
      </w:r>
      <w:r>
        <w:t>cit. podle Hasse 2000, 184</w:t>
      </w:r>
      <w:r w:rsidRPr="000D5B4D">
        <w:t>)</w:t>
      </w:r>
    </w:p>
  </w:footnote>
  <w:footnote w:id="130">
    <w:p w14:paraId="3F48C7C4" w14:textId="217B0885" w:rsidR="00344048" w:rsidRPr="00E929D1" w:rsidRDefault="00344048" w:rsidP="00CC1DDF">
      <w:pPr>
        <w:pStyle w:val="Textpoznpodarou"/>
      </w:pPr>
      <w:r>
        <w:rPr>
          <w:rStyle w:val="Znakapoznpodarou"/>
        </w:rPr>
        <w:footnoteRef/>
      </w:r>
      <w:r>
        <w:t xml:space="preserve"> „L</w:t>
      </w:r>
      <w:r>
        <w:rPr>
          <w:rFonts w:cs="Calibri"/>
        </w:rPr>
        <w:t>’</w:t>
      </w:r>
      <w:r>
        <w:t>oeuvre accomplie par l</w:t>
      </w:r>
      <w:r>
        <w:rPr>
          <w:rFonts w:cs="Calibri"/>
        </w:rPr>
        <w:t>’</w:t>
      </w:r>
      <w:r>
        <w:t>Intelligence agente est précisément de dénuder la forme sensible de la matière et de tous les caractères qui en dépendent, pour l</w:t>
      </w:r>
      <w:r>
        <w:rPr>
          <w:rFonts w:cs="Calibri"/>
        </w:rPr>
        <w:t>’</w:t>
      </w:r>
      <w:r>
        <w:t>imprimer dans l</w:t>
      </w:r>
      <w:r>
        <w:rPr>
          <w:rFonts w:cs="Calibri"/>
        </w:rPr>
        <w:t>’</w:t>
      </w:r>
      <w:r>
        <w:t>intellect possible de l</w:t>
      </w:r>
      <w:r>
        <w:rPr>
          <w:rFonts w:cs="Calibri"/>
        </w:rPr>
        <w:t>’</w:t>
      </w:r>
      <w:r>
        <w:t>âme raisonnable. C</w:t>
      </w:r>
      <w:r>
        <w:rPr>
          <w:rFonts w:cs="Calibri"/>
        </w:rPr>
        <w:t>’</w:t>
      </w:r>
      <w:r>
        <w:t>est ce que l</w:t>
      </w:r>
      <w:r>
        <w:rPr>
          <w:rFonts w:cs="Calibri"/>
        </w:rPr>
        <w:t>’</w:t>
      </w:r>
      <w:r>
        <w:t xml:space="preserve">on nomme </w:t>
      </w:r>
      <w:r>
        <w:rPr>
          <w:i/>
        </w:rPr>
        <w:t>l</w:t>
      </w:r>
      <w:r>
        <w:rPr>
          <w:rFonts w:cs="Calibri"/>
        </w:rPr>
        <w:t>’</w:t>
      </w:r>
      <w:r>
        <w:rPr>
          <w:i/>
        </w:rPr>
        <w:t>abstraction</w:t>
      </w:r>
      <w:r>
        <w:t>. Abstraire n</w:t>
      </w:r>
      <w:r>
        <w:rPr>
          <w:rFonts w:cs="Calibri"/>
        </w:rPr>
        <w:t>’</w:t>
      </w:r>
      <w:r>
        <w:t>est d</w:t>
      </w:r>
      <w:r>
        <w:rPr>
          <w:rFonts w:cs="Calibri"/>
        </w:rPr>
        <w:t>’</w:t>
      </w:r>
      <w:r>
        <w:t>ailleurs pas transporter dans l</w:t>
      </w:r>
      <w:r>
        <w:rPr>
          <w:rFonts w:cs="Calibri"/>
        </w:rPr>
        <w:t>’</w:t>
      </w:r>
      <w:r>
        <w:t>intellect la forme qui était dans l</w:t>
      </w:r>
      <w:r>
        <w:rPr>
          <w:rFonts w:cs="Calibri"/>
        </w:rPr>
        <w:t>’</w:t>
      </w:r>
      <w:r>
        <w:t>imagination. Cela ne consiste pas non plus en ce que la forme sensible, une fois considérée dans sa nudité, produit dans l</w:t>
      </w:r>
      <w:r>
        <w:rPr>
          <w:rFonts w:cs="Calibri"/>
        </w:rPr>
        <w:t>’</w:t>
      </w:r>
      <w:r>
        <w:t>intellect possible une forme semblable à elle.“ (Gilson 1930, 65)</w:t>
      </w:r>
    </w:p>
  </w:footnote>
  <w:footnote w:id="131">
    <w:p w14:paraId="66248DB5" w14:textId="77777777" w:rsidR="00344048" w:rsidRPr="00B42FA7" w:rsidRDefault="00344048" w:rsidP="00CC1DDF">
      <w:pPr>
        <w:pStyle w:val="Textpoznpodarou"/>
        <w:rPr>
          <w:lang w:val="cs-CZ"/>
        </w:rPr>
      </w:pPr>
      <w:r>
        <w:rPr>
          <w:rStyle w:val="Znakapoznpodarou"/>
        </w:rPr>
        <w:footnoteRef/>
      </w:r>
      <w:r>
        <w:t xml:space="preserve"> </w:t>
      </w:r>
      <w:r w:rsidRPr="006863E1">
        <w:rPr>
          <w:lang w:val="fr-FR"/>
        </w:rPr>
        <w:t xml:space="preserve">„Ainsi, au niveau de la perception sensible, chaque degré de perception opère une abstraction plus ou moins complète sur cette forme, la séparant des conséquents matériels qui lui sont adjoints en raison de sa relation avec la matière.“ </w:t>
      </w:r>
      <w:r w:rsidRPr="0045423D">
        <w:rPr>
          <w:lang w:val="fr-FR"/>
        </w:rPr>
        <w:t>(Sebti 2005, 110)</w:t>
      </w:r>
    </w:p>
  </w:footnote>
  <w:footnote w:id="132">
    <w:p w14:paraId="235D3AFD" w14:textId="77777777" w:rsidR="00344048" w:rsidRPr="00DC5FB5" w:rsidRDefault="00344048" w:rsidP="00CC1DDF">
      <w:pPr>
        <w:pStyle w:val="Textpoznpodarou"/>
      </w:pPr>
      <w:r w:rsidRPr="00DC5FB5">
        <w:rPr>
          <w:rStyle w:val="Znakapoznpodarou"/>
        </w:rPr>
        <w:footnoteRef/>
      </w:r>
      <w:r w:rsidRPr="00DC5FB5">
        <w:t xml:space="preserve"> „Post haec oportet te scire quod, cum primus dicitur intelligentia, dicitur secundum intentionem simplicem quam nosti in libro </w:t>
      </w:r>
      <w:r>
        <w:t>De anima</w:t>
      </w:r>
      <w:r w:rsidRPr="00DC5FB5">
        <w:t>: ipse enim intelligit res simul, ita ut per eas non multiplicetur in sua substantia nec ut imaginetur certitudo suae essentiae esse hoc quod ipse imaginet eas, sed quod fluunt formae earum ab eo intellectae; unde ipse aptior est ad hoc ut sit intelligentia quam ipsae formae fluentes a sua intelligibilitate; et quod ipse intelligit seipsum, et quod ipse est principium omnis quod est.“ (</w:t>
      </w:r>
      <w:r w:rsidRPr="00F25FED">
        <w:rPr>
          <w:i/>
        </w:rPr>
        <w:t>Liber de philosophia prima</w:t>
      </w:r>
      <w:r>
        <w:rPr>
          <w:i/>
          <w:lang w:val="cs-CZ"/>
        </w:rPr>
        <w:t xml:space="preserve"> </w:t>
      </w:r>
      <w:r>
        <w:t>VII</w:t>
      </w:r>
      <w:r>
        <w:rPr>
          <w:lang w:val="cs-CZ"/>
        </w:rPr>
        <w:t>I</w:t>
      </w:r>
      <w:r>
        <w:t>.7</w:t>
      </w:r>
      <w:r>
        <w:rPr>
          <w:lang w:val="cs-CZ"/>
        </w:rPr>
        <w:t>;</w:t>
      </w:r>
      <w:r w:rsidRPr="00DC5FB5">
        <w:t xml:space="preserve"> </w:t>
      </w:r>
      <w:r>
        <w:rPr>
          <w:noProof/>
        </w:rPr>
        <w:t>ed. Van Riet</w:t>
      </w:r>
      <w:r>
        <w:t>, p. 4</w:t>
      </w:r>
      <w:r>
        <w:rPr>
          <w:lang w:val="cs-CZ"/>
        </w:rPr>
        <w:t>2</w:t>
      </w:r>
      <w:r>
        <w:t>3.</w:t>
      </w:r>
      <w:r w:rsidRPr="00DC5FB5">
        <w:t>81</w:t>
      </w:r>
      <w:r>
        <w:t>–</w:t>
      </w:r>
      <w:r w:rsidRPr="00DC5FB5">
        <w:t>85</w:t>
      </w:r>
      <w:r>
        <w:rPr>
          <w:rStyle w:val="FontStyle129"/>
          <w:rFonts w:ascii="Calibri" w:hAnsi="Calibri"/>
          <w:i/>
          <w:sz w:val="24"/>
        </w:rPr>
        <w:fldChar w:fldCharType="begin"/>
      </w:r>
      <w:r>
        <w:instrText xml:space="preserve"> XE "</w:instrText>
      </w:r>
      <w:r>
        <w:rPr>
          <w:lang w:val="cs-CZ"/>
        </w:rPr>
        <w:instrText>Avicenna:</w:instrText>
      </w:r>
      <w:r w:rsidRPr="00F25FED">
        <w:rPr>
          <w:i/>
        </w:rPr>
        <w:instrText>Liber de philosophia prima</w:instrText>
      </w:r>
      <w:r>
        <w:rPr>
          <w:i/>
          <w:lang w:val="cs-CZ"/>
        </w:rPr>
        <w:instrText xml:space="preserve"> </w:instrText>
      </w:r>
      <w:r>
        <w:instrText>4</w:instrText>
      </w:r>
      <w:r>
        <w:rPr>
          <w:lang w:val="cs-CZ"/>
        </w:rPr>
        <w:instrText>2</w:instrText>
      </w:r>
      <w:r>
        <w:instrText>3.</w:instrText>
      </w:r>
      <w:r w:rsidRPr="00DC5FB5">
        <w:instrText>81</w:instrText>
      </w:r>
      <w:r>
        <w:instrText>–</w:instrText>
      </w:r>
      <w:r w:rsidRPr="00DC5FB5">
        <w:instrText>85</w:instrText>
      </w:r>
      <w:r>
        <w:instrText xml:space="preserve">" </w:instrText>
      </w:r>
      <w:r>
        <w:rPr>
          <w:rStyle w:val="FontStyle129"/>
          <w:rFonts w:ascii="Calibri" w:hAnsi="Calibri"/>
          <w:i/>
          <w:sz w:val="24"/>
        </w:rPr>
        <w:fldChar w:fldCharType="end"/>
      </w:r>
      <w:r w:rsidRPr="00DC5FB5">
        <w:t>)</w:t>
      </w:r>
    </w:p>
  </w:footnote>
  <w:footnote w:id="133">
    <w:p w14:paraId="4AACB468" w14:textId="77777777" w:rsidR="00344048" w:rsidRPr="08BF53F8" w:rsidRDefault="00344048" w:rsidP="00267F48">
      <w:pPr>
        <w:pStyle w:val="Textpoznpodarou"/>
        <w:rPr>
          <w:rFonts w:ascii="Times New Roman" w:hAnsi="Times New Roman"/>
          <w:szCs w:val="24"/>
          <w:lang w:val="cs-CZ"/>
        </w:rPr>
      </w:pPr>
      <w:r>
        <w:rPr>
          <w:rStyle w:val="Znakapoznpodarou"/>
        </w:rPr>
        <w:footnoteRef/>
      </w:r>
      <w:r>
        <w:t xml:space="preserve"> </w:t>
      </w:r>
      <w:r>
        <w:rPr>
          <w:lang w:val="cs-CZ"/>
        </w:rPr>
        <w:t xml:space="preserve">Spis </w:t>
      </w:r>
      <w:r w:rsidRPr="08BF53F8">
        <w:rPr>
          <w:i/>
          <w:lang w:val="cs-CZ"/>
        </w:rPr>
        <w:t>De anima</w:t>
      </w:r>
      <w:r>
        <w:rPr>
          <w:lang w:val="cs-CZ"/>
        </w:rPr>
        <w:t xml:space="preserve"> obsahuje </w:t>
      </w:r>
      <w:r>
        <w:t xml:space="preserve">přirovnání o psací tabulce, na níž dosud není nic aktuálně napsáno </w:t>
      </w:r>
      <w:r w:rsidRPr="00732A84">
        <w:t>(ἐν γραμματείῳ ᾧ μηθὲν ἐνυπάρχει ἐντελεχείᾳ γεγραμμένον</w:t>
      </w:r>
      <w:r>
        <w:t xml:space="preserve">, </w:t>
      </w:r>
      <w:r w:rsidRPr="00837E3C">
        <w:rPr>
          <w:i/>
        </w:rPr>
        <w:t>De anima</w:t>
      </w:r>
      <w:r>
        <w:t xml:space="preserve"> 430a1–2</w:t>
      </w:r>
      <w:r>
        <w:rPr>
          <w:i/>
        </w:rPr>
        <w:fldChar w:fldCharType="begin"/>
      </w:r>
      <w:r>
        <w:instrText xml:space="preserve"> XE "</w:instrText>
      </w:r>
      <w:r>
        <w:rPr>
          <w:lang w:val="cs-CZ"/>
        </w:rPr>
        <w:instrText>Aristoteles</w:instrText>
      </w:r>
      <w:r w:rsidRPr="00652149">
        <w:rPr>
          <w:lang w:val="cs-CZ"/>
        </w:rPr>
        <w:instrText>:</w:instrText>
      </w:r>
      <w:r w:rsidRPr="00837E3C">
        <w:rPr>
          <w:i/>
        </w:rPr>
        <w:instrText>De anima</w:instrText>
      </w:r>
      <w:r>
        <w:instrText xml:space="preserve"> 430a1–2" </w:instrText>
      </w:r>
      <w:r>
        <w:rPr>
          <w:i/>
        </w:rPr>
        <w:fldChar w:fldCharType="end"/>
      </w:r>
      <w:r w:rsidRPr="00732A84">
        <w:t>)</w:t>
      </w:r>
      <w:r>
        <w:rPr>
          <w:lang w:val="cs-CZ"/>
        </w:rPr>
        <w:t xml:space="preserve">. Do komentářů se dostal </w:t>
      </w:r>
      <w:r>
        <w:t xml:space="preserve">termín πίναξ ἄγραφος </w:t>
      </w:r>
      <w:r>
        <w:rPr>
          <w:lang w:val="cs-CZ"/>
        </w:rPr>
        <w:t xml:space="preserve">uvedený v </w:t>
      </w:r>
      <w:r>
        <w:t>komentář</w:t>
      </w:r>
      <w:r>
        <w:rPr>
          <w:lang w:val="cs-CZ"/>
        </w:rPr>
        <w:t>i</w:t>
      </w:r>
      <w:r>
        <w:t xml:space="preserve"> Alexandr</w:t>
      </w:r>
      <w:r>
        <w:rPr>
          <w:lang w:val="cs-CZ"/>
        </w:rPr>
        <w:t>a Afrodisia</w:t>
      </w:r>
      <w:r>
        <w:t xml:space="preserve"> (</w:t>
      </w:r>
      <w:r w:rsidRPr="0044223D">
        <w:t>ἐοικὼς πινακίδι ἀγράφῳ, μᾶλλον δὲ τῷ τῆς πινακίδος ἀγράφῳ, ἀλλ' οὐ τῇ πινακίδι αὐτῇ,</w:t>
      </w:r>
      <w:r>
        <w:rPr>
          <w:rFonts w:ascii="Times New Roman" w:hAnsi="Times New Roman"/>
          <w:szCs w:val="24"/>
        </w:rPr>
        <w:t xml:space="preserve"> </w:t>
      </w:r>
      <w:r w:rsidRPr="009840A7">
        <w:rPr>
          <w:rStyle w:val="TextpoznpodarouChar"/>
          <w:i/>
        </w:rPr>
        <w:t>De anima liber cum Mantissa</w:t>
      </w:r>
      <w:r>
        <w:rPr>
          <w:rStyle w:val="TextpoznpodarouChar"/>
          <w:i/>
          <w:lang w:val="cs-CZ"/>
        </w:rPr>
        <w:t xml:space="preserve"> </w:t>
      </w:r>
      <w:r>
        <w:t>84.25</w:t>
      </w:r>
      <w:r>
        <w:rPr>
          <w:rStyle w:val="TextpoznpodarouChar"/>
        </w:rPr>
        <w:fldChar w:fldCharType="begin"/>
      </w:r>
      <w:r>
        <w:instrText xml:space="preserve"> XE "Alexander</w:instrText>
      </w:r>
      <w:r>
        <w:rPr>
          <w:lang w:val="cs-CZ"/>
        </w:rPr>
        <w:instrText xml:space="preserve">, </w:instrText>
      </w:r>
      <w:r>
        <w:instrText>Afrodisias:</w:instrText>
      </w:r>
      <w:r w:rsidRPr="009840A7">
        <w:rPr>
          <w:rStyle w:val="TextpoznpodarouChar"/>
          <w:i/>
        </w:rPr>
        <w:instrText>De anima liber cum Mantissa</w:instrText>
      </w:r>
      <w:r w:rsidRPr="009840A7">
        <w:rPr>
          <w:rStyle w:val="TextpoznpodarouChar"/>
        </w:rPr>
        <w:instrText xml:space="preserve"> </w:instrText>
      </w:r>
      <w:r>
        <w:rPr>
          <w:rStyle w:val="TextpoznpodarouChar"/>
          <w:lang w:val="cs-CZ"/>
        </w:rPr>
        <w:instrText>84</w:instrText>
      </w:r>
      <w:r w:rsidRPr="009A151D">
        <w:rPr>
          <w:rStyle w:val="TextpoznpodarouChar"/>
        </w:rPr>
        <w:instrText>.</w:instrText>
      </w:r>
      <w:r>
        <w:rPr>
          <w:rStyle w:val="TextpoznpodarouChar"/>
          <w:lang w:val="cs-CZ"/>
        </w:rPr>
        <w:instrText>2</w:instrText>
      </w:r>
      <w:r w:rsidRPr="009A151D">
        <w:rPr>
          <w:rStyle w:val="TextpoznpodarouChar"/>
        </w:rPr>
        <w:instrText>5</w:instrText>
      </w:r>
      <w:r>
        <w:instrText xml:space="preserve">" </w:instrText>
      </w:r>
      <w:r>
        <w:rPr>
          <w:rStyle w:val="TextpoznpodarouChar"/>
        </w:rPr>
        <w:fldChar w:fldCharType="end"/>
      </w:r>
      <w:r>
        <w:rPr>
          <w:rStyle w:val="TextpoznpodarouChar"/>
          <w:lang w:val="cs-CZ"/>
        </w:rPr>
        <w:t>.</w:t>
      </w:r>
      <w:r>
        <w:t>).</w:t>
      </w:r>
    </w:p>
  </w:footnote>
  <w:footnote w:id="134">
    <w:p w14:paraId="5E91D1F8" w14:textId="77777777" w:rsidR="00344048" w:rsidRPr="086459B8" w:rsidRDefault="00344048" w:rsidP="08E016C4">
      <w:pPr>
        <w:pStyle w:val="Textpoznpodarou"/>
      </w:pPr>
      <w:r w:rsidRPr="086459B8">
        <w:rPr>
          <w:rStyle w:val="Znakapoznpodarou"/>
        </w:rPr>
        <w:footnoteRef/>
      </w:r>
      <w:r w:rsidRPr="086459B8">
        <w:t xml:space="preserve"> </w:t>
      </w:r>
      <w:r w:rsidRPr="086459B8">
        <w:rPr>
          <w:rStyle w:val="FontStyle129"/>
          <w:rFonts w:ascii="Calibri" w:hAnsi="Calibri"/>
          <w:sz w:val="20"/>
        </w:rPr>
        <w:t>„The function of the theoretical faculty is to receive the impressions of the universal forms abstracted from matter (</w:t>
      </w:r>
      <w:r w:rsidRPr="086459B8">
        <w:rPr>
          <w:rStyle w:val="FontStyle129"/>
          <w:rFonts w:ascii="Calibri" w:hAnsi="Calibri"/>
          <w:i/>
          <w:sz w:val="20"/>
        </w:rPr>
        <w:t>al-ṣuwar al-kulliyya al-muğarrada ʿan al-mādda</w:t>
      </w:r>
      <w:r w:rsidRPr="086459B8">
        <w:rPr>
          <w:rStyle w:val="FontStyle129"/>
          <w:rFonts w:ascii="Calibri" w:hAnsi="Calibri"/>
          <w:sz w:val="20"/>
        </w:rPr>
        <w:t>). If these forms are already abstracted in themselves (</w:t>
      </w:r>
      <w:r w:rsidRPr="086459B8">
        <w:rPr>
          <w:rStyle w:val="FontStyle129"/>
          <w:rFonts w:ascii="Calibri" w:hAnsi="Calibri"/>
          <w:i/>
          <w:sz w:val="20"/>
        </w:rPr>
        <w:t>muğarrada bi-ḏātihī</w:t>
      </w:r>
      <w:r w:rsidRPr="086459B8">
        <w:rPr>
          <w:rStyle w:val="FontStyle129"/>
          <w:rFonts w:ascii="Calibri" w:hAnsi="Calibri"/>
          <w:sz w:val="20"/>
        </w:rPr>
        <w:t>), it simply receives them; if not,  it makes them immaterial by abstraction (</w:t>
      </w:r>
      <w:r w:rsidRPr="086459B8">
        <w:rPr>
          <w:rStyle w:val="FontStyle129"/>
          <w:rFonts w:ascii="Calibri" w:hAnsi="Calibri"/>
          <w:i/>
          <w:sz w:val="20"/>
        </w:rPr>
        <w:t>bi-tağrīdihā</w:t>
      </w:r>
      <w:r w:rsidRPr="086459B8">
        <w:rPr>
          <w:rStyle w:val="FontStyle129"/>
          <w:rFonts w:ascii="Calibri" w:hAnsi="Calibri"/>
          <w:sz w:val="20"/>
        </w:rPr>
        <w:t>), so that no trace whatever of material attachments (</w:t>
      </w:r>
      <w:r w:rsidRPr="086459B8">
        <w:rPr>
          <w:rStyle w:val="FontStyle129"/>
          <w:rFonts w:ascii="Calibri" w:hAnsi="Calibri"/>
          <w:i/>
          <w:sz w:val="20"/>
        </w:rPr>
        <w:t>ʿalāʾiq al-mādda</w:t>
      </w:r>
      <w:r w:rsidRPr="086459B8">
        <w:rPr>
          <w:rStyle w:val="FontStyle129"/>
          <w:rFonts w:ascii="Calibri" w:hAnsi="Calibri"/>
          <w:sz w:val="20"/>
        </w:rPr>
        <w:t>) remains in them.“ (</w:t>
      </w:r>
      <w:r w:rsidRPr="086459B8">
        <w:rPr>
          <w:rStyle w:val="FontStyle129"/>
          <w:rFonts w:ascii="Calibri" w:hAnsi="Calibri"/>
          <w:i/>
          <w:sz w:val="20"/>
        </w:rPr>
        <w:t>Kitāb al-Nağāt</w:t>
      </w:r>
      <w:r>
        <w:rPr>
          <w:rStyle w:val="FontStyle129"/>
          <w:rFonts w:ascii="Calibri" w:hAnsi="Calibri"/>
          <w:sz w:val="20"/>
          <w:lang w:val="cs-CZ"/>
        </w:rPr>
        <w:t xml:space="preserve"> [</w:t>
      </w:r>
      <w:r w:rsidRPr="00402F0C">
        <w:rPr>
          <w:rStyle w:val="st"/>
          <w:i/>
        </w:rPr>
        <w:t>The Book of Salvation</w:t>
      </w:r>
      <w:r>
        <w:rPr>
          <w:rStyle w:val="FontStyle129"/>
          <w:rFonts w:ascii="Calibri" w:hAnsi="Calibri"/>
          <w:sz w:val="20"/>
          <w:lang w:val="cs-CZ"/>
        </w:rPr>
        <w:t>]</w:t>
      </w:r>
      <w:r>
        <w:rPr>
          <w:rStyle w:val="FontStyle129"/>
          <w:rFonts w:ascii="Calibri" w:hAnsi="Calibri"/>
          <w:sz w:val="20"/>
        </w:rPr>
        <w:t xml:space="preserve">, ed. Dānešpazūh, </w:t>
      </w:r>
      <w:r>
        <w:rPr>
          <w:rStyle w:val="FontStyle129"/>
          <w:rFonts w:ascii="Calibri" w:hAnsi="Calibri"/>
          <w:sz w:val="20"/>
          <w:lang w:val="cs-CZ"/>
        </w:rPr>
        <w:t xml:space="preserve">p. </w:t>
      </w:r>
      <w:r>
        <w:rPr>
          <w:rStyle w:val="FontStyle129"/>
          <w:rFonts w:ascii="Calibri" w:hAnsi="Calibri"/>
          <w:sz w:val="20"/>
        </w:rPr>
        <w:t>333.2‒</w:t>
      </w:r>
      <w:r w:rsidRPr="086459B8">
        <w:rPr>
          <w:rStyle w:val="FontStyle129"/>
          <w:rFonts w:ascii="Calibri" w:hAnsi="Calibri"/>
          <w:sz w:val="20"/>
        </w:rPr>
        <w:t>5</w:t>
      </w:r>
      <w:r>
        <w:rPr>
          <w:i/>
        </w:rPr>
        <w:fldChar w:fldCharType="begin"/>
      </w:r>
      <w:r>
        <w:instrText xml:space="preserve"> XE "</w:instrText>
      </w:r>
      <w:r w:rsidRPr="00BE489A">
        <w:instrText>Avicenna</w:instrText>
      </w:r>
      <w:r>
        <w:rPr>
          <w:lang w:val="cs-CZ"/>
        </w:rPr>
        <w:instrText>:</w:instrText>
      </w:r>
      <w:r w:rsidRPr="086459B8">
        <w:rPr>
          <w:rStyle w:val="FontStyle129"/>
          <w:rFonts w:ascii="Calibri" w:hAnsi="Calibri"/>
          <w:i/>
          <w:sz w:val="20"/>
        </w:rPr>
        <w:instrText>Kitāb al-Nağāt</w:instrText>
      </w:r>
      <w:r>
        <w:rPr>
          <w:rStyle w:val="FontStyle129"/>
          <w:rFonts w:ascii="Calibri" w:hAnsi="Calibri"/>
          <w:sz w:val="20"/>
          <w:lang w:val="cs-CZ"/>
        </w:rPr>
        <w:instrText xml:space="preserve"> </w:instrText>
      </w:r>
      <w:r>
        <w:rPr>
          <w:rStyle w:val="FontStyle129"/>
          <w:rFonts w:ascii="Calibri" w:hAnsi="Calibri"/>
          <w:sz w:val="20"/>
        </w:rPr>
        <w:instrText>333.2‒</w:instrText>
      </w:r>
      <w:r w:rsidRPr="086459B8">
        <w:rPr>
          <w:rStyle w:val="FontStyle129"/>
          <w:rFonts w:ascii="Calibri" w:hAnsi="Calibri"/>
          <w:sz w:val="20"/>
        </w:rPr>
        <w:instrText>5</w:instrText>
      </w:r>
      <w:r>
        <w:instrText xml:space="preserve">" </w:instrText>
      </w:r>
      <w:r>
        <w:rPr>
          <w:i/>
        </w:rPr>
        <w:fldChar w:fldCharType="end"/>
      </w:r>
      <w:r w:rsidRPr="086459B8">
        <w:rPr>
          <w:rStyle w:val="FontStyle129"/>
          <w:rFonts w:ascii="Calibri" w:hAnsi="Calibri"/>
          <w:sz w:val="20"/>
        </w:rPr>
        <w:t>, cit. podle D'Ancona 2008, 55‒56)</w:t>
      </w:r>
    </w:p>
  </w:footnote>
  <w:footnote w:id="135">
    <w:p w14:paraId="1B310F48" w14:textId="77777777" w:rsidR="00344048" w:rsidRPr="00E20CA5" w:rsidRDefault="00344048" w:rsidP="08C30808">
      <w:pPr>
        <w:pStyle w:val="Textpoznpodarou"/>
      </w:pPr>
      <w:r>
        <w:rPr>
          <w:rStyle w:val="Znakapoznpodarou"/>
        </w:rPr>
        <w:footnoteRef/>
      </w:r>
      <w:r>
        <w:t xml:space="preserve"> „The 'intention' is something in the object and not in the perciever, as Avicenna repeatedly stresses. It is an attribute of the object, such as 'hostility', which has a connotation for the perceiver. </w:t>
      </w:r>
      <w:r w:rsidRPr="00E20CA5">
        <w:rPr>
          <w:i/>
        </w:rPr>
        <w:t>Ma'na</w:t>
      </w:r>
      <w:r>
        <w:t xml:space="preserve"> ist therefore probably best translated as 'connotational attribute.'“ (Hasse 2000, 132)  Autor dále poznamenává, že „Avicenna gives connotational attributes a very independent ontological status“ (ibid, p. 135)</w:t>
      </w:r>
    </w:p>
  </w:footnote>
  <w:footnote w:id="136">
    <w:p w14:paraId="4423FE1F" w14:textId="77777777" w:rsidR="00344048" w:rsidRPr="003658CD" w:rsidRDefault="00344048" w:rsidP="08690499">
      <w:pPr>
        <w:pStyle w:val="Textpoznpodarou"/>
      </w:pPr>
      <w:r>
        <w:rPr>
          <w:rStyle w:val="Znakapoznpodarou"/>
        </w:rPr>
        <w:footnoteRef/>
      </w:r>
      <w:r w:rsidRPr="003658CD">
        <w:t xml:space="preserve"> </w:t>
      </w:r>
      <w:r>
        <w:rPr>
          <w:lang w:val="cs-CZ"/>
        </w:rPr>
        <w:t>Ke zdrojům tohoto myšlenkového experimentu v Avicennově korpusu, v</w:t>
      </w:r>
      <w:r>
        <w:t xml:space="preserve">iz </w:t>
      </w:r>
      <w:r w:rsidRPr="007E2109">
        <w:t>Marmura 1986</w:t>
      </w:r>
      <w:r>
        <w:rPr>
          <w:lang w:val="cs-CZ"/>
        </w:rPr>
        <w:t xml:space="preserve">; </w:t>
      </w:r>
      <w:r>
        <w:t>Druart 1988. K vývoji tohoto Avicennova konceptu v celku jeho díla, viz Hasse 2000, 80‒92.</w:t>
      </w:r>
      <w:r>
        <w:rPr>
          <w:lang w:val="cs-CZ"/>
        </w:rPr>
        <w:t xml:space="preserve"> </w:t>
      </w:r>
    </w:p>
  </w:footnote>
  <w:footnote w:id="137">
    <w:p w14:paraId="33D8B13F" w14:textId="77777777" w:rsidR="00344048" w:rsidRPr="0077401F" w:rsidRDefault="00344048" w:rsidP="00F07A4B">
      <w:pPr>
        <w:pStyle w:val="Textpoznpodarou"/>
        <w:rPr>
          <w:lang w:val="fr-FR"/>
        </w:rPr>
      </w:pPr>
      <w:r>
        <w:rPr>
          <w:rStyle w:val="Znakapoznpodarou"/>
        </w:rPr>
        <w:footnoteRef/>
      </w:r>
      <w:r>
        <w:rPr>
          <w:lang w:val="fr-FR"/>
        </w:rPr>
        <w:t xml:space="preserve"> </w:t>
      </w:r>
      <w:r w:rsidRPr="006863E1">
        <w:rPr>
          <w:lang w:val="fr-FR"/>
        </w:rPr>
        <w:t>„</w:t>
      </w:r>
      <w:r w:rsidRPr="0077401F">
        <w:rPr>
          <w:rStyle w:val="TextpoznpodarouChar"/>
          <w:lang w:val="fr-FR"/>
        </w:rPr>
        <w:t>Les âmes humaines reçoivent ainsi les images provenant des âmes des sphères célestes par l’intermédiair</w:t>
      </w:r>
      <w:r>
        <w:rPr>
          <w:rStyle w:val="TextpoznpodarouChar"/>
          <w:lang w:val="fr-FR"/>
        </w:rPr>
        <w:t>e de leur imagination</w:t>
      </w:r>
      <w:r>
        <w:rPr>
          <w:lang w:val="fr-FR"/>
        </w:rPr>
        <w:t xml:space="preserve">.“ </w:t>
      </w:r>
      <w:r w:rsidRPr="0077401F">
        <w:rPr>
          <w:lang w:val="fr-FR"/>
        </w:rPr>
        <w:t xml:space="preserve">(Sebti 2005, </w:t>
      </w:r>
      <w:r>
        <w:rPr>
          <w:lang w:val="fr-FR"/>
        </w:rPr>
        <w:t>126</w:t>
      </w:r>
      <w:r w:rsidRPr="0077401F">
        <w:rPr>
          <w:lang w:val="fr-FR"/>
        </w:rPr>
        <w:t>)</w:t>
      </w:r>
    </w:p>
  </w:footnote>
  <w:footnote w:id="138">
    <w:p w14:paraId="1B148A64" w14:textId="77777777" w:rsidR="00344048" w:rsidRPr="00D546F5" w:rsidRDefault="00344048" w:rsidP="00170DED">
      <w:pPr>
        <w:pStyle w:val="Textpoznpodarou"/>
      </w:pPr>
      <w:r>
        <w:rPr>
          <w:rStyle w:val="Znakapoznpodarou"/>
        </w:rPr>
        <w:footnoteRef/>
      </w:r>
      <w:r>
        <w:t xml:space="preserve"> „Possibile est ergo ut alicuius h</w:t>
      </w:r>
      <w:r w:rsidRPr="00242185">
        <w:t xml:space="preserve">ominis </w:t>
      </w:r>
      <w:r>
        <w:t>anima eo quod est clara et cohae</w:t>
      </w:r>
      <w:r w:rsidRPr="00242185">
        <w:t>rens pri</w:t>
      </w:r>
      <w:r>
        <w:t>ncipiis intellectibilibus, ita sit inspira</w:t>
      </w:r>
      <w:r w:rsidRPr="00242185">
        <w:t xml:space="preserve">ta ut accendatur ingenio ad recipiendum omnes quaestiones ab intelligentia agente, aut subito, aut </w:t>
      </w:r>
      <w:r>
        <w:t>pacne subito, firmiter impressas</w:t>
      </w:r>
      <w:r w:rsidRPr="00242185">
        <w:t>, non pro</w:t>
      </w:r>
      <w:r>
        <w:t>b</w:t>
      </w:r>
      <w:r w:rsidRPr="00242185">
        <w:t>abiliter, sed cum ordine qui compre</w:t>
      </w:r>
      <w:r>
        <w:t>hendit medios terminos (probata quae</w:t>
      </w:r>
      <w:r w:rsidRPr="00242185">
        <w:t xml:space="preserve"> sciuntur ex suis causis non sunt intelligibilia).</w:t>
      </w:r>
      <w:r>
        <w:t xml:space="preserve"> </w:t>
      </w:r>
      <w:r>
        <w:rPr>
          <w:lang w:val="fr-FR"/>
        </w:rPr>
        <w:t xml:space="preserve">Et </w:t>
      </w:r>
      <w:r w:rsidRPr="00BF7953">
        <w:rPr>
          <w:lang w:val="fr-FR"/>
        </w:rPr>
        <w:t xml:space="preserve">hic </w:t>
      </w:r>
      <w:r>
        <w:rPr>
          <w:lang w:val="fr-FR"/>
        </w:rPr>
        <w:t xml:space="preserve">est </w:t>
      </w:r>
      <w:r w:rsidRPr="00BF7953">
        <w:rPr>
          <w:lang w:val="fr-FR"/>
        </w:rPr>
        <w:t xml:space="preserve">unus modus prophetiae </w:t>
      </w:r>
      <w:r>
        <w:rPr>
          <w:lang w:val="fr-FR"/>
        </w:rPr>
        <w:t xml:space="preserve">qui </w:t>
      </w:r>
      <w:r w:rsidRPr="00BF7953">
        <w:rPr>
          <w:lang w:val="fr-FR"/>
        </w:rPr>
        <w:t xml:space="preserve">omnibus virtutibus prophetiae altior </w:t>
      </w:r>
      <w:r>
        <w:rPr>
          <w:lang w:val="fr-FR"/>
        </w:rPr>
        <w:t xml:space="preserve">est. </w:t>
      </w:r>
      <w:r w:rsidRPr="00BF7953">
        <w:rPr>
          <w:lang w:val="fr-FR"/>
        </w:rPr>
        <w:t xml:space="preserve">Unde </w:t>
      </w:r>
      <w:r>
        <w:rPr>
          <w:lang w:val="fr-FR"/>
        </w:rPr>
        <w:t xml:space="preserve">congrue </w:t>
      </w:r>
      <w:r w:rsidRPr="00BF7953">
        <w:rPr>
          <w:lang w:val="fr-FR"/>
        </w:rPr>
        <w:t xml:space="preserve">vocatur virtus sancta, quia </w:t>
      </w:r>
      <w:r>
        <w:rPr>
          <w:lang w:val="fr-FR"/>
        </w:rPr>
        <w:t xml:space="preserve">est </w:t>
      </w:r>
      <w:r w:rsidRPr="00BF7953">
        <w:rPr>
          <w:lang w:val="fr-FR"/>
        </w:rPr>
        <w:t>altior gradus inter omnes virtutes humanas.</w:t>
      </w:r>
      <w:r>
        <w:t>“ (</w:t>
      </w:r>
      <w:r w:rsidRPr="002C38BB">
        <w:rPr>
          <w:i/>
        </w:rPr>
        <w:t>Liber de anima</w:t>
      </w:r>
      <w:r>
        <w:t xml:space="preserve"> V.6, ed. Van Riet, p. 153.10‒18</w:t>
      </w:r>
      <w:r>
        <w:rPr>
          <w:rStyle w:val="FontStyle129"/>
          <w:rFonts w:ascii="Calibri" w:hAnsi="Calibri"/>
          <w:i/>
          <w:sz w:val="24"/>
        </w:rPr>
        <w:fldChar w:fldCharType="begin"/>
      </w:r>
      <w:r>
        <w:instrText xml:space="preserve"> XE "</w:instrText>
      </w:r>
      <w:r>
        <w:rPr>
          <w:lang w:val="cs-CZ"/>
        </w:rPr>
        <w:instrText>Avicenna:</w:instrText>
      </w:r>
      <w:r w:rsidRPr="002C38BB">
        <w:rPr>
          <w:i/>
        </w:rPr>
        <w:instrText>Liber de anima</w:instrText>
      </w:r>
      <w:r>
        <w:instrText xml:space="preserve"> 153.10‒18" </w:instrText>
      </w:r>
      <w:r>
        <w:rPr>
          <w:rStyle w:val="FontStyle129"/>
          <w:rFonts w:ascii="Calibri" w:hAnsi="Calibri"/>
          <w:i/>
          <w:sz w:val="24"/>
        </w:rPr>
        <w:fldChar w:fldCharType="end"/>
      </w:r>
      <w:r>
        <w:t>)</w:t>
      </w:r>
    </w:p>
  </w:footnote>
  <w:footnote w:id="139">
    <w:p w14:paraId="7E0DE342" w14:textId="77777777" w:rsidR="00344048" w:rsidRPr="002E7A96" w:rsidRDefault="00344048">
      <w:pPr>
        <w:pStyle w:val="Textpoznpodarou"/>
        <w:rPr>
          <w:lang w:val="cs-CZ"/>
        </w:rPr>
      </w:pPr>
      <w:r>
        <w:rPr>
          <w:rStyle w:val="Znakapoznpodarou"/>
        </w:rPr>
        <w:footnoteRef/>
      </w:r>
      <w:r>
        <w:t xml:space="preserve"> </w:t>
      </w:r>
      <w:r>
        <w:rPr>
          <w:lang w:val="cs-CZ"/>
        </w:rPr>
        <w:t>„</w:t>
      </w:r>
      <w:r w:rsidRPr="002E7A96">
        <w:t>Thus the relation of the theoretical faculty to the abstract immaterial forms which we have mentioned is sometimes of the nature of absolute potentiality; this faculty belongs to the soul which has not yet realized any portion of the perfection potentially belonging to it. In this stage it is called the 'material intelligence', a faculty that is present in every individual of the human species. It is called 'material' in view of its resemblance to primary matter, which in itself does not possess any of the forms but is the substratum of all forms.</w:t>
      </w:r>
      <w:r>
        <w:rPr>
          <w:lang w:val="cs-CZ"/>
        </w:rPr>
        <w:t xml:space="preserve">“ </w:t>
      </w:r>
      <w:r w:rsidRPr="00BB1EC0">
        <w:rPr>
          <w:rStyle w:val="Zkladntext1"/>
          <w:rFonts w:ascii="Calibri" w:eastAsia="Times" w:hAnsi="Calibri"/>
          <w:color w:val="auto"/>
          <w:spacing w:val="0"/>
          <w:sz w:val="20"/>
          <w:u w:val="none"/>
          <w:lang w:val="cs-CZ"/>
        </w:rPr>
        <w:t>(</w:t>
      </w:r>
      <w:r w:rsidRPr="08A67B04">
        <w:rPr>
          <w:i/>
        </w:rPr>
        <w:t>Kitāb</w:t>
      </w:r>
      <w:r w:rsidRPr="08A67B04">
        <w:rPr>
          <w:i/>
          <w:szCs w:val="24"/>
        </w:rPr>
        <w:t xml:space="preserve"> al Naj</w:t>
      </w:r>
      <w:r w:rsidRPr="08A67B04">
        <w:rPr>
          <w:i/>
        </w:rPr>
        <w:t>āt</w:t>
      </w:r>
      <w:r w:rsidRPr="08A67B04">
        <w:t>, c</w:t>
      </w:r>
      <w:r>
        <w:t>ap.</w:t>
      </w:r>
      <w:r>
        <w:rPr>
          <w:lang w:val="cs-CZ"/>
        </w:rPr>
        <w:t xml:space="preserve"> 5; ed. </w:t>
      </w:r>
      <w:r w:rsidRPr="08A67B04">
        <w:t>Rahman</w:t>
      </w:r>
      <w:r>
        <w:rPr>
          <w:lang w:val="cs-CZ"/>
        </w:rPr>
        <w:t>, p. 34.13‒22</w:t>
      </w:r>
      <w:r>
        <w:rPr>
          <w:i/>
        </w:rPr>
        <w:fldChar w:fldCharType="begin"/>
      </w:r>
      <w:r>
        <w:instrText xml:space="preserve"> XE "</w:instrText>
      </w:r>
      <w:r>
        <w:rPr>
          <w:lang w:val="cs-CZ"/>
        </w:rPr>
        <w:instrText>Avicenna</w:instrText>
      </w:r>
      <w:r>
        <w:instrText>:</w:instrText>
      </w:r>
      <w:r w:rsidRPr="08A67B04">
        <w:rPr>
          <w:i/>
        </w:rPr>
        <w:instrText>Kitāb</w:instrText>
      </w:r>
      <w:r w:rsidRPr="08A67B04">
        <w:rPr>
          <w:i/>
          <w:szCs w:val="24"/>
        </w:rPr>
        <w:instrText xml:space="preserve"> al Naj</w:instrText>
      </w:r>
      <w:r w:rsidRPr="08A67B04">
        <w:rPr>
          <w:i/>
        </w:rPr>
        <w:instrText>āt</w:instrText>
      </w:r>
      <w:r>
        <w:instrText xml:space="preserve"> </w:instrText>
      </w:r>
      <w:r>
        <w:rPr>
          <w:lang w:val="cs-CZ"/>
        </w:rPr>
        <w:instrText>34.13‒22</w:instrText>
      </w:r>
      <w:r>
        <w:instrText xml:space="preserve">" </w:instrText>
      </w:r>
      <w:r>
        <w:rPr>
          <w:i/>
        </w:rPr>
        <w:fldChar w:fldCharType="end"/>
      </w:r>
      <w:r w:rsidRPr="002E7A96">
        <w:rPr>
          <w:lang w:val="cs-CZ"/>
        </w:rPr>
        <w:t>)</w:t>
      </w:r>
    </w:p>
  </w:footnote>
  <w:footnote w:id="140">
    <w:p w14:paraId="75D45F5F" w14:textId="77777777" w:rsidR="00344048" w:rsidRPr="009A40AE" w:rsidRDefault="00344048" w:rsidP="003E2DFC">
      <w:pPr>
        <w:pStyle w:val="Textpoznpodarou"/>
      </w:pPr>
      <w:r>
        <w:rPr>
          <w:rStyle w:val="Znakapoznpodarou"/>
        </w:rPr>
        <w:footnoteRef/>
      </w:r>
      <w:r>
        <w:t xml:space="preserve"> „Dicemus igitur quod virtus intellectiva, si intelliget instrumento corporali, oporteret ut non intelligeret seipsam, nec intelligeret instrumentum suum, nec intelliget se intelligere.“ </w:t>
      </w:r>
      <w:r>
        <w:rPr>
          <w:noProof/>
        </w:rPr>
        <w:t>(</w:t>
      </w:r>
      <w:r>
        <w:rPr>
          <w:i/>
          <w:noProof/>
        </w:rPr>
        <w:t>Liber de anima</w:t>
      </w:r>
      <w:r>
        <w:rPr>
          <w:i/>
          <w:noProof/>
          <w:lang w:val="cs-CZ"/>
        </w:rPr>
        <w:t xml:space="preserve"> </w:t>
      </w:r>
      <w:r>
        <w:rPr>
          <w:noProof/>
        </w:rPr>
        <w:t>V.2, ed. Van Riet</w:t>
      </w:r>
      <w:r w:rsidRPr="00FA59A2">
        <w:rPr>
          <w:noProof/>
        </w:rPr>
        <w:t xml:space="preserve">, p. </w:t>
      </w:r>
      <w:r>
        <w:rPr>
          <w:noProof/>
        </w:rPr>
        <w:t>93.60</w:t>
      </w:r>
      <w:r>
        <w:rPr>
          <w:rStyle w:val="FontStyle129"/>
          <w:rFonts w:ascii="Calibri" w:hAnsi="Calibri"/>
          <w:i/>
          <w:sz w:val="24"/>
        </w:rPr>
        <w:fldChar w:fldCharType="begin"/>
      </w:r>
      <w:r>
        <w:instrText xml:space="preserve"> XE "</w:instrText>
      </w:r>
      <w:r>
        <w:rPr>
          <w:lang w:val="cs-CZ"/>
        </w:rPr>
        <w:instrText>Avicenna:</w:instrText>
      </w:r>
      <w:r w:rsidRPr="002C38BB">
        <w:rPr>
          <w:i/>
        </w:rPr>
        <w:instrText>Liber de anima</w:instrText>
      </w:r>
      <w:r>
        <w:instrText xml:space="preserve"> </w:instrText>
      </w:r>
      <w:r>
        <w:rPr>
          <w:lang w:val="cs-CZ"/>
        </w:rPr>
        <w:instrText>93.60</w:instrText>
      </w:r>
      <w:r>
        <w:instrText xml:space="preserve">" </w:instrText>
      </w:r>
      <w:r>
        <w:rPr>
          <w:rStyle w:val="FontStyle129"/>
          <w:rFonts w:ascii="Calibri" w:hAnsi="Calibri"/>
          <w:i/>
          <w:sz w:val="24"/>
        </w:rPr>
        <w:fldChar w:fldCharType="end"/>
      </w:r>
      <w:r>
        <w:rPr>
          <w:noProof/>
        </w:rPr>
        <w:t>)</w:t>
      </w:r>
    </w:p>
  </w:footnote>
  <w:footnote w:id="141">
    <w:p w14:paraId="6F5BBE37" w14:textId="77777777" w:rsidR="00344048" w:rsidRPr="08952D96" w:rsidRDefault="00344048" w:rsidP="08262C45">
      <w:pPr>
        <w:pStyle w:val="Textpoznpodarou"/>
      </w:pPr>
      <w:r>
        <w:rPr>
          <w:rStyle w:val="Znakapoznpodarou"/>
        </w:rPr>
        <w:footnoteRef/>
      </w:r>
      <w:r>
        <w:t xml:space="preserve"> </w:t>
      </w:r>
      <w:r w:rsidRPr="08952D96">
        <w:t xml:space="preserve">„Cum enim transit in mentem eius qui discit id quod cohaeret cum intellecto inquisito et convertit se </w:t>
      </w:r>
      <w:r w:rsidRPr="08952D96">
        <w:rPr>
          <w:rFonts w:eastAsia="Times"/>
        </w:rPr>
        <w:t>anima ad inspiciendum (ipsa autem inspectio est conversio animae ad principium dans intellectum) solet anima coniungi intelligentiae et emanat ab ea virtus intellectus simplicis, quem sequitur emanatio ordinandi.“ (</w:t>
      </w:r>
      <w:r w:rsidRPr="08952D96">
        <w:rPr>
          <w:i/>
        </w:rPr>
        <w:t xml:space="preserve">Liber de anima </w:t>
      </w:r>
      <w:r w:rsidRPr="08952D96">
        <w:rPr>
          <w:rFonts w:eastAsia="Times"/>
        </w:rPr>
        <w:t>V.6</w:t>
      </w:r>
      <w:r>
        <w:rPr>
          <w:lang w:val="cs-CZ"/>
        </w:rPr>
        <w:t>;</w:t>
      </w:r>
      <w:r w:rsidRPr="08952D96">
        <w:t xml:space="preserve"> </w:t>
      </w:r>
      <w:r>
        <w:t>ed. Van Riet</w:t>
      </w:r>
      <w:r w:rsidRPr="08952D96">
        <w:t xml:space="preserve">, </w:t>
      </w:r>
      <w:r>
        <w:rPr>
          <w:lang w:val="cs-CZ"/>
        </w:rPr>
        <w:t xml:space="preserve">p. </w:t>
      </w:r>
      <w:r w:rsidRPr="08952D96">
        <w:rPr>
          <w:rFonts w:eastAsia="Times"/>
        </w:rPr>
        <w:t>149.44‒50</w:t>
      </w:r>
      <w:r>
        <w:rPr>
          <w:rStyle w:val="FontStyle129"/>
          <w:rFonts w:ascii="Calibri" w:hAnsi="Calibri"/>
          <w:i/>
          <w:sz w:val="24"/>
        </w:rPr>
        <w:fldChar w:fldCharType="begin"/>
      </w:r>
      <w:r>
        <w:instrText xml:space="preserve"> XE "</w:instrText>
      </w:r>
      <w:r>
        <w:rPr>
          <w:lang w:val="cs-CZ"/>
        </w:rPr>
        <w:instrText>Avicenna:</w:instrText>
      </w:r>
      <w:r w:rsidRPr="007F064F">
        <w:rPr>
          <w:i/>
        </w:rPr>
        <w:instrText>Liber de philosophia prima</w:instrText>
      </w:r>
      <w:r>
        <w:instrText xml:space="preserve"> </w:instrText>
      </w:r>
      <w:r>
        <w:rPr>
          <w:lang w:val="cs-CZ"/>
        </w:rPr>
        <w:instrText>149</w:instrText>
      </w:r>
      <w:r>
        <w:instrText>.</w:instrText>
      </w:r>
      <w:r>
        <w:rPr>
          <w:lang w:val="cs-CZ"/>
        </w:rPr>
        <w:instrText>44</w:instrText>
      </w:r>
      <w:r>
        <w:instrText>–</w:instrText>
      </w:r>
      <w:r>
        <w:rPr>
          <w:lang w:val="cs-CZ"/>
        </w:rPr>
        <w:instrText>50</w:instrText>
      </w:r>
      <w:r>
        <w:instrText xml:space="preserve">" </w:instrText>
      </w:r>
      <w:r>
        <w:rPr>
          <w:rStyle w:val="FontStyle129"/>
          <w:rFonts w:ascii="Calibri" w:hAnsi="Calibri"/>
          <w:i/>
          <w:sz w:val="24"/>
        </w:rPr>
        <w:fldChar w:fldCharType="end"/>
      </w:r>
      <w:r w:rsidRPr="08952D96">
        <w:rPr>
          <w:rFonts w:eastAsia="Times"/>
        </w:rPr>
        <w:t>)</w:t>
      </w:r>
    </w:p>
  </w:footnote>
  <w:footnote w:id="142">
    <w:p w14:paraId="2D9D23D1" w14:textId="77777777" w:rsidR="00344048" w:rsidRPr="008F1BFB" w:rsidRDefault="00344048" w:rsidP="08B02759">
      <w:pPr>
        <w:pStyle w:val="Textpoznpodarou"/>
        <w:rPr>
          <w:rFonts w:eastAsia="Georgia"/>
        </w:rPr>
      </w:pPr>
      <w:r w:rsidRPr="008F1BFB">
        <w:rPr>
          <w:rStyle w:val="Znakapoznpodarou"/>
        </w:rPr>
        <w:footnoteRef/>
      </w:r>
      <w:r w:rsidRPr="008F1BFB">
        <w:t xml:space="preserve"> „</w:t>
      </w:r>
      <w:r w:rsidRPr="008F1BFB">
        <w:rPr>
          <w:rStyle w:val="Zkladntext16dkovn0pt"/>
          <w:rFonts w:ascii="Calibri" w:hAnsi="Calibri"/>
          <w:sz w:val="20"/>
          <w:szCs w:val="20"/>
        </w:rPr>
        <w:t xml:space="preserve">Avicenna compares this with the intuitive perception on the part of the intellect of the necessary connexion between the premisses and the conclusion. Nor does the universal element in the images produce its like in the intellect. </w:t>
      </w:r>
      <w:r w:rsidRPr="00A369A7">
        <w:rPr>
          <w:rStyle w:val="Zkladntext16dkovn0pt"/>
          <w:rFonts w:ascii="Calibri" w:hAnsi="Calibri"/>
          <w:sz w:val="20"/>
          <w:szCs w:val="20"/>
        </w:rPr>
        <w:t>The images are then not the cause of the intelligible at all.</w:t>
      </w:r>
      <w:r w:rsidRPr="008F1BFB">
        <w:rPr>
          <w:rStyle w:val="Zkladntext16dkovn0pt"/>
          <w:rFonts w:ascii="Calibri" w:hAnsi="Calibri"/>
          <w:sz w:val="20"/>
          <w:szCs w:val="20"/>
        </w:rPr>
        <w:t xml:space="preserve"> Their consideration by the soul is merely preparatory for the reception of the intelligible.</w:t>
      </w:r>
      <w:r>
        <w:rPr>
          <w:lang w:eastAsia="en-US"/>
        </w:rPr>
        <w:t>“ (Rahman 1952, 116</w:t>
      </w:r>
      <w:r w:rsidRPr="008F1BFB">
        <w:rPr>
          <w:lang w:eastAsia="en-US"/>
        </w:rPr>
        <w:t>)</w:t>
      </w:r>
    </w:p>
  </w:footnote>
  <w:footnote w:id="143">
    <w:p w14:paraId="0073C8B2" w14:textId="77777777" w:rsidR="00344048" w:rsidRPr="0050106C" w:rsidRDefault="00344048" w:rsidP="0050106C">
      <w:pPr>
        <w:pStyle w:val="Textpoznpodarou"/>
        <w:rPr>
          <w:lang w:val="cs-CZ"/>
        </w:rPr>
      </w:pPr>
      <w:r>
        <w:rPr>
          <w:rStyle w:val="Znakapoznpodarou"/>
        </w:rPr>
        <w:footnoteRef/>
      </w:r>
      <w:r>
        <w:t xml:space="preserve"> „</w:t>
      </w:r>
      <w:r w:rsidRPr="083F6D8D">
        <w:t xml:space="preserve">Etenim ad perceptionem, </w:t>
      </w:r>
      <w:r w:rsidRPr="083F6D8D">
        <w:rPr>
          <w:szCs w:val="19"/>
        </w:rPr>
        <w:t xml:space="preserve">cui </w:t>
      </w:r>
      <w:r w:rsidRPr="083F6D8D">
        <w:rPr>
          <w:szCs w:val="23"/>
        </w:rPr>
        <w:t xml:space="preserve">certum </w:t>
      </w:r>
      <w:r w:rsidRPr="083F6D8D">
        <w:rPr>
          <w:szCs w:val="30"/>
        </w:rPr>
        <w:t xml:space="preserve">&amp; </w:t>
      </w:r>
      <w:r w:rsidRPr="083F6D8D">
        <w:rPr>
          <w:szCs w:val="21"/>
        </w:rPr>
        <w:t>indubi</w:t>
      </w:r>
      <w:r w:rsidRPr="083F6D8D">
        <w:t>tatum</w:t>
      </w:r>
      <w:r>
        <w:t xml:space="preserve"> </w:t>
      </w:r>
      <w:r w:rsidRPr="083F6D8D">
        <w:t xml:space="preserve">judicium </w:t>
      </w:r>
      <w:r>
        <w:rPr>
          <w:szCs w:val="17"/>
        </w:rPr>
        <w:t>poss</w:t>
      </w:r>
      <w:r w:rsidRPr="083F6D8D">
        <w:rPr>
          <w:szCs w:val="17"/>
        </w:rPr>
        <w:t xml:space="preserve">it inniti, </w:t>
      </w:r>
      <w:r w:rsidRPr="083F6D8D">
        <w:rPr>
          <w:szCs w:val="25"/>
        </w:rPr>
        <w:t xml:space="preserve">non </w:t>
      </w:r>
      <w:r w:rsidRPr="083F6D8D">
        <w:rPr>
          <w:szCs w:val="27"/>
        </w:rPr>
        <w:t xml:space="preserve">modo </w:t>
      </w:r>
      <w:r w:rsidRPr="083F6D8D">
        <w:t>requiritur ut</w:t>
      </w:r>
      <w:r>
        <w:t xml:space="preserve"> s</w:t>
      </w:r>
      <w:r w:rsidRPr="083F6D8D">
        <w:rPr>
          <w:szCs w:val="13"/>
        </w:rPr>
        <w:t xml:space="preserve">it </w:t>
      </w:r>
      <w:r w:rsidRPr="083F6D8D">
        <w:rPr>
          <w:szCs w:val="18"/>
        </w:rPr>
        <w:t xml:space="preserve">clara, </w:t>
      </w:r>
      <w:r>
        <w:t>s</w:t>
      </w:r>
      <w:r w:rsidRPr="083F6D8D">
        <w:t xml:space="preserve">ed </w:t>
      </w:r>
      <w:r w:rsidRPr="083F6D8D">
        <w:rPr>
          <w:szCs w:val="21"/>
        </w:rPr>
        <w:t xml:space="preserve">etiam </w:t>
      </w:r>
      <w:r w:rsidRPr="083F6D8D">
        <w:t xml:space="preserve">ut </w:t>
      </w:r>
      <w:r>
        <w:rPr>
          <w:szCs w:val="13"/>
        </w:rPr>
        <w:t>s</w:t>
      </w:r>
      <w:r w:rsidRPr="083F6D8D">
        <w:rPr>
          <w:szCs w:val="13"/>
        </w:rPr>
        <w:t xml:space="preserve">it </w:t>
      </w:r>
      <w:r>
        <w:rPr>
          <w:szCs w:val="19"/>
        </w:rPr>
        <w:t>distinct</w:t>
      </w:r>
      <w:r w:rsidRPr="083F6D8D">
        <w:rPr>
          <w:szCs w:val="19"/>
        </w:rPr>
        <w:t>a.</w:t>
      </w:r>
      <w:r>
        <w:rPr>
          <w:szCs w:val="19"/>
        </w:rPr>
        <w:t xml:space="preserve"> </w:t>
      </w:r>
      <w:r w:rsidRPr="08382B93">
        <w:t xml:space="preserve">Claram </w:t>
      </w:r>
      <w:r w:rsidRPr="08382B93">
        <w:rPr>
          <w:szCs w:val="23"/>
        </w:rPr>
        <w:t xml:space="preserve">voco </w:t>
      </w:r>
      <w:r w:rsidRPr="08382B93">
        <w:rPr>
          <w:szCs w:val="19"/>
        </w:rPr>
        <w:t>illam,</w:t>
      </w:r>
      <w:r>
        <w:rPr>
          <w:szCs w:val="19"/>
        </w:rPr>
        <w:t xml:space="preserve"> </w:t>
      </w:r>
      <w:r w:rsidRPr="08382B93">
        <w:rPr>
          <w:szCs w:val="19"/>
        </w:rPr>
        <w:t xml:space="preserve">quae </w:t>
      </w:r>
      <w:r w:rsidRPr="08382B93">
        <w:rPr>
          <w:szCs w:val="22"/>
        </w:rPr>
        <w:t xml:space="preserve">menti </w:t>
      </w:r>
      <w:r w:rsidRPr="08382B93">
        <w:t xml:space="preserve">attendenti </w:t>
      </w:r>
      <w:r>
        <w:rPr>
          <w:szCs w:val="19"/>
        </w:rPr>
        <w:t>praes</w:t>
      </w:r>
      <w:r w:rsidRPr="08382B93">
        <w:rPr>
          <w:szCs w:val="19"/>
        </w:rPr>
        <w:t xml:space="preserve">ens </w:t>
      </w:r>
      <w:r w:rsidRPr="08382B93">
        <w:rPr>
          <w:szCs w:val="31"/>
        </w:rPr>
        <w:t xml:space="preserve">&amp; </w:t>
      </w:r>
      <w:r w:rsidRPr="08382B93">
        <w:rPr>
          <w:szCs w:val="21"/>
        </w:rPr>
        <w:t xml:space="preserve">aperta </w:t>
      </w:r>
      <w:r>
        <w:rPr>
          <w:szCs w:val="16"/>
        </w:rPr>
        <w:t>es</w:t>
      </w:r>
      <w:r w:rsidRPr="08382B93">
        <w:rPr>
          <w:szCs w:val="16"/>
        </w:rPr>
        <w:t xml:space="preserve">t </w:t>
      </w:r>
      <w:r w:rsidRPr="08382B93">
        <w:rPr>
          <w:szCs w:val="6"/>
        </w:rPr>
        <w:t xml:space="preserve">: </w:t>
      </w:r>
      <w:r>
        <w:rPr>
          <w:szCs w:val="18"/>
        </w:rPr>
        <w:t>s</w:t>
      </w:r>
      <w:r w:rsidRPr="08382B93">
        <w:rPr>
          <w:szCs w:val="18"/>
        </w:rPr>
        <w:t xml:space="preserve">icut </w:t>
      </w:r>
      <w:r w:rsidRPr="08382B93">
        <w:rPr>
          <w:szCs w:val="22"/>
        </w:rPr>
        <w:t>ea</w:t>
      </w:r>
      <w:r>
        <w:rPr>
          <w:szCs w:val="22"/>
        </w:rPr>
        <w:t xml:space="preserve"> </w:t>
      </w:r>
      <w:r w:rsidRPr="08382B93">
        <w:rPr>
          <w:szCs w:val="19"/>
        </w:rPr>
        <w:t xml:space="preserve">clarè </w:t>
      </w:r>
      <w:r w:rsidRPr="08382B93">
        <w:t xml:space="preserve">à </w:t>
      </w:r>
      <w:r w:rsidRPr="08382B93">
        <w:rPr>
          <w:szCs w:val="21"/>
        </w:rPr>
        <w:t xml:space="preserve">nobis </w:t>
      </w:r>
      <w:r w:rsidRPr="08382B93">
        <w:rPr>
          <w:szCs w:val="19"/>
        </w:rPr>
        <w:t xml:space="preserve">videri </w:t>
      </w:r>
      <w:r w:rsidRPr="08382B93">
        <w:rPr>
          <w:szCs w:val="21"/>
        </w:rPr>
        <w:t xml:space="preserve">dicimus, </w:t>
      </w:r>
      <w:r w:rsidRPr="08382B93">
        <w:rPr>
          <w:szCs w:val="18"/>
        </w:rPr>
        <w:t xml:space="preserve">quae, </w:t>
      </w:r>
      <w:r w:rsidRPr="08382B93">
        <w:rPr>
          <w:szCs w:val="22"/>
        </w:rPr>
        <w:t xml:space="preserve">oculo </w:t>
      </w:r>
      <w:r w:rsidRPr="08382B93">
        <w:rPr>
          <w:szCs w:val="19"/>
        </w:rPr>
        <w:t>intuenti</w:t>
      </w:r>
      <w:r>
        <w:rPr>
          <w:szCs w:val="19"/>
        </w:rPr>
        <w:t xml:space="preserve"> </w:t>
      </w:r>
      <w:r>
        <w:rPr>
          <w:szCs w:val="18"/>
        </w:rPr>
        <w:t>praes</w:t>
      </w:r>
      <w:r w:rsidRPr="08382B93">
        <w:rPr>
          <w:szCs w:val="18"/>
        </w:rPr>
        <w:t xml:space="preserve">entia, </w:t>
      </w:r>
      <w:r>
        <w:rPr>
          <w:szCs w:val="17"/>
        </w:rPr>
        <w:t>s</w:t>
      </w:r>
      <w:r w:rsidRPr="08382B93">
        <w:rPr>
          <w:szCs w:val="17"/>
        </w:rPr>
        <w:t xml:space="preserve">atis </w:t>
      </w:r>
      <w:r w:rsidRPr="08382B93">
        <w:rPr>
          <w:szCs w:val="18"/>
        </w:rPr>
        <w:t xml:space="preserve">fortiter </w:t>
      </w:r>
      <w:r w:rsidRPr="08382B93">
        <w:rPr>
          <w:szCs w:val="30"/>
        </w:rPr>
        <w:t xml:space="preserve">&amp; </w:t>
      </w:r>
      <w:r w:rsidRPr="08382B93">
        <w:t xml:space="preserve">apertè illum </w:t>
      </w:r>
      <w:r w:rsidRPr="08382B93">
        <w:rPr>
          <w:szCs w:val="22"/>
        </w:rPr>
        <w:t xml:space="preserve">movent. </w:t>
      </w:r>
      <w:r>
        <w:rPr>
          <w:szCs w:val="18"/>
        </w:rPr>
        <w:t>Dis</w:t>
      </w:r>
      <w:r w:rsidRPr="08382B93">
        <w:rPr>
          <w:szCs w:val="18"/>
        </w:rPr>
        <w:t>tin</w:t>
      </w:r>
      <w:r>
        <w:rPr>
          <w:szCs w:val="18"/>
        </w:rPr>
        <w:t>ct</w:t>
      </w:r>
      <w:r w:rsidRPr="08382B93">
        <w:rPr>
          <w:szCs w:val="30"/>
        </w:rPr>
        <w:t>am</w:t>
      </w:r>
      <w:r>
        <w:rPr>
          <w:szCs w:val="30"/>
        </w:rPr>
        <w:t xml:space="preserve"> </w:t>
      </w:r>
      <w:r w:rsidRPr="08382B93">
        <w:t xml:space="preserve">autem </w:t>
      </w:r>
      <w:r w:rsidRPr="08382B93">
        <w:rPr>
          <w:szCs w:val="19"/>
        </w:rPr>
        <w:t xml:space="preserve">illam, </w:t>
      </w:r>
      <w:r w:rsidRPr="08382B93">
        <w:rPr>
          <w:szCs w:val="18"/>
        </w:rPr>
        <w:t xml:space="preserve">quae, </w:t>
      </w:r>
      <w:r w:rsidRPr="08382B93">
        <w:rPr>
          <w:szCs w:val="27"/>
        </w:rPr>
        <w:t xml:space="preserve">cùm </w:t>
      </w:r>
      <w:r w:rsidRPr="08382B93">
        <w:rPr>
          <w:szCs w:val="19"/>
        </w:rPr>
        <w:t xml:space="preserve">clara </w:t>
      </w:r>
      <w:r>
        <w:rPr>
          <w:szCs w:val="13"/>
        </w:rPr>
        <w:t>s</w:t>
      </w:r>
      <w:r w:rsidRPr="08382B93">
        <w:rPr>
          <w:szCs w:val="13"/>
        </w:rPr>
        <w:t xml:space="preserve">it, </w:t>
      </w:r>
      <w:r w:rsidRPr="08382B93">
        <w:rPr>
          <w:szCs w:val="22"/>
        </w:rPr>
        <w:t xml:space="preserve">ab </w:t>
      </w:r>
      <w:r w:rsidRPr="08382B93">
        <w:t xml:space="preserve">omnibus </w:t>
      </w:r>
      <w:r w:rsidRPr="08382B93">
        <w:rPr>
          <w:szCs w:val="16"/>
        </w:rPr>
        <w:t>aliis</w:t>
      </w:r>
      <w:r>
        <w:rPr>
          <w:szCs w:val="16"/>
        </w:rPr>
        <w:t xml:space="preserve"> </w:t>
      </w:r>
      <w:r w:rsidRPr="08382B93">
        <w:rPr>
          <w:szCs w:val="17"/>
        </w:rPr>
        <w:t xml:space="preserve">ita </w:t>
      </w:r>
      <w:r>
        <w:rPr>
          <w:szCs w:val="23"/>
        </w:rPr>
        <w:t>sejunct</w:t>
      </w:r>
      <w:r w:rsidRPr="08382B93">
        <w:rPr>
          <w:szCs w:val="23"/>
        </w:rPr>
        <w:t xml:space="preserve">a </w:t>
      </w:r>
      <w:r>
        <w:rPr>
          <w:szCs w:val="16"/>
        </w:rPr>
        <w:t>es</w:t>
      </w:r>
      <w:r w:rsidRPr="08382B93">
        <w:rPr>
          <w:szCs w:val="16"/>
        </w:rPr>
        <w:t xml:space="preserve">t </w:t>
      </w:r>
      <w:r w:rsidRPr="08382B93">
        <w:rPr>
          <w:szCs w:val="30"/>
        </w:rPr>
        <w:t xml:space="preserve">&amp; </w:t>
      </w:r>
      <w:r>
        <w:rPr>
          <w:szCs w:val="17"/>
        </w:rPr>
        <w:t>praecis</w:t>
      </w:r>
      <w:r w:rsidRPr="08382B93">
        <w:rPr>
          <w:szCs w:val="17"/>
        </w:rPr>
        <w:t xml:space="preserve">a, </w:t>
      </w:r>
      <w:r w:rsidRPr="08382B93">
        <w:t xml:space="preserve">ut </w:t>
      </w:r>
      <w:r w:rsidRPr="08382B93">
        <w:rPr>
          <w:szCs w:val="18"/>
        </w:rPr>
        <w:t xml:space="preserve">nihil </w:t>
      </w:r>
      <w:r>
        <w:rPr>
          <w:szCs w:val="21"/>
        </w:rPr>
        <w:t>plan</w:t>
      </w:r>
      <w:r w:rsidRPr="08382B93">
        <w:rPr>
          <w:szCs w:val="19"/>
        </w:rPr>
        <w:t>è</w:t>
      </w:r>
      <w:r w:rsidRPr="08382B93">
        <w:rPr>
          <w:szCs w:val="21"/>
        </w:rPr>
        <w:t xml:space="preserve"> </w:t>
      </w:r>
      <w:r w:rsidRPr="08382B93">
        <w:rPr>
          <w:szCs w:val="18"/>
        </w:rPr>
        <w:t xml:space="preserve">aliud, </w:t>
      </w:r>
      <w:r w:rsidRPr="08382B93">
        <w:rPr>
          <w:szCs w:val="27"/>
        </w:rPr>
        <w:t>quàm</w:t>
      </w:r>
      <w:r>
        <w:rPr>
          <w:szCs w:val="27"/>
        </w:rPr>
        <w:t xml:space="preserve"> </w:t>
      </w:r>
      <w:r w:rsidRPr="08382B93">
        <w:t xml:space="preserve">quod </w:t>
      </w:r>
      <w:r w:rsidRPr="08382B93">
        <w:rPr>
          <w:szCs w:val="23"/>
        </w:rPr>
        <w:t xml:space="preserve">clarum </w:t>
      </w:r>
      <w:r>
        <w:rPr>
          <w:szCs w:val="15"/>
        </w:rPr>
        <w:t>es</w:t>
      </w:r>
      <w:r w:rsidRPr="08382B93">
        <w:rPr>
          <w:szCs w:val="15"/>
        </w:rPr>
        <w:t xml:space="preserve">t, </w:t>
      </w:r>
      <w:r w:rsidRPr="08382B93">
        <w:rPr>
          <w:szCs w:val="19"/>
        </w:rPr>
        <w:t xml:space="preserve">in </w:t>
      </w:r>
      <w:r>
        <w:rPr>
          <w:szCs w:val="17"/>
        </w:rPr>
        <w:t>s</w:t>
      </w:r>
      <w:r w:rsidRPr="08382B93">
        <w:rPr>
          <w:szCs w:val="17"/>
        </w:rPr>
        <w:t xml:space="preserve">e </w:t>
      </w:r>
      <w:r w:rsidRPr="08382B93">
        <w:t>contineat.</w:t>
      </w:r>
      <w:r>
        <w:t xml:space="preserve"> (</w:t>
      </w:r>
      <w:r>
        <w:rPr>
          <w:i/>
        </w:rPr>
        <w:t>Principia</w:t>
      </w:r>
      <w:r w:rsidRPr="0804400E">
        <w:rPr>
          <w:i/>
        </w:rPr>
        <w:t xml:space="preserve"> philosophiae</w:t>
      </w:r>
      <w:r>
        <w:t>, cap. I</w:t>
      </w:r>
      <w:r>
        <w:rPr>
          <w:lang w:val="cs-CZ"/>
        </w:rPr>
        <w:t>;</w:t>
      </w:r>
      <w:r>
        <w:t xml:space="preserve"> ed. Tannery </w:t>
      </w:r>
      <w:r>
        <w:rPr>
          <w:lang w:val="cs-CZ"/>
        </w:rPr>
        <w:t xml:space="preserve">8, </w:t>
      </w:r>
      <w:r>
        <w:t>22.3‒9</w:t>
      </w:r>
      <w:r>
        <w:rPr>
          <w:rStyle w:val="FontStyle129"/>
          <w:rFonts w:ascii="Calibri" w:hAnsi="Calibri"/>
          <w:i/>
          <w:sz w:val="24"/>
        </w:rPr>
        <w:fldChar w:fldCharType="begin"/>
      </w:r>
      <w:r>
        <w:instrText xml:space="preserve"> XE "</w:instrText>
      </w:r>
      <w:r>
        <w:rPr>
          <w:lang w:val="cs-CZ"/>
        </w:rPr>
        <w:instrText>Descartes:</w:instrText>
      </w:r>
      <w:r>
        <w:rPr>
          <w:i/>
        </w:rPr>
        <w:instrText>Principia</w:instrText>
      </w:r>
      <w:r w:rsidRPr="0804400E">
        <w:rPr>
          <w:i/>
        </w:rPr>
        <w:instrText xml:space="preserve"> philosophiae</w:instrText>
      </w:r>
      <w:r>
        <w:rPr>
          <w:i/>
          <w:lang w:val="cs-CZ"/>
        </w:rPr>
        <w:instrText xml:space="preserve"> </w:instrText>
      </w:r>
      <w:r w:rsidRPr="0050106C">
        <w:rPr>
          <w:lang w:val="cs-CZ"/>
        </w:rPr>
        <w:instrText>7.22.3‒9</w:instrText>
      </w:r>
      <w:r>
        <w:instrText xml:space="preserve">" </w:instrText>
      </w:r>
      <w:r>
        <w:rPr>
          <w:rStyle w:val="FontStyle129"/>
          <w:rFonts w:ascii="Calibri" w:hAnsi="Calibri"/>
          <w:i/>
          <w:sz w:val="24"/>
        </w:rPr>
        <w:fldChar w:fldCharType="end"/>
      </w:r>
      <w:r>
        <w:t>)</w:t>
      </w:r>
    </w:p>
  </w:footnote>
  <w:footnote w:id="144">
    <w:p w14:paraId="484AC6EA" w14:textId="77777777" w:rsidR="00344048" w:rsidRPr="083F043A" w:rsidRDefault="00344048" w:rsidP="001E714A">
      <w:pPr>
        <w:pStyle w:val="Textpoznpodarou"/>
        <w:rPr>
          <w:lang w:val="cs-CZ"/>
        </w:rPr>
      </w:pPr>
      <w:r>
        <w:rPr>
          <w:rStyle w:val="Znakapoznpodarou"/>
        </w:rPr>
        <w:footnoteRef/>
      </w:r>
      <w:r>
        <w:t xml:space="preserve"> „Ideo anima quam invenimus in animali et in vegetabili est perfectio prima corporis naturalis instrumentalis habentis opera vitae.“ (</w:t>
      </w:r>
      <w:r>
        <w:rPr>
          <w:i/>
        </w:rPr>
        <w:t xml:space="preserve">Liber de anima </w:t>
      </w:r>
      <w:r>
        <w:t>I.1, ed. Van Riet</w:t>
      </w:r>
      <w:r w:rsidRPr="00FA59A2">
        <w:t xml:space="preserve">, p. </w:t>
      </w:r>
      <w:r>
        <w:t>29.60–63</w:t>
      </w:r>
      <w:r>
        <w:rPr>
          <w:rStyle w:val="FontStyle129"/>
          <w:rFonts w:ascii="Calibri" w:hAnsi="Calibri"/>
          <w:i/>
          <w:sz w:val="24"/>
        </w:rPr>
        <w:fldChar w:fldCharType="begin"/>
      </w:r>
      <w:r>
        <w:instrText xml:space="preserve"> XE "Avicenna:</w:instrText>
      </w:r>
      <w:r w:rsidRPr="0050106C">
        <w:rPr>
          <w:i/>
        </w:rPr>
        <w:instrText>Liber de anima</w:instrText>
      </w:r>
      <w:r>
        <w:instrText xml:space="preserve"> 29.60–63" </w:instrText>
      </w:r>
      <w:r>
        <w:rPr>
          <w:rStyle w:val="FontStyle129"/>
          <w:rFonts w:ascii="Calibri" w:hAnsi="Calibri"/>
          <w:i/>
          <w:sz w:val="24"/>
        </w:rPr>
        <w:fldChar w:fldCharType="end"/>
      </w:r>
      <w:r>
        <w:t>)</w:t>
      </w:r>
    </w:p>
  </w:footnote>
  <w:footnote w:id="145">
    <w:p w14:paraId="77BDCD4E" w14:textId="77777777" w:rsidR="00344048" w:rsidRPr="0056115C" w:rsidRDefault="00344048" w:rsidP="001E714A">
      <w:pPr>
        <w:pStyle w:val="Textpoznpodarou"/>
      </w:pPr>
      <w:r>
        <w:rPr>
          <w:rStyle w:val="Znakapoznpodarou"/>
        </w:rPr>
        <w:footnoteRef/>
      </w:r>
      <w:r>
        <w:t xml:space="preserve"> „Anima etiam non est substantia quae sit corpus. Restat igitur ut sit substantia quae est spi</w:t>
      </w:r>
      <w:r>
        <w:rPr>
          <w:lang w:val="cs-CZ"/>
        </w:rPr>
        <w:t>r</w:t>
      </w:r>
      <w:r>
        <w:t>itus rationalis.“ (</w:t>
      </w:r>
      <w:r w:rsidRPr="00447A58">
        <w:rPr>
          <w:i/>
          <w:lang w:val="cs-CZ"/>
        </w:rPr>
        <w:t>Gundiss. in</w:t>
      </w:r>
      <w:r>
        <w:rPr>
          <w:lang w:val="cs-CZ"/>
        </w:rPr>
        <w:t xml:space="preserve"> </w:t>
      </w:r>
      <w:r w:rsidRPr="002C6651">
        <w:rPr>
          <w:i/>
        </w:rPr>
        <w:t>De anima</w:t>
      </w:r>
      <w:r>
        <w:t xml:space="preserve"> 42.14–15</w:t>
      </w:r>
      <w:r>
        <w:rPr>
          <w:rStyle w:val="FontStyle129"/>
          <w:rFonts w:ascii="Calibri" w:hAnsi="Calibri"/>
          <w:i/>
          <w:sz w:val="24"/>
        </w:rPr>
        <w:fldChar w:fldCharType="begin"/>
      </w:r>
      <w:r>
        <w:instrText xml:space="preserve"> XE "</w:instrText>
      </w:r>
      <w:r w:rsidRPr="00A31758">
        <w:rPr>
          <w:lang w:val="cs-CZ"/>
        </w:rPr>
        <w:instrText>Gundissalinus</w:instrText>
      </w:r>
      <w:r>
        <w:rPr>
          <w:i/>
          <w:lang w:val="cs-CZ"/>
        </w:rPr>
        <w:instrText>:I</w:instrText>
      </w:r>
      <w:r w:rsidRPr="00447A58">
        <w:rPr>
          <w:i/>
          <w:lang w:val="cs-CZ"/>
        </w:rPr>
        <w:instrText>n</w:instrText>
      </w:r>
      <w:r>
        <w:rPr>
          <w:lang w:val="cs-CZ"/>
        </w:rPr>
        <w:instrText xml:space="preserve"> </w:instrText>
      </w:r>
      <w:r w:rsidRPr="002C6651">
        <w:rPr>
          <w:i/>
        </w:rPr>
        <w:instrText>De anima</w:instrText>
      </w:r>
      <w:r>
        <w:instrText xml:space="preserve"> 42.14–15" </w:instrText>
      </w:r>
      <w:r>
        <w:rPr>
          <w:rStyle w:val="FontStyle129"/>
          <w:rFonts w:ascii="Calibri" w:hAnsi="Calibri"/>
          <w:i/>
          <w:sz w:val="24"/>
        </w:rPr>
        <w:fldChar w:fldCharType="end"/>
      </w:r>
      <w:r>
        <w:t xml:space="preserve">) </w:t>
      </w:r>
      <w:r>
        <w:rPr>
          <w:lang w:val="cs-CZ"/>
        </w:rPr>
        <w:t xml:space="preserve">K Avicennově recepci duše jako </w:t>
      </w:r>
      <w:r w:rsidRPr="008467F4">
        <w:rPr>
          <w:i/>
          <w:lang w:val="cs-CZ"/>
        </w:rPr>
        <w:t>hoc aliquid</w:t>
      </w:r>
      <w:r>
        <w:rPr>
          <w:lang w:val="cs-CZ"/>
        </w:rPr>
        <w:t xml:space="preserve"> v Toledské škole, viz </w:t>
      </w:r>
      <w:r w:rsidRPr="00A161EC">
        <w:t>Boer</w:t>
      </w:r>
      <w:r>
        <w:t xml:space="preserve"> 2013, 2</w:t>
      </w:r>
      <w:r>
        <w:rPr>
          <w:lang w:val="cs-CZ"/>
        </w:rPr>
        <w:t>4</w:t>
      </w:r>
      <w:r>
        <w:t>–25.</w:t>
      </w:r>
    </w:p>
  </w:footnote>
  <w:footnote w:id="146">
    <w:p w14:paraId="7D68CE7A" w14:textId="77777777" w:rsidR="00344048" w:rsidRPr="00133326" w:rsidRDefault="00344048" w:rsidP="00583FB5">
      <w:pPr>
        <w:pStyle w:val="Textpoznpodarou"/>
        <w:rPr>
          <w:lang w:val="cs-CZ"/>
        </w:rPr>
      </w:pPr>
      <w:r>
        <w:rPr>
          <w:rStyle w:val="Znakapoznpodarou"/>
        </w:rPr>
        <w:footnoteRef/>
      </w:r>
      <w:r>
        <w:t xml:space="preserve"> </w:t>
      </w:r>
      <w:r>
        <w:rPr>
          <w:rFonts w:eastAsia="NewAster"/>
          <w:lang w:val="cs-CZ"/>
        </w:rPr>
        <w:t>„</w:t>
      </w:r>
      <w:r w:rsidRPr="00133326">
        <w:rPr>
          <w:rFonts w:eastAsia="NewAster"/>
        </w:rPr>
        <w:t>Then I say that matter is other than genus,</w:t>
      </w:r>
      <w:r>
        <w:rPr>
          <w:rFonts w:eastAsia="NewAster"/>
          <w:lang w:val="cs-CZ"/>
        </w:rPr>
        <w:t xml:space="preserve"> </w:t>
      </w:r>
      <w:r w:rsidRPr="00133326">
        <w:rPr>
          <w:rFonts w:eastAsia="NewAster"/>
        </w:rPr>
        <w:t>since matter is a thing subject to all the things predicable of it. It fits their being and the being</w:t>
      </w:r>
      <w:r>
        <w:rPr>
          <w:rFonts w:eastAsia="NewAster"/>
          <w:lang w:val="cs-CZ"/>
        </w:rPr>
        <w:t xml:space="preserve"> </w:t>
      </w:r>
      <w:r w:rsidRPr="00133326">
        <w:rPr>
          <w:rFonts w:eastAsia="NewAster"/>
        </w:rPr>
        <w:t>of each one of them</w:t>
      </w:r>
      <w:r>
        <w:rPr>
          <w:rFonts w:eastAsia="NewAster"/>
        </w:rPr>
        <w:t xml:space="preserve"> according to the form which is</w:t>
      </w:r>
      <w:r>
        <w:rPr>
          <w:rFonts w:eastAsia="NewAster"/>
          <w:lang w:val="cs-CZ"/>
        </w:rPr>
        <w:t xml:space="preserve"> </w:t>
      </w:r>
      <w:r w:rsidRPr="00133326">
        <w:rPr>
          <w:rFonts w:eastAsia="NewAster"/>
        </w:rPr>
        <w:t>proper of it. On the contrary,</w:t>
      </w:r>
      <w:r>
        <w:rPr>
          <w:rFonts w:eastAsia="NewAster"/>
          <w:lang w:val="cs-CZ"/>
        </w:rPr>
        <w:t xml:space="preserve"> </w:t>
      </w:r>
      <w:r w:rsidRPr="00133326">
        <w:rPr>
          <w:rFonts w:eastAsia="NewAster"/>
        </w:rPr>
        <w:t>genus is not</w:t>
      </w:r>
      <w:r>
        <w:rPr>
          <w:rFonts w:eastAsia="NewAster"/>
          <w:lang w:val="cs-CZ"/>
        </w:rPr>
        <w:t xml:space="preserve"> </w:t>
      </w:r>
      <w:r w:rsidRPr="00133326">
        <w:rPr>
          <w:rFonts w:eastAsia="NewAster"/>
        </w:rPr>
        <w:t>something existent, if its definition is known, but only a name. Its stability comes from its being</w:t>
      </w:r>
      <w:r>
        <w:rPr>
          <w:rFonts w:eastAsia="NewAster"/>
          <w:lang w:val="cs-CZ"/>
        </w:rPr>
        <w:t xml:space="preserve"> </w:t>
      </w:r>
      <w:r w:rsidRPr="00133326">
        <w:rPr>
          <w:rFonts w:eastAsia="NewAster"/>
        </w:rPr>
        <w:t>in the thought of the thinker, but it does not exist nor is it an individual</w:t>
      </w:r>
      <w:r>
        <w:rPr>
          <w:rFonts w:eastAsia="NewAster"/>
          <w:szCs w:val="12"/>
          <w:lang w:val="cs-CZ"/>
        </w:rPr>
        <w:t>.“ (</w:t>
      </w:r>
      <w:r w:rsidRPr="00133326">
        <w:rPr>
          <w:rFonts w:eastAsia="NewAster-Italic"/>
          <w:i/>
        </w:rPr>
        <w:t>Quaestiones Naturales</w:t>
      </w:r>
      <w:r w:rsidRPr="00133326">
        <w:rPr>
          <w:rFonts w:eastAsia="NewAster-Italic"/>
        </w:rPr>
        <w:t xml:space="preserve"> </w:t>
      </w:r>
      <w:r>
        <w:rPr>
          <w:rFonts w:eastAsia="NewAster"/>
        </w:rPr>
        <w:t>II</w:t>
      </w:r>
      <w:r>
        <w:rPr>
          <w:rFonts w:eastAsia="NewAster"/>
          <w:lang w:val="cs-CZ"/>
        </w:rPr>
        <w:t>.</w:t>
      </w:r>
      <w:r w:rsidRPr="00133326">
        <w:rPr>
          <w:rFonts w:eastAsia="NewAster"/>
        </w:rPr>
        <w:t>28</w:t>
      </w:r>
      <w:r>
        <w:rPr>
          <w:rFonts w:eastAsia="NewAster" w:cs="NewAster"/>
          <w:lang w:val="cs-CZ"/>
        </w:rPr>
        <w:t xml:space="preserve">; </w:t>
      </w:r>
      <w:r w:rsidRPr="00133326">
        <w:rPr>
          <w:rFonts w:eastAsia="NewAster"/>
        </w:rPr>
        <w:t>B</w:t>
      </w:r>
      <w:r>
        <w:rPr>
          <w:rFonts w:eastAsia="NewAster"/>
          <w:lang w:val="cs-CZ"/>
        </w:rPr>
        <w:t>adawi</w:t>
      </w:r>
      <w:r w:rsidRPr="00133326">
        <w:rPr>
          <w:rFonts w:eastAsia="NewAster"/>
        </w:rPr>
        <w:t xml:space="preserve">, </w:t>
      </w:r>
      <w:r w:rsidRPr="00133326">
        <w:rPr>
          <w:rFonts w:eastAsia="NewAster-Italic"/>
          <w:i/>
        </w:rPr>
        <w:t>Commentaires</w:t>
      </w:r>
      <w:r>
        <w:rPr>
          <w:rFonts w:eastAsia="NewAster"/>
        </w:rPr>
        <w:t>, p. 53</w:t>
      </w:r>
      <w:r>
        <w:rPr>
          <w:rFonts w:eastAsia="NewAster"/>
          <w:lang w:val="cs-CZ"/>
        </w:rPr>
        <w:t>.</w:t>
      </w:r>
      <w:r>
        <w:rPr>
          <w:rFonts w:eastAsia="NewAster"/>
        </w:rPr>
        <w:t>18‒</w:t>
      </w:r>
      <w:r w:rsidRPr="00133326">
        <w:rPr>
          <w:rFonts w:eastAsia="NewAster"/>
        </w:rPr>
        <w:t>21</w:t>
      </w:r>
      <w:r>
        <w:rPr>
          <w:rFonts w:eastAsia="NewAster"/>
          <w:lang w:val="cs-CZ"/>
        </w:rPr>
        <w:t xml:space="preserve">; cit. podle </w:t>
      </w:r>
      <w:r>
        <w:t>Di Giovanni 2004, 26</w:t>
      </w:r>
      <w:r>
        <w:rPr>
          <w:lang w:val="cs-CZ"/>
        </w:rPr>
        <w:t>4</w:t>
      </w:r>
      <w:r>
        <w:rPr>
          <w:rStyle w:val="FontStyle129"/>
          <w:rFonts w:ascii="Calibri" w:hAnsi="Calibri"/>
          <w:i/>
          <w:sz w:val="24"/>
        </w:rPr>
        <w:fldChar w:fldCharType="begin"/>
      </w:r>
      <w:r>
        <w:instrText xml:space="preserve"> XE "</w:instrText>
      </w:r>
      <w:r>
        <w:rPr>
          <w:lang w:val="cs-CZ"/>
        </w:rPr>
        <w:instrText>Avicenna:</w:instrText>
      </w:r>
      <w:r w:rsidRPr="00133326">
        <w:rPr>
          <w:rFonts w:eastAsia="NewAster-Italic"/>
          <w:i/>
        </w:rPr>
        <w:instrText>Quaestiones Naturales</w:instrText>
      </w:r>
      <w:r w:rsidRPr="00133326">
        <w:rPr>
          <w:rFonts w:eastAsia="NewAster-Italic"/>
        </w:rPr>
        <w:instrText xml:space="preserve"> </w:instrText>
      </w:r>
      <w:r>
        <w:rPr>
          <w:rFonts w:eastAsia="NewAster"/>
        </w:rPr>
        <w:instrText>53</w:instrText>
      </w:r>
      <w:r>
        <w:rPr>
          <w:rFonts w:eastAsia="NewAster"/>
          <w:lang w:val="cs-CZ"/>
        </w:rPr>
        <w:instrText>.</w:instrText>
      </w:r>
      <w:r>
        <w:rPr>
          <w:rFonts w:eastAsia="NewAster"/>
        </w:rPr>
        <w:instrText>18‒</w:instrText>
      </w:r>
      <w:r w:rsidRPr="00133326">
        <w:rPr>
          <w:rFonts w:eastAsia="NewAster"/>
        </w:rPr>
        <w:instrText>21</w:instrText>
      </w:r>
      <w:r>
        <w:instrText xml:space="preserve">" </w:instrText>
      </w:r>
      <w:r>
        <w:rPr>
          <w:rStyle w:val="FontStyle129"/>
          <w:rFonts w:ascii="Calibri" w:hAnsi="Calibri"/>
          <w:i/>
          <w:sz w:val="24"/>
        </w:rPr>
        <w:fldChar w:fldCharType="end"/>
      </w:r>
      <w:r>
        <w:rPr>
          <w:rFonts w:eastAsia="NewAster"/>
          <w:szCs w:val="12"/>
          <w:lang w:val="cs-CZ"/>
        </w:rPr>
        <w:t>)</w:t>
      </w:r>
    </w:p>
  </w:footnote>
  <w:footnote w:id="147">
    <w:p w14:paraId="38C61442" w14:textId="77777777" w:rsidR="00344048" w:rsidRPr="00FE7DEF" w:rsidRDefault="00344048" w:rsidP="08B60033">
      <w:pPr>
        <w:pStyle w:val="Textpoznpodarou"/>
      </w:pPr>
      <w:r>
        <w:rPr>
          <w:rStyle w:val="Znakapoznpodarou"/>
        </w:rPr>
        <w:footnoteRef/>
      </w:r>
      <w:r>
        <w:t xml:space="preserve"> „</w:t>
      </w:r>
      <w:r w:rsidRPr="00FE7DEF">
        <w:rPr>
          <w:rFonts w:eastAsia="NewAster"/>
        </w:rPr>
        <w:t xml:space="preserve">As matter, then, </w:t>
      </w:r>
      <w:r w:rsidRPr="00FE7DEF">
        <w:rPr>
          <w:rFonts w:eastAsia="NewAster-Italic"/>
          <w:i/>
        </w:rPr>
        <w:t>body</w:t>
      </w:r>
      <w:r w:rsidRPr="00FE7DEF">
        <w:rPr>
          <w:rFonts w:eastAsia="NewAster-Italic"/>
        </w:rPr>
        <w:t xml:space="preserve"> </w:t>
      </w:r>
      <w:r w:rsidRPr="00FE7DEF">
        <w:rPr>
          <w:rFonts w:eastAsia="NewAster"/>
        </w:rPr>
        <w:t xml:space="preserve">signifies the sole property of being a dimensional substance; as genus, it signifies the same property, but taken together with all the following ones inherent in the subject. </w:t>
      </w:r>
      <w:r w:rsidRPr="00C84445">
        <w:t>When all these properties are specified, you get the species. When they are not</w:t>
      </w:r>
      <w:r>
        <w:t xml:space="preserve"> </w:t>
      </w:r>
      <w:r w:rsidRPr="00C84445">
        <w:t>all specified, you get the genus.</w:t>
      </w:r>
      <w:r w:rsidRPr="00FE7DEF">
        <w:rPr>
          <w:rFonts w:eastAsia="NewAster"/>
        </w:rPr>
        <w:t xml:space="preserve">“ </w:t>
      </w:r>
      <w:r>
        <w:t>(</w:t>
      </w:r>
      <w:r w:rsidRPr="00492F32">
        <w:rPr>
          <w:i/>
        </w:rPr>
        <w:t>Kitáb al-Šifá</w:t>
      </w:r>
      <w:r>
        <w:t>, ed. Anawati, tome I, 213–</w:t>
      </w:r>
      <w:r w:rsidRPr="007433BE">
        <w:t>219</w:t>
      </w:r>
      <w:r>
        <w:rPr>
          <w:rStyle w:val="FontStyle129"/>
          <w:rFonts w:ascii="Calibri" w:hAnsi="Calibri"/>
          <w:i/>
          <w:sz w:val="24"/>
        </w:rPr>
        <w:fldChar w:fldCharType="begin"/>
      </w:r>
      <w:r>
        <w:instrText xml:space="preserve"> XE "</w:instrText>
      </w:r>
      <w:r>
        <w:rPr>
          <w:lang w:val="cs-CZ"/>
        </w:rPr>
        <w:instrText>Avicenna:</w:instrText>
      </w:r>
      <w:r w:rsidRPr="00492F32">
        <w:rPr>
          <w:i/>
        </w:rPr>
        <w:instrText>Kitáb al-Šifá</w:instrText>
      </w:r>
      <w:r>
        <w:rPr>
          <w:i/>
          <w:lang w:val="cs-CZ"/>
        </w:rPr>
        <w:instrText xml:space="preserve"> </w:instrText>
      </w:r>
      <w:r w:rsidRPr="005B46DB">
        <w:rPr>
          <w:lang w:val="cs-CZ"/>
        </w:rPr>
        <w:instrText>1.</w:instrText>
      </w:r>
      <w:r>
        <w:instrText>213–</w:instrText>
      </w:r>
      <w:r w:rsidRPr="007433BE">
        <w:instrText>219</w:instrText>
      </w:r>
      <w:r>
        <w:instrText xml:space="preserve">" </w:instrText>
      </w:r>
      <w:r>
        <w:rPr>
          <w:rStyle w:val="FontStyle129"/>
          <w:rFonts w:ascii="Calibri" w:hAnsi="Calibri"/>
          <w:i/>
          <w:sz w:val="24"/>
        </w:rPr>
        <w:fldChar w:fldCharType="end"/>
      </w:r>
      <w:r>
        <w:t>; cit. podle Di Giovanni 2004, 262)</w:t>
      </w:r>
    </w:p>
  </w:footnote>
  <w:footnote w:id="148">
    <w:p w14:paraId="2203FE39" w14:textId="77777777" w:rsidR="00344048" w:rsidRPr="08880798" w:rsidRDefault="00344048">
      <w:pPr>
        <w:pStyle w:val="Textpoznpodarou"/>
      </w:pPr>
      <w:r>
        <w:rPr>
          <w:rStyle w:val="Znakapoznpodarou"/>
        </w:rPr>
        <w:footnoteRef/>
      </w:r>
      <w:r>
        <w:t xml:space="preserve"> </w:t>
      </w:r>
      <w:r>
        <w:rPr>
          <w:rStyle w:val="FontStyle129"/>
          <w:rFonts w:ascii="Calibri" w:hAnsi="Calibri"/>
          <w:sz w:val="21"/>
        </w:rPr>
        <w:t>„</w:t>
      </w:r>
      <w:r w:rsidRPr="004420E5">
        <w:rPr>
          <w:rStyle w:val="FontStyle129"/>
          <w:rFonts w:ascii="Calibri" w:hAnsi="Calibri"/>
          <w:sz w:val="21"/>
        </w:rPr>
        <w:t>Definitio</w:t>
      </w:r>
      <w:r w:rsidRPr="004420E5">
        <w:rPr>
          <w:rStyle w:val="FontStyle78"/>
          <w:rFonts w:ascii="Calibri" w:hAnsi="Calibri"/>
          <w:sz w:val="21"/>
        </w:rPr>
        <w:t xml:space="preserve"> </w:t>
      </w:r>
      <w:r w:rsidRPr="004420E5">
        <w:rPr>
          <w:rStyle w:val="FontStyle129"/>
          <w:rFonts w:ascii="Calibri" w:hAnsi="Calibri"/>
          <w:sz w:val="21"/>
        </w:rPr>
        <w:t>enim equinitatis est praeter definitionem universalitatis nec universalitas continetur in definitione equinitatis. Equinitas etenim habet definitionem quae non eget universalitate, sed est cui accidit universalitas. Unde ipsa equinitas non est aliquid nisi equinitas tantum; ipsa enim in se nec est multa nec unum, nec est existens in his sensibilibus nec in anima, nec est aliquid horum potentia vel effectu, ita ut hoc contineatur intra essentiam equinitatis, sed ex hoc quod est equinitas tantum.“</w:t>
      </w:r>
      <w:r w:rsidRPr="00084B9F">
        <w:rPr>
          <w:rStyle w:val="FontStyle129"/>
          <w:rFonts w:ascii="Calibri" w:hAnsi="Calibri"/>
          <w:sz w:val="21"/>
        </w:rPr>
        <w:t xml:space="preserve"> </w:t>
      </w:r>
      <w:r w:rsidRPr="00084B9F">
        <w:t>(</w:t>
      </w:r>
      <w:r w:rsidRPr="007F064F">
        <w:rPr>
          <w:i/>
        </w:rPr>
        <w:t>Liber de philosophia prima</w:t>
      </w:r>
      <w:r>
        <w:rPr>
          <w:i/>
        </w:rPr>
        <w:t xml:space="preserve"> </w:t>
      </w:r>
      <w:r>
        <w:t>V.1</w:t>
      </w:r>
      <w:r>
        <w:rPr>
          <w:lang w:val="cs-CZ"/>
        </w:rPr>
        <w:t>;</w:t>
      </w:r>
      <w:r>
        <w:t xml:space="preserve"> ed. Van Riet, p. 228.</w:t>
      </w:r>
      <w:r w:rsidRPr="00084B9F">
        <w:t>29</w:t>
      </w:r>
      <w:r>
        <w:t>–</w:t>
      </w:r>
      <w:r w:rsidRPr="00084B9F">
        <w:t>36</w:t>
      </w:r>
      <w:r>
        <w:rPr>
          <w:rStyle w:val="FontStyle129"/>
          <w:rFonts w:ascii="Calibri" w:hAnsi="Calibri"/>
          <w:i/>
          <w:sz w:val="24"/>
        </w:rPr>
        <w:fldChar w:fldCharType="begin"/>
      </w:r>
      <w:r>
        <w:instrText xml:space="preserve"> XE "</w:instrText>
      </w:r>
      <w:r>
        <w:rPr>
          <w:lang w:val="cs-CZ"/>
        </w:rPr>
        <w:instrText>Avicenna:</w:instrText>
      </w:r>
      <w:r w:rsidRPr="007F064F">
        <w:rPr>
          <w:i/>
        </w:rPr>
        <w:instrText>Liber de philosophia prima</w:instrText>
      </w:r>
      <w:r>
        <w:instrText xml:space="preserve"> 228.</w:instrText>
      </w:r>
      <w:r w:rsidRPr="00084B9F">
        <w:instrText>29</w:instrText>
      </w:r>
      <w:r>
        <w:instrText>–</w:instrText>
      </w:r>
      <w:r w:rsidRPr="00084B9F">
        <w:instrText>36</w:instrText>
      </w:r>
      <w:r>
        <w:instrText xml:space="preserve">" </w:instrText>
      </w:r>
      <w:r>
        <w:rPr>
          <w:rStyle w:val="FontStyle129"/>
          <w:rFonts w:ascii="Calibri" w:hAnsi="Calibri"/>
          <w:i/>
          <w:sz w:val="24"/>
        </w:rPr>
        <w:fldChar w:fldCharType="end"/>
      </w:r>
      <w:r w:rsidRPr="00084B9F">
        <w:t>)</w:t>
      </w:r>
    </w:p>
  </w:footnote>
  <w:footnote w:id="149">
    <w:p w14:paraId="0E3C86CF" w14:textId="77777777" w:rsidR="00344048" w:rsidRPr="00BA1A0F" w:rsidRDefault="00344048" w:rsidP="083D3CE6">
      <w:pPr>
        <w:pStyle w:val="Textpoznpodarou"/>
      </w:pPr>
      <w:r>
        <w:rPr>
          <w:rStyle w:val="Znakapoznpodarou"/>
        </w:rPr>
        <w:footnoteRef/>
      </w:r>
      <w:r>
        <w:t xml:space="preserve"> „Dico igitur quod quamvis prioritas et posterioritas dicantur multis modis, tamen fortasse conveniunt in uno secundum ambiguitatem, scilicet quia priori, inquantum est prius, aliquid est quod non est posteriori, sed nihil est posteriori quod non habeat id quod est prius.“ </w:t>
      </w:r>
      <w:r>
        <w:rPr>
          <w:noProof/>
        </w:rPr>
        <w:t>(</w:t>
      </w:r>
      <w:r>
        <w:rPr>
          <w:i/>
        </w:rPr>
        <w:t>Liber de anima</w:t>
      </w:r>
      <w:r>
        <w:rPr>
          <w:i/>
          <w:lang w:val="cs-CZ"/>
        </w:rPr>
        <w:t xml:space="preserve"> </w:t>
      </w:r>
      <w:r>
        <w:t>IV.1, ed. Van Riet, p. 184.</w:t>
      </w:r>
      <w:r w:rsidRPr="00E62A06">
        <w:t>6–</w:t>
      </w:r>
      <w:r>
        <w:t>10</w:t>
      </w:r>
      <w:r>
        <w:rPr>
          <w:rStyle w:val="FontStyle129"/>
          <w:rFonts w:ascii="Calibri" w:hAnsi="Calibri"/>
          <w:i/>
          <w:sz w:val="24"/>
        </w:rPr>
        <w:fldChar w:fldCharType="begin"/>
      </w:r>
      <w:r>
        <w:instrText xml:space="preserve"> XE "</w:instrText>
      </w:r>
      <w:r>
        <w:rPr>
          <w:lang w:val="cs-CZ"/>
        </w:rPr>
        <w:instrText>Avicenna:</w:instrText>
      </w:r>
      <w:r w:rsidRPr="007F064F">
        <w:rPr>
          <w:i/>
        </w:rPr>
        <w:instrText xml:space="preserve">Liber de </w:instrText>
      </w:r>
      <w:r>
        <w:rPr>
          <w:i/>
          <w:lang w:val="cs-CZ"/>
        </w:rPr>
        <w:instrText>anima</w:instrText>
      </w:r>
      <w:r>
        <w:instrText xml:space="preserve"> </w:instrText>
      </w:r>
      <w:r>
        <w:rPr>
          <w:lang w:val="cs-CZ"/>
        </w:rPr>
        <w:instrText>184</w:instrText>
      </w:r>
      <w:r>
        <w:instrText>.</w:instrText>
      </w:r>
      <w:r>
        <w:rPr>
          <w:lang w:val="cs-CZ"/>
        </w:rPr>
        <w:instrText>6</w:instrText>
      </w:r>
      <w:r>
        <w:instrText>–</w:instrText>
      </w:r>
      <w:r>
        <w:rPr>
          <w:lang w:val="cs-CZ"/>
        </w:rPr>
        <w:instrText>10</w:instrText>
      </w:r>
      <w:r>
        <w:instrText xml:space="preserve">" </w:instrText>
      </w:r>
      <w:r>
        <w:rPr>
          <w:rStyle w:val="FontStyle129"/>
          <w:rFonts w:ascii="Calibri" w:hAnsi="Calibri"/>
          <w:i/>
          <w:sz w:val="24"/>
        </w:rPr>
        <w:fldChar w:fldCharType="end"/>
      </w:r>
      <w:r>
        <w:rPr>
          <w:noProof/>
        </w:rPr>
        <w:t>)</w:t>
      </w:r>
    </w:p>
  </w:footnote>
  <w:footnote w:id="150">
    <w:p w14:paraId="4D6BD1DF" w14:textId="77777777" w:rsidR="00344048" w:rsidRPr="086459B8" w:rsidRDefault="00344048" w:rsidP="00595C0D">
      <w:pPr>
        <w:pStyle w:val="Textpoznpodarou"/>
      </w:pPr>
      <w:r w:rsidRPr="086459B8">
        <w:rPr>
          <w:rStyle w:val="Znakapoznpodarou"/>
        </w:rPr>
        <w:footnoteRef/>
      </w:r>
      <w:r w:rsidRPr="086459B8">
        <w:t xml:space="preserve"> </w:t>
      </w:r>
      <w:r w:rsidRPr="080E6181">
        <w:t>„Cum autem aliquam formam repraesentat sensus imaginationi et imaginatio intellectui, et intellectus excipit ex illa intentionem... nisi secundum accidens quod est illius proprium ex hoc quod est illud accidens, ita ut aliquando accipiat illam nudam, aliquando cum illo accidente. Et propter hoc dicitur quod Socrates et Plato sunt una intentio in humanitate.“ (</w:t>
      </w:r>
      <w:r w:rsidRPr="080E6181">
        <w:rPr>
          <w:i/>
        </w:rPr>
        <w:t>Liber de anima</w:t>
      </w:r>
      <w:r>
        <w:t xml:space="preserve"> V.5</w:t>
      </w:r>
      <w:r>
        <w:rPr>
          <w:lang w:val="cs-CZ"/>
        </w:rPr>
        <w:t>;</w:t>
      </w:r>
      <w:r w:rsidRPr="080E6181">
        <w:t xml:space="preserve"> </w:t>
      </w:r>
      <w:r>
        <w:t>ed. Van Riet</w:t>
      </w:r>
      <w:r w:rsidRPr="080E6181">
        <w:t>, p</w:t>
      </w:r>
      <w:r>
        <w:t>p</w:t>
      </w:r>
      <w:r w:rsidRPr="080E6181">
        <w:t>. 129.82‒130.90</w:t>
      </w:r>
      <w:r>
        <w:rPr>
          <w:rStyle w:val="addmd"/>
          <w:i/>
        </w:rPr>
        <w:fldChar w:fldCharType="begin"/>
      </w:r>
      <w:r>
        <w:instrText xml:space="preserve"> XE "</w:instrText>
      </w:r>
      <w:r>
        <w:rPr>
          <w:lang w:val="cs-CZ"/>
        </w:rPr>
        <w:instrText>Avicenna:</w:instrText>
      </w:r>
      <w:r w:rsidRPr="002B0478">
        <w:rPr>
          <w:i/>
        </w:rPr>
        <w:instrText xml:space="preserve">Liber de </w:instrText>
      </w:r>
      <w:r>
        <w:rPr>
          <w:i/>
          <w:lang w:val="cs-CZ"/>
        </w:rPr>
        <w:instrText>anima</w:instrText>
      </w:r>
      <w:r>
        <w:instrText xml:space="preserve"> </w:instrText>
      </w:r>
      <w:r w:rsidRPr="080E6181">
        <w:instrText>129.82‒130.90</w:instrText>
      </w:r>
      <w:r>
        <w:instrText xml:space="preserve">" </w:instrText>
      </w:r>
      <w:r>
        <w:rPr>
          <w:rStyle w:val="addmd"/>
          <w:i/>
        </w:rPr>
        <w:fldChar w:fldCharType="end"/>
      </w:r>
      <w:r w:rsidRPr="080E6181">
        <w:t>)</w:t>
      </w:r>
    </w:p>
  </w:footnote>
  <w:footnote w:id="151">
    <w:p w14:paraId="4EA082F3" w14:textId="77777777" w:rsidR="00344048" w:rsidRPr="0861393E" w:rsidRDefault="00344048" w:rsidP="003D3A25">
      <w:pPr>
        <w:pStyle w:val="Textpoznpodarou"/>
      </w:pPr>
      <w:r>
        <w:rPr>
          <w:rStyle w:val="Znakapoznpodarou"/>
        </w:rPr>
        <w:footnoteRef/>
      </w:r>
      <w:r>
        <w:t xml:space="preserve"> „U</w:t>
      </w:r>
      <w:r w:rsidRPr="00922284">
        <w:t>naquaeque enim res habet certitudinem qua est id quod est, sicut triangulus habet certitudin</w:t>
      </w:r>
      <w:r>
        <w:t>em qua est triangulus, et albe</w:t>
      </w:r>
      <w:r w:rsidRPr="00922284">
        <w:t xml:space="preserve">do habet certitudinem qua est albedo. Et hoc est quod fortasse appellamus </w:t>
      </w:r>
      <w:r>
        <w:t>esse proprium, nec</w:t>
      </w:r>
      <w:r w:rsidRPr="00922284">
        <w:t xml:space="preserve"> intendimus per </w:t>
      </w:r>
      <w:r>
        <w:t>illud nisi intentionem esse affi</w:t>
      </w:r>
      <w:r w:rsidRPr="00922284">
        <w:t>rmativi.“</w:t>
      </w:r>
      <w:r>
        <w:t xml:space="preserve"> (</w:t>
      </w:r>
      <w:r w:rsidRPr="00922284">
        <w:rPr>
          <w:i/>
        </w:rPr>
        <w:t>Liber de philosophia prima</w:t>
      </w:r>
      <w:r w:rsidRPr="00922284">
        <w:t xml:space="preserve"> I.5</w:t>
      </w:r>
      <w:r>
        <w:rPr>
          <w:lang w:val="cs-CZ"/>
        </w:rPr>
        <w:t>;</w:t>
      </w:r>
      <w:r>
        <w:t xml:space="preserve"> ed. Van Riet</w:t>
      </w:r>
      <w:r>
        <w:rPr>
          <w:lang w:val="cs-CZ"/>
        </w:rPr>
        <w:t xml:space="preserve">, </w:t>
      </w:r>
      <w:r w:rsidRPr="00922284">
        <w:t>pp. 34.55</w:t>
      </w:r>
      <w:r>
        <w:t>‒</w:t>
      </w:r>
      <w:r w:rsidRPr="00922284">
        <w:t>35.59</w:t>
      </w:r>
      <w:r>
        <w:rPr>
          <w:rStyle w:val="addmd"/>
          <w:i/>
        </w:rPr>
        <w:fldChar w:fldCharType="begin"/>
      </w:r>
      <w:r>
        <w:instrText xml:space="preserve"> XE "</w:instrText>
      </w:r>
      <w:r>
        <w:rPr>
          <w:lang w:val="cs-CZ"/>
        </w:rPr>
        <w:instrText>Avicenna:</w:instrText>
      </w:r>
      <w:r w:rsidRPr="002B0478">
        <w:rPr>
          <w:i/>
        </w:rPr>
        <w:instrText>Liber de philosophia prima</w:instrText>
      </w:r>
      <w:r>
        <w:instrText xml:space="preserve"> </w:instrText>
      </w:r>
      <w:r w:rsidRPr="00922284">
        <w:instrText>34.55</w:instrText>
      </w:r>
      <w:r>
        <w:instrText>‒</w:instrText>
      </w:r>
      <w:r w:rsidRPr="00922284">
        <w:instrText>35.59</w:instrText>
      </w:r>
      <w:r>
        <w:instrText xml:space="preserve">" </w:instrText>
      </w:r>
      <w:r>
        <w:rPr>
          <w:rStyle w:val="addmd"/>
          <w:i/>
        </w:rPr>
        <w:fldChar w:fldCharType="end"/>
      </w:r>
      <w:r>
        <w:t>)</w:t>
      </w:r>
    </w:p>
  </w:footnote>
  <w:footnote w:id="152">
    <w:p w14:paraId="7ECC7F9D" w14:textId="77777777" w:rsidR="00344048" w:rsidRPr="006A5CBE" w:rsidRDefault="00344048" w:rsidP="08A76FBC">
      <w:pPr>
        <w:pStyle w:val="Textpoznpodarou"/>
      </w:pPr>
      <w:r>
        <w:rPr>
          <w:rStyle w:val="Znakapoznpodarou"/>
        </w:rPr>
        <w:footnoteRef/>
      </w:r>
      <w:r>
        <w:rPr>
          <w:lang w:val="cs-CZ"/>
        </w:rPr>
        <w:t xml:space="preserve"> </w:t>
      </w:r>
      <w:r>
        <w:t>„</w:t>
      </w:r>
      <w:r>
        <w:rPr>
          <w:lang w:val="cs-CZ"/>
        </w:rPr>
        <w:t>U</w:t>
      </w:r>
      <w:r w:rsidRPr="003D1C42">
        <w:t>naquaeque res habet certitudinem propriam quae est eius quidditas. Et notum est quod certitudo cuiuscumque rei quae propria est ei, est praeter esse quod multivocum est cum aliquid, quoniam, cum dixeris quod certitudo rei talis est in singularibus, vel in anima, vel absolute ita u</w:t>
      </w:r>
      <w:r>
        <w:t>t communicet utrisque, erit tun</w:t>
      </w:r>
      <w:r>
        <w:rPr>
          <w:lang w:val="cs-CZ"/>
        </w:rPr>
        <w:t>c</w:t>
      </w:r>
      <w:r w:rsidRPr="003D1C42">
        <w:t xml:space="preserve"> haec intentio apprehensa et intellecta.</w:t>
      </w:r>
      <w:r>
        <w:t>“ (</w:t>
      </w:r>
      <w:r w:rsidRPr="0074263F">
        <w:rPr>
          <w:i/>
        </w:rPr>
        <w:t>Liber de philosophia prima</w:t>
      </w:r>
      <w:r>
        <w:rPr>
          <w:i/>
          <w:lang w:val="cs-CZ"/>
        </w:rPr>
        <w:t xml:space="preserve"> </w:t>
      </w:r>
      <w:r>
        <w:t>I.</w:t>
      </w:r>
      <w:r>
        <w:rPr>
          <w:lang w:val="cs-CZ"/>
        </w:rPr>
        <w:t>5;</w:t>
      </w:r>
      <w:r>
        <w:t xml:space="preserve"> ed. Van Riet, p. </w:t>
      </w:r>
      <w:r>
        <w:rPr>
          <w:lang w:val="cs-CZ"/>
        </w:rPr>
        <w:t>35</w:t>
      </w:r>
      <w:r>
        <w:t>.</w:t>
      </w:r>
      <w:r>
        <w:rPr>
          <w:lang w:val="cs-CZ"/>
        </w:rPr>
        <w:t>62</w:t>
      </w:r>
      <w:r>
        <w:t>–</w:t>
      </w:r>
      <w:r>
        <w:rPr>
          <w:lang w:val="cs-CZ"/>
        </w:rPr>
        <w:t>68</w:t>
      </w:r>
      <w:r>
        <w:rPr>
          <w:rStyle w:val="addmd"/>
          <w:i/>
        </w:rPr>
        <w:fldChar w:fldCharType="begin"/>
      </w:r>
      <w:r>
        <w:instrText xml:space="preserve"> XE "</w:instrText>
      </w:r>
      <w:r>
        <w:rPr>
          <w:lang w:val="cs-CZ"/>
        </w:rPr>
        <w:instrText>Avicenna:</w:instrText>
      </w:r>
      <w:r w:rsidRPr="002B0478">
        <w:rPr>
          <w:i/>
        </w:rPr>
        <w:instrText>Liber de philosophia prima</w:instrText>
      </w:r>
      <w:r>
        <w:instrText xml:space="preserve"> </w:instrText>
      </w:r>
      <w:r>
        <w:rPr>
          <w:lang w:val="cs-CZ"/>
        </w:rPr>
        <w:instrText>35.62</w:instrText>
      </w:r>
      <w:r>
        <w:instrText>–</w:instrText>
      </w:r>
      <w:r>
        <w:rPr>
          <w:lang w:val="cs-CZ"/>
        </w:rPr>
        <w:instrText>68</w:instrText>
      </w:r>
      <w:r>
        <w:instrText xml:space="preserve">" </w:instrText>
      </w:r>
      <w:r>
        <w:rPr>
          <w:rStyle w:val="addmd"/>
          <w:i/>
        </w:rPr>
        <w:fldChar w:fldCharType="end"/>
      </w:r>
      <w:r>
        <w:t>)</w:t>
      </w:r>
    </w:p>
  </w:footnote>
  <w:footnote w:id="153">
    <w:p w14:paraId="064893FD" w14:textId="77777777" w:rsidR="00344048" w:rsidRPr="000E5B0E" w:rsidRDefault="00344048" w:rsidP="00585FF8">
      <w:pPr>
        <w:pStyle w:val="Textpoznpodarou"/>
        <w:rPr>
          <w:noProof/>
          <w:lang w:val="cs-CZ"/>
        </w:rPr>
      </w:pPr>
      <w:r>
        <w:rPr>
          <w:rStyle w:val="Znakapoznpodarou"/>
        </w:rPr>
        <w:footnoteRef/>
      </w:r>
      <w:r>
        <w:t xml:space="preserve"> </w:t>
      </w:r>
      <w:r>
        <w:rPr>
          <w:noProof/>
        </w:rPr>
        <w:t>„Potest autem aliquis dicere quod animal ex hoc quod est animal non habet esse in individuis</w:t>
      </w:r>
      <w:r>
        <w:rPr>
          <w:noProof/>
          <w:lang w:val="cs-CZ"/>
        </w:rPr>
        <w:t>, quia quod est in individuis est aliquod animal, non animal ex hoc quod est animal.</w:t>
      </w:r>
      <w:r>
        <w:rPr>
          <w:noProof/>
        </w:rPr>
        <w:t>“ (</w:t>
      </w:r>
      <w:r w:rsidRPr="002B0478">
        <w:rPr>
          <w:i/>
        </w:rPr>
        <w:t>Liber de philosophia prima</w:t>
      </w:r>
      <w:r w:rsidRPr="009C1B7A">
        <w:t xml:space="preserve"> V.1</w:t>
      </w:r>
      <w:r>
        <w:rPr>
          <w:lang w:val="cs-CZ"/>
        </w:rPr>
        <w:t xml:space="preserve">; </w:t>
      </w:r>
      <w:r>
        <w:t>ed. Van Riet,</w:t>
      </w:r>
      <w:r w:rsidRPr="009C1B7A">
        <w:t xml:space="preserve"> p. 234</w:t>
      </w:r>
      <w:r>
        <w:t>.58–59</w:t>
      </w:r>
      <w:r>
        <w:rPr>
          <w:rStyle w:val="addmd"/>
          <w:i/>
        </w:rPr>
        <w:fldChar w:fldCharType="begin"/>
      </w:r>
      <w:r>
        <w:instrText xml:space="preserve"> XE "</w:instrText>
      </w:r>
      <w:r>
        <w:rPr>
          <w:lang w:val="cs-CZ"/>
        </w:rPr>
        <w:instrText>Avicenna:</w:instrText>
      </w:r>
      <w:r w:rsidRPr="002B0478">
        <w:rPr>
          <w:i/>
        </w:rPr>
        <w:instrText>Liber de philosophia prima</w:instrText>
      </w:r>
      <w:r>
        <w:instrText xml:space="preserve"> </w:instrText>
      </w:r>
      <w:r w:rsidRPr="009C1B7A">
        <w:instrText>234</w:instrText>
      </w:r>
      <w:r>
        <w:instrText>.58–</w:instrText>
      </w:r>
      <w:r>
        <w:rPr>
          <w:lang w:val="cs-CZ"/>
        </w:rPr>
        <w:instrText>60</w:instrText>
      </w:r>
      <w:r>
        <w:instrText xml:space="preserve">" </w:instrText>
      </w:r>
      <w:r>
        <w:rPr>
          <w:rStyle w:val="addmd"/>
          <w:i/>
        </w:rPr>
        <w:fldChar w:fldCharType="end"/>
      </w:r>
      <w:r>
        <w:t>)</w:t>
      </w:r>
    </w:p>
  </w:footnote>
  <w:footnote w:id="154">
    <w:p w14:paraId="2961FE65" w14:textId="77777777" w:rsidR="00344048" w:rsidRPr="008D767E" w:rsidRDefault="00344048" w:rsidP="00FD257C">
      <w:pPr>
        <w:pStyle w:val="Textpoznpodarou"/>
      </w:pPr>
      <w:r>
        <w:rPr>
          <w:rStyle w:val="Znakapoznpodarou"/>
        </w:rPr>
        <w:footnoteRef/>
      </w:r>
      <w:r>
        <w:t xml:space="preserve"> </w:t>
      </w:r>
      <w:r w:rsidRPr="00933B10">
        <w:rPr>
          <w:sz w:val="24"/>
        </w:rPr>
        <w:t>„</w:t>
      </w:r>
      <w:r w:rsidRPr="00933B10">
        <w:t xml:space="preserve">Et natura dicitur ad modum particularis et ad modum universalis. Sed quae dicitur ad modum particularis, hoc est natura propria uniuscuiusque individui. Sed quae dicitur ad modum universalis, fortassis aut erit universalis considerata ut species, aut </w:t>
      </w:r>
      <w:r w:rsidRPr="009F7A62">
        <w:t>erit universalis absolute</w:t>
      </w:r>
      <w:r>
        <w:t>, et ambae non habet esse in signatis scilicet individuis, nec sunt essentia existentes nisi in intellectu: dico enim quod non habet esse nisi particulare.</w:t>
      </w:r>
      <w:r w:rsidRPr="00933B10">
        <w:t xml:space="preserve">“ </w:t>
      </w:r>
      <w:r>
        <w:t>(</w:t>
      </w:r>
      <w:r w:rsidRPr="00764C3A">
        <w:rPr>
          <w:i/>
        </w:rPr>
        <w:t>Liber primus Naturalium. Tractatus Primus de causis et principiis naturalium</w:t>
      </w:r>
      <w:r>
        <w:rPr>
          <w:lang w:val="cs-CZ"/>
        </w:rPr>
        <w:t>; ed. V</w:t>
      </w:r>
      <w:r>
        <w:t>an Riet</w:t>
      </w:r>
      <w:r w:rsidRPr="00F4179B">
        <w:t xml:space="preserve">, </w:t>
      </w:r>
      <w:r>
        <w:t xml:space="preserve">p. </w:t>
      </w:r>
      <w:r w:rsidRPr="00F4179B">
        <w:t>66</w:t>
      </w:r>
      <w:r>
        <w:t>.29‒35</w:t>
      </w:r>
      <w:r>
        <w:rPr>
          <w:i/>
          <w:lang w:eastAsia="en-US"/>
        </w:rPr>
        <w:fldChar w:fldCharType="begin"/>
      </w:r>
      <w:r>
        <w:instrText xml:space="preserve"> XE "</w:instrText>
      </w:r>
      <w:r w:rsidRPr="00420622">
        <w:instrText>Avicenna</w:instrText>
      </w:r>
      <w:r>
        <w:rPr>
          <w:lang w:val="cs-CZ"/>
        </w:rPr>
        <w:instrText>:</w:instrText>
      </w:r>
      <w:r w:rsidRPr="00764C3A">
        <w:rPr>
          <w:i/>
        </w:rPr>
        <w:instrText>Liber primus Naturalium</w:instrText>
      </w:r>
      <w:r>
        <w:rPr>
          <w:i/>
          <w:lang w:val="cs-CZ"/>
        </w:rPr>
        <w:instrText xml:space="preserve"> </w:instrText>
      </w:r>
      <w:r w:rsidRPr="00F4179B">
        <w:instrText>66</w:instrText>
      </w:r>
      <w:r>
        <w:instrText xml:space="preserve">.29‒35" </w:instrText>
      </w:r>
      <w:r>
        <w:rPr>
          <w:i/>
          <w:lang w:eastAsia="en-US"/>
        </w:rPr>
        <w:fldChar w:fldCharType="end"/>
      </w:r>
      <w:r w:rsidRPr="00F4179B">
        <w:t>).</w:t>
      </w:r>
    </w:p>
  </w:footnote>
  <w:footnote w:id="155">
    <w:p w14:paraId="2F6925FC" w14:textId="77777777" w:rsidR="00344048" w:rsidRPr="0097755D" w:rsidRDefault="00344048" w:rsidP="08164D30">
      <w:pPr>
        <w:pStyle w:val="Textpoznpodarou"/>
      </w:pPr>
      <w:r>
        <w:rPr>
          <w:rStyle w:val="Znakapoznpodarou"/>
        </w:rPr>
        <w:footnoteRef/>
      </w:r>
      <w:r>
        <w:t xml:space="preserve"> „Thus, because only what is expressed by the quiddity as "common nature" will be instanced as such by a random or generic individual (and hence by the species it represents), the quiddity that corresponds to "common nature" has a "divine" existence and participates in the purpose of the divine flow.“ (Lizzini 2003b, 137)</w:t>
      </w:r>
    </w:p>
  </w:footnote>
  <w:footnote w:id="156">
    <w:p w14:paraId="6FE2FE59" w14:textId="77777777" w:rsidR="00344048" w:rsidRPr="081342E4" w:rsidRDefault="00344048">
      <w:pPr>
        <w:pStyle w:val="Textpoznpodarou"/>
      </w:pPr>
      <w:r>
        <w:rPr>
          <w:rStyle w:val="Znakapoznpodarou"/>
        </w:rPr>
        <w:footnoteRef/>
      </w:r>
      <w:r>
        <w:t xml:space="preserve"> </w:t>
      </w:r>
      <w:r>
        <w:rPr>
          <w:rStyle w:val="addmd"/>
        </w:rPr>
        <w:t xml:space="preserve">„Si autem non fuerit hoc propositum et haec coniunctio utriusque, non scietur quid sit res cuius quaerimus intentionem, nec separabitur a comitantia intelligendi ens cum illa ullo modo, quoniam intellectus de ente semper comitabitur illam, quia illa habet esse vel in singularibus vel in aestimatione vel intellectu. Si autem non esset ita, tunc non esset res.“ </w:t>
      </w:r>
      <w:r>
        <w:t>(</w:t>
      </w:r>
      <w:r w:rsidRPr="0074263F">
        <w:rPr>
          <w:i/>
        </w:rPr>
        <w:t>Liber de philosophia prima</w:t>
      </w:r>
      <w:r>
        <w:rPr>
          <w:i/>
        </w:rPr>
        <w:t xml:space="preserve"> </w:t>
      </w:r>
      <w:r>
        <w:t>I.5</w:t>
      </w:r>
      <w:r>
        <w:rPr>
          <w:lang w:val="cs-CZ"/>
        </w:rPr>
        <w:t>;</w:t>
      </w:r>
      <w:r>
        <w:t xml:space="preserve"> ed. Van Riet, p. 36.78–83</w:t>
      </w:r>
      <w:r>
        <w:rPr>
          <w:i/>
          <w:lang w:eastAsia="en-US"/>
        </w:rPr>
        <w:fldChar w:fldCharType="begin"/>
      </w:r>
      <w:r>
        <w:instrText xml:space="preserve"> XE "</w:instrText>
      </w:r>
      <w:r w:rsidRPr="00420622">
        <w:instrText>Avicenna</w:instrText>
      </w:r>
      <w:r>
        <w:rPr>
          <w:lang w:val="cs-CZ"/>
        </w:rPr>
        <w:instrText>:</w:instrText>
      </w:r>
      <w:r w:rsidRPr="002B0478">
        <w:rPr>
          <w:i/>
        </w:rPr>
        <w:instrText>Liber de philosophia prima</w:instrText>
      </w:r>
      <w:r>
        <w:rPr>
          <w:i/>
          <w:lang w:val="cs-CZ"/>
        </w:rPr>
        <w:instrText xml:space="preserve"> </w:instrText>
      </w:r>
      <w:r>
        <w:rPr>
          <w:lang w:val="cs-CZ"/>
        </w:rPr>
        <w:instrText>36.78</w:instrText>
      </w:r>
      <w:r>
        <w:instrText>‒</w:instrText>
      </w:r>
      <w:r>
        <w:rPr>
          <w:lang w:val="cs-CZ"/>
        </w:rPr>
        <w:instrText>83</w:instrText>
      </w:r>
      <w:r>
        <w:instrText xml:space="preserve">" </w:instrText>
      </w:r>
      <w:r>
        <w:rPr>
          <w:i/>
          <w:lang w:eastAsia="en-US"/>
        </w:rPr>
        <w:fldChar w:fldCharType="end"/>
      </w:r>
      <w:r>
        <w:t>)</w:t>
      </w:r>
    </w:p>
  </w:footnote>
  <w:footnote w:id="157">
    <w:p w14:paraId="7244994F" w14:textId="77777777" w:rsidR="00344048" w:rsidRPr="08483A3D" w:rsidRDefault="00344048" w:rsidP="08483A3D">
      <w:pPr>
        <w:pStyle w:val="Textpoznpodarou"/>
      </w:pPr>
      <w:r>
        <w:rPr>
          <w:rStyle w:val="Znakapoznpodarou"/>
        </w:rPr>
        <w:footnoteRef/>
      </w:r>
      <w:r>
        <w:t xml:space="preserve"> „</w:t>
      </w:r>
      <w:r w:rsidRPr="00A35CA2">
        <w:t>Ideo primum subiectum huius scientiae est ens; et ea quae inquirit sunt consequentia ens, inquantum est ens, sine conditione.“ (</w:t>
      </w:r>
      <w:r w:rsidRPr="00312607">
        <w:rPr>
          <w:i/>
        </w:rPr>
        <w:t>Liber de philosophia prima</w:t>
      </w:r>
      <w:r>
        <w:t xml:space="preserve"> I.2</w:t>
      </w:r>
      <w:r>
        <w:rPr>
          <w:lang w:val="cs-CZ"/>
        </w:rPr>
        <w:t>;</w:t>
      </w:r>
      <w:r>
        <w:t xml:space="preserve"> ed. Van Riet, p</w:t>
      </w:r>
      <w:r w:rsidRPr="00A35CA2">
        <w:t>. 12</w:t>
      </w:r>
      <w:r>
        <w:t>.37–</w:t>
      </w:r>
      <w:r w:rsidRPr="00A35CA2">
        <w:t>3</w:t>
      </w:r>
      <w:r>
        <w:t>9</w:t>
      </w:r>
      <w:r>
        <w:rPr>
          <w:i/>
          <w:lang w:eastAsia="en-US"/>
        </w:rPr>
        <w:fldChar w:fldCharType="begin"/>
      </w:r>
      <w:r>
        <w:instrText xml:space="preserve"> XE "</w:instrText>
      </w:r>
      <w:r w:rsidRPr="00420622">
        <w:instrText>Avicenna</w:instrText>
      </w:r>
      <w:r>
        <w:rPr>
          <w:lang w:val="cs-CZ"/>
        </w:rPr>
        <w:instrText>:</w:instrText>
      </w:r>
      <w:r w:rsidRPr="002B0478">
        <w:rPr>
          <w:i/>
        </w:rPr>
        <w:instrText>Liber de philosophia prima</w:instrText>
      </w:r>
      <w:r>
        <w:rPr>
          <w:i/>
          <w:lang w:val="cs-CZ"/>
        </w:rPr>
        <w:instrText xml:space="preserve"> </w:instrText>
      </w:r>
      <w:r w:rsidRPr="00360F13">
        <w:rPr>
          <w:lang w:val="cs-CZ"/>
        </w:rPr>
        <w:instrText>12.37</w:instrText>
      </w:r>
      <w:r w:rsidRPr="00360F13">
        <w:instrText>‒</w:instrText>
      </w:r>
      <w:r w:rsidRPr="00360F13">
        <w:rPr>
          <w:lang w:val="cs-CZ"/>
        </w:rPr>
        <w:instrText>39</w:instrText>
      </w:r>
      <w:r>
        <w:instrText xml:space="preserve">" </w:instrText>
      </w:r>
      <w:r>
        <w:rPr>
          <w:i/>
          <w:lang w:eastAsia="en-US"/>
        </w:rPr>
        <w:fldChar w:fldCharType="end"/>
      </w:r>
      <w:r w:rsidRPr="00A35CA2">
        <w:t>)</w:t>
      </w:r>
    </w:p>
  </w:footnote>
  <w:footnote w:id="158">
    <w:p w14:paraId="4CBA6B00" w14:textId="77777777" w:rsidR="00344048" w:rsidRPr="002B230E" w:rsidRDefault="00344048" w:rsidP="002B230E">
      <w:pPr>
        <w:pStyle w:val="Textpoznpodarou"/>
      </w:pPr>
      <w:r w:rsidRPr="002B230E">
        <w:rPr>
          <w:rStyle w:val="Znakapoznpodarou"/>
        </w:rPr>
        <w:footnoteRef/>
      </w:r>
      <w:r w:rsidRPr="002B230E">
        <w:t xml:space="preserve"> </w:t>
      </w:r>
      <w:r w:rsidRPr="002B230E">
        <w:rPr>
          <w:rStyle w:val="FontStyle129"/>
          <w:rFonts w:ascii="Calibri" w:hAnsi="Calibri"/>
          <w:sz w:val="20"/>
        </w:rPr>
        <w:t>„Ex hoc enim esse nec est genus nec species nec individuum nec unum nec multa, sed ex hoc esse est tantum animal et tantum homo. Sed comitatur illud sine dubio</w:t>
      </w:r>
      <w:r w:rsidRPr="002B230E">
        <w:rPr>
          <w:rStyle w:val="FontStyle129"/>
          <w:rFonts w:ascii="Calibri" w:hAnsi="Calibri"/>
          <w:sz w:val="20"/>
          <w:szCs w:val="20"/>
        </w:rPr>
        <w:t xml:space="preserve"> </w:t>
      </w:r>
      <w:r w:rsidRPr="002B230E">
        <w:rPr>
          <w:rStyle w:val="FontStyle129"/>
          <w:rFonts w:ascii="Calibri" w:hAnsi="Calibri"/>
          <w:sz w:val="20"/>
        </w:rPr>
        <w:t xml:space="preserve">esse unum vel multa, cum impossibile sit aliquid esse et non esse alteram istorum...“ </w:t>
      </w:r>
      <w:r w:rsidRPr="002B230E">
        <w:t>(</w:t>
      </w:r>
      <w:r w:rsidRPr="002B230E">
        <w:rPr>
          <w:i/>
        </w:rPr>
        <w:t>Liber de philosophia prima</w:t>
      </w:r>
      <w:r w:rsidRPr="002B230E">
        <w:t xml:space="preserve"> V.1; ed. Van Riet, p. 234.42–44</w:t>
      </w:r>
      <w:r>
        <w:rPr>
          <w:rStyle w:val="FontStyle129"/>
          <w:rFonts w:ascii="Calibri" w:hAnsi="Calibri"/>
          <w:i/>
          <w:sz w:val="24"/>
        </w:rPr>
        <w:fldChar w:fldCharType="begin"/>
      </w:r>
      <w:r>
        <w:instrText xml:space="preserve"> XE "</w:instrText>
      </w:r>
      <w:r w:rsidRPr="006A0447">
        <w:instrText>Avicenna</w:instrText>
      </w:r>
      <w:r>
        <w:rPr>
          <w:lang w:val="cs-CZ"/>
        </w:rPr>
        <w:instrText>:</w:instrText>
      </w:r>
      <w:r w:rsidRPr="002B230E">
        <w:rPr>
          <w:i/>
        </w:rPr>
        <w:instrText>Liber de philosophia prima</w:instrText>
      </w:r>
      <w:r>
        <w:instrText xml:space="preserve"> </w:instrText>
      </w:r>
      <w:r w:rsidRPr="002B230E">
        <w:instrText>234.42–44</w:instrText>
      </w:r>
      <w:r>
        <w:instrText>"</w:instrText>
      </w:r>
      <w:r>
        <w:rPr>
          <w:rStyle w:val="FontStyle129"/>
          <w:rFonts w:ascii="Calibri" w:hAnsi="Calibri"/>
          <w:i/>
          <w:sz w:val="24"/>
        </w:rPr>
        <w:fldChar w:fldCharType="end"/>
      </w:r>
      <w:r w:rsidRPr="002B230E">
        <w:t>)</w:t>
      </w:r>
    </w:p>
  </w:footnote>
  <w:footnote w:id="159">
    <w:p w14:paraId="405CAA01" w14:textId="77777777" w:rsidR="00344048" w:rsidRPr="087711C1" w:rsidRDefault="00344048" w:rsidP="00D95BBD">
      <w:pPr>
        <w:pStyle w:val="Textpoznpodarou"/>
      </w:pPr>
      <w:r>
        <w:rPr>
          <w:rStyle w:val="Znakapoznpodarou"/>
        </w:rPr>
        <w:footnoteRef/>
      </w:r>
      <w:r>
        <w:t xml:space="preserve"> „</w:t>
      </w:r>
      <w:r>
        <w:rPr>
          <w:lang w:val="cs-CZ"/>
        </w:rPr>
        <w:t>A</w:t>
      </w:r>
      <w:r>
        <w:t>d certitudinem vero ipsum essendi corpus, et ad sciendum nos illud esse corpus, non eget ut sit finitum. Finitio enim accidentale est ei et comitans. Et ideo ad imaginandum corpus non est necesse imaginari corpus finitum; qui autem imaginat corpus infinitum non imaginat corpus non corpus, nec imaginat privationem finitionis nisi qui imaginat corpus.“ (</w:t>
      </w:r>
      <w:r w:rsidRPr="0074263F">
        <w:rPr>
          <w:i/>
        </w:rPr>
        <w:t>Liber de philosophia prima</w:t>
      </w:r>
      <w:r>
        <w:rPr>
          <w:i/>
        </w:rPr>
        <w:t xml:space="preserve"> </w:t>
      </w:r>
      <w:r>
        <w:t>I</w:t>
      </w:r>
      <w:r>
        <w:rPr>
          <w:lang w:val="cs-CZ"/>
        </w:rPr>
        <w:t>I</w:t>
      </w:r>
      <w:r>
        <w:t>.2</w:t>
      </w:r>
      <w:r>
        <w:rPr>
          <w:lang w:val="cs-CZ"/>
        </w:rPr>
        <w:t>;</w:t>
      </w:r>
      <w:r>
        <w:t xml:space="preserve"> ed. Van Riet, p</w:t>
      </w:r>
      <w:r>
        <w:rPr>
          <w:lang w:val="cs-CZ"/>
        </w:rPr>
        <w:t>p</w:t>
      </w:r>
      <w:r>
        <w:t>. 70.14–71.18</w:t>
      </w:r>
      <w:r>
        <w:fldChar w:fldCharType="begin"/>
      </w:r>
      <w:r>
        <w:instrText xml:space="preserve"> XE "</w:instrText>
      </w:r>
      <w:r>
        <w:rPr>
          <w:lang w:val="cs-CZ"/>
        </w:rPr>
        <w:instrText>Avicenna:</w:instrText>
      </w:r>
      <w:r w:rsidRPr="008D504B">
        <w:rPr>
          <w:i/>
        </w:rPr>
        <w:instrText xml:space="preserve">Liber de philosophia prima </w:instrText>
      </w:r>
      <w:r w:rsidRPr="008D504B">
        <w:instrText>70.14–71.18</w:instrText>
      </w:r>
      <w:r>
        <w:instrText xml:space="preserve">" </w:instrText>
      </w:r>
      <w:r>
        <w:fldChar w:fldCharType="end"/>
      </w:r>
      <w:r>
        <w:t>)</w:t>
      </w:r>
    </w:p>
  </w:footnote>
  <w:footnote w:id="160">
    <w:p w14:paraId="3DF2CE7E" w14:textId="77777777" w:rsidR="00344048" w:rsidRPr="08CC0348" w:rsidRDefault="00344048" w:rsidP="00D95BBD">
      <w:pPr>
        <w:pStyle w:val="Textpoznpodarou"/>
      </w:pPr>
      <w:r>
        <w:rPr>
          <w:rStyle w:val="Znakapoznpodarou"/>
        </w:rPr>
        <w:footnoteRef/>
      </w:r>
      <w:r>
        <w:t xml:space="preserve"> „Nostra autem dictio, scilicet </w:t>
      </w:r>
      <w:r w:rsidRPr="00B404F5">
        <w:rPr>
          <w:i/>
        </w:rPr>
        <w:t>est</w:t>
      </w:r>
      <w:r>
        <w:t>, continet in se designationem.“ (</w:t>
      </w:r>
      <w:r w:rsidRPr="0074263F">
        <w:rPr>
          <w:i/>
        </w:rPr>
        <w:t>Liber de philosophia prima</w:t>
      </w:r>
      <w:r>
        <w:t xml:space="preserve"> I.5</w:t>
      </w:r>
      <w:r>
        <w:rPr>
          <w:lang w:val="cs-CZ"/>
        </w:rPr>
        <w:t>;</w:t>
      </w:r>
      <w:r>
        <w:t xml:space="preserve"> </w:t>
      </w:r>
      <w:r>
        <w:rPr>
          <w:noProof/>
        </w:rPr>
        <w:t>ed. Van Riet</w:t>
      </w:r>
      <w:r>
        <w:rPr>
          <w:lang w:val="cs-CZ"/>
        </w:rPr>
        <w:t xml:space="preserve">, p. </w:t>
      </w:r>
      <w:r>
        <w:t>37.</w:t>
      </w:r>
      <w:r w:rsidRPr="00655B37">
        <w:t>95</w:t>
      </w:r>
      <w:r>
        <w:rPr>
          <w:rFonts w:eastAsia="NewAster"/>
        </w:rPr>
        <w:fldChar w:fldCharType="begin"/>
      </w:r>
      <w:r>
        <w:instrText xml:space="preserve"> XE "</w:instrText>
      </w:r>
      <w:r>
        <w:rPr>
          <w:lang w:val="cs-CZ"/>
        </w:rPr>
        <w:instrText>Avicenna:</w:instrText>
      </w:r>
      <w:r w:rsidRPr="0074263F">
        <w:rPr>
          <w:i/>
        </w:rPr>
        <w:instrText>Liber de philosophia prima</w:instrText>
      </w:r>
      <w:r>
        <w:instrText xml:space="preserve"> 37.</w:instrText>
      </w:r>
      <w:r w:rsidRPr="00655B37">
        <w:instrText>95</w:instrText>
      </w:r>
      <w:r>
        <w:instrText xml:space="preserve">" </w:instrText>
      </w:r>
      <w:r>
        <w:rPr>
          <w:rFonts w:eastAsia="NewAster"/>
        </w:rPr>
        <w:fldChar w:fldCharType="end"/>
      </w:r>
      <w:r>
        <w:t>).</w:t>
      </w:r>
    </w:p>
  </w:footnote>
  <w:footnote w:id="161">
    <w:p w14:paraId="26E8815B" w14:textId="77777777" w:rsidR="00344048" w:rsidRPr="00317FE1" w:rsidRDefault="00344048" w:rsidP="00D95BBD">
      <w:pPr>
        <w:pStyle w:val="Textpoznpodarou"/>
        <w:rPr>
          <w:noProof/>
          <w:lang w:val="cs-CZ"/>
        </w:rPr>
      </w:pPr>
      <w:r>
        <w:rPr>
          <w:rStyle w:val="Znakapoznpodarou"/>
        </w:rPr>
        <w:footnoteRef/>
      </w:r>
      <w:r>
        <w:t xml:space="preserve"> </w:t>
      </w:r>
      <w:r w:rsidRPr="00273106">
        <w:rPr>
          <w:rStyle w:val="addmd"/>
          <w:noProof/>
          <w:lang w:val="cs-CZ"/>
        </w:rPr>
        <w:t>„</w:t>
      </w:r>
      <w:r w:rsidRPr="00273106">
        <w:rPr>
          <w:noProof/>
        </w:rPr>
        <w:t>Sic igitur oportet intelligi corpus: quod ipsum est substantia cuius haec est forma qua est id quod est.“ (</w:t>
      </w:r>
      <w:r w:rsidRPr="00317FE1">
        <w:rPr>
          <w:i/>
          <w:noProof/>
        </w:rPr>
        <w:t>Liber de philosophia prima</w:t>
      </w:r>
      <w:r>
        <w:rPr>
          <w:noProof/>
        </w:rPr>
        <w:t xml:space="preserve"> I</w:t>
      </w:r>
      <w:r>
        <w:rPr>
          <w:noProof/>
          <w:lang w:val="cs-CZ"/>
        </w:rPr>
        <w:t>I</w:t>
      </w:r>
      <w:r w:rsidRPr="00273106">
        <w:rPr>
          <w:noProof/>
        </w:rPr>
        <w:t>.2</w:t>
      </w:r>
      <w:r>
        <w:rPr>
          <w:noProof/>
          <w:lang w:val="cs-CZ"/>
        </w:rPr>
        <w:t>;</w:t>
      </w:r>
      <w:r w:rsidRPr="00273106">
        <w:rPr>
          <w:noProof/>
        </w:rPr>
        <w:t xml:space="preserve"> </w:t>
      </w:r>
      <w:r>
        <w:rPr>
          <w:noProof/>
        </w:rPr>
        <w:t>ed. Van Riet</w:t>
      </w:r>
      <w:r w:rsidRPr="00273106">
        <w:rPr>
          <w:noProof/>
        </w:rPr>
        <w:t xml:space="preserve">, </w:t>
      </w:r>
      <w:r>
        <w:rPr>
          <w:noProof/>
          <w:lang w:val="cs-CZ"/>
        </w:rPr>
        <w:t xml:space="preserve">p. </w:t>
      </w:r>
      <w:r w:rsidRPr="00273106">
        <w:rPr>
          <w:noProof/>
        </w:rPr>
        <w:t>72.47–48</w:t>
      </w:r>
      <w:r>
        <w:rPr>
          <w:rFonts w:eastAsia="NewAster"/>
        </w:rPr>
        <w:fldChar w:fldCharType="begin"/>
      </w:r>
      <w:r>
        <w:instrText xml:space="preserve"> XE "</w:instrText>
      </w:r>
      <w:r>
        <w:rPr>
          <w:lang w:val="cs-CZ"/>
        </w:rPr>
        <w:instrText>Avicenna:</w:instrText>
      </w:r>
      <w:r w:rsidRPr="0074263F">
        <w:rPr>
          <w:i/>
        </w:rPr>
        <w:instrText>Liber de philosophia prima</w:instrText>
      </w:r>
      <w:r>
        <w:instrText xml:space="preserve"> 7</w:instrText>
      </w:r>
      <w:r>
        <w:rPr>
          <w:lang w:val="cs-CZ"/>
        </w:rPr>
        <w:instrText>2</w:instrText>
      </w:r>
      <w:r>
        <w:instrText>.</w:instrText>
      </w:r>
      <w:r>
        <w:rPr>
          <w:lang w:val="cs-CZ"/>
        </w:rPr>
        <w:instrText>47‒48</w:instrText>
      </w:r>
      <w:r>
        <w:instrText xml:space="preserve">" </w:instrText>
      </w:r>
      <w:r>
        <w:rPr>
          <w:rFonts w:eastAsia="NewAster"/>
        </w:rPr>
        <w:fldChar w:fldCharType="end"/>
      </w:r>
      <w:r w:rsidRPr="00273106">
        <w:rPr>
          <w:noProof/>
        </w:rPr>
        <w:t>)</w:t>
      </w:r>
    </w:p>
  </w:footnote>
  <w:footnote w:id="162">
    <w:p w14:paraId="40B741C5" w14:textId="77777777" w:rsidR="00344048" w:rsidRPr="00CB14AF" w:rsidRDefault="00344048" w:rsidP="00D95BBD">
      <w:pPr>
        <w:pStyle w:val="Textpoznpodarou"/>
      </w:pPr>
      <w:r>
        <w:rPr>
          <w:rStyle w:val="Znakapoznpodarou"/>
        </w:rPr>
        <w:footnoteRef/>
      </w:r>
      <w:r>
        <w:t xml:space="preserve"> „Avicenna'</w:t>
      </w:r>
      <w:r>
        <w:rPr>
          <w:lang w:val="cs-CZ"/>
        </w:rPr>
        <w:t xml:space="preserve">s reluctance to acknowledge this openly may stem in part from the fact, that he </w:t>
      </w:r>
      <w:r w:rsidRPr="00CB14AF">
        <w:t>entertains two models of matter: one of matter as pure</w:t>
      </w:r>
      <w:r>
        <w:t xml:space="preserve"> </w:t>
      </w:r>
      <w:r w:rsidRPr="00CB14AF">
        <w:t>receptivity, a mere receptacle of forms, that mirrors them faithfully</w:t>
      </w:r>
      <w:r>
        <w:rPr>
          <w:lang w:val="cs-CZ"/>
        </w:rPr>
        <w:t xml:space="preserve"> so that knowledge of these forms, or their knowledge of themselves, is tantamount to knowledge of the matter too; </w:t>
      </w:r>
      <w:r w:rsidRPr="00CB14AF">
        <w:t>and</w:t>
      </w:r>
      <w:r>
        <w:t xml:space="preserve"> </w:t>
      </w:r>
      <w:r w:rsidRPr="00CB14AF">
        <w:t>the other of matter as a real principle of being, the source of chance</w:t>
      </w:r>
      <w:r>
        <w:t xml:space="preserve"> </w:t>
      </w:r>
      <w:r w:rsidRPr="00CB14AF">
        <w:t>and privation/evil, unknowable in itself and hence unpredictable in its</w:t>
      </w:r>
      <w:r>
        <w:t xml:space="preserve"> </w:t>
      </w:r>
      <w:r w:rsidRPr="00CB14AF">
        <w:t>relation to form.</w:t>
      </w:r>
      <w:r>
        <w:t>“ (Ivry 1984, 167)</w:t>
      </w:r>
    </w:p>
  </w:footnote>
  <w:footnote w:id="163">
    <w:p w14:paraId="516307DE" w14:textId="77777777" w:rsidR="00344048" w:rsidRPr="083E67EA" w:rsidRDefault="00344048" w:rsidP="00D95BBD">
      <w:pPr>
        <w:pStyle w:val="Textpoznpodarou"/>
      </w:pPr>
      <w:r>
        <w:rPr>
          <w:rStyle w:val="Znakapoznpodarou"/>
        </w:rPr>
        <w:footnoteRef/>
      </w:r>
      <w:r>
        <w:t xml:space="preserve"> „Si enim necesse esset illud esse vel caelum vel in caelo, manifestum est tamen ex hoc quod, ad hoc ut ipsum sit corpus in effectu, non est necesse esse in corpore tres dimensiones in effectu secundum praedictos modos trium dimensionum.“ (</w:t>
      </w:r>
      <w:r w:rsidRPr="0074263F">
        <w:rPr>
          <w:i/>
        </w:rPr>
        <w:t>Liber de philosophia prima</w:t>
      </w:r>
      <w:r>
        <w:rPr>
          <w:i/>
        </w:rPr>
        <w:t xml:space="preserve"> </w:t>
      </w:r>
      <w:r>
        <w:t>I</w:t>
      </w:r>
      <w:r>
        <w:rPr>
          <w:lang w:val="cs-CZ"/>
        </w:rPr>
        <w:t>I</w:t>
      </w:r>
      <w:r>
        <w:t>.2</w:t>
      </w:r>
      <w:r>
        <w:rPr>
          <w:lang w:val="cs-CZ"/>
        </w:rPr>
        <w:t>;</w:t>
      </w:r>
      <w:r>
        <w:t xml:space="preserve"> ed. Van Riet, p. 71.30–33</w:t>
      </w:r>
      <w:r>
        <w:rPr>
          <w:rFonts w:eastAsia="NewAster"/>
        </w:rPr>
        <w:fldChar w:fldCharType="begin"/>
      </w:r>
      <w:r>
        <w:instrText xml:space="preserve"> XE "</w:instrText>
      </w:r>
      <w:r>
        <w:rPr>
          <w:lang w:val="cs-CZ"/>
        </w:rPr>
        <w:instrText>Avicenna:</w:instrText>
      </w:r>
      <w:r w:rsidRPr="0074263F">
        <w:rPr>
          <w:i/>
        </w:rPr>
        <w:instrText>Liber de philosophia prima</w:instrText>
      </w:r>
      <w:r>
        <w:instrText xml:space="preserve"> 7</w:instrText>
      </w:r>
      <w:r>
        <w:rPr>
          <w:lang w:val="cs-CZ"/>
        </w:rPr>
        <w:instrText>1</w:instrText>
      </w:r>
      <w:r>
        <w:instrText>.</w:instrText>
      </w:r>
      <w:r>
        <w:rPr>
          <w:lang w:val="cs-CZ"/>
        </w:rPr>
        <w:instrText>30‒33</w:instrText>
      </w:r>
      <w:r>
        <w:instrText xml:space="preserve">" </w:instrText>
      </w:r>
      <w:r>
        <w:rPr>
          <w:rFonts w:eastAsia="NewAster"/>
        </w:rPr>
        <w:fldChar w:fldCharType="end"/>
      </w:r>
      <w:r>
        <w:t>)</w:t>
      </w:r>
    </w:p>
  </w:footnote>
  <w:footnote w:id="164">
    <w:p w14:paraId="26A7D038" w14:textId="77777777" w:rsidR="00344048" w:rsidRPr="00133315" w:rsidRDefault="00344048" w:rsidP="00622CE8">
      <w:pPr>
        <w:pStyle w:val="Textpoznpodarou"/>
      </w:pPr>
      <w:r>
        <w:rPr>
          <w:rStyle w:val="Znakapoznpodarou"/>
        </w:rPr>
        <w:footnoteRef/>
      </w:r>
      <w:r>
        <w:t xml:space="preserve"> „Unde, si quis interrogavit an humanitas quae est in Platone, ex hoc quod est humanitas, sit alia ab illa quae est in Socrate et necessario dixerimus non, non oportebit consentire ei ut dicat : «ergo haec et illa sunt una numero», quoniam negatio illa absoluta fuit et intelleximus in ea quod illa humanitas, ex hoc quod est humanitas, est humanitas tantum, sed ex hoc quod ipsa est alia ab humanitate quae est in Socrate quiddam extrinsecum est. Ipse vero non interrogavit de humanitate nisi ex hoc quod est humanitas.“ (</w:t>
      </w:r>
      <w:r w:rsidRPr="002B0478">
        <w:rPr>
          <w:i/>
        </w:rPr>
        <w:t>Liber de philosophia prima</w:t>
      </w:r>
      <w:r>
        <w:t>, V.1</w:t>
      </w:r>
      <w:r>
        <w:rPr>
          <w:lang w:val="cs-CZ"/>
        </w:rPr>
        <w:t xml:space="preserve">; </w:t>
      </w:r>
      <w:r>
        <w:t>ed. Van Riet, p. 231.74–81</w:t>
      </w:r>
      <w:r>
        <w:rPr>
          <w:i/>
          <w:lang w:eastAsia="en-US"/>
        </w:rPr>
        <w:fldChar w:fldCharType="begin"/>
      </w:r>
      <w:r>
        <w:instrText xml:space="preserve"> XE "</w:instrText>
      </w:r>
      <w:r w:rsidRPr="00420622">
        <w:instrText>Avicenna</w:instrText>
      </w:r>
      <w:r>
        <w:rPr>
          <w:lang w:val="cs-CZ"/>
        </w:rPr>
        <w:instrText>:</w:instrText>
      </w:r>
      <w:r w:rsidRPr="002B0478">
        <w:rPr>
          <w:i/>
        </w:rPr>
        <w:instrText>Liber de philosophia prima</w:instrText>
      </w:r>
      <w:r>
        <w:rPr>
          <w:i/>
          <w:lang w:val="cs-CZ"/>
        </w:rPr>
        <w:instrText xml:space="preserve"> </w:instrText>
      </w:r>
      <w:r>
        <w:instrText xml:space="preserve">231.74–81" </w:instrText>
      </w:r>
      <w:r>
        <w:rPr>
          <w:i/>
          <w:lang w:eastAsia="en-US"/>
        </w:rPr>
        <w:fldChar w:fldCharType="end"/>
      </w:r>
      <w:r>
        <w:t>)</w:t>
      </w:r>
    </w:p>
  </w:footnote>
  <w:footnote w:id="165">
    <w:p w14:paraId="04357693" w14:textId="77777777" w:rsidR="00344048" w:rsidRPr="082F35AB" w:rsidRDefault="00344048" w:rsidP="08207467">
      <w:pPr>
        <w:pStyle w:val="Textpoznpodarou"/>
      </w:pPr>
      <w:r>
        <w:rPr>
          <w:rStyle w:val="Znakapoznpodarou"/>
        </w:rPr>
        <w:footnoteRef/>
      </w:r>
      <w:r>
        <w:t xml:space="preserve"> </w:t>
      </w:r>
      <w:r w:rsidRPr="00BD509E">
        <w:t>„</w:t>
      </w:r>
      <w:r w:rsidRPr="00445ACB">
        <w:t>Veritas autem quae adaequatur rei, illa est certa</w:t>
      </w:r>
      <w:r>
        <w:t>, sed est certa, ut puto, respectu suae comparationis ad rem, et est veritas respectu comparationis rei ad ipsam.“ (</w:t>
      </w:r>
      <w:r w:rsidRPr="009F4F19">
        <w:rPr>
          <w:rStyle w:val="FontStyle129"/>
          <w:rFonts w:ascii="Calibri" w:hAnsi="Calibri"/>
          <w:i/>
          <w:sz w:val="20"/>
        </w:rPr>
        <w:t>Liber de Philosophia prima</w:t>
      </w:r>
      <w:r>
        <w:rPr>
          <w:rStyle w:val="FontStyle129"/>
          <w:rFonts w:ascii="Calibri" w:hAnsi="Calibri"/>
          <w:sz w:val="20"/>
        </w:rPr>
        <w:t xml:space="preserve"> </w:t>
      </w:r>
      <w:r>
        <w:t>1.8, ed. </w:t>
      </w:r>
      <w:r w:rsidRPr="00BD509E">
        <w:t>Van Riet, p</w:t>
      </w:r>
      <w:r>
        <w:t>p</w:t>
      </w:r>
      <w:r w:rsidRPr="00BD509E">
        <w:t>. 55</w:t>
      </w:r>
      <w:r>
        <w:t>.64‒56.66</w:t>
      </w:r>
      <w:r>
        <w:rPr>
          <w:i/>
          <w:lang w:eastAsia="en-US"/>
        </w:rPr>
        <w:fldChar w:fldCharType="begin"/>
      </w:r>
      <w:r>
        <w:instrText xml:space="preserve"> XE "</w:instrText>
      </w:r>
      <w:r w:rsidRPr="00420622">
        <w:instrText>Avicenna</w:instrText>
      </w:r>
      <w:r>
        <w:rPr>
          <w:lang w:val="cs-CZ"/>
        </w:rPr>
        <w:instrText>:</w:instrText>
      </w:r>
      <w:r w:rsidRPr="002B0478">
        <w:rPr>
          <w:i/>
        </w:rPr>
        <w:instrText>Liber de philosophia prima</w:instrText>
      </w:r>
      <w:r>
        <w:rPr>
          <w:i/>
          <w:lang w:val="cs-CZ"/>
        </w:rPr>
        <w:instrText xml:space="preserve"> </w:instrText>
      </w:r>
      <w:r w:rsidRPr="00BD509E">
        <w:instrText>55</w:instrText>
      </w:r>
      <w:r>
        <w:instrText xml:space="preserve">.64‒56.66" </w:instrText>
      </w:r>
      <w:r>
        <w:rPr>
          <w:i/>
          <w:lang w:eastAsia="en-US"/>
        </w:rPr>
        <w:fldChar w:fldCharType="end"/>
      </w:r>
      <w:r w:rsidRPr="00BD509E">
        <w:t>)</w:t>
      </w:r>
    </w:p>
  </w:footnote>
  <w:footnote w:id="166">
    <w:p w14:paraId="12128F11" w14:textId="77777777" w:rsidR="00344048" w:rsidRPr="08690C59" w:rsidRDefault="00344048" w:rsidP="088763AB">
      <w:pPr>
        <w:pStyle w:val="Textpoznpodarou"/>
      </w:pPr>
      <w:r>
        <w:rPr>
          <w:rStyle w:val="Znakapoznpodarou"/>
        </w:rPr>
        <w:footnoteRef/>
      </w:r>
      <w:r>
        <w:t xml:space="preserve"> „Sicut enim haec scientia est principium essendi illas, sic scientia huius est principium certitudinis sciendi illas.“ (</w:t>
      </w:r>
      <w:r w:rsidRPr="009F4F19">
        <w:rPr>
          <w:rStyle w:val="FontStyle129"/>
          <w:rFonts w:ascii="Calibri" w:hAnsi="Calibri"/>
          <w:i/>
          <w:sz w:val="20"/>
        </w:rPr>
        <w:t>Liber de Philosophia prima</w:t>
      </w:r>
      <w:r>
        <w:rPr>
          <w:rStyle w:val="FontStyle129"/>
          <w:rFonts w:ascii="Calibri" w:hAnsi="Calibri"/>
          <w:sz w:val="20"/>
        </w:rPr>
        <w:t xml:space="preserve"> </w:t>
      </w:r>
      <w:r>
        <w:t>I.3</w:t>
      </w:r>
      <w:r>
        <w:rPr>
          <w:lang w:val="cs-CZ"/>
        </w:rPr>
        <w:t>;</w:t>
      </w:r>
      <w:r>
        <w:t xml:space="preserve"> ed. </w:t>
      </w:r>
      <w:r w:rsidRPr="00BD509E">
        <w:t>Van Riet</w:t>
      </w:r>
      <w:r>
        <w:t>, p. 20.74‒76</w:t>
      </w:r>
      <w:r>
        <w:rPr>
          <w:i/>
          <w:lang w:eastAsia="en-US"/>
        </w:rPr>
        <w:fldChar w:fldCharType="begin"/>
      </w:r>
      <w:r>
        <w:instrText xml:space="preserve"> XE "</w:instrText>
      </w:r>
      <w:r w:rsidRPr="00420622">
        <w:instrText>Avicenna</w:instrText>
      </w:r>
      <w:r>
        <w:rPr>
          <w:lang w:val="cs-CZ"/>
        </w:rPr>
        <w:instrText>:</w:instrText>
      </w:r>
      <w:r w:rsidRPr="002B0478">
        <w:rPr>
          <w:i/>
        </w:rPr>
        <w:instrText>Liber de philosophia prima</w:instrText>
      </w:r>
      <w:r>
        <w:rPr>
          <w:i/>
          <w:lang w:val="cs-CZ"/>
        </w:rPr>
        <w:instrText xml:space="preserve"> </w:instrText>
      </w:r>
      <w:r>
        <w:rPr>
          <w:lang w:val="cs-CZ"/>
        </w:rPr>
        <w:instrText>20.7</w:instrText>
      </w:r>
      <w:r>
        <w:instrText>4‒</w:instrText>
      </w:r>
      <w:r>
        <w:rPr>
          <w:lang w:val="cs-CZ"/>
        </w:rPr>
        <w:instrText>7</w:instrText>
      </w:r>
      <w:r>
        <w:instrText xml:space="preserve">6" </w:instrText>
      </w:r>
      <w:r>
        <w:rPr>
          <w:i/>
          <w:lang w:eastAsia="en-US"/>
        </w:rPr>
        <w:fldChar w:fldCharType="end"/>
      </w:r>
      <w:r>
        <w:t>).</w:t>
      </w:r>
    </w:p>
  </w:footnote>
  <w:footnote w:id="167">
    <w:p w14:paraId="6D073259" w14:textId="77777777" w:rsidR="00344048" w:rsidRPr="0029607E" w:rsidRDefault="00344048" w:rsidP="00BD729B">
      <w:pPr>
        <w:pStyle w:val="Textpoznpodarou"/>
      </w:pPr>
      <w:r>
        <w:rPr>
          <w:rStyle w:val="Znakapoznpodarou"/>
        </w:rPr>
        <w:footnoteRef/>
      </w:r>
      <w:r w:rsidRPr="00D0625A">
        <w:t xml:space="preserve"> </w:t>
      </w:r>
      <w:r w:rsidRPr="0029607E">
        <w:rPr>
          <w:rStyle w:val="FontStyle129"/>
          <w:rFonts w:ascii="Calibri" w:hAnsi="Calibri"/>
          <w:sz w:val="20"/>
        </w:rPr>
        <w:t>„</w:t>
      </w:r>
      <w:r w:rsidRPr="0029607E">
        <w:rPr>
          <w:spacing w:val="-1"/>
          <w:lang w:val="it-IT"/>
        </w:rPr>
        <w:t xml:space="preserve">Anima </w:t>
      </w:r>
      <w:r w:rsidRPr="0029607E">
        <w:rPr>
          <w:spacing w:val="-1"/>
        </w:rPr>
        <w:t xml:space="preserve">autem </w:t>
      </w:r>
      <w:r w:rsidRPr="0029607E">
        <w:rPr>
          <w:spacing w:val="-1"/>
          <w:lang w:val="it-IT"/>
        </w:rPr>
        <w:t xml:space="preserve">intelligit </w:t>
      </w:r>
      <w:r w:rsidRPr="0029607E">
        <w:rPr>
          <w:spacing w:val="-1"/>
        </w:rPr>
        <w:t xml:space="preserve">seipsam, </w:t>
      </w:r>
      <w:r w:rsidRPr="0029607E">
        <w:rPr>
          <w:spacing w:val="-1"/>
          <w:lang w:val="it-IT"/>
        </w:rPr>
        <w:t xml:space="preserve">et </w:t>
      </w:r>
      <w:r w:rsidRPr="0029607E">
        <w:rPr>
          <w:spacing w:val="-1"/>
        </w:rPr>
        <w:t xml:space="preserve">hoc quod </w:t>
      </w:r>
      <w:r w:rsidRPr="0029607E">
        <w:rPr>
          <w:spacing w:val="-1"/>
          <w:lang w:val="it-IT"/>
        </w:rPr>
        <w:t xml:space="preserve">intelligit seipsam, facit </w:t>
      </w:r>
      <w:r w:rsidRPr="0029607E">
        <w:t xml:space="preserve">eam </w:t>
      </w:r>
      <w:r w:rsidRPr="0029607E">
        <w:rPr>
          <w:lang w:val="it-IT"/>
        </w:rPr>
        <w:t xml:space="preserve">intelligere se esse et </w:t>
      </w:r>
      <w:r w:rsidRPr="0029607E">
        <w:t xml:space="preserve">intelligentem et </w:t>
      </w:r>
      <w:r w:rsidRPr="0029607E">
        <w:rPr>
          <w:lang w:val="it-IT"/>
        </w:rPr>
        <w:t xml:space="preserve">intellectam et intellectum; in eo vero quod intelligit ceteras </w:t>
      </w:r>
      <w:r w:rsidRPr="0029607E">
        <w:t xml:space="preserve">formas </w:t>
      </w:r>
      <w:r>
        <w:rPr>
          <w:lang w:val="it-IT"/>
        </w:rPr>
        <w:t>non ita facit</w:t>
      </w:r>
      <w:r w:rsidRPr="0029607E">
        <w:t xml:space="preserve">: </w:t>
      </w:r>
      <w:r w:rsidRPr="0029607E">
        <w:rPr>
          <w:lang w:val="it-IT"/>
        </w:rPr>
        <w:t xml:space="preserve">ipsae enim per se in </w:t>
      </w:r>
      <w:r w:rsidRPr="0029607E">
        <w:t xml:space="preserve">corpore sunt semper </w:t>
      </w:r>
      <w:r w:rsidRPr="0029607E">
        <w:rPr>
          <w:lang w:val="it-IT"/>
        </w:rPr>
        <w:t>et in potentia in intellectu, quamvis in aliquibus rebus exeant ad effectum.”</w:t>
      </w:r>
      <w:r w:rsidRPr="0029607E">
        <w:t xml:space="preserve"> (</w:t>
      </w:r>
      <w:r w:rsidRPr="00170108">
        <w:rPr>
          <w:i/>
        </w:rPr>
        <w:t>Liber de anima</w:t>
      </w:r>
      <w:r w:rsidRPr="00180E63">
        <w:t xml:space="preserve"> </w:t>
      </w:r>
      <w:r w:rsidRPr="0029607E">
        <w:t>V.6</w:t>
      </w:r>
      <w:r>
        <w:rPr>
          <w:lang w:val="cs-CZ"/>
        </w:rPr>
        <w:t xml:space="preserve">; </w:t>
      </w:r>
      <w:r>
        <w:t>ed. Van Riet,</w:t>
      </w:r>
      <w:r>
        <w:rPr>
          <w:lang w:val="cs-CZ"/>
        </w:rPr>
        <w:t xml:space="preserve"> </w:t>
      </w:r>
      <w:r>
        <w:t>p. 134.45–49</w:t>
      </w:r>
      <w:r>
        <w:fldChar w:fldCharType="begin"/>
      </w:r>
      <w:r>
        <w:instrText xml:space="preserve"> XE "</w:instrText>
      </w:r>
      <w:r>
        <w:rPr>
          <w:lang w:val="cs-CZ"/>
        </w:rPr>
        <w:instrText>Avicenna:</w:instrText>
      </w:r>
      <w:r w:rsidRPr="00887E66">
        <w:rPr>
          <w:i/>
        </w:rPr>
        <w:instrText>Liber de anima</w:instrText>
      </w:r>
      <w:r w:rsidRPr="00887E66">
        <w:instrText xml:space="preserve"> 134.45–49</w:instrText>
      </w:r>
      <w:r>
        <w:instrText xml:space="preserve">" </w:instrText>
      </w:r>
      <w:r>
        <w:fldChar w:fldCharType="end"/>
      </w:r>
      <w:r w:rsidRPr="0029607E">
        <w:t>)</w:t>
      </w:r>
    </w:p>
  </w:footnote>
  <w:footnote w:id="168">
    <w:p w14:paraId="482382DB" w14:textId="77777777" w:rsidR="00344048" w:rsidRPr="000241CA" w:rsidRDefault="00344048" w:rsidP="08445B31">
      <w:pPr>
        <w:pStyle w:val="Textpoznpodarou"/>
        <w:rPr>
          <w:lang w:val="cs-CZ"/>
        </w:rPr>
      </w:pPr>
      <w:r>
        <w:rPr>
          <w:rStyle w:val="Znakapoznpodarou"/>
        </w:rPr>
        <w:footnoteRef/>
      </w:r>
      <w:r>
        <w:t xml:space="preserve"> </w:t>
      </w:r>
      <w:r>
        <w:rPr>
          <w:lang w:val="cs-CZ"/>
        </w:rPr>
        <w:t>„</w:t>
      </w:r>
      <w:r w:rsidRPr="000241CA">
        <w:t>Every time I was at a loss about a problem, concerning which I was unable to find the middle term in a syllogism, I would repair on its account to the mosque and worship, praying humbly to the All-Creator to disclose to me its obscu</w:t>
      </w:r>
      <w:r w:rsidRPr="000241CA">
        <w:softHyphen/>
        <w:t xml:space="preserve">rity and make its difficulty easy. At night I would return home, set the lamp before me and occupy myself with reading and writing. Whenever I felt drowsy or weakening, I would turn aside to drink a cup of wine to regain my strength and then I would go back to my reading. Whenever I fell asleep, I would see those very problems </w:t>
      </w:r>
      <w:r>
        <w:t>in my dream; an</w:t>
      </w:r>
      <w:r w:rsidRPr="000241CA">
        <w:t>d many problems became clear to me while asleep</w:t>
      </w:r>
      <w:r w:rsidRPr="000241CA">
        <w:rPr>
          <w:rStyle w:val="Zkladntextdkovn0pt"/>
          <w:rFonts w:ascii="Calibri" w:hAnsi="Calibri" w:cs="Times New Roman"/>
          <w:color w:val="auto"/>
          <w:spacing w:val="0"/>
          <w:sz w:val="20"/>
          <w:u w:val="none"/>
          <w:lang w:val="x-none"/>
        </w:rPr>
        <w:t>.</w:t>
      </w:r>
      <w:r>
        <w:rPr>
          <w:rStyle w:val="Zkladntextdkovn0pt"/>
          <w:rFonts w:ascii="Calibri" w:hAnsi="Calibri" w:cs="Times New Roman"/>
          <w:color w:val="auto"/>
          <w:spacing w:val="0"/>
          <w:sz w:val="20"/>
          <w:u w:val="none"/>
          <w:lang w:val="cs-CZ"/>
        </w:rPr>
        <w:t>“ (</w:t>
      </w:r>
      <w:r w:rsidRPr="0040766B">
        <w:t>Avicenna</w:t>
      </w:r>
      <w:r w:rsidRPr="000241CA">
        <w:rPr>
          <w:i/>
        </w:rPr>
        <w:t>, The Life of Ibn S</w:t>
      </w:r>
      <w:r w:rsidRPr="000241CA">
        <w:rPr>
          <w:rFonts w:eastAsia="Islamv2-Italic"/>
          <w:i/>
        </w:rPr>
        <w:t>ī</w:t>
      </w:r>
      <w:r w:rsidRPr="000241CA">
        <w:rPr>
          <w:i/>
        </w:rPr>
        <w:t>n</w:t>
      </w:r>
      <w:r w:rsidRPr="000241CA">
        <w:rPr>
          <w:rFonts w:eastAsia="Islamv2-Italic"/>
          <w:i/>
        </w:rPr>
        <w:t>ā</w:t>
      </w:r>
      <w:r>
        <w:rPr>
          <w:rFonts w:eastAsia="Islamv2-Italic"/>
          <w:i/>
          <w:lang w:val="cs-CZ"/>
        </w:rPr>
        <w:t xml:space="preserve"> </w:t>
      </w:r>
      <w:r w:rsidRPr="0040766B">
        <w:t>28.3–30.3</w:t>
      </w:r>
      <w:r>
        <w:rPr>
          <w:rStyle w:val="Zkladntextdkovn0pt"/>
          <w:rFonts w:ascii="Calibri" w:hAnsi="Calibri" w:cs="Times New Roman"/>
          <w:color w:val="auto"/>
          <w:spacing w:val="0"/>
          <w:sz w:val="20"/>
          <w:u w:val="none"/>
          <w:lang w:val="cs-CZ"/>
        </w:rPr>
        <w:t>, cit. podle Bertolacci 2004, 157)</w:t>
      </w:r>
    </w:p>
  </w:footnote>
  <w:footnote w:id="169">
    <w:p w14:paraId="155FF596" w14:textId="77777777" w:rsidR="00344048" w:rsidRPr="0004310C" w:rsidRDefault="00344048" w:rsidP="08FE6E76">
      <w:pPr>
        <w:pStyle w:val="Textpoznpodarou"/>
      </w:pPr>
      <w:r w:rsidRPr="0004310C">
        <w:rPr>
          <w:rStyle w:val="Znakapoznpodarou"/>
        </w:rPr>
        <w:footnoteRef/>
      </w:r>
      <w:r w:rsidRPr="0004310C">
        <w:t xml:space="preserve"> „</w:t>
      </w:r>
      <w:r>
        <w:t>I</w:t>
      </w:r>
      <w:r>
        <w:rPr>
          <w:rStyle w:val="srexcerpt"/>
        </w:rPr>
        <w:t xml:space="preserve">ch habe mich gefragt, ob man nicht alle diese obersten Werthe der bisherigen Philosophie Moral und Religion mit den Werthen der Geschwächten, Geisteskranken und </w:t>
      </w:r>
      <w:r w:rsidRPr="0004310C">
        <w:rPr>
          <w:rStyle w:val="Zvraznn"/>
          <w:i w:val="0"/>
        </w:rPr>
        <w:t>Neurastheniker</w:t>
      </w:r>
      <w:r>
        <w:rPr>
          <w:rStyle w:val="srexcerpt"/>
        </w:rPr>
        <w:t xml:space="preserve"> vergleichen kann: sie stellen, in einer milderen Form, dieselben Übel dar… der Werth aller morbiden Zustände ist, daß sie in einem Vergrößerungsglas gewisse Zustände, die normal aber als normal schlecht sichtbar sind, zeigen.“ </w:t>
      </w:r>
      <w:r w:rsidRPr="0004310C">
        <w:rPr>
          <w:rStyle w:val="srexcerpt"/>
        </w:rPr>
        <w:t>(</w:t>
      </w:r>
      <w:r w:rsidRPr="0004310C">
        <w:rPr>
          <w:i/>
        </w:rPr>
        <w:t>Nachgelassene Fragmente</w:t>
      </w:r>
      <w:r>
        <w:t xml:space="preserve"> 14[65</w:t>
      </w:r>
      <w:r w:rsidRPr="0004310C">
        <w:t>]</w:t>
      </w:r>
      <w:r>
        <w:t>; KSA 13, 250</w:t>
      </w:r>
      <w:r w:rsidRPr="0004310C">
        <w:rPr>
          <w:rStyle w:val="srexcerpt"/>
        </w:rPr>
        <w:t>)</w:t>
      </w:r>
    </w:p>
  </w:footnote>
  <w:footnote w:id="170">
    <w:p w14:paraId="7DDBE5C1" w14:textId="77777777" w:rsidR="00344048" w:rsidRPr="00FF52D0" w:rsidRDefault="00344048" w:rsidP="00D95BBD">
      <w:pPr>
        <w:pStyle w:val="Textpoznpodarou"/>
        <w:rPr>
          <w:szCs w:val="18"/>
          <w:lang w:val="cs-CZ"/>
        </w:rPr>
      </w:pPr>
      <w:r>
        <w:rPr>
          <w:rStyle w:val="Znakapoznpodarou"/>
        </w:rPr>
        <w:footnoteRef/>
      </w:r>
      <w:r>
        <w:t xml:space="preserve"> </w:t>
      </w:r>
      <w:r w:rsidRPr="08377F27">
        <w:rPr>
          <w:rStyle w:val="FontStyle129"/>
          <w:rFonts w:ascii="Calibri" w:hAnsi="Calibri"/>
          <w:sz w:val="20"/>
        </w:rPr>
        <w:t>„</w:t>
      </w:r>
      <w:r w:rsidRPr="004E699F">
        <w:t>Veritas autem intelligitur et esse absolute in singularibus, et intelligitur esse aeternum, et intelligitur dispositio dictionis vel intellectus qui significat dispositionem in re exteriore cum est ei aequalis. Dicimus enim: 'haec dictio est vera' et 'haec sententia est vera'; igitur necesse esse est id quod per seipsum est veritas semper; possibile vero est veritas per aliud a se, et est falsum in seipso. Quicquid igitur est praeter necesse esse quod est unum, falsum est in se. Veritas autem quae adaequatur rei, illa est certa, sed est certa, ut puto, respectu suae comparationis ad rem, et est veritas respectu comparationis rei ad ipsam. Ex dictionibus autem veris, illa est dignior dici vera cuius certitudo est semper; sed quae dignior est ad hoc est illa cuius certitudo est prima, et non per causam.“ (</w:t>
      </w:r>
      <w:r w:rsidRPr="004E699F">
        <w:rPr>
          <w:i/>
        </w:rPr>
        <w:t>Liber de Philosophia prima</w:t>
      </w:r>
      <w:r w:rsidRPr="004E699F">
        <w:t xml:space="preserve"> I.8; ed. Van Riet, p. 55.58‒56.69</w:t>
      </w:r>
      <w:r w:rsidRPr="004E699F">
        <w:fldChar w:fldCharType="begin"/>
      </w:r>
      <w:r w:rsidRPr="004E699F">
        <w:instrText xml:space="preserve"> XE "Avicenna:Liber de philosophia prima 55.58‒</w:instrText>
      </w:r>
      <w:r>
        <w:rPr>
          <w:lang w:val="cs-CZ"/>
        </w:rPr>
        <w:instrText>56.</w:instrText>
      </w:r>
      <w:r>
        <w:instrText>6</w:instrText>
      </w:r>
      <w:r>
        <w:rPr>
          <w:lang w:val="cs-CZ"/>
        </w:rPr>
        <w:instrText>9</w:instrText>
      </w:r>
      <w:r w:rsidRPr="004E699F">
        <w:instrText xml:space="preserve">" </w:instrText>
      </w:r>
      <w:r w:rsidRPr="004E699F">
        <w:fldChar w:fldCharType="end"/>
      </w:r>
      <w:r w:rsidRPr="004E699F">
        <w:t>)</w:t>
      </w:r>
    </w:p>
  </w:footnote>
  <w:footnote w:id="171">
    <w:p w14:paraId="1D5D2FCB" w14:textId="77777777" w:rsidR="00344048" w:rsidRPr="000D1D8F" w:rsidRDefault="00344048" w:rsidP="000D3EC2">
      <w:pPr>
        <w:pStyle w:val="Textpoznpodarou"/>
      </w:pPr>
      <w:r>
        <w:rPr>
          <w:rStyle w:val="Znakapoznpodarou"/>
        </w:rPr>
        <w:footnoteRef/>
      </w:r>
      <w:r>
        <w:t xml:space="preserve"> „</w:t>
      </w:r>
      <w:r w:rsidRPr="00D623D5">
        <w:t>The (infinite) succession of individuals implies that divine providence selects fo</w:t>
      </w:r>
      <w:r>
        <w:t>r its aim what can be called a „</w:t>
      </w:r>
      <w:r w:rsidRPr="00D623D5">
        <w:t xml:space="preserve">generic” </w:t>
      </w:r>
      <w:r>
        <w:t>or „</w:t>
      </w:r>
      <w:r w:rsidRPr="00D623D5">
        <w:t>random individual”, i.e. an individual that, whatever it is, is able to represent</w:t>
      </w:r>
      <w:r>
        <w:t xml:space="preserve"> </w:t>
      </w:r>
      <w:r w:rsidRPr="00D623D5">
        <w:t>the species in such a way as to guarantee the permanent existence of the latter.</w:t>
      </w:r>
      <w:r>
        <w:t>“ (</w:t>
      </w:r>
      <w:r w:rsidRPr="00F81874">
        <w:t>Lizzini 2003b, 136</w:t>
      </w:r>
      <w:r>
        <w:t>)</w:t>
      </w:r>
    </w:p>
  </w:footnote>
  <w:footnote w:id="172">
    <w:p w14:paraId="1AFF5058" w14:textId="77777777" w:rsidR="00344048" w:rsidRPr="00460BC9" w:rsidRDefault="00344048" w:rsidP="000D3EC2">
      <w:pPr>
        <w:pStyle w:val="Textpoznpodarou"/>
      </w:pPr>
      <w:r>
        <w:rPr>
          <w:rStyle w:val="Znakapoznpodarou"/>
        </w:rPr>
        <w:footnoteRef/>
      </w:r>
      <w:r>
        <w:t xml:space="preserve"> „Deinde intellectui in effectu deservit intellectus in habitu, et intellectus materialis, cum aptitudine quae est in eo, deservit intellectui in habitu.“ (</w:t>
      </w:r>
      <w:r>
        <w:rPr>
          <w:i/>
          <w:noProof/>
        </w:rPr>
        <w:t>Liber de anima</w:t>
      </w:r>
      <w:r>
        <w:rPr>
          <w:i/>
          <w:noProof/>
          <w:lang w:val="cs-CZ"/>
        </w:rPr>
        <w:t xml:space="preserve"> </w:t>
      </w:r>
      <w:r w:rsidRPr="00F46BE6">
        <w:rPr>
          <w:noProof/>
          <w:lang w:val="cs-CZ"/>
        </w:rPr>
        <w:t>I.5</w:t>
      </w:r>
      <w:r>
        <w:rPr>
          <w:noProof/>
          <w:lang w:val="cs-CZ"/>
        </w:rPr>
        <w:t>;</w:t>
      </w:r>
      <w:r>
        <w:rPr>
          <w:noProof/>
        </w:rPr>
        <w:t xml:space="preserve"> ed. Van Riet</w:t>
      </w:r>
      <w:r w:rsidRPr="00FA59A2">
        <w:rPr>
          <w:noProof/>
        </w:rPr>
        <w:t xml:space="preserve">, </w:t>
      </w:r>
      <w:r>
        <w:rPr>
          <w:noProof/>
        </w:rPr>
        <w:t>p. 99.82–84</w:t>
      </w:r>
      <w:r>
        <w:rPr>
          <w:noProof/>
        </w:rPr>
        <w:fldChar w:fldCharType="begin"/>
      </w:r>
      <w:r>
        <w:instrText xml:space="preserve"> XE "</w:instrText>
      </w:r>
      <w:r>
        <w:rPr>
          <w:lang w:val="cs-CZ"/>
        </w:rPr>
        <w:instrText>Avicenna:</w:instrText>
      </w:r>
      <w:r w:rsidRPr="006457C3">
        <w:rPr>
          <w:i/>
          <w:noProof/>
        </w:rPr>
        <w:instrText>Liber de anima</w:instrText>
      </w:r>
      <w:r w:rsidRPr="006457C3">
        <w:rPr>
          <w:i/>
          <w:noProof/>
          <w:lang w:val="cs-CZ"/>
        </w:rPr>
        <w:instrText xml:space="preserve"> </w:instrText>
      </w:r>
      <w:r w:rsidRPr="006457C3">
        <w:rPr>
          <w:noProof/>
        </w:rPr>
        <w:instrText>99.82–84</w:instrText>
      </w:r>
      <w:r>
        <w:instrText xml:space="preserve">" </w:instrText>
      </w:r>
      <w:r>
        <w:rPr>
          <w:noProof/>
        </w:rPr>
        <w:fldChar w:fldCharType="end"/>
      </w:r>
      <w:r>
        <w:t>)</w:t>
      </w:r>
    </w:p>
  </w:footnote>
  <w:footnote w:id="173">
    <w:p w14:paraId="71C2DDD9" w14:textId="29D3B6F8" w:rsidR="00344048" w:rsidRPr="00275C3C" w:rsidRDefault="00344048" w:rsidP="002728F7">
      <w:pPr>
        <w:pStyle w:val="Textpoznpodarou"/>
      </w:pPr>
      <w:r>
        <w:rPr>
          <w:rStyle w:val="Znakapoznpodarou"/>
        </w:rPr>
        <w:footnoteRef/>
      </w:r>
      <w:r>
        <w:t xml:space="preserve"> </w:t>
      </w:r>
      <w:r>
        <w:rPr>
          <w:lang w:val="cs-CZ"/>
        </w:rPr>
        <w:t>F</w:t>
      </w:r>
      <w:r>
        <w:t xml:space="preserve">ormální určení předmětu </w:t>
      </w:r>
      <w:r w:rsidRPr="00DB044A">
        <w:t xml:space="preserve">hledané </w:t>
      </w:r>
      <w:r>
        <w:t>první vědy (</w:t>
      </w:r>
      <w:r w:rsidRPr="00B07A34">
        <w:rPr>
          <w:i/>
        </w:rPr>
        <w:t>subject-matter</w:t>
      </w:r>
      <w:r>
        <w:t xml:space="preserve">, </w:t>
      </w:r>
      <w:r>
        <w:rPr>
          <w:i/>
        </w:rPr>
        <w:t>mawḍū</w:t>
      </w:r>
      <w:r w:rsidRPr="00DB044A">
        <w:t>)</w:t>
      </w:r>
      <w:r>
        <w:rPr>
          <w:lang w:val="cs-CZ"/>
        </w:rPr>
        <w:t xml:space="preserve"> jako </w:t>
      </w:r>
      <w:r w:rsidRPr="002300BE">
        <w:rPr>
          <w:i/>
          <w:lang w:val="cs-CZ"/>
        </w:rPr>
        <w:t xml:space="preserve">ens inquantum ens </w:t>
      </w:r>
      <w:r>
        <w:rPr>
          <w:lang w:val="cs-CZ"/>
        </w:rPr>
        <w:t xml:space="preserve">je odděleno </w:t>
      </w:r>
      <w:r>
        <w:t xml:space="preserve">od toho, co je hledáno jako </w:t>
      </w:r>
      <w:r>
        <w:rPr>
          <w:lang w:val="cs-CZ"/>
        </w:rPr>
        <w:t xml:space="preserve">poslední </w:t>
      </w:r>
      <w:r>
        <w:t>cíl</w:t>
      </w:r>
      <w:r w:rsidRPr="00DB044A">
        <w:t xml:space="preserve"> (</w:t>
      </w:r>
      <w:r w:rsidRPr="00DB044A">
        <w:rPr>
          <w:i/>
        </w:rPr>
        <w:t>ġaraḍ</w:t>
      </w:r>
      <w:r w:rsidRPr="00DB044A">
        <w:t>)</w:t>
      </w:r>
      <w:r>
        <w:t xml:space="preserve"> první vědy</w:t>
      </w:r>
      <w:r>
        <w:rPr>
          <w:lang w:val="cs-CZ"/>
        </w:rPr>
        <w:t xml:space="preserve">. To </w:t>
      </w:r>
      <w:r>
        <w:t>je f</w:t>
      </w:r>
      <w:r w:rsidRPr="00DB044A">
        <w:t>ilosofická teologie, kte</w:t>
      </w:r>
      <w:r>
        <w:t xml:space="preserve">rou měl už Al-Fárábí podle </w:t>
      </w:r>
      <w:r w:rsidRPr="087A42AF">
        <w:rPr>
          <w:i/>
        </w:rPr>
        <w:t>Metafyziky Lambda</w:t>
      </w:r>
      <w:r w:rsidRPr="00DB044A">
        <w:t xml:space="preserve"> (</w:t>
      </w:r>
      <w:r>
        <w:rPr>
          <w:lang w:val="cs-CZ"/>
        </w:rPr>
        <w:t xml:space="preserve">viz </w:t>
      </w:r>
      <w:r w:rsidRPr="00DB044A">
        <w:t>Bertolacci 2006, 114</w:t>
      </w:r>
      <w:r>
        <w:t>–</w:t>
      </w:r>
      <w:r w:rsidRPr="00DB044A">
        <w:t>26).</w:t>
      </w:r>
      <w:r>
        <w:t xml:space="preserve"> </w:t>
      </w:r>
    </w:p>
  </w:footnote>
  <w:footnote w:id="174">
    <w:p w14:paraId="5BC5B7EE" w14:textId="77777777" w:rsidR="00344048" w:rsidRPr="08EA23A2" w:rsidRDefault="00344048" w:rsidP="00A75C87">
      <w:pPr>
        <w:pStyle w:val="Textpoznpodarou"/>
        <w:rPr>
          <w:noProof/>
        </w:rPr>
      </w:pPr>
      <w:r>
        <w:rPr>
          <w:rStyle w:val="Znakapoznpodarou"/>
        </w:rPr>
        <w:footnoteRef/>
      </w:r>
      <w:r>
        <w:t xml:space="preserve"> </w:t>
      </w:r>
      <w:r>
        <w:rPr>
          <w:noProof/>
        </w:rPr>
        <w:t>„</w:t>
      </w:r>
      <w:r w:rsidRPr="08447BE8">
        <w:rPr>
          <w:szCs w:val="22"/>
        </w:rPr>
        <w:t>Igitur quaestiones huius scientiae quaedam sunt causae esse, inquantum</w:t>
      </w:r>
      <w:r>
        <w:rPr>
          <w:szCs w:val="22"/>
        </w:rPr>
        <w:t xml:space="preserve"> </w:t>
      </w:r>
      <w:r w:rsidRPr="08447BE8">
        <w:rPr>
          <w:szCs w:val="22"/>
        </w:rPr>
        <w:t>est esse causatum, et quaedam sunt accidentalia esse, et quaedam</w:t>
      </w:r>
      <w:r>
        <w:rPr>
          <w:szCs w:val="22"/>
        </w:rPr>
        <w:t xml:space="preserve"> </w:t>
      </w:r>
      <w:r w:rsidRPr="08447BE8">
        <w:rPr>
          <w:szCs w:val="22"/>
        </w:rPr>
        <w:t>sunt principia scientiarum singularum. Et scientia horum quaeritur</w:t>
      </w:r>
      <w:r>
        <w:rPr>
          <w:szCs w:val="22"/>
        </w:rPr>
        <w:t xml:space="preserve"> </w:t>
      </w:r>
      <w:r w:rsidRPr="08447BE8">
        <w:rPr>
          <w:szCs w:val="22"/>
        </w:rPr>
        <w:t>in hoc magisterio. Et haec est philosophia prima, quia ipsa est scientia</w:t>
      </w:r>
      <w:r w:rsidRPr="00C832C7">
        <w:rPr>
          <w:noProof/>
        </w:rPr>
        <w:t xml:space="preserve"> de prima causa esse, et haec est prima causa; sed prima causa universitatis est esse et unitas</w:t>
      </w:r>
      <w:r>
        <w:rPr>
          <w:noProof/>
        </w:rPr>
        <w:t xml:space="preserve">...“ </w:t>
      </w:r>
      <w:r>
        <w:t>(</w:t>
      </w:r>
      <w:r w:rsidRPr="000E225B">
        <w:rPr>
          <w:i/>
        </w:rPr>
        <w:t>Liber de philosophia prima</w:t>
      </w:r>
      <w:r>
        <w:t xml:space="preserve"> I.2</w:t>
      </w:r>
      <w:r>
        <w:rPr>
          <w:lang w:val="cs-CZ"/>
        </w:rPr>
        <w:t>;</w:t>
      </w:r>
      <w:r>
        <w:t xml:space="preserve"> ed. Van Riet, pp. 15.86–16.91</w:t>
      </w:r>
      <w:r>
        <w:fldChar w:fldCharType="begin"/>
      </w:r>
      <w:r>
        <w:instrText xml:space="preserve"> XE "</w:instrText>
      </w:r>
      <w:r>
        <w:rPr>
          <w:lang w:val="cs-CZ"/>
        </w:rPr>
        <w:instrText>Avicenna:</w:instrText>
      </w:r>
      <w:r w:rsidRPr="00883CAD">
        <w:rPr>
          <w:i/>
        </w:rPr>
        <w:instrText>Liber de philosophia prima</w:instrText>
      </w:r>
      <w:r w:rsidRPr="00883CAD">
        <w:instrText xml:space="preserve"> 15.86–16.91</w:instrText>
      </w:r>
      <w:r>
        <w:instrText xml:space="preserve">" </w:instrText>
      </w:r>
      <w:r>
        <w:fldChar w:fldCharType="end"/>
      </w:r>
      <w:r>
        <w:t>)</w:t>
      </w:r>
    </w:p>
  </w:footnote>
  <w:footnote w:id="175">
    <w:p w14:paraId="4B2E0718" w14:textId="77777777" w:rsidR="00344048" w:rsidRPr="00905657" w:rsidRDefault="00344048" w:rsidP="00A75C87">
      <w:pPr>
        <w:pStyle w:val="Textpoznpodarou"/>
      </w:pPr>
      <w:r>
        <w:rPr>
          <w:rStyle w:val="Znakapoznpodarou"/>
        </w:rPr>
        <w:footnoteRef/>
      </w:r>
      <w:r>
        <w:t xml:space="preserve"> </w:t>
      </w:r>
      <w:r w:rsidRPr="00366FC0">
        <w:t>„</w:t>
      </w:r>
      <w:r w:rsidRPr="0024023E">
        <w:t>Dico igitur impossibile esse ut ipse Deus sit subiectum huius scientiae, quoniam subiectum omnis scientiae est res quae conceditur esse, et ipsa scientia non inquirit nisi dispositiones illius subiecti, et hoc notum est ex aliis locis.</w:t>
      </w:r>
      <w:r w:rsidRPr="00366FC0">
        <w:t>“ (</w:t>
      </w:r>
      <w:r w:rsidRPr="00591366">
        <w:rPr>
          <w:i/>
        </w:rPr>
        <w:t>Liber de anima</w:t>
      </w:r>
      <w:r>
        <w:t xml:space="preserve"> </w:t>
      </w:r>
      <w:r w:rsidRPr="00366FC0">
        <w:t>I.1</w:t>
      </w:r>
      <w:r>
        <w:rPr>
          <w:lang w:val="cs-CZ"/>
        </w:rPr>
        <w:t>;</w:t>
      </w:r>
      <w:r w:rsidRPr="00366FC0">
        <w:t xml:space="preserve"> </w:t>
      </w:r>
      <w:r>
        <w:t>ed. Van Riet</w:t>
      </w:r>
      <w:r w:rsidRPr="00366FC0">
        <w:t>, p. 4</w:t>
      </w:r>
      <w:r>
        <w:t>.</w:t>
      </w:r>
      <w:r>
        <w:rPr>
          <w:lang w:val="cs-CZ"/>
        </w:rPr>
        <w:t>60</w:t>
      </w:r>
      <w:r>
        <w:t>–64</w:t>
      </w:r>
      <w:r>
        <w:fldChar w:fldCharType="begin"/>
      </w:r>
      <w:r>
        <w:instrText xml:space="preserve"> XE "</w:instrText>
      </w:r>
      <w:r>
        <w:rPr>
          <w:lang w:val="cs-CZ"/>
        </w:rPr>
        <w:instrText>Avicenna:</w:instrText>
      </w:r>
      <w:r w:rsidRPr="00713E4C">
        <w:rPr>
          <w:i/>
        </w:rPr>
        <w:instrText>Liber de anima</w:instrText>
      </w:r>
      <w:r>
        <w:instrText xml:space="preserve"> 4.</w:instrText>
      </w:r>
      <w:r>
        <w:rPr>
          <w:lang w:val="cs-CZ"/>
        </w:rPr>
        <w:instrText>60</w:instrText>
      </w:r>
      <w:r w:rsidRPr="00713E4C">
        <w:instrText>–64</w:instrText>
      </w:r>
      <w:r>
        <w:instrText xml:space="preserve">" </w:instrText>
      </w:r>
      <w:r>
        <w:fldChar w:fldCharType="end"/>
      </w:r>
      <w:r w:rsidRPr="00366FC0">
        <w:t>)</w:t>
      </w:r>
    </w:p>
  </w:footnote>
  <w:footnote w:id="176">
    <w:p w14:paraId="3FD2F132" w14:textId="77777777" w:rsidR="00344048" w:rsidRPr="08571593" w:rsidRDefault="00344048" w:rsidP="00A75C87">
      <w:pPr>
        <w:pStyle w:val="Textpoznpodarou"/>
        <w:rPr>
          <w:noProof/>
        </w:rPr>
      </w:pPr>
      <w:r>
        <w:rPr>
          <w:rStyle w:val="Znakapoznpodarou"/>
        </w:rPr>
        <w:footnoteRef/>
      </w:r>
      <w:r>
        <w:t xml:space="preserve"> </w:t>
      </w:r>
      <w:r>
        <w:rPr>
          <w:noProof/>
        </w:rPr>
        <w:t>„</w:t>
      </w:r>
      <w:r w:rsidRPr="00C10FA7">
        <w:rPr>
          <w:noProof/>
        </w:rPr>
        <w:t>Eius enim essentia immunis est ab omni quod est in potentia omnino, sicut iam supra ostendimus, sed ipse est intelligens omnia ut unum simul, et ex hoc quod intelligit, sequitur ordinatio bonitatis in esse, et intelligit qualite</w:t>
      </w:r>
      <w:r>
        <w:rPr>
          <w:noProof/>
        </w:rPr>
        <w:t xml:space="preserve">r est possibile et qualiter </w:t>
      </w:r>
      <w:r w:rsidRPr="00C10FA7">
        <w:rPr>
          <w:noProof/>
        </w:rPr>
        <w:t>est elegantius provenire esse totus secundum iudicium sui intellecti.“ (</w:t>
      </w:r>
      <w:r w:rsidRPr="00061AAC">
        <w:rPr>
          <w:i/>
          <w:noProof/>
        </w:rPr>
        <w:t>Liber de philosophia prima</w:t>
      </w:r>
      <w:r>
        <w:rPr>
          <w:noProof/>
        </w:rPr>
        <w:t xml:space="preserve"> </w:t>
      </w:r>
      <w:r w:rsidRPr="00C10FA7">
        <w:rPr>
          <w:noProof/>
        </w:rPr>
        <w:t xml:space="preserve">IX.4; </w:t>
      </w:r>
      <w:r>
        <w:t>ed. Van Riet</w:t>
      </w:r>
      <w:r>
        <w:rPr>
          <w:noProof/>
          <w:lang w:val="cs-CZ"/>
        </w:rPr>
        <w:t xml:space="preserve">, </w:t>
      </w:r>
      <w:r w:rsidRPr="00C10FA7">
        <w:rPr>
          <w:noProof/>
        </w:rPr>
        <w:t>p. 478</w:t>
      </w:r>
      <w:r>
        <w:rPr>
          <w:noProof/>
        </w:rPr>
        <w:t>.</w:t>
      </w:r>
      <w:r w:rsidRPr="00C10FA7">
        <w:rPr>
          <w:noProof/>
        </w:rPr>
        <w:t>73</w:t>
      </w:r>
      <w:r>
        <w:rPr>
          <w:noProof/>
        </w:rPr>
        <w:t>–</w:t>
      </w:r>
      <w:r w:rsidRPr="00C10FA7">
        <w:rPr>
          <w:noProof/>
        </w:rPr>
        <w:t>78</w:t>
      </w:r>
      <w:r>
        <w:rPr>
          <w:i/>
        </w:rPr>
        <w:fldChar w:fldCharType="begin"/>
      </w:r>
      <w:r>
        <w:instrText xml:space="preserve"> XE "</w:instrText>
      </w:r>
      <w:r w:rsidRPr="0027542C">
        <w:rPr>
          <w:lang w:val="cs-CZ"/>
        </w:rPr>
        <w:instrText>Avicenna:</w:instrText>
      </w:r>
      <w:r w:rsidRPr="00061AAC">
        <w:rPr>
          <w:i/>
          <w:noProof/>
        </w:rPr>
        <w:instrText>Liber de philosophia prima</w:instrText>
      </w:r>
      <w:r>
        <w:rPr>
          <w:noProof/>
        </w:rPr>
        <w:instrText xml:space="preserve"> </w:instrText>
      </w:r>
      <w:r w:rsidRPr="00C10FA7">
        <w:rPr>
          <w:noProof/>
        </w:rPr>
        <w:instrText>478</w:instrText>
      </w:r>
      <w:r>
        <w:rPr>
          <w:noProof/>
        </w:rPr>
        <w:instrText>.</w:instrText>
      </w:r>
      <w:r w:rsidRPr="00C10FA7">
        <w:rPr>
          <w:noProof/>
        </w:rPr>
        <w:instrText>73</w:instrText>
      </w:r>
      <w:r>
        <w:rPr>
          <w:noProof/>
        </w:rPr>
        <w:instrText>–</w:instrText>
      </w:r>
      <w:r w:rsidRPr="00C10FA7">
        <w:rPr>
          <w:noProof/>
        </w:rPr>
        <w:instrText>78</w:instrText>
      </w:r>
      <w:r>
        <w:instrText xml:space="preserve">" </w:instrText>
      </w:r>
      <w:r>
        <w:rPr>
          <w:i/>
        </w:rPr>
        <w:fldChar w:fldCharType="end"/>
      </w:r>
      <w:r w:rsidRPr="00C10FA7">
        <w:rPr>
          <w:noProof/>
        </w:rPr>
        <w:t>)</w:t>
      </w:r>
    </w:p>
  </w:footnote>
  <w:footnote w:id="177">
    <w:p w14:paraId="1A7BDDF6" w14:textId="77777777" w:rsidR="00344048" w:rsidRPr="08800E1F" w:rsidRDefault="00344048" w:rsidP="08A765DF">
      <w:pPr>
        <w:pStyle w:val="Textpoznpodarou"/>
      </w:pPr>
      <w:r>
        <w:rPr>
          <w:rStyle w:val="Znakapoznpodarou"/>
        </w:rPr>
        <w:footnoteRef/>
      </w:r>
      <w:r>
        <w:t xml:space="preserve"> „</w:t>
      </w:r>
      <w:r>
        <w:rPr>
          <w:lang w:val="cs-CZ"/>
        </w:rPr>
        <w:t>S</w:t>
      </w:r>
      <w:r w:rsidRPr="08800E1F">
        <w:t>ic transeat in saeculum intellect</w:t>
      </w:r>
      <w:r>
        <w:t>um instar esse totius mundi, cern</w:t>
      </w:r>
      <w:r w:rsidRPr="08800E1F">
        <w:t>ens id quod est pulchritudo absolute et boni</w:t>
      </w:r>
      <w:r>
        <w:t>tas absolute et decor verus, fia</w:t>
      </w:r>
      <w:r w:rsidRPr="08800E1F">
        <w:t>t unum cum ea, insculpta exemplo eius et dispositione eius, et incedens secundum viam eius, conversa in</w:t>
      </w:r>
      <w:r>
        <w:t xml:space="preserve"> similitudinem substantie eius</w:t>
      </w:r>
      <w:r w:rsidRPr="08800E1F">
        <w:t>.</w:t>
      </w:r>
      <w:r>
        <w:t>“ (</w:t>
      </w:r>
      <w:r w:rsidRPr="08C1272B">
        <w:rPr>
          <w:i/>
        </w:rPr>
        <w:t>Liber de philosophia prima</w:t>
      </w:r>
      <w:r>
        <w:t xml:space="preserve"> IX.7; ed. Van Riet, p. 511.79‒83</w:t>
      </w:r>
      <w:r>
        <w:rPr>
          <w:i/>
        </w:rPr>
        <w:fldChar w:fldCharType="begin"/>
      </w:r>
      <w:r>
        <w:instrText xml:space="preserve"> XE "</w:instrText>
      </w:r>
      <w:r w:rsidRPr="0027542C">
        <w:rPr>
          <w:lang w:val="cs-CZ"/>
        </w:rPr>
        <w:instrText>Avicenna:</w:instrText>
      </w:r>
      <w:r w:rsidRPr="00061AAC">
        <w:rPr>
          <w:i/>
          <w:noProof/>
        </w:rPr>
        <w:instrText>Liber de philosophia prima</w:instrText>
      </w:r>
      <w:r>
        <w:rPr>
          <w:noProof/>
        </w:rPr>
        <w:instrText xml:space="preserve"> </w:instrText>
      </w:r>
      <w:r>
        <w:rPr>
          <w:lang w:val="cs-CZ"/>
        </w:rPr>
        <w:instrText>511</w:instrText>
      </w:r>
      <w:r>
        <w:rPr>
          <w:noProof/>
        </w:rPr>
        <w:instrText>.</w:instrText>
      </w:r>
      <w:r>
        <w:rPr>
          <w:lang w:val="cs-CZ"/>
        </w:rPr>
        <w:instrText>79</w:instrText>
      </w:r>
      <w:r>
        <w:rPr>
          <w:noProof/>
        </w:rPr>
        <w:instrText>–</w:instrText>
      </w:r>
      <w:r>
        <w:rPr>
          <w:lang w:val="cs-CZ"/>
        </w:rPr>
        <w:instrText>83</w:instrText>
      </w:r>
      <w:r>
        <w:instrText xml:space="preserve">" </w:instrText>
      </w:r>
      <w:r>
        <w:rPr>
          <w:i/>
        </w:rPr>
        <w:fldChar w:fldCharType="end"/>
      </w:r>
      <w:r>
        <w:t>)</w:t>
      </w:r>
    </w:p>
  </w:footnote>
  <w:footnote w:id="178">
    <w:p w14:paraId="1CFEF532" w14:textId="77777777" w:rsidR="00344048" w:rsidRPr="00A64FE7" w:rsidRDefault="00344048" w:rsidP="08A765DF">
      <w:pPr>
        <w:pStyle w:val="Textpoznpodarou"/>
      </w:pPr>
      <w:r>
        <w:rPr>
          <w:rStyle w:val="Znakapoznpodarou"/>
        </w:rPr>
        <w:footnoteRef/>
      </w:r>
      <w:r w:rsidRPr="006D2495">
        <w:rPr>
          <w:lang w:val="fr-FR"/>
        </w:rPr>
        <w:t xml:space="preserve">  „Il</w:t>
      </w:r>
      <w:r>
        <w:rPr>
          <w:lang w:val="fr-FR"/>
        </w:rPr>
        <w:t xml:space="preserve"> reste cependa</w:t>
      </w:r>
      <w:r w:rsidRPr="006D2495">
        <w:rPr>
          <w:lang w:val="fr-FR"/>
        </w:rPr>
        <w:t>nt cette distinction essentiell</w:t>
      </w:r>
      <w:r>
        <w:rPr>
          <w:lang w:val="fr-FR"/>
        </w:rPr>
        <w:t>e</w:t>
      </w:r>
      <w:r w:rsidRPr="006D2495">
        <w:rPr>
          <w:lang w:val="fr-FR"/>
        </w:rPr>
        <w:t>: les</w:t>
      </w:r>
      <w:r>
        <w:rPr>
          <w:lang w:val="fr-FR"/>
        </w:rPr>
        <w:t xml:space="preserve"> prophètes sont </w:t>
      </w:r>
      <w:r w:rsidRPr="006D2495">
        <w:rPr>
          <w:i/>
          <w:lang w:val="fr-FR"/>
        </w:rPr>
        <w:t>par nature</w:t>
      </w:r>
      <w:r>
        <w:rPr>
          <w:lang w:val="fr-FR"/>
        </w:rPr>
        <w:t xml:space="preserve"> ce que les gnostiques et les saints ne deviennent qu</w:t>
      </w:r>
      <w:r w:rsidRPr="006D2495">
        <w:rPr>
          <w:rStyle w:val="Zvraznn"/>
          <w:i w:val="0"/>
          <w:lang w:val="fr-FR"/>
        </w:rPr>
        <w:t>’</w:t>
      </w:r>
      <w:r>
        <w:rPr>
          <w:rStyle w:val="Zvraznn"/>
          <w:i w:val="0"/>
          <w:lang w:val="fr-FR"/>
        </w:rPr>
        <w:t>après une longue dialectique de purification et d</w:t>
      </w:r>
      <w:r w:rsidRPr="006D2495">
        <w:rPr>
          <w:rStyle w:val="Zvraznn"/>
          <w:i w:val="0"/>
          <w:lang w:val="fr-FR"/>
        </w:rPr>
        <w:t>’</w:t>
      </w:r>
      <w:r>
        <w:rPr>
          <w:rStyle w:val="Zvraznn"/>
          <w:i w:val="0"/>
          <w:lang w:val="fr-FR"/>
        </w:rPr>
        <w:t>ascèse morale et intellectuelle.</w:t>
      </w:r>
      <w:r w:rsidRPr="006D2495">
        <w:rPr>
          <w:lang w:val="fr-FR"/>
        </w:rPr>
        <w:t>”</w:t>
      </w:r>
      <w:r>
        <w:rPr>
          <w:lang w:val="fr-FR"/>
        </w:rPr>
        <w:t xml:space="preserve"> </w:t>
      </w:r>
      <w:r w:rsidRPr="00A64FE7">
        <w:t>(Gardet 1951, 121)</w:t>
      </w:r>
    </w:p>
  </w:footnote>
  <w:footnote w:id="179">
    <w:p w14:paraId="7C1135EF" w14:textId="5688FBAF" w:rsidR="00344048" w:rsidRPr="08700220" w:rsidRDefault="00344048">
      <w:pPr>
        <w:pStyle w:val="Textpoznpodarou"/>
        <w:rPr>
          <w:lang w:val="cs-CZ"/>
        </w:rPr>
      </w:pPr>
      <w:r w:rsidRPr="08700220">
        <w:rPr>
          <w:rStyle w:val="Znakapoznpodarou"/>
        </w:rPr>
        <w:footnoteRef/>
      </w:r>
      <w:r w:rsidRPr="08700220">
        <w:t xml:space="preserve"> „We will make it plain that in their metaphysical sciences they have </w:t>
      </w:r>
      <w:r>
        <w:t>not been able to fulfi</w:t>
      </w:r>
      <w:r w:rsidRPr="08700220">
        <w:t xml:space="preserve">ll the claims laid out in the different parts of the [textbook on] logics and in the introduction to it, i.e. what they have set down in the </w:t>
      </w:r>
      <w:r w:rsidRPr="08700220">
        <w:rPr>
          <w:i/>
        </w:rPr>
        <w:t>Second Analytics</w:t>
      </w:r>
      <w:r w:rsidRPr="08700220">
        <w:t xml:space="preserve"> </w:t>
      </w:r>
      <w:r>
        <w:t>(</w:t>
      </w:r>
      <w:r w:rsidRPr="08700220">
        <w:rPr>
          <w:i/>
        </w:rPr>
        <w:t>Kitā</w:t>
      </w:r>
      <w:r w:rsidRPr="08700220">
        <w:rPr>
          <w:i/>
          <w:lang w:val="cs-CZ"/>
        </w:rPr>
        <w:t>b</w:t>
      </w:r>
      <w:r w:rsidRPr="08700220">
        <w:rPr>
          <w:i/>
        </w:rPr>
        <w:t xml:space="preserve"> al-Burhān</w:t>
      </w:r>
      <w:r w:rsidRPr="08700220">
        <w:t xml:space="preserve">) on the conditions for the truth of the premise of a syllogism, and what they have set down in the </w:t>
      </w:r>
      <w:r w:rsidRPr="08700220">
        <w:rPr>
          <w:i/>
        </w:rPr>
        <w:t>First Analytics</w:t>
      </w:r>
      <w:r w:rsidRPr="08700220">
        <w:t xml:space="preserve"> </w:t>
      </w:r>
      <w:r>
        <w:t>(</w:t>
      </w:r>
      <w:r w:rsidRPr="08700220">
        <w:rPr>
          <w:i/>
        </w:rPr>
        <w:t>Kitā</w:t>
      </w:r>
      <w:r w:rsidRPr="08700220">
        <w:rPr>
          <w:i/>
          <w:lang w:val="cs-CZ"/>
        </w:rPr>
        <w:t>b</w:t>
      </w:r>
      <w:r w:rsidRPr="08700220">
        <w:rPr>
          <w:i/>
        </w:rPr>
        <w:t xml:space="preserve"> al-Qiyās</w:t>
      </w:r>
      <w:r w:rsidRPr="08700220">
        <w:t xml:space="preserve">) on the conditions of the </w:t>
      </w:r>
      <w:r>
        <w:t>syllogism’s fi</w:t>
      </w:r>
      <w:r w:rsidRPr="08700220">
        <w:t xml:space="preserve">gures, and the various things they posit in the </w:t>
      </w:r>
      <w:r w:rsidRPr="08700220">
        <w:rPr>
          <w:i/>
        </w:rPr>
        <w:t>Isagoge</w:t>
      </w:r>
      <w:r w:rsidRPr="08700220">
        <w:t xml:space="preserve"> and the </w:t>
      </w:r>
      <w:r w:rsidRPr="08700220">
        <w:rPr>
          <w:i/>
        </w:rPr>
        <w:t>Categories</w:t>
      </w:r>
      <w:r w:rsidRPr="08700220">
        <w:t xml:space="preserve">.“ (Al-Ghazālī, </w:t>
      </w:r>
      <w:r>
        <w:rPr>
          <w:i/>
          <w:iCs/>
        </w:rPr>
        <w:t>Tahāfut al-</w:t>
      </w:r>
      <w:r w:rsidRPr="00273106">
        <w:rPr>
          <w:i/>
          <w:iCs/>
        </w:rPr>
        <w:t>Falāsifah</w:t>
      </w:r>
      <w:r>
        <w:rPr>
          <w:i/>
          <w:iCs/>
          <w:lang w:val="cs-CZ"/>
        </w:rPr>
        <w:t xml:space="preserve"> </w:t>
      </w:r>
      <w:r w:rsidRPr="08700220">
        <w:t>16.8–11</w:t>
      </w:r>
      <w:r>
        <w:fldChar w:fldCharType="begin"/>
      </w:r>
      <w:r>
        <w:instrText xml:space="preserve"> XE "</w:instrText>
      </w:r>
      <w:r w:rsidRPr="002F5966">
        <w:instrText>Al-Ghazālī:</w:instrText>
      </w:r>
      <w:r>
        <w:rPr>
          <w:i/>
        </w:rPr>
        <w:instrText>Tahāfut al-Falāsifah</w:instrText>
      </w:r>
      <w:r w:rsidRPr="002F5966">
        <w:instrText xml:space="preserve"> 16.8–11</w:instrText>
      </w:r>
      <w:r>
        <w:instrText xml:space="preserve">" </w:instrText>
      </w:r>
      <w:r>
        <w:fldChar w:fldCharType="end"/>
      </w:r>
      <w:r w:rsidRPr="08700220">
        <w:t xml:space="preserve">, trad. </w:t>
      </w:r>
      <w:r>
        <w:rPr>
          <w:lang w:val="cs-CZ"/>
        </w:rPr>
        <w:t xml:space="preserve">Griffel 2009, </w:t>
      </w:r>
      <w:r w:rsidRPr="08700220">
        <w:t>100)</w:t>
      </w:r>
    </w:p>
  </w:footnote>
  <w:footnote w:id="180">
    <w:p w14:paraId="3B4F098F" w14:textId="77777777" w:rsidR="00344048" w:rsidRPr="00860E8F" w:rsidRDefault="00344048" w:rsidP="087510C6">
      <w:pPr>
        <w:pStyle w:val="Textpoznpodarou"/>
        <w:rPr>
          <w:lang w:val="cs-CZ"/>
        </w:rPr>
      </w:pPr>
      <w:r>
        <w:rPr>
          <w:rStyle w:val="Znakapoznpodarou"/>
        </w:rPr>
        <w:footnoteRef/>
      </w:r>
      <w:r>
        <w:t xml:space="preserve"> </w:t>
      </w:r>
      <w:r>
        <w:rPr>
          <w:lang w:val="cs-CZ"/>
        </w:rPr>
        <w:t>„</w:t>
      </w:r>
      <w:r w:rsidRPr="005A6E62">
        <w:rPr>
          <w:lang w:val="cs-CZ"/>
        </w:rPr>
        <w:t>For the first effect, too, is simple, having no composition in it, except by way of its inseparable accidents. The two will, therefore, stand on par, inasmuch as each is</w:t>
      </w:r>
      <w:r>
        <w:rPr>
          <w:lang w:val="cs-CZ"/>
        </w:rPr>
        <w:t xml:space="preserve"> </w:t>
      </w:r>
      <w:r w:rsidRPr="005A6E62">
        <w:rPr>
          <w:lang w:val="cs-CZ"/>
        </w:rPr>
        <w:t>intelligence divested of Matter. And this is a generic reality, for being pure intelligence is not one of the inseparable accidents of being, but the very quiddity. So this quiddity will be common to God and all the intelligences.</w:t>
      </w:r>
      <w:r>
        <w:rPr>
          <w:lang w:val="cs-CZ"/>
        </w:rPr>
        <w:t>“ (</w:t>
      </w:r>
      <w:r w:rsidRPr="008262BC">
        <w:t>Al-Ghazāl</w:t>
      </w:r>
      <w:r w:rsidRPr="008262BC">
        <w:rPr>
          <w:noProof/>
        </w:rPr>
        <w:t>ī</w:t>
      </w:r>
      <w:r>
        <w:t xml:space="preserve">, </w:t>
      </w:r>
      <w:r w:rsidRPr="00CB6B6D">
        <w:rPr>
          <w:i/>
        </w:rPr>
        <w:t>Tahāfut al-Falāsifah</w:t>
      </w:r>
      <w:r>
        <w:t xml:space="preserve">, probl. </w:t>
      </w:r>
      <w:r>
        <w:rPr>
          <w:lang w:val="cs-CZ"/>
        </w:rPr>
        <w:t>VII;</w:t>
      </w:r>
      <w:r>
        <w:t xml:space="preserve"> ed. Kamali, </w:t>
      </w:r>
      <w:r>
        <w:rPr>
          <w:lang w:val="cs-CZ"/>
        </w:rPr>
        <w:t>p. 130</w:t>
      </w:r>
      <w:r>
        <w:rPr>
          <w:rFonts w:eastAsia="NewAster"/>
        </w:rPr>
        <w:fldChar w:fldCharType="begin"/>
      </w:r>
      <w:r>
        <w:instrText xml:space="preserve"> XE "</w:instrText>
      </w:r>
      <w:r>
        <w:rPr>
          <w:lang w:val="cs-CZ"/>
        </w:rPr>
        <w:instrText>Al</w:instrText>
      </w:r>
      <w:r>
        <w:instrText>-Ghaz</w:instrText>
      </w:r>
      <w:r>
        <w:rPr>
          <w:lang w:val="cs-CZ"/>
        </w:rPr>
        <w:instrText>á</w:instrText>
      </w:r>
      <w:r w:rsidRPr="008262BC">
        <w:instrText>l</w:instrText>
      </w:r>
      <w:r>
        <w:rPr>
          <w:noProof/>
          <w:lang w:val="cs-CZ"/>
        </w:rPr>
        <w:instrText>í:</w:instrText>
      </w:r>
      <w:r w:rsidRPr="00CB6B6D">
        <w:rPr>
          <w:i/>
        </w:rPr>
        <w:instrText>Tahāfut al-Falāsifah</w:instrText>
      </w:r>
      <w:r>
        <w:rPr>
          <w:lang w:val="cs-CZ"/>
        </w:rPr>
        <w:instrText xml:space="preserve"> 130</w:instrText>
      </w:r>
      <w:r>
        <w:instrText xml:space="preserve">" </w:instrText>
      </w:r>
      <w:r>
        <w:rPr>
          <w:rFonts w:eastAsia="NewAster"/>
        </w:rPr>
        <w:fldChar w:fldCharType="end"/>
      </w:r>
      <w:r>
        <w:rPr>
          <w:lang w:val="cs-CZ"/>
        </w:rPr>
        <w:t>)</w:t>
      </w:r>
    </w:p>
  </w:footnote>
  <w:footnote w:id="181">
    <w:p w14:paraId="622E96FA" w14:textId="77777777" w:rsidR="00344048" w:rsidRPr="005A6E62" w:rsidRDefault="00344048" w:rsidP="00291779">
      <w:pPr>
        <w:pStyle w:val="Textpoznpodarou"/>
      </w:pPr>
      <w:r>
        <w:rPr>
          <w:rStyle w:val="Znakapoznpodarou"/>
        </w:rPr>
        <w:footnoteRef/>
      </w:r>
      <w:r>
        <w:rPr>
          <w:lang w:val="cs-CZ"/>
        </w:rPr>
        <w:t xml:space="preserve"> „</w:t>
      </w:r>
      <w:r w:rsidRPr="005A6E62">
        <w:rPr>
          <w:lang w:val="cs-CZ"/>
        </w:rPr>
        <w:t>Even if existence, substantiality, or being a principle is no genus (for none is given in answer to the question: What is it?), still you consider God to be a pure intelligence, as all other intelligences (who are the secondary principles of existence, and whom th</w:t>
      </w:r>
      <w:r>
        <w:rPr>
          <w:lang w:val="cs-CZ"/>
        </w:rPr>
        <w:t xml:space="preserve">e philosophers also call Angels ‒ </w:t>
      </w:r>
      <w:r w:rsidRPr="005A6E62">
        <w:rPr>
          <w:lang w:val="cs-CZ"/>
        </w:rPr>
        <w:t>i.e., the effects of the First Cause) are pure intelliences divested of Matter. So this reality will include God and its first effect.</w:t>
      </w:r>
      <w:r>
        <w:rPr>
          <w:lang w:val="cs-CZ"/>
        </w:rPr>
        <w:t>“ (</w:t>
      </w:r>
      <w:r w:rsidRPr="008262BC">
        <w:t>Al-Ghazāl</w:t>
      </w:r>
      <w:r w:rsidRPr="008262BC">
        <w:rPr>
          <w:noProof/>
        </w:rPr>
        <w:t>ī</w:t>
      </w:r>
      <w:r>
        <w:t xml:space="preserve">, </w:t>
      </w:r>
      <w:r w:rsidRPr="00CB6B6D">
        <w:rPr>
          <w:i/>
        </w:rPr>
        <w:t>Tahāfut al-Falāsifah</w:t>
      </w:r>
      <w:r>
        <w:t xml:space="preserve">, probl. </w:t>
      </w:r>
      <w:r>
        <w:rPr>
          <w:lang w:val="cs-CZ"/>
        </w:rPr>
        <w:t>VII;</w:t>
      </w:r>
      <w:r>
        <w:t xml:space="preserve"> ed. Kamali, </w:t>
      </w:r>
      <w:r>
        <w:rPr>
          <w:lang w:val="cs-CZ"/>
        </w:rPr>
        <w:t>p. 130</w:t>
      </w:r>
      <w:r>
        <w:rPr>
          <w:rFonts w:eastAsia="NewAster"/>
        </w:rPr>
        <w:fldChar w:fldCharType="begin"/>
      </w:r>
      <w:r>
        <w:instrText xml:space="preserve"> XE "</w:instrText>
      </w:r>
      <w:r>
        <w:rPr>
          <w:lang w:val="cs-CZ"/>
        </w:rPr>
        <w:instrText>Al</w:instrText>
      </w:r>
      <w:r>
        <w:instrText>-Ghaz</w:instrText>
      </w:r>
      <w:r>
        <w:rPr>
          <w:lang w:val="cs-CZ"/>
        </w:rPr>
        <w:instrText>á</w:instrText>
      </w:r>
      <w:r w:rsidRPr="008262BC">
        <w:instrText>l</w:instrText>
      </w:r>
      <w:r>
        <w:rPr>
          <w:noProof/>
          <w:lang w:val="cs-CZ"/>
        </w:rPr>
        <w:instrText>í:</w:instrText>
      </w:r>
      <w:r w:rsidRPr="00CB6B6D">
        <w:rPr>
          <w:i/>
        </w:rPr>
        <w:instrText>Tahāfut al-Falāsifah</w:instrText>
      </w:r>
      <w:r>
        <w:rPr>
          <w:lang w:val="cs-CZ"/>
        </w:rPr>
        <w:instrText xml:space="preserve"> 130</w:instrText>
      </w:r>
      <w:r>
        <w:instrText xml:space="preserve">" </w:instrText>
      </w:r>
      <w:r>
        <w:rPr>
          <w:rFonts w:eastAsia="NewAster"/>
        </w:rPr>
        <w:fldChar w:fldCharType="end"/>
      </w:r>
      <w:r>
        <w:rPr>
          <w:lang w:val="cs-CZ"/>
        </w:rPr>
        <w:t>)</w:t>
      </w:r>
    </w:p>
  </w:footnote>
  <w:footnote w:id="182">
    <w:p w14:paraId="3062E178" w14:textId="77777777" w:rsidR="00344048" w:rsidRPr="00B22259" w:rsidRDefault="00344048" w:rsidP="086B651F">
      <w:pPr>
        <w:pStyle w:val="Textpoznpodarou"/>
      </w:pPr>
      <w:r>
        <w:rPr>
          <w:rStyle w:val="Znakapoznpodarou"/>
        </w:rPr>
        <w:footnoteRef/>
      </w:r>
      <w:r w:rsidRPr="00A64FE7">
        <w:t xml:space="preserve"> „The final result of all their investigations into Divine Glory is that they have destroyed all that Glory signifies. </w:t>
      </w:r>
      <w:r w:rsidRPr="008673AA">
        <w:rPr>
          <w:lang w:val="en-US"/>
        </w:rPr>
        <w:t>They hav</w:t>
      </w:r>
      <w:r>
        <w:t>e made His condition comparable to that of a dead man who has no awareness of what goes on in the world – the only difference between Him and a dead man being that He knows Himself.” (</w:t>
      </w:r>
      <w:r w:rsidRPr="00CB6B6D">
        <w:rPr>
          <w:i/>
        </w:rPr>
        <w:t>Tahāfut al-Falāsifah</w:t>
      </w:r>
      <w:r>
        <w:t>, probl. III</w:t>
      </w:r>
      <w:r>
        <w:rPr>
          <w:lang w:val="cs-CZ"/>
        </w:rPr>
        <w:t xml:space="preserve">; </w:t>
      </w:r>
      <w:r>
        <w:t xml:space="preserve">ed. Kamali, </w:t>
      </w:r>
      <w:r>
        <w:rPr>
          <w:lang w:val="cs-CZ"/>
        </w:rPr>
        <w:t xml:space="preserve">p. </w:t>
      </w:r>
      <w:r>
        <w:t>80</w:t>
      </w:r>
      <w:r>
        <w:rPr>
          <w:i/>
        </w:rPr>
        <w:fldChar w:fldCharType="begin"/>
      </w:r>
      <w:r>
        <w:instrText xml:space="preserve"> XE "Al-Ghaz</w:instrText>
      </w:r>
      <w:r>
        <w:rPr>
          <w:lang w:val="cs-CZ"/>
        </w:rPr>
        <w:instrText>álí:</w:instrText>
      </w:r>
      <w:r w:rsidRPr="007613B0">
        <w:rPr>
          <w:i/>
        </w:rPr>
        <w:instrText>Tahāfut al-Falāsifah</w:instrText>
      </w:r>
      <w:r>
        <w:rPr>
          <w:i/>
          <w:lang w:val="cs-CZ"/>
        </w:rPr>
        <w:instrText xml:space="preserve"> </w:instrText>
      </w:r>
      <w:r w:rsidRPr="00BC5D32">
        <w:rPr>
          <w:lang w:val="cs-CZ"/>
        </w:rPr>
        <w:instrText>80</w:instrText>
      </w:r>
      <w:r>
        <w:instrText xml:space="preserve">" </w:instrText>
      </w:r>
      <w:r>
        <w:rPr>
          <w:i/>
        </w:rPr>
        <w:fldChar w:fldCharType="end"/>
      </w:r>
      <w:r>
        <w:t>).</w:t>
      </w:r>
    </w:p>
  </w:footnote>
  <w:footnote w:id="183">
    <w:p w14:paraId="5C707A9B" w14:textId="77777777" w:rsidR="00344048" w:rsidRPr="08416990" w:rsidRDefault="00344048" w:rsidP="08416990">
      <w:pPr>
        <w:pStyle w:val="Textpoznpodarou"/>
      </w:pPr>
      <w:r w:rsidRPr="08416990">
        <w:rPr>
          <w:rStyle w:val="Znakapoznpodarou"/>
        </w:rPr>
        <w:footnoteRef/>
      </w:r>
      <w:r w:rsidRPr="08416990">
        <w:t xml:space="preserve"> „</w:t>
      </w:r>
      <w:r>
        <w:t>The majority of their errors (a</w:t>
      </w:r>
      <w:r w:rsidRPr="08416990">
        <w:rPr>
          <w:i/>
        </w:rPr>
        <w:t>gh</w:t>
      </w:r>
      <w:r w:rsidRPr="08416990">
        <w:rPr>
          <w:rFonts w:cs="Calibri"/>
          <w:i/>
        </w:rPr>
        <w:t>ā</w:t>
      </w:r>
      <w:r w:rsidRPr="08416990">
        <w:rPr>
          <w:i/>
          <w:lang w:val="cs-CZ"/>
        </w:rPr>
        <w:t>l</w:t>
      </w:r>
      <w:r w:rsidRPr="08416990">
        <w:rPr>
          <w:rFonts w:cs="Calibri"/>
          <w:i/>
          <w:lang w:val="cs-CZ"/>
        </w:rPr>
        <w:t>īṭ</w:t>
      </w:r>
      <w:r w:rsidRPr="08416990">
        <w:t xml:space="preserve">) are in metaphysics. [Here,] they </w:t>
      </w:r>
      <w:r>
        <w:t>are unable to fulfi</w:t>
      </w:r>
      <w:r w:rsidRPr="08416990">
        <w:t>ll demonstration (</w:t>
      </w:r>
      <w:r w:rsidRPr="08416990">
        <w:rPr>
          <w:i/>
        </w:rPr>
        <w:t>burh</w:t>
      </w:r>
      <w:r w:rsidRPr="08416990">
        <w:rPr>
          <w:rFonts w:cs="Calibri"/>
          <w:i/>
        </w:rPr>
        <w:t>ā</w:t>
      </w:r>
      <w:r w:rsidRPr="08416990">
        <w:rPr>
          <w:i/>
        </w:rPr>
        <w:t>n</w:t>
      </w:r>
      <w:r w:rsidRPr="08416990">
        <w:t>) as they have set it out as a condition in logics. This is why most of the disagreements amongst them is in (the field of) metaphysics.</w:t>
      </w:r>
      <w:r>
        <w:rPr>
          <w:lang w:val="cs-CZ"/>
        </w:rPr>
        <w:t>“</w:t>
      </w:r>
      <w:r w:rsidRPr="08416990">
        <w:t xml:space="preserve"> (</w:t>
      </w:r>
      <w:r>
        <w:t>Al-Ghaz</w:t>
      </w:r>
      <w:r>
        <w:rPr>
          <w:rFonts w:cs="Calibri"/>
        </w:rPr>
        <w:t>ā</w:t>
      </w:r>
      <w:r>
        <w:t>l</w:t>
      </w:r>
      <w:r>
        <w:rPr>
          <w:rFonts w:cs="Calibri"/>
        </w:rPr>
        <w:t>ī</w:t>
      </w:r>
      <w:r w:rsidRPr="08416990">
        <w:t xml:space="preserve">, </w:t>
      </w:r>
      <w:r w:rsidRPr="08416990">
        <w:rPr>
          <w:i/>
        </w:rPr>
        <w:t>al-Munqidh</w:t>
      </w:r>
      <w:r w:rsidRPr="08416990">
        <w:t xml:space="preserve"> 23.14–15;</w:t>
      </w:r>
      <w:r>
        <w:t xml:space="preserve"> trad. Griffel 20</w:t>
      </w:r>
      <w:r>
        <w:rPr>
          <w:lang w:val="cs-CZ"/>
        </w:rPr>
        <w:t>0</w:t>
      </w:r>
      <w:r w:rsidRPr="08416990">
        <w:t>9, 100)</w:t>
      </w:r>
    </w:p>
  </w:footnote>
  <w:footnote w:id="184">
    <w:p w14:paraId="621C671F" w14:textId="77777777" w:rsidR="00344048" w:rsidRPr="08957AE5" w:rsidRDefault="00344048">
      <w:pPr>
        <w:pStyle w:val="Textpoznpodarou"/>
        <w:rPr>
          <w:lang w:val="cs-CZ"/>
        </w:rPr>
      </w:pPr>
      <w:r>
        <w:rPr>
          <w:rStyle w:val="Znakapoznpodarou"/>
        </w:rPr>
        <w:footnoteRef/>
      </w:r>
      <w:r>
        <w:t xml:space="preserve"> </w:t>
      </w:r>
      <w:r>
        <w:rPr>
          <w:lang w:val="cs-CZ"/>
        </w:rPr>
        <w:t>„</w:t>
      </w:r>
      <w:r>
        <w:rPr>
          <w:color w:val="000000"/>
          <w:lang w:val="en-US"/>
        </w:rPr>
        <w:t xml:space="preserve">Therefore, it is not improbable that something should be distinguished from what is opposed to it (as an alternative possibility) because of its relation to the system of things. But the moments of time are, on the contrary, absolutely similar in respect of the relation each bears to possibility and to the system of things. For this reason it is not possible to maintain that, if the creation of the world had been earlier or later by a single instant than it was, the system of things would not take shape.” </w:t>
      </w:r>
      <w:r>
        <w:rPr>
          <w:lang w:val="cs-CZ"/>
        </w:rPr>
        <w:t>(</w:t>
      </w:r>
      <w:r w:rsidRPr="008262BC">
        <w:t>Al-Ghazāl</w:t>
      </w:r>
      <w:r w:rsidRPr="008262BC">
        <w:rPr>
          <w:noProof/>
        </w:rPr>
        <w:t>ī</w:t>
      </w:r>
      <w:r>
        <w:t xml:space="preserve">, </w:t>
      </w:r>
      <w:r w:rsidRPr="00CB6B6D">
        <w:rPr>
          <w:i/>
        </w:rPr>
        <w:t>Tahāfut al-Falāsifah</w:t>
      </w:r>
      <w:r>
        <w:t xml:space="preserve">, probl. </w:t>
      </w:r>
      <w:r>
        <w:rPr>
          <w:lang w:val="cs-CZ"/>
        </w:rPr>
        <w:t>I;</w:t>
      </w:r>
      <w:r>
        <w:t xml:space="preserve"> ed. Kamali, </w:t>
      </w:r>
      <w:r>
        <w:rPr>
          <w:lang w:val="cs-CZ"/>
        </w:rPr>
        <w:t>p. 28</w:t>
      </w:r>
      <w:r>
        <w:rPr>
          <w:rFonts w:eastAsia="NewAster"/>
        </w:rPr>
        <w:fldChar w:fldCharType="begin"/>
      </w:r>
      <w:r>
        <w:instrText xml:space="preserve"> XE "</w:instrText>
      </w:r>
      <w:r>
        <w:rPr>
          <w:lang w:val="cs-CZ"/>
        </w:rPr>
        <w:instrText>Al</w:instrText>
      </w:r>
      <w:r>
        <w:instrText>-Ghaz</w:instrText>
      </w:r>
      <w:r>
        <w:rPr>
          <w:lang w:val="cs-CZ"/>
        </w:rPr>
        <w:instrText>á</w:instrText>
      </w:r>
      <w:r w:rsidRPr="008262BC">
        <w:instrText>l</w:instrText>
      </w:r>
      <w:r>
        <w:rPr>
          <w:noProof/>
          <w:lang w:val="cs-CZ"/>
        </w:rPr>
        <w:instrText>í:</w:instrText>
      </w:r>
      <w:r w:rsidRPr="00CB6B6D">
        <w:rPr>
          <w:i/>
        </w:rPr>
        <w:instrText>Tahāfut al-Falāsifah</w:instrText>
      </w:r>
      <w:r>
        <w:rPr>
          <w:lang w:val="cs-CZ"/>
        </w:rPr>
        <w:instrText xml:space="preserve"> 28</w:instrText>
      </w:r>
      <w:r>
        <w:instrText xml:space="preserve">" </w:instrText>
      </w:r>
      <w:r>
        <w:rPr>
          <w:rFonts w:eastAsia="NewAster"/>
        </w:rPr>
        <w:fldChar w:fldCharType="end"/>
      </w:r>
      <w:r>
        <w:rPr>
          <w:lang w:val="cs-CZ"/>
        </w:rPr>
        <w:t>)</w:t>
      </w:r>
    </w:p>
  </w:footnote>
  <w:footnote w:id="185">
    <w:p w14:paraId="76ACEFCB" w14:textId="77777777" w:rsidR="00344048" w:rsidRPr="00AD171A" w:rsidRDefault="00344048" w:rsidP="08FF6D13">
      <w:pPr>
        <w:pStyle w:val="Textpoznpodarou"/>
        <w:rPr>
          <w:lang w:val="cs-CZ"/>
        </w:rPr>
      </w:pPr>
      <w:r>
        <w:rPr>
          <w:rStyle w:val="Znakapoznpodarou"/>
        </w:rPr>
        <w:footnoteRef/>
      </w:r>
      <w:r>
        <w:t xml:space="preserve"> </w:t>
      </w:r>
      <w:r>
        <w:rPr>
          <w:lang w:val="cs-CZ"/>
        </w:rPr>
        <w:t>„</w:t>
      </w:r>
      <w:r w:rsidRPr="00AD171A">
        <w:rPr>
          <w:lang w:val="cs-CZ"/>
        </w:rPr>
        <w:t>An agent is he from whom an action proceeds because of the will for action: by way of free choice, and alongside of the knowledge of what is willed. But in your view the world bears the same relation to God as an effect to its cause. So it follows from Him by way of necessary causation. And, therefore, it is not conceivable that God should have been able to avoid His action, even as the shadow is unavoidable to a person, or light to the Sun. Now, this has nothing to do with an action.</w:t>
      </w:r>
      <w:r>
        <w:rPr>
          <w:lang w:val="cs-CZ"/>
        </w:rPr>
        <w:t>“ (</w:t>
      </w:r>
      <w:r w:rsidRPr="008262BC">
        <w:t>Al-Ghazāl</w:t>
      </w:r>
      <w:r w:rsidRPr="008262BC">
        <w:rPr>
          <w:noProof/>
        </w:rPr>
        <w:t>ī</w:t>
      </w:r>
      <w:r>
        <w:t xml:space="preserve">, </w:t>
      </w:r>
      <w:r w:rsidRPr="00CB6B6D">
        <w:rPr>
          <w:i/>
        </w:rPr>
        <w:t>Tahāfut al-Falāsifah</w:t>
      </w:r>
      <w:r>
        <w:t xml:space="preserve">, probl. </w:t>
      </w:r>
      <w:r>
        <w:rPr>
          <w:lang w:val="cs-CZ"/>
        </w:rPr>
        <w:t>III.1;</w:t>
      </w:r>
      <w:r>
        <w:t xml:space="preserve"> ed. Kamali, </w:t>
      </w:r>
      <w:r>
        <w:rPr>
          <w:lang w:val="cs-CZ"/>
        </w:rPr>
        <w:t>p. 64</w:t>
      </w:r>
      <w:r>
        <w:rPr>
          <w:rFonts w:eastAsia="NewAster"/>
        </w:rPr>
        <w:fldChar w:fldCharType="begin"/>
      </w:r>
      <w:r>
        <w:instrText xml:space="preserve"> XE "</w:instrText>
      </w:r>
      <w:r>
        <w:rPr>
          <w:lang w:val="cs-CZ"/>
        </w:rPr>
        <w:instrText>Al</w:instrText>
      </w:r>
      <w:r>
        <w:instrText>-Ghaz</w:instrText>
      </w:r>
      <w:r>
        <w:rPr>
          <w:lang w:val="cs-CZ"/>
        </w:rPr>
        <w:instrText>á</w:instrText>
      </w:r>
      <w:r w:rsidRPr="008262BC">
        <w:instrText>l</w:instrText>
      </w:r>
      <w:r>
        <w:rPr>
          <w:noProof/>
          <w:lang w:val="cs-CZ"/>
        </w:rPr>
        <w:instrText>í:</w:instrText>
      </w:r>
      <w:r w:rsidRPr="00CB6B6D">
        <w:rPr>
          <w:i/>
        </w:rPr>
        <w:instrText>Tahāfut al-Falāsifah</w:instrText>
      </w:r>
      <w:r>
        <w:rPr>
          <w:lang w:val="cs-CZ"/>
        </w:rPr>
        <w:instrText xml:space="preserve"> 64</w:instrText>
      </w:r>
      <w:r>
        <w:instrText xml:space="preserve">" </w:instrText>
      </w:r>
      <w:r>
        <w:rPr>
          <w:rFonts w:eastAsia="NewAster"/>
        </w:rPr>
        <w:fldChar w:fldCharType="end"/>
      </w:r>
      <w:r>
        <w:rPr>
          <w:lang w:val="cs-CZ"/>
        </w:rPr>
        <w:t xml:space="preserve">) </w:t>
      </w:r>
    </w:p>
  </w:footnote>
  <w:footnote w:id="186">
    <w:p w14:paraId="14BAFD22" w14:textId="77777777" w:rsidR="00344048" w:rsidRPr="08035F07" w:rsidRDefault="00344048" w:rsidP="00CC1773">
      <w:pPr>
        <w:pStyle w:val="Textpoznpodarou"/>
        <w:rPr>
          <w:lang w:val="de-DE"/>
        </w:rPr>
      </w:pPr>
      <w:r>
        <w:rPr>
          <w:rStyle w:val="Znakapoznpodarou"/>
        </w:rPr>
        <w:footnoteRef/>
      </w:r>
      <w:r w:rsidRPr="0047383E">
        <w:t xml:space="preserve"> „Diese unsere Weisheit ni</w:t>
      </w:r>
      <w:r>
        <w:t>mmt von jener Urweisheit den An</w:t>
      </w:r>
      <w:r w:rsidRPr="0047383E">
        <w:t>fang, und die Ursubstanz rührt von der Weisheit her. Nicht aber w</w:t>
      </w:r>
      <w:r w:rsidRPr="00B00BC0">
        <w:rPr>
          <w:lang w:val="de-DE"/>
        </w:rPr>
        <w:t>ar die Ursubstanz zuerst und dann erst die Weisheit, vielmehr ist die Substanz eben die Weisheit, auch ist die Urwesenheit die Substanz und die Substanz die Weisheit. Nicht, dass zuerst die Substanz und dann die Weisheit gewesen wäre, wie dies bei den Zweitsubstanzen der Fall ist, sondern Wesenheit, Substanz und Weisheit waren Eins.</w:t>
      </w:r>
      <w:r w:rsidRPr="00B00BC0">
        <w:rPr>
          <w:rFonts w:eastAsia="Century Schoolbook"/>
          <w:lang w:val="de-DE"/>
        </w:rPr>
        <w:t xml:space="preserve">“ </w:t>
      </w:r>
      <w:r w:rsidRPr="08035F07">
        <w:rPr>
          <w:rFonts w:eastAsia="Century Schoolbook"/>
          <w:lang w:val="de-DE"/>
        </w:rPr>
        <w:t>(</w:t>
      </w:r>
      <w:r w:rsidRPr="08035F07">
        <w:rPr>
          <w:rFonts w:eastAsia="Century Schoolbook"/>
          <w:i/>
          <w:lang w:val="de-DE"/>
        </w:rPr>
        <w:t>Theologia Aristotelis</w:t>
      </w:r>
      <w:r>
        <w:rPr>
          <w:rFonts w:eastAsia="Century Schoolbook"/>
          <w:lang w:val="de-DE"/>
        </w:rPr>
        <w:t>, ed. Dieteric</w:t>
      </w:r>
      <w:r w:rsidRPr="08035F07">
        <w:rPr>
          <w:rFonts w:eastAsia="Century Schoolbook"/>
          <w:lang w:val="de-DE"/>
        </w:rPr>
        <w:t>i</w:t>
      </w:r>
      <w:r>
        <w:rPr>
          <w:rFonts w:eastAsia="Century Schoolbook"/>
          <w:lang w:val="de-DE"/>
        </w:rPr>
        <w:fldChar w:fldCharType="begin"/>
      </w:r>
      <w:r>
        <w:instrText xml:space="preserve"> XE "</w:instrText>
      </w:r>
      <w:r w:rsidRPr="08035F07">
        <w:rPr>
          <w:rFonts w:eastAsia="Century Schoolbook"/>
          <w:i/>
          <w:lang w:val="de-DE"/>
        </w:rPr>
        <w:instrText>Theologia Aristotelis</w:instrText>
      </w:r>
      <w:r>
        <w:rPr>
          <w:lang w:val="cs-CZ"/>
        </w:rPr>
        <w:instrText xml:space="preserve"> 161</w:instrText>
      </w:r>
      <w:r>
        <w:instrText xml:space="preserve">" </w:instrText>
      </w:r>
      <w:r>
        <w:rPr>
          <w:rFonts w:eastAsia="Century Schoolbook"/>
          <w:lang w:val="de-DE"/>
        </w:rPr>
        <w:fldChar w:fldCharType="end"/>
      </w:r>
      <w:r w:rsidRPr="08035F07">
        <w:rPr>
          <w:rFonts w:eastAsia="Century Schoolbook"/>
          <w:lang w:val="de-DE"/>
        </w:rPr>
        <w:t>, p. 161)</w:t>
      </w:r>
    </w:p>
  </w:footnote>
  <w:footnote w:id="187">
    <w:p w14:paraId="648DAD42" w14:textId="77777777" w:rsidR="00344048" w:rsidRPr="004B4AA4" w:rsidRDefault="00344048" w:rsidP="00C9019A">
      <w:pPr>
        <w:pStyle w:val="Textpoznpodarou"/>
      </w:pPr>
      <w:r>
        <w:rPr>
          <w:rStyle w:val="Znakapoznpodarou"/>
        </w:rPr>
        <w:footnoteRef/>
      </w:r>
      <w:r>
        <w:t xml:space="preserve"> „Iam autem notum est quod differentiae non recipiuntur in definitione eius quod ponitur ut genus; igitur ipsae non acquirunt generi certitudinem, sed acquirunt ei esse in actu, sicut rationale. Rationale enim non acquirit intentionem animalitatis, sed acquirit ei esse in effectu per successionem essendi proprie.“ (</w:t>
      </w:r>
      <w:r w:rsidRPr="002B0478">
        <w:rPr>
          <w:i/>
        </w:rPr>
        <w:t>Liber de philosophia prima</w:t>
      </w:r>
      <w:r>
        <w:t xml:space="preserve"> I.7</w:t>
      </w:r>
      <w:r>
        <w:rPr>
          <w:lang w:val="cs-CZ"/>
        </w:rPr>
        <w:t>;</w:t>
      </w:r>
      <w:r>
        <w:t xml:space="preserve"> ed. Van Riet</w:t>
      </w:r>
      <w:r>
        <w:rPr>
          <w:lang w:val="cs-CZ"/>
        </w:rPr>
        <w:t xml:space="preserve">, </w:t>
      </w:r>
      <w:r>
        <w:t>p. 51.83–88</w:t>
      </w:r>
      <w:r>
        <w:rPr>
          <w:i/>
        </w:rPr>
        <w:fldChar w:fldCharType="begin"/>
      </w:r>
      <w:r>
        <w:instrText xml:space="preserve"> XE "</w:instrText>
      </w:r>
      <w:r w:rsidRPr="0027542C">
        <w:rPr>
          <w:lang w:val="cs-CZ"/>
        </w:rPr>
        <w:instrText>Avicenna:</w:instrText>
      </w:r>
      <w:r w:rsidRPr="00061AAC">
        <w:rPr>
          <w:i/>
          <w:noProof/>
        </w:rPr>
        <w:instrText>Liber de philosophia prima</w:instrText>
      </w:r>
      <w:r>
        <w:rPr>
          <w:noProof/>
        </w:rPr>
        <w:instrText xml:space="preserve"> </w:instrText>
      </w:r>
      <w:r>
        <w:rPr>
          <w:lang w:val="cs-CZ"/>
        </w:rPr>
        <w:instrText>51</w:instrText>
      </w:r>
      <w:r>
        <w:rPr>
          <w:noProof/>
        </w:rPr>
        <w:instrText>.</w:instrText>
      </w:r>
      <w:r>
        <w:rPr>
          <w:lang w:val="cs-CZ"/>
        </w:rPr>
        <w:instrText>83</w:instrText>
      </w:r>
      <w:r>
        <w:rPr>
          <w:noProof/>
        </w:rPr>
        <w:instrText>–</w:instrText>
      </w:r>
      <w:r>
        <w:rPr>
          <w:lang w:val="cs-CZ"/>
        </w:rPr>
        <w:instrText>88</w:instrText>
      </w:r>
      <w:r>
        <w:instrText xml:space="preserve">" </w:instrText>
      </w:r>
      <w:r>
        <w:rPr>
          <w:i/>
        </w:rPr>
        <w:fldChar w:fldCharType="end"/>
      </w:r>
      <w:r>
        <w:t>)</w:t>
      </w:r>
    </w:p>
  </w:footnote>
  <w:footnote w:id="188">
    <w:p w14:paraId="2A3CA7C0" w14:textId="77777777" w:rsidR="00344048" w:rsidRPr="0063384D" w:rsidRDefault="00344048" w:rsidP="00C9019A">
      <w:pPr>
        <w:pStyle w:val="Textpoznpodarou"/>
      </w:pPr>
      <w:r>
        <w:rPr>
          <w:rStyle w:val="Znakapoznpodarou"/>
        </w:rPr>
        <w:footnoteRef/>
      </w:r>
      <w:r>
        <w:t xml:space="preserve"> Postmoderní modifikaci </w:t>
      </w:r>
      <w:r>
        <w:rPr>
          <w:lang w:val="cs-CZ"/>
        </w:rPr>
        <w:t xml:space="preserve">tohoto </w:t>
      </w:r>
      <w:r>
        <w:t>pojetí najdeme v Kritice čistého rozumu, kde Kant definuje rozdíl mezi dvěma formami nazírání (</w:t>
      </w:r>
      <w:r w:rsidRPr="0063384D">
        <w:rPr>
          <w:i/>
        </w:rPr>
        <w:t>Anschauung</w:t>
      </w:r>
      <w:r>
        <w:t xml:space="preserve">). Člověk má </w:t>
      </w:r>
      <w:r>
        <w:rPr>
          <w:i/>
          <w:iCs/>
        </w:rPr>
        <w:t>intuitus derivativus</w:t>
      </w:r>
      <w:r>
        <w:t xml:space="preserve"> </w:t>
      </w:r>
      <w:r>
        <w:rPr>
          <w:lang w:val="cs-CZ"/>
        </w:rPr>
        <w:t xml:space="preserve">determinovaný recepcí poznání od </w:t>
      </w:r>
      <w:r>
        <w:t>smyslových počitků</w:t>
      </w:r>
      <w:r>
        <w:rPr>
          <w:lang w:val="cs-CZ"/>
        </w:rPr>
        <w:t xml:space="preserve">, zatímco </w:t>
      </w:r>
      <w:r>
        <w:t xml:space="preserve">bůh má </w:t>
      </w:r>
      <w:r>
        <w:rPr>
          <w:i/>
          <w:iCs/>
        </w:rPr>
        <w:t>intuitus</w:t>
      </w:r>
      <w:r>
        <w:t xml:space="preserve"> </w:t>
      </w:r>
      <w:r>
        <w:rPr>
          <w:i/>
          <w:iCs/>
        </w:rPr>
        <w:t>originarius</w:t>
      </w:r>
      <w:r>
        <w:t>, který</w:t>
      </w:r>
      <w:r>
        <w:rPr>
          <w:lang w:val="cs-CZ"/>
        </w:rPr>
        <w:t xml:space="preserve"> myšlením </w:t>
      </w:r>
      <w:r>
        <w:t>tvoří nazíraný objekt (</w:t>
      </w:r>
      <w:r w:rsidRPr="002626BA">
        <w:rPr>
          <w:iCs/>
        </w:rPr>
        <w:t>K</w:t>
      </w:r>
      <w:r>
        <w:rPr>
          <w:iCs/>
        </w:rPr>
        <w:t>dR</w:t>
      </w:r>
      <w:r w:rsidRPr="002626BA">
        <w:rPr>
          <w:iCs/>
        </w:rPr>
        <w:t>V</w:t>
      </w:r>
      <w:r w:rsidRPr="0063384D">
        <w:t xml:space="preserve">, </w:t>
      </w:r>
      <w:r w:rsidRPr="0063384D">
        <w:rPr>
          <w:iCs/>
        </w:rPr>
        <w:t>B</w:t>
      </w:r>
      <w:r w:rsidRPr="0063384D">
        <w:t xml:space="preserve"> 72</w:t>
      </w:r>
      <w:r>
        <w:fldChar w:fldCharType="begin"/>
      </w:r>
      <w:r>
        <w:instrText xml:space="preserve"> XE "</w:instrText>
      </w:r>
      <w:r>
        <w:rPr>
          <w:lang w:val="cs-CZ"/>
        </w:rPr>
        <w:instrText>Kant:</w:instrText>
      </w:r>
      <w:r w:rsidRPr="00CA3E28">
        <w:rPr>
          <w:iCs/>
        </w:rPr>
        <w:instrText>KrV</w:instrText>
      </w:r>
      <w:r>
        <w:instrText>,</w:instrText>
      </w:r>
      <w:r>
        <w:rPr>
          <w:lang w:val="cs-CZ"/>
        </w:rPr>
        <w:instrText xml:space="preserve"> B 72</w:instrText>
      </w:r>
      <w:r>
        <w:instrText xml:space="preserve">" </w:instrText>
      </w:r>
      <w:r>
        <w:fldChar w:fldCharType="end"/>
      </w:r>
      <w:r>
        <w:t>).</w:t>
      </w:r>
    </w:p>
  </w:footnote>
  <w:footnote w:id="189">
    <w:p w14:paraId="5FB15673" w14:textId="77777777" w:rsidR="00344048" w:rsidRPr="0894479D" w:rsidRDefault="00344048" w:rsidP="00F83B9A">
      <w:pPr>
        <w:pStyle w:val="Textpoznpodarou"/>
        <w:rPr>
          <w:lang w:val="cs-CZ"/>
        </w:rPr>
      </w:pPr>
      <w:r w:rsidRPr="0894479D">
        <w:rPr>
          <w:rStyle w:val="Znakapoznpodarou"/>
        </w:rPr>
        <w:footnoteRef/>
      </w:r>
      <w:r w:rsidRPr="0894479D">
        <w:t xml:space="preserve"> „Die Poesie, also die bewusste Erdichtung, war demnach „nur tolerierbar, wenn sie eine Wahrheit aussage im Sinne der Übereinstimmung mit der Wirklichkeit, d.h. der Übereinstimmung zwischen der Beschreibung (</w:t>
      </w:r>
      <w:r w:rsidRPr="0894479D">
        <w:rPr>
          <w:i/>
        </w:rPr>
        <w:t>wasf</w:t>
      </w:r>
      <w:r w:rsidRPr="0894479D">
        <w:t>) und dem Beschriebenen (</w:t>
      </w:r>
      <w:r w:rsidRPr="0894479D">
        <w:rPr>
          <w:i/>
        </w:rPr>
        <w:t>mawsuf</w:t>
      </w:r>
      <w:r w:rsidRPr="0894479D">
        <w:t>).“</w:t>
      </w:r>
      <w:r>
        <w:rPr>
          <w:lang w:val="cs-CZ"/>
        </w:rPr>
        <w:t xml:space="preserve"> (</w:t>
      </w:r>
      <w:r w:rsidRPr="08FA4714">
        <w:rPr>
          <w:lang w:val="cs-CZ"/>
        </w:rPr>
        <w:t>Schöller</w:t>
      </w:r>
      <w:r>
        <w:rPr>
          <w:lang w:val="cs-CZ"/>
        </w:rPr>
        <w:t xml:space="preserve"> 2001, 139)</w:t>
      </w:r>
    </w:p>
  </w:footnote>
  <w:footnote w:id="190">
    <w:p w14:paraId="73FC445E" w14:textId="77777777" w:rsidR="00344048" w:rsidRPr="00D81F1D" w:rsidRDefault="00344048">
      <w:pPr>
        <w:pStyle w:val="Textpoznpodarou"/>
        <w:rPr>
          <w:lang w:val="cs-CZ"/>
        </w:rPr>
      </w:pPr>
      <w:r>
        <w:rPr>
          <w:rStyle w:val="Znakapoznpodarou"/>
        </w:rPr>
        <w:footnoteRef/>
      </w:r>
      <w:r>
        <w:t xml:space="preserve"> </w:t>
      </w:r>
      <w:r w:rsidRPr="00273106">
        <w:rPr>
          <w:noProof/>
        </w:rPr>
        <w:t>„However, there is a [certain] aporia in this; for if that which is always true is found only in that which exists always in actuality, there is no proof [of the truth] for things which exist now in actuality, now in potentiality.“ (</w:t>
      </w:r>
      <w:r w:rsidRPr="00273106">
        <w:rPr>
          <w:i/>
          <w:noProof/>
        </w:rPr>
        <w:t>Averroes On Aristotle’s Metaphysics</w:t>
      </w:r>
      <w:r w:rsidRPr="00273106">
        <w:rPr>
          <w:noProof/>
        </w:rPr>
        <w:t>; ed. Arnzen, p. 109</w:t>
      </w:r>
      <w:r>
        <w:rPr>
          <w:noProof/>
          <w:lang w:val="cs-CZ"/>
        </w:rPr>
        <w:t>.417</w:t>
      </w:r>
      <w:r>
        <w:rPr>
          <w:i/>
          <w:lang w:eastAsia="en-US"/>
        </w:rPr>
        <w:fldChar w:fldCharType="begin"/>
      </w:r>
      <w:r>
        <w:instrText xml:space="preserve"> XE "</w:instrText>
      </w:r>
      <w:r>
        <w:rPr>
          <w:rStyle w:val="Zvraznn"/>
          <w:i w:val="0"/>
        </w:rPr>
        <w:instrText>Averroes</w:instrText>
      </w:r>
      <w:r w:rsidRPr="001E16F9">
        <w:rPr>
          <w:rStyle w:val="Zvraznn"/>
          <w:i w:val="0"/>
        </w:rPr>
        <w:instrText>:</w:instrText>
      </w:r>
      <w:r w:rsidRPr="00273106">
        <w:rPr>
          <w:i/>
          <w:noProof/>
        </w:rPr>
        <w:instrText>Averroes On Aristotle’s Metaphysics</w:instrText>
      </w:r>
      <w:r w:rsidRPr="00273106">
        <w:rPr>
          <w:i/>
          <w:lang w:eastAsia="en-US"/>
        </w:rPr>
        <w:instrText xml:space="preserve"> </w:instrText>
      </w:r>
      <w:r w:rsidRPr="00D173AC">
        <w:rPr>
          <w:lang w:val="cs-CZ" w:eastAsia="en-US"/>
        </w:rPr>
        <w:instrText>109</w:instrText>
      </w:r>
      <w:r>
        <w:rPr>
          <w:lang w:val="cs-CZ" w:eastAsia="en-US"/>
        </w:rPr>
        <w:instrText>.417</w:instrText>
      </w:r>
      <w:r>
        <w:instrText xml:space="preserve">" </w:instrText>
      </w:r>
      <w:r>
        <w:rPr>
          <w:i/>
          <w:lang w:eastAsia="en-US"/>
        </w:rPr>
        <w:fldChar w:fldCharType="end"/>
      </w:r>
      <w:r w:rsidRPr="00273106">
        <w:rPr>
          <w:noProof/>
        </w:rPr>
        <w:t>)</w:t>
      </w:r>
    </w:p>
  </w:footnote>
  <w:footnote w:id="191">
    <w:p w14:paraId="2FD7BF43" w14:textId="77777777" w:rsidR="00344048" w:rsidRPr="00B8494F" w:rsidRDefault="00344048">
      <w:pPr>
        <w:pStyle w:val="Textpoznpodarou"/>
      </w:pPr>
      <w:r>
        <w:rPr>
          <w:rStyle w:val="Znakapoznpodarou"/>
        </w:rPr>
        <w:footnoteRef/>
      </w:r>
      <w:r>
        <w:t xml:space="preserve"> </w:t>
      </w:r>
      <w:r>
        <w:rPr>
          <w:noProof/>
          <w:lang w:eastAsia="en-US"/>
        </w:rPr>
        <w:t>„</w:t>
      </w:r>
      <w:r>
        <w:t>Therefore, there is no falsity in these [things] except in the form of error, that is by believing that which is combined to be separated or that which is separated to be combined.“ (</w:t>
      </w:r>
      <w:r w:rsidRPr="00CA4B05">
        <w:rPr>
          <w:i/>
        </w:rPr>
        <w:t>Averroes On Aristotle’s Metaphysics</w:t>
      </w:r>
      <w:r>
        <w:rPr>
          <w:lang w:val="cs-CZ"/>
        </w:rPr>
        <w:t>;</w:t>
      </w:r>
      <w:r>
        <w:rPr>
          <w:noProof/>
          <w:lang w:val="cs-CZ" w:eastAsia="en-US"/>
        </w:rPr>
        <w:t xml:space="preserve"> </w:t>
      </w:r>
      <w:r w:rsidRPr="00CA4B05">
        <w:t xml:space="preserve">ed. </w:t>
      </w:r>
      <w:r>
        <w:rPr>
          <w:rStyle w:val="st"/>
        </w:rPr>
        <w:t xml:space="preserve">Arnzen, </w:t>
      </w:r>
      <w:r>
        <w:t>p. 110</w:t>
      </w:r>
      <w:r>
        <w:rPr>
          <w:lang w:val="cs-CZ"/>
        </w:rPr>
        <w:t>.423</w:t>
      </w:r>
      <w:r>
        <w:rPr>
          <w:i/>
          <w:lang w:eastAsia="en-US"/>
        </w:rPr>
        <w:fldChar w:fldCharType="begin"/>
      </w:r>
      <w:r>
        <w:instrText xml:space="preserve"> XE "</w:instrText>
      </w:r>
      <w:r>
        <w:rPr>
          <w:rStyle w:val="Zvraznn"/>
          <w:i w:val="0"/>
        </w:rPr>
        <w:instrText>Averroes</w:instrText>
      </w:r>
      <w:r w:rsidRPr="001E16F9">
        <w:rPr>
          <w:rStyle w:val="Zvraznn"/>
          <w:i w:val="0"/>
        </w:rPr>
        <w:instrText>:</w:instrText>
      </w:r>
      <w:r w:rsidRPr="00273106">
        <w:rPr>
          <w:i/>
          <w:noProof/>
        </w:rPr>
        <w:instrText>Averroes On Aristotle’s Metaphysics</w:instrText>
      </w:r>
      <w:r w:rsidRPr="00273106">
        <w:rPr>
          <w:i/>
          <w:lang w:eastAsia="en-US"/>
        </w:rPr>
        <w:instrText xml:space="preserve"> </w:instrText>
      </w:r>
      <w:r w:rsidRPr="00D173AC">
        <w:rPr>
          <w:lang w:val="cs-CZ" w:eastAsia="en-US"/>
        </w:rPr>
        <w:instrText>1</w:instrText>
      </w:r>
      <w:r>
        <w:rPr>
          <w:lang w:val="cs-CZ" w:eastAsia="en-US"/>
        </w:rPr>
        <w:instrText>10.423</w:instrText>
      </w:r>
      <w:r>
        <w:instrText xml:space="preserve">" </w:instrText>
      </w:r>
      <w:r>
        <w:rPr>
          <w:i/>
          <w:lang w:eastAsia="en-US"/>
        </w:rPr>
        <w:fldChar w:fldCharType="end"/>
      </w:r>
      <w:r>
        <w:t>)</w:t>
      </w:r>
    </w:p>
  </w:footnote>
  <w:footnote w:id="192">
    <w:p w14:paraId="02D14396" w14:textId="77777777" w:rsidR="00344048" w:rsidRPr="00A10F65" w:rsidRDefault="00344048" w:rsidP="085F5642">
      <w:pPr>
        <w:pStyle w:val="Textpoznpodarou"/>
      </w:pPr>
      <w:r>
        <w:rPr>
          <w:rStyle w:val="Znakapoznpodarou"/>
        </w:rPr>
        <w:footnoteRef/>
      </w:r>
      <w:r>
        <w:t xml:space="preserve"> Opakem je citovaný Davidsonův spis (</w:t>
      </w:r>
      <w:r w:rsidRPr="001C0691">
        <w:rPr>
          <w:i/>
          <w:noProof/>
        </w:rPr>
        <w:t>Alfarabi, Avicenna, and Averroes, on Intellect</w:t>
      </w:r>
      <w:r>
        <w:rPr>
          <w:noProof/>
        </w:rPr>
        <w:t>, 1992</w:t>
      </w:r>
      <w:r>
        <w:t>), který arbitrárně rozdělil Averroesovo pojetí intelektu do tří oddělených etap. Fundovanou kritiku Davidsona podal úvod k Averroesovým dílům o intelektu ze středního období (</w:t>
      </w:r>
      <w:r w:rsidRPr="00EA2DC3">
        <w:rPr>
          <w:i/>
        </w:rPr>
        <w:t>La béatitude de l’âme</w:t>
      </w:r>
      <w:r>
        <w:t xml:space="preserve">, ed. Geoffroy&amp;Steel </w:t>
      </w:r>
      <w:r>
        <w:rPr>
          <w:noProof/>
          <w:lang w:eastAsia="en-US"/>
        </w:rPr>
        <w:t>2001, 47</w:t>
      </w:r>
      <w:r>
        <w:rPr>
          <w:noProof/>
        </w:rPr>
        <w:t>–</w:t>
      </w:r>
      <w:r>
        <w:rPr>
          <w:noProof/>
          <w:lang w:eastAsia="en-US"/>
        </w:rPr>
        <w:t>51; 62; 69)</w:t>
      </w:r>
      <w:r>
        <w:t>.</w:t>
      </w:r>
      <w:r w:rsidRPr="00A10F65">
        <w:t xml:space="preserve"> </w:t>
      </w:r>
    </w:p>
  </w:footnote>
  <w:footnote w:id="193">
    <w:p w14:paraId="311A8797" w14:textId="0270D2D1" w:rsidR="00344048" w:rsidRPr="001D5B2C" w:rsidRDefault="00344048" w:rsidP="085F5642">
      <w:pPr>
        <w:pStyle w:val="Textpoznpodarou"/>
      </w:pPr>
      <w:r>
        <w:rPr>
          <w:rStyle w:val="Znakapoznpodarou"/>
        </w:rPr>
        <w:footnoteRef/>
      </w:r>
      <w:r>
        <w:t xml:space="preserve"> Latinská verze Avicennovy </w:t>
      </w:r>
      <w:r w:rsidRPr="00837E3C">
        <w:rPr>
          <w:i/>
        </w:rPr>
        <w:t>De anima</w:t>
      </w:r>
      <w:r>
        <w:t xml:space="preserve"> </w:t>
      </w:r>
      <w:r>
        <w:rPr>
          <w:lang w:val="cs-CZ"/>
        </w:rPr>
        <w:t xml:space="preserve">používá pro možný intelekt </w:t>
      </w:r>
      <w:r>
        <w:t xml:space="preserve">termín </w:t>
      </w:r>
      <w:r w:rsidRPr="00481DED">
        <w:rPr>
          <w:i/>
        </w:rPr>
        <w:t>intellectus materialis</w:t>
      </w:r>
      <w:r>
        <w:t xml:space="preserve"> (Wéber 1991, 347). Jakub z Benátek zmiňuje termín </w:t>
      </w:r>
      <w:r w:rsidRPr="008A32E1">
        <w:rPr>
          <w:i/>
        </w:rPr>
        <w:t>intellectus possibilis</w:t>
      </w:r>
      <w:r>
        <w:t xml:space="preserve"> (</w:t>
      </w:r>
      <w:r w:rsidRPr="0077665C">
        <w:rPr>
          <w:i/>
        </w:rPr>
        <w:t>D</w:t>
      </w:r>
      <w:r w:rsidRPr="0077665C">
        <w:rPr>
          <w:i/>
          <w:lang w:val="cs-CZ"/>
        </w:rPr>
        <w:t>e anima</w:t>
      </w:r>
      <w:r>
        <w:t xml:space="preserve"> 430a24</w:t>
      </w:r>
      <w:r>
        <w:rPr>
          <w:lang w:eastAsia="en-US"/>
        </w:rPr>
        <w:fldChar w:fldCharType="begin"/>
      </w:r>
      <w:r>
        <w:instrText xml:space="preserve"> XE "</w:instrText>
      </w:r>
      <w:r>
        <w:rPr>
          <w:lang w:eastAsia="en-US"/>
        </w:rPr>
        <w:instrText>Aristoteles</w:instrText>
      </w:r>
      <w:r>
        <w:rPr>
          <w:lang w:val="cs-CZ" w:eastAsia="en-US"/>
        </w:rPr>
        <w:instrText>:</w:instrText>
      </w:r>
      <w:r w:rsidRPr="003B6E2D">
        <w:rPr>
          <w:i/>
          <w:lang w:val="cs-CZ" w:eastAsia="en-US"/>
        </w:rPr>
        <w:instrText>De anima</w:instrText>
      </w:r>
      <w:r>
        <w:rPr>
          <w:lang w:val="cs-CZ" w:eastAsia="en-US"/>
        </w:rPr>
        <w:instrText xml:space="preserve"> 430a24</w:instrText>
      </w:r>
      <w:r>
        <w:instrText xml:space="preserve">" </w:instrText>
      </w:r>
      <w:r>
        <w:rPr>
          <w:lang w:eastAsia="en-US"/>
        </w:rPr>
        <w:fldChar w:fldCharType="end"/>
      </w:r>
      <w:r>
        <w:t>) v</w:t>
      </w:r>
      <w:r>
        <w:rPr>
          <w:lang w:val="cs-CZ"/>
        </w:rPr>
        <w:t xml:space="preserve"> </w:t>
      </w:r>
      <w:r>
        <w:t xml:space="preserve">překladu </w:t>
      </w:r>
      <w:r w:rsidRPr="00837E3C">
        <w:rPr>
          <w:i/>
        </w:rPr>
        <w:t>De anima</w:t>
      </w:r>
      <w:r>
        <w:rPr>
          <w:lang w:val="cs-CZ"/>
        </w:rPr>
        <w:t xml:space="preserve">, což dosvědčuje </w:t>
      </w:r>
      <w:r>
        <w:t>parafráz</w:t>
      </w:r>
      <w:r>
        <w:rPr>
          <w:lang w:val="cs-CZ"/>
        </w:rPr>
        <w:t xml:space="preserve">e jeho překladu kolem </w:t>
      </w:r>
      <w:r>
        <w:t>1245 (</w:t>
      </w:r>
      <w:r w:rsidRPr="088C7F15">
        <w:rPr>
          <w:i/>
        </w:rPr>
        <w:t>Lectura in librum de anima a quodam discipulo reportata</w:t>
      </w:r>
      <w:r>
        <w:rPr>
          <w:lang w:val="cs-CZ"/>
        </w:rPr>
        <w:t>; e</w:t>
      </w:r>
      <w:r w:rsidRPr="088C7F15">
        <w:t>d. R.-A. G</w:t>
      </w:r>
      <w:r>
        <w:rPr>
          <w:lang w:val="cs-CZ"/>
        </w:rPr>
        <w:t>authier</w:t>
      </w:r>
      <w:r w:rsidRPr="088C7F15">
        <w:t>, 1985</w:t>
      </w:r>
      <w:r>
        <w:rPr>
          <w:lang w:val="cs-CZ"/>
        </w:rPr>
        <w:t>)</w:t>
      </w:r>
      <w:r>
        <w:rPr>
          <w:rStyle w:val="st"/>
        </w:rPr>
        <w:t>.</w:t>
      </w:r>
      <w:r>
        <w:rPr>
          <w:rStyle w:val="st"/>
          <w:lang w:val="cs-CZ"/>
        </w:rPr>
        <w:t xml:space="preserve"> </w:t>
      </w:r>
      <w:r>
        <w:t xml:space="preserve">Anonymní autor spisu </w:t>
      </w:r>
      <w:r>
        <w:rPr>
          <w:i/>
        </w:rPr>
        <w:t>De anima et de potenciis eius</w:t>
      </w:r>
      <w:r>
        <w:t xml:space="preserve"> (asi 1225) poprvé </w:t>
      </w:r>
      <w:r>
        <w:rPr>
          <w:lang w:val="cs-CZ"/>
        </w:rPr>
        <w:t xml:space="preserve">na Západě </w:t>
      </w:r>
      <w:r>
        <w:t xml:space="preserve">používá termín </w:t>
      </w:r>
      <w:r w:rsidRPr="008A32E1">
        <w:rPr>
          <w:i/>
        </w:rPr>
        <w:t>intellectus possibilis</w:t>
      </w:r>
      <w:r>
        <w:t xml:space="preserve"> ve významu </w:t>
      </w:r>
      <w:r w:rsidRPr="00837E3C">
        <w:rPr>
          <w:i/>
        </w:rPr>
        <w:t>De anima</w:t>
      </w:r>
      <w:r>
        <w:t xml:space="preserve"> III.5 podaném podle Averroesova komentáře CMDA (ed. Gauthier 1982, pp. 30, 50).</w:t>
      </w:r>
    </w:p>
  </w:footnote>
  <w:footnote w:id="194">
    <w:p w14:paraId="61D08B3D" w14:textId="77777777" w:rsidR="00344048" w:rsidRPr="000E3CB9" w:rsidRDefault="00344048" w:rsidP="085F5642">
      <w:pPr>
        <w:pStyle w:val="Textpoznpodarou"/>
        <w:rPr>
          <w:lang w:val="cs-CZ"/>
        </w:rPr>
      </w:pPr>
      <w:r>
        <w:rPr>
          <w:rStyle w:val="Znakapoznpodarou"/>
        </w:rPr>
        <w:footnoteRef/>
      </w:r>
      <w:r>
        <w:t xml:space="preserve"> </w:t>
      </w:r>
      <w:r>
        <w:rPr>
          <w:lang w:val="cs-CZ"/>
        </w:rPr>
        <w:t>„</w:t>
      </w:r>
      <w:r w:rsidRPr="000E3CB9">
        <w:rPr>
          <w:lang w:val="cs-CZ"/>
        </w:rPr>
        <w:t>Et hoc contr</w:t>
      </w:r>
      <w:r>
        <w:rPr>
          <w:lang w:val="cs-CZ"/>
        </w:rPr>
        <w:t xml:space="preserve">arium est ei quod contingit </w:t>
      </w:r>
      <w:r w:rsidRPr="000E3CB9">
        <w:rPr>
          <w:lang w:val="cs-CZ"/>
        </w:rPr>
        <w:t>Modernis; nullus enim est sciens et perfectus apud eos nisi qui est Alexandreus. Et causa in hoc est famositas istius viri, et quia creditur esse vere unus de bonis expositoribus.</w:t>
      </w:r>
      <w:r>
        <w:rPr>
          <w:lang w:val="cs-CZ"/>
        </w:rPr>
        <w:t xml:space="preserve">“ </w:t>
      </w:r>
      <w:r w:rsidRPr="00273106">
        <w:rPr>
          <w:noProof/>
          <w:lang w:val="cs-CZ"/>
        </w:rPr>
        <w:t>(</w:t>
      </w:r>
      <w:r>
        <w:rPr>
          <w:noProof/>
          <w:lang w:val="cs-CZ"/>
        </w:rPr>
        <w:t>CMDA III.14; 433.149‒</w:t>
      </w:r>
      <w:r w:rsidRPr="00273106">
        <w:rPr>
          <w:noProof/>
          <w:lang w:val="cs-CZ"/>
        </w:rPr>
        <w:t>53</w:t>
      </w:r>
      <w:r>
        <w:rPr>
          <w:noProof/>
          <w:lang w:val="cs-CZ"/>
        </w:rPr>
        <w:fldChar w:fldCharType="begin"/>
      </w:r>
      <w:r>
        <w:instrText xml:space="preserve"> XE "</w:instrText>
      </w:r>
      <w:r>
        <w:rPr>
          <w:lang w:val="cs-CZ"/>
        </w:rPr>
        <w:instrText>Averroes:</w:instrText>
      </w:r>
      <w:r>
        <w:rPr>
          <w:noProof/>
          <w:lang w:val="cs-CZ"/>
        </w:rPr>
        <w:instrText>CMDA 433.149‒</w:instrText>
      </w:r>
      <w:r w:rsidRPr="00C13695">
        <w:rPr>
          <w:noProof/>
          <w:lang w:val="cs-CZ"/>
        </w:rPr>
        <w:instrText>53</w:instrText>
      </w:r>
      <w:r>
        <w:instrText xml:space="preserve">" </w:instrText>
      </w:r>
      <w:r>
        <w:rPr>
          <w:noProof/>
          <w:lang w:val="cs-CZ"/>
        </w:rPr>
        <w:fldChar w:fldCharType="end"/>
      </w:r>
      <w:r w:rsidRPr="00273106">
        <w:rPr>
          <w:noProof/>
          <w:lang w:val="cs-CZ"/>
        </w:rPr>
        <w:t>)</w:t>
      </w:r>
    </w:p>
  </w:footnote>
  <w:footnote w:id="195">
    <w:p w14:paraId="187A9CC6" w14:textId="10AD60F6" w:rsidR="00344048" w:rsidRPr="002D34C5" w:rsidRDefault="00344048" w:rsidP="085F5642">
      <w:pPr>
        <w:pStyle w:val="Textpoznpodarou"/>
      </w:pPr>
      <w:r>
        <w:rPr>
          <w:rStyle w:val="Znakapoznpodarou"/>
        </w:rPr>
        <w:footnoteRef/>
      </w:r>
      <w:r>
        <w:t xml:space="preserve"> </w:t>
      </w:r>
      <w:r>
        <w:rPr>
          <w:lang w:val="cs-CZ"/>
        </w:rPr>
        <w:t>C</w:t>
      </w:r>
      <w:r>
        <w:t>itace</w:t>
      </w:r>
      <w:r>
        <w:rPr>
          <w:lang w:val="cs-CZ"/>
        </w:rPr>
        <w:t xml:space="preserve"> </w:t>
      </w:r>
      <w:r>
        <w:t xml:space="preserve">Gauthiera se nachází v kritickém vydání Akvinského </w:t>
      </w:r>
      <w:r>
        <w:rPr>
          <w:i/>
        </w:rPr>
        <w:t>Sentencia libri De anima</w:t>
      </w:r>
      <w:r>
        <w:t xml:space="preserve">, </w:t>
      </w:r>
      <w:r>
        <w:rPr>
          <w:i/>
        </w:rPr>
        <w:t>Editio Leonina</w:t>
      </w:r>
      <w:r>
        <w:t xml:space="preserve"> 45/1, 1984, p. 222*. Původní znění je od Nogalese: „Averroes is not Averroist. If it is true  that there have been Averroists who have admitted the unicity of the human intellekt, that is not the case for Averroes himself, who admits the individual immortality of the human soul, even in the material intellect.“ (Nogales 1976, 177)</w:t>
      </w:r>
    </w:p>
  </w:footnote>
  <w:footnote w:id="196">
    <w:p w14:paraId="32DD03D7" w14:textId="2FFCA064" w:rsidR="00344048" w:rsidRPr="000A63DB" w:rsidRDefault="00344048" w:rsidP="000A63DB">
      <w:pPr>
        <w:pStyle w:val="Textpoznpodarou"/>
      </w:pPr>
      <w:r w:rsidRPr="000A63DB">
        <w:rPr>
          <w:rStyle w:val="Znakapoznpodarou"/>
        </w:rPr>
        <w:footnoteRef/>
      </w:r>
      <w:r w:rsidRPr="000A63DB">
        <w:t xml:space="preserve"> </w:t>
      </w:r>
      <w:r>
        <w:rPr>
          <w:lang w:val="cs-CZ"/>
        </w:rPr>
        <w:t>„</w:t>
      </w:r>
      <w:r w:rsidRPr="000A63DB">
        <w:t>And likewise if we understand by ‘existence’ a mental attribute, it is not an addition to the essence, but if we understand it as being an accident, in the way Avicenna regards it in the composite existent, then it becomes difficult to explain how the uncompounded can be the quiddity itself, although one might say perhaps: ‘In the way the knowledge in the uncompoun</w:t>
      </w:r>
      <w:r>
        <w:t>ded becomes the knower himself.</w:t>
      </w:r>
      <w:r w:rsidRPr="000A63DB">
        <w:t>‘</w:t>
      </w:r>
      <w:r>
        <w:rPr>
          <w:lang w:val="cs-CZ"/>
        </w:rPr>
        <w:t>“</w:t>
      </w:r>
      <w:r w:rsidRPr="000A63DB">
        <w:t xml:space="preserve"> (</w:t>
      </w:r>
      <w:r w:rsidRPr="006847E7">
        <w:rPr>
          <w:i/>
        </w:rPr>
        <w:t>Tahafut al-tahafut</w:t>
      </w:r>
      <w:r>
        <w:rPr>
          <w:i/>
        </w:rPr>
        <w:fldChar w:fldCharType="begin"/>
      </w:r>
      <w:r>
        <w:instrText xml:space="preserve"> XE "</w:instrText>
      </w:r>
      <w:r>
        <w:rPr>
          <w:lang w:val="cs-CZ"/>
        </w:rPr>
        <w:instrText>Averroes:</w:instrText>
      </w:r>
      <w:r w:rsidRPr="00274DE9">
        <w:rPr>
          <w:i/>
        </w:rPr>
        <w:instrText>Tahafut al-tahafut</w:instrText>
      </w:r>
      <w:r>
        <w:rPr>
          <w:i/>
          <w:lang w:val="cs-CZ"/>
        </w:rPr>
        <w:instrText xml:space="preserve"> </w:instrText>
      </w:r>
      <w:r w:rsidRPr="00F470AD">
        <w:rPr>
          <w:lang w:val="cs-CZ"/>
        </w:rPr>
        <w:instrText>241</w:instrText>
      </w:r>
      <w:r>
        <w:instrText xml:space="preserve">" </w:instrText>
      </w:r>
      <w:r>
        <w:rPr>
          <w:i/>
        </w:rPr>
        <w:fldChar w:fldCharType="end"/>
      </w:r>
      <w:r w:rsidRPr="006847E7">
        <w:rPr>
          <w:i/>
        </w:rPr>
        <w:t xml:space="preserve"> (The incoherence of the incoherence)</w:t>
      </w:r>
      <w:r w:rsidRPr="006847E7">
        <w:rPr>
          <w:lang w:val="cs-CZ"/>
        </w:rPr>
        <w:t>,</w:t>
      </w:r>
      <w:r>
        <w:rPr>
          <w:lang w:val="cs-CZ"/>
        </w:rPr>
        <w:t xml:space="preserve"> 8th discussion; </w:t>
      </w:r>
      <w:r w:rsidRPr="000A63DB">
        <w:t xml:space="preserve">ed. </w:t>
      </w:r>
      <w:r>
        <w:rPr>
          <w:lang w:val="cs-CZ"/>
        </w:rPr>
        <w:t>Van Den Berg, p. 241</w:t>
      </w:r>
      <w:r w:rsidRPr="000A63DB">
        <w:t>)</w:t>
      </w:r>
    </w:p>
  </w:footnote>
  <w:footnote w:id="197">
    <w:p w14:paraId="63E91383" w14:textId="77777777" w:rsidR="00344048" w:rsidRPr="08B25DD6" w:rsidRDefault="00344048" w:rsidP="084F4718">
      <w:pPr>
        <w:pStyle w:val="Textpoznpodarou"/>
      </w:pPr>
      <w:r>
        <w:rPr>
          <w:rStyle w:val="Znakapoznpodarou"/>
        </w:rPr>
        <w:footnoteRef/>
      </w:r>
      <w:r>
        <w:t xml:space="preserve"> </w:t>
      </w:r>
      <w:r w:rsidRPr="00077032">
        <w:t>„Then he [i.e. Alexander Afrodisias] sets out to illust</w:t>
      </w:r>
      <w:r w:rsidRPr="001E646A">
        <w:rPr>
          <w:rStyle w:val="Zkladntext1"/>
          <w:rFonts w:ascii="Calibri" w:hAnsi="Calibri"/>
          <w:color w:val="auto"/>
          <w:spacing w:val="0"/>
          <w:sz w:val="20"/>
          <w:u w:val="none"/>
          <w:lang w:val="en-US"/>
        </w:rPr>
        <w:t>rate how this analogy is universal [and belongs</w:t>
      </w:r>
      <w:r w:rsidRPr="00077032">
        <w:t xml:space="preserve"> </w:t>
      </w:r>
      <w:r w:rsidRPr="001E646A">
        <w:rPr>
          <w:rStyle w:val="Zkladntext1"/>
          <w:rFonts w:ascii="Calibri" w:hAnsi="Calibri"/>
          <w:color w:val="auto"/>
          <w:spacing w:val="0"/>
          <w:sz w:val="20"/>
          <w:u w:val="none"/>
          <w:lang w:val="en-US"/>
        </w:rPr>
        <w:t>to everything</w:t>
      </w:r>
      <w:r w:rsidRPr="00077032">
        <w:rPr>
          <w:rStyle w:val="Zkladntextdkovn0pt"/>
          <w:rFonts w:ascii="Calibri" w:hAnsi="Calibri" w:cs="Times New Roman"/>
          <w:color w:val="auto"/>
          <w:spacing w:val="0"/>
          <w:sz w:val="20"/>
          <w:u w:val="none"/>
        </w:rPr>
        <w:t>].</w:t>
      </w:r>
      <w:r w:rsidRPr="00077032">
        <w:rPr>
          <w:rStyle w:val="Zkladntextdkovn0pt"/>
          <w:rFonts w:ascii="Calibri" w:hAnsi="Calibri" w:cs="Times New Roman"/>
          <w:color w:val="auto"/>
          <w:spacing w:val="0"/>
          <w:sz w:val="20"/>
          <w:szCs w:val="22"/>
          <w:u w:val="none"/>
        </w:rPr>
        <w:t xml:space="preserve"> </w:t>
      </w:r>
      <w:r w:rsidRPr="001E646A">
        <w:rPr>
          <w:rStyle w:val="Zkladntext1"/>
          <w:rFonts w:ascii="Calibri" w:hAnsi="Calibri"/>
          <w:color w:val="auto"/>
          <w:spacing w:val="0"/>
          <w:sz w:val="20"/>
          <w:u w:val="none"/>
          <w:lang w:val="en-US"/>
        </w:rPr>
        <w:t>He says: 'for instance if somebody says that th</w:t>
      </w:r>
      <w:r w:rsidRPr="00077032">
        <w:t xml:space="preserve">e </w:t>
      </w:r>
      <w:r w:rsidRPr="001E646A">
        <w:rPr>
          <w:rStyle w:val="Zkladntext1"/>
          <w:rFonts w:ascii="Calibri" w:hAnsi="Calibri"/>
          <w:color w:val="auto"/>
          <w:spacing w:val="0"/>
          <w:sz w:val="20"/>
          <w:u w:val="none"/>
          <w:lang w:val="en-US"/>
        </w:rPr>
        <w:t>principles are three: form, privation and matter, but each one of these i</w:t>
      </w:r>
      <w:r w:rsidRPr="00077032">
        <w:t xml:space="preserve">s </w:t>
      </w:r>
      <w:r w:rsidRPr="001E646A">
        <w:rPr>
          <w:rStyle w:val="Zkladntext1"/>
          <w:rFonts w:ascii="Calibri" w:hAnsi="Calibri"/>
          <w:color w:val="auto"/>
          <w:spacing w:val="0"/>
          <w:sz w:val="20"/>
          <w:u w:val="none"/>
          <w:lang w:val="en-US"/>
        </w:rPr>
        <w:t>different in every genus'. He m</w:t>
      </w:r>
      <w:r w:rsidRPr="00077032">
        <w:t>eans: the meaning of our doctrine that the principles are one by analogy is as if we had said: form, matter and privation are the principles of the ten categories, but the form, the privation and the matter of substance are different from the form, the privation and the matter of each category, and that of one of them is different from that of another.“ (</w:t>
      </w:r>
      <w:r>
        <w:rPr>
          <w:i/>
        </w:rPr>
        <w:t xml:space="preserve">Comm. magnum in Met. </w:t>
      </w:r>
      <w:r>
        <w:t>1521</w:t>
      </w:r>
      <w:r>
        <w:rPr>
          <w:lang w:val="cs-CZ"/>
        </w:rPr>
        <w:t>;</w:t>
      </w:r>
      <w:r>
        <w:t xml:space="preserve"> ed. Genequand, p. 119</w:t>
      </w:r>
      <w:r>
        <w:rPr>
          <w:i/>
          <w:lang w:eastAsia="en-US"/>
        </w:rPr>
        <w:fldChar w:fldCharType="begin"/>
      </w:r>
      <w:r>
        <w:instrText xml:space="preserve"> XE "</w:instrText>
      </w:r>
      <w:r>
        <w:rPr>
          <w:lang w:val="cs-CZ"/>
        </w:rPr>
        <w:instrText>Averroes:</w:instrText>
      </w:r>
      <w:r w:rsidRPr="00273106">
        <w:rPr>
          <w:i/>
          <w:noProof/>
        </w:rPr>
        <w:instrText>Comm. Magnum in Met.</w:instrText>
      </w:r>
      <w:r>
        <w:rPr>
          <w:noProof/>
        </w:rPr>
        <w:instrText xml:space="preserve"> 1</w:instrText>
      </w:r>
      <w:r>
        <w:rPr>
          <w:noProof/>
          <w:lang w:val="cs-CZ"/>
        </w:rPr>
        <w:instrText>521</w:instrText>
      </w:r>
      <w:r>
        <w:instrText xml:space="preserve">" </w:instrText>
      </w:r>
      <w:r>
        <w:rPr>
          <w:i/>
          <w:lang w:eastAsia="en-US"/>
        </w:rPr>
        <w:fldChar w:fldCharType="end"/>
      </w:r>
      <w:r w:rsidRPr="00077032">
        <w:t>)</w:t>
      </w:r>
      <w:r>
        <w:t xml:space="preserve"> </w:t>
      </w:r>
    </w:p>
  </w:footnote>
  <w:footnote w:id="198">
    <w:p w14:paraId="7F9E8292" w14:textId="77777777" w:rsidR="00344048" w:rsidRPr="00EC3676" w:rsidRDefault="00344048" w:rsidP="084F4718">
      <w:pPr>
        <w:pStyle w:val="Textpoznpodarou"/>
        <w:rPr>
          <w:lang w:val="cs-CZ"/>
        </w:rPr>
      </w:pPr>
      <w:r>
        <w:rPr>
          <w:rStyle w:val="Znakapoznpodarou"/>
        </w:rPr>
        <w:footnoteRef/>
      </w:r>
      <w:r>
        <w:t xml:space="preserve"> „[Ibn Sīnā] errs here in so far as in his [doctrine] the accidental which is attached to a thing in the intellect is confounded with the accidental which is attached to it in [extramental] existence, and [because] he was convinced that 'one' is predicated of all ten genera univocally, not </w:t>
      </w:r>
      <w:r w:rsidRPr="004A2AA6">
        <w:rPr>
          <w:i/>
        </w:rPr>
        <w:t>secundum prius et posterius</w:t>
      </w:r>
      <w:r>
        <w:t xml:space="preserve">, and that it is [identical with] the numerical one with respect to what he conceived as its meaning in everyday language.“ </w:t>
      </w:r>
      <w:r>
        <w:rPr>
          <w:noProof/>
          <w:lang w:eastAsia="en-US"/>
        </w:rPr>
        <w:t>(</w:t>
      </w:r>
      <w:r w:rsidRPr="00CA4B05">
        <w:rPr>
          <w:i/>
        </w:rPr>
        <w:t>Averroes On Aristotle’s Metaphysics</w:t>
      </w:r>
      <w:r w:rsidRPr="00CA4B05">
        <w:t xml:space="preserve">, ed. </w:t>
      </w:r>
      <w:r>
        <w:rPr>
          <w:rStyle w:val="st"/>
        </w:rPr>
        <w:t xml:space="preserve">Arnzen, </w:t>
      </w:r>
      <w:r>
        <w:t>p. 39</w:t>
      </w:r>
      <w:r>
        <w:rPr>
          <w:lang w:val="cs-CZ"/>
        </w:rPr>
        <w:t>.77</w:t>
      </w:r>
      <w:r>
        <w:rPr>
          <w:i/>
          <w:lang w:eastAsia="en-US"/>
        </w:rPr>
        <w:fldChar w:fldCharType="begin"/>
      </w:r>
      <w:r>
        <w:instrText xml:space="preserve"> XE "</w:instrText>
      </w:r>
      <w:r>
        <w:rPr>
          <w:lang w:val="cs-CZ"/>
        </w:rPr>
        <w:instrText>Averroes:</w:instrText>
      </w:r>
      <w:r>
        <w:rPr>
          <w:i/>
          <w:lang w:val="cs-CZ"/>
        </w:rPr>
        <w:instrText>Averroes On</w:instrText>
      </w:r>
      <w:r w:rsidRPr="00CA4B05">
        <w:rPr>
          <w:i/>
        </w:rPr>
        <w:instrText xml:space="preserve"> Aristotle’s Metaphysics</w:instrText>
      </w:r>
      <w:r>
        <w:rPr>
          <w:lang w:val="cs-CZ"/>
        </w:rPr>
        <w:instrText xml:space="preserve"> </w:instrText>
      </w:r>
      <w:r>
        <w:instrText>39</w:instrText>
      </w:r>
      <w:r>
        <w:rPr>
          <w:lang w:val="cs-CZ"/>
        </w:rPr>
        <w:instrText>.77</w:instrText>
      </w:r>
      <w:r>
        <w:instrText xml:space="preserve">" </w:instrText>
      </w:r>
      <w:r>
        <w:rPr>
          <w:i/>
          <w:lang w:eastAsia="en-US"/>
        </w:rPr>
        <w:fldChar w:fldCharType="end"/>
      </w:r>
      <w:r>
        <w:rPr>
          <w:noProof/>
          <w:lang w:eastAsia="en-US"/>
        </w:rPr>
        <w:t>)</w:t>
      </w:r>
    </w:p>
  </w:footnote>
  <w:footnote w:id="199">
    <w:p w14:paraId="7F041026" w14:textId="62BC4075" w:rsidR="00344048" w:rsidRPr="00113737" w:rsidRDefault="00344048">
      <w:pPr>
        <w:pStyle w:val="Textpoznpodarou"/>
        <w:rPr>
          <w:noProof/>
          <w:lang w:val="cs-CZ"/>
        </w:rPr>
      </w:pPr>
      <w:r>
        <w:rPr>
          <w:rStyle w:val="Znakapoznpodarou"/>
        </w:rPr>
        <w:footnoteRef/>
      </w:r>
      <w:r>
        <w:t xml:space="preserve"> </w:t>
      </w:r>
      <w:r w:rsidRPr="00273106">
        <w:rPr>
          <w:noProof/>
        </w:rPr>
        <w:t>„Accordingly, one must understand that the principles of the two sciences are different, I mean in the manner one envisages them only, not in their being. This is why the commentary of Alexander on this point is very ambig</w:t>
      </w:r>
      <w:r>
        <w:rPr>
          <w:noProof/>
          <w:lang w:val="cs-CZ"/>
        </w:rPr>
        <w:t>u</w:t>
      </w:r>
      <w:r w:rsidRPr="00273106">
        <w:rPr>
          <w:noProof/>
        </w:rPr>
        <w:t>ous, unless one establishes this distinction. It is this obscurity that misled Ibn Sīn</w:t>
      </w:r>
      <w:r w:rsidRPr="00273106">
        <w:rPr>
          <w:iCs/>
          <w:noProof/>
        </w:rPr>
        <w:t>ā as we have said.“</w:t>
      </w:r>
      <w:r w:rsidRPr="00273106">
        <w:rPr>
          <w:noProof/>
        </w:rPr>
        <w:t xml:space="preserve"> (</w:t>
      </w:r>
      <w:r w:rsidRPr="00273106">
        <w:rPr>
          <w:i/>
          <w:noProof/>
        </w:rPr>
        <w:t>Comm. Magnum in Met.</w:t>
      </w:r>
      <w:r>
        <w:rPr>
          <w:noProof/>
        </w:rPr>
        <w:t xml:space="preserve"> 1436</w:t>
      </w:r>
      <w:r w:rsidRPr="00273106">
        <w:rPr>
          <w:noProof/>
        </w:rPr>
        <w:t>; ed. Genequand, p. 80</w:t>
      </w:r>
      <w:r>
        <w:rPr>
          <w:i/>
          <w:lang w:eastAsia="en-US"/>
        </w:rPr>
        <w:fldChar w:fldCharType="begin"/>
      </w:r>
      <w:r>
        <w:instrText xml:space="preserve"> XE "</w:instrText>
      </w:r>
      <w:r>
        <w:rPr>
          <w:lang w:val="cs-CZ"/>
        </w:rPr>
        <w:instrText>Averroes:</w:instrText>
      </w:r>
      <w:r w:rsidRPr="00273106">
        <w:rPr>
          <w:i/>
          <w:noProof/>
        </w:rPr>
        <w:instrText>Comm. Magnum in Met.</w:instrText>
      </w:r>
      <w:r>
        <w:rPr>
          <w:noProof/>
        </w:rPr>
        <w:instrText xml:space="preserve"> 1436</w:instrText>
      </w:r>
      <w:r>
        <w:instrText xml:space="preserve">" </w:instrText>
      </w:r>
      <w:r>
        <w:rPr>
          <w:i/>
          <w:lang w:eastAsia="en-US"/>
        </w:rPr>
        <w:fldChar w:fldCharType="end"/>
      </w:r>
      <w:r w:rsidRPr="00273106">
        <w:rPr>
          <w:noProof/>
        </w:rPr>
        <w:t xml:space="preserve">) </w:t>
      </w:r>
    </w:p>
  </w:footnote>
  <w:footnote w:id="200">
    <w:p w14:paraId="59EC7E69" w14:textId="77777777" w:rsidR="00344048" w:rsidRPr="001657A4" w:rsidRDefault="00344048">
      <w:pPr>
        <w:pStyle w:val="Textpoznpodarou"/>
        <w:rPr>
          <w:lang w:val="cs-CZ"/>
        </w:rPr>
      </w:pPr>
      <w:r>
        <w:rPr>
          <w:rStyle w:val="Znakapoznpodarou"/>
        </w:rPr>
        <w:footnoteRef/>
      </w:r>
      <w:r>
        <w:t xml:space="preserve"> „</w:t>
      </w:r>
      <w:r w:rsidRPr="00A417D1">
        <w:t>Avicenna autem peccavit multum in hoc, quod existimavit quod unum et ens significant dispositiones additas essentiae rei</w:t>
      </w:r>
      <w:r>
        <w:t>.“</w:t>
      </w:r>
      <w:r w:rsidRPr="00A417D1">
        <w:t xml:space="preserve"> </w:t>
      </w:r>
      <w:r>
        <w:t>(</w:t>
      </w:r>
      <w:r w:rsidRPr="081349B9">
        <w:rPr>
          <w:i/>
          <w:noProof/>
        </w:rPr>
        <w:t>In Aristot. Metaph</w:t>
      </w:r>
      <w:r>
        <w:rPr>
          <w:noProof/>
        </w:rPr>
        <w:t>.</w:t>
      </w:r>
      <w:r>
        <w:rPr>
          <w:noProof/>
          <w:lang w:val="cs-CZ"/>
        </w:rPr>
        <w:t xml:space="preserve"> </w:t>
      </w:r>
      <w:r w:rsidRPr="00E109F5">
        <w:rPr>
          <w:i/>
          <w:noProof/>
          <w:lang w:val="cs-CZ"/>
        </w:rPr>
        <w:t>IV</w:t>
      </w:r>
      <w:r>
        <w:t>, ed. Juntina VIII, fol. 67</w:t>
      </w:r>
      <w:r>
        <w:rPr>
          <w:lang w:val="cs-CZ"/>
        </w:rPr>
        <w:t xml:space="preserve"> B</w:t>
      </w:r>
      <w:r>
        <w:rPr>
          <w:i/>
          <w:lang w:eastAsia="en-US"/>
        </w:rPr>
        <w:fldChar w:fldCharType="begin"/>
      </w:r>
      <w:r>
        <w:instrText xml:space="preserve"> XE "</w:instrText>
      </w:r>
      <w:r>
        <w:rPr>
          <w:lang w:val="cs-CZ"/>
        </w:rPr>
        <w:instrText>Averroes:</w:instrText>
      </w:r>
      <w:r w:rsidRPr="081349B9">
        <w:rPr>
          <w:i/>
          <w:noProof/>
        </w:rPr>
        <w:instrText>In Aristot. Metaph</w:instrText>
      </w:r>
      <w:r w:rsidRPr="00E109F5">
        <w:rPr>
          <w:i/>
          <w:noProof/>
        </w:rPr>
        <w:instrText>.</w:instrText>
      </w:r>
      <w:r w:rsidRPr="00E109F5">
        <w:rPr>
          <w:i/>
          <w:noProof/>
          <w:lang w:val="cs-CZ"/>
        </w:rPr>
        <w:instrText xml:space="preserve"> IV</w:instrText>
      </w:r>
      <w:r>
        <w:rPr>
          <w:lang w:val="cs-CZ"/>
        </w:rPr>
        <w:instrText>.</w:instrText>
      </w:r>
      <w:r>
        <w:instrText>67</w:instrText>
      </w:r>
      <w:r>
        <w:rPr>
          <w:lang w:val="cs-CZ"/>
        </w:rPr>
        <w:instrText xml:space="preserve"> B</w:instrText>
      </w:r>
      <w:r>
        <w:instrText xml:space="preserve">" </w:instrText>
      </w:r>
      <w:r>
        <w:rPr>
          <w:i/>
          <w:lang w:eastAsia="en-US"/>
        </w:rPr>
        <w:fldChar w:fldCharType="end"/>
      </w:r>
      <w:r>
        <w:t>)</w:t>
      </w:r>
    </w:p>
  </w:footnote>
  <w:footnote w:id="201">
    <w:p w14:paraId="60BA5EAE" w14:textId="77777777" w:rsidR="00344048" w:rsidRPr="00A417D1" w:rsidRDefault="00344048" w:rsidP="00E56B50">
      <w:pPr>
        <w:pStyle w:val="Textpoznpodarou"/>
      </w:pPr>
      <w:r w:rsidRPr="00A417D1">
        <w:rPr>
          <w:rStyle w:val="Znakapoznpodarou"/>
        </w:rPr>
        <w:footnoteRef/>
      </w:r>
      <w:r>
        <w:t xml:space="preserve"> „</w:t>
      </w:r>
      <w:r w:rsidRPr="00A417D1">
        <w:t xml:space="preserve">Averroes’s reference to </w:t>
      </w:r>
      <w:r w:rsidRPr="00A41071">
        <w:rPr>
          <w:rStyle w:val="Zkladntext2Kurzvadkovn0pt"/>
          <w:rFonts w:ascii="Calibri" w:hAnsi="Calibri"/>
          <w:b w:val="0"/>
          <w:iCs w:val="0"/>
          <w:color w:val="auto"/>
          <w:spacing w:val="0"/>
          <w:sz w:val="20"/>
          <w:lang w:val="en-US"/>
        </w:rPr>
        <w:t>ens</w:t>
      </w:r>
      <w:r w:rsidRPr="00A417D1">
        <w:t xml:space="preserve"> as a disposition which is added to the essence of a thing was taken by some of the Latins as implying both that Avicenna defended real distinction between essence and existence, and that he regarded existence as a kind of accident which is sup</w:t>
      </w:r>
      <w:r>
        <w:t>e</w:t>
      </w:r>
      <w:r w:rsidRPr="00A417D1">
        <w:t>radded to essence.</w:t>
      </w:r>
      <w:r>
        <w:t>“ (Wippel 2007, 45)</w:t>
      </w:r>
    </w:p>
  </w:footnote>
  <w:footnote w:id="202">
    <w:p w14:paraId="68CF1F90" w14:textId="77777777" w:rsidR="00344048" w:rsidRPr="086B6661" w:rsidRDefault="00344048">
      <w:pPr>
        <w:pStyle w:val="Textpoznpodarou"/>
      </w:pPr>
      <w:r>
        <w:rPr>
          <w:rStyle w:val="Znakapoznpodarou"/>
        </w:rPr>
        <w:footnoteRef/>
      </w:r>
      <w:r>
        <w:t xml:space="preserve"> </w:t>
      </w:r>
      <w:r>
        <w:rPr>
          <w:noProof/>
        </w:rPr>
        <w:t>„</w:t>
      </w:r>
      <w:r w:rsidRPr="081349B9">
        <w:rPr>
          <w:noProof/>
        </w:rPr>
        <w:t>Manifestum est quod primum de quo dicitur hoc nomen 'ens' simpliciter et principaliter est illud quod dicitur in responsione ad 'quid est hoc individuum demonstratum exsistens per se'; et ista interrogatio est de substantia.</w:t>
      </w:r>
      <w:r>
        <w:rPr>
          <w:noProof/>
        </w:rPr>
        <w:t>“</w:t>
      </w:r>
      <w:r>
        <w:rPr>
          <w:noProof/>
          <w:lang w:val="cs-CZ"/>
        </w:rPr>
        <w:t xml:space="preserve"> (</w:t>
      </w:r>
      <w:r w:rsidRPr="082A5D61">
        <w:rPr>
          <w:i/>
          <w:noProof/>
          <w:lang w:eastAsia="en-US"/>
        </w:rPr>
        <w:t xml:space="preserve">In </w:t>
      </w:r>
      <w:r>
        <w:rPr>
          <w:i/>
          <w:noProof/>
          <w:lang w:eastAsia="en-US"/>
        </w:rPr>
        <w:t xml:space="preserve">I </w:t>
      </w:r>
      <w:r w:rsidRPr="082A5D61">
        <w:rPr>
          <w:i/>
          <w:noProof/>
          <w:lang w:eastAsia="en-US"/>
        </w:rPr>
        <w:t>Sent.</w:t>
      </w:r>
      <w:r>
        <w:rPr>
          <w:noProof/>
          <w:lang w:eastAsia="en-US"/>
        </w:rPr>
        <w:t>, lib. I, dist. 2, q. VII; OTh II, p. 234.1‒3</w:t>
      </w:r>
      <w:r>
        <w:rPr>
          <w:i/>
          <w:lang w:eastAsia="en-US"/>
        </w:rPr>
        <w:fldChar w:fldCharType="begin"/>
      </w:r>
      <w:r>
        <w:instrText xml:space="preserve"> XE "</w:instrText>
      </w:r>
      <w:r>
        <w:rPr>
          <w:lang w:val="cs-CZ"/>
        </w:rPr>
        <w:instrText>Ockham:</w:instrText>
      </w:r>
      <w:r w:rsidRPr="082A5D61">
        <w:rPr>
          <w:i/>
          <w:noProof/>
          <w:lang w:eastAsia="en-US"/>
        </w:rPr>
        <w:instrText xml:space="preserve">In </w:instrText>
      </w:r>
      <w:r>
        <w:rPr>
          <w:i/>
          <w:noProof/>
          <w:lang w:eastAsia="en-US"/>
        </w:rPr>
        <w:instrText xml:space="preserve">I </w:instrText>
      </w:r>
      <w:r w:rsidRPr="082A5D61">
        <w:rPr>
          <w:i/>
          <w:noProof/>
          <w:lang w:eastAsia="en-US"/>
        </w:rPr>
        <w:instrText>Sent.</w:instrText>
      </w:r>
      <w:r>
        <w:rPr>
          <w:i/>
          <w:noProof/>
          <w:lang w:val="cs-CZ" w:eastAsia="en-US"/>
        </w:rPr>
        <w:instrText xml:space="preserve"> </w:instrText>
      </w:r>
      <w:r>
        <w:rPr>
          <w:noProof/>
          <w:lang w:eastAsia="en-US"/>
        </w:rPr>
        <w:instrText>234.1‒3</w:instrText>
      </w:r>
      <w:r>
        <w:instrText xml:space="preserve">" </w:instrText>
      </w:r>
      <w:r>
        <w:rPr>
          <w:i/>
          <w:lang w:eastAsia="en-US"/>
        </w:rPr>
        <w:fldChar w:fldCharType="end"/>
      </w:r>
      <w:r>
        <w:rPr>
          <w:noProof/>
        </w:rPr>
        <w:t>)</w:t>
      </w:r>
    </w:p>
  </w:footnote>
  <w:footnote w:id="203">
    <w:p w14:paraId="6CFAB5CB" w14:textId="77777777" w:rsidR="00344048" w:rsidRPr="003E7E4D" w:rsidRDefault="00344048" w:rsidP="00FE4B7E">
      <w:pPr>
        <w:pStyle w:val="Textpoznpodarou"/>
      </w:pPr>
      <w:r>
        <w:rPr>
          <w:rStyle w:val="Znakapoznpodarou"/>
        </w:rPr>
        <w:footnoteRef/>
      </w:r>
      <w:r>
        <w:t xml:space="preserve"> </w:t>
      </w:r>
      <w:r>
        <w:rPr>
          <w:lang w:eastAsia="en-US"/>
        </w:rPr>
        <w:t xml:space="preserve">„Et cum hoc interrogatur quid est illud individuum existens, quod dicitur substantia, non respondemus ad hoc per aliquid extra essentiam eius.“ </w:t>
      </w:r>
      <w:r>
        <w:t>(</w:t>
      </w:r>
      <w:r w:rsidRPr="081349B9">
        <w:rPr>
          <w:i/>
          <w:noProof/>
        </w:rPr>
        <w:t>In Aristot. Metaph</w:t>
      </w:r>
      <w:r>
        <w:rPr>
          <w:noProof/>
        </w:rPr>
        <w:t>.</w:t>
      </w:r>
      <w:r>
        <w:rPr>
          <w:noProof/>
          <w:lang w:val="cs-CZ"/>
        </w:rPr>
        <w:t xml:space="preserve"> </w:t>
      </w:r>
      <w:r>
        <w:rPr>
          <w:i/>
          <w:noProof/>
          <w:lang w:val="cs-CZ"/>
        </w:rPr>
        <w:t>VII</w:t>
      </w:r>
      <w:r>
        <w:t xml:space="preserve">, ed. Juntina VIII, fol. </w:t>
      </w:r>
      <w:r>
        <w:rPr>
          <w:lang w:val="cs-CZ"/>
        </w:rPr>
        <w:t>153 H</w:t>
      </w:r>
      <w:r>
        <w:rPr>
          <w:i/>
          <w:lang w:eastAsia="en-US"/>
        </w:rPr>
        <w:fldChar w:fldCharType="begin"/>
      </w:r>
      <w:r>
        <w:instrText xml:space="preserve"> XE "</w:instrText>
      </w:r>
      <w:r>
        <w:rPr>
          <w:lang w:val="cs-CZ"/>
        </w:rPr>
        <w:instrText>Averroes:</w:instrText>
      </w:r>
      <w:r w:rsidRPr="081349B9">
        <w:rPr>
          <w:i/>
          <w:noProof/>
        </w:rPr>
        <w:instrText>In Aristot. Metaph</w:instrText>
      </w:r>
      <w:r w:rsidRPr="00E109F5">
        <w:rPr>
          <w:i/>
          <w:noProof/>
        </w:rPr>
        <w:instrText>.</w:instrText>
      </w:r>
      <w:r>
        <w:rPr>
          <w:i/>
          <w:noProof/>
          <w:lang w:val="cs-CZ"/>
        </w:rPr>
        <w:instrText xml:space="preserve"> VII</w:instrText>
      </w:r>
      <w:r>
        <w:rPr>
          <w:lang w:val="cs-CZ"/>
        </w:rPr>
        <w:instrText>.153 H</w:instrText>
      </w:r>
      <w:r>
        <w:instrText xml:space="preserve">" </w:instrText>
      </w:r>
      <w:r>
        <w:rPr>
          <w:i/>
          <w:lang w:eastAsia="en-US"/>
        </w:rPr>
        <w:fldChar w:fldCharType="end"/>
      </w:r>
      <w:r>
        <w:t>)</w:t>
      </w:r>
    </w:p>
  </w:footnote>
  <w:footnote w:id="204">
    <w:p w14:paraId="691D2ED2" w14:textId="77777777" w:rsidR="00344048" w:rsidRPr="005E1268" w:rsidRDefault="00344048" w:rsidP="08226A0D">
      <w:pPr>
        <w:pStyle w:val="Textpoznpodarou"/>
        <w:rPr>
          <w:lang w:val="cs-CZ"/>
        </w:rPr>
      </w:pPr>
      <w:r>
        <w:rPr>
          <w:rStyle w:val="Znakapoznpodarou"/>
        </w:rPr>
        <w:footnoteRef/>
      </w:r>
      <w:r>
        <w:t xml:space="preserve"> </w:t>
      </w:r>
      <w:r>
        <w:rPr>
          <w:lang w:val="cs-CZ"/>
        </w:rPr>
        <w:t>„</w:t>
      </w:r>
      <w:r w:rsidRPr="005E1268">
        <w:rPr>
          <w:lang w:val="cs-CZ"/>
        </w:rPr>
        <w:t>Et ille namque in quibus dicitur quod ipse sunt substantie secunde, sunt species in quibus inueniuntur singularia secundum modum similitudinis inuentionis partis in toto, et genera harum specierum etiam; uerbi gratia quia Sortes cui innuitur est in specie eius, scilicet in homine, et homo in genere suo, quod est animal; ergo Sortes cui innuitur est substantia prima; et homo predicatum de ipso et animal ambo sunt substantie secunde.</w:t>
      </w:r>
      <w:r>
        <w:rPr>
          <w:lang w:val="cs-CZ"/>
        </w:rPr>
        <w:t>“ (</w:t>
      </w:r>
      <w:r>
        <w:rPr>
          <w:i/>
          <w:lang w:val="cs-CZ"/>
        </w:rPr>
        <w:t>Comm</w:t>
      </w:r>
      <w:r w:rsidRPr="005E1268">
        <w:rPr>
          <w:i/>
          <w:lang w:val="cs-CZ"/>
        </w:rPr>
        <w:t>entum medium super libro Praedicamentorum Aristotelis</w:t>
      </w:r>
      <w:r>
        <w:rPr>
          <w:lang w:val="cs-CZ"/>
        </w:rPr>
        <w:t xml:space="preserve"> II.2.20; ed. Hissette, pp. 19.47‒20.54</w:t>
      </w:r>
      <w:r>
        <w:rPr>
          <w:i/>
          <w:lang w:eastAsia="en-US"/>
        </w:rPr>
        <w:fldChar w:fldCharType="begin"/>
      </w:r>
      <w:r>
        <w:instrText xml:space="preserve"> XE "</w:instrText>
      </w:r>
      <w:r>
        <w:rPr>
          <w:lang w:val="cs-CZ"/>
        </w:rPr>
        <w:instrText>Averroes:</w:instrText>
      </w:r>
      <w:r>
        <w:rPr>
          <w:i/>
          <w:lang w:val="cs-CZ"/>
        </w:rPr>
        <w:instrText>Comm</w:instrText>
      </w:r>
      <w:r w:rsidRPr="005E1268">
        <w:rPr>
          <w:i/>
          <w:lang w:val="cs-CZ"/>
        </w:rPr>
        <w:instrText>entum medium super libro Praedicamentorum Aristotelis</w:instrText>
      </w:r>
      <w:r>
        <w:rPr>
          <w:i/>
          <w:lang w:val="cs-CZ"/>
        </w:rPr>
        <w:instrText xml:space="preserve"> </w:instrText>
      </w:r>
      <w:r w:rsidRPr="00FB30DA">
        <w:rPr>
          <w:lang w:val="cs-CZ"/>
        </w:rPr>
        <w:instrText>2.2.20</w:instrText>
      </w:r>
      <w:r>
        <w:instrText xml:space="preserve">" </w:instrText>
      </w:r>
      <w:r>
        <w:rPr>
          <w:i/>
          <w:lang w:eastAsia="en-US"/>
        </w:rPr>
        <w:fldChar w:fldCharType="end"/>
      </w:r>
      <w:r>
        <w:rPr>
          <w:lang w:val="cs-CZ"/>
        </w:rPr>
        <w:t>)</w:t>
      </w:r>
    </w:p>
  </w:footnote>
  <w:footnote w:id="205">
    <w:p w14:paraId="1F9A14B8" w14:textId="77777777" w:rsidR="00344048" w:rsidRPr="00113737" w:rsidRDefault="00344048" w:rsidP="00DD5EC8">
      <w:pPr>
        <w:pStyle w:val="Textpoznpodarou"/>
        <w:rPr>
          <w:noProof/>
          <w:lang w:val="cs-CZ"/>
        </w:rPr>
      </w:pPr>
      <w:r>
        <w:rPr>
          <w:rStyle w:val="Znakapoznpodarou"/>
        </w:rPr>
        <w:footnoteRef/>
      </w:r>
      <w:r>
        <w:t xml:space="preserve"> </w:t>
      </w:r>
      <w:r w:rsidRPr="00273106">
        <w:rPr>
          <w:noProof/>
        </w:rPr>
        <w:t>„As for Ibn Sīnā, since he belives that no science can prove its own principles and takes that absolutely, he thinks that it is for the first philosopher to explain the existence of the principles of the sensible substance, whether eternal or not.“ (</w:t>
      </w:r>
      <w:r w:rsidRPr="00273106">
        <w:rPr>
          <w:i/>
          <w:noProof/>
        </w:rPr>
        <w:t>Comm. magnum in Met.</w:t>
      </w:r>
      <w:r>
        <w:rPr>
          <w:noProof/>
        </w:rPr>
        <w:t xml:space="preserve"> 1423</w:t>
      </w:r>
      <w:r w:rsidRPr="00273106">
        <w:rPr>
          <w:noProof/>
        </w:rPr>
        <w:t>–</w:t>
      </w:r>
      <w:r>
        <w:rPr>
          <w:noProof/>
          <w:lang w:eastAsia="en-US"/>
        </w:rPr>
        <w:t>24</w:t>
      </w:r>
      <w:r>
        <w:rPr>
          <w:i/>
          <w:lang w:eastAsia="en-US"/>
        </w:rPr>
        <w:fldChar w:fldCharType="begin"/>
      </w:r>
      <w:r>
        <w:instrText xml:space="preserve"> XE "</w:instrText>
      </w:r>
      <w:r>
        <w:rPr>
          <w:lang w:val="cs-CZ"/>
        </w:rPr>
        <w:instrText>Averroes:</w:instrText>
      </w:r>
      <w:r w:rsidRPr="00273106">
        <w:rPr>
          <w:i/>
          <w:noProof/>
        </w:rPr>
        <w:instrText>Comm. Magnum in Met.</w:instrText>
      </w:r>
      <w:r>
        <w:rPr>
          <w:noProof/>
        </w:rPr>
        <w:instrText xml:space="preserve"> </w:instrText>
      </w:r>
      <w:r w:rsidRPr="00273106">
        <w:rPr>
          <w:noProof/>
        </w:rPr>
        <w:instrText>1423–</w:instrText>
      </w:r>
      <w:r>
        <w:rPr>
          <w:noProof/>
          <w:lang w:eastAsia="en-US"/>
        </w:rPr>
        <w:instrText>24</w:instrText>
      </w:r>
      <w:r>
        <w:instrText xml:space="preserve">" </w:instrText>
      </w:r>
      <w:r>
        <w:rPr>
          <w:i/>
          <w:lang w:eastAsia="en-US"/>
        </w:rPr>
        <w:fldChar w:fldCharType="end"/>
      </w:r>
      <w:r w:rsidRPr="00273106">
        <w:rPr>
          <w:noProof/>
        </w:rPr>
        <w:t>; ed. Genequand, p. 74</w:t>
      </w:r>
      <w:r w:rsidRPr="00273106">
        <w:rPr>
          <w:noProof/>
          <w:lang w:eastAsia="en-US"/>
        </w:rPr>
        <w:t>)</w:t>
      </w:r>
    </w:p>
  </w:footnote>
  <w:footnote w:id="206">
    <w:p w14:paraId="751995EE" w14:textId="77777777" w:rsidR="00344048" w:rsidRPr="00113737" w:rsidRDefault="00344048">
      <w:pPr>
        <w:pStyle w:val="Textpoznpodarou"/>
        <w:rPr>
          <w:noProof/>
          <w:lang w:val="cs-CZ"/>
        </w:rPr>
      </w:pPr>
      <w:r>
        <w:rPr>
          <w:rStyle w:val="Znakapoznpodarou"/>
        </w:rPr>
        <w:footnoteRef/>
      </w:r>
      <w:r>
        <w:t xml:space="preserve"> </w:t>
      </w:r>
      <w:r w:rsidRPr="00066C4C">
        <w:t>„</w:t>
      </w:r>
      <w:r w:rsidRPr="00066C4C">
        <w:rPr>
          <w:rFonts w:eastAsia="Times"/>
        </w:rPr>
        <w:t>But the philosopher speculating</w:t>
      </w:r>
      <w:r w:rsidRPr="00066C4C">
        <w:t xml:space="preserve"> </w:t>
      </w:r>
      <w:r w:rsidRPr="00066C4C">
        <w:rPr>
          <w:rFonts w:eastAsia="Times"/>
        </w:rPr>
        <w:t>about the principles of being qua being is the one speculating about the</w:t>
      </w:r>
      <w:r w:rsidRPr="00066C4C">
        <w:t xml:space="preserve"> </w:t>
      </w:r>
      <w:r w:rsidRPr="00066C4C">
        <w:rPr>
          <w:rFonts w:eastAsia="Times"/>
        </w:rPr>
        <w:t>principles of substance as has been said at the beginning of this book</w:t>
      </w:r>
      <w:r w:rsidRPr="00066C4C">
        <w:t xml:space="preserve">; </w:t>
      </w:r>
      <w:r w:rsidRPr="00066C4C">
        <w:rPr>
          <w:rFonts w:eastAsia="Times"/>
        </w:rPr>
        <w:t>now the first components and principles of substance are the princip</w:t>
      </w:r>
      <w:r w:rsidRPr="00066C4C">
        <w:t xml:space="preserve">les </w:t>
      </w:r>
      <w:r w:rsidRPr="00066C4C">
        <w:rPr>
          <w:rFonts w:eastAsia="Times"/>
        </w:rPr>
        <w:t>of the object of natural philosophy. In that case, Metaphysics (</w:t>
      </w:r>
      <w:r w:rsidRPr="00886D08">
        <w:rPr>
          <w:rFonts w:eastAsia="Times"/>
          <w:i/>
        </w:rPr>
        <w:t>’ilm ilāhī</w:t>
      </w:r>
      <w:r w:rsidRPr="00066C4C">
        <w:rPr>
          <w:rFonts w:eastAsia="Times"/>
        </w:rPr>
        <w:t>) is the science which undertakes the demonstration of the principles of th</w:t>
      </w:r>
      <w:r w:rsidRPr="00066C4C">
        <w:t xml:space="preserve">e </w:t>
      </w:r>
      <w:r w:rsidRPr="00066C4C">
        <w:rPr>
          <w:rFonts w:eastAsia="Times"/>
        </w:rPr>
        <w:t>object of natural philosophy, and natural philosophy merely postulate</w:t>
      </w:r>
      <w:r w:rsidRPr="00066C4C">
        <w:t>s them.“ (</w:t>
      </w:r>
      <w:r w:rsidRPr="00886D08">
        <w:rPr>
          <w:i/>
        </w:rPr>
        <w:t>Comm. magnum in Met</w:t>
      </w:r>
      <w:r w:rsidRPr="00066C4C">
        <w:t>. 1424</w:t>
      </w:r>
      <w:r w:rsidRPr="00066C4C">
        <w:fldChar w:fldCharType="begin"/>
      </w:r>
      <w:r w:rsidRPr="00066C4C">
        <w:instrText xml:space="preserve"> XE "Averroes:Comm. Magnum in Met. 1424" </w:instrText>
      </w:r>
      <w:r w:rsidRPr="00066C4C">
        <w:fldChar w:fldCharType="end"/>
      </w:r>
      <w:r w:rsidRPr="00066C4C">
        <w:t>; ed. Genequand, p. 74)</w:t>
      </w:r>
    </w:p>
  </w:footnote>
  <w:footnote w:id="207">
    <w:p w14:paraId="7199C96A" w14:textId="77777777" w:rsidR="00344048" w:rsidRPr="00F12497" w:rsidRDefault="00344048" w:rsidP="00890AC0">
      <w:pPr>
        <w:pStyle w:val="Textpoznpodarou"/>
      </w:pPr>
      <w:r>
        <w:rPr>
          <w:rStyle w:val="Znakapoznpodarou"/>
        </w:rPr>
        <w:footnoteRef/>
      </w:r>
      <w:r>
        <w:t xml:space="preserve"> </w:t>
      </w:r>
      <w:r>
        <w:rPr>
          <w:noProof/>
          <w:lang w:eastAsia="en-US"/>
        </w:rPr>
        <w:t>„</w:t>
      </w:r>
      <w:r>
        <w:t>As for Ibn Sīnā, he erred in this [question] completely, for he thought that he who practises natural sciences cannot show that bodies are composed of matter and form and that it lies in the responsibility of the metaphysician to show this. The invalidity of all this is self-evident to anybody practising the two sciences (i.e., physics and this science [of metaphysics]).“</w:t>
      </w:r>
      <w:r>
        <w:rPr>
          <w:noProof/>
          <w:lang w:eastAsia="en-US"/>
        </w:rPr>
        <w:t xml:space="preserve"> (</w:t>
      </w:r>
      <w:r w:rsidRPr="00CA4B05">
        <w:rPr>
          <w:i/>
        </w:rPr>
        <w:t>Averroes On Aristotle’s Metaphysics</w:t>
      </w:r>
      <w:r>
        <w:rPr>
          <w:lang w:val="cs-CZ"/>
        </w:rPr>
        <w:t>;</w:t>
      </w:r>
      <w:r w:rsidRPr="00CA4B05">
        <w:t xml:space="preserve"> ed. </w:t>
      </w:r>
      <w:r>
        <w:rPr>
          <w:rStyle w:val="st"/>
        </w:rPr>
        <w:t xml:space="preserve">Arnzen, </w:t>
      </w:r>
      <w:r>
        <w:t>p. 59</w:t>
      </w:r>
      <w:r>
        <w:rPr>
          <w:lang w:val="cs-CZ"/>
        </w:rPr>
        <w:t>.205</w:t>
      </w:r>
      <w:r>
        <w:rPr>
          <w:i/>
          <w:lang w:eastAsia="en-US"/>
        </w:rPr>
        <w:fldChar w:fldCharType="begin"/>
      </w:r>
      <w:r>
        <w:instrText xml:space="preserve"> XE "</w:instrText>
      </w:r>
      <w:r>
        <w:rPr>
          <w:lang w:val="cs-CZ"/>
        </w:rPr>
        <w:instrText>Averroes:</w:instrText>
      </w:r>
      <w:r w:rsidRPr="00CA4B05">
        <w:rPr>
          <w:i/>
        </w:rPr>
        <w:instrText>Averroes On Aristotle’s Metaphysics</w:instrText>
      </w:r>
      <w:r>
        <w:instrText xml:space="preserve"> </w:instrText>
      </w:r>
      <w:r>
        <w:rPr>
          <w:lang w:val="cs-CZ"/>
        </w:rPr>
        <w:instrText>59.205</w:instrText>
      </w:r>
      <w:r>
        <w:instrText xml:space="preserve">" </w:instrText>
      </w:r>
      <w:r>
        <w:rPr>
          <w:i/>
          <w:lang w:eastAsia="en-US"/>
        </w:rPr>
        <w:fldChar w:fldCharType="end"/>
      </w:r>
      <w:r>
        <w:rPr>
          <w:noProof/>
          <w:lang w:eastAsia="en-US"/>
        </w:rPr>
        <w:t>).</w:t>
      </w:r>
    </w:p>
  </w:footnote>
  <w:footnote w:id="208">
    <w:p w14:paraId="33D0CE63" w14:textId="77777777" w:rsidR="00344048" w:rsidRPr="00BF387E" w:rsidRDefault="00344048" w:rsidP="08AA4510">
      <w:pPr>
        <w:pStyle w:val="Textpoznpodarou"/>
        <w:rPr>
          <w:lang w:val="cs-CZ"/>
        </w:rPr>
      </w:pPr>
      <w:r>
        <w:rPr>
          <w:rStyle w:val="Znakapoznpodarou"/>
        </w:rPr>
        <w:footnoteRef/>
      </w:r>
      <w:r>
        <w:t xml:space="preserve"> „</w:t>
      </w:r>
      <w:r w:rsidRPr="00BF387E">
        <w:t>For it is impossible that there should be demonstr</w:t>
      </w:r>
      <w:r>
        <w:t>ation of absolutely everything. T</w:t>
      </w:r>
      <w:r w:rsidRPr="00BF387E">
        <w:t>here would be an infinite regress</w:t>
      </w:r>
      <w:r>
        <w:t xml:space="preserve"> (</w:t>
      </w:r>
      <w:r w:rsidRPr="00BF387E">
        <w:t>so that there w</w:t>
      </w:r>
      <w:r>
        <w:t>ould still be no demonstration)</w:t>
      </w:r>
      <w:r w:rsidRPr="00BF387E">
        <w:t>; but if there are things of which one should not demand demonstration, these persons could not say what principle they maintain</w:t>
      </w:r>
      <w:r>
        <w:t xml:space="preserve"> </w:t>
      </w:r>
      <w:r w:rsidRPr="00BF387E">
        <w:t>to be more self-evident than the present one.</w:t>
      </w:r>
      <w:r>
        <w:t xml:space="preserve">“ </w:t>
      </w:r>
      <w:r>
        <w:rPr>
          <w:lang w:val="cs-CZ"/>
        </w:rPr>
        <w:t>(</w:t>
      </w:r>
      <w:r w:rsidRPr="00273106">
        <w:rPr>
          <w:rStyle w:val="Zvraznn"/>
        </w:rPr>
        <w:t>Met.</w:t>
      </w:r>
      <w:r w:rsidRPr="00273106">
        <w:t xml:space="preserve"> </w:t>
      </w:r>
      <w:r>
        <w:rPr>
          <w:lang w:val="cs-CZ"/>
        </w:rPr>
        <w:t xml:space="preserve">IV.4, </w:t>
      </w:r>
      <w:r>
        <w:t>1006a</w:t>
      </w:r>
      <w:r>
        <w:rPr>
          <w:lang w:val="cs-CZ"/>
        </w:rPr>
        <w:t>7</w:t>
      </w:r>
      <w:r>
        <w:t>–</w:t>
      </w:r>
      <w:r>
        <w:rPr>
          <w:lang w:val="cs-CZ"/>
        </w:rPr>
        <w:t>11</w:t>
      </w:r>
      <w:r>
        <w:rPr>
          <w:i/>
        </w:rPr>
        <w:fldChar w:fldCharType="begin"/>
      </w:r>
      <w:r>
        <w:instrText xml:space="preserve"> XE "Aristoteles:</w:instrText>
      </w:r>
      <w:r w:rsidRPr="000421A2">
        <w:rPr>
          <w:i/>
        </w:rPr>
        <w:instrText>Met</w:instrText>
      </w:r>
      <w:r>
        <w:instrText>. 1006a</w:instrText>
      </w:r>
      <w:r>
        <w:rPr>
          <w:lang w:val="cs-CZ"/>
        </w:rPr>
        <w:instrText>7</w:instrText>
      </w:r>
      <w:r>
        <w:instrText>–</w:instrText>
      </w:r>
      <w:r>
        <w:rPr>
          <w:lang w:val="cs-CZ"/>
        </w:rPr>
        <w:instrText>11</w:instrText>
      </w:r>
      <w:r>
        <w:instrText xml:space="preserve">" </w:instrText>
      </w:r>
      <w:r>
        <w:rPr>
          <w:i/>
        </w:rPr>
        <w:fldChar w:fldCharType="end"/>
      </w:r>
      <w:r>
        <w:rPr>
          <w:lang w:val="cs-CZ"/>
        </w:rPr>
        <w:t>; trad. Ross, WA 8)</w:t>
      </w:r>
    </w:p>
  </w:footnote>
  <w:footnote w:id="209">
    <w:p w14:paraId="6C8A6E93" w14:textId="77777777" w:rsidR="00344048" w:rsidRPr="086E030B" w:rsidRDefault="00344048" w:rsidP="00F307DA">
      <w:pPr>
        <w:pStyle w:val="Textpoznpodarou"/>
      </w:pPr>
      <w:r>
        <w:rPr>
          <w:rStyle w:val="Znakapoznpodarou"/>
        </w:rPr>
        <w:footnoteRef/>
      </w:r>
      <w:r>
        <w:t xml:space="preserve"> </w:t>
      </w:r>
      <w:r>
        <w:rPr>
          <w:noProof/>
          <w:lang w:eastAsia="en-US"/>
        </w:rPr>
        <w:t>„</w:t>
      </w:r>
      <w:r>
        <w:rPr>
          <w:noProof/>
          <w:lang w:val="cs-CZ" w:eastAsia="en-US"/>
        </w:rPr>
        <w:t>H</w:t>
      </w:r>
      <w:r>
        <w:rPr>
          <w:noProof/>
          <w:lang w:eastAsia="en-US"/>
        </w:rPr>
        <w:t>e [</w:t>
      </w:r>
      <w:r>
        <w:t>Ibn Sīnā</w:t>
      </w:r>
      <w:r>
        <w:rPr>
          <w:noProof/>
          <w:lang w:eastAsia="en-US"/>
        </w:rPr>
        <w:t>] says that the natural philosopher postulates the existence of nature, and that the metaphysician proves its existence; he did not distinguish between the two substances in that respect as is obviously case in this discussion.“  (</w:t>
      </w:r>
      <w:r w:rsidRPr="00867A01">
        <w:rPr>
          <w:i/>
        </w:rPr>
        <w:t>Comm. magnum in Met.</w:t>
      </w:r>
      <w:r>
        <w:rPr>
          <w:noProof/>
          <w:lang w:eastAsia="en-US"/>
        </w:rPr>
        <w:t xml:space="preserve"> 1424</w:t>
      </w:r>
      <w:r>
        <w:rPr>
          <w:i/>
          <w:lang w:eastAsia="en-US"/>
        </w:rPr>
        <w:fldChar w:fldCharType="begin"/>
      </w:r>
      <w:r>
        <w:instrText xml:space="preserve"> XE "</w:instrText>
      </w:r>
      <w:r>
        <w:rPr>
          <w:lang w:val="cs-CZ"/>
        </w:rPr>
        <w:instrText>Averroes:</w:instrText>
      </w:r>
      <w:r w:rsidRPr="00273106">
        <w:rPr>
          <w:i/>
          <w:noProof/>
        </w:rPr>
        <w:instrText>Comm. Magnum in Met.</w:instrText>
      </w:r>
      <w:r>
        <w:rPr>
          <w:noProof/>
        </w:rPr>
        <w:instrText xml:space="preserve"> 142</w:instrText>
      </w:r>
      <w:r>
        <w:rPr>
          <w:noProof/>
          <w:lang w:val="cs-CZ"/>
        </w:rPr>
        <w:instrText>4</w:instrText>
      </w:r>
      <w:r>
        <w:instrText xml:space="preserve">" </w:instrText>
      </w:r>
      <w:r>
        <w:rPr>
          <w:i/>
          <w:lang w:eastAsia="en-US"/>
        </w:rPr>
        <w:fldChar w:fldCharType="end"/>
      </w:r>
      <w:r>
        <w:rPr>
          <w:noProof/>
          <w:lang w:eastAsia="en-US"/>
        </w:rPr>
        <w:t xml:space="preserve">; </w:t>
      </w:r>
      <w:r>
        <w:t>ed. Genequand</w:t>
      </w:r>
      <w:r>
        <w:rPr>
          <w:noProof/>
          <w:lang w:eastAsia="en-US"/>
        </w:rPr>
        <w:t>, p. 74)</w:t>
      </w:r>
    </w:p>
  </w:footnote>
  <w:footnote w:id="210">
    <w:p w14:paraId="15C0E99A" w14:textId="77777777" w:rsidR="00344048" w:rsidRPr="000B5866" w:rsidRDefault="00344048">
      <w:pPr>
        <w:pStyle w:val="Textpoznpodarou"/>
      </w:pPr>
      <w:r>
        <w:rPr>
          <w:rStyle w:val="Znakapoznpodarou"/>
        </w:rPr>
        <w:footnoteRef/>
      </w:r>
      <w:r>
        <w:t xml:space="preserve"> </w:t>
      </w:r>
      <w:r w:rsidRPr="000B5866">
        <w:rPr>
          <w:rFonts w:eastAsia="Times"/>
        </w:rPr>
        <w:t>„So we must understand what these tw</w:t>
      </w:r>
      <w:r w:rsidRPr="000B5866">
        <w:t xml:space="preserve">o </w:t>
      </w:r>
      <w:r w:rsidRPr="000B5866">
        <w:rPr>
          <w:rFonts w:eastAsia="Times"/>
        </w:rPr>
        <w:t>sciences have in common, I mean Physics and Metaphysics, in</w:t>
      </w:r>
      <w:r w:rsidRPr="000B5866">
        <w:t xml:space="preserve"> the </w:t>
      </w:r>
      <w:r w:rsidRPr="000B5866">
        <w:rPr>
          <w:rFonts w:eastAsia="Times"/>
        </w:rPr>
        <w:t>inquiry into the principles of substance; I mean Physics explains the</w:t>
      </w:r>
      <w:r w:rsidRPr="000B5866">
        <w:t xml:space="preserve">ir </w:t>
      </w:r>
      <w:r w:rsidRPr="000B5866">
        <w:rPr>
          <w:rFonts w:eastAsia="Times"/>
        </w:rPr>
        <w:t>existence as principles of the movable substance, whereas the specialist</w:t>
      </w:r>
      <w:r w:rsidRPr="000B5866">
        <w:t xml:space="preserve"> in </w:t>
      </w:r>
      <w:r w:rsidRPr="000B5866">
        <w:rPr>
          <w:rFonts w:eastAsia="Times"/>
        </w:rPr>
        <w:t>this science inquires into them as principles of substance qua substance</w:t>
      </w:r>
      <w:r w:rsidRPr="000B5866">
        <w:t>, not of the movable substance.“ (</w:t>
      </w:r>
      <w:r w:rsidRPr="000B5866">
        <w:rPr>
          <w:i/>
        </w:rPr>
        <w:t>Comm. magnum in Met</w:t>
      </w:r>
      <w:r>
        <w:t>. 1426</w:t>
      </w:r>
      <w:r>
        <w:rPr>
          <w:i/>
          <w:lang w:eastAsia="en-US"/>
        </w:rPr>
        <w:fldChar w:fldCharType="begin"/>
      </w:r>
      <w:r>
        <w:instrText xml:space="preserve"> XE "</w:instrText>
      </w:r>
      <w:r>
        <w:rPr>
          <w:lang w:val="cs-CZ"/>
        </w:rPr>
        <w:instrText>Averroes:</w:instrText>
      </w:r>
      <w:r w:rsidRPr="00273106">
        <w:rPr>
          <w:i/>
          <w:noProof/>
        </w:rPr>
        <w:instrText>Comm. Magnum in Met.</w:instrText>
      </w:r>
      <w:r>
        <w:rPr>
          <w:noProof/>
        </w:rPr>
        <w:instrText xml:space="preserve"> 142</w:instrText>
      </w:r>
      <w:r>
        <w:rPr>
          <w:noProof/>
          <w:lang w:val="cs-CZ"/>
        </w:rPr>
        <w:instrText>4</w:instrText>
      </w:r>
      <w:r>
        <w:instrText xml:space="preserve">" </w:instrText>
      </w:r>
      <w:r>
        <w:rPr>
          <w:i/>
          <w:lang w:eastAsia="en-US"/>
        </w:rPr>
        <w:fldChar w:fldCharType="end"/>
      </w:r>
      <w:r w:rsidRPr="000B5866">
        <w:t>; ed. Genequand, p. 75)</w:t>
      </w:r>
    </w:p>
  </w:footnote>
  <w:footnote w:id="211">
    <w:p w14:paraId="24CE7783" w14:textId="77777777" w:rsidR="00344048" w:rsidRPr="00763838" w:rsidRDefault="00344048" w:rsidP="08E02511">
      <w:pPr>
        <w:pStyle w:val="Textpoznpodarou"/>
      </w:pPr>
      <w:r>
        <w:rPr>
          <w:rStyle w:val="Znakapoznpodarou"/>
        </w:rPr>
        <w:footnoteRef/>
      </w:r>
      <w:r>
        <w:t xml:space="preserve"> </w:t>
      </w:r>
      <w:r w:rsidRPr="00763838">
        <w:t>„Perhaps this aspect is what Alexander means when he says that the specialist in this science investigates what the principles of the eternal substance are, but that the natural philosopher does not have to postulate that sort of inquiry, nor does he need it. Perhaps he also means that the natural philosopher inquires into what the principles of the substance subject to generation and corruption are by the method proper to it, that is to say into its proximate principles, declaring that the immovable substance is the principle of the movable. This is how his words must be understood; otherwise, they are very obscure; this is what led Ibn Sīnā into error.“ (</w:t>
      </w:r>
      <w:r w:rsidRPr="00763838">
        <w:rPr>
          <w:i/>
        </w:rPr>
        <w:t>Comm. magnum in Met</w:t>
      </w:r>
      <w:r>
        <w:t>. 1426</w:t>
      </w:r>
      <w:r>
        <w:rPr>
          <w:i/>
          <w:lang w:eastAsia="en-US"/>
        </w:rPr>
        <w:fldChar w:fldCharType="begin"/>
      </w:r>
      <w:r>
        <w:instrText xml:space="preserve"> XE "</w:instrText>
      </w:r>
      <w:r>
        <w:rPr>
          <w:lang w:val="cs-CZ"/>
        </w:rPr>
        <w:instrText>Averroes:</w:instrText>
      </w:r>
      <w:r w:rsidRPr="00273106">
        <w:rPr>
          <w:i/>
          <w:noProof/>
        </w:rPr>
        <w:instrText>Comm. Magnum in Met.</w:instrText>
      </w:r>
      <w:r>
        <w:rPr>
          <w:noProof/>
        </w:rPr>
        <w:instrText xml:space="preserve"> 142</w:instrText>
      </w:r>
      <w:r>
        <w:rPr>
          <w:noProof/>
          <w:lang w:val="cs-CZ"/>
        </w:rPr>
        <w:instrText>6</w:instrText>
      </w:r>
      <w:r>
        <w:instrText xml:space="preserve">" </w:instrText>
      </w:r>
      <w:r>
        <w:rPr>
          <w:i/>
          <w:lang w:eastAsia="en-US"/>
        </w:rPr>
        <w:fldChar w:fldCharType="end"/>
      </w:r>
      <w:r>
        <w:rPr>
          <w:lang w:val="cs-CZ"/>
        </w:rPr>
        <w:t xml:space="preserve">; </w:t>
      </w:r>
      <w:r w:rsidRPr="00763838">
        <w:t>ed. Genequand, p. 75)</w:t>
      </w:r>
    </w:p>
  </w:footnote>
  <w:footnote w:id="212">
    <w:p w14:paraId="1FCBA9C5" w14:textId="77777777" w:rsidR="00344048" w:rsidRPr="008E38E3" w:rsidRDefault="00344048" w:rsidP="00286229">
      <w:pPr>
        <w:pStyle w:val="Textpoznpodarou"/>
        <w:rPr>
          <w:rFonts w:eastAsia="Times"/>
        </w:rPr>
      </w:pPr>
      <w:r>
        <w:rPr>
          <w:rStyle w:val="Znakapoznpodarou"/>
        </w:rPr>
        <w:footnoteRef/>
      </w:r>
      <w:r>
        <w:t xml:space="preserve"> „In sum, Averroes's theory of metaphysical knowledge is characterized by the following claims: (1) The primary and truly apodictic demonstration of God's existence is found in natural philosophy in the form of the proof for an Unmoved Mover. (2) The science of metaphysics formally depends on the demonstration of God's existence in natural philosophy, since metaphysics receives its subject through this demonstration</w:t>
      </w:r>
      <w:r w:rsidRPr="008E38E3">
        <w:t>.</w:t>
      </w:r>
      <w:r w:rsidRPr="008E38E3">
        <w:rPr>
          <w:rFonts w:eastAsia="Times"/>
        </w:rPr>
        <w:t>“ (Noone</w:t>
      </w:r>
      <w:r>
        <w:rPr>
          <w:rFonts w:eastAsia="Times"/>
        </w:rPr>
        <w:t xml:space="preserve"> 1992, 37</w:t>
      </w:r>
      <w:r w:rsidRPr="008E38E3">
        <w:rPr>
          <w:rFonts w:eastAsia="Times"/>
        </w:rPr>
        <w:t>)</w:t>
      </w:r>
    </w:p>
  </w:footnote>
  <w:footnote w:id="213">
    <w:p w14:paraId="633CA17D" w14:textId="77777777" w:rsidR="00344048" w:rsidRPr="0856433D" w:rsidRDefault="00344048" w:rsidP="00286229">
      <w:pPr>
        <w:pStyle w:val="Textpoznpodarou"/>
      </w:pPr>
      <w:r>
        <w:rPr>
          <w:rStyle w:val="Znakapoznpodarou"/>
        </w:rPr>
        <w:footnoteRef/>
      </w:r>
      <w:r>
        <w:t xml:space="preserve"> „</w:t>
      </w:r>
      <w:r>
        <w:rPr>
          <w:lang w:val="cs-CZ"/>
        </w:rPr>
        <w:t>A</w:t>
      </w:r>
      <w:r w:rsidRPr="0856433D">
        <w:t xml:space="preserve">ccording to the </w:t>
      </w:r>
      <w:r w:rsidRPr="001E646A">
        <w:rPr>
          <w:rStyle w:val="Zkladntext1"/>
          <w:rFonts w:ascii="Calibri" w:eastAsia="Times" w:hAnsi="Calibri"/>
          <w:color w:val="auto"/>
          <w:spacing w:val="0"/>
          <w:sz w:val="20"/>
          <w:u w:val="none"/>
          <w:lang w:val="en-US"/>
        </w:rPr>
        <w:t>method leading from the things that are posterior to the things that a</w:t>
      </w:r>
      <w:r w:rsidRPr="0856433D">
        <w:t xml:space="preserve">re </w:t>
      </w:r>
      <w:r w:rsidRPr="001E646A">
        <w:rPr>
          <w:rStyle w:val="Zkladntext1"/>
          <w:rFonts w:ascii="Calibri" w:eastAsia="Times" w:hAnsi="Calibri"/>
          <w:color w:val="auto"/>
          <w:spacing w:val="0"/>
          <w:sz w:val="20"/>
          <w:u w:val="none"/>
          <w:lang w:val="en-US"/>
        </w:rPr>
        <w:t>prior, called indic</w:t>
      </w:r>
      <w:r w:rsidRPr="0856433D">
        <w:t>ati</w:t>
      </w:r>
      <w:r w:rsidRPr="001E646A">
        <w:rPr>
          <w:rStyle w:val="Zkladntext1"/>
          <w:rFonts w:ascii="Calibri" w:eastAsia="Times" w:hAnsi="Calibri"/>
          <w:color w:val="auto"/>
          <w:spacing w:val="0"/>
          <w:sz w:val="20"/>
          <w:u w:val="none"/>
          <w:lang w:val="en-US"/>
        </w:rPr>
        <w:t>ons</w:t>
      </w:r>
      <w:r>
        <w:rPr>
          <w:rStyle w:val="Zkladntext1"/>
          <w:rFonts w:ascii="Calibri" w:eastAsia="Times" w:hAnsi="Calibri"/>
          <w:color w:val="auto"/>
          <w:spacing w:val="0"/>
          <w:sz w:val="20"/>
          <w:u w:val="none"/>
          <w:lang w:val="en-US"/>
        </w:rPr>
        <w:t>...</w:t>
      </w:r>
      <w:r w:rsidRPr="001E646A">
        <w:rPr>
          <w:rStyle w:val="ZkladntextKurzvadkovn0pt"/>
          <w:rFonts w:ascii="Calibri" w:eastAsia="Times" w:hAnsi="Calibri"/>
          <w:i w:val="0"/>
          <w:iCs w:val="0"/>
          <w:color w:val="auto"/>
          <w:spacing w:val="0"/>
          <w:sz w:val="20"/>
          <w:u w:val="none"/>
          <w:lang w:val="en-US"/>
        </w:rPr>
        <w:t>“ (</w:t>
      </w:r>
      <w:r w:rsidRPr="0856433D">
        <w:rPr>
          <w:i/>
        </w:rPr>
        <w:t>Comm. magnum in Met.</w:t>
      </w:r>
      <w:r w:rsidRPr="0856433D">
        <w:t xml:space="preserve"> </w:t>
      </w:r>
      <w:r>
        <w:rPr>
          <w:rStyle w:val="ZkladntextKurzvadkovn0pt"/>
          <w:rFonts w:ascii="Calibri" w:eastAsia="Times" w:hAnsi="Calibri"/>
          <w:i w:val="0"/>
          <w:iCs w:val="0"/>
          <w:color w:val="auto"/>
          <w:spacing w:val="0"/>
          <w:sz w:val="20"/>
          <w:u w:val="none"/>
          <w:lang w:val="en-US"/>
        </w:rPr>
        <w:t>1423</w:t>
      </w:r>
      <w:r>
        <w:rPr>
          <w:i/>
          <w:lang w:eastAsia="en-US"/>
        </w:rPr>
        <w:fldChar w:fldCharType="begin"/>
      </w:r>
      <w:r>
        <w:instrText xml:space="preserve"> XE "</w:instrText>
      </w:r>
      <w:r>
        <w:rPr>
          <w:lang w:val="cs-CZ"/>
        </w:rPr>
        <w:instrText>Averroes:</w:instrText>
      </w:r>
      <w:r w:rsidRPr="00273106">
        <w:rPr>
          <w:i/>
          <w:noProof/>
        </w:rPr>
        <w:instrText>Comm. Magnum in Met.</w:instrText>
      </w:r>
      <w:r>
        <w:rPr>
          <w:noProof/>
        </w:rPr>
        <w:instrText xml:space="preserve"> 142</w:instrText>
      </w:r>
      <w:r>
        <w:rPr>
          <w:noProof/>
          <w:lang w:val="cs-CZ"/>
        </w:rPr>
        <w:instrText>3</w:instrText>
      </w:r>
      <w:r>
        <w:instrText xml:space="preserve">" </w:instrText>
      </w:r>
      <w:r>
        <w:rPr>
          <w:i/>
          <w:lang w:eastAsia="en-US"/>
        </w:rPr>
        <w:fldChar w:fldCharType="end"/>
      </w:r>
      <w:r>
        <w:rPr>
          <w:rStyle w:val="ZkladntextKurzvadkovn0pt"/>
          <w:rFonts w:ascii="Calibri" w:eastAsia="Times" w:hAnsi="Calibri"/>
          <w:i w:val="0"/>
          <w:iCs w:val="0"/>
          <w:color w:val="auto"/>
          <w:spacing w:val="0"/>
          <w:sz w:val="20"/>
          <w:u w:val="none"/>
          <w:lang w:val="cs-CZ"/>
        </w:rPr>
        <w:t xml:space="preserve">; ed. Genequand, </w:t>
      </w:r>
      <w:r w:rsidRPr="001E646A">
        <w:rPr>
          <w:rStyle w:val="ZkladntextKurzvadkovn0pt"/>
          <w:rFonts w:ascii="Calibri" w:eastAsia="Times" w:hAnsi="Calibri"/>
          <w:i w:val="0"/>
          <w:iCs w:val="0"/>
          <w:color w:val="auto"/>
          <w:spacing w:val="0"/>
          <w:sz w:val="20"/>
          <w:u w:val="none"/>
          <w:lang w:val="en-US"/>
        </w:rPr>
        <w:t>p. 74)</w:t>
      </w:r>
    </w:p>
  </w:footnote>
  <w:footnote w:id="214">
    <w:p w14:paraId="280C17B9" w14:textId="77777777" w:rsidR="00344048" w:rsidRPr="00833B2A" w:rsidRDefault="00344048" w:rsidP="00286229">
      <w:pPr>
        <w:pStyle w:val="Textpoznpodarou"/>
        <w:rPr>
          <w:lang w:val="cs-CZ"/>
        </w:rPr>
      </w:pPr>
      <w:r>
        <w:rPr>
          <w:rStyle w:val="Znakapoznpodarou"/>
        </w:rPr>
        <w:footnoteRef/>
      </w:r>
      <w:r>
        <w:t xml:space="preserve"> </w:t>
      </w:r>
      <w:r w:rsidRPr="08676CEF">
        <w:rPr>
          <w:rFonts w:eastAsia="Times"/>
        </w:rPr>
        <w:t>„Therefore, it is impossible to demonstrate the</w:t>
      </w:r>
      <w:r w:rsidRPr="08676CEF">
        <w:t xml:space="preserve"> </w:t>
      </w:r>
      <w:r w:rsidRPr="08676CEF">
        <w:rPr>
          <w:rFonts w:eastAsia="Times"/>
        </w:rPr>
        <w:t>existence of the first substance except by means of motions; m</w:t>
      </w:r>
      <w:r w:rsidRPr="08676CEF">
        <w:t xml:space="preserve">ethods which are thought to lead to the existence of the first mover other than the method based on motion are all suasive; even if they were true, they would be a limited number of indications belonging to the science of the philosopher; for </w:t>
      </w:r>
      <w:r w:rsidRPr="08676CEF">
        <w:rPr>
          <w:rFonts w:eastAsia="Times"/>
        </w:rPr>
        <w:t>the first principles cannot be proved apodictically.“ (</w:t>
      </w:r>
      <w:r w:rsidRPr="08D93646">
        <w:rPr>
          <w:i/>
        </w:rPr>
        <w:t>Comm. magnum in Met</w:t>
      </w:r>
      <w:r w:rsidRPr="08676CEF">
        <w:t>.</w:t>
      </w:r>
      <w:r w:rsidRPr="08676CEF">
        <w:rPr>
          <w:rFonts w:eastAsia="Times"/>
        </w:rPr>
        <w:t xml:space="preserve"> 1423</w:t>
      </w:r>
      <w:r w:rsidRPr="08676CEF">
        <w:fldChar w:fldCharType="begin"/>
      </w:r>
      <w:r w:rsidRPr="08676CEF">
        <w:instrText xml:space="preserve"> XE "Averroes:</w:instrText>
      </w:r>
      <w:r w:rsidRPr="08D93646">
        <w:rPr>
          <w:i/>
        </w:rPr>
        <w:instrText>Comm. Magnum in Met</w:instrText>
      </w:r>
      <w:r w:rsidRPr="08676CEF">
        <w:instrText xml:space="preserve">. 1423" </w:instrText>
      </w:r>
      <w:r w:rsidRPr="08676CEF">
        <w:fldChar w:fldCharType="end"/>
      </w:r>
      <w:r w:rsidRPr="08676CEF">
        <w:rPr>
          <w:rFonts w:eastAsia="Times"/>
        </w:rPr>
        <w:t xml:space="preserve">, </w:t>
      </w:r>
      <w:r w:rsidRPr="08676CEF">
        <w:t>ed. Genequand</w:t>
      </w:r>
      <w:r w:rsidRPr="08676CEF">
        <w:rPr>
          <w:rFonts w:eastAsia="Times"/>
        </w:rPr>
        <w:t>, p. 74)</w:t>
      </w:r>
    </w:p>
  </w:footnote>
  <w:footnote w:id="215">
    <w:p w14:paraId="72F6C97A" w14:textId="77777777" w:rsidR="00344048" w:rsidRPr="08842345" w:rsidRDefault="00344048" w:rsidP="086A4346">
      <w:pPr>
        <w:pStyle w:val="Textpoznpodarou"/>
      </w:pPr>
      <w:r>
        <w:rPr>
          <w:rStyle w:val="Znakapoznpodarou"/>
        </w:rPr>
        <w:footnoteRef/>
      </w:r>
      <w:r>
        <w:t xml:space="preserve"> </w:t>
      </w:r>
      <w:r w:rsidRPr="08842345">
        <w:t>„Veritas namque, ut declaratum est in sua declaratione (definitione), est aequare rem ad intellectum, scilicet quod reperiatur in anima, sicut est extra animam</w:t>
      </w:r>
      <w:r>
        <w:t>.</w:t>
      </w:r>
      <w:r w:rsidRPr="08842345">
        <w:t>“ (Boehner 1945, 142)</w:t>
      </w:r>
    </w:p>
  </w:footnote>
  <w:footnote w:id="216">
    <w:p w14:paraId="009C5325" w14:textId="77777777" w:rsidR="00344048" w:rsidRPr="00E04451" w:rsidRDefault="00344048" w:rsidP="0862075E">
      <w:pPr>
        <w:pStyle w:val="Textpoznpodarou"/>
      </w:pPr>
      <w:r>
        <w:rPr>
          <w:rStyle w:val="Znakapoznpodarou"/>
        </w:rPr>
        <w:footnoteRef/>
      </w:r>
      <w:r>
        <w:t xml:space="preserve"> „</w:t>
      </w:r>
      <w:r w:rsidRPr="00E04451">
        <w:t>Verum enim et falsum non sunt in rebus, sicut bonum et malum ut verum sit sicut bonum et falsum sicut malum, sed sunt in cognitione.</w:t>
      </w:r>
      <w:r>
        <w:t>“ (</w:t>
      </w:r>
      <w:r w:rsidRPr="081349B9">
        <w:rPr>
          <w:i/>
          <w:noProof/>
        </w:rPr>
        <w:t>In Aristot. Metaph</w:t>
      </w:r>
      <w:r>
        <w:rPr>
          <w:i/>
          <w:noProof/>
        </w:rPr>
        <w:t>.</w:t>
      </w:r>
      <w:r>
        <w:rPr>
          <w:i/>
          <w:noProof/>
          <w:lang w:val="cs-CZ"/>
        </w:rPr>
        <w:t>VI</w:t>
      </w:r>
      <w:r>
        <w:rPr>
          <w:lang w:val="cs-CZ"/>
        </w:rPr>
        <w:t>; e</w:t>
      </w:r>
      <w:r>
        <w:t>ditio Juntina</w:t>
      </w:r>
      <w:r>
        <w:rPr>
          <w:lang w:val="cs-CZ"/>
        </w:rPr>
        <w:t xml:space="preserve"> </w:t>
      </w:r>
      <w:r>
        <w:t xml:space="preserve">VIII, </w:t>
      </w:r>
      <w:r>
        <w:rPr>
          <w:lang w:val="cs-CZ"/>
        </w:rPr>
        <w:t xml:space="preserve">fol. </w:t>
      </w:r>
      <w:r>
        <w:t>151</w:t>
      </w:r>
      <w:r>
        <w:rPr>
          <w:lang w:val="cs-CZ"/>
        </w:rPr>
        <w:t xml:space="preserve"> H</w:t>
      </w:r>
      <w:r>
        <w:rPr>
          <w:lang w:eastAsia="en-US"/>
        </w:rPr>
        <w:fldChar w:fldCharType="begin"/>
      </w:r>
      <w:r>
        <w:instrText xml:space="preserve"> XE "Averroes:</w:instrText>
      </w:r>
      <w:r w:rsidRPr="081349B9">
        <w:rPr>
          <w:i/>
          <w:noProof/>
        </w:rPr>
        <w:instrText>In Aristot. Metaph</w:instrText>
      </w:r>
      <w:r>
        <w:rPr>
          <w:i/>
          <w:noProof/>
        </w:rPr>
        <w:instrText>.</w:instrText>
      </w:r>
      <w:r>
        <w:rPr>
          <w:i/>
          <w:noProof/>
          <w:lang w:val="cs-CZ"/>
        </w:rPr>
        <w:instrText xml:space="preserve"> VI</w:instrText>
      </w:r>
      <w:r>
        <w:instrText>, 151</w:instrText>
      </w:r>
      <w:r>
        <w:rPr>
          <w:lang w:val="cs-CZ"/>
        </w:rPr>
        <w:instrText xml:space="preserve"> H</w:instrText>
      </w:r>
      <w:r>
        <w:instrText xml:space="preserve">" </w:instrText>
      </w:r>
      <w:r>
        <w:rPr>
          <w:lang w:eastAsia="en-US"/>
        </w:rPr>
        <w:fldChar w:fldCharType="end"/>
      </w:r>
      <w:r>
        <w:t>).</w:t>
      </w:r>
    </w:p>
  </w:footnote>
  <w:footnote w:id="217">
    <w:p w14:paraId="082E75CE" w14:textId="2D6805BB" w:rsidR="00344048" w:rsidRPr="0034242E" w:rsidRDefault="00344048" w:rsidP="00F936D6">
      <w:pPr>
        <w:pStyle w:val="Textpoznpodarou"/>
        <w:rPr>
          <w:lang w:val="cs-CZ"/>
        </w:rPr>
      </w:pPr>
      <w:r>
        <w:rPr>
          <w:rStyle w:val="Znakapoznpodarou"/>
        </w:rPr>
        <w:footnoteRef/>
      </w:r>
      <w:r>
        <w:t xml:space="preserve"> „We answer that if there is no substance other than those which are formed by nature, natural science will be the first science; but if there is an immovable substance, the science of this must be prior and must be first philosophy, and universal in this way, because it is first. And it will belong to this to consider being </w:t>
      </w:r>
      <w:r w:rsidRPr="00F936D6">
        <w:rPr>
          <w:rFonts w:eastAsia="Book Antiqua"/>
          <w:i/>
        </w:rPr>
        <w:t>qua</w:t>
      </w:r>
      <w:r>
        <w:t xml:space="preserve"> being</w:t>
      </w:r>
      <w:r>
        <w:rPr>
          <w:lang w:val="cs-CZ"/>
        </w:rPr>
        <w:t xml:space="preserve"> (</w:t>
      </w:r>
      <w:r>
        <w:t>περὶ τοῦ ὄντος ᾗ ὂν ταύτης</w:t>
      </w:r>
      <w:r>
        <w:rPr>
          <w:lang w:val="cs-CZ"/>
        </w:rPr>
        <w:t xml:space="preserve">) </w:t>
      </w:r>
      <w:r>
        <w:t xml:space="preserve">—both what it is and the attributes which belong to it </w:t>
      </w:r>
      <w:r w:rsidRPr="00F936D6">
        <w:rPr>
          <w:rFonts w:eastAsia="Book Antiqua"/>
          <w:i/>
        </w:rPr>
        <w:t>qua</w:t>
      </w:r>
      <w:r>
        <w:t xml:space="preserve"> </w:t>
      </w:r>
      <w:r w:rsidRPr="00F936D6">
        <w:t>being</w:t>
      </w:r>
      <w:r>
        <w:rPr>
          <w:lang w:val="cs-CZ"/>
        </w:rPr>
        <w:t xml:space="preserve"> (</w:t>
      </w:r>
      <w:r>
        <w:t>τί ἐστι καὶ τὰ ὑπάρχοντα ᾗ ὄν</w:t>
      </w:r>
      <w:r>
        <w:rPr>
          <w:lang w:val="cs-CZ"/>
        </w:rPr>
        <w:t>).“ (</w:t>
      </w:r>
      <w:r w:rsidRPr="00427291">
        <w:rPr>
          <w:i/>
        </w:rPr>
        <w:t>Met</w:t>
      </w:r>
      <w:r>
        <w:t>. 1026a27‒32</w:t>
      </w:r>
      <w:r>
        <w:rPr>
          <w:lang w:eastAsia="en-US"/>
        </w:rPr>
        <w:fldChar w:fldCharType="begin"/>
      </w:r>
      <w:r>
        <w:instrText xml:space="preserve"> XE "Aristoteles:</w:instrText>
      </w:r>
      <w:r w:rsidRPr="00427291">
        <w:rPr>
          <w:i/>
        </w:rPr>
        <w:instrText>Met</w:instrText>
      </w:r>
      <w:r>
        <w:instrText xml:space="preserve">. 1026a27‒32" </w:instrText>
      </w:r>
      <w:r>
        <w:rPr>
          <w:lang w:eastAsia="en-US"/>
        </w:rPr>
        <w:fldChar w:fldCharType="end"/>
      </w:r>
      <w:r>
        <w:t>; trad. Ross,</w:t>
      </w:r>
      <w:r w:rsidRPr="08D92263">
        <w:t xml:space="preserve"> </w:t>
      </w:r>
      <w:r>
        <w:t>WA 8)</w:t>
      </w:r>
      <w:r>
        <w:rPr>
          <w:lang w:val="cs-CZ"/>
        </w:rPr>
        <w:t xml:space="preserve"> Citované originální pojmy „</w:t>
      </w:r>
      <w:r w:rsidRPr="006549D9">
        <w:rPr>
          <w:i/>
          <w:lang w:val="cs-CZ"/>
        </w:rPr>
        <w:t>qua</w:t>
      </w:r>
      <w:r>
        <w:rPr>
          <w:lang w:val="cs-CZ"/>
        </w:rPr>
        <w:t xml:space="preserve"> being“ použité v modu analogie ukazují, že překlad je poznamenán pojetím </w:t>
      </w:r>
      <w:r w:rsidRPr="008A3C39">
        <w:rPr>
          <w:i/>
          <w:lang w:val="cs-CZ"/>
        </w:rPr>
        <w:t>Oxfordian Fallacy</w:t>
      </w:r>
      <w:r>
        <w:rPr>
          <w:lang w:val="cs-CZ"/>
        </w:rPr>
        <w:t xml:space="preserve"> podle metafyziky Avicenny.</w:t>
      </w:r>
    </w:p>
  </w:footnote>
  <w:footnote w:id="218">
    <w:p w14:paraId="796A1EA0" w14:textId="77777777" w:rsidR="00344048" w:rsidRPr="005C3E0B" w:rsidRDefault="00344048" w:rsidP="084A775E">
      <w:pPr>
        <w:pStyle w:val="Textpoznpodarou"/>
        <w:rPr>
          <w:rStyle w:val="TextpoznpodarouChar"/>
        </w:rPr>
      </w:pPr>
      <w:r>
        <w:rPr>
          <w:rStyle w:val="Znakapoznpodarou"/>
        </w:rPr>
        <w:footnoteRef/>
      </w:r>
      <w:r>
        <w:t xml:space="preserve"> </w:t>
      </w:r>
      <w:r w:rsidRPr="005C3E0B">
        <w:rPr>
          <w:rStyle w:val="TextpoznpodarouChar"/>
        </w:rPr>
        <w:t xml:space="preserve">„These [merely] imagined matters are related to sensible matters in such a way that the former exist potentially in the circle which is how sensible matters of things exist in sensible things.“ </w:t>
      </w:r>
      <w:r>
        <w:t>(</w:t>
      </w:r>
      <w:r w:rsidRPr="00CA4B05">
        <w:rPr>
          <w:i/>
        </w:rPr>
        <w:t>Averroes On Aristotle’s Metaphysics</w:t>
      </w:r>
      <w:r>
        <w:rPr>
          <w:i/>
          <w:lang w:val="cs-CZ"/>
        </w:rPr>
        <w:t>;</w:t>
      </w:r>
      <w:r w:rsidRPr="00CA4B05">
        <w:t xml:space="preserve"> ed. </w:t>
      </w:r>
      <w:r>
        <w:rPr>
          <w:rStyle w:val="st"/>
        </w:rPr>
        <w:t xml:space="preserve">Arnzen, </w:t>
      </w:r>
      <w:r>
        <w:t>p. 82</w:t>
      </w:r>
      <w:r>
        <w:rPr>
          <w:lang w:val="cs-CZ"/>
        </w:rPr>
        <w:t>.287</w:t>
      </w:r>
      <w:r>
        <w:rPr>
          <w:lang w:eastAsia="en-US"/>
        </w:rPr>
        <w:fldChar w:fldCharType="begin"/>
      </w:r>
      <w:r>
        <w:instrText xml:space="preserve"> XE "Averroes:</w:instrText>
      </w:r>
      <w:r w:rsidRPr="00CA4B05">
        <w:rPr>
          <w:i/>
        </w:rPr>
        <w:instrText>Averroes On Aristotle’s Metaphysics</w:instrText>
      </w:r>
      <w:r>
        <w:rPr>
          <w:lang w:val="cs-CZ"/>
        </w:rPr>
        <w:instrText xml:space="preserve"> </w:instrText>
      </w:r>
      <w:r>
        <w:rPr>
          <w:noProof/>
          <w:lang w:val="cs-CZ" w:eastAsia="en-US"/>
        </w:rPr>
        <w:instrText>82.287</w:instrText>
      </w:r>
      <w:r>
        <w:instrText xml:space="preserve">" </w:instrText>
      </w:r>
      <w:r>
        <w:rPr>
          <w:lang w:eastAsia="en-US"/>
        </w:rPr>
        <w:fldChar w:fldCharType="end"/>
      </w:r>
      <w:r>
        <w:t>)</w:t>
      </w:r>
    </w:p>
  </w:footnote>
  <w:footnote w:id="219">
    <w:p w14:paraId="7725CDB4" w14:textId="77777777" w:rsidR="00344048" w:rsidRPr="08331AC0" w:rsidRDefault="00344048">
      <w:pPr>
        <w:pStyle w:val="Textpoznpodarou"/>
      </w:pPr>
      <w:r>
        <w:rPr>
          <w:rStyle w:val="Znakapoznpodarou"/>
        </w:rPr>
        <w:footnoteRef/>
      </w:r>
      <w:r>
        <w:t xml:space="preserve"> „Some [philosophers] made the three dimensions the first thing instilled in formless prime matter and the principles of a thing whereby matter receives form</w:t>
      </w:r>
      <w:r>
        <w:rPr>
          <w:rFonts w:ascii="Times New Roman" w:hAnsi="Times New Roman"/>
          <w:szCs w:val="24"/>
        </w:rPr>
        <w:t xml:space="preserve">. </w:t>
      </w:r>
      <w:r>
        <w:t>Furthermore, they maintained that the term 'body' signifies most properly this meaning [of informed matter], since 'substance' signifies this only qua [abstract] root morpheme because substances are [that which is] not in a substrate.“ (</w:t>
      </w:r>
      <w:r w:rsidRPr="00CA4B05">
        <w:rPr>
          <w:i/>
        </w:rPr>
        <w:t>Averroes On Aristotle’s Metaphysics</w:t>
      </w:r>
      <w:r>
        <w:rPr>
          <w:i/>
          <w:lang w:val="cs-CZ"/>
        </w:rPr>
        <w:t>;</w:t>
      </w:r>
      <w:r>
        <w:rPr>
          <w:lang w:val="cs-CZ"/>
        </w:rPr>
        <w:t xml:space="preserve"> </w:t>
      </w:r>
      <w:r w:rsidRPr="00CA4B05">
        <w:t>ed.</w:t>
      </w:r>
      <w:r>
        <w:t xml:space="preserve"> </w:t>
      </w:r>
      <w:r>
        <w:rPr>
          <w:rStyle w:val="st"/>
        </w:rPr>
        <w:t xml:space="preserve">Arnzen, </w:t>
      </w:r>
      <w:r>
        <w:t>pp. 89</w:t>
      </w:r>
      <w:r>
        <w:rPr>
          <w:lang w:val="cs-CZ"/>
        </w:rPr>
        <w:t>.321</w:t>
      </w:r>
      <w:r>
        <w:t>–90</w:t>
      </w:r>
      <w:r>
        <w:rPr>
          <w:lang w:val="cs-CZ"/>
        </w:rPr>
        <w:t>.323</w:t>
      </w:r>
      <w:r>
        <w:rPr>
          <w:lang w:eastAsia="en-US"/>
        </w:rPr>
        <w:fldChar w:fldCharType="begin"/>
      </w:r>
      <w:r>
        <w:instrText xml:space="preserve"> XE "Averroes:</w:instrText>
      </w:r>
      <w:r w:rsidRPr="00CA4B05">
        <w:rPr>
          <w:i/>
        </w:rPr>
        <w:instrText>Averroes On Aristotle’s Metaphysics</w:instrText>
      </w:r>
      <w:r>
        <w:rPr>
          <w:lang w:val="cs-CZ"/>
        </w:rPr>
        <w:instrText xml:space="preserve"> </w:instrText>
      </w:r>
      <w:r>
        <w:instrText>89</w:instrText>
      </w:r>
      <w:r>
        <w:rPr>
          <w:lang w:val="cs-CZ"/>
        </w:rPr>
        <w:instrText>.321</w:instrText>
      </w:r>
      <w:r>
        <w:instrText>–90</w:instrText>
      </w:r>
      <w:r>
        <w:rPr>
          <w:lang w:val="cs-CZ"/>
        </w:rPr>
        <w:instrText>.323</w:instrText>
      </w:r>
      <w:r>
        <w:instrText xml:space="preserve">" </w:instrText>
      </w:r>
      <w:r>
        <w:rPr>
          <w:lang w:eastAsia="en-US"/>
        </w:rPr>
        <w:fldChar w:fldCharType="end"/>
      </w:r>
      <w:r>
        <w:t>)</w:t>
      </w:r>
    </w:p>
  </w:footnote>
  <w:footnote w:id="220">
    <w:p w14:paraId="00517871" w14:textId="77777777" w:rsidR="00344048" w:rsidRPr="001C3DD7" w:rsidRDefault="00344048" w:rsidP="00A46E21">
      <w:pPr>
        <w:pStyle w:val="Textpoznpodarou"/>
        <w:rPr>
          <w:lang w:val="cs-CZ"/>
        </w:rPr>
      </w:pPr>
      <w:r>
        <w:rPr>
          <w:rStyle w:val="Znakapoznpodarou"/>
        </w:rPr>
        <w:footnoteRef/>
      </w:r>
      <w:r>
        <w:t xml:space="preserve"> </w:t>
      </w:r>
      <w:r w:rsidRPr="00273106">
        <w:rPr>
          <w:noProof/>
        </w:rPr>
        <w:t xml:space="preserve">„Other [philosophers] maintained that the three dimensions are sequels of a simple form which exists in prime matter, and that it is due to this form that body receives [the properties of ] divisibility and continuity. They [also] claimed that this [form] is one [and the same] and common for all sensible things just as is the case </w:t>
      </w:r>
      <w:r w:rsidRPr="00273106">
        <w:rPr>
          <w:noProof/>
          <w:sz w:val="13"/>
          <w:szCs w:val="13"/>
        </w:rPr>
        <w:t xml:space="preserve"> </w:t>
      </w:r>
      <w:r w:rsidRPr="00273106">
        <w:rPr>
          <w:noProof/>
        </w:rPr>
        <w:t>with prime matter. This position is held by Ibn Sīnā.“ (</w:t>
      </w:r>
      <w:r w:rsidRPr="00273106">
        <w:rPr>
          <w:i/>
          <w:noProof/>
        </w:rPr>
        <w:t>Averroes On Aristotle’s Metaphysics</w:t>
      </w:r>
      <w:r w:rsidRPr="00273106">
        <w:rPr>
          <w:noProof/>
          <w:lang w:eastAsia="en-US"/>
        </w:rPr>
        <w:t xml:space="preserve">; </w:t>
      </w:r>
      <w:r w:rsidRPr="00273106">
        <w:rPr>
          <w:noProof/>
        </w:rPr>
        <w:t xml:space="preserve">ed. </w:t>
      </w:r>
      <w:r w:rsidRPr="00273106">
        <w:rPr>
          <w:rStyle w:val="st"/>
          <w:noProof/>
          <w:lang w:val="cs-CZ"/>
        </w:rPr>
        <w:t xml:space="preserve">Arnzen, </w:t>
      </w:r>
      <w:r w:rsidRPr="00273106">
        <w:rPr>
          <w:noProof/>
        </w:rPr>
        <w:t>p. 90</w:t>
      </w:r>
      <w:r>
        <w:rPr>
          <w:noProof/>
          <w:lang w:val="cs-CZ"/>
        </w:rPr>
        <w:t>.324</w:t>
      </w:r>
      <w:r>
        <w:rPr>
          <w:lang w:eastAsia="en-US"/>
        </w:rPr>
        <w:fldChar w:fldCharType="begin"/>
      </w:r>
      <w:r>
        <w:instrText xml:space="preserve"> XE "Averroes:</w:instrText>
      </w:r>
      <w:r w:rsidRPr="00CA4B05">
        <w:rPr>
          <w:i/>
        </w:rPr>
        <w:instrText>Averroes On Aristotle’s Metaphysics</w:instrText>
      </w:r>
      <w:r>
        <w:rPr>
          <w:lang w:val="cs-CZ"/>
        </w:rPr>
        <w:instrText xml:space="preserve"> 90.324</w:instrText>
      </w:r>
      <w:r>
        <w:instrText xml:space="preserve">" </w:instrText>
      </w:r>
      <w:r>
        <w:rPr>
          <w:lang w:eastAsia="en-US"/>
        </w:rPr>
        <w:fldChar w:fldCharType="end"/>
      </w:r>
      <w:r w:rsidRPr="00273106">
        <w:rPr>
          <w:noProof/>
        </w:rPr>
        <w:t>)</w:t>
      </w:r>
    </w:p>
  </w:footnote>
  <w:footnote w:id="221">
    <w:p w14:paraId="508638E1" w14:textId="77777777" w:rsidR="00344048" w:rsidRPr="001C3DD7" w:rsidRDefault="00344048" w:rsidP="004D4CF3">
      <w:pPr>
        <w:pStyle w:val="Textpoznpodarou"/>
        <w:rPr>
          <w:noProof/>
          <w:lang w:val="cs-CZ"/>
        </w:rPr>
      </w:pPr>
      <w:r>
        <w:rPr>
          <w:rStyle w:val="Znakapoznpodarou"/>
        </w:rPr>
        <w:footnoteRef/>
      </w:r>
      <w:r>
        <w:t xml:space="preserve"> </w:t>
      </w:r>
      <w:r w:rsidRPr="00273106">
        <w:rPr>
          <w:noProof/>
        </w:rPr>
        <w:t xml:space="preserve">„It is evident that the primary dimensions would </w:t>
      </w:r>
      <w:r w:rsidRPr="00273106">
        <w:rPr>
          <w:rStyle w:val="Zkladntext1"/>
          <w:rFonts w:ascii="Calibri" w:eastAsia="Times" w:hAnsi="Calibri"/>
          <w:noProof/>
          <w:spacing w:val="0"/>
          <w:sz w:val="21"/>
          <w:u w:val="none"/>
          <w:lang w:val="cs-CZ"/>
        </w:rPr>
        <w:t>not settle upon the subject belonging to this form nor wo</w:t>
      </w:r>
      <w:r w:rsidRPr="00273106">
        <w:rPr>
          <w:noProof/>
        </w:rPr>
        <w:t>uld those primary dimensions exist in it until after the form has settled upon it, and w</w:t>
      </w:r>
      <w:r w:rsidRPr="00273106">
        <w:rPr>
          <w:rStyle w:val="Zkladntext1"/>
          <w:rFonts w:ascii="Calibri" w:eastAsia="Times" w:hAnsi="Calibri"/>
          <w:noProof/>
          <w:spacing w:val="0"/>
          <w:sz w:val="21"/>
          <w:u w:val="none"/>
          <w:lang w:val="cs-CZ"/>
        </w:rPr>
        <w:t>hen I u</w:t>
      </w:r>
      <w:r>
        <w:rPr>
          <w:rStyle w:val="Zkladntext1"/>
          <w:rFonts w:ascii="Calibri" w:eastAsia="Times" w:hAnsi="Calibri"/>
          <w:noProof/>
          <w:spacing w:val="0"/>
          <w:sz w:val="21"/>
          <w:u w:val="none"/>
          <w:lang w:val="cs-CZ"/>
        </w:rPr>
        <w:t>se the term 'after'</w:t>
      </w:r>
      <w:r w:rsidRPr="00273106">
        <w:rPr>
          <w:rStyle w:val="Zkladntext1"/>
          <w:rFonts w:ascii="Calibri" w:eastAsia="Times" w:hAnsi="Calibri"/>
          <w:noProof/>
          <w:spacing w:val="0"/>
          <w:sz w:val="21"/>
          <w:u w:val="none"/>
          <w:lang w:val="cs-CZ"/>
        </w:rPr>
        <w:t xml:space="preserve"> I have in mind posteriority in respect to</w:t>
      </w:r>
      <w:r w:rsidRPr="00273106">
        <w:rPr>
          <w:noProof/>
        </w:rPr>
        <w:t xml:space="preserve"> existence, not posteriority in respect to time.“ (</w:t>
      </w:r>
      <w:r w:rsidRPr="00273106">
        <w:rPr>
          <w:i/>
          <w:noProof/>
        </w:rPr>
        <w:t>De substantia orbis</w:t>
      </w:r>
      <w:r>
        <w:rPr>
          <w:noProof/>
          <w:lang w:val="cs-CZ"/>
        </w:rPr>
        <w:t>, cap.</w:t>
      </w:r>
      <w:r>
        <w:rPr>
          <w:noProof/>
        </w:rPr>
        <w:t>I</w:t>
      </w:r>
      <w:r>
        <w:rPr>
          <w:noProof/>
          <w:lang w:val="cs-CZ"/>
        </w:rPr>
        <w:t>; trad.</w:t>
      </w:r>
      <w:r>
        <w:rPr>
          <w:noProof/>
        </w:rPr>
        <w:t xml:space="preserve"> Hyman</w:t>
      </w:r>
      <w:r>
        <w:rPr>
          <w:noProof/>
          <w:lang w:val="cs-CZ"/>
        </w:rPr>
        <w:t xml:space="preserve"> 1986, </w:t>
      </w:r>
      <w:r>
        <w:rPr>
          <w:noProof/>
        </w:rPr>
        <w:t>62</w:t>
      </w:r>
      <w:r>
        <w:rPr>
          <w:lang w:eastAsia="en-US"/>
        </w:rPr>
        <w:fldChar w:fldCharType="begin"/>
      </w:r>
      <w:r>
        <w:instrText xml:space="preserve"> XE "Averroes:</w:instrText>
      </w:r>
      <w:r w:rsidRPr="00273106">
        <w:rPr>
          <w:i/>
          <w:noProof/>
        </w:rPr>
        <w:instrText>De substantia orbis</w:instrText>
      </w:r>
      <w:r>
        <w:rPr>
          <w:noProof/>
        </w:rPr>
        <w:instrText xml:space="preserve"> 6</w:instrText>
      </w:r>
      <w:r>
        <w:rPr>
          <w:noProof/>
          <w:lang w:val="cs-CZ"/>
        </w:rPr>
        <w:instrText>2</w:instrText>
      </w:r>
      <w:r>
        <w:instrText xml:space="preserve">" </w:instrText>
      </w:r>
      <w:r>
        <w:rPr>
          <w:lang w:eastAsia="en-US"/>
        </w:rPr>
        <w:fldChar w:fldCharType="end"/>
      </w:r>
      <w:r w:rsidRPr="00273106">
        <w:rPr>
          <w:noProof/>
        </w:rPr>
        <w:t>)</w:t>
      </w:r>
    </w:p>
  </w:footnote>
  <w:footnote w:id="222">
    <w:p w14:paraId="4840E190" w14:textId="77777777" w:rsidR="00344048" w:rsidRPr="001C3DD7" w:rsidRDefault="00344048" w:rsidP="000B4B6E">
      <w:pPr>
        <w:pStyle w:val="Textpoznpodarou"/>
        <w:rPr>
          <w:lang w:val="cs-CZ"/>
        </w:rPr>
      </w:pPr>
      <w:r>
        <w:rPr>
          <w:rStyle w:val="Znakapoznpodarou"/>
        </w:rPr>
        <w:footnoteRef/>
      </w:r>
      <w:r>
        <w:t xml:space="preserve"> </w:t>
      </w:r>
      <w:r w:rsidRPr="00273106">
        <w:rPr>
          <w:noProof/>
        </w:rPr>
        <w:t>„For this reason Avicenna thought that the case of the three dimensions which exist in matter absolutely, that is to say, the [three] indeterminate dimensions, is the same as the case of the determinate dimensions in it. And he asserts that it is impossible but that a primary form settle upon the primary matter prior to the settlement upon it of the primary dimensions. And many absurdities follow from this view.“ (</w:t>
      </w:r>
      <w:r w:rsidRPr="00273106">
        <w:rPr>
          <w:i/>
          <w:noProof/>
        </w:rPr>
        <w:t>De substantia orbis</w:t>
      </w:r>
      <w:r>
        <w:rPr>
          <w:noProof/>
          <w:lang w:val="cs-CZ"/>
        </w:rPr>
        <w:t>, cap. I;</w:t>
      </w:r>
      <w:r>
        <w:rPr>
          <w:noProof/>
        </w:rPr>
        <w:t xml:space="preserve"> </w:t>
      </w:r>
      <w:r>
        <w:rPr>
          <w:noProof/>
          <w:lang w:val="cs-CZ"/>
        </w:rPr>
        <w:t>trad.</w:t>
      </w:r>
      <w:r>
        <w:rPr>
          <w:noProof/>
        </w:rPr>
        <w:t>. Hyman, p. 63</w:t>
      </w:r>
      <w:r>
        <w:rPr>
          <w:lang w:eastAsia="en-US"/>
        </w:rPr>
        <w:fldChar w:fldCharType="begin"/>
      </w:r>
      <w:r>
        <w:instrText xml:space="preserve"> XE "Averroes:</w:instrText>
      </w:r>
      <w:r w:rsidRPr="00273106">
        <w:rPr>
          <w:i/>
          <w:noProof/>
        </w:rPr>
        <w:instrText>De substantia orbis</w:instrText>
      </w:r>
      <w:r>
        <w:rPr>
          <w:noProof/>
        </w:rPr>
        <w:instrText xml:space="preserve"> 6</w:instrText>
      </w:r>
      <w:r>
        <w:rPr>
          <w:noProof/>
          <w:lang w:val="cs-CZ"/>
        </w:rPr>
        <w:instrText>3</w:instrText>
      </w:r>
      <w:r>
        <w:instrText xml:space="preserve">" </w:instrText>
      </w:r>
      <w:r>
        <w:rPr>
          <w:lang w:eastAsia="en-US"/>
        </w:rPr>
        <w:fldChar w:fldCharType="end"/>
      </w:r>
      <w:r w:rsidRPr="00273106">
        <w:rPr>
          <w:noProof/>
        </w:rPr>
        <w:t>)</w:t>
      </w:r>
    </w:p>
  </w:footnote>
  <w:footnote w:id="223">
    <w:p w14:paraId="7C1A20A9" w14:textId="77777777" w:rsidR="00344048" w:rsidRPr="00AD1227" w:rsidRDefault="00344048" w:rsidP="08113CE3">
      <w:pPr>
        <w:pStyle w:val="Textpoznpodarou"/>
      </w:pPr>
      <w:r>
        <w:rPr>
          <w:rStyle w:val="Znakapoznpodarou"/>
        </w:rPr>
        <w:footnoteRef/>
      </w:r>
      <w:r>
        <w:t xml:space="preserve"> „We say now: As for the adherents of the first doctrine, i.e. those who held that dimensions are principles of a thing through which matter is constituted, they necessarily have to suppose that dimensions are substances, since they are principles through which prime matter is constituted, and that they [are that which] makes known the quiddity of the individual substance.“ (</w:t>
      </w:r>
      <w:r w:rsidRPr="00CA4B05">
        <w:rPr>
          <w:i/>
        </w:rPr>
        <w:t>Averroes On Aristotle’s Metaphysics</w:t>
      </w:r>
      <w:r>
        <w:rPr>
          <w:noProof/>
          <w:lang w:eastAsia="en-US"/>
        </w:rPr>
        <w:t xml:space="preserve">; </w:t>
      </w:r>
      <w:r w:rsidRPr="00CA4B05">
        <w:t xml:space="preserve">ed. </w:t>
      </w:r>
      <w:r>
        <w:rPr>
          <w:rStyle w:val="st"/>
        </w:rPr>
        <w:t>Arnzen</w:t>
      </w:r>
      <w:r>
        <w:rPr>
          <w:rStyle w:val="st"/>
          <w:lang w:val="cs-CZ"/>
        </w:rPr>
        <w:t xml:space="preserve"> 2010</w:t>
      </w:r>
      <w:r>
        <w:rPr>
          <w:rStyle w:val="st"/>
        </w:rPr>
        <w:t>,</w:t>
      </w:r>
      <w:r>
        <w:rPr>
          <w:rStyle w:val="st"/>
          <w:lang w:val="cs-CZ"/>
        </w:rPr>
        <w:t xml:space="preserve"> p. </w:t>
      </w:r>
      <w:r>
        <w:t>90</w:t>
      </w:r>
      <w:r>
        <w:rPr>
          <w:lang w:val="cs-CZ"/>
        </w:rPr>
        <w:t>.326</w:t>
      </w:r>
      <w:r>
        <w:rPr>
          <w:lang w:eastAsia="en-US"/>
        </w:rPr>
        <w:fldChar w:fldCharType="begin"/>
      </w:r>
      <w:r>
        <w:instrText xml:space="preserve"> XE "Averroes:</w:instrText>
      </w:r>
      <w:r w:rsidRPr="00CA4B05">
        <w:rPr>
          <w:i/>
        </w:rPr>
        <w:instrText>Averroes On Aristotle’s Metaphysics</w:instrText>
      </w:r>
      <w:r>
        <w:rPr>
          <w:lang w:val="cs-CZ"/>
        </w:rPr>
        <w:instrText xml:space="preserve"> 90.326</w:instrText>
      </w:r>
      <w:r>
        <w:instrText xml:space="preserve">" </w:instrText>
      </w:r>
      <w:r>
        <w:rPr>
          <w:lang w:eastAsia="en-US"/>
        </w:rPr>
        <w:fldChar w:fldCharType="end"/>
      </w:r>
      <w:r>
        <w:t>)</w:t>
      </w:r>
    </w:p>
  </w:footnote>
  <w:footnote w:id="224">
    <w:p w14:paraId="1163DAF3" w14:textId="77777777" w:rsidR="00344048" w:rsidRPr="001C3DD7" w:rsidRDefault="00344048">
      <w:pPr>
        <w:pStyle w:val="Textpoznpodarou"/>
        <w:rPr>
          <w:lang w:val="cs-CZ"/>
        </w:rPr>
      </w:pPr>
      <w:r>
        <w:rPr>
          <w:rStyle w:val="Znakapoznpodarou"/>
        </w:rPr>
        <w:footnoteRef/>
      </w:r>
      <w:r>
        <w:t xml:space="preserve"> </w:t>
      </w:r>
      <w:r w:rsidRPr="00273106">
        <w:rPr>
          <w:noProof/>
        </w:rPr>
        <w:t>„Their mistake was to assume that corporeality is generically stable, that is, to think that it is imperishable or stable on the condition that it is an accident and to think that it is stable on the condition that it is forma. According to this view, it is necessary [to assume] that prime matter is informed not only through the dimensions but rather through a multiplicity of accidents which are inseparable from prime matter and common to [all] simple bodies.“ (</w:t>
      </w:r>
      <w:r w:rsidRPr="00273106">
        <w:rPr>
          <w:i/>
          <w:noProof/>
        </w:rPr>
        <w:t>Averroes On Aristotle’s Metaphysics</w:t>
      </w:r>
      <w:r w:rsidRPr="00273106">
        <w:rPr>
          <w:noProof/>
        </w:rPr>
        <w:t xml:space="preserve">, ed. </w:t>
      </w:r>
      <w:r w:rsidRPr="00273106">
        <w:rPr>
          <w:rStyle w:val="st"/>
          <w:noProof/>
          <w:lang w:val="cs-CZ"/>
        </w:rPr>
        <w:t xml:space="preserve">Arnzen, </w:t>
      </w:r>
      <w:r w:rsidRPr="00273106">
        <w:rPr>
          <w:noProof/>
        </w:rPr>
        <w:t>p. 92</w:t>
      </w:r>
      <w:r>
        <w:rPr>
          <w:noProof/>
          <w:lang w:val="cs-CZ"/>
        </w:rPr>
        <w:t>.328</w:t>
      </w:r>
      <w:r>
        <w:rPr>
          <w:lang w:eastAsia="en-US"/>
        </w:rPr>
        <w:fldChar w:fldCharType="begin"/>
      </w:r>
      <w:r>
        <w:instrText xml:space="preserve"> XE "Averroes:</w:instrText>
      </w:r>
      <w:r w:rsidRPr="00CA4B05">
        <w:rPr>
          <w:i/>
        </w:rPr>
        <w:instrText>Averroes On Aristotle’s Metaphysics</w:instrText>
      </w:r>
      <w:r>
        <w:rPr>
          <w:lang w:val="cs-CZ"/>
        </w:rPr>
        <w:instrText xml:space="preserve"> 92.328</w:instrText>
      </w:r>
      <w:r>
        <w:instrText xml:space="preserve">" </w:instrText>
      </w:r>
      <w:r>
        <w:rPr>
          <w:lang w:eastAsia="en-US"/>
        </w:rPr>
        <w:fldChar w:fldCharType="end"/>
      </w:r>
      <w:r w:rsidRPr="00273106">
        <w:rPr>
          <w:noProof/>
        </w:rPr>
        <w:t>)</w:t>
      </w:r>
    </w:p>
  </w:footnote>
  <w:footnote w:id="225">
    <w:p w14:paraId="3ED350F4" w14:textId="77777777" w:rsidR="00344048" w:rsidRPr="00CA2A6F" w:rsidRDefault="00344048" w:rsidP="00A31369">
      <w:pPr>
        <w:pStyle w:val="Textpoznpodarou"/>
      </w:pPr>
      <w:r>
        <w:rPr>
          <w:rStyle w:val="Znakapoznpodarou"/>
        </w:rPr>
        <w:footnoteRef/>
      </w:r>
      <w:r>
        <w:rPr>
          <w:lang w:val="cs-CZ"/>
        </w:rPr>
        <w:t xml:space="preserve"> „A</w:t>
      </w:r>
      <w:r>
        <w:t>s it appears from Ibn Sīnā's words, and that the composite of this form and prime matter is the substance which has corporeality, that is to say the three dimensions, as an accident, and [that] this is what is signified by the term 'body', or [rather] 'corporeality' (since a paronymous term, as said before, is most appropriate to signify this [accidentality] as far as it is conceived in this way), then, upon my life, this is a preposterous view...“ (</w:t>
      </w:r>
      <w:r w:rsidRPr="00CA4B05">
        <w:rPr>
          <w:i/>
        </w:rPr>
        <w:t>Averroes On Aristotle’s Metaphysics</w:t>
      </w:r>
      <w:r>
        <w:rPr>
          <w:noProof/>
          <w:lang w:eastAsia="en-US"/>
        </w:rPr>
        <w:t xml:space="preserve">; </w:t>
      </w:r>
      <w:r w:rsidRPr="00CA4B05">
        <w:t xml:space="preserve">ed. </w:t>
      </w:r>
      <w:r>
        <w:rPr>
          <w:rStyle w:val="st"/>
        </w:rPr>
        <w:t xml:space="preserve">Arnzen, </w:t>
      </w:r>
      <w:r>
        <w:t>p. 92</w:t>
      </w:r>
      <w:r>
        <w:rPr>
          <w:lang w:val="cs-CZ"/>
        </w:rPr>
        <w:t>.328</w:t>
      </w:r>
      <w:r>
        <w:rPr>
          <w:lang w:eastAsia="en-US"/>
        </w:rPr>
        <w:fldChar w:fldCharType="begin"/>
      </w:r>
      <w:r>
        <w:instrText xml:space="preserve"> XE "Averroes:</w:instrText>
      </w:r>
      <w:r w:rsidRPr="00CA4B05">
        <w:rPr>
          <w:i/>
        </w:rPr>
        <w:instrText>Averroes On Aristotle’s Metaphysics</w:instrText>
      </w:r>
      <w:r>
        <w:rPr>
          <w:lang w:val="cs-CZ"/>
        </w:rPr>
        <w:instrText xml:space="preserve"> 92.328</w:instrText>
      </w:r>
      <w:r>
        <w:instrText xml:space="preserve">" </w:instrText>
      </w:r>
      <w:r>
        <w:rPr>
          <w:lang w:eastAsia="en-US"/>
        </w:rPr>
        <w:fldChar w:fldCharType="end"/>
      </w:r>
      <w:r>
        <w:t>).</w:t>
      </w:r>
    </w:p>
  </w:footnote>
  <w:footnote w:id="226">
    <w:p w14:paraId="4BD56EB7" w14:textId="77777777" w:rsidR="00344048" w:rsidRPr="00962EA7" w:rsidRDefault="00344048" w:rsidP="080C2A43">
      <w:pPr>
        <w:pStyle w:val="Textpoznpodarou"/>
      </w:pPr>
      <w:r>
        <w:rPr>
          <w:rStyle w:val="Znakapoznpodarou"/>
        </w:rPr>
        <w:footnoteRef/>
      </w:r>
      <w:r>
        <w:rPr>
          <w:lang w:val="cs-CZ"/>
        </w:rPr>
        <w:t xml:space="preserve"> </w:t>
      </w:r>
      <w:r>
        <w:t>„For that reason, universals are second intentions, while the things of which they are accidents are first intentions (the difference between first and second intentions has been stated in detail in the discipline of logic). All this is self-evident for those who practise this discipline.“ (</w:t>
      </w:r>
      <w:r w:rsidRPr="00CA4B05">
        <w:rPr>
          <w:i/>
        </w:rPr>
        <w:t>Averroes On Aristotle’s Metaphysics</w:t>
      </w:r>
      <w:r>
        <w:rPr>
          <w:lang w:val="cs-CZ"/>
        </w:rPr>
        <w:t xml:space="preserve">; </w:t>
      </w:r>
      <w:r w:rsidRPr="00CA4B05">
        <w:t xml:space="preserve">ed. </w:t>
      </w:r>
      <w:r>
        <w:rPr>
          <w:rStyle w:val="st"/>
        </w:rPr>
        <w:t xml:space="preserve">Arnzen, </w:t>
      </w:r>
      <w:r>
        <w:t>p. 77</w:t>
      </w:r>
      <w:r>
        <w:rPr>
          <w:lang w:val="cs-CZ"/>
        </w:rPr>
        <w:t>.270</w:t>
      </w:r>
      <w:r>
        <w:rPr>
          <w:lang w:eastAsia="en-US"/>
        </w:rPr>
        <w:fldChar w:fldCharType="begin"/>
      </w:r>
      <w:r>
        <w:instrText xml:space="preserve"> XE "Averroes:</w:instrText>
      </w:r>
      <w:r w:rsidRPr="00CA4B05">
        <w:rPr>
          <w:i/>
        </w:rPr>
        <w:instrText>Averroes On Aristotle’s Metaphysics</w:instrText>
      </w:r>
      <w:r>
        <w:rPr>
          <w:lang w:val="cs-CZ"/>
        </w:rPr>
        <w:instrText xml:space="preserve"> 77.270</w:instrText>
      </w:r>
      <w:r>
        <w:instrText xml:space="preserve">" </w:instrText>
      </w:r>
      <w:r>
        <w:rPr>
          <w:lang w:eastAsia="en-US"/>
        </w:rPr>
        <w:fldChar w:fldCharType="end"/>
      </w:r>
      <w:r>
        <w:t>)</w:t>
      </w:r>
    </w:p>
  </w:footnote>
  <w:footnote w:id="227">
    <w:p w14:paraId="560546A9" w14:textId="77777777" w:rsidR="00344048" w:rsidRPr="0030332E" w:rsidRDefault="00344048" w:rsidP="082C6557">
      <w:pPr>
        <w:pStyle w:val="Textpoznpodarou"/>
      </w:pPr>
      <w:r>
        <w:rPr>
          <w:rStyle w:val="Znakapoznpodarou"/>
        </w:rPr>
        <w:footnoteRef/>
      </w:r>
      <w:r>
        <w:t xml:space="preserve"> „The demonstrations employed by Ibn Sīnā in this science [of metaphysics] in order to show [the existence] of the first principle are, on the other hand, altogether dialectical and untrue propositions, which do not state anything in an appropriate manner, as can be seen from the counter-arguments set forth by Abū Hāmid [al-GhazāIī] against these [propositions] in his book on The Incoherence [of the Philosophers].“ (</w:t>
      </w:r>
      <w:r w:rsidRPr="00CA4B05">
        <w:rPr>
          <w:i/>
        </w:rPr>
        <w:t>Averroes On Aristotle’s Metaphysics</w:t>
      </w:r>
      <w:r>
        <w:rPr>
          <w:lang w:val="cs-CZ"/>
        </w:rPr>
        <w:t xml:space="preserve">; </w:t>
      </w:r>
      <w:r w:rsidRPr="00CA4B05">
        <w:t xml:space="preserve">ed. </w:t>
      </w:r>
      <w:r>
        <w:rPr>
          <w:rStyle w:val="st"/>
        </w:rPr>
        <w:t xml:space="preserve">Arnzen, </w:t>
      </w:r>
      <w:r>
        <w:t>p. 24</w:t>
      </w:r>
      <w:r>
        <w:rPr>
          <w:lang w:val="cs-CZ"/>
        </w:rPr>
        <w:t>.14</w:t>
      </w:r>
      <w:r>
        <w:rPr>
          <w:lang w:eastAsia="en-US"/>
        </w:rPr>
        <w:fldChar w:fldCharType="begin"/>
      </w:r>
      <w:r>
        <w:instrText xml:space="preserve"> XE "Averroes:</w:instrText>
      </w:r>
      <w:r w:rsidRPr="00CA4B05">
        <w:rPr>
          <w:i/>
        </w:rPr>
        <w:instrText>Averroes On Aristotle’s Metaphysics</w:instrText>
      </w:r>
      <w:r>
        <w:rPr>
          <w:lang w:val="cs-CZ"/>
        </w:rPr>
        <w:instrText xml:space="preserve"> 24.14</w:instrText>
      </w:r>
      <w:r>
        <w:instrText xml:space="preserve">" </w:instrText>
      </w:r>
      <w:r>
        <w:rPr>
          <w:lang w:eastAsia="en-US"/>
        </w:rPr>
        <w:fldChar w:fldCharType="end"/>
      </w:r>
      <w:r>
        <w:t>)</w:t>
      </w:r>
    </w:p>
  </w:footnote>
  <w:footnote w:id="228">
    <w:p w14:paraId="2374959E" w14:textId="77777777" w:rsidR="00344048" w:rsidRPr="00C40664" w:rsidRDefault="00344048" w:rsidP="00104FDA">
      <w:pPr>
        <w:pStyle w:val="Textpoznpodarou"/>
      </w:pPr>
      <w:r>
        <w:rPr>
          <w:rStyle w:val="Znakapoznpodarou"/>
        </w:rPr>
        <w:footnoteRef/>
      </w:r>
      <w:r>
        <w:t xml:space="preserve"> „It is known that true relation is a particular reciprocal relation, since the universals do not exists outside the soul and are only abstracted from the particular by discursive thought.“ (</w:t>
      </w:r>
      <w:r w:rsidRPr="00C40664">
        <w:rPr>
          <w:i/>
        </w:rPr>
        <w:t>Comm. magnum</w:t>
      </w:r>
      <w:r>
        <w:rPr>
          <w:i/>
        </w:rPr>
        <w:t xml:space="preserve"> in Met.</w:t>
      </w:r>
      <w:r>
        <w:t xml:space="preserve"> 1543</w:t>
      </w:r>
      <w:r>
        <w:fldChar w:fldCharType="begin"/>
      </w:r>
      <w:r>
        <w:instrText xml:space="preserve"> XE "</w:instrText>
      </w:r>
      <w:r>
        <w:rPr>
          <w:lang w:val="cs-CZ"/>
        </w:rPr>
        <w:instrText>Averroes:</w:instrText>
      </w:r>
      <w:r w:rsidRPr="00ED5D86">
        <w:rPr>
          <w:i/>
        </w:rPr>
        <w:instrText>Comm. magnum in Met.</w:instrText>
      </w:r>
      <w:r w:rsidRPr="00ED5D86">
        <w:instrText xml:space="preserve"> 1543</w:instrText>
      </w:r>
      <w:r>
        <w:instrText xml:space="preserve">" </w:instrText>
      </w:r>
      <w:r>
        <w:fldChar w:fldCharType="end"/>
      </w:r>
      <w:r>
        <w:rPr>
          <w:lang w:val="cs-CZ"/>
        </w:rPr>
        <w:t>;</w:t>
      </w:r>
      <w:r>
        <w:t xml:space="preserve"> ed. Genequand, pp. 128–129)</w:t>
      </w:r>
    </w:p>
  </w:footnote>
  <w:footnote w:id="229">
    <w:p w14:paraId="4A9C882B" w14:textId="77777777" w:rsidR="00344048" w:rsidRPr="00B0620A" w:rsidRDefault="00344048" w:rsidP="00B0620A">
      <w:pPr>
        <w:pStyle w:val="Textpoznpodarou"/>
        <w:rPr>
          <w:noProof/>
          <w:lang w:val="cs-CZ"/>
        </w:rPr>
      </w:pPr>
      <w:r>
        <w:rPr>
          <w:rStyle w:val="Znakapoznpodarou"/>
        </w:rPr>
        <w:footnoteRef/>
      </w:r>
      <w:r>
        <w:t xml:space="preserve"> </w:t>
      </w:r>
      <w:r>
        <w:rPr>
          <w:lang w:val="cs-CZ"/>
        </w:rPr>
        <w:t>„</w:t>
      </w:r>
      <w:r w:rsidRPr="00B0620A">
        <w:t xml:space="preserve">Deinde dixit: </w:t>
      </w:r>
      <w:r w:rsidRPr="00B0620A">
        <w:rPr>
          <w:i/>
        </w:rPr>
        <w:t>Vivum autem universale</w:t>
      </w:r>
      <w:r w:rsidRPr="00B0620A">
        <w:t xml:space="preserve">, etc. Demonstratur per hoc quod ipse non opinatur quod diffinitiones generum et specierum sunt diffinitiones rerum universalium existentium extra animam; sed sunt diffinitiones rerum particularium extra intellectum, sed </w:t>
      </w:r>
      <w:r>
        <w:t>intellectus est qui agit in ei</w:t>
      </w:r>
      <w:r>
        <w:rPr>
          <w:lang w:val="cs-CZ"/>
        </w:rPr>
        <w:t xml:space="preserve">s </w:t>
      </w:r>
      <w:r w:rsidRPr="00B0620A">
        <w:t>universalitatem, Et quasi dicit: et non attribuitur esse diffinitionum speciebus et generibus, ita quod ille res universales sint existentes extra intellectum. Vivum enim universale aut nichil est omnino, aut esse eius est posterius ab esse rerum sensibilium, si est aliquid universale ens per se.</w:t>
      </w:r>
      <w:r>
        <w:rPr>
          <w:lang w:val="cs-CZ"/>
        </w:rPr>
        <w:t xml:space="preserve">“ </w:t>
      </w:r>
      <w:r w:rsidRPr="00273106">
        <w:rPr>
          <w:noProof/>
          <w:lang w:val="cs-CZ"/>
        </w:rPr>
        <w:t>(CMD</w:t>
      </w:r>
      <w:r>
        <w:rPr>
          <w:noProof/>
          <w:lang w:val="cs-CZ"/>
        </w:rPr>
        <w:t>A I.8; 12.21–26</w:t>
      </w:r>
      <w:r>
        <w:rPr>
          <w:lang w:eastAsia="en-US"/>
        </w:rPr>
        <w:fldChar w:fldCharType="begin"/>
      </w:r>
      <w:r>
        <w:instrText xml:space="preserve"> XE "Averroes:</w:instrText>
      </w:r>
      <w:r>
        <w:rPr>
          <w:lang w:val="cs-CZ"/>
        </w:rPr>
        <w:instrText>CMDA 12.21–26</w:instrText>
      </w:r>
      <w:r>
        <w:instrText xml:space="preserve">" </w:instrText>
      </w:r>
      <w:r>
        <w:rPr>
          <w:lang w:eastAsia="en-US"/>
        </w:rPr>
        <w:fldChar w:fldCharType="end"/>
      </w:r>
      <w:r>
        <w:rPr>
          <w:noProof/>
          <w:lang w:val="cs-CZ"/>
        </w:rPr>
        <w:t>)</w:t>
      </w:r>
    </w:p>
  </w:footnote>
  <w:footnote w:id="230">
    <w:p w14:paraId="7220B52E" w14:textId="77777777" w:rsidR="00344048" w:rsidRPr="00D34E34" w:rsidRDefault="00344048" w:rsidP="08126A94">
      <w:pPr>
        <w:pStyle w:val="Textpoznpodarou"/>
      </w:pPr>
      <w:r>
        <w:rPr>
          <w:rStyle w:val="Znakapoznpodarou"/>
        </w:rPr>
        <w:footnoteRef/>
      </w:r>
      <w:r>
        <w:t xml:space="preserve"> „</w:t>
      </w:r>
      <w:r w:rsidRPr="00D34E34">
        <w:t xml:space="preserve">Et dixit: </w:t>
      </w:r>
      <w:r w:rsidRPr="00D34E34">
        <w:rPr>
          <w:i/>
        </w:rPr>
        <w:t>Dicamus igitur quod sensus non est in actu, sed in potentia</w:t>
      </w:r>
      <w:r w:rsidRPr="00D34E34">
        <w:t>, etc. Idest, dicamus igitur in respondendo quod sensus non est ex virtutibus activis, que agunt ex se absque eo quod indigeant in actione que provenit ab eis motore extrinseco, sed sunt ex virtutibus passivis, que indigent motore extrinseco. Et ideo non sentiunt ex se, quemadmodum combustibile non comburitur ex se absque motore extrinseco, scilicet igne.</w:t>
      </w:r>
      <w:r>
        <w:t xml:space="preserve">“ </w:t>
      </w:r>
      <w:r w:rsidRPr="00273106">
        <w:rPr>
          <w:noProof/>
        </w:rPr>
        <w:t>(</w:t>
      </w:r>
      <w:r>
        <w:rPr>
          <w:noProof/>
        </w:rPr>
        <w:t>CMDA II.52; 210.29‒</w:t>
      </w:r>
      <w:r w:rsidRPr="00273106">
        <w:rPr>
          <w:noProof/>
        </w:rPr>
        <w:t>37</w:t>
      </w:r>
      <w:r>
        <w:rPr>
          <w:i/>
        </w:rPr>
        <w:fldChar w:fldCharType="begin"/>
      </w:r>
      <w:r>
        <w:instrText xml:space="preserve"> XE "Averroes:</w:instrText>
      </w:r>
      <w:r>
        <w:rPr>
          <w:noProof/>
        </w:rPr>
        <w:instrText>CMDA 210.29‒</w:instrText>
      </w:r>
      <w:r w:rsidRPr="00273106">
        <w:rPr>
          <w:noProof/>
        </w:rPr>
        <w:instrText>37</w:instrText>
      </w:r>
      <w:r>
        <w:instrText xml:space="preserve">" </w:instrText>
      </w:r>
      <w:r>
        <w:rPr>
          <w:i/>
        </w:rPr>
        <w:fldChar w:fldCharType="end"/>
      </w:r>
      <w:r w:rsidRPr="00273106">
        <w:rPr>
          <w:noProof/>
        </w:rPr>
        <w:t>)</w:t>
      </w:r>
    </w:p>
  </w:footnote>
  <w:footnote w:id="231">
    <w:p w14:paraId="6BD3A490" w14:textId="77777777" w:rsidR="00344048" w:rsidRPr="00E94741" w:rsidRDefault="00344048" w:rsidP="08126A94">
      <w:pPr>
        <w:pStyle w:val="Textpoznpodarou"/>
      </w:pPr>
      <w:r>
        <w:rPr>
          <w:rStyle w:val="Znakapoznpodarou"/>
        </w:rPr>
        <w:footnoteRef/>
      </w:r>
      <w:r>
        <w:t xml:space="preserve"> „Et </w:t>
      </w:r>
      <w:r w:rsidRPr="00F645F9">
        <w:t xml:space="preserve">potest intelligi </w:t>
      </w:r>
      <w:r>
        <w:t xml:space="preserve">sic: et </w:t>
      </w:r>
      <w:r w:rsidRPr="00F645F9">
        <w:t xml:space="preserve">necesse </w:t>
      </w:r>
      <w:r>
        <w:t xml:space="preserve">est ut </w:t>
      </w:r>
      <w:r w:rsidRPr="00F645F9">
        <w:t xml:space="preserve">sit </w:t>
      </w:r>
      <w:r>
        <w:t xml:space="preserve">de </w:t>
      </w:r>
      <w:r w:rsidRPr="00F645F9">
        <w:t xml:space="preserve">virtutibus passivis ita quod proportio sensus ad sensibilia sit sicut proportio intellectus </w:t>
      </w:r>
      <w:r>
        <w:t xml:space="preserve">ad </w:t>
      </w:r>
      <w:r w:rsidRPr="00F645F9">
        <w:t>intelligibilia.</w:t>
      </w:r>
      <w:r>
        <w:t xml:space="preserve"> </w:t>
      </w:r>
      <w:r w:rsidRPr="00E94741">
        <w:t xml:space="preserve">Et secundum hoc in ordine sermonis erit transpositio, et tunc debet legi sic: Oportet igitur ut dispositio eius sit secundum similitudinem: sicut sensus apud sensibilia, sic </w:t>
      </w:r>
      <w:r>
        <w:t>intellectus apud intelligibilia...“ (CMDA III.3; 382.26</w:t>
      </w:r>
      <w:r w:rsidRPr="00BD118E">
        <w:rPr>
          <w:rStyle w:val="TextpoznpodarouChar"/>
          <w:rFonts w:eastAsia="Times"/>
        </w:rPr>
        <w:t>–</w:t>
      </w:r>
      <w:r>
        <w:t>30</w:t>
      </w:r>
      <w:r>
        <w:rPr>
          <w:i/>
        </w:rPr>
        <w:fldChar w:fldCharType="begin"/>
      </w:r>
      <w:r>
        <w:instrText xml:space="preserve"> XE "Averroes:CMDA 382.26</w:instrText>
      </w:r>
      <w:r w:rsidRPr="00BD118E">
        <w:rPr>
          <w:rStyle w:val="TextpoznpodarouChar"/>
          <w:rFonts w:eastAsia="Times"/>
        </w:rPr>
        <w:instrText>–</w:instrText>
      </w:r>
      <w:r>
        <w:instrText xml:space="preserve">30" </w:instrText>
      </w:r>
      <w:r>
        <w:rPr>
          <w:i/>
        </w:rPr>
        <w:fldChar w:fldCharType="end"/>
      </w:r>
      <w:r>
        <w:t>)</w:t>
      </w:r>
    </w:p>
  </w:footnote>
  <w:footnote w:id="232">
    <w:p w14:paraId="315D1615" w14:textId="77777777" w:rsidR="00344048" w:rsidRPr="00FD694B" w:rsidRDefault="00344048" w:rsidP="08126A94">
      <w:pPr>
        <w:pStyle w:val="Textpoznpodarou"/>
      </w:pPr>
      <w:r>
        <w:rPr>
          <w:rStyle w:val="Znakapoznpodarou"/>
        </w:rPr>
        <w:footnoteRef/>
      </w:r>
      <w:r>
        <w:rPr>
          <w:rStyle w:val="TextpoznpodarouChar"/>
          <w:rFonts w:eastAsia="Times"/>
        </w:rPr>
        <w:t xml:space="preserve"> „</w:t>
      </w:r>
      <w:r w:rsidRPr="00525B4F">
        <w:rPr>
          <w:rStyle w:val="TextpoznpodarouChar"/>
          <w:rFonts w:eastAsia="Times"/>
        </w:rPr>
        <w:t>The thinking part of the soul must therefore be, while impassible, capable of receiving the form of an object</w:t>
      </w:r>
      <w:r>
        <w:rPr>
          <w:rStyle w:val="TextpoznpodarouChar"/>
          <w:rFonts w:eastAsia="Times"/>
        </w:rPr>
        <w:t xml:space="preserve"> (</w:t>
      </w:r>
      <w:r>
        <w:t>πάσχειν τι ἂν εἴη ὑπὸ τοῦ νοητοῦ</w:t>
      </w:r>
      <w:r>
        <w:rPr>
          <w:rStyle w:val="TextpoznpodarouChar"/>
          <w:rFonts w:eastAsia="Times"/>
        </w:rPr>
        <w:t>)</w:t>
      </w:r>
      <w:r w:rsidRPr="00525B4F">
        <w:rPr>
          <w:rStyle w:val="TextpoznpodarouChar"/>
          <w:rFonts w:eastAsia="Times"/>
        </w:rPr>
        <w:t>; that is must be potentially identical in character with its object without being the object</w:t>
      </w:r>
      <w:r>
        <w:rPr>
          <w:rStyle w:val="TextpoznpodarouChar"/>
          <w:rFonts w:eastAsia="Times"/>
        </w:rPr>
        <w:t xml:space="preserve"> (</w:t>
      </w:r>
      <w:r>
        <w:t>τι τοιοῦτον ἕτερον</w:t>
      </w:r>
      <w:r>
        <w:rPr>
          <w:rStyle w:val="TextpoznpodarouChar"/>
          <w:rFonts w:eastAsia="Times"/>
        </w:rPr>
        <w:t>)</w:t>
      </w:r>
      <w:r w:rsidRPr="00525B4F">
        <w:rPr>
          <w:rStyle w:val="TextpoznpodarouChar"/>
          <w:rFonts w:eastAsia="Times"/>
        </w:rPr>
        <w:t xml:space="preserve">. Mind must be related to </w:t>
      </w:r>
      <w:r>
        <w:rPr>
          <w:rStyle w:val="TextpoznpodarouChar"/>
          <w:rFonts w:eastAsia="Times"/>
        </w:rPr>
        <w:t>(</w:t>
      </w:r>
      <w:r w:rsidRPr="00273106">
        <w:rPr>
          <w:rStyle w:val="TextpoznpodarouChar"/>
          <w:rFonts w:eastAsia="Times"/>
        </w:rPr>
        <w:t>ὁμοίως ἔχειν</w:t>
      </w:r>
      <w:r>
        <w:rPr>
          <w:rStyle w:val="TextpoznpodarouChar"/>
          <w:rFonts w:eastAsia="Times"/>
        </w:rPr>
        <w:t xml:space="preserve">) </w:t>
      </w:r>
      <w:r w:rsidRPr="00525B4F">
        <w:rPr>
          <w:rStyle w:val="TextpoznpodarouChar"/>
          <w:rFonts w:eastAsia="Times"/>
        </w:rPr>
        <w:t>what is thinkable, as sense is to what is sensible</w:t>
      </w:r>
      <w:r w:rsidRPr="00273106">
        <w:rPr>
          <w:rStyle w:val="TextpoznpodarouChar"/>
          <w:rFonts w:eastAsia="Times"/>
        </w:rPr>
        <w:t xml:space="preserve"> (τὸ αἰσθητικὸν πρὸς τὰ αἰσθητά, οὕτω τὸν νοῦν πρὸς τὰ νοητά</w:t>
      </w:r>
      <w:r>
        <w:rPr>
          <w:rStyle w:val="TextpoznpodarouChar"/>
          <w:rFonts w:eastAsia="Times"/>
        </w:rPr>
        <w:t>).“ (</w:t>
      </w:r>
      <w:r>
        <w:rPr>
          <w:rStyle w:val="TextpoznpodarouChar"/>
          <w:rFonts w:eastAsia="Times"/>
          <w:i/>
        </w:rPr>
        <w:t>De anima</w:t>
      </w:r>
      <w:r w:rsidRPr="00273106">
        <w:rPr>
          <w:rStyle w:val="TextpoznpodarouChar"/>
          <w:rFonts w:eastAsia="Times"/>
        </w:rPr>
        <w:t xml:space="preserve"> </w:t>
      </w:r>
      <w:r>
        <w:rPr>
          <w:rStyle w:val="TextpoznpodarouChar"/>
          <w:rFonts w:eastAsia="Times"/>
        </w:rPr>
        <w:t>III.4, 429a14</w:t>
      </w:r>
      <w:r w:rsidRPr="00273106">
        <w:rPr>
          <w:rStyle w:val="TextpoznpodarouChar"/>
          <w:rFonts w:eastAsia="Times"/>
        </w:rPr>
        <w:t>–18</w:t>
      </w:r>
      <w:r>
        <w:rPr>
          <w:i/>
        </w:rPr>
        <w:fldChar w:fldCharType="begin"/>
      </w:r>
      <w:r>
        <w:instrText xml:space="preserve"> XE "Aristoteles:</w:instrText>
      </w:r>
      <w:r w:rsidRPr="00725FE0">
        <w:rPr>
          <w:i/>
        </w:rPr>
        <w:instrText>De anima</w:instrText>
      </w:r>
      <w:r>
        <w:instrText xml:space="preserve"> </w:instrText>
      </w:r>
      <w:r>
        <w:rPr>
          <w:rStyle w:val="TextpoznpodarouChar"/>
          <w:rFonts w:eastAsia="Times"/>
        </w:rPr>
        <w:instrText>429a14‒</w:instrText>
      </w:r>
      <w:r w:rsidRPr="00273106">
        <w:rPr>
          <w:rStyle w:val="TextpoznpodarouChar"/>
          <w:rFonts w:eastAsia="Times"/>
        </w:rPr>
        <w:instrText>18</w:instrText>
      </w:r>
      <w:r>
        <w:instrText xml:space="preserve">" </w:instrText>
      </w:r>
      <w:r>
        <w:rPr>
          <w:i/>
        </w:rPr>
        <w:fldChar w:fldCharType="end"/>
      </w:r>
      <w:r>
        <w:rPr>
          <w:rStyle w:val="TextpoznpodarouChar"/>
          <w:rFonts w:eastAsia="Times"/>
        </w:rPr>
        <w:t>, trad. Smith, WA 3</w:t>
      </w:r>
      <w:r w:rsidRPr="00273106">
        <w:rPr>
          <w:rStyle w:val="TextpoznpodarouChar"/>
          <w:rFonts w:eastAsia="Times"/>
        </w:rPr>
        <w:t>)</w:t>
      </w:r>
    </w:p>
  </w:footnote>
  <w:footnote w:id="233">
    <w:p w14:paraId="5B250183" w14:textId="77777777" w:rsidR="00344048" w:rsidRPr="08545CEC" w:rsidRDefault="00344048" w:rsidP="08126A94">
      <w:pPr>
        <w:pStyle w:val="Textpoznpodarou"/>
      </w:pPr>
      <w:r>
        <w:rPr>
          <w:rStyle w:val="Znakapoznpodarou"/>
        </w:rPr>
        <w:footnoteRef/>
      </w:r>
      <w:r>
        <w:t xml:space="preserve"> „...opinatus est Themistius quod intellectus qui est in habitu est compositus ex intellectu materiali et agenti. Et hoc idem fecit Alexandrum credere quod intellectus qui est in nobis est compositus aut quasi compositus ex intellectu agenti et ex eo qui est in habitu, cum opinatur quod substantia eius qui est in habitu debet esse alia a substantia intellectus agentis.“ (CMDA III.36; 496.481‒87</w:t>
      </w:r>
      <w:r>
        <w:rPr>
          <w:i/>
        </w:rPr>
        <w:fldChar w:fldCharType="begin"/>
      </w:r>
      <w:r>
        <w:instrText xml:space="preserve"> XE "Averroes:</w:instrText>
      </w:r>
      <w:r>
        <w:rPr>
          <w:noProof/>
        </w:rPr>
        <w:instrText xml:space="preserve">CMDA </w:instrText>
      </w:r>
      <w:r>
        <w:instrText xml:space="preserve">496.481‒87" </w:instrText>
      </w:r>
      <w:r>
        <w:rPr>
          <w:i/>
        </w:rPr>
        <w:fldChar w:fldCharType="end"/>
      </w:r>
      <w:r>
        <w:t>)</w:t>
      </w:r>
    </w:p>
  </w:footnote>
  <w:footnote w:id="234">
    <w:p w14:paraId="35B7EF48" w14:textId="77777777" w:rsidR="00344048" w:rsidRPr="00BD3C88" w:rsidRDefault="00344048" w:rsidP="08126A94">
      <w:pPr>
        <w:pStyle w:val="Textpoznpodarou"/>
      </w:pPr>
      <w:r>
        <w:rPr>
          <w:rStyle w:val="Znakapoznpodarou"/>
        </w:rPr>
        <w:footnoteRef/>
      </w:r>
      <w:r>
        <w:t xml:space="preserve"> K rozdílu mezi Themistiem a Alexandrem vzhledem k originálnímu výkladu intelektu v </w:t>
      </w:r>
      <w:r w:rsidRPr="00837E3C">
        <w:rPr>
          <w:i/>
        </w:rPr>
        <w:t>De anima</w:t>
      </w:r>
      <w:r>
        <w:t xml:space="preserve"> III, viz Bormann 1982, 6‒20.</w:t>
      </w:r>
    </w:p>
  </w:footnote>
  <w:footnote w:id="235">
    <w:p w14:paraId="4AA2791A" w14:textId="77777777" w:rsidR="00344048" w:rsidRPr="00F33806" w:rsidRDefault="00344048" w:rsidP="004D6A06">
      <w:pPr>
        <w:pStyle w:val="Textpoznpodarou"/>
      </w:pPr>
      <w:r w:rsidRPr="00F33806">
        <w:rPr>
          <w:rStyle w:val="Znakapoznpodarou"/>
        </w:rPr>
        <w:footnoteRef/>
      </w:r>
      <w:r>
        <w:t xml:space="preserve"> </w:t>
      </w:r>
      <w:r w:rsidRPr="00C2541A">
        <w:t>„Now if thinking is analogous to perceiving (τὸ νοεῖν ἀνάλογόν ἐστι τῷ αἰσθάνεσθαι) (for the soul, as we also said earlier, makes judgments and becomes acquainted with [things] through both of these), then the intellect, too, would be in some way affected by the objects of thought, just as perception is by the objects of perception, and here too “would be affected” has to be understood in just the same way [as with perception] (τὸ πάσχοι δ' ἂν καὶ ἐνταῦθα ἀκουστέον παραπλησίως). It is, in other words, more appropriate to say</w:t>
      </w:r>
      <w:r>
        <w:t xml:space="preserve"> that [the intellect] would be 'completed'</w:t>
      </w:r>
      <w:r w:rsidRPr="00C2541A">
        <w:t xml:space="preserve"> to the fullest extent by being advanced from potentiality to actuality</w:t>
      </w:r>
      <w:r>
        <w:t xml:space="preserve"> (εἰς ἐνέργειαν ἐκ δυνάμεως προαγόμενος)</w:t>
      </w:r>
      <w:r w:rsidRPr="00C2541A">
        <w:t>. And it is obvious that [it is advanced] from potentiality</w:t>
      </w:r>
      <w:r>
        <w:t xml:space="preserve"> </w:t>
      </w:r>
      <w:r w:rsidRPr="002B2B2F">
        <w:t>(ἐκ δυνάμεως, δῆλον).</w:t>
      </w:r>
      <w:r w:rsidRPr="00C2541A">
        <w:t xml:space="preserve"> That is why we do not always think</w:t>
      </w:r>
      <w:r>
        <w:t xml:space="preserve"> (διὰ γὰρ τοῦτο οὔτε αἰεὶ νοοῦμεν)</w:t>
      </w:r>
      <w:r w:rsidRPr="00C2541A">
        <w:t>, nor even always think the same things rather than different things at different times</w:t>
      </w:r>
      <w:r>
        <w:t xml:space="preserve"> (</w:t>
      </w:r>
      <w:r w:rsidRPr="002B2B2F">
        <w:t>τὰ αὐτὰ αἰεί, ἀλλὰ ἄλλοτε ἄλλα</w:t>
      </w:r>
      <w:r>
        <w:t>)</w:t>
      </w:r>
      <w:r w:rsidRPr="00C2541A">
        <w:t>; this in fact is a sign that this intellect exists in potentiality</w:t>
      </w:r>
      <w:r>
        <w:t xml:space="preserve"> (σημεῖον τοῦ δυνάμει εἶναι τοῦτον τὸν νοῦν)</w:t>
      </w:r>
      <w:r w:rsidRPr="00C2541A">
        <w:t xml:space="preserve">, since there can be no transition from one activity to another unless a potentiality remains </w:t>
      </w:r>
      <w:r>
        <w:t>(</w:t>
      </w:r>
      <w:r w:rsidRPr="00D86267">
        <w:t>δυνάμεως ὑπομενούσης</w:t>
      </w:r>
      <w:r>
        <w:t xml:space="preserve">) </w:t>
      </w:r>
      <w:r w:rsidRPr="00C2541A">
        <w:t>to display the different activities.“</w:t>
      </w:r>
      <w:r w:rsidRPr="00F33806">
        <w:t xml:space="preserve"> </w:t>
      </w:r>
      <w:r>
        <w:t>(</w:t>
      </w:r>
      <w:r>
        <w:rPr>
          <w:i/>
        </w:rPr>
        <w:t>In Aristotelis libros d</w:t>
      </w:r>
      <w:r w:rsidRPr="00F17506">
        <w:rPr>
          <w:i/>
        </w:rPr>
        <w:t>e anima paraphrasis</w:t>
      </w:r>
      <w:r>
        <w:t xml:space="preserve"> </w:t>
      </w:r>
      <w:r>
        <w:rPr>
          <w:rStyle w:val="TextpoznpodarouChar"/>
          <w:rFonts w:eastAsia="Times"/>
        </w:rPr>
        <w:t>94.5‒15</w:t>
      </w:r>
      <w:r>
        <w:rPr>
          <w:rStyle w:val="TextpoznpodarouChar"/>
          <w:rFonts w:eastAsia="Times"/>
        </w:rPr>
        <w:fldChar w:fldCharType="begin"/>
      </w:r>
      <w:r>
        <w:instrText xml:space="preserve"> XE "</w:instrText>
      </w:r>
      <w:r w:rsidRPr="005250EA">
        <w:instrText>Themistius:</w:instrText>
      </w:r>
      <w:r w:rsidRPr="00AC457D">
        <w:rPr>
          <w:i/>
        </w:rPr>
        <w:instrText>In Aristotelis libros de anima paraphrasis</w:instrText>
      </w:r>
      <w:r w:rsidRPr="005250EA">
        <w:instrText xml:space="preserve"> 94.5‒15</w:instrText>
      </w:r>
      <w:r>
        <w:instrText xml:space="preserve">" </w:instrText>
      </w:r>
      <w:r>
        <w:rPr>
          <w:rStyle w:val="TextpoznpodarouChar"/>
          <w:rFonts w:eastAsia="Times"/>
        </w:rPr>
        <w:fldChar w:fldCharType="end"/>
      </w:r>
      <w:r>
        <w:rPr>
          <w:rStyle w:val="TextpoznpodarouChar"/>
          <w:rFonts w:eastAsia="Times"/>
        </w:rPr>
        <w:t>; trad. Schroeder, pp. 77‒78)</w:t>
      </w:r>
    </w:p>
  </w:footnote>
  <w:footnote w:id="236">
    <w:p w14:paraId="3FECD9E5" w14:textId="77777777" w:rsidR="00344048" w:rsidRPr="00752F01" w:rsidRDefault="00344048" w:rsidP="08126A94">
      <w:pPr>
        <w:pStyle w:val="Textpoznpodarou"/>
      </w:pPr>
      <w:r>
        <w:rPr>
          <w:rStyle w:val="Znakapoznpodarou"/>
        </w:rPr>
        <w:footnoteRef/>
      </w:r>
      <w:r>
        <w:t xml:space="preserve"> „Et iam declaratum est quod </w:t>
      </w:r>
      <w:r w:rsidRPr="00F645F9">
        <w:t>intellectus</w:t>
      </w:r>
      <w:r>
        <w:t xml:space="preserve"> materialis impossibile est ut habeat formam </w:t>
      </w:r>
      <w:r w:rsidRPr="00F645F9">
        <w:t>in</w:t>
      </w:r>
      <w:r>
        <w:t xml:space="preserve"> </w:t>
      </w:r>
      <w:r w:rsidRPr="00F645F9">
        <w:t xml:space="preserve">actu, cum substantia </w:t>
      </w:r>
      <w:r>
        <w:t xml:space="preserve">et </w:t>
      </w:r>
      <w:r w:rsidRPr="00F645F9">
        <w:t xml:space="preserve">natura </w:t>
      </w:r>
      <w:r>
        <w:t xml:space="preserve">eius est ut recipiat formas </w:t>
      </w:r>
      <w:r w:rsidRPr="00F645F9">
        <w:t xml:space="preserve">secundum </w:t>
      </w:r>
      <w:r>
        <w:t>quod sunt forme.“ (CMDA III.5; 398.340</w:t>
      </w:r>
      <w:r>
        <w:rPr>
          <w:noProof/>
        </w:rPr>
        <w:t>–</w:t>
      </w:r>
      <w:r>
        <w:t>43</w:t>
      </w:r>
      <w:r>
        <w:fldChar w:fldCharType="begin"/>
      </w:r>
      <w:r>
        <w:instrText xml:space="preserve"> XE "Averroes</w:instrText>
      </w:r>
      <w:r w:rsidRPr="00E36DE0">
        <w:instrText>:CMDA</w:instrText>
      </w:r>
      <w:r>
        <w:instrText xml:space="preserve"> 398.340</w:instrText>
      </w:r>
      <w:r>
        <w:rPr>
          <w:noProof/>
        </w:rPr>
        <w:instrText>–</w:instrText>
      </w:r>
      <w:r>
        <w:instrText xml:space="preserve">43" </w:instrText>
      </w:r>
      <w:r>
        <w:fldChar w:fldCharType="end"/>
      </w:r>
      <w:r>
        <w:t xml:space="preserve">) </w:t>
      </w:r>
    </w:p>
  </w:footnote>
  <w:footnote w:id="237">
    <w:p w14:paraId="7C6FF3BD" w14:textId="77777777" w:rsidR="00344048" w:rsidRPr="00387C0B" w:rsidRDefault="00344048" w:rsidP="08126A94">
      <w:pPr>
        <w:pStyle w:val="Textpoznpodarou"/>
      </w:pPr>
      <w:r>
        <w:rPr>
          <w:rStyle w:val="Znakapoznpodarou"/>
        </w:rPr>
        <w:footnoteRef/>
      </w:r>
      <w:r>
        <w:t xml:space="preserve"> „</w:t>
      </w:r>
      <w:r w:rsidRPr="00387C0B">
        <w:t>Non ita quod intellectus materialis intelligat ipsum et propter illud intelligere fiat continuatio cum hoc intellectu, sed continuatio istius intellectus nobiscum est causa eius quod intelligit ipsum et intelligimus per ipsum alias res abstra</w:t>
      </w:r>
      <w:r>
        <w:t xml:space="preserve">ctas.“ </w:t>
      </w:r>
      <w:r>
        <w:rPr>
          <w:noProof/>
        </w:rPr>
        <w:t>(CMDA III.36; 484.138–42</w:t>
      </w:r>
      <w:r>
        <w:fldChar w:fldCharType="begin"/>
      </w:r>
      <w:r>
        <w:instrText xml:space="preserve"> XE "Averroes</w:instrText>
      </w:r>
      <w:r w:rsidRPr="00E36DE0">
        <w:instrText>:CMDA</w:instrText>
      </w:r>
      <w:r>
        <w:instrText xml:space="preserve"> </w:instrText>
      </w:r>
      <w:r>
        <w:rPr>
          <w:noProof/>
        </w:rPr>
        <w:instrText>484.138–42</w:instrText>
      </w:r>
      <w:r>
        <w:instrText xml:space="preserve">" </w:instrText>
      </w:r>
      <w:r>
        <w:fldChar w:fldCharType="end"/>
      </w:r>
      <w:r w:rsidRPr="00273106">
        <w:rPr>
          <w:noProof/>
        </w:rPr>
        <w:t>)</w:t>
      </w:r>
    </w:p>
  </w:footnote>
  <w:footnote w:id="238">
    <w:p w14:paraId="6DE699C9" w14:textId="77777777" w:rsidR="00344048" w:rsidRPr="009F184A" w:rsidRDefault="00344048" w:rsidP="08126A94">
      <w:pPr>
        <w:pStyle w:val="Textpoznpodarou"/>
      </w:pPr>
      <w:r>
        <w:rPr>
          <w:rStyle w:val="Znakapoznpodarou"/>
        </w:rPr>
        <w:footnoteRef/>
      </w:r>
      <w:r>
        <w:t xml:space="preserve"> „</w:t>
      </w:r>
      <w:r w:rsidRPr="009F184A">
        <w:t>Et ista est dispositio intellectus in comprehendendo alietatem que est inter formam et individuum; comprehendit enim formam per se, et comprehendit individuum mediante sensu.</w:t>
      </w:r>
      <w:r>
        <w:t>“ (CMDA III.9; 422.47</w:t>
      </w:r>
      <w:r>
        <w:rPr>
          <w:noProof/>
        </w:rPr>
        <w:t>–</w:t>
      </w:r>
      <w:r>
        <w:t>50</w:t>
      </w:r>
      <w:r>
        <w:fldChar w:fldCharType="begin"/>
      </w:r>
      <w:r>
        <w:instrText xml:space="preserve"> XE "Averroes</w:instrText>
      </w:r>
      <w:r w:rsidRPr="00E36DE0">
        <w:instrText>:CMDA</w:instrText>
      </w:r>
      <w:r>
        <w:instrText xml:space="preserve"> 422.47</w:instrText>
      </w:r>
      <w:r>
        <w:rPr>
          <w:noProof/>
        </w:rPr>
        <w:instrText>–</w:instrText>
      </w:r>
      <w:r>
        <w:instrText xml:space="preserve">50" </w:instrText>
      </w:r>
      <w:r>
        <w:fldChar w:fldCharType="end"/>
      </w:r>
      <w:r>
        <w:t>)</w:t>
      </w:r>
    </w:p>
  </w:footnote>
  <w:footnote w:id="239">
    <w:p w14:paraId="42A6A53D" w14:textId="77777777" w:rsidR="00344048" w:rsidRPr="0896124D" w:rsidRDefault="00344048" w:rsidP="0896124D">
      <w:pPr>
        <w:pStyle w:val="Textpoznpodarou"/>
      </w:pPr>
      <w:r w:rsidRPr="0896124D">
        <w:rPr>
          <w:rStyle w:val="Znakapoznpodarou"/>
        </w:rPr>
        <w:footnoteRef/>
      </w:r>
      <w:r w:rsidRPr="0896124D">
        <w:t xml:space="preserve"> </w:t>
      </w:r>
      <w:r w:rsidRPr="0896124D">
        <w:rPr>
          <w:rStyle w:val="Zkladntext158dkovn0pt"/>
          <w:rFonts w:eastAsia="Sylfaen"/>
          <w:color w:val="auto"/>
          <w:spacing w:val="0"/>
          <w:sz w:val="20"/>
          <w:lang w:val="x-none"/>
        </w:rPr>
        <w:t xml:space="preserve">„Et dixit: </w:t>
      </w:r>
      <w:r w:rsidRPr="0896124D">
        <w:rPr>
          <w:rStyle w:val="Zkladntext158Constantia13ptKurzvadkovn0pt"/>
          <w:rFonts w:ascii="Calibri" w:hAnsi="Calibri" w:cs="Times New Roman"/>
          <w:i w:val="0"/>
          <w:iCs w:val="0"/>
          <w:color w:val="auto"/>
          <w:spacing w:val="0"/>
          <w:sz w:val="20"/>
          <w:lang w:val="x-none"/>
        </w:rPr>
        <w:t>Et quod accidit in intellectu</w:t>
      </w:r>
      <w:r w:rsidRPr="0896124D">
        <w:rPr>
          <w:rStyle w:val="Zkladntext158dkovn0pt"/>
          <w:rFonts w:eastAsia="Sylfaen"/>
          <w:color w:val="auto"/>
          <w:spacing w:val="0"/>
          <w:sz w:val="20"/>
          <w:lang w:val="x-none"/>
        </w:rPr>
        <w:t>, etc. Idest, et intelligendum est hoc quod</w:t>
      </w:r>
      <w:r w:rsidRPr="0896124D">
        <w:t xml:space="preserve"> </w:t>
      </w:r>
      <w:r w:rsidRPr="0896124D">
        <w:rPr>
          <w:rStyle w:val="Zkladntext158dkovn0pt"/>
          <w:rFonts w:eastAsia="Sylfaen"/>
          <w:color w:val="auto"/>
          <w:spacing w:val="0"/>
          <w:sz w:val="20"/>
          <w:lang w:val="x-none"/>
        </w:rPr>
        <w:t xml:space="preserve">diximus de hac intentione universali, scilicet passione que est in intellectu, quod est tantum receptio sine transmutatione, sicut receptio picture in tabula.“ </w:t>
      </w:r>
      <w:r w:rsidRPr="0896124D">
        <w:t>(CMDA III.14; 430.50–54</w:t>
      </w:r>
      <w:r w:rsidRPr="0896124D">
        <w:fldChar w:fldCharType="begin"/>
      </w:r>
      <w:r w:rsidRPr="0896124D">
        <w:instrText xml:space="preserve"> XE "Averroes:CMDA 430.50–54" </w:instrText>
      </w:r>
      <w:r w:rsidRPr="0896124D">
        <w:fldChar w:fldCharType="end"/>
      </w:r>
      <w:r w:rsidRPr="0896124D">
        <w:t>)</w:t>
      </w:r>
    </w:p>
  </w:footnote>
  <w:footnote w:id="240">
    <w:p w14:paraId="0E1DDA53" w14:textId="77777777" w:rsidR="00344048" w:rsidRPr="08A26941" w:rsidRDefault="00344048" w:rsidP="08126A94">
      <w:pPr>
        <w:pStyle w:val="Textpoznpodarou"/>
      </w:pPr>
      <w:r>
        <w:rPr>
          <w:rStyle w:val="Znakapoznpodarou"/>
        </w:rPr>
        <w:footnoteRef/>
      </w:r>
      <w:r>
        <w:t xml:space="preserve"> </w:t>
      </w:r>
      <w:r>
        <w:rPr>
          <w:rStyle w:val="Zkladntext158dkovn0pt"/>
          <w:rFonts w:eastAsia="Sylfaen"/>
          <w:spacing w:val="0"/>
          <w:sz w:val="21"/>
          <w:lang w:val="cs-CZ"/>
        </w:rPr>
        <w:t>„</w:t>
      </w:r>
      <w:r>
        <w:t xml:space="preserve">Et ideo in anima sunt intentiones et comprehensiones, et extra animam non sunt neque intentiones neque comprehensiones, sed res materiales non comprehense omnino.“ </w:t>
      </w:r>
      <w:r w:rsidRPr="00273106">
        <w:rPr>
          <w:noProof/>
        </w:rPr>
        <w:t>(CMDA II.121</w:t>
      </w:r>
      <w:r>
        <w:rPr>
          <w:noProof/>
        </w:rPr>
        <w:t>;</w:t>
      </w:r>
      <w:r w:rsidRPr="00273106">
        <w:rPr>
          <w:noProof/>
        </w:rPr>
        <w:t xml:space="preserve"> 317.17‒20</w:t>
      </w:r>
      <w:r>
        <w:fldChar w:fldCharType="begin"/>
      </w:r>
      <w:r>
        <w:instrText xml:space="preserve"> XE "Averroes</w:instrText>
      </w:r>
      <w:r w:rsidRPr="00E36DE0">
        <w:instrText>:CMDA</w:instrText>
      </w:r>
      <w:r>
        <w:instrText xml:space="preserve"> </w:instrText>
      </w:r>
      <w:r>
        <w:rPr>
          <w:noProof/>
        </w:rPr>
        <w:instrText>317.17‒20</w:instrText>
      </w:r>
      <w:r>
        <w:instrText xml:space="preserve">" </w:instrText>
      </w:r>
      <w:r>
        <w:fldChar w:fldCharType="end"/>
      </w:r>
      <w:r w:rsidRPr="00273106">
        <w:rPr>
          <w:noProof/>
        </w:rPr>
        <w:t>)</w:t>
      </w:r>
    </w:p>
  </w:footnote>
  <w:footnote w:id="241">
    <w:p w14:paraId="2A4D485E" w14:textId="77777777" w:rsidR="00344048" w:rsidRPr="0057607A" w:rsidRDefault="00344048" w:rsidP="08126A94">
      <w:pPr>
        <w:pStyle w:val="Textpoznpodarou"/>
      </w:pPr>
      <w:r>
        <w:rPr>
          <w:rStyle w:val="Znakapoznpodarou"/>
        </w:rPr>
        <w:footnoteRef/>
      </w:r>
      <w:r>
        <w:t xml:space="preserve"> </w:t>
      </w:r>
      <w:r>
        <w:rPr>
          <w:noProof/>
        </w:rPr>
        <w:t>„</w:t>
      </w:r>
      <w:r>
        <w:t xml:space="preserve">Et dixit </w:t>
      </w:r>
      <w:r w:rsidRPr="0057607A">
        <w:rPr>
          <w:i/>
        </w:rPr>
        <w:t>secundum quod est in hac dispositione, et in intentione</w:t>
      </w:r>
      <w:r>
        <w:t xml:space="preserve"> observando se ab intentionibus quas recipit intellectus; ille enim sunt universales, iste vero tantum sunt iste.“ </w:t>
      </w:r>
      <w:r w:rsidRPr="00273106">
        <w:rPr>
          <w:noProof/>
        </w:rPr>
        <w:t>(CMDA II.121</w:t>
      </w:r>
      <w:r>
        <w:rPr>
          <w:noProof/>
        </w:rPr>
        <w:t>; 317.32‒35</w:t>
      </w:r>
      <w:r>
        <w:fldChar w:fldCharType="begin"/>
      </w:r>
      <w:r>
        <w:instrText xml:space="preserve"> XE "Averroes</w:instrText>
      </w:r>
      <w:r w:rsidRPr="00E36DE0">
        <w:instrText>:CMDA</w:instrText>
      </w:r>
      <w:r>
        <w:instrText xml:space="preserve"> </w:instrText>
      </w:r>
      <w:r>
        <w:rPr>
          <w:noProof/>
        </w:rPr>
        <w:instrText>317.</w:instrText>
      </w:r>
      <w:r w:rsidRPr="00273106">
        <w:rPr>
          <w:noProof/>
        </w:rPr>
        <w:instrText>32‒35</w:instrText>
      </w:r>
      <w:r>
        <w:instrText xml:space="preserve">" </w:instrText>
      </w:r>
      <w:r>
        <w:fldChar w:fldCharType="end"/>
      </w:r>
      <w:r w:rsidRPr="00273106">
        <w:rPr>
          <w:noProof/>
        </w:rPr>
        <w:t>)</w:t>
      </w:r>
    </w:p>
  </w:footnote>
  <w:footnote w:id="242">
    <w:p w14:paraId="71DE0A0C" w14:textId="77777777" w:rsidR="00344048" w:rsidRPr="00E52F59" w:rsidRDefault="00344048" w:rsidP="08126A94">
      <w:pPr>
        <w:pStyle w:val="Textpoznpodarou"/>
      </w:pPr>
      <w:r>
        <w:rPr>
          <w:rStyle w:val="Znakapoznpodarou"/>
        </w:rPr>
        <w:footnoteRef/>
      </w:r>
      <w:r>
        <w:t xml:space="preserve"> „</w:t>
      </w:r>
      <w:r w:rsidRPr="00E52F59">
        <w:t>Et dixit etiam in tractatu quem fecit de Intellectu secundum opinionem Aristotelis quod intellectus materialis est virtus facta a complexione.</w:t>
      </w:r>
      <w:r>
        <w:t xml:space="preserve">“ </w:t>
      </w:r>
      <w:r w:rsidRPr="00273106">
        <w:rPr>
          <w:noProof/>
        </w:rPr>
        <w:t>(CMDA III.5</w:t>
      </w:r>
      <w:r>
        <w:rPr>
          <w:noProof/>
        </w:rPr>
        <w:t>; 394.217–</w:t>
      </w:r>
      <w:r w:rsidRPr="00273106">
        <w:rPr>
          <w:noProof/>
        </w:rPr>
        <w:t>19</w:t>
      </w:r>
      <w:r>
        <w:fldChar w:fldCharType="begin"/>
      </w:r>
      <w:r>
        <w:instrText xml:space="preserve"> XE "Averroes</w:instrText>
      </w:r>
      <w:r w:rsidRPr="00E36DE0">
        <w:instrText>:CMDA</w:instrText>
      </w:r>
      <w:r>
        <w:instrText xml:space="preserve"> </w:instrText>
      </w:r>
      <w:r>
        <w:rPr>
          <w:noProof/>
        </w:rPr>
        <w:instrText>394.217–</w:instrText>
      </w:r>
      <w:r w:rsidRPr="00273106">
        <w:rPr>
          <w:noProof/>
        </w:rPr>
        <w:instrText>19</w:instrText>
      </w:r>
      <w:r>
        <w:instrText xml:space="preserve">" </w:instrText>
      </w:r>
      <w:r>
        <w:fldChar w:fldCharType="end"/>
      </w:r>
      <w:r w:rsidRPr="00273106">
        <w:rPr>
          <w:noProof/>
        </w:rPr>
        <w:t>)</w:t>
      </w:r>
    </w:p>
  </w:footnote>
  <w:footnote w:id="243">
    <w:p w14:paraId="6E346EA2" w14:textId="77777777" w:rsidR="00344048" w:rsidRPr="00ED4DAC" w:rsidRDefault="00344048" w:rsidP="08126A94">
      <w:pPr>
        <w:pStyle w:val="Textpoznpodarou"/>
      </w:pPr>
      <w:r>
        <w:rPr>
          <w:rStyle w:val="Znakapoznpodarou"/>
        </w:rPr>
        <w:footnoteRef/>
      </w:r>
      <w:r>
        <w:t xml:space="preserve"> „</w:t>
      </w:r>
      <w:r w:rsidRPr="00F645F9">
        <w:t xml:space="preserve">Continuatio igitur intellecti cum homine impossibile est ut sit </w:t>
      </w:r>
      <w:r>
        <w:t xml:space="preserve">nisi per continuationem alterius </w:t>
      </w:r>
      <w:r w:rsidRPr="00ED4DAC">
        <w:rPr>
          <w:rFonts w:eastAsia="Sylfaen"/>
        </w:rPr>
        <w:t>istarum duarum partium cum eo, scilicet partis que est de eo quasi materia, et partis que est de ipso (scilicet intellecto) quasi forma.</w:t>
      </w:r>
      <w:r>
        <w:rPr>
          <w:rFonts w:eastAsia="Sylfaen"/>
        </w:rPr>
        <w:t xml:space="preserve">“ </w:t>
      </w:r>
      <w:r>
        <w:t>(CMDA III.5, 404.507</w:t>
      </w:r>
      <w:r>
        <w:rPr>
          <w:noProof/>
        </w:rPr>
        <w:t>–</w:t>
      </w:r>
      <w:r>
        <w:t>12</w:t>
      </w:r>
      <w:r>
        <w:fldChar w:fldCharType="begin"/>
      </w:r>
      <w:r>
        <w:instrText xml:space="preserve"> XE "Averroes</w:instrText>
      </w:r>
      <w:r w:rsidRPr="00E36DE0">
        <w:instrText>:CMDA</w:instrText>
      </w:r>
      <w:r>
        <w:instrText xml:space="preserve"> 404.507</w:instrText>
      </w:r>
      <w:r>
        <w:rPr>
          <w:noProof/>
        </w:rPr>
        <w:instrText>–</w:instrText>
      </w:r>
      <w:r>
        <w:instrText xml:space="preserve">12" </w:instrText>
      </w:r>
      <w:r>
        <w:fldChar w:fldCharType="end"/>
      </w:r>
      <w:r>
        <w:t>)</w:t>
      </w:r>
    </w:p>
  </w:footnote>
  <w:footnote w:id="244">
    <w:p w14:paraId="6C853BDA" w14:textId="77777777" w:rsidR="00344048" w:rsidRPr="00BA1127" w:rsidRDefault="00344048" w:rsidP="08126A94">
      <w:pPr>
        <w:pStyle w:val="Textpoznpodarou"/>
      </w:pPr>
      <w:r>
        <w:rPr>
          <w:rStyle w:val="Znakapoznpodarou"/>
        </w:rPr>
        <w:footnoteRef/>
      </w:r>
      <w:r>
        <w:t xml:space="preserve"> </w:t>
      </w:r>
      <w:r w:rsidRPr="00273106">
        <w:t>„Et ista intentio individualis est il</w:t>
      </w:r>
      <w:r>
        <w:t>l</w:t>
      </w:r>
      <w:r w:rsidRPr="00273106">
        <w:t xml:space="preserve">a quam distinguit virtus cogitativa a forma ymaginata...“ (CMDA </w:t>
      </w:r>
      <w:r>
        <w:t xml:space="preserve">II.63; </w:t>
      </w:r>
      <w:r w:rsidRPr="00273106">
        <w:t>225.53–55</w:t>
      </w:r>
      <w:r>
        <w:fldChar w:fldCharType="begin"/>
      </w:r>
      <w:r>
        <w:instrText xml:space="preserve"> XE "Averroes</w:instrText>
      </w:r>
      <w:r w:rsidRPr="00E36DE0">
        <w:instrText>:CMDA</w:instrText>
      </w:r>
      <w:r>
        <w:instrText xml:space="preserve"> </w:instrText>
      </w:r>
      <w:r>
        <w:rPr>
          <w:noProof/>
        </w:rPr>
        <w:instrText>225.53–55</w:instrText>
      </w:r>
      <w:r>
        <w:instrText xml:space="preserve">" </w:instrText>
      </w:r>
      <w:r>
        <w:fldChar w:fldCharType="end"/>
      </w:r>
      <w:r w:rsidRPr="00273106">
        <w:t>)</w:t>
      </w:r>
    </w:p>
  </w:footnote>
  <w:footnote w:id="245">
    <w:p w14:paraId="4E5615E7" w14:textId="77777777" w:rsidR="00344048" w:rsidRPr="00201004" w:rsidRDefault="00344048" w:rsidP="08126A94">
      <w:pPr>
        <w:pStyle w:val="Textpoznpodarou"/>
        <w:rPr>
          <w:noProof/>
        </w:rPr>
      </w:pPr>
      <w:r>
        <w:rPr>
          <w:rStyle w:val="Znakapoznpodarou"/>
        </w:rPr>
        <w:footnoteRef/>
      </w:r>
      <w:r>
        <w:t xml:space="preserve"> „S</w:t>
      </w:r>
      <w:r w:rsidRPr="00201004">
        <w:t>ensus, cum hoc quod comprehendunt sua sensibilia propria, comprehendunt intentiones individuales diversas in generibus et in speciebus; comprehendunt igitur intentionem huius hominis individualis, et intentionem huius equi individualis, et universaliter intentionem uniuscuiusque decem predicamentorum individualium.</w:t>
      </w:r>
      <w:r>
        <w:t xml:space="preserve">“ </w:t>
      </w:r>
      <w:r w:rsidRPr="00273106">
        <w:rPr>
          <w:rStyle w:val="Zkladntextdkovn0pt"/>
          <w:rFonts w:ascii="Calibri" w:eastAsia="Times" w:hAnsi="Calibri"/>
          <w:noProof/>
          <w:sz w:val="21"/>
          <w:lang w:val="cs-CZ"/>
        </w:rPr>
        <w:t>(</w:t>
      </w:r>
      <w:r w:rsidRPr="00273106">
        <w:rPr>
          <w:noProof/>
        </w:rPr>
        <w:t xml:space="preserve">CMDA </w:t>
      </w:r>
      <w:r>
        <w:rPr>
          <w:noProof/>
        </w:rPr>
        <w:t>II.63; 225.44</w:t>
      </w:r>
      <w:r w:rsidRPr="00273106">
        <w:rPr>
          <w:noProof/>
        </w:rPr>
        <w:t>–50</w:t>
      </w:r>
      <w:r>
        <w:fldChar w:fldCharType="begin"/>
      </w:r>
      <w:r>
        <w:instrText xml:space="preserve"> XE "Averroes</w:instrText>
      </w:r>
      <w:r w:rsidRPr="00E36DE0">
        <w:instrText>:CMDA</w:instrText>
      </w:r>
      <w:r>
        <w:instrText xml:space="preserve"> </w:instrText>
      </w:r>
      <w:r>
        <w:rPr>
          <w:noProof/>
        </w:rPr>
        <w:instrText>225.44</w:instrText>
      </w:r>
      <w:r w:rsidRPr="00273106">
        <w:rPr>
          <w:noProof/>
        </w:rPr>
        <w:instrText>–50</w:instrText>
      </w:r>
      <w:r>
        <w:instrText xml:space="preserve">" </w:instrText>
      </w:r>
      <w:r>
        <w:fldChar w:fldCharType="end"/>
      </w:r>
      <w:r w:rsidRPr="00273106">
        <w:rPr>
          <w:noProof/>
        </w:rPr>
        <w:t>)</w:t>
      </w:r>
    </w:p>
  </w:footnote>
  <w:footnote w:id="246">
    <w:p w14:paraId="5793148F" w14:textId="77777777" w:rsidR="00344048" w:rsidRPr="004A649C" w:rsidRDefault="00344048" w:rsidP="08126A94">
      <w:pPr>
        <w:pStyle w:val="Textpoznpodarou"/>
      </w:pPr>
      <w:r>
        <w:rPr>
          <w:rStyle w:val="Znakapoznpodarou"/>
        </w:rPr>
        <w:footnoteRef/>
      </w:r>
      <w:r>
        <w:t xml:space="preserve"> „</w:t>
      </w:r>
      <w:r w:rsidRPr="004A649C">
        <w:rPr>
          <w:szCs w:val="30"/>
        </w:rPr>
        <w:t>Declaratum est enim illic quod virtus cogitativa non est</w:t>
      </w:r>
      <w:r>
        <w:rPr>
          <w:szCs w:val="30"/>
        </w:rPr>
        <w:t xml:space="preserve"> </w:t>
      </w:r>
      <w:r w:rsidRPr="004A649C">
        <w:rPr>
          <w:szCs w:val="30"/>
        </w:rPr>
        <w:t>nisi virtus que distinguit intentionem rei sensibilis a</w:t>
      </w:r>
      <w:r>
        <w:rPr>
          <w:szCs w:val="30"/>
        </w:rPr>
        <w:t xml:space="preserve"> </w:t>
      </w:r>
      <w:r w:rsidRPr="004A649C">
        <w:rPr>
          <w:szCs w:val="30"/>
        </w:rPr>
        <w:t>suo idolo ymaginato; et ista virtus est ilia cuius proportio</w:t>
      </w:r>
      <w:r>
        <w:rPr>
          <w:szCs w:val="30"/>
        </w:rPr>
        <w:t xml:space="preserve"> </w:t>
      </w:r>
      <w:r w:rsidRPr="004A649C">
        <w:rPr>
          <w:szCs w:val="30"/>
        </w:rPr>
        <w:t>ad has duas intentiones, scilicet ad idolum rei et ad intentionem</w:t>
      </w:r>
      <w:r>
        <w:rPr>
          <w:szCs w:val="30"/>
        </w:rPr>
        <w:t xml:space="preserve"> </w:t>
      </w:r>
      <w:r w:rsidRPr="004A649C">
        <w:rPr>
          <w:szCs w:val="30"/>
        </w:rPr>
        <w:t>sui idoli, est sicut proportio sensus communis ad intentiones</w:t>
      </w:r>
      <w:r>
        <w:rPr>
          <w:szCs w:val="30"/>
        </w:rPr>
        <w:t xml:space="preserve"> </w:t>
      </w:r>
      <w:r w:rsidRPr="004A649C">
        <w:rPr>
          <w:szCs w:val="30"/>
        </w:rPr>
        <w:t>quinque sensuum. Virtus igitur cogitativa est de</w:t>
      </w:r>
      <w:r>
        <w:rPr>
          <w:szCs w:val="30"/>
        </w:rPr>
        <w:t xml:space="preserve"> </w:t>
      </w:r>
      <w:r w:rsidRPr="004A649C">
        <w:rPr>
          <w:szCs w:val="30"/>
        </w:rPr>
        <w:t>genere virtutum existentium in corporibus.</w:t>
      </w:r>
      <w:r>
        <w:rPr>
          <w:szCs w:val="30"/>
        </w:rPr>
        <w:t>“ (CMDA III.6; 415.62‒68</w:t>
      </w:r>
      <w:r>
        <w:fldChar w:fldCharType="begin"/>
      </w:r>
      <w:r>
        <w:instrText xml:space="preserve"> XE "Averroes</w:instrText>
      </w:r>
      <w:r w:rsidRPr="00E36DE0">
        <w:instrText>:CMDA</w:instrText>
      </w:r>
      <w:r>
        <w:instrText xml:space="preserve"> </w:instrText>
      </w:r>
      <w:r>
        <w:rPr>
          <w:szCs w:val="30"/>
        </w:rPr>
        <w:instrText>415.62‒68</w:instrText>
      </w:r>
      <w:r>
        <w:instrText xml:space="preserve">" </w:instrText>
      </w:r>
      <w:r>
        <w:fldChar w:fldCharType="end"/>
      </w:r>
      <w:r>
        <w:rPr>
          <w:szCs w:val="30"/>
        </w:rPr>
        <w:t>)</w:t>
      </w:r>
    </w:p>
  </w:footnote>
  <w:footnote w:id="247">
    <w:p w14:paraId="4088A364" w14:textId="77777777" w:rsidR="00344048" w:rsidRPr="0053143F" w:rsidRDefault="00344048" w:rsidP="08126A94">
      <w:pPr>
        <w:pStyle w:val="Textpoznpodarou"/>
      </w:pPr>
      <w:r>
        <w:rPr>
          <w:rStyle w:val="Znakapoznpodarou"/>
        </w:rPr>
        <w:footnoteRef/>
      </w:r>
      <w:r>
        <w:t xml:space="preserve"> </w:t>
      </w:r>
      <w:r w:rsidRPr="00BB5BD7">
        <w:t xml:space="preserve">„Sed cum aliquis intuebitur omnes sermones istius viri et congregabit eos, videbit ipsum opinari quod, quando intellectus qui est in potentia fuerit perfectus, tunc intelligentia agens copulabitur nobiscum, per quam intelligemus res abstractas, et per quam faciemus res sensibiles esse intellectas in actu, secundum quod ipse efficitur forma in nobis.“ </w:t>
      </w:r>
      <w:r w:rsidRPr="00BB5BD7">
        <w:rPr>
          <w:rFonts w:eastAsia="Times"/>
        </w:rPr>
        <w:t>(</w:t>
      </w:r>
      <w:r w:rsidRPr="00BB5BD7">
        <w:t>CMDA III.36; 484.128–134</w:t>
      </w:r>
      <w:r w:rsidRPr="00BB5BD7">
        <w:fldChar w:fldCharType="begin"/>
      </w:r>
      <w:r w:rsidRPr="00BB5BD7">
        <w:instrText xml:space="preserve"> XE "Averroes:CMDA 484.128–134" </w:instrText>
      </w:r>
      <w:r w:rsidRPr="00BB5BD7">
        <w:fldChar w:fldCharType="end"/>
      </w:r>
      <w:r w:rsidRPr="00BB5BD7">
        <w:t>)</w:t>
      </w:r>
    </w:p>
  </w:footnote>
  <w:footnote w:id="248">
    <w:p w14:paraId="54F10D51" w14:textId="77777777" w:rsidR="00344048" w:rsidRPr="008D7126" w:rsidRDefault="00344048" w:rsidP="08DB7BE3">
      <w:pPr>
        <w:pStyle w:val="Textpoznpodarou"/>
        <w:rPr>
          <w:lang w:val="cs-CZ"/>
        </w:rPr>
      </w:pPr>
      <w:r>
        <w:rPr>
          <w:rStyle w:val="Znakapoznpodarou"/>
        </w:rPr>
        <w:footnoteRef/>
      </w:r>
      <w:r>
        <w:t xml:space="preserve"> </w:t>
      </w:r>
      <w:r>
        <w:rPr>
          <w:lang w:val="cs-CZ"/>
        </w:rPr>
        <w:t>„</w:t>
      </w:r>
      <w:r w:rsidRPr="00DD5A86">
        <w:t>Et fuit necesse attribuere has duas actiones anime in nobis, scilicet recipere intellectum et facere eum, quamvis agens et recipiens sint substantie eterne, propter hoc quia hee due actiones reducte sunt ad nostram voluntatem, scilicet abstrahere intellecta et intelligere ea. Abstrahere enim nichil est aliud quam facere intentiones ymaginatas intellectas in actu postquam erant in potentia; intelligere autem nichil aliud est quam recipere has intentiones.</w:t>
      </w:r>
      <w:r>
        <w:rPr>
          <w:lang w:val="cs-CZ"/>
        </w:rPr>
        <w:t xml:space="preserve">“ </w:t>
      </w:r>
      <w:r w:rsidRPr="0090004B">
        <w:t>(CMDA III.18; 439.71–76</w:t>
      </w:r>
      <w:r>
        <w:fldChar w:fldCharType="begin"/>
      </w:r>
      <w:r>
        <w:instrText xml:space="preserve"> XE "Averroes</w:instrText>
      </w:r>
      <w:r w:rsidRPr="00E36DE0">
        <w:instrText>:CMDA</w:instrText>
      </w:r>
      <w:r>
        <w:instrText xml:space="preserve"> </w:instrText>
      </w:r>
      <w:r w:rsidRPr="0090004B">
        <w:instrText>439.71–76</w:instrText>
      </w:r>
      <w:r>
        <w:instrText xml:space="preserve">" </w:instrText>
      </w:r>
      <w:r>
        <w:fldChar w:fldCharType="end"/>
      </w:r>
      <w:r w:rsidRPr="0090004B">
        <w:t>)</w:t>
      </w:r>
    </w:p>
  </w:footnote>
  <w:footnote w:id="249">
    <w:p w14:paraId="3E98BC09" w14:textId="77777777" w:rsidR="00344048" w:rsidRPr="001F22D4" w:rsidRDefault="00344048" w:rsidP="00923685">
      <w:pPr>
        <w:pStyle w:val="Textpoznpodarou"/>
      </w:pPr>
      <w:r>
        <w:rPr>
          <w:rStyle w:val="Znakapoznpodarou"/>
        </w:rPr>
        <w:footnoteRef/>
      </w:r>
      <w:r>
        <w:t xml:space="preserve"> „</w:t>
      </w:r>
      <w:r w:rsidRPr="001F22D4">
        <w:t>Et Alexander videtur hoc opinari in primis perfectionibus anime, et est contra Aristotelem et contra ipsam veritatem.</w:t>
      </w:r>
      <w:r>
        <w:t>“ (CMDA I.88;</w:t>
      </w:r>
      <w:r>
        <w:rPr>
          <w:lang w:val="cs-CZ"/>
        </w:rPr>
        <w:t xml:space="preserve"> </w:t>
      </w:r>
      <w:r>
        <w:t>118.77‒79</w:t>
      </w:r>
      <w:r>
        <w:fldChar w:fldCharType="begin"/>
      </w:r>
      <w:r>
        <w:instrText xml:space="preserve"> XE "Averroes</w:instrText>
      </w:r>
      <w:r w:rsidRPr="00E36DE0">
        <w:instrText>:CMDA</w:instrText>
      </w:r>
      <w:r>
        <w:instrText xml:space="preserve"> 118.77‒79" </w:instrText>
      </w:r>
      <w:r>
        <w:fldChar w:fldCharType="end"/>
      </w:r>
      <w:r>
        <w:t>)</w:t>
      </w:r>
    </w:p>
  </w:footnote>
  <w:footnote w:id="250">
    <w:p w14:paraId="0472766C" w14:textId="77777777" w:rsidR="00344048" w:rsidRPr="00375DC3" w:rsidRDefault="00344048" w:rsidP="000A0518">
      <w:pPr>
        <w:pStyle w:val="Textpoznpodarou"/>
        <w:rPr>
          <w:lang w:val="cs-CZ"/>
        </w:rPr>
      </w:pPr>
      <w:r>
        <w:rPr>
          <w:rStyle w:val="Znakapoznpodarou"/>
        </w:rPr>
        <w:footnoteRef/>
      </w:r>
      <w:r>
        <w:t xml:space="preserve"> </w:t>
      </w:r>
      <w:r>
        <w:rPr>
          <w:lang w:val="cs-CZ"/>
        </w:rPr>
        <w:t>„</w:t>
      </w:r>
      <w:r w:rsidRPr="00342CE2">
        <w:t xml:space="preserve">Deinde dixit: </w:t>
      </w:r>
      <w:r w:rsidRPr="00342CE2">
        <w:rPr>
          <w:rStyle w:val="Zkladntext57135ptKurzvadkovn0pt"/>
          <w:rFonts w:ascii="Calibri" w:hAnsi="Calibri" w:cs="Times New Roman"/>
          <w:iCs w:val="0"/>
          <w:color w:val="auto"/>
          <w:spacing w:val="0"/>
          <w:sz w:val="20"/>
          <w:lang w:val="x-none"/>
        </w:rPr>
        <w:t>Utrum vita est in uno istorum</w:t>
      </w:r>
      <w:r w:rsidRPr="00342CE2">
        <w:t>, etc. Idest, et</w:t>
      </w:r>
      <w:r>
        <w:rPr>
          <w:lang w:val="cs-CZ"/>
        </w:rPr>
        <w:t xml:space="preserve"> </w:t>
      </w:r>
      <w:r w:rsidRPr="00342CE2">
        <w:t>perscrutandum est, cum hoc, utrum illud quod dicitur</w:t>
      </w:r>
      <w:r>
        <w:rPr>
          <w:lang w:val="cs-CZ"/>
        </w:rPr>
        <w:t xml:space="preserve"> </w:t>
      </w:r>
      <w:r w:rsidRPr="00342CE2">
        <w:t>vita est in una aliqua istarum quinque virtutum, aut in</w:t>
      </w:r>
      <w:r>
        <w:rPr>
          <w:lang w:val="cs-CZ"/>
        </w:rPr>
        <w:t xml:space="preserve"> </w:t>
      </w:r>
      <w:r w:rsidRPr="00342CE2">
        <w:t>pluribus una, aut in omnibus.</w:t>
      </w:r>
      <w:r>
        <w:rPr>
          <w:lang w:val="cs-CZ"/>
        </w:rPr>
        <w:t xml:space="preserve">“ </w:t>
      </w:r>
      <w:r w:rsidRPr="00273106">
        <w:rPr>
          <w:noProof/>
          <w:szCs w:val="28"/>
          <w:lang w:val="cs-CZ"/>
        </w:rPr>
        <w:t>(</w:t>
      </w:r>
      <w:r>
        <w:rPr>
          <w:noProof/>
          <w:lang w:val="cs-CZ"/>
        </w:rPr>
        <w:t xml:space="preserve">CMDA I.89; </w:t>
      </w:r>
      <w:r w:rsidRPr="00273106">
        <w:rPr>
          <w:noProof/>
          <w:lang w:val="cs-CZ"/>
        </w:rPr>
        <w:t>120.41‒44</w:t>
      </w:r>
      <w:r>
        <w:fldChar w:fldCharType="begin"/>
      </w:r>
      <w:r>
        <w:instrText xml:space="preserve"> XE "Averroes</w:instrText>
      </w:r>
      <w:r w:rsidRPr="00E36DE0">
        <w:instrText>:CMDA</w:instrText>
      </w:r>
      <w:r>
        <w:instrText xml:space="preserve"> </w:instrText>
      </w:r>
      <w:r w:rsidRPr="00273106">
        <w:rPr>
          <w:noProof/>
          <w:lang w:val="cs-CZ"/>
        </w:rPr>
        <w:instrText>120.41‒44</w:instrText>
      </w:r>
      <w:r>
        <w:instrText xml:space="preserve">" </w:instrText>
      </w:r>
      <w:r>
        <w:fldChar w:fldCharType="end"/>
      </w:r>
      <w:r w:rsidRPr="00273106">
        <w:rPr>
          <w:noProof/>
          <w:szCs w:val="28"/>
          <w:lang w:val="cs-CZ"/>
        </w:rPr>
        <w:t>)</w:t>
      </w:r>
    </w:p>
  </w:footnote>
  <w:footnote w:id="251">
    <w:p w14:paraId="3635B5D9" w14:textId="77777777" w:rsidR="00344048" w:rsidRPr="0073435F" w:rsidRDefault="00344048">
      <w:pPr>
        <w:pStyle w:val="Textpoznpodarou"/>
        <w:rPr>
          <w:lang w:val="cs-CZ"/>
        </w:rPr>
      </w:pPr>
      <w:r>
        <w:rPr>
          <w:rStyle w:val="Znakapoznpodarou"/>
        </w:rPr>
        <w:footnoteRef/>
      </w:r>
      <w:r>
        <w:t xml:space="preserve"> </w:t>
      </w:r>
      <w:r>
        <w:rPr>
          <w:lang w:val="cs-CZ"/>
        </w:rPr>
        <w:t>„</w:t>
      </w:r>
      <w:r w:rsidRPr="0073435F">
        <w:rPr>
          <w:lang w:val="cs-CZ"/>
        </w:rPr>
        <w:t xml:space="preserve">I have been arguing that the psychological systems whose operations "present the world to thought" constitute a natural kind by criteria independent of their similarity of function; there appears to be a cluster of properties that they have in common but which, </w:t>
      </w:r>
      <w:r w:rsidRPr="0073435F">
        <w:rPr>
          <w:i/>
          <w:lang w:val="cs-CZ"/>
        </w:rPr>
        <w:t>qua</w:t>
      </w:r>
      <w:r w:rsidRPr="0073435F">
        <w:rPr>
          <w:lang w:val="cs-CZ"/>
        </w:rPr>
        <w:t xml:space="preserve"> input analyzers, they might perfectly well not have shared. We can abbreviate all this by the claim that the input systems constitute a family of modules: domain-specific computational systems characterized by informational encapsulation, high-speed, restricted access, neural specificity, and the rest.</w:t>
      </w:r>
      <w:r>
        <w:rPr>
          <w:lang w:val="cs-CZ"/>
        </w:rPr>
        <w:t>“ (Fodor 1983, 101)</w:t>
      </w:r>
    </w:p>
  </w:footnote>
  <w:footnote w:id="252">
    <w:p w14:paraId="458E0A8B" w14:textId="77777777" w:rsidR="00344048" w:rsidRPr="00910D18" w:rsidRDefault="00344048" w:rsidP="00ED716E">
      <w:pPr>
        <w:pStyle w:val="Textpoznpodarou"/>
      </w:pPr>
      <w:r>
        <w:rPr>
          <w:rStyle w:val="Znakapoznpodarou"/>
        </w:rPr>
        <w:footnoteRef/>
      </w:r>
      <w:r>
        <w:t xml:space="preserve"> </w:t>
      </w:r>
      <w:r>
        <w:rPr>
          <w:lang w:val="cs-CZ"/>
        </w:rPr>
        <w:t>„Quare autem dicitur 'positio de unitate formarum' non satis intelligo.“ (cit. podle Birkenmajer 1922, 60)</w:t>
      </w:r>
    </w:p>
  </w:footnote>
  <w:footnote w:id="253">
    <w:p w14:paraId="75373FA0" w14:textId="77777777" w:rsidR="00344048" w:rsidRPr="00CD2CA8" w:rsidRDefault="00344048" w:rsidP="006C7FA0">
      <w:pPr>
        <w:pStyle w:val="Textpoznpodarou"/>
      </w:pPr>
      <w:r>
        <w:rPr>
          <w:rStyle w:val="Znakapoznpodarou"/>
        </w:rPr>
        <w:footnoteRef/>
      </w:r>
      <w:r>
        <w:t xml:space="preserve"> </w:t>
      </w:r>
      <w:r w:rsidRPr="08E6244B">
        <w:rPr>
          <w:rStyle w:val="TextpoznpodarouChar"/>
        </w:rPr>
        <w:t>„Questio autem secunda, dicens quomodo intellectus materialis est unus in numero in omnibus individuis hominum, non generabilis neque corruptibilis, et intellecta existentia in eo in actu (et est intellectus  speculativus) numeratus per numerationem individuorum hominum, generabilis et corruptibilis per generationem et corruptionem individuorum, hec quidem qu</w:t>
      </w:r>
      <w:r>
        <w:rPr>
          <w:rStyle w:val="TextpoznpodarouChar"/>
          <w:lang w:val="cs-CZ"/>
        </w:rPr>
        <w:t>a</w:t>
      </w:r>
      <w:r w:rsidRPr="08E6244B">
        <w:rPr>
          <w:rStyle w:val="TextpoznpodarouChar"/>
        </w:rPr>
        <w:t>estio valde est difficilis, et maximam habet ambiguitatem.“ (CMDA II</w:t>
      </w:r>
      <w:r>
        <w:rPr>
          <w:rStyle w:val="TextpoznpodarouChar"/>
        </w:rPr>
        <w:t>I.5</w:t>
      </w:r>
      <w:r>
        <w:rPr>
          <w:rStyle w:val="TextpoznpodarouChar"/>
          <w:lang w:val="cs-CZ"/>
        </w:rPr>
        <w:t xml:space="preserve">; </w:t>
      </w:r>
      <w:r w:rsidRPr="08E6244B">
        <w:rPr>
          <w:rStyle w:val="TextpoznpodarouChar"/>
        </w:rPr>
        <w:t>401.424‒402.431</w:t>
      </w:r>
      <w:r>
        <w:fldChar w:fldCharType="begin"/>
      </w:r>
      <w:r>
        <w:instrText xml:space="preserve"> XE "Averroes</w:instrText>
      </w:r>
      <w:r w:rsidRPr="00E36DE0">
        <w:instrText>:CMDA</w:instrText>
      </w:r>
      <w:r>
        <w:instrText xml:space="preserve"> </w:instrText>
      </w:r>
      <w:r w:rsidRPr="08E6244B">
        <w:rPr>
          <w:rStyle w:val="TextpoznpodarouChar"/>
        </w:rPr>
        <w:instrText>401.424‒402.431</w:instrText>
      </w:r>
      <w:r>
        <w:instrText xml:space="preserve">" </w:instrText>
      </w:r>
      <w:r>
        <w:fldChar w:fldCharType="end"/>
      </w:r>
      <w:r w:rsidRPr="08E6244B">
        <w:rPr>
          <w:rStyle w:val="TextpoznpodarouChar"/>
        </w:rPr>
        <w:t>)</w:t>
      </w:r>
    </w:p>
  </w:footnote>
  <w:footnote w:id="254">
    <w:p w14:paraId="6390C1C0" w14:textId="77777777" w:rsidR="00344048" w:rsidRPr="08D475F6" w:rsidRDefault="00344048" w:rsidP="006A07A8">
      <w:pPr>
        <w:pStyle w:val="Textpoznpodarou"/>
      </w:pPr>
      <w:r w:rsidRPr="00674F7F">
        <w:rPr>
          <w:rStyle w:val="Znakapoznpodarou"/>
        </w:rPr>
        <w:footnoteRef/>
      </w:r>
      <w:r>
        <w:t xml:space="preserve"> </w:t>
      </w:r>
      <w:r>
        <w:rPr>
          <w:szCs w:val="28"/>
        </w:rPr>
        <w:t>„</w:t>
      </w:r>
      <w:r w:rsidRPr="009525CF">
        <w:rPr>
          <w:szCs w:val="28"/>
        </w:rPr>
        <w:t xml:space="preserve">Quoniam, quia opinati sumus ex hoc sermone quod intellectus materialis est unicus omnibus hominibus, et etiam </w:t>
      </w:r>
      <w:r w:rsidRPr="009525CF">
        <w:t xml:space="preserve">ex hoc sumus opinati quod species humana est </w:t>
      </w:r>
      <w:r>
        <w:rPr>
          <w:lang w:val="cs-CZ"/>
        </w:rPr>
        <w:t>a</w:t>
      </w:r>
      <w:r w:rsidRPr="009525CF">
        <w:t>eterna, ut declaratum est in aliis locis, necesse est ut intellectus</w:t>
      </w:r>
      <w:r>
        <w:t xml:space="preserve"> </w:t>
      </w:r>
      <w:r w:rsidRPr="009525CF">
        <w:t>materialis non sit denudatus a principiis naturalibus communibus toti speciei humane, scilicet primis propositionibus</w:t>
      </w:r>
      <w:r>
        <w:t xml:space="preserve"> </w:t>
      </w:r>
      <w:r w:rsidRPr="009525CF">
        <w:t>et formationibus singularibus communibus omnibus; hec enim</w:t>
      </w:r>
      <w:r>
        <w:t xml:space="preserve"> </w:t>
      </w:r>
      <w:r w:rsidRPr="009525CF">
        <w:t>intellecta sunt unica secundum recipiens, et multa secundum</w:t>
      </w:r>
      <w:r>
        <w:t xml:space="preserve"> </w:t>
      </w:r>
      <w:r w:rsidRPr="009525CF">
        <w:t>intentionem receptam.</w:t>
      </w:r>
      <w:r>
        <w:t>“ (CMDA III.5</w:t>
      </w:r>
      <w:r>
        <w:rPr>
          <w:lang w:val="cs-CZ"/>
        </w:rPr>
        <w:t xml:space="preserve">; </w:t>
      </w:r>
      <w:r>
        <w:t>406.575‒407.581</w:t>
      </w:r>
      <w:r>
        <w:fldChar w:fldCharType="begin"/>
      </w:r>
      <w:r>
        <w:instrText xml:space="preserve"> XE "Averroes</w:instrText>
      </w:r>
      <w:r w:rsidRPr="00E36DE0">
        <w:instrText>:CMDA</w:instrText>
      </w:r>
      <w:r>
        <w:instrText xml:space="preserve"> 406.575‒407.581" </w:instrText>
      </w:r>
      <w:r>
        <w:fldChar w:fldCharType="end"/>
      </w:r>
      <w:r>
        <w:t>)</w:t>
      </w:r>
    </w:p>
  </w:footnote>
  <w:footnote w:id="255">
    <w:p w14:paraId="4365E0DB" w14:textId="77777777" w:rsidR="00344048" w:rsidRPr="00912FF1" w:rsidRDefault="00344048">
      <w:pPr>
        <w:pStyle w:val="Textpoznpodarou"/>
        <w:rPr>
          <w:lang w:val="cs-CZ"/>
        </w:rPr>
      </w:pPr>
      <w:r>
        <w:rPr>
          <w:rStyle w:val="Znakapoznpodarou"/>
        </w:rPr>
        <w:footnoteRef/>
      </w:r>
      <w:r>
        <w:t xml:space="preserve"> </w:t>
      </w:r>
      <w:r w:rsidRPr="00273106">
        <w:rPr>
          <w:noProof/>
          <w:lang w:val="cs-CZ"/>
        </w:rPr>
        <w:t>„Dicamus igitur quod manifestum est quod homo non est intelligens in actu nisi propter continuationem intellecti c</w:t>
      </w:r>
      <w:r>
        <w:rPr>
          <w:noProof/>
          <w:lang w:val="cs-CZ"/>
        </w:rPr>
        <w:t xml:space="preserve">um eo in actu.“ (CMDA III.5; </w:t>
      </w:r>
      <w:r w:rsidRPr="00273106">
        <w:rPr>
          <w:noProof/>
          <w:lang w:val="cs-CZ"/>
        </w:rPr>
        <w:t>404.501‒503</w:t>
      </w:r>
      <w:r>
        <w:fldChar w:fldCharType="begin"/>
      </w:r>
      <w:r>
        <w:instrText xml:space="preserve"> XE "Averroes</w:instrText>
      </w:r>
      <w:r w:rsidRPr="00E36DE0">
        <w:instrText>:CMDA</w:instrText>
      </w:r>
      <w:r>
        <w:instrText xml:space="preserve"> </w:instrText>
      </w:r>
      <w:r w:rsidRPr="00273106">
        <w:rPr>
          <w:noProof/>
          <w:lang w:val="cs-CZ"/>
        </w:rPr>
        <w:instrText>404.501‒503</w:instrText>
      </w:r>
      <w:r>
        <w:instrText xml:space="preserve">" </w:instrText>
      </w:r>
      <w:r>
        <w:fldChar w:fldCharType="end"/>
      </w:r>
      <w:r w:rsidRPr="00273106">
        <w:rPr>
          <w:noProof/>
          <w:lang w:val="cs-CZ"/>
        </w:rPr>
        <w:t>)</w:t>
      </w:r>
    </w:p>
  </w:footnote>
  <w:footnote w:id="256">
    <w:p w14:paraId="366FFFEF" w14:textId="77777777" w:rsidR="00344048" w:rsidRPr="004E056D" w:rsidRDefault="00344048">
      <w:pPr>
        <w:pStyle w:val="Textpoznpodarou"/>
        <w:rPr>
          <w:lang w:val="cs-CZ"/>
        </w:rPr>
      </w:pPr>
      <w:r>
        <w:rPr>
          <w:rStyle w:val="Znakapoznpodarou"/>
        </w:rPr>
        <w:footnoteRef/>
      </w:r>
      <w:r>
        <w:t xml:space="preserve"> „Intellectum enim videtur impossibile attribui alicui membro corporis. Et debes scire quod ista dubitatio non sequitur hi</w:t>
      </w:r>
      <w:r>
        <w:rPr>
          <w:lang w:val="cs-CZ"/>
        </w:rPr>
        <w:t>c</w:t>
      </w:r>
      <w:r>
        <w:t xml:space="preserve"> nisi quia non determinatur utrum sit unica secundum subiectum et plura secundum virtutes (ita quod divisio anime in suas partes sit sicut pomi in odorem colorem et saporem), so aut est una propter unam naturam communem, et plura quia ista natura habet diversas virtutes</w:t>
      </w:r>
      <w:r>
        <w:rPr>
          <w:lang w:val="cs-CZ"/>
        </w:rPr>
        <w:t>..</w:t>
      </w:r>
      <w:r>
        <w:t>.“</w:t>
      </w:r>
      <w:r>
        <w:rPr>
          <w:lang w:val="cs-CZ"/>
        </w:rPr>
        <w:t xml:space="preserve"> </w:t>
      </w:r>
      <w:r w:rsidRPr="00273106">
        <w:rPr>
          <w:rStyle w:val="Zkladntextdkovn0pt"/>
          <w:rFonts w:ascii="Calibri" w:eastAsia="Times" w:hAnsi="Calibri" w:cs="Times New Roman"/>
          <w:noProof/>
          <w:spacing w:val="0"/>
          <w:sz w:val="21"/>
          <w:u w:val="none"/>
          <w:lang w:val="cs-CZ"/>
        </w:rPr>
        <w:t>(</w:t>
      </w:r>
      <w:r w:rsidRPr="00273106">
        <w:rPr>
          <w:noProof/>
          <w:lang w:val="cs-CZ"/>
        </w:rPr>
        <w:t>CMDA I.92</w:t>
      </w:r>
      <w:r>
        <w:rPr>
          <w:noProof/>
          <w:lang w:val="cs-CZ"/>
        </w:rPr>
        <w:t>; 123.25–32</w:t>
      </w:r>
      <w:r>
        <w:fldChar w:fldCharType="begin"/>
      </w:r>
      <w:r>
        <w:instrText xml:space="preserve"> XE "Averroes</w:instrText>
      </w:r>
      <w:r w:rsidRPr="00E36DE0">
        <w:instrText>:CMDA</w:instrText>
      </w:r>
      <w:r>
        <w:instrText xml:space="preserve"> </w:instrText>
      </w:r>
      <w:r>
        <w:rPr>
          <w:noProof/>
          <w:lang w:val="cs-CZ"/>
        </w:rPr>
        <w:instrText>123.25–32</w:instrText>
      </w:r>
      <w:r>
        <w:instrText xml:space="preserve">" </w:instrText>
      </w:r>
      <w:r>
        <w:fldChar w:fldCharType="end"/>
      </w:r>
      <w:r w:rsidRPr="00273106">
        <w:rPr>
          <w:rStyle w:val="Zkladntextdkovn0pt"/>
          <w:rFonts w:ascii="Calibri" w:eastAsia="Times" w:hAnsi="Calibri" w:cs="Times New Roman"/>
          <w:noProof/>
          <w:spacing w:val="0"/>
          <w:sz w:val="21"/>
          <w:u w:val="none"/>
          <w:lang w:val="cs-CZ"/>
        </w:rPr>
        <w:t>)</w:t>
      </w:r>
    </w:p>
  </w:footnote>
  <w:footnote w:id="257">
    <w:p w14:paraId="72428A01" w14:textId="77777777" w:rsidR="00344048" w:rsidRPr="0094480D" w:rsidRDefault="00344048" w:rsidP="003252F4">
      <w:pPr>
        <w:pStyle w:val="Textpoznpodarou"/>
        <w:rPr>
          <w:rFonts w:eastAsia="Times"/>
          <w:noProof/>
          <w:color w:val="000000"/>
          <w:sz w:val="21"/>
          <w:szCs w:val="15"/>
          <w:lang w:val="cs-CZ"/>
        </w:rPr>
      </w:pPr>
      <w:r>
        <w:rPr>
          <w:rStyle w:val="Znakapoznpodarou"/>
        </w:rPr>
        <w:footnoteRef/>
      </w:r>
      <w:r>
        <w:t xml:space="preserve"> </w:t>
      </w:r>
      <w:r>
        <w:rPr>
          <w:lang w:val="cs-CZ"/>
        </w:rPr>
        <w:t>„</w:t>
      </w:r>
      <w:r w:rsidRPr="0094480D">
        <w:t>Declaratum est igitur quod prima perfectio intellectus differt a primis perfectionibus aliarum virtutum anime, et quod hoc nomen perfectio dicitur de eis modo equivoco, econtrario ei quod existimavit Alexander.</w:t>
      </w:r>
      <w:r>
        <w:rPr>
          <w:lang w:val="cs-CZ"/>
        </w:rPr>
        <w:t xml:space="preserve">“ </w:t>
      </w:r>
      <w:r w:rsidRPr="00273106">
        <w:rPr>
          <w:rStyle w:val="Zkladntextdkovn0pt"/>
          <w:rFonts w:ascii="Calibri" w:eastAsia="Times" w:hAnsi="Calibri" w:cs="Times New Roman"/>
          <w:noProof/>
          <w:spacing w:val="0"/>
          <w:sz w:val="21"/>
          <w:u w:val="none"/>
          <w:lang w:val="cs-CZ"/>
        </w:rPr>
        <w:t>(</w:t>
      </w:r>
      <w:r w:rsidRPr="00273106">
        <w:rPr>
          <w:noProof/>
          <w:lang w:val="cs-CZ"/>
        </w:rPr>
        <w:t xml:space="preserve">CMDA </w:t>
      </w:r>
      <w:r>
        <w:rPr>
          <w:noProof/>
          <w:lang w:val="cs-CZ"/>
        </w:rPr>
        <w:t>III.5; 405.528–</w:t>
      </w:r>
      <w:r w:rsidRPr="00273106">
        <w:rPr>
          <w:noProof/>
          <w:lang w:val="cs-CZ"/>
        </w:rPr>
        <w:t>33</w:t>
      </w:r>
      <w:r>
        <w:rPr>
          <w:i/>
        </w:rPr>
        <w:fldChar w:fldCharType="begin"/>
      </w:r>
      <w:r>
        <w:instrText xml:space="preserve"> XE "</w:instrText>
      </w:r>
      <w:r>
        <w:rPr>
          <w:lang w:val="cs-CZ"/>
        </w:rPr>
        <w:instrText>Averroes</w:instrText>
      </w:r>
      <w:r w:rsidRPr="000A2302">
        <w:rPr>
          <w:lang w:val="cs-CZ"/>
        </w:rPr>
        <w:instrText>:</w:instrText>
      </w:r>
      <w:r>
        <w:rPr>
          <w:noProof/>
          <w:lang w:val="cs-CZ"/>
        </w:rPr>
        <w:instrText>CMDA 405.528–</w:instrText>
      </w:r>
      <w:r w:rsidRPr="00273106">
        <w:rPr>
          <w:noProof/>
          <w:lang w:val="cs-CZ"/>
        </w:rPr>
        <w:instrText>33</w:instrText>
      </w:r>
      <w:r>
        <w:instrText xml:space="preserve">" </w:instrText>
      </w:r>
      <w:r>
        <w:rPr>
          <w:i/>
        </w:rPr>
        <w:fldChar w:fldCharType="end"/>
      </w:r>
      <w:r w:rsidRPr="00273106">
        <w:rPr>
          <w:rStyle w:val="Zkladntextdkovn0pt"/>
          <w:rFonts w:ascii="Calibri" w:eastAsia="Times" w:hAnsi="Calibri" w:cs="Times New Roman"/>
          <w:noProof/>
          <w:spacing w:val="0"/>
          <w:sz w:val="21"/>
          <w:u w:val="none"/>
          <w:lang w:val="cs-CZ"/>
        </w:rPr>
        <w:t>)</w:t>
      </w:r>
    </w:p>
  </w:footnote>
  <w:footnote w:id="258">
    <w:p w14:paraId="633C84B0" w14:textId="77777777" w:rsidR="00344048" w:rsidRPr="008B0815" w:rsidRDefault="00344048">
      <w:pPr>
        <w:pStyle w:val="Textpoznpodarou"/>
        <w:rPr>
          <w:lang w:val="cs-CZ"/>
        </w:rPr>
      </w:pPr>
      <w:r>
        <w:rPr>
          <w:rStyle w:val="Znakapoznpodarou"/>
        </w:rPr>
        <w:footnoteRef/>
      </w:r>
      <w:r>
        <w:t xml:space="preserve"> </w:t>
      </w:r>
      <w:r>
        <w:rPr>
          <w:szCs w:val="30"/>
          <w:lang w:val="cs-CZ"/>
        </w:rPr>
        <w:t>„</w:t>
      </w:r>
      <w:r w:rsidRPr="008B0815">
        <w:rPr>
          <w:szCs w:val="30"/>
        </w:rPr>
        <w:t xml:space="preserve">Et dixit: </w:t>
      </w:r>
      <w:r w:rsidRPr="008B0815">
        <w:rPr>
          <w:i/>
          <w:szCs w:val="30"/>
        </w:rPr>
        <w:t>Oportet igitur</w:t>
      </w:r>
      <w:r w:rsidRPr="008B0815">
        <w:rPr>
          <w:szCs w:val="30"/>
        </w:rPr>
        <w:t>, etc. Et intendit per istum intellectum</w:t>
      </w:r>
      <w:r>
        <w:rPr>
          <w:szCs w:val="30"/>
          <w:lang w:val="cs-CZ"/>
        </w:rPr>
        <w:t xml:space="preserve"> </w:t>
      </w:r>
      <w:r w:rsidRPr="008B0815">
        <w:rPr>
          <w:szCs w:val="30"/>
        </w:rPr>
        <w:t>materialem; hec igitur est sua descriptio predicta. Deinde dixit:</w:t>
      </w:r>
      <w:r>
        <w:rPr>
          <w:szCs w:val="30"/>
          <w:lang w:val="cs-CZ"/>
        </w:rPr>
        <w:t xml:space="preserve"> </w:t>
      </w:r>
      <w:r w:rsidRPr="008B0815">
        <w:rPr>
          <w:i/>
          <w:szCs w:val="30"/>
        </w:rPr>
        <w:t>et intellectus secundum quod facit ipsum intelligere omne</w:t>
      </w:r>
      <w:r w:rsidRPr="008B0815">
        <w:rPr>
          <w:szCs w:val="30"/>
        </w:rPr>
        <w:t>. Et intendit</w:t>
      </w:r>
      <w:r>
        <w:rPr>
          <w:szCs w:val="30"/>
          <w:lang w:val="cs-CZ"/>
        </w:rPr>
        <w:t xml:space="preserve"> p</w:t>
      </w:r>
      <w:r w:rsidRPr="008B0815">
        <w:rPr>
          <w:szCs w:val="30"/>
        </w:rPr>
        <w:t>er istum illud quod fit, quod est in habitu. Et hoc</w:t>
      </w:r>
      <w:r>
        <w:rPr>
          <w:szCs w:val="30"/>
          <w:lang w:val="cs-CZ"/>
        </w:rPr>
        <w:t xml:space="preserve"> </w:t>
      </w:r>
      <w:r w:rsidRPr="008B0815">
        <w:rPr>
          <w:szCs w:val="30"/>
        </w:rPr>
        <w:t xml:space="preserve">pronomen </w:t>
      </w:r>
      <w:r>
        <w:rPr>
          <w:szCs w:val="30"/>
        </w:rPr>
        <w:t>'</w:t>
      </w:r>
      <w:r w:rsidRPr="008B0815">
        <w:rPr>
          <w:i/>
          <w:szCs w:val="30"/>
        </w:rPr>
        <w:t>ipsum</w:t>
      </w:r>
      <w:r w:rsidRPr="008B0815">
        <w:rPr>
          <w:szCs w:val="30"/>
        </w:rPr>
        <w:t>' potest referri ad intellectum materialem,</w:t>
      </w:r>
      <w:r>
        <w:rPr>
          <w:szCs w:val="30"/>
          <w:lang w:val="cs-CZ"/>
        </w:rPr>
        <w:t xml:space="preserve"> </w:t>
      </w:r>
      <w:r w:rsidRPr="008B0815">
        <w:rPr>
          <w:szCs w:val="30"/>
        </w:rPr>
        <w:t>sicut diximus; et potest referri ad hominem intelligentem.</w:t>
      </w:r>
      <w:r>
        <w:rPr>
          <w:szCs w:val="30"/>
          <w:lang w:val="cs-CZ"/>
        </w:rPr>
        <w:t xml:space="preserve">“ </w:t>
      </w:r>
      <w:r w:rsidRPr="00273106">
        <w:rPr>
          <w:noProof/>
          <w:lang w:val="cs-CZ"/>
        </w:rPr>
        <w:t>(CMDA III.</w:t>
      </w:r>
      <w:r>
        <w:rPr>
          <w:noProof/>
          <w:lang w:val="cs-CZ"/>
        </w:rPr>
        <w:t xml:space="preserve">18; </w:t>
      </w:r>
      <w:r w:rsidRPr="00273106">
        <w:rPr>
          <w:noProof/>
          <w:lang w:val="cs-CZ"/>
        </w:rPr>
        <w:t>437</w:t>
      </w:r>
      <w:r>
        <w:rPr>
          <w:noProof/>
          <w:lang w:val="cs-CZ"/>
        </w:rPr>
        <w:t>.18–438.</w:t>
      </w:r>
      <w:r w:rsidRPr="00273106">
        <w:rPr>
          <w:noProof/>
          <w:lang w:val="cs-CZ"/>
        </w:rPr>
        <w:t>24</w:t>
      </w:r>
      <w:r>
        <w:rPr>
          <w:i/>
        </w:rPr>
        <w:fldChar w:fldCharType="begin"/>
      </w:r>
      <w:r>
        <w:instrText xml:space="preserve"> XE "</w:instrText>
      </w:r>
      <w:r>
        <w:rPr>
          <w:lang w:val="cs-CZ"/>
        </w:rPr>
        <w:instrText>Averroes</w:instrText>
      </w:r>
      <w:r w:rsidRPr="000A2302">
        <w:rPr>
          <w:lang w:val="cs-CZ"/>
        </w:rPr>
        <w:instrText>:</w:instrText>
      </w:r>
      <w:r w:rsidRPr="00273106">
        <w:rPr>
          <w:noProof/>
          <w:lang w:val="cs-CZ"/>
        </w:rPr>
        <w:instrText>CMDA 437</w:instrText>
      </w:r>
      <w:r>
        <w:rPr>
          <w:noProof/>
          <w:lang w:val="cs-CZ"/>
        </w:rPr>
        <w:instrText>.18–438.</w:instrText>
      </w:r>
      <w:r w:rsidRPr="00273106">
        <w:rPr>
          <w:noProof/>
          <w:lang w:val="cs-CZ"/>
        </w:rPr>
        <w:instrText>24</w:instrText>
      </w:r>
      <w:r>
        <w:instrText xml:space="preserve">" </w:instrText>
      </w:r>
      <w:r>
        <w:rPr>
          <w:i/>
        </w:rPr>
        <w:fldChar w:fldCharType="end"/>
      </w:r>
      <w:r w:rsidRPr="00273106">
        <w:rPr>
          <w:noProof/>
          <w:lang w:val="cs-CZ"/>
        </w:rPr>
        <w:t>)</w:t>
      </w:r>
    </w:p>
  </w:footnote>
  <w:footnote w:id="259">
    <w:p w14:paraId="23BB3593" w14:textId="77777777" w:rsidR="00344048" w:rsidRPr="004C16D4" w:rsidRDefault="00344048" w:rsidP="08AE0AD8">
      <w:pPr>
        <w:pStyle w:val="Textpoznpodarou"/>
      </w:pPr>
      <w:r>
        <w:rPr>
          <w:rStyle w:val="Znakapoznpodarou"/>
        </w:rPr>
        <w:footnoteRef/>
      </w:r>
      <w:r>
        <w:t xml:space="preserve"> </w:t>
      </w:r>
      <w:r w:rsidRPr="006E2890">
        <w:rPr>
          <w:szCs w:val="26"/>
        </w:rPr>
        <w:t xml:space="preserve">„We </w:t>
      </w:r>
      <w:r w:rsidRPr="006E2890">
        <w:rPr>
          <w:szCs w:val="17"/>
        </w:rPr>
        <w:t xml:space="preserve">have no </w:t>
      </w:r>
      <w:r w:rsidRPr="006E2890">
        <w:rPr>
          <w:szCs w:val="16"/>
        </w:rPr>
        <w:t>evidence (</w:t>
      </w:r>
      <w:r w:rsidRPr="006E2890">
        <w:t>οὐδέν πω φανερόν</w:t>
      </w:r>
      <w:r w:rsidRPr="006E2890">
        <w:rPr>
          <w:szCs w:val="16"/>
        </w:rPr>
        <w:t xml:space="preserve">) </w:t>
      </w:r>
      <w:r w:rsidRPr="006E2890">
        <w:rPr>
          <w:szCs w:val="15"/>
        </w:rPr>
        <w:t xml:space="preserve">as </w:t>
      </w:r>
      <w:r w:rsidRPr="006E2890">
        <w:rPr>
          <w:szCs w:val="16"/>
        </w:rPr>
        <w:t xml:space="preserve">yet </w:t>
      </w:r>
      <w:r w:rsidRPr="006E2890">
        <w:rPr>
          <w:szCs w:val="17"/>
        </w:rPr>
        <w:t xml:space="preserve">about </w:t>
      </w:r>
      <w:r w:rsidRPr="006E2890">
        <w:rPr>
          <w:szCs w:val="18"/>
        </w:rPr>
        <w:t xml:space="preserve">mind </w:t>
      </w:r>
      <w:r w:rsidRPr="006E2890">
        <w:rPr>
          <w:szCs w:val="15"/>
        </w:rPr>
        <w:t xml:space="preserve">or </w:t>
      </w:r>
      <w:r w:rsidRPr="006E2890">
        <w:rPr>
          <w:szCs w:val="16"/>
        </w:rPr>
        <w:t xml:space="preserve">the </w:t>
      </w:r>
      <w:r w:rsidRPr="006E2890">
        <w:rPr>
          <w:szCs w:val="18"/>
        </w:rPr>
        <w:t xml:space="preserve">power </w:t>
      </w:r>
      <w:r w:rsidRPr="006E2890">
        <w:rPr>
          <w:szCs w:val="15"/>
        </w:rPr>
        <w:t xml:space="preserve">to </w:t>
      </w:r>
      <w:r w:rsidRPr="006E2890">
        <w:rPr>
          <w:szCs w:val="16"/>
        </w:rPr>
        <w:t>think (</w:t>
      </w:r>
      <w:r w:rsidRPr="006E2890">
        <w:t>περὶ δὲ τοῦ νοῦ καὶ τῆς θεωρητικῆς δυνάμεως</w:t>
      </w:r>
      <w:r w:rsidRPr="006E2890">
        <w:rPr>
          <w:szCs w:val="16"/>
        </w:rPr>
        <w:t>)</w:t>
      </w:r>
      <w:r w:rsidRPr="006E2890">
        <w:rPr>
          <w:szCs w:val="6"/>
        </w:rPr>
        <w:t xml:space="preserve">; </w:t>
      </w:r>
      <w:r w:rsidRPr="006E2890">
        <w:rPr>
          <w:szCs w:val="10"/>
        </w:rPr>
        <w:t xml:space="preserve">it </w:t>
      </w:r>
      <w:r w:rsidRPr="006E2890">
        <w:rPr>
          <w:szCs w:val="18"/>
        </w:rPr>
        <w:t xml:space="preserve">seems </w:t>
      </w:r>
      <w:r w:rsidRPr="006E2890">
        <w:rPr>
          <w:szCs w:val="14"/>
        </w:rPr>
        <w:t xml:space="preserve">to </w:t>
      </w:r>
      <w:r w:rsidRPr="006E2890">
        <w:rPr>
          <w:szCs w:val="17"/>
        </w:rPr>
        <w:t xml:space="preserve">be </w:t>
      </w:r>
      <w:r w:rsidRPr="006E2890">
        <w:rPr>
          <w:szCs w:val="15"/>
        </w:rPr>
        <w:t xml:space="preserve">a </w:t>
      </w:r>
      <w:r w:rsidRPr="006E2890">
        <w:rPr>
          <w:szCs w:val="17"/>
        </w:rPr>
        <w:t xml:space="preserve">widely </w:t>
      </w:r>
      <w:r w:rsidRPr="006E2890">
        <w:rPr>
          <w:szCs w:val="14"/>
        </w:rPr>
        <w:t xml:space="preserve">different </w:t>
      </w:r>
      <w:r w:rsidRPr="006E2890">
        <w:rPr>
          <w:szCs w:val="16"/>
        </w:rPr>
        <w:t xml:space="preserve">kind </w:t>
      </w:r>
      <w:r w:rsidRPr="006E2890">
        <w:rPr>
          <w:szCs w:val="15"/>
        </w:rPr>
        <w:t xml:space="preserve">of </w:t>
      </w:r>
      <w:r w:rsidRPr="006E2890">
        <w:rPr>
          <w:szCs w:val="14"/>
        </w:rPr>
        <w:t>soul (</w:t>
      </w:r>
      <w:r w:rsidRPr="006E2890">
        <w:t>ψυχῆς γένος ἕτερον εἶναι</w:t>
      </w:r>
      <w:r w:rsidRPr="006E2890">
        <w:rPr>
          <w:szCs w:val="14"/>
        </w:rPr>
        <w:t xml:space="preserve">), </w:t>
      </w:r>
      <w:r w:rsidRPr="006E2890">
        <w:rPr>
          <w:szCs w:val="13"/>
        </w:rPr>
        <w:t>differ</w:t>
      </w:r>
      <w:r w:rsidRPr="006E2890">
        <w:rPr>
          <w:szCs w:val="15"/>
        </w:rPr>
        <w:t xml:space="preserve">ing as </w:t>
      </w:r>
      <w:r w:rsidRPr="006E2890">
        <w:rPr>
          <w:szCs w:val="18"/>
        </w:rPr>
        <w:t xml:space="preserve">what </w:t>
      </w:r>
      <w:r w:rsidRPr="006E2890">
        <w:rPr>
          <w:szCs w:val="11"/>
        </w:rPr>
        <w:t xml:space="preserve">is </w:t>
      </w:r>
      <w:r w:rsidRPr="006E2890">
        <w:rPr>
          <w:szCs w:val="15"/>
        </w:rPr>
        <w:t xml:space="preserve">eternal </w:t>
      </w:r>
      <w:r w:rsidRPr="006E2890">
        <w:rPr>
          <w:szCs w:val="17"/>
        </w:rPr>
        <w:t xml:space="preserve">from </w:t>
      </w:r>
      <w:r w:rsidRPr="006E2890">
        <w:rPr>
          <w:szCs w:val="18"/>
        </w:rPr>
        <w:t xml:space="preserve">what </w:t>
      </w:r>
      <w:r w:rsidRPr="006E2890">
        <w:rPr>
          <w:szCs w:val="11"/>
        </w:rPr>
        <w:t xml:space="preserve">is </w:t>
      </w:r>
      <w:r w:rsidRPr="006E2890">
        <w:rPr>
          <w:szCs w:val="15"/>
        </w:rPr>
        <w:t>perishable (</w:t>
      </w:r>
      <w:r w:rsidRPr="006E2890">
        <w:rPr>
          <w:szCs w:val="24"/>
        </w:rPr>
        <w:t>καθάπερ τὸ ἀΐδιον τοῦ φθαρτοῦ</w:t>
      </w:r>
      <w:r>
        <w:rPr>
          <w:szCs w:val="15"/>
        </w:rPr>
        <w:t>)</w:t>
      </w:r>
      <w:r w:rsidRPr="006E2890">
        <w:rPr>
          <w:szCs w:val="6"/>
        </w:rPr>
        <w:t xml:space="preserve">; </w:t>
      </w:r>
      <w:r w:rsidRPr="006E2890">
        <w:rPr>
          <w:szCs w:val="10"/>
        </w:rPr>
        <w:t xml:space="preserve">it </w:t>
      </w:r>
      <w:r w:rsidRPr="006E2890">
        <w:rPr>
          <w:szCs w:val="16"/>
        </w:rPr>
        <w:t xml:space="preserve">alone </w:t>
      </w:r>
      <w:r w:rsidRPr="006E2890">
        <w:rPr>
          <w:szCs w:val="11"/>
        </w:rPr>
        <w:t xml:space="preserve">is </w:t>
      </w:r>
      <w:r w:rsidRPr="006E2890">
        <w:rPr>
          <w:szCs w:val="16"/>
        </w:rPr>
        <w:t xml:space="preserve">capable </w:t>
      </w:r>
      <w:r w:rsidRPr="006E2890">
        <w:rPr>
          <w:szCs w:val="15"/>
        </w:rPr>
        <w:t xml:space="preserve">of </w:t>
      </w:r>
      <w:r w:rsidRPr="006E2890">
        <w:rPr>
          <w:szCs w:val="16"/>
        </w:rPr>
        <w:t xml:space="preserve">existence </w:t>
      </w:r>
      <w:r w:rsidRPr="006E2890">
        <w:rPr>
          <w:szCs w:val="12"/>
        </w:rPr>
        <w:t xml:space="preserve">in </w:t>
      </w:r>
      <w:r w:rsidRPr="006E2890">
        <w:rPr>
          <w:szCs w:val="14"/>
        </w:rPr>
        <w:t xml:space="preserve">isolation </w:t>
      </w:r>
      <w:r w:rsidRPr="006E2890">
        <w:rPr>
          <w:szCs w:val="17"/>
        </w:rPr>
        <w:t xml:space="preserve">from </w:t>
      </w:r>
      <w:r w:rsidRPr="006E2890">
        <w:rPr>
          <w:szCs w:val="11"/>
        </w:rPr>
        <w:t xml:space="preserve">all </w:t>
      </w:r>
      <w:r w:rsidRPr="006E2890">
        <w:rPr>
          <w:szCs w:val="16"/>
        </w:rPr>
        <w:t>other psychic powers (</w:t>
      </w:r>
      <w:r w:rsidRPr="006E2890">
        <w:t>τοῦτο μόνον ἐνδέχεσθαι χωρίζεσθαι</w:t>
      </w:r>
      <w:r w:rsidRPr="006E2890">
        <w:rPr>
          <w:szCs w:val="16"/>
        </w:rPr>
        <w:t>).</w:t>
      </w:r>
      <w:r>
        <w:rPr>
          <w:szCs w:val="16"/>
        </w:rPr>
        <w:t>“ (</w:t>
      </w:r>
      <w:r w:rsidRPr="006E2890">
        <w:rPr>
          <w:i/>
          <w:szCs w:val="16"/>
        </w:rPr>
        <w:t>De anima</w:t>
      </w:r>
      <w:r>
        <w:rPr>
          <w:szCs w:val="16"/>
        </w:rPr>
        <w:t xml:space="preserve"> II.2, 413b24‒27</w:t>
      </w:r>
      <w:r>
        <w:rPr>
          <w:i/>
        </w:rPr>
        <w:fldChar w:fldCharType="begin"/>
      </w:r>
      <w:r>
        <w:instrText xml:space="preserve"> XE "</w:instrText>
      </w:r>
      <w:r>
        <w:rPr>
          <w:lang w:val="cs-CZ"/>
        </w:rPr>
        <w:instrText>Aristoteles:</w:instrText>
      </w:r>
      <w:r w:rsidRPr="006E2890">
        <w:rPr>
          <w:i/>
          <w:szCs w:val="16"/>
        </w:rPr>
        <w:instrText>De anima</w:instrText>
      </w:r>
      <w:r>
        <w:rPr>
          <w:szCs w:val="16"/>
        </w:rPr>
        <w:instrText xml:space="preserve"> 413b24‒27</w:instrText>
      </w:r>
      <w:r>
        <w:instrText xml:space="preserve">" </w:instrText>
      </w:r>
      <w:r>
        <w:rPr>
          <w:i/>
        </w:rPr>
        <w:fldChar w:fldCharType="end"/>
      </w:r>
      <w:r>
        <w:rPr>
          <w:szCs w:val="16"/>
        </w:rPr>
        <w:t>; trad. Smith, WA 3)</w:t>
      </w:r>
    </w:p>
  </w:footnote>
  <w:footnote w:id="260">
    <w:p w14:paraId="60030684" w14:textId="77777777" w:rsidR="00344048" w:rsidRPr="000A0A80" w:rsidRDefault="00344048">
      <w:pPr>
        <w:pStyle w:val="Textpoznpodarou"/>
        <w:rPr>
          <w:lang w:val="cs-CZ"/>
        </w:rPr>
      </w:pPr>
      <w:r>
        <w:rPr>
          <w:rStyle w:val="Znakapoznpodarou"/>
        </w:rPr>
        <w:footnoteRef/>
      </w:r>
      <w:r>
        <w:t xml:space="preserve"> </w:t>
      </w:r>
      <w:r w:rsidRPr="000A0A80">
        <w:t>„Tertia autem questio (et est quomodo intellectus materialis est aliquod ens et non est aliqua formarum materialium neque etiam prima materia) sic dissolvitur. Opinandum est enim quod iste est quartum genus esse. Quemadmodum enim sensibile esse dividitur in formam et materiam, sic intelligibile esse oportet dividi in consimilia hiis duobus, scilicet in aliquod simile forme et in aliquod simile materie. Et hoc necesse est in omni intelligentia abstracta que intelligit aliud.</w:t>
      </w:r>
      <w:r>
        <w:rPr>
          <w:lang w:val="cs-CZ"/>
        </w:rPr>
        <w:t xml:space="preserve">“ </w:t>
      </w:r>
      <w:r w:rsidRPr="00273106">
        <w:rPr>
          <w:noProof/>
          <w:lang w:val="cs-CZ"/>
        </w:rPr>
        <w:t xml:space="preserve">(CMDA </w:t>
      </w:r>
      <w:r>
        <w:rPr>
          <w:noProof/>
          <w:lang w:val="cs-CZ"/>
        </w:rPr>
        <w:t>III.5; 409.654–</w:t>
      </w:r>
      <w:r w:rsidRPr="00273106">
        <w:rPr>
          <w:noProof/>
          <w:lang w:val="cs-CZ"/>
        </w:rPr>
        <w:t>62</w:t>
      </w:r>
      <w:r>
        <w:rPr>
          <w:i/>
        </w:rPr>
        <w:fldChar w:fldCharType="begin"/>
      </w:r>
      <w:r>
        <w:instrText xml:space="preserve"> XE "</w:instrText>
      </w:r>
      <w:r>
        <w:rPr>
          <w:lang w:val="cs-CZ"/>
        </w:rPr>
        <w:instrText>Averroes</w:instrText>
      </w:r>
      <w:r w:rsidRPr="000A2302">
        <w:rPr>
          <w:lang w:val="cs-CZ"/>
        </w:rPr>
        <w:instrText>:</w:instrText>
      </w:r>
      <w:r>
        <w:rPr>
          <w:lang w:val="cs-CZ"/>
        </w:rPr>
        <w:instrText xml:space="preserve">CMDA </w:instrText>
      </w:r>
      <w:r>
        <w:rPr>
          <w:noProof/>
          <w:lang w:val="cs-CZ"/>
        </w:rPr>
        <w:instrText>409.654–</w:instrText>
      </w:r>
      <w:r w:rsidRPr="00273106">
        <w:rPr>
          <w:noProof/>
          <w:lang w:val="cs-CZ"/>
        </w:rPr>
        <w:instrText>62</w:instrText>
      </w:r>
      <w:r>
        <w:instrText xml:space="preserve">" </w:instrText>
      </w:r>
      <w:r>
        <w:rPr>
          <w:i/>
        </w:rPr>
        <w:fldChar w:fldCharType="end"/>
      </w:r>
      <w:r w:rsidRPr="00273106">
        <w:rPr>
          <w:noProof/>
          <w:lang w:val="cs-CZ"/>
        </w:rPr>
        <w:t>)</w:t>
      </w:r>
    </w:p>
  </w:footnote>
  <w:footnote w:id="261">
    <w:p w14:paraId="6F1DE60B" w14:textId="77777777" w:rsidR="00344048" w:rsidRPr="00C62C36" w:rsidRDefault="00344048">
      <w:pPr>
        <w:pStyle w:val="Textpoznpodarou"/>
        <w:rPr>
          <w:lang w:val="cs-CZ"/>
        </w:rPr>
      </w:pPr>
      <w:r>
        <w:rPr>
          <w:rStyle w:val="Znakapoznpodarou"/>
        </w:rPr>
        <w:footnoteRef/>
      </w:r>
      <w:r>
        <w:t xml:space="preserve"> </w:t>
      </w:r>
      <w:r w:rsidRPr="00C62C36">
        <w:rPr>
          <w:szCs w:val="30"/>
        </w:rPr>
        <w:t>„Et ex hoc modo possumus dicere quod intellectus speculativus est unus in omnibus. Et cum consideratum fuerit de istis intellectis secundum quod sunt entia simpliciter, non in respect</w:t>
      </w:r>
      <w:r>
        <w:rPr>
          <w:szCs w:val="30"/>
        </w:rPr>
        <w:t>u alicuius individui, vere dicu</w:t>
      </w:r>
      <w:r>
        <w:rPr>
          <w:szCs w:val="30"/>
          <w:lang w:val="cs-CZ"/>
        </w:rPr>
        <w:t>n</w:t>
      </w:r>
      <w:r w:rsidRPr="00C62C36">
        <w:rPr>
          <w:szCs w:val="30"/>
        </w:rPr>
        <w:t xml:space="preserve">tur esse </w:t>
      </w:r>
      <w:r>
        <w:rPr>
          <w:szCs w:val="30"/>
          <w:lang w:val="cs-CZ"/>
        </w:rPr>
        <w:t>a</w:t>
      </w:r>
      <w:r w:rsidRPr="00C62C36">
        <w:rPr>
          <w:szCs w:val="30"/>
        </w:rPr>
        <w:t xml:space="preserve">eterna, et quod non intelliguntur quandoque et quandoque non, sed semper.“ </w:t>
      </w:r>
      <w:r w:rsidRPr="00C62C36">
        <w:rPr>
          <w:rStyle w:val="Zkladntext1"/>
          <w:rFonts w:ascii="Calibri" w:eastAsia="Times" w:hAnsi="Calibri"/>
          <w:color w:val="auto"/>
          <w:spacing w:val="0"/>
          <w:sz w:val="20"/>
          <w:u w:val="none"/>
          <w:lang w:val="x-none"/>
        </w:rPr>
        <w:t>(</w:t>
      </w:r>
      <w:r w:rsidRPr="00C62C36">
        <w:t>CMDA III.5; 407.594–600</w:t>
      </w:r>
      <w:r>
        <w:rPr>
          <w:i/>
        </w:rPr>
        <w:fldChar w:fldCharType="begin"/>
      </w:r>
      <w:r>
        <w:instrText xml:space="preserve"> XE "Averroes:CMDA </w:instrText>
      </w:r>
      <w:r w:rsidRPr="00C62C36">
        <w:instrText>407.594–600</w:instrText>
      </w:r>
      <w:r>
        <w:instrText xml:space="preserve">" </w:instrText>
      </w:r>
      <w:r>
        <w:rPr>
          <w:i/>
        </w:rPr>
        <w:fldChar w:fldCharType="end"/>
      </w:r>
      <w:r w:rsidRPr="00C62C36">
        <w:t>)</w:t>
      </w:r>
    </w:p>
  </w:footnote>
  <w:footnote w:id="262">
    <w:p w14:paraId="690F2A02" w14:textId="77777777" w:rsidR="00344048" w:rsidRPr="00E73574" w:rsidRDefault="00344048">
      <w:pPr>
        <w:pStyle w:val="Textpoznpodarou"/>
        <w:rPr>
          <w:lang w:val="cs-CZ"/>
        </w:rPr>
      </w:pPr>
      <w:r>
        <w:rPr>
          <w:rStyle w:val="Znakapoznpodarou"/>
        </w:rPr>
        <w:footnoteRef/>
      </w:r>
      <w:r>
        <w:t xml:space="preserve"> </w:t>
      </w:r>
      <w:r>
        <w:rPr>
          <w:szCs w:val="28"/>
          <w:lang w:val="cs-CZ"/>
        </w:rPr>
        <w:t>„</w:t>
      </w:r>
      <w:r w:rsidRPr="000715B2">
        <w:rPr>
          <w:szCs w:val="28"/>
        </w:rPr>
        <w:t>Quoniam cum sapientiam esse in aliquo modo proprio hominum est, sicut modos artificiorum esse in modis propriis hominum, existimatur quod impossibile est ut tota habitatio fugiat a Philosophia, sicut opinandum est quod impossibile est ut fugiat ab artificiis naturalibus.</w:t>
      </w:r>
      <w:r>
        <w:rPr>
          <w:szCs w:val="28"/>
          <w:lang w:val="cs-CZ"/>
        </w:rPr>
        <w:t>“</w:t>
      </w:r>
      <w:r>
        <w:rPr>
          <w:rStyle w:val="Zkladntext1"/>
          <w:rFonts w:ascii="Calibri" w:eastAsia="Times" w:hAnsi="Calibri"/>
          <w:color w:val="auto"/>
          <w:spacing w:val="0"/>
          <w:sz w:val="20"/>
          <w:u w:val="none"/>
          <w:lang w:val="cs-CZ"/>
        </w:rPr>
        <w:t xml:space="preserve"> </w:t>
      </w:r>
      <w:r w:rsidRPr="00273106">
        <w:rPr>
          <w:noProof/>
        </w:rPr>
        <w:t>(CMDA III.5</w:t>
      </w:r>
      <w:r>
        <w:rPr>
          <w:noProof/>
        </w:rPr>
        <w:t>; 408.610–</w:t>
      </w:r>
      <w:r w:rsidRPr="00273106">
        <w:rPr>
          <w:noProof/>
        </w:rPr>
        <w:t>15</w:t>
      </w:r>
      <w:r>
        <w:rPr>
          <w:i/>
        </w:rPr>
        <w:fldChar w:fldCharType="begin"/>
      </w:r>
      <w:r>
        <w:instrText xml:space="preserve"> XE "Averroes:CMDA </w:instrText>
      </w:r>
      <w:r>
        <w:rPr>
          <w:noProof/>
        </w:rPr>
        <w:instrText>408.610–</w:instrText>
      </w:r>
      <w:r w:rsidRPr="00273106">
        <w:rPr>
          <w:noProof/>
        </w:rPr>
        <w:instrText>15</w:instrText>
      </w:r>
      <w:r>
        <w:instrText xml:space="preserve">" </w:instrText>
      </w:r>
      <w:r>
        <w:rPr>
          <w:i/>
        </w:rPr>
        <w:fldChar w:fldCharType="end"/>
      </w:r>
      <w:r w:rsidRPr="00273106">
        <w:rPr>
          <w:noProof/>
        </w:rPr>
        <w:t>)</w:t>
      </w:r>
    </w:p>
  </w:footnote>
  <w:footnote w:id="263">
    <w:p w14:paraId="05CB6BDE" w14:textId="77777777" w:rsidR="00344048" w:rsidRPr="003A7CE9" w:rsidRDefault="00344048">
      <w:pPr>
        <w:pStyle w:val="Textpoznpodarou"/>
        <w:rPr>
          <w:lang w:val="cs-CZ"/>
        </w:rPr>
      </w:pPr>
      <w:r>
        <w:rPr>
          <w:rStyle w:val="Znakapoznpodarou"/>
        </w:rPr>
        <w:footnoteRef/>
      </w:r>
      <w:r>
        <w:t xml:space="preserve"> </w:t>
      </w:r>
      <w:r>
        <w:rPr>
          <w:lang w:val="cs-CZ"/>
        </w:rPr>
        <w:t>„</w:t>
      </w:r>
      <w:r>
        <w:t xml:space="preserve">Potest enim intelligi secundum Alexandrum quod intendebat per </w:t>
      </w:r>
      <w:r>
        <w:rPr>
          <w:i/>
          <w:iCs/>
        </w:rPr>
        <w:t xml:space="preserve">intellectum in potentia </w:t>
      </w:r>
      <w:r>
        <w:t>preparationem existentem in complexione humana, scilicet quod potentia et preparatio que est in homine ad recipiendum intellectum in respectu</w:t>
      </w:r>
      <w:r>
        <w:rPr>
          <w:lang w:val="cs-CZ"/>
        </w:rPr>
        <w:t xml:space="preserve"> </w:t>
      </w:r>
      <w:r>
        <w:t>uniuscuiusque individui est prior tempore intellectu agenti; simpliciter autem intellectus agens est prior.</w:t>
      </w:r>
      <w:r>
        <w:rPr>
          <w:lang w:val="cs-CZ"/>
        </w:rPr>
        <w:t xml:space="preserve">“ </w:t>
      </w:r>
      <w:r w:rsidRPr="003A7CE9">
        <w:t>(</w:t>
      </w:r>
      <w:r>
        <w:t>CMDA</w:t>
      </w:r>
      <w:r w:rsidRPr="003A7CE9">
        <w:t xml:space="preserve"> III.20; 444.13–18</w:t>
      </w:r>
      <w:r>
        <w:rPr>
          <w:i/>
        </w:rPr>
        <w:fldChar w:fldCharType="begin"/>
      </w:r>
      <w:r>
        <w:instrText xml:space="preserve"> XE "Averroes:CMDA </w:instrText>
      </w:r>
      <w:r w:rsidRPr="003A7CE9">
        <w:instrText>444.13–18</w:instrText>
      </w:r>
      <w:r>
        <w:instrText xml:space="preserve">" </w:instrText>
      </w:r>
      <w:r>
        <w:rPr>
          <w:i/>
        </w:rPr>
        <w:fldChar w:fldCharType="end"/>
      </w:r>
      <w:r w:rsidRPr="003A7CE9">
        <w:t>)</w:t>
      </w:r>
    </w:p>
  </w:footnote>
  <w:footnote w:id="264">
    <w:p w14:paraId="67F5CEA8" w14:textId="77777777" w:rsidR="00344048" w:rsidRPr="08A80232" w:rsidRDefault="00344048" w:rsidP="00294897">
      <w:pPr>
        <w:pStyle w:val="Textpoznpodarou"/>
      </w:pPr>
      <w:r>
        <w:rPr>
          <w:rStyle w:val="Znakapoznpodarou"/>
        </w:rPr>
        <w:footnoteRef/>
      </w:r>
      <w:r>
        <w:t xml:space="preserve"> </w:t>
      </w:r>
      <w:r w:rsidRPr="008F34D0">
        <w:rPr>
          <w:rFonts w:eastAsia="Times"/>
        </w:rPr>
        <w:t>„</w:t>
      </w:r>
      <w:r w:rsidRPr="080A4150">
        <w:rPr>
          <w:rFonts w:eastAsia="Times"/>
        </w:rPr>
        <w:t>Nos autem, cum vidimus opiniones Alexandri et Themistii esse impossibiles, et invenimus verba Aristotelis manifesta secundum nostram expositionem, credimus quod ista est opinio Aristotelis quam nos diximus, et est vera in se.</w:t>
      </w:r>
      <w:r w:rsidRPr="008F34D0">
        <w:rPr>
          <w:rFonts w:eastAsia="Times"/>
        </w:rPr>
        <w:t>“</w:t>
      </w:r>
      <w:r>
        <w:t xml:space="preserve"> (CMDA III.20</w:t>
      </w:r>
      <w:r>
        <w:rPr>
          <w:lang w:val="cs-CZ"/>
        </w:rPr>
        <w:t xml:space="preserve">; </w:t>
      </w:r>
      <w:r w:rsidRPr="008F34D0">
        <w:t>446</w:t>
      </w:r>
      <w:r>
        <w:rPr>
          <w:lang w:val="cs-CZ"/>
        </w:rPr>
        <w:t>.93</w:t>
      </w:r>
      <w:r w:rsidRPr="008F34D0">
        <w:t>–447</w:t>
      </w:r>
      <w:r>
        <w:rPr>
          <w:lang w:val="cs-CZ"/>
        </w:rPr>
        <w:t>.</w:t>
      </w:r>
      <w:r w:rsidRPr="008F34D0">
        <w:t>97</w:t>
      </w:r>
      <w:r>
        <w:rPr>
          <w:i/>
        </w:rPr>
        <w:fldChar w:fldCharType="begin"/>
      </w:r>
      <w:r>
        <w:instrText xml:space="preserve"> XE "Averroes:CMDA </w:instrText>
      </w:r>
      <w:r w:rsidRPr="008F34D0">
        <w:instrText>446</w:instrText>
      </w:r>
      <w:r>
        <w:rPr>
          <w:lang w:val="cs-CZ"/>
        </w:rPr>
        <w:instrText>.93</w:instrText>
      </w:r>
      <w:r w:rsidRPr="008F34D0">
        <w:instrText>–447</w:instrText>
      </w:r>
      <w:r>
        <w:rPr>
          <w:lang w:val="cs-CZ"/>
        </w:rPr>
        <w:instrText>.</w:instrText>
      </w:r>
      <w:r w:rsidRPr="008F34D0">
        <w:instrText>97</w:instrText>
      </w:r>
      <w:r>
        <w:instrText xml:space="preserve">" </w:instrText>
      </w:r>
      <w:r>
        <w:rPr>
          <w:i/>
        </w:rPr>
        <w:fldChar w:fldCharType="end"/>
      </w:r>
      <w:r w:rsidRPr="008F34D0">
        <w:t>)</w:t>
      </w:r>
    </w:p>
  </w:footnote>
  <w:footnote w:id="265">
    <w:p w14:paraId="5C05E6E9" w14:textId="77777777" w:rsidR="00344048" w:rsidRPr="00A31B9F" w:rsidRDefault="00344048">
      <w:pPr>
        <w:pStyle w:val="Textpoznpodarou"/>
        <w:rPr>
          <w:lang w:val="cs-CZ"/>
        </w:rPr>
      </w:pPr>
      <w:r>
        <w:rPr>
          <w:rStyle w:val="Znakapoznpodarou"/>
        </w:rPr>
        <w:footnoteRef/>
      </w:r>
      <w:r>
        <w:t xml:space="preserve"> </w:t>
      </w:r>
      <w:r>
        <w:rPr>
          <w:szCs w:val="30"/>
          <w:lang w:val="cs-CZ"/>
        </w:rPr>
        <w:t>„</w:t>
      </w:r>
      <w:r w:rsidRPr="00A31B9F">
        <w:rPr>
          <w:szCs w:val="30"/>
        </w:rPr>
        <w:t xml:space="preserve">Et cum dixit: </w:t>
      </w:r>
      <w:r w:rsidRPr="00A31B9F">
        <w:rPr>
          <w:i/>
          <w:szCs w:val="30"/>
        </w:rPr>
        <w:t>Et quod est in potentia est prius tempore individu</w:t>
      </w:r>
      <w:r w:rsidRPr="00A31B9F">
        <w:rPr>
          <w:i/>
          <w:szCs w:val="30"/>
          <w:lang w:val="cs-CZ"/>
        </w:rPr>
        <w:t>o</w:t>
      </w:r>
      <w:r>
        <w:rPr>
          <w:szCs w:val="30"/>
          <w:lang w:val="cs-CZ"/>
        </w:rPr>
        <w:t>,</w:t>
      </w:r>
      <w:r w:rsidRPr="00A31B9F">
        <w:rPr>
          <w:szCs w:val="30"/>
        </w:rPr>
        <w:t xml:space="preserve"> potest intelligi per tres opiniones eodem</w:t>
      </w:r>
      <w:r>
        <w:rPr>
          <w:szCs w:val="30"/>
          <w:lang w:val="cs-CZ"/>
        </w:rPr>
        <w:t xml:space="preserve"> </w:t>
      </w:r>
      <w:r w:rsidRPr="00A31B9F">
        <w:rPr>
          <w:szCs w:val="30"/>
        </w:rPr>
        <w:t>modo. Secundum enim nostram opinionem, et Themistii, intellectus qui est in potentia prius continuatur cum nobis quam intellectus agens; et secundum Alexandrum intellectus qui est in potentia erit prior in nobis secundum esse aut generationem, non secundum continuationem.</w:t>
      </w:r>
      <w:r>
        <w:rPr>
          <w:szCs w:val="30"/>
          <w:lang w:val="cs-CZ"/>
        </w:rPr>
        <w:t xml:space="preserve">“ </w:t>
      </w:r>
      <w:r w:rsidRPr="00A31B9F">
        <w:t>(</w:t>
      </w:r>
      <w:r>
        <w:t>CMDA III.20; 447.106–</w:t>
      </w:r>
      <w:r w:rsidRPr="00A31B9F">
        <w:t>13</w:t>
      </w:r>
      <w:r>
        <w:rPr>
          <w:i/>
        </w:rPr>
        <w:fldChar w:fldCharType="begin"/>
      </w:r>
      <w:r>
        <w:instrText xml:space="preserve"> XE "Averroes:CMDA 447.106–</w:instrText>
      </w:r>
      <w:r w:rsidRPr="00A31B9F">
        <w:instrText>13</w:instrText>
      </w:r>
      <w:r>
        <w:instrText xml:space="preserve">" </w:instrText>
      </w:r>
      <w:r>
        <w:rPr>
          <w:i/>
        </w:rPr>
        <w:fldChar w:fldCharType="end"/>
      </w:r>
      <w:r w:rsidRPr="00A31B9F">
        <w:t>)</w:t>
      </w:r>
    </w:p>
  </w:footnote>
  <w:footnote w:id="266">
    <w:p w14:paraId="6978575A" w14:textId="77777777" w:rsidR="00344048" w:rsidRPr="002439A7" w:rsidRDefault="00344048" w:rsidP="085F7A18">
      <w:pPr>
        <w:pStyle w:val="Textpoznpodarou"/>
        <w:rPr>
          <w:lang w:val="cs-CZ"/>
        </w:rPr>
      </w:pPr>
      <w:r>
        <w:rPr>
          <w:rStyle w:val="Znakapoznpodarou"/>
        </w:rPr>
        <w:footnoteRef/>
      </w:r>
      <w:r>
        <w:t xml:space="preserve"> </w:t>
      </w:r>
      <w:r>
        <w:rPr>
          <w:szCs w:val="28"/>
          <w:lang w:val="cs-CZ"/>
        </w:rPr>
        <w:t>„</w:t>
      </w:r>
      <w:r w:rsidRPr="002439A7">
        <w:rPr>
          <w:szCs w:val="28"/>
        </w:rPr>
        <w:t>Cum declaravit naturam intellectus qui est in potentia, et qui est in actu, et dedit differentiam inter ipsum et virtutem ymaginationis, incepit declarare quod necesse est tertium genus intellectus esse et est intelligentia agens, que facit intellectum qui est in potentia esse intellectum in actu.</w:t>
      </w:r>
      <w:r>
        <w:rPr>
          <w:szCs w:val="28"/>
          <w:lang w:val="cs-CZ"/>
        </w:rPr>
        <w:t xml:space="preserve">“ </w:t>
      </w:r>
      <w:r w:rsidRPr="0060200F">
        <w:t>(</w:t>
      </w:r>
      <w:r>
        <w:t>CMDA III.17; 436.8–13</w:t>
      </w:r>
      <w:r>
        <w:rPr>
          <w:i/>
        </w:rPr>
        <w:fldChar w:fldCharType="begin"/>
      </w:r>
      <w:r>
        <w:instrText xml:space="preserve"> XE "Averroes</w:instrText>
      </w:r>
      <w:r>
        <w:rPr>
          <w:lang w:val="cs-CZ"/>
        </w:rPr>
        <w:instrText xml:space="preserve">:CMDA </w:instrText>
      </w:r>
      <w:r>
        <w:instrText xml:space="preserve">436.8–13" </w:instrText>
      </w:r>
      <w:r>
        <w:rPr>
          <w:i/>
        </w:rPr>
        <w:fldChar w:fldCharType="end"/>
      </w:r>
      <w:r>
        <w:rPr>
          <w:lang w:val="cs-CZ"/>
        </w:rPr>
        <w:t>)</w:t>
      </w:r>
    </w:p>
  </w:footnote>
  <w:footnote w:id="267">
    <w:p w14:paraId="48BC0850" w14:textId="77777777" w:rsidR="00344048" w:rsidRPr="00DD3F5E" w:rsidRDefault="00344048" w:rsidP="00806BE4">
      <w:pPr>
        <w:pStyle w:val="Textpoznpodarou"/>
      </w:pPr>
      <w:r>
        <w:rPr>
          <w:rStyle w:val="Znakapoznpodarou"/>
        </w:rPr>
        <w:footnoteRef/>
      </w:r>
      <w:r>
        <w:t xml:space="preserve"> </w:t>
      </w:r>
      <w:r w:rsidRPr="00565814">
        <w:t>„Et quod est in potentia prius est tempore in individuo; universaliter autem non est neque in tempore. Neque quandoque intelligit et quandoque non intelligit. Et cum fuerit abstractus, est illud quod est tantum, et iste tantum est immortalis semper. Et non rememoramur, quia iste est non passibilis, et intellectus passibilis est corruptibilis, et sine hoc nichil intelligitur.“ (</w:t>
      </w:r>
      <w:r>
        <w:t>CMDA</w:t>
      </w:r>
      <w:r w:rsidRPr="00565814">
        <w:t xml:space="preserve"> </w:t>
      </w:r>
      <w:r>
        <w:t>III.</w:t>
      </w:r>
      <w:r>
        <w:rPr>
          <w:lang w:val="cs-CZ"/>
        </w:rPr>
        <w:t xml:space="preserve">20; </w:t>
      </w:r>
      <w:r w:rsidRPr="00565814">
        <w:t>443.1–8</w:t>
      </w:r>
      <w:r>
        <w:rPr>
          <w:i/>
        </w:rPr>
        <w:fldChar w:fldCharType="begin"/>
      </w:r>
      <w:r>
        <w:instrText xml:space="preserve"> XE "Averroes:CMDA </w:instrText>
      </w:r>
      <w:r w:rsidRPr="00565814">
        <w:instrText>443.1–8</w:instrText>
      </w:r>
      <w:r>
        <w:instrText xml:space="preserve">" </w:instrText>
      </w:r>
      <w:r>
        <w:rPr>
          <w:i/>
        </w:rPr>
        <w:fldChar w:fldCharType="end"/>
      </w:r>
      <w:r w:rsidRPr="00565814">
        <w:t>)</w:t>
      </w:r>
    </w:p>
  </w:footnote>
  <w:footnote w:id="268">
    <w:p w14:paraId="7097BF20" w14:textId="77777777" w:rsidR="00344048" w:rsidRPr="00626500" w:rsidRDefault="00344048" w:rsidP="08D43686">
      <w:pPr>
        <w:pStyle w:val="Textpoznpodarou"/>
        <w:rPr>
          <w:szCs w:val="30"/>
          <w:lang w:val="cs-CZ"/>
        </w:rPr>
      </w:pPr>
      <w:r>
        <w:rPr>
          <w:rStyle w:val="Znakapoznpodarou"/>
        </w:rPr>
        <w:footnoteRef/>
      </w:r>
      <w:r>
        <w:t xml:space="preserve"> </w:t>
      </w:r>
      <w:r>
        <w:rPr>
          <w:szCs w:val="30"/>
          <w:lang w:val="cs-CZ"/>
        </w:rPr>
        <w:t>„</w:t>
      </w:r>
      <w:r w:rsidRPr="00626500">
        <w:rPr>
          <w:szCs w:val="30"/>
        </w:rPr>
        <w:t xml:space="preserve">Et cum dixit: </w:t>
      </w:r>
      <w:r w:rsidRPr="00626500">
        <w:rPr>
          <w:i/>
          <w:szCs w:val="30"/>
        </w:rPr>
        <w:t>Neque est quandoque intelligens et quandoque non intel</w:t>
      </w:r>
      <w:r w:rsidRPr="00626500">
        <w:rPr>
          <w:i/>
          <w:szCs w:val="30"/>
          <w:lang w:val="cs-CZ"/>
        </w:rPr>
        <w:t>l</w:t>
      </w:r>
      <w:r w:rsidRPr="00626500">
        <w:rPr>
          <w:i/>
          <w:szCs w:val="30"/>
        </w:rPr>
        <w:t>igens</w:t>
      </w:r>
      <w:r w:rsidRPr="00626500">
        <w:rPr>
          <w:szCs w:val="30"/>
        </w:rPr>
        <w:t>, impossib</w:t>
      </w:r>
      <w:r>
        <w:rPr>
          <w:szCs w:val="30"/>
          <w:lang w:val="cs-CZ"/>
        </w:rPr>
        <w:t>i</w:t>
      </w:r>
      <w:r w:rsidRPr="00626500">
        <w:rPr>
          <w:szCs w:val="30"/>
        </w:rPr>
        <w:t>le est ut iste sermo intelligatur secundum suum manifestum neque secundum Themistium neque secundum Alexandrum.</w:t>
      </w:r>
      <w:r>
        <w:rPr>
          <w:szCs w:val="30"/>
          <w:lang w:val="cs-CZ"/>
        </w:rPr>
        <w:t xml:space="preserve">“ </w:t>
      </w:r>
      <w:r w:rsidRPr="00273106">
        <w:rPr>
          <w:noProof/>
          <w:lang w:val="cs-CZ"/>
        </w:rPr>
        <w:t>(</w:t>
      </w:r>
      <w:r>
        <w:rPr>
          <w:noProof/>
          <w:lang w:val="cs-CZ"/>
        </w:rPr>
        <w:t>CMDA</w:t>
      </w:r>
      <w:r w:rsidRPr="00273106">
        <w:rPr>
          <w:noProof/>
          <w:lang w:val="cs-CZ"/>
        </w:rPr>
        <w:t xml:space="preserve"> </w:t>
      </w:r>
      <w:r>
        <w:rPr>
          <w:noProof/>
          <w:lang w:val="cs-CZ"/>
        </w:rPr>
        <w:t>III.20; 447.121–</w:t>
      </w:r>
      <w:r w:rsidRPr="00273106">
        <w:rPr>
          <w:noProof/>
          <w:lang w:val="cs-CZ"/>
        </w:rPr>
        <w:t>23</w:t>
      </w:r>
      <w:r>
        <w:rPr>
          <w:i/>
        </w:rPr>
        <w:fldChar w:fldCharType="begin"/>
      </w:r>
      <w:r>
        <w:instrText xml:space="preserve"> XE "Averroes</w:instrText>
      </w:r>
      <w:r>
        <w:rPr>
          <w:lang w:val="cs-CZ"/>
        </w:rPr>
        <w:instrText xml:space="preserve">:CMDA </w:instrText>
      </w:r>
      <w:r>
        <w:rPr>
          <w:noProof/>
          <w:lang w:val="cs-CZ"/>
        </w:rPr>
        <w:instrText>447.121–</w:instrText>
      </w:r>
      <w:r w:rsidRPr="00273106">
        <w:rPr>
          <w:noProof/>
          <w:lang w:val="cs-CZ"/>
        </w:rPr>
        <w:instrText>23</w:instrText>
      </w:r>
      <w:r>
        <w:instrText xml:space="preserve">" </w:instrText>
      </w:r>
      <w:r>
        <w:rPr>
          <w:i/>
        </w:rPr>
        <w:fldChar w:fldCharType="end"/>
      </w:r>
      <w:r w:rsidRPr="00273106">
        <w:rPr>
          <w:noProof/>
          <w:lang w:val="cs-CZ"/>
        </w:rPr>
        <w:t>)</w:t>
      </w:r>
    </w:p>
  </w:footnote>
  <w:footnote w:id="269">
    <w:p w14:paraId="088C1535" w14:textId="77777777" w:rsidR="00344048" w:rsidRPr="002E088C" w:rsidRDefault="00344048">
      <w:pPr>
        <w:pStyle w:val="Textpoznpodarou"/>
        <w:rPr>
          <w:lang w:val="cs-CZ"/>
        </w:rPr>
      </w:pPr>
      <w:r>
        <w:rPr>
          <w:rStyle w:val="Znakapoznpodarou"/>
        </w:rPr>
        <w:footnoteRef/>
      </w:r>
      <w:r>
        <w:t xml:space="preserve"> </w:t>
      </w:r>
      <w:r>
        <w:rPr>
          <w:szCs w:val="30"/>
          <w:lang w:val="cs-CZ"/>
        </w:rPr>
        <w:t>„</w:t>
      </w:r>
      <w:r w:rsidRPr="002E088C">
        <w:rPr>
          <w:szCs w:val="30"/>
        </w:rPr>
        <w:t>Et ex hoc apparet quod sua intellectio non est aliquid scientiarum speculativarum, sed est aliquid currens cursu rei generate naturaliter a disciplina scientiarum speculativarum. Et ideo non est remotum ut homines adiuvent se in hac intentione, sicut iuvant se in scientiis speculativis. Sed necesse est ut inveniatur illud currens a scientiis speculativis, non ab aliis. Intellecta enim falsa impossibile est ut habeant continuationem, quoniam non sunt aliquid currens cursu naturali, sed sunt aliquid quod non intendebatur, sicut digitus sextus, et monstrum in creatura.</w:t>
      </w:r>
      <w:r>
        <w:rPr>
          <w:szCs w:val="30"/>
          <w:lang w:val="cs-CZ"/>
        </w:rPr>
        <w:t xml:space="preserve">“ </w:t>
      </w:r>
      <w:r w:rsidRPr="00273106">
        <w:rPr>
          <w:noProof/>
          <w:lang w:val="cs-CZ"/>
        </w:rPr>
        <w:t>(</w:t>
      </w:r>
      <w:r w:rsidRPr="00273106">
        <w:rPr>
          <w:rStyle w:val="Zkladntext184"/>
          <w:rFonts w:ascii="Calibri" w:eastAsia="Times" w:hAnsi="Calibri" w:cs="Times New Roman"/>
          <w:noProof/>
          <w:spacing w:val="0"/>
          <w:sz w:val="21"/>
          <w:lang w:val="cs-CZ"/>
        </w:rPr>
        <w:t xml:space="preserve">CMDA </w:t>
      </w:r>
      <w:r>
        <w:rPr>
          <w:rStyle w:val="Zkladntext184"/>
          <w:rFonts w:ascii="Calibri" w:eastAsia="Times" w:hAnsi="Calibri" w:cs="Times New Roman"/>
          <w:noProof/>
          <w:spacing w:val="0"/>
          <w:sz w:val="21"/>
          <w:lang w:val="cs-CZ"/>
        </w:rPr>
        <w:t xml:space="preserve">III.36; pp. </w:t>
      </w:r>
      <w:r w:rsidRPr="00273106">
        <w:rPr>
          <w:rStyle w:val="Zkladntext184"/>
          <w:rFonts w:ascii="Calibri" w:eastAsia="Times" w:hAnsi="Calibri" w:cs="Times New Roman"/>
          <w:noProof/>
          <w:spacing w:val="0"/>
          <w:sz w:val="21"/>
          <w:lang w:val="cs-CZ"/>
        </w:rPr>
        <w:t>501</w:t>
      </w:r>
      <w:r>
        <w:rPr>
          <w:rStyle w:val="Zkladntext184"/>
          <w:rFonts w:ascii="Calibri" w:eastAsia="Times" w:hAnsi="Calibri" w:cs="Times New Roman"/>
          <w:noProof/>
          <w:spacing w:val="0"/>
          <w:sz w:val="21"/>
          <w:lang w:val="cs-CZ"/>
        </w:rPr>
        <w:t>.</w:t>
      </w:r>
      <w:r w:rsidRPr="00273106">
        <w:rPr>
          <w:rStyle w:val="Zkladntext184"/>
          <w:rFonts w:ascii="Calibri" w:eastAsia="Times" w:hAnsi="Calibri" w:cs="Times New Roman"/>
          <w:noProof/>
          <w:spacing w:val="0"/>
          <w:sz w:val="21"/>
          <w:lang w:val="cs-CZ"/>
        </w:rPr>
        <w:t>640</w:t>
      </w:r>
      <w:r w:rsidRPr="00273106">
        <w:rPr>
          <w:noProof/>
          <w:lang w:val="cs-CZ"/>
        </w:rPr>
        <w:t>–</w:t>
      </w:r>
      <w:r w:rsidRPr="00273106">
        <w:rPr>
          <w:rStyle w:val="Zkladntext184"/>
          <w:rFonts w:ascii="Calibri" w:eastAsia="Times" w:hAnsi="Calibri" w:cs="Times New Roman"/>
          <w:noProof/>
          <w:spacing w:val="0"/>
          <w:sz w:val="21"/>
          <w:lang w:val="cs-CZ"/>
        </w:rPr>
        <w:t>502.649</w:t>
      </w:r>
      <w:r>
        <w:rPr>
          <w:i/>
        </w:rPr>
        <w:fldChar w:fldCharType="begin"/>
      </w:r>
      <w:r>
        <w:instrText xml:space="preserve"> XE "Averroes</w:instrText>
      </w:r>
      <w:r>
        <w:rPr>
          <w:lang w:val="cs-CZ"/>
        </w:rPr>
        <w:instrText xml:space="preserve">:CMDA </w:instrText>
      </w:r>
      <w:r w:rsidRPr="00273106">
        <w:rPr>
          <w:rStyle w:val="Zkladntext184"/>
          <w:rFonts w:ascii="Calibri" w:eastAsia="Times" w:hAnsi="Calibri" w:cs="Times New Roman"/>
          <w:noProof/>
          <w:spacing w:val="0"/>
          <w:sz w:val="21"/>
          <w:lang w:val="cs-CZ"/>
        </w:rPr>
        <w:instrText>501</w:instrText>
      </w:r>
      <w:r>
        <w:rPr>
          <w:rStyle w:val="Zkladntext184"/>
          <w:rFonts w:ascii="Calibri" w:eastAsia="Times" w:hAnsi="Calibri" w:cs="Times New Roman"/>
          <w:noProof/>
          <w:spacing w:val="0"/>
          <w:sz w:val="21"/>
          <w:lang w:val="cs-CZ"/>
        </w:rPr>
        <w:instrText>.</w:instrText>
      </w:r>
      <w:r w:rsidRPr="00273106">
        <w:rPr>
          <w:rStyle w:val="Zkladntext184"/>
          <w:rFonts w:ascii="Calibri" w:eastAsia="Times" w:hAnsi="Calibri" w:cs="Times New Roman"/>
          <w:noProof/>
          <w:spacing w:val="0"/>
          <w:sz w:val="21"/>
          <w:lang w:val="cs-CZ"/>
        </w:rPr>
        <w:instrText>640</w:instrText>
      </w:r>
      <w:r w:rsidRPr="00273106">
        <w:rPr>
          <w:noProof/>
          <w:lang w:val="cs-CZ"/>
        </w:rPr>
        <w:instrText>–</w:instrText>
      </w:r>
      <w:r w:rsidRPr="00273106">
        <w:rPr>
          <w:rStyle w:val="Zkladntext184"/>
          <w:rFonts w:ascii="Calibri" w:eastAsia="Times" w:hAnsi="Calibri" w:cs="Times New Roman"/>
          <w:noProof/>
          <w:spacing w:val="0"/>
          <w:sz w:val="21"/>
          <w:lang w:val="cs-CZ"/>
        </w:rPr>
        <w:instrText>502.649</w:instrText>
      </w:r>
      <w:r>
        <w:instrText xml:space="preserve">" </w:instrText>
      </w:r>
      <w:r>
        <w:rPr>
          <w:i/>
        </w:rPr>
        <w:fldChar w:fldCharType="end"/>
      </w:r>
      <w:r w:rsidRPr="00273106">
        <w:rPr>
          <w:rStyle w:val="Zkladntext184"/>
          <w:rFonts w:ascii="Calibri" w:eastAsia="Times" w:hAnsi="Calibri" w:cs="Times New Roman"/>
          <w:noProof/>
          <w:spacing w:val="0"/>
          <w:sz w:val="21"/>
          <w:lang w:val="cs-CZ"/>
        </w:rPr>
        <w:t>)</w:t>
      </w:r>
    </w:p>
  </w:footnote>
  <w:footnote w:id="270">
    <w:p w14:paraId="011638FF" w14:textId="77777777" w:rsidR="00344048" w:rsidRPr="003D18E1" w:rsidRDefault="00344048">
      <w:pPr>
        <w:pStyle w:val="Textpoznpodarou"/>
        <w:rPr>
          <w:szCs w:val="28"/>
          <w:lang w:val="cs-CZ"/>
        </w:rPr>
      </w:pPr>
      <w:r>
        <w:rPr>
          <w:rStyle w:val="Znakapoznpodarou"/>
        </w:rPr>
        <w:footnoteRef/>
      </w:r>
      <w:r>
        <w:t xml:space="preserve"> </w:t>
      </w:r>
      <w:r>
        <w:rPr>
          <w:szCs w:val="28"/>
          <w:lang w:val="cs-CZ"/>
        </w:rPr>
        <w:t>„</w:t>
      </w:r>
      <w:r w:rsidRPr="003D18E1">
        <w:rPr>
          <w:szCs w:val="28"/>
        </w:rPr>
        <w:t>Et manifestum est quod color, licet fiat a corpore lucido, tamen differt ab eo diffinitione et essentia; color enim, ut dicitur, est ultimum diaffoni terminati; lux autem est complementum diaffoni non terminati.</w:t>
      </w:r>
      <w:r>
        <w:rPr>
          <w:szCs w:val="28"/>
          <w:lang w:val="cs-CZ"/>
        </w:rPr>
        <w:t xml:space="preserve">“ </w:t>
      </w:r>
      <w:r>
        <w:rPr>
          <w:noProof/>
          <w:lang w:val="cs-CZ"/>
        </w:rPr>
        <w:t>(</w:t>
      </w:r>
      <w:r w:rsidRPr="00273106">
        <w:rPr>
          <w:noProof/>
          <w:lang w:val="cs-CZ"/>
        </w:rPr>
        <w:t xml:space="preserve">CMDA </w:t>
      </w:r>
      <w:r>
        <w:rPr>
          <w:noProof/>
          <w:lang w:val="cs-CZ"/>
        </w:rPr>
        <w:t xml:space="preserve">II.67; </w:t>
      </w:r>
      <w:r w:rsidRPr="00273106">
        <w:rPr>
          <w:noProof/>
          <w:lang w:val="cs-CZ"/>
        </w:rPr>
        <w:t>232.45–49</w:t>
      </w:r>
      <w:r>
        <w:rPr>
          <w:i/>
        </w:rPr>
        <w:fldChar w:fldCharType="begin"/>
      </w:r>
      <w:r>
        <w:instrText xml:space="preserve"> XE "Averroes</w:instrText>
      </w:r>
      <w:r>
        <w:rPr>
          <w:lang w:val="cs-CZ"/>
        </w:rPr>
        <w:instrText xml:space="preserve">:CMDA </w:instrText>
      </w:r>
      <w:r w:rsidRPr="00273106">
        <w:rPr>
          <w:noProof/>
          <w:lang w:val="cs-CZ"/>
        </w:rPr>
        <w:instrText>232.45–49</w:instrText>
      </w:r>
      <w:r>
        <w:instrText xml:space="preserve">" </w:instrText>
      </w:r>
      <w:r>
        <w:rPr>
          <w:i/>
        </w:rPr>
        <w:fldChar w:fldCharType="end"/>
      </w:r>
      <w:r>
        <w:rPr>
          <w:noProof/>
          <w:lang w:val="cs-CZ"/>
        </w:rPr>
        <w:t>)</w:t>
      </w:r>
    </w:p>
  </w:footnote>
  <w:footnote w:id="271">
    <w:p w14:paraId="4C953E97" w14:textId="77777777" w:rsidR="00344048" w:rsidRPr="006E0344" w:rsidRDefault="00344048">
      <w:pPr>
        <w:pStyle w:val="Textpoznpodarou"/>
        <w:rPr>
          <w:lang w:val="cs-CZ"/>
        </w:rPr>
      </w:pPr>
      <w:r>
        <w:rPr>
          <w:rStyle w:val="Znakapoznpodarou"/>
        </w:rPr>
        <w:footnoteRef/>
      </w:r>
      <w:r>
        <w:t xml:space="preserve"> </w:t>
      </w:r>
      <w:r>
        <w:rPr>
          <w:szCs w:val="28"/>
          <w:lang w:val="cs-CZ"/>
        </w:rPr>
        <w:t>„</w:t>
      </w:r>
      <w:r w:rsidRPr="006E0344">
        <w:rPr>
          <w:szCs w:val="28"/>
        </w:rPr>
        <w:t xml:space="preserve">Et est manifestum quod, quando conservaverimus </w:t>
      </w:r>
      <w:r w:rsidRPr="006E0344">
        <w:t>quod dicit Aristoteles in principio istius sermonis (et posuit ipsum positione quasi manifesta</w:t>
      </w:r>
      <w:r>
        <w:rPr>
          <w:lang w:val="cs-CZ"/>
        </w:rPr>
        <w:t xml:space="preserve"> </w:t>
      </w:r>
      <w:r w:rsidRPr="006E0344">
        <w:t>per se), tunc necesse erit ut lux non sit necessaria in essendo colores moventes diaffonum nisi secundum quod dat diaffono formam aliquam qua recipit motum a colore, scilicet illuminationem.</w:t>
      </w:r>
      <w:r>
        <w:rPr>
          <w:lang w:val="cs-CZ"/>
        </w:rPr>
        <w:t xml:space="preserve">“ </w:t>
      </w:r>
      <w:r>
        <w:rPr>
          <w:noProof/>
        </w:rPr>
        <w:t>(</w:t>
      </w:r>
      <w:r w:rsidRPr="00273106">
        <w:rPr>
          <w:noProof/>
        </w:rPr>
        <w:t xml:space="preserve">CMDA </w:t>
      </w:r>
      <w:r>
        <w:rPr>
          <w:noProof/>
        </w:rPr>
        <w:t xml:space="preserve">II.67; </w:t>
      </w:r>
      <w:r w:rsidRPr="00273106">
        <w:rPr>
          <w:noProof/>
        </w:rPr>
        <w:t>232</w:t>
      </w:r>
      <w:r>
        <w:rPr>
          <w:noProof/>
          <w:lang w:val="cs-CZ"/>
        </w:rPr>
        <w:t>.</w:t>
      </w:r>
      <w:r w:rsidRPr="00273106">
        <w:rPr>
          <w:noProof/>
        </w:rPr>
        <w:t>68–233.74</w:t>
      </w:r>
      <w:r>
        <w:rPr>
          <w:noProof/>
        </w:rPr>
        <w:fldChar w:fldCharType="begin"/>
      </w:r>
      <w:r>
        <w:instrText xml:space="preserve"> XE "</w:instrText>
      </w:r>
      <w:r>
        <w:rPr>
          <w:lang w:val="cs-CZ"/>
        </w:rPr>
        <w:instrText>Averroes:</w:instrText>
      </w:r>
      <w:r w:rsidRPr="006533B5">
        <w:rPr>
          <w:noProof/>
        </w:rPr>
        <w:instrText>CMDA</w:instrText>
      </w:r>
      <w:r>
        <w:rPr>
          <w:noProof/>
          <w:lang w:val="cs-CZ"/>
        </w:rPr>
        <w:instrText xml:space="preserve"> </w:instrText>
      </w:r>
      <w:r w:rsidRPr="006533B5">
        <w:rPr>
          <w:noProof/>
        </w:rPr>
        <w:instrText>232</w:instrText>
      </w:r>
      <w:r w:rsidRPr="006533B5">
        <w:rPr>
          <w:noProof/>
          <w:lang w:val="cs-CZ"/>
        </w:rPr>
        <w:instrText>.</w:instrText>
      </w:r>
      <w:r w:rsidRPr="006533B5">
        <w:rPr>
          <w:noProof/>
        </w:rPr>
        <w:instrText>68–233.74</w:instrText>
      </w:r>
      <w:r>
        <w:instrText xml:space="preserve">" </w:instrText>
      </w:r>
      <w:r>
        <w:rPr>
          <w:noProof/>
        </w:rPr>
        <w:fldChar w:fldCharType="end"/>
      </w:r>
      <w:r w:rsidRPr="00273106">
        <w:rPr>
          <w:noProof/>
        </w:rPr>
        <w:t>)</w:t>
      </w:r>
    </w:p>
  </w:footnote>
  <w:footnote w:id="272">
    <w:p w14:paraId="148F0A4A" w14:textId="4705414F" w:rsidR="00344048" w:rsidRPr="0054293B" w:rsidRDefault="00344048" w:rsidP="0054293B">
      <w:pPr>
        <w:pStyle w:val="Textpoznpodarou"/>
      </w:pPr>
      <w:r w:rsidRPr="0054293B">
        <w:rPr>
          <w:rStyle w:val="Znakapoznpodarou"/>
        </w:rPr>
        <w:footnoteRef/>
      </w:r>
      <w:r w:rsidRPr="0054293B">
        <w:t xml:space="preserve"> „...scilicet esse in corpore colorato (et hoc est esse corporale) et esse in diaffono (et hoc est esse spirituale), ita odor habet duplex esse, scilicet esse in corpore odorabili et esse in medio; et illud est esse corporale et hoc spirituale, et illud naturale et hoc extraneum.“ (CMDA II.97; 277.27–33</w:t>
      </w:r>
      <w:r w:rsidRPr="0054293B">
        <w:fldChar w:fldCharType="begin"/>
      </w:r>
      <w:r w:rsidRPr="0054293B">
        <w:instrText xml:space="preserve"> XE "Averroes:CMDA </w:instrText>
      </w:r>
      <w:r>
        <w:instrText>277.2</w:instrText>
      </w:r>
      <w:r>
        <w:rPr>
          <w:lang w:val="cs-CZ"/>
        </w:rPr>
        <w:instrText>7</w:instrText>
      </w:r>
      <w:r>
        <w:instrText>–3</w:instrText>
      </w:r>
      <w:r>
        <w:rPr>
          <w:lang w:val="cs-CZ"/>
        </w:rPr>
        <w:instrText>3</w:instrText>
      </w:r>
      <w:r w:rsidRPr="0054293B">
        <w:instrText xml:space="preserve">" </w:instrText>
      </w:r>
      <w:r w:rsidRPr="0054293B">
        <w:fldChar w:fldCharType="end"/>
      </w:r>
      <w:r w:rsidRPr="0054293B">
        <w:t>)</w:t>
      </w:r>
    </w:p>
    <w:p w14:paraId="4E8A793F" w14:textId="77777777" w:rsidR="00344048" w:rsidRPr="008C4963" w:rsidRDefault="00344048" w:rsidP="007F0EDE">
      <w:pPr>
        <w:pStyle w:val="Textpoznpodarou"/>
        <w:rPr>
          <w:lang w:val="cs-CZ"/>
        </w:rPr>
      </w:pPr>
    </w:p>
  </w:footnote>
  <w:footnote w:id="273">
    <w:p w14:paraId="53E5CAA3" w14:textId="77777777" w:rsidR="00344048" w:rsidRPr="089C19B5" w:rsidRDefault="00344048" w:rsidP="00C13EA5">
      <w:pPr>
        <w:pStyle w:val="Textpoznpodarou"/>
      </w:pPr>
      <w:r>
        <w:rPr>
          <w:rStyle w:val="Znakapoznpodarou"/>
        </w:rPr>
        <w:footnoteRef/>
      </w:r>
      <w:r>
        <w:t xml:space="preserve"> </w:t>
      </w:r>
      <w:r w:rsidRPr="00934C94">
        <w:t>„Et ideo in anima sunt intentiones et comprehensiones, et extra animam non sunt neque intentiones neque comprehensiones, sed res materiales non comprehense  omnino.</w:t>
      </w:r>
      <w:r>
        <w:t>“ (</w:t>
      </w:r>
      <w:r w:rsidRPr="00934C94">
        <w:t>CMDA</w:t>
      </w:r>
      <w:r>
        <w:t xml:space="preserve"> II.121</w:t>
      </w:r>
      <w:r>
        <w:rPr>
          <w:lang w:val="cs-CZ"/>
        </w:rPr>
        <w:t xml:space="preserve">; </w:t>
      </w:r>
      <w:r>
        <w:t>317.17‒20</w:t>
      </w:r>
      <w:r>
        <w:rPr>
          <w:i/>
        </w:rPr>
        <w:fldChar w:fldCharType="begin"/>
      </w:r>
      <w:r>
        <w:instrText xml:space="preserve"> XE "</w:instrText>
      </w:r>
      <w:r>
        <w:rPr>
          <w:lang w:val="cs-CZ"/>
        </w:rPr>
        <w:instrText>Averroes:</w:instrText>
      </w:r>
      <w:r>
        <w:rPr>
          <w:noProof/>
          <w:lang w:val="cs-CZ"/>
        </w:rPr>
        <w:instrText xml:space="preserve">CMDA </w:instrText>
      </w:r>
      <w:r>
        <w:instrText xml:space="preserve">317.17‒20" </w:instrText>
      </w:r>
      <w:r>
        <w:rPr>
          <w:i/>
        </w:rPr>
        <w:fldChar w:fldCharType="end"/>
      </w:r>
      <w:r w:rsidRPr="00934C94">
        <w:t>)</w:t>
      </w:r>
    </w:p>
  </w:footnote>
  <w:footnote w:id="274">
    <w:p w14:paraId="315A40DA" w14:textId="77777777" w:rsidR="00344048" w:rsidRPr="00194B50" w:rsidRDefault="00344048" w:rsidP="00B35CF0">
      <w:pPr>
        <w:pStyle w:val="Textpoznpodarou"/>
      </w:pPr>
      <w:r>
        <w:rPr>
          <w:rStyle w:val="Znakapoznpodarou"/>
        </w:rPr>
        <w:footnoteRef/>
      </w:r>
      <w:r>
        <w:t xml:space="preserve"> </w:t>
      </w:r>
      <w:r w:rsidRPr="00194B50">
        <w:t xml:space="preserve">„First, what are ‘intentions’? According to Avicenna, they exist in the sense-object, e.g. the wolf in the passage from </w:t>
      </w:r>
      <w:r w:rsidRPr="00194B50">
        <w:rPr>
          <w:i/>
          <w:lang w:val="en-US"/>
        </w:rPr>
        <w:t>De anima</w:t>
      </w:r>
      <w:r>
        <w:rPr>
          <w:lang w:val="cs-CZ"/>
        </w:rPr>
        <w:t xml:space="preserve"> </w:t>
      </w:r>
      <w:r>
        <w:t>1</w:t>
      </w:r>
      <w:r>
        <w:rPr>
          <w:lang w:val="cs-CZ"/>
        </w:rPr>
        <w:t>.</w:t>
      </w:r>
      <w:r w:rsidRPr="00194B50">
        <w:t>5 quoted above. This is a crucial point since it distinguishes Avicenna’s doctrine from many other theories on intentions and intentionality: the ‘intention’ is not in the perceiver but in the object.</w:t>
      </w:r>
      <w:r>
        <w:t>“ (Hasse 2000, 130)</w:t>
      </w:r>
    </w:p>
  </w:footnote>
  <w:footnote w:id="275">
    <w:p w14:paraId="4A5C06A0" w14:textId="1BF2755F" w:rsidR="00344048" w:rsidRPr="004438C3" w:rsidRDefault="00344048" w:rsidP="004438C3">
      <w:pPr>
        <w:pStyle w:val="Textpoznpodarou"/>
        <w:rPr>
          <w:lang w:val="cs-CZ"/>
        </w:rPr>
      </w:pPr>
      <w:r>
        <w:rPr>
          <w:rStyle w:val="Znakapoznpodarou"/>
        </w:rPr>
        <w:footnoteRef/>
      </w:r>
      <w:r>
        <w:t xml:space="preserve"> </w:t>
      </w:r>
      <w:r>
        <w:rPr>
          <w:lang w:val="cs-CZ"/>
        </w:rPr>
        <w:t>„</w:t>
      </w:r>
      <w:r>
        <w:rPr>
          <w:rFonts w:eastAsia="MinionPro-Regular"/>
        </w:rPr>
        <w:t xml:space="preserve">Intellectus vero agens ad intellectum potentiae comparatur ac ad intelligibilia, quemadmodum lux solis ad perspicuum et ad colores enim lux quasi de natura perspicui ac ipsius naturalis perfectio, ut </w:t>
      </w:r>
      <w:r>
        <w:rPr>
          <w:rFonts w:eastAsia="MinionPro-Regular"/>
          <w:lang w:val="cs-CZ"/>
        </w:rPr>
        <w:t>Ari</w:t>
      </w:r>
      <w:r>
        <w:rPr>
          <w:rFonts w:eastAsia="MinionPro-Regular"/>
        </w:rPr>
        <w:t>stoteles ait, et similiter color est eius perfectio. Et per excellentiorem modum erit intellectus agens connaturalis perfectio intellectus potentiae</w:t>
      </w:r>
      <w:r>
        <w:rPr>
          <w:rFonts w:eastAsia="MinionPro-Regular"/>
          <w:lang w:val="cs-CZ"/>
        </w:rPr>
        <w:t xml:space="preserve"> </w:t>
      </w:r>
      <w:r>
        <w:rPr>
          <w:rFonts w:eastAsia="MinionPro-Regular"/>
        </w:rPr>
        <w:t>ac intelligibilibus. Itaque quemadmodum</w:t>
      </w:r>
      <w:r>
        <w:rPr>
          <w:rFonts w:eastAsia="MinionPro-Regular"/>
          <w:lang w:val="cs-CZ"/>
        </w:rPr>
        <w:t xml:space="preserve"> </w:t>
      </w:r>
      <w:r>
        <w:rPr>
          <w:rFonts w:eastAsia="MinionPro-Regular"/>
        </w:rPr>
        <w:t>colores non</w:t>
      </w:r>
      <w:r>
        <w:rPr>
          <w:rFonts w:eastAsia="MinionPro-Regular"/>
          <w:lang w:val="cs-CZ"/>
        </w:rPr>
        <w:t xml:space="preserve"> </w:t>
      </w:r>
      <w:r>
        <w:rPr>
          <w:rFonts w:eastAsia="MinionPro-Regular"/>
        </w:rPr>
        <w:t xml:space="preserve">moventur perspicuum nisi actu luminis, ita intelligibilia non movent intellectum potentiae nisi actu intellectus agentis.“ </w:t>
      </w:r>
      <w:r>
        <w:rPr>
          <w:rFonts w:eastAsia="MinionPro-Regular"/>
          <w:lang w:val="cs-CZ"/>
        </w:rPr>
        <w:t>(</w:t>
      </w:r>
      <w:r w:rsidRPr="00767189">
        <w:rPr>
          <w:rFonts w:eastAsia="MinionPro-Regular"/>
          <w:i/>
          <w:lang w:val="cs-CZ"/>
        </w:rPr>
        <w:t>De intellectu</w:t>
      </w:r>
      <w:r>
        <w:rPr>
          <w:rFonts w:eastAsia="MinionPro-Regular"/>
          <w:lang w:val="cs-CZ"/>
        </w:rPr>
        <w:t xml:space="preserve"> II.24; p. 437.1–10, ed. Spruit</w:t>
      </w:r>
      <w:r>
        <w:fldChar w:fldCharType="begin"/>
      </w:r>
      <w:r>
        <w:instrText xml:space="preserve"> XE "</w:instrText>
      </w:r>
      <w:r>
        <w:rPr>
          <w:lang w:val="cs-CZ"/>
        </w:rPr>
        <w:instrText>Nifo, A:</w:instrText>
      </w:r>
      <w:r w:rsidRPr="002C656F">
        <w:rPr>
          <w:i/>
          <w:lang w:val="cs-CZ"/>
        </w:rPr>
        <w:instrText>De Intellectu</w:instrText>
      </w:r>
      <w:r>
        <w:rPr>
          <w:lang w:val="cs-CZ"/>
        </w:rPr>
        <w:instrText xml:space="preserve"> </w:instrText>
      </w:r>
      <w:r>
        <w:rPr>
          <w:rFonts w:eastAsia="MinionPro-Regular"/>
          <w:lang w:val="cs-CZ"/>
        </w:rPr>
        <w:instrText>437.1–10</w:instrText>
      </w:r>
      <w:r>
        <w:instrText xml:space="preserve">" </w:instrText>
      </w:r>
      <w:r>
        <w:fldChar w:fldCharType="end"/>
      </w:r>
      <w:r>
        <w:rPr>
          <w:rFonts w:eastAsia="MinionPro-Regular"/>
          <w:lang w:val="cs-CZ"/>
        </w:rPr>
        <w:t>)</w:t>
      </w:r>
    </w:p>
  </w:footnote>
  <w:footnote w:id="276">
    <w:p w14:paraId="5AA31C46" w14:textId="77777777" w:rsidR="00344048" w:rsidRPr="00E42D81" w:rsidRDefault="00344048" w:rsidP="08E15D48">
      <w:pPr>
        <w:pStyle w:val="Textpoznpodarou"/>
        <w:rPr>
          <w:lang w:val="cs-CZ"/>
        </w:rPr>
      </w:pPr>
      <w:r>
        <w:rPr>
          <w:rStyle w:val="Znakapoznpodarou"/>
        </w:rPr>
        <w:footnoteRef/>
      </w:r>
      <w:r>
        <w:t xml:space="preserve"> </w:t>
      </w:r>
      <w:r>
        <w:rPr>
          <w:lang w:val="cs-CZ"/>
        </w:rPr>
        <w:t>„</w:t>
      </w:r>
      <w:r w:rsidRPr="08664C58">
        <w:t xml:space="preserve">Et par ce moyen vostre esprit sera delivré de toutes ces petites images voltigeants par l'air, nommées des </w:t>
      </w:r>
      <w:r>
        <w:t>espè</w:t>
      </w:r>
      <w:r w:rsidRPr="08664C58">
        <w:t>ces intentionelles, qui travaillent tant l'imagination des Philosophes</w:t>
      </w:r>
      <w:r>
        <w:rPr>
          <w:lang w:val="cs-CZ"/>
        </w:rPr>
        <w:t>.“ (</w:t>
      </w:r>
      <w:r w:rsidRPr="006351BD">
        <w:rPr>
          <w:i/>
          <w:lang w:val="cs-CZ"/>
        </w:rPr>
        <w:t>La Dioptrique</w:t>
      </w:r>
      <w:r>
        <w:rPr>
          <w:i/>
          <w:lang w:val="cs-CZ"/>
        </w:rPr>
        <w:t xml:space="preserve"> </w:t>
      </w:r>
      <w:r w:rsidRPr="006351BD">
        <w:rPr>
          <w:lang w:val="cs-CZ"/>
        </w:rPr>
        <w:t>I</w:t>
      </w:r>
      <w:r>
        <w:rPr>
          <w:lang w:val="cs-CZ"/>
        </w:rPr>
        <w:t>; ed. Tannery 6, 85.24‒27</w:t>
      </w:r>
      <w:r>
        <w:rPr>
          <w:lang w:val="cs-CZ"/>
        </w:rPr>
        <w:fldChar w:fldCharType="begin"/>
      </w:r>
      <w:r>
        <w:instrText xml:space="preserve"> XE "</w:instrText>
      </w:r>
      <w:r>
        <w:rPr>
          <w:lang w:val="cs-CZ"/>
        </w:rPr>
        <w:instrText>Descartes:</w:instrText>
      </w:r>
      <w:r w:rsidRPr="005B3E3C">
        <w:rPr>
          <w:i/>
          <w:lang w:val="cs-CZ"/>
        </w:rPr>
        <w:instrText xml:space="preserve">La Dioptrique </w:instrText>
      </w:r>
      <w:r>
        <w:rPr>
          <w:lang w:val="cs-CZ"/>
        </w:rPr>
        <w:instrText>6.</w:instrText>
      </w:r>
      <w:r w:rsidRPr="005B3E3C">
        <w:rPr>
          <w:lang w:val="cs-CZ"/>
        </w:rPr>
        <w:instrText>85.24‒27</w:instrText>
      </w:r>
      <w:r>
        <w:instrText xml:space="preserve">" </w:instrText>
      </w:r>
      <w:r>
        <w:rPr>
          <w:lang w:val="cs-CZ"/>
        </w:rPr>
        <w:fldChar w:fldCharType="end"/>
      </w:r>
      <w:r>
        <w:rPr>
          <w:lang w:val="cs-CZ"/>
        </w:rPr>
        <w:t>)</w:t>
      </w:r>
    </w:p>
  </w:footnote>
  <w:footnote w:id="277">
    <w:p w14:paraId="3E807D46" w14:textId="77777777" w:rsidR="00344048" w:rsidRPr="00C87E74" w:rsidRDefault="00344048" w:rsidP="085516B1">
      <w:pPr>
        <w:pStyle w:val="Textpoznpodarou"/>
        <w:rPr>
          <w:lang w:val="cs-CZ"/>
        </w:rPr>
      </w:pPr>
      <w:r>
        <w:rPr>
          <w:rStyle w:val="Znakapoznpodarou"/>
        </w:rPr>
        <w:footnoteRef/>
      </w:r>
      <w:r>
        <w:rPr>
          <w:lang w:val="cs-CZ"/>
        </w:rPr>
        <w:t xml:space="preserve"> „</w:t>
      </w:r>
      <w:r w:rsidRPr="00316A30">
        <w:t xml:space="preserve">Il </w:t>
      </w:r>
      <w:r>
        <w:t>[</w:t>
      </w:r>
      <w:r>
        <w:rPr>
          <w:lang w:val="cs-CZ"/>
        </w:rPr>
        <w:t>Descartes</w:t>
      </w:r>
      <w:r>
        <w:t>]</w:t>
      </w:r>
      <w:r>
        <w:rPr>
          <w:lang w:val="cs-CZ"/>
        </w:rPr>
        <w:t xml:space="preserve"> </w:t>
      </w:r>
      <w:r w:rsidRPr="00316A30">
        <w:t xml:space="preserve">sait bien que ces petits êtres voltigeants par l’air, et dont il devrait être tout rempli, que l’école appelle des </w:t>
      </w:r>
      <w:r w:rsidRPr="00316A30">
        <w:rPr>
          <w:rStyle w:val="Zkladntext29ptKurzvadkovn0pt"/>
          <w:rFonts w:ascii="Calibri" w:hAnsi="Calibri"/>
          <w:iCs w:val="0"/>
          <w:color w:val="auto"/>
          <w:spacing w:val="0"/>
          <w:sz w:val="20"/>
          <w:lang w:val="x-none"/>
        </w:rPr>
        <w:t>espèces intentionnelles</w:t>
      </w:r>
      <w:r w:rsidRPr="00316A30">
        <w:rPr>
          <w:rStyle w:val="Zkladntext29ptKurzvadkovn0pt"/>
          <w:rFonts w:ascii="Calibri" w:hAnsi="Calibri"/>
          <w:i w:val="0"/>
          <w:iCs w:val="0"/>
          <w:color w:val="auto"/>
          <w:spacing w:val="0"/>
          <w:sz w:val="20"/>
          <w:lang w:val="x-none"/>
        </w:rPr>
        <w:t>,</w:t>
      </w:r>
      <w:r w:rsidRPr="00316A30">
        <w:t xml:space="preserve"> ne sont que des chimères.</w:t>
      </w:r>
      <w:r>
        <w:rPr>
          <w:lang w:val="cs-CZ"/>
        </w:rPr>
        <w:t xml:space="preserve"> (...) </w:t>
      </w:r>
      <w:r w:rsidRPr="00316A30">
        <w:t xml:space="preserve">Elle </w:t>
      </w:r>
      <w:r>
        <w:t>[</w:t>
      </w:r>
      <w:r>
        <w:rPr>
          <w:lang w:val="cs-CZ"/>
        </w:rPr>
        <w:t>L'</w:t>
      </w:r>
      <w:r w:rsidRPr="000F27D0">
        <w:t xml:space="preserve"> </w:t>
      </w:r>
      <w:r w:rsidRPr="00316A30">
        <w:t>âme</w:t>
      </w:r>
      <w:r>
        <w:t>]</w:t>
      </w:r>
      <w:r>
        <w:rPr>
          <w:lang w:val="cs-CZ"/>
        </w:rPr>
        <w:t xml:space="preserve"> </w:t>
      </w:r>
      <w:r w:rsidRPr="00316A30">
        <w:t>ne a les voit donc point par eux-</w:t>
      </w:r>
      <w:r>
        <w:t>mêmes, et l’objet immédiat de</w:t>
      </w:r>
      <w:r>
        <w:rPr>
          <w:lang w:val="cs-CZ"/>
        </w:rPr>
        <w:t xml:space="preserve"> </w:t>
      </w:r>
      <w:r w:rsidRPr="00316A30">
        <w:t>n</w:t>
      </w:r>
      <w:r>
        <w:t xml:space="preserve">otre esprit, lorsqu’il voit le </w:t>
      </w:r>
      <w:r>
        <w:rPr>
          <w:lang w:val="cs-CZ"/>
        </w:rPr>
        <w:t>S</w:t>
      </w:r>
      <w:r>
        <w:t xml:space="preserve">oleil, par exemple, n’est </w:t>
      </w:r>
      <w:r w:rsidRPr="00316A30">
        <w:t>pas le soleil, mais quelque</w:t>
      </w:r>
      <w:r>
        <w:t xml:space="preserve"> chose qui est intimement uni </w:t>
      </w:r>
      <w:r w:rsidRPr="00316A30">
        <w:t xml:space="preserve">à notre âme, et c’est ce que j’appelle </w:t>
      </w:r>
      <w:r w:rsidRPr="00316A30">
        <w:rPr>
          <w:rStyle w:val="Zkladntext28ptKurzvadkovn-1pt"/>
          <w:rFonts w:ascii="Calibri" w:hAnsi="Calibri" w:cs="Times New Roman"/>
          <w:iCs w:val="0"/>
          <w:color w:val="auto"/>
          <w:spacing w:val="0"/>
          <w:sz w:val="20"/>
          <w:lang w:val="x-none"/>
        </w:rPr>
        <w:t>idée</w:t>
      </w:r>
      <w:r w:rsidRPr="00316A30">
        <w:rPr>
          <w:rStyle w:val="Zkladntext28ptKurzvadkovn-1pt"/>
          <w:rFonts w:ascii="Calibri" w:hAnsi="Calibri" w:cs="Times New Roman"/>
          <w:i w:val="0"/>
          <w:iCs w:val="0"/>
          <w:color w:val="auto"/>
          <w:spacing w:val="0"/>
          <w:sz w:val="20"/>
          <w:lang w:val="x-none"/>
        </w:rPr>
        <w:t>.</w:t>
      </w:r>
      <w:r>
        <w:t xml:space="preserve"> Ainsi, par ce </w:t>
      </w:r>
      <w:r w:rsidRPr="00316A30">
        <w:t xml:space="preserve">mot </w:t>
      </w:r>
      <w:r w:rsidRPr="00316A30">
        <w:rPr>
          <w:rStyle w:val="Zkladntext28ptKurzvadkovn-1pt"/>
          <w:rFonts w:ascii="Calibri" w:hAnsi="Calibri" w:cs="Times New Roman"/>
          <w:iCs w:val="0"/>
          <w:color w:val="auto"/>
          <w:spacing w:val="0"/>
          <w:sz w:val="20"/>
          <w:lang w:val="x-none"/>
        </w:rPr>
        <w:t>idée</w:t>
      </w:r>
      <w:r w:rsidRPr="00316A30">
        <w:rPr>
          <w:rStyle w:val="Zkladntext28ptKurzvadkovn-1pt"/>
          <w:rFonts w:ascii="Calibri" w:hAnsi="Calibri" w:cs="Times New Roman"/>
          <w:i w:val="0"/>
          <w:iCs w:val="0"/>
          <w:color w:val="auto"/>
          <w:spacing w:val="0"/>
          <w:sz w:val="20"/>
          <w:lang w:val="x-none"/>
        </w:rPr>
        <w:t>,</w:t>
      </w:r>
      <w:r w:rsidRPr="00316A30">
        <w:t xml:space="preserve"> je n’entends ici autre</w:t>
      </w:r>
      <w:r>
        <w:t xml:space="preserve"> chose que ce qui est l'objet </w:t>
      </w:r>
      <w:r w:rsidRPr="00316A30">
        <w:t xml:space="preserve">immédiat ou le plus proche </w:t>
      </w:r>
      <w:r>
        <w:t>de l’esprit, quand il aperçoit</w:t>
      </w:r>
      <w:r>
        <w:rPr>
          <w:lang w:val="cs-CZ"/>
        </w:rPr>
        <w:t xml:space="preserve"> </w:t>
      </w:r>
      <w:r w:rsidRPr="00316A30">
        <w:t xml:space="preserve"> quelque chose</w:t>
      </w:r>
      <w:r>
        <w:t>.</w:t>
      </w:r>
      <w:r>
        <w:rPr>
          <w:lang w:val="cs-CZ"/>
        </w:rPr>
        <w:t>“ (</w:t>
      </w:r>
      <w:r w:rsidRPr="00C87E74">
        <w:rPr>
          <w:i/>
          <w:lang w:val="cs-CZ"/>
        </w:rPr>
        <w:t>Des vraies et de fausses ideés</w:t>
      </w:r>
      <w:r>
        <w:rPr>
          <w:lang w:val="cs-CZ"/>
        </w:rPr>
        <w:t xml:space="preserve"> IV; ed. Simon, pp. 46‒47</w:t>
      </w:r>
      <w:r>
        <w:rPr>
          <w:lang w:val="cs-CZ"/>
        </w:rPr>
        <w:fldChar w:fldCharType="begin"/>
      </w:r>
      <w:r>
        <w:instrText xml:space="preserve"> XE "</w:instrText>
      </w:r>
      <w:r>
        <w:rPr>
          <w:lang w:val="cs-CZ"/>
        </w:rPr>
        <w:instrText>Arnauld:</w:instrText>
      </w:r>
      <w:r w:rsidRPr="00FD487B">
        <w:rPr>
          <w:i/>
          <w:lang w:val="cs-CZ"/>
        </w:rPr>
        <w:instrText>Des vraies et de fausses ideés</w:instrText>
      </w:r>
      <w:r>
        <w:rPr>
          <w:lang w:val="cs-CZ"/>
        </w:rPr>
        <w:instrText xml:space="preserve"> </w:instrText>
      </w:r>
      <w:r w:rsidRPr="00FD487B">
        <w:rPr>
          <w:lang w:val="cs-CZ"/>
        </w:rPr>
        <w:instrText>46‒47</w:instrText>
      </w:r>
      <w:r>
        <w:instrText xml:space="preserve">" </w:instrText>
      </w:r>
      <w:r>
        <w:rPr>
          <w:lang w:val="cs-CZ"/>
        </w:rPr>
        <w:fldChar w:fldCharType="end"/>
      </w:r>
      <w:r>
        <w:rPr>
          <w:lang w:val="cs-CZ"/>
        </w:rPr>
        <w:t>)</w:t>
      </w:r>
    </w:p>
  </w:footnote>
  <w:footnote w:id="278">
    <w:p w14:paraId="6252CA15" w14:textId="77777777" w:rsidR="00344048" w:rsidRPr="00312471" w:rsidRDefault="00344048" w:rsidP="00D97C98">
      <w:pPr>
        <w:pStyle w:val="Textpoznpodarou"/>
        <w:rPr>
          <w:lang w:val="cs-CZ"/>
        </w:rPr>
      </w:pPr>
      <w:r>
        <w:rPr>
          <w:rStyle w:val="Znakapoznpodarou"/>
        </w:rPr>
        <w:footnoteRef/>
      </w:r>
      <w:r>
        <w:rPr>
          <w:lang w:val="cs-CZ"/>
        </w:rPr>
        <w:t xml:space="preserve"> „</w:t>
      </w:r>
      <w:bookmarkStart w:id="71" w:name="BOOKIIChapterVIII9"/>
      <w:r>
        <w:t>Take a grain of wheat, divide it into two parts; each part has still solidity, extension, figure, and mobility: divide it again, and it retains still the same qualities; and so divide it on, till the parts become insensible; they must retain still each of them all those qualities. For division (which is all that a mill, or pestle, or any other body, does upon another, in reducing it to insensible parts) can never take away either solidity, extension, figure, or mobility from any body, but only makes two or more distinct separate masses of matter, of that which was but one before</w:t>
      </w:r>
      <w:r>
        <w:rPr>
          <w:lang w:val="cs-CZ"/>
        </w:rPr>
        <w:t>.“</w:t>
      </w:r>
      <w:bookmarkEnd w:id="71"/>
      <w:r>
        <w:rPr>
          <w:lang w:val="cs-CZ"/>
        </w:rPr>
        <w:t xml:space="preserve"> </w:t>
      </w:r>
      <w:r>
        <w:rPr>
          <w:rStyle w:val="st"/>
          <w:lang w:val="cs-CZ"/>
        </w:rPr>
        <w:t>(</w:t>
      </w:r>
      <w:r w:rsidRPr="00110C9A">
        <w:rPr>
          <w:rStyle w:val="st"/>
          <w:i/>
        </w:rPr>
        <w:t xml:space="preserve">An </w:t>
      </w:r>
      <w:r w:rsidRPr="00110C9A">
        <w:rPr>
          <w:rStyle w:val="st"/>
          <w:bCs/>
          <w:i/>
        </w:rPr>
        <w:t>Essay</w:t>
      </w:r>
      <w:r w:rsidRPr="00110C9A">
        <w:rPr>
          <w:rStyle w:val="st"/>
          <w:i/>
        </w:rPr>
        <w:t xml:space="preserve"> Concerning </w:t>
      </w:r>
      <w:r w:rsidRPr="00110C9A">
        <w:rPr>
          <w:rStyle w:val="st"/>
          <w:bCs/>
          <w:i/>
        </w:rPr>
        <w:t>Human Understanding</w:t>
      </w:r>
      <w:r>
        <w:t xml:space="preserve"> </w:t>
      </w:r>
      <w:r>
        <w:rPr>
          <w:lang w:val="cs-CZ"/>
        </w:rPr>
        <w:t>2</w:t>
      </w:r>
      <w:r>
        <w:t>.</w:t>
      </w:r>
      <w:r>
        <w:rPr>
          <w:lang w:val="cs-CZ"/>
        </w:rPr>
        <w:t>8</w:t>
      </w:r>
      <w:r>
        <w:t>.</w:t>
      </w:r>
      <w:r>
        <w:rPr>
          <w:lang w:val="cs-CZ"/>
        </w:rPr>
        <w:t xml:space="preserve">9, ed. </w:t>
      </w:r>
      <w:r w:rsidRPr="004F2888">
        <w:rPr>
          <w:rStyle w:val="CittHTML"/>
          <w:i w:val="0"/>
          <w:iCs w:val="0"/>
        </w:rPr>
        <w:t>Nidditch</w:t>
      </w:r>
      <w:r>
        <w:rPr>
          <w:rStyle w:val="CittHTML"/>
          <w:i w:val="0"/>
          <w:iCs w:val="0"/>
          <w:lang w:val="cs-CZ"/>
        </w:rPr>
        <w:t xml:space="preserve"> </w:t>
      </w:r>
      <w:r>
        <w:rPr>
          <w:rStyle w:val="CittHTML"/>
          <w:rFonts w:cs="Calibri"/>
          <w:i w:val="0"/>
          <w:iCs w:val="0"/>
          <w:lang w:val="cs-CZ"/>
        </w:rPr>
        <w:t xml:space="preserve">&amp; </w:t>
      </w:r>
      <w:r>
        <w:rPr>
          <w:rStyle w:val="CittHTML"/>
          <w:i w:val="0"/>
          <w:iCs w:val="0"/>
        </w:rPr>
        <w:t>Yolton</w:t>
      </w:r>
      <w:r>
        <w:rPr>
          <w:rStyle w:val="CittHTML"/>
          <w:i w:val="0"/>
          <w:iCs w:val="0"/>
          <w:lang w:val="cs-CZ"/>
        </w:rPr>
        <w:t>, p. 177</w:t>
      </w:r>
      <w:r>
        <w:rPr>
          <w:lang w:val="cs-CZ"/>
        </w:rPr>
        <w:fldChar w:fldCharType="begin"/>
      </w:r>
      <w:r>
        <w:instrText xml:space="preserve"> XE "</w:instrText>
      </w:r>
      <w:r w:rsidRPr="000A2036">
        <w:instrText>Locke:</w:instrText>
      </w:r>
      <w:r w:rsidRPr="000E6C98">
        <w:rPr>
          <w:i/>
        </w:rPr>
        <w:instrText>An Essay Concerning Human Understanding</w:instrText>
      </w:r>
      <w:r w:rsidRPr="000A2036">
        <w:instrText xml:space="preserve"> </w:instrText>
      </w:r>
      <w:r>
        <w:rPr>
          <w:lang w:val="cs-CZ"/>
        </w:rPr>
        <w:instrText>177</w:instrText>
      </w:r>
      <w:r>
        <w:instrText xml:space="preserve">" </w:instrText>
      </w:r>
      <w:r>
        <w:rPr>
          <w:lang w:val="cs-CZ"/>
        </w:rPr>
        <w:fldChar w:fldCharType="end"/>
      </w:r>
      <w:r>
        <w:rPr>
          <w:lang w:val="cs-CZ"/>
        </w:rPr>
        <w:t xml:space="preserve">) </w:t>
      </w:r>
    </w:p>
  </w:footnote>
  <w:footnote w:id="279">
    <w:p w14:paraId="5B43A3BA" w14:textId="77777777" w:rsidR="00344048" w:rsidRPr="004A6E96" w:rsidRDefault="00344048" w:rsidP="084079BB">
      <w:pPr>
        <w:pStyle w:val="Textpoznpodarou"/>
      </w:pPr>
      <w:r>
        <w:rPr>
          <w:rStyle w:val="Znakapoznpodarou"/>
        </w:rPr>
        <w:footnoteRef/>
      </w:r>
      <w:r>
        <w:t xml:space="preserve"> „Et ideo non intendit Aristoteles per hunc sermonem quod visus indiget medio necessario, sed declarare quod, cum sensibilia fuerint distincta ab eo, impossibile erit ut sit per vacuum ut existimavit Democritus. Et est sustentatus super hoc, quod sensus indigent medio necessario scilicet, quia sensibilia, cum fuerint posita super eos, non sentient, et quod visus etiam non erit nisi per lucem, et lux non invenitur nisi per medium.“ (CMDA II.74; 243.47‒54</w:t>
      </w:r>
      <w:r>
        <w:fldChar w:fldCharType="begin"/>
      </w:r>
      <w:r>
        <w:instrText xml:space="preserve"> XE "Averro</w:instrText>
      </w:r>
      <w:r>
        <w:rPr>
          <w:lang w:val="cs-CZ"/>
        </w:rPr>
        <w:instrText>e</w:instrText>
      </w:r>
      <w:r>
        <w:instrText>s:</w:instrText>
      </w:r>
      <w:r w:rsidRPr="00E82F8B">
        <w:instrText xml:space="preserve">CMDA </w:instrText>
      </w:r>
      <w:r>
        <w:instrText>2</w:instrText>
      </w:r>
      <w:r w:rsidRPr="00E82F8B">
        <w:instrText>43.47‒54</w:instrText>
      </w:r>
      <w:r>
        <w:instrText xml:space="preserve">" </w:instrText>
      </w:r>
      <w:r>
        <w:fldChar w:fldCharType="end"/>
      </w:r>
      <w:r>
        <w:t>)</w:t>
      </w:r>
    </w:p>
  </w:footnote>
  <w:footnote w:id="280">
    <w:p w14:paraId="4CECEF82" w14:textId="7DF0E41D" w:rsidR="00344048" w:rsidRPr="00A45936" w:rsidRDefault="00344048" w:rsidP="00A21B04">
      <w:pPr>
        <w:pStyle w:val="Textpoznpodarou"/>
        <w:rPr>
          <w:szCs w:val="30"/>
          <w:lang w:val="cs-CZ"/>
        </w:rPr>
      </w:pPr>
      <w:r>
        <w:rPr>
          <w:rStyle w:val="Znakapoznpodarou"/>
        </w:rPr>
        <w:footnoteRef/>
      </w:r>
      <w:r>
        <w:t xml:space="preserve"> </w:t>
      </w:r>
      <w:r>
        <w:rPr>
          <w:szCs w:val="30"/>
          <w:lang w:val="cs-CZ"/>
        </w:rPr>
        <w:t>„</w:t>
      </w:r>
      <w:r w:rsidRPr="00A45936">
        <w:rPr>
          <w:szCs w:val="30"/>
        </w:rPr>
        <w:t>Et quemadmodum diaffonum non movetur a colore neque recipit eum nisi quando lucet, ita iste intellectus non recipit intellecta que sunt</w:t>
      </w:r>
      <w:r>
        <w:rPr>
          <w:szCs w:val="30"/>
        </w:rPr>
        <w:t xml:space="preserve"> hi</w:t>
      </w:r>
      <w:r>
        <w:rPr>
          <w:szCs w:val="30"/>
          <w:lang w:val="cs-CZ"/>
        </w:rPr>
        <w:t>c</w:t>
      </w:r>
      <w:r w:rsidRPr="00A45936">
        <w:rPr>
          <w:szCs w:val="30"/>
        </w:rPr>
        <w:t xml:space="preserve"> nisi secundum q</w:t>
      </w:r>
      <w:r>
        <w:rPr>
          <w:szCs w:val="30"/>
        </w:rPr>
        <w:t>uod perficitur per il</w:t>
      </w:r>
      <w:r>
        <w:rPr>
          <w:szCs w:val="30"/>
          <w:lang w:val="cs-CZ"/>
        </w:rPr>
        <w:t>l</w:t>
      </w:r>
      <w:r w:rsidRPr="00A45936">
        <w:rPr>
          <w:szCs w:val="30"/>
        </w:rPr>
        <w:t>um intellectum et illuminatur per ipsum. Et quemadmodum lux facit colorem in potentia esse in actu ita quod possit movere diaffonum, ita intellectus agens facit intentiones in potentia intellectas in actu ita quod recipit eas intellectus materialis. Secundum hoc igitur est intelligendum de intellectu materiali et agenti.</w:t>
      </w:r>
      <w:r>
        <w:rPr>
          <w:szCs w:val="30"/>
          <w:lang w:val="cs-CZ"/>
        </w:rPr>
        <w:t xml:space="preserve">“ </w:t>
      </w:r>
      <w:r w:rsidRPr="00273106">
        <w:rPr>
          <w:noProof/>
          <w:lang w:val="cs-CZ"/>
        </w:rPr>
        <w:t>(CMDA III.5</w:t>
      </w:r>
      <w:r>
        <w:rPr>
          <w:noProof/>
          <w:lang w:val="cs-CZ"/>
        </w:rPr>
        <w:t xml:space="preserve">; </w:t>
      </w:r>
      <w:r w:rsidRPr="00273106">
        <w:rPr>
          <w:noProof/>
          <w:lang w:val="cs-CZ"/>
        </w:rPr>
        <w:t>411.693–702</w:t>
      </w:r>
      <w:r>
        <w:rPr>
          <w:noProof/>
          <w:lang w:val="cs-CZ"/>
        </w:rPr>
        <w:fldChar w:fldCharType="begin"/>
      </w:r>
      <w:r>
        <w:instrText xml:space="preserve"> XE "</w:instrText>
      </w:r>
      <w:r>
        <w:rPr>
          <w:lang w:val="cs-CZ"/>
        </w:rPr>
        <w:instrText xml:space="preserve">Averroes:CMDA </w:instrText>
      </w:r>
      <w:r w:rsidRPr="001A5DD8">
        <w:rPr>
          <w:noProof/>
          <w:lang w:val="cs-CZ"/>
        </w:rPr>
        <w:instrText>411.693–702</w:instrText>
      </w:r>
      <w:r>
        <w:instrText xml:space="preserve">" </w:instrText>
      </w:r>
      <w:r>
        <w:rPr>
          <w:noProof/>
          <w:lang w:val="cs-CZ"/>
        </w:rPr>
        <w:fldChar w:fldCharType="end"/>
      </w:r>
      <w:r w:rsidRPr="00273106">
        <w:rPr>
          <w:noProof/>
          <w:lang w:val="cs-CZ"/>
        </w:rPr>
        <w:t>)</w:t>
      </w:r>
    </w:p>
  </w:footnote>
  <w:footnote w:id="281">
    <w:p w14:paraId="38AD3F5E" w14:textId="77777777" w:rsidR="00344048" w:rsidRPr="008918E7" w:rsidRDefault="00344048" w:rsidP="008918E7">
      <w:pPr>
        <w:pStyle w:val="Textpoznpodarou"/>
        <w:rPr>
          <w:lang w:val="cs-CZ"/>
        </w:rPr>
      </w:pPr>
      <w:r w:rsidRPr="00AF7F73">
        <w:rPr>
          <w:rStyle w:val="Znakapoznpodarou"/>
        </w:rPr>
        <w:footnoteRef/>
      </w:r>
      <w:r>
        <w:rPr>
          <w:lang w:val="cs-CZ"/>
        </w:rPr>
        <w:t xml:space="preserve"> „</w:t>
      </w:r>
      <w:r w:rsidRPr="0064623C">
        <w:t>R</w:t>
      </w:r>
      <w:r w:rsidRPr="0064623C">
        <w:rPr>
          <w:szCs w:val="22"/>
        </w:rPr>
        <w:t>eine Verstandesbegriffe in Vergleichung mit empirischen (ja überhaupt sinnlichen) Anschauungen ganz ungleichartig und können niemals in irgend einer Anschauung angetroffen werden.“ (</w:t>
      </w:r>
      <w:r w:rsidRPr="0064623C">
        <w:t>KdRV B 176</w:t>
      </w:r>
      <w:r>
        <w:fldChar w:fldCharType="begin"/>
      </w:r>
      <w:r>
        <w:instrText xml:space="preserve"> XE "</w:instrText>
      </w:r>
      <w:r>
        <w:rPr>
          <w:lang w:val="cs-CZ"/>
        </w:rPr>
        <w:instrText>Kant:</w:instrText>
      </w:r>
      <w:r w:rsidRPr="00CA1858">
        <w:instrText>KdRV B 176</w:instrText>
      </w:r>
      <w:r>
        <w:instrText xml:space="preserve">" </w:instrText>
      </w:r>
      <w:r>
        <w:fldChar w:fldCharType="end"/>
      </w:r>
      <w:r w:rsidRPr="0064623C">
        <w:t>).</w:t>
      </w:r>
    </w:p>
  </w:footnote>
  <w:footnote w:id="282">
    <w:p w14:paraId="6964DDA0" w14:textId="77777777" w:rsidR="00344048" w:rsidRPr="00A45D20" w:rsidRDefault="00344048" w:rsidP="00F8385A">
      <w:pPr>
        <w:pStyle w:val="Textpoznpodarou"/>
      </w:pPr>
      <w:r w:rsidRPr="00A45D20">
        <w:rPr>
          <w:rStyle w:val="Znakapoznpodarou"/>
        </w:rPr>
        <w:footnoteRef/>
      </w:r>
      <w:r>
        <w:rPr>
          <w:lang w:val="cs-CZ"/>
        </w:rPr>
        <w:t xml:space="preserve"> </w:t>
      </w:r>
      <w:r w:rsidRPr="00A45D20">
        <w:t xml:space="preserve">„Ausarbeitung der Seinsfrage besagt demnach: Durchsichtigmachen eines Seienden – des fragenden – in seinem Sein. Das Fragen dieser Frage ist als </w:t>
      </w:r>
      <w:r w:rsidRPr="00A45D20">
        <w:rPr>
          <w:i/>
        </w:rPr>
        <w:t>Seins</w:t>
      </w:r>
      <w:r w:rsidRPr="00A45D20">
        <w:t xml:space="preserve">modus eines Seienden selbst von dem her wesenhaft bestimmt, wonach in ihm gefragt ist – vom Sein. Dieses Seiende, das wir selbst je sind und das unter anderem die Seinsmöglichkeit des Fragens hat, fassen wir terminologisch als </w:t>
      </w:r>
      <w:r w:rsidRPr="00A45D20">
        <w:rPr>
          <w:i/>
        </w:rPr>
        <w:t>Dasein</w:t>
      </w:r>
      <w:r w:rsidRPr="00A45D20">
        <w:t xml:space="preserve">.“ </w:t>
      </w:r>
      <w:r>
        <w:rPr>
          <w:lang w:val="cs-CZ"/>
        </w:rPr>
        <w:t>(SZ 7</w:t>
      </w:r>
      <w:r>
        <w:fldChar w:fldCharType="begin"/>
      </w:r>
      <w:r>
        <w:instrText xml:space="preserve"> XE "Heidegger:</w:instrText>
      </w:r>
      <w:r>
        <w:rPr>
          <w:lang w:val="cs-CZ"/>
        </w:rPr>
        <w:instrText>SZ 7</w:instrText>
      </w:r>
      <w:r>
        <w:instrText xml:space="preserve">" </w:instrText>
      </w:r>
      <w:r>
        <w:fldChar w:fldCharType="end"/>
      </w:r>
      <w:r>
        <w:rPr>
          <w:lang w:val="cs-CZ"/>
        </w:rPr>
        <w:t>)</w:t>
      </w:r>
    </w:p>
  </w:footnote>
  <w:footnote w:id="283">
    <w:p w14:paraId="5D973337" w14:textId="77777777" w:rsidR="00344048" w:rsidRPr="00A70AB6" w:rsidRDefault="00344048" w:rsidP="00C57B10">
      <w:pPr>
        <w:pStyle w:val="Textpoznpodarou"/>
        <w:rPr>
          <w:lang w:val="cs-CZ"/>
        </w:rPr>
      </w:pPr>
      <w:r>
        <w:rPr>
          <w:rStyle w:val="Znakapoznpodarou"/>
        </w:rPr>
        <w:footnoteRef/>
      </w:r>
      <w:r>
        <w:t xml:space="preserve"> </w:t>
      </w:r>
      <w:r>
        <w:rPr>
          <w:szCs w:val="30"/>
          <w:lang w:val="cs-CZ"/>
        </w:rPr>
        <w:t>„</w:t>
      </w:r>
      <w:r w:rsidRPr="00A70AB6">
        <w:rPr>
          <w:szCs w:val="30"/>
        </w:rPr>
        <w:t>Nos autem cum posuerimus intellectum materialem esse eternum et intellecta speculativa esse generabilia et corruptibilia eo modo quo diximus, et quod intellectus materialis intelligit utrunque, scilicet formas materiales et formas abstractas, manifestum est quod subiectum intellectorum speculativorum et intellectus agentis secundum hunc modum est idem et unum, scilicet materialis. Et simile huic est diaffonum, quod recipit colorem et lucem insimul; et lux est efficiens colorem.</w:t>
      </w:r>
      <w:r>
        <w:rPr>
          <w:szCs w:val="30"/>
          <w:lang w:val="cs-CZ"/>
        </w:rPr>
        <w:t xml:space="preserve">“ </w:t>
      </w:r>
      <w:r w:rsidRPr="00273106">
        <w:rPr>
          <w:rStyle w:val="TextpoznpodarouChar"/>
          <w:noProof/>
          <w:lang w:val="cs-CZ"/>
        </w:rPr>
        <w:t>(CMDA III.37</w:t>
      </w:r>
      <w:r>
        <w:rPr>
          <w:rStyle w:val="TextpoznpodarouChar"/>
          <w:noProof/>
          <w:lang w:val="cs-CZ"/>
        </w:rPr>
        <w:t>; 499.559–</w:t>
      </w:r>
      <w:r w:rsidRPr="00273106">
        <w:rPr>
          <w:rStyle w:val="TextpoznpodarouChar"/>
          <w:noProof/>
          <w:lang w:val="cs-CZ"/>
        </w:rPr>
        <w:t>66</w:t>
      </w:r>
      <w:r>
        <w:fldChar w:fldCharType="begin"/>
      </w:r>
      <w:r>
        <w:instrText xml:space="preserve"> XE "Averroes</w:instrText>
      </w:r>
      <w:r>
        <w:rPr>
          <w:lang w:val="cs-CZ"/>
        </w:rPr>
        <w:instrText>:</w:instrText>
      </w:r>
      <w:r>
        <w:rPr>
          <w:rStyle w:val="TextpoznpodarouChar"/>
          <w:noProof/>
          <w:lang w:val="cs-CZ"/>
        </w:rPr>
        <w:instrText>CMDA 499.559–</w:instrText>
      </w:r>
      <w:r w:rsidRPr="00273106">
        <w:rPr>
          <w:rStyle w:val="TextpoznpodarouChar"/>
          <w:noProof/>
          <w:lang w:val="cs-CZ"/>
        </w:rPr>
        <w:instrText>66</w:instrText>
      </w:r>
      <w:r>
        <w:instrText xml:space="preserve">" </w:instrText>
      </w:r>
      <w:r>
        <w:fldChar w:fldCharType="end"/>
      </w:r>
      <w:r w:rsidRPr="00273106">
        <w:rPr>
          <w:rStyle w:val="TextpoznpodarouChar"/>
          <w:noProof/>
          <w:lang w:val="cs-CZ"/>
        </w:rPr>
        <w:t>)</w:t>
      </w:r>
    </w:p>
  </w:footnote>
  <w:footnote w:id="284">
    <w:p w14:paraId="0C94BAFF" w14:textId="77777777" w:rsidR="00344048" w:rsidRPr="00FC66FD" w:rsidRDefault="00344048" w:rsidP="084B71A7">
      <w:pPr>
        <w:pStyle w:val="Textpoznpodarou"/>
        <w:rPr>
          <w:lang w:val="cs-CZ"/>
        </w:rPr>
      </w:pPr>
      <w:r>
        <w:rPr>
          <w:rStyle w:val="Znakapoznpodarou"/>
        </w:rPr>
        <w:footnoteRef/>
      </w:r>
      <w:r>
        <w:t xml:space="preserve"> </w:t>
      </w:r>
      <w:r>
        <w:rPr>
          <w:lang w:val="cs-CZ"/>
        </w:rPr>
        <w:t>„</w:t>
      </w:r>
      <w:r w:rsidRPr="00E62E54">
        <w:rPr>
          <w:lang w:val="cs-CZ"/>
        </w:rPr>
        <w:t>We notice a similar result in other varieties of soul, i.e. in insects which have been cut in two; each of the segments possesses bo</w:t>
      </w:r>
      <w:r>
        <w:rPr>
          <w:lang w:val="cs-CZ"/>
        </w:rPr>
        <w:t>th sensation and local movement</w:t>
      </w:r>
      <w:r w:rsidRPr="00E62E54">
        <w:rPr>
          <w:lang w:val="cs-CZ"/>
        </w:rPr>
        <w:t>; and if sensation, necessarily also imagination and appetition</w:t>
      </w:r>
      <w:r>
        <w:rPr>
          <w:lang w:val="cs-CZ"/>
        </w:rPr>
        <w:t xml:space="preserve"> (</w:t>
      </w:r>
      <w:r w:rsidRPr="00FC66FD">
        <w:t>αἴσθησιν, καὶ φαντασίαν καὶ ὄρεξιν</w:t>
      </w:r>
      <w:r>
        <w:rPr>
          <w:lang w:val="cs-CZ"/>
        </w:rPr>
        <w:t>)</w:t>
      </w:r>
      <w:r w:rsidRPr="00E62E54">
        <w:rPr>
          <w:lang w:val="cs-CZ"/>
        </w:rPr>
        <w:t>; for, where there is sensation, there is also pleasure and pain</w:t>
      </w:r>
      <w:r>
        <w:rPr>
          <w:lang w:val="cs-CZ"/>
        </w:rPr>
        <w:t xml:space="preserve"> (</w:t>
      </w:r>
      <w:r>
        <w:t>ὅπου μὲν γὰρ αἴσθησις, καὶ λύπη τε καὶ ἡδονή</w:t>
      </w:r>
      <w:r>
        <w:rPr>
          <w:lang w:val="cs-CZ"/>
        </w:rPr>
        <w:t>)</w:t>
      </w:r>
      <w:r w:rsidRPr="00E62E54">
        <w:rPr>
          <w:lang w:val="cs-CZ"/>
        </w:rPr>
        <w:t>, and, where these, necessarily also desire</w:t>
      </w:r>
      <w:r>
        <w:rPr>
          <w:lang w:val="cs-CZ"/>
        </w:rPr>
        <w:t xml:space="preserve"> (</w:t>
      </w:r>
      <w:r>
        <w:t>ἐξ ἀνάγκης καὶ ἐπιθυμία</w:t>
      </w:r>
      <w:r>
        <w:rPr>
          <w:lang w:val="cs-CZ"/>
        </w:rPr>
        <w:t>)</w:t>
      </w:r>
      <w:r w:rsidRPr="00E62E54">
        <w:rPr>
          <w:lang w:val="cs-CZ"/>
        </w:rPr>
        <w:t>.</w:t>
      </w:r>
      <w:r>
        <w:rPr>
          <w:lang w:val="cs-CZ"/>
        </w:rPr>
        <w:t>“ (</w:t>
      </w:r>
      <w:r w:rsidRPr="00D0576B">
        <w:rPr>
          <w:i/>
          <w:lang w:val="cs-CZ"/>
        </w:rPr>
        <w:t>De anima</w:t>
      </w:r>
      <w:r>
        <w:rPr>
          <w:lang w:val="cs-CZ"/>
        </w:rPr>
        <w:t xml:space="preserve"> II.2, 413b19‒23</w:t>
      </w:r>
      <w:r>
        <w:rPr>
          <w:rStyle w:val="Zkladntext158dkovn0pt"/>
          <w:i/>
          <w:color w:val="auto"/>
          <w:spacing w:val="0"/>
          <w:sz w:val="24"/>
          <w:lang w:val="cs-CZ"/>
        </w:rPr>
        <w:fldChar w:fldCharType="begin"/>
      </w:r>
      <w:r>
        <w:instrText xml:space="preserve"> XE "Aristoteles:</w:instrText>
      </w:r>
      <w:r w:rsidRPr="00FC66FD">
        <w:rPr>
          <w:rStyle w:val="st"/>
          <w:i/>
        </w:rPr>
        <w:instrText>De anima</w:instrText>
      </w:r>
      <w:r>
        <w:rPr>
          <w:rStyle w:val="st"/>
        </w:rPr>
        <w:instrText xml:space="preserve"> </w:instrText>
      </w:r>
      <w:r>
        <w:rPr>
          <w:rStyle w:val="st"/>
          <w:lang w:val="cs-CZ"/>
        </w:rPr>
        <w:instrText>413</w:instrText>
      </w:r>
      <w:r>
        <w:rPr>
          <w:rStyle w:val="st"/>
        </w:rPr>
        <w:instrText>b</w:instrText>
      </w:r>
      <w:r>
        <w:rPr>
          <w:rStyle w:val="st"/>
          <w:lang w:val="cs-CZ"/>
        </w:rPr>
        <w:instrText>19</w:instrText>
      </w:r>
      <w:r>
        <w:rPr>
          <w:rStyle w:val="st"/>
        </w:rPr>
        <w:instrText>‒2</w:instrText>
      </w:r>
      <w:r>
        <w:rPr>
          <w:rStyle w:val="st"/>
          <w:lang w:val="cs-CZ"/>
        </w:rPr>
        <w:instrText>3</w:instrText>
      </w:r>
      <w:r>
        <w:instrText xml:space="preserve">" </w:instrText>
      </w:r>
      <w:r>
        <w:rPr>
          <w:rStyle w:val="Zkladntext158dkovn0pt"/>
          <w:i/>
          <w:color w:val="auto"/>
          <w:spacing w:val="0"/>
          <w:sz w:val="24"/>
          <w:lang w:val="cs-CZ"/>
        </w:rPr>
        <w:fldChar w:fldCharType="end"/>
      </w:r>
      <w:r>
        <w:rPr>
          <w:lang w:val="cs-CZ"/>
        </w:rPr>
        <w:t>, trad. Smith, WA 3)</w:t>
      </w:r>
    </w:p>
  </w:footnote>
  <w:footnote w:id="285">
    <w:p w14:paraId="2AB3373A" w14:textId="77777777" w:rsidR="00344048" w:rsidRPr="08264DE9" w:rsidRDefault="00344048" w:rsidP="00067AB0">
      <w:pPr>
        <w:pStyle w:val="Textpoznpodarou"/>
        <w:rPr>
          <w:lang w:val="cs-CZ"/>
        </w:rPr>
      </w:pPr>
      <w:r>
        <w:rPr>
          <w:rStyle w:val="Znakapoznpodarou"/>
        </w:rPr>
        <w:footnoteRef/>
      </w:r>
      <w:r>
        <w:rPr>
          <w:lang w:val="cs-CZ"/>
        </w:rPr>
        <w:t xml:space="preserve"> „</w:t>
      </w:r>
      <w:r>
        <w:t>There are many areas in which the superior mental powers of normal adult humans make a difference: anticipation, more detailed memory, greater knowledge of what is happening, and so on. These differences explain why a human dying from cancer is likely to suffer more than a mouse. It is the mental anguish which makes the human's position so much harder to bear. Yet these differences do not all point to greater suffering on the part of the normal human being.</w:t>
      </w:r>
      <w:r>
        <w:rPr>
          <w:lang w:val="cs-CZ"/>
        </w:rPr>
        <w:t>“ (Singer 2011  [1979], 52)</w:t>
      </w:r>
    </w:p>
  </w:footnote>
  <w:footnote w:id="286">
    <w:p w14:paraId="7FDFD0A4" w14:textId="77777777" w:rsidR="00344048" w:rsidRPr="009A4BA0" w:rsidRDefault="00344048" w:rsidP="089F6E49">
      <w:pPr>
        <w:pStyle w:val="Textpoznpodarou"/>
      </w:pPr>
      <w:r w:rsidRPr="009A4BA0">
        <w:rPr>
          <w:rStyle w:val="Znakapoznpodarou"/>
        </w:rPr>
        <w:footnoteRef/>
      </w:r>
      <w:r>
        <w:rPr>
          <w:lang w:val="cs-CZ"/>
        </w:rPr>
        <w:t xml:space="preserve"> </w:t>
      </w:r>
      <w:r w:rsidRPr="009A4BA0">
        <w:t>„</w:t>
      </w:r>
      <w:r w:rsidRPr="009A4BA0">
        <w:rPr>
          <w:szCs w:val="21"/>
        </w:rPr>
        <w:t xml:space="preserve">Wie kann nun das Vorgegebensein der Lebenswelt zu einem eigenen und universalen Thema werden? Offenbar nur durch eine </w:t>
      </w:r>
      <w:r w:rsidRPr="009A4BA0">
        <w:rPr>
          <w:i/>
          <w:szCs w:val="21"/>
        </w:rPr>
        <w:t>totale Änderung</w:t>
      </w:r>
      <w:r w:rsidRPr="009A4BA0">
        <w:rPr>
          <w:szCs w:val="21"/>
        </w:rPr>
        <w:t xml:space="preserve"> der alltäglichen Einstellung, eine Änderung, in der wir nicht mehr wie bisher als Menschen des natürlichen Daseins im ständigen Geltungsvollzug der vorgegebenen Welt leben, </w:t>
      </w:r>
      <w:r>
        <w:rPr>
          <w:szCs w:val="21"/>
        </w:rPr>
        <w:t>vielmehr uns dieses Vollzugs stä</w:t>
      </w:r>
      <w:r w:rsidRPr="009A4BA0">
        <w:rPr>
          <w:szCs w:val="21"/>
        </w:rPr>
        <w:t xml:space="preserve">ndig enthalten.“ </w:t>
      </w:r>
      <w:r w:rsidRPr="009A4BA0">
        <w:t>(</w:t>
      </w:r>
      <w:r w:rsidRPr="00F076CD">
        <w:rPr>
          <w:i/>
        </w:rPr>
        <w:t>Krisis der europäischen Wissenschaften</w:t>
      </w:r>
      <w:r w:rsidRPr="009A4BA0">
        <w:t>, § 39; ed. Biemel, Husse</w:t>
      </w:r>
      <w:r>
        <w:t>rliana 6, 151.5‒1</w:t>
      </w:r>
      <w:r>
        <w:rPr>
          <w:lang w:val="cs-CZ"/>
        </w:rPr>
        <w:t>1</w:t>
      </w:r>
      <w:r>
        <w:rPr>
          <w:lang w:val="cs-CZ"/>
        </w:rPr>
        <w:fldChar w:fldCharType="begin"/>
      </w:r>
      <w:r>
        <w:instrText xml:space="preserve"> XE "</w:instrText>
      </w:r>
      <w:r w:rsidRPr="00182969">
        <w:instrText>Husserl:</w:instrText>
      </w:r>
      <w:r w:rsidRPr="00F076CD">
        <w:rPr>
          <w:i/>
        </w:rPr>
        <w:instrText>Krisis der europäischen Wissenschaften</w:instrText>
      </w:r>
      <w:r>
        <w:instrText xml:space="preserve"> </w:instrText>
      </w:r>
      <w:r w:rsidRPr="00182969">
        <w:instrText>151.5‒1</w:instrText>
      </w:r>
      <w:r w:rsidRPr="00182969">
        <w:rPr>
          <w:lang w:val="cs-CZ"/>
        </w:rPr>
        <w:instrText>1</w:instrText>
      </w:r>
      <w:r>
        <w:instrText xml:space="preserve">" </w:instrText>
      </w:r>
      <w:r>
        <w:rPr>
          <w:lang w:val="cs-CZ"/>
        </w:rPr>
        <w:fldChar w:fldCharType="end"/>
      </w:r>
      <w:r w:rsidRPr="009A4BA0">
        <w:t>)</w:t>
      </w:r>
    </w:p>
    <w:p w14:paraId="485431F1" w14:textId="77777777" w:rsidR="00344048" w:rsidRPr="00E448AC" w:rsidRDefault="00344048" w:rsidP="089F6E49">
      <w:pPr>
        <w:pStyle w:val="Textpoznpodarou"/>
        <w:rPr>
          <w:lang w:val="cs-CZ"/>
        </w:rPr>
      </w:pPr>
    </w:p>
  </w:footnote>
  <w:footnote w:id="287">
    <w:p w14:paraId="610CC8E2" w14:textId="77777777" w:rsidR="00344048" w:rsidRPr="002840EF" w:rsidRDefault="00344048" w:rsidP="08C07775">
      <w:pPr>
        <w:pStyle w:val="Textpoznpodarou"/>
        <w:rPr>
          <w:lang w:val="cs-CZ"/>
        </w:rPr>
      </w:pPr>
      <w:r>
        <w:rPr>
          <w:rStyle w:val="Znakapoznpodarou"/>
        </w:rPr>
        <w:footnoteRef/>
      </w:r>
      <w:r>
        <w:t xml:space="preserve"> </w:t>
      </w:r>
      <w:r>
        <w:rPr>
          <w:szCs w:val="30"/>
          <w:lang w:val="cs-CZ"/>
        </w:rPr>
        <w:t>„</w:t>
      </w:r>
      <w:r w:rsidRPr="002840EF">
        <w:rPr>
          <w:szCs w:val="30"/>
        </w:rPr>
        <w:t>Sed illud quod fecit ilium hominem</w:t>
      </w:r>
      <w:r>
        <w:rPr>
          <w:szCs w:val="30"/>
          <w:lang w:val="cs-CZ"/>
        </w:rPr>
        <w:t xml:space="preserve"> </w:t>
      </w:r>
      <w:r w:rsidRPr="002840EF">
        <w:rPr>
          <w:szCs w:val="30"/>
        </w:rPr>
        <w:t>errare, et nos etiam longo tempore, est quia Moderni</w:t>
      </w:r>
      <w:r>
        <w:rPr>
          <w:szCs w:val="30"/>
          <w:lang w:val="cs-CZ"/>
        </w:rPr>
        <w:t xml:space="preserve"> </w:t>
      </w:r>
      <w:r w:rsidRPr="002840EF">
        <w:rPr>
          <w:szCs w:val="30"/>
        </w:rPr>
        <w:t>dimittunt libros Aristotelis et considerant libros expositorum,</w:t>
      </w:r>
      <w:r>
        <w:rPr>
          <w:szCs w:val="30"/>
          <w:lang w:val="cs-CZ"/>
        </w:rPr>
        <w:t xml:space="preserve"> </w:t>
      </w:r>
      <w:r w:rsidRPr="002840EF">
        <w:rPr>
          <w:szCs w:val="30"/>
        </w:rPr>
        <w:t>et maxime in anima, credendo quod iste liber impossible</w:t>
      </w:r>
      <w:r>
        <w:rPr>
          <w:szCs w:val="30"/>
          <w:lang w:val="cs-CZ"/>
        </w:rPr>
        <w:t xml:space="preserve"> </w:t>
      </w:r>
      <w:r w:rsidRPr="002840EF">
        <w:rPr>
          <w:szCs w:val="30"/>
        </w:rPr>
        <w:t>est ut intelligatur. Et h</w:t>
      </w:r>
      <w:r>
        <w:rPr>
          <w:szCs w:val="30"/>
        </w:rPr>
        <w:t xml:space="preserve">oc est propter Avicennam, qui </w:t>
      </w:r>
      <w:r w:rsidRPr="002840EF">
        <w:rPr>
          <w:szCs w:val="30"/>
        </w:rPr>
        <w:t>non imitatus est Aristotelem nisi in Dialectica, sed in aliis</w:t>
      </w:r>
      <w:r>
        <w:rPr>
          <w:szCs w:val="30"/>
          <w:lang w:val="cs-CZ"/>
        </w:rPr>
        <w:t xml:space="preserve"> </w:t>
      </w:r>
      <w:r w:rsidRPr="002840EF">
        <w:rPr>
          <w:szCs w:val="30"/>
        </w:rPr>
        <w:t>erravit, et maxime in Metaphysica; et hoc quia incepit</w:t>
      </w:r>
      <w:r>
        <w:rPr>
          <w:szCs w:val="30"/>
          <w:lang w:val="cs-CZ"/>
        </w:rPr>
        <w:t xml:space="preserve"> </w:t>
      </w:r>
      <w:r w:rsidRPr="002840EF">
        <w:rPr>
          <w:szCs w:val="30"/>
        </w:rPr>
        <w:t>quasi a se</w:t>
      </w:r>
      <w:r>
        <w:rPr>
          <w:szCs w:val="30"/>
          <w:lang w:val="cs-CZ"/>
        </w:rPr>
        <w:t xml:space="preserve">.“ </w:t>
      </w:r>
      <w:r w:rsidRPr="00273106">
        <w:rPr>
          <w:rStyle w:val="Zkladntext1"/>
          <w:rFonts w:ascii="Calibri" w:eastAsia="Times" w:hAnsi="Calibri"/>
          <w:noProof/>
          <w:spacing w:val="0"/>
          <w:sz w:val="21"/>
          <w:u w:val="none"/>
          <w:lang w:val="cs-CZ"/>
        </w:rPr>
        <w:t>(</w:t>
      </w:r>
      <w:r>
        <w:rPr>
          <w:rStyle w:val="TextpoznpodarouChar"/>
          <w:noProof/>
          <w:lang w:val="cs-CZ"/>
        </w:rPr>
        <w:t xml:space="preserve">CMDA III.29; </w:t>
      </w:r>
      <w:r w:rsidRPr="00273106">
        <w:rPr>
          <w:rStyle w:val="TextpoznpodarouChar"/>
          <w:noProof/>
          <w:lang w:val="cs-CZ"/>
        </w:rPr>
        <w:t>470.42–48</w:t>
      </w:r>
      <w:r>
        <w:rPr>
          <w:rStyle w:val="TextpoznpodarouChar"/>
          <w:noProof/>
          <w:lang w:val="cs-CZ"/>
        </w:rPr>
        <w:fldChar w:fldCharType="begin"/>
      </w:r>
      <w:r>
        <w:instrText xml:space="preserve"> XE "</w:instrText>
      </w:r>
      <w:r>
        <w:rPr>
          <w:lang w:val="cs-CZ"/>
        </w:rPr>
        <w:instrText xml:space="preserve">Averroes:CMDA </w:instrText>
      </w:r>
      <w:r w:rsidRPr="00CB1B87">
        <w:rPr>
          <w:rStyle w:val="TextpoznpodarouChar"/>
          <w:noProof/>
          <w:lang w:val="cs-CZ"/>
        </w:rPr>
        <w:instrText>470.42–48</w:instrText>
      </w:r>
      <w:r>
        <w:instrText xml:space="preserve">" </w:instrText>
      </w:r>
      <w:r>
        <w:rPr>
          <w:rStyle w:val="TextpoznpodarouChar"/>
          <w:noProof/>
          <w:lang w:val="cs-CZ"/>
        </w:rPr>
        <w:fldChar w:fldCharType="end"/>
      </w:r>
      <w:r w:rsidRPr="00273106">
        <w:rPr>
          <w:rStyle w:val="Zkladntext1"/>
          <w:rFonts w:ascii="Calibri" w:eastAsia="Times" w:hAnsi="Calibri"/>
          <w:noProof/>
          <w:spacing w:val="0"/>
          <w:sz w:val="21"/>
          <w:u w:val="none"/>
          <w:lang w:val="cs-CZ"/>
        </w:rPr>
        <w:t>)</w:t>
      </w:r>
    </w:p>
  </w:footnote>
  <w:footnote w:id="288">
    <w:p w14:paraId="4EF1AA19" w14:textId="77777777" w:rsidR="00344048" w:rsidRPr="00756D66" w:rsidRDefault="00344048" w:rsidP="009B7217">
      <w:pPr>
        <w:pStyle w:val="Textpoznpodarou"/>
        <w:rPr>
          <w:lang w:val="cs-CZ"/>
        </w:rPr>
      </w:pPr>
      <w:r>
        <w:rPr>
          <w:rStyle w:val="Znakapoznpodarou"/>
        </w:rPr>
        <w:footnoteRef/>
      </w:r>
      <w:r>
        <w:t xml:space="preserve"> </w:t>
      </w:r>
      <w:r>
        <w:rPr>
          <w:lang w:val="cs-CZ"/>
        </w:rPr>
        <w:t>„</w:t>
      </w:r>
      <w:r w:rsidRPr="00756D66">
        <w:t>Sicut enim omnia possibilia pari jure ad existendum tendunt pro ratione realitatis, ita omnia pondera pari jure ad descendendum tendunt pro ratione gravitatis, et ut hic prodit motus, quo continetur quam maximus gravium descendus. Ita illic prodit mundus per quem maxima fit possibilium productio.</w:t>
      </w:r>
      <w:r>
        <w:rPr>
          <w:lang w:val="cs-CZ"/>
        </w:rPr>
        <w:t xml:space="preserve"> </w:t>
      </w:r>
      <w:r w:rsidRPr="009B68A3">
        <w:rPr>
          <w:lang w:val="cs-CZ"/>
        </w:rPr>
        <w:t>Atque ita jam habemus physicam necessitatem ex metaphysica,</w:t>
      </w:r>
      <w:r>
        <w:rPr>
          <w:lang w:val="cs-CZ"/>
        </w:rPr>
        <w:t xml:space="preserve"> </w:t>
      </w:r>
      <w:r w:rsidRPr="009B68A3">
        <w:rPr>
          <w:lang w:val="cs-CZ"/>
        </w:rPr>
        <w:t>etsi enim mundus non sit metaphysice necessarius, ita ut contrarium</w:t>
      </w:r>
      <w:r>
        <w:rPr>
          <w:lang w:val="cs-CZ"/>
        </w:rPr>
        <w:t xml:space="preserve"> </w:t>
      </w:r>
      <w:r w:rsidRPr="009B68A3">
        <w:rPr>
          <w:lang w:val="cs-CZ"/>
        </w:rPr>
        <w:t>implicet contradictionem seu absurditatem logicam, est tamen necessarius</w:t>
      </w:r>
      <w:r>
        <w:rPr>
          <w:lang w:val="cs-CZ"/>
        </w:rPr>
        <w:t xml:space="preserve"> </w:t>
      </w:r>
      <w:r w:rsidRPr="009B68A3">
        <w:rPr>
          <w:lang w:val="cs-CZ"/>
        </w:rPr>
        <w:t>physice vel determinatus ita ut contrarium implicet imperfectionem</w:t>
      </w:r>
      <w:r>
        <w:rPr>
          <w:lang w:val="cs-CZ"/>
        </w:rPr>
        <w:t xml:space="preserve"> </w:t>
      </w:r>
      <w:r w:rsidRPr="009B68A3">
        <w:rPr>
          <w:lang w:val="cs-CZ"/>
        </w:rPr>
        <w:t>seu absurditatem moralem.</w:t>
      </w:r>
      <w:r>
        <w:rPr>
          <w:lang w:val="cs-CZ"/>
        </w:rPr>
        <w:t>“ (</w:t>
      </w:r>
      <w:r w:rsidRPr="00756D66">
        <w:rPr>
          <w:i/>
          <w:lang w:val="cs-CZ"/>
        </w:rPr>
        <w:t>De rerum originatione radicali</w:t>
      </w:r>
      <w:r>
        <w:rPr>
          <w:i/>
          <w:lang w:val="cs-CZ"/>
        </w:rPr>
        <w:t>;</w:t>
      </w:r>
      <w:r>
        <w:rPr>
          <w:lang w:val="cs-CZ"/>
        </w:rPr>
        <w:t xml:space="preserve"> ed. Janet, p. 661</w:t>
      </w:r>
      <w:r>
        <w:rPr>
          <w:lang w:val="cs-CZ"/>
        </w:rPr>
        <w:fldChar w:fldCharType="begin"/>
      </w:r>
      <w:r>
        <w:instrText xml:space="preserve"> XE "</w:instrText>
      </w:r>
      <w:r>
        <w:rPr>
          <w:lang w:val="cs-CZ"/>
        </w:rPr>
        <w:instrText>Leibniz:</w:instrText>
      </w:r>
      <w:r w:rsidRPr="00646AD8">
        <w:rPr>
          <w:i/>
          <w:lang w:val="cs-CZ"/>
        </w:rPr>
        <w:instrText>De rerum originatione radicali</w:instrText>
      </w:r>
      <w:r>
        <w:rPr>
          <w:lang w:val="cs-CZ"/>
        </w:rPr>
        <w:instrText xml:space="preserve"> </w:instrText>
      </w:r>
      <w:r w:rsidRPr="00646AD8">
        <w:rPr>
          <w:lang w:val="cs-CZ"/>
        </w:rPr>
        <w:instrText>661</w:instrText>
      </w:r>
      <w:r>
        <w:instrText xml:space="preserve">" </w:instrText>
      </w:r>
      <w:r>
        <w:rPr>
          <w:lang w:val="cs-CZ"/>
        </w:rPr>
        <w:fldChar w:fldCharType="end"/>
      </w:r>
      <w:r>
        <w:rPr>
          <w:lang w:val="cs-CZ"/>
        </w:rPr>
        <w:t xml:space="preserve">) </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F0B01D42"/>
    <w:lvl w:ilvl="0">
      <w:start w:val="1"/>
      <w:numFmt w:val="bullet"/>
      <w:pStyle w:val="Seznamsodrkami"/>
      <w:lvlText w:val=""/>
      <w:lvlJc w:val="left"/>
      <w:pPr>
        <w:tabs>
          <w:tab w:val="num" w:pos="360"/>
        </w:tabs>
        <w:ind w:left="360" w:hanging="360"/>
      </w:pPr>
      <w:rPr>
        <w:rFonts w:ascii="Symbol" w:hAnsi="Symbol" w:hint="default"/>
      </w:rPr>
    </w:lvl>
  </w:abstractNum>
  <w:abstractNum w:abstractNumId="1">
    <w:nsid w:val="00000001"/>
    <w:multiLevelType w:val="multilevel"/>
    <w:tmpl w:val="00000001"/>
    <w:lvl w:ilvl="0">
      <w:start w:val="1"/>
      <w:numFmt w:val="none"/>
      <w:lvlText w:val=""/>
      <w:lvlJc w:val="left"/>
      <w:pPr>
        <w:tabs>
          <w:tab w:val="num" w:pos="432"/>
        </w:tabs>
      </w:pPr>
    </w:lvl>
    <w:lvl w:ilvl="1">
      <w:start w:val="1"/>
      <w:numFmt w:val="none"/>
      <w:lvlText w:val=""/>
      <w:lvlJc w:val="left"/>
      <w:pPr>
        <w:tabs>
          <w:tab w:val="num" w:pos="576"/>
        </w:tabs>
      </w:pPr>
    </w:lvl>
    <w:lvl w:ilvl="2">
      <w:start w:val="1"/>
      <w:numFmt w:val="none"/>
      <w:lvlText w:val=""/>
      <w:lvlJc w:val="left"/>
      <w:pPr>
        <w:tabs>
          <w:tab w:val="num" w:pos="720"/>
        </w:tabs>
      </w:pPr>
    </w:lvl>
    <w:lvl w:ilvl="3">
      <w:start w:val="1"/>
      <w:numFmt w:val="none"/>
      <w:lvlText w:val=""/>
      <w:lvlJc w:val="left"/>
      <w:pPr>
        <w:tabs>
          <w:tab w:val="num" w:pos="864"/>
        </w:tabs>
      </w:pPr>
    </w:lvl>
    <w:lvl w:ilvl="4">
      <w:start w:val="1"/>
      <w:numFmt w:val="none"/>
      <w:lvlText w:val=""/>
      <w:lvlJc w:val="left"/>
      <w:pPr>
        <w:tabs>
          <w:tab w:val="num" w:pos="1008"/>
        </w:tabs>
      </w:pPr>
    </w:lvl>
    <w:lvl w:ilvl="5">
      <w:start w:val="1"/>
      <w:numFmt w:val="none"/>
      <w:pStyle w:val="Nadpis6"/>
      <w:lvlText w:val=""/>
      <w:lvlJc w:val="left"/>
      <w:pPr>
        <w:tabs>
          <w:tab w:val="num" w:pos="1152"/>
        </w:tabs>
      </w:pPr>
    </w:lvl>
    <w:lvl w:ilvl="6">
      <w:start w:val="1"/>
      <w:numFmt w:val="none"/>
      <w:pStyle w:val="Nadpis7"/>
      <w:lvlText w:val=""/>
      <w:lvlJc w:val="left"/>
      <w:pPr>
        <w:tabs>
          <w:tab w:val="num" w:pos="1296"/>
        </w:tabs>
      </w:pPr>
    </w:lvl>
    <w:lvl w:ilvl="7">
      <w:start w:val="1"/>
      <w:numFmt w:val="none"/>
      <w:pStyle w:val="Nadpis8"/>
      <w:lvlText w:val=""/>
      <w:lvlJc w:val="left"/>
      <w:pPr>
        <w:tabs>
          <w:tab w:val="num" w:pos="1440"/>
        </w:tabs>
      </w:pPr>
    </w:lvl>
    <w:lvl w:ilvl="8">
      <w:start w:val="1"/>
      <w:numFmt w:val="none"/>
      <w:pStyle w:val="Nadpis9"/>
      <w:lvlText w:val=""/>
      <w:lvlJc w:val="left"/>
      <w:pPr>
        <w:tabs>
          <w:tab w:val="num" w:pos="1584"/>
        </w:tabs>
      </w:pPr>
    </w:lvl>
  </w:abstractNum>
  <w:abstractNum w:abstractNumId="2">
    <w:nsid w:val="00000002"/>
    <w:multiLevelType w:val="singleLevel"/>
    <w:tmpl w:val="00000002"/>
    <w:name w:val="WW8Num1"/>
    <w:lvl w:ilvl="0">
      <w:start w:val="1"/>
      <w:numFmt w:val="bullet"/>
      <w:lvlText w:val=""/>
      <w:lvlJc w:val="left"/>
      <w:pPr>
        <w:tabs>
          <w:tab w:val="num" w:pos="360"/>
        </w:tabs>
      </w:pPr>
      <w:rPr>
        <w:rFonts w:ascii="Symbol" w:hAnsi="Symbol"/>
      </w:rPr>
    </w:lvl>
  </w:abstractNum>
  <w:abstractNum w:abstractNumId="3">
    <w:nsid w:val="00000003"/>
    <w:multiLevelType w:val="singleLevel"/>
    <w:tmpl w:val="00000003"/>
    <w:name w:val="WW8Num2"/>
    <w:lvl w:ilvl="0">
      <w:start w:val="1"/>
      <w:numFmt w:val="bullet"/>
      <w:lvlText w:val=""/>
      <w:lvlJc w:val="left"/>
      <w:pPr>
        <w:tabs>
          <w:tab w:val="num" w:pos="720"/>
        </w:tabs>
      </w:pPr>
      <w:rPr>
        <w:rFonts w:ascii="Symbol" w:hAnsi="Symbol"/>
      </w:rPr>
    </w:lvl>
  </w:abstractNum>
  <w:abstractNum w:abstractNumId="4">
    <w:nsid w:val="00000004"/>
    <w:multiLevelType w:val="singleLevel"/>
    <w:tmpl w:val="00000004"/>
    <w:name w:val="WW8Num22"/>
    <w:lvl w:ilvl="0">
      <w:start w:val="1"/>
      <w:numFmt w:val="decimal"/>
      <w:lvlText w:val="%1."/>
      <w:lvlJc w:val="left"/>
      <w:pPr>
        <w:tabs>
          <w:tab w:val="num" w:pos="720"/>
        </w:tabs>
        <w:ind w:left="720" w:hanging="360"/>
      </w:pPr>
    </w:lvl>
  </w:abstractNum>
  <w:abstractNum w:abstractNumId="5">
    <w:nsid w:val="0072427C"/>
    <w:multiLevelType w:val="hybridMultilevel"/>
    <w:tmpl w:val="9A9610E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nsid w:val="07C124BC"/>
    <w:multiLevelType w:val="hybridMultilevel"/>
    <w:tmpl w:val="06DCA41A"/>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nsid w:val="1C4C41ED"/>
    <w:multiLevelType w:val="hybridMultilevel"/>
    <w:tmpl w:val="E22C446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nsid w:val="37E62802"/>
    <w:multiLevelType w:val="hybridMultilevel"/>
    <w:tmpl w:val="08C251D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nsid w:val="432E7B9F"/>
    <w:multiLevelType w:val="hybridMultilevel"/>
    <w:tmpl w:val="8E12F2F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nsid w:val="43CF1A80"/>
    <w:multiLevelType w:val="hybridMultilevel"/>
    <w:tmpl w:val="88E8A21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nsid w:val="45E40F29"/>
    <w:multiLevelType w:val="hybridMultilevel"/>
    <w:tmpl w:val="FC0264A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nsid w:val="5AB22138"/>
    <w:multiLevelType w:val="hybridMultilevel"/>
    <w:tmpl w:val="1430EF1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nsid w:val="6917712D"/>
    <w:multiLevelType w:val="hybridMultilevel"/>
    <w:tmpl w:val="1C5AFFB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nsid w:val="74BC15FA"/>
    <w:multiLevelType w:val="hybridMultilevel"/>
    <w:tmpl w:val="9D56919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7"/>
  </w:num>
  <w:num w:numId="4">
    <w:abstractNumId w:val="9"/>
  </w:num>
  <w:num w:numId="5">
    <w:abstractNumId w:val="11"/>
  </w:num>
  <w:num w:numId="6">
    <w:abstractNumId w:val="6"/>
  </w:num>
  <w:num w:numId="7">
    <w:abstractNumId w:val="14"/>
  </w:num>
  <w:num w:numId="8">
    <w:abstractNumId w:val="8"/>
  </w:num>
  <w:num w:numId="9">
    <w:abstractNumId w:val="5"/>
  </w:num>
  <w:num w:numId="10">
    <w:abstractNumId w:val="10"/>
  </w:num>
  <w:num w:numId="11">
    <w:abstractNumId w:val="12"/>
  </w:num>
  <w:num w:numId="12">
    <w:abstractNumId w:val="13"/>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hideSpellingErrors/>
  <w:activeWritingStyle w:appName="MSWord" w:lang="de-DE" w:vendorID="64" w:dllVersion="131078" w:nlCheck="1" w:checkStyle="0"/>
  <w:activeWritingStyle w:appName="MSWord" w:lang="en-US" w:vendorID="64" w:dllVersion="131078" w:nlCheck="1" w:checkStyle="0"/>
  <w:activeWritingStyle w:appName="MSWord" w:lang="fr-FR" w:vendorID="64" w:dllVersion="131078" w:nlCheck="1" w:checkStyle="1"/>
  <w:activeWritingStyle w:appName="MSWord" w:lang="en-GB" w:vendorID="64" w:dllVersion="131078" w:nlCheck="1" w:checkStyle="0"/>
  <w:activeWritingStyle w:appName="MSWord" w:lang="de-LU" w:vendorID="64" w:dllVersion="131078" w:nlCheck="1" w:checkStyle="0"/>
  <w:stylePaneFormatFilter w:val="1204" w:allStyles="0" w:customStyles="0" w:latentStyles="1" w:stylesInUse="0" w:headingStyles="0" w:numberingStyles="0" w:tableStyles="0" w:directFormattingOnRuns="0" w:directFormattingOnParagraphs="1" w:directFormattingOnNumbering="0" w:directFormattingOnTables="0" w:clearFormatting="1" w:top3HeadingStyles="0" w:visibleStyles="0" w:alternateStyleNames="0"/>
  <w:stylePaneSortMethod w:val="0000"/>
  <w:doNotTrackMoves/>
  <w:defaultTabStop w:val="397"/>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429057"/>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0E2050"/>
    <w:rsid w:val="000000B9"/>
    <w:rsid w:val="000000C6"/>
    <w:rsid w:val="000000DD"/>
    <w:rsid w:val="000000F7"/>
    <w:rsid w:val="00000110"/>
    <w:rsid w:val="00000113"/>
    <w:rsid w:val="00000120"/>
    <w:rsid w:val="00000121"/>
    <w:rsid w:val="00000150"/>
    <w:rsid w:val="000001BC"/>
    <w:rsid w:val="000001D9"/>
    <w:rsid w:val="00000219"/>
    <w:rsid w:val="00000276"/>
    <w:rsid w:val="000002A1"/>
    <w:rsid w:val="000002EA"/>
    <w:rsid w:val="00000344"/>
    <w:rsid w:val="0000037C"/>
    <w:rsid w:val="000003E0"/>
    <w:rsid w:val="000003EF"/>
    <w:rsid w:val="00000410"/>
    <w:rsid w:val="00000415"/>
    <w:rsid w:val="000004BB"/>
    <w:rsid w:val="000004C3"/>
    <w:rsid w:val="00000592"/>
    <w:rsid w:val="000005E3"/>
    <w:rsid w:val="00000611"/>
    <w:rsid w:val="00000616"/>
    <w:rsid w:val="0000065F"/>
    <w:rsid w:val="00000690"/>
    <w:rsid w:val="000006B7"/>
    <w:rsid w:val="000006DE"/>
    <w:rsid w:val="0000077B"/>
    <w:rsid w:val="0000079F"/>
    <w:rsid w:val="000007C9"/>
    <w:rsid w:val="00000843"/>
    <w:rsid w:val="000008A7"/>
    <w:rsid w:val="00000929"/>
    <w:rsid w:val="00000935"/>
    <w:rsid w:val="00000947"/>
    <w:rsid w:val="000009AE"/>
    <w:rsid w:val="000009B2"/>
    <w:rsid w:val="00000A13"/>
    <w:rsid w:val="00000A23"/>
    <w:rsid w:val="00000A4A"/>
    <w:rsid w:val="00000A7C"/>
    <w:rsid w:val="00000A80"/>
    <w:rsid w:val="00000A89"/>
    <w:rsid w:val="00000AD9"/>
    <w:rsid w:val="00000B10"/>
    <w:rsid w:val="00000B1F"/>
    <w:rsid w:val="00000B9B"/>
    <w:rsid w:val="00000BAD"/>
    <w:rsid w:val="00000BDE"/>
    <w:rsid w:val="00000BEF"/>
    <w:rsid w:val="00000BF5"/>
    <w:rsid w:val="00000C71"/>
    <w:rsid w:val="00000CC7"/>
    <w:rsid w:val="00000CCC"/>
    <w:rsid w:val="00000CD5"/>
    <w:rsid w:val="00000D04"/>
    <w:rsid w:val="00000D29"/>
    <w:rsid w:val="00000D3C"/>
    <w:rsid w:val="00000D52"/>
    <w:rsid w:val="00000D68"/>
    <w:rsid w:val="00000D69"/>
    <w:rsid w:val="00000DAA"/>
    <w:rsid w:val="00000E3F"/>
    <w:rsid w:val="00000EAB"/>
    <w:rsid w:val="00000EDF"/>
    <w:rsid w:val="00000F40"/>
    <w:rsid w:val="00000FEA"/>
    <w:rsid w:val="00000FFE"/>
    <w:rsid w:val="0000100B"/>
    <w:rsid w:val="00001034"/>
    <w:rsid w:val="000010BA"/>
    <w:rsid w:val="000010F3"/>
    <w:rsid w:val="00001155"/>
    <w:rsid w:val="00001191"/>
    <w:rsid w:val="000011EE"/>
    <w:rsid w:val="00001240"/>
    <w:rsid w:val="0000128C"/>
    <w:rsid w:val="000012B8"/>
    <w:rsid w:val="000012C1"/>
    <w:rsid w:val="0000131A"/>
    <w:rsid w:val="00001347"/>
    <w:rsid w:val="00001363"/>
    <w:rsid w:val="000013C6"/>
    <w:rsid w:val="000013CE"/>
    <w:rsid w:val="000013EE"/>
    <w:rsid w:val="000013F5"/>
    <w:rsid w:val="0000140E"/>
    <w:rsid w:val="0000141E"/>
    <w:rsid w:val="00001467"/>
    <w:rsid w:val="000014AC"/>
    <w:rsid w:val="000014B7"/>
    <w:rsid w:val="000014BC"/>
    <w:rsid w:val="000014C7"/>
    <w:rsid w:val="0000156A"/>
    <w:rsid w:val="00001570"/>
    <w:rsid w:val="00001573"/>
    <w:rsid w:val="00001581"/>
    <w:rsid w:val="00001584"/>
    <w:rsid w:val="0000158E"/>
    <w:rsid w:val="0000158F"/>
    <w:rsid w:val="000015D6"/>
    <w:rsid w:val="000015F7"/>
    <w:rsid w:val="00001657"/>
    <w:rsid w:val="0000166D"/>
    <w:rsid w:val="000016AA"/>
    <w:rsid w:val="00001744"/>
    <w:rsid w:val="00001762"/>
    <w:rsid w:val="0000178C"/>
    <w:rsid w:val="000017DE"/>
    <w:rsid w:val="00001854"/>
    <w:rsid w:val="00001863"/>
    <w:rsid w:val="00001875"/>
    <w:rsid w:val="0000189C"/>
    <w:rsid w:val="000018B9"/>
    <w:rsid w:val="000018D7"/>
    <w:rsid w:val="000018F2"/>
    <w:rsid w:val="0000195F"/>
    <w:rsid w:val="0000197F"/>
    <w:rsid w:val="00001982"/>
    <w:rsid w:val="000019B0"/>
    <w:rsid w:val="000019B4"/>
    <w:rsid w:val="00001A24"/>
    <w:rsid w:val="00001A97"/>
    <w:rsid w:val="00001AB2"/>
    <w:rsid w:val="00001AB9"/>
    <w:rsid w:val="00001ABE"/>
    <w:rsid w:val="00001B29"/>
    <w:rsid w:val="00001B64"/>
    <w:rsid w:val="00001B9C"/>
    <w:rsid w:val="00001BC4"/>
    <w:rsid w:val="00001BF1"/>
    <w:rsid w:val="00001C62"/>
    <w:rsid w:val="00001C71"/>
    <w:rsid w:val="00001C96"/>
    <w:rsid w:val="00001CF0"/>
    <w:rsid w:val="00001D49"/>
    <w:rsid w:val="00001D74"/>
    <w:rsid w:val="00001D87"/>
    <w:rsid w:val="00001D91"/>
    <w:rsid w:val="00001DEF"/>
    <w:rsid w:val="00001E06"/>
    <w:rsid w:val="00001E72"/>
    <w:rsid w:val="00001E75"/>
    <w:rsid w:val="00001EB3"/>
    <w:rsid w:val="00001EF1"/>
    <w:rsid w:val="00001F49"/>
    <w:rsid w:val="00001F51"/>
    <w:rsid w:val="00001F7E"/>
    <w:rsid w:val="00001FE8"/>
    <w:rsid w:val="00002025"/>
    <w:rsid w:val="00002045"/>
    <w:rsid w:val="0000204B"/>
    <w:rsid w:val="00002079"/>
    <w:rsid w:val="00002082"/>
    <w:rsid w:val="000020A1"/>
    <w:rsid w:val="0000216E"/>
    <w:rsid w:val="00002197"/>
    <w:rsid w:val="000021A9"/>
    <w:rsid w:val="000021B1"/>
    <w:rsid w:val="000021D6"/>
    <w:rsid w:val="00002214"/>
    <w:rsid w:val="000022B5"/>
    <w:rsid w:val="000022CF"/>
    <w:rsid w:val="000022D2"/>
    <w:rsid w:val="000022E5"/>
    <w:rsid w:val="00002361"/>
    <w:rsid w:val="00002369"/>
    <w:rsid w:val="000023DE"/>
    <w:rsid w:val="0000241E"/>
    <w:rsid w:val="00002441"/>
    <w:rsid w:val="00002495"/>
    <w:rsid w:val="000024BD"/>
    <w:rsid w:val="0000252C"/>
    <w:rsid w:val="00002546"/>
    <w:rsid w:val="0000256F"/>
    <w:rsid w:val="00002576"/>
    <w:rsid w:val="00002586"/>
    <w:rsid w:val="00002592"/>
    <w:rsid w:val="000025F6"/>
    <w:rsid w:val="000025FF"/>
    <w:rsid w:val="00002624"/>
    <w:rsid w:val="000026D7"/>
    <w:rsid w:val="00002731"/>
    <w:rsid w:val="00002732"/>
    <w:rsid w:val="0000275E"/>
    <w:rsid w:val="000028B5"/>
    <w:rsid w:val="000028CB"/>
    <w:rsid w:val="000028E6"/>
    <w:rsid w:val="00002909"/>
    <w:rsid w:val="00002993"/>
    <w:rsid w:val="00002A0A"/>
    <w:rsid w:val="00002A17"/>
    <w:rsid w:val="00002A6F"/>
    <w:rsid w:val="00002A70"/>
    <w:rsid w:val="00002AB2"/>
    <w:rsid w:val="00002AB5"/>
    <w:rsid w:val="00002AD1"/>
    <w:rsid w:val="00002ADF"/>
    <w:rsid w:val="00002B16"/>
    <w:rsid w:val="00002B1C"/>
    <w:rsid w:val="00002B8E"/>
    <w:rsid w:val="00002B9C"/>
    <w:rsid w:val="00002BD9"/>
    <w:rsid w:val="00002C33"/>
    <w:rsid w:val="00002C38"/>
    <w:rsid w:val="00002C45"/>
    <w:rsid w:val="00002C64"/>
    <w:rsid w:val="00002C84"/>
    <w:rsid w:val="00002C8A"/>
    <w:rsid w:val="00002CE5"/>
    <w:rsid w:val="00002CEE"/>
    <w:rsid w:val="00002D1D"/>
    <w:rsid w:val="00002D24"/>
    <w:rsid w:val="00002D2A"/>
    <w:rsid w:val="00002DA5"/>
    <w:rsid w:val="00002DDE"/>
    <w:rsid w:val="00002E95"/>
    <w:rsid w:val="00002EC7"/>
    <w:rsid w:val="00002F39"/>
    <w:rsid w:val="00002F57"/>
    <w:rsid w:val="00002F5E"/>
    <w:rsid w:val="00002FAF"/>
    <w:rsid w:val="00002FBA"/>
    <w:rsid w:val="00003038"/>
    <w:rsid w:val="00003065"/>
    <w:rsid w:val="000030AA"/>
    <w:rsid w:val="000030C3"/>
    <w:rsid w:val="000030D5"/>
    <w:rsid w:val="000030E7"/>
    <w:rsid w:val="00003105"/>
    <w:rsid w:val="00003173"/>
    <w:rsid w:val="00003188"/>
    <w:rsid w:val="000031BF"/>
    <w:rsid w:val="000031CF"/>
    <w:rsid w:val="000031DB"/>
    <w:rsid w:val="0000328D"/>
    <w:rsid w:val="0000329F"/>
    <w:rsid w:val="0000331C"/>
    <w:rsid w:val="0000340A"/>
    <w:rsid w:val="0000342D"/>
    <w:rsid w:val="00003481"/>
    <w:rsid w:val="000034AB"/>
    <w:rsid w:val="000034E5"/>
    <w:rsid w:val="000034FF"/>
    <w:rsid w:val="0000351F"/>
    <w:rsid w:val="00003570"/>
    <w:rsid w:val="000035D4"/>
    <w:rsid w:val="000035E8"/>
    <w:rsid w:val="000035EA"/>
    <w:rsid w:val="00003614"/>
    <w:rsid w:val="0000362C"/>
    <w:rsid w:val="00003697"/>
    <w:rsid w:val="000036A5"/>
    <w:rsid w:val="0000374F"/>
    <w:rsid w:val="000037C2"/>
    <w:rsid w:val="000037D4"/>
    <w:rsid w:val="000037D6"/>
    <w:rsid w:val="000037DE"/>
    <w:rsid w:val="00003829"/>
    <w:rsid w:val="0000383E"/>
    <w:rsid w:val="00003855"/>
    <w:rsid w:val="00003861"/>
    <w:rsid w:val="00003868"/>
    <w:rsid w:val="000038BB"/>
    <w:rsid w:val="000038D3"/>
    <w:rsid w:val="0000399C"/>
    <w:rsid w:val="000039A4"/>
    <w:rsid w:val="000039CC"/>
    <w:rsid w:val="000039D9"/>
    <w:rsid w:val="000039FB"/>
    <w:rsid w:val="000039FC"/>
    <w:rsid w:val="00003A4E"/>
    <w:rsid w:val="00003A82"/>
    <w:rsid w:val="00003AD9"/>
    <w:rsid w:val="00003AF7"/>
    <w:rsid w:val="00003B1A"/>
    <w:rsid w:val="00003B92"/>
    <w:rsid w:val="00003BDA"/>
    <w:rsid w:val="00003C54"/>
    <w:rsid w:val="00003CBB"/>
    <w:rsid w:val="00003CBD"/>
    <w:rsid w:val="00003CD9"/>
    <w:rsid w:val="00003CE3"/>
    <w:rsid w:val="00003D13"/>
    <w:rsid w:val="00003DC0"/>
    <w:rsid w:val="00003DDB"/>
    <w:rsid w:val="00003DDF"/>
    <w:rsid w:val="00003E39"/>
    <w:rsid w:val="00003EA7"/>
    <w:rsid w:val="00003EC6"/>
    <w:rsid w:val="00003ED0"/>
    <w:rsid w:val="00003F6F"/>
    <w:rsid w:val="00003F72"/>
    <w:rsid w:val="00003FD5"/>
    <w:rsid w:val="00003FE5"/>
    <w:rsid w:val="00003FE8"/>
    <w:rsid w:val="00004089"/>
    <w:rsid w:val="000040AA"/>
    <w:rsid w:val="000040F5"/>
    <w:rsid w:val="00004100"/>
    <w:rsid w:val="00004139"/>
    <w:rsid w:val="0000418C"/>
    <w:rsid w:val="000041B0"/>
    <w:rsid w:val="000041F3"/>
    <w:rsid w:val="00004217"/>
    <w:rsid w:val="00004231"/>
    <w:rsid w:val="00004292"/>
    <w:rsid w:val="00004294"/>
    <w:rsid w:val="000042A9"/>
    <w:rsid w:val="000042B2"/>
    <w:rsid w:val="00004312"/>
    <w:rsid w:val="00004370"/>
    <w:rsid w:val="000043B0"/>
    <w:rsid w:val="000043CD"/>
    <w:rsid w:val="00004420"/>
    <w:rsid w:val="000044EB"/>
    <w:rsid w:val="00004540"/>
    <w:rsid w:val="0000458E"/>
    <w:rsid w:val="000045D1"/>
    <w:rsid w:val="000045EA"/>
    <w:rsid w:val="000045F2"/>
    <w:rsid w:val="0000463B"/>
    <w:rsid w:val="0000463C"/>
    <w:rsid w:val="0000466D"/>
    <w:rsid w:val="0000468A"/>
    <w:rsid w:val="000046BA"/>
    <w:rsid w:val="000046CC"/>
    <w:rsid w:val="000046F8"/>
    <w:rsid w:val="00004772"/>
    <w:rsid w:val="000047BF"/>
    <w:rsid w:val="000047F5"/>
    <w:rsid w:val="00004820"/>
    <w:rsid w:val="000048BD"/>
    <w:rsid w:val="000048D8"/>
    <w:rsid w:val="000048DB"/>
    <w:rsid w:val="000048EC"/>
    <w:rsid w:val="00004915"/>
    <w:rsid w:val="0000496C"/>
    <w:rsid w:val="00004973"/>
    <w:rsid w:val="000049C9"/>
    <w:rsid w:val="000049DC"/>
    <w:rsid w:val="000049E8"/>
    <w:rsid w:val="00004A5A"/>
    <w:rsid w:val="00004A71"/>
    <w:rsid w:val="00004A9D"/>
    <w:rsid w:val="00004A9F"/>
    <w:rsid w:val="00004AAE"/>
    <w:rsid w:val="00004AB8"/>
    <w:rsid w:val="00004ABD"/>
    <w:rsid w:val="00004AE6"/>
    <w:rsid w:val="00004AEC"/>
    <w:rsid w:val="00004B07"/>
    <w:rsid w:val="00004B2E"/>
    <w:rsid w:val="00004B69"/>
    <w:rsid w:val="00004BC2"/>
    <w:rsid w:val="00004C49"/>
    <w:rsid w:val="00004CB6"/>
    <w:rsid w:val="00004D13"/>
    <w:rsid w:val="00004D2E"/>
    <w:rsid w:val="00004DA9"/>
    <w:rsid w:val="00004DE7"/>
    <w:rsid w:val="00004DEE"/>
    <w:rsid w:val="00004DF8"/>
    <w:rsid w:val="00004E4E"/>
    <w:rsid w:val="00004E67"/>
    <w:rsid w:val="00004EA0"/>
    <w:rsid w:val="00004F25"/>
    <w:rsid w:val="00004F35"/>
    <w:rsid w:val="00004F42"/>
    <w:rsid w:val="00004F81"/>
    <w:rsid w:val="00004FAE"/>
    <w:rsid w:val="00004FBE"/>
    <w:rsid w:val="00004FDB"/>
    <w:rsid w:val="00004FF2"/>
    <w:rsid w:val="00004FF6"/>
    <w:rsid w:val="00004FFF"/>
    <w:rsid w:val="00005083"/>
    <w:rsid w:val="00005209"/>
    <w:rsid w:val="0000527C"/>
    <w:rsid w:val="000052C6"/>
    <w:rsid w:val="00005317"/>
    <w:rsid w:val="000053D2"/>
    <w:rsid w:val="000053EA"/>
    <w:rsid w:val="00005455"/>
    <w:rsid w:val="00005459"/>
    <w:rsid w:val="000054B1"/>
    <w:rsid w:val="000054B5"/>
    <w:rsid w:val="000054D0"/>
    <w:rsid w:val="0000553B"/>
    <w:rsid w:val="0000555E"/>
    <w:rsid w:val="00005565"/>
    <w:rsid w:val="00005580"/>
    <w:rsid w:val="00005591"/>
    <w:rsid w:val="0000559A"/>
    <w:rsid w:val="000055E2"/>
    <w:rsid w:val="00005638"/>
    <w:rsid w:val="00005639"/>
    <w:rsid w:val="0000565D"/>
    <w:rsid w:val="000056C3"/>
    <w:rsid w:val="000056D1"/>
    <w:rsid w:val="00005708"/>
    <w:rsid w:val="00005751"/>
    <w:rsid w:val="00005755"/>
    <w:rsid w:val="0000576E"/>
    <w:rsid w:val="0000578A"/>
    <w:rsid w:val="00005819"/>
    <w:rsid w:val="00005828"/>
    <w:rsid w:val="000058CB"/>
    <w:rsid w:val="00005937"/>
    <w:rsid w:val="0000594E"/>
    <w:rsid w:val="0000594F"/>
    <w:rsid w:val="00005972"/>
    <w:rsid w:val="0000598E"/>
    <w:rsid w:val="000059B1"/>
    <w:rsid w:val="000059D3"/>
    <w:rsid w:val="000059E1"/>
    <w:rsid w:val="00005A31"/>
    <w:rsid w:val="00005A3D"/>
    <w:rsid w:val="00005A8E"/>
    <w:rsid w:val="00005AB2"/>
    <w:rsid w:val="00005AB9"/>
    <w:rsid w:val="00005AC5"/>
    <w:rsid w:val="00005AEA"/>
    <w:rsid w:val="00005B1E"/>
    <w:rsid w:val="00005B28"/>
    <w:rsid w:val="00005B37"/>
    <w:rsid w:val="00005B6C"/>
    <w:rsid w:val="00005B75"/>
    <w:rsid w:val="00005B8E"/>
    <w:rsid w:val="00005BA3"/>
    <w:rsid w:val="00005BDD"/>
    <w:rsid w:val="00005BE7"/>
    <w:rsid w:val="00005C01"/>
    <w:rsid w:val="00005C57"/>
    <w:rsid w:val="00005C81"/>
    <w:rsid w:val="00005CB0"/>
    <w:rsid w:val="00005CC8"/>
    <w:rsid w:val="00005D0D"/>
    <w:rsid w:val="00005D15"/>
    <w:rsid w:val="00005D2D"/>
    <w:rsid w:val="00005D30"/>
    <w:rsid w:val="00005E01"/>
    <w:rsid w:val="00005E52"/>
    <w:rsid w:val="00005E66"/>
    <w:rsid w:val="00005E73"/>
    <w:rsid w:val="00005EB6"/>
    <w:rsid w:val="00005F23"/>
    <w:rsid w:val="00005F78"/>
    <w:rsid w:val="00005FAD"/>
    <w:rsid w:val="00005FD6"/>
    <w:rsid w:val="00005FE1"/>
    <w:rsid w:val="00006056"/>
    <w:rsid w:val="00006058"/>
    <w:rsid w:val="0000605D"/>
    <w:rsid w:val="0000609B"/>
    <w:rsid w:val="00006152"/>
    <w:rsid w:val="00006174"/>
    <w:rsid w:val="000061EA"/>
    <w:rsid w:val="00006236"/>
    <w:rsid w:val="000062C9"/>
    <w:rsid w:val="000062E3"/>
    <w:rsid w:val="00006322"/>
    <w:rsid w:val="00006358"/>
    <w:rsid w:val="00006370"/>
    <w:rsid w:val="00006373"/>
    <w:rsid w:val="000063E8"/>
    <w:rsid w:val="00006406"/>
    <w:rsid w:val="00006486"/>
    <w:rsid w:val="000064F6"/>
    <w:rsid w:val="000064FB"/>
    <w:rsid w:val="0000657D"/>
    <w:rsid w:val="00006582"/>
    <w:rsid w:val="000065A2"/>
    <w:rsid w:val="00006643"/>
    <w:rsid w:val="00006652"/>
    <w:rsid w:val="00006668"/>
    <w:rsid w:val="00006674"/>
    <w:rsid w:val="000066B2"/>
    <w:rsid w:val="000066C8"/>
    <w:rsid w:val="000066F1"/>
    <w:rsid w:val="0000672F"/>
    <w:rsid w:val="00006730"/>
    <w:rsid w:val="00006776"/>
    <w:rsid w:val="0000677F"/>
    <w:rsid w:val="000067E9"/>
    <w:rsid w:val="000067FA"/>
    <w:rsid w:val="00006808"/>
    <w:rsid w:val="00006832"/>
    <w:rsid w:val="0000683C"/>
    <w:rsid w:val="0000685B"/>
    <w:rsid w:val="0000685F"/>
    <w:rsid w:val="000068E0"/>
    <w:rsid w:val="000068F0"/>
    <w:rsid w:val="00006917"/>
    <w:rsid w:val="0000691F"/>
    <w:rsid w:val="000069BD"/>
    <w:rsid w:val="000069C1"/>
    <w:rsid w:val="000069EF"/>
    <w:rsid w:val="00006A24"/>
    <w:rsid w:val="00006A3C"/>
    <w:rsid w:val="00006A5C"/>
    <w:rsid w:val="00006A70"/>
    <w:rsid w:val="00006A7C"/>
    <w:rsid w:val="00006AC7"/>
    <w:rsid w:val="00006AD8"/>
    <w:rsid w:val="00006AE2"/>
    <w:rsid w:val="00006B0B"/>
    <w:rsid w:val="00006B3A"/>
    <w:rsid w:val="00006B3C"/>
    <w:rsid w:val="00006BDF"/>
    <w:rsid w:val="00006BF6"/>
    <w:rsid w:val="00006C61"/>
    <w:rsid w:val="00006C71"/>
    <w:rsid w:val="00006C98"/>
    <w:rsid w:val="00006CBB"/>
    <w:rsid w:val="00006CD1"/>
    <w:rsid w:val="00006D67"/>
    <w:rsid w:val="00006D76"/>
    <w:rsid w:val="00006DA5"/>
    <w:rsid w:val="00006DAF"/>
    <w:rsid w:val="00006DB6"/>
    <w:rsid w:val="00006E10"/>
    <w:rsid w:val="00006E2D"/>
    <w:rsid w:val="00006E89"/>
    <w:rsid w:val="00006EC2"/>
    <w:rsid w:val="00006EED"/>
    <w:rsid w:val="00006F3A"/>
    <w:rsid w:val="00006F5B"/>
    <w:rsid w:val="00006F7D"/>
    <w:rsid w:val="00006FB5"/>
    <w:rsid w:val="00007003"/>
    <w:rsid w:val="00007018"/>
    <w:rsid w:val="00007045"/>
    <w:rsid w:val="00007058"/>
    <w:rsid w:val="0000707B"/>
    <w:rsid w:val="000070BE"/>
    <w:rsid w:val="000070D8"/>
    <w:rsid w:val="000070ED"/>
    <w:rsid w:val="000070F1"/>
    <w:rsid w:val="0000713A"/>
    <w:rsid w:val="000071A4"/>
    <w:rsid w:val="000071CB"/>
    <w:rsid w:val="000071D5"/>
    <w:rsid w:val="000071FA"/>
    <w:rsid w:val="00007218"/>
    <w:rsid w:val="00007244"/>
    <w:rsid w:val="000072B9"/>
    <w:rsid w:val="000072BA"/>
    <w:rsid w:val="000072E0"/>
    <w:rsid w:val="0000730F"/>
    <w:rsid w:val="00007311"/>
    <w:rsid w:val="00007338"/>
    <w:rsid w:val="0000733E"/>
    <w:rsid w:val="0000734A"/>
    <w:rsid w:val="00007369"/>
    <w:rsid w:val="000073D4"/>
    <w:rsid w:val="000073E7"/>
    <w:rsid w:val="000073EE"/>
    <w:rsid w:val="000073FE"/>
    <w:rsid w:val="00007408"/>
    <w:rsid w:val="0000740C"/>
    <w:rsid w:val="00007410"/>
    <w:rsid w:val="00007527"/>
    <w:rsid w:val="00007537"/>
    <w:rsid w:val="00007552"/>
    <w:rsid w:val="0000755F"/>
    <w:rsid w:val="0000758A"/>
    <w:rsid w:val="000075C5"/>
    <w:rsid w:val="000075EB"/>
    <w:rsid w:val="00007699"/>
    <w:rsid w:val="000076DD"/>
    <w:rsid w:val="000076E2"/>
    <w:rsid w:val="00007702"/>
    <w:rsid w:val="00007725"/>
    <w:rsid w:val="00007796"/>
    <w:rsid w:val="000077F4"/>
    <w:rsid w:val="00007886"/>
    <w:rsid w:val="000078A9"/>
    <w:rsid w:val="00007936"/>
    <w:rsid w:val="00007964"/>
    <w:rsid w:val="0000797E"/>
    <w:rsid w:val="00007989"/>
    <w:rsid w:val="000079A7"/>
    <w:rsid w:val="000079A9"/>
    <w:rsid w:val="000079B3"/>
    <w:rsid w:val="000079E6"/>
    <w:rsid w:val="00007A42"/>
    <w:rsid w:val="00007A82"/>
    <w:rsid w:val="00007ADF"/>
    <w:rsid w:val="00007B31"/>
    <w:rsid w:val="00007B6D"/>
    <w:rsid w:val="00007BAA"/>
    <w:rsid w:val="00007BE1"/>
    <w:rsid w:val="00007C46"/>
    <w:rsid w:val="00007C85"/>
    <w:rsid w:val="00007CD1"/>
    <w:rsid w:val="00007D29"/>
    <w:rsid w:val="00007D38"/>
    <w:rsid w:val="00007D93"/>
    <w:rsid w:val="00007DAE"/>
    <w:rsid w:val="00007DC5"/>
    <w:rsid w:val="00007DC7"/>
    <w:rsid w:val="00007DE6"/>
    <w:rsid w:val="00007DF9"/>
    <w:rsid w:val="00007E27"/>
    <w:rsid w:val="00007E93"/>
    <w:rsid w:val="00007EA9"/>
    <w:rsid w:val="00007F25"/>
    <w:rsid w:val="00007FCF"/>
    <w:rsid w:val="00007FD2"/>
    <w:rsid w:val="00010098"/>
    <w:rsid w:val="000100ED"/>
    <w:rsid w:val="000100F7"/>
    <w:rsid w:val="0001018B"/>
    <w:rsid w:val="000101E4"/>
    <w:rsid w:val="00010334"/>
    <w:rsid w:val="0001037A"/>
    <w:rsid w:val="0001038C"/>
    <w:rsid w:val="000103C1"/>
    <w:rsid w:val="0001043E"/>
    <w:rsid w:val="0001048A"/>
    <w:rsid w:val="000104A9"/>
    <w:rsid w:val="000104CD"/>
    <w:rsid w:val="000104F1"/>
    <w:rsid w:val="00010512"/>
    <w:rsid w:val="00010557"/>
    <w:rsid w:val="0001055C"/>
    <w:rsid w:val="00010565"/>
    <w:rsid w:val="00010578"/>
    <w:rsid w:val="0001059D"/>
    <w:rsid w:val="000105BF"/>
    <w:rsid w:val="000105DC"/>
    <w:rsid w:val="000105E9"/>
    <w:rsid w:val="000105EA"/>
    <w:rsid w:val="00010625"/>
    <w:rsid w:val="0001062E"/>
    <w:rsid w:val="0001066E"/>
    <w:rsid w:val="00010783"/>
    <w:rsid w:val="000107C4"/>
    <w:rsid w:val="000107D5"/>
    <w:rsid w:val="00010825"/>
    <w:rsid w:val="00010857"/>
    <w:rsid w:val="000108FC"/>
    <w:rsid w:val="00010921"/>
    <w:rsid w:val="0001097D"/>
    <w:rsid w:val="00010985"/>
    <w:rsid w:val="00010A2D"/>
    <w:rsid w:val="00010A5B"/>
    <w:rsid w:val="00010AB6"/>
    <w:rsid w:val="00010ACD"/>
    <w:rsid w:val="00010B19"/>
    <w:rsid w:val="00010B78"/>
    <w:rsid w:val="00010BAE"/>
    <w:rsid w:val="00010BB5"/>
    <w:rsid w:val="00010BBE"/>
    <w:rsid w:val="00010BC2"/>
    <w:rsid w:val="00010BC9"/>
    <w:rsid w:val="00010BDB"/>
    <w:rsid w:val="00010BFB"/>
    <w:rsid w:val="00010C41"/>
    <w:rsid w:val="00010C42"/>
    <w:rsid w:val="00010C5B"/>
    <w:rsid w:val="00010C89"/>
    <w:rsid w:val="00010C8E"/>
    <w:rsid w:val="00010CB5"/>
    <w:rsid w:val="00010CBB"/>
    <w:rsid w:val="00010CFB"/>
    <w:rsid w:val="00010DA2"/>
    <w:rsid w:val="00010DB8"/>
    <w:rsid w:val="00010DD3"/>
    <w:rsid w:val="00010E15"/>
    <w:rsid w:val="00010E23"/>
    <w:rsid w:val="00010E36"/>
    <w:rsid w:val="00010E5C"/>
    <w:rsid w:val="00010E86"/>
    <w:rsid w:val="00010E94"/>
    <w:rsid w:val="00010EF4"/>
    <w:rsid w:val="00010EFF"/>
    <w:rsid w:val="00010F41"/>
    <w:rsid w:val="00010F82"/>
    <w:rsid w:val="00010FE4"/>
    <w:rsid w:val="00011010"/>
    <w:rsid w:val="0001104F"/>
    <w:rsid w:val="00011066"/>
    <w:rsid w:val="00011090"/>
    <w:rsid w:val="000110A5"/>
    <w:rsid w:val="000110BB"/>
    <w:rsid w:val="000110F0"/>
    <w:rsid w:val="000110FB"/>
    <w:rsid w:val="000111A8"/>
    <w:rsid w:val="000111D1"/>
    <w:rsid w:val="00011222"/>
    <w:rsid w:val="0001124B"/>
    <w:rsid w:val="0001124C"/>
    <w:rsid w:val="00011271"/>
    <w:rsid w:val="00011283"/>
    <w:rsid w:val="000112A5"/>
    <w:rsid w:val="000112CC"/>
    <w:rsid w:val="000112EA"/>
    <w:rsid w:val="0001136D"/>
    <w:rsid w:val="000113F6"/>
    <w:rsid w:val="00011406"/>
    <w:rsid w:val="00011423"/>
    <w:rsid w:val="0001142E"/>
    <w:rsid w:val="0001143C"/>
    <w:rsid w:val="0001148F"/>
    <w:rsid w:val="00011514"/>
    <w:rsid w:val="00011532"/>
    <w:rsid w:val="0001154B"/>
    <w:rsid w:val="00011552"/>
    <w:rsid w:val="00011595"/>
    <w:rsid w:val="000115CB"/>
    <w:rsid w:val="000115E4"/>
    <w:rsid w:val="00011695"/>
    <w:rsid w:val="0001169D"/>
    <w:rsid w:val="000116FA"/>
    <w:rsid w:val="00011719"/>
    <w:rsid w:val="0001172F"/>
    <w:rsid w:val="0001174A"/>
    <w:rsid w:val="00011761"/>
    <w:rsid w:val="00011770"/>
    <w:rsid w:val="000117A6"/>
    <w:rsid w:val="000117DD"/>
    <w:rsid w:val="000117ED"/>
    <w:rsid w:val="00011815"/>
    <w:rsid w:val="000118B0"/>
    <w:rsid w:val="000118E8"/>
    <w:rsid w:val="000118F7"/>
    <w:rsid w:val="0001199E"/>
    <w:rsid w:val="000119AB"/>
    <w:rsid w:val="00011A03"/>
    <w:rsid w:val="00011A4E"/>
    <w:rsid w:val="00011A7B"/>
    <w:rsid w:val="00011AAB"/>
    <w:rsid w:val="00011AAD"/>
    <w:rsid w:val="00011AC1"/>
    <w:rsid w:val="00011B29"/>
    <w:rsid w:val="00011B3C"/>
    <w:rsid w:val="00011B81"/>
    <w:rsid w:val="00011B87"/>
    <w:rsid w:val="00011BB5"/>
    <w:rsid w:val="00011BF5"/>
    <w:rsid w:val="00011CCE"/>
    <w:rsid w:val="00011CFA"/>
    <w:rsid w:val="00011D1B"/>
    <w:rsid w:val="00011D55"/>
    <w:rsid w:val="00011DD4"/>
    <w:rsid w:val="00011DEA"/>
    <w:rsid w:val="00011E0C"/>
    <w:rsid w:val="00011EDC"/>
    <w:rsid w:val="00011F0E"/>
    <w:rsid w:val="00011F24"/>
    <w:rsid w:val="00011F41"/>
    <w:rsid w:val="00012020"/>
    <w:rsid w:val="00012021"/>
    <w:rsid w:val="00012046"/>
    <w:rsid w:val="00012057"/>
    <w:rsid w:val="00012065"/>
    <w:rsid w:val="0001207B"/>
    <w:rsid w:val="000120B0"/>
    <w:rsid w:val="00012109"/>
    <w:rsid w:val="00012135"/>
    <w:rsid w:val="00012167"/>
    <w:rsid w:val="000121E7"/>
    <w:rsid w:val="000122BA"/>
    <w:rsid w:val="000122BF"/>
    <w:rsid w:val="000122D1"/>
    <w:rsid w:val="000122D5"/>
    <w:rsid w:val="0001236C"/>
    <w:rsid w:val="0001240C"/>
    <w:rsid w:val="00012491"/>
    <w:rsid w:val="00012511"/>
    <w:rsid w:val="00012519"/>
    <w:rsid w:val="00012523"/>
    <w:rsid w:val="00012552"/>
    <w:rsid w:val="0001255E"/>
    <w:rsid w:val="000125C6"/>
    <w:rsid w:val="000125E2"/>
    <w:rsid w:val="00012618"/>
    <w:rsid w:val="0001262A"/>
    <w:rsid w:val="0001262D"/>
    <w:rsid w:val="0001262F"/>
    <w:rsid w:val="00012631"/>
    <w:rsid w:val="00012674"/>
    <w:rsid w:val="000126B9"/>
    <w:rsid w:val="000126CA"/>
    <w:rsid w:val="00012788"/>
    <w:rsid w:val="000127A9"/>
    <w:rsid w:val="000127D0"/>
    <w:rsid w:val="00012817"/>
    <w:rsid w:val="0001285F"/>
    <w:rsid w:val="000128EC"/>
    <w:rsid w:val="0001293E"/>
    <w:rsid w:val="000129C3"/>
    <w:rsid w:val="00012A01"/>
    <w:rsid w:val="00012A31"/>
    <w:rsid w:val="00012A5B"/>
    <w:rsid w:val="00012ABA"/>
    <w:rsid w:val="00012AD5"/>
    <w:rsid w:val="00012B11"/>
    <w:rsid w:val="00012B45"/>
    <w:rsid w:val="00012BD9"/>
    <w:rsid w:val="00012C1B"/>
    <w:rsid w:val="00012D1A"/>
    <w:rsid w:val="00012D4B"/>
    <w:rsid w:val="00012D69"/>
    <w:rsid w:val="00012DE2"/>
    <w:rsid w:val="00012DFF"/>
    <w:rsid w:val="00012E03"/>
    <w:rsid w:val="00012EB1"/>
    <w:rsid w:val="00012EF2"/>
    <w:rsid w:val="00012F37"/>
    <w:rsid w:val="00012FA8"/>
    <w:rsid w:val="00012FAE"/>
    <w:rsid w:val="00013017"/>
    <w:rsid w:val="0001304F"/>
    <w:rsid w:val="00013058"/>
    <w:rsid w:val="0001305C"/>
    <w:rsid w:val="0001306A"/>
    <w:rsid w:val="00013075"/>
    <w:rsid w:val="000130B7"/>
    <w:rsid w:val="000130BD"/>
    <w:rsid w:val="00013107"/>
    <w:rsid w:val="00013169"/>
    <w:rsid w:val="0001316D"/>
    <w:rsid w:val="00013174"/>
    <w:rsid w:val="000132A0"/>
    <w:rsid w:val="000132EF"/>
    <w:rsid w:val="00013335"/>
    <w:rsid w:val="000133D5"/>
    <w:rsid w:val="00013461"/>
    <w:rsid w:val="000134B0"/>
    <w:rsid w:val="0001358A"/>
    <w:rsid w:val="000135ED"/>
    <w:rsid w:val="000135FB"/>
    <w:rsid w:val="00013631"/>
    <w:rsid w:val="0001365C"/>
    <w:rsid w:val="000136C0"/>
    <w:rsid w:val="000136DD"/>
    <w:rsid w:val="0001374E"/>
    <w:rsid w:val="0001378E"/>
    <w:rsid w:val="000137B5"/>
    <w:rsid w:val="000137E3"/>
    <w:rsid w:val="00013848"/>
    <w:rsid w:val="0001385F"/>
    <w:rsid w:val="0001386F"/>
    <w:rsid w:val="000138BC"/>
    <w:rsid w:val="00013935"/>
    <w:rsid w:val="0001395D"/>
    <w:rsid w:val="00013997"/>
    <w:rsid w:val="000139CC"/>
    <w:rsid w:val="00013A1C"/>
    <w:rsid w:val="00013A2D"/>
    <w:rsid w:val="00013A32"/>
    <w:rsid w:val="00013A67"/>
    <w:rsid w:val="00013ABF"/>
    <w:rsid w:val="00013AF5"/>
    <w:rsid w:val="00013AF6"/>
    <w:rsid w:val="00013B17"/>
    <w:rsid w:val="00013B1B"/>
    <w:rsid w:val="00013B7D"/>
    <w:rsid w:val="00013BA6"/>
    <w:rsid w:val="00013BC5"/>
    <w:rsid w:val="00013BF4"/>
    <w:rsid w:val="00013C14"/>
    <w:rsid w:val="00013C2E"/>
    <w:rsid w:val="00013C37"/>
    <w:rsid w:val="00013C49"/>
    <w:rsid w:val="00013C64"/>
    <w:rsid w:val="00013CE4"/>
    <w:rsid w:val="00013D76"/>
    <w:rsid w:val="00013D7B"/>
    <w:rsid w:val="00013D88"/>
    <w:rsid w:val="00013DAE"/>
    <w:rsid w:val="00013DF3"/>
    <w:rsid w:val="00013E11"/>
    <w:rsid w:val="00013E1A"/>
    <w:rsid w:val="00013E28"/>
    <w:rsid w:val="00013E2F"/>
    <w:rsid w:val="00013E46"/>
    <w:rsid w:val="00013E5F"/>
    <w:rsid w:val="00013EB2"/>
    <w:rsid w:val="00013ED8"/>
    <w:rsid w:val="00013EF6"/>
    <w:rsid w:val="00013F05"/>
    <w:rsid w:val="00013F17"/>
    <w:rsid w:val="00013F23"/>
    <w:rsid w:val="00013F3A"/>
    <w:rsid w:val="00013FD3"/>
    <w:rsid w:val="0001403D"/>
    <w:rsid w:val="00014067"/>
    <w:rsid w:val="00014094"/>
    <w:rsid w:val="000140CF"/>
    <w:rsid w:val="000140E2"/>
    <w:rsid w:val="000140FB"/>
    <w:rsid w:val="00014126"/>
    <w:rsid w:val="0001419A"/>
    <w:rsid w:val="000141E0"/>
    <w:rsid w:val="000141F0"/>
    <w:rsid w:val="00014205"/>
    <w:rsid w:val="00014213"/>
    <w:rsid w:val="00014221"/>
    <w:rsid w:val="0001424E"/>
    <w:rsid w:val="00014290"/>
    <w:rsid w:val="000142E6"/>
    <w:rsid w:val="000142F7"/>
    <w:rsid w:val="0001430E"/>
    <w:rsid w:val="0001433C"/>
    <w:rsid w:val="00014374"/>
    <w:rsid w:val="000143BA"/>
    <w:rsid w:val="000143F2"/>
    <w:rsid w:val="00014442"/>
    <w:rsid w:val="000145BA"/>
    <w:rsid w:val="000146B0"/>
    <w:rsid w:val="000146B5"/>
    <w:rsid w:val="000146CF"/>
    <w:rsid w:val="0001472B"/>
    <w:rsid w:val="00014754"/>
    <w:rsid w:val="00014777"/>
    <w:rsid w:val="0001479A"/>
    <w:rsid w:val="000147C9"/>
    <w:rsid w:val="0001480E"/>
    <w:rsid w:val="0001480F"/>
    <w:rsid w:val="0001481E"/>
    <w:rsid w:val="0001482F"/>
    <w:rsid w:val="00014866"/>
    <w:rsid w:val="000148BD"/>
    <w:rsid w:val="00014914"/>
    <w:rsid w:val="0001495E"/>
    <w:rsid w:val="00014998"/>
    <w:rsid w:val="000149AD"/>
    <w:rsid w:val="000149B4"/>
    <w:rsid w:val="000149CB"/>
    <w:rsid w:val="000149DF"/>
    <w:rsid w:val="00014A49"/>
    <w:rsid w:val="00014A57"/>
    <w:rsid w:val="00014A58"/>
    <w:rsid w:val="00014A6E"/>
    <w:rsid w:val="00014A9C"/>
    <w:rsid w:val="00014AA1"/>
    <w:rsid w:val="00014ABF"/>
    <w:rsid w:val="00014AF9"/>
    <w:rsid w:val="00014B09"/>
    <w:rsid w:val="00014B2A"/>
    <w:rsid w:val="00014B31"/>
    <w:rsid w:val="00014B46"/>
    <w:rsid w:val="00014B4F"/>
    <w:rsid w:val="00014B5C"/>
    <w:rsid w:val="00014B5D"/>
    <w:rsid w:val="00014B69"/>
    <w:rsid w:val="00014B76"/>
    <w:rsid w:val="00014B97"/>
    <w:rsid w:val="00014C06"/>
    <w:rsid w:val="00014C0C"/>
    <w:rsid w:val="00014C6E"/>
    <w:rsid w:val="00014C8D"/>
    <w:rsid w:val="00014CCC"/>
    <w:rsid w:val="00014D03"/>
    <w:rsid w:val="00014D20"/>
    <w:rsid w:val="00014DA9"/>
    <w:rsid w:val="00014DD2"/>
    <w:rsid w:val="00014DF5"/>
    <w:rsid w:val="00014E05"/>
    <w:rsid w:val="00014E1C"/>
    <w:rsid w:val="00014E34"/>
    <w:rsid w:val="00014E4A"/>
    <w:rsid w:val="00014E5F"/>
    <w:rsid w:val="00014ECD"/>
    <w:rsid w:val="00014ED2"/>
    <w:rsid w:val="00014F49"/>
    <w:rsid w:val="00014F52"/>
    <w:rsid w:val="00014F8E"/>
    <w:rsid w:val="00014F98"/>
    <w:rsid w:val="00014FBF"/>
    <w:rsid w:val="00014FCD"/>
    <w:rsid w:val="00014FDE"/>
    <w:rsid w:val="00015014"/>
    <w:rsid w:val="0001502C"/>
    <w:rsid w:val="0001504E"/>
    <w:rsid w:val="000150BC"/>
    <w:rsid w:val="00015175"/>
    <w:rsid w:val="0001517D"/>
    <w:rsid w:val="000151FD"/>
    <w:rsid w:val="0001522E"/>
    <w:rsid w:val="000152CA"/>
    <w:rsid w:val="000152EE"/>
    <w:rsid w:val="00015352"/>
    <w:rsid w:val="0001535B"/>
    <w:rsid w:val="00015362"/>
    <w:rsid w:val="00015376"/>
    <w:rsid w:val="000153C1"/>
    <w:rsid w:val="00015430"/>
    <w:rsid w:val="00015459"/>
    <w:rsid w:val="00015467"/>
    <w:rsid w:val="00015490"/>
    <w:rsid w:val="000154A4"/>
    <w:rsid w:val="0001554F"/>
    <w:rsid w:val="00015564"/>
    <w:rsid w:val="00015593"/>
    <w:rsid w:val="000155B1"/>
    <w:rsid w:val="000155D0"/>
    <w:rsid w:val="000155E8"/>
    <w:rsid w:val="000155F1"/>
    <w:rsid w:val="000155F7"/>
    <w:rsid w:val="00015693"/>
    <w:rsid w:val="000156C3"/>
    <w:rsid w:val="000156CF"/>
    <w:rsid w:val="00015735"/>
    <w:rsid w:val="0001573E"/>
    <w:rsid w:val="00015808"/>
    <w:rsid w:val="00015830"/>
    <w:rsid w:val="000158D4"/>
    <w:rsid w:val="0001590A"/>
    <w:rsid w:val="00015942"/>
    <w:rsid w:val="00015952"/>
    <w:rsid w:val="000159A3"/>
    <w:rsid w:val="000159FE"/>
    <w:rsid w:val="00015A71"/>
    <w:rsid w:val="00015A76"/>
    <w:rsid w:val="00015AF8"/>
    <w:rsid w:val="00015B2E"/>
    <w:rsid w:val="00015B3D"/>
    <w:rsid w:val="00015B8D"/>
    <w:rsid w:val="00015BB5"/>
    <w:rsid w:val="00015C18"/>
    <w:rsid w:val="00015C2F"/>
    <w:rsid w:val="00015C45"/>
    <w:rsid w:val="00015C64"/>
    <w:rsid w:val="00015C8B"/>
    <w:rsid w:val="00015C90"/>
    <w:rsid w:val="00015CB8"/>
    <w:rsid w:val="00015CCC"/>
    <w:rsid w:val="00015CCD"/>
    <w:rsid w:val="00015CDF"/>
    <w:rsid w:val="00015CF9"/>
    <w:rsid w:val="00015D09"/>
    <w:rsid w:val="00015D39"/>
    <w:rsid w:val="00015D6C"/>
    <w:rsid w:val="00015D74"/>
    <w:rsid w:val="00015DBC"/>
    <w:rsid w:val="00015DCD"/>
    <w:rsid w:val="00015DDC"/>
    <w:rsid w:val="00015E4A"/>
    <w:rsid w:val="00015E5B"/>
    <w:rsid w:val="00015E73"/>
    <w:rsid w:val="00015E8B"/>
    <w:rsid w:val="00015ED9"/>
    <w:rsid w:val="00015F40"/>
    <w:rsid w:val="00016007"/>
    <w:rsid w:val="0001601D"/>
    <w:rsid w:val="00016048"/>
    <w:rsid w:val="00016108"/>
    <w:rsid w:val="0001610D"/>
    <w:rsid w:val="00016111"/>
    <w:rsid w:val="00016132"/>
    <w:rsid w:val="0001617E"/>
    <w:rsid w:val="00016184"/>
    <w:rsid w:val="000161FF"/>
    <w:rsid w:val="0001628B"/>
    <w:rsid w:val="0001630B"/>
    <w:rsid w:val="0001636D"/>
    <w:rsid w:val="00016371"/>
    <w:rsid w:val="0001638B"/>
    <w:rsid w:val="00016408"/>
    <w:rsid w:val="0001645E"/>
    <w:rsid w:val="00016490"/>
    <w:rsid w:val="000164A0"/>
    <w:rsid w:val="000164A2"/>
    <w:rsid w:val="000164BF"/>
    <w:rsid w:val="000164C4"/>
    <w:rsid w:val="000164EB"/>
    <w:rsid w:val="0001655E"/>
    <w:rsid w:val="0001657B"/>
    <w:rsid w:val="00016696"/>
    <w:rsid w:val="00016702"/>
    <w:rsid w:val="00016725"/>
    <w:rsid w:val="0001677B"/>
    <w:rsid w:val="00016789"/>
    <w:rsid w:val="000167A4"/>
    <w:rsid w:val="000167AC"/>
    <w:rsid w:val="000167D9"/>
    <w:rsid w:val="00016816"/>
    <w:rsid w:val="00016846"/>
    <w:rsid w:val="00016868"/>
    <w:rsid w:val="00016904"/>
    <w:rsid w:val="00016943"/>
    <w:rsid w:val="0001695B"/>
    <w:rsid w:val="00016A49"/>
    <w:rsid w:val="00016A4A"/>
    <w:rsid w:val="00016A79"/>
    <w:rsid w:val="00016A9B"/>
    <w:rsid w:val="00016AB3"/>
    <w:rsid w:val="00016B02"/>
    <w:rsid w:val="00016B27"/>
    <w:rsid w:val="00016B46"/>
    <w:rsid w:val="00016B6E"/>
    <w:rsid w:val="00016B8F"/>
    <w:rsid w:val="00016C08"/>
    <w:rsid w:val="00016C37"/>
    <w:rsid w:val="00016CAD"/>
    <w:rsid w:val="00016CE2"/>
    <w:rsid w:val="00016D43"/>
    <w:rsid w:val="00016D7F"/>
    <w:rsid w:val="00016DAC"/>
    <w:rsid w:val="00016DE8"/>
    <w:rsid w:val="00016E0B"/>
    <w:rsid w:val="00016E39"/>
    <w:rsid w:val="00016EAC"/>
    <w:rsid w:val="00016EDD"/>
    <w:rsid w:val="00016EE8"/>
    <w:rsid w:val="00016EF5"/>
    <w:rsid w:val="00016F0A"/>
    <w:rsid w:val="00016F16"/>
    <w:rsid w:val="00016F44"/>
    <w:rsid w:val="00016F7E"/>
    <w:rsid w:val="00016FFD"/>
    <w:rsid w:val="0001703E"/>
    <w:rsid w:val="0001706D"/>
    <w:rsid w:val="0001708F"/>
    <w:rsid w:val="00017090"/>
    <w:rsid w:val="000170CA"/>
    <w:rsid w:val="000170D2"/>
    <w:rsid w:val="0001714D"/>
    <w:rsid w:val="000171D1"/>
    <w:rsid w:val="000171F1"/>
    <w:rsid w:val="00017236"/>
    <w:rsid w:val="000172AF"/>
    <w:rsid w:val="00017328"/>
    <w:rsid w:val="00017331"/>
    <w:rsid w:val="0001733C"/>
    <w:rsid w:val="00017374"/>
    <w:rsid w:val="00017386"/>
    <w:rsid w:val="000173BC"/>
    <w:rsid w:val="000173CA"/>
    <w:rsid w:val="00017407"/>
    <w:rsid w:val="00017482"/>
    <w:rsid w:val="00017483"/>
    <w:rsid w:val="000174A1"/>
    <w:rsid w:val="000174BB"/>
    <w:rsid w:val="000174DF"/>
    <w:rsid w:val="00017510"/>
    <w:rsid w:val="00017565"/>
    <w:rsid w:val="00017575"/>
    <w:rsid w:val="00017582"/>
    <w:rsid w:val="000175D2"/>
    <w:rsid w:val="00017615"/>
    <w:rsid w:val="00017649"/>
    <w:rsid w:val="000176B5"/>
    <w:rsid w:val="000176F4"/>
    <w:rsid w:val="000176F6"/>
    <w:rsid w:val="00017740"/>
    <w:rsid w:val="00017744"/>
    <w:rsid w:val="00017752"/>
    <w:rsid w:val="0001780B"/>
    <w:rsid w:val="00017829"/>
    <w:rsid w:val="0001783C"/>
    <w:rsid w:val="0001788E"/>
    <w:rsid w:val="000178AE"/>
    <w:rsid w:val="000178DE"/>
    <w:rsid w:val="0001794C"/>
    <w:rsid w:val="00017A21"/>
    <w:rsid w:val="00017AD9"/>
    <w:rsid w:val="00017AF1"/>
    <w:rsid w:val="00017B66"/>
    <w:rsid w:val="00017B83"/>
    <w:rsid w:val="00017C43"/>
    <w:rsid w:val="00017C53"/>
    <w:rsid w:val="00017C93"/>
    <w:rsid w:val="00017D26"/>
    <w:rsid w:val="00017D28"/>
    <w:rsid w:val="00017D3D"/>
    <w:rsid w:val="00017D57"/>
    <w:rsid w:val="00017D6E"/>
    <w:rsid w:val="00017D79"/>
    <w:rsid w:val="00017D7F"/>
    <w:rsid w:val="00017DA2"/>
    <w:rsid w:val="00017E12"/>
    <w:rsid w:val="00017E72"/>
    <w:rsid w:val="00017F11"/>
    <w:rsid w:val="00017FAB"/>
    <w:rsid w:val="00017FAD"/>
    <w:rsid w:val="00017FB1"/>
    <w:rsid w:val="00017FBF"/>
    <w:rsid w:val="0002001C"/>
    <w:rsid w:val="000200CE"/>
    <w:rsid w:val="000200D5"/>
    <w:rsid w:val="00020175"/>
    <w:rsid w:val="000201BA"/>
    <w:rsid w:val="000201C4"/>
    <w:rsid w:val="00020229"/>
    <w:rsid w:val="00020240"/>
    <w:rsid w:val="00020259"/>
    <w:rsid w:val="00020266"/>
    <w:rsid w:val="0002028C"/>
    <w:rsid w:val="0002029D"/>
    <w:rsid w:val="000202BD"/>
    <w:rsid w:val="000202EA"/>
    <w:rsid w:val="000202FD"/>
    <w:rsid w:val="00020312"/>
    <w:rsid w:val="00020315"/>
    <w:rsid w:val="0002035E"/>
    <w:rsid w:val="00020395"/>
    <w:rsid w:val="0002041B"/>
    <w:rsid w:val="0002044A"/>
    <w:rsid w:val="00020472"/>
    <w:rsid w:val="000204BE"/>
    <w:rsid w:val="0002051B"/>
    <w:rsid w:val="00020527"/>
    <w:rsid w:val="0002056D"/>
    <w:rsid w:val="0002057D"/>
    <w:rsid w:val="00020591"/>
    <w:rsid w:val="00020598"/>
    <w:rsid w:val="000205C2"/>
    <w:rsid w:val="000205C5"/>
    <w:rsid w:val="0002060E"/>
    <w:rsid w:val="00020675"/>
    <w:rsid w:val="00020712"/>
    <w:rsid w:val="00020748"/>
    <w:rsid w:val="00020765"/>
    <w:rsid w:val="00020768"/>
    <w:rsid w:val="0002077B"/>
    <w:rsid w:val="000207E8"/>
    <w:rsid w:val="0002080B"/>
    <w:rsid w:val="00020866"/>
    <w:rsid w:val="00020899"/>
    <w:rsid w:val="00020917"/>
    <w:rsid w:val="00020934"/>
    <w:rsid w:val="00020960"/>
    <w:rsid w:val="000209BD"/>
    <w:rsid w:val="000209CA"/>
    <w:rsid w:val="000209DC"/>
    <w:rsid w:val="00020A07"/>
    <w:rsid w:val="00020A0B"/>
    <w:rsid w:val="00020A0C"/>
    <w:rsid w:val="00020A3B"/>
    <w:rsid w:val="00020A62"/>
    <w:rsid w:val="00020A8E"/>
    <w:rsid w:val="00020AA1"/>
    <w:rsid w:val="00020ABC"/>
    <w:rsid w:val="00020B0F"/>
    <w:rsid w:val="00020BBB"/>
    <w:rsid w:val="00020C4F"/>
    <w:rsid w:val="00020C53"/>
    <w:rsid w:val="00020CAA"/>
    <w:rsid w:val="00020CAC"/>
    <w:rsid w:val="00020CB6"/>
    <w:rsid w:val="00020CD2"/>
    <w:rsid w:val="00020D5D"/>
    <w:rsid w:val="00020D89"/>
    <w:rsid w:val="00020D9D"/>
    <w:rsid w:val="00020DB3"/>
    <w:rsid w:val="00020DCF"/>
    <w:rsid w:val="00020E68"/>
    <w:rsid w:val="00020E93"/>
    <w:rsid w:val="00020EB5"/>
    <w:rsid w:val="00020ECB"/>
    <w:rsid w:val="00020F14"/>
    <w:rsid w:val="00020F1A"/>
    <w:rsid w:val="00020F36"/>
    <w:rsid w:val="00021057"/>
    <w:rsid w:val="0002109E"/>
    <w:rsid w:val="000210CB"/>
    <w:rsid w:val="000210E1"/>
    <w:rsid w:val="00021163"/>
    <w:rsid w:val="00021164"/>
    <w:rsid w:val="00021170"/>
    <w:rsid w:val="00021190"/>
    <w:rsid w:val="00021194"/>
    <w:rsid w:val="000211B3"/>
    <w:rsid w:val="000211E8"/>
    <w:rsid w:val="000211F0"/>
    <w:rsid w:val="00021275"/>
    <w:rsid w:val="000212A2"/>
    <w:rsid w:val="0002133A"/>
    <w:rsid w:val="00021344"/>
    <w:rsid w:val="00021377"/>
    <w:rsid w:val="00021453"/>
    <w:rsid w:val="0002146C"/>
    <w:rsid w:val="000214BE"/>
    <w:rsid w:val="00021516"/>
    <w:rsid w:val="00021517"/>
    <w:rsid w:val="00021550"/>
    <w:rsid w:val="0002156E"/>
    <w:rsid w:val="00021583"/>
    <w:rsid w:val="00021593"/>
    <w:rsid w:val="000215BF"/>
    <w:rsid w:val="000215CB"/>
    <w:rsid w:val="000216C8"/>
    <w:rsid w:val="00021715"/>
    <w:rsid w:val="00021739"/>
    <w:rsid w:val="00021758"/>
    <w:rsid w:val="0002175A"/>
    <w:rsid w:val="00021778"/>
    <w:rsid w:val="000217E3"/>
    <w:rsid w:val="00021898"/>
    <w:rsid w:val="000218A5"/>
    <w:rsid w:val="000218DA"/>
    <w:rsid w:val="0002191A"/>
    <w:rsid w:val="0002191B"/>
    <w:rsid w:val="0002197D"/>
    <w:rsid w:val="00021988"/>
    <w:rsid w:val="000219EF"/>
    <w:rsid w:val="00021A19"/>
    <w:rsid w:val="00021AC6"/>
    <w:rsid w:val="00021AE5"/>
    <w:rsid w:val="00021B44"/>
    <w:rsid w:val="00021BD0"/>
    <w:rsid w:val="00021BF7"/>
    <w:rsid w:val="00021C01"/>
    <w:rsid w:val="00021C16"/>
    <w:rsid w:val="00021C2A"/>
    <w:rsid w:val="00021C9A"/>
    <w:rsid w:val="00021CA2"/>
    <w:rsid w:val="00021CEF"/>
    <w:rsid w:val="00021CF8"/>
    <w:rsid w:val="00021CFF"/>
    <w:rsid w:val="00021D0E"/>
    <w:rsid w:val="00021D69"/>
    <w:rsid w:val="00021D86"/>
    <w:rsid w:val="00021DFC"/>
    <w:rsid w:val="00021E5C"/>
    <w:rsid w:val="00021EAD"/>
    <w:rsid w:val="00021EC0"/>
    <w:rsid w:val="00021EE6"/>
    <w:rsid w:val="00021F07"/>
    <w:rsid w:val="00021F2A"/>
    <w:rsid w:val="00021F58"/>
    <w:rsid w:val="00021F61"/>
    <w:rsid w:val="00021FBE"/>
    <w:rsid w:val="00022010"/>
    <w:rsid w:val="0002202D"/>
    <w:rsid w:val="00022040"/>
    <w:rsid w:val="00022071"/>
    <w:rsid w:val="000220AF"/>
    <w:rsid w:val="000220E5"/>
    <w:rsid w:val="0002212C"/>
    <w:rsid w:val="0002214B"/>
    <w:rsid w:val="000221F2"/>
    <w:rsid w:val="000221F6"/>
    <w:rsid w:val="00022203"/>
    <w:rsid w:val="0002222C"/>
    <w:rsid w:val="00022267"/>
    <w:rsid w:val="00022289"/>
    <w:rsid w:val="000222AB"/>
    <w:rsid w:val="000222DD"/>
    <w:rsid w:val="000223A9"/>
    <w:rsid w:val="000223DD"/>
    <w:rsid w:val="00022409"/>
    <w:rsid w:val="00022430"/>
    <w:rsid w:val="0002246F"/>
    <w:rsid w:val="00022514"/>
    <w:rsid w:val="00022537"/>
    <w:rsid w:val="00022565"/>
    <w:rsid w:val="0002259A"/>
    <w:rsid w:val="000225A7"/>
    <w:rsid w:val="000225C2"/>
    <w:rsid w:val="000225E8"/>
    <w:rsid w:val="000226AC"/>
    <w:rsid w:val="000226B6"/>
    <w:rsid w:val="000226B7"/>
    <w:rsid w:val="000226F1"/>
    <w:rsid w:val="00022709"/>
    <w:rsid w:val="00022742"/>
    <w:rsid w:val="0002274D"/>
    <w:rsid w:val="00022756"/>
    <w:rsid w:val="000227B3"/>
    <w:rsid w:val="0002281D"/>
    <w:rsid w:val="00022826"/>
    <w:rsid w:val="00022862"/>
    <w:rsid w:val="000228AF"/>
    <w:rsid w:val="000228B7"/>
    <w:rsid w:val="00022906"/>
    <w:rsid w:val="00022934"/>
    <w:rsid w:val="00022958"/>
    <w:rsid w:val="00022989"/>
    <w:rsid w:val="00022999"/>
    <w:rsid w:val="00022A1F"/>
    <w:rsid w:val="00022A3E"/>
    <w:rsid w:val="00022A68"/>
    <w:rsid w:val="00022A7E"/>
    <w:rsid w:val="00022AD3"/>
    <w:rsid w:val="00022B1D"/>
    <w:rsid w:val="00022B3D"/>
    <w:rsid w:val="00022B6E"/>
    <w:rsid w:val="00022B9F"/>
    <w:rsid w:val="00022C36"/>
    <w:rsid w:val="00022C3C"/>
    <w:rsid w:val="00022C76"/>
    <w:rsid w:val="00022C9B"/>
    <w:rsid w:val="00022CB5"/>
    <w:rsid w:val="00022CD3"/>
    <w:rsid w:val="00022CDE"/>
    <w:rsid w:val="00022CF5"/>
    <w:rsid w:val="00022DC5"/>
    <w:rsid w:val="00022DCA"/>
    <w:rsid w:val="00022DE7"/>
    <w:rsid w:val="00022DFD"/>
    <w:rsid w:val="00022E14"/>
    <w:rsid w:val="00022E26"/>
    <w:rsid w:val="00022ECA"/>
    <w:rsid w:val="00022F02"/>
    <w:rsid w:val="00022F10"/>
    <w:rsid w:val="00022F13"/>
    <w:rsid w:val="00022F20"/>
    <w:rsid w:val="00022F5E"/>
    <w:rsid w:val="00022F8C"/>
    <w:rsid w:val="00022FDD"/>
    <w:rsid w:val="00023033"/>
    <w:rsid w:val="00023050"/>
    <w:rsid w:val="0002310E"/>
    <w:rsid w:val="0002315A"/>
    <w:rsid w:val="000231AD"/>
    <w:rsid w:val="000231E4"/>
    <w:rsid w:val="0002321B"/>
    <w:rsid w:val="00023220"/>
    <w:rsid w:val="00023225"/>
    <w:rsid w:val="00023275"/>
    <w:rsid w:val="00023315"/>
    <w:rsid w:val="00023336"/>
    <w:rsid w:val="000233BC"/>
    <w:rsid w:val="0002348B"/>
    <w:rsid w:val="00023492"/>
    <w:rsid w:val="000234A2"/>
    <w:rsid w:val="000234E8"/>
    <w:rsid w:val="0002350E"/>
    <w:rsid w:val="000235AB"/>
    <w:rsid w:val="000235B1"/>
    <w:rsid w:val="00023636"/>
    <w:rsid w:val="000236DE"/>
    <w:rsid w:val="00023737"/>
    <w:rsid w:val="00023756"/>
    <w:rsid w:val="0002381B"/>
    <w:rsid w:val="00023829"/>
    <w:rsid w:val="0002383B"/>
    <w:rsid w:val="0002386D"/>
    <w:rsid w:val="00023891"/>
    <w:rsid w:val="000238C7"/>
    <w:rsid w:val="00023900"/>
    <w:rsid w:val="00023928"/>
    <w:rsid w:val="0002392B"/>
    <w:rsid w:val="00023966"/>
    <w:rsid w:val="000239E8"/>
    <w:rsid w:val="00023A09"/>
    <w:rsid w:val="00023A57"/>
    <w:rsid w:val="00023A7E"/>
    <w:rsid w:val="00023AC2"/>
    <w:rsid w:val="00023B79"/>
    <w:rsid w:val="00023BAB"/>
    <w:rsid w:val="00023BBD"/>
    <w:rsid w:val="00023BDC"/>
    <w:rsid w:val="00023BF1"/>
    <w:rsid w:val="00023C03"/>
    <w:rsid w:val="00023C0D"/>
    <w:rsid w:val="00023C43"/>
    <w:rsid w:val="00023C4E"/>
    <w:rsid w:val="00023C51"/>
    <w:rsid w:val="00023C91"/>
    <w:rsid w:val="00023DAC"/>
    <w:rsid w:val="00023DB2"/>
    <w:rsid w:val="00023E12"/>
    <w:rsid w:val="00023E2B"/>
    <w:rsid w:val="00023E9B"/>
    <w:rsid w:val="00023EA8"/>
    <w:rsid w:val="00023ED7"/>
    <w:rsid w:val="00023F5A"/>
    <w:rsid w:val="00023F67"/>
    <w:rsid w:val="00023F80"/>
    <w:rsid w:val="00023FEA"/>
    <w:rsid w:val="00023FFB"/>
    <w:rsid w:val="00024070"/>
    <w:rsid w:val="00024087"/>
    <w:rsid w:val="000240B5"/>
    <w:rsid w:val="000240BB"/>
    <w:rsid w:val="00024100"/>
    <w:rsid w:val="0002411A"/>
    <w:rsid w:val="0002412B"/>
    <w:rsid w:val="00024155"/>
    <w:rsid w:val="00024175"/>
    <w:rsid w:val="00024176"/>
    <w:rsid w:val="0002417D"/>
    <w:rsid w:val="000241B0"/>
    <w:rsid w:val="000241CA"/>
    <w:rsid w:val="000241DC"/>
    <w:rsid w:val="000241F0"/>
    <w:rsid w:val="000241F8"/>
    <w:rsid w:val="000241FA"/>
    <w:rsid w:val="00024200"/>
    <w:rsid w:val="00024224"/>
    <w:rsid w:val="0002424E"/>
    <w:rsid w:val="0002425B"/>
    <w:rsid w:val="000242BC"/>
    <w:rsid w:val="00024310"/>
    <w:rsid w:val="00024375"/>
    <w:rsid w:val="0002438E"/>
    <w:rsid w:val="000243E6"/>
    <w:rsid w:val="0002444F"/>
    <w:rsid w:val="0002446E"/>
    <w:rsid w:val="0002448B"/>
    <w:rsid w:val="000244EA"/>
    <w:rsid w:val="00024505"/>
    <w:rsid w:val="00024516"/>
    <w:rsid w:val="000245B3"/>
    <w:rsid w:val="000245DF"/>
    <w:rsid w:val="000245E6"/>
    <w:rsid w:val="000245FF"/>
    <w:rsid w:val="00024621"/>
    <w:rsid w:val="00024625"/>
    <w:rsid w:val="00024635"/>
    <w:rsid w:val="00024650"/>
    <w:rsid w:val="00024674"/>
    <w:rsid w:val="000246A1"/>
    <w:rsid w:val="000246A6"/>
    <w:rsid w:val="000246D7"/>
    <w:rsid w:val="00024749"/>
    <w:rsid w:val="000247A5"/>
    <w:rsid w:val="000247E5"/>
    <w:rsid w:val="000247F6"/>
    <w:rsid w:val="00024820"/>
    <w:rsid w:val="00024822"/>
    <w:rsid w:val="00024843"/>
    <w:rsid w:val="00024849"/>
    <w:rsid w:val="00024888"/>
    <w:rsid w:val="00024891"/>
    <w:rsid w:val="000248FF"/>
    <w:rsid w:val="00024900"/>
    <w:rsid w:val="0002492A"/>
    <w:rsid w:val="000249BA"/>
    <w:rsid w:val="00024A12"/>
    <w:rsid w:val="00024A52"/>
    <w:rsid w:val="00024A5E"/>
    <w:rsid w:val="00024A7F"/>
    <w:rsid w:val="00024ABE"/>
    <w:rsid w:val="00024AC6"/>
    <w:rsid w:val="00024AD7"/>
    <w:rsid w:val="00024AD9"/>
    <w:rsid w:val="00024B26"/>
    <w:rsid w:val="00024B28"/>
    <w:rsid w:val="00024B31"/>
    <w:rsid w:val="00024BFB"/>
    <w:rsid w:val="00024C29"/>
    <w:rsid w:val="00024C2D"/>
    <w:rsid w:val="00024C56"/>
    <w:rsid w:val="00024C75"/>
    <w:rsid w:val="00024CB3"/>
    <w:rsid w:val="00024D53"/>
    <w:rsid w:val="00024D5A"/>
    <w:rsid w:val="00024D66"/>
    <w:rsid w:val="00024DE4"/>
    <w:rsid w:val="00024DF4"/>
    <w:rsid w:val="00024E1D"/>
    <w:rsid w:val="00024E3C"/>
    <w:rsid w:val="00024E61"/>
    <w:rsid w:val="00024EFF"/>
    <w:rsid w:val="00024F1D"/>
    <w:rsid w:val="00024F28"/>
    <w:rsid w:val="00024F9B"/>
    <w:rsid w:val="00024FFC"/>
    <w:rsid w:val="0002500A"/>
    <w:rsid w:val="0002501A"/>
    <w:rsid w:val="0002501E"/>
    <w:rsid w:val="00025043"/>
    <w:rsid w:val="00025071"/>
    <w:rsid w:val="000250A9"/>
    <w:rsid w:val="000250D1"/>
    <w:rsid w:val="000250F1"/>
    <w:rsid w:val="000250FD"/>
    <w:rsid w:val="00025184"/>
    <w:rsid w:val="00025242"/>
    <w:rsid w:val="000252FC"/>
    <w:rsid w:val="000252FF"/>
    <w:rsid w:val="0002530E"/>
    <w:rsid w:val="00025353"/>
    <w:rsid w:val="00025374"/>
    <w:rsid w:val="000253F3"/>
    <w:rsid w:val="0002544F"/>
    <w:rsid w:val="00025470"/>
    <w:rsid w:val="00025486"/>
    <w:rsid w:val="00025495"/>
    <w:rsid w:val="0002549F"/>
    <w:rsid w:val="000254C9"/>
    <w:rsid w:val="000254EC"/>
    <w:rsid w:val="0002559C"/>
    <w:rsid w:val="000255A0"/>
    <w:rsid w:val="000255E6"/>
    <w:rsid w:val="00025604"/>
    <w:rsid w:val="00025632"/>
    <w:rsid w:val="00025642"/>
    <w:rsid w:val="00025696"/>
    <w:rsid w:val="000256FD"/>
    <w:rsid w:val="00025729"/>
    <w:rsid w:val="0002572F"/>
    <w:rsid w:val="0002579B"/>
    <w:rsid w:val="000257FA"/>
    <w:rsid w:val="0002586F"/>
    <w:rsid w:val="000258C8"/>
    <w:rsid w:val="000258DE"/>
    <w:rsid w:val="000258FA"/>
    <w:rsid w:val="000259C7"/>
    <w:rsid w:val="000259E0"/>
    <w:rsid w:val="000259ED"/>
    <w:rsid w:val="000259FB"/>
    <w:rsid w:val="00025A66"/>
    <w:rsid w:val="00025AC3"/>
    <w:rsid w:val="00025AD9"/>
    <w:rsid w:val="00025B18"/>
    <w:rsid w:val="00025B26"/>
    <w:rsid w:val="00025BA8"/>
    <w:rsid w:val="00025C09"/>
    <w:rsid w:val="00025C12"/>
    <w:rsid w:val="00025C59"/>
    <w:rsid w:val="00025CC3"/>
    <w:rsid w:val="00025CDD"/>
    <w:rsid w:val="00025D2B"/>
    <w:rsid w:val="00025D33"/>
    <w:rsid w:val="00025D42"/>
    <w:rsid w:val="00025D4D"/>
    <w:rsid w:val="00025D60"/>
    <w:rsid w:val="00025DF6"/>
    <w:rsid w:val="00025E07"/>
    <w:rsid w:val="00025E35"/>
    <w:rsid w:val="00025E50"/>
    <w:rsid w:val="00025EDD"/>
    <w:rsid w:val="00025F05"/>
    <w:rsid w:val="00025F11"/>
    <w:rsid w:val="0002600F"/>
    <w:rsid w:val="0002606B"/>
    <w:rsid w:val="00026099"/>
    <w:rsid w:val="00026122"/>
    <w:rsid w:val="00026172"/>
    <w:rsid w:val="00026193"/>
    <w:rsid w:val="000261B5"/>
    <w:rsid w:val="000261E1"/>
    <w:rsid w:val="000262AA"/>
    <w:rsid w:val="00026371"/>
    <w:rsid w:val="00026447"/>
    <w:rsid w:val="00026475"/>
    <w:rsid w:val="0002652E"/>
    <w:rsid w:val="000265A3"/>
    <w:rsid w:val="000265B7"/>
    <w:rsid w:val="000265FF"/>
    <w:rsid w:val="00026610"/>
    <w:rsid w:val="00026691"/>
    <w:rsid w:val="000266D7"/>
    <w:rsid w:val="000266E8"/>
    <w:rsid w:val="0002678B"/>
    <w:rsid w:val="00026798"/>
    <w:rsid w:val="000267B9"/>
    <w:rsid w:val="000267C7"/>
    <w:rsid w:val="0002680E"/>
    <w:rsid w:val="00026871"/>
    <w:rsid w:val="00026897"/>
    <w:rsid w:val="00026899"/>
    <w:rsid w:val="0002690E"/>
    <w:rsid w:val="00026967"/>
    <w:rsid w:val="00026969"/>
    <w:rsid w:val="00026974"/>
    <w:rsid w:val="0002697F"/>
    <w:rsid w:val="000269AA"/>
    <w:rsid w:val="000269C9"/>
    <w:rsid w:val="000269CB"/>
    <w:rsid w:val="00026A06"/>
    <w:rsid w:val="00026A0B"/>
    <w:rsid w:val="00026A1E"/>
    <w:rsid w:val="00026A27"/>
    <w:rsid w:val="00026A56"/>
    <w:rsid w:val="00026A84"/>
    <w:rsid w:val="00026A91"/>
    <w:rsid w:val="00026B1C"/>
    <w:rsid w:val="00026B1E"/>
    <w:rsid w:val="00026B8C"/>
    <w:rsid w:val="00026BAB"/>
    <w:rsid w:val="00026C03"/>
    <w:rsid w:val="00026C13"/>
    <w:rsid w:val="00026C16"/>
    <w:rsid w:val="00026C2D"/>
    <w:rsid w:val="00026C41"/>
    <w:rsid w:val="00026CE9"/>
    <w:rsid w:val="00026CF7"/>
    <w:rsid w:val="00026D3B"/>
    <w:rsid w:val="00026D3F"/>
    <w:rsid w:val="00026DBA"/>
    <w:rsid w:val="00026DCF"/>
    <w:rsid w:val="00026E13"/>
    <w:rsid w:val="00026E5B"/>
    <w:rsid w:val="00026EA6"/>
    <w:rsid w:val="00026ED9"/>
    <w:rsid w:val="00026FBE"/>
    <w:rsid w:val="00026FDE"/>
    <w:rsid w:val="00026FFE"/>
    <w:rsid w:val="00027006"/>
    <w:rsid w:val="00027120"/>
    <w:rsid w:val="0002712F"/>
    <w:rsid w:val="00027147"/>
    <w:rsid w:val="00027153"/>
    <w:rsid w:val="000271B1"/>
    <w:rsid w:val="000271C8"/>
    <w:rsid w:val="000271E8"/>
    <w:rsid w:val="000271F7"/>
    <w:rsid w:val="00027214"/>
    <w:rsid w:val="00027247"/>
    <w:rsid w:val="00027275"/>
    <w:rsid w:val="0002729F"/>
    <w:rsid w:val="000273D3"/>
    <w:rsid w:val="000273D4"/>
    <w:rsid w:val="000273E2"/>
    <w:rsid w:val="00027401"/>
    <w:rsid w:val="00027425"/>
    <w:rsid w:val="00027435"/>
    <w:rsid w:val="00027438"/>
    <w:rsid w:val="00027497"/>
    <w:rsid w:val="000274B0"/>
    <w:rsid w:val="000274D6"/>
    <w:rsid w:val="00027508"/>
    <w:rsid w:val="00027533"/>
    <w:rsid w:val="00027593"/>
    <w:rsid w:val="000275BE"/>
    <w:rsid w:val="000275D8"/>
    <w:rsid w:val="000275DE"/>
    <w:rsid w:val="0002761B"/>
    <w:rsid w:val="0002761C"/>
    <w:rsid w:val="00027621"/>
    <w:rsid w:val="00027642"/>
    <w:rsid w:val="00027649"/>
    <w:rsid w:val="0002764E"/>
    <w:rsid w:val="00027661"/>
    <w:rsid w:val="000276D0"/>
    <w:rsid w:val="0002770D"/>
    <w:rsid w:val="0002774E"/>
    <w:rsid w:val="00027832"/>
    <w:rsid w:val="000278AD"/>
    <w:rsid w:val="00027930"/>
    <w:rsid w:val="00027954"/>
    <w:rsid w:val="0002798F"/>
    <w:rsid w:val="000279A5"/>
    <w:rsid w:val="000279C3"/>
    <w:rsid w:val="000279D1"/>
    <w:rsid w:val="00027A5A"/>
    <w:rsid w:val="00027A62"/>
    <w:rsid w:val="00027A7D"/>
    <w:rsid w:val="00027AA6"/>
    <w:rsid w:val="00027AB2"/>
    <w:rsid w:val="00027ADC"/>
    <w:rsid w:val="00027AE2"/>
    <w:rsid w:val="00027B50"/>
    <w:rsid w:val="00027BBA"/>
    <w:rsid w:val="00027C16"/>
    <w:rsid w:val="00027C96"/>
    <w:rsid w:val="00027CAE"/>
    <w:rsid w:val="00027CC0"/>
    <w:rsid w:val="00027CE9"/>
    <w:rsid w:val="00027CFF"/>
    <w:rsid w:val="00027D30"/>
    <w:rsid w:val="00027D49"/>
    <w:rsid w:val="00027D64"/>
    <w:rsid w:val="00027D6F"/>
    <w:rsid w:val="00027D75"/>
    <w:rsid w:val="00027D8E"/>
    <w:rsid w:val="00027D9C"/>
    <w:rsid w:val="00027EC7"/>
    <w:rsid w:val="00027EFE"/>
    <w:rsid w:val="00027F39"/>
    <w:rsid w:val="00027F49"/>
    <w:rsid w:val="00027F54"/>
    <w:rsid w:val="00027F71"/>
    <w:rsid w:val="00027F9C"/>
    <w:rsid w:val="00027FB5"/>
    <w:rsid w:val="00030056"/>
    <w:rsid w:val="00030081"/>
    <w:rsid w:val="000300E8"/>
    <w:rsid w:val="00030110"/>
    <w:rsid w:val="00030209"/>
    <w:rsid w:val="00030254"/>
    <w:rsid w:val="00030275"/>
    <w:rsid w:val="00030288"/>
    <w:rsid w:val="000302B4"/>
    <w:rsid w:val="0003030D"/>
    <w:rsid w:val="0003031C"/>
    <w:rsid w:val="0003034B"/>
    <w:rsid w:val="0003034D"/>
    <w:rsid w:val="00030356"/>
    <w:rsid w:val="00030383"/>
    <w:rsid w:val="0003038F"/>
    <w:rsid w:val="000303A3"/>
    <w:rsid w:val="00030449"/>
    <w:rsid w:val="00030463"/>
    <w:rsid w:val="00030496"/>
    <w:rsid w:val="000304A2"/>
    <w:rsid w:val="000304CF"/>
    <w:rsid w:val="0003053A"/>
    <w:rsid w:val="0003054F"/>
    <w:rsid w:val="000305A1"/>
    <w:rsid w:val="000305E5"/>
    <w:rsid w:val="00030622"/>
    <w:rsid w:val="0003065B"/>
    <w:rsid w:val="00030671"/>
    <w:rsid w:val="000306AA"/>
    <w:rsid w:val="000306C0"/>
    <w:rsid w:val="000306C8"/>
    <w:rsid w:val="0003073D"/>
    <w:rsid w:val="00030744"/>
    <w:rsid w:val="00030770"/>
    <w:rsid w:val="00030771"/>
    <w:rsid w:val="00030783"/>
    <w:rsid w:val="00030797"/>
    <w:rsid w:val="0003079B"/>
    <w:rsid w:val="00030805"/>
    <w:rsid w:val="0003080B"/>
    <w:rsid w:val="00030857"/>
    <w:rsid w:val="00030876"/>
    <w:rsid w:val="000308B3"/>
    <w:rsid w:val="000308FE"/>
    <w:rsid w:val="00030910"/>
    <w:rsid w:val="0003091B"/>
    <w:rsid w:val="00030977"/>
    <w:rsid w:val="00030988"/>
    <w:rsid w:val="00030997"/>
    <w:rsid w:val="000309AC"/>
    <w:rsid w:val="000309D1"/>
    <w:rsid w:val="000309F4"/>
    <w:rsid w:val="00030A04"/>
    <w:rsid w:val="00030A4A"/>
    <w:rsid w:val="00030AB7"/>
    <w:rsid w:val="00030AD3"/>
    <w:rsid w:val="00030AE0"/>
    <w:rsid w:val="00030B15"/>
    <w:rsid w:val="00030B61"/>
    <w:rsid w:val="00030B81"/>
    <w:rsid w:val="00030B9B"/>
    <w:rsid w:val="00030C41"/>
    <w:rsid w:val="00030C45"/>
    <w:rsid w:val="00030CAD"/>
    <w:rsid w:val="00030D7B"/>
    <w:rsid w:val="00030DA9"/>
    <w:rsid w:val="00030E23"/>
    <w:rsid w:val="00030EA5"/>
    <w:rsid w:val="00030ECA"/>
    <w:rsid w:val="00030EEA"/>
    <w:rsid w:val="00030F36"/>
    <w:rsid w:val="00030F48"/>
    <w:rsid w:val="00030F72"/>
    <w:rsid w:val="00030F83"/>
    <w:rsid w:val="00030FA5"/>
    <w:rsid w:val="00030FC5"/>
    <w:rsid w:val="00031002"/>
    <w:rsid w:val="0003103D"/>
    <w:rsid w:val="0003107C"/>
    <w:rsid w:val="00031096"/>
    <w:rsid w:val="000310C3"/>
    <w:rsid w:val="00031121"/>
    <w:rsid w:val="00031123"/>
    <w:rsid w:val="00031136"/>
    <w:rsid w:val="00031149"/>
    <w:rsid w:val="0003117F"/>
    <w:rsid w:val="000311A5"/>
    <w:rsid w:val="000311C6"/>
    <w:rsid w:val="0003121A"/>
    <w:rsid w:val="00031234"/>
    <w:rsid w:val="00031267"/>
    <w:rsid w:val="000312BE"/>
    <w:rsid w:val="000312ED"/>
    <w:rsid w:val="00031378"/>
    <w:rsid w:val="0003137D"/>
    <w:rsid w:val="00031418"/>
    <w:rsid w:val="000314C5"/>
    <w:rsid w:val="00031515"/>
    <w:rsid w:val="0003153D"/>
    <w:rsid w:val="0003153E"/>
    <w:rsid w:val="0003155B"/>
    <w:rsid w:val="0003155E"/>
    <w:rsid w:val="000315D2"/>
    <w:rsid w:val="00031615"/>
    <w:rsid w:val="00031647"/>
    <w:rsid w:val="0003167E"/>
    <w:rsid w:val="0003169D"/>
    <w:rsid w:val="000316FF"/>
    <w:rsid w:val="0003171F"/>
    <w:rsid w:val="00031753"/>
    <w:rsid w:val="00031763"/>
    <w:rsid w:val="0003189B"/>
    <w:rsid w:val="00031972"/>
    <w:rsid w:val="00031986"/>
    <w:rsid w:val="000319DD"/>
    <w:rsid w:val="000319F6"/>
    <w:rsid w:val="00031A12"/>
    <w:rsid w:val="00031AA0"/>
    <w:rsid w:val="00031AB4"/>
    <w:rsid w:val="00031B57"/>
    <w:rsid w:val="00031B6E"/>
    <w:rsid w:val="00031BFF"/>
    <w:rsid w:val="00031C05"/>
    <w:rsid w:val="00031C11"/>
    <w:rsid w:val="00031C34"/>
    <w:rsid w:val="00031CAE"/>
    <w:rsid w:val="00031CE9"/>
    <w:rsid w:val="00031CF1"/>
    <w:rsid w:val="00031D4B"/>
    <w:rsid w:val="00031D5A"/>
    <w:rsid w:val="00031D69"/>
    <w:rsid w:val="00031E0B"/>
    <w:rsid w:val="00031E64"/>
    <w:rsid w:val="00031E83"/>
    <w:rsid w:val="00031EAF"/>
    <w:rsid w:val="00031F7B"/>
    <w:rsid w:val="00031FD9"/>
    <w:rsid w:val="00032024"/>
    <w:rsid w:val="0003204A"/>
    <w:rsid w:val="00032057"/>
    <w:rsid w:val="00032084"/>
    <w:rsid w:val="000320D4"/>
    <w:rsid w:val="000320E8"/>
    <w:rsid w:val="00032101"/>
    <w:rsid w:val="0003214F"/>
    <w:rsid w:val="00032170"/>
    <w:rsid w:val="00032190"/>
    <w:rsid w:val="000321AB"/>
    <w:rsid w:val="000321F5"/>
    <w:rsid w:val="00032221"/>
    <w:rsid w:val="00032223"/>
    <w:rsid w:val="0003222E"/>
    <w:rsid w:val="0003228A"/>
    <w:rsid w:val="000322A3"/>
    <w:rsid w:val="000322A7"/>
    <w:rsid w:val="000322E6"/>
    <w:rsid w:val="000322F5"/>
    <w:rsid w:val="000322F8"/>
    <w:rsid w:val="0003231D"/>
    <w:rsid w:val="0003232E"/>
    <w:rsid w:val="0003233E"/>
    <w:rsid w:val="00032348"/>
    <w:rsid w:val="00032363"/>
    <w:rsid w:val="000323B3"/>
    <w:rsid w:val="0003243C"/>
    <w:rsid w:val="00032448"/>
    <w:rsid w:val="0003245B"/>
    <w:rsid w:val="0003247B"/>
    <w:rsid w:val="0003255D"/>
    <w:rsid w:val="0003257F"/>
    <w:rsid w:val="0003265E"/>
    <w:rsid w:val="0003266E"/>
    <w:rsid w:val="000326BF"/>
    <w:rsid w:val="000326C3"/>
    <w:rsid w:val="0003271D"/>
    <w:rsid w:val="00032744"/>
    <w:rsid w:val="0003275B"/>
    <w:rsid w:val="0003275C"/>
    <w:rsid w:val="000327A2"/>
    <w:rsid w:val="000327C2"/>
    <w:rsid w:val="000327C6"/>
    <w:rsid w:val="0003283F"/>
    <w:rsid w:val="0003291E"/>
    <w:rsid w:val="000329AA"/>
    <w:rsid w:val="00032A0D"/>
    <w:rsid w:val="00032A17"/>
    <w:rsid w:val="00032A23"/>
    <w:rsid w:val="00032A49"/>
    <w:rsid w:val="00032A52"/>
    <w:rsid w:val="00032A9A"/>
    <w:rsid w:val="00032AA6"/>
    <w:rsid w:val="00032AAE"/>
    <w:rsid w:val="00032B10"/>
    <w:rsid w:val="00032B22"/>
    <w:rsid w:val="00032B5A"/>
    <w:rsid w:val="00032BAE"/>
    <w:rsid w:val="00032BB0"/>
    <w:rsid w:val="00032BE4"/>
    <w:rsid w:val="00032C27"/>
    <w:rsid w:val="00032C72"/>
    <w:rsid w:val="00032C7B"/>
    <w:rsid w:val="00032C7F"/>
    <w:rsid w:val="00032CD5"/>
    <w:rsid w:val="00032D52"/>
    <w:rsid w:val="00032DA6"/>
    <w:rsid w:val="00032DFA"/>
    <w:rsid w:val="00032E01"/>
    <w:rsid w:val="00032E1D"/>
    <w:rsid w:val="00032E3C"/>
    <w:rsid w:val="00032E4E"/>
    <w:rsid w:val="00032E6B"/>
    <w:rsid w:val="00032E8A"/>
    <w:rsid w:val="00032E96"/>
    <w:rsid w:val="00032E9A"/>
    <w:rsid w:val="00032EF8"/>
    <w:rsid w:val="00032F39"/>
    <w:rsid w:val="00032FF9"/>
    <w:rsid w:val="00032FFB"/>
    <w:rsid w:val="0003303A"/>
    <w:rsid w:val="0003304A"/>
    <w:rsid w:val="00033056"/>
    <w:rsid w:val="000330A3"/>
    <w:rsid w:val="0003313F"/>
    <w:rsid w:val="0003315D"/>
    <w:rsid w:val="00033161"/>
    <w:rsid w:val="000331E2"/>
    <w:rsid w:val="000331E6"/>
    <w:rsid w:val="000331E7"/>
    <w:rsid w:val="000331EF"/>
    <w:rsid w:val="00033241"/>
    <w:rsid w:val="00033262"/>
    <w:rsid w:val="000332CD"/>
    <w:rsid w:val="000332D3"/>
    <w:rsid w:val="0003332B"/>
    <w:rsid w:val="00033354"/>
    <w:rsid w:val="0003335A"/>
    <w:rsid w:val="000333B8"/>
    <w:rsid w:val="0003346C"/>
    <w:rsid w:val="000334A8"/>
    <w:rsid w:val="000334C5"/>
    <w:rsid w:val="000334E6"/>
    <w:rsid w:val="00033515"/>
    <w:rsid w:val="00033554"/>
    <w:rsid w:val="0003356C"/>
    <w:rsid w:val="0003359C"/>
    <w:rsid w:val="000335D2"/>
    <w:rsid w:val="000335F1"/>
    <w:rsid w:val="0003365F"/>
    <w:rsid w:val="0003368C"/>
    <w:rsid w:val="000336A9"/>
    <w:rsid w:val="00033714"/>
    <w:rsid w:val="00033775"/>
    <w:rsid w:val="0003377E"/>
    <w:rsid w:val="0003380E"/>
    <w:rsid w:val="0003385E"/>
    <w:rsid w:val="00033887"/>
    <w:rsid w:val="00033899"/>
    <w:rsid w:val="0003389B"/>
    <w:rsid w:val="000338E8"/>
    <w:rsid w:val="000338EE"/>
    <w:rsid w:val="000338FE"/>
    <w:rsid w:val="000339A1"/>
    <w:rsid w:val="000339D3"/>
    <w:rsid w:val="00033AD8"/>
    <w:rsid w:val="00033BD5"/>
    <w:rsid w:val="00033C22"/>
    <w:rsid w:val="00033C45"/>
    <w:rsid w:val="00033C4B"/>
    <w:rsid w:val="00033C73"/>
    <w:rsid w:val="00033C74"/>
    <w:rsid w:val="00033C84"/>
    <w:rsid w:val="00033CFA"/>
    <w:rsid w:val="00033D79"/>
    <w:rsid w:val="00033DA2"/>
    <w:rsid w:val="00033DAC"/>
    <w:rsid w:val="00033DC1"/>
    <w:rsid w:val="00033E23"/>
    <w:rsid w:val="00033E4A"/>
    <w:rsid w:val="00033EAD"/>
    <w:rsid w:val="00033EE0"/>
    <w:rsid w:val="00033F18"/>
    <w:rsid w:val="00033F89"/>
    <w:rsid w:val="00034002"/>
    <w:rsid w:val="00034009"/>
    <w:rsid w:val="0003400D"/>
    <w:rsid w:val="00034031"/>
    <w:rsid w:val="00034033"/>
    <w:rsid w:val="00034082"/>
    <w:rsid w:val="00034096"/>
    <w:rsid w:val="0003409F"/>
    <w:rsid w:val="000340A0"/>
    <w:rsid w:val="000340B2"/>
    <w:rsid w:val="000340E6"/>
    <w:rsid w:val="0003410C"/>
    <w:rsid w:val="00034155"/>
    <w:rsid w:val="0003419C"/>
    <w:rsid w:val="0003420A"/>
    <w:rsid w:val="00034221"/>
    <w:rsid w:val="000342D4"/>
    <w:rsid w:val="00034320"/>
    <w:rsid w:val="00034326"/>
    <w:rsid w:val="00034329"/>
    <w:rsid w:val="00034361"/>
    <w:rsid w:val="0003442F"/>
    <w:rsid w:val="00034462"/>
    <w:rsid w:val="0003447C"/>
    <w:rsid w:val="0003447E"/>
    <w:rsid w:val="00034484"/>
    <w:rsid w:val="000344E0"/>
    <w:rsid w:val="000344F2"/>
    <w:rsid w:val="0003454A"/>
    <w:rsid w:val="0003454E"/>
    <w:rsid w:val="0003455A"/>
    <w:rsid w:val="000345A4"/>
    <w:rsid w:val="0003461D"/>
    <w:rsid w:val="00034642"/>
    <w:rsid w:val="0003464B"/>
    <w:rsid w:val="0003467E"/>
    <w:rsid w:val="00034693"/>
    <w:rsid w:val="00034699"/>
    <w:rsid w:val="000346E8"/>
    <w:rsid w:val="00034707"/>
    <w:rsid w:val="00034709"/>
    <w:rsid w:val="00034737"/>
    <w:rsid w:val="0003473A"/>
    <w:rsid w:val="0003480A"/>
    <w:rsid w:val="00034814"/>
    <w:rsid w:val="00034816"/>
    <w:rsid w:val="0003483B"/>
    <w:rsid w:val="00034888"/>
    <w:rsid w:val="000348CB"/>
    <w:rsid w:val="00034942"/>
    <w:rsid w:val="0003494B"/>
    <w:rsid w:val="0003494C"/>
    <w:rsid w:val="0003498F"/>
    <w:rsid w:val="0003499D"/>
    <w:rsid w:val="000349B9"/>
    <w:rsid w:val="000349D9"/>
    <w:rsid w:val="000349DD"/>
    <w:rsid w:val="00034A28"/>
    <w:rsid w:val="00034A35"/>
    <w:rsid w:val="00034A8D"/>
    <w:rsid w:val="00034AE0"/>
    <w:rsid w:val="00034B38"/>
    <w:rsid w:val="00034B46"/>
    <w:rsid w:val="00034B50"/>
    <w:rsid w:val="00034B7D"/>
    <w:rsid w:val="00034B9A"/>
    <w:rsid w:val="00034BE4"/>
    <w:rsid w:val="00034C3C"/>
    <w:rsid w:val="00034C45"/>
    <w:rsid w:val="00034C5E"/>
    <w:rsid w:val="00034CB3"/>
    <w:rsid w:val="00034CDC"/>
    <w:rsid w:val="00034D55"/>
    <w:rsid w:val="00034D97"/>
    <w:rsid w:val="00034DDB"/>
    <w:rsid w:val="00034DDF"/>
    <w:rsid w:val="00034DF0"/>
    <w:rsid w:val="00034E2C"/>
    <w:rsid w:val="00034E6A"/>
    <w:rsid w:val="00034E9B"/>
    <w:rsid w:val="00034EC8"/>
    <w:rsid w:val="00034ECB"/>
    <w:rsid w:val="00034F26"/>
    <w:rsid w:val="00034F80"/>
    <w:rsid w:val="00034F88"/>
    <w:rsid w:val="00035012"/>
    <w:rsid w:val="00035025"/>
    <w:rsid w:val="000350EC"/>
    <w:rsid w:val="000350F0"/>
    <w:rsid w:val="00035138"/>
    <w:rsid w:val="0003517A"/>
    <w:rsid w:val="000351FA"/>
    <w:rsid w:val="00035215"/>
    <w:rsid w:val="00035222"/>
    <w:rsid w:val="00035279"/>
    <w:rsid w:val="00035298"/>
    <w:rsid w:val="000352CD"/>
    <w:rsid w:val="000352FC"/>
    <w:rsid w:val="00035337"/>
    <w:rsid w:val="00035353"/>
    <w:rsid w:val="00035365"/>
    <w:rsid w:val="0003542C"/>
    <w:rsid w:val="00035440"/>
    <w:rsid w:val="0003549B"/>
    <w:rsid w:val="000354A2"/>
    <w:rsid w:val="000354B6"/>
    <w:rsid w:val="000354D1"/>
    <w:rsid w:val="000354F5"/>
    <w:rsid w:val="00035570"/>
    <w:rsid w:val="00035579"/>
    <w:rsid w:val="000355AE"/>
    <w:rsid w:val="000355F4"/>
    <w:rsid w:val="00035648"/>
    <w:rsid w:val="0003564D"/>
    <w:rsid w:val="00035663"/>
    <w:rsid w:val="000356DA"/>
    <w:rsid w:val="000356EE"/>
    <w:rsid w:val="000356F7"/>
    <w:rsid w:val="000356F9"/>
    <w:rsid w:val="00035741"/>
    <w:rsid w:val="000357B5"/>
    <w:rsid w:val="00035800"/>
    <w:rsid w:val="00035807"/>
    <w:rsid w:val="0003581A"/>
    <w:rsid w:val="00035833"/>
    <w:rsid w:val="00035849"/>
    <w:rsid w:val="0003587B"/>
    <w:rsid w:val="000358EB"/>
    <w:rsid w:val="0003593C"/>
    <w:rsid w:val="0003595D"/>
    <w:rsid w:val="00035996"/>
    <w:rsid w:val="00035A74"/>
    <w:rsid w:val="00035B23"/>
    <w:rsid w:val="00035B95"/>
    <w:rsid w:val="00035BCA"/>
    <w:rsid w:val="00035BE2"/>
    <w:rsid w:val="00035C32"/>
    <w:rsid w:val="00035C45"/>
    <w:rsid w:val="00035C5F"/>
    <w:rsid w:val="00035C66"/>
    <w:rsid w:val="00035CBA"/>
    <w:rsid w:val="00035D3C"/>
    <w:rsid w:val="00035D4F"/>
    <w:rsid w:val="00035D6F"/>
    <w:rsid w:val="00035DC7"/>
    <w:rsid w:val="00035E58"/>
    <w:rsid w:val="00035E84"/>
    <w:rsid w:val="00035EA2"/>
    <w:rsid w:val="00035EA3"/>
    <w:rsid w:val="00035EB5"/>
    <w:rsid w:val="00035ED6"/>
    <w:rsid w:val="00035F17"/>
    <w:rsid w:val="00035F4D"/>
    <w:rsid w:val="00035F5F"/>
    <w:rsid w:val="00035FA1"/>
    <w:rsid w:val="00035FB3"/>
    <w:rsid w:val="00035FB4"/>
    <w:rsid w:val="00035FB7"/>
    <w:rsid w:val="00035FD5"/>
    <w:rsid w:val="00035FFC"/>
    <w:rsid w:val="00036010"/>
    <w:rsid w:val="0003601D"/>
    <w:rsid w:val="0003602A"/>
    <w:rsid w:val="00036045"/>
    <w:rsid w:val="00036091"/>
    <w:rsid w:val="00036096"/>
    <w:rsid w:val="000360B6"/>
    <w:rsid w:val="000360E9"/>
    <w:rsid w:val="0003612A"/>
    <w:rsid w:val="0003613C"/>
    <w:rsid w:val="00036143"/>
    <w:rsid w:val="0003617B"/>
    <w:rsid w:val="000361B4"/>
    <w:rsid w:val="000361C6"/>
    <w:rsid w:val="000361CA"/>
    <w:rsid w:val="00036207"/>
    <w:rsid w:val="0003627B"/>
    <w:rsid w:val="000362A5"/>
    <w:rsid w:val="000362B9"/>
    <w:rsid w:val="000362C4"/>
    <w:rsid w:val="00036312"/>
    <w:rsid w:val="000363A0"/>
    <w:rsid w:val="000363C8"/>
    <w:rsid w:val="000363EE"/>
    <w:rsid w:val="00036438"/>
    <w:rsid w:val="0003644D"/>
    <w:rsid w:val="0003644E"/>
    <w:rsid w:val="00036476"/>
    <w:rsid w:val="00036495"/>
    <w:rsid w:val="000364EB"/>
    <w:rsid w:val="00036541"/>
    <w:rsid w:val="0003655D"/>
    <w:rsid w:val="00036586"/>
    <w:rsid w:val="000365EA"/>
    <w:rsid w:val="000365EC"/>
    <w:rsid w:val="000366A8"/>
    <w:rsid w:val="000366AD"/>
    <w:rsid w:val="000366B9"/>
    <w:rsid w:val="000366C0"/>
    <w:rsid w:val="000366DD"/>
    <w:rsid w:val="00036713"/>
    <w:rsid w:val="000367AA"/>
    <w:rsid w:val="000367BB"/>
    <w:rsid w:val="00036814"/>
    <w:rsid w:val="00036847"/>
    <w:rsid w:val="00036852"/>
    <w:rsid w:val="000368A1"/>
    <w:rsid w:val="000368F9"/>
    <w:rsid w:val="00036906"/>
    <w:rsid w:val="00036910"/>
    <w:rsid w:val="0003691C"/>
    <w:rsid w:val="0003698F"/>
    <w:rsid w:val="000369B0"/>
    <w:rsid w:val="000369CA"/>
    <w:rsid w:val="000369CE"/>
    <w:rsid w:val="00036A39"/>
    <w:rsid w:val="00036A80"/>
    <w:rsid w:val="00036AB1"/>
    <w:rsid w:val="00036AD4"/>
    <w:rsid w:val="00036AF5"/>
    <w:rsid w:val="00036B9C"/>
    <w:rsid w:val="00036BD9"/>
    <w:rsid w:val="00036BDF"/>
    <w:rsid w:val="00036BE3"/>
    <w:rsid w:val="00036C3E"/>
    <w:rsid w:val="00036C5E"/>
    <w:rsid w:val="00036C99"/>
    <w:rsid w:val="00036CA1"/>
    <w:rsid w:val="00036CC4"/>
    <w:rsid w:val="00036CDA"/>
    <w:rsid w:val="00036CEE"/>
    <w:rsid w:val="00036D11"/>
    <w:rsid w:val="00036D5E"/>
    <w:rsid w:val="00036D62"/>
    <w:rsid w:val="00036D68"/>
    <w:rsid w:val="00036D72"/>
    <w:rsid w:val="00036D87"/>
    <w:rsid w:val="00036DF0"/>
    <w:rsid w:val="00036E1C"/>
    <w:rsid w:val="00036E73"/>
    <w:rsid w:val="00036E81"/>
    <w:rsid w:val="00036EE1"/>
    <w:rsid w:val="00037042"/>
    <w:rsid w:val="00037082"/>
    <w:rsid w:val="000370E0"/>
    <w:rsid w:val="00037102"/>
    <w:rsid w:val="00037129"/>
    <w:rsid w:val="00037185"/>
    <w:rsid w:val="000371A7"/>
    <w:rsid w:val="000371C2"/>
    <w:rsid w:val="0003733D"/>
    <w:rsid w:val="00037395"/>
    <w:rsid w:val="000373B4"/>
    <w:rsid w:val="000373BA"/>
    <w:rsid w:val="000373D3"/>
    <w:rsid w:val="00037409"/>
    <w:rsid w:val="00037433"/>
    <w:rsid w:val="000374B0"/>
    <w:rsid w:val="00037520"/>
    <w:rsid w:val="000375C3"/>
    <w:rsid w:val="00037628"/>
    <w:rsid w:val="00037653"/>
    <w:rsid w:val="00037665"/>
    <w:rsid w:val="00037698"/>
    <w:rsid w:val="0003772B"/>
    <w:rsid w:val="00037737"/>
    <w:rsid w:val="00037770"/>
    <w:rsid w:val="000377BE"/>
    <w:rsid w:val="000377BF"/>
    <w:rsid w:val="000377F5"/>
    <w:rsid w:val="0003781F"/>
    <w:rsid w:val="00037827"/>
    <w:rsid w:val="0003784A"/>
    <w:rsid w:val="0003785C"/>
    <w:rsid w:val="000378BC"/>
    <w:rsid w:val="000378C4"/>
    <w:rsid w:val="000378E4"/>
    <w:rsid w:val="0003792F"/>
    <w:rsid w:val="00037938"/>
    <w:rsid w:val="0003795E"/>
    <w:rsid w:val="00037986"/>
    <w:rsid w:val="00037A38"/>
    <w:rsid w:val="00037A4F"/>
    <w:rsid w:val="00037A74"/>
    <w:rsid w:val="00037A8A"/>
    <w:rsid w:val="00037AF2"/>
    <w:rsid w:val="00037B3B"/>
    <w:rsid w:val="00037B81"/>
    <w:rsid w:val="00037BCE"/>
    <w:rsid w:val="00037BDC"/>
    <w:rsid w:val="00037BF4"/>
    <w:rsid w:val="00037C18"/>
    <w:rsid w:val="00037C1F"/>
    <w:rsid w:val="00037C5A"/>
    <w:rsid w:val="00037CC6"/>
    <w:rsid w:val="00037CCD"/>
    <w:rsid w:val="00037CFC"/>
    <w:rsid w:val="00037D51"/>
    <w:rsid w:val="00037D6B"/>
    <w:rsid w:val="00037DC4"/>
    <w:rsid w:val="00037E87"/>
    <w:rsid w:val="00037EA3"/>
    <w:rsid w:val="00037EE8"/>
    <w:rsid w:val="00037F09"/>
    <w:rsid w:val="00037F14"/>
    <w:rsid w:val="00037F31"/>
    <w:rsid w:val="00037FD7"/>
    <w:rsid w:val="00037FF5"/>
    <w:rsid w:val="0004000E"/>
    <w:rsid w:val="0004001C"/>
    <w:rsid w:val="00040034"/>
    <w:rsid w:val="0004003E"/>
    <w:rsid w:val="00040047"/>
    <w:rsid w:val="00040075"/>
    <w:rsid w:val="000400AF"/>
    <w:rsid w:val="000400F3"/>
    <w:rsid w:val="00040102"/>
    <w:rsid w:val="0004011A"/>
    <w:rsid w:val="000401FC"/>
    <w:rsid w:val="0004020D"/>
    <w:rsid w:val="00040231"/>
    <w:rsid w:val="000402AE"/>
    <w:rsid w:val="000402BC"/>
    <w:rsid w:val="000402BF"/>
    <w:rsid w:val="000402DF"/>
    <w:rsid w:val="0004030D"/>
    <w:rsid w:val="00040311"/>
    <w:rsid w:val="00040319"/>
    <w:rsid w:val="0004031C"/>
    <w:rsid w:val="0004034E"/>
    <w:rsid w:val="0004037A"/>
    <w:rsid w:val="00040392"/>
    <w:rsid w:val="000403AA"/>
    <w:rsid w:val="000403E8"/>
    <w:rsid w:val="00040410"/>
    <w:rsid w:val="00040420"/>
    <w:rsid w:val="0004048A"/>
    <w:rsid w:val="00040499"/>
    <w:rsid w:val="000404B8"/>
    <w:rsid w:val="000404D4"/>
    <w:rsid w:val="000404DE"/>
    <w:rsid w:val="000404E0"/>
    <w:rsid w:val="0004051E"/>
    <w:rsid w:val="00040520"/>
    <w:rsid w:val="00040564"/>
    <w:rsid w:val="00040580"/>
    <w:rsid w:val="0004058F"/>
    <w:rsid w:val="000405F5"/>
    <w:rsid w:val="00040693"/>
    <w:rsid w:val="000406F7"/>
    <w:rsid w:val="000406FB"/>
    <w:rsid w:val="00040708"/>
    <w:rsid w:val="00040765"/>
    <w:rsid w:val="000407B3"/>
    <w:rsid w:val="000407D2"/>
    <w:rsid w:val="0004084A"/>
    <w:rsid w:val="0004086D"/>
    <w:rsid w:val="0004088E"/>
    <w:rsid w:val="00040896"/>
    <w:rsid w:val="000408F2"/>
    <w:rsid w:val="00040901"/>
    <w:rsid w:val="0004090C"/>
    <w:rsid w:val="00040915"/>
    <w:rsid w:val="00040921"/>
    <w:rsid w:val="00040940"/>
    <w:rsid w:val="0004094D"/>
    <w:rsid w:val="000409A0"/>
    <w:rsid w:val="000409AD"/>
    <w:rsid w:val="00040A86"/>
    <w:rsid w:val="00040AED"/>
    <w:rsid w:val="00040B3D"/>
    <w:rsid w:val="00040B52"/>
    <w:rsid w:val="00040B99"/>
    <w:rsid w:val="00040C7F"/>
    <w:rsid w:val="00040CB0"/>
    <w:rsid w:val="00040D2A"/>
    <w:rsid w:val="00040D46"/>
    <w:rsid w:val="00040E94"/>
    <w:rsid w:val="00040EB4"/>
    <w:rsid w:val="00040F08"/>
    <w:rsid w:val="00040F1C"/>
    <w:rsid w:val="00040F3B"/>
    <w:rsid w:val="00040FA9"/>
    <w:rsid w:val="00040FBE"/>
    <w:rsid w:val="00040FEB"/>
    <w:rsid w:val="00041015"/>
    <w:rsid w:val="00041043"/>
    <w:rsid w:val="00041066"/>
    <w:rsid w:val="00041067"/>
    <w:rsid w:val="0004107C"/>
    <w:rsid w:val="000410BC"/>
    <w:rsid w:val="000410E3"/>
    <w:rsid w:val="0004114C"/>
    <w:rsid w:val="00041154"/>
    <w:rsid w:val="00041174"/>
    <w:rsid w:val="000411C8"/>
    <w:rsid w:val="00041229"/>
    <w:rsid w:val="0004128A"/>
    <w:rsid w:val="000412C8"/>
    <w:rsid w:val="00041345"/>
    <w:rsid w:val="00041365"/>
    <w:rsid w:val="00041369"/>
    <w:rsid w:val="0004138B"/>
    <w:rsid w:val="00041395"/>
    <w:rsid w:val="000413FB"/>
    <w:rsid w:val="000414F2"/>
    <w:rsid w:val="00041504"/>
    <w:rsid w:val="0004150A"/>
    <w:rsid w:val="00041559"/>
    <w:rsid w:val="000415BA"/>
    <w:rsid w:val="000415D1"/>
    <w:rsid w:val="00041729"/>
    <w:rsid w:val="0004173E"/>
    <w:rsid w:val="000417C4"/>
    <w:rsid w:val="000417EB"/>
    <w:rsid w:val="00041814"/>
    <w:rsid w:val="00041825"/>
    <w:rsid w:val="00041849"/>
    <w:rsid w:val="0004184B"/>
    <w:rsid w:val="00041851"/>
    <w:rsid w:val="0004185D"/>
    <w:rsid w:val="0004187A"/>
    <w:rsid w:val="0004187E"/>
    <w:rsid w:val="00041881"/>
    <w:rsid w:val="000418CB"/>
    <w:rsid w:val="00041926"/>
    <w:rsid w:val="00041998"/>
    <w:rsid w:val="000419A4"/>
    <w:rsid w:val="000419F9"/>
    <w:rsid w:val="00041A20"/>
    <w:rsid w:val="00041A30"/>
    <w:rsid w:val="00041A83"/>
    <w:rsid w:val="00041A95"/>
    <w:rsid w:val="00041B11"/>
    <w:rsid w:val="00041B1C"/>
    <w:rsid w:val="00041B46"/>
    <w:rsid w:val="00041BAA"/>
    <w:rsid w:val="00041BBA"/>
    <w:rsid w:val="00041BE7"/>
    <w:rsid w:val="00041BFE"/>
    <w:rsid w:val="00041C08"/>
    <w:rsid w:val="00041C20"/>
    <w:rsid w:val="00041C57"/>
    <w:rsid w:val="00041C68"/>
    <w:rsid w:val="00041C91"/>
    <w:rsid w:val="00041CA6"/>
    <w:rsid w:val="00041CB1"/>
    <w:rsid w:val="00041CDE"/>
    <w:rsid w:val="00041CEA"/>
    <w:rsid w:val="00041DED"/>
    <w:rsid w:val="00041E0E"/>
    <w:rsid w:val="00041E15"/>
    <w:rsid w:val="00041E92"/>
    <w:rsid w:val="00041EE0"/>
    <w:rsid w:val="00041F16"/>
    <w:rsid w:val="00041F59"/>
    <w:rsid w:val="00041FAF"/>
    <w:rsid w:val="00042041"/>
    <w:rsid w:val="00042060"/>
    <w:rsid w:val="0004206C"/>
    <w:rsid w:val="00042089"/>
    <w:rsid w:val="000420A7"/>
    <w:rsid w:val="000420C8"/>
    <w:rsid w:val="000420D6"/>
    <w:rsid w:val="000420E2"/>
    <w:rsid w:val="000421A2"/>
    <w:rsid w:val="000421E9"/>
    <w:rsid w:val="000421FB"/>
    <w:rsid w:val="00042206"/>
    <w:rsid w:val="00042228"/>
    <w:rsid w:val="00042239"/>
    <w:rsid w:val="00042262"/>
    <w:rsid w:val="000422BD"/>
    <w:rsid w:val="000422FA"/>
    <w:rsid w:val="00042301"/>
    <w:rsid w:val="0004232C"/>
    <w:rsid w:val="0004233C"/>
    <w:rsid w:val="000423AB"/>
    <w:rsid w:val="000423D9"/>
    <w:rsid w:val="0004247C"/>
    <w:rsid w:val="000424A8"/>
    <w:rsid w:val="000424DC"/>
    <w:rsid w:val="000425B4"/>
    <w:rsid w:val="000425D3"/>
    <w:rsid w:val="00042644"/>
    <w:rsid w:val="000426B4"/>
    <w:rsid w:val="000426B6"/>
    <w:rsid w:val="000426F8"/>
    <w:rsid w:val="00042712"/>
    <w:rsid w:val="00042752"/>
    <w:rsid w:val="000427A8"/>
    <w:rsid w:val="00042879"/>
    <w:rsid w:val="000428A0"/>
    <w:rsid w:val="00042903"/>
    <w:rsid w:val="00042910"/>
    <w:rsid w:val="00042922"/>
    <w:rsid w:val="0004296B"/>
    <w:rsid w:val="000429AD"/>
    <w:rsid w:val="000429D0"/>
    <w:rsid w:val="000429DD"/>
    <w:rsid w:val="000429E1"/>
    <w:rsid w:val="00042A0E"/>
    <w:rsid w:val="00042A97"/>
    <w:rsid w:val="00042AAB"/>
    <w:rsid w:val="00042AB2"/>
    <w:rsid w:val="00042ADB"/>
    <w:rsid w:val="00042B00"/>
    <w:rsid w:val="00042BC7"/>
    <w:rsid w:val="00042BCF"/>
    <w:rsid w:val="00042BDD"/>
    <w:rsid w:val="00042BDE"/>
    <w:rsid w:val="00042BE7"/>
    <w:rsid w:val="00042C26"/>
    <w:rsid w:val="00042C95"/>
    <w:rsid w:val="00042CA0"/>
    <w:rsid w:val="00042CE7"/>
    <w:rsid w:val="00042D11"/>
    <w:rsid w:val="00042D16"/>
    <w:rsid w:val="00042D41"/>
    <w:rsid w:val="00042D82"/>
    <w:rsid w:val="00042DB2"/>
    <w:rsid w:val="00042DBD"/>
    <w:rsid w:val="00042DFA"/>
    <w:rsid w:val="00042EB4"/>
    <w:rsid w:val="00042ECA"/>
    <w:rsid w:val="00042F22"/>
    <w:rsid w:val="00042F4F"/>
    <w:rsid w:val="00042F65"/>
    <w:rsid w:val="00042F94"/>
    <w:rsid w:val="00042FBA"/>
    <w:rsid w:val="00043007"/>
    <w:rsid w:val="00043015"/>
    <w:rsid w:val="0004306E"/>
    <w:rsid w:val="00043080"/>
    <w:rsid w:val="000430AC"/>
    <w:rsid w:val="000430D1"/>
    <w:rsid w:val="000430D3"/>
    <w:rsid w:val="000430F9"/>
    <w:rsid w:val="00043137"/>
    <w:rsid w:val="00043198"/>
    <w:rsid w:val="000431D2"/>
    <w:rsid w:val="00043294"/>
    <w:rsid w:val="000432C0"/>
    <w:rsid w:val="000432EF"/>
    <w:rsid w:val="00043324"/>
    <w:rsid w:val="00043335"/>
    <w:rsid w:val="0004336C"/>
    <w:rsid w:val="00043393"/>
    <w:rsid w:val="0004344E"/>
    <w:rsid w:val="000434EB"/>
    <w:rsid w:val="00043512"/>
    <w:rsid w:val="0004352E"/>
    <w:rsid w:val="00043536"/>
    <w:rsid w:val="00043565"/>
    <w:rsid w:val="000435A4"/>
    <w:rsid w:val="000435F2"/>
    <w:rsid w:val="000435F5"/>
    <w:rsid w:val="00043600"/>
    <w:rsid w:val="0004377F"/>
    <w:rsid w:val="00043797"/>
    <w:rsid w:val="000437D5"/>
    <w:rsid w:val="00043810"/>
    <w:rsid w:val="0004386B"/>
    <w:rsid w:val="00043898"/>
    <w:rsid w:val="000438C5"/>
    <w:rsid w:val="000438CC"/>
    <w:rsid w:val="000438ED"/>
    <w:rsid w:val="00043904"/>
    <w:rsid w:val="00043949"/>
    <w:rsid w:val="0004394C"/>
    <w:rsid w:val="00043953"/>
    <w:rsid w:val="00043964"/>
    <w:rsid w:val="0004399C"/>
    <w:rsid w:val="000439D2"/>
    <w:rsid w:val="00043A05"/>
    <w:rsid w:val="00043A24"/>
    <w:rsid w:val="00043A6E"/>
    <w:rsid w:val="00043AAD"/>
    <w:rsid w:val="00043ABB"/>
    <w:rsid w:val="00043AF0"/>
    <w:rsid w:val="00043B0B"/>
    <w:rsid w:val="00043B91"/>
    <w:rsid w:val="00043C09"/>
    <w:rsid w:val="00043C24"/>
    <w:rsid w:val="00043D16"/>
    <w:rsid w:val="00043D80"/>
    <w:rsid w:val="00043DA4"/>
    <w:rsid w:val="00043DB7"/>
    <w:rsid w:val="00043DFD"/>
    <w:rsid w:val="00043E2B"/>
    <w:rsid w:val="00043EF0"/>
    <w:rsid w:val="00043F44"/>
    <w:rsid w:val="00043FD9"/>
    <w:rsid w:val="00043FF5"/>
    <w:rsid w:val="00044069"/>
    <w:rsid w:val="00044076"/>
    <w:rsid w:val="000440D7"/>
    <w:rsid w:val="000440DB"/>
    <w:rsid w:val="000440F2"/>
    <w:rsid w:val="0004411A"/>
    <w:rsid w:val="000441E1"/>
    <w:rsid w:val="000441E9"/>
    <w:rsid w:val="00044309"/>
    <w:rsid w:val="00044315"/>
    <w:rsid w:val="00044335"/>
    <w:rsid w:val="0004433E"/>
    <w:rsid w:val="00044354"/>
    <w:rsid w:val="000443E2"/>
    <w:rsid w:val="000443EC"/>
    <w:rsid w:val="00044404"/>
    <w:rsid w:val="0004441A"/>
    <w:rsid w:val="0004442F"/>
    <w:rsid w:val="00044487"/>
    <w:rsid w:val="000444B9"/>
    <w:rsid w:val="000444FA"/>
    <w:rsid w:val="0004452E"/>
    <w:rsid w:val="00044563"/>
    <w:rsid w:val="0004459C"/>
    <w:rsid w:val="000445BA"/>
    <w:rsid w:val="000445C3"/>
    <w:rsid w:val="000445D4"/>
    <w:rsid w:val="00044698"/>
    <w:rsid w:val="0004469C"/>
    <w:rsid w:val="000446F8"/>
    <w:rsid w:val="00044780"/>
    <w:rsid w:val="000447D8"/>
    <w:rsid w:val="0004481F"/>
    <w:rsid w:val="00044824"/>
    <w:rsid w:val="0004483C"/>
    <w:rsid w:val="0004485E"/>
    <w:rsid w:val="0004486A"/>
    <w:rsid w:val="00044871"/>
    <w:rsid w:val="00044892"/>
    <w:rsid w:val="000448B3"/>
    <w:rsid w:val="000448B9"/>
    <w:rsid w:val="000448C8"/>
    <w:rsid w:val="00044976"/>
    <w:rsid w:val="000449E0"/>
    <w:rsid w:val="00044A0B"/>
    <w:rsid w:val="00044A37"/>
    <w:rsid w:val="00044AF5"/>
    <w:rsid w:val="00044B57"/>
    <w:rsid w:val="00044B73"/>
    <w:rsid w:val="00044BFC"/>
    <w:rsid w:val="00044C5E"/>
    <w:rsid w:val="00044C91"/>
    <w:rsid w:val="00044C92"/>
    <w:rsid w:val="00044CA2"/>
    <w:rsid w:val="00044CE1"/>
    <w:rsid w:val="00044D12"/>
    <w:rsid w:val="00044D37"/>
    <w:rsid w:val="00044D55"/>
    <w:rsid w:val="00044D6F"/>
    <w:rsid w:val="00044D7C"/>
    <w:rsid w:val="00044D87"/>
    <w:rsid w:val="00044DB0"/>
    <w:rsid w:val="00044DB2"/>
    <w:rsid w:val="00044DD7"/>
    <w:rsid w:val="00044DE5"/>
    <w:rsid w:val="00044E5E"/>
    <w:rsid w:val="00044E69"/>
    <w:rsid w:val="00044EF8"/>
    <w:rsid w:val="00044F10"/>
    <w:rsid w:val="00045009"/>
    <w:rsid w:val="00045075"/>
    <w:rsid w:val="00045099"/>
    <w:rsid w:val="000450A0"/>
    <w:rsid w:val="000450B1"/>
    <w:rsid w:val="000450B9"/>
    <w:rsid w:val="000450BA"/>
    <w:rsid w:val="000450BD"/>
    <w:rsid w:val="000450D3"/>
    <w:rsid w:val="0004513F"/>
    <w:rsid w:val="000451E9"/>
    <w:rsid w:val="000451FD"/>
    <w:rsid w:val="00045222"/>
    <w:rsid w:val="00045279"/>
    <w:rsid w:val="0004528C"/>
    <w:rsid w:val="000452ED"/>
    <w:rsid w:val="0004530C"/>
    <w:rsid w:val="0004531B"/>
    <w:rsid w:val="00045361"/>
    <w:rsid w:val="00045362"/>
    <w:rsid w:val="00045378"/>
    <w:rsid w:val="000453C3"/>
    <w:rsid w:val="00045452"/>
    <w:rsid w:val="000454EF"/>
    <w:rsid w:val="00045521"/>
    <w:rsid w:val="00045573"/>
    <w:rsid w:val="00045574"/>
    <w:rsid w:val="00045588"/>
    <w:rsid w:val="000455B6"/>
    <w:rsid w:val="00045643"/>
    <w:rsid w:val="0004564A"/>
    <w:rsid w:val="000456AF"/>
    <w:rsid w:val="000456D3"/>
    <w:rsid w:val="00045738"/>
    <w:rsid w:val="0004574A"/>
    <w:rsid w:val="0004575D"/>
    <w:rsid w:val="00045777"/>
    <w:rsid w:val="000457B0"/>
    <w:rsid w:val="000457BD"/>
    <w:rsid w:val="000457C9"/>
    <w:rsid w:val="000457E6"/>
    <w:rsid w:val="0004582A"/>
    <w:rsid w:val="00045971"/>
    <w:rsid w:val="00045981"/>
    <w:rsid w:val="00045987"/>
    <w:rsid w:val="0004599E"/>
    <w:rsid w:val="000459C1"/>
    <w:rsid w:val="000459C3"/>
    <w:rsid w:val="000459C6"/>
    <w:rsid w:val="00045A0B"/>
    <w:rsid w:val="00045A1B"/>
    <w:rsid w:val="00045A33"/>
    <w:rsid w:val="00045AB2"/>
    <w:rsid w:val="00045AF0"/>
    <w:rsid w:val="00045AF9"/>
    <w:rsid w:val="00045B23"/>
    <w:rsid w:val="00045B4B"/>
    <w:rsid w:val="00045BBE"/>
    <w:rsid w:val="00045C10"/>
    <w:rsid w:val="00045C1B"/>
    <w:rsid w:val="00045C84"/>
    <w:rsid w:val="00045CB4"/>
    <w:rsid w:val="00045CD3"/>
    <w:rsid w:val="00045D3D"/>
    <w:rsid w:val="00045D61"/>
    <w:rsid w:val="00045D66"/>
    <w:rsid w:val="00045DD9"/>
    <w:rsid w:val="00045E01"/>
    <w:rsid w:val="00045E18"/>
    <w:rsid w:val="00045E4A"/>
    <w:rsid w:val="00045E5A"/>
    <w:rsid w:val="00045EAF"/>
    <w:rsid w:val="00045F2F"/>
    <w:rsid w:val="00045F6E"/>
    <w:rsid w:val="00045F7F"/>
    <w:rsid w:val="00045F8A"/>
    <w:rsid w:val="00045FA5"/>
    <w:rsid w:val="00046045"/>
    <w:rsid w:val="0004606D"/>
    <w:rsid w:val="00046078"/>
    <w:rsid w:val="0004610C"/>
    <w:rsid w:val="0004610D"/>
    <w:rsid w:val="00046125"/>
    <w:rsid w:val="00046157"/>
    <w:rsid w:val="0004615F"/>
    <w:rsid w:val="00046198"/>
    <w:rsid w:val="00046291"/>
    <w:rsid w:val="00046304"/>
    <w:rsid w:val="0004642E"/>
    <w:rsid w:val="00046460"/>
    <w:rsid w:val="0004648C"/>
    <w:rsid w:val="00046587"/>
    <w:rsid w:val="000465DB"/>
    <w:rsid w:val="000465F8"/>
    <w:rsid w:val="00046634"/>
    <w:rsid w:val="00046635"/>
    <w:rsid w:val="0004663D"/>
    <w:rsid w:val="00046645"/>
    <w:rsid w:val="00046759"/>
    <w:rsid w:val="000467C2"/>
    <w:rsid w:val="000467CF"/>
    <w:rsid w:val="000467DF"/>
    <w:rsid w:val="0004681C"/>
    <w:rsid w:val="0004685E"/>
    <w:rsid w:val="0004685F"/>
    <w:rsid w:val="00046871"/>
    <w:rsid w:val="0004687A"/>
    <w:rsid w:val="000468EF"/>
    <w:rsid w:val="00046901"/>
    <w:rsid w:val="00046953"/>
    <w:rsid w:val="0004695A"/>
    <w:rsid w:val="0004697F"/>
    <w:rsid w:val="00046990"/>
    <w:rsid w:val="00046A46"/>
    <w:rsid w:val="00046A8D"/>
    <w:rsid w:val="00046AAC"/>
    <w:rsid w:val="00046AD2"/>
    <w:rsid w:val="00046ADE"/>
    <w:rsid w:val="00046B5B"/>
    <w:rsid w:val="00046B97"/>
    <w:rsid w:val="00046C97"/>
    <w:rsid w:val="00046CB3"/>
    <w:rsid w:val="00046CBE"/>
    <w:rsid w:val="00046CE1"/>
    <w:rsid w:val="00046D02"/>
    <w:rsid w:val="00046D7A"/>
    <w:rsid w:val="00046DA0"/>
    <w:rsid w:val="00046DA5"/>
    <w:rsid w:val="00046DB5"/>
    <w:rsid w:val="00046E1E"/>
    <w:rsid w:val="00046E3D"/>
    <w:rsid w:val="00046E7B"/>
    <w:rsid w:val="00046E8C"/>
    <w:rsid w:val="00046F4A"/>
    <w:rsid w:val="00046F52"/>
    <w:rsid w:val="0004705D"/>
    <w:rsid w:val="00047063"/>
    <w:rsid w:val="00047086"/>
    <w:rsid w:val="00047088"/>
    <w:rsid w:val="00047095"/>
    <w:rsid w:val="000470B6"/>
    <w:rsid w:val="000470BB"/>
    <w:rsid w:val="0004711E"/>
    <w:rsid w:val="00047140"/>
    <w:rsid w:val="00047151"/>
    <w:rsid w:val="0004717F"/>
    <w:rsid w:val="000471C8"/>
    <w:rsid w:val="000471DD"/>
    <w:rsid w:val="000471DF"/>
    <w:rsid w:val="000471F7"/>
    <w:rsid w:val="0004723C"/>
    <w:rsid w:val="0004723D"/>
    <w:rsid w:val="00047245"/>
    <w:rsid w:val="00047281"/>
    <w:rsid w:val="000472F7"/>
    <w:rsid w:val="00047328"/>
    <w:rsid w:val="00047331"/>
    <w:rsid w:val="0004734B"/>
    <w:rsid w:val="00047370"/>
    <w:rsid w:val="000473BB"/>
    <w:rsid w:val="0004740B"/>
    <w:rsid w:val="00047422"/>
    <w:rsid w:val="00047428"/>
    <w:rsid w:val="0004745C"/>
    <w:rsid w:val="00047467"/>
    <w:rsid w:val="000474C3"/>
    <w:rsid w:val="000474EF"/>
    <w:rsid w:val="000474FC"/>
    <w:rsid w:val="000474FD"/>
    <w:rsid w:val="00047527"/>
    <w:rsid w:val="0004752A"/>
    <w:rsid w:val="0004754C"/>
    <w:rsid w:val="000475BD"/>
    <w:rsid w:val="000475C8"/>
    <w:rsid w:val="0004762A"/>
    <w:rsid w:val="0004767A"/>
    <w:rsid w:val="000476B2"/>
    <w:rsid w:val="0004771D"/>
    <w:rsid w:val="00047737"/>
    <w:rsid w:val="00047761"/>
    <w:rsid w:val="000477C3"/>
    <w:rsid w:val="000477DA"/>
    <w:rsid w:val="000477DB"/>
    <w:rsid w:val="000477E8"/>
    <w:rsid w:val="00047808"/>
    <w:rsid w:val="00047883"/>
    <w:rsid w:val="0004789A"/>
    <w:rsid w:val="000478A9"/>
    <w:rsid w:val="000478DF"/>
    <w:rsid w:val="000478FC"/>
    <w:rsid w:val="0004796D"/>
    <w:rsid w:val="0004799D"/>
    <w:rsid w:val="000479AB"/>
    <w:rsid w:val="000479BA"/>
    <w:rsid w:val="000479CF"/>
    <w:rsid w:val="000479E7"/>
    <w:rsid w:val="00047A2F"/>
    <w:rsid w:val="00047A35"/>
    <w:rsid w:val="00047A76"/>
    <w:rsid w:val="00047AF5"/>
    <w:rsid w:val="00047B25"/>
    <w:rsid w:val="00047B5F"/>
    <w:rsid w:val="00047B69"/>
    <w:rsid w:val="00047B8E"/>
    <w:rsid w:val="00047BB1"/>
    <w:rsid w:val="00047BD2"/>
    <w:rsid w:val="00047BF8"/>
    <w:rsid w:val="00047C58"/>
    <w:rsid w:val="00047C76"/>
    <w:rsid w:val="00047CE6"/>
    <w:rsid w:val="00047CF2"/>
    <w:rsid w:val="00047D19"/>
    <w:rsid w:val="00047D4D"/>
    <w:rsid w:val="00047D71"/>
    <w:rsid w:val="00047D7A"/>
    <w:rsid w:val="00047D7D"/>
    <w:rsid w:val="00047DC0"/>
    <w:rsid w:val="00047DC5"/>
    <w:rsid w:val="00047DCE"/>
    <w:rsid w:val="00047E7D"/>
    <w:rsid w:val="00047ECB"/>
    <w:rsid w:val="00047EE7"/>
    <w:rsid w:val="00047F06"/>
    <w:rsid w:val="00047F33"/>
    <w:rsid w:val="00047F63"/>
    <w:rsid w:val="00047F83"/>
    <w:rsid w:val="00050036"/>
    <w:rsid w:val="0005006A"/>
    <w:rsid w:val="000500BD"/>
    <w:rsid w:val="00050103"/>
    <w:rsid w:val="0005015D"/>
    <w:rsid w:val="000501D5"/>
    <w:rsid w:val="000501F9"/>
    <w:rsid w:val="00050245"/>
    <w:rsid w:val="00050255"/>
    <w:rsid w:val="00050296"/>
    <w:rsid w:val="0005029A"/>
    <w:rsid w:val="000502E7"/>
    <w:rsid w:val="00050307"/>
    <w:rsid w:val="00050329"/>
    <w:rsid w:val="000503AB"/>
    <w:rsid w:val="00050404"/>
    <w:rsid w:val="00050458"/>
    <w:rsid w:val="00050485"/>
    <w:rsid w:val="0005049B"/>
    <w:rsid w:val="000504FE"/>
    <w:rsid w:val="0005052B"/>
    <w:rsid w:val="00050532"/>
    <w:rsid w:val="00050538"/>
    <w:rsid w:val="00050590"/>
    <w:rsid w:val="000505C7"/>
    <w:rsid w:val="000505DA"/>
    <w:rsid w:val="0005060D"/>
    <w:rsid w:val="00050628"/>
    <w:rsid w:val="00050657"/>
    <w:rsid w:val="00050675"/>
    <w:rsid w:val="0005067F"/>
    <w:rsid w:val="0005068E"/>
    <w:rsid w:val="0005068F"/>
    <w:rsid w:val="00050714"/>
    <w:rsid w:val="00050719"/>
    <w:rsid w:val="00050720"/>
    <w:rsid w:val="00050749"/>
    <w:rsid w:val="00050796"/>
    <w:rsid w:val="000507EF"/>
    <w:rsid w:val="0005099B"/>
    <w:rsid w:val="000509B9"/>
    <w:rsid w:val="000509C9"/>
    <w:rsid w:val="000509FA"/>
    <w:rsid w:val="000509FE"/>
    <w:rsid w:val="00050A46"/>
    <w:rsid w:val="00050A55"/>
    <w:rsid w:val="00050A96"/>
    <w:rsid w:val="00050AA8"/>
    <w:rsid w:val="00050ADA"/>
    <w:rsid w:val="00050B04"/>
    <w:rsid w:val="00050B43"/>
    <w:rsid w:val="00050B69"/>
    <w:rsid w:val="00050BC5"/>
    <w:rsid w:val="00050C02"/>
    <w:rsid w:val="00050C03"/>
    <w:rsid w:val="00050C43"/>
    <w:rsid w:val="00050C4B"/>
    <w:rsid w:val="00050C92"/>
    <w:rsid w:val="00050CAC"/>
    <w:rsid w:val="00050CC2"/>
    <w:rsid w:val="00050CD5"/>
    <w:rsid w:val="00050CDB"/>
    <w:rsid w:val="00050CDC"/>
    <w:rsid w:val="00050D0B"/>
    <w:rsid w:val="00050D37"/>
    <w:rsid w:val="00050D46"/>
    <w:rsid w:val="00050D50"/>
    <w:rsid w:val="00050E30"/>
    <w:rsid w:val="00050E34"/>
    <w:rsid w:val="00050E3C"/>
    <w:rsid w:val="00050E8A"/>
    <w:rsid w:val="00050EE7"/>
    <w:rsid w:val="00050F02"/>
    <w:rsid w:val="00050F3D"/>
    <w:rsid w:val="00050F63"/>
    <w:rsid w:val="00050F9F"/>
    <w:rsid w:val="00051030"/>
    <w:rsid w:val="0005105D"/>
    <w:rsid w:val="0005106F"/>
    <w:rsid w:val="000510C1"/>
    <w:rsid w:val="000510F5"/>
    <w:rsid w:val="000510FE"/>
    <w:rsid w:val="00051154"/>
    <w:rsid w:val="0005116C"/>
    <w:rsid w:val="0005119D"/>
    <w:rsid w:val="000511B4"/>
    <w:rsid w:val="000511B9"/>
    <w:rsid w:val="0005120E"/>
    <w:rsid w:val="0005122F"/>
    <w:rsid w:val="00051261"/>
    <w:rsid w:val="0005127E"/>
    <w:rsid w:val="00051297"/>
    <w:rsid w:val="000512C2"/>
    <w:rsid w:val="000512F6"/>
    <w:rsid w:val="000512FD"/>
    <w:rsid w:val="00051315"/>
    <w:rsid w:val="0005132C"/>
    <w:rsid w:val="0005134E"/>
    <w:rsid w:val="000513A2"/>
    <w:rsid w:val="000513FD"/>
    <w:rsid w:val="00051408"/>
    <w:rsid w:val="0005140E"/>
    <w:rsid w:val="00051453"/>
    <w:rsid w:val="0005145E"/>
    <w:rsid w:val="00051475"/>
    <w:rsid w:val="0005156A"/>
    <w:rsid w:val="0005159F"/>
    <w:rsid w:val="00051611"/>
    <w:rsid w:val="0005161D"/>
    <w:rsid w:val="000516BD"/>
    <w:rsid w:val="000516ED"/>
    <w:rsid w:val="00051714"/>
    <w:rsid w:val="000517CC"/>
    <w:rsid w:val="000517F7"/>
    <w:rsid w:val="00051885"/>
    <w:rsid w:val="000518A2"/>
    <w:rsid w:val="000518CC"/>
    <w:rsid w:val="000518E0"/>
    <w:rsid w:val="00051905"/>
    <w:rsid w:val="00051912"/>
    <w:rsid w:val="0005195D"/>
    <w:rsid w:val="00051961"/>
    <w:rsid w:val="000519B8"/>
    <w:rsid w:val="00051A01"/>
    <w:rsid w:val="00051A61"/>
    <w:rsid w:val="00051B3A"/>
    <w:rsid w:val="00051B64"/>
    <w:rsid w:val="00051B65"/>
    <w:rsid w:val="00051B83"/>
    <w:rsid w:val="00051BD7"/>
    <w:rsid w:val="00051C01"/>
    <w:rsid w:val="00051C5E"/>
    <w:rsid w:val="00051C7D"/>
    <w:rsid w:val="00051C81"/>
    <w:rsid w:val="00051C9D"/>
    <w:rsid w:val="00051CA6"/>
    <w:rsid w:val="00051CED"/>
    <w:rsid w:val="00051D02"/>
    <w:rsid w:val="00051D1A"/>
    <w:rsid w:val="00051D20"/>
    <w:rsid w:val="00051D7B"/>
    <w:rsid w:val="00051D81"/>
    <w:rsid w:val="00051DAF"/>
    <w:rsid w:val="00051DD6"/>
    <w:rsid w:val="00051E7E"/>
    <w:rsid w:val="00051E8A"/>
    <w:rsid w:val="00051F00"/>
    <w:rsid w:val="00051F17"/>
    <w:rsid w:val="00051F3C"/>
    <w:rsid w:val="00051F83"/>
    <w:rsid w:val="00051F9F"/>
    <w:rsid w:val="00051FE3"/>
    <w:rsid w:val="00051FE9"/>
    <w:rsid w:val="00052066"/>
    <w:rsid w:val="000520E8"/>
    <w:rsid w:val="000520EB"/>
    <w:rsid w:val="0005215B"/>
    <w:rsid w:val="00052168"/>
    <w:rsid w:val="0005216A"/>
    <w:rsid w:val="00052171"/>
    <w:rsid w:val="00052178"/>
    <w:rsid w:val="00052193"/>
    <w:rsid w:val="000521B8"/>
    <w:rsid w:val="000521C2"/>
    <w:rsid w:val="000521C5"/>
    <w:rsid w:val="000521CD"/>
    <w:rsid w:val="000521D8"/>
    <w:rsid w:val="000521FE"/>
    <w:rsid w:val="00052218"/>
    <w:rsid w:val="00052225"/>
    <w:rsid w:val="00052227"/>
    <w:rsid w:val="00052267"/>
    <w:rsid w:val="000522CC"/>
    <w:rsid w:val="00052448"/>
    <w:rsid w:val="00052468"/>
    <w:rsid w:val="00052483"/>
    <w:rsid w:val="0005248B"/>
    <w:rsid w:val="0005249E"/>
    <w:rsid w:val="000524B4"/>
    <w:rsid w:val="000524B5"/>
    <w:rsid w:val="000524FE"/>
    <w:rsid w:val="00052525"/>
    <w:rsid w:val="00052554"/>
    <w:rsid w:val="00052579"/>
    <w:rsid w:val="0005257C"/>
    <w:rsid w:val="0005259D"/>
    <w:rsid w:val="000525C1"/>
    <w:rsid w:val="000525DF"/>
    <w:rsid w:val="000525E8"/>
    <w:rsid w:val="000525FC"/>
    <w:rsid w:val="00052611"/>
    <w:rsid w:val="00052629"/>
    <w:rsid w:val="00052635"/>
    <w:rsid w:val="00052655"/>
    <w:rsid w:val="00052659"/>
    <w:rsid w:val="00052680"/>
    <w:rsid w:val="000526CF"/>
    <w:rsid w:val="000526D4"/>
    <w:rsid w:val="00052734"/>
    <w:rsid w:val="00052772"/>
    <w:rsid w:val="00052784"/>
    <w:rsid w:val="000527B7"/>
    <w:rsid w:val="000527F2"/>
    <w:rsid w:val="000528F8"/>
    <w:rsid w:val="00052930"/>
    <w:rsid w:val="0005294C"/>
    <w:rsid w:val="00052975"/>
    <w:rsid w:val="0005297B"/>
    <w:rsid w:val="000529B4"/>
    <w:rsid w:val="00052A0E"/>
    <w:rsid w:val="00052A17"/>
    <w:rsid w:val="00052A6A"/>
    <w:rsid w:val="00052B1E"/>
    <w:rsid w:val="00052B2C"/>
    <w:rsid w:val="00052BA1"/>
    <w:rsid w:val="00052BC9"/>
    <w:rsid w:val="00052C12"/>
    <w:rsid w:val="00052C2A"/>
    <w:rsid w:val="00052C3A"/>
    <w:rsid w:val="00052C6B"/>
    <w:rsid w:val="00052C9D"/>
    <w:rsid w:val="00052CB1"/>
    <w:rsid w:val="00052D2E"/>
    <w:rsid w:val="00052D51"/>
    <w:rsid w:val="00052D86"/>
    <w:rsid w:val="00052D9C"/>
    <w:rsid w:val="00052DE6"/>
    <w:rsid w:val="00052E84"/>
    <w:rsid w:val="00052E99"/>
    <w:rsid w:val="00052ED8"/>
    <w:rsid w:val="00052EEF"/>
    <w:rsid w:val="00052EFC"/>
    <w:rsid w:val="00052F24"/>
    <w:rsid w:val="00052F5E"/>
    <w:rsid w:val="00052FD3"/>
    <w:rsid w:val="00053041"/>
    <w:rsid w:val="0005306E"/>
    <w:rsid w:val="0005309A"/>
    <w:rsid w:val="000530C6"/>
    <w:rsid w:val="000530D2"/>
    <w:rsid w:val="000530E0"/>
    <w:rsid w:val="000530FF"/>
    <w:rsid w:val="0005312F"/>
    <w:rsid w:val="000531B2"/>
    <w:rsid w:val="000531B4"/>
    <w:rsid w:val="000531C3"/>
    <w:rsid w:val="000531DA"/>
    <w:rsid w:val="00053224"/>
    <w:rsid w:val="0005323A"/>
    <w:rsid w:val="00053257"/>
    <w:rsid w:val="0005328E"/>
    <w:rsid w:val="00053297"/>
    <w:rsid w:val="000532CC"/>
    <w:rsid w:val="000532E8"/>
    <w:rsid w:val="000532EF"/>
    <w:rsid w:val="000532F7"/>
    <w:rsid w:val="000533B8"/>
    <w:rsid w:val="000533C5"/>
    <w:rsid w:val="000533E8"/>
    <w:rsid w:val="000534F7"/>
    <w:rsid w:val="0005352B"/>
    <w:rsid w:val="0005354E"/>
    <w:rsid w:val="00053565"/>
    <w:rsid w:val="00053592"/>
    <w:rsid w:val="000535D8"/>
    <w:rsid w:val="000535F9"/>
    <w:rsid w:val="00053614"/>
    <w:rsid w:val="00053636"/>
    <w:rsid w:val="00053662"/>
    <w:rsid w:val="00053776"/>
    <w:rsid w:val="00053782"/>
    <w:rsid w:val="000537E0"/>
    <w:rsid w:val="00053829"/>
    <w:rsid w:val="00053919"/>
    <w:rsid w:val="0005397F"/>
    <w:rsid w:val="0005398B"/>
    <w:rsid w:val="000539C0"/>
    <w:rsid w:val="000539D0"/>
    <w:rsid w:val="000539F5"/>
    <w:rsid w:val="00053A0D"/>
    <w:rsid w:val="00053A4C"/>
    <w:rsid w:val="00053A66"/>
    <w:rsid w:val="00053AAF"/>
    <w:rsid w:val="00053B11"/>
    <w:rsid w:val="00053B44"/>
    <w:rsid w:val="00053B5F"/>
    <w:rsid w:val="00053B74"/>
    <w:rsid w:val="00053BDA"/>
    <w:rsid w:val="00053C3E"/>
    <w:rsid w:val="00053CEB"/>
    <w:rsid w:val="00053CF3"/>
    <w:rsid w:val="00053D00"/>
    <w:rsid w:val="00053D11"/>
    <w:rsid w:val="00053D1D"/>
    <w:rsid w:val="00053DA0"/>
    <w:rsid w:val="00053DC5"/>
    <w:rsid w:val="00053DDD"/>
    <w:rsid w:val="00053DEA"/>
    <w:rsid w:val="00053E25"/>
    <w:rsid w:val="00053E50"/>
    <w:rsid w:val="00053E69"/>
    <w:rsid w:val="00053E9F"/>
    <w:rsid w:val="00053EB7"/>
    <w:rsid w:val="00053F01"/>
    <w:rsid w:val="00053F22"/>
    <w:rsid w:val="00053F56"/>
    <w:rsid w:val="00053F6C"/>
    <w:rsid w:val="00053FC0"/>
    <w:rsid w:val="00054064"/>
    <w:rsid w:val="00054089"/>
    <w:rsid w:val="0005417C"/>
    <w:rsid w:val="000541AB"/>
    <w:rsid w:val="00054222"/>
    <w:rsid w:val="00054252"/>
    <w:rsid w:val="00054276"/>
    <w:rsid w:val="0005428C"/>
    <w:rsid w:val="000542A3"/>
    <w:rsid w:val="000542BB"/>
    <w:rsid w:val="000542E7"/>
    <w:rsid w:val="00054304"/>
    <w:rsid w:val="00054313"/>
    <w:rsid w:val="0005433D"/>
    <w:rsid w:val="00054360"/>
    <w:rsid w:val="00054383"/>
    <w:rsid w:val="000543B4"/>
    <w:rsid w:val="000543DD"/>
    <w:rsid w:val="000543F5"/>
    <w:rsid w:val="0005443E"/>
    <w:rsid w:val="00054483"/>
    <w:rsid w:val="000544A5"/>
    <w:rsid w:val="000544EF"/>
    <w:rsid w:val="00054504"/>
    <w:rsid w:val="00054546"/>
    <w:rsid w:val="00054557"/>
    <w:rsid w:val="0005457C"/>
    <w:rsid w:val="00054622"/>
    <w:rsid w:val="00054655"/>
    <w:rsid w:val="00054690"/>
    <w:rsid w:val="000546A7"/>
    <w:rsid w:val="000546DD"/>
    <w:rsid w:val="000546DE"/>
    <w:rsid w:val="00054765"/>
    <w:rsid w:val="00054784"/>
    <w:rsid w:val="000547A5"/>
    <w:rsid w:val="000547F3"/>
    <w:rsid w:val="00054891"/>
    <w:rsid w:val="000548AC"/>
    <w:rsid w:val="000548BA"/>
    <w:rsid w:val="000548F0"/>
    <w:rsid w:val="00054939"/>
    <w:rsid w:val="00054961"/>
    <w:rsid w:val="0005497D"/>
    <w:rsid w:val="00054980"/>
    <w:rsid w:val="000549B9"/>
    <w:rsid w:val="00054A0C"/>
    <w:rsid w:val="00054A16"/>
    <w:rsid w:val="00054A58"/>
    <w:rsid w:val="00054A86"/>
    <w:rsid w:val="00054A87"/>
    <w:rsid w:val="00054A91"/>
    <w:rsid w:val="00054A9B"/>
    <w:rsid w:val="00054B57"/>
    <w:rsid w:val="00054BE3"/>
    <w:rsid w:val="00054C2A"/>
    <w:rsid w:val="00054C4E"/>
    <w:rsid w:val="00054C7B"/>
    <w:rsid w:val="00054CC9"/>
    <w:rsid w:val="00054CCD"/>
    <w:rsid w:val="00054D69"/>
    <w:rsid w:val="00054DD1"/>
    <w:rsid w:val="00054DEB"/>
    <w:rsid w:val="00054E25"/>
    <w:rsid w:val="00054E38"/>
    <w:rsid w:val="00054E58"/>
    <w:rsid w:val="00054E5D"/>
    <w:rsid w:val="00054E65"/>
    <w:rsid w:val="00054E6A"/>
    <w:rsid w:val="00054E77"/>
    <w:rsid w:val="00054EA1"/>
    <w:rsid w:val="00054EA4"/>
    <w:rsid w:val="00054EA7"/>
    <w:rsid w:val="00054EC4"/>
    <w:rsid w:val="00054ECC"/>
    <w:rsid w:val="00054F05"/>
    <w:rsid w:val="00054F0B"/>
    <w:rsid w:val="00054F22"/>
    <w:rsid w:val="00054F28"/>
    <w:rsid w:val="00054F65"/>
    <w:rsid w:val="00054FDE"/>
    <w:rsid w:val="00055005"/>
    <w:rsid w:val="00055029"/>
    <w:rsid w:val="0005503F"/>
    <w:rsid w:val="000550A8"/>
    <w:rsid w:val="000550BF"/>
    <w:rsid w:val="000550EA"/>
    <w:rsid w:val="000551A1"/>
    <w:rsid w:val="000551CD"/>
    <w:rsid w:val="000551F2"/>
    <w:rsid w:val="00055276"/>
    <w:rsid w:val="000552C5"/>
    <w:rsid w:val="000552DC"/>
    <w:rsid w:val="000552EA"/>
    <w:rsid w:val="00055301"/>
    <w:rsid w:val="0005535B"/>
    <w:rsid w:val="0005537C"/>
    <w:rsid w:val="00055388"/>
    <w:rsid w:val="000553A1"/>
    <w:rsid w:val="000553C2"/>
    <w:rsid w:val="000553FF"/>
    <w:rsid w:val="0005541C"/>
    <w:rsid w:val="00055473"/>
    <w:rsid w:val="0005547B"/>
    <w:rsid w:val="000554AC"/>
    <w:rsid w:val="000554EA"/>
    <w:rsid w:val="0005552F"/>
    <w:rsid w:val="00055559"/>
    <w:rsid w:val="00055579"/>
    <w:rsid w:val="00055584"/>
    <w:rsid w:val="00055585"/>
    <w:rsid w:val="000555A1"/>
    <w:rsid w:val="000555AE"/>
    <w:rsid w:val="000555FD"/>
    <w:rsid w:val="00055613"/>
    <w:rsid w:val="00055614"/>
    <w:rsid w:val="00055672"/>
    <w:rsid w:val="00055686"/>
    <w:rsid w:val="00055699"/>
    <w:rsid w:val="000556A7"/>
    <w:rsid w:val="000556BC"/>
    <w:rsid w:val="000556E7"/>
    <w:rsid w:val="00055740"/>
    <w:rsid w:val="00055793"/>
    <w:rsid w:val="000557A8"/>
    <w:rsid w:val="000557E5"/>
    <w:rsid w:val="0005583D"/>
    <w:rsid w:val="00055874"/>
    <w:rsid w:val="000558BE"/>
    <w:rsid w:val="0005595B"/>
    <w:rsid w:val="0005596C"/>
    <w:rsid w:val="000559AF"/>
    <w:rsid w:val="000559BA"/>
    <w:rsid w:val="000559C1"/>
    <w:rsid w:val="00055A2F"/>
    <w:rsid w:val="00055A6F"/>
    <w:rsid w:val="00055A98"/>
    <w:rsid w:val="00055AC9"/>
    <w:rsid w:val="00055B16"/>
    <w:rsid w:val="00055B49"/>
    <w:rsid w:val="00055B69"/>
    <w:rsid w:val="00055B88"/>
    <w:rsid w:val="00055B97"/>
    <w:rsid w:val="00055BA7"/>
    <w:rsid w:val="00055BC7"/>
    <w:rsid w:val="00055C85"/>
    <w:rsid w:val="00055CCB"/>
    <w:rsid w:val="00055D00"/>
    <w:rsid w:val="00055D4A"/>
    <w:rsid w:val="00055D76"/>
    <w:rsid w:val="00055D9C"/>
    <w:rsid w:val="00055DAA"/>
    <w:rsid w:val="00055DB5"/>
    <w:rsid w:val="00055DCC"/>
    <w:rsid w:val="00055DF1"/>
    <w:rsid w:val="00055E2B"/>
    <w:rsid w:val="00055E74"/>
    <w:rsid w:val="00055E8C"/>
    <w:rsid w:val="00055EA2"/>
    <w:rsid w:val="00055EC0"/>
    <w:rsid w:val="00055EDD"/>
    <w:rsid w:val="00055EDF"/>
    <w:rsid w:val="00055FAB"/>
    <w:rsid w:val="00055FBD"/>
    <w:rsid w:val="00055FCA"/>
    <w:rsid w:val="00055FD4"/>
    <w:rsid w:val="00055FF3"/>
    <w:rsid w:val="0005602E"/>
    <w:rsid w:val="000560A5"/>
    <w:rsid w:val="000560CB"/>
    <w:rsid w:val="000560CD"/>
    <w:rsid w:val="000560D6"/>
    <w:rsid w:val="000560F1"/>
    <w:rsid w:val="0005617F"/>
    <w:rsid w:val="00056190"/>
    <w:rsid w:val="000561CA"/>
    <w:rsid w:val="000561D4"/>
    <w:rsid w:val="000561E7"/>
    <w:rsid w:val="00056205"/>
    <w:rsid w:val="00056250"/>
    <w:rsid w:val="0005629D"/>
    <w:rsid w:val="000562B9"/>
    <w:rsid w:val="000562FC"/>
    <w:rsid w:val="00056315"/>
    <w:rsid w:val="00056380"/>
    <w:rsid w:val="00056390"/>
    <w:rsid w:val="000563BB"/>
    <w:rsid w:val="000563E4"/>
    <w:rsid w:val="00056465"/>
    <w:rsid w:val="00056490"/>
    <w:rsid w:val="00056498"/>
    <w:rsid w:val="000564A9"/>
    <w:rsid w:val="000564D0"/>
    <w:rsid w:val="000564D5"/>
    <w:rsid w:val="00056522"/>
    <w:rsid w:val="00056526"/>
    <w:rsid w:val="0005660C"/>
    <w:rsid w:val="00056633"/>
    <w:rsid w:val="0005666D"/>
    <w:rsid w:val="0005669A"/>
    <w:rsid w:val="000566EC"/>
    <w:rsid w:val="00056767"/>
    <w:rsid w:val="0005676F"/>
    <w:rsid w:val="00056797"/>
    <w:rsid w:val="00056806"/>
    <w:rsid w:val="0005680C"/>
    <w:rsid w:val="0005681B"/>
    <w:rsid w:val="0005682F"/>
    <w:rsid w:val="00056845"/>
    <w:rsid w:val="000568CA"/>
    <w:rsid w:val="00056932"/>
    <w:rsid w:val="0005693B"/>
    <w:rsid w:val="0005697C"/>
    <w:rsid w:val="000569A2"/>
    <w:rsid w:val="000569B8"/>
    <w:rsid w:val="000569D4"/>
    <w:rsid w:val="00056A35"/>
    <w:rsid w:val="00056A4B"/>
    <w:rsid w:val="00056A4D"/>
    <w:rsid w:val="00056A8C"/>
    <w:rsid w:val="00056A8D"/>
    <w:rsid w:val="00056AB2"/>
    <w:rsid w:val="00056B4A"/>
    <w:rsid w:val="00056B4B"/>
    <w:rsid w:val="00056B74"/>
    <w:rsid w:val="00056B93"/>
    <w:rsid w:val="00056B97"/>
    <w:rsid w:val="00056BE4"/>
    <w:rsid w:val="00056C25"/>
    <w:rsid w:val="00056C26"/>
    <w:rsid w:val="00056CB4"/>
    <w:rsid w:val="00056D15"/>
    <w:rsid w:val="00056D25"/>
    <w:rsid w:val="00056D38"/>
    <w:rsid w:val="00056D8A"/>
    <w:rsid w:val="00056D8E"/>
    <w:rsid w:val="00056DB5"/>
    <w:rsid w:val="00056DF3"/>
    <w:rsid w:val="00056E00"/>
    <w:rsid w:val="00056E0D"/>
    <w:rsid w:val="00056E43"/>
    <w:rsid w:val="00056E4C"/>
    <w:rsid w:val="00056E5D"/>
    <w:rsid w:val="00056E98"/>
    <w:rsid w:val="00056EB8"/>
    <w:rsid w:val="00056EDC"/>
    <w:rsid w:val="00056F6E"/>
    <w:rsid w:val="00056FA0"/>
    <w:rsid w:val="00056FBF"/>
    <w:rsid w:val="00056FF2"/>
    <w:rsid w:val="00057005"/>
    <w:rsid w:val="0005700C"/>
    <w:rsid w:val="00057010"/>
    <w:rsid w:val="000570E5"/>
    <w:rsid w:val="000570E7"/>
    <w:rsid w:val="000570F2"/>
    <w:rsid w:val="00057101"/>
    <w:rsid w:val="00057162"/>
    <w:rsid w:val="0005716F"/>
    <w:rsid w:val="000571B5"/>
    <w:rsid w:val="00057202"/>
    <w:rsid w:val="0005721C"/>
    <w:rsid w:val="00057234"/>
    <w:rsid w:val="00057249"/>
    <w:rsid w:val="00057262"/>
    <w:rsid w:val="0005729C"/>
    <w:rsid w:val="000572C5"/>
    <w:rsid w:val="0005731B"/>
    <w:rsid w:val="00057324"/>
    <w:rsid w:val="00057328"/>
    <w:rsid w:val="0005733C"/>
    <w:rsid w:val="0005734F"/>
    <w:rsid w:val="00057356"/>
    <w:rsid w:val="00057362"/>
    <w:rsid w:val="000573BB"/>
    <w:rsid w:val="000573E5"/>
    <w:rsid w:val="00057423"/>
    <w:rsid w:val="0005742C"/>
    <w:rsid w:val="00057483"/>
    <w:rsid w:val="000574AE"/>
    <w:rsid w:val="000574B8"/>
    <w:rsid w:val="000574BF"/>
    <w:rsid w:val="000574F2"/>
    <w:rsid w:val="0005756D"/>
    <w:rsid w:val="000575A3"/>
    <w:rsid w:val="000575AD"/>
    <w:rsid w:val="0005760B"/>
    <w:rsid w:val="0005760C"/>
    <w:rsid w:val="00057612"/>
    <w:rsid w:val="00057637"/>
    <w:rsid w:val="000576CD"/>
    <w:rsid w:val="0005770B"/>
    <w:rsid w:val="00057794"/>
    <w:rsid w:val="00057797"/>
    <w:rsid w:val="000577BD"/>
    <w:rsid w:val="000577CD"/>
    <w:rsid w:val="000577D3"/>
    <w:rsid w:val="000577E1"/>
    <w:rsid w:val="00057856"/>
    <w:rsid w:val="000578AE"/>
    <w:rsid w:val="000578DB"/>
    <w:rsid w:val="000578EF"/>
    <w:rsid w:val="0005799E"/>
    <w:rsid w:val="0005799F"/>
    <w:rsid w:val="000579C4"/>
    <w:rsid w:val="00057A1C"/>
    <w:rsid w:val="00057A47"/>
    <w:rsid w:val="00057AE3"/>
    <w:rsid w:val="00057AF0"/>
    <w:rsid w:val="00057B05"/>
    <w:rsid w:val="00057B07"/>
    <w:rsid w:val="00057BE5"/>
    <w:rsid w:val="00057C67"/>
    <w:rsid w:val="00057CDA"/>
    <w:rsid w:val="00057D00"/>
    <w:rsid w:val="00057D52"/>
    <w:rsid w:val="00057D8A"/>
    <w:rsid w:val="00057DA3"/>
    <w:rsid w:val="00057DC5"/>
    <w:rsid w:val="00057DD3"/>
    <w:rsid w:val="00057DE6"/>
    <w:rsid w:val="00057E09"/>
    <w:rsid w:val="00057E0D"/>
    <w:rsid w:val="00057E78"/>
    <w:rsid w:val="00057E85"/>
    <w:rsid w:val="00057EA4"/>
    <w:rsid w:val="00057EDC"/>
    <w:rsid w:val="00057EFB"/>
    <w:rsid w:val="00057F39"/>
    <w:rsid w:val="00057F92"/>
    <w:rsid w:val="00060045"/>
    <w:rsid w:val="000600D5"/>
    <w:rsid w:val="0006011E"/>
    <w:rsid w:val="00060167"/>
    <w:rsid w:val="000601B9"/>
    <w:rsid w:val="000601D3"/>
    <w:rsid w:val="00060204"/>
    <w:rsid w:val="00060234"/>
    <w:rsid w:val="0006023E"/>
    <w:rsid w:val="00060273"/>
    <w:rsid w:val="000602DB"/>
    <w:rsid w:val="00060321"/>
    <w:rsid w:val="0006032B"/>
    <w:rsid w:val="00060371"/>
    <w:rsid w:val="000603F8"/>
    <w:rsid w:val="0006040B"/>
    <w:rsid w:val="0006040E"/>
    <w:rsid w:val="00060467"/>
    <w:rsid w:val="00060477"/>
    <w:rsid w:val="0006049B"/>
    <w:rsid w:val="000604B9"/>
    <w:rsid w:val="00060543"/>
    <w:rsid w:val="00060563"/>
    <w:rsid w:val="00060575"/>
    <w:rsid w:val="0006057F"/>
    <w:rsid w:val="00060584"/>
    <w:rsid w:val="0006059A"/>
    <w:rsid w:val="000605D6"/>
    <w:rsid w:val="000605F5"/>
    <w:rsid w:val="00060619"/>
    <w:rsid w:val="00060659"/>
    <w:rsid w:val="00060749"/>
    <w:rsid w:val="00060758"/>
    <w:rsid w:val="000607C2"/>
    <w:rsid w:val="0006083E"/>
    <w:rsid w:val="0006085B"/>
    <w:rsid w:val="0006089B"/>
    <w:rsid w:val="000608EA"/>
    <w:rsid w:val="000609B1"/>
    <w:rsid w:val="00060A76"/>
    <w:rsid w:val="00060A8F"/>
    <w:rsid w:val="00060AA6"/>
    <w:rsid w:val="00060AB6"/>
    <w:rsid w:val="00060B45"/>
    <w:rsid w:val="00060B85"/>
    <w:rsid w:val="00060B88"/>
    <w:rsid w:val="00060C48"/>
    <w:rsid w:val="00060C52"/>
    <w:rsid w:val="00060C5F"/>
    <w:rsid w:val="00060C64"/>
    <w:rsid w:val="00060CEF"/>
    <w:rsid w:val="00060D10"/>
    <w:rsid w:val="00060D7B"/>
    <w:rsid w:val="00060DB0"/>
    <w:rsid w:val="00060E59"/>
    <w:rsid w:val="00060E9C"/>
    <w:rsid w:val="00060EAB"/>
    <w:rsid w:val="00060EB2"/>
    <w:rsid w:val="00060EF6"/>
    <w:rsid w:val="00060EF8"/>
    <w:rsid w:val="00060F1B"/>
    <w:rsid w:val="00060F3B"/>
    <w:rsid w:val="00060F52"/>
    <w:rsid w:val="00060F6F"/>
    <w:rsid w:val="00060F90"/>
    <w:rsid w:val="00060FE7"/>
    <w:rsid w:val="00061036"/>
    <w:rsid w:val="00061047"/>
    <w:rsid w:val="00061068"/>
    <w:rsid w:val="00061074"/>
    <w:rsid w:val="00061108"/>
    <w:rsid w:val="00061168"/>
    <w:rsid w:val="0006119E"/>
    <w:rsid w:val="000611B0"/>
    <w:rsid w:val="000611D5"/>
    <w:rsid w:val="000611ED"/>
    <w:rsid w:val="0006124E"/>
    <w:rsid w:val="00061251"/>
    <w:rsid w:val="0006126E"/>
    <w:rsid w:val="000612B3"/>
    <w:rsid w:val="000612D0"/>
    <w:rsid w:val="00061320"/>
    <w:rsid w:val="00061324"/>
    <w:rsid w:val="0006132D"/>
    <w:rsid w:val="000613BC"/>
    <w:rsid w:val="000613FB"/>
    <w:rsid w:val="00061453"/>
    <w:rsid w:val="00061480"/>
    <w:rsid w:val="00061488"/>
    <w:rsid w:val="00061490"/>
    <w:rsid w:val="0006149D"/>
    <w:rsid w:val="000614CB"/>
    <w:rsid w:val="000614E1"/>
    <w:rsid w:val="00061584"/>
    <w:rsid w:val="000615B6"/>
    <w:rsid w:val="000615BB"/>
    <w:rsid w:val="000615E7"/>
    <w:rsid w:val="000615F6"/>
    <w:rsid w:val="00061600"/>
    <w:rsid w:val="00061609"/>
    <w:rsid w:val="00061623"/>
    <w:rsid w:val="00061654"/>
    <w:rsid w:val="00061666"/>
    <w:rsid w:val="00061678"/>
    <w:rsid w:val="00061683"/>
    <w:rsid w:val="0006168B"/>
    <w:rsid w:val="000616B9"/>
    <w:rsid w:val="000616CD"/>
    <w:rsid w:val="000616D2"/>
    <w:rsid w:val="000616D3"/>
    <w:rsid w:val="000616D4"/>
    <w:rsid w:val="00061739"/>
    <w:rsid w:val="0006173B"/>
    <w:rsid w:val="00061786"/>
    <w:rsid w:val="000617B2"/>
    <w:rsid w:val="000617CC"/>
    <w:rsid w:val="00061842"/>
    <w:rsid w:val="0006184F"/>
    <w:rsid w:val="00061857"/>
    <w:rsid w:val="0006189E"/>
    <w:rsid w:val="000618C4"/>
    <w:rsid w:val="000618DC"/>
    <w:rsid w:val="000618FE"/>
    <w:rsid w:val="0006191E"/>
    <w:rsid w:val="0006197C"/>
    <w:rsid w:val="0006197D"/>
    <w:rsid w:val="000619AD"/>
    <w:rsid w:val="000619B4"/>
    <w:rsid w:val="000619DC"/>
    <w:rsid w:val="00061A40"/>
    <w:rsid w:val="00061A52"/>
    <w:rsid w:val="00061A7D"/>
    <w:rsid w:val="00061A88"/>
    <w:rsid w:val="00061A9E"/>
    <w:rsid w:val="00061AAC"/>
    <w:rsid w:val="00061AEB"/>
    <w:rsid w:val="00061AF1"/>
    <w:rsid w:val="00061B0E"/>
    <w:rsid w:val="00061B1B"/>
    <w:rsid w:val="00061BB3"/>
    <w:rsid w:val="00061BD9"/>
    <w:rsid w:val="00061C09"/>
    <w:rsid w:val="00061C1B"/>
    <w:rsid w:val="00061C6A"/>
    <w:rsid w:val="00061CEA"/>
    <w:rsid w:val="00061D28"/>
    <w:rsid w:val="00061D61"/>
    <w:rsid w:val="00061DBD"/>
    <w:rsid w:val="00061DCC"/>
    <w:rsid w:val="00061DD0"/>
    <w:rsid w:val="00061DFC"/>
    <w:rsid w:val="00061E08"/>
    <w:rsid w:val="00061E84"/>
    <w:rsid w:val="00061EF2"/>
    <w:rsid w:val="00061F0A"/>
    <w:rsid w:val="00061F1B"/>
    <w:rsid w:val="00061F53"/>
    <w:rsid w:val="00061F71"/>
    <w:rsid w:val="00061F77"/>
    <w:rsid w:val="00061FE5"/>
    <w:rsid w:val="000620A4"/>
    <w:rsid w:val="000620BB"/>
    <w:rsid w:val="0006210C"/>
    <w:rsid w:val="00062153"/>
    <w:rsid w:val="0006217F"/>
    <w:rsid w:val="000621D9"/>
    <w:rsid w:val="000621DA"/>
    <w:rsid w:val="00062206"/>
    <w:rsid w:val="0006225A"/>
    <w:rsid w:val="000622A7"/>
    <w:rsid w:val="00062386"/>
    <w:rsid w:val="00062416"/>
    <w:rsid w:val="00062467"/>
    <w:rsid w:val="0006249E"/>
    <w:rsid w:val="000624A4"/>
    <w:rsid w:val="000624D2"/>
    <w:rsid w:val="000624DA"/>
    <w:rsid w:val="00062510"/>
    <w:rsid w:val="0006251A"/>
    <w:rsid w:val="00062575"/>
    <w:rsid w:val="00062613"/>
    <w:rsid w:val="00062669"/>
    <w:rsid w:val="0006269C"/>
    <w:rsid w:val="000626CC"/>
    <w:rsid w:val="00062713"/>
    <w:rsid w:val="0006276F"/>
    <w:rsid w:val="000627CF"/>
    <w:rsid w:val="0006280D"/>
    <w:rsid w:val="00062821"/>
    <w:rsid w:val="00062833"/>
    <w:rsid w:val="00062834"/>
    <w:rsid w:val="000628E2"/>
    <w:rsid w:val="0006292F"/>
    <w:rsid w:val="00062954"/>
    <w:rsid w:val="00062A30"/>
    <w:rsid w:val="00062A31"/>
    <w:rsid w:val="00062ACA"/>
    <w:rsid w:val="00062ACB"/>
    <w:rsid w:val="00062AE5"/>
    <w:rsid w:val="00062B57"/>
    <w:rsid w:val="00062B7E"/>
    <w:rsid w:val="00062BD1"/>
    <w:rsid w:val="00062C26"/>
    <w:rsid w:val="00062C4E"/>
    <w:rsid w:val="00062C75"/>
    <w:rsid w:val="00062C77"/>
    <w:rsid w:val="00062C7D"/>
    <w:rsid w:val="00062CA4"/>
    <w:rsid w:val="00062D01"/>
    <w:rsid w:val="00062D15"/>
    <w:rsid w:val="00062D1C"/>
    <w:rsid w:val="00062D1F"/>
    <w:rsid w:val="00062DA5"/>
    <w:rsid w:val="00062E85"/>
    <w:rsid w:val="00062E8A"/>
    <w:rsid w:val="00062ECD"/>
    <w:rsid w:val="00062F35"/>
    <w:rsid w:val="00062F7F"/>
    <w:rsid w:val="00062F81"/>
    <w:rsid w:val="00062FA2"/>
    <w:rsid w:val="0006303C"/>
    <w:rsid w:val="0006304A"/>
    <w:rsid w:val="000630FF"/>
    <w:rsid w:val="00063108"/>
    <w:rsid w:val="0006310C"/>
    <w:rsid w:val="00063139"/>
    <w:rsid w:val="00063149"/>
    <w:rsid w:val="0006315D"/>
    <w:rsid w:val="0006316B"/>
    <w:rsid w:val="00063189"/>
    <w:rsid w:val="0006318A"/>
    <w:rsid w:val="0006320A"/>
    <w:rsid w:val="00063211"/>
    <w:rsid w:val="0006321B"/>
    <w:rsid w:val="00063287"/>
    <w:rsid w:val="00063290"/>
    <w:rsid w:val="000632C4"/>
    <w:rsid w:val="00063304"/>
    <w:rsid w:val="00063315"/>
    <w:rsid w:val="00063338"/>
    <w:rsid w:val="0006334B"/>
    <w:rsid w:val="00063374"/>
    <w:rsid w:val="00063394"/>
    <w:rsid w:val="0006343A"/>
    <w:rsid w:val="0006345D"/>
    <w:rsid w:val="00063495"/>
    <w:rsid w:val="000634AE"/>
    <w:rsid w:val="000634B5"/>
    <w:rsid w:val="000634B7"/>
    <w:rsid w:val="000634C9"/>
    <w:rsid w:val="000634E7"/>
    <w:rsid w:val="00063519"/>
    <w:rsid w:val="00063572"/>
    <w:rsid w:val="00063599"/>
    <w:rsid w:val="0006360D"/>
    <w:rsid w:val="000636A4"/>
    <w:rsid w:val="000636E2"/>
    <w:rsid w:val="0006374F"/>
    <w:rsid w:val="0006376F"/>
    <w:rsid w:val="0006381A"/>
    <w:rsid w:val="0006398B"/>
    <w:rsid w:val="000639CF"/>
    <w:rsid w:val="000639DC"/>
    <w:rsid w:val="00063A20"/>
    <w:rsid w:val="00063A47"/>
    <w:rsid w:val="00063AA5"/>
    <w:rsid w:val="00063B61"/>
    <w:rsid w:val="00063BA9"/>
    <w:rsid w:val="00063BCE"/>
    <w:rsid w:val="00063BEA"/>
    <w:rsid w:val="00063BFC"/>
    <w:rsid w:val="00063C17"/>
    <w:rsid w:val="00063C55"/>
    <w:rsid w:val="00063C7A"/>
    <w:rsid w:val="00063C97"/>
    <w:rsid w:val="00063C98"/>
    <w:rsid w:val="00063C99"/>
    <w:rsid w:val="00063D0D"/>
    <w:rsid w:val="00063D35"/>
    <w:rsid w:val="00063D82"/>
    <w:rsid w:val="00063DF3"/>
    <w:rsid w:val="00063E4E"/>
    <w:rsid w:val="00063E4F"/>
    <w:rsid w:val="00063EAD"/>
    <w:rsid w:val="00063F03"/>
    <w:rsid w:val="00063F0E"/>
    <w:rsid w:val="00063F41"/>
    <w:rsid w:val="00063F81"/>
    <w:rsid w:val="00063F87"/>
    <w:rsid w:val="00064007"/>
    <w:rsid w:val="0006403F"/>
    <w:rsid w:val="00064046"/>
    <w:rsid w:val="00064051"/>
    <w:rsid w:val="000640BB"/>
    <w:rsid w:val="00064142"/>
    <w:rsid w:val="00064158"/>
    <w:rsid w:val="000641D7"/>
    <w:rsid w:val="00064282"/>
    <w:rsid w:val="000642A2"/>
    <w:rsid w:val="000642F4"/>
    <w:rsid w:val="00064314"/>
    <w:rsid w:val="00064326"/>
    <w:rsid w:val="0006436F"/>
    <w:rsid w:val="000643B6"/>
    <w:rsid w:val="000644D1"/>
    <w:rsid w:val="00064515"/>
    <w:rsid w:val="0006453A"/>
    <w:rsid w:val="0006455E"/>
    <w:rsid w:val="00064560"/>
    <w:rsid w:val="000645BA"/>
    <w:rsid w:val="000645EC"/>
    <w:rsid w:val="00064650"/>
    <w:rsid w:val="0006468C"/>
    <w:rsid w:val="000646B1"/>
    <w:rsid w:val="000646C8"/>
    <w:rsid w:val="000646D6"/>
    <w:rsid w:val="000646DE"/>
    <w:rsid w:val="00064710"/>
    <w:rsid w:val="000647AB"/>
    <w:rsid w:val="00064817"/>
    <w:rsid w:val="0006481F"/>
    <w:rsid w:val="00064861"/>
    <w:rsid w:val="00064868"/>
    <w:rsid w:val="0006488B"/>
    <w:rsid w:val="000648BB"/>
    <w:rsid w:val="000648C0"/>
    <w:rsid w:val="00064929"/>
    <w:rsid w:val="0006496E"/>
    <w:rsid w:val="000649AE"/>
    <w:rsid w:val="000649C2"/>
    <w:rsid w:val="000649FB"/>
    <w:rsid w:val="00064A43"/>
    <w:rsid w:val="00064A9D"/>
    <w:rsid w:val="00064AAA"/>
    <w:rsid w:val="00064B0B"/>
    <w:rsid w:val="00064B4F"/>
    <w:rsid w:val="00064B63"/>
    <w:rsid w:val="00064B76"/>
    <w:rsid w:val="00064B94"/>
    <w:rsid w:val="00064B9E"/>
    <w:rsid w:val="00064BB5"/>
    <w:rsid w:val="00064BD3"/>
    <w:rsid w:val="00064BD6"/>
    <w:rsid w:val="00064C79"/>
    <w:rsid w:val="00064CAE"/>
    <w:rsid w:val="00064CEE"/>
    <w:rsid w:val="00064CF5"/>
    <w:rsid w:val="00064CFC"/>
    <w:rsid w:val="00064D35"/>
    <w:rsid w:val="00064D44"/>
    <w:rsid w:val="00064D4F"/>
    <w:rsid w:val="00064D64"/>
    <w:rsid w:val="00064D86"/>
    <w:rsid w:val="00064DE0"/>
    <w:rsid w:val="00064DEE"/>
    <w:rsid w:val="00064E6B"/>
    <w:rsid w:val="00064E90"/>
    <w:rsid w:val="00064E98"/>
    <w:rsid w:val="00064E9C"/>
    <w:rsid w:val="00064ECE"/>
    <w:rsid w:val="00064EDD"/>
    <w:rsid w:val="00064F43"/>
    <w:rsid w:val="00064F72"/>
    <w:rsid w:val="00064F7D"/>
    <w:rsid w:val="00065007"/>
    <w:rsid w:val="0006506A"/>
    <w:rsid w:val="00065084"/>
    <w:rsid w:val="00065153"/>
    <w:rsid w:val="000651A3"/>
    <w:rsid w:val="000651A7"/>
    <w:rsid w:val="000651B9"/>
    <w:rsid w:val="000651CB"/>
    <w:rsid w:val="00065205"/>
    <w:rsid w:val="00065242"/>
    <w:rsid w:val="00065297"/>
    <w:rsid w:val="000652AC"/>
    <w:rsid w:val="0006534C"/>
    <w:rsid w:val="0006536A"/>
    <w:rsid w:val="00065381"/>
    <w:rsid w:val="0006544D"/>
    <w:rsid w:val="0006546F"/>
    <w:rsid w:val="00065478"/>
    <w:rsid w:val="000654C9"/>
    <w:rsid w:val="000654D9"/>
    <w:rsid w:val="00065505"/>
    <w:rsid w:val="0006552C"/>
    <w:rsid w:val="00065541"/>
    <w:rsid w:val="00065549"/>
    <w:rsid w:val="00065563"/>
    <w:rsid w:val="00065573"/>
    <w:rsid w:val="00065586"/>
    <w:rsid w:val="000655FA"/>
    <w:rsid w:val="00065600"/>
    <w:rsid w:val="0006563B"/>
    <w:rsid w:val="00065653"/>
    <w:rsid w:val="00065766"/>
    <w:rsid w:val="0006576B"/>
    <w:rsid w:val="0006577E"/>
    <w:rsid w:val="000657CD"/>
    <w:rsid w:val="00065827"/>
    <w:rsid w:val="00065852"/>
    <w:rsid w:val="0006587F"/>
    <w:rsid w:val="00065897"/>
    <w:rsid w:val="00065900"/>
    <w:rsid w:val="0006591E"/>
    <w:rsid w:val="00065927"/>
    <w:rsid w:val="00065931"/>
    <w:rsid w:val="00065935"/>
    <w:rsid w:val="00065993"/>
    <w:rsid w:val="000659B7"/>
    <w:rsid w:val="00065A04"/>
    <w:rsid w:val="00065A0E"/>
    <w:rsid w:val="00065A14"/>
    <w:rsid w:val="00065AFE"/>
    <w:rsid w:val="00065B35"/>
    <w:rsid w:val="00065B43"/>
    <w:rsid w:val="00065BBE"/>
    <w:rsid w:val="00065BE0"/>
    <w:rsid w:val="00065BF6"/>
    <w:rsid w:val="00065C43"/>
    <w:rsid w:val="00065C7C"/>
    <w:rsid w:val="00065CB1"/>
    <w:rsid w:val="00065CC1"/>
    <w:rsid w:val="00065CD1"/>
    <w:rsid w:val="00065CDE"/>
    <w:rsid w:val="00065D10"/>
    <w:rsid w:val="00065D33"/>
    <w:rsid w:val="00065DFE"/>
    <w:rsid w:val="00065E4B"/>
    <w:rsid w:val="00065E4F"/>
    <w:rsid w:val="00065E93"/>
    <w:rsid w:val="00065EA0"/>
    <w:rsid w:val="00065EA6"/>
    <w:rsid w:val="00065EAA"/>
    <w:rsid w:val="00065EAD"/>
    <w:rsid w:val="0006601B"/>
    <w:rsid w:val="00066049"/>
    <w:rsid w:val="00066091"/>
    <w:rsid w:val="000660B2"/>
    <w:rsid w:val="00066132"/>
    <w:rsid w:val="00066174"/>
    <w:rsid w:val="000661AA"/>
    <w:rsid w:val="000661CD"/>
    <w:rsid w:val="000661E0"/>
    <w:rsid w:val="00066214"/>
    <w:rsid w:val="0006622E"/>
    <w:rsid w:val="0006624B"/>
    <w:rsid w:val="000662BC"/>
    <w:rsid w:val="000662EF"/>
    <w:rsid w:val="000662F6"/>
    <w:rsid w:val="000662FD"/>
    <w:rsid w:val="00066389"/>
    <w:rsid w:val="000663C0"/>
    <w:rsid w:val="00066405"/>
    <w:rsid w:val="00066455"/>
    <w:rsid w:val="0006646F"/>
    <w:rsid w:val="00066491"/>
    <w:rsid w:val="00066496"/>
    <w:rsid w:val="000664F7"/>
    <w:rsid w:val="0006653E"/>
    <w:rsid w:val="000665B6"/>
    <w:rsid w:val="000665C2"/>
    <w:rsid w:val="000665C9"/>
    <w:rsid w:val="00066655"/>
    <w:rsid w:val="0006669D"/>
    <w:rsid w:val="000666B8"/>
    <w:rsid w:val="0006670E"/>
    <w:rsid w:val="0006672F"/>
    <w:rsid w:val="0006674E"/>
    <w:rsid w:val="00066766"/>
    <w:rsid w:val="000667B1"/>
    <w:rsid w:val="0006684A"/>
    <w:rsid w:val="00066876"/>
    <w:rsid w:val="00066893"/>
    <w:rsid w:val="00066895"/>
    <w:rsid w:val="000668DB"/>
    <w:rsid w:val="00066967"/>
    <w:rsid w:val="0006699E"/>
    <w:rsid w:val="000669B8"/>
    <w:rsid w:val="000669BA"/>
    <w:rsid w:val="000669F0"/>
    <w:rsid w:val="00066A10"/>
    <w:rsid w:val="00066A22"/>
    <w:rsid w:val="00066A49"/>
    <w:rsid w:val="00066A58"/>
    <w:rsid w:val="00066AF5"/>
    <w:rsid w:val="00066B0F"/>
    <w:rsid w:val="00066B74"/>
    <w:rsid w:val="00066BED"/>
    <w:rsid w:val="00066C4C"/>
    <w:rsid w:val="00066C64"/>
    <w:rsid w:val="00066C75"/>
    <w:rsid w:val="00066CCE"/>
    <w:rsid w:val="00066D02"/>
    <w:rsid w:val="00066D44"/>
    <w:rsid w:val="00066D70"/>
    <w:rsid w:val="00066DF4"/>
    <w:rsid w:val="00066E91"/>
    <w:rsid w:val="00066ED0"/>
    <w:rsid w:val="00066ED4"/>
    <w:rsid w:val="00066F04"/>
    <w:rsid w:val="00066F08"/>
    <w:rsid w:val="00066F0F"/>
    <w:rsid w:val="00066F36"/>
    <w:rsid w:val="00066FE4"/>
    <w:rsid w:val="00067016"/>
    <w:rsid w:val="00067037"/>
    <w:rsid w:val="0006706C"/>
    <w:rsid w:val="000670E2"/>
    <w:rsid w:val="0006711A"/>
    <w:rsid w:val="00067169"/>
    <w:rsid w:val="00067180"/>
    <w:rsid w:val="00067236"/>
    <w:rsid w:val="0006723E"/>
    <w:rsid w:val="0006723F"/>
    <w:rsid w:val="0006725F"/>
    <w:rsid w:val="00067281"/>
    <w:rsid w:val="000672D7"/>
    <w:rsid w:val="000672D8"/>
    <w:rsid w:val="000672DE"/>
    <w:rsid w:val="0006736F"/>
    <w:rsid w:val="00067378"/>
    <w:rsid w:val="00067470"/>
    <w:rsid w:val="000674D3"/>
    <w:rsid w:val="000674F6"/>
    <w:rsid w:val="000674F9"/>
    <w:rsid w:val="0006751F"/>
    <w:rsid w:val="00067562"/>
    <w:rsid w:val="00067564"/>
    <w:rsid w:val="0006759E"/>
    <w:rsid w:val="000675C8"/>
    <w:rsid w:val="0006761C"/>
    <w:rsid w:val="00067644"/>
    <w:rsid w:val="00067660"/>
    <w:rsid w:val="0006768E"/>
    <w:rsid w:val="00067724"/>
    <w:rsid w:val="00067778"/>
    <w:rsid w:val="0006779C"/>
    <w:rsid w:val="0006779F"/>
    <w:rsid w:val="000677BF"/>
    <w:rsid w:val="000677C3"/>
    <w:rsid w:val="000677CD"/>
    <w:rsid w:val="0006780C"/>
    <w:rsid w:val="00067813"/>
    <w:rsid w:val="00067899"/>
    <w:rsid w:val="000678A6"/>
    <w:rsid w:val="000678FD"/>
    <w:rsid w:val="00067904"/>
    <w:rsid w:val="00067944"/>
    <w:rsid w:val="00067965"/>
    <w:rsid w:val="0006796F"/>
    <w:rsid w:val="00067997"/>
    <w:rsid w:val="000679C0"/>
    <w:rsid w:val="000679CA"/>
    <w:rsid w:val="000679ED"/>
    <w:rsid w:val="000679F3"/>
    <w:rsid w:val="000679FD"/>
    <w:rsid w:val="00067A17"/>
    <w:rsid w:val="00067A2A"/>
    <w:rsid w:val="00067A4F"/>
    <w:rsid w:val="00067A78"/>
    <w:rsid w:val="00067A85"/>
    <w:rsid w:val="00067AB0"/>
    <w:rsid w:val="00067AB7"/>
    <w:rsid w:val="00067AC3"/>
    <w:rsid w:val="00067B3B"/>
    <w:rsid w:val="00067B59"/>
    <w:rsid w:val="00067BF6"/>
    <w:rsid w:val="00067C2C"/>
    <w:rsid w:val="00067C56"/>
    <w:rsid w:val="00067CA8"/>
    <w:rsid w:val="00067CD8"/>
    <w:rsid w:val="00067CDF"/>
    <w:rsid w:val="00067CE4"/>
    <w:rsid w:val="00067CEA"/>
    <w:rsid w:val="00067CED"/>
    <w:rsid w:val="00067DC6"/>
    <w:rsid w:val="00067DF5"/>
    <w:rsid w:val="00067DF7"/>
    <w:rsid w:val="00067E97"/>
    <w:rsid w:val="00067EAB"/>
    <w:rsid w:val="00067F1A"/>
    <w:rsid w:val="00067F31"/>
    <w:rsid w:val="00067F91"/>
    <w:rsid w:val="00067FC0"/>
    <w:rsid w:val="00067FFC"/>
    <w:rsid w:val="00070011"/>
    <w:rsid w:val="0007005A"/>
    <w:rsid w:val="0007005F"/>
    <w:rsid w:val="00070094"/>
    <w:rsid w:val="00070126"/>
    <w:rsid w:val="00070150"/>
    <w:rsid w:val="00070158"/>
    <w:rsid w:val="000701C7"/>
    <w:rsid w:val="000701F5"/>
    <w:rsid w:val="00070265"/>
    <w:rsid w:val="000702AD"/>
    <w:rsid w:val="00070356"/>
    <w:rsid w:val="00070389"/>
    <w:rsid w:val="000703C6"/>
    <w:rsid w:val="00070412"/>
    <w:rsid w:val="00070415"/>
    <w:rsid w:val="00070420"/>
    <w:rsid w:val="0007044F"/>
    <w:rsid w:val="00070453"/>
    <w:rsid w:val="0007045D"/>
    <w:rsid w:val="00070465"/>
    <w:rsid w:val="0007055A"/>
    <w:rsid w:val="00070564"/>
    <w:rsid w:val="000705AA"/>
    <w:rsid w:val="000705AD"/>
    <w:rsid w:val="000705CD"/>
    <w:rsid w:val="000705F5"/>
    <w:rsid w:val="00070676"/>
    <w:rsid w:val="00070681"/>
    <w:rsid w:val="0007072D"/>
    <w:rsid w:val="00070797"/>
    <w:rsid w:val="000707BD"/>
    <w:rsid w:val="000707C9"/>
    <w:rsid w:val="000707DF"/>
    <w:rsid w:val="00070807"/>
    <w:rsid w:val="00070814"/>
    <w:rsid w:val="00070837"/>
    <w:rsid w:val="00070842"/>
    <w:rsid w:val="00070856"/>
    <w:rsid w:val="000708A1"/>
    <w:rsid w:val="000708C2"/>
    <w:rsid w:val="000708F4"/>
    <w:rsid w:val="000708FC"/>
    <w:rsid w:val="0007092A"/>
    <w:rsid w:val="00070933"/>
    <w:rsid w:val="0007097D"/>
    <w:rsid w:val="000709EF"/>
    <w:rsid w:val="000709F4"/>
    <w:rsid w:val="00070A75"/>
    <w:rsid w:val="00070AF9"/>
    <w:rsid w:val="00070B18"/>
    <w:rsid w:val="00070B88"/>
    <w:rsid w:val="00070B97"/>
    <w:rsid w:val="00070BCD"/>
    <w:rsid w:val="00070BE8"/>
    <w:rsid w:val="00070D45"/>
    <w:rsid w:val="00070D4D"/>
    <w:rsid w:val="00070D5A"/>
    <w:rsid w:val="00070D7F"/>
    <w:rsid w:val="00070D8C"/>
    <w:rsid w:val="00070DAB"/>
    <w:rsid w:val="00070DF5"/>
    <w:rsid w:val="00070E0E"/>
    <w:rsid w:val="00070E22"/>
    <w:rsid w:val="00070E26"/>
    <w:rsid w:val="00070E42"/>
    <w:rsid w:val="00070E8B"/>
    <w:rsid w:val="00070ED5"/>
    <w:rsid w:val="00070F89"/>
    <w:rsid w:val="00070F90"/>
    <w:rsid w:val="00070F93"/>
    <w:rsid w:val="00070FA8"/>
    <w:rsid w:val="00070FCC"/>
    <w:rsid w:val="00071009"/>
    <w:rsid w:val="00071022"/>
    <w:rsid w:val="0007107C"/>
    <w:rsid w:val="00071096"/>
    <w:rsid w:val="000710AB"/>
    <w:rsid w:val="000710E7"/>
    <w:rsid w:val="00071111"/>
    <w:rsid w:val="0007114F"/>
    <w:rsid w:val="0007115A"/>
    <w:rsid w:val="0007117D"/>
    <w:rsid w:val="000711AE"/>
    <w:rsid w:val="000711AF"/>
    <w:rsid w:val="000711D2"/>
    <w:rsid w:val="00071202"/>
    <w:rsid w:val="00071256"/>
    <w:rsid w:val="0007132A"/>
    <w:rsid w:val="0007133D"/>
    <w:rsid w:val="00071367"/>
    <w:rsid w:val="0007136A"/>
    <w:rsid w:val="000713A6"/>
    <w:rsid w:val="00071430"/>
    <w:rsid w:val="0007146E"/>
    <w:rsid w:val="000714B6"/>
    <w:rsid w:val="000714F1"/>
    <w:rsid w:val="000714F8"/>
    <w:rsid w:val="00071508"/>
    <w:rsid w:val="00071535"/>
    <w:rsid w:val="00071542"/>
    <w:rsid w:val="000715B2"/>
    <w:rsid w:val="00071612"/>
    <w:rsid w:val="00071663"/>
    <w:rsid w:val="00071708"/>
    <w:rsid w:val="00071723"/>
    <w:rsid w:val="00071742"/>
    <w:rsid w:val="000717B4"/>
    <w:rsid w:val="000717EA"/>
    <w:rsid w:val="000717F6"/>
    <w:rsid w:val="00071801"/>
    <w:rsid w:val="00071819"/>
    <w:rsid w:val="0007184D"/>
    <w:rsid w:val="00071882"/>
    <w:rsid w:val="000718B2"/>
    <w:rsid w:val="000718BF"/>
    <w:rsid w:val="0007191C"/>
    <w:rsid w:val="00071959"/>
    <w:rsid w:val="00071983"/>
    <w:rsid w:val="000719FD"/>
    <w:rsid w:val="000719FE"/>
    <w:rsid w:val="00071AAA"/>
    <w:rsid w:val="00071AAB"/>
    <w:rsid w:val="00071AC1"/>
    <w:rsid w:val="00071AD6"/>
    <w:rsid w:val="00071B21"/>
    <w:rsid w:val="00071B8F"/>
    <w:rsid w:val="00071B93"/>
    <w:rsid w:val="00071BFF"/>
    <w:rsid w:val="00071C2E"/>
    <w:rsid w:val="00071C5E"/>
    <w:rsid w:val="00071C6E"/>
    <w:rsid w:val="00071C9A"/>
    <w:rsid w:val="00071CA7"/>
    <w:rsid w:val="00071CB4"/>
    <w:rsid w:val="00071CCE"/>
    <w:rsid w:val="00071CEC"/>
    <w:rsid w:val="00071D04"/>
    <w:rsid w:val="00071D24"/>
    <w:rsid w:val="00071D50"/>
    <w:rsid w:val="00071D59"/>
    <w:rsid w:val="00071D7F"/>
    <w:rsid w:val="00071DAA"/>
    <w:rsid w:val="00071E30"/>
    <w:rsid w:val="00071E36"/>
    <w:rsid w:val="00071E79"/>
    <w:rsid w:val="00071E94"/>
    <w:rsid w:val="00071EBE"/>
    <w:rsid w:val="00071EF2"/>
    <w:rsid w:val="00071EFE"/>
    <w:rsid w:val="00071EFF"/>
    <w:rsid w:val="00071F1A"/>
    <w:rsid w:val="00071F27"/>
    <w:rsid w:val="00071F4A"/>
    <w:rsid w:val="00071F76"/>
    <w:rsid w:val="00071F8C"/>
    <w:rsid w:val="00071FCF"/>
    <w:rsid w:val="00072035"/>
    <w:rsid w:val="0007203F"/>
    <w:rsid w:val="000720D9"/>
    <w:rsid w:val="00072130"/>
    <w:rsid w:val="00072137"/>
    <w:rsid w:val="00072145"/>
    <w:rsid w:val="0007217B"/>
    <w:rsid w:val="00072220"/>
    <w:rsid w:val="00072253"/>
    <w:rsid w:val="000722C7"/>
    <w:rsid w:val="00072318"/>
    <w:rsid w:val="00072347"/>
    <w:rsid w:val="0007238A"/>
    <w:rsid w:val="00072423"/>
    <w:rsid w:val="000724FA"/>
    <w:rsid w:val="0007255F"/>
    <w:rsid w:val="0007256D"/>
    <w:rsid w:val="00072582"/>
    <w:rsid w:val="00072585"/>
    <w:rsid w:val="000725D0"/>
    <w:rsid w:val="000725D4"/>
    <w:rsid w:val="0007264A"/>
    <w:rsid w:val="00072652"/>
    <w:rsid w:val="000726AC"/>
    <w:rsid w:val="000726D6"/>
    <w:rsid w:val="00072736"/>
    <w:rsid w:val="00072785"/>
    <w:rsid w:val="000727C4"/>
    <w:rsid w:val="000727E4"/>
    <w:rsid w:val="000728E7"/>
    <w:rsid w:val="00072948"/>
    <w:rsid w:val="0007294C"/>
    <w:rsid w:val="0007295B"/>
    <w:rsid w:val="000729AD"/>
    <w:rsid w:val="000729BC"/>
    <w:rsid w:val="000729C4"/>
    <w:rsid w:val="00072A09"/>
    <w:rsid w:val="00072A11"/>
    <w:rsid w:val="00072A37"/>
    <w:rsid w:val="00072A48"/>
    <w:rsid w:val="00072A74"/>
    <w:rsid w:val="00072B19"/>
    <w:rsid w:val="00072B71"/>
    <w:rsid w:val="00072B74"/>
    <w:rsid w:val="00072B9A"/>
    <w:rsid w:val="00072BB1"/>
    <w:rsid w:val="00072C04"/>
    <w:rsid w:val="00072C23"/>
    <w:rsid w:val="00072C36"/>
    <w:rsid w:val="00072C5A"/>
    <w:rsid w:val="00072CB7"/>
    <w:rsid w:val="00072D5A"/>
    <w:rsid w:val="00072D7C"/>
    <w:rsid w:val="00072E12"/>
    <w:rsid w:val="00072E48"/>
    <w:rsid w:val="00072F02"/>
    <w:rsid w:val="00072F16"/>
    <w:rsid w:val="00072F3D"/>
    <w:rsid w:val="00072FAB"/>
    <w:rsid w:val="0007303B"/>
    <w:rsid w:val="00073097"/>
    <w:rsid w:val="000730FD"/>
    <w:rsid w:val="00073141"/>
    <w:rsid w:val="00073158"/>
    <w:rsid w:val="0007319B"/>
    <w:rsid w:val="000731B7"/>
    <w:rsid w:val="000731FB"/>
    <w:rsid w:val="0007321F"/>
    <w:rsid w:val="00073221"/>
    <w:rsid w:val="0007326C"/>
    <w:rsid w:val="000732A3"/>
    <w:rsid w:val="000732F9"/>
    <w:rsid w:val="0007331B"/>
    <w:rsid w:val="00073393"/>
    <w:rsid w:val="000733F3"/>
    <w:rsid w:val="000733FA"/>
    <w:rsid w:val="0007341B"/>
    <w:rsid w:val="0007341C"/>
    <w:rsid w:val="00073443"/>
    <w:rsid w:val="00073445"/>
    <w:rsid w:val="000734D3"/>
    <w:rsid w:val="00073509"/>
    <w:rsid w:val="0007352F"/>
    <w:rsid w:val="0007353D"/>
    <w:rsid w:val="00073559"/>
    <w:rsid w:val="00073581"/>
    <w:rsid w:val="000735AA"/>
    <w:rsid w:val="000735DE"/>
    <w:rsid w:val="00073608"/>
    <w:rsid w:val="00073659"/>
    <w:rsid w:val="00073670"/>
    <w:rsid w:val="0007369F"/>
    <w:rsid w:val="000736AC"/>
    <w:rsid w:val="000736BF"/>
    <w:rsid w:val="000736D7"/>
    <w:rsid w:val="000736EB"/>
    <w:rsid w:val="00073787"/>
    <w:rsid w:val="00073795"/>
    <w:rsid w:val="000737C1"/>
    <w:rsid w:val="000737C9"/>
    <w:rsid w:val="000737DA"/>
    <w:rsid w:val="00073806"/>
    <w:rsid w:val="00073813"/>
    <w:rsid w:val="000738AE"/>
    <w:rsid w:val="000738C1"/>
    <w:rsid w:val="000738E1"/>
    <w:rsid w:val="00073908"/>
    <w:rsid w:val="000739B9"/>
    <w:rsid w:val="00073A15"/>
    <w:rsid w:val="00073A30"/>
    <w:rsid w:val="00073A43"/>
    <w:rsid w:val="00073AC5"/>
    <w:rsid w:val="00073AD6"/>
    <w:rsid w:val="00073C09"/>
    <w:rsid w:val="00073C52"/>
    <w:rsid w:val="00073C61"/>
    <w:rsid w:val="00073C78"/>
    <w:rsid w:val="00073CC0"/>
    <w:rsid w:val="00073CC4"/>
    <w:rsid w:val="00073CC6"/>
    <w:rsid w:val="00073CD2"/>
    <w:rsid w:val="00073CFD"/>
    <w:rsid w:val="00073D1C"/>
    <w:rsid w:val="00073D34"/>
    <w:rsid w:val="00073D42"/>
    <w:rsid w:val="00073D81"/>
    <w:rsid w:val="00073D8C"/>
    <w:rsid w:val="00073DA2"/>
    <w:rsid w:val="00073E53"/>
    <w:rsid w:val="00073E61"/>
    <w:rsid w:val="00073E65"/>
    <w:rsid w:val="00073E8A"/>
    <w:rsid w:val="00073E94"/>
    <w:rsid w:val="00073ED9"/>
    <w:rsid w:val="00073EF6"/>
    <w:rsid w:val="00073EFA"/>
    <w:rsid w:val="00073F05"/>
    <w:rsid w:val="00073F26"/>
    <w:rsid w:val="00073FBA"/>
    <w:rsid w:val="00073FD3"/>
    <w:rsid w:val="00073FD9"/>
    <w:rsid w:val="00073FE3"/>
    <w:rsid w:val="00074001"/>
    <w:rsid w:val="0007402A"/>
    <w:rsid w:val="000740B7"/>
    <w:rsid w:val="000740CF"/>
    <w:rsid w:val="000740D2"/>
    <w:rsid w:val="000740DD"/>
    <w:rsid w:val="00074107"/>
    <w:rsid w:val="0007414F"/>
    <w:rsid w:val="0007418B"/>
    <w:rsid w:val="000741BD"/>
    <w:rsid w:val="000741C6"/>
    <w:rsid w:val="0007422B"/>
    <w:rsid w:val="00074273"/>
    <w:rsid w:val="0007429A"/>
    <w:rsid w:val="000742C3"/>
    <w:rsid w:val="000742E1"/>
    <w:rsid w:val="00074307"/>
    <w:rsid w:val="00074338"/>
    <w:rsid w:val="0007437E"/>
    <w:rsid w:val="00074389"/>
    <w:rsid w:val="000743E8"/>
    <w:rsid w:val="000743F7"/>
    <w:rsid w:val="00074408"/>
    <w:rsid w:val="00074409"/>
    <w:rsid w:val="0007447E"/>
    <w:rsid w:val="00074488"/>
    <w:rsid w:val="0007448D"/>
    <w:rsid w:val="000744A6"/>
    <w:rsid w:val="000744A8"/>
    <w:rsid w:val="000744AA"/>
    <w:rsid w:val="0007451F"/>
    <w:rsid w:val="00074576"/>
    <w:rsid w:val="000745BE"/>
    <w:rsid w:val="000745BF"/>
    <w:rsid w:val="000745F2"/>
    <w:rsid w:val="00074650"/>
    <w:rsid w:val="00074659"/>
    <w:rsid w:val="00074662"/>
    <w:rsid w:val="00074668"/>
    <w:rsid w:val="00074691"/>
    <w:rsid w:val="000746CC"/>
    <w:rsid w:val="000746E6"/>
    <w:rsid w:val="00074719"/>
    <w:rsid w:val="00074726"/>
    <w:rsid w:val="0007474A"/>
    <w:rsid w:val="000747AD"/>
    <w:rsid w:val="000747D1"/>
    <w:rsid w:val="000747EB"/>
    <w:rsid w:val="00074872"/>
    <w:rsid w:val="00074879"/>
    <w:rsid w:val="00074893"/>
    <w:rsid w:val="000748D2"/>
    <w:rsid w:val="00074935"/>
    <w:rsid w:val="00074992"/>
    <w:rsid w:val="00074A00"/>
    <w:rsid w:val="00074A6F"/>
    <w:rsid w:val="00074AB4"/>
    <w:rsid w:val="00074AD3"/>
    <w:rsid w:val="00074B23"/>
    <w:rsid w:val="00074B53"/>
    <w:rsid w:val="00074B7B"/>
    <w:rsid w:val="00074BF0"/>
    <w:rsid w:val="00074C68"/>
    <w:rsid w:val="00074CA1"/>
    <w:rsid w:val="00074CB2"/>
    <w:rsid w:val="00074CB5"/>
    <w:rsid w:val="00074CC4"/>
    <w:rsid w:val="00074CCC"/>
    <w:rsid w:val="00074CF9"/>
    <w:rsid w:val="00074D0B"/>
    <w:rsid w:val="00074D5D"/>
    <w:rsid w:val="00074D89"/>
    <w:rsid w:val="00074DB0"/>
    <w:rsid w:val="00074DF2"/>
    <w:rsid w:val="00074E52"/>
    <w:rsid w:val="00074F02"/>
    <w:rsid w:val="00074F3A"/>
    <w:rsid w:val="00074F83"/>
    <w:rsid w:val="00074FA1"/>
    <w:rsid w:val="00074FB1"/>
    <w:rsid w:val="00074FC1"/>
    <w:rsid w:val="00074FED"/>
    <w:rsid w:val="00075064"/>
    <w:rsid w:val="0007509F"/>
    <w:rsid w:val="0007511A"/>
    <w:rsid w:val="00075122"/>
    <w:rsid w:val="00075135"/>
    <w:rsid w:val="00075139"/>
    <w:rsid w:val="0007517E"/>
    <w:rsid w:val="000751BF"/>
    <w:rsid w:val="000751DC"/>
    <w:rsid w:val="00075220"/>
    <w:rsid w:val="000752A9"/>
    <w:rsid w:val="0007531D"/>
    <w:rsid w:val="0007534C"/>
    <w:rsid w:val="00075380"/>
    <w:rsid w:val="0007539C"/>
    <w:rsid w:val="00075468"/>
    <w:rsid w:val="000754D0"/>
    <w:rsid w:val="000755C3"/>
    <w:rsid w:val="000755CA"/>
    <w:rsid w:val="00075643"/>
    <w:rsid w:val="0007568D"/>
    <w:rsid w:val="000756DE"/>
    <w:rsid w:val="00075747"/>
    <w:rsid w:val="00075777"/>
    <w:rsid w:val="00075783"/>
    <w:rsid w:val="00075792"/>
    <w:rsid w:val="000757A3"/>
    <w:rsid w:val="000757DD"/>
    <w:rsid w:val="000757FB"/>
    <w:rsid w:val="0007584B"/>
    <w:rsid w:val="000758BA"/>
    <w:rsid w:val="000758C6"/>
    <w:rsid w:val="00075906"/>
    <w:rsid w:val="00075964"/>
    <w:rsid w:val="000759C4"/>
    <w:rsid w:val="00075A1B"/>
    <w:rsid w:val="00075A28"/>
    <w:rsid w:val="00075A29"/>
    <w:rsid w:val="00075AA4"/>
    <w:rsid w:val="00075AAD"/>
    <w:rsid w:val="00075ABA"/>
    <w:rsid w:val="00075AC9"/>
    <w:rsid w:val="00075AD9"/>
    <w:rsid w:val="00075AEC"/>
    <w:rsid w:val="00075B12"/>
    <w:rsid w:val="00075B21"/>
    <w:rsid w:val="00075B39"/>
    <w:rsid w:val="00075BA0"/>
    <w:rsid w:val="00075BC9"/>
    <w:rsid w:val="00075C37"/>
    <w:rsid w:val="00075C72"/>
    <w:rsid w:val="00075C83"/>
    <w:rsid w:val="00075C85"/>
    <w:rsid w:val="00075CA4"/>
    <w:rsid w:val="00075CDD"/>
    <w:rsid w:val="00075D5B"/>
    <w:rsid w:val="00075D89"/>
    <w:rsid w:val="00075D8F"/>
    <w:rsid w:val="00075E08"/>
    <w:rsid w:val="00075E37"/>
    <w:rsid w:val="00075F22"/>
    <w:rsid w:val="00075F4B"/>
    <w:rsid w:val="00075F5C"/>
    <w:rsid w:val="00075F71"/>
    <w:rsid w:val="00075F7B"/>
    <w:rsid w:val="00075FCC"/>
    <w:rsid w:val="00076010"/>
    <w:rsid w:val="00076021"/>
    <w:rsid w:val="0007612B"/>
    <w:rsid w:val="0007616B"/>
    <w:rsid w:val="0007617C"/>
    <w:rsid w:val="0007626C"/>
    <w:rsid w:val="0007627A"/>
    <w:rsid w:val="00076339"/>
    <w:rsid w:val="00076383"/>
    <w:rsid w:val="00076439"/>
    <w:rsid w:val="000764B0"/>
    <w:rsid w:val="000764B7"/>
    <w:rsid w:val="000764CA"/>
    <w:rsid w:val="00076507"/>
    <w:rsid w:val="00076517"/>
    <w:rsid w:val="00076538"/>
    <w:rsid w:val="0007656D"/>
    <w:rsid w:val="000765B5"/>
    <w:rsid w:val="000765BE"/>
    <w:rsid w:val="000765E5"/>
    <w:rsid w:val="000765E6"/>
    <w:rsid w:val="000765EE"/>
    <w:rsid w:val="0007661A"/>
    <w:rsid w:val="000766E5"/>
    <w:rsid w:val="000766FF"/>
    <w:rsid w:val="00076785"/>
    <w:rsid w:val="000767A5"/>
    <w:rsid w:val="000767B3"/>
    <w:rsid w:val="000767C0"/>
    <w:rsid w:val="000767D4"/>
    <w:rsid w:val="000767FA"/>
    <w:rsid w:val="00076810"/>
    <w:rsid w:val="00076824"/>
    <w:rsid w:val="0007683F"/>
    <w:rsid w:val="00076843"/>
    <w:rsid w:val="000768D2"/>
    <w:rsid w:val="00076935"/>
    <w:rsid w:val="0007694A"/>
    <w:rsid w:val="0007695D"/>
    <w:rsid w:val="00076989"/>
    <w:rsid w:val="000769A8"/>
    <w:rsid w:val="000769C7"/>
    <w:rsid w:val="000769FB"/>
    <w:rsid w:val="00076A17"/>
    <w:rsid w:val="00076A3A"/>
    <w:rsid w:val="00076A7D"/>
    <w:rsid w:val="00076ADE"/>
    <w:rsid w:val="00076B31"/>
    <w:rsid w:val="00076B5E"/>
    <w:rsid w:val="00076BDB"/>
    <w:rsid w:val="00076BED"/>
    <w:rsid w:val="00076C06"/>
    <w:rsid w:val="00076C62"/>
    <w:rsid w:val="00076CCA"/>
    <w:rsid w:val="00076CEE"/>
    <w:rsid w:val="00076D10"/>
    <w:rsid w:val="00076D67"/>
    <w:rsid w:val="00076E19"/>
    <w:rsid w:val="00076E6D"/>
    <w:rsid w:val="00076E8D"/>
    <w:rsid w:val="00076E92"/>
    <w:rsid w:val="00076EBF"/>
    <w:rsid w:val="00076ED4"/>
    <w:rsid w:val="00076F1F"/>
    <w:rsid w:val="00076F66"/>
    <w:rsid w:val="00076F67"/>
    <w:rsid w:val="00077032"/>
    <w:rsid w:val="0007712A"/>
    <w:rsid w:val="00077192"/>
    <w:rsid w:val="000771AF"/>
    <w:rsid w:val="000771C7"/>
    <w:rsid w:val="000771E4"/>
    <w:rsid w:val="00077224"/>
    <w:rsid w:val="0007729D"/>
    <w:rsid w:val="000772B8"/>
    <w:rsid w:val="000772C2"/>
    <w:rsid w:val="00077318"/>
    <w:rsid w:val="0007731F"/>
    <w:rsid w:val="0007733C"/>
    <w:rsid w:val="0007735E"/>
    <w:rsid w:val="00077400"/>
    <w:rsid w:val="0007744E"/>
    <w:rsid w:val="00077545"/>
    <w:rsid w:val="00077636"/>
    <w:rsid w:val="00077695"/>
    <w:rsid w:val="000776D7"/>
    <w:rsid w:val="000776FC"/>
    <w:rsid w:val="0007772B"/>
    <w:rsid w:val="00077736"/>
    <w:rsid w:val="0007776E"/>
    <w:rsid w:val="00077788"/>
    <w:rsid w:val="000777C9"/>
    <w:rsid w:val="00077861"/>
    <w:rsid w:val="000778A2"/>
    <w:rsid w:val="000778A8"/>
    <w:rsid w:val="00077955"/>
    <w:rsid w:val="00077963"/>
    <w:rsid w:val="0007799A"/>
    <w:rsid w:val="000779B3"/>
    <w:rsid w:val="000779F2"/>
    <w:rsid w:val="00077A92"/>
    <w:rsid w:val="00077A9D"/>
    <w:rsid w:val="00077AB3"/>
    <w:rsid w:val="00077ACA"/>
    <w:rsid w:val="00077AF6"/>
    <w:rsid w:val="00077AFB"/>
    <w:rsid w:val="00077B3C"/>
    <w:rsid w:val="00077B62"/>
    <w:rsid w:val="00077B79"/>
    <w:rsid w:val="00077BAA"/>
    <w:rsid w:val="00077C4A"/>
    <w:rsid w:val="00077C6D"/>
    <w:rsid w:val="00077C7F"/>
    <w:rsid w:val="00077CFF"/>
    <w:rsid w:val="00077D4F"/>
    <w:rsid w:val="00077D58"/>
    <w:rsid w:val="00077D5A"/>
    <w:rsid w:val="00077D6F"/>
    <w:rsid w:val="00077D74"/>
    <w:rsid w:val="00077D96"/>
    <w:rsid w:val="00077DA6"/>
    <w:rsid w:val="00077DB6"/>
    <w:rsid w:val="00077DF9"/>
    <w:rsid w:val="00077E2B"/>
    <w:rsid w:val="00077EAB"/>
    <w:rsid w:val="00077EC2"/>
    <w:rsid w:val="00077EE0"/>
    <w:rsid w:val="00077EE4"/>
    <w:rsid w:val="00077F09"/>
    <w:rsid w:val="00077F18"/>
    <w:rsid w:val="00077F7A"/>
    <w:rsid w:val="00077FC2"/>
    <w:rsid w:val="0008003B"/>
    <w:rsid w:val="0008004C"/>
    <w:rsid w:val="0008005F"/>
    <w:rsid w:val="000800C4"/>
    <w:rsid w:val="000800CA"/>
    <w:rsid w:val="00080158"/>
    <w:rsid w:val="00080185"/>
    <w:rsid w:val="000801BB"/>
    <w:rsid w:val="000801C4"/>
    <w:rsid w:val="0008026E"/>
    <w:rsid w:val="000802BD"/>
    <w:rsid w:val="000802C4"/>
    <w:rsid w:val="0008035E"/>
    <w:rsid w:val="00080375"/>
    <w:rsid w:val="000803A1"/>
    <w:rsid w:val="00080453"/>
    <w:rsid w:val="00080478"/>
    <w:rsid w:val="000804D3"/>
    <w:rsid w:val="000804FA"/>
    <w:rsid w:val="0008050D"/>
    <w:rsid w:val="00080528"/>
    <w:rsid w:val="0008054C"/>
    <w:rsid w:val="0008055A"/>
    <w:rsid w:val="0008057B"/>
    <w:rsid w:val="000805C0"/>
    <w:rsid w:val="000805E2"/>
    <w:rsid w:val="000805E5"/>
    <w:rsid w:val="00080622"/>
    <w:rsid w:val="0008064D"/>
    <w:rsid w:val="00080651"/>
    <w:rsid w:val="0008066D"/>
    <w:rsid w:val="00080696"/>
    <w:rsid w:val="000806B1"/>
    <w:rsid w:val="000806D8"/>
    <w:rsid w:val="000806DB"/>
    <w:rsid w:val="00080776"/>
    <w:rsid w:val="0008078B"/>
    <w:rsid w:val="00080849"/>
    <w:rsid w:val="00080877"/>
    <w:rsid w:val="00080879"/>
    <w:rsid w:val="0008088B"/>
    <w:rsid w:val="000808C1"/>
    <w:rsid w:val="000808E2"/>
    <w:rsid w:val="00080901"/>
    <w:rsid w:val="00080906"/>
    <w:rsid w:val="00080940"/>
    <w:rsid w:val="00080946"/>
    <w:rsid w:val="000809BE"/>
    <w:rsid w:val="000809CA"/>
    <w:rsid w:val="00080A1E"/>
    <w:rsid w:val="00080AE1"/>
    <w:rsid w:val="00080AE4"/>
    <w:rsid w:val="00080B5E"/>
    <w:rsid w:val="00080B83"/>
    <w:rsid w:val="00080B8D"/>
    <w:rsid w:val="00080C9B"/>
    <w:rsid w:val="00080CC6"/>
    <w:rsid w:val="00080D1E"/>
    <w:rsid w:val="00080D36"/>
    <w:rsid w:val="00080D50"/>
    <w:rsid w:val="00080D59"/>
    <w:rsid w:val="00080DA7"/>
    <w:rsid w:val="00080DBE"/>
    <w:rsid w:val="00080E21"/>
    <w:rsid w:val="00080E32"/>
    <w:rsid w:val="00080E73"/>
    <w:rsid w:val="00080EA4"/>
    <w:rsid w:val="00080F3B"/>
    <w:rsid w:val="00080FA1"/>
    <w:rsid w:val="00080FCA"/>
    <w:rsid w:val="00080FF6"/>
    <w:rsid w:val="00081000"/>
    <w:rsid w:val="00081046"/>
    <w:rsid w:val="0008106F"/>
    <w:rsid w:val="00081145"/>
    <w:rsid w:val="00081158"/>
    <w:rsid w:val="0008116D"/>
    <w:rsid w:val="00081189"/>
    <w:rsid w:val="00081216"/>
    <w:rsid w:val="0008122D"/>
    <w:rsid w:val="00081248"/>
    <w:rsid w:val="0008124A"/>
    <w:rsid w:val="00081264"/>
    <w:rsid w:val="000812BB"/>
    <w:rsid w:val="000812CD"/>
    <w:rsid w:val="000812E1"/>
    <w:rsid w:val="000812F3"/>
    <w:rsid w:val="0008134F"/>
    <w:rsid w:val="0008139A"/>
    <w:rsid w:val="000813BD"/>
    <w:rsid w:val="0008140C"/>
    <w:rsid w:val="0008142F"/>
    <w:rsid w:val="00081441"/>
    <w:rsid w:val="00081442"/>
    <w:rsid w:val="000814BC"/>
    <w:rsid w:val="000814EA"/>
    <w:rsid w:val="00081539"/>
    <w:rsid w:val="00081571"/>
    <w:rsid w:val="00081629"/>
    <w:rsid w:val="00081689"/>
    <w:rsid w:val="000816B8"/>
    <w:rsid w:val="00081723"/>
    <w:rsid w:val="00081730"/>
    <w:rsid w:val="000817BC"/>
    <w:rsid w:val="000817C2"/>
    <w:rsid w:val="00081832"/>
    <w:rsid w:val="0008183A"/>
    <w:rsid w:val="00081852"/>
    <w:rsid w:val="0008186D"/>
    <w:rsid w:val="000818F6"/>
    <w:rsid w:val="0008192C"/>
    <w:rsid w:val="0008194E"/>
    <w:rsid w:val="00081972"/>
    <w:rsid w:val="00081987"/>
    <w:rsid w:val="000819A8"/>
    <w:rsid w:val="000819C2"/>
    <w:rsid w:val="000819CE"/>
    <w:rsid w:val="000819D9"/>
    <w:rsid w:val="00081A81"/>
    <w:rsid w:val="00081A82"/>
    <w:rsid w:val="00081AA9"/>
    <w:rsid w:val="00081AD2"/>
    <w:rsid w:val="00081B00"/>
    <w:rsid w:val="00081B05"/>
    <w:rsid w:val="00081B1B"/>
    <w:rsid w:val="00081B51"/>
    <w:rsid w:val="00081B79"/>
    <w:rsid w:val="00081BE5"/>
    <w:rsid w:val="00081C0A"/>
    <w:rsid w:val="00081C10"/>
    <w:rsid w:val="00081CC3"/>
    <w:rsid w:val="00081CDC"/>
    <w:rsid w:val="00081CE8"/>
    <w:rsid w:val="00081CEA"/>
    <w:rsid w:val="00081CF3"/>
    <w:rsid w:val="00081D62"/>
    <w:rsid w:val="00081D6D"/>
    <w:rsid w:val="00081D9D"/>
    <w:rsid w:val="00081DA2"/>
    <w:rsid w:val="00081E57"/>
    <w:rsid w:val="00081EE3"/>
    <w:rsid w:val="00081F07"/>
    <w:rsid w:val="00081F8F"/>
    <w:rsid w:val="00081FA6"/>
    <w:rsid w:val="00081FCE"/>
    <w:rsid w:val="00082067"/>
    <w:rsid w:val="00082116"/>
    <w:rsid w:val="00082143"/>
    <w:rsid w:val="0008214A"/>
    <w:rsid w:val="000821C5"/>
    <w:rsid w:val="000821FF"/>
    <w:rsid w:val="00082214"/>
    <w:rsid w:val="0008230E"/>
    <w:rsid w:val="0008230F"/>
    <w:rsid w:val="00082330"/>
    <w:rsid w:val="00082341"/>
    <w:rsid w:val="00082370"/>
    <w:rsid w:val="00082408"/>
    <w:rsid w:val="0008241B"/>
    <w:rsid w:val="00082479"/>
    <w:rsid w:val="000824DB"/>
    <w:rsid w:val="0008258E"/>
    <w:rsid w:val="000825A3"/>
    <w:rsid w:val="0008262B"/>
    <w:rsid w:val="000826AA"/>
    <w:rsid w:val="000826C1"/>
    <w:rsid w:val="000826FC"/>
    <w:rsid w:val="00082701"/>
    <w:rsid w:val="00082729"/>
    <w:rsid w:val="00082738"/>
    <w:rsid w:val="0008279F"/>
    <w:rsid w:val="000827AA"/>
    <w:rsid w:val="000827EA"/>
    <w:rsid w:val="00082809"/>
    <w:rsid w:val="0008284B"/>
    <w:rsid w:val="000828B0"/>
    <w:rsid w:val="00082935"/>
    <w:rsid w:val="00082946"/>
    <w:rsid w:val="00082980"/>
    <w:rsid w:val="000829B1"/>
    <w:rsid w:val="00082A45"/>
    <w:rsid w:val="00082A90"/>
    <w:rsid w:val="00082AC1"/>
    <w:rsid w:val="00082B3A"/>
    <w:rsid w:val="00082B3B"/>
    <w:rsid w:val="00082B3D"/>
    <w:rsid w:val="00082B4A"/>
    <w:rsid w:val="00082B60"/>
    <w:rsid w:val="00082B90"/>
    <w:rsid w:val="00082BA6"/>
    <w:rsid w:val="00082BBD"/>
    <w:rsid w:val="00082BCE"/>
    <w:rsid w:val="00082C2B"/>
    <w:rsid w:val="00082D97"/>
    <w:rsid w:val="00082DBA"/>
    <w:rsid w:val="00082E2F"/>
    <w:rsid w:val="00082E3D"/>
    <w:rsid w:val="00082E41"/>
    <w:rsid w:val="00082E6E"/>
    <w:rsid w:val="00082E8F"/>
    <w:rsid w:val="00082EA8"/>
    <w:rsid w:val="00082EC6"/>
    <w:rsid w:val="00082ECF"/>
    <w:rsid w:val="00082ED4"/>
    <w:rsid w:val="00082EF7"/>
    <w:rsid w:val="00082F13"/>
    <w:rsid w:val="00082F15"/>
    <w:rsid w:val="00082F65"/>
    <w:rsid w:val="00082F83"/>
    <w:rsid w:val="0008301D"/>
    <w:rsid w:val="0008302B"/>
    <w:rsid w:val="00083042"/>
    <w:rsid w:val="00083072"/>
    <w:rsid w:val="000830CA"/>
    <w:rsid w:val="000830DA"/>
    <w:rsid w:val="0008312F"/>
    <w:rsid w:val="00083175"/>
    <w:rsid w:val="00083187"/>
    <w:rsid w:val="00083204"/>
    <w:rsid w:val="00083206"/>
    <w:rsid w:val="00083229"/>
    <w:rsid w:val="0008326C"/>
    <w:rsid w:val="00083270"/>
    <w:rsid w:val="0008332C"/>
    <w:rsid w:val="00083381"/>
    <w:rsid w:val="0008339F"/>
    <w:rsid w:val="000833B2"/>
    <w:rsid w:val="000833FE"/>
    <w:rsid w:val="0008342D"/>
    <w:rsid w:val="0008346A"/>
    <w:rsid w:val="000834B8"/>
    <w:rsid w:val="000834BB"/>
    <w:rsid w:val="000834F2"/>
    <w:rsid w:val="00083539"/>
    <w:rsid w:val="00083549"/>
    <w:rsid w:val="000835A4"/>
    <w:rsid w:val="000835A9"/>
    <w:rsid w:val="000835F7"/>
    <w:rsid w:val="0008360A"/>
    <w:rsid w:val="00083632"/>
    <w:rsid w:val="0008365B"/>
    <w:rsid w:val="00083667"/>
    <w:rsid w:val="00083671"/>
    <w:rsid w:val="000836F0"/>
    <w:rsid w:val="000836FE"/>
    <w:rsid w:val="00083710"/>
    <w:rsid w:val="00083768"/>
    <w:rsid w:val="000837D1"/>
    <w:rsid w:val="000837D6"/>
    <w:rsid w:val="000837DB"/>
    <w:rsid w:val="00083807"/>
    <w:rsid w:val="00083836"/>
    <w:rsid w:val="00083854"/>
    <w:rsid w:val="000838D4"/>
    <w:rsid w:val="00083914"/>
    <w:rsid w:val="0008398A"/>
    <w:rsid w:val="000839A5"/>
    <w:rsid w:val="000839E8"/>
    <w:rsid w:val="000839F0"/>
    <w:rsid w:val="00083A47"/>
    <w:rsid w:val="00083A6B"/>
    <w:rsid w:val="00083A9A"/>
    <w:rsid w:val="00083AB1"/>
    <w:rsid w:val="00083B11"/>
    <w:rsid w:val="00083B51"/>
    <w:rsid w:val="00083BBB"/>
    <w:rsid w:val="00083BE5"/>
    <w:rsid w:val="00083C49"/>
    <w:rsid w:val="00083C80"/>
    <w:rsid w:val="00083C8E"/>
    <w:rsid w:val="00083C96"/>
    <w:rsid w:val="00083CD7"/>
    <w:rsid w:val="00083CDC"/>
    <w:rsid w:val="00083CFB"/>
    <w:rsid w:val="00083D2A"/>
    <w:rsid w:val="00083D2B"/>
    <w:rsid w:val="00083D33"/>
    <w:rsid w:val="00083D37"/>
    <w:rsid w:val="00083DAA"/>
    <w:rsid w:val="00083E60"/>
    <w:rsid w:val="00083EC9"/>
    <w:rsid w:val="00083EE6"/>
    <w:rsid w:val="00083F98"/>
    <w:rsid w:val="00083FDF"/>
    <w:rsid w:val="00084044"/>
    <w:rsid w:val="00084077"/>
    <w:rsid w:val="000840BF"/>
    <w:rsid w:val="000840D6"/>
    <w:rsid w:val="00084135"/>
    <w:rsid w:val="00084241"/>
    <w:rsid w:val="00084255"/>
    <w:rsid w:val="00084285"/>
    <w:rsid w:val="000842E1"/>
    <w:rsid w:val="00084305"/>
    <w:rsid w:val="00084381"/>
    <w:rsid w:val="0008442C"/>
    <w:rsid w:val="0008448C"/>
    <w:rsid w:val="000844C0"/>
    <w:rsid w:val="00084503"/>
    <w:rsid w:val="0008453A"/>
    <w:rsid w:val="0008454D"/>
    <w:rsid w:val="00084564"/>
    <w:rsid w:val="0008457B"/>
    <w:rsid w:val="000845A4"/>
    <w:rsid w:val="000845D6"/>
    <w:rsid w:val="000845E1"/>
    <w:rsid w:val="000845E4"/>
    <w:rsid w:val="000845EA"/>
    <w:rsid w:val="00084629"/>
    <w:rsid w:val="00084636"/>
    <w:rsid w:val="00084665"/>
    <w:rsid w:val="0008471A"/>
    <w:rsid w:val="0008475A"/>
    <w:rsid w:val="00084768"/>
    <w:rsid w:val="0008479E"/>
    <w:rsid w:val="000847B6"/>
    <w:rsid w:val="000847E8"/>
    <w:rsid w:val="000847F7"/>
    <w:rsid w:val="00084801"/>
    <w:rsid w:val="00084832"/>
    <w:rsid w:val="0008485E"/>
    <w:rsid w:val="000848BB"/>
    <w:rsid w:val="000848E3"/>
    <w:rsid w:val="0008490C"/>
    <w:rsid w:val="00084922"/>
    <w:rsid w:val="0008492D"/>
    <w:rsid w:val="00084944"/>
    <w:rsid w:val="00084956"/>
    <w:rsid w:val="0008498A"/>
    <w:rsid w:val="000849B8"/>
    <w:rsid w:val="000849C9"/>
    <w:rsid w:val="00084A47"/>
    <w:rsid w:val="00084A80"/>
    <w:rsid w:val="00084A99"/>
    <w:rsid w:val="00084ACA"/>
    <w:rsid w:val="00084B00"/>
    <w:rsid w:val="00084B3E"/>
    <w:rsid w:val="00084B40"/>
    <w:rsid w:val="00084B6D"/>
    <w:rsid w:val="00084B75"/>
    <w:rsid w:val="00084B8C"/>
    <w:rsid w:val="00084B9F"/>
    <w:rsid w:val="00084BAF"/>
    <w:rsid w:val="00084C03"/>
    <w:rsid w:val="00084C15"/>
    <w:rsid w:val="00084C86"/>
    <w:rsid w:val="00084CD4"/>
    <w:rsid w:val="00084D37"/>
    <w:rsid w:val="00084E01"/>
    <w:rsid w:val="00084E13"/>
    <w:rsid w:val="00084E3A"/>
    <w:rsid w:val="00084E62"/>
    <w:rsid w:val="00084E8D"/>
    <w:rsid w:val="00084E94"/>
    <w:rsid w:val="00084EA7"/>
    <w:rsid w:val="00084F57"/>
    <w:rsid w:val="00084F61"/>
    <w:rsid w:val="00084F67"/>
    <w:rsid w:val="00084F77"/>
    <w:rsid w:val="00085014"/>
    <w:rsid w:val="0008501B"/>
    <w:rsid w:val="0008509C"/>
    <w:rsid w:val="000850A7"/>
    <w:rsid w:val="000850DD"/>
    <w:rsid w:val="000850FC"/>
    <w:rsid w:val="00085120"/>
    <w:rsid w:val="0008512F"/>
    <w:rsid w:val="0008514E"/>
    <w:rsid w:val="000851A6"/>
    <w:rsid w:val="000851E1"/>
    <w:rsid w:val="00085213"/>
    <w:rsid w:val="00085217"/>
    <w:rsid w:val="000852D5"/>
    <w:rsid w:val="00085362"/>
    <w:rsid w:val="0008536C"/>
    <w:rsid w:val="00085372"/>
    <w:rsid w:val="00085394"/>
    <w:rsid w:val="000853E8"/>
    <w:rsid w:val="0008544C"/>
    <w:rsid w:val="0008545C"/>
    <w:rsid w:val="0008547C"/>
    <w:rsid w:val="000854C8"/>
    <w:rsid w:val="000854DC"/>
    <w:rsid w:val="00085571"/>
    <w:rsid w:val="000855EA"/>
    <w:rsid w:val="000855FC"/>
    <w:rsid w:val="00085613"/>
    <w:rsid w:val="00085672"/>
    <w:rsid w:val="0008568A"/>
    <w:rsid w:val="000856BF"/>
    <w:rsid w:val="000856C7"/>
    <w:rsid w:val="000856F5"/>
    <w:rsid w:val="000857B5"/>
    <w:rsid w:val="00085816"/>
    <w:rsid w:val="00085840"/>
    <w:rsid w:val="00085855"/>
    <w:rsid w:val="0008587E"/>
    <w:rsid w:val="00085885"/>
    <w:rsid w:val="0008589C"/>
    <w:rsid w:val="0008591E"/>
    <w:rsid w:val="00085934"/>
    <w:rsid w:val="0008593D"/>
    <w:rsid w:val="00085959"/>
    <w:rsid w:val="000859A4"/>
    <w:rsid w:val="000859B3"/>
    <w:rsid w:val="000859F5"/>
    <w:rsid w:val="00085A10"/>
    <w:rsid w:val="00085A70"/>
    <w:rsid w:val="00085A85"/>
    <w:rsid w:val="00085ABE"/>
    <w:rsid w:val="00085ADA"/>
    <w:rsid w:val="00085AE8"/>
    <w:rsid w:val="00085AEB"/>
    <w:rsid w:val="00085AF8"/>
    <w:rsid w:val="00085B12"/>
    <w:rsid w:val="00085B15"/>
    <w:rsid w:val="00085B6D"/>
    <w:rsid w:val="00085B9D"/>
    <w:rsid w:val="00085BB5"/>
    <w:rsid w:val="00085BE0"/>
    <w:rsid w:val="00085BF1"/>
    <w:rsid w:val="00085C98"/>
    <w:rsid w:val="00085CC0"/>
    <w:rsid w:val="00085CC3"/>
    <w:rsid w:val="00085DC6"/>
    <w:rsid w:val="00085DDB"/>
    <w:rsid w:val="00085DF2"/>
    <w:rsid w:val="00085E0E"/>
    <w:rsid w:val="00085E5B"/>
    <w:rsid w:val="00085EBD"/>
    <w:rsid w:val="00085F4C"/>
    <w:rsid w:val="00085F6E"/>
    <w:rsid w:val="00085F86"/>
    <w:rsid w:val="00085FC6"/>
    <w:rsid w:val="00085FEF"/>
    <w:rsid w:val="0008603A"/>
    <w:rsid w:val="00086082"/>
    <w:rsid w:val="00086085"/>
    <w:rsid w:val="000860A3"/>
    <w:rsid w:val="000860AA"/>
    <w:rsid w:val="000860CF"/>
    <w:rsid w:val="000860E8"/>
    <w:rsid w:val="00086149"/>
    <w:rsid w:val="0008614D"/>
    <w:rsid w:val="000861B4"/>
    <w:rsid w:val="000861B5"/>
    <w:rsid w:val="000861B7"/>
    <w:rsid w:val="00086229"/>
    <w:rsid w:val="00086248"/>
    <w:rsid w:val="0008626A"/>
    <w:rsid w:val="0008627D"/>
    <w:rsid w:val="000862A1"/>
    <w:rsid w:val="000862D3"/>
    <w:rsid w:val="00086311"/>
    <w:rsid w:val="0008633A"/>
    <w:rsid w:val="00086367"/>
    <w:rsid w:val="00086393"/>
    <w:rsid w:val="000863A4"/>
    <w:rsid w:val="000863DB"/>
    <w:rsid w:val="00086406"/>
    <w:rsid w:val="00086461"/>
    <w:rsid w:val="0008646B"/>
    <w:rsid w:val="0008648C"/>
    <w:rsid w:val="000864EB"/>
    <w:rsid w:val="00086514"/>
    <w:rsid w:val="0008654B"/>
    <w:rsid w:val="00086573"/>
    <w:rsid w:val="000865EC"/>
    <w:rsid w:val="00086616"/>
    <w:rsid w:val="0008664F"/>
    <w:rsid w:val="000866A7"/>
    <w:rsid w:val="000866BC"/>
    <w:rsid w:val="0008670C"/>
    <w:rsid w:val="00086732"/>
    <w:rsid w:val="00086738"/>
    <w:rsid w:val="0008677C"/>
    <w:rsid w:val="00086788"/>
    <w:rsid w:val="0008678D"/>
    <w:rsid w:val="000867B1"/>
    <w:rsid w:val="000867CE"/>
    <w:rsid w:val="00086818"/>
    <w:rsid w:val="00086854"/>
    <w:rsid w:val="00086946"/>
    <w:rsid w:val="00086966"/>
    <w:rsid w:val="00086972"/>
    <w:rsid w:val="00086994"/>
    <w:rsid w:val="0008699D"/>
    <w:rsid w:val="00086A02"/>
    <w:rsid w:val="00086A24"/>
    <w:rsid w:val="00086A9B"/>
    <w:rsid w:val="00086AA9"/>
    <w:rsid w:val="00086B40"/>
    <w:rsid w:val="00086B66"/>
    <w:rsid w:val="00086B80"/>
    <w:rsid w:val="00086BC3"/>
    <w:rsid w:val="00086BF0"/>
    <w:rsid w:val="00086BFE"/>
    <w:rsid w:val="00086C06"/>
    <w:rsid w:val="00086C5F"/>
    <w:rsid w:val="00086CBE"/>
    <w:rsid w:val="00086CD8"/>
    <w:rsid w:val="00086CDA"/>
    <w:rsid w:val="00086D03"/>
    <w:rsid w:val="00086D67"/>
    <w:rsid w:val="00086D88"/>
    <w:rsid w:val="00086DCC"/>
    <w:rsid w:val="00086E97"/>
    <w:rsid w:val="00086E9E"/>
    <w:rsid w:val="00086EE1"/>
    <w:rsid w:val="00086EE2"/>
    <w:rsid w:val="00086F1F"/>
    <w:rsid w:val="00086F62"/>
    <w:rsid w:val="00086F63"/>
    <w:rsid w:val="00087069"/>
    <w:rsid w:val="000870AB"/>
    <w:rsid w:val="000870AD"/>
    <w:rsid w:val="000870CA"/>
    <w:rsid w:val="000870FB"/>
    <w:rsid w:val="00087108"/>
    <w:rsid w:val="00087125"/>
    <w:rsid w:val="00087159"/>
    <w:rsid w:val="00087160"/>
    <w:rsid w:val="0008717E"/>
    <w:rsid w:val="000871C0"/>
    <w:rsid w:val="00087214"/>
    <w:rsid w:val="00087218"/>
    <w:rsid w:val="00087239"/>
    <w:rsid w:val="00087246"/>
    <w:rsid w:val="0008724C"/>
    <w:rsid w:val="000872BD"/>
    <w:rsid w:val="00087301"/>
    <w:rsid w:val="00087330"/>
    <w:rsid w:val="000873CE"/>
    <w:rsid w:val="000873F4"/>
    <w:rsid w:val="000874A8"/>
    <w:rsid w:val="000874AA"/>
    <w:rsid w:val="000874D2"/>
    <w:rsid w:val="000874D8"/>
    <w:rsid w:val="000874DD"/>
    <w:rsid w:val="000874F1"/>
    <w:rsid w:val="00087506"/>
    <w:rsid w:val="00087526"/>
    <w:rsid w:val="0008756F"/>
    <w:rsid w:val="000875B4"/>
    <w:rsid w:val="000875C0"/>
    <w:rsid w:val="000875CC"/>
    <w:rsid w:val="000875E9"/>
    <w:rsid w:val="000876CD"/>
    <w:rsid w:val="000876E5"/>
    <w:rsid w:val="00087700"/>
    <w:rsid w:val="0008774B"/>
    <w:rsid w:val="000877D8"/>
    <w:rsid w:val="000878C7"/>
    <w:rsid w:val="000878F4"/>
    <w:rsid w:val="000878F8"/>
    <w:rsid w:val="000879BA"/>
    <w:rsid w:val="000879DC"/>
    <w:rsid w:val="000879E3"/>
    <w:rsid w:val="00087A74"/>
    <w:rsid w:val="00087AC7"/>
    <w:rsid w:val="00087B41"/>
    <w:rsid w:val="00087BC0"/>
    <w:rsid w:val="00087BCE"/>
    <w:rsid w:val="00087D87"/>
    <w:rsid w:val="00087E2D"/>
    <w:rsid w:val="00087E8C"/>
    <w:rsid w:val="00087EAE"/>
    <w:rsid w:val="00087EC8"/>
    <w:rsid w:val="00087ED1"/>
    <w:rsid w:val="00087EED"/>
    <w:rsid w:val="00087F18"/>
    <w:rsid w:val="00087F38"/>
    <w:rsid w:val="00087F49"/>
    <w:rsid w:val="00087F54"/>
    <w:rsid w:val="00087F75"/>
    <w:rsid w:val="00087FAC"/>
    <w:rsid w:val="00087FD7"/>
    <w:rsid w:val="00087FFC"/>
    <w:rsid w:val="0009002E"/>
    <w:rsid w:val="00090032"/>
    <w:rsid w:val="0009004C"/>
    <w:rsid w:val="00090063"/>
    <w:rsid w:val="0009006D"/>
    <w:rsid w:val="000900B7"/>
    <w:rsid w:val="000900C1"/>
    <w:rsid w:val="000900E0"/>
    <w:rsid w:val="000900E1"/>
    <w:rsid w:val="00090119"/>
    <w:rsid w:val="00090121"/>
    <w:rsid w:val="00090131"/>
    <w:rsid w:val="00090144"/>
    <w:rsid w:val="00090146"/>
    <w:rsid w:val="0009015D"/>
    <w:rsid w:val="0009018A"/>
    <w:rsid w:val="0009019B"/>
    <w:rsid w:val="000901E1"/>
    <w:rsid w:val="000901F8"/>
    <w:rsid w:val="0009020A"/>
    <w:rsid w:val="00090235"/>
    <w:rsid w:val="0009025F"/>
    <w:rsid w:val="000902E0"/>
    <w:rsid w:val="000902F1"/>
    <w:rsid w:val="00090327"/>
    <w:rsid w:val="0009033A"/>
    <w:rsid w:val="000903AA"/>
    <w:rsid w:val="000903C8"/>
    <w:rsid w:val="00090408"/>
    <w:rsid w:val="0009040B"/>
    <w:rsid w:val="00090411"/>
    <w:rsid w:val="0009043F"/>
    <w:rsid w:val="00090461"/>
    <w:rsid w:val="00090465"/>
    <w:rsid w:val="0009046E"/>
    <w:rsid w:val="0009047F"/>
    <w:rsid w:val="00090504"/>
    <w:rsid w:val="00090528"/>
    <w:rsid w:val="0009056B"/>
    <w:rsid w:val="00090610"/>
    <w:rsid w:val="00090659"/>
    <w:rsid w:val="0009067E"/>
    <w:rsid w:val="000906AC"/>
    <w:rsid w:val="000906E0"/>
    <w:rsid w:val="000906F7"/>
    <w:rsid w:val="00090713"/>
    <w:rsid w:val="0009071C"/>
    <w:rsid w:val="0009073A"/>
    <w:rsid w:val="0009076F"/>
    <w:rsid w:val="0009077F"/>
    <w:rsid w:val="000907F1"/>
    <w:rsid w:val="00090817"/>
    <w:rsid w:val="0009082C"/>
    <w:rsid w:val="00090834"/>
    <w:rsid w:val="00090862"/>
    <w:rsid w:val="00090865"/>
    <w:rsid w:val="00090866"/>
    <w:rsid w:val="000908BC"/>
    <w:rsid w:val="00090979"/>
    <w:rsid w:val="0009097C"/>
    <w:rsid w:val="0009097E"/>
    <w:rsid w:val="0009098E"/>
    <w:rsid w:val="00090994"/>
    <w:rsid w:val="0009099B"/>
    <w:rsid w:val="000909E4"/>
    <w:rsid w:val="00090A02"/>
    <w:rsid w:val="00090A0C"/>
    <w:rsid w:val="00090AA9"/>
    <w:rsid w:val="00090ABF"/>
    <w:rsid w:val="00090AE0"/>
    <w:rsid w:val="00090B3C"/>
    <w:rsid w:val="00090B6F"/>
    <w:rsid w:val="00090B71"/>
    <w:rsid w:val="00090BAE"/>
    <w:rsid w:val="00090BE6"/>
    <w:rsid w:val="00090BE8"/>
    <w:rsid w:val="00090C11"/>
    <w:rsid w:val="00090CAA"/>
    <w:rsid w:val="00090CEA"/>
    <w:rsid w:val="00090D4B"/>
    <w:rsid w:val="00090D64"/>
    <w:rsid w:val="00090D91"/>
    <w:rsid w:val="00090DBC"/>
    <w:rsid w:val="00090DD7"/>
    <w:rsid w:val="00090E23"/>
    <w:rsid w:val="00090E2B"/>
    <w:rsid w:val="00090E40"/>
    <w:rsid w:val="00090E44"/>
    <w:rsid w:val="00090E6E"/>
    <w:rsid w:val="00090EC0"/>
    <w:rsid w:val="00090ED9"/>
    <w:rsid w:val="00090EDE"/>
    <w:rsid w:val="00090F24"/>
    <w:rsid w:val="00090F57"/>
    <w:rsid w:val="00090F5F"/>
    <w:rsid w:val="00090F8D"/>
    <w:rsid w:val="00090F96"/>
    <w:rsid w:val="00090FA7"/>
    <w:rsid w:val="00090FBA"/>
    <w:rsid w:val="00090FDE"/>
    <w:rsid w:val="00091067"/>
    <w:rsid w:val="0009109C"/>
    <w:rsid w:val="000910A0"/>
    <w:rsid w:val="000910A6"/>
    <w:rsid w:val="000910AF"/>
    <w:rsid w:val="000910B1"/>
    <w:rsid w:val="000910B3"/>
    <w:rsid w:val="000910DE"/>
    <w:rsid w:val="000910F3"/>
    <w:rsid w:val="00091140"/>
    <w:rsid w:val="00091141"/>
    <w:rsid w:val="000911B0"/>
    <w:rsid w:val="000911D6"/>
    <w:rsid w:val="000911E3"/>
    <w:rsid w:val="000911E5"/>
    <w:rsid w:val="00091290"/>
    <w:rsid w:val="00091328"/>
    <w:rsid w:val="00091334"/>
    <w:rsid w:val="0009135F"/>
    <w:rsid w:val="0009138E"/>
    <w:rsid w:val="000913F8"/>
    <w:rsid w:val="000913FD"/>
    <w:rsid w:val="0009143F"/>
    <w:rsid w:val="0009144B"/>
    <w:rsid w:val="0009145F"/>
    <w:rsid w:val="000914C6"/>
    <w:rsid w:val="000914CE"/>
    <w:rsid w:val="000914E4"/>
    <w:rsid w:val="000914EA"/>
    <w:rsid w:val="0009160C"/>
    <w:rsid w:val="00091646"/>
    <w:rsid w:val="0009165B"/>
    <w:rsid w:val="00091708"/>
    <w:rsid w:val="0009171F"/>
    <w:rsid w:val="00091729"/>
    <w:rsid w:val="00091769"/>
    <w:rsid w:val="0009179A"/>
    <w:rsid w:val="000917C5"/>
    <w:rsid w:val="0009180D"/>
    <w:rsid w:val="0009180E"/>
    <w:rsid w:val="00091814"/>
    <w:rsid w:val="00091843"/>
    <w:rsid w:val="00091847"/>
    <w:rsid w:val="00091866"/>
    <w:rsid w:val="00091886"/>
    <w:rsid w:val="000918B7"/>
    <w:rsid w:val="000918DF"/>
    <w:rsid w:val="000918F2"/>
    <w:rsid w:val="000918FF"/>
    <w:rsid w:val="00091941"/>
    <w:rsid w:val="00091996"/>
    <w:rsid w:val="00091A62"/>
    <w:rsid w:val="00091A66"/>
    <w:rsid w:val="00091A69"/>
    <w:rsid w:val="00091A99"/>
    <w:rsid w:val="00091AA7"/>
    <w:rsid w:val="00091AE3"/>
    <w:rsid w:val="00091AEC"/>
    <w:rsid w:val="00091B6A"/>
    <w:rsid w:val="00091BD5"/>
    <w:rsid w:val="00091BF4"/>
    <w:rsid w:val="00091C6D"/>
    <w:rsid w:val="00091C79"/>
    <w:rsid w:val="00091D82"/>
    <w:rsid w:val="00091D97"/>
    <w:rsid w:val="00091DC4"/>
    <w:rsid w:val="00091E4D"/>
    <w:rsid w:val="00091F04"/>
    <w:rsid w:val="00091F23"/>
    <w:rsid w:val="00092021"/>
    <w:rsid w:val="00092026"/>
    <w:rsid w:val="0009202D"/>
    <w:rsid w:val="0009207A"/>
    <w:rsid w:val="00092091"/>
    <w:rsid w:val="00092146"/>
    <w:rsid w:val="0009215B"/>
    <w:rsid w:val="0009227E"/>
    <w:rsid w:val="00092295"/>
    <w:rsid w:val="000922C6"/>
    <w:rsid w:val="000922E9"/>
    <w:rsid w:val="00092311"/>
    <w:rsid w:val="00092377"/>
    <w:rsid w:val="0009237A"/>
    <w:rsid w:val="000923BD"/>
    <w:rsid w:val="000923C6"/>
    <w:rsid w:val="000923EC"/>
    <w:rsid w:val="000923ED"/>
    <w:rsid w:val="00092417"/>
    <w:rsid w:val="00092452"/>
    <w:rsid w:val="00092459"/>
    <w:rsid w:val="000924F3"/>
    <w:rsid w:val="0009258F"/>
    <w:rsid w:val="000925C2"/>
    <w:rsid w:val="000925C8"/>
    <w:rsid w:val="000925D5"/>
    <w:rsid w:val="000925F6"/>
    <w:rsid w:val="00092624"/>
    <w:rsid w:val="00092655"/>
    <w:rsid w:val="0009265D"/>
    <w:rsid w:val="0009266B"/>
    <w:rsid w:val="0009266E"/>
    <w:rsid w:val="0009271A"/>
    <w:rsid w:val="00092736"/>
    <w:rsid w:val="00092738"/>
    <w:rsid w:val="0009273C"/>
    <w:rsid w:val="00092782"/>
    <w:rsid w:val="0009279B"/>
    <w:rsid w:val="000927B3"/>
    <w:rsid w:val="000927E8"/>
    <w:rsid w:val="0009281B"/>
    <w:rsid w:val="00092825"/>
    <w:rsid w:val="0009286F"/>
    <w:rsid w:val="00092898"/>
    <w:rsid w:val="0009289C"/>
    <w:rsid w:val="00092914"/>
    <w:rsid w:val="0009291E"/>
    <w:rsid w:val="0009291F"/>
    <w:rsid w:val="00092920"/>
    <w:rsid w:val="000929B7"/>
    <w:rsid w:val="00092AB5"/>
    <w:rsid w:val="00092AD4"/>
    <w:rsid w:val="00092AE5"/>
    <w:rsid w:val="00092B43"/>
    <w:rsid w:val="00092B73"/>
    <w:rsid w:val="00092B89"/>
    <w:rsid w:val="00092CAE"/>
    <w:rsid w:val="00092CB2"/>
    <w:rsid w:val="00092CB4"/>
    <w:rsid w:val="00092CC2"/>
    <w:rsid w:val="00092CE0"/>
    <w:rsid w:val="00092CEC"/>
    <w:rsid w:val="00092D22"/>
    <w:rsid w:val="00092D60"/>
    <w:rsid w:val="00092D6D"/>
    <w:rsid w:val="00092D90"/>
    <w:rsid w:val="00092E7D"/>
    <w:rsid w:val="00092EA5"/>
    <w:rsid w:val="00092EBE"/>
    <w:rsid w:val="00092EE4"/>
    <w:rsid w:val="00092F1A"/>
    <w:rsid w:val="00092F21"/>
    <w:rsid w:val="00092F25"/>
    <w:rsid w:val="00092FB8"/>
    <w:rsid w:val="00092FCC"/>
    <w:rsid w:val="00092FE9"/>
    <w:rsid w:val="0009303F"/>
    <w:rsid w:val="00093056"/>
    <w:rsid w:val="000930CC"/>
    <w:rsid w:val="00093101"/>
    <w:rsid w:val="00093102"/>
    <w:rsid w:val="00093142"/>
    <w:rsid w:val="0009317B"/>
    <w:rsid w:val="00093185"/>
    <w:rsid w:val="000931D1"/>
    <w:rsid w:val="000931F4"/>
    <w:rsid w:val="00093205"/>
    <w:rsid w:val="0009322F"/>
    <w:rsid w:val="00093235"/>
    <w:rsid w:val="0009323D"/>
    <w:rsid w:val="00093250"/>
    <w:rsid w:val="00093256"/>
    <w:rsid w:val="00093259"/>
    <w:rsid w:val="000932E6"/>
    <w:rsid w:val="000932F7"/>
    <w:rsid w:val="0009332A"/>
    <w:rsid w:val="0009339B"/>
    <w:rsid w:val="000933B2"/>
    <w:rsid w:val="000933C3"/>
    <w:rsid w:val="0009340B"/>
    <w:rsid w:val="00093448"/>
    <w:rsid w:val="000934B5"/>
    <w:rsid w:val="000934B6"/>
    <w:rsid w:val="000934DF"/>
    <w:rsid w:val="0009352B"/>
    <w:rsid w:val="0009358F"/>
    <w:rsid w:val="0009359C"/>
    <w:rsid w:val="000935C1"/>
    <w:rsid w:val="000935F1"/>
    <w:rsid w:val="00093608"/>
    <w:rsid w:val="00093638"/>
    <w:rsid w:val="00093675"/>
    <w:rsid w:val="0009367D"/>
    <w:rsid w:val="000936C0"/>
    <w:rsid w:val="000936E0"/>
    <w:rsid w:val="00093721"/>
    <w:rsid w:val="00093738"/>
    <w:rsid w:val="0009378E"/>
    <w:rsid w:val="0009379D"/>
    <w:rsid w:val="000937E2"/>
    <w:rsid w:val="000937EB"/>
    <w:rsid w:val="00093842"/>
    <w:rsid w:val="00093847"/>
    <w:rsid w:val="000938D3"/>
    <w:rsid w:val="000938DB"/>
    <w:rsid w:val="000938E4"/>
    <w:rsid w:val="00093938"/>
    <w:rsid w:val="000939A4"/>
    <w:rsid w:val="000939C5"/>
    <w:rsid w:val="000939C6"/>
    <w:rsid w:val="00093A5A"/>
    <w:rsid w:val="00093A69"/>
    <w:rsid w:val="00093AEA"/>
    <w:rsid w:val="00093B36"/>
    <w:rsid w:val="00093BE9"/>
    <w:rsid w:val="00093C01"/>
    <w:rsid w:val="00093C04"/>
    <w:rsid w:val="00093C22"/>
    <w:rsid w:val="00093C89"/>
    <w:rsid w:val="00093CB7"/>
    <w:rsid w:val="00093CC3"/>
    <w:rsid w:val="00093D2C"/>
    <w:rsid w:val="00093D63"/>
    <w:rsid w:val="00093D84"/>
    <w:rsid w:val="00093DD8"/>
    <w:rsid w:val="00093DF4"/>
    <w:rsid w:val="00093E65"/>
    <w:rsid w:val="00093E77"/>
    <w:rsid w:val="00093ECB"/>
    <w:rsid w:val="00093F4D"/>
    <w:rsid w:val="00094056"/>
    <w:rsid w:val="00094085"/>
    <w:rsid w:val="000940B8"/>
    <w:rsid w:val="000940CE"/>
    <w:rsid w:val="0009415E"/>
    <w:rsid w:val="0009416B"/>
    <w:rsid w:val="0009416C"/>
    <w:rsid w:val="000941B8"/>
    <w:rsid w:val="000941FB"/>
    <w:rsid w:val="0009421E"/>
    <w:rsid w:val="00094270"/>
    <w:rsid w:val="0009430D"/>
    <w:rsid w:val="00094325"/>
    <w:rsid w:val="00094351"/>
    <w:rsid w:val="00094357"/>
    <w:rsid w:val="000943F9"/>
    <w:rsid w:val="00094442"/>
    <w:rsid w:val="000944AA"/>
    <w:rsid w:val="000944E4"/>
    <w:rsid w:val="000944FE"/>
    <w:rsid w:val="00094500"/>
    <w:rsid w:val="00094503"/>
    <w:rsid w:val="00094548"/>
    <w:rsid w:val="00094565"/>
    <w:rsid w:val="00094575"/>
    <w:rsid w:val="00094577"/>
    <w:rsid w:val="0009459E"/>
    <w:rsid w:val="000945F2"/>
    <w:rsid w:val="00094628"/>
    <w:rsid w:val="0009462C"/>
    <w:rsid w:val="00094667"/>
    <w:rsid w:val="000946CC"/>
    <w:rsid w:val="000946CF"/>
    <w:rsid w:val="000947CF"/>
    <w:rsid w:val="000947E5"/>
    <w:rsid w:val="00094837"/>
    <w:rsid w:val="00094860"/>
    <w:rsid w:val="00094867"/>
    <w:rsid w:val="000948C1"/>
    <w:rsid w:val="000948C2"/>
    <w:rsid w:val="000948CC"/>
    <w:rsid w:val="0009490E"/>
    <w:rsid w:val="0009491E"/>
    <w:rsid w:val="00094942"/>
    <w:rsid w:val="000949CB"/>
    <w:rsid w:val="000949F0"/>
    <w:rsid w:val="00094A05"/>
    <w:rsid w:val="00094A0B"/>
    <w:rsid w:val="00094A3A"/>
    <w:rsid w:val="00094A4A"/>
    <w:rsid w:val="00094A6D"/>
    <w:rsid w:val="00094B22"/>
    <w:rsid w:val="00094B31"/>
    <w:rsid w:val="00094B45"/>
    <w:rsid w:val="00094B5B"/>
    <w:rsid w:val="00094B68"/>
    <w:rsid w:val="00094B73"/>
    <w:rsid w:val="00094BEF"/>
    <w:rsid w:val="00094CB3"/>
    <w:rsid w:val="00094CD9"/>
    <w:rsid w:val="00094D1A"/>
    <w:rsid w:val="00094D29"/>
    <w:rsid w:val="00094D3C"/>
    <w:rsid w:val="00094D4B"/>
    <w:rsid w:val="00094D78"/>
    <w:rsid w:val="00094DCC"/>
    <w:rsid w:val="00094DE8"/>
    <w:rsid w:val="00094E06"/>
    <w:rsid w:val="00094E56"/>
    <w:rsid w:val="00094E6A"/>
    <w:rsid w:val="00094E7F"/>
    <w:rsid w:val="00094EB3"/>
    <w:rsid w:val="00094EC2"/>
    <w:rsid w:val="00094F73"/>
    <w:rsid w:val="00094F8B"/>
    <w:rsid w:val="000950A0"/>
    <w:rsid w:val="000950A5"/>
    <w:rsid w:val="000950E1"/>
    <w:rsid w:val="000950E8"/>
    <w:rsid w:val="00095110"/>
    <w:rsid w:val="00095135"/>
    <w:rsid w:val="00095143"/>
    <w:rsid w:val="0009518B"/>
    <w:rsid w:val="000951A4"/>
    <w:rsid w:val="000951B4"/>
    <w:rsid w:val="00095200"/>
    <w:rsid w:val="0009523F"/>
    <w:rsid w:val="00095246"/>
    <w:rsid w:val="00095266"/>
    <w:rsid w:val="000952B7"/>
    <w:rsid w:val="000952F8"/>
    <w:rsid w:val="000952FD"/>
    <w:rsid w:val="00095311"/>
    <w:rsid w:val="00095318"/>
    <w:rsid w:val="00095335"/>
    <w:rsid w:val="0009533F"/>
    <w:rsid w:val="0009541D"/>
    <w:rsid w:val="00095435"/>
    <w:rsid w:val="00095493"/>
    <w:rsid w:val="0009549B"/>
    <w:rsid w:val="0009549E"/>
    <w:rsid w:val="000954AB"/>
    <w:rsid w:val="000954D3"/>
    <w:rsid w:val="00095512"/>
    <w:rsid w:val="00095523"/>
    <w:rsid w:val="00095551"/>
    <w:rsid w:val="00095558"/>
    <w:rsid w:val="00095586"/>
    <w:rsid w:val="0009558B"/>
    <w:rsid w:val="000955A8"/>
    <w:rsid w:val="000955EB"/>
    <w:rsid w:val="000955EE"/>
    <w:rsid w:val="000955FF"/>
    <w:rsid w:val="00095608"/>
    <w:rsid w:val="00095625"/>
    <w:rsid w:val="00095630"/>
    <w:rsid w:val="0009567D"/>
    <w:rsid w:val="000956D5"/>
    <w:rsid w:val="000956F6"/>
    <w:rsid w:val="0009577B"/>
    <w:rsid w:val="000958AF"/>
    <w:rsid w:val="00095955"/>
    <w:rsid w:val="0009596B"/>
    <w:rsid w:val="00095980"/>
    <w:rsid w:val="000959EB"/>
    <w:rsid w:val="000959F9"/>
    <w:rsid w:val="00095A00"/>
    <w:rsid w:val="00095A2B"/>
    <w:rsid w:val="00095A61"/>
    <w:rsid w:val="00095A8D"/>
    <w:rsid w:val="00095AC4"/>
    <w:rsid w:val="00095AC9"/>
    <w:rsid w:val="00095B23"/>
    <w:rsid w:val="00095B2C"/>
    <w:rsid w:val="00095B77"/>
    <w:rsid w:val="00095B96"/>
    <w:rsid w:val="00095C06"/>
    <w:rsid w:val="00095C3F"/>
    <w:rsid w:val="00095C5C"/>
    <w:rsid w:val="00095C8E"/>
    <w:rsid w:val="00095C9B"/>
    <w:rsid w:val="00095CA5"/>
    <w:rsid w:val="00095CE6"/>
    <w:rsid w:val="00095D23"/>
    <w:rsid w:val="00095D4D"/>
    <w:rsid w:val="00095D7C"/>
    <w:rsid w:val="00095DD6"/>
    <w:rsid w:val="00095E2F"/>
    <w:rsid w:val="00095E64"/>
    <w:rsid w:val="00095EDC"/>
    <w:rsid w:val="00095F34"/>
    <w:rsid w:val="00095F36"/>
    <w:rsid w:val="00095F38"/>
    <w:rsid w:val="00095F43"/>
    <w:rsid w:val="00095F66"/>
    <w:rsid w:val="00095F7A"/>
    <w:rsid w:val="00096004"/>
    <w:rsid w:val="0009601D"/>
    <w:rsid w:val="00096060"/>
    <w:rsid w:val="000960E5"/>
    <w:rsid w:val="000960FD"/>
    <w:rsid w:val="00096135"/>
    <w:rsid w:val="00096150"/>
    <w:rsid w:val="000961CC"/>
    <w:rsid w:val="000961DF"/>
    <w:rsid w:val="00096273"/>
    <w:rsid w:val="000962A5"/>
    <w:rsid w:val="0009631E"/>
    <w:rsid w:val="00096358"/>
    <w:rsid w:val="00096369"/>
    <w:rsid w:val="000963B8"/>
    <w:rsid w:val="000963CF"/>
    <w:rsid w:val="000963D2"/>
    <w:rsid w:val="000963E4"/>
    <w:rsid w:val="000963F3"/>
    <w:rsid w:val="0009642D"/>
    <w:rsid w:val="00096483"/>
    <w:rsid w:val="000964F7"/>
    <w:rsid w:val="00096560"/>
    <w:rsid w:val="0009659B"/>
    <w:rsid w:val="000965F8"/>
    <w:rsid w:val="0009661D"/>
    <w:rsid w:val="00096647"/>
    <w:rsid w:val="0009667B"/>
    <w:rsid w:val="000966A2"/>
    <w:rsid w:val="000966FD"/>
    <w:rsid w:val="00096711"/>
    <w:rsid w:val="000967EF"/>
    <w:rsid w:val="00096817"/>
    <w:rsid w:val="0009683E"/>
    <w:rsid w:val="0009685C"/>
    <w:rsid w:val="00096874"/>
    <w:rsid w:val="00096889"/>
    <w:rsid w:val="000968E3"/>
    <w:rsid w:val="000968FF"/>
    <w:rsid w:val="000969BD"/>
    <w:rsid w:val="000969E6"/>
    <w:rsid w:val="000969FC"/>
    <w:rsid w:val="00096A11"/>
    <w:rsid w:val="00096A5A"/>
    <w:rsid w:val="00096A63"/>
    <w:rsid w:val="00096B0E"/>
    <w:rsid w:val="00096B36"/>
    <w:rsid w:val="00096B59"/>
    <w:rsid w:val="00096B81"/>
    <w:rsid w:val="00096BFF"/>
    <w:rsid w:val="00096C57"/>
    <w:rsid w:val="00096C77"/>
    <w:rsid w:val="00096CBC"/>
    <w:rsid w:val="00096CCF"/>
    <w:rsid w:val="00096D08"/>
    <w:rsid w:val="00096D15"/>
    <w:rsid w:val="00096D40"/>
    <w:rsid w:val="00096D7B"/>
    <w:rsid w:val="00096D81"/>
    <w:rsid w:val="00096D8C"/>
    <w:rsid w:val="00096E0F"/>
    <w:rsid w:val="00096E36"/>
    <w:rsid w:val="00096F6B"/>
    <w:rsid w:val="00096FB2"/>
    <w:rsid w:val="0009707D"/>
    <w:rsid w:val="000970C5"/>
    <w:rsid w:val="00097143"/>
    <w:rsid w:val="0009715E"/>
    <w:rsid w:val="000971B3"/>
    <w:rsid w:val="000971B8"/>
    <w:rsid w:val="000971D3"/>
    <w:rsid w:val="00097235"/>
    <w:rsid w:val="00097264"/>
    <w:rsid w:val="00097269"/>
    <w:rsid w:val="00097287"/>
    <w:rsid w:val="000972B1"/>
    <w:rsid w:val="000972F6"/>
    <w:rsid w:val="00097349"/>
    <w:rsid w:val="00097359"/>
    <w:rsid w:val="00097382"/>
    <w:rsid w:val="00097397"/>
    <w:rsid w:val="000973F2"/>
    <w:rsid w:val="000973FE"/>
    <w:rsid w:val="0009746F"/>
    <w:rsid w:val="0009748E"/>
    <w:rsid w:val="000974AE"/>
    <w:rsid w:val="0009755C"/>
    <w:rsid w:val="000975AF"/>
    <w:rsid w:val="000975B9"/>
    <w:rsid w:val="000975E9"/>
    <w:rsid w:val="0009768D"/>
    <w:rsid w:val="0009768E"/>
    <w:rsid w:val="000976D9"/>
    <w:rsid w:val="000976E2"/>
    <w:rsid w:val="00097719"/>
    <w:rsid w:val="000977B8"/>
    <w:rsid w:val="000977DE"/>
    <w:rsid w:val="0009780C"/>
    <w:rsid w:val="0009789C"/>
    <w:rsid w:val="00097966"/>
    <w:rsid w:val="000979BF"/>
    <w:rsid w:val="000979D0"/>
    <w:rsid w:val="000979E4"/>
    <w:rsid w:val="00097A0E"/>
    <w:rsid w:val="00097A60"/>
    <w:rsid w:val="00097A8F"/>
    <w:rsid w:val="00097AAB"/>
    <w:rsid w:val="00097AC0"/>
    <w:rsid w:val="00097B07"/>
    <w:rsid w:val="00097B1F"/>
    <w:rsid w:val="00097B31"/>
    <w:rsid w:val="00097B3A"/>
    <w:rsid w:val="00097B5B"/>
    <w:rsid w:val="00097B9D"/>
    <w:rsid w:val="00097BD0"/>
    <w:rsid w:val="00097BD4"/>
    <w:rsid w:val="00097BEA"/>
    <w:rsid w:val="00097BFD"/>
    <w:rsid w:val="00097BFF"/>
    <w:rsid w:val="00097C13"/>
    <w:rsid w:val="00097C82"/>
    <w:rsid w:val="00097C8D"/>
    <w:rsid w:val="00097CAC"/>
    <w:rsid w:val="00097CB8"/>
    <w:rsid w:val="00097CCE"/>
    <w:rsid w:val="00097D01"/>
    <w:rsid w:val="00097D2E"/>
    <w:rsid w:val="00097D31"/>
    <w:rsid w:val="00097D3A"/>
    <w:rsid w:val="00097D48"/>
    <w:rsid w:val="00097D89"/>
    <w:rsid w:val="00097D8E"/>
    <w:rsid w:val="00097DEC"/>
    <w:rsid w:val="00097E2B"/>
    <w:rsid w:val="00097E63"/>
    <w:rsid w:val="00097E93"/>
    <w:rsid w:val="00097EA3"/>
    <w:rsid w:val="00097EBA"/>
    <w:rsid w:val="00097EBD"/>
    <w:rsid w:val="00097EFD"/>
    <w:rsid w:val="00097F37"/>
    <w:rsid w:val="00097F7C"/>
    <w:rsid w:val="00097FBA"/>
    <w:rsid w:val="000A0072"/>
    <w:rsid w:val="000A00B8"/>
    <w:rsid w:val="000A00DB"/>
    <w:rsid w:val="000A00FB"/>
    <w:rsid w:val="000A012F"/>
    <w:rsid w:val="000A0158"/>
    <w:rsid w:val="000A0194"/>
    <w:rsid w:val="000A01D9"/>
    <w:rsid w:val="000A01F1"/>
    <w:rsid w:val="000A023A"/>
    <w:rsid w:val="000A0247"/>
    <w:rsid w:val="000A0262"/>
    <w:rsid w:val="000A0274"/>
    <w:rsid w:val="000A0284"/>
    <w:rsid w:val="000A028F"/>
    <w:rsid w:val="000A02C2"/>
    <w:rsid w:val="000A02C7"/>
    <w:rsid w:val="000A03E0"/>
    <w:rsid w:val="000A03EB"/>
    <w:rsid w:val="000A0456"/>
    <w:rsid w:val="000A04AA"/>
    <w:rsid w:val="000A04F6"/>
    <w:rsid w:val="000A04FF"/>
    <w:rsid w:val="000A0518"/>
    <w:rsid w:val="000A051A"/>
    <w:rsid w:val="000A053D"/>
    <w:rsid w:val="000A058B"/>
    <w:rsid w:val="000A0594"/>
    <w:rsid w:val="000A05B2"/>
    <w:rsid w:val="000A05C5"/>
    <w:rsid w:val="000A05D2"/>
    <w:rsid w:val="000A060A"/>
    <w:rsid w:val="000A0621"/>
    <w:rsid w:val="000A064C"/>
    <w:rsid w:val="000A06B6"/>
    <w:rsid w:val="000A06C7"/>
    <w:rsid w:val="000A072B"/>
    <w:rsid w:val="000A0755"/>
    <w:rsid w:val="000A0793"/>
    <w:rsid w:val="000A07A7"/>
    <w:rsid w:val="000A07B7"/>
    <w:rsid w:val="000A082B"/>
    <w:rsid w:val="000A0836"/>
    <w:rsid w:val="000A083A"/>
    <w:rsid w:val="000A08AC"/>
    <w:rsid w:val="000A08DC"/>
    <w:rsid w:val="000A08EC"/>
    <w:rsid w:val="000A0997"/>
    <w:rsid w:val="000A09A2"/>
    <w:rsid w:val="000A0A18"/>
    <w:rsid w:val="000A0A50"/>
    <w:rsid w:val="000A0A6D"/>
    <w:rsid w:val="000A0A7E"/>
    <w:rsid w:val="000A0A80"/>
    <w:rsid w:val="000A0A81"/>
    <w:rsid w:val="000A0A9E"/>
    <w:rsid w:val="000A0AE4"/>
    <w:rsid w:val="000A0B0C"/>
    <w:rsid w:val="000A0B69"/>
    <w:rsid w:val="000A0B84"/>
    <w:rsid w:val="000A0BB6"/>
    <w:rsid w:val="000A0BB9"/>
    <w:rsid w:val="000A0BC0"/>
    <w:rsid w:val="000A0BEC"/>
    <w:rsid w:val="000A0C6A"/>
    <w:rsid w:val="000A0C97"/>
    <w:rsid w:val="000A0CB8"/>
    <w:rsid w:val="000A0CD8"/>
    <w:rsid w:val="000A0CF6"/>
    <w:rsid w:val="000A0D2E"/>
    <w:rsid w:val="000A0D38"/>
    <w:rsid w:val="000A0D62"/>
    <w:rsid w:val="000A0E66"/>
    <w:rsid w:val="000A0E8C"/>
    <w:rsid w:val="000A0EF7"/>
    <w:rsid w:val="000A0F1E"/>
    <w:rsid w:val="000A0F5B"/>
    <w:rsid w:val="000A0F67"/>
    <w:rsid w:val="000A0FB7"/>
    <w:rsid w:val="000A0FD0"/>
    <w:rsid w:val="000A0FE3"/>
    <w:rsid w:val="000A105B"/>
    <w:rsid w:val="000A10CB"/>
    <w:rsid w:val="000A1105"/>
    <w:rsid w:val="000A110A"/>
    <w:rsid w:val="000A1132"/>
    <w:rsid w:val="000A1156"/>
    <w:rsid w:val="000A11A3"/>
    <w:rsid w:val="000A11F0"/>
    <w:rsid w:val="000A1244"/>
    <w:rsid w:val="000A125E"/>
    <w:rsid w:val="000A12D8"/>
    <w:rsid w:val="000A131C"/>
    <w:rsid w:val="000A1365"/>
    <w:rsid w:val="000A1384"/>
    <w:rsid w:val="000A13A7"/>
    <w:rsid w:val="000A13B9"/>
    <w:rsid w:val="000A13BE"/>
    <w:rsid w:val="000A13CD"/>
    <w:rsid w:val="000A14A3"/>
    <w:rsid w:val="000A14BE"/>
    <w:rsid w:val="000A14D2"/>
    <w:rsid w:val="000A1518"/>
    <w:rsid w:val="000A1531"/>
    <w:rsid w:val="000A156B"/>
    <w:rsid w:val="000A157E"/>
    <w:rsid w:val="000A1586"/>
    <w:rsid w:val="000A1594"/>
    <w:rsid w:val="000A1662"/>
    <w:rsid w:val="000A167F"/>
    <w:rsid w:val="000A16AA"/>
    <w:rsid w:val="000A16DE"/>
    <w:rsid w:val="000A1771"/>
    <w:rsid w:val="000A1781"/>
    <w:rsid w:val="000A17E2"/>
    <w:rsid w:val="000A17F6"/>
    <w:rsid w:val="000A18A3"/>
    <w:rsid w:val="000A18C7"/>
    <w:rsid w:val="000A194C"/>
    <w:rsid w:val="000A195D"/>
    <w:rsid w:val="000A1980"/>
    <w:rsid w:val="000A19AF"/>
    <w:rsid w:val="000A19B3"/>
    <w:rsid w:val="000A1A04"/>
    <w:rsid w:val="000A1A1F"/>
    <w:rsid w:val="000A1A71"/>
    <w:rsid w:val="000A1A8E"/>
    <w:rsid w:val="000A1AAF"/>
    <w:rsid w:val="000A1AE5"/>
    <w:rsid w:val="000A1B14"/>
    <w:rsid w:val="000A1B35"/>
    <w:rsid w:val="000A1B46"/>
    <w:rsid w:val="000A1B75"/>
    <w:rsid w:val="000A1C5C"/>
    <w:rsid w:val="000A1CEE"/>
    <w:rsid w:val="000A1CF6"/>
    <w:rsid w:val="000A1D03"/>
    <w:rsid w:val="000A1D1E"/>
    <w:rsid w:val="000A1D32"/>
    <w:rsid w:val="000A1D73"/>
    <w:rsid w:val="000A1D8A"/>
    <w:rsid w:val="000A1DA5"/>
    <w:rsid w:val="000A1E06"/>
    <w:rsid w:val="000A1E3F"/>
    <w:rsid w:val="000A1E5A"/>
    <w:rsid w:val="000A1E5E"/>
    <w:rsid w:val="000A1E7F"/>
    <w:rsid w:val="000A1F2A"/>
    <w:rsid w:val="000A1F39"/>
    <w:rsid w:val="000A1F62"/>
    <w:rsid w:val="000A1FB8"/>
    <w:rsid w:val="000A1FE5"/>
    <w:rsid w:val="000A1FEB"/>
    <w:rsid w:val="000A1FF9"/>
    <w:rsid w:val="000A2019"/>
    <w:rsid w:val="000A203F"/>
    <w:rsid w:val="000A208F"/>
    <w:rsid w:val="000A212A"/>
    <w:rsid w:val="000A212D"/>
    <w:rsid w:val="000A2145"/>
    <w:rsid w:val="000A218A"/>
    <w:rsid w:val="000A2196"/>
    <w:rsid w:val="000A22D3"/>
    <w:rsid w:val="000A22E3"/>
    <w:rsid w:val="000A22F5"/>
    <w:rsid w:val="000A2302"/>
    <w:rsid w:val="000A230E"/>
    <w:rsid w:val="000A2322"/>
    <w:rsid w:val="000A2343"/>
    <w:rsid w:val="000A2435"/>
    <w:rsid w:val="000A24C3"/>
    <w:rsid w:val="000A2512"/>
    <w:rsid w:val="000A2574"/>
    <w:rsid w:val="000A25A3"/>
    <w:rsid w:val="000A25A8"/>
    <w:rsid w:val="000A25C2"/>
    <w:rsid w:val="000A25CE"/>
    <w:rsid w:val="000A260C"/>
    <w:rsid w:val="000A261B"/>
    <w:rsid w:val="000A2633"/>
    <w:rsid w:val="000A2646"/>
    <w:rsid w:val="000A26DD"/>
    <w:rsid w:val="000A26F7"/>
    <w:rsid w:val="000A2716"/>
    <w:rsid w:val="000A273D"/>
    <w:rsid w:val="000A274C"/>
    <w:rsid w:val="000A2765"/>
    <w:rsid w:val="000A27DB"/>
    <w:rsid w:val="000A2811"/>
    <w:rsid w:val="000A2815"/>
    <w:rsid w:val="000A281E"/>
    <w:rsid w:val="000A283F"/>
    <w:rsid w:val="000A2851"/>
    <w:rsid w:val="000A2875"/>
    <w:rsid w:val="000A28E6"/>
    <w:rsid w:val="000A2979"/>
    <w:rsid w:val="000A297A"/>
    <w:rsid w:val="000A29B5"/>
    <w:rsid w:val="000A29F5"/>
    <w:rsid w:val="000A2A9C"/>
    <w:rsid w:val="000A2AE8"/>
    <w:rsid w:val="000A2B24"/>
    <w:rsid w:val="000A2B26"/>
    <w:rsid w:val="000A2B53"/>
    <w:rsid w:val="000A2B67"/>
    <w:rsid w:val="000A2B98"/>
    <w:rsid w:val="000A2BD8"/>
    <w:rsid w:val="000A2BE9"/>
    <w:rsid w:val="000A2C11"/>
    <w:rsid w:val="000A2C62"/>
    <w:rsid w:val="000A2CC9"/>
    <w:rsid w:val="000A2CD3"/>
    <w:rsid w:val="000A2CD6"/>
    <w:rsid w:val="000A2CE1"/>
    <w:rsid w:val="000A2CE5"/>
    <w:rsid w:val="000A2D44"/>
    <w:rsid w:val="000A2D47"/>
    <w:rsid w:val="000A2D5E"/>
    <w:rsid w:val="000A2DE7"/>
    <w:rsid w:val="000A2E5F"/>
    <w:rsid w:val="000A2E63"/>
    <w:rsid w:val="000A2EAD"/>
    <w:rsid w:val="000A2F2C"/>
    <w:rsid w:val="000A2F31"/>
    <w:rsid w:val="000A2F3B"/>
    <w:rsid w:val="000A2F50"/>
    <w:rsid w:val="000A2F83"/>
    <w:rsid w:val="000A2F8E"/>
    <w:rsid w:val="000A2FA2"/>
    <w:rsid w:val="000A2FAF"/>
    <w:rsid w:val="000A3073"/>
    <w:rsid w:val="000A30BC"/>
    <w:rsid w:val="000A30E1"/>
    <w:rsid w:val="000A31C8"/>
    <w:rsid w:val="000A3219"/>
    <w:rsid w:val="000A3243"/>
    <w:rsid w:val="000A3269"/>
    <w:rsid w:val="000A32B0"/>
    <w:rsid w:val="000A32BA"/>
    <w:rsid w:val="000A32DE"/>
    <w:rsid w:val="000A3312"/>
    <w:rsid w:val="000A3315"/>
    <w:rsid w:val="000A3336"/>
    <w:rsid w:val="000A333A"/>
    <w:rsid w:val="000A3384"/>
    <w:rsid w:val="000A33A5"/>
    <w:rsid w:val="000A33B6"/>
    <w:rsid w:val="000A33E6"/>
    <w:rsid w:val="000A3434"/>
    <w:rsid w:val="000A3453"/>
    <w:rsid w:val="000A3493"/>
    <w:rsid w:val="000A34AF"/>
    <w:rsid w:val="000A34F3"/>
    <w:rsid w:val="000A35B3"/>
    <w:rsid w:val="000A35EE"/>
    <w:rsid w:val="000A35F7"/>
    <w:rsid w:val="000A360D"/>
    <w:rsid w:val="000A3664"/>
    <w:rsid w:val="000A3763"/>
    <w:rsid w:val="000A378F"/>
    <w:rsid w:val="000A3794"/>
    <w:rsid w:val="000A37A1"/>
    <w:rsid w:val="000A37C3"/>
    <w:rsid w:val="000A37DB"/>
    <w:rsid w:val="000A3833"/>
    <w:rsid w:val="000A38D1"/>
    <w:rsid w:val="000A38EA"/>
    <w:rsid w:val="000A390B"/>
    <w:rsid w:val="000A392E"/>
    <w:rsid w:val="000A39F1"/>
    <w:rsid w:val="000A39F6"/>
    <w:rsid w:val="000A3A09"/>
    <w:rsid w:val="000A3A3C"/>
    <w:rsid w:val="000A3A6B"/>
    <w:rsid w:val="000A3AC8"/>
    <w:rsid w:val="000A3AE6"/>
    <w:rsid w:val="000A3B24"/>
    <w:rsid w:val="000A3B7D"/>
    <w:rsid w:val="000A3B8B"/>
    <w:rsid w:val="000A3B9F"/>
    <w:rsid w:val="000A3BBC"/>
    <w:rsid w:val="000A3C5C"/>
    <w:rsid w:val="000A3C7F"/>
    <w:rsid w:val="000A3C9A"/>
    <w:rsid w:val="000A3CF2"/>
    <w:rsid w:val="000A3CF9"/>
    <w:rsid w:val="000A3E15"/>
    <w:rsid w:val="000A3E37"/>
    <w:rsid w:val="000A3E3D"/>
    <w:rsid w:val="000A3ED4"/>
    <w:rsid w:val="000A3EF3"/>
    <w:rsid w:val="000A3F23"/>
    <w:rsid w:val="000A3F30"/>
    <w:rsid w:val="000A3F5C"/>
    <w:rsid w:val="000A3F9B"/>
    <w:rsid w:val="000A3FCC"/>
    <w:rsid w:val="000A3FDB"/>
    <w:rsid w:val="000A4033"/>
    <w:rsid w:val="000A408C"/>
    <w:rsid w:val="000A412E"/>
    <w:rsid w:val="000A4145"/>
    <w:rsid w:val="000A4165"/>
    <w:rsid w:val="000A41B0"/>
    <w:rsid w:val="000A41DA"/>
    <w:rsid w:val="000A4244"/>
    <w:rsid w:val="000A427B"/>
    <w:rsid w:val="000A4282"/>
    <w:rsid w:val="000A42A1"/>
    <w:rsid w:val="000A42F7"/>
    <w:rsid w:val="000A4306"/>
    <w:rsid w:val="000A4399"/>
    <w:rsid w:val="000A43B0"/>
    <w:rsid w:val="000A43EF"/>
    <w:rsid w:val="000A440D"/>
    <w:rsid w:val="000A4473"/>
    <w:rsid w:val="000A44F1"/>
    <w:rsid w:val="000A44F3"/>
    <w:rsid w:val="000A450D"/>
    <w:rsid w:val="000A458C"/>
    <w:rsid w:val="000A45A1"/>
    <w:rsid w:val="000A45D5"/>
    <w:rsid w:val="000A45D8"/>
    <w:rsid w:val="000A46FF"/>
    <w:rsid w:val="000A4777"/>
    <w:rsid w:val="000A478B"/>
    <w:rsid w:val="000A4829"/>
    <w:rsid w:val="000A4889"/>
    <w:rsid w:val="000A4972"/>
    <w:rsid w:val="000A4A08"/>
    <w:rsid w:val="000A4A3A"/>
    <w:rsid w:val="000A4A40"/>
    <w:rsid w:val="000A4A63"/>
    <w:rsid w:val="000A4A70"/>
    <w:rsid w:val="000A4AA3"/>
    <w:rsid w:val="000A4B12"/>
    <w:rsid w:val="000A4B34"/>
    <w:rsid w:val="000A4B3F"/>
    <w:rsid w:val="000A4B67"/>
    <w:rsid w:val="000A4BCF"/>
    <w:rsid w:val="000A4BD2"/>
    <w:rsid w:val="000A4BE6"/>
    <w:rsid w:val="000A4CB4"/>
    <w:rsid w:val="000A4D39"/>
    <w:rsid w:val="000A4D3A"/>
    <w:rsid w:val="000A4D4C"/>
    <w:rsid w:val="000A4DBA"/>
    <w:rsid w:val="000A4DD2"/>
    <w:rsid w:val="000A4DD9"/>
    <w:rsid w:val="000A4E06"/>
    <w:rsid w:val="000A4E07"/>
    <w:rsid w:val="000A4E7F"/>
    <w:rsid w:val="000A4E8A"/>
    <w:rsid w:val="000A4E91"/>
    <w:rsid w:val="000A4E9D"/>
    <w:rsid w:val="000A4EDE"/>
    <w:rsid w:val="000A4F07"/>
    <w:rsid w:val="000A4FB3"/>
    <w:rsid w:val="000A4FF8"/>
    <w:rsid w:val="000A5010"/>
    <w:rsid w:val="000A5040"/>
    <w:rsid w:val="000A504E"/>
    <w:rsid w:val="000A5050"/>
    <w:rsid w:val="000A50CA"/>
    <w:rsid w:val="000A50F0"/>
    <w:rsid w:val="000A5110"/>
    <w:rsid w:val="000A513B"/>
    <w:rsid w:val="000A5144"/>
    <w:rsid w:val="000A517A"/>
    <w:rsid w:val="000A518D"/>
    <w:rsid w:val="000A519B"/>
    <w:rsid w:val="000A51DC"/>
    <w:rsid w:val="000A51DD"/>
    <w:rsid w:val="000A51EC"/>
    <w:rsid w:val="000A5218"/>
    <w:rsid w:val="000A524E"/>
    <w:rsid w:val="000A528D"/>
    <w:rsid w:val="000A5291"/>
    <w:rsid w:val="000A52BE"/>
    <w:rsid w:val="000A52C2"/>
    <w:rsid w:val="000A52F5"/>
    <w:rsid w:val="000A53B9"/>
    <w:rsid w:val="000A5403"/>
    <w:rsid w:val="000A5427"/>
    <w:rsid w:val="000A5430"/>
    <w:rsid w:val="000A545A"/>
    <w:rsid w:val="000A5480"/>
    <w:rsid w:val="000A54B6"/>
    <w:rsid w:val="000A54CD"/>
    <w:rsid w:val="000A5562"/>
    <w:rsid w:val="000A5594"/>
    <w:rsid w:val="000A559D"/>
    <w:rsid w:val="000A55AC"/>
    <w:rsid w:val="000A55BD"/>
    <w:rsid w:val="000A55C8"/>
    <w:rsid w:val="000A55CE"/>
    <w:rsid w:val="000A5613"/>
    <w:rsid w:val="000A5617"/>
    <w:rsid w:val="000A5648"/>
    <w:rsid w:val="000A564D"/>
    <w:rsid w:val="000A5650"/>
    <w:rsid w:val="000A56CA"/>
    <w:rsid w:val="000A56E0"/>
    <w:rsid w:val="000A5766"/>
    <w:rsid w:val="000A5769"/>
    <w:rsid w:val="000A57B3"/>
    <w:rsid w:val="000A584C"/>
    <w:rsid w:val="000A5853"/>
    <w:rsid w:val="000A585E"/>
    <w:rsid w:val="000A5877"/>
    <w:rsid w:val="000A5883"/>
    <w:rsid w:val="000A58B9"/>
    <w:rsid w:val="000A594D"/>
    <w:rsid w:val="000A5957"/>
    <w:rsid w:val="000A598E"/>
    <w:rsid w:val="000A59BC"/>
    <w:rsid w:val="000A5A60"/>
    <w:rsid w:val="000A5AC3"/>
    <w:rsid w:val="000A5AF3"/>
    <w:rsid w:val="000A5B99"/>
    <w:rsid w:val="000A5C1A"/>
    <w:rsid w:val="000A5C4A"/>
    <w:rsid w:val="000A5CBA"/>
    <w:rsid w:val="000A5CCC"/>
    <w:rsid w:val="000A5D31"/>
    <w:rsid w:val="000A5E28"/>
    <w:rsid w:val="000A5E52"/>
    <w:rsid w:val="000A5E5E"/>
    <w:rsid w:val="000A5ED8"/>
    <w:rsid w:val="000A5F17"/>
    <w:rsid w:val="000A5F37"/>
    <w:rsid w:val="000A5F3E"/>
    <w:rsid w:val="000A5F52"/>
    <w:rsid w:val="000A5FEE"/>
    <w:rsid w:val="000A603A"/>
    <w:rsid w:val="000A603B"/>
    <w:rsid w:val="000A606A"/>
    <w:rsid w:val="000A60F9"/>
    <w:rsid w:val="000A6119"/>
    <w:rsid w:val="000A6125"/>
    <w:rsid w:val="000A618A"/>
    <w:rsid w:val="000A618C"/>
    <w:rsid w:val="000A622B"/>
    <w:rsid w:val="000A6256"/>
    <w:rsid w:val="000A628E"/>
    <w:rsid w:val="000A6294"/>
    <w:rsid w:val="000A62C2"/>
    <w:rsid w:val="000A62C8"/>
    <w:rsid w:val="000A62E6"/>
    <w:rsid w:val="000A6381"/>
    <w:rsid w:val="000A63A8"/>
    <w:rsid w:val="000A63C4"/>
    <w:rsid w:val="000A63DB"/>
    <w:rsid w:val="000A63E1"/>
    <w:rsid w:val="000A6400"/>
    <w:rsid w:val="000A64C9"/>
    <w:rsid w:val="000A64E7"/>
    <w:rsid w:val="000A6508"/>
    <w:rsid w:val="000A653D"/>
    <w:rsid w:val="000A654F"/>
    <w:rsid w:val="000A6599"/>
    <w:rsid w:val="000A65AF"/>
    <w:rsid w:val="000A65B4"/>
    <w:rsid w:val="000A65BF"/>
    <w:rsid w:val="000A65C7"/>
    <w:rsid w:val="000A660F"/>
    <w:rsid w:val="000A6621"/>
    <w:rsid w:val="000A663D"/>
    <w:rsid w:val="000A664C"/>
    <w:rsid w:val="000A664F"/>
    <w:rsid w:val="000A6653"/>
    <w:rsid w:val="000A66BE"/>
    <w:rsid w:val="000A66C7"/>
    <w:rsid w:val="000A66D7"/>
    <w:rsid w:val="000A6722"/>
    <w:rsid w:val="000A67E8"/>
    <w:rsid w:val="000A67EE"/>
    <w:rsid w:val="000A6821"/>
    <w:rsid w:val="000A6865"/>
    <w:rsid w:val="000A6895"/>
    <w:rsid w:val="000A68B0"/>
    <w:rsid w:val="000A68C5"/>
    <w:rsid w:val="000A68EC"/>
    <w:rsid w:val="000A6902"/>
    <w:rsid w:val="000A696C"/>
    <w:rsid w:val="000A69B7"/>
    <w:rsid w:val="000A6A0C"/>
    <w:rsid w:val="000A6A57"/>
    <w:rsid w:val="000A6AC2"/>
    <w:rsid w:val="000A6AC7"/>
    <w:rsid w:val="000A6AD5"/>
    <w:rsid w:val="000A6B74"/>
    <w:rsid w:val="000A6BEE"/>
    <w:rsid w:val="000A6C04"/>
    <w:rsid w:val="000A6C3D"/>
    <w:rsid w:val="000A6C8A"/>
    <w:rsid w:val="000A6CB9"/>
    <w:rsid w:val="000A6CF1"/>
    <w:rsid w:val="000A6D4C"/>
    <w:rsid w:val="000A6D84"/>
    <w:rsid w:val="000A6D8E"/>
    <w:rsid w:val="000A6D93"/>
    <w:rsid w:val="000A6DA1"/>
    <w:rsid w:val="000A6DCB"/>
    <w:rsid w:val="000A6DEC"/>
    <w:rsid w:val="000A6E58"/>
    <w:rsid w:val="000A6E9C"/>
    <w:rsid w:val="000A6EA1"/>
    <w:rsid w:val="000A6EA8"/>
    <w:rsid w:val="000A6EAA"/>
    <w:rsid w:val="000A6EB6"/>
    <w:rsid w:val="000A6EC2"/>
    <w:rsid w:val="000A6EC5"/>
    <w:rsid w:val="000A6EDC"/>
    <w:rsid w:val="000A6EE3"/>
    <w:rsid w:val="000A6EE4"/>
    <w:rsid w:val="000A6EE8"/>
    <w:rsid w:val="000A6F15"/>
    <w:rsid w:val="000A6F17"/>
    <w:rsid w:val="000A6F4F"/>
    <w:rsid w:val="000A6F69"/>
    <w:rsid w:val="000A6FBC"/>
    <w:rsid w:val="000A6FD2"/>
    <w:rsid w:val="000A70CC"/>
    <w:rsid w:val="000A70DD"/>
    <w:rsid w:val="000A70EC"/>
    <w:rsid w:val="000A70F5"/>
    <w:rsid w:val="000A70F9"/>
    <w:rsid w:val="000A7106"/>
    <w:rsid w:val="000A715B"/>
    <w:rsid w:val="000A71F1"/>
    <w:rsid w:val="000A7208"/>
    <w:rsid w:val="000A7259"/>
    <w:rsid w:val="000A7263"/>
    <w:rsid w:val="000A7296"/>
    <w:rsid w:val="000A72C0"/>
    <w:rsid w:val="000A72CC"/>
    <w:rsid w:val="000A72F5"/>
    <w:rsid w:val="000A7306"/>
    <w:rsid w:val="000A7321"/>
    <w:rsid w:val="000A739A"/>
    <w:rsid w:val="000A74AB"/>
    <w:rsid w:val="000A74D8"/>
    <w:rsid w:val="000A74EA"/>
    <w:rsid w:val="000A74F8"/>
    <w:rsid w:val="000A753D"/>
    <w:rsid w:val="000A758E"/>
    <w:rsid w:val="000A7620"/>
    <w:rsid w:val="000A764C"/>
    <w:rsid w:val="000A76A7"/>
    <w:rsid w:val="000A76BE"/>
    <w:rsid w:val="000A76CA"/>
    <w:rsid w:val="000A76CB"/>
    <w:rsid w:val="000A76F8"/>
    <w:rsid w:val="000A776A"/>
    <w:rsid w:val="000A77BA"/>
    <w:rsid w:val="000A785F"/>
    <w:rsid w:val="000A7873"/>
    <w:rsid w:val="000A788A"/>
    <w:rsid w:val="000A78D4"/>
    <w:rsid w:val="000A795A"/>
    <w:rsid w:val="000A796E"/>
    <w:rsid w:val="000A798E"/>
    <w:rsid w:val="000A79C2"/>
    <w:rsid w:val="000A7A0C"/>
    <w:rsid w:val="000A7A0F"/>
    <w:rsid w:val="000A7A42"/>
    <w:rsid w:val="000A7A76"/>
    <w:rsid w:val="000A7AB5"/>
    <w:rsid w:val="000A7AB8"/>
    <w:rsid w:val="000A7B9D"/>
    <w:rsid w:val="000A7BAB"/>
    <w:rsid w:val="000A7BDF"/>
    <w:rsid w:val="000A7C07"/>
    <w:rsid w:val="000A7C0E"/>
    <w:rsid w:val="000A7C3F"/>
    <w:rsid w:val="000A7C40"/>
    <w:rsid w:val="000A7CB0"/>
    <w:rsid w:val="000A7CD4"/>
    <w:rsid w:val="000A7CD8"/>
    <w:rsid w:val="000A7D1D"/>
    <w:rsid w:val="000A7D23"/>
    <w:rsid w:val="000A7D25"/>
    <w:rsid w:val="000A7D27"/>
    <w:rsid w:val="000A7D29"/>
    <w:rsid w:val="000A7D3B"/>
    <w:rsid w:val="000A7D69"/>
    <w:rsid w:val="000A7D99"/>
    <w:rsid w:val="000A7DC5"/>
    <w:rsid w:val="000A7DE4"/>
    <w:rsid w:val="000A7E1E"/>
    <w:rsid w:val="000A7E5F"/>
    <w:rsid w:val="000A7EA1"/>
    <w:rsid w:val="000A7EB9"/>
    <w:rsid w:val="000A7EF0"/>
    <w:rsid w:val="000A7F53"/>
    <w:rsid w:val="000A7FA0"/>
    <w:rsid w:val="000A7FB8"/>
    <w:rsid w:val="000B002C"/>
    <w:rsid w:val="000B002F"/>
    <w:rsid w:val="000B003A"/>
    <w:rsid w:val="000B0064"/>
    <w:rsid w:val="000B007A"/>
    <w:rsid w:val="000B0088"/>
    <w:rsid w:val="000B00F8"/>
    <w:rsid w:val="000B0117"/>
    <w:rsid w:val="000B0164"/>
    <w:rsid w:val="000B0180"/>
    <w:rsid w:val="000B01C6"/>
    <w:rsid w:val="000B01FD"/>
    <w:rsid w:val="000B02C6"/>
    <w:rsid w:val="000B02FD"/>
    <w:rsid w:val="000B0363"/>
    <w:rsid w:val="000B03AF"/>
    <w:rsid w:val="000B03C5"/>
    <w:rsid w:val="000B048C"/>
    <w:rsid w:val="000B0525"/>
    <w:rsid w:val="000B0552"/>
    <w:rsid w:val="000B0562"/>
    <w:rsid w:val="000B057F"/>
    <w:rsid w:val="000B0586"/>
    <w:rsid w:val="000B059E"/>
    <w:rsid w:val="000B05AA"/>
    <w:rsid w:val="000B05E8"/>
    <w:rsid w:val="000B0647"/>
    <w:rsid w:val="000B0656"/>
    <w:rsid w:val="000B0657"/>
    <w:rsid w:val="000B0679"/>
    <w:rsid w:val="000B06CE"/>
    <w:rsid w:val="000B06FD"/>
    <w:rsid w:val="000B0710"/>
    <w:rsid w:val="000B071A"/>
    <w:rsid w:val="000B079E"/>
    <w:rsid w:val="000B0806"/>
    <w:rsid w:val="000B0807"/>
    <w:rsid w:val="000B083A"/>
    <w:rsid w:val="000B0863"/>
    <w:rsid w:val="000B087E"/>
    <w:rsid w:val="000B08AD"/>
    <w:rsid w:val="000B08F2"/>
    <w:rsid w:val="000B0982"/>
    <w:rsid w:val="000B0985"/>
    <w:rsid w:val="000B09C2"/>
    <w:rsid w:val="000B09C9"/>
    <w:rsid w:val="000B0A27"/>
    <w:rsid w:val="000B0A3A"/>
    <w:rsid w:val="000B0A64"/>
    <w:rsid w:val="000B0A76"/>
    <w:rsid w:val="000B0A90"/>
    <w:rsid w:val="000B0AEA"/>
    <w:rsid w:val="000B0B0B"/>
    <w:rsid w:val="000B0B74"/>
    <w:rsid w:val="000B0BC1"/>
    <w:rsid w:val="000B0C1E"/>
    <w:rsid w:val="000B0C3C"/>
    <w:rsid w:val="000B0C74"/>
    <w:rsid w:val="000B0CBB"/>
    <w:rsid w:val="000B0CCC"/>
    <w:rsid w:val="000B0CCE"/>
    <w:rsid w:val="000B0D2F"/>
    <w:rsid w:val="000B0D6E"/>
    <w:rsid w:val="000B0D9D"/>
    <w:rsid w:val="000B0E0D"/>
    <w:rsid w:val="000B0E2A"/>
    <w:rsid w:val="000B0E56"/>
    <w:rsid w:val="000B0E72"/>
    <w:rsid w:val="000B0E96"/>
    <w:rsid w:val="000B0EC7"/>
    <w:rsid w:val="000B0F5E"/>
    <w:rsid w:val="000B0F7D"/>
    <w:rsid w:val="000B0FA8"/>
    <w:rsid w:val="000B0FF3"/>
    <w:rsid w:val="000B106F"/>
    <w:rsid w:val="000B10A6"/>
    <w:rsid w:val="000B10E8"/>
    <w:rsid w:val="000B1129"/>
    <w:rsid w:val="000B11D3"/>
    <w:rsid w:val="000B11DB"/>
    <w:rsid w:val="000B1224"/>
    <w:rsid w:val="000B1238"/>
    <w:rsid w:val="000B1240"/>
    <w:rsid w:val="000B12A1"/>
    <w:rsid w:val="000B12AD"/>
    <w:rsid w:val="000B12BE"/>
    <w:rsid w:val="000B1353"/>
    <w:rsid w:val="000B13A2"/>
    <w:rsid w:val="000B13C9"/>
    <w:rsid w:val="000B142A"/>
    <w:rsid w:val="000B1431"/>
    <w:rsid w:val="000B1477"/>
    <w:rsid w:val="000B147A"/>
    <w:rsid w:val="000B1499"/>
    <w:rsid w:val="000B14DF"/>
    <w:rsid w:val="000B151B"/>
    <w:rsid w:val="000B1535"/>
    <w:rsid w:val="000B1552"/>
    <w:rsid w:val="000B1589"/>
    <w:rsid w:val="000B15B5"/>
    <w:rsid w:val="000B16DE"/>
    <w:rsid w:val="000B1719"/>
    <w:rsid w:val="000B1792"/>
    <w:rsid w:val="000B181A"/>
    <w:rsid w:val="000B1844"/>
    <w:rsid w:val="000B1858"/>
    <w:rsid w:val="000B185C"/>
    <w:rsid w:val="000B1873"/>
    <w:rsid w:val="000B1955"/>
    <w:rsid w:val="000B196B"/>
    <w:rsid w:val="000B1988"/>
    <w:rsid w:val="000B19E0"/>
    <w:rsid w:val="000B19ED"/>
    <w:rsid w:val="000B1A2D"/>
    <w:rsid w:val="000B1A4E"/>
    <w:rsid w:val="000B1A53"/>
    <w:rsid w:val="000B1AD1"/>
    <w:rsid w:val="000B1AE3"/>
    <w:rsid w:val="000B1B0A"/>
    <w:rsid w:val="000B1BEB"/>
    <w:rsid w:val="000B1C3F"/>
    <w:rsid w:val="000B1C69"/>
    <w:rsid w:val="000B1C70"/>
    <w:rsid w:val="000B1C7C"/>
    <w:rsid w:val="000B1CBF"/>
    <w:rsid w:val="000B1D09"/>
    <w:rsid w:val="000B1D69"/>
    <w:rsid w:val="000B1D82"/>
    <w:rsid w:val="000B1E09"/>
    <w:rsid w:val="000B1E1F"/>
    <w:rsid w:val="000B1E20"/>
    <w:rsid w:val="000B1E6A"/>
    <w:rsid w:val="000B1E79"/>
    <w:rsid w:val="000B1E83"/>
    <w:rsid w:val="000B1EBD"/>
    <w:rsid w:val="000B1EC8"/>
    <w:rsid w:val="000B1EF4"/>
    <w:rsid w:val="000B1F9C"/>
    <w:rsid w:val="000B1FB1"/>
    <w:rsid w:val="000B1FD1"/>
    <w:rsid w:val="000B200B"/>
    <w:rsid w:val="000B201C"/>
    <w:rsid w:val="000B202B"/>
    <w:rsid w:val="000B20E9"/>
    <w:rsid w:val="000B2161"/>
    <w:rsid w:val="000B21D5"/>
    <w:rsid w:val="000B21D9"/>
    <w:rsid w:val="000B2225"/>
    <w:rsid w:val="000B2240"/>
    <w:rsid w:val="000B2241"/>
    <w:rsid w:val="000B22B7"/>
    <w:rsid w:val="000B22F4"/>
    <w:rsid w:val="000B235D"/>
    <w:rsid w:val="000B2396"/>
    <w:rsid w:val="000B23BD"/>
    <w:rsid w:val="000B2415"/>
    <w:rsid w:val="000B245C"/>
    <w:rsid w:val="000B2581"/>
    <w:rsid w:val="000B25BF"/>
    <w:rsid w:val="000B261B"/>
    <w:rsid w:val="000B265E"/>
    <w:rsid w:val="000B26A2"/>
    <w:rsid w:val="000B26C0"/>
    <w:rsid w:val="000B26D5"/>
    <w:rsid w:val="000B26F7"/>
    <w:rsid w:val="000B26FE"/>
    <w:rsid w:val="000B276D"/>
    <w:rsid w:val="000B2778"/>
    <w:rsid w:val="000B27B6"/>
    <w:rsid w:val="000B27DD"/>
    <w:rsid w:val="000B27E7"/>
    <w:rsid w:val="000B285C"/>
    <w:rsid w:val="000B2884"/>
    <w:rsid w:val="000B2893"/>
    <w:rsid w:val="000B28D7"/>
    <w:rsid w:val="000B28DB"/>
    <w:rsid w:val="000B28F1"/>
    <w:rsid w:val="000B2902"/>
    <w:rsid w:val="000B2951"/>
    <w:rsid w:val="000B295E"/>
    <w:rsid w:val="000B29EE"/>
    <w:rsid w:val="000B2A4F"/>
    <w:rsid w:val="000B2A75"/>
    <w:rsid w:val="000B2A9E"/>
    <w:rsid w:val="000B2B5A"/>
    <w:rsid w:val="000B2BBA"/>
    <w:rsid w:val="000B2C1A"/>
    <w:rsid w:val="000B2C33"/>
    <w:rsid w:val="000B2C9F"/>
    <w:rsid w:val="000B2D0F"/>
    <w:rsid w:val="000B2D20"/>
    <w:rsid w:val="000B2D9F"/>
    <w:rsid w:val="000B2DA0"/>
    <w:rsid w:val="000B2DD0"/>
    <w:rsid w:val="000B2DD1"/>
    <w:rsid w:val="000B2E11"/>
    <w:rsid w:val="000B2E55"/>
    <w:rsid w:val="000B2E85"/>
    <w:rsid w:val="000B2EA7"/>
    <w:rsid w:val="000B2ED6"/>
    <w:rsid w:val="000B2F5E"/>
    <w:rsid w:val="000B2F6B"/>
    <w:rsid w:val="000B2F77"/>
    <w:rsid w:val="000B2FDE"/>
    <w:rsid w:val="000B3001"/>
    <w:rsid w:val="000B3050"/>
    <w:rsid w:val="000B30A1"/>
    <w:rsid w:val="000B30F3"/>
    <w:rsid w:val="000B30F8"/>
    <w:rsid w:val="000B3104"/>
    <w:rsid w:val="000B3112"/>
    <w:rsid w:val="000B312D"/>
    <w:rsid w:val="000B319C"/>
    <w:rsid w:val="000B3214"/>
    <w:rsid w:val="000B3254"/>
    <w:rsid w:val="000B32FC"/>
    <w:rsid w:val="000B3335"/>
    <w:rsid w:val="000B3385"/>
    <w:rsid w:val="000B339E"/>
    <w:rsid w:val="000B33DE"/>
    <w:rsid w:val="000B340C"/>
    <w:rsid w:val="000B3428"/>
    <w:rsid w:val="000B3452"/>
    <w:rsid w:val="000B3468"/>
    <w:rsid w:val="000B34B4"/>
    <w:rsid w:val="000B3500"/>
    <w:rsid w:val="000B353E"/>
    <w:rsid w:val="000B355D"/>
    <w:rsid w:val="000B3561"/>
    <w:rsid w:val="000B3563"/>
    <w:rsid w:val="000B3582"/>
    <w:rsid w:val="000B358E"/>
    <w:rsid w:val="000B35B4"/>
    <w:rsid w:val="000B35B8"/>
    <w:rsid w:val="000B35E8"/>
    <w:rsid w:val="000B363B"/>
    <w:rsid w:val="000B36E2"/>
    <w:rsid w:val="000B37AA"/>
    <w:rsid w:val="000B380F"/>
    <w:rsid w:val="000B3834"/>
    <w:rsid w:val="000B383F"/>
    <w:rsid w:val="000B3840"/>
    <w:rsid w:val="000B38B7"/>
    <w:rsid w:val="000B38CC"/>
    <w:rsid w:val="000B3927"/>
    <w:rsid w:val="000B39A1"/>
    <w:rsid w:val="000B39E5"/>
    <w:rsid w:val="000B39EB"/>
    <w:rsid w:val="000B39EF"/>
    <w:rsid w:val="000B3A15"/>
    <w:rsid w:val="000B3A2F"/>
    <w:rsid w:val="000B3A7E"/>
    <w:rsid w:val="000B3AD4"/>
    <w:rsid w:val="000B3B08"/>
    <w:rsid w:val="000B3B0E"/>
    <w:rsid w:val="000B3B27"/>
    <w:rsid w:val="000B3B38"/>
    <w:rsid w:val="000B3B53"/>
    <w:rsid w:val="000B3B56"/>
    <w:rsid w:val="000B3C23"/>
    <w:rsid w:val="000B3C45"/>
    <w:rsid w:val="000B3C9C"/>
    <w:rsid w:val="000B3CC4"/>
    <w:rsid w:val="000B3D42"/>
    <w:rsid w:val="000B3DA9"/>
    <w:rsid w:val="000B3E19"/>
    <w:rsid w:val="000B3E55"/>
    <w:rsid w:val="000B3E56"/>
    <w:rsid w:val="000B3E5D"/>
    <w:rsid w:val="000B3E6A"/>
    <w:rsid w:val="000B3E8E"/>
    <w:rsid w:val="000B3EEA"/>
    <w:rsid w:val="000B3F02"/>
    <w:rsid w:val="000B400D"/>
    <w:rsid w:val="000B40AF"/>
    <w:rsid w:val="000B40B1"/>
    <w:rsid w:val="000B4117"/>
    <w:rsid w:val="000B4118"/>
    <w:rsid w:val="000B4182"/>
    <w:rsid w:val="000B41B4"/>
    <w:rsid w:val="000B41E8"/>
    <w:rsid w:val="000B4209"/>
    <w:rsid w:val="000B4299"/>
    <w:rsid w:val="000B42A5"/>
    <w:rsid w:val="000B42E2"/>
    <w:rsid w:val="000B4331"/>
    <w:rsid w:val="000B43B7"/>
    <w:rsid w:val="000B43BA"/>
    <w:rsid w:val="000B43C2"/>
    <w:rsid w:val="000B43DF"/>
    <w:rsid w:val="000B4417"/>
    <w:rsid w:val="000B4461"/>
    <w:rsid w:val="000B4466"/>
    <w:rsid w:val="000B44A7"/>
    <w:rsid w:val="000B44AA"/>
    <w:rsid w:val="000B44BA"/>
    <w:rsid w:val="000B44CF"/>
    <w:rsid w:val="000B4508"/>
    <w:rsid w:val="000B4511"/>
    <w:rsid w:val="000B452D"/>
    <w:rsid w:val="000B4547"/>
    <w:rsid w:val="000B4548"/>
    <w:rsid w:val="000B4583"/>
    <w:rsid w:val="000B45DF"/>
    <w:rsid w:val="000B45E0"/>
    <w:rsid w:val="000B4604"/>
    <w:rsid w:val="000B4626"/>
    <w:rsid w:val="000B4637"/>
    <w:rsid w:val="000B46A8"/>
    <w:rsid w:val="000B46B4"/>
    <w:rsid w:val="000B46C1"/>
    <w:rsid w:val="000B4743"/>
    <w:rsid w:val="000B474C"/>
    <w:rsid w:val="000B4799"/>
    <w:rsid w:val="000B47C2"/>
    <w:rsid w:val="000B4811"/>
    <w:rsid w:val="000B482E"/>
    <w:rsid w:val="000B4841"/>
    <w:rsid w:val="000B4865"/>
    <w:rsid w:val="000B48A2"/>
    <w:rsid w:val="000B48A5"/>
    <w:rsid w:val="000B48E8"/>
    <w:rsid w:val="000B4901"/>
    <w:rsid w:val="000B49E0"/>
    <w:rsid w:val="000B4A0A"/>
    <w:rsid w:val="000B4A13"/>
    <w:rsid w:val="000B4A4F"/>
    <w:rsid w:val="000B4A65"/>
    <w:rsid w:val="000B4B25"/>
    <w:rsid w:val="000B4B58"/>
    <w:rsid w:val="000B4B67"/>
    <w:rsid w:val="000B4B6E"/>
    <w:rsid w:val="000B4B7B"/>
    <w:rsid w:val="000B4BA3"/>
    <w:rsid w:val="000B4BB5"/>
    <w:rsid w:val="000B4BBE"/>
    <w:rsid w:val="000B4C3A"/>
    <w:rsid w:val="000B4C6F"/>
    <w:rsid w:val="000B4CBA"/>
    <w:rsid w:val="000B4D1F"/>
    <w:rsid w:val="000B4D5C"/>
    <w:rsid w:val="000B4D64"/>
    <w:rsid w:val="000B4D9F"/>
    <w:rsid w:val="000B4DAF"/>
    <w:rsid w:val="000B4DBF"/>
    <w:rsid w:val="000B4DC0"/>
    <w:rsid w:val="000B4DEE"/>
    <w:rsid w:val="000B4E03"/>
    <w:rsid w:val="000B4E29"/>
    <w:rsid w:val="000B4E5B"/>
    <w:rsid w:val="000B4E61"/>
    <w:rsid w:val="000B4E68"/>
    <w:rsid w:val="000B4E94"/>
    <w:rsid w:val="000B4EB0"/>
    <w:rsid w:val="000B4EFB"/>
    <w:rsid w:val="000B4F22"/>
    <w:rsid w:val="000B4FD9"/>
    <w:rsid w:val="000B4FDB"/>
    <w:rsid w:val="000B4FF6"/>
    <w:rsid w:val="000B50B2"/>
    <w:rsid w:val="000B50B9"/>
    <w:rsid w:val="000B50D1"/>
    <w:rsid w:val="000B512E"/>
    <w:rsid w:val="000B5174"/>
    <w:rsid w:val="000B5178"/>
    <w:rsid w:val="000B5179"/>
    <w:rsid w:val="000B517F"/>
    <w:rsid w:val="000B519C"/>
    <w:rsid w:val="000B5232"/>
    <w:rsid w:val="000B525E"/>
    <w:rsid w:val="000B526C"/>
    <w:rsid w:val="000B527D"/>
    <w:rsid w:val="000B52C2"/>
    <w:rsid w:val="000B52DE"/>
    <w:rsid w:val="000B52F2"/>
    <w:rsid w:val="000B538F"/>
    <w:rsid w:val="000B5398"/>
    <w:rsid w:val="000B53A5"/>
    <w:rsid w:val="000B53C6"/>
    <w:rsid w:val="000B541A"/>
    <w:rsid w:val="000B5471"/>
    <w:rsid w:val="000B5476"/>
    <w:rsid w:val="000B54DD"/>
    <w:rsid w:val="000B5516"/>
    <w:rsid w:val="000B5561"/>
    <w:rsid w:val="000B559F"/>
    <w:rsid w:val="000B55D5"/>
    <w:rsid w:val="000B55FD"/>
    <w:rsid w:val="000B5679"/>
    <w:rsid w:val="000B5697"/>
    <w:rsid w:val="000B56CF"/>
    <w:rsid w:val="000B56E3"/>
    <w:rsid w:val="000B5708"/>
    <w:rsid w:val="000B575B"/>
    <w:rsid w:val="000B5760"/>
    <w:rsid w:val="000B5780"/>
    <w:rsid w:val="000B57B9"/>
    <w:rsid w:val="000B57C3"/>
    <w:rsid w:val="000B57E9"/>
    <w:rsid w:val="000B5815"/>
    <w:rsid w:val="000B582A"/>
    <w:rsid w:val="000B5832"/>
    <w:rsid w:val="000B5842"/>
    <w:rsid w:val="000B5866"/>
    <w:rsid w:val="000B5898"/>
    <w:rsid w:val="000B58A5"/>
    <w:rsid w:val="000B58AC"/>
    <w:rsid w:val="000B5917"/>
    <w:rsid w:val="000B59AB"/>
    <w:rsid w:val="000B59C0"/>
    <w:rsid w:val="000B5A01"/>
    <w:rsid w:val="000B5A44"/>
    <w:rsid w:val="000B5B96"/>
    <w:rsid w:val="000B5BDC"/>
    <w:rsid w:val="000B5CA1"/>
    <w:rsid w:val="000B5D96"/>
    <w:rsid w:val="000B5DB2"/>
    <w:rsid w:val="000B5DF8"/>
    <w:rsid w:val="000B5E38"/>
    <w:rsid w:val="000B5E89"/>
    <w:rsid w:val="000B5EAC"/>
    <w:rsid w:val="000B5EBD"/>
    <w:rsid w:val="000B5F3C"/>
    <w:rsid w:val="000B5F42"/>
    <w:rsid w:val="000B5F53"/>
    <w:rsid w:val="000B5FDF"/>
    <w:rsid w:val="000B5FFE"/>
    <w:rsid w:val="000B6023"/>
    <w:rsid w:val="000B6072"/>
    <w:rsid w:val="000B6077"/>
    <w:rsid w:val="000B60A2"/>
    <w:rsid w:val="000B60B4"/>
    <w:rsid w:val="000B617F"/>
    <w:rsid w:val="000B61C6"/>
    <w:rsid w:val="000B6254"/>
    <w:rsid w:val="000B6260"/>
    <w:rsid w:val="000B62B7"/>
    <w:rsid w:val="000B62EE"/>
    <w:rsid w:val="000B6303"/>
    <w:rsid w:val="000B6311"/>
    <w:rsid w:val="000B6315"/>
    <w:rsid w:val="000B632E"/>
    <w:rsid w:val="000B6352"/>
    <w:rsid w:val="000B63DD"/>
    <w:rsid w:val="000B63EB"/>
    <w:rsid w:val="000B6412"/>
    <w:rsid w:val="000B642A"/>
    <w:rsid w:val="000B645E"/>
    <w:rsid w:val="000B6514"/>
    <w:rsid w:val="000B6560"/>
    <w:rsid w:val="000B65C7"/>
    <w:rsid w:val="000B65DD"/>
    <w:rsid w:val="000B65E3"/>
    <w:rsid w:val="000B6603"/>
    <w:rsid w:val="000B6636"/>
    <w:rsid w:val="000B6664"/>
    <w:rsid w:val="000B666F"/>
    <w:rsid w:val="000B66B8"/>
    <w:rsid w:val="000B6704"/>
    <w:rsid w:val="000B673B"/>
    <w:rsid w:val="000B67B7"/>
    <w:rsid w:val="000B6860"/>
    <w:rsid w:val="000B686B"/>
    <w:rsid w:val="000B6874"/>
    <w:rsid w:val="000B68BB"/>
    <w:rsid w:val="000B6921"/>
    <w:rsid w:val="000B6944"/>
    <w:rsid w:val="000B6951"/>
    <w:rsid w:val="000B69A3"/>
    <w:rsid w:val="000B69A5"/>
    <w:rsid w:val="000B69AA"/>
    <w:rsid w:val="000B69F2"/>
    <w:rsid w:val="000B6A05"/>
    <w:rsid w:val="000B6A12"/>
    <w:rsid w:val="000B6A34"/>
    <w:rsid w:val="000B6A4C"/>
    <w:rsid w:val="000B6A7B"/>
    <w:rsid w:val="000B6AD2"/>
    <w:rsid w:val="000B6AE0"/>
    <w:rsid w:val="000B6B10"/>
    <w:rsid w:val="000B6B3F"/>
    <w:rsid w:val="000B6B6D"/>
    <w:rsid w:val="000B6B9A"/>
    <w:rsid w:val="000B6BD9"/>
    <w:rsid w:val="000B6C2B"/>
    <w:rsid w:val="000B6C30"/>
    <w:rsid w:val="000B6C42"/>
    <w:rsid w:val="000B6C93"/>
    <w:rsid w:val="000B6CCC"/>
    <w:rsid w:val="000B6CD6"/>
    <w:rsid w:val="000B6CE3"/>
    <w:rsid w:val="000B6D01"/>
    <w:rsid w:val="000B6D18"/>
    <w:rsid w:val="000B6D3A"/>
    <w:rsid w:val="000B6D58"/>
    <w:rsid w:val="000B6D69"/>
    <w:rsid w:val="000B6D88"/>
    <w:rsid w:val="000B6D97"/>
    <w:rsid w:val="000B6D9C"/>
    <w:rsid w:val="000B6DBD"/>
    <w:rsid w:val="000B6DC2"/>
    <w:rsid w:val="000B6E38"/>
    <w:rsid w:val="000B6EA4"/>
    <w:rsid w:val="000B6EAD"/>
    <w:rsid w:val="000B6EB3"/>
    <w:rsid w:val="000B6ECF"/>
    <w:rsid w:val="000B6EFC"/>
    <w:rsid w:val="000B6F20"/>
    <w:rsid w:val="000B6FB1"/>
    <w:rsid w:val="000B6FCA"/>
    <w:rsid w:val="000B7088"/>
    <w:rsid w:val="000B708D"/>
    <w:rsid w:val="000B7179"/>
    <w:rsid w:val="000B7181"/>
    <w:rsid w:val="000B71F7"/>
    <w:rsid w:val="000B7258"/>
    <w:rsid w:val="000B7296"/>
    <w:rsid w:val="000B72B0"/>
    <w:rsid w:val="000B72E6"/>
    <w:rsid w:val="000B7302"/>
    <w:rsid w:val="000B7357"/>
    <w:rsid w:val="000B7385"/>
    <w:rsid w:val="000B73B6"/>
    <w:rsid w:val="000B7419"/>
    <w:rsid w:val="000B7455"/>
    <w:rsid w:val="000B74A2"/>
    <w:rsid w:val="000B74BE"/>
    <w:rsid w:val="000B74E7"/>
    <w:rsid w:val="000B7500"/>
    <w:rsid w:val="000B7581"/>
    <w:rsid w:val="000B7644"/>
    <w:rsid w:val="000B7648"/>
    <w:rsid w:val="000B766B"/>
    <w:rsid w:val="000B76A7"/>
    <w:rsid w:val="000B76DA"/>
    <w:rsid w:val="000B7712"/>
    <w:rsid w:val="000B7745"/>
    <w:rsid w:val="000B77F4"/>
    <w:rsid w:val="000B7864"/>
    <w:rsid w:val="000B788C"/>
    <w:rsid w:val="000B7897"/>
    <w:rsid w:val="000B7966"/>
    <w:rsid w:val="000B7972"/>
    <w:rsid w:val="000B799E"/>
    <w:rsid w:val="000B7A90"/>
    <w:rsid w:val="000B7AC8"/>
    <w:rsid w:val="000B7AD6"/>
    <w:rsid w:val="000B7ADB"/>
    <w:rsid w:val="000B7AE0"/>
    <w:rsid w:val="000B7AE1"/>
    <w:rsid w:val="000B7B0E"/>
    <w:rsid w:val="000B7BA8"/>
    <w:rsid w:val="000B7BE9"/>
    <w:rsid w:val="000B7BF1"/>
    <w:rsid w:val="000B7BFB"/>
    <w:rsid w:val="000B7C3A"/>
    <w:rsid w:val="000B7C6B"/>
    <w:rsid w:val="000B7C73"/>
    <w:rsid w:val="000B7C92"/>
    <w:rsid w:val="000B7CB1"/>
    <w:rsid w:val="000B7CE5"/>
    <w:rsid w:val="000B7D02"/>
    <w:rsid w:val="000B7D73"/>
    <w:rsid w:val="000B7D7F"/>
    <w:rsid w:val="000B7DC4"/>
    <w:rsid w:val="000B7DC9"/>
    <w:rsid w:val="000B7E26"/>
    <w:rsid w:val="000B7E5B"/>
    <w:rsid w:val="000B7E87"/>
    <w:rsid w:val="000B7EF3"/>
    <w:rsid w:val="000B7F77"/>
    <w:rsid w:val="000B7F7F"/>
    <w:rsid w:val="000B7F9C"/>
    <w:rsid w:val="000B7FAB"/>
    <w:rsid w:val="000B7FB0"/>
    <w:rsid w:val="000B7FFD"/>
    <w:rsid w:val="000C0004"/>
    <w:rsid w:val="000C0080"/>
    <w:rsid w:val="000C00B3"/>
    <w:rsid w:val="000C00BE"/>
    <w:rsid w:val="000C0107"/>
    <w:rsid w:val="000C01A8"/>
    <w:rsid w:val="000C01F5"/>
    <w:rsid w:val="000C0201"/>
    <w:rsid w:val="000C0301"/>
    <w:rsid w:val="000C0336"/>
    <w:rsid w:val="000C039E"/>
    <w:rsid w:val="000C03B0"/>
    <w:rsid w:val="000C03B3"/>
    <w:rsid w:val="000C03BB"/>
    <w:rsid w:val="000C03D0"/>
    <w:rsid w:val="000C03DB"/>
    <w:rsid w:val="000C041C"/>
    <w:rsid w:val="000C043F"/>
    <w:rsid w:val="000C0440"/>
    <w:rsid w:val="000C0466"/>
    <w:rsid w:val="000C047F"/>
    <w:rsid w:val="000C04A2"/>
    <w:rsid w:val="000C04AF"/>
    <w:rsid w:val="000C04CC"/>
    <w:rsid w:val="000C0500"/>
    <w:rsid w:val="000C052B"/>
    <w:rsid w:val="000C0545"/>
    <w:rsid w:val="000C05C3"/>
    <w:rsid w:val="000C05F9"/>
    <w:rsid w:val="000C06B0"/>
    <w:rsid w:val="000C06BB"/>
    <w:rsid w:val="000C074C"/>
    <w:rsid w:val="000C0750"/>
    <w:rsid w:val="000C0765"/>
    <w:rsid w:val="000C0789"/>
    <w:rsid w:val="000C07AE"/>
    <w:rsid w:val="000C07EB"/>
    <w:rsid w:val="000C07FE"/>
    <w:rsid w:val="000C0816"/>
    <w:rsid w:val="000C082D"/>
    <w:rsid w:val="000C083C"/>
    <w:rsid w:val="000C0874"/>
    <w:rsid w:val="000C0881"/>
    <w:rsid w:val="000C0889"/>
    <w:rsid w:val="000C08C3"/>
    <w:rsid w:val="000C0920"/>
    <w:rsid w:val="000C09C3"/>
    <w:rsid w:val="000C0A40"/>
    <w:rsid w:val="000C0A76"/>
    <w:rsid w:val="000C0B0C"/>
    <w:rsid w:val="000C0B95"/>
    <w:rsid w:val="000C0BB2"/>
    <w:rsid w:val="000C0BDA"/>
    <w:rsid w:val="000C0BE2"/>
    <w:rsid w:val="000C0BE6"/>
    <w:rsid w:val="000C0BFB"/>
    <w:rsid w:val="000C0C19"/>
    <w:rsid w:val="000C0C48"/>
    <w:rsid w:val="000C0C5D"/>
    <w:rsid w:val="000C0C8D"/>
    <w:rsid w:val="000C0CEF"/>
    <w:rsid w:val="000C0CF2"/>
    <w:rsid w:val="000C0CF4"/>
    <w:rsid w:val="000C0D00"/>
    <w:rsid w:val="000C0D07"/>
    <w:rsid w:val="000C0D5E"/>
    <w:rsid w:val="000C0D6E"/>
    <w:rsid w:val="000C0D6F"/>
    <w:rsid w:val="000C0D7B"/>
    <w:rsid w:val="000C0E02"/>
    <w:rsid w:val="000C0E05"/>
    <w:rsid w:val="000C0E0C"/>
    <w:rsid w:val="000C0E1E"/>
    <w:rsid w:val="000C0E25"/>
    <w:rsid w:val="000C0E39"/>
    <w:rsid w:val="000C0E56"/>
    <w:rsid w:val="000C0E57"/>
    <w:rsid w:val="000C0E60"/>
    <w:rsid w:val="000C0E6A"/>
    <w:rsid w:val="000C0E78"/>
    <w:rsid w:val="000C0EA3"/>
    <w:rsid w:val="000C0EE4"/>
    <w:rsid w:val="000C0EE9"/>
    <w:rsid w:val="000C0EEE"/>
    <w:rsid w:val="000C0F95"/>
    <w:rsid w:val="000C1035"/>
    <w:rsid w:val="000C103D"/>
    <w:rsid w:val="000C1074"/>
    <w:rsid w:val="000C107C"/>
    <w:rsid w:val="000C10FA"/>
    <w:rsid w:val="000C118A"/>
    <w:rsid w:val="000C11A4"/>
    <w:rsid w:val="000C11A9"/>
    <w:rsid w:val="000C11EE"/>
    <w:rsid w:val="000C123C"/>
    <w:rsid w:val="000C125A"/>
    <w:rsid w:val="000C1271"/>
    <w:rsid w:val="000C1299"/>
    <w:rsid w:val="000C12D5"/>
    <w:rsid w:val="000C12D9"/>
    <w:rsid w:val="000C1322"/>
    <w:rsid w:val="000C1335"/>
    <w:rsid w:val="000C133F"/>
    <w:rsid w:val="000C1405"/>
    <w:rsid w:val="000C140E"/>
    <w:rsid w:val="000C1584"/>
    <w:rsid w:val="000C1589"/>
    <w:rsid w:val="000C15CD"/>
    <w:rsid w:val="000C15DA"/>
    <w:rsid w:val="000C15FF"/>
    <w:rsid w:val="000C1650"/>
    <w:rsid w:val="000C169A"/>
    <w:rsid w:val="000C16C8"/>
    <w:rsid w:val="000C16CB"/>
    <w:rsid w:val="000C16D7"/>
    <w:rsid w:val="000C1729"/>
    <w:rsid w:val="000C172D"/>
    <w:rsid w:val="000C1739"/>
    <w:rsid w:val="000C1748"/>
    <w:rsid w:val="000C1785"/>
    <w:rsid w:val="000C183A"/>
    <w:rsid w:val="000C187D"/>
    <w:rsid w:val="000C18C7"/>
    <w:rsid w:val="000C18DC"/>
    <w:rsid w:val="000C18E7"/>
    <w:rsid w:val="000C18ED"/>
    <w:rsid w:val="000C19BA"/>
    <w:rsid w:val="000C19BD"/>
    <w:rsid w:val="000C19E8"/>
    <w:rsid w:val="000C1A0B"/>
    <w:rsid w:val="000C1A1F"/>
    <w:rsid w:val="000C1A2F"/>
    <w:rsid w:val="000C1A38"/>
    <w:rsid w:val="000C1A4B"/>
    <w:rsid w:val="000C1A8F"/>
    <w:rsid w:val="000C1AAC"/>
    <w:rsid w:val="000C1AD0"/>
    <w:rsid w:val="000C1B65"/>
    <w:rsid w:val="000C1B6C"/>
    <w:rsid w:val="000C1BC5"/>
    <w:rsid w:val="000C1BF1"/>
    <w:rsid w:val="000C1C06"/>
    <w:rsid w:val="000C1C3B"/>
    <w:rsid w:val="000C1C3C"/>
    <w:rsid w:val="000C1C42"/>
    <w:rsid w:val="000C1C9E"/>
    <w:rsid w:val="000C1CCF"/>
    <w:rsid w:val="000C1CF9"/>
    <w:rsid w:val="000C1D24"/>
    <w:rsid w:val="000C1DB5"/>
    <w:rsid w:val="000C1DFC"/>
    <w:rsid w:val="000C1E2F"/>
    <w:rsid w:val="000C1E55"/>
    <w:rsid w:val="000C1EC7"/>
    <w:rsid w:val="000C1EE4"/>
    <w:rsid w:val="000C1F24"/>
    <w:rsid w:val="000C1F2A"/>
    <w:rsid w:val="000C1F48"/>
    <w:rsid w:val="000C1F8C"/>
    <w:rsid w:val="000C1FC1"/>
    <w:rsid w:val="000C2006"/>
    <w:rsid w:val="000C200B"/>
    <w:rsid w:val="000C202F"/>
    <w:rsid w:val="000C2066"/>
    <w:rsid w:val="000C20BD"/>
    <w:rsid w:val="000C2113"/>
    <w:rsid w:val="000C2180"/>
    <w:rsid w:val="000C21B0"/>
    <w:rsid w:val="000C21BF"/>
    <w:rsid w:val="000C21D2"/>
    <w:rsid w:val="000C221E"/>
    <w:rsid w:val="000C222D"/>
    <w:rsid w:val="000C2279"/>
    <w:rsid w:val="000C229D"/>
    <w:rsid w:val="000C22C7"/>
    <w:rsid w:val="000C230B"/>
    <w:rsid w:val="000C2337"/>
    <w:rsid w:val="000C2361"/>
    <w:rsid w:val="000C2398"/>
    <w:rsid w:val="000C23B0"/>
    <w:rsid w:val="000C2424"/>
    <w:rsid w:val="000C243E"/>
    <w:rsid w:val="000C253A"/>
    <w:rsid w:val="000C256C"/>
    <w:rsid w:val="000C25A1"/>
    <w:rsid w:val="000C25EB"/>
    <w:rsid w:val="000C2617"/>
    <w:rsid w:val="000C2648"/>
    <w:rsid w:val="000C264B"/>
    <w:rsid w:val="000C2668"/>
    <w:rsid w:val="000C26B4"/>
    <w:rsid w:val="000C2700"/>
    <w:rsid w:val="000C2758"/>
    <w:rsid w:val="000C2759"/>
    <w:rsid w:val="000C275B"/>
    <w:rsid w:val="000C27AD"/>
    <w:rsid w:val="000C27D3"/>
    <w:rsid w:val="000C27E2"/>
    <w:rsid w:val="000C27FA"/>
    <w:rsid w:val="000C282B"/>
    <w:rsid w:val="000C283F"/>
    <w:rsid w:val="000C2886"/>
    <w:rsid w:val="000C291E"/>
    <w:rsid w:val="000C2941"/>
    <w:rsid w:val="000C299E"/>
    <w:rsid w:val="000C29C7"/>
    <w:rsid w:val="000C29DB"/>
    <w:rsid w:val="000C29E1"/>
    <w:rsid w:val="000C29EF"/>
    <w:rsid w:val="000C2A1C"/>
    <w:rsid w:val="000C2A1D"/>
    <w:rsid w:val="000C2A73"/>
    <w:rsid w:val="000C2AD2"/>
    <w:rsid w:val="000C2ADF"/>
    <w:rsid w:val="000C2B3B"/>
    <w:rsid w:val="000C2B58"/>
    <w:rsid w:val="000C2B5C"/>
    <w:rsid w:val="000C2C33"/>
    <w:rsid w:val="000C2C79"/>
    <w:rsid w:val="000C2CA7"/>
    <w:rsid w:val="000C2CC3"/>
    <w:rsid w:val="000C2D3B"/>
    <w:rsid w:val="000C2D54"/>
    <w:rsid w:val="000C2D6B"/>
    <w:rsid w:val="000C2D89"/>
    <w:rsid w:val="000C2D91"/>
    <w:rsid w:val="000C2DAD"/>
    <w:rsid w:val="000C2E13"/>
    <w:rsid w:val="000C2E50"/>
    <w:rsid w:val="000C2E9D"/>
    <w:rsid w:val="000C2ECF"/>
    <w:rsid w:val="000C2EF5"/>
    <w:rsid w:val="000C2F11"/>
    <w:rsid w:val="000C2F5D"/>
    <w:rsid w:val="000C2FB9"/>
    <w:rsid w:val="000C302C"/>
    <w:rsid w:val="000C3063"/>
    <w:rsid w:val="000C306B"/>
    <w:rsid w:val="000C308B"/>
    <w:rsid w:val="000C30CF"/>
    <w:rsid w:val="000C30D4"/>
    <w:rsid w:val="000C30DE"/>
    <w:rsid w:val="000C3103"/>
    <w:rsid w:val="000C3116"/>
    <w:rsid w:val="000C317C"/>
    <w:rsid w:val="000C319A"/>
    <w:rsid w:val="000C31DE"/>
    <w:rsid w:val="000C31E5"/>
    <w:rsid w:val="000C3202"/>
    <w:rsid w:val="000C326C"/>
    <w:rsid w:val="000C326E"/>
    <w:rsid w:val="000C3298"/>
    <w:rsid w:val="000C33B3"/>
    <w:rsid w:val="000C33C6"/>
    <w:rsid w:val="000C3407"/>
    <w:rsid w:val="000C34DA"/>
    <w:rsid w:val="000C353F"/>
    <w:rsid w:val="000C358C"/>
    <w:rsid w:val="000C35E2"/>
    <w:rsid w:val="000C362D"/>
    <w:rsid w:val="000C3672"/>
    <w:rsid w:val="000C367B"/>
    <w:rsid w:val="000C369D"/>
    <w:rsid w:val="000C36A7"/>
    <w:rsid w:val="000C36C8"/>
    <w:rsid w:val="000C36DD"/>
    <w:rsid w:val="000C36F9"/>
    <w:rsid w:val="000C3700"/>
    <w:rsid w:val="000C3707"/>
    <w:rsid w:val="000C3774"/>
    <w:rsid w:val="000C3783"/>
    <w:rsid w:val="000C37A5"/>
    <w:rsid w:val="000C37CA"/>
    <w:rsid w:val="000C3843"/>
    <w:rsid w:val="000C38A3"/>
    <w:rsid w:val="000C38C7"/>
    <w:rsid w:val="000C38F8"/>
    <w:rsid w:val="000C3901"/>
    <w:rsid w:val="000C392D"/>
    <w:rsid w:val="000C3930"/>
    <w:rsid w:val="000C3977"/>
    <w:rsid w:val="000C39C0"/>
    <w:rsid w:val="000C39E8"/>
    <w:rsid w:val="000C3A27"/>
    <w:rsid w:val="000C3ACC"/>
    <w:rsid w:val="000C3AD8"/>
    <w:rsid w:val="000C3AFD"/>
    <w:rsid w:val="000C3BD1"/>
    <w:rsid w:val="000C3BD9"/>
    <w:rsid w:val="000C3BFE"/>
    <w:rsid w:val="000C3C5D"/>
    <w:rsid w:val="000C3C8C"/>
    <w:rsid w:val="000C3CE3"/>
    <w:rsid w:val="000C3D04"/>
    <w:rsid w:val="000C3D14"/>
    <w:rsid w:val="000C3D2B"/>
    <w:rsid w:val="000C3D74"/>
    <w:rsid w:val="000C3DF3"/>
    <w:rsid w:val="000C3E06"/>
    <w:rsid w:val="000C3E29"/>
    <w:rsid w:val="000C3E4E"/>
    <w:rsid w:val="000C3E7A"/>
    <w:rsid w:val="000C3EA9"/>
    <w:rsid w:val="000C3EAE"/>
    <w:rsid w:val="000C3ED0"/>
    <w:rsid w:val="000C3F44"/>
    <w:rsid w:val="000C3F81"/>
    <w:rsid w:val="000C3F85"/>
    <w:rsid w:val="000C3F8D"/>
    <w:rsid w:val="000C3FA3"/>
    <w:rsid w:val="000C3FC1"/>
    <w:rsid w:val="000C3FC5"/>
    <w:rsid w:val="000C4076"/>
    <w:rsid w:val="000C40BA"/>
    <w:rsid w:val="000C40E8"/>
    <w:rsid w:val="000C413C"/>
    <w:rsid w:val="000C4179"/>
    <w:rsid w:val="000C4184"/>
    <w:rsid w:val="000C4195"/>
    <w:rsid w:val="000C423D"/>
    <w:rsid w:val="000C4249"/>
    <w:rsid w:val="000C42F2"/>
    <w:rsid w:val="000C433E"/>
    <w:rsid w:val="000C4349"/>
    <w:rsid w:val="000C4350"/>
    <w:rsid w:val="000C43C5"/>
    <w:rsid w:val="000C43CE"/>
    <w:rsid w:val="000C440A"/>
    <w:rsid w:val="000C4448"/>
    <w:rsid w:val="000C455F"/>
    <w:rsid w:val="000C45BA"/>
    <w:rsid w:val="000C4657"/>
    <w:rsid w:val="000C4683"/>
    <w:rsid w:val="000C472B"/>
    <w:rsid w:val="000C4753"/>
    <w:rsid w:val="000C4760"/>
    <w:rsid w:val="000C47C6"/>
    <w:rsid w:val="000C484C"/>
    <w:rsid w:val="000C485D"/>
    <w:rsid w:val="000C487E"/>
    <w:rsid w:val="000C48DC"/>
    <w:rsid w:val="000C490F"/>
    <w:rsid w:val="000C4925"/>
    <w:rsid w:val="000C49B7"/>
    <w:rsid w:val="000C49E8"/>
    <w:rsid w:val="000C4A1C"/>
    <w:rsid w:val="000C4A20"/>
    <w:rsid w:val="000C4A4D"/>
    <w:rsid w:val="000C4A78"/>
    <w:rsid w:val="000C4A7A"/>
    <w:rsid w:val="000C4A9D"/>
    <w:rsid w:val="000C4AA5"/>
    <w:rsid w:val="000C4AC2"/>
    <w:rsid w:val="000C4AC4"/>
    <w:rsid w:val="000C4AF5"/>
    <w:rsid w:val="000C4B08"/>
    <w:rsid w:val="000C4B2E"/>
    <w:rsid w:val="000C4B7B"/>
    <w:rsid w:val="000C4B80"/>
    <w:rsid w:val="000C4C0F"/>
    <w:rsid w:val="000C4CA3"/>
    <w:rsid w:val="000C4CB0"/>
    <w:rsid w:val="000C4CC9"/>
    <w:rsid w:val="000C4CEF"/>
    <w:rsid w:val="000C4D0C"/>
    <w:rsid w:val="000C4D20"/>
    <w:rsid w:val="000C4D27"/>
    <w:rsid w:val="000C4D3D"/>
    <w:rsid w:val="000C4D94"/>
    <w:rsid w:val="000C4DEB"/>
    <w:rsid w:val="000C4EA9"/>
    <w:rsid w:val="000C4EF5"/>
    <w:rsid w:val="000C4F2E"/>
    <w:rsid w:val="000C4F5E"/>
    <w:rsid w:val="000C4F89"/>
    <w:rsid w:val="000C4FA7"/>
    <w:rsid w:val="000C4FC8"/>
    <w:rsid w:val="000C4FE6"/>
    <w:rsid w:val="000C5018"/>
    <w:rsid w:val="000C5044"/>
    <w:rsid w:val="000C50FD"/>
    <w:rsid w:val="000C5107"/>
    <w:rsid w:val="000C51BF"/>
    <w:rsid w:val="000C51CF"/>
    <w:rsid w:val="000C51EF"/>
    <w:rsid w:val="000C5215"/>
    <w:rsid w:val="000C5221"/>
    <w:rsid w:val="000C522C"/>
    <w:rsid w:val="000C5232"/>
    <w:rsid w:val="000C523A"/>
    <w:rsid w:val="000C524E"/>
    <w:rsid w:val="000C528F"/>
    <w:rsid w:val="000C52B8"/>
    <w:rsid w:val="000C52DE"/>
    <w:rsid w:val="000C52FF"/>
    <w:rsid w:val="000C531F"/>
    <w:rsid w:val="000C5362"/>
    <w:rsid w:val="000C53A0"/>
    <w:rsid w:val="000C53A8"/>
    <w:rsid w:val="000C53CA"/>
    <w:rsid w:val="000C5412"/>
    <w:rsid w:val="000C5444"/>
    <w:rsid w:val="000C5458"/>
    <w:rsid w:val="000C54A1"/>
    <w:rsid w:val="000C5503"/>
    <w:rsid w:val="000C550D"/>
    <w:rsid w:val="000C553F"/>
    <w:rsid w:val="000C55B6"/>
    <w:rsid w:val="000C55DB"/>
    <w:rsid w:val="000C5624"/>
    <w:rsid w:val="000C5687"/>
    <w:rsid w:val="000C56BC"/>
    <w:rsid w:val="000C56D3"/>
    <w:rsid w:val="000C56F5"/>
    <w:rsid w:val="000C5755"/>
    <w:rsid w:val="000C5759"/>
    <w:rsid w:val="000C5767"/>
    <w:rsid w:val="000C577B"/>
    <w:rsid w:val="000C57A7"/>
    <w:rsid w:val="000C57D7"/>
    <w:rsid w:val="000C57DB"/>
    <w:rsid w:val="000C57F2"/>
    <w:rsid w:val="000C5805"/>
    <w:rsid w:val="000C5821"/>
    <w:rsid w:val="000C5828"/>
    <w:rsid w:val="000C585C"/>
    <w:rsid w:val="000C585E"/>
    <w:rsid w:val="000C5897"/>
    <w:rsid w:val="000C58CC"/>
    <w:rsid w:val="000C58D5"/>
    <w:rsid w:val="000C59A1"/>
    <w:rsid w:val="000C59CE"/>
    <w:rsid w:val="000C59F1"/>
    <w:rsid w:val="000C59FB"/>
    <w:rsid w:val="000C5A01"/>
    <w:rsid w:val="000C5A12"/>
    <w:rsid w:val="000C5A29"/>
    <w:rsid w:val="000C5A6D"/>
    <w:rsid w:val="000C5A71"/>
    <w:rsid w:val="000C5A9D"/>
    <w:rsid w:val="000C5B63"/>
    <w:rsid w:val="000C5BB1"/>
    <w:rsid w:val="000C5BB4"/>
    <w:rsid w:val="000C5BDC"/>
    <w:rsid w:val="000C5BEE"/>
    <w:rsid w:val="000C5C28"/>
    <w:rsid w:val="000C5C2C"/>
    <w:rsid w:val="000C5C52"/>
    <w:rsid w:val="000C5C53"/>
    <w:rsid w:val="000C5C64"/>
    <w:rsid w:val="000C5C81"/>
    <w:rsid w:val="000C5C9E"/>
    <w:rsid w:val="000C5CE9"/>
    <w:rsid w:val="000C5CEF"/>
    <w:rsid w:val="000C5D18"/>
    <w:rsid w:val="000C5D65"/>
    <w:rsid w:val="000C5D68"/>
    <w:rsid w:val="000C5D80"/>
    <w:rsid w:val="000C5DA1"/>
    <w:rsid w:val="000C5DA5"/>
    <w:rsid w:val="000C5DF6"/>
    <w:rsid w:val="000C5EDA"/>
    <w:rsid w:val="000C5F18"/>
    <w:rsid w:val="000C5FC0"/>
    <w:rsid w:val="000C5FD6"/>
    <w:rsid w:val="000C6041"/>
    <w:rsid w:val="000C6070"/>
    <w:rsid w:val="000C6090"/>
    <w:rsid w:val="000C60EC"/>
    <w:rsid w:val="000C610B"/>
    <w:rsid w:val="000C61A0"/>
    <w:rsid w:val="000C61B6"/>
    <w:rsid w:val="000C61CD"/>
    <w:rsid w:val="000C61F0"/>
    <w:rsid w:val="000C621F"/>
    <w:rsid w:val="000C622F"/>
    <w:rsid w:val="000C6248"/>
    <w:rsid w:val="000C62CE"/>
    <w:rsid w:val="000C62E6"/>
    <w:rsid w:val="000C631F"/>
    <w:rsid w:val="000C634D"/>
    <w:rsid w:val="000C6364"/>
    <w:rsid w:val="000C63AD"/>
    <w:rsid w:val="000C63E8"/>
    <w:rsid w:val="000C6404"/>
    <w:rsid w:val="000C6429"/>
    <w:rsid w:val="000C642B"/>
    <w:rsid w:val="000C6485"/>
    <w:rsid w:val="000C64A9"/>
    <w:rsid w:val="000C64AF"/>
    <w:rsid w:val="000C64D4"/>
    <w:rsid w:val="000C64E7"/>
    <w:rsid w:val="000C651C"/>
    <w:rsid w:val="000C6530"/>
    <w:rsid w:val="000C657F"/>
    <w:rsid w:val="000C65B6"/>
    <w:rsid w:val="000C65D8"/>
    <w:rsid w:val="000C65EE"/>
    <w:rsid w:val="000C660A"/>
    <w:rsid w:val="000C6631"/>
    <w:rsid w:val="000C6677"/>
    <w:rsid w:val="000C6694"/>
    <w:rsid w:val="000C66F0"/>
    <w:rsid w:val="000C673A"/>
    <w:rsid w:val="000C6777"/>
    <w:rsid w:val="000C678B"/>
    <w:rsid w:val="000C6795"/>
    <w:rsid w:val="000C679D"/>
    <w:rsid w:val="000C67A9"/>
    <w:rsid w:val="000C67F9"/>
    <w:rsid w:val="000C6831"/>
    <w:rsid w:val="000C683B"/>
    <w:rsid w:val="000C685B"/>
    <w:rsid w:val="000C6876"/>
    <w:rsid w:val="000C6889"/>
    <w:rsid w:val="000C68FA"/>
    <w:rsid w:val="000C68FF"/>
    <w:rsid w:val="000C6906"/>
    <w:rsid w:val="000C6910"/>
    <w:rsid w:val="000C6934"/>
    <w:rsid w:val="000C69D3"/>
    <w:rsid w:val="000C6A09"/>
    <w:rsid w:val="000C6A27"/>
    <w:rsid w:val="000C6A2E"/>
    <w:rsid w:val="000C6A4C"/>
    <w:rsid w:val="000C6A7D"/>
    <w:rsid w:val="000C6A8A"/>
    <w:rsid w:val="000C6ABE"/>
    <w:rsid w:val="000C6AF7"/>
    <w:rsid w:val="000C6B25"/>
    <w:rsid w:val="000C6BC9"/>
    <w:rsid w:val="000C6BEB"/>
    <w:rsid w:val="000C6C10"/>
    <w:rsid w:val="000C6C11"/>
    <w:rsid w:val="000C6C90"/>
    <w:rsid w:val="000C6CBE"/>
    <w:rsid w:val="000C6CDD"/>
    <w:rsid w:val="000C6CE6"/>
    <w:rsid w:val="000C6D05"/>
    <w:rsid w:val="000C6D3D"/>
    <w:rsid w:val="000C6D66"/>
    <w:rsid w:val="000C6D71"/>
    <w:rsid w:val="000C6D9C"/>
    <w:rsid w:val="000C6DD2"/>
    <w:rsid w:val="000C6DE0"/>
    <w:rsid w:val="000C6E51"/>
    <w:rsid w:val="000C6EB3"/>
    <w:rsid w:val="000C6F21"/>
    <w:rsid w:val="000C6F23"/>
    <w:rsid w:val="000C6F42"/>
    <w:rsid w:val="000C6F43"/>
    <w:rsid w:val="000C6F64"/>
    <w:rsid w:val="000C6FB8"/>
    <w:rsid w:val="000C7038"/>
    <w:rsid w:val="000C708B"/>
    <w:rsid w:val="000C708F"/>
    <w:rsid w:val="000C70A0"/>
    <w:rsid w:val="000C70CA"/>
    <w:rsid w:val="000C7132"/>
    <w:rsid w:val="000C720D"/>
    <w:rsid w:val="000C7214"/>
    <w:rsid w:val="000C72EC"/>
    <w:rsid w:val="000C733E"/>
    <w:rsid w:val="000C7342"/>
    <w:rsid w:val="000C7351"/>
    <w:rsid w:val="000C73A5"/>
    <w:rsid w:val="000C73AB"/>
    <w:rsid w:val="000C7450"/>
    <w:rsid w:val="000C7475"/>
    <w:rsid w:val="000C7484"/>
    <w:rsid w:val="000C74E6"/>
    <w:rsid w:val="000C759D"/>
    <w:rsid w:val="000C75B3"/>
    <w:rsid w:val="000C7606"/>
    <w:rsid w:val="000C7649"/>
    <w:rsid w:val="000C766F"/>
    <w:rsid w:val="000C768E"/>
    <w:rsid w:val="000C7694"/>
    <w:rsid w:val="000C76A4"/>
    <w:rsid w:val="000C76F3"/>
    <w:rsid w:val="000C774A"/>
    <w:rsid w:val="000C77A9"/>
    <w:rsid w:val="000C77AF"/>
    <w:rsid w:val="000C7885"/>
    <w:rsid w:val="000C78A4"/>
    <w:rsid w:val="000C7931"/>
    <w:rsid w:val="000C7944"/>
    <w:rsid w:val="000C7953"/>
    <w:rsid w:val="000C7991"/>
    <w:rsid w:val="000C79B9"/>
    <w:rsid w:val="000C79D5"/>
    <w:rsid w:val="000C79E0"/>
    <w:rsid w:val="000C7A01"/>
    <w:rsid w:val="000C7A15"/>
    <w:rsid w:val="000C7A1D"/>
    <w:rsid w:val="000C7A84"/>
    <w:rsid w:val="000C7AC0"/>
    <w:rsid w:val="000C7ACB"/>
    <w:rsid w:val="000C7ACC"/>
    <w:rsid w:val="000C7AE9"/>
    <w:rsid w:val="000C7B09"/>
    <w:rsid w:val="000C7B12"/>
    <w:rsid w:val="000C7B65"/>
    <w:rsid w:val="000C7B6B"/>
    <w:rsid w:val="000C7CF7"/>
    <w:rsid w:val="000C7D16"/>
    <w:rsid w:val="000C7D3A"/>
    <w:rsid w:val="000C7D43"/>
    <w:rsid w:val="000C7DA2"/>
    <w:rsid w:val="000C7DA8"/>
    <w:rsid w:val="000C7DCA"/>
    <w:rsid w:val="000C7DD8"/>
    <w:rsid w:val="000C7DFD"/>
    <w:rsid w:val="000C7E53"/>
    <w:rsid w:val="000C7E54"/>
    <w:rsid w:val="000C7EB9"/>
    <w:rsid w:val="000C7ED6"/>
    <w:rsid w:val="000C7F04"/>
    <w:rsid w:val="000C7F28"/>
    <w:rsid w:val="000C7F7D"/>
    <w:rsid w:val="000C7F81"/>
    <w:rsid w:val="000C7F91"/>
    <w:rsid w:val="000C7FDD"/>
    <w:rsid w:val="000C7FE7"/>
    <w:rsid w:val="000C7FF7"/>
    <w:rsid w:val="000D003D"/>
    <w:rsid w:val="000D0041"/>
    <w:rsid w:val="000D005A"/>
    <w:rsid w:val="000D006C"/>
    <w:rsid w:val="000D0075"/>
    <w:rsid w:val="000D00A0"/>
    <w:rsid w:val="000D00D1"/>
    <w:rsid w:val="000D014A"/>
    <w:rsid w:val="000D01AC"/>
    <w:rsid w:val="000D01CB"/>
    <w:rsid w:val="000D01D0"/>
    <w:rsid w:val="000D0219"/>
    <w:rsid w:val="000D0292"/>
    <w:rsid w:val="000D02D8"/>
    <w:rsid w:val="000D032E"/>
    <w:rsid w:val="000D03C8"/>
    <w:rsid w:val="000D03CF"/>
    <w:rsid w:val="000D040F"/>
    <w:rsid w:val="000D0414"/>
    <w:rsid w:val="000D0421"/>
    <w:rsid w:val="000D0422"/>
    <w:rsid w:val="000D046C"/>
    <w:rsid w:val="000D0471"/>
    <w:rsid w:val="000D04B0"/>
    <w:rsid w:val="000D04E7"/>
    <w:rsid w:val="000D04E9"/>
    <w:rsid w:val="000D04ED"/>
    <w:rsid w:val="000D04EE"/>
    <w:rsid w:val="000D053D"/>
    <w:rsid w:val="000D060A"/>
    <w:rsid w:val="000D0624"/>
    <w:rsid w:val="000D0633"/>
    <w:rsid w:val="000D0653"/>
    <w:rsid w:val="000D065B"/>
    <w:rsid w:val="000D0685"/>
    <w:rsid w:val="000D0708"/>
    <w:rsid w:val="000D0746"/>
    <w:rsid w:val="000D0791"/>
    <w:rsid w:val="000D079A"/>
    <w:rsid w:val="000D07D6"/>
    <w:rsid w:val="000D0811"/>
    <w:rsid w:val="000D0885"/>
    <w:rsid w:val="000D0890"/>
    <w:rsid w:val="000D0956"/>
    <w:rsid w:val="000D0957"/>
    <w:rsid w:val="000D09A0"/>
    <w:rsid w:val="000D0A80"/>
    <w:rsid w:val="000D0AF9"/>
    <w:rsid w:val="000D0B19"/>
    <w:rsid w:val="000D0BBD"/>
    <w:rsid w:val="000D0BC2"/>
    <w:rsid w:val="000D0BFC"/>
    <w:rsid w:val="000D0C00"/>
    <w:rsid w:val="000D0D44"/>
    <w:rsid w:val="000D0D52"/>
    <w:rsid w:val="000D0D6E"/>
    <w:rsid w:val="000D0D83"/>
    <w:rsid w:val="000D0DBE"/>
    <w:rsid w:val="000D0DCC"/>
    <w:rsid w:val="000D0E48"/>
    <w:rsid w:val="000D0E4D"/>
    <w:rsid w:val="000D0F51"/>
    <w:rsid w:val="000D0F77"/>
    <w:rsid w:val="000D0F7B"/>
    <w:rsid w:val="000D0FC4"/>
    <w:rsid w:val="000D0FDB"/>
    <w:rsid w:val="000D1005"/>
    <w:rsid w:val="000D1016"/>
    <w:rsid w:val="000D104D"/>
    <w:rsid w:val="000D107F"/>
    <w:rsid w:val="000D1092"/>
    <w:rsid w:val="000D10A0"/>
    <w:rsid w:val="000D10C3"/>
    <w:rsid w:val="000D110F"/>
    <w:rsid w:val="000D1110"/>
    <w:rsid w:val="000D1140"/>
    <w:rsid w:val="000D115E"/>
    <w:rsid w:val="000D115F"/>
    <w:rsid w:val="000D116A"/>
    <w:rsid w:val="000D1175"/>
    <w:rsid w:val="000D11F0"/>
    <w:rsid w:val="000D11FF"/>
    <w:rsid w:val="000D121E"/>
    <w:rsid w:val="000D1274"/>
    <w:rsid w:val="000D128E"/>
    <w:rsid w:val="000D12FD"/>
    <w:rsid w:val="000D1309"/>
    <w:rsid w:val="000D1339"/>
    <w:rsid w:val="000D137B"/>
    <w:rsid w:val="000D1383"/>
    <w:rsid w:val="000D13C1"/>
    <w:rsid w:val="000D13CA"/>
    <w:rsid w:val="000D13CC"/>
    <w:rsid w:val="000D1410"/>
    <w:rsid w:val="000D142E"/>
    <w:rsid w:val="000D1457"/>
    <w:rsid w:val="000D1478"/>
    <w:rsid w:val="000D14DA"/>
    <w:rsid w:val="000D1554"/>
    <w:rsid w:val="000D159A"/>
    <w:rsid w:val="000D15A3"/>
    <w:rsid w:val="000D15BD"/>
    <w:rsid w:val="000D1625"/>
    <w:rsid w:val="000D16D8"/>
    <w:rsid w:val="000D16E3"/>
    <w:rsid w:val="000D1723"/>
    <w:rsid w:val="000D1728"/>
    <w:rsid w:val="000D175E"/>
    <w:rsid w:val="000D177B"/>
    <w:rsid w:val="000D17E0"/>
    <w:rsid w:val="000D182F"/>
    <w:rsid w:val="000D1892"/>
    <w:rsid w:val="000D18C5"/>
    <w:rsid w:val="000D18F1"/>
    <w:rsid w:val="000D1943"/>
    <w:rsid w:val="000D196E"/>
    <w:rsid w:val="000D1994"/>
    <w:rsid w:val="000D19A3"/>
    <w:rsid w:val="000D19B4"/>
    <w:rsid w:val="000D19DF"/>
    <w:rsid w:val="000D19EC"/>
    <w:rsid w:val="000D1A4D"/>
    <w:rsid w:val="000D1A4E"/>
    <w:rsid w:val="000D1A67"/>
    <w:rsid w:val="000D1A94"/>
    <w:rsid w:val="000D1ABD"/>
    <w:rsid w:val="000D1AEA"/>
    <w:rsid w:val="000D1B19"/>
    <w:rsid w:val="000D1B61"/>
    <w:rsid w:val="000D1BE7"/>
    <w:rsid w:val="000D1BF3"/>
    <w:rsid w:val="000D1D47"/>
    <w:rsid w:val="000D1D4A"/>
    <w:rsid w:val="000D1D61"/>
    <w:rsid w:val="000D1D62"/>
    <w:rsid w:val="000D1D8F"/>
    <w:rsid w:val="000D1D92"/>
    <w:rsid w:val="000D1DB2"/>
    <w:rsid w:val="000D1DF0"/>
    <w:rsid w:val="000D1DF9"/>
    <w:rsid w:val="000D1E62"/>
    <w:rsid w:val="000D1E6A"/>
    <w:rsid w:val="000D1EC4"/>
    <w:rsid w:val="000D1EEB"/>
    <w:rsid w:val="000D1F53"/>
    <w:rsid w:val="000D1F59"/>
    <w:rsid w:val="000D1F6B"/>
    <w:rsid w:val="000D1F7D"/>
    <w:rsid w:val="000D1F8D"/>
    <w:rsid w:val="000D1F90"/>
    <w:rsid w:val="000D1F92"/>
    <w:rsid w:val="000D1FA2"/>
    <w:rsid w:val="000D1FA9"/>
    <w:rsid w:val="000D2040"/>
    <w:rsid w:val="000D2086"/>
    <w:rsid w:val="000D20B3"/>
    <w:rsid w:val="000D20D9"/>
    <w:rsid w:val="000D20F6"/>
    <w:rsid w:val="000D214F"/>
    <w:rsid w:val="000D2154"/>
    <w:rsid w:val="000D218C"/>
    <w:rsid w:val="000D21B1"/>
    <w:rsid w:val="000D2208"/>
    <w:rsid w:val="000D2230"/>
    <w:rsid w:val="000D2257"/>
    <w:rsid w:val="000D2291"/>
    <w:rsid w:val="000D22E5"/>
    <w:rsid w:val="000D22FA"/>
    <w:rsid w:val="000D2310"/>
    <w:rsid w:val="000D234D"/>
    <w:rsid w:val="000D2355"/>
    <w:rsid w:val="000D2380"/>
    <w:rsid w:val="000D23B1"/>
    <w:rsid w:val="000D23D2"/>
    <w:rsid w:val="000D23FF"/>
    <w:rsid w:val="000D2409"/>
    <w:rsid w:val="000D240E"/>
    <w:rsid w:val="000D2496"/>
    <w:rsid w:val="000D24BA"/>
    <w:rsid w:val="000D24BF"/>
    <w:rsid w:val="000D24C1"/>
    <w:rsid w:val="000D24DB"/>
    <w:rsid w:val="000D24F1"/>
    <w:rsid w:val="000D2562"/>
    <w:rsid w:val="000D25BA"/>
    <w:rsid w:val="000D25E9"/>
    <w:rsid w:val="000D2612"/>
    <w:rsid w:val="000D2617"/>
    <w:rsid w:val="000D262E"/>
    <w:rsid w:val="000D2640"/>
    <w:rsid w:val="000D2685"/>
    <w:rsid w:val="000D26AE"/>
    <w:rsid w:val="000D26D3"/>
    <w:rsid w:val="000D2700"/>
    <w:rsid w:val="000D2732"/>
    <w:rsid w:val="000D2768"/>
    <w:rsid w:val="000D27BA"/>
    <w:rsid w:val="000D27CF"/>
    <w:rsid w:val="000D27D7"/>
    <w:rsid w:val="000D2839"/>
    <w:rsid w:val="000D284C"/>
    <w:rsid w:val="000D2875"/>
    <w:rsid w:val="000D2911"/>
    <w:rsid w:val="000D2934"/>
    <w:rsid w:val="000D294A"/>
    <w:rsid w:val="000D294F"/>
    <w:rsid w:val="000D298A"/>
    <w:rsid w:val="000D2992"/>
    <w:rsid w:val="000D29B4"/>
    <w:rsid w:val="000D29C9"/>
    <w:rsid w:val="000D29E9"/>
    <w:rsid w:val="000D2A4C"/>
    <w:rsid w:val="000D2ABD"/>
    <w:rsid w:val="000D2ACE"/>
    <w:rsid w:val="000D2AE0"/>
    <w:rsid w:val="000D2B0C"/>
    <w:rsid w:val="000D2B37"/>
    <w:rsid w:val="000D2B6A"/>
    <w:rsid w:val="000D2BD4"/>
    <w:rsid w:val="000D2C48"/>
    <w:rsid w:val="000D2C5D"/>
    <w:rsid w:val="000D2CA0"/>
    <w:rsid w:val="000D2CCC"/>
    <w:rsid w:val="000D2CD0"/>
    <w:rsid w:val="000D2D13"/>
    <w:rsid w:val="000D2D19"/>
    <w:rsid w:val="000D2D28"/>
    <w:rsid w:val="000D2D3A"/>
    <w:rsid w:val="000D2D3E"/>
    <w:rsid w:val="000D2D65"/>
    <w:rsid w:val="000D2D76"/>
    <w:rsid w:val="000D2D8C"/>
    <w:rsid w:val="000D2EA6"/>
    <w:rsid w:val="000D2EAA"/>
    <w:rsid w:val="000D2F39"/>
    <w:rsid w:val="000D2F49"/>
    <w:rsid w:val="000D2F71"/>
    <w:rsid w:val="000D2FA1"/>
    <w:rsid w:val="000D2FA9"/>
    <w:rsid w:val="000D2FC6"/>
    <w:rsid w:val="000D3029"/>
    <w:rsid w:val="000D3051"/>
    <w:rsid w:val="000D30CD"/>
    <w:rsid w:val="000D30F7"/>
    <w:rsid w:val="000D30FE"/>
    <w:rsid w:val="000D3160"/>
    <w:rsid w:val="000D319C"/>
    <w:rsid w:val="000D3225"/>
    <w:rsid w:val="000D324B"/>
    <w:rsid w:val="000D32A8"/>
    <w:rsid w:val="000D32A9"/>
    <w:rsid w:val="000D32CF"/>
    <w:rsid w:val="000D32DD"/>
    <w:rsid w:val="000D32E1"/>
    <w:rsid w:val="000D32E7"/>
    <w:rsid w:val="000D3358"/>
    <w:rsid w:val="000D339C"/>
    <w:rsid w:val="000D33BA"/>
    <w:rsid w:val="000D33CA"/>
    <w:rsid w:val="000D33D8"/>
    <w:rsid w:val="000D33E5"/>
    <w:rsid w:val="000D33F9"/>
    <w:rsid w:val="000D3403"/>
    <w:rsid w:val="000D3425"/>
    <w:rsid w:val="000D3428"/>
    <w:rsid w:val="000D344A"/>
    <w:rsid w:val="000D3479"/>
    <w:rsid w:val="000D3498"/>
    <w:rsid w:val="000D34B4"/>
    <w:rsid w:val="000D3514"/>
    <w:rsid w:val="000D353B"/>
    <w:rsid w:val="000D3575"/>
    <w:rsid w:val="000D35D9"/>
    <w:rsid w:val="000D360B"/>
    <w:rsid w:val="000D3637"/>
    <w:rsid w:val="000D3658"/>
    <w:rsid w:val="000D3685"/>
    <w:rsid w:val="000D3690"/>
    <w:rsid w:val="000D36A1"/>
    <w:rsid w:val="000D36D8"/>
    <w:rsid w:val="000D36F0"/>
    <w:rsid w:val="000D374A"/>
    <w:rsid w:val="000D3792"/>
    <w:rsid w:val="000D37A0"/>
    <w:rsid w:val="000D37D4"/>
    <w:rsid w:val="000D387F"/>
    <w:rsid w:val="000D38C3"/>
    <w:rsid w:val="000D38D6"/>
    <w:rsid w:val="000D38DE"/>
    <w:rsid w:val="000D3910"/>
    <w:rsid w:val="000D393E"/>
    <w:rsid w:val="000D3A62"/>
    <w:rsid w:val="000D3A6D"/>
    <w:rsid w:val="000D3AC7"/>
    <w:rsid w:val="000D3AD6"/>
    <w:rsid w:val="000D3B1B"/>
    <w:rsid w:val="000D3B31"/>
    <w:rsid w:val="000D3B6E"/>
    <w:rsid w:val="000D3BE2"/>
    <w:rsid w:val="000D3C2C"/>
    <w:rsid w:val="000D3C66"/>
    <w:rsid w:val="000D3CFA"/>
    <w:rsid w:val="000D3CFB"/>
    <w:rsid w:val="000D3D04"/>
    <w:rsid w:val="000D3D89"/>
    <w:rsid w:val="000D3E39"/>
    <w:rsid w:val="000D3E48"/>
    <w:rsid w:val="000D3E78"/>
    <w:rsid w:val="000D3EA6"/>
    <w:rsid w:val="000D3EBD"/>
    <w:rsid w:val="000D3EC2"/>
    <w:rsid w:val="000D3F0F"/>
    <w:rsid w:val="000D3F1B"/>
    <w:rsid w:val="000D3FF3"/>
    <w:rsid w:val="000D3FF8"/>
    <w:rsid w:val="000D403E"/>
    <w:rsid w:val="000D40E8"/>
    <w:rsid w:val="000D40FE"/>
    <w:rsid w:val="000D4142"/>
    <w:rsid w:val="000D417B"/>
    <w:rsid w:val="000D41E0"/>
    <w:rsid w:val="000D41E8"/>
    <w:rsid w:val="000D4213"/>
    <w:rsid w:val="000D4224"/>
    <w:rsid w:val="000D4264"/>
    <w:rsid w:val="000D426F"/>
    <w:rsid w:val="000D427C"/>
    <w:rsid w:val="000D42B1"/>
    <w:rsid w:val="000D42B5"/>
    <w:rsid w:val="000D42D4"/>
    <w:rsid w:val="000D42F3"/>
    <w:rsid w:val="000D431E"/>
    <w:rsid w:val="000D4333"/>
    <w:rsid w:val="000D4335"/>
    <w:rsid w:val="000D4344"/>
    <w:rsid w:val="000D4392"/>
    <w:rsid w:val="000D43A8"/>
    <w:rsid w:val="000D43CA"/>
    <w:rsid w:val="000D43D5"/>
    <w:rsid w:val="000D43E3"/>
    <w:rsid w:val="000D44B6"/>
    <w:rsid w:val="000D455B"/>
    <w:rsid w:val="000D45E7"/>
    <w:rsid w:val="000D4616"/>
    <w:rsid w:val="000D465D"/>
    <w:rsid w:val="000D46B8"/>
    <w:rsid w:val="000D46D8"/>
    <w:rsid w:val="000D46D9"/>
    <w:rsid w:val="000D471B"/>
    <w:rsid w:val="000D4728"/>
    <w:rsid w:val="000D4729"/>
    <w:rsid w:val="000D4788"/>
    <w:rsid w:val="000D4813"/>
    <w:rsid w:val="000D4846"/>
    <w:rsid w:val="000D4851"/>
    <w:rsid w:val="000D48AD"/>
    <w:rsid w:val="000D48B2"/>
    <w:rsid w:val="000D4904"/>
    <w:rsid w:val="000D4913"/>
    <w:rsid w:val="000D4920"/>
    <w:rsid w:val="000D497F"/>
    <w:rsid w:val="000D4A5C"/>
    <w:rsid w:val="000D4A6C"/>
    <w:rsid w:val="000D4AF9"/>
    <w:rsid w:val="000D4B27"/>
    <w:rsid w:val="000D4B37"/>
    <w:rsid w:val="000D4B48"/>
    <w:rsid w:val="000D4B9F"/>
    <w:rsid w:val="000D4BC7"/>
    <w:rsid w:val="000D4BF5"/>
    <w:rsid w:val="000D4C19"/>
    <w:rsid w:val="000D4C2E"/>
    <w:rsid w:val="000D4C69"/>
    <w:rsid w:val="000D4CF1"/>
    <w:rsid w:val="000D4D1B"/>
    <w:rsid w:val="000D4D2E"/>
    <w:rsid w:val="000D4D3D"/>
    <w:rsid w:val="000D4D53"/>
    <w:rsid w:val="000D4D73"/>
    <w:rsid w:val="000D4EC5"/>
    <w:rsid w:val="000D4ECC"/>
    <w:rsid w:val="000D4EEE"/>
    <w:rsid w:val="000D4F4E"/>
    <w:rsid w:val="000D4F56"/>
    <w:rsid w:val="000D4F57"/>
    <w:rsid w:val="000D4F59"/>
    <w:rsid w:val="000D4FC2"/>
    <w:rsid w:val="000D4FE5"/>
    <w:rsid w:val="000D5012"/>
    <w:rsid w:val="000D5069"/>
    <w:rsid w:val="000D50A8"/>
    <w:rsid w:val="000D50F8"/>
    <w:rsid w:val="000D5175"/>
    <w:rsid w:val="000D519F"/>
    <w:rsid w:val="000D51C0"/>
    <w:rsid w:val="000D51C3"/>
    <w:rsid w:val="000D51EA"/>
    <w:rsid w:val="000D520F"/>
    <w:rsid w:val="000D528D"/>
    <w:rsid w:val="000D52CD"/>
    <w:rsid w:val="000D52DF"/>
    <w:rsid w:val="000D532F"/>
    <w:rsid w:val="000D5335"/>
    <w:rsid w:val="000D53A1"/>
    <w:rsid w:val="000D53DF"/>
    <w:rsid w:val="000D53E2"/>
    <w:rsid w:val="000D53F2"/>
    <w:rsid w:val="000D5438"/>
    <w:rsid w:val="000D5459"/>
    <w:rsid w:val="000D545D"/>
    <w:rsid w:val="000D54AE"/>
    <w:rsid w:val="000D54D5"/>
    <w:rsid w:val="000D54E5"/>
    <w:rsid w:val="000D554A"/>
    <w:rsid w:val="000D55E3"/>
    <w:rsid w:val="000D55F1"/>
    <w:rsid w:val="000D55FC"/>
    <w:rsid w:val="000D5681"/>
    <w:rsid w:val="000D568E"/>
    <w:rsid w:val="000D56EF"/>
    <w:rsid w:val="000D5724"/>
    <w:rsid w:val="000D577D"/>
    <w:rsid w:val="000D57AB"/>
    <w:rsid w:val="000D57B0"/>
    <w:rsid w:val="000D57F7"/>
    <w:rsid w:val="000D5818"/>
    <w:rsid w:val="000D5837"/>
    <w:rsid w:val="000D583E"/>
    <w:rsid w:val="000D5883"/>
    <w:rsid w:val="000D5890"/>
    <w:rsid w:val="000D58AD"/>
    <w:rsid w:val="000D58B8"/>
    <w:rsid w:val="000D58D3"/>
    <w:rsid w:val="000D58EA"/>
    <w:rsid w:val="000D5954"/>
    <w:rsid w:val="000D5955"/>
    <w:rsid w:val="000D5987"/>
    <w:rsid w:val="000D5A5C"/>
    <w:rsid w:val="000D5ABA"/>
    <w:rsid w:val="000D5B48"/>
    <w:rsid w:val="000D5B4D"/>
    <w:rsid w:val="000D5B52"/>
    <w:rsid w:val="000D5B5C"/>
    <w:rsid w:val="000D5BA0"/>
    <w:rsid w:val="000D5C18"/>
    <w:rsid w:val="000D5C46"/>
    <w:rsid w:val="000D5C7B"/>
    <w:rsid w:val="000D5D3B"/>
    <w:rsid w:val="000D5D44"/>
    <w:rsid w:val="000D5DBB"/>
    <w:rsid w:val="000D5E45"/>
    <w:rsid w:val="000D5E89"/>
    <w:rsid w:val="000D5EB7"/>
    <w:rsid w:val="000D5F1F"/>
    <w:rsid w:val="000D5F2E"/>
    <w:rsid w:val="000D5F3B"/>
    <w:rsid w:val="000D5F56"/>
    <w:rsid w:val="000D5FA4"/>
    <w:rsid w:val="000D6048"/>
    <w:rsid w:val="000D606F"/>
    <w:rsid w:val="000D60B0"/>
    <w:rsid w:val="000D6101"/>
    <w:rsid w:val="000D611C"/>
    <w:rsid w:val="000D611F"/>
    <w:rsid w:val="000D6170"/>
    <w:rsid w:val="000D6256"/>
    <w:rsid w:val="000D62A0"/>
    <w:rsid w:val="000D6306"/>
    <w:rsid w:val="000D63A0"/>
    <w:rsid w:val="000D63A3"/>
    <w:rsid w:val="000D63C7"/>
    <w:rsid w:val="000D63D1"/>
    <w:rsid w:val="000D63E5"/>
    <w:rsid w:val="000D6411"/>
    <w:rsid w:val="000D642F"/>
    <w:rsid w:val="000D6453"/>
    <w:rsid w:val="000D6505"/>
    <w:rsid w:val="000D6579"/>
    <w:rsid w:val="000D65B9"/>
    <w:rsid w:val="000D65BC"/>
    <w:rsid w:val="000D65D1"/>
    <w:rsid w:val="000D65FC"/>
    <w:rsid w:val="000D662D"/>
    <w:rsid w:val="000D6640"/>
    <w:rsid w:val="000D6660"/>
    <w:rsid w:val="000D6664"/>
    <w:rsid w:val="000D668B"/>
    <w:rsid w:val="000D6691"/>
    <w:rsid w:val="000D66F2"/>
    <w:rsid w:val="000D673D"/>
    <w:rsid w:val="000D6782"/>
    <w:rsid w:val="000D6788"/>
    <w:rsid w:val="000D67D9"/>
    <w:rsid w:val="000D6848"/>
    <w:rsid w:val="000D6933"/>
    <w:rsid w:val="000D6946"/>
    <w:rsid w:val="000D6990"/>
    <w:rsid w:val="000D69EB"/>
    <w:rsid w:val="000D6AF9"/>
    <w:rsid w:val="000D6B4D"/>
    <w:rsid w:val="000D6BA3"/>
    <w:rsid w:val="000D6BCB"/>
    <w:rsid w:val="000D6C16"/>
    <w:rsid w:val="000D6C4F"/>
    <w:rsid w:val="000D6C52"/>
    <w:rsid w:val="000D6C5A"/>
    <w:rsid w:val="000D6C63"/>
    <w:rsid w:val="000D6C6C"/>
    <w:rsid w:val="000D6CFC"/>
    <w:rsid w:val="000D6CFF"/>
    <w:rsid w:val="000D6D24"/>
    <w:rsid w:val="000D6D67"/>
    <w:rsid w:val="000D6DBD"/>
    <w:rsid w:val="000D6DCC"/>
    <w:rsid w:val="000D6DCD"/>
    <w:rsid w:val="000D6E32"/>
    <w:rsid w:val="000D6E38"/>
    <w:rsid w:val="000D6E5F"/>
    <w:rsid w:val="000D6E78"/>
    <w:rsid w:val="000D6E8F"/>
    <w:rsid w:val="000D6EC6"/>
    <w:rsid w:val="000D6EE8"/>
    <w:rsid w:val="000D6F13"/>
    <w:rsid w:val="000D6F33"/>
    <w:rsid w:val="000D6FA3"/>
    <w:rsid w:val="000D6FBF"/>
    <w:rsid w:val="000D6FD4"/>
    <w:rsid w:val="000D6FDE"/>
    <w:rsid w:val="000D7054"/>
    <w:rsid w:val="000D705D"/>
    <w:rsid w:val="000D7083"/>
    <w:rsid w:val="000D7088"/>
    <w:rsid w:val="000D7170"/>
    <w:rsid w:val="000D718C"/>
    <w:rsid w:val="000D7226"/>
    <w:rsid w:val="000D7284"/>
    <w:rsid w:val="000D729B"/>
    <w:rsid w:val="000D7314"/>
    <w:rsid w:val="000D73A3"/>
    <w:rsid w:val="000D741E"/>
    <w:rsid w:val="000D746A"/>
    <w:rsid w:val="000D7475"/>
    <w:rsid w:val="000D7482"/>
    <w:rsid w:val="000D748B"/>
    <w:rsid w:val="000D751F"/>
    <w:rsid w:val="000D753A"/>
    <w:rsid w:val="000D7541"/>
    <w:rsid w:val="000D7543"/>
    <w:rsid w:val="000D755D"/>
    <w:rsid w:val="000D7578"/>
    <w:rsid w:val="000D75A9"/>
    <w:rsid w:val="000D75CF"/>
    <w:rsid w:val="000D770D"/>
    <w:rsid w:val="000D770E"/>
    <w:rsid w:val="000D77B8"/>
    <w:rsid w:val="000D77C5"/>
    <w:rsid w:val="000D77CE"/>
    <w:rsid w:val="000D77E0"/>
    <w:rsid w:val="000D77EE"/>
    <w:rsid w:val="000D788D"/>
    <w:rsid w:val="000D7893"/>
    <w:rsid w:val="000D790B"/>
    <w:rsid w:val="000D793A"/>
    <w:rsid w:val="000D794E"/>
    <w:rsid w:val="000D7958"/>
    <w:rsid w:val="000D7980"/>
    <w:rsid w:val="000D7984"/>
    <w:rsid w:val="000D79A8"/>
    <w:rsid w:val="000D79DF"/>
    <w:rsid w:val="000D79F0"/>
    <w:rsid w:val="000D7A0B"/>
    <w:rsid w:val="000D7A0E"/>
    <w:rsid w:val="000D7A40"/>
    <w:rsid w:val="000D7A8F"/>
    <w:rsid w:val="000D7AD8"/>
    <w:rsid w:val="000D7AFF"/>
    <w:rsid w:val="000D7B86"/>
    <w:rsid w:val="000D7BA6"/>
    <w:rsid w:val="000D7C91"/>
    <w:rsid w:val="000D7CA1"/>
    <w:rsid w:val="000D7CAB"/>
    <w:rsid w:val="000D7CD7"/>
    <w:rsid w:val="000D7CFF"/>
    <w:rsid w:val="000D7D10"/>
    <w:rsid w:val="000D7D51"/>
    <w:rsid w:val="000D7D6C"/>
    <w:rsid w:val="000D7DA8"/>
    <w:rsid w:val="000D7DA9"/>
    <w:rsid w:val="000D7DCC"/>
    <w:rsid w:val="000D7DD8"/>
    <w:rsid w:val="000D7E15"/>
    <w:rsid w:val="000D7E47"/>
    <w:rsid w:val="000D7E8E"/>
    <w:rsid w:val="000D7E9E"/>
    <w:rsid w:val="000D7EC1"/>
    <w:rsid w:val="000D7EF7"/>
    <w:rsid w:val="000D7F03"/>
    <w:rsid w:val="000D7F21"/>
    <w:rsid w:val="000D7F66"/>
    <w:rsid w:val="000D7F89"/>
    <w:rsid w:val="000D7F9B"/>
    <w:rsid w:val="000E0011"/>
    <w:rsid w:val="000E0038"/>
    <w:rsid w:val="000E009B"/>
    <w:rsid w:val="000E00C8"/>
    <w:rsid w:val="000E0102"/>
    <w:rsid w:val="000E0111"/>
    <w:rsid w:val="000E0155"/>
    <w:rsid w:val="000E016D"/>
    <w:rsid w:val="000E0179"/>
    <w:rsid w:val="000E0193"/>
    <w:rsid w:val="000E01C6"/>
    <w:rsid w:val="000E0277"/>
    <w:rsid w:val="000E0297"/>
    <w:rsid w:val="000E031C"/>
    <w:rsid w:val="000E0362"/>
    <w:rsid w:val="000E0396"/>
    <w:rsid w:val="000E03AB"/>
    <w:rsid w:val="000E03C9"/>
    <w:rsid w:val="000E0418"/>
    <w:rsid w:val="000E0427"/>
    <w:rsid w:val="000E0447"/>
    <w:rsid w:val="000E048B"/>
    <w:rsid w:val="000E048E"/>
    <w:rsid w:val="000E04BE"/>
    <w:rsid w:val="000E04DC"/>
    <w:rsid w:val="000E050E"/>
    <w:rsid w:val="000E0515"/>
    <w:rsid w:val="000E0526"/>
    <w:rsid w:val="000E058A"/>
    <w:rsid w:val="000E06BF"/>
    <w:rsid w:val="000E0723"/>
    <w:rsid w:val="000E073C"/>
    <w:rsid w:val="000E07C2"/>
    <w:rsid w:val="000E0802"/>
    <w:rsid w:val="000E08B6"/>
    <w:rsid w:val="000E08D3"/>
    <w:rsid w:val="000E08D8"/>
    <w:rsid w:val="000E090D"/>
    <w:rsid w:val="000E0949"/>
    <w:rsid w:val="000E094E"/>
    <w:rsid w:val="000E095E"/>
    <w:rsid w:val="000E097B"/>
    <w:rsid w:val="000E09E6"/>
    <w:rsid w:val="000E0A44"/>
    <w:rsid w:val="000E0A88"/>
    <w:rsid w:val="000E0B2A"/>
    <w:rsid w:val="000E0B54"/>
    <w:rsid w:val="000E0BC5"/>
    <w:rsid w:val="000E0C04"/>
    <w:rsid w:val="000E0C11"/>
    <w:rsid w:val="000E0C54"/>
    <w:rsid w:val="000E0C74"/>
    <w:rsid w:val="000E0C81"/>
    <w:rsid w:val="000E0C82"/>
    <w:rsid w:val="000E0C9C"/>
    <w:rsid w:val="000E0CBA"/>
    <w:rsid w:val="000E0CC1"/>
    <w:rsid w:val="000E0D29"/>
    <w:rsid w:val="000E0D32"/>
    <w:rsid w:val="000E0D37"/>
    <w:rsid w:val="000E0D5D"/>
    <w:rsid w:val="000E0D74"/>
    <w:rsid w:val="000E0D7F"/>
    <w:rsid w:val="000E0DD9"/>
    <w:rsid w:val="000E0E32"/>
    <w:rsid w:val="000E0E95"/>
    <w:rsid w:val="000E0EC0"/>
    <w:rsid w:val="000E0F21"/>
    <w:rsid w:val="000E0F3C"/>
    <w:rsid w:val="000E0F5A"/>
    <w:rsid w:val="000E0F7A"/>
    <w:rsid w:val="000E0F8A"/>
    <w:rsid w:val="000E0F9B"/>
    <w:rsid w:val="000E0FA5"/>
    <w:rsid w:val="000E0FAF"/>
    <w:rsid w:val="000E0FCA"/>
    <w:rsid w:val="000E0FDC"/>
    <w:rsid w:val="000E1012"/>
    <w:rsid w:val="000E1058"/>
    <w:rsid w:val="000E105E"/>
    <w:rsid w:val="000E1076"/>
    <w:rsid w:val="000E1087"/>
    <w:rsid w:val="000E1094"/>
    <w:rsid w:val="000E10B7"/>
    <w:rsid w:val="000E10C1"/>
    <w:rsid w:val="000E1149"/>
    <w:rsid w:val="000E1175"/>
    <w:rsid w:val="000E117B"/>
    <w:rsid w:val="000E1184"/>
    <w:rsid w:val="000E1195"/>
    <w:rsid w:val="000E11F9"/>
    <w:rsid w:val="000E1229"/>
    <w:rsid w:val="000E1287"/>
    <w:rsid w:val="000E12D6"/>
    <w:rsid w:val="000E12E1"/>
    <w:rsid w:val="000E1313"/>
    <w:rsid w:val="000E1331"/>
    <w:rsid w:val="000E137A"/>
    <w:rsid w:val="000E13B0"/>
    <w:rsid w:val="000E13C0"/>
    <w:rsid w:val="000E1401"/>
    <w:rsid w:val="000E1413"/>
    <w:rsid w:val="000E143E"/>
    <w:rsid w:val="000E1446"/>
    <w:rsid w:val="000E1454"/>
    <w:rsid w:val="000E14FB"/>
    <w:rsid w:val="000E1594"/>
    <w:rsid w:val="000E167F"/>
    <w:rsid w:val="000E16FE"/>
    <w:rsid w:val="000E1725"/>
    <w:rsid w:val="000E1726"/>
    <w:rsid w:val="000E17CE"/>
    <w:rsid w:val="000E1809"/>
    <w:rsid w:val="000E180F"/>
    <w:rsid w:val="000E184E"/>
    <w:rsid w:val="000E1859"/>
    <w:rsid w:val="000E185B"/>
    <w:rsid w:val="000E1873"/>
    <w:rsid w:val="000E18D9"/>
    <w:rsid w:val="000E18E6"/>
    <w:rsid w:val="000E1908"/>
    <w:rsid w:val="000E1912"/>
    <w:rsid w:val="000E1930"/>
    <w:rsid w:val="000E197A"/>
    <w:rsid w:val="000E19D1"/>
    <w:rsid w:val="000E19DF"/>
    <w:rsid w:val="000E1A0D"/>
    <w:rsid w:val="000E1A5B"/>
    <w:rsid w:val="000E1A60"/>
    <w:rsid w:val="000E1AAF"/>
    <w:rsid w:val="000E1B59"/>
    <w:rsid w:val="000E1B5F"/>
    <w:rsid w:val="000E1B64"/>
    <w:rsid w:val="000E1BA3"/>
    <w:rsid w:val="000E1BCB"/>
    <w:rsid w:val="000E1C2C"/>
    <w:rsid w:val="000E1C81"/>
    <w:rsid w:val="000E1C82"/>
    <w:rsid w:val="000E1CFB"/>
    <w:rsid w:val="000E1D65"/>
    <w:rsid w:val="000E1D87"/>
    <w:rsid w:val="000E1D90"/>
    <w:rsid w:val="000E1DD7"/>
    <w:rsid w:val="000E1DEC"/>
    <w:rsid w:val="000E1E8D"/>
    <w:rsid w:val="000E1EAF"/>
    <w:rsid w:val="000E1F1C"/>
    <w:rsid w:val="000E1F62"/>
    <w:rsid w:val="000E1FC1"/>
    <w:rsid w:val="000E2010"/>
    <w:rsid w:val="000E2050"/>
    <w:rsid w:val="000E205E"/>
    <w:rsid w:val="000E2075"/>
    <w:rsid w:val="000E208A"/>
    <w:rsid w:val="000E2094"/>
    <w:rsid w:val="000E20B6"/>
    <w:rsid w:val="000E20BB"/>
    <w:rsid w:val="000E20DE"/>
    <w:rsid w:val="000E211E"/>
    <w:rsid w:val="000E2181"/>
    <w:rsid w:val="000E225B"/>
    <w:rsid w:val="000E231C"/>
    <w:rsid w:val="000E2345"/>
    <w:rsid w:val="000E2368"/>
    <w:rsid w:val="000E2388"/>
    <w:rsid w:val="000E23B4"/>
    <w:rsid w:val="000E23BA"/>
    <w:rsid w:val="000E23C7"/>
    <w:rsid w:val="000E2417"/>
    <w:rsid w:val="000E2488"/>
    <w:rsid w:val="000E24A1"/>
    <w:rsid w:val="000E24B7"/>
    <w:rsid w:val="000E24B8"/>
    <w:rsid w:val="000E250C"/>
    <w:rsid w:val="000E255E"/>
    <w:rsid w:val="000E25D4"/>
    <w:rsid w:val="000E2645"/>
    <w:rsid w:val="000E2683"/>
    <w:rsid w:val="000E2697"/>
    <w:rsid w:val="000E26BC"/>
    <w:rsid w:val="000E26BD"/>
    <w:rsid w:val="000E274E"/>
    <w:rsid w:val="000E2779"/>
    <w:rsid w:val="000E277D"/>
    <w:rsid w:val="000E2781"/>
    <w:rsid w:val="000E27D3"/>
    <w:rsid w:val="000E27F2"/>
    <w:rsid w:val="000E2816"/>
    <w:rsid w:val="000E282F"/>
    <w:rsid w:val="000E2881"/>
    <w:rsid w:val="000E28D6"/>
    <w:rsid w:val="000E2915"/>
    <w:rsid w:val="000E2944"/>
    <w:rsid w:val="000E2982"/>
    <w:rsid w:val="000E2A53"/>
    <w:rsid w:val="000E2A54"/>
    <w:rsid w:val="000E2A7C"/>
    <w:rsid w:val="000E2AAB"/>
    <w:rsid w:val="000E2AC5"/>
    <w:rsid w:val="000E2AC8"/>
    <w:rsid w:val="000E2B08"/>
    <w:rsid w:val="000E2B9B"/>
    <w:rsid w:val="000E2BBF"/>
    <w:rsid w:val="000E2BF8"/>
    <w:rsid w:val="000E2C2B"/>
    <w:rsid w:val="000E2CC0"/>
    <w:rsid w:val="000E2CD4"/>
    <w:rsid w:val="000E2CD7"/>
    <w:rsid w:val="000E2E08"/>
    <w:rsid w:val="000E2E17"/>
    <w:rsid w:val="000E2E53"/>
    <w:rsid w:val="000E2E64"/>
    <w:rsid w:val="000E2E7D"/>
    <w:rsid w:val="000E2EB3"/>
    <w:rsid w:val="000E2EC7"/>
    <w:rsid w:val="000E2F51"/>
    <w:rsid w:val="000E2F88"/>
    <w:rsid w:val="000E30CC"/>
    <w:rsid w:val="000E30CD"/>
    <w:rsid w:val="000E3163"/>
    <w:rsid w:val="000E3199"/>
    <w:rsid w:val="000E319D"/>
    <w:rsid w:val="000E31F9"/>
    <w:rsid w:val="000E31FA"/>
    <w:rsid w:val="000E3248"/>
    <w:rsid w:val="000E33CE"/>
    <w:rsid w:val="000E33D8"/>
    <w:rsid w:val="000E346E"/>
    <w:rsid w:val="000E35C0"/>
    <w:rsid w:val="000E35EE"/>
    <w:rsid w:val="000E3695"/>
    <w:rsid w:val="000E369E"/>
    <w:rsid w:val="000E36C9"/>
    <w:rsid w:val="000E3718"/>
    <w:rsid w:val="000E3726"/>
    <w:rsid w:val="000E3753"/>
    <w:rsid w:val="000E3785"/>
    <w:rsid w:val="000E3790"/>
    <w:rsid w:val="000E3864"/>
    <w:rsid w:val="000E386D"/>
    <w:rsid w:val="000E389F"/>
    <w:rsid w:val="000E38F5"/>
    <w:rsid w:val="000E38F6"/>
    <w:rsid w:val="000E3929"/>
    <w:rsid w:val="000E392B"/>
    <w:rsid w:val="000E3963"/>
    <w:rsid w:val="000E3967"/>
    <w:rsid w:val="000E396E"/>
    <w:rsid w:val="000E39D0"/>
    <w:rsid w:val="000E39E1"/>
    <w:rsid w:val="000E3A42"/>
    <w:rsid w:val="000E3A47"/>
    <w:rsid w:val="000E3A8E"/>
    <w:rsid w:val="000E3B09"/>
    <w:rsid w:val="000E3B98"/>
    <w:rsid w:val="000E3BBB"/>
    <w:rsid w:val="000E3C67"/>
    <w:rsid w:val="000E3CB9"/>
    <w:rsid w:val="000E3D43"/>
    <w:rsid w:val="000E3D52"/>
    <w:rsid w:val="000E3D68"/>
    <w:rsid w:val="000E3D71"/>
    <w:rsid w:val="000E3DF0"/>
    <w:rsid w:val="000E3E00"/>
    <w:rsid w:val="000E3E27"/>
    <w:rsid w:val="000E3E3D"/>
    <w:rsid w:val="000E3E61"/>
    <w:rsid w:val="000E3E9A"/>
    <w:rsid w:val="000E3ED9"/>
    <w:rsid w:val="000E3EDB"/>
    <w:rsid w:val="000E3EEB"/>
    <w:rsid w:val="000E3F35"/>
    <w:rsid w:val="000E3FAB"/>
    <w:rsid w:val="000E3FDE"/>
    <w:rsid w:val="000E3FE1"/>
    <w:rsid w:val="000E3FFB"/>
    <w:rsid w:val="000E4024"/>
    <w:rsid w:val="000E404A"/>
    <w:rsid w:val="000E4064"/>
    <w:rsid w:val="000E407E"/>
    <w:rsid w:val="000E40A8"/>
    <w:rsid w:val="000E40D8"/>
    <w:rsid w:val="000E4161"/>
    <w:rsid w:val="000E418B"/>
    <w:rsid w:val="000E41A2"/>
    <w:rsid w:val="000E41B2"/>
    <w:rsid w:val="000E41B4"/>
    <w:rsid w:val="000E41EE"/>
    <w:rsid w:val="000E424E"/>
    <w:rsid w:val="000E4302"/>
    <w:rsid w:val="000E4331"/>
    <w:rsid w:val="000E4365"/>
    <w:rsid w:val="000E4368"/>
    <w:rsid w:val="000E43C9"/>
    <w:rsid w:val="000E43DA"/>
    <w:rsid w:val="000E4459"/>
    <w:rsid w:val="000E44AD"/>
    <w:rsid w:val="000E450C"/>
    <w:rsid w:val="000E4589"/>
    <w:rsid w:val="000E45B6"/>
    <w:rsid w:val="000E45D4"/>
    <w:rsid w:val="000E45D7"/>
    <w:rsid w:val="000E461E"/>
    <w:rsid w:val="000E461F"/>
    <w:rsid w:val="000E4620"/>
    <w:rsid w:val="000E4675"/>
    <w:rsid w:val="000E4682"/>
    <w:rsid w:val="000E46A0"/>
    <w:rsid w:val="000E46AD"/>
    <w:rsid w:val="000E46D9"/>
    <w:rsid w:val="000E4769"/>
    <w:rsid w:val="000E4772"/>
    <w:rsid w:val="000E4776"/>
    <w:rsid w:val="000E4778"/>
    <w:rsid w:val="000E477E"/>
    <w:rsid w:val="000E47F1"/>
    <w:rsid w:val="000E482D"/>
    <w:rsid w:val="000E4844"/>
    <w:rsid w:val="000E485A"/>
    <w:rsid w:val="000E48B4"/>
    <w:rsid w:val="000E48C8"/>
    <w:rsid w:val="000E492E"/>
    <w:rsid w:val="000E4944"/>
    <w:rsid w:val="000E496E"/>
    <w:rsid w:val="000E4A2D"/>
    <w:rsid w:val="000E4A5D"/>
    <w:rsid w:val="000E4A9B"/>
    <w:rsid w:val="000E4AFA"/>
    <w:rsid w:val="000E4B4D"/>
    <w:rsid w:val="000E4BBB"/>
    <w:rsid w:val="000E4BF7"/>
    <w:rsid w:val="000E4C32"/>
    <w:rsid w:val="000E4C35"/>
    <w:rsid w:val="000E4C37"/>
    <w:rsid w:val="000E4C56"/>
    <w:rsid w:val="000E4C58"/>
    <w:rsid w:val="000E4C99"/>
    <w:rsid w:val="000E4CCA"/>
    <w:rsid w:val="000E4CD3"/>
    <w:rsid w:val="000E4D0C"/>
    <w:rsid w:val="000E4DB8"/>
    <w:rsid w:val="000E4DBA"/>
    <w:rsid w:val="000E4E12"/>
    <w:rsid w:val="000E4E1D"/>
    <w:rsid w:val="000E4E3D"/>
    <w:rsid w:val="000E4EBE"/>
    <w:rsid w:val="000E4EC4"/>
    <w:rsid w:val="000E4F0E"/>
    <w:rsid w:val="000E4F15"/>
    <w:rsid w:val="000E4F24"/>
    <w:rsid w:val="000E4F3B"/>
    <w:rsid w:val="000E4F40"/>
    <w:rsid w:val="000E4F41"/>
    <w:rsid w:val="000E4F4C"/>
    <w:rsid w:val="000E4F4D"/>
    <w:rsid w:val="000E4F73"/>
    <w:rsid w:val="000E4F79"/>
    <w:rsid w:val="000E4FA9"/>
    <w:rsid w:val="000E4FB9"/>
    <w:rsid w:val="000E504F"/>
    <w:rsid w:val="000E509B"/>
    <w:rsid w:val="000E50AC"/>
    <w:rsid w:val="000E50B1"/>
    <w:rsid w:val="000E50D9"/>
    <w:rsid w:val="000E510D"/>
    <w:rsid w:val="000E5111"/>
    <w:rsid w:val="000E5169"/>
    <w:rsid w:val="000E5194"/>
    <w:rsid w:val="000E51A8"/>
    <w:rsid w:val="000E51DC"/>
    <w:rsid w:val="000E5241"/>
    <w:rsid w:val="000E52C3"/>
    <w:rsid w:val="000E5301"/>
    <w:rsid w:val="000E5309"/>
    <w:rsid w:val="000E533B"/>
    <w:rsid w:val="000E5343"/>
    <w:rsid w:val="000E538C"/>
    <w:rsid w:val="000E53AE"/>
    <w:rsid w:val="000E53C9"/>
    <w:rsid w:val="000E5469"/>
    <w:rsid w:val="000E54C2"/>
    <w:rsid w:val="000E54D6"/>
    <w:rsid w:val="000E54EF"/>
    <w:rsid w:val="000E551C"/>
    <w:rsid w:val="000E552A"/>
    <w:rsid w:val="000E55E5"/>
    <w:rsid w:val="000E55F4"/>
    <w:rsid w:val="000E5605"/>
    <w:rsid w:val="000E561A"/>
    <w:rsid w:val="000E5633"/>
    <w:rsid w:val="000E564E"/>
    <w:rsid w:val="000E5665"/>
    <w:rsid w:val="000E568F"/>
    <w:rsid w:val="000E5695"/>
    <w:rsid w:val="000E56A3"/>
    <w:rsid w:val="000E56D4"/>
    <w:rsid w:val="000E5737"/>
    <w:rsid w:val="000E5773"/>
    <w:rsid w:val="000E5787"/>
    <w:rsid w:val="000E57CD"/>
    <w:rsid w:val="000E5838"/>
    <w:rsid w:val="000E583A"/>
    <w:rsid w:val="000E5847"/>
    <w:rsid w:val="000E5876"/>
    <w:rsid w:val="000E5893"/>
    <w:rsid w:val="000E590E"/>
    <w:rsid w:val="000E59AE"/>
    <w:rsid w:val="000E59CF"/>
    <w:rsid w:val="000E5A42"/>
    <w:rsid w:val="000E5A6D"/>
    <w:rsid w:val="000E5A76"/>
    <w:rsid w:val="000E5AA7"/>
    <w:rsid w:val="000E5AB2"/>
    <w:rsid w:val="000E5AB3"/>
    <w:rsid w:val="000E5ACD"/>
    <w:rsid w:val="000E5ADC"/>
    <w:rsid w:val="000E5B0E"/>
    <w:rsid w:val="000E5B6B"/>
    <w:rsid w:val="000E5B7B"/>
    <w:rsid w:val="000E5B90"/>
    <w:rsid w:val="000E5B97"/>
    <w:rsid w:val="000E5BBD"/>
    <w:rsid w:val="000E5BCE"/>
    <w:rsid w:val="000E5BD3"/>
    <w:rsid w:val="000E5BE5"/>
    <w:rsid w:val="000E5BF2"/>
    <w:rsid w:val="000E5C76"/>
    <w:rsid w:val="000E5C80"/>
    <w:rsid w:val="000E5D3D"/>
    <w:rsid w:val="000E5D49"/>
    <w:rsid w:val="000E5D95"/>
    <w:rsid w:val="000E5DA0"/>
    <w:rsid w:val="000E5E08"/>
    <w:rsid w:val="000E5E21"/>
    <w:rsid w:val="000E5E2F"/>
    <w:rsid w:val="000E5E80"/>
    <w:rsid w:val="000E5EC0"/>
    <w:rsid w:val="000E5EF9"/>
    <w:rsid w:val="000E5F0C"/>
    <w:rsid w:val="000E5F3C"/>
    <w:rsid w:val="000E5F40"/>
    <w:rsid w:val="000E5F7D"/>
    <w:rsid w:val="000E5FA7"/>
    <w:rsid w:val="000E5FC5"/>
    <w:rsid w:val="000E5FD7"/>
    <w:rsid w:val="000E6075"/>
    <w:rsid w:val="000E60CE"/>
    <w:rsid w:val="000E6110"/>
    <w:rsid w:val="000E612A"/>
    <w:rsid w:val="000E614C"/>
    <w:rsid w:val="000E61C9"/>
    <w:rsid w:val="000E628A"/>
    <w:rsid w:val="000E6293"/>
    <w:rsid w:val="000E62A8"/>
    <w:rsid w:val="000E636E"/>
    <w:rsid w:val="000E63C5"/>
    <w:rsid w:val="000E63D9"/>
    <w:rsid w:val="000E650F"/>
    <w:rsid w:val="000E6524"/>
    <w:rsid w:val="000E6538"/>
    <w:rsid w:val="000E656E"/>
    <w:rsid w:val="000E65BD"/>
    <w:rsid w:val="000E65DE"/>
    <w:rsid w:val="000E65F1"/>
    <w:rsid w:val="000E664F"/>
    <w:rsid w:val="000E6730"/>
    <w:rsid w:val="000E6756"/>
    <w:rsid w:val="000E6775"/>
    <w:rsid w:val="000E677D"/>
    <w:rsid w:val="000E6784"/>
    <w:rsid w:val="000E67C3"/>
    <w:rsid w:val="000E6818"/>
    <w:rsid w:val="000E6824"/>
    <w:rsid w:val="000E6849"/>
    <w:rsid w:val="000E6873"/>
    <w:rsid w:val="000E687A"/>
    <w:rsid w:val="000E6887"/>
    <w:rsid w:val="000E68C1"/>
    <w:rsid w:val="000E692E"/>
    <w:rsid w:val="000E6948"/>
    <w:rsid w:val="000E6950"/>
    <w:rsid w:val="000E6968"/>
    <w:rsid w:val="000E696F"/>
    <w:rsid w:val="000E69E9"/>
    <w:rsid w:val="000E6A68"/>
    <w:rsid w:val="000E6A74"/>
    <w:rsid w:val="000E6A78"/>
    <w:rsid w:val="000E6A7C"/>
    <w:rsid w:val="000E6A80"/>
    <w:rsid w:val="000E6AB1"/>
    <w:rsid w:val="000E6AB6"/>
    <w:rsid w:val="000E6BDC"/>
    <w:rsid w:val="000E6C30"/>
    <w:rsid w:val="000E6C5F"/>
    <w:rsid w:val="000E6C6C"/>
    <w:rsid w:val="000E6C76"/>
    <w:rsid w:val="000E6C87"/>
    <w:rsid w:val="000E6C98"/>
    <w:rsid w:val="000E6CDA"/>
    <w:rsid w:val="000E6D80"/>
    <w:rsid w:val="000E6D8C"/>
    <w:rsid w:val="000E6DB8"/>
    <w:rsid w:val="000E6DF4"/>
    <w:rsid w:val="000E6E08"/>
    <w:rsid w:val="000E6E0A"/>
    <w:rsid w:val="000E6E18"/>
    <w:rsid w:val="000E6E9B"/>
    <w:rsid w:val="000E6EAD"/>
    <w:rsid w:val="000E6EAF"/>
    <w:rsid w:val="000E6F34"/>
    <w:rsid w:val="000E6F7A"/>
    <w:rsid w:val="000E6F8E"/>
    <w:rsid w:val="000E6FE3"/>
    <w:rsid w:val="000E7031"/>
    <w:rsid w:val="000E705D"/>
    <w:rsid w:val="000E707F"/>
    <w:rsid w:val="000E70D8"/>
    <w:rsid w:val="000E7130"/>
    <w:rsid w:val="000E7148"/>
    <w:rsid w:val="000E715E"/>
    <w:rsid w:val="000E7173"/>
    <w:rsid w:val="000E717E"/>
    <w:rsid w:val="000E719F"/>
    <w:rsid w:val="000E71A0"/>
    <w:rsid w:val="000E72AB"/>
    <w:rsid w:val="000E72D7"/>
    <w:rsid w:val="000E72E1"/>
    <w:rsid w:val="000E733F"/>
    <w:rsid w:val="000E7341"/>
    <w:rsid w:val="000E7393"/>
    <w:rsid w:val="000E73E6"/>
    <w:rsid w:val="000E73F0"/>
    <w:rsid w:val="000E73FC"/>
    <w:rsid w:val="000E740D"/>
    <w:rsid w:val="000E7495"/>
    <w:rsid w:val="000E74EA"/>
    <w:rsid w:val="000E7510"/>
    <w:rsid w:val="000E7551"/>
    <w:rsid w:val="000E75A9"/>
    <w:rsid w:val="000E7665"/>
    <w:rsid w:val="000E7686"/>
    <w:rsid w:val="000E7690"/>
    <w:rsid w:val="000E76A0"/>
    <w:rsid w:val="000E76AE"/>
    <w:rsid w:val="000E770B"/>
    <w:rsid w:val="000E774B"/>
    <w:rsid w:val="000E7799"/>
    <w:rsid w:val="000E77D9"/>
    <w:rsid w:val="000E77FF"/>
    <w:rsid w:val="000E782C"/>
    <w:rsid w:val="000E784F"/>
    <w:rsid w:val="000E78AD"/>
    <w:rsid w:val="000E7908"/>
    <w:rsid w:val="000E7952"/>
    <w:rsid w:val="000E7984"/>
    <w:rsid w:val="000E79A9"/>
    <w:rsid w:val="000E79B8"/>
    <w:rsid w:val="000E7A57"/>
    <w:rsid w:val="000E7A85"/>
    <w:rsid w:val="000E7AC2"/>
    <w:rsid w:val="000E7AE2"/>
    <w:rsid w:val="000E7AF2"/>
    <w:rsid w:val="000E7B7E"/>
    <w:rsid w:val="000E7B98"/>
    <w:rsid w:val="000E7BB1"/>
    <w:rsid w:val="000E7C0B"/>
    <w:rsid w:val="000E7C0C"/>
    <w:rsid w:val="000E7C6A"/>
    <w:rsid w:val="000E7C71"/>
    <w:rsid w:val="000E7C84"/>
    <w:rsid w:val="000E7C89"/>
    <w:rsid w:val="000E7C99"/>
    <w:rsid w:val="000E7CBB"/>
    <w:rsid w:val="000E7CCE"/>
    <w:rsid w:val="000E7CED"/>
    <w:rsid w:val="000E7D4C"/>
    <w:rsid w:val="000E7D5E"/>
    <w:rsid w:val="000E7DA3"/>
    <w:rsid w:val="000E7E1E"/>
    <w:rsid w:val="000E7E43"/>
    <w:rsid w:val="000E7EDF"/>
    <w:rsid w:val="000E7EEB"/>
    <w:rsid w:val="000E7F15"/>
    <w:rsid w:val="000E7F17"/>
    <w:rsid w:val="000E7F4A"/>
    <w:rsid w:val="000E7F65"/>
    <w:rsid w:val="000E7F80"/>
    <w:rsid w:val="000E7FA7"/>
    <w:rsid w:val="000F0008"/>
    <w:rsid w:val="000F0027"/>
    <w:rsid w:val="000F002C"/>
    <w:rsid w:val="000F0042"/>
    <w:rsid w:val="000F005C"/>
    <w:rsid w:val="000F0062"/>
    <w:rsid w:val="000F0068"/>
    <w:rsid w:val="000F0081"/>
    <w:rsid w:val="000F0094"/>
    <w:rsid w:val="000F009F"/>
    <w:rsid w:val="000F00A1"/>
    <w:rsid w:val="000F00B6"/>
    <w:rsid w:val="000F00E4"/>
    <w:rsid w:val="000F00E8"/>
    <w:rsid w:val="000F0101"/>
    <w:rsid w:val="000F0141"/>
    <w:rsid w:val="000F0194"/>
    <w:rsid w:val="000F01C5"/>
    <w:rsid w:val="000F01C6"/>
    <w:rsid w:val="000F01E8"/>
    <w:rsid w:val="000F0238"/>
    <w:rsid w:val="000F0293"/>
    <w:rsid w:val="000F02FC"/>
    <w:rsid w:val="000F035A"/>
    <w:rsid w:val="000F0377"/>
    <w:rsid w:val="000F0378"/>
    <w:rsid w:val="000F0396"/>
    <w:rsid w:val="000F03E1"/>
    <w:rsid w:val="000F03E2"/>
    <w:rsid w:val="000F03F8"/>
    <w:rsid w:val="000F0420"/>
    <w:rsid w:val="000F0434"/>
    <w:rsid w:val="000F04BB"/>
    <w:rsid w:val="000F0527"/>
    <w:rsid w:val="000F05AE"/>
    <w:rsid w:val="000F05ED"/>
    <w:rsid w:val="000F061A"/>
    <w:rsid w:val="000F0634"/>
    <w:rsid w:val="000F064E"/>
    <w:rsid w:val="000F0665"/>
    <w:rsid w:val="000F068F"/>
    <w:rsid w:val="000F06A3"/>
    <w:rsid w:val="000F06C0"/>
    <w:rsid w:val="000F06D2"/>
    <w:rsid w:val="000F06ED"/>
    <w:rsid w:val="000F07A2"/>
    <w:rsid w:val="000F07AD"/>
    <w:rsid w:val="000F0812"/>
    <w:rsid w:val="000F08A8"/>
    <w:rsid w:val="000F08AE"/>
    <w:rsid w:val="000F0910"/>
    <w:rsid w:val="000F0920"/>
    <w:rsid w:val="000F0971"/>
    <w:rsid w:val="000F0983"/>
    <w:rsid w:val="000F0994"/>
    <w:rsid w:val="000F0A27"/>
    <w:rsid w:val="000F0A69"/>
    <w:rsid w:val="000F0AFC"/>
    <w:rsid w:val="000F0B1A"/>
    <w:rsid w:val="000F0B1C"/>
    <w:rsid w:val="000F0B49"/>
    <w:rsid w:val="000F0B56"/>
    <w:rsid w:val="000F0B6A"/>
    <w:rsid w:val="000F0BC3"/>
    <w:rsid w:val="000F0C2C"/>
    <w:rsid w:val="000F0C37"/>
    <w:rsid w:val="000F0C7D"/>
    <w:rsid w:val="000F0C90"/>
    <w:rsid w:val="000F0CD9"/>
    <w:rsid w:val="000F0CFB"/>
    <w:rsid w:val="000F0D1C"/>
    <w:rsid w:val="000F0D48"/>
    <w:rsid w:val="000F0D6B"/>
    <w:rsid w:val="000F0E19"/>
    <w:rsid w:val="000F0E27"/>
    <w:rsid w:val="000F0E29"/>
    <w:rsid w:val="000F0E85"/>
    <w:rsid w:val="000F0E8C"/>
    <w:rsid w:val="000F0EBC"/>
    <w:rsid w:val="000F0F35"/>
    <w:rsid w:val="000F0F3F"/>
    <w:rsid w:val="000F0F59"/>
    <w:rsid w:val="000F0F93"/>
    <w:rsid w:val="000F0FAB"/>
    <w:rsid w:val="000F0FCA"/>
    <w:rsid w:val="000F0FE5"/>
    <w:rsid w:val="000F0FEF"/>
    <w:rsid w:val="000F1023"/>
    <w:rsid w:val="000F1155"/>
    <w:rsid w:val="000F119E"/>
    <w:rsid w:val="000F11A8"/>
    <w:rsid w:val="000F1210"/>
    <w:rsid w:val="000F1220"/>
    <w:rsid w:val="000F122B"/>
    <w:rsid w:val="000F123D"/>
    <w:rsid w:val="000F1251"/>
    <w:rsid w:val="000F1252"/>
    <w:rsid w:val="000F12B5"/>
    <w:rsid w:val="000F12D5"/>
    <w:rsid w:val="000F12ED"/>
    <w:rsid w:val="000F12FE"/>
    <w:rsid w:val="000F1301"/>
    <w:rsid w:val="000F130A"/>
    <w:rsid w:val="000F1314"/>
    <w:rsid w:val="000F13A9"/>
    <w:rsid w:val="000F13BD"/>
    <w:rsid w:val="000F142D"/>
    <w:rsid w:val="000F147D"/>
    <w:rsid w:val="000F148D"/>
    <w:rsid w:val="000F149B"/>
    <w:rsid w:val="000F14F1"/>
    <w:rsid w:val="000F1525"/>
    <w:rsid w:val="000F1567"/>
    <w:rsid w:val="000F1584"/>
    <w:rsid w:val="000F1589"/>
    <w:rsid w:val="000F15FE"/>
    <w:rsid w:val="000F160B"/>
    <w:rsid w:val="000F16A1"/>
    <w:rsid w:val="000F16A8"/>
    <w:rsid w:val="000F16C2"/>
    <w:rsid w:val="000F16E4"/>
    <w:rsid w:val="000F16EB"/>
    <w:rsid w:val="000F16FB"/>
    <w:rsid w:val="000F171A"/>
    <w:rsid w:val="000F172D"/>
    <w:rsid w:val="000F1740"/>
    <w:rsid w:val="000F1757"/>
    <w:rsid w:val="000F1760"/>
    <w:rsid w:val="000F1783"/>
    <w:rsid w:val="000F17C9"/>
    <w:rsid w:val="000F17F0"/>
    <w:rsid w:val="000F185C"/>
    <w:rsid w:val="000F186D"/>
    <w:rsid w:val="000F1872"/>
    <w:rsid w:val="000F18A9"/>
    <w:rsid w:val="000F18AB"/>
    <w:rsid w:val="000F18B2"/>
    <w:rsid w:val="000F1919"/>
    <w:rsid w:val="000F198C"/>
    <w:rsid w:val="000F19C8"/>
    <w:rsid w:val="000F1A04"/>
    <w:rsid w:val="000F1A9B"/>
    <w:rsid w:val="000F1AD1"/>
    <w:rsid w:val="000F1AD5"/>
    <w:rsid w:val="000F1C07"/>
    <w:rsid w:val="000F1C99"/>
    <w:rsid w:val="000F1D7D"/>
    <w:rsid w:val="000F1D7E"/>
    <w:rsid w:val="000F1DF5"/>
    <w:rsid w:val="000F1E02"/>
    <w:rsid w:val="000F1E28"/>
    <w:rsid w:val="000F1E71"/>
    <w:rsid w:val="000F1E84"/>
    <w:rsid w:val="000F1EE4"/>
    <w:rsid w:val="000F200E"/>
    <w:rsid w:val="000F2011"/>
    <w:rsid w:val="000F2066"/>
    <w:rsid w:val="000F2070"/>
    <w:rsid w:val="000F20E6"/>
    <w:rsid w:val="000F213B"/>
    <w:rsid w:val="000F214F"/>
    <w:rsid w:val="000F2154"/>
    <w:rsid w:val="000F21BF"/>
    <w:rsid w:val="000F2204"/>
    <w:rsid w:val="000F2300"/>
    <w:rsid w:val="000F2324"/>
    <w:rsid w:val="000F2329"/>
    <w:rsid w:val="000F2364"/>
    <w:rsid w:val="000F23D9"/>
    <w:rsid w:val="000F23E1"/>
    <w:rsid w:val="000F23E3"/>
    <w:rsid w:val="000F240D"/>
    <w:rsid w:val="000F241D"/>
    <w:rsid w:val="000F2466"/>
    <w:rsid w:val="000F24A3"/>
    <w:rsid w:val="000F24A4"/>
    <w:rsid w:val="000F24FA"/>
    <w:rsid w:val="000F2517"/>
    <w:rsid w:val="000F2589"/>
    <w:rsid w:val="000F25DF"/>
    <w:rsid w:val="000F25E1"/>
    <w:rsid w:val="000F25EA"/>
    <w:rsid w:val="000F25EB"/>
    <w:rsid w:val="000F26A3"/>
    <w:rsid w:val="000F27D0"/>
    <w:rsid w:val="000F287F"/>
    <w:rsid w:val="000F2885"/>
    <w:rsid w:val="000F2896"/>
    <w:rsid w:val="000F289A"/>
    <w:rsid w:val="000F28F3"/>
    <w:rsid w:val="000F2920"/>
    <w:rsid w:val="000F2968"/>
    <w:rsid w:val="000F2986"/>
    <w:rsid w:val="000F29C3"/>
    <w:rsid w:val="000F29F6"/>
    <w:rsid w:val="000F2A27"/>
    <w:rsid w:val="000F2A60"/>
    <w:rsid w:val="000F2B30"/>
    <w:rsid w:val="000F2B66"/>
    <w:rsid w:val="000F2B9E"/>
    <w:rsid w:val="000F2BA1"/>
    <w:rsid w:val="000F2C95"/>
    <w:rsid w:val="000F2CA2"/>
    <w:rsid w:val="000F2CC3"/>
    <w:rsid w:val="000F2CD5"/>
    <w:rsid w:val="000F2D03"/>
    <w:rsid w:val="000F2D2B"/>
    <w:rsid w:val="000F2D76"/>
    <w:rsid w:val="000F2DA0"/>
    <w:rsid w:val="000F2DD5"/>
    <w:rsid w:val="000F2E04"/>
    <w:rsid w:val="000F2E4C"/>
    <w:rsid w:val="000F2E6B"/>
    <w:rsid w:val="000F2E81"/>
    <w:rsid w:val="000F2FDD"/>
    <w:rsid w:val="000F2FEB"/>
    <w:rsid w:val="000F3069"/>
    <w:rsid w:val="000F3072"/>
    <w:rsid w:val="000F313C"/>
    <w:rsid w:val="000F315A"/>
    <w:rsid w:val="000F3167"/>
    <w:rsid w:val="000F3182"/>
    <w:rsid w:val="000F31C5"/>
    <w:rsid w:val="000F31C9"/>
    <w:rsid w:val="000F31DC"/>
    <w:rsid w:val="000F320F"/>
    <w:rsid w:val="000F3227"/>
    <w:rsid w:val="000F3250"/>
    <w:rsid w:val="000F326E"/>
    <w:rsid w:val="000F327D"/>
    <w:rsid w:val="000F32AE"/>
    <w:rsid w:val="000F32B6"/>
    <w:rsid w:val="000F3323"/>
    <w:rsid w:val="000F3351"/>
    <w:rsid w:val="000F3369"/>
    <w:rsid w:val="000F3381"/>
    <w:rsid w:val="000F3392"/>
    <w:rsid w:val="000F33D0"/>
    <w:rsid w:val="000F3410"/>
    <w:rsid w:val="000F3419"/>
    <w:rsid w:val="000F3426"/>
    <w:rsid w:val="000F342C"/>
    <w:rsid w:val="000F344F"/>
    <w:rsid w:val="000F3472"/>
    <w:rsid w:val="000F34DF"/>
    <w:rsid w:val="000F350F"/>
    <w:rsid w:val="000F3622"/>
    <w:rsid w:val="000F364D"/>
    <w:rsid w:val="000F3659"/>
    <w:rsid w:val="000F36FC"/>
    <w:rsid w:val="000F36FF"/>
    <w:rsid w:val="000F3700"/>
    <w:rsid w:val="000F3736"/>
    <w:rsid w:val="000F3816"/>
    <w:rsid w:val="000F3821"/>
    <w:rsid w:val="000F3829"/>
    <w:rsid w:val="000F3893"/>
    <w:rsid w:val="000F3907"/>
    <w:rsid w:val="000F3913"/>
    <w:rsid w:val="000F3991"/>
    <w:rsid w:val="000F3995"/>
    <w:rsid w:val="000F39E8"/>
    <w:rsid w:val="000F3A07"/>
    <w:rsid w:val="000F3A0B"/>
    <w:rsid w:val="000F3A3F"/>
    <w:rsid w:val="000F3A6B"/>
    <w:rsid w:val="000F3ACC"/>
    <w:rsid w:val="000F3ADD"/>
    <w:rsid w:val="000F3B15"/>
    <w:rsid w:val="000F3B68"/>
    <w:rsid w:val="000F3BCA"/>
    <w:rsid w:val="000F3BCE"/>
    <w:rsid w:val="000F3C07"/>
    <w:rsid w:val="000F3C1C"/>
    <w:rsid w:val="000F3C4B"/>
    <w:rsid w:val="000F3CA5"/>
    <w:rsid w:val="000F3CB4"/>
    <w:rsid w:val="000F3CDC"/>
    <w:rsid w:val="000F3D32"/>
    <w:rsid w:val="000F3D63"/>
    <w:rsid w:val="000F3D9E"/>
    <w:rsid w:val="000F3DA7"/>
    <w:rsid w:val="000F3DD2"/>
    <w:rsid w:val="000F3DF9"/>
    <w:rsid w:val="000F3E16"/>
    <w:rsid w:val="000F3E83"/>
    <w:rsid w:val="000F3EA0"/>
    <w:rsid w:val="000F3EC0"/>
    <w:rsid w:val="000F3F22"/>
    <w:rsid w:val="000F3F49"/>
    <w:rsid w:val="000F3FBC"/>
    <w:rsid w:val="000F3FE3"/>
    <w:rsid w:val="000F3FEA"/>
    <w:rsid w:val="000F4017"/>
    <w:rsid w:val="000F40D3"/>
    <w:rsid w:val="000F4104"/>
    <w:rsid w:val="000F413C"/>
    <w:rsid w:val="000F4143"/>
    <w:rsid w:val="000F415B"/>
    <w:rsid w:val="000F415F"/>
    <w:rsid w:val="000F42C7"/>
    <w:rsid w:val="000F42FD"/>
    <w:rsid w:val="000F430C"/>
    <w:rsid w:val="000F4317"/>
    <w:rsid w:val="000F431D"/>
    <w:rsid w:val="000F4380"/>
    <w:rsid w:val="000F4386"/>
    <w:rsid w:val="000F43DB"/>
    <w:rsid w:val="000F43E6"/>
    <w:rsid w:val="000F4400"/>
    <w:rsid w:val="000F4401"/>
    <w:rsid w:val="000F4431"/>
    <w:rsid w:val="000F44C8"/>
    <w:rsid w:val="000F453B"/>
    <w:rsid w:val="000F457B"/>
    <w:rsid w:val="000F4594"/>
    <w:rsid w:val="000F45FA"/>
    <w:rsid w:val="000F4619"/>
    <w:rsid w:val="000F466C"/>
    <w:rsid w:val="000F4725"/>
    <w:rsid w:val="000F472E"/>
    <w:rsid w:val="000F473A"/>
    <w:rsid w:val="000F47D6"/>
    <w:rsid w:val="000F4809"/>
    <w:rsid w:val="000F4843"/>
    <w:rsid w:val="000F4848"/>
    <w:rsid w:val="000F4849"/>
    <w:rsid w:val="000F48B8"/>
    <w:rsid w:val="000F48BE"/>
    <w:rsid w:val="000F48EA"/>
    <w:rsid w:val="000F48EF"/>
    <w:rsid w:val="000F4910"/>
    <w:rsid w:val="000F4959"/>
    <w:rsid w:val="000F4978"/>
    <w:rsid w:val="000F49DC"/>
    <w:rsid w:val="000F49FA"/>
    <w:rsid w:val="000F4A3F"/>
    <w:rsid w:val="000F4A81"/>
    <w:rsid w:val="000F4AD7"/>
    <w:rsid w:val="000F4B0D"/>
    <w:rsid w:val="000F4B79"/>
    <w:rsid w:val="000F4B85"/>
    <w:rsid w:val="000F4BBD"/>
    <w:rsid w:val="000F4BDB"/>
    <w:rsid w:val="000F4C17"/>
    <w:rsid w:val="000F4C2E"/>
    <w:rsid w:val="000F4CC1"/>
    <w:rsid w:val="000F4CE2"/>
    <w:rsid w:val="000F4CF1"/>
    <w:rsid w:val="000F4D1F"/>
    <w:rsid w:val="000F4D29"/>
    <w:rsid w:val="000F4D2A"/>
    <w:rsid w:val="000F4D78"/>
    <w:rsid w:val="000F4DEE"/>
    <w:rsid w:val="000F4E18"/>
    <w:rsid w:val="000F4E76"/>
    <w:rsid w:val="000F4EA5"/>
    <w:rsid w:val="000F4EB8"/>
    <w:rsid w:val="000F4EE3"/>
    <w:rsid w:val="000F4EEA"/>
    <w:rsid w:val="000F4EF7"/>
    <w:rsid w:val="000F4F22"/>
    <w:rsid w:val="000F4F4E"/>
    <w:rsid w:val="000F4F7A"/>
    <w:rsid w:val="000F4FDA"/>
    <w:rsid w:val="000F4FE3"/>
    <w:rsid w:val="000F4FE6"/>
    <w:rsid w:val="000F502E"/>
    <w:rsid w:val="000F505C"/>
    <w:rsid w:val="000F5064"/>
    <w:rsid w:val="000F509B"/>
    <w:rsid w:val="000F5140"/>
    <w:rsid w:val="000F515C"/>
    <w:rsid w:val="000F51A3"/>
    <w:rsid w:val="000F51A4"/>
    <w:rsid w:val="000F51BC"/>
    <w:rsid w:val="000F5244"/>
    <w:rsid w:val="000F5257"/>
    <w:rsid w:val="000F525E"/>
    <w:rsid w:val="000F5261"/>
    <w:rsid w:val="000F526F"/>
    <w:rsid w:val="000F52C3"/>
    <w:rsid w:val="000F52CE"/>
    <w:rsid w:val="000F52DB"/>
    <w:rsid w:val="000F52FC"/>
    <w:rsid w:val="000F52FF"/>
    <w:rsid w:val="000F5345"/>
    <w:rsid w:val="000F5346"/>
    <w:rsid w:val="000F535E"/>
    <w:rsid w:val="000F5369"/>
    <w:rsid w:val="000F53CD"/>
    <w:rsid w:val="000F53E6"/>
    <w:rsid w:val="000F541B"/>
    <w:rsid w:val="000F5426"/>
    <w:rsid w:val="000F5486"/>
    <w:rsid w:val="000F5509"/>
    <w:rsid w:val="000F550E"/>
    <w:rsid w:val="000F555C"/>
    <w:rsid w:val="000F55A0"/>
    <w:rsid w:val="000F55D0"/>
    <w:rsid w:val="000F55DB"/>
    <w:rsid w:val="000F55DF"/>
    <w:rsid w:val="000F55E7"/>
    <w:rsid w:val="000F55F5"/>
    <w:rsid w:val="000F5631"/>
    <w:rsid w:val="000F5668"/>
    <w:rsid w:val="000F572E"/>
    <w:rsid w:val="000F573F"/>
    <w:rsid w:val="000F580D"/>
    <w:rsid w:val="000F5811"/>
    <w:rsid w:val="000F581A"/>
    <w:rsid w:val="000F5850"/>
    <w:rsid w:val="000F5861"/>
    <w:rsid w:val="000F589D"/>
    <w:rsid w:val="000F58A6"/>
    <w:rsid w:val="000F58FD"/>
    <w:rsid w:val="000F5943"/>
    <w:rsid w:val="000F59DE"/>
    <w:rsid w:val="000F59E1"/>
    <w:rsid w:val="000F5A1A"/>
    <w:rsid w:val="000F5A1E"/>
    <w:rsid w:val="000F5A3E"/>
    <w:rsid w:val="000F5A6D"/>
    <w:rsid w:val="000F5B0F"/>
    <w:rsid w:val="000F5B32"/>
    <w:rsid w:val="000F5B73"/>
    <w:rsid w:val="000F5BA7"/>
    <w:rsid w:val="000F5BC5"/>
    <w:rsid w:val="000F5C00"/>
    <w:rsid w:val="000F5C58"/>
    <w:rsid w:val="000F5C8A"/>
    <w:rsid w:val="000F5C9F"/>
    <w:rsid w:val="000F5CDF"/>
    <w:rsid w:val="000F5CEE"/>
    <w:rsid w:val="000F5D0E"/>
    <w:rsid w:val="000F5D54"/>
    <w:rsid w:val="000F5D70"/>
    <w:rsid w:val="000F5D81"/>
    <w:rsid w:val="000F5DCE"/>
    <w:rsid w:val="000F5E5C"/>
    <w:rsid w:val="000F5E7B"/>
    <w:rsid w:val="000F5E94"/>
    <w:rsid w:val="000F5EB1"/>
    <w:rsid w:val="000F5EC2"/>
    <w:rsid w:val="000F5F65"/>
    <w:rsid w:val="000F5F93"/>
    <w:rsid w:val="000F5FA3"/>
    <w:rsid w:val="000F5FBA"/>
    <w:rsid w:val="000F5FEE"/>
    <w:rsid w:val="000F6015"/>
    <w:rsid w:val="000F603F"/>
    <w:rsid w:val="000F6048"/>
    <w:rsid w:val="000F6052"/>
    <w:rsid w:val="000F608E"/>
    <w:rsid w:val="000F60D3"/>
    <w:rsid w:val="000F6118"/>
    <w:rsid w:val="000F6119"/>
    <w:rsid w:val="000F617E"/>
    <w:rsid w:val="000F61E5"/>
    <w:rsid w:val="000F620A"/>
    <w:rsid w:val="000F6290"/>
    <w:rsid w:val="000F62BC"/>
    <w:rsid w:val="000F62D3"/>
    <w:rsid w:val="000F6309"/>
    <w:rsid w:val="000F6388"/>
    <w:rsid w:val="000F6392"/>
    <w:rsid w:val="000F63B2"/>
    <w:rsid w:val="000F63B3"/>
    <w:rsid w:val="000F6410"/>
    <w:rsid w:val="000F6424"/>
    <w:rsid w:val="000F6442"/>
    <w:rsid w:val="000F64A9"/>
    <w:rsid w:val="000F64EB"/>
    <w:rsid w:val="000F6535"/>
    <w:rsid w:val="000F656D"/>
    <w:rsid w:val="000F6578"/>
    <w:rsid w:val="000F657D"/>
    <w:rsid w:val="000F659C"/>
    <w:rsid w:val="000F65D6"/>
    <w:rsid w:val="000F6658"/>
    <w:rsid w:val="000F66A5"/>
    <w:rsid w:val="000F66E4"/>
    <w:rsid w:val="000F66F1"/>
    <w:rsid w:val="000F66F9"/>
    <w:rsid w:val="000F67CA"/>
    <w:rsid w:val="000F67DB"/>
    <w:rsid w:val="000F67EC"/>
    <w:rsid w:val="000F6814"/>
    <w:rsid w:val="000F6838"/>
    <w:rsid w:val="000F6850"/>
    <w:rsid w:val="000F6867"/>
    <w:rsid w:val="000F6899"/>
    <w:rsid w:val="000F68A4"/>
    <w:rsid w:val="000F68FD"/>
    <w:rsid w:val="000F6903"/>
    <w:rsid w:val="000F691B"/>
    <w:rsid w:val="000F6981"/>
    <w:rsid w:val="000F698D"/>
    <w:rsid w:val="000F69D8"/>
    <w:rsid w:val="000F6A52"/>
    <w:rsid w:val="000F6A57"/>
    <w:rsid w:val="000F6A97"/>
    <w:rsid w:val="000F6A9E"/>
    <w:rsid w:val="000F6B12"/>
    <w:rsid w:val="000F6B36"/>
    <w:rsid w:val="000F6B4D"/>
    <w:rsid w:val="000F6B57"/>
    <w:rsid w:val="000F6BAE"/>
    <w:rsid w:val="000F6BE4"/>
    <w:rsid w:val="000F6C5F"/>
    <w:rsid w:val="000F6C97"/>
    <w:rsid w:val="000F6CD4"/>
    <w:rsid w:val="000F6CDB"/>
    <w:rsid w:val="000F6D32"/>
    <w:rsid w:val="000F6D44"/>
    <w:rsid w:val="000F6D53"/>
    <w:rsid w:val="000F6D56"/>
    <w:rsid w:val="000F6D74"/>
    <w:rsid w:val="000F6D96"/>
    <w:rsid w:val="000F6DA2"/>
    <w:rsid w:val="000F6DAB"/>
    <w:rsid w:val="000F6DD6"/>
    <w:rsid w:val="000F6E24"/>
    <w:rsid w:val="000F6E5E"/>
    <w:rsid w:val="000F6FE0"/>
    <w:rsid w:val="000F6FE5"/>
    <w:rsid w:val="000F700A"/>
    <w:rsid w:val="000F7092"/>
    <w:rsid w:val="000F7179"/>
    <w:rsid w:val="000F719C"/>
    <w:rsid w:val="000F71B1"/>
    <w:rsid w:val="000F71DA"/>
    <w:rsid w:val="000F7285"/>
    <w:rsid w:val="000F72BB"/>
    <w:rsid w:val="000F72DF"/>
    <w:rsid w:val="000F733F"/>
    <w:rsid w:val="000F737E"/>
    <w:rsid w:val="000F73DB"/>
    <w:rsid w:val="000F7406"/>
    <w:rsid w:val="000F7468"/>
    <w:rsid w:val="000F7496"/>
    <w:rsid w:val="000F74A9"/>
    <w:rsid w:val="000F7503"/>
    <w:rsid w:val="000F7544"/>
    <w:rsid w:val="000F759C"/>
    <w:rsid w:val="000F75E3"/>
    <w:rsid w:val="000F760D"/>
    <w:rsid w:val="000F7612"/>
    <w:rsid w:val="000F7637"/>
    <w:rsid w:val="000F763C"/>
    <w:rsid w:val="000F7640"/>
    <w:rsid w:val="000F76FA"/>
    <w:rsid w:val="000F770D"/>
    <w:rsid w:val="000F772A"/>
    <w:rsid w:val="000F77E8"/>
    <w:rsid w:val="000F780C"/>
    <w:rsid w:val="000F7827"/>
    <w:rsid w:val="000F782F"/>
    <w:rsid w:val="000F7837"/>
    <w:rsid w:val="000F7843"/>
    <w:rsid w:val="000F7890"/>
    <w:rsid w:val="000F78A0"/>
    <w:rsid w:val="000F7925"/>
    <w:rsid w:val="000F792A"/>
    <w:rsid w:val="000F7940"/>
    <w:rsid w:val="000F7970"/>
    <w:rsid w:val="000F7989"/>
    <w:rsid w:val="000F79C5"/>
    <w:rsid w:val="000F7A43"/>
    <w:rsid w:val="000F7AA2"/>
    <w:rsid w:val="000F7AAA"/>
    <w:rsid w:val="000F7ABD"/>
    <w:rsid w:val="000F7AC9"/>
    <w:rsid w:val="000F7B42"/>
    <w:rsid w:val="000F7B53"/>
    <w:rsid w:val="000F7BBA"/>
    <w:rsid w:val="000F7BBB"/>
    <w:rsid w:val="000F7BE8"/>
    <w:rsid w:val="000F7C34"/>
    <w:rsid w:val="000F7C3B"/>
    <w:rsid w:val="000F7C77"/>
    <w:rsid w:val="000F7CFE"/>
    <w:rsid w:val="000F7DAB"/>
    <w:rsid w:val="000F7DB2"/>
    <w:rsid w:val="000F7DC0"/>
    <w:rsid w:val="000F7DEE"/>
    <w:rsid w:val="000F7DFF"/>
    <w:rsid w:val="000F7E71"/>
    <w:rsid w:val="000F7E9C"/>
    <w:rsid w:val="000F7EC5"/>
    <w:rsid w:val="000F7ECC"/>
    <w:rsid w:val="000F7EEE"/>
    <w:rsid w:val="000F7F4C"/>
    <w:rsid w:val="000F7F69"/>
    <w:rsid w:val="000F7F8F"/>
    <w:rsid w:val="000F7FB0"/>
    <w:rsid w:val="000F7FD9"/>
    <w:rsid w:val="000F7FF9"/>
    <w:rsid w:val="00100002"/>
    <w:rsid w:val="00100024"/>
    <w:rsid w:val="00100037"/>
    <w:rsid w:val="001000B6"/>
    <w:rsid w:val="001000EC"/>
    <w:rsid w:val="00100104"/>
    <w:rsid w:val="00100164"/>
    <w:rsid w:val="001001BF"/>
    <w:rsid w:val="001001D0"/>
    <w:rsid w:val="001001D3"/>
    <w:rsid w:val="001001F3"/>
    <w:rsid w:val="00100213"/>
    <w:rsid w:val="00100281"/>
    <w:rsid w:val="0010028A"/>
    <w:rsid w:val="00100296"/>
    <w:rsid w:val="001002AE"/>
    <w:rsid w:val="001002E4"/>
    <w:rsid w:val="0010033C"/>
    <w:rsid w:val="0010036D"/>
    <w:rsid w:val="00100441"/>
    <w:rsid w:val="0010046C"/>
    <w:rsid w:val="001004AC"/>
    <w:rsid w:val="0010050B"/>
    <w:rsid w:val="00100538"/>
    <w:rsid w:val="0010054C"/>
    <w:rsid w:val="00100595"/>
    <w:rsid w:val="001005A5"/>
    <w:rsid w:val="001005AB"/>
    <w:rsid w:val="001005EA"/>
    <w:rsid w:val="001005F7"/>
    <w:rsid w:val="001006B4"/>
    <w:rsid w:val="001006E2"/>
    <w:rsid w:val="001006F5"/>
    <w:rsid w:val="0010076E"/>
    <w:rsid w:val="0010078E"/>
    <w:rsid w:val="00100792"/>
    <w:rsid w:val="001007F2"/>
    <w:rsid w:val="00100825"/>
    <w:rsid w:val="00100828"/>
    <w:rsid w:val="00100836"/>
    <w:rsid w:val="0010084A"/>
    <w:rsid w:val="001008A8"/>
    <w:rsid w:val="001008AA"/>
    <w:rsid w:val="001008D1"/>
    <w:rsid w:val="0010094F"/>
    <w:rsid w:val="001009A8"/>
    <w:rsid w:val="001009AD"/>
    <w:rsid w:val="001009BB"/>
    <w:rsid w:val="001009DC"/>
    <w:rsid w:val="00100A08"/>
    <w:rsid w:val="00100A89"/>
    <w:rsid w:val="00100AA7"/>
    <w:rsid w:val="00100AF5"/>
    <w:rsid w:val="00100B1B"/>
    <w:rsid w:val="00100B26"/>
    <w:rsid w:val="00100B51"/>
    <w:rsid w:val="00100B97"/>
    <w:rsid w:val="00100BDD"/>
    <w:rsid w:val="00100BE3"/>
    <w:rsid w:val="00100C36"/>
    <w:rsid w:val="00100C55"/>
    <w:rsid w:val="00100CE7"/>
    <w:rsid w:val="00100D71"/>
    <w:rsid w:val="00100DB9"/>
    <w:rsid w:val="00100E05"/>
    <w:rsid w:val="00100EB1"/>
    <w:rsid w:val="00100EBC"/>
    <w:rsid w:val="00100F1C"/>
    <w:rsid w:val="00100F31"/>
    <w:rsid w:val="00100F40"/>
    <w:rsid w:val="00100F92"/>
    <w:rsid w:val="00100FDA"/>
    <w:rsid w:val="001010D4"/>
    <w:rsid w:val="001010DB"/>
    <w:rsid w:val="001010FE"/>
    <w:rsid w:val="00101112"/>
    <w:rsid w:val="00101115"/>
    <w:rsid w:val="00101119"/>
    <w:rsid w:val="001011E7"/>
    <w:rsid w:val="0010125D"/>
    <w:rsid w:val="00101274"/>
    <w:rsid w:val="0010130E"/>
    <w:rsid w:val="00101323"/>
    <w:rsid w:val="00101333"/>
    <w:rsid w:val="0010134E"/>
    <w:rsid w:val="00101350"/>
    <w:rsid w:val="001013B2"/>
    <w:rsid w:val="001013E7"/>
    <w:rsid w:val="00101423"/>
    <w:rsid w:val="0010147C"/>
    <w:rsid w:val="001014B7"/>
    <w:rsid w:val="001014D1"/>
    <w:rsid w:val="001014D4"/>
    <w:rsid w:val="001014F0"/>
    <w:rsid w:val="00101568"/>
    <w:rsid w:val="00101584"/>
    <w:rsid w:val="001015D9"/>
    <w:rsid w:val="0010167D"/>
    <w:rsid w:val="00101686"/>
    <w:rsid w:val="001016A2"/>
    <w:rsid w:val="001016B8"/>
    <w:rsid w:val="00101723"/>
    <w:rsid w:val="0010173C"/>
    <w:rsid w:val="00101744"/>
    <w:rsid w:val="0010176D"/>
    <w:rsid w:val="0010177C"/>
    <w:rsid w:val="001017DF"/>
    <w:rsid w:val="00101832"/>
    <w:rsid w:val="00101837"/>
    <w:rsid w:val="00101862"/>
    <w:rsid w:val="00101863"/>
    <w:rsid w:val="00101873"/>
    <w:rsid w:val="00101892"/>
    <w:rsid w:val="0010193F"/>
    <w:rsid w:val="00101A53"/>
    <w:rsid w:val="00101A77"/>
    <w:rsid w:val="00101AF8"/>
    <w:rsid w:val="00101B02"/>
    <w:rsid w:val="00101B19"/>
    <w:rsid w:val="00101B47"/>
    <w:rsid w:val="00101B51"/>
    <w:rsid w:val="00101B63"/>
    <w:rsid w:val="00101B6F"/>
    <w:rsid w:val="00101BA2"/>
    <w:rsid w:val="00101BE7"/>
    <w:rsid w:val="00101BF3"/>
    <w:rsid w:val="00101C62"/>
    <w:rsid w:val="00101CC8"/>
    <w:rsid w:val="00101CD0"/>
    <w:rsid w:val="00101D32"/>
    <w:rsid w:val="00101D36"/>
    <w:rsid w:val="00101D3A"/>
    <w:rsid w:val="00101D60"/>
    <w:rsid w:val="00101DE5"/>
    <w:rsid w:val="00101E53"/>
    <w:rsid w:val="00101E92"/>
    <w:rsid w:val="00101EC4"/>
    <w:rsid w:val="00101EC9"/>
    <w:rsid w:val="00101F07"/>
    <w:rsid w:val="00101F16"/>
    <w:rsid w:val="00101F62"/>
    <w:rsid w:val="00101F93"/>
    <w:rsid w:val="00101FAE"/>
    <w:rsid w:val="00101FC4"/>
    <w:rsid w:val="00102020"/>
    <w:rsid w:val="00102064"/>
    <w:rsid w:val="001020C1"/>
    <w:rsid w:val="00102109"/>
    <w:rsid w:val="001021C4"/>
    <w:rsid w:val="001021D3"/>
    <w:rsid w:val="0010220F"/>
    <w:rsid w:val="0010221E"/>
    <w:rsid w:val="00102264"/>
    <w:rsid w:val="00102334"/>
    <w:rsid w:val="0010236A"/>
    <w:rsid w:val="001023C4"/>
    <w:rsid w:val="00102449"/>
    <w:rsid w:val="00102499"/>
    <w:rsid w:val="001024A1"/>
    <w:rsid w:val="001024FB"/>
    <w:rsid w:val="00102503"/>
    <w:rsid w:val="00102568"/>
    <w:rsid w:val="00102571"/>
    <w:rsid w:val="00102582"/>
    <w:rsid w:val="0010258C"/>
    <w:rsid w:val="001025BF"/>
    <w:rsid w:val="00102627"/>
    <w:rsid w:val="00102658"/>
    <w:rsid w:val="0010269D"/>
    <w:rsid w:val="0010270F"/>
    <w:rsid w:val="00102736"/>
    <w:rsid w:val="00102814"/>
    <w:rsid w:val="00102834"/>
    <w:rsid w:val="001028A9"/>
    <w:rsid w:val="001028DB"/>
    <w:rsid w:val="001028EE"/>
    <w:rsid w:val="00102930"/>
    <w:rsid w:val="0010298C"/>
    <w:rsid w:val="001029DD"/>
    <w:rsid w:val="00102A29"/>
    <w:rsid w:val="00102A34"/>
    <w:rsid w:val="00102A60"/>
    <w:rsid w:val="00102A63"/>
    <w:rsid w:val="00102AE5"/>
    <w:rsid w:val="00102AF3"/>
    <w:rsid w:val="00102B7F"/>
    <w:rsid w:val="00102BC1"/>
    <w:rsid w:val="00102BD0"/>
    <w:rsid w:val="00102BEF"/>
    <w:rsid w:val="00102C44"/>
    <w:rsid w:val="00102CCA"/>
    <w:rsid w:val="00102D08"/>
    <w:rsid w:val="00102D11"/>
    <w:rsid w:val="00102D1B"/>
    <w:rsid w:val="00102D30"/>
    <w:rsid w:val="00102E6E"/>
    <w:rsid w:val="00102E96"/>
    <w:rsid w:val="00102EDF"/>
    <w:rsid w:val="00102EE8"/>
    <w:rsid w:val="00102EF4"/>
    <w:rsid w:val="00102F0B"/>
    <w:rsid w:val="00102F19"/>
    <w:rsid w:val="00102F4B"/>
    <w:rsid w:val="00102FD6"/>
    <w:rsid w:val="00102FE4"/>
    <w:rsid w:val="00102FF2"/>
    <w:rsid w:val="00103040"/>
    <w:rsid w:val="0010304A"/>
    <w:rsid w:val="0010308C"/>
    <w:rsid w:val="00103099"/>
    <w:rsid w:val="001030A7"/>
    <w:rsid w:val="001030C4"/>
    <w:rsid w:val="001030E8"/>
    <w:rsid w:val="0010315D"/>
    <w:rsid w:val="00103161"/>
    <w:rsid w:val="0010317C"/>
    <w:rsid w:val="0010319B"/>
    <w:rsid w:val="00103211"/>
    <w:rsid w:val="00103218"/>
    <w:rsid w:val="0010321F"/>
    <w:rsid w:val="00103247"/>
    <w:rsid w:val="0010324D"/>
    <w:rsid w:val="00103266"/>
    <w:rsid w:val="0010330E"/>
    <w:rsid w:val="00103389"/>
    <w:rsid w:val="001033C3"/>
    <w:rsid w:val="001033C8"/>
    <w:rsid w:val="001033D4"/>
    <w:rsid w:val="001033ED"/>
    <w:rsid w:val="00103411"/>
    <w:rsid w:val="00103459"/>
    <w:rsid w:val="00103463"/>
    <w:rsid w:val="00103489"/>
    <w:rsid w:val="001034B4"/>
    <w:rsid w:val="00103523"/>
    <w:rsid w:val="00103533"/>
    <w:rsid w:val="00103562"/>
    <w:rsid w:val="001035A8"/>
    <w:rsid w:val="0010360E"/>
    <w:rsid w:val="00103666"/>
    <w:rsid w:val="0010368A"/>
    <w:rsid w:val="001036AD"/>
    <w:rsid w:val="001036D5"/>
    <w:rsid w:val="00103736"/>
    <w:rsid w:val="0010376A"/>
    <w:rsid w:val="0010379B"/>
    <w:rsid w:val="001037BE"/>
    <w:rsid w:val="001037C8"/>
    <w:rsid w:val="001037EB"/>
    <w:rsid w:val="0010381F"/>
    <w:rsid w:val="001038A0"/>
    <w:rsid w:val="001038A1"/>
    <w:rsid w:val="001038F2"/>
    <w:rsid w:val="00103904"/>
    <w:rsid w:val="00103905"/>
    <w:rsid w:val="001039B6"/>
    <w:rsid w:val="00103A08"/>
    <w:rsid w:val="00103A0C"/>
    <w:rsid w:val="00103A12"/>
    <w:rsid w:val="00103A4F"/>
    <w:rsid w:val="00103AE0"/>
    <w:rsid w:val="00103B1E"/>
    <w:rsid w:val="00103B29"/>
    <w:rsid w:val="00103B32"/>
    <w:rsid w:val="00103B57"/>
    <w:rsid w:val="00103B77"/>
    <w:rsid w:val="00103C42"/>
    <w:rsid w:val="00103C45"/>
    <w:rsid w:val="00103C6F"/>
    <w:rsid w:val="00103CAA"/>
    <w:rsid w:val="00103CBA"/>
    <w:rsid w:val="00103D10"/>
    <w:rsid w:val="00103D11"/>
    <w:rsid w:val="00103D34"/>
    <w:rsid w:val="00103D51"/>
    <w:rsid w:val="00103D6F"/>
    <w:rsid w:val="00103E28"/>
    <w:rsid w:val="00103E35"/>
    <w:rsid w:val="00103E49"/>
    <w:rsid w:val="00103E55"/>
    <w:rsid w:val="00103EDE"/>
    <w:rsid w:val="00103F5F"/>
    <w:rsid w:val="00103F63"/>
    <w:rsid w:val="00103F67"/>
    <w:rsid w:val="00103F80"/>
    <w:rsid w:val="00103FB3"/>
    <w:rsid w:val="00103FDA"/>
    <w:rsid w:val="00103FEA"/>
    <w:rsid w:val="00103FF6"/>
    <w:rsid w:val="0010401A"/>
    <w:rsid w:val="0010408E"/>
    <w:rsid w:val="001040BA"/>
    <w:rsid w:val="001040D2"/>
    <w:rsid w:val="001040EE"/>
    <w:rsid w:val="00104149"/>
    <w:rsid w:val="0010415A"/>
    <w:rsid w:val="00104176"/>
    <w:rsid w:val="00104192"/>
    <w:rsid w:val="001041A2"/>
    <w:rsid w:val="001041B8"/>
    <w:rsid w:val="001041C1"/>
    <w:rsid w:val="001041DC"/>
    <w:rsid w:val="00104215"/>
    <w:rsid w:val="0010421E"/>
    <w:rsid w:val="00104239"/>
    <w:rsid w:val="00104244"/>
    <w:rsid w:val="0010424C"/>
    <w:rsid w:val="0010426F"/>
    <w:rsid w:val="001042DD"/>
    <w:rsid w:val="001042DE"/>
    <w:rsid w:val="001042E2"/>
    <w:rsid w:val="0010433D"/>
    <w:rsid w:val="0010434B"/>
    <w:rsid w:val="0010434D"/>
    <w:rsid w:val="0010437F"/>
    <w:rsid w:val="001043A2"/>
    <w:rsid w:val="001043DE"/>
    <w:rsid w:val="00104437"/>
    <w:rsid w:val="00104478"/>
    <w:rsid w:val="001044E7"/>
    <w:rsid w:val="001044F0"/>
    <w:rsid w:val="00104556"/>
    <w:rsid w:val="00104596"/>
    <w:rsid w:val="0010459F"/>
    <w:rsid w:val="001045E7"/>
    <w:rsid w:val="001045F6"/>
    <w:rsid w:val="00104600"/>
    <w:rsid w:val="00104612"/>
    <w:rsid w:val="0010461C"/>
    <w:rsid w:val="00104647"/>
    <w:rsid w:val="001046AF"/>
    <w:rsid w:val="001046C3"/>
    <w:rsid w:val="001046F2"/>
    <w:rsid w:val="0010478E"/>
    <w:rsid w:val="0010478F"/>
    <w:rsid w:val="001047CD"/>
    <w:rsid w:val="00104818"/>
    <w:rsid w:val="00104852"/>
    <w:rsid w:val="00104949"/>
    <w:rsid w:val="00104982"/>
    <w:rsid w:val="00104994"/>
    <w:rsid w:val="00104A93"/>
    <w:rsid w:val="00104AC3"/>
    <w:rsid w:val="00104B1B"/>
    <w:rsid w:val="00104B27"/>
    <w:rsid w:val="00104B4B"/>
    <w:rsid w:val="00104BB4"/>
    <w:rsid w:val="00104BCC"/>
    <w:rsid w:val="00104BF2"/>
    <w:rsid w:val="00104C06"/>
    <w:rsid w:val="00104C30"/>
    <w:rsid w:val="00104C81"/>
    <w:rsid w:val="00104C85"/>
    <w:rsid w:val="00104CEB"/>
    <w:rsid w:val="00104D06"/>
    <w:rsid w:val="00104D18"/>
    <w:rsid w:val="00104DAA"/>
    <w:rsid w:val="00104DB7"/>
    <w:rsid w:val="00104DE4"/>
    <w:rsid w:val="00104E18"/>
    <w:rsid w:val="00104E19"/>
    <w:rsid w:val="00104E54"/>
    <w:rsid w:val="00104E5F"/>
    <w:rsid w:val="00104E84"/>
    <w:rsid w:val="00104EC8"/>
    <w:rsid w:val="00104EE8"/>
    <w:rsid w:val="00104EEC"/>
    <w:rsid w:val="00104F02"/>
    <w:rsid w:val="00104F5A"/>
    <w:rsid w:val="00104F66"/>
    <w:rsid w:val="00104F6C"/>
    <w:rsid w:val="00104F6F"/>
    <w:rsid w:val="00104FA0"/>
    <w:rsid w:val="00104FDA"/>
    <w:rsid w:val="00104FF5"/>
    <w:rsid w:val="00105019"/>
    <w:rsid w:val="00105042"/>
    <w:rsid w:val="0010506E"/>
    <w:rsid w:val="001050B6"/>
    <w:rsid w:val="001050D0"/>
    <w:rsid w:val="001050D3"/>
    <w:rsid w:val="001050F3"/>
    <w:rsid w:val="00105105"/>
    <w:rsid w:val="00105146"/>
    <w:rsid w:val="00105178"/>
    <w:rsid w:val="0010524C"/>
    <w:rsid w:val="0010526E"/>
    <w:rsid w:val="00105290"/>
    <w:rsid w:val="001052C6"/>
    <w:rsid w:val="001052F3"/>
    <w:rsid w:val="00105369"/>
    <w:rsid w:val="001053DB"/>
    <w:rsid w:val="001053E6"/>
    <w:rsid w:val="0010542D"/>
    <w:rsid w:val="0010544D"/>
    <w:rsid w:val="00105451"/>
    <w:rsid w:val="0010545A"/>
    <w:rsid w:val="0010546E"/>
    <w:rsid w:val="001054DE"/>
    <w:rsid w:val="001054EC"/>
    <w:rsid w:val="00105502"/>
    <w:rsid w:val="0010559D"/>
    <w:rsid w:val="001055A2"/>
    <w:rsid w:val="001055D4"/>
    <w:rsid w:val="001055FD"/>
    <w:rsid w:val="0010568C"/>
    <w:rsid w:val="0010574F"/>
    <w:rsid w:val="00105772"/>
    <w:rsid w:val="00105784"/>
    <w:rsid w:val="001057B3"/>
    <w:rsid w:val="001057D0"/>
    <w:rsid w:val="001057DE"/>
    <w:rsid w:val="001057F4"/>
    <w:rsid w:val="00105809"/>
    <w:rsid w:val="00105855"/>
    <w:rsid w:val="0010585C"/>
    <w:rsid w:val="00105887"/>
    <w:rsid w:val="001058C4"/>
    <w:rsid w:val="001058E5"/>
    <w:rsid w:val="0010593E"/>
    <w:rsid w:val="0010594A"/>
    <w:rsid w:val="0010595E"/>
    <w:rsid w:val="00105A55"/>
    <w:rsid w:val="00105A71"/>
    <w:rsid w:val="00105B2A"/>
    <w:rsid w:val="00105B39"/>
    <w:rsid w:val="00105B53"/>
    <w:rsid w:val="00105B5D"/>
    <w:rsid w:val="00105B63"/>
    <w:rsid w:val="00105BB9"/>
    <w:rsid w:val="00105C0B"/>
    <w:rsid w:val="00105CCD"/>
    <w:rsid w:val="00105D54"/>
    <w:rsid w:val="00105D59"/>
    <w:rsid w:val="00105D66"/>
    <w:rsid w:val="00105D75"/>
    <w:rsid w:val="00105DA4"/>
    <w:rsid w:val="00105DCA"/>
    <w:rsid w:val="00105DCD"/>
    <w:rsid w:val="00105DD0"/>
    <w:rsid w:val="00105E33"/>
    <w:rsid w:val="00105E65"/>
    <w:rsid w:val="00105E8A"/>
    <w:rsid w:val="00105E93"/>
    <w:rsid w:val="00105EF8"/>
    <w:rsid w:val="00105F30"/>
    <w:rsid w:val="00105F4A"/>
    <w:rsid w:val="00105F50"/>
    <w:rsid w:val="00105F5B"/>
    <w:rsid w:val="00105FB1"/>
    <w:rsid w:val="00105FC7"/>
    <w:rsid w:val="00105FEC"/>
    <w:rsid w:val="0010604E"/>
    <w:rsid w:val="0010606E"/>
    <w:rsid w:val="001060B0"/>
    <w:rsid w:val="001060FD"/>
    <w:rsid w:val="00106103"/>
    <w:rsid w:val="0010610A"/>
    <w:rsid w:val="00106175"/>
    <w:rsid w:val="001061A0"/>
    <w:rsid w:val="001061A7"/>
    <w:rsid w:val="001061AD"/>
    <w:rsid w:val="001061FB"/>
    <w:rsid w:val="00106215"/>
    <w:rsid w:val="0010622C"/>
    <w:rsid w:val="0010623E"/>
    <w:rsid w:val="00106299"/>
    <w:rsid w:val="001062A1"/>
    <w:rsid w:val="00106313"/>
    <w:rsid w:val="001063D6"/>
    <w:rsid w:val="0010641C"/>
    <w:rsid w:val="00106459"/>
    <w:rsid w:val="00106464"/>
    <w:rsid w:val="001064A6"/>
    <w:rsid w:val="001064AA"/>
    <w:rsid w:val="001064B5"/>
    <w:rsid w:val="001064D9"/>
    <w:rsid w:val="00106504"/>
    <w:rsid w:val="0010650D"/>
    <w:rsid w:val="00106586"/>
    <w:rsid w:val="001065D1"/>
    <w:rsid w:val="0010662F"/>
    <w:rsid w:val="00106647"/>
    <w:rsid w:val="00106680"/>
    <w:rsid w:val="0010669B"/>
    <w:rsid w:val="00106758"/>
    <w:rsid w:val="001067B8"/>
    <w:rsid w:val="00106815"/>
    <w:rsid w:val="00106846"/>
    <w:rsid w:val="0010684B"/>
    <w:rsid w:val="00106854"/>
    <w:rsid w:val="0010686B"/>
    <w:rsid w:val="00106882"/>
    <w:rsid w:val="00106894"/>
    <w:rsid w:val="00106936"/>
    <w:rsid w:val="00106959"/>
    <w:rsid w:val="00106971"/>
    <w:rsid w:val="001069AC"/>
    <w:rsid w:val="001069BC"/>
    <w:rsid w:val="001069D2"/>
    <w:rsid w:val="001069FD"/>
    <w:rsid w:val="00106A28"/>
    <w:rsid w:val="00106A62"/>
    <w:rsid w:val="00106A91"/>
    <w:rsid w:val="00106B28"/>
    <w:rsid w:val="00106B77"/>
    <w:rsid w:val="00106BC4"/>
    <w:rsid w:val="00106BDF"/>
    <w:rsid w:val="00106BFA"/>
    <w:rsid w:val="00106C35"/>
    <w:rsid w:val="00106C71"/>
    <w:rsid w:val="00106C7C"/>
    <w:rsid w:val="00106C96"/>
    <w:rsid w:val="00106CBE"/>
    <w:rsid w:val="00106CE4"/>
    <w:rsid w:val="00106D16"/>
    <w:rsid w:val="00106DD7"/>
    <w:rsid w:val="00106DE3"/>
    <w:rsid w:val="00106DE5"/>
    <w:rsid w:val="00106DE9"/>
    <w:rsid w:val="00106DF2"/>
    <w:rsid w:val="00106E32"/>
    <w:rsid w:val="00106E59"/>
    <w:rsid w:val="00106E5B"/>
    <w:rsid w:val="00106E5C"/>
    <w:rsid w:val="00106E84"/>
    <w:rsid w:val="00106EA4"/>
    <w:rsid w:val="00106EA9"/>
    <w:rsid w:val="00106EE1"/>
    <w:rsid w:val="00106F04"/>
    <w:rsid w:val="00106F34"/>
    <w:rsid w:val="00106F57"/>
    <w:rsid w:val="00106F5F"/>
    <w:rsid w:val="00107004"/>
    <w:rsid w:val="00107019"/>
    <w:rsid w:val="0010707E"/>
    <w:rsid w:val="001070DA"/>
    <w:rsid w:val="001070FF"/>
    <w:rsid w:val="00107119"/>
    <w:rsid w:val="001071E9"/>
    <w:rsid w:val="00107214"/>
    <w:rsid w:val="0010722D"/>
    <w:rsid w:val="0010723D"/>
    <w:rsid w:val="0010723F"/>
    <w:rsid w:val="00107255"/>
    <w:rsid w:val="00107260"/>
    <w:rsid w:val="00107278"/>
    <w:rsid w:val="00107288"/>
    <w:rsid w:val="001072E0"/>
    <w:rsid w:val="001072E9"/>
    <w:rsid w:val="00107358"/>
    <w:rsid w:val="00107368"/>
    <w:rsid w:val="00107392"/>
    <w:rsid w:val="00107395"/>
    <w:rsid w:val="001073E4"/>
    <w:rsid w:val="00107428"/>
    <w:rsid w:val="00107440"/>
    <w:rsid w:val="0010745D"/>
    <w:rsid w:val="001074B0"/>
    <w:rsid w:val="0010751F"/>
    <w:rsid w:val="0010754C"/>
    <w:rsid w:val="00107592"/>
    <w:rsid w:val="001075A0"/>
    <w:rsid w:val="001075B0"/>
    <w:rsid w:val="001075EC"/>
    <w:rsid w:val="001075FE"/>
    <w:rsid w:val="0010763B"/>
    <w:rsid w:val="0010772D"/>
    <w:rsid w:val="00107753"/>
    <w:rsid w:val="0010775B"/>
    <w:rsid w:val="00107789"/>
    <w:rsid w:val="001077B0"/>
    <w:rsid w:val="001077BB"/>
    <w:rsid w:val="00107809"/>
    <w:rsid w:val="0010781A"/>
    <w:rsid w:val="0010781E"/>
    <w:rsid w:val="001078A5"/>
    <w:rsid w:val="001078BE"/>
    <w:rsid w:val="001078BF"/>
    <w:rsid w:val="001078FD"/>
    <w:rsid w:val="00107919"/>
    <w:rsid w:val="00107962"/>
    <w:rsid w:val="0010796E"/>
    <w:rsid w:val="00107992"/>
    <w:rsid w:val="00107A0C"/>
    <w:rsid w:val="00107A30"/>
    <w:rsid w:val="00107A50"/>
    <w:rsid w:val="00107B28"/>
    <w:rsid w:val="00107B41"/>
    <w:rsid w:val="00107B5B"/>
    <w:rsid w:val="00107B5F"/>
    <w:rsid w:val="00107B8A"/>
    <w:rsid w:val="00107B9E"/>
    <w:rsid w:val="00107BED"/>
    <w:rsid w:val="00107C33"/>
    <w:rsid w:val="00107C3F"/>
    <w:rsid w:val="00107C49"/>
    <w:rsid w:val="00107C91"/>
    <w:rsid w:val="00107CAC"/>
    <w:rsid w:val="00107CE6"/>
    <w:rsid w:val="00107D0D"/>
    <w:rsid w:val="00107D34"/>
    <w:rsid w:val="00107D41"/>
    <w:rsid w:val="00107D99"/>
    <w:rsid w:val="00107DB4"/>
    <w:rsid w:val="00107DBB"/>
    <w:rsid w:val="00107DD9"/>
    <w:rsid w:val="00107E63"/>
    <w:rsid w:val="00107E74"/>
    <w:rsid w:val="00107E8A"/>
    <w:rsid w:val="00107EA4"/>
    <w:rsid w:val="00107ED0"/>
    <w:rsid w:val="00107EFF"/>
    <w:rsid w:val="00107F4B"/>
    <w:rsid w:val="00107FD3"/>
    <w:rsid w:val="00107FE1"/>
    <w:rsid w:val="00110002"/>
    <w:rsid w:val="001100F3"/>
    <w:rsid w:val="0011015A"/>
    <w:rsid w:val="00110192"/>
    <w:rsid w:val="0011019E"/>
    <w:rsid w:val="001101AB"/>
    <w:rsid w:val="0011023C"/>
    <w:rsid w:val="0011025B"/>
    <w:rsid w:val="001102D8"/>
    <w:rsid w:val="00110396"/>
    <w:rsid w:val="001103C4"/>
    <w:rsid w:val="00110415"/>
    <w:rsid w:val="00110439"/>
    <w:rsid w:val="0011044D"/>
    <w:rsid w:val="001104CA"/>
    <w:rsid w:val="001104D3"/>
    <w:rsid w:val="0011058B"/>
    <w:rsid w:val="001105B8"/>
    <w:rsid w:val="001105BD"/>
    <w:rsid w:val="001105DE"/>
    <w:rsid w:val="0011063E"/>
    <w:rsid w:val="00110673"/>
    <w:rsid w:val="0011067D"/>
    <w:rsid w:val="00110684"/>
    <w:rsid w:val="001106B0"/>
    <w:rsid w:val="001106CE"/>
    <w:rsid w:val="001106E0"/>
    <w:rsid w:val="001106F7"/>
    <w:rsid w:val="001106FE"/>
    <w:rsid w:val="0011075B"/>
    <w:rsid w:val="0011079C"/>
    <w:rsid w:val="001107BB"/>
    <w:rsid w:val="0011084B"/>
    <w:rsid w:val="00110852"/>
    <w:rsid w:val="00110903"/>
    <w:rsid w:val="0011091F"/>
    <w:rsid w:val="0011099D"/>
    <w:rsid w:val="001109D5"/>
    <w:rsid w:val="001109E9"/>
    <w:rsid w:val="001109EB"/>
    <w:rsid w:val="00110A5C"/>
    <w:rsid w:val="00110A91"/>
    <w:rsid w:val="00110B3F"/>
    <w:rsid w:val="00110B48"/>
    <w:rsid w:val="00110B55"/>
    <w:rsid w:val="00110B96"/>
    <w:rsid w:val="00110BC1"/>
    <w:rsid w:val="00110C24"/>
    <w:rsid w:val="00110C84"/>
    <w:rsid w:val="00110C9A"/>
    <w:rsid w:val="00110CE1"/>
    <w:rsid w:val="00110CF8"/>
    <w:rsid w:val="00110D5E"/>
    <w:rsid w:val="00110DF3"/>
    <w:rsid w:val="00110E42"/>
    <w:rsid w:val="00110E55"/>
    <w:rsid w:val="00110E7D"/>
    <w:rsid w:val="00110E9A"/>
    <w:rsid w:val="00110ECA"/>
    <w:rsid w:val="00110F17"/>
    <w:rsid w:val="00110F3D"/>
    <w:rsid w:val="00110FF0"/>
    <w:rsid w:val="0011101B"/>
    <w:rsid w:val="0011102C"/>
    <w:rsid w:val="0011109C"/>
    <w:rsid w:val="001110F4"/>
    <w:rsid w:val="00111183"/>
    <w:rsid w:val="001111E4"/>
    <w:rsid w:val="0011122D"/>
    <w:rsid w:val="00111255"/>
    <w:rsid w:val="00111289"/>
    <w:rsid w:val="0011128C"/>
    <w:rsid w:val="00111325"/>
    <w:rsid w:val="00111391"/>
    <w:rsid w:val="001113B9"/>
    <w:rsid w:val="001114B6"/>
    <w:rsid w:val="001114E1"/>
    <w:rsid w:val="001114E7"/>
    <w:rsid w:val="0011152B"/>
    <w:rsid w:val="00111552"/>
    <w:rsid w:val="00111598"/>
    <w:rsid w:val="001115B2"/>
    <w:rsid w:val="001115C3"/>
    <w:rsid w:val="001115C7"/>
    <w:rsid w:val="00111637"/>
    <w:rsid w:val="00111689"/>
    <w:rsid w:val="0011168B"/>
    <w:rsid w:val="001116A5"/>
    <w:rsid w:val="001116B7"/>
    <w:rsid w:val="001116F4"/>
    <w:rsid w:val="001116FF"/>
    <w:rsid w:val="0011170B"/>
    <w:rsid w:val="001117A3"/>
    <w:rsid w:val="00111808"/>
    <w:rsid w:val="001118B4"/>
    <w:rsid w:val="001118CA"/>
    <w:rsid w:val="001118EB"/>
    <w:rsid w:val="00111907"/>
    <w:rsid w:val="00111924"/>
    <w:rsid w:val="0011192F"/>
    <w:rsid w:val="00111951"/>
    <w:rsid w:val="0011196C"/>
    <w:rsid w:val="0011197F"/>
    <w:rsid w:val="001119BE"/>
    <w:rsid w:val="001119DE"/>
    <w:rsid w:val="001119E8"/>
    <w:rsid w:val="00111A30"/>
    <w:rsid w:val="00111A6D"/>
    <w:rsid w:val="00111AFC"/>
    <w:rsid w:val="00111BC1"/>
    <w:rsid w:val="00111BC2"/>
    <w:rsid w:val="00111BDC"/>
    <w:rsid w:val="00111BF9"/>
    <w:rsid w:val="00111C62"/>
    <w:rsid w:val="00111C87"/>
    <w:rsid w:val="00111CD0"/>
    <w:rsid w:val="00111CFB"/>
    <w:rsid w:val="00111D2A"/>
    <w:rsid w:val="00111D35"/>
    <w:rsid w:val="00111D42"/>
    <w:rsid w:val="00111D50"/>
    <w:rsid w:val="00111D6B"/>
    <w:rsid w:val="00111D8D"/>
    <w:rsid w:val="00111DAB"/>
    <w:rsid w:val="00111DC8"/>
    <w:rsid w:val="00111DFA"/>
    <w:rsid w:val="00111E7E"/>
    <w:rsid w:val="00111EA0"/>
    <w:rsid w:val="00111EB4"/>
    <w:rsid w:val="00111EB9"/>
    <w:rsid w:val="00111EE0"/>
    <w:rsid w:val="00111EEA"/>
    <w:rsid w:val="00111EEC"/>
    <w:rsid w:val="00111F47"/>
    <w:rsid w:val="00111F5C"/>
    <w:rsid w:val="00111FA0"/>
    <w:rsid w:val="00111FCC"/>
    <w:rsid w:val="00112027"/>
    <w:rsid w:val="0011204A"/>
    <w:rsid w:val="00112057"/>
    <w:rsid w:val="00112071"/>
    <w:rsid w:val="001120CD"/>
    <w:rsid w:val="0011213E"/>
    <w:rsid w:val="00112190"/>
    <w:rsid w:val="001121A3"/>
    <w:rsid w:val="001121B1"/>
    <w:rsid w:val="0011222E"/>
    <w:rsid w:val="00112248"/>
    <w:rsid w:val="0011226D"/>
    <w:rsid w:val="0011227F"/>
    <w:rsid w:val="00112293"/>
    <w:rsid w:val="0011232A"/>
    <w:rsid w:val="0011235D"/>
    <w:rsid w:val="001123A0"/>
    <w:rsid w:val="001123E5"/>
    <w:rsid w:val="00112450"/>
    <w:rsid w:val="0011249A"/>
    <w:rsid w:val="001124E3"/>
    <w:rsid w:val="00112503"/>
    <w:rsid w:val="001125B9"/>
    <w:rsid w:val="00112638"/>
    <w:rsid w:val="00112646"/>
    <w:rsid w:val="00112685"/>
    <w:rsid w:val="00112689"/>
    <w:rsid w:val="0011269E"/>
    <w:rsid w:val="001126BB"/>
    <w:rsid w:val="001126DC"/>
    <w:rsid w:val="001126E9"/>
    <w:rsid w:val="00112748"/>
    <w:rsid w:val="00112774"/>
    <w:rsid w:val="0011279A"/>
    <w:rsid w:val="00112818"/>
    <w:rsid w:val="00112859"/>
    <w:rsid w:val="00112860"/>
    <w:rsid w:val="0011287D"/>
    <w:rsid w:val="001129B6"/>
    <w:rsid w:val="00112A0A"/>
    <w:rsid w:val="00112A27"/>
    <w:rsid w:val="00112A50"/>
    <w:rsid w:val="00112A78"/>
    <w:rsid w:val="00112A83"/>
    <w:rsid w:val="00112B1F"/>
    <w:rsid w:val="00112B3C"/>
    <w:rsid w:val="00112B46"/>
    <w:rsid w:val="00112B6C"/>
    <w:rsid w:val="00112C33"/>
    <w:rsid w:val="00112C52"/>
    <w:rsid w:val="00112C65"/>
    <w:rsid w:val="00112CE0"/>
    <w:rsid w:val="00112D39"/>
    <w:rsid w:val="00112D7F"/>
    <w:rsid w:val="00112D9E"/>
    <w:rsid w:val="00112F13"/>
    <w:rsid w:val="00112F1E"/>
    <w:rsid w:val="00112F44"/>
    <w:rsid w:val="00112F7E"/>
    <w:rsid w:val="00112FDF"/>
    <w:rsid w:val="00113009"/>
    <w:rsid w:val="0011306C"/>
    <w:rsid w:val="0011306D"/>
    <w:rsid w:val="0011308F"/>
    <w:rsid w:val="00113091"/>
    <w:rsid w:val="001130A5"/>
    <w:rsid w:val="001130CF"/>
    <w:rsid w:val="001130D4"/>
    <w:rsid w:val="0011312B"/>
    <w:rsid w:val="0011315A"/>
    <w:rsid w:val="00113167"/>
    <w:rsid w:val="001131A2"/>
    <w:rsid w:val="0011323F"/>
    <w:rsid w:val="00113249"/>
    <w:rsid w:val="00113284"/>
    <w:rsid w:val="001132DC"/>
    <w:rsid w:val="001132FC"/>
    <w:rsid w:val="001133FC"/>
    <w:rsid w:val="0011341C"/>
    <w:rsid w:val="00113446"/>
    <w:rsid w:val="00113479"/>
    <w:rsid w:val="0011349B"/>
    <w:rsid w:val="001134BD"/>
    <w:rsid w:val="001134FB"/>
    <w:rsid w:val="001135B6"/>
    <w:rsid w:val="00113614"/>
    <w:rsid w:val="0011366D"/>
    <w:rsid w:val="00113686"/>
    <w:rsid w:val="001136A5"/>
    <w:rsid w:val="001136EB"/>
    <w:rsid w:val="00113709"/>
    <w:rsid w:val="00113732"/>
    <w:rsid w:val="00113735"/>
    <w:rsid w:val="00113737"/>
    <w:rsid w:val="00113782"/>
    <w:rsid w:val="001137B8"/>
    <w:rsid w:val="001137BE"/>
    <w:rsid w:val="001137C1"/>
    <w:rsid w:val="001137D6"/>
    <w:rsid w:val="001137F0"/>
    <w:rsid w:val="001137F5"/>
    <w:rsid w:val="00113824"/>
    <w:rsid w:val="00113853"/>
    <w:rsid w:val="00113890"/>
    <w:rsid w:val="001138D8"/>
    <w:rsid w:val="001138E5"/>
    <w:rsid w:val="001138F2"/>
    <w:rsid w:val="00113922"/>
    <w:rsid w:val="00113940"/>
    <w:rsid w:val="00113A11"/>
    <w:rsid w:val="00113A45"/>
    <w:rsid w:val="00113AE6"/>
    <w:rsid w:val="00113B20"/>
    <w:rsid w:val="00113B5C"/>
    <w:rsid w:val="00113BBA"/>
    <w:rsid w:val="00113BD5"/>
    <w:rsid w:val="00113C8A"/>
    <w:rsid w:val="00113C96"/>
    <w:rsid w:val="00113CD5"/>
    <w:rsid w:val="00113D31"/>
    <w:rsid w:val="00113D7D"/>
    <w:rsid w:val="00113D7E"/>
    <w:rsid w:val="00113DC5"/>
    <w:rsid w:val="00113E14"/>
    <w:rsid w:val="00113E5D"/>
    <w:rsid w:val="00113EE3"/>
    <w:rsid w:val="00113F1D"/>
    <w:rsid w:val="00113F43"/>
    <w:rsid w:val="00113FC8"/>
    <w:rsid w:val="00113FFF"/>
    <w:rsid w:val="00114004"/>
    <w:rsid w:val="00114064"/>
    <w:rsid w:val="0011407B"/>
    <w:rsid w:val="001140B7"/>
    <w:rsid w:val="0011410A"/>
    <w:rsid w:val="0011414C"/>
    <w:rsid w:val="0011416E"/>
    <w:rsid w:val="00114269"/>
    <w:rsid w:val="00114287"/>
    <w:rsid w:val="0011428B"/>
    <w:rsid w:val="001142AC"/>
    <w:rsid w:val="001142B4"/>
    <w:rsid w:val="001142D4"/>
    <w:rsid w:val="001142FF"/>
    <w:rsid w:val="00114333"/>
    <w:rsid w:val="00114335"/>
    <w:rsid w:val="0011434A"/>
    <w:rsid w:val="0011435C"/>
    <w:rsid w:val="0011438D"/>
    <w:rsid w:val="00114479"/>
    <w:rsid w:val="001144B9"/>
    <w:rsid w:val="001144E6"/>
    <w:rsid w:val="001145AB"/>
    <w:rsid w:val="001145CC"/>
    <w:rsid w:val="001145D0"/>
    <w:rsid w:val="001145F4"/>
    <w:rsid w:val="00114613"/>
    <w:rsid w:val="00114663"/>
    <w:rsid w:val="00114668"/>
    <w:rsid w:val="001146A3"/>
    <w:rsid w:val="001146B3"/>
    <w:rsid w:val="00114705"/>
    <w:rsid w:val="00114725"/>
    <w:rsid w:val="0011478F"/>
    <w:rsid w:val="00114797"/>
    <w:rsid w:val="0011479A"/>
    <w:rsid w:val="001147CE"/>
    <w:rsid w:val="0011483C"/>
    <w:rsid w:val="00114867"/>
    <w:rsid w:val="00114969"/>
    <w:rsid w:val="0011497A"/>
    <w:rsid w:val="001149D9"/>
    <w:rsid w:val="001149DD"/>
    <w:rsid w:val="00114A10"/>
    <w:rsid w:val="00114A4F"/>
    <w:rsid w:val="00114A55"/>
    <w:rsid w:val="00114A75"/>
    <w:rsid w:val="00114AAB"/>
    <w:rsid w:val="00114AF2"/>
    <w:rsid w:val="00114B06"/>
    <w:rsid w:val="00114B9E"/>
    <w:rsid w:val="00114BB7"/>
    <w:rsid w:val="00114BF9"/>
    <w:rsid w:val="00114C21"/>
    <w:rsid w:val="00114C28"/>
    <w:rsid w:val="00114C2D"/>
    <w:rsid w:val="00114CCC"/>
    <w:rsid w:val="00114CE8"/>
    <w:rsid w:val="00114CEE"/>
    <w:rsid w:val="00114CFB"/>
    <w:rsid w:val="00114D1E"/>
    <w:rsid w:val="00114D5B"/>
    <w:rsid w:val="00114DA5"/>
    <w:rsid w:val="00114DF6"/>
    <w:rsid w:val="00114E08"/>
    <w:rsid w:val="00114E2D"/>
    <w:rsid w:val="00114E62"/>
    <w:rsid w:val="00114E7C"/>
    <w:rsid w:val="00114E9C"/>
    <w:rsid w:val="00114F0B"/>
    <w:rsid w:val="00114F2B"/>
    <w:rsid w:val="00114F33"/>
    <w:rsid w:val="00114F6D"/>
    <w:rsid w:val="00114F94"/>
    <w:rsid w:val="00114F96"/>
    <w:rsid w:val="00114FAF"/>
    <w:rsid w:val="00114FD0"/>
    <w:rsid w:val="00114FD8"/>
    <w:rsid w:val="0011506F"/>
    <w:rsid w:val="0011507C"/>
    <w:rsid w:val="001150B1"/>
    <w:rsid w:val="001150B2"/>
    <w:rsid w:val="001150FA"/>
    <w:rsid w:val="0011510E"/>
    <w:rsid w:val="00115125"/>
    <w:rsid w:val="00115130"/>
    <w:rsid w:val="00115147"/>
    <w:rsid w:val="0011514B"/>
    <w:rsid w:val="0011514E"/>
    <w:rsid w:val="00115168"/>
    <w:rsid w:val="001151C3"/>
    <w:rsid w:val="00115231"/>
    <w:rsid w:val="00115235"/>
    <w:rsid w:val="00115267"/>
    <w:rsid w:val="00115270"/>
    <w:rsid w:val="001152F3"/>
    <w:rsid w:val="0011530D"/>
    <w:rsid w:val="0011533C"/>
    <w:rsid w:val="001153C1"/>
    <w:rsid w:val="0011547C"/>
    <w:rsid w:val="00115489"/>
    <w:rsid w:val="001154F7"/>
    <w:rsid w:val="00115517"/>
    <w:rsid w:val="00115580"/>
    <w:rsid w:val="0011559D"/>
    <w:rsid w:val="001155EF"/>
    <w:rsid w:val="00115606"/>
    <w:rsid w:val="00115645"/>
    <w:rsid w:val="0011567B"/>
    <w:rsid w:val="001156FA"/>
    <w:rsid w:val="00115745"/>
    <w:rsid w:val="00115763"/>
    <w:rsid w:val="0011582D"/>
    <w:rsid w:val="00115850"/>
    <w:rsid w:val="00115869"/>
    <w:rsid w:val="001158C6"/>
    <w:rsid w:val="0011594A"/>
    <w:rsid w:val="00115982"/>
    <w:rsid w:val="001159A4"/>
    <w:rsid w:val="001159E2"/>
    <w:rsid w:val="00115A65"/>
    <w:rsid w:val="00115A66"/>
    <w:rsid w:val="00115ACE"/>
    <w:rsid w:val="00115B20"/>
    <w:rsid w:val="00115B62"/>
    <w:rsid w:val="00115BA0"/>
    <w:rsid w:val="00115C28"/>
    <w:rsid w:val="00115C50"/>
    <w:rsid w:val="00115C80"/>
    <w:rsid w:val="00115CCA"/>
    <w:rsid w:val="00115D90"/>
    <w:rsid w:val="00115DC8"/>
    <w:rsid w:val="00115E25"/>
    <w:rsid w:val="00115E47"/>
    <w:rsid w:val="00115ECF"/>
    <w:rsid w:val="00115EFD"/>
    <w:rsid w:val="00115F1B"/>
    <w:rsid w:val="00115F58"/>
    <w:rsid w:val="00115F75"/>
    <w:rsid w:val="00115FB8"/>
    <w:rsid w:val="00115FDB"/>
    <w:rsid w:val="001160B0"/>
    <w:rsid w:val="0011614E"/>
    <w:rsid w:val="0011615A"/>
    <w:rsid w:val="0011615F"/>
    <w:rsid w:val="001161B6"/>
    <w:rsid w:val="001161CE"/>
    <w:rsid w:val="00116261"/>
    <w:rsid w:val="00116276"/>
    <w:rsid w:val="00116288"/>
    <w:rsid w:val="0011628F"/>
    <w:rsid w:val="0011633C"/>
    <w:rsid w:val="00116370"/>
    <w:rsid w:val="001163CD"/>
    <w:rsid w:val="0011642A"/>
    <w:rsid w:val="00116481"/>
    <w:rsid w:val="001164BB"/>
    <w:rsid w:val="00116540"/>
    <w:rsid w:val="001165C7"/>
    <w:rsid w:val="001165FC"/>
    <w:rsid w:val="001166DF"/>
    <w:rsid w:val="001166FF"/>
    <w:rsid w:val="00116714"/>
    <w:rsid w:val="00116744"/>
    <w:rsid w:val="00116760"/>
    <w:rsid w:val="00116783"/>
    <w:rsid w:val="001167A7"/>
    <w:rsid w:val="001167D2"/>
    <w:rsid w:val="0011681B"/>
    <w:rsid w:val="00116827"/>
    <w:rsid w:val="0011685D"/>
    <w:rsid w:val="0011685E"/>
    <w:rsid w:val="001168A4"/>
    <w:rsid w:val="001168F1"/>
    <w:rsid w:val="00116907"/>
    <w:rsid w:val="00116945"/>
    <w:rsid w:val="00116969"/>
    <w:rsid w:val="00116972"/>
    <w:rsid w:val="0011698A"/>
    <w:rsid w:val="00116AA1"/>
    <w:rsid w:val="00116AB4"/>
    <w:rsid w:val="00116B38"/>
    <w:rsid w:val="00116B6E"/>
    <w:rsid w:val="00116BAC"/>
    <w:rsid w:val="00116BE0"/>
    <w:rsid w:val="00116C31"/>
    <w:rsid w:val="00116C40"/>
    <w:rsid w:val="00116C5D"/>
    <w:rsid w:val="00116C79"/>
    <w:rsid w:val="00116CBF"/>
    <w:rsid w:val="00116CCA"/>
    <w:rsid w:val="00116D2B"/>
    <w:rsid w:val="00116D9D"/>
    <w:rsid w:val="00116DCC"/>
    <w:rsid w:val="00116DD7"/>
    <w:rsid w:val="00116DD9"/>
    <w:rsid w:val="00116E00"/>
    <w:rsid w:val="00116E4E"/>
    <w:rsid w:val="00116E59"/>
    <w:rsid w:val="00116E5D"/>
    <w:rsid w:val="00116E73"/>
    <w:rsid w:val="00116EE3"/>
    <w:rsid w:val="00116EE8"/>
    <w:rsid w:val="00116F26"/>
    <w:rsid w:val="00116F7F"/>
    <w:rsid w:val="00117031"/>
    <w:rsid w:val="00117054"/>
    <w:rsid w:val="00117073"/>
    <w:rsid w:val="001170D4"/>
    <w:rsid w:val="00117127"/>
    <w:rsid w:val="00117153"/>
    <w:rsid w:val="00117157"/>
    <w:rsid w:val="001171B4"/>
    <w:rsid w:val="00117227"/>
    <w:rsid w:val="00117269"/>
    <w:rsid w:val="001172BB"/>
    <w:rsid w:val="001172D5"/>
    <w:rsid w:val="001172F0"/>
    <w:rsid w:val="0011732B"/>
    <w:rsid w:val="00117383"/>
    <w:rsid w:val="00117399"/>
    <w:rsid w:val="001173B4"/>
    <w:rsid w:val="001173C0"/>
    <w:rsid w:val="001173D1"/>
    <w:rsid w:val="00117412"/>
    <w:rsid w:val="0011743D"/>
    <w:rsid w:val="00117476"/>
    <w:rsid w:val="0011748E"/>
    <w:rsid w:val="001175C5"/>
    <w:rsid w:val="001175E8"/>
    <w:rsid w:val="001175FF"/>
    <w:rsid w:val="0011760F"/>
    <w:rsid w:val="00117623"/>
    <w:rsid w:val="0011766D"/>
    <w:rsid w:val="0011768A"/>
    <w:rsid w:val="001176A1"/>
    <w:rsid w:val="001176B1"/>
    <w:rsid w:val="001176EA"/>
    <w:rsid w:val="00117751"/>
    <w:rsid w:val="0011776D"/>
    <w:rsid w:val="0011777F"/>
    <w:rsid w:val="00117794"/>
    <w:rsid w:val="001177F1"/>
    <w:rsid w:val="00117873"/>
    <w:rsid w:val="001178C5"/>
    <w:rsid w:val="001178D5"/>
    <w:rsid w:val="001178DD"/>
    <w:rsid w:val="00117902"/>
    <w:rsid w:val="00117932"/>
    <w:rsid w:val="001179A5"/>
    <w:rsid w:val="001179BA"/>
    <w:rsid w:val="00117A0A"/>
    <w:rsid w:val="00117A53"/>
    <w:rsid w:val="00117A57"/>
    <w:rsid w:val="00117A62"/>
    <w:rsid w:val="00117A78"/>
    <w:rsid w:val="00117A7C"/>
    <w:rsid w:val="00117A86"/>
    <w:rsid w:val="00117AB5"/>
    <w:rsid w:val="00117B6A"/>
    <w:rsid w:val="00117BAE"/>
    <w:rsid w:val="00117BC4"/>
    <w:rsid w:val="00117C6C"/>
    <w:rsid w:val="00117DCD"/>
    <w:rsid w:val="00117E23"/>
    <w:rsid w:val="00117E3C"/>
    <w:rsid w:val="00117E9F"/>
    <w:rsid w:val="00117EB1"/>
    <w:rsid w:val="00117EC7"/>
    <w:rsid w:val="00117EDD"/>
    <w:rsid w:val="00117F24"/>
    <w:rsid w:val="00117F79"/>
    <w:rsid w:val="00117F88"/>
    <w:rsid w:val="00117FBE"/>
    <w:rsid w:val="0012005A"/>
    <w:rsid w:val="001200D9"/>
    <w:rsid w:val="00120136"/>
    <w:rsid w:val="00120149"/>
    <w:rsid w:val="0012019F"/>
    <w:rsid w:val="00120211"/>
    <w:rsid w:val="00120230"/>
    <w:rsid w:val="00120246"/>
    <w:rsid w:val="001202A7"/>
    <w:rsid w:val="001202E1"/>
    <w:rsid w:val="0012030C"/>
    <w:rsid w:val="00120388"/>
    <w:rsid w:val="0012043E"/>
    <w:rsid w:val="00120457"/>
    <w:rsid w:val="001204D4"/>
    <w:rsid w:val="001204DB"/>
    <w:rsid w:val="001204FE"/>
    <w:rsid w:val="001205A9"/>
    <w:rsid w:val="001205DD"/>
    <w:rsid w:val="0012065D"/>
    <w:rsid w:val="0012068A"/>
    <w:rsid w:val="0012073E"/>
    <w:rsid w:val="0012075F"/>
    <w:rsid w:val="001207A0"/>
    <w:rsid w:val="001207F8"/>
    <w:rsid w:val="001207FB"/>
    <w:rsid w:val="00120846"/>
    <w:rsid w:val="00120850"/>
    <w:rsid w:val="0012088C"/>
    <w:rsid w:val="001208C7"/>
    <w:rsid w:val="0012090C"/>
    <w:rsid w:val="00120939"/>
    <w:rsid w:val="0012098A"/>
    <w:rsid w:val="0012098F"/>
    <w:rsid w:val="00120991"/>
    <w:rsid w:val="001209B9"/>
    <w:rsid w:val="001209D7"/>
    <w:rsid w:val="001209EE"/>
    <w:rsid w:val="001209F7"/>
    <w:rsid w:val="001209FA"/>
    <w:rsid w:val="00120A16"/>
    <w:rsid w:val="00120A1E"/>
    <w:rsid w:val="00120A3F"/>
    <w:rsid w:val="00120A84"/>
    <w:rsid w:val="00120ACA"/>
    <w:rsid w:val="00120AFC"/>
    <w:rsid w:val="00120B2B"/>
    <w:rsid w:val="00120B46"/>
    <w:rsid w:val="00120B51"/>
    <w:rsid w:val="00120B5B"/>
    <w:rsid w:val="00120C14"/>
    <w:rsid w:val="00120C52"/>
    <w:rsid w:val="00120C80"/>
    <w:rsid w:val="00120CA7"/>
    <w:rsid w:val="00120D07"/>
    <w:rsid w:val="00120D4B"/>
    <w:rsid w:val="00120D8C"/>
    <w:rsid w:val="00120DFE"/>
    <w:rsid w:val="00120E3E"/>
    <w:rsid w:val="00120F15"/>
    <w:rsid w:val="00120F4E"/>
    <w:rsid w:val="00120F56"/>
    <w:rsid w:val="00120F7B"/>
    <w:rsid w:val="00120FB5"/>
    <w:rsid w:val="00120FBA"/>
    <w:rsid w:val="00120FBD"/>
    <w:rsid w:val="00120FC8"/>
    <w:rsid w:val="00120FD9"/>
    <w:rsid w:val="00120FF4"/>
    <w:rsid w:val="00121007"/>
    <w:rsid w:val="00121131"/>
    <w:rsid w:val="00121153"/>
    <w:rsid w:val="001211A9"/>
    <w:rsid w:val="001211E9"/>
    <w:rsid w:val="00121204"/>
    <w:rsid w:val="001212C3"/>
    <w:rsid w:val="001212E1"/>
    <w:rsid w:val="001212E6"/>
    <w:rsid w:val="001212FF"/>
    <w:rsid w:val="00121355"/>
    <w:rsid w:val="0012138F"/>
    <w:rsid w:val="00121398"/>
    <w:rsid w:val="001213B5"/>
    <w:rsid w:val="001213C5"/>
    <w:rsid w:val="001213FB"/>
    <w:rsid w:val="00121456"/>
    <w:rsid w:val="0012145B"/>
    <w:rsid w:val="0012146B"/>
    <w:rsid w:val="00121487"/>
    <w:rsid w:val="00121498"/>
    <w:rsid w:val="001214A9"/>
    <w:rsid w:val="001214B9"/>
    <w:rsid w:val="00121502"/>
    <w:rsid w:val="0012159A"/>
    <w:rsid w:val="001215AB"/>
    <w:rsid w:val="001215F9"/>
    <w:rsid w:val="00121623"/>
    <w:rsid w:val="0012164E"/>
    <w:rsid w:val="00121659"/>
    <w:rsid w:val="0012166B"/>
    <w:rsid w:val="0012169A"/>
    <w:rsid w:val="00121707"/>
    <w:rsid w:val="00121756"/>
    <w:rsid w:val="00121773"/>
    <w:rsid w:val="0012178D"/>
    <w:rsid w:val="001217E7"/>
    <w:rsid w:val="00121875"/>
    <w:rsid w:val="001218A8"/>
    <w:rsid w:val="001218F1"/>
    <w:rsid w:val="0012191C"/>
    <w:rsid w:val="00121955"/>
    <w:rsid w:val="0012198A"/>
    <w:rsid w:val="001219B4"/>
    <w:rsid w:val="001219CC"/>
    <w:rsid w:val="00121A5D"/>
    <w:rsid w:val="00121A82"/>
    <w:rsid w:val="00121A89"/>
    <w:rsid w:val="00121B7F"/>
    <w:rsid w:val="00121B8E"/>
    <w:rsid w:val="00121BA5"/>
    <w:rsid w:val="00121BA6"/>
    <w:rsid w:val="00121C38"/>
    <w:rsid w:val="00121C57"/>
    <w:rsid w:val="00121C7F"/>
    <w:rsid w:val="00121C80"/>
    <w:rsid w:val="00121C9F"/>
    <w:rsid w:val="00121D07"/>
    <w:rsid w:val="00121D2B"/>
    <w:rsid w:val="00121DCD"/>
    <w:rsid w:val="00121E56"/>
    <w:rsid w:val="00121E5D"/>
    <w:rsid w:val="00121E7A"/>
    <w:rsid w:val="00121EE0"/>
    <w:rsid w:val="00121F5E"/>
    <w:rsid w:val="00121F9B"/>
    <w:rsid w:val="00121FB1"/>
    <w:rsid w:val="00121FDA"/>
    <w:rsid w:val="00122001"/>
    <w:rsid w:val="00122046"/>
    <w:rsid w:val="00122089"/>
    <w:rsid w:val="0012208E"/>
    <w:rsid w:val="001220A0"/>
    <w:rsid w:val="00122150"/>
    <w:rsid w:val="00122170"/>
    <w:rsid w:val="00122178"/>
    <w:rsid w:val="0012219F"/>
    <w:rsid w:val="00122277"/>
    <w:rsid w:val="00122288"/>
    <w:rsid w:val="001222B3"/>
    <w:rsid w:val="0012232B"/>
    <w:rsid w:val="00122340"/>
    <w:rsid w:val="0012238A"/>
    <w:rsid w:val="001223B5"/>
    <w:rsid w:val="00122414"/>
    <w:rsid w:val="0012242B"/>
    <w:rsid w:val="0012242C"/>
    <w:rsid w:val="00122459"/>
    <w:rsid w:val="0012248D"/>
    <w:rsid w:val="00122493"/>
    <w:rsid w:val="001224C9"/>
    <w:rsid w:val="001224F3"/>
    <w:rsid w:val="0012250A"/>
    <w:rsid w:val="00122563"/>
    <w:rsid w:val="00122577"/>
    <w:rsid w:val="001225AF"/>
    <w:rsid w:val="001225F9"/>
    <w:rsid w:val="0012261E"/>
    <w:rsid w:val="00122628"/>
    <w:rsid w:val="001226F2"/>
    <w:rsid w:val="001226F9"/>
    <w:rsid w:val="00122701"/>
    <w:rsid w:val="00122705"/>
    <w:rsid w:val="00122754"/>
    <w:rsid w:val="0012276E"/>
    <w:rsid w:val="00122783"/>
    <w:rsid w:val="00122798"/>
    <w:rsid w:val="001228D2"/>
    <w:rsid w:val="0012290F"/>
    <w:rsid w:val="0012291D"/>
    <w:rsid w:val="00122952"/>
    <w:rsid w:val="00122955"/>
    <w:rsid w:val="00122961"/>
    <w:rsid w:val="00122968"/>
    <w:rsid w:val="0012297B"/>
    <w:rsid w:val="001229CD"/>
    <w:rsid w:val="001229D7"/>
    <w:rsid w:val="00122A5C"/>
    <w:rsid w:val="00122A64"/>
    <w:rsid w:val="00122AB7"/>
    <w:rsid w:val="00122B69"/>
    <w:rsid w:val="00122BF1"/>
    <w:rsid w:val="00122C06"/>
    <w:rsid w:val="00122C78"/>
    <w:rsid w:val="00122C8E"/>
    <w:rsid w:val="00122CAD"/>
    <w:rsid w:val="00122CE8"/>
    <w:rsid w:val="00122CF2"/>
    <w:rsid w:val="00122D23"/>
    <w:rsid w:val="00122D2B"/>
    <w:rsid w:val="00122DC1"/>
    <w:rsid w:val="00122DC8"/>
    <w:rsid w:val="00122E03"/>
    <w:rsid w:val="00122E70"/>
    <w:rsid w:val="00122EB6"/>
    <w:rsid w:val="00122F8F"/>
    <w:rsid w:val="00122F90"/>
    <w:rsid w:val="00123001"/>
    <w:rsid w:val="00123002"/>
    <w:rsid w:val="00123057"/>
    <w:rsid w:val="0012306A"/>
    <w:rsid w:val="00123117"/>
    <w:rsid w:val="00123142"/>
    <w:rsid w:val="0012314D"/>
    <w:rsid w:val="0012315E"/>
    <w:rsid w:val="00123197"/>
    <w:rsid w:val="001231B4"/>
    <w:rsid w:val="001231EC"/>
    <w:rsid w:val="001231F5"/>
    <w:rsid w:val="0012327E"/>
    <w:rsid w:val="001232CD"/>
    <w:rsid w:val="00123397"/>
    <w:rsid w:val="001233DA"/>
    <w:rsid w:val="001233DD"/>
    <w:rsid w:val="001233FE"/>
    <w:rsid w:val="00123403"/>
    <w:rsid w:val="0012341E"/>
    <w:rsid w:val="001234A0"/>
    <w:rsid w:val="001234A8"/>
    <w:rsid w:val="0012351B"/>
    <w:rsid w:val="0012352A"/>
    <w:rsid w:val="0012353E"/>
    <w:rsid w:val="00123596"/>
    <w:rsid w:val="0012359B"/>
    <w:rsid w:val="001235A6"/>
    <w:rsid w:val="001235A8"/>
    <w:rsid w:val="001235C7"/>
    <w:rsid w:val="001235CA"/>
    <w:rsid w:val="001235D0"/>
    <w:rsid w:val="001235D5"/>
    <w:rsid w:val="0012362D"/>
    <w:rsid w:val="0012367B"/>
    <w:rsid w:val="001237CD"/>
    <w:rsid w:val="00123805"/>
    <w:rsid w:val="0012386E"/>
    <w:rsid w:val="0012389D"/>
    <w:rsid w:val="001238AE"/>
    <w:rsid w:val="0012394E"/>
    <w:rsid w:val="0012397A"/>
    <w:rsid w:val="001239DF"/>
    <w:rsid w:val="00123A03"/>
    <w:rsid w:val="00123A41"/>
    <w:rsid w:val="00123AD4"/>
    <w:rsid w:val="00123AEC"/>
    <w:rsid w:val="00123B06"/>
    <w:rsid w:val="00123B0A"/>
    <w:rsid w:val="00123B0E"/>
    <w:rsid w:val="00123B20"/>
    <w:rsid w:val="00123B43"/>
    <w:rsid w:val="00123B51"/>
    <w:rsid w:val="00123B5C"/>
    <w:rsid w:val="00123BD2"/>
    <w:rsid w:val="00123C10"/>
    <w:rsid w:val="00123C8A"/>
    <w:rsid w:val="00123C8F"/>
    <w:rsid w:val="00123CD5"/>
    <w:rsid w:val="00123D64"/>
    <w:rsid w:val="00123D6A"/>
    <w:rsid w:val="00123DF3"/>
    <w:rsid w:val="00123E48"/>
    <w:rsid w:val="00123E81"/>
    <w:rsid w:val="00123F13"/>
    <w:rsid w:val="00123F3C"/>
    <w:rsid w:val="00123FB4"/>
    <w:rsid w:val="00123FEF"/>
    <w:rsid w:val="00124051"/>
    <w:rsid w:val="00124059"/>
    <w:rsid w:val="00124075"/>
    <w:rsid w:val="00124098"/>
    <w:rsid w:val="001240B1"/>
    <w:rsid w:val="001240BC"/>
    <w:rsid w:val="001240BD"/>
    <w:rsid w:val="001240C3"/>
    <w:rsid w:val="001241DB"/>
    <w:rsid w:val="0012428F"/>
    <w:rsid w:val="001242DE"/>
    <w:rsid w:val="001242F3"/>
    <w:rsid w:val="00124318"/>
    <w:rsid w:val="00124321"/>
    <w:rsid w:val="00124391"/>
    <w:rsid w:val="001243F5"/>
    <w:rsid w:val="00124412"/>
    <w:rsid w:val="001244C4"/>
    <w:rsid w:val="001244EC"/>
    <w:rsid w:val="00124575"/>
    <w:rsid w:val="00124595"/>
    <w:rsid w:val="0012459C"/>
    <w:rsid w:val="001245F9"/>
    <w:rsid w:val="00124634"/>
    <w:rsid w:val="00124656"/>
    <w:rsid w:val="001246DA"/>
    <w:rsid w:val="00124716"/>
    <w:rsid w:val="00124728"/>
    <w:rsid w:val="00124791"/>
    <w:rsid w:val="00124867"/>
    <w:rsid w:val="00124877"/>
    <w:rsid w:val="001248BD"/>
    <w:rsid w:val="001248DE"/>
    <w:rsid w:val="0012491C"/>
    <w:rsid w:val="0012496C"/>
    <w:rsid w:val="00124971"/>
    <w:rsid w:val="0012499B"/>
    <w:rsid w:val="001249E3"/>
    <w:rsid w:val="001249E7"/>
    <w:rsid w:val="00124A0E"/>
    <w:rsid w:val="00124A11"/>
    <w:rsid w:val="00124A25"/>
    <w:rsid w:val="00124A28"/>
    <w:rsid w:val="00124A5D"/>
    <w:rsid w:val="00124A8D"/>
    <w:rsid w:val="00124AAF"/>
    <w:rsid w:val="00124AB6"/>
    <w:rsid w:val="00124AFC"/>
    <w:rsid w:val="00124B15"/>
    <w:rsid w:val="00124B2A"/>
    <w:rsid w:val="00124B5C"/>
    <w:rsid w:val="00124B67"/>
    <w:rsid w:val="00124B8E"/>
    <w:rsid w:val="00124BD0"/>
    <w:rsid w:val="00124C19"/>
    <w:rsid w:val="00124CE5"/>
    <w:rsid w:val="00124CEC"/>
    <w:rsid w:val="00124D07"/>
    <w:rsid w:val="00124D52"/>
    <w:rsid w:val="00124D65"/>
    <w:rsid w:val="00124D91"/>
    <w:rsid w:val="00124D9B"/>
    <w:rsid w:val="00124E08"/>
    <w:rsid w:val="00124E13"/>
    <w:rsid w:val="00124E18"/>
    <w:rsid w:val="00124E22"/>
    <w:rsid w:val="00124E26"/>
    <w:rsid w:val="00124E4E"/>
    <w:rsid w:val="00124E97"/>
    <w:rsid w:val="00124EB0"/>
    <w:rsid w:val="00124ECB"/>
    <w:rsid w:val="00124EE0"/>
    <w:rsid w:val="00124EF2"/>
    <w:rsid w:val="00124EFC"/>
    <w:rsid w:val="00124F0B"/>
    <w:rsid w:val="00124F20"/>
    <w:rsid w:val="00124F36"/>
    <w:rsid w:val="00124F71"/>
    <w:rsid w:val="00124F77"/>
    <w:rsid w:val="00124FD8"/>
    <w:rsid w:val="00124FDB"/>
    <w:rsid w:val="0012503F"/>
    <w:rsid w:val="0012509C"/>
    <w:rsid w:val="001250B3"/>
    <w:rsid w:val="00125126"/>
    <w:rsid w:val="00125128"/>
    <w:rsid w:val="00125139"/>
    <w:rsid w:val="0012516A"/>
    <w:rsid w:val="001251EA"/>
    <w:rsid w:val="001251F6"/>
    <w:rsid w:val="00125285"/>
    <w:rsid w:val="001252D3"/>
    <w:rsid w:val="00125348"/>
    <w:rsid w:val="0012534E"/>
    <w:rsid w:val="00125361"/>
    <w:rsid w:val="0012536F"/>
    <w:rsid w:val="001253EE"/>
    <w:rsid w:val="001253FB"/>
    <w:rsid w:val="00125411"/>
    <w:rsid w:val="0012545E"/>
    <w:rsid w:val="00125461"/>
    <w:rsid w:val="001254B8"/>
    <w:rsid w:val="001254D2"/>
    <w:rsid w:val="001254F3"/>
    <w:rsid w:val="001255A0"/>
    <w:rsid w:val="001255A2"/>
    <w:rsid w:val="0012562E"/>
    <w:rsid w:val="00125673"/>
    <w:rsid w:val="0012569D"/>
    <w:rsid w:val="001256BC"/>
    <w:rsid w:val="001256BD"/>
    <w:rsid w:val="001256CB"/>
    <w:rsid w:val="001256E0"/>
    <w:rsid w:val="0012570D"/>
    <w:rsid w:val="00125722"/>
    <w:rsid w:val="00125723"/>
    <w:rsid w:val="0012573A"/>
    <w:rsid w:val="0012579B"/>
    <w:rsid w:val="00125802"/>
    <w:rsid w:val="0012581E"/>
    <w:rsid w:val="001258A2"/>
    <w:rsid w:val="001258DA"/>
    <w:rsid w:val="001258F7"/>
    <w:rsid w:val="00125919"/>
    <w:rsid w:val="00125927"/>
    <w:rsid w:val="00125938"/>
    <w:rsid w:val="00125952"/>
    <w:rsid w:val="001259CE"/>
    <w:rsid w:val="001259E7"/>
    <w:rsid w:val="001259F2"/>
    <w:rsid w:val="00125A39"/>
    <w:rsid w:val="00125A78"/>
    <w:rsid w:val="00125A80"/>
    <w:rsid w:val="00125A94"/>
    <w:rsid w:val="00125AEB"/>
    <w:rsid w:val="00125AF2"/>
    <w:rsid w:val="00125B45"/>
    <w:rsid w:val="00125B76"/>
    <w:rsid w:val="00125BB1"/>
    <w:rsid w:val="00125C0A"/>
    <w:rsid w:val="00125C3A"/>
    <w:rsid w:val="00125C7B"/>
    <w:rsid w:val="00125C8E"/>
    <w:rsid w:val="00125D10"/>
    <w:rsid w:val="00125D15"/>
    <w:rsid w:val="00125D21"/>
    <w:rsid w:val="00125D81"/>
    <w:rsid w:val="00125DD7"/>
    <w:rsid w:val="00125E29"/>
    <w:rsid w:val="00125E6F"/>
    <w:rsid w:val="00125E8A"/>
    <w:rsid w:val="00125E92"/>
    <w:rsid w:val="00125EA8"/>
    <w:rsid w:val="00125ECC"/>
    <w:rsid w:val="00125F47"/>
    <w:rsid w:val="00125F68"/>
    <w:rsid w:val="00125F98"/>
    <w:rsid w:val="00125FC4"/>
    <w:rsid w:val="00125FEA"/>
    <w:rsid w:val="00125FFE"/>
    <w:rsid w:val="00126033"/>
    <w:rsid w:val="00126056"/>
    <w:rsid w:val="001260A2"/>
    <w:rsid w:val="001260A3"/>
    <w:rsid w:val="00126127"/>
    <w:rsid w:val="0012612D"/>
    <w:rsid w:val="0012612F"/>
    <w:rsid w:val="001261BA"/>
    <w:rsid w:val="001261BC"/>
    <w:rsid w:val="00126284"/>
    <w:rsid w:val="00126288"/>
    <w:rsid w:val="0012628C"/>
    <w:rsid w:val="0012628D"/>
    <w:rsid w:val="001262F6"/>
    <w:rsid w:val="00126301"/>
    <w:rsid w:val="001263E5"/>
    <w:rsid w:val="001263FB"/>
    <w:rsid w:val="001263FE"/>
    <w:rsid w:val="00126414"/>
    <w:rsid w:val="0012644D"/>
    <w:rsid w:val="001264A5"/>
    <w:rsid w:val="0012655A"/>
    <w:rsid w:val="001265A3"/>
    <w:rsid w:val="001265A7"/>
    <w:rsid w:val="001265EE"/>
    <w:rsid w:val="00126607"/>
    <w:rsid w:val="0012668D"/>
    <w:rsid w:val="001266C7"/>
    <w:rsid w:val="001266C8"/>
    <w:rsid w:val="001266C9"/>
    <w:rsid w:val="00126760"/>
    <w:rsid w:val="001267A8"/>
    <w:rsid w:val="001267D2"/>
    <w:rsid w:val="001267E5"/>
    <w:rsid w:val="001267E7"/>
    <w:rsid w:val="001267EE"/>
    <w:rsid w:val="001268BA"/>
    <w:rsid w:val="001268C3"/>
    <w:rsid w:val="001268E0"/>
    <w:rsid w:val="001268F9"/>
    <w:rsid w:val="00126908"/>
    <w:rsid w:val="0012690F"/>
    <w:rsid w:val="00126944"/>
    <w:rsid w:val="001269BD"/>
    <w:rsid w:val="00126A25"/>
    <w:rsid w:val="00126B22"/>
    <w:rsid w:val="00126B3B"/>
    <w:rsid w:val="00126B40"/>
    <w:rsid w:val="00126B5A"/>
    <w:rsid w:val="00126B74"/>
    <w:rsid w:val="00126BCE"/>
    <w:rsid w:val="00126C00"/>
    <w:rsid w:val="00126C14"/>
    <w:rsid w:val="00126C44"/>
    <w:rsid w:val="00126C55"/>
    <w:rsid w:val="00126C79"/>
    <w:rsid w:val="00126D3A"/>
    <w:rsid w:val="00126D61"/>
    <w:rsid w:val="00126D9F"/>
    <w:rsid w:val="00126DA7"/>
    <w:rsid w:val="00126DBC"/>
    <w:rsid w:val="00126DF5"/>
    <w:rsid w:val="00126E21"/>
    <w:rsid w:val="00126E7A"/>
    <w:rsid w:val="00126E82"/>
    <w:rsid w:val="00126ED5"/>
    <w:rsid w:val="00126F16"/>
    <w:rsid w:val="00126F33"/>
    <w:rsid w:val="00126F51"/>
    <w:rsid w:val="00126F54"/>
    <w:rsid w:val="00126F77"/>
    <w:rsid w:val="00126FA4"/>
    <w:rsid w:val="00126FA9"/>
    <w:rsid w:val="00126FBD"/>
    <w:rsid w:val="00126FBF"/>
    <w:rsid w:val="00126FEE"/>
    <w:rsid w:val="00127027"/>
    <w:rsid w:val="00127043"/>
    <w:rsid w:val="00127046"/>
    <w:rsid w:val="0012704B"/>
    <w:rsid w:val="00127080"/>
    <w:rsid w:val="001270BB"/>
    <w:rsid w:val="001270FC"/>
    <w:rsid w:val="0012720A"/>
    <w:rsid w:val="00127243"/>
    <w:rsid w:val="0012725B"/>
    <w:rsid w:val="001272B7"/>
    <w:rsid w:val="001272EC"/>
    <w:rsid w:val="00127355"/>
    <w:rsid w:val="00127373"/>
    <w:rsid w:val="001273BE"/>
    <w:rsid w:val="001273CF"/>
    <w:rsid w:val="001273DF"/>
    <w:rsid w:val="00127421"/>
    <w:rsid w:val="00127423"/>
    <w:rsid w:val="00127463"/>
    <w:rsid w:val="0012746F"/>
    <w:rsid w:val="001274DE"/>
    <w:rsid w:val="001274ED"/>
    <w:rsid w:val="00127501"/>
    <w:rsid w:val="00127514"/>
    <w:rsid w:val="00127539"/>
    <w:rsid w:val="00127587"/>
    <w:rsid w:val="00127595"/>
    <w:rsid w:val="0012761E"/>
    <w:rsid w:val="0012762D"/>
    <w:rsid w:val="00127678"/>
    <w:rsid w:val="0012768E"/>
    <w:rsid w:val="001276C1"/>
    <w:rsid w:val="001276E0"/>
    <w:rsid w:val="001276F9"/>
    <w:rsid w:val="00127752"/>
    <w:rsid w:val="00127761"/>
    <w:rsid w:val="00127768"/>
    <w:rsid w:val="001277A5"/>
    <w:rsid w:val="001277C9"/>
    <w:rsid w:val="00127815"/>
    <w:rsid w:val="00127887"/>
    <w:rsid w:val="001278AF"/>
    <w:rsid w:val="001278F3"/>
    <w:rsid w:val="0012793C"/>
    <w:rsid w:val="00127987"/>
    <w:rsid w:val="001279A5"/>
    <w:rsid w:val="001279B3"/>
    <w:rsid w:val="00127A27"/>
    <w:rsid w:val="00127A51"/>
    <w:rsid w:val="00127A6B"/>
    <w:rsid w:val="00127A7B"/>
    <w:rsid w:val="00127A93"/>
    <w:rsid w:val="00127ADC"/>
    <w:rsid w:val="00127B0F"/>
    <w:rsid w:val="00127B17"/>
    <w:rsid w:val="00127B36"/>
    <w:rsid w:val="00127B6F"/>
    <w:rsid w:val="00127B90"/>
    <w:rsid w:val="00127B96"/>
    <w:rsid w:val="00127BD4"/>
    <w:rsid w:val="00127BE1"/>
    <w:rsid w:val="00127BFA"/>
    <w:rsid w:val="00127C01"/>
    <w:rsid w:val="00127C1F"/>
    <w:rsid w:val="00127C4D"/>
    <w:rsid w:val="00127C62"/>
    <w:rsid w:val="00127C73"/>
    <w:rsid w:val="00127CA7"/>
    <w:rsid w:val="00127CCC"/>
    <w:rsid w:val="00127D04"/>
    <w:rsid w:val="00127D23"/>
    <w:rsid w:val="00127D7F"/>
    <w:rsid w:val="00127D82"/>
    <w:rsid w:val="00127DA5"/>
    <w:rsid w:val="00127DF4"/>
    <w:rsid w:val="00127E04"/>
    <w:rsid w:val="00127E06"/>
    <w:rsid w:val="00127E92"/>
    <w:rsid w:val="00127EB0"/>
    <w:rsid w:val="00127EF3"/>
    <w:rsid w:val="00127F54"/>
    <w:rsid w:val="00127F77"/>
    <w:rsid w:val="00127FA1"/>
    <w:rsid w:val="00130001"/>
    <w:rsid w:val="001300E9"/>
    <w:rsid w:val="00130104"/>
    <w:rsid w:val="00130116"/>
    <w:rsid w:val="00130126"/>
    <w:rsid w:val="00130134"/>
    <w:rsid w:val="00130151"/>
    <w:rsid w:val="00130180"/>
    <w:rsid w:val="001301CB"/>
    <w:rsid w:val="001302BD"/>
    <w:rsid w:val="001302E5"/>
    <w:rsid w:val="0013031A"/>
    <w:rsid w:val="0013034C"/>
    <w:rsid w:val="00130394"/>
    <w:rsid w:val="0013039C"/>
    <w:rsid w:val="00130436"/>
    <w:rsid w:val="00130437"/>
    <w:rsid w:val="00130440"/>
    <w:rsid w:val="0013045B"/>
    <w:rsid w:val="0013047C"/>
    <w:rsid w:val="001304D3"/>
    <w:rsid w:val="001304E2"/>
    <w:rsid w:val="00130507"/>
    <w:rsid w:val="0013052C"/>
    <w:rsid w:val="0013054F"/>
    <w:rsid w:val="001305A1"/>
    <w:rsid w:val="001305B0"/>
    <w:rsid w:val="001305B1"/>
    <w:rsid w:val="001305C3"/>
    <w:rsid w:val="00130613"/>
    <w:rsid w:val="0013061C"/>
    <w:rsid w:val="00130644"/>
    <w:rsid w:val="001306DB"/>
    <w:rsid w:val="00130717"/>
    <w:rsid w:val="0013075C"/>
    <w:rsid w:val="00130768"/>
    <w:rsid w:val="00130772"/>
    <w:rsid w:val="0013081D"/>
    <w:rsid w:val="00130828"/>
    <w:rsid w:val="0013082F"/>
    <w:rsid w:val="0013084A"/>
    <w:rsid w:val="00130854"/>
    <w:rsid w:val="0013085A"/>
    <w:rsid w:val="00130883"/>
    <w:rsid w:val="00130885"/>
    <w:rsid w:val="00130947"/>
    <w:rsid w:val="00130956"/>
    <w:rsid w:val="00130961"/>
    <w:rsid w:val="00130A2F"/>
    <w:rsid w:val="00130AB2"/>
    <w:rsid w:val="00130ACD"/>
    <w:rsid w:val="00130B04"/>
    <w:rsid w:val="00130B2B"/>
    <w:rsid w:val="00130B3D"/>
    <w:rsid w:val="00130B6E"/>
    <w:rsid w:val="00130BD3"/>
    <w:rsid w:val="00130C03"/>
    <w:rsid w:val="00130C54"/>
    <w:rsid w:val="00130C8A"/>
    <w:rsid w:val="00130C91"/>
    <w:rsid w:val="00130CB6"/>
    <w:rsid w:val="00130CCF"/>
    <w:rsid w:val="00130CF8"/>
    <w:rsid w:val="00130D65"/>
    <w:rsid w:val="00130D90"/>
    <w:rsid w:val="00130DC4"/>
    <w:rsid w:val="00130DDF"/>
    <w:rsid w:val="00130DF3"/>
    <w:rsid w:val="00130E2C"/>
    <w:rsid w:val="00130E30"/>
    <w:rsid w:val="00130E90"/>
    <w:rsid w:val="00130EB1"/>
    <w:rsid w:val="00130EE1"/>
    <w:rsid w:val="00130F11"/>
    <w:rsid w:val="00130F5B"/>
    <w:rsid w:val="00130FB9"/>
    <w:rsid w:val="00130FD3"/>
    <w:rsid w:val="00131056"/>
    <w:rsid w:val="00131069"/>
    <w:rsid w:val="001310C1"/>
    <w:rsid w:val="001310C9"/>
    <w:rsid w:val="001310FF"/>
    <w:rsid w:val="0013119C"/>
    <w:rsid w:val="001311C8"/>
    <w:rsid w:val="001311D7"/>
    <w:rsid w:val="001311F9"/>
    <w:rsid w:val="00131200"/>
    <w:rsid w:val="0013121F"/>
    <w:rsid w:val="00131224"/>
    <w:rsid w:val="00131289"/>
    <w:rsid w:val="00131293"/>
    <w:rsid w:val="001312B5"/>
    <w:rsid w:val="00131321"/>
    <w:rsid w:val="001313EC"/>
    <w:rsid w:val="0013141B"/>
    <w:rsid w:val="00131464"/>
    <w:rsid w:val="001314C5"/>
    <w:rsid w:val="001314D2"/>
    <w:rsid w:val="00131532"/>
    <w:rsid w:val="0013153D"/>
    <w:rsid w:val="00131560"/>
    <w:rsid w:val="001315C0"/>
    <w:rsid w:val="001315DB"/>
    <w:rsid w:val="001315E9"/>
    <w:rsid w:val="001315FF"/>
    <w:rsid w:val="00131610"/>
    <w:rsid w:val="0013164D"/>
    <w:rsid w:val="00131697"/>
    <w:rsid w:val="001316C3"/>
    <w:rsid w:val="001316E9"/>
    <w:rsid w:val="001316F8"/>
    <w:rsid w:val="0013170E"/>
    <w:rsid w:val="0013173F"/>
    <w:rsid w:val="00131740"/>
    <w:rsid w:val="00131747"/>
    <w:rsid w:val="00131773"/>
    <w:rsid w:val="001317CA"/>
    <w:rsid w:val="00131802"/>
    <w:rsid w:val="001318CA"/>
    <w:rsid w:val="001319A6"/>
    <w:rsid w:val="001319C1"/>
    <w:rsid w:val="001319DD"/>
    <w:rsid w:val="001319F7"/>
    <w:rsid w:val="00131AA9"/>
    <w:rsid w:val="00131AC5"/>
    <w:rsid w:val="00131AC9"/>
    <w:rsid w:val="00131AD5"/>
    <w:rsid w:val="00131AF2"/>
    <w:rsid w:val="00131B07"/>
    <w:rsid w:val="00131B26"/>
    <w:rsid w:val="00131B5C"/>
    <w:rsid w:val="00131B65"/>
    <w:rsid w:val="00131BB4"/>
    <w:rsid w:val="00131BD9"/>
    <w:rsid w:val="00131C15"/>
    <w:rsid w:val="00131C1D"/>
    <w:rsid w:val="00131C28"/>
    <w:rsid w:val="00131C99"/>
    <w:rsid w:val="00131CA6"/>
    <w:rsid w:val="00131CDF"/>
    <w:rsid w:val="00131CE6"/>
    <w:rsid w:val="00131D04"/>
    <w:rsid w:val="00131D7C"/>
    <w:rsid w:val="00131DA7"/>
    <w:rsid w:val="00131DED"/>
    <w:rsid w:val="00131E08"/>
    <w:rsid w:val="00131E19"/>
    <w:rsid w:val="00131E5B"/>
    <w:rsid w:val="00131E73"/>
    <w:rsid w:val="00131E9B"/>
    <w:rsid w:val="00131EB7"/>
    <w:rsid w:val="00131EE4"/>
    <w:rsid w:val="00131F15"/>
    <w:rsid w:val="00131F4C"/>
    <w:rsid w:val="00131F72"/>
    <w:rsid w:val="00131F94"/>
    <w:rsid w:val="00131FA3"/>
    <w:rsid w:val="00131FCC"/>
    <w:rsid w:val="00131FE4"/>
    <w:rsid w:val="00131FE9"/>
    <w:rsid w:val="00131FEB"/>
    <w:rsid w:val="00132014"/>
    <w:rsid w:val="00132050"/>
    <w:rsid w:val="0013206B"/>
    <w:rsid w:val="001320C8"/>
    <w:rsid w:val="001320CF"/>
    <w:rsid w:val="001320DF"/>
    <w:rsid w:val="0013216A"/>
    <w:rsid w:val="00132183"/>
    <w:rsid w:val="001321B7"/>
    <w:rsid w:val="001321D9"/>
    <w:rsid w:val="001321E4"/>
    <w:rsid w:val="00132236"/>
    <w:rsid w:val="001322D1"/>
    <w:rsid w:val="00132321"/>
    <w:rsid w:val="00132337"/>
    <w:rsid w:val="001323F9"/>
    <w:rsid w:val="001324AC"/>
    <w:rsid w:val="001324E6"/>
    <w:rsid w:val="00132568"/>
    <w:rsid w:val="0013259F"/>
    <w:rsid w:val="001325A5"/>
    <w:rsid w:val="001325D6"/>
    <w:rsid w:val="001325F5"/>
    <w:rsid w:val="00132619"/>
    <w:rsid w:val="00132655"/>
    <w:rsid w:val="001326BC"/>
    <w:rsid w:val="001326D9"/>
    <w:rsid w:val="001326F1"/>
    <w:rsid w:val="00132734"/>
    <w:rsid w:val="0013277D"/>
    <w:rsid w:val="001327B9"/>
    <w:rsid w:val="001327BC"/>
    <w:rsid w:val="001327BF"/>
    <w:rsid w:val="001327F7"/>
    <w:rsid w:val="00132895"/>
    <w:rsid w:val="0013289B"/>
    <w:rsid w:val="0013294D"/>
    <w:rsid w:val="00132984"/>
    <w:rsid w:val="00132A0F"/>
    <w:rsid w:val="00132A2A"/>
    <w:rsid w:val="00132ABB"/>
    <w:rsid w:val="00132ACF"/>
    <w:rsid w:val="00132ADD"/>
    <w:rsid w:val="00132B3B"/>
    <w:rsid w:val="00132B79"/>
    <w:rsid w:val="00132BA0"/>
    <w:rsid w:val="00132BAA"/>
    <w:rsid w:val="00132C03"/>
    <w:rsid w:val="00132C2A"/>
    <w:rsid w:val="00132CCB"/>
    <w:rsid w:val="00132CD9"/>
    <w:rsid w:val="00132CDC"/>
    <w:rsid w:val="00132D81"/>
    <w:rsid w:val="00132DD0"/>
    <w:rsid w:val="00132DD6"/>
    <w:rsid w:val="00132E08"/>
    <w:rsid w:val="00132E73"/>
    <w:rsid w:val="00132E92"/>
    <w:rsid w:val="00132E9F"/>
    <w:rsid w:val="00132EAD"/>
    <w:rsid w:val="00132ED6"/>
    <w:rsid w:val="00132F32"/>
    <w:rsid w:val="00132F37"/>
    <w:rsid w:val="00132F5B"/>
    <w:rsid w:val="00132F5E"/>
    <w:rsid w:val="00133014"/>
    <w:rsid w:val="0013307F"/>
    <w:rsid w:val="001330C8"/>
    <w:rsid w:val="001330D4"/>
    <w:rsid w:val="001330D8"/>
    <w:rsid w:val="001330F6"/>
    <w:rsid w:val="0013312F"/>
    <w:rsid w:val="0013316A"/>
    <w:rsid w:val="0013317C"/>
    <w:rsid w:val="0013317F"/>
    <w:rsid w:val="0013319A"/>
    <w:rsid w:val="001331A7"/>
    <w:rsid w:val="001331B0"/>
    <w:rsid w:val="001331D9"/>
    <w:rsid w:val="00133239"/>
    <w:rsid w:val="0013323E"/>
    <w:rsid w:val="00133260"/>
    <w:rsid w:val="0013326B"/>
    <w:rsid w:val="001332EB"/>
    <w:rsid w:val="00133315"/>
    <w:rsid w:val="00133320"/>
    <w:rsid w:val="00133326"/>
    <w:rsid w:val="00133360"/>
    <w:rsid w:val="001333E1"/>
    <w:rsid w:val="0013342F"/>
    <w:rsid w:val="0013345D"/>
    <w:rsid w:val="00133479"/>
    <w:rsid w:val="00133507"/>
    <w:rsid w:val="00133529"/>
    <w:rsid w:val="0013353D"/>
    <w:rsid w:val="00133543"/>
    <w:rsid w:val="001335C3"/>
    <w:rsid w:val="001335FD"/>
    <w:rsid w:val="00133674"/>
    <w:rsid w:val="001336C1"/>
    <w:rsid w:val="001336C5"/>
    <w:rsid w:val="00133762"/>
    <w:rsid w:val="00133765"/>
    <w:rsid w:val="001337B4"/>
    <w:rsid w:val="00133857"/>
    <w:rsid w:val="001338C3"/>
    <w:rsid w:val="0013390B"/>
    <w:rsid w:val="00133923"/>
    <w:rsid w:val="0013394D"/>
    <w:rsid w:val="0013399D"/>
    <w:rsid w:val="001339BB"/>
    <w:rsid w:val="001339EF"/>
    <w:rsid w:val="00133A16"/>
    <w:rsid w:val="00133A1A"/>
    <w:rsid w:val="00133A60"/>
    <w:rsid w:val="00133A91"/>
    <w:rsid w:val="00133AAB"/>
    <w:rsid w:val="00133AAD"/>
    <w:rsid w:val="00133ABA"/>
    <w:rsid w:val="00133AC3"/>
    <w:rsid w:val="00133AE8"/>
    <w:rsid w:val="00133AFD"/>
    <w:rsid w:val="00133B57"/>
    <w:rsid w:val="00133B86"/>
    <w:rsid w:val="00133BA2"/>
    <w:rsid w:val="00133BDE"/>
    <w:rsid w:val="00133C59"/>
    <w:rsid w:val="00133C97"/>
    <w:rsid w:val="00133CA9"/>
    <w:rsid w:val="00133CBA"/>
    <w:rsid w:val="00133CCC"/>
    <w:rsid w:val="00133CEE"/>
    <w:rsid w:val="00133D08"/>
    <w:rsid w:val="00133D0E"/>
    <w:rsid w:val="00133D1E"/>
    <w:rsid w:val="00133D74"/>
    <w:rsid w:val="00133DFB"/>
    <w:rsid w:val="00133E29"/>
    <w:rsid w:val="00133E2B"/>
    <w:rsid w:val="00133E38"/>
    <w:rsid w:val="00133E5A"/>
    <w:rsid w:val="00133E5F"/>
    <w:rsid w:val="00133EAA"/>
    <w:rsid w:val="00133ED1"/>
    <w:rsid w:val="00133EE6"/>
    <w:rsid w:val="00133F0A"/>
    <w:rsid w:val="00133F14"/>
    <w:rsid w:val="00133FB6"/>
    <w:rsid w:val="00133FC7"/>
    <w:rsid w:val="00133FD9"/>
    <w:rsid w:val="00133FE7"/>
    <w:rsid w:val="0013400B"/>
    <w:rsid w:val="00134070"/>
    <w:rsid w:val="001340CB"/>
    <w:rsid w:val="001340D3"/>
    <w:rsid w:val="001340D6"/>
    <w:rsid w:val="001340E9"/>
    <w:rsid w:val="00134114"/>
    <w:rsid w:val="0013419E"/>
    <w:rsid w:val="001341C2"/>
    <w:rsid w:val="0013425A"/>
    <w:rsid w:val="001342A3"/>
    <w:rsid w:val="00134318"/>
    <w:rsid w:val="0013432D"/>
    <w:rsid w:val="00134332"/>
    <w:rsid w:val="00134347"/>
    <w:rsid w:val="0013435F"/>
    <w:rsid w:val="0013439A"/>
    <w:rsid w:val="00134403"/>
    <w:rsid w:val="0013444C"/>
    <w:rsid w:val="00134485"/>
    <w:rsid w:val="0013448E"/>
    <w:rsid w:val="001344FA"/>
    <w:rsid w:val="00134581"/>
    <w:rsid w:val="00134584"/>
    <w:rsid w:val="001345BA"/>
    <w:rsid w:val="001346F6"/>
    <w:rsid w:val="00134705"/>
    <w:rsid w:val="0013473B"/>
    <w:rsid w:val="00134748"/>
    <w:rsid w:val="00134780"/>
    <w:rsid w:val="0013479B"/>
    <w:rsid w:val="0013479D"/>
    <w:rsid w:val="001347B2"/>
    <w:rsid w:val="001347DF"/>
    <w:rsid w:val="001347EE"/>
    <w:rsid w:val="001347F0"/>
    <w:rsid w:val="0013480C"/>
    <w:rsid w:val="00134851"/>
    <w:rsid w:val="00134876"/>
    <w:rsid w:val="0013489C"/>
    <w:rsid w:val="001348FB"/>
    <w:rsid w:val="00134904"/>
    <w:rsid w:val="00134910"/>
    <w:rsid w:val="001349C1"/>
    <w:rsid w:val="00134A10"/>
    <w:rsid w:val="00134AB2"/>
    <w:rsid w:val="00134AD5"/>
    <w:rsid w:val="00134B92"/>
    <w:rsid w:val="00134BE4"/>
    <w:rsid w:val="00134C4A"/>
    <w:rsid w:val="00134CA5"/>
    <w:rsid w:val="00134D5B"/>
    <w:rsid w:val="00134D66"/>
    <w:rsid w:val="00134D7B"/>
    <w:rsid w:val="00134E0E"/>
    <w:rsid w:val="00134E26"/>
    <w:rsid w:val="00134E3D"/>
    <w:rsid w:val="00134E49"/>
    <w:rsid w:val="00134E8E"/>
    <w:rsid w:val="00134EB1"/>
    <w:rsid w:val="00134F81"/>
    <w:rsid w:val="00134FB8"/>
    <w:rsid w:val="00135094"/>
    <w:rsid w:val="00135113"/>
    <w:rsid w:val="00135140"/>
    <w:rsid w:val="00135160"/>
    <w:rsid w:val="001351AB"/>
    <w:rsid w:val="001351B4"/>
    <w:rsid w:val="001351E8"/>
    <w:rsid w:val="00135238"/>
    <w:rsid w:val="001352CB"/>
    <w:rsid w:val="00135320"/>
    <w:rsid w:val="00135326"/>
    <w:rsid w:val="00135395"/>
    <w:rsid w:val="00135399"/>
    <w:rsid w:val="001353B1"/>
    <w:rsid w:val="001353C3"/>
    <w:rsid w:val="001353DC"/>
    <w:rsid w:val="0013540C"/>
    <w:rsid w:val="00135433"/>
    <w:rsid w:val="00135441"/>
    <w:rsid w:val="00135474"/>
    <w:rsid w:val="00135500"/>
    <w:rsid w:val="00135571"/>
    <w:rsid w:val="0013558F"/>
    <w:rsid w:val="00135591"/>
    <w:rsid w:val="001355D5"/>
    <w:rsid w:val="001355DB"/>
    <w:rsid w:val="001355E9"/>
    <w:rsid w:val="00135607"/>
    <w:rsid w:val="0013560F"/>
    <w:rsid w:val="00135611"/>
    <w:rsid w:val="0013564B"/>
    <w:rsid w:val="001356DD"/>
    <w:rsid w:val="001356EB"/>
    <w:rsid w:val="00135763"/>
    <w:rsid w:val="0013577C"/>
    <w:rsid w:val="0013578B"/>
    <w:rsid w:val="001357C5"/>
    <w:rsid w:val="001357E9"/>
    <w:rsid w:val="00135857"/>
    <w:rsid w:val="00135876"/>
    <w:rsid w:val="00135895"/>
    <w:rsid w:val="00135898"/>
    <w:rsid w:val="00135901"/>
    <w:rsid w:val="00135921"/>
    <w:rsid w:val="0013593C"/>
    <w:rsid w:val="00135980"/>
    <w:rsid w:val="001359EE"/>
    <w:rsid w:val="00135A77"/>
    <w:rsid w:val="00135AB7"/>
    <w:rsid w:val="00135B00"/>
    <w:rsid w:val="00135B58"/>
    <w:rsid w:val="00135B73"/>
    <w:rsid w:val="00135B93"/>
    <w:rsid w:val="00135BAE"/>
    <w:rsid w:val="00135BD7"/>
    <w:rsid w:val="00135C0E"/>
    <w:rsid w:val="00135C50"/>
    <w:rsid w:val="00135CD3"/>
    <w:rsid w:val="00135CE1"/>
    <w:rsid w:val="00135D10"/>
    <w:rsid w:val="00135D87"/>
    <w:rsid w:val="00135D8C"/>
    <w:rsid w:val="00135DA9"/>
    <w:rsid w:val="00135E08"/>
    <w:rsid w:val="00135E14"/>
    <w:rsid w:val="00135EB3"/>
    <w:rsid w:val="00135EBC"/>
    <w:rsid w:val="00135EBE"/>
    <w:rsid w:val="00135EE5"/>
    <w:rsid w:val="00135F09"/>
    <w:rsid w:val="00135F50"/>
    <w:rsid w:val="00135F79"/>
    <w:rsid w:val="00135FA6"/>
    <w:rsid w:val="00135FCE"/>
    <w:rsid w:val="00136011"/>
    <w:rsid w:val="0013602B"/>
    <w:rsid w:val="00136033"/>
    <w:rsid w:val="00136045"/>
    <w:rsid w:val="001360A4"/>
    <w:rsid w:val="001360C1"/>
    <w:rsid w:val="001360E3"/>
    <w:rsid w:val="001361C6"/>
    <w:rsid w:val="001361D6"/>
    <w:rsid w:val="001361DD"/>
    <w:rsid w:val="00136220"/>
    <w:rsid w:val="0013622B"/>
    <w:rsid w:val="00136248"/>
    <w:rsid w:val="0013627C"/>
    <w:rsid w:val="001362B4"/>
    <w:rsid w:val="001362F5"/>
    <w:rsid w:val="001362F7"/>
    <w:rsid w:val="0013630A"/>
    <w:rsid w:val="00136310"/>
    <w:rsid w:val="00136370"/>
    <w:rsid w:val="0013637D"/>
    <w:rsid w:val="001363BA"/>
    <w:rsid w:val="00136464"/>
    <w:rsid w:val="0013658F"/>
    <w:rsid w:val="0013663C"/>
    <w:rsid w:val="00136646"/>
    <w:rsid w:val="00136648"/>
    <w:rsid w:val="00136663"/>
    <w:rsid w:val="00136682"/>
    <w:rsid w:val="0013668E"/>
    <w:rsid w:val="00136700"/>
    <w:rsid w:val="00136796"/>
    <w:rsid w:val="001367A2"/>
    <w:rsid w:val="001368D7"/>
    <w:rsid w:val="001368DD"/>
    <w:rsid w:val="001368EC"/>
    <w:rsid w:val="0013690C"/>
    <w:rsid w:val="00136946"/>
    <w:rsid w:val="00136961"/>
    <w:rsid w:val="001369AE"/>
    <w:rsid w:val="001369FF"/>
    <w:rsid w:val="00136A20"/>
    <w:rsid w:val="00136AC9"/>
    <w:rsid w:val="00136ACA"/>
    <w:rsid w:val="00136AEE"/>
    <w:rsid w:val="00136B01"/>
    <w:rsid w:val="00136B11"/>
    <w:rsid w:val="00136B14"/>
    <w:rsid w:val="00136B23"/>
    <w:rsid w:val="00136B32"/>
    <w:rsid w:val="00136B59"/>
    <w:rsid w:val="00136B91"/>
    <w:rsid w:val="00136BAE"/>
    <w:rsid w:val="00136BB3"/>
    <w:rsid w:val="00136BC5"/>
    <w:rsid w:val="00136C23"/>
    <w:rsid w:val="00136C43"/>
    <w:rsid w:val="00136CB0"/>
    <w:rsid w:val="00136CD4"/>
    <w:rsid w:val="00136CF8"/>
    <w:rsid w:val="00136D61"/>
    <w:rsid w:val="00136D6F"/>
    <w:rsid w:val="00136D83"/>
    <w:rsid w:val="00136D87"/>
    <w:rsid w:val="00136D8F"/>
    <w:rsid w:val="00136DB5"/>
    <w:rsid w:val="00136DBC"/>
    <w:rsid w:val="00136DFF"/>
    <w:rsid w:val="00136E11"/>
    <w:rsid w:val="00136E32"/>
    <w:rsid w:val="00136E36"/>
    <w:rsid w:val="00136E3E"/>
    <w:rsid w:val="00136E61"/>
    <w:rsid w:val="00136EB4"/>
    <w:rsid w:val="00136EBA"/>
    <w:rsid w:val="00136ED5"/>
    <w:rsid w:val="00136EE8"/>
    <w:rsid w:val="00136F28"/>
    <w:rsid w:val="00136FA6"/>
    <w:rsid w:val="00137005"/>
    <w:rsid w:val="001370CB"/>
    <w:rsid w:val="001370D7"/>
    <w:rsid w:val="001370EB"/>
    <w:rsid w:val="00137121"/>
    <w:rsid w:val="00137126"/>
    <w:rsid w:val="00137133"/>
    <w:rsid w:val="0013714E"/>
    <w:rsid w:val="001371A8"/>
    <w:rsid w:val="001371C0"/>
    <w:rsid w:val="001371C7"/>
    <w:rsid w:val="001371E5"/>
    <w:rsid w:val="00137208"/>
    <w:rsid w:val="0013724F"/>
    <w:rsid w:val="001372AE"/>
    <w:rsid w:val="001372C7"/>
    <w:rsid w:val="001372E2"/>
    <w:rsid w:val="001372FD"/>
    <w:rsid w:val="0013731C"/>
    <w:rsid w:val="001373C9"/>
    <w:rsid w:val="001373F8"/>
    <w:rsid w:val="00137409"/>
    <w:rsid w:val="0013741C"/>
    <w:rsid w:val="00137438"/>
    <w:rsid w:val="0013743F"/>
    <w:rsid w:val="00137443"/>
    <w:rsid w:val="00137452"/>
    <w:rsid w:val="00137483"/>
    <w:rsid w:val="001374AB"/>
    <w:rsid w:val="001374AC"/>
    <w:rsid w:val="001374CB"/>
    <w:rsid w:val="001374E4"/>
    <w:rsid w:val="001374E8"/>
    <w:rsid w:val="001374F7"/>
    <w:rsid w:val="00137544"/>
    <w:rsid w:val="0013754A"/>
    <w:rsid w:val="0013759D"/>
    <w:rsid w:val="001375BC"/>
    <w:rsid w:val="00137635"/>
    <w:rsid w:val="00137641"/>
    <w:rsid w:val="001376B7"/>
    <w:rsid w:val="001376CC"/>
    <w:rsid w:val="001376D2"/>
    <w:rsid w:val="001376D3"/>
    <w:rsid w:val="001376F6"/>
    <w:rsid w:val="0013770B"/>
    <w:rsid w:val="00137736"/>
    <w:rsid w:val="0013774A"/>
    <w:rsid w:val="0013776A"/>
    <w:rsid w:val="001377D9"/>
    <w:rsid w:val="001377F1"/>
    <w:rsid w:val="001377F3"/>
    <w:rsid w:val="001377F7"/>
    <w:rsid w:val="0013784D"/>
    <w:rsid w:val="00137881"/>
    <w:rsid w:val="001378A1"/>
    <w:rsid w:val="001379C7"/>
    <w:rsid w:val="001379FF"/>
    <w:rsid w:val="00137A31"/>
    <w:rsid w:val="00137A88"/>
    <w:rsid w:val="00137AED"/>
    <w:rsid w:val="00137B4E"/>
    <w:rsid w:val="00137B75"/>
    <w:rsid w:val="00137B8A"/>
    <w:rsid w:val="00137B92"/>
    <w:rsid w:val="00137BD6"/>
    <w:rsid w:val="00137BEB"/>
    <w:rsid w:val="00137C52"/>
    <w:rsid w:val="00137C7C"/>
    <w:rsid w:val="00137C8D"/>
    <w:rsid w:val="00137CE3"/>
    <w:rsid w:val="00137CE9"/>
    <w:rsid w:val="00137D11"/>
    <w:rsid w:val="00137D17"/>
    <w:rsid w:val="00137D64"/>
    <w:rsid w:val="00137D66"/>
    <w:rsid w:val="00137DB2"/>
    <w:rsid w:val="00137DC9"/>
    <w:rsid w:val="00137DD3"/>
    <w:rsid w:val="00137E70"/>
    <w:rsid w:val="00137E7B"/>
    <w:rsid w:val="00137EA0"/>
    <w:rsid w:val="00137EF9"/>
    <w:rsid w:val="00137EFC"/>
    <w:rsid w:val="00137F03"/>
    <w:rsid w:val="00137F05"/>
    <w:rsid w:val="00137F72"/>
    <w:rsid w:val="00137F75"/>
    <w:rsid w:val="00137F99"/>
    <w:rsid w:val="00137F9E"/>
    <w:rsid w:val="00137FB5"/>
    <w:rsid w:val="00137FE8"/>
    <w:rsid w:val="00137FF6"/>
    <w:rsid w:val="00140009"/>
    <w:rsid w:val="0014003B"/>
    <w:rsid w:val="0014006A"/>
    <w:rsid w:val="00140090"/>
    <w:rsid w:val="001400CA"/>
    <w:rsid w:val="001400DE"/>
    <w:rsid w:val="0014013F"/>
    <w:rsid w:val="00140221"/>
    <w:rsid w:val="00140237"/>
    <w:rsid w:val="00140257"/>
    <w:rsid w:val="00140284"/>
    <w:rsid w:val="0014029C"/>
    <w:rsid w:val="0014029E"/>
    <w:rsid w:val="0014035B"/>
    <w:rsid w:val="00140414"/>
    <w:rsid w:val="0014043F"/>
    <w:rsid w:val="0014045A"/>
    <w:rsid w:val="00140482"/>
    <w:rsid w:val="00140498"/>
    <w:rsid w:val="001404EC"/>
    <w:rsid w:val="00140588"/>
    <w:rsid w:val="001405B4"/>
    <w:rsid w:val="001405B7"/>
    <w:rsid w:val="00140634"/>
    <w:rsid w:val="00140659"/>
    <w:rsid w:val="00140695"/>
    <w:rsid w:val="001406A2"/>
    <w:rsid w:val="001406D7"/>
    <w:rsid w:val="001406E5"/>
    <w:rsid w:val="00140780"/>
    <w:rsid w:val="00140784"/>
    <w:rsid w:val="001407A6"/>
    <w:rsid w:val="001407E4"/>
    <w:rsid w:val="001407EC"/>
    <w:rsid w:val="00140881"/>
    <w:rsid w:val="00140890"/>
    <w:rsid w:val="001408EA"/>
    <w:rsid w:val="001408F8"/>
    <w:rsid w:val="00140948"/>
    <w:rsid w:val="001409A2"/>
    <w:rsid w:val="001409E2"/>
    <w:rsid w:val="00140A04"/>
    <w:rsid w:val="00140A40"/>
    <w:rsid w:val="00140AD6"/>
    <w:rsid w:val="00140B2E"/>
    <w:rsid w:val="00140B99"/>
    <w:rsid w:val="00140BB6"/>
    <w:rsid w:val="00140BD9"/>
    <w:rsid w:val="00140BE3"/>
    <w:rsid w:val="00140C25"/>
    <w:rsid w:val="00140C38"/>
    <w:rsid w:val="00140C4C"/>
    <w:rsid w:val="00140C6A"/>
    <w:rsid w:val="00140CD3"/>
    <w:rsid w:val="00140CDF"/>
    <w:rsid w:val="00140D1A"/>
    <w:rsid w:val="00140D5A"/>
    <w:rsid w:val="00140D6F"/>
    <w:rsid w:val="00140E16"/>
    <w:rsid w:val="00140E62"/>
    <w:rsid w:val="00140E84"/>
    <w:rsid w:val="00140EC7"/>
    <w:rsid w:val="00140ED6"/>
    <w:rsid w:val="00140ED7"/>
    <w:rsid w:val="00140EEC"/>
    <w:rsid w:val="00140FAE"/>
    <w:rsid w:val="00140FC2"/>
    <w:rsid w:val="00140FDF"/>
    <w:rsid w:val="00140FE4"/>
    <w:rsid w:val="00141053"/>
    <w:rsid w:val="001410DF"/>
    <w:rsid w:val="00141111"/>
    <w:rsid w:val="001411E6"/>
    <w:rsid w:val="00141244"/>
    <w:rsid w:val="00141253"/>
    <w:rsid w:val="00141257"/>
    <w:rsid w:val="00141296"/>
    <w:rsid w:val="001412B3"/>
    <w:rsid w:val="0014143C"/>
    <w:rsid w:val="00141451"/>
    <w:rsid w:val="00141471"/>
    <w:rsid w:val="001414A1"/>
    <w:rsid w:val="001414B2"/>
    <w:rsid w:val="001414D0"/>
    <w:rsid w:val="00141565"/>
    <w:rsid w:val="001415B4"/>
    <w:rsid w:val="001415B6"/>
    <w:rsid w:val="001415C0"/>
    <w:rsid w:val="001415F7"/>
    <w:rsid w:val="0014168E"/>
    <w:rsid w:val="001416E2"/>
    <w:rsid w:val="00141721"/>
    <w:rsid w:val="00141727"/>
    <w:rsid w:val="00141728"/>
    <w:rsid w:val="001417A0"/>
    <w:rsid w:val="001417B4"/>
    <w:rsid w:val="001417FD"/>
    <w:rsid w:val="00141828"/>
    <w:rsid w:val="0014182E"/>
    <w:rsid w:val="001418A4"/>
    <w:rsid w:val="0014191B"/>
    <w:rsid w:val="0014191C"/>
    <w:rsid w:val="00141938"/>
    <w:rsid w:val="00141945"/>
    <w:rsid w:val="0014195F"/>
    <w:rsid w:val="0014198A"/>
    <w:rsid w:val="00141A14"/>
    <w:rsid w:val="00141A75"/>
    <w:rsid w:val="00141A8B"/>
    <w:rsid w:val="00141B06"/>
    <w:rsid w:val="00141B2A"/>
    <w:rsid w:val="00141B90"/>
    <w:rsid w:val="00141BE0"/>
    <w:rsid w:val="00141C27"/>
    <w:rsid w:val="00141C56"/>
    <w:rsid w:val="00141C70"/>
    <w:rsid w:val="00141CEC"/>
    <w:rsid w:val="00141CED"/>
    <w:rsid w:val="00141D02"/>
    <w:rsid w:val="00141D0F"/>
    <w:rsid w:val="00141D48"/>
    <w:rsid w:val="00141D4E"/>
    <w:rsid w:val="00141D8F"/>
    <w:rsid w:val="00141D92"/>
    <w:rsid w:val="00141DD1"/>
    <w:rsid w:val="00141DD2"/>
    <w:rsid w:val="00141E41"/>
    <w:rsid w:val="00141E60"/>
    <w:rsid w:val="00141E7B"/>
    <w:rsid w:val="00141EC9"/>
    <w:rsid w:val="00141EE6"/>
    <w:rsid w:val="00141F44"/>
    <w:rsid w:val="00141F71"/>
    <w:rsid w:val="00141F81"/>
    <w:rsid w:val="00141FA1"/>
    <w:rsid w:val="00141FA3"/>
    <w:rsid w:val="00141FE7"/>
    <w:rsid w:val="00141FEF"/>
    <w:rsid w:val="0014209B"/>
    <w:rsid w:val="001420DC"/>
    <w:rsid w:val="001420E5"/>
    <w:rsid w:val="0014219E"/>
    <w:rsid w:val="001421E6"/>
    <w:rsid w:val="0014221C"/>
    <w:rsid w:val="0014222F"/>
    <w:rsid w:val="00142242"/>
    <w:rsid w:val="00142278"/>
    <w:rsid w:val="001422C5"/>
    <w:rsid w:val="001422CA"/>
    <w:rsid w:val="001422DA"/>
    <w:rsid w:val="001422EA"/>
    <w:rsid w:val="00142365"/>
    <w:rsid w:val="001423D7"/>
    <w:rsid w:val="00142461"/>
    <w:rsid w:val="001424B7"/>
    <w:rsid w:val="001424CA"/>
    <w:rsid w:val="0014250A"/>
    <w:rsid w:val="00142523"/>
    <w:rsid w:val="001425B8"/>
    <w:rsid w:val="001425DA"/>
    <w:rsid w:val="00142603"/>
    <w:rsid w:val="0014261B"/>
    <w:rsid w:val="0014261D"/>
    <w:rsid w:val="0014265E"/>
    <w:rsid w:val="00142664"/>
    <w:rsid w:val="001426D3"/>
    <w:rsid w:val="001426D7"/>
    <w:rsid w:val="00142729"/>
    <w:rsid w:val="00142737"/>
    <w:rsid w:val="00142789"/>
    <w:rsid w:val="001427A2"/>
    <w:rsid w:val="001427A5"/>
    <w:rsid w:val="001427A8"/>
    <w:rsid w:val="001427A9"/>
    <w:rsid w:val="001427CD"/>
    <w:rsid w:val="0014280D"/>
    <w:rsid w:val="0014280F"/>
    <w:rsid w:val="00142856"/>
    <w:rsid w:val="0014286A"/>
    <w:rsid w:val="0014288E"/>
    <w:rsid w:val="001428AC"/>
    <w:rsid w:val="001428B3"/>
    <w:rsid w:val="001428D2"/>
    <w:rsid w:val="001428F4"/>
    <w:rsid w:val="0014292D"/>
    <w:rsid w:val="00142942"/>
    <w:rsid w:val="00142944"/>
    <w:rsid w:val="00142961"/>
    <w:rsid w:val="00142A35"/>
    <w:rsid w:val="00142A47"/>
    <w:rsid w:val="00142A59"/>
    <w:rsid w:val="00142A98"/>
    <w:rsid w:val="00142ABA"/>
    <w:rsid w:val="00142B17"/>
    <w:rsid w:val="00142B8B"/>
    <w:rsid w:val="00142BF7"/>
    <w:rsid w:val="00142C1D"/>
    <w:rsid w:val="00142C5C"/>
    <w:rsid w:val="00142D26"/>
    <w:rsid w:val="00142D48"/>
    <w:rsid w:val="00142E29"/>
    <w:rsid w:val="00142E52"/>
    <w:rsid w:val="00142E57"/>
    <w:rsid w:val="00142EE3"/>
    <w:rsid w:val="00142EEC"/>
    <w:rsid w:val="00142F21"/>
    <w:rsid w:val="00142F74"/>
    <w:rsid w:val="00142F83"/>
    <w:rsid w:val="00142FC8"/>
    <w:rsid w:val="00142FF5"/>
    <w:rsid w:val="00142FF9"/>
    <w:rsid w:val="0014304D"/>
    <w:rsid w:val="00143056"/>
    <w:rsid w:val="00143167"/>
    <w:rsid w:val="00143177"/>
    <w:rsid w:val="00143193"/>
    <w:rsid w:val="001431C1"/>
    <w:rsid w:val="0014321E"/>
    <w:rsid w:val="0014321F"/>
    <w:rsid w:val="0014324B"/>
    <w:rsid w:val="00143251"/>
    <w:rsid w:val="00143299"/>
    <w:rsid w:val="001432F4"/>
    <w:rsid w:val="00143441"/>
    <w:rsid w:val="00143450"/>
    <w:rsid w:val="0014347F"/>
    <w:rsid w:val="001434CF"/>
    <w:rsid w:val="001434DD"/>
    <w:rsid w:val="00143509"/>
    <w:rsid w:val="00143520"/>
    <w:rsid w:val="00143527"/>
    <w:rsid w:val="0014357D"/>
    <w:rsid w:val="001435BB"/>
    <w:rsid w:val="001435D5"/>
    <w:rsid w:val="001435E0"/>
    <w:rsid w:val="00143662"/>
    <w:rsid w:val="00143668"/>
    <w:rsid w:val="00143685"/>
    <w:rsid w:val="001436BD"/>
    <w:rsid w:val="0014377C"/>
    <w:rsid w:val="00143798"/>
    <w:rsid w:val="001437BA"/>
    <w:rsid w:val="001437D8"/>
    <w:rsid w:val="00143802"/>
    <w:rsid w:val="0014382E"/>
    <w:rsid w:val="0014384D"/>
    <w:rsid w:val="001438D3"/>
    <w:rsid w:val="00143922"/>
    <w:rsid w:val="00143944"/>
    <w:rsid w:val="00143957"/>
    <w:rsid w:val="00143A03"/>
    <w:rsid w:val="00143A28"/>
    <w:rsid w:val="00143A2D"/>
    <w:rsid w:val="00143A4D"/>
    <w:rsid w:val="00143A98"/>
    <w:rsid w:val="00143AB9"/>
    <w:rsid w:val="00143AEE"/>
    <w:rsid w:val="00143B24"/>
    <w:rsid w:val="00143B3A"/>
    <w:rsid w:val="00143B59"/>
    <w:rsid w:val="00143B76"/>
    <w:rsid w:val="00143BD4"/>
    <w:rsid w:val="00143C54"/>
    <w:rsid w:val="00143C56"/>
    <w:rsid w:val="00143C5D"/>
    <w:rsid w:val="00143CAA"/>
    <w:rsid w:val="00143CB0"/>
    <w:rsid w:val="00143CC4"/>
    <w:rsid w:val="00143CCF"/>
    <w:rsid w:val="00143CEB"/>
    <w:rsid w:val="00143D2B"/>
    <w:rsid w:val="00143E74"/>
    <w:rsid w:val="00143EF1"/>
    <w:rsid w:val="00143F03"/>
    <w:rsid w:val="00143F2A"/>
    <w:rsid w:val="00143F53"/>
    <w:rsid w:val="00143F5B"/>
    <w:rsid w:val="00143F81"/>
    <w:rsid w:val="00144008"/>
    <w:rsid w:val="0014402A"/>
    <w:rsid w:val="00144038"/>
    <w:rsid w:val="00144039"/>
    <w:rsid w:val="00144045"/>
    <w:rsid w:val="0014408D"/>
    <w:rsid w:val="001440AA"/>
    <w:rsid w:val="001440B1"/>
    <w:rsid w:val="001440C1"/>
    <w:rsid w:val="001440E4"/>
    <w:rsid w:val="0014415C"/>
    <w:rsid w:val="0014416B"/>
    <w:rsid w:val="0014417D"/>
    <w:rsid w:val="001441A5"/>
    <w:rsid w:val="001441D6"/>
    <w:rsid w:val="001442C7"/>
    <w:rsid w:val="001442E4"/>
    <w:rsid w:val="0014430E"/>
    <w:rsid w:val="0014437B"/>
    <w:rsid w:val="00144416"/>
    <w:rsid w:val="00144458"/>
    <w:rsid w:val="0014451D"/>
    <w:rsid w:val="00144528"/>
    <w:rsid w:val="00144567"/>
    <w:rsid w:val="001445E9"/>
    <w:rsid w:val="001445F8"/>
    <w:rsid w:val="0014460C"/>
    <w:rsid w:val="0014462E"/>
    <w:rsid w:val="00144694"/>
    <w:rsid w:val="001446A3"/>
    <w:rsid w:val="001446E5"/>
    <w:rsid w:val="001446E9"/>
    <w:rsid w:val="00144702"/>
    <w:rsid w:val="00144711"/>
    <w:rsid w:val="0014472F"/>
    <w:rsid w:val="0014475A"/>
    <w:rsid w:val="00144774"/>
    <w:rsid w:val="0014478A"/>
    <w:rsid w:val="0014478B"/>
    <w:rsid w:val="0014478C"/>
    <w:rsid w:val="00144817"/>
    <w:rsid w:val="001448DC"/>
    <w:rsid w:val="001448E7"/>
    <w:rsid w:val="001448F0"/>
    <w:rsid w:val="0014490C"/>
    <w:rsid w:val="00144931"/>
    <w:rsid w:val="0014493D"/>
    <w:rsid w:val="001449F2"/>
    <w:rsid w:val="00144A6B"/>
    <w:rsid w:val="00144A6F"/>
    <w:rsid w:val="00144A91"/>
    <w:rsid w:val="00144AB0"/>
    <w:rsid w:val="00144AF1"/>
    <w:rsid w:val="00144B32"/>
    <w:rsid w:val="00144B51"/>
    <w:rsid w:val="00144B7D"/>
    <w:rsid w:val="00144C44"/>
    <w:rsid w:val="00144C70"/>
    <w:rsid w:val="00144C87"/>
    <w:rsid w:val="00144CE8"/>
    <w:rsid w:val="00144CF2"/>
    <w:rsid w:val="00144D0A"/>
    <w:rsid w:val="00144D42"/>
    <w:rsid w:val="00144D77"/>
    <w:rsid w:val="00144D94"/>
    <w:rsid w:val="00144E1D"/>
    <w:rsid w:val="00144E6E"/>
    <w:rsid w:val="00144E7C"/>
    <w:rsid w:val="00144E8B"/>
    <w:rsid w:val="00144F16"/>
    <w:rsid w:val="00144FE3"/>
    <w:rsid w:val="00144FEA"/>
    <w:rsid w:val="00144FED"/>
    <w:rsid w:val="00144FF4"/>
    <w:rsid w:val="0014508A"/>
    <w:rsid w:val="001450B0"/>
    <w:rsid w:val="0014512A"/>
    <w:rsid w:val="00145197"/>
    <w:rsid w:val="001451A7"/>
    <w:rsid w:val="001451E5"/>
    <w:rsid w:val="001451ED"/>
    <w:rsid w:val="0014520E"/>
    <w:rsid w:val="00145213"/>
    <w:rsid w:val="0014525B"/>
    <w:rsid w:val="00145262"/>
    <w:rsid w:val="00145280"/>
    <w:rsid w:val="001452D3"/>
    <w:rsid w:val="00145307"/>
    <w:rsid w:val="0014536D"/>
    <w:rsid w:val="001453B7"/>
    <w:rsid w:val="00145437"/>
    <w:rsid w:val="00145491"/>
    <w:rsid w:val="001454F9"/>
    <w:rsid w:val="00145579"/>
    <w:rsid w:val="001455CE"/>
    <w:rsid w:val="001455E3"/>
    <w:rsid w:val="00145610"/>
    <w:rsid w:val="0014563B"/>
    <w:rsid w:val="00145652"/>
    <w:rsid w:val="00145656"/>
    <w:rsid w:val="00145662"/>
    <w:rsid w:val="00145672"/>
    <w:rsid w:val="00145684"/>
    <w:rsid w:val="00145685"/>
    <w:rsid w:val="001456A6"/>
    <w:rsid w:val="001456D1"/>
    <w:rsid w:val="001456E8"/>
    <w:rsid w:val="00145799"/>
    <w:rsid w:val="001457EB"/>
    <w:rsid w:val="00145802"/>
    <w:rsid w:val="00145836"/>
    <w:rsid w:val="00145851"/>
    <w:rsid w:val="00145859"/>
    <w:rsid w:val="0014587C"/>
    <w:rsid w:val="00145883"/>
    <w:rsid w:val="00145912"/>
    <w:rsid w:val="00145953"/>
    <w:rsid w:val="00145954"/>
    <w:rsid w:val="001459D0"/>
    <w:rsid w:val="00145A0D"/>
    <w:rsid w:val="00145A12"/>
    <w:rsid w:val="00145A88"/>
    <w:rsid w:val="00145ADF"/>
    <w:rsid w:val="00145B15"/>
    <w:rsid w:val="00145B7E"/>
    <w:rsid w:val="00145BB7"/>
    <w:rsid w:val="00145BE3"/>
    <w:rsid w:val="00145C54"/>
    <w:rsid w:val="00145C91"/>
    <w:rsid w:val="00145C98"/>
    <w:rsid w:val="00145CB5"/>
    <w:rsid w:val="00145CB9"/>
    <w:rsid w:val="00145D02"/>
    <w:rsid w:val="00145D33"/>
    <w:rsid w:val="00145D40"/>
    <w:rsid w:val="00145E91"/>
    <w:rsid w:val="00145E98"/>
    <w:rsid w:val="00145EF3"/>
    <w:rsid w:val="00145EF4"/>
    <w:rsid w:val="00145EF7"/>
    <w:rsid w:val="00145F1D"/>
    <w:rsid w:val="00145F3E"/>
    <w:rsid w:val="00145F52"/>
    <w:rsid w:val="00145FD1"/>
    <w:rsid w:val="0014604D"/>
    <w:rsid w:val="001460A4"/>
    <w:rsid w:val="001460EE"/>
    <w:rsid w:val="001460F1"/>
    <w:rsid w:val="001461CC"/>
    <w:rsid w:val="001461D0"/>
    <w:rsid w:val="00146209"/>
    <w:rsid w:val="00146215"/>
    <w:rsid w:val="0014623E"/>
    <w:rsid w:val="0014627D"/>
    <w:rsid w:val="0014634F"/>
    <w:rsid w:val="0014637C"/>
    <w:rsid w:val="0014639F"/>
    <w:rsid w:val="001463C0"/>
    <w:rsid w:val="001463CA"/>
    <w:rsid w:val="001463DD"/>
    <w:rsid w:val="0014641E"/>
    <w:rsid w:val="00146465"/>
    <w:rsid w:val="001464AD"/>
    <w:rsid w:val="001464B6"/>
    <w:rsid w:val="001464C7"/>
    <w:rsid w:val="001464E4"/>
    <w:rsid w:val="001464F0"/>
    <w:rsid w:val="0014650E"/>
    <w:rsid w:val="00146534"/>
    <w:rsid w:val="0014654E"/>
    <w:rsid w:val="0014655D"/>
    <w:rsid w:val="0014655E"/>
    <w:rsid w:val="0014655F"/>
    <w:rsid w:val="00146597"/>
    <w:rsid w:val="001465AC"/>
    <w:rsid w:val="001465CA"/>
    <w:rsid w:val="001465F8"/>
    <w:rsid w:val="0014660C"/>
    <w:rsid w:val="00146620"/>
    <w:rsid w:val="0014666F"/>
    <w:rsid w:val="00146673"/>
    <w:rsid w:val="001466A5"/>
    <w:rsid w:val="001466A7"/>
    <w:rsid w:val="001466DE"/>
    <w:rsid w:val="0014671D"/>
    <w:rsid w:val="001467B6"/>
    <w:rsid w:val="001467F0"/>
    <w:rsid w:val="0014681A"/>
    <w:rsid w:val="00146839"/>
    <w:rsid w:val="00146892"/>
    <w:rsid w:val="001468E7"/>
    <w:rsid w:val="0014697B"/>
    <w:rsid w:val="00146A1A"/>
    <w:rsid w:val="00146A22"/>
    <w:rsid w:val="00146A2D"/>
    <w:rsid w:val="00146A77"/>
    <w:rsid w:val="00146A96"/>
    <w:rsid w:val="00146A99"/>
    <w:rsid w:val="00146B22"/>
    <w:rsid w:val="00146B26"/>
    <w:rsid w:val="00146B28"/>
    <w:rsid w:val="00146B2E"/>
    <w:rsid w:val="00146B8E"/>
    <w:rsid w:val="00146C0C"/>
    <w:rsid w:val="00146C6D"/>
    <w:rsid w:val="00146CA6"/>
    <w:rsid w:val="00146CFE"/>
    <w:rsid w:val="00146D01"/>
    <w:rsid w:val="00146D8E"/>
    <w:rsid w:val="00146D8F"/>
    <w:rsid w:val="00146D94"/>
    <w:rsid w:val="00146DDB"/>
    <w:rsid w:val="00146DDC"/>
    <w:rsid w:val="00146E06"/>
    <w:rsid w:val="00146E31"/>
    <w:rsid w:val="00146E50"/>
    <w:rsid w:val="00146E52"/>
    <w:rsid w:val="00146E6A"/>
    <w:rsid w:val="00146F01"/>
    <w:rsid w:val="00146F14"/>
    <w:rsid w:val="00146F83"/>
    <w:rsid w:val="00146F90"/>
    <w:rsid w:val="00146FDF"/>
    <w:rsid w:val="00146FF0"/>
    <w:rsid w:val="00146FF5"/>
    <w:rsid w:val="00147013"/>
    <w:rsid w:val="00147062"/>
    <w:rsid w:val="00147077"/>
    <w:rsid w:val="001470A0"/>
    <w:rsid w:val="001470A6"/>
    <w:rsid w:val="001470C6"/>
    <w:rsid w:val="001470C9"/>
    <w:rsid w:val="00147166"/>
    <w:rsid w:val="001471E2"/>
    <w:rsid w:val="001471FC"/>
    <w:rsid w:val="00147263"/>
    <w:rsid w:val="00147283"/>
    <w:rsid w:val="001472AE"/>
    <w:rsid w:val="001472C8"/>
    <w:rsid w:val="00147347"/>
    <w:rsid w:val="0014739B"/>
    <w:rsid w:val="0014739C"/>
    <w:rsid w:val="001473A3"/>
    <w:rsid w:val="001473B2"/>
    <w:rsid w:val="00147438"/>
    <w:rsid w:val="00147471"/>
    <w:rsid w:val="00147506"/>
    <w:rsid w:val="0014757E"/>
    <w:rsid w:val="00147596"/>
    <w:rsid w:val="001475B8"/>
    <w:rsid w:val="001475D9"/>
    <w:rsid w:val="001475DD"/>
    <w:rsid w:val="00147605"/>
    <w:rsid w:val="0014765C"/>
    <w:rsid w:val="00147693"/>
    <w:rsid w:val="001476BA"/>
    <w:rsid w:val="001476C2"/>
    <w:rsid w:val="001476FF"/>
    <w:rsid w:val="0014775C"/>
    <w:rsid w:val="00147787"/>
    <w:rsid w:val="001477EE"/>
    <w:rsid w:val="001477FA"/>
    <w:rsid w:val="00147803"/>
    <w:rsid w:val="0014780A"/>
    <w:rsid w:val="00147851"/>
    <w:rsid w:val="00147897"/>
    <w:rsid w:val="001478AE"/>
    <w:rsid w:val="00147924"/>
    <w:rsid w:val="00147944"/>
    <w:rsid w:val="00147990"/>
    <w:rsid w:val="001479A4"/>
    <w:rsid w:val="001479CC"/>
    <w:rsid w:val="00147A2A"/>
    <w:rsid w:val="00147A34"/>
    <w:rsid w:val="00147A39"/>
    <w:rsid w:val="00147A68"/>
    <w:rsid w:val="00147AC3"/>
    <w:rsid w:val="00147AE7"/>
    <w:rsid w:val="00147AF2"/>
    <w:rsid w:val="00147AFD"/>
    <w:rsid w:val="00147B09"/>
    <w:rsid w:val="00147B13"/>
    <w:rsid w:val="00147BBD"/>
    <w:rsid w:val="00147BDD"/>
    <w:rsid w:val="00147BF9"/>
    <w:rsid w:val="00147C2D"/>
    <w:rsid w:val="00147C2E"/>
    <w:rsid w:val="00147CCA"/>
    <w:rsid w:val="00147CF4"/>
    <w:rsid w:val="00147CFE"/>
    <w:rsid w:val="00147D90"/>
    <w:rsid w:val="00147DDB"/>
    <w:rsid w:val="00147DFE"/>
    <w:rsid w:val="00147E1B"/>
    <w:rsid w:val="00147F2C"/>
    <w:rsid w:val="00147F2F"/>
    <w:rsid w:val="00147F34"/>
    <w:rsid w:val="00147F44"/>
    <w:rsid w:val="00147F50"/>
    <w:rsid w:val="00147F8F"/>
    <w:rsid w:val="00147F96"/>
    <w:rsid w:val="0015006E"/>
    <w:rsid w:val="001500C5"/>
    <w:rsid w:val="001500D6"/>
    <w:rsid w:val="0015010A"/>
    <w:rsid w:val="0015010F"/>
    <w:rsid w:val="00150125"/>
    <w:rsid w:val="0015015A"/>
    <w:rsid w:val="00150187"/>
    <w:rsid w:val="001501C1"/>
    <w:rsid w:val="00150202"/>
    <w:rsid w:val="0015021B"/>
    <w:rsid w:val="0015021F"/>
    <w:rsid w:val="00150243"/>
    <w:rsid w:val="00150258"/>
    <w:rsid w:val="00150267"/>
    <w:rsid w:val="0015027F"/>
    <w:rsid w:val="001502AF"/>
    <w:rsid w:val="001502BA"/>
    <w:rsid w:val="0015031D"/>
    <w:rsid w:val="00150322"/>
    <w:rsid w:val="00150333"/>
    <w:rsid w:val="00150369"/>
    <w:rsid w:val="00150373"/>
    <w:rsid w:val="00150387"/>
    <w:rsid w:val="001503A2"/>
    <w:rsid w:val="001503DC"/>
    <w:rsid w:val="001503ED"/>
    <w:rsid w:val="001503F4"/>
    <w:rsid w:val="00150406"/>
    <w:rsid w:val="00150468"/>
    <w:rsid w:val="00150473"/>
    <w:rsid w:val="00150475"/>
    <w:rsid w:val="0015047F"/>
    <w:rsid w:val="001504C7"/>
    <w:rsid w:val="001504FF"/>
    <w:rsid w:val="00150514"/>
    <w:rsid w:val="0015056E"/>
    <w:rsid w:val="00150579"/>
    <w:rsid w:val="00150597"/>
    <w:rsid w:val="001505C3"/>
    <w:rsid w:val="001505D7"/>
    <w:rsid w:val="001505ED"/>
    <w:rsid w:val="0015060F"/>
    <w:rsid w:val="00150617"/>
    <w:rsid w:val="0015065A"/>
    <w:rsid w:val="00150688"/>
    <w:rsid w:val="0015068B"/>
    <w:rsid w:val="00150697"/>
    <w:rsid w:val="00150709"/>
    <w:rsid w:val="00150746"/>
    <w:rsid w:val="00150771"/>
    <w:rsid w:val="0015077F"/>
    <w:rsid w:val="001507D0"/>
    <w:rsid w:val="00150807"/>
    <w:rsid w:val="00150825"/>
    <w:rsid w:val="0015082B"/>
    <w:rsid w:val="0015086D"/>
    <w:rsid w:val="0015088C"/>
    <w:rsid w:val="001508A9"/>
    <w:rsid w:val="001508CD"/>
    <w:rsid w:val="001508FC"/>
    <w:rsid w:val="00150935"/>
    <w:rsid w:val="0015096F"/>
    <w:rsid w:val="00150980"/>
    <w:rsid w:val="001509A7"/>
    <w:rsid w:val="001509AF"/>
    <w:rsid w:val="001509D1"/>
    <w:rsid w:val="001509F9"/>
    <w:rsid w:val="00150A09"/>
    <w:rsid w:val="00150A27"/>
    <w:rsid w:val="00150A38"/>
    <w:rsid w:val="00150A4D"/>
    <w:rsid w:val="00150A8E"/>
    <w:rsid w:val="00150A9C"/>
    <w:rsid w:val="00150AA5"/>
    <w:rsid w:val="00150B73"/>
    <w:rsid w:val="00150BE6"/>
    <w:rsid w:val="00150C40"/>
    <w:rsid w:val="00150C49"/>
    <w:rsid w:val="00150CC6"/>
    <w:rsid w:val="00150D2C"/>
    <w:rsid w:val="00150DAB"/>
    <w:rsid w:val="00150DB7"/>
    <w:rsid w:val="00150DD6"/>
    <w:rsid w:val="00150DDF"/>
    <w:rsid w:val="00150E00"/>
    <w:rsid w:val="00150E1C"/>
    <w:rsid w:val="00150EAD"/>
    <w:rsid w:val="00150EBD"/>
    <w:rsid w:val="00150EDD"/>
    <w:rsid w:val="00150EEE"/>
    <w:rsid w:val="00150F17"/>
    <w:rsid w:val="00150F18"/>
    <w:rsid w:val="00150F37"/>
    <w:rsid w:val="00150F6D"/>
    <w:rsid w:val="00150F97"/>
    <w:rsid w:val="00151018"/>
    <w:rsid w:val="0015104D"/>
    <w:rsid w:val="00151055"/>
    <w:rsid w:val="001510C8"/>
    <w:rsid w:val="001510FC"/>
    <w:rsid w:val="00151139"/>
    <w:rsid w:val="00151145"/>
    <w:rsid w:val="00151147"/>
    <w:rsid w:val="001511A0"/>
    <w:rsid w:val="001511B5"/>
    <w:rsid w:val="001511C1"/>
    <w:rsid w:val="001511D3"/>
    <w:rsid w:val="0015120D"/>
    <w:rsid w:val="0015123B"/>
    <w:rsid w:val="00151248"/>
    <w:rsid w:val="0015127E"/>
    <w:rsid w:val="001512BB"/>
    <w:rsid w:val="001512CE"/>
    <w:rsid w:val="001512D1"/>
    <w:rsid w:val="0015133F"/>
    <w:rsid w:val="00151368"/>
    <w:rsid w:val="0015139A"/>
    <w:rsid w:val="001513BD"/>
    <w:rsid w:val="001513FF"/>
    <w:rsid w:val="00151400"/>
    <w:rsid w:val="00151437"/>
    <w:rsid w:val="0015143A"/>
    <w:rsid w:val="0015145D"/>
    <w:rsid w:val="001514E9"/>
    <w:rsid w:val="001514F1"/>
    <w:rsid w:val="0015151D"/>
    <w:rsid w:val="0015156C"/>
    <w:rsid w:val="0015163B"/>
    <w:rsid w:val="00151672"/>
    <w:rsid w:val="001516B9"/>
    <w:rsid w:val="001516BA"/>
    <w:rsid w:val="001516CB"/>
    <w:rsid w:val="001516CF"/>
    <w:rsid w:val="00151716"/>
    <w:rsid w:val="00151718"/>
    <w:rsid w:val="00151762"/>
    <w:rsid w:val="001517A4"/>
    <w:rsid w:val="001517B2"/>
    <w:rsid w:val="001517B9"/>
    <w:rsid w:val="001517D2"/>
    <w:rsid w:val="00151802"/>
    <w:rsid w:val="00151838"/>
    <w:rsid w:val="0015187F"/>
    <w:rsid w:val="00151887"/>
    <w:rsid w:val="001518AB"/>
    <w:rsid w:val="0015190F"/>
    <w:rsid w:val="0015192A"/>
    <w:rsid w:val="00151968"/>
    <w:rsid w:val="0015197E"/>
    <w:rsid w:val="001519BC"/>
    <w:rsid w:val="001519CB"/>
    <w:rsid w:val="00151AD6"/>
    <w:rsid w:val="00151AF1"/>
    <w:rsid w:val="00151AFB"/>
    <w:rsid w:val="00151B2B"/>
    <w:rsid w:val="00151B4C"/>
    <w:rsid w:val="00151B4E"/>
    <w:rsid w:val="00151B56"/>
    <w:rsid w:val="00151B96"/>
    <w:rsid w:val="00151B97"/>
    <w:rsid w:val="00151BD4"/>
    <w:rsid w:val="00151BF7"/>
    <w:rsid w:val="00151BFD"/>
    <w:rsid w:val="00151C0B"/>
    <w:rsid w:val="00151CC6"/>
    <w:rsid w:val="00151CD5"/>
    <w:rsid w:val="00151CE0"/>
    <w:rsid w:val="00151DCF"/>
    <w:rsid w:val="00151E41"/>
    <w:rsid w:val="00151E96"/>
    <w:rsid w:val="00151ECA"/>
    <w:rsid w:val="00151EDD"/>
    <w:rsid w:val="00151EFB"/>
    <w:rsid w:val="00151F58"/>
    <w:rsid w:val="00151F9F"/>
    <w:rsid w:val="00151FAC"/>
    <w:rsid w:val="00151FED"/>
    <w:rsid w:val="00152005"/>
    <w:rsid w:val="0015200E"/>
    <w:rsid w:val="00152063"/>
    <w:rsid w:val="001520FF"/>
    <w:rsid w:val="00152154"/>
    <w:rsid w:val="001521CE"/>
    <w:rsid w:val="001521D3"/>
    <w:rsid w:val="0015229E"/>
    <w:rsid w:val="001522C0"/>
    <w:rsid w:val="001522E0"/>
    <w:rsid w:val="001522E4"/>
    <w:rsid w:val="001522F2"/>
    <w:rsid w:val="0015232B"/>
    <w:rsid w:val="00152338"/>
    <w:rsid w:val="0015233E"/>
    <w:rsid w:val="00152356"/>
    <w:rsid w:val="0015235E"/>
    <w:rsid w:val="001523BD"/>
    <w:rsid w:val="001523D8"/>
    <w:rsid w:val="001523E4"/>
    <w:rsid w:val="00152440"/>
    <w:rsid w:val="00152454"/>
    <w:rsid w:val="00152477"/>
    <w:rsid w:val="00152486"/>
    <w:rsid w:val="00152520"/>
    <w:rsid w:val="00152547"/>
    <w:rsid w:val="00152576"/>
    <w:rsid w:val="0015260D"/>
    <w:rsid w:val="0015266A"/>
    <w:rsid w:val="0015275B"/>
    <w:rsid w:val="00152762"/>
    <w:rsid w:val="0015276D"/>
    <w:rsid w:val="00152773"/>
    <w:rsid w:val="00152885"/>
    <w:rsid w:val="001528A4"/>
    <w:rsid w:val="001528CE"/>
    <w:rsid w:val="001528EE"/>
    <w:rsid w:val="00152903"/>
    <w:rsid w:val="00152909"/>
    <w:rsid w:val="00152957"/>
    <w:rsid w:val="001529E3"/>
    <w:rsid w:val="00152A8C"/>
    <w:rsid w:val="00152A91"/>
    <w:rsid w:val="00152AD9"/>
    <w:rsid w:val="00152AF5"/>
    <w:rsid w:val="00152B1E"/>
    <w:rsid w:val="00152B73"/>
    <w:rsid w:val="00152B9D"/>
    <w:rsid w:val="00152BAC"/>
    <w:rsid w:val="00152BCC"/>
    <w:rsid w:val="00152C40"/>
    <w:rsid w:val="00152C72"/>
    <w:rsid w:val="00152C99"/>
    <w:rsid w:val="00152CA2"/>
    <w:rsid w:val="00152CAC"/>
    <w:rsid w:val="00152CD0"/>
    <w:rsid w:val="00152D15"/>
    <w:rsid w:val="00152D49"/>
    <w:rsid w:val="00152D75"/>
    <w:rsid w:val="00152D95"/>
    <w:rsid w:val="00152DB3"/>
    <w:rsid w:val="00152DDC"/>
    <w:rsid w:val="00152DE7"/>
    <w:rsid w:val="00152DEA"/>
    <w:rsid w:val="00152DF0"/>
    <w:rsid w:val="00152F05"/>
    <w:rsid w:val="00152F25"/>
    <w:rsid w:val="00152F43"/>
    <w:rsid w:val="00152F5C"/>
    <w:rsid w:val="00152F80"/>
    <w:rsid w:val="0015300A"/>
    <w:rsid w:val="00153010"/>
    <w:rsid w:val="00153155"/>
    <w:rsid w:val="00153195"/>
    <w:rsid w:val="001531B9"/>
    <w:rsid w:val="001531DB"/>
    <w:rsid w:val="001531FB"/>
    <w:rsid w:val="001531FC"/>
    <w:rsid w:val="0015320A"/>
    <w:rsid w:val="0015324C"/>
    <w:rsid w:val="00153274"/>
    <w:rsid w:val="001532F3"/>
    <w:rsid w:val="00153336"/>
    <w:rsid w:val="00153342"/>
    <w:rsid w:val="001533AD"/>
    <w:rsid w:val="001534A1"/>
    <w:rsid w:val="001534CF"/>
    <w:rsid w:val="0015352C"/>
    <w:rsid w:val="00153555"/>
    <w:rsid w:val="00153572"/>
    <w:rsid w:val="001535FB"/>
    <w:rsid w:val="00153640"/>
    <w:rsid w:val="0015371B"/>
    <w:rsid w:val="00153720"/>
    <w:rsid w:val="0015378C"/>
    <w:rsid w:val="001537C3"/>
    <w:rsid w:val="001537E8"/>
    <w:rsid w:val="0015381A"/>
    <w:rsid w:val="00153855"/>
    <w:rsid w:val="00153865"/>
    <w:rsid w:val="001538A9"/>
    <w:rsid w:val="001538C5"/>
    <w:rsid w:val="0015391C"/>
    <w:rsid w:val="00153922"/>
    <w:rsid w:val="0015393A"/>
    <w:rsid w:val="0015396A"/>
    <w:rsid w:val="001539AE"/>
    <w:rsid w:val="001539BB"/>
    <w:rsid w:val="00153A48"/>
    <w:rsid w:val="00153A61"/>
    <w:rsid w:val="00153AA6"/>
    <w:rsid w:val="00153AAD"/>
    <w:rsid w:val="00153ACB"/>
    <w:rsid w:val="00153AF0"/>
    <w:rsid w:val="00153B00"/>
    <w:rsid w:val="00153B30"/>
    <w:rsid w:val="00153B43"/>
    <w:rsid w:val="00153B45"/>
    <w:rsid w:val="00153B60"/>
    <w:rsid w:val="00153B6D"/>
    <w:rsid w:val="00153B7C"/>
    <w:rsid w:val="00153BCC"/>
    <w:rsid w:val="00153BD6"/>
    <w:rsid w:val="00153C05"/>
    <w:rsid w:val="00153C75"/>
    <w:rsid w:val="00153C8C"/>
    <w:rsid w:val="00153C90"/>
    <w:rsid w:val="00153CF0"/>
    <w:rsid w:val="00153D12"/>
    <w:rsid w:val="00153D21"/>
    <w:rsid w:val="00153D46"/>
    <w:rsid w:val="00153D7A"/>
    <w:rsid w:val="00153DA3"/>
    <w:rsid w:val="00153E2C"/>
    <w:rsid w:val="00153E7D"/>
    <w:rsid w:val="00153EA4"/>
    <w:rsid w:val="00153EEA"/>
    <w:rsid w:val="00153F07"/>
    <w:rsid w:val="00153F4A"/>
    <w:rsid w:val="00153F7B"/>
    <w:rsid w:val="00153F85"/>
    <w:rsid w:val="00153F99"/>
    <w:rsid w:val="00153FA7"/>
    <w:rsid w:val="00153FCD"/>
    <w:rsid w:val="00153FD4"/>
    <w:rsid w:val="00154051"/>
    <w:rsid w:val="001540BE"/>
    <w:rsid w:val="001540DA"/>
    <w:rsid w:val="001540F4"/>
    <w:rsid w:val="0015416C"/>
    <w:rsid w:val="00154201"/>
    <w:rsid w:val="0015422B"/>
    <w:rsid w:val="00154245"/>
    <w:rsid w:val="0015424D"/>
    <w:rsid w:val="001542EF"/>
    <w:rsid w:val="00154307"/>
    <w:rsid w:val="0015437C"/>
    <w:rsid w:val="001543E4"/>
    <w:rsid w:val="00154422"/>
    <w:rsid w:val="0015442A"/>
    <w:rsid w:val="0015443B"/>
    <w:rsid w:val="0015444F"/>
    <w:rsid w:val="00154466"/>
    <w:rsid w:val="001544AF"/>
    <w:rsid w:val="001544C8"/>
    <w:rsid w:val="00154554"/>
    <w:rsid w:val="001545D0"/>
    <w:rsid w:val="00154602"/>
    <w:rsid w:val="00154645"/>
    <w:rsid w:val="00154655"/>
    <w:rsid w:val="00154663"/>
    <w:rsid w:val="001546D1"/>
    <w:rsid w:val="001546D6"/>
    <w:rsid w:val="00154712"/>
    <w:rsid w:val="00154784"/>
    <w:rsid w:val="001547EF"/>
    <w:rsid w:val="001547FB"/>
    <w:rsid w:val="0015483A"/>
    <w:rsid w:val="00154895"/>
    <w:rsid w:val="001548DC"/>
    <w:rsid w:val="001548F6"/>
    <w:rsid w:val="00154933"/>
    <w:rsid w:val="00154958"/>
    <w:rsid w:val="0015499C"/>
    <w:rsid w:val="001549D0"/>
    <w:rsid w:val="00154A20"/>
    <w:rsid w:val="00154AA0"/>
    <w:rsid w:val="00154AD1"/>
    <w:rsid w:val="00154ADF"/>
    <w:rsid w:val="00154B17"/>
    <w:rsid w:val="00154BFE"/>
    <w:rsid w:val="00154C43"/>
    <w:rsid w:val="00154C4B"/>
    <w:rsid w:val="00154C6E"/>
    <w:rsid w:val="00154C92"/>
    <w:rsid w:val="00154C93"/>
    <w:rsid w:val="00154CA2"/>
    <w:rsid w:val="00154DA6"/>
    <w:rsid w:val="00154DC7"/>
    <w:rsid w:val="00154DF9"/>
    <w:rsid w:val="00154E5C"/>
    <w:rsid w:val="00154E70"/>
    <w:rsid w:val="00154E7B"/>
    <w:rsid w:val="00154EAB"/>
    <w:rsid w:val="00154F2D"/>
    <w:rsid w:val="00154F68"/>
    <w:rsid w:val="00154F70"/>
    <w:rsid w:val="00155047"/>
    <w:rsid w:val="00155057"/>
    <w:rsid w:val="00155085"/>
    <w:rsid w:val="001550FD"/>
    <w:rsid w:val="0015510E"/>
    <w:rsid w:val="00155122"/>
    <w:rsid w:val="001551C3"/>
    <w:rsid w:val="00155236"/>
    <w:rsid w:val="00155275"/>
    <w:rsid w:val="001552B0"/>
    <w:rsid w:val="0015532F"/>
    <w:rsid w:val="001553DC"/>
    <w:rsid w:val="00155444"/>
    <w:rsid w:val="00155498"/>
    <w:rsid w:val="001554AB"/>
    <w:rsid w:val="001554AF"/>
    <w:rsid w:val="001554C6"/>
    <w:rsid w:val="001554D8"/>
    <w:rsid w:val="001554E9"/>
    <w:rsid w:val="001554EC"/>
    <w:rsid w:val="001555AD"/>
    <w:rsid w:val="001555F4"/>
    <w:rsid w:val="00155650"/>
    <w:rsid w:val="00155675"/>
    <w:rsid w:val="0015574D"/>
    <w:rsid w:val="00155756"/>
    <w:rsid w:val="0015578B"/>
    <w:rsid w:val="001557DE"/>
    <w:rsid w:val="001557FA"/>
    <w:rsid w:val="00155828"/>
    <w:rsid w:val="00155889"/>
    <w:rsid w:val="0015596D"/>
    <w:rsid w:val="001559A1"/>
    <w:rsid w:val="00155A22"/>
    <w:rsid w:val="00155A56"/>
    <w:rsid w:val="00155A66"/>
    <w:rsid w:val="00155A8D"/>
    <w:rsid w:val="00155AAE"/>
    <w:rsid w:val="00155ABF"/>
    <w:rsid w:val="00155AF1"/>
    <w:rsid w:val="00155B19"/>
    <w:rsid w:val="00155B37"/>
    <w:rsid w:val="00155B7A"/>
    <w:rsid w:val="00155B88"/>
    <w:rsid w:val="00155B8C"/>
    <w:rsid w:val="00155BA9"/>
    <w:rsid w:val="00155BE6"/>
    <w:rsid w:val="00155C55"/>
    <w:rsid w:val="00155C5F"/>
    <w:rsid w:val="00155CAE"/>
    <w:rsid w:val="00155CB6"/>
    <w:rsid w:val="00155CC3"/>
    <w:rsid w:val="00155CE7"/>
    <w:rsid w:val="00155D12"/>
    <w:rsid w:val="00155D2E"/>
    <w:rsid w:val="00155DAF"/>
    <w:rsid w:val="00155DB5"/>
    <w:rsid w:val="00155DCE"/>
    <w:rsid w:val="00155DFE"/>
    <w:rsid w:val="00155EB9"/>
    <w:rsid w:val="00155F00"/>
    <w:rsid w:val="00155F07"/>
    <w:rsid w:val="00155F42"/>
    <w:rsid w:val="00155F4B"/>
    <w:rsid w:val="00155F51"/>
    <w:rsid w:val="00155F87"/>
    <w:rsid w:val="00155FF0"/>
    <w:rsid w:val="00156021"/>
    <w:rsid w:val="00156059"/>
    <w:rsid w:val="001560C0"/>
    <w:rsid w:val="001560D3"/>
    <w:rsid w:val="001560D4"/>
    <w:rsid w:val="001560F6"/>
    <w:rsid w:val="00156188"/>
    <w:rsid w:val="001561CC"/>
    <w:rsid w:val="001561D9"/>
    <w:rsid w:val="0015622A"/>
    <w:rsid w:val="0015623D"/>
    <w:rsid w:val="00156284"/>
    <w:rsid w:val="001562D0"/>
    <w:rsid w:val="001562DC"/>
    <w:rsid w:val="001562FA"/>
    <w:rsid w:val="00156312"/>
    <w:rsid w:val="00156317"/>
    <w:rsid w:val="0015636A"/>
    <w:rsid w:val="001563AA"/>
    <w:rsid w:val="001563B7"/>
    <w:rsid w:val="001563DD"/>
    <w:rsid w:val="00156484"/>
    <w:rsid w:val="00156487"/>
    <w:rsid w:val="0015649A"/>
    <w:rsid w:val="001564AD"/>
    <w:rsid w:val="001564C7"/>
    <w:rsid w:val="001564DC"/>
    <w:rsid w:val="001564EC"/>
    <w:rsid w:val="00156509"/>
    <w:rsid w:val="00156512"/>
    <w:rsid w:val="0015651C"/>
    <w:rsid w:val="0015652E"/>
    <w:rsid w:val="00156592"/>
    <w:rsid w:val="0015659C"/>
    <w:rsid w:val="001565C3"/>
    <w:rsid w:val="001565D2"/>
    <w:rsid w:val="001565DB"/>
    <w:rsid w:val="001565EC"/>
    <w:rsid w:val="001565F6"/>
    <w:rsid w:val="001565FB"/>
    <w:rsid w:val="00156639"/>
    <w:rsid w:val="001566AB"/>
    <w:rsid w:val="001566F5"/>
    <w:rsid w:val="00156704"/>
    <w:rsid w:val="0015671A"/>
    <w:rsid w:val="00156746"/>
    <w:rsid w:val="0015676C"/>
    <w:rsid w:val="00156781"/>
    <w:rsid w:val="00156784"/>
    <w:rsid w:val="001567A7"/>
    <w:rsid w:val="0015691C"/>
    <w:rsid w:val="0015693A"/>
    <w:rsid w:val="0015695E"/>
    <w:rsid w:val="0015697E"/>
    <w:rsid w:val="001569BB"/>
    <w:rsid w:val="001569C1"/>
    <w:rsid w:val="00156A32"/>
    <w:rsid w:val="00156A38"/>
    <w:rsid w:val="00156A72"/>
    <w:rsid w:val="00156AB3"/>
    <w:rsid w:val="00156AC7"/>
    <w:rsid w:val="00156AD6"/>
    <w:rsid w:val="00156B14"/>
    <w:rsid w:val="00156B98"/>
    <w:rsid w:val="00156C43"/>
    <w:rsid w:val="00156C8B"/>
    <w:rsid w:val="00156CE0"/>
    <w:rsid w:val="00156CEC"/>
    <w:rsid w:val="00156D68"/>
    <w:rsid w:val="00156D8F"/>
    <w:rsid w:val="00156D97"/>
    <w:rsid w:val="00156DB4"/>
    <w:rsid w:val="00156DF0"/>
    <w:rsid w:val="00156DF9"/>
    <w:rsid w:val="00156E04"/>
    <w:rsid w:val="00156E85"/>
    <w:rsid w:val="00156EEF"/>
    <w:rsid w:val="00156F16"/>
    <w:rsid w:val="00156F2C"/>
    <w:rsid w:val="00156F62"/>
    <w:rsid w:val="00156FCF"/>
    <w:rsid w:val="00156FF7"/>
    <w:rsid w:val="00157069"/>
    <w:rsid w:val="0015709B"/>
    <w:rsid w:val="00157126"/>
    <w:rsid w:val="0015715E"/>
    <w:rsid w:val="00157180"/>
    <w:rsid w:val="00157182"/>
    <w:rsid w:val="0015718F"/>
    <w:rsid w:val="001571D3"/>
    <w:rsid w:val="001571DC"/>
    <w:rsid w:val="001571DD"/>
    <w:rsid w:val="00157207"/>
    <w:rsid w:val="00157299"/>
    <w:rsid w:val="001572AE"/>
    <w:rsid w:val="001572DA"/>
    <w:rsid w:val="001572EC"/>
    <w:rsid w:val="001572FB"/>
    <w:rsid w:val="00157354"/>
    <w:rsid w:val="00157356"/>
    <w:rsid w:val="0015735D"/>
    <w:rsid w:val="001573B4"/>
    <w:rsid w:val="001573CA"/>
    <w:rsid w:val="00157486"/>
    <w:rsid w:val="0015751C"/>
    <w:rsid w:val="00157522"/>
    <w:rsid w:val="0015752E"/>
    <w:rsid w:val="00157545"/>
    <w:rsid w:val="0015756D"/>
    <w:rsid w:val="00157572"/>
    <w:rsid w:val="001575B6"/>
    <w:rsid w:val="0015765C"/>
    <w:rsid w:val="00157664"/>
    <w:rsid w:val="0015768C"/>
    <w:rsid w:val="001576AA"/>
    <w:rsid w:val="001576AE"/>
    <w:rsid w:val="001576C4"/>
    <w:rsid w:val="00157711"/>
    <w:rsid w:val="00157729"/>
    <w:rsid w:val="00157746"/>
    <w:rsid w:val="00157788"/>
    <w:rsid w:val="0015778F"/>
    <w:rsid w:val="001577A5"/>
    <w:rsid w:val="001577A6"/>
    <w:rsid w:val="001577DE"/>
    <w:rsid w:val="00157822"/>
    <w:rsid w:val="00157850"/>
    <w:rsid w:val="00157872"/>
    <w:rsid w:val="001578F8"/>
    <w:rsid w:val="00157957"/>
    <w:rsid w:val="00157970"/>
    <w:rsid w:val="00157976"/>
    <w:rsid w:val="00157979"/>
    <w:rsid w:val="0015797E"/>
    <w:rsid w:val="00157A05"/>
    <w:rsid w:val="00157A06"/>
    <w:rsid w:val="00157A1D"/>
    <w:rsid w:val="00157A51"/>
    <w:rsid w:val="00157AC2"/>
    <w:rsid w:val="00157AED"/>
    <w:rsid w:val="00157B82"/>
    <w:rsid w:val="00157B87"/>
    <w:rsid w:val="00157BAD"/>
    <w:rsid w:val="00157BEA"/>
    <w:rsid w:val="00157C0A"/>
    <w:rsid w:val="00157C28"/>
    <w:rsid w:val="00157C5D"/>
    <w:rsid w:val="00157CB2"/>
    <w:rsid w:val="00157CB6"/>
    <w:rsid w:val="00157CD9"/>
    <w:rsid w:val="00157D15"/>
    <w:rsid w:val="00157D34"/>
    <w:rsid w:val="00157D5B"/>
    <w:rsid w:val="00157D69"/>
    <w:rsid w:val="00157E5B"/>
    <w:rsid w:val="00157E63"/>
    <w:rsid w:val="00157E6E"/>
    <w:rsid w:val="00157E8C"/>
    <w:rsid w:val="00157EE7"/>
    <w:rsid w:val="00157F0A"/>
    <w:rsid w:val="00157F21"/>
    <w:rsid w:val="00157F37"/>
    <w:rsid w:val="00157F50"/>
    <w:rsid w:val="00157F72"/>
    <w:rsid w:val="00157F78"/>
    <w:rsid w:val="00157F84"/>
    <w:rsid w:val="00157F9C"/>
    <w:rsid w:val="00157FA6"/>
    <w:rsid w:val="00157FD2"/>
    <w:rsid w:val="001600B0"/>
    <w:rsid w:val="001600B3"/>
    <w:rsid w:val="001600D3"/>
    <w:rsid w:val="001600FF"/>
    <w:rsid w:val="0016011B"/>
    <w:rsid w:val="0016012E"/>
    <w:rsid w:val="00160184"/>
    <w:rsid w:val="001601A8"/>
    <w:rsid w:val="001601BE"/>
    <w:rsid w:val="001601C8"/>
    <w:rsid w:val="001601E3"/>
    <w:rsid w:val="001601F1"/>
    <w:rsid w:val="00160217"/>
    <w:rsid w:val="0016021C"/>
    <w:rsid w:val="00160244"/>
    <w:rsid w:val="0016027E"/>
    <w:rsid w:val="001602C3"/>
    <w:rsid w:val="001602F3"/>
    <w:rsid w:val="001603B0"/>
    <w:rsid w:val="00160461"/>
    <w:rsid w:val="00160497"/>
    <w:rsid w:val="00160579"/>
    <w:rsid w:val="0016059D"/>
    <w:rsid w:val="00160605"/>
    <w:rsid w:val="00160615"/>
    <w:rsid w:val="0016067C"/>
    <w:rsid w:val="001606AF"/>
    <w:rsid w:val="001606D3"/>
    <w:rsid w:val="001606EF"/>
    <w:rsid w:val="0016070B"/>
    <w:rsid w:val="0016081E"/>
    <w:rsid w:val="00160906"/>
    <w:rsid w:val="00160919"/>
    <w:rsid w:val="0016097D"/>
    <w:rsid w:val="001609B9"/>
    <w:rsid w:val="001609E3"/>
    <w:rsid w:val="00160A2B"/>
    <w:rsid w:val="00160A2C"/>
    <w:rsid w:val="00160A5D"/>
    <w:rsid w:val="00160AE3"/>
    <w:rsid w:val="00160B60"/>
    <w:rsid w:val="00160B80"/>
    <w:rsid w:val="00160B85"/>
    <w:rsid w:val="00160C05"/>
    <w:rsid w:val="00160C49"/>
    <w:rsid w:val="00160C6E"/>
    <w:rsid w:val="00160CC0"/>
    <w:rsid w:val="00160D3C"/>
    <w:rsid w:val="00160DE2"/>
    <w:rsid w:val="00160E12"/>
    <w:rsid w:val="00160E23"/>
    <w:rsid w:val="00160E79"/>
    <w:rsid w:val="00160E81"/>
    <w:rsid w:val="00160ECA"/>
    <w:rsid w:val="00160EF5"/>
    <w:rsid w:val="00160F54"/>
    <w:rsid w:val="00160F7B"/>
    <w:rsid w:val="00160FAF"/>
    <w:rsid w:val="0016100C"/>
    <w:rsid w:val="001610A3"/>
    <w:rsid w:val="00161103"/>
    <w:rsid w:val="00161123"/>
    <w:rsid w:val="00161190"/>
    <w:rsid w:val="001611A6"/>
    <w:rsid w:val="001611E7"/>
    <w:rsid w:val="0016120E"/>
    <w:rsid w:val="00161233"/>
    <w:rsid w:val="00161245"/>
    <w:rsid w:val="00161295"/>
    <w:rsid w:val="001612B7"/>
    <w:rsid w:val="001613CE"/>
    <w:rsid w:val="00161409"/>
    <w:rsid w:val="00161413"/>
    <w:rsid w:val="0016145B"/>
    <w:rsid w:val="001614C4"/>
    <w:rsid w:val="001614D2"/>
    <w:rsid w:val="00161502"/>
    <w:rsid w:val="001615A7"/>
    <w:rsid w:val="001615F6"/>
    <w:rsid w:val="0016163F"/>
    <w:rsid w:val="001616EC"/>
    <w:rsid w:val="00161726"/>
    <w:rsid w:val="00161736"/>
    <w:rsid w:val="001617A4"/>
    <w:rsid w:val="001617AF"/>
    <w:rsid w:val="0016181A"/>
    <w:rsid w:val="0016182A"/>
    <w:rsid w:val="0016183A"/>
    <w:rsid w:val="00161840"/>
    <w:rsid w:val="00161848"/>
    <w:rsid w:val="00161906"/>
    <w:rsid w:val="00161910"/>
    <w:rsid w:val="0016191C"/>
    <w:rsid w:val="00161927"/>
    <w:rsid w:val="00161957"/>
    <w:rsid w:val="0016195F"/>
    <w:rsid w:val="00161A0D"/>
    <w:rsid w:val="00161A4A"/>
    <w:rsid w:val="00161A53"/>
    <w:rsid w:val="00161A9A"/>
    <w:rsid w:val="00161AB6"/>
    <w:rsid w:val="00161B28"/>
    <w:rsid w:val="00161B39"/>
    <w:rsid w:val="00161B65"/>
    <w:rsid w:val="00161B70"/>
    <w:rsid w:val="00161B90"/>
    <w:rsid w:val="00161C03"/>
    <w:rsid w:val="00161C06"/>
    <w:rsid w:val="00161C33"/>
    <w:rsid w:val="00161C3C"/>
    <w:rsid w:val="00161C54"/>
    <w:rsid w:val="00161C7F"/>
    <w:rsid w:val="00161CD5"/>
    <w:rsid w:val="00161E9D"/>
    <w:rsid w:val="00161F15"/>
    <w:rsid w:val="00161F37"/>
    <w:rsid w:val="00161F71"/>
    <w:rsid w:val="00161FCD"/>
    <w:rsid w:val="00162004"/>
    <w:rsid w:val="0016201E"/>
    <w:rsid w:val="00162057"/>
    <w:rsid w:val="00162077"/>
    <w:rsid w:val="00162078"/>
    <w:rsid w:val="001620C4"/>
    <w:rsid w:val="001620E7"/>
    <w:rsid w:val="00162127"/>
    <w:rsid w:val="0016213F"/>
    <w:rsid w:val="001621A2"/>
    <w:rsid w:val="001621A5"/>
    <w:rsid w:val="001621EC"/>
    <w:rsid w:val="00162212"/>
    <w:rsid w:val="00162237"/>
    <w:rsid w:val="00162284"/>
    <w:rsid w:val="00162286"/>
    <w:rsid w:val="001622DC"/>
    <w:rsid w:val="00162308"/>
    <w:rsid w:val="0016230B"/>
    <w:rsid w:val="0016236A"/>
    <w:rsid w:val="00162384"/>
    <w:rsid w:val="0016239E"/>
    <w:rsid w:val="001623C3"/>
    <w:rsid w:val="00162428"/>
    <w:rsid w:val="00162489"/>
    <w:rsid w:val="001624F7"/>
    <w:rsid w:val="0016253E"/>
    <w:rsid w:val="001625BA"/>
    <w:rsid w:val="00162606"/>
    <w:rsid w:val="00162607"/>
    <w:rsid w:val="0016260D"/>
    <w:rsid w:val="0016267E"/>
    <w:rsid w:val="001626CF"/>
    <w:rsid w:val="00162731"/>
    <w:rsid w:val="0016278D"/>
    <w:rsid w:val="0016279B"/>
    <w:rsid w:val="00162832"/>
    <w:rsid w:val="0016289C"/>
    <w:rsid w:val="001628FF"/>
    <w:rsid w:val="00162901"/>
    <w:rsid w:val="00162922"/>
    <w:rsid w:val="0016298D"/>
    <w:rsid w:val="00162997"/>
    <w:rsid w:val="0016299C"/>
    <w:rsid w:val="001629B0"/>
    <w:rsid w:val="001629D0"/>
    <w:rsid w:val="001629FA"/>
    <w:rsid w:val="00162A8A"/>
    <w:rsid w:val="00162B6B"/>
    <w:rsid w:val="00162BBA"/>
    <w:rsid w:val="00162BFD"/>
    <w:rsid w:val="00162C16"/>
    <w:rsid w:val="00162CC2"/>
    <w:rsid w:val="00162CFA"/>
    <w:rsid w:val="00162D1D"/>
    <w:rsid w:val="00162D47"/>
    <w:rsid w:val="00162D6B"/>
    <w:rsid w:val="00162D8F"/>
    <w:rsid w:val="00162DA7"/>
    <w:rsid w:val="00162DB5"/>
    <w:rsid w:val="00162DBE"/>
    <w:rsid w:val="00162DCC"/>
    <w:rsid w:val="00162DCE"/>
    <w:rsid w:val="00162DD7"/>
    <w:rsid w:val="00162DE7"/>
    <w:rsid w:val="00162E01"/>
    <w:rsid w:val="00162E02"/>
    <w:rsid w:val="00162E8B"/>
    <w:rsid w:val="00162EAE"/>
    <w:rsid w:val="00162EF4"/>
    <w:rsid w:val="00162EF8"/>
    <w:rsid w:val="00162F0C"/>
    <w:rsid w:val="00162F52"/>
    <w:rsid w:val="00162F7C"/>
    <w:rsid w:val="00162F81"/>
    <w:rsid w:val="00162F94"/>
    <w:rsid w:val="00162FAC"/>
    <w:rsid w:val="00163025"/>
    <w:rsid w:val="00163054"/>
    <w:rsid w:val="001630D4"/>
    <w:rsid w:val="001630EB"/>
    <w:rsid w:val="001630F7"/>
    <w:rsid w:val="001631CB"/>
    <w:rsid w:val="001631DB"/>
    <w:rsid w:val="001631E0"/>
    <w:rsid w:val="00163228"/>
    <w:rsid w:val="00163284"/>
    <w:rsid w:val="0016329C"/>
    <w:rsid w:val="001632A3"/>
    <w:rsid w:val="001632B3"/>
    <w:rsid w:val="001632B8"/>
    <w:rsid w:val="001632C7"/>
    <w:rsid w:val="00163329"/>
    <w:rsid w:val="0016335C"/>
    <w:rsid w:val="00163366"/>
    <w:rsid w:val="00163375"/>
    <w:rsid w:val="001633D2"/>
    <w:rsid w:val="001633E0"/>
    <w:rsid w:val="001633F1"/>
    <w:rsid w:val="00163465"/>
    <w:rsid w:val="001634A5"/>
    <w:rsid w:val="001634B3"/>
    <w:rsid w:val="001634FA"/>
    <w:rsid w:val="00163503"/>
    <w:rsid w:val="00163507"/>
    <w:rsid w:val="00163528"/>
    <w:rsid w:val="0016353C"/>
    <w:rsid w:val="0016353D"/>
    <w:rsid w:val="0016356C"/>
    <w:rsid w:val="0016358C"/>
    <w:rsid w:val="0016359D"/>
    <w:rsid w:val="001635BD"/>
    <w:rsid w:val="001635D9"/>
    <w:rsid w:val="001635DE"/>
    <w:rsid w:val="0016361E"/>
    <w:rsid w:val="0016362E"/>
    <w:rsid w:val="00163652"/>
    <w:rsid w:val="00163678"/>
    <w:rsid w:val="001636A1"/>
    <w:rsid w:val="001636F5"/>
    <w:rsid w:val="0016375D"/>
    <w:rsid w:val="001637AD"/>
    <w:rsid w:val="001637C2"/>
    <w:rsid w:val="001637EF"/>
    <w:rsid w:val="00163820"/>
    <w:rsid w:val="0016383A"/>
    <w:rsid w:val="0016389A"/>
    <w:rsid w:val="001638B6"/>
    <w:rsid w:val="001638C6"/>
    <w:rsid w:val="001638E9"/>
    <w:rsid w:val="0016393C"/>
    <w:rsid w:val="00163986"/>
    <w:rsid w:val="00163992"/>
    <w:rsid w:val="00163A14"/>
    <w:rsid w:val="00163A4B"/>
    <w:rsid w:val="00163A55"/>
    <w:rsid w:val="00163A71"/>
    <w:rsid w:val="00163A9A"/>
    <w:rsid w:val="00163AA2"/>
    <w:rsid w:val="00163AB3"/>
    <w:rsid w:val="00163AF0"/>
    <w:rsid w:val="00163B04"/>
    <w:rsid w:val="00163B11"/>
    <w:rsid w:val="00163B2D"/>
    <w:rsid w:val="00163B77"/>
    <w:rsid w:val="00163BB0"/>
    <w:rsid w:val="00163BDA"/>
    <w:rsid w:val="00163BF6"/>
    <w:rsid w:val="00163C09"/>
    <w:rsid w:val="00163C3E"/>
    <w:rsid w:val="00163C5F"/>
    <w:rsid w:val="00163C88"/>
    <w:rsid w:val="00163CA5"/>
    <w:rsid w:val="00163CBC"/>
    <w:rsid w:val="00163D02"/>
    <w:rsid w:val="00163D80"/>
    <w:rsid w:val="00163D8D"/>
    <w:rsid w:val="00163D91"/>
    <w:rsid w:val="00163DC3"/>
    <w:rsid w:val="00163EA0"/>
    <w:rsid w:val="00163EA9"/>
    <w:rsid w:val="00163F21"/>
    <w:rsid w:val="00163F2E"/>
    <w:rsid w:val="00163F46"/>
    <w:rsid w:val="001640C3"/>
    <w:rsid w:val="0016414E"/>
    <w:rsid w:val="00164196"/>
    <w:rsid w:val="0016419B"/>
    <w:rsid w:val="001641A7"/>
    <w:rsid w:val="001641B9"/>
    <w:rsid w:val="001641C9"/>
    <w:rsid w:val="001641D8"/>
    <w:rsid w:val="00164249"/>
    <w:rsid w:val="00164319"/>
    <w:rsid w:val="0016433B"/>
    <w:rsid w:val="0016438B"/>
    <w:rsid w:val="00164393"/>
    <w:rsid w:val="0016439D"/>
    <w:rsid w:val="001643C2"/>
    <w:rsid w:val="00164405"/>
    <w:rsid w:val="00164414"/>
    <w:rsid w:val="00164423"/>
    <w:rsid w:val="0016442F"/>
    <w:rsid w:val="0016444B"/>
    <w:rsid w:val="0016444E"/>
    <w:rsid w:val="001644AB"/>
    <w:rsid w:val="00164514"/>
    <w:rsid w:val="001645DF"/>
    <w:rsid w:val="00164629"/>
    <w:rsid w:val="0016468C"/>
    <w:rsid w:val="001646BC"/>
    <w:rsid w:val="001646BD"/>
    <w:rsid w:val="001646CA"/>
    <w:rsid w:val="001646CC"/>
    <w:rsid w:val="001646DD"/>
    <w:rsid w:val="001646EC"/>
    <w:rsid w:val="00164741"/>
    <w:rsid w:val="001647B2"/>
    <w:rsid w:val="001647E3"/>
    <w:rsid w:val="001647EB"/>
    <w:rsid w:val="00164821"/>
    <w:rsid w:val="0016486A"/>
    <w:rsid w:val="00164889"/>
    <w:rsid w:val="0016489E"/>
    <w:rsid w:val="001648B5"/>
    <w:rsid w:val="001648C7"/>
    <w:rsid w:val="001648FA"/>
    <w:rsid w:val="00164903"/>
    <w:rsid w:val="00164915"/>
    <w:rsid w:val="0016491C"/>
    <w:rsid w:val="00164988"/>
    <w:rsid w:val="001649AB"/>
    <w:rsid w:val="001649D5"/>
    <w:rsid w:val="001649E4"/>
    <w:rsid w:val="001649F9"/>
    <w:rsid w:val="00164A0B"/>
    <w:rsid w:val="00164A17"/>
    <w:rsid w:val="00164A5C"/>
    <w:rsid w:val="00164A78"/>
    <w:rsid w:val="00164B21"/>
    <w:rsid w:val="00164BEA"/>
    <w:rsid w:val="00164C0C"/>
    <w:rsid w:val="00164C1A"/>
    <w:rsid w:val="00164C6D"/>
    <w:rsid w:val="00164E0E"/>
    <w:rsid w:val="00164E59"/>
    <w:rsid w:val="00164E71"/>
    <w:rsid w:val="00164F0D"/>
    <w:rsid w:val="00164F1C"/>
    <w:rsid w:val="00164F20"/>
    <w:rsid w:val="00164F5C"/>
    <w:rsid w:val="00164FAC"/>
    <w:rsid w:val="00164FB3"/>
    <w:rsid w:val="00164FD5"/>
    <w:rsid w:val="00164FE6"/>
    <w:rsid w:val="00164FFD"/>
    <w:rsid w:val="00165033"/>
    <w:rsid w:val="00165044"/>
    <w:rsid w:val="00165060"/>
    <w:rsid w:val="0016507F"/>
    <w:rsid w:val="0016508A"/>
    <w:rsid w:val="001650B3"/>
    <w:rsid w:val="001650DF"/>
    <w:rsid w:val="001650F2"/>
    <w:rsid w:val="0016518C"/>
    <w:rsid w:val="00165231"/>
    <w:rsid w:val="00165252"/>
    <w:rsid w:val="00165258"/>
    <w:rsid w:val="0016525F"/>
    <w:rsid w:val="00165286"/>
    <w:rsid w:val="001652C1"/>
    <w:rsid w:val="001652F4"/>
    <w:rsid w:val="00165301"/>
    <w:rsid w:val="00165358"/>
    <w:rsid w:val="001653AE"/>
    <w:rsid w:val="001653B2"/>
    <w:rsid w:val="001653F2"/>
    <w:rsid w:val="001653FC"/>
    <w:rsid w:val="00165446"/>
    <w:rsid w:val="0016544F"/>
    <w:rsid w:val="001654D6"/>
    <w:rsid w:val="001654F0"/>
    <w:rsid w:val="00165537"/>
    <w:rsid w:val="001655CF"/>
    <w:rsid w:val="00165664"/>
    <w:rsid w:val="0016567E"/>
    <w:rsid w:val="001656EA"/>
    <w:rsid w:val="0016570F"/>
    <w:rsid w:val="00165735"/>
    <w:rsid w:val="0016575B"/>
    <w:rsid w:val="0016576F"/>
    <w:rsid w:val="00165770"/>
    <w:rsid w:val="0016579E"/>
    <w:rsid w:val="001657A4"/>
    <w:rsid w:val="001657CD"/>
    <w:rsid w:val="00165856"/>
    <w:rsid w:val="001658FC"/>
    <w:rsid w:val="0016591E"/>
    <w:rsid w:val="00165945"/>
    <w:rsid w:val="00165988"/>
    <w:rsid w:val="001659B2"/>
    <w:rsid w:val="00165AD8"/>
    <w:rsid w:val="00165AD9"/>
    <w:rsid w:val="00165AE4"/>
    <w:rsid w:val="00165AE7"/>
    <w:rsid w:val="00165B29"/>
    <w:rsid w:val="00165B92"/>
    <w:rsid w:val="00165BC3"/>
    <w:rsid w:val="00165BD0"/>
    <w:rsid w:val="00165BF0"/>
    <w:rsid w:val="00165C96"/>
    <w:rsid w:val="00165CA8"/>
    <w:rsid w:val="00165CEE"/>
    <w:rsid w:val="00165D17"/>
    <w:rsid w:val="00165D3D"/>
    <w:rsid w:val="00165D41"/>
    <w:rsid w:val="00165DD6"/>
    <w:rsid w:val="00165DEE"/>
    <w:rsid w:val="00165E46"/>
    <w:rsid w:val="00165E4B"/>
    <w:rsid w:val="00165E5A"/>
    <w:rsid w:val="00165E84"/>
    <w:rsid w:val="00165EB4"/>
    <w:rsid w:val="00165EDD"/>
    <w:rsid w:val="00165EDF"/>
    <w:rsid w:val="00165F2C"/>
    <w:rsid w:val="00165F5E"/>
    <w:rsid w:val="00165FBF"/>
    <w:rsid w:val="00165FE6"/>
    <w:rsid w:val="0016605A"/>
    <w:rsid w:val="0016608C"/>
    <w:rsid w:val="0016609B"/>
    <w:rsid w:val="001660A2"/>
    <w:rsid w:val="001660DD"/>
    <w:rsid w:val="0016610D"/>
    <w:rsid w:val="0016611C"/>
    <w:rsid w:val="0016613B"/>
    <w:rsid w:val="00166146"/>
    <w:rsid w:val="0016617B"/>
    <w:rsid w:val="00166188"/>
    <w:rsid w:val="001661C0"/>
    <w:rsid w:val="001661C1"/>
    <w:rsid w:val="001661CD"/>
    <w:rsid w:val="0016620D"/>
    <w:rsid w:val="00166222"/>
    <w:rsid w:val="00166290"/>
    <w:rsid w:val="00166296"/>
    <w:rsid w:val="001662D8"/>
    <w:rsid w:val="00166327"/>
    <w:rsid w:val="0016636B"/>
    <w:rsid w:val="0016637F"/>
    <w:rsid w:val="00166390"/>
    <w:rsid w:val="00166435"/>
    <w:rsid w:val="001664AD"/>
    <w:rsid w:val="001664B0"/>
    <w:rsid w:val="001664DF"/>
    <w:rsid w:val="0016653D"/>
    <w:rsid w:val="00166573"/>
    <w:rsid w:val="0016657B"/>
    <w:rsid w:val="0016657E"/>
    <w:rsid w:val="001665B0"/>
    <w:rsid w:val="001665ED"/>
    <w:rsid w:val="00166608"/>
    <w:rsid w:val="0016662C"/>
    <w:rsid w:val="0016662D"/>
    <w:rsid w:val="00166644"/>
    <w:rsid w:val="0016665D"/>
    <w:rsid w:val="001666BF"/>
    <w:rsid w:val="001666F1"/>
    <w:rsid w:val="001667BC"/>
    <w:rsid w:val="00166810"/>
    <w:rsid w:val="0016686A"/>
    <w:rsid w:val="0016688E"/>
    <w:rsid w:val="001668AC"/>
    <w:rsid w:val="001668CD"/>
    <w:rsid w:val="00166964"/>
    <w:rsid w:val="001669B6"/>
    <w:rsid w:val="00166A3B"/>
    <w:rsid w:val="00166A8A"/>
    <w:rsid w:val="00166A97"/>
    <w:rsid w:val="00166AB1"/>
    <w:rsid w:val="00166ADC"/>
    <w:rsid w:val="00166B14"/>
    <w:rsid w:val="00166BB1"/>
    <w:rsid w:val="00166BF6"/>
    <w:rsid w:val="00166C52"/>
    <w:rsid w:val="00166C64"/>
    <w:rsid w:val="00166C9F"/>
    <w:rsid w:val="00166CB8"/>
    <w:rsid w:val="00166CF8"/>
    <w:rsid w:val="00166D4F"/>
    <w:rsid w:val="00166D61"/>
    <w:rsid w:val="00166DF6"/>
    <w:rsid w:val="00166E8D"/>
    <w:rsid w:val="00166E92"/>
    <w:rsid w:val="00166EC1"/>
    <w:rsid w:val="00166ED3"/>
    <w:rsid w:val="00166EE3"/>
    <w:rsid w:val="00166EEA"/>
    <w:rsid w:val="00166F68"/>
    <w:rsid w:val="00166FB2"/>
    <w:rsid w:val="00166FC9"/>
    <w:rsid w:val="00166FD7"/>
    <w:rsid w:val="00166FE2"/>
    <w:rsid w:val="00166FE4"/>
    <w:rsid w:val="0016708D"/>
    <w:rsid w:val="001670A4"/>
    <w:rsid w:val="001670BC"/>
    <w:rsid w:val="0016713E"/>
    <w:rsid w:val="001671BF"/>
    <w:rsid w:val="001671F4"/>
    <w:rsid w:val="00167247"/>
    <w:rsid w:val="00167250"/>
    <w:rsid w:val="00167258"/>
    <w:rsid w:val="00167285"/>
    <w:rsid w:val="001672D0"/>
    <w:rsid w:val="00167309"/>
    <w:rsid w:val="001673E9"/>
    <w:rsid w:val="001673F6"/>
    <w:rsid w:val="00167412"/>
    <w:rsid w:val="00167427"/>
    <w:rsid w:val="00167466"/>
    <w:rsid w:val="001674AB"/>
    <w:rsid w:val="001674E8"/>
    <w:rsid w:val="00167507"/>
    <w:rsid w:val="0016750E"/>
    <w:rsid w:val="0016750F"/>
    <w:rsid w:val="00167524"/>
    <w:rsid w:val="00167551"/>
    <w:rsid w:val="00167561"/>
    <w:rsid w:val="00167564"/>
    <w:rsid w:val="00167569"/>
    <w:rsid w:val="001675BC"/>
    <w:rsid w:val="001675C5"/>
    <w:rsid w:val="001675CA"/>
    <w:rsid w:val="001675F8"/>
    <w:rsid w:val="00167626"/>
    <w:rsid w:val="00167629"/>
    <w:rsid w:val="001676B5"/>
    <w:rsid w:val="00167726"/>
    <w:rsid w:val="00167776"/>
    <w:rsid w:val="00167779"/>
    <w:rsid w:val="001677C2"/>
    <w:rsid w:val="001677E6"/>
    <w:rsid w:val="00167804"/>
    <w:rsid w:val="00167821"/>
    <w:rsid w:val="00167859"/>
    <w:rsid w:val="0016787D"/>
    <w:rsid w:val="00167881"/>
    <w:rsid w:val="00167891"/>
    <w:rsid w:val="001678AE"/>
    <w:rsid w:val="00167901"/>
    <w:rsid w:val="0016791F"/>
    <w:rsid w:val="00167986"/>
    <w:rsid w:val="001679B0"/>
    <w:rsid w:val="001679C0"/>
    <w:rsid w:val="001679F4"/>
    <w:rsid w:val="00167A5D"/>
    <w:rsid w:val="00167A5F"/>
    <w:rsid w:val="00167AD5"/>
    <w:rsid w:val="00167B34"/>
    <w:rsid w:val="00167B4D"/>
    <w:rsid w:val="00167B8A"/>
    <w:rsid w:val="00167B9E"/>
    <w:rsid w:val="00167BC2"/>
    <w:rsid w:val="00167C03"/>
    <w:rsid w:val="00167CA3"/>
    <w:rsid w:val="00167CC6"/>
    <w:rsid w:val="00167CF3"/>
    <w:rsid w:val="00167D04"/>
    <w:rsid w:val="00167D2A"/>
    <w:rsid w:val="00167D46"/>
    <w:rsid w:val="00167DAE"/>
    <w:rsid w:val="00167DB5"/>
    <w:rsid w:val="00167DC2"/>
    <w:rsid w:val="00167E07"/>
    <w:rsid w:val="00167E16"/>
    <w:rsid w:val="00167E37"/>
    <w:rsid w:val="00167E3D"/>
    <w:rsid w:val="00167E4B"/>
    <w:rsid w:val="00167E50"/>
    <w:rsid w:val="00167EBC"/>
    <w:rsid w:val="00167F11"/>
    <w:rsid w:val="00167F51"/>
    <w:rsid w:val="00167FC6"/>
    <w:rsid w:val="00167FDC"/>
    <w:rsid w:val="00167FEB"/>
    <w:rsid w:val="00170011"/>
    <w:rsid w:val="00170048"/>
    <w:rsid w:val="00170059"/>
    <w:rsid w:val="001700A4"/>
    <w:rsid w:val="001700C5"/>
    <w:rsid w:val="001700CA"/>
    <w:rsid w:val="00170108"/>
    <w:rsid w:val="0017017F"/>
    <w:rsid w:val="00170187"/>
    <w:rsid w:val="001701BF"/>
    <w:rsid w:val="001701FC"/>
    <w:rsid w:val="00170248"/>
    <w:rsid w:val="001702B3"/>
    <w:rsid w:val="0017036B"/>
    <w:rsid w:val="001703BB"/>
    <w:rsid w:val="001703D4"/>
    <w:rsid w:val="00170408"/>
    <w:rsid w:val="00170427"/>
    <w:rsid w:val="00170465"/>
    <w:rsid w:val="001704A4"/>
    <w:rsid w:val="00170541"/>
    <w:rsid w:val="001705D2"/>
    <w:rsid w:val="001705DD"/>
    <w:rsid w:val="00170627"/>
    <w:rsid w:val="00170629"/>
    <w:rsid w:val="0017063F"/>
    <w:rsid w:val="00170688"/>
    <w:rsid w:val="001706BF"/>
    <w:rsid w:val="0017073A"/>
    <w:rsid w:val="001707C3"/>
    <w:rsid w:val="00170824"/>
    <w:rsid w:val="0017084F"/>
    <w:rsid w:val="00170894"/>
    <w:rsid w:val="00170952"/>
    <w:rsid w:val="001709FA"/>
    <w:rsid w:val="001709FD"/>
    <w:rsid w:val="00170A52"/>
    <w:rsid w:val="00170AD5"/>
    <w:rsid w:val="00170B6E"/>
    <w:rsid w:val="00170B76"/>
    <w:rsid w:val="00170BFA"/>
    <w:rsid w:val="00170C1E"/>
    <w:rsid w:val="00170CBD"/>
    <w:rsid w:val="00170CC7"/>
    <w:rsid w:val="00170CE9"/>
    <w:rsid w:val="00170D0E"/>
    <w:rsid w:val="00170D23"/>
    <w:rsid w:val="00170D59"/>
    <w:rsid w:val="00170D5D"/>
    <w:rsid w:val="00170DAE"/>
    <w:rsid w:val="00170DED"/>
    <w:rsid w:val="00170EA0"/>
    <w:rsid w:val="00170F5D"/>
    <w:rsid w:val="00170FB1"/>
    <w:rsid w:val="00170FBF"/>
    <w:rsid w:val="00171066"/>
    <w:rsid w:val="001710A8"/>
    <w:rsid w:val="001710B2"/>
    <w:rsid w:val="001710C5"/>
    <w:rsid w:val="001710D8"/>
    <w:rsid w:val="001710F7"/>
    <w:rsid w:val="00171115"/>
    <w:rsid w:val="00171133"/>
    <w:rsid w:val="0017118E"/>
    <w:rsid w:val="001711AC"/>
    <w:rsid w:val="00171203"/>
    <w:rsid w:val="00171257"/>
    <w:rsid w:val="00171288"/>
    <w:rsid w:val="001712F1"/>
    <w:rsid w:val="0017139C"/>
    <w:rsid w:val="0017147D"/>
    <w:rsid w:val="0017153F"/>
    <w:rsid w:val="0017158F"/>
    <w:rsid w:val="001715AA"/>
    <w:rsid w:val="001715B6"/>
    <w:rsid w:val="0017164F"/>
    <w:rsid w:val="0017166A"/>
    <w:rsid w:val="0017167A"/>
    <w:rsid w:val="001716C6"/>
    <w:rsid w:val="0017173F"/>
    <w:rsid w:val="00171752"/>
    <w:rsid w:val="0017176C"/>
    <w:rsid w:val="00171788"/>
    <w:rsid w:val="001717F6"/>
    <w:rsid w:val="00171800"/>
    <w:rsid w:val="00171837"/>
    <w:rsid w:val="00171867"/>
    <w:rsid w:val="00171873"/>
    <w:rsid w:val="0017189F"/>
    <w:rsid w:val="00171918"/>
    <w:rsid w:val="00171929"/>
    <w:rsid w:val="00171947"/>
    <w:rsid w:val="00171977"/>
    <w:rsid w:val="0017199A"/>
    <w:rsid w:val="001719B8"/>
    <w:rsid w:val="001719E1"/>
    <w:rsid w:val="001719E4"/>
    <w:rsid w:val="001719F0"/>
    <w:rsid w:val="00171AD6"/>
    <w:rsid w:val="00171B29"/>
    <w:rsid w:val="00171B97"/>
    <w:rsid w:val="00171C13"/>
    <w:rsid w:val="00171C46"/>
    <w:rsid w:val="00171CA1"/>
    <w:rsid w:val="00171CB2"/>
    <w:rsid w:val="00171CCC"/>
    <w:rsid w:val="00171CDE"/>
    <w:rsid w:val="00171CF9"/>
    <w:rsid w:val="00171D87"/>
    <w:rsid w:val="00171D8C"/>
    <w:rsid w:val="00171DAA"/>
    <w:rsid w:val="00171DB1"/>
    <w:rsid w:val="00171E4D"/>
    <w:rsid w:val="00171E66"/>
    <w:rsid w:val="00171E89"/>
    <w:rsid w:val="00171F27"/>
    <w:rsid w:val="00171FCE"/>
    <w:rsid w:val="00171FF6"/>
    <w:rsid w:val="0017202F"/>
    <w:rsid w:val="0017203E"/>
    <w:rsid w:val="0017209C"/>
    <w:rsid w:val="001720F9"/>
    <w:rsid w:val="001720FA"/>
    <w:rsid w:val="0017215F"/>
    <w:rsid w:val="00172189"/>
    <w:rsid w:val="0017219D"/>
    <w:rsid w:val="001721D7"/>
    <w:rsid w:val="00172299"/>
    <w:rsid w:val="00172305"/>
    <w:rsid w:val="00172308"/>
    <w:rsid w:val="00172319"/>
    <w:rsid w:val="0017231D"/>
    <w:rsid w:val="00172336"/>
    <w:rsid w:val="00172343"/>
    <w:rsid w:val="001723F0"/>
    <w:rsid w:val="00172451"/>
    <w:rsid w:val="001724F2"/>
    <w:rsid w:val="0017251E"/>
    <w:rsid w:val="0017256A"/>
    <w:rsid w:val="0017257E"/>
    <w:rsid w:val="00172588"/>
    <w:rsid w:val="001725B3"/>
    <w:rsid w:val="00172655"/>
    <w:rsid w:val="001726A4"/>
    <w:rsid w:val="001726F5"/>
    <w:rsid w:val="0017270E"/>
    <w:rsid w:val="00172722"/>
    <w:rsid w:val="00172755"/>
    <w:rsid w:val="001727B0"/>
    <w:rsid w:val="001727B8"/>
    <w:rsid w:val="001727C8"/>
    <w:rsid w:val="001727CB"/>
    <w:rsid w:val="001727CF"/>
    <w:rsid w:val="00172816"/>
    <w:rsid w:val="0017285D"/>
    <w:rsid w:val="001728B3"/>
    <w:rsid w:val="001728BC"/>
    <w:rsid w:val="001728D2"/>
    <w:rsid w:val="0017295C"/>
    <w:rsid w:val="00172991"/>
    <w:rsid w:val="001729AB"/>
    <w:rsid w:val="001729BD"/>
    <w:rsid w:val="001729C6"/>
    <w:rsid w:val="001729FB"/>
    <w:rsid w:val="00172A0F"/>
    <w:rsid w:val="00172A3A"/>
    <w:rsid w:val="00172A6D"/>
    <w:rsid w:val="00172AC6"/>
    <w:rsid w:val="00172AD0"/>
    <w:rsid w:val="00172AD9"/>
    <w:rsid w:val="00172B24"/>
    <w:rsid w:val="00172B2D"/>
    <w:rsid w:val="00172C83"/>
    <w:rsid w:val="00172CBF"/>
    <w:rsid w:val="00172CD6"/>
    <w:rsid w:val="00172CDA"/>
    <w:rsid w:val="00172D50"/>
    <w:rsid w:val="00172D6F"/>
    <w:rsid w:val="00172DCA"/>
    <w:rsid w:val="00172E12"/>
    <w:rsid w:val="00172E57"/>
    <w:rsid w:val="00172EA4"/>
    <w:rsid w:val="00172EDE"/>
    <w:rsid w:val="00172F65"/>
    <w:rsid w:val="00172F81"/>
    <w:rsid w:val="00172FC2"/>
    <w:rsid w:val="00172FD1"/>
    <w:rsid w:val="0017303A"/>
    <w:rsid w:val="00173125"/>
    <w:rsid w:val="001731F1"/>
    <w:rsid w:val="00173271"/>
    <w:rsid w:val="001732AF"/>
    <w:rsid w:val="00173332"/>
    <w:rsid w:val="0017334D"/>
    <w:rsid w:val="00173380"/>
    <w:rsid w:val="00173403"/>
    <w:rsid w:val="001734BF"/>
    <w:rsid w:val="001734E3"/>
    <w:rsid w:val="00173500"/>
    <w:rsid w:val="0017352D"/>
    <w:rsid w:val="00173541"/>
    <w:rsid w:val="001735FD"/>
    <w:rsid w:val="0017361F"/>
    <w:rsid w:val="0017365C"/>
    <w:rsid w:val="0017365D"/>
    <w:rsid w:val="0017368E"/>
    <w:rsid w:val="001736CA"/>
    <w:rsid w:val="001736E2"/>
    <w:rsid w:val="001736F5"/>
    <w:rsid w:val="00173724"/>
    <w:rsid w:val="00173765"/>
    <w:rsid w:val="00173785"/>
    <w:rsid w:val="001737D9"/>
    <w:rsid w:val="00173820"/>
    <w:rsid w:val="0017383B"/>
    <w:rsid w:val="00173842"/>
    <w:rsid w:val="001738EA"/>
    <w:rsid w:val="001738F4"/>
    <w:rsid w:val="00173913"/>
    <w:rsid w:val="00173922"/>
    <w:rsid w:val="00173944"/>
    <w:rsid w:val="00173964"/>
    <w:rsid w:val="001739C1"/>
    <w:rsid w:val="001739C2"/>
    <w:rsid w:val="00173A18"/>
    <w:rsid w:val="00173A51"/>
    <w:rsid w:val="00173AA5"/>
    <w:rsid w:val="00173AC8"/>
    <w:rsid w:val="00173B2D"/>
    <w:rsid w:val="00173BDC"/>
    <w:rsid w:val="00173C10"/>
    <w:rsid w:val="00173C20"/>
    <w:rsid w:val="00173C3B"/>
    <w:rsid w:val="00173C81"/>
    <w:rsid w:val="00173C93"/>
    <w:rsid w:val="00173CB5"/>
    <w:rsid w:val="00173CC7"/>
    <w:rsid w:val="00173D93"/>
    <w:rsid w:val="00173DF2"/>
    <w:rsid w:val="00173E1C"/>
    <w:rsid w:val="00173E36"/>
    <w:rsid w:val="00173E42"/>
    <w:rsid w:val="00173E8E"/>
    <w:rsid w:val="00173EC5"/>
    <w:rsid w:val="00173F83"/>
    <w:rsid w:val="00173FAA"/>
    <w:rsid w:val="00173FE4"/>
    <w:rsid w:val="00174003"/>
    <w:rsid w:val="00174035"/>
    <w:rsid w:val="00174060"/>
    <w:rsid w:val="001740A8"/>
    <w:rsid w:val="001740DF"/>
    <w:rsid w:val="00174113"/>
    <w:rsid w:val="00174125"/>
    <w:rsid w:val="0017414C"/>
    <w:rsid w:val="0017418C"/>
    <w:rsid w:val="001741A4"/>
    <w:rsid w:val="001741E7"/>
    <w:rsid w:val="0017422D"/>
    <w:rsid w:val="0017423F"/>
    <w:rsid w:val="00174279"/>
    <w:rsid w:val="001742F0"/>
    <w:rsid w:val="001742FF"/>
    <w:rsid w:val="00174351"/>
    <w:rsid w:val="00174381"/>
    <w:rsid w:val="0017439F"/>
    <w:rsid w:val="001743D9"/>
    <w:rsid w:val="0017442D"/>
    <w:rsid w:val="00174437"/>
    <w:rsid w:val="001744D3"/>
    <w:rsid w:val="001746A6"/>
    <w:rsid w:val="001746A9"/>
    <w:rsid w:val="001746B8"/>
    <w:rsid w:val="001746F5"/>
    <w:rsid w:val="00174713"/>
    <w:rsid w:val="00174733"/>
    <w:rsid w:val="001747AD"/>
    <w:rsid w:val="001747B4"/>
    <w:rsid w:val="001747E6"/>
    <w:rsid w:val="001747F0"/>
    <w:rsid w:val="00174813"/>
    <w:rsid w:val="00174828"/>
    <w:rsid w:val="00174878"/>
    <w:rsid w:val="0017488E"/>
    <w:rsid w:val="001748C3"/>
    <w:rsid w:val="001748EE"/>
    <w:rsid w:val="00174919"/>
    <w:rsid w:val="0017493F"/>
    <w:rsid w:val="0017494C"/>
    <w:rsid w:val="00174994"/>
    <w:rsid w:val="00174998"/>
    <w:rsid w:val="001749ED"/>
    <w:rsid w:val="00174A0A"/>
    <w:rsid w:val="00174A0B"/>
    <w:rsid w:val="00174A45"/>
    <w:rsid w:val="00174A4D"/>
    <w:rsid w:val="00174A6D"/>
    <w:rsid w:val="00174ABD"/>
    <w:rsid w:val="00174B1B"/>
    <w:rsid w:val="00174B4B"/>
    <w:rsid w:val="00174B57"/>
    <w:rsid w:val="00174B68"/>
    <w:rsid w:val="00174BC7"/>
    <w:rsid w:val="00174C04"/>
    <w:rsid w:val="00174C20"/>
    <w:rsid w:val="00174C3C"/>
    <w:rsid w:val="00174C78"/>
    <w:rsid w:val="00174CDF"/>
    <w:rsid w:val="00174D88"/>
    <w:rsid w:val="00174DA7"/>
    <w:rsid w:val="00174DD7"/>
    <w:rsid w:val="00174DF5"/>
    <w:rsid w:val="00174E1B"/>
    <w:rsid w:val="00174E42"/>
    <w:rsid w:val="00174E96"/>
    <w:rsid w:val="00174E9B"/>
    <w:rsid w:val="00174ECA"/>
    <w:rsid w:val="00174EEA"/>
    <w:rsid w:val="00174EED"/>
    <w:rsid w:val="00174F1A"/>
    <w:rsid w:val="00174F34"/>
    <w:rsid w:val="00174F6C"/>
    <w:rsid w:val="00174F75"/>
    <w:rsid w:val="00174FE7"/>
    <w:rsid w:val="00175026"/>
    <w:rsid w:val="00175047"/>
    <w:rsid w:val="00175074"/>
    <w:rsid w:val="0017508A"/>
    <w:rsid w:val="001750B2"/>
    <w:rsid w:val="001750E7"/>
    <w:rsid w:val="001751E3"/>
    <w:rsid w:val="0017522D"/>
    <w:rsid w:val="00175235"/>
    <w:rsid w:val="00175279"/>
    <w:rsid w:val="00175284"/>
    <w:rsid w:val="001752C2"/>
    <w:rsid w:val="0017536C"/>
    <w:rsid w:val="00175389"/>
    <w:rsid w:val="00175420"/>
    <w:rsid w:val="001754A1"/>
    <w:rsid w:val="001754D9"/>
    <w:rsid w:val="001754FC"/>
    <w:rsid w:val="00175503"/>
    <w:rsid w:val="00175507"/>
    <w:rsid w:val="00175526"/>
    <w:rsid w:val="00175555"/>
    <w:rsid w:val="00175568"/>
    <w:rsid w:val="001755DE"/>
    <w:rsid w:val="0017561B"/>
    <w:rsid w:val="0017568E"/>
    <w:rsid w:val="001756DD"/>
    <w:rsid w:val="00175719"/>
    <w:rsid w:val="00175797"/>
    <w:rsid w:val="001757AB"/>
    <w:rsid w:val="001757AC"/>
    <w:rsid w:val="001757B8"/>
    <w:rsid w:val="001757D2"/>
    <w:rsid w:val="001757D6"/>
    <w:rsid w:val="001757E5"/>
    <w:rsid w:val="00175804"/>
    <w:rsid w:val="00175844"/>
    <w:rsid w:val="001758E3"/>
    <w:rsid w:val="001758F0"/>
    <w:rsid w:val="00175919"/>
    <w:rsid w:val="001759AE"/>
    <w:rsid w:val="00175A25"/>
    <w:rsid w:val="00175AB3"/>
    <w:rsid w:val="00175ACB"/>
    <w:rsid w:val="00175ADF"/>
    <w:rsid w:val="00175B11"/>
    <w:rsid w:val="00175B9A"/>
    <w:rsid w:val="00175B9F"/>
    <w:rsid w:val="00175BDB"/>
    <w:rsid w:val="00175BDC"/>
    <w:rsid w:val="00175BEF"/>
    <w:rsid w:val="00175C09"/>
    <w:rsid w:val="00175C4F"/>
    <w:rsid w:val="00175C5E"/>
    <w:rsid w:val="00175C6A"/>
    <w:rsid w:val="00175C7C"/>
    <w:rsid w:val="00175CA7"/>
    <w:rsid w:val="00175CBB"/>
    <w:rsid w:val="00175CED"/>
    <w:rsid w:val="00175D03"/>
    <w:rsid w:val="00175D06"/>
    <w:rsid w:val="00175D10"/>
    <w:rsid w:val="00175D2D"/>
    <w:rsid w:val="00175D69"/>
    <w:rsid w:val="00175E0D"/>
    <w:rsid w:val="00175E5E"/>
    <w:rsid w:val="00175EA7"/>
    <w:rsid w:val="00175EBC"/>
    <w:rsid w:val="00175ED4"/>
    <w:rsid w:val="00175EF1"/>
    <w:rsid w:val="00175F20"/>
    <w:rsid w:val="00175F5B"/>
    <w:rsid w:val="0017600D"/>
    <w:rsid w:val="00176050"/>
    <w:rsid w:val="00176065"/>
    <w:rsid w:val="00176081"/>
    <w:rsid w:val="00176113"/>
    <w:rsid w:val="001761A8"/>
    <w:rsid w:val="001761AA"/>
    <w:rsid w:val="0017622F"/>
    <w:rsid w:val="00176296"/>
    <w:rsid w:val="001762A8"/>
    <w:rsid w:val="001762AC"/>
    <w:rsid w:val="001762AE"/>
    <w:rsid w:val="00176314"/>
    <w:rsid w:val="0017632D"/>
    <w:rsid w:val="0017636D"/>
    <w:rsid w:val="00176372"/>
    <w:rsid w:val="00176381"/>
    <w:rsid w:val="00176389"/>
    <w:rsid w:val="0017641D"/>
    <w:rsid w:val="00176434"/>
    <w:rsid w:val="00176443"/>
    <w:rsid w:val="00176497"/>
    <w:rsid w:val="00176511"/>
    <w:rsid w:val="00176566"/>
    <w:rsid w:val="00176589"/>
    <w:rsid w:val="001765AB"/>
    <w:rsid w:val="00176600"/>
    <w:rsid w:val="0017661D"/>
    <w:rsid w:val="0017664B"/>
    <w:rsid w:val="00176689"/>
    <w:rsid w:val="001766B5"/>
    <w:rsid w:val="001766C9"/>
    <w:rsid w:val="001766CC"/>
    <w:rsid w:val="001766EB"/>
    <w:rsid w:val="0017672E"/>
    <w:rsid w:val="00176735"/>
    <w:rsid w:val="0017673B"/>
    <w:rsid w:val="0017674E"/>
    <w:rsid w:val="001767D5"/>
    <w:rsid w:val="001767FB"/>
    <w:rsid w:val="001767FE"/>
    <w:rsid w:val="00176850"/>
    <w:rsid w:val="00176863"/>
    <w:rsid w:val="0017695C"/>
    <w:rsid w:val="001769BC"/>
    <w:rsid w:val="00176A17"/>
    <w:rsid w:val="00176A3A"/>
    <w:rsid w:val="00176A66"/>
    <w:rsid w:val="00176A8F"/>
    <w:rsid w:val="00176A97"/>
    <w:rsid w:val="00176AAD"/>
    <w:rsid w:val="00176AB7"/>
    <w:rsid w:val="00176ABF"/>
    <w:rsid w:val="00176B25"/>
    <w:rsid w:val="00176B49"/>
    <w:rsid w:val="00176C5A"/>
    <w:rsid w:val="00176C68"/>
    <w:rsid w:val="00176C80"/>
    <w:rsid w:val="00176C9D"/>
    <w:rsid w:val="00176D0C"/>
    <w:rsid w:val="00176D17"/>
    <w:rsid w:val="00176E30"/>
    <w:rsid w:val="00176E47"/>
    <w:rsid w:val="00176E7D"/>
    <w:rsid w:val="00176E8F"/>
    <w:rsid w:val="00176E92"/>
    <w:rsid w:val="00176ECC"/>
    <w:rsid w:val="00176F09"/>
    <w:rsid w:val="00176F27"/>
    <w:rsid w:val="00176F6E"/>
    <w:rsid w:val="00176FC7"/>
    <w:rsid w:val="00177001"/>
    <w:rsid w:val="0017704A"/>
    <w:rsid w:val="0017704C"/>
    <w:rsid w:val="00177058"/>
    <w:rsid w:val="0017708B"/>
    <w:rsid w:val="0017709A"/>
    <w:rsid w:val="001770B1"/>
    <w:rsid w:val="001770D7"/>
    <w:rsid w:val="001770E5"/>
    <w:rsid w:val="0017710C"/>
    <w:rsid w:val="0017714B"/>
    <w:rsid w:val="00177164"/>
    <w:rsid w:val="00177185"/>
    <w:rsid w:val="001771C5"/>
    <w:rsid w:val="00177212"/>
    <w:rsid w:val="0017721A"/>
    <w:rsid w:val="00177220"/>
    <w:rsid w:val="00177228"/>
    <w:rsid w:val="00177274"/>
    <w:rsid w:val="0017727E"/>
    <w:rsid w:val="0017729D"/>
    <w:rsid w:val="001772AD"/>
    <w:rsid w:val="001772B6"/>
    <w:rsid w:val="001772CC"/>
    <w:rsid w:val="001772CD"/>
    <w:rsid w:val="00177308"/>
    <w:rsid w:val="00177331"/>
    <w:rsid w:val="001773F3"/>
    <w:rsid w:val="00177414"/>
    <w:rsid w:val="00177450"/>
    <w:rsid w:val="0017745F"/>
    <w:rsid w:val="001774D7"/>
    <w:rsid w:val="001774EB"/>
    <w:rsid w:val="0017764D"/>
    <w:rsid w:val="00177678"/>
    <w:rsid w:val="001776B6"/>
    <w:rsid w:val="001776BB"/>
    <w:rsid w:val="001776E4"/>
    <w:rsid w:val="00177741"/>
    <w:rsid w:val="00177742"/>
    <w:rsid w:val="00177799"/>
    <w:rsid w:val="001777B3"/>
    <w:rsid w:val="001777B5"/>
    <w:rsid w:val="001777CA"/>
    <w:rsid w:val="0017783F"/>
    <w:rsid w:val="00177854"/>
    <w:rsid w:val="001778B7"/>
    <w:rsid w:val="0017790E"/>
    <w:rsid w:val="00177975"/>
    <w:rsid w:val="001779C4"/>
    <w:rsid w:val="001779FC"/>
    <w:rsid w:val="00177A07"/>
    <w:rsid w:val="00177A4E"/>
    <w:rsid w:val="00177A5C"/>
    <w:rsid w:val="00177A90"/>
    <w:rsid w:val="00177ABB"/>
    <w:rsid w:val="00177ABD"/>
    <w:rsid w:val="00177ABE"/>
    <w:rsid w:val="00177AF9"/>
    <w:rsid w:val="00177B00"/>
    <w:rsid w:val="00177B37"/>
    <w:rsid w:val="00177B83"/>
    <w:rsid w:val="00177B92"/>
    <w:rsid w:val="00177BC3"/>
    <w:rsid w:val="00177BC4"/>
    <w:rsid w:val="00177BDA"/>
    <w:rsid w:val="00177C15"/>
    <w:rsid w:val="00177C3D"/>
    <w:rsid w:val="00177CE7"/>
    <w:rsid w:val="00177CFD"/>
    <w:rsid w:val="00177D33"/>
    <w:rsid w:val="00177D40"/>
    <w:rsid w:val="00177D6C"/>
    <w:rsid w:val="00177E2D"/>
    <w:rsid w:val="00177EF4"/>
    <w:rsid w:val="00177F22"/>
    <w:rsid w:val="00177FC4"/>
    <w:rsid w:val="00180012"/>
    <w:rsid w:val="001800FC"/>
    <w:rsid w:val="00180120"/>
    <w:rsid w:val="0018015C"/>
    <w:rsid w:val="0018016F"/>
    <w:rsid w:val="00180175"/>
    <w:rsid w:val="001801F7"/>
    <w:rsid w:val="0018024D"/>
    <w:rsid w:val="00180260"/>
    <w:rsid w:val="00180285"/>
    <w:rsid w:val="001802CA"/>
    <w:rsid w:val="001802D3"/>
    <w:rsid w:val="00180319"/>
    <w:rsid w:val="0018032D"/>
    <w:rsid w:val="00180330"/>
    <w:rsid w:val="0018039F"/>
    <w:rsid w:val="001803BA"/>
    <w:rsid w:val="00180459"/>
    <w:rsid w:val="00180480"/>
    <w:rsid w:val="00180499"/>
    <w:rsid w:val="00180543"/>
    <w:rsid w:val="00180586"/>
    <w:rsid w:val="0018059C"/>
    <w:rsid w:val="001805A4"/>
    <w:rsid w:val="001805BC"/>
    <w:rsid w:val="001805F1"/>
    <w:rsid w:val="00180685"/>
    <w:rsid w:val="001806A6"/>
    <w:rsid w:val="001806AD"/>
    <w:rsid w:val="001806B7"/>
    <w:rsid w:val="00180710"/>
    <w:rsid w:val="00180757"/>
    <w:rsid w:val="00180760"/>
    <w:rsid w:val="00180763"/>
    <w:rsid w:val="0018077A"/>
    <w:rsid w:val="00180795"/>
    <w:rsid w:val="0018079A"/>
    <w:rsid w:val="001807D4"/>
    <w:rsid w:val="0018081C"/>
    <w:rsid w:val="00180893"/>
    <w:rsid w:val="00180902"/>
    <w:rsid w:val="0018091A"/>
    <w:rsid w:val="00180985"/>
    <w:rsid w:val="00180998"/>
    <w:rsid w:val="00180A6C"/>
    <w:rsid w:val="00180B17"/>
    <w:rsid w:val="00180BC8"/>
    <w:rsid w:val="00180BE2"/>
    <w:rsid w:val="00180C48"/>
    <w:rsid w:val="00180CFB"/>
    <w:rsid w:val="00180D01"/>
    <w:rsid w:val="00180D57"/>
    <w:rsid w:val="00180DAD"/>
    <w:rsid w:val="00180DC5"/>
    <w:rsid w:val="00180DE6"/>
    <w:rsid w:val="00180E63"/>
    <w:rsid w:val="00180EB6"/>
    <w:rsid w:val="00180EC9"/>
    <w:rsid w:val="00180EE5"/>
    <w:rsid w:val="00180F1F"/>
    <w:rsid w:val="00180F3C"/>
    <w:rsid w:val="00180FB9"/>
    <w:rsid w:val="00180FC0"/>
    <w:rsid w:val="00180FE1"/>
    <w:rsid w:val="00181001"/>
    <w:rsid w:val="00181037"/>
    <w:rsid w:val="001810CC"/>
    <w:rsid w:val="001810E1"/>
    <w:rsid w:val="0018111E"/>
    <w:rsid w:val="001811AA"/>
    <w:rsid w:val="001811B6"/>
    <w:rsid w:val="001811C0"/>
    <w:rsid w:val="00181208"/>
    <w:rsid w:val="00181215"/>
    <w:rsid w:val="00181230"/>
    <w:rsid w:val="00181252"/>
    <w:rsid w:val="00181259"/>
    <w:rsid w:val="00181272"/>
    <w:rsid w:val="00181295"/>
    <w:rsid w:val="0018129F"/>
    <w:rsid w:val="001812B9"/>
    <w:rsid w:val="001812C1"/>
    <w:rsid w:val="001812D4"/>
    <w:rsid w:val="00181308"/>
    <w:rsid w:val="00181319"/>
    <w:rsid w:val="001813F0"/>
    <w:rsid w:val="001813FD"/>
    <w:rsid w:val="00181406"/>
    <w:rsid w:val="00181449"/>
    <w:rsid w:val="0018144F"/>
    <w:rsid w:val="00181450"/>
    <w:rsid w:val="00181468"/>
    <w:rsid w:val="0018146C"/>
    <w:rsid w:val="001814A2"/>
    <w:rsid w:val="001814A5"/>
    <w:rsid w:val="001814DF"/>
    <w:rsid w:val="00181536"/>
    <w:rsid w:val="00181542"/>
    <w:rsid w:val="00181590"/>
    <w:rsid w:val="001815DD"/>
    <w:rsid w:val="00181600"/>
    <w:rsid w:val="00181634"/>
    <w:rsid w:val="0018166A"/>
    <w:rsid w:val="00181699"/>
    <w:rsid w:val="001816B6"/>
    <w:rsid w:val="001816D1"/>
    <w:rsid w:val="001816E8"/>
    <w:rsid w:val="001816F9"/>
    <w:rsid w:val="00181721"/>
    <w:rsid w:val="00181754"/>
    <w:rsid w:val="00181773"/>
    <w:rsid w:val="00181783"/>
    <w:rsid w:val="001817CD"/>
    <w:rsid w:val="001817D5"/>
    <w:rsid w:val="001817DA"/>
    <w:rsid w:val="001817FA"/>
    <w:rsid w:val="00181809"/>
    <w:rsid w:val="00181895"/>
    <w:rsid w:val="00181909"/>
    <w:rsid w:val="00181957"/>
    <w:rsid w:val="00181995"/>
    <w:rsid w:val="001819AD"/>
    <w:rsid w:val="001819AF"/>
    <w:rsid w:val="001819F0"/>
    <w:rsid w:val="00181A6A"/>
    <w:rsid w:val="00181A91"/>
    <w:rsid w:val="00181ABC"/>
    <w:rsid w:val="00181B5C"/>
    <w:rsid w:val="00181B94"/>
    <w:rsid w:val="00181C01"/>
    <w:rsid w:val="00181C46"/>
    <w:rsid w:val="00181C86"/>
    <w:rsid w:val="00181C87"/>
    <w:rsid w:val="00181C95"/>
    <w:rsid w:val="00181CEE"/>
    <w:rsid w:val="00181D43"/>
    <w:rsid w:val="00181D92"/>
    <w:rsid w:val="00181E26"/>
    <w:rsid w:val="00181E2D"/>
    <w:rsid w:val="00181E68"/>
    <w:rsid w:val="00181ED3"/>
    <w:rsid w:val="00181EE8"/>
    <w:rsid w:val="00181F2B"/>
    <w:rsid w:val="00181F2E"/>
    <w:rsid w:val="00181F64"/>
    <w:rsid w:val="00181FAA"/>
    <w:rsid w:val="00182009"/>
    <w:rsid w:val="00182069"/>
    <w:rsid w:val="0018206E"/>
    <w:rsid w:val="00182073"/>
    <w:rsid w:val="00182074"/>
    <w:rsid w:val="00182080"/>
    <w:rsid w:val="00182091"/>
    <w:rsid w:val="001820A9"/>
    <w:rsid w:val="001820D0"/>
    <w:rsid w:val="001820DA"/>
    <w:rsid w:val="001820DD"/>
    <w:rsid w:val="00182103"/>
    <w:rsid w:val="00182126"/>
    <w:rsid w:val="00182140"/>
    <w:rsid w:val="00182164"/>
    <w:rsid w:val="0018216E"/>
    <w:rsid w:val="00182197"/>
    <w:rsid w:val="001821AC"/>
    <w:rsid w:val="001821AD"/>
    <w:rsid w:val="001821C9"/>
    <w:rsid w:val="001821D3"/>
    <w:rsid w:val="0018224A"/>
    <w:rsid w:val="0018227C"/>
    <w:rsid w:val="00182295"/>
    <w:rsid w:val="001822E2"/>
    <w:rsid w:val="001822F0"/>
    <w:rsid w:val="00182359"/>
    <w:rsid w:val="00182365"/>
    <w:rsid w:val="00182394"/>
    <w:rsid w:val="0018239D"/>
    <w:rsid w:val="00182450"/>
    <w:rsid w:val="001824BB"/>
    <w:rsid w:val="001824FE"/>
    <w:rsid w:val="00182513"/>
    <w:rsid w:val="0018258F"/>
    <w:rsid w:val="001825E4"/>
    <w:rsid w:val="001826EA"/>
    <w:rsid w:val="0018271A"/>
    <w:rsid w:val="001827BA"/>
    <w:rsid w:val="00182843"/>
    <w:rsid w:val="0018288D"/>
    <w:rsid w:val="001828FF"/>
    <w:rsid w:val="00182910"/>
    <w:rsid w:val="00182911"/>
    <w:rsid w:val="00182964"/>
    <w:rsid w:val="00182A16"/>
    <w:rsid w:val="00182A5C"/>
    <w:rsid w:val="00182A97"/>
    <w:rsid w:val="00182ACA"/>
    <w:rsid w:val="00182ACE"/>
    <w:rsid w:val="00182AFB"/>
    <w:rsid w:val="00182AFF"/>
    <w:rsid w:val="00182B3E"/>
    <w:rsid w:val="00182B7E"/>
    <w:rsid w:val="00182BB1"/>
    <w:rsid w:val="00182C09"/>
    <w:rsid w:val="00182C0B"/>
    <w:rsid w:val="00182C3D"/>
    <w:rsid w:val="00182C3F"/>
    <w:rsid w:val="00182C59"/>
    <w:rsid w:val="00182C67"/>
    <w:rsid w:val="00182CA5"/>
    <w:rsid w:val="00182CB8"/>
    <w:rsid w:val="00182CFB"/>
    <w:rsid w:val="00182D56"/>
    <w:rsid w:val="00182DB1"/>
    <w:rsid w:val="00182DCB"/>
    <w:rsid w:val="00182DE3"/>
    <w:rsid w:val="00182E52"/>
    <w:rsid w:val="00182E96"/>
    <w:rsid w:val="00182E9D"/>
    <w:rsid w:val="00182EB8"/>
    <w:rsid w:val="00182F58"/>
    <w:rsid w:val="0018309E"/>
    <w:rsid w:val="001830DA"/>
    <w:rsid w:val="001830E6"/>
    <w:rsid w:val="001830E7"/>
    <w:rsid w:val="00183100"/>
    <w:rsid w:val="00183106"/>
    <w:rsid w:val="00183108"/>
    <w:rsid w:val="00183112"/>
    <w:rsid w:val="00183171"/>
    <w:rsid w:val="00183188"/>
    <w:rsid w:val="001831DD"/>
    <w:rsid w:val="001831FF"/>
    <w:rsid w:val="00183251"/>
    <w:rsid w:val="00183265"/>
    <w:rsid w:val="0018327D"/>
    <w:rsid w:val="00183294"/>
    <w:rsid w:val="00183377"/>
    <w:rsid w:val="00183391"/>
    <w:rsid w:val="0018339B"/>
    <w:rsid w:val="001833E7"/>
    <w:rsid w:val="001833F9"/>
    <w:rsid w:val="00183424"/>
    <w:rsid w:val="001834E6"/>
    <w:rsid w:val="001834EB"/>
    <w:rsid w:val="00183512"/>
    <w:rsid w:val="00183527"/>
    <w:rsid w:val="0018356F"/>
    <w:rsid w:val="00183607"/>
    <w:rsid w:val="00183626"/>
    <w:rsid w:val="00183630"/>
    <w:rsid w:val="00183642"/>
    <w:rsid w:val="00183644"/>
    <w:rsid w:val="0018364F"/>
    <w:rsid w:val="00183657"/>
    <w:rsid w:val="00183659"/>
    <w:rsid w:val="001836A6"/>
    <w:rsid w:val="001836D8"/>
    <w:rsid w:val="00183703"/>
    <w:rsid w:val="00183710"/>
    <w:rsid w:val="0018371C"/>
    <w:rsid w:val="00183759"/>
    <w:rsid w:val="001837DB"/>
    <w:rsid w:val="001837FF"/>
    <w:rsid w:val="001838BA"/>
    <w:rsid w:val="00183919"/>
    <w:rsid w:val="0018392E"/>
    <w:rsid w:val="001839AA"/>
    <w:rsid w:val="001839B9"/>
    <w:rsid w:val="00183A04"/>
    <w:rsid w:val="00183A12"/>
    <w:rsid w:val="00183A25"/>
    <w:rsid w:val="00183A30"/>
    <w:rsid w:val="00183A5D"/>
    <w:rsid w:val="00183A65"/>
    <w:rsid w:val="00183A7A"/>
    <w:rsid w:val="00183AB7"/>
    <w:rsid w:val="00183AF4"/>
    <w:rsid w:val="00183B4D"/>
    <w:rsid w:val="00183B72"/>
    <w:rsid w:val="00183B85"/>
    <w:rsid w:val="00183BB5"/>
    <w:rsid w:val="00183BC0"/>
    <w:rsid w:val="00183BC8"/>
    <w:rsid w:val="00183BE1"/>
    <w:rsid w:val="00183BF5"/>
    <w:rsid w:val="00183C71"/>
    <w:rsid w:val="00183D34"/>
    <w:rsid w:val="00183D98"/>
    <w:rsid w:val="00183DE6"/>
    <w:rsid w:val="00183DEE"/>
    <w:rsid w:val="00183DFC"/>
    <w:rsid w:val="00183E18"/>
    <w:rsid w:val="00183E1D"/>
    <w:rsid w:val="00183E61"/>
    <w:rsid w:val="00183EDA"/>
    <w:rsid w:val="00183F68"/>
    <w:rsid w:val="00183F84"/>
    <w:rsid w:val="00183FA8"/>
    <w:rsid w:val="00183FCC"/>
    <w:rsid w:val="00184046"/>
    <w:rsid w:val="0018407C"/>
    <w:rsid w:val="00184174"/>
    <w:rsid w:val="00184196"/>
    <w:rsid w:val="001841C5"/>
    <w:rsid w:val="0018426C"/>
    <w:rsid w:val="0018428B"/>
    <w:rsid w:val="001842CC"/>
    <w:rsid w:val="0018434E"/>
    <w:rsid w:val="0018439C"/>
    <w:rsid w:val="001843E1"/>
    <w:rsid w:val="001843EC"/>
    <w:rsid w:val="00184409"/>
    <w:rsid w:val="0018441A"/>
    <w:rsid w:val="00184486"/>
    <w:rsid w:val="00184496"/>
    <w:rsid w:val="001844AD"/>
    <w:rsid w:val="00184532"/>
    <w:rsid w:val="001845BC"/>
    <w:rsid w:val="00184607"/>
    <w:rsid w:val="0018461C"/>
    <w:rsid w:val="0018462F"/>
    <w:rsid w:val="0018465B"/>
    <w:rsid w:val="00184660"/>
    <w:rsid w:val="00184681"/>
    <w:rsid w:val="001846D7"/>
    <w:rsid w:val="001846F6"/>
    <w:rsid w:val="001847EF"/>
    <w:rsid w:val="0018480B"/>
    <w:rsid w:val="00184818"/>
    <w:rsid w:val="0018489A"/>
    <w:rsid w:val="00184932"/>
    <w:rsid w:val="00184990"/>
    <w:rsid w:val="001849C9"/>
    <w:rsid w:val="00184A4E"/>
    <w:rsid w:val="00184AB9"/>
    <w:rsid w:val="00184AFF"/>
    <w:rsid w:val="00184B2F"/>
    <w:rsid w:val="00184BE4"/>
    <w:rsid w:val="00184BE5"/>
    <w:rsid w:val="00184C0B"/>
    <w:rsid w:val="00184C36"/>
    <w:rsid w:val="00184C6A"/>
    <w:rsid w:val="00184CB9"/>
    <w:rsid w:val="00184CC6"/>
    <w:rsid w:val="00184D34"/>
    <w:rsid w:val="00184D5F"/>
    <w:rsid w:val="00184E4D"/>
    <w:rsid w:val="00184E53"/>
    <w:rsid w:val="00184E8B"/>
    <w:rsid w:val="00184EC2"/>
    <w:rsid w:val="00184ED0"/>
    <w:rsid w:val="00184EE2"/>
    <w:rsid w:val="00184EFA"/>
    <w:rsid w:val="00184F33"/>
    <w:rsid w:val="00184F85"/>
    <w:rsid w:val="00185033"/>
    <w:rsid w:val="0018503A"/>
    <w:rsid w:val="00185049"/>
    <w:rsid w:val="0018508F"/>
    <w:rsid w:val="00185137"/>
    <w:rsid w:val="00185257"/>
    <w:rsid w:val="0018527E"/>
    <w:rsid w:val="00185287"/>
    <w:rsid w:val="0018529F"/>
    <w:rsid w:val="001852FD"/>
    <w:rsid w:val="00185334"/>
    <w:rsid w:val="00185342"/>
    <w:rsid w:val="00185344"/>
    <w:rsid w:val="00185345"/>
    <w:rsid w:val="00185370"/>
    <w:rsid w:val="00185422"/>
    <w:rsid w:val="001854CB"/>
    <w:rsid w:val="001854FA"/>
    <w:rsid w:val="001855DA"/>
    <w:rsid w:val="00185647"/>
    <w:rsid w:val="0018567E"/>
    <w:rsid w:val="00185740"/>
    <w:rsid w:val="001857DB"/>
    <w:rsid w:val="001857F8"/>
    <w:rsid w:val="00185811"/>
    <w:rsid w:val="0018586A"/>
    <w:rsid w:val="00185894"/>
    <w:rsid w:val="00185896"/>
    <w:rsid w:val="0018589A"/>
    <w:rsid w:val="0018589C"/>
    <w:rsid w:val="001858AE"/>
    <w:rsid w:val="001858CB"/>
    <w:rsid w:val="001858CD"/>
    <w:rsid w:val="00185939"/>
    <w:rsid w:val="0018599C"/>
    <w:rsid w:val="0018599D"/>
    <w:rsid w:val="001859AF"/>
    <w:rsid w:val="001859B3"/>
    <w:rsid w:val="001859F6"/>
    <w:rsid w:val="00185A05"/>
    <w:rsid w:val="00185A1B"/>
    <w:rsid w:val="00185A3C"/>
    <w:rsid w:val="00185A76"/>
    <w:rsid w:val="00185A91"/>
    <w:rsid w:val="00185AFA"/>
    <w:rsid w:val="00185B30"/>
    <w:rsid w:val="00185B39"/>
    <w:rsid w:val="00185B95"/>
    <w:rsid w:val="00185BA0"/>
    <w:rsid w:val="00185C14"/>
    <w:rsid w:val="00185D0F"/>
    <w:rsid w:val="00185D14"/>
    <w:rsid w:val="00185D59"/>
    <w:rsid w:val="00185D65"/>
    <w:rsid w:val="00185DA2"/>
    <w:rsid w:val="00185E20"/>
    <w:rsid w:val="00185E4D"/>
    <w:rsid w:val="00185E85"/>
    <w:rsid w:val="00185E96"/>
    <w:rsid w:val="00185EFE"/>
    <w:rsid w:val="00185F6E"/>
    <w:rsid w:val="00185F6F"/>
    <w:rsid w:val="00186043"/>
    <w:rsid w:val="00186069"/>
    <w:rsid w:val="00186076"/>
    <w:rsid w:val="0018608A"/>
    <w:rsid w:val="00186094"/>
    <w:rsid w:val="001860CD"/>
    <w:rsid w:val="001860D7"/>
    <w:rsid w:val="001860E1"/>
    <w:rsid w:val="00186129"/>
    <w:rsid w:val="00186212"/>
    <w:rsid w:val="00186243"/>
    <w:rsid w:val="00186245"/>
    <w:rsid w:val="00186269"/>
    <w:rsid w:val="0018627A"/>
    <w:rsid w:val="0018629D"/>
    <w:rsid w:val="001862D7"/>
    <w:rsid w:val="00186307"/>
    <w:rsid w:val="00186317"/>
    <w:rsid w:val="0018635B"/>
    <w:rsid w:val="001863CD"/>
    <w:rsid w:val="00186465"/>
    <w:rsid w:val="00186472"/>
    <w:rsid w:val="00186473"/>
    <w:rsid w:val="00186486"/>
    <w:rsid w:val="001864AA"/>
    <w:rsid w:val="00186508"/>
    <w:rsid w:val="00186511"/>
    <w:rsid w:val="00186576"/>
    <w:rsid w:val="001865DE"/>
    <w:rsid w:val="001865F7"/>
    <w:rsid w:val="00186620"/>
    <w:rsid w:val="0018662D"/>
    <w:rsid w:val="00186638"/>
    <w:rsid w:val="00186661"/>
    <w:rsid w:val="0018666C"/>
    <w:rsid w:val="001866BC"/>
    <w:rsid w:val="001866CA"/>
    <w:rsid w:val="001866E1"/>
    <w:rsid w:val="00186719"/>
    <w:rsid w:val="001867AC"/>
    <w:rsid w:val="00186855"/>
    <w:rsid w:val="001868BB"/>
    <w:rsid w:val="001868C1"/>
    <w:rsid w:val="001868CF"/>
    <w:rsid w:val="00186915"/>
    <w:rsid w:val="00186929"/>
    <w:rsid w:val="00186933"/>
    <w:rsid w:val="00186960"/>
    <w:rsid w:val="001869C4"/>
    <w:rsid w:val="00186B25"/>
    <w:rsid w:val="00186B79"/>
    <w:rsid w:val="00186BD4"/>
    <w:rsid w:val="00186CA4"/>
    <w:rsid w:val="00186CAA"/>
    <w:rsid w:val="00186CB6"/>
    <w:rsid w:val="00186CBA"/>
    <w:rsid w:val="00186CD4"/>
    <w:rsid w:val="00186D0C"/>
    <w:rsid w:val="00186D31"/>
    <w:rsid w:val="00186DB0"/>
    <w:rsid w:val="00186DC7"/>
    <w:rsid w:val="00186DED"/>
    <w:rsid w:val="00186DF6"/>
    <w:rsid w:val="00186E5B"/>
    <w:rsid w:val="00186E89"/>
    <w:rsid w:val="00186ED6"/>
    <w:rsid w:val="00186EF5"/>
    <w:rsid w:val="00186EFB"/>
    <w:rsid w:val="00186F08"/>
    <w:rsid w:val="00186F54"/>
    <w:rsid w:val="00186F77"/>
    <w:rsid w:val="00186F7E"/>
    <w:rsid w:val="00186F98"/>
    <w:rsid w:val="00186FB1"/>
    <w:rsid w:val="00186FDA"/>
    <w:rsid w:val="00187020"/>
    <w:rsid w:val="0018707D"/>
    <w:rsid w:val="001870F8"/>
    <w:rsid w:val="00187139"/>
    <w:rsid w:val="0018715C"/>
    <w:rsid w:val="00187287"/>
    <w:rsid w:val="001872F1"/>
    <w:rsid w:val="001873A6"/>
    <w:rsid w:val="00187431"/>
    <w:rsid w:val="00187439"/>
    <w:rsid w:val="00187443"/>
    <w:rsid w:val="00187451"/>
    <w:rsid w:val="0018745F"/>
    <w:rsid w:val="00187463"/>
    <w:rsid w:val="001874FD"/>
    <w:rsid w:val="00187537"/>
    <w:rsid w:val="0018753F"/>
    <w:rsid w:val="001875D8"/>
    <w:rsid w:val="001875EA"/>
    <w:rsid w:val="00187625"/>
    <w:rsid w:val="0018769D"/>
    <w:rsid w:val="001876CA"/>
    <w:rsid w:val="001876F5"/>
    <w:rsid w:val="0018775D"/>
    <w:rsid w:val="0018782C"/>
    <w:rsid w:val="00187845"/>
    <w:rsid w:val="00187868"/>
    <w:rsid w:val="0018787A"/>
    <w:rsid w:val="001878DF"/>
    <w:rsid w:val="001878FB"/>
    <w:rsid w:val="00187931"/>
    <w:rsid w:val="00187939"/>
    <w:rsid w:val="00187967"/>
    <w:rsid w:val="00187972"/>
    <w:rsid w:val="001879C0"/>
    <w:rsid w:val="001879E8"/>
    <w:rsid w:val="001879EA"/>
    <w:rsid w:val="00187A1E"/>
    <w:rsid w:val="00187A8C"/>
    <w:rsid w:val="00187AD6"/>
    <w:rsid w:val="00187AE0"/>
    <w:rsid w:val="00187B0A"/>
    <w:rsid w:val="00187B8A"/>
    <w:rsid w:val="00187BA8"/>
    <w:rsid w:val="00187BAF"/>
    <w:rsid w:val="00187BEA"/>
    <w:rsid w:val="00187C2A"/>
    <w:rsid w:val="00187C31"/>
    <w:rsid w:val="00187C43"/>
    <w:rsid w:val="00187C8D"/>
    <w:rsid w:val="00187CCE"/>
    <w:rsid w:val="00187CD2"/>
    <w:rsid w:val="00187D00"/>
    <w:rsid w:val="00187D28"/>
    <w:rsid w:val="00187D48"/>
    <w:rsid w:val="00187D53"/>
    <w:rsid w:val="00187DC5"/>
    <w:rsid w:val="00187E01"/>
    <w:rsid w:val="00187E3C"/>
    <w:rsid w:val="00187E7E"/>
    <w:rsid w:val="00187EBA"/>
    <w:rsid w:val="00187ED7"/>
    <w:rsid w:val="00187EE3"/>
    <w:rsid w:val="00187F38"/>
    <w:rsid w:val="00187F92"/>
    <w:rsid w:val="00187FC4"/>
    <w:rsid w:val="00187FED"/>
    <w:rsid w:val="00187FF7"/>
    <w:rsid w:val="00190009"/>
    <w:rsid w:val="0019001F"/>
    <w:rsid w:val="0019005B"/>
    <w:rsid w:val="00190086"/>
    <w:rsid w:val="001900B6"/>
    <w:rsid w:val="001900EA"/>
    <w:rsid w:val="001900F6"/>
    <w:rsid w:val="00190133"/>
    <w:rsid w:val="00190189"/>
    <w:rsid w:val="001901C4"/>
    <w:rsid w:val="0019022C"/>
    <w:rsid w:val="00190245"/>
    <w:rsid w:val="00190261"/>
    <w:rsid w:val="00190263"/>
    <w:rsid w:val="001902A2"/>
    <w:rsid w:val="001903BE"/>
    <w:rsid w:val="0019042D"/>
    <w:rsid w:val="001904F2"/>
    <w:rsid w:val="00190505"/>
    <w:rsid w:val="0019051C"/>
    <w:rsid w:val="0019051E"/>
    <w:rsid w:val="00190524"/>
    <w:rsid w:val="0019052A"/>
    <w:rsid w:val="0019055B"/>
    <w:rsid w:val="0019056C"/>
    <w:rsid w:val="00190591"/>
    <w:rsid w:val="00190599"/>
    <w:rsid w:val="00190603"/>
    <w:rsid w:val="0019061A"/>
    <w:rsid w:val="00190620"/>
    <w:rsid w:val="00190638"/>
    <w:rsid w:val="00190652"/>
    <w:rsid w:val="001906D4"/>
    <w:rsid w:val="001906DC"/>
    <w:rsid w:val="001906FC"/>
    <w:rsid w:val="0019071A"/>
    <w:rsid w:val="00190741"/>
    <w:rsid w:val="0019076C"/>
    <w:rsid w:val="00190775"/>
    <w:rsid w:val="00190791"/>
    <w:rsid w:val="0019083D"/>
    <w:rsid w:val="0019083E"/>
    <w:rsid w:val="00190918"/>
    <w:rsid w:val="00190938"/>
    <w:rsid w:val="00190999"/>
    <w:rsid w:val="001909E6"/>
    <w:rsid w:val="00190A07"/>
    <w:rsid w:val="00190A69"/>
    <w:rsid w:val="00190A84"/>
    <w:rsid w:val="00190AAD"/>
    <w:rsid w:val="00190AB1"/>
    <w:rsid w:val="00190B5B"/>
    <w:rsid w:val="00190B7A"/>
    <w:rsid w:val="00190B7E"/>
    <w:rsid w:val="00190BAA"/>
    <w:rsid w:val="00190BD2"/>
    <w:rsid w:val="00190BF7"/>
    <w:rsid w:val="00190C17"/>
    <w:rsid w:val="00190C2C"/>
    <w:rsid w:val="00190C4C"/>
    <w:rsid w:val="00190C92"/>
    <w:rsid w:val="00190C94"/>
    <w:rsid w:val="00190C9B"/>
    <w:rsid w:val="00190CEA"/>
    <w:rsid w:val="00190CFE"/>
    <w:rsid w:val="00190D05"/>
    <w:rsid w:val="00190D20"/>
    <w:rsid w:val="00190D3D"/>
    <w:rsid w:val="00190D6D"/>
    <w:rsid w:val="00190D7F"/>
    <w:rsid w:val="00190D84"/>
    <w:rsid w:val="00190DC8"/>
    <w:rsid w:val="00190DD6"/>
    <w:rsid w:val="00190E5F"/>
    <w:rsid w:val="00190E79"/>
    <w:rsid w:val="00190E7B"/>
    <w:rsid w:val="00190EA4"/>
    <w:rsid w:val="00190EAC"/>
    <w:rsid w:val="00190EE4"/>
    <w:rsid w:val="00190EFE"/>
    <w:rsid w:val="00190F21"/>
    <w:rsid w:val="00190F5F"/>
    <w:rsid w:val="00190F65"/>
    <w:rsid w:val="00190F73"/>
    <w:rsid w:val="00190F75"/>
    <w:rsid w:val="00190FC1"/>
    <w:rsid w:val="00190FC6"/>
    <w:rsid w:val="0019105D"/>
    <w:rsid w:val="0019108D"/>
    <w:rsid w:val="001910CD"/>
    <w:rsid w:val="001910FA"/>
    <w:rsid w:val="0019110D"/>
    <w:rsid w:val="00191128"/>
    <w:rsid w:val="0019114D"/>
    <w:rsid w:val="0019119A"/>
    <w:rsid w:val="001911B4"/>
    <w:rsid w:val="001911BB"/>
    <w:rsid w:val="001911D6"/>
    <w:rsid w:val="00191201"/>
    <w:rsid w:val="00191221"/>
    <w:rsid w:val="0019125F"/>
    <w:rsid w:val="00191269"/>
    <w:rsid w:val="0019135B"/>
    <w:rsid w:val="0019137B"/>
    <w:rsid w:val="00191418"/>
    <w:rsid w:val="00191440"/>
    <w:rsid w:val="00191452"/>
    <w:rsid w:val="00191479"/>
    <w:rsid w:val="00191489"/>
    <w:rsid w:val="0019154E"/>
    <w:rsid w:val="001915E8"/>
    <w:rsid w:val="001915ED"/>
    <w:rsid w:val="001916BB"/>
    <w:rsid w:val="001916DB"/>
    <w:rsid w:val="001916FA"/>
    <w:rsid w:val="00191702"/>
    <w:rsid w:val="0019173D"/>
    <w:rsid w:val="001917D6"/>
    <w:rsid w:val="001917E7"/>
    <w:rsid w:val="001917FE"/>
    <w:rsid w:val="001918A5"/>
    <w:rsid w:val="001918C2"/>
    <w:rsid w:val="00191919"/>
    <w:rsid w:val="0019195F"/>
    <w:rsid w:val="00191978"/>
    <w:rsid w:val="001919C4"/>
    <w:rsid w:val="00191A10"/>
    <w:rsid w:val="00191A73"/>
    <w:rsid w:val="00191AAD"/>
    <w:rsid w:val="00191ABD"/>
    <w:rsid w:val="00191AF1"/>
    <w:rsid w:val="00191B09"/>
    <w:rsid w:val="00191B0B"/>
    <w:rsid w:val="00191B29"/>
    <w:rsid w:val="00191B37"/>
    <w:rsid w:val="00191B4B"/>
    <w:rsid w:val="00191B97"/>
    <w:rsid w:val="00191BBF"/>
    <w:rsid w:val="00191BCF"/>
    <w:rsid w:val="00191BD4"/>
    <w:rsid w:val="00191C0A"/>
    <w:rsid w:val="00191C89"/>
    <w:rsid w:val="00191D19"/>
    <w:rsid w:val="00191D54"/>
    <w:rsid w:val="00191E0F"/>
    <w:rsid w:val="00191E52"/>
    <w:rsid w:val="00191EA2"/>
    <w:rsid w:val="00191ED4"/>
    <w:rsid w:val="00191EDC"/>
    <w:rsid w:val="00191F24"/>
    <w:rsid w:val="00191F2E"/>
    <w:rsid w:val="00191F42"/>
    <w:rsid w:val="00192004"/>
    <w:rsid w:val="00192052"/>
    <w:rsid w:val="0019205F"/>
    <w:rsid w:val="00192077"/>
    <w:rsid w:val="00192081"/>
    <w:rsid w:val="0019209E"/>
    <w:rsid w:val="001920C1"/>
    <w:rsid w:val="001920C8"/>
    <w:rsid w:val="001920D6"/>
    <w:rsid w:val="001920EC"/>
    <w:rsid w:val="00192113"/>
    <w:rsid w:val="00192146"/>
    <w:rsid w:val="00192160"/>
    <w:rsid w:val="00192179"/>
    <w:rsid w:val="001921DE"/>
    <w:rsid w:val="001921EB"/>
    <w:rsid w:val="0019220D"/>
    <w:rsid w:val="00192272"/>
    <w:rsid w:val="0019227D"/>
    <w:rsid w:val="001922C4"/>
    <w:rsid w:val="00192307"/>
    <w:rsid w:val="0019231C"/>
    <w:rsid w:val="0019232F"/>
    <w:rsid w:val="00192340"/>
    <w:rsid w:val="00192345"/>
    <w:rsid w:val="001923C6"/>
    <w:rsid w:val="001923DF"/>
    <w:rsid w:val="0019249A"/>
    <w:rsid w:val="001924C7"/>
    <w:rsid w:val="001924E0"/>
    <w:rsid w:val="0019252D"/>
    <w:rsid w:val="0019255A"/>
    <w:rsid w:val="001925AA"/>
    <w:rsid w:val="001925D9"/>
    <w:rsid w:val="001925F0"/>
    <w:rsid w:val="00192635"/>
    <w:rsid w:val="00192685"/>
    <w:rsid w:val="001926A4"/>
    <w:rsid w:val="00192711"/>
    <w:rsid w:val="00192770"/>
    <w:rsid w:val="001927B1"/>
    <w:rsid w:val="001927C3"/>
    <w:rsid w:val="001927E5"/>
    <w:rsid w:val="00192854"/>
    <w:rsid w:val="00192865"/>
    <w:rsid w:val="0019289D"/>
    <w:rsid w:val="001928A5"/>
    <w:rsid w:val="001928FA"/>
    <w:rsid w:val="00192952"/>
    <w:rsid w:val="001929CE"/>
    <w:rsid w:val="00192A15"/>
    <w:rsid w:val="00192A1E"/>
    <w:rsid w:val="00192A20"/>
    <w:rsid w:val="00192A22"/>
    <w:rsid w:val="00192A26"/>
    <w:rsid w:val="00192A27"/>
    <w:rsid w:val="00192A9C"/>
    <w:rsid w:val="00192AA1"/>
    <w:rsid w:val="00192B30"/>
    <w:rsid w:val="00192B31"/>
    <w:rsid w:val="00192B41"/>
    <w:rsid w:val="00192B70"/>
    <w:rsid w:val="00192C27"/>
    <w:rsid w:val="00192C75"/>
    <w:rsid w:val="00192C8D"/>
    <w:rsid w:val="00192CD2"/>
    <w:rsid w:val="00192CE1"/>
    <w:rsid w:val="00192CEC"/>
    <w:rsid w:val="00192CF8"/>
    <w:rsid w:val="00192DA8"/>
    <w:rsid w:val="00192DAF"/>
    <w:rsid w:val="00192DC4"/>
    <w:rsid w:val="00192DFE"/>
    <w:rsid w:val="00192E1D"/>
    <w:rsid w:val="00192E2E"/>
    <w:rsid w:val="00192E56"/>
    <w:rsid w:val="00192E65"/>
    <w:rsid w:val="00192E67"/>
    <w:rsid w:val="00192EB1"/>
    <w:rsid w:val="00192EB8"/>
    <w:rsid w:val="00192ED3"/>
    <w:rsid w:val="00192EFB"/>
    <w:rsid w:val="00192F96"/>
    <w:rsid w:val="00192FA4"/>
    <w:rsid w:val="00192FB5"/>
    <w:rsid w:val="00192FF8"/>
    <w:rsid w:val="00193008"/>
    <w:rsid w:val="0019302E"/>
    <w:rsid w:val="00193095"/>
    <w:rsid w:val="00193149"/>
    <w:rsid w:val="00193184"/>
    <w:rsid w:val="0019319F"/>
    <w:rsid w:val="001931A2"/>
    <w:rsid w:val="001931E7"/>
    <w:rsid w:val="00193219"/>
    <w:rsid w:val="001932BD"/>
    <w:rsid w:val="001932F6"/>
    <w:rsid w:val="00193350"/>
    <w:rsid w:val="00193380"/>
    <w:rsid w:val="001933BC"/>
    <w:rsid w:val="001933F7"/>
    <w:rsid w:val="00193421"/>
    <w:rsid w:val="0019348F"/>
    <w:rsid w:val="001934BF"/>
    <w:rsid w:val="001934C9"/>
    <w:rsid w:val="001934FE"/>
    <w:rsid w:val="00193503"/>
    <w:rsid w:val="0019355B"/>
    <w:rsid w:val="00193588"/>
    <w:rsid w:val="001935B7"/>
    <w:rsid w:val="0019363E"/>
    <w:rsid w:val="0019372C"/>
    <w:rsid w:val="0019374E"/>
    <w:rsid w:val="0019375D"/>
    <w:rsid w:val="001937AA"/>
    <w:rsid w:val="001937BB"/>
    <w:rsid w:val="001937CB"/>
    <w:rsid w:val="001937DD"/>
    <w:rsid w:val="001937FA"/>
    <w:rsid w:val="00193838"/>
    <w:rsid w:val="0019385D"/>
    <w:rsid w:val="00193893"/>
    <w:rsid w:val="001938AA"/>
    <w:rsid w:val="001938E0"/>
    <w:rsid w:val="00193960"/>
    <w:rsid w:val="00193993"/>
    <w:rsid w:val="001939E4"/>
    <w:rsid w:val="001939EA"/>
    <w:rsid w:val="001939FD"/>
    <w:rsid w:val="00193A00"/>
    <w:rsid w:val="00193A34"/>
    <w:rsid w:val="00193ACB"/>
    <w:rsid w:val="00193AE1"/>
    <w:rsid w:val="00193AF7"/>
    <w:rsid w:val="00193B13"/>
    <w:rsid w:val="00193B1B"/>
    <w:rsid w:val="00193B36"/>
    <w:rsid w:val="00193B4B"/>
    <w:rsid w:val="00193BD6"/>
    <w:rsid w:val="00193C01"/>
    <w:rsid w:val="00193C16"/>
    <w:rsid w:val="00193CB3"/>
    <w:rsid w:val="00193CC1"/>
    <w:rsid w:val="00193D60"/>
    <w:rsid w:val="00193D7A"/>
    <w:rsid w:val="00193D85"/>
    <w:rsid w:val="00193DB3"/>
    <w:rsid w:val="00193DD2"/>
    <w:rsid w:val="00193E00"/>
    <w:rsid w:val="00193E26"/>
    <w:rsid w:val="00193E30"/>
    <w:rsid w:val="00193EFC"/>
    <w:rsid w:val="00193F11"/>
    <w:rsid w:val="00193F1F"/>
    <w:rsid w:val="00193F75"/>
    <w:rsid w:val="00193F81"/>
    <w:rsid w:val="00193F82"/>
    <w:rsid w:val="00193F94"/>
    <w:rsid w:val="00194031"/>
    <w:rsid w:val="001940B4"/>
    <w:rsid w:val="001940F7"/>
    <w:rsid w:val="0019410D"/>
    <w:rsid w:val="0019413A"/>
    <w:rsid w:val="00194167"/>
    <w:rsid w:val="0019418E"/>
    <w:rsid w:val="00194195"/>
    <w:rsid w:val="001941B4"/>
    <w:rsid w:val="001941C6"/>
    <w:rsid w:val="001941E8"/>
    <w:rsid w:val="001941EB"/>
    <w:rsid w:val="001941EC"/>
    <w:rsid w:val="001941F6"/>
    <w:rsid w:val="0019428D"/>
    <w:rsid w:val="0019436D"/>
    <w:rsid w:val="00194383"/>
    <w:rsid w:val="001943C3"/>
    <w:rsid w:val="0019441C"/>
    <w:rsid w:val="0019441D"/>
    <w:rsid w:val="0019449C"/>
    <w:rsid w:val="001944A2"/>
    <w:rsid w:val="001944EF"/>
    <w:rsid w:val="0019451A"/>
    <w:rsid w:val="0019455D"/>
    <w:rsid w:val="00194562"/>
    <w:rsid w:val="00194574"/>
    <w:rsid w:val="001945E0"/>
    <w:rsid w:val="001946EC"/>
    <w:rsid w:val="001946F3"/>
    <w:rsid w:val="00194707"/>
    <w:rsid w:val="00194769"/>
    <w:rsid w:val="00194782"/>
    <w:rsid w:val="001947AC"/>
    <w:rsid w:val="001947B2"/>
    <w:rsid w:val="001947BD"/>
    <w:rsid w:val="001947C8"/>
    <w:rsid w:val="001947E3"/>
    <w:rsid w:val="00194853"/>
    <w:rsid w:val="0019486B"/>
    <w:rsid w:val="00194927"/>
    <w:rsid w:val="0019498E"/>
    <w:rsid w:val="00194A3F"/>
    <w:rsid w:val="00194A44"/>
    <w:rsid w:val="00194A47"/>
    <w:rsid w:val="00194A7B"/>
    <w:rsid w:val="00194AD6"/>
    <w:rsid w:val="00194B2D"/>
    <w:rsid w:val="00194B50"/>
    <w:rsid w:val="00194B81"/>
    <w:rsid w:val="00194BB9"/>
    <w:rsid w:val="00194BEA"/>
    <w:rsid w:val="00194C18"/>
    <w:rsid w:val="00194C66"/>
    <w:rsid w:val="00194CE8"/>
    <w:rsid w:val="00194D04"/>
    <w:rsid w:val="00194D76"/>
    <w:rsid w:val="00194DB0"/>
    <w:rsid w:val="00194DCD"/>
    <w:rsid w:val="00194DE1"/>
    <w:rsid w:val="00194E42"/>
    <w:rsid w:val="00194E43"/>
    <w:rsid w:val="00194E66"/>
    <w:rsid w:val="00194E86"/>
    <w:rsid w:val="00194EAE"/>
    <w:rsid w:val="00194EC9"/>
    <w:rsid w:val="00194F5B"/>
    <w:rsid w:val="00194F91"/>
    <w:rsid w:val="00194FA2"/>
    <w:rsid w:val="00194FB5"/>
    <w:rsid w:val="00194FD2"/>
    <w:rsid w:val="00194FE1"/>
    <w:rsid w:val="00194FFE"/>
    <w:rsid w:val="00195040"/>
    <w:rsid w:val="0019504D"/>
    <w:rsid w:val="0019505E"/>
    <w:rsid w:val="0019507C"/>
    <w:rsid w:val="001950A1"/>
    <w:rsid w:val="001950B0"/>
    <w:rsid w:val="001950CA"/>
    <w:rsid w:val="001950F3"/>
    <w:rsid w:val="00195146"/>
    <w:rsid w:val="00195190"/>
    <w:rsid w:val="00195244"/>
    <w:rsid w:val="00195246"/>
    <w:rsid w:val="00195274"/>
    <w:rsid w:val="0019528A"/>
    <w:rsid w:val="001952EB"/>
    <w:rsid w:val="00195323"/>
    <w:rsid w:val="00195330"/>
    <w:rsid w:val="00195348"/>
    <w:rsid w:val="0019539D"/>
    <w:rsid w:val="0019542E"/>
    <w:rsid w:val="00195451"/>
    <w:rsid w:val="001954B6"/>
    <w:rsid w:val="001954BA"/>
    <w:rsid w:val="001954F9"/>
    <w:rsid w:val="00195501"/>
    <w:rsid w:val="0019552B"/>
    <w:rsid w:val="0019557C"/>
    <w:rsid w:val="00195584"/>
    <w:rsid w:val="0019558E"/>
    <w:rsid w:val="00195622"/>
    <w:rsid w:val="00195648"/>
    <w:rsid w:val="0019564C"/>
    <w:rsid w:val="0019567F"/>
    <w:rsid w:val="00195749"/>
    <w:rsid w:val="00195752"/>
    <w:rsid w:val="0019575C"/>
    <w:rsid w:val="00195794"/>
    <w:rsid w:val="001957A3"/>
    <w:rsid w:val="00195815"/>
    <w:rsid w:val="00195818"/>
    <w:rsid w:val="00195846"/>
    <w:rsid w:val="00195847"/>
    <w:rsid w:val="0019585C"/>
    <w:rsid w:val="0019588B"/>
    <w:rsid w:val="001958F6"/>
    <w:rsid w:val="00195A03"/>
    <w:rsid w:val="00195A54"/>
    <w:rsid w:val="00195A78"/>
    <w:rsid w:val="00195B3C"/>
    <w:rsid w:val="00195B47"/>
    <w:rsid w:val="00195B4F"/>
    <w:rsid w:val="00195B57"/>
    <w:rsid w:val="00195B59"/>
    <w:rsid w:val="00195B8E"/>
    <w:rsid w:val="00195B8F"/>
    <w:rsid w:val="00195BD0"/>
    <w:rsid w:val="00195BDB"/>
    <w:rsid w:val="00195C7C"/>
    <w:rsid w:val="00195C92"/>
    <w:rsid w:val="00195C9B"/>
    <w:rsid w:val="00195C9F"/>
    <w:rsid w:val="00195CD9"/>
    <w:rsid w:val="00195CE9"/>
    <w:rsid w:val="00195D1C"/>
    <w:rsid w:val="00195D46"/>
    <w:rsid w:val="00195D55"/>
    <w:rsid w:val="00195D73"/>
    <w:rsid w:val="00195D80"/>
    <w:rsid w:val="00195DE6"/>
    <w:rsid w:val="00195E9F"/>
    <w:rsid w:val="00195EB1"/>
    <w:rsid w:val="00195EEA"/>
    <w:rsid w:val="00195F3A"/>
    <w:rsid w:val="00195F7D"/>
    <w:rsid w:val="00195F8F"/>
    <w:rsid w:val="00195FA1"/>
    <w:rsid w:val="00195FC9"/>
    <w:rsid w:val="00195FD5"/>
    <w:rsid w:val="00195FFA"/>
    <w:rsid w:val="00196072"/>
    <w:rsid w:val="00196084"/>
    <w:rsid w:val="001960DD"/>
    <w:rsid w:val="00196101"/>
    <w:rsid w:val="00196123"/>
    <w:rsid w:val="0019617A"/>
    <w:rsid w:val="001961A9"/>
    <w:rsid w:val="001961C1"/>
    <w:rsid w:val="001961D8"/>
    <w:rsid w:val="0019620E"/>
    <w:rsid w:val="00196288"/>
    <w:rsid w:val="001962F6"/>
    <w:rsid w:val="0019634D"/>
    <w:rsid w:val="001963BF"/>
    <w:rsid w:val="00196434"/>
    <w:rsid w:val="0019648B"/>
    <w:rsid w:val="001964B7"/>
    <w:rsid w:val="0019651B"/>
    <w:rsid w:val="00196566"/>
    <w:rsid w:val="00196591"/>
    <w:rsid w:val="0019659A"/>
    <w:rsid w:val="00196600"/>
    <w:rsid w:val="001966B5"/>
    <w:rsid w:val="001966D1"/>
    <w:rsid w:val="00196710"/>
    <w:rsid w:val="00196723"/>
    <w:rsid w:val="0019673F"/>
    <w:rsid w:val="00196788"/>
    <w:rsid w:val="001967A3"/>
    <w:rsid w:val="00196807"/>
    <w:rsid w:val="00196879"/>
    <w:rsid w:val="00196880"/>
    <w:rsid w:val="001968BA"/>
    <w:rsid w:val="001968BF"/>
    <w:rsid w:val="001968DA"/>
    <w:rsid w:val="00196914"/>
    <w:rsid w:val="00196932"/>
    <w:rsid w:val="0019698A"/>
    <w:rsid w:val="00196A41"/>
    <w:rsid w:val="00196A70"/>
    <w:rsid w:val="00196A8E"/>
    <w:rsid w:val="00196C37"/>
    <w:rsid w:val="00196CF9"/>
    <w:rsid w:val="00196D06"/>
    <w:rsid w:val="00196D48"/>
    <w:rsid w:val="00196D58"/>
    <w:rsid w:val="00196D72"/>
    <w:rsid w:val="00196DE8"/>
    <w:rsid w:val="00196E01"/>
    <w:rsid w:val="00196E65"/>
    <w:rsid w:val="00196E83"/>
    <w:rsid w:val="00196EC5"/>
    <w:rsid w:val="00196F0A"/>
    <w:rsid w:val="00196F16"/>
    <w:rsid w:val="00196F18"/>
    <w:rsid w:val="00196F26"/>
    <w:rsid w:val="00196F2A"/>
    <w:rsid w:val="00196F44"/>
    <w:rsid w:val="00196F8C"/>
    <w:rsid w:val="00196FA6"/>
    <w:rsid w:val="00196FB8"/>
    <w:rsid w:val="00196FED"/>
    <w:rsid w:val="00197037"/>
    <w:rsid w:val="00197057"/>
    <w:rsid w:val="00197081"/>
    <w:rsid w:val="0019708A"/>
    <w:rsid w:val="00197185"/>
    <w:rsid w:val="001971D3"/>
    <w:rsid w:val="001971F4"/>
    <w:rsid w:val="001971F9"/>
    <w:rsid w:val="00197211"/>
    <w:rsid w:val="0019727A"/>
    <w:rsid w:val="00197295"/>
    <w:rsid w:val="001972A1"/>
    <w:rsid w:val="00197349"/>
    <w:rsid w:val="0019734B"/>
    <w:rsid w:val="001973BD"/>
    <w:rsid w:val="001973CF"/>
    <w:rsid w:val="001973F6"/>
    <w:rsid w:val="00197403"/>
    <w:rsid w:val="0019741C"/>
    <w:rsid w:val="001974DF"/>
    <w:rsid w:val="00197509"/>
    <w:rsid w:val="00197532"/>
    <w:rsid w:val="00197571"/>
    <w:rsid w:val="001975A5"/>
    <w:rsid w:val="001975A8"/>
    <w:rsid w:val="001975BF"/>
    <w:rsid w:val="001975EB"/>
    <w:rsid w:val="00197607"/>
    <w:rsid w:val="0019760A"/>
    <w:rsid w:val="0019766A"/>
    <w:rsid w:val="00197675"/>
    <w:rsid w:val="001976F3"/>
    <w:rsid w:val="0019776E"/>
    <w:rsid w:val="001977AE"/>
    <w:rsid w:val="001977CB"/>
    <w:rsid w:val="001977E2"/>
    <w:rsid w:val="00197820"/>
    <w:rsid w:val="0019783D"/>
    <w:rsid w:val="00197867"/>
    <w:rsid w:val="00197877"/>
    <w:rsid w:val="0019788A"/>
    <w:rsid w:val="001978F0"/>
    <w:rsid w:val="0019793C"/>
    <w:rsid w:val="0019795F"/>
    <w:rsid w:val="001979A9"/>
    <w:rsid w:val="001979D2"/>
    <w:rsid w:val="001979ED"/>
    <w:rsid w:val="00197A0A"/>
    <w:rsid w:val="00197AE0"/>
    <w:rsid w:val="00197AE7"/>
    <w:rsid w:val="00197B01"/>
    <w:rsid w:val="00197B3F"/>
    <w:rsid w:val="00197B44"/>
    <w:rsid w:val="00197B5C"/>
    <w:rsid w:val="00197B69"/>
    <w:rsid w:val="00197B70"/>
    <w:rsid w:val="00197BC9"/>
    <w:rsid w:val="00197D73"/>
    <w:rsid w:val="00197DF8"/>
    <w:rsid w:val="00197E1F"/>
    <w:rsid w:val="00197E2E"/>
    <w:rsid w:val="00197E38"/>
    <w:rsid w:val="00197E3D"/>
    <w:rsid w:val="00197E56"/>
    <w:rsid w:val="00197EA8"/>
    <w:rsid w:val="00197EC7"/>
    <w:rsid w:val="00197ED4"/>
    <w:rsid w:val="00197EEB"/>
    <w:rsid w:val="00197EFE"/>
    <w:rsid w:val="00197FEB"/>
    <w:rsid w:val="001A0009"/>
    <w:rsid w:val="001A0013"/>
    <w:rsid w:val="001A0019"/>
    <w:rsid w:val="001A0073"/>
    <w:rsid w:val="001A0074"/>
    <w:rsid w:val="001A0099"/>
    <w:rsid w:val="001A00DA"/>
    <w:rsid w:val="001A00DD"/>
    <w:rsid w:val="001A01B6"/>
    <w:rsid w:val="001A01FE"/>
    <w:rsid w:val="001A0216"/>
    <w:rsid w:val="001A022A"/>
    <w:rsid w:val="001A022D"/>
    <w:rsid w:val="001A0250"/>
    <w:rsid w:val="001A0251"/>
    <w:rsid w:val="001A0260"/>
    <w:rsid w:val="001A0294"/>
    <w:rsid w:val="001A0313"/>
    <w:rsid w:val="001A032F"/>
    <w:rsid w:val="001A033F"/>
    <w:rsid w:val="001A0387"/>
    <w:rsid w:val="001A0397"/>
    <w:rsid w:val="001A03BB"/>
    <w:rsid w:val="001A03E9"/>
    <w:rsid w:val="001A0414"/>
    <w:rsid w:val="001A04E8"/>
    <w:rsid w:val="001A04ED"/>
    <w:rsid w:val="001A050C"/>
    <w:rsid w:val="001A058D"/>
    <w:rsid w:val="001A05D8"/>
    <w:rsid w:val="001A0627"/>
    <w:rsid w:val="001A064D"/>
    <w:rsid w:val="001A0677"/>
    <w:rsid w:val="001A0685"/>
    <w:rsid w:val="001A069B"/>
    <w:rsid w:val="001A06D5"/>
    <w:rsid w:val="001A07AA"/>
    <w:rsid w:val="001A07AF"/>
    <w:rsid w:val="001A081D"/>
    <w:rsid w:val="001A08F3"/>
    <w:rsid w:val="001A0917"/>
    <w:rsid w:val="001A0939"/>
    <w:rsid w:val="001A0948"/>
    <w:rsid w:val="001A095F"/>
    <w:rsid w:val="001A0970"/>
    <w:rsid w:val="001A09B0"/>
    <w:rsid w:val="001A09C3"/>
    <w:rsid w:val="001A09D5"/>
    <w:rsid w:val="001A0A06"/>
    <w:rsid w:val="001A0A0F"/>
    <w:rsid w:val="001A0A1D"/>
    <w:rsid w:val="001A0A67"/>
    <w:rsid w:val="001A0A8E"/>
    <w:rsid w:val="001A0A94"/>
    <w:rsid w:val="001A0A97"/>
    <w:rsid w:val="001A0AAF"/>
    <w:rsid w:val="001A0B00"/>
    <w:rsid w:val="001A0B05"/>
    <w:rsid w:val="001A0B35"/>
    <w:rsid w:val="001A0B65"/>
    <w:rsid w:val="001A0B8A"/>
    <w:rsid w:val="001A0BB4"/>
    <w:rsid w:val="001A0BBB"/>
    <w:rsid w:val="001A0BE2"/>
    <w:rsid w:val="001A0C39"/>
    <w:rsid w:val="001A0C5A"/>
    <w:rsid w:val="001A0C5E"/>
    <w:rsid w:val="001A0CB2"/>
    <w:rsid w:val="001A0D0E"/>
    <w:rsid w:val="001A0DA4"/>
    <w:rsid w:val="001A0E27"/>
    <w:rsid w:val="001A0E54"/>
    <w:rsid w:val="001A0E7C"/>
    <w:rsid w:val="001A0EC2"/>
    <w:rsid w:val="001A0F32"/>
    <w:rsid w:val="001A0F3C"/>
    <w:rsid w:val="001A0F65"/>
    <w:rsid w:val="001A0F94"/>
    <w:rsid w:val="001A0F95"/>
    <w:rsid w:val="001A0FAF"/>
    <w:rsid w:val="001A0FFA"/>
    <w:rsid w:val="001A100F"/>
    <w:rsid w:val="001A1034"/>
    <w:rsid w:val="001A1099"/>
    <w:rsid w:val="001A10C8"/>
    <w:rsid w:val="001A114A"/>
    <w:rsid w:val="001A1151"/>
    <w:rsid w:val="001A115F"/>
    <w:rsid w:val="001A11C9"/>
    <w:rsid w:val="001A11EA"/>
    <w:rsid w:val="001A1216"/>
    <w:rsid w:val="001A121C"/>
    <w:rsid w:val="001A1228"/>
    <w:rsid w:val="001A122A"/>
    <w:rsid w:val="001A123E"/>
    <w:rsid w:val="001A129C"/>
    <w:rsid w:val="001A1391"/>
    <w:rsid w:val="001A13B0"/>
    <w:rsid w:val="001A13EB"/>
    <w:rsid w:val="001A14BD"/>
    <w:rsid w:val="001A1502"/>
    <w:rsid w:val="001A1510"/>
    <w:rsid w:val="001A1512"/>
    <w:rsid w:val="001A1521"/>
    <w:rsid w:val="001A1569"/>
    <w:rsid w:val="001A156F"/>
    <w:rsid w:val="001A1573"/>
    <w:rsid w:val="001A15A8"/>
    <w:rsid w:val="001A15C4"/>
    <w:rsid w:val="001A15CB"/>
    <w:rsid w:val="001A15D5"/>
    <w:rsid w:val="001A15D8"/>
    <w:rsid w:val="001A1611"/>
    <w:rsid w:val="001A1638"/>
    <w:rsid w:val="001A1643"/>
    <w:rsid w:val="001A1669"/>
    <w:rsid w:val="001A16E2"/>
    <w:rsid w:val="001A16F2"/>
    <w:rsid w:val="001A16FD"/>
    <w:rsid w:val="001A171C"/>
    <w:rsid w:val="001A174E"/>
    <w:rsid w:val="001A1818"/>
    <w:rsid w:val="001A181D"/>
    <w:rsid w:val="001A182D"/>
    <w:rsid w:val="001A18A6"/>
    <w:rsid w:val="001A18BA"/>
    <w:rsid w:val="001A18BC"/>
    <w:rsid w:val="001A18F0"/>
    <w:rsid w:val="001A1934"/>
    <w:rsid w:val="001A1942"/>
    <w:rsid w:val="001A1977"/>
    <w:rsid w:val="001A199C"/>
    <w:rsid w:val="001A19D4"/>
    <w:rsid w:val="001A19F4"/>
    <w:rsid w:val="001A1A03"/>
    <w:rsid w:val="001A1A8E"/>
    <w:rsid w:val="001A1A91"/>
    <w:rsid w:val="001A1AA7"/>
    <w:rsid w:val="001A1AAE"/>
    <w:rsid w:val="001A1ACE"/>
    <w:rsid w:val="001A1C2F"/>
    <w:rsid w:val="001A1C42"/>
    <w:rsid w:val="001A1C5D"/>
    <w:rsid w:val="001A1C6D"/>
    <w:rsid w:val="001A1C71"/>
    <w:rsid w:val="001A1CB8"/>
    <w:rsid w:val="001A1CC1"/>
    <w:rsid w:val="001A1D43"/>
    <w:rsid w:val="001A1DC9"/>
    <w:rsid w:val="001A1DDF"/>
    <w:rsid w:val="001A1E6B"/>
    <w:rsid w:val="001A1E7B"/>
    <w:rsid w:val="001A1ECF"/>
    <w:rsid w:val="001A1ED2"/>
    <w:rsid w:val="001A1F72"/>
    <w:rsid w:val="001A1FA4"/>
    <w:rsid w:val="001A1FAC"/>
    <w:rsid w:val="001A2013"/>
    <w:rsid w:val="001A2043"/>
    <w:rsid w:val="001A2084"/>
    <w:rsid w:val="001A20CF"/>
    <w:rsid w:val="001A2132"/>
    <w:rsid w:val="001A2178"/>
    <w:rsid w:val="001A217D"/>
    <w:rsid w:val="001A21CE"/>
    <w:rsid w:val="001A21F7"/>
    <w:rsid w:val="001A2212"/>
    <w:rsid w:val="001A2292"/>
    <w:rsid w:val="001A22E2"/>
    <w:rsid w:val="001A2368"/>
    <w:rsid w:val="001A23E3"/>
    <w:rsid w:val="001A2424"/>
    <w:rsid w:val="001A244B"/>
    <w:rsid w:val="001A2452"/>
    <w:rsid w:val="001A2463"/>
    <w:rsid w:val="001A2483"/>
    <w:rsid w:val="001A2546"/>
    <w:rsid w:val="001A254D"/>
    <w:rsid w:val="001A25D1"/>
    <w:rsid w:val="001A2610"/>
    <w:rsid w:val="001A266D"/>
    <w:rsid w:val="001A2679"/>
    <w:rsid w:val="001A2702"/>
    <w:rsid w:val="001A272F"/>
    <w:rsid w:val="001A275A"/>
    <w:rsid w:val="001A27B1"/>
    <w:rsid w:val="001A27BE"/>
    <w:rsid w:val="001A27C1"/>
    <w:rsid w:val="001A2841"/>
    <w:rsid w:val="001A284B"/>
    <w:rsid w:val="001A2879"/>
    <w:rsid w:val="001A289C"/>
    <w:rsid w:val="001A2911"/>
    <w:rsid w:val="001A2932"/>
    <w:rsid w:val="001A2941"/>
    <w:rsid w:val="001A2965"/>
    <w:rsid w:val="001A2966"/>
    <w:rsid w:val="001A29B0"/>
    <w:rsid w:val="001A29B6"/>
    <w:rsid w:val="001A29BB"/>
    <w:rsid w:val="001A29BF"/>
    <w:rsid w:val="001A29C1"/>
    <w:rsid w:val="001A2A84"/>
    <w:rsid w:val="001A2A93"/>
    <w:rsid w:val="001A2B33"/>
    <w:rsid w:val="001A2B68"/>
    <w:rsid w:val="001A2BD2"/>
    <w:rsid w:val="001A2BF5"/>
    <w:rsid w:val="001A2C0E"/>
    <w:rsid w:val="001A2C8F"/>
    <w:rsid w:val="001A2D25"/>
    <w:rsid w:val="001A2D67"/>
    <w:rsid w:val="001A2E4B"/>
    <w:rsid w:val="001A2E4E"/>
    <w:rsid w:val="001A2E53"/>
    <w:rsid w:val="001A2E80"/>
    <w:rsid w:val="001A2E97"/>
    <w:rsid w:val="001A2EA4"/>
    <w:rsid w:val="001A2EB5"/>
    <w:rsid w:val="001A2ECC"/>
    <w:rsid w:val="001A2ED0"/>
    <w:rsid w:val="001A2F2B"/>
    <w:rsid w:val="001A2FD4"/>
    <w:rsid w:val="001A2FFE"/>
    <w:rsid w:val="001A304A"/>
    <w:rsid w:val="001A3097"/>
    <w:rsid w:val="001A309E"/>
    <w:rsid w:val="001A30A7"/>
    <w:rsid w:val="001A3106"/>
    <w:rsid w:val="001A3163"/>
    <w:rsid w:val="001A3193"/>
    <w:rsid w:val="001A3199"/>
    <w:rsid w:val="001A31B8"/>
    <w:rsid w:val="001A324F"/>
    <w:rsid w:val="001A326A"/>
    <w:rsid w:val="001A32CB"/>
    <w:rsid w:val="001A32CC"/>
    <w:rsid w:val="001A336F"/>
    <w:rsid w:val="001A33C4"/>
    <w:rsid w:val="001A33F2"/>
    <w:rsid w:val="001A3425"/>
    <w:rsid w:val="001A3426"/>
    <w:rsid w:val="001A3462"/>
    <w:rsid w:val="001A34C6"/>
    <w:rsid w:val="001A3542"/>
    <w:rsid w:val="001A3555"/>
    <w:rsid w:val="001A3632"/>
    <w:rsid w:val="001A367B"/>
    <w:rsid w:val="001A3688"/>
    <w:rsid w:val="001A36EB"/>
    <w:rsid w:val="001A36FD"/>
    <w:rsid w:val="001A371F"/>
    <w:rsid w:val="001A3720"/>
    <w:rsid w:val="001A375C"/>
    <w:rsid w:val="001A3765"/>
    <w:rsid w:val="001A3780"/>
    <w:rsid w:val="001A378D"/>
    <w:rsid w:val="001A3820"/>
    <w:rsid w:val="001A3822"/>
    <w:rsid w:val="001A3827"/>
    <w:rsid w:val="001A3831"/>
    <w:rsid w:val="001A384F"/>
    <w:rsid w:val="001A3874"/>
    <w:rsid w:val="001A38FA"/>
    <w:rsid w:val="001A393E"/>
    <w:rsid w:val="001A3946"/>
    <w:rsid w:val="001A394D"/>
    <w:rsid w:val="001A395F"/>
    <w:rsid w:val="001A3981"/>
    <w:rsid w:val="001A39EF"/>
    <w:rsid w:val="001A3A06"/>
    <w:rsid w:val="001A3A30"/>
    <w:rsid w:val="001A3A32"/>
    <w:rsid w:val="001A3A78"/>
    <w:rsid w:val="001A3B04"/>
    <w:rsid w:val="001A3B42"/>
    <w:rsid w:val="001A3B48"/>
    <w:rsid w:val="001A3B7F"/>
    <w:rsid w:val="001A3BD9"/>
    <w:rsid w:val="001A3BEE"/>
    <w:rsid w:val="001A3C8E"/>
    <w:rsid w:val="001A3CC4"/>
    <w:rsid w:val="001A3CD3"/>
    <w:rsid w:val="001A3CE5"/>
    <w:rsid w:val="001A3CF8"/>
    <w:rsid w:val="001A3CFE"/>
    <w:rsid w:val="001A3D1B"/>
    <w:rsid w:val="001A3D2F"/>
    <w:rsid w:val="001A3D77"/>
    <w:rsid w:val="001A3DBE"/>
    <w:rsid w:val="001A3DE7"/>
    <w:rsid w:val="001A3DF1"/>
    <w:rsid w:val="001A3E57"/>
    <w:rsid w:val="001A3E79"/>
    <w:rsid w:val="001A3E83"/>
    <w:rsid w:val="001A3EE7"/>
    <w:rsid w:val="001A3EFE"/>
    <w:rsid w:val="001A3F13"/>
    <w:rsid w:val="001A3FAE"/>
    <w:rsid w:val="001A3FB3"/>
    <w:rsid w:val="001A3FD3"/>
    <w:rsid w:val="001A3FDD"/>
    <w:rsid w:val="001A40FC"/>
    <w:rsid w:val="001A411D"/>
    <w:rsid w:val="001A4128"/>
    <w:rsid w:val="001A4174"/>
    <w:rsid w:val="001A418F"/>
    <w:rsid w:val="001A41A1"/>
    <w:rsid w:val="001A41A7"/>
    <w:rsid w:val="001A41BE"/>
    <w:rsid w:val="001A41D5"/>
    <w:rsid w:val="001A4201"/>
    <w:rsid w:val="001A4216"/>
    <w:rsid w:val="001A42EA"/>
    <w:rsid w:val="001A430E"/>
    <w:rsid w:val="001A43E7"/>
    <w:rsid w:val="001A43FF"/>
    <w:rsid w:val="001A4442"/>
    <w:rsid w:val="001A44B0"/>
    <w:rsid w:val="001A44EF"/>
    <w:rsid w:val="001A4500"/>
    <w:rsid w:val="001A4525"/>
    <w:rsid w:val="001A4528"/>
    <w:rsid w:val="001A454C"/>
    <w:rsid w:val="001A4553"/>
    <w:rsid w:val="001A4566"/>
    <w:rsid w:val="001A460F"/>
    <w:rsid w:val="001A467C"/>
    <w:rsid w:val="001A468A"/>
    <w:rsid w:val="001A4695"/>
    <w:rsid w:val="001A4696"/>
    <w:rsid w:val="001A46F1"/>
    <w:rsid w:val="001A4754"/>
    <w:rsid w:val="001A47D1"/>
    <w:rsid w:val="001A47E6"/>
    <w:rsid w:val="001A480F"/>
    <w:rsid w:val="001A482E"/>
    <w:rsid w:val="001A483B"/>
    <w:rsid w:val="001A484B"/>
    <w:rsid w:val="001A48A3"/>
    <w:rsid w:val="001A48B7"/>
    <w:rsid w:val="001A4910"/>
    <w:rsid w:val="001A491A"/>
    <w:rsid w:val="001A4930"/>
    <w:rsid w:val="001A4996"/>
    <w:rsid w:val="001A49D5"/>
    <w:rsid w:val="001A49DA"/>
    <w:rsid w:val="001A49F9"/>
    <w:rsid w:val="001A4A0A"/>
    <w:rsid w:val="001A4A10"/>
    <w:rsid w:val="001A4A7D"/>
    <w:rsid w:val="001A4A88"/>
    <w:rsid w:val="001A4A95"/>
    <w:rsid w:val="001A4AA5"/>
    <w:rsid w:val="001A4ACA"/>
    <w:rsid w:val="001A4B42"/>
    <w:rsid w:val="001A4B63"/>
    <w:rsid w:val="001A4B78"/>
    <w:rsid w:val="001A4B8B"/>
    <w:rsid w:val="001A4B95"/>
    <w:rsid w:val="001A4BA8"/>
    <w:rsid w:val="001A4BC3"/>
    <w:rsid w:val="001A4BCB"/>
    <w:rsid w:val="001A4BF9"/>
    <w:rsid w:val="001A4C28"/>
    <w:rsid w:val="001A4CA0"/>
    <w:rsid w:val="001A4CD2"/>
    <w:rsid w:val="001A4CEC"/>
    <w:rsid w:val="001A4D87"/>
    <w:rsid w:val="001A4E7E"/>
    <w:rsid w:val="001A4E89"/>
    <w:rsid w:val="001A4EFD"/>
    <w:rsid w:val="001A4F8C"/>
    <w:rsid w:val="001A4FA8"/>
    <w:rsid w:val="001A500B"/>
    <w:rsid w:val="001A505D"/>
    <w:rsid w:val="001A5194"/>
    <w:rsid w:val="001A51B4"/>
    <w:rsid w:val="001A51EB"/>
    <w:rsid w:val="001A51F9"/>
    <w:rsid w:val="001A52D7"/>
    <w:rsid w:val="001A52DB"/>
    <w:rsid w:val="001A52DC"/>
    <w:rsid w:val="001A52EC"/>
    <w:rsid w:val="001A52F3"/>
    <w:rsid w:val="001A52FC"/>
    <w:rsid w:val="001A5338"/>
    <w:rsid w:val="001A5347"/>
    <w:rsid w:val="001A5397"/>
    <w:rsid w:val="001A53C9"/>
    <w:rsid w:val="001A53D6"/>
    <w:rsid w:val="001A5422"/>
    <w:rsid w:val="001A5477"/>
    <w:rsid w:val="001A5491"/>
    <w:rsid w:val="001A54B8"/>
    <w:rsid w:val="001A551A"/>
    <w:rsid w:val="001A5566"/>
    <w:rsid w:val="001A559D"/>
    <w:rsid w:val="001A566D"/>
    <w:rsid w:val="001A569F"/>
    <w:rsid w:val="001A56A3"/>
    <w:rsid w:val="001A56DC"/>
    <w:rsid w:val="001A570A"/>
    <w:rsid w:val="001A5775"/>
    <w:rsid w:val="001A577E"/>
    <w:rsid w:val="001A57C2"/>
    <w:rsid w:val="001A580F"/>
    <w:rsid w:val="001A5847"/>
    <w:rsid w:val="001A5859"/>
    <w:rsid w:val="001A585D"/>
    <w:rsid w:val="001A58A0"/>
    <w:rsid w:val="001A58D0"/>
    <w:rsid w:val="001A58EC"/>
    <w:rsid w:val="001A590F"/>
    <w:rsid w:val="001A595B"/>
    <w:rsid w:val="001A5968"/>
    <w:rsid w:val="001A596B"/>
    <w:rsid w:val="001A5977"/>
    <w:rsid w:val="001A5987"/>
    <w:rsid w:val="001A5997"/>
    <w:rsid w:val="001A5998"/>
    <w:rsid w:val="001A59AA"/>
    <w:rsid w:val="001A59C4"/>
    <w:rsid w:val="001A59C9"/>
    <w:rsid w:val="001A59E6"/>
    <w:rsid w:val="001A59FA"/>
    <w:rsid w:val="001A5A66"/>
    <w:rsid w:val="001A5A6E"/>
    <w:rsid w:val="001A5A9D"/>
    <w:rsid w:val="001A5ACD"/>
    <w:rsid w:val="001A5AED"/>
    <w:rsid w:val="001A5B31"/>
    <w:rsid w:val="001A5B5B"/>
    <w:rsid w:val="001A5B5E"/>
    <w:rsid w:val="001A5BF3"/>
    <w:rsid w:val="001A5C1B"/>
    <w:rsid w:val="001A5C65"/>
    <w:rsid w:val="001A5CB3"/>
    <w:rsid w:val="001A5CE2"/>
    <w:rsid w:val="001A5CE5"/>
    <w:rsid w:val="001A5D05"/>
    <w:rsid w:val="001A5D14"/>
    <w:rsid w:val="001A5D37"/>
    <w:rsid w:val="001A5D4D"/>
    <w:rsid w:val="001A5D78"/>
    <w:rsid w:val="001A5DCC"/>
    <w:rsid w:val="001A5DE6"/>
    <w:rsid w:val="001A5E55"/>
    <w:rsid w:val="001A5E5D"/>
    <w:rsid w:val="001A5EA0"/>
    <w:rsid w:val="001A5EA5"/>
    <w:rsid w:val="001A5EBF"/>
    <w:rsid w:val="001A5FBF"/>
    <w:rsid w:val="001A5FC0"/>
    <w:rsid w:val="001A5FFF"/>
    <w:rsid w:val="001A601E"/>
    <w:rsid w:val="001A606A"/>
    <w:rsid w:val="001A60C4"/>
    <w:rsid w:val="001A614E"/>
    <w:rsid w:val="001A6169"/>
    <w:rsid w:val="001A61DD"/>
    <w:rsid w:val="001A6204"/>
    <w:rsid w:val="001A6227"/>
    <w:rsid w:val="001A627C"/>
    <w:rsid w:val="001A62D8"/>
    <w:rsid w:val="001A62F5"/>
    <w:rsid w:val="001A631E"/>
    <w:rsid w:val="001A6338"/>
    <w:rsid w:val="001A6371"/>
    <w:rsid w:val="001A6374"/>
    <w:rsid w:val="001A639C"/>
    <w:rsid w:val="001A63AF"/>
    <w:rsid w:val="001A63BC"/>
    <w:rsid w:val="001A63EA"/>
    <w:rsid w:val="001A6449"/>
    <w:rsid w:val="001A6491"/>
    <w:rsid w:val="001A6496"/>
    <w:rsid w:val="001A649B"/>
    <w:rsid w:val="001A64C9"/>
    <w:rsid w:val="001A64CA"/>
    <w:rsid w:val="001A65CA"/>
    <w:rsid w:val="001A65CB"/>
    <w:rsid w:val="001A6639"/>
    <w:rsid w:val="001A6684"/>
    <w:rsid w:val="001A6696"/>
    <w:rsid w:val="001A66C9"/>
    <w:rsid w:val="001A66D7"/>
    <w:rsid w:val="001A6700"/>
    <w:rsid w:val="001A6789"/>
    <w:rsid w:val="001A681F"/>
    <w:rsid w:val="001A6832"/>
    <w:rsid w:val="001A6846"/>
    <w:rsid w:val="001A68E4"/>
    <w:rsid w:val="001A693A"/>
    <w:rsid w:val="001A695B"/>
    <w:rsid w:val="001A696B"/>
    <w:rsid w:val="001A698B"/>
    <w:rsid w:val="001A6995"/>
    <w:rsid w:val="001A69CA"/>
    <w:rsid w:val="001A69E5"/>
    <w:rsid w:val="001A6A61"/>
    <w:rsid w:val="001A6A6C"/>
    <w:rsid w:val="001A6A8B"/>
    <w:rsid w:val="001A6AF6"/>
    <w:rsid w:val="001A6B0C"/>
    <w:rsid w:val="001A6B1A"/>
    <w:rsid w:val="001A6B6D"/>
    <w:rsid w:val="001A6B9F"/>
    <w:rsid w:val="001A6C05"/>
    <w:rsid w:val="001A6D3C"/>
    <w:rsid w:val="001A6D5B"/>
    <w:rsid w:val="001A6D81"/>
    <w:rsid w:val="001A6DA7"/>
    <w:rsid w:val="001A6DBA"/>
    <w:rsid w:val="001A6EE2"/>
    <w:rsid w:val="001A6EF2"/>
    <w:rsid w:val="001A6EFB"/>
    <w:rsid w:val="001A6F8B"/>
    <w:rsid w:val="001A6F9E"/>
    <w:rsid w:val="001A7005"/>
    <w:rsid w:val="001A7011"/>
    <w:rsid w:val="001A7021"/>
    <w:rsid w:val="001A702B"/>
    <w:rsid w:val="001A7045"/>
    <w:rsid w:val="001A70A5"/>
    <w:rsid w:val="001A7113"/>
    <w:rsid w:val="001A7185"/>
    <w:rsid w:val="001A719A"/>
    <w:rsid w:val="001A71BF"/>
    <w:rsid w:val="001A71D4"/>
    <w:rsid w:val="001A722F"/>
    <w:rsid w:val="001A72E2"/>
    <w:rsid w:val="001A7308"/>
    <w:rsid w:val="001A7311"/>
    <w:rsid w:val="001A734F"/>
    <w:rsid w:val="001A744B"/>
    <w:rsid w:val="001A7455"/>
    <w:rsid w:val="001A74DC"/>
    <w:rsid w:val="001A75BC"/>
    <w:rsid w:val="001A75C5"/>
    <w:rsid w:val="001A75E1"/>
    <w:rsid w:val="001A766C"/>
    <w:rsid w:val="001A7682"/>
    <w:rsid w:val="001A76A0"/>
    <w:rsid w:val="001A76B8"/>
    <w:rsid w:val="001A76F2"/>
    <w:rsid w:val="001A7758"/>
    <w:rsid w:val="001A7766"/>
    <w:rsid w:val="001A7770"/>
    <w:rsid w:val="001A778D"/>
    <w:rsid w:val="001A77DA"/>
    <w:rsid w:val="001A77ED"/>
    <w:rsid w:val="001A77FD"/>
    <w:rsid w:val="001A7818"/>
    <w:rsid w:val="001A787C"/>
    <w:rsid w:val="001A78C8"/>
    <w:rsid w:val="001A78F4"/>
    <w:rsid w:val="001A7984"/>
    <w:rsid w:val="001A799B"/>
    <w:rsid w:val="001A799C"/>
    <w:rsid w:val="001A799F"/>
    <w:rsid w:val="001A79DD"/>
    <w:rsid w:val="001A7A05"/>
    <w:rsid w:val="001A7A18"/>
    <w:rsid w:val="001A7A38"/>
    <w:rsid w:val="001A7A4B"/>
    <w:rsid w:val="001A7A65"/>
    <w:rsid w:val="001A7A96"/>
    <w:rsid w:val="001A7A9B"/>
    <w:rsid w:val="001A7AD0"/>
    <w:rsid w:val="001A7B05"/>
    <w:rsid w:val="001A7B3B"/>
    <w:rsid w:val="001A7B67"/>
    <w:rsid w:val="001A7B80"/>
    <w:rsid w:val="001A7B84"/>
    <w:rsid w:val="001A7B94"/>
    <w:rsid w:val="001A7BD6"/>
    <w:rsid w:val="001A7BEC"/>
    <w:rsid w:val="001A7BED"/>
    <w:rsid w:val="001A7C16"/>
    <w:rsid w:val="001A7C1D"/>
    <w:rsid w:val="001A7C7F"/>
    <w:rsid w:val="001A7C95"/>
    <w:rsid w:val="001A7D23"/>
    <w:rsid w:val="001A7D89"/>
    <w:rsid w:val="001A7DE5"/>
    <w:rsid w:val="001A7DF2"/>
    <w:rsid w:val="001A7E06"/>
    <w:rsid w:val="001A7E21"/>
    <w:rsid w:val="001A7E50"/>
    <w:rsid w:val="001A7E51"/>
    <w:rsid w:val="001A7EA5"/>
    <w:rsid w:val="001A7EEB"/>
    <w:rsid w:val="001A7EF4"/>
    <w:rsid w:val="001A7F13"/>
    <w:rsid w:val="001A7F17"/>
    <w:rsid w:val="001A7F1F"/>
    <w:rsid w:val="001A7F45"/>
    <w:rsid w:val="001A7F6A"/>
    <w:rsid w:val="001A7F78"/>
    <w:rsid w:val="001A7FBA"/>
    <w:rsid w:val="001A7FBE"/>
    <w:rsid w:val="001B004A"/>
    <w:rsid w:val="001B00AC"/>
    <w:rsid w:val="001B00D2"/>
    <w:rsid w:val="001B012B"/>
    <w:rsid w:val="001B0139"/>
    <w:rsid w:val="001B015A"/>
    <w:rsid w:val="001B0161"/>
    <w:rsid w:val="001B0164"/>
    <w:rsid w:val="001B017C"/>
    <w:rsid w:val="001B0193"/>
    <w:rsid w:val="001B01A9"/>
    <w:rsid w:val="001B01E5"/>
    <w:rsid w:val="001B01ED"/>
    <w:rsid w:val="001B0219"/>
    <w:rsid w:val="001B0262"/>
    <w:rsid w:val="001B0265"/>
    <w:rsid w:val="001B0294"/>
    <w:rsid w:val="001B02A6"/>
    <w:rsid w:val="001B02D3"/>
    <w:rsid w:val="001B02D4"/>
    <w:rsid w:val="001B02E1"/>
    <w:rsid w:val="001B02FF"/>
    <w:rsid w:val="001B030D"/>
    <w:rsid w:val="001B034C"/>
    <w:rsid w:val="001B040E"/>
    <w:rsid w:val="001B043A"/>
    <w:rsid w:val="001B048A"/>
    <w:rsid w:val="001B04C3"/>
    <w:rsid w:val="001B04E7"/>
    <w:rsid w:val="001B0503"/>
    <w:rsid w:val="001B050F"/>
    <w:rsid w:val="001B0520"/>
    <w:rsid w:val="001B0536"/>
    <w:rsid w:val="001B0667"/>
    <w:rsid w:val="001B06AF"/>
    <w:rsid w:val="001B0719"/>
    <w:rsid w:val="001B0740"/>
    <w:rsid w:val="001B0743"/>
    <w:rsid w:val="001B0747"/>
    <w:rsid w:val="001B0775"/>
    <w:rsid w:val="001B080A"/>
    <w:rsid w:val="001B0868"/>
    <w:rsid w:val="001B0881"/>
    <w:rsid w:val="001B0960"/>
    <w:rsid w:val="001B096A"/>
    <w:rsid w:val="001B0985"/>
    <w:rsid w:val="001B09F3"/>
    <w:rsid w:val="001B09F7"/>
    <w:rsid w:val="001B0A6B"/>
    <w:rsid w:val="001B0AD1"/>
    <w:rsid w:val="001B0B31"/>
    <w:rsid w:val="001B0B36"/>
    <w:rsid w:val="001B0B78"/>
    <w:rsid w:val="001B0BB5"/>
    <w:rsid w:val="001B0BE8"/>
    <w:rsid w:val="001B0BEA"/>
    <w:rsid w:val="001B0C9D"/>
    <w:rsid w:val="001B0CDB"/>
    <w:rsid w:val="001B0D4C"/>
    <w:rsid w:val="001B0DCB"/>
    <w:rsid w:val="001B0E03"/>
    <w:rsid w:val="001B0E3F"/>
    <w:rsid w:val="001B0E4B"/>
    <w:rsid w:val="001B0EA5"/>
    <w:rsid w:val="001B0EE9"/>
    <w:rsid w:val="001B0F91"/>
    <w:rsid w:val="001B0FBE"/>
    <w:rsid w:val="001B0FC4"/>
    <w:rsid w:val="001B0FE1"/>
    <w:rsid w:val="001B1011"/>
    <w:rsid w:val="001B1020"/>
    <w:rsid w:val="001B1026"/>
    <w:rsid w:val="001B1037"/>
    <w:rsid w:val="001B10BF"/>
    <w:rsid w:val="001B10E0"/>
    <w:rsid w:val="001B1122"/>
    <w:rsid w:val="001B11DD"/>
    <w:rsid w:val="001B1245"/>
    <w:rsid w:val="001B1290"/>
    <w:rsid w:val="001B1298"/>
    <w:rsid w:val="001B12BF"/>
    <w:rsid w:val="001B12CD"/>
    <w:rsid w:val="001B13A7"/>
    <w:rsid w:val="001B142E"/>
    <w:rsid w:val="001B1453"/>
    <w:rsid w:val="001B1490"/>
    <w:rsid w:val="001B14AE"/>
    <w:rsid w:val="001B14CE"/>
    <w:rsid w:val="001B14D5"/>
    <w:rsid w:val="001B14D9"/>
    <w:rsid w:val="001B14EA"/>
    <w:rsid w:val="001B14EC"/>
    <w:rsid w:val="001B1502"/>
    <w:rsid w:val="001B1569"/>
    <w:rsid w:val="001B156E"/>
    <w:rsid w:val="001B157E"/>
    <w:rsid w:val="001B159B"/>
    <w:rsid w:val="001B161C"/>
    <w:rsid w:val="001B165C"/>
    <w:rsid w:val="001B16BA"/>
    <w:rsid w:val="001B170D"/>
    <w:rsid w:val="001B1714"/>
    <w:rsid w:val="001B173F"/>
    <w:rsid w:val="001B1770"/>
    <w:rsid w:val="001B17BC"/>
    <w:rsid w:val="001B17C3"/>
    <w:rsid w:val="001B17DD"/>
    <w:rsid w:val="001B1829"/>
    <w:rsid w:val="001B182E"/>
    <w:rsid w:val="001B1831"/>
    <w:rsid w:val="001B1832"/>
    <w:rsid w:val="001B1945"/>
    <w:rsid w:val="001B198E"/>
    <w:rsid w:val="001B1995"/>
    <w:rsid w:val="001B19AF"/>
    <w:rsid w:val="001B19E0"/>
    <w:rsid w:val="001B19EA"/>
    <w:rsid w:val="001B1A12"/>
    <w:rsid w:val="001B1A3D"/>
    <w:rsid w:val="001B1AAA"/>
    <w:rsid w:val="001B1AD5"/>
    <w:rsid w:val="001B1B12"/>
    <w:rsid w:val="001B1B1B"/>
    <w:rsid w:val="001B1B1E"/>
    <w:rsid w:val="001B1B39"/>
    <w:rsid w:val="001B1B63"/>
    <w:rsid w:val="001B1C0C"/>
    <w:rsid w:val="001B1C37"/>
    <w:rsid w:val="001B1C3B"/>
    <w:rsid w:val="001B1C51"/>
    <w:rsid w:val="001B1D01"/>
    <w:rsid w:val="001B1D06"/>
    <w:rsid w:val="001B1D25"/>
    <w:rsid w:val="001B1D69"/>
    <w:rsid w:val="001B1E04"/>
    <w:rsid w:val="001B1E16"/>
    <w:rsid w:val="001B1E21"/>
    <w:rsid w:val="001B1EDE"/>
    <w:rsid w:val="001B1EE0"/>
    <w:rsid w:val="001B1EF9"/>
    <w:rsid w:val="001B1F40"/>
    <w:rsid w:val="001B1FFA"/>
    <w:rsid w:val="001B200D"/>
    <w:rsid w:val="001B2044"/>
    <w:rsid w:val="001B2099"/>
    <w:rsid w:val="001B209E"/>
    <w:rsid w:val="001B20BB"/>
    <w:rsid w:val="001B2109"/>
    <w:rsid w:val="001B2113"/>
    <w:rsid w:val="001B2157"/>
    <w:rsid w:val="001B21D0"/>
    <w:rsid w:val="001B21F7"/>
    <w:rsid w:val="001B220A"/>
    <w:rsid w:val="001B2213"/>
    <w:rsid w:val="001B221F"/>
    <w:rsid w:val="001B2289"/>
    <w:rsid w:val="001B22D4"/>
    <w:rsid w:val="001B22F7"/>
    <w:rsid w:val="001B2302"/>
    <w:rsid w:val="001B233D"/>
    <w:rsid w:val="001B235A"/>
    <w:rsid w:val="001B23C5"/>
    <w:rsid w:val="001B23C7"/>
    <w:rsid w:val="001B23D3"/>
    <w:rsid w:val="001B23D5"/>
    <w:rsid w:val="001B2499"/>
    <w:rsid w:val="001B24A2"/>
    <w:rsid w:val="001B24E5"/>
    <w:rsid w:val="001B24F2"/>
    <w:rsid w:val="001B2528"/>
    <w:rsid w:val="001B256A"/>
    <w:rsid w:val="001B2584"/>
    <w:rsid w:val="001B25AF"/>
    <w:rsid w:val="001B25E0"/>
    <w:rsid w:val="001B25EB"/>
    <w:rsid w:val="001B2668"/>
    <w:rsid w:val="001B2671"/>
    <w:rsid w:val="001B26E2"/>
    <w:rsid w:val="001B26E4"/>
    <w:rsid w:val="001B26F2"/>
    <w:rsid w:val="001B272E"/>
    <w:rsid w:val="001B2739"/>
    <w:rsid w:val="001B2760"/>
    <w:rsid w:val="001B27F0"/>
    <w:rsid w:val="001B280B"/>
    <w:rsid w:val="001B282C"/>
    <w:rsid w:val="001B289F"/>
    <w:rsid w:val="001B28F9"/>
    <w:rsid w:val="001B2960"/>
    <w:rsid w:val="001B29BE"/>
    <w:rsid w:val="001B2A2E"/>
    <w:rsid w:val="001B2A60"/>
    <w:rsid w:val="001B2AE0"/>
    <w:rsid w:val="001B2B31"/>
    <w:rsid w:val="001B2B5A"/>
    <w:rsid w:val="001B2B6F"/>
    <w:rsid w:val="001B2BB9"/>
    <w:rsid w:val="001B2C3A"/>
    <w:rsid w:val="001B2C6D"/>
    <w:rsid w:val="001B2C8B"/>
    <w:rsid w:val="001B2CA6"/>
    <w:rsid w:val="001B2CCC"/>
    <w:rsid w:val="001B2CE4"/>
    <w:rsid w:val="001B2D26"/>
    <w:rsid w:val="001B2D54"/>
    <w:rsid w:val="001B2D78"/>
    <w:rsid w:val="001B2D7E"/>
    <w:rsid w:val="001B2D90"/>
    <w:rsid w:val="001B2D99"/>
    <w:rsid w:val="001B2DB7"/>
    <w:rsid w:val="001B2DBB"/>
    <w:rsid w:val="001B2E12"/>
    <w:rsid w:val="001B2E4F"/>
    <w:rsid w:val="001B2F24"/>
    <w:rsid w:val="001B2F36"/>
    <w:rsid w:val="001B2FCD"/>
    <w:rsid w:val="001B2FD8"/>
    <w:rsid w:val="001B3005"/>
    <w:rsid w:val="001B3046"/>
    <w:rsid w:val="001B3063"/>
    <w:rsid w:val="001B307C"/>
    <w:rsid w:val="001B30B3"/>
    <w:rsid w:val="001B30BF"/>
    <w:rsid w:val="001B30DA"/>
    <w:rsid w:val="001B30E8"/>
    <w:rsid w:val="001B30EC"/>
    <w:rsid w:val="001B3115"/>
    <w:rsid w:val="001B3139"/>
    <w:rsid w:val="001B3142"/>
    <w:rsid w:val="001B3168"/>
    <w:rsid w:val="001B318D"/>
    <w:rsid w:val="001B318E"/>
    <w:rsid w:val="001B3243"/>
    <w:rsid w:val="001B3272"/>
    <w:rsid w:val="001B3315"/>
    <w:rsid w:val="001B3322"/>
    <w:rsid w:val="001B338F"/>
    <w:rsid w:val="001B33D7"/>
    <w:rsid w:val="001B33E3"/>
    <w:rsid w:val="001B3407"/>
    <w:rsid w:val="001B3420"/>
    <w:rsid w:val="001B3436"/>
    <w:rsid w:val="001B3454"/>
    <w:rsid w:val="001B349B"/>
    <w:rsid w:val="001B34E0"/>
    <w:rsid w:val="001B3522"/>
    <w:rsid w:val="001B352B"/>
    <w:rsid w:val="001B354F"/>
    <w:rsid w:val="001B359A"/>
    <w:rsid w:val="001B35A2"/>
    <w:rsid w:val="001B35F1"/>
    <w:rsid w:val="001B35F2"/>
    <w:rsid w:val="001B3616"/>
    <w:rsid w:val="001B3639"/>
    <w:rsid w:val="001B3676"/>
    <w:rsid w:val="001B36EF"/>
    <w:rsid w:val="001B36F9"/>
    <w:rsid w:val="001B3762"/>
    <w:rsid w:val="001B3777"/>
    <w:rsid w:val="001B3866"/>
    <w:rsid w:val="001B3867"/>
    <w:rsid w:val="001B387B"/>
    <w:rsid w:val="001B38BF"/>
    <w:rsid w:val="001B38D1"/>
    <w:rsid w:val="001B38D7"/>
    <w:rsid w:val="001B38E8"/>
    <w:rsid w:val="001B38F9"/>
    <w:rsid w:val="001B393B"/>
    <w:rsid w:val="001B394B"/>
    <w:rsid w:val="001B3955"/>
    <w:rsid w:val="001B39D3"/>
    <w:rsid w:val="001B3A34"/>
    <w:rsid w:val="001B3BA1"/>
    <w:rsid w:val="001B3BA9"/>
    <w:rsid w:val="001B3BD9"/>
    <w:rsid w:val="001B3BDF"/>
    <w:rsid w:val="001B3C21"/>
    <w:rsid w:val="001B3C2B"/>
    <w:rsid w:val="001B3C3D"/>
    <w:rsid w:val="001B3C4F"/>
    <w:rsid w:val="001B3C52"/>
    <w:rsid w:val="001B3C73"/>
    <w:rsid w:val="001B3C7B"/>
    <w:rsid w:val="001B3CD3"/>
    <w:rsid w:val="001B3D36"/>
    <w:rsid w:val="001B3D88"/>
    <w:rsid w:val="001B3D8E"/>
    <w:rsid w:val="001B3D90"/>
    <w:rsid w:val="001B3D9A"/>
    <w:rsid w:val="001B3DC1"/>
    <w:rsid w:val="001B3DE3"/>
    <w:rsid w:val="001B3DE8"/>
    <w:rsid w:val="001B3DF7"/>
    <w:rsid w:val="001B3E45"/>
    <w:rsid w:val="001B3E7B"/>
    <w:rsid w:val="001B3E98"/>
    <w:rsid w:val="001B3EDC"/>
    <w:rsid w:val="001B3F03"/>
    <w:rsid w:val="001B3F1A"/>
    <w:rsid w:val="001B3F24"/>
    <w:rsid w:val="001B3F51"/>
    <w:rsid w:val="001B3F5E"/>
    <w:rsid w:val="001B3FDF"/>
    <w:rsid w:val="001B4015"/>
    <w:rsid w:val="001B402B"/>
    <w:rsid w:val="001B4074"/>
    <w:rsid w:val="001B4078"/>
    <w:rsid w:val="001B4088"/>
    <w:rsid w:val="001B4098"/>
    <w:rsid w:val="001B40FE"/>
    <w:rsid w:val="001B40FF"/>
    <w:rsid w:val="001B417C"/>
    <w:rsid w:val="001B41C1"/>
    <w:rsid w:val="001B4244"/>
    <w:rsid w:val="001B4248"/>
    <w:rsid w:val="001B4257"/>
    <w:rsid w:val="001B4259"/>
    <w:rsid w:val="001B42F2"/>
    <w:rsid w:val="001B43BB"/>
    <w:rsid w:val="001B43D7"/>
    <w:rsid w:val="001B4411"/>
    <w:rsid w:val="001B444B"/>
    <w:rsid w:val="001B44E2"/>
    <w:rsid w:val="001B4514"/>
    <w:rsid w:val="001B4533"/>
    <w:rsid w:val="001B4546"/>
    <w:rsid w:val="001B45A6"/>
    <w:rsid w:val="001B45AD"/>
    <w:rsid w:val="001B45D5"/>
    <w:rsid w:val="001B464D"/>
    <w:rsid w:val="001B4656"/>
    <w:rsid w:val="001B466D"/>
    <w:rsid w:val="001B46D3"/>
    <w:rsid w:val="001B46E9"/>
    <w:rsid w:val="001B470F"/>
    <w:rsid w:val="001B477B"/>
    <w:rsid w:val="001B47C0"/>
    <w:rsid w:val="001B47EC"/>
    <w:rsid w:val="001B4859"/>
    <w:rsid w:val="001B4875"/>
    <w:rsid w:val="001B4897"/>
    <w:rsid w:val="001B48A0"/>
    <w:rsid w:val="001B49CD"/>
    <w:rsid w:val="001B49D4"/>
    <w:rsid w:val="001B49DF"/>
    <w:rsid w:val="001B49FF"/>
    <w:rsid w:val="001B4A64"/>
    <w:rsid w:val="001B4A6C"/>
    <w:rsid w:val="001B4A84"/>
    <w:rsid w:val="001B4AFB"/>
    <w:rsid w:val="001B4B0D"/>
    <w:rsid w:val="001B4B11"/>
    <w:rsid w:val="001B4B4C"/>
    <w:rsid w:val="001B4BB2"/>
    <w:rsid w:val="001B4BC9"/>
    <w:rsid w:val="001B4BE0"/>
    <w:rsid w:val="001B4C1E"/>
    <w:rsid w:val="001B4C71"/>
    <w:rsid w:val="001B4C9A"/>
    <w:rsid w:val="001B4D29"/>
    <w:rsid w:val="001B4D66"/>
    <w:rsid w:val="001B4DA1"/>
    <w:rsid w:val="001B4E0F"/>
    <w:rsid w:val="001B4E14"/>
    <w:rsid w:val="001B4E3B"/>
    <w:rsid w:val="001B4E3C"/>
    <w:rsid w:val="001B4E64"/>
    <w:rsid w:val="001B4ECC"/>
    <w:rsid w:val="001B4F2A"/>
    <w:rsid w:val="001B4F30"/>
    <w:rsid w:val="001B4F95"/>
    <w:rsid w:val="001B4FF4"/>
    <w:rsid w:val="001B4FFD"/>
    <w:rsid w:val="001B505C"/>
    <w:rsid w:val="001B5070"/>
    <w:rsid w:val="001B5079"/>
    <w:rsid w:val="001B5092"/>
    <w:rsid w:val="001B50AB"/>
    <w:rsid w:val="001B50F6"/>
    <w:rsid w:val="001B519D"/>
    <w:rsid w:val="001B5201"/>
    <w:rsid w:val="001B523E"/>
    <w:rsid w:val="001B5276"/>
    <w:rsid w:val="001B5280"/>
    <w:rsid w:val="001B5282"/>
    <w:rsid w:val="001B538D"/>
    <w:rsid w:val="001B539E"/>
    <w:rsid w:val="001B53BA"/>
    <w:rsid w:val="001B53C5"/>
    <w:rsid w:val="001B541C"/>
    <w:rsid w:val="001B5425"/>
    <w:rsid w:val="001B545A"/>
    <w:rsid w:val="001B549B"/>
    <w:rsid w:val="001B54BE"/>
    <w:rsid w:val="001B55CA"/>
    <w:rsid w:val="001B55D7"/>
    <w:rsid w:val="001B563D"/>
    <w:rsid w:val="001B5679"/>
    <w:rsid w:val="001B568B"/>
    <w:rsid w:val="001B5691"/>
    <w:rsid w:val="001B56DB"/>
    <w:rsid w:val="001B56F8"/>
    <w:rsid w:val="001B5706"/>
    <w:rsid w:val="001B5779"/>
    <w:rsid w:val="001B57A6"/>
    <w:rsid w:val="001B57AF"/>
    <w:rsid w:val="001B57BE"/>
    <w:rsid w:val="001B5803"/>
    <w:rsid w:val="001B5842"/>
    <w:rsid w:val="001B584B"/>
    <w:rsid w:val="001B587F"/>
    <w:rsid w:val="001B5889"/>
    <w:rsid w:val="001B591C"/>
    <w:rsid w:val="001B593D"/>
    <w:rsid w:val="001B5965"/>
    <w:rsid w:val="001B5968"/>
    <w:rsid w:val="001B597B"/>
    <w:rsid w:val="001B5997"/>
    <w:rsid w:val="001B599D"/>
    <w:rsid w:val="001B59AC"/>
    <w:rsid w:val="001B59E3"/>
    <w:rsid w:val="001B59E5"/>
    <w:rsid w:val="001B5A27"/>
    <w:rsid w:val="001B5A7D"/>
    <w:rsid w:val="001B5AA2"/>
    <w:rsid w:val="001B5B04"/>
    <w:rsid w:val="001B5B63"/>
    <w:rsid w:val="001B5BDC"/>
    <w:rsid w:val="001B5C03"/>
    <w:rsid w:val="001B5C57"/>
    <w:rsid w:val="001B5D59"/>
    <w:rsid w:val="001B5DE2"/>
    <w:rsid w:val="001B5DEF"/>
    <w:rsid w:val="001B5E9C"/>
    <w:rsid w:val="001B5EAE"/>
    <w:rsid w:val="001B5EC5"/>
    <w:rsid w:val="001B5ED1"/>
    <w:rsid w:val="001B5F1F"/>
    <w:rsid w:val="001B5F67"/>
    <w:rsid w:val="001B5FC4"/>
    <w:rsid w:val="001B601C"/>
    <w:rsid w:val="001B6033"/>
    <w:rsid w:val="001B6053"/>
    <w:rsid w:val="001B6082"/>
    <w:rsid w:val="001B60DB"/>
    <w:rsid w:val="001B60DF"/>
    <w:rsid w:val="001B612A"/>
    <w:rsid w:val="001B6146"/>
    <w:rsid w:val="001B615A"/>
    <w:rsid w:val="001B615D"/>
    <w:rsid w:val="001B61E8"/>
    <w:rsid w:val="001B61F0"/>
    <w:rsid w:val="001B620B"/>
    <w:rsid w:val="001B6212"/>
    <w:rsid w:val="001B6213"/>
    <w:rsid w:val="001B623D"/>
    <w:rsid w:val="001B624C"/>
    <w:rsid w:val="001B624D"/>
    <w:rsid w:val="001B625D"/>
    <w:rsid w:val="001B6260"/>
    <w:rsid w:val="001B629D"/>
    <w:rsid w:val="001B62C0"/>
    <w:rsid w:val="001B62C5"/>
    <w:rsid w:val="001B6358"/>
    <w:rsid w:val="001B63A8"/>
    <w:rsid w:val="001B6425"/>
    <w:rsid w:val="001B64B8"/>
    <w:rsid w:val="001B6521"/>
    <w:rsid w:val="001B65DF"/>
    <w:rsid w:val="001B6617"/>
    <w:rsid w:val="001B667C"/>
    <w:rsid w:val="001B66A1"/>
    <w:rsid w:val="001B66A9"/>
    <w:rsid w:val="001B66B9"/>
    <w:rsid w:val="001B66D2"/>
    <w:rsid w:val="001B670A"/>
    <w:rsid w:val="001B672B"/>
    <w:rsid w:val="001B6749"/>
    <w:rsid w:val="001B677A"/>
    <w:rsid w:val="001B67C7"/>
    <w:rsid w:val="001B67F9"/>
    <w:rsid w:val="001B6882"/>
    <w:rsid w:val="001B68B4"/>
    <w:rsid w:val="001B690A"/>
    <w:rsid w:val="001B6922"/>
    <w:rsid w:val="001B6948"/>
    <w:rsid w:val="001B6994"/>
    <w:rsid w:val="001B69C5"/>
    <w:rsid w:val="001B69D2"/>
    <w:rsid w:val="001B6A36"/>
    <w:rsid w:val="001B6A39"/>
    <w:rsid w:val="001B6AAC"/>
    <w:rsid w:val="001B6AAE"/>
    <w:rsid w:val="001B6B49"/>
    <w:rsid w:val="001B6B4B"/>
    <w:rsid w:val="001B6BAC"/>
    <w:rsid w:val="001B6C98"/>
    <w:rsid w:val="001B6CD4"/>
    <w:rsid w:val="001B6CE2"/>
    <w:rsid w:val="001B6D6B"/>
    <w:rsid w:val="001B6D93"/>
    <w:rsid w:val="001B6DE2"/>
    <w:rsid w:val="001B6E03"/>
    <w:rsid w:val="001B6E13"/>
    <w:rsid w:val="001B6E3C"/>
    <w:rsid w:val="001B6E79"/>
    <w:rsid w:val="001B6EF1"/>
    <w:rsid w:val="001B6EF3"/>
    <w:rsid w:val="001B6F4D"/>
    <w:rsid w:val="001B6FB2"/>
    <w:rsid w:val="001B7028"/>
    <w:rsid w:val="001B7091"/>
    <w:rsid w:val="001B70A6"/>
    <w:rsid w:val="001B7155"/>
    <w:rsid w:val="001B7183"/>
    <w:rsid w:val="001B7195"/>
    <w:rsid w:val="001B71B4"/>
    <w:rsid w:val="001B71DA"/>
    <w:rsid w:val="001B7238"/>
    <w:rsid w:val="001B725C"/>
    <w:rsid w:val="001B7263"/>
    <w:rsid w:val="001B7292"/>
    <w:rsid w:val="001B736D"/>
    <w:rsid w:val="001B738F"/>
    <w:rsid w:val="001B739D"/>
    <w:rsid w:val="001B73B1"/>
    <w:rsid w:val="001B73C5"/>
    <w:rsid w:val="001B73ED"/>
    <w:rsid w:val="001B740B"/>
    <w:rsid w:val="001B741D"/>
    <w:rsid w:val="001B7481"/>
    <w:rsid w:val="001B748B"/>
    <w:rsid w:val="001B74B3"/>
    <w:rsid w:val="001B74B4"/>
    <w:rsid w:val="001B755C"/>
    <w:rsid w:val="001B759C"/>
    <w:rsid w:val="001B75BC"/>
    <w:rsid w:val="001B7632"/>
    <w:rsid w:val="001B7668"/>
    <w:rsid w:val="001B768D"/>
    <w:rsid w:val="001B76E2"/>
    <w:rsid w:val="001B76F8"/>
    <w:rsid w:val="001B7730"/>
    <w:rsid w:val="001B7752"/>
    <w:rsid w:val="001B7779"/>
    <w:rsid w:val="001B77A7"/>
    <w:rsid w:val="001B77C6"/>
    <w:rsid w:val="001B77ED"/>
    <w:rsid w:val="001B7831"/>
    <w:rsid w:val="001B7836"/>
    <w:rsid w:val="001B7841"/>
    <w:rsid w:val="001B7873"/>
    <w:rsid w:val="001B793F"/>
    <w:rsid w:val="001B7956"/>
    <w:rsid w:val="001B7986"/>
    <w:rsid w:val="001B79E5"/>
    <w:rsid w:val="001B7A51"/>
    <w:rsid w:val="001B7AD5"/>
    <w:rsid w:val="001B7AFA"/>
    <w:rsid w:val="001B7B49"/>
    <w:rsid w:val="001B7B60"/>
    <w:rsid w:val="001B7B73"/>
    <w:rsid w:val="001B7BE4"/>
    <w:rsid w:val="001B7BE7"/>
    <w:rsid w:val="001B7BEE"/>
    <w:rsid w:val="001B7C37"/>
    <w:rsid w:val="001B7C3A"/>
    <w:rsid w:val="001B7C8E"/>
    <w:rsid w:val="001B7CA8"/>
    <w:rsid w:val="001B7CCD"/>
    <w:rsid w:val="001B7CEA"/>
    <w:rsid w:val="001B7D12"/>
    <w:rsid w:val="001B7D7F"/>
    <w:rsid w:val="001B7DE1"/>
    <w:rsid w:val="001B7E26"/>
    <w:rsid w:val="001B7E38"/>
    <w:rsid w:val="001B7EB0"/>
    <w:rsid w:val="001B7F52"/>
    <w:rsid w:val="001B7F67"/>
    <w:rsid w:val="001B7F98"/>
    <w:rsid w:val="001B7FD0"/>
    <w:rsid w:val="001C001F"/>
    <w:rsid w:val="001C002C"/>
    <w:rsid w:val="001C0033"/>
    <w:rsid w:val="001C0090"/>
    <w:rsid w:val="001C00BA"/>
    <w:rsid w:val="001C0118"/>
    <w:rsid w:val="001C013E"/>
    <w:rsid w:val="001C0175"/>
    <w:rsid w:val="001C01D4"/>
    <w:rsid w:val="001C01DF"/>
    <w:rsid w:val="001C0204"/>
    <w:rsid w:val="001C0267"/>
    <w:rsid w:val="001C02B2"/>
    <w:rsid w:val="001C02D6"/>
    <w:rsid w:val="001C031F"/>
    <w:rsid w:val="001C034C"/>
    <w:rsid w:val="001C03A2"/>
    <w:rsid w:val="001C03C7"/>
    <w:rsid w:val="001C03E2"/>
    <w:rsid w:val="001C03EC"/>
    <w:rsid w:val="001C03FE"/>
    <w:rsid w:val="001C0493"/>
    <w:rsid w:val="001C04C2"/>
    <w:rsid w:val="001C04C5"/>
    <w:rsid w:val="001C050C"/>
    <w:rsid w:val="001C0557"/>
    <w:rsid w:val="001C058E"/>
    <w:rsid w:val="001C05E9"/>
    <w:rsid w:val="001C0630"/>
    <w:rsid w:val="001C0651"/>
    <w:rsid w:val="001C0668"/>
    <w:rsid w:val="001C0691"/>
    <w:rsid w:val="001C06B0"/>
    <w:rsid w:val="001C06D7"/>
    <w:rsid w:val="001C06E6"/>
    <w:rsid w:val="001C0727"/>
    <w:rsid w:val="001C073A"/>
    <w:rsid w:val="001C073E"/>
    <w:rsid w:val="001C074F"/>
    <w:rsid w:val="001C0771"/>
    <w:rsid w:val="001C0823"/>
    <w:rsid w:val="001C085F"/>
    <w:rsid w:val="001C0872"/>
    <w:rsid w:val="001C0884"/>
    <w:rsid w:val="001C0895"/>
    <w:rsid w:val="001C08E3"/>
    <w:rsid w:val="001C08F0"/>
    <w:rsid w:val="001C08F8"/>
    <w:rsid w:val="001C095F"/>
    <w:rsid w:val="001C096C"/>
    <w:rsid w:val="001C09BA"/>
    <w:rsid w:val="001C09E4"/>
    <w:rsid w:val="001C09FE"/>
    <w:rsid w:val="001C0A98"/>
    <w:rsid w:val="001C0AA5"/>
    <w:rsid w:val="001C0AE2"/>
    <w:rsid w:val="001C0B1F"/>
    <w:rsid w:val="001C0B4D"/>
    <w:rsid w:val="001C0B5C"/>
    <w:rsid w:val="001C0BA6"/>
    <w:rsid w:val="001C0BF2"/>
    <w:rsid w:val="001C0BF8"/>
    <w:rsid w:val="001C0C1B"/>
    <w:rsid w:val="001C0C40"/>
    <w:rsid w:val="001C0C77"/>
    <w:rsid w:val="001C0C82"/>
    <w:rsid w:val="001C0CAB"/>
    <w:rsid w:val="001C0D3E"/>
    <w:rsid w:val="001C0D44"/>
    <w:rsid w:val="001C0D60"/>
    <w:rsid w:val="001C0DB0"/>
    <w:rsid w:val="001C0E19"/>
    <w:rsid w:val="001C0E5A"/>
    <w:rsid w:val="001C0ED4"/>
    <w:rsid w:val="001C0EE2"/>
    <w:rsid w:val="001C0F2C"/>
    <w:rsid w:val="001C0F56"/>
    <w:rsid w:val="001C0F58"/>
    <w:rsid w:val="001C0F72"/>
    <w:rsid w:val="001C0FC0"/>
    <w:rsid w:val="001C1054"/>
    <w:rsid w:val="001C1061"/>
    <w:rsid w:val="001C1079"/>
    <w:rsid w:val="001C10B2"/>
    <w:rsid w:val="001C111F"/>
    <w:rsid w:val="001C114F"/>
    <w:rsid w:val="001C118A"/>
    <w:rsid w:val="001C119D"/>
    <w:rsid w:val="001C11BD"/>
    <w:rsid w:val="001C11F3"/>
    <w:rsid w:val="001C1226"/>
    <w:rsid w:val="001C12D6"/>
    <w:rsid w:val="001C132C"/>
    <w:rsid w:val="001C137B"/>
    <w:rsid w:val="001C13C8"/>
    <w:rsid w:val="001C13D4"/>
    <w:rsid w:val="001C140E"/>
    <w:rsid w:val="001C1435"/>
    <w:rsid w:val="001C14A9"/>
    <w:rsid w:val="001C14AB"/>
    <w:rsid w:val="001C15B2"/>
    <w:rsid w:val="001C15F6"/>
    <w:rsid w:val="001C1604"/>
    <w:rsid w:val="001C16D1"/>
    <w:rsid w:val="001C16FF"/>
    <w:rsid w:val="001C1718"/>
    <w:rsid w:val="001C1723"/>
    <w:rsid w:val="001C1756"/>
    <w:rsid w:val="001C1768"/>
    <w:rsid w:val="001C1779"/>
    <w:rsid w:val="001C17EA"/>
    <w:rsid w:val="001C17FD"/>
    <w:rsid w:val="001C1808"/>
    <w:rsid w:val="001C18A7"/>
    <w:rsid w:val="001C1906"/>
    <w:rsid w:val="001C1948"/>
    <w:rsid w:val="001C1958"/>
    <w:rsid w:val="001C1975"/>
    <w:rsid w:val="001C1987"/>
    <w:rsid w:val="001C1A44"/>
    <w:rsid w:val="001C1A4C"/>
    <w:rsid w:val="001C1AB4"/>
    <w:rsid w:val="001C1B4E"/>
    <w:rsid w:val="001C1B5D"/>
    <w:rsid w:val="001C1B7E"/>
    <w:rsid w:val="001C1BC8"/>
    <w:rsid w:val="001C1BE9"/>
    <w:rsid w:val="001C1C0D"/>
    <w:rsid w:val="001C1C4A"/>
    <w:rsid w:val="001C1C4D"/>
    <w:rsid w:val="001C1C61"/>
    <w:rsid w:val="001C1C89"/>
    <w:rsid w:val="001C1CB9"/>
    <w:rsid w:val="001C1D29"/>
    <w:rsid w:val="001C1D4C"/>
    <w:rsid w:val="001C1D4F"/>
    <w:rsid w:val="001C1E41"/>
    <w:rsid w:val="001C1E93"/>
    <w:rsid w:val="001C1ECC"/>
    <w:rsid w:val="001C1F02"/>
    <w:rsid w:val="001C1F17"/>
    <w:rsid w:val="001C1F41"/>
    <w:rsid w:val="001C1F42"/>
    <w:rsid w:val="001C1F88"/>
    <w:rsid w:val="001C1FFE"/>
    <w:rsid w:val="001C20A2"/>
    <w:rsid w:val="001C20D0"/>
    <w:rsid w:val="001C20F3"/>
    <w:rsid w:val="001C2194"/>
    <w:rsid w:val="001C2214"/>
    <w:rsid w:val="001C22AD"/>
    <w:rsid w:val="001C22C6"/>
    <w:rsid w:val="001C22D6"/>
    <w:rsid w:val="001C22FF"/>
    <w:rsid w:val="001C2389"/>
    <w:rsid w:val="001C2390"/>
    <w:rsid w:val="001C239A"/>
    <w:rsid w:val="001C2403"/>
    <w:rsid w:val="001C24B2"/>
    <w:rsid w:val="001C24BB"/>
    <w:rsid w:val="001C24C8"/>
    <w:rsid w:val="001C2503"/>
    <w:rsid w:val="001C250A"/>
    <w:rsid w:val="001C2559"/>
    <w:rsid w:val="001C2590"/>
    <w:rsid w:val="001C25A4"/>
    <w:rsid w:val="001C25F0"/>
    <w:rsid w:val="001C2608"/>
    <w:rsid w:val="001C264E"/>
    <w:rsid w:val="001C2659"/>
    <w:rsid w:val="001C2670"/>
    <w:rsid w:val="001C2682"/>
    <w:rsid w:val="001C26C0"/>
    <w:rsid w:val="001C26F4"/>
    <w:rsid w:val="001C26FE"/>
    <w:rsid w:val="001C2773"/>
    <w:rsid w:val="001C27EF"/>
    <w:rsid w:val="001C2802"/>
    <w:rsid w:val="001C2850"/>
    <w:rsid w:val="001C286E"/>
    <w:rsid w:val="001C288A"/>
    <w:rsid w:val="001C28FE"/>
    <w:rsid w:val="001C2926"/>
    <w:rsid w:val="001C292B"/>
    <w:rsid w:val="001C2931"/>
    <w:rsid w:val="001C295A"/>
    <w:rsid w:val="001C297D"/>
    <w:rsid w:val="001C29A2"/>
    <w:rsid w:val="001C2A09"/>
    <w:rsid w:val="001C2A2D"/>
    <w:rsid w:val="001C2A6D"/>
    <w:rsid w:val="001C2A8C"/>
    <w:rsid w:val="001C2A96"/>
    <w:rsid w:val="001C2ABB"/>
    <w:rsid w:val="001C2B05"/>
    <w:rsid w:val="001C2B13"/>
    <w:rsid w:val="001C2B6E"/>
    <w:rsid w:val="001C2BB1"/>
    <w:rsid w:val="001C2C0C"/>
    <w:rsid w:val="001C2C0D"/>
    <w:rsid w:val="001C2C10"/>
    <w:rsid w:val="001C2C3C"/>
    <w:rsid w:val="001C2CAD"/>
    <w:rsid w:val="001C2CE3"/>
    <w:rsid w:val="001C2D11"/>
    <w:rsid w:val="001C2D2A"/>
    <w:rsid w:val="001C2D2D"/>
    <w:rsid w:val="001C2D3A"/>
    <w:rsid w:val="001C2D4D"/>
    <w:rsid w:val="001C2D6E"/>
    <w:rsid w:val="001C2D84"/>
    <w:rsid w:val="001C2DA8"/>
    <w:rsid w:val="001C2DC0"/>
    <w:rsid w:val="001C2EA3"/>
    <w:rsid w:val="001C2EBD"/>
    <w:rsid w:val="001C2EC7"/>
    <w:rsid w:val="001C2EF8"/>
    <w:rsid w:val="001C2F08"/>
    <w:rsid w:val="001C2F6C"/>
    <w:rsid w:val="001C2F83"/>
    <w:rsid w:val="001C2FC4"/>
    <w:rsid w:val="001C3001"/>
    <w:rsid w:val="001C301D"/>
    <w:rsid w:val="001C3043"/>
    <w:rsid w:val="001C30A7"/>
    <w:rsid w:val="001C30F6"/>
    <w:rsid w:val="001C30FA"/>
    <w:rsid w:val="001C316C"/>
    <w:rsid w:val="001C3175"/>
    <w:rsid w:val="001C31DC"/>
    <w:rsid w:val="001C31F4"/>
    <w:rsid w:val="001C31F5"/>
    <w:rsid w:val="001C3204"/>
    <w:rsid w:val="001C321C"/>
    <w:rsid w:val="001C323A"/>
    <w:rsid w:val="001C32BA"/>
    <w:rsid w:val="001C32E9"/>
    <w:rsid w:val="001C3301"/>
    <w:rsid w:val="001C334D"/>
    <w:rsid w:val="001C3374"/>
    <w:rsid w:val="001C33A0"/>
    <w:rsid w:val="001C345C"/>
    <w:rsid w:val="001C346F"/>
    <w:rsid w:val="001C34C2"/>
    <w:rsid w:val="001C34EE"/>
    <w:rsid w:val="001C3516"/>
    <w:rsid w:val="001C3546"/>
    <w:rsid w:val="001C35BF"/>
    <w:rsid w:val="001C360D"/>
    <w:rsid w:val="001C3637"/>
    <w:rsid w:val="001C36AA"/>
    <w:rsid w:val="001C36F7"/>
    <w:rsid w:val="001C3700"/>
    <w:rsid w:val="001C3703"/>
    <w:rsid w:val="001C3757"/>
    <w:rsid w:val="001C37B0"/>
    <w:rsid w:val="001C37D7"/>
    <w:rsid w:val="001C3843"/>
    <w:rsid w:val="001C385A"/>
    <w:rsid w:val="001C3886"/>
    <w:rsid w:val="001C3889"/>
    <w:rsid w:val="001C3899"/>
    <w:rsid w:val="001C38F5"/>
    <w:rsid w:val="001C3953"/>
    <w:rsid w:val="001C397A"/>
    <w:rsid w:val="001C39B4"/>
    <w:rsid w:val="001C39BD"/>
    <w:rsid w:val="001C39EA"/>
    <w:rsid w:val="001C39F3"/>
    <w:rsid w:val="001C3A35"/>
    <w:rsid w:val="001C3A4A"/>
    <w:rsid w:val="001C3A61"/>
    <w:rsid w:val="001C3A66"/>
    <w:rsid w:val="001C3A6F"/>
    <w:rsid w:val="001C3A9D"/>
    <w:rsid w:val="001C3AC9"/>
    <w:rsid w:val="001C3ACA"/>
    <w:rsid w:val="001C3ADE"/>
    <w:rsid w:val="001C3B0C"/>
    <w:rsid w:val="001C3B1C"/>
    <w:rsid w:val="001C3B79"/>
    <w:rsid w:val="001C3BA1"/>
    <w:rsid w:val="001C3BAE"/>
    <w:rsid w:val="001C3BDE"/>
    <w:rsid w:val="001C3BF3"/>
    <w:rsid w:val="001C3C86"/>
    <w:rsid w:val="001C3C8B"/>
    <w:rsid w:val="001C3C8C"/>
    <w:rsid w:val="001C3CC8"/>
    <w:rsid w:val="001C3CDF"/>
    <w:rsid w:val="001C3CFA"/>
    <w:rsid w:val="001C3D3B"/>
    <w:rsid w:val="001C3DD7"/>
    <w:rsid w:val="001C3DDF"/>
    <w:rsid w:val="001C3DE3"/>
    <w:rsid w:val="001C3E24"/>
    <w:rsid w:val="001C3E2A"/>
    <w:rsid w:val="001C3EE3"/>
    <w:rsid w:val="001C3EE6"/>
    <w:rsid w:val="001C3F34"/>
    <w:rsid w:val="001C3F4E"/>
    <w:rsid w:val="001C3F98"/>
    <w:rsid w:val="001C3FAE"/>
    <w:rsid w:val="001C3FCD"/>
    <w:rsid w:val="001C3FD4"/>
    <w:rsid w:val="001C3FD6"/>
    <w:rsid w:val="001C4010"/>
    <w:rsid w:val="001C4099"/>
    <w:rsid w:val="001C4106"/>
    <w:rsid w:val="001C4187"/>
    <w:rsid w:val="001C41A7"/>
    <w:rsid w:val="001C41BB"/>
    <w:rsid w:val="001C4202"/>
    <w:rsid w:val="001C4230"/>
    <w:rsid w:val="001C4236"/>
    <w:rsid w:val="001C42BD"/>
    <w:rsid w:val="001C4301"/>
    <w:rsid w:val="001C431C"/>
    <w:rsid w:val="001C4339"/>
    <w:rsid w:val="001C43B8"/>
    <w:rsid w:val="001C441F"/>
    <w:rsid w:val="001C4426"/>
    <w:rsid w:val="001C4454"/>
    <w:rsid w:val="001C446B"/>
    <w:rsid w:val="001C4489"/>
    <w:rsid w:val="001C44CA"/>
    <w:rsid w:val="001C44D4"/>
    <w:rsid w:val="001C44EB"/>
    <w:rsid w:val="001C44F7"/>
    <w:rsid w:val="001C44F9"/>
    <w:rsid w:val="001C451A"/>
    <w:rsid w:val="001C451C"/>
    <w:rsid w:val="001C45A0"/>
    <w:rsid w:val="001C45C0"/>
    <w:rsid w:val="001C45C1"/>
    <w:rsid w:val="001C4600"/>
    <w:rsid w:val="001C464B"/>
    <w:rsid w:val="001C465A"/>
    <w:rsid w:val="001C4662"/>
    <w:rsid w:val="001C4669"/>
    <w:rsid w:val="001C4681"/>
    <w:rsid w:val="001C46AC"/>
    <w:rsid w:val="001C46BB"/>
    <w:rsid w:val="001C46C1"/>
    <w:rsid w:val="001C46C7"/>
    <w:rsid w:val="001C46DF"/>
    <w:rsid w:val="001C46F0"/>
    <w:rsid w:val="001C4788"/>
    <w:rsid w:val="001C47F4"/>
    <w:rsid w:val="001C4824"/>
    <w:rsid w:val="001C48EA"/>
    <w:rsid w:val="001C490C"/>
    <w:rsid w:val="001C492A"/>
    <w:rsid w:val="001C4965"/>
    <w:rsid w:val="001C499B"/>
    <w:rsid w:val="001C49CE"/>
    <w:rsid w:val="001C49E4"/>
    <w:rsid w:val="001C4A65"/>
    <w:rsid w:val="001C4A6D"/>
    <w:rsid w:val="001C4A99"/>
    <w:rsid w:val="001C4AA9"/>
    <w:rsid w:val="001C4AEF"/>
    <w:rsid w:val="001C4B01"/>
    <w:rsid w:val="001C4B1C"/>
    <w:rsid w:val="001C4B21"/>
    <w:rsid w:val="001C4B2D"/>
    <w:rsid w:val="001C4B44"/>
    <w:rsid w:val="001C4B72"/>
    <w:rsid w:val="001C4B87"/>
    <w:rsid w:val="001C4B8A"/>
    <w:rsid w:val="001C4BA5"/>
    <w:rsid w:val="001C4BC5"/>
    <w:rsid w:val="001C4BD8"/>
    <w:rsid w:val="001C4C0C"/>
    <w:rsid w:val="001C4C12"/>
    <w:rsid w:val="001C4C3B"/>
    <w:rsid w:val="001C4C8B"/>
    <w:rsid w:val="001C4C92"/>
    <w:rsid w:val="001C4CC4"/>
    <w:rsid w:val="001C4D0A"/>
    <w:rsid w:val="001C4DAC"/>
    <w:rsid w:val="001C4DD7"/>
    <w:rsid w:val="001C4DD9"/>
    <w:rsid w:val="001C4DF2"/>
    <w:rsid w:val="001C4DFA"/>
    <w:rsid w:val="001C4DFC"/>
    <w:rsid w:val="001C4E02"/>
    <w:rsid w:val="001C4E10"/>
    <w:rsid w:val="001C4E4F"/>
    <w:rsid w:val="001C4E53"/>
    <w:rsid w:val="001C4E8B"/>
    <w:rsid w:val="001C4E97"/>
    <w:rsid w:val="001C4EF6"/>
    <w:rsid w:val="001C4F21"/>
    <w:rsid w:val="001C4F23"/>
    <w:rsid w:val="001C4F64"/>
    <w:rsid w:val="001C4F65"/>
    <w:rsid w:val="001C4F84"/>
    <w:rsid w:val="001C4F8A"/>
    <w:rsid w:val="001C5009"/>
    <w:rsid w:val="001C50BB"/>
    <w:rsid w:val="001C50CA"/>
    <w:rsid w:val="001C5112"/>
    <w:rsid w:val="001C5121"/>
    <w:rsid w:val="001C5141"/>
    <w:rsid w:val="001C5147"/>
    <w:rsid w:val="001C5193"/>
    <w:rsid w:val="001C51A3"/>
    <w:rsid w:val="001C51B2"/>
    <w:rsid w:val="001C5247"/>
    <w:rsid w:val="001C5325"/>
    <w:rsid w:val="001C532B"/>
    <w:rsid w:val="001C536B"/>
    <w:rsid w:val="001C53EF"/>
    <w:rsid w:val="001C542C"/>
    <w:rsid w:val="001C543B"/>
    <w:rsid w:val="001C545D"/>
    <w:rsid w:val="001C5479"/>
    <w:rsid w:val="001C554F"/>
    <w:rsid w:val="001C556E"/>
    <w:rsid w:val="001C5576"/>
    <w:rsid w:val="001C557B"/>
    <w:rsid w:val="001C56B7"/>
    <w:rsid w:val="001C56C8"/>
    <w:rsid w:val="001C57BF"/>
    <w:rsid w:val="001C580C"/>
    <w:rsid w:val="001C58D5"/>
    <w:rsid w:val="001C5992"/>
    <w:rsid w:val="001C599D"/>
    <w:rsid w:val="001C5A9C"/>
    <w:rsid w:val="001C5AF5"/>
    <w:rsid w:val="001C5B3D"/>
    <w:rsid w:val="001C5B3E"/>
    <w:rsid w:val="001C5B86"/>
    <w:rsid w:val="001C5B98"/>
    <w:rsid w:val="001C5BCB"/>
    <w:rsid w:val="001C5BFF"/>
    <w:rsid w:val="001C5C07"/>
    <w:rsid w:val="001C5C16"/>
    <w:rsid w:val="001C5C36"/>
    <w:rsid w:val="001C5C49"/>
    <w:rsid w:val="001C5C58"/>
    <w:rsid w:val="001C5C9B"/>
    <w:rsid w:val="001C5CB0"/>
    <w:rsid w:val="001C5CF8"/>
    <w:rsid w:val="001C5D0D"/>
    <w:rsid w:val="001C5D10"/>
    <w:rsid w:val="001C5D46"/>
    <w:rsid w:val="001C5D48"/>
    <w:rsid w:val="001C5D8D"/>
    <w:rsid w:val="001C5DC7"/>
    <w:rsid w:val="001C5DD6"/>
    <w:rsid w:val="001C5E27"/>
    <w:rsid w:val="001C5E6B"/>
    <w:rsid w:val="001C5E7B"/>
    <w:rsid w:val="001C5EE5"/>
    <w:rsid w:val="001C5F07"/>
    <w:rsid w:val="001C5F59"/>
    <w:rsid w:val="001C5F6A"/>
    <w:rsid w:val="001C5F7B"/>
    <w:rsid w:val="001C5F98"/>
    <w:rsid w:val="001C5FAD"/>
    <w:rsid w:val="001C5FDC"/>
    <w:rsid w:val="001C601F"/>
    <w:rsid w:val="001C6028"/>
    <w:rsid w:val="001C6051"/>
    <w:rsid w:val="001C606C"/>
    <w:rsid w:val="001C60C8"/>
    <w:rsid w:val="001C61B9"/>
    <w:rsid w:val="001C6294"/>
    <w:rsid w:val="001C629B"/>
    <w:rsid w:val="001C6307"/>
    <w:rsid w:val="001C633B"/>
    <w:rsid w:val="001C6353"/>
    <w:rsid w:val="001C635C"/>
    <w:rsid w:val="001C6385"/>
    <w:rsid w:val="001C6389"/>
    <w:rsid w:val="001C6418"/>
    <w:rsid w:val="001C641F"/>
    <w:rsid w:val="001C64AB"/>
    <w:rsid w:val="001C64C2"/>
    <w:rsid w:val="001C64DF"/>
    <w:rsid w:val="001C6512"/>
    <w:rsid w:val="001C6542"/>
    <w:rsid w:val="001C658A"/>
    <w:rsid w:val="001C65E7"/>
    <w:rsid w:val="001C6639"/>
    <w:rsid w:val="001C6653"/>
    <w:rsid w:val="001C6679"/>
    <w:rsid w:val="001C667B"/>
    <w:rsid w:val="001C6684"/>
    <w:rsid w:val="001C66B2"/>
    <w:rsid w:val="001C66B8"/>
    <w:rsid w:val="001C670A"/>
    <w:rsid w:val="001C672F"/>
    <w:rsid w:val="001C6733"/>
    <w:rsid w:val="001C674F"/>
    <w:rsid w:val="001C675A"/>
    <w:rsid w:val="001C67D7"/>
    <w:rsid w:val="001C6832"/>
    <w:rsid w:val="001C6833"/>
    <w:rsid w:val="001C684E"/>
    <w:rsid w:val="001C689C"/>
    <w:rsid w:val="001C68AD"/>
    <w:rsid w:val="001C68F4"/>
    <w:rsid w:val="001C693F"/>
    <w:rsid w:val="001C6977"/>
    <w:rsid w:val="001C69E9"/>
    <w:rsid w:val="001C69EC"/>
    <w:rsid w:val="001C6A0E"/>
    <w:rsid w:val="001C6A13"/>
    <w:rsid w:val="001C6A71"/>
    <w:rsid w:val="001C6AA0"/>
    <w:rsid w:val="001C6ACA"/>
    <w:rsid w:val="001C6AD6"/>
    <w:rsid w:val="001C6B0A"/>
    <w:rsid w:val="001C6B17"/>
    <w:rsid w:val="001C6B5A"/>
    <w:rsid w:val="001C6B7C"/>
    <w:rsid w:val="001C6BCF"/>
    <w:rsid w:val="001C6C1A"/>
    <w:rsid w:val="001C6C1B"/>
    <w:rsid w:val="001C6CE1"/>
    <w:rsid w:val="001C6CFE"/>
    <w:rsid w:val="001C6D02"/>
    <w:rsid w:val="001C6D33"/>
    <w:rsid w:val="001C6D47"/>
    <w:rsid w:val="001C6D5E"/>
    <w:rsid w:val="001C6D9E"/>
    <w:rsid w:val="001C6DFC"/>
    <w:rsid w:val="001C6DFD"/>
    <w:rsid w:val="001C6E18"/>
    <w:rsid w:val="001C6E24"/>
    <w:rsid w:val="001C6E3F"/>
    <w:rsid w:val="001C6E5F"/>
    <w:rsid w:val="001C6EA5"/>
    <w:rsid w:val="001C6EA8"/>
    <w:rsid w:val="001C6EAE"/>
    <w:rsid w:val="001C6F36"/>
    <w:rsid w:val="001C6F63"/>
    <w:rsid w:val="001C6F77"/>
    <w:rsid w:val="001C6FCC"/>
    <w:rsid w:val="001C709C"/>
    <w:rsid w:val="001C71C3"/>
    <w:rsid w:val="001C71D4"/>
    <w:rsid w:val="001C7212"/>
    <w:rsid w:val="001C7226"/>
    <w:rsid w:val="001C726E"/>
    <w:rsid w:val="001C72CE"/>
    <w:rsid w:val="001C73C4"/>
    <w:rsid w:val="001C7498"/>
    <w:rsid w:val="001C759D"/>
    <w:rsid w:val="001C75A1"/>
    <w:rsid w:val="001C75B9"/>
    <w:rsid w:val="001C75DF"/>
    <w:rsid w:val="001C75F2"/>
    <w:rsid w:val="001C7624"/>
    <w:rsid w:val="001C7634"/>
    <w:rsid w:val="001C764F"/>
    <w:rsid w:val="001C76D4"/>
    <w:rsid w:val="001C76D5"/>
    <w:rsid w:val="001C7723"/>
    <w:rsid w:val="001C7763"/>
    <w:rsid w:val="001C778B"/>
    <w:rsid w:val="001C77D5"/>
    <w:rsid w:val="001C77E2"/>
    <w:rsid w:val="001C780E"/>
    <w:rsid w:val="001C7822"/>
    <w:rsid w:val="001C784D"/>
    <w:rsid w:val="001C7899"/>
    <w:rsid w:val="001C7919"/>
    <w:rsid w:val="001C795C"/>
    <w:rsid w:val="001C79FB"/>
    <w:rsid w:val="001C7A96"/>
    <w:rsid w:val="001C7B09"/>
    <w:rsid w:val="001C7B94"/>
    <w:rsid w:val="001C7BC4"/>
    <w:rsid w:val="001C7BD6"/>
    <w:rsid w:val="001C7BF0"/>
    <w:rsid w:val="001C7C04"/>
    <w:rsid w:val="001C7C36"/>
    <w:rsid w:val="001C7C54"/>
    <w:rsid w:val="001C7C61"/>
    <w:rsid w:val="001C7C76"/>
    <w:rsid w:val="001C7C7D"/>
    <w:rsid w:val="001C7C81"/>
    <w:rsid w:val="001C7C8C"/>
    <w:rsid w:val="001C7C8E"/>
    <w:rsid w:val="001C7CB4"/>
    <w:rsid w:val="001C7CD1"/>
    <w:rsid w:val="001C7CD4"/>
    <w:rsid w:val="001C7D24"/>
    <w:rsid w:val="001C7D25"/>
    <w:rsid w:val="001C7D58"/>
    <w:rsid w:val="001C7D79"/>
    <w:rsid w:val="001C7D91"/>
    <w:rsid w:val="001C7DDD"/>
    <w:rsid w:val="001C7DFD"/>
    <w:rsid w:val="001C7E09"/>
    <w:rsid w:val="001C7E0C"/>
    <w:rsid w:val="001C7E0F"/>
    <w:rsid w:val="001C7E14"/>
    <w:rsid w:val="001C7E69"/>
    <w:rsid w:val="001C7E97"/>
    <w:rsid w:val="001C7EAE"/>
    <w:rsid w:val="001C7EF6"/>
    <w:rsid w:val="001C7F67"/>
    <w:rsid w:val="001C7F88"/>
    <w:rsid w:val="001C7F94"/>
    <w:rsid w:val="001C7FAF"/>
    <w:rsid w:val="001D0009"/>
    <w:rsid w:val="001D00D6"/>
    <w:rsid w:val="001D00F2"/>
    <w:rsid w:val="001D0108"/>
    <w:rsid w:val="001D014D"/>
    <w:rsid w:val="001D0173"/>
    <w:rsid w:val="001D0198"/>
    <w:rsid w:val="001D01BE"/>
    <w:rsid w:val="001D020C"/>
    <w:rsid w:val="001D029D"/>
    <w:rsid w:val="001D02BA"/>
    <w:rsid w:val="001D02C6"/>
    <w:rsid w:val="001D0309"/>
    <w:rsid w:val="001D0322"/>
    <w:rsid w:val="001D0323"/>
    <w:rsid w:val="001D0326"/>
    <w:rsid w:val="001D0349"/>
    <w:rsid w:val="001D0362"/>
    <w:rsid w:val="001D0391"/>
    <w:rsid w:val="001D03C6"/>
    <w:rsid w:val="001D03D8"/>
    <w:rsid w:val="001D03DB"/>
    <w:rsid w:val="001D0406"/>
    <w:rsid w:val="001D0487"/>
    <w:rsid w:val="001D0496"/>
    <w:rsid w:val="001D04C1"/>
    <w:rsid w:val="001D0552"/>
    <w:rsid w:val="001D055C"/>
    <w:rsid w:val="001D0560"/>
    <w:rsid w:val="001D05C3"/>
    <w:rsid w:val="001D0658"/>
    <w:rsid w:val="001D069C"/>
    <w:rsid w:val="001D06AF"/>
    <w:rsid w:val="001D06F3"/>
    <w:rsid w:val="001D0753"/>
    <w:rsid w:val="001D0778"/>
    <w:rsid w:val="001D077C"/>
    <w:rsid w:val="001D07A8"/>
    <w:rsid w:val="001D07DB"/>
    <w:rsid w:val="001D081B"/>
    <w:rsid w:val="001D082A"/>
    <w:rsid w:val="001D0872"/>
    <w:rsid w:val="001D08B9"/>
    <w:rsid w:val="001D090D"/>
    <w:rsid w:val="001D0984"/>
    <w:rsid w:val="001D09AC"/>
    <w:rsid w:val="001D09F5"/>
    <w:rsid w:val="001D0A10"/>
    <w:rsid w:val="001D0A44"/>
    <w:rsid w:val="001D0AA6"/>
    <w:rsid w:val="001D0B30"/>
    <w:rsid w:val="001D0BBA"/>
    <w:rsid w:val="001D0BFA"/>
    <w:rsid w:val="001D0C2A"/>
    <w:rsid w:val="001D0C2E"/>
    <w:rsid w:val="001D0C2F"/>
    <w:rsid w:val="001D0C45"/>
    <w:rsid w:val="001D0C4D"/>
    <w:rsid w:val="001D0C57"/>
    <w:rsid w:val="001D0C9C"/>
    <w:rsid w:val="001D0CBC"/>
    <w:rsid w:val="001D0D3C"/>
    <w:rsid w:val="001D0D61"/>
    <w:rsid w:val="001D0D6F"/>
    <w:rsid w:val="001D0D87"/>
    <w:rsid w:val="001D0DA4"/>
    <w:rsid w:val="001D0DAC"/>
    <w:rsid w:val="001D0DB8"/>
    <w:rsid w:val="001D0DCD"/>
    <w:rsid w:val="001D0DD5"/>
    <w:rsid w:val="001D0E2C"/>
    <w:rsid w:val="001D0E79"/>
    <w:rsid w:val="001D0ED9"/>
    <w:rsid w:val="001D0F16"/>
    <w:rsid w:val="001D0F24"/>
    <w:rsid w:val="001D0F27"/>
    <w:rsid w:val="001D0F4F"/>
    <w:rsid w:val="001D0FB2"/>
    <w:rsid w:val="001D100E"/>
    <w:rsid w:val="001D1015"/>
    <w:rsid w:val="001D1025"/>
    <w:rsid w:val="001D1053"/>
    <w:rsid w:val="001D1058"/>
    <w:rsid w:val="001D107C"/>
    <w:rsid w:val="001D109D"/>
    <w:rsid w:val="001D10A7"/>
    <w:rsid w:val="001D110D"/>
    <w:rsid w:val="001D1125"/>
    <w:rsid w:val="001D1160"/>
    <w:rsid w:val="001D11E4"/>
    <w:rsid w:val="001D11F0"/>
    <w:rsid w:val="001D1208"/>
    <w:rsid w:val="001D122A"/>
    <w:rsid w:val="001D12E1"/>
    <w:rsid w:val="001D12E4"/>
    <w:rsid w:val="001D1360"/>
    <w:rsid w:val="001D1389"/>
    <w:rsid w:val="001D139E"/>
    <w:rsid w:val="001D13AC"/>
    <w:rsid w:val="001D13C9"/>
    <w:rsid w:val="001D1430"/>
    <w:rsid w:val="001D14EE"/>
    <w:rsid w:val="001D155A"/>
    <w:rsid w:val="001D159D"/>
    <w:rsid w:val="001D15AD"/>
    <w:rsid w:val="001D15C2"/>
    <w:rsid w:val="001D15E5"/>
    <w:rsid w:val="001D15F4"/>
    <w:rsid w:val="001D1615"/>
    <w:rsid w:val="001D1617"/>
    <w:rsid w:val="001D1637"/>
    <w:rsid w:val="001D1651"/>
    <w:rsid w:val="001D16A4"/>
    <w:rsid w:val="001D16BA"/>
    <w:rsid w:val="001D16E5"/>
    <w:rsid w:val="001D1718"/>
    <w:rsid w:val="001D1747"/>
    <w:rsid w:val="001D1770"/>
    <w:rsid w:val="001D179E"/>
    <w:rsid w:val="001D17BE"/>
    <w:rsid w:val="001D17C7"/>
    <w:rsid w:val="001D1813"/>
    <w:rsid w:val="001D18EB"/>
    <w:rsid w:val="001D194C"/>
    <w:rsid w:val="001D194F"/>
    <w:rsid w:val="001D1A1D"/>
    <w:rsid w:val="001D1A37"/>
    <w:rsid w:val="001D1A93"/>
    <w:rsid w:val="001D1AEF"/>
    <w:rsid w:val="001D1AF8"/>
    <w:rsid w:val="001D1B23"/>
    <w:rsid w:val="001D1B32"/>
    <w:rsid w:val="001D1B3E"/>
    <w:rsid w:val="001D1B43"/>
    <w:rsid w:val="001D1B63"/>
    <w:rsid w:val="001D1B89"/>
    <w:rsid w:val="001D1B96"/>
    <w:rsid w:val="001D1BB1"/>
    <w:rsid w:val="001D1BE2"/>
    <w:rsid w:val="001D1C06"/>
    <w:rsid w:val="001D1CA5"/>
    <w:rsid w:val="001D1CBD"/>
    <w:rsid w:val="001D1CBE"/>
    <w:rsid w:val="001D1CDC"/>
    <w:rsid w:val="001D1CEC"/>
    <w:rsid w:val="001D1DA0"/>
    <w:rsid w:val="001D1DA7"/>
    <w:rsid w:val="001D1DA9"/>
    <w:rsid w:val="001D1E00"/>
    <w:rsid w:val="001D1E01"/>
    <w:rsid w:val="001D1E08"/>
    <w:rsid w:val="001D1E9B"/>
    <w:rsid w:val="001D1ECE"/>
    <w:rsid w:val="001D1F02"/>
    <w:rsid w:val="001D1F18"/>
    <w:rsid w:val="001D1F2F"/>
    <w:rsid w:val="001D1F84"/>
    <w:rsid w:val="001D1FA1"/>
    <w:rsid w:val="001D1FA7"/>
    <w:rsid w:val="001D2006"/>
    <w:rsid w:val="001D205B"/>
    <w:rsid w:val="001D20DC"/>
    <w:rsid w:val="001D21AD"/>
    <w:rsid w:val="001D220D"/>
    <w:rsid w:val="001D2262"/>
    <w:rsid w:val="001D22D7"/>
    <w:rsid w:val="001D230C"/>
    <w:rsid w:val="001D2316"/>
    <w:rsid w:val="001D23D4"/>
    <w:rsid w:val="001D23D7"/>
    <w:rsid w:val="001D23F5"/>
    <w:rsid w:val="001D241A"/>
    <w:rsid w:val="001D241D"/>
    <w:rsid w:val="001D243A"/>
    <w:rsid w:val="001D2442"/>
    <w:rsid w:val="001D249D"/>
    <w:rsid w:val="001D24B8"/>
    <w:rsid w:val="001D259A"/>
    <w:rsid w:val="001D259F"/>
    <w:rsid w:val="001D25C6"/>
    <w:rsid w:val="001D260E"/>
    <w:rsid w:val="001D2655"/>
    <w:rsid w:val="001D2666"/>
    <w:rsid w:val="001D266B"/>
    <w:rsid w:val="001D26AD"/>
    <w:rsid w:val="001D26E9"/>
    <w:rsid w:val="001D277C"/>
    <w:rsid w:val="001D2786"/>
    <w:rsid w:val="001D286E"/>
    <w:rsid w:val="001D287E"/>
    <w:rsid w:val="001D28A1"/>
    <w:rsid w:val="001D28ED"/>
    <w:rsid w:val="001D2909"/>
    <w:rsid w:val="001D297B"/>
    <w:rsid w:val="001D297F"/>
    <w:rsid w:val="001D2987"/>
    <w:rsid w:val="001D29A6"/>
    <w:rsid w:val="001D29C5"/>
    <w:rsid w:val="001D29D3"/>
    <w:rsid w:val="001D2A62"/>
    <w:rsid w:val="001D2A7E"/>
    <w:rsid w:val="001D2A98"/>
    <w:rsid w:val="001D2AAE"/>
    <w:rsid w:val="001D2B30"/>
    <w:rsid w:val="001D2B31"/>
    <w:rsid w:val="001D2B32"/>
    <w:rsid w:val="001D2B3B"/>
    <w:rsid w:val="001D2B68"/>
    <w:rsid w:val="001D2B72"/>
    <w:rsid w:val="001D2B93"/>
    <w:rsid w:val="001D2BFB"/>
    <w:rsid w:val="001D2C01"/>
    <w:rsid w:val="001D2C41"/>
    <w:rsid w:val="001D2C4B"/>
    <w:rsid w:val="001D2C80"/>
    <w:rsid w:val="001D2CAF"/>
    <w:rsid w:val="001D2CB6"/>
    <w:rsid w:val="001D2CCA"/>
    <w:rsid w:val="001D2CF2"/>
    <w:rsid w:val="001D2CF9"/>
    <w:rsid w:val="001D2D34"/>
    <w:rsid w:val="001D2D83"/>
    <w:rsid w:val="001D2DB8"/>
    <w:rsid w:val="001D2DD0"/>
    <w:rsid w:val="001D2DD8"/>
    <w:rsid w:val="001D2DDD"/>
    <w:rsid w:val="001D2E50"/>
    <w:rsid w:val="001D2E70"/>
    <w:rsid w:val="001D2E8C"/>
    <w:rsid w:val="001D2E91"/>
    <w:rsid w:val="001D2E9D"/>
    <w:rsid w:val="001D2F36"/>
    <w:rsid w:val="001D2F3A"/>
    <w:rsid w:val="001D2F58"/>
    <w:rsid w:val="001D2F7F"/>
    <w:rsid w:val="001D2F9F"/>
    <w:rsid w:val="001D2FC2"/>
    <w:rsid w:val="001D2FDE"/>
    <w:rsid w:val="001D3053"/>
    <w:rsid w:val="001D3096"/>
    <w:rsid w:val="001D30D2"/>
    <w:rsid w:val="001D30EE"/>
    <w:rsid w:val="001D311B"/>
    <w:rsid w:val="001D314D"/>
    <w:rsid w:val="001D316B"/>
    <w:rsid w:val="001D319A"/>
    <w:rsid w:val="001D31BA"/>
    <w:rsid w:val="001D31DD"/>
    <w:rsid w:val="001D3210"/>
    <w:rsid w:val="001D321E"/>
    <w:rsid w:val="001D327E"/>
    <w:rsid w:val="001D3287"/>
    <w:rsid w:val="001D32CF"/>
    <w:rsid w:val="001D3302"/>
    <w:rsid w:val="001D332D"/>
    <w:rsid w:val="001D335B"/>
    <w:rsid w:val="001D33E6"/>
    <w:rsid w:val="001D33EC"/>
    <w:rsid w:val="001D33FC"/>
    <w:rsid w:val="001D340E"/>
    <w:rsid w:val="001D3455"/>
    <w:rsid w:val="001D34A4"/>
    <w:rsid w:val="001D34FF"/>
    <w:rsid w:val="001D3564"/>
    <w:rsid w:val="001D35A6"/>
    <w:rsid w:val="001D35B4"/>
    <w:rsid w:val="001D35BA"/>
    <w:rsid w:val="001D35F0"/>
    <w:rsid w:val="001D361A"/>
    <w:rsid w:val="001D365E"/>
    <w:rsid w:val="001D367E"/>
    <w:rsid w:val="001D36B0"/>
    <w:rsid w:val="001D36BD"/>
    <w:rsid w:val="001D3704"/>
    <w:rsid w:val="001D3706"/>
    <w:rsid w:val="001D3766"/>
    <w:rsid w:val="001D377B"/>
    <w:rsid w:val="001D3783"/>
    <w:rsid w:val="001D3794"/>
    <w:rsid w:val="001D37C0"/>
    <w:rsid w:val="001D37CE"/>
    <w:rsid w:val="001D37FC"/>
    <w:rsid w:val="001D388B"/>
    <w:rsid w:val="001D3899"/>
    <w:rsid w:val="001D3967"/>
    <w:rsid w:val="001D3975"/>
    <w:rsid w:val="001D39A1"/>
    <w:rsid w:val="001D39D6"/>
    <w:rsid w:val="001D39EF"/>
    <w:rsid w:val="001D39FC"/>
    <w:rsid w:val="001D3A0B"/>
    <w:rsid w:val="001D3A79"/>
    <w:rsid w:val="001D3B38"/>
    <w:rsid w:val="001D3B80"/>
    <w:rsid w:val="001D3BAA"/>
    <w:rsid w:val="001D3BDD"/>
    <w:rsid w:val="001D3BEB"/>
    <w:rsid w:val="001D3C5E"/>
    <w:rsid w:val="001D3C6F"/>
    <w:rsid w:val="001D3C7C"/>
    <w:rsid w:val="001D3C7D"/>
    <w:rsid w:val="001D3C95"/>
    <w:rsid w:val="001D3CC4"/>
    <w:rsid w:val="001D3D11"/>
    <w:rsid w:val="001D3D20"/>
    <w:rsid w:val="001D3D27"/>
    <w:rsid w:val="001D3D39"/>
    <w:rsid w:val="001D3D51"/>
    <w:rsid w:val="001D3D56"/>
    <w:rsid w:val="001D3D6C"/>
    <w:rsid w:val="001D3DA1"/>
    <w:rsid w:val="001D3DCA"/>
    <w:rsid w:val="001D3DCF"/>
    <w:rsid w:val="001D3DE0"/>
    <w:rsid w:val="001D3DF3"/>
    <w:rsid w:val="001D3E10"/>
    <w:rsid w:val="001D3E29"/>
    <w:rsid w:val="001D3EFB"/>
    <w:rsid w:val="001D3F04"/>
    <w:rsid w:val="001D3F19"/>
    <w:rsid w:val="001D3F23"/>
    <w:rsid w:val="001D3F4F"/>
    <w:rsid w:val="001D3FBD"/>
    <w:rsid w:val="001D3FBE"/>
    <w:rsid w:val="001D4037"/>
    <w:rsid w:val="001D4071"/>
    <w:rsid w:val="001D4072"/>
    <w:rsid w:val="001D408D"/>
    <w:rsid w:val="001D40E8"/>
    <w:rsid w:val="001D4164"/>
    <w:rsid w:val="001D41A1"/>
    <w:rsid w:val="001D4227"/>
    <w:rsid w:val="001D429B"/>
    <w:rsid w:val="001D42EF"/>
    <w:rsid w:val="001D430E"/>
    <w:rsid w:val="001D4368"/>
    <w:rsid w:val="001D436C"/>
    <w:rsid w:val="001D4387"/>
    <w:rsid w:val="001D43B9"/>
    <w:rsid w:val="001D43D8"/>
    <w:rsid w:val="001D443B"/>
    <w:rsid w:val="001D44D2"/>
    <w:rsid w:val="001D44EF"/>
    <w:rsid w:val="001D4506"/>
    <w:rsid w:val="001D4562"/>
    <w:rsid w:val="001D45BA"/>
    <w:rsid w:val="001D45C5"/>
    <w:rsid w:val="001D45E2"/>
    <w:rsid w:val="001D461F"/>
    <w:rsid w:val="001D462F"/>
    <w:rsid w:val="001D4668"/>
    <w:rsid w:val="001D4697"/>
    <w:rsid w:val="001D46A1"/>
    <w:rsid w:val="001D46C7"/>
    <w:rsid w:val="001D46EA"/>
    <w:rsid w:val="001D4763"/>
    <w:rsid w:val="001D47ED"/>
    <w:rsid w:val="001D47F2"/>
    <w:rsid w:val="001D483F"/>
    <w:rsid w:val="001D4847"/>
    <w:rsid w:val="001D48B7"/>
    <w:rsid w:val="001D48C1"/>
    <w:rsid w:val="001D48C9"/>
    <w:rsid w:val="001D48D5"/>
    <w:rsid w:val="001D48F0"/>
    <w:rsid w:val="001D4942"/>
    <w:rsid w:val="001D4987"/>
    <w:rsid w:val="001D49ED"/>
    <w:rsid w:val="001D4A03"/>
    <w:rsid w:val="001D4A23"/>
    <w:rsid w:val="001D4A4D"/>
    <w:rsid w:val="001D4AB9"/>
    <w:rsid w:val="001D4AD7"/>
    <w:rsid w:val="001D4B70"/>
    <w:rsid w:val="001D4BA7"/>
    <w:rsid w:val="001D4BAB"/>
    <w:rsid w:val="001D4BF1"/>
    <w:rsid w:val="001D4C04"/>
    <w:rsid w:val="001D4C35"/>
    <w:rsid w:val="001D4C63"/>
    <w:rsid w:val="001D4C69"/>
    <w:rsid w:val="001D4C6C"/>
    <w:rsid w:val="001D4CB3"/>
    <w:rsid w:val="001D4D2F"/>
    <w:rsid w:val="001D4D3C"/>
    <w:rsid w:val="001D4D8F"/>
    <w:rsid w:val="001D4DA1"/>
    <w:rsid w:val="001D4DA6"/>
    <w:rsid w:val="001D4DAD"/>
    <w:rsid w:val="001D4E54"/>
    <w:rsid w:val="001D4E7C"/>
    <w:rsid w:val="001D4E82"/>
    <w:rsid w:val="001D4EA9"/>
    <w:rsid w:val="001D4EBD"/>
    <w:rsid w:val="001D4EC3"/>
    <w:rsid w:val="001D4EDA"/>
    <w:rsid w:val="001D4EF7"/>
    <w:rsid w:val="001D4F30"/>
    <w:rsid w:val="001D4FE2"/>
    <w:rsid w:val="001D4FE6"/>
    <w:rsid w:val="001D4FED"/>
    <w:rsid w:val="001D5022"/>
    <w:rsid w:val="001D509F"/>
    <w:rsid w:val="001D50CB"/>
    <w:rsid w:val="001D50F3"/>
    <w:rsid w:val="001D5124"/>
    <w:rsid w:val="001D513A"/>
    <w:rsid w:val="001D5155"/>
    <w:rsid w:val="001D51E4"/>
    <w:rsid w:val="001D51F0"/>
    <w:rsid w:val="001D51F2"/>
    <w:rsid w:val="001D5203"/>
    <w:rsid w:val="001D521A"/>
    <w:rsid w:val="001D5248"/>
    <w:rsid w:val="001D52A3"/>
    <w:rsid w:val="001D531D"/>
    <w:rsid w:val="001D532F"/>
    <w:rsid w:val="001D5397"/>
    <w:rsid w:val="001D53A2"/>
    <w:rsid w:val="001D53B5"/>
    <w:rsid w:val="001D53B8"/>
    <w:rsid w:val="001D53D0"/>
    <w:rsid w:val="001D53F3"/>
    <w:rsid w:val="001D5428"/>
    <w:rsid w:val="001D542F"/>
    <w:rsid w:val="001D544C"/>
    <w:rsid w:val="001D5451"/>
    <w:rsid w:val="001D54AD"/>
    <w:rsid w:val="001D54AE"/>
    <w:rsid w:val="001D54C5"/>
    <w:rsid w:val="001D54C6"/>
    <w:rsid w:val="001D551E"/>
    <w:rsid w:val="001D555E"/>
    <w:rsid w:val="001D55D4"/>
    <w:rsid w:val="001D5622"/>
    <w:rsid w:val="001D563C"/>
    <w:rsid w:val="001D5644"/>
    <w:rsid w:val="001D5658"/>
    <w:rsid w:val="001D5680"/>
    <w:rsid w:val="001D5686"/>
    <w:rsid w:val="001D569C"/>
    <w:rsid w:val="001D56A8"/>
    <w:rsid w:val="001D56B9"/>
    <w:rsid w:val="001D56D2"/>
    <w:rsid w:val="001D5703"/>
    <w:rsid w:val="001D5707"/>
    <w:rsid w:val="001D5726"/>
    <w:rsid w:val="001D5737"/>
    <w:rsid w:val="001D5738"/>
    <w:rsid w:val="001D573E"/>
    <w:rsid w:val="001D5741"/>
    <w:rsid w:val="001D576F"/>
    <w:rsid w:val="001D578E"/>
    <w:rsid w:val="001D57C3"/>
    <w:rsid w:val="001D57E8"/>
    <w:rsid w:val="001D57EB"/>
    <w:rsid w:val="001D5818"/>
    <w:rsid w:val="001D583B"/>
    <w:rsid w:val="001D583F"/>
    <w:rsid w:val="001D587B"/>
    <w:rsid w:val="001D5888"/>
    <w:rsid w:val="001D5922"/>
    <w:rsid w:val="001D59B2"/>
    <w:rsid w:val="001D59BE"/>
    <w:rsid w:val="001D59F4"/>
    <w:rsid w:val="001D5A5F"/>
    <w:rsid w:val="001D5AA3"/>
    <w:rsid w:val="001D5AD0"/>
    <w:rsid w:val="001D5B18"/>
    <w:rsid w:val="001D5B27"/>
    <w:rsid w:val="001D5B2C"/>
    <w:rsid w:val="001D5B36"/>
    <w:rsid w:val="001D5B3E"/>
    <w:rsid w:val="001D5B8E"/>
    <w:rsid w:val="001D5BAD"/>
    <w:rsid w:val="001D5BE8"/>
    <w:rsid w:val="001D5CE8"/>
    <w:rsid w:val="001D5D10"/>
    <w:rsid w:val="001D5D2A"/>
    <w:rsid w:val="001D5DB6"/>
    <w:rsid w:val="001D5E2F"/>
    <w:rsid w:val="001D5E72"/>
    <w:rsid w:val="001D5EE0"/>
    <w:rsid w:val="001D5F15"/>
    <w:rsid w:val="001D5F45"/>
    <w:rsid w:val="001D5F57"/>
    <w:rsid w:val="001D5F6F"/>
    <w:rsid w:val="001D5FDC"/>
    <w:rsid w:val="001D6004"/>
    <w:rsid w:val="001D6096"/>
    <w:rsid w:val="001D60DD"/>
    <w:rsid w:val="001D60FC"/>
    <w:rsid w:val="001D6135"/>
    <w:rsid w:val="001D6177"/>
    <w:rsid w:val="001D6208"/>
    <w:rsid w:val="001D6218"/>
    <w:rsid w:val="001D621D"/>
    <w:rsid w:val="001D6249"/>
    <w:rsid w:val="001D626C"/>
    <w:rsid w:val="001D627D"/>
    <w:rsid w:val="001D6281"/>
    <w:rsid w:val="001D628A"/>
    <w:rsid w:val="001D6345"/>
    <w:rsid w:val="001D634A"/>
    <w:rsid w:val="001D6381"/>
    <w:rsid w:val="001D63A1"/>
    <w:rsid w:val="001D63AE"/>
    <w:rsid w:val="001D63C2"/>
    <w:rsid w:val="001D63C4"/>
    <w:rsid w:val="001D63E0"/>
    <w:rsid w:val="001D63F0"/>
    <w:rsid w:val="001D63FE"/>
    <w:rsid w:val="001D6434"/>
    <w:rsid w:val="001D6449"/>
    <w:rsid w:val="001D644A"/>
    <w:rsid w:val="001D649B"/>
    <w:rsid w:val="001D6503"/>
    <w:rsid w:val="001D6505"/>
    <w:rsid w:val="001D6536"/>
    <w:rsid w:val="001D6545"/>
    <w:rsid w:val="001D6584"/>
    <w:rsid w:val="001D65A4"/>
    <w:rsid w:val="001D65A7"/>
    <w:rsid w:val="001D65C3"/>
    <w:rsid w:val="001D65CE"/>
    <w:rsid w:val="001D6607"/>
    <w:rsid w:val="001D6648"/>
    <w:rsid w:val="001D66C2"/>
    <w:rsid w:val="001D66CD"/>
    <w:rsid w:val="001D6702"/>
    <w:rsid w:val="001D673B"/>
    <w:rsid w:val="001D675B"/>
    <w:rsid w:val="001D6816"/>
    <w:rsid w:val="001D682D"/>
    <w:rsid w:val="001D6854"/>
    <w:rsid w:val="001D6892"/>
    <w:rsid w:val="001D68CF"/>
    <w:rsid w:val="001D6912"/>
    <w:rsid w:val="001D6984"/>
    <w:rsid w:val="001D698C"/>
    <w:rsid w:val="001D69A2"/>
    <w:rsid w:val="001D69A9"/>
    <w:rsid w:val="001D6A95"/>
    <w:rsid w:val="001D6A9B"/>
    <w:rsid w:val="001D6AEC"/>
    <w:rsid w:val="001D6B4D"/>
    <w:rsid w:val="001D6B60"/>
    <w:rsid w:val="001D6BB9"/>
    <w:rsid w:val="001D6BD1"/>
    <w:rsid w:val="001D6C06"/>
    <w:rsid w:val="001D6C1A"/>
    <w:rsid w:val="001D6CDC"/>
    <w:rsid w:val="001D6D6C"/>
    <w:rsid w:val="001D6D71"/>
    <w:rsid w:val="001D6DA0"/>
    <w:rsid w:val="001D6E0D"/>
    <w:rsid w:val="001D6E19"/>
    <w:rsid w:val="001D6E56"/>
    <w:rsid w:val="001D6E74"/>
    <w:rsid w:val="001D6EF0"/>
    <w:rsid w:val="001D6F12"/>
    <w:rsid w:val="001D6F4C"/>
    <w:rsid w:val="001D6F4F"/>
    <w:rsid w:val="001D6F5E"/>
    <w:rsid w:val="001D6F68"/>
    <w:rsid w:val="001D6F7C"/>
    <w:rsid w:val="001D6F94"/>
    <w:rsid w:val="001D6FD6"/>
    <w:rsid w:val="001D7008"/>
    <w:rsid w:val="001D70A9"/>
    <w:rsid w:val="001D70AF"/>
    <w:rsid w:val="001D7212"/>
    <w:rsid w:val="001D7223"/>
    <w:rsid w:val="001D7306"/>
    <w:rsid w:val="001D7313"/>
    <w:rsid w:val="001D732C"/>
    <w:rsid w:val="001D7353"/>
    <w:rsid w:val="001D7372"/>
    <w:rsid w:val="001D737D"/>
    <w:rsid w:val="001D738C"/>
    <w:rsid w:val="001D73CD"/>
    <w:rsid w:val="001D73FC"/>
    <w:rsid w:val="001D7481"/>
    <w:rsid w:val="001D74DD"/>
    <w:rsid w:val="001D74E7"/>
    <w:rsid w:val="001D7574"/>
    <w:rsid w:val="001D75A7"/>
    <w:rsid w:val="001D75C1"/>
    <w:rsid w:val="001D75D2"/>
    <w:rsid w:val="001D75DA"/>
    <w:rsid w:val="001D7601"/>
    <w:rsid w:val="001D7602"/>
    <w:rsid w:val="001D7618"/>
    <w:rsid w:val="001D7632"/>
    <w:rsid w:val="001D7648"/>
    <w:rsid w:val="001D7667"/>
    <w:rsid w:val="001D7669"/>
    <w:rsid w:val="001D766F"/>
    <w:rsid w:val="001D7688"/>
    <w:rsid w:val="001D76B2"/>
    <w:rsid w:val="001D76BE"/>
    <w:rsid w:val="001D76DE"/>
    <w:rsid w:val="001D76F1"/>
    <w:rsid w:val="001D76FC"/>
    <w:rsid w:val="001D7728"/>
    <w:rsid w:val="001D77BC"/>
    <w:rsid w:val="001D77D0"/>
    <w:rsid w:val="001D7805"/>
    <w:rsid w:val="001D7847"/>
    <w:rsid w:val="001D785D"/>
    <w:rsid w:val="001D786B"/>
    <w:rsid w:val="001D78D5"/>
    <w:rsid w:val="001D796C"/>
    <w:rsid w:val="001D7A23"/>
    <w:rsid w:val="001D7BB1"/>
    <w:rsid w:val="001D7BB2"/>
    <w:rsid w:val="001D7BFD"/>
    <w:rsid w:val="001D7C0B"/>
    <w:rsid w:val="001D7C4D"/>
    <w:rsid w:val="001D7C6F"/>
    <w:rsid w:val="001D7CEC"/>
    <w:rsid w:val="001D7D1E"/>
    <w:rsid w:val="001D7D4D"/>
    <w:rsid w:val="001D7D92"/>
    <w:rsid w:val="001D7DA5"/>
    <w:rsid w:val="001D7DB1"/>
    <w:rsid w:val="001D7DF8"/>
    <w:rsid w:val="001D7E56"/>
    <w:rsid w:val="001D7E74"/>
    <w:rsid w:val="001D7E9A"/>
    <w:rsid w:val="001D7EA5"/>
    <w:rsid w:val="001D7EA9"/>
    <w:rsid w:val="001D7EE3"/>
    <w:rsid w:val="001D7F39"/>
    <w:rsid w:val="001D7F92"/>
    <w:rsid w:val="001D7FAE"/>
    <w:rsid w:val="001D7FF6"/>
    <w:rsid w:val="001D7FFA"/>
    <w:rsid w:val="001E0006"/>
    <w:rsid w:val="001E0028"/>
    <w:rsid w:val="001E00AD"/>
    <w:rsid w:val="001E00D0"/>
    <w:rsid w:val="001E00DB"/>
    <w:rsid w:val="001E0170"/>
    <w:rsid w:val="001E0183"/>
    <w:rsid w:val="001E0205"/>
    <w:rsid w:val="001E0236"/>
    <w:rsid w:val="001E0274"/>
    <w:rsid w:val="001E027E"/>
    <w:rsid w:val="001E030B"/>
    <w:rsid w:val="001E03AB"/>
    <w:rsid w:val="001E03BF"/>
    <w:rsid w:val="001E03CD"/>
    <w:rsid w:val="001E03D6"/>
    <w:rsid w:val="001E03EE"/>
    <w:rsid w:val="001E0442"/>
    <w:rsid w:val="001E04D8"/>
    <w:rsid w:val="001E0525"/>
    <w:rsid w:val="001E0539"/>
    <w:rsid w:val="001E0573"/>
    <w:rsid w:val="001E0593"/>
    <w:rsid w:val="001E059F"/>
    <w:rsid w:val="001E05C6"/>
    <w:rsid w:val="001E05D0"/>
    <w:rsid w:val="001E05D7"/>
    <w:rsid w:val="001E05DE"/>
    <w:rsid w:val="001E061D"/>
    <w:rsid w:val="001E062A"/>
    <w:rsid w:val="001E0640"/>
    <w:rsid w:val="001E0649"/>
    <w:rsid w:val="001E064A"/>
    <w:rsid w:val="001E0658"/>
    <w:rsid w:val="001E06DC"/>
    <w:rsid w:val="001E06FD"/>
    <w:rsid w:val="001E0791"/>
    <w:rsid w:val="001E07B1"/>
    <w:rsid w:val="001E07C2"/>
    <w:rsid w:val="001E07EA"/>
    <w:rsid w:val="001E07EE"/>
    <w:rsid w:val="001E081C"/>
    <w:rsid w:val="001E0830"/>
    <w:rsid w:val="001E086B"/>
    <w:rsid w:val="001E08D7"/>
    <w:rsid w:val="001E0952"/>
    <w:rsid w:val="001E0958"/>
    <w:rsid w:val="001E096F"/>
    <w:rsid w:val="001E097D"/>
    <w:rsid w:val="001E0982"/>
    <w:rsid w:val="001E09AC"/>
    <w:rsid w:val="001E0A73"/>
    <w:rsid w:val="001E0A98"/>
    <w:rsid w:val="001E0AAA"/>
    <w:rsid w:val="001E0AC6"/>
    <w:rsid w:val="001E0AF6"/>
    <w:rsid w:val="001E0AFA"/>
    <w:rsid w:val="001E0B3E"/>
    <w:rsid w:val="001E0B77"/>
    <w:rsid w:val="001E0B7B"/>
    <w:rsid w:val="001E0B98"/>
    <w:rsid w:val="001E0BFB"/>
    <w:rsid w:val="001E0C63"/>
    <w:rsid w:val="001E0CB1"/>
    <w:rsid w:val="001E0CBB"/>
    <w:rsid w:val="001E0CFD"/>
    <w:rsid w:val="001E0D64"/>
    <w:rsid w:val="001E0D88"/>
    <w:rsid w:val="001E0D90"/>
    <w:rsid w:val="001E0E44"/>
    <w:rsid w:val="001E0EC8"/>
    <w:rsid w:val="001E0F56"/>
    <w:rsid w:val="001E0F5A"/>
    <w:rsid w:val="001E104D"/>
    <w:rsid w:val="001E1078"/>
    <w:rsid w:val="001E10B5"/>
    <w:rsid w:val="001E10C0"/>
    <w:rsid w:val="001E10E2"/>
    <w:rsid w:val="001E115C"/>
    <w:rsid w:val="001E118E"/>
    <w:rsid w:val="001E1197"/>
    <w:rsid w:val="001E11B0"/>
    <w:rsid w:val="001E11D2"/>
    <w:rsid w:val="001E11E2"/>
    <w:rsid w:val="001E1205"/>
    <w:rsid w:val="001E1223"/>
    <w:rsid w:val="001E1228"/>
    <w:rsid w:val="001E128B"/>
    <w:rsid w:val="001E128F"/>
    <w:rsid w:val="001E12BF"/>
    <w:rsid w:val="001E12D5"/>
    <w:rsid w:val="001E12FF"/>
    <w:rsid w:val="001E1314"/>
    <w:rsid w:val="001E1335"/>
    <w:rsid w:val="001E1363"/>
    <w:rsid w:val="001E1380"/>
    <w:rsid w:val="001E142A"/>
    <w:rsid w:val="001E1440"/>
    <w:rsid w:val="001E1451"/>
    <w:rsid w:val="001E1454"/>
    <w:rsid w:val="001E14C2"/>
    <w:rsid w:val="001E14EB"/>
    <w:rsid w:val="001E152D"/>
    <w:rsid w:val="001E1532"/>
    <w:rsid w:val="001E155A"/>
    <w:rsid w:val="001E1565"/>
    <w:rsid w:val="001E15C7"/>
    <w:rsid w:val="001E15CD"/>
    <w:rsid w:val="001E1642"/>
    <w:rsid w:val="001E1650"/>
    <w:rsid w:val="001E1682"/>
    <w:rsid w:val="001E168A"/>
    <w:rsid w:val="001E16C0"/>
    <w:rsid w:val="001E16F9"/>
    <w:rsid w:val="001E1707"/>
    <w:rsid w:val="001E171C"/>
    <w:rsid w:val="001E1723"/>
    <w:rsid w:val="001E1773"/>
    <w:rsid w:val="001E17A6"/>
    <w:rsid w:val="001E184D"/>
    <w:rsid w:val="001E188D"/>
    <w:rsid w:val="001E188E"/>
    <w:rsid w:val="001E18C9"/>
    <w:rsid w:val="001E18FB"/>
    <w:rsid w:val="001E1987"/>
    <w:rsid w:val="001E198F"/>
    <w:rsid w:val="001E19AB"/>
    <w:rsid w:val="001E19D5"/>
    <w:rsid w:val="001E1AB8"/>
    <w:rsid w:val="001E1B4D"/>
    <w:rsid w:val="001E1B5F"/>
    <w:rsid w:val="001E1B8E"/>
    <w:rsid w:val="001E1B97"/>
    <w:rsid w:val="001E1B9C"/>
    <w:rsid w:val="001E1C0D"/>
    <w:rsid w:val="001E1C34"/>
    <w:rsid w:val="001E1C51"/>
    <w:rsid w:val="001E1C5E"/>
    <w:rsid w:val="001E1C62"/>
    <w:rsid w:val="001E1C6E"/>
    <w:rsid w:val="001E1C9F"/>
    <w:rsid w:val="001E1CA7"/>
    <w:rsid w:val="001E1CCE"/>
    <w:rsid w:val="001E1CD6"/>
    <w:rsid w:val="001E1D16"/>
    <w:rsid w:val="001E1D19"/>
    <w:rsid w:val="001E1D93"/>
    <w:rsid w:val="001E1DD4"/>
    <w:rsid w:val="001E1DED"/>
    <w:rsid w:val="001E1E24"/>
    <w:rsid w:val="001E1E84"/>
    <w:rsid w:val="001E1EB5"/>
    <w:rsid w:val="001E1EEB"/>
    <w:rsid w:val="001E1F5D"/>
    <w:rsid w:val="001E1F8A"/>
    <w:rsid w:val="001E2012"/>
    <w:rsid w:val="001E2085"/>
    <w:rsid w:val="001E2098"/>
    <w:rsid w:val="001E20DE"/>
    <w:rsid w:val="001E20F0"/>
    <w:rsid w:val="001E2115"/>
    <w:rsid w:val="001E215C"/>
    <w:rsid w:val="001E2186"/>
    <w:rsid w:val="001E21A7"/>
    <w:rsid w:val="001E21B4"/>
    <w:rsid w:val="001E225F"/>
    <w:rsid w:val="001E2275"/>
    <w:rsid w:val="001E22A0"/>
    <w:rsid w:val="001E22A6"/>
    <w:rsid w:val="001E237C"/>
    <w:rsid w:val="001E2383"/>
    <w:rsid w:val="001E2386"/>
    <w:rsid w:val="001E241B"/>
    <w:rsid w:val="001E247A"/>
    <w:rsid w:val="001E2519"/>
    <w:rsid w:val="001E257B"/>
    <w:rsid w:val="001E2590"/>
    <w:rsid w:val="001E25A4"/>
    <w:rsid w:val="001E25DC"/>
    <w:rsid w:val="001E25ED"/>
    <w:rsid w:val="001E25F7"/>
    <w:rsid w:val="001E26BB"/>
    <w:rsid w:val="001E26C3"/>
    <w:rsid w:val="001E26D7"/>
    <w:rsid w:val="001E26F6"/>
    <w:rsid w:val="001E2714"/>
    <w:rsid w:val="001E2739"/>
    <w:rsid w:val="001E2773"/>
    <w:rsid w:val="001E2782"/>
    <w:rsid w:val="001E27AD"/>
    <w:rsid w:val="001E2838"/>
    <w:rsid w:val="001E286F"/>
    <w:rsid w:val="001E2890"/>
    <w:rsid w:val="001E28A8"/>
    <w:rsid w:val="001E28F7"/>
    <w:rsid w:val="001E2913"/>
    <w:rsid w:val="001E2919"/>
    <w:rsid w:val="001E291F"/>
    <w:rsid w:val="001E292F"/>
    <w:rsid w:val="001E2932"/>
    <w:rsid w:val="001E29A3"/>
    <w:rsid w:val="001E29C4"/>
    <w:rsid w:val="001E29D1"/>
    <w:rsid w:val="001E29DF"/>
    <w:rsid w:val="001E2A36"/>
    <w:rsid w:val="001E2A3B"/>
    <w:rsid w:val="001E2AC3"/>
    <w:rsid w:val="001E2AD9"/>
    <w:rsid w:val="001E2AE4"/>
    <w:rsid w:val="001E2AF1"/>
    <w:rsid w:val="001E2B09"/>
    <w:rsid w:val="001E2B75"/>
    <w:rsid w:val="001E2B87"/>
    <w:rsid w:val="001E2BDB"/>
    <w:rsid w:val="001E2BE6"/>
    <w:rsid w:val="001E2C3B"/>
    <w:rsid w:val="001E2C55"/>
    <w:rsid w:val="001E2CF3"/>
    <w:rsid w:val="001E2D1E"/>
    <w:rsid w:val="001E2D40"/>
    <w:rsid w:val="001E2D5B"/>
    <w:rsid w:val="001E2DC1"/>
    <w:rsid w:val="001E2DD7"/>
    <w:rsid w:val="001E2E01"/>
    <w:rsid w:val="001E2E29"/>
    <w:rsid w:val="001E2EB7"/>
    <w:rsid w:val="001E2ECD"/>
    <w:rsid w:val="001E2ED9"/>
    <w:rsid w:val="001E2EE7"/>
    <w:rsid w:val="001E2F5D"/>
    <w:rsid w:val="001E2F76"/>
    <w:rsid w:val="001E2FB7"/>
    <w:rsid w:val="001E2FDD"/>
    <w:rsid w:val="001E3012"/>
    <w:rsid w:val="001E303B"/>
    <w:rsid w:val="001E3043"/>
    <w:rsid w:val="001E305C"/>
    <w:rsid w:val="001E308D"/>
    <w:rsid w:val="001E309B"/>
    <w:rsid w:val="001E30A5"/>
    <w:rsid w:val="001E30C4"/>
    <w:rsid w:val="001E30EA"/>
    <w:rsid w:val="001E30F5"/>
    <w:rsid w:val="001E3154"/>
    <w:rsid w:val="001E317B"/>
    <w:rsid w:val="001E3195"/>
    <w:rsid w:val="001E31A1"/>
    <w:rsid w:val="001E31EC"/>
    <w:rsid w:val="001E3331"/>
    <w:rsid w:val="001E3343"/>
    <w:rsid w:val="001E339A"/>
    <w:rsid w:val="001E33C1"/>
    <w:rsid w:val="001E33C2"/>
    <w:rsid w:val="001E3432"/>
    <w:rsid w:val="001E3484"/>
    <w:rsid w:val="001E3488"/>
    <w:rsid w:val="001E3498"/>
    <w:rsid w:val="001E34A7"/>
    <w:rsid w:val="001E3516"/>
    <w:rsid w:val="001E3548"/>
    <w:rsid w:val="001E359A"/>
    <w:rsid w:val="001E35A4"/>
    <w:rsid w:val="001E35CA"/>
    <w:rsid w:val="001E362F"/>
    <w:rsid w:val="001E369C"/>
    <w:rsid w:val="001E36A2"/>
    <w:rsid w:val="001E3731"/>
    <w:rsid w:val="001E377A"/>
    <w:rsid w:val="001E37BA"/>
    <w:rsid w:val="001E37E3"/>
    <w:rsid w:val="001E3855"/>
    <w:rsid w:val="001E38D9"/>
    <w:rsid w:val="001E395B"/>
    <w:rsid w:val="001E3978"/>
    <w:rsid w:val="001E399C"/>
    <w:rsid w:val="001E3A11"/>
    <w:rsid w:val="001E3AF3"/>
    <w:rsid w:val="001E3AF7"/>
    <w:rsid w:val="001E3B4A"/>
    <w:rsid w:val="001E3B4C"/>
    <w:rsid w:val="001E3B55"/>
    <w:rsid w:val="001E3BDA"/>
    <w:rsid w:val="001E3BFF"/>
    <w:rsid w:val="001E3C17"/>
    <w:rsid w:val="001E3CA6"/>
    <w:rsid w:val="001E3D0F"/>
    <w:rsid w:val="001E3D1E"/>
    <w:rsid w:val="001E3D80"/>
    <w:rsid w:val="001E3D86"/>
    <w:rsid w:val="001E3DC6"/>
    <w:rsid w:val="001E3DE0"/>
    <w:rsid w:val="001E3DF4"/>
    <w:rsid w:val="001E3E16"/>
    <w:rsid w:val="001E3E19"/>
    <w:rsid w:val="001E3E30"/>
    <w:rsid w:val="001E3E64"/>
    <w:rsid w:val="001E3EB2"/>
    <w:rsid w:val="001E3EDF"/>
    <w:rsid w:val="001E3EE6"/>
    <w:rsid w:val="001E3FA2"/>
    <w:rsid w:val="001E3FB4"/>
    <w:rsid w:val="001E3FE5"/>
    <w:rsid w:val="001E3FE8"/>
    <w:rsid w:val="001E401A"/>
    <w:rsid w:val="001E40C1"/>
    <w:rsid w:val="001E40C5"/>
    <w:rsid w:val="001E40E6"/>
    <w:rsid w:val="001E40EA"/>
    <w:rsid w:val="001E410C"/>
    <w:rsid w:val="001E412D"/>
    <w:rsid w:val="001E4146"/>
    <w:rsid w:val="001E4161"/>
    <w:rsid w:val="001E416A"/>
    <w:rsid w:val="001E4173"/>
    <w:rsid w:val="001E41CE"/>
    <w:rsid w:val="001E41E8"/>
    <w:rsid w:val="001E4204"/>
    <w:rsid w:val="001E4222"/>
    <w:rsid w:val="001E425F"/>
    <w:rsid w:val="001E427F"/>
    <w:rsid w:val="001E435C"/>
    <w:rsid w:val="001E440E"/>
    <w:rsid w:val="001E443E"/>
    <w:rsid w:val="001E446B"/>
    <w:rsid w:val="001E448A"/>
    <w:rsid w:val="001E44C3"/>
    <w:rsid w:val="001E44C6"/>
    <w:rsid w:val="001E44CE"/>
    <w:rsid w:val="001E44E5"/>
    <w:rsid w:val="001E4503"/>
    <w:rsid w:val="001E4539"/>
    <w:rsid w:val="001E456D"/>
    <w:rsid w:val="001E459A"/>
    <w:rsid w:val="001E45C0"/>
    <w:rsid w:val="001E45C7"/>
    <w:rsid w:val="001E460A"/>
    <w:rsid w:val="001E463A"/>
    <w:rsid w:val="001E4642"/>
    <w:rsid w:val="001E4685"/>
    <w:rsid w:val="001E46E6"/>
    <w:rsid w:val="001E46F7"/>
    <w:rsid w:val="001E4702"/>
    <w:rsid w:val="001E4722"/>
    <w:rsid w:val="001E475A"/>
    <w:rsid w:val="001E475F"/>
    <w:rsid w:val="001E47B1"/>
    <w:rsid w:val="001E47B4"/>
    <w:rsid w:val="001E4804"/>
    <w:rsid w:val="001E4812"/>
    <w:rsid w:val="001E4845"/>
    <w:rsid w:val="001E4883"/>
    <w:rsid w:val="001E4894"/>
    <w:rsid w:val="001E48A9"/>
    <w:rsid w:val="001E490E"/>
    <w:rsid w:val="001E4938"/>
    <w:rsid w:val="001E493E"/>
    <w:rsid w:val="001E4970"/>
    <w:rsid w:val="001E497C"/>
    <w:rsid w:val="001E4981"/>
    <w:rsid w:val="001E4A2C"/>
    <w:rsid w:val="001E4AB8"/>
    <w:rsid w:val="001E4ACF"/>
    <w:rsid w:val="001E4AD2"/>
    <w:rsid w:val="001E4B62"/>
    <w:rsid w:val="001E4B7A"/>
    <w:rsid w:val="001E4BB5"/>
    <w:rsid w:val="001E4BD6"/>
    <w:rsid w:val="001E4C46"/>
    <w:rsid w:val="001E4CE3"/>
    <w:rsid w:val="001E4D24"/>
    <w:rsid w:val="001E4D68"/>
    <w:rsid w:val="001E4D6B"/>
    <w:rsid w:val="001E4D82"/>
    <w:rsid w:val="001E4D8A"/>
    <w:rsid w:val="001E4DC4"/>
    <w:rsid w:val="001E4DC5"/>
    <w:rsid w:val="001E4DD6"/>
    <w:rsid w:val="001E4DE0"/>
    <w:rsid w:val="001E4E14"/>
    <w:rsid w:val="001E4E59"/>
    <w:rsid w:val="001E4E71"/>
    <w:rsid w:val="001E4EB9"/>
    <w:rsid w:val="001E4ECC"/>
    <w:rsid w:val="001E4ED4"/>
    <w:rsid w:val="001E4F28"/>
    <w:rsid w:val="001E4F29"/>
    <w:rsid w:val="001E4F5F"/>
    <w:rsid w:val="001E5053"/>
    <w:rsid w:val="001E5056"/>
    <w:rsid w:val="001E50B5"/>
    <w:rsid w:val="001E50F8"/>
    <w:rsid w:val="001E517E"/>
    <w:rsid w:val="001E51B5"/>
    <w:rsid w:val="001E51C6"/>
    <w:rsid w:val="001E528E"/>
    <w:rsid w:val="001E536B"/>
    <w:rsid w:val="001E536C"/>
    <w:rsid w:val="001E53F7"/>
    <w:rsid w:val="001E5459"/>
    <w:rsid w:val="001E546E"/>
    <w:rsid w:val="001E5492"/>
    <w:rsid w:val="001E54EF"/>
    <w:rsid w:val="001E5533"/>
    <w:rsid w:val="001E557C"/>
    <w:rsid w:val="001E5581"/>
    <w:rsid w:val="001E55AC"/>
    <w:rsid w:val="001E55BA"/>
    <w:rsid w:val="001E55F8"/>
    <w:rsid w:val="001E5616"/>
    <w:rsid w:val="001E5632"/>
    <w:rsid w:val="001E5639"/>
    <w:rsid w:val="001E56B7"/>
    <w:rsid w:val="001E570F"/>
    <w:rsid w:val="001E5726"/>
    <w:rsid w:val="001E5737"/>
    <w:rsid w:val="001E57CF"/>
    <w:rsid w:val="001E5837"/>
    <w:rsid w:val="001E5858"/>
    <w:rsid w:val="001E5886"/>
    <w:rsid w:val="001E58DD"/>
    <w:rsid w:val="001E58F2"/>
    <w:rsid w:val="001E598B"/>
    <w:rsid w:val="001E59D4"/>
    <w:rsid w:val="001E5A39"/>
    <w:rsid w:val="001E5A6C"/>
    <w:rsid w:val="001E5AFE"/>
    <w:rsid w:val="001E5B05"/>
    <w:rsid w:val="001E5B77"/>
    <w:rsid w:val="001E5BAD"/>
    <w:rsid w:val="001E5BFE"/>
    <w:rsid w:val="001E5C43"/>
    <w:rsid w:val="001E5CB0"/>
    <w:rsid w:val="001E5CDD"/>
    <w:rsid w:val="001E5CF1"/>
    <w:rsid w:val="001E5D27"/>
    <w:rsid w:val="001E5D2D"/>
    <w:rsid w:val="001E5D83"/>
    <w:rsid w:val="001E5D9A"/>
    <w:rsid w:val="001E5E06"/>
    <w:rsid w:val="001E5E0D"/>
    <w:rsid w:val="001E5E39"/>
    <w:rsid w:val="001E5E4D"/>
    <w:rsid w:val="001E5E7A"/>
    <w:rsid w:val="001E5EFC"/>
    <w:rsid w:val="001E5F0D"/>
    <w:rsid w:val="001E606D"/>
    <w:rsid w:val="001E60BD"/>
    <w:rsid w:val="001E60F8"/>
    <w:rsid w:val="001E61AD"/>
    <w:rsid w:val="001E61AE"/>
    <w:rsid w:val="001E61CB"/>
    <w:rsid w:val="001E627A"/>
    <w:rsid w:val="001E6298"/>
    <w:rsid w:val="001E62A0"/>
    <w:rsid w:val="001E6319"/>
    <w:rsid w:val="001E6345"/>
    <w:rsid w:val="001E6362"/>
    <w:rsid w:val="001E63EC"/>
    <w:rsid w:val="001E63F8"/>
    <w:rsid w:val="001E645C"/>
    <w:rsid w:val="001E6465"/>
    <w:rsid w:val="001E646A"/>
    <w:rsid w:val="001E6491"/>
    <w:rsid w:val="001E64B9"/>
    <w:rsid w:val="001E6506"/>
    <w:rsid w:val="001E650C"/>
    <w:rsid w:val="001E653C"/>
    <w:rsid w:val="001E655A"/>
    <w:rsid w:val="001E655D"/>
    <w:rsid w:val="001E657B"/>
    <w:rsid w:val="001E6592"/>
    <w:rsid w:val="001E65ED"/>
    <w:rsid w:val="001E65F9"/>
    <w:rsid w:val="001E6655"/>
    <w:rsid w:val="001E6658"/>
    <w:rsid w:val="001E6694"/>
    <w:rsid w:val="001E66F1"/>
    <w:rsid w:val="001E66F8"/>
    <w:rsid w:val="001E67F3"/>
    <w:rsid w:val="001E6819"/>
    <w:rsid w:val="001E6850"/>
    <w:rsid w:val="001E6851"/>
    <w:rsid w:val="001E685C"/>
    <w:rsid w:val="001E68E5"/>
    <w:rsid w:val="001E6901"/>
    <w:rsid w:val="001E690D"/>
    <w:rsid w:val="001E6931"/>
    <w:rsid w:val="001E693D"/>
    <w:rsid w:val="001E6971"/>
    <w:rsid w:val="001E699E"/>
    <w:rsid w:val="001E6AD5"/>
    <w:rsid w:val="001E6AE7"/>
    <w:rsid w:val="001E6B29"/>
    <w:rsid w:val="001E6B30"/>
    <w:rsid w:val="001E6B7B"/>
    <w:rsid w:val="001E6BA4"/>
    <w:rsid w:val="001E6BC3"/>
    <w:rsid w:val="001E6C4D"/>
    <w:rsid w:val="001E6C9B"/>
    <w:rsid w:val="001E6CCD"/>
    <w:rsid w:val="001E6CDE"/>
    <w:rsid w:val="001E6CF0"/>
    <w:rsid w:val="001E6D42"/>
    <w:rsid w:val="001E6D8F"/>
    <w:rsid w:val="001E6DA7"/>
    <w:rsid w:val="001E6DDD"/>
    <w:rsid w:val="001E6E43"/>
    <w:rsid w:val="001E6E49"/>
    <w:rsid w:val="001E6E5C"/>
    <w:rsid w:val="001E6E89"/>
    <w:rsid w:val="001E6E8D"/>
    <w:rsid w:val="001E6E9D"/>
    <w:rsid w:val="001E6ECB"/>
    <w:rsid w:val="001E6F02"/>
    <w:rsid w:val="001E6F1C"/>
    <w:rsid w:val="001E6FAF"/>
    <w:rsid w:val="001E7057"/>
    <w:rsid w:val="001E7071"/>
    <w:rsid w:val="001E707B"/>
    <w:rsid w:val="001E70C6"/>
    <w:rsid w:val="001E70FB"/>
    <w:rsid w:val="001E714A"/>
    <w:rsid w:val="001E7152"/>
    <w:rsid w:val="001E717C"/>
    <w:rsid w:val="001E718B"/>
    <w:rsid w:val="001E71A1"/>
    <w:rsid w:val="001E72DB"/>
    <w:rsid w:val="001E7324"/>
    <w:rsid w:val="001E732D"/>
    <w:rsid w:val="001E7343"/>
    <w:rsid w:val="001E7344"/>
    <w:rsid w:val="001E7351"/>
    <w:rsid w:val="001E73B1"/>
    <w:rsid w:val="001E73BB"/>
    <w:rsid w:val="001E73DC"/>
    <w:rsid w:val="001E7402"/>
    <w:rsid w:val="001E7416"/>
    <w:rsid w:val="001E747B"/>
    <w:rsid w:val="001E7498"/>
    <w:rsid w:val="001E74AE"/>
    <w:rsid w:val="001E755F"/>
    <w:rsid w:val="001E758C"/>
    <w:rsid w:val="001E75B4"/>
    <w:rsid w:val="001E75B5"/>
    <w:rsid w:val="001E75F3"/>
    <w:rsid w:val="001E7632"/>
    <w:rsid w:val="001E7749"/>
    <w:rsid w:val="001E774F"/>
    <w:rsid w:val="001E7790"/>
    <w:rsid w:val="001E7792"/>
    <w:rsid w:val="001E77BF"/>
    <w:rsid w:val="001E77C7"/>
    <w:rsid w:val="001E77DD"/>
    <w:rsid w:val="001E780B"/>
    <w:rsid w:val="001E7817"/>
    <w:rsid w:val="001E7831"/>
    <w:rsid w:val="001E7847"/>
    <w:rsid w:val="001E7851"/>
    <w:rsid w:val="001E7887"/>
    <w:rsid w:val="001E7890"/>
    <w:rsid w:val="001E78A3"/>
    <w:rsid w:val="001E78BB"/>
    <w:rsid w:val="001E78D0"/>
    <w:rsid w:val="001E78D3"/>
    <w:rsid w:val="001E7932"/>
    <w:rsid w:val="001E7975"/>
    <w:rsid w:val="001E797C"/>
    <w:rsid w:val="001E79AB"/>
    <w:rsid w:val="001E79D5"/>
    <w:rsid w:val="001E79DF"/>
    <w:rsid w:val="001E7A57"/>
    <w:rsid w:val="001E7A6B"/>
    <w:rsid w:val="001E7AB2"/>
    <w:rsid w:val="001E7ACD"/>
    <w:rsid w:val="001E7AE5"/>
    <w:rsid w:val="001E7B32"/>
    <w:rsid w:val="001E7B36"/>
    <w:rsid w:val="001E7B51"/>
    <w:rsid w:val="001E7B69"/>
    <w:rsid w:val="001E7B97"/>
    <w:rsid w:val="001E7BA5"/>
    <w:rsid w:val="001E7BAC"/>
    <w:rsid w:val="001E7BEB"/>
    <w:rsid w:val="001E7C18"/>
    <w:rsid w:val="001E7C39"/>
    <w:rsid w:val="001E7C3C"/>
    <w:rsid w:val="001E7C57"/>
    <w:rsid w:val="001E7C84"/>
    <w:rsid w:val="001E7CD0"/>
    <w:rsid w:val="001E7CE0"/>
    <w:rsid w:val="001E7CE8"/>
    <w:rsid w:val="001E7D06"/>
    <w:rsid w:val="001E7D2F"/>
    <w:rsid w:val="001E7D63"/>
    <w:rsid w:val="001E7D67"/>
    <w:rsid w:val="001E7DCE"/>
    <w:rsid w:val="001E7E09"/>
    <w:rsid w:val="001E7E26"/>
    <w:rsid w:val="001E7E65"/>
    <w:rsid w:val="001E7EAB"/>
    <w:rsid w:val="001E7FA4"/>
    <w:rsid w:val="001F000B"/>
    <w:rsid w:val="001F000D"/>
    <w:rsid w:val="001F0015"/>
    <w:rsid w:val="001F005B"/>
    <w:rsid w:val="001F0091"/>
    <w:rsid w:val="001F009E"/>
    <w:rsid w:val="001F00CA"/>
    <w:rsid w:val="001F00E7"/>
    <w:rsid w:val="001F0121"/>
    <w:rsid w:val="001F013F"/>
    <w:rsid w:val="001F01B2"/>
    <w:rsid w:val="001F01F3"/>
    <w:rsid w:val="001F022E"/>
    <w:rsid w:val="001F0233"/>
    <w:rsid w:val="001F02AC"/>
    <w:rsid w:val="001F02B7"/>
    <w:rsid w:val="001F02C4"/>
    <w:rsid w:val="001F02D9"/>
    <w:rsid w:val="001F02E7"/>
    <w:rsid w:val="001F02EA"/>
    <w:rsid w:val="001F02F9"/>
    <w:rsid w:val="001F0303"/>
    <w:rsid w:val="001F0341"/>
    <w:rsid w:val="001F0348"/>
    <w:rsid w:val="001F03EF"/>
    <w:rsid w:val="001F0425"/>
    <w:rsid w:val="001F0434"/>
    <w:rsid w:val="001F050D"/>
    <w:rsid w:val="001F050F"/>
    <w:rsid w:val="001F0542"/>
    <w:rsid w:val="001F0546"/>
    <w:rsid w:val="001F054A"/>
    <w:rsid w:val="001F0564"/>
    <w:rsid w:val="001F05AC"/>
    <w:rsid w:val="001F064F"/>
    <w:rsid w:val="001F06FF"/>
    <w:rsid w:val="001F0725"/>
    <w:rsid w:val="001F075B"/>
    <w:rsid w:val="001F0766"/>
    <w:rsid w:val="001F0799"/>
    <w:rsid w:val="001F07A9"/>
    <w:rsid w:val="001F07C2"/>
    <w:rsid w:val="001F07F0"/>
    <w:rsid w:val="001F07FD"/>
    <w:rsid w:val="001F0805"/>
    <w:rsid w:val="001F0839"/>
    <w:rsid w:val="001F0896"/>
    <w:rsid w:val="001F08B2"/>
    <w:rsid w:val="001F08DC"/>
    <w:rsid w:val="001F0902"/>
    <w:rsid w:val="001F0936"/>
    <w:rsid w:val="001F0949"/>
    <w:rsid w:val="001F097A"/>
    <w:rsid w:val="001F097E"/>
    <w:rsid w:val="001F0993"/>
    <w:rsid w:val="001F09CF"/>
    <w:rsid w:val="001F09D6"/>
    <w:rsid w:val="001F0B4A"/>
    <w:rsid w:val="001F0BC7"/>
    <w:rsid w:val="001F0BD0"/>
    <w:rsid w:val="001F0BF6"/>
    <w:rsid w:val="001F0C1C"/>
    <w:rsid w:val="001F0C26"/>
    <w:rsid w:val="001F0C2B"/>
    <w:rsid w:val="001F0C80"/>
    <w:rsid w:val="001F0C8C"/>
    <w:rsid w:val="001F0CC4"/>
    <w:rsid w:val="001F0CE8"/>
    <w:rsid w:val="001F0CF6"/>
    <w:rsid w:val="001F0D07"/>
    <w:rsid w:val="001F0D23"/>
    <w:rsid w:val="001F0D38"/>
    <w:rsid w:val="001F0DEF"/>
    <w:rsid w:val="001F0EB4"/>
    <w:rsid w:val="001F0F1E"/>
    <w:rsid w:val="001F0F54"/>
    <w:rsid w:val="001F0F78"/>
    <w:rsid w:val="001F0F7C"/>
    <w:rsid w:val="001F0FA4"/>
    <w:rsid w:val="001F0FAA"/>
    <w:rsid w:val="001F0FB3"/>
    <w:rsid w:val="001F0FF4"/>
    <w:rsid w:val="001F1032"/>
    <w:rsid w:val="001F10A3"/>
    <w:rsid w:val="001F10CB"/>
    <w:rsid w:val="001F1125"/>
    <w:rsid w:val="001F1173"/>
    <w:rsid w:val="001F1192"/>
    <w:rsid w:val="001F11B9"/>
    <w:rsid w:val="001F11E5"/>
    <w:rsid w:val="001F11EF"/>
    <w:rsid w:val="001F11F7"/>
    <w:rsid w:val="001F1207"/>
    <w:rsid w:val="001F1240"/>
    <w:rsid w:val="001F1263"/>
    <w:rsid w:val="001F12BC"/>
    <w:rsid w:val="001F12C2"/>
    <w:rsid w:val="001F1303"/>
    <w:rsid w:val="001F131E"/>
    <w:rsid w:val="001F135A"/>
    <w:rsid w:val="001F136A"/>
    <w:rsid w:val="001F13F4"/>
    <w:rsid w:val="001F143F"/>
    <w:rsid w:val="001F14C1"/>
    <w:rsid w:val="001F14D9"/>
    <w:rsid w:val="001F14F1"/>
    <w:rsid w:val="001F1504"/>
    <w:rsid w:val="001F152F"/>
    <w:rsid w:val="001F1539"/>
    <w:rsid w:val="001F154A"/>
    <w:rsid w:val="001F1583"/>
    <w:rsid w:val="001F1596"/>
    <w:rsid w:val="001F15DF"/>
    <w:rsid w:val="001F15E6"/>
    <w:rsid w:val="001F15E9"/>
    <w:rsid w:val="001F15F2"/>
    <w:rsid w:val="001F15F4"/>
    <w:rsid w:val="001F1626"/>
    <w:rsid w:val="001F166F"/>
    <w:rsid w:val="001F1699"/>
    <w:rsid w:val="001F16A0"/>
    <w:rsid w:val="001F16BF"/>
    <w:rsid w:val="001F16C5"/>
    <w:rsid w:val="001F16DF"/>
    <w:rsid w:val="001F1718"/>
    <w:rsid w:val="001F1743"/>
    <w:rsid w:val="001F175A"/>
    <w:rsid w:val="001F179E"/>
    <w:rsid w:val="001F17DF"/>
    <w:rsid w:val="001F17EA"/>
    <w:rsid w:val="001F17FA"/>
    <w:rsid w:val="001F17FF"/>
    <w:rsid w:val="001F1846"/>
    <w:rsid w:val="001F1877"/>
    <w:rsid w:val="001F1892"/>
    <w:rsid w:val="001F18A2"/>
    <w:rsid w:val="001F1911"/>
    <w:rsid w:val="001F196D"/>
    <w:rsid w:val="001F19A1"/>
    <w:rsid w:val="001F19BE"/>
    <w:rsid w:val="001F19FA"/>
    <w:rsid w:val="001F1A3C"/>
    <w:rsid w:val="001F1B08"/>
    <w:rsid w:val="001F1B77"/>
    <w:rsid w:val="001F1BE7"/>
    <w:rsid w:val="001F1C51"/>
    <w:rsid w:val="001F1C64"/>
    <w:rsid w:val="001F1C9D"/>
    <w:rsid w:val="001F1CA5"/>
    <w:rsid w:val="001F1CBB"/>
    <w:rsid w:val="001F1CC6"/>
    <w:rsid w:val="001F1CE2"/>
    <w:rsid w:val="001F1D2B"/>
    <w:rsid w:val="001F1D38"/>
    <w:rsid w:val="001F1D70"/>
    <w:rsid w:val="001F1D81"/>
    <w:rsid w:val="001F1E2D"/>
    <w:rsid w:val="001F1E33"/>
    <w:rsid w:val="001F1E6C"/>
    <w:rsid w:val="001F1E80"/>
    <w:rsid w:val="001F1ED9"/>
    <w:rsid w:val="001F1F0B"/>
    <w:rsid w:val="001F1F0D"/>
    <w:rsid w:val="001F1F14"/>
    <w:rsid w:val="001F1F1B"/>
    <w:rsid w:val="001F1F47"/>
    <w:rsid w:val="001F1FB9"/>
    <w:rsid w:val="001F205B"/>
    <w:rsid w:val="001F2082"/>
    <w:rsid w:val="001F20AC"/>
    <w:rsid w:val="001F20B7"/>
    <w:rsid w:val="001F20DA"/>
    <w:rsid w:val="001F20F0"/>
    <w:rsid w:val="001F212F"/>
    <w:rsid w:val="001F2139"/>
    <w:rsid w:val="001F2171"/>
    <w:rsid w:val="001F218C"/>
    <w:rsid w:val="001F2191"/>
    <w:rsid w:val="001F2199"/>
    <w:rsid w:val="001F21AB"/>
    <w:rsid w:val="001F21B0"/>
    <w:rsid w:val="001F21B4"/>
    <w:rsid w:val="001F21B6"/>
    <w:rsid w:val="001F21C5"/>
    <w:rsid w:val="001F21D2"/>
    <w:rsid w:val="001F21D7"/>
    <w:rsid w:val="001F21F6"/>
    <w:rsid w:val="001F220E"/>
    <w:rsid w:val="001F224A"/>
    <w:rsid w:val="001F224F"/>
    <w:rsid w:val="001F2293"/>
    <w:rsid w:val="001F229A"/>
    <w:rsid w:val="001F22CE"/>
    <w:rsid w:val="001F22D4"/>
    <w:rsid w:val="001F22DE"/>
    <w:rsid w:val="001F22FF"/>
    <w:rsid w:val="001F230F"/>
    <w:rsid w:val="001F2458"/>
    <w:rsid w:val="001F2493"/>
    <w:rsid w:val="001F24D8"/>
    <w:rsid w:val="001F24DF"/>
    <w:rsid w:val="001F24F2"/>
    <w:rsid w:val="001F254E"/>
    <w:rsid w:val="001F257F"/>
    <w:rsid w:val="001F2591"/>
    <w:rsid w:val="001F2596"/>
    <w:rsid w:val="001F25AB"/>
    <w:rsid w:val="001F2603"/>
    <w:rsid w:val="001F2639"/>
    <w:rsid w:val="001F26D0"/>
    <w:rsid w:val="001F26D1"/>
    <w:rsid w:val="001F273A"/>
    <w:rsid w:val="001F275B"/>
    <w:rsid w:val="001F27C8"/>
    <w:rsid w:val="001F27FB"/>
    <w:rsid w:val="001F283E"/>
    <w:rsid w:val="001F2857"/>
    <w:rsid w:val="001F28D8"/>
    <w:rsid w:val="001F28E3"/>
    <w:rsid w:val="001F2928"/>
    <w:rsid w:val="001F297A"/>
    <w:rsid w:val="001F298D"/>
    <w:rsid w:val="001F29A1"/>
    <w:rsid w:val="001F29CD"/>
    <w:rsid w:val="001F29E2"/>
    <w:rsid w:val="001F29FA"/>
    <w:rsid w:val="001F2A1F"/>
    <w:rsid w:val="001F2A77"/>
    <w:rsid w:val="001F2B2D"/>
    <w:rsid w:val="001F2B3C"/>
    <w:rsid w:val="001F2B7D"/>
    <w:rsid w:val="001F2B92"/>
    <w:rsid w:val="001F2BB1"/>
    <w:rsid w:val="001F2BD1"/>
    <w:rsid w:val="001F2C1D"/>
    <w:rsid w:val="001F2C20"/>
    <w:rsid w:val="001F2C28"/>
    <w:rsid w:val="001F2C54"/>
    <w:rsid w:val="001F2CB3"/>
    <w:rsid w:val="001F2CC3"/>
    <w:rsid w:val="001F2D0F"/>
    <w:rsid w:val="001F2D1E"/>
    <w:rsid w:val="001F2D74"/>
    <w:rsid w:val="001F2DF7"/>
    <w:rsid w:val="001F2E00"/>
    <w:rsid w:val="001F2EC1"/>
    <w:rsid w:val="001F2F42"/>
    <w:rsid w:val="001F2F48"/>
    <w:rsid w:val="001F2F73"/>
    <w:rsid w:val="001F2F93"/>
    <w:rsid w:val="001F2FBC"/>
    <w:rsid w:val="001F3030"/>
    <w:rsid w:val="001F304F"/>
    <w:rsid w:val="001F3085"/>
    <w:rsid w:val="001F3094"/>
    <w:rsid w:val="001F3188"/>
    <w:rsid w:val="001F3202"/>
    <w:rsid w:val="001F3211"/>
    <w:rsid w:val="001F3238"/>
    <w:rsid w:val="001F3291"/>
    <w:rsid w:val="001F3292"/>
    <w:rsid w:val="001F32DA"/>
    <w:rsid w:val="001F3308"/>
    <w:rsid w:val="001F330A"/>
    <w:rsid w:val="001F3314"/>
    <w:rsid w:val="001F3315"/>
    <w:rsid w:val="001F333C"/>
    <w:rsid w:val="001F3391"/>
    <w:rsid w:val="001F3405"/>
    <w:rsid w:val="001F341A"/>
    <w:rsid w:val="001F3450"/>
    <w:rsid w:val="001F3484"/>
    <w:rsid w:val="001F34CA"/>
    <w:rsid w:val="001F3557"/>
    <w:rsid w:val="001F3567"/>
    <w:rsid w:val="001F3582"/>
    <w:rsid w:val="001F3586"/>
    <w:rsid w:val="001F35A7"/>
    <w:rsid w:val="001F35AE"/>
    <w:rsid w:val="001F367D"/>
    <w:rsid w:val="001F36E4"/>
    <w:rsid w:val="001F372D"/>
    <w:rsid w:val="001F377A"/>
    <w:rsid w:val="001F3790"/>
    <w:rsid w:val="001F37D0"/>
    <w:rsid w:val="001F381A"/>
    <w:rsid w:val="001F382F"/>
    <w:rsid w:val="001F3851"/>
    <w:rsid w:val="001F388C"/>
    <w:rsid w:val="001F388D"/>
    <w:rsid w:val="001F389F"/>
    <w:rsid w:val="001F38A4"/>
    <w:rsid w:val="001F38B5"/>
    <w:rsid w:val="001F38BA"/>
    <w:rsid w:val="001F38BE"/>
    <w:rsid w:val="001F391A"/>
    <w:rsid w:val="001F3981"/>
    <w:rsid w:val="001F39A8"/>
    <w:rsid w:val="001F3A60"/>
    <w:rsid w:val="001F3A95"/>
    <w:rsid w:val="001F3ADE"/>
    <w:rsid w:val="001F3B7E"/>
    <w:rsid w:val="001F3BCF"/>
    <w:rsid w:val="001F3BDC"/>
    <w:rsid w:val="001F3C4D"/>
    <w:rsid w:val="001F3C9F"/>
    <w:rsid w:val="001F3CC0"/>
    <w:rsid w:val="001F3CDC"/>
    <w:rsid w:val="001F3D2A"/>
    <w:rsid w:val="001F3D2E"/>
    <w:rsid w:val="001F3D31"/>
    <w:rsid w:val="001F3D37"/>
    <w:rsid w:val="001F3D55"/>
    <w:rsid w:val="001F3D5F"/>
    <w:rsid w:val="001F3D80"/>
    <w:rsid w:val="001F3D8C"/>
    <w:rsid w:val="001F3D90"/>
    <w:rsid w:val="001F3E37"/>
    <w:rsid w:val="001F3E4A"/>
    <w:rsid w:val="001F3E7D"/>
    <w:rsid w:val="001F3E7E"/>
    <w:rsid w:val="001F3EE5"/>
    <w:rsid w:val="001F3F51"/>
    <w:rsid w:val="001F3F55"/>
    <w:rsid w:val="001F3F85"/>
    <w:rsid w:val="001F3FB4"/>
    <w:rsid w:val="001F3FB6"/>
    <w:rsid w:val="001F3FC9"/>
    <w:rsid w:val="001F400F"/>
    <w:rsid w:val="001F4035"/>
    <w:rsid w:val="001F4049"/>
    <w:rsid w:val="001F4115"/>
    <w:rsid w:val="001F41CA"/>
    <w:rsid w:val="001F41DC"/>
    <w:rsid w:val="001F4246"/>
    <w:rsid w:val="001F428C"/>
    <w:rsid w:val="001F4292"/>
    <w:rsid w:val="001F429B"/>
    <w:rsid w:val="001F42B5"/>
    <w:rsid w:val="001F42BD"/>
    <w:rsid w:val="001F42D8"/>
    <w:rsid w:val="001F42F5"/>
    <w:rsid w:val="001F4349"/>
    <w:rsid w:val="001F4353"/>
    <w:rsid w:val="001F43AA"/>
    <w:rsid w:val="001F441C"/>
    <w:rsid w:val="001F442B"/>
    <w:rsid w:val="001F446A"/>
    <w:rsid w:val="001F447E"/>
    <w:rsid w:val="001F4482"/>
    <w:rsid w:val="001F4510"/>
    <w:rsid w:val="001F4569"/>
    <w:rsid w:val="001F456A"/>
    <w:rsid w:val="001F4577"/>
    <w:rsid w:val="001F45D8"/>
    <w:rsid w:val="001F4616"/>
    <w:rsid w:val="001F4649"/>
    <w:rsid w:val="001F467A"/>
    <w:rsid w:val="001F4681"/>
    <w:rsid w:val="001F4730"/>
    <w:rsid w:val="001F4749"/>
    <w:rsid w:val="001F4760"/>
    <w:rsid w:val="001F47F9"/>
    <w:rsid w:val="001F481A"/>
    <w:rsid w:val="001F4823"/>
    <w:rsid w:val="001F482E"/>
    <w:rsid w:val="001F486C"/>
    <w:rsid w:val="001F488C"/>
    <w:rsid w:val="001F489B"/>
    <w:rsid w:val="001F48D6"/>
    <w:rsid w:val="001F48D8"/>
    <w:rsid w:val="001F48E2"/>
    <w:rsid w:val="001F4923"/>
    <w:rsid w:val="001F4949"/>
    <w:rsid w:val="001F4970"/>
    <w:rsid w:val="001F49C3"/>
    <w:rsid w:val="001F49D4"/>
    <w:rsid w:val="001F4A00"/>
    <w:rsid w:val="001F4A04"/>
    <w:rsid w:val="001F4AE7"/>
    <w:rsid w:val="001F4AF8"/>
    <w:rsid w:val="001F4B12"/>
    <w:rsid w:val="001F4B1B"/>
    <w:rsid w:val="001F4B3B"/>
    <w:rsid w:val="001F4B60"/>
    <w:rsid w:val="001F4B83"/>
    <w:rsid w:val="001F4BE0"/>
    <w:rsid w:val="001F4BFC"/>
    <w:rsid w:val="001F4C08"/>
    <w:rsid w:val="001F4D27"/>
    <w:rsid w:val="001F4D40"/>
    <w:rsid w:val="001F4D59"/>
    <w:rsid w:val="001F4D5C"/>
    <w:rsid w:val="001F4D73"/>
    <w:rsid w:val="001F4D97"/>
    <w:rsid w:val="001F4DB9"/>
    <w:rsid w:val="001F4E3F"/>
    <w:rsid w:val="001F4E4C"/>
    <w:rsid w:val="001F4E53"/>
    <w:rsid w:val="001F4E68"/>
    <w:rsid w:val="001F4ED7"/>
    <w:rsid w:val="001F4EFD"/>
    <w:rsid w:val="001F4F1E"/>
    <w:rsid w:val="001F4F2A"/>
    <w:rsid w:val="001F4F40"/>
    <w:rsid w:val="001F4F4D"/>
    <w:rsid w:val="001F4F5D"/>
    <w:rsid w:val="001F4F8E"/>
    <w:rsid w:val="001F5000"/>
    <w:rsid w:val="001F503C"/>
    <w:rsid w:val="001F5040"/>
    <w:rsid w:val="001F5057"/>
    <w:rsid w:val="001F505E"/>
    <w:rsid w:val="001F50AB"/>
    <w:rsid w:val="001F50F7"/>
    <w:rsid w:val="001F5108"/>
    <w:rsid w:val="001F5129"/>
    <w:rsid w:val="001F5148"/>
    <w:rsid w:val="001F517B"/>
    <w:rsid w:val="001F51B0"/>
    <w:rsid w:val="001F51BD"/>
    <w:rsid w:val="001F51E7"/>
    <w:rsid w:val="001F51FA"/>
    <w:rsid w:val="001F5234"/>
    <w:rsid w:val="001F52CC"/>
    <w:rsid w:val="001F531A"/>
    <w:rsid w:val="001F534B"/>
    <w:rsid w:val="001F53C8"/>
    <w:rsid w:val="001F543D"/>
    <w:rsid w:val="001F546E"/>
    <w:rsid w:val="001F553D"/>
    <w:rsid w:val="001F5559"/>
    <w:rsid w:val="001F561D"/>
    <w:rsid w:val="001F5684"/>
    <w:rsid w:val="001F568A"/>
    <w:rsid w:val="001F5714"/>
    <w:rsid w:val="001F5769"/>
    <w:rsid w:val="001F577B"/>
    <w:rsid w:val="001F57D8"/>
    <w:rsid w:val="001F57E2"/>
    <w:rsid w:val="001F57EC"/>
    <w:rsid w:val="001F5804"/>
    <w:rsid w:val="001F581E"/>
    <w:rsid w:val="001F5860"/>
    <w:rsid w:val="001F5885"/>
    <w:rsid w:val="001F58DF"/>
    <w:rsid w:val="001F5949"/>
    <w:rsid w:val="001F594C"/>
    <w:rsid w:val="001F594E"/>
    <w:rsid w:val="001F59D9"/>
    <w:rsid w:val="001F59DE"/>
    <w:rsid w:val="001F5A03"/>
    <w:rsid w:val="001F5A0D"/>
    <w:rsid w:val="001F5A4C"/>
    <w:rsid w:val="001F5A8E"/>
    <w:rsid w:val="001F5AFF"/>
    <w:rsid w:val="001F5B0F"/>
    <w:rsid w:val="001F5B19"/>
    <w:rsid w:val="001F5B36"/>
    <w:rsid w:val="001F5B71"/>
    <w:rsid w:val="001F5B8A"/>
    <w:rsid w:val="001F5BAF"/>
    <w:rsid w:val="001F5BB8"/>
    <w:rsid w:val="001F5BC3"/>
    <w:rsid w:val="001F5C17"/>
    <w:rsid w:val="001F5C34"/>
    <w:rsid w:val="001F5C87"/>
    <w:rsid w:val="001F5C8D"/>
    <w:rsid w:val="001F5CA6"/>
    <w:rsid w:val="001F5CCE"/>
    <w:rsid w:val="001F5CE5"/>
    <w:rsid w:val="001F5D1B"/>
    <w:rsid w:val="001F5D27"/>
    <w:rsid w:val="001F5D70"/>
    <w:rsid w:val="001F5DBD"/>
    <w:rsid w:val="001F5DDB"/>
    <w:rsid w:val="001F5DEE"/>
    <w:rsid w:val="001F5E0B"/>
    <w:rsid w:val="001F5E43"/>
    <w:rsid w:val="001F5E69"/>
    <w:rsid w:val="001F5E6E"/>
    <w:rsid w:val="001F5F12"/>
    <w:rsid w:val="001F5F19"/>
    <w:rsid w:val="001F5F5B"/>
    <w:rsid w:val="001F5FB6"/>
    <w:rsid w:val="001F5FC2"/>
    <w:rsid w:val="001F6047"/>
    <w:rsid w:val="001F6064"/>
    <w:rsid w:val="001F606A"/>
    <w:rsid w:val="001F60BF"/>
    <w:rsid w:val="001F60C4"/>
    <w:rsid w:val="001F60EC"/>
    <w:rsid w:val="001F6129"/>
    <w:rsid w:val="001F615E"/>
    <w:rsid w:val="001F619B"/>
    <w:rsid w:val="001F61DE"/>
    <w:rsid w:val="001F61E7"/>
    <w:rsid w:val="001F61F1"/>
    <w:rsid w:val="001F61F6"/>
    <w:rsid w:val="001F6230"/>
    <w:rsid w:val="001F62CF"/>
    <w:rsid w:val="001F62F6"/>
    <w:rsid w:val="001F62F9"/>
    <w:rsid w:val="001F6337"/>
    <w:rsid w:val="001F6360"/>
    <w:rsid w:val="001F6374"/>
    <w:rsid w:val="001F63AB"/>
    <w:rsid w:val="001F63CF"/>
    <w:rsid w:val="001F63DF"/>
    <w:rsid w:val="001F63F0"/>
    <w:rsid w:val="001F63F8"/>
    <w:rsid w:val="001F6496"/>
    <w:rsid w:val="001F64EB"/>
    <w:rsid w:val="001F650A"/>
    <w:rsid w:val="001F651F"/>
    <w:rsid w:val="001F6597"/>
    <w:rsid w:val="001F65B7"/>
    <w:rsid w:val="001F65DE"/>
    <w:rsid w:val="001F663E"/>
    <w:rsid w:val="001F6643"/>
    <w:rsid w:val="001F664A"/>
    <w:rsid w:val="001F66C3"/>
    <w:rsid w:val="001F66D4"/>
    <w:rsid w:val="001F66DA"/>
    <w:rsid w:val="001F66EE"/>
    <w:rsid w:val="001F66FD"/>
    <w:rsid w:val="001F6739"/>
    <w:rsid w:val="001F673A"/>
    <w:rsid w:val="001F6787"/>
    <w:rsid w:val="001F6797"/>
    <w:rsid w:val="001F67C8"/>
    <w:rsid w:val="001F6853"/>
    <w:rsid w:val="001F6895"/>
    <w:rsid w:val="001F6899"/>
    <w:rsid w:val="001F690F"/>
    <w:rsid w:val="001F6949"/>
    <w:rsid w:val="001F6970"/>
    <w:rsid w:val="001F6975"/>
    <w:rsid w:val="001F69BB"/>
    <w:rsid w:val="001F69C2"/>
    <w:rsid w:val="001F69FC"/>
    <w:rsid w:val="001F6A1A"/>
    <w:rsid w:val="001F6A1D"/>
    <w:rsid w:val="001F6AF5"/>
    <w:rsid w:val="001F6B16"/>
    <w:rsid w:val="001F6BFA"/>
    <w:rsid w:val="001F6C02"/>
    <w:rsid w:val="001F6C08"/>
    <w:rsid w:val="001F6C41"/>
    <w:rsid w:val="001F6C49"/>
    <w:rsid w:val="001F6C4A"/>
    <w:rsid w:val="001F6CE8"/>
    <w:rsid w:val="001F6CF6"/>
    <w:rsid w:val="001F6D16"/>
    <w:rsid w:val="001F6D60"/>
    <w:rsid w:val="001F6D6D"/>
    <w:rsid w:val="001F6D70"/>
    <w:rsid w:val="001F6D9B"/>
    <w:rsid w:val="001F6DC1"/>
    <w:rsid w:val="001F6E01"/>
    <w:rsid w:val="001F6E86"/>
    <w:rsid w:val="001F6EAA"/>
    <w:rsid w:val="001F6EB1"/>
    <w:rsid w:val="001F6ECC"/>
    <w:rsid w:val="001F6F17"/>
    <w:rsid w:val="001F6FB4"/>
    <w:rsid w:val="001F7018"/>
    <w:rsid w:val="001F702A"/>
    <w:rsid w:val="001F7032"/>
    <w:rsid w:val="001F7058"/>
    <w:rsid w:val="001F706C"/>
    <w:rsid w:val="001F7073"/>
    <w:rsid w:val="001F7078"/>
    <w:rsid w:val="001F707C"/>
    <w:rsid w:val="001F70F9"/>
    <w:rsid w:val="001F710E"/>
    <w:rsid w:val="001F711C"/>
    <w:rsid w:val="001F717D"/>
    <w:rsid w:val="001F71A9"/>
    <w:rsid w:val="001F71E4"/>
    <w:rsid w:val="001F7229"/>
    <w:rsid w:val="001F7271"/>
    <w:rsid w:val="001F72CB"/>
    <w:rsid w:val="001F7314"/>
    <w:rsid w:val="001F733A"/>
    <w:rsid w:val="001F7350"/>
    <w:rsid w:val="001F739F"/>
    <w:rsid w:val="001F73AD"/>
    <w:rsid w:val="001F7447"/>
    <w:rsid w:val="001F7459"/>
    <w:rsid w:val="001F74AC"/>
    <w:rsid w:val="001F74CD"/>
    <w:rsid w:val="001F74D3"/>
    <w:rsid w:val="001F74DA"/>
    <w:rsid w:val="001F74F1"/>
    <w:rsid w:val="001F7524"/>
    <w:rsid w:val="001F75A0"/>
    <w:rsid w:val="001F75BD"/>
    <w:rsid w:val="001F75D9"/>
    <w:rsid w:val="001F76BA"/>
    <w:rsid w:val="001F76D1"/>
    <w:rsid w:val="001F76E0"/>
    <w:rsid w:val="001F7727"/>
    <w:rsid w:val="001F7740"/>
    <w:rsid w:val="001F77EB"/>
    <w:rsid w:val="001F781E"/>
    <w:rsid w:val="001F7833"/>
    <w:rsid w:val="001F78BD"/>
    <w:rsid w:val="001F7922"/>
    <w:rsid w:val="001F793C"/>
    <w:rsid w:val="001F7970"/>
    <w:rsid w:val="001F7973"/>
    <w:rsid w:val="001F7982"/>
    <w:rsid w:val="001F79A4"/>
    <w:rsid w:val="001F79CF"/>
    <w:rsid w:val="001F7A49"/>
    <w:rsid w:val="001F7A8E"/>
    <w:rsid w:val="001F7B05"/>
    <w:rsid w:val="001F7B14"/>
    <w:rsid w:val="001F7B37"/>
    <w:rsid w:val="001F7B51"/>
    <w:rsid w:val="001F7BB2"/>
    <w:rsid w:val="001F7BB9"/>
    <w:rsid w:val="001F7BBB"/>
    <w:rsid w:val="001F7BD6"/>
    <w:rsid w:val="001F7BF6"/>
    <w:rsid w:val="001F7C29"/>
    <w:rsid w:val="001F7C45"/>
    <w:rsid w:val="001F7CB5"/>
    <w:rsid w:val="001F7CD9"/>
    <w:rsid w:val="001F7D09"/>
    <w:rsid w:val="001F7D13"/>
    <w:rsid w:val="001F7D18"/>
    <w:rsid w:val="001F7D4B"/>
    <w:rsid w:val="001F7D83"/>
    <w:rsid w:val="001F7DAE"/>
    <w:rsid w:val="001F7DCD"/>
    <w:rsid w:val="001F7DF9"/>
    <w:rsid w:val="001F7DFB"/>
    <w:rsid w:val="001F7E14"/>
    <w:rsid w:val="001F7E40"/>
    <w:rsid w:val="001F7E65"/>
    <w:rsid w:val="001F7E82"/>
    <w:rsid w:val="001F7E85"/>
    <w:rsid w:val="001F7EC5"/>
    <w:rsid w:val="001F7ED9"/>
    <w:rsid w:val="001F7EDF"/>
    <w:rsid w:val="001F7F04"/>
    <w:rsid w:val="001F7F4F"/>
    <w:rsid w:val="001F7F66"/>
    <w:rsid w:val="001F7F99"/>
    <w:rsid w:val="001F7FC6"/>
    <w:rsid w:val="001F7FF6"/>
    <w:rsid w:val="00200004"/>
    <w:rsid w:val="00200042"/>
    <w:rsid w:val="002000A3"/>
    <w:rsid w:val="00200109"/>
    <w:rsid w:val="002001F6"/>
    <w:rsid w:val="00200208"/>
    <w:rsid w:val="00200218"/>
    <w:rsid w:val="0020021F"/>
    <w:rsid w:val="0020024E"/>
    <w:rsid w:val="00200254"/>
    <w:rsid w:val="00200307"/>
    <w:rsid w:val="00200328"/>
    <w:rsid w:val="00200379"/>
    <w:rsid w:val="00200427"/>
    <w:rsid w:val="00200461"/>
    <w:rsid w:val="00200468"/>
    <w:rsid w:val="0020046A"/>
    <w:rsid w:val="00200485"/>
    <w:rsid w:val="0020049B"/>
    <w:rsid w:val="002004B1"/>
    <w:rsid w:val="002004B8"/>
    <w:rsid w:val="002004CE"/>
    <w:rsid w:val="0020052E"/>
    <w:rsid w:val="0020053A"/>
    <w:rsid w:val="00200583"/>
    <w:rsid w:val="0020059E"/>
    <w:rsid w:val="002005B8"/>
    <w:rsid w:val="002005C4"/>
    <w:rsid w:val="002005CF"/>
    <w:rsid w:val="002005E5"/>
    <w:rsid w:val="00200625"/>
    <w:rsid w:val="0020063B"/>
    <w:rsid w:val="00200649"/>
    <w:rsid w:val="00200677"/>
    <w:rsid w:val="00200695"/>
    <w:rsid w:val="002006B1"/>
    <w:rsid w:val="002006B4"/>
    <w:rsid w:val="0020072C"/>
    <w:rsid w:val="00200750"/>
    <w:rsid w:val="00200776"/>
    <w:rsid w:val="002007A1"/>
    <w:rsid w:val="002007B8"/>
    <w:rsid w:val="002007C7"/>
    <w:rsid w:val="002007EE"/>
    <w:rsid w:val="002008D4"/>
    <w:rsid w:val="002008D5"/>
    <w:rsid w:val="00200904"/>
    <w:rsid w:val="00200967"/>
    <w:rsid w:val="0020099C"/>
    <w:rsid w:val="00200A17"/>
    <w:rsid w:val="00200A30"/>
    <w:rsid w:val="00200AC6"/>
    <w:rsid w:val="00200BAC"/>
    <w:rsid w:val="00200BAD"/>
    <w:rsid w:val="00200C06"/>
    <w:rsid w:val="00200C28"/>
    <w:rsid w:val="00200C9D"/>
    <w:rsid w:val="00200CDD"/>
    <w:rsid w:val="00200D1A"/>
    <w:rsid w:val="00200DC9"/>
    <w:rsid w:val="00200E00"/>
    <w:rsid w:val="00200E17"/>
    <w:rsid w:val="00200E1A"/>
    <w:rsid w:val="00200E24"/>
    <w:rsid w:val="00200E7B"/>
    <w:rsid w:val="00200EA5"/>
    <w:rsid w:val="00200EC1"/>
    <w:rsid w:val="00200F12"/>
    <w:rsid w:val="00200F17"/>
    <w:rsid w:val="00200F2F"/>
    <w:rsid w:val="00200F82"/>
    <w:rsid w:val="00201004"/>
    <w:rsid w:val="00201037"/>
    <w:rsid w:val="002010DD"/>
    <w:rsid w:val="002010F6"/>
    <w:rsid w:val="0020112D"/>
    <w:rsid w:val="002011FE"/>
    <w:rsid w:val="0020120F"/>
    <w:rsid w:val="00201306"/>
    <w:rsid w:val="0020131C"/>
    <w:rsid w:val="00201368"/>
    <w:rsid w:val="002013B4"/>
    <w:rsid w:val="002013B7"/>
    <w:rsid w:val="002013CD"/>
    <w:rsid w:val="00201450"/>
    <w:rsid w:val="00201453"/>
    <w:rsid w:val="002014B7"/>
    <w:rsid w:val="002014C0"/>
    <w:rsid w:val="002014D1"/>
    <w:rsid w:val="002014F2"/>
    <w:rsid w:val="00201587"/>
    <w:rsid w:val="002015AD"/>
    <w:rsid w:val="002015C5"/>
    <w:rsid w:val="002015D4"/>
    <w:rsid w:val="002015E8"/>
    <w:rsid w:val="00201606"/>
    <w:rsid w:val="0020163B"/>
    <w:rsid w:val="002016A5"/>
    <w:rsid w:val="002016FC"/>
    <w:rsid w:val="0020174D"/>
    <w:rsid w:val="0020177B"/>
    <w:rsid w:val="00201807"/>
    <w:rsid w:val="0020180B"/>
    <w:rsid w:val="00201866"/>
    <w:rsid w:val="00201883"/>
    <w:rsid w:val="002018B4"/>
    <w:rsid w:val="002018F6"/>
    <w:rsid w:val="002018FA"/>
    <w:rsid w:val="00201922"/>
    <w:rsid w:val="00201964"/>
    <w:rsid w:val="00201A03"/>
    <w:rsid w:val="00201A09"/>
    <w:rsid w:val="00201A1C"/>
    <w:rsid w:val="00201A98"/>
    <w:rsid w:val="00201AB9"/>
    <w:rsid w:val="00201B06"/>
    <w:rsid w:val="00201B69"/>
    <w:rsid w:val="00201B94"/>
    <w:rsid w:val="00201BC3"/>
    <w:rsid w:val="00201C59"/>
    <w:rsid w:val="00201CDE"/>
    <w:rsid w:val="00201CE7"/>
    <w:rsid w:val="00201D0C"/>
    <w:rsid w:val="00201DB2"/>
    <w:rsid w:val="00201DCB"/>
    <w:rsid w:val="00201DD3"/>
    <w:rsid w:val="00201DD6"/>
    <w:rsid w:val="00201DEF"/>
    <w:rsid w:val="00201DF7"/>
    <w:rsid w:val="00201EFA"/>
    <w:rsid w:val="00201F29"/>
    <w:rsid w:val="00201F31"/>
    <w:rsid w:val="00201F5A"/>
    <w:rsid w:val="00201F5F"/>
    <w:rsid w:val="00201F61"/>
    <w:rsid w:val="00201F87"/>
    <w:rsid w:val="00201F9A"/>
    <w:rsid w:val="00201FBF"/>
    <w:rsid w:val="00201FEA"/>
    <w:rsid w:val="00202006"/>
    <w:rsid w:val="0020202E"/>
    <w:rsid w:val="0020205D"/>
    <w:rsid w:val="0020208C"/>
    <w:rsid w:val="00202106"/>
    <w:rsid w:val="00202127"/>
    <w:rsid w:val="002021C4"/>
    <w:rsid w:val="002021C6"/>
    <w:rsid w:val="002021EC"/>
    <w:rsid w:val="00202253"/>
    <w:rsid w:val="0020228E"/>
    <w:rsid w:val="00202376"/>
    <w:rsid w:val="002023F7"/>
    <w:rsid w:val="00202432"/>
    <w:rsid w:val="00202472"/>
    <w:rsid w:val="002024A0"/>
    <w:rsid w:val="002024C2"/>
    <w:rsid w:val="00202555"/>
    <w:rsid w:val="002025C6"/>
    <w:rsid w:val="002025FC"/>
    <w:rsid w:val="00202602"/>
    <w:rsid w:val="0020260A"/>
    <w:rsid w:val="0020260D"/>
    <w:rsid w:val="00202640"/>
    <w:rsid w:val="00202642"/>
    <w:rsid w:val="0020267F"/>
    <w:rsid w:val="00202690"/>
    <w:rsid w:val="0020269F"/>
    <w:rsid w:val="002026A5"/>
    <w:rsid w:val="002026AC"/>
    <w:rsid w:val="00202706"/>
    <w:rsid w:val="00202723"/>
    <w:rsid w:val="00202754"/>
    <w:rsid w:val="002027CD"/>
    <w:rsid w:val="002027F4"/>
    <w:rsid w:val="00202850"/>
    <w:rsid w:val="0020288A"/>
    <w:rsid w:val="0020289C"/>
    <w:rsid w:val="002028E3"/>
    <w:rsid w:val="00202913"/>
    <w:rsid w:val="00202920"/>
    <w:rsid w:val="0020296A"/>
    <w:rsid w:val="0020296F"/>
    <w:rsid w:val="00202971"/>
    <w:rsid w:val="00202972"/>
    <w:rsid w:val="0020298C"/>
    <w:rsid w:val="0020299E"/>
    <w:rsid w:val="00202A81"/>
    <w:rsid w:val="00202A9E"/>
    <w:rsid w:val="00202ACD"/>
    <w:rsid w:val="00202AEB"/>
    <w:rsid w:val="00202AFA"/>
    <w:rsid w:val="00202B99"/>
    <w:rsid w:val="00202BD7"/>
    <w:rsid w:val="00202C01"/>
    <w:rsid w:val="00202C55"/>
    <w:rsid w:val="00202CBA"/>
    <w:rsid w:val="00202CCD"/>
    <w:rsid w:val="00202D16"/>
    <w:rsid w:val="00202D9C"/>
    <w:rsid w:val="00202DB4"/>
    <w:rsid w:val="00202DCA"/>
    <w:rsid w:val="00202DCD"/>
    <w:rsid w:val="00202E02"/>
    <w:rsid w:val="00202E18"/>
    <w:rsid w:val="00202E56"/>
    <w:rsid w:val="00202E8F"/>
    <w:rsid w:val="00202EAA"/>
    <w:rsid w:val="00202F30"/>
    <w:rsid w:val="00202F6A"/>
    <w:rsid w:val="00202F8A"/>
    <w:rsid w:val="00202F95"/>
    <w:rsid w:val="00202FA7"/>
    <w:rsid w:val="00202FCF"/>
    <w:rsid w:val="00203016"/>
    <w:rsid w:val="002030A3"/>
    <w:rsid w:val="002030BE"/>
    <w:rsid w:val="002030DA"/>
    <w:rsid w:val="002030F8"/>
    <w:rsid w:val="0020311C"/>
    <w:rsid w:val="0020318B"/>
    <w:rsid w:val="00203210"/>
    <w:rsid w:val="0020322B"/>
    <w:rsid w:val="0020322F"/>
    <w:rsid w:val="00203269"/>
    <w:rsid w:val="0020326C"/>
    <w:rsid w:val="0020327D"/>
    <w:rsid w:val="002032AC"/>
    <w:rsid w:val="002032E3"/>
    <w:rsid w:val="0020330F"/>
    <w:rsid w:val="0020331C"/>
    <w:rsid w:val="00203328"/>
    <w:rsid w:val="002033DF"/>
    <w:rsid w:val="0020345C"/>
    <w:rsid w:val="00203465"/>
    <w:rsid w:val="00203478"/>
    <w:rsid w:val="002034BC"/>
    <w:rsid w:val="002034E2"/>
    <w:rsid w:val="0020350F"/>
    <w:rsid w:val="00203524"/>
    <w:rsid w:val="0020352E"/>
    <w:rsid w:val="00203554"/>
    <w:rsid w:val="00203555"/>
    <w:rsid w:val="002035EF"/>
    <w:rsid w:val="002035F4"/>
    <w:rsid w:val="0020364D"/>
    <w:rsid w:val="00203681"/>
    <w:rsid w:val="002036A3"/>
    <w:rsid w:val="002036C7"/>
    <w:rsid w:val="0020370D"/>
    <w:rsid w:val="0020373E"/>
    <w:rsid w:val="0020379B"/>
    <w:rsid w:val="002037B1"/>
    <w:rsid w:val="002037C1"/>
    <w:rsid w:val="00203825"/>
    <w:rsid w:val="0020386E"/>
    <w:rsid w:val="00203890"/>
    <w:rsid w:val="00203893"/>
    <w:rsid w:val="0020389F"/>
    <w:rsid w:val="002038A5"/>
    <w:rsid w:val="002038B2"/>
    <w:rsid w:val="00203935"/>
    <w:rsid w:val="002039F7"/>
    <w:rsid w:val="00203A2B"/>
    <w:rsid w:val="00203A8E"/>
    <w:rsid w:val="00203ADA"/>
    <w:rsid w:val="00203AF1"/>
    <w:rsid w:val="00203AFB"/>
    <w:rsid w:val="00203B24"/>
    <w:rsid w:val="00203B9B"/>
    <w:rsid w:val="00203BEB"/>
    <w:rsid w:val="00203BEF"/>
    <w:rsid w:val="00203C26"/>
    <w:rsid w:val="00203CBB"/>
    <w:rsid w:val="00203CC0"/>
    <w:rsid w:val="00203CC3"/>
    <w:rsid w:val="00203D01"/>
    <w:rsid w:val="00203D13"/>
    <w:rsid w:val="00203D35"/>
    <w:rsid w:val="00203D3B"/>
    <w:rsid w:val="00203E6C"/>
    <w:rsid w:val="00203EC0"/>
    <w:rsid w:val="00203F61"/>
    <w:rsid w:val="00203F70"/>
    <w:rsid w:val="00203F77"/>
    <w:rsid w:val="00203FC1"/>
    <w:rsid w:val="00203FD1"/>
    <w:rsid w:val="00204072"/>
    <w:rsid w:val="0020407C"/>
    <w:rsid w:val="00204092"/>
    <w:rsid w:val="002040A5"/>
    <w:rsid w:val="002040B6"/>
    <w:rsid w:val="002040BF"/>
    <w:rsid w:val="002040D6"/>
    <w:rsid w:val="002040DC"/>
    <w:rsid w:val="002040E0"/>
    <w:rsid w:val="002040F8"/>
    <w:rsid w:val="0020413E"/>
    <w:rsid w:val="00204202"/>
    <w:rsid w:val="00204250"/>
    <w:rsid w:val="00204294"/>
    <w:rsid w:val="002042B6"/>
    <w:rsid w:val="002042BD"/>
    <w:rsid w:val="002042CC"/>
    <w:rsid w:val="002042F8"/>
    <w:rsid w:val="00204305"/>
    <w:rsid w:val="00204330"/>
    <w:rsid w:val="00204342"/>
    <w:rsid w:val="00204474"/>
    <w:rsid w:val="002044AB"/>
    <w:rsid w:val="00204507"/>
    <w:rsid w:val="0020453A"/>
    <w:rsid w:val="00204579"/>
    <w:rsid w:val="00204597"/>
    <w:rsid w:val="00204605"/>
    <w:rsid w:val="00204627"/>
    <w:rsid w:val="0020463F"/>
    <w:rsid w:val="00204646"/>
    <w:rsid w:val="0020464F"/>
    <w:rsid w:val="002046C4"/>
    <w:rsid w:val="002046D7"/>
    <w:rsid w:val="002046F8"/>
    <w:rsid w:val="00204729"/>
    <w:rsid w:val="00204768"/>
    <w:rsid w:val="00204777"/>
    <w:rsid w:val="0020478E"/>
    <w:rsid w:val="00204797"/>
    <w:rsid w:val="002047A8"/>
    <w:rsid w:val="002047B6"/>
    <w:rsid w:val="002047E4"/>
    <w:rsid w:val="00204845"/>
    <w:rsid w:val="0020485D"/>
    <w:rsid w:val="002048B4"/>
    <w:rsid w:val="002048B5"/>
    <w:rsid w:val="0020494C"/>
    <w:rsid w:val="0020497E"/>
    <w:rsid w:val="00204996"/>
    <w:rsid w:val="002049AF"/>
    <w:rsid w:val="002049DA"/>
    <w:rsid w:val="002049F2"/>
    <w:rsid w:val="00204A04"/>
    <w:rsid w:val="00204A10"/>
    <w:rsid w:val="00204B37"/>
    <w:rsid w:val="00204B42"/>
    <w:rsid w:val="00204BD9"/>
    <w:rsid w:val="00204C0B"/>
    <w:rsid w:val="00204C53"/>
    <w:rsid w:val="00204C85"/>
    <w:rsid w:val="00204CB7"/>
    <w:rsid w:val="00204CC8"/>
    <w:rsid w:val="00204CF5"/>
    <w:rsid w:val="00204D7F"/>
    <w:rsid w:val="00204D8D"/>
    <w:rsid w:val="00204DC1"/>
    <w:rsid w:val="00204DE1"/>
    <w:rsid w:val="00204E1B"/>
    <w:rsid w:val="00204EA9"/>
    <w:rsid w:val="00204ECF"/>
    <w:rsid w:val="00204F14"/>
    <w:rsid w:val="00204FD1"/>
    <w:rsid w:val="00204FED"/>
    <w:rsid w:val="00205075"/>
    <w:rsid w:val="00205082"/>
    <w:rsid w:val="00205129"/>
    <w:rsid w:val="002051E6"/>
    <w:rsid w:val="00205201"/>
    <w:rsid w:val="00205219"/>
    <w:rsid w:val="0020523A"/>
    <w:rsid w:val="0020525B"/>
    <w:rsid w:val="002052F0"/>
    <w:rsid w:val="002052FC"/>
    <w:rsid w:val="00205315"/>
    <w:rsid w:val="0020538C"/>
    <w:rsid w:val="002053B2"/>
    <w:rsid w:val="002053E4"/>
    <w:rsid w:val="0020544F"/>
    <w:rsid w:val="0020545F"/>
    <w:rsid w:val="00205465"/>
    <w:rsid w:val="00205528"/>
    <w:rsid w:val="00205561"/>
    <w:rsid w:val="002055FE"/>
    <w:rsid w:val="0020561B"/>
    <w:rsid w:val="00205624"/>
    <w:rsid w:val="00205634"/>
    <w:rsid w:val="0020563B"/>
    <w:rsid w:val="0020566B"/>
    <w:rsid w:val="0020567F"/>
    <w:rsid w:val="002056AC"/>
    <w:rsid w:val="0020570D"/>
    <w:rsid w:val="00205719"/>
    <w:rsid w:val="0020576C"/>
    <w:rsid w:val="0020576D"/>
    <w:rsid w:val="002057B9"/>
    <w:rsid w:val="00205829"/>
    <w:rsid w:val="0020586B"/>
    <w:rsid w:val="002058CE"/>
    <w:rsid w:val="002058D8"/>
    <w:rsid w:val="002058DB"/>
    <w:rsid w:val="002058F7"/>
    <w:rsid w:val="0020592B"/>
    <w:rsid w:val="0020597E"/>
    <w:rsid w:val="002059B8"/>
    <w:rsid w:val="00205A37"/>
    <w:rsid w:val="00205AA2"/>
    <w:rsid w:val="00205AFE"/>
    <w:rsid w:val="00205B07"/>
    <w:rsid w:val="00205BCB"/>
    <w:rsid w:val="00205BF9"/>
    <w:rsid w:val="00205C00"/>
    <w:rsid w:val="00205C42"/>
    <w:rsid w:val="00205C73"/>
    <w:rsid w:val="00205D18"/>
    <w:rsid w:val="00205D34"/>
    <w:rsid w:val="00205DB9"/>
    <w:rsid w:val="00205DF2"/>
    <w:rsid w:val="00205DFE"/>
    <w:rsid w:val="00205E4C"/>
    <w:rsid w:val="00205E96"/>
    <w:rsid w:val="00205EA7"/>
    <w:rsid w:val="00205EC8"/>
    <w:rsid w:val="00205ED2"/>
    <w:rsid w:val="00205EE1"/>
    <w:rsid w:val="00205F47"/>
    <w:rsid w:val="00205F8E"/>
    <w:rsid w:val="00205FA6"/>
    <w:rsid w:val="00205FBA"/>
    <w:rsid w:val="00206035"/>
    <w:rsid w:val="0020605C"/>
    <w:rsid w:val="00206104"/>
    <w:rsid w:val="00206110"/>
    <w:rsid w:val="00206121"/>
    <w:rsid w:val="0020616C"/>
    <w:rsid w:val="002061A6"/>
    <w:rsid w:val="002061DE"/>
    <w:rsid w:val="002061EA"/>
    <w:rsid w:val="00206281"/>
    <w:rsid w:val="002062A4"/>
    <w:rsid w:val="002062F7"/>
    <w:rsid w:val="002063B1"/>
    <w:rsid w:val="002063BC"/>
    <w:rsid w:val="0020641C"/>
    <w:rsid w:val="00206425"/>
    <w:rsid w:val="00206470"/>
    <w:rsid w:val="0020647D"/>
    <w:rsid w:val="00206490"/>
    <w:rsid w:val="002064AE"/>
    <w:rsid w:val="002064D4"/>
    <w:rsid w:val="00206507"/>
    <w:rsid w:val="00206567"/>
    <w:rsid w:val="0020658B"/>
    <w:rsid w:val="0020659E"/>
    <w:rsid w:val="002065D2"/>
    <w:rsid w:val="00206613"/>
    <w:rsid w:val="0020661E"/>
    <w:rsid w:val="00206623"/>
    <w:rsid w:val="00206716"/>
    <w:rsid w:val="002067BD"/>
    <w:rsid w:val="002067C0"/>
    <w:rsid w:val="002067D6"/>
    <w:rsid w:val="00206864"/>
    <w:rsid w:val="00206896"/>
    <w:rsid w:val="002068E8"/>
    <w:rsid w:val="002068E9"/>
    <w:rsid w:val="002068EE"/>
    <w:rsid w:val="00206932"/>
    <w:rsid w:val="002069CE"/>
    <w:rsid w:val="00206A21"/>
    <w:rsid w:val="00206A4E"/>
    <w:rsid w:val="00206AB0"/>
    <w:rsid w:val="00206B15"/>
    <w:rsid w:val="00206BE9"/>
    <w:rsid w:val="00206C31"/>
    <w:rsid w:val="00206C55"/>
    <w:rsid w:val="00206C5B"/>
    <w:rsid w:val="00206C5F"/>
    <w:rsid w:val="00206CBD"/>
    <w:rsid w:val="00206D0A"/>
    <w:rsid w:val="00206D9C"/>
    <w:rsid w:val="00206DBD"/>
    <w:rsid w:val="00206DC7"/>
    <w:rsid w:val="00206E09"/>
    <w:rsid w:val="00206E12"/>
    <w:rsid w:val="00206E20"/>
    <w:rsid w:val="00206E25"/>
    <w:rsid w:val="00206E36"/>
    <w:rsid w:val="00206E59"/>
    <w:rsid w:val="00206E68"/>
    <w:rsid w:val="00206E7F"/>
    <w:rsid w:val="00206EBF"/>
    <w:rsid w:val="00206EF0"/>
    <w:rsid w:val="00206F2B"/>
    <w:rsid w:val="00206F3E"/>
    <w:rsid w:val="00206F4C"/>
    <w:rsid w:val="00206F91"/>
    <w:rsid w:val="00206FA5"/>
    <w:rsid w:val="00207019"/>
    <w:rsid w:val="00207035"/>
    <w:rsid w:val="00207059"/>
    <w:rsid w:val="0020705F"/>
    <w:rsid w:val="00207083"/>
    <w:rsid w:val="002070C2"/>
    <w:rsid w:val="002070E6"/>
    <w:rsid w:val="002070EA"/>
    <w:rsid w:val="002070F7"/>
    <w:rsid w:val="00207101"/>
    <w:rsid w:val="0020712B"/>
    <w:rsid w:val="0020714B"/>
    <w:rsid w:val="00207189"/>
    <w:rsid w:val="0020718C"/>
    <w:rsid w:val="002071B3"/>
    <w:rsid w:val="002071E6"/>
    <w:rsid w:val="002071F0"/>
    <w:rsid w:val="00207224"/>
    <w:rsid w:val="0020722F"/>
    <w:rsid w:val="00207235"/>
    <w:rsid w:val="002072D2"/>
    <w:rsid w:val="002072E0"/>
    <w:rsid w:val="002072E5"/>
    <w:rsid w:val="002072FB"/>
    <w:rsid w:val="00207306"/>
    <w:rsid w:val="0020730E"/>
    <w:rsid w:val="00207392"/>
    <w:rsid w:val="0020744F"/>
    <w:rsid w:val="002074A1"/>
    <w:rsid w:val="002074F0"/>
    <w:rsid w:val="00207507"/>
    <w:rsid w:val="0020754E"/>
    <w:rsid w:val="00207554"/>
    <w:rsid w:val="0020758E"/>
    <w:rsid w:val="002075AE"/>
    <w:rsid w:val="0020761B"/>
    <w:rsid w:val="00207632"/>
    <w:rsid w:val="0020764B"/>
    <w:rsid w:val="00207675"/>
    <w:rsid w:val="0020767C"/>
    <w:rsid w:val="0020768E"/>
    <w:rsid w:val="002076FA"/>
    <w:rsid w:val="002077BA"/>
    <w:rsid w:val="002077DE"/>
    <w:rsid w:val="00207820"/>
    <w:rsid w:val="0020788F"/>
    <w:rsid w:val="002078BB"/>
    <w:rsid w:val="00207961"/>
    <w:rsid w:val="00207972"/>
    <w:rsid w:val="00207975"/>
    <w:rsid w:val="00207977"/>
    <w:rsid w:val="00207985"/>
    <w:rsid w:val="00207989"/>
    <w:rsid w:val="002079BF"/>
    <w:rsid w:val="002079E6"/>
    <w:rsid w:val="00207A29"/>
    <w:rsid w:val="00207A44"/>
    <w:rsid w:val="00207A5C"/>
    <w:rsid w:val="00207A6F"/>
    <w:rsid w:val="00207A99"/>
    <w:rsid w:val="00207AB2"/>
    <w:rsid w:val="00207AF3"/>
    <w:rsid w:val="00207B29"/>
    <w:rsid w:val="00207B2D"/>
    <w:rsid w:val="00207B2F"/>
    <w:rsid w:val="00207B4C"/>
    <w:rsid w:val="00207B9A"/>
    <w:rsid w:val="00207BA4"/>
    <w:rsid w:val="00207C0D"/>
    <w:rsid w:val="00207C7C"/>
    <w:rsid w:val="00207CB0"/>
    <w:rsid w:val="00207CD7"/>
    <w:rsid w:val="00207D79"/>
    <w:rsid w:val="00207DEA"/>
    <w:rsid w:val="00207DFD"/>
    <w:rsid w:val="00207E68"/>
    <w:rsid w:val="00207EE8"/>
    <w:rsid w:val="00207F30"/>
    <w:rsid w:val="00207F3C"/>
    <w:rsid w:val="00207FCC"/>
    <w:rsid w:val="00210008"/>
    <w:rsid w:val="00210031"/>
    <w:rsid w:val="00210040"/>
    <w:rsid w:val="00210074"/>
    <w:rsid w:val="002100AB"/>
    <w:rsid w:val="002100AF"/>
    <w:rsid w:val="002100F1"/>
    <w:rsid w:val="00210114"/>
    <w:rsid w:val="00210142"/>
    <w:rsid w:val="00210156"/>
    <w:rsid w:val="002101EF"/>
    <w:rsid w:val="0021021B"/>
    <w:rsid w:val="0021023E"/>
    <w:rsid w:val="00210269"/>
    <w:rsid w:val="002102C2"/>
    <w:rsid w:val="002102D3"/>
    <w:rsid w:val="002102ED"/>
    <w:rsid w:val="00210302"/>
    <w:rsid w:val="0021033A"/>
    <w:rsid w:val="00210358"/>
    <w:rsid w:val="00210383"/>
    <w:rsid w:val="0021038D"/>
    <w:rsid w:val="002103A6"/>
    <w:rsid w:val="002103EB"/>
    <w:rsid w:val="002103F9"/>
    <w:rsid w:val="00210410"/>
    <w:rsid w:val="00210444"/>
    <w:rsid w:val="00210449"/>
    <w:rsid w:val="00210454"/>
    <w:rsid w:val="00210467"/>
    <w:rsid w:val="00210496"/>
    <w:rsid w:val="00210511"/>
    <w:rsid w:val="00210581"/>
    <w:rsid w:val="00210583"/>
    <w:rsid w:val="002105D0"/>
    <w:rsid w:val="00210622"/>
    <w:rsid w:val="0021067D"/>
    <w:rsid w:val="00210689"/>
    <w:rsid w:val="0021068B"/>
    <w:rsid w:val="00210690"/>
    <w:rsid w:val="002106A8"/>
    <w:rsid w:val="002106F8"/>
    <w:rsid w:val="0021075C"/>
    <w:rsid w:val="00210760"/>
    <w:rsid w:val="002107F7"/>
    <w:rsid w:val="00210823"/>
    <w:rsid w:val="00210854"/>
    <w:rsid w:val="00210865"/>
    <w:rsid w:val="00210920"/>
    <w:rsid w:val="00210982"/>
    <w:rsid w:val="002109A6"/>
    <w:rsid w:val="002109E9"/>
    <w:rsid w:val="00210A69"/>
    <w:rsid w:val="00210B01"/>
    <w:rsid w:val="00210B04"/>
    <w:rsid w:val="00210B1D"/>
    <w:rsid w:val="00210BAE"/>
    <w:rsid w:val="00210BB4"/>
    <w:rsid w:val="00210BF0"/>
    <w:rsid w:val="00210C0E"/>
    <w:rsid w:val="00210C53"/>
    <w:rsid w:val="00210C6A"/>
    <w:rsid w:val="00210C73"/>
    <w:rsid w:val="00210C89"/>
    <w:rsid w:val="00210C8C"/>
    <w:rsid w:val="00210CAC"/>
    <w:rsid w:val="00210CB9"/>
    <w:rsid w:val="00210CD1"/>
    <w:rsid w:val="00210CD4"/>
    <w:rsid w:val="00210D2F"/>
    <w:rsid w:val="00210E0A"/>
    <w:rsid w:val="00210E68"/>
    <w:rsid w:val="00210E82"/>
    <w:rsid w:val="00210E93"/>
    <w:rsid w:val="00210F04"/>
    <w:rsid w:val="00210F1F"/>
    <w:rsid w:val="00210F20"/>
    <w:rsid w:val="00210F54"/>
    <w:rsid w:val="00210F67"/>
    <w:rsid w:val="00210F80"/>
    <w:rsid w:val="00211001"/>
    <w:rsid w:val="0021100B"/>
    <w:rsid w:val="00211040"/>
    <w:rsid w:val="00211063"/>
    <w:rsid w:val="0021107A"/>
    <w:rsid w:val="00211095"/>
    <w:rsid w:val="002110F2"/>
    <w:rsid w:val="0021111F"/>
    <w:rsid w:val="0021113B"/>
    <w:rsid w:val="00211145"/>
    <w:rsid w:val="00211271"/>
    <w:rsid w:val="00211287"/>
    <w:rsid w:val="0021131B"/>
    <w:rsid w:val="00211332"/>
    <w:rsid w:val="002113AD"/>
    <w:rsid w:val="002113CE"/>
    <w:rsid w:val="002113FB"/>
    <w:rsid w:val="00211421"/>
    <w:rsid w:val="00211495"/>
    <w:rsid w:val="002114CD"/>
    <w:rsid w:val="002114F6"/>
    <w:rsid w:val="00211571"/>
    <w:rsid w:val="0021157F"/>
    <w:rsid w:val="0021161E"/>
    <w:rsid w:val="00211623"/>
    <w:rsid w:val="00211694"/>
    <w:rsid w:val="002116AB"/>
    <w:rsid w:val="002116BC"/>
    <w:rsid w:val="00211736"/>
    <w:rsid w:val="0021175A"/>
    <w:rsid w:val="002117C9"/>
    <w:rsid w:val="002117CD"/>
    <w:rsid w:val="002117CE"/>
    <w:rsid w:val="002117EC"/>
    <w:rsid w:val="002117F9"/>
    <w:rsid w:val="002117FA"/>
    <w:rsid w:val="00211807"/>
    <w:rsid w:val="00211810"/>
    <w:rsid w:val="0021185A"/>
    <w:rsid w:val="00211873"/>
    <w:rsid w:val="00211884"/>
    <w:rsid w:val="00211886"/>
    <w:rsid w:val="0021188F"/>
    <w:rsid w:val="002118AC"/>
    <w:rsid w:val="00211924"/>
    <w:rsid w:val="0021197A"/>
    <w:rsid w:val="0021199A"/>
    <w:rsid w:val="00211A62"/>
    <w:rsid w:val="00211AF6"/>
    <w:rsid w:val="00211B16"/>
    <w:rsid w:val="00211B18"/>
    <w:rsid w:val="00211B9D"/>
    <w:rsid w:val="00211BA5"/>
    <w:rsid w:val="00211C3F"/>
    <w:rsid w:val="00211C5F"/>
    <w:rsid w:val="00211C65"/>
    <w:rsid w:val="00211C70"/>
    <w:rsid w:val="00211CA1"/>
    <w:rsid w:val="00211CD6"/>
    <w:rsid w:val="00211D8D"/>
    <w:rsid w:val="00211DAA"/>
    <w:rsid w:val="00211DCA"/>
    <w:rsid w:val="00211DFA"/>
    <w:rsid w:val="00211EAA"/>
    <w:rsid w:val="00211F1D"/>
    <w:rsid w:val="00211F2F"/>
    <w:rsid w:val="00211F9B"/>
    <w:rsid w:val="00211FA6"/>
    <w:rsid w:val="0021200A"/>
    <w:rsid w:val="0021206C"/>
    <w:rsid w:val="002120A9"/>
    <w:rsid w:val="002120FB"/>
    <w:rsid w:val="00212107"/>
    <w:rsid w:val="00212136"/>
    <w:rsid w:val="0021213C"/>
    <w:rsid w:val="002121A2"/>
    <w:rsid w:val="002121A9"/>
    <w:rsid w:val="002121BB"/>
    <w:rsid w:val="00212218"/>
    <w:rsid w:val="0021236B"/>
    <w:rsid w:val="00212396"/>
    <w:rsid w:val="0021239B"/>
    <w:rsid w:val="002123C5"/>
    <w:rsid w:val="002123F3"/>
    <w:rsid w:val="002123FA"/>
    <w:rsid w:val="002123FC"/>
    <w:rsid w:val="0021244C"/>
    <w:rsid w:val="00212507"/>
    <w:rsid w:val="00212515"/>
    <w:rsid w:val="00212597"/>
    <w:rsid w:val="00212607"/>
    <w:rsid w:val="0021266F"/>
    <w:rsid w:val="002126DE"/>
    <w:rsid w:val="002126E1"/>
    <w:rsid w:val="00212737"/>
    <w:rsid w:val="0021278A"/>
    <w:rsid w:val="002127A4"/>
    <w:rsid w:val="002127AA"/>
    <w:rsid w:val="00212828"/>
    <w:rsid w:val="0021286C"/>
    <w:rsid w:val="002128A2"/>
    <w:rsid w:val="002128DD"/>
    <w:rsid w:val="0021294D"/>
    <w:rsid w:val="0021296F"/>
    <w:rsid w:val="002129BC"/>
    <w:rsid w:val="00212A6B"/>
    <w:rsid w:val="00212AA4"/>
    <w:rsid w:val="00212AB3"/>
    <w:rsid w:val="00212B6D"/>
    <w:rsid w:val="00212BBB"/>
    <w:rsid w:val="00212BCD"/>
    <w:rsid w:val="00212BCE"/>
    <w:rsid w:val="00212CBC"/>
    <w:rsid w:val="00212D0A"/>
    <w:rsid w:val="00212D28"/>
    <w:rsid w:val="00212D8A"/>
    <w:rsid w:val="00212DEC"/>
    <w:rsid w:val="00212E03"/>
    <w:rsid w:val="00212E24"/>
    <w:rsid w:val="00212E2B"/>
    <w:rsid w:val="00212E72"/>
    <w:rsid w:val="00212EAD"/>
    <w:rsid w:val="00212EC7"/>
    <w:rsid w:val="00212EFD"/>
    <w:rsid w:val="00212F15"/>
    <w:rsid w:val="00212F39"/>
    <w:rsid w:val="00212F81"/>
    <w:rsid w:val="00212FDC"/>
    <w:rsid w:val="00212FE5"/>
    <w:rsid w:val="0021302A"/>
    <w:rsid w:val="0021304F"/>
    <w:rsid w:val="002130BC"/>
    <w:rsid w:val="002130E3"/>
    <w:rsid w:val="00213106"/>
    <w:rsid w:val="00213114"/>
    <w:rsid w:val="00213153"/>
    <w:rsid w:val="0021319E"/>
    <w:rsid w:val="002131A0"/>
    <w:rsid w:val="002131BF"/>
    <w:rsid w:val="00213209"/>
    <w:rsid w:val="0021322A"/>
    <w:rsid w:val="00213274"/>
    <w:rsid w:val="0021328A"/>
    <w:rsid w:val="002132E9"/>
    <w:rsid w:val="00213351"/>
    <w:rsid w:val="00213381"/>
    <w:rsid w:val="00213397"/>
    <w:rsid w:val="002133EA"/>
    <w:rsid w:val="00213405"/>
    <w:rsid w:val="0021340F"/>
    <w:rsid w:val="00213410"/>
    <w:rsid w:val="0021349E"/>
    <w:rsid w:val="002134C2"/>
    <w:rsid w:val="00213519"/>
    <w:rsid w:val="00213532"/>
    <w:rsid w:val="00213549"/>
    <w:rsid w:val="0021355E"/>
    <w:rsid w:val="0021355F"/>
    <w:rsid w:val="002135B7"/>
    <w:rsid w:val="002135C3"/>
    <w:rsid w:val="002135F4"/>
    <w:rsid w:val="0021362B"/>
    <w:rsid w:val="00213646"/>
    <w:rsid w:val="00213649"/>
    <w:rsid w:val="002136F4"/>
    <w:rsid w:val="00213730"/>
    <w:rsid w:val="00213756"/>
    <w:rsid w:val="00213791"/>
    <w:rsid w:val="002137AC"/>
    <w:rsid w:val="002137C7"/>
    <w:rsid w:val="002137DF"/>
    <w:rsid w:val="00213879"/>
    <w:rsid w:val="0021394F"/>
    <w:rsid w:val="00213956"/>
    <w:rsid w:val="00213985"/>
    <w:rsid w:val="00213987"/>
    <w:rsid w:val="002139E7"/>
    <w:rsid w:val="002139FF"/>
    <w:rsid w:val="00213A18"/>
    <w:rsid w:val="00213A4C"/>
    <w:rsid w:val="00213A5F"/>
    <w:rsid w:val="00213B11"/>
    <w:rsid w:val="00213B2D"/>
    <w:rsid w:val="00213B89"/>
    <w:rsid w:val="00213C13"/>
    <w:rsid w:val="00213C87"/>
    <w:rsid w:val="00213CCE"/>
    <w:rsid w:val="00213D38"/>
    <w:rsid w:val="00213D6D"/>
    <w:rsid w:val="00213DE5"/>
    <w:rsid w:val="00213E21"/>
    <w:rsid w:val="00213E38"/>
    <w:rsid w:val="00213EA0"/>
    <w:rsid w:val="00213ED6"/>
    <w:rsid w:val="00213F1D"/>
    <w:rsid w:val="00213F5A"/>
    <w:rsid w:val="00213F6A"/>
    <w:rsid w:val="00213FAE"/>
    <w:rsid w:val="00213FD7"/>
    <w:rsid w:val="00213FE6"/>
    <w:rsid w:val="00213FE7"/>
    <w:rsid w:val="00214006"/>
    <w:rsid w:val="0021402A"/>
    <w:rsid w:val="00214063"/>
    <w:rsid w:val="00214096"/>
    <w:rsid w:val="002140CD"/>
    <w:rsid w:val="002140D8"/>
    <w:rsid w:val="0021410D"/>
    <w:rsid w:val="0021411D"/>
    <w:rsid w:val="00214124"/>
    <w:rsid w:val="00214156"/>
    <w:rsid w:val="00214187"/>
    <w:rsid w:val="002141B8"/>
    <w:rsid w:val="002141EE"/>
    <w:rsid w:val="0021428F"/>
    <w:rsid w:val="002142F8"/>
    <w:rsid w:val="00214334"/>
    <w:rsid w:val="00214359"/>
    <w:rsid w:val="002143F0"/>
    <w:rsid w:val="002143F5"/>
    <w:rsid w:val="00214421"/>
    <w:rsid w:val="0021442F"/>
    <w:rsid w:val="0021448F"/>
    <w:rsid w:val="00214495"/>
    <w:rsid w:val="002144A3"/>
    <w:rsid w:val="002144B1"/>
    <w:rsid w:val="002144C1"/>
    <w:rsid w:val="0021451D"/>
    <w:rsid w:val="00214576"/>
    <w:rsid w:val="002145BA"/>
    <w:rsid w:val="002145F9"/>
    <w:rsid w:val="00214696"/>
    <w:rsid w:val="002146EC"/>
    <w:rsid w:val="002146ED"/>
    <w:rsid w:val="002146F3"/>
    <w:rsid w:val="0021472C"/>
    <w:rsid w:val="00214787"/>
    <w:rsid w:val="002147AB"/>
    <w:rsid w:val="00214847"/>
    <w:rsid w:val="002148B1"/>
    <w:rsid w:val="002148D7"/>
    <w:rsid w:val="002148DE"/>
    <w:rsid w:val="002148DF"/>
    <w:rsid w:val="002148F8"/>
    <w:rsid w:val="002149E4"/>
    <w:rsid w:val="00214A56"/>
    <w:rsid w:val="00214A75"/>
    <w:rsid w:val="00214A7D"/>
    <w:rsid w:val="00214A84"/>
    <w:rsid w:val="00214B6D"/>
    <w:rsid w:val="00214BB9"/>
    <w:rsid w:val="00214BED"/>
    <w:rsid w:val="00214C4F"/>
    <w:rsid w:val="00214C7E"/>
    <w:rsid w:val="00214C90"/>
    <w:rsid w:val="00214CF4"/>
    <w:rsid w:val="00214D40"/>
    <w:rsid w:val="00214D5A"/>
    <w:rsid w:val="00214D5D"/>
    <w:rsid w:val="00214DEC"/>
    <w:rsid w:val="00214DFA"/>
    <w:rsid w:val="00214E34"/>
    <w:rsid w:val="00214E4D"/>
    <w:rsid w:val="00214E81"/>
    <w:rsid w:val="00214E84"/>
    <w:rsid w:val="00214E8B"/>
    <w:rsid w:val="00214E8F"/>
    <w:rsid w:val="00214E95"/>
    <w:rsid w:val="00214E98"/>
    <w:rsid w:val="00214EC3"/>
    <w:rsid w:val="00214EEB"/>
    <w:rsid w:val="00214F43"/>
    <w:rsid w:val="00214F90"/>
    <w:rsid w:val="00214FD2"/>
    <w:rsid w:val="0021500A"/>
    <w:rsid w:val="0021504C"/>
    <w:rsid w:val="00215052"/>
    <w:rsid w:val="00215094"/>
    <w:rsid w:val="002150B9"/>
    <w:rsid w:val="002150CC"/>
    <w:rsid w:val="002150E7"/>
    <w:rsid w:val="0021510B"/>
    <w:rsid w:val="00215164"/>
    <w:rsid w:val="002151F2"/>
    <w:rsid w:val="002152C3"/>
    <w:rsid w:val="002152F0"/>
    <w:rsid w:val="002153AF"/>
    <w:rsid w:val="002153CD"/>
    <w:rsid w:val="00215426"/>
    <w:rsid w:val="0021544E"/>
    <w:rsid w:val="00215462"/>
    <w:rsid w:val="00215465"/>
    <w:rsid w:val="002154C4"/>
    <w:rsid w:val="002154DF"/>
    <w:rsid w:val="00215555"/>
    <w:rsid w:val="00215567"/>
    <w:rsid w:val="00215577"/>
    <w:rsid w:val="002155C5"/>
    <w:rsid w:val="0021560B"/>
    <w:rsid w:val="00215646"/>
    <w:rsid w:val="00215652"/>
    <w:rsid w:val="002156B3"/>
    <w:rsid w:val="002156DD"/>
    <w:rsid w:val="00215718"/>
    <w:rsid w:val="00215733"/>
    <w:rsid w:val="0021578C"/>
    <w:rsid w:val="002157B8"/>
    <w:rsid w:val="002157CC"/>
    <w:rsid w:val="002157F8"/>
    <w:rsid w:val="00215803"/>
    <w:rsid w:val="0021580A"/>
    <w:rsid w:val="00215847"/>
    <w:rsid w:val="002158AA"/>
    <w:rsid w:val="002158CB"/>
    <w:rsid w:val="002158D1"/>
    <w:rsid w:val="00215932"/>
    <w:rsid w:val="00215968"/>
    <w:rsid w:val="00215992"/>
    <w:rsid w:val="00215A1C"/>
    <w:rsid w:val="00215A20"/>
    <w:rsid w:val="00215A3A"/>
    <w:rsid w:val="00215A56"/>
    <w:rsid w:val="00215A5A"/>
    <w:rsid w:val="00215A86"/>
    <w:rsid w:val="00215AAE"/>
    <w:rsid w:val="00215AB6"/>
    <w:rsid w:val="00215B08"/>
    <w:rsid w:val="00215B14"/>
    <w:rsid w:val="00215B45"/>
    <w:rsid w:val="00215B52"/>
    <w:rsid w:val="00215B5A"/>
    <w:rsid w:val="00215B65"/>
    <w:rsid w:val="00215B6F"/>
    <w:rsid w:val="00215B7C"/>
    <w:rsid w:val="00215BA5"/>
    <w:rsid w:val="00215BDD"/>
    <w:rsid w:val="00215BF1"/>
    <w:rsid w:val="00215C2A"/>
    <w:rsid w:val="00215C5D"/>
    <w:rsid w:val="00215C71"/>
    <w:rsid w:val="00215CC3"/>
    <w:rsid w:val="00215CD7"/>
    <w:rsid w:val="00215D13"/>
    <w:rsid w:val="00215D6B"/>
    <w:rsid w:val="00215D75"/>
    <w:rsid w:val="00215D84"/>
    <w:rsid w:val="00215DA2"/>
    <w:rsid w:val="00215DD6"/>
    <w:rsid w:val="00215DE7"/>
    <w:rsid w:val="00215E09"/>
    <w:rsid w:val="00215E6E"/>
    <w:rsid w:val="00215EA3"/>
    <w:rsid w:val="00215EAF"/>
    <w:rsid w:val="00215EC8"/>
    <w:rsid w:val="00215F11"/>
    <w:rsid w:val="00215FC7"/>
    <w:rsid w:val="00215FE6"/>
    <w:rsid w:val="00215FF8"/>
    <w:rsid w:val="00216066"/>
    <w:rsid w:val="00216092"/>
    <w:rsid w:val="0021610E"/>
    <w:rsid w:val="00216151"/>
    <w:rsid w:val="0021615A"/>
    <w:rsid w:val="002161BB"/>
    <w:rsid w:val="002161C5"/>
    <w:rsid w:val="00216225"/>
    <w:rsid w:val="00216279"/>
    <w:rsid w:val="00216286"/>
    <w:rsid w:val="00216310"/>
    <w:rsid w:val="00216345"/>
    <w:rsid w:val="00216366"/>
    <w:rsid w:val="00216387"/>
    <w:rsid w:val="002163DC"/>
    <w:rsid w:val="00216433"/>
    <w:rsid w:val="00216440"/>
    <w:rsid w:val="00216456"/>
    <w:rsid w:val="0021645A"/>
    <w:rsid w:val="0021645B"/>
    <w:rsid w:val="00216490"/>
    <w:rsid w:val="002164A7"/>
    <w:rsid w:val="002164EA"/>
    <w:rsid w:val="0021652F"/>
    <w:rsid w:val="00216605"/>
    <w:rsid w:val="00216613"/>
    <w:rsid w:val="0021662F"/>
    <w:rsid w:val="0021665B"/>
    <w:rsid w:val="0021668C"/>
    <w:rsid w:val="002166C0"/>
    <w:rsid w:val="002166C4"/>
    <w:rsid w:val="002166CF"/>
    <w:rsid w:val="002166D9"/>
    <w:rsid w:val="00216710"/>
    <w:rsid w:val="0021671E"/>
    <w:rsid w:val="00216783"/>
    <w:rsid w:val="00216887"/>
    <w:rsid w:val="0021688D"/>
    <w:rsid w:val="002168BF"/>
    <w:rsid w:val="002168C2"/>
    <w:rsid w:val="00216907"/>
    <w:rsid w:val="00216909"/>
    <w:rsid w:val="0021693B"/>
    <w:rsid w:val="00216943"/>
    <w:rsid w:val="002169B1"/>
    <w:rsid w:val="00216A02"/>
    <w:rsid w:val="00216A3A"/>
    <w:rsid w:val="00216A3E"/>
    <w:rsid w:val="00216A54"/>
    <w:rsid w:val="00216A7C"/>
    <w:rsid w:val="00216A84"/>
    <w:rsid w:val="00216A9E"/>
    <w:rsid w:val="00216B25"/>
    <w:rsid w:val="00216B4D"/>
    <w:rsid w:val="00216B87"/>
    <w:rsid w:val="00216BA3"/>
    <w:rsid w:val="00216C0F"/>
    <w:rsid w:val="00216CA3"/>
    <w:rsid w:val="00216D68"/>
    <w:rsid w:val="00216DA0"/>
    <w:rsid w:val="00216DDF"/>
    <w:rsid w:val="00216E1F"/>
    <w:rsid w:val="00216E62"/>
    <w:rsid w:val="00216E93"/>
    <w:rsid w:val="00216EA0"/>
    <w:rsid w:val="00216EDC"/>
    <w:rsid w:val="00216EF9"/>
    <w:rsid w:val="00216F68"/>
    <w:rsid w:val="00216FCC"/>
    <w:rsid w:val="00216FE6"/>
    <w:rsid w:val="00216FF5"/>
    <w:rsid w:val="00217035"/>
    <w:rsid w:val="00217055"/>
    <w:rsid w:val="00217096"/>
    <w:rsid w:val="002170A9"/>
    <w:rsid w:val="002170DD"/>
    <w:rsid w:val="002171FC"/>
    <w:rsid w:val="00217227"/>
    <w:rsid w:val="0021729D"/>
    <w:rsid w:val="002172AA"/>
    <w:rsid w:val="002172C7"/>
    <w:rsid w:val="002172E5"/>
    <w:rsid w:val="0021730A"/>
    <w:rsid w:val="00217333"/>
    <w:rsid w:val="0021733A"/>
    <w:rsid w:val="00217345"/>
    <w:rsid w:val="00217352"/>
    <w:rsid w:val="0021739B"/>
    <w:rsid w:val="00217465"/>
    <w:rsid w:val="00217468"/>
    <w:rsid w:val="00217484"/>
    <w:rsid w:val="002174AE"/>
    <w:rsid w:val="002174E5"/>
    <w:rsid w:val="00217502"/>
    <w:rsid w:val="00217515"/>
    <w:rsid w:val="00217522"/>
    <w:rsid w:val="00217540"/>
    <w:rsid w:val="00217562"/>
    <w:rsid w:val="002175C2"/>
    <w:rsid w:val="00217621"/>
    <w:rsid w:val="00217664"/>
    <w:rsid w:val="00217668"/>
    <w:rsid w:val="0021769D"/>
    <w:rsid w:val="002176A1"/>
    <w:rsid w:val="00217710"/>
    <w:rsid w:val="0021775D"/>
    <w:rsid w:val="002177B2"/>
    <w:rsid w:val="002177BF"/>
    <w:rsid w:val="002177F3"/>
    <w:rsid w:val="00217826"/>
    <w:rsid w:val="0021783F"/>
    <w:rsid w:val="00217844"/>
    <w:rsid w:val="00217846"/>
    <w:rsid w:val="00217852"/>
    <w:rsid w:val="00217855"/>
    <w:rsid w:val="0021786A"/>
    <w:rsid w:val="00217874"/>
    <w:rsid w:val="0021787B"/>
    <w:rsid w:val="002178C4"/>
    <w:rsid w:val="00217900"/>
    <w:rsid w:val="0021793E"/>
    <w:rsid w:val="00217941"/>
    <w:rsid w:val="00217947"/>
    <w:rsid w:val="002179B7"/>
    <w:rsid w:val="00217A00"/>
    <w:rsid w:val="00217A05"/>
    <w:rsid w:val="00217AB2"/>
    <w:rsid w:val="00217AF6"/>
    <w:rsid w:val="00217B02"/>
    <w:rsid w:val="00217B1E"/>
    <w:rsid w:val="00217BA0"/>
    <w:rsid w:val="00217C1C"/>
    <w:rsid w:val="00217C3C"/>
    <w:rsid w:val="00217C7A"/>
    <w:rsid w:val="00217D1C"/>
    <w:rsid w:val="00217D37"/>
    <w:rsid w:val="00217D45"/>
    <w:rsid w:val="00217DBB"/>
    <w:rsid w:val="00217DC2"/>
    <w:rsid w:val="00217DD3"/>
    <w:rsid w:val="00217DDE"/>
    <w:rsid w:val="00217DE9"/>
    <w:rsid w:val="00217E29"/>
    <w:rsid w:val="00217ECC"/>
    <w:rsid w:val="00217EF7"/>
    <w:rsid w:val="00217F4F"/>
    <w:rsid w:val="00217FCA"/>
    <w:rsid w:val="00217FE0"/>
    <w:rsid w:val="00217FF8"/>
    <w:rsid w:val="00220035"/>
    <w:rsid w:val="002200B4"/>
    <w:rsid w:val="002200DD"/>
    <w:rsid w:val="00220187"/>
    <w:rsid w:val="00220196"/>
    <w:rsid w:val="002201B2"/>
    <w:rsid w:val="002202A2"/>
    <w:rsid w:val="002202C9"/>
    <w:rsid w:val="002202D1"/>
    <w:rsid w:val="002202D9"/>
    <w:rsid w:val="002202E8"/>
    <w:rsid w:val="00220335"/>
    <w:rsid w:val="00220340"/>
    <w:rsid w:val="00220383"/>
    <w:rsid w:val="00220386"/>
    <w:rsid w:val="0022038F"/>
    <w:rsid w:val="002203D9"/>
    <w:rsid w:val="0022045D"/>
    <w:rsid w:val="002204D5"/>
    <w:rsid w:val="002204E3"/>
    <w:rsid w:val="0022051A"/>
    <w:rsid w:val="0022052C"/>
    <w:rsid w:val="0022055A"/>
    <w:rsid w:val="00220627"/>
    <w:rsid w:val="0022064D"/>
    <w:rsid w:val="00220656"/>
    <w:rsid w:val="0022065D"/>
    <w:rsid w:val="00220680"/>
    <w:rsid w:val="002206B7"/>
    <w:rsid w:val="002206DD"/>
    <w:rsid w:val="0022075C"/>
    <w:rsid w:val="002207BE"/>
    <w:rsid w:val="002207BF"/>
    <w:rsid w:val="002207C0"/>
    <w:rsid w:val="002207E9"/>
    <w:rsid w:val="002207EA"/>
    <w:rsid w:val="0022083D"/>
    <w:rsid w:val="00220843"/>
    <w:rsid w:val="002208AF"/>
    <w:rsid w:val="002208DF"/>
    <w:rsid w:val="002208F9"/>
    <w:rsid w:val="00220930"/>
    <w:rsid w:val="00220942"/>
    <w:rsid w:val="00220968"/>
    <w:rsid w:val="00220979"/>
    <w:rsid w:val="002209C4"/>
    <w:rsid w:val="002209C7"/>
    <w:rsid w:val="002209EA"/>
    <w:rsid w:val="002209F9"/>
    <w:rsid w:val="00220A39"/>
    <w:rsid w:val="00220A55"/>
    <w:rsid w:val="00220A6F"/>
    <w:rsid w:val="00220ABF"/>
    <w:rsid w:val="00220B0B"/>
    <w:rsid w:val="00220B4D"/>
    <w:rsid w:val="00220B79"/>
    <w:rsid w:val="00220B92"/>
    <w:rsid w:val="00220BD6"/>
    <w:rsid w:val="00220BF7"/>
    <w:rsid w:val="00220C05"/>
    <w:rsid w:val="00220C5C"/>
    <w:rsid w:val="00220CB3"/>
    <w:rsid w:val="00220CD7"/>
    <w:rsid w:val="00220CD9"/>
    <w:rsid w:val="00220CFF"/>
    <w:rsid w:val="00220D04"/>
    <w:rsid w:val="00220D42"/>
    <w:rsid w:val="00220D4D"/>
    <w:rsid w:val="00220D7C"/>
    <w:rsid w:val="00220E12"/>
    <w:rsid w:val="00220E2F"/>
    <w:rsid w:val="00220E4B"/>
    <w:rsid w:val="00220E83"/>
    <w:rsid w:val="00220EE7"/>
    <w:rsid w:val="0022100A"/>
    <w:rsid w:val="0022100D"/>
    <w:rsid w:val="00221024"/>
    <w:rsid w:val="0022104D"/>
    <w:rsid w:val="00221070"/>
    <w:rsid w:val="00221098"/>
    <w:rsid w:val="002210C8"/>
    <w:rsid w:val="0022112A"/>
    <w:rsid w:val="00221141"/>
    <w:rsid w:val="00221190"/>
    <w:rsid w:val="002211CC"/>
    <w:rsid w:val="002211E9"/>
    <w:rsid w:val="00221254"/>
    <w:rsid w:val="002212DE"/>
    <w:rsid w:val="0022133C"/>
    <w:rsid w:val="002213BC"/>
    <w:rsid w:val="002213E1"/>
    <w:rsid w:val="00221444"/>
    <w:rsid w:val="00221495"/>
    <w:rsid w:val="002214A6"/>
    <w:rsid w:val="00221518"/>
    <w:rsid w:val="0022155E"/>
    <w:rsid w:val="00221562"/>
    <w:rsid w:val="00221596"/>
    <w:rsid w:val="002215D8"/>
    <w:rsid w:val="00221607"/>
    <w:rsid w:val="00221612"/>
    <w:rsid w:val="00221647"/>
    <w:rsid w:val="00221679"/>
    <w:rsid w:val="0022169E"/>
    <w:rsid w:val="002216A9"/>
    <w:rsid w:val="002216F3"/>
    <w:rsid w:val="0022171E"/>
    <w:rsid w:val="0022176F"/>
    <w:rsid w:val="00221794"/>
    <w:rsid w:val="00221797"/>
    <w:rsid w:val="002217B4"/>
    <w:rsid w:val="00221853"/>
    <w:rsid w:val="002218B0"/>
    <w:rsid w:val="002218D1"/>
    <w:rsid w:val="002218F1"/>
    <w:rsid w:val="00221A5A"/>
    <w:rsid w:val="00221AED"/>
    <w:rsid w:val="00221B71"/>
    <w:rsid w:val="00221B9F"/>
    <w:rsid w:val="00221BB3"/>
    <w:rsid w:val="00221C29"/>
    <w:rsid w:val="00221C35"/>
    <w:rsid w:val="00221C48"/>
    <w:rsid w:val="00221C79"/>
    <w:rsid w:val="00221CBB"/>
    <w:rsid w:val="00221CDF"/>
    <w:rsid w:val="00221CE8"/>
    <w:rsid w:val="00221D20"/>
    <w:rsid w:val="00221D37"/>
    <w:rsid w:val="00221D55"/>
    <w:rsid w:val="00221D61"/>
    <w:rsid w:val="00221D6E"/>
    <w:rsid w:val="00221D7D"/>
    <w:rsid w:val="00221DC8"/>
    <w:rsid w:val="00221DCC"/>
    <w:rsid w:val="00221EA2"/>
    <w:rsid w:val="00221EBC"/>
    <w:rsid w:val="00221F13"/>
    <w:rsid w:val="00221FD0"/>
    <w:rsid w:val="00221FE8"/>
    <w:rsid w:val="00221FEA"/>
    <w:rsid w:val="0022204B"/>
    <w:rsid w:val="0022204F"/>
    <w:rsid w:val="002220A4"/>
    <w:rsid w:val="002220A9"/>
    <w:rsid w:val="0022210F"/>
    <w:rsid w:val="0022214A"/>
    <w:rsid w:val="00222194"/>
    <w:rsid w:val="002221AC"/>
    <w:rsid w:val="002221B7"/>
    <w:rsid w:val="002221D4"/>
    <w:rsid w:val="002221E6"/>
    <w:rsid w:val="00222232"/>
    <w:rsid w:val="002222B5"/>
    <w:rsid w:val="002222C4"/>
    <w:rsid w:val="002222F0"/>
    <w:rsid w:val="00222307"/>
    <w:rsid w:val="00222364"/>
    <w:rsid w:val="00222404"/>
    <w:rsid w:val="0022240F"/>
    <w:rsid w:val="00222416"/>
    <w:rsid w:val="0022241A"/>
    <w:rsid w:val="0022242C"/>
    <w:rsid w:val="002224AF"/>
    <w:rsid w:val="002224BD"/>
    <w:rsid w:val="002224E2"/>
    <w:rsid w:val="00222579"/>
    <w:rsid w:val="0022259D"/>
    <w:rsid w:val="002225AC"/>
    <w:rsid w:val="0022266D"/>
    <w:rsid w:val="00222726"/>
    <w:rsid w:val="0022277F"/>
    <w:rsid w:val="002227AE"/>
    <w:rsid w:val="00222811"/>
    <w:rsid w:val="0022282C"/>
    <w:rsid w:val="00222837"/>
    <w:rsid w:val="00222867"/>
    <w:rsid w:val="002228D6"/>
    <w:rsid w:val="0022291C"/>
    <w:rsid w:val="00222926"/>
    <w:rsid w:val="00222A6D"/>
    <w:rsid w:val="00222A77"/>
    <w:rsid w:val="00222A89"/>
    <w:rsid w:val="00222A95"/>
    <w:rsid w:val="00222AB4"/>
    <w:rsid w:val="00222ACA"/>
    <w:rsid w:val="00222AF8"/>
    <w:rsid w:val="00222B0D"/>
    <w:rsid w:val="00222B8A"/>
    <w:rsid w:val="00222BCE"/>
    <w:rsid w:val="00222BE2"/>
    <w:rsid w:val="00222BFF"/>
    <w:rsid w:val="00222C59"/>
    <w:rsid w:val="00222C70"/>
    <w:rsid w:val="00222C96"/>
    <w:rsid w:val="00222D4C"/>
    <w:rsid w:val="00222D56"/>
    <w:rsid w:val="00222D67"/>
    <w:rsid w:val="00222D74"/>
    <w:rsid w:val="00222DCC"/>
    <w:rsid w:val="00222DEF"/>
    <w:rsid w:val="00222E1A"/>
    <w:rsid w:val="00222E5A"/>
    <w:rsid w:val="00222F3B"/>
    <w:rsid w:val="00222F72"/>
    <w:rsid w:val="00222FC8"/>
    <w:rsid w:val="00222FE9"/>
    <w:rsid w:val="00222FF0"/>
    <w:rsid w:val="00222FF4"/>
    <w:rsid w:val="0022301B"/>
    <w:rsid w:val="00223079"/>
    <w:rsid w:val="002230D1"/>
    <w:rsid w:val="00223126"/>
    <w:rsid w:val="00223150"/>
    <w:rsid w:val="00223195"/>
    <w:rsid w:val="00223265"/>
    <w:rsid w:val="0022327A"/>
    <w:rsid w:val="002232C5"/>
    <w:rsid w:val="002232E7"/>
    <w:rsid w:val="0022332D"/>
    <w:rsid w:val="00223367"/>
    <w:rsid w:val="00223393"/>
    <w:rsid w:val="00223423"/>
    <w:rsid w:val="0022344D"/>
    <w:rsid w:val="00223459"/>
    <w:rsid w:val="002234DA"/>
    <w:rsid w:val="0022352C"/>
    <w:rsid w:val="00223543"/>
    <w:rsid w:val="002235B4"/>
    <w:rsid w:val="002235C0"/>
    <w:rsid w:val="002235DE"/>
    <w:rsid w:val="00223611"/>
    <w:rsid w:val="00223621"/>
    <w:rsid w:val="0022367D"/>
    <w:rsid w:val="002236EB"/>
    <w:rsid w:val="00223700"/>
    <w:rsid w:val="0022373E"/>
    <w:rsid w:val="00223768"/>
    <w:rsid w:val="00223769"/>
    <w:rsid w:val="002237C2"/>
    <w:rsid w:val="002237E0"/>
    <w:rsid w:val="0022380C"/>
    <w:rsid w:val="00223830"/>
    <w:rsid w:val="0022385D"/>
    <w:rsid w:val="0022386A"/>
    <w:rsid w:val="00223875"/>
    <w:rsid w:val="0022389F"/>
    <w:rsid w:val="00223913"/>
    <w:rsid w:val="0022396E"/>
    <w:rsid w:val="0022397A"/>
    <w:rsid w:val="00223993"/>
    <w:rsid w:val="002239BB"/>
    <w:rsid w:val="002239CD"/>
    <w:rsid w:val="002239E1"/>
    <w:rsid w:val="002239F9"/>
    <w:rsid w:val="00223A33"/>
    <w:rsid w:val="00223B06"/>
    <w:rsid w:val="00223B83"/>
    <w:rsid w:val="00223BAE"/>
    <w:rsid w:val="00223CA8"/>
    <w:rsid w:val="00223CDC"/>
    <w:rsid w:val="00223CDD"/>
    <w:rsid w:val="00223CFE"/>
    <w:rsid w:val="00223D32"/>
    <w:rsid w:val="00223E23"/>
    <w:rsid w:val="00223E71"/>
    <w:rsid w:val="00223E86"/>
    <w:rsid w:val="00223ED5"/>
    <w:rsid w:val="00223EFD"/>
    <w:rsid w:val="00223F54"/>
    <w:rsid w:val="00223FB1"/>
    <w:rsid w:val="0022403B"/>
    <w:rsid w:val="00224040"/>
    <w:rsid w:val="00224080"/>
    <w:rsid w:val="002240A3"/>
    <w:rsid w:val="002240B8"/>
    <w:rsid w:val="002240BC"/>
    <w:rsid w:val="002240D7"/>
    <w:rsid w:val="00224119"/>
    <w:rsid w:val="0022413F"/>
    <w:rsid w:val="00224180"/>
    <w:rsid w:val="002241BF"/>
    <w:rsid w:val="002241EC"/>
    <w:rsid w:val="002241F0"/>
    <w:rsid w:val="002241FD"/>
    <w:rsid w:val="002241FF"/>
    <w:rsid w:val="00224238"/>
    <w:rsid w:val="00224267"/>
    <w:rsid w:val="002242E9"/>
    <w:rsid w:val="0022436D"/>
    <w:rsid w:val="00224392"/>
    <w:rsid w:val="002243D0"/>
    <w:rsid w:val="00224408"/>
    <w:rsid w:val="0022446E"/>
    <w:rsid w:val="00224476"/>
    <w:rsid w:val="002244CA"/>
    <w:rsid w:val="0022454B"/>
    <w:rsid w:val="00224563"/>
    <w:rsid w:val="00224592"/>
    <w:rsid w:val="00224598"/>
    <w:rsid w:val="0022459E"/>
    <w:rsid w:val="002245EC"/>
    <w:rsid w:val="00224618"/>
    <w:rsid w:val="00224683"/>
    <w:rsid w:val="002246D8"/>
    <w:rsid w:val="0022470F"/>
    <w:rsid w:val="00224739"/>
    <w:rsid w:val="00224744"/>
    <w:rsid w:val="002247C4"/>
    <w:rsid w:val="00224877"/>
    <w:rsid w:val="00224933"/>
    <w:rsid w:val="00224A4B"/>
    <w:rsid w:val="00224AA1"/>
    <w:rsid w:val="00224AB2"/>
    <w:rsid w:val="00224AFF"/>
    <w:rsid w:val="00224B21"/>
    <w:rsid w:val="00224B53"/>
    <w:rsid w:val="00224BA3"/>
    <w:rsid w:val="00224BB1"/>
    <w:rsid w:val="00224BEE"/>
    <w:rsid w:val="00224BF7"/>
    <w:rsid w:val="00224C99"/>
    <w:rsid w:val="00224CA3"/>
    <w:rsid w:val="00224CBD"/>
    <w:rsid w:val="00224CF5"/>
    <w:rsid w:val="00224D30"/>
    <w:rsid w:val="00224D3C"/>
    <w:rsid w:val="00224D53"/>
    <w:rsid w:val="00224D7A"/>
    <w:rsid w:val="00224D82"/>
    <w:rsid w:val="00224DB6"/>
    <w:rsid w:val="00224DBF"/>
    <w:rsid w:val="00224DD2"/>
    <w:rsid w:val="00224E48"/>
    <w:rsid w:val="00224EC3"/>
    <w:rsid w:val="00224EC9"/>
    <w:rsid w:val="00224F13"/>
    <w:rsid w:val="00224F16"/>
    <w:rsid w:val="00224F3B"/>
    <w:rsid w:val="00224F55"/>
    <w:rsid w:val="00224F65"/>
    <w:rsid w:val="00224F80"/>
    <w:rsid w:val="00224FAA"/>
    <w:rsid w:val="00224FBB"/>
    <w:rsid w:val="00224FC8"/>
    <w:rsid w:val="00224FD6"/>
    <w:rsid w:val="00225037"/>
    <w:rsid w:val="00225045"/>
    <w:rsid w:val="0022505D"/>
    <w:rsid w:val="00225088"/>
    <w:rsid w:val="002250E9"/>
    <w:rsid w:val="002250EC"/>
    <w:rsid w:val="0022511C"/>
    <w:rsid w:val="00225133"/>
    <w:rsid w:val="0022515A"/>
    <w:rsid w:val="0022516D"/>
    <w:rsid w:val="002251ED"/>
    <w:rsid w:val="002251FA"/>
    <w:rsid w:val="0022523D"/>
    <w:rsid w:val="00225274"/>
    <w:rsid w:val="002252B0"/>
    <w:rsid w:val="00225306"/>
    <w:rsid w:val="0022531C"/>
    <w:rsid w:val="00225334"/>
    <w:rsid w:val="00225535"/>
    <w:rsid w:val="0022557D"/>
    <w:rsid w:val="002255A8"/>
    <w:rsid w:val="002255BB"/>
    <w:rsid w:val="002255C9"/>
    <w:rsid w:val="0022560F"/>
    <w:rsid w:val="0022564F"/>
    <w:rsid w:val="00225689"/>
    <w:rsid w:val="002256D8"/>
    <w:rsid w:val="0022570E"/>
    <w:rsid w:val="002257B0"/>
    <w:rsid w:val="00225816"/>
    <w:rsid w:val="00225831"/>
    <w:rsid w:val="0022584B"/>
    <w:rsid w:val="0022586E"/>
    <w:rsid w:val="00225970"/>
    <w:rsid w:val="002259A4"/>
    <w:rsid w:val="002259E5"/>
    <w:rsid w:val="00225A08"/>
    <w:rsid w:val="00225A39"/>
    <w:rsid w:val="00225A51"/>
    <w:rsid w:val="00225A54"/>
    <w:rsid w:val="00225A58"/>
    <w:rsid w:val="00225A68"/>
    <w:rsid w:val="00225ABE"/>
    <w:rsid w:val="00225ACF"/>
    <w:rsid w:val="00225ADF"/>
    <w:rsid w:val="00225AED"/>
    <w:rsid w:val="00225B1D"/>
    <w:rsid w:val="00225B72"/>
    <w:rsid w:val="00225B81"/>
    <w:rsid w:val="00225BCF"/>
    <w:rsid w:val="00225BF1"/>
    <w:rsid w:val="00225C31"/>
    <w:rsid w:val="00225C48"/>
    <w:rsid w:val="00225C6F"/>
    <w:rsid w:val="00225C8A"/>
    <w:rsid w:val="00225D2D"/>
    <w:rsid w:val="00225D8D"/>
    <w:rsid w:val="00225DA3"/>
    <w:rsid w:val="00225DC9"/>
    <w:rsid w:val="00225DE5"/>
    <w:rsid w:val="00225DF2"/>
    <w:rsid w:val="00225E30"/>
    <w:rsid w:val="00225F12"/>
    <w:rsid w:val="00225F3D"/>
    <w:rsid w:val="00225F4A"/>
    <w:rsid w:val="00226004"/>
    <w:rsid w:val="0022600F"/>
    <w:rsid w:val="0022602A"/>
    <w:rsid w:val="0022602D"/>
    <w:rsid w:val="0022604C"/>
    <w:rsid w:val="0022608D"/>
    <w:rsid w:val="00226098"/>
    <w:rsid w:val="002260AA"/>
    <w:rsid w:val="002260DC"/>
    <w:rsid w:val="002260EB"/>
    <w:rsid w:val="002260FC"/>
    <w:rsid w:val="002260FF"/>
    <w:rsid w:val="0022610C"/>
    <w:rsid w:val="00226197"/>
    <w:rsid w:val="002261F0"/>
    <w:rsid w:val="00226212"/>
    <w:rsid w:val="00226293"/>
    <w:rsid w:val="0022629E"/>
    <w:rsid w:val="002262E4"/>
    <w:rsid w:val="00226357"/>
    <w:rsid w:val="002263D8"/>
    <w:rsid w:val="002263F3"/>
    <w:rsid w:val="00226525"/>
    <w:rsid w:val="0022656D"/>
    <w:rsid w:val="00226578"/>
    <w:rsid w:val="00226589"/>
    <w:rsid w:val="0022658B"/>
    <w:rsid w:val="00226611"/>
    <w:rsid w:val="00226631"/>
    <w:rsid w:val="00226636"/>
    <w:rsid w:val="00226645"/>
    <w:rsid w:val="00226667"/>
    <w:rsid w:val="002266E6"/>
    <w:rsid w:val="002266ED"/>
    <w:rsid w:val="002266F1"/>
    <w:rsid w:val="0022671C"/>
    <w:rsid w:val="0022677E"/>
    <w:rsid w:val="002268BF"/>
    <w:rsid w:val="002268C5"/>
    <w:rsid w:val="002268EC"/>
    <w:rsid w:val="0022693A"/>
    <w:rsid w:val="0022693C"/>
    <w:rsid w:val="0022698D"/>
    <w:rsid w:val="002269BF"/>
    <w:rsid w:val="002269C5"/>
    <w:rsid w:val="002269CB"/>
    <w:rsid w:val="002269EE"/>
    <w:rsid w:val="00226A0F"/>
    <w:rsid w:val="00226A1E"/>
    <w:rsid w:val="00226A61"/>
    <w:rsid w:val="00226A75"/>
    <w:rsid w:val="00226B45"/>
    <w:rsid w:val="00226B70"/>
    <w:rsid w:val="00226B76"/>
    <w:rsid w:val="00226B8F"/>
    <w:rsid w:val="00226C39"/>
    <w:rsid w:val="00226C45"/>
    <w:rsid w:val="00226C51"/>
    <w:rsid w:val="00226C9C"/>
    <w:rsid w:val="00226CF2"/>
    <w:rsid w:val="00226D12"/>
    <w:rsid w:val="00226D27"/>
    <w:rsid w:val="00226D2F"/>
    <w:rsid w:val="00226D42"/>
    <w:rsid w:val="00226D62"/>
    <w:rsid w:val="00226D7F"/>
    <w:rsid w:val="00226DAB"/>
    <w:rsid w:val="00226DB3"/>
    <w:rsid w:val="00226E24"/>
    <w:rsid w:val="00226E85"/>
    <w:rsid w:val="00226E9C"/>
    <w:rsid w:val="00226ECF"/>
    <w:rsid w:val="00226EDD"/>
    <w:rsid w:val="00226F57"/>
    <w:rsid w:val="00226F5C"/>
    <w:rsid w:val="00226F7D"/>
    <w:rsid w:val="00226FAF"/>
    <w:rsid w:val="00226FDB"/>
    <w:rsid w:val="0022701F"/>
    <w:rsid w:val="0022703E"/>
    <w:rsid w:val="00227041"/>
    <w:rsid w:val="00227066"/>
    <w:rsid w:val="00227073"/>
    <w:rsid w:val="002270C6"/>
    <w:rsid w:val="002270DF"/>
    <w:rsid w:val="002270F6"/>
    <w:rsid w:val="0022710B"/>
    <w:rsid w:val="00227142"/>
    <w:rsid w:val="00227146"/>
    <w:rsid w:val="0022715C"/>
    <w:rsid w:val="00227173"/>
    <w:rsid w:val="00227188"/>
    <w:rsid w:val="002271D2"/>
    <w:rsid w:val="0022721D"/>
    <w:rsid w:val="00227240"/>
    <w:rsid w:val="00227289"/>
    <w:rsid w:val="00227292"/>
    <w:rsid w:val="002272AD"/>
    <w:rsid w:val="00227356"/>
    <w:rsid w:val="0022737E"/>
    <w:rsid w:val="00227392"/>
    <w:rsid w:val="002273C1"/>
    <w:rsid w:val="00227418"/>
    <w:rsid w:val="0022743E"/>
    <w:rsid w:val="00227484"/>
    <w:rsid w:val="00227497"/>
    <w:rsid w:val="0022749C"/>
    <w:rsid w:val="002274F0"/>
    <w:rsid w:val="0022753D"/>
    <w:rsid w:val="00227599"/>
    <w:rsid w:val="002275A8"/>
    <w:rsid w:val="00227659"/>
    <w:rsid w:val="0022767F"/>
    <w:rsid w:val="002276B2"/>
    <w:rsid w:val="002276FA"/>
    <w:rsid w:val="00227760"/>
    <w:rsid w:val="00227799"/>
    <w:rsid w:val="002277FB"/>
    <w:rsid w:val="0022784F"/>
    <w:rsid w:val="00227876"/>
    <w:rsid w:val="002278B4"/>
    <w:rsid w:val="002278BB"/>
    <w:rsid w:val="002278F7"/>
    <w:rsid w:val="0022791F"/>
    <w:rsid w:val="00227940"/>
    <w:rsid w:val="0022799F"/>
    <w:rsid w:val="002279C9"/>
    <w:rsid w:val="002279D0"/>
    <w:rsid w:val="002279FA"/>
    <w:rsid w:val="00227A0A"/>
    <w:rsid w:val="00227A26"/>
    <w:rsid w:val="00227A54"/>
    <w:rsid w:val="00227AA4"/>
    <w:rsid w:val="00227AF0"/>
    <w:rsid w:val="00227AFB"/>
    <w:rsid w:val="00227B01"/>
    <w:rsid w:val="00227B83"/>
    <w:rsid w:val="00227BAE"/>
    <w:rsid w:val="00227C05"/>
    <w:rsid w:val="00227C57"/>
    <w:rsid w:val="00227C7A"/>
    <w:rsid w:val="00227D1E"/>
    <w:rsid w:val="00227D22"/>
    <w:rsid w:val="00227D43"/>
    <w:rsid w:val="00227D6E"/>
    <w:rsid w:val="00227E16"/>
    <w:rsid w:val="00227E53"/>
    <w:rsid w:val="00227E55"/>
    <w:rsid w:val="00227E9C"/>
    <w:rsid w:val="00227EAE"/>
    <w:rsid w:val="00227EE5"/>
    <w:rsid w:val="00227F18"/>
    <w:rsid w:val="00227F53"/>
    <w:rsid w:val="00227F7A"/>
    <w:rsid w:val="00227FB6"/>
    <w:rsid w:val="00227FCB"/>
    <w:rsid w:val="00230013"/>
    <w:rsid w:val="00230035"/>
    <w:rsid w:val="00230061"/>
    <w:rsid w:val="002300AD"/>
    <w:rsid w:val="002300BE"/>
    <w:rsid w:val="002300D4"/>
    <w:rsid w:val="002301A2"/>
    <w:rsid w:val="002301DA"/>
    <w:rsid w:val="002301E3"/>
    <w:rsid w:val="00230212"/>
    <w:rsid w:val="0023021A"/>
    <w:rsid w:val="00230245"/>
    <w:rsid w:val="00230283"/>
    <w:rsid w:val="002302B5"/>
    <w:rsid w:val="002302BF"/>
    <w:rsid w:val="002302D6"/>
    <w:rsid w:val="002302E4"/>
    <w:rsid w:val="00230337"/>
    <w:rsid w:val="002303BC"/>
    <w:rsid w:val="002304DE"/>
    <w:rsid w:val="002304EF"/>
    <w:rsid w:val="0023054D"/>
    <w:rsid w:val="00230553"/>
    <w:rsid w:val="00230562"/>
    <w:rsid w:val="002305A2"/>
    <w:rsid w:val="002305B0"/>
    <w:rsid w:val="002305B5"/>
    <w:rsid w:val="002305BC"/>
    <w:rsid w:val="002305F0"/>
    <w:rsid w:val="0023062D"/>
    <w:rsid w:val="00230651"/>
    <w:rsid w:val="00230656"/>
    <w:rsid w:val="00230691"/>
    <w:rsid w:val="002306D5"/>
    <w:rsid w:val="002306E2"/>
    <w:rsid w:val="0023070A"/>
    <w:rsid w:val="00230846"/>
    <w:rsid w:val="002308EA"/>
    <w:rsid w:val="00230909"/>
    <w:rsid w:val="0023090E"/>
    <w:rsid w:val="0023096E"/>
    <w:rsid w:val="002309AF"/>
    <w:rsid w:val="002309BE"/>
    <w:rsid w:val="002309CB"/>
    <w:rsid w:val="002309FF"/>
    <w:rsid w:val="00230A0D"/>
    <w:rsid w:val="00230A4D"/>
    <w:rsid w:val="00230A55"/>
    <w:rsid w:val="00230AA8"/>
    <w:rsid w:val="00230AF2"/>
    <w:rsid w:val="00230B0C"/>
    <w:rsid w:val="00230B0E"/>
    <w:rsid w:val="00230B61"/>
    <w:rsid w:val="00230B74"/>
    <w:rsid w:val="00230B77"/>
    <w:rsid w:val="00230BB5"/>
    <w:rsid w:val="00230C20"/>
    <w:rsid w:val="00230CB1"/>
    <w:rsid w:val="00230D24"/>
    <w:rsid w:val="00230D87"/>
    <w:rsid w:val="00230DC6"/>
    <w:rsid w:val="00230DDA"/>
    <w:rsid w:val="00230DEB"/>
    <w:rsid w:val="00230E09"/>
    <w:rsid w:val="00230E3A"/>
    <w:rsid w:val="00230E73"/>
    <w:rsid w:val="00230F1F"/>
    <w:rsid w:val="00230F27"/>
    <w:rsid w:val="00230F4F"/>
    <w:rsid w:val="00230FB1"/>
    <w:rsid w:val="00230FE5"/>
    <w:rsid w:val="00231084"/>
    <w:rsid w:val="002310C4"/>
    <w:rsid w:val="00231121"/>
    <w:rsid w:val="00231144"/>
    <w:rsid w:val="00231166"/>
    <w:rsid w:val="00231171"/>
    <w:rsid w:val="0023126A"/>
    <w:rsid w:val="00231290"/>
    <w:rsid w:val="002312C3"/>
    <w:rsid w:val="002312D1"/>
    <w:rsid w:val="0023130A"/>
    <w:rsid w:val="00231313"/>
    <w:rsid w:val="00231396"/>
    <w:rsid w:val="0023143A"/>
    <w:rsid w:val="002314D7"/>
    <w:rsid w:val="00231529"/>
    <w:rsid w:val="00231546"/>
    <w:rsid w:val="00231560"/>
    <w:rsid w:val="0023159C"/>
    <w:rsid w:val="002315A1"/>
    <w:rsid w:val="002315DE"/>
    <w:rsid w:val="002315E8"/>
    <w:rsid w:val="00231601"/>
    <w:rsid w:val="0023160F"/>
    <w:rsid w:val="00231630"/>
    <w:rsid w:val="002316D9"/>
    <w:rsid w:val="0023170B"/>
    <w:rsid w:val="00231756"/>
    <w:rsid w:val="0023178C"/>
    <w:rsid w:val="002317B2"/>
    <w:rsid w:val="002317B6"/>
    <w:rsid w:val="002317D3"/>
    <w:rsid w:val="00231837"/>
    <w:rsid w:val="00231845"/>
    <w:rsid w:val="0023186B"/>
    <w:rsid w:val="002318A0"/>
    <w:rsid w:val="002318B9"/>
    <w:rsid w:val="00231932"/>
    <w:rsid w:val="0023197E"/>
    <w:rsid w:val="002319E2"/>
    <w:rsid w:val="00231A1E"/>
    <w:rsid w:val="00231A34"/>
    <w:rsid w:val="00231A39"/>
    <w:rsid w:val="00231ACF"/>
    <w:rsid w:val="00231AE8"/>
    <w:rsid w:val="00231B94"/>
    <w:rsid w:val="00231BD2"/>
    <w:rsid w:val="00231BEA"/>
    <w:rsid w:val="00231C0D"/>
    <w:rsid w:val="00231C9D"/>
    <w:rsid w:val="00231CE8"/>
    <w:rsid w:val="00231CED"/>
    <w:rsid w:val="00231CF5"/>
    <w:rsid w:val="00231D76"/>
    <w:rsid w:val="00231DFB"/>
    <w:rsid w:val="00231E31"/>
    <w:rsid w:val="00231E8A"/>
    <w:rsid w:val="00231EC6"/>
    <w:rsid w:val="00231ED3"/>
    <w:rsid w:val="00231EEF"/>
    <w:rsid w:val="00231F21"/>
    <w:rsid w:val="00232037"/>
    <w:rsid w:val="0023203D"/>
    <w:rsid w:val="00232047"/>
    <w:rsid w:val="00232065"/>
    <w:rsid w:val="002320BF"/>
    <w:rsid w:val="002320ED"/>
    <w:rsid w:val="00232109"/>
    <w:rsid w:val="00232160"/>
    <w:rsid w:val="0023218B"/>
    <w:rsid w:val="002321BF"/>
    <w:rsid w:val="002321D5"/>
    <w:rsid w:val="002321EE"/>
    <w:rsid w:val="002321F3"/>
    <w:rsid w:val="002321F5"/>
    <w:rsid w:val="002321F7"/>
    <w:rsid w:val="002322AB"/>
    <w:rsid w:val="002322D5"/>
    <w:rsid w:val="002322F2"/>
    <w:rsid w:val="00232307"/>
    <w:rsid w:val="00232363"/>
    <w:rsid w:val="0023236B"/>
    <w:rsid w:val="002323D7"/>
    <w:rsid w:val="002323F7"/>
    <w:rsid w:val="00232418"/>
    <w:rsid w:val="0023242F"/>
    <w:rsid w:val="0023248E"/>
    <w:rsid w:val="00232501"/>
    <w:rsid w:val="00232553"/>
    <w:rsid w:val="0023261A"/>
    <w:rsid w:val="0023261E"/>
    <w:rsid w:val="00232639"/>
    <w:rsid w:val="0023269C"/>
    <w:rsid w:val="002326DC"/>
    <w:rsid w:val="0023280D"/>
    <w:rsid w:val="00232815"/>
    <w:rsid w:val="00232873"/>
    <w:rsid w:val="002328D8"/>
    <w:rsid w:val="0023292A"/>
    <w:rsid w:val="0023293F"/>
    <w:rsid w:val="00232946"/>
    <w:rsid w:val="0023299A"/>
    <w:rsid w:val="002329F2"/>
    <w:rsid w:val="00232A0C"/>
    <w:rsid w:val="00232A3C"/>
    <w:rsid w:val="00232A43"/>
    <w:rsid w:val="00232A51"/>
    <w:rsid w:val="00232AA2"/>
    <w:rsid w:val="00232AC4"/>
    <w:rsid w:val="00232B23"/>
    <w:rsid w:val="00232BAB"/>
    <w:rsid w:val="00232BAD"/>
    <w:rsid w:val="00232BBA"/>
    <w:rsid w:val="00232BEB"/>
    <w:rsid w:val="00232C6C"/>
    <w:rsid w:val="00232D02"/>
    <w:rsid w:val="00232D11"/>
    <w:rsid w:val="00232D6D"/>
    <w:rsid w:val="00232D6F"/>
    <w:rsid w:val="00232D84"/>
    <w:rsid w:val="00232D89"/>
    <w:rsid w:val="00232E78"/>
    <w:rsid w:val="00232E87"/>
    <w:rsid w:val="00232F1F"/>
    <w:rsid w:val="00232F33"/>
    <w:rsid w:val="00232F59"/>
    <w:rsid w:val="00232FB0"/>
    <w:rsid w:val="00232FB6"/>
    <w:rsid w:val="00232FCA"/>
    <w:rsid w:val="00232FD5"/>
    <w:rsid w:val="00233003"/>
    <w:rsid w:val="0023302F"/>
    <w:rsid w:val="00233041"/>
    <w:rsid w:val="00233074"/>
    <w:rsid w:val="00233080"/>
    <w:rsid w:val="002330A9"/>
    <w:rsid w:val="002330C8"/>
    <w:rsid w:val="002330E4"/>
    <w:rsid w:val="002330F2"/>
    <w:rsid w:val="00233199"/>
    <w:rsid w:val="0023320C"/>
    <w:rsid w:val="00233251"/>
    <w:rsid w:val="0023326B"/>
    <w:rsid w:val="0023338F"/>
    <w:rsid w:val="0023342A"/>
    <w:rsid w:val="0023349B"/>
    <w:rsid w:val="002334C0"/>
    <w:rsid w:val="00233510"/>
    <w:rsid w:val="0023351F"/>
    <w:rsid w:val="00233528"/>
    <w:rsid w:val="0023352C"/>
    <w:rsid w:val="002335A3"/>
    <w:rsid w:val="00233632"/>
    <w:rsid w:val="00233688"/>
    <w:rsid w:val="002336AC"/>
    <w:rsid w:val="002336BC"/>
    <w:rsid w:val="002336C7"/>
    <w:rsid w:val="002336C9"/>
    <w:rsid w:val="002336E4"/>
    <w:rsid w:val="002336FB"/>
    <w:rsid w:val="0023372D"/>
    <w:rsid w:val="0023375D"/>
    <w:rsid w:val="002337C8"/>
    <w:rsid w:val="00233849"/>
    <w:rsid w:val="00233881"/>
    <w:rsid w:val="002338B2"/>
    <w:rsid w:val="002339BE"/>
    <w:rsid w:val="002339C3"/>
    <w:rsid w:val="002339E6"/>
    <w:rsid w:val="002339FD"/>
    <w:rsid w:val="00233A21"/>
    <w:rsid w:val="00233A8F"/>
    <w:rsid w:val="00233B05"/>
    <w:rsid w:val="00233B67"/>
    <w:rsid w:val="00233B81"/>
    <w:rsid w:val="00233B9F"/>
    <w:rsid w:val="00233BA0"/>
    <w:rsid w:val="00233BB0"/>
    <w:rsid w:val="00233BB1"/>
    <w:rsid w:val="00233BE7"/>
    <w:rsid w:val="00233BEC"/>
    <w:rsid w:val="00233C2A"/>
    <w:rsid w:val="00233C2F"/>
    <w:rsid w:val="00233C44"/>
    <w:rsid w:val="00233C64"/>
    <w:rsid w:val="00233C81"/>
    <w:rsid w:val="00233C98"/>
    <w:rsid w:val="00233CE1"/>
    <w:rsid w:val="00233D04"/>
    <w:rsid w:val="00233D16"/>
    <w:rsid w:val="00233D1A"/>
    <w:rsid w:val="00233D50"/>
    <w:rsid w:val="00233DB9"/>
    <w:rsid w:val="00233DD6"/>
    <w:rsid w:val="00233E85"/>
    <w:rsid w:val="00233E8C"/>
    <w:rsid w:val="00233EB1"/>
    <w:rsid w:val="00233EB4"/>
    <w:rsid w:val="00233ECC"/>
    <w:rsid w:val="00233ECF"/>
    <w:rsid w:val="00233ED9"/>
    <w:rsid w:val="00233F82"/>
    <w:rsid w:val="00233F89"/>
    <w:rsid w:val="00234047"/>
    <w:rsid w:val="0023409E"/>
    <w:rsid w:val="002340B3"/>
    <w:rsid w:val="0023411A"/>
    <w:rsid w:val="002341A4"/>
    <w:rsid w:val="002341F6"/>
    <w:rsid w:val="0023420F"/>
    <w:rsid w:val="00234268"/>
    <w:rsid w:val="0023426F"/>
    <w:rsid w:val="00234315"/>
    <w:rsid w:val="0023437B"/>
    <w:rsid w:val="0023438E"/>
    <w:rsid w:val="00234391"/>
    <w:rsid w:val="002343B1"/>
    <w:rsid w:val="002343C1"/>
    <w:rsid w:val="002343FA"/>
    <w:rsid w:val="0023445B"/>
    <w:rsid w:val="002344C3"/>
    <w:rsid w:val="00234534"/>
    <w:rsid w:val="00234551"/>
    <w:rsid w:val="0023458F"/>
    <w:rsid w:val="002345AB"/>
    <w:rsid w:val="002345EA"/>
    <w:rsid w:val="00234616"/>
    <w:rsid w:val="0023461A"/>
    <w:rsid w:val="00234657"/>
    <w:rsid w:val="0023466B"/>
    <w:rsid w:val="002346A6"/>
    <w:rsid w:val="002346AC"/>
    <w:rsid w:val="00234726"/>
    <w:rsid w:val="00234776"/>
    <w:rsid w:val="00234780"/>
    <w:rsid w:val="002347D2"/>
    <w:rsid w:val="002347E9"/>
    <w:rsid w:val="00234836"/>
    <w:rsid w:val="00234851"/>
    <w:rsid w:val="002348DA"/>
    <w:rsid w:val="002348DB"/>
    <w:rsid w:val="0023493E"/>
    <w:rsid w:val="002349B8"/>
    <w:rsid w:val="00234A0A"/>
    <w:rsid w:val="00234A3E"/>
    <w:rsid w:val="00234A6D"/>
    <w:rsid w:val="00234A8D"/>
    <w:rsid w:val="00234A90"/>
    <w:rsid w:val="00234AC1"/>
    <w:rsid w:val="00234B40"/>
    <w:rsid w:val="00234B4F"/>
    <w:rsid w:val="00234B7C"/>
    <w:rsid w:val="00234BA9"/>
    <w:rsid w:val="00234C1C"/>
    <w:rsid w:val="00234C5C"/>
    <w:rsid w:val="00234C6C"/>
    <w:rsid w:val="00234CF0"/>
    <w:rsid w:val="00234D05"/>
    <w:rsid w:val="00234D31"/>
    <w:rsid w:val="00234DBC"/>
    <w:rsid w:val="00234E45"/>
    <w:rsid w:val="00234E5B"/>
    <w:rsid w:val="00234E5C"/>
    <w:rsid w:val="00234E5D"/>
    <w:rsid w:val="00234E79"/>
    <w:rsid w:val="00234ED7"/>
    <w:rsid w:val="00234F12"/>
    <w:rsid w:val="00234F78"/>
    <w:rsid w:val="00234FC6"/>
    <w:rsid w:val="00234FF2"/>
    <w:rsid w:val="0023502F"/>
    <w:rsid w:val="0023503E"/>
    <w:rsid w:val="0023504B"/>
    <w:rsid w:val="0023509E"/>
    <w:rsid w:val="00235123"/>
    <w:rsid w:val="00235163"/>
    <w:rsid w:val="00235165"/>
    <w:rsid w:val="0023516F"/>
    <w:rsid w:val="0023518A"/>
    <w:rsid w:val="002351DE"/>
    <w:rsid w:val="002351DF"/>
    <w:rsid w:val="0023522F"/>
    <w:rsid w:val="0023531E"/>
    <w:rsid w:val="00235330"/>
    <w:rsid w:val="0023534C"/>
    <w:rsid w:val="00235428"/>
    <w:rsid w:val="00235449"/>
    <w:rsid w:val="00235462"/>
    <w:rsid w:val="0023547B"/>
    <w:rsid w:val="002354C7"/>
    <w:rsid w:val="002354E4"/>
    <w:rsid w:val="0023553F"/>
    <w:rsid w:val="00235549"/>
    <w:rsid w:val="0023556E"/>
    <w:rsid w:val="002355B7"/>
    <w:rsid w:val="00235641"/>
    <w:rsid w:val="00235643"/>
    <w:rsid w:val="0023564A"/>
    <w:rsid w:val="0023566D"/>
    <w:rsid w:val="002356BE"/>
    <w:rsid w:val="00235723"/>
    <w:rsid w:val="00235750"/>
    <w:rsid w:val="002357D7"/>
    <w:rsid w:val="002357FF"/>
    <w:rsid w:val="00235848"/>
    <w:rsid w:val="002358BB"/>
    <w:rsid w:val="002358C8"/>
    <w:rsid w:val="0023591D"/>
    <w:rsid w:val="00235957"/>
    <w:rsid w:val="002359D5"/>
    <w:rsid w:val="002359DE"/>
    <w:rsid w:val="002359F4"/>
    <w:rsid w:val="00235A3D"/>
    <w:rsid w:val="00235A64"/>
    <w:rsid w:val="00235A9B"/>
    <w:rsid w:val="00235AD6"/>
    <w:rsid w:val="00235B44"/>
    <w:rsid w:val="00235B76"/>
    <w:rsid w:val="00235C6E"/>
    <w:rsid w:val="00235CA1"/>
    <w:rsid w:val="00235CC6"/>
    <w:rsid w:val="00235DE3"/>
    <w:rsid w:val="00235DEB"/>
    <w:rsid w:val="00235E9C"/>
    <w:rsid w:val="00235F12"/>
    <w:rsid w:val="00235F80"/>
    <w:rsid w:val="00235F97"/>
    <w:rsid w:val="00235FC2"/>
    <w:rsid w:val="00235FD9"/>
    <w:rsid w:val="00235FDA"/>
    <w:rsid w:val="002360ED"/>
    <w:rsid w:val="00236106"/>
    <w:rsid w:val="00236128"/>
    <w:rsid w:val="0023612A"/>
    <w:rsid w:val="00236140"/>
    <w:rsid w:val="00236179"/>
    <w:rsid w:val="00236197"/>
    <w:rsid w:val="002361A2"/>
    <w:rsid w:val="002361D1"/>
    <w:rsid w:val="002361EA"/>
    <w:rsid w:val="00236217"/>
    <w:rsid w:val="00236258"/>
    <w:rsid w:val="002362CD"/>
    <w:rsid w:val="002362D6"/>
    <w:rsid w:val="0023632A"/>
    <w:rsid w:val="00236330"/>
    <w:rsid w:val="0023633E"/>
    <w:rsid w:val="00236403"/>
    <w:rsid w:val="00236436"/>
    <w:rsid w:val="0023646A"/>
    <w:rsid w:val="0023646C"/>
    <w:rsid w:val="00236478"/>
    <w:rsid w:val="0023648C"/>
    <w:rsid w:val="0023648E"/>
    <w:rsid w:val="002364AD"/>
    <w:rsid w:val="00236537"/>
    <w:rsid w:val="002365EE"/>
    <w:rsid w:val="00236601"/>
    <w:rsid w:val="00236609"/>
    <w:rsid w:val="00236617"/>
    <w:rsid w:val="00236649"/>
    <w:rsid w:val="00236692"/>
    <w:rsid w:val="002366AF"/>
    <w:rsid w:val="002366E1"/>
    <w:rsid w:val="00236714"/>
    <w:rsid w:val="00236744"/>
    <w:rsid w:val="0023675A"/>
    <w:rsid w:val="0023675D"/>
    <w:rsid w:val="00236768"/>
    <w:rsid w:val="002367CE"/>
    <w:rsid w:val="00236855"/>
    <w:rsid w:val="00236859"/>
    <w:rsid w:val="002368AF"/>
    <w:rsid w:val="002368DA"/>
    <w:rsid w:val="002368E7"/>
    <w:rsid w:val="00236950"/>
    <w:rsid w:val="0023697B"/>
    <w:rsid w:val="002369C0"/>
    <w:rsid w:val="002369E6"/>
    <w:rsid w:val="00236AA4"/>
    <w:rsid w:val="00236B05"/>
    <w:rsid w:val="00236B28"/>
    <w:rsid w:val="00236B89"/>
    <w:rsid w:val="00236BA2"/>
    <w:rsid w:val="00236BF3"/>
    <w:rsid w:val="00236C28"/>
    <w:rsid w:val="00236C49"/>
    <w:rsid w:val="00236C67"/>
    <w:rsid w:val="00236C6A"/>
    <w:rsid w:val="00236CF2"/>
    <w:rsid w:val="00236CFD"/>
    <w:rsid w:val="00236DA1"/>
    <w:rsid w:val="00236DCA"/>
    <w:rsid w:val="00236E0B"/>
    <w:rsid w:val="00236E8A"/>
    <w:rsid w:val="00236E99"/>
    <w:rsid w:val="00236EA0"/>
    <w:rsid w:val="00236EC6"/>
    <w:rsid w:val="00236F45"/>
    <w:rsid w:val="00236F92"/>
    <w:rsid w:val="00236F96"/>
    <w:rsid w:val="00236FBA"/>
    <w:rsid w:val="00236FDC"/>
    <w:rsid w:val="00236FF1"/>
    <w:rsid w:val="00237065"/>
    <w:rsid w:val="0023707B"/>
    <w:rsid w:val="00237111"/>
    <w:rsid w:val="00237141"/>
    <w:rsid w:val="00237142"/>
    <w:rsid w:val="002371C8"/>
    <w:rsid w:val="002371FC"/>
    <w:rsid w:val="0023720A"/>
    <w:rsid w:val="00237260"/>
    <w:rsid w:val="00237279"/>
    <w:rsid w:val="00237291"/>
    <w:rsid w:val="00237299"/>
    <w:rsid w:val="002372C4"/>
    <w:rsid w:val="0023730A"/>
    <w:rsid w:val="00237369"/>
    <w:rsid w:val="0023738B"/>
    <w:rsid w:val="002373B9"/>
    <w:rsid w:val="002373DE"/>
    <w:rsid w:val="002373FB"/>
    <w:rsid w:val="00237436"/>
    <w:rsid w:val="002374C2"/>
    <w:rsid w:val="002374D9"/>
    <w:rsid w:val="00237501"/>
    <w:rsid w:val="00237534"/>
    <w:rsid w:val="00237567"/>
    <w:rsid w:val="00237576"/>
    <w:rsid w:val="002375AA"/>
    <w:rsid w:val="002375AB"/>
    <w:rsid w:val="002375BF"/>
    <w:rsid w:val="0023763C"/>
    <w:rsid w:val="0023767D"/>
    <w:rsid w:val="002376A0"/>
    <w:rsid w:val="002376CA"/>
    <w:rsid w:val="00237713"/>
    <w:rsid w:val="0023778E"/>
    <w:rsid w:val="00237793"/>
    <w:rsid w:val="00237853"/>
    <w:rsid w:val="0023789C"/>
    <w:rsid w:val="002378A1"/>
    <w:rsid w:val="002378D6"/>
    <w:rsid w:val="00237927"/>
    <w:rsid w:val="0023793F"/>
    <w:rsid w:val="00237947"/>
    <w:rsid w:val="00237A0D"/>
    <w:rsid w:val="00237A1C"/>
    <w:rsid w:val="00237AA3"/>
    <w:rsid w:val="00237B10"/>
    <w:rsid w:val="00237B53"/>
    <w:rsid w:val="00237B9D"/>
    <w:rsid w:val="00237BA3"/>
    <w:rsid w:val="00237C3C"/>
    <w:rsid w:val="00237C51"/>
    <w:rsid w:val="00237C67"/>
    <w:rsid w:val="00237C71"/>
    <w:rsid w:val="00237D05"/>
    <w:rsid w:val="00237D46"/>
    <w:rsid w:val="00237D64"/>
    <w:rsid w:val="00237E62"/>
    <w:rsid w:val="00237E77"/>
    <w:rsid w:val="00237E96"/>
    <w:rsid w:val="00237E9A"/>
    <w:rsid w:val="00237ED5"/>
    <w:rsid w:val="00237EDA"/>
    <w:rsid w:val="00237FAB"/>
    <w:rsid w:val="00237FAE"/>
    <w:rsid w:val="00237FAF"/>
    <w:rsid w:val="00237FF4"/>
    <w:rsid w:val="00240020"/>
    <w:rsid w:val="00240023"/>
    <w:rsid w:val="0024002D"/>
    <w:rsid w:val="002400BA"/>
    <w:rsid w:val="002400E3"/>
    <w:rsid w:val="002400EF"/>
    <w:rsid w:val="0024014C"/>
    <w:rsid w:val="0024015B"/>
    <w:rsid w:val="00240192"/>
    <w:rsid w:val="00240199"/>
    <w:rsid w:val="002401BD"/>
    <w:rsid w:val="002401CE"/>
    <w:rsid w:val="002401FB"/>
    <w:rsid w:val="00240214"/>
    <w:rsid w:val="0024023E"/>
    <w:rsid w:val="00240255"/>
    <w:rsid w:val="0024025B"/>
    <w:rsid w:val="002402AD"/>
    <w:rsid w:val="002402B7"/>
    <w:rsid w:val="00240344"/>
    <w:rsid w:val="002403C5"/>
    <w:rsid w:val="002403C8"/>
    <w:rsid w:val="002403CA"/>
    <w:rsid w:val="00240439"/>
    <w:rsid w:val="0024043C"/>
    <w:rsid w:val="00240453"/>
    <w:rsid w:val="0024045F"/>
    <w:rsid w:val="00240474"/>
    <w:rsid w:val="00240493"/>
    <w:rsid w:val="002404B0"/>
    <w:rsid w:val="002404F5"/>
    <w:rsid w:val="002404F9"/>
    <w:rsid w:val="002404FC"/>
    <w:rsid w:val="0024055E"/>
    <w:rsid w:val="0024056A"/>
    <w:rsid w:val="00240583"/>
    <w:rsid w:val="00240584"/>
    <w:rsid w:val="00240650"/>
    <w:rsid w:val="00240691"/>
    <w:rsid w:val="0024069D"/>
    <w:rsid w:val="002406F3"/>
    <w:rsid w:val="0024072D"/>
    <w:rsid w:val="0024073C"/>
    <w:rsid w:val="00240772"/>
    <w:rsid w:val="00240796"/>
    <w:rsid w:val="002407B5"/>
    <w:rsid w:val="002407EB"/>
    <w:rsid w:val="00240812"/>
    <w:rsid w:val="0024082A"/>
    <w:rsid w:val="002408E5"/>
    <w:rsid w:val="002408FE"/>
    <w:rsid w:val="002408FF"/>
    <w:rsid w:val="00240965"/>
    <w:rsid w:val="0024096A"/>
    <w:rsid w:val="002409CC"/>
    <w:rsid w:val="00240A4E"/>
    <w:rsid w:val="00240A7C"/>
    <w:rsid w:val="00240A9F"/>
    <w:rsid w:val="00240AC9"/>
    <w:rsid w:val="00240B08"/>
    <w:rsid w:val="00240B30"/>
    <w:rsid w:val="00240B35"/>
    <w:rsid w:val="00240B82"/>
    <w:rsid w:val="00240BC9"/>
    <w:rsid w:val="00240C14"/>
    <w:rsid w:val="00240C44"/>
    <w:rsid w:val="00240C67"/>
    <w:rsid w:val="00240D08"/>
    <w:rsid w:val="00240D4F"/>
    <w:rsid w:val="00240D9A"/>
    <w:rsid w:val="00240DEC"/>
    <w:rsid w:val="00240E13"/>
    <w:rsid w:val="00240E1C"/>
    <w:rsid w:val="00240E73"/>
    <w:rsid w:val="00240ECC"/>
    <w:rsid w:val="00240EE4"/>
    <w:rsid w:val="00240F5A"/>
    <w:rsid w:val="00240F65"/>
    <w:rsid w:val="00240F70"/>
    <w:rsid w:val="00240FCD"/>
    <w:rsid w:val="00241059"/>
    <w:rsid w:val="00241074"/>
    <w:rsid w:val="00241078"/>
    <w:rsid w:val="00241081"/>
    <w:rsid w:val="002410B6"/>
    <w:rsid w:val="002410E2"/>
    <w:rsid w:val="0024113D"/>
    <w:rsid w:val="00241149"/>
    <w:rsid w:val="0024116B"/>
    <w:rsid w:val="002411B9"/>
    <w:rsid w:val="00241278"/>
    <w:rsid w:val="0024129C"/>
    <w:rsid w:val="00241339"/>
    <w:rsid w:val="002413A8"/>
    <w:rsid w:val="002413D9"/>
    <w:rsid w:val="0024141E"/>
    <w:rsid w:val="0024142A"/>
    <w:rsid w:val="0024145D"/>
    <w:rsid w:val="00241492"/>
    <w:rsid w:val="00241494"/>
    <w:rsid w:val="002414AA"/>
    <w:rsid w:val="0024154D"/>
    <w:rsid w:val="0024156B"/>
    <w:rsid w:val="002415F9"/>
    <w:rsid w:val="0024160B"/>
    <w:rsid w:val="00241616"/>
    <w:rsid w:val="0024162F"/>
    <w:rsid w:val="00241657"/>
    <w:rsid w:val="0024166C"/>
    <w:rsid w:val="0024168F"/>
    <w:rsid w:val="0024169D"/>
    <w:rsid w:val="002416C4"/>
    <w:rsid w:val="0024170A"/>
    <w:rsid w:val="00241763"/>
    <w:rsid w:val="00241774"/>
    <w:rsid w:val="00241793"/>
    <w:rsid w:val="002417BA"/>
    <w:rsid w:val="002417D8"/>
    <w:rsid w:val="002417FB"/>
    <w:rsid w:val="0024182B"/>
    <w:rsid w:val="0024182E"/>
    <w:rsid w:val="00241841"/>
    <w:rsid w:val="002418B2"/>
    <w:rsid w:val="002418BD"/>
    <w:rsid w:val="002419A7"/>
    <w:rsid w:val="002419E7"/>
    <w:rsid w:val="00241A23"/>
    <w:rsid w:val="00241A3A"/>
    <w:rsid w:val="00241A6B"/>
    <w:rsid w:val="00241AC7"/>
    <w:rsid w:val="00241ADC"/>
    <w:rsid w:val="00241B31"/>
    <w:rsid w:val="00241B7C"/>
    <w:rsid w:val="00241C55"/>
    <w:rsid w:val="00241C8D"/>
    <w:rsid w:val="00241C93"/>
    <w:rsid w:val="00241D18"/>
    <w:rsid w:val="00241D62"/>
    <w:rsid w:val="00241D99"/>
    <w:rsid w:val="00241D9D"/>
    <w:rsid w:val="00241DB1"/>
    <w:rsid w:val="00241DC0"/>
    <w:rsid w:val="00241DEF"/>
    <w:rsid w:val="00241E2B"/>
    <w:rsid w:val="00241E2E"/>
    <w:rsid w:val="00241E59"/>
    <w:rsid w:val="00241E80"/>
    <w:rsid w:val="00241F41"/>
    <w:rsid w:val="00241F58"/>
    <w:rsid w:val="00241FF9"/>
    <w:rsid w:val="00242006"/>
    <w:rsid w:val="00242010"/>
    <w:rsid w:val="0024206D"/>
    <w:rsid w:val="00242081"/>
    <w:rsid w:val="0024208D"/>
    <w:rsid w:val="002420AD"/>
    <w:rsid w:val="002420BF"/>
    <w:rsid w:val="002420CE"/>
    <w:rsid w:val="002420E8"/>
    <w:rsid w:val="002420F2"/>
    <w:rsid w:val="00242161"/>
    <w:rsid w:val="00242185"/>
    <w:rsid w:val="002421F9"/>
    <w:rsid w:val="00242281"/>
    <w:rsid w:val="002422D5"/>
    <w:rsid w:val="00242300"/>
    <w:rsid w:val="00242349"/>
    <w:rsid w:val="002423DE"/>
    <w:rsid w:val="002423EF"/>
    <w:rsid w:val="002423F5"/>
    <w:rsid w:val="00242450"/>
    <w:rsid w:val="00242469"/>
    <w:rsid w:val="0024249D"/>
    <w:rsid w:val="0024249E"/>
    <w:rsid w:val="002424C0"/>
    <w:rsid w:val="002424D5"/>
    <w:rsid w:val="002424DE"/>
    <w:rsid w:val="0024255A"/>
    <w:rsid w:val="00242565"/>
    <w:rsid w:val="00242572"/>
    <w:rsid w:val="002425A9"/>
    <w:rsid w:val="002425AF"/>
    <w:rsid w:val="002425E9"/>
    <w:rsid w:val="00242633"/>
    <w:rsid w:val="00242696"/>
    <w:rsid w:val="00242706"/>
    <w:rsid w:val="0024272B"/>
    <w:rsid w:val="00242740"/>
    <w:rsid w:val="00242769"/>
    <w:rsid w:val="0024277F"/>
    <w:rsid w:val="0024278C"/>
    <w:rsid w:val="0024279E"/>
    <w:rsid w:val="002427AE"/>
    <w:rsid w:val="002427CD"/>
    <w:rsid w:val="002427E2"/>
    <w:rsid w:val="00242835"/>
    <w:rsid w:val="00242860"/>
    <w:rsid w:val="0024288C"/>
    <w:rsid w:val="002428D8"/>
    <w:rsid w:val="00242912"/>
    <w:rsid w:val="00242977"/>
    <w:rsid w:val="00242984"/>
    <w:rsid w:val="00242997"/>
    <w:rsid w:val="002429B9"/>
    <w:rsid w:val="00242A13"/>
    <w:rsid w:val="00242A51"/>
    <w:rsid w:val="00242B26"/>
    <w:rsid w:val="00242B63"/>
    <w:rsid w:val="00242BA9"/>
    <w:rsid w:val="00242BCD"/>
    <w:rsid w:val="00242D26"/>
    <w:rsid w:val="00242D5C"/>
    <w:rsid w:val="00242E0E"/>
    <w:rsid w:val="00242E4B"/>
    <w:rsid w:val="00242E4F"/>
    <w:rsid w:val="00242E9A"/>
    <w:rsid w:val="00242EE6"/>
    <w:rsid w:val="00242F29"/>
    <w:rsid w:val="00242F36"/>
    <w:rsid w:val="00242F42"/>
    <w:rsid w:val="00242F8C"/>
    <w:rsid w:val="00242FB0"/>
    <w:rsid w:val="00242FE3"/>
    <w:rsid w:val="00243000"/>
    <w:rsid w:val="00243020"/>
    <w:rsid w:val="00243058"/>
    <w:rsid w:val="0024305A"/>
    <w:rsid w:val="002430D3"/>
    <w:rsid w:val="002430EF"/>
    <w:rsid w:val="00243105"/>
    <w:rsid w:val="0024310B"/>
    <w:rsid w:val="00243111"/>
    <w:rsid w:val="00243130"/>
    <w:rsid w:val="0024319A"/>
    <w:rsid w:val="002431D0"/>
    <w:rsid w:val="002431F9"/>
    <w:rsid w:val="00243216"/>
    <w:rsid w:val="00243224"/>
    <w:rsid w:val="0024323F"/>
    <w:rsid w:val="0024327E"/>
    <w:rsid w:val="00243311"/>
    <w:rsid w:val="0024337E"/>
    <w:rsid w:val="002433DA"/>
    <w:rsid w:val="00243458"/>
    <w:rsid w:val="00243497"/>
    <w:rsid w:val="002434A7"/>
    <w:rsid w:val="002434EB"/>
    <w:rsid w:val="00243582"/>
    <w:rsid w:val="002435A9"/>
    <w:rsid w:val="0024362C"/>
    <w:rsid w:val="00243631"/>
    <w:rsid w:val="00243650"/>
    <w:rsid w:val="00243689"/>
    <w:rsid w:val="00243698"/>
    <w:rsid w:val="002436B2"/>
    <w:rsid w:val="002436BA"/>
    <w:rsid w:val="002436EA"/>
    <w:rsid w:val="0024370C"/>
    <w:rsid w:val="002437CA"/>
    <w:rsid w:val="002437E0"/>
    <w:rsid w:val="002437E2"/>
    <w:rsid w:val="0024381A"/>
    <w:rsid w:val="0024383C"/>
    <w:rsid w:val="0024384D"/>
    <w:rsid w:val="00243865"/>
    <w:rsid w:val="00243877"/>
    <w:rsid w:val="0024388E"/>
    <w:rsid w:val="00243899"/>
    <w:rsid w:val="002438DC"/>
    <w:rsid w:val="002438F1"/>
    <w:rsid w:val="002438FB"/>
    <w:rsid w:val="00243922"/>
    <w:rsid w:val="00243939"/>
    <w:rsid w:val="00243982"/>
    <w:rsid w:val="002439A1"/>
    <w:rsid w:val="002439A7"/>
    <w:rsid w:val="002439E0"/>
    <w:rsid w:val="00243A2F"/>
    <w:rsid w:val="00243A3C"/>
    <w:rsid w:val="00243AA7"/>
    <w:rsid w:val="00243AAD"/>
    <w:rsid w:val="00243ACB"/>
    <w:rsid w:val="00243AD5"/>
    <w:rsid w:val="00243AEE"/>
    <w:rsid w:val="00243B79"/>
    <w:rsid w:val="00243BA0"/>
    <w:rsid w:val="00243BB1"/>
    <w:rsid w:val="00243BC4"/>
    <w:rsid w:val="00243C5D"/>
    <w:rsid w:val="00243C77"/>
    <w:rsid w:val="00243C9F"/>
    <w:rsid w:val="00243CB4"/>
    <w:rsid w:val="00243CC4"/>
    <w:rsid w:val="00243D72"/>
    <w:rsid w:val="00243DCE"/>
    <w:rsid w:val="00243E06"/>
    <w:rsid w:val="00243E46"/>
    <w:rsid w:val="00243E52"/>
    <w:rsid w:val="00243E69"/>
    <w:rsid w:val="00243E88"/>
    <w:rsid w:val="00243EAF"/>
    <w:rsid w:val="00243ED2"/>
    <w:rsid w:val="00243ED3"/>
    <w:rsid w:val="00243EF6"/>
    <w:rsid w:val="00243F12"/>
    <w:rsid w:val="00243F3B"/>
    <w:rsid w:val="00243F48"/>
    <w:rsid w:val="00243F54"/>
    <w:rsid w:val="00243F8F"/>
    <w:rsid w:val="00244000"/>
    <w:rsid w:val="0024404B"/>
    <w:rsid w:val="0024406A"/>
    <w:rsid w:val="0024407A"/>
    <w:rsid w:val="0024407E"/>
    <w:rsid w:val="002440BF"/>
    <w:rsid w:val="002440C3"/>
    <w:rsid w:val="002440CA"/>
    <w:rsid w:val="00244168"/>
    <w:rsid w:val="0024416D"/>
    <w:rsid w:val="00244190"/>
    <w:rsid w:val="00244238"/>
    <w:rsid w:val="0024425D"/>
    <w:rsid w:val="002442BF"/>
    <w:rsid w:val="002442D4"/>
    <w:rsid w:val="002442F7"/>
    <w:rsid w:val="00244302"/>
    <w:rsid w:val="00244362"/>
    <w:rsid w:val="00244390"/>
    <w:rsid w:val="002443B0"/>
    <w:rsid w:val="00244444"/>
    <w:rsid w:val="0024444A"/>
    <w:rsid w:val="00244464"/>
    <w:rsid w:val="0024448F"/>
    <w:rsid w:val="002444B1"/>
    <w:rsid w:val="00244519"/>
    <w:rsid w:val="00244536"/>
    <w:rsid w:val="00244539"/>
    <w:rsid w:val="00244564"/>
    <w:rsid w:val="00244608"/>
    <w:rsid w:val="0024462F"/>
    <w:rsid w:val="00244631"/>
    <w:rsid w:val="00244660"/>
    <w:rsid w:val="00244661"/>
    <w:rsid w:val="002446B0"/>
    <w:rsid w:val="002446CB"/>
    <w:rsid w:val="0024470D"/>
    <w:rsid w:val="00244749"/>
    <w:rsid w:val="00244766"/>
    <w:rsid w:val="00244849"/>
    <w:rsid w:val="0024485B"/>
    <w:rsid w:val="00244871"/>
    <w:rsid w:val="00244896"/>
    <w:rsid w:val="00244906"/>
    <w:rsid w:val="00244933"/>
    <w:rsid w:val="00244949"/>
    <w:rsid w:val="00244953"/>
    <w:rsid w:val="0024499C"/>
    <w:rsid w:val="002449B3"/>
    <w:rsid w:val="002449BE"/>
    <w:rsid w:val="00244A66"/>
    <w:rsid w:val="00244A7D"/>
    <w:rsid w:val="00244B0F"/>
    <w:rsid w:val="00244B2F"/>
    <w:rsid w:val="00244B34"/>
    <w:rsid w:val="00244B88"/>
    <w:rsid w:val="00244B93"/>
    <w:rsid w:val="00244BB2"/>
    <w:rsid w:val="00244BBB"/>
    <w:rsid w:val="00244C08"/>
    <w:rsid w:val="00244C16"/>
    <w:rsid w:val="00244C36"/>
    <w:rsid w:val="00244C5B"/>
    <w:rsid w:val="00244C6A"/>
    <w:rsid w:val="00244C75"/>
    <w:rsid w:val="00244CA8"/>
    <w:rsid w:val="00244CFF"/>
    <w:rsid w:val="00244D06"/>
    <w:rsid w:val="00244D09"/>
    <w:rsid w:val="00244D79"/>
    <w:rsid w:val="00244DDB"/>
    <w:rsid w:val="00244E70"/>
    <w:rsid w:val="00244EB6"/>
    <w:rsid w:val="00244F10"/>
    <w:rsid w:val="00244F9E"/>
    <w:rsid w:val="00244FB1"/>
    <w:rsid w:val="00244FF5"/>
    <w:rsid w:val="0024500C"/>
    <w:rsid w:val="00245118"/>
    <w:rsid w:val="0024511B"/>
    <w:rsid w:val="00245161"/>
    <w:rsid w:val="0024518E"/>
    <w:rsid w:val="00245190"/>
    <w:rsid w:val="002451C2"/>
    <w:rsid w:val="002451C3"/>
    <w:rsid w:val="002451D5"/>
    <w:rsid w:val="0024522B"/>
    <w:rsid w:val="00245235"/>
    <w:rsid w:val="00245260"/>
    <w:rsid w:val="0024526E"/>
    <w:rsid w:val="00245278"/>
    <w:rsid w:val="0024528F"/>
    <w:rsid w:val="0024529C"/>
    <w:rsid w:val="002452A8"/>
    <w:rsid w:val="002452D0"/>
    <w:rsid w:val="002452E5"/>
    <w:rsid w:val="002452EE"/>
    <w:rsid w:val="00245333"/>
    <w:rsid w:val="0024535B"/>
    <w:rsid w:val="0024538A"/>
    <w:rsid w:val="002453F0"/>
    <w:rsid w:val="002453F9"/>
    <w:rsid w:val="00245422"/>
    <w:rsid w:val="0024542C"/>
    <w:rsid w:val="0024543C"/>
    <w:rsid w:val="002454A6"/>
    <w:rsid w:val="002454B6"/>
    <w:rsid w:val="00245526"/>
    <w:rsid w:val="0024555E"/>
    <w:rsid w:val="00245567"/>
    <w:rsid w:val="0024556E"/>
    <w:rsid w:val="00245578"/>
    <w:rsid w:val="002455C3"/>
    <w:rsid w:val="002455C5"/>
    <w:rsid w:val="00245616"/>
    <w:rsid w:val="0024563A"/>
    <w:rsid w:val="00245664"/>
    <w:rsid w:val="002456A0"/>
    <w:rsid w:val="002456AD"/>
    <w:rsid w:val="002456C4"/>
    <w:rsid w:val="00245743"/>
    <w:rsid w:val="002457BC"/>
    <w:rsid w:val="002457DB"/>
    <w:rsid w:val="0024581E"/>
    <w:rsid w:val="00245867"/>
    <w:rsid w:val="00245868"/>
    <w:rsid w:val="0024586A"/>
    <w:rsid w:val="00245874"/>
    <w:rsid w:val="00245885"/>
    <w:rsid w:val="0024588F"/>
    <w:rsid w:val="002458A5"/>
    <w:rsid w:val="002458FD"/>
    <w:rsid w:val="00245913"/>
    <w:rsid w:val="0024597C"/>
    <w:rsid w:val="002459A7"/>
    <w:rsid w:val="002459AD"/>
    <w:rsid w:val="002459C5"/>
    <w:rsid w:val="002459C7"/>
    <w:rsid w:val="002459DB"/>
    <w:rsid w:val="00245A21"/>
    <w:rsid w:val="00245A27"/>
    <w:rsid w:val="00245A5D"/>
    <w:rsid w:val="00245A66"/>
    <w:rsid w:val="00245AA7"/>
    <w:rsid w:val="00245AB0"/>
    <w:rsid w:val="00245ABB"/>
    <w:rsid w:val="00245AE0"/>
    <w:rsid w:val="00245B19"/>
    <w:rsid w:val="00245B75"/>
    <w:rsid w:val="00245C13"/>
    <w:rsid w:val="00245C38"/>
    <w:rsid w:val="00245CAE"/>
    <w:rsid w:val="00245D71"/>
    <w:rsid w:val="00245DA1"/>
    <w:rsid w:val="00245E19"/>
    <w:rsid w:val="00245E21"/>
    <w:rsid w:val="00245E3A"/>
    <w:rsid w:val="00245EAE"/>
    <w:rsid w:val="00245EEE"/>
    <w:rsid w:val="00245F2A"/>
    <w:rsid w:val="00245F72"/>
    <w:rsid w:val="00245F77"/>
    <w:rsid w:val="00245FBE"/>
    <w:rsid w:val="00245FEB"/>
    <w:rsid w:val="00245FED"/>
    <w:rsid w:val="00246040"/>
    <w:rsid w:val="0024608D"/>
    <w:rsid w:val="002460EA"/>
    <w:rsid w:val="002461AE"/>
    <w:rsid w:val="002461D6"/>
    <w:rsid w:val="002461F6"/>
    <w:rsid w:val="00246225"/>
    <w:rsid w:val="002462C0"/>
    <w:rsid w:val="002462D5"/>
    <w:rsid w:val="0024631B"/>
    <w:rsid w:val="00246320"/>
    <w:rsid w:val="00246390"/>
    <w:rsid w:val="002463B8"/>
    <w:rsid w:val="002464A5"/>
    <w:rsid w:val="002464C1"/>
    <w:rsid w:val="002464DE"/>
    <w:rsid w:val="00246500"/>
    <w:rsid w:val="0024652D"/>
    <w:rsid w:val="0024653E"/>
    <w:rsid w:val="00246547"/>
    <w:rsid w:val="00246573"/>
    <w:rsid w:val="0024658C"/>
    <w:rsid w:val="002465AF"/>
    <w:rsid w:val="002465EB"/>
    <w:rsid w:val="0024661C"/>
    <w:rsid w:val="0024666A"/>
    <w:rsid w:val="0024666C"/>
    <w:rsid w:val="00246680"/>
    <w:rsid w:val="00246683"/>
    <w:rsid w:val="002467A8"/>
    <w:rsid w:val="002467BA"/>
    <w:rsid w:val="002467EA"/>
    <w:rsid w:val="0024683B"/>
    <w:rsid w:val="00246848"/>
    <w:rsid w:val="002468BE"/>
    <w:rsid w:val="002468C7"/>
    <w:rsid w:val="002468CC"/>
    <w:rsid w:val="00246911"/>
    <w:rsid w:val="00246961"/>
    <w:rsid w:val="00246A57"/>
    <w:rsid w:val="00246A59"/>
    <w:rsid w:val="00246AB7"/>
    <w:rsid w:val="00246AE0"/>
    <w:rsid w:val="00246B00"/>
    <w:rsid w:val="00246BA9"/>
    <w:rsid w:val="00246BCC"/>
    <w:rsid w:val="00246BCE"/>
    <w:rsid w:val="00246C15"/>
    <w:rsid w:val="00246C38"/>
    <w:rsid w:val="00246C63"/>
    <w:rsid w:val="00246D28"/>
    <w:rsid w:val="00246D86"/>
    <w:rsid w:val="00246DA5"/>
    <w:rsid w:val="00246DD5"/>
    <w:rsid w:val="00246DE8"/>
    <w:rsid w:val="00246DFE"/>
    <w:rsid w:val="00246E0A"/>
    <w:rsid w:val="00246E15"/>
    <w:rsid w:val="00246E35"/>
    <w:rsid w:val="00246E3B"/>
    <w:rsid w:val="00246E6C"/>
    <w:rsid w:val="00246EC5"/>
    <w:rsid w:val="00246F06"/>
    <w:rsid w:val="00246F42"/>
    <w:rsid w:val="00246F71"/>
    <w:rsid w:val="00246F8A"/>
    <w:rsid w:val="00247009"/>
    <w:rsid w:val="0024700E"/>
    <w:rsid w:val="0024702C"/>
    <w:rsid w:val="00247032"/>
    <w:rsid w:val="00247052"/>
    <w:rsid w:val="002470A5"/>
    <w:rsid w:val="002470AC"/>
    <w:rsid w:val="002470CF"/>
    <w:rsid w:val="00247115"/>
    <w:rsid w:val="00247182"/>
    <w:rsid w:val="00247185"/>
    <w:rsid w:val="002471D8"/>
    <w:rsid w:val="00247254"/>
    <w:rsid w:val="0024727A"/>
    <w:rsid w:val="002472D3"/>
    <w:rsid w:val="00247301"/>
    <w:rsid w:val="00247388"/>
    <w:rsid w:val="002473CF"/>
    <w:rsid w:val="002473D2"/>
    <w:rsid w:val="002474AE"/>
    <w:rsid w:val="002474BB"/>
    <w:rsid w:val="0024750E"/>
    <w:rsid w:val="002475BD"/>
    <w:rsid w:val="002475DB"/>
    <w:rsid w:val="00247619"/>
    <w:rsid w:val="0024761F"/>
    <w:rsid w:val="00247662"/>
    <w:rsid w:val="00247668"/>
    <w:rsid w:val="0024766B"/>
    <w:rsid w:val="002476B7"/>
    <w:rsid w:val="002476C4"/>
    <w:rsid w:val="002476FA"/>
    <w:rsid w:val="00247740"/>
    <w:rsid w:val="00247788"/>
    <w:rsid w:val="002477D7"/>
    <w:rsid w:val="00247844"/>
    <w:rsid w:val="0024786B"/>
    <w:rsid w:val="00247874"/>
    <w:rsid w:val="0024788B"/>
    <w:rsid w:val="00247989"/>
    <w:rsid w:val="002479C6"/>
    <w:rsid w:val="002479C7"/>
    <w:rsid w:val="002479D1"/>
    <w:rsid w:val="00247AB4"/>
    <w:rsid w:val="00247B79"/>
    <w:rsid w:val="00247BC2"/>
    <w:rsid w:val="00247BD5"/>
    <w:rsid w:val="00247C0E"/>
    <w:rsid w:val="00247CBA"/>
    <w:rsid w:val="00247CF0"/>
    <w:rsid w:val="00247CF9"/>
    <w:rsid w:val="00247CFB"/>
    <w:rsid w:val="00247D42"/>
    <w:rsid w:val="00247D49"/>
    <w:rsid w:val="00247DD4"/>
    <w:rsid w:val="00247E01"/>
    <w:rsid w:val="00247E28"/>
    <w:rsid w:val="00247E80"/>
    <w:rsid w:val="00247E9B"/>
    <w:rsid w:val="00247EB0"/>
    <w:rsid w:val="00247EC6"/>
    <w:rsid w:val="00247EF6"/>
    <w:rsid w:val="00247EF8"/>
    <w:rsid w:val="00250006"/>
    <w:rsid w:val="0025000C"/>
    <w:rsid w:val="0025003A"/>
    <w:rsid w:val="00250041"/>
    <w:rsid w:val="0025009D"/>
    <w:rsid w:val="002500A3"/>
    <w:rsid w:val="0025010C"/>
    <w:rsid w:val="00250139"/>
    <w:rsid w:val="00250186"/>
    <w:rsid w:val="00250213"/>
    <w:rsid w:val="00250288"/>
    <w:rsid w:val="002502A7"/>
    <w:rsid w:val="002502D2"/>
    <w:rsid w:val="002502E4"/>
    <w:rsid w:val="002502FD"/>
    <w:rsid w:val="002504A7"/>
    <w:rsid w:val="00250532"/>
    <w:rsid w:val="002505B3"/>
    <w:rsid w:val="002505CA"/>
    <w:rsid w:val="00250658"/>
    <w:rsid w:val="002506A4"/>
    <w:rsid w:val="002506C6"/>
    <w:rsid w:val="002506D9"/>
    <w:rsid w:val="0025075D"/>
    <w:rsid w:val="002507AD"/>
    <w:rsid w:val="00250882"/>
    <w:rsid w:val="002508B7"/>
    <w:rsid w:val="002508BB"/>
    <w:rsid w:val="002508DA"/>
    <w:rsid w:val="00250902"/>
    <w:rsid w:val="00250964"/>
    <w:rsid w:val="00250981"/>
    <w:rsid w:val="002509A6"/>
    <w:rsid w:val="002509F7"/>
    <w:rsid w:val="00250A9D"/>
    <w:rsid w:val="00250AB8"/>
    <w:rsid w:val="00250AE1"/>
    <w:rsid w:val="00250AF0"/>
    <w:rsid w:val="00250B0D"/>
    <w:rsid w:val="00250B4A"/>
    <w:rsid w:val="00250B86"/>
    <w:rsid w:val="00250BB0"/>
    <w:rsid w:val="00250BC6"/>
    <w:rsid w:val="00250BF0"/>
    <w:rsid w:val="00250C08"/>
    <w:rsid w:val="00250C11"/>
    <w:rsid w:val="00250C19"/>
    <w:rsid w:val="00250C71"/>
    <w:rsid w:val="00250C9A"/>
    <w:rsid w:val="00250C9E"/>
    <w:rsid w:val="00250CBB"/>
    <w:rsid w:val="00250D2D"/>
    <w:rsid w:val="00250D36"/>
    <w:rsid w:val="00250DB7"/>
    <w:rsid w:val="00250DE9"/>
    <w:rsid w:val="00250E39"/>
    <w:rsid w:val="00250E45"/>
    <w:rsid w:val="00250E5E"/>
    <w:rsid w:val="00250E67"/>
    <w:rsid w:val="00250E6D"/>
    <w:rsid w:val="00250ED6"/>
    <w:rsid w:val="00250EE7"/>
    <w:rsid w:val="00250EEB"/>
    <w:rsid w:val="00250EF1"/>
    <w:rsid w:val="00250EF2"/>
    <w:rsid w:val="00250F95"/>
    <w:rsid w:val="00250FE2"/>
    <w:rsid w:val="00250FED"/>
    <w:rsid w:val="0025100F"/>
    <w:rsid w:val="00251039"/>
    <w:rsid w:val="00251052"/>
    <w:rsid w:val="002510D7"/>
    <w:rsid w:val="002510DD"/>
    <w:rsid w:val="0025110F"/>
    <w:rsid w:val="00251118"/>
    <w:rsid w:val="0025114E"/>
    <w:rsid w:val="00251150"/>
    <w:rsid w:val="00251161"/>
    <w:rsid w:val="00251183"/>
    <w:rsid w:val="002511D6"/>
    <w:rsid w:val="002511FC"/>
    <w:rsid w:val="002511FF"/>
    <w:rsid w:val="00251205"/>
    <w:rsid w:val="0025122A"/>
    <w:rsid w:val="0025127A"/>
    <w:rsid w:val="0025130B"/>
    <w:rsid w:val="00251328"/>
    <w:rsid w:val="002513CE"/>
    <w:rsid w:val="0025142B"/>
    <w:rsid w:val="002514D8"/>
    <w:rsid w:val="0025150E"/>
    <w:rsid w:val="0025151F"/>
    <w:rsid w:val="00251593"/>
    <w:rsid w:val="002515EE"/>
    <w:rsid w:val="00251638"/>
    <w:rsid w:val="0025163F"/>
    <w:rsid w:val="002516F0"/>
    <w:rsid w:val="00251725"/>
    <w:rsid w:val="002517DB"/>
    <w:rsid w:val="002517F1"/>
    <w:rsid w:val="00251817"/>
    <w:rsid w:val="0025182F"/>
    <w:rsid w:val="0025187D"/>
    <w:rsid w:val="002518A7"/>
    <w:rsid w:val="002518B9"/>
    <w:rsid w:val="002518E5"/>
    <w:rsid w:val="00251904"/>
    <w:rsid w:val="00251940"/>
    <w:rsid w:val="00251941"/>
    <w:rsid w:val="002519C0"/>
    <w:rsid w:val="00251ABB"/>
    <w:rsid w:val="00251AD8"/>
    <w:rsid w:val="00251AE0"/>
    <w:rsid w:val="00251AEA"/>
    <w:rsid w:val="00251B0A"/>
    <w:rsid w:val="00251B12"/>
    <w:rsid w:val="00251B1F"/>
    <w:rsid w:val="00251B2D"/>
    <w:rsid w:val="00251B3B"/>
    <w:rsid w:val="00251B4B"/>
    <w:rsid w:val="00251B4D"/>
    <w:rsid w:val="00251BC5"/>
    <w:rsid w:val="00251C01"/>
    <w:rsid w:val="00251C98"/>
    <w:rsid w:val="00251C9D"/>
    <w:rsid w:val="00251CA1"/>
    <w:rsid w:val="00251CC3"/>
    <w:rsid w:val="00251CF2"/>
    <w:rsid w:val="00251D25"/>
    <w:rsid w:val="00251D75"/>
    <w:rsid w:val="00251D84"/>
    <w:rsid w:val="00251DE2"/>
    <w:rsid w:val="00251E33"/>
    <w:rsid w:val="00251E3C"/>
    <w:rsid w:val="00251EBC"/>
    <w:rsid w:val="00251EFD"/>
    <w:rsid w:val="00251F20"/>
    <w:rsid w:val="00251F25"/>
    <w:rsid w:val="00251F3F"/>
    <w:rsid w:val="0025202A"/>
    <w:rsid w:val="0025207A"/>
    <w:rsid w:val="002520BD"/>
    <w:rsid w:val="002520C5"/>
    <w:rsid w:val="0025211B"/>
    <w:rsid w:val="00252138"/>
    <w:rsid w:val="0025218D"/>
    <w:rsid w:val="002521EF"/>
    <w:rsid w:val="00252299"/>
    <w:rsid w:val="002522B5"/>
    <w:rsid w:val="00252329"/>
    <w:rsid w:val="00252352"/>
    <w:rsid w:val="002523A6"/>
    <w:rsid w:val="00252433"/>
    <w:rsid w:val="0025243E"/>
    <w:rsid w:val="00252450"/>
    <w:rsid w:val="0025249A"/>
    <w:rsid w:val="002524A4"/>
    <w:rsid w:val="002524C9"/>
    <w:rsid w:val="002524E7"/>
    <w:rsid w:val="00252515"/>
    <w:rsid w:val="00252520"/>
    <w:rsid w:val="00252536"/>
    <w:rsid w:val="00252540"/>
    <w:rsid w:val="00252549"/>
    <w:rsid w:val="00252562"/>
    <w:rsid w:val="0025256D"/>
    <w:rsid w:val="002525CF"/>
    <w:rsid w:val="002525D2"/>
    <w:rsid w:val="002525F8"/>
    <w:rsid w:val="002525FB"/>
    <w:rsid w:val="0025261C"/>
    <w:rsid w:val="00252638"/>
    <w:rsid w:val="0025266B"/>
    <w:rsid w:val="002526BE"/>
    <w:rsid w:val="002526C6"/>
    <w:rsid w:val="002526E7"/>
    <w:rsid w:val="00252713"/>
    <w:rsid w:val="0025272D"/>
    <w:rsid w:val="00252735"/>
    <w:rsid w:val="0025274D"/>
    <w:rsid w:val="002527CC"/>
    <w:rsid w:val="002527FB"/>
    <w:rsid w:val="00252834"/>
    <w:rsid w:val="0025286B"/>
    <w:rsid w:val="00252876"/>
    <w:rsid w:val="0025287D"/>
    <w:rsid w:val="0025289C"/>
    <w:rsid w:val="00252915"/>
    <w:rsid w:val="0025292B"/>
    <w:rsid w:val="00252950"/>
    <w:rsid w:val="0025298C"/>
    <w:rsid w:val="00252993"/>
    <w:rsid w:val="002529C5"/>
    <w:rsid w:val="002529D2"/>
    <w:rsid w:val="00252A03"/>
    <w:rsid w:val="00252A8A"/>
    <w:rsid w:val="00252A99"/>
    <w:rsid w:val="00252AA8"/>
    <w:rsid w:val="00252AAE"/>
    <w:rsid w:val="00252AB2"/>
    <w:rsid w:val="00252AB9"/>
    <w:rsid w:val="00252B93"/>
    <w:rsid w:val="00252BA4"/>
    <w:rsid w:val="00252BE0"/>
    <w:rsid w:val="00252C1B"/>
    <w:rsid w:val="00252C1C"/>
    <w:rsid w:val="00252C4A"/>
    <w:rsid w:val="00252C5C"/>
    <w:rsid w:val="00252C7A"/>
    <w:rsid w:val="00252C8F"/>
    <w:rsid w:val="00252C93"/>
    <w:rsid w:val="00252CA1"/>
    <w:rsid w:val="00252CA4"/>
    <w:rsid w:val="00252CB7"/>
    <w:rsid w:val="00252CD7"/>
    <w:rsid w:val="00252CD8"/>
    <w:rsid w:val="00252CDF"/>
    <w:rsid w:val="00252D79"/>
    <w:rsid w:val="00252D84"/>
    <w:rsid w:val="00252E6E"/>
    <w:rsid w:val="00252F14"/>
    <w:rsid w:val="00252F48"/>
    <w:rsid w:val="00252FA1"/>
    <w:rsid w:val="00252FB4"/>
    <w:rsid w:val="00252FFD"/>
    <w:rsid w:val="00253002"/>
    <w:rsid w:val="00253032"/>
    <w:rsid w:val="0025303B"/>
    <w:rsid w:val="002530B0"/>
    <w:rsid w:val="00253149"/>
    <w:rsid w:val="0025316F"/>
    <w:rsid w:val="00253216"/>
    <w:rsid w:val="00253218"/>
    <w:rsid w:val="00253221"/>
    <w:rsid w:val="00253224"/>
    <w:rsid w:val="00253231"/>
    <w:rsid w:val="0025323D"/>
    <w:rsid w:val="0025324D"/>
    <w:rsid w:val="002532DF"/>
    <w:rsid w:val="002532E0"/>
    <w:rsid w:val="00253338"/>
    <w:rsid w:val="00253347"/>
    <w:rsid w:val="00253352"/>
    <w:rsid w:val="00253364"/>
    <w:rsid w:val="00253424"/>
    <w:rsid w:val="0025343E"/>
    <w:rsid w:val="00253494"/>
    <w:rsid w:val="002534AE"/>
    <w:rsid w:val="002534C2"/>
    <w:rsid w:val="002534D4"/>
    <w:rsid w:val="002534E6"/>
    <w:rsid w:val="002534ED"/>
    <w:rsid w:val="00253594"/>
    <w:rsid w:val="00253596"/>
    <w:rsid w:val="002535B7"/>
    <w:rsid w:val="002535F9"/>
    <w:rsid w:val="002535FB"/>
    <w:rsid w:val="00253651"/>
    <w:rsid w:val="00253659"/>
    <w:rsid w:val="0025366F"/>
    <w:rsid w:val="002536A1"/>
    <w:rsid w:val="002536D0"/>
    <w:rsid w:val="002536F8"/>
    <w:rsid w:val="002536FB"/>
    <w:rsid w:val="00253702"/>
    <w:rsid w:val="00253754"/>
    <w:rsid w:val="0025375A"/>
    <w:rsid w:val="0025377B"/>
    <w:rsid w:val="00253800"/>
    <w:rsid w:val="00253826"/>
    <w:rsid w:val="00253864"/>
    <w:rsid w:val="0025387C"/>
    <w:rsid w:val="00253893"/>
    <w:rsid w:val="002538C3"/>
    <w:rsid w:val="002538DF"/>
    <w:rsid w:val="00253929"/>
    <w:rsid w:val="00253AFF"/>
    <w:rsid w:val="00253B07"/>
    <w:rsid w:val="00253B09"/>
    <w:rsid w:val="00253B80"/>
    <w:rsid w:val="00253B89"/>
    <w:rsid w:val="00253B8A"/>
    <w:rsid w:val="00253BFE"/>
    <w:rsid w:val="00253C17"/>
    <w:rsid w:val="00253C2A"/>
    <w:rsid w:val="00253C6D"/>
    <w:rsid w:val="00253D3D"/>
    <w:rsid w:val="00253DEC"/>
    <w:rsid w:val="00253DF3"/>
    <w:rsid w:val="00253E33"/>
    <w:rsid w:val="00253E50"/>
    <w:rsid w:val="00253E52"/>
    <w:rsid w:val="00253E61"/>
    <w:rsid w:val="00253E65"/>
    <w:rsid w:val="00253E6A"/>
    <w:rsid w:val="00253E97"/>
    <w:rsid w:val="00253EC1"/>
    <w:rsid w:val="00253EDB"/>
    <w:rsid w:val="00253F6C"/>
    <w:rsid w:val="00253F7C"/>
    <w:rsid w:val="00253F98"/>
    <w:rsid w:val="00253F99"/>
    <w:rsid w:val="00253FAA"/>
    <w:rsid w:val="00254096"/>
    <w:rsid w:val="002540ED"/>
    <w:rsid w:val="0025416F"/>
    <w:rsid w:val="00254176"/>
    <w:rsid w:val="002541DC"/>
    <w:rsid w:val="002541F8"/>
    <w:rsid w:val="00254206"/>
    <w:rsid w:val="0025421B"/>
    <w:rsid w:val="00254226"/>
    <w:rsid w:val="00254234"/>
    <w:rsid w:val="0025426A"/>
    <w:rsid w:val="00254270"/>
    <w:rsid w:val="002542C2"/>
    <w:rsid w:val="002542E7"/>
    <w:rsid w:val="002542E8"/>
    <w:rsid w:val="00254356"/>
    <w:rsid w:val="0025437C"/>
    <w:rsid w:val="002543DC"/>
    <w:rsid w:val="0025440E"/>
    <w:rsid w:val="00254412"/>
    <w:rsid w:val="0025441B"/>
    <w:rsid w:val="002544CB"/>
    <w:rsid w:val="0025451B"/>
    <w:rsid w:val="00254532"/>
    <w:rsid w:val="00254541"/>
    <w:rsid w:val="0025456A"/>
    <w:rsid w:val="00254598"/>
    <w:rsid w:val="002545B2"/>
    <w:rsid w:val="0025460C"/>
    <w:rsid w:val="0025461F"/>
    <w:rsid w:val="00254630"/>
    <w:rsid w:val="0025466E"/>
    <w:rsid w:val="0025467E"/>
    <w:rsid w:val="002546B0"/>
    <w:rsid w:val="002546C8"/>
    <w:rsid w:val="0025470D"/>
    <w:rsid w:val="00254726"/>
    <w:rsid w:val="00254743"/>
    <w:rsid w:val="00254786"/>
    <w:rsid w:val="0025478F"/>
    <w:rsid w:val="002547AA"/>
    <w:rsid w:val="002547BA"/>
    <w:rsid w:val="002547C1"/>
    <w:rsid w:val="002547C4"/>
    <w:rsid w:val="00254847"/>
    <w:rsid w:val="0025487C"/>
    <w:rsid w:val="002548D3"/>
    <w:rsid w:val="00254930"/>
    <w:rsid w:val="00254979"/>
    <w:rsid w:val="00254AAE"/>
    <w:rsid w:val="00254AB8"/>
    <w:rsid w:val="00254AC1"/>
    <w:rsid w:val="00254AF3"/>
    <w:rsid w:val="00254B18"/>
    <w:rsid w:val="00254B36"/>
    <w:rsid w:val="00254B93"/>
    <w:rsid w:val="00254BA2"/>
    <w:rsid w:val="00254BAA"/>
    <w:rsid w:val="00254BB1"/>
    <w:rsid w:val="00254BC2"/>
    <w:rsid w:val="00254BDD"/>
    <w:rsid w:val="00254C90"/>
    <w:rsid w:val="00254CE3"/>
    <w:rsid w:val="00254D0D"/>
    <w:rsid w:val="00254DA4"/>
    <w:rsid w:val="00254DC7"/>
    <w:rsid w:val="00254DE5"/>
    <w:rsid w:val="00254E6D"/>
    <w:rsid w:val="00254E76"/>
    <w:rsid w:val="00254EA2"/>
    <w:rsid w:val="00254EDE"/>
    <w:rsid w:val="00254F1B"/>
    <w:rsid w:val="00254F7E"/>
    <w:rsid w:val="00254F81"/>
    <w:rsid w:val="00254FD9"/>
    <w:rsid w:val="0025501C"/>
    <w:rsid w:val="00255053"/>
    <w:rsid w:val="00255061"/>
    <w:rsid w:val="002550B9"/>
    <w:rsid w:val="002550CB"/>
    <w:rsid w:val="002550DD"/>
    <w:rsid w:val="0025515F"/>
    <w:rsid w:val="0025516F"/>
    <w:rsid w:val="00255189"/>
    <w:rsid w:val="0025518E"/>
    <w:rsid w:val="002551A3"/>
    <w:rsid w:val="002551BF"/>
    <w:rsid w:val="002551E3"/>
    <w:rsid w:val="0025520E"/>
    <w:rsid w:val="00255297"/>
    <w:rsid w:val="002552A6"/>
    <w:rsid w:val="00255335"/>
    <w:rsid w:val="00255350"/>
    <w:rsid w:val="00255399"/>
    <w:rsid w:val="002553EB"/>
    <w:rsid w:val="00255432"/>
    <w:rsid w:val="0025546B"/>
    <w:rsid w:val="0025549B"/>
    <w:rsid w:val="002554C9"/>
    <w:rsid w:val="00255510"/>
    <w:rsid w:val="00255514"/>
    <w:rsid w:val="00255519"/>
    <w:rsid w:val="0025559C"/>
    <w:rsid w:val="0025561F"/>
    <w:rsid w:val="00255646"/>
    <w:rsid w:val="0025564A"/>
    <w:rsid w:val="00255681"/>
    <w:rsid w:val="002556EC"/>
    <w:rsid w:val="0025576F"/>
    <w:rsid w:val="0025583E"/>
    <w:rsid w:val="0025584D"/>
    <w:rsid w:val="0025585A"/>
    <w:rsid w:val="00255925"/>
    <w:rsid w:val="00255941"/>
    <w:rsid w:val="00255975"/>
    <w:rsid w:val="00255985"/>
    <w:rsid w:val="002559D8"/>
    <w:rsid w:val="00255A15"/>
    <w:rsid w:val="00255A18"/>
    <w:rsid w:val="00255A93"/>
    <w:rsid w:val="00255AD1"/>
    <w:rsid w:val="00255B01"/>
    <w:rsid w:val="00255B96"/>
    <w:rsid w:val="00255C7C"/>
    <w:rsid w:val="00255C9E"/>
    <w:rsid w:val="00255CCF"/>
    <w:rsid w:val="00255CD0"/>
    <w:rsid w:val="00255CD8"/>
    <w:rsid w:val="00255CEE"/>
    <w:rsid w:val="00255D0B"/>
    <w:rsid w:val="00255D11"/>
    <w:rsid w:val="00255D30"/>
    <w:rsid w:val="00255D93"/>
    <w:rsid w:val="00255DB0"/>
    <w:rsid w:val="00255DF6"/>
    <w:rsid w:val="00255E13"/>
    <w:rsid w:val="00255E1F"/>
    <w:rsid w:val="00255F30"/>
    <w:rsid w:val="00255F43"/>
    <w:rsid w:val="00255F48"/>
    <w:rsid w:val="00255F6E"/>
    <w:rsid w:val="00255F98"/>
    <w:rsid w:val="00255FC4"/>
    <w:rsid w:val="00255FE1"/>
    <w:rsid w:val="00256027"/>
    <w:rsid w:val="0025603B"/>
    <w:rsid w:val="00256040"/>
    <w:rsid w:val="00256041"/>
    <w:rsid w:val="00256068"/>
    <w:rsid w:val="0025608B"/>
    <w:rsid w:val="00256090"/>
    <w:rsid w:val="002561BD"/>
    <w:rsid w:val="0025620B"/>
    <w:rsid w:val="00256210"/>
    <w:rsid w:val="00256214"/>
    <w:rsid w:val="0025627A"/>
    <w:rsid w:val="002562AA"/>
    <w:rsid w:val="0025631D"/>
    <w:rsid w:val="00256354"/>
    <w:rsid w:val="0025635A"/>
    <w:rsid w:val="0025637D"/>
    <w:rsid w:val="002563E1"/>
    <w:rsid w:val="00256452"/>
    <w:rsid w:val="00256463"/>
    <w:rsid w:val="00256473"/>
    <w:rsid w:val="0025649C"/>
    <w:rsid w:val="002564A9"/>
    <w:rsid w:val="002564BC"/>
    <w:rsid w:val="00256509"/>
    <w:rsid w:val="00256561"/>
    <w:rsid w:val="0025657F"/>
    <w:rsid w:val="0025658D"/>
    <w:rsid w:val="00256593"/>
    <w:rsid w:val="002565EA"/>
    <w:rsid w:val="00256618"/>
    <w:rsid w:val="0025662B"/>
    <w:rsid w:val="0025663F"/>
    <w:rsid w:val="0025665A"/>
    <w:rsid w:val="0025665F"/>
    <w:rsid w:val="00256660"/>
    <w:rsid w:val="0025667D"/>
    <w:rsid w:val="002566C3"/>
    <w:rsid w:val="0025677F"/>
    <w:rsid w:val="002567A7"/>
    <w:rsid w:val="002567BC"/>
    <w:rsid w:val="002567D8"/>
    <w:rsid w:val="00256810"/>
    <w:rsid w:val="0025682B"/>
    <w:rsid w:val="00256841"/>
    <w:rsid w:val="00256868"/>
    <w:rsid w:val="0025687C"/>
    <w:rsid w:val="002568A2"/>
    <w:rsid w:val="00256930"/>
    <w:rsid w:val="00256963"/>
    <w:rsid w:val="002569DD"/>
    <w:rsid w:val="00256A6F"/>
    <w:rsid w:val="00256AAA"/>
    <w:rsid w:val="00256ABE"/>
    <w:rsid w:val="00256B31"/>
    <w:rsid w:val="00256B33"/>
    <w:rsid w:val="00256B8A"/>
    <w:rsid w:val="00256B9A"/>
    <w:rsid w:val="00256BAB"/>
    <w:rsid w:val="00256C3B"/>
    <w:rsid w:val="00256C50"/>
    <w:rsid w:val="00256C52"/>
    <w:rsid w:val="00256C74"/>
    <w:rsid w:val="00256C82"/>
    <w:rsid w:val="00256D27"/>
    <w:rsid w:val="00256D56"/>
    <w:rsid w:val="00256D62"/>
    <w:rsid w:val="00256D74"/>
    <w:rsid w:val="00256D91"/>
    <w:rsid w:val="00256DD8"/>
    <w:rsid w:val="00256E82"/>
    <w:rsid w:val="00256FBD"/>
    <w:rsid w:val="00256FCD"/>
    <w:rsid w:val="002570C7"/>
    <w:rsid w:val="00257176"/>
    <w:rsid w:val="00257180"/>
    <w:rsid w:val="002571B8"/>
    <w:rsid w:val="002571C7"/>
    <w:rsid w:val="00257225"/>
    <w:rsid w:val="00257239"/>
    <w:rsid w:val="00257268"/>
    <w:rsid w:val="0025728F"/>
    <w:rsid w:val="002572E8"/>
    <w:rsid w:val="002572EC"/>
    <w:rsid w:val="00257326"/>
    <w:rsid w:val="0025733D"/>
    <w:rsid w:val="00257361"/>
    <w:rsid w:val="00257392"/>
    <w:rsid w:val="0025741A"/>
    <w:rsid w:val="0025742A"/>
    <w:rsid w:val="0025747B"/>
    <w:rsid w:val="002574D0"/>
    <w:rsid w:val="00257529"/>
    <w:rsid w:val="00257589"/>
    <w:rsid w:val="002575E9"/>
    <w:rsid w:val="002575EF"/>
    <w:rsid w:val="0025760F"/>
    <w:rsid w:val="00257616"/>
    <w:rsid w:val="002576EC"/>
    <w:rsid w:val="00257701"/>
    <w:rsid w:val="0025772B"/>
    <w:rsid w:val="00257772"/>
    <w:rsid w:val="002577E0"/>
    <w:rsid w:val="002577E7"/>
    <w:rsid w:val="00257826"/>
    <w:rsid w:val="00257848"/>
    <w:rsid w:val="0025784F"/>
    <w:rsid w:val="0025788F"/>
    <w:rsid w:val="002578B4"/>
    <w:rsid w:val="00257986"/>
    <w:rsid w:val="002579C3"/>
    <w:rsid w:val="002579FD"/>
    <w:rsid w:val="00257A68"/>
    <w:rsid w:val="00257A6E"/>
    <w:rsid w:val="00257AD2"/>
    <w:rsid w:val="00257AD3"/>
    <w:rsid w:val="00257B3A"/>
    <w:rsid w:val="00257BA1"/>
    <w:rsid w:val="00257BF9"/>
    <w:rsid w:val="00257C2B"/>
    <w:rsid w:val="00257C83"/>
    <w:rsid w:val="00257C93"/>
    <w:rsid w:val="00257CE2"/>
    <w:rsid w:val="00257CE9"/>
    <w:rsid w:val="00257D2F"/>
    <w:rsid w:val="00257D7D"/>
    <w:rsid w:val="00257E11"/>
    <w:rsid w:val="00257E32"/>
    <w:rsid w:val="00257E50"/>
    <w:rsid w:val="00257E6C"/>
    <w:rsid w:val="00257E7D"/>
    <w:rsid w:val="00257EC3"/>
    <w:rsid w:val="00257EC7"/>
    <w:rsid w:val="00257F20"/>
    <w:rsid w:val="00257F55"/>
    <w:rsid w:val="00257FB0"/>
    <w:rsid w:val="00257FF5"/>
    <w:rsid w:val="00260059"/>
    <w:rsid w:val="002600B7"/>
    <w:rsid w:val="002600BF"/>
    <w:rsid w:val="002600FF"/>
    <w:rsid w:val="0026010A"/>
    <w:rsid w:val="00260169"/>
    <w:rsid w:val="00260173"/>
    <w:rsid w:val="0026017E"/>
    <w:rsid w:val="00260193"/>
    <w:rsid w:val="002601A3"/>
    <w:rsid w:val="002601A9"/>
    <w:rsid w:val="00260239"/>
    <w:rsid w:val="0026025A"/>
    <w:rsid w:val="00260286"/>
    <w:rsid w:val="0026028D"/>
    <w:rsid w:val="00260318"/>
    <w:rsid w:val="00260331"/>
    <w:rsid w:val="00260350"/>
    <w:rsid w:val="0026037B"/>
    <w:rsid w:val="0026037D"/>
    <w:rsid w:val="002603AE"/>
    <w:rsid w:val="002603B0"/>
    <w:rsid w:val="002603FC"/>
    <w:rsid w:val="00260421"/>
    <w:rsid w:val="00260424"/>
    <w:rsid w:val="00260429"/>
    <w:rsid w:val="00260436"/>
    <w:rsid w:val="00260444"/>
    <w:rsid w:val="002604C4"/>
    <w:rsid w:val="002604F7"/>
    <w:rsid w:val="00260506"/>
    <w:rsid w:val="00260555"/>
    <w:rsid w:val="00260574"/>
    <w:rsid w:val="00260597"/>
    <w:rsid w:val="00260598"/>
    <w:rsid w:val="002605B6"/>
    <w:rsid w:val="0026062F"/>
    <w:rsid w:val="00260630"/>
    <w:rsid w:val="00260646"/>
    <w:rsid w:val="0026069C"/>
    <w:rsid w:val="002606D4"/>
    <w:rsid w:val="00260731"/>
    <w:rsid w:val="00260741"/>
    <w:rsid w:val="0026075A"/>
    <w:rsid w:val="00260802"/>
    <w:rsid w:val="00260848"/>
    <w:rsid w:val="0026086F"/>
    <w:rsid w:val="002608B9"/>
    <w:rsid w:val="002608C1"/>
    <w:rsid w:val="002608F0"/>
    <w:rsid w:val="0026095D"/>
    <w:rsid w:val="002609C5"/>
    <w:rsid w:val="002609DE"/>
    <w:rsid w:val="00260A0A"/>
    <w:rsid w:val="00260A72"/>
    <w:rsid w:val="00260AB7"/>
    <w:rsid w:val="00260ACF"/>
    <w:rsid w:val="00260B70"/>
    <w:rsid w:val="00260B7A"/>
    <w:rsid w:val="00260C34"/>
    <w:rsid w:val="00260C4D"/>
    <w:rsid w:val="00260C57"/>
    <w:rsid w:val="00260CDC"/>
    <w:rsid w:val="00260D3D"/>
    <w:rsid w:val="00260D6C"/>
    <w:rsid w:val="00260D85"/>
    <w:rsid w:val="00260D9B"/>
    <w:rsid w:val="00260DBC"/>
    <w:rsid w:val="00260DF7"/>
    <w:rsid w:val="00260EB4"/>
    <w:rsid w:val="00260EFE"/>
    <w:rsid w:val="00260F00"/>
    <w:rsid w:val="00260F3F"/>
    <w:rsid w:val="00260F9C"/>
    <w:rsid w:val="00260FC1"/>
    <w:rsid w:val="00260FD3"/>
    <w:rsid w:val="00260FF5"/>
    <w:rsid w:val="00261014"/>
    <w:rsid w:val="0026101F"/>
    <w:rsid w:val="0026107C"/>
    <w:rsid w:val="002610A3"/>
    <w:rsid w:val="002610A9"/>
    <w:rsid w:val="002610CA"/>
    <w:rsid w:val="00261108"/>
    <w:rsid w:val="00261183"/>
    <w:rsid w:val="002611A5"/>
    <w:rsid w:val="002611E7"/>
    <w:rsid w:val="00261224"/>
    <w:rsid w:val="0026125C"/>
    <w:rsid w:val="00261310"/>
    <w:rsid w:val="0026136E"/>
    <w:rsid w:val="00261383"/>
    <w:rsid w:val="002613AF"/>
    <w:rsid w:val="002613DA"/>
    <w:rsid w:val="002613E5"/>
    <w:rsid w:val="002613EC"/>
    <w:rsid w:val="002613F4"/>
    <w:rsid w:val="00261408"/>
    <w:rsid w:val="0026141A"/>
    <w:rsid w:val="0026144A"/>
    <w:rsid w:val="002614DB"/>
    <w:rsid w:val="002614FF"/>
    <w:rsid w:val="00261517"/>
    <w:rsid w:val="0026151F"/>
    <w:rsid w:val="002615B1"/>
    <w:rsid w:val="002615C7"/>
    <w:rsid w:val="002615C8"/>
    <w:rsid w:val="002615D9"/>
    <w:rsid w:val="0026160B"/>
    <w:rsid w:val="0026164B"/>
    <w:rsid w:val="0026166F"/>
    <w:rsid w:val="002616DB"/>
    <w:rsid w:val="002616EF"/>
    <w:rsid w:val="002616FE"/>
    <w:rsid w:val="00261718"/>
    <w:rsid w:val="0026174D"/>
    <w:rsid w:val="0026177E"/>
    <w:rsid w:val="0026178B"/>
    <w:rsid w:val="00261791"/>
    <w:rsid w:val="002617C9"/>
    <w:rsid w:val="002617CE"/>
    <w:rsid w:val="00261822"/>
    <w:rsid w:val="00261838"/>
    <w:rsid w:val="00261862"/>
    <w:rsid w:val="0026186B"/>
    <w:rsid w:val="0026186F"/>
    <w:rsid w:val="00261941"/>
    <w:rsid w:val="00261963"/>
    <w:rsid w:val="002619B9"/>
    <w:rsid w:val="002619EA"/>
    <w:rsid w:val="002619EF"/>
    <w:rsid w:val="00261A0C"/>
    <w:rsid w:val="00261A49"/>
    <w:rsid w:val="00261AA9"/>
    <w:rsid w:val="00261AB3"/>
    <w:rsid w:val="00261AF0"/>
    <w:rsid w:val="00261B09"/>
    <w:rsid w:val="00261B20"/>
    <w:rsid w:val="00261B2C"/>
    <w:rsid w:val="00261B7E"/>
    <w:rsid w:val="00261BAC"/>
    <w:rsid w:val="00261BB4"/>
    <w:rsid w:val="00261C62"/>
    <w:rsid w:val="00261D4F"/>
    <w:rsid w:val="00261D70"/>
    <w:rsid w:val="00261E06"/>
    <w:rsid w:val="00261E86"/>
    <w:rsid w:val="00261E8A"/>
    <w:rsid w:val="00261EE1"/>
    <w:rsid w:val="00261EF5"/>
    <w:rsid w:val="00261F04"/>
    <w:rsid w:val="00261F1E"/>
    <w:rsid w:val="00261F4A"/>
    <w:rsid w:val="00261F86"/>
    <w:rsid w:val="00261FBD"/>
    <w:rsid w:val="00262091"/>
    <w:rsid w:val="002620C7"/>
    <w:rsid w:val="002620ED"/>
    <w:rsid w:val="00262114"/>
    <w:rsid w:val="0026211F"/>
    <w:rsid w:val="00262151"/>
    <w:rsid w:val="0026216E"/>
    <w:rsid w:val="002621DE"/>
    <w:rsid w:val="002622E3"/>
    <w:rsid w:val="002622F1"/>
    <w:rsid w:val="00262321"/>
    <w:rsid w:val="00262335"/>
    <w:rsid w:val="00262366"/>
    <w:rsid w:val="002623E2"/>
    <w:rsid w:val="00262437"/>
    <w:rsid w:val="0026243E"/>
    <w:rsid w:val="00262452"/>
    <w:rsid w:val="00262482"/>
    <w:rsid w:val="0026248E"/>
    <w:rsid w:val="002624D1"/>
    <w:rsid w:val="00262564"/>
    <w:rsid w:val="00262566"/>
    <w:rsid w:val="0026257C"/>
    <w:rsid w:val="002625B9"/>
    <w:rsid w:val="002625E4"/>
    <w:rsid w:val="00262683"/>
    <w:rsid w:val="002626BA"/>
    <w:rsid w:val="00262752"/>
    <w:rsid w:val="00262758"/>
    <w:rsid w:val="0026278D"/>
    <w:rsid w:val="00262793"/>
    <w:rsid w:val="00262799"/>
    <w:rsid w:val="002627B9"/>
    <w:rsid w:val="002627CC"/>
    <w:rsid w:val="0026281E"/>
    <w:rsid w:val="0026284A"/>
    <w:rsid w:val="00262892"/>
    <w:rsid w:val="00262946"/>
    <w:rsid w:val="002629AD"/>
    <w:rsid w:val="002629DF"/>
    <w:rsid w:val="002629F6"/>
    <w:rsid w:val="00262A45"/>
    <w:rsid w:val="00262A49"/>
    <w:rsid w:val="00262A8F"/>
    <w:rsid w:val="00262B0D"/>
    <w:rsid w:val="00262B17"/>
    <w:rsid w:val="00262B50"/>
    <w:rsid w:val="00262B6F"/>
    <w:rsid w:val="00262BFC"/>
    <w:rsid w:val="00262C10"/>
    <w:rsid w:val="00262C50"/>
    <w:rsid w:val="00262C8A"/>
    <w:rsid w:val="00262CA5"/>
    <w:rsid w:val="00262CE4"/>
    <w:rsid w:val="00262CF6"/>
    <w:rsid w:val="00262D29"/>
    <w:rsid w:val="00262DEC"/>
    <w:rsid w:val="00262E21"/>
    <w:rsid w:val="00262E35"/>
    <w:rsid w:val="00262E66"/>
    <w:rsid w:val="00262E8F"/>
    <w:rsid w:val="00262EB3"/>
    <w:rsid w:val="00262EF0"/>
    <w:rsid w:val="00262F4F"/>
    <w:rsid w:val="00262F68"/>
    <w:rsid w:val="00262FA2"/>
    <w:rsid w:val="00263005"/>
    <w:rsid w:val="00263052"/>
    <w:rsid w:val="002630D9"/>
    <w:rsid w:val="0026318E"/>
    <w:rsid w:val="00263193"/>
    <w:rsid w:val="002631C1"/>
    <w:rsid w:val="00263217"/>
    <w:rsid w:val="00263220"/>
    <w:rsid w:val="0026325E"/>
    <w:rsid w:val="0026328B"/>
    <w:rsid w:val="002632B1"/>
    <w:rsid w:val="002632C8"/>
    <w:rsid w:val="002632D6"/>
    <w:rsid w:val="002632FE"/>
    <w:rsid w:val="00263460"/>
    <w:rsid w:val="00263502"/>
    <w:rsid w:val="0026357A"/>
    <w:rsid w:val="00263582"/>
    <w:rsid w:val="00263687"/>
    <w:rsid w:val="0026368E"/>
    <w:rsid w:val="002636A1"/>
    <w:rsid w:val="00263709"/>
    <w:rsid w:val="0026372C"/>
    <w:rsid w:val="00263761"/>
    <w:rsid w:val="00263774"/>
    <w:rsid w:val="002637B7"/>
    <w:rsid w:val="00263810"/>
    <w:rsid w:val="0026381B"/>
    <w:rsid w:val="0026384F"/>
    <w:rsid w:val="0026389A"/>
    <w:rsid w:val="002638B0"/>
    <w:rsid w:val="002638C4"/>
    <w:rsid w:val="002638FC"/>
    <w:rsid w:val="002638FE"/>
    <w:rsid w:val="00263912"/>
    <w:rsid w:val="00263929"/>
    <w:rsid w:val="0026394A"/>
    <w:rsid w:val="0026394D"/>
    <w:rsid w:val="00263963"/>
    <w:rsid w:val="002639D1"/>
    <w:rsid w:val="002639E1"/>
    <w:rsid w:val="002639FF"/>
    <w:rsid w:val="00263A04"/>
    <w:rsid w:val="00263A15"/>
    <w:rsid w:val="00263A37"/>
    <w:rsid w:val="00263A93"/>
    <w:rsid w:val="00263AA7"/>
    <w:rsid w:val="00263AE8"/>
    <w:rsid w:val="00263B01"/>
    <w:rsid w:val="00263B60"/>
    <w:rsid w:val="00263B6C"/>
    <w:rsid w:val="00263C1D"/>
    <w:rsid w:val="00263C34"/>
    <w:rsid w:val="00263C5D"/>
    <w:rsid w:val="00263C71"/>
    <w:rsid w:val="00263C7D"/>
    <w:rsid w:val="00263CE2"/>
    <w:rsid w:val="00263D2A"/>
    <w:rsid w:val="00263D9B"/>
    <w:rsid w:val="00263DC5"/>
    <w:rsid w:val="00263DD3"/>
    <w:rsid w:val="00263E03"/>
    <w:rsid w:val="00263E06"/>
    <w:rsid w:val="00263E42"/>
    <w:rsid w:val="00263EE0"/>
    <w:rsid w:val="00263EFE"/>
    <w:rsid w:val="00263F8A"/>
    <w:rsid w:val="00263F8C"/>
    <w:rsid w:val="00263F95"/>
    <w:rsid w:val="00263FA8"/>
    <w:rsid w:val="00264009"/>
    <w:rsid w:val="0026401A"/>
    <w:rsid w:val="002640F9"/>
    <w:rsid w:val="00264128"/>
    <w:rsid w:val="00264171"/>
    <w:rsid w:val="00264174"/>
    <w:rsid w:val="0026419D"/>
    <w:rsid w:val="00264201"/>
    <w:rsid w:val="0026421D"/>
    <w:rsid w:val="00264250"/>
    <w:rsid w:val="0026428F"/>
    <w:rsid w:val="002642E1"/>
    <w:rsid w:val="002642FA"/>
    <w:rsid w:val="0026432D"/>
    <w:rsid w:val="00264344"/>
    <w:rsid w:val="0026434E"/>
    <w:rsid w:val="002643A7"/>
    <w:rsid w:val="002643C5"/>
    <w:rsid w:val="002643E1"/>
    <w:rsid w:val="002643FE"/>
    <w:rsid w:val="00264401"/>
    <w:rsid w:val="0026442C"/>
    <w:rsid w:val="00264432"/>
    <w:rsid w:val="002644AF"/>
    <w:rsid w:val="002644BB"/>
    <w:rsid w:val="002644FF"/>
    <w:rsid w:val="0026453A"/>
    <w:rsid w:val="00264570"/>
    <w:rsid w:val="00264597"/>
    <w:rsid w:val="0026459E"/>
    <w:rsid w:val="002645AB"/>
    <w:rsid w:val="002645E9"/>
    <w:rsid w:val="002645F2"/>
    <w:rsid w:val="00264637"/>
    <w:rsid w:val="00264639"/>
    <w:rsid w:val="00264671"/>
    <w:rsid w:val="00264699"/>
    <w:rsid w:val="0026470F"/>
    <w:rsid w:val="0026474D"/>
    <w:rsid w:val="00264750"/>
    <w:rsid w:val="0026479B"/>
    <w:rsid w:val="002647BD"/>
    <w:rsid w:val="002647CC"/>
    <w:rsid w:val="00264869"/>
    <w:rsid w:val="0026486F"/>
    <w:rsid w:val="0026488C"/>
    <w:rsid w:val="00264895"/>
    <w:rsid w:val="002648C7"/>
    <w:rsid w:val="002648CD"/>
    <w:rsid w:val="002648D3"/>
    <w:rsid w:val="00264939"/>
    <w:rsid w:val="00264990"/>
    <w:rsid w:val="0026499D"/>
    <w:rsid w:val="002649CD"/>
    <w:rsid w:val="00264A11"/>
    <w:rsid w:val="00264A3E"/>
    <w:rsid w:val="00264A5E"/>
    <w:rsid w:val="00264A8F"/>
    <w:rsid w:val="00264AF9"/>
    <w:rsid w:val="00264B13"/>
    <w:rsid w:val="00264B23"/>
    <w:rsid w:val="00264B2A"/>
    <w:rsid w:val="00264B40"/>
    <w:rsid w:val="00264BBA"/>
    <w:rsid w:val="00264BFC"/>
    <w:rsid w:val="00264C09"/>
    <w:rsid w:val="00264C47"/>
    <w:rsid w:val="00264C8A"/>
    <w:rsid w:val="00264C9E"/>
    <w:rsid w:val="00264CA2"/>
    <w:rsid w:val="00264CB6"/>
    <w:rsid w:val="00264D2C"/>
    <w:rsid w:val="00264D34"/>
    <w:rsid w:val="00264D73"/>
    <w:rsid w:val="00264D85"/>
    <w:rsid w:val="00264DBA"/>
    <w:rsid w:val="00264E52"/>
    <w:rsid w:val="00264E73"/>
    <w:rsid w:val="00264ED1"/>
    <w:rsid w:val="00264EF9"/>
    <w:rsid w:val="00264F47"/>
    <w:rsid w:val="00264F4C"/>
    <w:rsid w:val="00264F4D"/>
    <w:rsid w:val="00264F79"/>
    <w:rsid w:val="00264FB7"/>
    <w:rsid w:val="00264FCA"/>
    <w:rsid w:val="0026500D"/>
    <w:rsid w:val="0026504E"/>
    <w:rsid w:val="00265084"/>
    <w:rsid w:val="002650D7"/>
    <w:rsid w:val="0026510A"/>
    <w:rsid w:val="00265116"/>
    <w:rsid w:val="00265121"/>
    <w:rsid w:val="0026512E"/>
    <w:rsid w:val="00265136"/>
    <w:rsid w:val="00265175"/>
    <w:rsid w:val="00265178"/>
    <w:rsid w:val="0026519C"/>
    <w:rsid w:val="002651C6"/>
    <w:rsid w:val="0026520A"/>
    <w:rsid w:val="00265231"/>
    <w:rsid w:val="00265244"/>
    <w:rsid w:val="002652A2"/>
    <w:rsid w:val="002652DA"/>
    <w:rsid w:val="00265334"/>
    <w:rsid w:val="00265447"/>
    <w:rsid w:val="00265470"/>
    <w:rsid w:val="00265476"/>
    <w:rsid w:val="00265487"/>
    <w:rsid w:val="00265490"/>
    <w:rsid w:val="002654A6"/>
    <w:rsid w:val="002654AA"/>
    <w:rsid w:val="002654E7"/>
    <w:rsid w:val="0026553B"/>
    <w:rsid w:val="00265564"/>
    <w:rsid w:val="00265565"/>
    <w:rsid w:val="00265581"/>
    <w:rsid w:val="002655D7"/>
    <w:rsid w:val="002655E2"/>
    <w:rsid w:val="002655E5"/>
    <w:rsid w:val="002655EC"/>
    <w:rsid w:val="002655F2"/>
    <w:rsid w:val="00265603"/>
    <w:rsid w:val="0026560D"/>
    <w:rsid w:val="0026560F"/>
    <w:rsid w:val="00265619"/>
    <w:rsid w:val="00265632"/>
    <w:rsid w:val="00265633"/>
    <w:rsid w:val="00265736"/>
    <w:rsid w:val="00265737"/>
    <w:rsid w:val="0026575A"/>
    <w:rsid w:val="00265778"/>
    <w:rsid w:val="002657E9"/>
    <w:rsid w:val="00265805"/>
    <w:rsid w:val="0026582C"/>
    <w:rsid w:val="00265843"/>
    <w:rsid w:val="002658AD"/>
    <w:rsid w:val="002658BC"/>
    <w:rsid w:val="002658E9"/>
    <w:rsid w:val="0026592A"/>
    <w:rsid w:val="0026593D"/>
    <w:rsid w:val="00265971"/>
    <w:rsid w:val="0026597E"/>
    <w:rsid w:val="002659A7"/>
    <w:rsid w:val="002659B7"/>
    <w:rsid w:val="002659CC"/>
    <w:rsid w:val="002659D1"/>
    <w:rsid w:val="002659F3"/>
    <w:rsid w:val="00265A0B"/>
    <w:rsid w:val="00265A13"/>
    <w:rsid w:val="00265A21"/>
    <w:rsid w:val="00265A78"/>
    <w:rsid w:val="00265A99"/>
    <w:rsid w:val="00265A9C"/>
    <w:rsid w:val="00265B4F"/>
    <w:rsid w:val="00265B5D"/>
    <w:rsid w:val="00265BB1"/>
    <w:rsid w:val="00265C14"/>
    <w:rsid w:val="00265C31"/>
    <w:rsid w:val="00265C5C"/>
    <w:rsid w:val="00265C79"/>
    <w:rsid w:val="00265C84"/>
    <w:rsid w:val="00265C96"/>
    <w:rsid w:val="00265CC6"/>
    <w:rsid w:val="00265CD8"/>
    <w:rsid w:val="00265CFB"/>
    <w:rsid w:val="00265D6B"/>
    <w:rsid w:val="00265D97"/>
    <w:rsid w:val="00265DAE"/>
    <w:rsid w:val="00265DC7"/>
    <w:rsid w:val="00265DCE"/>
    <w:rsid w:val="00265DF1"/>
    <w:rsid w:val="00265E02"/>
    <w:rsid w:val="00265E5D"/>
    <w:rsid w:val="00265EA3"/>
    <w:rsid w:val="00265EC6"/>
    <w:rsid w:val="00265EED"/>
    <w:rsid w:val="00265EF8"/>
    <w:rsid w:val="00265F0E"/>
    <w:rsid w:val="00265F1A"/>
    <w:rsid w:val="00265F26"/>
    <w:rsid w:val="00265F53"/>
    <w:rsid w:val="00265FC9"/>
    <w:rsid w:val="00265FCB"/>
    <w:rsid w:val="00265FF9"/>
    <w:rsid w:val="00266005"/>
    <w:rsid w:val="0026600D"/>
    <w:rsid w:val="00266065"/>
    <w:rsid w:val="00266110"/>
    <w:rsid w:val="00266138"/>
    <w:rsid w:val="0026614B"/>
    <w:rsid w:val="0026616D"/>
    <w:rsid w:val="0026619C"/>
    <w:rsid w:val="002661A3"/>
    <w:rsid w:val="00266370"/>
    <w:rsid w:val="00266394"/>
    <w:rsid w:val="002663B2"/>
    <w:rsid w:val="002663EF"/>
    <w:rsid w:val="00266406"/>
    <w:rsid w:val="00266419"/>
    <w:rsid w:val="0026642F"/>
    <w:rsid w:val="00266443"/>
    <w:rsid w:val="0026644E"/>
    <w:rsid w:val="002664B1"/>
    <w:rsid w:val="002664BF"/>
    <w:rsid w:val="002664CC"/>
    <w:rsid w:val="00266511"/>
    <w:rsid w:val="0026653A"/>
    <w:rsid w:val="00266547"/>
    <w:rsid w:val="0026656F"/>
    <w:rsid w:val="0026659E"/>
    <w:rsid w:val="0026659F"/>
    <w:rsid w:val="002665BF"/>
    <w:rsid w:val="0026661D"/>
    <w:rsid w:val="00266650"/>
    <w:rsid w:val="00266686"/>
    <w:rsid w:val="00266701"/>
    <w:rsid w:val="00266724"/>
    <w:rsid w:val="0026675D"/>
    <w:rsid w:val="00266868"/>
    <w:rsid w:val="0026687B"/>
    <w:rsid w:val="002668CC"/>
    <w:rsid w:val="002668E4"/>
    <w:rsid w:val="002668F5"/>
    <w:rsid w:val="0026691F"/>
    <w:rsid w:val="00266941"/>
    <w:rsid w:val="0026694F"/>
    <w:rsid w:val="002669C4"/>
    <w:rsid w:val="002669E1"/>
    <w:rsid w:val="002669FB"/>
    <w:rsid w:val="00266A36"/>
    <w:rsid w:val="00266A5E"/>
    <w:rsid w:val="00266A65"/>
    <w:rsid w:val="00266A8D"/>
    <w:rsid w:val="00266A92"/>
    <w:rsid w:val="00266AAC"/>
    <w:rsid w:val="00266AB2"/>
    <w:rsid w:val="00266AD9"/>
    <w:rsid w:val="00266B0A"/>
    <w:rsid w:val="00266B7D"/>
    <w:rsid w:val="00266B80"/>
    <w:rsid w:val="00266B90"/>
    <w:rsid w:val="00266BE4"/>
    <w:rsid w:val="00266C22"/>
    <w:rsid w:val="00266C67"/>
    <w:rsid w:val="00266C84"/>
    <w:rsid w:val="00266C98"/>
    <w:rsid w:val="00266CF7"/>
    <w:rsid w:val="00266D68"/>
    <w:rsid w:val="00266DB1"/>
    <w:rsid w:val="00266DE3"/>
    <w:rsid w:val="00266E10"/>
    <w:rsid w:val="00266E23"/>
    <w:rsid w:val="00266EC9"/>
    <w:rsid w:val="00266EFF"/>
    <w:rsid w:val="00266F21"/>
    <w:rsid w:val="00266F68"/>
    <w:rsid w:val="00266FD4"/>
    <w:rsid w:val="00266FDE"/>
    <w:rsid w:val="00266FF0"/>
    <w:rsid w:val="00267020"/>
    <w:rsid w:val="0026704C"/>
    <w:rsid w:val="00267063"/>
    <w:rsid w:val="002670DB"/>
    <w:rsid w:val="0026712F"/>
    <w:rsid w:val="00267137"/>
    <w:rsid w:val="0026713C"/>
    <w:rsid w:val="00267162"/>
    <w:rsid w:val="002671D5"/>
    <w:rsid w:val="00267218"/>
    <w:rsid w:val="00267241"/>
    <w:rsid w:val="0026729F"/>
    <w:rsid w:val="002672A0"/>
    <w:rsid w:val="002672E1"/>
    <w:rsid w:val="00267347"/>
    <w:rsid w:val="00267486"/>
    <w:rsid w:val="0026748E"/>
    <w:rsid w:val="00267490"/>
    <w:rsid w:val="002674BD"/>
    <w:rsid w:val="0026752F"/>
    <w:rsid w:val="0026756E"/>
    <w:rsid w:val="00267724"/>
    <w:rsid w:val="002677E9"/>
    <w:rsid w:val="002677F5"/>
    <w:rsid w:val="0026781D"/>
    <w:rsid w:val="0026785F"/>
    <w:rsid w:val="00267861"/>
    <w:rsid w:val="00267863"/>
    <w:rsid w:val="0026788A"/>
    <w:rsid w:val="0026788D"/>
    <w:rsid w:val="00267893"/>
    <w:rsid w:val="002678E8"/>
    <w:rsid w:val="00267902"/>
    <w:rsid w:val="0026792E"/>
    <w:rsid w:val="00267942"/>
    <w:rsid w:val="002679C1"/>
    <w:rsid w:val="002679C2"/>
    <w:rsid w:val="002679C3"/>
    <w:rsid w:val="002679C9"/>
    <w:rsid w:val="00267A1B"/>
    <w:rsid w:val="00267A22"/>
    <w:rsid w:val="00267A38"/>
    <w:rsid w:val="00267AC1"/>
    <w:rsid w:val="00267AED"/>
    <w:rsid w:val="00267AFD"/>
    <w:rsid w:val="00267B65"/>
    <w:rsid w:val="00267BB2"/>
    <w:rsid w:val="00267BBA"/>
    <w:rsid w:val="00267BD3"/>
    <w:rsid w:val="00267BE7"/>
    <w:rsid w:val="00267C02"/>
    <w:rsid w:val="00267C04"/>
    <w:rsid w:val="00267C0A"/>
    <w:rsid w:val="00267C20"/>
    <w:rsid w:val="00267C5C"/>
    <w:rsid w:val="00267CCB"/>
    <w:rsid w:val="00267CD7"/>
    <w:rsid w:val="00267D01"/>
    <w:rsid w:val="00267D02"/>
    <w:rsid w:val="00267D13"/>
    <w:rsid w:val="00267D88"/>
    <w:rsid w:val="00267DB1"/>
    <w:rsid w:val="00267DDB"/>
    <w:rsid w:val="00267DE1"/>
    <w:rsid w:val="00267E97"/>
    <w:rsid w:val="00267EE7"/>
    <w:rsid w:val="00267EF8"/>
    <w:rsid w:val="00267F19"/>
    <w:rsid w:val="00267F2C"/>
    <w:rsid w:val="00267F40"/>
    <w:rsid w:val="00267F42"/>
    <w:rsid w:val="00267F48"/>
    <w:rsid w:val="00267F54"/>
    <w:rsid w:val="00267F5B"/>
    <w:rsid w:val="00267F6A"/>
    <w:rsid w:val="00267F8F"/>
    <w:rsid w:val="00267FAF"/>
    <w:rsid w:val="00267FD2"/>
    <w:rsid w:val="00267FE3"/>
    <w:rsid w:val="0027003C"/>
    <w:rsid w:val="0027004D"/>
    <w:rsid w:val="0027009F"/>
    <w:rsid w:val="002700C7"/>
    <w:rsid w:val="002700D6"/>
    <w:rsid w:val="00270133"/>
    <w:rsid w:val="00270190"/>
    <w:rsid w:val="002701A6"/>
    <w:rsid w:val="002701B6"/>
    <w:rsid w:val="002701DF"/>
    <w:rsid w:val="002701F8"/>
    <w:rsid w:val="00270202"/>
    <w:rsid w:val="00270238"/>
    <w:rsid w:val="002702A3"/>
    <w:rsid w:val="002702BC"/>
    <w:rsid w:val="002702BF"/>
    <w:rsid w:val="00270319"/>
    <w:rsid w:val="0027035F"/>
    <w:rsid w:val="00270374"/>
    <w:rsid w:val="00270395"/>
    <w:rsid w:val="0027039B"/>
    <w:rsid w:val="002703D8"/>
    <w:rsid w:val="002703E7"/>
    <w:rsid w:val="002703FF"/>
    <w:rsid w:val="00270406"/>
    <w:rsid w:val="00270457"/>
    <w:rsid w:val="00270462"/>
    <w:rsid w:val="00270466"/>
    <w:rsid w:val="00270480"/>
    <w:rsid w:val="00270494"/>
    <w:rsid w:val="002704F8"/>
    <w:rsid w:val="0027053F"/>
    <w:rsid w:val="00270541"/>
    <w:rsid w:val="002705F5"/>
    <w:rsid w:val="00270625"/>
    <w:rsid w:val="0027063C"/>
    <w:rsid w:val="0027066A"/>
    <w:rsid w:val="00270722"/>
    <w:rsid w:val="00270795"/>
    <w:rsid w:val="0027080C"/>
    <w:rsid w:val="00270873"/>
    <w:rsid w:val="002708C5"/>
    <w:rsid w:val="00270905"/>
    <w:rsid w:val="00270929"/>
    <w:rsid w:val="0027093D"/>
    <w:rsid w:val="0027094A"/>
    <w:rsid w:val="0027094B"/>
    <w:rsid w:val="00270992"/>
    <w:rsid w:val="002709F8"/>
    <w:rsid w:val="00270A1F"/>
    <w:rsid w:val="00270A85"/>
    <w:rsid w:val="00270AB5"/>
    <w:rsid w:val="00270AC7"/>
    <w:rsid w:val="00270ADC"/>
    <w:rsid w:val="00270B30"/>
    <w:rsid w:val="00270B33"/>
    <w:rsid w:val="00270B3A"/>
    <w:rsid w:val="00270B4B"/>
    <w:rsid w:val="00270B71"/>
    <w:rsid w:val="00270BC3"/>
    <w:rsid w:val="00270C26"/>
    <w:rsid w:val="00270C5E"/>
    <w:rsid w:val="00270CCD"/>
    <w:rsid w:val="00270CD6"/>
    <w:rsid w:val="00270D07"/>
    <w:rsid w:val="00270D21"/>
    <w:rsid w:val="00270D29"/>
    <w:rsid w:val="00270D5E"/>
    <w:rsid w:val="00270D97"/>
    <w:rsid w:val="00270DFA"/>
    <w:rsid w:val="00270E08"/>
    <w:rsid w:val="00270E20"/>
    <w:rsid w:val="00270E50"/>
    <w:rsid w:val="00270E8F"/>
    <w:rsid w:val="00270E9B"/>
    <w:rsid w:val="00270F33"/>
    <w:rsid w:val="00270F3F"/>
    <w:rsid w:val="00270F8E"/>
    <w:rsid w:val="00270FB7"/>
    <w:rsid w:val="00270FF7"/>
    <w:rsid w:val="00271000"/>
    <w:rsid w:val="00271012"/>
    <w:rsid w:val="00271022"/>
    <w:rsid w:val="00271082"/>
    <w:rsid w:val="0027109D"/>
    <w:rsid w:val="002710B3"/>
    <w:rsid w:val="002710B9"/>
    <w:rsid w:val="002710C3"/>
    <w:rsid w:val="002710D2"/>
    <w:rsid w:val="002710D5"/>
    <w:rsid w:val="00271125"/>
    <w:rsid w:val="0027112B"/>
    <w:rsid w:val="0027115E"/>
    <w:rsid w:val="00271179"/>
    <w:rsid w:val="002711B2"/>
    <w:rsid w:val="002711E4"/>
    <w:rsid w:val="00271210"/>
    <w:rsid w:val="002712E2"/>
    <w:rsid w:val="00271302"/>
    <w:rsid w:val="0027130F"/>
    <w:rsid w:val="00271340"/>
    <w:rsid w:val="0027135F"/>
    <w:rsid w:val="00271361"/>
    <w:rsid w:val="00271379"/>
    <w:rsid w:val="00271396"/>
    <w:rsid w:val="002713B7"/>
    <w:rsid w:val="0027146B"/>
    <w:rsid w:val="00271475"/>
    <w:rsid w:val="0027150C"/>
    <w:rsid w:val="00271514"/>
    <w:rsid w:val="00271549"/>
    <w:rsid w:val="00271574"/>
    <w:rsid w:val="002715D5"/>
    <w:rsid w:val="002715EC"/>
    <w:rsid w:val="0027160A"/>
    <w:rsid w:val="00271614"/>
    <w:rsid w:val="00271621"/>
    <w:rsid w:val="0027162A"/>
    <w:rsid w:val="00271640"/>
    <w:rsid w:val="00271658"/>
    <w:rsid w:val="002716B1"/>
    <w:rsid w:val="002716E9"/>
    <w:rsid w:val="00271707"/>
    <w:rsid w:val="0027171D"/>
    <w:rsid w:val="0027172D"/>
    <w:rsid w:val="00271792"/>
    <w:rsid w:val="002717AB"/>
    <w:rsid w:val="002717F5"/>
    <w:rsid w:val="00271853"/>
    <w:rsid w:val="00271866"/>
    <w:rsid w:val="0027187A"/>
    <w:rsid w:val="0027187C"/>
    <w:rsid w:val="00271881"/>
    <w:rsid w:val="002718B4"/>
    <w:rsid w:val="00271900"/>
    <w:rsid w:val="00271913"/>
    <w:rsid w:val="00271926"/>
    <w:rsid w:val="00271987"/>
    <w:rsid w:val="00271991"/>
    <w:rsid w:val="00271A14"/>
    <w:rsid w:val="00271A83"/>
    <w:rsid w:val="00271A90"/>
    <w:rsid w:val="00271AB1"/>
    <w:rsid w:val="00271AC3"/>
    <w:rsid w:val="00271AE8"/>
    <w:rsid w:val="00271AEC"/>
    <w:rsid w:val="00271B38"/>
    <w:rsid w:val="00271B89"/>
    <w:rsid w:val="00271C22"/>
    <w:rsid w:val="00271C60"/>
    <w:rsid w:val="00271C6D"/>
    <w:rsid w:val="00271C71"/>
    <w:rsid w:val="00271CC0"/>
    <w:rsid w:val="00271CD3"/>
    <w:rsid w:val="00271D9D"/>
    <w:rsid w:val="00271DAB"/>
    <w:rsid w:val="00271DD6"/>
    <w:rsid w:val="00271E73"/>
    <w:rsid w:val="00271E82"/>
    <w:rsid w:val="00271EC9"/>
    <w:rsid w:val="00271F60"/>
    <w:rsid w:val="00271F74"/>
    <w:rsid w:val="00271F81"/>
    <w:rsid w:val="00271F8D"/>
    <w:rsid w:val="00271FC9"/>
    <w:rsid w:val="0027205D"/>
    <w:rsid w:val="0027208D"/>
    <w:rsid w:val="0027209E"/>
    <w:rsid w:val="002720BF"/>
    <w:rsid w:val="002720D1"/>
    <w:rsid w:val="00272105"/>
    <w:rsid w:val="0027216F"/>
    <w:rsid w:val="002721BB"/>
    <w:rsid w:val="002721E8"/>
    <w:rsid w:val="0027223C"/>
    <w:rsid w:val="0027228D"/>
    <w:rsid w:val="0027229E"/>
    <w:rsid w:val="002722A6"/>
    <w:rsid w:val="00272307"/>
    <w:rsid w:val="0027232E"/>
    <w:rsid w:val="0027234E"/>
    <w:rsid w:val="0027236E"/>
    <w:rsid w:val="0027238F"/>
    <w:rsid w:val="002723B0"/>
    <w:rsid w:val="00272419"/>
    <w:rsid w:val="0027242B"/>
    <w:rsid w:val="002724C1"/>
    <w:rsid w:val="002724E4"/>
    <w:rsid w:val="002724F4"/>
    <w:rsid w:val="00272536"/>
    <w:rsid w:val="00272556"/>
    <w:rsid w:val="002725B2"/>
    <w:rsid w:val="002725F5"/>
    <w:rsid w:val="002725FA"/>
    <w:rsid w:val="00272659"/>
    <w:rsid w:val="00272667"/>
    <w:rsid w:val="0027269B"/>
    <w:rsid w:val="002726AB"/>
    <w:rsid w:val="002726B1"/>
    <w:rsid w:val="002726BD"/>
    <w:rsid w:val="0027270D"/>
    <w:rsid w:val="00272716"/>
    <w:rsid w:val="00272740"/>
    <w:rsid w:val="002727B9"/>
    <w:rsid w:val="00272828"/>
    <w:rsid w:val="00272883"/>
    <w:rsid w:val="002728A2"/>
    <w:rsid w:val="002728B5"/>
    <w:rsid w:val="002728F7"/>
    <w:rsid w:val="00272967"/>
    <w:rsid w:val="0027297A"/>
    <w:rsid w:val="002729B7"/>
    <w:rsid w:val="00272A01"/>
    <w:rsid w:val="00272A2E"/>
    <w:rsid w:val="00272A2F"/>
    <w:rsid w:val="00272A34"/>
    <w:rsid w:val="00272A65"/>
    <w:rsid w:val="00272ACC"/>
    <w:rsid w:val="00272ADB"/>
    <w:rsid w:val="00272AE6"/>
    <w:rsid w:val="00272B74"/>
    <w:rsid w:val="00272C06"/>
    <w:rsid w:val="00272C51"/>
    <w:rsid w:val="00272C5C"/>
    <w:rsid w:val="00272C95"/>
    <w:rsid w:val="00272CDD"/>
    <w:rsid w:val="00272DBA"/>
    <w:rsid w:val="00272E0A"/>
    <w:rsid w:val="00272E3D"/>
    <w:rsid w:val="00272E76"/>
    <w:rsid w:val="00272EAC"/>
    <w:rsid w:val="00272EB5"/>
    <w:rsid w:val="00272ED3"/>
    <w:rsid w:val="00272EEE"/>
    <w:rsid w:val="00272F03"/>
    <w:rsid w:val="00272F48"/>
    <w:rsid w:val="00272FBC"/>
    <w:rsid w:val="00272FC0"/>
    <w:rsid w:val="00272FC2"/>
    <w:rsid w:val="00272FF7"/>
    <w:rsid w:val="00273001"/>
    <w:rsid w:val="0027301E"/>
    <w:rsid w:val="0027302A"/>
    <w:rsid w:val="00273074"/>
    <w:rsid w:val="00273080"/>
    <w:rsid w:val="00273104"/>
    <w:rsid w:val="00273106"/>
    <w:rsid w:val="00273109"/>
    <w:rsid w:val="00273110"/>
    <w:rsid w:val="0027314C"/>
    <w:rsid w:val="0027316D"/>
    <w:rsid w:val="002731C0"/>
    <w:rsid w:val="002731C5"/>
    <w:rsid w:val="0027323C"/>
    <w:rsid w:val="002732E4"/>
    <w:rsid w:val="002732E8"/>
    <w:rsid w:val="0027336C"/>
    <w:rsid w:val="00273386"/>
    <w:rsid w:val="002733BD"/>
    <w:rsid w:val="0027340E"/>
    <w:rsid w:val="00273448"/>
    <w:rsid w:val="00273486"/>
    <w:rsid w:val="0027348B"/>
    <w:rsid w:val="0027348D"/>
    <w:rsid w:val="0027348E"/>
    <w:rsid w:val="002734B9"/>
    <w:rsid w:val="0027350F"/>
    <w:rsid w:val="00273536"/>
    <w:rsid w:val="0027357E"/>
    <w:rsid w:val="002735A4"/>
    <w:rsid w:val="002735AD"/>
    <w:rsid w:val="002735E4"/>
    <w:rsid w:val="00273656"/>
    <w:rsid w:val="00273662"/>
    <w:rsid w:val="00273666"/>
    <w:rsid w:val="00273680"/>
    <w:rsid w:val="002736AD"/>
    <w:rsid w:val="0027371D"/>
    <w:rsid w:val="00273763"/>
    <w:rsid w:val="0027376D"/>
    <w:rsid w:val="002737B1"/>
    <w:rsid w:val="002737BD"/>
    <w:rsid w:val="00273831"/>
    <w:rsid w:val="0027383D"/>
    <w:rsid w:val="00273850"/>
    <w:rsid w:val="00273889"/>
    <w:rsid w:val="002738BE"/>
    <w:rsid w:val="002738E1"/>
    <w:rsid w:val="00273901"/>
    <w:rsid w:val="00273912"/>
    <w:rsid w:val="0027395A"/>
    <w:rsid w:val="0027397D"/>
    <w:rsid w:val="002739AF"/>
    <w:rsid w:val="002739C1"/>
    <w:rsid w:val="002739F6"/>
    <w:rsid w:val="00273A2A"/>
    <w:rsid w:val="00273A62"/>
    <w:rsid w:val="00273A6E"/>
    <w:rsid w:val="00273A79"/>
    <w:rsid w:val="00273A7A"/>
    <w:rsid w:val="00273A91"/>
    <w:rsid w:val="00273A92"/>
    <w:rsid w:val="00273AA7"/>
    <w:rsid w:val="00273AC6"/>
    <w:rsid w:val="00273AE7"/>
    <w:rsid w:val="00273AEC"/>
    <w:rsid w:val="00273B59"/>
    <w:rsid w:val="00273B67"/>
    <w:rsid w:val="00273B76"/>
    <w:rsid w:val="00273BA7"/>
    <w:rsid w:val="00273BBB"/>
    <w:rsid w:val="00273BE4"/>
    <w:rsid w:val="00273C00"/>
    <w:rsid w:val="00273C27"/>
    <w:rsid w:val="00273CA2"/>
    <w:rsid w:val="00273CC2"/>
    <w:rsid w:val="00273CDB"/>
    <w:rsid w:val="00273CE5"/>
    <w:rsid w:val="00273D1D"/>
    <w:rsid w:val="00273D21"/>
    <w:rsid w:val="00273D3A"/>
    <w:rsid w:val="00273D55"/>
    <w:rsid w:val="00273D72"/>
    <w:rsid w:val="00273D98"/>
    <w:rsid w:val="00273DA7"/>
    <w:rsid w:val="00273DB2"/>
    <w:rsid w:val="00273DDF"/>
    <w:rsid w:val="00273E0C"/>
    <w:rsid w:val="00273E0E"/>
    <w:rsid w:val="00273E27"/>
    <w:rsid w:val="00273E4C"/>
    <w:rsid w:val="00273EA2"/>
    <w:rsid w:val="00273EA5"/>
    <w:rsid w:val="00273F42"/>
    <w:rsid w:val="00273F64"/>
    <w:rsid w:val="00273F70"/>
    <w:rsid w:val="00273FA4"/>
    <w:rsid w:val="00273FCC"/>
    <w:rsid w:val="002740A8"/>
    <w:rsid w:val="0027414B"/>
    <w:rsid w:val="002741A9"/>
    <w:rsid w:val="002741CC"/>
    <w:rsid w:val="00274200"/>
    <w:rsid w:val="0027426C"/>
    <w:rsid w:val="002742B1"/>
    <w:rsid w:val="002742E4"/>
    <w:rsid w:val="002742F2"/>
    <w:rsid w:val="00274314"/>
    <w:rsid w:val="0027435D"/>
    <w:rsid w:val="00274386"/>
    <w:rsid w:val="00274424"/>
    <w:rsid w:val="0027449F"/>
    <w:rsid w:val="002744AD"/>
    <w:rsid w:val="002744C3"/>
    <w:rsid w:val="002744ED"/>
    <w:rsid w:val="0027457B"/>
    <w:rsid w:val="00274589"/>
    <w:rsid w:val="002745C3"/>
    <w:rsid w:val="00274609"/>
    <w:rsid w:val="00274615"/>
    <w:rsid w:val="00274645"/>
    <w:rsid w:val="00274657"/>
    <w:rsid w:val="00274666"/>
    <w:rsid w:val="00274694"/>
    <w:rsid w:val="002746A3"/>
    <w:rsid w:val="002746B1"/>
    <w:rsid w:val="002747F4"/>
    <w:rsid w:val="00274858"/>
    <w:rsid w:val="00274877"/>
    <w:rsid w:val="00274908"/>
    <w:rsid w:val="0027494D"/>
    <w:rsid w:val="0027495E"/>
    <w:rsid w:val="00274981"/>
    <w:rsid w:val="0027498E"/>
    <w:rsid w:val="002749B8"/>
    <w:rsid w:val="002749D7"/>
    <w:rsid w:val="002749F2"/>
    <w:rsid w:val="00274A40"/>
    <w:rsid w:val="00274AE4"/>
    <w:rsid w:val="00274AE5"/>
    <w:rsid w:val="00274B1D"/>
    <w:rsid w:val="00274B6A"/>
    <w:rsid w:val="00274BAF"/>
    <w:rsid w:val="00274BC3"/>
    <w:rsid w:val="00274C3C"/>
    <w:rsid w:val="00274C8E"/>
    <w:rsid w:val="00274D09"/>
    <w:rsid w:val="00274D53"/>
    <w:rsid w:val="00274D5A"/>
    <w:rsid w:val="00274D7B"/>
    <w:rsid w:val="00274DF8"/>
    <w:rsid w:val="00274E28"/>
    <w:rsid w:val="00274E40"/>
    <w:rsid w:val="00274E80"/>
    <w:rsid w:val="00274E9F"/>
    <w:rsid w:val="00274EE2"/>
    <w:rsid w:val="00274EED"/>
    <w:rsid w:val="00274F09"/>
    <w:rsid w:val="00274F0C"/>
    <w:rsid w:val="00274F0D"/>
    <w:rsid w:val="00274F4F"/>
    <w:rsid w:val="00274F5D"/>
    <w:rsid w:val="00274F67"/>
    <w:rsid w:val="00274F8C"/>
    <w:rsid w:val="00274FA0"/>
    <w:rsid w:val="00274FA4"/>
    <w:rsid w:val="00274FDD"/>
    <w:rsid w:val="0027500A"/>
    <w:rsid w:val="00275129"/>
    <w:rsid w:val="00275133"/>
    <w:rsid w:val="00275187"/>
    <w:rsid w:val="0027518B"/>
    <w:rsid w:val="002751BA"/>
    <w:rsid w:val="002751C2"/>
    <w:rsid w:val="002751EC"/>
    <w:rsid w:val="00275228"/>
    <w:rsid w:val="0027522B"/>
    <w:rsid w:val="00275237"/>
    <w:rsid w:val="00275254"/>
    <w:rsid w:val="00275279"/>
    <w:rsid w:val="002752CD"/>
    <w:rsid w:val="00275356"/>
    <w:rsid w:val="0027535C"/>
    <w:rsid w:val="0027536B"/>
    <w:rsid w:val="0027536D"/>
    <w:rsid w:val="002753CB"/>
    <w:rsid w:val="002753E8"/>
    <w:rsid w:val="002753F0"/>
    <w:rsid w:val="00275426"/>
    <w:rsid w:val="0027542C"/>
    <w:rsid w:val="002754B1"/>
    <w:rsid w:val="002754D0"/>
    <w:rsid w:val="002754DF"/>
    <w:rsid w:val="002754E4"/>
    <w:rsid w:val="002754F8"/>
    <w:rsid w:val="00275538"/>
    <w:rsid w:val="00275548"/>
    <w:rsid w:val="00275593"/>
    <w:rsid w:val="002755FE"/>
    <w:rsid w:val="0027563D"/>
    <w:rsid w:val="00275674"/>
    <w:rsid w:val="00275676"/>
    <w:rsid w:val="0027568A"/>
    <w:rsid w:val="00275693"/>
    <w:rsid w:val="002756AD"/>
    <w:rsid w:val="002756EE"/>
    <w:rsid w:val="00275719"/>
    <w:rsid w:val="00275791"/>
    <w:rsid w:val="002757F2"/>
    <w:rsid w:val="00275802"/>
    <w:rsid w:val="002758CB"/>
    <w:rsid w:val="002758D5"/>
    <w:rsid w:val="00275977"/>
    <w:rsid w:val="002759EC"/>
    <w:rsid w:val="00275A58"/>
    <w:rsid w:val="00275AAA"/>
    <w:rsid w:val="00275ABC"/>
    <w:rsid w:val="00275AE5"/>
    <w:rsid w:val="00275B5A"/>
    <w:rsid w:val="00275B73"/>
    <w:rsid w:val="00275B7F"/>
    <w:rsid w:val="00275B95"/>
    <w:rsid w:val="00275B9D"/>
    <w:rsid w:val="00275BE5"/>
    <w:rsid w:val="00275C15"/>
    <w:rsid w:val="00275C3C"/>
    <w:rsid w:val="00275C44"/>
    <w:rsid w:val="00275C4B"/>
    <w:rsid w:val="00275C66"/>
    <w:rsid w:val="00275CC1"/>
    <w:rsid w:val="00275CC3"/>
    <w:rsid w:val="00275CEE"/>
    <w:rsid w:val="00275D1B"/>
    <w:rsid w:val="00275D33"/>
    <w:rsid w:val="00275D56"/>
    <w:rsid w:val="00275D67"/>
    <w:rsid w:val="00275D83"/>
    <w:rsid w:val="00275DA9"/>
    <w:rsid w:val="00275DE9"/>
    <w:rsid w:val="00275E3B"/>
    <w:rsid w:val="00275E7F"/>
    <w:rsid w:val="00275E91"/>
    <w:rsid w:val="00275ECB"/>
    <w:rsid w:val="00275F16"/>
    <w:rsid w:val="00275F91"/>
    <w:rsid w:val="00275F96"/>
    <w:rsid w:val="00275FC0"/>
    <w:rsid w:val="00275FD0"/>
    <w:rsid w:val="0027602E"/>
    <w:rsid w:val="00276072"/>
    <w:rsid w:val="0027607D"/>
    <w:rsid w:val="002760E5"/>
    <w:rsid w:val="00276102"/>
    <w:rsid w:val="0027610C"/>
    <w:rsid w:val="002761F4"/>
    <w:rsid w:val="00276216"/>
    <w:rsid w:val="0027621B"/>
    <w:rsid w:val="00276237"/>
    <w:rsid w:val="0027624F"/>
    <w:rsid w:val="002762AD"/>
    <w:rsid w:val="002762D4"/>
    <w:rsid w:val="00276318"/>
    <w:rsid w:val="00276335"/>
    <w:rsid w:val="0027634C"/>
    <w:rsid w:val="00276367"/>
    <w:rsid w:val="002763E9"/>
    <w:rsid w:val="00276416"/>
    <w:rsid w:val="00276427"/>
    <w:rsid w:val="00276492"/>
    <w:rsid w:val="002764B3"/>
    <w:rsid w:val="00276505"/>
    <w:rsid w:val="00276573"/>
    <w:rsid w:val="0027657E"/>
    <w:rsid w:val="0027658D"/>
    <w:rsid w:val="002765BB"/>
    <w:rsid w:val="002765E6"/>
    <w:rsid w:val="002765F3"/>
    <w:rsid w:val="002765F4"/>
    <w:rsid w:val="00276620"/>
    <w:rsid w:val="00276652"/>
    <w:rsid w:val="00276677"/>
    <w:rsid w:val="002766D4"/>
    <w:rsid w:val="00276712"/>
    <w:rsid w:val="0027673D"/>
    <w:rsid w:val="0027675E"/>
    <w:rsid w:val="00276765"/>
    <w:rsid w:val="0027679E"/>
    <w:rsid w:val="002767C0"/>
    <w:rsid w:val="00276803"/>
    <w:rsid w:val="002768F4"/>
    <w:rsid w:val="002768F8"/>
    <w:rsid w:val="00276982"/>
    <w:rsid w:val="00276A09"/>
    <w:rsid w:val="00276A37"/>
    <w:rsid w:val="00276A50"/>
    <w:rsid w:val="00276A53"/>
    <w:rsid w:val="00276A5B"/>
    <w:rsid w:val="00276A5F"/>
    <w:rsid w:val="00276A68"/>
    <w:rsid w:val="00276A6C"/>
    <w:rsid w:val="00276B09"/>
    <w:rsid w:val="00276B20"/>
    <w:rsid w:val="00276B66"/>
    <w:rsid w:val="00276B95"/>
    <w:rsid w:val="00276BA8"/>
    <w:rsid w:val="00276BEC"/>
    <w:rsid w:val="00276C0D"/>
    <w:rsid w:val="00276C42"/>
    <w:rsid w:val="00276C6B"/>
    <w:rsid w:val="00276C73"/>
    <w:rsid w:val="00276CAA"/>
    <w:rsid w:val="00276CD2"/>
    <w:rsid w:val="00276CD4"/>
    <w:rsid w:val="00276D01"/>
    <w:rsid w:val="00276D58"/>
    <w:rsid w:val="00276DBA"/>
    <w:rsid w:val="00276DBF"/>
    <w:rsid w:val="00276DC8"/>
    <w:rsid w:val="00276DDB"/>
    <w:rsid w:val="00276E18"/>
    <w:rsid w:val="00276E38"/>
    <w:rsid w:val="00276E97"/>
    <w:rsid w:val="00276EAC"/>
    <w:rsid w:val="00276ED1"/>
    <w:rsid w:val="00276F0F"/>
    <w:rsid w:val="00276F31"/>
    <w:rsid w:val="00276F84"/>
    <w:rsid w:val="00276FB8"/>
    <w:rsid w:val="00276FBA"/>
    <w:rsid w:val="00276FDC"/>
    <w:rsid w:val="00277005"/>
    <w:rsid w:val="0027701E"/>
    <w:rsid w:val="0027704D"/>
    <w:rsid w:val="0027708A"/>
    <w:rsid w:val="002770A7"/>
    <w:rsid w:val="002770B9"/>
    <w:rsid w:val="002770D8"/>
    <w:rsid w:val="002770F7"/>
    <w:rsid w:val="0027710A"/>
    <w:rsid w:val="0027711D"/>
    <w:rsid w:val="00277162"/>
    <w:rsid w:val="0027718D"/>
    <w:rsid w:val="002771E5"/>
    <w:rsid w:val="002771E7"/>
    <w:rsid w:val="00277209"/>
    <w:rsid w:val="0027726B"/>
    <w:rsid w:val="00277395"/>
    <w:rsid w:val="002773E6"/>
    <w:rsid w:val="0027745D"/>
    <w:rsid w:val="002774B3"/>
    <w:rsid w:val="002774CD"/>
    <w:rsid w:val="0027750F"/>
    <w:rsid w:val="00277522"/>
    <w:rsid w:val="0027766B"/>
    <w:rsid w:val="002776AB"/>
    <w:rsid w:val="00277767"/>
    <w:rsid w:val="00277786"/>
    <w:rsid w:val="0027781B"/>
    <w:rsid w:val="0027785E"/>
    <w:rsid w:val="002778B1"/>
    <w:rsid w:val="002778F3"/>
    <w:rsid w:val="00277923"/>
    <w:rsid w:val="0027793A"/>
    <w:rsid w:val="00277979"/>
    <w:rsid w:val="00277996"/>
    <w:rsid w:val="002779DF"/>
    <w:rsid w:val="002779E2"/>
    <w:rsid w:val="00277A00"/>
    <w:rsid w:val="00277A86"/>
    <w:rsid w:val="00277A9A"/>
    <w:rsid w:val="00277AB3"/>
    <w:rsid w:val="00277AE5"/>
    <w:rsid w:val="00277B17"/>
    <w:rsid w:val="00277B18"/>
    <w:rsid w:val="00277B2F"/>
    <w:rsid w:val="00277B3B"/>
    <w:rsid w:val="00277B4C"/>
    <w:rsid w:val="00277B8E"/>
    <w:rsid w:val="00277B8F"/>
    <w:rsid w:val="00277C20"/>
    <w:rsid w:val="00277C3F"/>
    <w:rsid w:val="00277C67"/>
    <w:rsid w:val="00277CC5"/>
    <w:rsid w:val="00277CD9"/>
    <w:rsid w:val="00277D3C"/>
    <w:rsid w:val="00277D46"/>
    <w:rsid w:val="00277D61"/>
    <w:rsid w:val="00277D65"/>
    <w:rsid w:val="00277D80"/>
    <w:rsid w:val="00277DD7"/>
    <w:rsid w:val="00277DDF"/>
    <w:rsid w:val="00277DF3"/>
    <w:rsid w:val="00277E09"/>
    <w:rsid w:val="00277E0B"/>
    <w:rsid w:val="00277E17"/>
    <w:rsid w:val="00277F00"/>
    <w:rsid w:val="00277F03"/>
    <w:rsid w:val="00277F6C"/>
    <w:rsid w:val="00277F96"/>
    <w:rsid w:val="00277FA6"/>
    <w:rsid w:val="0028000B"/>
    <w:rsid w:val="00280035"/>
    <w:rsid w:val="00280088"/>
    <w:rsid w:val="002800D5"/>
    <w:rsid w:val="0028012A"/>
    <w:rsid w:val="00280182"/>
    <w:rsid w:val="00280198"/>
    <w:rsid w:val="0028019D"/>
    <w:rsid w:val="0028019E"/>
    <w:rsid w:val="002801D3"/>
    <w:rsid w:val="00280231"/>
    <w:rsid w:val="00280246"/>
    <w:rsid w:val="002802A1"/>
    <w:rsid w:val="002802D0"/>
    <w:rsid w:val="00280310"/>
    <w:rsid w:val="00280343"/>
    <w:rsid w:val="00280377"/>
    <w:rsid w:val="00280390"/>
    <w:rsid w:val="002803BF"/>
    <w:rsid w:val="002803E9"/>
    <w:rsid w:val="002803EE"/>
    <w:rsid w:val="0028042D"/>
    <w:rsid w:val="0028045F"/>
    <w:rsid w:val="0028047F"/>
    <w:rsid w:val="002804C6"/>
    <w:rsid w:val="00280515"/>
    <w:rsid w:val="00280519"/>
    <w:rsid w:val="0028057A"/>
    <w:rsid w:val="00280590"/>
    <w:rsid w:val="00280599"/>
    <w:rsid w:val="002805CA"/>
    <w:rsid w:val="002805F0"/>
    <w:rsid w:val="00280600"/>
    <w:rsid w:val="0028068C"/>
    <w:rsid w:val="00280690"/>
    <w:rsid w:val="002806B2"/>
    <w:rsid w:val="002806BC"/>
    <w:rsid w:val="0028074C"/>
    <w:rsid w:val="0028079F"/>
    <w:rsid w:val="002807DC"/>
    <w:rsid w:val="0028081A"/>
    <w:rsid w:val="00280839"/>
    <w:rsid w:val="0028084C"/>
    <w:rsid w:val="0028086C"/>
    <w:rsid w:val="002808CF"/>
    <w:rsid w:val="00280977"/>
    <w:rsid w:val="00280981"/>
    <w:rsid w:val="00280A60"/>
    <w:rsid w:val="00280A6C"/>
    <w:rsid w:val="00280A8B"/>
    <w:rsid w:val="00280B1D"/>
    <w:rsid w:val="00280B2B"/>
    <w:rsid w:val="00280B2C"/>
    <w:rsid w:val="00280B6A"/>
    <w:rsid w:val="00280BD1"/>
    <w:rsid w:val="00280C80"/>
    <w:rsid w:val="00280C8C"/>
    <w:rsid w:val="00280CB9"/>
    <w:rsid w:val="00280CE9"/>
    <w:rsid w:val="00280D33"/>
    <w:rsid w:val="00280D74"/>
    <w:rsid w:val="00280D9F"/>
    <w:rsid w:val="00280DD4"/>
    <w:rsid w:val="00280E0A"/>
    <w:rsid w:val="00280E35"/>
    <w:rsid w:val="00280EB3"/>
    <w:rsid w:val="00280F23"/>
    <w:rsid w:val="00280F66"/>
    <w:rsid w:val="00280FA0"/>
    <w:rsid w:val="00280FEB"/>
    <w:rsid w:val="00281004"/>
    <w:rsid w:val="0028102F"/>
    <w:rsid w:val="00281035"/>
    <w:rsid w:val="0028103F"/>
    <w:rsid w:val="0028104A"/>
    <w:rsid w:val="0028107E"/>
    <w:rsid w:val="002810A3"/>
    <w:rsid w:val="002810BD"/>
    <w:rsid w:val="00281158"/>
    <w:rsid w:val="0028118B"/>
    <w:rsid w:val="002812BC"/>
    <w:rsid w:val="0028132A"/>
    <w:rsid w:val="00281384"/>
    <w:rsid w:val="00281390"/>
    <w:rsid w:val="0028139F"/>
    <w:rsid w:val="0028141E"/>
    <w:rsid w:val="00281445"/>
    <w:rsid w:val="0028148E"/>
    <w:rsid w:val="002814A6"/>
    <w:rsid w:val="002814B3"/>
    <w:rsid w:val="00281573"/>
    <w:rsid w:val="0028158B"/>
    <w:rsid w:val="0028158C"/>
    <w:rsid w:val="0028159D"/>
    <w:rsid w:val="002815A3"/>
    <w:rsid w:val="00281619"/>
    <w:rsid w:val="002816A7"/>
    <w:rsid w:val="00281712"/>
    <w:rsid w:val="00281735"/>
    <w:rsid w:val="00281738"/>
    <w:rsid w:val="002817B1"/>
    <w:rsid w:val="002817B6"/>
    <w:rsid w:val="00281830"/>
    <w:rsid w:val="0028187B"/>
    <w:rsid w:val="002818A3"/>
    <w:rsid w:val="002818AC"/>
    <w:rsid w:val="00281942"/>
    <w:rsid w:val="00281944"/>
    <w:rsid w:val="00281994"/>
    <w:rsid w:val="002819AF"/>
    <w:rsid w:val="00281A1E"/>
    <w:rsid w:val="00281A30"/>
    <w:rsid w:val="00281A36"/>
    <w:rsid w:val="00281A6E"/>
    <w:rsid w:val="00281A88"/>
    <w:rsid w:val="00281AC7"/>
    <w:rsid w:val="00281AD1"/>
    <w:rsid w:val="00281B96"/>
    <w:rsid w:val="00281B97"/>
    <w:rsid w:val="00281BD5"/>
    <w:rsid w:val="00281C22"/>
    <w:rsid w:val="00281C46"/>
    <w:rsid w:val="00281C93"/>
    <w:rsid w:val="00281CD2"/>
    <w:rsid w:val="00281CDD"/>
    <w:rsid w:val="00281CE9"/>
    <w:rsid w:val="00281D2D"/>
    <w:rsid w:val="00281D5F"/>
    <w:rsid w:val="00281D70"/>
    <w:rsid w:val="00281DCE"/>
    <w:rsid w:val="00281DF3"/>
    <w:rsid w:val="00281E01"/>
    <w:rsid w:val="00281E17"/>
    <w:rsid w:val="00281E27"/>
    <w:rsid w:val="00281E52"/>
    <w:rsid w:val="00281E7B"/>
    <w:rsid w:val="00281F2F"/>
    <w:rsid w:val="00281F87"/>
    <w:rsid w:val="00281F90"/>
    <w:rsid w:val="00281F92"/>
    <w:rsid w:val="00281F93"/>
    <w:rsid w:val="00282072"/>
    <w:rsid w:val="002820EB"/>
    <w:rsid w:val="0028213D"/>
    <w:rsid w:val="0028214C"/>
    <w:rsid w:val="00282150"/>
    <w:rsid w:val="00282165"/>
    <w:rsid w:val="00282173"/>
    <w:rsid w:val="00282208"/>
    <w:rsid w:val="00282245"/>
    <w:rsid w:val="0028224A"/>
    <w:rsid w:val="0028226C"/>
    <w:rsid w:val="0028229F"/>
    <w:rsid w:val="002822B9"/>
    <w:rsid w:val="002822E2"/>
    <w:rsid w:val="00282301"/>
    <w:rsid w:val="0028237E"/>
    <w:rsid w:val="00282388"/>
    <w:rsid w:val="002823A7"/>
    <w:rsid w:val="002823D2"/>
    <w:rsid w:val="002823F0"/>
    <w:rsid w:val="00282403"/>
    <w:rsid w:val="00282414"/>
    <w:rsid w:val="0028242A"/>
    <w:rsid w:val="00282450"/>
    <w:rsid w:val="0028249C"/>
    <w:rsid w:val="002824AE"/>
    <w:rsid w:val="002824EC"/>
    <w:rsid w:val="0028254C"/>
    <w:rsid w:val="00282554"/>
    <w:rsid w:val="002825B0"/>
    <w:rsid w:val="002825BB"/>
    <w:rsid w:val="002825DA"/>
    <w:rsid w:val="00282634"/>
    <w:rsid w:val="0028263C"/>
    <w:rsid w:val="00282659"/>
    <w:rsid w:val="002826B6"/>
    <w:rsid w:val="002826F5"/>
    <w:rsid w:val="0028271D"/>
    <w:rsid w:val="00282822"/>
    <w:rsid w:val="00282836"/>
    <w:rsid w:val="00282842"/>
    <w:rsid w:val="00282882"/>
    <w:rsid w:val="0028288F"/>
    <w:rsid w:val="002828AE"/>
    <w:rsid w:val="0028295F"/>
    <w:rsid w:val="0028296C"/>
    <w:rsid w:val="0028299C"/>
    <w:rsid w:val="002829B5"/>
    <w:rsid w:val="002829C0"/>
    <w:rsid w:val="002829C1"/>
    <w:rsid w:val="002829EF"/>
    <w:rsid w:val="00282A01"/>
    <w:rsid w:val="00282A3B"/>
    <w:rsid w:val="00282A8C"/>
    <w:rsid w:val="00282AB2"/>
    <w:rsid w:val="00282AC7"/>
    <w:rsid w:val="00282ACF"/>
    <w:rsid w:val="00282AE7"/>
    <w:rsid w:val="00282AF5"/>
    <w:rsid w:val="00282B0D"/>
    <w:rsid w:val="00282B24"/>
    <w:rsid w:val="00282B3F"/>
    <w:rsid w:val="00282B95"/>
    <w:rsid w:val="00282BF7"/>
    <w:rsid w:val="00282CAD"/>
    <w:rsid w:val="00282CE6"/>
    <w:rsid w:val="00282D01"/>
    <w:rsid w:val="00282D92"/>
    <w:rsid w:val="00282DA7"/>
    <w:rsid w:val="00282E0A"/>
    <w:rsid w:val="00282E21"/>
    <w:rsid w:val="00282E32"/>
    <w:rsid w:val="00282E6B"/>
    <w:rsid w:val="00282E80"/>
    <w:rsid w:val="00282EB1"/>
    <w:rsid w:val="00282ECE"/>
    <w:rsid w:val="00282F12"/>
    <w:rsid w:val="00282F4F"/>
    <w:rsid w:val="00282F69"/>
    <w:rsid w:val="00282F71"/>
    <w:rsid w:val="00282FA7"/>
    <w:rsid w:val="00282FAE"/>
    <w:rsid w:val="00282FEB"/>
    <w:rsid w:val="0028308E"/>
    <w:rsid w:val="00283091"/>
    <w:rsid w:val="0028309A"/>
    <w:rsid w:val="0028312C"/>
    <w:rsid w:val="0028314D"/>
    <w:rsid w:val="0028319D"/>
    <w:rsid w:val="002831A0"/>
    <w:rsid w:val="002831F7"/>
    <w:rsid w:val="00283282"/>
    <w:rsid w:val="00283294"/>
    <w:rsid w:val="002832A6"/>
    <w:rsid w:val="0028330B"/>
    <w:rsid w:val="00283323"/>
    <w:rsid w:val="0028334C"/>
    <w:rsid w:val="00283389"/>
    <w:rsid w:val="00283394"/>
    <w:rsid w:val="002833F9"/>
    <w:rsid w:val="00283439"/>
    <w:rsid w:val="00283443"/>
    <w:rsid w:val="0028348F"/>
    <w:rsid w:val="002834BE"/>
    <w:rsid w:val="002834DB"/>
    <w:rsid w:val="002834DE"/>
    <w:rsid w:val="002834E4"/>
    <w:rsid w:val="0028350A"/>
    <w:rsid w:val="0028358A"/>
    <w:rsid w:val="0028359F"/>
    <w:rsid w:val="002835AA"/>
    <w:rsid w:val="0028361F"/>
    <w:rsid w:val="00283620"/>
    <w:rsid w:val="0028364D"/>
    <w:rsid w:val="00283668"/>
    <w:rsid w:val="002836A0"/>
    <w:rsid w:val="002836B5"/>
    <w:rsid w:val="002836EF"/>
    <w:rsid w:val="002836FF"/>
    <w:rsid w:val="00283791"/>
    <w:rsid w:val="0028379C"/>
    <w:rsid w:val="00283859"/>
    <w:rsid w:val="00283863"/>
    <w:rsid w:val="00283868"/>
    <w:rsid w:val="00283892"/>
    <w:rsid w:val="00283893"/>
    <w:rsid w:val="002838BE"/>
    <w:rsid w:val="002838CD"/>
    <w:rsid w:val="002838DB"/>
    <w:rsid w:val="002838F3"/>
    <w:rsid w:val="00283918"/>
    <w:rsid w:val="00283978"/>
    <w:rsid w:val="002839B0"/>
    <w:rsid w:val="002839ED"/>
    <w:rsid w:val="00283A60"/>
    <w:rsid w:val="00283A81"/>
    <w:rsid w:val="00283A9B"/>
    <w:rsid w:val="00283AB3"/>
    <w:rsid w:val="00283AFB"/>
    <w:rsid w:val="00283B6E"/>
    <w:rsid w:val="00283B8A"/>
    <w:rsid w:val="00283BAB"/>
    <w:rsid w:val="00283BCF"/>
    <w:rsid w:val="00283C42"/>
    <w:rsid w:val="00283C6C"/>
    <w:rsid w:val="00283D31"/>
    <w:rsid w:val="00283D32"/>
    <w:rsid w:val="00283D40"/>
    <w:rsid w:val="00283D9A"/>
    <w:rsid w:val="00283DAC"/>
    <w:rsid w:val="00283DF0"/>
    <w:rsid w:val="00283DFD"/>
    <w:rsid w:val="00283E56"/>
    <w:rsid w:val="00283EA5"/>
    <w:rsid w:val="00283EC8"/>
    <w:rsid w:val="00283EC9"/>
    <w:rsid w:val="00283F24"/>
    <w:rsid w:val="00283F38"/>
    <w:rsid w:val="00283F4F"/>
    <w:rsid w:val="00283F66"/>
    <w:rsid w:val="00283FC7"/>
    <w:rsid w:val="0028404F"/>
    <w:rsid w:val="00284084"/>
    <w:rsid w:val="002840AC"/>
    <w:rsid w:val="002840BF"/>
    <w:rsid w:val="002840EF"/>
    <w:rsid w:val="0028411C"/>
    <w:rsid w:val="00284126"/>
    <w:rsid w:val="0028415A"/>
    <w:rsid w:val="00284171"/>
    <w:rsid w:val="00284194"/>
    <w:rsid w:val="002841A2"/>
    <w:rsid w:val="002841AD"/>
    <w:rsid w:val="002841E6"/>
    <w:rsid w:val="00284215"/>
    <w:rsid w:val="002842B3"/>
    <w:rsid w:val="00284365"/>
    <w:rsid w:val="0028439E"/>
    <w:rsid w:val="002843ED"/>
    <w:rsid w:val="00284410"/>
    <w:rsid w:val="0028449E"/>
    <w:rsid w:val="0028455E"/>
    <w:rsid w:val="0028456F"/>
    <w:rsid w:val="00284585"/>
    <w:rsid w:val="00284632"/>
    <w:rsid w:val="0028463E"/>
    <w:rsid w:val="00284642"/>
    <w:rsid w:val="00284649"/>
    <w:rsid w:val="0028467F"/>
    <w:rsid w:val="002846AA"/>
    <w:rsid w:val="002846DF"/>
    <w:rsid w:val="00284732"/>
    <w:rsid w:val="002847E4"/>
    <w:rsid w:val="00284822"/>
    <w:rsid w:val="00284843"/>
    <w:rsid w:val="0028484D"/>
    <w:rsid w:val="002848C2"/>
    <w:rsid w:val="002848CB"/>
    <w:rsid w:val="002848D7"/>
    <w:rsid w:val="00284902"/>
    <w:rsid w:val="002849ED"/>
    <w:rsid w:val="00284A38"/>
    <w:rsid w:val="00284A3D"/>
    <w:rsid w:val="00284A67"/>
    <w:rsid w:val="00284AA3"/>
    <w:rsid w:val="00284B01"/>
    <w:rsid w:val="00284B3A"/>
    <w:rsid w:val="00284B78"/>
    <w:rsid w:val="00284B91"/>
    <w:rsid w:val="00284B92"/>
    <w:rsid w:val="00284BBA"/>
    <w:rsid w:val="00284C40"/>
    <w:rsid w:val="00284C45"/>
    <w:rsid w:val="00284C56"/>
    <w:rsid w:val="00284C95"/>
    <w:rsid w:val="00284D02"/>
    <w:rsid w:val="00284D16"/>
    <w:rsid w:val="00284D28"/>
    <w:rsid w:val="00284D56"/>
    <w:rsid w:val="00284D8D"/>
    <w:rsid w:val="00284DA8"/>
    <w:rsid w:val="00284DBA"/>
    <w:rsid w:val="00284E54"/>
    <w:rsid w:val="00284EE6"/>
    <w:rsid w:val="00284F3B"/>
    <w:rsid w:val="00284F4B"/>
    <w:rsid w:val="00284F62"/>
    <w:rsid w:val="00285025"/>
    <w:rsid w:val="00285040"/>
    <w:rsid w:val="002850B7"/>
    <w:rsid w:val="002850BD"/>
    <w:rsid w:val="0028510D"/>
    <w:rsid w:val="00285126"/>
    <w:rsid w:val="0028515E"/>
    <w:rsid w:val="00285181"/>
    <w:rsid w:val="002851D8"/>
    <w:rsid w:val="00285218"/>
    <w:rsid w:val="00285247"/>
    <w:rsid w:val="00285257"/>
    <w:rsid w:val="00285262"/>
    <w:rsid w:val="00285280"/>
    <w:rsid w:val="002852B6"/>
    <w:rsid w:val="002852DD"/>
    <w:rsid w:val="002852FE"/>
    <w:rsid w:val="0028532D"/>
    <w:rsid w:val="0028534E"/>
    <w:rsid w:val="00285356"/>
    <w:rsid w:val="0028537C"/>
    <w:rsid w:val="002853A5"/>
    <w:rsid w:val="0028542B"/>
    <w:rsid w:val="0028544C"/>
    <w:rsid w:val="00285473"/>
    <w:rsid w:val="0028549A"/>
    <w:rsid w:val="002854C4"/>
    <w:rsid w:val="00285582"/>
    <w:rsid w:val="0028560B"/>
    <w:rsid w:val="00285647"/>
    <w:rsid w:val="002856D2"/>
    <w:rsid w:val="0028576E"/>
    <w:rsid w:val="002857B2"/>
    <w:rsid w:val="002857BD"/>
    <w:rsid w:val="002857C0"/>
    <w:rsid w:val="002857E2"/>
    <w:rsid w:val="00285819"/>
    <w:rsid w:val="0028582D"/>
    <w:rsid w:val="0028586A"/>
    <w:rsid w:val="002858CB"/>
    <w:rsid w:val="002858FE"/>
    <w:rsid w:val="00285912"/>
    <w:rsid w:val="00285918"/>
    <w:rsid w:val="00285948"/>
    <w:rsid w:val="00285963"/>
    <w:rsid w:val="002859BB"/>
    <w:rsid w:val="00285A18"/>
    <w:rsid w:val="00285A1E"/>
    <w:rsid w:val="00285A3C"/>
    <w:rsid w:val="00285A59"/>
    <w:rsid w:val="00285A60"/>
    <w:rsid w:val="00285B02"/>
    <w:rsid w:val="00285B0C"/>
    <w:rsid w:val="00285B20"/>
    <w:rsid w:val="00285B4B"/>
    <w:rsid w:val="00285B8D"/>
    <w:rsid w:val="00285BB6"/>
    <w:rsid w:val="00285BDA"/>
    <w:rsid w:val="00285C48"/>
    <w:rsid w:val="00285C59"/>
    <w:rsid w:val="00285C91"/>
    <w:rsid w:val="00285C92"/>
    <w:rsid w:val="00285CEE"/>
    <w:rsid w:val="00285D06"/>
    <w:rsid w:val="00285D3D"/>
    <w:rsid w:val="00285E0E"/>
    <w:rsid w:val="00285E28"/>
    <w:rsid w:val="00285E6F"/>
    <w:rsid w:val="00285F12"/>
    <w:rsid w:val="00285F1D"/>
    <w:rsid w:val="00285F8D"/>
    <w:rsid w:val="00285FA3"/>
    <w:rsid w:val="00285FB1"/>
    <w:rsid w:val="00285FBE"/>
    <w:rsid w:val="00285FFA"/>
    <w:rsid w:val="00286050"/>
    <w:rsid w:val="002860B3"/>
    <w:rsid w:val="002860C7"/>
    <w:rsid w:val="00286117"/>
    <w:rsid w:val="0028611F"/>
    <w:rsid w:val="00286145"/>
    <w:rsid w:val="0028618A"/>
    <w:rsid w:val="002861A6"/>
    <w:rsid w:val="00286229"/>
    <w:rsid w:val="002862D5"/>
    <w:rsid w:val="002862EF"/>
    <w:rsid w:val="00286339"/>
    <w:rsid w:val="002863AB"/>
    <w:rsid w:val="002863DD"/>
    <w:rsid w:val="002863EA"/>
    <w:rsid w:val="002863F8"/>
    <w:rsid w:val="00286439"/>
    <w:rsid w:val="0028643A"/>
    <w:rsid w:val="0028646B"/>
    <w:rsid w:val="0028648D"/>
    <w:rsid w:val="002864E5"/>
    <w:rsid w:val="0028654A"/>
    <w:rsid w:val="0028656F"/>
    <w:rsid w:val="00286608"/>
    <w:rsid w:val="00286655"/>
    <w:rsid w:val="00286657"/>
    <w:rsid w:val="00286744"/>
    <w:rsid w:val="002867C4"/>
    <w:rsid w:val="002867E1"/>
    <w:rsid w:val="00286820"/>
    <w:rsid w:val="00286833"/>
    <w:rsid w:val="002868F6"/>
    <w:rsid w:val="00286909"/>
    <w:rsid w:val="0028691A"/>
    <w:rsid w:val="00286943"/>
    <w:rsid w:val="0028696A"/>
    <w:rsid w:val="002869C7"/>
    <w:rsid w:val="00286A3F"/>
    <w:rsid w:val="00286A89"/>
    <w:rsid w:val="00286AC0"/>
    <w:rsid w:val="00286B33"/>
    <w:rsid w:val="00286B41"/>
    <w:rsid w:val="00286B86"/>
    <w:rsid w:val="00286B94"/>
    <w:rsid w:val="00286B9D"/>
    <w:rsid w:val="00286BA2"/>
    <w:rsid w:val="00286BAE"/>
    <w:rsid w:val="00286BDD"/>
    <w:rsid w:val="00286C0A"/>
    <w:rsid w:val="00286D01"/>
    <w:rsid w:val="00286D1D"/>
    <w:rsid w:val="00286D28"/>
    <w:rsid w:val="00286DD6"/>
    <w:rsid w:val="00286DD8"/>
    <w:rsid w:val="00286E05"/>
    <w:rsid w:val="00286E1D"/>
    <w:rsid w:val="00286E29"/>
    <w:rsid w:val="00286E2D"/>
    <w:rsid w:val="00286E56"/>
    <w:rsid w:val="00286F71"/>
    <w:rsid w:val="00286F7B"/>
    <w:rsid w:val="00286F8F"/>
    <w:rsid w:val="00286FA7"/>
    <w:rsid w:val="00286FC5"/>
    <w:rsid w:val="00286FE4"/>
    <w:rsid w:val="00287057"/>
    <w:rsid w:val="00287061"/>
    <w:rsid w:val="002870E3"/>
    <w:rsid w:val="0028710D"/>
    <w:rsid w:val="0028712A"/>
    <w:rsid w:val="0028712D"/>
    <w:rsid w:val="00287131"/>
    <w:rsid w:val="00287147"/>
    <w:rsid w:val="0028719C"/>
    <w:rsid w:val="002871A1"/>
    <w:rsid w:val="002871B9"/>
    <w:rsid w:val="002871DC"/>
    <w:rsid w:val="00287298"/>
    <w:rsid w:val="00287313"/>
    <w:rsid w:val="00287332"/>
    <w:rsid w:val="00287372"/>
    <w:rsid w:val="0028742A"/>
    <w:rsid w:val="0028746A"/>
    <w:rsid w:val="002874B5"/>
    <w:rsid w:val="002874C1"/>
    <w:rsid w:val="0028754A"/>
    <w:rsid w:val="0028756E"/>
    <w:rsid w:val="0028757B"/>
    <w:rsid w:val="00287589"/>
    <w:rsid w:val="0028759D"/>
    <w:rsid w:val="002875DA"/>
    <w:rsid w:val="002875E2"/>
    <w:rsid w:val="002875F6"/>
    <w:rsid w:val="00287610"/>
    <w:rsid w:val="002876A6"/>
    <w:rsid w:val="002876C7"/>
    <w:rsid w:val="002876D9"/>
    <w:rsid w:val="00287733"/>
    <w:rsid w:val="00287769"/>
    <w:rsid w:val="002877D6"/>
    <w:rsid w:val="002877E0"/>
    <w:rsid w:val="0028785C"/>
    <w:rsid w:val="00287860"/>
    <w:rsid w:val="00287886"/>
    <w:rsid w:val="00287895"/>
    <w:rsid w:val="00287921"/>
    <w:rsid w:val="0028792C"/>
    <w:rsid w:val="0028794D"/>
    <w:rsid w:val="002879A2"/>
    <w:rsid w:val="00287A12"/>
    <w:rsid w:val="00287A3D"/>
    <w:rsid w:val="00287A6F"/>
    <w:rsid w:val="00287A8F"/>
    <w:rsid w:val="00287AB8"/>
    <w:rsid w:val="00287AD5"/>
    <w:rsid w:val="00287B7D"/>
    <w:rsid w:val="00287BD6"/>
    <w:rsid w:val="00287BEA"/>
    <w:rsid w:val="00287C19"/>
    <w:rsid w:val="00287C52"/>
    <w:rsid w:val="00287C96"/>
    <w:rsid w:val="00287CBC"/>
    <w:rsid w:val="00287CE2"/>
    <w:rsid w:val="00287D22"/>
    <w:rsid w:val="00287D2C"/>
    <w:rsid w:val="00287D58"/>
    <w:rsid w:val="00287D59"/>
    <w:rsid w:val="00287D77"/>
    <w:rsid w:val="00287D95"/>
    <w:rsid w:val="00287D99"/>
    <w:rsid w:val="00287DC5"/>
    <w:rsid w:val="00287E13"/>
    <w:rsid w:val="00287EEE"/>
    <w:rsid w:val="00287F4D"/>
    <w:rsid w:val="00287F55"/>
    <w:rsid w:val="00287FA7"/>
    <w:rsid w:val="00287FE5"/>
    <w:rsid w:val="00287FF7"/>
    <w:rsid w:val="00290065"/>
    <w:rsid w:val="0029007A"/>
    <w:rsid w:val="002900F5"/>
    <w:rsid w:val="0029018C"/>
    <w:rsid w:val="002901EF"/>
    <w:rsid w:val="0029021B"/>
    <w:rsid w:val="002902CE"/>
    <w:rsid w:val="0029038D"/>
    <w:rsid w:val="002903BD"/>
    <w:rsid w:val="002903D0"/>
    <w:rsid w:val="002903D7"/>
    <w:rsid w:val="00290436"/>
    <w:rsid w:val="00290448"/>
    <w:rsid w:val="0029047D"/>
    <w:rsid w:val="002904A1"/>
    <w:rsid w:val="002904F0"/>
    <w:rsid w:val="00290523"/>
    <w:rsid w:val="00290527"/>
    <w:rsid w:val="00290545"/>
    <w:rsid w:val="00290559"/>
    <w:rsid w:val="00290583"/>
    <w:rsid w:val="002905EE"/>
    <w:rsid w:val="0029060B"/>
    <w:rsid w:val="00290612"/>
    <w:rsid w:val="0029065C"/>
    <w:rsid w:val="002906BD"/>
    <w:rsid w:val="002906C8"/>
    <w:rsid w:val="00290780"/>
    <w:rsid w:val="002907F3"/>
    <w:rsid w:val="002907F9"/>
    <w:rsid w:val="0029082C"/>
    <w:rsid w:val="0029084A"/>
    <w:rsid w:val="00290886"/>
    <w:rsid w:val="00290897"/>
    <w:rsid w:val="002908DB"/>
    <w:rsid w:val="002908F2"/>
    <w:rsid w:val="002908F7"/>
    <w:rsid w:val="002909C9"/>
    <w:rsid w:val="002909D4"/>
    <w:rsid w:val="00290A0A"/>
    <w:rsid w:val="00290A17"/>
    <w:rsid w:val="00290AA4"/>
    <w:rsid w:val="00290AC1"/>
    <w:rsid w:val="00290AE3"/>
    <w:rsid w:val="00290AFB"/>
    <w:rsid w:val="00290B1C"/>
    <w:rsid w:val="00290BE1"/>
    <w:rsid w:val="00290C14"/>
    <w:rsid w:val="00290C16"/>
    <w:rsid w:val="00290C96"/>
    <w:rsid w:val="00290CB3"/>
    <w:rsid w:val="00290CD3"/>
    <w:rsid w:val="00290CF7"/>
    <w:rsid w:val="00290D31"/>
    <w:rsid w:val="00290D45"/>
    <w:rsid w:val="00290D83"/>
    <w:rsid w:val="00290DE6"/>
    <w:rsid w:val="00290DE7"/>
    <w:rsid w:val="00290E68"/>
    <w:rsid w:val="00290F89"/>
    <w:rsid w:val="0029105D"/>
    <w:rsid w:val="002910B8"/>
    <w:rsid w:val="002910C3"/>
    <w:rsid w:val="002910E8"/>
    <w:rsid w:val="002910FF"/>
    <w:rsid w:val="00291101"/>
    <w:rsid w:val="0029110D"/>
    <w:rsid w:val="00291132"/>
    <w:rsid w:val="002911A0"/>
    <w:rsid w:val="002911BA"/>
    <w:rsid w:val="002911D4"/>
    <w:rsid w:val="00291276"/>
    <w:rsid w:val="00291277"/>
    <w:rsid w:val="00291278"/>
    <w:rsid w:val="002912CC"/>
    <w:rsid w:val="00291315"/>
    <w:rsid w:val="00291353"/>
    <w:rsid w:val="0029138A"/>
    <w:rsid w:val="00291405"/>
    <w:rsid w:val="00291419"/>
    <w:rsid w:val="00291423"/>
    <w:rsid w:val="00291485"/>
    <w:rsid w:val="00291493"/>
    <w:rsid w:val="002914B5"/>
    <w:rsid w:val="002914BF"/>
    <w:rsid w:val="002914C2"/>
    <w:rsid w:val="002914C3"/>
    <w:rsid w:val="002914EC"/>
    <w:rsid w:val="00291516"/>
    <w:rsid w:val="00291540"/>
    <w:rsid w:val="00291565"/>
    <w:rsid w:val="0029156F"/>
    <w:rsid w:val="002915A7"/>
    <w:rsid w:val="002915B5"/>
    <w:rsid w:val="002915E6"/>
    <w:rsid w:val="002915F5"/>
    <w:rsid w:val="00291636"/>
    <w:rsid w:val="00291637"/>
    <w:rsid w:val="002916A7"/>
    <w:rsid w:val="002916CF"/>
    <w:rsid w:val="002916EB"/>
    <w:rsid w:val="00291708"/>
    <w:rsid w:val="00291710"/>
    <w:rsid w:val="00291747"/>
    <w:rsid w:val="00291779"/>
    <w:rsid w:val="002917C7"/>
    <w:rsid w:val="002917D3"/>
    <w:rsid w:val="002917DD"/>
    <w:rsid w:val="002917EA"/>
    <w:rsid w:val="00291817"/>
    <w:rsid w:val="00291818"/>
    <w:rsid w:val="0029181D"/>
    <w:rsid w:val="0029188F"/>
    <w:rsid w:val="002918E6"/>
    <w:rsid w:val="00291922"/>
    <w:rsid w:val="00291931"/>
    <w:rsid w:val="002919A6"/>
    <w:rsid w:val="002919BB"/>
    <w:rsid w:val="002919DA"/>
    <w:rsid w:val="002919DC"/>
    <w:rsid w:val="00291A38"/>
    <w:rsid w:val="00291A68"/>
    <w:rsid w:val="00291AEF"/>
    <w:rsid w:val="00291B84"/>
    <w:rsid w:val="00291B95"/>
    <w:rsid w:val="00291BD1"/>
    <w:rsid w:val="00291C1C"/>
    <w:rsid w:val="00291C67"/>
    <w:rsid w:val="00291C8C"/>
    <w:rsid w:val="00291CC2"/>
    <w:rsid w:val="00291D3D"/>
    <w:rsid w:val="00291D47"/>
    <w:rsid w:val="00291D75"/>
    <w:rsid w:val="00291E01"/>
    <w:rsid w:val="00291E21"/>
    <w:rsid w:val="00291E44"/>
    <w:rsid w:val="00291E56"/>
    <w:rsid w:val="00291EA6"/>
    <w:rsid w:val="00291ED9"/>
    <w:rsid w:val="00291EE1"/>
    <w:rsid w:val="00291F17"/>
    <w:rsid w:val="00291F2E"/>
    <w:rsid w:val="00291FC1"/>
    <w:rsid w:val="00291FD8"/>
    <w:rsid w:val="00291FDE"/>
    <w:rsid w:val="00291FE9"/>
    <w:rsid w:val="00292035"/>
    <w:rsid w:val="0029205F"/>
    <w:rsid w:val="00292098"/>
    <w:rsid w:val="002920A2"/>
    <w:rsid w:val="002920BF"/>
    <w:rsid w:val="002920E7"/>
    <w:rsid w:val="002920F1"/>
    <w:rsid w:val="002920F8"/>
    <w:rsid w:val="00292103"/>
    <w:rsid w:val="002921B6"/>
    <w:rsid w:val="00292218"/>
    <w:rsid w:val="0029223B"/>
    <w:rsid w:val="00292264"/>
    <w:rsid w:val="00292283"/>
    <w:rsid w:val="00292285"/>
    <w:rsid w:val="0029228D"/>
    <w:rsid w:val="0029228E"/>
    <w:rsid w:val="002922E0"/>
    <w:rsid w:val="002922F8"/>
    <w:rsid w:val="0029231E"/>
    <w:rsid w:val="00292341"/>
    <w:rsid w:val="00292352"/>
    <w:rsid w:val="0029236B"/>
    <w:rsid w:val="00292380"/>
    <w:rsid w:val="0029239E"/>
    <w:rsid w:val="002923A0"/>
    <w:rsid w:val="002923B6"/>
    <w:rsid w:val="002923CD"/>
    <w:rsid w:val="00292403"/>
    <w:rsid w:val="00292462"/>
    <w:rsid w:val="0029246C"/>
    <w:rsid w:val="002924AE"/>
    <w:rsid w:val="002924BC"/>
    <w:rsid w:val="00292614"/>
    <w:rsid w:val="00292660"/>
    <w:rsid w:val="002926AE"/>
    <w:rsid w:val="002926CE"/>
    <w:rsid w:val="00292790"/>
    <w:rsid w:val="002927C3"/>
    <w:rsid w:val="002927F3"/>
    <w:rsid w:val="00292841"/>
    <w:rsid w:val="002928AB"/>
    <w:rsid w:val="00292915"/>
    <w:rsid w:val="00292922"/>
    <w:rsid w:val="00292928"/>
    <w:rsid w:val="002929AC"/>
    <w:rsid w:val="002929AD"/>
    <w:rsid w:val="002929B4"/>
    <w:rsid w:val="002929BF"/>
    <w:rsid w:val="002929EA"/>
    <w:rsid w:val="00292A88"/>
    <w:rsid w:val="00292A8F"/>
    <w:rsid w:val="00292B42"/>
    <w:rsid w:val="00292B6A"/>
    <w:rsid w:val="00292C29"/>
    <w:rsid w:val="00292C36"/>
    <w:rsid w:val="00292C3E"/>
    <w:rsid w:val="00292C7F"/>
    <w:rsid w:val="00292C9B"/>
    <w:rsid w:val="00292D61"/>
    <w:rsid w:val="00292D64"/>
    <w:rsid w:val="00292D66"/>
    <w:rsid w:val="00292DB0"/>
    <w:rsid w:val="00292E61"/>
    <w:rsid w:val="00292E6C"/>
    <w:rsid w:val="00292E9D"/>
    <w:rsid w:val="00292EB8"/>
    <w:rsid w:val="00292F2F"/>
    <w:rsid w:val="00292F43"/>
    <w:rsid w:val="00292F64"/>
    <w:rsid w:val="00292FC8"/>
    <w:rsid w:val="00292FF1"/>
    <w:rsid w:val="00293081"/>
    <w:rsid w:val="0029309F"/>
    <w:rsid w:val="002930A4"/>
    <w:rsid w:val="002930A8"/>
    <w:rsid w:val="002930C1"/>
    <w:rsid w:val="002930CF"/>
    <w:rsid w:val="002930F4"/>
    <w:rsid w:val="002930FE"/>
    <w:rsid w:val="00293104"/>
    <w:rsid w:val="0029311D"/>
    <w:rsid w:val="00293125"/>
    <w:rsid w:val="002931E2"/>
    <w:rsid w:val="002931F1"/>
    <w:rsid w:val="0029320F"/>
    <w:rsid w:val="00293250"/>
    <w:rsid w:val="002932B5"/>
    <w:rsid w:val="00293315"/>
    <w:rsid w:val="0029332A"/>
    <w:rsid w:val="0029334E"/>
    <w:rsid w:val="0029337C"/>
    <w:rsid w:val="002933ED"/>
    <w:rsid w:val="002933F1"/>
    <w:rsid w:val="00293421"/>
    <w:rsid w:val="00293422"/>
    <w:rsid w:val="0029342E"/>
    <w:rsid w:val="00293495"/>
    <w:rsid w:val="002934A2"/>
    <w:rsid w:val="002934AC"/>
    <w:rsid w:val="00293533"/>
    <w:rsid w:val="002935BA"/>
    <w:rsid w:val="00293649"/>
    <w:rsid w:val="00293690"/>
    <w:rsid w:val="00293694"/>
    <w:rsid w:val="002936BA"/>
    <w:rsid w:val="002936BC"/>
    <w:rsid w:val="002936DF"/>
    <w:rsid w:val="00293783"/>
    <w:rsid w:val="002937AA"/>
    <w:rsid w:val="002937AB"/>
    <w:rsid w:val="002937B0"/>
    <w:rsid w:val="002937C2"/>
    <w:rsid w:val="002937EE"/>
    <w:rsid w:val="002937F6"/>
    <w:rsid w:val="0029382D"/>
    <w:rsid w:val="00293840"/>
    <w:rsid w:val="0029387C"/>
    <w:rsid w:val="0029389F"/>
    <w:rsid w:val="002938F8"/>
    <w:rsid w:val="002938FD"/>
    <w:rsid w:val="0029392D"/>
    <w:rsid w:val="0029393F"/>
    <w:rsid w:val="00293944"/>
    <w:rsid w:val="00293960"/>
    <w:rsid w:val="00293977"/>
    <w:rsid w:val="0029397E"/>
    <w:rsid w:val="00293993"/>
    <w:rsid w:val="002939A8"/>
    <w:rsid w:val="002939A9"/>
    <w:rsid w:val="002939AA"/>
    <w:rsid w:val="002939AE"/>
    <w:rsid w:val="002939F4"/>
    <w:rsid w:val="00293A36"/>
    <w:rsid w:val="00293A47"/>
    <w:rsid w:val="00293A56"/>
    <w:rsid w:val="00293A97"/>
    <w:rsid w:val="00293AF0"/>
    <w:rsid w:val="00293C1C"/>
    <w:rsid w:val="00293CDE"/>
    <w:rsid w:val="00293D36"/>
    <w:rsid w:val="00293D63"/>
    <w:rsid w:val="00293D95"/>
    <w:rsid w:val="00293DD5"/>
    <w:rsid w:val="00293DDC"/>
    <w:rsid w:val="00293DEE"/>
    <w:rsid w:val="00293DF2"/>
    <w:rsid w:val="00293E0B"/>
    <w:rsid w:val="00293ECA"/>
    <w:rsid w:val="00293F55"/>
    <w:rsid w:val="00293FCD"/>
    <w:rsid w:val="00293FE4"/>
    <w:rsid w:val="00294020"/>
    <w:rsid w:val="00294056"/>
    <w:rsid w:val="00294061"/>
    <w:rsid w:val="00294158"/>
    <w:rsid w:val="0029420B"/>
    <w:rsid w:val="00294239"/>
    <w:rsid w:val="00294245"/>
    <w:rsid w:val="00294277"/>
    <w:rsid w:val="00294284"/>
    <w:rsid w:val="00294322"/>
    <w:rsid w:val="00294326"/>
    <w:rsid w:val="00294398"/>
    <w:rsid w:val="00294399"/>
    <w:rsid w:val="00294418"/>
    <w:rsid w:val="002944ED"/>
    <w:rsid w:val="002944F6"/>
    <w:rsid w:val="00294525"/>
    <w:rsid w:val="00294526"/>
    <w:rsid w:val="00294536"/>
    <w:rsid w:val="00294538"/>
    <w:rsid w:val="0029453C"/>
    <w:rsid w:val="0029455F"/>
    <w:rsid w:val="0029457F"/>
    <w:rsid w:val="0029459F"/>
    <w:rsid w:val="00294607"/>
    <w:rsid w:val="00294635"/>
    <w:rsid w:val="0029465F"/>
    <w:rsid w:val="002946E6"/>
    <w:rsid w:val="00294792"/>
    <w:rsid w:val="00294889"/>
    <w:rsid w:val="00294897"/>
    <w:rsid w:val="002948B8"/>
    <w:rsid w:val="002948C3"/>
    <w:rsid w:val="002948C8"/>
    <w:rsid w:val="00294966"/>
    <w:rsid w:val="002949ED"/>
    <w:rsid w:val="00294A12"/>
    <w:rsid w:val="00294A1A"/>
    <w:rsid w:val="00294A21"/>
    <w:rsid w:val="00294A26"/>
    <w:rsid w:val="00294A4F"/>
    <w:rsid w:val="00294AD0"/>
    <w:rsid w:val="00294AD6"/>
    <w:rsid w:val="00294B0B"/>
    <w:rsid w:val="00294B0D"/>
    <w:rsid w:val="00294B25"/>
    <w:rsid w:val="00294B76"/>
    <w:rsid w:val="00294B7B"/>
    <w:rsid w:val="00294B7E"/>
    <w:rsid w:val="00294BBB"/>
    <w:rsid w:val="00294BF7"/>
    <w:rsid w:val="00294C1F"/>
    <w:rsid w:val="00294CEB"/>
    <w:rsid w:val="00294D2A"/>
    <w:rsid w:val="00294D70"/>
    <w:rsid w:val="00294DFB"/>
    <w:rsid w:val="00294E1C"/>
    <w:rsid w:val="00294E6D"/>
    <w:rsid w:val="00294ECB"/>
    <w:rsid w:val="00294F15"/>
    <w:rsid w:val="00294F75"/>
    <w:rsid w:val="00294FA0"/>
    <w:rsid w:val="00294FA1"/>
    <w:rsid w:val="00294FC0"/>
    <w:rsid w:val="00294FCB"/>
    <w:rsid w:val="00294FE7"/>
    <w:rsid w:val="00294FE9"/>
    <w:rsid w:val="00294FF1"/>
    <w:rsid w:val="00295063"/>
    <w:rsid w:val="00295068"/>
    <w:rsid w:val="002950FF"/>
    <w:rsid w:val="00295147"/>
    <w:rsid w:val="0029515D"/>
    <w:rsid w:val="002951A0"/>
    <w:rsid w:val="002951FF"/>
    <w:rsid w:val="00295232"/>
    <w:rsid w:val="00295259"/>
    <w:rsid w:val="0029527D"/>
    <w:rsid w:val="00295345"/>
    <w:rsid w:val="00295378"/>
    <w:rsid w:val="00295389"/>
    <w:rsid w:val="00295409"/>
    <w:rsid w:val="00295416"/>
    <w:rsid w:val="00295447"/>
    <w:rsid w:val="00295475"/>
    <w:rsid w:val="00295478"/>
    <w:rsid w:val="002954D4"/>
    <w:rsid w:val="00295534"/>
    <w:rsid w:val="0029555E"/>
    <w:rsid w:val="00295565"/>
    <w:rsid w:val="00295567"/>
    <w:rsid w:val="002955DD"/>
    <w:rsid w:val="002955ED"/>
    <w:rsid w:val="002955F1"/>
    <w:rsid w:val="00295647"/>
    <w:rsid w:val="00295649"/>
    <w:rsid w:val="0029566B"/>
    <w:rsid w:val="00295696"/>
    <w:rsid w:val="002956A6"/>
    <w:rsid w:val="002956C6"/>
    <w:rsid w:val="002956D1"/>
    <w:rsid w:val="002956F6"/>
    <w:rsid w:val="002956FD"/>
    <w:rsid w:val="0029577F"/>
    <w:rsid w:val="002957E0"/>
    <w:rsid w:val="00295853"/>
    <w:rsid w:val="00295862"/>
    <w:rsid w:val="0029588E"/>
    <w:rsid w:val="002958CA"/>
    <w:rsid w:val="002958F2"/>
    <w:rsid w:val="00295903"/>
    <w:rsid w:val="00295919"/>
    <w:rsid w:val="00295924"/>
    <w:rsid w:val="00295970"/>
    <w:rsid w:val="002959A3"/>
    <w:rsid w:val="00295A02"/>
    <w:rsid w:val="00295A12"/>
    <w:rsid w:val="00295A8D"/>
    <w:rsid w:val="00295AB3"/>
    <w:rsid w:val="00295AF0"/>
    <w:rsid w:val="00295B67"/>
    <w:rsid w:val="00295BC9"/>
    <w:rsid w:val="00295BEF"/>
    <w:rsid w:val="00295C01"/>
    <w:rsid w:val="00295C07"/>
    <w:rsid w:val="00295C11"/>
    <w:rsid w:val="00295C1D"/>
    <w:rsid w:val="00295C9F"/>
    <w:rsid w:val="00295CF9"/>
    <w:rsid w:val="00295D43"/>
    <w:rsid w:val="00295D56"/>
    <w:rsid w:val="00295DA7"/>
    <w:rsid w:val="00295DE7"/>
    <w:rsid w:val="00295E0D"/>
    <w:rsid w:val="00295E5B"/>
    <w:rsid w:val="00295EC9"/>
    <w:rsid w:val="00295ED5"/>
    <w:rsid w:val="00295F2A"/>
    <w:rsid w:val="00295F4B"/>
    <w:rsid w:val="00295F70"/>
    <w:rsid w:val="00295FB4"/>
    <w:rsid w:val="00295FE8"/>
    <w:rsid w:val="00296023"/>
    <w:rsid w:val="00296037"/>
    <w:rsid w:val="00296063"/>
    <w:rsid w:val="0029607B"/>
    <w:rsid w:val="0029607E"/>
    <w:rsid w:val="00296156"/>
    <w:rsid w:val="0029615F"/>
    <w:rsid w:val="0029616F"/>
    <w:rsid w:val="002961D3"/>
    <w:rsid w:val="0029628A"/>
    <w:rsid w:val="002962D3"/>
    <w:rsid w:val="002962D9"/>
    <w:rsid w:val="002962DA"/>
    <w:rsid w:val="00296364"/>
    <w:rsid w:val="002963DE"/>
    <w:rsid w:val="00296421"/>
    <w:rsid w:val="00296450"/>
    <w:rsid w:val="00296464"/>
    <w:rsid w:val="0029647C"/>
    <w:rsid w:val="00296481"/>
    <w:rsid w:val="002964A2"/>
    <w:rsid w:val="002964B8"/>
    <w:rsid w:val="002964FA"/>
    <w:rsid w:val="00296510"/>
    <w:rsid w:val="00296536"/>
    <w:rsid w:val="0029653F"/>
    <w:rsid w:val="0029658C"/>
    <w:rsid w:val="002965A8"/>
    <w:rsid w:val="00296602"/>
    <w:rsid w:val="0029661E"/>
    <w:rsid w:val="00296634"/>
    <w:rsid w:val="00296685"/>
    <w:rsid w:val="002966D8"/>
    <w:rsid w:val="002966DB"/>
    <w:rsid w:val="002966E2"/>
    <w:rsid w:val="0029670C"/>
    <w:rsid w:val="0029672A"/>
    <w:rsid w:val="00296739"/>
    <w:rsid w:val="00296756"/>
    <w:rsid w:val="0029675C"/>
    <w:rsid w:val="0029677E"/>
    <w:rsid w:val="002967C9"/>
    <w:rsid w:val="002967FF"/>
    <w:rsid w:val="00296865"/>
    <w:rsid w:val="002968E3"/>
    <w:rsid w:val="00296973"/>
    <w:rsid w:val="002969E1"/>
    <w:rsid w:val="002969F4"/>
    <w:rsid w:val="00296A31"/>
    <w:rsid w:val="00296A51"/>
    <w:rsid w:val="00296A67"/>
    <w:rsid w:val="00296AA5"/>
    <w:rsid w:val="00296B32"/>
    <w:rsid w:val="00296BAA"/>
    <w:rsid w:val="00296BE1"/>
    <w:rsid w:val="00296BF1"/>
    <w:rsid w:val="00296C26"/>
    <w:rsid w:val="00296C36"/>
    <w:rsid w:val="00296C6B"/>
    <w:rsid w:val="00296C6C"/>
    <w:rsid w:val="00296CD3"/>
    <w:rsid w:val="00296CDD"/>
    <w:rsid w:val="00296CED"/>
    <w:rsid w:val="00296CF7"/>
    <w:rsid w:val="00296CFC"/>
    <w:rsid w:val="00296D0A"/>
    <w:rsid w:val="00296E41"/>
    <w:rsid w:val="00296E4A"/>
    <w:rsid w:val="00296E4F"/>
    <w:rsid w:val="00296E69"/>
    <w:rsid w:val="00296E95"/>
    <w:rsid w:val="00296EA9"/>
    <w:rsid w:val="00296F6D"/>
    <w:rsid w:val="00296F6F"/>
    <w:rsid w:val="00296F82"/>
    <w:rsid w:val="00296F86"/>
    <w:rsid w:val="00296FA9"/>
    <w:rsid w:val="00296FF3"/>
    <w:rsid w:val="00296FFA"/>
    <w:rsid w:val="0029704D"/>
    <w:rsid w:val="0029705D"/>
    <w:rsid w:val="002970C7"/>
    <w:rsid w:val="002970D3"/>
    <w:rsid w:val="00297113"/>
    <w:rsid w:val="00297131"/>
    <w:rsid w:val="00297137"/>
    <w:rsid w:val="00297173"/>
    <w:rsid w:val="0029718F"/>
    <w:rsid w:val="00297235"/>
    <w:rsid w:val="00297295"/>
    <w:rsid w:val="00297320"/>
    <w:rsid w:val="00297366"/>
    <w:rsid w:val="002973F6"/>
    <w:rsid w:val="00297400"/>
    <w:rsid w:val="0029743E"/>
    <w:rsid w:val="002974A7"/>
    <w:rsid w:val="002974C7"/>
    <w:rsid w:val="002974F6"/>
    <w:rsid w:val="00297505"/>
    <w:rsid w:val="00297515"/>
    <w:rsid w:val="00297525"/>
    <w:rsid w:val="00297528"/>
    <w:rsid w:val="00297557"/>
    <w:rsid w:val="00297568"/>
    <w:rsid w:val="00297643"/>
    <w:rsid w:val="00297666"/>
    <w:rsid w:val="00297686"/>
    <w:rsid w:val="0029769B"/>
    <w:rsid w:val="002976BB"/>
    <w:rsid w:val="00297706"/>
    <w:rsid w:val="0029772E"/>
    <w:rsid w:val="00297747"/>
    <w:rsid w:val="0029774E"/>
    <w:rsid w:val="00297761"/>
    <w:rsid w:val="0029778E"/>
    <w:rsid w:val="002977B0"/>
    <w:rsid w:val="002978F9"/>
    <w:rsid w:val="0029793A"/>
    <w:rsid w:val="00297976"/>
    <w:rsid w:val="00297983"/>
    <w:rsid w:val="002979C2"/>
    <w:rsid w:val="002979C8"/>
    <w:rsid w:val="00297A5D"/>
    <w:rsid w:val="00297AF7"/>
    <w:rsid w:val="00297B72"/>
    <w:rsid w:val="00297BB2"/>
    <w:rsid w:val="00297BDA"/>
    <w:rsid w:val="00297C03"/>
    <w:rsid w:val="00297C96"/>
    <w:rsid w:val="00297CAA"/>
    <w:rsid w:val="00297CAF"/>
    <w:rsid w:val="00297CC9"/>
    <w:rsid w:val="00297D12"/>
    <w:rsid w:val="00297D4D"/>
    <w:rsid w:val="00297D66"/>
    <w:rsid w:val="00297DC6"/>
    <w:rsid w:val="00297E47"/>
    <w:rsid w:val="00297ED0"/>
    <w:rsid w:val="00297EF9"/>
    <w:rsid w:val="00297F22"/>
    <w:rsid w:val="00297F5E"/>
    <w:rsid w:val="00297F63"/>
    <w:rsid w:val="002A009C"/>
    <w:rsid w:val="002A012E"/>
    <w:rsid w:val="002A01A4"/>
    <w:rsid w:val="002A01CE"/>
    <w:rsid w:val="002A01D4"/>
    <w:rsid w:val="002A0269"/>
    <w:rsid w:val="002A02AD"/>
    <w:rsid w:val="002A02C1"/>
    <w:rsid w:val="002A02D5"/>
    <w:rsid w:val="002A02FB"/>
    <w:rsid w:val="002A03AE"/>
    <w:rsid w:val="002A0402"/>
    <w:rsid w:val="002A0479"/>
    <w:rsid w:val="002A04A4"/>
    <w:rsid w:val="002A04CE"/>
    <w:rsid w:val="002A0529"/>
    <w:rsid w:val="002A0561"/>
    <w:rsid w:val="002A0615"/>
    <w:rsid w:val="002A0623"/>
    <w:rsid w:val="002A063C"/>
    <w:rsid w:val="002A065E"/>
    <w:rsid w:val="002A06BE"/>
    <w:rsid w:val="002A0716"/>
    <w:rsid w:val="002A0749"/>
    <w:rsid w:val="002A0755"/>
    <w:rsid w:val="002A075D"/>
    <w:rsid w:val="002A07B4"/>
    <w:rsid w:val="002A085C"/>
    <w:rsid w:val="002A0860"/>
    <w:rsid w:val="002A0866"/>
    <w:rsid w:val="002A0885"/>
    <w:rsid w:val="002A08FD"/>
    <w:rsid w:val="002A092E"/>
    <w:rsid w:val="002A0944"/>
    <w:rsid w:val="002A0946"/>
    <w:rsid w:val="002A0955"/>
    <w:rsid w:val="002A0997"/>
    <w:rsid w:val="002A09C2"/>
    <w:rsid w:val="002A09E0"/>
    <w:rsid w:val="002A09E6"/>
    <w:rsid w:val="002A09EF"/>
    <w:rsid w:val="002A09F1"/>
    <w:rsid w:val="002A0A12"/>
    <w:rsid w:val="002A0A22"/>
    <w:rsid w:val="002A0A76"/>
    <w:rsid w:val="002A0A8A"/>
    <w:rsid w:val="002A0A9A"/>
    <w:rsid w:val="002A0B05"/>
    <w:rsid w:val="002A0B55"/>
    <w:rsid w:val="002A0B56"/>
    <w:rsid w:val="002A0B77"/>
    <w:rsid w:val="002A0BA2"/>
    <w:rsid w:val="002A0BDE"/>
    <w:rsid w:val="002A0BF4"/>
    <w:rsid w:val="002A0C75"/>
    <w:rsid w:val="002A0CEB"/>
    <w:rsid w:val="002A0D45"/>
    <w:rsid w:val="002A0D63"/>
    <w:rsid w:val="002A0E64"/>
    <w:rsid w:val="002A0E85"/>
    <w:rsid w:val="002A0E97"/>
    <w:rsid w:val="002A0EDB"/>
    <w:rsid w:val="002A0F98"/>
    <w:rsid w:val="002A0FA3"/>
    <w:rsid w:val="002A0FBA"/>
    <w:rsid w:val="002A0FE6"/>
    <w:rsid w:val="002A1008"/>
    <w:rsid w:val="002A1089"/>
    <w:rsid w:val="002A10B1"/>
    <w:rsid w:val="002A10C2"/>
    <w:rsid w:val="002A1157"/>
    <w:rsid w:val="002A117F"/>
    <w:rsid w:val="002A1194"/>
    <w:rsid w:val="002A1196"/>
    <w:rsid w:val="002A11B7"/>
    <w:rsid w:val="002A11F5"/>
    <w:rsid w:val="002A125E"/>
    <w:rsid w:val="002A12D6"/>
    <w:rsid w:val="002A12FA"/>
    <w:rsid w:val="002A1308"/>
    <w:rsid w:val="002A1324"/>
    <w:rsid w:val="002A1328"/>
    <w:rsid w:val="002A134D"/>
    <w:rsid w:val="002A137C"/>
    <w:rsid w:val="002A13D3"/>
    <w:rsid w:val="002A13E6"/>
    <w:rsid w:val="002A13E9"/>
    <w:rsid w:val="002A13F3"/>
    <w:rsid w:val="002A1418"/>
    <w:rsid w:val="002A1460"/>
    <w:rsid w:val="002A147A"/>
    <w:rsid w:val="002A1488"/>
    <w:rsid w:val="002A14B3"/>
    <w:rsid w:val="002A152C"/>
    <w:rsid w:val="002A1533"/>
    <w:rsid w:val="002A1557"/>
    <w:rsid w:val="002A1558"/>
    <w:rsid w:val="002A1560"/>
    <w:rsid w:val="002A1566"/>
    <w:rsid w:val="002A159A"/>
    <w:rsid w:val="002A15A5"/>
    <w:rsid w:val="002A15D8"/>
    <w:rsid w:val="002A160E"/>
    <w:rsid w:val="002A1611"/>
    <w:rsid w:val="002A1637"/>
    <w:rsid w:val="002A1657"/>
    <w:rsid w:val="002A16A3"/>
    <w:rsid w:val="002A16BE"/>
    <w:rsid w:val="002A1702"/>
    <w:rsid w:val="002A174E"/>
    <w:rsid w:val="002A17AB"/>
    <w:rsid w:val="002A17EF"/>
    <w:rsid w:val="002A1841"/>
    <w:rsid w:val="002A1889"/>
    <w:rsid w:val="002A189F"/>
    <w:rsid w:val="002A18B2"/>
    <w:rsid w:val="002A190C"/>
    <w:rsid w:val="002A1961"/>
    <w:rsid w:val="002A19AF"/>
    <w:rsid w:val="002A19EE"/>
    <w:rsid w:val="002A1A5B"/>
    <w:rsid w:val="002A1A8A"/>
    <w:rsid w:val="002A1AB3"/>
    <w:rsid w:val="002A1AD8"/>
    <w:rsid w:val="002A1AE4"/>
    <w:rsid w:val="002A1B82"/>
    <w:rsid w:val="002A1BD6"/>
    <w:rsid w:val="002A1BF6"/>
    <w:rsid w:val="002A1BF9"/>
    <w:rsid w:val="002A1C15"/>
    <w:rsid w:val="002A1C3C"/>
    <w:rsid w:val="002A1CB9"/>
    <w:rsid w:val="002A1CBD"/>
    <w:rsid w:val="002A1CEF"/>
    <w:rsid w:val="002A1D39"/>
    <w:rsid w:val="002A1DA9"/>
    <w:rsid w:val="002A1DE5"/>
    <w:rsid w:val="002A1E39"/>
    <w:rsid w:val="002A1E5B"/>
    <w:rsid w:val="002A1E81"/>
    <w:rsid w:val="002A1E9B"/>
    <w:rsid w:val="002A1F67"/>
    <w:rsid w:val="002A1F98"/>
    <w:rsid w:val="002A1FFE"/>
    <w:rsid w:val="002A2010"/>
    <w:rsid w:val="002A2017"/>
    <w:rsid w:val="002A205B"/>
    <w:rsid w:val="002A208D"/>
    <w:rsid w:val="002A20E3"/>
    <w:rsid w:val="002A20F7"/>
    <w:rsid w:val="002A2154"/>
    <w:rsid w:val="002A2167"/>
    <w:rsid w:val="002A216D"/>
    <w:rsid w:val="002A2186"/>
    <w:rsid w:val="002A218F"/>
    <w:rsid w:val="002A219A"/>
    <w:rsid w:val="002A220A"/>
    <w:rsid w:val="002A2210"/>
    <w:rsid w:val="002A2233"/>
    <w:rsid w:val="002A2246"/>
    <w:rsid w:val="002A22A2"/>
    <w:rsid w:val="002A22AB"/>
    <w:rsid w:val="002A22B3"/>
    <w:rsid w:val="002A22C6"/>
    <w:rsid w:val="002A22CD"/>
    <w:rsid w:val="002A22E4"/>
    <w:rsid w:val="002A232F"/>
    <w:rsid w:val="002A234F"/>
    <w:rsid w:val="002A235E"/>
    <w:rsid w:val="002A2398"/>
    <w:rsid w:val="002A23A9"/>
    <w:rsid w:val="002A2410"/>
    <w:rsid w:val="002A2478"/>
    <w:rsid w:val="002A24A0"/>
    <w:rsid w:val="002A24B7"/>
    <w:rsid w:val="002A24C0"/>
    <w:rsid w:val="002A24F5"/>
    <w:rsid w:val="002A24F6"/>
    <w:rsid w:val="002A24F7"/>
    <w:rsid w:val="002A2546"/>
    <w:rsid w:val="002A254A"/>
    <w:rsid w:val="002A2571"/>
    <w:rsid w:val="002A261C"/>
    <w:rsid w:val="002A264A"/>
    <w:rsid w:val="002A2655"/>
    <w:rsid w:val="002A2682"/>
    <w:rsid w:val="002A26EC"/>
    <w:rsid w:val="002A272B"/>
    <w:rsid w:val="002A2736"/>
    <w:rsid w:val="002A2759"/>
    <w:rsid w:val="002A276F"/>
    <w:rsid w:val="002A27CD"/>
    <w:rsid w:val="002A2810"/>
    <w:rsid w:val="002A2840"/>
    <w:rsid w:val="002A2844"/>
    <w:rsid w:val="002A28CF"/>
    <w:rsid w:val="002A2931"/>
    <w:rsid w:val="002A295B"/>
    <w:rsid w:val="002A29A9"/>
    <w:rsid w:val="002A2A0E"/>
    <w:rsid w:val="002A2A16"/>
    <w:rsid w:val="002A2A3C"/>
    <w:rsid w:val="002A2B2F"/>
    <w:rsid w:val="002A2B31"/>
    <w:rsid w:val="002A2B49"/>
    <w:rsid w:val="002A2B75"/>
    <w:rsid w:val="002A2BAD"/>
    <w:rsid w:val="002A2C33"/>
    <w:rsid w:val="002A2C42"/>
    <w:rsid w:val="002A2C55"/>
    <w:rsid w:val="002A2C9D"/>
    <w:rsid w:val="002A2CCD"/>
    <w:rsid w:val="002A2D1C"/>
    <w:rsid w:val="002A2D3F"/>
    <w:rsid w:val="002A2E13"/>
    <w:rsid w:val="002A2E60"/>
    <w:rsid w:val="002A2E92"/>
    <w:rsid w:val="002A2E9D"/>
    <w:rsid w:val="002A2EAC"/>
    <w:rsid w:val="002A2EC9"/>
    <w:rsid w:val="002A2F07"/>
    <w:rsid w:val="002A2F12"/>
    <w:rsid w:val="002A2F2B"/>
    <w:rsid w:val="002A2F4A"/>
    <w:rsid w:val="002A2FD9"/>
    <w:rsid w:val="002A2FF9"/>
    <w:rsid w:val="002A3023"/>
    <w:rsid w:val="002A3040"/>
    <w:rsid w:val="002A313D"/>
    <w:rsid w:val="002A318F"/>
    <w:rsid w:val="002A31EB"/>
    <w:rsid w:val="002A3217"/>
    <w:rsid w:val="002A322E"/>
    <w:rsid w:val="002A323C"/>
    <w:rsid w:val="002A3293"/>
    <w:rsid w:val="002A32A1"/>
    <w:rsid w:val="002A32EB"/>
    <w:rsid w:val="002A32FC"/>
    <w:rsid w:val="002A330D"/>
    <w:rsid w:val="002A3331"/>
    <w:rsid w:val="002A335F"/>
    <w:rsid w:val="002A3389"/>
    <w:rsid w:val="002A338F"/>
    <w:rsid w:val="002A33D9"/>
    <w:rsid w:val="002A33EA"/>
    <w:rsid w:val="002A33FB"/>
    <w:rsid w:val="002A3447"/>
    <w:rsid w:val="002A3449"/>
    <w:rsid w:val="002A34AA"/>
    <w:rsid w:val="002A34B9"/>
    <w:rsid w:val="002A358C"/>
    <w:rsid w:val="002A358D"/>
    <w:rsid w:val="002A35E0"/>
    <w:rsid w:val="002A35E3"/>
    <w:rsid w:val="002A3623"/>
    <w:rsid w:val="002A3626"/>
    <w:rsid w:val="002A3661"/>
    <w:rsid w:val="002A3663"/>
    <w:rsid w:val="002A3676"/>
    <w:rsid w:val="002A3698"/>
    <w:rsid w:val="002A36BE"/>
    <w:rsid w:val="002A3731"/>
    <w:rsid w:val="002A3768"/>
    <w:rsid w:val="002A37D8"/>
    <w:rsid w:val="002A37FB"/>
    <w:rsid w:val="002A3867"/>
    <w:rsid w:val="002A3874"/>
    <w:rsid w:val="002A390A"/>
    <w:rsid w:val="002A3925"/>
    <w:rsid w:val="002A3948"/>
    <w:rsid w:val="002A397E"/>
    <w:rsid w:val="002A3991"/>
    <w:rsid w:val="002A399F"/>
    <w:rsid w:val="002A39F7"/>
    <w:rsid w:val="002A3A0B"/>
    <w:rsid w:val="002A3A3A"/>
    <w:rsid w:val="002A3A85"/>
    <w:rsid w:val="002A3AC6"/>
    <w:rsid w:val="002A3ADC"/>
    <w:rsid w:val="002A3AEA"/>
    <w:rsid w:val="002A3B4F"/>
    <w:rsid w:val="002A3B51"/>
    <w:rsid w:val="002A3B64"/>
    <w:rsid w:val="002A3B75"/>
    <w:rsid w:val="002A3B9A"/>
    <w:rsid w:val="002A3BCC"/>
    <w:rsid w:val="002A3BDE"/>
    <w:rsid w:val="002A3BEE"/>
    <w:rsid w:val="002A3C06"/>
    <w:rsid w:val="002A3C10"/>
    <w:rsid w:val="002A3C28"/>
    <w:rsid w:val="002A3C56"/>
    <w:rsid w:val="002A3C63"/>
    <w:rsid w:val="002A3C75"/>
    <w:rsid w:val="002A3CD1"/>
    <w:rsid w:val="002A3CFA"/>
    <w:rsid w:val="002A3D1B"/>
    <w:rsid w:val="002A3E03"/>
    <w:rsid w:val="002A3E39"/>
    <w:rsid w:val="002A3E5A"/>
    <w:rsid w:val="002A3E67"/>
    <w:rsid w:val="002A3E90"/>
    <w:rsid w:val="002A3F17"/>
    <w:rsid w:val="002A3F4B"/>
    <w:rsid w:val="002A3F54"/>
    <w:rsid w:val="002A3F85"/>
    <w:rsid w:val="002A3F89"/>
    <w:rsid w:val="002A3FF1"/>
    <w:rsid w:val="002A4016"/>
    <w:rsid w:val="002A401F"/>
    <w:rsid w:val="002A4041"/>
    <w:rsid w:val="002A40CE"/>
    <w:rsid w:val="002A40DA"/>
    <w:rsid w:val="002A40E4"/>
    <w:rsid w:val="002A4176"/>
    <w:rsid w:val="002A4215"/>
    <w:rsid w:val="002A4247"/>
    <w:rsid w:val="002A42C3"/>
    <w:rsid w:val="002A4363"/>
    <w:rsid w:val="002A4378"/>
    <w:rsid w:val="002A4384"/>
    <w:rsid w:val="002A43F4"/>
    <w:rsid w:val="002A4400"/>
    <w:rsid w:val="002A440D"/>
    <w:rsid w:val="002A445C"/>
    <w:rsid w:val="002A4472"/>
    <w:rsid w:val="002A44C7"/>
    <w:rsid w:val="002A4524"/>
    <w:rsid w:val="002A452A"/>
    <w:rsid w:val="002A4558"/>
    <w:rsid w:val="002A45AD"/>
    <w:rsid w:val="002A4639"/>
    <w:rsid w:val="002A46FA"/>
    <w:rsid w:val="002A474C"/>
    <w:rsid w:val="002A47D8"/>
    <w:rsid w:val="002A47E4"/>
    <w:rsid w:val="002A47F0"/>
    <w:rsid w:val="002A47FE"/>
    <w:rsid w:val="002A4826"/>
    <w:rsid w:val="002A483A"/>
    <w:rsid w:val="002A4844"/>
    <w:rsid w:val="002A48B3"/>
    <w:rsid w:val="002A48FA"/>
    <w:rsid w:val="002A4913"/>
    <w:rsid w:val="002A4928"/>
    <w:rsid w:val="002A49AE"/>
    <w:rsid w:val="002A49B9"/>
    <w:rsid w:val="002A49C7"/>
    <w:rsid w:val="002A49F1"/>
    <w:rsid w:val="002A4A1F"/>
    <w:rsid w:val="002A4A76"/>
    <w:rsid w:val="002A4A97"/>
    <w:rsid w:val="002A4AA8"/>
    <w:rsid w:val="002A4AB6"/>
    <w:rsid w:val="002A4B86"/>
    <w:rsid w:val="002A4B8D"/>
    <w:rsid w:val="002A4BFC"/>
    <w:rsid w:val="002A4C18"/>
    <w:rsid w:val="002A4C5E"/>
    <w:rsid w:val="002A4CA8"/>
    <w:rsid w:val="002A4D06"/>
    <w:rsid w:val="002A4D44"/>
    <w:rsid w:val="002A4E06"/>
    <w:rsid w:val="002A4E50"/>
    <w:rsid w:val="002A4E7C"/>
    <w:rsid w:val="002A4EB6"/>
    <w:rsid w:val="002A4FB7"/>
    <w:rsid w:val="002A5058"/>
    <w:rsid w:val="002A50E1"/>
    <w:rsid w:val="002A50FE"/>
    <w:rsid w:val="002A513F"/>
    <w:rsid w:val="002A5149"/>
    <w:rsid w:val="002A5188"/>
    <w:rsid w:val="002A5190"/>
    <w:rsid w:val="002A5201"/>
    <w:rsid w:val="002A522E"/>
    <w:rsid w:val="002A5259"/>
    <w:rsid w:val="002A5264"/>
    <w:rsid w:val="002A5268"/>
    <w:rsid w:val="002A527D"/>
    <w:rsid w:val="002A5317"/>
    <w:rsid w:val="002A5333"/>
    <w:rsid w:val="002A5336"/>
    <w:rsid w:val="002A538E"/>
    <w:rsid w:val="002A53AB"/>
    <w:rsid w:val="002A54AA"/>
    <w:rsid w:val="002A54C1"/>
    <w:rsid w:val="002A54C7"/>
    <w:rsid w:val="002A54FC"/>
    <w:rsid w:val="002A551A"/>
    <w:rsid w:val="002A5567"/>
    <w:rsid w:val="002A55E0"/>
    <w:rsid w:val="002A56AB"/>
    <w:rsid w:val="002A56B1"/>
    <w:rsid w:val="002A56CC"/>
    <w:rsid w:val="002A56E8"/>
    <w:rsid w:val="002A5707"/>
    <w:rsid w:val="002A5718"/>
    <w:rsid w:val="002A5720"/>
    <w:rsid w:val="002A57A0"/>
    <w:rsid w:val="002A57B1"/>
    <w:rsid w:val="002A57CC"/>
    <w:rsid w:val="002A5805"/>
    <w:rsid w:val="002A5858"/>
    <w:rsid w:val="002A586E"/>
    <w:rsid w:val="002A5882"/>
    <w:rsid w:val="002A5894"/>
    <w:rsid w:val="002A58AE"/>
    <w:rsid w:val="002A58B6"/>
    <w:rsid w:val="002A58C2"/>
    <w:rsid w:val="002A58D4"/>
    <w:rsid w:val="002A58FF"/>
    <w:rsid w:val="002A591C"/>
    <w:rsid w:val="002A594A"/>
    <w:rsid w:val="002A5A38"/>
    <w:rsid w:val="002A5A91"/>
    <w:rsid w:val="002A5AC9"/>
    <w:rsid w:val="002A5B0F"/>
    <w:rsid w:val="002A5B46"/>
    <w:rsid w:val="002A5B64"/>
    <w:rsid w:val="002A5B76"/>
    <w:rsid w:val="002A5BBC"/>
    <w:rsid w:val="002A5BD9"/>
    <w:rsid w:val="002A5C61"/>
    <w:rsid w:val="002A5C68"/>
    <w:rsid w:val="002A5C98"/>
    <w:rsid w:val="002A5CD5"/>
    <w:rsid w:val="002A5CE4"/>
    <w:rsid w:val="002A5CEB"/>
    <w:rsid w:val="002A5CF3"/>
    <w:rsid w:val="002A5CFE"/>
    <w:rsid w:val="002A5D14"/>
    <w:rsid w:val="002A5D30"/>
    <w:rsid w:val="002A5D70"/>
    <w:rsid w:val="002A5D7B"/>
    <w:rsid w:val="002A5DBD"/>
    <w:rsid w:val="002A5E20"/>
    <w:rsid w:val="002A5E2C"/>
    <w:rsid w:val="002A5E5F"/>
    <w:rsid w:val="002A5E7E"/>
    <w:rsid w:val="002A5E9D"/>
    <w:rsid w:val="002A5ECC"/>
    <w:rsid w:val="002A5F2C"/>
    <w:rsid w:val="002A5F61"/>
    <w:rsid w:val="002A5F94"/>
    <w:rsid w:val="002A5FEC"/>
    <w:rsid w:val="002A6052"/>
    <w:rsid w:val="002A6177"/>
    <w:rsid w:val="002A61AD"/>
    <w:rsid w:val="002A61B4"/>
    <w:rsid w:val="002A6209"/>
    <w:rsid w:val="002A6228"/>
    <w:rsid w:val="002A622C"/>
    <w:rsid w:val="002A6249"/>
    <w:rsid w:val="002A628F"/>
    <w:rsid w:val="002A635A"/>
    <w:rsid w:val="002A63C5"/>
    <w:rsid w:val="002A640C"/>
    <w:rsid w:val="002A6428"/>
    <w:rsid w:val="002A6451"/>
    <w:rsid w:val="002A64D1"/>
    <w:rsid w:val="002A64FB"/>
    <w:rsid w:val="002A6529"/>
    <w:rsid w:val="002A657D"/>
    <w:rsid w:val="002A658F"/>
    <w:rsid w:val="002A663C"/>
    <w:rsid w:val="002A665E"/>
    <w:rsid w:val="002A668C"/>
    <w:rsid w:val="002A66D3"/>
    <w:rsid w:val="002A6746"/>
    <w:rsid w:val="002A674F"/>
    <w:rsid w:val="002A6757"/>
    <w:rsid w:val="002A67A2"/>
    <w:rsid w:val="002A67AC"/>
    <w:rsid w:val="002A67CB"/>
    <w:rsid w:val="002A67CF"/>
    <w:rsid w:val="002A6801"/>
    <w:rsid w:val="002A6811"/>
    <w:rsid w:val="002A6836"/>
    <w:rsid w:val="002A6839"/>
    <w:rsid w:val="002A6873"/>
    <w:rsid w:val="002A687F"/>
    <w:rsid w:val="002A6885"/>
    <w:rsid w:val="002A6890"/>
    <w:rsid w:val="002A68A2"/>
    <w:rsid w:val="002A68F5"/>
    <w:rsid w:val="002A68FD"/>
    <w:rsid w:val="002A696E"/>
    <w:rsid w:val="002A69C4"/>
    <w:rsid w:val="002A6A3D"/>
    <w:rsid w:val="002A6A44"/>
    <w:rsid w:val="002A6A80"/>
    <w:rsid w:val="002A6A81"/>
    <w:rsid w:val="002A6AA3"/>
    <w:rsid w:val="002A6AE2"/>
    <w:rsid w:val="002A6AF6"/>
    <w:rsid w:val="002A6B0F"/>
    <w:rsid w:val="002A6B2F"/>
    <w:rsid w:val="002A6B5B"/>
    <w:rsid w:val="002A6B98"/>
    <w:rsid w:val="002A6BAD"/>
    <w:rsid w:val="002A6BB4"/>
    <w:rsid w:val="002A6BBB"/>
    <w:rsid w:val="002A6C14"/>
    <w:rsid w:val="002A6C3B"/>
    <w:rsid w:val="002A6C67"/>
    <w:rsid w:val="002A6C71"/>
    <w:rsid w:val="002A6CA4"/>
    <w:rsid w:val="002A6DEA"/>
    <w:rsid w:val="002A6E01"/>
    <w:rsid w:val="002A6E48"/>
    <w:rsid w:val="002A6E60"/>
    <w:rsid w:val="002A6EAC"/>
    <w:rsid w:val="002A6EBC"/>
    <w:rsid w:val="002A6F08"/>
    <w:rsid w:val="002A6F13"/>
    <w:rsid w:val="002A6F68"/>
    <w:rsid w:val="002A6F6A"/>
    <w:rsid w:val="002A6F82"/>
    <w:rsid w:val="002A6F9E"/>
    <w:rsid w:val="002A6FAD"/>
    <w:rsid w:val="002A6FD1"/>
    <w:rsid w:val="002A6FE0"/>
    <w:rsid w:val="002A6FF9"/>
    <w:rsid w:val="002A701D"/>
    <w:rsid w:val="002A7089"/>
    <w:rsid w:val="002A708E"/>
    <w:rsid w:val="002A70FB"/>
    <w:rsid w:val="002A7110"/>
    <w:rsid w:val="002A7119"/>
    <w:rsid w:val="002A7127"/>
    <w:rsid w:val="002A7153"/>
    <w:rsid w:val="002A7166"/>
    <w:rsid w:val="002A71AE"/>
    <w:rsid w:val="002A71BC"/>
    <w:rsid w:val="002A71D1"/>
    <w:rsid w:val="002A7211"/>
    <w:rsid w:val="002A7229"/>
    <w:rsid w:val="002A727F"/>
    <w:rsid w:val="002A7288"/>
    <w:rsid w:val="002A72D3"/>
    <w:rsid w:val="002A7337"/>
    <w:rsid w:val="002A738C"/>
    <w:rsid w:val="002A7393"/>
    <w:rsid w:val="002A7399"/>
    <w:rsid w:val="002A73EB"/>
    <w:rsid w:val="002A74A5"/>
    <w:rsid w:val="002A74C2"/>
    <w:rsid w:val="002A74D2"/>
    <w:rsid w:val="002A74EA"/>
    <w:rsid w:val="002A7501"/>
    <w:rsid w:val="002A7557"/>
    <w:rsid w:val="002A758C"/>
    <w:rsid w:val="002A7664"/>
    <w:rsid w:val="002A7669"/>
    <w:rsid w:val="002A767D"/>
    <w:rsid w:val="002A76E4"/>
    <w:rsid w:val="002A76EB"/>
    <w:rsid w:val="002A76F2"/>
    <w:rsid w:val="002A7747"/>
    <w:rsid w:val="002A774D"/>
    <w:rsid w:val="002A778B"/>
    <w:rsid w:val="002A77BD"/>
    <w:rsid w:val="002A77D8"/>
    <w:rsid w:val="002A78AE"/>
    <w:rsid w:val="002A790A"/>
    <w:rsid w:val="002A794D"/>
    <w:rsid w:val="002A796B"/>
    <w:rsid w:val="002A796D"/>
    <w:rsid w:val="002A7983"/>
    <w:rsid w:val="002A79B6"/>
    <w:rsid w:val="002A7A0F"/>
    <w:rsid w:val="002A7AAF"/>
    <w:rsid w:val="002A7AD8"/>
    <w:rsid w:val="002A7B25"/>
    <w:rsid w:val="002A7B58"/>
    <w:rsid w:val="002A7BC1"/>
    <w:rsid w:val="002A7BF6"/>
    <w:rsid w:val="002A7C06"/>
    <w:rsid w:val="002A7C09"/>
    <w:rsid w:val="002A7CFD"/>
    <w:rsid w:val="002A7D3C"/>
    <w:rsid w:val="002A7D49"/>
    <w:rsid w:val="002A7D5F"/>
    <w:rsid w:val="002A7DC9"/>
    <w:rsid w:val="002A7DDA"/>
    <w:rsid w:val="002A7E17"/>
    <w:rsid w:val="002A7E25"/>
    <w:rsid w:val="002A7E85"/>
    <w:rsid w:val="002A7EA6"/>
    <w:rsid w:val="002A7F3A"/>
    <w:rsid w:val="002A7F53"/>
    <w:rsid w:val="002B0008"/>
    <w:rsid w:val="002B009E"/>
    <w:rsid w:val="002B00A1"/>
    <w:rsid w:val="002B00B9"/>
    <w:rsid w:val="002B00E1"/>
    <w:rsid w:val="002B0100"/>
    <w:rsid w:val="002B013D"/>
    <w:rsid w:val="002B0148"/>
    <w:rsid w:val="002B0183"/>
    <w:rsid w:val="002B01AC"/>
    <w:rsid w:val="002B01C7"/>
    <w:rsid w:val="002B01EF"/>
    <w:rsid w:val="002B030F"/>
    <w:rsid w:val="002B0337"/>
    <w:rsid w:val="002B0354"/>
    <w:rsid w:val="002B0370"/>
    <w:rsid w:val="002B03A5"/>
    <w:rsid w:val="002B03DC"/>
    <w:rsid w:val="002B03E2"/>
    <w:rsid w:val="002B042F"/>
    <w:rsid w:val="002B043B"/>
    <w:rsid w:val="002B0472"/>
    <w:rsid w:val="002B0478"/>
    <w:rsid w:val="002B0481"/>
    <w:rsid w:val="002B0493"/>
    <w:rsid w:val="002B04D5"/>
    <w:rsid w:val="002B04E9"/>
    <w:rsid w:val="002B0534"/>
    <w:rsid w:val="002B0567"/>
    <w:rsid w:val="002B056D"/>
    <w:rsid w:val="002B0584"/>
    <w:rsid w:val="002B05D1"/>
    <w:rsid w:val="002B062E"/>
    <w:rsid w:val="002B0643"/>
    <w:rsid w:val="002B06D3"/>
    <w:rsid w:val="002B06ED"/>
    <w:rsid w:val="002B0769"/>
    <w:rsid w:val="002B07B0"/>
    <w:rsid w:val="002B07B5"/>
    <w:rsid w:val="002B07CF"/>
    <w:rsid w:val="002B07D7"/>
    <w:rsid w:val="002B0802"/>
    <w:rsid w:val="002B0822"/>
    <w:rsid w:val="002B085F"/>
    <w:rsid w:val="002B08BD"/>
    <w:rsid w:val="002B08ED"/>
    <w:rsid w:val="002B08F7"/>
    <w:rsid w:val="002B0902"/>
    <w:rsid w:val="002B09D2"/>
    <w:rsid w:val="002B09F5"/>
    <w:rsid w:val="002B0A1B"/>
    <w:rsid w:val="002B0A21"/>
    <w:rsid w:val="002B0A9E"/>
    <w:rsid w:val="002B0AAD"/>
    <w:rsid w:val="002B0B02"/>
    <w:rsid w:val="002B0C2A"/>
    <w:rsid w:val="002B0CBE"/>
    <w:rsid w:val="002B0D5C"/>
    <w:rsid w:val="002B0D6B"/>
    <w:rsid w:val="002B0D6E"/>
    <w:rsid w:val="002B0D7C"/>
    <w:rsid w:val="002B0DBD"/>
    <w:rsid w:val="002B0DFB"/>
    <w:rsid w:val="002B0E07"/>
    <w:rsid w:val="002B0E0F"/>
    <w:rsid w:val="002B0E24"/>
    <w:rsid w:val="002B0E67"/>
    <w:rsid w:val="002B0E98"/>
    <w:rsid w:val="002B0E99"/>
    <w:rsid w:val="002B0EAD"/>
    <w:rsid w:val="002B0EE8"/>
    <w:rsid w:val="002B0EFB"/>
    <w:rsid w:val="002B0F17"/>
    <w:rsid w:val="002B0F74"/>
    <w:rsid w:val="002B0F87"/>
    <w:rsid w:val="002B0FA7"/>
    <w:rsid w:val="002B0FCB"/>
    <w:rsid w:val="002B0FD5"/>
    <w:rsid w:val="002B0FE1"/>
    <w:rsid w:val="002B101B"/>
    <w:rsid w:val="002B1020"/>
    <w:rsid w:val="002B102D"/>
    <w:rsid w:val="002B1043"/>
    <w:rsid w:val="002B10C7"/>
    <w:rsid w:val="002B10F4"/>
    <w:rsid w:val="002B1109"/>
    <w:rsid w:val="002B112C"/>
    <w:rsid w:val="002B117C"/>
    <w:rsid w:val="002B118A"/>
    <w:rsid w:val="002B11B8"/>
    <w:rsid w:val="002B11BC"/>
    <w:rsid w:val="002B11E3"/>
    <w:rsid w:val="002B1241"/>
    <w:rsid w:val="002B124B"/>
    <w:rsid w:val="002B1255"/>
    <w:rsid w:val="002B125B"/>
    <w:rsid w:val="002B1267"/>
    <w:rsid w:val="002B129D"/>
    <w:rsid w:val="002B12B9"/>
    <w:rsid w:val="002B1370"/>
    <w:rsid w:val="002B141D"/>
    <w:rsid w:val="002B14D7"/>
    <w:rsid w:val="002B155B"/>
    <w:rsid w:val="002B15B9"/>
    <w:rsid w:val="002B16BD"/>
    <w:rsid w:val="002B16F4"/>
    <w:rsid w:val="002B1706"/>
    <w:rsid w:val="002B1711"/>
    <w:rsid w:val="002B1736"/>
    <w:rsid w:val="002B1753"/>
    <w:rsid w:val="002B1759"/>
    <w:rsid w:val="002B175D"/>
    <w:rsid w:val="002B17A9"/>
    <w:rsid w:val="002B17CD"/>
    <w:rsid w:val="002B17D1"/>
    <w:rsid w:val="002B17EF"/>
    <w:rsid w:val="002B1827"/>
    <w:rsid w:val="002B1839"/>
    <w:rsid w:val="002B184D"/>
    <w:rsid w:val="002B1889"/>
    <w:rsid w:val="002B1891"/>
    <w:rsid w:val="002B18B4"/>
    <w:rsid w:val="002B18D5"/>
    <w:rsid w:val="002B18ED"/>
    <w:rsid w:val="002B196F"/>
    <w:rsid w:val="002B1988"/>
    <w:rsid w:val="002B19A3"/>
    <w:rsid w:val="002B19C4"/>
    <w:rsid w:val="002B19DC"/>
    <w:rsid w:val="002B1A08"/>
    <w:rsid w:val="002B1A0F"/>
    <w:rsid w:val="002B1A74"/>
    <w:rsid w:val="002B1AF5"/>
    <w:rsid w:val="002B1B04"/>
    <w:rsid w:val="002B1B22"/>
    <w:rsid w:val="002B1B3A"/>
    <w:rsid w:val="002B1B4A"/>
    <w:rsid w:val="002B1B4D"/>
    <w:rsid w:val="002B1B60"/>
    <w:rsid w:val="002B1B8E"/>
    <w:rsid w:val="002B1B94"/>
    <w:rsid w:val="002B1BA3"/>
    <w:rsid w:val="002B1BDE"/>
    <w:rsid w:val="002B1BEB"/>
    <w:rsid w:val="002B1CCE"/>
    <w:rsid w:val="002B1D19"/>
    <w:rsid w:val="002B1D33"/>
    <w:rsid w:val="002B1D46"/>
    <w:rsid w:val="002B1D6A"/>
    <w:rsid w:val="002B1D6E"/>
    <w:rsid w:val="002B1DAC"/>
    <w:rsid w:val="002B1E25"/>
    <w:rsid w:val="002B1E61"/>
    <w:rsid w:val="002B1E95"/>
    <w:rsid w:val="002B1EBB"/>
    <w:rsid w:val="002B1EEA"/>
    <w:rsid w:val="002B1F02"/>
    <w:rsid w:val="002B1F18"/>
    <w:rsid w:val="002B1F34"/>
    <w:rsid w:val="002B1F67"/>
    <w:rsid w:val="002B1FA1"/>
    <w:rsid w:val="002B2022"/>
    <w:rsid w:val="002B2063"/>
    <w:rsid w:val="002B206B"/>
    <w:rsid w:val="002B20A1"/>
    <w:rsid w:val="002B20FF"/>
    <w:rsid w:val="002B2154"/>
    <w:rsid w:val="002B21A8"/>
    <w:rsid w:val="002B21CC"/>
    <w:rsid w:val="002B21F6"/>
    <w:rsid w:val="002B2206"/>
    <w:rsid w:val="002B2227"/>
    <w:rsid w:val="002B2249"/>
    <w:rsid w:val="002B226A"/>
    <w:rsid w:val="002B2294"/>
    <w:rsid w:val="002B22A6"/>
    <w:rsid w:val="002B2308"/>
    <w:rsid w:val="002B230E"/>
    <w:rsid w:val="002B2346"/>
    <w:rsid w:val="002B23BA"/>
    <w:rsid w:val="002B23FF"/>
    <w:rsid w:val="002B2417"/>
    <w:rsid w:val="002B2418"/>
    <w:rsid w:val="002B2421"/>
    <w:rsid w:val="002B242B"/>
    <w:rsid w:val="002B2462"/>
    <w:rsid w:val="002B2475"/>
    <w:rsid w:val="002B247C"/>
    <w:rsid w:val="002B2488"/>
    <w:rsid w:val="002B24CD"/>
    <w:rsid w:val="002B256B"/>
    <w:rsid w:val="002B256D"/>
    <w:rsid w:val="002B26D0"/>
    <w:rsid w:val="002B2749"/>
    <w:rsid w:val="002B2764"/>
    <w:rsid w:val="002B2797"/>
    <w:rsid w:val="002B27A0"/>
    <w:rsid w:val="002B27D5"/>
    <w:rsid w:val="002B27D8"/>
    <w:rsid w:val="002B27DF"/>
    <w:rsid w:val="002B27F4"/>
    <w:rsid w:val="002B281A"/>
    <w:rsid w:val="002B281E"/>
    <w:rsid w:val="002B282F"/>
    <w:rsid w:val="002B2883"/>
    <w:rsid w:val="002B28DD"/>
    <w:rsid w:val="002B28F1"/>
    <w:rsid w:val="002B290D"/>
    <w:rsid w:val="002B2949"/>
    <w:rsid w:val="002B294A"/>
    <w:rsid w:val="002B2957"/>
    <w:rsid w:val="002B296D"/>
    <w:rsid w:val="002B296E"/>
    <w:rsid w:val="002B2995"/>
    <w:rsid w:val="002B29CE"/>
    <w:rsid w:val="002B2A24"/>
    <w:rsid w:val="002B2A49"/>
    <w:rsid w:val="002B2A62"/>
    <w:rsid w:val="002B2A7B"/>
    <w:rsid w:val="002B2B1F"/>
    <w:rsid w:val="002B2B25"/>
    <w:rsid w:val="002B2B2B"/>
    <w:rsid w:val="002B2B2F"/>
    <w:rsid w:val="002B2B37"/>
    <w:rsid w:val="002B2B45"/>
    <w:rsid w:val="002B2BA9"/>
    <w:rsid w:val="002B2BB0"/>
    <w:rsid w:val="002B2C86"/>
    <w:rsid w:val="002B2CE3"/>
    <w:rsid w:val="002B2D3D"/>
    <w:rsid w:val="002B2D5C"/>
    <w:rsid w:val="002B2E03"/>
    <w:rsid w:val="002B2E23"/>
    <w:rsid w:val="002B2E30"/>
    <w:rsid w:val="002B2E4B"/>
    <w:rsid w:val="002B2E83"/>
    <w:rsid w:val="002B2E85"/>
    <w:rsid w:val="002B2EA3"/>
    <w:rsid w:val="002B2FA0"/>
    <w:rsid w:val="002B3041"/>
    <w:rsid w:val="002B306F"/>
    <w:rsid w:val="002B30AF"/>
    <w:rsid w:val="002B3109"/>
    <w:rsid w:val="002B3147"/>
    <w:rsid w:val="002B3188"/>
    <w:rsid w:val="002B3199"/>
    <w:rsid w:val="002B31DE"/>
    <w:rsid w:val="002B3225"/>
    <w:rsid w:val="002B32A9"/>
    <w:rsid w:val="002B32C3"/>
    <w:rsid w:val="002B32E9"/>
    <w:rsid w:val="002B336F"/>
    <w:rsid w:val="002B338C"/>
    <w:rsid w:val="002B3423"/>
    <w:rsid w:val="002B3488"/>
    <w:rsid w:val="002B349D"/>
    <w:rsid w:val="002B34DA"/>
    <w:rsid w:val="002B34F6"/>
    <w:rsid w:val="002B357A"/>
    <w:rsid w:val="002B35A8"/>
    <w:rsid w:val="002B35BB"/>
    <w:rsid w:val="002B367B"/>
    <w:rsid w:val="002B368B"/>
    <w:rsid w:val="002B3695"/>
    <w:rsid w:val="002B3698"/>
    <w:rsid w:val="002B36F6"/>
    <w:rsid w:val="002B3703"/>
    <w:rsid w:val="002B372B"/>
    <w:rsid w:val="002B3752"/>
    <w:rsid w:val="002B3755"/>
    <w:rsid w:val="002B375F"/>
    <w:rsid w:val="002B3771"/>
    <w:rsid w:val="002B37BE"/>
    <w:rsid w:val="002B37CC"/>
    <w:rsid w:val="002B380B"/>
    <w:rsid w:val="002B382A"/>
    <w:rsid w:val="002B3837"/>
    <w:rsid w:val="002B3866"/>
    <w:rsid w:val="002B38FA"/>
    <w:rsid w:val="002B394E"/>
    <w:rsid w:val="002B3970"/>
    <w:rsid w:val="002B3996"/>
    <w:rsid w:val="002B39AE"/>
    <w:rsid w:val="002B3ACB"/>
    <w:rsid w:val="002B3B33"/>
    <w:rsid w:val="002B3B4D"/>
    <w:rsid w:val="002B3B85"/>
    <w:rsid w:val="002B3B9D"/>
    <w:rsid w:val="002B3BA8"/>
    <w:rsid w:val="002B3BAA"/>
    <w:rsid w:val="002B3C17"/>
    <w:rsid w:val="002B3C1E"/>
    <w:rsid w:val="002B3C7B"/>
    <w:rsid w:val="002B3C8D"/>
    <w:rsid w:val="002B3CC7"/>
    <w:rsid w:val="002B3CCB"/>
    <w:rsid w:val="002B3CDE"/>
    <w:rsid w:val="002B3D16"/>
    <w:rsid w:val="002B3D5F"/>
    <w:rsid w:val="002B3D68"/>
    <w:rsid w:val="002B3D73"/>
    <w:rsid w:val="002B3D90"/>
    <w:rsid w:val="002B3E3C"/>
    <w:rsid w:val="002B3E3F"/>
    <w:rsid w:val="002B3EF5"/>
    <w:rsid w:val="002B3FB6"/>
    <w:rsid w:val="002B3FBB"/>
    <w:rsid w:val="002B3FDB"/>
    <w:rsid w:val="002B402C"/>
    <w:rsid w:val="002B402D"/>
    <w:rsid w:val="002B402F"/>
    <w:rsid w:val="002B403B"/>
    <w:rsid w:val="002B4082"/>
    <w:rsid w:val="002B4096"/>
    <w:rsid w:val="002B40DE"/>
    <w:rsid w:val="002B40EA"/>
    <w:rsid w:val="002B40F8"/>
    <w:rsid w:val="002B41B5"/>
    <w:rsid w:val="002B4246"/>
    <w:rsid w:val="002B424E"/>
    <w:rsid w:val="002B4255"/>
    <w:rsid w:val="002B4259"/>
    <w:rsid w:val="002B4271"/>
    <w:rsid w:val="002B4296"/>
    <w:rsid w:val="002B429D"/>
    <w:rsid w:val="002B42B9"/>
    <w:rsid w:val="002B42CB"/>
    <w:rsid w:val="002B42F0"/>
    <w:rsid w:val="002B42F2"/>
    <w:rsid w:val="002B42FD"/>
    <w:rsid w:val="002B4304"/>
    <w:rsid w:val="002B431B"/>
    <w:rsid w:val="002B433E"/>
    <w:rsid w:val="002B4342"/>
    <w:rsid w:val="002B43A2"/>
    <w:rsid w:val="002B43C2"/>
    <w:rsid w:val="002B43FE"/>
    <w:rsid w:val="002B442B"/>
    <w:rsid w:val="002B4436"/>
    <w:rsid w:val="002B4445"/>
    <w:rsid w:val="002B444A"/>
    <w:rsid w:val="002B4455"/>
    <w:rsid w:val="002B44D8"/>
    <w:rsid w:val="002B44ED"/>
    <w:rsid w:val="002B44F7"/>
    <w:rsid w:val="002B44FE"/>
    <w:rsid w:val="002B453D"/>
    <w:rsid w:val="002B45A4"/>
    <w:rsid w:val="002B46D4"/>
    <w:rsid w:val="002B46FD"/>
    <w:rsid w:val="002B4702"/>
    <w:rsid w:val="002B4706"/>
    <w:rsid w:val="002B478C"/>
    <w:rsid w:val="002B47D3"/>
    <w:rsid w:val="002B47F7"/>
    <w:rsid w:val="002B4841"/>
    <w:rsid w:val="002B48AE"/>
    <w:rsid w:val="002B48FB"/>
    <w:rsid w:val="002B48FF"/>
    <w:rsid w:val="002B492D"/>
    <w:rsid w:val="002B4968"/>
    <w:rsid w:val="002B4985"/>
    <w:rsid w:val="002B498B"/>
    <w:rsid w:val="002B49A4"/>
    <w:rsid w:val="002B49B2"/>
    <w:rsid w:val="002B49D0"/>
    <w:rsid w:val="002B49EA"/>
    <w:rsid w:val="002B49F5"/>
    <w:rsid w:val="002B4A0F"/>
    <w:rsid w:val="002B4A17"/>
    <w:rsid w:val="002B4A34"/>
    <w:rsid w:val="002B4AA4"/>
    <w:rsid w:val="002B4ADC"/>
    <w:rsid w:val="002B4B4E"/>
    <w:rsid w:val="002B4B71"/>
    <w:rsid w:val="002B4B76"/>
    <w:rsid w:val="002B4BA6"/>
    <w:rsid w:val="002B4C83"/>
    <w:rsid w:val="002B4D07"/>
    <w:rsid w:val="002B4D87"/>
    <w:rsid w:val="002B4DCE"/>
    <w:rsid w:val="002B4DD7"/>
    <w:rsid w:val="002B4E25"/>
    <w:rsid w:val="002B4E27"/>
    <w:rsid w:val="002B4E57"/>
    <w:rsid w:val="002B4E67"/>
    <w:rsid w:val="002B4EAE"/>
    <w:rsid w:val="002B4ECE"/>
    <w:rsid w:val="002B4EF6"/>
    <w:rsid w:val="002B4F8C"/>
    <w:rsid w:val="002B4F96"/>
    <w:rsid w:val="002B4F99"/>
    <w:rsid w:val="002B4FBE"/>
    <w:rsid w:val="002B4FEC"/>
    <w:rsid w:val="002B5024"/>
    <w:rsid w:val="002B5064"/>
    <w:rsid w:val="002B50B5"/>
    <w:rsid w:val="002B5104"/>
    <w:rsid w:val="002B5117"/>
    <w:rsid w:val="002B511A"/>
    <w:rsid w:val="002B5148"/>
    <w:rsid w:val="002B51B7"/>
    <w:rsid w:val="002B520A"/>
    <w:rsid w:val="002B5224"/>
    <w:rsid w:val="002B52C2"/>
    <w:rsid w:val="002B52C8"/>
    <w:rsid w:val="002B52DE"/>
    <w:rsid w:val="002B5311"/>
    <w:rsid w:val="002B532F"/>
    <w:rsid w:val="002B5376"/>
    <w:rsid w:val="002B53F0"/>
    <w:rsid w:val="002B5405"/>
    <w:rsid w:val="002B5414"/>
    <w:rsid w:val="002B543D"/>
    <w:rsid w:val="002B544C"/>
    <w:rsid w:val="002B5485"/>
    <w:rsid w:val="002B54B9"/>
    <w:rsid w:val="002B54D4"/>
    <w:rsid w:val="002B5504"/>
    <w:rsid w:val="002B5511"/>
    <w:rsid w:val="002B551B"/>
    <w:rsid w:val="002B55BB"/>
    <w:rsid w:val="002B55C0"/>
    <w:rsid w:val="002B55CF"/>
    <w:rsid w:val="002B55DE"/>
    <w:rsid w:val="002B55E8"/>
    <w:rsid w:val="002B5605"/>
    <w:rsid w:val="002B5684"/>
    <w:rsid w:val="002B56DB"/>
    <w:rsid w:val="002B56E0"/>
    <w:rsid w:val="002B56F9"/>
    <w:rsid w:val="002B5781"/>
    <w:rsid w:val="002B57B3"/>
    <w:rsid w:val="002B57E2"/>
    <w:rsid w:val="002B581A"/>
    <w:rsid w:val="002B5832"/>
    <w:rsid w:val="002B58B3"/>
    <w:rsid w:val="002B58C6"/>
    <w:rsid w:val="002B58D4"/>
    <w:rsid w:val="002B58D5"/>
    <w:rsid w:val="002B58EB"/>
    <w:rsid w:val="002B5933"/>
    <w:rsid w:val="002B5942"/>
    <w:rsid w:val="002B5974"/>
    <w:rsid w:val="002B599E"/>
    <w:rsid w:val="002B59DD"/>
    <w:rsid w:val="002B5A13"/>
    <w:rsid w:val="002B5A1F"/>
    <w:rsid w:val="002B5A66"/>
    <w:rsid w:val="002B5A7E"/>
    <w:rsid w:val="002B5A80"/>
    <w:rsid w:val="002B5AB1"/>
    <w:rsid w:val="002B5ACA"/>
    <w:rsid w:val="002B5AEF"/>
    <w:rsid w:val="002B5AFE"/>
    <w:rsid w:val="002B5B7B"/>
    <w:rsid w:val="002B5B97"/>
    <w:rsid w:val="002B5BBE"/>
    <w:rsid w:val="002B5C32"/>
    <w:rsid w:val="002B5C44"/>
    <w:rsid w:val="002B5C74"/>
    <w:rsid w:val="002B5D09"/>
    <w:rsid w:val="002B5D2E"/>
    <w:rsid w:val="002B5D32"/>
    <w:rsid w:val="002B5DAD"/>
    <w:rsid w:val="002B5DDC"/>
    <w:rsid w:val="002B5E08"/>
    <w:rsid w:val="002B5E14"/>
    <w:rsid w:val="002B5E44"/>
    <w:rsid w:val="002B5E94"/>
    <w:rsid w:val="002B5F21"/>
    <w:rsid w:val="002B6055"/>
    <w:rsid w:val="002B6087"/>
    <w:rsid w:val="002B612A"/>
    <w:rsid w:val="002B614B"/>
    <w:rsid w:val="002B6181"/>
    <w:rsid w:val="002B61A3"/>
    <w:rsid w:val="002B61A4"/>
    <w:rsid w:val="002B61F7"/>
    <w:rsid w:val="002B6203"/>
    <w:rsid w:val="002B622A"/>
    <w:rsid w:val="002B629D"/>
    <w:rsid w:val="002B62F1"/>
    <w:rsid w:val="002B62FC"/>
    <w:rsid w:val="002B633D"/>
    <w:rsid w:val="002B6392"/>
    <w:rsid w:val="002B6399"/>
    <w:rsid w:val="002B63AE"/>
    <w:rsid w:val="002B6426"/>
    <w:rsid w:val="002B6463"/>
    <w:rsid w:val="002B6499"/>
    <w:rsid w:val="002B64A2"/>
    <w:rsid w:val="002B64E4"/>
    <w:rsid w:val="002B64F1"/>
    <w:rsid w:val="002B6598"/>
    <w:rsid w:val="002B65A6"/>
    <w:rsid w:val="002B65F9"/>
    <w:rsid w:val="002B6612"/>
    <w:rsid w:val="002B6619"/>
    <w:rsid w:val="002B6641"/>
    <w:rsid w:val="002B6676"/>
    <w:rsid w:val="002B66A3"/>
    <w:rsid w:val="002B66B0"/>
    <w:rsid w:val="002B66D6"/>
    <w:rsid w:val="002B6703"/>
    <w:rsid w:val="002B6716"/>
    <w:rsid w:val="002B6727"/>
    <w:rsid w:val="002B6772"/>
    <w:rsid w:val="002B678A"/>
    <w:rsid w:val="002B67CA"/>
    <w:rsid w:val="002B67DB"/>
    <w:rsid w:val="002B67E0"/>
    <w:rsid w:val="002B6823"/>
    <w:rsid w:val="002B683E"/>
    <w:rsid w:val="002B6842"/>
    <w:rsid w:val="002B684F"/>
    <w:rsid w:val="002B6857"/>
    <w:rsid w:val="002B6894"/>
    <w:rsid w:val="002B68E1"/>
    <w:rsid w:val="002B6906"/>
    <w:rsid w:val="002B6931"/>
    <w:rsid w:val="002B6946"/>
    <w:rsid w:val="002B694A"/>
    <w:rsid w:val="002B695B"/>
    <w:rsid w:val="002B695E"/>
    <w:rsid w:val="002B696D"/>
    <w:rsid w:val="002B697F"/>
    <w:rsid w:val="002B69E8"/>
    <w:rsid w:val="002B6A11"/>
    <w:rsid w:val="002B6A2E"/>
    <w:rsid w:val="002B6A45"/>
    <w:rsid w:val="002B6A73"/>
    <w:rsid w:val="002B6B17"/>
    <w:rsid w:val="002B6B22"/>
    <w:rsid w:val="002B6B50"/>
    <w:rsid w:val="002B6B79"/>
    <w:rsid w:val="002B6BC0"/>
    <w:rsid w:val="002B6C04"/>
    <w:rsid w:val="002B6C4F"/>
    <w:rsid w:val="002B6C61"/>
    <w:rsid w:val="002B6CDC"/>
    <w:rsid w:val="002B6CF5"/>
    <w:rsid w:val="002B6D14"/>
    <w:rsid w:val="002B6D15"/>
    <w:rsid w:val="002B6DF7"/>
    <w:rsid w:val="002B6E19"/>
    <w:rsid w:val="002B6E26"/>
    <w:rsid w:val="002B6E66"/>
    <w:rsid w:val="002B6E7E"/>
    <w:rsid w:val="002B6E95"/>
    <w:rsid w:val="002B6EC8"/>
    <w:rsid w:val="002B6F09"/>
    <w:rsid w:val="002B6F19"/>
    <w:rsid w:val="002B6F51"/>
    <w:rsid w:val="002B706F"/>
    <w:rsid w:val="002B70D3"/>
    <w:rsid w:val="002B7113"/>
    <w:rsid w:val="002B714F"/>
    <w:rsid w:val="002B71A0"/>
    <w:rsid w:val="002B7275"/>
    <w:rsid w:val="002B72E8"/>
    <w:rsid w:val="002B72F1"/>
    <w:rsid w:val="002B733E"/>
    <w:rsid w:val="002B736A"/>
    <w:rsid w:val="002B7391"/>
    <w:rsid w:val="002B73C7"/>
    <w:rsid w:val="002B73CF"/>
    <w:rsid w:val="002B73F4"/>
    <w:rsid w:val="002B73F6"/>
    <w:rsid w:val="002B7401"/>
    <w:rsid w:val="002B743E"/>
    <w:rsid w:val="002B74A6"/>
    <w:rsid w:val="002B74A9"/>
    <w:rsid w:val="002B74AB"/>
    <w:rsid w:val="002B74B8"/>
    <w:rsid w:val="002B750A"/>
    <w:rsid w:val="002B7519"/>
    <w:rsid w:val="002B7529"/>
    <w:rsid w:val="002B752A"/>
    <w:rsid w:val="002B7581"/>
    <w:rsid w:val="002B75A0"/>
    <w:rsid w:val="002B75B2"/>
    <w:rsid w:val="002B7606"/>
    <w:rsid w:val="002B7654"/>
    <w:rsid w:val="002B7656"/>
    <w:rsid w:val="002B7662"/>
    <w:rsid w:val="002B76DB"/>
    <w:rsid w:val="002B771A"/>
    <w:rsid w:val="002B773C"/>
    <w:rsid w:val="002B779C"/>
    <w:rsid w:val="002B77AB"/>
    <w:rsid w:val="002B77E3"/>
    <w:rsid w:val="002B77FB"/>
    <w:rsid w:val="002B7850"/>
    <w:rsid w:val="002B785F"/>
    <w:rsid w:val="002B78AE"/>
    <w:rsid w:val="002B78D0"/>
    <w:rsid w:val="002B7904"/>
    <w:rsid w:val="002B79A7"/>
    <w:rsid w:val="002B79E5"/>
    <w:rsid w:val="002B7A4C"/>
    <w:rsid w:val="002B7A56"/>
    <w:rsid w:val="002B7A59"/>
    <w:rsid w:val="002B7A67"/>
    <w:rsid w:val="002B7A7F"/>
    <w:rsid w:val="002B7A81"/>
    <w:rsid w:val="002B7A88"/>
    <w:rsid w:val="002B7BCD"/>
    <w:rsid w:val="002B7C27"/>
    <w:rsid w:val="002B7C35"/>
    <w:rsid w:val="002B7CED"/>
    <w:rsid w:val="002B7CF2"/>
    <w:rsid w:val="002B7D0A"/>
    <w:rsid w:val="002B7D22"/>
    <w:rsid w:val="002B7D29"/>
    <w:rsid w:val="002B7D2B"/>
    <w:rsid w:val="002B7D64"/>
    <w:rsid w:val="002B7DCE"/>
    <w:rsid w:val="002B7DDA"/>
    <w:rsid w:val="002B7E53"/>
    <w:rsid w:val="002B7E67"/>
    <w:rsid w:val="002B7E93"/>
    <w:rsid w:val="002B7F5F"/>
    <w:rsid w:val="002B7FCB"/>
    <w:rsid w:val="002C000F"/>
    <w:rsid w:val="002C0043"/>
    <w:rsid w:val="002C00D4"/>
    <w:rsid w:val="002C00EA"/>
    <w:rsid w:val="002C0175"/>
    <w:rsid w:val="002C0180"/>
    <w:rsid w:val="002C01B2"/>
    <w:rsid w:val="002C01DE"/>
    <w:rsid w:val="002C01EC"/>
    <w:rsid w:val="002C0204"/>
    <w:rsid w:val="002C0222"/>
    <w:rsid w:val="002C0242"/>
    <w:rsid w:val="002C0260"/>
    <w:rsid w:val="002C0266"/>
    <w:rsid w:val="002C02D9"/>
    <w:rsid w:val="002C0312"/>
    <w:rsid w:val="002C0342"/>
    <w:rsid w:val="002C039D"/>
    <w:rsid w:val="002C03AE"/>
    <w:rsid w:val="002C03F7"/>
    <w:rsid w:val="002C0400"/>
    <w:rsid w:val="002C043C"/>
    <w:rsid w:val="002C044C"/>
    <w:rsid w:val="002C0491"/>
    <w:rsid w:val="002C04A5"/>
    <w:rsid w:val="002C04C5"/>
    <w:rsid w:val="002C04E3"/>
    <w:rsid w:val="002C051C"/>
    <w:rsid w:val="002C053F"/>
    <w:rsid w:val="002C05A5"/>
    <w:rsid w:val="002C05F9"/>
    <w:rsid w:val="002C067E"/>
    <w:rsid w:val="002C068F"/>
    <w:rsid w:val="002C06B3"/>
    <w:rsid w:val="002C06B4"/>
    <w:rsid w:val="002C06BA"/>
    <w:rsid w:val="002C06DA"/>
    <w:rsid w:val="002C06EA"/>
    <w:rsid w:val="002C06F2"/>
    <w:rsid w:val="002C072E"/>
    <w:rsid w:val="002C0757"/>
    <w:rsid w:val="002C07AE"/>
    <w:rsid w:val="002C084F"/>
    <w:rsid w:val="002C0882"/>
    <w:rsid w:val="002C08E0"/>
    <w:rsid w:val="002C0902"/>
    <w:rsid w:val="002C0972"/>
    <w:rsid w:val="002C099E"/>
    <w:rsid w:val="002C0A31"/>
    <w:rsid w:val="002C0A4A"/>
    <w:rsid w:val="002C0A82"/>
    <w:rsid w:val="002C0B69"/>
    <w:rsid w:val="002C0B7F"/>
    <w:rsid w:val="002C0B90"/>
    <w:rsid w:val="002C0BC7"/>
    <w:rsid w:val="002C0C52"/>
    <w:rsid w:val="002C0CC3"/>
    <w:rsid w:val="002C0CD1"/>
    <w:rsid w:val="002C0CE3"/>
    <w:rsid w:val="002C0CE6"/>
    <w:rsid w:val="002C0CFB"/>
    <w:rsid w:val="002C0DDE"/>
    <w:rsid w:val="002C0DFC"/>
    <w:rsid w:val="002C0E18"/>
    <w:rsid w:val="002C0E29"/>
    <w:rsid w:val="002C0E43"/>
    <w:rsid w:val="002C0E49"/>
    <w:rsid w:val="002C0E50"/>
    <w:rsid w:val="002C0E5C"/>
    <w:rsid w:val="002C0E74"/>
    <w:rsid w:val="002C0EFB"/>
    <w:rsid w:val="002C0F23"/>
    <w:rsid w:val="002C1038"/>
    <w:rsid w:val="002C104B"/>
    <w:rsid w:val="002C1063"/>
    <w:rsid w:val="002C10A3"/>
    <w:rsid w:val="002C10F1"/>
    <w:rsid w:val="002C111F"/>
    <w:rsid w:val="002C1188"/>
    <w:rsid w:val="002C11AD"/>
    <w:rsid w:val="002C11C3"/>
    <w:rsid w:val="002C11EB"/>
    <w:rsid w:val="002C1239"/>
    <w:rsid w:val="002C130D"/>
    <w:rsid w:val="002C1346"/>
    <w:rsid w:val="002C1387"/>
    <w:rsid w:val="002C13B1"/>
    <w:rsid w:val="002C13E9"/>
    <w:rsid w:val="002C1402"/>
    <w:rsid w:val="002C141F"/>
    <w:rsid w:val="002C146E"/>
    <w:rsid w:val="002C14DD"/>
    <w:rsid w:val="002C1540"/>
    <w:rsid w:val="002C155B"/>
    <w:rsid w:val="002C15B8"/>
    <w:rsid w:val="002C15C1"/>
    <w:rsid w:val="002C1622"/>
    <w:rsid w:val="002C1646"/>
    <w:rsid w:val="002C1691"/>
    <w:rsid w:val="002C16FA"/>
    <w:rsid w:val="002C1762"/>
    <w:rsid w:val="002C18B6"/>
    <w:rsid w:val="002C18D3"/>
    <w:rsid w:val="002C199E"/>
    <w:rsid w:val="002C1A07"/>
    <w:rsid w:val="002C1A11"/>
    <w:rsid w:val="002C1A7F"/>
    <w:rsid w:val="002C1AAD"/>
    <w:rsid w:val="002C1AD0"/>
    <w:rsid w:val="002C1AFC"/>
    <w:rsid w:val="002C1BAA"/>
    <w:rsid w:val="002C1BDB"/>
    <w:rsid w:val="002C1C22"/>
    <w:rsid w:val="002C1C44"/>
    <w:rsid w:val="002C1C6B"/>
    <w:rsid w:val="002C1C7F"/>
    <w:rsid w:val="002C1C99"/>
    <w:rsid w:val="002C1CD9"/>
    <w:rsid w:val="002C1CEA"/>
    <w:rsid w:val="002C1CFD"/>
    <w:rsid w:val="002C1D1B"/>
    <w:rsid w:val="002C1D2B"/>
    <w:rsid w:val="002C1D4D"/>
    <w:rsid w:val="002C1D4E"/>
    <w:rsid w:val="002C1D6E"/>
    <w:rsid w:val="002C1D8C"/>
    <w:rsid w:val="002C1DCF"/>
    <w:rsid w:val="002C1DFF"/>
    <w:rsid w:val="002C1E1A"/>
    <w:rsid w:val="002C1E2F"/>
    <w:rsid w:val="002C1E36"/>
    <w:rsid w:val="002C1E69"/>
    <w:rsid w:val="002C1E87"/>
    <w:rsid w:val="002C1EC7"/>
    <w:rsid w:val="002C1F2B"/>
    <w:rsid w:val="002C1F85"/>
    <w:rsid w:val="002C1FD0"/>
    <w:rsid w:val="002C1FFF"/>
    <w:rsid w:val="002C2005"/>
    <w:rsid w:val="002C205C"/>
    <w:rsid w:val="002C206D"/>
    <w:rsid w:val="002C20BD"/>
    <w:rsid w:val="002C20D1"/>
    <w:rsid w:val="002C211E"/>
    <w:rsid w:val="002C2188"/>
    <w:rsid w:val="002C21B7"/>
    <w:rsid w:val="002C21E8"/>
    <w:rsid w:val="002C2212"/>
    <w:rsid w:val="002C2247"/>
    <w:rsid w:val="002C22B5"/>
    <w:rsid w:val="002C22F8"/>
    <w:rsid w:val="002C2321"/>
    <w:rsid w:val="002C2322"/>
    <w:rsid w:val="002C235C"/>
    <w:rsid w:val="002C235F"/>
    <w:rsid w:val="002C2371"/>
    <w:rsid w:val="002C2374"/>
    <w:rsid w:val="002C23CA"/>
    <w:rsid w:val="002C240B"/>
    <w:rsid w:val="002C242B"/>
    <w:rsid w:val="002C2430"/>
    <w:rsid w:val="002C2465"/>
    <w:rsid w:val="002C2477"/>
    <w:rsid w:val="002C2497"/>
    <w:rsid w:val="002C2540"/>
    <w:rsid w:val="002C25E1"/>
    <w:rsid w:val="002C25F6"/>
    <w:rsid w:val="002C2607"/>
    <w:rsid w:val="002C2688"/>
    <w:rsid w:val="002C26EF"/>
    <w:rsid w:val="002C26F9"/>
    <w:rsid w:val="002C275C"/>
    <w:rsid w:val="002C2773"/>
    <w:rsid w:val="002C277D"/>
    <w:rsid w:val="002C278F"/>
    <w:rsid w:val="002C27AF"/>
    <w:rsid w:val="002C27CD"/>
    <w:rsid w:val="002C27DD"/>
    <w:rsid w:val="002C2888"/>
    <w:rsid w:val="002C28C8"/>
    <w:rsid w:val="002C28D5"/>
    <w:rsid w:val="002C2942"/>
    <w:rsid w:val="002C294C"/>
    <w:rsid w:val="002C296D"/>
    <w:rsid w:val="002C297C"/>
    <w:rsid w:val="002C29B7"/>
    <w:rsid w:val="002C2A14"/>
    <w:rsid w:val="002C2AD3"/>
    <w:rsid w:val="002C2AF4"/>
    <w:rsid w:val="002C2AF6"/>
    <w:rsid w:val="002C2B38"/>
    <w:rsid w:val="002C2B9B"/>
    <w:rsid w:val="002C2BAA"/>
    <w:rsid w:val="002C2C30"/>
    <w:rsid w:val="002C2C36"/>
    <w:rsid w:val="002C2C83"/>
    <w:rsid w:val="002C2C8D"/>
    <w:rsid w:val="002C2D0C"/>
    <w:rsid w:val="002C2D0D"/>
    <w:rsid w:val="002C2D10"/>
    <w:rsid w:val="002C2D49"/>
    <w:rsid w:val="002C2D53"/>
    <w:rsid w:val="002C2D9E"/>
    <w:rsid w:val="002C2DB4"/>
    <w:rsid w:val="002C2DD9"/>
    <w:rsid w:val="002C2E0C"/>
    <w:rsid w:val="002C2E15"/>
    <w:rsid w:val="002C2E4D"/>
    <w:rsid w:val="002C2E58"/>
    <w:rsid w:val="002C2E80"/>
    <w:rsid w:val="002C2E97"/>
    <w:rsid w:val="002C2F50"/>
    <w:rsid w:val="002C2F7A"/>
    <w:rsid w:val="002C2FF5"/>
    <w:rsid w:val="002C3022"/>
    <w:rsid w:val="002C3037"/>
    <w:rsid w:val="002C3052"/>
    <w:rsid w:val="002C308D"/>
    <w:rsid w:val="002C30AC"/>
    <w:rsid w:val="002C3105"/>
    <w:rsid w:val="002C314C"/>
    <w:rsid w:val="002C31F7"/>
    <w:rsid w:val="002C321B"/>
    <w:rsid w:val="002C3263"/>
    <w:rsid w:val="002C329B"/>
    <w:rsid w:val="002C32A6"/>
    <w:rsid w:val="002C32AF"/>
    <w:rsid w:val="002C3312"/>
    <w:rsid w:val="002C337F"/>
    <w:rsid w:val="002C339A"/>
    <w:rsid w:val="002C33A3"/>
    <w:rsid w:val="002C33D3"/>
    <w:rsid w:val="002C3407"/>
    <w:rsid w:val="002C3411"/>
    <w:rsid w:val="002C3443"/>
    <w:rsid w:val="002C3499"/>
    <w:rsid w:val="002C34EB"/>
    <w:rsid w:val="002C3524"/>
    <w:rsid w:val="002C3564"/>
    <w:rsid w:val="002C3579"/>
    <w:rsid w:val="002C3597"/>
    <w:rsid w:val="002C35C7"/>
    <w:rsid w:val="002C35EB"/>
    <w:rsid w:val="002C366D"/>
    <w:rsid w:val="002C36BD"/>
    <w:rsid w:val="002C36ED"/>
    <w:rsid w:val="002C3733"/>
    <w:rsid w:val="002C3767"/>
    <w:rsid w:val="002C3768"/>
    <w:rsid w:val="002C3811"/>
    <w:rsid w:val="002C3823"/>
    <w:rsid w:val="002C383D"/>
    <w:rsid w:val="002C3849"/>
    <w:rsid w:val="002C38BB"/>
    <w:rsid w:val="002C38EF"/>
    <w:rsid w:val="002C3984"/>
    <w:rsid w:val="002C398E"/>
    <w:rsid w:val="002C39A5"/>
    <w:rsid w:val="002C39AB"/>
    <w:rsid w:val="002C39BC"/>
    <w:rsid w:val="002C39C0"/>
    <w:rsid w:val="002C39CE"/>
    <w:rsid w:val="002C39DC"/>
    <w:rsid w:val="002C39F4"/>
    <w:rsid w:val="002C3A2E"/>
    <w:rsid w:val="002C3A9E"/>
    <w:rsid w:val="002C3AB8"/>
    <w:rsid w:val="002C3BB0"/>
    <w:rsid w:val="002C3BB5"/>
    <w:rsid w:val="002C3BD3"/>
    <w:rsid w:val="002C3BE3"/>
    <w:rsid w:val="002C3C3F"/>
    <w:rsid w:val="002C3C83"/>
    <w:rsid w:val="002C3C95"/>
    <w:rsid w:val="002C3CC3"/>
    <w:rsid w:val="002C3CE0"/>
    <w:rsid w:val="002C3CFE"/>
    <w:rsid w:val="002C3D01"/>
    <w:rsid w:val="002C3D7F"/>
    <w:rsid w:val="002C3D8A"/>
    <w:rsid w:val="002C3E60"/>
    <w:rsid w:val="002C3EA2"/>
    <w:rsid w:val="002C3F71"/>
    <w:rsid w:val="002C3F78"/>
    <w:rsid w:val="002C3F96"/>
    <w:rsid w:val="002C3FA2"/>
    <w:rsid w:val="002C3FC7"/>
    <w:rsid w:val="002C4007"/>
    <w:rsid w:val="002C4028"/>
    <w:rsid w:val="002C4067"/>
    <w:rsid w:val="002C4082"/>
    <w:rsid w:val="002C40CD"/>
    <w:rsid w:val="002C4107"/>
    <w:rsid w:val="002C4112"/>
    <w:rsid w:val="002C411A"/>
    <w:rsid w:val="002C41A0"/>
    <w:rsid w:val="002C41F4"/>
    <w:rsid w:val="002C424B"/>
    <w:rsid w:val="002C4309"/>
    <w:rsid w:val="002C430A"/>
    <w:rsid w:val="002C4372"/>
    <w:rsid w:val="002C4373"/>
    <w:rsid w:val="002C4385"/>
    <w:rsid w:val="002C43AE"/>
    <w:rsid w:val="002C43E9"/>
    <w:rsid w:val="002C43EF"/>
    <w:rsid w:val="002C4446"/>
    <w:rsid w:val="002C4451"/>
    <w:rsid w:val="002C4492"/>
    <w:rsid w:val="002C4497"/>
    <w:rsid w:val="002C455B"/>
    <w:rsid w:val="002C4571"/>
    <w:rsid w:val="002C4664"/>
    <w:rsid w:val="002C4708"/>
    <w:rsid w:val="002C4739"/>
    <w:rsid w:val="002C47BC"/>
    <w:rsid w:val="002C47DB"/>
    <w:rsid w:val="002C47E1"/>
    <w:rsid w:val="002C47E4"/>
    <w:rsid w:val="002C4808"/>
    <w:rsid w:val="002C4817"/>
    <w:rsid w:val="002C4875"/>
    <w:rsid w:val="002C487A"/>
    <w:rsid w:val="002C488E"/>
    <w:rsid w:val="002C48C1"/>
    <w:rsid w:val="002C4954"/>
    <w:rsid w:val="002C4966"/>
    <w:rsid w:val="002C4992"/>
    <w:rsid w:val="002C49D2"/>
    <w:rsid w:val="002C4A56"/>
    <w:rsid w:val="002C4A96"/>
    <w:rsid w:val="002C4B40"/>
    <w:rsid w:val="002C4B84"/>
    <w:rsid w:val="002C4B9A"/>
    <w:rsid w:val="002C4BBE"/>
    <w:rsid w:val="002C4C46"/>
    <w:rsid w:val="002C4CBC"/>
    <w:rsid w:val="002C4CEE"/>
    <w:rsid w:val="002C4D48"/>
    <w:rsid w:val="002C4D50"/>
    <w:rsid w:val="002C4D61"/>
    <w:rsid w:val="002C4D7C"/>
    <w:rsid w:val="002C4DFA"/>
    <w:rsid w:val="002C4E0E"/>
    <w:rsid w:val="002C4EE2"/>
    <w:rsid w:val="002C4EE9"/>
    <w:rsid w:val="002C4FAE"/>
    <w:rsid w:val="002C505C"/>
    <w:rsid w:val="002C5099"/>
    <w:rsid w:val="002C50B7"/>
    <w:rsid w:val="002C50BD"/>
    <w:rsid w:val="002C50FD"/>
    <w:rsid w:val="002C5102"/>
    <w:rsid w:val="002C5104"/>
    <w:rsid w:val="002C5105"/>
    <w:rsid w:val="002C5117"/>
    <w:rsid w:val="002C512B"/>
    <w:rsid w:val="002C5153"/>
    <w:rsid w:val="002C51B7"/>
    <w:rsid w:val="002C51D7"/>
    <w:rsid w:val="002C51F2"/>
    <w:rsid w:val="002C520C"/>
    <w:rsid w:val="002C522A"/>
    <w:rsid w:val="002C5232"/>
    <w:rsid w:val="002C52B1"/>
    <w:rsid w:val="002C52CF"/>
    <w:rsid w:val="002C52E1"/>
    <w:rsid w:val="002C52FD"/>
    <w:rsid w:val="002C530B"/>
    <w:rsid w:val="002C5323"/>
    <w:rsid w:val="002C5333"/>
    <w:rsid w:val="002C5338"/>
    <w:rsid w:val="002C5347"/>
    <w:rsid w:val="002C534A"/>
    <w:rsid w:val="002C539F"/>
    <w:rsid w:val="002C5400"/>
    <w:rsid w:val="002C548F"/>
    <w:rsid w:val="002C54E2"/>
    <w:rsid w:val="002C5519"/>
    <w:rsid w:val="002C553B"/>
    <w:rsid w:val="002C55B5"/>
    <w:rsid w:val="002C566F"/>
    <w:rsid w:val="002C56ED"/>
    <w:rsid w:val="002C572B"/>
    <w:rsid w:val="002C5777"/>
    <w:rsid w:val="002C57F9"/>
    <w:rsid w:val="002C581C"/>
    <w:rsid w:val="002C58BC"/>
    <w:rsid w:val="002C58DD"/>
    <w:rsid w:val="002C5962"/>
    <w:rsid w:val="002C5966"/>
    <w:rsid w:val="002C599E"/>
    <w:rsid w:val="002C59A0"/>
    <w:rsid w:val="002C59C3"/>
    <w:rsid w:val="002C5A9E"/>
    <w:rsid w:val="002C5B30"/>
    <w:rsid w:val="002C5B45"/>
    <w:rsid w:val="002C5B60"/>
    <w:rsid w:val="002C5BEE"/>
    <w:rsid w:val="002C5C6B"/>
    <w:rsid w:val="002C5C7A"/>
    <w:rsid w:val="002C5CD0"/>
    <w:rsid w:val="002C5CE1"/>
    <w:rsid w:val="002C5D1D"/>
    <w:rsid w:val="002C5D25"/>
    <w:rsid w:val="002C5D91"/>
    <w:rsid w:val="002C5DC0"/>
    <w:rsid w:val="002C5E33"/>
    <w:rsid w:val="002C5E83"/>
    <w:rsid w:val="002C5E9A"/>
    <w:rsid w:val="002C5EEE"/>
    <w:rsid w:val="002C5EFF"/>
    <w:rsid w:val="002C5F43"/>
    <w:rsid w:val="002C5F69"/>
    <w:rsid w:val="002C5F95"/>
    <w:rsid w:val="002C5F99"/>
    <w:rsid w:val="002C5FA9"/>
    <w:rsid w:val="002C5FB7"/>
    <w:rsid w:val="002C6013"/>
    <w:rsid w:val="002C601C"/>
    <w:rsid w:val="002C6038"/>
    <w:rsid w:val="002C60A6"/>
    <w:rsid w:val="002C60ED"/>
    <w:rsid w:val="002C611D"/>
    <w:rsid w:val="002C6180"/>
    <w:rsid w:val="002C61FE"/>
    <w:rsid w:val="002C62CE"/>
    <w:rsid w:val="002C62ED"/>
    <w:rsid w:val="002C6305"/>
    <w:rsid w:val="002C6360"/>
    <w:rsid w:val="002C6362"/>
    <w:rsid w:val="002C6394"/>
    <w:rsid w:val="002C63A8"/>
    <w:rsid w:val="002C63F2"/>
    <w:rsid w:val="002C6451"/>
    <w:rsid w:val="002C646D"/>
    <w:rsid w:val="002C64FA"/>
    <w:rsid w:val="002C650F"/>
    <w:rsid w:val="002C6569"/>
    <w:rsid w:val="002C656F"/>
    <w:rsid w:val="002C65A8"/>
    <w:rsid w:val="002C65B9"/>
    <w:rsid w:val="002C6637"/>
    <w:rsid w:val="002C663E"/>
    <w:rsid w:val="002C6641"/>
    <w:rsid w:val="002C6651"/>
    <w:rsid w:val="002C665F"/>
    <w:rsid w:val="002C666A"/>
    <w:rsid w:val="002C6695"/>
    <w:rsid w:val="002C66AA"/>
    <w:rsid w:val="002C66D4"/>
    <w:rsid w:val="002C6720"/>
    <w:rsid w:val="002C672F"/>
    <w:rsid w:val="002C674E"/>
    <w:rsid w:val="002C675F"/>
    <w:rsid w:val="002C6771"/>
    <w:rsid w:val="002C67C9"/>
    <w:rsid w:val="002C6824"/>
    <w:rsid w:val="002C682E"/>
    <w:rsid w:val="002C687D"/>
    <w:rsid w:val="002C68F4"/>
    <w:rsid w:val="002C69E5"/>
    <w:rsid w:val="002C69FF"/>
    <w:rsid w:val="002C6A6F"/>
    <w:rsid w:val="002C6A74"/>
    <w:rsid w:val="002C6B1D"/>
    <w:rsid w:val="002C6B49"/>
    <w:rsid w:val="002C6B64"/>
    <w:rsid w:val="002C6B90"/>
    <w:rsid w:val="002C6B97"/>
    <w:rsid w:val="002C6CAC"/>
    <w:rsid w:val="002C6CB8"/>
    <w:rsid w:val="002C6DA0"/>
    <w:rsid w:val="002C6DAB"/>
    <w:rsid w:val="002C6DE6"/>
    <w:rsid w:val="002C6DEC"/>
    <w:rsid w:val="002C6DEE"/>
    <w:rsid w:val="002C6E10"/>
    <w:rsid w:val="002C6F00"/>
    <w:rsid w:val="002C6F15"/>
    <w:rsid w:val="002C6F9E"/>
    <w:rsid w:val="002C6FB0"/>
    <w:rsid w:val="002C6FCA"/>
    <w:rsid w:val="002C6FDD"/>
    <w:rsid w:val="002C6FEB"/>
    <w:rsid w:val="002C709A"/>
    <w:rsid w:val="002C70BE"/>
    <w:rsid w:val="002C712A"/>
    <w:rsid w:val="002C7160"/>
    <w:rsid w:val="002C7164"/>
    <w:rsid w:val="002C7200"/>
    <w:rsid w:val="002C7236"/>
    <w:rsid w:val="002C7255"/>
    <w:rsid w:val="002C72AA"/>
    <w:rsid w:val="002C72D7"/>
    <w:rsid w:val="002C72D8"/>
    <w:rsid w:val="002C72F1"/>
    <w:rsid w:val="002C7311"/>
    <w:rsid w:val="002C732B"/>
    <w:rsid w:val="002C7392"/>
    <w:rsid w:val="002C746B"/>
    <w:rsid w:val="002C7484"/>
    <w:rsid w:val="002C7499"/>
    <w:rsid w:val="002C74BE"/>
    <w:rsid w:val="002C74F1"/>
    <w:rsid w:val="002C7529"/>
    <w:rsid w:val="002C7534"/>
    <w:rsid w:val="002C753B"/>
    <w:rsid w:val="002C7542"/>
    <w:rsid w:val="002C754D"/>
    <w:rsid w:val="002C7570"/>
    <w:rsid w:val="002C75AC"/>
    <w:rsid w:val="002C75E3"/>
    <w:rsid w:val="002C75FC"/>
    <w:rsid w:val="002C761A"/>
    <w:rsid w:val="002C766F"/>
    <w:rsid w:val="002C7687"/>
    <w:rsid w:val="002C76E1"/>
    <w:rsid w:val="002C76F2"/>
    <w:rsid w:val="002C770E"/>
    <w:rsid w:val="002C772C"/>
    <w:rsid w:val="002C7748"/>
    <w:rsid w:val="002C776E"/>
    <w:rsid w:val="002C77B9"/>
    <w:rsid w:val="002C77CB"/>
    <w:rsid w:val="002C77E4"/>
    <w:rsid w:val="002C7819"/>
    <w:rsid w:val="002C786F"/>
    <w:rsid w:val="002C78B3"/>
    <w:rsid w:val="002C78FA"/>
    <w:rsid w:val="002C7942"/>
    <w:rsid w:val="002C794A"/>
    <w:rsid w:val="002C799F"/>
    <w:rsid w:val="002C79A1"/>
    <w:rsid w:val="002C79E5"/>
    <w:rsid w:val="002C79F2"/>
    <w:rsid w:val="002C7A6A"/>
    <w:rsid w:val="002C7A8C"/>
    <w:rsid w:val="002C7AA7"/>
    <w:rsid w:val="002C7AAE"/>
    <w:rsid w:val="002C7AD5"/>
    <w:rsid w:val="002C7B12"/>
    <w:rsid w:val="002C7B38"/>
    <w:rsid w:val="002C7B48"/>
    <w:rsid w:val="002C7BDA"/>
    <w:rsid w:val="002C7C12"/>
    <w:rsid w:val="002C7C48"/>
    <w:rsid w:val="002C7C66"/>
    <w:rsid w:val="002C7CFF"/>
    <w:rsid w:val="002C7D2D"/>
    <w:rsid w:val="002C7D44"/>
    <w:rsid w:val="002C7D49"/>
    <w:rsid w:val="002C7D60"/>
    <w:rsid w:val="002C7D63"/>
    <w:rsid w:val="002C7D70"/>
    <w:rsid w:val="002C7DB1"/>
    <w:rsid w:val="002C7DD8"/>
    <w:rsid w:val="002C7DFB"/>
    <w:rsid w:val="002C7F59"/>
    <w:rsid w:val="002C7F63"/>
    <w:rsid w:val="002C7F9E"/>
    <w:rsid w:val="002D0000"/>
    <w:rsid w:val="002D0023"/>
    <w:rsid w:val="002D0048"/>
    <w:rsid w:val="002D0051"/>
    <w:rsid w:val="002D0077"/>
    <w:rsid w:val="002D00F5"/>
    <w:rsid w:val="002D0106"/>
    <w:rsid w:val="002D0131"/>
    <w:rsid w:val="002D0132"/>
    <w:rsid w:val="002D0133"/>
    <w:rsid w:val="002D013E"/>
    <w:rsid w:val="002D01AC"/>
    <w:rsid w:val="002D01E6"/>
    <w:rsid w:val="002D01EE"/>
    <w:rsid w:val="002D025F"/>
    <w:rsid w:val="002D027D"/>
    <w:rsid w:val="002D02CA"/>
    <w:rsid w:val="002D02D8"/>
    <w:rsid w:val="002D02DC"/>
    <w:rsid w:val="002D031D"/>
    <w:rsid w:val="002D0343"/>
    <w:rsid w:val="002D036D"/>
    <w:rsid w:val="002D0371"/>
    <w:rsid w:val="002D0384"/>
    <w:rsid w:val="002D0394"/>
    <w:rsid w:val="002D0421"/>
    <w:rsid w:val="002D0431"/>
    <w:rsid w:val="002D048B"/>
    <w:rsid w:val="002D0496"/>
    <w:rsid w:val="002D0550"/>
    <w:rsid w:val="002D05EF"/>
    <w:rsid w:val="002D064E"/>
    <w:rsid w:val="002D064F"/>
    <w:rsid w:val="002D06D6"/>
    <w:rsid w:val="002D0713"/>
    <w:rsid w:val="002D0771"/>
    <w:rsid w:val="002D07C5"/>
    <w:rsid w:val="002D07E6"/>
    <w:rsid w:val="002D081D"/>
    <w:rsid w:val="002D0834"/>
    <w:rsid w:val="002D0876"/>
    <w:rsid w:val="002D08AA"/>
    <w:rsid w:val="002D08B0"/>
    <w:rsid w:val="002D08E4"/>
    <w:rsid w:val="002D08F3"/>
    <w:rsid w:val="002D095B"/>
    <w:rsid w:val="002D0969"/>
    <w:rsid w:val="002D098C"/>
    <w:rsid w:val="002D09B1"/>
    <w:rsid w:val="002D09BC"/>
    <w:rsid w:val="002D09D9"/>
    <w:rsid w:val="002D0A0B"/>
    <w:rsid w:val="002D0A47"/>
    <w:rsid w:val="002D0A4B"/>
    <w:rsid w:val="002D0AB4"/>
    <w:rsid w:val="002D0B46"/>
    <w:rsid w:val="002D0B51"/>
    <w:rsid w:val="002D0BA3"/>
    <w:rsid w:val="002D0BD1"/>
    <w:rsid w:val="002D0C17"/>
    <w:rsid w:val="002D0C29"/>
    <w:rsid w:val="002D0CA2"/>
    <w:rsid w:val="002D0D02"/>
    <w:rsid w:val="002D0DA5"/>
    <w:rsid w:val="002D0DAF"/>
    <w:rsid w:val="002D0DF3"/>
    <w:rsid w:val="002D0E45"/>
    <w:rsid w:val="002D0E59"/>
    <w:rsid w:val="002D0E5C"/>
    <w:rsid w:val="002D0EF2"/>
    <w:rsid w:val="002D0EFE"/>
    <w:rsid w:val="002D0F21"/>
    <w:rsid w:val="002D0F52"/>
    <w:rsid w:val="002D0F57"/>
    <w:rsid w:val="002D0F7D"/>
    <w:rsid w:val="002D0F91"/>
    <w:rsid w:val="002D1018"/>
    <w:rsid w:val="002D102D"/>
    <w:rsid w:val="002D1032"/>
    <w:rsid w:val="002D103B"/>
    <w:rsid w:val="002D103D"/>
    <w:rsid w:val="002D104B"/>
    <w:rsid w:val="002D106C"/>
    <w:rsid w:val="002D10BA"/>
    <w:rsid w:val="002D122B"/>
    <w:rsid w:val="002D122D"/>
    <w:rsid w:val="002D1239"/>
    <w:rsid w:val="002D12A9"/>
    <w:rsid w:val="002D12AF"/>
    <w:rsid w:val="002D12C6"/>
    <w:rsid w:val="002D12DA"/>
    <w:rsid w:val="002D1307"/>
    <w:rsid w:val="002D13AF"/>
    <w:rsid w:val="002D13F7"/>
    <w:rsid w:val="002D1439"/>
    <w:rsid w:val="002D149A"/>
    <w:rsid w:val="002D14A1"/>
    <w:rsid w:val="002D14AF"/>
    <w:rsid w:val="002D14CD"/>
    <w:rsid w:val="002D14FA"/>
    <w:rsid w:val="002D1531"/>
    <w:rsid w:val="002D15D7"/>
    <w:rsid w:val="002D15E3"/>
    <w:rsid w:val="002D15FE"/>
    <w:rsid w:val="002D168B"/>
    <w:rsid w:val="002D16A2"/>
    <w:rsid w:val="002D1710"/>
    <w:rsid w:val="002D17A6"/>
    <w:rsid w:val="002D17DC"/>
    <w:rsid w:val="002D17DD"/>
    <w:rsid w:val="002D17DF"/>
    <w:rsid w:val="002D1844"/>
    <w:rsid w:val="002D186F"/>
    <w:rsid w:val="002D18B8"/>
    <w:rsid w:val="002D18E4"/>
    <w:rsid w:val="002D18EE"/>
    <w:rsid w:val="002D18F3"/>
    <w:rsid w:val="002D1948"/>
    <w:rsid w:val="002D194E"/>
    <w:rsid w:val="002D1992"/>
    <w:rsid w:val="002D1A6E"/>
    <w:rsid w:val="002D1AFA"/>
    <w:rsid w:val="002D1B7F"/>
    <w:rsid w:val="002D1BB4"/>
    <w:rsid w:val="002D1C12"/>
    <w:rsid w:val="002D1C69"/>
    <w:rsid w:val="002D1C79"/>
    <w:rsid w:val="002D1C83"/>
    <w:rsid w:val="002D1C93"/>
    <w:rsid w:val="002D1CC8"/>
    <w:rsid w:val="002D1DAF"/>
    <w:rsid w:val="002D1DCE"/>
    <w:rsid w:val="002D1EB4"/>
    <w:rsid w:val="002D1F20"/>
    <w:rsid w:val="002D1F4C"/>
    <w:rsid w:val="002D1FB4"/>
    <w:rsid w:val="002D1FCB"/>
    <w:rsid w:val="002D1FDF"/>
    <w:rsid w:val="002D2040"/>
    <w:rsid w:val="002D205D"/>
    <w:rsid w:val="002D206F"/>
    <w:rsid w:val="002D20E9"/>
    <w:rsid w:val="002D2119"/>
    <w:rsid w:val="002D213F"/>
    <w:rsid w:val="002D215F"/>
    <w:rsid w:val="002D216A"/>
    <w:rsid w:val="002D2210"/>
    <w:rsid w:val="002D2287"/>
    <w:rsid w:val="002D22E8"/>
    <w:rsid w:val="002D22F2"/>
    <w:rsid w:val="002D231B"/>
    <w:rsid w:val="002D232E"/>
    <w:rsid w:val="002D239F"/>
    <w:rsid w:val="002D23B8"/>
    <w:rsid w:val="002D24F0"/>
    <w:rsid w:val="002D24F9"/>
    <w:rsid w:val="002D2526"/>
    <w:rsid w:val="002D256F"/>
    <w:rsid w:val="002D259D"/>
    <w:rsid w:val="002D25C7"/>
    <w:rsid w:val="002D25E7"/>
    <w:rsid w:val="002D2643"/>
    <w:rsid w:val="002D264C"/>
    <w:rsid w:val="002D26A7"/>
    <w:rsid w:val="002D26B1"/>
    <w:rsid w:val="002D287F"/>
    <w:rsid w:val="002D2898"/>
    <w:rsid w:val="002D2899"/>
    <w:rsid w:val="002D289D"/>
    <w:rsid w:val="002D28CA"/>
    <w:rsid w:val="002D2933"/>
    <w:rsid w:val="002D29AB"/>
    <w:rsid w:val="002D29C3"/>
    <w:rsid w:val="002D29CB"/>
    <w:rsid w:val="002D2A47"/>
    <w:rsid w:val="002D2A9D"/>
    <w:rsid w:val="002D2ADF"/>
    <w:rsid w:val="002D2B16"/>
    <w:rsid w:val="002D2B99"/>
    <w:rsid w:val="002D2BD0"/>
    <w:rsid w:val="002D2BF3"/>
    <w:rsid w:val="002D2C02"/>
    <w:rsid w:val="002D2C04"/>
    <w:rsid w:val="002D2C15"/>
    <w:rsid w:val="002D2CAD"/>
    <w:rsid w:val="002D2CB7"/>
    <w:rsid w:val="002D2CE3"/>
    <w:rsid w:val="002D2CF3"/>
    <w:rsid w:val="002D2D7B"/>
    <w:rsid w:val="002D2D87"/>
    <w:rsid w:val="002D2D9A"/>
    <w:rsid w:val="002D2DA8"/>
    <w:rsid w:val="002D2DC4"/>
    <w:rsid w:val="002D2DD9"/>
    <w:rsid w:val="002D2E2C"/>
    <w:rsid w:val="002D2E34"/>
    <w:rsid w:val="002D2E55"/>
    <w:rsid w:val="002D2E5D"/>
    <w:rsid w:val="002D2E8B"/>
    <w:rsid w:val="002D2E9B"/>
    <w:rsid w:val="002D2EA7"/>
    <w:rsid w:val="002D2EB4"/>
    <w:rsid w:val="002D2EBA"/>
    <w:rsid w:val="002D2EDF"/>
    <w:rsid w:val="002D2F03"/>
    <w:rsid w:val="002D2F8C"/>
    <w:rsid w:val="002D2FB5"/>
    <w:rsid w:val="002D2FEF"/>
    <w:rsid w:val="002D3053"/>
    <w:rsid w:val="002D3056"/>
    <w:rsid w:val="002D305C"/>
    <w:rsid w:val="002D3069"/>
    <w:rsid w:val="002D30FA"/>
    <w:rsid w:val="002D3117"/>
    <w:rsid w:val="002D312C"/>
    <w:rsid w:val="002D312D"/>
    <w:rsid w:val="002D318E"/>
    <w:rsid w:val="002D31D9"/>
    <w:rsid w:val="002D3230"/>
    <w:rsid w:val="002D3251"/>
    <w:rsid w:val="002D327C"/>
    <w:rsid w:val="002D3285"/>
    <w:rsid w:val="002D32B0"/>
    <w:rsid w:val="002D32B6"/>
    <w:rsid w:val="002D32BF"/>
    <w:rsid w:val="002D32C6"/>
    <w:rsid w:val="002D32E0"/>
    <w:rsid w:val="002D3325"/>
    <w:rsid w:val="002D3334"/>
    <w:rsid w:val="002D3354"/>
    <w:rsid w:val="002D3391"/>
    <w:rsid w:val="002D33DE"/>
    <w:rsid w:val="002D3423"/>
    <w:rsid w:val="002D344B"/>
    <w:rsid w:val="002D3490"/>
    <w:rsid w:val="002D34C5"/>
    <w:rsid w:val="002D34C9"/>
    <w:rsid w:val="002D34F4"/>
    <w:rsid w:val="002D3502"/>
    <w:rsid w:val="002D364D"/>
    <w:rsid w:val="002D369D"/>
    <w:rsid w:val="002D36BB"/>
    <w:rsid w:val="002D36F2"/>
    <w:rsid w:val="002D371D"/>
    <w:rsid w:val="002D37B0"/>
    <w:rsid w:val="002D37B6"/>
    <w:rsid w:val="002D37BE"/>
    <w:rsid w:val="002D37F6"/>
    <w:rsid w:val="002D3823"/>
    <w:rsid w:val="002D38AF"/>
    <w:rsid w:val="002D38B4"/>
    <w:rsid w:val="002D38B7"/>
    <w:rsid w:val="002D38CE"/>
    <w:rsid w:val="002D3913"/>
    <w:rsid w:val="002D3932"/>
    <w:rsid w:val="002D393D"/>
    <w:rsid w:val="002D3943"/>
    <w:rsid w:val="002D3978"/>
    <w:rsid w:val="002D39A5"/>
    <w:rsid w:val="002D3A48"/>
    <w:rsid w:val="002D3A8A"/>
    <w:rsid w:val="002D3A9E"/>
    <w:rsid w:val="002D3AD9"/>
    <w:rsid w:val="002D3B05"/>
    <w:rsid w:val="002D3B48"/>
    <w:rsid w:val="002D3B86"/>
    <w:rsid w:val="002D3B95"/>
    <w:rsid w:val="002D3BB6"/>
    <w:rsid w:val="002D3BDC"/>
    <w:rsid w:val="002D3BEB"/>
    <w:rsid w:val="002D3C25"/>
    <w:rsid w:val="002D3C34"/>
    <w:rsid w:val="002D3C3F"/>
    <w:rsid w:val="002D3C76"/>
    <w:rsid w:val="002D3C7B"/>
    <w:rsid w:val="002D3C88"/>
    <w:rsid w:val="002D3CA2"/>
    <w:rsid w:val="002D3CCD"/>
    <w:rsid w:val="002D3D34"/>
    <w:rsid w:val="002D3D4C"/>
    <w:rsid w:val="002D3D4F"/>
    <w:rsid w:val="002D3D89"/>
    <w:rsid w:val="002D3D8B"/>
    <w:rsid w:val="002D3DAD"/>
    <w:rsid w:val="002D3DBD"/>
    <w:rsid w:val="002D3DEF"/>
    <w:rsid w:val="002D3E04"/>
    <w:rsid w:val="002D3E49"/>
    <w:rsid w:val="002D3E8C"/>
    <w:rsid w:val="002D3E94"/>
    <w:rsid w:val="002D3EB4"/>
    <w:rsid w:val="002D3ED3"/>
    <w:rsid w:val="002D3EE9"/>
    <w:rsid w:val="002D3F00"/>
    <w:rsid w:val="002D3F24"/>
    <w:rsid w:val="002D3F3A"/>
    <w:rsid w:val="002D3F58"/>
    <w:rsid w:val="002D3F76"/>
    <w:rsid w:val="002D4003"/>
    <w:rsid w:val="002D4059"/>
    <w:rsid w:val="002D4076"/>
    <w:rsid w:val="002D40CC"/>
    <w:rsid w:val="002D418A"/>
    <w:rsid w:val="002D41B6"/>
    <w:rsid w:val="002D426A"/>
    <w:rsid w:val="002D4273"/>
    <w:rsid w:val="002D427B"/>
    <w:rsid w:val="002D427E"/>
    <w:rsid w:val="002D429F"/>
    <w:rsid w:val="002D42B9"/>
    <w:rsid w:val="002D42FA"/>
    <w:rsid w:val="002D434D"/>
    <w:rsid w:val="002D43CB"/>
    <w:rsid w:val="002D4487"/>
    <w:rsid w:val="002D44AB"/>
    <w:rsid w:val="002D4565"/>
    <w:rsid w:val="002D45E4"/>
    <w:rsid w:val="002D4635"/>
    <w:rsid w:val="002D46E4"/>
    <w:rsid w:val="002D47D2"/>
    <w:rsid w:val="002D47D6"/>
    <w:rsid w:val="002D47E0"/>
    <w:rsid w:val="002D480A"/>
    <w:rsid w:val="002D4827"/>
    <w:rsid w:val="002D487A"/>
    <w:rsid w:val="002D48B5"/>
    <w:rsid w:val="002D490F"/>
    <w:rsid w:val="002D496C"/>
    <w:rsid w:val="002D4992"/>
    <w:rsid w:val="002D4996"/>
    <w:rsid w:val="002D49C2"/>
    <w:rsid w:val="002D49E7"/>
    <w:rsid w:val="002D4A00"/>
    <w:rsid w:val="002D4A22"/>
    <w:rsid w:val="002D4A9D"/>
    <w:rsid w:val="002D4B20"/>
    <w:rsid w:val="002D4B2F"/>
    <w:rsid w:val="002D4B34"/>
    <w:rsid w:val="002D4B6D"/>
    <w:rsid w:val="002D4B77"/>
    <w:rsid w:val="002D4BA1"/>
    <w:rsid w:val="002D4BBB"/>
    <w:rsid w:val="002D4BDA"/>
    <w:rsid w:val="002D4C39"/>
    <w:rsid w:val="002D4C7B"/>
    <w:rsid w:val="002D4C9B"/>
    <w:rsid w:val="002D4D00"/>
    <w:rsid w:val="002D4D12"/>
    <w:rsid w:val="002D4D16"/>
    <w:rsid w:val="002D4D2B"/>
    <w:rsid w:val="002D4D42"/>
    <w:rsid w:val="002D4D70"/>
    <w:rsid w:val="002D4D7A"/>
    <w:rsid w:val="002D4D8B"/>
    <w:rsid w:val="002D4D9E"/>
    <w:rsid w:val="002D4E7A"/>
    <w:rsid w:val="002D4E81"/>
    <w:rsid w:val="002D4EA8"/>
    <w:rsid w:val="002D4EAE"/>
    <w:rsid w:val="002D4EC4"/>
    <w:rsid w:val="002D4FA2"/>
    <w:rsid w:val="002D5024"/>
    <w:rsid w:val="002D503C"/>
    <w:rsid w:val="002D506A"/>
    <w:rsid w:val="002D516D"/>
    <w:rsid w:val="002D519A"/>
    <w:rsid w:val="002D51A4"/>
    <w:rsid w:val="002D5207"/>
    <w:rsid w:val="002D5209"/>
    <w:rsid w:val="002D52CC"/>
    <w:rsid w:val="002D5311"/>
    <w:rsid w:val="002D531E"/>
    <w:rsid w:val="002D535C"/>
    <w:rsid w:val="002D5390"/>
    <w:rsid w:val="002D5394"/>
    <w:rsid w:val="002D53D8"/>
    <w:rsid w:val="002D5405"/>
    <w:rsid w:val="002D5448"/>
    <w:rsid w:val="002D54A0"/>
    <w:rsid w:val="002D5510"/>
    <w:rsid w:val="002D5517"/>
    <w:rsid w:val="002D553F"/>
    <w:rsid w:val="002D55C3"/>
    <w:rsid w:val="002D562F"/>
    <w:rsid w:val="002D5662"/>
    <w:rsid w:val="002D5667"/>
    <w:rsid w:val="002D569F"/>
    <w:rsid w:val="002D56DF"/>
    <w:rsid w:val="002D56F0"/>
    <w:rsid w:val="002D56F9"/>
    <w:rsid w:val="002D5725"/>
    <w:rsid w:val="002D572A"/>
    <w:rsid w:val="002D572B"/>
    <w:rsid w:val="002D573B"/>
    <w:rsid w:val="002D5762"/>
    <w:rsid w:val="002D5764"/>
    <w:rsid w:val="002D5769"/>
    <w:rsid w:val="002D578B"/>
    <w:rsid w:val="002D5803"/>
    <w:rsid w:val="002D5831"/>
    <w:rsid w:val="002D5834"/>
    <w:rsid w:val="002D584C"/>
    <w:rsid w:val="002D58A2"/>
    <w:rsid w:val="002D58FF"/>
    <w:rsid w:val="002D591C"/>
    <w:rsid w:val="002D599C"/>
    <w:rsid w:val="002D59FC"/>
    <w:rsid w:val="002D5A53"/>
    <w:rsid w:val="002D5A70"/>
    <w:rsid w:val="002D5A87"/>
    <w:rsid w:val="002D5A92"/>
    <w:rsid w:val="002D5AE9"/>
    <w:rsid w:val="002D5B35"/>
    <w:rsid w:val="002D5BF9"/>
    <w:rsid w:val="002D5BFF"/>
    <w:rsid w:val="002D5C42"/>
    <w:rsid w:val="002D5C98"/>
    <w:rsid w:val="002D5C99"/>
    <w:rsid w:val="002D5D3F"/>
    <w:rsid w:val="002D5DC3"/>
    <w:rsid w:val="002D5E49"/>
    <w:rsid w:val="002D5EB1"/>
    <w:rsid w:val="002D5EC9"/>
    <w:rsid w:val="002D5EE7"/>
    <w:rsid w:val="002D5F0F"/>
    <w:rsid w:val="002D5F21"/>
    <w:rsid w:val="002D5F5B"/>
    <w:rsid w:val="002D5F63"/>
    <w:rsid w:val="002D5F64"/>
    <w:rsid w:val="002D5FC6"/>
    <w:rsid w:val="002D60CF"/>
    <w:rsid w:val="002D6113"/>
    <w:rsid w:val="002D6129"/>
    <w:rsid w:val="002D617F"/>
    <w:rsid w:val="002D61CB"/>
    <w:rsid w:val="002D620B"/>
    <w:rsid w:val="002D6221"/>
    <w:rsid w:val="002D6268"/>
    <w:rsid w:val="002D6276"/>
    <w:rsid w:val="002D62D9"/>
    <w:rsid w:val="002D635D"/>
    <w:rsid w:val="002D63A8"/>
    <w:rsid w:val="002D63B6"/>
    <w:rsid w:val="002D6408"/>
    <w:rsid w:val="002D646A"/>
    <w:rsid w:val="002D6473"/>
    <w:rsid w:val="002D648D"/>
    <w:rsid w:val="002D64B2"/>
    <w:rsid w:val="002D64C8"/>
    <w:rsid w:val="002D64CA"/>
    <w:rsid w:val="002D64D6"/>
    <w:rsid w:val="002D6513"/>
    <w:rsid w:val="002D6551"/>
    <w:rsid w:val="002D6574"/>
    <w:rsid w:val="002D6644"/>
    <w:rsid w:val="002D664A"/>
    <w:rsid w:val="002D6682"/>
    <w:rsid w:val="002D671A"/>
    <w:rsid w:val="002D6779"/>
    <w:rsid w:val="002D67C8"/>
    <w:rsid w:val="002D67E8"/>
    <w:rsid w:val="002D67F1"/>
    <w:rsid w:val="002D6805"/>
    <w:rsid w:val="002D6807"/>
    <w:rsid w:val="002D681C"/>
    <w:rsid w:val="002D6895"/>
    <w:rsid w:val="002D68B1"/>
    <w:rsid w:val="002D68C8"/>
    <w:rsid w:val="002D68FB"/>
    <w:rsid w:val="002D690B"/>
    <w:rsid w:val="002D6983"/>
    <w:rsid w:val="002D69AF"/>
    <w:rsid w:val="002D69D7"/>
    <w:rsid w:val="002D6A53"/>
    <w:rsid w:val="002D6A56"/>
    <w:rsid w:val="002D6A57"/>
    <w:rsid w:val="002D6B7C"/>
    <w:rsid w:val="002D6BE5"/>
    <w:rsid w:val="002D6C1F"/>
    <w:rsid w:val="002D6C31"/>
    <w:rsid w:val="002D6C5D"/>
    <w:rsid w:val="002D6C97"/>
    <w:rsid w:val="002D6CAA"/>
    <w:rsid w:val="002D6D82"/>
    <w:rsid w:val="002D6DBF"/>
    <w:rsid w:val="002D6DD3"/>
    <w:rsid w:val="002D6E2F"/>
    <w:rsid w:val="002D6E8D"/>
    <w:rsid w:val="002D6EDE"/>
    <w:rsid w:val="002D6EEE"/>
    <w:rsid w:val="002D6F60"/>
    <w:rsid w:val="002D6F81"/>
    <w:rsid w:val="002D6FC3"/>
    <w:rsid w:val="002D7074"/>
    <w:rsid w:val="002D7095"/>
    <w:rsid w:val="002D70A5"/>
    <w:rsid w:val="002D70E8"/>
    <w:rsid w:val="002D7141"/>
    <w:rsid w:val="002D71F1"/>
    <w:rsid w:val="002D71FE"/>
    <w:rsid w:val="002D73AA"/>
    <w:rsid w:val="002D73D4"/>
    <w:rsid w:val="002D73D7"/>
    <w:rsid w:val="002D73F9"/>
    <w:rsid w:val="002D7469"/>
    <w:rsid w:val="002D748A"/>
    <w:rsid w:val="002D7492"/>
    <w:rsid w:val="002D74B2"/>
    <w:rsid w:val="002D7517"/>
    <w:rsid w:val="002D752C"/>
    <w:rsid w:val="002D7589"/>
    <w:rsid w:val="002D758B"/>
    <w:rsid w:val="002D75B5"/>
    <w:rsid w:val="002D75C2"/>
    <w:rsid w:val="002D7609"/>
    <w:rsid w:val="002D761D"/>
    <w:rsid w:val="002D762C"/>
    <w:rsid w:val="002D7682"/>
    <w:rsid w:val="002D76DB"/>
    <w:rsid w:val="002D7744"/>
    <w:rsid w:val="002D7746"/>
    <w:rsid w:val="002D775D"/>
    <w:rsid w:val="002D77AB"/>
    <w:rsid w:val="002D77C5"/>
    <w:rsid w:val="002D78C1"/>
    <w:rsid w:val="002D790C"/>
    <w:rsid w:val="002D7949"/>
    <w:rsid w:val="002D795F"/>
    <w:rsid w:val="002D7987"/>
    <w:rsid w:val="002D79D4"/>
    <w:rsid w:val="002D79DE"/>
    <w:rsid w:val="002D79E0"/>
    <w:rsid w:val="002D79E2"/>
    <w:rsid w:val="002D79F8"/>
    <w:rsid w:val="002D7A1F"/>
    <w:rsid w:val="002D7A2E"/>
    <w:rsid w:val="002D7AB9"/>
    <w:rsid w:val="002D7AC6"/>
    <w:rsid w:val="002D7ACA"/>
    <w:rsid w:val="002D7B52"/>
    <w:rsid w:val="002D7B64"/>
    <w:rsid w:val="002D7B6D"/>
    <w:rsid w:val="002D7C07"/>
    <w:rsid w:val="002D7C12"/>
    <w:rsid w:val="002D7C40"/>
    <w:rsid w:val="002D7C6C"/>
    <w:rsid w:val="002D7CB3"/>
    <w:rsid w:val="002D7CEF"/>
    <w:rsid w:val="002D7CF0"/>
    <w:rsid w:val="002D7CF1"/>
    <w:rsid w:val="002D7DD0"/>
    <w:rsid w:val="002D7DE6"/>
    <w:rsid w:val="002D7E4D"/>
    <w:rsid w:val="002D7E8B"/>
    <w:rsid w:val="002D7EC8"/>
    <w:rsid w:val="002D7ED7"/>
    <w:rsid w:val="002D7EE9"/>
    <w:rsid w:val="002D7EFA"/>
    <w:rsid w:val="002D7F1C"/>
    <w:rsid w:val="002D7F40"/>
    <w:rsid w:val="002D7F7B"/>
    <w:rsid w:val="002D7FBE"/>
    <w:rsid w:val="002D7FF5"/>
    <w:rsid w:val="002E003F"/>
    <w:rsid w:val="002E0057"/>
    <w:rsid w:val="002E0071"/>
    <w:rsid w:val="002E008D"/>
    <w:rsid w:val="002E00F8"/>
    <w:rsid w:val="002E0114"/>
    <w:rsid w:val="002E017F"/>
    <w:rsid w:val="002E01A1"/>
    <w:rsid w:val="002E01A7"/>
    <w:rsid w:val="002E01D3"/>
    <w:rsid w:val="002E01E6"/>
    <w:rsid w:val="002E020A"/>
    <w:rsid w:val="002E024F"/>
    <w:rsid w:val="002E028C"/>
    <w:rsid w:val="002E02A7"/>
    <w:rsid w:val="002E030C"/>
    <w:rsid w:val="002E031B"/>
    <w:rsid w:val="002E031E"/>
    <w:rsid w:val="002E0326"/>
    <w:rsid w:val="002E032B"/>
    <w:rsid w:val="002E035E"/>
    <w:rsid w:val="002E0373"/>
    <w:rsid w:val="002E03A6"/>
    <w:rsid w:val="002E03BD"/>
    <w:rsid w:val="002E03CE"/>
    <w:rsid w:val="002E03DD"/>
    <w:rsid w:val="002E03F2"/>
    <w:rsid w:val="002E047C"/>
    <w:rsid w:val="002E04A3"/>
    <w:rsid w:val="002E04B9"/>
    <w:rsid w:val="002E04DD"/>
    <w:rsid w:val="002E04F9"/>
    <w:rsid w:val="002E0520"/>
    <w:rsid w:val="002E0521"/>
    <w:rsid w:val="002E0538"/>
    <w:rsid w:val="002E05A1"/>
    <w:rsid w:val="002E05A7"/>
    <w:rsid w:val="002E0656"/>
    <w:rsid w:val="002E0662"/>
    <w:rsid w:val="002E0677"/>
    <w:rsid w:val="002E0680"/>
    <w:rsid w:val="002E06B0"/>
    <w:rsid w:val="002E06BA"/>
    <w:rsid w:val="002E06C9"/>
    <w:rsid w:val="002E06DF"/>
    <w:rsid w:val="002E06E9"/>
    <w:rsid w:val="002E06EB"/>
    <w:rsid w:val="002E074A"/>
    <w:rsid w:val="002E078F"/>
    <w:rsid w:val="002E07EF"/>
    <w:rsid w:val="002E07FE"/>
    <w:rsid w:val="002E0854"/>
    <w:rsid w:val="002E087D"/>
    <w:rsid w:val="002E088C"/>
    <w:rsid w:val="002E08CA"/>
    <w:rsid w:val="002E08E7"/>
    <w:rsid w:val="002E0916"/>
    <w:rsid w:val="002E091D"/>
    <w:rsid w:val="002E0953"/>
    <w:rsid w:val="002E0987"/>
    <w:rsid w:val="002E0A02"/>
    <w:rsid w:val="002E0A0C"/>
    <w:rsid w:val="002E0A7B"/>
    <w:rsid w:val="002E0A80"/>
    <w:rsid w:val="002E0A97"/>
    <w:rsid w:val="002E0B40"/>
    <w:rsid w:val="002E0B48"/>
    <w:rsid w:val="002E0B65"/>
    <w:rsid w:val="002E0BAF"/>
    <w:rsid w:val="002E0BC0"/>
    <w:rsid w:val="002E0BDE"/>
    <w:rsid w:val="002E0C0B"/>
    <w:rsid w:val="002E0C2D"/>
    <w:rsid w:val="002E0C81"/>
    <w:rsid w:val="002E0C91"/>
    <w:rsid w:val="002E0D86"/>
    <w:rsid w:val="002E0DBB"/>
    <w:rsid w:val="002E0E4D"/>
    <w:rsid w:val="002E0EB2"/>
    <w:rsid w:val="002E0EB8"/>
    <w:rsid w:val="002E0F36"/>
    <w:rsid w:val="002E0FA7"/>
    <w:rsid w:val="002E0FE1"/>
    <w:rsid w:val="002E100F"/>
    <w:rsid w:val="002E104A"/>
    <w:rsid w:val="002E1062"/>
    <w:rsid w:val="002E1071"/>
    <w:rsid w:val="002E1077"/>
    <w:rsid w:val="002E108A"/>
    <w:rsid w:val="002E112D"/>
    <w:rsid w:val="002E113F"/>
    <w:rsid w:val="002E115B"/>
    <w:rsid w:val="002E117F"/>
    <w:rsid w:val="002E11A1"/>
    <w:rsid w:val="002E11BC"/>
    <w:rsid w:val="002E1208"/>
    <w:rsid w:val="002E1260"/>
    <w:rsid w:val="002E126B"/>
    <w:rsid w:val="002E1292"/>
    <w:rsid w:val="002E1347"/>
    <w:rsid w:val="002E1353"/>
    <w:rsid w:val="002E138E"/>
    <w:rsid w:val="002E13B6"/>
    <w:rsid w:val="002E13BF"/>
    <w:rsid w:val="002E13C9"/>
    <w:rsid w:val="002E1462"/>
    <w:rsid w:val="002E148B"/>
    <w:rsid w:val="002E1498"/>
    <w:rsid w:val="002E14A2"/>
    <w:rsid w:val="002E14A3"/>
    <w:rsid w:val="002E14C6"/>
    <w:rsid w:val="002E14CF"/>
    <w:rsid w:val="002E1578"/>
    <w:rsid w:val="002E1616"/>
    <w:rsid w:val="002E161F"/>
    <w:rsid w:val="002E1732"/>
    <w:rsid w:val="002E1785"/>
    <w:rsid w:val="002E17A7"/>
    <w:rsid w:val="002E17CD"/>
    <w:rsid w:val="002E17E0"/>
    <w:rsid w:val="002E17EC"/>
    <w:rsid w:val="002E17EE"/>
    <w:rsid w:val="002E1830"/>
    <w:rsid w:val="002E1878"/>
    <w:rsid w:val="002E18C1"/>
    <w:rsid w:val="002E18FD"/>
    <w:rsid w:val="002E1948"/>
    <w:rsid w:val="002E1958"/>
    <w:rsid w:val="002E1972"/>
    <w:rsid w:val="002E19E6"/>
    <w:rsid w:val="002E1A43"/>
    <w:rsid w:val="002E1A49"/>
    <w:rsid w:val="002E1A70"/>
    <w:rsid w:val="002E1A73"/>
    <w:rsid w:val="002E1AAB"/>
    <w:rsid w:val="002E1B9A"/>
    <w:rsid w:val="002E1C5D"/>
    <w:rsid w:val="002E1D8A"/>
    <w:rsid w:val="002E1D8C"/>
    <w:rsid w:val="002E1DD9"/>
    <w:rsid w:val="002E1EC1"/>
    <w:rsid w:val="002E1EEA"/>
    <w:rsid w:val="002E1F02"/>
    <w:rsid w:val="002E1F43"/>
    <w:rsid w:val="002E200A"/>
    <w:rsid w:val="002E2086"/>
    <w:rsid w:val="002E2108"/>
    <w:rsid w:val="002E210B"/>
    <w:rsid w:val="002E212D"/>
    <w:rsid w:val="002E2134"/>
    <w:rsid w:val="002E2176"/>
    <w:rsid w:val="002E2198"/>
    <w:rsid w:val="002E21BB"/>
    <w:rsid w:val="002E21BC"/>
    <w:rsid w:val="002E21C6"/>
    <w:rsid w:val="002E2298"/>
    <w:rsid w:val="002E229E"/>
    <w:rsid w:val="002E22E3"/>
    <w:rsid w:val="002E22F3"/>
    <w:rsid w:val="002E2370"/>
    <w:rsid w:val="002E238C"/>
    <w:rsid w:val="002E2434"/>
    <w:rsid w:val="002E247C"/>
    <w:rsid w:val="002E2492"/>
    <w:rsid w:val="002E2499"/>
    <w:rsid w:val="002E2513"/>
    <w:rsid w:val="002E2517"/>
    <w:rsid w:val="002E2526"/>
    <w:rsid w:val="002E2532"/>
    <w:rsid w:val="002E25A7"/>
    <w:rsid w:val="002E25F9"/>
    <w:rsid w:val="002E2612"/>
    <w:rsid w:val="002E2616"/>
    <w:rsid w:val="002E266B"/>
    <w:rsid w:val="002E2676"/>
    <w:rsid w:val="002E267F"/>
    <w:rsid w:val="002E2680"/>
    <w:rsid w:val="002E26C7"/>
    <w:rsid w:val="002E26F2"/>
    <w:rsid w:val="002E2713"/>
    <w:rsid w:val="002E2731"/>
    <w:rsid w:val="002E275E"/>
    <w:rsid w:val="002E27C4"/>
    <w:rsid w:val="002E2829"/>
    <w:rsid w:val="002E284B"/>
    <w:rsid w:val="002E284C"/>
    <w:rsid w:val="002E286D"/>
    <w:rsid w:val="002E288F"/>
    <w:rsid w:val="002E28AC"/>
    <w:rsid w:val="002E28B6"/>
    <w:rsid w:val="002E293A"/>
    <w:rsid w:val="002E29B7"/>
    <w:rsid w:val="002E2A1C"/>
    <w:rsid w:val="002E2A1F"/>
    <w:rsid w:val="002E2A32"/>
    <w:rsid w:val="002E2A81"/>
    <w:rsid w:val="002E2A90"/>
    <w:rsid w:val="002E2AEF"/>
    <w:rsid w:val="002E2AF5"/>
    <w:rsid w:val="002E2B10"/>
    <w:rsid w:val="002E2B26"/>
    <w:rsid w:val="002E2B2E"/>
    <w:rsid w:val="002E2B40"/>
    <w:rsid w:val="002E2B78"/>
    <w:rsid w:val="002E2B90"/>
    <w:rsid w:val="002E2BC6"/>
    <w:rsid w:val="002E2BEC"/>
    <w:rsid w:val="002E2C50"/>
    <w:rsid w:val="002E2C57"/>
    <w:rsid w:val="002E2CCC"/>
    <w:rsid w:val="002E2CD7"/>
    <w:rsid w:val="002E2D06"/>
    <w:rsid w:val="002E2D0A"/>
    <w:rsid w:val="002E2D4E"/>
    <w:rsid w:val="002E2DAF"/>
    <w:rsid w:val="002E2E09"/>
    <w:rsid w:val="002E2E39"/>
    <w:rsid w:val="002E2E45"/>
    <w:rsid w:val="002E2E58"/>
    <w:rsid w:val="002E2F0D"/>
    <w:rsid w:val="002E2F1C"/>
    <w:rsid w:val="002E2F29"/>
    <w:rsid w:val="002E2F58"/>
    <w:rsid w:val="002E2F59"/>
    <w:rsid w:val="002E2F65"/>
    <w:rsid w:val="002E2FC1"/>
    <w:rsid w:val="002E2FDC"/>
    <w:rsid w:val="002E3047"/>
    <w:rsid w:val="002E3065"/>
    <w:rsid w:val="002E30D2"/>
    <w:rsid w:val="002E30ED"/>
    <w:rsid w:val="002E312C"/>
    <w:rsid w:val="002E31BD"/>
    <w:rsid w:val="002E3206"/>
    <w:rsid w:val="002E3213"/>
    <w:rsid w:val="002E3220"/>
    <w:rsid w:val="002E32C8"/>
    <w:rsid w:val="002E32DA"/>
    <w:rsid w:val="002E338A"/>
    <w:rsid w:val="002E33B4"/>
    <w:rsid w:val="002E33EF"/>
    <w:rsid w:val="002E344D"/>
    <w:rsid w:val="002E346F"/>
    <w:rsid w:val="002E348A"/>
    <w:rsid w:val="002E34C2"/>
    <w:rsid w:val="002E34FD"/>
    <w:rsid w:val="002E3520"/>
    <w:rsid w:val="002E3546"/>
    <w:rsid w:val="002E3548"/>
    <w:rsid w:val="002E3552"/>
    <w:rsid w:val="002E3573"/>
    <w:rsid w:val="002E357C"/>
    <w:rsid w:val="002E359D"/>
    <w:rsid w:val="002E35F7"/>
    <w:rsid w:val="002E3699"/>
    <w:rsid w:val="002E3720"/>
    <w:rsid w:val="002E372E"/>
    <w:rsid w:val="002E3784"/>
    <w:rsid w:val="002E37D6"/>
    <w:rsid w:val="002E37FA"/>
    <w:rsid w:val="002E384B"/>
    <w:rsid w:val="002E3870"/>
    <w:rsid w:val="002E3899"/>
    <w:rsid w:val="002E38A0"/>
    <w:rsid w:val="002E3907"/>
    <w:rsid w:val="002E3946"/>
    <w:rsid w:val="002E3968"/>
    <w:rsid w:val="002E399A"/>
    <w:rsid w:val="002E39E6"/>
    <w:rsid w:val="002E3A14"/>
    <w:rsid w:val="002E3A44"/>
    <w:rsid w:val="002E3A5D"/>
    <w:rsid w:val="002E3AA6"/>
    <w:rsid w:val="002E3B62"/>
    <w:rsid w:val="002E3B90"/>
    <w:rsid w:val="002E3BC9"/>
    <w:rsid w:val="002E3BF0"/>
    <w:rsid w:val="002E3BF9"/>
    <w:rsid w:val="002E3C5E"/>
    <w:rsid w:val="002E3C89"/>
    <w:rsid w:val="002E3C9B"/>
    <w:rsid w:val="002E3CC0"/>
    <w:rsid w:val="002E3D61"/>
    <w:rsid w:val="002E3DAA"/>
    <w:rsid w:val="002E3DAD"/>
    <w:rsid w:val="002E3DBC"/>
    <w:rsid w:val="002E3DE6"/>
    <w:rsid w:val="002E3E0E"/>
    <w:rsid w:val="002E3E5F"/>
    <w:rsid w:val="002E3E88"/>
    <w:rsid w:val="002E3EC0"/>
    <w:rsid w:val="002E3ED3"/>
    <w:rsid w:val="002E3EEB"/>
    <w:rsid w:val="002E3F2C"/>
    <w:rsid w:val="002E3F57"/>
    <w:rsid w:val="002E3FA8"/>
    <w:rsid w:val="002E3FAA"/>
    <w:rsid w:val="002E3FF2"/>
    <w:rsid w:val="002E4018"/>
    <w:rsid w:val="002E404C"/>
    <w:rsid w:val="002E404F"/>
    <w:rsid w:val="002E4050"/>
    <w:rsid w:val="002E4063"/>
    <w:rsid w:val="002E40D0"/>
    <w:rsid w:val="002E410F"/>
    <w:rsid w:val="002E416A"/>
    <w:rsid w:val="002E4173"/>
    <w:rsid w:val="002E4189"/>
    <w:rsid w:val="002E41A0"/>
    <w:rsid w:val="002E420A"/>
    <w:rsid w:val="002E423A"/>
    <w:rsid w:val="002E42B9"/>
    <w:rsid w:val="002E4345"/>
    <w:rsid w:val="002E4369"/>
    <w:rsid w:val="002E43D3"/>
    <w:rsid w:val="002E4429"/>
    <w:rsid w:val="002E4463"/>
    <w:rsid w:val="002E4489"/>
    <w:rsid w:val="002E4496"/>
    <w:rsid w:val="002E449A"/>
    <w:rsid w:val="002E44F3"/>
    <w:rsid w:val="002E4505"/>
    <w:rsid w:val="002E4537"/>
    <w:rsid w:val="002E454E"/>
    <w:rsid w:val="002E4559"/>
    <w:rsid w:val="002E4635"/>
    <w:rsid w:val="002E4654"/>
    <w:rsid w:val="002E465F"/>
    <w:rsid w:val="002E4668"/>
    <w:rsid w:val="002E466A"/>
    <w:rsid w:val="002E4684"/>
    <w:rsid w:val="002E4730"/>
    <w:rsid w:val="002E476E"/>
    <w:rsid w:val="002E4788"/>
    <w:rsid w:val="002E4821"/>
    <w:rsid w:val="002E4845"/>
    <w:rsid w:val="002E4896"/>
    <w:rsid w:val="002E48CD"/>
    <w:rsid w:val="002E4915"/>
    <w:rsid w:val="002E4923"/>
    <w:rsid w:val="002E49A4"/>
    <w:rsid w:val="002E49B4"/>
    <w:rsid w:val="002E49CF"/>
    <w:rsid w:val="002E49D8"/>
    <w:rsid w:val="002E49F8"/>
    <w:rsid w:val="002E4AB7"/>
    <w:rsid w:val="002E4B71"/>
    <w:rsid w:val="002E4BD8"/>
    <w:rsid w:val="002E4C7C"/>
    <w:rsid w:val="002E4CAA"/>
    <w:rsid w:val="002E4CC2"/>
    <w:rsid w:val="002E4CE9"/>
    <w:rsid w:val="002E4D04"/>
    <w:rsid w:val="002E4D24"/>
    <w:rsid w:val="002E4D2F"/>
    <w:rsid w:val="002E4D4F"/>
    <w:rsid w:val="002E4DA4"/>
    <w:rsid w:val="002E4DB2"/>
    <w:rsid w:val="002E4DB8"/>
    <w:rsid w:val="002E4DC0"/>
    <w:rsid w:val="002E4DCF"/>
    <w:rsid w:val="002E4E02"/>
    <w:rsid w:val="002E4E08"/>
    <w:rsid w:val="002E4EB4"/>
    <w:rsid w:val="002E4F3D"/>
    <w:rsid w:val="002E4F52"/>
    <w:rsid w:val="002E4FB5"/>
    <w:rsid w:val="002E4FE8"/>
    <w:rsid w:val="002E4FF2"/>
    <w:rsid w:val="002E5080"/>
    <w:rsid w:val="002E50A5"/>
    <w:rsid w:val="002E50BA"/>
    <w:rsid w:val="002E50DA"/>
    <w:rsid w:val="002E50E7"/>
    <w:rsid w:val="002E50EF"/>
    <w:rsid w:val="002E5120"/>
    <w:rsid w:val="002E512D"/>
    <w:rsid w:val="002E513E"/>
    <w:rsid w:val="002E5163"/>
    <w:rsid w:val="002E519F"/>
    <w:rsid w:val="002E51CB"/>
    <w:rsid w:val="002E51F0"/>
    <w:rsid w:val="002E5236"/>
    <w:rsid w:val="002E524F"/>
    <w:rsid w:val="002E52AD"/>
    <w:rsid w:val="002E52AF"/>
    <w:rsid w:val="002E52B2"/>
    <w:rsid w:val="002E5317"/>
    <w:rsid w:val="002E5319"/>
    <w:rsid w:val="002E5337"/>
    <w:rsid w:val="002E533D"/>
    <w:rsid w:val="002E5391"/>
    <w:rsid w:val="002E53BB"/>
    <w:rsid w:val="002E53EE"/>
    <w:rsid w:val="002E54A1"/>
    <w:rsid w:val="002E54A3"/>
    <w:rsid w:val="002E54E4"/>
    <w:rsid w:val="002E54E5"/>
    <w:rsid w:val="002E550D"/>
    <w:rsid w:val="002E5521"/>
    <w:rsid w:val="002E5557"/>
    <w:rsid w:val="002E5594"/>
    <w:rsid w:val="002E55B9"/>
    <w:rsid w:val="002E5639"/>
    <w:rsid w:val="002E5659"/>
    <w:rsid w:val="002E565A"/>
    <w:rsid w:val="002E5673"/>
    <w:rsid w:val="002E5679"/>
    <w:rsid w:val="002E5708"/>
    <w:rsid w:val="002E572D"/>
    <w:rsid w:val="002E5738"/>
    <w:rsid w:val="002E5742"/>
    <w:rsid w:val="002E57A4"/>
    <w:rsid w:val="002E57B1"/>
    <w:rsid w:val="002E57E5"/>
    <w:rsid w:val="002E5824"/>
    <w:rsid w:val="002E5834"/>
    <w:rsid w:val="002E583E"/>
    <w:rsid w:val="002E583F"/>
    <w:rsid w:val="002E585A"/>
    <w:rsid w:val="002E58A4"/>
    <w:rsid w:val="002E58AC"/>
    <w:rsid w:val="002E58B5"/>
    <w:rsid w:val="002E5929"/>
    <w:rsid w:val="002E594C"/>
    <w:rsid w:val="002E59A0"/>
    <w:rsid w:val="002E59B2"/>
    <w:rsid w:val="002E59E5"/>
    <w:rsid w:val="002E5A15"/>
    <w:rsid w:val="002E5A4A"/>
    <w:rsid w:val="002E5A54"/>
    <w:rsid w:val="002E5AC6"/>
    <w:rsid w:val="002E5AFF"/>
    <w:rsid w:val="002E5B24"/>
    <w:rsid w:val="002E5B35"/>
    <w:rsid w:val="002E5B4B"/>
    <w:rsid w:val="002E5B5A"/>
    <w:rsid w:val="002E5B62"/>
    <w:rsid w:val="002E5B74"/>
    <w:rsid w:val="002E5B80"/>
    <w:rsid w:val="002E5BA3"/>
    <w:rsid w:val="002E5BF9"/>
    <w:rsid w:val="002E5C02"/>
    <w:rsid w:val="002E5C4C"/>
    <w:rsid w:val="002E5CB5"/>
    <w:rsid w:val="002E5D3C"/>
    <w:rsid w:val="002E5D53"/>
    <w:rsid w:val="002E5D60"/>
    <w:rsid w:val="002E5D74"/>
    <w:rsid w:val="002E5DC9"/>
    <w:rsid w:val="002E5E03"/>
    <w:rsid w:val="002E5E23"/>
    <w:rsid w:val="002E5E28"/>
    <w:rsid w:val="002E5E5E"/>
    <w:rsid w:val="002E5EF5"/>
    <w:rsid w:val="002E5F07"/>
    <w:rsid w:val="002E5F3B"/>
    <w:rsid w:val="002E5FB8"/>
    <w:rsid w:val="002E5FCC"/>
    <w:rsid w:val="002E6019"/>
    <w:rsid w:val="002E601B"/>
    <w:rsid w:val="002E606B"/>
    <w:rsid w:val="002E610B"/>
    <w:rsid w:val="002E610E"/>
    <w:rsid w:val="002E615A"/>
    <w:rsid w:val="002E619E"/>
    <w:rsid w:val="002E61B3"/>
    <w:rsid w:val="002E61E4"/>
    <w:rsid w:val="002E621E"/>
    <w:rsid w:val="002E6258"/>
    <w:rsid w:val="002E62CC"/>
    <w:rsid w:val="002E635E"/>
    <w:rsid w:val="002E6366"/>
    <w:rsid w:val="002E6370"/>
    <w:rsid w:val="002E637D"/>
    <w:rsid w:val="002E639A"/>
    <w:rsid w:val="002E63A1"/>
    <w:rsid w:val="002E63E2"/>
    <w:rsid w:val="002E6450"/>
    <w:rsid w:val="002E6479"/>
    <w:rsid w:val="002E64E1"/>
    <w:rsid w:val="002E650E"/>
    <w:rsid w:val="002E6510"/>
    <w:rsid w:val="002E6520"/>
    <w:rsid w:val="002E6529"/>
    <w:rsid w:val="002E6544"/>
    <w:rsid w:val="002E6593"/>
    <w:rsid w:val="002E65A2"/>
    <w:rsid w:val="002E65A8"/>
    <w:rsid w:val="002E65BB"/>
    <w:rsid w:val="002E65D9"/>
    <w:rsid w:val="002E65EA"/>
    <w:rsid w:val="002E6616"/>
    <w:rsid w:val="002E66AD"/>
    <w:rsid w:val="002E66D7"/>
    <w:rsid w:val="002E66E1"/>
    <w:rsid w:val="002E66FF"/>
    <w:rsid w:val="002E6711"/>
    <w:rsid w:val="002E6847"/>
    <w:rsid w:val="002E6903"/>
    <w:rsid w:val="002E6984"/>
    <w:rsid w:val="002E69EA"/>
    <w:rsid w:val="002E69F0"/>
    <w:rsid w:val="002E6A15"/>
    <w:rsid w:val="002E6A29"/>
    <w:rsid w:val="002E6A44"/>
    <w:rsid w:val="002E6AA9"/>
    <w:rsid w:val="002E6AB3"/>
    <w:rsid w:val="002E6BAA"/>
    <w:rsid w:val="002E6C5D"/>
    <w:rsid w:val="002E6CE4"/>
    <w:rsid w:val="002E6CE6"/>
    <w:rsid w:val="002E6D57"/>
    <w:rsid w:val="002E6DAC"/>
    <w:rsid w:val="002E6DDD"/>
    <w:rsid w:val="002E6E2E"/>
    <w:rsid w:val="002E6E42"/>
    <w:rsid w:val="002E6EC0"/>
    <w:rsid w:val="002E6EE9"/>
    <w:rsid w:val="002E6F67"/>
    <w:rsid w:val="002E6F7E"/>
    <w:rsid w:val="002E6FA9"/>
    <w:rsid w:val="002E6FBE"/>
    <w:rsid w:val="002E701A"/>
    <w:rsid w:val="002E7098"/>
    <w:rsid w:val="002E709C"/>
    <w:rsid w:val="002E70AC"/>
    <w:rsid w:val="002E70DB"/>
    <w:rsid w:val="002E70DF"/>
    <w:rsid w:val="002E70E1"/>
    <w:rsid w:val="002E711F"/>
    <w:rsid w:val="002E7172"/>
    <w:rsid w:val="002E71EC"/>
    <w:rsid w:val="002E7207"/>
    <w:rsid w:val="002E7233"/>
    <w:rsid w:val="002E7237"/>
    <w:rsid w:val="002E7348"/>
    <w:rsid w:val="002E73B3"/>
    <w:rsid w:val="002E73FA"/>
    <w:rsid w:val="002E7408"/>
    <w:rsid w:val="002E745F"/>
    <w:rsid w:val="002E7475"/>
    <w:rsid w:val="002E74E7"/>
    <w:rsid w:val="002E7508"/>
    <w:rsid w:val="002E7509"/>
    <w:rsid w:val="002E7520"/>
    <w:rsid w:val="002E755A"/>
    <w:rsid w:val="002E7569"/>
    <w:rsid w:val="002E758A"/>
    <w:rsid w:val="002E7668"/>
    <w:rsid w:val="002E769D"/>
    <w:rsid w:val="002E76A6"/>
    <w:rsid w:val="002E778D"/>
    <w:rsid w:val="002E7794"/>
    <w:rsid w:val="002E77EC"/>
    <w:rsid w:val="002E77EE"/>
    <w:rsid w:val="002E787C"/>
    <w:rsid w:val="002E789E"/>
    <w:rsid w:val="002E78C3"/>
    <w:rsid w:val="002E7941"/>
    <w:rsid w:val="002E79B6"/>
    <w:rsid w:val="002E79EB"/>
    <w:rsid w:val="002E7A2C"/>
    <w:rsid w:val="002E7A7A"/>
    <w:rsid w:val="002E7A90"/>
    <w:rsid w:val="002E7A96"/>
    <w:rsid w:val="002E7AE4"/>
    <w:rsid w:val="002E7B17"/>
    <w:rsid w:val="002E7B34"/>
    <w:rsid w:val="002E7B35"/>
    <w:rsid w:val="002E7B6E"/>
    <w:rsid w:val="002E7B7C"/>
    <w:rsid w:val="002E7BFB"/>
    <w:rsid w:val="002E7C94"/>
    <w:rsid w:val="002E7CFA"/>
    <w:rsid w:val="002E7D53"/>
    <w:rsid w:val="002E7D7F"/>
    <w:rsid w:val="002E7DB4"/>
    <w:rsid w:val="002E7EB7"/>
    <w:rsid w:val="002E7EC4"/>
    <w:rsid w:val="002E7ED3"/>
    <w:rsid w:val="002E7EF7"/>
    <w:rsid w:val="002E7F01"/>
    <w:rsid w:val="002E7F2B"/>
    <w:rsid w:val="002E7F5C"/>
    <w:rsid w:val="002E7F89"/>
    <w:rsid w:val="002E7F95"/>
    <w:rsid w:val="002E7FAF"/>
    <w:rsid w:val="002E7FDB"/>
    <w:rsid w:val="002F00BF"/>
    <w:rsid w:val="002F00C8"/>
    <w:rsid w:val="002F00E0"/>
    <w:rsid w:val="002F0135"/>
    <w:rsid w:val="002F014C"/>
    <w:rsid w:val="002F0201"/>
    <w:rsid w:val="002F022D"/>
    <w:rsid w:val="002F0239"/>
    <w:rsid w:val="002F0244"/>
    <w:rsid w:val="002F02B9"/>
    <w:rsid w:val="002F02E1"/>
    <w:rsid w:val="002F0359"/>
    <w:rsid w:val="002F03A2"/>
    <w:rsid w:val="002F03F8"/>
    <w:rsid w:val="002F03FC"/>
    <w:rsid w:val="002F047B"/>
    <w:rsid w:val="002F0488"/>
    <w:rsid w:val="002F049E"/>
    <w:rsid w:val="002F0511"/>
    <w:rsid w:val="002F0533"/>
    <w:rsid w:val="002F057E"/>
    <w:rsid w:val="002F05E4"/>
    <w:rsid w:val="002F05F4"/>
    <w:rsid w:val="002F06A1"/>
    <w:rsid w:val="002F06BF"/>
    <w:rsid w:val="002F06C0"/>
    <w:rsid w:val="002F06ED"/>
    <w:rsid w:val="002F06FF"/>
    <w:rsid w:val="002F0715"/>
    <w:rsid w:val="002F074B"/>
    <w:rsid w:val="002F0756"/>
    <w:rsid w:val="002F07B3"/>
    <w:rsid w:val="002F07CE"/>
    <w:rsid w:val="002F07DA"/>
    <w:rsid w:val="002F07F4"/>
    <w:rsid w:val="002F0816"/>
    <w:rsid w:val="002F0819"/>
    <w:rsid w:val="002F083B"/>
    <w:rsid w:val="002F083E"/>
    <w:rsid w:val="002F085D"/>
    <w:rsid w:val="002F0860"/>
    <w:rsid w:val="002F08DE"/>
    <w:rsid w:val="002F08FE"/>
    <w:rsid w:val="002F091F"/>
    <w:rsid w:val="002F094D"/>
    <w:rsid w:val="002F0978"/>
    <w:rsid w:val="002F09C6"/>
    <w:rsid w:val="002F0A08"/>
    <w:rsid w:val="002F0A1E"/>
    <w:rsid w:val="002F0A3B"/>
    <w:rsid w:val="002F0A41"/>
    <w:rsid w:val="002F0A69"/>
    <w:rsid w:val="002F0ACB"/>
    <w:rsid w:val="002F0AE9"/>
    <w:rsid w:val="002F0B14"/>
    <w:rsid w:val="002F0B23"/>
    <w:rsid w:val="002F0B2E"/>
    <w:rsid w:val="002F0B35"/>
    <w:rsid w:val="002F0B87"/>
    <w:rsid w:val="002F0B9E"/>
    <w:rsid w:val="002F0BAA"/>
    <w:rsid w:val="002F0BE1"/>
    <w:rsid w:val="002F0BFE"/>
    <w:rsid w:val="002F0C3D"/>
    <w:rsid w:val="002F0C63"/>
    <w:rsid w:val="002F0CDD"/>
    <w:rsid w:val="002F0D16"/>
    <w:rsid w:val="002F0D30"/>
    <w:rsid w:val="002F0D35"/>
    <w:rsid w:val="002F0DB7"/>
    <w:rsid w:val="002F0DD5"/>
    <w:rsid w:val="002F0DD7"/>
    <w:rsid w:val="002F0E82"/>
    <w:rsid w:val="002F0E8E"/>
    <w:rsid w:val="002F0EB2"/>
    <w:rsid w:val="002F0F2B"/>
    <w:rsid w:val="002F0F41"/>
    <w:rsid w:val="002F0FCF"/>
    <w:rsid w:val="002F1015"/>
    <w:rsid w:val="002F1118"/>
    <w:rsid w:val="002F1163"/>
    <w:rsid w:val="002F1178"/>
    <w:rsid w:val="002F117C"/>
    <w:rsid w:val="002F1187"/>
    <w:rsid w:val="002F11AE"/>
    <w:rsid w:val="002F1238"/>
    <w:rsid w:val="002F1260"/>
    <w:rsid w:val="002F126F"/>
    <w:rsid w:val="002F1270"/>
    <w:rsid w:val="002F1276"/>
    <w:rsid w:val="002F1292"/>
    <w:rsid w:val="002F12A0"/>
    <w:rsid w:val="002F12A6"/>
    <w:rsid w:val="002F12AA"/>
    <w:rsid w:val="002F12F1"/>
    <w:rsid w:val="002F1313"/>
    <w:rsid w:val="002F133C"/>
    <w:rsid w:val="002F1365"/>
    <w:rsid w:val="002F1398"/>
    <w:rsid w:val="002F13A6"/>
    <w:rsid w:val="002F13AF"/>
    <w:rsid w:val="002F13FA"/>
    <w:rsid w:val="002F1414"/>
    <w:rsid w:val="002F14AE"/>
    <w:rsid w:val="002F14C0"/>
    <w:rsid w:val="002F14EB"/>
    <w:rsid w:val="002F1508"/>
    <w:rsid w:val="002F1570"/>
    <w:rsid w:val="002F1583"/>
    <w:rsid w:val="002F15F2"/>
    <w:rsid w:val="002F15F8"/>
    <w:rsid w:val="002F162E"/>
    <w:rsid w:val="002F164E"/>
    <w:rsid w:val="002F166A"/>
    <w:rsid w:val="002F166E"/>
    <w:rsid w:val="002F1690"/>
    <w:rsid w:val="002F176A"/>
    <w:rsid w:val="002F1773"/>
    <w:rsid w:val="002F17A8"/>
    <w:rsid w:val="002F17F4"/>
    <w:rsid w:val="002F1827"/>
    <w:rsid w:val="002F18C0"/>
    <w:rsid w:val="002F18D5"/>
    <w:rsid w:val="002F18D9"/>
    <w:rsid w:val="002F1960"/>
    <w:rsid w:val="002F1A0F"/>
    <w:rsid w:val="002F1AB6"/>
    <w:rsid w:val="002F1AF9"/>
    <w:rsid w:val="002F1AFC"/>
    <w:rsid w:val="002F1B84"/>
    <w:rsid w:val="002F1BAF"/>
    <w:rsid w:val="002F1BC1"/>
    <w:rsid w:val="002F1BF4"/>
    <w:rsid w:val="002F1C06"/>
    <w:rsid w:val="002F1C8C"/>
    <w:rsid w:val="002F1C92"/>
    <w:rsid w:val="002F1CA1"/>
    <w:rsid w:val="002F1CB3"/>
    <w:rsid w:val="002F1CEB"/>
    <w:rsid w:val="002F1CFB"/>
    <w:rsid w:val="002F1CFD"/>
    <w:rsid w:val="002F1D21"/>
    <w:rsid w:val="002F1D4B"/>
    <w:rsid w:val="002F1D7D"/>
    <w:rsid w:val="002F1D94"/>
    <w:rsid w:val="002F1E0B"/>
    <w:rsid w:val="002F1EAF"/>
    <w:rsid w:val="002F1EB5"/>
    <w:rsid w:val="002F1EDF"/>
    <w:rsid w:val="002F1F69"/>
    <w:rsid w:val="002F1F71"/>
    <w:rsid w:val="002F1FE9"/>
    <w:rsid w:val="002F1FEE"/>
    <w:rsid w:val="002F2006"/>
    <w:rsid w:val="002F2054"/>
    <w:rsid w:val="002F2067"/>
    <w:rsid w:val="002F207F"/>
    <w:rsid w:val="002F20A9"/>
    <w:rsid w:val="002F20C7"/>
    <w:rsid w:val="002F20E6"/>
    <w:rsid w:val="002F20F9"/>
    <w:rsid w:val="002F2109"/>
    <w:rsid w:val="002F2122"/>
    <w:rsid w:val="002F2189"/>
    <w:rsid w:val="002F21B8"/>
    <w:rsid w:val="002F21C0"/>
    <w:rsid w:val="002F21F6"/>
    <w:rsid w:val="002F2200"/>
    <w:rsid w:val="002F2226"/>
    <w:rsid w:val="002F2279"/>
    <w:rsid w:val="002F22D5"/>
    <w:rsid w:val="002F22E3"/>
    <w:rsid w:val="002F230F"/>
    <w:rsid w:val="002F2399"/>
    <w:rsid w:val="002F23C2"/>
    <w:rsid w:val="002F2403"/>
    <w:rsid w:val="002F2470"/>
    <w:rsid w:val="002F24E5"/>
    <w:rsid w:val="002F2563"/>
    <w:rsid w:val="002F256A"/>
    <w:rsid w:val="002F25AA"/>
    <w:rsid w:val="002F2603"/>
    <w:rsid w:val="002F2651"/>
    <w:rsid w:val="002F2663"/>
    <w:rsid w:val="002F2669"/>
    <w:rsid w:val="002F270D"/>
    <w:rsid w:val="002F2723"/>
    <w:rsid w:val="002F2729"/>
    <w:rsid w:val="002F2762"/>
    <w:rsid w:val="002F27F8"/>
    <w:rsid w:val="002F27F9"/>
    <w:rsid w:val="002F2822"/>
    <w:rsid w:val="002F2867"/>
    <w:rsid w:val="002F28C5"/>
    <w:rsid w:val="002F28C7"/>
    <w:rsid w:val="002F290B"/>
    <w:rsid w:val="002F2972"/>
    <w:rsid w:val="002F29C3"/>
    <w:rsid w:val="002F2A04"/>
    <w:rsid w:val="002F2A51"/>
    <w:rsid w:val="002F2A62"/>
    <w:rsid w:val="002F2B88"/>
    <w:rsid w:val="002F2B97"/>
    <w:rsid w:val="002F2BAE"/>
    <w:rsid w:val="002F2BB6"/>
    <w:rsid w:val="002F2C83"/>
    <w:rsid w:val="002F2C99"/>
    <w:rsid w:val="002F2CA8"/>
    <w:rsid w:val="002F2D14"/>
    <w:rsid w:val="002F2D24"/>
    <w:rsid w:val="002F2D51"/>
    <w:rsid w:val="002F2D86"/>
    <w:rsid w:val="002F2E4C"/>
    <w:rsid w:val="002F2E86"/>
    <w:rsid w:val="002F2EE5"/>
    <w:rsid w:val="002F2FC8"/>
    <w:rsid w:val="002F300E"/>
    <w:rsid w:val="002F3042"/>
    <w:rsid w:val="002F30F2"/>
    <w:rsid w:val="002F30F5"/>
    <w:rsid w:val="002F3172"/>
    <w:rsid w:val="002F3176"/>
    <w:rsid w:val="002F31F4"/>
    <w:rsid w:val="002F31FD"/>
    <w:rsid w:val="002F323E"/>
    <w:rsid w:val="002F32F5"/>
    <w:rsid w:val="002F3308"/>
    <w:rsid w:val="002F332A"/>
    <w:rsid w:val="002F3336"/>
    <w:rsid w:val="002F334A"/>
    <w:rsid w:val="002F3368"/>
    <w:rsid w:val="002F33A1"/>
    <w:rsid w:val="002F33AE"/>
    <w:rsid w:val="002F33CF"/>
    <w:rsid w:val="002F33EE"/>
    <w:rsid w:val="002F341E"/>
    <w:rsid w:val="002F3420"/>
    <w:rsid w:val="002F3425"/>
    <w:rsid w:val="002F3428"/>
    <w:rsid w:val="002F348B"/>
    <w:rsid w:val="002F34D7"/>
    <w:rsid w:val="002F358A"/>
    <w:rsid w:val="002F35A8"/>
    <w:rsid w:val="002F35AF"/>
    <w:rsid w:val="002F35CF"/>
    <w:rsid w:val="002F35FA"/>
    <w:rsid w:val="002F35FD"/>
    <w:rsid w:val="002F3600"/>
    <w:rsid w:val="002F3626"/>
    <w:rsid w:val="002F3641"/>
    <w:rsid w:val="002F36AE"/>
    <w:rsid w:val="002F36F1"/>
    <w:rsid w:val="002F36FA"/>
    <w:rsid w:val="002F370F"/>
    <w:rsid w:val="002F3727"/>
    <w:rsid w:val="002F3747"/>
    <w:rsid w:val="002F374D"/>
    <w:rsid w:val="002F37A5"/>
    <w:rsid w:val="002F37C9"/>
    <w:rsid w:val="002F382A"/>
    <w:rsid w:val="002F38B3"/>
    <w:rsid w:val="002F38B5"/>
    <w:rsid w:val="002F38EA"/>
    <w:rsid w:val="002F3913"/>
    <w:rsid w:val="002F3994"/>
    <w:rsid w:val="002F39AD"/>
    <w:rsid w:val="002F3A07"/>
    <w:rsid w:val="002F3A91"/>
    <w:rsid w:val="002F3A93"/>
    <w:rsid w:val="002F3A9A"/>
    <w:rsid w:val="002F3AB4"/>
    <w:rsid w:val="002F3AC5"/>
    <w:rsid w:val="002F3AD6"/>
    <w:rsid w:val="002F3B1B"/>
    <w:rsid w:val="002F3B3B"/>
    <w:rsid w:val="002F3B66"/>
    <w:rsid w:val="002F3BE3"/>
    <w:rsid w:val="002F3BEB"/>
    <w:rsid w:val="002F3BFC"/>
    <w:rsid w:val="002F3BFF"/>
    <w:rsid w:val="002F3C47"/>
    <w:rsid w:val="002F3D1C"/>
    <w:rsid w:val="002F3D8F"/>
    <w:rsid w:val="002F3DBF"/>
    <w:rsid w:val="002F3DCB"/>
    <w:rsid w:val="002F3E2D"/>
    <w:rsid w:val="002F3E6C"/>
    <w:rsid w:val="002F3E84"/>
    <w:rsid w:val="002F3EE7"/>
    <w:rsid w:val="002F3F34"/>
    <w:rsid w:val="002F3F3A"/>
    <w:rsid w:val="002F3FD3"/>
    <w:rsid w:val="002F3FDE"/>
    <w:rsid w:val="002F405F"/>
    <w:rsid w:val="002F4068"/>
    <w:rsid w:val="002F406D"/>
    <w:rsid w:val="002F40F2"/>
    <w:rsid w:val="002F410B"/>
    <w:rsid w:val="002F41D5"/>
    <w:rsid w:val="002F41F8"/>
    <w:rsid w:val="002F423E"/>
    <w:rsid w:val="002F4270"/>
    <w:rsid w:val="002F4294"/>
    <w:rsid w:val="002F4301"/>
    <w:rsid w:val="002F4380"/>
    <w:rsid w:val="002F4411"/>
    <w:rsid w:val="002F4473"/>
    <w:rsid w:val="002F4493"/>
    <w:rsid w:val="002F44B6"/>
    <w:rsid w:val="002F44F6"/>
    <w:rsid w:val="002F454B"/>
    <w:rsid w:val="002F45B8"/>
    <w:rsid w:val="002F45BB"/>
    <w:rsid w:val="002F45F0"/>
    <w:rsid w:val="002F4617"/>
    <w:rsid w:val="002F4652"/>
    <w:rsid w:val="002F46A4"/>
    <w:rsid w:val="002F46C1"/>
    <w:rsid w:val="002F4703"/>
    <w:rsid w:val="002F473B"/>
    <w:rsid w:val="002F473F"/>
    <w:rsid w:val="002F4761"/>
    <w:rsid w:val="002F477D"/>
    <w:rsid w:val="002F4802"/>
    <w:rsid w:val="002F4833"/>
    <w:rsid w:val="002F4846"/>
    <w:rsid w:val="002F484C"/>
    <w:rsid w:val="002F48B1"/>
    <w:rsid w:val="002F48CF"/>
    <w:rsid w:val="002F49A3"/>
    <w:rsid w:val="002F49AF"/>
    <w:rsid w:val="002F49F2"/>
    <w:rsid w:val="002F4A46"/>
    <w:rsid w:val="002F4AB2"/>
    <w:rsid w:val="002F4B18"/>
    <w:rsid w:val="002F4B60"/>
    <w:rsid w:val="002F4BD6"/>
    <w:rsid w:val="002F4BE5"/>
    <w:rsid w:val="002F4C00"/>
    <w:rsid w:val="002F4C24"/>
    <w:rsid w:val="002F4C55"/>
    <w:rsid w:val="002F4C66"/>
    <w:rsid w:val="002F4C85"/>
    <w:rsid w:val="002F4CF9"/>
    <w:rsid w:val="002F4D2C"/>
    <w:rsid w:val="002F4D93"/>
    <w:rsid w:val="002F4D9A"/>
    <w:rsid w:val="002F4DDE"/>
    <w:rsid w:val="002F4DF6"/>
    <w:rsid w:val="002F4E0A"/>
    <w:rsid w:val="002F4E1A"/>
    <w:rsid w:val="002F4EFB"/>
    <w:rsid w:val="002F4F31"/>
    <w:rsid w:val="002F4F49"/>
    <w:rsid w:val="002F4F82"/>
    <w:rsid w:val="002F4FA4"/>
    <w:rsid w:val="002F4FB2"/>
    <w:rsid w:val="002F50A8"/>
    <w:rsid w:val="002F50B8"/>
    <w:rsid w:val="002F50BF"/>
    <w:rsid w:val="002F50EE"/>
    <w:rsid w:val="002F50F4"/>
    <w:rsid w:val="002F5116"/>
    <w:rsid w:val="002F5117"/>
    <w:rsid w:val="002F5181"/>
    <w:rsid w:val="002F519A"/>
    <w:rsid w:val="002F5205"/>
    <w:rsid w:val="002F52DA"/>
    <w:rsid w:val="002F534F"/>
    <w:rsid w:val="002F5378"/>
    <w:rsid w:val="002F5389"/>
    <w:rsid w:val="002F5391"/>
    <w:rsid w:val="002F5413"/>
    <w:rsid w:val="002F543C"/>
    <w:rsid w:val="002F5440"/>
    <w:rsid w:val="002F5520"/>
    <w:rsid w:val="002F552D"/>
    <w:rsid w:val="002F5544"/>
    <w:rsid w:val="002F556F"/>
    <w:rsid w:val="002F5651"/>
    <w:rsid w:val="002F5661"/>
    <w:rsid w:val="002F567E"/>
    <w:rsid w:val="002F56E1"/>
    <w:rsid w:val="002F5709"/>
    <w:rsid w:val="002F5714"/>
    <w:rsid w:val="002F576B"/>
    <w:rsid w:val="002F57AA"/>
    <w:rsid w:val="002F5863"/>
    <w:rsid w:val="002F5897"/>
    <w:rsid w:val="002F58AE"/>
    <w:rsid w:val="002F58C0"/>
    <w:rsid w:val="002F5917"/>
    <w:rsid w:val="002F5994"/>
    <w:rsid w:val="002F59A4"/>
    <w:rsid w:val="002F59D1"/>
    <w:rsid w:val="002F5A57"/>
    <w:rsid w:val="002F5AB6"/>
    <w:rsid w:val="002F5AD2"/>
    <w:rsid w:val="002F5B18"/>
    <w:rsid w:val="002F5B32"/>
    <w:rsid w:val="002F5B82"/>
    <w:rsid w:val="002F5B9C"/>
    <w:rsid w:val="002F5BF3"/>
    <w:rsid w:val="002F5BF5"/>
    <w:rsid w:val="002F5C2B"/>
    <w:rsid w:val="002F5C47"/>
    <w:rsid w:val="002F5C56"/>
    <w:rsid w:val="002F5C76"/>
    <w:rsid w:val="002F5C7A"/>
    <w:rsid w:val="002F5C8E"/>
    <w:rsid w:val="002F5CA4"/>
    <w:rsid w:val="002F5CB2"/>
    <w:rsid w:val="002F5CB9"/>
    <w:rsid w:val="002F5CC0"/>
    <w:rsid w:val="002F5CF0"/>
    <w:rsid w:val="002F5D29"/>
    <w:rsid w:val="002F5D34"/>
    <w:rsid w:val="002F5D40"/>
    <w:rsid w:val="002F5D54"/>
    <w:rsid w:val="002F5D5A"/>
    <w:rsid w:val="002F5DBF"/>
    <w:rsid w:val="002F5DC6"/>
    <w:rsid w:val="002F5E0D"/>
    <w:rsid w:val="002F5EA9"/>
    <w:rsid w:val="002F5EF0"/>
    <w:rsid w:val="002F5F96"/>
    <w:rsid w:val="002F5F9A"/>
    <w:rsid w:val="002F6015"/>
    <w:rsid w:val="002F6024"/>
    <w:rsid w:val="002F6047"/>
    <w:rsid w:val="002F6068"/>
    <w:rsid w:val="002F6098"/>
    <w:rsid w:val="002F60C7"/>
    <w:rsid w:val="002F60CB"/>
    <w:rsid w:val="002F621E"/>
    <w:rsid w:val="002F626E"/>
    <w:rsid w:val="002F627A"/>
    <w:rsid w:val="002F6292"/>
    <w:rsid w:val="002F62A4"/>
    <w:rsid w:val="002F62EA"/>
    <w:rsid w:val="002F6323"/>
    <w:rsid w:val="002F633D"/>
    <w:rsid w:val="002F6341"/>
    <w:rsid w:val="002F635D"/>
    <w:rsid w:val="002F63BF"/>
    <w:rsid w:val="002F63D2"/>
    <w:rsid w:val="002F63D6"/>
    <w:rsid w:val="002F6457"/>
    <w:rsid w:val="002F64C0"/>
    <w:rsid w:val="002F65A9"/>
    <w:rsid w:val="002F65C5"/>
    <w:rsid w:val="002F65E6"/>
    <w:rsid w:val="002F65FE"/>
    <w:rsid w:val="002F6608"/>
    <w:rsid w:val="002F663C"/>
    <w:rsid w:val="002F66FD"/>
    <w:rsid w:val="002F6704"/>
    <w:rsid w:val="002F6789"/>
    <w:rsid w:val="002F6795"/>
    <w:rsid w:val="002F67D3"/>
    <w:rsid w:val="002F67D4"/>
    <w:rsid w:val="002F6815"/>
    <w:rsid w:val="002F683A"/>
    <w:rsid w:val="002F684D"/>
    <w:rsid w:val="002F6852"/>
    <w:rsid w:val="002F6863"/>
    <w:rsid w:val="002F68CE"/>
    <w:rsid w:val="002F6906"/>
    <w:rsid w:val="002F690A"/>
    <w:rsid w:val="002F693B"/>
    <w:rsid w:val="002F699F"/>
    <w:rsid w:val="002F69A9"/>
    <w:rsid w:val="002F6A38"/>
    <w:rsid w:val="002F6A3C"/>
    <w:rsid w:val="002F6A94"/>
    <w:rsid w:val="002F6AD4"/>
    <w:rsid w:val="002F6ADD"/>
    <w:rsid w:val="002F6B44"/>
    <w:rsid w:val="002F6B60"/>
    <w:rsid w:val="002F6C73"/>
    <w:rsid w:val="002F6C80"/>
    <w:rsid w:val="002F6D26"/>
    <w:rsid w:val="002F6D42"/>
    <w:rsid w:val="002F6D74"/>
    <w:rsid w:val="002F6D97"/>
    <w:rsid w:val="002F6DA8"/>
    <w:rsid w:val="002F6DCB"/>
    <w:rsid w:val="002F6DE4"/>
    <w:rsid w:val="002F6E59"/>
    <w:rsid w:val="002F6E83"/>
    <w:rsid w:val="002F6EDD"/>
    <w:rsid w:val="002F6F3A"/>
    <w:rsid w:val="002F6F61"/>
    <w:rsid w:val="002F7025"/>
    <w:rsid w:val="002F708D"/>
    <w:rsid w:val="002F70C9"/>
    <w:rsid w:val="002F70D3"/>
    <w:rsid w:val="002F7101"/>
    <w:rsid w:val="002F7105"/>
    <w:rsid w:val="002F7126"/>
    <w:rsid w:val="002F7132"/>
    <w:rsid w:val="002F713D"/>
    <w:rsid w:val="002F716F"/>
    <w:rsid w:val="002F71C5"/>
    <w:rsid w:val="002F71C9"/>
    <w:rsid w:val="002F7200"/>
    <w:rsid w:val="002F7239"/>
    <w:rsid w:val="002F7268"/>
    <w:rsid w:val="002F726E"/>
    <w:rsid w:val="002F7286"/>
    <w:rsid w:val="002F72A1"/>
    <w:rsid w:val="002F72BE"/>
    <w:rsid w:val="002F72EA"/>
    <w:rsid w:val="002F72EF"/>
    <w:rsid w:val="002F72FE"/>
    <w:rsid w:val="002F736A"/>
    <w:rsid w:val="002F7373"/>
    <w:rsid w:val="002F73B9"/>
    <w:rsid w:val="002F7431"/>
    <w:rsid w:val="002F7440"/>
    <w:rsid w:val="002F7451"/>
    <w:rsid w:val="002F7486"/>
    <w:rsid w:val="002F7495"/>
    <w:rsid w:val="002F749D"/>
    <w:rsid w:val="002F74A0"/>
    <w:rsid w:val="002F7537"/>
    <w:rsid w:val="002F75D2"/>
    <w:rsid w:val="002F75F7"/>
    <w:rsid w:val="002F763E"/>
    <w:rsid w:val="002F766A"/>
    <w:rsid w:val="002F76FB"/>
    <w:rsid w:val="002F77A6"/>
    <w:rsid w:val="002F77BE"/>
    <w:rsid w:val="002F7823"/>
    <w:rsid w:val="002F785B"/>
    <w:rsid w:val="002F78CE"/>
    <w:rsid w:val="002F78FE"/>
    <w:rsid w:val="002F7914"/>
    <w:rsid w:val="002F7962"/>
    <w:rsid w:val="002F7965"/>
    <w:rsid w:val="002F7982"/>
    <w:rsid w:val="002F7994"/>
    <w:rsid w:val="002F7999"/>
    <w:rsid w:val="002F79F1"/>
    <w:rsid w:val="002F7A01"/>
    <w:rsid w:val="002F7A06"/>
    <w:rsid w:val="002F7A3B"/>
    <w:rsid w:val="002F7A45"/>
    <w:rsid w:val="002F7A68"/>
    <w:rsid w:val="002F7A90"/>
    <w:rsid w:val="002F7AFA"/>
    <w:rsid w:val="002F7B13"/>
    <w:rsid w:val="002F7B2C"/>
    <w:rsid w:val="002F7B2F"/>
    <w:rsid w:val="002F7B47"/>
    <w:rsid w:val="002F7B4B"/>
    <w:rsid w:val="002F7B68"/>
    <w:rsid w:val="002F7BF6"/>
    <w:rsid w:val="002F7C08"/>
    <w:rsid w:val="002F7D90"/>
    <w:rsid w:val="002F7E00"/>
    <w:rsid w:val="002F7E17"/>
    <w:rsid w:val="002F7E36"/>
    <w:rsid w:val="002F7E7A"/>
    <w:rsid w:val="002F7EDE"/>
    <w:rsid w:val="002F7EE1"/>
    <w:rsid w:val="002F7F0A"/>
    <w:rsid w:val="002F7F28"/>
    <w:rsid w:val="002F7FDB"/>
    <w:rsid w:val="002F7FE5"/>
    <w:rsid w:val="002F7FF2"/>
    <w:rsid w:val="002F7FF8"/>
    <w:rsid w:val="00300002"/>
    <w:rsid w:val="00300077"/>
    <w:rsid w:val="0030009B"/>
    <w:rsid w:val="003000DE"/>
    <w:rsid w:val="0030011C"/>
    <w:rsid w:val="00300149"/>
    <w:rsid w:val="0030017E"/>
    <w:rsid w:val="003001F1"/>
    <w:rsid w:val="0030020A"/>
    <w:rsid w:val="00300217"/>
    <w:rsid w:val="00300228"/>
    <w:rsid w:val="00300252"/>
    <w:rsid w:val="003002A0"/>
    <w:rsid w:val="00300300"/>
    <w:rsid w:val="0030039A"/>
    <w:rsid w:val="00300465"/>
    <w:rsid w:val="003004D5"/>
    <w:rsid w:val="00300512"/>
    <w:rsid w:val="00300569"/>
    <w:rsid w:val="0030056D"/>
    <w:rsid w:val="00300588"/>
    <w:rsid w:val="003005AA"/>
    <w:rsid w:val="003005C0"/>
    <w:rsid w:val="003005CC"/>
    <w:rsid w:val="003005D6"/>
    <w:rsid w:val="00300618"/>
    <w:rsid w:val="0030061E"/>
    <w:rsid w:val="0030064E"/>
    <w:rsid w:val="00300651"/>
    <w:rsid w:val="00300667"/>
    <w:rsid w:val="00300668"/>
    <w:rsid w:val="0030068B"/>
    <w:rsid w:val="0030068F"/>
    <w:rsid w:val="003006B2"/>
    <w:rsid w:val="003006D2"/>
    <w:rsid w:val="00300717"/>
    <w:rsid w:val="00300721"/>
    <w:rsid w:val="0030074E"/>
    <w:rsid w:val="00300761"/>
    <w:rsid w:val="003007AA"/>
    <w:rsid w:val="003007C3"/>
    <w:rsid w:val="003007C7"/>
    <w:rsid w:val="00300869"/>
    <w:rsid w:val="00300878"/>
    <w:rsid w:val="00300884"/>
    <w:rsid w:val="003008C5"/>
    <w:rsid w:val="003008FD"/>
    <w:rsid w:val="00300970"/>
    <w:rsid w:val="00300980"/>
    <w:rsid w:val="003009BB"/>
    <w:rsid w:val="003009C9"/>
    <w:rsid w:val="003009E5"/>
    <w:rsid w:val="003009FB"/>
    <w:rsid w:val="00300ABC"/>
    <w:rsid w:val="00300ABE"/>
    <w:rsid w:val="00300BBA"/>
    <w:rsid w:val="00300C14"/>
    <w:rsid w:val="00300C29"/>
    <w:rsid w:val="00300C4B"/>
    <w:rsid w:val="00300C62"/>
    <w:rsid w:val="00300C6B"/>
    <w:rsid w:val="00300C9F"/>
    <w:rsid w:val="00300CDA"/>
    <w:rsid w:val="00300D1A"/>
    <w:rsid w:val="00300D6E"/>
    <w:rsid w:val="00300DB0"/>
    <w:rsid w:val="00300E01"/>
    <w:rsid w:val="00300E39"/>
    <w:rsid w:val="00300E3B"/>
    <w:rsid w:val="00300E7C"/>
    <w:rsid w:val="00300F06"/>
    <w:rsid w:val="00300F57"/>
    <w:rsid w:val="00300F5B"/>
    <w:rsid w:val="00300F6F"/>
    <w:rsid w:val="00300F83"/>
    <w:rsid w:val="00300FC2"/>
    <w:rsid w:val="00300FD0"/>
    <w:rsid w:val="00300FE4"/>
    <w:rsid w:val="00301058"/>
    <w:rsid w:val="00301062"/>
    <w:rsid w:val="00301097"/>
    <w:rsid w:val="003010CC"/>
    <w:rsid w:val="00301218"/>
    <w:rsid w:val="0030125E"/>
    <w:rsid w:val="00301272"/>
    <w:rsid w:val="0030132E"/>
    <w:rsid w:val="0030138F"/>
    <w:rsid w:val="003013A3"/>
    <w:rsid w:val="003013DB"/>
    <w:rsid w:val="003013EE"/>
    <w:rsid w:val="00301452"/>
    <w:rsid w:val="0030145E"/>
    <w:rsid w:val="00301468"/>
    <w:rsid w:val="003014CE"/>
    <w:rsid w:val="003014CF"/>
    <w:rsid w:val="003014F0"/>
    <w:rsid w:val="00301503"/>
    <w:rsid w:val="0030151A"/>
    <w:rsid w:val="00301521"/>
    <w:rsid w:val="0030153F"/>
    <w:rsid w:val="00301573"/>
    <w:rsid w:val="003015C4"/>
    <w:rsid w:val="003015DF"/>
    <w:rsid w:val="003015E2"/>
    <w:rsid w:val="003015FA"/>
    <w:rsid w:val="00301610"/>
    <w:rsid w:val="0030166C"/>
    <w:rsid w:val="003016E4"/>
    <w:rsid w:val="003016FA"/>
    <w:rsid w:val="0030172A"/>
    <w:rsid w:val="00301735"/>
    <w:rsid w:val="00301744"/>
    <w:rsid w:val="00301749"/>
    <w:rsid w:val="003017B7"/>
    <w:rsid w:val="003017D2"/>
    <w:rsid w:val="003017EE"/>
    <w:rsid w:val="00301856"/>
    <w:rsid w:val="00301881"/>
    <w:rsid w:val="0030188B"/>
    <w:rsid w:val="003018C0"/>
    <w:rsid w:val="003018CB"/>
    <w:rsid w:val="00301912"/>
    <w:rsid w:val="0030195F"/>
    <w:rsid w:val="003019CF"/>
    <w:rsid w:val="00301A8E"/>
    <w:rsid w:val="00301AAC"/>
    <w:rsid w:val="00301AC2"/>
    <w:rsid w:val="00301AD9"/>
    <w:rsid w:val="00301B09"/>
    <w:rsid w:val="00301B31"/>
    <w:rsid w:val="00301B8E"/>
    <w:rsid w:val="00301C3F"/>
    <w:rsid w:val="00301C6E"/>
    <w:rsid w:val="00301CA8"/>
    <w:rsid w:val="00301CC6"/>
    <w:rsid w:val="00301D16"/>
    <w:rsid w:val="00301D2C"/>
    <w:rsid w:val="00301D64"/>
    <w:rsid w:val="00301DA5"/>
    <w:rsid w:val="00301DAD"/>
    <w:rsid w:val="00301E0F"/>
    <w:rsid w:val="00301E34"/>
    <w:rsid w:val="00301E4E"/>
    <w:rsid w:val="00301E64"/>
    <w:rsid w:val="00301E98"/>
    <w:rsid w:val="00301E9B"/>
    <w:rsid w:val="00301F00"/>
    <w:rsid w:val="00301F09"/>
    <w:rsid w:val="00301F40"/>
    <w:rsid w:val="00301F42"/>
    <w:rsid w:val="00301F57"/>
    <w:rsid w:val="00301FC6"/>
    <w:rsid w:val="00301FFD"/>
    <w:rsid w:val="0030205F"/>
    <w:rsid w:val="0030206F"/>
    <w:rsid w:val="00302099"/>
    <w:rsid w:val="003020A3"/>
    <w:rsid w:val="003020C0"/>
    <w:rsid w:val="003020E2"/>
    <w:rsid w:val="0030217B"/>
    <w:rsid w:val="003021BB"/>
    <w:rsid w:val="003021CC"/>
    <w:rsid w:val="003021DF"/>
    <w:rsid w:val="003021FA"/>
    <w:rsid w:val="003021FC"/>
    <w:rsid w:val="0030223F"/>
    <w:rsid w:val="0030224B"/>
    <w:rsid w:val="00302258"/>
    <w:rsid w:val="00302283"/>
    <w:rsid w:val="0030229F"/>
    <w:rsid w:val="003022FB"/>
    <w:rsid w:val="00302372"/>
    <w:rsid w:val="00302382"/>
    <w:rsid w:val="00302387"/>
    <w:rsid w:val="003023A3"/>
    <w:rsid w:val="00302401"/>
    <w:rsid w:val="0030241F"/>
    <w:rsid w:val="00302497"/>
    <w:rsid w:val="003024C6"/>
    <w:rsid w:val="003024C9"/>
    <w:rsid w:val="003024E1"/>
    <w:rsid w:val="003024F6"/>
    <w:rsid w:val="003024FB"/>
    <w:rsid w:val="00302582"/>
    <w:rsid w:val="0030259C"/>
    <w:rsid w:val="00302627"/>
    <w:rsid w:val="003026E1"/>
    <w:rsid w:val="0030275D"/>
    <w:rsid w:val="00302767"/>
    <w:rsid w:val="0030279B"/>
    <w:rsid w:val="003027A7"/>
    <w:rsid w:val="0030285D"/>
    <w:rsid w:val="003028AC"/>
    <w:rsid w:val="003028F1"/>
    <w:rsid w:val="00302908"/>
    <w:rsid w:val="00302952"/>
    <w:rsid w:val="0030297B"/>
    <w:rsid w:val="00302998"/>
    <w:rsid w:val="00302A2D"/>
    <w:rsid w:val="00302A2E"/>
    <w:rsid w:val="00302A6E"/>
    <w:rsid w:val="00302A87"/>
    <w:rsid w:val="00302AB3"/>
    <w:rsid w:val="00302AEF"/>
    <w:rsid w:val="00302B4B"/>
    <w:rsid w:val="00302B91"/>
    <w:rsid w:val="00302BA1"/>
    <w:rsid w:val="00302BE3"/>
    <w:rsid w:val="00302BE7"/>
    <w:rsid w:val="00302C0F"/>
    <w:rsid w:val="00302C40"/>
    <w:rsid w:val="00302C74"/>
    <w:rsid w:val="00302C7A"/>
    <w:rsid w:val="00302C7D"/>
    <w:rsid w:val="00302C87"/>
    <w:rsid w:val="00302D1F"/>
    <w:rsid w:val="00302D30"/>
    <w:rsid w:val="00302D43"/>
    <w:rsid w:val="00302D7D"/>
    <w:rsid w:val="00302DDE"/>
    <w:rsid w:val="00302DEA"/>
    <w:rsid w:val="00302E14"/>
    <w:rsid w:val="00302E51"/>
    <w:rsid w:val="00302E82"/>
    <w:rsid w:val="00302EEC"/>
    <w:rsid w:val="00302F2C"/>
    <w:rsid w:val="00302FE6"/>
    <w:rsid w:val="00303042"/>
    <w:rsid w:val="0030307E"/>
    <w:rsid w:val="0030308A"/>
    <w:rsid w:val="003030AC"/>
    <w:rsid w:val="003030DB"/>
    <w:rsid w:val="003030E9"/>
    <w:rsid w:val="0030310B"/>
    <w:rsid w:val="00303141"/>
    <w:rsid w:val="00303159"/>
    <w:rsid w:val="00303173"/>
    <w:rsid w:val="0030321F"/>
    <w:rsid w:val="00303272"/>
    <w:rsid w:val="00303317"/>
    <w:rsid w:val="0030332E"/>
    <w:rsid w:val="0030332F"/>
    <w:rsid w:val="0030337F"/>
    <w:rsid w:val="00303395"/>
    <w:rsid w:val="00303399"/>
    <w:rsid w:val="003033BC"/>
    <w:rsid w:val="003033FD"/>
    <w:rsid w:val="00303474"/>
    <w:rsid w:val="00303480"/>
    <w:rsid w:val="00303500"/>
    <w:rsid w:val="0030350E"/>
    <w:rsid w:val="00303534"/>
    <w:rsid w:val="00303582"/>
    <w:rsid w:val="003035AA"/>
    <w:rsid w:val="003035B1"/>
    <w:rsid w:val="003035CB"/>
    <w:rsid w:val="003035DB"/>
    <w:rsid w:val="003035FC"/>
    <w:rsid w:val="0030362F"/>
    <w:rsid w:val="0030363D"/>
    <w:rsid w:val="00303641"/>
    <w:rsid w:val="00303649"/>
    <w:rsid w:val="003036BB"/>
    <w:rsid w:val="003036DA"/>
    <w:rsid w:val="0030371B"/>
    <w:rsid w:val="00303726"/>
    <w:rsid w:val="00303735"/>
    <w:rsid w:val="00303746"/>
    <w:rsid w:val="00303766"/>
    <w:rsid w:val="00303777"/>
    <w:rsid w:val="003037CD"/>
    <w:rsid w:val="003037E0"/>
    <w:rsid w:val="003037E9"/>
    <w:rsid w:val="0030380E"/>
    <w:rsid w:val="00303870"/>
    <w:rsid w:val="003038BB"/>
    <w:rsid w:val="003038E5"/>
    <w:rsid w:val="003038EE"/>
    <w:rsid w:val="00303907"/>
    <w:rsid w:val="00303940"/>
    <w:rsid w:val="003039A7"/>
    <w:rsid w:val="00303A03"/>
    <w:rsid w:val="00303A13"/>
    <w:rsid w:val="00303A94"/>
    <w:rsid w:val="00303A97"/>
    <w:rsid w:val="00303AAB"/>
    <w:rsid w:val="00303AE5"/>
    <w:rsid w:val="00303B0D"/>
    <w:rsid w:val="00303B13"/>
    <w:rsid w:val="00303B22"/>
    <w:rsid w:val="00303B2B"/>
    <w:rsid w:val="00303BB6"/>
    <w:rsid w:val="00303BC5"/>
    <w:rsid w:val="00303BDC"/>
    <w:rsid w:val="00303C43"/>
    <w:rsid w:val="00303C6F"/>
    <w:rsid w:val="00303CC4"/>
    <w:rsid w:val="00303CEB"/>
    <w:rsid w:val="00303CF1"/>
    <w:rsid w:val="00303D71"/>
    <w:rsid w:val="00303DC7"/>
    <w:rsid w:val="00303DD3"/>
    <w:rsid w:val="00303DF0"/>
    <w:rsid w:val="00303E25"/>
    <w:rsid w:val="00303E42"/>
    <w:rsid w:val="00303E61"/>
    <w:rsid w:val="00303E8B"/>
    <w:rsid w:val="00303EA9"/>
    <w:rsid w:val="00303EBD"/>
    <w:rsid w:val="00303F58"/>
    <w:rsid w:val="00303F68"/>
    <w:rsid w:val="0030400A"/>
    <w:rsid w:val="00304016"/>
    <w:rsid w:val="003040A9"/>
    <w:rsid w:val="003040B6"/>
    <w:rsid w:val="0030416F"/>
    <w:rsid w:val="0030417A"/>
    <w:rsid w:val="003041A3"/>
    <w:rsid w:val="003041EB"/>
    <w:rsid w:val="0030429F"/>
    <w:rsid w:val="003042C6"/>
    <w:rsid w:val="0030433F"/>
    <w:rsid w:val="003043AC"/>
    <w:rsid w:val="003043DD"/>
    <w:rsid w:val="003043E3"/>
    <w:rsid w:val="0030442A"/>
    <w:rsid w:val="0030445C"/>
    <w:rsid w:val="00304462"/>
    <w:rsid w:val="0030446A"/>
    <w:rsid w:val="0030447E"/>
    <w:rsid w:val="00304490"/>
    <w:rsid w:val="00304534"/>
    <w:rsid w:val="0030455A"/>
    <w:rsid w:val="0030457F"/>
    <w:rsid w:val="003045F4"/>
    <w:rsid w:val="0030460A"/>
    <w:rsid w:val="0030460E"/>
    <w:rsid w:val="0030465B"/>
    <w:rsid w:val="0030473C"/>
    <w:rsid w:val="0030473D"/>
    <w:rsid w:val="00304780"/>
    <w:rsid w:val="00304794"/>
    <w:rsid w:val="0030479C"/>
    <w:rsid w:val="003047BF"/>
    <w:rsid w:val="003047E9"/>
    <w:rsid w:val="0030481C"/>
    <w:rsid w:val="00304828"/>
    <w:rsid w:val="0030483A"/>
    <w:rsid w:val="00304894"/>
    <w:rsid w:val="003048E4"/>
    <w:rsid w:val="003048F2"/>
    <w:rsid w:val="003048F7"/>
    <w:rsid w:val="00304908"/>
    <w:rsid w:val="00304925"/>
    <w:rsid w:val="00304956"/>
    <w:rsid w:val="00304976"/>
    <w:rsid w:val="003049F5"/>
    <w:rsid w:val="00304A08"/>
    <w:rsid w:val="00304A2E"/>
    <w:rsid w:val="00304A30"/>
    <w:rsid w:val="00304AB1"/>
    <w:rsid w:val="00304AE9"/>
    <w:rsid w:val="00304B71"/>
    <w:rsid w:val="00304B82"/>
    <w:rsid w:val="00304B96"/>
    <w:rsid w:val="00304C1B"/>
    <w:rsid w:val="00304CE1"/>
    <w:rsid w:val="00304CF5"/>
    <w:rsid w:val="00304DB0"/>
    <w:rsid w:val="00304E09"/>
    <w:rsid w:val="00304E0C"/>
    <w:rsid w:val="00304E4F"/>
    <w:rsid w:val="00304E5F"/>
    <w:rsid w:val="00304E6C"/>
    <w:rsid w:val="00304E90"/>
    <w:rsid w:val="00304F0C"/>
    <w:rsid w:val="00304F54"/>
    <w:rsid w:val="00304FCD"/>
    <w:rsid w:val="00304FD1"/>
    <w:rsid w:val="0030500D"/>
    <w:rsid w:val="00305012"/>
    <w:rsid w:val="00305077"/>
    <w:rsid w:val="003050A4"/>
    <w:rsid w:val="003050B6"/>
    <w:rsid w:val="003050C4"/>
    <w:rsid w:val="003050FB"/>
    <w:rsid w:val="003050FE"/>
    <w:rsid w:val="0030510E"/>
    <w:rsid w:val="0030512C"/>
    <w:rsid w:val="00305158"/>
    <w:rsid w:val="00305244"/>
    <w:rsid w:val="003052AE"/>
    <w:rsid w:val="003052E4"/>
    <w:rsid w:val="00305318"/>
    <w:rsid w:val="00305358"/>
    <w:rsid w:val="00305390"/>
    <w:rsid w:val="00305391"/>
    <w:rsid w:val="0030540F"/>
    <w:rsid w:val="00305436"/>
    <w:rsid w:val="003054C2"/>
    <w:rsid w:val="003054E5"/>
    <w:rsid w:val="00305550"/>
    <w:rsid w:val="00305588"/>
    <w:rsid w:val="003055E1"/>
    <w:rsid w:val="003055E6"/>
    <w:rsid w:val="00305610"/>
    <w:rsid w:val="0030561E"/>
    <w:rsid w:val="0030562F"/>
    <w:rsid w:val="0030568B"/>
    <w:rsid w:val="003056A6"/>
    <w:rsid w:val="0030570E"/>
    <w:rsid w:val="0030573C"/>
    <w:rsid w:val="0030575B"/>
    <w:rsid w:val="00305790"/>
    <w:rsid w:val="003057BC"/>
    <w:rsid w:val="003057F6"/>
    <w:rsid w:val="00305840"/>
    <w:rsid w:val="003058AE"/>
    <w:rsid w:val="003058D0"/>
    <w:rsid w:val="003058DD"/>
    <w:rsid w:val="0030591F"/>
    <w:rsid w:val="00305955"/>
    <w:rsid w:val="00305959"/>
    <w:rsid w:val="00305990"/>
    <w:rsid w:val="003059AE"/>
    <w:rsid w:val="003059F1"/>
    <w:rsid w:val="00305A63"/>
    <w:rsid w:val="00305A87"/>
    <w:rsid w:val="00305A8A"/>
    <w:rsid w:val="00305AD6"/>
    <w:rsid w:val="00305B17"/>
    <w:rsid w:val="00305BB4"/>
    <w:rsid w:val="00305BD6"/>
    <w:rsid w:val="00305C5F"/>
    <w:rsid w:val="00305C78"/>
    <w:rsid w:val="00305CBA"/>
    <w:rsid w:val="00305D4A"/>
    <w:rsid w:val="00305DBB"/>
    <w:rsid w:val="00305DF0"/>
    <w:rsid w:val="00305E0D"/>
    <w:rsid w:val="00305E65"/>
    <w:rsid w:val="00305EE5"/>
    <w:rsid w:val="00305F0F"/>
    <w:rsid w:val="00305F22"/>
    <w:rsid w:val="00305F51"/>
    <w:rsid w:val="00305F5A"/>
    <w:rsid w:val="00306003"/>
    <w:rsid w:val="0030604F"/>
    <w:rsid w:val="00306087"/>
    <w:rsid w:val="00306109"/>
    <w:rsid w:val="0030610A"/>
    <w:rsid w:val="0030614B"/>
    <w:rsid w:val="0030617B"/>
    <w:rsid w:val="0030617D"/>
    <w:rsid w:val="003061B7"/>
    <w:rsid w:val="00306205"/>
    <w:rsid w:val="00306287"/>
    <w:rsid w:val="0030628A"/>
    <w:rsid w:val="003062A8"/>
    <w:rsid w:val="0030633A"/>
    <w:rsid w:val="003063BA"/>
    <w:rsid w:val="003063CA"/>
    <w:rsid w:val="003063CB"/>
    <w:rsid w:val="00306432"/>
    <w:rsid w:val="0030644E"/>
    <w:rsid w:val="00306456"/>
    <w:rsid w:val="00306473"/>
    <w:rsid w:val="003064AE"/>
    <w:rsid w:val="003064B9"/>
    <w:rsid w:val="00306507"/>
    <w:rsid w:val="00306524"/>
    <w:rsid w:val="0030658B"/>
    <w:rsid w:val="003065B0"/>
    <w:rsid w:val="003065CE"/>
    <w:rsid w:val="00306655"/>
    <w:rsid w:val="0030665D"/>
    <w:rsid w:val="0030668F"/>
    <w:rsid w:val="003066DB"/>
    <w:rsid w:val="003066EC"/>
    <w:rsid w:val="003066F3"/>
    <w:rsid w:val="00306716"/>
    <w:rsid w:val="00306751"/>
    <w:rsid w:val="0030675D"/>
    <w:rsid w:val="003067A7"/>
    <w:rsid w:val="0030680C"/>
    <w:rsid w:val="00306867"/>
    <w:rsid w:val="00306876"/>
    <w:rsid w:val="0030687D"/>
    <w:rsid w:val="0030696B"/>
    <w:rsid w:val="0030697F"/>
    <w:rsid w:val="00306994"/>
    <w:rsid w:val="003069A2"/>
    <w:rsid w:val="003069AB"/>
    <w:rsid w:val="003069CC"/>
    <w:rsid w:val="003069F3"/>
    <w:rsid w:val="00306A00"/>
    <w:rsid w:val="00306A0B"/>
    <w:rsid w:val="00306A14"/>
    <w:rsid w:val="00306A5D"/>
    <w:rsid w:val="00306AF0"/>
    <w:rsid w:val="00306B5C"/>
    <w:rsid w:val="00306BFA"/>
    <w:rsid w:val="00306BFC"/>
    <w:rsid w:val="00306CD6"/>
    <w:rsid w:val="00306D25"/>
    <w:rsid w:val="00306D3E"/>
    <w:rsid w:val="00306D41"/>
    <w:rsid w:val="00306D9D"/>
    <w:rsid w:val="00306DCF"/>
    <w:rsid w:val="00306E02"/>
    <w:rsid w:val="00306E8C"/>
    <w:rsid w:val="00306EC5"/>
    <w:rsid w:val="00306F4F"/>
    <w:rsid w:val="00306F73"/>
    <w:rsid w:val="00306F88"/>
    <w:rsid w:val="00306FBD"/>
    <w:rsid w:val="0030701A"/>
    <w:rsid w:val="00307028"/>
    <w:rsid w:val="0030703E"/>
    <w:rsid w:val="00307081"/>
    <w:rsid w:val="00307131"/>
    <w:rsid w:val="00307144"/>
    <w:rsid w:val="0030714E"/>
    <w:rsid w:val="00307150"/>
    <w:rsid w:val="00307179"/>
    <w:rsid w:val="00307194"/>
    <w:rsid w:val="003071D7"/>
    <w:rsid w:val="00307221"/>
    <w:rsid w:val="00307226"/>
    <w:rsid w:val="00307257"/>
    <w:rsid w:val="00307259"/>
    <w:rsid w:val="0030727E"/>
    <w:rsid w:val="0030728B"/>
    <w:rsid w:val="003072B2"/>
    <w:rsid w:val="003072C3"/>
    <w:rsid w:val="003072E8"/>
    <w:rsid w:val="00307315"/>
    <w:rsid w:val="00307365"/>
    <w:rsid w:val="003073EE"/>
    <w:rsid w:val="00307413"/>
    <w:rsid w:val="00307429"/>
    <w:rsid w:val="00307448"/>
    <w:rsid w:val="0030749C"/>
    <w:rsid w:val="003074D4"/>
    <w:rsid w:val="003074D9"/>
    <w:rsid w:val="0030757A"/>
    <w:rsid w:val="0030759A"/>
    <w:rsid w:val="00307658"/>
    <w:rsid w:val="003076BA"/>
    <w:rsid w:val="003077E4"/>
    <w:rsid w:val="0030781A"/>
    <w:rsid w:val="0030784A"/>
    <w:rsid w:val="0030786C"/>
    <w:rsid w:val="00307870"/>
    <w:rsid w:val="003078AF"/>
    <w:rsid w:val="003078C3"/>
    <w:rsid w:val="003078CD"/>
    <w:rsid w:val="003078DF"/>
    <w:rsid w:val="003078EC"/>
    <w:rsid w:val="0030790E"/>
    <w:rsid w:val="003079F2"/>
    <w:rsid w:val="00307A7D"/>
    <w:rsid w:val="00307A93"/>
    <w:rsid w:val="00307AD2"/>
    <w:rsid w:val="00307AD3"/>
    <w:rsid w:val="00307AFD"/>
    <w:rsid w:val="00307B00"/>
    <w:rsid w:val="00307B11"/>
    <w:rsid w:val="00307B3B"/>
    <w:rsid w:val="00307B47"/>
    <w:rsid w:val="00307B68"/>
    <w:rsid w:val="00307B70"/>
    <w:rsid w:val="00307C12"/>
    <w:rsid w:val="00307C37"/>
    <w:rsid w:val="00307C5F"/>
    <w:rsid w:val="00307CA7"/>
    <w:rsid w:val="00307CA8"/>
    <w:rsid w:val="00307CFC"/>
    <w:rsid w:val="00307D19"/>
    <w:rsid w:val="00307D41"/>
    <w:rsid w:val="00307D43"/>
    <w:rsid w:val="00307D56"/>
    <w:rsid w:val="00307E04"/>
    <w:rsid w:val="00307E0C"/>
    <w:rsid w:val="00307E88"/>
    <w:rsid w:val="00307EB9"/>
    <w:rsid w:val="00307EE1"/>
    <w:rsid w:val="00307F04"/>
    <w:rsid w:val="00307F21"/>
    <w:rsid w:val="00307F54"/>
    <w:rsid w:val="00307F87"/>
    <w:rsid w:val="00307FA9"/>
    <w:rsid w:val="00307FD2"/>
    <w:rsid w:val="00310012"/>
    <w:rsid w:val="00310018"/>
    <w:rsid w:val="0031001F"/>
    <w:rsid w:val="0031008C"/>
    <w:rsid w:val="003100A9"/>
    <w:rsid w:val="003100B7"/>
    <w:rsid w:val="0031015C"/>
    <w:rsid w:val="00310234"/>
    <w:rsid w:val="003102F8"/>
    <w:rsid w:val="0031031A"/>
    <w:rsid w:val="00310369"/>
    <w:rsid w:val="00310390"/>
    <w:rsid w:val="00310396"/>
    <w:rsid w:val="003103D2"/>
    <w:rsid w:val="003103EA"/>
    <w:rsid w:val="003103FE"/>
    <w:rsid w:val="0031043D"/>
    <w:rsid w:val="00310466"/>
    <w:rsid w:val="00310477"/>
    <w:rsid w:val="003104B3"/>
    <w:rsid w:val="0031053D"/>
    <w:rsid w:val="0031058D"/>
    <w:rsid w:val="003105A3"/>
    <w:rsid w:val="00310647"/>
    <w:rsid w:val="00310650"/>
    <w:rsid w:val="00310652"/>
    <w:rsid w:val="00310721"/>
    <w:rsid w:val="003107A9"/>
    <w:rsid w:val="003107C3"/>
    <w:rsid w:val="003107F1"/>
    <w:rsid w:val="00310817"/>
    <w:rsid w:val="003108B5"/>
    <w:rsid w:val="003108F4"/>
    <w:rsid w:val="003108FD"/>
    <w:rsid w:val="0031090E"/>
    <w:rsid w:val="00310943"/>
    <w:rsid w:val="00310989"/>
    <w:rsid w:val="0031098D"/>
    <w:rsid w:val="00310A23"/>
    <w:rsid w:val="00310A28"/>
    <w:rsid w:val="00310A3D"/>
    <w:rsid w:val="00310A5D"/>
    <w:rsid w:val="00310AE4"/>
    <w:rsid w:val="00310B53"/>
    <w:rsid w:val="00310B5E"/>
    <w:rsid w:val="00310BC9"/>
    <w:rsid w:val="00310C8E"/>
    <w:rsid w:val="00310CE5"/>
    <w:rsid w:val="00310D08"/>
    <w:rsid w:val="00310D37"/>
    <w:rsid w:val="00310D53"/>
    <w:rsid w:val="00310D72"/>
    <w:rsid w:val="00310DBC"/>
    <w:rsid w:val="00310DD4"/>
    <w:rsid w:val="00310DDB"/>
    <w:rsid w:val="00310DF9"/>
    <w:rsid w:val="00310E29"/>
    <w:rsid w:val="00310E3A"/>
    <w:rsid w:val="00310E57"/>
    <w:rsid w:val="00310E72"/>
    <w:rsid w:val="00310E93"/>
    <w:rsid w:val="00310EAE"/>
    <w:rsid w:val="00310EFB"/>
    <w:rsid w:val="00310F24"/>
    <w:rsid w:val="00310F51"/>
    <w:rsid w:val="00310F57"/>
    <w:rsid w:val="00310F7D"/>
    <w:rsid w:val="00310F96"/>
    <w:rsid w:val="00310FD6"/>
    <w:rsid w:val="00310FF0"/>
    <w:rsid w:val="00310FF4"/>
    <w:rsid w:val="00311086"/>
    <w:rsid w:val="003110BE"/>
    <w:rsid w:val="00311119"/>
    <w:rsid w:val="0031111A"/>
    <w:rsid w:val="0031112E"/>
    <w:rsid w:val="00311197"/>
    <w:rsid w:val="003111A2"/>
    <w:rsid w:val="003111D5"/>
    <w:rsid w:val="003111E5"/>
    <w:rsid w:val="0031121F"/>
    <w:rsid w:val="00311235"/>
    <w:rsid w:val="00311240"/>
    <w:rsid w:val="00311243"/>
    <w:rsid w:val="00311268"/>
    <w:rsid w:val="0031128A"/>
    <w:rsid w:val="003112A4"/>
    <w:rsid w:val="00311310"/>
    <w:rsid w:val="00311332"/>
    <w:rsid w:val="0031135E"/>
    <w:rsid w:val="003113A0"/>
    <w:rsid w:val="003113B7"/>
    <w:rsid w:val="0031140A"/>
    <w:rsid w:val="00311428"/>
    <w:rsid w:val="00311435"/>
    <w:rsid w:val="00311437"/>
    <w:rsid w:val="0031144B"/>
    <w:rsid w:val="00311461"/>
    <w:rsid w:val="003114BE"/>
    <w:rsid w:val="003114C3"/>
    <w:rsid w:val="003114D2"/>
    <w:rsid w:val="003114FA"/>
    <w:rsid w:val="0031150D"/>
    <w:rsid w:val="00311530"/>
    <w:rsid w:val="0031158D"/>
    <w:rsid w:val="003115C9"/>
    <w:rsid w:val="003115E7"/>
    <w:rsid w:val="00311645"/>
    <w:rsid w:val="00311647"/>
    <w:rsid w:val="00311648"/>
    <w:rsid w:val="00311672"/>
    <w:rsid w:val="003116BD"/>
    <w:rsid w:val="003116FC"/>
    <w:rsid w:val="00311736"/>
    <w:rsid w:val="00311742"/>
    <w:rsid w:val="003117A2"/>
    <w:rsid w:val="003117AF"/>
    <w:rsid w:val="003117B7"/>
    <w:rsid w:val="003117D4"/>
    <w:rsid w:val="0031180E"/>
    <w:rsid w:val="0031181E"/>
    <w:rsid w:val="0031183D"/>
    <w:rsid w:val="00311852"/>
    <w:rsid w:val="00311863"/>
    <w:rsid w:val="00311882"/>
    <w:rsid w:val="003118D1"/>
    <w:rsid w:val="00311986"/>
    <w:rsid w:val="003119A9"/>
    <w:rsid w:val="003119D8"/>
    <w:rsid w:val="00311AA2"/>
    <w:rsid w:val="00311AEC"/>
    <w:rsid w:val="00311B62"/>
    <w:rsid w:val="00311B70"/>
    <w:rsid w:val="00311BBE"/>
    <w:rsid w:val="00311BF7"/>
    <w:rsid w:val="00311C2C"/>
    <w:rsid w:val="00311C5D"/>
    <w:rsid w:val="00311C98"/>
    <w:rsid w:val="00311CAB"/>
    <w:rsid w:val="00311CCC"/>
    <w:rsid w:val="00311CE2"/>
    <w:rsid w:val="00311CF4"/>
    <w:rsid w:val="00311D06"/>
    <w:rsid w:val="00311D19"/>
    <w:rsid w:val="00311D39"/>
    <w:rsid w:val="00311D5B"/>
    <w:rsid w:val="00311DF2"/>
    <w:rsid w:val="00311E57"/>
    <w:rsid w:val="00311E5C"/>
    <w:rsid w:val="00311E68"/>
    <w:rsid w:val="00311EC4"/>
    <w:rsid w:val="00311EF9"/>
    <w:rsid w:val="00311F01"/>
    <w:rsid w:val="00311F59"/>
    <w:rsid w:val="00311F5E"/>
    <w:rsid w:val="00311F93"/>
    <w:rsid w:val="00311FF6"/>
    <w:rsid w:val="00312055"/>
    <w:rsid w:val="0031206F"/>
    <w:rsid w:val="003120BF"/>
    <w:rsid w:val="003120C9"/>
    <w:rsid w:val="003120FE"/>
    <w:rsid w:val="0031213F"/>
    <w:rsid w:val="0031216F"/>
    <w:rsid w:val="00312183"/>
    <w:rsid w:val="00312186"/>
    <w:rsid w:val="003121A2"/>
    <w:rsid w:val="003121A4"/>
    <w:rsid w:val="003121D4"/>
    <w:rsid w:val="003121F4"/>
    <w:rsid w:val="003121F9"/>
    <w:rsid w:val="003121FF"/>
    <w:rsid w:val="00312216"/>
    <w:rsid w:val="00312220"/>
    <w:rsid w:val="00312248"/>
    <w:rsid w:val="0031225D"/>
    <w:rsid w:val="0031227C"/>
    <w:rsid w:val="003122C3"/>
    <w:rsid w:val="003123C9"/>
    <w:rsid w:val="003123D5"/>
    <w:rsid w:val="003123E7"/>
    <w:rsid w:val="00312416"/>
    <w:rsid w:val="0031241A"/>
    <w:rsid w:val="0031241E"/>
    <w:rsid w:val="00312431"/>
    <w:rsid w:val="0031243C"/>
    <w:rsid w:val="00312440"/>
    <w:rsid w:val="0031244F"/>
    <w:rsid w:val="00312471"/>
    <w:rsid w:val="0031247B"/>
    <w:rsid w:val="003124DD"/>
    <w:rsid w:val="00312508"/>
    <w:rsid w:val="0031250B"/>
    <w:rsid w:val="00312527"/>
    <w:rsid w:val="00312565"/>
    <w:rsid w:val="003125CC"/>
    <w:rsid w:val="003125CF"/>
    <w:rsid w:val="003125EE"/>
    <w:rsid w:val="003125EF"/>
    <w:rsid w:val="00312607"/>
    <w:rsid w:val="00312622"/>
    <w:rsid w:val="00312642"/>
    <w:rsid w:val="0031264C"/>
    <w:rsid w:val="0031268C"/>
    <w:rsid w:val="003126DF"/>
    <w:rsid w:val="0031271C"/>
    <w:rsid w:val="0031275E"/>
    <w:rsid w:val="00312776"/>
    <w:rsid w:val="00312783"/>
    <w:rsid w:val="003127D3"/>
    <w:rsid w:val="00312829"/>
    <w:rsid w:val="00312879"/>
    <w:rsid w:val="003128AD"/>
    <w:rsid w:val="003128B9"/>
    <w:rsid w:val="003128D8"/>
    <w:rsid w:val="003128DF"/>
    <w:rsid w:val="003128F0"/>
    <w:rsid w:val="00312914"/>
    <w:rsid w:val="00312972"/>
    <w:rsid w:val="003129A8"/>
    <w:rsid w:val="003129B0"/>
    <w:rsid w:val="003129BC"/>
    <w:rsid w:val="003129F6"/>
    <w:rsid w:val="00312A11"/>
    <w:rsid w:val="00312A6E"/>
    <w:rsid w:val="00312A9F"/>
    <w:rsid w:val="00312AA4"/>
    <w:rsid w:val="00312AB5"/>
    <w:rsid w:val="00312AD6"/>
    <w:rsid w:val="00312B17"/>
    <w:rsid w:val="00312B5B"/>
    <w:rsid w:val="00312B6E"/>
    <w:rsid w:val="00312B91"/>
    <w:rsid w:val="00312C40"/>
    <w:rsid w:val="00312C62"/>
    <w:rsid w:val="00312CA9"/>
    <w:rsid w:val="00312CD8"/>
    <w:rsid w:val="00312D86"/>
    <w:rsid w:val="00312DB7"/>
    <w:rsid w:val="00312E3A"/>
    <w:rsid w:val="00312E43"/>
    <w:rsid w:val="00312E6E"/>
    <w:rsid w:val="00312EF6"/>
    <w:rsid w:val="00312F1C"/>
    <w:rsid w:val="00312F44"/>
    <w:rsid w:val="00312F7B"/>
    <w:rsid w:val="00312FBF"/>
    <w:rsid w:val="00313027"/>
    <w:rsid w:val="0031302C"/>
    <w:rsid w:val="0031303C"/>
    <w:rsid w:val="00313042"/>
    <w:rsid w:val="0031305C"/>
    <w:rsid w:val="00313079"/>
    <w:rsid w:val="003130E6"/>
    <w:rsid w:val="003130E7"/>
    <w:rsid w:val="003130F7"/>
    <w:rsid w:val="00313167"/>
    <w:rsid w:val="003131A6"/>
    <w:rsid w:val="003131C5"/>
    <w:rsid w:val="0031320C"/>
    <w:rsid w:val="00313224"/>
    <w:rsid w:val="0031325C"/>
    <w:rsid w:val="0031327E"/>
    <w:rsid w:val="00313368"/>
    <w:rsid w:val="0031336A"/>
    <w:rsid w:val="00313377"/>
    <w:rsid w:val="00313394"/>
    <w:rsid w:val="003133D2"/>
    <w:rsid w:val="0031346B"/>
    <w:rsid w:val="003134FE"/>
    <w:rsid w:val="0031354D"/>
    <w:rsid w:val="003135C1"/>
    <w:rsid w:val="003135E4"/>
    <w:rsid w:val="003135E9"/>
    <w:rsid w:val="003135F8"/>
    <w:rsid w:val="0031361B"/>
    <w:rsid w:val="00313635"/>
    <w:rsid w:val="00313637"/>
    <w:rsid w:val="003136D3"/>
    <w:rsid w:val="003136EE"/>
    <w:rsid w:val="00313768"/>
    <w:rsid w:val="003137F9"/>
    <w:rsid w:val="00313908"/>
    <w:rsid w:val="0031392E"/>
    <w:rsid w:val="00313935"/>
    <w:rsid w:val="00313980"/>
    <w:rsid w:val="003139FB"/>
    <w:rsid w:val="00313A15"/>
    <w:rsid w:val="00313A2B"/>
    <w:rsid w:val="00313A7D"/>
    <w:rsid w:val="00313ACA"/>
    <w:rsid w:val="00313B1A"/>
    <w:rsid w:val="00313B4A"/>
    <w:rsid w:val="00313BAC"/>
    <w:rsid w:val="00313BAF"/>
    <w:rsid w:val="00313BB4"/>
    <w:rsid w:val="00313BC6"/>
    <w:rsid w:val="00313BE8"/>
    <w:rsid w:val="00313C2B"/>
    <w:rsid w:val="00313C41"/>
    <w:rsid w:val="00313C8C"/>
    <w:rsid w:val="00313CD0"/>
    <w:rsid w:val="00313CEF"/>
    <w:rsid w:val="00313D52"/>
    <w:rsid w:val="00313D61"/>
    <w:rsid w:val="00313D75"/>
    <w:rsid w:val="00313D8A"/>
    <w:rsid w:val="00313DA7"/>
    <w:rsid w:val="00313DB6"/>
    <w:rsid w:val="00313DDB"/>
    <w:rsid w:val="00313DDD"/>
    <w:rsid w:val="00313DEE"/>
    <w:rsid w:val="00313E48"/>
    <w:rsid w:val="00313E52"/>
    <w:rsid w:val="00313E97"/>
    <w:rsid w:val="00313EA6"/>
    <w:rsid w:val="00313F41"/>
    <w:rsid w:val="00313F42"/>
    <w:rsid w:val="00313F46"/>
    <w:rsid w:val="00313FAB"/>
    <w:rsid w:val="003140A0"/>
    <w:rsid w:val="003140D6"/>
    <w:rsid w:val="003140EC"/>
    <w:rsid w:val="0031413A"/>
    <w:rsid w:val="00314144"/>
    <w:rsid w:val="00314190"/>
    <w:rsid w:val="00314203"/>
    <w:rsid w:val="0031429A"/>
    <w:rsid w:val="0031429E"/>
    <w:rsid w:val="003142A3"/>
    <w:rsid w:val="003142F1"/>
    <w:rsid w:val="00314308"/>
    <w:rsid w:val="00314344"/>
    <w:rsid w:val="00314356"/>
    <w:rsid w:val="0031438C"/>
    <w:rsid w:val="003143BA"/>
    <w:rsid w:val="003143D8"/>
    <w:rsid w:val="003143F0"/>
    <w:rsid w:val="00314415"/>
    <w:rsid w:val="003144C2"/>
    <w:rsid w:val="003144E7"/>
    <w:rsid w:val="003144EC"/>
    <w:rsid w:val="0031454F"/>
    <w:rsid w:val="00314586"/>
    <w:rsid w:val="0031464B"/>
    <w:rsid w:val="00314665"/>
    <w:rsid w:val="00314667"/>
    <w:rsid w:val="00314674"/>
    <w:rsid w:val="0031468A"/>
    <w:rsid w:val="0031469B"/>
    <w:rsid w:val="003146DA"/>
    <w:rsid w:val="00314714"/>
    <w:rsid w:val="00314778"/>
    <w:rsid w:val="003147A4"/>
    <w:rsid w:val="003147AF"/>
    <w:rsid w:val="003147F2"/>
    <w:rsid w:val="0031484B"/>
    <w:rsid w:val="0031485D"/>
    <w:rsid w:val="0031487B"/>
    <w:rsid w:val="00314891"/>
    <w:rsid w:val="003148BC"/>
    <w:rsid w:val="003148D9"/>
    <w:rsid w:val="003148FC"/>
    <w:rsid w:val="00314919"/>
    <w:rsid w:val="0031493C"/>
    <w:rsid w:val="00314946"/>
    <w:rsid w:val="00314952"/>
    <w:rsid w:val="00314987"/>
    <w:rsid w:val="003149BD"/>
    <w:rsid w:val="003149D6"/>
    <w:rsid w:val="00314A36"/>
    <w:rsid w:val="00314A6E"/>
    <w:rsid w:val="00314A98"/>
    <w:rsid w:val="00314AA1"/>
    <w:rsid w:val="00314AAA"/>
    <w:rsid w:val="00314B34"/>
    <w:rsid w:val="00314B3C"/>
    <w:rsid w:val="00314BF9"/>
    <w:rsid w:val="00314C18"/>
    <w:rsid w:val="00314C69"/>
    <w:rsid w:val="00314C74"/>
    <w:rsid w:val="00314C99"/>
    <w:rsid w:val="00314D2F"/>
    <w:rsid w:val="00314EFF"/>
    <w:rsid w:val="00314F54"/>
    <w:rsid w:val="00314F7F"/>
    <w:rsid w:val="00314F8C"/>
    <w:rsid w:val="00314FCF"/>
    <w:rsid w:val="00314FD3"/>
    <w:rsid w:val="00314FDA"/>
    <w:rsid w:val="0031500F"/>
    <w:rsid w:val="003150BF"/>
    <w:rsid w:val="00315166"/>
    <w:rsid w:val="0031518A"/>
    <w:rsid w:val="003151C1"/>
    <w:rsid w:val="003151E8"/>
    <w:rsid w:val="00315260"/>
    <w:rsid w:val="00315299"/>
    <w:rsid w:val="003152D8"/>
    <w:rsid w:val="003152E3"/>
    <w:rsid w:val="00315315"/>
    <w:rsid w:val="00315356"/>
    <w:rsid w:val="0031535E"/>
    <w:rsid w:val="00315401"/>
    <w:rsid w:val="00315406"/>
    <w:rsid w:val="00315414"/>
    <w:rsid w:val="00315473"/>
    <w:rsid w:val="0031547C"/>
    <w:rsid w:val="00315493"/>
    <w:rsid w:val="003154AA"/>
    <w:rsid w:val="0031550E"/>
    <w:rsid w:val="00315546"/>
    <w:rsid w:val="0031556D"/>
    <w:rsid w:val="00315570"/>
    <w:rsid w:val="00315590"/>
    <w:rsid w:val="00315591"/>
    <w:rsid w:val="003155C6"/>
    <w:rsid w:val="00315615"/>
    <w:rsid w:val="0031564F"/>
    <w:rsid w:val="00315678"/>
    <w:rsid w:val="003156CE"/>
    <w:rsid w:val="00315737"/>
    <w:rsid w:val="00315762"/>
    <w:rsid w:val="003157B0"/>
    <w:rsid w:val="00315835"/>
    <w:rsid w:val="00315877"/>
    <w:rsid w:val="003158F0"/>
    <w:rsid w:val="0031591A"/>
    <w:rsid w:val="0031591E"/>
    <w:rsid w:val="003159CF"/>
    <w:rsid w:val="00315A34"/>
    <w:rsid w:val="00315A59"/>
    <w:rsid w:val="00315A63"/>
    <w:rsid w:val="00315A75"/>
    <w:rsid w:val="00315A8B"/>
    <w:rsid w:val="00315AC5"/>
    <w:rsid w:val="00315B0A"/>
    <w:rsid w:val="00315B1D"/>
    <w:rsid w:val="00315B26"/>
    <w:rsid w:val="00315B44"/>
    <w:rsid w:val="00315B90"/>
    <w:rsid w:val="00315B9B"/>
    <w:rsid w:val="00315C03"/>
    <w:rsid w:val="00315C0F"/>
    <w:rsid w:val="00315C4B"/>
    <w:rsid w:val="00315CB3"/>
    <w:rsid w:val="00315CB5"/>
    <w:rsid w:val="00315CD6"/>
    <w:rsid w:val="00315CEB"/>
    <w:rsid w:val="00315CF6"/>
    <w:rsid w:val="00315D54"/>
    <w:rsid w:val="00315D55"/>
    <w:rsid w:val="00315D5A"/>
    <w:rsid w:val="00315D5B"/>
    <w:rsid w:val="00315D79"/>
    <w:rsid w:val="00315DB2"/>
    <w:rsid w:val="00315DC4"/>
    <w:rsid w:val="00315DF8"/>
    <w:rsid w:val="00315E8B"/>
    <w:rsid w:val="00315EB2"/>
    <w:rsid w:val="00315EB6"/>
    <w:rsid w:val="00315ECC"/>
    <w:rsid w:val="00315EE6"/>
    <w:rsid w:val="00315EEF"/>
    <w:rsid w:val="00315FC7"/>
    <w:rsid w:val="00315FD3"/>
    <w:rsid w:val="00315FD7"/>
    <w:rsid w:val="00315FDC"/>
    <w:rsid w:val="00315FE3"/>
    <w:rsid w:val="00315FE6"/>
    <w:rsid w:val="00316041"/>
    <w:rsid w:val="0031609A"/>
    <w:rsid w:val="003160B3"/>
    <w:rsid w:val="003160B6"/>
    <w:rsid w:val="003160C9"/>
    <w:rsid w:val="003160CD"/>
    <w:rsid w:val="003160FB"/>
    <w:rsid w:val="00316121"/>
    <w:rsid w:val="00316146"/>
    <w:rsid w:val="003161EC"/>
    <w:rsid w:val="0031622B"/>
    <w:rsid w:val="00316247"/>
    <w:rsid w:val="0031624B"/>
    <w:rsid w:val="0031629B"/>
    <w:rsid w:val="0031629F"/>
    <w:rsid w:val="003162BD"/>
    <w:rsid w:val="003162C7"/>
    <w:rsid w:val="00316344"/>
    <w:rsid w:val="00316354"/>
    <w:rsid w:val="00316365"/>
    <w:rsid w:val="003163A5"/>
    <w:rsid w:val="003163CC"/>
    <w:rsid w:val="003163ED"/>
    <w:rsid w:val="0031646D"/>
    <w:rsid w:val="0031647C"/>
    <w:rsid w:val="0031648A"/>
    <w:rsid w:val="003164B3"/>
    <w:rsid w:val="0031650B"/>
    <w:rsid w:val="0031650C"/>
    <w:rsid w:val="0031652D"/>
    <w:rsid w:val="003165A1"/>
    <w:rsid w:val="003165A3"/>
    <w:rsid w:val="003165B2"/>
    <w:rsid w:val="003165C1"/>
    <w:rsid w:val="003165D8"/>
    <w:rsid w:val="003165E7"/>
    <w:rsid w:val="00316695"/>
    <w:rsid w:val="0031674D"/>
    <w:rsid w:val="0031677D"/>
    <w:rsid w:val="0031679F"/>
    <w:rsid w:val="00316800"/>
    <w:rsid w:val="00316801"/>
    <w:rsid w:val="0031689C"/>
    <w:rsid w:val="003168FB"/>
    <w:rsid w:val="00316962"/>
    <w:rsid w:val="00316985"/>
    <w:rsid w:val="00316A19"/>
    <w:rsid w:val="00316A30"/>
    <w:rsid w:val="00316A3E"/>
    <w:rsid w:val="00316A40"/>
    <w:rsid w:val="00316A80"/>
    <w:rsid w:val="00316A8C"/>
    <w:rsid w:val="00316A90"/>
    <w:rsid w:val="00316AB1"/>
    <w:rsid w:val="00316ACD"/>
    <w:rsid w:val="00316BB1"/>
    <w:rsid w:val="00316C33"/>
    <w:rsid w:val="00316CC1"/>
    <w:rsid w:val="00316D2F"/>
    <w:rsid w:val="00316D61"/>
    <w:rsid w:val="00316DB6"/>
    <w:rsid w:val="00316DE7"/>
    <w:rsid w:val="00316E11"/>
    <w:rsid w:val="00316E12"/>
    <w:rsid w:val="00316E41"/>
    <w:rsid w:val="00316E49"/>
    <w:rsid w:val="00316E57"/>
    <w:rsid w:val="00316EEB"/>
    <w:rsid w:val="00316F00"/>
    <w:rsid w:val="00316F36"/>
    <w:rsid w:val="00316F73"/>
    <w:rsid w:val="00316F76"/>
    <w:rsid w:val="00316F91"/>
    <w:rsid w:val="00316FF3"/>
    <w:rsid w:val="00316FFC"/>
    <w:rsid w:val="0031705D"/>
    <w:rsid w:val="003170C6"/>
    <w:rsid w:val="003170D2"/>
    <w:rsid w:val="003170D5"/>
    <w:rsid w:val="0031712A"/>
    <w:rsid w:val="00317173"/>
    <w:rsid w:val="0031719D"/>
    <w:rsid w:val="003171F3"/>
    <w:rsid w:val="003173A3"/>
    <w:rsid w:val="003173D1"/>
    <w:rsid w:val="00317407"/>
    <w:rsid w:val="0031741F"/>
    <w:rsid w:val="00317430"/>
    <w:rsid w:val="0031745B"/>
    <w:rsid w:val="00317473"/>
    <w:rsid w:val="0031753C"/>
    <w:rsid w:val="00317598"/>
    <w:rsid w:val="003175BA"/>
    <w:rsid w:val="003175F4"/>
    <w:rsid w:val="003176D7"/>
    <w:rsid w:val="00317724"/>
    <w:rsid w:val="00317729"/>
    <w:rsid w:val="00317745"/>
    <w:rsid w:val="0031774E"/>
    <w:rsid w:val="00317754"/>
    <w:rsid w:val="0031779C"/>
    <w:rsid w:val="003177AF"/>
    <w:rsid w:val="003177CC"/>
    <w:rsid w:val="003177DB"/>
    <w:rsid w:val="003177EB"/>
    <w:rsid w:val="00317829"/>
    <w:rsid w:val="0031783B"/>
    <w:rsid w:val="00317860"/>
    <w:rsid w:val="00317864"/>
    <w:rsid w:val="00317873"/>
    <w:rsid w:val="00317890"/>
    <w:rsid w:val="00317897"/>
    <w:rsid w:val="0031797A"/>
    <w:rsid w:val="00317985"/>
    <w:rsid w:val="0031798E"/>
    <w:rsid w:val="00317991"/>
    <w:rsid w:val="0031799F"/>
    <w:rsid w:val="003179BC"/>
    <w:rsid w:val="003179C4"/>
    <w:rsid w:val="003179E1"/>
    <w:rsid w:val="00317A36"/>
    <w:rsid w:val="00317A63"/>
    <w:rsid w:val="00317AAF"/>
    <w:rsid w:val="00317AB7"/>
    <w:rsid w:val="00317AC4"/>
    <w:rsid w:val="00317B23"/>
    <w:rsid w:val="00317B6E"/>
    <w:rsid w:val="00317C1D"/>
    <w:rsid w:val="00317C71"/>
    <w:rsid w:val="00317CAB"/>
    <w:rsid w:val="00317D22"/>
    <w:rsid w:val="00317DB5"/>
    <w:rsid w:val="00317E2B"/>
    <w:rsid w:val="00317E49"/>
    <w:rsid w:val="00317E8A"/>
    <w:rsid w:val="00317E9F"/>
    <w:rsid w:val="00317EE5"/>
    <w:rsid w:val="00317F12"/>
    <w:rsid w:val="00317F29"/>
    <w:rsid w:val="00317F4E"/>
    <w:rsid w:val="00317F6A"/>
    <w:rsid w:val="00317F7B"/>
    <w:rsid w:val="00317F81"/>
    <w:rsid w:val="00317FC0"/>
    <w:rsid w:val="00317FC3"/>
    <w:rsid w:val="00317FE1"/>
    <w:rsid w:val="00320006"/>
    <w:rsid w:val="00320028"/>
    <w:rsid w:val="00320031"/>
    <w:rsid w:val="0032005A"/>
    <w:rsid w:val="00320062"/>
    <w:rsid w:val="00320080"/>
    <w:rsid w:val="003200D1"/>
    <w:rsid w:val="003200F3"/>
    <w:rsid w:val="0032016F"/>
    <w:rsid w:val="00320179"/>
    <w:rsid w:val="00320235"/>
    <w:rsid w:val="00320261"/>
    <w:rsid w:val="003202E1"/>
    <w:rsid w:val="00320367"/>
    <w:rsid w:val="0032036F"/>
    <w:rsid w:val="00320373"/>
    <w:rsid w:val="00320379"/>
    <w:rsid w:val="00320418"/>
    <w:rsid w:val="00320433"/>
    <w:rsid w:val="00320436"/>
    <w:rsid w:val="00320473"/>
    <w:rsid w:val="00320554"/>
    <w:rsid w:val="0032057C"/>
    <w:rsid w:val="003205C6"/>
    <w:rsid w:val="00320618"/>
    <w:rsid w:val="00320629"/>
    <w:rsid w:val="00320663"/>
    <w:rsid w:val="00320679"/>
    <w:rsid w:val="00320681"/>
    <w:rsid w:val="00320693"/>
    <w:rsid w:val="003206AA"/>
    <w:rsid w:val="003206D1"/>
    <w:rsid w:val="003206E5"/>
    <w:rsid w:val="003206E8"/>
    <w:rsid w:val="003206F3"/>
    <w:rsid w:val="003206FE"/>
    <w:rsid w:val="00320717"/>
    <w:rsid w:val="00320779"/>
    <w:rsid w:val="0032077F"/>
    <w:rsid w:val="00320807"/>
    <w:rsid w:val="0032082A"/>
    <w:rsid w:val="0032084E"/>
    <w:rsid w:val="00320869"/>
    <w:rsid w:val="0032086D"/>
    <w:rsid w:val="00320888"/>
    <w:rsid w:val="0032089C"/>
    <w:rsid w:val="00320901"/>
    <w:rsid w:val="0032092C"/>
    <w:rsid w:val="00320A1A"/>
    <w:rsid w:val="00320A40"/>
    <w:rsid w:val="00320A53"/>
    <w:rsid w:val="00320A61"/>
    <w:rsid w:val="00320AB0"/>
    <w:rsid w:val="00320ABA"/>
    <w:rsid w:val="00320ABB"/>
    <w:rsid w:val="00320AF7"/>
    <w:rsid w:val="00320B7C"/>
    <w:rsid w:val="00320CCB"/>
    <w:rsid w:val="00320D5B"/>
    <w:rsid w:val="00320D60"/>
    <w:rsid w:val="00320DC7"/>
    <w:rsid w:val="00320DE0"/>
    <w:rsid w:val="00320E67"/>
    <w:rsid w:val="00320E78"/>
    <w:rsid w:val="00320E93"/>
    <w:rsid w:val="00320E9C"/>
    <w:rsid w:val="00320EB1"/>
    <w:rsid w:val="00320EB3"/>
    <w:rsid w:val="00320F33"/>
    <w:rsid w:val="00320F3C"/>
    <w:rsid w:val="00320F45"/>
    <w:rsid w:val="00320F5E"/>
    <w:rsid w:val="00320F6B"/>
    <w:rsid w:val="00320F8A"/>
    <w:rsid w:val="00320F9B"/>
    <w:rsid w:val="00320FC0"/>
    <w:rsid w:val="0032111A"/>
    <w:rsid w:val="00321167"/>
    <w:rsid w:val="0032117F"/>
    <w:rsid w:val="00321187"/>
    <w:rsid w:val="0032119B"/>
    <w:rsid w:val="003211B5"/>
    <w:rsid w:val="003211FC"/>
    <w:rsid w:val="00321211"/>
    <w:rsid w:val="00321242"/>
    <w:rsid w:val="00321261"/>
    <w:rsid w:val="00321283"/>
    <w:rsid w:val="00321321"/>
    <w:rsid w:val="00321369"/>
    <w:rsid w:val="00321387"/>
    <w:rsid w:val="003213B5"/>
    <w:rsid w:val="003213BA"/>
    <w:rsid w:val="003213F1"/>
    <w:rsid w:val="0032149E"/>
    <w:rsid w:val="003214A1"/>
    <w:rsid w:val="003214AE"/>
    <w:rsid w:val="003214D3"/>
    <w:rsid w:val="003214D5"/>
    <w:rsid w:val="003214FD"/>
    <w:rsid w:val="00321532"/>
    <w:rsid w:val="0032154D"/>
    <w:rsid w:val="0032156A"/>
    <w:rsid w:val="003215BE"/>
    <w:rsid w:val="00321604"/>
    <w:rsid w:val="00321612"/>
    <w:rsid w:val="0032162C"/>
    <w:rsid w:val="00321631"/>
    <w:rsid w:val="0032165A"/>
    <w:rsid w:val="00321666"/>
    <w:rsid w:val="00321671"/>
    <w:rsid w:val="0032168E"/>
    <w:rsid w:val="0032168F"/>
    <w:rsid w:val="003216D1"/>
    <w:rsid w:val="003216F1"/>
    <w:rsid w:val="00321727"/>
    <w:rsid w:val="00321742"/>
    <w:rsid w:val="00321753"/>
    <w:rsid w:val="0032175A"/>
    <w:rsid w:val="003217A6"/>
    <w:rsid w:val="003217ED"/>
    <w:rsid w:val="00321816"/>
    <w:rsid w:val="0032183B"/>
    <w:rsid w:val="00321863"/>
    <w:rsid w:val="00321889"/>
    <w:rsid w:val="003218A4"/>
    <w:rsid w:val="003218DE"/>
    <w:rsid w:val="003218E4"/>
    <w:rsid w:val="003218F4"/>
    <w:rsid w:val="003219F7"/>
    <w:rsid w:val="003219FE"/>
    <w:rsid w:val="00321A2E"/>
    <w:rsid w:val="00321A44"/>
    <w:rsid w:val="00321AAC"/>
    <w:rsid w:val="00321AFF"/>
    <w:rsid w:val="00321B08"/>
    <w:rsid w:val="00321B37"/>
    <w:rsid w:val="00321B5C"/>
    <w:rsid w:val="00321B77"/>
    <w:rsid w:val="00321B97"/>
    <w:rsid w:val="00321BC8"/>
    <w:rsid w:val="00321BDB"/>
    <w:rsid w:val="00321C20"/>
    <w:rsid w:val="00321CAE"/>
    <w:rsid w:val="00321D45"/>
    <w:rsid w:val="00321D80"/>
    <w:rsid w:val="00321DC7"/>
    <w:rsid w:val="00321DDE"/>
    <w:rsid w:val="00321E1E"/>
    <w:rsid w:val="00321E39"/>
    <w:rsid w:val="00321E5D"/>
    <w:rsid w:val="00321E9B"/>
    <w:rsid w:val="00321EC6"/>
    <w:rsid w:val="00321ED8"/>
    <w:rsid w:val="00321ED9"/>
    <w:rsid w:val="00321EE1"/>
    <w:rsid w:val="00321F46"/>
    <w:rsid w:val="00321F63"/>
    <w:rsid w:val="00321F6C"/>
    <w:rsid w:val="00321FA7"/>
    <w:rsid w:val="00321FB9"/>
    <w:rsid w:val="00321FCC"/>
    <w:rsid w:val="00321FDE"/>
    <w:rsid w:val="00321FE7"/>
    <w:rsid w:val="003220BA"/>
    <w:rsid w:val="003220C1"/>
    <w:rsid w:val="003220C8"/>
    <w:rsid w:val="00322107"/>
    <w:rsid w:val="00322155"/>
    <w:rsid w:val="00322199"/>
    <w:rsid w:val="0032221B"/>
    <w:rsid w:val="00322239"/>
    <w:rsid w:val="00322340"/>
    <w:rsid w:val="0032238E"/>
    <w:rsid w:val="003223AF"/>
    <w:rsid w:val="003223D8"/>
    <w:rsid w:val="003223F7"/>
    <w:rsid w:val="00322456"/>
    <w:rsid w:val="0032245D"/>
    <w:rsid w:val="00322461"/>
    <w:rsid w:val="00322468"/>
    <w:rsid w:val="0032246E"/>
    <w:rsid w:val="00322472"/>
    <w:rsid w:val="00322474"/>
    <w:rsid w:val="00322505"/>
    <w:rsid w:val="00322511"/>
    <w:rsid w:val="0032257A"/>
    <w:rsid w:val="00322592"/>
    <w:rsid w:val="00322604"/>
    <w:rsid w:val="00322606"/>
    <w:rsid w:val="00322627"/>
    <w:rsid w:val="003226B6"/>
    <w:rsid w:val="003226C7"/>
    <w:rsid w:val="0032273A"/>
    <w:rsid w:val="0032276E"/>
    <w:rsid w:val="00322771"/>
    <w:rsid w:val="00322772"/>
    <w:rsid w:val="00322791"/>
    <w:rsid w:val="00322792"/>
    <w:rsid w:val="00322798"/>
    <w:rsid w:val="0032279C"/>
    <w:rsid w:val="0032280A"/>
    <w:rsid w:val="00322812"/>
    <w:rsid w:val="00322866"/>
    <w:rsid w:val="0032289E"/>
    <w:rsid w:val="003228AD"/>
    <w:rsid w:val="003228D2"/>
    <w:rsid w:val="0032291C"/>
    <w:rsid w:val="00322924"/>
    <w:rsid w:val="00322927"/>
    <w:rsid w:val="0032295F"/>
    <w:rsid w:val="00322964"/>
    <w:rsid w:val="00322971"/>
    <w:rsid w:val="0032298E"/>
    <w:rsid w:val="003229BB"/>
    <w:rsid w:val="003229FD"/>
    <w:rsid w:val="00322A11"/>
    <w:rsid w:val="00322A79"/>
    <w:rsid w:val="00322AC8"/>
    <w:rsid w:val="00322AD8"/>
    <w:rsid w:val="00322B22"/>
    <w:rsid w:val="00322B95"/>
    <w:rsid w:val="00322BB1"/>
    <w:rsid w:val="00322BB3"/>
    <w:rsid w:val="00322BCB"/>
    <w:rsid w:val="00322BF9"/>
    <w:rsid w:val="00322C56"/>
    <w:rsid w:val="00322C5A"/>
    <w:rsid w:val="00322C7C"/>
    <w:rsid w:val="00322C81"/>
    <w:rsid w:val="00322CA7"/>
    <w:rsid w:val="00322CB0"/>
    <w:rsid w:val="00322CE0"/>
    <w:rsid w:val="00322D25"/>
    <w:rsid w:val="00322D54"/>
    <w:rsid w:val="00322D6F"/>
    <w:rsid w:val="00322D84"/>
    <w:rsid w:val="00322DB1"/>
    <w:rsid w:val="00322DCB"/>
    <w:rsid w:val="00322DDA"/>
    <w:rsid w:val="00322E18"/>
    <w:rsid w:val="00322E3A"/>
    <w:rsid w:val="00322E43"/>
    <w:rsid w:val="00322E51"/>
    <w:rsid w:val="00322E5E"/>
    <w:rsid w:val="00322F57"/>
    <w:rsid w:val="00322F7B"/>
    <w:rsid w:val="00322F9F"/>
    <w:rsid w:val="00322FB3"/>
    <w:rsid w:val="00323039"/>
    <w:rsid w:val="00323069"/>
    <w:rsid w:val="003230EC"/>
    <w:rsid w:val="00323178"/>
    <w:rsid w:val="0032319F"/>
    <w:rsid w:val="003231EA"/>
    <w:rsid w:val="00323207"/>
    <w:rsid w:val="0032321A"/>
    <w:rsid w:val="00323284"/>
    <w:rsid w:val="003232B9"/>
    <w:rsid w:val="00323307"/>
    <w:rsid w:val="00323317"/>
    <w:rsid w:val="0032334C"/>
    <w:rsid w:val="0032336A"/>
    <w:rsid w:val="0032336C"/>
    <w:rsid w:val="00323381"/>
    <w:rsid w:val="00323391"/>
    <w:rsid w:val="003233D3"/>
    <w:rsid w:val="003233F6"/>
    <w:rsid w:val="00323432"/>
    <w:rsid w:val="0032345E"/>
    <w:rsid w:val="00323469"/>
    <w:rsid w:val="00323470"/>
    <w:rsid w:val="00323475"/>
    <w:rsid w:val="00323477"/>
    <w:rsid w:val="0032349A"/>
    <w:rsid w:val="003234A2"/>
    <w:rsid w:val="003234DC"/>
    <w:rsid w:val="003234EF"/>
    <w:rsid w:val="00323519"/>
    <w:rsid w:val="00323523"/>
    <w:rsid w:val="00323525"/>
    <w:rsid w:val="0032353A"/>
    <w:rsid w:val="00323541"/>
    <w:rsid w:val="003235CC"/>
    <w:rsid w:val="003235D4"/>
    <w:rsid w:val="00323641"/>
    <w:rsid w:val="00323667"/>
    <w:rsid w:val="0032366D"/>
    <w:rsid w:val="0032366E"/>
    <w:rsid w:val="0032368C"/>
    <w:rsid w:val="003236C1"/>
    <w:rsid w:val="003236CD"/>
    <w:rsid w:val="003236DF"/>
    <w:rsid w:val="00323730"/>
    <w:rsid w:val="00323764"/>
    <w:rsid w:val="0032377A"/>
    <w:rsid w:val="003237E8"/>
    <w:rsid w:val="003237EB"/>
    <w:rsid w:val="00323820"/>
    <w:rsid w:val="00323830"/>
    <w:rsid w:val="0032386A"/>
    <w:rsid w:val="003238E3"/>
    <w:rsid w:val="003238F9"/>
    <w:rsid w:val="00323916"/>
    <w:rsid w:val="00323921"/>
    <w:rsid w:val="00323925"/>
    <w:rsid w:val="00323951"/>
    <w:rsid w:val="00323955"/>
    <w:rsid w:val="0032399F"/>
    <w:rsid w:val="003239C2"/>
    <w:rsid w:val="003239EB"/>
    <w:rsid w:val="00323A11"/>
    <w:rsid w:val="00323A1B"/>
    <w:rsid w:val="00323A4F"/>
    <w:rsid w:val="00323B02"/>
    <w:rsid w:val="00323B9E"/>
    <w:rsid w:val="00323BCB"/>
    <w:rsid w:val="00323BD1"/>
    <w:rsid w:val="00323BDF"/>
    <w:rsid w:val="00323BF1"/>
    <w:rsid w:val="00323C15"/>
    <w:rsid w:val="00323C5F"/>
    <w:rsid w:val="00323C60"/>
    <w:rsid w:val="00323C83"/>
    <w:rsid w:val="00323C9B"/>
    <w:rsid w:val="00323CA1"/>
    <w:rsid w:val="00323DCD"/>
    <w:rsid w:val="00323E15"/>
    <w:rsid w:val="00323E99"/>
    <w:rsid w:val="00323EB2"/>
    <w:rsid w:val="00323EF3"/>
    <w:rsid w:val="00323EF8"/>
    <w:rsid w:val="00323F14"/>
    <w:rsid w:val="00323F55"/>
    <w:rsid w:val="00323FBC"/>
    <w:rsid w:val="00323FE8"/>
    <w:rsid w:val="00324009"/>
    <w:rsid w:val="00324067"/>
    <w:rsid w:val="00324095"/>
    <w:rsid w:val="003240B4"/>
    <w:rsid w:val="003240E2"/>
    <w:rsid w:val="00324105"/>
    <w:rsid w:val="00324161"/>
    <w:rsid w:val="00324192"/>
    <w:rsid w:val="00324196"/>
    <w:rsid w:val="003241D3"/>
    <w:rsid w:val="003241E5"/>
    <w:rsid w:val="003241F5"/>
    <w:rsid w:val="00324315"/>
    <w:rsid w:val="003243DC"/>
    <w:rsid w:val="003243E8"/>
    <w:rsid w:val="0032449E"/>
    <w:rsid w:val="003244B1"/>
    <w:rsid w:val="00324545"/>
    <w:rsid w:val="003245A3"/>
    <w:rsid w:val="003245E0"/>
    <w:rsid w:val="003245EC"/>
    <w:rsid w:val="0032461A"/>
    <w:rsid w:val="00324664"/>
    <w:rsid w:val="0032466F"/>
    <w:rsid w:val="00324670"/>
    <w:rsid w:val="003246BA"/>
    <w:rsid w:val="0032471D"/>
    <w:rsid w:val="0032473A"/>
    <w:rsid w:val="00324767"/>
    <w:rsid w:val="00324768"/>
    <w:rsid w:val="00324790"/>
    <w:rsid w:val="003247BB"/>
    <w:rsid w:val="0032483C"/>
    <w:rsid w:val="00324904"/>
    <w:rsid w:val="00324908"/>
    <w:rsid w:val="00324941"/>
    <w:rsid w:val="00324949"/>
    <w:rsid w:val="0032497E"/>
    <w:rsid w:val="003249D0"/>
    <w:rsid w:val="003249DE"/>
    <w:rsid w:val="003249E1"/>
    <w:rsid w:val="003249F6"/>
    <w:rsid w:val="00324A18"/>
    <w:rsid w:val="00324A26"/>
    <w:rsid w:val="00324A71"/>
    <w:rsid w:val="00324B18"/>
    <w:rsid w:val="00324B47"/>
    <w:rsid w:val="00324B4A"/>
    <w:rsid w:val="00324B7C"/>
    <w:rsid w:val="00324B9E"/>
    <w:rsid w:val="00324BE8"/>
    <w:rsid w:val="00324C15"/>
    <w:rsid w:val="00324CBE"/>
    <w:rsid w:val="00324CF0"/>
    <w:rsid w:val="00324CFA"/>
    <w:rsid w:val="00324D2E"/>
    <w:rsid w:val="00324D30"/>
    <w:rsid w:val="00324DC6"/>
    <w:rsid w:val="00324E5A"/>
    <w:rsid w:val="00324E81"/>
    <w:rsid w:val="00324E88"/>
    <w:rsid w:val="00324EA0"/>
    <w:rsid w:val="00324EE4"/>
    <w:rsid w:val="00324F1A"/>
    <w:rsid w:val="00324F27"/>
    <w:rsid w:val="00324F7C"/>
    <w:rsid w:val="00324FFC"/>
    <w:rsid w:val="00325026"/>
    <w:rsid w:val="0032504C"/>
    <w:rsid w:val="0032505B"/>
    <w:rsid w:val="00325061"/>
    <w:rsid w:val="003250B7"/>
    <w:rsid w:val="003250DF"/>
    <w:rsid w:val="0032511C"/>
    <w:rsid w:val="00325183"/>
    <w:rsid w:val="00325186"/>
    <w:rsid w:val="003251E3"/>
    <w:rsid w:val="00325201"/>
    <w:rsid w:val="0032524B"/>
    <w:rsid w:val="003252F4"/>
    <w:rsid w:val="0032532E"/>
    <w:rsid w:val="0032534D"/>
    <w:rsid w:val="0032544E"/>
    <w:rsid w:val="0032544F"/>
    <w:rsid w:val="003254C8"/>
    <w:rsid w:val="003254C9"/>
    <w:rsid w:val="003254EE"/>
    <w:rsid w:val="003254FD"/>
    <w:rsid w:val="003255B5"/>
    <w:rsid w:val="0032561F"/>
    <w:rsid w:val="00325629"/>
    <w:rsid w:val="00325645"/>
    <w:rsid w:val="00325671"/>
    <w:rsid w:val="003256E2"/>
    <w:rsid w:val="0032570F"/>
    <w:rsid w:val="0032571B"/>
    <w:rsid w:val="00325721"/>
    <w:rsid w:val="00325769"/>
    <w:rsid w:val="0032578B"/>
    <w:rsid w:val="0032579E"/>
    <w:rsid w:val="003257BF"/>
    <w:rsid w:val="003257EB"/>
    <w:rsid w:val="00325858"/>
    <w:rsid w:val="00325892"/>
    <w:rsid w:val="003258B3"/>
    <w:rsid w:val="003258EA"/>
    <w:rsid w:val="00325938"/>
    <w:rsid w:val="00325942"/>
    <w:rsid w:val="00325988"/>
    <w:rsid w:val="003259AD"/>
    <w:rsid w:val="003259BB"/>
    <w:rsid w:val="003259FF"/>
    <w:rsid w:val="00325A45"/>
    <w:rsid w:val="00325B2D"/>
    <w:rsid w:val="00325B4B"/>
    <w:rsid w:val="00325BB6"/>
    <w:rsid w:val="00325BCA"/>
    <w:rsid w:val="00325BD8"/>
    <w:rsid w:val="00325BDA"/>
    <w:rsid w:val="00325C54"/>
    <w:rsid w:val="00325C59"/>
    <w:rsid w:val="00325CCE"/>
    <w:rsid w:val="00325CDD"/>
    <w:rsid w:val="00325CEA"/>
    <w:rsid w:val="00325D78"/>
    <w:rsid w:val="00325DDB"/>
    <w:rsid w:val="00325DFA"/>
    <w:rsid w:val="00325E65"/>
    <w:rsid w:val="00325E9F"/>
    <w:rsid w:val="00325EC1"/>
    <w:rsid w:val="00325EE6"/>
    <w:rsid w:val="00325EF1"/>
    <w:rsid w:val="00325FB8"/>
    <w:rsid w:val="00326035"/>
    <w:rsid w:val="0032605C"/>
    <w:rsid w:val="0032609A"/>
    <w:rsid w:val="003260B6"/>
    <w:rsid w:val="003260BE"/>
    <w:rsid w:val="00326148"/>
    <w:rsid w:val="00326264"/>
    <w:rsid w:val="0032629C"/>
    <w:rsid w:val="003262C3"/>
    <w:rsid w:val="0032632A"/>
    <w:rsid w:val="0032633B"/>
    <w:rsid w:val="0032634E"/>
    <w:rsid w:val="00326380"/>
    <w:rsid w:val="00326468"/>
    <w:rsid w:val="0032647A"/>
    <w:rsid w:val="0032647F"/>
    <w:rsid w:val="0032653F"/>
    <w:rsid w:val="00326657"/>
    <w:rsid w:val="00326729"/>
    <w:rsid w:val="00326792"/>
    <w:rsid w:val="00326794"/>
    <w:rsid w:val="003267C1"/>
    <w:rsid w:val="003267FE"/>
    <w:rsid w:val="00326804"/>
    <w:rsid w:val="00326821"/>
    <w:rsid w:val="00326865"/>
    <w:rsid w:val="003268C3"/>
    <w:rsid w:val="003268C4"/>
    <w:rsid w:val="00326918"/>
    <w:rsid w:val="00326960"/>
    <w:rsid w:val="003269F6"/>
    <w:rsid w:val="00326A34"/>
    <w:rsid w:val="00326A53"/>
    <w:rsid w:val="00326AB4"/>
    <w:rsid w:val="00326B20"/>
    <w:rsid w:val="00326B22"/>
    <w:rsid w:val="00326BD6"/>
    <w:rsid w:val="00326C19"/>
    <w:rsid w:val="00326C60"/>
    <w:rsid w:val="00326C67"/>
    <w:rsid w:val="00326C8B"/>
    <w:rsid w:val="00326CA3"/>
    <w:rsid w:val="00326D3B"/>
    <w:rsid w:val="00326D51"/>
    <w:rsid w:val="00326D6C"/>
    <w:rsid w:val="00326D94"/>
    <w:rsid w:val="00326DAA"/>
    <w:rsid w:val="00326DB1"/>
    <w:rsid w:val="00326DF0"/>
    <w:rsid w:val="00326E5C"/>
    <w:rsid w:val="00326E70"/>
    <w:rsid w:val="00326E7F"/>
    <w:rsid w:val="00326EDD"/>
    <w:rsid w:val="00326F22"/>
    <w:rsid w:val="00326F62"/>
    <w:rsid w:val="00326F86"/>
    <w:rsid w:val="00326FC5"/>
    <w:rsid w:val="00326FD5"/>
    <w:rsid w:val="00326FED"/>
    <w:rsid w:val="00326FF2"/>
    <w:rsid w:val="00327009"/>
    <w:rsid w:val="00327011"/>
    <w:rsid w:val="00327089"/>
    <w:rsid w:val="0032708B"/>
    <w:rsid w:val="00327134"/>
    <w:rsid w:val="003271B3"/>
    <w:rsid w:val="003271C7"/>
    <w:rsid w:val="003271CC"/>
    <w:rsid w:val="00327285"/>
    <w:rsid w:val="003272AA"/>
    <w:rsid w:val="003272BC"/>
    <w:rsid w:val="00327317"/>
    <w:rsid w:val="0032731F"/>
    <w:rsid w:val="00327320"/>
    <w:rsid w:val="00327347"/>
    <w:rsid w:val="00327364"/>
    <w:rsid w:val="0032737B"/>
    <w:rsid w:val="0032742A"/>
    <w:rsid w:val="00327495"/>
    <w:rsid w:val="003274AE"/>
    <w:rsid w:val="003274FD"/>
    <w:rsid w:val="00327524"/>
    <w:rsid w:val="0032753D"/>
    <w:rsid w:val="003275B2"/>
    <w:rsid w:val="003275C6"/>
    <w:rsid w:val="003275DB"/>
    <w:rsid w:val="003275EA"/>
    <w:rsid w:val="00327621"/>
    <w:rsid w:val="0032762A"/>
    <w:rsid w:val="00327652"/>
    <w:rsid w:val="00327696"/>
    <w:rsid w:val="00327709"/>
    <w:rsid w:val="00327739"/>
    <w:rsid w:val="00327749"/>
    <w:rsid w:val="003277EA"/>
    <w:rsid w:val="0032780F"/>
    <w:rsid w:val="00327841"/>
    <w:rsid w:val="003278CB"/>
    <w:rsid w:val="003278E7"/>
    <w:rsid w:val="00327942"/>
    <w:rsid w:val="00327980"/>
    <w:rsid w:val="003279A6"/>
    <w:rsid w:val="003279DE"/>
    <w:rsid w:val="003279E1"/>
    <w:rsid w:val="003279F5"/>
    <w:rsid w:val="00327A01"/>
    <w:rsid w:val="00327A59"/>
    <w:rsid w:val="00327A77"/>
    <w:rsid w:val="00327A96"/>
    <w:rsid w:val="00327B48"/>
    <w:rsid w:val="00327B54"/>
    <w:rsid w:val="00327B74"/>
    <w:rsid w:val="00327B7F"/>
    <w:rsid w:val="00327BAD"/>
    <w:rsid w:val="00327BD9"/>
    <w:rsid w:val="00327BE2"/>
    <w:rsid w:val="00327C25"/>
    <w:rsid w:val="00327C87"/>
    <w:rsid w:val="00327C99"/>
    <w:rsid w:val="00327CAE"/>
    <w:rsid w:val="00327CAF"/>
    <w:rsid w:val="00327CB0"/>
    <w:rsid w:val="00327CC0"/>
    <w:rsid w:val="00327CCC"/>
    <w:rsid w:val="00327D2A"/>
    <w:rsid w:val="00327D36"/>
    <w:rsid w:val="00327D64"/>
    <w:rsid w:val="00327D95"/>
    <w:rsid w:val="00327E3D"/>
    <w:rsid w:val="00327E6C"/>
    <w:rsid w:val="00327E93"/>
    <w:rsid w:val="00327EF5"/>
    <w:rsid w:val="00327F10"/>
    <w:rsid w:val="00327F2C"/>
    <w:rsid w:val="00327F94"/>
    <w:rsid w:val="00327FA2"/>
    <w:rsid w:val="00327FC7"/>
    <w:rsid w:val="00327FD4"/>
    <w:rsid w:val="00330022"/>
    <w:rsid w:val="0033008A"/>
    <w:rsid w:val="003300C3"/>
    <w:rsid w:val="003300F6"/>
    <w:rsid w:val="00330102"/>
    <w:rsid w:val="0033010A"/>
    <w:rsid w:val="0033013B"/>
    <w:rsid w:val="003301FC"/>
    <w:rsid w:val="0033022D"/>
    <w:rsid w:val="00330253"/>
    <w:rsid w:val="0033026B"/>
    <w:rsid w:val="003302A7"/>
    <w:rsid w:val="003302AE"/>
    <w:rsid w:val="00330302"/>
    <w:rsid w:val="00330320"/>
    <w:rsid w:val="0033036D"/>
    <w:rsid w:val="00330386"/>
    <w:rsid w:val="00330400"/>
    <w:rsid w:val="00330406"/>
    <w:rsid w:val="00330429"/>
    <w:rsid w:val="0033045F"/>
    <w:rsid w:val="0033046B"/>
    <w:rsid w:val="003304A3"/>
    <w:rsid w:val="0033052E"/>
    <w:rsid w:val="0033058E"/>
    <w:rsid w:val="003305C2"/>
    <w:rsid w:val="0033065F"/>
    <w:rsid w:val="00330695"/>
    <w:rsid w:val="003306F7"/>
    <w:rsid w:val="0033072C"/>
    <w:rsid w:val="0033072F"/>
    <w:rsid w:val="0033074C"/>
    <w:rsid w:val="0033075B"/>
    <w:rsid w:val="00330791"/>
    <w:rsid w:val="0033079E"/>
    <w:rsid w:val="003307AA"/>
    <w:rsid w:val="003307FF"/>
    <w:rsid w:val="0033087A"/>
    <w:rsid w:val="0033089F"/>
    <w:rsid w:val="003308EE"/>
    <w:rsid w:val="00330907"/>
    <w:rsid w:val="00330944"/>
    <w:rsid w:val="00330968"/>
    <w:rsid w:val="003309B7"/>
    <w:rsid w:val="00330A48"/>
    <w:rsid w:val="00330A59"/>
    <w:rsid w:val="00330A64"/>
    <w:rsid w:val="00330A6D"/>
    <w:rsid w:val="00330A6E"/>
    <w:rsid w:val="00330A7C"/>
    <w:rsid w:val="00330B51"/>
    <w:rsid w:val="00330BE2"/>
    <w:rsid w:val="00330C3D"/>
    <w:rsid w:val="00330C6F"/>
    <w:rsid w:val="00330C8A"/>
    <w:rsid w:val="00330CF9"/>
    <w:rsid w:val="00330D11"/>
    <w:rsid w:val="00330D12"/>
    <w:rsid w:val="00330D16"/>
    <w:rsid w:val="00330D3A"/>
    <w:rsid w:val="00330D43"/>
    <w:rsid w:val="00330D46"/>
    <w:rsid w:val="00330D72"/>
    <w:rsid w:val="00330D7D"/>
    <w:rsid w:val="00330DAB"/>
    <w:rsid w:val="00330DD8"/>
    <w:rsid w:val="00330DD9"/>
    <w:rsid w:val="00330EF0"/>
    <w:rsid w:val="00330F1A"/>
    <w:rsid w:val="00330F5B"/>
    <w:rsid w:val="00330F9B"/>
    <w:rsid w:val="00330FC9"/>
    <w:rsid w:val="00331052"/>
    <w:rsid w:val="00331078"/>
    <w:rsid w:val="003310AC"/>
    <w:rsid w:val="003310B6"/>
    <w:rsid w:val="00331116"/>
    <w:rsid w:val="00331121"/>
    <w:rsid w:val="0033112B"/>
    <w:rsid w:val="0033119A"/>
    <w:rsid w:val="0033119B"/>
    <w:rsid w:val="003311B2"/>
    <w:rsid w:val="003311CB"/>
    <w:rsid w:val="003311E4"/>
    <w:rsid w:val="00331209"/>
    <w:rsid w:val="0033121B"/>
    <w:rsid w:val="00331252"/>
    <w:rsid w:val="00331305"/>
    <w:rsid w:val="00331319"/>
    <w:rsid w:val="0033131A"/>
    <w:rsid w:val="0033133E"/>
    <w:rsid w:val="00331357"/>
    <w:rsid w:val="00331366"/>
    <w:rsid w:val="0033141E"/>
    <w:rsid w:val="003314B0"/>
    <w:rsid w:val="003314DD"/>
    <w:rsid w:val="003314FA"/>
    <w:rsid w:val="00331546"/>
    <w:rsid w:val="0033154C"/>
    <w:rsid w:val="00331554"/>
    <w:rsid w:val="00331576"/>
    <w:rsid w:val="00331599"/>
    <w:rsid w:val="003315C9"/>
    <w:rsid w:val="003315CB"/>
    <w:rsid w:val="003315DF"/>
    <w:rsid w:val="003315FC"/>
    <w:rsid w:val="0033160B"/>
    <w:rsid w:val="00331618"/>
    <w:rsid w:val="00331663"/>
    <w:rsid w:val="0033167C"/>
    <w:rsid w:val="003316AD"/>
    <w:rsid w:val="0033171C"/>
    <w:rsid w:val="00331722"/>
    <w:rsid w:val="00331759"/>
    <w:rsid w:val="00331793"/>
    <w:rsid w:val="003317C1"/>
    <w:rsid w:val="00331821"/>
    <w:rsid w:val="0033185E"/>
    <w:rsid w:val="00331866"/>
    <w:rsid w:val="0033189F"/>
    <w:rsid w:val="00331926"/>
    <w:rsid w:val="00331927"/>
    <w:rsid w:val="00331A0F"/>
    <w:rsid w:val="00331A1A"/>
    <w:rsid w:val="00331A3D"/>
    <w:rsid w:val="00331A59"/>
    <w:rsid w:val="00331A70"/>
    <w:rsid w:val="00331A83"/>
    <w:rsid w:val="00331AA0"/>
    <w:rsid w:val="00331AAE"/>
    <w:rsid w:val="00331AE2"/>
    <w:rsid w:val="00331B5A"/>
    <w:rsid w:val="00331B61"/>
    <w:rsid w:val="00331B6E"/>
    <w:rsid w:val="00331B95"/>
    <w:rsid w:val="00331BF5"/>
    <w:rsid w:val="00331C25"/>
    <w:rsid w:val="00331C58"/>
    <w:rsid w:val="00331CA5"/>
    <w:rsid w:val="00331D29"/>
    <w:rsid w:val="00331D3E"/>
    <w:rsid w:val="00331D55"/>
    <w:rsid w:val="00331D88"/>
    <w:rsid w:val="00331DEF"/>
    <w:rsid w:val="00331DFA"/>
    <w:rsid w:val="00331E20"/>
    <w:rsid w:val="00331E26"/>
    <w:rsid w:val="00331E69"/>
    <w:rsid w:val="00331E77"/>
    <w:rsid w:val="00331EEF"/>
    <w:rsid w:val="00331F37"/>
    <w:rsid w:val="00331F40"/>
    <w:rsid w:val="00331F66"/>
    <w:rsid w:val="00331F75"/>
    <w:rsid w:val="00331FD8"/>
    <w:rsid w:val="00332033"/>
    <w:rsid w:val="00332064"/>
    <w:rsid w:val="003320A7"/>
    <w:rsid w:val="003321A1"/>
    <w:rsid w:val="003321B9"/>
    <w:rsid w:val="003321BE"/>
    <w:rsid w:val="003321E1"/>
    <w:rsid w:val="003321EC"/>
    <w:rsid w:val="00332269"/>
    <w:rsid w:val="00332288"/>
    <w:rsid w:val="0033231E"/>
    <w:rsid w:val="00332321"/>
    <w:rsid w:val="00332353"/>
    <w:rsid w:val="0033235B"/>
    <w:rsid w:val="003323C8"/>
    <w:rsid w:val="003323CD"/>
    <w:rsid w:val="00332481"/>
    <w:rsid w:val="003324B6"/>
    <w:rsid w:val="003324C8"/>
    <w:rsid w:val="003324D7"/>
    <w:rsid w:val="003324EB"/>
    <w:rsid w:val="00332607"/>
    <w:rsid w:val="00332618"/>
    <w:rsid w:val="003326AB"/>
    <w:rsid w:val="003326B4"/>
    <w:rsid w:val="003326C3"/>
    <w:rsid w:val="003326F0"/>
    <w:rsid w:val="00332701"/>
    <w:rsid w:val="0033270A"/>
    <w:rsid w:val="003327B1"/>
    <w:rsid w:val="003327E7"/>
    <w:rsid w:val="0033282B"/>
    <w:rsid w:val="0033287F"/>
    <w:rsid w:val="003328B6"/>
    <w:rsid w:val="003328BF"/>
    <w:rsid w:val="003328E9"/>
    <w:rsid w:val="00332924"/>
    <w:rsid w:val="0033292C"/>
    <w:rsid w:val="0033295F"/>
    <w:rsid w:val="003329B2"/>
    <w:rsid w:val="00332A4E"/>
    <w:rsid w:val="00332A51"/>
    <w:rsid w:val="00332A8C"/>
    <w:rsid w:val="00332AB8"/>
    <w:rsid w:val="00332AF0"/>
    <w:rsid w:val="00332B2F"/>
    <w:rsid w:val="00332B77"/>
    <w:rsid w:val="00332B91"/>
    <w:rsid w:val="00332BD9"/>
    <w:rsid w:val="00332BEB"/>
    <w:rsid w:val="00332C19"/>
    <w:rsid w:val="00332C4C"/>
    <w:rsid w:val="00332C56"/>
    <w:rsid w:val="00332C6C"/>
    <w:rsid w:val="00332CAA"/>
    <w:rsid w:val="00332CB8"/>
    <w:rsid w:val="00332D21"/>
    <w:rsid w:val="00332D65"/>
    <w:rsid w:val="00332DC0"/>
    <w:rsid w:val="00332DC9"/>
    <w:rsid w:val="00332E28"/>
    <w:rsid w:val="00332E4E"/>
    <w:rsid w:val="00332E6E"/>
    <w:rsid w:val="00332E8F"/>
    <w:rsid w:val="00332E96"/>
    <w:rsid w:val="00332EE5"/>
    <w:rsid w:val="00332EEF"/>
    <w:rsid w:val="00332EF1"/>
    <w:rsid w:val="00332EFC"/>
    <w:rsid w:val="00332F3E"/>
    <w:rsid w:val="00332F5F"/>
    <w:rsid w:val="00332F8C"/>
    <w:rsid w:val="00333027"/>
    <w:rsid w:val="00333090"/>
    <w:rsid w:val="003330AF"/>
    <w:rsid w:val="003330B2"/>
    <w:rsid w:val="003330D2"/>
    <w:rsid w:val="003330E8"/>
    <w:rsid w:val="003330F4"/>
    <w:rsid w:val="003330F8"/>
    <w:rsid w:val="00333104"/>
    <w:rsid w:val="0033314D"/>
    <w:rsid w:val="00333184"/>
    <w:rsid w:val="00333185"/>
    <w:rsid w:val="003331A2"/>
    <w:rsid w:val="003332C0"/>
    <w:rsid w:val="003332DA"/>
    <w:rsid w:val="00333309"/>
    <w:rsid w:val="00333332"/>
    <w:rsid w:val="0033334C"/>
    <w:rsid w:val="003333A5"/>
    <w:rsid w:val="00333416"/>
    <w:rsid w:val="0033344B"/>
    <w:rsid w:val="00333463"/>
    <w:rsid w:val="003334AB"/>
    <w:rsid w:val="003334DC"/>
    <w:rsid w:val="00333535"/>
    <w:rsid w:val="00333591"/>
    <w:rsid w:val="003335CC"/>
    <w:rsid w:val="003335DB"/>
    <w:rsid w:val="003335E4"/>
    <w:rsid w:val="003335E8"/>
    <w:rsid w:val="0033360D"/>
    <w:rsid w:val="00333630"/>
    <w:rsid w:val="0033366B"/>
    <w:rsid w:val="00333682"/>
    <w:rsid w:val="0033368D"/>
    <w:rsid w:val="0033370E"/>
    <w:rsid w:val="00333753"/>
    <w:rsid w:val="00333779"/>
    <w:rsid w:val="00333794"/>
    <w:rsid w:val="0033379B"/>
    <w:rsid w:val="00333801"/>
    <w:rsid w:val="00333822"/>
    <w:rsid w:val="00333824"/>
    <w:rsid w:val="0033382F"/>
    <w:rsid w:val="00333865"/>
    <w:rsid w:val="00333867"/>
    <w:rsid w:val="003338E4"/>
    <w:rsid w:val="0033393A"/>
    <w:rsid w:val="0033394D"/>
    <w:rsid w:val="00333966"/>
    <w:rsid w:val="00333986"/>
    <w:rsid w:val="00333996"/>
    <w:rsid w:val="003339E9"/>
    <w:rsid w:val="00333A0C"/>
    <w:rsid w:val="00333A1B"/>
    <w:rsid w:val="00333A2C"/>
    <w:rsid w:val="00333A4C"/>
    <w:rsid w:val="00333A57"/>
    <w:rsid w:val="00333A86"/>
    <w:rsid w:val="00333ACC"/>
    <w:rsid w:val="00333B15"/>
    <w:rsid w:val="00333B4F"/>
    <w:rsid w:val="00333B51"/>
    <w:rsid w:val="00333B6D"/>
    <w:rsid w:val="00333B8C"/>
    <w:rsid w:val="00333BC2"/>
    <w:rsid w:val="00333C45"/>
    <w:rsid w:val="00333C8B"/>
    <w:rsid w:val="00333CF3"/>
    <w:rsid w:val="00333CFF"/>
    <w:rsid w:val="00333D72"/>
    <w:rsid w:val="00333DBB"/>
    <w:rsid w:val="00333E00"/>
    <w:rsid w:val="00333ED9"/>
    <w:rsid w:val="00333F58"/>
    <w:rsid w:val="00333FE9"/>
    <w:rsid w:val="00333FEC"/>
    <w:rsid w:val="00333FF5"/>
    <w:rsid w:val="0033405C"/>
    <w:rsid w:val="003340A2"/>
    <w:rsid w:val="003340FB"/>
    <w:rsid w:val="00334117"/>
    <w:rsid w:val="0033415D"/>
    <w:rsid w:val="0033421B"/>
    <w:rsid w:val="00334227"/>
    <w:rsid w:val="00334240"/>
    <w:rsid w:val="00334265"/>
    <w:rsid w:val="00334266"/>
    <w:rsid w:val="00334267"/>
    <w:rsid w:val="003342A7"/>
    <w:rsid w:val="00334319"/>
    <w:rsid w:val="00334323"/>
    <w:rsid w:val="0033432A"/>
    <w:rsid w:val="00334335"/>
    <w:rsid w:val="0033435F"/>
    <w:rsid w:val="0033437A"/>
    <w:rsid w:val="003343D9"/>
    <w:rsid w:val="0033441C"/>
    <w:rsid w:val="00334438"/>
    <w:rsid w:val="0033444B"/>
    <w:rsid w:val="00334495"/>
    <w:rsid w:val="003344A2"/>
    <w:rsid w:val="003344F9"/>
    <w:rsid w:val="003344FD"/>
    <w:rsid w:val="0033451D"/>
    <w:rsid w:val="0033451E"/>
    <w:rsid w:val="00334520"/>
    <w:rsid w:val="00334570"/>
    <w:rsid w:val="003345C4"/>
    <w:rsid w:val="003345D9"/>
    <w:rsid w:val="003345E5"/>
    <w:rsid w:val="0033460F"/>
    <w:rsid w:val="0033464D"/>
    <w:rsid w:val="0033464F"/>
    <w:rsid w:val="003346A0"/>
    <w:rsid w:val="003346BB"/>
    <w:rsid w:val="003346C8"/>
    <w:rsid w:val="003346ED"/>
    <w:rsid w:val="003347A4"/>
    <w:rsid w:val="003347F5"/>
    <w:rsid w:val="00334810"/>
    <w:rsid w:val="00334812"/>
    <w:rsid w:val="0033481D"/>
    <w:rsid w:val="003348AB"/>
    <w:rsid w:val="00334908"/>
    <w:rsid w:val="00334946"/>
    <w:rsid w:val="00334970"/>
    <w:rsid w:val="003349E4"/>
    <w:rsid w:val="003349F7"/>
    <w:rsid w:val="00334A18"/>
    <w:rsid w:val="00334A29"/>
    <w:rsid w:val="00334A4F"/>
    <w:rsid w:val="00334A80"/>
    <w:rsid w:val="00334A85"/>
    <w:rsid w:val="00334AB1"/>
    <w:rsid w:val="00334ACC"/>
    <w:rsid w:val="00334AF5"/>
    <w:rsid w:val="00334B44"/>
    <w:rsid w:val="00334B60"/>
    <w:rsid w:val="00334BCA"/>
    <w:rsid w:val="00334BEA"/>
    <w:rsid w:val="00334C4F"/>
    <w:rsid w:val="00334C74"/>
    <w:rsid w:val="00334C97"/>
    <w:rsid w:val="00334CAE"/>
    <w:rsid w:val="00334CE4"/>
    <w:rsid w:val="00334CEA"/>
    <w:rsid w:val="00334D6C"/>
    <w:rsid w:val="00334D8F"/>
    <w:rsid w:val="00334DD8"/>
    <w:rsid w:val="00334E4F"/>
    <w:rsid w:val="00334E5F"/>
    <w:rsid w:val="00334E6E"/>
    <w:rsid w:val="00334E99"/>
    <w:rsid w:val="00334EC7"/>
    <w:rsid w:val="00334F70"/>
    <w:rsid w:val="00334F8E"/>
    <w:rsid w:val="00334FC7"/>
    <w:rsid w:val="00334FEC"/>
    <w:rsid w:val="0033500B"/>
    <w:rsid w:val="00335084"/>
    <w:rsid w:val="00335093"/>
    <w:rsid w:val="003350B7"/>
    <w:rsid w:val="00335109"/>
    <w:rsid w:val="003351A3"/>
    <w:rsid w:val="00335215"/>
    <w:rsid w:val="0033521D"/>
    <w:rsid w:val="0033522D"/>
    <w:rsid w:val="00335232"/>
    <w:rsid w:val="0033523E"/>
    <w:rsid w:val="00335263"/>
    <w:rsid w:val="00335275"/>
    <w:rsid w:val="0033528C"/>
    <w:rsid w:val="003352A8"/>
    <w:rsid w:val="003352BD"/>
    <w:rsid w:val="003352DC"/>
    <w:rsid w:val="00335415"/>
    <w:rsid w:val="0033542B"/>
    <w:rsid w:val="00335475"/>
    <w:rsid w:val="00335488"/>
    <w:rsid w:val="003354C2"/>
    <w:rsid w:val="00335500"/>
    <w:rsid w:val="0033550E"/>
    <w:rsid w:val="00335577"/>
    <w:rsid w:val="00335588"/>
    <w:rsid w:val="003355B5"/>
    <w:rsid w:val="003355D7"/>
    <w:rsid w:val="003355DB"/>
    <w:rsid w:val="0033565A"/>
    <w:rsid w:val="00335729"/>
    <w:rsid w:val="0033573E"/>
    <w:rsid w:val="00335756"/>
    <w:rsid w:val="003357B8"/>
    <w:rsid w:val="003357DF"/>
    <w:rsid w:val="003357E1"/>
    <w:rsid w:val="00335806"/>
    <w:rsid w:val="0033586A"/>
    <w:rsid w:val="003358E5"/>
    <w:rsid w:val="0033590D"/>
    <w:rsid w:val="00335918"/>
    <w:rsid w:val="00335947"/>
    <w:rsid w:val="0033594C"/>
    <w:rsid w:val="00335955"/>
    <w:rsid w:val="0033597F"/>
    <w:rsid w:val="003359A7"/>
    <w:rsid w:val="003359CE"/>
    <w:rsid w:val="00335A1E"/>
    <w:rsid w:val="00335A91"/>
    <w:rsid w:val="00335ABA"/>
    <w:rsid w:val="00335AD4"/>
    <w:rsid w:val="00335B1F"/>
    <w:rsid w:val="00335B23"/>
    <w:rsid w:val="00335B3F"/>
    <w:rsid w:val="00335B7D"/>
    <w:rsid w:val="00335BAD"/>
    <w:rsid w:val="00335BDE"/>
    <w:rsid w:val="00335C0D"/>
    <w:rsid w:val="00335C26"/>
    <w:rsid w:val="00335C3A"/>
    <w:rsid w:val="00335C4A"/>
    <w:rsid w:val="00335C60"/>
    <w:rsid w:val="00335C6C"/>
    <w:rsid w:val="00335C73"/>
    <w:rsid w:val="00335C76"/>
    <w:rsid w:val="00335CC5"/>
    <w:rsid w:val="00335CF3"/>
    <w:rsid w:val="00335CFE"/>
    <w:rsid w:val="00335D0C"/>
    <w:rsid w:val="00335D1E"/>
    <w:rsid w:val="00335D24"/>
    <w:rsid w:val="00335D51"/>
    <w:rsid w:val="00335D9E"/>
    <w:rsid w:val="00335DA0"/>
    <w:rsid w:val="00335DAB"/>
    <w:rsid w:val="00335DCD"/>
    <w:rsid w:val="00335E7A"/>
    <w:rsid w:val="00335EB8"/>
    <w:rsid w:val="00335EE6"/>
    <w:rsid w:val="00335FA6"/>
    <w:rsid w:val="00335FC8"/>
    <w:rsid w:val="00336001"/>
    <w:rsid w:val="00336025"/>
    <w:rsid w:val="00336089"/>
    <w:rsid w:val="003360C9"/>
    <w:rsid w:val="003360F9"/>
    <w:rsid w:val="00336169"/>
    <w:rsid w:val="00336172"/>
    <w:rsid w:val="003361A1"/>
    <w:rsid w:val="003361B8"/>
    <w:rsid w:val="003361CF"/>
    <w:rsid w:val="00336211"/>
    <w:rsid w:val="00336225"/>
    <w:rsid w:val="00336268"/>
    <w:rsid w:val="00336299"/>
    <w:rsid w:val="003362CB"/>
    <w:rsid w:val="003362D5"/>
    <w:rsid w:val="003362D8"/>
    <w:rsid w:val="0033631E"/>
    <w:rsid w:val="00336322"/>
    <w:rsid w:val="00336368"/>
    <w:rsid w:val="003363D0"/>
    <w:rsid w:val="00336404"/>
    <w:rsid w:val="0033649C"/>
    <w:rsid w:val="003364CE"/>
    <w:rsid w:val="003364D2"/>
    <w:rsid w:val="003364EC"/>
    <w:rsid w:val="003364FE"/>
    <w:rsid w:val="00336507"/>
    <w:rsid w:val="0033651A"/>
    <w:rsid w:val="0033651E"/>
    <w:rsid w:val="00336541"/>
    <w:rsid w:val="003365E5"/>
    <w:rsid w:val="00336617"/>
    <w:rsid w:val="0033664B"/>
    <w:rsid w:val="00336692"/>
    <w:rsid w:val="003366D1"/>
    <w:rsid w:val="00336715"/>
    <w:rsid w:val="0033674A"/>
    <w:rsid w:val="0033676C"/>
    <w:rsid w:val="003367B2"/>
    <w:rsid w:val="003367E2"/>
    <w:rsid w:val="003367F7"/>
    <w:rsid w:val="003368A2"/>
    <w:rsid w:val="003368D0"/>
    <w:rsid w:val="003368E3"/>
    <w:rsid w:val="00336927"/>
    <w:rsid w:val="00336A19"/>
    <w:rsid w:val="00336A9E"/>
    <w:rsid w:val="00336B3C"/>
    <w:rsid w:val="00336B4C"/>
    <w:rsid w:val="00336B54"/>
    <w:rsid w:val="00336B67"/>
    <w:rsid w:val="00336B8C"/>
    <w:rsid w:val="00336BE8"/>
    <w:rsid w:val="00336C38"/>
    <w:rsid w:val="00336CB1"/>
    <w:rsid w:val="00336CD1"/>
    <w:rsid w:val="00336D2E"/>
    <w:rsid w:val="00336D37"/>
    <w:rsid w:val="00336DD1"/>
    <w:rsid w:val="00336E10"/>
    <w:rsid w:val="00336E1E"/>
    <w:rsid w:val="00336E41"/>
    <w:rsid w:val="00336E5B"/>
    <w:rsid w:val="00336E6D"/>
    <w:rsid w:val="00336E7C"/>
    <w:rsid w:val="00336E95"/>
    <w:rsid w:val="00336EB8"/>
    <w:rsid w:val="00336EF0"/>
    <w:rsid w:val="00336F26"/>
    <w:rsid w:val="00336F35"/>
    <w:rsid w:val="00336F85"/>
    <w:rsid w:val="00336FB1"/>
    <w:rsid w:val="00336FD4"/>
    <w:rsid w:val="00337000"/>
    <w:rsid w:val="0033702C"/>
    <w:rsid w:val="003370BD"/>
    <w:rsid w:val="003370FB"/>
    <w:rsid w:val="00337145"/>
    <w:rsid w:val="003371FB"/>
    <w:rsid w:val="0033720A"/>
    <w:rsid w:val="0033722E"/>
    <w:rsid w:val="00337259"/>
    <w:rsid w:val="00337265"/>
    <w:rsid w:val="00337270"/>
    <w:rsid w:val="00337277"/>
    <w:rsid w:val="00337291"/>
    <w:rsid w:val="00337297"/>
    <w:rsid w:val="0033734B"/>
    <w:rsid w:val="0033734F"/>
    <w:rsid w:val="00337439"/>
    <w:rsid w:val="0033743F"/>
    <w:rsid w:val="0033744F"/>
    <w:rsid w:val="0033749E"/>
    <w:rsid w:val="003374B3"/>
    <w:rsid w:val="003374EF"/>
    <w:rsid w:val="0033753D"/>
    <w:rsid w:val="00337582"/>
    <w:rsid w:val="003375C7"/>
    <w:rsid w:val="003375D1"/>
    <w:rsid w:val="003376A0"/>
    <w:rsid w:val="003376BE"/>
    <w:rsid w:val="003376C0"/>
    <w:rsid w:val="00337703"/>
    <w:rsid w:val="0033772C"/>
    <w:rsid w:val="00337746"/>
    <w:rsid w:val="003377B9"/>
    <w:rsid w:val="003377E1"/>
    <w:rsid w:val="003377F5"/>
    <w:rsid w:val="00337838"/>
    <w:rsid w:val="003378B9"/>
    <w:rsid w:val="003378C3"/>
    <w:rsid w:val="003378E0"/>
    <w:rsid w:val="003378FD"/>
    <w:rsid w:val="00337932"/>
    <w:rsid w:val="00337960"/>
    <w:rsid w:val="0033797B"/>
    <w:rsid w:val="0033798E"/>
    <w:rsid w:val="003379A1"/>
    <w:rsid w:val="003379BD"/>
    <w:rsid w:val="003379FD"/>
    <w:rsid w:val="00337A02"/>
    <w:rsid w:val="00337A05"/>
    <w:rsid w:val="00337A85"/>
    <w:rsid w:val="00337AAF"/>
    <w:rsid w:val="00337AFA"/>
    <w:rsid w:val="00337B01"/>
    <w:rsid w:val="00337B5B"/>
    <w:rsid w:val="00337B9C"/>
    <w:rsid w:val="00337BA1"/>
    <w:rsid w:val="00337BB6"/>
    <w:rsid w:val="00337BC7"/>
    <w:rsid w:val="00337BD7"/>
    <w:rsid w:val="00337BF8"/>
    <w:rsid w:val="00337C2B"/>
    <w:rsid w:val="00337C3A"/>
    <w:rsid w:val="00337CB3"/>
    <w:rsid w:val="00337CC1"/>
    <w:rsid w:val="00337CCA"/>
    <w:rsid w:val="00337CD7"/>
    <w:rsid w:val="00337CF7"/>
    <w:rsid w:val="00337D24"/>
    <w:rsid w:val="00337E48"/>
    <w:rsid w:val="00337E76"/>
    <w:rsid w:val="00337E93"/>
    <w:rsid w:val="00337EAB"/>
    <w:rsid w:val="00337EC6"/>
    <w:rsid w:val="00337EC7"/>
    <w:rsid w:val="00337F69"/>
    <w:rsid w:val="00337F77"/>
    <w:rsid w:val="00337F86"/>
    <w:rsid w:val="00337F88"/>
    <w:rsid w:val="00337F8F"/>
    <w:rsid w:val="00337FD6"/>
    <w:rsid w:val="00340001"/>
    <w:rsid w:val="00340008"/>
    <w:rsid w:val="0034004E"/>
    <w:rsid w:val="0034009C"/>
    <w:rsid w:val="003400CB"/>
    <w:rsid w:val="00340167"/>
    <w:rsid w:val="00340176"/>
    <w:rsid w:val="00340199"/>
    <w:rsid w:val="003401B0"/>
    <w:rsid w:val="003401B3"/>
    <w:rsid w:val="003401E1"/>
    <w:rsid w:val="00340201"/>
    <w:rsid w:val="0034026B"/>
    <w:rsid w:val="00340284"/>
    <w:rsid w:val="003402C7"/>
    <w:rsid w:val="003402C9"/>
    <w:rsid w:val="003402F2"/>
    <w:rsid w:val="00340301"/>
    <w:rsid w:val="00340303"/>
    <w:rsid w:val="00340312"/>
    <w:rsid w:val="00340322"/>
    <w:rsid w:val="0034035B"/>
    <w:rsid w:val="00340375"/>
    <w:rsid w:val="003403B8"/>
    <w:rsid w:val="003403BE"/>
    <w:rsid w:val="003403D4"/>
    <w:rsid w:val="003403E4"/>
    <w:rsid w:val="0034040A"/>
    <w:rsid w:val="0034040C"/>
    <w:rsid w:val="00340460"/>
    <w:rsid w:val="00340495"/>
    <w:rsid w:val="003404DD"/>
    <w:rsid w:val="00340542"/>
    <w:rsid w:val="00340551"/>
    <w:rsid w:val="0034055A"/>
    <w:rsid w:val="00340580"/>
    <w:rsid w:val="003405A0"/>
    <w:rsid w:val="003405BD"/>
    <w:rsid w:val="003405CF"/>
    <w:rsid w:val="003405E0"/>
    <w:rsid w:val="003406ED"/>
    <w:rsid w:val="00340710"/>
    <w:rsid w:val="00340722"/>
    <w:rsid w:val="0034073C"/>
    <w:rsid w:val="00340784"/>
    <w:rsid w:val="0034079C"/>
    <w:rsid w:val="003407D6"/>
    <w:rsid w:val="003407ED"/>
    <w:rsid w:val="003407F6"/>
    <w:rsid w:val="00340843"/>
    <w:rsid w:val="00340847"/>
    <w:rsid w:val="003408A7"/>
    <w:rsid w:val="003408F3"/>
    <w:rsid w:val="003408F6"/>
    <w:rsid w:val="00340925"/>
    <w:rsid w:val="00340944"/>
    <w:rsid w:val="0034098A"/>
    <w:rsid w:val="003409B8"/>
    <w:rsid w:val="00340A17"/>
    <w:rsid w:val="00340A6B"/>
    <w:rsid w:val="00340A7A"/>
    <w:rsid w:val="00340A9F"/>
    <w:rsid w:val="00340ADA"/>
    <w:rsid w:val="00340AE0"/>
    <w:rsid w:val="00340AF8"/>
    <w:rsid w:val="00340B06"/>
    <w:rsid w:val="00340B63"/>
    <w:rsid w:val="00340B8F"/>
    <w:rsid w:val="00340BA1"/>
    <w:rsid w:val="00340C2E"/>
    <w:rsid w:val="00340CAA"/>
    <w:rsid w:val="00340CC0"/>
    <w:rsid w:val="00340CF1"/>
    <w:rsid w:val="00340CF2"/>
    <w:rsid w:val="00340D05"/>
    <w:rsid w:val="00340DDA"/>
    <w:rsid w:val="00340E37"/>
    <w:rsid w:val="00340E7E"/>
    <w:rsid w:val="00340EFC"/>
    <w:rsid w:val="00340F16"/>
    <w:rsid w:val="00340F36"/>
    <w:rsid w:val="00340F4E"/>
    <w:rsid w:val="00340F7A"/>
    <w:rsid w:val="00340F83"/>
    <w:rsid w:val="00340F92"/>
    <w:rsid w:val="0034101C"/>
    <w:rsid w:val="00341095"/>
    <w:rsid w:val="003410A8"/>
    <w:rsid w:val="003410A9"/>
    <w:rsid w:val="003410C9"/>
    <w:rsid w:val="0034110B"/>
    <w:rsid w:val="0034116A"/>
    <w:rsid w:val="003411A1"/>
    <w:rsid w:val="00341240"/>
    <w:rsid w:val="00341262"/>
    <w:rsid w:val="00341273"/>
    <w:rsid w:val="00341274"/>
    <w:rsid w:val="003412A0"/>
    <w:rsid w:val="003412BB"/>
    <w:rsid w:val="003412E6"/>
    <w:rsid w:val="00341301"/>
    <w:rsid w:val="0034130B"/>
    <w:rsid w:val="00341378"/>
    <w:rsid w:val="00341380"/>
    <w:rsid w:val="003413D5"/>
    <w:rsid w:val="003413F7"/>
    <w:rsid w:val="0034141C"/>
    <w:rsid w:val="003414B5"/>
    <w:rsid w:val="003414C1"/>
    <w:rsid w:val="00341536"/>
    <w:rsid w:val="00341537"/>
    <w:rsid w:val="0034153C"/>
    <w:rsid w:val="00341541"/>
    <w:rsid w:val="00341564"/>
    <w:rsid w:val="003415A7"/>
    <w:rsid w:val="003415FE"/>
    <w:rsid w:val="00341610"/>
    <w:rsid w:val="00341647"/>
    <w:rsid w:val="0034164E"/>
    <w:rsid w:val="00341678"/>
    <w:rsid w:val="003416AC"/>
    <w:rsid w:val="003416B0"/>
    <w:rsid w:val="003416ED"/>
    <w:rsid w:val="00341751"/>
    <w:rsid w:val="0034178B"/>
    <w:rsid w:val="003417CA"/>
    <w:rsid w:val="003417E4"/>
    <w:rsid w:val="00341809"/>
    <w:rsid w:val="00341826"/>
    <w:rsid w:val="0034182B"/>
    <w:rsid w:val="00341857"/>
    <w:rsid w:val="003418ED"/>
    <w:rsid w:val="0034191B"/>
    <w:rsid w:val="00341942"/>
    <w:rsid w:val="00341967"/>
    <w:rsid w:val="003419AA"/>
    <w:rsid w:val="003419FF"/>
    <w:rsid w:val="00341A68"/>
    <w:rsid w:val="00341AF7"/>
    <w:rsid w:val="00341B46"/>
    <w:rsid w:val="00341BC6"/>
    <w:rsid w:val="00341C0E"/>
    <w:rsid w:val="00341C55"/>
    <w:rsid w:val="00341CD8"/>
    <w:rsid w:val="00341D02"/>
    <w:rsid w:val="00341D1C"/>
    <w:rsid w:val="00341D2A"/>
    <w:rsid w:val="00341D4B"/>
    <w:rsid w:val="00341DA3"/>
    <w:rsid w:val="00341E4D"/>
    <w:rsid w:val="00341E86"/>
    <w:rsid w:val="00341EBA"/>
    <w:rsid w:val="00341F28"/>
    <w:rsid w:val="00341FCF"/>
    <w:rsid w:val="0034203F"/>
    <w:rsid w:val="0034204C"/>
    <w:rsid w:val="003420B2"/>
    <w:rsid w:val="003420C4"/>
    <w:rsid w:val="003420C6"/>
    <w:rsid w:val="003420D5"/>
    <w:rsid w:val="0034210F"/>
    <w:rsid w:val="00342135"/>
    <w:rsid w:val="003421D9"/>
    <w:rsid w:val="0034222A"/>
    <w:rsid w:val="0034222E"/>
    <w:rsid w:val="00342274"/>
    <w:rsid w:val="0034228E"/>
    <w:rsid w:val="003422E1"/>
    <w:rsid w:val="003422F9"/>
    <w:rsid w:val="00342302"/>
    <w:rsid w:val="00342372"/>
    <w:rsid w:val="00342388"/>
    <w:rsid w:val="0034241E"/>
    <w:rsid w:val="0034242E"/>
    <w:rsid w:val="0034246F"/>
    <w:rsid w:val="00342479"/>
    <w:rsid w:val="003424C4"/>
    <w:rsid w:val="00342511"/>
    <w:rsid w:val="0034254E"/>
    <w:rsid w:val="003425C5"/>
    <w:rsid w:val="003425CA"/>
    <w:rsid w:val="003425D1"/>
    <w:rsid w:val="00342604"/>
    <w:rsid w:val="00342650"/>
    <w:rsid w:val="00342674"/>
    <w:rsid w:val="0034269F"/>
    <w:rsid w:val="003426B6"/>
    <w:rsid w:val="003426B8"/>
    <w:rsid w:val="003426D3"/>
    <w:rsid w:val="003426EF"/>
    <w:rsid w:val="00342775"/>
    <w:rsid w:val="0034277B"/>
    <w:rsid w:val="003427B4"/>
    <w:rsid w:val="003427C5"/>
    <w:rsid w:val="0034280C"/>
    <w:rsid w:val="0034281F"/>
    <w:rsid w:val="00342837"/>
    <w:rsid w:val="00342886"/>
    <w:rsid w:val="003428F3"/>
    <w:rsid w:val="003428FA"/>
    <w:rsid w:val="0034292B"/>
    <w:rsid w:val="00342960"/>
    <w:rsid w:val="0034297B"/>
    <w:rsid w:val="00342990"/>
    <w:rsid w:val="003429B0"/>
    <w:rsid w:val="003429D6"/>
    <w:rsid w:val="003429F0"/>
    <w:rsid w:val="003429F1"/>
    <w:rsid w:val="003429FA"/>
    <w:rsid w:val="00342A16"/>
    <w:rsid w:val="00342A22"/>
    <w:rsid w:val="00342B22"/>
    <w:rsid w:val="00342B74"/>
    <w:rsid w:val="00342C38"/>
    <w:rsid w:val="00342CA7"/>
    <w:rsid w:val="00342CBE"/>
    <w:rsid w:val="00342CE1"/>
    <w:rsid w:val="00342CE2"/>
    <w:rsid w:val="00342CEC"/>
    <w:rsid w:val="00342D21"/>
    <w:rsid w:val="00342D4F"/>
    <w:rsid w:val="00342D67"/>
    <w:rsid w:val="00342D90"/>
    <w:rsid w:val="00342E02"/>
    <w:rsid w:val="00342E62"/>
    <w:rsid w:val="00342E66"/>
    <w:rsid w:val="00342E77"/>
    <w:rsid w:val="00342EA3"/>
    <w:rsid w:val="00342EA6"/>
    <w:rsid w:val="00342EAA"/>
    <w:rsid w:val="00342EAB"/>
    <w:rsid w:val="00342EBD"/>
    <w:rsid w:val="00342EC0"/>
    <w:rsid w:val="00342ED3"/>
    <w:rsid w:val="00342F13"/>
    <w:rsid w:val="00342FDF"/>
    <w:rsid w:val="00342FE2"/>
    <w:rsid w:val="0034302E"/>
    <w:rsid w:val="0034310B"/>
    <w:rsid w:val="003431D8"/>
    <w:rsid w:val="003432AA"/>
    <w:rsid w:val="003432D3"/>
    <w:rsid w:val="003432E1"/>
    <w:rsid w:val="00343320"/>
    <w:rsid w:val="0034332E"/>
    <w:rsid w:val="0034336E"/>
    <w:rsid w:val="003433C0"/>
    <w:rsid w:val="0034342B"/>
    <w:rsid w:val="00343444"/>
    <w:rsid w:val="00343470"/>
    <w:rsid w:val="00343471"/>
    <w:rsid w:val="003434C3"/>
    <w:rsid w:val="003434F0"/>
    <w:rsid w:val="00343543"/>
    <w:rsid w:val="0034357F"/>
    <w:rsid w:val="003435F7"/>
    <w:rsid w:val="00343616"/>
    <w:rsid w:val="0034365F"/>
    <w:rsid w:val="00343674"/>
    <w:rsid w:val="0034376E"/>
    <w:rsid w:val="0034379B"/>
    <w:rsid w:val="003437A8"/>
    <w:rsid w:val="003437AB"/>
    <w:rsid w:val="003437C4"/>
    <w:rsid w:val="003437DF"/>
    <w:rsid w:val="003437E7"/>
    <w:rsid w:val="00343839"/>
    <w:rsid w:val="0034397D"/>
    <w:rsid w:val="00343995"/>
    <w:rsid w:val="003439A8"/>
    <w:rsid w:val="003439BC"/>
    <w:rsid w:val="00343A5F"/>
    <w:rsid w:val="00343A9A"/>
    <w:rsid w:val="00343ABD"/>
    <w:rsid w:val="00343AD8"/>
    <w:rsid w:val="00343B17"/>
    <w:rsid w:val="00343B20"/>
    <w:rsid w:val="00343B49"/>
    <w:rsid w:val="00343BBC"/>
    <w:rsid w:val="00343BC2"/>
    <w:rsid w:val="00343C1D"/>
    <w:rsid w:val="00343C2F"/>
    <w:rsid w:val="00343CCE"/>
    <w:rsid w:val="00343D37"/>
    <w:rsid w:val="00343D77"/>
    <w:rsid w:val="00343DAB"/>
    <w:rsid w:val="00343DAE"/>
    <w:rsid w:val="00343E2E"/>
    <w:rsid w:val="00343E60"/>
    <w:rsid w:val="00343EDD"/>
    <w:rsid w:val="00343F17"/>
    <w:rsid w:val="00343F4B"/>
    <w:rsid w:val="00343F50"/>
    <w:rsid w:val="00343FB0"/>
    <w:rsid w:val="0034400A"/>
    <w:rsid w:val="0034401B"/>
    <w:rsid w:val="00344029"/>
    <w:rsid w:val="00344048"/>
    <w:rsid w:val="003440B3"/>
    <w:rsid w:val="003440B5"/>
    <w:rsid w:val="003440CC"/>
    <w:rsid w:val="00344150"/>
    <w:rsid w:val="0034415C"/>
    <w:rsid w:val="003441AE"/>
    <w:rsid w:val="003441DF"/>
    <w:rsid w:val="00344259"/>
    <w:rsid w:val="00344274"/>
    <w:rsid w:val="003442BC"/>
    <w:rsid w:val="003442F2"/>
    <w:rsid w:val="00344301"/>
    <w:rsid w:val="00344338"/>
    <w:rsid w:val="00344365"/>
    <w:rsid w:val="003443AD"/>
    <w:rsid w:val="003443B7"/>
    <w:rsid w:val="003443D9"/>
    <w:rsid w:val="003443EB"/>
    <w:rsid w:val="0034445A"/>
    <w:rsid w:val="0034446D"/>
    <w:rsid w:val="00344475"/>
    <w:rsid w:val="00344488"/>
    <w:rsid w:val="003444A4"/>
    <w:rsid w:val="003444C2"/>
    <w:rsid w:val="003444C9"/>
    <w:rsid w:val="003444E4"/>
    <w:rsid w:val="0034451A"/>
    <w:rsid w:val="00344532"/>
    <w:rsid w:val="0034455C"/>
    <w:rsid w:val="0034456B"/>
    <w:rsid w:val="00344572"/>
    <w:rsid w:val="0034457C"/>
    <w:rsid w:val="003445AF"/>
    <w:rsid w:val="003445DA"/>
    <w:rsid w:val="003445EB"/>
    <w:rsid w:val="00344660"/>
    <w:rsid w:val="00344671"/>
    <w:rsid w:val="0034467B"/>
    <w:rsid w:val="003446A4"/>
    <w:rsid w:val="003446D7"/>
    <w:rsid w:val="00344716"/>
    <w:rsid w:val="0034472E"/>
    <w:rsid w:val="00344781"/>
    <w:rsid w:val="003447A3"/>
    <w:rsid w:val="003447A8"/>
    <w:rsid w:val="003447C4"/>
    <w:rsid w:val="00344801"/>
    <w:rsid w:val="00344816"/>
    <w:rsid w:val="00344828"/>
    <w:rsid w:val="00344830"/>
    <w:rsid w:val="00344833"/>
    <w:rsid w:val="0034485A"/>
    <w:rsid w:val="0034489D"/>
    <w:rsid w:val="003448A4"/>
    <w:rsid w:val="003448AD"/>
    <w:rsid w:val="003448C1"/>
    <w:rsid w:val="003448F8"/>
    <w:rsid w:val="003448FC"/>
    <w:rsid w:val="00344970"/>
    <w:rsid w:val="00344979"/>
    <w:rsid w:val="0034498F"/>
    <w:rsid w:val="0034499C"/>
    <w:rsid w:val="003449F7"/>
    <w:rsid w:val="00344A22"/>
    <w:rsid w:val="00344A24"/>
    <w:rsid w:val="00344A79"/>
    <w:rsid w:val="00344A85"/>
    <w:rsid w:val="00344A9C"/>
    <w:rsid w:val="00344B1D"/>
    <w:rsid w:val="00344B31"/>
    <w:rsid w:val="00344B38"/>
    <w:rsid w:val="00344B3D"/>
    <w:rsid w:val="00344B74"/>
    <w:rsid w:val="00344BA8"/>
    <w:rsid w:val="00344BC8"/>
    <w:rsid w:val="00344BE0"/>
    <w:rsid w:val="00344BF3"/>
    <w:rsid w:val="00344C1A"/>
    <w:rsid w:val="00344C61"/>
    <w:rsid w:val="00344CED"/>
    <w:rsid w:val="00344CF6"/>
    <w:rsid w:val="00344D62"/>
    <w:rsid w:val="00344D6C"/>
    <w:rsid w:val="00344DAB"/>
    <w:rsid w:val="00344E39"/>
    <w:rsid w:val="00344E5A"/>
    <w:rsid w:val="00344EC6"/>
    <w:rsid w:val="00344F26"/>
    <w:rsid w:val="00344FEE"/>
    <w:rsid w:val="0034506F"/>
    <w:rsid w:val="003451BE"/>
    <w:rsid w:val="003451D5"/>
    <w:rsid w:val="0034520A"/>
    <w:rsid w:val="0034529F"/>
    <w:rsid w:val="003452BE"/>
    <w:rsid w:val="003452DF"/>
    <w:rsid w:val="003452E6"/>
    <w:rsid w:val="003452F2"/>
    <w:rsid w:val="00345302"/>
    <w:rsid w:val="0034532A"/>
    <w:rsid w:val="00345359"/>
    <w:rsid w:val="00345399"/>
    <w:rsid w:val="0034539B"/>
    <w:rsid w:val="0034543C"/>
    <w:rsid w:val="003454CC"/>
    <w:rsid w:val="00345503"/>
    <w:rsid w:val="00345514"/>
    <w:rsid w:val="0034556D"/>
    <w:rsid w:val="00345582"/>
    <w:rsid w:val="003455AF"/>
    <w:rsid w:val="00345639"/>
    <w:rsid w:val="00345651"/>
    <w:rsid w:val="003456DA"/>
    <w:rsid w:val="003456DD"/>
    <w:rsid w:val="003456F4"/>
    <w:rsid w:val="003457E6"/>
    <w:rsid w:val="0034581F"/>
    <w:rsid w:val="0034582A"/>
    <w:rsid w:val="003458DA"/>
    <w:rsid w:val="003458EB"/>
    <w:rsid w:val="003458F5"/>
    <w:rsid w:val="00345923"/>
    <w:rsid w:val="0034593B"/>
    <w:rsid w:val="00345953"/>
    <w:rsid w:val="003459AE"/>
    <w:rsid w:val="003459E8"/>
    <w:rsid w:val="00345A14"/>
    <w:rsid w:val="00345A1F"/>
    <w:rsid w:val="00345A86"/>
    <w:rsid w:val="00345A8F"/>
    <w:rsid w:val="00345AEB"/>
    <w:rsid w:val="00345B48"/>
    <w:rsid w:val="00345B80"/>
    <w:rsid w:val="00345BB9"/>
    <w:rsid w:val="00345C75"/>
    <w:rsid w:val="00345C83"/>
    <w:rsid w:val="00345CA8"/>
    <w:rsid w:val="00345D28"/>
    <w:rsid w:val="00345D4A"/>
    <w:rsid w:val="00345D5D"/>
    <w:rsid w:val="00345DAE"/>
    <w:rsid w:val="00345DCE"/>
    <w:rsid w:val="00345DF0"/>
    <w:rsid w:val="00345E37"/>
    <w:rsid w:val="00345E67"/>
    <w:rsid w:val="00345E87"/>
    <w:rsid w:val="00345E89"/>
    <w:rsid w:val="00345EA8"/>
    <w:rsid w:val="00345EAB"/>
    <w:rsid w:val="00345EC7"/>
    <w:rsid w:val="00345F21"/>
    <w:rsid w:val="00345F3E"/>
    <w:rsid w:val="00345FC0"/>
    <w:rsid w:val="00345FED"/>
    <w:rsid w:val="0034600E"/>
    <w:rsid w:val="00346030"/>
    <w:rsid w:val="0034603A"/>
    <w:rsid w:val="0034604D"/>
    <w:rsid w:val="00346068"/>
    <w:rsid w:val="003460E0"/>
    <w:rsid w:val="00346106"/>
    <w:rsid w:val="0034612C"/>
    <w:rsid w:val="00346135"/>
    <w:rsid w:val="00346179"/>
    <w:rsid w:val="0034619B"/>
    <w:rsid w:val="003461BD"/>
    <w:rsid w:val="003461C1"/>
    <w:rsid w:val="003461CF"/>
    <w:rsid w:val="00346221"/>
    <w:rsid w:val="00346230"/>
    <w:rsid w:val="0034624E"/>
    <w:rsid w:val="0034626A"/>
    <w:rsid w:val="003462A8"/>
    <w:rsid w:val="00346328"/>
    <w:rsid w:val="00346348"/>
    <w:rsid w:val="00346373"/>
    <w:rsid w:val="00346392"/>
    <w:rsid w:val="0034645E"/>
    <w:rsid w:val="003464D2"/>
    <w:rsid w:val="003464D7"/>
    <w:rsid w:val="003464ED"/>
    <w:rsid w:val="00346578"/>
    <w:rsid w:val="003465CD"/>
    <w:rsid w:val="003465E4"/>
    <w:rsid w:val="003465E8"/>
    <w:rsid w:val="003465F9"/>
    <w:rsid w:val="0034661B"/>
    <w:rsid w:val="0034664D"/>
    <w:rsid w:val="00346669"/>
    <w:rsid w:val="00346679"/>
    <w:rsid w:val="0034667E"/>
    <w:rsid w:val="0034668F"/>
    <w:rsid w:val="003466F6"/>
    <w:rsid w:val="00346753"/>
    <w:rsid w:val="00346774"/>
    <w:rsid w:val="00346781"/>
    <w:rsid w:val="003467A8"/>
    <w:rsid w:val="00346845"/>
    <w:rsid w:val="00346861"/>
    <w:rsid w:val="00346891"/>
    <w:rsid w:val="003468AD"/>
    <w:rsid w:val="003468C2"/>
    <w:rsid w:val="003468F3"/>
    <w:rsid w:val="00346908"/>
    <w:rsid w:val="00346923"/>
    <w:rsid w:val="0034694F"/>
    <w:rsid w:val="00346982"/>
    <w:rsid w:val="003469D9"/>
    <w:rsid w:val="003469E2"/>
    <w:rsid w:val="00346A38"/>
    <w:rsid w:val="00346AAB"/>
    <w:rsid w:val="00346ADA"/>
    <w:rsid w:val="00346AF7"/>
    <w:rsid w:val="00346B24"/>
    <w:rsid w:val="00346BC6"/>
    <w:rsid w:val="00346BFE"/>
    <w:rsid w:val="00346C0D"/>
    <w:rsid w:val="00346C54"/>
    <w:rsid w:val="00346C55"/>
    <w:rsid w:val="00346C79"/>
    <w:rsid w:val="00346C80"/>
    <w:rsid w:val="00346C8C"/>
    <w:rsid w:val="00346CB2"/>
    <w:rsid w:val="00346CCD"/>
    <w:rsid w:val="00346CF0"/>
    <w:rsid w:val="00346D25"/>
    <w:rsid w:val="00346D70"/>
    <w:rsid w:val="00346DEA"/>
    <w:rsid w:val="00346E06"/>
    <w:rsid w:val="00346E32"/>
    <w:rsid w:val="00346E69"/>
    <w:rsid w:val="00346EA3"/>
    <w:rsid w:val="00346EBA"/>
    <w:rsid w:val="00346F14"/>
    <w:rsid w:val="00346F3C"/>
    <w:rsid w:val="00346F7D"/>
    <w:rsid w:val="00346FC8"/>
    <w:rsid w:val="00346FCA"/>
    <w:rsid w:val="00346FF4"/>
    <w:rsid w:val="00347012"/>
    <w:rsid w:val="00347016"/>
    <w:rsid w:val="00347050"/>
    <w:rsid w:val="00347076"/>
    <w:rsid w:val="00347081"/>
    <w:rsid w:val="003470E1"/>
    <w:rsid w:val="00347112"/>
    <w:rsid w:val="00347191"/>
    <w:rsid w:val="00347198"/>
    <w:rsid w:val="00347234"/>
    <w:rsid w:val="00347274"/>
    <w:rsid w:val="00347282"/>
    <w:rsid w:val="003472BE"/>
    <w:rsid w:val="00347307"/>
    <w:rsid w:val="00347313"/>
    <w:rsid w:val="00347314"/>
    <w:rsid w:val="00347321"/>
    <w:rsid w:val="003473C5"/>
    <w:rsid w:val="003473DD"/>
    <w:rsid w:val="00347412"/>
    <w:rsid w:val="003474C2"/>
    <w:rsid w:val="00347527"/>
    <w:rsid w:val="00347562"/>
    <w:rsid w:val="00347565"/>
    <w:rsid w:val="00347599"/>
    <w:rsid w:val="0034759C"/>
    <w:rsid w:val="003475AE"/>
    <w:rsid w:val="003475B4"/>
    <w:rsid w:val="0034763C"/>
    <w:rsid w:val="00347672"/>
    <w:rsid w:val="003476A0"/>
    <w:rsid w:val="003476A3"/>
    <w:rsid w:val="00347723"/>
    <w:rsid w:val="00347769"/>
    <w:rsid w:val="00347776"/>
    <w:rsid w:val="00347778"/>
    <w:rsid w:val="0034778A"/>
    <w:rsid w:val="003477FF"/>
    <w:rsid w:val="00347809"/>
    <w:rsid w:val="0034783F"/>
    <w:rsid w:val="00347884"/>
    <w:rsid w:val="0034788D"/>
    <w:rsid w:val="003478CC"/>
    <w:rsid w:val="003478F2"/>
    <w:rsid w:val="003478F4"/>
    <w:rsid w:val="00347915"/>
    <w:rsid w:val="0034792C"/>
    <w:rsid w:val="0034793A"/>
    <w:rsid w:val="0034798E"/>
    <w:rsid w:val="00347A1C"/>
    <w:rsid w:val="00347A2F"/>
    <w:rsid w:val="00347A6F"/>
    <w:rsid w:val="00347A8E"/>
    <w:rsid w:val="00347AA8"/>
    <w:rsid w:val="00347AC7"/>
    <w:rsid w:val="00347B17"/>
    <w:rsid w:val="00347B34"/>
    <w:rsid w:val="00347B72"/>
    <w:rsid w:val="00347B7F"/>
    <w:rsid w:val="00347B80"/>
    <w:rsid w:val="00347B89"/>
    <w:rsid w:val="00347BD8"/>
    <w:rsid w:val="00347C7A"/>
    <w:rsid w:val="00347CC0"/>
    <w:rsid w:val="00347D02"/>
    <w:rsid w:val="00347D23"/>
    <w:rsid w:val="00347D83"/>
    <w:rsid w:val="00347DAB"/>
    <w:rsid w:val="00347DBD"/>
    <w:rsid w:val="00347DE2"/>
    <w:rsid w:val="00347DF6"/>
    <w:rsid w:val="00347E07"/>
    <w:rsid w:val="00347E23"/>
    <w:rsid w:val="00347E6C"/>
    <w:rsid w:val="00347EBA"/>
    <w:rsid w:val="00347EFA"/>
    <w:rsid w:val="00347F2C"/>
    <w:rsid w:val="00347F46"/>
    <w:rsid w:val="00347F69"/>
    <w:rsid w:val="00347FA0"/>
    <w:rsid w:val="0035007A"/>
    <w:rsid w:val="00350090"/>
    <w:rsid w:val="003500A2"/>
    <w:rsid w:val="003500D1"/>
    <w:rsid w:val="0035016E"/>
    <w:rsid w:val="003501B7"/>
    <w:rsid w:val="003501B9"/>
    <w:rsid w:val="003501BA"/>
    <w:rsid w:val="003501E4"/>
    <w:rsid w:val="00350234"/>
    <w:rsid w:val="00350295"/>
    <w:rsid w:val="003502BD"/>
    <w:rsid w:val="00350370"/>
    <w:rsid w:val="00350387"/>
    <w:rsid w:val="003503B5"/>
    <w:rsid w:val="00350407"/>
    <w:rsid w:val="00350449"/>
    <w:rsid w:val="0035046C"/>
    <w:rsid w:val="003504A5"/>
    <w:rsid w:val="003504D9"/>
    <w:rsid w:val="00350547"/>
    <w:rsid w:val="003505AC"/>
    <w:rsid w:val="003505CB"/>
    <w:rsid w:val="003505D4"/>
    <w:rsid w:val="0035069C"/>
    <w:rsid w:val="003506F9"/>
    <w:rsid w:val="00350706"/>
    <w:rsid w:val="00350760"/>
    <w:rsid w:val="00350787"/>
    <w:rsid w:val="0035079E"/>
    <w:rsid w:val="003507B8"/>
    <w:rsid w:val="003507DC"/>
    <w:rsid w:val="00350806"/>
    <w:rsid w:val="0035080D"/>
    <w:rsid w:val="0035088A"/>
    <w:rsid w:val="00350895"/>
    <w:rsid w:val="00350944"/>
    <w:rsid w:val="00350950"/>
    <w:rsid w:val="0035095C"/>
    <w:rsid w:val="003509C9"/>
    <w:rsid w:val="00350A45"/>
    <w:rsid w:val="00350A59"/>
    <w:rsid w:val="00350A72"/>
    <w:rsid w:val="00350AA0"/>
    <w:rsid w:val="00350AD4"/>
    <w:rsid w:val="00350B60"/>
    <w:rsid w:val="00350B96"/>
    <w:rsid w:val="00350B98"/>
    <w:rsid w:val="00350BE8"/>
    <w:rsid w:val="00350BF0"/>
    <w:rsid w:val="00350BF5"/>
    <w:rsid w:val="00350C02"/>
    <w:rsid w:val="00350C14"/>
    <w:rsid w:val="00350C92"/>
    <w:rsid w:val="00350CA4"/>
    <w:rsid w:val="00350CB9"/>
    <w:rsid w:val="00350CDA"/>
    <w:rsid w:val="00350D04"/>
    <w:rsid w:val="00350D6B"/>
    <w:rsid w:val="00350DF2"/>
    <w:rsid w:val="00350E4C"/>
    <w:rsid w:val="00350E61"/>
    <w:rsid w:val="00350E8F"/>
    <w:rsid w:val="00350EA4"/>
    <w:rsid w:val="00350ECE"/>
    <w:rsid w:val="00350F4A"/>
    <w:rsid w:val="00350F54"/>
    <w:rsid w:val="00350F8D"/>
    <w:rsid w:val="00350FB0"/>
    <w:rsid w:val="00350FCA"/>
    <w:rsid w:val="00350FF8"/>
    <w:rsid w:val="0035101F"/>
    <w:rsid w:val="00351059"/>
    <w:rsid w:val="003510BC"/>
    <w:rsid w:val="003510CC"/>
    <w:rsid w:val="00351130"/>
    <w:rsid w:val="003511A0"/>
    <w:rsid w:val="003511B3"/>
    <w:rsid w:val="003511D5"/>
    <w:rsid w:val="00351210"/>
    <w:rsid w:val="0035121F"/>
    <w:rsid w:val="0035124C"/>
    <w:rsid w:val="0035126F"/>
    <w:rsid w:val="003512A5"/>
    <w:rsid w:val="003512EE"/>
    <w:rsid w:val="0035133F"/>
    <w:rsid w:val="00351347"/>
    <w:rsid w:val="00351372"/>
    <w:rsid w:val="0035137E"/>
    <w:rsid w:val="00351380"/>
    <w:rsid w:val="003513A8"/>
    <w:rsid w:val="003513E8"/>
    <w:rsid w:val="003513F5"/>
    <w:rsid w:val="0035144E"/>
    <w:rsid w:val="00351549"/>
    <w:rsid w:val="00351555"/>
    <w:rsid w:val="00351614"/>
    <w:rsid w:val="00351635"/>
    <w:rsid w:val="00351657"/>
    <w:rsid w:val="00351666"/>
    <w:rsid w:val="003516AE"/>
    <w:rsid w:val="003516C7"/>
    <w:rsid w:val="003516FD"/>
    <w:rsid w:val="00351739"/>
    <w:rsid w:val="00351745"/>
    <w:rsid w:val="00351747"/>
    <w:rsid w:val="00351792"/>
    <w:rsid w:val="003517BB"/>
    <w:rsid w:val="003517D5"/>
    <w:rsid w:val="003517F9"/>
    <w:rsid w:val="0035184C"/>
    <w:rsid w:val="00351882"/>
    <w:rsid w:val="003518E9"/>
    <w:rsid w:val="00351961"/>
    <w:rsid w:val="0035196B"/>
    <w:rsid w:val="0035199D"/>
    <w:rsid w:val="003519D8"/>
    <w:rsid w:val="00351A3E"/>
    <w:rsid w:val="00351A47"/>
    <w:rsid w:val="00351A48"/>
    <w:rsid w:val="00351A4F"/>
    <w:rsid w:val="00351A59"/>
    <w:rsid w:val="00351A5D"/>
    <w:rsid w:val="00351A87"/>
    <w:rsid w:val="00351ACB"/>
    <w:rsid w:val="00351AEA"/>
    <w:rsid w:val="00351AF8"/>
    <w:rsid w:val="00351B01"/>
    <w:rsid w:val="00351B41"/>
    <w:rsid w:val="00351B6E"/>
    <w:rsid w:val="00351C26"/>
    <w:rsid w:val="00351C41"/>
    <w:rsid w:val="00351C5E"/>
    <w:rsid w:val="00351C6A"/>
    <w:rsid w:val="00351C8F"/>
    <w:rsid w:val="00351CAA"/>
    <w:rsid w:val="00351D38"/>
    <w:rsid w:val="00351D3E"/>
    <w:rsid w:val="00351DA5"/>
    <w:rsid w:val="00351DB3"/>
    <w:rsid w:val="00351DB9"/>
    <w:rsid w:val="00351DBD"/>
    <w:rsid w:val="00351DF3"/>
    <w:rsid w:val="00351E44"/>
    <w:rsid w:val="00351E55"/>
    <w:rsid w:val="00351EAC"/>
    <w:rsid w:val="00351EC9"/>
    <w:rsid w:val="00351EE2"/>
    <w:rsid w:val="00351EFA"/>
    <w:rsid w:val="00351F8B"/>
    <w:rsid w:val="00351F93"/>
    <w:rsid w:val="00351FA1"/>
    <w:rsid w:val="00351FA2"/>
    <w:rsid w:val="00351FAB"/>
    <w:rsid w:val="0035203E"/>
    <w:rsid w:val="00352086"/>
    <w:rsid w:val="003520EB"/>
    <w:rsid w:val="0035214C"/>
    <w:rsid w:val="00352152"/>
    <w:rsid w:val="0035215A"/>
    <w:rsid w:val="00352195"/>
    <w:rsid w:val="00352237"/>
    <w:rsid w:val="00352290"/>
    <w:rsid w:val="0035231A"/>
    <w:rsid w:val="00352348"/>
    <w:rsid w:val="00352357"/>
    <w:rsid w:val="0035238D"/>
    <w:rsid w:val="00352395"/>
    <w:rsid w:val="003523DB"/>
    <w:rsid w:val="003523E5"/>
    <w:rsid w:val="00352469"/>
    <w:rsid w:val="0035247E"/>
    <w:rsid w:val="00352492"/>
    <w:rsid w:val="00352503"/>
    <w:rsid w:val="0035251B"/>
    <w:rsid w:val="0035251D"/>
    <w:rsid w:val="00352551"/>
    <w:rsid w:val="00352565"/>
    <w:rsid w:val="003525BA"/>
    <w:rsid w:val="00352657"/>
    <w:rsid w:val="00352685"/>
    <w:rsid w:val="003526BB"/>
    <w:rsid w:val="003526C9"/>
    <w:rsid w:val="0035271C"/>
    <w:rsid w:val="0035272C"/>
    <w:rsid w:val="0035273C"/>
    <w:rsid w:val="00352753"/>
    <w:rsid w:val="00352796"/>
    <w:rsid w:val="003527AA"/>
    <w:rsid w:val="003527BC"/>
    <w:rsid w:val="003527FF"/>
    <w:rsid w:val="0035280A"/>
    <w:rsid w:val="0035282C"/>
    <w:rsid w:val="00352858"/>
    <w:rsid w:val="00352875"/>
    <w:rsid w:val="003528B2"/>
    <w:rsid w:val="003528D6"/>
    <w:rsid w:val="003528D9"/>
    <w:rsid w:val="003528DD"/>
    <w:rsid w:val="003528E7"/>
    <w:rsid w:val="0035295F"/>
    <w:rsid w:val="003529AF"/>
    <w:rsid w:val="003529C4"/>
    <w:rsid w:val="003529C5"/>
    <w:rsid w:val="00352A11"/>
    <w:rsid w:val="00352A23"/>
    <w:rsid w:val="00352AFE"/>
    <w:rsid w:val="00352B02"/>
    <w:rsid w:val="00352B6D"/>
    <w:rsid w:val="00352BA7"/>
    <w:rsid w:val="00352C2F"/>
    <w:rsid w:val="00352C4C"/>
    <w:rsid w:val="00352C5F"/>
    <w:rsid w:val="00352C7D"/>
    <w:rsid w:val="00352D16"/>
    <w:rsid w:val="00352D1E"/>
    <w:rsid w:val="00352D42"/>
    <w:rsid w:val="00352D44"/>
    <w:rsid w:val="00352D9B"/>
    <w:rsid w:val="00352DEC"/>
    <w:rsid w:val="00352EA8"/>
    <w:rsid w:val="00352EC3"/>
    <w:rsid w:val="00352F25"/>
    <w:rsid w:val="00352F71"/>
    <w:rsid w:val="00352FCD"/>
    <w:rsid w:val="00353058"/>
    <w:rsid w:val="00353059"/>
    <w:rsid w:val="0035306A"/>
    <w:rsid w:val="0035308D"/>
    <w:rsid w:val="003530B0"/>
    <w:rsid w:val="003530BE"/>
    <w:rsid w:val="0035315E"/>
    <w:rsid w:val="0035316F"/>
    <w:rsid w:val="00353190"/>
    <w:rsid w:val="003531C1"/>
    <w:rsid w:val="003531CA"/>
    <w:rsid w:val="00353200"/>
    <w:rsid w:val="00353253"/>
    <w:rsid w:val="003532F3"/>
    <w:rsid w:val="00353313"/>
    <w:rsid w:val="003533B2"/>
    <w:rsid w:val="003533B5"/>
    <w:rsid w:val="003533E4"/>
    <w:rsid w:val="00353452"/>
    <w:rsid w:val="00353499"/>
    <w:rsid w:val="003534D1"/>
    <w:rsid w:val="003534E5"/>
    <w:rsid w:val="00353560"/>
    <w:rsid w:val="003535C5"/>
    <w:rsid w:val="003535DF"/>
    <w:rsid w:val="00353611"/>
    <w:rsid w:val="0035368B"/>
    <w:rsid w:val="003536A5"/>
    <w:rsid w:val="003537F7"/>
    <w:rsid w:val="003537FF"/>
    <w:rsid w:val="0035383B"/>
    <w:rsid w:val="003538F8"/>
    <w:rsid w:val="00353991"/>
    <w:rsid w:val="00353A52"/>
    <w:rsid w:val="00353A55"/>
    <w:rsid w:val="00353B15"/>
    <w:rsid w:val="00353B49"/>
    <w:rsid w:val="00353B63"/>
    <w:rsid w:val="00353B79"/>
    <w:rsid w:val="00353C12"/>
    <w:rsid w:val="00353C3F"/>
    <w:rsid w:val="00353C52"/>
    <w:rsid w:val="00353C92"/>
    <w:rsid w:val="00353CEA"/>
    <w:rsid w:val="00353CF1"/>
    <w:rsid w:val="00353CFC"/>
    <w:rsid w:val="00353D23"/>
    <w:rsid w:val="00353D2F"/>
    <w:rsid w:val="00353D51"/>
    <w:rsid w:val="00353D6B"/>
    <w:rsid w:val="00353D71"/>
    <w:rsid w:val="00353D7B"/>
    <w:rsid w:val="00353D97"/>
    <w:rsid w:val="00353E45"/>
    <w:rsid w:val="00353E53"/>
    <w:rsid w:val="00353E7C"/>
    <w:rsid w:val="00353E7E"/>
    <w:rsid w:val="00353EB5"/>
    <w:rsid w:val="00353F2C"/>
    <w:rsid w:val="00353F49"/>
    <w:rsid w:val="00353F8E"/>
    <w:rsid w:val="00353FA9"/>
    <w:rsid w:val="00353FE1"/>
    <w:rsid w:val="0035402C"/>
    <w:rsid w:val="0035404D"/>
    <w:rsid w:val="0035405C"/>
    <w:rsid w:val="0035409B"/>
    <w:rsid w:val="003540C5"/>
    <w:rsid w:val="00354190"/>
    <w:rsid w:val="003541C8"/>
    <w:rsid w:val="003541CE"/>
    <w:rsid w:val="0035420D"/>
    <w:rsid w:val="00354230"/>
    <w:rsid w:val="0035425A"/>
    <w:rsid w:val="0035425D"/>
    <w:rsid w:val="00354291"/>
    <w:rsid w:val="003542B8"/>
    <w:rsid w:val="0035430A"/>
    <w:rsid w:val="00354352"/>
    <w:rsid w:val="003543C0"/>
    <w:rsid w:val="003543FA"/>
    <w:rsid w:val="0035445A"/>
    <w:rsid w:val="00354461"/>
    <w:rsid w:val="003544B1"/>
    <w:rsid w:val="00354550"/>
    <w:rsid w:val="00354557"/>
    <w:rsid w:val="0035455D"/>
    <w:rsid w:val="00354560"/>
    <w:rsid w:val="00354571"/>
    <w:rsid w:val="003545B4"/>
    <w:rsid w:val="00354618"/>
    <w:rsid w:val="00354621"/>
    <w:rsid w:val="00354623"/>
    <w:rsid w:val="00354636"/>
    <w:rsid w:val="0035467C"/>
    <w:rsid w:val="00354693"/>
    <w:rsid w:val="0035476B"/>
    <w:rsid w:val="00354792"/>
    <w:rsid w:val="003547CC"/>
    <w:rsid w:val="00354804"/>
    <w:rsid w:val="0035480A"/>
    <w:rsid w:val="00354848"/>
    <w:rsid w:val="0035484D"/>
    <w:rsid w:val="003548A1"/>
    <w:rsid w:val="003548C7"/>
    <w:rsid w:val="003548FE"/>
    <w:rsid w:val="003548FF"/>
    <w:rsid w:val="00354917"/>
    <w:rsid w:val="0035492A"/>
    <w:rsid w:val="00354963"/>
    <w:rsid w:val="003549B2"/>
    <w:rsid w:val="00354A18"/>
    <w:rsid w:val="00354A22"/>
    <w:rsid w:val="00354A6C"/>
    <w:rsid w:val="00354A85"/>
    <w:rsid w:val="00354A8A"/>
    <w:rsid w:val="00354AC5"/>
    <w:rsid w:val="00354AC7"/>
    <w:rsid w:val="00354ADA"/>
    <w:rsid w:val="00354B26"/>
    <w:rsid w:val="00354B3F"/>
    <w:rsid w:val="00354BAF"/>
    <w:rsid w:val="00354BB0"/>
    <w:rsid w:val="00354C38"/>
    <w:rsid w:val="00354C3C"/>
    <w:rsid w:val="00354C7F"/>
    <w:rsid w:val="00354CCC"/>
    <w:rsid w:val="00354D2D"/>
    <w:rsid w:val="00354D80"/>
    <w:rsid w:val="00354D83"/>
    <w:rsid w:val="00354DAC"/>
    <w:rsid w:val="00354DD6"/>
    <w:rsid w:val="00354E1A"/>
    <w:rsid w:val="00354F7A"/>
    <w:rsid w:val="00354FC0"/>
    <w:rsid w:val="00354FEC"/>
    <w:rsid w:val="00355003"/>
    <w:rsid w:val="00355008"/>
    <w:rsid w:val="00355010"/>
    <w:rsid w:val="00355022"/>
    <w:rsid w:val="0035505E"/>
    <w:rsid w:val="003550C4"/>
    <w:rsid w:val="003550C6"/>
    <w:rsid w:val="003550E1"/>
    <w:rsid w:val="003551B9"/>
    <w:rsid w:val="0035521E"/>
    <w:rsid w:val="003552AD"/>
    <w:rsid w:val="0035533D"/>
    <w:rsid w:val="00355351"/>
    <w:rsid w:val="003553E1"/>
    <w:rsid w:val="0035540E"/>
    <w:rsid w:val="00355455"/>
    <w:rsid w:val="0035549F"/>
    <w:rsid w:val="003554E7"/>
    <w:rsid w:val="0035550F"/>
    <w:rsid w:val="00355588"/>
    <w:rsid w:val="0035559B"/>
    <w:rsid w:val="003555A2"/>
    <w:rsid w:val="003555B6"/>
    <w:rsid w:val="003555C0"/>
    <w:rsid w:val="003555C9"/>
    <w:rsid w:val="003555DC"/>
    <w:rsid w:val="00355604"/>
    <w:rsid w:val="00355647"/>
    <w:rsid w:val="00355687"/>
    <w:rsid w:val="003556A0"/>
    <w:rsid w:val="003556AA"/>
    <w:rsid w:val="003556EA"/>
    <w:rsid w:val="00355723"/>
    <w:rsid w:val="00355779"/>
    <w:rsid w:val="003557B8"/>
    <w:rsid w:val="003557DC"/>
    <w:rsid w:val="003557FE"/>
    <w:rsid w:val="003558CA"/>
    <w:rsid w:val="0035591B"/>
    <w:rsid w:val="00355920"/>
    <w:rsid w:val="0035593D"/>
    <w:rsid w:val="0035596D"/>
    <w:rsid w:val="00355995"/>
    <w:rsid w:val="003559BE"/>
    <w:rsid w:val="003559F4"/>
    <w:rsid w:val="00355A15"/>
    <w:rsid w:val="00355A4D"/>
    <w:rsid w:val="00355A57"/>
    <w:rsid w:val="00355A5A"/>
    <w:rsid w:val="00355A7A"/>
    <w:rsid w:val="00355B26"/>
    <w:rsid w:val="00355B90"/>
    <w:rsid w:val="00355BBD"/>
    <w:rsid w:val="00355BBF"/>
    <w:rsid w:val="00355BF0"/>
    <w:rsid w:val="00355C28"/>
    <w:rsid w:val="00355C32"/>
    <w:rsid w:val="00355C34"/>
    <w:rsid w:val="00355CE8"/>
    <w:rsid w:val="00355CFB"/>
    <w:rsid w:val="00355D4D"/>
    <w:rsid w:val="00355D56"/>
    <w:rsid w:val="00355D8A"/>
    <w:rsid w:val="00355E31"/>
    <w:rsid w:val="00355E72"/>
    <w:rsid w:val="00355EC9"/>
    <w:rsid w:val="00355EF3"/>
    <w:rsid w:val="00355F2C"/>
    <w:rsid w:val="00355F2F"/>
    <w:rsid w:val="00355FE6"/>
    <w:rsid w:val="00356036"/>
    <w:rsid w:val="00356062"/>
    <w:rsid w:val="00356088"/>
    <w:rsid w:val="00356092"/>
    <w:rsid w:val="003560A5"/>
    <w:rsid w:val="003560E8"/>
    <w:rsid w:val="003560F8"/>
    <w:rsid w:val="003560FC"/>
    <w:rsid w:val="0035610D"/>
    <w:rsid w:val="0035614F"/>
    <w:rsid w:val="0035616D"/>
    <w:rsid w:val="003561AA"/>
    <w:rsid w:val="003561E3"/>
    <w:rsid w:val="003561FE"/>
    <w:rsid w:val="0035620D"/>
    <w:rsid w:val="0035629B"/>
    <w:rsid w:val="003562AB"/>
    <w:rsid w:val="003562AD"/>
    <w:rsid w:val="00356323"/>
    <w:rsid w:val="003563A2"/>
    <w:rsid w:val="003563A4"/>
    <w:rsid w:val="0035644D"/>
    <w:rsid w:val="0035645B"/>
    <w:rsid w:val="0035645F"/>
    <w:rsid w:val="003564B9"/>
    <w:rsid w:val="003564BF"/>
    <w:rsid w:val="003564C6"/>
    <w:rsid w:val="00356503"/>
    <w:rsid w:val="00356535"/>
    <w:rsid w:val="00356551"/>
    <w:rsid w:val="00356568"/>
    <w:rsid w:val="003565AE"/>
    <w:rsid w:val="003565D8"/>
    <w:rsid w:val="00356614"/>
    <w:rsid w:val="0035661D"/>
    <w:rsid w:val="00356660"/>
    <w:rsid w:val="003566AF"/>
    <w:rsid w:val="003566D3"/>
    <w:rsid w:val="003566E0"/>
    <w:rsid w:val="00356777"/>
    <w:rsid w:val="003567DC"/>
    <w:rsid w:val="003567DF"/>
    <w:rsid w:val="003567E2"/>
    <w:rsid w:val="003567E7"/>
    <w:rsid w:val="00356808"/>
    <w:rsid w:val="00356823"/>
    <w:rsid w:val="0035686C"/>
    <w:rsid w:val="003568E4"/>
    <w:rsid w:val="00356926"/>
    <w:rsid w:val="00356947"/>
    <w:rsid w:val="0035696B"/>
    <w:rsid w:val="0035697A"/>
    <w:rsid w:val="003569EB"/>
    <w:rsid w:val="00356A0B"/>
    <w:rsid w:val="00356A17"/>
    <w:rsid w:val="00356A49"/>
    <w:rsid w:val="00356AAD"/>
    <w:rsid w:val="00356AF6"/>
    <w:rsid w:val="00356BCC"/>
    <w:rsid w:val="00356BEB"/>
    <w:rsid w:val="00356C0B"/>
    <w:rsid w:val="00356C0C"/>
    <w:rsid w:val="00356C11"/>
    <w:rsid w:val="00356CB9"/>
    <w:rsid w:val="00356CBE"/>
    <w:rsid w:val="00356CC2"/>
    <w:rsid w:val="00356CF6"/>
    <w:rsid w:val="00356D6B"/>
    <w:rsid w:val="00356DAC"/>
    <w:rsid w:val="00356DAD"/>
    <w:rsid w:val="00356DDF"/>
    <w:rsid w:val="00356DF6"/>
    <w:rsid w:val="00356E29"/>
    <w:rsid w:val="00356E3C"/>
    <w:rsid w:val="00356E6F"/>
    <w:rsid w:val="00356EA4"/>
    <w:rsid w:val="00356EEA"/>
    <w:rsid w:val="00356EF8"/>
    <w:rsid w:val="00356EFC"/>
    <w:rsid w:val="00356FE1"/>
    <w:rsid w:val="00357000"/>
    <w:rsid w:val="00357002"/>
    <w:rsid w:val="00357015"/>
    <w:rsid w:val="0035704E"/>
    <w:rsid w:val="003570B8"/>
    <w:rsid w:val="003571A4"/>
    <w:rsid w:val="003571EE"/>
    <w:rsid w:val="00357379"/>
    <w:rsid w:val="00357394"/>
    <w:rsid w:val="003573F1"/>
    <w:rsid w:val="0035748C"/>
    <w:rsid w:val="003574E8"/>
    <w:rsid w:val="00357500"/>
    <w:rsid w:val="00357503"/>
    <w:rsid w:val="00357525"/>
    <w:rsid w:val="0035759D"/>
    <w:rsid w:val="0035759F"/>
    <w:rsid w:val="003575E7"/>
    <w:rsid w:val="00357637"/>
    <w:rsid w:val="00357644"/>
    <w:rsid w:val="003576A5"/>
    <w:rsid w:val="003576AD"/>
    <w:rsid w:val="0035771D"/>
    <w:rsid w:val="00357752"/>
    <w:rsid w:val="003577B9"/>
    <w:rsid w:val="003577D1"/>
    <w:rsid w:val="003577EA"/>
    <w:rsid w:val="00357807"/>
    <w:rsid w:val="0035784E"/>
    <w:rsid w:val="0035784F"/>
    <w:rsid w:val="003578A1"/>
    <w:rsid w:val="003578C8"/>
    <w:rsid w:val="0035792A"/>
    <w:rsid w:val="00357980"/>
    <w:rsid w:val="00357996"/>
    <w:rsid w:val="00357A46"/>
    <w:rsid w:val="00357A58"/>
    <w:rsid w:val="00357A94"/>
    <w:rsid w:val="00357AC8"/>
    <w:rsid w:val="00357ACD"/>
    <w:rsid w:val="00357AFF"/>
    <w:rsid w:val="00357B49"/>
    <w:rsid w:val="00357BA7"/>
    <w:rsid w:val="00357C78"/>
    <w:rsid w:val="00357C80"/>
    <w:rsid w:val="00357CA4"/>
    <w:rsid w:val="00357D2A"/>
    <w:rsid w:val="00357DB3"/>
    <w:rsid w:val="00357DE5"/>
    <w:rsid w:val="00357DF3"/>
    <w:rsid w:val="00357E18"/>
    <w:rsid w:val="00357E1C"/>
    <w:rsid w:val="00357E48"/>
    <w:rsid w:val="00357E57"/>
    <w:rsid w:val="00357E64"/>
    <w:rsid w:val="00357EAB"/>
    <w:rsid w:val="00357EED"/>
    <w:rsid w:val="00357F2E"/>
    <w:rsid w:val="00357F52"/>
    <w:rsid w:val="00357FE3"/>
    <w:rsid w:val="00357FFC"/>
    <w:rsid w:val="0036000D"/>
    <w:rsid w:val="00360030"/>
    <w:rsid w:val="0036004D"/>
    <w:rsid w:val="0036005C"/>
    <w:rsid w:val="00360061"/>
    <w:rsid w:val="00360083"/>
    <w:rsid w:val="003600A1"/>
    <w:rsid w:val="003600B3"/>
    <w:rsid w:val="003600D9"/>
    <w:rsid w:val="003600FB"/>
    <w:rsid w:val="00360117"/>
    <w:rsid w:val="00360123"/>
    <w:rsid w:val="0036016A"/>
    <w:rsid w:val="0036016F"/>
    <w:rsid w:val="00360185"/>
    <w:rsid w:val="003601E5"/>
    <w:rsid w:val="003601E7"/>
    <w:rsid w:val="00360250"/>
    <w:rsid w:val="003602D6"/>
    <w:rsid w:val="00360353"/>
    <w:rsid w:val="0036035A"/>
    <w:rsid w:val="0036035E"/>
    <w:rsid w:val="00360394"/>
    <w:rsid w:val="00360405"/>
    <w:rsid w:val="00360446"/>
    <w:rsid w:val="00360454"/>
    <w:rsid w:val="0036046E"/>
    <w:rsid w:val="0036047F"/>
    <w:rsid w:val="00360482"/>
    <w:rsid w:val="003604AF"/>
    <w:rsid w:val="003604CF"/>
    <w:rsid w:val="0036057D"/>
    <w:rsid w:val="003605BF"/>
    <w:rsid w:val="003605C6"/>
    <w:rsid w:val="0036062C"/>
    <w:rsid w:val="0036067B"/>
    <w:rsid w:val="00360685"/>
    <w:rsid w:val="0036073B"/>
    <w:rsid w:val="0036074B"/>
    <w:rsid w:val="0036075F"/>
    <w:rsid w:val="0036076A"/>
    <w:rsid w:val="0036079F"/>
    <w:rsid w:val="0036081D"/>
    <w:rsid w:val="00360824"/>
    <w:rsid w:val="00360839"/>
    <w:rsid w:val="00360844"/>
    <w:rsid w:val="00360890"/>
    <w:rsid w:val="003608B4"/>
    <w:rsid w:val="003608D2"/>
    <w:rsid w:val="0036092D"/>
    <w:rsid w:val="0036093B"/>
    <w:rsid w:val="0036095C"/>
    <w:rsid w:val="003609B6"/>
    <w:rsid w:val="003609DA"/>
    <w:rsid w:val="003609E6"/>
    <w:rsid w:val="003609EB"/>
    <w:rsid w:val="00360A38"/>
    <w:rsid w:val="00360C0B"/>
    <w:rsid w:val="00360C2F"/>
    <w:rsid w:val="00360C47"/>
    <w:rsid w:val="00360C49"/>
    <w:rsid w:val="00360C93"/>
    <w:rsid w:val="00360CD9"/>
    <w:rsid w:val="00360D09"/>
    <w:rsid w:val="00360D34"/>
    <w:rsid w:val="00360D42"/>
    <w:rsid w:val="00360D5C"/>
    <w:rsid w:val="00360D81"/>
    <w:rsid w:val="00360DA4"/>
    <w:rsid w:val="00360DE7"/>
    <w:rsid w:val="00360DF8"/>
    <w:rsid w:val="00360E11"/>
    <w:rsid w:val="00360E17"/>
    <w:rsid w:val="00360E3A"/>
    <w:rsid w:val="00360E41"/>
    <w:rsid w:val="00360EAC"/>
    <w:rsid w:val="00360F13"/>
    <w:rsid w:val="00360F21"/>
    <w:rsid w:val="00360F30"/>
    <w:rsid w:val="00360F31"/>
    <w:rsid w:val="00360F78"/>
    <w:rsid w:val="00360FBC"/>
    <w:rsid w:val="00360FEA"/>
    <w:rsid w:val="0036102F"/>
    <w:rsid w:val="0036105C"/>
    <w:rsid w:val="00361061"/>
    <w:rsid w:val="00361064"/>
    <w:rsid w:val="00361081"/>
    <w:rsid w:val="00361082"/>
    <w:rsid w:val="0036108D"/>
    <w:rsid w:val="0036111B"/>
    <w:rsid w:val="0036113F"/>
    <w:rsid w:val="00361154"/>
    <w:rsid w:val="003611B9"/>
    <w:rsid w:val="003611EB"/>
    <w:rsid w:val="0036121D"/>
    <w:rsid w:val="00361234"/>
    <w:rsid w:val="003612EE"/>
    <w:rsid w:val="00361347"/>
    <w:rsid w:val="00361367"/>
    <w:rsid w:val="003613A3"/>
    <w:rsid w:val="003613CC"/>
    <w:rsid w:val="0036141D"/>
    <w:rsid w:val="00361428"/>
    <w:rsid w:val="00361480"/>
    <w:rsid w:val="003614EF"/>
    <w:rsid w:val="00361500"/>
    <w:rsid w:val="00361503"/>
    <w:rsid w:val="0036152E"/>
    <w:rsid w:val="003615C8"/>
    <w:rsid w:val="00361689"/>
    <w:rsid w:val="0036169C"/>
    <w:rsid w:val="00361705"/>
    <w:rsid w:val="0036176B"/>
    <w:rsid w:val="003617C9"/>
    <w:rsid w:val="00361840"/>
    <w:rsid w:val="00361869"/>
    <w:rsid w:val="003618DF"/>
    <w:rsid w:val="00361910"/>
    <w:rsid w:val="00361920"/>
    <w:rsid w:val="00361937"/>
    <w:rsid w:val="00361938"/>
    <w:rsid w:val="00361949"/>
    <w:rsid w:val="00361997"/>
    <w:rsid w:val="00361A55"/>
    <w:rsid w:val="00361A95"/>
    <w:rsid w:val="00361B7D"/>
    <w:rsid w:val="00361B84"/>
    <w:rsid w:val="00361BA4"/>
    <w:rsid w:val="00361BC7"/>
    <w:rsid w:val="00361BE7"/>
    <w:rsid w:val="00361C05"/>
    <w:rsid w:val="00361C91"/>
    <w:rsid w:val="00361CAF"/>
    <w:rsid w:val="00361CBE"/>
    <w:rsid w:val="00361CE2"/>
    <w:rsid w:val="00361D97"/>
    <w:rsid w:val="00361DD2"/>
    <w:rsid w:val="00361DE4"/>
    <w:rsid w:val="00361DF2"/>
    <w:rsid w:val="00361E1B"/>
    <w:rsid w:val="00361E25"/>
    <w:rsid w:val="00361E40"/>
    <w:rsid w:val="00361E6E"/>
    <w:rsid w:val="00361ECD"/>
    <w:rsid w:val="00361F0D"/>
    <w:rsid w:val="00361F0F"/>
    <w:rsid w:val="00361F3A"/>
    <w:rsid w:val="00361F4C"/>
    <w:rsid w:val="00361F5E"/>
    <w:rsid w:val="00361F66"/>
    <w:rsid w:val="00362005"/>
    <w:rsid w:val="00362022"/>
    <w:rsid w:val="0036202B"/>
    <w:rsid w:val="0036204E"/>
    <w:rsid w:val="00362050"/>
    <w:rsid w:val="003620A6"/>
    <w:rsid w:val="003620B8"/>
    <w:rsid w:val="003620D6"/>
    <w:rsid w:val="003620F0"/>
    <w:rsid w:val="003620F8"/>
    <w:rsid w:val="0036212B"/>
    <w:rsid w:val="0036219D"/>
    <w:rsid w:val="00362212"/>
    <w:rsid w:val="0036221F"/>
    <w:rsid w:val="00362244"/>
    <w:rsid w:val="0036225C"/>
    <w:rsid w:val="003622BB"/>
    <w:rsid w:val="003622E1"/>
    <w:rsid w:val="00362308"/>
    <w:rsid w:val="0036231D"/>
    <w:rsid w:val="00362326"/>
    <w:rsid w:val="00362384"/>
    <w:rsid w:val="003623AF"/>
    <w:rsid w:val="003623B1"/>
    <w:rsid w:val="003623C3"/>
    <w:rsid w:val="0036242F"/>
    <w:rsid w:val="0036245C"/>
    <w:rsid w:val="003624D8"/>
    <w:rsid w:val="0036251D"/>
    <w:rsid w:val="00362541"/>
    <w:rsid w:val="00362598"/>
    <w:rsid w:val="003625A4"/>
    <w:rsid w:val="003625C7"/>
    <w:rsid w:val="0036260D"/>
    <w:rsid w:val="00362662"/>
    <w:rsid w:val="0036268B"/>
    <w:rsid w:val="003627C7"/>
    <w:rsid w:val="003627D7"/>
    <w:rsid w:val="003627D9"/>
    <w:rsid w:val="0036285F"/>
    <w:rsid w:val="003628CF"/>
    <w:rsid w:val="003628DA"/>
    <w:rsid w:val="003628E1"/>
    <w:rsid w:val="003628F3"/>
    <w:rsid w:val="00362944"/>
    <w:rsid w:val="00362978"/>
    <w:rsid w:val="003629AD"/>
    <w:rsid w:val="00362A87"/>
    <w:rsid w:val="00362AB4"/>
    <w:rsid w:val="00362B21"/>
    <w:rsid w:val="00362B4E"/>
    <w:rsid w:val="00362B8B"/>
    <w:rsid w:val="00362BA7"/>
    <w:rsid w:val="00362BC5"/>
    <w:rsid w:val="00362C14"/>
    <w:rsid w:val="00362C3C"/>
    <w:rsid w:val="00362C43"/>
    <w:rsid w:val="00362C5C"/>
    <w:rsid w:val="00362C60"/>
    <w:rsid w:val="00362C9D"/>
    <w:rsid w:val="00362CE1"/>
    <w:rsid w:val="00362CE3"/>
    <w:rsid w:val="00362D14"/>
    <w:rsid w:val="00362D20"/>
    <w:rsid w:val="00362D5B"/>
    <w:rsid w:val="00362D80"/>
    <w:rsid w:val="00362DB5"/>
    <w:rsid w:val="00362DB8"/>
    <w:rsid w:val="00362E96"/>
    <w:rsid w:val="00362E9C"/>
    <w:rsid w:val="00362EC2"/>
    <w:rsid w:val="00362ED1"/>
    <w:rsid w:val="00362F37"/>
    <w:rsid w:val="00362F55"/>
    <w:rsid w:val="00362FD2"/>
    <w:rsid w:val="00362FF6"/>
    <w:rsid w:val="00363010"/>
    <w:rsid w:val="003630A9"/>
    <w:rsid w:val="003630F9"/>
    <w:rsid w:val="0036311A"/>
    <w:rsid w:val="00363136"/>
    <w:rsid w:val="00363137"/>
    <w:rsid w:val="00363158"/>
    <w:rsid w:val="003631A9"/>
    <w:rsid w:val="003631AD"/>
    <w:rsid w:val="003631DF"/>
    <w:rsid w:val="003631F9"/>
    <w:rsid w:val="00363212"/>
    <w:rsid w:val="00363242"/>
    <w:rsid w:val="00363257"/>
    <w:rsid w:val="0036332F"/>
    <w:rsid w:val="00363411"/>
    <w:rsid w:val="0036342A"/>
    <w:rsid w:val="0036343A"/>
    <w:rsid w:val="003634B6"/>
    <w:rsid w:val="003634E3"/>
    <w:rsid w:val="003634EE"/>
    <w:rsid w:val="0036357E"/>
    <w:rsid w:val="0036358B"/>
    <w:rsid w:val="0036359C"/>
    <w:rsid w:val="003635B2"/>
    <w:rsid w:val="00363605"/>
    <w:rsid w:val="0036360C"/>
    <w:rsid w:val="00363642"/>
    <w:rsid w:val="003636B0"/>
    <w:rsid w:val="00363712"/>
    <w:rsid w:val="00363738"/>
    <w:rsid w:val="0036374D"/>
    <w:rsid w:val="003637A2"/>
    <w:rsid w:val="003637AF"/>
    <w:rsid w:val="003637E6"/>
    <w:rsid w:val="00363833"/>
    <w:rsid w:val="003638A2"/>
    <w:rsid w:val="003638BC"/>
    <w:rsid w:val="003638C8"/>
    <w:rsid w:val="003638CC"/>
    <w:rsid w:val="003638E6"/>
    <w:rsid w:val="00363931"/>
    <w:rsid w:val="00363940"/>
    <w:rsid w:val="00363988"/>
    <w:rsid w:val="003639BD"/>
    <w:rsid w:val="003639CD"/>
    <w:rsid w:val="00363A12"/>
    <w:rsid w:val="00363A68"/>
    <w:rsid w:val="00363A75"/>
    <w:rsid w:val="00363AA3"/>
    <w:rsid w:val="00363AFC"/>
    <w:rsid w:val="00363BA5"/>
    <w:rsid w:val="00363BC0"/>
    <w:rsid w:val="00363BC5"/>
    <w:rsid w:val="00363C01"/>
    <w:rsid w:val="00363C1A"/>
    <w:rsid w:val="00363C65"/>
    <w:rsid w:val="00363C95"/>
    <w:rsid w:val="00363CAB"/>
    <w:rsid w:val="00363CCE"/>
    <w:rsid w:val="00363CFD"/>
    <w:rsid w:val="00363D74"/>
    <w:rsid w:val="00363D9C"/>
    <w:rsid w:val="00363DA4"/>
    <w:rsid w:val="00363DA5"/>
    <w:rsid w:val="00363DC2"/>
    <w:rsid w:val="00363E07"/>
    <w:rsid w:val="00363E28"/>
    <w:rsid w:val="00363E29"/>
    <w:rsid w:val="00363E2F"/>
    <w:rsid w:val="00363E79"/>
    <w:rsid w:val="00363E85"/>
    <w:rsid w:val="00363EAB"/>
    <w:rsid w:val="00363EBF"/>
    <w:rsid w:val="00363EC8"/>
    <w:rsid w:val="00363F89"/>
    <w:rsid w:val="00363FA6"/>
    <w:rsid w:val="00363FDB"/>
    <w:rsid w:val="00363FF8"/>
    <w:rsid w:val="0036404C"/>
    <w:rsid w:val="00364106"/>
    <w:rsid w:val="003641D2"/>
    <w:rsid w:val="0036420B"/>
    <w:rsid w:val="003642B1"/>
    <w:rsid w:val="003642B8"/>
    <w:rsid w:val="003642D6"/>
    <w:rsid w:val="003642EC"/>
    <w:rsid w:val="003642EF"/>
    <w:rsid w:val="0036438E"/>
    <w:rsid w:val="003643B5"/>
    <w:rsid w:val="003643BD"/>
    <w:rsid w:val="003643D7"/>
    <w:rsid w:val="003643DD"/>
    <w:rsid w:val="003643F6"/>
    <w:rsid w:val="0036443A"/>
    <w:rsid w:val="003644AF"/>
    <w:rsid w:val="003644FC"/>
    <w:rsid w:val="00364545"/>
    <w:rsid w:val="003645CD"/>
    <w:rsid w:val="003646B3"/>
    <w:rsid w:val="003646C3"/>
    <w:rsid w:val="00364767"/>
    <w:rsid w:val="00364813"/>
    <w:rsid w:val="003648BE"/>
    <w:rsid w:val="003649B4"/>
    <w:rsid w:val="003649D0"/>
    <w:rsid w:val="00364A19"/>
    <w:rsid w:val="00364A34"/>
    <w:rsid w:val="00364A36"/>
    <w:rsid w:val="00364A3D"/>
    <w:rsid w:val="00364A4F"/>
    <w:rsid w:val="00364A50"/>
    <w:rsid w:val="00364A98"/>
    <w:rsid w:val="00364AF7"/>
    <w:rsid w:val="00364B5A"/>
    <w:rsid w:val="00364BFA"/>
    <w:rsid w:val="00364C05"/>
    <w:rsid w:val="00364C6D"/>
    <w:rsid w:val="00364C8E"/>
    <w:rsid w:val="00364C98"/>
    <w:rsid w:val="00364CB9"/>
    <w:rsid w:val="00364CD6"/>
    <w:rsid w:val="00364D4A"/>
    <w:rsid w:val="00364D88"/>
    <w:rsid w:val="00364D9D"/>
    <w:rsid w:val="00364DD5"/>
    <w:rsid w:val="00364E07"/>
    <w:rsid w:val="00364E46"/>
    <w:rsid w:val="00364E83"/>
    <w:rsid w:val="00364EA3"/>
    <w:rsid w:val="00364F4E"/>
    <w:rsid w:val="00364F5A"/>
    <w:rsid w:val="00364F72"/>
    <w:rsid w:val="00364FBA"/>
    <w:rsid w:val="00364FEF"/>
    <w:rsid w:val="00365013"/>
    <w:rsid w:val="0036503D"/>
    <w:rsid w:val="0036505D"/>
    <w:rsid w:val="003650BB"/>
    <w:rsid w:val="003650BC"/>
    <w:rsid w:val="003650E5"/>
    <w:rsid w:val="00365101"/>
    <w:rsid w:val="00365108"/>
    <w:rsid w:val="00365188"/>
    <w:rsid w:val="00365206"/>
    <w:rsid w:val="0036522F"/>
    <w:rsid w:val="00365244"/>
    <w:rsid w:val="00365258"/>
    <w:rsid w:val="00365283"/>
    <w:rsid w:val="00365293"/>
    <w:rsid w:val="003652B6"/>
    <w:rsid w:val="003652E4"/>
    <w:rsid w:val="0036538F"/>
    <w:rsid w:val="003653AC"/>
    <w:rsid w:val="00365407"/>
    <w:rsid w:val="00365428"/>
    <w:rsid w:val="0036544B"/>
    <w:rsid w:val="0036546D"/>
    <w:rsid w:val="003654E7"/>
    <w:rsid w:val="00365572"/>
    <w:rsid w:val="00365580"/>
    <w:rsid w:val="00365628"/>
    <w:rsid w:val="00365683"/>
    <w:rsid w:val="003656A9"/>
    <w:rsid w:val="003656EA"/>
    <w:rsid w:val="00365715"/>
    <w:rsid w:val="00365740"/>
    <w:rsid w:val="00365759"/>
    <w:rsid w:val="00365783"/>
    <w:rsid w:val="003657AB"/>
    <w:rsid w:val="003657AC"/>
    <w:rsid w:val="003657B9"/>
    <w:rsid w:val="0036586A"/>
    <w:rsid w:val="0036587A"/>
    <w:rsid w:val="003658CD"/>
    <w:rsid w:val="003658EE"/>
    <w:rsid w:val="003658F9"/>
    <w:rsid w:val="00365916"/>
    <w:rsid w:val="00365919"/>
    <w:rsid w:val="00365985"/>
    <w:rsid w:val="0036599B"/>
    <w:rsid w:val="003659B4"/>
    <w:rsid w:val="003659D2"/>
    <w:rsid w:val="00365A8B"/>
    <w:rsid w:val="00365ABD"/>
    <w:rsid w:val="00365B25"/>
    <w:rsid w:val="00365B31"/>
    <w:rsid w:val="00365B4B"/>
    <w:rsid w:val="00365B64"/>
    <w:rsid w:val="00365BBF"/>
    <w:rsid w:val="00365BC2"/>
    <w:rsid w:val="00365BE6"/>
    <w:rsid w:val="00365C1C"/>
    <w:rsid w:val="00365C2F"/>
    <w:rsid w:val="00365C35"/>
    <w:rsid w:val="00365C83"/>
    <w:rsid w:val="00365CB0"/>
    <w:rsid w:val="00365CBB"/>
    <w:rsid w:val="00365CBD"/>
    <w:rsid w:val="00365CC9"/>
    <w:rsid w:val="00365D8A"/>
    <w:rsid w:val="00365DED"/>
    <w:rsid w:val="00365DF2"/>
    <w:rsid w:val="00365E29"/>
    <w:rsid w:val="00365E61"/>
    <w:rsid w:val="00365E98"/>
    <w:rsid w:val="00365ECD"/>
    <w:rsid w:val="00365ED2"/>
    <w:rsid w:val="00365F37"/>
    <w:rsid w:val="00365F49"/>
    <w:rsid w:val="00365F7C"/>
    <w:rsid w:val="00366057"/>
    <w:rsid w:val="0036606E"/>
    <w:rsid w:val="0036607A"/>
    <w:rsid w:val="003660A5"/>
    <w:rsid w:val="003660BF"/>
    <w:rsid w:val="00366157"/>
    <w:rsid w:val="00366182"/>
    <w:rsid w:val="00366183"/>
    <w:rsid w:val="003661EF"/>
    <w:rsid w:val="00366212"/>
    <w:rsid w:val="0036626B"/>
    <w:rsid w:val="0036629D"/>
    <w:rsid w:val="003662BB"/>
    <w:rsid w:val="003662F2"/>
    <w:rsid w:val="003662FA"/>
    <w:rsid w:val="003662FB"/>
    <w:rsid w:val="00366351"/>
    <w:rsid w:val="0036635B"/>
    <w:rsid w:val="00366360"/>
    <w:rsid w:val="003663C0"/>
    <w:rsid w:val="00366420"/>
    <w:rsid w:val="00366443"/>
    <w:rsid w:val="00366480"/>
    <w:rsid w:val="003664A3"/>
    <w:rsid w:val="003664CB"/>
    <w:rsid w:val="0036651C"/>
    <w:rsid w:val="00366530"/>
    <w:rsid w:val="003665AB"/>
    <w:rsid w:val="003665C6"/>
    <w:rsid w:val="003665DE"/>
    <w:rsid w:val="00366602"/>
    <w:rsid w:val="00366629"/>
    <w:rsid w:val="00366684"/>
    <w:rsid w:val="00366685"/>
    <w:rsid w:val="003666E4"/>
    <w:rsid w:val="00366708"/>
    <w:rsid w:val="00366725"/>
    <w:rsid w:val="0036672F"/>
    <w:rsid w:val="00366780"/>
    <w:rsid w:val="003667A5"/>
    <w:rsid w:val="003667EC"/>
    <w:rsid w:val="003667F4"/>
    <w:rsid w:val="00366868"/>
    <w:rsid w:val="00366945"/>
    <w:rsid w:val="00366955"/>
    <w:rsid w:val="003669D8"/>
    <w:rsid w:val="003669E7"/>
    <w:rsid w:val="003669F4"/>
    <w:rsid w:val="003669F6"/>
    <w:rsid w:val="00366A07"/>
    <w:rsid w:val="00366A21"/>
    <w:rsid w:val="00366A6A"/>
    <w:rsid w:val="00366A77"/>
    <w:rsid w:val="00366A9F"/>
    <w:rsid w:val="00366ACF"/>
    <w:rsid w:val="00366AD4"/>
    <w:rsid w:val="00366B18"/>
    <w:rsid w:val="00366B1C"/>
    <w:rsid w:val="00366B1D"/>
    <w:rsid w:val="00366B64"/>
    <w:rsid w:val="00366B65"/>
    <w:rsid w:val="00366B71"/>
    <w:rsid w:val="00366B85"/>
    <w:rsid w:val="00366BA0"/>
    <w:rsid w:val="00366BD2"/>
    <w:rsid w:val="00366BD5"/>
    <w:rsid w:val="00366C1B"/>
    <w:rsid w:val="00366C3B"/>
    <w:rsid w:val="00366C43"/>
    <w:rsid w:val="00366C64"/>
    <w:rsid w:val="00366C91"/>
    <w:rsid w:val="00366CAE"/>
    <w:rsid w:val="00366CF8"/>
    <w:rsid w:val="00366D38"/>
    <w:rsid w:val="00366D3E"/>
    <w:rsid w:val="00366D8E"/>
    <w:rsid w:val="00366D99"/>
    <w:rsid w:val="00366D9F"/>
    <w:rsid w:val="00366DB2"/>
    <w:rsid w:val="00366DCF"/>
    <w:rsid w:val="00366E1E"/>
    <w:rsid w:val="00366E47"/>
    <w:rsid w:val="00366EDE"/>
    <w:rsid w:val="00366F00"/>
    <w:rsid w:val="00366F0E"/>
    <w:rsid w:val="00366F17"/>
    <w:rsid w:val="00366F48"/>
    <w:rsid w:val="00366F66"/>
    <w:rsid w:val="00366FBC"/>
    <w:rsid w:val="00366FC0"/>
    <w:rsid w:val="00366FCE"/>
    <w:rsid w:val="00366FEA"/>
    <w:rsid w:val="00367002"/>
    <w:rsid w:val="0036700D"/>
    <w:rsid w:val="0036704D"/>
    <w:rsid w:val="00367078"/>
    <w:rsid w:val="0036709C"/>
    <w:rsid w:val="00367110"/>
    <w:rsid w:val="00367154"/>
    <w:rsid w:val="00367180"/>
    <w:rsid w:val="003671C1"/>
    <w:rsid w:val="00367227"/>
    <w:rsid w:val="0036722B"/>
    <w:rsid w:val="00367245"/>
    <w:rsid w:val="003672B1"/>
    <w:rsid w:val="003672ED"/>
    <w:rsid w:val="003672F7"/>
    <w:rsid w:val="00367308"/>
    <w:rsid w:val="00367315"/>
    <w:rsid w:val="00367382"/>
    <w:rsid w:val="0036738B"/>
    <w:rsid w:val="003673CD"/>
    <w:rsid w:val="0036748A"/>
    <w:rsid w:val="003674BC"/>
    <w:rsid w:val="003674F6"/>
    <w:rsid w:val="0036755F"/>
    <w:rsid w:val="00367568"/>
    <w:rsid w:val="00367612"/>
    <w:rsid w:val="00367622"/>
    <w:rsid w:val="0036767E"/>
    <w:rsid w:val="003676A6"/>
    <w:rsid w:val="00367705"/>
    <w:rsid w:val="00367706"/>
    <w:rsid w:val="00367709"/>
    <w:rsid w:val="00367759"/>
    <w:rsid w:val="0036776C"/>
    <w:rsid w:val="0036777A"/>
    <w:rsid w:val="00367784"/>
    <w:rsid w:val="0036782C"/>
    <w:rsid w:val="00367830"/>
    <w:rsid w:val="0036783B"/>
    <w:rsid w:val="00367844"/>
    <w:rsid w:val="0036784E"/>
    <w:rsid w:val="0036789D"/>
    <w:rsid w:val="003678A1"/>
    <w:rsid w:val="003678C5"/>
    <w:rsid w:val="003678E9"/>
    <w:rsid w:val="00367999"/>
    <w:rsid w:val="0036799B"/>
    <w:rsid w:val="00367A53"/>
    <w:rsid w:val="00367A6E"/>
    <w:rsid w:val="00367A88"/>
    <w:rsid w:val="00367AAC"/>
    <w:rsid w:val="00367B58"/>
    <w:rsid w:val="00367B61"/>
    <w:rsid w:val="00367B74"/>
    <w:rsid w:val="00367BA6"/>
    <w:rsid w:val="00367BAB"/>
    <w:rsid w:val="00367BAF"/>
    <w:rsid w:val="00367C42"/>
    <w:rsid w:val="00367CA5"/>
    <w:rsid w:val="00367CCB"/>
    <w:rsid w:val="00367CE3"/>
    <w:rsid w:val="00367CF6"/>
    <w:rsid w:val="00367D4F"/>
    <w:rsid w:val="00367D69"/>
    <w:rsid w:val="00367DEC"/>
    <w:rsid w:val="00367DF0"/>
    <w:rsid w:val="00367E15"/>
    <w:rsid w:val="00367E1D"/>
    <w:rsid w:val="00367E90"/>
    <w:rsid w:val="00367ED5"/>
    <w:rsid w:val="00367EFE"/>
    <w:rsid w:val="00367F51"/>
    <w:rsid w:val="00367F73"/>
    <w:rsid w:val="00367F76"/>
    <w:rsid w:val="00367F7B"/>
    <w:rsid w:val="00367FE1"/>
    <w:rsid w:val="0037004D"/>
    <w:rsid w:val="0037004E"/>
    <w:rsid w:val="0037008E"/>
    <w:rsid w:val="0037009B"/>
    <w:rsid w:val="003700AF"/>
    <w:rsid w:val="00370124"/>
    <w:rsid w:val="003701C9"/>
    <w:rsid w:val="003701CF"/>
    <w:rsid w:val="003701E7"/>
    <w:rsid w:val="003701F7"/>
    <w:rsid w:val="0037020E"/>
    <w:rsid w:val="00370217"/>
    <w:rsid w:val="003702E0"/>
    <w:rsid w:val="003702F3"/>
    <w:rsid w:val="00370318"/>
    <w:rsid w:val="0037033A"/>
    <w:rsid w:val="0037038A"/>
    <w:rsid w:val="003703A3"/>
    <w:rsid w:val="003703BE"/>
    <w:rsid w:val="00370409"/>
    <w:rsid w:val="00370464"/>
    <w:rsid w:val="0037047C"/>
    <w:rsid w:val="003704FC"/>
    <w:rsid w:val="0037050B"/>
    <w:rsid w:val="0037050F"/>
    <w:rsid w:val="00370528"/>
    <w:rsid w:val="00370551"/>
    <w:rsid w:val="00370573"/>
    <w:rsid w:val="0037057B"/>
    <w:rsid w:val="00370605"/>
    <w:rsid w:val="00370699"/>
    <w:rsid w:val="003706DD"/>
    <w:rsid w:val="00370867"/>
    <w:rsid w:val="00370894"/>
    <w:rsid w:val="0037091D"/>
    <w:rsid w:val="0037091E"/>
    <w:rsid w:val="00370941"/>
    <w:rsid w:val="0037095A"/>
    <w:rsid w:val="0037099A"/>
    <w:rsid w:val="003709AD"/>
    <w:rsid w:val="00370A61"/>
    <w:rsid w:val="00370A7E"/>
    <w:rsid w:val="00370ABB"/>
    <w:rsid w:val="00370B1C"/>
    <w:rsid w:val="00370C2A"/>
    <w:rsid w:val="00370C92"/>
    <w:rsid w:val="00370CA5"/>
    <w:rsid w:val="00370CA6"/>
    <w:rsid w:val="00370CCD"/>
    <w:rsid w:val="00370CD5"/>
    <w:rsid w:val="00370CDF"/>
    <w:rsid w:val="00370D5F"/>
    <w:rsid w:val="00370D6A"/>
    <w:rsid w:val="00370D6C"/>
    <w:rsid w:val="00370D9F"/>
    <w:rsid w:val="00370DC5"/>
    <w:rsid w:val="00370DD9"/>
    <w:rsid w:val="00370E2D"/>
    <w:rsid w:val="00370E39"/>
    <w:rsid w:val="00370E5A"/>
    <w:rsid w:val="00370E6B"/>
    <w:rsid w:val="00370E8C"/>
    <w:rsid w:val="00370F0A"/>
    <w:rsid w:val="00370FD3"/>
    <w:rsid w:val="003710A1"/>
    <w:rsid w:val="0037111E"/>
    <w:rsid w:val="0037114D"/>
    <w:rsid w:val="00371197"/>
    <w:rsid w:val="003711C9"/>
    <w:rsid w:val="00371235"/>
    <w:rsid w:val="00371244"/>
    <w:rsid w:val="003712B5"/>
    <w:rsid w:val="003712CE"/>
    <w:rsid w:val="003712D2"/>
    <w:rsid w:val="00371320"/>
    <w:rsid w:val="0037132F"/>
    <w:rsid w:val="0037134D"/>
    <w:rsid w:val="00371351"/>
    <w:rsid w:val="003713D7"/>
    <w:rsid w:val="0037143A"/>
    <w:rsid w:val="003714A0"/>
    <w:rsid w:val="003714AD"/>
    <w:rsid w:val="003714F2"/>
    <w:rsid w:val="003714FD"/>
    <w:rsid w:val="00371528"/>
    <w:rsid w:val="00371558"/>
    <w:rsid w:val="003715B1"/>
    <w:rsid w:val="0037160A"/>
    <w:rsid w:val="0037161C"/>
    <w:rsid w:val="00371658"/>
    <w:rsid w:val="003716A1"/>
    <w:rsid w:val="003716F0"/>
    <w:rsid w:val="0037171C"/>
    <w:rsid w:val="00371731"/>
    <w:rsid w:val="0037173B"/>
    <w:rsid w:val="003717EC"/>
    <w:rsid w:val="00371818"/>
    <w:rsid w:val="003718D1"/>
    <w:rsid w:val="003718DF"/>
    <w:rsid w:val="0037191B"/>
    <w:rsid w:val="00371942"/>
    <w:rsid w:val="00371945"/>
    <w:rsid w:val="0037198A"/>
    <w:rsid w:val="003719A5"/>
    <w:rsid w:val="003719E1"/>
    <w:rsid w:val="00371A08"/>
    <w:rsid w:val="00371A39"/>
    <w:rsid w:val="00371A64"/>
    <w:rsid w:val="00371A8B"/>
    <w:rsid w:val="00371AA4"/>
    <w:rsid w:val="00371AA9"/>
    <w:rsid w:val="00371ACD"/>
    <w:rsid w:val="00371AFC"/>
    <w:rsid w:val="00371B86"/>
    <w:rsid w:val="00371B99"/>
    <w:rsid w:val="00371B9E"/>
    <w:rsid w:val="00371BB4"/>
    <w:rsid w:val="00371C02"/>
    <w:rsid w:val="00371C15"/>
    <w:rsid w:val="00371C1A"/>
    <w:rsid w:val="00371C39"/>
    <w:rsid w:val="00371C48"/>
    <w:rsid w:val="00371C4E"/>
    <w:rsid w:val="00371C6A"/>
    <w:rsid w:val="00371C81"/>
    <w:rsid w:val="00371CA2"/>
    <w:rsid w:val="00371D26"/>
    <w:rsid w:val="00371D48"/>
    <w:rsid w:val="00371D6D"/>
    <w:rsid w:val="00371D7C"/>
    <w:rsid w:val="00371DB8"/>
    <w:rsid w:val="00371DE8"/>
    <w:rsid w:val="00371E17"/>
    <w:rsid w:val="00371E2B"/>
    <w:rsid w:val="00371E2E"/>
    <w:rsid w:val="00371E6A"/>
    <w:rsid w:val="00371E75"/>
    <w:rsid w:val="00371E8A"/>
    <w:rsid w:val="00371EC6"/>
    <w:rsid w:val="00371ECD"/>
    <w:rsid w:val="00371ED9"/>
    <w:rsid w:val="00371FAA"/>
    <w:rsid w:val="00371FAE"/>
    <w:rsid w:val="00371FB5"/>
    <w:rsid w:val="00371FB8"/>
    <w:rsid w:val="00371FDE"/>
    <w:rsid w:val="0037201A"/>
    <w:rsid w:val="00372057"/>
    <w:rsid w:val="0037210B"/>
    <w:rsid w:val="0037210D"/>
    <w:rsid w:val="00372119"/>
    <w:rsid w:val="0037213C"/>
    <w:rsid w:val="0037216B"/>
    <w:rsid w:val="003721B8"/>
    <w:rsid w:val="003721D2"/>
    <w:rsid w:val="003721EA"/>
    <w:rsid w:val="003721F5"/>
    <w:rsid w:val="00372212"/>
    <w:rsid w:val="00372223"/>
    <w:rsid w:val="00372279"/>
    <w:rsid w:val="003722D5"/>
    <w:rsid w:val="003722FB"/>
    <w:rsid w:val="00372318"/>
    <w:rsid w:val="0037231D"/>
    <w:rsid w:val="00372329"/>
    <w:rsid w:val="00372384"/>
    <w:rsid w:val="003723D0"/>
    <w:rsid w:val="00372420"/>
    <w:rsid w:val="00372427"/>
    <w:rsid w:val="003724BA"/>
    <w:rsid w:val="003724EA"/>
    <w:rsid w:val="0037251D"/>
    <w:rsid w:val="00372522"/>
    <w:rsid w:val="003725AC"/>
    <w:rsid w:val="003725DF"/>
    <w:rsid w:val="00372602"/>
    <w:rsid w:val="00372661"/>
    <w:rsid w:val="003726AC"/>
    <w:rsid w:val="003726B9"/>
    <w:rsid w:val="003726F7"/>
    <w:rsid w:val="0037271E"/>
    <w:rsid w:val="00372730"/>
    <w:rsid w:val="00372739"/>
    <w:rsid w:val="0037280D"/>
    <w:rsid w:val="00372827"/>
    <w:rsid w:val="00372872"/>
    <w:rsid w:val="00372879"/>
    <w:rsid w:val="00372946"/>
    <w:rsid w:val="003729C1"/>
    <w:rsid w:val="003729E9"/>
    <w:rsid w:val="003729FF"/>
    <w:rsid w:val="00372A2D"/>
    <w:rsid w:val="00372A31"/>
    <w:rsid w:val="00372A3B"/>
    <w:rsid w:val="00372A67"/>
    <w:rsid w:val="00372AB9"/>
    <w:rsid w:val="00372AE0"/>
    <w:rsid w:val="00372AE9"/>
    <w:rsid w:val="00372B1D"/>
    <w:rsid w:val="00372B66"/>
    <w:rsid w:val="00372B72"/>
    <w:rsid w:val="00372BB8"/>
    <w:rsid w:val="00372BF8"/>
    <w:rsid w:val="00372BFB"/>
    <w:rsid w:val="00372C87"/>
    <w:rsid w:val="00372C90"/>
    <w:rsid w:val="00372CA6"/>
    <w:rsid w:val="00372CAA"/>
    <w:rsid w:val="00372D02"/>
    <w:rsid w:val="00372D1F"/>
    <w:rsid w:val="00372D55"/>
    <w:rsid w:val="00372D6A"/>
    <w:rsid w:val="00372DA3"/>
    <w:rsid w:val="00372DD0"/>
    <w:rsid w:val="00372E29"/>
    <w:rsid w:val="00372E82"/>
    <w:rsid w:val="00372EB1"/>
    <w:rsid w:val="00372EB4"/>
    <w:rsid w:val="00372EBC"/>
    <w:rsid w:val="00372EC4"/>
    <w:rsid w:val="00372EDA"/>
    <w:rsid w:val="00372EE7"/>
    <w:rsid w:val="00372F03"/>
    <w:rsid w:val="00372F16"/>
    <w:rsid w:val="00372F3D"/>
    <w:rsid w:val="00372F45"/>
    <w:rsid w:val="00372F66"/>
    <w:rsid w:val="00372F6A"/>
    <w:rsid w:val="00372F87"/>
    <w:rsid w:val="00372FF4"/>
    <w:rsid w:val="00373019"/>
    <w:rsid w:val="00373020"/>
    <w:rsid w:val="0037305F"/>
    <w:rsid w:val="00373089"/>
    <w:rsid w:val="003730B5"/>
    <w:rsid w:val="003730EC"/>
    <w:rsid w:val="0037311B"/>
    <w:rsid w:val="0037314C"/>
    <w:rsid w:val="00373183"/>
    <w:rsid w:val="00373219"/>
    <w:rsid w:val="0037322A"/>
    <w:rsid w:val="00373265"/>
    <w:rsid w:val="003732B9"/>
    <w:rsid w:val="0037339D"/>
    <w:rsid w:val="003733BC"/>
    <w:rsid w:val="003733D0"/>
    <w:rsid w:val="003733F6"/>
    <w:rsid w:val="0037342B"/>
    <w:rsid w:val="00373431"/>
    <w:rsid w:val="00373468"/>
    <w:rsid w:val="003734A1"/>
    <w:rsid w:val="003734DD"/>
    <w:rsid w:val="003734EF"/>
    <w:rsid w:val="00373527"/>
    <w:rsid w:val="00373558"/>
    <w:rsid w:val="0037356D"/>
    <w:rsid w:val="0037358F"/>
    <w:rsid w:val="0037361D"/>
    <w:rsid w:val="00373645"/>
    <w:rsid w:val="003736A4"/>
    <w:rsid w:val="003736F6"/>
    <w:rsid w:val="003736FC"/>
    <w:rsid w:val="00373728"/>
    <w:rsid w:val="0037378F"/>
    <w:rsid w:val="00373799"/>
    <w:rsid w:val="003737C9"/>
    <w:rsid w:val="00373829"/>
    <w:rsid w:val="00373856"/>
    <w:rsid w:val="00373864"/>
    <w:rsid w:val="0037389A"/>
    <w:rsid w:val="003738C2"/>
    <w:rsid w:val="00373936"/>
    <w:rsid w:val="00373943"/>
    <w:rsid w:val="00373970"/>
    <w:rsid w:val="0037398A"/>
    <w:rsid w:val="00373997"/>
    <w:rsid w:val="003739D2"/>
    <w:rsid w:val="00373A19"/>
    <w:rsid w:val="00373A1F"/>
    <w:rsid w:val="00373AB9"/>
    <w:rsid w:val="00373ACE"/>
    <w:rsid w:val="00373AEE"/>
    <w:rsid w:val="00373B22"/>
    <w:rsid w:val="00373B3F"/>
    <w:rsid w:val="00373B4E"/>
    <w:rsid w:val="00373B66"/>
    <w:rsid w:val="00373B6A"/>
    <w:rsid w:val="00373BAB"/>
    <w:rsid w:val="00373BC4"/>
    <w:rsid w:val="00373BEE"/>
    <w:rsid w:val="00373BFE"/>
    <w:rsid w:val="00373C33"/>
    <w:rsid w:val="00373C8D"/>
    <w:rsid w:val="00373D0C"/>
    <w:rsid w:val="00373D23"/>
    <w:rsid w:val="00373D32"/>
    <w:rsid w:val="00373DB5"/>
    <w:rsid w:val="00373DB9"/>
    <w:rsid w:val="00373DD2"/>
    <w:rsid w:val="00373DDD"/>
    <w:rsid w:val="00373E0E"/>
    <w:rsid w:val="00373E6F"/>
    <w:rsid w:val="00373E82"/>
    <w:rsid w:val="00373E9A"/>
    <w:rsid w:val="00373EBE"/>
    <w:rsid w:val="00373ECA"/>
    <w:rsid w:val="00373F10"/>
    <w:rsid w:val="00373F3C"/>
    <w:rsid w:val="00373F67"/>
    <w:rsid w:val="00373F89"/>
    <w:rsid w:val="00373F93"/>
    <w:rsid w:val="00373F9A"/>
    <w:rsid w:val="00373FD3"/>
    <w:rsid w:val="00373FD9"/>
    <w:rsid w:val="00373FE9"/>
    <w:rsid w:val="00373FF1"/>
    <w:rsid w:val="0037400D"/>
    <w:rsid w:val="00374045"/>
    <w:rsid w:val="00374070"/>
    <w:rsid w:val="003740B1"/>
    <w:rsid w:val="003741AC"/>
    <w:rsid w:val="003741D8"/>
    <w:rsid w:val="00374211"/>
    <w:rsid w:val="003742DA"/>
    <w:rsid w:val="003742E4"/>
    <w:rsid w:val="0037433F"/>
    <w:rsid w:val="0037434D"/>
    <w:rsid w:val="00374355"/>
    <w:rsid w:val="00374371"/>
    <w:rsid w:val="003743D1"/>
    <w:rsid w:val="00374411"/>
    <w:rsid w:val="00374422"/>
    <w:rsid w:val="00374444"/>
    <w:rsid w:val="0037444D"/>
    <w:rsid w:val="00374493"/>
    <w:rsid w:val="003744C6"/>
    <w:rsid w:val="003744DA"/>
    <w:rsid w:val="003744E0"/>
    <w:rsid w:val="0037450E"/>
    <w:rsid w:val="0037455A"/>
    <w:rsid w:val="00374566"/>
    <w:rsid w:val="00374572"/>
    <w:rsid w:val="0037457A"/>
    <w:rsid w:val="003745A3"/>
    <w:rsid w:val="003745C5"/>
    <w:rsid w:val="003745E1"/>
    <w:rsid w:val="0037465A"/>
    <w:rsid w:val="003746BB"/>
    <w:rsid w:val="00374740"/>
    <w:rsid w:val="0037476E"/>
    <w:rsid w:val="003747B2"/>
    <w:rsid w:val="00374815"/>
    <w:rsid w:val="0037481C"/>
    <w:rsid w:val="00374845"/>
    <w:rsid w:val="00374894"/>
    <w:rsid w:val="0037489A"/>
    <w:rsid w:val="003748DC"/>
    <w:rsid w:val="0037495D"/>
    <w:rsid w:val="0037497F"/>
    <w:rsid w:val="00374987"/>
    <w:rsid w:val="0037498C"/>
    <w:rsid w:val="0037498E"/>
    <w:rsid w:val="003749D5"/>
    <w:rsid w:val="00374A15"/>
    <w:rsid w:val="00374A2A"/>
    <w:rsid w:val="00374A61"/>
    <w:rsid w:val="00374AE2"/>
    <w:rsid w:val="00374B73"/>
    <w:rsid w:val="00374B8D"/>
    <w:rsid w:val="00374C0A"/>
    <w:rsid w:val="00374C75"/>
    <w:rsid w:val="00374C99"/>
    <w:rsid w:val="00374CCC"/>
    <w:rsid w:val="00374D61"/>
    <w:rsid w:val="00374D9A"/>
    <w:rsid w:val="00374D9B"/>
    <w:rsid w:val="00374E29"/>
    <w:rsid w:val="00374E3B"/>
    <w:rsid w:val="00374E3E"/>
    <w:rsid w:val="00374E74"/>
    <w:rsid w:val="00374E9F"/>
    <w:rsid w:val="00374ED1"/>
    <w:rsid w:val="00374EF2"/>
    <w:rsid w:val="00374FA6"/>
    <w:rsid w:val="00374FAD"/>
    <w:rsid w:val="00375011"/>
    <w:rsid w:val="00375031"/>
    <w:rsid w:val="003750A6"/>
    <w:rsid w:val="0037513F"/>
    <w:rsid w:val="00375198"/>
    <w:rsid w:val="003751BD"/>
    <w:rsid w:val="003751EC"/>
    <w:rsid w:val="003751F4"/>
    <w:rsid w:val="00375264"/>
    <w:rsid w:val="00375304"/>
    <w:rsid w:val="00375338"/>
    <w:rsid w:val="0037545B"/>
    <w:rsid w:val="00375469"/>
    <w:rsid w:val="0037547B"/>
    <w:rsid w:val="003754E7"/>
    <w:rsid w:val="00375540"/>
    <w:rsid w:val="00375568"/>
    <w:rsid w:val="0037559C"/>
    <w:rsid w:val="0037559F"/>
    <w:rsid w:val="003755AB"/>
    <w:rsid w:val="003755BF"/>
    <w:rsid w:val="003755D2"/>
    <w:rsid w:val="00375633"/>
    <w:rsid w:val="0037564F"/>
    <w:rsid w:val="00375665"/>
    <w:rsid w:val="003756CE"/>
    <w:rsid w:val="003756D1"/>
    <w:rsid w:val="003756F1"/>
    <w:rsid w:val="00375779"/>
    <w:rsid w:val="0037579E"/>
    <w:rsid w:val="0037581C"/>
    <w:rsid w:val="00375827"/>
    <w:rsid w:val="0037582C"/>
    <w:rsid w:val="0037587F"/>
    <w:rsid w:val="003758D5"/>
    <w:rsid w:val="00375982"/>
    <w:rsid w:val="003759AB"/>
    <w:rsid w:val="003759E9"/>
    <w:rsid w:val="003759F0"/>
    <w:rsid w:val="00375A3F"/>
    <w:rsid w:val="00375A67"/>
    <w:rsid w:val="00375AB4"/>
    <w:rsid w:val="00375ACF"/>
    <w:rsid w:val="00375AE8"/>
    <w:rsid w:val="00375B43"/>
    <w:rsid w:val="00375B48"/>
    <w:rsid w:val="00375B51"/>
    <w:rsid w:val="00375B93"/>
    <w:rsid w:val="00375BA5"/>
    <w:rsid w:val="00375BB8"/>
    <w:rsid w:val="00375BEA"/>
    <w:rsid w:val="00375BEB"/>
    <w:rsid w:val="00375C70"/>
    <w:rsid w:val="00375CBA"/>
    <w:rsid w:val="00375CD1"/>
    <w:rsid w:val="00375D0D"/>
    <w:rsid w:val="00375D80"/>
    <w:rsid w:val="00375D9F"/>
    <w:rsid w:val="00375DC3"/>
    <w:rsid w:val="00375DD6"/>
    <w:rsid w:val="00375DEF"/>
    <w:rsid w:val="00375E1E"/>
    <w:rsid w:val="00375E2F"/>
    <w:rsid w:val="00375E38"/>
    <w:rsid w:val="00375EBF"/>
    <w:rsid w:val="00375EF2"/>
    <w:rsid w:val="00375EF7"/>
    <w:rsid w:val="00375F61"/>
    <w:rsid w:val="00375F85"/>
    <w:rsid w:val="00375FC6"/>
    <w:rsid w:val="0037600E"/>
    <w:rsid w:val="00376027"/>
    <w:rsid w:val="00376053"/>
    <w:rsid w:val="00376069"/>
    <w:rsid w:val="00376095"/>
    <w:rsid w:val="003760A7"/>
    <w:rsid w:val="003760BA"/>
    <w:rsid w:val="003760FC"/>
    <w:rsid w:val="00376127"/>
    <w:rsid w:val="00376145"/>
    <w:rsid w:val="00376172"/>
    <w:rsid w:val="0037619C"/>
    <w:rsid w:val="00376280"/>
    <w:rsid w:val="003762E7"/>
    <w:rsid w:val="00376321"/>
    <w:rsid w:val="00376338"/>
    <w:rsid w:val="00376353"/>
    <w:rsid w:val="003763BB"/>
    <w:rsid w:val="003763C8"/>
    <w:rsid w:val="003763E9"/>
    <w:rsid w:val="00376455"/>
    <w:rsid w:val="00376458"/>
    <w:rsid w:val="00376466"/>
    <w:rsid w:val="00376494"/>
    <w:rsid w:val="0037650E"/>
    <w:rsid w:val="00376571"/>
    <w:rsid w:val="0037658C"/>
    <w:rsid w:val="003765AC"/>
    <w:rsid w:val="003765CA"/>
    <w:rsid w:val="0037660A"/>
    <w:rsid w:val="0037661C"/>
    <w:rsid w:val="0037663C"/>
    <w:rsid w:val="00376649"/>
    <w:rsid w:val="0037664B"/>
    <w:rsid w:val="0037667B"/>
    <w:rsid w:val="0037668E"/>
    <w:rsid w:val="003766F1"/>
    <w:rsid w:val="00376719"/>
    <w:rsid w:val="00376747"/>
    <w:rsid w:val="003767B1"/>
    <w:rsid w:val="003767BD"/>
    <w:rsid w:val="003767F3"/>
    <w:rsid w:val="00376803"/>
    <w:rsid w:val="00376828"/>
    <w:rsid w:val="0037684A"/>
    <w:rsid w:val="0037685C"/>
    <w:rsid w:val="00376866"/>
    <w:rsid w:val="0037695E"/>
    <w:rsid w:val="003769E9"/>
    <w:rsid w:val="00376A03"/>
    <w:rsid w:val="00376A28"/>
    <w:rsid w:val="00376A43"/>
    <w:rsid w:val="00376A5C"/>
    <w:rsid w:val="00376ABA"/>
    <w:rsid w:val="00376AE9"/>
    <w:rsid w:val="00376AEC"/>
    <w:rsid w:val="00376AF7"/>
    <w:rsid w:val="00376B01"/>
    <w:rsid w:val="00376B1D"/>
    <w:rsid w:val="00376B27"/>
    <w:rsid w:val="00376B4B"/>
    <w:rsid w:val="00376BB4"/>
    <w:rsid w:val="00376BF7"/>
    <w:rsid w:val="00376C95"/>
    <w:rsid w:val="00376D05"/>
    <w:rsid w:val="00376D49"/>
    <w:rsid w:val="00376D60"/>
    <w:rsid w:val="00376E5C"/>
    <w:rsid w:val="00376E75"/>
    <w:rsid w:val="00376E80"/>
    <w:rsid w:val="00376EC4"/>
    <w:rsid w:val="00376F42"/>
    <w:rsid w:val="00376FAF"/>
    <w:rsid w:val="00376FC4"/>
    <w:rsid w:val="00376FCE"/>
    <w:rsid w:val="00376FEF"/>
    <w:rsid w:val="00376FF6"/>
    <w:rsid w:val="00377053"/>
    <w:rsid w:val="0037706E"/>
    <w:rsid w:val="003770D0"/>
    <w:rsid w:val="0037710F"/>
    <w:rsid w:val="00377147"/>
    <w:rsid w:val="003771A1"/>
    <w:rsid w:val="003771BB"/>
    <w:rsid w:val="003771EA"/>
    <w:rsid w:val="00377244"/>
    <w:rsid w:val="00377278"/>
    <w:rsid w:val="003772CE"/>
    <w:rsid w:val="003772E8"/>
    <w:rsid w:val="0037730A"/>
    <w:rsid w:val="00377322"/>
    <w:rsid w:val="00377326"/>
    <w:rsid w:val="0037735D"/>
    <w:rsid w:val="0037735E"/>
    <w:rsid w:val="00377375"/>
    <w:rsid w:val="00377386"/>
    <w:rsid w:val="0037740E"/>
    <w:rsid w:val="0037741D"/>
    <w:rsid w:val="00377429"/>
    <w:rsid w:val="0037742C"/>
    <w:rsid w:val="00377430"/>
    <w:rsid w:val="0037744D"/>
    <w:rsid w:val="003774B5"/>
    <w:rsid w:val="003774DF"/>
    <w:rsid w:val="00377520"/>
    <w:rsid w:val="0037752F"/>
    <w:rsid w:val="00377549"/>
    <w:rsid w:val="00377639"/>
    <w:rsid w:val="00377670"/>
    <w:rsid w:val="00377696"/>
    <w:rsid w:val="003776F3"/>
    <w:rsid w:val="00377701"/>
    <w:rsid w:val="0037771F"/>
    <w:rsid w:val="00377737"/>
    <w:rsid w:val="0037774C"/>
    <w:rsid w:val="003777A2"/>
    <w:rsid w:val="00377835"/>
    <w:rsid w:val="0037784F"/>
    <w:rsid w:val="00377855"/>
    <w:rsid w:val="0037785D"/>
    <w:rsid w:val="0037786F"/>
    <w:rsid w:val="00377873"/>
    <w:rsid w:val="00377883"/>
    <w:rsid w:val="003778A2"/>
    <w:rsid w:val="003778F0"/>
    <w:rsid w:val="00377997"/>
    <w:rsid w:val="003779A9"/>
    <w:rsid w:val="003779C2"/>
    <w:rsid w:val="003779F4"/>
    <w:rsid w:val="00377A1A"/>
    <w:rsid w:val="00377A82"/>
    <w:rsid w:val="00377AB8"/>
    <w:rsid w:val="00377AEF"/>
    <w:rsid w:val="00377B0B"/>
    <w:rsid w:val="00377B4A"/>
    <w:rsid w:val="00377BB7"/>
    <w:rsid w:val="00377BE5"/>
    <w:rsid w:val="00377C00"/>
    <w:rsid w:val="00377C12"/>
    <w:rsid w:val="00377C13"/>
    <w:rsid w:val="00377C1F"/>
    <w:rsid w:val="00377C2F"/>
    <w:rsid w:val="00377C5A"/>
    <w:rsid w:val="00377CEE"/>
    <w:rsid w:val="00377CFA"/>
    <w:rsid w:val="00377D83"/>
    <w:rsid w:val="00377DFE"/>
    <w:rsid w:val="00377E09"/>
    <w:rsid w:val="00377E0E"/>
    <w:rsid w:val="00377E19"/>
    <w:rsid w:val="00377E28"/>
    <w:rsid w:val="00377EC0"/>
    <w:rsid w:val="00377F4A"/>
    <w:rsid w:val="00377F53"/>
    <w:rsid w:val="00377F9F"/>
    <w:rsid w:val="00377FFC"/>
    <w:rsid w:val="00380033"/>
    <w:rsid w:val="00380045"/>
    <w:rsid w:val="003800C0"/>
    <w:rsid w:val="003800F2"/>
    <w:rsid w:val="00380107"/>
    <w:rsid w:val="0038012C"/>
    <w:rsid w:val="0038013A"/>
    <w:rsid w:val="003801BB"/>
    <w:rsid w:val="00380205"/>
    <w:rsid w:val="0038028A"/>
    <w:rsid w:val="003802ED"/>
    <w:rsid w:val="003802F7"/>
    <w:rsid w:val="00380396"/>
    <w:rsid w:val="003803DF"/>
    <w:rsid w:val="003803E7"/>
    <w:rsid w:val="003803FA"/>
    <w:rsid w:val="0038041C"/>
    <w:rsid w:val="00380443"/>
    <w:rsid w:val="00380478"/>
    <w:rsid w:val="00380486"/>
    <w:rsid w:val="003804AE"/>
    <w:rsid w:val="003804C3"/>
    <w:rsid w:val="003804C7"/>
    <w:rsid w:val="003804F7"/>
    <w:rsid w:val="00380536"/>
    <w:rsid w:val="00380537"/>
    <w:rsid w:val="00380563"/>
    <w:rsid w:val="003805C5"/>
    <w:rsid w:val="003805EE"/>
    <w:rsid w:val="00380636"/>
    <w:rsid w:val="00380644"/>
    <w:rsid w:val="00380671"/>
    <w:rsid w:val="003806AB"/>
    <w:rsid w:val="003806E9"/>
    <w:rsid w:val="00380702"/>
    <w:rsid w:val="00380706"/>
    <w:rsid w:val="003807B9"/>
    <w:rsid w:val="00380854"/>
    <w:rsid w:val="00380876"/>
    <w:rsid w:val="0038087F"/>
    <w:rsid w:val="003808A2"/>
    <w:rsid w:val="003808DF"/>
    <w:rsid w:val="00380942"/>
    <w:rsid w:val="0038095A"/>
    <w:rsid w:val="00380969"/>
    <w:rsid w:val="0038097B"/>
    <w:rsid w:val="003809BB"/>
    <w:rsid w:val="003809E9"/>
    <w:rsid w:val="00380A32"/>
    <w:rsid w:val="00380A33"/>
    <w:rsid w:val="00380A49"/>
    <w:rsid w:val="00380A79"/>
    <w:rsid w:val="00380B60"/>
    <w:rsid w:val="00380B99"/>
    <w:rsid w:val="00380BF2"/>
    <w:rsid w:val="00380C0A"/>
    <w:rsid w:val="00380C5B"/>
    <w:rsid w:val="00380C6A"/>
    <w:rsid w:val="00380CAC"/>
    <w:rsid w:val="00380D00"/>
    <w:rsid w:val="00380D06"/>
    <w:rsid w:val="00380D31"/>
    <w:rsid w:val="00380D73"/>
    <w:rsid w:val="00380D91"/>
    <w:rsid w:val="00380DAA"/>
    <w:rsid w:val="00380DF2"/>
    <w:rsid w:val="00380DFD"/>
    <w:rsid w:val="00380E5B"/>
    <w:rsid w:val="00380E5E"/>
    <w:rsid w:val="00380E6A"/>
    <w:rsid w:val="00380E6C"/>
    <w:rsid w:val="00380E6D"/>
    <w:rsid w:val="00380E70"/>
    <w:rsid w:val="00380EFA"/>
    <w:rsid w:val="00380F12"/>
    <w:rsid w:val="00380F5E"/>
    <w:rsid w:val="00380F67"/>
    <w:rsid w:val="0038102A"/>
    <w:rsid w:val="00381099"/>
    <w:rsid w:val="003810AA"/>
    <w:rsid w:val="003810C0"/>
    <w:rsid w:val="003810F5"/>
    <w:rsid w:val="00381117"/>
    <w:rsid w:val="00381133"/>
    <w:rsid w:val="00381176"/>
    <w:rsid w:val="003811BD"/>
    <w:rsid w:val="0038127E"/>
    <w:rsid w:val="003812F9"/>
    <w:rsid w:val="003812FB"/>
    <w:rsid w:val="003812FC"/>
    <w:rsid w:val="0038130A"/>
    <w:rsid w:val="00381392"/>
    <w:rsid w:val="00381421"/>
    <w:rsid w:val="0038145C"/>
    <w:rsid w:val="003814A5"/>
    <w:rsid w:val="003814C5"/>
    <w:rsid w:val="003814F4"/>
    <w:rsid w:val="00381503"/>
    <w:rsid w:val="00381583"/>
    <w:rsid w:val="00381593"/>
    <w:rsid w:val="003815C8"/>
    <w:rsid w:val="003815E2"/>
    <w:rsid w:val="0038162C"/>
    <w:rsid w:val="00381652"/>
    <w:rsid w:val="00381676"/>
    <w:rsid w:val="003816EC"/>
    <w:rsid w:val="003816F8"/>
    <w:rsid w:val="00381711"/>
    <w:rsid w:val="0038176E"/>
    <w:rsid w:val="0038178F"/>
    <w:rsid w:val="00381831"/>
    <w:rsid w:val="00381852"/>
    <w:rsid w:val="003818AC"/>
    <w:rsid w:val="003818BB"/>
    <w:rsid w:val="00381910"/>
    <w:rsid w:val="00381941"/>
    <w:rsid w:val="00381950"/>
    <w:rsid w:val="00381965"/>
    <w:rsid w:val="003819E9"/>
    <w:rsid w:val="003819ED"/>
    <w:rsid w:val="00381A74"/>
    <w:rsid w:val="00381AD8"/>
    <w:rsid w:val="00381B31"/>
    <w:rsid w:val="00381B7A"/>
    <w:rsid w:val="00381B8B"/>
    <w:rsid w:val="00381BA3"/>
    <w:rsid w:val="00381C06"/>
    <w:rsid w:val="00381C0F"/>
    <w:rsid w:val="00381C7F"/>
    <w:rsid w:val="00381C92"/>
    <w:rsid w:val="00381D0F"/>
    <w:rsid w:val="00381D18"/>
    <w:rsid w:val="00381D3D"/>
    <w:rsid w:val="00381DAB"/>
    <w:rsid w:val="00381E29"/>
    <w:rsid w:val="00381E73"/>
    <w:rsid w:val="00381E98"/>
    <w:rsid w:val="00381E9B"/>
    <w:rsid w:val="00381EBA"/>
    <w:rsid w:val="00381ED5"/>
    <w:rsid w:val="00381F03"/>
    <w:rsid w:val="00381F06"/>
    <w:rsid w:val="00381FDC"/>
    <w:rsid w:val="00382009"/>
    <w:rsid w:val="0038203B"/>
    <w:rsid w:val="00382086"/>
    <w:rsid w:val="00382098"/>
    <w:rsid w:val="003820D3"/>
    <w:rsid w:val="0038211D"/>
    <w:rsid w:val="00382152"/>
    <w:rsid w:val="0038222B"/>
    <w:rsid w:val="00382242"/>
    <w:rsid w:val="0038227D"/>
    <w:rsid w:val="00382356"/>
    <w:rsid w:val="003824B7"/>
    <w:rsid w:val="003824BC"/>
    <w:rsid w:val="00382505"/>
    <w:rsid w:val="00382534"/>
    <w:rsid w:val="0038254F"/>
    <w:rsid w:val="00382558"/>
    <w:rsid w:val="00382565"/>
    <w:rsid w:val="0038256A"/>
    <w:rsid w:val="0038257B"/>
    <w:rsid w:val="003825A2"/>
    <w:rsid w:val="003825B9"/>
    <w:rsid w:val="00382612"/>
    <w:rsid w:val="00382679"/>
    <w:rsid w:val="003826E2"/>
    <w:rsid w:val="00382708"/>
    <w:rsid w:val="00382837"/>
    <w:rsid w:val="00382841"/>
    <w:rsid w:val="00382880"/>
    <w:rsid w:val="003828A1"/>
    <w:rsid w:val="003828A5"/>
    <w:rsid w:val="003828B1"/>
    <w:rsid w:val="003828D5"/>
    <w:rsid w:val="003828DF"/>
    <w:rsid w:val="00382977"/>
    <w:rsid w:val="003829A1"/>
    <w:rsid w:val="003829B6"/>
    <w:rsid w:val="003829BD"/>
    <w:rsid w:val="00382A7D"/>
    <w:rsid w:val="00382A81"/>
    <w:rsid w:val="00382A8B"/>
    <w:rsid w:val="00382B16"/>
    <w:rsid w:val="00382B6F"/>
    <w:rsid w:val="00382B7C"/>
    <w:rsid w:val="00382B82"/>
    <w:rsid w:val="00382C11"/>
    <w:rsid w:val="00382C20"/>
    <w:rsid w:val="00382C2B"/>
    <w:rsid w:val="00382C3F"/>
    <w:rsid w:val="00382C51"/>
    <w:rsid w:val="00382C58"/>
    <w:rsid w:val="00382C7D"/>
    <w:rsid w:val="00382CB9"/>
    <w:rsid w:val="00382CF1"/>
    <w:rsid w:val="00382D07"/>
    <w:rsid w:val="00382D5A"/>
    <w:rsid w:val="00382DAA"/>
    <w:rsid w:val="00382DC5"/>
    <w:rsid w:val="00382DF0"/>
    <w:rsid w:val="00382EA3"/>
    <w:rsid w:val="00382EA5"/>
    <w:rsid w:val="00382F02"/>
    <w:rsid w:val="00382F1C"/>
    <w:rsid w:val="00382F26"/>
    <w:rsid w:val="00382F42"/>
    <w:rsid w:val="00382F74"/>
    <w:rsid w:val="00382F76"/>
    <w:rsid w:val="0038301A"/>
    <w:rsid w:val="00383021"/>
    <w:rsid w:val="00383037"/>
    <w:rsid w:val="0038307B"/>
    <w:rsid w:val="00383082"/>
    <w:rsid w:val="0038308A"/>
    <w:rsid w:val="00383091"/>
    <w:rsid w:val="00383096"/>
    <w:rsid w:val="0038309F"/>
    <w:rsid w:val="00383120"/>
    <w:rsid w:val="0038318A"/>
    <w:rsid w:val="00383191"/>
    <w:rsid w:val="003831C0"/>
    <w:rsid w:val="003831F3"/>
    <w:rsid w:val="00383369"/>
    <w:rsid w:val="0038336E"/>
    <w:rsid w:val="0038338C"/>
    <w:rsid w:val="003833AB"/>
    <w:rsid w:val="003833B3"/>
    <w:rsid w:val="0038340E"/>
    <w:rsid w:val="0038341C"/>
    <w:rsid w:val="0038346C"/>
    <w:rsid w:val="003834B3"/>
    <w:rsid w:val="003834CF"/>
    <w:rsid w:val="003834E2"/>
    <w:rsid w:val="003834F1"/>
    <w:rsid w:val="00383536"/>
    <w:rsid w:val="00383564"/>
    <w:rsid w:val="0038357B"/>
    <w:rsid w:val="00383589"/>
    <w:rsid w:val="003835A5"/>
    <w:rsid w:val="003835FD"/>
    <w:rsid w:val="00383610"/>
    <w:rsid w:val="00383631"/>
    <w:rsid w:val="0038364C"/>
    <w:rsid w:val="003837A1"/>
    <w:rsid w:val="003837AD"/>
    <w:rsid w:val="003837C2"/>
    <w:rsid w:val="003837DF"/>
    <w:rsid w:val="003837FE"/>
    <w:rsid w:val="0038380C"/>
    <w:rsid w:val="0038382A"/>
    <w:rsid w:val="00383880"/>
    <w:rsid w:val="003838A3"/>
    <w:rsid w:val="003838F6"/>
    <w:rsid w:val="0038393A"/>
    <w:rsid w:val="0038397D"/>
    <w:rsid w:val="00383982"/>
    <w:rsid w:val="003839BE"/>
    <w:rsid w:val="00383B5B"/>
    <w:rsid w:val="00383BAC"/>
    <w:rsid w:val="00383BAD"/>
    <w:rsid w:val="00383BDF"/>
    <w:rsid w:val="00383BEF"/>
    <w:rsid w:val="00383C13"/>
    <w:rsid w:val="00383C60"/>
    <w:rsid w:val="00383CDD"/>
    <w:rsid w:val="00383CF3"/>
    <w:rsid w:val="00383DA9"/>
    <w:rsid w:val="00383DB8"/>
    <w:rsid w:val="00383E07"/>
    <w:rsid w:val="00383E0B"/>
    <w:rsid w:val="00383E17"/>
    <w:rsid w:val="00383E34"/>
    <w:rsid w:val="00383E4E"/>
    <w:rsid w:val="00383E51"/>
    <w:rsid w:val="00383E55"/>
    <w:rsid w:val="00383F93"/>
    <w:rsid w:val="00383FEB"/>
    <w:rsid w:val="00383FFA"/>
    <w:rsid w:val="0038400A"/>
    <w:rsid w:val="00384016"/>
    <w:rsid w:val="003840F3"/>
    <w:rsid w:val="0038410D"/>
    <w:rsid w:val="00384127"/>
    <w:rsid w:val="00384168"/>
    <w:rsid w:val="00384241"/>
    <w:rsid w:val="0038424A"/>
    <w:rsid w:val="00384264"/>
    <w:rsid w:val="0038429F"/>
    <w:rsid w:val="003842CA"/>
    <w:rsid w:val="00384300"/>
    <w:rsid w:val="00384316"/>
    <w:rsid w:val="0038431A"/>
    <w:rsid w:val="00384343"/>
    <w:rsid w:val="00384359"/>
    <w:rsid w:val="0038438E"/>
    <w:rsid w:val="0038438F"/>
    <w:rsid w:val="003843B9"/>
    <w:rsid w:val="00384476"/>
    <w:rsid w:val="00384480"/>
    <w:rsid w:val="00384481"/>
    <w:rsid w:val="003844A7"/>
    <w:rsid w:val="003844C3"/>
    <w:rsid w:val="003845BE"/>
    <w:rsid w:val="003845CB"/>
    <w:rsid w:val="00384617"/>
    <w:rsid w:val="0038461C"/>
    <w:rsid w:val="0038461F"/>
    <w:rsid w:val="00384648"/>
    <w:rsid w:val="0038464C"/>
    <w:rsid w:val="00384662"/>
    <w:rsid w:val="00384705"/>
    <w:rsid w:val="003847B4"/>
    <w:rsid w:val="003847E8"/>
    <w:rsid w:val="00384830"/>
    <w:rsid w:val="00384841"/>
    <w:rsid w:val="0038485B"/>
    <w:rsid w:val="0038486E"/>
    <w:rsid w:val="00384923"/>
    <w:rsid w:val="00384928"/>
    <w:rsid w:val="0038495D"/>
    <w:rsid w:val="0038495F"/>
    <w:rsid w:val="0038496C"/>
    <w:rsid w:val="0038498F"/>
    <w:rsid w:val="003849D5"/>
    <w:rsid w:val="003849DE"/>
    <w:rsid w:val="003849E2"/>
    <w:rsid w:val="003849E6"/>
    <w:rsid w:val="003849FA"/>
    <w:rsid w:val="00384A09"/>
    <w:rsid w:val="00384A0E"/>
    <w:rsid w:val="00384A11"/>
    <w:rsid w:val="00384A9E"/>
    <w:rsid w:val="00384B31"/>
    <w:rsid w:val="00384BBD"/>
    <w:rsid w:val="00384C1C"/>
    <w:rsid w:val="00384C68"/>
    <w:rsid w:val="00384C6B"/>
    <w:rsid w:val="00384C7D"/>
    <w:rsid w:val="00384C94"/>
    <w:rsid w:val="00384CAA"/>
    <w:rsid w:val="00384CB8"/>
    <w:rsid w:val="00384CD7"/>
    <w:rsid w:val="00384CF2"/>
    <w:rsid w:val="00384CFB"/>
    <w:rsid w:val="00384D78"/>
    <w:rsid w:val="00384D88"/>
    <w:rsid w:val="00384DAF"/>
    <w:rsid w:val="00384DC7"/>
    <w:rsid w:val="00384DD7"/>
    <w:rsid w:val="00384E5E"/>
    <w:rsid w:val="00384E6D"/>
    <w:rsid w:val="00384F10"/>
    <w:rsid w:val="00384F33"/>
    <w:rsid w:val="00384F3C"/>
    <w:rsid w:val="00384FE2"/>
    <w:rsid w:val="00384FF3"/>
    <w:rsid w:val="0038500A"/>
    <w:rsid w:val="00385028"/>
    <w:rsid w:val="00385029"/>
    <w:rsid w:val="00385081"/>
    <w:rsid w:val="003850AB"/>
    <w:rsid w:val="003850D2"/>
    <w:rsid w:val="00385124"/>
    <w:rsid w:val="00385156"/>
    <w:rsid w:val="0038516C"/>
    <w:rsid w:val="00385181"/>
    <w:rsid w:val="003851DC"/>
    <w:rsid w:val="0038524A"/>
    <w:rsid w:val="0038525F"/>
    <w:rsid w:val="003852B5"/>
    <w:rsid w:val="0038533F"/>
    <w:rsid w:val="0038537B"/>
    <w:rsid w:val="003853E1"/>
    <w:rsid w:val="00385406"/>
    <w:rsid w:val="0038541B"/>
    <w:rsid w:val="003854BF"/>
    <w:rsid w:val="0038552E"/>
    <w:rsid w:val="00385543"/>
    <w:rsid w:val="00385576"/>
    <w:rsid w:val="003855FC"/>
    <w:rsid w:val="00385600"/>
    <w:rsid w:val="00385634"/>
    <w:rsid w:val="00385645"/>
    <w:rsid w:val="00385694"/>
    <w:rsid w:val="0038570A"/>
    <w:rsid w:val="00385711"/>
    <w:rsid w:val="0038573D"/>
    <w:rsid w:val="0038574F"/>
    <w:rsid w:val="003857A4"/>
    <w:rsid w:val="003857D2"/>
    <w:rsid w:val="003857F2"/>
    <w:rsid w:val="0038581C"/>
    <w:rsid w:val="0038582C"/>
    <w:rsid w:val="00385830"/>
    <w:rsid w:val="0038586C"/>
    <w:rsid w:val="0038587C"/>
    <w:rsid w:val="003858D3"/>
    <w:rsid w:val="003858F0"/>
    <w:rsid w:val="003858FF"/>
    <w:rsid w:val="00385901"/>
    <w:rsid w:val="00385946"/>
    <w:rsid w:val="00385973"/>
    <w:rsid w:val="0038597C"/>
    <w:rsid w:val="0038598C"/>
    <w:rsid w:val="003859D5"/>
    <w:rsid w:val="00385A3B"/>
    <w:rsid w:val="00385A72"/>
    <w:rsid w:val="00385B44"/>
    <w:rsid w:val="00385B4E"/>
    <w:rsid w:val="00385B83"/>
    <w:rsid w:val="00385B89"/>
    <w:rsid w:val="00385BB9"/>
    <w:rsid w:val="00385C2F"/>
    <w:rsid w:val="00385C38"/>
    <w:rsid w:val="00385C41"/>
    <w:rsid w:val="00385C88"/>
    <w:rsid w:val="00385CD9"/>
    <w:rsid w:val="00385CE8"/>
    <w:rsid w:val="00385D13"/>
    <w:rsid w:val="00385DD1"/>
    <w:rsid w:val="00385DE6"/>
    <w:rsid w:val="00385DE7"/>
    <w:rsid w:val="00385E12"/>
    <w:rsid w:val="00385E69"/>
    <w:rsid w:val="00385E71"/>
    <w:rsid w:val="00385E81"/>
    <w:rsid w:val="00385E89"/>
    <w:rsid w:val="00385EA1"/>
    <w:rsid w:val="00385EA8"/>
    <w:rsid w:val="00385EB6"/>
    <w:rsid w:val="00385EC8"/>
    <w:rsid w:val="00385EC9"/>
    <w:rsid w:val="00385ECA"/>
    <w:rsid w:val="00385EE6"/>
    <w:rsid w:val="00385F53"/>
    <w:rsid w:val="00385F6B"/>
    <w:rsid w:val="00385FEA"/>
    <w:rsid w:val="00385FF1"/>
    <w:rsid w:val="00386005"/>
    <w:rsid w:val="0038609F"/>
    <w:rsid w:val="003860FD"/>
    <w:rsid w:val="003860FE"/>
    <w:rsid w:val="0038610A"/>
    <w:rsid w:val="00386113"/>
    <w:rsid w:val="00386142"/>
    <w:rsid w:val="00386149"/>
    <w:rsid w:val="00386171"/>
    <w:rsid w:val="0038617A"/>
    <w:rsid w:val="00386192"/>
    <w:rsid w:val="0038620F"/>
    <w:rsid w:val="0038621F"/>
    <w:rsid w:val="0038624C"/>
    <w:rsid w:val="003862CF"/>
    <w:rsid w:val="003862D0"/>
    <w:rsid w:val="003862DC"/>
    <w:rsid w:val="003863B2"/>
    <w:rsid w:val="003863C9"/>
    <w:rsid w:val="003863EF"/>
    <w:rsid w:val="00386421"/>
    <w:rsid w:val="0038644B"/>
    <w:rsid w:val="00386489"/>
    <w:rsid w:val="003864A5"/>
    <w:rsid w:val="003864A8"/>
    <w:rsid w:val="003864AD"/>
    <w:rsid w:val="003864FA"/>
    <w:rsid w:val="00386569"/>
    <w:rsid w:val="00386630"/>
    <w:rsid w:val="00386678"/>
    <w:rsid w:val="003866B3"/>
    <w:rsid w:val="003866C5"/>
    <w:rsid w:val="003866E4"/>
    <w:rsid w:val="003866F3"/>
    <w:rsid w:val="0038686F"/>
    <w:rsid w:val="003868E1"/>
    <w:rsid w:val="00386918"/>
    <w:rsid w:val="00386945"/>
    <w:rsid w:val="00386950"/>
    <w:rsid w:val="00386954"/>
    <w:rsid w:val="00386986"/>
    <w:rsid w:val="003869A4"/>
    <w:rsid w:val="003869E5"/>
    <w:rsid w:val="00386A06"/>
    <w:rsid w:val="00386A26"/>
    <w:rsid w:val="00386A86"/>
    <w:rsid w:val="00386AA0"/>
    <w:rsid w:val="00386AA5"/>
    <w:rsid w:val="00386AEC"/>
    <w:rsid w:val="00386B41"/>
    <w:rsid w:val="00386B54"/>
    <w:rsid w:val="00386BC1"/>
    <w:rsid w:val="00386BF8"/>
    <w:rsid w:val="00386BFB"/>
    <w:rsid w:val="00386C2C"/>
    <w:rsid w:val="00386C2F"/>
    <w:rsid w:val="00386CF5"/>
    <w:rsid w:val="00386D2B"/>
    <w:rsid w:val="00386D7B"/>
    <w:rsid w:val="00386D8B"/>
    <w:rsid w:val="00386DB1"/>
    <w:rsid w:val="00386DB6"/>
    <w:rsid w:val="00386DB7"/>
    <w:rsid w:val="00386DC6"/>
    <w:rsid w:val="00386DDB"/>
    <w:rsid w:val="00386E04"/>
    <w:rsid w:val="00386E42"/>
    <w:rsid w:val="00386E74"/>
    <w:rsid w:val="00386E8A"/>
    <w:rsid w:val="00386EA5"/>
    <w:rsid w:val="00386EAF"/>
    <w:rsid w:val="00386ED4"/>
    <w:rsid w:val="00386F01"/>
    <w:rsid w:val="00386F30"/>
    <w:rsid w:val="00386FC3"/>
    <w:rsid w:val="00387006"/>
    <w:rsid w:val="00387011"/>
    <w:rsid w:val="00387043"/>
    <w:rsid w:val="0038705D"/>
    <w:rsid w:val="00387074"/>
    <w:rsid w:val="00387078"/>
    <w:rsid w:val="00387103"/>
    <w:rsid w:val="00387121"/>
    <w:rsid w:val="0038713C"/>
    <w:rsid w:val="00387160"/>
    <w:rsid w:val="0038716E"/>
    <w:rsid w:val="003872AA"/>
    <w:rsid w:val="003872D1"/>
    <w:rsid w:val="0038736E"/>
    <w:rsid w:val="0038737F"/>
    <w:rsid w:val="00387393"/>
    <w:rsid w:val="003873C6"/>
    <w:rsid w:val="003873D8"/>
    <w:rsid w:val="00387426"/>
    <w:rsid w:val="0038744A"/>
    <w:rsid w:val="00387450"/>
    <w:rsid w:val="00387478"/>
    <w:rsid w:val="003874E5"/>
    <w:rsid w:val="00387549"/>
    <w:rsid w:val="00387552"/>
    <w:rsid w:val="003875CE"/>
    <w:rsid w:val="003875F3"/>
    <w:rsid w:val="00387637"/>
    <w:rsid w:val="0038767A"/>
    <w:rsid w:val="003876AB"/>
    <w:rsid w:val="003876B3"/>
    <w:rsid w:val="003876BD"/>
    <w:rsid w:val="003876EC"/>
    <w:rsid w:val="003876F4"/>
    <w:rsid w:val="00387701"/>
    <w:rsid w:val="0038775F"/>
    <w:rsid w:val="00387762"/>
    <w:rsid w:val="003877A1"/>
    <w:rsid w:val="003877AB"/>
    <w:rsid w:val="003877B6"/>
    <w:rsid w:val="00387846"/>
    <w:rsid w:val="0038786C"/>
    <w:rsid w:val="00387874"/>
    <w:rsid w:val="003878B6"/>
    <w:rsid w:val="003878BB"/>
    <w:rsid w:val="003878EC"/>
    <w:rsid w:val="00387914"/>
    <w:rsid w:val="00387923"/>
    <w:rsid w:val="003879E7"/>
    <w:rsid w:val="00387A32"/>
    <w:rsid w:val="00387A60"/>
    <w:rsid w:val="00387A9E"/>
    <w:rsid w:val="00387A9F"/>
    <w:rsid w:val="00387AF1"/>
    <w:rsid w:val="00387BB6"/>
    <w:rsid w:val="00387BDB"/>
    <w:rsid w:val="00387BEF"/>
    <w:rsid w:val="00387BF8"/>
    <w:rsid w:val="00387C0B"/>
    <w:rsid w:val="00387C43"/>
    <w:rsid w:val="00387C99"/>
    <w:rsid w:val="00387D0A"/>
    <w:rsid w:val="00387D4A"/>
    <w:rsid w:val="00387D51"/>
    <w:rsid w:val="00387D56"/>
    <w:rsid w:val="00387D5B"/>
    <w:rsid w:val="00387DDA"/>
    <w:rsid w:val="00387E03"/>
    <w:rsid w:val="00387E90"/>
    <w:rsid w:val="00387F09"/>
    <w:rsid w:val="00387FB5"/>
    <w:rsid w:val="00387FD4"/>
    <w:rsid w:val="00390019"/>
    <w:rsid w:val="0039003E"/>
    <w:rsid w:val="003900AF"/>
    <w:rsid w:val="003900BA"/>
    <w:rsid w:val="003900CD"/>
    <w:rsid w:val="003900F6"/>
    <w:rsid w:val="00390108"/>
    <w:rsid w:val="0039011A"/>
    <w:rsid w:val="00390146"/>
    <w:rsid w:val="0039015B"/>
    <w:rsid w:val="0039017F"/>
    <w:rsid w:val="003901B7"/>
    <w:rsid w:val="003901E4"/>
    <w:rsid w:val="003901FA"/>
    <w:rsid w:val="00390209"/>
    <w:rsid w:val="003902BF"/>
    <w:rsid w:val="003902CE"/>
    <w:rsid w:val="003902D3"/>
    <w:rsid w:val="003902E3"/>
    <w:rsid w:val="00390327"/>
    <w:rsid w:val="0039035A"/>
    <w:rsid w:val="0039037B"/>
    <w:rsid w:val="0039039A"/>
    <w:rsid w:val="003903C1"/>
    <w:rsid w:val="003903E8"/>
    <w:rsid w:val="003903F0"/>
    <w:rsid w:val="00390403"/>
    <w:rsid w:val="00390483"/>
    <w:rsid w:val="003904BF"/>
    <w:rsid w:val="00390528"/>
    <w:rsid w:val="00390563"/>
    <w:rsid w:val="00390593"/>
    <w:rsid w:val="0039067C"/>
    <w:rsid w:val="0039071D"/>
    <w:rsid w:val="00390730"/>
    <w:rsid w:val="00390836"/>
    <w:rsid w:val="0039084D"/>
    <w:rsid w:val="00390869"/>
    <w:rsid w:val="00390893"/>
    <w:rsid w:val="003908DD"/>
    <w:rsid w:val="003908F7"/>
    <w:rsid w:val="0039093D"/>
    <w:rsid w:val="00390999"/>
    <w:rsid w:val="003909B9"/>
    <w:rsid w:val="00390A48"/>
    <w:rsid w:val="00390ABB"/>
    <w:rsid w:val="00390AF5"/>
    <w:rsid w:val="00390AF6"/>
    <w:rsid w:val="00390B14"/>
    <w:rsid w:val="00390B31"/>
    <w:rsid w:val="00390B5F"/>
    <w:rsid w:val="00390B74"/>
    <w:rsid w:val="00390B7B"/>
    <w:rsid w:val="00390BB1"/>
    <w:rsid w:val="00390BC6"/>
    <w:rsid w:val="00390C04"/>
    <w:rsid w:val="00390C29"/>
    <w:rsid w:val="00390C3A"/>
    <w:rsid w:val="00390C5D"/>
    <w:rsid w:val="00390C80"/>
    <w:rsid w:val="00390CD5"/>
    <w:rsid w:val="00390D16"/>
    <w:rsid w:val="00390D30"/>
    <w:rsid w:val="00390D5A"/>
    <w:rsid w:val="00390DBA"/>
    <w:rsid w:val="00390DC8"/>
    <w:rsid w:val="00390DD9"/>
    <w:rsid w:val="00390E4F"/>
    <w:rsid w:val="00390E56"/>
    <w:rsid w:val="00390E6A"/>
    <w:rsid w:val="00390EF6"/>
    <w:rsid w:val="00390F35"/>
    <w:rsid w:val="00390F58"/>
    <w:rsid w:val="00390F79"/>
    <w:rsid w:val="00390F98"/>
    <w:rsid w:val="00390F9F"/>
    <w:rsid w:val="00390FC4"/>
    <w:rsid w:val="00391027"/>
    <w:rsid w:val="00391034"/>
    <w:rsid w:val="00391041"/>
    <w:rsid w:val="00391080"/>
    <w:rsid w:val="003910AC"/>
    <w:rsid w:val="003910BC"/>
    <w:rsid w:val="00391116"/>
    <w:rsid w:val="00391175"/>
    <w:rsid w:val="003911D5"/>
    <w:rsid w:val="003911EE"/>
    <w:rsid w:val="003911F1"/>
    <w:rsid w:val="003911F6"/>
    <w:rsid w:val="0039121A"/>
    <w:rsid w:val="0039123C"/>
    <w:rsid w:val="0039126C"/>
    <w:rsid w:val="003912A8"/>
    <w:rsid w:val="003912CB"/>
    <w:rsid w:val="003913AB"/>
    <w:rsid w:val="003913BA"/>
    <w:rsid w:val="003913E7"/>
    <w:rsid w:val="00391425"/>
    <w:rsid w:val="003914D9"/>
    <w:rsid w:val="003914FE"/>
    <w:rsid w:val="003915AB"/>
    <w:rsid w:val="003915B1"/>
    <w:rsid w:val="003915EE"/>
    <w:rsid w:val="0039163C"/>
    <w:rsid w:val="00391663"/>
    <w:rsid w:val="00391671"/>
    <w:rsid w:val="00391674"/>
    <w:rsid w:val="00391760"/>
    <w:rsid w:val="00391791"/>
    <w:rsid w:val="00391796"/>
    <w:rsid w:val="003917AF"/>
    <w:rsid w:val="003917EC"/>
    <w:rsid w:val="00391800"/>
    <w:rsid w:val="00391805"/>
    <w:rsid w:val="0039192F"/>
    <w:rsid w:val="003919AC"/>
    <w:rsid w:val="003919CA"/>
    <w:rsid w:val="003919D5"/>
    <w:rsid w:val="00391A7B"/>
    <w:rsid w:val="00391ACC"/>
    <w:rsid w:val="00391B58"/>
    <w:rsid w:val="00391B96"/>
    <w:rsid w:val="00391BAC"/>
    <w:rsid w:val="00391BC4"/>
    <w:rsid w:val="00391C04"/>
    <w:rsid w:val="00391C4A"/>
    <w:rsid w:val="00391C67"/>
    <w:rsid w:val="00391CF1"/>
    <w:rsid w:val="00391D05"/>
    <w:rsid w:val="00391D41"/>
    <w:rsid w:val="00391D4C"/>
    <w:rsid w:val="00391D78"/>
    <w:rsid w:val="00391DE8"/>
    <w:rsid w:val="00391DEC"/>
    <w:rsid w:val="00391E14"/>
    <w:rsid w:val="00391EED"/>
    <w:rsid w:val="00391EF3"/>
    <w:rsid w:val="00391F23"/>
    <w:rsid w:val="00391F33"/>
    <w:rsid w:val="00391F54"/>
    <w:rsid w:val="00391F56"/>
    <w:rsid w:val="00391FF7"/>
    <w:rsid w:val="00391FF9"/>
    <w:rsid w:val="0039203E"/>
    <w:rsid w:val="0039207A"/>
    <w:rsid w:val="003920D2"/>
    <w:rsid w:val="00392101"/>
    <w:rsid w:val="0039213B"/>
    <w:rsid w:val="003921E1"/>
    <w:rsid w:val="003921EA"/>
    <w:rsid w:val="0039220F"/>
    <w:rsid w:val="00392212"/>
    <w:rsid w:val="00392270"/>
    <w:rsid w:val="003922D7"/>
    <w:rsid w:val="00392305"/>
    <w:rsid w:val="00392307"/>
    <w:rsid w:val="0039233C"/>
    <w:rsid w:val="00392372"/>
    <w:rsid w:val="003923B0"/>
    <w:rsid w:val="003923ED"/>
    <w:rsid w:val="003924C0"/>
    <w:rsid w:val="003924C4"/>
    <w:rsid w:val="003924CE"/>
    <w:rsid w:val="003925D7"/>
    <w:rsid w:val="003925F0"/>
    <w:rsid w:val="00392658"/>
    <w:rsid w:val="0039267D"/>
    <w:rsid w:val="00392682"/>
    <w:rsid w:val="003926AA"/>
    <w:rsid w:val="003926AE"/>
    <w:rsid w:val="0039278D"/>
    <w:rsid w:val="003927D4"/>
    <w:rsid w:val="003927D9"/>
    <w:rsid w:val="00392834"/>
    <w:rsid w:val="00392846"/>
    <w:rsid w:val="0039286B"/>
    <w:rsid w:val="00392879"/>
    <w:rsid w:val="003928A7"/>
    <w:rsid w:val="003928BB"/>
    <w:rsid w:val="003928CD"/>
    <w:rsid w:val="00392971"/>
    <w:rsid w:val="003929A3"/>
    <w:rsid w:val="003929A7"/>
    <w:rsid w:val="00392A80"/>
    <w:rsid w:val="00392AAD"/>
    <w:rsid w:val="00392ABD"/>
    <w:rsid w:val="00392AED"/>
    <w:rsid w:val="00392B21"/>
    <w:rsid w:val="00392B23"/>
    <w:rsid w:val="00392B77"/>
    <w:rsid w:val="00392BAD"/>
    <w:rsid w:val="00392BE7"/>
    <w:rsid w:val="00392BEB"/>
    <w:rsid w:val="00392BF6"/>
    <w:rsid w:val="00392D1E"/>
    <w:rsid w:val="00392D5C"/>
    <w:rsid w:val="00392D5D"/>
    <w:rsid w:val="00392DB5"/>
    <w:rsid w:val="00392DC3"/>
    <w:rsid w:val="00392DC8"/>
    <w:rsid w:val="00392E40"/>
    <w:rsid w:val="00392E71"/>
    <w:rsid w:val="00392E91"/>
    <w:rsid w:val="00392E9E"/>
    <w:rsid w:val="00392ECF"/>
    <w:rsid w:val="00392EFC"/>
    <w:rsid w:val="00392F0A"/>
    <w:rsid w:val="00392F11"/>
    <w:rsid w:val="00392FAF"/>
    <w:rsid w:val="00392FD3"/>
    <w:rsid w:val="0039301C"/>
    <w:rsid w:val="00393073"/>
    <w:rsid w:val="00393076"/>
    <w:rsid w:val="0039308C"/>
    <w:rsid w:val="003930BF"/>
    <w:rsid w:val="003930C4"/>
    <w:rsid w:val="00393131"/>
    <w:rsid w:val="0039313B"/>
    <w:rsid w:val="00393154"/>
    <w:rsid w:val="003931CE"/>
    <w:rsid w:val="0039324A"/>
    <w:rsid w:val="00393265"/>
    <w:rsid w:val="003932A2"/>
    <w:rsid w:val="0039330D"/>
    <w:rsid w:val="0039330F"/>
    <w:rsid w:val="00393317"/>
    <w:rsid w:val="0039333B"/>
    <w:rsid w:val="00393360"/>
    <w:rsid w:val="0039336E"/>
    <w:rsid w:val="00393374"/>
    <w:rsid w:val="003933A8"/>
    <w:rsid w:val="003933AC"/>
    <w:rsid w:val="003933E7"/>
    <w:rsid w:val="00393424"/>
    <w:rsid w:val="0039342A"/>
    <w:rsid w:val="00393440"/>
    <w:rsid w:val="00393485"/>
    <w:rsid w:val="00393489"/>
    <w:rsid w:val="003934BB"/>
    <w:rsid w:val="003934E3"/>
    <w:rsid w:val="0039350C"/>
    <w:rsid w:val="0039352B"/>
    <w:rsid w:val="0039356C"/>
    <w:rsid w:val="003935DF"/>
    <w:rsid w:val="003935EE"/>
    <w:rsid w:val="00393615"/>
    <w:rsid w:val="00393627"/>
    <w:rsid w:val="0039366D"/>
    <w:rsid w:val="00393715"/>
    <w:rsid w:val="00393758"/>
    <w:rsid w:val="0039376F"/>
    <w:rsid w:val="0039379A"/>
    <w:rsid w:val="003937AB"/>
    <w:rsid w:val="003937D4"/>
    <w:rsid w:val="003937F6"/>
    <w:rsid w:val="003937F9"/>
    <w:rsid w:val="00393811"/>
    <w:rsid w:val="00393878"/>
    <w:rsid w:val="00393893"/>
    <w:rsid w:val="00393896"/>
    <w:rsid w:val="0039389B"/>
    <w:rsid w:val="003938D3"/>
    <w:rsid w:val="003938FA"/>
    <w:rsid w:val="00393915"/>
    <w:rsid w:val="00393961"/>
    <w:rsid w:val="003939BC"/>
    <w:rsid w:val="00393A19"/>
    <w:rsid w:val="00393A1F"/>
    <w:rsid w:val="00393A56"/>
    <w:rsid w:val="00393A85"/>
    <w:rsid w:val="00393A87"/>
    <w:rsid w:val="00393AA0"/>
    <w:rsid w:val="00393AB1"/>
    <w:rsid w:val="00393AFF"/>
    <w:rsid w:val="00393B19"/>
    <w:rsid w:val="00393B28"/>
    <w:rsid w:val="00393B2C"/>
    <w:rsid w:val="00393B73"/>
    <w:rsid w:val="00393B7C"/>
    <w:rsid w:val="00393C25"/>
    <w:rsid w:val="00393C6E"/>
    <w:rsid w:val="00393C8A"/>
    <w:rsid w:val="00393C8E"/>
    <w:rsid w:val="00393D85"/>
    <w:rsid w:val="00393DB5"/>
    <w:rsid w:val="00393E00"/>
    <w:rsid w:val="00393E11"/>
    <w:rsid w:val="00393E21"/>
    <w:rsid w:val="00393E54"/>
    <w:rsid w:val="00393E79"/>
    <w:rsid w:val="00393EC8"/>
    <w:rsid w:val="00393F29"/>
    <w:rsid w:val="00393F55"/>
    <w:rsid w:val="00393F69"/>
    <w:rsid w:val="00393FAF"/>
    <w:rsid w:val="0039400E"/>
    <w:rsid w:val="00394029"/>
    <w:rsid w:val="0039403D"/>
    <w:rsid w:val="00394050"/>
    <w:rsid w:val="00394075"/>
    <w:rsid w:val="00394088"/>
    <w:rsid w:val="00394092"/>
    <w:rsid w:val="0039414B"/>
    <w:rsid w:val="0039415D"/>
    <w:rsid w:val="00394176"/>
    <w:rsid w:val="003941E0"/>
    <w:rsid w:val="0039423C"/>
    <w:rsid w:val="00394287"/>
    <w:rsid w:val="0039428E"/>
    <w:rsid w:val="003942AB"/>
    <w:rsid w:val="003942C4"/>
    <w:rsid w:val="003942D0"/>
    <w:rsid w:val="00394310"/>
    <w:rsid w:val="00394324"/>
    <w:rsid w:val="00394392"/>
    <w:rsid w:val="00394428"/>
    <w:rsid w:val="00394442"/>
    <w:rsid w:val="0039448D"/>
    <w:rsid w:val="003944B0"/>
    <w:rsid w:val="003944C6"/>
    <w:rsid w:val="00394585"/>
    <w:rsid w:val="003945BF"/>
    <w:rsid w:val="0039462A"/>
    <w:rsid w:val="00394653"/>
    <w:rsid w:val="003946BA"/>
    <w:rsid w:val="003946FB"/>
    <w:rsid w:val="00394711"/>
    <w:rsid w:val="00394712"/>
    <w:rsid w:val="003947A7"/>
    <w:rsid w:val="003947C3"/>
    <w:rsid w:val="003947F9"/>
    <w:rsid w:val="0039484A"/>
    <w:rsid w:val="00394855"/>
    <w:rsid w:val="0039486B"/>
    <w:rsid w:val="00394874"/>
    <w:rsid w:val="003948B3"/>
    <w:rsid w:val="003948FE"/>
    <w:rsid w:val="0039492C"/>
    <w:rsid w:val="00394957"/>
    <w:rsid w:val="00394962"/>
    <w:rsid w:val="00394995"/>
    <w:rsid w:val="003949BE"/>
    <w:rsid w:val="00394A03"/>
    <w:rsid w:val="00394A05"/>
    <w:rsid w:val="00394AC1"/>
    <w:rsid w:val="00394AF3"/>
    <w:rsid w:val="00394B06"/>
    <w:rsid w:val="00394B1D"/>
    <w:rsid w:val="00394B79"/>
    <w:rsid w:val="00394B97"/>
    <w:rsid w:val="00394C21"/>
    <w:rsid w:val="00394C42"/>
    <w:rsid w:val="00394C9E"/>
    <w:rsid w:val="00394D2F"/>
    <w:rsid w:val="00394DB7"/>
    <w:rsid w:val="00394DD4"/>
    <w:rsid w:val="00394DEA"/>
    <w:rsid w:val="00394E98"/>
    <w:rsid w:val="00394EEB"/>
    <w:rsid w:val="00394F5E"/>
    <w:rsid w:val="00394F82"/>
    <w:rsid w:val="00394FD1"/>
    <w:rsid w:val="00395002"/>
    <w:rsid w:val="00395029"/>
    <w:rsid w:val="0039505E"/>
    <w:rsid w:val="00395070"/>
    <w:rsid w:val="00395092"/>
    <w:rsid w:val="003950F2"/>
    <w:rsid w:val="00395118"/>
    <w:rsid w:val="00395144"/>
    <w:rsid w:val="00395172"/>
    <w:rsid w:val="003951CA"/>
    <w:rsid w:val="00395218"/>
    <w:rsid w:val="0039528F"/>
    <w:rsid w:val="0039529B"/>
    <w:rsid w:val="0039529D"/>
    <w:rsid w:val="0039532A"/>
    <w:rsid w:val="00395352"/>
    <w:rsid w:val="00395396"/>
    <w:rsid w:val="0039543E"/>
    <w:rsid w:val="00395492"/>
    <w:rsid w:val="003954CF"/>
    <w:rsid w:val="003954E0"/>
    <w:rsid w:val="00395520"/>
    <w:rsid w:val="00395523"/>
    <w:rsid w:val="00395597"/>
    <w:rsid w:val="003955DA"/>
    <w:rsid w:val="00395620"/>
    <w:rsid w:val="00395731"/>
    <w:rsid w:val="00395748"/>
    <w:rsid w:val="00395755"/>
    <w:rsid w:val="0039575C"/>
    <w:rsid w:val="00395781"/>
    <w:rsid w:val="003957E3"/>
    <w:rsid w:val="00395802"/>
    <w:rsid w:val="0039584F"/>
    <w:rsid w:val="00395859"/>
    <w:rsid w:val="00395867"/>
    <w:rsid w:val="00395898"/>
    <w:rsid w:val="003958DB"/>
    <w:rsid w:val="00395901"/>
    <w:rsid w:val="00395911"/>
    <w:rsid w:val="0039592C"/>
    <w:rsid w:val="0039598C"/>
    <w:rsid w:val="003959AB"/>
    <w:rsid w:val="003959C2"/>
    <w:rsid w:val="003959C3"/>
    <w:rsid w:val="003959E8"/>
    <w:rsid w:val="003959ED"/>
    <w:rsid w:val="00395A11"/>
    <w:rsid w:val="00395A41"/>
    <w:rsid w:val="00395B24"/>
    <w:rsid w:val="00395B3D"/>
    <w:rsid w:val="00395B65"/>
    <w:rsid w:val="00395B6C"/>
    <w:rsid w:val="00395B8F"/>
    <w:rsid w:val="00395C2C"/>
    <w:rsid w:val="00395C81"/>
    <w:rsid w:val="00395CC8"/>
    <w:rsid w:val="00395D6B"/>
    <w:rsid w:val="00395D7E"/>
    <w:rsid w:val="00395D86"/>
    <w:rsid w:val="00395DE2"/>
    <w:rsid w:val="00395E18"/>
    <w:rsid w:val="00395EBE"/>
    <w:rsid w:val="00395EE5"/>
    <w:rsid w:val="00395F31"/>
    <w:rsid w:val="00395F42"/>
    <w:rsid w:val="00395F73"/>
    <w:rsid w:val="00395F98"/>
    <w:rsid w:val="00395FF3"/>
    <w:rsid w:val="0039601A"/>
    <w:rsid w:val="0039604E"/>
    <w:rsid w:val="0039607C"/>
    <w:rsid w:val="00396108"/>
    <w:rsid w:val="00396142"/>
    <w:rsid w:val="00396144"/>
    <w:rsid w:val="003961B4"/>
    <w:rsid w:val="003961F5"/>
    <w:rsid w:val="0039620B"/>
    <w:rsid w:val="0039623A"/>
    <w:rsid w:val="0039623E"/>
    <w:rsid w:val="0039623F"/>
    <w:rsid w:val="00396247"/>
    <w:rsid w:val="003962B4"/>
    <w:rsid w:val="003962DF"/>
    <w:rsid w:val="00396301"/>
    <w:rsid w:val="0039630F"/>
    <w:rsid w:val="0039632C"/>
    <w:rsid w:val="00396339"/>
    <w:rsid w:val="0039634C"/>
    <w:rsid w:val="0039637B"/>
    <w:rsid w:val="0039638D"/>
    <w:rsid w:val="00396391"/>
    <w:rsid w:val="00396409"/>
    <w:rsid w:val="00396465"/>
    <w:rsid w:val="00396490"/>
    <w:rsid w:val="003964A2"/>
    <w:rsid w:val="003964FC"/>
    <w:rsid w:val="00396561"/>
    <w:rsid w:val="0039656B"/>
    <w:rsid w:val="003965D2"/>
    <w:rsid w:val="003965D3"/>
    <w:rsid w:val="003966A0"/>
    <w:rsid w:val="003966BB"/>
    <w:rsid w:val="0039676D"/>
    <w:rsid w:val="0039677F"/>
    <w:rsid w:val="003968B9"/>
    <w:rsid w:val="003968CC"/>
    <w:rsid w:val="003968CE"/>
    <w:rsid w:val="003968D2"/>
    <w:rsid w:val="00396930"/>
    <w:rsid w:val="00396945"/>
    <w:rsid w:val="00396946"/>
    <w:rsid w:val="0039694D"/>
    <w:rsid w:val="00396968"/>
    <w:rsid w:val="00396AD0"/>
    <w:rsid w:val="00396B0B"/>
    <w:rsid w:val="00396B48"/>
    <w:rsid w:val="00396B58"/>
    <w:rsid w:val="00396B66"/>
    <w:rsid w:val="00396BD3"/>
    <w:rsid w:val="00396DAC"/>
    <w:rsid w:val="00396DDB"/>
    <w:rsid w:val="00396DE4"/>
    <w:rsid w:val="00396E3C"/>
    <w:rsid w:val="00396E53"/>
    <w:rsid w:val="00396EFD"/>
    <w:rsid w:val="00396F2C"/>
    <w:rsid w:val="00396F85"/>
    <w:rsid w:val="00396F87"/>
    <w:rsid w:val="00396FB7"/>
    <w:rsid w:val="00396FE3"/>
    <w:rsid w:val="0039701B"/>
    <w:rsid w:val="00397089"/>
    <w:rsid w:val="003970CE"/>
    <w:rsid w:val="00397142"/>
    <w:rsid w:val="00397165"/>
    <w:rsid w:val="003971A2"/>
    <w:rsid w:val="003971E3"/>
    <w:rsid w:val="003971FA"/>
    <w:rsid w:val="0039720E"/>
    <w:rsid w:val="00397254"/>
    <w:rsid w:val="00397270"/>
    <w:rsid w:val="00397272"/>
    <w:rsid w:val="00397307"/>
    <w:rsid w:val="00397358"/>
    <w:rsid w:val="00397362"/>
    <w:rsid w:val="0039736B"/>
    <w:rsid w:val="003973CF"/>
    <w:rsid w:val="00397445"/>
    <w:rsid w:val="0039744F"/>
    <w:rsid w:val="00397482"/>
    <w:rsid w:val="003974FB"/>
    <w:rsid w:val="00397521"/>
    <w:rsid w:val="0039753E"/>
    <w:rsid w:val="0039754D"/>
    <w:rsid w:val="003975BB"/>
    <w:rsid w:val="003975FD"/>
    <w:rsid w:val="0039763E"/>
    <w:rsid w:val="00397660"/>
    <w:rsid w:val="003976B5"/>
    <w:rsid w:val="003976D2"/>
    <w:rsid w:val="003976E1"/>
    <w:rsid w:val="0039772F"/>
    <w:rsid w:val="00397758"/>
    <w:rsid w:val="0039776C"/>
    <w:rsid w:val="00397782"/>
    <w:rsid w:val="003977C1"/>
    <w:rsid w:val="003977D4"/>
    <w:rsid w:val="003977D8"/>
    <w:rsid w:val="003977EE"/>
    <w:rsid w:val="0039780D"/>
    <w:rsid w:val="00397823"/>
    <w:rsid w:val="003978C3"/>
    <w:rsid w:val="00397908"/>
    <w:rsid w:val="00397937"/>
    <w:rsid w:val="00397971"/>
    <w:rsid w:val="0039799C"/>
    <w:rsid w:val="003979E4"/>
    <w:rsid w:val="00397A24"/>
    <w:rsid w:val="00397AE3"/>
    <w:rsid w:val="00397B00"/>
    <w:rsid w:val="00397B19"/>
    <w:rsid w:val="00397B4B"/>
    <w:rsid w:val="00397BFD"/>
    <w:rsid w:val="00397C12"/>
    <w:rsid w:val="00397C62"/>
    <w:rsid w:val="00397D1D"/>
    <w:rsid w:val="00397D39"/>
    <w:rsid w:val="00397D8C"/>
    <w:rsid w:val="00397D96"/>
    <w:rsid w:val="00397E83"/>
    <w:rsid w:val="00397E9E"/>
    <w:rsid w:val="00397EF8"/>
    <w:rsid w:val="00397F1F"/>
    <w:rsid w:val="00397F3F"/>
    <w:rsid w:val="00397F43"/>
    <w:rsid w:val="00397F69"/>
    <w:rsid w:val="00397F8C"/>
    <w:rsid w:val="003A001D"/>
    <w:rsid w:val="003A0022"/>
    <w:rsid w:val="003A002F"/>
    <w:rsid w:val="003A00BA"/>
    <w:rsid w:val="003A00BD"/>
    <w:rsid w:val="003A00D9"/>
    <w:rsid w:val="003A0110"/>
    <w:rsid w:val="003A011F"/>
    <w:rsid w:val="003A0169"/>
    <w:rsid w:val="003A017C"/>
    <w:rsid w:val="003A018A"/>
    <w:rsid w:val="003A018C"/>
    <w:rsid w:val="003A0193"/>
    <w:rsid w:val="003A020E"/>
    <w:rsid w:val="003A02AB"/>
    <w:rsid w:val="003A0300"/>
    <w:rsid w:val="003A0309"/>
    <w:rsid w:val="003A03A2"/>
    <w:rsid w:val="003A03C1"/>
    <w:rsid w:val="003A04B3"/>
    <w:rsid w:val="003A04B6"/>
    <w:rsid w:val="003A04FA"/>
    <w:rsid w:val="003A0531"/>
    <w:rsid w:val="003A0590"/>
    <w:rsid w:val="003A05FB"/>
    <w:rsid w:val="003A0637"/>
    <w:rsid w:val="003A06BA"/>
    <w:rsid w:val="003A0703"/>
    <w:rsid w:val="003A0756"/>
    <w:rsid w:val="003A0757"/>
    <w:rsid w:val="003A0764"/>
    <w:rsid w:val="003A078B"/>
    <w:rsid w:val="003A07B2"/>
    <w:rsid w:val="003A086C"/>
    <w:rsid w:val="003A086E"/>
    <w:rsid w:val="003A0879"/>
    <w:rsid w:val="003A08A9"/>
    <w:rsid w:val="003A08D1"/>
    <w:rsid w:val="003A0936"/>
    <w:rsid w:val="003A094A"/>
    <w:rsid w:val="003A0956"/>
    <w:rsid w:val="003A0991"/>
    <w:rsid w:val="003A0998"/>
    <w:rsid w:val="003A09A2"/>
    <w:rsid w:val="003A09E2"/>
    <w:rsid w:val="003A0A4D"/>
    <w:rsid w:val="003A0A9E"/>
    <w:rsid w:val="003A0ACC"/>
    <w:rsid w:val="003A0AF4"/>
    <w:rsid w:val="003A0B0F"/>
    <w:rsid w:val="003A0B3F"/>
    <w:rsid w:val="003A0B5D"/>
    <w:rsid w:val="003A0B6E"/>
    <w:rsid w:val="003A0BCF"/>
    <w:rsid w:val="003A0BD8"/>
    <w:rsid w:val="003A0BFC"/>
    <w:rsid w:val="003A0C17"/>
    <w:rsid w:val="003A0C2E"/>
    <w:rsid w:val="003A0C39"/>
    <w:rsid w:val="003A0C6B"/>
    <w:rsid w:val="003A0C7F"/>
    <w:rsid w:val="003A0C82"/>
    <w:rsid w:val="003A0CDA"/>
    <w:rsid w:val="003A0D1F"/>
    <w:rsid w:val="003A0D95"/>
    <w:rsid w:val="003A0D9D"/>
    <w:rsid w:val="003A0DA1"/>
    <w:rsid w:val="003A0DD7"/>
    <w:rsid w:val="003A0E6A"/>
    <w:rsid w:val="003A0E9B"/>
    <w:rsid w:val="003A0ECC"/>
    <w:rsid w:val="003A0EFD"/>
    <w:rsid w:val="003A0F40"/>
    <w:rsid w:val="003A0F62"/>
    <w:rsid w:val="003A0F6B"/>
    <w:rsid w:val="003A0F8D"/>
    <w:rsid w:val="003A0FB5"/>
    <w:rsid w:val="003A0FB8"/>
    <w:rsid w:val="003A0FF4"/>
    <w:rsid w:val="003A100B"/>
    <w:rsid w:val="003A105B"/>
    <w:rsid w:val="003A1067"/>
    <w:rsid w:val="003A1099"/>
    <w:rsid w:val="003A109E"/>
    <w:rsid w:val="003A10CE"/>
    <w:rsid w:val="003A10FE"/>
    <w:rsid w:val="003A1101"/>
    <w:rsid w:val="003A1148"/>
    <w:rsid w:val="003A1169"/>
    <w:rsid w:val="003A119D"/>
    <w:rsid w:val="003A11B3"/>
    <w:rsid w:val="003A11C1"/>
    <w:rsid w:val="003A11E8"/>
    <w:rsid w:val="003A12F5"/>
    <w:rsid w:val="003A1355"/>
    <w:rsid w:val="003A1363"/>
    <w:rsid w:val="003A1398"/>
    <w:rsid w:val="003A13A2"/>
    <w:rsid w:val="003A13EE"/>
    <w:rsid w:val="003A1410"/>
    <w:rsid w:val="003A14E9"/>
    <w:rsid w:val="003A150B"/>
    <w:rsid w:val="003A1564"/>
    <w:rsid w:val="003A15C6"/>
    <w:rsid w:val="003A15E5"/>
    <w:rsid w:val="003A15F4"/>
    <w:rsid w:val="003A162A"/>
    <w:rsid w:val="003A162D"/>
    <w:rsid w:val="003A165E"/>
    <w:rsid w:val="003A167B"/>
    <w:rsid w:val="003A16A6"/>
    <w:rsid w:val="003A16DA"/>
    <w:rsid w:val="003A171A"/>
    <w:rsid w:val="003A1772"/>
    <w:rsid w:val="003A178A"/>
    <w:rsid w:val="003A17C7"/>
    <w:rsid w:val="003A17EB"/>
    <w:rsid w:val="003A17EC"/>
    <w:rsid w:val="003A180B"/>
    <w:rsid w:val="003A181C"/>
    <w:rsid w:val="003A18AF"/>
    <w:rsid w:val="003A18E3"/>
    <w:rsid w:val="003A1916"/>
    <w:rsid w:val="003A1A03"/>
    <w:rsid w:val="003A1A08"/>
    <w:rsid w:val="003A1A6A"/>
    <w:rsid w:val="003A1A79"/>
    <w:rsid w:val="003A1AA7"/>
    <w:rsid w:val="003A1AD0"/>
    <w:rsid w:val="003A1AE9"/>
    <w:rsid w:val="003A1AF4"/>
    <w:rsid w:val="003A1B24"/>
    <w:rsid w:val="003A1B93"/>
    <w:rsid w:val="003A1BA3"/>
    <w:rsid w:val="003A1C60"/>
    <w:rsid w:val="003A1CB0"/>
    <w:rsid w:val="003A1CBC"/>
    <w:rsid w:val="003A1D11"/>
    <w:rsid w:val="003A1D13"/>
    <w:rsid w:val="003A1D2C"/>
    <w:rsid w:val="003A1D33"/>
    <w:rsid w:val="003A1D5A"/>
    <w:rsid w:val="003A1DCB"/>
    <w:rsid w:val="003A1E8C"/>
    <w:rsid w:val="003A1E9D"/>
    <w:rsid w:val="003A1EA3"/>
    <w:rsid w:val="003A1EED"/>
    <w:rsid w:val="003A1F26"/>
    <w:rsid w:val="003A1F36"/>
    <w:rsid w:val="003A1F58"/>
    <w:rsid w:val="003A1F60"/>
    <w:rsid w:val="003A1F77"/>
    <w:rsid w:val="003A201A"/>
    <w:rsid w:val="003A20D3"/>
    <w:rsid w:val="003A2109"/>
    <w:rsid w:val="003A2144"/>
    <w:rsid w:val="003A2145"/>
    <w:rsid w:val="003A214F"/>
    <w:rsid w:val="003A217F"/>
    <w:rsid w:val="003A21AE"/>
    <w:rsid w:val="003A21E8"/>
    <w:rsid w:val="003A2232"/>
    <w:rsid w:val="003A2261"/>
    <w:rsid w:val="003A2276"/>
    <w:rsid w:val="003A228D"/>
    <w:rsid w:val="003A22B1"/>
    <w:rsid w:val="003A22B5"/>
    <w:rsid w:val="003A22C2"/>
    <w:rsid w:val="003A2354"/>
    <w:rsid w:val="003A2358"/>
    <w:rsid w:val="003A2386"/>
    <w:rsid w:val="003A241A"/>
    <w:rsid w:val="003A2436"/>
    <w:rsid w:val="003A246A"/>
    <w:rsid w:val="003A2481"/>
    <w:rsid w:val="003A24B5"/>
    <w:rsid w:val="003A24D5"/>
    <w:rsid w:val="003A24EF"/>
    <w:rsid w:val="003A2503"/>
    <w:rsid w:val="003A2534"/>
    <w:rsid w:val="003A2559"/>
    <w:rsid w:val="003A2565"/>
    <w:rsid w:val="003A256D"/>
    <w:rsid w:val="003A259A"/>
    <w:rsid w:val="003A25B5"/>
    <w:rsid w:val="003A25E1"/>
    <w:rsid w:val="003A262F"/>
    <w:rsid w:val="003A2633"/>
    <w:rsid w:val="003A2656"/>
    <w:rsid w:val="003A267B"/>
    <w:rsid w:val="003A26EF"/>
    <w:rsid w:val="003A27C2"/>
    <w:rsid w:val="003A2868"/>
    <w:rsid w:val="003A28C1"/>
    <w:rsid w:val="003A2911"/>
    <w:rsid w:val="003A2947"/>
    <w:rsid w:val="003A2970"/>
    <w:rsid w:val="003A2A00"/>
    <w:rsid w:val="003A2A23"/>
    <w:rsid w:val="003A2A57"/>
    <w:rsid w:val="003A2A7C"/>
    <w:rsid w:val="003A2A92"/>
    <w:rsid w:val="003A2ACB"/>
    <w:rsid w:val="003A2AD0"/>
    <w:rsid w:val="003A2AE2"/>
    <w:rsid w:val="003A2B14"/>
    <w:rsid w:val="003A2B21"/>
    <w:rsid w:val="003A2B60"/>
    <w:rsid w:val="003A2B7E"/>
    <w:rsid w:val="003A2BCD"/>
    <w:rsid w:val="003A2C05"/>
    <w:rsid w:val="003A2C57"/>
    <w:rsid w:val="003A2C5B"/>
    <w:rsid w:val="003A2D05"/>
    <w:rsid w:val="003A2DF7"/>
    <w:rsid w:val="003A2E28"/>
    <w:rsid w:val="003A2E2F"/>
    <w:rsid w:val="003A2E30"/>
    <w:rsid w:val="003A2E3D"/>
    <w:rsid w:val="003A2EE9"/>
    <w:rsid w:val="003A2F3D"/>
    <w:rsid w:val="003A2F62"/>
    <w:rsid w:val="003A2F77"/>
    <w:rsid w:val="003A3001"/>
    <w:rsid w:val="003A305D"/>
    <w:rsid w:val="003A3096"/>
    <w:rsid w:val="003A31A9"/>
    <w:rsid w:val="003A3200"/>
    <w:rsid w:val="003A3257"/>
    <w:rsid w:val="003A328B"/>
    <w:rsid w:val="003A32B4"/>
    <w:rsid w:val="003A32D8"/>
    <w:rsid w:val="003A32E5"/>
    <w:rsid w:val="003A32F1"/>
    <w:rsid w:val="003A3304"/>
    <w:rsid w:val="003A330B"/>
    <w:rsid w:val="003A330C"/>
    <w:rsid w:val="003A3344"/>
    <w:rsid w:val="003A3365"/>
    <w:rsid w:val="003A339C"/>
    <w:rsid w:val="003A33B5"/>
    <w:rsid w:val="003A33E1"/>
    <w:rsid w:val="003A341F"/>
    <w:rsid w:val="003A3497"/>
    <w:rsid w:val="003A350B"/>
    <w:rsid w:val="003A353A"/>
    <w:rsid w:val="003A3561"/>
    <w:rsid w:val="003A358D"/>
    <w:rsid w:val="003A35DA"/>
    <w:rsid w:val="003A3608"/>
    <w:rsid w:val="003A3612"/>
    <w:rsid w:val="003A365E"/>
    <w:rsid w:val="003A36A0"/>
    <w:rsid w:val="003A36A2"/>
    <w:rsid w:val="003A36C4"/>
    <w:rsid w:val="003A36C8"/>
    <w:rsid w:val="003A3809"/>
    <w:rsid w:val="003A3880"/>
    <w:rsid w:val="003A38D2"/>
    <w:rsid w:val="003A38FE"/>
    <w:rsid w:val="003A3990"/>
    <w:rsid w:val="003A3997"/>
    <w:rsid w:val="003A39B7"/>
    <w:rsid w:val="003A39BA"/>
    <w:rsid w:val="003A3A25"/>
    <w:rsid w:val="003A3A2D"/>
    <w:rsid w:val="003A3A66"/>
    <w:rsid w:val="003A3ABD"/>
    <w:rsid w:val="003A3ADC"/>
    <w:rsid w:val="003A3B43"/>
    <w:rsid w:val="003A3B62"/>
    <w:rsid w:val="003A3B63"/>
    <w:rsid w:val="003A3B73"/>
    <w:rsid w:val="003A3B9A"/>
    <w:rsid w:val="003A3BAA"/>
    <w:rsid w:val="003A3BDF"/>
    <w:rsid w:val="003A3BFB"/>
    <w:rsid w:val="003A3C6E"/>
    <w:rsid w:val="003A3C7E"/>
    <w:rsid w:val="003A3CBB"/>
    <w:rsid w:val="003A3CCC"/>
    <w:rsid w:val="003A3CFD"/>
    <w:rsid w:val="003A3D24"/>
    <w:rsid w:val="003A3D2B"/>
    <w:rsid w:val="003A3D3F"/>
    <w:rsid w:val="003A3D44"/>
    <w:rsid w:val="003A3D4C"/>
    <w:rsid w:val="003A3D5F"/>
    <w:rsid w:val="003A3D72"/>
    <w:rsid w:val="003A3D7B"/>
    <w:rsid w:val="003A3DF8"/>
    <w:rsid w:val="003A3E77"/>
    <w:rsid w:val="003A3E8B"/>
    <w:rsid w:val="003A3EA0"/>
    <w:rsid w:val="003A3ED5"/>
    <w:rsid w:val="003A3EE4"/>
    <w:rsid w:val="003A3F3F"/>
    <w:rsid w:val="003A3F7A"/>
    <w:rsid w:val="003A4001"/>
    <w:rsid w:val="003A4086"/>
    <w:rsid w:val="003A40B8"/>
    <w:rsid w:val="003A40BB"/>
    <w:rsid w:val="003A40DC"/>
    <w:rsid w:val="003A40FD"/>
    <w:rsid w:val="003A410D"/>
    <w:rsid w:val="003A4119"/>
    <w:rsid w:val="003A4146"/>
    <w:rsid w:val="003A4154"/>
    <w:rsid w:val="003A4178"/>
    <w:rsid w:val="003A41A6"/>
    <w:rsid w:val="003A41AB"/>
    <w:rsid w:val="003A41B5"/>
    <w:rsid w:val="003A41E0"/>
    <w:rsid w:val="003A41E8"/>
    <w:rsid w:val="003A41FC"/>
    <w:rsid w:val="003A420A"/>
    <w:rsid w:val="003A422D"/>
    <w:rsid w:val="003A429B"/>
    <w:rsid w:val="003A430E"/>
    <w:rsid w:val="003A4451"/>
    <w:rsid w:val="003A4479"/>
    <w:rsid w:val="003A4483"/>
    <w:rsid w:val="003A448E"/>
    <w:rsid w:val="003A4498"/>
    <w:rsid w:val="003A4588"/>
    <w:rsid w:val="003A4594"/>
    <w:rsid w:val="003A45D8"/>
    <w:rsid w:val="003A45DE"/>
    <w:rsid w:val="003A461C"/>
    <w:rsid w:val="003A4623"/>
    <w:rsid w:val="003A466C"/>
    <w:rsid w:val="003A4697"/>
    <w:rsid w:val="003A46E7"/>
    <w:rsid w:val="003A4734"/>
    <w:rsid w:val="003A473D"/>
    <w:rsid w:val="003A4749"/>
    <w:rsid w:val="003A4769"/>
    <w:rsid w:val="003A476D"/>
    <w:rsid w:val="003A47B9"/>
    <w:rsid w:val="003A47F7"/>
    <w:rsid w:val="003A4827"/>
    <w:rsid w:val="003A482A"/>
    <w:rsid w:val="003A491C"/>
    <w:rsid w:val="003A4940"/>
    <w:rsid w:val="003A4961"/>
    <w:rsid w:val="003A49B2"/>
    <w:rsid w:val="003A49B9"/>
    <w:rsid w:val="003A49F9"/>
    <w:rsid w:val="003A4A72"/>
    <w:rsid w:val="003A4A89"/>
    <w:rsid w:val="003A4AB9"/>
    <w:rsid w:val="003A4AD2"/>
    <w:rsid w:val="003A4B6D"/>
    <w:rsid w:val="003A4B85"/>
    <w:rsid w:val="003A4C1F"/>
    <w:rsid w:val="003A4C5B"/>
    <w:rsid w:val="003A4C74"/>
    <w:rsid w:val="003A4C97"/>
    <w:rsid w:val="003A4CB8"/>
    <w:rsid w:val="003A4CFF"/>
    <w:rsid w:val="003A4E65"/>
    <w:rsid w:val="003A4EFE"/>
    <w:rsid w:val="003A4F1B"/>
    <w:rsid w:val="003A4F57"/>
    <w:rsid w:val="003A4F69"/>
    <w:rsid w:val="003A4FCC"/>
    <w:rsid w:val="003A500D"/>
    <w:rsid w:val="003A5052"/>
    <w:rsid w:val="003A5076"/>
    <w:rsid w:val="003A5086"/>
    <w:rsid w:val="003A50DA"/>
    <w:rsid w:val="003A5100"/>
    <w:rsid w:val="003A513F"/>
    <w:rsid w:val="003A516F"/>
    <w:rsid w:val="003A517E"/>
    <w:rsid w:val="003A51B2"/>
    <w:rsid w:val="003A51F4"/>
    <w:rsid w:val="003A5255"/>
    <w:rsid w:val="003A5271"/>
    <w:rsid w:val="003A5279"/>
    <w:rsid w:val="003A52C7"/>
    <w:rsid w:val="003A52CE"/>
    <w:rsid w:val="003A52DF"/>
    <w:rsid w:val="003A52EA"/>
    <w:rsid w:val="003A5340"/>
    <w:rsid w:val="003A5370"/>
    <w:rsid w:val="003A538E"/>
    <w:rsid w:val="003A53FD"/>
    <w:rsid w:val="003A53FF"/>
    <w:rsid w:val="003A5406"/>
    <w:rsid w:val="003A5445"/>
    <w:rsid w:val="003A544B"/>
    <w:rsid w:val="003A546F"/>
    <w:rsid w:val="003A5490"/>
    <w:rsid w:val="003A549D"/>
    <w:rsid w:val="003A54AA"/>
    <w:rsid w:val="003A54C2"/>
    <w:rsid w:val="003A54DF"/>
    <w:rsid w:val="003A5533"/>
    <w:rsid w:val="003A55D4"/>
    <w:rsid w:val="003A567A"/>
    <w:rsid w:val="003A56CB"/>
    <w:rsid w:val="003A56FD"/>
    <w:rsid w:val="003A570D"/>
    <w:rsid w:val="003A5737"/>
    <w:rsid w:val="003A5747"/>
    <w:rsid w:val="003A5786"/>
    <w:rsid w:val="003A5817"/>
    <w:rsid w:val="003A58A5"/>
    <w:rsid w:val="003A595E"/>
    <w:rsid w:val="003A595F"/>
    <w:rsid w:val="003A5987"/>
    <w:rsid w:val="003A59B2"/>
    <w:rsid w:val="003A59B3"/>
    <w:rsid w:val="003A59D4"/>
    <w:rsid w:val="003A5A13"/>
    <w:rsid w:val="003A5A17"/>
    <w:rsid w:val="003A5A66"/>
    <w:rsid w:val="003A5A72"/>
    <w:rsid w:val="003A5AEF"/>
    <w:rsid w:val="003A5B04"/>
    <w:rsid w:val="003A5B08"/>
    <w:rsid w:val="003A5B5B"/>
    <w:rsid w:val="003A5B63"/>
    <w:rsid w:val="003A5B91"/>
    <w:rsid w:val="003A5BD2"/>
    <w:rsid w:val="003A5BF6"/>
    <w:rsid w:val="003A5C0C"/>
    <w:rsid w:val="003A5C4B"/>
    <w:rsid w:val="003A5C90"/>
    <w:rsid w:val="003A5CA9"/>
    <w:rsid w:val="003A5DA0"/>
    <w:rsid w:val="003A5DE1"/>
    <w:rsid w:val="003A5DF4"/>
    <w:rsid w:val="003A5E40"/>
    <w:rsid w:val="003A5EB2"/>
    <w:rsid w:val="003A5ED3"/>
    <w:rsid w:val="003A5EF1"/>
    <w:rsid w:val="003A5F5E"/>
    <w:rsid w:val="003A5F70"/>
    <w:rsid w:val="003A5F78"/>
    <w:rsid w:val="003A5F90"/>
    <w:rsid w:val="003A5FCD"/>
    <w:rsid w:val="003A5FD6"/>
    <w:rsid w:val="003A6000"/>
    <w:rsid w:val="003A601E"/>
    <w:rsid w:val="003A602F"/>
    <w:rsid w:val="003A604B"/>
    <w:rsid w:val="003A6052"/>
    <w:rsid w:val="003A60EC"/>
    <w:rsid w:val="003A611C"/>
    <w:rsid w:val="003A6137"/>
    <w:rsid w:val="003A616F"/>
    <w:rsid w:val="003A61A7"/>
    <w:rsid w:val="003A61B3"/>
    <w:rsid w:val="003A61F1"/>
    <w:rsid w:val="003A61FF"/>
    <w:rsid w:val="003A624E"/>
    <w:rsid w:val="003A6292"/>
    <w:rsid w:val="003A62A4"/>
    <w:rsid w:val="003A62D6"/>
    <w:rsid w:val="003A62E3"/>
    <w:rsid w:val="003A6303"/>
    <w:rsid w:val="003A64A4"/>
    <w:rsid w:val="003A6580"/>
    <w:rsid w:val="003A659F"/>
    <w:rsid w:val="003A65C4"/>
    <w:rsid w:val="003A65CC"/>
    <w:rsid w:val="003A65D5"/>
    <w:rsid w:val="003A65FF"/>
    <w:rsid w:val="003A661E"/>
    <w:rsid w:val="003A6636"/>
    <w:rsid w:val="003A6688"/>
    <w:rsid w:val="003A6693"/>
    <w:rsid w:val="003A66D7"/>
    <w:rsid w:val="003A66DC"/>
    <w:rsid w:val="003A66E1"/>
    <w:rsid w:val="003A66E6"/>
    <w:rsid w:val="003A6817"/>
    <w:rsid w:val="003A681C"/>
    <w:rsid w:val="003A6829"/>
    <w:rsid w:val="003A685F"/>
    <w:rsid w:val="003A68AC"/>
    <w:rsid w:val="003A68D2"/>
    <w:rsid w:val="003A68FE"/>
    <w:rsid w:val="003A6953"/>
    <w:rsid w:val="003A6A16"/>
    <w:rsid w:val="003A6A23"/>
    <w:rsid w:val="003A6A44"/>
    <w:rsid w:val="003A6A50"/>
    <w:rsid w:val="003A6AAF"/>
    <w:rsid w:val="003A6B34"/>
    <w:rsid w:val="003A6B47"/>
    <w:rsid w:val="003A6B4E"/>
    <w:rsid w:val="003A6B57"/>
    <w:rsid w:val="003A6B9B"/>
    <w:rsid w:val="003A6BCA"/>
    <w:rsid w:val="003A6C14"/>
    <w:rsid w:val="003A6C41"/>
    <w:rsid w:val="003A6CAC"/>
    <w:rsid w:val="003A6CDA"/>
    <w:rsid w:val="003A6CFA"/>
    <w:rsid w:val="003A6D00"/>
    <w:rsid w:val="003A6D31"/>
    <w:rsid w:val="003A6DBD"/>
    <w:rsid w:val="003A6DD0"/>
    <w:rsid w:val="003A6E40"/>
    <w:rsid w:val="003A6E46"/>
    <w:rsid w:val="003A6E55"/>
    <w:rsid w:val="003A6E5B"/>
    <w:rsid w:val="003A6E6B"/>
    <w:rsid w:val="003A6E7A"/>
    <w:rsid w:val="003A6EFD"/>
    <w:rsid w:val="003A6F0D"/>
    <w:rsid w:val="003A6F0E"/>
    <w:rsid w:val="003A6F29"/>
    <w:rsid w:val="003A6F3B"/>
    <w:rsid w:val="003A6F8F"/>
    <w:rsid w:val="003A6FDB"/>
    <w:rsid w:val="003A6FF6"/>
    <w:rsid w:val="003A6FF7"/>
    <w:rsid w:val="003A7007"/>
    <w:rsid w:val="003A700E"/>
    <w:rsid w:val="003A708B"/>
    <w:rsid w:val="003A70AE"/>
    <w:rsid w:val="003A70AF"/>
    <w:rsid w:val="003A70C7"/>
    <w:rsid w:val="003A70EE"/>
    <w:rsid w:val="003A70EF"/>
    <w:rsid w:val="003A7159"/>
    <w:rsid w:val="003A716A"/>
    <w:rsid w:val="003A71A0"/>
    <w:rsid w:val="003A71E0"/>
    <w:rsid w:val="003A721A"/>
    <w:rsid w:val="003A724A"/>
    <w:rsid w:val="003A725A"/>
    <w:rsid w:val="003A72C7"/>
    <w:rsid w:val="003A730B"/>
    <w:rsid w:val="003A731B"/>
    <w:rsid w:val="003A7361"/>
    <w:rsid w:val="003A7373"/>
    <w:rsid w:val="003A737C"/>
    <w:rsid w:val="003A739F"/>
    <w:rsid w:val="003A742B"/>
    <w:rsid w:val="003A746C"/>
    <w:rsid w:val="003A7490"/>
    <w:rsid w:val="003A7505"/>
    <w:rsid w:val="003A7510"/>
    <w:rsid w:val="003A7542"/>
    <w:rsid w:val="003A7594"/>
    <w:rsid w:val="003A759D"/>
    <w:rsid w:val="003A75A0"/>
    <w:rsid w:val="003A75B0"/>
    <w:rsid w:val="003A75D2"/>
    <w:rsid w:val="003A75EB"/>
    <w:rsid w:val="003A75F3"/>
    <w:rsid w:val="003A7645"/>
    <w:rsid w:val="003A7651"/>
    <w:rsid w:val="003A769D"/>
    <w:rsid w:val="003A76B5"/>
    <w:rsid w:val="003A76D2"/>
    <w:rsid w:val="003A76E1"/>
    <w:rsid w:val="003A7755"/>
    <w:rsid w:val="003A7759"/>
    <w:rsid w:val="003A77C2"/>
    <w:rsid w:val="003A77DD"/>
    <w:rsid w:val="003A783B"/>
    <w:rsid w:val="003A7848"/>
    <w:rsid w:val="003A7875"/>
    <w:rsid w:val="003A7876"/>
    <w:rsid w:val="003A789A"/>
    <w:rsid w:val="003A78D0"/>
    <w:rsid w:val="003A7905"/>
    <w:rsid w:val="003A7947"/>
    <w:rsid w:val="003A794C"/>
    <w:rsid w:val="003A795C"/>
    <w:rsid w:val="003A797E"/>
    <w:rsid w:val="003A798D"/>
    <w:rsid w:val="003A799B"/>
    <w:rsid w:val="003A79BC"/>
    <w:rsid w:val="003A79DA"/>
    <w:rsid w:val="003A7A41"/>
    <w:rsid w:val="003A7A69"/>
    <w:rsid w:val="003A7A6A"/>
    <w:rsid w:val="003A7A6E"/>
    <w:rsid w:val="003A7A72"/>
    <w:rsid w:val="003A7AA2"/>
    <w:rsid w:val="003A7ABA"/>
    <w:rsid w:val="003A7AE8"/>
    <w:rsid w:val="003A7B6D"/>
    <w:rsid w:val="003A7B7A"/>
    <w:rsid w:val="003A7BA3"/>
    <w:rsid w:val="003A7BC5"/>
    <w:rsid w:val="003A7BCF"/>
    <w:rsid w:val="003A7C2B"/>
    <w:rsid w:val="003A7C8B"/>
    <w:rsid w:val="003A7C9B"/>
    <w:rsid w:val="003A7C9C"/>
    <w:rsid w:val="003A7CA2"/>
    <w:rsid w:val="003A7CD6"/>
    <w:rsid w:val="003A7CE9"/>
    <w:rsid w:val="003A7CF7"/>
    <w:rsid w:val="003A7D15"/>
    <w:rsid w:val="003A7D30"/>
    <w:rsid w:val="003A7D72"/>
    <w:rsid w:val="003A7DBC"/>
    <w:rsid w:val="003A7DE7"/>
    <w:rsid w:val="003A7F63"/>
    <w:rsid w:val="003A7F78"/>
    <w:rsid w:val="003A7FB1"/>
    <w:rsid w:val="003B000E"/>
    <w:rsid w:val="003B0063"/>
    <w:rsid w:val="003B009B"/>
    <w:rsid w:val="003B00A3"/>
    <w:rsid w:val="003B011D"/>
    <w:rsid w:val="003B015F"/>
    <w:rsid w:val="003B0174"/>
    <w:rsid w:val="003B01DB"/>
    <w:rsid w:val="003B01FC"/>
    <w:rsid w:val="003B0208"/>
    <w:rsid w:val="003B023B"/>
    <w:rsid w:val="003B024E"/>
    <w:rsid w:val="003B027F"/>
    <w:rsid w:val="003B028C"/>
    <w:rsid w:val="003B0297"/>
    <w:rsid w:val="003B02AD"/>
    <w:rsid w:val="003B02B6"/>
    <w:rsid w:val="003B02DA"/>
    <w:rsid w:val="003B0300"/>
    <w:rsid w:val="003B030E"/>
    <w:rsid w:val="003B0323"/>
    <w:rsid w:val="003B032A"/>
    <w:rsid w:val="003B0398"/>
    <w:rsid w:val="003B03B7"/>
    <w:rsid w:val="003B0427"/>
    <w:rsid w:val="003B043D"/>
    <w:rsid w:val="003B04C4"/>
    <w:rsid w:val="003B04CD"/>
    <w:rsid w:val="003B04D0"/>
    <w:rsid w:val="003B04DC"/>
    <w:rsid w:val="003B04EC"/>
    <w:rsid w:val="003B04EE"/>
    <w:rsid w:val="003B050D"/>
    <w:rsid w:val="003B0516"/>
    <w:rsid w:val="003B058F"/>
    <w:rsid w:val="003B05A8"/>
    <w:rsid w:val="003B05C7"/>
    <w:rsid w:val="003B0611"/>
    <w:rsid w:val="003B0643"/>
    <w:rsid w:val="003B06CD"/>
    <w:rsid w:val="003B06FC"/>
    <w:rsid w:val="003B0726"/>
    <w:rsid w:val="003B073B"/>
    <w:rsid w:val="003B07C2"/>
    <w:rsid w:val="003B0811"/>
    <w:rsid w:val="003B0838"/>
    <w:rsid w:val="003B083F"/>
    <w:rsid w:val="003B0868"/>
    <w:rsid w:val="003B08F3"/>
    <w:rsid w:val="003B0918"/>
    <w:rsid w:val="003B0995"/>
    <w:rsid w:val="003B09AC"/>
    <w:rsid w:val="003B09C2"/>
    <w:rsid w:val="003B09CC"/>
    <w:rsid w:val="003B09EF"/>
    <w:rsid w:val="003B0A65"/>
    <w:rsid w:val="003B0A77"/>
    <w:rsid w:val="003B0AA8"/>
    <w:rsid w:val="003B0AB7"/>
    <w:rsid w:val="003B0AE4"/>
    <w:rsid w:val="003B0B21"/>
    <w:rsid w:val="003B0B4A"/>
    <w:rsid w:val="003B0B5E"/>
    <w:rsid w:val="003B0B8E"/>
    <w:rsid w:val="003B0BD5"/>
    <w:rsid w:val="003B0C2C"/>
    <w:rsid w:val="003B0C48"/>
    <w:rsid w:val="003B0C9C"/>
    <w:rsid w:val="003B0CB7"/>
    <w:rsid w:val="003B0CC4"/>
    <w:rsid w:val="003B0CD7"/>
    <w:rsid w:val="003B0D53"/>
    <w:rsid w:val="003B0D5E"/>
    <w:rsid w:val="003B0D94"/>
    <w:rsid w:val="003B0DB7"/>
    <w:rsid w:val="003B0E16"/>
    <w:rsid w:val="003B0E19"/>
    <w:rsid w:val="003B0E20"/>
    <w:rsid w:val="003B0E31"/>
    <w:rsid w:val="003B0E66"/>
    <w:rsid w:val="003B0E92"/>
    <w:rsid w:val="003B0EA1"/>
    <w:rsid w:val="003B0EE0"/>
    <w:rsid w:val="003B0F47"/>
    <w:rsid w:val="003B0F53"/>
    <w:rsid w:val="003B0F87"/>
    <w:rsid w:val="003B0FB8"/>
    <w:rsid w:val="003B0FEC"/>
    <w:rsid w:val="003B1009"/>
    <w:rsid w:val="003B108D"/>
    <w:rsid w:val="003B10CB"/>
    <w:rsid w:val="003B10D7"/>
    <w:rsid w:val="003B10EE"/>
    <w:rsid w:val="003B1117"/>
    <w:rsid w:val="003B116D"/>
    <w:rsid w:val="003B1170"/>
    <w:rsid w:val="003B11E5"/>
    <w:rsid w:val="003B120A"/>
    <w:rsid w:val="003B1245"/>
    <w:rsid w:val="003B1266"/>
    <w:rsid w:val="003B12A1"/>
    <w:rsid w:val="003B12D2"/>
    <w:rsid w:val="003B12E5"/>
    <w:rsid w:val="003B1325"/>
    <w:rsid w:val="003B1348"/>
    <w:rsid w:val="003B13C7"/>
    <w:rsid w:val="003B143D"/>
    <w:rsid w:val="003B146E"/>
    <w:rsid w:val="003B14E1"/>
    <w:rsid w:val="003B14F6"/>
    <w:rsid w:val="003B14FB"/>
    <w:rsid w:val="003B151E"/>
    <w:rsid w:val="003B159D"/>
    <w:rsid w:val="003B15A7"/>
    <w:rsid w:val="003B15A8"/>
    <w:rsid w:val="003B15BA"/>
    <w:rsid w:val="003B15CB"/>
    <w:rsid w:val="003B163E"/>
    <w:rsid w:val="003B167C"/>
    <w:rsid w:val="003B1689"/>
    <w:rsid w:val="003B169D"/>
    <w:rsid w:val="003B16A1"/>
    <w:rsid w:val="003B172F"/>
    <w:rsid w:val="003B174E"/>
    <w:rsid w:val="003B175B"/>
    <w:rsid w:val="003B17BD"/>
    <w:rsid w:val="003B17CC"/>
    <w:rsid w:val="003B1818"/>
    <w:rsid w:val="003B181E"/>
    <w:rsid w:val="003B1837"/>
    <w:rsid w:val="003B183B"/>
    <w:rsid w:val="003B186A"/>
    <w:rsid w:val="003B18A1"/>
    <w:rsid w:val="003B18C6"/>
    <w:rsid w:val="003B18E7"/>
    <w:rsid w:val="003B18F0"/>
    <w:rsid w:val="003B1952"/>
    <w:rsid w:val="003B19D0"/>
    <w:rsid w:val="003B19DE"/>
    <w:rsid w:val="003B19F7"/>
    <w:rsid w:val="003B19F8"/>
    <w:rsid w:val="003B1A24"/>
    <w:rsid w:val="003B1A27"/>
    <w:rsid w:val="003B1A3C"/>
    <w:rsid w:val="003B1A47"/>
    <w:rsid w:val="003B1A8C"/>
    <w:rsid w:val="003B1B4F"/>
    <w:rsid w:val="003B1C1B"/>
    <w:rsid w:val="003B1C3F"/>
    <w:rsid w:val="003B1C45"/>
    <w:rsid w:val="003B1C77"/>
    <w:rsid w:val="003B1C87"/>
    <w:rsid w:val="003B1CFB"/>
    <w:rsid w:val="003B1D2A"/>
    <w:rsid w:val="003B1DBA"/>
    <w:rsid w:val="003B1DCB"/>
    <w:rsid w:val="003B1E10"/>
    <w:rsid w:val="003B1E12"/>
    <w:rsid w:val="003B1E14"/>
    <w:rsid w:val="003B1E76"/>
    <w:rsid w:val="003B1E80"/>
    <w:rsid w:val="003B1F2A"/>
    <w:rsid w:val="003B1F4B"/>
    <w:rsid w:val="003B1F4C"/>
    <w:rsid w:val="003B1F63"/>
    <w:rsid w:val="003B1F6C"/>
    <w:rsid w:val="003B1FDA"/>
    <w:rsid w:val="003B1FE8"/>
    <w:rsid w:val="003B20B5"/>
    <w:rsid w:val="003B216D"/>
    <w:rsid w:val="003B216F"/>
    <w:rsid w:val="003B2182"/>
    <w:rsid w:val="003B219D"/>
    <w:rsid w:val="003B21D9"/>
    <w:rsid w:val="003B21F5"/>
    <w:rsid w:val="003B2257"/>
    <w:rsid w:val="003B2275"/>
    <w:rsid w:val="003B2292"/>
    <w:rsid w:val="003B229D"/>
    <w:rsid w:val="003B22CB"/>
    <w:rsid w:val="003B22E5"/>
    <w:rsid w:val="003B2357"/>
    <w:rsid w:val="003B237B"/>
    <w:rsid w:val="003B23DF"/>
    <w:rsid w:val="003B2410"/>
    <w:rsid w:val="003B2477"/>
    <w:rsid w:val="003B24B5"/>
    <w:rsid w:val="003B24D4"/>
    <w:rsid w:val="003B255B"/>
    <w:rsid w:val="003B256A"/>
    <w:rsid w:val="003B25BE"/>
    <w:rsid w:val="003B25CF"/>
    <w:rsid w:val="003B2615"/>
    <w:rsid w:val="003B2624"/>
    <w:rsid w:val="003B2626"/>
    <w:rsid w:val="003B2639"/>
    <w:rsid w:val="003B2656"/>
    <w:rsid w:val="003B269A"/>
    <w:rsid w:val="003B26CF"/>
    <w:rsid w:val="003B26D1"/>
    <w:rsid w:val="003B26D3"/>
    <w:rsid w:val="003B271D"/>
    <w:rsid w:val="003B277D"/>
    <w:rsid w:val="003B2788"/>
    <w:rsid w:val="003B27B7"/>
    <w:rsid w:val="003B27FE"/>
    <w:rsid w:val="003B27FF"/>
    <w:rsid w:val="003B2802"/>
    <w:rsid w:val="003B2816"/>
    <w:rsid w:val="003B2866"/>
    <w:rsid w:val="003B28AE"/>
    <w:rsid w:val="003B28C5"/>
    <w:rsid w:val="003B28D2"/>
    <w:rsid w:val="003B28EC"/>
    <w:rsid w:val="003B28F0"/>
    <w:rsid w:val="003B2917"/>
    <w:rsid w:val="003B2924"/>
    <w:rsid w:val="003B29AB"/>
    <w:rsid w:val="003B29D9"/>
    <w:rsid w:val="003B2A10"/>
    <w:rsid w:val="003B2A15"/>
    <w:rsid w:val="003B2A1A"/>
    <w:rsid w:val="003B2A59"/>
    <w:rsid w:val="003B2A5F"/>
    <w:rsid w:val="003B2AB0"/>
    <w:rsid w:val="003B2B14"/>
    <w:rsid w:val="003B2B38"/>
    <w:rsid w:val="003B2B56"/>
    <w:rsid w:val="003B2B66"/>
    <w:rsid w:val="003B2B71"/>
    <w:rsid w:val="003B2B7D"/>
    <w:rsid w:val="003B2C25"/>
    <w:rsid w:val="003B2C2F"/>
    <w:rsid w:val="003B2C7B"/>
    <w:rsid w:val="003B2C9C"/>
    <w:rsid w:val="003B2CA0"/>
    <w:rsid w:val="003B2CBE"/>
    <w:rsid w:val="003B2CD1"/>
    <w:rsid w:val="003B2CF4"/>
    <w:rsid w:val="003B2CFC"/>
    <w:rsid w:val="003B2D06"/>
    <w:rsid w:val="003B2D1D"/>
    <w:rsid w:val="003B2D22"/>
    <w:rsid w:val="003B2D3E"/>
    <w:rsid w:val="003B2DA0"/>
    <w:rsid w:val="003B2DA6"/>
    <w:rsid w:val="003B2DD8"/>
    <w:rsid w:val="003B2E30"/>
    <w:rsid w:val="003B2EB1"/>
    <w:rsid w:val="003B2EE4"/>
    <w:rsid w:val="003B2EF8"/>
    <w:rsid w:val="003B2F28"/>
    <w:rsid w:val="003B2F74"/>
    <w:rsid w:val="003B2FA4"/>
    <w:rsid w:val="003B2FAE"/>
    <w:rsid w:val="003B2FE5"/>
    <w:rsid w:val="003B2FFB"/>
    <w:rsid w:val="003B3019"/>
    <w:rsid w:val="003B30E4"/>
    <w:rsid w:val="003B3117"/>
    <w:rsid w:val="003B313A"/>
    <w:rsid w:val="003B317F"/>
    <w:rsid w:val="003B319A"/>
    <w:rsid w:val="003B31AA"/>
    <w:rsid w:val="003B31EF"/>
    <w:rsid w:val="003B323D"/>
    <w:rsid w:val="003B3257"/>
    <w:rsid w:val="003B32E1"/>
    <w:rsid w:val="003B32FB"/>
    <w:rsid w:val="003B3351"/>
    <w:rsid w:val="003B3391"/>
    <w:rsid w:val="003B33A8"/>
    <w:rsid w:val="003B33AB"/>
    <w:rsid w:val="003B33B0"/>
    <w:rsid w:val="003B33B1"/>
    <w:rsid w:val="003B33F9"/>
    <w:rsid w:val="003B3404"/>
    <w:rsid w:val="003B3443"/>
    <w:rsid w:val="003B3477"/>
    <w:rsid w:val="003B348A"/>
    <w:rsid w:val="003B34A4"/>
    <w:rsid w:val="003B3550"/>
    <w:rsid w:val="003B3580"/>
    <w:rsid w:val="003B3585"/>
    <w:rsid w:val="003B35EF"/>
    <w:rsid w:val="003B362B"/>
    <w:rsid w:val="003B365A"/>
    <w:rsid w:val="003B3696"/>
    <w:rsid w:val="003B36B1"/>
    <w:rsid w:val="003B36BD"/>
    <w:rsid w:val="003B36F0"/>
    <w:rsid w:val="003B3702"/>
    <w:rsid w:val="003B3724"/>
    <w:rsid w:val="003B372E"/>
    <w:rsid w:val="003B3759"/>
    <w:rsid w:val="003B37DA"/>
    <w:rsid w:val="003B381E"/>
    <w:rsid w:val="003B38A1"/>
    <w:rsid w:val="003B390C"/>
    <w:rsid w:val="003B3927"/>
    <w:rsid w:val="003B392D"/>
    <w:rsid w:val="003B393F"/>
    <w:rsid w:val="003B394E"/>
    <w:rsid w:val="003B3961"/>
    <w:rsid w:val="003B39B0"/>
    <w:rsid w:val="003B39F4"/>
    <w:rsid w:val="003B3A55"/>
    <w:rsid w:val="003B3A98"/>
    <w:rsid w:val="003B3AC8"/>
    <w:rsid w:val="003B3AD2"/>
    <w:rsid w:val="003B3B13"/>
    <w:rsid w:val="003B3B63"/>
    <w:rsid w:val="003B3B7E"/>
    <w:rsid w:val="003B3B7F"/>
    <w:rsid w:val="003B3C81"/>
    <w:rsid w:val="003B3C9C"/>
    <w:rsid w:val="003B3CAA"/>
    <w:rsid w:val="003B3D0C"/>
    <w:rsid w:val="003B3D5F"/>
    <w:rsid w:val="003B3D77"/>
    <w:rsid w:val="003B3D9B"/>
    <w:rsid w:val="003B3DB8"/>
    <w:rsid w:val="003B3E1C"/>
    <w:rsid w:val="003B3ED5"/>
    <w:rsid w:val="003B3F03"/>
    <w:rsid w:val="003B3F17"/>
    <w:rsid w:val="003B3F46"/>
    <w:rsid w:val="003B3F8E"/>
    <w:rsid w:val="003B3FC0"/>
    <w:rsid w:val="003B403B"/>
    <w:rsid w:val="003B409D"/>
    <w:rsid w:val="003B40D4"/>
    <w:rsid w:val="003B4110"/>
    <w:rsid w:val="003B4114"/>
    <w:rsid w:val="003B4144"/>
    <w:rsid w:val="003B4155"/>
    <w:rsid w:val="003B415E"/>
    <w:rsid w:val="003B4177"/>
    <w:rsid w:val="003B41E7"/>
    <w:rsid w:val="003B4202"/>
    <w:rsid w:val="003B4218"/>
    <w:rsid w:val="003B427B"/>
    <w:rsid w:val="003B4282"/>
    <w:rsid w:val="003B42B4"/>
    <w:rsid w:val="003B4324"/>
    <w:rsid w:val="003B4349"/>
    <w:rsid w:val="003B43EF"/>
    <w:rsid w:val="003B4414"/>
    <w:rsid w:val="003B443F"/>
    <w:rsid w:val="003B4500"/>
    <w:rsid w:val="003B4509"/>
    <w:rsid w:val="003B453C"/>
    <w:rsid w:val="003B4576"/>
    <w:rsid w:val="003B460E"/>
    <w:rsid w:val="003B4620"/>
    <w:rsid w:val="003B4643"/>
    <w:rsid w:val="003B4665"/>
    <w:rsid w:val="003B4691"/>
    <w:rsid w:val="003B46A6"/>
    <w:rsid w:val="003B46DB"/>
    <w:rsid w:val="003B46E3"/>
    <w:rsid w:val="003B4723"/>
    <w:rsid w:val="003B472F"/>
    <w:rsid w:val="003B4740"/>
    <w:rsid w:val="003B476D"/>
    <w:rsid w:val="003B4796"/>
    <w:rsid w:val="003B4819"/>
    <w:rsid w:val="003B483D"/>
    <w:rsid w:val="003B484D"/>
    <w:rsid w:val="003B484E"/>
    <w:rsid w:val="003B48EE"/>
    <w:rsid w:val="003B4935"/>
    <w:rsid w:val="003B4947"/>
    <w:rsid w:val="003B494A"/>
    <w:rsid w:val="003B495C"/>
    <w:rsid w:val="003B4975"/>
    <w:rsid w:val="003B4979"/>
    <w:rsid w:val="003B497B"/>
    <w:rsid w:val="003B4995"/>
    <w:rsid w:val="003B49D5"/>
    <w:rsid w:val="003B4AC7"/>
    <w:rsid w:val="003B4AD2"/>
    <w:rsid w:val="003B4AD8"/>
    <w:rsid w:val="003B4AE0"/>
    <w:rsid w:val="003B4B26"/>
    <w:rsid w:val="003B4B53"/>
    <w:rsid w:val="003B4B80"/>
    <w:rsid w:val="003B4B9F"/>
    <w:rsid w:val="003B4BB3"/>
    <w:rsid w:val="003B4BCB"/>
    <w:rsid w:val="003B4C23"/>
    <w:rsid w:val="003B4C31"/>
    <w:rsid w:val="003B4CC9"/>
    <w:rsid w:val="003B4CD3"/>
    <w:rsid w:val="003B4CE6"/>
    <w:rsid w:val="003B4CFD"/>
    <w:rsid w:val="003B4D08"/>
    <w:rsid w:val="003B4D26"/>
    <w:rsid w:val="003B4D31"/>
    <w:rsid w:val="003B4D6C"/>
    <w:rsid w:val="003B4D94"/>
    <w:rsid w:val="003B4D97"/>
    <w:rsid w:val="003B4DCE"/>
    <w:rsid w:val="003B4E22"/>
    <w:rsid w:val="003B4E39"/>
    <w:rsid w:val="003B4E3A"/>
    <w:rsid w:val="003B4ECF"/>
    <w:rsid w:val="003B4F74"/>
    <w:rsid w:val="003B4FA7"/>
    <w:rsid w:val="003B4FB8"/>
    <w:rsid w:val="003B4FCB"/>
    <w:rsid w:val="003B503C"/>
    <w:rsid w:val="003B5060"/>
    <w:rsid w:val="003B5078"/>
    <w:rsid w:val="003B5094"/>
    <w:rsid w:val="003B5121"/>
    <w:rsid w:val="003B5125"/>
    <w:rsid w:val="003B5138"/>
    <w:rsid w:val="003B514A"/>
    <w:rsid w:val="003B5188"/>
    <w:rsid w:val="003B51C7"/>
    <w:rsid w:val="003B51E0"/>
    <w:rsid w:val="003B5223"/>
    <w:rsid w:val="003B5258"/>
    <w:rsid w:val="003B525C"/>
    <w:rsid w:val="003B529F"/>
    <w:rsid w:val="003B52FD"/>
    <w:rsid w:val="003B5317"/>
    <w:rsid w:val="003B5329"/>
    <w:rsid w:val="003B5363"/>
    <w:rsid w:val="003B536E"/>
    <w:rsid w:val="003B53BB"/>
    <w:rsid w:val="003B53F5"/>
    <w:rsid w:val="003B53F8"/>
    <w:rsid w:val="003B5417"/>
    <w:rsid w:val="003B5426"/>
    <w:rsid w:val="003B5429"/>
    <w:rsid w:val="003B547A"/>
    <w:rsid w:val="003B549D"/>
    <w:rsid w:val="003B5503"/>
    <w:rsid w:val="003B554D"/>
    <w:rsid w:val="003B5587"/>
    <w:rsid w:val="003B5589"/>
    <w:rsid w:val="003B5595"/>
    <w:rsid w:val="003B55B8"/>
    <w:rsid w:val="003B55F1"/>
    <w:rsid w:val="003B562D"/>
    <w:rsid w:val="003B565C"/>
    <w:rsid w:val="003B570B"/>
    <w:rsid w:val="003B579B"/>
    <w:rsid w:val="003B57AC"/>
    <w:rsid w:val="003B57BA"/>
    <w:rsid w:val="003B57D9"/>
    <w:rsid w:val="003B5852"/>
    <w:rsid w:val="003B5896"/>
    <w:rsid w:val="003B58E2"/>
    <w:rsid w:val="003B5974"/>
    <w:rsid w:val="003B5977"/>
    <w:rsid w:val="003B597D"/>
    <w:rsid w:val="003B59E9"/>
    <w:rsid w:val="003B5A04"/>
    <w:rsid w:val="003B5A08"/>
    <w:rsid w:val="003B5A72"/>
    <w:rsid w:val="003B5A86"/>
    <w:rsid w:val="003B5A94"/>
    <w:rsid w:val="003B5A95"/>
    <w:rsid w:val="003B5AB6"/>
    <w:rsid w:val="003B5AEE"/>
    <w:rsid w:val="003B5B0E"/>
    <w:rsid w:val="003B5B40"/>
    <w:rsid w:val="003B5B4E"/>
    <w:rsid w:val="003B5B79"/>
    <w:rsid w:val="003B5B7C"/>
    <w:rsid w:val="003B5B8F"/>
    <w:rsid w:val="003B5BE8"/>
    <w:rsid w:val="003B5C11"/>
    <w:rsid w:val="003B5C21"/>
    <w:rsid w:val="003B5CA5"/>
    <w:rsid w:val="003B5CE6"/>
    <w:rsid w:val="003B5D28"/>
    <w:rsid w:val="003B5D80"/>
    <w:rsid w:val="003B5DED"/>
    <w:rsid w:val="003B5E01"/>
    <w:rsid w:val="003B5E81"/>
    <w:rsid w:val="003B5EC3"/>
    <w:rsid w:val="003B5ECA"/>
    <w:rsid w:val="003B5EE1"/>
    <w:rsid w:val="003B5EE6"/>
    <w:rsid w:val="003B5F1C"/>
    <w:rsid w:val="003B5F41"/>
    <w:rsid w:val="003B5F53"/>
    <w:rsid w:val="003B5F99"/>
    <w:rsid w:val="003B5FD4"/>
    <w:rsid w:val="003B5FDB"/>
    <w:rsid w:val="003B6025"/>
    <w:rsid w:val="003B6037"/>
    <w:rsid w:val="003B6142"/>
    <w:rsid w:val="003B6146"/>
    <w:rsid w:val="003B6174"/>
    <w:rsid w:val="003B619D"/>
    <w:rsid w:val="003B6220"/>
    <w:rsid w:val="003B622A"/>
    <w:rsid w:val="003B62B6"/>
    <w:rsid w:val="003B62D9"/>
    <w:rsid w:val="003B638D"/>
    <w:rsid w:val="003B6396"/>
    <w:rsid w:val="003B63A3"/>
    <w:rsid w:val="003B63FC"/>
    <w:rsid w:val="003B6445"/>
    <w:rsid w:val="003B6452"/>
    <w:rsid w:val="003B6466"/>
    <w:rsid w:val="003B653D"/>
    <w:rsid w:val="003B657D"/>
    <w:rsid w:val="003B6598"/>
    <w:rsid w:val="003B664A"/>
    <w:rsid w:val="003B6710"/>
    <w:rsid w:val="003B671A"/>
    <w:rsid w:val="003B673E"/>
    <w:rsid w:val="003B6740"/>
    <w:rsid w:val="003B67A0"/>
    <w:rsid w:val="003B67DA"/>
    <w:rsid w:val="003B6805"/>
    <w:rsid w:val="003B680A"/>
    <w:rsid w:val="003B6815"/>
    <w:rsid w:val="003B6850"/>
    <w:rsid w:val="003B68C2"/>
    <w:rsid w:val="003B68F8"/>
    <w:rsid w:val="003B691A"/>
    <w:rsid w:val="003B691D"/>
    <w:rsid w:val="003B692A"/>
    <w:rsid w:val="003B695E"/>
    <w:rsid w:val="003B69B6"/>
    <w:rsid w:val="003B69D5"/>
    <w:rsid w:val="003B69DA"/>
    <w:rsid w:val="003B69FE"/>
    <w:rsid w:val="003B6A31"/>
    <w:rsid w:val="003B6B37"/>
    <w:rsid w:val="003B6B59"/>
    <w:rsid w:val="003B6B9D"/>
    <w:rsid w:val="003B6BDD"/>
    <w:rsid w:val="003B6BE1"/>
    <w:rsid w:val="003B6BE2"/>
    <w:rsid w:val="003B6C8C"/>
    <w:rsid w:val="003B6C97"/>
    <w:rsid w:val="003B6CA8"/>
    <w:rsid w:val="003B6CC2"/>
    <w:rsid w:val="003B6CCC"/>
    <w:rsid w:val="003B6CF5"/>
    <w:rsid w:val="003B6D25"/>
    <w:rsid w:val="003B6D32"/>
    <w:rsid w:val="003B6D45"/>
    <w:rsid w:val="003B6DD4"/>
    <w:rsid w:val="003B6E12"/>
    <w:rsid w:val="003B6E2D"/>
    <w:rsid w:val="003B701F"/>
    <w:rsid w:val="003B70AC"/>
    <w:rsid w:val="003B7113"/>
    <w:rsid w:val="003B7133"/>
    <w:rsid w:val="003B7166"/>
    <w:rsid w:val="003B71A2"/>
    <w:rsid w:val="003B71AB"/>
    <w:rsid w:val="003B71AD"/>
    <w:rsid w:val="003B7275"/>
    <w:rsid w:val="003B72B4"/>
    <w:rsid w:val="003B72BD"/>
    <w:rsid w:val="003B72D1"/>
    <w:rsid w:val="003B730E"/>
    <w:rsid w:val="003B7346"/>
    <w:rsid w:val="003B7393"/>
    <w:rsid w:val="003B73A1"/>
    <w:rsid w:val="003B73E6"/>
    <w:rsid w:val="003B742B"/>
    <w:rsid w:val="003B7454"/>
    <w:rsid w:val="003B74B6"/>
    <w:rsid w:val="003B74BB"/>
    <w:rsid w:val="003B74ED"/>
    <w:rsid w:val="003B7526"/>
    <w:rsid w:val="003B75CB"/>
    <w:rsid w:val="003B75EF"/>
    <w:rsid w:val="003B7629"/>
    <w:rsid w:val="003B763A"/>
    <w:rsid w:val="003B7697"/>
    <w:rsid w:val="003B76AA"/>
    <w:rsid w:val="003B76B0"/>
    <w:rsid w:val="003B76E2"/>
    <w:rsid w:val="003B7704"/>
    <w:rsid w:val="003B771A"/>
    <w:rsid w:val="003B7727"/>
    <w:rsid w:val="003B7761"/>
    <w:rsid w:val="003B77F5"/>
    <w:rsid w:val="003B780B"/>
    <w:rsid w:val="003B7823"/>
    <w:rsid w:val="003B7856"/>
    <w:rsid w:val="003B7894"/>
    <w:rsid w:val="003B78A8"/>
    <w:rsid w:val="003B78C6"/>
    <w:rsid w:val="003B78EA"/>
    <w:rsid w:val="003B7987"/>
    <w:rsid w:val="003B798E"/>
    <w:rsid w:val="003B799A"/>
    <w:rsid w:val="003B79F7"/>
    <w:rsid w:val="003B7A34"/>
    <w:rsid w:val="003B7A65"/>
    <w:rsid w:val="003B7A98"/>
    <w:rsid w:val="003B7A9C"/>
    <w:rsid w:val="003B7ABB"/>
    <w:rsid w:val="003B7AC2"/>
    <w:rsid w:val="003B7AD6"/>
    <w:rsid w:val="003B7B7B"/>
    <w:rsid w:val="003B7B7C"/>
    <w:rsid w:val="003B7BB0"/>
    <w:rsid w:val="003B7C04"/>
    <w:rsid w:val="003B7C41"/>
    <w:rsid w:val="003B7CC3"/>
    <w:rsid w:val="003B7CF7"/>
    <w:rsid w:val="003B7D19"/>
    <w:rsid w:val="003B7DED"/>
    <w:rsid w:val="003B7E0B"/>
    <w:rsid w:val="003B7E19"/>
    <w:rsid w:val="003B7E29"/>
    <w:rsid w:val="003B7E72"/>
    <w:rsid w:val="003B7E91"/>
    <w:rsid w:val="003B7E94"/>
    <w:rsid w:val="003B7EB1"/>
    <w:rsid w:val="003B7F48"/>
    <w:rsid w:val="003B7F77"/>
    <w:rsid w:val="003B7FE1"/>
    <w:rsid w:val="003B7FF2"/>
    <w:rsid w:val="003C001F"/>
    <w:rsid w:val="003C0021"/>
    <w:rsid w:val="003C002A"/>
    <w:rsid w:val="003C0033"/>
    <w:rsid w:val="003C006B"/>
    <w:rsid w:val="003C0083"/>
    <w:rsid w:val="003C0091"/>
    <w:rsid w:val="003C00B2"/>
    <w:rsid w:val="003C00D6"/>
    <w:rsid w:val="003C00D8"/>
    <w:rsid w:val="003C00DE"/>
    <w:rsid w:val="003C00E0"/>
    <w:rsid w:val="003C0152"/>
    <w:rsid w:val="003C0235"/>
    <w:rsid w:val="003C0238"/>
    <w:rsid w:val="003C0250"/>
    <w:rsid w:val="003C0262"/>
    <w:rsid w:val="003C028C"/>
    <w:rsid w:val="003C02DE"/>
    <w:rsid w:val="003C02FF"/>
    <w:rsid w:val="003C0319"/>
    <w:rsid w:val="003C035D"/>
    <w:rsid w:val="003C035E"/>
    <w:rsid w:val="003C036C"/>
    <w:rsid w:val="003C0385"/>
    <w:rsid w:val="003C039E"/>
    <w:rsid w:val="003C03C4"/>
    <w:rsid w:val="003C041A"/>
    <w:rsid w:val="003C0435"/>
    <w:rsid w:val="003C0509"/>
    <w:rsid w:val="003C050F"/>
    <w:rsid w:val="003C051A"/>
    <w:rsid w:val="003C053E"/>
    <w:rsid w:val="003C05CE"/>
    <w:rsid w:val="003C0643"/>
    <w:rsid w:val="003C0646"/>
    <w:rsid w:val="003C0657"/>
    <w:rsid w:val="003C065E"/>
    <w:rsid w:val="003C06D8"/>
    <w:rsid w:val="003C07AD"/>
    <w:rsid w:val="003C07EE"/>
    <w:rsid w:val="003C07F1"/>
    <w:rsid w:val="003C083C"/>
    <w:rsid w:val="003C08CE"/>
    <w:rsid w:val="003C08DD"/>
    <w:rsid w:val="003C08E9"/>
    <w:rsid w:val="003C0937"/>
    <w:rsid w:val="003C0941"/>
    <w:rsid w:val="003C097C"/>
    <w:rsid w:val="003C09B6"/>
    <w:rsid w:val="003C09DB"/>
    <w:rsid w:val="003C0A06"/>
    <w:rsid w:val="003C0A14"/>
    <w:rsid w:val="003C0A29"/>
    <w:rsid w:val="003C0A54"/>
    <w:rsid w:val="003C0ABA"/>
    <w:rsid w:val="003C0AEB"/>
    <w:rsid w:val="003C0AFD"/>
    <w:rsid w:val="003C0B19"/>
    <w:rsid w:val="003C0B20"/>
    <w:rsid w:val="003C0B7A"/>
    <w:rsid w:val="003C0B82"/>
    <w:rsid w:val="003C0C1D"/>
    <w:rsid w:val="003C0C31"/>
    <w:rsid w:val="003C0C7B"/>
    <w:rsid w:val="003C0C95"/>
    <w:rsid w:val="003C0CAD"/>
    <w:rsid w:val="003C0CBE"/>
    <w:rsid w:val="003C0CD2"/>
    <w:rsid w:val="003C0D11"/>
    <w:rsid w:val="003C0D55"/>
    <w:rsid w:val="003C0D6F"/>
    <w:rsid w:val="003C0D9F"/>
    <w:rsid w:val="003C0DD2"/>
    <w:rsid w:val="003C0E2B"/>
    <w:rsid w:val="003C0E50"/>
    <w:rsid w:val="003C0E5B"/>
    <w:rsid w:val="003C0EAB"/>
    <w:rsid w:val="003C0EB2"/>
    <w:rsid w:val="003C0ECF"/>
    <w:rsid w:val="003C0EDE"/>
    <w:rsid w:val="003C0EE0"/>
    <w:rsid w:val="003C0EFC"/>
    <w:rsid w:val="003C0F77"/>
    <w:rsid w:val="003C0FD3"/>
    <w:rsid w:val="003C0FF3"/>
    <w:rsid w:val="003C1037"/>
    <w:rsid w:val="003C103B"/>
    <w:rsid w:val="003C1059"/>
    <w:rsid w:val="003C10BE"/>
    <w:rsid w:val="003C10C1"/>
    <w:rsid w:val="003C10D0"/>
    <w:rsid w:val="003C10E7"/>
    <w:rsid w:val="003C110F"/>
    <w:rsid w:val="003C1111"/>
    <w:rsid w:val="003C11B3"/>
    <w:rsid w:val="003C11BF"/>
    <w:rsid w:val="003C1211"/>
    <w:rsid w:val="003C1216"/>
    <w:rsid w:val="003C1257"/>
    <w:rsid w:val="003C1272"/>
    <w:rsid w:val="003C1290"/>
    <w:rsid w:val="003C12A1"/>
    <w:rsid w:val="003C12CA"/>
    <w:rsid w:val="003C12F0"/>
    <w:rsid w:val="003C1307"/>
    <w:rsid w:val="003C1336"/>
    <w:rsid w:val="003C135D"/>
    <w:rsid w:val="003C1377"/>
    <w:rsid w:val="003C13B3"/>
    <w:rsid w:val="003C13C2"/>
    <w:rsid w:val="003C13C3"/>
    <w:rsid w:val="003C13EF"/>
    <w:rsid w:val="003C140E"/>
    <w:rsid w:val="003C1424"/>
    <w:rsid w:val="003C144C"/>
    <w:rsid w:val="003C145C"/>
    <w:rsid w:val="003C146D"/>
    <w:rsid w:val="003C14DF"/>
    <w:rsid w:val="003C1553"/>
    <w:rsid w:val="003C1570"/>
    <w:rsid w:val="003C1575"/>
    <w:rsid w:val="003C157B"/>
    <w:rsid w:val="003C169A"/>
    <w:rsid w:val="003C169C"/>
    <w:rsid w:val="003C16DB"/>
    <w:rsid w:val="003C16EA"/>
    <w:rsid w:val="003C1792"/>
    <w:rsid w:val="003C17CB"/>
    <w:rsid w:val="003C17D0"/>
    <w:rsid w:val="003C17DC"/>
    <w:rsid w:val="003C181E"/>
    <w:rsid w:val="003C1820"/>
    <w:rsid w:val="003C1861"/>
    <w:rsid w:val="003C1864"/>
    <w:rsid w:val="003C1892"/>
    <w:rsid w:val="003C18AB"/>
    <w:rsid w:val="003C1921"/>
    <w:rsid w:val="003C193F"/>
    <w:rsid w:val="003C1987"/>
    <w:rsid w:val="003C19B6"/>
    <w:rsid w:val="003C19EE"/>
    <w:rsid w:val="003C1A6B"/>
    <w:rsid w:val="003C1A81"/>
    <w:rsid w:val="003C1AE0"/>
    <w:rsid w:val="003C1B06"/>
    <w:rsid w:val="003C1B12"/>
    <w:rsid w:val="003C1B5F"/>
    <w:rsid w:val="003C1BCF"/>
    <w:rsid w:val="003C1BE6"/>
    <w:rsid w:val="003C1BF2"/>
    <w:rsid w:val="003C1C45"/>
    <w:rsid w:val="003C1C4F"/>
    <w:rsid w:val="003C1CB0"/>
    <w:rsid w:val="003C1D13"/>
    <w:rsid w:val="003C1D3A"/>
    <w:rsid w:val="003C1D46"/>
    <w:rsid w:val="003C1DB1"/>
    <w:rsid w:val="003C1DF8"/>
    <w:rsid w:val="003C1E1C"/>
    <w:rsid w:val="003C1E3A"/>
    <w:rsid w:val="003C1E6A"/>
    <w:rsid w:val="003C1E6D"/>
    <w:rsid w:val="003C1EA9"/>
    <w:rsid w:val="003C1EFC"/>
    <w:rsid w:val="003C1F0D"/>
    <w:rsid w:val="003C1F4D"/>
    <w:rsid w:val="003C1F60"/>
    <w:rsid w:val="003C1FE2"/>
    <w:rsid w:val="003C2016"/>
    <w:rsid w:val="003C206C"/>
    <w:rsid w:val="003C20E7"/>
    <w:rsid w:val="003C20EF"/>
    <w:rsid w:val="003C2103"/>
    <w:rsid w:val="003C210E"/>
    <w:rsid w:val="003C212E"/>
    <w:rsid w:val="003C21BE"/>
    <w:rsid w:val="003C21CD"/>
    <w:rsid w:val="003C2213"/>
    <w:rsid w:val="003C2214"/>
    <w:rsid w:val="003C2225"/>
    <w:rsid w:val="003C2275"/>
    <w:rsid w:val="003C22A6"/>
    <w:rsid w:val="003C22B0"/>
    <w:rsid w:val="003C22C3"/>
    <w:rsid w:val="003C235A"/>
    <w:rsid w:val="003C2392"/>
    <w:rsid w:val="003C242B"/>
    <w:rsid w:val="003C2435"/>
    <w:rsid w:val="003C2457"/>
    <w:rsid w:val="003C24A4"/>
    <w:rsid w:val="003C24AE"/>
    <w:rsid w:val="003C254B"/>
    <w:rsid w:val="003C2565"/>
    <w:rsid w:val="003C2566"/>
    <w:rsid w:val="003C2570"/>
    <w:rsid w:val="003C25CB"/>
    <w:rsid w:val="003C2638"/>
    <w:rsid w:val="003C267A"/>
    <w:rsid w:val="003C26A0"/>
    <w:rsid w:val="003C2731"/>
    <w:rsid w:val="003C27C8"/>
    <w:rsid w:val="003C27FA"/>
    <w:rsid w:val="003C2818"/>
    <w:rsid w:val="003C2892"/>
    <w:rsid w:val="003C28A7"/>
    <w:rsid w:val="003C2910"/>
    <w:rsid w:val="003C2983"/>
    <w:rsid w:val="003C29BD"/>
    <w:rsid w:val="003C29C6"/>
    <w:rsid w:val="003C29C9"/>
    <w:rsid w:val="003C2A02"/>
    <w:rsid w:val="003C2A0C"/>
    <w:rsid w:val="003C2A28"/>
    <w:rsid w:val="003C2A41"/>
    <w:rsid w:val="003C2A4A"/>
    <w:rsid w:val="003C2A79"/>
    <w:rsid w:val="003C2A95"/>
    <w:rsid w:val="003C2AF1"/>
    <w:rsid w:val="003C2B0E"/>
    <w:rsid w:val="003C2BBE"/>
    <w:rsid w:val="003C2C15"/>
    <w:rsid w:val="003C2CD2"/>
    <w:rsid w:val="003C2D60"/>
    <w:rsid w:val="003C2D85"/>
    <w:rsid w:val="003C2DC2"/>
    <w:rsid w:val="003C2DE9"/>
    <w:rsid w:val="003C2DEE"/>
    <w:rsid w:val="003C2E1E"/>
    <w:rsid w:val="003C2E5B"/>
    <w:rsid w:val="003C2EE1"/>
    <w:rsid w:val="003C2F29"/>
    <w:rsid w:val="003C2F64"/>
    <w:rsid w:val="003C2F6F"/>
    <w:rsid w:val="003C2F96"/>
    <w:rsid w:val="003C2FCF"/>
    <w:rsid w:val="003C2FFC"/>
    <w:rsid w:val="003C3003"/>
    <w:rsid w:val="003C3028"/>
    <w:rsid w:val="003C309E"/>
    <w:rsid w:val="003C30B0"/>
    <w:rsid w:val="003C3104"/>
    <w:rsid w:val="003C3132"/>
    <w:rsid w:val="003C3150"/>
    <w:rsid w:val="003C31DA"/>
    <w:rsid w:val="003C31FB"/>
    <w:rsid w:val="003C3278"/>
    <w:rsid w:val="003C33CF"/>
    <w:rsid w:val="003C33D6"/>
    <w:rsid w:val="003C33EC"/>
    <w:rsid w:val="003C3401"/>
    <w:rsid w:val="003C341A"/>
    <w:rsid w:val="003C341F"/>
    <w:rsid w:val="003C3439"/>
    <w:rsid w:val="003C34B4"/>
    <w:rsid w:val="003C34F3"/>
    <w:rsid w:val="003C3568"/>
    <w:rsid w:val="003C3587"/>
    <w:rsid w:val="003C35F5"/>
    <w:rsid w:val="003C362F"/>
    <w:rsid w:val="003C364C"/>
    <w:rsid w:val="003C3655"/>
    <w:rsid w:val="003C3675"/>
    <w:rsid w:val="003C3677"/>
    <w:rsid w:val="003C36F8"/>
    <w:rsid w:val="003C3716"/>
    <w:rsid w:val="003C3748"/>
    <w:rsid w:val="003C3772"/>
    <w:rsid w:val="003C3797"/>
    <w:rsid w:val="003C37E0"/>
    <w:rsid w:val="003C37E2"/>
    <w:rsid w:val="003C37E5"/>
    <w:rsid w:val="003C37EE"/>
    <w:rsid w:val="003C381E"/>
    <w:rsid w:val="003C382C"/>
    <w:rsid w:val="003C3852"/>
    <w:rsid w:val="003C3855"/>
    <w:rsid w:val="003C385C"/>
    <w:rsid w:val="003C3872"/>
    <w:rsid w:val="003C38EF"/>
    <w:rsid w:val="003C3906"/>
    <w:rsid w:val="003C3949"/>
    <w:rsid w:val="003C395F"/>
    <w:rsid w:val="003C396D"/>
    <w:rsid w:val="003C3977"/>
    <w:rsid w:val="003C399D"/>
    <w:rsid w:val="003C39AB"/>
    <w:rsid w:val="003C3A15"/>
    <w:rsid w:val="003C3A1F"/>
    <w:rsid w:val="003C3A3C"/>
    <w:rsid w:val="003C3A96"/>
    <w:rsid w:val="003C3AAA"/>
    <w:rsid w:val="003C3ACE"/>
    <w:rsid w:val="003C3AEA"/>
    <w:rsid w:val="003C3B03"/>
    <w:rsid w:val="003C3B27"/>
    <w:rsid w:val="003C3B29"/>
    <w:rsid w:val="003C3B7B"/>
    <w:rsid w:val="003C3B98"/>
    <w:rsid w:val="003C3B9C"/>
    <w:rsid w:val="003C3BF3"/>
    <w:rsid w:val="003C3C03"/>
    <w:rsid w:val="003C3C28"/>
    <w:rsid w:val="003C3C31"/>
    <w:rsid w:val="003C3C48"/>
    <w:rsid w:val="003C3C56"/>
    <w:rsid w:val="003C3C9C"/>
    <w:rsid w:val="003C3CB6"/>
    <w:rsid w:val="003C3CC9"/>
    <w:rsid w:val="003C3CDF"/>
    <w:rsid w:val="003C3D18"/>
    <w:rsid w:val="003C3D61"/>
    <w:rsid w:val="003C3DC0"/>
    <w:rsid w:val="003C3E47"/>
    <w:rsid w:val="003C3F1E"/>
    <w:rsid w:val="003C3F22"/>
    <w:rsid w:val="003C3F37"/>
    <w:rsid w:val="003C3F3C"/>
    <w:rsid w:val="003C3F78"/>
    <w:rsid w:val="003C3F8C"/>
    <w:rsid w:val="003C3F8F"/>
    <w:rsid w:val="003C4005"/>
    <w:rsid w:val="003C4058"/>
    <w:rsid w:val="003C4064"/>
    <w:rsid w:val="003C40B1"/>
    <w:rsid w:val="003C40FA"/>
    <w:rsid w:val="003C40FF"/>
    <w:rsid w:val="003C413C"/>
    <w:rsid w:val="003C4174"/>
    <w:rsid w:val="003C41A6"/>
    <w:rsid w:val="003C41E7"/>
    <w:rsid w:val="003C41F6"/>
    <w:rsid w:val="003C4240"/>
    <w:rsid w:val="003C4282"/>
    <w:rsid w:val="003C429B"/>
    <w:rsid w:val="003C42BB"/>
    <w:rsid w:val="003C43E6"/>
    <w:rsid w:val="003C4414"/>
    <w:rsid w:val="003C4434"/>
    <w:rsid w:val="003C4456"/>
    <w:rsid w:val="003C4481"/>
    <w:rsid w:val="003C448F"/>
    <w:rsid w:val="003C44B5"/>
    <w:rsid w:val="003C44DB"/>
    <w:rsid w:val="003C454B"/>
    <w:rsid w:val="003C4570"/>
    <w:rsid w:val="003C46DC"/>
    <w:rsid w:val="003C484A"/>
    <w:rsid w:val="003C485D"/>
    <w:rsid w:val="003C4943"/>
    <w:rsid w:val="003C494B"/>
    <w:rsid w:val="003C49BF"/>
    <w:rsid w:val="003C4A2A"/>
    <w:rsid w:val="003C4A39"/>
    <w:rsid w:val="003C4A4E"/>
    <w:rsid w:val="003C4A7F"/>
    <w:rsid w:val="003C4AF1"/>
    <w:rsid w:val="003C4B33"/>
    <w:rsid w:val="003C4B86"/>
    <w:rsid w:val="003C4B8A"/>
    <w:rsid w:val="003C4B90"/>
    <w:rsid w:val="003C4BA3"/>
    <w:rsid w:val="003C4BAD"/>
    <w:rsid w:val="003C4BF0"/>
    <w:rsid w:val="003C4C70"/>
    <w:rsid w:val="003C4C97"/>
    <w:rsid w:val="003C4C9C"/>
    <w:rsid w:val="003C4D2A"/>
    <w:rsid w:val="003C4D40"/>
    <w:rsid w:val="003C4D8D"/>
    <w:rsid w:val="003C4D97"/>
    <w:rsid w:val="003C4DE6"/>
    <w:rsid w:val="003C4DE9"/>
    <w:rsid w:val="003C4E03"/>
    <w:rsid w:val="003C4E18"/>
    <w:rsid w:val="003C4E73"/>
    <w:rsid w:val="003C4E7D"/>
    <w:rsid w:val="003C4EAF"/>
    <w:rsid w:val="003C4EE9"/>
    <w:rsid w:val="003C4FC9"/>
    <w:rsid w:val="003C5034"/>
    <w:rsid w:val="003C505D"/>
    <w:rsid w:val="003C5062"/>
    <w:rsid w:val="003C508E"/>
    <w:rsid w:val="003C51B8"/>
    <w:rsid w:val="003C51EE"/>
    <w:rsid w:val="003C524F"/>
    <w:rsid w:val="003C52F2"/>
    <w:rsid w:val="003C5367"/>
    <w:rsid w:val="003C53A0"/>
    <w:rsid w:val="003C53AA"/>
    <w:rsid w:val="003C53E2"/>
    <w:rsid w:val="003C53F4"/>
    <w:rsid w:val="003C540C"/>
    <w:rsid w:val="003C540D"/>
    <w:rsid w:val="003C541A"/>
    <w:rsid w:val="003C541C"/>
    <w:rsid w:val="003C5445"/>
    <w:rsid w:val="003C544E"/>
    <w:rsid w:val="003C54C3"/>
    <w:rsid w:val="003C54E4"/>
    <w:rsid w:val="003C5503"/>
    <w:rsid w:val="003C558D"/>
    <w:rsid w:val="003C55F2"/>
    <w:rsid w:val="003C5607"/>
    <w:rsid w:val="003C5612"/>
    <w:rsid w:val="003C561C"/>
    <w:rsid w:val="003C5630"/>
    <w:rsid w:val="003C569A"/>
    <w:rsid w:val="003C5755"/>
    <w:rsid w:val="003C577C"/>
    <w:rsid w:val="003C577E"/>
    <w:rsid w:val="003C57A2"/>
    <w:rsid w:val="003C5808"/>
    <w:rsid w:val="003C5832"/>
    <w:rsid w:val="003C5835"/>
    <w:rsid w:val="003C5888"/>
    <w:rsid w:val="003C58BF"/>
    <w:rsid w:val="003C58CD"/>
    <w:rsid w:val="003C58EA"/>
    <w:rsid w:val="003C58F3"/>
    <w:rsid w:val="003C5962"/>
    <w:rsid w:val="003C5A16"/>
    <w:rsid w:val="003C5A4D"/>
    <w:rsid w:val="003C5A74"/>
    <w:rsid w:val="003C5ACF"/>
    <w:rsid w:val="003C5AEC"/>
    <w:rsid w:val="003C5AFC"/>
    <w:rsid w:val="003C5B01"/>
    <w:rsid w:val="003C5B06"/>
    <w:rsid w:val="003C5BE7"/>
    <w:rsid w:val="003C5C48"/>
    <w:rsid w:val="003C5D55"/>
    <w:rsid w:val="003C5D98"/>
    <w:rsid w:val="003C5E05"/>
    <w:rsid w:val="003C5E9B"/>
    <w:rsid w:val="003C5EA2"/>
    <w:rsid w:val="003C5EAD"/>
    <w:rsid w:val="003C5EFB"/>
    <w:rsid w:val="003C5F4E"/>
    <w:rsid w:val="003C5FC8"/>
    <w:rsid w:val="003C5FF3"/>
    <w:rsid w:val="003C6039"/>
    <w:rsid w:val="003C6060"/>
    <w:rsid w:val="003C6073"/>
    <w:rsid w:val="003C60E7"/>
    <w:rsid w:val="003C6114"/>
    <w:rsid w:val="003C6130"/>
    <w:rsid w:val="003C6157"/>
    <w:rsid w:val="003C6162"/>
    <w:rsid w:val="003C616A"/>
    <w:rsid w:val="003C6198"/>
    <w:rsid w:val="003C6212"/>
    <w:rsid w:val="003C6228"/>
    <w:rsid w:val="003C626F"/>
    <w:rsid w:val="003C62FA"/>
    <w:rsid w:val="003C6345"/>
    <w:rsid w:val="003C6382"/>
    <w:rsid w:val="003C6390"/>
    <w:rsid w:val="003C63BA"/>
    <w:rsid w:val="003C63E9"/>
    <w:rsid w:val="003C63F9"/>
    <w:rsid w:val="003C6462"/>
    <w:rsid w:val="003C648E"/>
    <w:rsid w:val="003C64AC"/>
    <w:rsid w:val="003C64CB"/>
    <w:rsid w:val="003C64CD"/>
    <w:rsid w:val="003C6557"/>
    <w:rsid w:val="003C6560"/>
    <w:rsid w:val="003C657E"/>
    <w:rsid w:val="003C65EA"/>
    <w:rsid w:val="003C66EB"/>
    <w:rsid w:val="003C6774"/>
    <w:rsid w:val="003C678C"/>
    <w:rsid w:val="003C67FC"/>
    <w:rsid w:val="003C682E"/>
    <w:rsid w:val="003C683C"/>
    <w:rsid w:val="003C6891"/>
    <w:rsid w:val="003C68BE"/>
    <w:rsid w:val="003C68D9"/>
    <w:rsid w:val="003C6913"/>
    <w:rsid w:val="003C6951"/>
    <w:rsid w:val="003C695D"/>
    <w:rsid w:val="003C69B1"/>
    <w:rsid w:val="003C69C2"/>
    <w:rsid w:val="003C6A7B"/>
    <w:rsid w:val="003C6AEF"/>
    <w:rsid w:val="003C6B81"/>
    <w:rsid w:val="003C6BCC"/>
    <w:rsid w:val="003C6C06"/>
    <w:rsid w:val="003C6C34"/>
    <w:rsid w:val="003C6C8C"/>
    <w:rsid w:val="003C6CC2"/>
    <w:rsid w:val="003C6D3A"/>
    <w:rsid w:val="003C6D53"/>
    <w:rsid w:val="003C6D69"/>
    <w:rsid w:val="003C6D7B"/>
    <w:rsid w:val="003C6D88"/>
    <w:rsid w:val="003C6D8A"/>
    <w:rsid w:val="003C6D95"/>
    <w:rsid w:val="003C6D98"/>
    <w:rsid w:val="003C6DDE"/>
    <w:rsid w:val="003C6DE1"/>
    <w:rsid w:val="003C6E12"/>
    <w:rsid w:val="003C6E27"/>
    <w:rsid w:val="003C6E3C"/>
    <w:rsid w:val="003C6E6E"/>
    <w:rsid w:val="003C6E84"/>
    <w:rsid w:val="003C6EC3"/>
    <w:rsid w:val="003C6ED0"/>
    <w:rsid w:val="003C6EF9"/>
    <w:rsid w:val="003C6F2B"/>
    <w:rsid w:val="003C6FAB"/>
    <w:rsid w:val="003C6FDD"/>
    <w:rsid w:val="003C70DF"/>
    <w:rsid w:val="003C7115"/>
    <w:rsid w:val="003C7129"/>
    <w:rsid w:val="003C712C"/>
    <w:rsid w:val="003C7137"/>
    <w:rsid w:val="003C7146"/>
    <w:rsid w:val="003C718C"/>
    <w:rsid w:val="003C71A1"/>
    <w:rsid w:val="003C71B3"/>
    <w:rsid w:val="003C7220"/>
    <w:rsid w:val="003C7283"/>
    <w:rsid w:val="003C72D8"/>
    <w:rsid w:val="003C7371"/>
    <w:rsid w:val="003C73B1"/>
    <w:rsid w:val="003C7406"/>
    <w:rsid w:val="003C741D"/>
    <w:rsid w:val="003C7449"/>
    <w:rsid w:val="003C744D"/>
    <w:rsid w:val="003C7464"/>
    <w:rsid w:val="003C749A"/>
    <w:rsid w:val="003C74A9"/>
    <w:rsid w:val="003C7524"/>
    <w:rsid w:val="003C754B"/>
    <w:rsid w:val="003C7567"/>
    <w:rsid w:val="003C7574"/>
    <w:rsid w:val="003C758D"/>
    <w:rsid w:val="003C75A9"/>
    <w:rsid w:val="003C75BF"/>
    <w:rsid w:val="003C75C3"/>
    <w:rsid w:val="003C75DB"/>
    <w:rsid w:val="003C760A"/>
    <w:rsid w:val="003C7616"/>
    <w:rsid w:val="003C7642"/>
    <w:rsid w:val="003C76B6"/>
    <w:rsid w:val="003C7761"/>
    <w:rsid w:val="003C77C7"/>
    <w:rsid w:val="003C77E9"/>
    <w:rsid w:val="003C7809"/>
    <w:rsid w:val="003C7822"/>
    <w:rsid w:val="003C783E"/>
    <w:rsid w:val="003C7855"/>
    <w:rsid w:val="003C7866"/>
    <w:rsid w:val="003C789F"/>
    <w:rsid w:val="003C78DC"/>
    <w:rsid w:val="003C7912"/>
    <w:rsid w:val="003C7930"/>
    <w:rsid w:val="003C7973"/>
    <w:rsid w:val="003C79F1"/>
    <w:rsid w:val="003C7A04"/>
    <w:rsid w:val="003C7A4D"/>
    <w:rsid w:val="003C7AD1"/>
    <w:rsid w:val="003C7AF7"/>
    <w:rsid w:val="003C7B50"/>
    <w:rsid w:val="003C7B60"/>
    <w:rsid w:val="003C7BB9"/>
    <w:rsid w:val="003C7C3C"/>
    <w:rsid w:val="003C7C90"/>
    <w:rsid w:val="003C7CA3"/>
    <w:rsid w:val="003C7CE6"/>
    <w:rsid w:val="003C7D44"/>
    <w:rsid w:val="003C7D4E"/>
    <w:rsid w:val="003C7D5D"/>
    <w:rsid w:val="003C7D64"/>
    <w:rsid w:val="003C7D74"/>
    <w:rsid w:val="003C7D97"/>
    <w:rsid w:val="003C7DE8"/>
    <w:rsid w:val="003C7DF3"/>
    <w:rsid w:val="003C7E31"/>
    <w:rsid w:val="003C7E3C"/>
    <w:rsid w:val="003C7EE4"/>
    <w:rsid w:val="003C7FC0"/>
    <w:rsid w:val="003D0003"/>
    <w:rsid w:val="003D005C"/>
    <w:rsid w:val="003D008C"/>
    <w:rsid w:val="003D0098"/>
    <w:rsid w:val="003D00C6"/>
    <w:rsid w:val="003D0121"/>
    <w:rsid w:val="003D014B"/>
    <w:rsid w:val="003D0157"/>
    <w:rsid w:val="003D01A4"/>
    <w:rsid w:val="003D01CE"/>
    <w:rsid w:val="003D01EB"/>
    <w:rsid w:val="003D020C"/>
    <w:rsid w:val="003D021B"/>
    <w:rsid w:val="003D0261"/>
    <w:rsid w:val="003D02A7"/>
    <w:rsid w:val="003D02AD"/>
    <w:rsid w:val="003D0305"/>
    <w:rsid w:val="003D0308"/>
    <w:rsid w:val="003D03B6"/>
    <w:rsid w:val="003D03D2"/>
    <w:rsid w:val="003D041E"/>
    <w:rsid w:val="003D0422"/>
    <w:rsid w:val="003D0437"/>
    <w:rsid w:val="003D0439"/>
    <w:rsid w:val="003D04B4"/>
    <w:rsid w:val="003D058A"/>
    <w:rsid w:val="003D05FF"/>
    <w:rsid w:val="003D06CA"/>
    <w:rsid w:val="003D06F8"/>
    <w:rsid w:val="003D0749"/>
    <w:rsid w:val="003D0761"/>
    <w:rsid w:val="003D07B9"/>
    <w:rsid w:val="003D088F"/>
    <w:rsid w:val="003D08B5"/>
    <w:rsid w:val="003D08D0"/>
    <w:rsid w:val="003D0961"/>
    <w:rsid w:val="003D0962"/>
    <w:rsid w:val="003D096A"/>
    <w:rsid w:val="003D09BC"/>
    <w:rsid w:val="003D09DA"/>
    <w:rsid w:val="003D0A09"/>
    <w:rsid w:val="003D0A16"/>
    <w:rsid w:val="003D0A53"/>
    <w:rsid w:val="003D0A8F"/>
    <w:rsid w:val="003D0AE5"/>
    <w:rsid w:val="003D0B36"/>
    <w:rsid w:val="003D0B47"/>
    <w:rsid w:val="003D0C3C"/>
    <w:rsid w:val="003D0C81"/>
    <w:rsid w:val="003D0C97"/>
    <w:rsid w:val="003D0D22"/>
    <w:rsid w:val="003D0D37"/>
    <w:rsid w:val="003D0DA4"/>
    <w:rsid w:val="003D0DE2"/>
    <w:rsid w:val="003D0E20"/>
    <w:rsid w:val="003D0E45"/>
    <w:rsid w:val="003D0E74"/>
    <w:rsid w:val="003D0ED3"/>
    <w:rsid w:val="003D0F0B"/>
    <w:rsid w:val="003D0F2A"/>
    <w:rsid w:val="003D0F50"/>
    <w:rsid w:val="003D0F6A"/>
    <w:rsid w:val="003D0F70"/>
    <w:rsid w:val="003D0F8A"/>
    <w:rsid w:val="003D0F8B"/>
    <w:rsid w:val="003D0FAE"/>
    <w:rsid w:val="003D0FD6"/>
    <w:rsid w:val="003D1012"/>
    <w:rsid w:val="003D1013"/>
    <w:rsid w:val="003D1047"/>
    <w:rsid w:val="003D1062"/>
    <w:rsid w:val="003D10DA"/>
    <w:rsid w:val="003D10EA"/>
    <w:rsid w:val="003D1129"/>
    <w:rsid w:val="003D116A"/>
    <w:rsid w:val="003D119E"/>
    <w:rsid w:val="003D11D1"/>
    <w:rsid w:val="003D1217"/>
    <w:rsid w:val="003D121A"/>
    <w:rsid w:val="003D1256"/>
    <w:rsid w:val="003D1279"/>
    <w:rsid w:val="003D127C"/>
    <w:rsid w:val="003D1313"/>
    <w:rsid w:val="003D1317"/>
    <w:rsid w:val="003D1397"/>
    <w:rsid w:val="003D13D7"/>
    <w:rsid w:val="003D141C"/>
    <w:rsid w:val="003D1434"/>
    <w:rsid w:val="003D1444"/>
    <w:rsid w:val="003D1452"/>
    <w:rsid w:val="003D147D"/>
    <w:rsid w:val="003D1498"/>
    <w:rsid w:val="003D14C3"/>
    <w:rsid w:val="003D14DD"/>
    <w:rsid w:val="003D1528"/>
    <w:rsid w:val="003D158F"/>
    <w:rsid w:val="003D1627"/>
    <w:rsid w:val="003D1634"/>
    <w:rsid w:val="003D1683"/>
    <w:rsid w:val="003D168A"/>
    <w:rsid w:val="003D169D"/>
    <w:rsid w:val="003D16AB"/>
    <w:rsid w:val="003D16D8"/>
    <w:rsid w:val="003D16FF"/>
    <w:rsid w:val="003D1717"/>
    <w:rsid w:val="003D172A"/>
    <w:rsid w:val="003D1762"/>
    <w:rsid w:val="003D176C"/>
    <w:rsid w:val="003D17B1"/>
    <w:rsid w:val="003D17E5"/>
    <w:rsid w:val="003D183B"/>
    <w:rsid w:val="003D1842"/>
    <w:rsid w:val="003D187D"/>
    <w:rsid w:val="003D188D"/>
    <w:rsid w:val="003D18B6"/>
    <w:rsid w:val="003D18E1"/>
    <w:rsid w:val="003D18E9"/>
    <w:rsid w:val="003D1903"/>
    <w:rsid w:val="003D192A"/>
    <w:rsid w:val="003D1986"/>
    <w:rsid w:val="003D198C"/>
    <w:rsid w:val="003D19C6"/>
    <w:rsid w:val="003D1AD7"/>
    <w:rsid w:val="003D1AEC"/>
    <w:rsid w:val="003D1AF8"/>
    <w:rsid w:val="003D1B63"/>
    <w:rsid w:val="003D1BB1"/>
    <w:rsid w:val="003D1BCB"/>
    <w:rsid w:val="003D1BE4"/>
    <w:rsid w:val="003D1C42"/>
    <w:rsid w:val="003D1C84"/>
    <w:rsid w:val="003D1CB8"/>
    <w:rsid w:val="003D1D16"/>
    <w:rsid w:val="003D1D24"/>
    <w:rsid w:val="003D1D28"/>
    <w:rsid w:val="003D1D49"/>
    <w:rsid w:val="003D1D4F"/>
    <w:rsid w:val="003D1D70"/>
    <w:rsid w:val="003D1D9D"/>
    <w:rsid w:val="003D1DCF"/>
    <w:rsid w:val="003D1E07"/>
    <w:rsid w:val="003D1E35"/>
    <w:rsid w:val="003D1E50"/>
    <w:rsid w:val="003D1E76"/>
    <w:rsid w:val="003D1E86"/>
    <w:rsid w:val="003D1EFD"/>
    <w:rsid w:val="003D1F22"/>
    <w:rsid w:val="003D2007"/>
    <w:rsid w:val="003D200D"/>
    <w:rsid w:val="003D2049"/>
    <w:rsid w:val="003D204C"/>
    <w:rsid w:val="003D205D"/>
    <w:rsid w:val="003D206A"/>
    <w:rsid w:val="003D20BA"/>
    <w:rsid w:val="003D2106"/>
    <w:rsid w:val="003D2121"/>
    <w:rsid w:val="003D2126"/>
    <w:rsid w:val="003D213B"/>
    <w:rsid w:val="003D2140"/>
    <w:rsid w:val="003D21B0"/>
    <w:rsid w:val="003D21F3"/>
    <w:rsid w:val="003D222B"/>
    <w:rsid w:val="003D223A"/>
    <w:rsid w:val="003D2240"/>
    <w:rsid w:val="003D2246"/>
    <w:rsid w:val="003D225B"/>
    <w:rsid w:val="003D2276"/>
    <w:rsid w:val="003D22A0"/>
    <w:rsid w:val="003D22CF"/>
    <w:rsid w:val="003D22EC"/>
    <w:rsid w:val="003D238C"/>
    <w:rsid w:val="003D2400"/>
    <w:rsid w:val="003D2449"/>
    <w:rsid w:val="003D2496"/>
    <w:rsid w:val="003D24D4"/>
    <w:rsid w:val="003D252E"/>
    <w:rsid w:val="003D257F"/>
    <w:rsid w:val="003D25DF"/>
    <w:rsid w:val="003D25E0"/>
    <w:rsid w:val="003D25EE"/>
    <w:rsid w:val="003D2618"/>
    <w:rsid w:val="003D2620"/>
    <w:rsid w:val="003D26E2"/>
    <w:rsid w:val="003D26EC"/>
    <w:rsid w:val="003D26F2"/>
    <w:rsid w:val="003D2708"/>
    <w:rsid w:val="003D272A"/>
    <w:rsid w:val="003D276B"/>
    <w:rsid w:val="003D2787"/>
    <w:rsid w:val="003D279A"/>
    <w:rsid w:val="003D2863"/>
    <w:rsid w:val="003D288E"/>
    <w:rsid w:val="003D28BA"/>
    <w:rsid w:val="003D2938"/>
    <w:rsid w:val="003D295D"/>
    <w:rsid w:val="003D2981"/>
    <w:rsid w:val="003D29B6"/>
    <w:rsid w:val="003D29CB"/>
    <w:rsid w:val="003D2A24"/>
    <w:rsid w:val="003D2A5E"/>
    <w:rsid w:val="003D2A76"/>
    <w:rsid w:val="003D2A85"/>
    <w:rsid w:val="003D2ACB"/>
    <w:rsid w:val="003D2AF8"/>
    <w:rsid w:val="003D2B84"/>
    <w:rsid w:val="003D2BB4"/>
    <w:rsid w:val="003D2BBA"/>
    <w:rsid w:val="003D2BBB"/>
    <w:rsid w:val="003D2BC3"/>
    <w:rsid w:val="003D2BD0"/>
    <w:rsid w:val="003D2BD2"/>
    <w:rsid w:val="003D2BD5"/>
    <w:rsid w:val="003D2BDE"/>
    <w:rsid w:val="003D2C12"/>
    <w:rsid w:val="003D2C33"/>
    <w:rsid w:val="003D2C42"/>
    <w:rsid w:val="003D2C5B"/>
    <w:rsid w:val="003D2C84"/>
    <w:rsid w:val="003D2CBD"/>
    <w:rsid w:val="003D2D04"/>
    <w:rsid w:val="003D2D05"/>
    <w:rsid w:val="003D2D09"/>
    <w:rsid w:val="003D2D0E"/>
    <w:rsid w:val="003D2D13"/>
    <w:rsid w:val="003D2D60"/>
    <w:rsid w:val="003D2D93"/>
    <w:rsid w:val="003D2DC3"/>
    <w:rsid w:val="003D2E4A"/>
    <w:rsid w:val="003D2EFB"/>
    <w:rsid w:val="003D2F07"/>
    <w:rsid w:val="003D2F58"/>
    <w:rsid w:val="003D2F90"/>
    <w:rsid w:val="003D304B"/>
    <w:rsid w:val="003D3056"/>
    <w:rsid w:val="003D30A8"/>
    <w:rsid w:val="003D30AE"/>
    <w:rsid w:val="003D313A"/>
    <w:rsid w:val="003D314B"/>
    <w:rsid w:val="003D3185"/>
    <w:rsid w:val="003D31AE"/>
    <w:rsid w:val="003D3222"/>
    <w:rsid w:val="003D322F"/>
    <w:rsid w:val="003D32EC"/>
    <w:rsid w:val="003D3308"/>
    <w:rsid w:val="003D3323"/>
    <w:rsid w:val="003D3324"/>
    <w:rsid w:val="003D337F"/>
    <w:rsid w:val="003D33D1"/>
    <w:rsid w:val="003D33E4"/>
    <w:rsid w:val="003D3431"/>
    <w:rsid w:val="003D3436"/>
    <w:rsid w:val="003D3441"/>
    <w:rsid w:val="003D34B3"/>
    <w:rsid w:val="003D3540"/>
    <w:rsid w:val="003D3553"/>
    <w:rsid w:val="003D3575"/>
    <w:rsid w:val="003D35B6"/>
    <w:rsid w:val="003D35EC"/>
    <w:rsid w:val="003D35FE"/>
    <w:rsid w:val="003D3603"/>
    <w:rsid w:val="003D367F"/>
    <w:rsid w:val="003D36C4"/>
    <w:rsid w:val="003D371C"/>
    <w:rsid w:val="003D376C"/>
    <w:rsid w:val="003D377D"/>
    <w:rsid w:val="003D37B6"/>
    <w:rsid w:val="003D37D5"/>
    <w:rsid w:val="003D381B"/>
    <w:rsid w:val="003D383F"/>
    <w:rsid w:val="003D3845"/>
    <w:rsid w:val="003D385F"/>
    <w:rsid w:val="003D38A1"/>
    <w:rsid w:val="003D38BD"/>
    <w:rsid w:val="003D3925"/>
    <w:rsid w:val="003D398B"/>
    <w:rsid w:val="003D39CA"/>
    <w:rsid w:val="003D39FD"/>
    <w:rsid w:val="003D3A15"/>
    <w:rsid w:val="003D3A25"/>
    <w:rsid w:val="003D3A38"/>
    <w:rsid w:val="003D3B45"/>
    <w:rsid w:val="003D3B83"/>
    <w:rsid w:val="003D3B89"/>
    <w:rsid w:val="003D3B90"/>
    <w:rsid w:val="003D3BD2"/>
    <w:rsid w:val="003D3C59"/>
    <w:rsid w:val="003D3C8B"/>
    <w:rsid w:val="003D3D03"/>
    <w:rsid w:val="003D3D38"/>
    <w:rsid w:val="003D3D68"/>
    <w:rsid w:val="003D3E01"/>
    <w:rsid w:val="003D3E75"/>
    <w:rsid w:val="003D3E85"/>
    <w:rsid w:val="003D3E8C"/>
    <w:rsid w:val="003D3E9C"/>
    <w:rsid w:val="003D3EC3"/>
    <w:rsid w:val="003D3F10"/>
    <w:rsid w:val="003D3F23"/>
    <w:rsid w:val="003D3F5D"/>
    <w:rsid w:val="003D3FF3"/>
    <w:rsid w:val="003D3FF5"/>
    <w:rsid w:val="003D4002"/>
    <w:rsid w:val="003D4033"/>
    <w:rsid w:val="003D406B"/>
    <w:rsid w:val="003D40DB"/>
    <w:rsid w:val="003D4107"/>
    <w:rsid w:val="003D4119"/>
    <w:rsid w:val="003D416F"/>
    <w:rsid w:val="003D41B1"/>
    <w:rsid w:val="003D4229"/>
    <w:rsid w:val="003D4232"/>
    <w:rsid w:val="003D4256"/>
    <w:rsid w:val="003D425A"/>
    <w:rsid w:val="003D4336"/>
    <w:rsid w:val="003D4342"/>
    <w:rsid w:val="003D4343"/>
    <w:rsid w:val="003D4374"/>
    <w:rsid w:val="003D437F"/>
    <w:rsid w:val="003D43A4"/>
    <w:rsid w:val="003D43CA"/>
    <w:rsid w:val="003D4440"/>
    <w:rsid w:val="003D448B"/>
    <w:rsid w:val="003D44D0"/>
    <w:rsid w:val="003D45C7"/>
    <w:rsid w:val="003D45FF"/>
    <w:rsid w:val="003D461E"/>
    <w:rsid w:val="003D4621"/>
    <w:rsid w:val="003D4630"/>
    <w:rsid w:val="003D4697"/>
    <w:rsid w:val="003D471C"/>
    <w:rsid w:val="003D477B"/>
    <w:rsid w:val="003D47AF"/>
    <w:rsid w:val="003D47CF"/>
    <w:rsid w:val="003D47F5"/>
    <w:rsid w:val="003D47FD"/>
    <w:rsid w:val="003D481D"/>
    <w:rsid w:val="003D4834"/>
    <w:rsid w:val="003D484C"/>
    <w:rsid w:val="003D486A"/>
    <w:rsid w:val="003D48A2"/>
    <w:rsid w:val="003D48AA"/>
    <w:rsid w:val="003D4A71"/>
    <w:rsid w:val="003D4ABC"/>
    <w:rsid w:val="003D4ACA"/>
    <w:rsid w:val="003D4AE4"/>
    <w:rsid w:val="003D4AFC"/>
    <w:rsid w:val="003D4B44"/>
    <w:rsid w:val="003D4B6E"/>
    <w:rsid w:val="003D4B93"/>
    <w:rsid w:val="003D4BA8"/>
    <w:rsid w:val="003D4BDC"/>
    <w:rsid w:val="003D4BE2"/>
    <w:rsid w:val="003D4BEA"/>
    <w:rsid w:val="003D4BF6"/>
    <w:rsid w:val="003D4C21"/>
    <w:rsid w:val="003D4C32"/>
    <w:rsid w:val="003D4C5B"/>
    <w:rsid w:val="003D4C61"/>
    <w:rsid w:val="003D4CB4"/>
    <w:rsid w:val="003D4CD1"/>
    <w:rsid w:val="003D4D15"/>
    <w:rsid w:val="003D4D2B"/>
    <w:rsid w:val="003D4DA4"/>
    <w:rsid w:val="003D4DC6"/>
    <w:rsid w:val="003D4DF3"/>
    <w:rsid w:val="003D4E40"/>
    <w:rsid w:val="003D4E47"/>
    <w:rsid w:val="003D4EAE"/>
    <w:rsid w:val="003D4F48"/>
    <w:rsid w:val="003D4FDD"/>
    <w:rsid w:val="003D4FE6"/>
    <w:rsid w:val="003D5008"/>
    <w:rsid w:val="003D5025"/>
    <w:rsid w:val="003D5137"/>
    <w:rsid w:val="003D51AE"/>
    <w:rsid w:val="003D51F9"/>
    <w:rsid w:val="003D51FD"/>
    <w:rsid w:val="003D5245"/>
    <w:rsid w:val="003D5277"/>
    <w:rsid w:val="003D529F"/>
    <w:rsid w:val="003D52A0"/>
    <w:rsid w:val="003D52AB"/>
    <w:rsid w:val="003D52F2"/>
    <w:rsid w:val="003D5318"/>
    <w:rsid w:val="003D531C"/>
    <w:rsid w:val="003D53A7"/>
    <w:rsid w:val="003D549C"/>
    <w:rsid w:val="003D54A9"/>
    <w:rsid w:val="003D54C1"/>
    <w:rsid w:val="003D54FE"/>
    <w:rsid w:val="003D553F"/>
    <w:rsid w:val="003D5588"/>
    <w:rsid w:val="003D5598"/>
    <w:rsid w:val="003D5599"/>
    <w:rsid w:val="003D5613"/>
    <w:rsid w:val="003D561C"/>
    <w:rsid w:val="003D5638"/>
    <w:rsid w:val="003D5699"/>
    <w:rsid w:val="003D56CE"/>
    <w:rsid w:val="003D5722"/>
    <w:rsid w:val="003D57CD"/>
    <w:rsid w:val="003D57E1"/>
    <w:rsid w:val="003D57F0"/>
    <w:rsid w:val="003D5823"/>
    <w:rsid w:val="003D583A"/>
    <w:rsid w:val="003D58AA"/>
    <w:rsid w:val="003D5948"/>
    <w:rsid w:val="003D59C1"/>
    <w:rsid w:val="003D5A1E"/>
    <w:rsid w:val="003D5A2E"/>
    <w:rsid w:val="003D5A8A"/>
    <w:rsid w:val="003D5A92"/>
    <w:rsid w:val="003D5AC7"/>
    <w:rsid w:val="003D5AE1"/>
    <w:rsid w:val="003D5AF6"/>
    <w:rsid w:val="003D5AFB"/>
    <w:rsid w:val="003D5B66"/>
    <w:rsid w:val="003D5BC9"/>
    <w:rsid w:val="003D5BDB"/>
    <w:rsid w:val="003D5BF2"/>
    <w:rsid w:val="003D5C13"/>
    <w:rsid w:val="003D5C15"/>
    <w:rsid w:val="003D5C2E"/>
    <w:rsid w:val="003D5C36"/>
    <w:rsid w:val="003D5CAA"/>
    <w:rsid w:val="003D5CAE"/>
    <w:rsid w:val="003D5CBD"/>
    <w:rsid w:val="003D5D6C"/>
    <w:rsid w:val="003D5D83"/>
    <w:rsid w:val="003D5DD3"/>
    <w:rsid w:val="003D5DDB"/>
    <w:rsid w:val="003D5E82"/>
    <w:rsid w:val="003D5F0C"/>
    <w:rsid w:val="003D5F10"/>
    <w:rsid w:val="003D5F2C"/>
    <w:rsid w:val="003D5F33"/>
    <w:rsid w:val="003D5FB2"/>
    <w:rsid w:val="003D5FF1"/>
    <w:rsid w:val="003D5FFD"/>
    <w:rsid w:val="003D600D"/>
    <w:rsid w:val="003D6016"/>
    <w:rsid w:val="003D601F"/>
    <w:rsid w:val="003D6036"/>
    <w:rsid w:val="003D60AD"/>
    <w:rsid w:val="003D60DC"/>
    <w:rsid w:val="003D6106"/>
    <w:rsid w:val="003D6134"/>
    <w:rsid w:val="003D6172"/>
    <w:rsid w:val="003D618C"/>
    <w:rsid w:val="003D61E5"/>
    <w:rsid w:val="003D622B"/>
    <w:rsid w:val="003D622D"/>
    <w:rsid w:val="003D6256"/>
    <w:rsid w:val="003D6265"/>
    <w:rsid w:val="003D6287"/>
    <w:rsid w:val="003D62A0"/>
    <w:rsid w:val="003D633A"/>
    <w:rsid w:val="003D63A7"/>
    <w:rsid w:val="003D6434"/>
    <w:rsid w:val="003D643E"/>
    <w:rsid w:val="003D6454"/>
    <w:rsid w:val="003D6477"/>
    <w:rsid w:val="003D6592"/>
    <w:rsid w:val="003D6614"/>
    <w:rsid w:val="003D66D5"/>
    <w:rsid w:val="003D671E"/>
    <w:rsid w:val="003D6736"/>
    <w:rsid w:val="003D679D"/>
    <w:rsid w:val="003D67A8"/>
    <w:rsid w:val="003D67D3"/>
    <w:rsid w:val="003D6894"/>
    <w:rsid w:val="003D68FB"/>
    <w:rsid w:val="003D690F"/>
    <w:rsid w:val="003D6928"/>
    <w:rsid w:val="003D692C"/>
    <w:rsid w:val="003D6995"/>
    <w:rsid w:val="003D69B0"/>
    <w:rsid w:val="003D69E9"/>
    <w:rsid w:val="003D6AA0"/>
    <w:rsid w:val="003D6ADD"/>
    <w:rsid w:val="003D6B35"/>
    <w:rsid w:val="003D6B51"/>
    <w:rsid w:val="003D6BD8"/>
    <w:rsid w:val="003D6BDE"/>
    <w:rsid w:val="003D6BE0"/>
    <w:rsid w:val="003D6BE2"/>
    <w:rsid w:val="003D6CA7"/>
    <w:rsid w:val="003D6CAE"/>
    <w:rsid w:val="003D6CCE"/>
    <w:rsid w:val="003D6D12"/>
    <w:rsid w:val="003D6D32"/>
    <w:rsid w:val="003D6D63"/>
    <w:rsid w:val="003D6D69"/>
    <w:rsid w:val="003D6D6D"/>
    <w:rsid w:val="003D6D88"/>
    <w:rsid w:val="003D6D8E"/>
    <w:rsid w:val="003D6DD5"/>
    <w:rsid w:val="003D6DD9"/>
    <w:rsid w:val="003D6E76"/>
    <w:rsid w:val="003D6F4F"/>
    <w:rsid w:val="003D6F71"/>
    <w:rsid w:val="003D6FC8"/>
    <w:rsid w:val="003D6FFB"/>
    <w:rsid w:val="003D7026"/>
    <w:rsid w:val="003D707A"/>
    <w:rsid w:val="003D7085"/>
    <w:rsid w:val="003D70B1"/>
    <w:rsid w:val="003D70BB"/>
    <w:rsid w:val="003D70F8"/>
    <w:rsid w:val="003D714B"/>
    <w:rsid w:val="003D71E5"/>
    <w:rsid w:val="003D72C1"/>
    <w:rsid w:val="003D7402"/>
    <w:rsid w:val="003D7432"/>
    <w:rsid w:val="003D747F"/>
    <w:rsid w:val="003D74B4"/>
    <w:rsid w:val="003D7502"/>
    <w:rsid w:val="003D7511"/>
    <w:rsid w:val="003D755A"/>
    <w:rsid w:val="003D7669"/>
    <w:rsid w:val="003D76F2"/>
    <w:rsid w:val="003D77B9"/>
    <w:rsid w:val="003D7820"/>
    <w:rsid w:val="003D7858"/>
    <w:rsid w:val="003D78B6"/>
    <w:rsid w:val="003D78C0"/>
    <w:rsid w:val="003D7924"/>
    <w:rsid w:val="003D797D"/>
    <w:rsid w:val="003D7989"/>
    <w:rsid w:val="003D7A59"/>
    <w:rsid w:val="003D7AEE"/>
    <w:rsid w:val="003D7B62"/>
    <w:rsid w:val="003D7B6F"/>
    <w:rsid w:val="003D7BD7"/>
    <w:rsid w:val="003D7BF1"/>
    <w:rsid w:val="003D7BF3"/>
    <w:rsid w:val="003D7C2A"/>
    <w:rsid w:val="003D7CB2"/>
    <w:rsid w:val="003D7CB7"/>
    <w:rsid w:val="003D7CED"/>
    <w:rsid w:val="003D7D8D"/>
    <w:rsid w:val="003D7DB2"/>
    <w:rsid w:val="003D7DEC"/>
    <w:rsid w:val="003D7E1C"/>
    <w:rsid w:val="003D7E31"/>
    <w:rsid w:val="003D7F1B"/>
    <w:rsid w:val="003D7F77"/>
    <w:rsid w:val="003D7FA4"/>
    <w:rsid w:val="003D7FBD"/>
    <w:rsid w:val="003D7FEE"/>
    <w:rsid w:val="003E0057"/>
    <w:rsid w:val="003E00B5"/>
    <w:rsid w:val="003E00C6"/>
    <w:rsid w:val="003E0114"/>
    <w:rsid w:val="003E0170"/>
    <w:rsid w:val="003E0233"/>
    <w:rsid w:val="003E02A3"/>
    <w:rsid w:val="003E02B5"/>
    <w:rsid w:val="003E030C"/>
    <w:rsid w:val="003E033C"/>
    <w:rsid w:val="003E0342"/>
    <w:rsid w:val="003E0359"/>
    <w:rsid w:val="003E03F9"/>
    <w:rsid w:val="003E03FD"/>
    <w:rsid w:val="003E0417"/>
    <w:rsid w:val="003E0419"/>
    <w:rsid w:val="003E0520"/>
    <w:rsid w:val="003E0528"/>
    <w:rsid w:val="003E05B2"/>
    <w:rsid w:val="003E05FC"/>
    <w:rsid w:val="003E064C"/>
    <w:rsid w:val="003E0665"/>
    <w:rsid w:val="003E06EF"/>
    <w:rsid w:val="003E06F8"/>
    <w:rsid w:val="003E07A7"/>
    <w:rsid w:val="003E07D5"/>
    <w:rsid w:val="003E082C"/>
    <w:rsid w:val="003E0843"/>
    <w:rsid w:val="003E0851"/>
    <w:rsid w:val="003E08B7"/>
    <w:rsid w:val="003E0945"/>
    <w:rsid w:val="003E0986"/>
    <w:rsid w:val="003E098C"/>
    <w:rsid w:val="003E09B1"/>
    <w:rsid w:val="003E09CE"/>
    <w:rsid w:val="003E09F1"/>
    <w:rsid w:val="003E0A3C"/>
    <w:rsid w:val="003E0A5A"/>
    <w:rsid w:val="003E0B4F"/>
    <w:rsid w:val="003E0B6A"/>
    <w:rsid w:val="003E0BBB"/>
    <w:rsid w:val="003E0C31"/>
    <w:rsid w:val="003E0C32"/>
    <w:rsid w:val="003E0C6B"/>
    <w:rsid w:val="003E0CBD"/>
    <w:rsid w:val="003E0CF0"/>
    <w:rsid w:val="003E0D25"/>
    <w:rsid w:val="003E0D29"/>
    <w:rsid w:val="003E0D33"/>
    <w:rsid w:val="003E0D6D"/>
    <w:rsid w:val="003E0D6E"/>
    <w:rsid w:val="003E0E10"/>
    <w:rsid w:val="003E0E72"/>
    <w:rsid w:val="003E0EA7"/>
    <w:rsid w:val="003E0F00"/>
    <w:rsid w:val="003E0F6E"/>
    <w:rsid w:val="003E0F92"/>
    <w:rsid w:val="003E0FE6"/>
    <w:rsid w:val="003E101B"/>
    <w:rsid w:val="003E10B4"/>
    <w:rsid w:val="003E10C1"/>
    <w:rsid w:val="003E10C8"/>
    <w:rsid w:val="003E10ED"/>
    <w:rsid w:val="003E1147"/>
    <w:rsid w:val="003E1188"/>
    <w:rsid w:val="003E1192"/>
    <w:rsid w:val="003E11AD"/>
    <w:rsid w:val="003E126D"/>
    <w:rsid w:val="003E1273"/>
    <w:rsid w:val="003E12A0"/>
    <w:rsid w:val="003E12EB"/>
    <w:rsid w:val="003E131C"/>
    <w:rsid w:val="003E1320"/>
    <w:rsid w:val="003E1399"/>
    <w:rsid w:val="003E13AF"/>
    <w:rsid w:val="003E13B1"/>
    <w:rsid w:val="003E13B6"/>
    <w:rsid w:val="003E13DA"/>
    <w:rsid w:val="003E13F5"/>
    <w:rsid w:val="003E1451"/>
    <w:rsid w:val="003E14B6"/>
    <w:rsid w:val="003E14E5"/>
    <w:rsid w:val="003E152A"/>
    <w:rsid w:val="003E157F"/>
    <w:rsid w:val="003E1599"/>
    <w:rsid w:val="003E162E"/>
    <w:rsid w:val="003E16B0"/>
    <w:rsid w:val="003E16D6"/>
    <w:rsid w:val="003E172F"/>
    <w:rsid w:val="003E173C"/>
    <w:rsid w:val="003E182E"/>
    <w:rsid w:val="003E1849"/>
    <w:rsid w:val="003E188A"/>
    <w:rsid w:val="003E1896"/>
    <w:rsid w:val="003E18A6"/>
    <w:rsid w:val="003E18B8"/>
    <w:rsid w:val="003E18BD"/>
    <w:rsid w:val="003E18F4"/>
    <w:rsid w:val="003E190D"/>
    <w:rsid w:val="003E191A"/>
    <w:rsid w:val="003E1945"/>
    <w:rsid w:val="003E19C5"/>
    <w:rsid w:val="003E19CC"/>
    <w:rsid w:val="003E1A16"/>
    <w:rsid w:val="003E1AB4"/>
    <w:rsid w:val="003E1AB5"/>
    <w:rsid w:val="003E1B20"/>
    <w:rsid w:val="003E1B64"/>
    <w:rsid w:val="003E1BE4"/>
    <w:rsid w:val="003E1C01"/>
    <w:rsid w:val="003E1C46"/>
    <w:rsid w:val="003E1C5C"/>
    <w:rsid w:val="003E1C8C"/>
    <w:rsid w:val="003E1CDD"/>
    <w:rsid w:val="003E1CFD"/>
    <w:rsid w:val="003E1D2C"/>
    <w:rsid w:val="003E1D51"/>
    <w:rsid w:val="003E1D83"/>
    <w:rsid w:val="003E1E01"/>
    <w:rsid w:val="003E1E24"/>
    <w:rsid w:val="003E1E35"/>
    <w:rsid w:val="003E1E47"/>
    <w:rsid w:val="003E1E66"/>
    <w:rsid w:val="003E1F2C"/>
    <w:rsid w:val="003E1F2E"/>
    <w:rsid w:val="003E1F35"/>
    <w:rsid w:val="003E1F7F"/>
    <w:rsid w:val="003E1F8E"/>
    <w:rsid w:val="003E204C"/>
    <w:rsid w:val="003E2060"/>
    <w:rsid w:val="003E208C"/>
    <w:rsid w:val="003E20AA"/>
    <w:rsid w:val="003E2101"/>
    <w:rsid w:val="003E214C"/>
    <w:rsid w:val="003E21BC"/>
    <w:rsid w:val="003E21CE"/>
    <w:rsid w:val="003E21E3"/>
    <w:rsid w:val="003E21F6"/>
    <w:rsid w:val="003E228E"/>
    <w:rsid w:val="003E22FA"/>
    <w:rsid w:val="003E22FE"/>
    <w:rsid w:val="003E232F"/>
    <w:rsid w:val="003E234D"/>
    <w:rsid w:val="003E23C5"/>
    <w:rsid w:val="003E2410"/>
    <w:rsid w:val="003E2418"/>
    <w:rsid w:val="003E2429"/>
    <w:rsid w:val="003E24B8"/>
    <w:rsid w:val="003E24E0"/>
    <w:rsid w:val="003E24F4"/>
    <w:rsid w:val="003E2503"/>
    <w:rsid w:val="003E251E"/>
    <w:rsid w:val="003E254B"/>
    <w:rsid w:val="003E25AB"/>
    <w:rsid w:val="003E25FC"/>
    <w:rsid w:val="003E2612"/>
    <w:rsid w:val="003E2627"/>
    <w:rsid w:val="003E2650"/>
    <w:rsid w:val="003E2655"/>
    <w:rsid w:val="003E2661"/>
    <w:rsid w:val="003E271D"/>
    <w:rsid w:val="003E2756"/>
    <w:rsid w:val="003E276F"/>
    <w:rsid w:val="003E27A1"/>
    <w:rsid w:val="003E27B1"/>
    <w:rsid w:val="003E27CA"/>
    <w:rsid w:val="003E27D0"/>
    <w:rsid w:val="003E27DE"/>
    <w:rsid w:val="003E2816"/>
    <w:rsid w:val="003E2849"/>
    <w:rsid w:val="003E2894"/>
    <w:rsid w:val="003E28A7"/>
    <w:rsid w:val="003E290C"/>
    <w:rsid w:val="003E2926"/>
    <w:rsid w:val="003E2941"/>
    <w:rsid w:val="003E2991"/>
    <w:rsid w:val="003E2998"/>
    <w:rsid w:val="003E299B"/>
    <w:rsid w:val="003E29C0"/>
    <w:rsid w:val="003E29C4"/>
    <w:rsid w:val="003E2A57"/>
    <w:rsid w:val="003E2A7F"/>
    <w:rsid w:val="003E2AA3"/>
    <w:rsid w:val="003E2B21"/>
    <w:rsid w:val="003E2B4A"/>
    <w:rsid w:val="003E2B5B"/>
    <w:rsid w:val="003E2B73"/>
    <w:rsid w:val="003E2B8A"/>
    <w:rsid w:val="003E2B90"/>
    <w:rsid w:val="003E2BBD"/>
    <w:rsid w:val="003E2BE1"/>
    <w:rsid w:val="003E2BED"/>
    <w:rsid w:val="003E2C15"/>
    <w:rsid w:val="003E2C1C"/>
    <w:rsid w:val="003E2C3A"/>
    <w:rsid w:val="003E2C74"/>
    <w:rsid w:val="003E2CAC"/>
    <w:rsid w:val="003E2CB1"/>
    <w:rsid w:val="003E2CE4"/>
    <w:rsid w:val="003E2CE7"/>
    <w:rsid w:val="003E2D07"/>
    <w:rsid w:val="003E2D5E"/>
    <w:rsid w:val="003E2D64"/>
    <w:rsid w:val="003E2DF1"/>
    <w:rsid w:val="003E2DFC"/>
    <w:rsid w:val="003E2E90"/>
    <w:rsid w:val="003E2E94"/>
    <w:rsid w:val="003E2EB9"/>
    <w:rsid w:val="003E2EF4"/>
    <w:rsid w:val="003E2F08"/>
    <w:rsid w:val="003E2F35"/>
    <w:rsid w:val="003E2F37"/>
    <w:rsid w:val="003E2F49"/>
    <w:rsid w:val="003E2F9B"/>
    <w:rsid w:val="003E2FAC"/>
    <w:rsid w:val="003E2FC0"/>
    <w:rsid w:val="003E2FDD"/>
    <w:rsid w:val="003E3018"/>
    <w:rsid w:val="003E3036"/>
    <w:rsid w:val="003E307B"/>
    <w:rsid w:val="003E30AF"/>
    <w:rsid w:val="003E314D"/>
    <w:rsid w:val="003E318B"/>
    <w:rsid w:val="003E3191"/>
    <w:rsid w:val="003E3196"/>
    <w:rsid w:val="003E320C"/>
    <w:rsid w:val="003E3213"/>
    <w:rsid w:val="003E3253"/>
    <w:rsid w:val="003E326C"/>
    <w:rsid w:val="003E327A"/>
    <w:rsid w:val="003E32CA"/>
    <w:rsid w:val="003E32CE"/>
    <w:rsid w:val="003E32DF"/>
    <w:rsid w:val="003E3300"/>
    <w:rsid w:val="003E3348"/>
    <w:rsid w:val="003E33FD"/>
    <w:rsid w:val="003E3425"/>
    <w:rsid w:val="003E342E"/>
    <w:rsid w:val="003E345D"/>
    <w:rsid w:val="003E34FE"/>
    <w:rsid w:val="003E354F"/>
    <w:rsid w:val="003E3584"/>
    <w:rsid w:val="003E359B"/>
    <w:rsid w:val="003E35C0"/>
    <w:rsid w:val="003E35C5"/>
    <w:rsid w:val="003E35CC"/>
    <w:rsid w:val="003E35D1"/>
    <w:rsid w:val="003E360D"/>
    <w:rsid w:val="003E360F"/>
    <w:rsid w:val="003E361A"/>
    <w:rsid w:val="003E3644"/>
    <w:rsid w:val="003E367A"/>
    <w:rsid w:val="003E3684"/>
    <w:rsid w:val="003E3688"/>
    <w:rsid w:val="003E36F9"/>
    <w:rsid w:val="003E36FD"/>
    <w:rsid w:val="003E3720"/>
    <w:rsid w:val="003E37D1"/>
    <w:rsid w:val="003E37F8"/>
    <w:rsid w:val="003E3843"/>
    <w:rsid w:val="003E3852"/>
    <w:rsid w:val="003E3863"/>
    <w:rsid w:val="003E38BD"/>
    <w:rsid w:val="003E3901"/>
    <w:rsid w:val="003E3906"/>
    <w:rsid w:val="003E3923"/>
    <w:rsid w:val="003E3925"/>
    <w:rsid w:val="003E393E"/>
    <w:rsid w:val="003E3998"/>
    <w:rsid w:val="003E3A0E"/>
    <w:rsid w:val="003E3A3A"/>
    <w:rsid w:val="003E3A76"/>
    <w:rsid w:val="003E3AA0"/>
    <w:rsid w:val="003E3AA2"/>
    <w:rsid w:val="003E3AB7"/>
    <w:rsid w:val="003E3AC0"/>
    <w:rsid w:val="003E3ADC"/>
    <w:rsid w:val="003E3B20"/>
    <w:rsid w:val="003E3B23"/>
    <w:rsid w:val="003E3B40"/>
    <w:rsid w:val="003E3B6E"/>
    <w:rsid w:val="003E3C15"/>
    <w:rsid w:val="003E3C68"/>
    <w:rsid w:val="003E3C76"/>
    <w:rsid w:val="003E3D7F"/>
    <w:rsid w:val="003E3DF5"/>
    <w:rsid w:val="003E3E98"/>
    <w:rsid w:val="003E3EF6"/>
    <w:rsid w:val="003E3F10"/>
    <w:rsid w:val="003E3F69"/>
    <w:rsid w:val="003E4019"/>
    <w:rsid w:val="003E407D"/>
    <w:rsid w:val="003E408E"/>
    <w:rsid w:val="003E40CF"/>
    <w:rsid w:val="003E40FB"/>
    <w:rsid w:val="003E417D"/>
    <w:rsid w:val="003E41D5"/>
    <w:rsid w:val="003E41F4"/>
    <w:rsid w:val="003E420E"/>
    <w:rsid w:val="003E4223"/>
    <w:rsid w:val="003E4296"/>
    <w:rsid w:val="003E42A3"/>
    <w:rsid w:val="003E42A7"/>
    <w:rsid w:val="003E42BF"/>
    <w:rsid w:val="003E42E7"/>
    <w:rsid w:val="003E4365"/>
    <w:rsid w:val="003E4398"/>
    <w:rsid w:val="003E43D7"/>
    <w:rsid w:val="003E4404"/>
    <w:rsid w:val="003E4472"/>
    <w:rsid w:val="003E44DC"/>
    <w:rsid w:val="003E44E1"/>
    <w:rsid w:val="003E4536"/>
    <w:rsid w:val="003E4545"/>
    <w:rsid w:val="003E4631"/>
    <w:rsid w:val="003E4648"/>
    <w:rsid w:val="003E4664"/>
    <w:rsid w:val="003E468D"/>
    <w:rsid w:val="003E46A0"/>
    <w:rsid w:val="003E46B7"/>
    <w:rsid w:val="003E46BA"/>
    <w:rsid w:val="003E46BF"/>
    <w:rsid w:val="003E46C9"/>
    <w:rsid w:val="003E46E3"/>
    <w:rsid w:val="003E474F"/>
    <w:rsid w:val="003E47AD"/>
    <w:rsid w:val="003E47D2"/>
    <w:rsid w:val="003E485E"/>
    <w:rsid w:val="003E4899"/>
    <w:rsid w:val="003E4929"/>
    <w:rsid w:val="003E49A1"/>
    <w:rsid w:val="003E49ED"/>
    <w:rsid w:val="003E49F5"/>
    <w:rsid w:val="003E4A8F"/>
    <w:rsid w:val="003E4AD6"/>
    <w:rsid w:val="003E4B14"/>
    <w:rsid w:val="003E4B65"/>
    <w:rsid w:val="003E4BBD"/>
    <w:rsid w:val="003E4BC5"/>
    <w:rsid w:val="003E4C16"/>
    <w:rsid w:val="003E4C69"/>
    <w:rsid w:val="003E4C71"/>
    <w:rsid w:val="003E4C74"/>
    <w:rsid w:val="003E4C92"/>
    <w:rsid w:val="003E4CB9"/>
    <w:rsid w:val="003E4CC5"/>
    <w:rsid w:val="003E4CF3"/>
    <w:rsid w:val="003E4D00"/>
    <w:rsid w:val="003E4D04"/>
    <w:rsid w:val="003E4D07"/>
    <w:rsid w:val="003E4D1A"/>
    <w:rsid w:val="003E4D1E"/>
    <w:rsid w:val="003E4D65"/>
    <w:rsid w:val="003E4D9C"/>
    <w:rsid w:val="003E4DA3"/>
    <w:rsid w:val="003E4DCE"/>
    <w:rsid w:val="003E4E1B"/>
    <w:rsid w:val="003E4EAC"/>
    <w:rsid w:val="003E4ECE"/>
    <w:rsid w:val="003E4F10"/>
    <w:rsid w:val="003E4F16"/>
    <w:rsid w:val="003E4F4B"/>
    <w:rsid w:val="003E4F4E"/>
    <w:rsid w:val="003E4F62"/>
    <w:rsid w:val="003E5003"/>
    <w:rsid w:val="003E501C"/>
    <w:rsid w:val="003E50B5"/>
    <w:rsid w:val="003E50DB"/>
    <w:rsid w:val="003E50E5"/>
    <w:rsid w:val="003E50F7"/>
    <w:rsid w:val="003E50FA"/>
    <w:rsid w:val="003E5121"/>
    <w:rsid w:val="003E51B1"/>
    <w:rsid w:val="003E5213"/>
    <w:rsid w:val="003E5232"/>
    <w:rsid w:val="003E5256"/>
    <w:rsid w:val="003E5269"/>
    <w:rsid w:val="003E528A"/>
    <w:rsid w:val="003E52A9"/>
    <w:rsid w:val="003E52BF"/>
    <w:rsid w:val="003E52D9"/>
    <w:rsid w:val="003E52ED"/>
    <w:rsid w:val="003E5366"/>
    <w:rsid w:val="003E536A"/>
    <w:rsid w:val="003E5381"/>
    <w:rsid w:val="003E538B"/>
    <w:rsid w:val="003E53A5"/>
    <w:rsid w:val="003E53BE"/>
    <w:rsid w:val="003E5403"/>
    <w:rsid w:val="003E5409"/>
    <w:rsid w:val="003E540F"/>
    <w:rsid w:val="003E5413"/>
    <w:rsid w:val="003E543B"/>
    <w:rsid w:val="003E54AE"/>
    <w:rsid w:val="003E54DF"/>
    <w:rsid w:val="003E5511"/>
    <w:rsid w:val="003E5569"/>
    <w:rsid w:val="003E55C6"/>
    <w:rsid w:val="003E55E0"/>
    <w:rsid w:val="003E55E1"/>
    <w:rsid w:val="003E5620"/>
    <w:rsid w:val="003E563D"/>
    <w:rsid w:val="003E565E"/>
    <w:rsid w:val="003E56D8"/>
    <w:rsid w:val="003E572C"/>
    <w:rsid w:val="003E5740"/>
    <w:rsid w:val="003E576D"/>
    <w:rsid w:val="003E5773"/>
    <w:rsid w:val="003E57AF"/>
    <w:rsid w:val="003E57B3"/>
    <w:rsid w:val="003E57B6"/>
    <w:rsid w:val="003E57DD"/>
    <w:rsid w:val="003E580E"/>
    <w:rsid w:val="003E5836"/>
    <w:rsid w:val="003E5934"/>
    <w:rsid w:val="003E596B"/>
    <w:rsid w:val="003E5998"/>
    <w:rsid w:val="003E59B3"/>
    <w:rsid w:val="003E59F4"/>
    <w:rsid w:val="003E59F6"/>
    <w:rsid w:val="003E59FB"/>
    <w:rsid w:val="003E5A06"/>
    <w:rsid w:val="003E5A25"/>
    <w:rsid w:val="003E5A30"/>
    <w:rsid w:val="003E5A32"/>
    <w:rsid w:val="003E5A3A"/>
    <w:rsid w:val="003E5A47"/>
    <w:rsid w:val="003E5AAE"/>
    <w:rsid w:val="003E5AB0"/>
    <w:rsid w:val="003E5AB7"/>
    <w:rsid w:val="003E5AD2"/>
    <w:rsid w:val="003E5BAC"/>
    <w:rsid w:val="003E5BD0"/>
    <w:rsid w:val="003E5BD2"/>
    <w:rsid w:val="003E5BDA"/>
    <w:rsid w:val="003E5BF1"/>
    <w:rsid w:val="003E5C35"/>
    <w:rsid w:val="003E5C45"/>
    <w:rsid w:val="003E5C78"/>
    <w:rsid w:val="003E5C93"/>
    <w:rsid w:val="003E5CBD"/>
    <w:rsid w:val="003E5CCD"/>
    <w:rsid w:val="003E5CF6"/>
    <w:rsid w:val="003E5DC7"/>
    <w:rsid w:val="003E5DDC"/>
    <w:rsid w:val="003E5E01"/>
    <w:rsid w:val="003E5E28"/>
    <w:rsid w:val="003E5EA4"/>
    <w:rsid w:val="003E5ECA"/>
    <w:rsid w:val="003E5F0E"/>
    <w:rsid w:val="003E5F2D"/>
    <w:rsid w:val="003E5F6F"/>
    <w:rsid w:val="003E5F86"/>
    <w:rsid w:val="003E602E"/>
    <w:rsid w:val="003E6086"/>
    <w:rsid w:val="003E608E"/>
    <w:rsid w:val="003E60C2"/>
    <w:rsid w:val="003E60CB"/>
    <w:rsid w:val="003E60E9"/>
    <w:rsid w:val="003E610D"/>
    <w:rsid w:val="003E6116"/>
    <w:rsid w:val="003E6120"/>
    <w:rsid w:val="003E6137"/>
    <w:rsid w:val="003E6152"/>
    <w:rsid w:val="003E618A"/>
    <w:rsid w:val="003E61A6"/>
    <w:rsid w:val="003E61CF"/>
    <w:rsid w:val="003E61E5"/>
    <w:rsid w:val="003E6304"/>
    <w:rsid w:val="003E630C"/>
    <w:rsid w:val="003E6311"/>
    <w:rsid w:val="003E6347"/>
    <w:rsid w:val="003E63F2"/>
    <w:rsid w:val="003E63FF"/>
    <w:rsid w:val="003E6404"/>
    <w:rsid w:val="003E64E9"/>
    <w:rsid w:val="003E6547"/>
    <w:rsid w:val="003E6558"/>
    <w:rsid w:val="003E65DE"/>
    <w:rsid w:val="003E6697"/>
    <w:rsid w:val="003E669F"/>
    <w:rsid w:val="003E66BA"/>
    <w:rsid w:val="003E66C8"/>
    <w:rsid w:val="003E6728"/>
    <w:rsid w:val="003E6769"/>
    <w:rsid w:val="003E6773"/>
    <w:rsid w:val="003E679A"/>
    <w:rsid w:val="003E67A1"/>
    <w:rsid w:val="003E67B8"/>
    <w:rsid w:val="003E67BD"/>
    <w:rsid w:val="003E67CE"/>
    <w:rsid w:val="003E67E5"/>
    <w:rsid w:val="003E67EC"/>
    <w:rsid w:val="003E68D7"/>
    <w:rsid w:val="003E6913"/>
    <w:rsid w:val="003E6914"/>
    <w:rsid w:val="003E6974"/>
    <w:rsid w:val="003E69AB"/>
    <w:rsid w:val="003E6A37"/>
    <w:rsid w:val="003E6B02"/>
    <w:rsid w:val="003E6B2E"/>
    <w:rsid w:val="003E6B8C"/>
    <w:rsid w:val="003E6BAD"/>
    <w:rsid w:val="003E6BE4"/>
    <w:rsid w:val="003E6BEA"/>
    <w:rsid w:val="003E6C3B"/>
    <w:rsid w:val="003E6C76"/>
    <w:rsid w:val="003E6C83"/>
    <w:rsid w:val="003E6C8F"/>
    <w:rsid w:val="003E6CAA"/>
    <w:rsid w:val="003E6CBF"/>
    <w:rsid w:val="003E6CE2"/>
    <w:rsid w:val="003E6CF6"/>
    <w:rsid w:val="003E6D78"/>
    <w:rsid w:val="003E6DC3"/>
    <w:rsid w:val="003E6DE6"/>
    <w:rsid w:val="003E6E27"/>
    <w:rsid w:val="003E6E50"/>
    <w:rsid w:val="003E6E70"/>
    <w:rsid w:val="003E6E74"/>
    <w:rsid w:val="003E6E79"/>
    <w:rsid w:val="003E6EDA"/>
    <w:rsid w:val="003E6F04"/>
    <w:rsid w:val="003E6F1B"/>
    <w:rsid w:val="003E6F24"/>
    <w:rsid w:val="003E6F3C"/>
    <w:rsid w:val="003E6FB3"/>
    <w:rsid w:val="003E6FD4"/>
    <w:rsid w:val="003E703D"/>
    <w:rsid w:val="003E7053"/>
    <w:rsid w:val="003E7092"/>
    <w:rsid w:val="003E7134"/>
    <w:rsid w:val="003E7161"/>
    <w:rsid w:val="003E718D"/>
    <w:rsid w:val="003E71A7"/>
    <w:rsid w:val="003E71CC"/>
    <w:rsid w:val="003E7226"/>
    <w:rsid w:val="003E7260"/>
    <w:rsid w:val="003E726A"/>
    <w:rsid w:val="003E735C"/>
    <w:rsid w:val="003E7364"/>
    <w:rsid w:val="003E737E"/>
    <w:rsid w:val="003E73B0"/>
    <w:rsid w:val="003E73B7"/>
    <w:rsid w:val="003E73BD"/>
    <w:rsid w:val="003E7414"/>
    <w:rsid w:val="003E7452"/>
    <w:rsid w:val="003E7461"/>
    <w:rsid w:val="003E74AA"/>
    <w:rsid w:val="003E74B8"/>
    <w:rsid w:val="003E752D"/>
    <w:rsid w:val="003E7583"/>
    <w:rsid w:val="003E75BE"/>
    <w:rsid w:val="003E75FF"/>
    <w:rsid w:val="003E7634"/>
    <w:rsid w:val="003E7658"/>
    <w:rsid w:val="003E76A8"/>
    <w:rsid w:val="003E76D0"/>
    <w:rsid w:val="003E76F6"/>
    <w:rsid w:val="003E7727"/>
    <w:rsid w:val="003E778F"/>
    <w:rsid w:val="003E7838"/>
    <w:rsid w:val="003E784B"/>
    <w:rsid w:val="003E78BD"/>
    <w:rsid w:val="003E7954"/>
    <w:rsid w:val="003E7A0A"/>
    <w:rsid w:val="003E7A59"/>
    <w:rsid w:val="003E7A8F"/>
    <w:rsid w:val="003E7ACD"/>
    <w:rsid w:val="003E7AD5"/>
    <w:rsid w:val="003E7ADF"/>
    <w:rsid w:val="003E7B36"/>
    <w:rsid w:val="003E7B4D"/>
    <w:rsid w:val="003E7B68"/>
    <w:rsid w:val="003E7B99"/>
    <w:rsid w:val="003E7BDD"/>
    <w:rsid w:val="003E7BF9"/>
    <w:rsid w:val="003E7C37"/>
    <w:rsid w:val="003E7C40"/>
    <w:rsid w:val="003E7C47"/>
    <w:rsid w:val="003E7C73"/>
    <w:rsid w:val="003E7CAB"/>
    <w:rsid w:val="003E7D21"/>
    <w:rsid w:val="003E7D42"/>
    <w:rsid w:val="003E7D81"/>
    <w:rsid w:val="003E7DFE"/>
    <w:rsid w:val="003E7E24"/>
    <w:rsid w:val="003E7E4D"/>
    <w:rsid w:val="003E7EA0"/>
    <w:rsid w:val="003E7EA3"/>
    <w:rsid w:val="003E7EAA"/>
    <w:rsid w:val="003E7F16"/>
    <w:rsid w:val="003E7F1B"/>
    <w:rsid w:val="003E7F1C"/>
    <w:rsid w:val="003E7F1D"/>
    <w:rsid w:val="003E7F6E"/>
    <w:rsid w:val="003E7FDE"/>
    <w:rsid w:val="003F003F"/>
    <w:rsid w:val="003F005A"/>
    <w:rsid w:val="003F005C"/>
    <w:rsid w:val="003F010C"/>
    <w:rsid w:val="003F0134"/>
    <w:rsid w:val="003F0149"/>
    <w:rsid w:val="003F0154"/>
    <w:rsid w:val="003F016D"/>
    <w:rsid w:val="003F01BA"/>
    <w:rsid w:val="003F01E5"/>
    <w:rsid w:val="003F01E9"/>
    <w:rsid w:val="003F01F9"/>
    <w:rsid w:val="003F021F"/>
    <w:rsid w:val="003F022C"/>
    <w:rsid w:val="003F0251"/>
    <w:rsid w:val="003F0279"/>
    <w:rsid w:val="003F02A6"/>
    <w:rsid w:val="003F030A"/>
    <w:rsid w:val="003F0341"/>
    <w:rsid w:val="003F035C"/>
    <w:rsid w:val="003F0363"/>
    <w:rsid w:val="003F03AD"/>
    <w:rsid w:val="003F03BA"/>
    <w:rsid w:val="003F03C5"/>
    <w:rsid w:val="003F03CF"/>
    <w:rsid w:val="003F03DC"/>
    <w:rsid w:val="003F03EE"/>
    <w:rsid w:val="003F0462"/>
    <w:rsid w:val="003F0469"/>
    <w:rsid w:val="003F04CA"/>
    <w:rsid w:val="003F04CD"/>
    <w:rsid w:val="003F04E9"/>
    <w:rsid w:val="003F04F4"/>
    <w:rsid w:val="003F04F6"/>
    <w:rsid w:val="003F051C"/>
    <w:rsid w:val="003F058B"/>
    <w:rsid w:val="003F05F8"/>
    <w:rsid w:val="003F0630"/>
    <w:rsid w:val="003F0650"/>
    <w:rsid w:val="003F0661"/>
    <w:rsid w:val="003F066C"/>
    <w:rsid w:val="003F0677"/>
    <w:rsid w:val="003F068E"/>
    <w:rsid w:val="003F06BE"/>
    <w:rsid w:val="003F06F1"/>
    <w:rsid w:val="003F0738"/>
    <w:rsid w:val="003F0761"/>
    <w:rsid w:val="003F0797"/>
    <w:rsid w:val="003F0825"/>
    <w:rsid w:val="003F0842"/>
    <w:rsid w:val="003F08CA"/>
    <w:rsid w:val="003F08CD"/>
    <w:rsid w:val="003F0904"/>
    <w:rsid w:val="003F098A"/>
    <w:rsid w:val="003F09AF"/>
    <w:rsid w:val="003F0A44"/>
    <w:rsid w:val="003F0A78"/>
    <w:rsid w:val="003F0AB6"/>
    <w:rsid w:val="003F0B22"/>
    <w:rsid w:val="003F0B7E"/>
    <w:rsid w:val="003F0B9E"/>
    <w:rsid w:val="003F0C08"/>
    <w:rsid w:val="003F0C1F"/>
    <w:rsid w:val="003F0CA3"/>
    <w:rsid w:val="003F0D64"/>
    <w:rsid w:val="003F0DD7"/>
    <w:rsid w:val="003F0E3C"/>
    <w:rsid w:val="003F0F22"/>
    <w:rsid w:val="003F0F32"/>
    <w:rsid w:val="003F0F48"/>
    <w:rsid w:val="003F0F94"/>
    <w:rsid w:val="003F0FBE"/>
    <w:rsid w:val="003F0FC8"/>
    <w:rsid w:val="003F0FCE"/>
    <w:rsid w:val="003F1005"/>
    <w:rsid w:val="003F101D"/>
    <w:rsid w:val="003F108E"/>
    <w:rsid w:val="003F111C"/>
    <w:rsid w:val="003F1141"/>
    <w:rsid w:val="003F1154"/>
    <w:rsid w:val="003F1172"/>
    <w:rsid w:val="003F118C"/>
    <w:rsid w:val="003F1198"/>
    <w:rsid w:val="003F120F"/>
    <w:rsid w:val="003F1231"/>
    <w:rsid w:val="003F124E"/>
    <w:rsid w:val="003F128E"/>
    <w:rsid w:val="003F130D"/>
    <w:rsid w:val="003F132D"/>
    <w:rsid w:val="003F1349"/>
    <w:rsid w:val="003F13D7"/>
    <w:rsid w:val="003F13E3"/>
    <w:rsid w:val="003F13F1"/>
    <w:rsid w:val="003F13F3"/>
    <w:rsid w:val="003F1402"/>
    <w:rsid w:val="003F141F"/>
    <w:rsid w:val="003F1422"/>
    <w:rsid w:val="003F1498"/>
    <w:rsid w:val="003F14E3"/>
    <w:rsid w:val="003F1530"/>
    <w:rsid w:val="003F1583"/>
    <w:rsid w:val="003F15B6"/>
    <w:rsid w:val="003F15C5"/>
    <w:rsid w:val="003F15EA"/>
    <w:rsid w:val="003F1616"/>
    <w:rsid w:val="003F1660"/>
    <w:rsid w:val="003F16A5"/>
    <w:rsid w:val="003F16DB"/>
    <w:rsid w:val="003F171D"/>
    <w:rsid w:val="003F173D"/>
    <w:rsid w:val="003F17C0"/>
    <w:rsid w:val="003F17D1"/>
    <w:rsid w:val="003F17E3"/>
    <w:rsid w:val="003F183B"/>
    <w:rsid w:val="003F1845"/>
    <w:rsid w:val="003F1911"/>
    <w:rsid w:val="003F1958"/>
    <w:rsid w:val="003F1A11"/>
    <w:rsid w:val="003F1A12"/>
    <w:rsid w:val="003F1A6E"/>
    <w:rsid w:val="003F1ABA"/>
    <w:rsid w:val="003F1AD7"/>
    <w:rsid w:val="003F1AFF"/>
    <w:rsid w:val="003F1B09"/>
    <w:rsid w:val="003F1B15"/>
    <w:rsid w:val="003F1B3F"/>
    <w:rsid w:val="003F1B9F"/>
    <w:rsid w:val="003F1BD6"/>
    <w:rsid w:val="003F1BE8"/>
    <w:rsid w:val="003F1BFC"/>
    <w:rsid w:val="003F1C01"/>
    <w:rsid w:val="003F1C0B"/>
    <w:rsid w:val="003F1C1A"/>
    <w:rsid w:val="003F1C5F"/>
    <w:rsid w:val="003F1C79"/>
    <w:rsid w:val="003F1CA3"/>
    <w:rsid w:val="003F1CAD"/>
    <w:rsid w:val="003F1CC6"/>
    <w:rsid w:val="003F1D39"/>
    <w:rsid w:val="003F1D8D"/>
    <w:rsid w:val="003F1DB9"/>
    <w:rsid w:val="003F1DD5"/>
    <w:rsid w:val="003F1DFF"/>
    <w:rsid w:val="003F1E4D"/>
    <w:rsid w:val="003F1F00"/>
    <w:rsid w:val="003F1F46"/>
    <w:rsid w:val="003F1FAC"/>
    <w:rsid w:val="003F1FE5"/>
    <w:rsid w:val="003F2017"/>
    <w:rsid w:val="003F2039"/>
    <w:rsid w:val="003F20A9"/>
    <w:rsid w:val="003F20F3"/>
    <w:rsid w:val="003F20FD"/>
    <w:rsid w:val="003F2120"/>
    <w:rsid w:val="003F2131"/>
    <w:rsid w:val="003F216B"/>
    <w:rsid w:val="003F21B7"/>
    <w:rsid w:val="003F21E2"/>
    <w:rsid w:val="003F21E5"/>
    <w:rsid w:val="003F2250"/>
    <w:rsid w:val="003F225F"/>
    <w:rsid w:val="003F226D"/>
    <w:rsid w:val="003F2296"/>
    <w:rsid w:val="003F22A3"/>
    <w:rsid w:val="003F22C7"/>
    <w:rsid w:val="003F2317"/>
    <w:rsid w:val="003F2334"/>
    <w:rsid w:val="003F2357"/>
    <w:rsid w:val="003F23F0"/>
    <w:rsid w:val="003F2424"/>
    <w:rsid w:val="003F2465"/>
    <w:rsid w:val="003F24C2"/>
    <w:rsid w:val="003F24FB"/>
    <w:rsid w:val="003F253C"/>
    <w:rsid w:val="003F254F"/>
    <w:rsid w:val="003F259E"/>
    <w:rsid w:val="003F25A3"/>
    <w:rsid w:val="003F25DB"/>
    <w:rsid w:val="003F25DD"/>
    <w:rsid w:val="003F2615"/>
    <w:rsid w:val="003F2650"/>
    <w:rsid w:val="003F26D5"/>
    <w:rsid w:val="003F276A"/>
    <w:rsid w:val="003F27E7"/>
    <w:rsid w:val="003F2829"/>
    <w:rsid w:val="003F2866"/>
    <w:rsid w:val="003F2887"/>
    <w:rsid w:val="003F288E"/>
    <w:rsid w:val="003F28BF"/>
    <w:rsid w:val="003F28E5"/>
    <w:rsid w:val="003F2932"/>
    <w:rsid w:val="003F2958"/>
    <w:rsid w:val="003F295D"/>
    <w:rsid w:val="003F2983"/>
    <w:rsid w:val="003F29A2"/>
    <w:rsid w:val="003F29A5"/>
    <w:rsid w:val="003F29D2"/>
    <w:rsid w:val="003F2A02"/>
    <w:rsid w:val="003F2A40"/>
    <w:rsid w:val="003F2A62"/>
    <w:rsid w:val="003F2AAA"/>
    <w:rsid w:val="003F2ADF"/>
    <w:rsid w:val="003F2B44"/>
    <w:rsid w:val="003F2B48"/>
    <w:rsid w:val="003F2B6B"/>
    <w:rsid w:val="003F2BC9"/>
    <w:rsid w:val="003F2BF4"/>
    <w:rsid w:val="003F2C5B"/>
    <w:rsid w:val="003F2C72"/>
    <w:rsid w:val="003F2C9E"/>
    <w:rsid w:val="003F2CD0"/>
    <w:rsid w:val="003F2CD2"/>
    <w:rsid w:val="003F2CF5"/>
    <w:rsid w:val="003F2DC4"/>
    <w:rsid w:val="003F2E32"/>
    <w:rsid w:val="003F2E36"/>
    <w:rsid w:val="003F2E43"/>
    <w:rsid w:val="003F2E48"/>
    <w:rsid w:val="003F2E6B"/>
    <w:rsid w:val="003F2E7E"/>
    <w:rsid w:val="003F2EA3"/>
    <w:rsid w:val="003F2F82"/>
    <w:rsid w:val="003F2FB9"/>
    <w:rsid w:val="003F2FBA"/>
    <w:rsid w:val="003F2FC3"/>
    <w:rsid w:val="003F2FD7"/>
    <w:rsid w:val="003F2FDF"/>
    <w:rsid w:val="003F2FF6"/>
    <w:rsid w:val="003F3022"/>
    <w:rsid w:val="003F304A"/>
    <w:rsid w:val="003F30C7"/>
    <w:rsid w:val="003F30FF"/>
    <w:rsid w:val="003F31A2"/>
    <w:rsid w:val="003F31D3"/>
    <w:rsid w:val="003F326E"/>
    <w:rsid w:val="003F3283"/>
    <w:rsid w:val="003F32D4"/>
    <w:rsid w:val="003F337D"/>
    <w:rsid w:val="003F33C1"/>
    <w:rsid w:val="003F3407"/>
    <w:rsid w:val="003F347F"/>
    <w:rsid w:val="003F3486"/>
    <w:rsid w:val="003F34E8"/>
    <w:rsid w:val="003F3517"/>
    <w:rsid w:val="003F3521"/>
    <w:rsid w:val="003F352F"/>
    <w:rsid w:val="003F357C"/>
    <w:rsid w:val="003F35CB"/>
    <w:rsid w:val="003F3740"/>
    <w:rsid w:val="003F3759"/>
    <w:rsid w:val="003F375F"/>
    <w:rsid w:val="003F3791"/>
    <w:rsid w:val="003F37BC"/>
    <w:rsid w:val="003F37BD"/>
    <w:rsid w:val="003F380B"/>
    <w:rsid w:val="003F38A3"/>
    <w:rsid w:val="003F38CD"/>
    <w:rsid w:val="003F38ED"/>
    <w:rsid w:val="003F3946"/>
    <w:rsid w:val="003F3958"/>
    <w:rsid w:val="003F3A2F"/>
    <w:rsid w:val="003F3A8E"/>
    <w:rsid w:val="003F3ABF"/>
    <w:rsid w:val="003F3AFD"/>
    <w:rsid w:val="003F3B07"/>
    <w:rsid w:val="003F3B3A"/>
    <w:rsid w:val="003F3B5A"/>
    <w:rsid w:val="003F3BA2"/>
    <w:rsid w:val="003F3BAE"/>
    <w:rsid w:val="003F3BCC"/>
    <w:rsid w:val="003F3BD1"/>
    <w:rsid w:val="003F3C12"/>
    <w:rsid w:val="003F3C62"/>
    <w:rsid w:val="003F3C86"/>
    <w:rsid w:val="003F3CA8"/>
    <w:rsid w:val="003F3CBA"/>
    <w:rsid w:val="003F3D1D"/>
    <w:rsid w:val="003F3DA3"/>
    <w:rsid w:val="003F3DB9"/>
    <w:rsid w:val="003F3DCE"/>
    <w:rsid w:val="003F3DE5"/>
    <w:rsid w:val="003F3E10"/>
    <w:rsid w:val="003F3E4B"/>
    <w:rsid w:val="003F3E59"/>
    <w:rsid w:val="003F3E61"/>
    <w:rsid w:val="003F3E6E"/>
    <w:rsid w:val="003F3E79"/>
    <w:rsid w:val="003F3ED7"/>
    <w:rsid w:val="003F3F7E"/>
    <w:rsid w:val="003F3FB0"/>
    <w:rsid w:val="003F3FEC"/>
    <w:rsid w:val="003F3FF6"/>
    <w:rsid w:val="003F4072"/>
    <w:rsid w:val="003F40D6"/>
    <w:rsid w:val="003F40E7"/>
    <w:rsid w:val="003F4110"/>
    <w:rsid w:val="003F4120"/>
    <w:rsid w:val="003F4138"/>
    <w:rsid w:val="003F413D"/>
    <w:rsid w:val="003F41C8"/>
    <w:rsid w:val="003F41DC"/>
    <w:rsid w:val="003F41ED"/>
    <w:rsid w:val="003F41F5"/>
    <w:rsid w:val="003F4210"/>
    <w:rsid w:val="003F425F"/>
    <w:rsid w:val="003F42C2"/>
    <w:rsid w:val="003F42CF"/>
    <w:rsid w:val="003F42F1"/>
    <w:rsid w:val="003F434E"/>
    <w:rsid w:val="003F4354"/>
    <w:rsid w:val="003F4363"/>
    <w:rsid w:val="003F43B0"/>
    <w:rsid w:val="003F43E4"/>
    <w:rsid w:val="003F43E9"/>
    <w:rsid w:val="003F447D"/>
    <w:rsid w:val="003F4494"/>
    <w:rsid w:val="003F44BC"/>
    <w:rsid w:val="003F4511"/>
    <w:rsid w:val="003F453C"/>
    <w:rsid w:val="003F455D"/>
    <w:rsid w:val="003F4564"/>
    <w:rsid w:val="003F4566"/>
    <w:rsid w:val="003F4596"/>
    <w:rsid w:val="003F45B2"/>
    <w:rsid w:val="003F45B9"/>
    <w:rsid w:val="003F4674"/>
    <w:rsid w:val="003F467F"/>
    <w:rsid w:val="003F468B"/>
    <w:rsid w:val="003F4692"/>
    <w:rsid w:val="003F46A5"/>
    <w:rsid w:val="003F46BB"/>
    <w:rsid w:val="003F46D3"/>
    <w:rsid w:val="003F470D"/>
    <w:rsid w:val="003F4751"/>
    <w:rsid w:val="003F475E"/>
    <w:rsid w:val="003F477F"/>
    <w:rsid w:val="003F4785"/>
    <w:rsid w:val="003F4789"/>
    <w:rsid w:val="003F483C"/>
    <w:rsid w:val="003F483E"/>
    <w:rsid w:val="003F484A"/>
    <w:rsid w:val="003F489E"/>
    <w:rsid w:val="003F48C0"/>
    <w:rsid w:val="003F48C8"/>
    <w:rsid w:val="003F48D6"/>
    <w:rsid w:val="003F4921"/>
    <w:rsid w:val="003F4928"/>
    <w:rsid w:val="003F492D"/>
    <w:rsid w:val="003F4943"/>
    <w:rsid w:val="003F498D"/>
    <w:rsid w:val="003F4993"/>
    <w:rsid w:val="003F49C1"/>
    <w:rsid w:val="003F4ACC"/>
    <w:rsid w:val="003F4B11"/>
    <w:rsid w:val="003F4BE3"/>
    <w:rsid w:val="003F4BFE"/>
    <w:rsid w:val="003F4C0D"/>
    <w:rsid w:val="003F4C1F"/>
    <w:rsid w:val="003F4C25"/>
    <w:rsid w:val="003F4C2A"/>
    <w:rsid w:val="003F4C6C"/>
    <w:rsid w:val="003F4C8C"/>
    <w:rsid w:val="003F4CAD"/>
    <w:rsid w:val="003F4CB2"/>
    <w:rsid w:val="003F4D05"/>
    <w:rsid w:val="003F4D3C"/>
    <w:rsid w:val="003F4D6D"/>
    <w:rsid w:val="003F4D8F"/>
    <w:rsid w:val="003F4E1C"/>
    <w:rsid w:val="003F4E44"/>
    <w:rsid w:val="003F4E81"/>
    <w:rsid w:val="003F4FA8"/>
    <w:rsid w:val="003F5102"/>
    <w:rsid w:val="003F5109"/>
    <w:rsid w:val="003F5152"/>
    <w:rsid w:val="003F515C"/>
    <w:rsid w:val="003F528B"/>
    <w:rsid w:val="003F52D6"/>
    <w:rsid w:val="003F5362"/>
    <w:rsid w:val="003F5385"/>
    <w:rsid w:val="003F538B"/>
    <w:rsid w:val="003F542F"/>
    <w:rsid w:val="003F5430"/>
    <w:rsid w:val="003F5454"/>
    <w:rsid w:val="003F5467"/>
    <w:rsid w:val="003F5496"/>
    <w:rsid w:val="003F54E3"/>
    <w:rsid w:val="003F5507"/>
    <w:rsid w:val="003F551B"/>
    <w:rsid w:val="003F555E"/>
    <w:rsid w:val="003F5589"/>
    <w:rsid w:val="003F5591"/>
    <w:rsid w:val="003F559F"/>
    <w:rsid w:val="003F55C9"/>
    <w:rsid w:val="003F55F2"/>
    <w:rsid w:val="003F560A"/>
    <w:rsid w:val="003F5636"/>
    <w:rsid w:val="003F563F"/>
    <w:rsid w:val="003F5666"/>
    <w:rsid w:val="003F56B9"/>
    <w:rsid w:val="003F56C0"/>
    <w:rsid w:val="003F56F4"/>
    <w:rsid w:val="003F5704"/>
    <w:rsid w:val="003F575B"/>
    <w:rsid w:val="003F578A"/>
    <w:rsid w:val="003F5791"/>
    <w:rsid w:val="003F57A6"/>
    <w:rsid w:val="003F57B5"/>
    <w:rsid w:val="003F57CD"/>
    <w:rsid w:val="003F57E4"/>
    <w:rsid w:val="003F57F0"/>
    <w:rsid w:val="003F57FF"/>
    <w:rsid w:val="003F58A0"/>
    <w:rsid w:val="003F58B6"/>
    <w:rsid w:val="003F599A"/>
    <w:rsid w:val="003F59AD"/>
    <w:rsid w:val="003F5A02"/>
    <w:rsid w:val="003F5A49"/>
    <w:rsid w:val="003F5AC9"/>
    <w:rsid w:val="003F5ACC"/>
    <w:rsid w:val="003F5B58"/>
    <w:rsid w:val="003F5B76"/>
    <w:rsid w:val="003F5B83"/>
    <w:rsid w:val="003F5B8D"/>
    <w:rsid w:val="003F5BA1"/>
    <w:rsid w:val="003F5BF7"/>
    <w:rsid w:val="003F5C1E"/>
    <w:rsid w:val="003F5C2C"/>
    <w:rsid w:val="003F5CD8"/>
    <w:rsid w:val="003F5D22"/>
    <w:rsid w:val="003F5D88"/>
    <w:rsid w:val="003F5D8A"/>
    <w:rsid w:val="003F5DEB"/>
    <w:rsid w:val="003F5DF3"/>
    <w:rsid w:val="003F5E03"/>
    <w:rsid w:val="003F5E0B"/>
    <w:rsid w:val="003F5E35"/>
    <w:rsid w:val="003F5E3B"/>
    <w:rsid w:val="003F5EFB"/>
    <w:rsid w:val="003F5F2B"/>
    <w:rsid w:val="003F5F36"/>
    <w:rsid w:val="003F5F7A"/>
    <w:rsid w:val="003F5F9A"/>
    <w:rsid w:val="003F5F9C"/>
    <w:rsid w:val="003F5FA8"/>
    <w:rsid w:val="003F5FAC"/>
    <w:rsid w:val="003F5FC3"/>
    <w:rsid w:val="003F6037"/>
    <w:rsid w:val="003F6042"/>
    <w:rsid w:val="003F6088"/>
    <w:rsid w:val="003F60C6"/>
    <w:rsid w:val="003F60CD"/>
    <w:rsid w:val="003F60F2"/>
    <w:rsid w:val="003F6124"/>
    <w:rsid w:val="003F6198"/>
    <w:rsid w:val="003F6210"/>
    <w:rsid w:val="003F62FC"/>
    <w:rsid w:val="003F633C"/>
    <w:rsid w:val="003F6380"/>
    <w:rsid w:val="003F6392"/>
    <w:rsid w:val="003F63C5"/>
    <w:rsid w:val="003F63C9"/>
    <w:rsid w:val="003F63CB"/>
    <w:rsid w:val="003F6432"/>
    <w:rsid w:val="003F6446"/>
    <w:rsid w:val="003F6459"/>
    <w:rsid w:val="003F646A"/>
    <w:rsid w:val="003F64B9"/>
    <w:rsid w:val="003F64D5"/>
    <w:rsid w:val="003F64DB"/>
    <w:rsid w:val="003F64F1"/>
    <w:rsid w:val="003F6516"/>
    <w:rsid w:val="003F6589"/>
    <w:rsid w:val="003F65AD"/>
    <w:rsid w:val="003F65EA"/>
    <w:rsid w:val="003F6621"/>
    <w:rsid w:val="003F6652"/>
    <w:rsid w:val="003F6686"/>
    <w:rsid w:val="003F66B4"/>
    <w:rsid w:val="003F66F8"/>
    <w:rsid w:val="003F6743"/>
    <w:rsid w:val="003F6858"/>
    <w:rsid w:val="003F688E"/>
    <w:rsid w:val="003F68B9"/>
    <w:rsid w:val="003F68BA"/>
    <w:rsid w:val="003F6950"/>
    <w:rsid w:val="003F695C"/>
    <w:rsid w:val="003F6965"/>
    <w:rsid w:val="003F6999"/>
    <w:rsid w:val="003F6A1F"/>
    <w:rsid w:val="003F6A8B"/>
    <w:rsid w:val="003F6AAC"/>
    <w:rsid w:val="003F6AD3"/>
    <w:rsid w:val="003F6B00"/>
    <w:rsid w:val="003F6B08"/>
    <w:rsid w:val="003F6B11"/>
    <w:rsid w:val="003F6B2F"/>
    <w:rsid w:val="003F6B7F"/>
    <w:rsid w:val="003F6B84"/>
    <w:rsid w:val="003F6B98"/>
    <w:rsid w:val="003F6BD0"/>
    <w:rsid w:val="003F6BEA"/>
    <w:rsid w:val="003F6C01"/>
    <w:rsid w:val="003F6C04"/>
    <w:rsid w:val="003F6C0A"/>
    <w:rsid w:val="003F6C0E"/>
    <w:rsid w:val="003F6C75"/>
    <w:rsid w:val="003F6C89"/>
    <w:rsid w:val="003F6D33"/>
    <w:rsid w:val="003F6D35"/>
    <w:rsid w:val="003F6DBA"/>
    <w:rsid w:val="003F6E0E"/>
    <w:rsid w:val="003F6E21"/>
    <w:rsid w:val="003F6E4B"/>
    <w:rsid w:val="003F6E89"/>
    <w:rsid w:val="003F6EB5"/>
    <w:rsid w:val="003F6EC2"/>
    <w:rsid w:val="003F6F19"/>
    <w:rsid w:val="003F6F2C"/>
    <w:rsid w:val="003F6F2E"/>
    <w:rsid w:val="003F6F30"/>
    <w:rsid w:val="003F6F4B"/>
    <w:rsid w:val="003F6F52"/>
    <w:rsid w:val="003F6F99"/>
    <w:rsid w:val="003F6FB2"/>
    <w:rsid w:val="003F6FD3"/>
    <w:rsid w:val="003F70B4"/>
    <w:rsid w:val="003F7144"/>
    <w:rsid w:val="003F7161"/>
    <w:rsid w:val="003F7175"/>
    <w:rsid w:val="003F71F3"/>
    <w:rsid w:val="003F7204"/>
    <w:rsid w:val="003F7234"/>
    <w:rsid w:val="003F7245"/>
    <w:rsid w:val="003F72AA"/>
    <w:rsid w:val="003F72AE"/>
    <w:rsid w:val="003F736F"/>
    <w:rsid w:val="003F73E6"/>
    <w:rsid w:val="003F741E"/>
    <w:rsid w:val="003F743D"/>
    <w:rsid w:val="003F7464"/>
    <w:rsid w:val="003F74D5"/>
    <w:rsid w:val="003F7541"/>
    <w:rsid w:val="003F7543"/>
    <w:rsid w:val="003F7564"/>
    <w:rsid w:val="003F7598"/>
    <w:rsid w:val="003F75CD"/>
    <w:rsid w:val="003F75D8"/>
    <w:rsid w:val="003F75DA"/>
    <w:rsid w:val="003F75FE"/>
    <w:rsid w:val="003F7636"/>
    <w:rsid w:val="003F769C"/>
    <w:rsid w:val="003F76F1"/>
    <w:rsid w:val="003F7702"/>
    <w:rsid w:val="003F7705"/>
    <w:rsid w:val="003F7722"/>
    <w:rsid w:val="003F7728"/>
    <w:rsid w:val="003F7749"/>
    <w:rsid w:val="003F7782"/>
    <w:rsid w:val="003F7803"/>
    <w:rsid w:val="003F780D"/>
    <w:rsid w:val="003F789B"/>
    <w:rsid w:val="003F7959"/>
    <w:rsid w:val="003F7962"/>
    <w:rsid w:val="003F7977"/>
    <w:rsid w:val="003F797E"/>
    <w:rsid w:val="003F7A48"/>
    <w:rsid w:val="003F7A5C"/>
    <w:rsid w:val="003F7A8C"/>
    <w:rsid w:val="003F7AA4"/>
    <w:rsid w:val="003F7AE8"/>
    <w:rsid w:val="003F7B90"/>
    <w:rsid w:val="003F7BA3"/>
    <w:rsid w:val="003F7BB7"/>
    <w:rsid w:val="003F7C13"/>
    <w:rsid w:val="003F7C1A"/>
    <w:rsid w:val="003F7C42"/>
    <w:rsid w:val="003F7CA5"/>
    <w:rsid w:val="003F7CC6"/>
    <w:rsid w:val="003F7CD3"/>
    <w:rsid w:val="003F7DBD"/>
    <w:rsid w:val="003F7DFC"/>
    <w:rsid w:val="003F7E3A"/>
    <w:rsid w:val="003F7E5E"/>
    <w:rsid w:val="003F7E99"/>
    <w:rsid w:val="003F7EA1"/>
    <w:rsid w:val="003F7EA2"/>
    <w:rsid w:val="003F7ED7"/>
    <w:rsid w:val="003F7EDF"/>
    <w:rsid w:val="003F7EED"/>
    <w:rsid w:val="003F7F1E"/>
    <w:rsid w:val="003F7F25"/>
    <w:rsid w:val="003F7FBA"/>
    <w:rsid w:val="00400030"/>
    <w:rsid w:val="00400048"/>
    <w:rsid w:val="00400071"/>
    <w:rsid w:val="00400077"/>
    <w:rsid w:val="0040007D"/>
    <w:rsid w:val="00400089"/>
    <w:rsid w:val="0040009E"/>
    <w:rsid w:val="004000C3"/>
    <w:rsid w:val="004000FA"/>
    <w:rsid w:val="00400139"/>
    <w:rsid w:val="0040014D"/>
    <w:rsid w:val="0040015F"/>
    <w:rsid w:val="00400170"/>
    <w:rsid w:val="00400225"/>
    <w:rsid w:val="00400239"/>
    <w:rsid w:val="00400264"/>
    <w:rsid w:val="00400267"/>
    <w:rsid w:val="00400293"/>
    <w:rsid w:val="004002A1"/>
    <w:rsid w:val="004002A2"/>
    <w:rsid w:val="004002B9"/>
    <w:rsid w:val="004002E8"/>
    <w:rsid w:val="00400302"/>
    <w:rsid w:val="0040030E"/>
    <w:rsid w:val="00400347"/>
    <w:rsid w:val="00400381"/>
    <w:rsid w:val="004003D9"/>
    <w:rsid w:val="0040042C"/>
    <w:rsid w:val="004004C6"/>
    <w:rsid w:val="004004EF"/>
    <w:rsid w:val="0040053C"/>
    <w:rsid w:val="00400542"/>
    <w:rsid w:val="0040058C"/>
    <w:rsid w:val="004005AF"/>
    <w:rsid w:val="004005B5"/>
    <w:rsid w:val="004005DC"/>
    <w:rsid w:val="0040060E"/>
    <w:rsid w:val="0040068C"/>
    <w:rsid w:val="00400733"/>
    <w:rsid w:val="004007AB"/>
    <w:rsid w:val="004007B4"/>
    <w:rsid w:val="004007C2"/>
    <w:rsid w:val="00400803"/>
    <w:rsid w:val="0040080C"/>
    <w:rsid w:val="00400823"/>
    <w:rsid w:val="0040083D"/>
    <w:rsid w:val="00400862"/>
    <w:rsid w:val="00400918"/>
    <w:rsid w:val="0040093E"/>
    <w:rsid w:val="0040095C"/>
    <w:rsid w:val="0040096D"/>
    <w:rsid w:val="0040098E"/>
    <w:rsid w:val="0040099A"/>
    <w:rsid w:val="004009A0"/>
    <w:rsid w:val="004009E6"/>
    <w:rsid w:val="00400A0B"/>
    <w:rsid w:val="00400A3C"/>
    <w:rsid w:val="00400A47"/>
    <w:rsid w:val="00400A72"/>
    <w:rsid w:val="00400A7C"/>
    <w:rsid w:val="00400A81"/>
    <w:rsid w:val="00400A96"/>
    <w:rsid w:val="00400A9C"/>
    <w:rsid w:val="00400AA7"/>
    <w:rsid w:val="00400B22"/>
    <w:rsid w:val="00400B3C"/>
    <w:rsid w:val="00400B98"/>
    <w:rsid w:val="00400C2A"/>
    <w:rsid w:val="00400CBA"/>
    <w:rsid w:val="00400CCC"/>
    <w:rsid w:val="00400D06"/>
    <w:rsid w:val="00400D0E"/>
    <w:rsid w:val="00400D27"/>
    <w:rsid w:val="00400D5A"/>
    <w:rsid w:val="00400D87"/>
    <w:rsid w:val="00400D98"/>
    <w:rsid w:val="00400DAB"/>
    <w:rsid w:val="00400DAC"/>
    <w:rsid w:val="00400DF1"/>
    <w:rsid w:val="00400E42"/>
    <w:rsid w:val="00400E7E"/>
    <w:rsid w:val="00400EAB"/>
    <w:rsid w:val="00400F12"/>
    <w:rsid w:val="00400F4A"/>
    <w:rsid w:val="00400F68"/>
    <w:rsid w:val="00400F88"/>
    <w:rsid w:val="00400FA9"/>
    <w:rsid w:val="00400FC6"/>
    <w:rsid w:val="00400FDA"/>
    <w:rsid w:val="00401043"/>
    <w:rsid w:val="0040107B"/>
    <w:rsid w:val="00401084"/>
    <w:rsid w:val="00401094"/>
    <w:rsid w:val="004010EB"/>
    <w:rsid w:val="004010ED"/>
    <w:rsid w:val="00401179"/>
    <w:rsid w:val="004011CE"/>
    <w:rsid w:val="004011E8"/>
    <w:rsid w:val="00401218"/>
    <w:rsid w:val="00401239"/>
    <w:rsid w:val="0040128B"/>
    <w:rsid w:val="004012B5"/>
    <w:rsid w:val="004012D2"/>
    <w:rsid w:val="004012DC"/>
    <w:rsid w:val="004012F9"/>
    <w:rsid w:val="00401329"/>
    <w:rsid w:val="00401373"/>
    <w:rsid w:val="004013EF"/>
    <w:rsid w:val="00401420"/>
    <w:rsid w:val="00401421"/>
    <w:rsid w:val="0040149A"/>
    <w:rsid w:val="00401505"/>
    <w:rsid w:val="00401538"/>
    <w:rsid w:val="0040153E"/>
    <w:rsid w:val="00401585"/>
    <w:rsid w:val="004015C0"/>
    <w:rsid w:val="004015D1"/>
    <w:rsid w:val="004015EF"/>
    <w:rsid w:val="00401639"/>
    <w:rsid w:val="004016A2"/>
    <w:rsid w:val="004016FA"/>
    <w:rsid w:val="00401700"/>
    <w:rsid w:val="00401732"/>
    <w:rsid w:val="004017AD"/>
    <w:rsid w:val="004017CE"/>
    <w:rsid w:val="004017F8"/>
    <w:rsid w:val="004018A0"/>
    <w:rsid w:val="004018AC"/>
    <w:rsid w:val="004018BF"/>
    <w:rsid w:val="004018F7"/>
    <w:rsid w:val="00401921"/>
    <w:rsid w:val="00401922"/>
    <w:rsid w:val="0040192C"/>
    <w:rsid w:val="004019D8"/>
    <w:rsid w:val="00401A2D"/>
    <w:rsid w:val="00401A8E"/>
    <w:rsid w:val="00401AAB"/>
    <w:rsid w:val="00401ABC"/>
    <w:rsid w:val="00401B56"/>
    <w:rsid w:val="00401B92"/>
    <w:rsid w:val="00401C5F"/>
    <w:rsid w:val="00401C8C"/>
    <w:rsid w:val="00401CF3"/>
    <w:rsid w:val="00401D0B"/>
    <w:rsid w:val="00401D26"/>
    <w:rsid w:val="00401D9E"/>
    <w:rsid w:val="00401DB9"/>
    <w:rsid w:val="00401DEB"/>
    <w:rsid w:val="00401E45"/>
    <w:rsid w:val="00401E65"/>
    <w:rsid w:val="00401E99"/>
    <w:rsid w:val="00401EC2"/>
    <w:rsid w:val="00401EC6"/>
    <w:rsid w:val="00401F65"/>
    <w:rsid w:val="00401F6E"/>
    <w:rsid w:val="0040200C"/>
    <w:rsid w:val="0040202A"/>
    <w:rsid w:val="004020BA"/>
    <w:rsid w:val="004020FC"/>
    <w:rsid w:val="00402143"/>
    <w:rsid w:val="0040217F"/>
    <w:rsid w:val="004021C2"/>
    <w:rsid w:val="004021F5"/>
    <w:rsid w:val="00402241"/>
    <w:rsid w:val="00402250"/>
    <w:rsid w:val="00402272"/>
    <w:rsid w:val="0040227C"/>
    <w:rsid w:val="00402298"/>
    <w:rsid w:val="004022AB"/>
    <w:rsid w:val="004022B8"/>
    <w:rsid w:val="004022F5"/>
    <w:rsid w:val="0040238B"/>
    <w:rsid w:val="004023E1"/>
    <w:rsid w:val="004023EC"/>
    <w:rsid w:val="00402400"/>
    <w:rsid w:val="004024D1"/>
    <w:rsid w:val="00402578"/>
    <w:rsid w:val="00402583"/>
    <w:rsid w:val="0040258D"/>
    <w:rsid w:val="004025AA"/>
    <w:rsid w:val="00402609"/>
    <w:rsid w:val="00402642"/>
    <w:rsid w:val="0040270F"/>
    <w:rsid w:val="00402712"/>
    <w:rsid w:val="00402714"/>
    <w:rsid w:val="00402732"/>
    <w:rsid w:val="00402756"/>
    <w:rsid w:val="004027A5"/>
    <w:rsid w:val="004027AC"/>
    <w:rsid w:val="004027B3"/>
    <w:rsid w:val="004027BB"/>
    <w:rsid w:val="004027BD"/>
    <w:rsid w:val="00402890"/>
    <w:rsid w:val="004028DA"/>
    <w:rsid w:val="0040297E"/>
    <w:rsid w:val="00402991"/>
    <w:rsid w:val="004029DC"/>
    <w:rsid w:val="004029EC"/>
    <w:rsid w:val="004029FA"/>
    <w:rsid w:val="00402A38"/>
    <w:rsid w:val="00402AA3"/>
    <w:rsid w:val="00402AD3"/>
    <w:rsid w:val="00402AD8"/>
    <w:rsid w:val="00402AFB"/>
    <w:rsid w:val="00402B19"/>
    <w:rsid w:val="00402B42"/>
    <w:rsid w:val="00402B73"/>
    <w:rsid w:val="00402BF9"/>
    <w:rsid w:val="00402C70"/>
    <w:rsid w:val="00402C8E"/>
    <w:rsid w:val="00402D30"/>
    <w:rsid w:val="00402D3C"/>
    <w:rsid w:val="00402D62"/>
    <w:rsid w:val="00402D94"/>
    <w:rsid w:val="00402D97"/>
    <w:rsid w:val="00402D98"/>
    <w:rsid w:val="00402DBD"/>
    <w:rsid w:val="00402DE7"/>
    <w:rsid w:val="00402E0A"/>
    <w:rsid w:val="00402E11"/>
    <w:rsid w:val="00402E21"/>
    <w:rsid w:val="00402EC2"/>
    <w:rsid w:val="00402EF7"/>
    <w:rsid w:val="00402F0C"/>
    <w:rsid w:val="00402F31"/>
    <w:rsid w:val="00402F4C"/>
    <w:rsid w:val="00402F5C"/>
    <w:rsid w:val="00402F76"/>
    <w:rsid w:val="00402F8A"/>
    <w:rsid w:val="00402F9B"/>
    <w:rsid w:val="00402FE6"/>
    <w:rsid w:val="00403051"/>
    <w:rsid w:val="004030AE"/>
    <w:rsid w:val="004030E7"/>
    <w:rsid w:val="00403167"/>
    <w:rsid w:val="00403184"/>
    <w:rsid w:val="00403185"/>
    <w:rsid w:val="004031B5"/>
    <w:rsid w:val="0040320B"/>
    <w:rsid w:val="0040325B"/>
    <w:rsid w:val="00403302"/>
    <w:rsid w:val="0040335D"/>
    <w:rsid w:val="00403360"/>
    <w:rsid w:val="0040336C"/>
    <w:rsid w:val="0040338B"/>
    <w:rsid w:val="0040343B"/>
    <w:rsid w:val="004034B2"/>
    <w:rsid w:val="004034C7"/>
    <w:rsid w:val="00403545"/>
    <w:rsid w:val="0040355C"/>
    <w:rsid w:val="00403580"/>
    <w:rsid w:val="00403620"/>
    <w:rsid w:val="00403641"/>
    <w:rsid w:val="0040365B"/>
    <w:rsid w:val="00403681"/>
    <w:rsid w:val="004037D9"/>
    <w:rsid w:val="004037F7"/>
    <w:rsid w:val="004038BC"/>
    <w:rsid w:val="0040391D"/>
    <w:rsid w:val="0040398D"/>
    <w:rsid w:val="0040399A"/>
    <w:rsid w:val="004039E6"/>
    <w:rsid w:val="00403A2B"/>
    <w:rsid w:val="00403A76"/>
    <w:rsid w:val="00403AC2"/>
    <w:rsid w:val="00403B97"/>
    <w:rsid w:val="00403BCE"/>
    <w:rsid w:val="00403C40"/>
    <w:rsid w:val="00403C5B"/>
    <w:rsid w:val="00403CA8"/>
    <w:rsid w:val="00403CC4"/>
    <w:rsid w:val="00403CC7"/>
    <w:rsid w:val="00403D0E"/>
    <w:rsid w:val="00403D74"/>
    <w:rsid w:val="00403DBD"/>
    <w:rsid w:val="00403EDB"/>
    <w:rsid w:val="00403EDF"/>
    <w:rsid w:val="00403F49"/>
    <w:rsid w:val="00403F72"/>
    <w:rsid w:val="00403FCD"/>
    <w:rsid w:val="00403FDA"/>
    <w:rsid w:val="0040400E"/>
    <w:rsid w:val="00404015"/>
    <w:rsid w:val="0040405B"/>
    <w:rsid w:val="0040408C"/>
    <w:rsid w:val="004040C2"/>
    <w:rsid w:val="004040CC"/>
    <w:rsid w:val="00404139"/>
    <w:rsid w:val="0040418B"/>
    <w:rsid w:val="004041DF"/>
    <w:rsid w:val="00404207"/>
    <w:rsid w:val="00404218"/>
    <w:rsid w:val="0040428D"/>
    <w:rsid w:val="00404350"/>
    <w:rsid w:val="00404387"/>
    <w:rsid w:val="004043A8"/>
    <w:rsid w:val="004043C5"/>
    <w:rsid w:val="004043DE"/>
    <w:rsid w:val="004043DF"/>
    <w:rsid w:val="004043F1"/>
    <w:rsid w:val="0040446D"/>
    <w:rsid w:val="00404488"/>
    <w:rsid w:val="004044A5"/>
    <w:rsid w:val="004044B6"/>
    <w:rsid w:val="004044C1"/>
    <w:rsid w:val="004044EF"/>
    <w:rsid w:val="004044F0"/>
    <w:rsid w:val="00404546"/>
    <w:rsid w:val="00404580"/>
    <w:rsid w:val="00404583"/>
    <w:rsid w:val="00404592"/>
    <w:rsid w:val="00404597"/>
    <w:rsid w:val="004045A5"/>
    <w:rsid w:val="004045B4"/>
    <w:rsid w:val="004045FF"/>
    <w:rsid w:val="00404650"/>
    <w:rsid w:val="004046C0"/>
    <w:rsid w:val="004046CA"/>
    <w:rsid w:val="004046D5"/>
    <w:rsid w:val="00404729"/>
    <w:rsid w:val="0040472D"/>
    <w:rsid w:val="0040474B"/>
    <w:rsid w:val="004047ED"/>
    <w:rsid w:val="00404810"/>
    <w:rsid w:val="0040482E"/>
    <w:rsid w:val="0040484E"/>
    <w:rsid w:val="00404881"/>
    <w:rsid w:val="0040488D"/>
    <w:rsid w:val="004048B3"/>
    <w:rsid w:val="004048BA"/>
    <w:rsid w:val="0040492F"/>
    <w:rsid w:val="0040495D"/>
    <w:rsid w:val="00404979"/>
    <w:rsid w:val="0040499F"/>
    <w:rsid w:val="00404A36"/>
    <w:rsid w:val="00404A53"/>
    <w:rsid w:val="00404AD9"/>
    <w:rsid w:val="00404B97"/>
    <w:rsid w:val="00404C58"/>
    <w:rsid w:val="00404C7A"/>
    <w:rsid w:val="00404CB4"/>
    <w:rsid w:val="00404CDE"/>
    <w:rsid w:val="00404D0A"/>
    <w:rsid w:val="00404D6A"/>
    <w:rsid w:val="00404D72"/>
    <w:rsid w:val="00404D77"/>
    <w:rsid w:val="00404E1B"/>
    <w:rsid w:val="00404E35"/>
    <w:rsid w:val="00404E39"/>
    <w:rsid w:val="00404E68"/>
    <w:rsid w:val="00404E6E"/>
    <w:rsid w:val="00404F14"/>
    <w:rsid w:val="00404F55"/>
    <w:rsid w:val="00404F69"/>
    <w:rsid w:val="00404F87"/>
    <w:rsid w:val="00404F9B"/>
    <w:rsid w:val="00404FDB"/>
    <w:rsid w:val="00405034"/>
    <w:rsid w:val="0040509E"/>
    <w:rsid w:val="004050CB"/>
    <w:rsid w:val="0040514E"/>
    <w:rsid w:val="0040515D"/>
    <w:rsid w:val="0040515F"/>
    <w:rsid w:val="0040517A"/>
    <w:rsid w:val="00405185"/>
    <w:rsid w:val="00405190"/>
    <w:rsid w:val="004051AB"/>
    <w:rsid w:val="004051BB"/>
    <w:rsid w:val="00405202"/>
    <w:rsid w:val="0040520F"/>
    <w:rsid w:val="0040521E"/>
    <w:rsid w:val="004052DC"/>
    <w:rsid w:val="00405321"/>
    <w:rsid w:val="00405358"/>
    <w:rsid w:val="00405397"/>
    <w:rsid w:val="004053D6"/>
    <w:rsid w:val="004053D8"/>
    <w:rsid w:val="00405490"/>
    <w:rsid w:val="004054AD"/>
    <w:rsid w:val="0040555C"/>
    <w:rsid w:val="0040556C"/>
    <w:rsid w:val="004055DC"/>
    <w:rsid w:val="00405620"/>
    <w:rsid w:val="00405632"/>
    <w:rsid w:val="00405645"/>
    <w:rsid w:val="00405658"/>
    <w:rsid w:val="004056D2"/>
    <w:rsid w:val="004056EA"/>
    <w:rsid w:val="004056EF"/>
    <w:rsid w:val="00405750"/>
    <w:rsid w:val="004057C7"/>
    <w:rsid w:val="004057C9"/>
    <w:rsid w:val="0040587B"/>
    <w:rsid w:val="00405899"/>
    <w:rsid w:val="004058DF"/>
    <w:rsid w:val="004059A0"/>
    <w:rsid w:val="00405A65"/>
    <w:rsid w:val="00405A7D"/>
    <w:rsid w:val="00405A92"/>
    <w:rsid w:val="00405B34"/>
    <w:rsid w:val="00405B35"/>
    <w:rsid w:val="00405B8F"/>
    <w:rsid w:val="00405B9F"/>
    <w:rsid w:val="00405BFF"/>
    <w:rsid w:val="00405C31"/>
    <w:rsid w:val="00405C49"/>
    <w:rsid w:val="00405C76"/>
    <w:rsid w:val="00405D62"/>
    <w:rsid w:val="00405DAC"/>
    <w:rsid w:val="00405DBA"/>
    <w:rsid w:val="00405DD7"/>
    <w:rsid w:val="00405DED"/>
    <w:rsid w:val="00405E17"/>
    <w:rsid w:val="00405E2D"/>
    <w:rsid w:val="00405EF7"/>
    <w:rsid w:val="00405F16"/>
    <w:rsid w:val="00405F36"/>
    <w:rsid w:val="00405F45"/>
    <w:rsid w:val="00405FD5"/>
    <w:rsid w:val="00405FF5"/>
    <w:rsid w:val="00406026"/>
    <w:rsid w:val="00406050"/>
    <w:rsid w:val="00406078"/>
    <w:rsid w:val="00406085"/>
    <w:rsid w:val="0040614A"/>
    <w:rsid w:val="004061A4"/>
    <w:rsid w:val="004061B2"/>
    <w:rsid w:val="0040620D"/>
    <w:rsid w:val="00406221"/>
    <w:rsid w:val="004062A8"/>
    <w:rsid w:val="004062EA"/>
    <w:rsid w:val="004062F9"/>
    <w:rsid w:val="004063C2"/>
    <w:rsid w:val="004063CA"/>
    <w:rsid w:val="00406498"/>
    <w:rsid w:val="004064A6"/>
    <w:rsid w:val="004064BD"/>
    <w:rsid w:val="004064E8"/>
    <w:rsid w:val="00406521"/>
    <w:rsid w:val="00406526"/>
    <w:rsid w:val="0040655F"/>
    <w:rsid w:val="00406599"/>
    <w:rsid w:val="004065A8"/>
    <w:rsid w:val="004065E0"/>
    <w:rsid w:val="004065F5"/>
    <w:rsid w:val="0040663C"/>
    <w:rsid w:val="00406651"/>
    <w:rsid w:val="00406672"/>
    <w:rsid w:val="00406697"/>
    <w:rsid w:val="0040670C"/>
    <w:rsid w:val="0040676E"/>
    <w:rsid w:val="0040692E"/>
    <w:rsid w:val="00406954"/>
    <w:rsid w:val="0040695E"/>
    <w:rsid w:val="00406964"/>
    <w:rsid w:val="004069E6"/>
    <w:rsid w:val="00406A50"/>
    <w:rsid w:val="00406AA3"/>
    <w:rsid w:val="00406AA6"/>
    <w:rsid w:val="00406AB6"/>
    <w:rsid w:val="00406AD7"/>
    <w:rsid w:val="00406B54"/>
    <w:rsid w:val="00406B99"/>
    <w:rsid w:val="00406BA3"/>
    <w:rsid w:val="00406BD8"/>
    <w:rsid w:val="00406BD9"/>
    <w:rsid w:val="00406BDF"/>
    <w:rsid w:val="00406BFD"/>
    <w:rsid w:val="00406C36"/>
    <w:rsid w:val="00406C7E"/>
    <w:rsid w:val="00406C96"/>
    <w:rsid w:val="00406CF5"/>
    <w:rsid w:val="00406DB9"/>
    <w:rsid w:val="00406DD5"/>
    <w:rsid w:val="00406DE3"/>
    <w:rsid w:val="00406E10"/>
    <w:rsid w:val="00406E43"/>
    <w:rsid w:val="00406E56"/>
    <w:rsid w:val="00406E7D"/>
    <w:rsid w:val="00406E80"/>
    <w:rsid w:val="00406ED9"/>
    <w:rsid w:val="00406F15"/>
    <w:rsid w:val="00406F5E"/>
    <w:rsid w:val="00406F73"/>
    <w:rsid w:val="00406FE6"/>
    <w:rsid w:val="00406FF0"/>
    <w:rsid w:val="0040700F"/>
    <w:rsid w:val="00407044"/>
    <w:rsid w:val="00407059"/>
    <w:rsid w:val="004070C4"/>
    <w:rsid w:val="004070CC"/>
    <w:rsid w:val="004070D4"/>
    <w:rsid w:val="0040711C"/>
    <w:rsid w:val="0040717B"/>
    <w:rsid w:val="004071E3"/>
    <w:rsid w:val="00407210"/>
    <w:rsid w:val="00407211"/>
    <w:rsid w:val="00407227"/>
    <w:rsid w:val="00407277"/>
    <w:rsid w:val="004072D2"/>
    <w:rsid w:val="00407325"/>
    <w:rsid w:val="00407333"/>
    <w:rsid w:val="00407359"/>
    <w:rsid w:val="00407383"/>
    <w:rsid w:val="00407398"/>
    <w:rsid w:val="00407428"/>
    <w:rsid w:val="0040748B"/>
    <w:rsid w:val="004074B0"/>
    <w:rsid w:val="004074E2"/>
    <w:rsid w:val="0040752D"/>
    <w:rsid w:val="00407543"/>
    <w:rsid w:val="00407545"/>
    <w:rsid w:val="00407624"/>
    <w:rsid w:val="0040766B"/>
    <w:rsid w:val="0040766F"/>
    <w:rsid w:val="0040767E"/>
    <w:rsid w:val="00407702"/>
    <w:rsid w:val="0040773B"/>
    <w:rsid w:val="004077BA"/>
    <w:rsid w:val="004077C0"/>
    <w:rsid w:val="004078D7"/>
    <w:rsid w:val="004078EF"/>
    <w:rsid w:val="00407917"/>
    <w:rsid w:val="0040791E"/>
    <w:rsid w:val="00407936"/>
    <w:rsid w:val="00407959"/>
    <w:rsid w:val="0040798F"/>
    <w:rsid w:val="004079B6"/>
    <w:rsid w:val="004079BD"/>
    <w:rsid w:val="004079C5"/>
    <w:rsid w:val="00407A7D"/>
    <w:rsid w:val="00407AA4"/>
    <w:rsid w:val="00407AA7"/>
    <w:rsid w:val="00407B12"/>
    <w:rsid w:val="00407B3E"/>
    <w:rsid w:val="00407BFC"/>
    <w:rsid w:val="00407C0E"/>
    <w:rsid w:val="00407C23"/>
    <w:rsid w:val="00407C5A"/>
    <w:rsid w:val="00407D3D"/>
    <w:rsid w:val="00407D94"/>
    <w:rsid w:val="00407DC0"/>
    <w:rsid w:val="00407E06"/>
    <w:rsid w:val="00407E51"/>
    <w:rsid w:val="00407E71"/>
    <w:rsid w:val="00407E95"/>
    <w:rsid w:val="00407EBE"/>
    <w:rsid w:val="00407F01"/>
    <w:rsid w:val="00407F14"/>
    <w:rsid w:val="00407F96"/>
    <w:rsid w:val="00407FCC"/>
    <w:rsid w:val="00407FE1"/>
    <w:rsid w:val="00410009"/>
    <w:rsid w:val="00410095"/>
    <w:rsid w:val="00410096"/>
    <w:rsid w:val="004101AA"/>
    <w:rsid w:val="004101FE"/>
    <w:rsid w:val="004102AD"/>
    <w:rsid w:val="004102B7"/>
    <w:rsid w:val="004102C4"/>
    <w:rsid w:val="004102D2"/>
    <w:rsid w:val="0041030F"/>
    <w:rsid w:val="00410317"/>
    <w:rsid w:val="0041031C"/>
    <w:rsid w:val="00410344"/>
    <w:rsid w:val="00410352"/>
    <w:rsid w:val="004103AD"/>
    <w:rsid w:val="0041049A"/>
    <w:rsid w:val="004104E0"/>
    <w:rsid w:val="0041051B"/>
    <w:rsid w:val="00410561"/>
    <w:rsid w:val="00410584"/>
    <w:rsid w:val="004105CA"/>
    <w:rsid w:val="004105CC"/>
    <w:rsid w:val="004105D9"/>
    <w:rsid w:val="00410659"/>
    <w:rsid w:val="004106E3"/>
    <w:rsid w:val="00410753"/>
    <w:rsid w:val="00410782"/>
    <w:rsid w:val="004107C1"/>
    <w:rsid w:val="004107F0"/>
    <w:rsid w:val="0041088C"/>
    <w:rsid w:val="004108C6"/>
    <w:rsid w:val="004108D1"/>
    <w:rsid w:val="004108D2"/>
    <w:rsid w:val="0041093E"/>
    <w:rsid w:val="004109D4"/>
    <w:rsid w:val="004109F3"/>
    <w:rsid w:val="00410A30"/>
    <w:rsid w:val="00410A34"/>
    <w:rsid w:val="00410A36"/>
    <w:rsid w:val="00410A56"/>
    <w:rsid w:val="00410A58"/>
    <w:rsid w:val="00410A73"/>
    <w:rsid w:val="00410A9D"/>
    <w:rsid w:val="00410AA6"/>
    <w:rsid w:val="00410BAD"/>
    <w:rsid w:val="00410BF9"/>
    <w:rsid w:val="00410C0D"/>
    <w:rsid w:val="00410C49"/>
    <w:rsid w:val="00410CA4"/>
    <w:rsid w:val="00410D1D"/>
    <w:rsid w:val="00410D42"/>
    <w:rsid w:val="00410D45"/>
    <w:rsid w:val="00410D93"/>
    <w:rsid w:val="00410DD8"/>
    <w:rsid w:val="00410DFB"/>
    <w:rsid w:val="00410E14"/>
    <w:rsid w:val="00410E24"/>
    <w:rsid w:val="00410EF0"/>
    <w:rsid w:val="00410F22"/>
    <w:rsid w:val="00410F32"/>
    <w:rsid w:val="00410F51"/>
    <w:rsid w:val="00410F5A"/>
    <w:rsid w:val="00410F7A"/>
    <w:rsid w:val="00410F9B"/>
    <w:rsid w:val="00410FB7"/>
    <w:rsid w:val="00410FF1"/>
    <w:rsid w:val="00411033"/>
    <w:rsid w:val="00411039"/>
    <w:rsid w:val="00411086"/>
    <w:rsid w:val="004110B0"/>
    <w:rsid w:val="004110D1"/>
    <w:rsid w:val="004110EB"/>
    <w:rsid w:val="00411107"/>
    <w:rsid w:val="0041113E"/>
    <w:rsid w:val="00411159"/>
    <w:rsid w:val="00411171"/>
    <w:rsid w:val="004111CA"/>
    <w:rsid w:val="00411235"/>
    <w:rsid w:val="00411263"/>
    <w:rsid w:val="0041129F"/>
    <w:rsid w:val="004112AF"/>
    <w:rsid w:val="0041136B"/>
    <w:rsid w:val="004113F2"/>
    <w:rsid w:val="00411403"/>
    <w:rsid w:val="0041143D"/>
    <w:rsid w:val="00411479"/>
    <w:rsid w:val="00411485"/>
    <w:rsid w:val="004114B7"/>
    <w:rsid w:val="00411508"/>
    <w:rsid w:val="00411533"/>
    <w:rsid w:val="004115F1"/>
    <w:rsid w:val="004115F6"/>
    <w:rsid w:val="00411614"/>
    <w:rsid w:val="00411639"/>
    <w:rsid w:val="00411681"/>
    <w:rsid w:val="00411688"/>
    <w:rsid w:val="00411700"/>
    <w:rsid w:val="0041170E"/>
    <w:rsid w:val="0041171E"/>
    <w:rsid w:val="00411722"/>
    <w:rsid w:val="004117D0"/>
    <w:rsid w:val="004117FB"/>
    <w:rsid w:val="0041183F"/>
    <w:rsid w:val="00411846"/>
    <w:rsid w:val="004118B5"/>
    <w:rsid w:val="0041190C"/>
    <w:rsid w:val="0041191C"/>
    <w:rsid w:val="00411966"/>
    <w:rsid w:val="004119E0"/>
    <w:rsid w:val="00411A01"/>
    <w:rsid w:val="00411A3D"/>
    <w:rsid w:val="00411A40"/>
    <w:rsid w:val="00411A5B"/>
    <w:rsid w:val="00411A65"/>
    <w:rsid w:val="00411A76"/>
    <w:rsid w:val="00411AD9"/>
    <w:rsid w:val="00411ADF"/>
    <w:rsid w:val="00411AF7"/>
    <w:rsid w:val="00411B3E"/>
    <w:rsid w:val="00411B70"/>
    <w:rsid w:val="00411B76"/>
    <w:rsid w:val="00411B88"/>
    <w:rsid w:val="00411BA9"/>
    <w:rsid w:val="00411C09"/>
    <w:rsid w:val="00411C27"/>
    <w:rsid w:val="00411C2D"/>
    <w:rsid w:val="00411C78"/>
    <w:rsid w:val="00411CC8"/>
    <w:rsid w:val="00411CE3"/>
    <w:rsid w:val="00411D31"/>
    <w:rsid w:val="00411DB0"/>
    <w:rsid w:val="00411E10"/>
    <w:rsid w:val="00411E81"/>
    <w:rsid w:val="00411E87"/>
    <w:rsid w:val="00411EA3"/>
    <w:rsid w:val="00411EBD"/>
    <w:rsid w:val="00411ED6"/>
    <w:rsid w:val="00411F15"/>
    <w:rsid w:val="00411F3C"/>
    <w:rsid w:val="00411FB3"/>
    <w:rsid w:val="0041204B"/>
    <w:rsid w:val="004120A5"/>
    <w:rsid w:val="004120A6"/>
    <w:rsid w:val="00412187"/>
    <w:rsid w:val="0041219D"/>
    <w:rsid w:val="00412295"/>
    <w:rsid w:val="00412304"/>
    <w:rsid w:val="00412325"/>
    <w:rsid w:val="0041234F"/>
    <w:rsid w:val="00412374"/>
    <w:rsid w:val="004123A9"/>
    <w:rsid w:val="004123FD"/>
    <w:rsid w:val="00412417"/>
    <w:rsid w:val="0041246E"/>
    <w:rsid w:val="004124A0"/>
    <w:rsid w:val="004124DA"/>
    <w:rsid w:val="004124DE"/>
    <w:rsid w:val="004124E5"/>
    <w:rsid w:val="00412509"/>
    <w:rsid w:val="00412576"/>
    <w:rsid w:val="0041257D"/>
    <w:rsid w:val="00412581"/>
    <w:rsid w:val="0041258B"/>
    <w:rsid w:val="004125A0"/>
    <w:rsid w:val="00412639"/>
    <w:rsid w:val="00412643"/>
    <w:rsid w:val="0041266C"/>
    <w:rsid w:val="0041269F"/>
    <w:rsid w:val="004126A3"/>
    <w:rsid w:val="004126BF"/>
    <w:rsid w:val="004126ED"/>
    <w:rsid w:val="00412777"/>
    <w:rsid w:val="004127A0"/>
    <w:rsid w:val="0041280D"/>
    <w:rsid w:val="00412873"/>
    <w:rsid w:val="00412880"/>
    <w:rsid w:val="0041288B"/>
    <w:rsid w:val="004128C6"/>
    <w:rsid w:val="004128F4"/>
    <w:rsid w:val="004128F5"/>
    <w:rsid w:val="00412A3D"/>
    <w:rsid w:val="00412A62"/>
    <w:rsid w:val="00412A6E"/>
    <w:rsid w:val="00412AE4"/>
    <w:rsid w:val="00412B27"/>
    <w:rsid w:val="00412B84"/>
    <w:rsid w:val="00412BA9"/>
    <w:rsid w:val="00412BD7"/>
    <w:rsid w:val="00412BE4"/>
    <w:rsid w:val="00412BFF"/>
    <w:rsid w:val="00412C09"/>
    <w:rsid w:val="00412C73"/>
    <w:rsid w:val="00412D03"/>
    <w:rsid w:val="00412D22"/>
    <w:rsid w:val="00412D33"/>
    <w:rsid w:val="00412D58"/>
    <w:rsid w:val="00412E45"/>
    <w:rsid w:val="00412E4F"/>
    <w:rsid w:val="00412E5F"/>
    <w:rsid w:val="00412E90"/>
    <w:rsid w:val="00412EB0"/>
    <w:rsid w:val="00412EDF"/>
    <w:rsid w:val="00412EE0"/>
    <w:rsid w:val="00412EEB"/>
    <w:rsid w:val="00412F2D"/>
    <w:rsid w:val="00412F75"/>
    <w:rsid w:val="00412F8F"/>
    <w:rsid w:val="00412FDA"/>
    <w:rsid w:val="00413022"/>
    <w:rsid w:val="00413070"/>
    <w:rsid w:val="00413087"/>
    <w:rsid w:val="0041309E"/>
    <w:rsid w:val="00413120"/>
    <w:rsid w:val="00413131"/>
    <w:rsid w:val="0041316C"/>
    <w:rsid w:val="0041317F"/>
    <w:rsid w:val="0041318B"/>
    <w:rsid w:val="004131A6"/>
    <w:rsid w:val="004131D9"/>
    <w:rsid w:val="004131F3"/>
    <w:rsid w:val="00413221"/>
    <w:rsid w:val="0041322D"/>
    <w:rsid w:val="00413237"/>
    <w:rsid w:val="00413265"/>
    <w:rsid w:val="0041328A"/>
    <w:rsid w:val="004132B1"/>
    <w:rsid w:val="004132E6"/>
    <w:rsid w:val="004132F4"/>
    <w:rsid w:val="00413315"/>
    <w:rsid w:val="00413341"/>
    <w:rsid w:val="00413359"/>
    <w:rsid w:val="00413385"/>
    <w:rsid w:val="004133C7"/>
    <w:rsid w:val="004133C9"/>
    <w:rsid w:val="00413401"/>
    <w:rsid w:val="0041347A"/>
    <w:rsid w:val="004134A3"/>
    <w:rsid w:val="004134C5"/>
    <w:rsid w:val="004134E4"/>
    <w:rsid w:val="00413519"/>
    <w:rsid w:val="0041358B"/>
    <w:rsid w:val="004135A3"/>
    <w:rsid w:val="004135D3"/>
    <w:rsid w:val="0041364F"/>
    <w:rsid w:val="00413730"/>
    <w:rsid w:val="00413780"/>
    <w:rsid w:val="004137BF"/>
    <w:rsid w:val="004137D3"/>
    <w:rsid w:val="004137EF"/>
    <w:rsid w:val="00413813"/>
    <w:rsid w:val="0041384D"/>
    <w:rsid w:val="00413865"/>
    <w:rsid w:val="004138A7"/>
    <w:rsid w:val="004138B0"/>
    <w:rsid w:val="004138C2"/>
    <w:rsid w:val="004138ED"/>
    <w:rsid w:val="0041396A"/>
    <w:rsid w:val="00413975"/>
    <w:rsid w:val="00413977"/>
    <w:rsid w:val="00413995"/>
    <w:rsid w:val="0041399D"/>
    <w:rsid w:val="004139A6"/>
    <w:rsid w:val="004139D1"/>
    <w:rsid w:val="00413A2C"/>
    <w:rsid w:val="00413A9D"/>
    <w:rsid w:val="00413AA8"/>
    <w:rsid w:val="00413AAB"/>
    <w:rsid w:val="00413AF8"/>
    <w:rsid w:val="00413B33"/>
    <w:rsid w:val="00413B46"/>
    <w:rsid w:val="00413BC5"/>
    <w:rsid w:val="00413BF9"/>
    <w:rsid w:val="00413C1E"/>
    <w:rsid w:val="00413C25"/>
    <w:rsid w:val="00413C45"/>
    <w:rsid w:val="00413C4E"/>
    <w:rsid w:val="00413C69"/>
    <w:rsid w:val="00413C8A"/>
    <w:rsid w:val="00413CAC"/>
    <w:rsid w:val="00413D3B"/>
    <w:rsid w:val="00413DB7"/>
    <w:rsid w:val="00413DCE"/>
    <w:rsid w:val="00413DDA"/>
    <w:rsid w:val="00413E4C"/>
    <w:rsid w:val="00413EBC"/>
    <w:rsid w:val="00413ECE"/>
    <w:rsid w:val="00413F1B"/>
    <w:rsid w:val="00413F23"/>
    <w:rsid w:val="00413F60"/>
    <w:rsid w:val="00413F6C"/>
    <w:rsid w:val="00413F7F"/>
    <w:rsid w:val="00413F95"/>
    <w:rsid w:val="00414043"/>
    <w:rsid w:val="0041406C"/>
    <w:rsid w:val="0041409C"/>
    <w:rsid w:val="004140D1"/>
    <w:rsid w:val="0041414B"/>
    <w:rsid w:val="00414177"/>
    <w:rsid w:val="0041417E"/>
    <w:rsid w:val="004141CC"/>
    <w:rsid w:val="004141D2"/>
    <w:rsid w:val="0041421A"/>
    <w:rsid w:val="00414225"/>
    <w:rsid w:val="00414264"/>
    <w:rsid w:val="004142DB"/>
    <w:rsid w:val="00414309"/>
    <w:rsid w:val="00414378"/>
    <w:rsid w:val="0041437E"/>
    <w:rsid w:val="0041438D"/>
    <w:rsid w:val="004143B7"/>
    <w:rsid w:val="004143CC"/>
    <w:rsid w:val="004143E5"/>
    <w:rsid w:val="004143F1"/>
    <w:rsid w:val="004143F7"/>
    <w:rsid w:val="00414422"/>
    <w:rsid w:val="0041442B"/>
    <w:rsid w:val="004144A9"/>
    <w:rsid w:val="004144B7"/>
    <w:rsid w:val="004144D7"/>
    <w:rsid w:val="004144F9"/>
    <w:rsid w:val="0041450A"/>
    <w:rsid w:val="0041450E"/>
    <w:rsid w:val="00414532"/>
    <w:rsid w:val="0041455A"/>
    <w:rsid w:val="004145BF"/>
    <w:rsid w:val="004145EB"/>
    <w:rsid w:val="00414606"/>
    <w:rsid w:val="0041461B"/>
    <w:rsid w:val="00414629"/>
    <w:rsid w:val="00414632"/>
    <w:rsid w:val="00414699"/>
    <w:rsid w:val="0041469D"/>
    <w:rsid w:val="004146B6"/>
    <w:rsid w:val="004146EF"/>
    <w:rsid w:val="004146FB"/>
    <w:rsid w:val="00414706"/>
    <w:rsid w:val="00414736"/>
    <w:rsid w:val="0041473C"/>
    <w:rsid w:val="00414766"/>
    <w:rsid w:val="00414813"/>
    <w:rsid w:val="00414836"/>
    <w:rsid w:val="00414850"/>
    <w:rsid w:val="0041486B"/>
    <w:rsid w:val="0041489A"/>
    <w:rsid w:val="004148B9"/>
    <w:rsid w:val="004148C8"/>
    <w:rsid w:val="004148F9"/>
    <w:rsid w:val="0041490F"/>
    <w:rsid w:val="0041491A"/>
    <w:rsid w:val="0041492B"/>
    <w:rsid w:val="0041496B"/>
    <w:rsid w:val="00414973"/>
    <w:rsid w:val="00414986"/>
    <w:rsid w:val="00414997"/>
    <w:rsid w:val="0041499C"/>
    <w:rsid w:val="004149A2"/>
    <w:rsid w:val="00414A3F"/>
    <w:rsid w:val="00414A98"/>
    <w:rsid w:val="00414AC3"/>
    <w:rsid w:val="00414ACE"/>
    <w:rsid w:val="00414AE1"/>
    <w:rsid w:val="00414B1A"/>
    <w:rsid w:val="00414B68"/>
    <w:rsid w:val="00414BB1"/>
    <w:rsid w:val="00414C3E"/>
    <w:rsid w:val="00414C81"/>
    <w:rsid w:val="00414C9C"/>
    <w:rsid w:val="00414CC5"/>
    <w:rsid w:val="00414D29"/>
    <w:rsid w:val="00414D31"/>
    <w:rsid w:val="00414D34"/>
    <w:rsid w:val="00414D5C"/>
    <w:rsid w:val="00414D7D"/>
    <w:rsid w:val="00414DC2"/>
    <w:rsid w:val="00414E3B"/>
    <w:rsid w:val="00414E4D"/>
    <w:rsid w:val="00414EA7"/>
    <w:rsid w:val="00414F1A"/>
    <w:rsid w:val="00414F3B"/>
    <w:rsid w:val="00414F6B"/>
    <w:rsid w:val="00414F79"/>
    <w:rsid w:val="00414F83"/>
    <w:rsid w:val="00414FE7"/>
    <w:rsid w:val="00414FE8"/>
    <w:rsid w:val="00414FFE"/>
    <w:rsid w:val="00415066"/>
    <w:rsid w:val="0041506B"/>
    <w:rsid w:val="0041511B"/>
    <w:rsid w:val="0041512E"/>
    <w:rsid w:val="00415135"/>
    <w:rsid w:val="00415144"/>
    <w:rsid w:val="00415165"/>
    <w:rsid w:val="00415187"/>
    <w:rsid w:val="00415195"/>
    <w:rsid w:val="0041519E"/>
    <w:rsid w:val="004151C7"/>
    <w:rsid w:val="004151DD"/>
    <w:rsid w:val="004151F3"/>
    <w:rsid w:val="0041528C"/>
    <w:rsid w:val="0041533A"/>
    <w:rsid w:val="00415345"/>
    <w:rsid w:val="0041535E"/>
    <w:rsid w:val="00415361"/>
    <w:rsid w:val="0041536A"/>
    <w:rsid w:val="004153B1"/>
    <w:rsid w:val="004153C1"/>
    <w:rsid w:val="004153E5"/>
    <w:rsid w:val="004153ED"/>
    <w:rsid w:val="004153FF"/>
    <w:rsid w:val="00415433"/>
    <w:rsid w:val="00415470"/>
    <w:rsid w:val="004154CF"/>
    <w:rsid w:val="0041556F"/>
    <w:rsid w:val="00415589"/>
    <w:rsid w:val="004155AB"/>
    <w:rsid w:val="00415623"/>
    <w:rsid w:val="00415691"/>
    <w:rsid w:val="004156B9"/>
    <w:rsid w:val="004156BD"/>
    <w:rsid w:val="004156E6"/>
    <w:rsid w:val="0041574C"/>
    <w:rsid w:val="00415753"/>
    <w:rsid w:val="00415776"/>
    <w:rsid w:val="00415805"/>
    <w:rsid w:val="00415912"/>
    <w:rsid w:val="004159A9"/>
    <w:rsid w:val="004159FB"/>
    <w:rsid w:val="00415A2F"/>
    <w:rsid w:val="00415A3E"/>
    <w:rsid w:val="00415A89"/>
    <w:rsid w:val="00415AAF"/>
    <w:rsid w:val="00415AB2"/>
    <w:rsid w:val="00415B19"/>
    <w:rsid w:val="00415BB8"/>
    <w:rsid w:val="00415BCB"/>
    <w:rsid w:val="00415BDA"/>
    <w:rsid w:val="00415BFD"/>
    <w:rsid w:val="00415C2E"/>
    <w:rsid w:val="00415C9A"/>
    <w:rsid w:val="00415CC4"/>
    <w:rsid w:val="00415D43"/>
    <w:rsid w:val="00415D66"/>
    <w:rsid w:val="00415DA2"/>
    <w:rsid w:val="00415DC4"/>
    <w:rsid w:val="00415E81"/>
    <w:rsid w:val="00415EAB"/>
    <w:rsid w:val="00415EB1"/>
    <w:rsid w:val="00415EC5"/>
    <w:rsid w:val="00415EED"/>
    <w:rsid w:val="00415F05"/>
    <w:rsid w:val="00415F62"/>
    <w:rsid w:val="00416099"/>
    <w:rsid w:val="004160C6"/>
    <w:rsid w:val="0041610B"/>
    <w:rsid w:val="004161B6"/>
    <w:rsid w:val="004161D4"/>
    <w:rsid w:val="0041620E"/>
    <w:rsid w:val="00416214"/>
    <w:rsid w:val="0041622D"/>
    <w:rsid w:val="0041625B"/>
    <w:rsid w:val="00416295"/>
    <w:rsid w:val="004162CB"/>
    <w:rsid w:val="004162D7"/>
    <w:rsid w:val="00416363"/>
    <w:rsid w:val="004163EF"/>
    <w:rsid w:val="00416459"/>
    <w:rsid w:val="0041646B"/>
    <w:rsid w:val="00416501"/>
    <w:rsid w:val="00416614"/>
    <w:rsid w:val="0041669E"/>
    <w:rsid w:val="00416734"/>
    <w:rsid w:val="00416745"/>
    <w:rsid w:val="004167CA"/>
    <w:rsid w:val="004167EE"/>
    <w:rsid w:val="00416843"/>
    <w:rsid w:val="0041684C"/>
    <w:rsid w:val="00416855"/>
    <w:rsid w:val="0041685E"/>
    <w:rsid w:val="0041688E"/>
    <w:rsid w:val="004168B4"/>
    <w:rsid w:val="004168B9"/>
    <w:rsid w:val="00416945"/>
    <w:rsid w:val="00416965"/>
    <w:rsid w:val="00416996"/>
    <w:rsid w:val="004169AE"/>
    <w:rsid w:val="004169CD"/>
    <w:rsid w:val="004169D7"/>
    <w:rsid w:val="00416A5D"/>
    <w:rsid w:val="00416AAC"/>
    <w:rsid w:val="00416AB6"/>
    <w:rsid w:val="00416B05"/>
    <w:rsid w:val="00416B0D"/>
    <w:rsid w:val="00416B54"/>
    <w:rsid w:val="00416B5E"/>
    <w:rsid w:val="00416C0A"/>
    <w:rsid w:val="00416C36"/>
    <w:rsid w:val="00416CEA"/>
    <w:rsid w:val="00416D00"/>
    <w:rsid w:val="00416D2C"/>
    <w:rsid w:val="00416D83"/>
    <w:rsid w:val="00416DA0"/>
    <w:rsid w:val="00416DB6"/>
    <w:rsid w:val="00416EE6"/>
    <w:rsid w:val="00416EE8"/>
    <w:rsid w:val="00416EED"/>
    <w:rsid w:val="00416F1C"/>
    <w:rsid w:val="00416F24"/>
    <w:rsid w:val="00416F5C"/>
    <w:rsid w:val="00416F60"/>
    <w:rsid w:val="00417050"/>
    <w:rsid w:val="00417056"/>
    <w:rsid w:val="00417090"/>
    <w:rsid w:val="004170D4"/>
    <w:rsid w:val="00417123"/>
    <w:rsid w:val="00417180"/>
    <w:rsid w:val="004171A3"/>
    <w:rsid w:val="004171F3"/>
    <w:rsid w:val="00417219"/>
    <w:rsid w:val="00417233"/>
    <w:rsid w:val="00417252"/>
    <w:rsid w:val="00417253"/>
    <w:rsid w:val="0041727B"/>
    <w:rsid w:val="004172A5"/>
    <w:rsid w:val="004172D7"/>
    <w:rsid w:val="004172FE"/>
    <w:rsid w:val="00417315"/>
    <w:rsid w:val="00417323"/>
    <w:rsid w:val="004173AC"/>
    <w:rsid w:val="00417447"/>
    <w:rsid w:val="0041745F"/>
    <w:rsid w:val="0041749B"/>
    <w:rsid w:val="0041759A"/>
    <w:rsid w:val="004175A0"/>
    <w:rsid w:val="004175D4"/>
    <w:rsid w:val="00417665"/>
    <w:rsid w:val="004176D4"/>
    <w:rsid w:val="00417851"/>
    <w:rsid w:val="00417865"/>
    <w:rsid w:val="00417874"/>
    <w:rsid w:val="0041787F"/>
    <w:rsid w:val="0041788D"/>
    <w:rsid w:val="004178BC"/>
    <w:rsid w:val="004178CF"/>
    <w:rsid w:val="00417983"/>
    <w:rsid w:val="004179DD"/>
    <w:rsid w:val="004179E9"/>
    <w:rsid w:val="00417A07"/>
    <w:rsid w:val="00417A27"/>
    <w:rsid w:val="00417A5D"/>
    <w:rsid w:val="00417A6B"/>
    <w:rsid w:val="00417A93"/>
    <w:rsid w:val="00417AF6"/>
    <w:rsid w:val="00417B05"/>
    <w:rsid w:val="00417B13"/>
    <w:rsid w:val="00417B26"/>
    <w:rsid w:val="00417C57"/>
    <w:rsid w:val="00417C9A"/>
    <w:rsid w:val="00417CFB"/>
    <w:rsid w:val="00417D2D"/>
    <w:rsid w:val="00417D46"/>
    <w:rsid w:val="00417D85"/>
    <w:rsid w:val="00417D8A"/>
    <w:rsid w:val="00417D91"/>
    <w:rsid w:val="00417D9C"/>
    <w:rsid w:val="00417DCF"/>
    <w:rsid w:val="00417DD0"/>
    <w:rsid w:val="00417DEF"/>
    <w:rsid w:val="00417EE8"/>
    <w:rsid w:val="00417F06"/>
    <w:rsid w:val="00417F39"/>
    <w:rsid w:val="00417F44"/>
    <w:rsid w:val="00417F4D"/>
    <w:rsid w:val="00417F77"/>
    <w:rsid w:val="00420031"/>
    <w:rsid w:val="004200F8"/>
    <w:rsid w:val="004200FC"/>
    <w:rsid w:val="004201AB"/>
    <w:rsid w:val="004201EF"/>
    <w:rsid w:val="0042020E"/>
    <w:rsid w:val="0042022F"/>
    <w:rsid w:val="00420274"/>
    <w:rsid w:val="00420310"/>
    <w:rsid w:val="0042034C"/>
    <w:rsid w:val="004203A1"/>
    <w:rsid w:val="004203BA"/>
    <w:rsid w:val="004203C3"/>
    <w:rsid w:val="0042043C"/>
    <w:rsid w:val="0042047A"/>
    <w:rsid w:val="0042049B"/>
    <w:rsid w:val="004204D1"/>
    <w:rsid w:val="00420534"/>
    <w:rsid w:val="0042053E"/>
    <w:rsid w:val="00420546"/>
    <w:rsid w:val="00420567"/>
    <w:rsid w:val="00420582"/>
    <w:rsid w:val="004205EB"/>
    <w:rsid w:val="004205ED"/>
    <w:rsid w:val="004205F4"/>
    <w:rsid w:val="0042062E"/>
    <w:rsid w:val="0042065B"/>
    <w:rsid w:val="0042066E"/>
    <w:rsid w:val="0042069F"/>
    <w:rsid w:val="004206A0"/>
    <w:rsid w:val="004206E9"/>
    <w:rsid w:val="0042070E"/>
    <w:rsid w:val="00420712"/>
    <w:rsid w:val="00420762"/>
    <w:rsid w:val="0042076E"/>
    <w:rsid w:val="00420771"/>
    <w:rsid w:val="00420786"/>
    <w:rsid w:val="004207D6"/>
    <w:rsid w:val="004207D9"/>
    <w:rsid w:val="0042080E"/>
    <w:rsid w:val="00420884"/>
    <w:rsid w:val="004208FF"/>
    <w:rsid w:val="00420913"/>
    <w:rsid w:val="00420931"/>
    <w:rsid w:val="0042095A"/>
    <w:rsid w:val="00420974"/>
    <w:rsid w:val="00420977"/>
    <w:rsid w:val="004209B9"/>
    <w:rsid w:val="00420A3F"/>
    <w:rsid w:val="00420A5C"/>
    <w:rsid w:val="00420AFC"/>
    <w:rsid w:val="00420B17"/>
    <w:rsid w:val="00420B4F"/>
    <w:rsid w:val="00420BE9"/>
    <w:rsid w:val="00420C2D"/>
    <w:rsid w:val="00420C6A"/>
    <w:rsid w:val="00420C96"/>
    <w:rsid w:val="00420D34"/>
    <w:rsid w:val="00420D70"/>
    <w:rsid w:val="00420D89"/>
    <w:rsid w:val="00420DB6"/>
    <w:rsid w:val="00420DDF"/>
    <w:rsid w:val="00420DEC"/>
    <w:rsid w:val="00420E0D"/>
    <w:rsid w:val="00420E19"/>
    <w:rsid w:val="00420E1E"/>
    <w:rsid w:val="00420E3C"/>
    <w:rsid w:val="00420E90"/>
    <w:rsid w:val="00420F0C"/>
    <w:rsid w:val="00420FA6"/>
    <w:rsid w:val="0042101B"/>
    <w:rsid w:val="0042103C"/>
    <w:rsid w:val="00421042"/>
    <w:rsid w:val="00421089"/>
    <w:rsid w:val="004210F1"/>
    <w:rsid w:val="004210F2"/>
    <w:rsid w:val="0042117C"/>
    <w:rsid w:val="004211BC"/>
    <w:rsid w:val="004211DE"/>
    <w:rsid w:val="004211F2"/>
    <w:rsid w:val="00421200"/>
    <w:rsid w:val="0042128A"/>
    <w:rsid w:val="0042129A"/>
    <w:rsid w:val="004212FC"/>
    <w:rsid w:val="00421336"/>
    <w:rsid w:val="00421488"/>
    <w:rsid w:val="004214E2"/>
    <w:rsid w:val="00421546"/>
    <w:rsid w:val="0042155A"/>
    <w:rsid w:val="00421574"/>
    <w:rsid w:val="00421583"/>
    <w:rsid w:val="004215A6"/>
    <w:rsid w:val="004215A8"/>
    <w:rsid w:val="00421608"/>
    <w:rsid w:val="00421623"/>
    <w:rsid w:val="004216A0"/>
    <w:rsid w:val="004216E9"/>
    <w:rsid w:val="004216EB"/>
    <w:rsid w:val="00421745"/>
    <w:rsid w:val="0042178F"/>
    <w:rsid w:val="00421803"/>
    <w:rsid w:val="00421835"/>
    <w:rsid w:val="0042183F"/>
    <w:rsid w:val="0042185A"/>
    <w:rsid w:val="0042189F"/>
    <w:rsid w:val="004218D4"/>
    <w:rsid w:val="004218D7"/>
    <w:rsid w:val="00421912"/>
    <w:rsid w:val="00421917"/>
    <w:rsid w:val="00421936"/>
    <w:rsid w:val="00421958"/>
    <w:rsid w:val="00421965"/>
    <w:rsid w:val="00421A02"/>
    <w:rsid w:val="00421A17"/>
    <w:rsid w:val="00421A2B"/>
    <w:rsid w:val="00421A6E"/>
    <w:rsid w:val="00421AA3"/>
    <w:rsid w:val="00421AB7"/>
    <w:rsid w:val="00421AD0"/>
    <w:rsid w:val="00421AD6"/>
    <w:rsid w:val="00421AE1"/>
    <w:rsid w:val="00421B09"/>
    <w:rsid w:val="00421CC1"/>
    <w:rsid w:val="00421D81"/>
    <w:rsid w:val="00421E06"/>
    <w:rsid w:val="00421E85"/>
    <w:rsid w:val="00421EA5"/>
    <w:rsid w:val="00421EFC"/>
    <w:rsid w:val="00421F34"/>
    <w:rsid w:val="00421F61"/>
    <w:rsid w:val="00421F72"/>
    <w:rsid w:val="00422055"/>
    <w:rsid w:val="00422125"/>
    <w:rsid w:val="004221BD"/>
    <w:rsid w:val="004221F0"/>
    <w:rsid w:val="00422286"/>
    <w:rsid w:val="00422298"/>
    <w:rsid w:val="004222CB"/>
    <w:rsid w:val="0042231D"/>
    <w:rsid w:val="00422344"/>
    <w:rsid w:val="0042238A"/>
    <w:rsid w:val="004223DF"/>
    <w:rsid w:val="004224A1"/>
    <w:rsid w:val="004224BC"/>
    <w:rsid w:val="004224C2"/>
    <w:rsid w:val="00422504"/>
    <w:rsid w:val="00422518"/>
    <w:rsid w:val="00422543"/>
    <w:rsid w:val="00422560"/>
    <w:rsid w:val="004225AE"/>
    <w:rsid w:val="004225E3"/>
    <w:rsid w:val="00422672"/>
    <w:rsid w:val="0042267A"/>
    <w:rsid w:val="00422683"/>
    <w:rsid w:val="00422692"/>
    <w:rsid w:val="0042269D"/>
    <w:rsid w:val="004226B7"/>
    <w:rsid w:val="004226D4"/>
    <w:rsid w:val="00422713"/>
    <w:rsid w:val="00422761"/>
    <w:rsid w:val="004227AE"/>
    <w:rsid w:val="00422817"/>
    <w:rsid w:val="0042286E"/>
    <w:rsid w:val="00422872"/>
    <w:rsid w:val="00422888"/>
    <w:rsid w:val="0042289A"/>
    <w:rsid w:val="004228BA"/>
    <w:rsid w:val="004228FD"/>
    <w:rsid w:val="0042294B"/>
    <w:rsid w:val="00422976"/>
    <w:rsid w:val="004229DB"/>
    <w:rsid w:val="00422A04"/>
    <w:rsid w:val="00422A0A"/>
    <w:rsid w:val="00422A0F"/>
    <w:rsid w:val="00422A6C"/>
    <w:rsid w:val="00422A71"/>
    <w:rsid w:val="00422A8A"/>
    <w:rsid w:val="00422A8C"/>
    <w:rsid w:val="00422ADF"/>
    <w:rsid w:val="00422AE4"/>
    <w:rsid w:val="00422B44"/>
    <w:rsid w:val="00422B88"/>
    <w:rsid w:val="00422BDD"/>
    <w:rsid w:val="00422C40"/>
    <w:rsid w:val="00422C99"/>
    <w:rsid w:val="00422C9D"/>
    <w:rsid w:val="00422D2F"/>
    <w:rsid w:val="00422D43"/>
    <w:rsid w:val="00422D87"/>
    <w:rsid w:val="00422D96"/>
    <w:rsid w:val="00422DFC"/>
    <w:rsid w:val="00422E1C"/>
    <w:rsid w:val="00422E61"/>
    <w:rsid w:val="00422E86"/>
    <w:rsid w:val="00422EB9"/>
    <w:rsid w:val="00422F29"/>
    <w:rsid w:val="00422FF9"/>
    <w:rsid w:val="00423032"/>
    <w:rsid w:val="004230B2"/>
    <w:rsid w:val="0042312E"/>
    <w:rsid w:val="00423138"/>
    <w:rsid w:val="00423151"/>
    <w:rsid w:val="00423184"/>
    <w:rsid w:val="0042319F"/>
    <w:rsid w:val="004231AD"/>
    <w:rsid w:val="004231BC"/>
    <w:rsid w:val="004231D7"/>
    <w:rsid w:val="004231E1"/>
    <w:rsid w:val="004231EA"/>
    <w:rsid w:val="0042323D"/>
    <w:rsid w:val="00423256"/>
    <w:rsid w:val="00423280"/>
    <w:rsid w:val="004232A7"/>
    <w:rsid w:val="004232BE"/>
    <w:rsid w:val="00423320"/>
    <w:rsid w:val="00423382"/>
    <w:rsid w:val="004233C9"/>
    <w:rsid w:val="004233D7"/>
    <w:rsid w:val="0042343E"/>
    <w:rsid w:val="00423476"/>
    <w:rsid w:val="004234A9"/>
    <w:rsid w:val="004234DF"/>
    <w:rsid w:val="004234E8"/>
    <w:rsid w:val="004234ED"/>
    <w:rsid w:val="0042353B"/>
    <w:rsid w:val="004235F9"/>
    <w:rsid w:val="00423632"/>
    <w:rsid w:val="0042368E"/>
    <w:rsid w:val="004236B1"/>
    <w:rsid w:val="004236B5"/>
    <w:rsid w:val="004236CF"/>
    <w:rsid w:val="00423787"/>
    <w:rsid w:val="0042379B"/>
    <w:rsid w:val="0042386C"/>
    <w:rsid w:val="004238B5"/>
    <w:rsid w:val="004238C0"/>
    <w:rsid w:val="004238F0"/>
    <w:rsid w:val="00423915"/>
    <w:rsid w:val="00423917"/>
    <w:rsid w:val="0042396E"/>
    <w:rsid w:val="004239B7"/>
    <w:rsid w:val="004239D2"/>
    <w:rsid w:val="004239DD"/>
    <w:rsid w:val="00423A16"/>
    <w:rsid w:val="00423A18"/>
    <w:rsid w:val="00423A3F"/>
    <w:rsid w:val="00423A70"/>
    <w:rsid w:val="00423A83"/>
    <w:rsid w:val="00423AB7"/>
    <w:rsid w:val="00423AEA"/>
    <w:rsid w:val="00423B1A"/>
    <w:rsid w:val="00423B57"/>
    <w:rsid w:val="00423B8A"/>
    <w:rsid w:val="00423C12"/>
    <w:rsid w:val="00423C53"/>
    <w:rsid w:val="00423C7A"/>
    <w:rsid w:val="00423C8D"/>
    <w:rsid w:val="00423D2C"/>
    <w:rsid w:val="00423D7D"/>
    <w:rsid w:val="00423D80"/>
    <w:rsid w:val="00423D94"/>
    <w:rsid w:val="00423E13"/>
    <w:rsid w:val="00423E67"/>
    <w:rsid w:val="00423E9C"/>
    <w:rsid w:val="00423EC0"/>
    <w:rsid w:val="00423EC8"/>
    <w:rsid w:val="00423EE8"/>
    <w:rsid w:val="00423F05"/>
    <w:rsid w:val="00423F1F"/>
    <w:rsid w:val="00423F69"/>
    <w:rsid w:val="00423F77"/>
    <w:rsid w:val="00423F7C"/>
    <w:rsid w:val="00423FA1"/>
    <w:rsid w:val="0042404C"/>
    <w:rsid w:val="00424091"/>
    <w:rsid w:val="004240D1"/>
    <w:rsid w:val="004240D9"/>
    <w:rsid w:val="00424132"/>
    <w:rsid w:val="004241BE"/>
    <w:rsid w:val="004241D5"/>
    <w:rsid w:val="004241F5"/>
    <w:rsid w:val="00424223"/>
    <w:rsid w:val="00424259"/>
    <w:rsid w:val="004242B0"/>
    <w:rsid w:val="0042430F"/>
    <w:rsid w:val="00424318"/>
    <w:rsid w:val="0042437D"/>
    <w:rsid w:val="00424411"/>
    <w:rsid w:val="00424413"/>
    <w:rsid w:val="0042448D"/>
    <w:rsid w:val="004244AF"/>
    <w:rsid w:val="004244D8"/>
    <w:rsid w:val="0042455C"/>
    <w:rsid w:val="0042456E"/>
    <w:rsid w:val="004245DA"/>
    <w:rsid w:val="004245F8"/>
    <w:rsid w:val="004245FA"/>
    <w:rsid w:val="00424600"/>
    <w:rsid w:val="0042461C"/>
    <w:rsid w:val="00424632"/>
    <w:rsid w:val="0042467E"/>
    <w:rsid w:val="004246E0"/>
    <w:rsid w:val="004246E2"/>
    <w:rsid w:val="0042470D"/>
    <w:rsid w:val="0042472C"/>
    <w:rsid w:val="00424796"/>
    <w:rsid w:val="004247B5"/>
    <w:rsid w:val="004247D3"/>
    <w:rsid w:val="004247E6"/>
    <w:rsid w:val="00424813"/>
    <w:rsid w:val="0042481B"/>
    <w:rsid w:val="00424820"/>
    <w:rsid w:val="0042483A"/>
    <w:rsid w:val="00424861"/>
    <w:rsid w:val="0042489C"/>
    <w:rsid w:val="004248A7"/>
    <w:rsid w:val="004248E3"/>
    <w:rsid w:val="004248F3"/>
    <w:rsid w:val="0042491E"/>
    <w:rsid w:val="00424921"/>
    <w:rsid w:val="00424A2A"/>
    <w:rsid w:val="00424A73"/>
    <w:rsid w:val="00424A97"/>
    <w:rsid w:val="00424AF1"/>
    <w:rsid w:val="00424B60"/>
    <w:rsid w:val="00424B81"/>
    <w:rsid w:val="00424B88"/>
    <w:rsid w:val="00424B8D"/>
    <w:rsid w:val="00424BA0"/>
    <w:rsid w:val="00424BBA"/>
    <w:rsid w:val="00424BCD"/>
    <w:rsid w:val="00424C0B"/>
    <w:rsid w:val="00424C15"/>
    <w:rsid w:val="00424C3B"/>
    <w:rsid w:val="00424C70"/>
    <w:rsid w:val="00424C87"/>
    <w:rsid w:val="00424C97"/>
    <w:rsid w:val="00424CFE"/>
    <w:rsid w:val="00424DFE"/>
    <w:rsid w:val="00424E01"/>
    <w:rsid w:val="00424E97"/>
    <w:rsid w:val="00424F2B"/>
    <w:rsid w:val="00424F3A"/>
    <w:rsid w:val="00424F63"/>
    <w:rsid w:val="00424F9E"/>
    <w:rsid w:val="00424FAC"/>
    <w:rsid w:val="00424FB1"/>
    <w:rsid w:val="00425082"/>
    <w:rsid w:val="004250A0"/>
    <w:rsid w:val="004250D4"/>
    <w:rsid w:val="004250EA"/>
    <w:rsid w:val="0042513C"/>
    <w:rsid w:val="00425158"/>
    <w:rsid w:val="004251A2"/>
    <w:rsid w:val="004251EC"/>
    <w:rsid w:val="0042529D"/>
    <w:rsid w:val="0042530C"/>
    <w:rsid w:val="0042536F"/>
    <w:rsid w:val="004253E3"/>
    <w:rsid w:val="004253FE"/>
    <w:rsid w:val="00425412"/>
    <w:rsid w:val="0042541D"/>
    <w:rsid w:val="00425424"/>
    <w:rsid w:val="00425432"/>
    <w:rsid w:val="00425434"/>
    <w:rsid w:val="0042546B"/>
    <w:rsid w:val="004254E1"/>
    <w:rsid w:val="00425525"/>
    <w:rsid w:val="00425526"/>
    <w:rsid w:val="0042554B"/>
    <w:rsid w:val="004255D9"/>
    <w:rsid w:val="00425613"/>
    <w:rsid w:val="0042566F"/>
    <w:rsid w:val="00425686"/>
    <w:rsid w:val="004256A0"/>
    <w:rsid w:val="004256EB"/>
    <w:rsid w:val="004256F3"/>
    <w:rsid w:val="00425708"/>
    <w:rsid w:val="00425734"/>
    <w:rsid w:val="00425750"/>
    <w:rsid w:val="00425779"/>
    <w:rsid w:val="004257C6"/>
    <w:rsid w:val="004257D5"/>
    <w:rsid w:val="004257DE"/>
    <w:rsid w:val="00425811"/>
    <w:rsid w:val="00425812"/>
    <w:rsid w:val="004258A2"/>
    <w:rsid w:val="004258AA"/>
    <w:rsid w:val="004258BB"/>
    <w:rsid w:val="004258FF"/>
    <w:rsid w:val="00425913"/>
    <w:rsid w:val="00425959"/>
    <w:rsid w:val="00425965"/>
    <w:rsid w:val="004259B6"/>
    <w:rsid w:val="00425A04"/>
    <w:rsid w:val="00425A72"/>
    <w:rsid w:val="00425A9C"/>
    <w:rsid w:val="00425AAF"/>
    <w:rsid w:val="00425AE3"/>
    <w:rsid w:val="00425B2A"/>
    <w:rsid w:val="00425B3B"/>
    <w:rsid w:val="00425B40"/>
    <w:rsid w:val="00425B64"/>
    <w:rsid w:val="00425B71"/>
    <w:rsid w:val="00425B7A"/>
    <w:rsid w:val="00425B97"/>
    <w:rsid w:val="00425B9D"/>
    <w:rsid w:val="00425BB7"/>
    <w:rsid w:val="00425BC5"/>
    <w:rsid w:val="00425C22"/>
    <w:rsid w:val="00425CA1"/>
    <w:rsid w:val="00425CC8"/>
    <w:rsid w:val="00425D5C"/>
    <w:rsid w:val="00425DC4"/>
    <w:rsid w:val="00425DEE"/>
    <w:rsid w:val="00425E1B"/>
    <w:rsid w:val="00425E20"/>
    <w:rsid w:val="00425E39"/>
    <w:rsid w:val="00425E50"/>
    <w:rsid w:val="00425EEF"/>
    <w:rsid w:val="00425F12"/>
    <w:rsid w:val="00425F1A"/>
    <w:rsid w:val="00425F26"/>
    <w:rsid w:val="00425F27"/>
    <w:rsid w:val="00425F30"/>
    <w:rsid w:val="00425F78"/>
    <w:rsid w:val="00425F8D"/>
    <w:rsid w:val="00426032"/>
    <w:rsid w:val="0042603A"/>
    <w:rsid w:val="00426043"/>
    <w:rsid w:val="004260C3"/>
    <w:rsid w:val="0042611A"/>
    <w:rsid w:val="0042618D"/>
    <w:rsid w:val="00426190"/>
    <w:rsid w:val="004261E6"/>
    <w:rsid w:val="004262A7"/>
    <w:rsid w:val="004262E5"/>
    <w:rsid w:val="0042634E"/>
    <w:rsid w:val="00426350"/>
    <w:rsid w:val="00426437"/>
    <w:rsid w:val="00426438"/>
    <w:rsid w:val="00426474"/>
    <w:rsid w:val="0042648F"/>
    <w:rsid w:val="00426492"/>
    <w:rsid w:val="004264BD"/>
    <w:rsid w:val="004264D9"/>
    <w:rsid w:val="004264EF"/>
    <w:rsid w:val="00426510"/>
    <w:rsid w:val="0042653E"/>
    <w:rsid w:val="0042656E"/>
    <w:rsid w:val="0042657D"/>
    <w:rsid w:val="004265A9"/>
    <w:rsid w:val="004265C8"/>
    <w:rsid w:val="004265CB"/>
    <w:rsid w:val="004265F4"/>
    <w:rsid w:val="0042664A"/>
    <w:rsid w:val="00426686"/>
    <w:rsid w:val="004266F5"/>
    <w:rsid w:val="0042670D"/>
    <w:rsid w:val="00426720"/>
    <w:rsid w:val="00426733"/>
    <w:rsid w:val="00426746"/>
    <w:rsid w:val="0042677D"/>
    <w:rsid w:val="004267A6"/>
    <w:rsid w:val="00426807"/>
    <w:rsid w:val="0042680F"/>
    <w:rsid w:val="00426862"/>
    <w:rsid w:val="0042686E"/>
    <w:rsid w:val="0042687D"/>
    <w:rsid w:val="00426890"/>
    <w:rsid w:val="00426891"/>
    <w:rsid w:val="004268C3"/>
    <w:rsid w:val="004268EE"/>
    <w:rsid w:val="0042690D"/>
    <w:rsid w:val="00426955"/>
    <w:rsid w:val="00426963"/>
    <w:rsid w:val="00426972"/>
    <w:rsid w:val="00426980"/>
    <w:rsid w:val="004269C5"/>
    <w:rsid w:val="00426A07"/>
    <w:rsid w:val="00426A2E"/>
    <w:rsid w:val="00426A54"/>
    <w:rsid w:val="00426A9E"/>
    <w:rsid w:val="00426AA5"/>
    <w:rsid w:val="00426AF1"/>
    <w:rsid w:val="00426B6D"/>
    <w:rsid w:val="00426B6E"/>
    <w:rsid w:val="00426CA4"/>
    <w:rsid w:val="00426CA8"/>
    <w:rsid w:val="00426CDF"/>
    <w:rsid w:val="00426D25"/>
    <w:rsid w:val="00426D85"/>
    <w:rsid w:val="00426D8A"/>
    <w:rsid w:val="00426D8F"/>
    <w:rsid w:val="00426DC3"/>
    <w:rsid w:val="00426DDB"/>
    <w:rsid w:val="00426DE6"/>
    <w:rsid w:val="00426F74"/>
    <w:rsid w:val="00426F9C"/>
    <w:rsid w:val="00426FBE"/>
    <w:rsid w:val="0042702E"/>
    <w:rsid w:val="00427045"/>
    <w:rsid w:val="004270BF"/>
    <w:rsid w:val="004270EC"/>
    <w:rsid w:val="00427109"/>
    <w:rsid w:val="0042711D"/>
    <w:rsid w:val="00427156"/>
    <w:rsid w:val="00427167"/>
    <w:rsid w:val="0042718B"/>
    <w:rsid w:val="004271C5"/>
    <w:rsid w:val="00427220"/>
    <w:rsid w:val="00427229"/>
    <w:rsid w:val="0042723F"/>
    <w:rsid w:val="0042725C"/>
    <w:rsid w:val="00427264"/>
    <w:rsid w:val="00427270"/>
    <w:rsid w:val="00427287"/>
    <w:rsid w:val="004272BE"/>
    <w:rsid w:val="004272D2"/>
    <w:rsid w:val="004273AF"/>
    <w:rsid w:val="004273C4"/>
    <w:rsid w:val="004273C7"/>
    <w:rsid w:val="004273C9"/>
    <w:rsid w:val="004273CE"/>
    <w:rsid w:val="004273EB"/>
    <w:rsid w:val="004273FD"/>
    <w:rsid w:val="00427409"/>
    <w:rsid w:val="00427410"/>
    <w:rsid w:val="00427445"/>
    <w:rsid w:val="00427463"/>
    <w:rsid w:val="00427483"/>
    <w:rsid w:val="004274C8"/>
    <w:rsid w:val="00427538"/>
    <w:rsid w:val="00427547"/>
    <w:rsid w:val="0042754B"/>
    <w:rsid w:val="004275AC"/>
    <w:rsid w:val="0042761A"/>
    <w:rsid w:val="0042761C"/>
    <w:rsid w:val="00427634"/>
    <w:rsid w:val="00427698"/>
    <w:rsid w:val="004276BC"/>
    <w:rsid w:val="00427746"/>
    <w:rsid w:val="004277B8"/>
    <w:rsid w:val="00427815"/>
    <w:rsid w:val="0042783C"/>
    <w:rsid w:val="00427850"/>
    <w:rsid w:val="00427867"/>
    <w:rsid w:val="00427876"/>
    <w:rsid w:val="00427885"/>
    <w:rsid w:val="004278BD"/>
    <w:rsid w:val="00427973"/>
    <w:rsid w:val="004279A2"/>
    <w:rsid w:val="004279B8"/>
    <w:rsid w:val="00427A14"/>
    <w:rsid w:val="00427A44"/>
    <w:rsid w:val="00427A4D"/>
    <w:rsid w:val="00427A60"/>
    <w:rsid w:val="00427A62"/>
    <w:rsid w:val="00427A75"/>
    <w:rsid w:val="00427AD8"/>
    <w:rsid w:val="00427AE5"/>
    <w:rsid w:val="00427B14"/>
    <w:rsid w:val="00427B94"/>
    <w:rsid w:val="00427BA4"/>
    <w:rsid w:val="00427BBE"/>
    <w:rsid w:val="00427C27"/>
    <w:rsid w:val="00427C93"/>
    <w:rsid w:val="00427C9B"/>
    <w:rsid w:val="00427CE2"/>
    <w:rsid w:val="00427CEC"/>
    <w:rsid w:val="00427E05"/>
    <w:rsid w:val="00427E16"/>
    <w:rsid w:val="00427E1E"/>
    <w:rsid w:val="00427E58"/>
    <w:rsid w:val="00427ECA"/>
    <w:rsid w:val="00427EE3"/>
    <w:rsid w:val="00427F2D"/>
    <w:rsid w:val="00427F30"/>
    <w:rsid w:val="00427F45"/>
    <w:rsid w:val="00427F4F"/>
    <w:rsid w:val="00427F6A"/>
    <w:rsid w:val="00427F71"/>
    <w:rsid w:val="00427F97"/>
    <w:rsid w:val="00427FAD"/>
    <w:rsid w:val="00427FFA"/>
    <w:rsid w:val="0043000C"/>
    <w:rsid w:val="00430014"/>
    <w:rsid w:val="00430032"/>
    <w:rsid w:val="00430065"/>
    <w:rsid w:val="004300EF"/>
    <w:rsid w:val="00430102"/>
    <w:rsid w:val="00430156"/>
    <w:rsid w:val="0043016C"/>
    <w:rsid w:val="004301EA"/>
    <w:rsid w:val="004301F4"/>
    <w:rsid w:val="0043024E"/>
    <w:rsid w:val="0043025E"/>
    <w:rsid w:val="004302BF"/>
    <w:rsid w:val="004302F2"/>
    <w:rsid w:val="00430338"/>
    <w:rsid w:val="0043033A"/>
    <w:rsid w:val="00430384"/>
    <w:rsid w:val="00430391"/>
    <w:rsid w:val="0043039E"/>
    <w:rsid w:val="004303AE"/>
    <w:rsid w:val="004303C3"/>
    <w:rsid w:val="004303FD"/>
    <w:rsid w:val="004304B1"/>
    <w:rsid w:val="004304C5"/>
    <w:rsid w:val="004304DE"/>
    <w:rsid w:val="004304EE"/>
    <w:rsid w:val="00430518"/>
    <w:rsid w:val="00430560"/>
    <w:rsid w:val="00430595"/>
    <w:rsid w:val="004305AE"/>
    <w:rsid w:val="004305C1"/>
    <w:rsid w:val="004305C8"/>
    <w:rsid w:val="004305CB"/>
    <w:rsid w:val="004305EF"/>
    <w:rsid w:val="0043066C"/>
    <w:rsid w:val="00430682"/>
    <w:rsid w:val="00430702"/>
    <w:rsid w:val="00430763"/>
    <w:rsid w:val="004307A2"/>
    <w:rsid w:val="004307B6"/>
    <w:rsid w:val="00430874"/>
    <w:rsid w:val="00430876"/>
    <w:rsid w:val="00430877"/>
    <w:rsid w:val="004308A7"/>
    <w:rsid w:val="004308F7"/>
    <w:rsid w:val="0043090B"/>
    <w:rsid w:val="00430914"/>
    <w:rsid w:val="00430968"/>
    <w:rsid w:val="004309BC"/>
    <w:rsid w:val="004309CC"/>
    <w:rsid w:val="004309F0"/>
    <w:rsid w:val="004309F6"/>
    <w:rsid w:val="00430A78"/>
    <w:rsid w:val="00430A88"/>
    <w:rsid w:val="00430AA7"/>
    <w:rsid w:val="00430BBD"/>
    <w:rsid w:val="00430BC4"/>
    <w:rsid w:val="00430C35"/>
    <w:rsid w:val="00430C3A"/>
    <w:rsid w:val="00430C49"/>
    <w:rsid w:val="00430CE4"/>
    <w:rsid w:val="00430CFE"/>
    <w:rsid w:val="00430D41"/>
    <w:rsid w:val="00430D49"/>
    <w:rsid w:val="00430D61"/>
    <w:rsid w:val="00430DB1"/>
    <w:rsid w:val="00430E0D"/>
    <w:rsid w:val="00430E32"/>
    <w:rsid w:val="00430E99"/>
    <w:rsid w:val="00430EAD"/>
    <w:rsid w:val="00430EE4"/>
    <w:rsid w:val="00430F08"/>
    <w:rsid w:val="00430F85"/>
    <w:rsid w:val="00430F88"/>
    <w:rsid w:val="00430F8C"/>
    <w:rsid w:val="00430FD2"/>
    <w:rsid w:val="00431037"/>
    <w:rsid w:val="004310B5"/>
    <w:rsid w:val="004310E7"/>
    <w:rsid w:val="004310EB"/>
    <w:rsid w:val="00431130"/>
    <w:rsid w:val="004311A1"/>
    <w:rsid w:val="004311B0"/>
    <w:rsid w:val="004311BD"/>
    <w:rsid w:val="0043123A"/>
    <w:rsid w:val="0043124E"/>
    <w:rsid w:val="00431282"/>
    <w:rsid w:val="00431287"/>
    <w:rsid w:val="004312A4"/>
    <w:rsid w:val="00431309"/>
    <w:rsid w:val="004313C7"/>
    <w:rsid w:val="0043144A"/>
    <w:rsid w:val="00431465"/>
    <w:rsid w:val="004314C1"/>
    <w:rsid w:val="004314C5"/>
    <w:rsid w:val="004314CD"/>
    <w:rsid w:val="0043154E"/>
    <w:rsid w:val="00431551"/>
    <w:rsid w:val="0043159B"/>
    <w:rsid w:val="004315AB"/>
    <w:rsid w:val="004315DE"/>
    <w:rsid w:val="004315E8"/>
    <w:rsid w:val="00431686"/>
    <w:rsid w:val="004316B9"/>
    <w:rsid w:val="004316DD"/>
    <w:rsid w:val="0043178D"/>
    <w:rsid w:val="00431794"/>
    <w:rsid w:val="004317D2"/>
    <w:rsid w:val="004317F6"/>
    <w:rsid w:val="00431805"/>
    <w:rsid w:val="0043186D"/>
    <w:rsid w:val="0043188A"/>
    <w:rsid w:val="0043190D"/>
    <w:rsid w:val="00431925"/>
    <w:rsid w:val="00431938"/>
    <w:rsid w:val="0043196C"/>
    <w:rsid w:val="004319BD"/>
    <w:rsid w:val="004319BF"/>
    <w:rsid w:val="004319C3"/>
    <w:rsid w:val="00431A4C"/>
    <w:rsid w:val="00431AF5"/>
    <w:rsid w:val="00431B3D"/>
    <w:rsid w:val="00431B76"/>
    <w:rsid w:val="00431BCE"/>
    <w:rsid w:val="00431C6B"/>
    <w:rsid w:val="00431CF4"/>
    <w:rsid w:val="00431D40"/>
    <w:rsid w:val="00431D48"/>
    <w:rsid w:val="00431E20"/>
    <w:rsid w:val="00431E58"/>
    <w:rsid w:val="00431F09"/>
    <w:rsid w:val="00431F0E"/>
    <w:rsid w:val="00431F6C"/>
    <w:rsid w:val="00431FCE"/>
    <w:rsid w:val="00431FF7"/>
    <w:rsid w:val="00432043"/>
    <w:rsid w:val="00432044"/>
    <w:rsid w:val="0043208D"/>
    <w:rsid w:val="0043209A"/>
    <w:rsid w:val="0043209E"/>
    <w:rsid w:val="004320AA"/>
    <w:rsid w:val="004320B1"/>
    <w:rsid w:val="004320F2"/>
    <w:rsid w:val="0043212A"/>
    <w:rsid w:val="00432176"/>
    <w:rsid w:val="00432185"/>
    <w:rsid w:val="0043218A"/>
    <w:rsid w:val="004321A9"/>
    <w:rsid w:val="004321BD"/>
    <w:rsid w:val="004321D3"/>
    <w:rsid w:val="0043223C"/>
    <w:rsid w:val="00432260"/>
    <w:rsid w:val="00432275"/>
    <w:rsid w:val="004322FC"/>
    <w:rsid w:val="00432305"/>
    <w:rsid w:val="0043239F"/>
    <w:rsid w:val="004323CE"/>
    <w:rsid w:val="004323EF"/>
    <w:rsid w:val="00432425"/>
    <w:rsid w:val="00432431"/>
    <w:rsid w:val="00432443"/>
    <w:rsid w:val="004324A3"/>
    <w:rsid w:val="004324AE"/>
    <w:rsid w:val="004324F0"/>
    <w:rsid w:val="00432514"/>
    <w:rsid w:val="0043255F"/>
    <w:rsid w:val="00432589"/>
    <w:rsid w:val="004325D3"/>
    <w:rsid w:val="004325F1"/>
    <w:rsid w:val="00432619"/>
    <w:rsid w:val="0043262A"/>
    <w:rsid w:val="00432632"/>
    <w:rsid w:val="0043265D"/>
    <w:rsid w:val="004326C3"/>
    <w:rsid w:val="004326C5"/>
    <w:rsid w:val="004326E1"/>
    <w:rsid w:val="004326E2"/>
    <w:rsid w:val="0043270C"/>
    <w:rsid w:val="00432726"/>
    <w:rsid w:val="0043272F"/>
    <w:rsid w:val="004327BD"/>
    <w:rsid w:val="004327BF"/>
    <w:rsid w:val="0043280B"/>
    <w:rsid w:val="0043291C"/>
    <w:rsid w:val="0043291D"/>
    <w:rsid w:val="00432935"/>
    <w:rsid w:val="00432998"/>
    <w:rsid w:val="004329BA"/>
    <w:rsid w:val="004329C8"/>
    <w:rsid w:val="00432A00"/>
    <w:rsid w:val="00432A1B"/>
    <w:rsid w:val="00432A9E"/>
    <w:rsid w:val="00432AA5"/>
    <w:rsid w:val="00432AD1"/>
    <w:rsid w:val="00432AE1"/>
    <w:rsid w:val="00432B2A"/>
    <w:rsid w:val="00432B63"/>
    <w:rsid w:val="00432BC8"/>
    <w:rsid w:val="00432BE3"/>
    <w:rsid w:val="00432BE8"/>
    <w:rsid w:val="00432C84"/>
    <w:rsid w:val="00432D0F"/>
    <w:rsid w:val="00432D15"/>
    <w:rsid w:val="00432D4C"/>
    <w:rsid w:val="00432D51"/>
    <w:rsid w:val="00432D60"/>
    <w:rsid w:val="00432E9C"/>
    <w:rsid w:val="00432EAB"/>
    <w:rsid w:val="00432F15"/>
    <w:rsid w:val="00432F1B"/>
    <w:rsid w:val="00432F5E"/>
    <w:rsid w:val="00432F62"/>
    <w:rsid w:val="00432F76"/>
    <w:rsid w:val="00432FCF"/>
    <w:rsid w:val="00432FE3"/>
    <w:rsid w:val="00432FFC"/>
    <w:rsid w:val="00432FFE"/>
    <w:rsid w:val="00432FFF"/>
    <w:rsid w:val="00433029"/>
    <w:rsid w:val="0043302D"/>
    <w:rsid w:val="0043307C"/>
    <w:rsid w:val="00433084"/>
    <w:rsid w:val="00433095"/>
    <w:rsid w:val="004330D2"/>
    <w:rsid w:val="004330D6"/>
    <w:rsid w:val="004331D2"/>
    <w:rsid w:val="004331FE"/>
    <w:rsid w:val="0043324E"/>
    <w:rsid w:val="00433265"/>
    <w:rsid w:val="004332A5"/>
    <w:rsid w:val="004332BC"/>
    <w:rsid w:val="004332F8"/>
    <w:rsid w:val="00433376"/>
    <w:rsid w:val="00433379"/>
    <w:rsid w:val="004334A6"/>
    <w:rsid w:val="004334AC"/>
    <w:rsid w:val="00433542"/>
    <w:rsid w:val="0043354A"/>
    <w:rsid w:val="0043359E"/>
    <w:rsid w:val="004335B3"/>
    <w:rsid w:val="004335D6"/>
    <w:rsid w:val="004335FF"/>
    <w:rsid w:val="0043362E"/>
    <w:rsid w:val="00433640"/>
    <w:rsid w:val="00433658"/>
    <w:rsid w:val="0043366D"/>
    <w:rsid w:val="004336B0"/>
    <w:rsid w:val="00433718"/>
    <w:rsid w:val="00433729"/>
    <w:rsid w:val="0043373E"/>
    <w:rsid w:val="00433749"/>
    <w:rsid w:val="00433777"/>
    <w:rsid w:val="0043378E"/>
    <w:rsid w:val="004337E3"/>
    <w:rsid w:val="004337F2"/>
    <w:rsid w:val="0043380C"/>
    <w:rsid w:val="0043383E"/>
    <w:rsid w:val="00433851"/>
    <w:rsid w:val="00433872"/>
    <w:rsid w:val="00433893"/>
    <w:rsid w:val="004338DA"/>
    <w:rsid w:val="00433914"/>
    <w:rsid w:val="0043395F"/>
    <w:rsid w:val="0043399F"/>
    <w:rsid w:val="004339E9"/>
    <w:rsid w:val="004339F0"/>
    <w:rsid w:val="004339FB"/>
    <w:rsid w:val="00433A2E"/>
    <w:rsid w:val="00433A46"/>
    <w:rsid w:val="00433A9F"/>
    <w:rsid w:val="00433B1B"/>
    <w:rsid w:val="00433B55"/>
    <w:rsid w:val="00433B6B"/>
    <w:rsid w:val="00433B7E"/>
    <w:rsid w:val="00433B8C"/>
    <w:rsid w:val="00433BAE"/>
    <w:rsid w:val="00433BB9"/>
    <w:rsid w:val="00433C0E"/>
    <w:rsid w:val="00433C8C"/>
    <w:rsid w:val="00433CA1"/>
    <w:rsid w:val="00433CCC"/>
    <w:rsid w:val="00433D54"/>
    <w:rsid w:val="00433D5B"/>
    <w:rsid w:val="00433E38"/>
    <w:rsid w:val="00433E3C"/>
    <w:rsid w:val="00433E43"/>
    <w:rsid w:val="00433E91"/>
    <w:rsid w:val="00433EB7"/>
    <w:rsid w:val="00433EC9"/>
    <w:rsid w:val="00433F0E"/>
    <w:rsid w:val="00434004"/>
    <w:rsid w:val="004340DE"/>
    <w:rsid w:val="004340F6"/>
    <w:rsid w:val="004341A5"/>
    <w:rsid w:val="004341AC"/>
    <w:rsid w:val="004341C0"/>
    <w:rsid w:val="00434200"/>
    <w:rsid w:val="00434203"/>
    <w:rsid w:val="0043423A"/>
    <w:rsid w:val="00434271"/>
    <w:rsid w:val="004342B2"/>
    <w:rsid w:val="004342B3"/>
    <w:rsid w:val="004342EF"/>
    <w:rsid w:val="00434340"/>
    <w:rsid w:val="0043436C"/>
    <w:rsid w:val="00434371"/>
    <w:rsid w:val="00434375"/>
    <w:rsid w:val="004343CF"/>
    <w:rsid w:val="00434463"/>
    <w:rsid w:val="00434491"/>
    <w:rsid w:val="004344A0"/>
    <w:rsid w:val="004344EC"/>
    <w:rsid w:val="00434505"/>
    <w:rsid w:val="00434513"/>
    <w:rsid w:val="0043453A"/>
    <w:rsid w:val="0043453E"/>
    <w:rsid w:val="00434580"/>
    <w:rsid w:val="00434587"/>
    <w:rsid w:val="0043458A"/>
    <w:rsid w:val="004345A0"/>
    <w:rsid w:val="004345A7"/>
    <w:rsid w:val="004345D4"/>
    <w:rsid w:val="004345EC"/>
    <w:rsid w:val="00434648"/>
    <w:rsid w:val="00434670"/>
    <w:rsid w:val="00434674"/>
    <w:rsid w:val="00434699"/>
    <w:rsid w:val="004346C6"/>
    <w:rsid w:val="004346E1"/>
    <w:rsid w:val="00434756"/>
    <w:rsid w:val="00434762"/>
    <w:rsid w:val="004347CF"/>
    <w:rsid w:val="0043486D"/>
    <w:rsid w:val="00434886"/>
    <w:rsid w:val="0043489F"/>
    <w:rsid w:val="004348D6"/>
    <w:rsid w:val="004348E6"/>
    <w:rsid w:val="004348EB"/>
    <w:rsid w:val="00434913"/>
    <w:rsid w:val="00434928"/>
    <w:rsid w:val="00434944"/>
    <w:rsid w:val="00434981"/>
    <w:rsid w:val="004349BF"/>
    <w:rsid w:val="00434A0B"/>
    <w:rsid w:val="00434A25"/>
    <w:rsid w:val="00434A91"/>
    <w:rsid w:val="00434A92"/>
    <w:rsid w:val="00434A93"/>
    <w:rsid w:val="00434AA0"/>
    <w:rsid w:val="00434AA4"/>
    <w:rsid w:val="00434B2C"/>
    <w:rsid w:val="00434B2F"/>
    <w:rsid w:val="00434B62"/>
    <w:rsid w:val="00434BD8"/>
    <w:rsid w:val="00434C9F"/>
    <w:rsid w:val="00434CD0"/>
    <w:rsid w:val="00434CE6"/>
    <w:rsid w:val="00434D12"/>
    <w:rsid w:val="00434D6B"/>
    <w:rsid w:val="00434E17"/>
    <w:rsid w:val="00434E60"/>
    <w:rsid w:val="00434E91"/>
    <w:rsid w:val="00434EFA"/>
    <w:rsid w:val="00434F09"/>
    <w:rsid w:val="00434F0C"/>
    <w:rsid w:val="00434F29"/>
    <w:rsid w:val="00434FB3"/>
    <w:rsid w:val="00434FD4"/>
    <w:rsid w:val="00435034"/>
    <w:rsid w:val="0043505D"/>
    <w:rsid w:val="00435093"/>
    <w:rsid w:val="00435166"/>
    <w:rsid w:val="00435182"/>
    <w:rsid w:val="00435191"/>
    <w:rsid w:val="004351BB"/>
    <w:rsid w:val="004351C7"/>
    <w:rsid w:val="00435205"/>
    <w:rsid w:val="00435218"/>
    <w:rsid w:val="00435239"/>
    <w:rsid w:val="0043523A"/>
    <w:rsid w:val="00435250"/>
    <w:rsid w:val="00435252"/>
    <w:rsid w:val="00435294"/>
    <w:rsid w:val="004352BA"/>
    <w:rsid w:val="004352F8"/>
    <w:rsid w:val="00435300"/>
    <w:rsid w:val="00435361"/>
    <w:rsid w:val="00435370"/>
    <w:rsid w:val="004353A1"/>
    <w:rsid w:val="0043542B"/>
    <w:rsid w:val="0043547B"/>
    <w:rsid w:val="00435497"/>
    <w:rsid w:val="004354A1"/>
    <w:rsid w:val="004354F8"/>
    <w:rsid w:val="0043552A"/>
    <w:rsid w:val="00435544"/>
    <w:rsid w:val="00435587"/>
    <w:rsid w:val="004355B9"/>
    <w:rsid w:val="004355FC"/>
    <w:rsid w:val="00435605"/>
    <w:rsid w:val="00435628"/>
    <w:rsid w:val="00435641"/>
    <w:rsid w:val="004356B0"/>
    <w:rsid w:val="004356D3"/>
    <w:rsid w:val="004356F1"/>
    <w:rsid w:val="00435705"/>
    <w:rsid w:val="00435763"/>
    <w:rsid w:val="0043576A"/>
    <w:rsid w:val="0043578E"/>
    <w:rsid w:val="004357F9"/>
    <w:rsid w:val="0043585A"/>
    <w:rsid w:val="004358EA"/>
    <w:rsid w:val="004358F7"/>
    <w:rsid w:val="004358F8"/>
    <w:rsid w:val="00435912"/>
    <w:rsid w:val="00435929"/>
    <w:rsid w:val="004359B1"/>
    <w:rsid w:val="004359D7"/>
    <w:rsid w:val="00435A96"/>
    <w:rsid w:val="00435AAD"/>
    <w:rsid w:val="00435AF8"/>
    <w:rsid w:val="00435B21"/>
    <w:rsid w:val="00435B45"/>
    <w:rsid w:val="00435BBC"/>
    <w:rsid w:val="00435C14"/>
    <w:rsid w:val="00435C36"/>
    <w:rsid w:val="00435C80"/>
    <w:rsid w:val="00435C83"/>
    <w:rsid w:val="00435CAB"/>
    <w:rsid w:val="00435CB1"/>
    <w:rsid w:val="00435CD2"/>
    <w:rsid w:val="00435D59"/>
    <w:rsid w:val="00435DC3"/>
    <w:rsid w:val="00435DF6"/>
    <w:rsid w:val="00435E57"/>
    <w:rsid w:val="00435E68"/>
    <w:rsid w:val="00435F33"/>
    <w:rsid w:val="00435F68"/>
    <w:rsid w:val="00435FB3"/>
    <w:rsid w:val="00435FE0"/>
    <w:rsid w:val="0043605D"/>
    <w:rsid w:val="004360D1"/>
    <w:rsid w:val="004360F4"/>
    <w:rsid w:val="00436102"/>
    <w:rsid w:val="0043610B"/>
    <w:rsid w:val="0043617C"/>
    <w:rsid w:val="004361C5"/>
    <w:rsid w:val="004361F0"/>
    <w:rsid w:val="004361F9"/>
    <w:rsid w:val="004362BB"/>
    <w:rsid w:val="00436305"/>
    <w:rsid w:val="00436338"/>
    <w:rsid w:val="004363AD"/>
    <w:rsid w:val="004363C9"/>
    <w:rsid w:val="00436468"/>
    <w:rsid w:val="0043648C"/>
    <w:rsid w:val="004365A3"/>
    <w:rsid w:val="004365C4"/>
    <w:rsid w:val="00436621"/>
    <w:rsid w:val="00436665"/>
    <w:rsid w:val="0043668C"/>
    <w:rsid w:val="004366BD"/>
    <w:rsid w:val="004366DB"/>
    <w:rsid w:val="004366E2"/>
    <w:rsid w:val="00436712"/>
    <w:rsid w:val="0043676A"/>
    <w:rsid w:val="00436771"/>
    <w:rsid w:val="00436788"/>
    <w:rsid w:val="004367C2"/>
    <w:rsid w:val="004367E2"/>
    <w:rsid w:val="004367E9"/>
    <w:rsid w:val="00436927"/>
    <w:rsid w:val="0043693F"/>
    <w:rsid w:val="00436963"/>
    <w:rsid w:val="004369A6"/>
    <w:rsid w:val="004369A7"/>
    <w:rsid w:val="004369B8"/>
    <w:rsid w:val="004369C2"/>
    <w:rsid w:val="00436A11"/>
    <w:rsid w:val="00436A14"/>
    <w:rsid w:val="00436A53"/>
    <w:rsid w:val="00436A6B"/>
    <w:rsid w:val="00436AA9"/>
    <w:rsid w:val="00436AF3"/>
    <w:rsid w:val="00436B13"/>
    <w:rsid w:val="00436B1C"/>
    <w:rsid w:val="00436B2E"/>
    <w:rsid w:val="00436B34"/>
    <w:rsid w:val="00436B4B"/>
    <w:rsid w:val="00436B58"/>
    <w:rsid w:val="00436B71"/>
    <w:rsid w:val="00436B85"/>
    <w:rsid w:val="00436BCE"/>
    <w:rsid w:val="00436C0B"/>
    <w:rsid w:val="00436C14"/>
    <w:rsid w:val="00436C44"/>
    <w:rsid w:val="00436C53"/>
    <w:rsid w:val="00436C6A"/>
    <w:rsid w:val="00436C81"/>
    <w:rsid w:val="00436C8D"/>
    <w:rsid w:val="00436CCF"/>
    <w:rsid w:val="00436CE2"/>
    <w:rsid w:val="00436CF3"/>
    <w:rsid w:val="00436CF9"/>
    <w:rsid w:val="00436D13"/>
    <w:rsid w:val="00436D2A"/>
    <w:rsid w:val="00436D78"/>
    <w:rsid w:val="00436DB5"/>
    <w:rsid w:val="00436DC8"/>
    <w:rsid w:val="00436E5B"/>
    <w:rsid w:val="00436E8B"/>
    <w:rsid w:val="00436EAB"/>
    <w:rsid w:val="00436EC3"/>
    <w:rsid w:val="00436F1D"/>
    <w:rsid w:val="00436F24"/>
    <w:rsid w:val="00436F25"/>
    <w:rsid w:val="00436F74"/>
    <w:rsid w:val="00436FD5"/>
    <w:rsid w:val="00437000"/>
    <w:rsid w:val="00437040"/>
    <w:rsid w:val="004370BE"/>
    <w:rsid w:val="004370FE"/>
    <w:rsid w:val="0043711B"/>
    <w:rsid w:val="00437152"/>
    <w:rsid w:val="00437185"/>
    <w:rsid w:val="004371A3"/>
    <w:rsid w:val="0043722A"/>
    <w:rsid w:val="004372B6"/>
    <w:rsid w:val="004372C9"/>
    <w:rsid w:val="004372D6"/>
    <w:rsid w:val="004372FC"/>
    <w:rsid w:val="0043730E"/>
    <w:rsid w:val="00437320"/>
    <w:rsid w:val="0043732A"/>
    <w:rsid w:val="00437372"/>
    <w:rsid w:val="00437398"/>
    <w:rsid w:val="00437406"/>
    <w:rsid w:val="0043740F"/>
    <w:rsid w:val="00437456"/>
    <w:rsid w:val="00437546"/>
    <w:rsid w:val="0043754A"/>
    <w:rsid w:val="00437558"/>
    <w:rsid w:val="00437578"/>
    <w:rsid w:val="004375D9"/>
    <w:rsid w:val="00437607"/>
    <w:rsid w:val="00437621"/>
    <w:rsid w:val="004376C8"/>
    <w:rsid w:val="004376DD"/>
    <w:rsid w:val="00437741"/>
    <w:rsid w:val="004377A5"/>
    <w:rsid w:val="004377B5"/>
    <w:rsid w:val="004377BC"/>
    <w:rsid w:val="004377CA"/>
    <w:rsid w:val="004377FF"/>
    <w:rsid w:val="00437834"/>
    <w:rsid w:val="0043784E"/>
    <w:rsid w:val="004378CB"/>
    <w:rsid w:val="004378DC"/>
    <w:rsid w:val="004378E4"/>
    <w:rsid w:val="004378EB"/>
    <w:rsid w:val="00437909"/>
    <w:rsid w:val="0043790F"/>
    <w:rsid w:val="0043791B"/>
    <w:rsid w:val="00437969"/>
    <w:rsid w:val="00437970"/>
    <w:rsid w:val="004379DC"/>
    <w:rsid w:val="00437A22"/>
    <w:rsid w:val="00437A3A"/>
    <w:rsid w:val="00437A6B"/>
    <w:rsid w:val="00437AB4"/>
    <w:rsid w:val="00437AE3"/>
    <w:rsid w:val="00437B1C"/>
    <w:rsid w:val="00437B63"/>
    <w:rsid w:val="00437BBF"/>
    <w:rsid w:val="00437BE4"/>
    <w:rsid w:val="00437BE7"/>
    <w:rsid w:val="00437C03"/>
    <w:rsid w:val="00437C25"/>
    <w:rsid w:val="00437C48"/>
    <w:rsid w:val="00437C9C"/>
    <w:rsid w:val="00437CEA"/>
    <w:rsid w:val="00437D14"/>
    <w:rsid w:val="00437DEB"/>
    <w:rsid w:val="00437DF4"/>
    <w:rsid w:val="00437E8C"/>
    <w:rsid w:val="00437E8F"/>
    <w:rsid w:val="00437E96"/>
    <w:rsid w:val="00437EA6"/>
    <w:rsid w:val="00437F58"/>
    <w:rsid w:val="00437F68"/>
    <w:rsid w:val="00437F6F"/>
    <w:rsid w:val="00437FD2"/>
    <w:rsid w:val="0044000A"/>
    <w:rsid w:val="0044000F"/>
    <w:rsid w:val="00440017"/>
    <w:rsid w:val="00440096"/>
    <w:rsid w:val="004400A9"/>
    <w:rsid w:val="004400BC"/>
    <w:rsid w:val="00440124"/>
    <w:rsid w:val="00440132"/>
    <w:rsid w:val="0044013F"/>
    <w:rsid w:val="00440178"/>
    <w:rsid w:val="00440189"/>
    <w:rsid w:val="004401AE"/>
    <w:rsid w:val="004401C5"/>
    <w:rsid w:val="00440275"/>
    <w:rsid w:val="0044029B"/>
    <w:rsid w:val="004402A5"/>
    <w:rsid w:val="004402F8"/>
    <w:rsid w:val="00440310"/>
    <w:rsid w:val="00440392"/>
    <w:rsid w:val="004403AA"/>
    <w:rsid w:val="004403B1"/>
    <w:rsid w:val="004403C5"/>
    <w:rsid w:val="004403CA"/>
    <w:rsid w:val="00440435"/>
    <w:rsid w:val="0044046C"/>
    <w:rsid w:val="004404BD"/>
    <w:rsid w:val="00440544"/>
    <w:rsid w:val="0044054B"/>
    <w:rsid w:val="0044059A"/>
    <w:rsid w:val="004405E2"/>
    <w:rsid w:val="00440622"/>
    <w:rsid w:val="00440684"/>
    <w:rsid w:val="0044068D"/>
    <w:rsid w:val="004406E6"/>
    <w:rsid w:val="0044070E"/>
    <w:rsid w:val="004407DC"/>
    <w:rsid w:val="00440840"/>
    <w:rsid w:val="00440847"/>
    <w:rsid w:val="004408A4"/>
    <w:rsid w:val="004408B1"/>
    <w:rsid w:val="004408E3"/>
    <w:rsid w:val="00440929"/>
    <w:rsid w:val="004409AB"/>
    <w:rsid w:val="004409EB"/>
    <w:rsid w:val="00440A86"/>
    <w:rsid w:val="00440B0C"/>
    <w:rsid w:val="00440B2B"/>
    <w:rsid w:val="00440B3B"/>
    <w:rsid w:val="00440B54"/>
    <w:rsid w:val="00440B91"/>
    <w:rsid w:val="00440BAC"/>
    <w:rsid w:val="00440CAC"/>
    <w:rsid w:val="00440DF0"/>
    <w:rsid w:val="00440E49"/>
    <w:rsid w:val="00440E5B"/>
    <w:rsid w:val="00440EBC"/>
    <w:rsid w:val="00440F25"/>
    <w:rsid w:val="00440F68"/>
    <w:rsid w:val="00440FB6"/>
    <w:rsid w:val="00440FED"/>
    <w:rsid w:val="00440FF3"/>
    <w:rsid w:val="00440FFF"/>
    <w:rsid w:val="00441042"/>
    <w:rsid w:val="00441089"/>
    <w:rsid w:val="00441093"/>
    <w:rsid w:val="00441096"/>
    <w:rsid w:val="004410D7"/>
    <w:rsid w:val="00441111"/>
    <w:rsid w:val="0044112B"/>
    <w:rsid w:val="00441140"/>
    <w:rsid w:val="004411BD"/>
    <w:rsid w:val="004411F1"/>
    <w:rsid w:val="00441204"/>
    <w:rsid w:val="00441266"/>
    <w:rsid w:val="004412E3"/>
    <w:rsid w:val="0044130C"/>
    <w:rsid w:val="0044136E"/>
    <w:rsid w:val="0044138E"/>
    <w:rsid w:val="00441399"/>
    <w:rsid w:val="004413E4"/>
    <w:rsid w:val="00441413"/>
    <w:rsid w:val="00441428"/>
    <w:rsid w:val="00441437"/>
    <w:rsid w:val="0044143A"/>
    <w:rsid w:val="00441451"/>
    <w:rsid w:val="00441458"/>
    <w:rsid w:val="00441461"/>
    <w:rsid w:val="004414AE"/>
    <w:rsid w:val="004414CB"/>
    <w:rsid w:val="004414E4"/>
    <w:rsid w:val="0044151B"/>
    <w:rsid w:val="00441558"/>
    <w:rsid w:val="004415CA"/>
    <w:rsid w:val="004415D3"/>
    <w:rsid w:val="00441601"/>
    <w:rsid w:val="00441608"/>
    <w:rsid w:val="00441616"/>
    <w:rsid w:val="00441765"/>
    <w:rsid w:val="0044182A"/>
    <w:rsid w:val="0044182D"/>
    <w:rsid w:val="0044185D"/>
    <w:rsid w:val="00441882"/>
    <w:rsid w:val="00441894"/>
    <w:rsid w:val="004418A4"/>
    <w:rsid w:val="004418BF"/>
    <w:rsid w:val="004418FE"/>
    <w:rsid w:val="004418FF"/>
    <w:rsid w:val="00441979"/>
    <w:rsid w:val="004419AC"/>
    <w:rsid w:val="00441A0C"/>
    <w:rsid w:val="00441A0E"/>
    <w:rsid w:val="00441A11"/>
    <w:rsid w:val="00441A81"/>
    <w:rsid w:val="00441ABD"/>
    <w:rsid w:val="00441AC5"/>
    <w:rsid w:val="00441AD9"/>
    <w:rsid w:val="00441B82"/>
    <w:rsid w:val="00441C11"/>
    <w:rsid w:val="00441C5D"/>
    <w:rsid w:val="00441D4F"/>
    <w:rsid w:val="00441D61"/>
    <w:rsid w:val="00441DB5"/>
    <w:rsid w:val="00441DBC"/>
    <w:rsid w:val="00441DF9"/>
    <w:rsid w:val="00441E0D"/>
    <w:rsid w:val="00441E16"/>
    <w:rsid w:val="00441E5F"/>
    <w:rsid w:val="00441E78"/>
    <w:rsid w:val="00441ECB"/>
    <w:rsid w:val="00441F0C"/>
    <w:rsid w:val="00441F28"/>
    <w:rsid w:val="00441FB1"/>
    <w:rsid w:val="00441FC4"/>
    <w:rsid w:val="00441FCB"/>
    <w:rsid w:val="00442052"/>
    <w:rsid w:val="0044206D"/>
    <w:rsid w:val="004420C5"/>
    <w:rsid w:val="004420E5"/>
    <w:rsid w:val="00442102"/>
    <w:rsid w:val="0044213E"/>
    <w:rsid w:val="00442175"/>
    <w:rsid w:val="00442179"/>
    <w:rsid w:val="00442187"/>
    <w:rsid w:val="0044218E"/>
    <w:rsid w:val="00442196"/>
    <w:rsid w:val="0044219E"/>
    <w:rsid w:val="00442221"/>
    <w:rsid w:val="00442231"/>
    <w:rsid w:val="0044223D"/>
    <w:rsid w:val="00442241"/>
    <w:rsid w:val="0044224A"/>
    <w:rsid w:val="00442282"/>
    <w:rsid w:val="00442285"/>
    <w:rsid w:val="00442286"/>
    <w:rsid w:val="0044229C"/>
    <w:rsid w:val="004422C1"/>
    <w:rsid w:val="004422E4"/>
    <w:rsid w:val="00442305"/>
    <w:rsid w:val="0044232E"/>
    <w:rsid w:val="00442357"/>
    <w:rsid w:val="00442396"/>
    <w:rsid w:val="004423B6"/>
    <w:rsid w:val="004423DF"/>
    <w:rsid w:val="00442429"/>
    <w:rsid w:val="004424A9"/>
    <w:rsid w:val="00442539"/>
    <w:rsid w:val="00442550"/>
    <w:rsid w:val="00442597"/>
    <w:rsid w:val="004425DF"/>
    <w:rsid w:val="004425FA"/>
    <w:rsid w:val="00442601"/>
    <w:rsid w:val="00442636"/>
    <w:rsid w:val="00442651"/>
    <w:rsid w:val="00442696"/>
    <w:rsid w:val="004426E4"/>
    <w:rsid w:val="004426ED"/>
    <w:rsid w:val="0044271A"/>
    <w:rsid w:val="0044272D"/>
    <w:rsid w:val="0044272F"/>
    <w:rsid w:val="00442736"/>
    <w:rsid w:val="0044278C"/>
    <w:rsid w:val="004427C4"/>
    <w:rsid w:val="004427E7"/>
    <w:rsid w:val="004427F2"/>
    <w:rsid w:val="004427F7"/>
    <w:rsid w:val="0044282D"/>
    <w:rsid w:val="00442843"/>
    <w:rsid w:val="0044285A"/>
    <w:rsid w:val="00442879"/>
    <w:rsid w:val="004428B2"/>
    <w:rsid w:val="00442962"/>
    <w:rsid w:val="00442965"/>
    <w:rsid w:val="00442977"/>
    <w:rsid w:val="004429CE"/>
    <w:rsid w:val="004429E5"/>
    <w:rsid w:val="00442A95"/>
    <w:rsid w:val="00442AAD"/>
    <w:rsid w:val="00442ABA"/>
    <w:rsid w:val="00442AF9"/>
    <w:rsid w:val="00442B29"/>
    <w:rsid w:val="00442B49"/>
    <w:rsid w:val="00442B6F"/>
    <w:rsid w:val="00442B97"/>
    <w:rsid w:val="00442BAB"/>
    <w:rsid w:val="00442C03"/>
    <w:rsid w:val="00442C06"/>
    <w:rsid w:val="00442CC1"/>
    <w:rsid w:val="00442D01"/>
    <w:rsid w:val="00442D0E"/>
    <w:rsid w:val="00442D90"/>
    <w:rsid w:val="00442DA5"/>
    <w:rsid w:val="00442DAE"/>
    <w:rsid w:val="00442DE2"/>
    <w:rsid w:val="00442E07"/>
    <w:rsid w:val="00442E28"/>
    <w:rsid w:val="00442E95"/>
    <w:rsid w:val="00442EBA"/>
    <w:rsid w:val="00442EE1"/>
    <w:rsid w:val="00442FA4"/>
    <w:rsid w:val="00442FB2"/>
    <w:rsid w:val="00442FF8"/>
    <w:rsid w:val="00443019"/>
    <w:rsid w:val="00443054"/>
    <w:rsid w:val="00443082"/>
    <w:rsid w:val="00443089"/>
    <w:rsid w:val="00443114"/>
    <w:rsid w:val="00443129"/>
    <w:rsid w:val="0044313D"/>
    <w:rsid w:val="00443285"/>
    <w:rsid w:val="004432F3"/>
    <w:rsid w:val="004433B7"/>
    <w:rsid w:val="004433BE"/>
    <w:rsid w:val="004433C4"/>
    <w:rsid w:val="004433FC"/>
    <w:rsid w:val="00443440"/>
    <w:rsid w:val="0044347E"/>
    <w:rsid w:val="0044348A"/>
    <w:rsid w:val="0044348F"/>
    <w:rsid w:val="0044349E"/>
    <w:rsid w:val="00443503"/>
    <w:rsid w:val="0044350E"/>
    <w:rsid w:val="00443549"/>
    <w:rsid w:val="00443573"/>
    <w:rsid w:val="004435AF"/>
    <w:rsid w:val="004435D0"/>
    <w:rsid w:val="0044360D"/>
    <w:rsid w:val="00443629"/>
    <w:rsid w:val="00443642"/>
    <w:rsid w:val="00443673"/>
    <w:rsid w:val="004436EE"/>
    <w:rsid w:val="004436FD"/>
    <w:rsid w:val="00443720"/>
    <w:rsid w:val="00443732"/>
    <w:rsid w:val="00443739"/>
    <w:rsid w:val="0044374A"/>
    <w:rsid w:val="00443761"/>
    <w:rsid w:val="00443763"/>
    <w:rsid w:val="0044376F"/>
    <w:rsid w:val="004437B8"/>
    <w:rsid w:val="004437E8"/>
    <w:rsid w:val="00443819"/>
    <w:rsid w:val="0044381D"/>
    <w:rsid w:val="0044386B"/>
    <w:rsid w:val="004438BA"/>
    <w:rsid w:val="004438BC"/>
    <w:rsid w:val="004438C3"/>
    <w:rsid w:val="00443953"/>
    <w:rsid w:val="00443967"/>
    <w:rsid w:val="00443981"/>
    <w:rsid w:val="004439BE"/>
    <w:rsid w:val="004439D2"/>
    <w:rsid w:val="00443AF9"/>
    <w:rsid w:val="00443B58"/>
    <w:rsid w:val="00443B92"/>
    <w:rsid w:val="00443BEC"/>
    <w:rsid w:val="00443CAE"/>
    <w:rsid w:val="00443CDF"/>
    <w:rsid w:val="00443D28"/>
    <w:rsid w:val="00443D73"/>
    <w:rsid w:val="00443DBC"/>
    <w:rsid w:val="00443DD3"/>
    <w:rsid w:val="00443E37"/>
    <w:rsid w:val="00443E4E"/>
    <w:rsid w:val="00443E5F"/>
    <w:rsid w:val="00443ED9"/>
    <w:rsid w:val="00443F72"/>
    <w:rsid w:val="00443F89"/>
    <w:rsid w:val="00443F95"/>
    <w:rsid w:val="00443FA6"/>
    <w:rsid w:val="0044407A"/>
    <w:rsid w:val="004440AD"/>
    <w:rsid w:val="004440C2"/>
    <w:rsid w:val="004440E3"/>
    <w:rsid w:val="00444103"/>
    <w:rsid w:val="004441BE"/>
    <w:rsid w:val="004441D5"/>
    <w:rsid w:val="004441DD"/>
    <w:rsid w:val="00444251"/>
    <w:rsid w:val="004442E5"/>
    <w:rsid w:val="004442EC"/>
    <w:rsid w:val="00444318"/>
    <w:rsid w:val="00444341"/>
    <w:rsid w:val="0044435A"/>
    <w:rsid w:val="004443B4"/>
    <w:rsid w:val="004443BC"/>
    <w:rsid w:val="004443CA"/>
    <w:rsid w:val="004443F5"/>
    <w:rsid w:val="00444409"/>
    <w:rsid w:val="0044444D"/>
    <w:rsid w:val="0044448D"/>
    <w:rsid w:val="004444A1"/>
    <w:rsid w:val="004444AC"/>
    <w:rsid w:val="004444AF"/>
    <w:rsid w:val="004444FF"/>
    <w:rsid w:val="00444502"/>
    <w:rsid w:val="0044451D"/>
    <w:rsid w:val="00444529"/>
    <w:rsid w:val="00444545"/>
    <w:rsid w:val="0044456D"/>
    <w:rsid w:val="00444572"/>
    <w:rsid w:val="004445B6"/>
    <w:rsid w:val="0044467C"/>
    <w:rsid w:val="004446FE"/>
    <w:rsid w:val="00444730"/>
    <w:rsid w:val="00444805"/>
    <w:rsid w:val="00444822"/>
    <w:rsid w:val="00444831"/>
    <w:rsid w:val="004448CA"/>
    <w:rsid w:val="00444920"/>
    <w:rsid w:val="00444954"/>
    <w:rsid w:val="004449AC"/>
    <w:rsid w:val="004449AD"/>
    <w:rsid w:val="004449C9"/>
    <w:rsid w:val="004449DE"/>
    <w:rsid w:val="004449FF"/>
    <w:rsid w:val="00444A10"/>
    <w:rsid w:val="00444A12"/>
    <w:rsid w:val="00444A1A"/>
    <w:rsid w:val="00444A2A"/>
    <w:rsid w:val="00444A3D"/>
    <w:rsid w:val="00444A78"/>
    <w:rsid w:val="00444AF9"/>
    <w:rsid w:val="00444B12"/>
    <w:rsid w:val="00444BD7"/>
    <w:rsid w:val="00444C16"/>
    <w:rsid w:val="00444C31"/>
    <w:rsid w:val="00444C4A"/>
    <w:rsid w:val="00444C60"/>
    <w:rsid w:val="00444C8C"/>
    <w:rsid w:val="00444CAE"/>
    <w:rsid w:val="00444D2E"/>
    <w:rsid w:val="00444D7C"/>
    <w:rsid w:val="00444DAB"/>
    <w:rsid w:val="00444DB4"/>
    <w:rsid w:val="00444E4F"/>
    <w:rsid w:val="00444E52"/>
    <w:rsid w:val="00444E6D"/>
    <w:rsid w:val="00444E87"/>
    <w:rsid w:val="00444E91"/>
    <w:rsid w:val="00444E96"/>
    <w:rsid w:val="00444F0F"/>
    <w:rsid w:val="00444F16"/>
    <w:rsid w:val="00444FBE"/>
    <w:rsid w:val="00444FC2"/>
    <w:rsid w:val="00445097"/>
    <w:rsid w:val="004450A3"/>
    <w:rsid w:val="004450FA"/>
    <w:rsid w:val="00445107"/>
    <w:rsid w:val="0044510C"/>
    <w:rsid w:val="00445172"/>
    <w:rsid w:val="00445183"/>
    <w:rsid w:val="004451EE"/>
    <w:rsid w:val="00445210"/>
    <w:rsid w:val="00445280"/>
    <w:rsid w:val="0044528C"/>
    <w:rsid w:val="004452D3"/>
    <w:rsid w:val="004452DC"/>
    <w:rsid w:val="004452FC"/>
    <w:rsid w:val="0044530F"/>
    <w:rsid w:val="0044534B"/>
    <w:rsid w:val="00445367"/>
    <w:rsid w:val="0044537C"/>
    <w:rsid w:val="0044538F"/>
    <w:rsid w:val="004453D7"/>
    <w:rsid w:val="0044541A"/>
    <w:rsid w:val="00445454"/>
    <w:rsid w:val="0044548D"/>
    <w:rsid w:val="0044548F"/>
    <w:rsid w:val="0044549C"/>
    <w:rsid w:val="004454B5"/>
    <w:rsid w:val="004454D0"/>
    <w:rsid w:val="004454FA"/>
    <w:rsid w:val="00445531"/>
    <w:rsid w:val="004455D0"/>
    <w:rsid w:val="004455DE"/>
    <w:rsid w:val="0044562A"/>
    <w:rsid w:val="0044562E"/>
    <w:rsid w:val="0044573E"/>
    <w:rsid w:val="0044574B"/>
    <w:rsid w:val="00445779"/>
    <w:rsid w:val="004457C5"/>
    <w:rsid w:val="004457D2"/>
    <w:rsid w:val="004457E5"/>
    <w:rsid w:val="00445813"/>
    <w:rsid w:val="0044582B"/>
    <w:rsid w:val="00445837"/>
    <w:rsid w:val="0044583E"/>
    <w:rsid w:val="0044584C"/>
    <w:rsid w:val="0044588B"/>
    <w:rsid w:val="0044588C"/>
    <w:rsid w:val="00445925"/>
    <w:rsid w:val="0044593E"/>
    <w:rsid w:val="0044598B"/>
    <w:rsid w:val="0044598C"/>
    <w:rsid w:val="00445997"/>
    <w:rsid w:val="004459AE"/>
    <w:rsid w:val="004459D5"/>
    <w:rsid w:val="00445A18"/>
    <w:rsid w:val="00445A44"/>
    <w:rsid w:val="00445A54"/>
    <w:rsid w:val="00445A62"/>
    <w:rsid w:val="00445AC7"/>
    <w:rsid w:val="00445ACB"/>
    <w:rsid w:val="00445ACD"/>
    <w:rsid w:val="00445B1C"/>
    <w:rsid w:val="00445B3E"/>
    <w:rsid w:val="00445B45"/>
    <w:rsid w:val="00445B9E"/>
    <w:rsid w:val="00445BDF"/>
    <w:rsid w:val="00445BF7"/>
    <w:rsid w:val="00445C10"/>
    <w:rsid w:val="00445C37"/>
    <w:rsid w:val="00445C48"/>
    <w:rsid w:val="00445C58"/>
    <w:rsid w:val="00445C75"/>
    <w:rsid w:val="00445D1F"/>
    <w:rsid w:val="00445D35"/>
    <w:rsid w:val="00445D4E"/>
    <w:rsid w:val="00445D6E"/>
    <w:rsid w:val="00445DB6"/>
    <w:rsid w:val="00445DC7"/>
    <w:rsid w:val="00445DE5"/>
    <w:rsid w:val="00445E6C"/>
    <w:rsid w:val="00445E76"/>
    <w:rsid w:val="00445E94"/>
    <w:rsid w:val="00445EAC"/>
    <w:rsid w:val="00445F77"/>
    <w:rsid w:val="00445FA7"/>
    <w:rsid w:val="00445FB5"/>
    <w:rsid w:val="00446057"/>
    <w:rsid w:val="004460A2"/>
    <w:rsid w:val="004460B5"/>
    <w:rsid w:val="004460F2"/>
    <w:rsid w:val="0044612E"/>
    <w:rsid w:val="00446132"/>
    <w:rsid w:val="00446153"/>
    <w:rsid w:val="0044621B"/>
    <w:rsid w:val="004462E0"/>
    <w:rsid w:val="004462E9"/>
    <w:rsid w:val="00446362"/>
    <w:rsid w:val="004463C8"/>
    <w:rsid w:val="00446402"/>
    <w:rsid w:val="0044640B"/>
    <w:rsid w:val="0044643B"/>
    <w:rsid w:val="00446486"/>
    <w:rsid w:val="0044648E"/>
    <w:rsid w:val="004464A1"/>
    <w:rsid w:val="00446506"/>
    <w:rsid w:val="00446513"/>
    <w:rsid w:val="00446520"/>
    <w:rsid w:val="00446599"/>
    <w:rsid w:val="00446673"/>
    <w:rsid w:val="0044668C"/>
    <w:rsid w:val="00446692"/>
    <w:rsid w:val="004466B5"/>
    <w:rsid w:val="004466BA"/>
    <w:rsid w:val="004466C0"/>
    <w:rsid w:val="004466C6"/>
    <w:rsid w:val="004466FC"/>
    <w:rsid w:val="00446723"/>
    <w:rsid w:val="00446776"/>
    <w:rsid w:val="004467CE"/>
    <w:rsid w:val="004467EC"/>
    <w:rsid w:val="004467EE"/>
    <w:rsid w:val="00446837"/>
    <w:rsid w:val="00446860"/>
    <w:rsid w:val="00446866"/>
    <w:rsid w:val="00446889"/>
    <w:rsid w:val="004468A9"/>
    <w:rsid w:val="004468AB"/>
    <w:rsid w:val="00446949"/>
    <w:rsid w:val="00446975"/>
    <w:rsid w:val="0044698F"/>
    <w:rsid w:val="004469B1"/>
    <w:rsid w:val="004469E5"/>
    <w:rsid w:val="00446A6E"/>
    <w:rsid w:val="00446A77"/>
    <w:rsid w:val="00446A8F"/>
    <w:rsid w:val="00446A9B"/>
    <w:rsid w:val="00446AAB"/>
    <w:rsid w:val="00446B09"/>
    <w:rsid w:val="00446B84"/>
    <w:rsid w:val="00446B9E"/>
    <w:rsid w:val="00446BCE"/>
    <w:rsid w:val="00446C3C"/>
    <w:rsid w:val="00446C49"/>
    <w:rsid w:val="00446C7B"/>
    <w:rsid w:val="00446C7F"/>
    <w:rsid w:val="00446CEA"/>
    <w:rsid w:val="00446D51"/>
    <w:rsid w:val="00446D6C"/>
    <w:rsid w:val="00446D7D"/>
    <w:rsid w:val="00446DD2"/>
    <w:rsid w:val="00446E07"/>
    <w:rsid w:val="00446E1B"/>
    <w:rsid w:val="00446E22"/>
    <w:rsid w:val="00446E55"/>
    <w:rsid w:val="00446E65"/>
    <w:rsid w:val="00446E6D"/>
    <w:rsid w:val="00446EAC"/>
    <w:rsid w:val="00446ED2"/>
    <w:rsid w:val="00446EF9"/>
    <w:rsid w:val="00446F09"/>
    <w:rsid w:val="00446F19"/>
    <w:rsid w:val="00446F1D"/>
    <w:rsid w:val="00446F82"/>
    <w:rsid w:val="00446F99"/>
    <w:rsid w:val="00446FE5"/>
    <w:rsid w:val="00447010"/>
    <w:rsid w:val="00447094"/>
    <w:rsid w:val="0044714F"/>
    <w:rsid w:val="0044715D"/>
    <w:rsid w:val="00447193"/>
    <w:rsid w:val="004471ED"/>
    <w:rsid w:val="0044721D"/>
    <w:rsid w:val="0044724F"/>
    <w:rsid w:val="004472B0"/>
    <w:rsid w:val="004472E7"/>
    <w:rsid w:val="0044734E"/>
    <w:rsid w:val="004473C0"/>
    <w:rsid w:val="00447409"/>
    <w:rsid w:val="0044740C"/>
    <w:rsid w:val="0044744A"/>
    <w:rsid w:val="00447475"/>
    <w:rsid w:val="004474CF"/>
    <w:rsid w:val="004474F0"/>
    <w:rsid w:val="00447518"/>
    <w:rsid w:val="00447532"/>
    <w:rsid w:val="0044757F"/>
    <w:rsid w:val="00447582"/>
    <w:rsid w:val="004475CC"/>
    <w:rsid w:val="004475F2"/>
    <w:rsid w:val="00447606"/>
    <w:rsid w:val="0044760B"/>
    <w:rsid w:val="0044761D"/>
    <w:rsid w:val="004476DA"/>
    <w:rsid w:val="004476FE"/>
    <w:rsid w:val="00447746"/>
    <w:rsid w:val="00447772"/>
    <w:rsid w:val="00447833"/>
    <w:rsid w:val="0044783D"/>
    <w:rsid w:val="0044785E"/>
    <w:rsid w:val="004478A5"/>
    <w:rsid w:val="0044791B"/>
    <w:rsid w:val="00447939"/>
    <w:rsid w:val="00447969"/>
    <w:rsid w:val="00447A42"/>
    <w:rsid w:val="00447A4E"/>
    <w:rsid w:val="00447A58"/>
    <w:rsid w:val="00447A66"/>
    <w:rsid w:val="00447AA5"/>
    <w:rsid w:val="00447AC1"/>
    <w:rsid w:val="00447AE6"/>
    <w:rsid w:val="00447B1E"/>
    <w:rsid w:val="00447B2E"/>
    <w:rsid w:val="00447B34"/>
    <w:rsid w:val="00447B3A"/>
    <w:rsid w:val="00447B52"/>
    <w:rsid w:val="00447B5C"/>
    <w:rsid w:val="00447B8B"/>
    <w:rsid w:val="00447BAB"/>
    <w:rsid w:val="00447BDF"/>
    <w:rsid w:val="00447C00"/>
    <w:rsid w:val="00447C27"/>
    <w:rsid w:val="00447CA7"/>
    <w:rsid w:val="00447CDF"/>
    <w:rsid w:val="00447D24"/>
    <w:rsid w:val="00447D2B"/>
    <w:rsid w:val="00447D36"/>
    <w:rsid w:val="00447D7E"/>
    <w:rsid w:val="00447D8D"/>
    <w:rsid w:val="00447D9E"/>
    <w:rsid w:val="00447DA9"/>
    <w:rsid w:val="00447DB9"/>
    <w:rsid w:val="00447DBA"/>
    <w:rsid w:val="00447E32"/>
    <w:rsid w:val="00447E6A"/>
    <w:rsid w:val="00447EF1"/>
    <w:rsid w:val="00447F0C"/>
    <w:rsid w:val="00447F17"/>
    <w:rsid w:val="00447F55"/>
    <w:rsid w:val="00447F6E"/>
    <w:rsid w:val="00447F7C"/>
    <w:rsid w:val="00447FA2"/>
    <w:rsid w:val="00447FA8"/>
    <w:rsid w:val="00447FD6"/>
    <w:rsid w:val="00450061"/>
    <w:rsid w:val="00450062"/>
    <w:rsid w:val="004500AB"/>
    <w:rsid w:val="00450113"/>
    <w:rsid w:val="004501B8"/>
    <w:rsid w:val="004501BD"/>
    <w:rsid w:val="004501BF"/>
    <w:rsid w:val="004501E2"/>
    <w:rsid w:val="00450224"/>
    <w:rsid w:val="00450228"/>
    <w:rsid w:val="0045028F"/>
    <w:rsid w:val="0045029B"/>
    <w:rsid w:val="004502D8"/>
    <w:rsid w:val="0045030E"/>
    <w:rsid w:val="0045033D"/>
    <w:rsid w:val="00450364"/>
    <w:rsid w:val="004503C8"/>
    <w:rsid w:val="004503CE"/>
    <w:rsid w:val="00450441"/>
    <w:rsid w:val="00450443"/>
    <w:rsid w:val="0045046F"/>
    <w:rsid w:val="00450532"/>
    <w:rsid w:val="0045057B"/>
    <w:rsid w:val="00450617"/>
    <w:rsid w:val="00450697"/>
    <w:rsid w:val="0045069C"/>
    <w:rsid w:val="004506DB"/>
    <w:rsid w:val="0045073F"/>
    <w:rsid w:val="0045075A"/>
    <w:rsid w:val="00450779"/>
    <w:rsid w:val="0045078A"/>
    <w:rsid w:val="004507CD"/>
    <w:rsid w:val="004507F2"/>
    <w:rsid w:val="0045087B"/>
    <w:rsid w:val="0045088B"/>
    <w:rsid w:val="00450891"/>
    <w:rsid w:val="004508A8"/>
    <w:rsid w:val="004508AC"/>
    <w:rsid w:val="004508B5"/>
    <w:rsid w:val="00450909"/>
    <w:rsid w:val="0045090F"/>
    <w:rsid w:val="00450937"/>
    <w:rsid w:val="00450999"/>
    <w:rsid w:val="004509AD"/>
    <w:rsid w:val="004509BA"/>
    <w:rsid w:val="004509C5"/>
    <w:rsid w:val="004509E9"/>
    <w:rsid w:val="004509FA"/>
    <w:rsid w:val="00450B80"/>
    <w:rsid w:val="00450B95"/>
    <w:rsid w:val="00450BAA"/>
    <w:rsid w:val="00450C06"/>
    <w:rsid w:val="00450C23"/>
    <w:rsid w:val="00450C2B"/>
    <w:rsid w:val="00450C52"/>
    <w:rsid w:val="00450C5A"/>
    <w:rsid w:val="00450CA5"/>
    <w:rsid w:val="00450CBE"/>
    <w:rsid w:val="00450D04"/>
    <w:rsid w:val="00450DF5"/>
    <w:rsid w:val="00450E09"/>
    <w:rsid w:val="00450E24"/>
    <w:rsid w:val="00450E44"/>
    <w:rsid w:val="00450EED"/>
    <w:rsid w:val="00450F36"/>
    <w:rsid w:val="00450F6A"/>
    <w:rsid w:val="00450F8E"/>
    <w:rsid w:val="00450FBE"/>
    <w:rsid w:val="00451038"/>
    <w:rsid w:val="0045103C"/>
    <w:rsid w:val="0045104A"/>
    <w:rsid w:val="0045104D"/>
    <w:rsid w:val="0045106E"/>
    <w:rsid w:val="0045118A"/>
    <w:rsid w:val="0045126E"/>
    <w:rsid w:val="004512FB"/>
    <w:rsid w:val="0045130E"/>
    <w:rsid w:val="00451315"/>
    <w:rsid w:val="0045131F"/>
    <w:rsid w:val="004513A4"/>
    <w:rsid w:val="004513E9"/>
    <w:rsid w:val="0045140F"/>
    <w:rsid w:val="0045144D"/>
    <w:rsid w:val="004514B5"/>
    <w:rsid w:val="004514B7"/>
    <w:rsid w:val="00451514"/>
    <w:rsid w:val="004516B4"/>
    <w:rsid w:val="004516B9"/>
    <w:rsid w:val="00451734"/>
    <w:rsid w:val="00451752"/>
    <w:rsid w:val="00451767"/>
    <w:rsid w:val="00451799"/>
    <w:rsid w:val="004517B3"/>
    <w:rsid w:val="004517BA"/>
    <w:rsid w:val="004517BB"/>
    <w:rsid w:val="004517F2"/>
    <w:rsid w:val="004517F8"/>
    <w:rsid w:val="0045181F"/>
    <w:rsid w:val="0045184C"/>
    <w:rsid w:val="0045186C"/>
    <w:rsid w:val="0045186E"/>
    <w:rsid w:val="00451892"/>
    <w:rsid w:val="00451896"/>
    <w:rsid w:val="004518B8"/>
    <w:rsid w:val="004518E0"/>
    <w:rsid w:val="004518E8"/>
    <w:rsid w:val="00451906"/>
    <w:rsid w:val="00451982"/>
    <w:rsid w:val="004519B0"/>
    <w:rsid w:val="004519C9"/>
    <w:rsid w:val="004519EA"/>
    <w:rsid w:val="00451A0B"/>
    <w:rsid w:val="00451A33"/>
    <w:rsid w:val="00451ACA"/>
    <w:rsid w:val="00451ADA"/>
    <w:rsid w:val="00451ADB"/>
    <w:rsid w:val="00451AF7"/>
    <w:rsid w:val="00451B34"/>
    <w:rsid w:val="00451B81"/>
    <w:rsid w:val="00451BC7"/>
    <w:rsid w:val="00451C0D"/>
    <w:rsid w:val="00451C26"/>
    <w:rsid w:val="00451C27"/>
    <w:rsid w:val="00451C2D"/>
    <w:rsid w:val="00451CCA"/>
    <w:rsid w:val="00451CD7"/>
    <w:rsid w:val="00451D68"/>
    <w:rsid w:val="00451D9A"/>
    <w:rsid w:val="00451DE0"/>
    <w:rsid w:val="00451DE7"/>
    <w:rsid w:val="00451DF6"/>
    <w:rsid w:val="00451DFF"/>
    <w:rsid w:val="00451F30"/>
    <w:rsid w:val="00451F5C"/>
    <w:rsid w:val="00451F7F"/>
    <w:rsid w:val="00451F9A"/>
    <w:rsid w:val="00451F9E"/>
    <w:rsid w:val="00451FB8"/>
    <w:rsid w:val="00452021"/>
    <w:rsid w:val="00452047"/>
    <w:rsid w:val="0045204C"/>
    <w:rsid w:val="0045206D"/>
    <w:rsid w:val="004520B4"/>
    <w:rsid w:val="004520FA"/>
    <w:rsid w:val="00452115"/>
    <w:rsid w:val="00452166"/>
    <w:rsid w:val="0045219D"/>
    <w:rsid w:val="004521CB"/>
    <w:rsid w:val="00452205"/>
    <w:rsid w:val="004522A7"/>
    <w:rsid w:val="004522D8"/>
    <w:rsid w:val="00452303"/>
    <w:rsid w:val="0045232D"/>
    <w:rsid w:val="00452447"/>
    <w:rsid w:val="00452483"/>
    <w:rsid w:val="00452497"/>
    <w:rsid w:val="0045249F"/>
    <w:rsid w:val="004524B1"/>
    <w:rsid w:val="004524EA"/>
    <w:rsid w:val="004524F6"/>
    <w:rsid w:val="004524F9"/>
    <w:rsid w:val="0045250C"/>
    <w:rsid w:val="0045257F"/>
    <w:rsid w:val="00452582"/>
    <w:rsid w:val="004525E8"/>
    <w:rsid w:val="00452600"/>
    <w:rsid w:val="0045260F"/>
    <w:rsid w:val="00452648"/>
    <w:rsid w:val="004526D5"/>
    <w:rsid w:val="00452724"/>
    <w:rsid w:val="0045273F"/>
    <w:rsid w:val="00452741"/>
    <w:rsid w:val="004527A3"/>
    <w:rsid w:val="004528F1"/>
    <w:rsid w:val="00452955"/>
    <w:rsid w:val="00452986"/>
    <w:rsid w:val="0045299F"/>
    <w:rsid w:val="00452A11"/>
    <w:rsid w:val="00452A2E"/>
    <w:rsid w:val="00452A44"/>
    <w:rsid w:val="00452A92"/>
    <w:rsid w:val="00452ACD"/>
    <w:rsid w:val="00452AE6"/>
    <w:rsid w:val="00452AFD"/>
    <w:rsid w:val="00452B23"/>
    <w:rsid w:val="00452B4E"/>
    <w:rsid w:val="00452B5D"/>
    <w:rsid w:val="00452B83"/>
    <w:rsid w:val="00452B8C"/>
    <w:rsid w:val="00452B8D"/>
    <w:rsid w:val="00452B9A"/>
    <w:rsid w:val="00452BC6"/>
    <w:rsid w:val="00452BE5"/>
    <w:rsid w:val="00452BEE"/>
    <w:rsid w:val="00452BF1"/>
    <w:rsid w:val="00452C07"/>
    <w:rsid w:val="00452C50"/>
    <w:rsid w:val="00452CB4"/>
    <w:rsid w:val="00452CDA"/>
    <w:rsid w:val="00452D1E"/>
    <w:rsid w:val="00452D23"/>
    <w:rsid w:val="00452D27"/>
    <w:rsid w:val="00452D6C"/>
    <w:rsid w:val="00452DFA"/>
    <w:rsid w:val="00452E03"/>
    <w:rsid w:val="00452EAE"/>
    <w:rsid w:val="00452EBC"/>
    <w:rsid w:val="00452F0C"/>
    <w:rsid w:val="00452F2F"/>
    <w:rsid w:val="00452F43"/>
    <w:rsid w:val="00452F6A"/>
    <w:rsid w:val="00452F8F"/>
    <w:rsid w:val="0045305C"/>
    <w:rsid w:val="00453069"/>
    <w:rsid w:val="0045308C"/>
    <w:rsid w:val="0045309C"/>
    <w:rsid w:val="004530C2"/>
    <w:rsid w:val="004530E1"/>
    <w:rsid w:val="00453164"/>
    <w:rsid w:val="004531FD"/>
    <w:rsid w:val="00453205"/>
    <w:rsid w:val="00453233"/>
    <w:rsid w:val="00453276"/>
    <w:rsid w:val="004532BC"/>
    <w:rsid w:val="0045331A"/>
    <w:rsid w:val="00453331"/>
    <w:rsid w:val="0045333E"/>
    <w:rsid w:val="004533A1"/>
    <w:rsid w:val="004533B5"/>
    <w:rsid w:val="00453412"/>
    <w:rsid w:val="00453436"/>
    <w:rsid w:val="004534B7"/>
    <w:rsid w:val="004534F9"/>
    <w:rsid w:val="00453535"/>
    <w:rsid w:val="0045356F"/>
    <w:rsid w:val="00453595"/>
    <w:rsid w:val="004535D2"/>
    <w:rsid w:val="004535FF"/>
    <w:rsid w:val="0045367E"/>
    <w:rsid w:val="004536C3"/>
    <w:rsid w:val="004536F7"/>
    <w:rsid w:val="00453730"/>
    <w:rsid w:val="00453751"/>
    <w:rsid w:val="00453789"/>
    <w:rsid w:val="004537C3"/>
    <w:rsid w:val="004537E5"/>
    <w:rsid w:val="00453816"/>
    <w:rsid w:val="00453832"/>
    <w:rsid w:val="00453876"/>
    <w:rsid w:val="0045387C"/>
    <w:rsid w:val="004538C0"/>
    <w:rsid w:val="00453953"/>
    <w:rsid w:val="0045395F"/>
    <w:rsid w:val="00453971"/>
    <w:rsid w:val="004539B4"/>
    <w:rsid w:val="004539F4"/>
    <w:rsid w:val="00453A3D"/>
    <w:rsid w:val="00453AE4"/>
    <w:rsid w:val="00453AE8"/>
    <w:rsid w:val="00453AF9"/>
    <w:rsid w:val="00453B2B"/>
    <w:rsid w:val="00453B35"/>
    <w:rsid w:val="00453B3A"/>
    <w:rsid w:val="00453B9C"/>
    <w:rsid w:val="00453B9F"/>
    <w:rsid w:val="00453C45"/>
    <w:rsid w:val="00453C6C"/>
    <w:rsid w:val="00453C7D"/>
    <w:rsid w:val="00453CB5"/>
    <w:rsid w:val="00453CC6"/>
    <w:rsid w:val="00453CD1"/>
    <w:rsid w:val="00453D04"/>
    <w:rsid w:val="00453D52"/>
    <w:rsid w:val="00453D5C"/>
    <w:rsid w:val="00453D63"/>
    <w:rsid w:val="00453D8C"/>
    <w:rsid w:val="00453D8E"/>
    <w:rsid w:val="00453DAC"/>
    <w:rsid w:val="00453E37"/>
    <w:rsid w:val="00453E38"/>
    <w:rsid w:val="00453E43"/>
    <w:rsid w:val="00453E71"/>
    <w:rsid w:val="00453E7A"/>
    <w:rsid w:val="00453E98"/>
    <w:rsid w:val="00453E9F"/>
    <w:rsid w:val="00453F11"/>
    <w:rsid w:val="00453F8D"/>
    <w:rsid w:val="00453F8E"/>
    <w:rsid w:val="00453FB7"/>
    <w:rsid w:val="00453FD0"/>
    <w:rsid w:val="00454005"/>
    <w:rsid w:val="00454056"/>
    <w:rsid w:val="00454096"/>
    <w:rsid w:val="00454097"/>
    <w:rsid w:val="004540B2"/>
    <w:rsid w:val="0045412E"/>
    <w:rsid w:val="00454162"/>
    <w:rsid w:val="004541A9"/>
    <w:rsid w:val="00454215"/>
    <w:rsid w:val="0045423D"/>
    <w:rsid w:val="00454298"/>
    <w:rsid w:val="004543A3"/>
    <w:rsid w:val="004543DA"/>
    <w:rsid w:val="004543EA"/>
    <w:rsid w:val="00454428"/>
    <w:rsid w:val="0045447C"/>
    <w:rsid w:val="004544BC"/>
    <w:rsid w:val="004544E0"/>
    <w:rsid w:val="00454537"/>
    <w:rsid w:val="0045459A"/>
    <w:rsid w:val="0045459C"/>
    <w:rsid w:val="00454600"/>
    <w:rsid w:val="0045460F"/>
    <w:rsid w:val="00454612"/>
    <w:rsid w:val="00454620"/>
    <w:rsid w:val="0045465F"/>
    <w:rsid w:val="0045467C"/>
    <w:rsid w:val="00454685"/>
    <w:rsid w:val="004546B5"/>
    <w:rsid w:val="004546C7"/>
    <w:rsid w:val="004546F0"/>
    <w:rsid w:val="00454722"/>
    <w:rsid w:val="00454758"/>
    <w:rsid w:val="00454759"/>
    <w:rsid w:val="00454778"/>
    <w:rsid w:val="004547B4"/>
    <w:rsid w:val="004547E7"/>
    <w:rsid w:val="00454879"/>
    <w:rsid w:val="004548E1"/>
    <w:rsid w:val="004548E3"/>
    <w:rsid w:val="004548FA"/>
    <w:rsid w:val="00454901"/>
    <w:rsid w:val="0045492A"/>
    <w:rsid w:val="004549BC"/>
    <w:rsid w:val="00454A12"/>
    <w:rsid w:val="00454A16"/>
    <w:rsid w:val="00454A81"/>
    <w:rsid w:val="00454ADD"/>
    <w:rsid w:val="00454B1C"/>
    <w:rsid w:val="00454B3C"/>
    <w:rsid w:val="00454B6D"/>
    <w:rsid w:val="00454BAE"/>
    <w:rsid w:val="00454BB3"/>
    <w:rsid w:val="00454BB8"/>
    <w:rsid w:val="00454BC4"/>
    <w:rsid w:val="00454BF7"/>
    <w:rsid w:val="00454C30"/>
    <w:rsid w:val="00454C37"/>
    <w:rsid w:val="00454C80"/>
    <w:rsid w:val="00454C81"/>
    <w:rsid w:val="00454CB3"/>
    <w:rsid w:val="00454CB6"/>
    <w:rsid w:val="00454CB7"/>
    <w:rsid w:val="00454CF1"/>
    <w:rsid w:val="00454D86"/>
    <w:rsid w:val="00454DC0"/>
    <w:rsid w:val="00454E01"/>
    <w:rsid w:val="00454E47"/>
    <w:rsid w:val="00454E49"/>
    <w:rsid w:val="00454E52"/>
    <w:rsid w:val="00454EF3"/>
    <w:rsid w:val="00454F35"/>
    <w:rsid w:val="00454F81"/>
    <w:rsid w:val="00454FAD"/>
    <w:rsid w:val="00455009"/>
    <w:rsid w:val="004550A8"/>
    <w:rsid w:val="004550F3"/>
    <w:rsid w:val="0045510D"/>
    <w:rsid w:val="00455116"/>
    <w:rsid w:val="00455117"/>
    <w:rsid w:val="0045516A"/>
    <w:rsid w:val="00455172"/>
    <w:rsid w:val="00455208"/>
    <w:rsid w:val="0045520F"/>
    <w:rsid w:val="00455253"/>
    <w:rsid w:val="00455363"/>
    <w:rsid w:val="0045536E"/>
    <w:rsid w:val="0045538C"/>
    <w:rsid w:val="004553BA"/>
    <w:rsid w:val="00455465"/>
    <w:rsid w:val="00455525"/>
    <w:rsid w:val="0045552C"/>
    <w:rsid w:val="0045554A"/>
    <w:rsid w:val="0045554D"/>
    <w:rsid w:val="0045555A"/>
    <w:rsid w:val="0045558A"/>
    <w:rsid w:val="004555D2"/>
    <w:rsid w:val="00455613"/>
    <w:rsid w:val="0045561E"/>
    <w:rsid w:val="0045565B"/>
    <w:rsid w:val="0045567F"/>
    <w:rsid w:val="00455680"/>
    <w:rsid w:val="004556AC"/>
    <w:rsid w:val="004556BE"/>
    <w:rsid w:val="0045571A"/>
    <w:rsid w:val="00455782"/>
    <w:rsid w:val="0045579F"/>
    <w:rsid w:val="004557A0"/>
    <w:rsid w:val="004557D3"/>
    <w:rsid w:val="0045584D"/>
    <w:rsid w:val="00455858"/>
    <w:rsid w:val="004558AD"/>
    <w:rsid w:val="004558C5"/>
    <w:rsid w:val="004558FF"/>
    <w:rsid w:val="0045595C"/>
    <w:rsid w:val="00455992"/>
    <w:rsid w:val="00455A2D"/>
    <w:rsid w:val="00455A62"/>
    <w:rsid w:val="00455A95"/>
    <w:rsid w:val="00455A98"/>
    <w:rsid w:val="00455A9C"/>
    <w:rsid w:val="00455AC8"/>
    <w:rsid w:val="00455AF6"/>
    <w:rsid w:val="00455B0F"/>
    <w:rsid w:val="00455B52"/>
    <w:rsid w:val="00455B88"/>
    <w:rsid w:val="00455BBA"/>
    <w:rsid w:val="00455C3E"/>
    <w:rsid w:val="00455C9C"/>
    <w:rsid w:val="00455CB0"/>
    <w:rsid w:val="00455CCC"/>
    <w:rsid w:val="00455D20"/>
    <w:rsid w:val="00455D2C"/>
    <w:rsid w:val="00455D3B"/>
    <w:rsid w:val="00455D65"/>
    <w:rsid w:val="00455DA2"/>
    <w:rsid w:val="00455DBC"/>
    <w:rsid w:val="00455DBF"/>
    <w:rsid w:val="00455DCA"/>
    <w:rsid w:val="00455DDA"/>
    <w:rsid w:val="00455DEB"/>
    <w:rsid w:val="00455E0C"/>
    <w:rsid w:val="00455E31"/>
    <w:rsid w:val="00455E40"/>
    <w:rsid w:val="00455F2F"/>
    <w:rsid w:val="00455F83"/>
    <w:rsid w:val="00455F95"/>
    <w:rsid w:val="00455F98"/>
    <w:rsid w:val="00455FA8"/>
    <w:rsid w:val="00455FD8"/>
    <w:rsid w:val="00455FFE"/>
    <w:rsid w:val="0045601B"/>
    <w:rsid w:val="00456021"/>
    <w:rsid w:val="00456022"/>
    <w:rsid w:val="00456096"/>
    <w:rsid w:val="00456098"/>
    <w:rsid w:val="004560AF"/>
    <w:rsid w:val="00456106"/>
    <w:rsid w:val="0045613B"/>
    <w:rsid w:val="0045616D"/>
    <w:rsid w:val="004561B6"/>
    <w:rsid w:val="004561D7"/>
    <w:rsid w:val="00456207"/>
    <w:rsid w:val="00456237"/>
    <w:rsid w:val="0045631D"/>
    <w:rsid w:val="0045634B"/>
    <w:rsid w:val="00456360"/>
    <w:rsid w:val="0045637E"/>
    <w:rsid w:val="0045638C"/>
    <w:rsid w:val="004563A1"/>
    <w:rsid w:val="004563AC"/>
    <w:rsid w:val="00456442"/>
    <w:rsid w:val="00456475"/>
    <w:rsid w:val="00456490"/>
    <w:rsid w:val="004564B3"/>
    <w:rsid w:val="004564C2"/>
    <w:rsid w:val="004564F9"/>
    <w:rsid w:val="00456516"/>
    <w:rsid w:val="004565B7"/>
    <w:rsid w:val="004565CF"/>
    <w:rsid w:val="004565E8"/>
    <w:rsid w:val="004565F0"/>
    <w:rsid w:val="0045665C"/>
    <w:rsid w:val="0045671B"/>
    <w:rsid w:val="00456748"/>
    <w:rsid w:val="00456759"/>
    <w:rsid w:val="0045678A"/>
    <w:rsid w:val="004568A0"/>
    <w:rsid w:val="004568ED"/>
    <w:rsid w:val="00456910"/>
    <w:rsid w:val="00456967"/>
    <w:rsid w:val="00456979"/>
    <w:rsid w:val="004569A2"/>
    <w:rsid w:val="004569BC"/>
    <w:rsid w:val="004569E1"/>
    <w:rsid w:val="004569F4"/>
    <w:rsid w:val="00456A4B"/>
    <w:rsid w:val="00456A94"/>
    <w:rsid w:val="00456AAB"/>
    <w:rsid w:val="00456AC2"/>
    <w:rsid w:val="00456AFF"/>
    <w:rsid w:val="00456C03"/>
    <w:rsid w:val="00456C14"/>
    <w:rsid w:val="00456C19"/>
    <w:rsid w:val="00456C5F"/>
    <w:rsid w:val="00456C6E"/>
    <w:rsid w:val="00456C85"/>
    <w:rsid w:val="00456CC9"/>
    <w:rsid w:val="00456D08"/>
    <w:rsid w:val="00456D2E"/>
    <w:rsid w:val="00456EB2"/>
    <w:rsid w:val="00456EC3"/>
    <w:rsid w:val="00456F10"/>
    <w:rsid w:val="00456F69"/>
    <w:rsid w:val="00456F76"/>
    <w:rsid w:val="00456F81"/>
    <w:rsid w:val="00456F88"/>
    <w:rsid w:val="00456FEB"/>
    <w:rsid w:val="00457008"/>
    <w:rsid w:val="00457060"/>
    <w:rsid w:val="00457073"/>
    <w:rsid w:val="0045708F"/>
    <w:rsid w:val="004570D3"/>
    <w:rsid w:val="00457144"/>
    <w:rsid w:val="004571D3"/>
    <w:rsid w:val="00457312"/>
    <w:rsid w:val="00457319"/>
    <w:rsid w:val="00457321"/>
    <w:rsid w:val="0045735E"/>
    <w:rsid w:val="00457371"/>
    <w:rsid w:val="004573DB"/>
    <w:rsid w:val="004573F6"/>
    <w:rsid w:val="0045742E"/>
    <w:rsid w:val="0045743E"/>
    <w:rsid w:val="004574A5"/>
    <w:rsid w:val="004574B4"/>
    <w:rsid w:val="004574D6"/>
    <w:rsid w:val="00457536"/>
    <w:rsid w:val="0045757B"/>
    <w:rsid w:val="00457586"/>
    <w:rsid w:val="0045758D"/>
    <w:rsid w:val="004575B6"/>
    <w:rsid w:val="004575C6"/>
    <w:rsid w:val="00457602"/>
    <w:rsid w:val="00457668"/>
    <w:rsid w:val="004576BF"/>
    <w:rsid w:val="004576D1"/>
    <w:rsid w:val="00457704"/>
    <w:rsid w:val="004577E5"/>
    <w:rsid w:val="00457838"/>
    <w:rsid w:val="00457876"/>
    <w:rsid w:val="0045789D"/>
    <w:rsid w:val="0045789E"/>
    <w:rsid w:val="00457903"/>
    <w:rsid w:val="0045792D"/>
    <w:rsid w:val="0045793A"/>
    <w:rsid w:val="00457957"/>
    <w:rsid w:val="0045795C"/>
    <w:rsid w:val="00457987"/>
    <w:rsid w:val="004579E1"/>
    <w:rsid w:val="00457A57"/>
    <w:rsid w:val="00457A5F"/>
    <w:rsid w:val="00457A6C"/>
    <w:rsid w:val="00457AE6"/>
    <w:rsid w:val="00457AFB"/>
    <w:rsid w:val="00457B55"/>
    <w:rsid w:val="00457B9B"/>
    <w:rsid w:val="00457BC6"/>
    <w:rsid w:val="00457C39"/>
    <w:rsid w:val="00457C98"/>
    <w:rsid w:val="00457C9C"/>
    <w:rsid w:val="00457CD9"/>
    <w:rsid w:val="00457D00"/>
    <w:rsid w:val="00457D3C"/>
    <w:rsid w:val="00457DA6"/>
    <w:rsid w:val="00457DBA"/>
    <w:rsid w:val="00457DCB"/>
    <w:rsid w:val="00457DF0"/>
    <w:rsid w:val="00457E0F"/>
    <w:rsid w:val="00457E41"/>
    <w:rsid w:val="00457EA5"/>
    <w:rsid w:val="00457EB3"/>
    <w:rsid w:val="00457EDC"/>
    <w:rsid w:val="00457EED"/>
    <w:rsid w:val="00457F8A"/>
    <w:rsid w:val="00457FEA"/>
    <w:rsid w:val="00457FFE"/>
    <w:rsid w:val="00460057"/>
    <w:rsid w:val="00460098"/>
    <w:rsid w:val="0046009A"/>
    <w:rsid w:val="004600A4"/>
    <w:rsid w:val="004600C7"/>
    <w:rsid w:val="004600CF"/>
    <w:rsid w:val="00460146"/>
    <w:rsid w:val="004601B1"/>
    <w:rsid w:val="004601D2"/>
    <w:rsid w:val="004601DA"/>
    <w:rsid w:val="004601FD"/>
    <w:rsid w:val="0046020D"/>
    <w:rsid w:val="00460225"/>
    <w:rsid w:val="00460229"/>
    <w:rsid w:val="0046022E"/>
    <w:rsid w:val="0046027E"/>
    <w:rsid w:val="00460299"/>
    <w:rsid w:val="004602B6"/>
    <w:rsid w:val="004602D7"/>
    <w:rsid w:val="004602DF"/>
    <w:rsid w:val="00460358"/>
    <w:rsid w:val="004603D2"/>
    <w:rsid w:val="0046043A"/>
    <w:rsid w:val="0046046A"/>
    <w:rsid w:val="0046047B"/>
    <w:rsid w:val="00460497"/>
    <w:rsid w:val="004604A1"/>
    <w:rsid w:val="004604A5"/>
    <w:rsid w:val="004604CA"/>
    <w:rsid w:val="004604ED"/>
    <w:rsid w:val="004605D0"/>
    <w:rsid w:val="004605FD"/>
    <w:rsid w:val="00460619"/>
    <w:rsid w:val="0046063C"/>
    <w:rsid w:val="00460640"/>
    <w:rsid w:val="0046066A"/>
    <w:rsid w:val="0046066E"/>
    <w:rsid w:val="004606E1"/>
    <w:rsid w:val="004606E7"/>
    <w:rsid w:val="00460706"/>
    <w:rsid w:val="0046079C"/>
    <w:rsid w:val="00460802"/>
    <w:rsid w:val="00460818"/>
    <w:rsid w:val="0046081A"/>
    <w:rsid w:val="00460839"/>
    <w:rsid w:val="00460871"/>
    <w:rsid w:val="00460876"/>
    <w:rsid w:val="0046087B"/>
    <w:rsid w:val="00460880"/>
    <w:rsid w:val="0046092D"/>
    <w:rsid w:val="00460970"/>
    <w:rsid w:val="00460971"/>
    <w:rsid w:val="00460992"/>
    <w:rsid w:val="0046099D"/>
    <w:rsid w:val="004609B8"/>
    <w:rsid w:val="004609E6"/>
    <w:rsid w:val="004609F0"/>
    <w:rsid w:val="00460A48"/>
    <w:rsid w:val="00460A4C"/>
    <w:rsid w:val="00460AA5"/>
    <w:rsid w:val="00460ABA"/>
    <w:rsid w:val="00460B24"/>
    <w:rsid w:val="00460B44"/>
    <w:rsid w:val="00460B8D"/>
    <w:rsid w:val="00460BBE"/>
    <w:rsid w:val="00460BC9"/>
    <w:rsid w:val="00460BD3"/>
    <w:rsid w:val="00460BEA"/>
    <w:rsid w:val="00460C2F"/>
    <w:rsid w:val="00460C57"/>
    <w:rsid w:val="00460D2B"/>
    <w:rsid w:val="00460D84"/>
    <w:rsid w:val="00460DE6"/>
    <w:rsid w:val="00460DFD"/>
    <w:rsid w:val="00460EE0"/>
    <w:rsid w:val="00460EE1"/>
    <w:rsid w:val="00460EF6"/>
    <w:rsid w:val="00460F3D"/>
    <w:rsid w:val="00460F7A"/>
    <w:rsid w:val="00460F8C"/>
    <w:rsid w:val="00460F99"/>
    <w:rsid w:val="00460FC9"/>
    <w:rsid w:val="00461058"/>
    <w:rsid w:val="0046106C"/>
    <w:rsid w:val="004610BE"/>
    <w:rsid w:val="004610CE"/>
    <w:rsid w:val="0046114B"/>
    <w:rsid w:val="00461152"/>
    <w:rsid w:val="0046118A"/>
    <w:rsid w:val="004611BF"/>
    <w:rsid w:val="004611CE"/>
    <w:rsid w:val="004611FB"/>
    <w:rsid w:val="0046124D"/>
    <w:rsid w:val="004612B0"/>
    <w:rsid w:val="004612B8"/>
    <w:rsid w:val="004612DB"/>
    <w:rsid w:val="00461310"/>
    <w:rsid w:val="00461335"/>
    <w:rsid w:val="004613C2"/>
    <w:rsid w:val="00461445"/>
    <w:rsid w:val="0046145D"/>
    <w:rsid w:val="004614A6"/>
    <w:rsid w:val="004614BD"/>
    <w:rsid w:val="004614F0"/>
    <w:rsid w:val="00461500"/>
    <w:rsid w:val="0046151C"/>
    <w:rsid w:val="0046153C"/>
    <w:rsid w:val="00461554"/>
    <w:rsid w:val="0046155A"/>
    <w:rsid w:val="0046157A"/>
    <w:rsid w:val="004615F9"/>
    <w:rsid w:val="00461646"/>
    <w:rsid w:val="0046165C"/>
    <w:rsid w:val="00461660"/>
    <w:rsid w:val="0046169D"/>
    <w:rsid w:val="00461704"/>
    <w:rsid w:val="00461722"/>
    <w:rsid w:val="00461738"/>
    <w:rsid w:val="00461745"/>
    <w:rsid w:val="00461771"/>
    <w:rsid w:val="00461779"/>
    <w:rsid w:val="00461788"/>
    <w:rsid w:val="0046178E"/>
    <w:rsid w:val="0046181C"/>
    <w:rsid w:val="00461820"/>
    <w:rsid w:val="00461881"/>
    <w:rsid w:val="0046188B"/>
    <w:rsid w:val="004618DF"/>
    <w:rsid w:val="00461948"/>
    <w:rsid w:val="0046194D"/>
    <w:rsid w:val="004619A8"/>
    <w:rsid w:val="004619CA"/>
    <w:rsid w:val="00461A22"/>
    <w:rsid w:val="00461A27"/>
    <w:rsid w:val="00461B02"/>
    <w:rsid w:val="00461B20"/>
    <w:rsid w:val="00461B47"/>
    <w:rsid w:val="00461B6B"/>
    <w:rsid w:val="00461B85"/>
    <w:rsid w:val="00461B9C"/>
    <w:rsid w:val="00461BA4"/>
    <w:rsid w:val="00461BA5"/>
    <w:rsid w:val="00461BCF"/>
    <w:rsid w:val="00461BFC"/>
    <w:rsid w:val="00461C48"/>
    <w:rsid w:val="00461C78"/>
    <w:rsid w:val="00461C7D"/>
    <w:rsid w:val="00461CB1"/>
    <w:rsid w:val="00461CC7"/>
    <w:rsid w:val="00461D3A"/>
    <w:rsid w:val="00461D74"/>
    <w:rsid w:val="00461D75"/>
    <w:rsid w:val="00461DB0"/>
    <w:rsid w:val="00461DD0"/>
    <w:rsid w:val="00461DE9"/>
    <w:rsid w:val="00461E4B"/>
    <w:rsid w:val="00461EA6"/>
    <w:rsid w:val="00461ECF"/>
    <w:rsid w:val="00461EEF"/>
    <w:rsid w:val="00461F6C"/>
    <w:rsid w:val="00461F70"/>
    <w:rsid w:val="00461F9A"/>
    <w:rsid w:val="00461FF5"/>
    <w:rsid w:val="00461FFE"/>
    <w:rsid w:val="00462016"/>
    <w:rsid w:val="0046204F"/>
    <w:rsid w:val="00462087"/>
    <w:rsid w:val="004620D6"/>
    <w:rsid w:val="00462117"/>
    <w:rsid w:val="0046213D"/>
    <w:rsid w:val="00462162"/>
    <w:rsid w:val="0046217C"/>
    <w:rsid w:val="0046219B"/>
    <w:rsid w:val="004621F0"/>
    <w:rsid w:val="00462214"/>
    <w:rsid w:val="00462237"/>
    <w:rsid w:val="0046223C"/>
    <w:rsid w:val="0046224F"/>
    <w:rsid w:val="0046227C"/>
    <w:rsid w:val="004622C1"/>
    <w:rsid w:val="00462396"/>
    <w:rsid w:val="004623A5"/>
    <w:rsid w:val="004623A7"/>
    <w:rsid w:val="004623DF"/>
    <w:rsid w:val="00462418"/>
    <w:rsid w:val="0046242C"/>
    <w:rsid w:val="00462432"/>
    <w:rsid w:val="0046244B"/>
    <w:rsid w:val="00462475"/>
    <w:rsid w:val="00462480"/>
    <w:rsid w:val="004624CA"/>
    <w:rsid w:val="004624D2"/>
    <w:rsid w:val="004624D8"/>
    <w:rsid w:val="004624DC"/>
    <w:rsid w:val="004624FE"/>
    <w:rsid w:val="00462527"/>
    <w:rsid w:val="00462536"/>
    <w:rsid w:val="0046254B"/>
    <w:rsid w:val="00462571"/>
    <w:rsid w:val="004625FE"/>
    <w:rsid w:val="00462616"/>
    <w:rsid w:val="00462622"/>
    <w:rsid w:val="00462681"/>
    <w:rsid w:val="004626BA"/>
    <w:rsid w:val="0046271C"/>
    <w:rsid w:val="00462735"/>
    <w:rsid w:val="00462779"/>
    <w:rsid w:val="004627A0"/>
    <w:rsid w:val="004627BB"/>
    <w:rsid w:val="004627C5"/>
    <w:rsid w:val="00462804"/>
    <w:rsid w:val="00462888"/>
    <w:rsid w:val="004628FF"/>
    <w:rsid w:val="00462933"/>
    <w:rsid w:val="00462975"/>
    <w:rsid w:val="0046299F"/>
    <w:rsid w:val="004629A5"/>
    <w:rsid w:val="004629AA"/>
    <w:rsid w:val="004629CD"/>
    <w:rsid w:val="004629E0"/>
    <w:rsid w:val="00462A5B"/>
    <w:rsid w:val="00462A71"/>
    <w:rsid w:val="00462A91"/>
    <w:rsid w:val="00462AAA"/>
    <w:rsid w:val="00462B29"/>
    <w:rsid w:val="00462B6D"/>
    <w:rsid w:val="00462BAF"/>
    <w:rsid w:val="00462C23"/>
    <w:rsid w:val="00462C28"/>
    <w:rsid w:val="00462C3D"/>
    <w:rsid w:val="00462C47"/>
    <w:rsid w:val="00462C68"/>
    <w:rsid w:val="00462C77"/>
    <w:rsid w:val="00462CA6"/>
    <w:rsid w:val="00462D27"/>
    <w:rsid w:val="00462DBF"/>
    <w:rsid w:val="00462DDD"/>
    <w:rsid w:val="00462E1B"/>
    <w:rsid w:val="00462E9D"/>
    <w:rsid w:val="00462ECF"/>
    <w:rsid w:val="00462EF7"/>
    <w:rsid w:val="00462F6A"/>
    <w:rsid w:val="00462F70"/>
    <w:rsid w:val="00462F93"/>
    <w:rsid w:val="00462FB1"/>
    <w:rsid w:val="00462FB6"/>
    <w:rsid w:val="0046309E"/>
    <w:rsid w:val="00463190"/>
    <w:rsid w:val="00463197"/>
    <w:rsid w:val="00463198"/>
    <w:rsid w:val="004631B0"/>
    <w:rsid w:val="00463222"/>
    <w:rsid w:val="0046324A"/>
    <w:rsid w:val="00463273"/>
    <w:rsid w:val="004632D3"/>
    <w:rsid w:val="004632EA"/>
    <w:rsid w:val="004632ED"/>
    <w:rsid w:val="00463300"/>
    <w:rsid w:val="00463340"/>
    <w:rsid w:val="00463399"/>
    <w:rsid w:val="004633F2"/>
    <w:rsid w:val="004633F5"/>
    <w:rsid w:val="00463450"/>
    <w:rsid w:val="0046345F"/>
    <w:rsid w:val="00463491"/>
    <w:rsid w:val="00463493"/>
    <w:rsid w:val="0046350A"/>
    <w:rsid w:val="0046356B"/>
    <w:rsid w:val="00463582"/>
    <w:rsid w:val="004636A3"/>
    <w:rsid w:val="004636EB"/>
    <w:rsid w:val="0046374F"/>
    <w:rsid w:val="0046377B"/>
    <w:rsid w:val="00463794"/>
    <w:rsid w:val="0046382C"/>
    <w:rsid w:val="00463853"/>
    <w:rsid w:val="00463867"/>
    <w:rsid w:val="00463907"/>
    <w:rsid w:val="0046393B"/>
    <w:rsid w:val="00463941"/>
    <w:rsid w:val="00463944"/>
    <w:rsid w:val="00463966"/>
    <w:rsid w:val="00463969"/>
    <w:rsid w:val="004639E3"/>
    <w:rsid w:val="00463A3A"/>
    <w:rsid w:val="00463A45"/>
    <w:rsid w:val="00463A5E"/>
    <w:rsid w:val="00463A66"/>
    <w:rsid w:val="00463B50"/>
    <w:rsid w:val="00463BF5"/>
    <w:rsid w:val="00463C1D"/>
    <w:rsid w:val="00463D4E"/>
    <w:rsid w:val="00463D51"/>
    <w:rsid w:val="00463DA6"/>
    <w:rsid w:val="00463DC3"/>
    <w:rsid w:val="00463DDC"/>
    <w:rsid w:val="00463E22"/>
    <w:rsid w:val="00463EE5"/>
    <w:rsid w:val="00463F3C"/>
    <w:rsid w:val="00463FB1"/>
    <w:rsid w:val="00463FB2"/>
    <w:rsid w:val="00464052"/>
    <w:rsid w:val="0046406F"/>
    <w:rsid w:val="004640AD"/>
    <w:rsid w:val="004640E0"/>
    <w:rsid w:val="00464121"/>
    <w:rsid w:val="00464168"/>
    <w:rsid w:val="00464207"/>
    <w:rsid w:val="0046423C"/>
    <w:rsid w:val="00464299"/>
    <w:rsid w:val="00464311"/>
    <w:rsid w:val="0046437F"/>
    <w:rsid w:val="0046440C"/>
    <w:rsid w:val="0046442A"/>
    <w:rsid w:val="00464439"/>
    <w:rsid w:val="00464466"/>
    <w:rsid w:val="00464467"/>
    <w:rsid w:val="004644D2"/>
    <w:rsid w:val="00464507"/>
    <w:rsid w:val="0046451F"/>
    <w:rsid w:val="00464525"/>
    <w:rsid w:val="0046452A"/>
    <w:rsid w:val="00464578"/>
    <w:rsid w:val="0046457E"/>
    <w:rsid w:val="00464582"/>
    <w:rsid w:val="004645D5"/>
    <w:rsid w:val="004645E9"/>
    <w:rsid w:val="00464731"/>
    <w:rsid w:val="00464742"/>
    <w:rsid w:val="004647D7"/>
    <w:rsid w:val="004647E7"/>
    <w:rsid w:val="00464831"/>
    <w:rsid w:val="00464847"/>
    <w:rsid w:val="0046485F"/>
    <w:rsid w:val="00464897"/>
    <w:rsid w:val="004648C1"/>
    <w:rsid w:val="004648F4"/>
    <w:rsid w:val="00464922"/>
    <w:rsid w:val="0046493F"/>
    <w:rsid w:val="00464961"/>
    <w:rsid w:val="0046496A"/>
    <w:rsid w:val="004649B0"/>
    <w:rsid w:val="004649B9"/>
    <w:rsid w:val="00464A3D"/>
    <w:rsid w:val="00464A5C"/>
    <w:rsid w:val="00464A8C"/>
    <w:rsid w:val="00464A96"/>
    <w:rsid w:val="00464AB8"/>
    <w:rsid w:val="00464B67"/>
    <w:rsid w:val="00464BB1"/>
    <w:rsid w:val="00464BE6"/>
    <w:rsid w:val="00464BEC"/>
    <w:rsid w:val="00464BF6"/>
    <w:rsid w:val="00464C07"/>
    <w:rsid w:val="00464C12"/>
    <w:rsid w:val="00464C44"/>
    <w:rsid w:val="00464C70"/>
    <w:rsid w:val="00464C96"/>
    <w:rsid w:val="00464CAD"/>
    <w:rsid w:val="00464CBE"/>
    <w:rsid w:val="00464CDC"/>
    <w:rsid w:val="00464D14"/>
    <w:rsid w:val="00464D28"/>
    <w:rsid w:val="00464D8A"/>
    <w:rsid w:val="00464E26"/>
    <w:rsid w:val="00464E47"/>
    <w:rsid w:val="00464F05"/>
    <w:rsid w:val="00464F26"/>
    <w:rsid w:val="00464F45"/>
    <w:rsid w:val="00464F4B"/>
    <w:rsid w:val="00464F61"/>
    <w:rsid w:val="00464F6E"/>
    <w:rsid w:val="00464F94"/>
    <w:rsid w:val="00464FB1"/>
    <w:rsid w:val="00464FC1"/>
    <w:rsid w:val="00464FDC"/>
    <w:rsid w:val="00464FDD"/>
    <w:rsid w:val="00464FF0"/>
    <w:rsid w:val="00464FFE"/>
    <w:rsid w:val="00465028"/>
    <w:rsid w:val="0046502C"/>
    <w:rsid w:val="00465082"/>
    <w:rsid w:val="0046508D"/>
    <w:rsid w:val="004650A9"/>
    <w:rsid w:val="004650DC"/>
    <w:rsid w:val="00465107"/>
    <w:rsid w:val="0046512C"/>
    <w:rsid w:val="00465130"/>
    <w:rsid w:val="00465145"/>
    <w:rsid w:val="00465164"/>
    <w:rsid w:val="004651D4"/>
    <w:rsid w:val="00465230"/>
    <w:rsid w:val="004652C5"/>
    <w:rsid w:val="004652E2"/>
    <w:rsid w:val="00465323"/>
    <w:rsid w:val="00465328"/>
    <w:rsid w:val="0046533F"/>
    <w:rsid w:val="00465362"/>
    <w:rsid w:val="0046536F"/>
    <w:rsid w:val="00465409"/>
    <w:rsid w:val="0046540B"/>
    <w:rsid w:val="00465494"/>
    <w:rsid w:val="004654A5"/>
    <w:rsid w:val="004654C2"/>
    <w:rsid w:val="004654E4"/>
    <w:rsid w:val="00465504"/>
    <w:rsid w:val="0046553D"/>
    <w:rsid w:val="00465562"/>
    <w:rsid w:val="00465568"/>
    <w:rsid w:val="0046557F"/>
    <w:rsid w:val="0046559E"/>
    <w:rsid w:val="0046559F"/>
    <w:rsid w:val="004655B1"/>
    <w:rsid w:val="004655B2"/>
    <w:rsid w:val="004655B6"/>
    <w:rsid w:val="004655D0"/>
    <w:rsid w:val="00465628"/>
    <w:rsid w:val="004656FB"/>
    <w:rsid w:val="00465702"/>
    <w:rsid w:val="0046570A"/>
    <w:rsid w:val="00465769"/>
    <w:rsid w:val="004657AB"/>
    <w:rsid w:val="004657AE"/>
    <w:rsid w:val="004657B0"/>
    <w:rsid w:val="0046580C"/>
    <w:rsid w:val="00465823"/>
    <w:rsid w:val="0046587F"/>
    <w:rsid w:val="00465888"/>
    <w:rsid w:val="004658C8"/>
    <w:rsid w:val="004658F6"/>
    <w:rsid w:val="0046591C"/>
    <w:rsid w:val="00465935"/>
    <w:rsid w:val="004659B2"/>
    <w:rsid w:val="00465A40"/>
    <w:rsid w:val="00465A7F"/>
    <w:rsid w:val="00465A8F"/>
    <w:rsid w:val="00465B27"/>
    <w:rsid w:val="00465B9E"/>
    <w:rsid w:val="00465BA7"/>
    <w:rsid w:val="00465BEC"/>
    <w:rsid w:val="00465BF8"/>
    <w:rsid w:val="00465C2E"/>
    <w:rsid w:val="00465C86"/>
    <w:rsid w:val="00465C9E"/>
    <w:rsid w:val="00465CF2"/>
    <w:rsid w:val="00465D56"/>
    <w:rsid w:val="00465DA9"/>
    <w:rsid w:val="00465DF6"/>
    <w:rsid w:val="00465E50"/>
    <w:rsid w:val="00465E57"/>
    <w:rsid w:val="00465EA9"/>
    <w:rsid w:val="00465EAF"/>
    <w:rsid w:val="00465F0F"/>
    <w:rsid w:val="00465F98"/>
    <w:rsid w:val="00465FBB"/>
    <w:rsid w:val="00465FC9"/>
    <w:rsid w:val="00465FD9"/>
    <w:rsid w:val="0046608E"/>
    <w:rsid w:val="0046609D"/>
    <w:rsid w:val="004660FF"/>
    <w:rsid w:val="0046614F"/>
    <w:rsid w:val="00466181"/>
    <w:rsid w:val="004661CC"/>
    <w:rsid w:val="0046625E"/>
    <w:rsid w:val="00466268"/>
    <w:rsid w:val="00466325"/>
    <w:rsid w:val="004663A2"/>
    <w:rsid w:val="004663F1"/>
    <w:rsid w:val="004663F9"/>
    <w:rsid w:val="00466479"/>
    <w:rsid w:val="004664A9"/>
    <w:rsid w:val="004664C0"/>
    <w:rsid w:val="00466540"/>
    <w:rsid w:val="00466548"/>
    <w:rsid w:val="00466596"/>
    <w:rsid w:val="004665DC"/>
    <w:rsid w:val="004665EA"/>
    <w:rsid w:val="00466632"/>
    <w:rsid w:val="004666B6"/>
    <w:rsid w:val="004666DB"/>
    <w:rsid w:val="00466742"/>
    <w:rsid w:val="0046674E"/>
    <w:rsid w:val="00466787"/>
    <w:rsid w:val="004667CF"/>
    <w:rsid w:val="0046680A"/>
    <w:rsid w:val="00466810"/>
    <w:rsid w:val="0046683B"/>
    <w:rsid w:val="00466853"/>
    <w:rsid w:val="0046685C"/>
    <w:rsid w:val="00466928"/>
    <w:rsid w:val="0046696D"/>
    <w:rsid w:val="00466985"/>
    <w:rsid w:val="0046699B"/>
    <w:rsid w:val="004669FE"/>
    <w:rsid w:val="00466A4C"/>
    <w:rsid w:val="00466A67"/>
    <w:rsid w:val="00466AC5"/>
    <w:rsid w:val="00466B21"/>
    <w:rsid w:val="00466B29"/>
    <w:rsid w:val="00466C0D"/>
    <w:rsid w:val="00466C24"/>
    <w:rsid w:val="00466C28"/>
    <w:rsid w:val="00466C3E"/>
    <w:rsid w:val="00466C88"/>
    <w:rsid w:val="00466C91"/>
    <w:rsid w:val="00466D28"/>
    <w:rsid w:val="00466D58"/>
    <w:rsid w:val="00466D63"/>
    <w:rsid w:val="00466D8E"/>
    <w:rsid w:val="00466DB1"/>
    <w:rsid w:val="00466DE6"/>
    <w:rsid w:val="00466E22"/>
    <w:rsid w:val="00466F43"/>
    <w:rsid w:val="00466F6B"/>
    <w:rsid w:val="00466FE3"/>
    <w:rsid w:val="00466FF4"/>
    <w:rsid w:val="00467038"/>
    <w:rsid w:val="0046704C"/>
    <w:rsid w:val="00467068"/>
    <w:rsid w:val="00467096"/>
    <w:rsid w:val="004670AE"/>
    <w:rsid w:val="004670BC"/>
    <w:rsid w:val="004670E6"/>
    <w:rsid w:val="00467108"/>
    <w:rsid w:val="00467143"/>
    <w:rsid w:val="00467147"/>
    <w:rsid w:val="0046714D"/>
    <w:rsid w:val="00467198"/>
    <w:rsid w:val="004671AA"/>
    <w:rsid w:val="004671D7"/>
    <w:rsid w:val="004671F6"/>
    <w:rsid w:val="0046720B"/>
    <w:rsid w:val="00467216"/>
    <w:rsid w:val="00467226"/>
    <w:rsid w:val="004672A7"/>
    <w:rsid w:val="004672AE"/>
    <w:rsid w:val="004672F1"/>
    <w:rsid w:val="004672FB"/>
    <w:rsid w:val="0046731C"/>
    <w:rsid w:val="00467328"/>
    <w:rsid w:val="00467335"/>
    <w:rsid w:val="00467381"/>
    <w:rsid w:val="00467385"/>
    <w:rsid w:val="004674B9"/>
    <w:rsid w:val="004674BB"/>
    <w:rsid w:val="00467502"/>
    <w:rsid w:val="00467506"/>
    <w:rsid w:val="00467518"/>
    <w:rsid w:val="0046756B"/>
    <w:rsid w:val="004675CD"/>
    <w:rsid w:val="004675E5"/>
    <w:rsid w:val="00467646"/>
    <w:rsid w:val="0046765A"/>
    <w:rsid w:val="00467665"/>
    <w:rsid w:val="004676F2"/>
    <w:rsid w:val="00467747"/>
    <w:rsid w:val="004677A8"/>
    <w:rsid w:val="004677FA"/>
    <w:rsid w:val="00467854"/>
    <w:rsid w:val="00467886"/>
    <w:rsid w:val="00467898"/>
    <w:rsid w:val="004678C4"/>
    <w:rsid w:val="0046790E"/>
    <w:rsid w:val="00467963"/>
    <w:rsid w:val="00467964"/>
    <w:rsid w:val="0046798B"/>
    <w:rsid w:val="0046798C"/>
    <w:rsid w:val="00467A2E"/>
    <w:rsid w:val="00467A52"/>
    <w:rsid w:val="00467A74"/>
    <w:rsid w:val="00467AA2"/>
    <w:rsid w:val="00467AC1"/>
    <w:rsid w:val="00467AD6"/>
    <w:rsid w:val="00467BA8"/>
    <w:rsid w:val="00467C56"/>
    <w:rsid w:val="00467CC3"/>
    <w:rsid w:val="00467CDC"/>
    <w:rsid w:val="00467D19"/>
    <w:rsid w:val="00467DAB"/>
    <w:rsid w:val="00467E28"/>
    <w:rsid w:val="00467E46"/>
    <w:rsid w:val="00467E67"/>
    <w:rsid w:val="00467EDA"/>
    <w:rsid w:val="00467F2F"/>
    <w:rsid w:val="00467F3E"/>
    <w:rsid w:val="00467F5F"/>
    <w:rsid w:val="0047004D"/>
    <w:rsid w:val="0047006A"/>
    <w:rsid w:val="004700AB"/>
    <w:rsid w:val="004700B8"/>
    <w:rsid w:val="004700E4"/>
    <w:rsid w:val="00470135"/>
    <w:rsid w:val="00470194"/>
    <w:rsid w:val="004701A8"/>
    <w:rsid w:val="004701C0"/>
    <w:rsid w:val="004701C2"/>
    <w:rsid w:val="004701D3"/>
    <w:rsid w:val="00470234"/>
    <w:rsid w:val="0047026A"/>
    <w:rsid w:val="0047026D"/>
    <w:rsid w:val="004702B3"/>
    <w:rsid w:val="00470328"/>
    <w:rsid w:val="0047034D"/>
    <w:rsid w:val="00470353"/>
    <w:rsid w:val="0047036A"/>
    <w:rsid w:val="0047037C"/>
    <w:rsid w:val="004703D7"/>
    <w:rsid w:val="004703DE"/>
    <w:rsid w:val="004703E2"/>
    <w:rsid w:val="00470414"/>
    <w:rsid w:val="00470416"/>
    <w:rsid w:val="0047041A"/>
    <w:rsid w:val="00470438"/>
    <w:rsid w:val="004704CE"/>
    <w:rsid w:val="004704D3"/>
    <w:rsid w:val="004704F3"/>
    <w:rsid w:val="00470537"/>
    <w:rsid w:val="00470582"/>
    <w:rsid w:val="00470592"/>
    <w:rsid w:val="0047059F"/>
    <w:rsid w:val="004705BC"/>
    <w:rsid w:val="004705E2"/>
    <w:rsid w:val="004705E3"/>
    <w:rsid w:val="0047063F"/>
    <w:rsid w:val="004706A3"/>
    <w:rsid w:val="004706B7"/>
    <w:rsid w:val="004706BA"/>
    <w:rsid w:val="00470740"/>
    <w:rsid w:val="0047076B"/>
    <w:rsid w:val="0047077B"/>
    <w:rsid w:val="004707B7"/>
    <w:rsid w:val="0047082A"/>
    <w:rsid w:val="00470842"/>
    <w:rsid w:val="00470849"/>
    <w:rsid w:val="0047086D"/>
    <w:rsid w:val="00470877"/>
    <w:rsid w:val="0047087A"/>
    <w:rsid w:val="004708C9"/>
    <w:rsid w:val="004708EE"/>
    <w:rsid w:val="0047093A"/>
    <w:rsid w:val="00470953"/>
    <w:rsid w:val="00470966"/>
    <w:rsid w:val="0047096D"/>
    <w:rsid w:val="004709B2"/>
    <w:rsid w:val="00470A0F"/>
    <w:rsid w:val="00470A3D"/>
    <w:rsid w:val="00470A50"/>
    <w:rsid w:val="00470A58"/>
    <w:rsid w:val="00470A73"/>
    <w:rsid w:val="00470A7F"/>
    <w:rsid w:val="00470A97"/>
    <w:rsid w:val="00470A99"/>
    <w:rsid w:val="00470AB1"/>
    <w:rsid w:val="00470AE1"/>
    <w:rsid w:val="00470AE8"/>
    <w:rsid w:val="00470AEA"/>
    <w:rsid w:val="00470AF3"/>
    <w:rsid w:val="00470B20"/>
    <w:rsid w:val="00470B30"/>
    <w:rsid w:val="00470B76"/>
    <w:rsid w:val="00470C0A"/>
    <w:rsid w:val="00470C70"/>
    <w:rsid w:val="00470CA3"/>
    <w:rsid w:val="00470D0C"/>
    <w:rsid w:val="00470D0D"/>
    <w:rsid w:val="00470D26"/>
    <w:rsid w:val="00470D9A"/>
    <w:rsid w:val="00470DFF"/>
    <w:rsid w:val="00470E4C"/>
    <w:rsid w:val="00470E5F"/>
    <w:rsid w:val="00470E9C"/>
    <w:rsid w:val="00470EF2"/>
    <w:rsid w:val="00470F41"/>
    <w:rsid w:val="00470FCE"/>
    <w:rsid w:val="00471060"/>
    <w:rsid w:val="004710BF"/>
    <w:rsid w:val="004711E1"/>
    <w:rsid w:val="004711FE"/>
    <w:rsid w:val="00471210"/>
    <w:rsid w:val="004712D4"/>
    <w:rsid w:val="004712DA"/>
    <w:rsid w:val="004712FA"/>
    <w:rsid w:val="0047132A"/>
    <w:rsid w:val="0047134B"/>
    <w:rsid w:val="00471369"/>
    <w:rsid w:val="0047141D"/>
    <w:rsid w:val="0047148B"/>
    <w:rsid w:val="0047148F"/>
    <w:rsid w:val="004714AF"/>
    <w:rsid w:val="00471509"/>
    <w:rsid w:val="0047153C"/>
    <w:rsid w:val="00471550"/>
    <w:rsid w:val="0047157D"/>
    <w:rsid w:val="0047159B"/>
    <w:rsid w:val="00471601"/>
    <w:rsid w:val="0047160B"/>
    <w:rsid w:val="0047161B"/>
    <w:rsid w:val="00471626"/>
    <w:rsid w:val="0047166C"/>
    <w:rsid w:val="0047167F"/>
    <w:rsid w:val="004716DD"/>
    <w:rsid w:val="00471762"/>
    <w:rsid w:val="00471786"/>
    <w:rsid w:val="004717CC"/>
    <w:rsid w:val="004717CE"/>
    <w:rsid w:val="00471822"/>
    <w:rsid w:val="00471852"/>
    <w:rsid w:val="00471854"/>
    <w:rsid w:val="00471861"/>
    <w:rsid w:val="0047187C"/>
    <w:rsid w:val="004718D7"/>
    <w:rsid w:val="004718D8"/>
    <w:rsid w:val="00471947"/>
    <w:rsid w:val="004719AD"/>
    <w:rsid w:val="004719B6"/>
    <w:rsid w:val="004719C1"/>
    <w:rsid w:val="004719F1"/>
    <w:rsid w:val="00471A6E"/>
    <w:rsid w:val="00471A92"/>
    <w:rsid w:val="00471A9D"/>
    <w:rsid w:val="00471B30"/>
    <w:rsid w:val="00471B43"/>
    <w:rsid w:val="00471B60"/>
    <w:rsid w:val="00471B87"/>
    <w:rsid w:val="00471B93"/>
    <w:rsid w:val="00471B9D"/>
    <w:rsid w:val="00471BB4"/>
    <w:rsid w:val="00471BDD"/>
    <w:rsid w:val="00471C13"/>
    <w:rsid w:val="00471C74"/>
    <w:rsid w:val="00471C84"/>
    <w:rsid w:val="00471C9C"/>
    <w:rsid w:val="00471CEA"/>
    <w:rsid w:val="00471CF3"/>
    <w:rsid w:val="00471CFC"/>
    <w:rsid w:val="00471D2D"/>
    <w:rsid w:val="00471D42"/>
    <w:rsid w:val="00471D52"/>
    <w:rsid w:val="00471D7C"/>
    <w:rsid w:val="00471D82"/>
    <w:rsid w:val="00471DB5"/>
    <w:rsid w:val="00471DE5"/>
    <w:rsid w:val="00471E0D"/>
    <w:rsid w:val="00471E2B"/>
    <w:rsid w:val="00471E3D"/>
    <w:rsid w:val="00471E44"/>
    <w:rsid w:val="00471E5A"/>
    <w:rsid w:val="00471EA5"/>
    <w:rsid w:val="00471EC1"/>
    <w:rsid w:val="00471EED"/>
    <w:rsid w:val="00471F3A"/>
    <w:rsid w:val="00471F50"/>
    <w:rsid w:val="00471F6D"/>
    <w:rsid w:val="00471FFE"/>
    <w:rsid w:val="0047200A"/>
    <w:rsid w:val="00472018"/>
    <w:rsid w:val="0047202C"/>
    <w:rsid w:val="0047202E"/>
    <w:rsid w:val="00472059"/>
    <w:rsid w:val="004720A1"/>
    <w:rsid w:val="004720AF"/>
    <w:rsid w:val="004720D2"/>
    <w:rsid w:val="004720E7"/>
    <w:rsid w:val="004720F9"/>
    <w:rsid w:val="0047214B"/>
    <w:rsid w:val="00472163"/>
    <w:rsid w:val="0047216E"/>
    <w:rsid w:val="00472196"/>
    <w:rsid w:val="004721D7"/>
    <w:rsid w:val="004721EC"/>
    <w:rsid w:val="004721FB"/>
    <w:rsid w:val="00472224"/>
    <w:rsid w:val="00472267"/>
    <w:rsid w:val="0047228A"/>
    <w:rsid w:val="0047233B"/>
    <w:rsid w:val="0047235B"/>
    <w:rsid w:val="00472375"/>
    <w:rsid w:val="004723A3"/>
    <w:rsid w:val="004723B8"/>
    <w:rsid w:val="004723DB"/>
    <w:rsid w:val="004723DC"/>
    <w:rsid w:val="004723E0"/>
    <w:rsid w:val="00472406"/>
    <w:rsid w:val="00472471"/>
    <w:rsid w:val="0047247C"/>
    <w:rsid w:val="00472480"/>
    <w:rsid w:val="004724AC"/>
    <w:rsid w:val="004724B0"/>
    <w:rsid w:val="00472518"/>
    <w:rsid w:val="004725BE"/>
    <w:rsid w:val="0047262C"/>
    <w:rsid w:val="004726B0"/>
    <w:rsid w:val="004726C1"/>
    <w:rsid w:val="004726E4"/>
    <w:rsid w:val="00472748"/>
    <w:rsid w:val="00472760"/>
    <w:rsid w:val="00472762"/>
    <w:rsid w:val="00472773"/>
    <w:rsid w:val="004727A4"/>
    <w:rsid w:val="004727BF"/>
    <w:rsid w:val="004727E1"/>
    <w:rsid w:val="004727EA"/>
    <w:rsid w:val="004727FE"/>
    <w:rsid w:val="0047285A"/>
    <w:rsid w:val="004728A7"/>
    <w:rsid w:val="004728C8"/>
    <w:rsid w:val="00472917"/>
    <w:rsid w:val="0047293A"/>
    <w:rsid w:val="00472946"/>
    <w:rsid w:val="00472A10"/>
    <w:rsid w:val="00472A32"/>
    <w:rsid w:val="00472AA2"/>
    <w:rsid w:val="00472AF2"/>
    <w:rsid w:val="00472B2F"/>
    <w:rsid w:val="00472B30"/>
    <w:rsid w:val="00472B7D"/>
    <w:rsid w:val="00472BF6"/>
    <w:rsid w:val="00472C26"/>
    <w:rsid w:val="00472C69"/>
    <w:rsid w:val="00472C81"/>
    <w:rsid w:val="00472C84"/>
    <w:rsid w:val="00472CA4"/>
    <w:rsid w:val="00472CF7"/>
    <w:rsid w:val="00472D29"/>
    <w:rsid w:val="00472D2C"/>
    <w:rsid w:val="00472D5A"/>
    <w:rsid w:val="00472D61"/>
    <w:rsid w:val="00472D88"/>
    <w:rsid w:val="00472DDC"/>
    <w:rsid w:val="00472E0F"/>
    <w:rsid w:val="00472E32"/>
    <w:rsid w:val="00472E72"/>
    <w:rsid w:val="00472E85"/>
    <w:rsid w:val="00472EA8"/>
    <w:rsid w:val="00472EF6"/>
    <w:rsid w:val="00472F01"/>
    <w:rsid w:val="00472F2F"/>
    <w:rsid w:val="00472F38"/>
    <w:rsid w:val="00472F66"/>
    <w:rsid w:val="00472F72"/>
    <w:rsid w:val="00472F84"/>
    <w:rsid w:val="00472F9C"/>
    <w:rsid w:val="00472FA2"/>
    <w:rsid w:val="00472FC5"/>
    <w:rsid w:val="00473004"/>
    <w:rsid w:val="00473011"/>
    <w:rsid w:val="00473076"/>
    <w:rsid w:val="004730CB"/>
    <w:rsid w:val="00473105"/>
    <w:rsid w:val="0047312F"/>
    <w:rsid w:val="00473146"/>
    <w:rsid w:val="00473158"/>
    <w:rsid w:val="0047316D"/>
    <w:rsid w:val="00473171"/>
    <w:rsid w:val="00473199"/>
    <w:rsid w:val="004731DB"/>
    <w:rsid w:val="004731FB"/>
    <w:rsid w:val="00473202"/>
    <w:rsid w:val="0047320C"/>
    <w:rsid w:val="00473241"/>
    <w:rsid w:val="004732AE"/>
    <w:rsid w:val="004732B6"/>
    <w:rsid w:val="00473319"/>
    <w:rsid w:val="00473329"/>
    <w:rsid w:val="0047336C"/>
    <w:rsid w:val="004733BD"/>
    <w:rsid w:val="004733D1"/>
    <w:rsid w:val="00473427"/>
    <w:rsid w:val="00473471"/>
    <w:rsid w:val="00473489"/>
    <w:rsid w:val="0047348E"/>
    <w:rsid w:val="00473497"/>
    <w:rsid w:val="004734C5"/>
    <w:rsid w:val="004734E9"/>
    <w:rsid w:val="004734EC"/>
    <w:rsid w:val="004734EF"/>
    <w:rsid w:val="004734F1"/>
    <w:rsid w:val="004734F3"/>
    <w:rsid w:val="0047351A"/>
    <w:rsid w:val="004736C0"/>
    <w:rsid w:val="00473729"/>
    <w:rsid w:val="00473745"/>
    <w:rsid w:val="0047374B"/>
    <w:rsid w:val="00473754"/>
    <w:rsid w:val="0047375B"/>
    <w:rsid w:val="00473761"/>
    <w:rsid w:val="00473780"/>
    <w:rsid w:val="00473781"/>
    <w:rsid w:val="004737A2"/>
    <w:rsid w:val="004737AB"/>
    <w:rsid w:val="00473804"/>
    <w:rsid w:val="00473808"/>
    <w:rsid w:val="00473830"/>
    <w:rsid w:val="00473838"/>
    <w:rsid w:val="0047383C"/>
    <w:rsid w:val="0047383E"/>
    <w:rsid w:val="00473861"/>
    <w:rsid w:val="00473862"/>
    <w:rsid w:val="004738E8"/>
    <w:rsid w:val="004738EA"/>
    <w:rsid w:val="00473902"/>
    <w:rsid w:val="0047391A"/>
    <w:rsid w:val="00473951"/>
    <w:rsid w:val="0047395A"/>
    <w:rsid w:val="0047395F"/>
    <w:rsid w:val="00473979"/>
    <w:rsid w:val="004739C8"/>
    <w:rsid w:val="004739E1"/>
    <w:rsid w:val="00473A24"/>
    <w:rsid w:val="00473A2B"/>
    <w:rsid w:val="00473A35"/>
    <w:rsid w:val="00473A62"/>
    <w:rsid w:val="00473AA2"/>
    <w:rsid w:val="00473B03"/>
    <w:rsid w:val="00473B12"/>
    <w:rsid w:val="00473B1A"/>
    <w:rsid w:val="00473B83"/>
    <w:rsid w:val="00473BBC"/>
    <w:rsid w:val="00473D10"/>
    <w:rsid w:val="00473D32"/>
    <w:rsid w:val="00473D40"/>
    <w:rsid w:val="00473D57"/>
    <w:rsid w:val="00473D67"/>
    <w:rsid w:val="00473D7E"/>
    <w:rsid w:val="00473D98"/>
    <w:rsid w:val="00473EC1"/>
    <w:rsid w:val="00473F32"/>
    <w:rsid w:val="00473F57"/>
    <w:rsid w:val="00473F5A"/>
    <w:rsid w:val="00473F7D"/>
    <w:rsid w:val="00473F9A"/>
    <w:rsid w:val="00473FA2"/>
    <w:rsid w:val="00473FC2"/>
    <w:rsid w:val="00474018"/>
    <w:rsid w:val="0047402B"/>
    <w:rsid w:val="00474071"/>
    <w:rsid w:val="00474087"/>
    <w:rsid w:val="004740F0"/>
    <w:rsid w:val="00474116"/>
    <w:rsid w:val="0047412D"/>
    <w:rsid w:val="004741FD"/>
    <w:rsid w:val="00474221"/>
    <w:rsid w:val="0047424F"/>
    <w:rsid w:val="004742AB"/>
    <w:rsid w:val="00474361"/>
    <w:rsid w:val="0047439F"/>
    <w:rsid w:val="004743DF"/>
    <w:rsid w:val="004743E9"/>
    <w:rsid w:val="00474452"/>
    <w:rsid w:val="00474474"/>
    <w:rsid w:val="00474478"/>
    <w:rsid w:val="00474481"/>
    <w:rsid w:val="00474482"/>
    <w:rsid w:val="00474505"/>
    <w:rsid w:val="00474601"/>
    <w:rsid w:val="00474619"/>
    <w:rsid w:val="00474633"/>
    <w:rsid w:val="00474663"/>
    <w:rsid w:val="00474696"/>
    <w:rsid w:val="004746C6"/>
    <w:rsid w:val="004747A0"/>
    <w:rsid w:val="00474895"/>
    <w:rsid w:val="0047495A"/>
    <w:rsid w:val="00474996"/>
    <w:rsid w:val="004749E7"/>
    <w:rsid w:val="004749F8"/>
    <w:rsid w:val="00474A2D"/>
    <w:rsid w:val="00474A3B"/>
    <w:rsid w:val="00474A8C"/>
    <w:rsid w:val="00474AB1"/>
    <w:rsid w:val="00474ABA"/>
    <w:rsid w:val="00474B1B"/>
    <w:rsid w:val="00474B2A"/>
    <w:rsid w:val="00474BBC"/>
    <w:rsid w:val="00474BC5"/>
    <w:rsid w:val="00474C0E"/>
    <w:rsid w:val="00474C11"/>
    <w:rsid w:val="00474C2C"/>
    <w:rsid w:val="00474C74"/>
    <w:rsid w:val="00474C98"/>
    <w:rsid w:val="00474C9D"/>
    <w:rsid w:val="00474D28"/>
    <w:rsid w:val="00474D65"/>
    <w:rsid w:val="00474E3C"/>
    <w:rsid w:val="00474E4B"/>
    <w:rsid w:val="00474E56"/>
    <w:rsid w:val="00474E63"/>
    <w:rsid w:val="00474E7D"/>
    <w:rsid w:val="00474E86"/>
    <w:rsid w:val="00474ECE"/>
    <w:rsid w:val="00474ED7"/>
    <w:rsid w:val="00474EE7"/>
    <w:rsid w:val="00474EF6"/>
    <w:rsid w:val="00474F3E"/>
    <w:rsid w:val="00474F6F"/>
    <w:rsid w:val="00474F98"/>
    <w:rsid w:val="00474FB3"/>
    <w:rsid w:val="00474FD1"/>
    <w:rsid w:val="00474FEF"/>
    <w:rsid w:val="00475056"/>
    <w:rsid w:val="00475081"/>
    <w:rsid w:val="00475099"/>
    <w:rsid w:val="0047510D"/>
    <w:rsid w:val="0047512F"/>
    <w:rsid w:val="00475141"/>
    <w:rsid w:val="00475168"/>
    <w:rsid w:val="004751A5"/>
    <w:rsid w:val="004751F5"/>
    <w:rsid w:val="004752AA"/>
    <w:rsid w:val="004752F9"/>
    <w:rsid w:val="00475329"/>
    <w:rsid w:val="0047534A"/>
    <w:rsid w:val="00475367"/>
    <w:rsid w:val="004753D1"/>
    <w:rsid w:val="00475425"/>
    <w:rsid w:val="004754B4"/>
    <w:rsid w:val="004754D8"/>
    <w:rsid w:val="00475553"/>
    <w:rsid w:val="00475586"/>
    <w:rsid w:val="004755A1"/>
    <w:rsid w:val="004755D4"/>
    <w:rsid w:val="004755DE"/>
    <w:rsid w:val="004755FF"/>
    <w:rsid w:val="00475612"/>
    <w:rsid w:val="00475616"/>
    <w:rsid w:val="00475647"/>
    <w:rsid w:val="00475676"/>
    <w:rsid w:val="004756DA"/>
    <w:rsid w:val="004756DE"/>
    <w:rsid w:val="0047574E"/>
    <w:rsid w:val="00475816"/>
    <w:rsid w:val="0047582E"/>
    <w:rsid w:val="00475848"/>
    <w:rsid w:val="0047588C"/>
    <w:rsid w:val="00475890"/>
    <w:rsid w:val="00475948"/>
    <w:rsid w:val="004759B7"/>
    <w:rsid w:val="004759CC"/>
    <w:rsid w:val="00475A2C"/>
    <w:rsid w:val="00475A83"/>
    <w:rsid w:val="00475AA7"/>
    <w:rsid w:val="00475AB7"/>
    <w:rsid w:val="00475ADC"/>
    <w:rsid w:val="00475ADD"/>
    <w:rsid w:val="00475AE4"/>
    <w:rsid w:val="00475AF5"/>
    <w:rsid w:val="00475B95"/>
    <w:rsid w:val="00475BBA"/>
    <w:rsid w:val="00475BEF"/>
    <w:rsid w:val="00475C46"/>
    <w:rsid w:val="00475CBE"/>
    <w:rsid w:val="00475D39"/>
    <w:rsid w:val="00475D53"/>
    <w:rsid w:val="00475D58"/>
    <w:rsid w:val="00475D6A"/>
    <w:rsid w:val="00475E01"/>
    <w:rsid w:val="00475E54"/>
    <w:rsid w:val="00475E96"/>
    <w:rsid w:val="00475ED0"/>
    <w:rsid w:val="00475ED5"/>
    <w:rsid w:val="00475ED6"/>
    <w:rsid w:val="00475F28"/>
    <w:rsid w:val="00475F5A"/>
    <w:rsid w:val="00475F5F"/>
    <w:rsid w:val="00475F74"/>
    <w:rsid w:val="00475F8E"/>
    <w:rsid w:val="0047602A"/>
    <w:rsid w:val="0047604E"/>
    <w:rsid w:val="00476132"/>
    <w:rsid w:val="004761AD"/>
    <w:rsid w:val="004761BB"/>
    <w:rsid w:val="004761DF"/>
    <w:rsid w:val="004761E8"/>
    <w:rsid w:val="004761FC"/>
    <w:rsid w:val="00476203"/>
    <w:rsid w:val="00476223"/>
    <w:rsid w:val="00476247"/>
    <w:rsid w:val="00476264"/>
    <w:rsid w:val="0047628A"/>
    <w:rsid w:val="004762AF"/>
    <w:rsid w:val="004762D9"/>
    <w:rsid w:val="004762DA"/>
    <w:rsid w:val="004762DB"/>
    <w:rsid w:val="004762F0"/>
    <w:rsid w:val="0047630A"/>
    <w:rsid w:val="0047630E"/>
    <w:rsid w:val="00476326"/>
    <w:rsid w:val="0047632B"/>
    <w:rsid w:val="004763C2"/>
    <w:rsid w:val="004763F4"/>
    <w:rsid w:val="004763F8"/>
    <w:rsid w:val="00476466"/>
    <w:rsid w:val="0047647E"/>
    <w:rsid w:val="004764E9"/>
    <w:rsid w:val="004764EE"/>
    <w:rsid w:val="0047651E"/>
    <w:rsid w:val="00476546"/>
    <w:rsid w:val="00476573"/>
    <w:rsid w:val="004765B7"/>
    <w:rsid w:val="00476600"/>
    <w:rsid w:val="00476641"/>
    <w:rsid w:val="00476674"/>
    <w:rsid w:val="004766B1"/>
    <w:rsid w:val="004766C5"/>
    <w:rsid w:val="0047671F"/>
    <w:rsid w:val="00476731"/>
    <w:rsid w:val="00476769"/>
    <w:rsid w:val="004767BA"/>
    <w:rsid w:val="00476893"/>
    <w:rsid w:val="004768B6"/>
    <w:rsid w:val="004768DB"/>
    <w:rsid w:val="0047690B"/>
    <w:rsid w:val="0047697F"/>
    <w:rsid w:val="00476A0A"/>
    <w:rsid w:val="00476A0E"/>
    <w:rsid w:val="00476AA5"/>
    <w:rsid w:val="00476AE0"/>
    <w:rsid w:val="00476AE6"/>
    <w:rsid w:val="00476B0D"/>
    <w:rsid w:val="00476B53"/>
    <w:rsid w:val="00476BD3"/>
    <w:rsid w:val="00476C4B"/>
    <w:rsid w:val="00476C75"/>
    <w:rsid w:val="00476D09"/>
    <w:rsid w:val="00476D2C"/>
    <w:rsid w:val="00476D75"/>
    <w:rsid w:val="00476D7A"/>
    <w:rsid w:val="00476DC1"/>
    <w:rsid w:val="00476E00"/>
    <w:rsid w:val="00476E1E"/>
    <w:rsid w:val="00476E55"/>
    <w:rsid w:val="00476EEF"/>
    <w:rsid w:val="00476EF8"/>
    <w:rsid w:val="00476F00"/>
    <w:rsid w:val="00476F12"/>
    <w:rsid w:val="00476F89"/>
    <w:rsid w:val="00476FBC"/>
    <w:rsid w:val="00476FCA"/>
    <w:rsid w:val="00476FCB"/>
    <w:rsid w:val="00477063"/>
    <w:rsid w:val="00477094"/>
    <w:rsid w:val="004770C8"/>
    <w:rsid w:val="00477110"/>
    <w:rsid w:val="00477139"/>
    <w:rsid w:val="0047718C"/>
    <w:rsid w:val="0047718D"/>
    <w:rsid w:val="0047719F"/>
    <w:rsid w:val="004771B9"/>
    <w:rsid w:val="004771F5"/>
    <w:rsid w:val="00477298"/>
    <w:rsid w:val="004772C3"/>
    <w:rsid w:val="004772EF"/>
    <w:rsid w:val="00477308"/>
    <w:rsid w:val="00477364"/>
    <w:rsid w:val="00477371"/>
    <w:rsid w:val="00477463"/>
    <w:rsid w:val="00477484"/>
    <w:rsid w:val="00477491"/>
    <w:rsid w:val="004774FF"/>
    <w:rsid w:val="0047753A"/>
    <w:rsid w:val="00477552"/>
    <w:rsid w:val="004775F7"/>
    <w:rsid w:val="00477607"/>
    <w:rsid w:val="00477676"/>
    <w:rsid w:val="004776AC"/>
    <w:rsid w:val="004776C0"/>
    <w:rsid w:val="004776D4"/>
    <w:rsid w:val="00477711"/>
    <w:rsid w:val="0047772E"/>
    <w:rsid w:val="004777BA"/>
    <w:rsid w:val="004777C6"/>
    <w:rsid w:val="0047781D"/>
    <w:rsid w:val="0047782D"/>
    <w:rsid w:val="0047787A"/>
    <w:rsid w:val="004778EC"/>
    <w:rsid w:val="004778FD"/>
    <w:rsid w:val="0047790C"/>
    <w:rsid w:val="00477920"/>
    <w:rsid w:val="0047798B"/>
    <w:rsid w:val="004779A9"/>
    <w:rsid w:val="004779AE"/>
    <w:rsid w:val="004779B5"/>
    <w:rsid w:val="00477A1D"/>
    <w:rsid w:val="00477A32"/>
    <w:rsid w:val="00477A6E"/>
    <w:rsid w:val="00477A73"/>
    <w:rsid w:val="00477A91"/>
    <w:rsid w:val="00477AA5"/>
    <w:rsid w:val="00477AA8"/>
    <w:rsid w:val="00477AFB"/>
    <w:rsid w:val="00477B8E"/>
    <w:rsid w:val="00477BB3"/>
    <w:rsid w:val="00477BDD"/>
    <w:rsid w:val="00477BF4"/>
    <w:rsid w:val="00477C54"/>
    <w:rsid w:val="00477C9C"/>
    <w:rsid w:val="00477CFA"/>
    <w:rsid w:val="00477D27"/>
    <w:rsid w:val="00477D55"/>
    <w:rsid w:val="00477D77"/>
    <w:rsid w:val="00477D83"/>
    <w:rsid w:val="00477DCC"/>
    <w:rsid w:val="00477DD6"/>
    <w:rsid w:val="00477DE8"/>
    <w:rsid w:val="00477E82"/>
    <w:rsid w:val="00477EB1"/>
    <w:rsid w:val="00477F0D"/>
    <w:rsid w:val="00477F32"/>
    <w:rsid w:val="00477F6C"/>
    <w:rsid w:val="00477F6E"/>
    <w:rsid w:val="00477F88"/>
    <w:rsid w:val="00477FE2"/>
    <w:rsid w:val="00477FE6"/>
    <w:rsid w:val="00477FF2"/>
    <w:rsid w:val="00480042"/>
    <w:rsid w:val="00480048"/>
    <w:rsid w:val="00480098"/>
    <w:rsid w:val="004800C2"/>
    <w:rsid w:val="004800C5"/>
    <w:rsid w:val="004800E2"/>
    <w:rsid w:val="00480109"/>
    <w:rsid w:val="0048011D"/>
    <w:rsid w:val="00480131"/>
    <w:rsid w:val="00480143"/>
    <w:rsid w:val="00480176"/>
    <w:rsid w:val="00480198"/>
    <w:rsid w:val="004801C9"/>
    <w:rsid w:val="004801FD"/>
    <w:rsid w:val="00480234"/>
    <w:rsid w:val="00480238"/>
    <w:rsid w:val="00480251"/>
    <w:rsid w:val="00480257"/>
    <w:rsid w:val="0048028E"/>
    <w:rsid w:val="004802A7"/>
    <w:rsid w:val="004802FE"/>
    <w:rsid w:val="0048032F"/>
    <w:rsid w:val="0048034D"/>
    <w:rsid w:val="0048038B"/>
    <w:rsid w:val="0048038D"/>
    <w:rsid w:val="0048038F"/>
    <w:rsid w:val="00480398"/>
    <w:rsid w:val="004803B9"/>
    <w:rsid w:val="004803BD"/>
    <w:rsid w:val="004803C3"/>
    <w:rsid w:val="00480401"/>
    <w:rsid w:val="00480426"/>
    <w:rsid w:val="00480473"/>
    <w:rsid w:val="004804E0"/>
    <w:rsid w:val="004804FD"/>
    <w:rsid w:val="0048050A"/>
    <w:rsid w:val="0048050D"/>
    <w:rsid w:val="0048054C"/>
    <w:rsid w:val="0048056D"/>
    <w:rsid w:val="00480576"/>
    <w:rsid w:val="00480582"/>
    <w:rsid w:val="0048059A"/>
    <w:rsid w:val="00480685"/>
    <w:rsid w:val="0048069C"/>
    <w:rsid w:val="004806B8"/>
    <w:rsid w:val="004807A8"/>
    <w:rsid w:val="00480807"/>
    <w:rsid w:val="00480810"/>
    <w:rsid w:val="004808B5"/>
    <w:rsid w:val="004808C2"/>
    <w:rsid w:val="004808D3"/>
    <w:rsid w:val="004808DD"/>
    <w:rsid w:val="004808FD"/>
    <w:rsid w:val="00480914"/>
    <w:rsid w:val="0048095C"/>
    <w:rsid w:val="00480A2E"/>
    <w:rsid w:val="00480A59"/>
    <w:rsid w:val="00480A60"/>
    <w:rsid w:val="00480AAB"/>
    <w:rsid w:val="00480AB3"/>
    <w:rsid w:val="00480AF9"/>
    <w:rsid w:val="00480B16"/>
    <w:rsid w:val="00480B3A"/>
    <w:rsid w:val="00480B5F"/>
    <w:rsid w:val="00480B92"/>
    <w:rsid w:val="00480B97"/>
    <w:rsid w:val="00480BBD"/>
    <w:rsid w:val="00480CFE"/>
    <w:rsid w:val="00480D03"/>
    <w:rsid w:val="00480D11"/>
    <w:rsid w:val="00480DCB"/>
    <w:rsid w:val="00480E58"/>
    <w:rsid w:val="00480E60"/>
    <w:rsid w:val="00480EDD"/>
    <w:rsid w:val="00480F47"/>
    <w:rsid w:val="00480FF4"/>
    <w:rsid w:val="00481007"/>
    <w:rsid w:val="0048101C"/>
    <w:rsid w:val="0048102C"/>
    <w:rsid w:val="0048109E"/>
    <w:rsid w:val="0048113D"/>
    <w:rsid w:val="00481154"/>
    <w:rsid w:val="0048118B"/>
    <w:rsid w:val="00481194"/>
    <w:rsid w:val="00481252"/>
    <w:rsid w:val="004812A7"/>
    <w:rsid w:val="004812C6"/>
    <w:rsid w:val="004812CF"/>
    <w:rsid w:val="004812F0"/>
    <w:rsid w:val="004812FF"/>
    <w:rsid w:val="0048132F"/>
    <w:rsid w:val="00481377"/>
    <w:rsid w:val="004813B8"/>
    <w:rsid w:val="004813D9"/>
    <w:rsid w:val="004813E2"/>
    <w:rsid w:val="0048141C"/>
    <w:rsid w:val="00481479"/>
    <w:rsid w:val="0048156D"/>
    <w:rsid w:val="00481582"/>
    <w:rsid w:val="0048158D"/>
    <w:rsid w:val="004815B2"/>
    <w:rsid w:val="004815BB"/>
    <w:rsid w:val="00481601"/>
    <w:rsid w:val="00481614"/>
    <w:rsid w:val="0048161A"/>
    <w:rsid w:val="004816AF"/>
    <w:rsid w:val="004816B5"/>
    <w:rsid w:val="004816BB"/>
    <w:rsid w:val="00481700"/>
    <w:rsid w:val="00481743"/>
    <w:rsid w:val="0048175A"/>
    <w:rsid w:val="0048175C"/>
    <w:rsid w:val="00481790"/>
    <w:rsid w:val="004817AD"/>
    <w:rsid w:val="004817CB"/>
    <w:rsid w:val="004817DE"/>
    <w:rsid w:val="004817FD"/>
    <w:rsid w:val="00481813"/>
    <w:rsid w:val="00481832"/>
    <w:rsid w:val="00481837"/>
    <w:rsid w:val="00481842"/>
    <w:rsid w:val="00481862"/>
    <w:rsid w:val="004818A9"/>
    <w:rsid w:val="004818D0"/>
    <w:rsid w:val="004818E6"/>
    <w:rsid w:val="00481900"/>
    <w:rsid w:val="00481904"/>
    <w:rsid w:val="00481944"/>
    <w:rsid w:val="00481953"/>
    <w:rsid w:val="00481975"/>
    <w:rsid w:val="00481976"/>
    <w:rsid w:val="004819C3"/>
    <w:rsid w:val="004819C8"/>
    <w:rsid w:val="004819D6"/>
    <w:rsid w:val="00481A16"/>
    <w:rsid w:val="00481A86"/>
    <w:rsid w:val="00481AEE"/>
    <w:rsid w:val="00481B4C"/>
    <w:rsid w:val="00481B69"/>
    <w:rsid w:val="00481B8C"/>
    <w:rsid w:val="00481C18"/>
    <w:rsid w:val="00481C29"/>
    <w:rsid w:val="00481C76"/>
    <w:rsid w:val="00481C7A"/>
    <w:rsid w:val="00481C97"/>
    <w:rsid w:val="00481C98"/>
    <w:rsid w:val="00481CD2"/>
    <w:rsid w:val="00481CF0"/>
    <w:rsid w:val="00481CF9"/>
    <w:rsid w:val="00481D0F"/>
    <w:rsid w:val="00481D27"/>
    <w:rsid w:val="00481D59"/>
    <w:rsid w:val="00481D77"/>
    <w:rsid w:val="00481D87"/>
    <w:rsid w:val="00481DC9"/>
    <w:rsid w:val="00481DED"/>
    <w:rsid w:val="00481E8E"/>
    <w:rsid w:val="00481F60"/>
    <w:rsid w:val="00481FAC"/>
    <w:rsid w:val="00482083"/>
    <w:rsid w:val="004820E1"/>
    <w:rsid w:val="0048219F"/>
    <w:rsid w:val="00482230"/>
    <w:rsid w:val="0048228A"/>
    <w:rsid w:val="0048229E"/>
    <w:rsid w:val="004822C8"/>
    <w:rsid w:val="004822C9"/>
    <w:rsid w:val="004822CB"/>
    <w:rsid w:val="004822F0"/>
    <w:rsid w:val="00482371"/>
    <w:rsid w:val="004823BD"/>
    <w:rsid w:val="004823F2"/>
    <w:rsid w:val="0048240A"/>
    <w:rsid w:val="00482424"/>
    <w:rsid w:val="00482457"/>
    <w:rsid w:val="004824E5"/>
    <w:rsid w:val="00482565"/>
    <w:rsid w:val="00482575"/>
    <w:rsid w:val="004825CE"/>
    <w:rsid w:val="0048260F"/>
    <w:rsid w:val="00482634"/>
    <w:rsid w:val="0048266D"/>
    <w:rsid w:val="004826AD"/>
    <w:rsid w:val="004826B7"/>
    <w:rsid w:val="0048271F"/>
    <w:rsid w:val="00482769"/>
    <w:rsid w:val="004827AE"/>
    <w:rsid w:val="004827EC"/>
    <w:rsid w:val="004828AF"/>
    <w:rsid w:val="00482934"/>
    <w:rsid w:val="00482967"/>
    <w:rsid w:val="0048297B"/>
    <w:rsid w:val="00482A11"/>
    <w:rsid w:val="00482A1D"/>
    <w:rsid w:val="00482A20"/>
    <w:rsid w:val="00482A6B"/>
    <w:rsid w:val="00482AA7"/>
    <w:rsid w:val="00482AF4"/>
    <w:rsid w:val="00482B31"/>
    <w:rsid w:val="00482B55"/>
    <w:rsid w:val="00482B6E"/>
    <w:rsid w:val="00482B7A"/>
    <w:rsid w:val="00482B92"/>
    <w:rsid w:val="00482BED"/>
    <w:rsid w:val="00482BEF"/>
    <w:rsid w:val="00482BF3"/>
    <w:rsid w:val="00482BF8"/>
    <w:rsid w:val="00482C14"/>
    <w:rsid w:val="00482C9D"/>
    <w:rsid w:val="00482CBD"/>
    <w:rsid w:val="00482D12"/>
    <w:rsid w:val="00482D5A"/>
    <w:rsid w:val="00482DB9"/>
    <w:rsid w:val="00482E2C"/>
    <w:rsid w:val="00482EDE"/>
    <w:rsid w:val="00482F12"/>
    <w:rsid w:val="00482F20"/>
    <w:rsid w:val="00482F54"/>
    <w:rsid w:val="00482F64"/>
    <w:rsid w:val="00482F9A"/>
    <w:rsid w:val="00482FFD"/>
    <w:rsid w:val="00483012"/>
    <w:rsid w:val="0048302A"/>
    <w:rsid w:val="0048304E"/>
    <w:rsid w:val="00483050"/>
    <w:rsid w:val="00483075"/>
    <w:rsid w:val="0048309D"/>
    <w:rsid w:val="00483122"/>
    <w:rsid w:val="00483165"/>
    <w:rsid w:val="00483168"/>
    <w:rsid w:val="00483191"/>
    <w:rsid w:val="004831C6"/>
    <w:rsid w:val="0048320C"/>
    <w:rsid w:val="00483223"/>
    <w:rsid w:val="00483238"/>
    <w:rsid w:val="0048325C"/>
    <w:rsid w:val="004832C7"/>
    <w:rsid w:val="004832F8"/>
    <w:rsid w:val="0048336F"/>
    <w:rsid w:val="004833AD"/>
    <w:rsid w:val="004833F8"/>
    <w:rsid w:val="0048341A"/>
    <w:rsid w:val="0048341E"/>
    <w:rsid w:val="0048343F"/>
    <w:rsid w:val="004834FA"/>
    <w:rsid w:val="00483535"/>
    <w:rsid w:val="00483599"/>
    <w:rsid w:val="004835CB"/>
    <w:rsid w:val="004835D1"/>
    <w:rsid w:val="0048368A"/>
    <w:rsid w:val="0048369C"/>
    <w:rsid w:val="004836C7"/>
    <w:rsid w:val="004836EF"/>
    <w:rsid w:val="0048370E"/>
    <w:rsid w:val="00483742"/>
    <w:rsid w:val="0048374F"/>
    <w:rsid w:val="004837AA"/>
    <w:rsid w:val="004837D5"/>
    <w:rsid w:val="00483814"/>
    <w:rsid w:val="00483825"/>
    <w:rsid w:val="00483836"/>
    <w:rsid w:val="00483888"/>
    <w:rsid w:val="004838EB"/>
    <w:rsid w:val="00483944"/>
    <w:rsid w:val="00483959"/>
    <w:rsid w:val="0048396A"/>
    <w:rsid w:val="00483970"/>
    <w:rsid w:val="00483994"/>
    <w:rsid w:val="004839B7"/>
    <w:rsid w:val="00483A1A"/>
    <w:rsid w:val="00483A26"/>
    <w:rsid w:val="00483A34"/>
    <w:rsid w:val="00483A71"/>
    <w:rsid w:val="00483A9D"/>
    <w:rsid w:val="00483AB2"/>
    <w:rsid w:val="00483B51"/>
    <w:rsid w:val="00483B58"/>
    <w:rsid w:val="00483BF4"/>
    <w:rsid w:val="00483C0B"/>
    <w:rsid w:val="00483C22"/>
    <w:rsid w:val="00483C65"/>
    <w:rsid w:val="00483C90"/>
    <w:rsid w:val="00483D44"/>
    <w:rsid w:val="00483DC7"/>
    <w:rsid w:val="00483DF3"/>
    <w:rsid w:val="00483E15"/>
    <w:rsid w:val="00483E32"/>
    <w:rsid w:val="00483E33"/>
    <w:rsid w:val="00483E80"/>
    <w:rsid w:val="00483EDC"/>
    <w:rsid w:val="00483F04"/>
    <w:rsid w:val="00483FB1"/>
    <w:rsid w:val="00483FDC"/>
    <w:rsid w:val="00483FF0"/>
    <w:rsid w:val="00484025"/>
    <w:rsid w:val="00484029"/>
    <w:rsid w:val="004840A9"/>
    <w:rsid w:val="004840B0"/>
    <w:rsid w:val="004840CA"/>
    <w:rsid w:val="004840EF"/>
    <w:rsid w:val="0048414E"/>
    <w:rsid w:val="00484157"/>
    <w:rsid w:val="0048419A"/>
    <w:rsid w:val="004841D9"/>
    <w:rsid w:val="0048420E"/>
    <w:rsid w:val="00484211"/>
    <w:rsid w:val="0048422D"/>
    <w:rsid w:val="0048424D"/>
    <w:rsid w:val="004842CE"/>
    <w:rsid w:val="00484392"/>
    <w:rsid w:val="004843D0"/>
    <w:rsid w:val="004843E7"/>
    <w:rsid w:val="004843F2"/>
    <w:rsid w:val="004843FA"/>
    <w:rsid w:val="00484447"/>
    <w:rsid w:val="00484453"/>
    <w:rsid w:val="00484459"/>
    <w:rsid w:val="004844DE"/>
    <w:rsid w:val="004844ED"/>
    <w:rsid w:val="00484534"/>
    <w:rsid w:val="00484537"/>
    <w:rsid w:val="00484554"/>
    <w:rsid w:val="004845AE"/>
    <w:rsid w:val="004845DE"/>
    <w:rsid w:val="004845E5"/>
    <w:rsid w:val="00484618"/>
    <w:rsid w:val="00484623"/>
    <w:rsid w:val="00484680"/>
    <w:rsid w:val="004846B2"/>
    <w:rsid w:val="00484734"/>
    <w:rsid w:val="0048475B"/>
    <w:rsid w:val="004847F3"/>
    <w:rsid w:val="00484829"/>
    <w:rsid w:val="004848B9"/>
    <w:rsid w:val="004848E7"/>
    <w:rsid w:val="004848FE"/>
    <w:rsid w:val="00484908"/>
    <w:rsid w:val="0048490E"/>
    <w:rsid w:val="00484914"/>
    <w:rsid w:val="00484971"/>
    <w:rsid w:val="00484983"/>
    <w:rsid w:val="0048499C"/>
    <w:rsid w:val="004849EA"/>
    <w:rsid w:val="00484A5A"/>
    <w:rsid w:val="00484A5F"/>
    <w:rsid w:val="00484AE7"/>
    <w:rsid w:val="00484AF2"/>
    <w:rsid w:val="00484B12"/>
    <w:rsid w:val="00484B2C"/>
    <w:rsid w:val="00484B2D"/>
    <w:rsid w:val="00484BA4"/>
    <w:rsid w:val="00484C60"/>
    <w:rsid w:val="00484C6E"/>
    <w:rsid w:val="00484CA0"/>
    <w:rsid w:val="00484CEF"/>
    <w:rsid w:val="00484D17"/>
    <w:rsid w:val="00484D4D"/>
    <w:rsid w:val="00484E43"/>
    <w:rsid w:val="00484E49"/>
    <w:rsid w:val="00484E85"/>
    <w:rsid w:val="00484E8C"/>
    <w:rsid w:val="00484E97"/>
    <w:rsid w:val="00484EB2"/>
    <w:rsid w:val="00484EE5"/>
    <w:rsid w:val="00484EEE"/>
    <w:rsid w:val="00484EF4"/>
    <w:rsid w:val="00484F60"/>
    <w:rsid w:val="00484F64"/>
    <w:rsid w:val="00484F92"/>
    <w:rsid w:val="00484FB3"/>
    <w:rsid w:val="00484FBD"/>
    <w:rsid w:val="00484FC5"/>
    <w:rsid w:val="00484FDF"/>
    <w:rsid w:val="0048505D"/>
    <w:rsid w:val="00485072"/>
    <w:rsid w:val="00485090"/>
    <w:rsid w:val="004850B3"/>
    <w:rsid w:val="00485120"/>
    <w:rsid w:val="00485134"/>
    <w:rsid w:val="0048515D"/>
    <w:rsid w:val="00485186"/>
    <w:rsid w:val="0048520C"/>
    <w:rsid w:val="0048522F"/>
    <w:rsid w:val="00485247"/>
    <w:rsid w:val="0048524D"/>
    <w:rsid w:val="004852E6"/>
    <w:rsid w:val="00485347"/>
    <w:rsid w:val="00485395"/>
    <w:rsid w:val="004853AD"/>
    <w:rsid w:val="004853D3"/>
    <w:rsid w:val="00485402"/>
    <w:rsid w:val="00485423"/>
    <w:rsid w:val="0048543A"/>
    <w:rsid w:val="0048545C"/>
    <w:rsid w:val="0048545D"/>
    <w:rsid w:val="00485463"/>
    <w:rsid w:val="004854AF"/>
    <w:rsid w:val="004854C9"/>
    <w:rsid w:val="004854E5"/>
    <w:rsid w:val="004854EF"/>
    <w:rsid w:val="0048554F"/>
    <w:rsid w:val="004855E7"/>
    <w:rsid w:val="00485643"/>
    <w:rsid w:val="004856DB"/>
    <w:rsid w:val="0048571A"/>
    <w:rsid w:val="0048571D"/>
    <w:rsid w:val="004857AC"/>
    <w:rsid w:val="004857B6"/>
    <w:rsid w:val="004857DB"/>
    <w:rsid w:val="0048580C"/>
    <w:rsid w:val="00485811"/>
    <w:rsid w:val="00485822"/>
    <w:rsid w:val="004858CB"/>
    <w:rsid w:val="00485920"/>
    <w:rsid w:val="0048596B"/>
    <w:rsid w:val="004859B3"/>
    <w:rsid w:val="004859BB"/>
    <w:rsid w:val="004859E5"/>
    <w:rsid w:val="00485A30"/>
    <w:rsid w:val="00485A50"/>
    <w:rsid w:val="00485A52"/>
    <w:rsid w:val="00485A5F"/>
    <w:rsid w:val="00485AD3"/>
    <w:rsid w:val="00485B55"/>
    <w:rsid w:val="00485BDD"/>
    <w:rsid w:val="00485BE5"/>
    <w:rsid w:val="00485C08"/>
    <w:rsid w:val="00485C27"/>
    <w:rsid w:val="00485C49"/>
    <w:rsid w:val="00485C6D"/>
    <w:rsid w:val="00485C7F"/>
    <w:rsid w:val="00485C8D"/>
    <w:rsid w:val="00485D7D"/>
    <w:rsid w:val="00485DA7"/>
    <w:rsid w:val="00485DB7"/>
    <w:rsid w:val="00485DBE"/>
    <w:rsid w:val="00485DF8"/>
    <w:rsid w:val="00485E15"/>
    <w:rsid w:val="00485E22"/>
    <w:rsid w:val="00485E43"/>
    <w:rsid w:val="00485E6C"/>
    <w:rsid w:val="00485E7F"/>
    <w:rsid w:val="00485EB4"/>
    <w:rsid w:val="00485EF9"/>
    <w:rsid w:val="00485F11"/>
    <w:rsid w:val="00485F35"/>
    <w:rsid w:val="00485F6A"/>
    <w:rsid w:val="00486004"/>
    <w:rsid w:val="00486008"/>
    <w:rsid w:val="00486019"/>
    <w:rsid w:val="0048603E"/>
    <w:rsid w:val="004860AE"/>
    <w:rsid w:val="00486132"/>
    <w:rsid w:val="0048616A"/>
    <w:rsid w:val="004861BA"/>
    <w:rsid w:val="004861FD"/>
    <w:rsid w:val="0048628D"/>
    <w:rsid w:val="004862B2"/>
    <w:rsid w:val="004862C3"/>
    <w:rsid w:val="004862EE"/>
    <w:rsid w:val="00486354"/>
    <w:rsid w:val="0048635B"/>
    <w:rsid w:val="004863B6"/>
    <w:rsid w:val="00486448"/>
    <w:rsid w:val="0048644B"/>
    <w:rsid w:val="00486511"/>
    <w:rsid w:val="004865CD"/>
    <w:rsid w:val="004865DC"/>
    <w:rsid w:val="0048661F"/>
    <w:rsid w:val="00486662"/>
    <w:rsid w:val="004866B1"/>
    <w:rsid w:val="004866BC"/>
    <w:rsid w:val="00486713"/>
    <w:rsid w:val="00486718"/>
    <w:rsid w:val="0048671D"/>
    <w:rsid w:val="00486724"/>
    <w:rsid w:val="004867BC"/>
    <w:rsid w:val="00486803"/>
    <w:rsid w:val="0048683D"/>
    <w:rsid w:val="0048689B"/>
    <w:rsid w:val="0048689E"/>
    <w:rsid w:val="0048690B"/>
    <w:rsid w:val="00486933"/>
    <w:rsid w:val="0048697F"/>
    <w:rsid w:val="004869FA"/>
    <w:rsid w:val="00486A2A"/>
    <w:rsid w:val="00486A55"/>
    <w:rsid w:val="00486A6F"/>
    <w:rsid w:val="00486A96"/>
    <w:rsid w:val="00486AC9"/>
    <w:rsid w:val="00486B13"/>
    <w:rsid w:val="00486B24"/>
    <w:rsid w:val="00486B30"/>
    <w:rsid w:val="00486B43"/>
    <w:rsid w:val="00486B4E"/>
    <w:rsid w:val="00486BCA"/>
    <w:rsid w:val="00486C20"/>
    <w:rsid w:val="00486D1B"/>
    <w:rsid w:val="00486E1A"/>
    <w:rsid w:val="00486E6D"/>
    <w:rsid w:val="00486E92"/>
    <w:rsid w:val="00486EE9"/>
    <w:rsid w:val="00486F50"/>
    <w:rsid w:val="00486F7D"/>
    <w:rsid w:val="00486FA5"/>
    <w:rsid w:val="00486FC0"/>
    <w:rsid w:val="00487081"/>
    <w:rsid w:val="00487199"/>
    <w:rsid w:val="004871E3"/>
    <w:rsid w:val="00487217"/>
    <w:rsid w:val="00487241"/>
    <w:rsid w:val="00487271"/>
    <w:rsid w:val="004872DE"/>
    <w:rsid w:val="00487305"/>
    <w:rsid w:val="00487334"/>
    <w:rsid w:val="00487340"/>
    <w:rsid w:val="0048738B"/>
    <w:rsid w:val="00487390"/>
    <w:rsid w:val="004873A6"/>
    <w:rsid w:val="00487409"/>
    <w:rsid w:val="00487471"/>
    <w:rsid w:val="00487475"/>
    <w:rsid w:val="00487492"/>
    <w:rsid w:val="004874D6"/>
    <w:rsid w:val="0048753A"/>
    <w:rsid w:val="004875A5"/>
    <w:rsid w:val="004875C7"/>
    <w:rsid w:val="00487701"/>
    <w:rsid w:val="0048770D"/>
    <w:rsid w:val="00487711"/>
    <w:rsid w:val="00487786"/>
    <w:rsid w:val="004877D2"/>
    <w:rsid w:val="004877DD"/>
    <w:rsid w:val="00487844"/>
    <w:rsid w:val="00487861"/>
    <w:rsid w:val="00487896"/>
    <w:rsid w:val="004878A0"/>
    <w:rsid w:val="004878C8"/>
    <w:rsid w:val="004878CA"/>
    <w:rsid w:val="00487907"/>
    <w:rsid w:val="00487952"/>
    <w:rsid w:val="0048798C"/>
    <w:rsid w:val="004879A5"/>
    <w:rsid w:val="004879AC"/>
    <w:rsid w:val="004879C1"/>
    <w:rsid w:val="004879F5"/>
    <w:rsid w:val="004879F8"/>
    <w:rsid w:val="00487A3F"/>
    <w:rsid w:val="00487A42"/>
    <w:rsid w:val="00487A49"/>
    <w:rsid w:val="00487A5A"/>
    <w:rsid w:val="00487A7E"/>
    <w:rsid w:val="00487A8B"/>
    <w:rsid w:val="00487AD9"/>
    <w:rsid w:val="00487AE6"/>
    <w:rsid w:val="00487AF4"/>
    <w:rsid w:val="00487B23"/>
    <w:rsid w:val="00487B2F"/>
    <w:rsid w:val="00487C41"/>
    <w:rsid w:val="00487C4E"/>
    <w:rsid w:val="00487CBE"/>
    <w:rsid w:val="00487CE2"/>
    <w:rsid w:val="00487D22"/>
    <w:rsid w:val="00487D39"/>
    <w:rsid w:val="00487D77"/>
    <w:rsid w:val="00487DB2"/>
    <w:rsid w:val="00487E18"/>
    <w:rsid w:val="00487E5C"/>
    <w:rsid w:val="00487EDF"/>
    <w:rsid w:val="00487EFC"/>
    <w:rsid w:val="004900A5"/>
    <w:rsid w:val="004900AB"/>
    <w:rsid w:val="004900E2"/>
    <w:rsid w:val="004900EF"/>
    <w:rsid w:val="004901C8"/>
    <w:rsid w:val="004901FF"/>
    <w:rsid w:val="00490244"/>
    <w:rsid w:val="0049027B"/>
    <w:rsid w:val="0049028A"/>
    <w:rsid w:val="0049029A"/>
    <w:rsid w:val="00490364"/>
    <w:rsid w:val="0049039D"/>
    <w:rsid w:val="0049041F"/>
    <w:rsid w:val="00490420"/>
    <w:rsid w:val="00490477"/>
    <w:rsid w:val="00490480"/>
    <w:rsid w:val="0049049F"/>
    <w:rsid w:val="004904EF"/>
    <w:rsid w:val="00490505"/>
    <w:rsid w:val="00490553"/>
    <w:rsid w:val="0049059E"/>
    <w:rsid w:val="004905A9"/>
    <w:rsid w:val="004905D1"/>
    <w:rsid w:val="004905D3"/>
    <w:rsid w:val="004905F9"/>
    <w:rsid w:val="004905FB"/>
    <w:rsid w:val="0049060B"/>
    <w:rsid w:val="00490668"/>
    <w:rsid w:val="00490673"/>
    <w:rsid w:val="004906B9"/>
    <w:rsid w:val="0049072A"/>
    <w:rsid w:val="00490779"/>
    <w:rsid w:val="0049077D"/>
    <w:rsid w:val="00490788"/>
    <w:rsid w:val="004907C2"/>
    <w:rsid w:val="004907D2"/>
    <w:rsid w:val="004907FA"/>
    <w:rsid w:val="0049082A"/>
    <w:rsid w:val="00490904"/>
    <w:rsid w:val="0049091B"/>
    <w:rsid w:val="00490963"/>
    <w:rsid w:val="00490967"/>
    <w:rsid w:val="0049096E"/>
    <w:rsid w:val="004909CB"/>
    <w:rsid w:val="004909D0"/>
    <w:rsid w:val="004909EA"/>
    <w:rsid w:val="00490A37"/>
    <w:rsid w:val="00490A40"/>
    <w:rsid w:val="00490A66"/>
    <w:rsid w:val="00490A98"/>
    <w:rsid w:val="00490A9F"/>
    <w:rsid w:val="00490AC8"/>
    <w:rsid w:val="00490AD1"/>
    <w:rsid w:val="00490B12"/>
    <w:rsid w:val="00490B6A"/>
    <w:rsid w:val="00490B7C"/>
    <w:rsid w:val="00490BA2"/>
    <w:rsid w:val="00490BB9"/>
    <w:rsid w:val="00490BFA"/>
    <w:rsid w:val="00490BFE"/>
    <w:rsid w:val="00490C15"/>
    <w:rsid w:val="00490C3D"/>
    <w:rsid w:val="00490C50"/>
    <w:rsid w:val="00490C57"/>
    <w:rsid w:val="00490CE5"/>
    <w:rsid w:val="00490CFB"/>
    <w:rsid w:val="00490D47"/>
    <w:rsid w:val="00490D8F"/>
    <w:rsid w:val="00490E04"/>
    <w:rsid w:val="00490E1E"/>
    <w:rsid w:val="00490ED9"/>
    <w:rsid w:val="00490EE2"/>
    <w:rsid w:val="00490F4D"/>
    <w:rsid w:val="00490F58"/>
    <w:rsid w:val="00490F5F"/>
    <w:rsid w:val="00490F6C"/>
    <w:rsid w:val="00490F74"/>
    <w:rsid w:val="00490FAC"/>
    <w:rsid w:val="00490FBE"/>
    <w:rsid w:val="00490FE4"/>
    <w:rsid w:val="00491025"/>
    <w:rsid w:val="00491032"/>
    <w:rsid w:val="00491081"/>
    <w:rsid w:val="0049109A"/>
    <w:rsid w:val="004910A3"/>
    <w:rsid w:val="004910AD"/>
    <w:rsid w:val="004910B6"/>
    <w:rsid w:val="004910D6"/>
    <w:rsid w:val="004910DA"/>
    <w:rsid w:val="004910F5"/>
    <w:rsid w:val="0049111C"/>
    <w:rsid w:val="00491156"/>
    <w:rsid w:val="0049118D"/>
    <w:rsid w:val="004911CD"/>
    <w:rsid w:val="0049120B"/>
    <w:rsid w:val="0049122B"/>
    <w:rsid w:val="0049124E"/>
    <w:rsid w:val="004912AB"/>
    <w:rsid w:val="004912E7"/>
    <w:rsid w:val="00491300"/>
    <w:rsid w:val="0049130E"/>
    <w:rsid w:val="00491356"/>
    <w:rsid w:val="0049138A"/>
    <w:rsid w:val="00491445"/>
    <w:rsid w:val="0049148F"/>
    <w:rsid w:val="0049159C"/>
    <w:rsid w:val="004915D6"/>
    <w:rsid w:val="004915DD"/>
    <w:rsid w:val="004915E7"/>
    <w:rsid w:val="004915E9"/>
    <w:rsid w:val="00491618"/>
    <w:rsid w:val="00491623"/>
    <w:rsid w:val="00491649"/>
    <w:rsid w:val="00491675"/>
    <w:rsid w:val="0049169C"/>
    <w:rsid w:val="0049169D"/>
    <w:rsid w:val="004916B7"/>
    <w:rsid w:val="004916E5"/>
    <w:rsid w:val="00491718"/>
    <w:rsid w:val="00491734"/>
    <w:rsid w:val="00491748"/>
    <w:rsid w:val="00491793"/>
    <w:rsid w:val="004917AF"/>
    <w:rsid w:val="004917C2"/>
    <w:rsid w:val="004917ED"/>
    <w:rsid w:val="0049182F"/>
    <w:rsid w:val="00491832"/>
    <w:rsid w:val="00491867"/>
    <w:rsid w:val="0049187B"/>
    <w:rsid w:val="00491892"/>
    <w:rsid w:val="004918C5"/>
    <w:rsid w:val="00491948"/>
    <w:rsid w:val="00491970"/>
    <w:rsid w:val="00491974"/>
    <w:rsid w:val="00491988"/>
    <w:rsid w:val="004919A3"/>
    <w:rsid w:val="00491A9E"/>
    <w:rsid w:val="00491ADB"/>
    <w:rsid w:val="00491AE7"/>
    <w:rsid w:val="00491B9C"/>
    <w:rsid w:val="00491BD3"/>
    <w:rsid w:val="00491BDA"/>
    <w:rsid w:val="00491BE8"/>
    <w:rsid w:val="00491C17"/>
    <w:rsid w:val="00491C1D"/>
    <w:rsid w:val="00491C5F"/>
    <w:rsid w:val="00491C71"/>
    <w:rsid w:val="00491C7B"/>
    <w:rsid w:val="00491CAF"/>
    <w:rsid w:val="00491CB8"/>
    <w:rsid w:val="00491CCA"/>
    <w:rsid w:val="00491CCD"/>
    <w:rsid w:val="00491D13"/>
    <w:rsid w:val="00491D54"/>
    <w:rsid w:val="00491DA0"/>
    <w:rsid w:val="00491DBC"/>
    <w:rsid w:val="00491E00"/>
    <w:rsid w:val="00491E69"/>
    <w:rsid w:val="00491E6F"/>
    <w:rsid w:val="00491E93"/>
    <w:rsid w:val="00491EEA"/>
    <w:rsid w:val="00491F14"/>
    <w:rsid w:val="00491F25"/>
    <w:rsid w:val="00491F37"/>
    <w:rsid w:val="00491F8E"/>
    <w:rsid w:val="00491FBE"/>
    <w:rsid w:val="00491FCD"/>
    <w:rsid w:val="00492079"/>
    <w:rsid w:val="004920A2"/>
    <w:rsid w:val="004920B4"/>
    <w:rsid w:val="004920CD"/>
    <w:rsid w:val="0049212B"/>
    <w:rsid w:val="00492137"/>
    <w:rsid w:val="00492166"/>
    <w:rsid w:val="00492185"/>
    <w:rsid w:val="004921DC"/>
    <w:rsid w:val="0049221C"/>
    <w:rsid w:val="0049222E"/>
    <w:rsid w:val="00492245"/>
    <w:rsid w:val="0049225F"/>
    <w:rsid w:val="0049233B"/>
    <w:rsid w:val="00492388"/>
    <w:rsid w:val="004923D9"/>
    <w:rsid w:val="00492422"/>
    <w:rsid w:val="0049242B"/>
    <w:rsid w:val="00492481"/>
    <w:rsid w:val="004924AC"/>
    <w:rsid w:val="004924BA"/>
    <w:rsid w:val="00492524"/>
    <w:rsid w:val="0049258D"/>
    <w:rsid w:val="0049259F"/>
    <w:rsid w:val="0049260D"/>
    <w:rsid w:val="0049264D"/>
    <w:rsid w:val="0049269E"/>
    <w:rsid w:val="004926AA"/>
    <w:rsid w:val="004926F6"/>
    <w:rsid w:val="00492711"/>
    <w:rsid w:val="004927A2"/>
    <w:rsid w:val="004927AF"/>
    <w:rsid w:val="004927F9"/>
    <w:rsid w:val="0049288A"/>
    <w:rsid w:val="004928F8"/>
    <w:rsid w:val="00492907"/>
    <w:rsid w:val="00492948"/>
    <w:rsid w:val="00492978"/>
    <w:rsid w:val="00492991"/>
    <w:rsid w:val="004929CA"/>
    <w:rsid w:val="00492A39"/>
    <w:rsid w:val="00492A66"/>
    <w:rsid w:val="00492A99"/>
    <w:rsid w:val="00492AE3"/>
    <w:rsid w:val="00492B0E"/>
    <w:rsid w:val="00492B5B"/>
    <w:rsid w:val="00492B61"/>
    <w:rsid w:val="00492B8C"/>
    <w:rsid w:val="00492B99"/>
    <w:rsid w:val="00492BD5"/>
    <w:rsid w:val="00492BE3"/>
    <w:rsid w:val="00492C2B"/>
    <w:rsid w:val="00492C40"/>
    <w:rsid w:val="00492C65"/>
    <w:rsid w:val="00492C7F"/>
    <w:rsid w:val="00492C87"/>
    <w:rsid w:val="00492CFA"/>
    <w:rsid w:val="00492D54"/>
    <w:rsid w:val="00492DB7"/>
    <w:rsid w:val="00492DEE"/>
    <w:rsid w:val="00492F32"/>
    <w:rsid w:val="00492F3E"/>
    <w:rsid w:val="00492F9A"/>
    <w:rsid w:val="0049300C"/>
    <w:rsid w:val="00493018"/>
    <w:rsid w:val="00493063"/>
    <w:rsid w:val="004930DE"/>
    <w:rsid w:val="004930E8"/>
    <w:rsid w:val="004930ED"/>
    <w:rsid w:val="004930F2"/>
    <w:rsid w:val="0049313D"/>
    <w:rsid w:val="004932A1"/>
    <w:rsid w:val="004932AE"/>
    <w:rsid w:val="00493335"/>
    <w:rsid w:val="0049333B"/>
    <w:rsid w:val="00493357"/>
    <w:rsid w:val="00493361"/>
    <w:rsid w:val="004933DF"/>
    <w:rsid w:val="00493425"/>
    <w:rsid w:val="0049345D"/>
    <w:rsid w:val="00493497"/>
    <w:rsid w:val="004934BB"/>
    <w:rsid w:val="004934BF"/>
    <w:rsid w:val="004935B8"/>
    <w:rsid w:val="004935CC"/>
    <w:rsid w:val="004935EE"/>
    <w:rsid w:val="00493603"/>
    <w:rsid w:val="00493640"/>
    <w:rsid w:val="00493651"/>
    <w:rsid w:val="00493667"/>
    <w:rsid w:val="0049366E"/>
    <w:rsid w:val="0049368C"/>
    <w:rsid w:val="004936E5"/>
    <w:rsid w:val="0049372B"/>
    <w:rsid w:val="0049374F"/>
    <w:rsid w:val="00493796"/>
    <w:rsid w:val="00493803"/>
    <w:rsid w:val="0049381C"/>
    <w:rsid w:val="0049382A"/>
    <w:rsid w:val="0049384A"/>
    <w:rsid w:val="004938C5"/>
    <w:rsid w:val="00493919"/>
    <w:rsid w:val="00493944"/>
    <w:rsid w:val="00493993"/>
    <w:rsid w:val="00493A16"/>
    <w:rsid w:val="00493A4F"/>
    <w:rsid w:val="00493A95"/>
    <w:rsid w:val="00493AAD"/>
    <w:rsid w:val="00493B4F"/>
    <w:rsid w:val="00493B55"/>
    <w:rsid w:val="00493B5E"/>
    <w:rsid w:val="00493B6F"/>
    <w:rsid w:val="00493BE7"/>
    <w:rsid w:val="00493CD6"/>
    <w:rsid w:val="00493D1F"/>
    <w:rsid w:val="00493D64"/>
    <w:rsid w:val="00493D6C"/>
    <w:rsid w:val="00493DCD"/>
    <w:rsid w:val="00493DF9"/>
    <w:rsid w:val="00493E1D"/>
    <w:rsid w:val="00493E53"/>
    <w:rsid w:val="00493F08"/>
    <w:rsid w:val="00494009"/>
    <w:rsid w:val="0049406F"/>
    <w:rsid w:val="004940B5"/>
    <w:rsid w:val="004940BE"/>
    <w:rsid w:val="004940F0"/>
    <w:rsid w:val="0049426B"/>
    <w:rsid w:val="00494298"/>
    <w:rsid w:val="00494322"/>
    <w:rsid w:val="00494354"/>
    <w:rsid w:val="00494397"/>
    <w:rsid w:val="004943A5"/>
    <w:rsid w:val="004943BB"/>
    <w:rsid w:val="004943DE"/>
    <w:rsid w:val="004943ED"/>
    <w:rsid w:val="00494401"/>
    <w:rsid w:val="00494414"/>
    <w:rsid w:val="00494433"/>
    <w:rsid w:val="0049444E"/>
    <w:rsid w:val="004944B2"/>
    <w:rsid w:val="004944E3"/>
    <w:rsid w:val="00494515"/>
    <w:rsid w:val="00494552"/>
    <w:rsid w:val="0049455E"/>
    <w:rsid w:val="004945D0"/>
    <w:rsid w:val="00494602"/>
    <w:rsid w:val="0049461E"/>
    <w:rsid w:val="00494667"/>
    <w:rsid w:val="00494698"/>
    <w:rsid w:val="004946CA"/>
    <w:rsid w:val="004946FD"/>
    <w:rsid w:val="0049476C"/>
    <w:rsid w:val="00494779"/>
    <w:rsid w:val="0049478F"/>
    <w:rsid w:val="0049480D"/>
    <w:rsid w:val="00494851"/>
    <w:rsid w:val="004948E0"/>
    <w:rsid w:val="0049496C"/>
    <w:rsid w:val="004949A5"/>
    <w:rsid w:val="004949CC"/>
    <w:rsid w:val="004949DA"/>
    <w:rsid w:val="00494A03"/>
    <w:rsid w:val="00494A1E"/>
    <w:rsid w:val="00494A9E"/>
    <w:rsid w:val="00494B1E"/>
    <w:rsid w:val="00494B62"/>
    <w:rsid w:val="00494B73"/>
    <w:rsid w:val="00494BB1"/>
    <w:rsid w:val="00494BB2"/>
    <w:rsid w:val="00494C05"/>
    <w:rsid w:val="00494C60"/>
    <w:rsid w:val="00494C8A"/>
    <w:rsid w:val="00494C91"/>
    <w:rsid w:val="00494CB4"/>
    <w:rsid w:val="00494D2C"/>
    <w:rsid w:val="00494D2D"/>
    <w:rsid w:val="00494D57"/>
    <w:rsid w:val="00494D81"/>
    <w:rsid w:val="00494DBB"/>
    <w:rsid w:val="00494E00"/>
    <w:rsid w:val="00494E61"/>
    <w:rsid w:val="00494E74"/>
    <w:rsid w:val="00494EFA"/>
    <w:rsid w:val="00494F20"/>
    <w:rsid w:val="00494F4D"/>
    <w:rsid w:val="00494F5E"/>
    <w:rsid w:val="00495060"/>
    <w:rsid w:val="004950E5"/>
    <w:rsid w:val="0049510F"/>
    <w:rsid w:val="0049511E"/>
    <w:rsid w:val="0049516E"/>
    <w:rsid w:val="004951EA"/>
    <w:rsid w:val="004951FD"/>
    <w:rsid w:val="00495231"/>
    <w:rsid w:val="0049533A"/>
    <w:rsid w:val="00495359"/>
    <w:rsid w:val="00495368"/>
    <w:rsid w:val="0049539F"/>
    <w:rsid w:val="00495408"/>
    <w:rsid w:val="00495426"/>
    <w:rsid w:val="00495443"/>
    <w:rsid w:val="004954E8"/>
    <w:rsid w:val="00495516"/>
    <w:rsid w:val="00495549"/>
    <w:rsid w:val="004955B0"/>
    <w:rsid w:val="00495625"/>
    <w:rsid w:val="00495675"/>
    <w:rsid w:val="004956BE"/>
    <w:rsid w:val="004956CA"/>
    <w:rsid w:val="004956E1"/>
    <w:rsid w:val="004956ED"/>
    <w:rsid w:val="0049572C"/>
    <w:rsid w:val="00495737"/>
    <w:rsid w:val="00495773"/>
    <w:rsid w:val="004957C8"/>
    <w:rsid w:val="004957CE"/>
    <w:rsid w:val="004957D4"/>
    <w:rsid w:val="004957F7"/>
    <w:rsid w:val="00495804"/>
    <w:rsid w:val="0049583E"/>
    <w:rsid w:val="0049583F"/>
    <w:rsid w:val="004958AF"/>
    <w:rsid w:val="004958B3"/>
    <w:rsid w:val="004958BC"/>
    <w:rsid w:val="004958CD"/>
    <w:rsid w:val="00495935"/>
    <w:rsid w:val="00495943"/>
    <w:rsid w:val="00495949"/>
    <w:rsid w:val="004959A0"/>
    <w:rsid w:val="004959B3"/>
    <w:rsid w:val="004959B9"/>
    <w:rsid w:val="004959D3"/>
    <w:rsid w:val="00495A0D"/>
    <w:rsid w:val="00495A74"/>
    <w:rsid w:val="00495A80"/>
    <w:rsid w:val="00495AF7"/>
    <w:rsid w:val="00495B09"/>
    <w:rsid w:val="00495B0D"/>
    <w:rsid w:val="00495B1C"/>
    <w:rsid w:val="00495B49"/>
    <w:rsid w:val="00495B71"/>
    <w:rsid w:val="00495BA0"/>
    <w:rsid w:val="00495BB9"/>
    <w:rsid w:val="00495C5D"/>
    <w:rsid w:val="00495C79"/>
    <w:rsid w:val="00495CB6"/>
    <w:rsid w:val="00495CDF"/>
    <w:rsid w:val="00495CFA"/>
    <w:rsid w:val="00495D3A"/>
    <w:rsid w:val="00495D85"/>
    <w:rsid w:val="00495DBB"/>
    <w:rsid w:val="00495DE6"/>
    <w:rsid w:val="00495DED"/>
    <w:rsid w:val="00495E09"/>
    <w:rsid w:val="00495E34"/>
    <w:rsid w:val="00495E6C"/>
    <w:rsid w:val="00495E78"/>
    <w:rsid w:val="00495ED5"/>
    <w:rsid w:val="00495ED6"/>
    <w:rsid w:val="00495F4D"/>
    <w:rsid w:val="00495F52"/>
    <w:rsid w:val="00495F81"/>
    <w:rsid w:val="00496006"/>
    <w:rsid w:val="0049602D"/>
    <w:rsid w:val="004960B4"/>
    <w:rsid w:val="004960DB"/>
    <w:rsid w:val="0049610F"/>
    <w:rsid w:val="0049618F"/>
    <w:rsid w:val="0049619C"/>
    <w:rsid w:val="0049623C"/>
    <w:rsid w:val="0049627C"/>
    <w:rsid w:val="0049627F"/>
    <w:rsid w:val="00496280"/>
    <w:rsid w:val="004962B8"/>
    <w:rsid w:val="00496301"/>
    <w:rsid w:val="00496324"/>
    <w:rsid w:val="00496357"/>
    <w:rsid w:val="00496382"/>
    <w:rsid w:val="004963E4"/>
    <w:rsid w:val="00496455"/>
    <w:rsid w:val="00496481"/>
    <w:rsid w:val="00496510"/>
    <w:rsid w:val="00496516"/>
    <w:rsid w:val="00496534"/>
    <w:rsid w:val="00496576"/>
    <w:rsid w:val="004965CE"/>
    <w:rsid w:val="004965D7"/>
    <w:rsid w:val="004965E2"/>
    <w:rsid w:val="004965FB"/>
    <w:rsid w:val="00496631"/>
    <w:rsid w:val="00496632"/>
    <w:rsid w:val="0049664B"/>
    <w:rsid w:val="0049664C"/>
    <w:rsid w:val="0049666C"/>
    <w:rsid w:val="00496676"/>
    <w:rsid w:val="00496699"/>
    <w:rsid w:val="004966B2"/>
    <w:rsid w:val="004966EF"/>
    <w:rsid w:val="00496735"/>
    <w:rsid w:val="0049673F"/>
    <w:rsid w:val="00496764"/>
    <w:rsid w:val="004967BB"/>
    <w:rsid w:val="004967D5"/>
    <w:rsid w:val="004967E6"/>
    <w:rsid w:val="00496892"/>
    <w:rsid w:val="0049689D"/>
    <w:rsid w:val="004968A8"/>
    <w:rsid w:val="00496918"/>
    <w:rsid w:val="00496947"/>
    <w:rsid w:val="00496988"/>
    <w:rsid w:val="0049698C"/>
    <w:rsid w:val="004969AC"/>
    <w:rsid w:val="004969BC"/>
    <w:rsid w:val="00496A0E"/>
    <w:rsid w:val="00496A2C"/>
    <w:rsid w:val="00496ABF"/>
    <w:rsid w:val="00496AD8"/>
    <w:rsid w:val="00496AE6"/>
    <w:rsid w:val="00496AF8"/>
    <w:rsid w:val="00496B04"/>
    <w:rsid w:val="00496B14"/>
    <w:rsid w:val="00496B1A"/>
    <w:rsid w:val="00496B5D"/>
    <w:rsid w:val="00496B92"/>
    <w:rsid w:val="00496C1D"/>
    <w:rsid w:val="00496C35"/>
    <w:rsid w:val="00496C83"/>
    <w:rsid w:val="00496C87"/>
    <w:rsid w:val="00496C8A"/>
    <w:rsid w:val="00496CC0"/>
    <w:rsid w:val="00496D3C"/>
    <w:rsid w:val="00496D53"/>
    <w:rsid w:val="00496D70"/>
    <w:rsid w:val="00496D8E"/>
    <w:rsid w:val="00496E0C"/>
    <w:rsid w:val="00496EB1"/>
    <w:rsid w:val="00496EB7"/>
    <w:rsid w:val="00496EB8"/>
    <w:rsid w:val="00496F21"/>
    <w:rsid w:val="00496F9A"/>
    <w:rsid w:val="00496FA8"/>
    <w:rsid w:val="00496FD1"/>
    <w:rsid w:val="00496FD3"/>
    <w:rsid w:val="0049702A"/>
    <w:rsid w:val="00497056"/>
    <w:rsid w:val="00497091"/>
    <w:rsid w:val="004970AC"/>
    <w:rsid w:val="004970DE"/>
    <w:rsid w:val="00497143"/>
    <w:rsid w:val="00497162"/>
    <w:rsid w:val="004971A4"/>
    <w:rsid w:val="004971B3"/>
    <w:rsid w:val="004971B5"/>
    <w:rsid w:val="004971BF"/>
    <w:rsid w:val="004971E9"/>
    <w:rsid w:val="00497253"/>
    <w:rsid w:val="00497255"/>
    <w:rsid w:val="00497297"/>
    <w:rsid w:val="004972AE"/>
    <w:rsid w:val="00497318"/>
    <w:rsid w:val="00497321"/>
    <w:rsid w:val="0049732C"/>
    <w:rsid w:val="0049732D"/>
    <w:rsid w:val="00497331"/>
    <w:rsid w:val="00497364"/>
    <w:rsid w:val="00497377"/>
    <w:rsid w:val="004973BA"/>
    <w:rsid w:val="004973E4"/>
    <w:rsid w:val="00497414"/>
    <w:rsid w:val="00497448"/>
    <w:rsid w:val="004974CF"/>
    <w:rsid w:val="004974EF"/>
    <w:rsid w:val="00497521"/>
    <w:rsid w:val="0049756D"/>
    <w:rsid w:val="0049757F"/>
    <w:rsid w:val="00497593"/>
    <w:rsid w:val="004975FA"/>
    <w:rsid w:val="00497606"/>
    <w:rsid w:val="00497649"/>
    <w:rsid w:val="00497657"/>
    <w:rsid w:val="00497663"/>
    <w:rsid w:val="004976DC"/>
    <w:rsid w:val="00497726"/>
    <w:rsid w:val="0049772B"/>
    <w:rsid w:val="00497730"/>
    <w:rsid w:val="004977C9"/>
    <w:rsid w:val="004977E2"/>
    <w:rsid w:val="004977F3"/>
    <w:rsid w:val="0049784E"/>
    <w:rsid w:val="0049787B"/>
    <w:rsid w:val="0049789B"/>
    <w:rsid w:val="004978BC"/>
    <w:rsid w:val="004978EB"/>
    <w:rsid w:val="0049790C"/>
    <w:rsid w:val="004979C1"/>
    <w:rsid w:val="004979DB"/>
    <w:rsid w:val="00497A03"/>
    <w:rsid w:val="00497A06"/>
    <w:rsid w:val="00497A32"/>
    <w:rsid w:val="00497A3E"/>
    <w:rsid w:val="00497A79"/>
    <w:rsid w:val="00497A91"/>
    <w:rsid w:val="00497AB3"/>
    <w:rsid w:val="00497AB4"/>
    <w:rsid w:val="00497B21"/>
    <w:rsid w:val="00497B35"/>
    <w:rsid w:val="00497BDE"/>
    <w:rsid w:val="00497C44"/>
    <w:rsid w:val="00497C97"/>
    <w:rsid w:val="00497CA0"/>
    <w:rsid w:val="00497D01"/>
    <w:rsid w:val="00497D49"/>
    <w:rsid w:val="00497D69"/>
    <w:rsid w:val="00497D86"/>
    <w:rsid w:val="00497D88"/>
    <w:rsid w:val="00497DDB"/>
    <w:rsid w:val="00497DFE"/>
    <w:rsid w:val="00497EDA"/>
    <w:rsid w:val="00497EED"/>
    <w:rsid w:val="00497F0B"/>
    <w:rsid w:val="00497FA0"/>
    <w:rsid w:val="00497FA5"/>
    <w:rsid w:val="00497FB5"/>
    <w:rsid w:val="00497FB9"/>
    <w:rsid w:val="00497FD7"/>
    <w:rsid w:val="00497FE7"/>
    <w:rsid w:val="004A0006"/>
    <w:rsid w:val="004A0008"/>
    <w:rsid w:val="004A0052"/>
    <w:rsid w:val="004A008F"/>
    <w:rsid w:val="004A010F"/>
    <w:rsid w:val="004A011D"/>
    <w:rsid w:val="004A0172"/>
    <w:rsid w:val="004A01FD"/>
    <w:rsid w:val="004A0207"/>
    <w:rsid w:val="004A0220"/>
    <w:rsid w:val="004A023F"/>
    <w:rsid w:val="004A0240"/>
    <w:rsid w:val="004A0255"/>
    <w:rsid w:val="004A0267"/>
    <w:rsid w:val="004A028B"/>
    <w:rsid w:val="004A02B0"/>
    <w:rsid w:val="004A02D9"/>
    <w:rsid w:val="004A0305"/>
    <w:rsid w:val="004A0346"/>
    <w:rsid w:val="004A0350"/>
    <w:rsid w:val="004A04A4"/>
    <w:rsid w:val="004A050B"/>
    <w:rsid w:val="004A052F"/>
    <w:rsid w:val="004A055A"/>
    <w:rsid w:val="004A0574"/>
    <w:rsid w:val="004A05A2"/>
    <w:rsid w:val="004A05AB"/>
    <w:rsid w:val="004A05CC"/>
    <w:rsid w:val="004A05CF"/>
    <w:rsid w:val="004A05E3"/>
    <w:rsid w:val="004A05E8"/>
    <w:rsid w:val="004A060B"/>
    <w:rsid w:val="004A069A"/>
    <w:rsid w:val="004A06B4"/>
    <w:rsid w:val="004A0758"/>
    <w:rsid w:val="004A075F"/>
    <w:rsid w:val="004A0785"/>
    <w:rsid w:val="004A085F"/>
    <w:rsid w:val="004A08B9"/>
    <w:rsid w:val="004A0901"/>
    <w:rsid w:val="004A092F"/>
    <w:rsid w:val="004A0933"/>
    <w:rsid w:val="004A0947"/>
    <w:rsid w:val="004A0958"/>
    <w:rsid w:val="004A09EF"/>
    <w:rsid w:val="004A0A3E"/>
    <w:rsid w:val="004A0A6F"/>
    <w:rsid w:val="004A0A95"/>
    <w:rsid w:val="004A0ABF"/>
    <w:rsid w:val="004A0AE9"/>
    <w:rsid w:val="004A0B86"/>
    <w:rsid w:val="004A0B94"/>
    <w:rsid w:val="004A0CD5"/>
    <w:rsid w:val="004A0CFD"/>
    <w:rsid w:val="004A0D58"/>
    <w:rsid w:val="004A0D81"/>
    <w:rsid w:val="004A0DA2"/>
    <w:rsid w:val="004A0E03"/>
    <w:rsid w:val="004A0E3B"/>
    <w:rsid w:val="004A0EB3"/>
    <w:rsid w:val="004A0F04"/>
    <w:rsid w:val="004A0F26"/>
    <w:rsid w:val="004A0F27"/>
    <w:rsid w:val="004A0F28"/>
    <w:rsid w:val="004A0F49"/>
    <w:rsid w:val="004A0F52"/>
    <w:rsid w:val="004A0FCF"/>
    <w:rsid w:val="004A1003"/>
    <w:rsid w:val="004A102C"/>
    <w:rsid w:val="004A109D"/>
    <w:rsid w:val="004A10CB"/>
    <w:rsid w:val="004A10FB"/>
    <w:rsid w:val="004A1164"/>
    <w:rsid w:val="004A1192"/>
    <w:rsid w:val="004A1198"/>
    <w:rsid w:val="004A119F"/>
    <w:rsid w:val="004A11AD"/>
    <w:rsid w:val="004A11B8"/>
    <w:rsid w:val="004A11BD"/>
    <w:rsid w:val="004A11DC"/>
    <w:rsid w:val="004A1292"/>
    <w:rsid w:val="004A12BC"/>
    <w:rsid w:val="004A12C1"/>
    <w:rsid w:val="004A1323"/>
    <w:rsid w:val="004A134E"/>
    <w:rsid w:val="004A1393"/>
    <w:rsid w:val="004A13A6"/>
    <w:rsid w:val="004A13C5"/>
    <w:rsid w:val="004A13C6"/>
    <w:rsid w:val="004A13F3"/>
    <w:rsid w:val="004A1409"/>
    <w:rsid w:val="004A1416"/>
    <w:rsid w:val="004A146C"/>
    <w:rsid w:val="004A147A"/>
    <w:rsid w:val="004A1481"/>
    <w:rsid w:val="004A14E9"/>
    <w:rsid w:val="004A155A"/>
    <w:rsid w:val="004A1564"/>
    <w:rsid w:val="004A1589"/>
    <w:rsid w:val="004A1591"/>
    <w:rsid w:val="004A15AF"/>
    <w:rsid w:val="004A15C2"/>
    <w:rsid w:val="004A15E1"/>
    <w:rsid w:val="004A163E"/>
    <w:rsid w:val="004A1658"/>
    <w:rsid w:val="004A165F"/>
    <w:rsid w:val="004A16AD"/>
    <w:rsid w:val="004A16C1"/>
    <w:rsid w:val="004A1770"/>
    <w:rsid w:val="004A179D"/>
    <w:rsid w:val="004A17BC"/>
    <w:rsid w:val="004A17EF"/>
    <w:rsid w:val="004A17FB"/>
    <w:rsid w:val="004A1856"/>
    <w:rsid w:val="004A185C"/>
    <w:rsid w:val="004A18E4"/>
    <w:rsid w:val="004A18EF"/>
    <w:rsid w:val="004A18F9"/>
    <w:rsid w:val="004A193F"/>
    <w:rsid w:val="004A1970"/>
    <w:rsid w:val="004A197E"/>
    <w:rsid w:val="004A19B1"/>
    <w:rsid w:val="004A19BA"/>
    <w:rsid w:val="004A19D1"/>
    <w:rsid w:val="004A19E0"/>
    <w:rsid w:val="004A1A37"/>
    <w:rsid w:val="004A1ADC"/>
    <w:rsid w:val="004A1AEC"/>
    <w:rsid w:val="004A1B08"/>
    <w:rsid w:val="004A1B24"/>
    <w:rsid w:val="004A1B6A"/>
    <w:rsid w:val="004A1B7E"/>
    <w:rsid w:val="004A1BD3"/>
    <w:rsid w:val="004A1C04"/>
    <w:rsid w:val="004A1C26"/>
    <w:rsid w:val="004A1C88"/>
    <w:rsid w:val="004A1C8F"/>
    <w:rsid w:val="004A1CE4"/>
    <w:rsid w:val="004A1D8E"/>
    <w:rsid w:val="004A1D90"/>
    <w:rsid w:val="004A1D9E"/>
    <w:rsid w:val="004A1DB4"/>
    <w:rsid w:val="004A1DFD"/>
    <w:rsid w:val="004A1E7B"/>
    <w:rsid w:val="004A1EE8"/>
    <w:rsid w:val="004A1F18"/>
    <w:rsid w:val="004A1F8E"/>
    <w:rsid w:val="004A1F90"/>
    <w:rsid w:val="004A1F98"/>
    <w:rsid w:val="004A2019"/>
    <w:rsid w:val="004A203F"/>
    <w:rsid w:val="004A2074"/>
    <w:rsid w:val="004A20BD"/>
    <w:rsid w:val="004A20C5"/>
    <w:rsid w:val="004A2112"/>
    <w:rsid w:val="004A2118"/>
    <w:rsid w:val="004A21DB"/>
    <w:rsid w:val="004A2201"/>
    <w:rsid w:val="004A227B"/>
    <w:rsid w:val="004A22EF"/>
    <w:rsid w:val="004A2308"/>
    <w:rsid w:val="004A233C"/>
    <w:rsid w:val="004A233F"/>
    <w:rsid w:val="004A239A"/>
    <w:rsid w:val="004A23A3"/>
    <w:rsid w:val="004A23C3"/>
    <w:rsid w:val="004A23C7"/>
    <w:rsid w:val="004A2428"/>
    <w:rsid w:val="004A2453"/>
    <w:rsid w:val="004A2474"/>
    <w:rsid w:val="004A2497"/>
    <w:rsid w:val="004A24A7"/>
    <w:rsid w:val="004A24FA"/>
    <w:rsid w:val="004A2523"/>
    <w:rsid w:val="004A2537"/>
    <w:rsid w:val="004A2543"/>
    <w:rsid w:val="004A254D"/>
    <w:rsid w:val="004A2550"/>
    <w:rsid w:val="004A2598"/>
    <w:rsid w:val="004A25E7"/>
    <w:rsid w:val="004A2605"/>
    <w:rsid w:val="004A260D"/>
    <w:rsid w:val="004A266E"/>
    <w:rsid w:val="004A2685"/>
    <w:rsid w:val="004A26B0"/>
    <w:rsid w:val="004A26F3"/>
    <w:rsid w:val="004A2706"/>
    <w:rsid w:val="004A2745"/>
    <w:rsid w:val="004A2754"/>
    <w:rsid w:val="004A2758"/>
    <w:rsid w:val="004A2773"/>
    <w:rsid w:val="004A2784"/>
    <w:rsid w:val="004A27AD"/>
    <w:rsid w:val="004A27D1"/>
    <w:rsid w:val="004A27EE"/>
    <w:rsid w:val="004A281F"/>
    <w:rsid w:val="004A2841"/>
    <w:rsid w:val="004A2870"/>
    <w:rsid w:val="004A288C"/>
    <w:rsid w:val="004A28F5"/>
    <w:rsid w:val="004A2922"/>
    <w:rsid w:val="004A2960"/>
    <w:rsid w:val="004A2968"/>
    <w:rsid w:val="004A2979"/>
    <w:rsid w:val="004A29BE"/>
    <w:rsid w:val="004A29CC"/>
    <w:rsid w:val="004A29F1"/>
    <w:rsid w:val="004A2A11"/>
    <w:rsid w:val="004A2A8F"/>
    <w:rsid w:val="004A2A93"/>
    <w:rsid w:val="004A2AA4"/>
    <w:rsid w:val="004A2AA6"/>
    <w:rsid w:val="004A2AFC"/>
    <w:rsid w:val="004A2BB8"/>
    <w:rsid w:val="004A2BC4"/>
    <w:rsid w:val="004A2BCE"/>
    <w:rsid w:val="004A2BF6"/>
    <w:rsid w:val="004A2C06"/>
    <w:rsid w:val="004A2C25"/>
    <w:rsid w:val="004A2C36"/>
    <w:rsid w:val="004A2C43"/>
    <w:rsid w:val="004A2CA5"/>
    <w:rsid w:val="004A2CBE"/>
    <w:rsid w:val="004A2D42"/>
    <w:rsid w:val="004A2D74"/>
    <w:rsid w:val="004A2D8A"/>
    <w:rsid w:val="004A2DC4"/>
    <w:rsid w:val="004A2E4A"/>
    <w:rsid w:val="004A2E6E"/>
    <w:rsid w:val="004A2E76"/>
    <w:rsid w:val="004A2E89"/>
    <w:rsid w:val="004A2E95"/>
    <w:rsid w:val="004A2EA3"/>
    <w:rsid w:val="004A2EAA"/>
    <w:rsid w:val="004A2EB2"/>
    <w:rsid w:val="004A2EDB"/>
    <w:rsid w:val="004A2F3C"/>
    <w:rsid w:val="004A2F61"/>
    <w:rsid w:val="004A2FE8"/>
    <w:rsid w:val="004A301A"/>
    <w:rsid w:val="004A3032"/>
    <w:rsid w:val="004A303B"/>
    <w:rsid w:val="004A3043"/>
    <w:rsid w:val="004A3074"/>
    <w:rsid w:val="004A3085"/>
    <w:rsid w:val="004A3182"/>
    <w:rsid w:val="004A3209"/>
    <w:rsid w:val="004A320C"/>
    <w:rsid w:val="004A3218"/>
    <w:rsid w:val="004A3228"/>
    <w:rsid w:val="004A3264"/>
    <w:rsid w:val="004A32A8"/>
    <w:rsid w:val="004A32B2"/>
    <w:rsid w:val="004A33F0"/>
    <w:rsid w:val="004A3456"/>
    <w:rsid w:val="004A3494"/>
    <w:rsid w:val="004A349E"/>
    <w:rsid w:val="004A34A5"/>
    <w:rsid w:val="004A34BA"/>
    <w:rsid w:val="004A34C3"/>
    <w:rsid w:val="004A3505"/>
    <w:rsid w:val="004A354D"/>
    <w:rsid w:val="004A3550"/>
    <w:rsid w:val="004A3563"/>
    <w:rsid w:val="004A3567"/>
    <w:rsid w:val="004A3583"/>
    <w:rsid w:val="004A35B3"/>
    <w:rsid w:val="004A365C"/>
    <w:rsid w:val="004A369F"/>
    <w:rsid w:val="004A36A4"/>
    <w:rsid w:val="004A36C5"/>
    <w:rsid w:val="004A3706"/>
    <w:rsid w:val="004A3726"/>
    <w:rsid w:val="004A37E8"/>
    <w:rsid w:val="004A37E9"/>
    <w:rsid w:val="004A380B"/>
    <w:rsid w:val="004A3820"/>
    <w:rsid w:val="004A383B"/>
    <w:rsid w:val="004A385A"/>
    <w:rsid w:val="004A3876"/>
    <w:rsid w:val="004A38B4"/>
    <w:rsid w:val="004A38F6"/>
    <w:rsid w:val="004A390B"/>
    <w:rsid w:val="004A3947"/>
    <w:rsid w:val="004A3973"/>
    <w:rsid w:val="004A397C"/>
    <w:rsid w:val="004A39C7"/>
    <w:rsid w:val="004A3A02"/>
    <w:rsid w:val="004A3A67"/>
    <w:rsid w:val="004A3AAC"/>
    <w:rsid w:val="004A3AF5"/>
    <w:rsid w:val="004A3B09"/>
    <w:rsid w:val="004A3B9C"/>
    <w:rsid w:val="004A3BDF"/>
    <w:rsid w:val="004A3BE0"/>
    <w:rsid w:val="004A3C2F"/>
    <w:rsid w:val="004A3C3F"/>
    <w:rsid w:val="004A3C6B"/>
    <w:rsid w:val="004A3C8E"/>
    <w:rsid w:val="004A3CCE"/>
    <w:rsid w:val="004A3D0F"/>
    <w:rsid w:val="004A3D58"/>
    <w:rsid w:val="004A3D77"/>
    <w:rsid w:val="004A3D7F"/>
    <w:rsid w:val="004A3D90"/>
    <w:rsid w:val="004A3DA3"/>
    <w:rsid w:val="004A3DC1"/>
    <w:rsid w:val="004A3E5D"/>
    <w:rsid w:val="004A3E88"/>
    <w:rsid w:val="004A3EBF"/>
    <w:rsid w:val="004A3EC7"/>
    <w:rsid w:val="004A3ECF"/>
    <w:rsid w:val="004A3ED1"/>
    <w:rsid w:val="004A3F05"/>
    <w:rsid w:val="004A3F17"/>
    <w:rsid w:val="004A3FBE"/>
    <w:rsid w:val="004A4012"/>
    <w:rsid w:val="004A4027"/>
    <w:rsid w:val="004A403F"/>
    <w:rsid w:val="004A405C"/>
    <w:rsid w:val="004A40FA"/>
    <w:rsid w:val="004A410B"/>
    <w:rsid w:val="004A415B"/>
    <w:rsid w:val="004A41A5"/>
    <w:rsid w:val="004A41CD"/>
    <w:rsid w:val="004A41FB"/>
    <w:rsid w:val="004A421D"/>
    <w:rsid w:val="004A4240"/>
    <w:rsid w:val="004A426A"/>
    <w:rsid w:val="004A427F"/>
    <w:rsid w:val="004A4312"/>
    <w:rsid w:val="004A4394"/>
    <w:rsid w:val="004A439D"/>
    <w:rsid w:val="004A446C"/>
    <w:rsid w:val="004A4492"/>
    <w:rsid w:val="004A449C"/>
    <w:rsid w:val="004A44B0"/>
    <w:rsid w:val="004A44E3"/>
    <w:rsid w:val="004A44FA"/>
    <w:rsid w:val="004A4503"/>
    <w:rsid w:val="004A4512"/>
    <w:rsid w:val="004A4517"/>
    <w:rsid w:val="004A4528"/>
    <w:rsid w:val="004A452C"/>
    <w:rsid w:val="004A458D"/>
    <w:rsid w:val="004A4619"/>
    <w:rsid w:val="004A4622"/>
    <w:rsid w:val="004A462B"/>
    <w:rsid w:val="004A4631"/>
    <w:rsid w:val="004A4644"/>
    <w:rsid w:val="004A465E"/>
    <w:rsid w:val="004A4661"/>
    <w:rsid w:val="004A4665"/>
    <w:rsid w:val="004A46BF"/>
    <w:rsid w:val="004A46EA"/>
    <w:rsid w:val="004A4720"/>
    <w:rsid w:val="004A4741"/>
    <w:rsid w:val="004A474B"/>
    <w:rsid w:val="004A4787"/>
    <w:rsid w:val="004A47A2"/>
    <w:rsid w:val="004A47F1"/>
    <w:rsid w:val="004A485B"/>
    <w:rsid w:val="004A4891"/>
    <w:rsid w:val="004A4894"/>
    <w:rsid w:val="004A48B1"/>
    <w:rsid w:val="004A48CC"/>
    <w:rsid w:val="004A48F7"/>
    <w:rsid w:val="004A4960"/>
    <w:rsid w:val="004A4967"/>
    <w:rsid w:val="004A4977"/>
    <w:rsid w:val="004A49DA"/>
    <w:rsid w:val="004A49DB"/>
    <w:rsid w:val="004A4A42"/>
    <w:rsid w:val="004A4A58"/>
    <w:rsid w:val="004A4A59"/>
    <w:rsid w:val="004A4A7F"/>
    <w:rsid w:val="004A4AB3"/>
    <w:rsid w:val="004A4AC7"/>
    <w:rsid w:val="004A4AE5"/>
    <w:rsid w:val="004A4B8E"/>
    <w:rsid w:val="004A4BA5"/>
    <w:rsid w:val="004A4BEE"/>
    <w:rsid w:val="004A4C90"/>
    <w:rsid w:val="004A4CD4"/>
    <w:rsid w:val="004A4D18"/>
    <w:rsid w:val="004A4D2F"/>
    <w:rsid w:val="004A4DAD"/>
    <w:rsid w:val="004A4DB6"/>
    <w:rsid w:val="004A4E8D"/>
    <w:rsid w:val="004A4EB4"/>
    <w:rsid w:val="004A4EC8"/>
    <w:rsid w:val="004A4EF1"/>
    <w:rsid w:val="004A4F04"/>
    <w:rsid w:val="004A4F16"/>
    <w:rsid w:val="004A4F4A"/>
    <w:rsid w:val="004A4F4D"/>
    <w:rsid w:val="004A4F89"/>
    <w:rsid w:val="004A4FB0"/>
    <w:rsid w:val="004A4FBF"/>
    <w:rsid w:val="004A5097"/>
    <w:rsid w:val="004A50A8"/>
    <w:rsid w:val="004A5141"/>
    <w:rsid w:val="004A516D"/>
    <w:rsid w:val="004A519B"/>
    <w:rsid w:val="004A51CD"/>
    <w:rsid w:val="004A521B"/>
    <w:rsid w:val="004A5249"/>
    <w:rsid w:val="004A5267"/>
    <w:rsid w:val="004A5332"/>
    <w:rsid w:val="004A539B"/>
    <w:rsid w:val="004A53DB"/>
    <w:rsid w:val="004A53ED"/>
    <w:rsid w:val="004A54BE"/>
    <w:rsid w:val="004A54C8"/>
    <w:rsid w:val="004A54DC"/>
    <w:rsid w:val="004A54EF"/>
    <w:rsid w:val="004A55D7"/>
    <w:rsid w:val="004A55F9"/>
    <w:rsid w:val="004A5605"/>
    <w:rsid w:val="004A5644"/>
    <w:rsid w:val="004A565D"/>
    <w:rsid w:val="004A567A"/>
    <w:rsid w:val="004A5698"/>
    <w:rsid w:val="004A56A2"/>
    <w:rsid w:val="004A56BE"/>
    <w:rsid w:val="004A5706"/>
    <w:rsid w:val="004A5721"/>
    <w:rsid w:val="004A5750"/>
    <w:rsid w:val="004A575E"/>
    <w:rsid w:val="004A576C"/>
    <w:rsid w:val="004A583A"/>
    <w:rsid w:val="004A5844"/>
    <w:rsid w:val="004A5873"/>
    <w:rsid w:val="004A588B"/>
    <w:rsid w:val="004A5893"/>
    <w:rsid w:val="004A58E2"/>
    <w:rsid w:val="004A58F6"/>
    <w:rsid w:val="004A5905"/>
    <w:rsid w:val="004A5914"/>
    <w:rsid w:val="004A59E3"/>
    <w:rsid w:val="004A5A2D"/>
    <w:rsid w:val="004A5A59"/>
    <w:rsid w:val="004A5AD5"/>
    <w:rsid w:val="004A5B9B"/>
    <w:rsid w:val="004A5C25"/>
    <w:rsid w:val="004A5C41"/>
    <w:rsid w:val="004A5C55"/>
    <w:rsid w:val="004A5C8D"/>
    <w:rsid w:val="004A5C9E"/>
    <w:rsid w:val="004A5CB5"/>
    <w:rsid w:val="004A5D24"/>
    <w:rsid w:val="004A5D4F"/>
    <w:rsid w:val="004A5D6B"/>
    <w:rsid w:val="004A5D77"/>
    <w:rsid w:val="004A5D95"/>
    <w:rsid w:val="004A5DE1"/>
    <w:rsid w:val="004A5DFE"/>
    <w:rsid w:val="004A5E16"/>
    <w:rsid w:val="004A5E26"/>
    <w:rsid w:val="004A5E6B"/>
    <w:rsid w:val="004A5EA0"/>
    <w:rsid w:val="004A5EFD"/>
    <w:rsid w:val="004A5F04"/>
    <w:rsid w:val="004A5F14"/>
    <w:rsid w:val="004A5FB7"/>
    <w:rsid w:val="004A6055"/>
    <w:rsid w:val="004A606C"/>
    <w:rsid w:val="004A6105"/>
    <w:rsid w:val="004A6146"/>
    <w:rsid w:val="004A6154"/>
    <w:rsid w:val="004A61A0"/>
    <w:rsid w:val="004A61B2"/>
    <w:rsid w:val="004A61D2"/>
    <w:rsid w:val="004A61F1"/>
    <w:rsid w:val="004A627C"/>
    <w:rsid w:val="004A6327"/>
    <w:rsid w:val="004A635E"/>
    <w:rsid w:val="004A63D2"/>
    <w:rsid w:val="004A6428"/>
    <w:rsid w:val="004A6430"/>
    <w:rsid w:val="004A6455"/>
    <w:rsid w:val="004A647E"/>
    <w:rsid w:val="004A649C"/>
    <w:rsid w:val="004A64B1"/>
    <w:rsid w:val="004A64C8"/>
    <w:rsid w:val="004A6528"/>
    <w:rsid w:val="004A6564"/>
    <w:rsid w:val="004A6575"/>
    <w:rsid w:val="004A65AA"/>
    <w:rsid w:val="004A65E7"/>
    <w:rsid w:val="004A663F"/>
    <w:rsid w:val="004A6647"/>
    <w:rsid w:val="004A6652"/>
    <w:rsid w:val="004A6653"/>
    <w:rsid w:val="004A667B"/>
    <w:rsid w:val="004A6695"/>
    <w:rsid w:val="004A66CF"/>
    <w:rsid w:val="004A6709"/>
    <w:rsid w:val="004A6721"/>
    <w:rsid w:val="004A67BB"/>
    <w:rsid w:val="004A67DA"/>
    <w:rsid w:val="004A6805"/>
    <w:rsid w:val="004A683F"/>
    <w:rsid w:val="004A6888"/>
    <w:rsid w:val="004A694E"/>
    <w:rsid w:val="004A695F"/>
    <w:rsid w:val="004A6974"/>
    <w:rsid w:val="004A6990"/>
    <w:rsid w:val="004A69CD"/>
    <w:rsid w:val="004A6A03"/>
    <w:rsid w:val="004A6A16"/>
    <w:rsid w:val="004A6A63"/>
    <w:rsid w:val="004A6A75"/>
    <w:rsid w:val="004A6AA1"/>
    <w:rsid w:val="004A6ABA"/>
    <w:rsid w:val="004A6ABC"/>
    <w:rsid w:val="004A6AC3"/>
    <w:rsid w:val="004A6ADA"/>
    <w:rsid w:val="004A6B64"/>
    <w:rsid w:val="004A6B69"/>
    <w:rsid w:val="004A6BCB"/>
    <w:rsid w:val="004A6BE1"/>
    <w:rsid w:val="004A6C21"/>
    <w:rsid w:val="004A6C36"/>
    <w:rsid w:val="004A6C42"/>
    <w:rsid w:val="004A6C5A"/>
    <w:rsid w:val="004A6C7F"/>
    <w:rsid w:val="004A6CAD"/>
    <w:rsid w:val="004A6CB5"/>
    <w:rsid w:val="004A6CEC"/>
    <w:rsid w:val="004A6D4F"/>
    <w:rsid w:val="004A6D64"/>
    <w:rsid w:val="004A6D73"/>
    <w:rsid w:val="004A6D90"/>
    <w:rsid w:val="004A6DAF"/>
    <w:rsid w:val="004A6DE2"/>
    <w:rsid w:val="004A6DED"/>
    <w:rsid w:val="004A6E01"/>
    <w:rsid w:val="004A6E2F"/>
    <w:rsid w:val="004A6E51"/>
    <w:rsid w:val="004A6E7A"/>
    <w:rsid w:val="004A6E96"/>
    <w:rsid w:val="004A6E9E"/>
    <w:rsid w:val="004A6F72"/>
    <w:rsid w:val="004A6F9C"/>
    <w:rsid w:val="004A6FA5"/>
    <w:rsid w:val="004A6FF7"/>
    <w:rsid w:val="004A7016"/>
    <w:rsid w:val="004A7017"/>
    <w:rsid w:val="004A708B"/>
    <w:rsid w:val="004A70AC"/>
    <w:rsid w:val="004A7175"/>
    <w:rsid w:val="004A7207"/>
    <w:rsid w:val="004A725C"/>
    <w:rsid w:val="004A7271"/>
    <w:rsid w:val="004A72E6"/>
    <w:rsid w:val="004A7322"/>
    <w:rsid w:val="004A733A"/>
    <w:rsid w:val="004A73AD"/>
    <w:rsid w:val="004A7432"/>
    <w:rsid w:val="004A7457"/>
    <w:rsid w:val="004A745F"/>
    <w:rsid w:val="004A746E"/>
    <w:rsid w:val="004A748E"/>
    <w:rsid w:val="004A7522"/>
    <w:rsid w:val="004A7546"/>
    <w:rsid w:val="004A7552"/>
    <w:rsid w:val="004A755D"/>
    <w:rsid w:val="004A75EA"/>
    <w:rsid w:val="004A7620"/>
    <w:rsid w:val="004A7687"/>
    <w:rsid w:val="004A76CA"/>
    <w:rsid w:val="004A76CB"/>
    <w:rsid w:val="004A76E9"/>
    <w:rsid w:val="004A7720"/>
    <w:rsid w:val="004A772E"/>
    <w:rsid w:val="004A774E"/>
    <w:rsid w:val="004A7766"/>
    <w:rsid w:val="004A776A"/>
    <w:rsid w:val="004A778F"/>
    <w:rsid w:val="004A7796"/>
    <w:rsid w:val="004A77A8"/>
    <w:rsid w:val="004A77E4"/>
    <w:rsid w:val="004A780F"/>
    <w:rsid w:val="004A7859"/>
    <w:rsid w:val="004A786B"/>
    <w:rsid w:val="004A7876"/>
    <w:rsid w:val="004A7878"/>
    <w:rsid w:val="004A78A2"/>
    <w:rsid w:val="004A78BD"/>
    <w:rsid w:val="004A78EE"/>
    <w:rsid w:val="004A78F7"/>
    <w:rsid w:val="004A790B"/>
    <w:rsid w:val="004A792F"/>
    <w:rsid w:val="004A799C"/>
    <w:rsid w:val="004A79AE"/>
    <w:rsid w:val="004A79F4"/>
    <w:rsid w:val="004A7A49"/>
    <w:rsid w:val="004A7AFA"/>
    <w:rsid w:val="004A7B0C"/>
    <w:rsid w:val="004A7B1F"/>
    <w:rsid w:val="004A7B4A"/>
    <w:rsid w:val="004A7B70"/>
    <w:rsid w:val="004A7B84"/>
    <w:rsid w:val="004A7BA2"/>
    <w:rsid w:val="004A7BF8"/>
    <w:rsid w:val="004A7C1F"/>
    <w:rsid w:val="004A7CEA"/>
    <w:rsid w:val="004A7CF6"/>
    <w:rsid w:val="004A7CFA"/>
    <w:rsid w:val="004A7D54"/>
    <w:rsid w:val="004A7DA5"/>
    <w:rsid w:val="004A7DEF"/>
    <w:rsid w:val="004A7E36"/>
    <w:rsid w:val="004A7E43"/>
    <w:rsid w:val="004A7E69"/>
    <w:rsid w:val="004A7E78"/>
    <w:rsid w:val="004A7EFA"/>
    <w:rsid w:val="004A7EFD"/>
    <w:rsid w:val="004A7F08"/>
    <w:rsid w:val="004A7F4E"/>
    <w:rsid w:val="004A7FB6"/>
    <w:rsid w:val="004A7FE7"/>
    <w:rsid w:val="004B0033"/>
    <w:rsid w:val="004B0060"/>
    <w:rsid w:val="004B0084"/>
    <w:rsid w:val="004B009C"/>
    <w:rsid w:val="004B00B0"/>
    <w:rsid w:val="004B00E4"/>
    <w:rsid w:val="004B0121"/>
    <w:rsid w:val="004B014A"/>
    <w:rsid w:val="004B014F"/>
    <w:rsid w:val="004B019E"/>
    <w:rsid w:val="004B01EC"/>
    <w:rsid w:val="004B020F"/>
    <w:rsid w:val="004B0238"/>
    <w:rsid w:val="004B024A"/>
    <w:rsid w:val="004B024B"/>
    <w:rsid w:val="004B0260"/>
    <w:rsid w:val="004B0275"/>
    <w:rsid w:val="004B02BD"/>
    <w:rsid w:val="004B0300"/>
    <w:rsid w:val="004B0306"/>
    <w:rsid w:val="004B0317"/>
    <w:rsid w:val="004B03C9"/>
    <w:rsid w:val="004B0427"/>
    <w:rsid w:val="004B044C"/>
    <w:rsid w:val="004B04A0"/>
    <w:rsid w:val="004B04D3"/>
    <w:rsid w:val="004B04E1"/>
    <w:rsid w:val="004B04ED"/>
    <w:rsid w:val="004B0554"/>
    <w:rsid w:val="004B055A"/>
    <w:rsid w:val="004B058E"/>
    <w:rsid w:val="004B0617"/>
    <w:rsid w:val="004B061D"/>
    <w:rsid w:val="004B068D"/>
    <w:rsid w:val="004B06A2"/>
    <w:rsid w:val="004B06C8"/>
    <w:rsid w:val="004B07C4"/>
    <w:rsid w:val="004B086B"/>
    <w:rsid w:val="004B0877"/>
    <w:rsid w:val="004B08F2"/>
    <w:rsid w:val="004B0986"/>
    <w:rsid w:val="004B09A7"/>
    <w:rsid w:val="004B09AF"/>
    <w:rsid w:val="004B0A3D"/>
    <w:rsid w:val="004B0A3F"/>
    <w:rsid w:val="004B0B10"/>
    <w:rsid w:val="004B0B14"/>
    <w:rsid w:val="004B0B37"/>
    <w:rsid w:val="004B0B40"/>
    <w:rsid w:val="004B0B45"/>
    <w:rsid w:val="004B0CC1"/>
    <w:rsid w:val="004B0D06"/>
    <w:rsid w:val="004B0D41"/>
    <w:rsid w:val="004B0D8D"/>
    <w:rsid w:val="004B0DD5"/>
    <w:rsid w:val="004B0E1D"/>
    <w:rsid w:val="004B0E80"/>
    <w:rsid w:val="004B0EC9"/>
    <w:rsid w:val="004B0ED0"/>
    <w:rsid w:val="004B0EF5"/>
    <w:rsid w:val="004B0F19"/>
    <w:rsid w:val="004B0F7A"/>
    <w:rsid w:val="004B0FA7"/>
    <w:rsid w:val="004B1092"/>
    <w:rsid w:val="004B10AF"/>
    <w:rsid w:val="004B1173"/>
    <w:rsid w:val="004B117F"/>
    <w:rsid w:val="004B1197"/>
    <w:rsid w:val="004B11B1"/>
    <w:rsid w:val="004B11D5"/>
    <w:rsid w:val="004B11FB"/>
    <w:rsid w:val="004B12AC"/>
    <w:rsid w:val="004B12C5"/>
    <w:rsid w:val="004B12D8"/>
    <w:rsid w:val="004B12DD"/>
    <w:rsid w:val="004B12F3"/>
    <w:rsid w:val="004B12FF"/>
    <w:rsid w:val="004B1341"/>
    <w:rsid w:val="004B1361"/>
    <w:rsid w:val="004B13A7"/>
    <w:rsid w:val="004B13BC"/>
    <w:rsid w:val="004B141F"/>
    <w:rsid w:val="004B1459"/>
    <w:rsid w:val="004B1496"/>
    <w:rsid w:val="004B14FC"/>
    <w:rsid w:val="004B1512"/>
    <w:rsid w:val="004B1522"/>
    <w:rsid w:val="004B154F"/>
    <w:rsid w:val="004B15B3"/>
    <w:rsid w:val="004B1637"/>
    <w:rsid w:val="004B164A"/>
    <w:rsid w:val="004B1692"/>
    <w:rsid w:val="004B169B"/>
    <w:rsid w:val="004B16C8"/>
    <w:rsid w:val="004B16FF"/>
    <w:rsid w:val="004B1775"/>
    <w:rsid w:val="004B1838"/>
    <w:rsid w:val="004B1896"/>
    <w:rsid w:val="004B18D3"/>
    <w:rsid w:val="004B18FD"/>
    <w:rsid w:val="004B196D"/>
    <w:rsid w:val="004B19FA"/>
    <w:rsid w:val="004B1A14"/>
    <w:rsid w:val="004B1A19"/>
    <w:rsid w:val="004B1A33"/>
    <w:rsid w:val="004B1A4A"/>
    <w:rsid w:val="004B1A69"/>
    <w:rsid w:val="004B1A7A"/>
    <w:rsid w:val="004B1ACB"/>
    <w:rsid w:val="004B1AF4"/>
    <w:rsid w:val="004B1B1E"/>
    <w:rsid w:val="004B1B21"/>
    <w:rsid w:val="004B1B72"/>
    <w:rsid w:val="004B1B7D"/>
    <w:rsid w:val="004B1BB4"/>
    <w:rsid w:val="004B1BC8"/>
    <w:rsid w:val="004B1C2D"/>
    <w:rsid w:val="004B1CF8"/>
    <w:rsid w:val="004B1D00"/>
    <w:rsid w:val="004B1D7F"/>
    <w:rsid w:val="004B1DEE"/>
    <w:rsid w:val="004B1E0D"/>
    <w:rsid w:val="004B1E37"/>
    <w:rsid w:val="004B1E69"/>
    <w:rsid w:val="004B1EA0"/>
    <w:rsid w:val="004B1F17"/>
    <w:rsid w:val="004B2078"/>
    <w:rsid w:val="004B20A0"/>
    <w:rsid w:val="004B20CE"/>
    <w:rsid w:val="004B2116"/>
    <w:rsid w:val="004B2184"/>
    <w:rsid w:val="004B21EC"/>
    <w:rsid w:val="004B222B"/>
    <w:rsid w:val="004B229D"/>
    <w:rsid w:val="004B22A1"/>
    <w:rsid w:val="004B22E5"/>
    <w:rsid w:val="004B22F0"/>
    <w:rsid w:val="004B2309"/>
    <w:rsid w:val="004B231F"/>
    <w:rsid w:val="004B2342"/>
    <w:rsid w:val="004B2359"/>
    <w:rsid w:val="004B23D5"/>
    <w:rsid w:val="004B240C"/>
    <w:rsid w:val="004B2431"/>
    <w:rsid w:val="004B2432"/>
    <w:rsid w:val="004B2475"/>
    <w:rsid w:val="004B247A"/>
    <w:rsid w:val="004B2491"/>
    <w:rsid w:val="004B24A7"/>
    <w:rsid w:val="004B24C5"/>
    <w:rsid w:val="004B24D8"/>
    <w:rsid w:val="004B2518"/>
    <w:rsid w:val="004B257B"/>
    <w:rsid w:val="004B258F"/>
    <w:rsid w:val="004B25C1"/>
    <w:rsid w:val="004B25DC"/>
    <w:rsid w:val="004B25FB"/>
    <w:rsid w:val="004B2604"/>
    <w:rsid w:val="004B264C"/>
    <w:rsid w:val="004B2676"/>
    <w:rsid w:val="004B26D2"/>
    <w:rsid w:val="004B26FE"/>
    <w:rsid w:val="004B2708"/>
    <w:rsid w:val="004B2718"/>
    <w:rsid w:val="004B2755"/>
    <w:rsid w:val="004B276D"/>
    <w:rsid w:val="004B277A"/>
    <w:rsid w:val="004B2790"/>
    <w:rsid w:val="004B282F"/>
    <w:rsid w:val="004B28F6"/>
    <w:rsid w:val="004B297A"/>
    <w:rsid w:val="004B2A2C"/>
    <w:rsid w:val="004B2A38"/>
    <w:rsid w:val="004B2AA6"/>
    <w:rsid w:val="004B2ACC"/>
    <w:rsid w:val="004B2AEC"/>
    <w:rsid w:val="004B2B17"/>
    <w:rsid w:val="004B2B2B"/>
    <w:rsid w:val="004B2B32"/>
    <w:rsid w:val="004B2B40"/>
    <w:rsid w:val="004B2B62"/>
    <w:rsid w:val="004B2BC8"/>
    <w:rsid w:val="004B2C85"/>
    <w:rsid w:val="004B2C90"/>
    <w:rsid w:val="004B2CF5"/>
    <w:rsid w:val="004B2D42"/>
    <w:rsid w:val="004B2E6B"/>
    <w:rsid w:val="004B2E76"/>
    <w:rsid w:val="004B2E7C"/>
    <w:rsid w:val="004B2E8E"/>
    <w:rsid w:val="004B2E99"/>
    <w:rsid w:val="004B2EAF"/>
    <w:rsid w:val="004B2EBC"/>
    <w:rsid w:val="004B2EE1"/>
    <w:rsid w:val="004B2EF7"/>
    <w:rsid w:val="004B2F26"/>
    <w:rsid w:val="004B2F2E"/>
    <w:rsid w:val="004B2F83"/>
    <w:rsid w:val="004B2F8B"/>
    <w:rsid w:val="004B2FD8"/>
    <w:rsid w:val="004B2FF3"/>
    <w:rsid w:val="004B3028"/>
    <w:rsid w:val="004B3038"/>
    <w:rsid w:val="004B3088"/>
    <w:rsid w:val="004B3092"/>
    <w:rsid w:val="004B30AA"/>
    <w:rsid w:val="004B30C8"/>
    <w:rsid w:val="004B3107"/>
    <w:rsid w:val="004B3118"/>
    <w:rsid w:val="004B3143"/>
    <w:rsid w:val="004B3150"/>
    <w:rsid w:val="004B3157"/>
    <w:rsid w:val="004B3200"/>
    <w:rsid w:val="004B3241"/>
    <w:rsid w:val="004B325F"/>
    <w:rsid w:val="004B3274"/>
    <w:rsid w:val="004B32BD"/>
    <w:rsid w:val="004B32CB"/>
    <w:rsid w:val="004B3362"/>
    <w:rsid w:val="004B3399"/>
    <w:rsid w:val="004B339B"/>
    <w:rsid w:val="004B33AF"/>
    <w:rsid w:val="004B3431"/>
    <w:rsid w:val="004B346F"/>
    <w:rsid w:val="004B34AF"/>
    <w:rsid w:val="004B34B7"/>
    <w:rsid w:val="004B34C6"/>
    <w:rsid w:val="004B3503"/>
    <w:rsid w:val="004B3525"/>
    <w:rsid w:val="004B3538"/>
    <w:rsid w:val="004B3542"/>
    <w:rsid w:val="004B355E"/>
    <w:rsid w:val="004B357D"/>
    <w:rsid w:val="004B35BE"/>
    <w:rsid w:val="004B35CE"/>
    <w:rsid w:val="004B360D"/>
    <w:rsid w:val="004B36E0"/>
    <w:rsid w:val="004B38A9"/>
    <w:rsid w:val="004B38C0"/>
    <w:rsid w:val="004B38F9"/>
    <w:rsid w:val="004B393B"/>
    <w:rsid w:val="004B3956"/>
    <w:rsid w:val="004B398C"/>
    <w:rsid w:val="004B39BC"/>
    <w:rsid w:val="004B3A46"/>
    <w:rsid w:val="004B3A77"/>
    <w:rsid w:val="004B3A80"/>
    <w:rsid w:val="004B3BA5"/>
    <w:rsid w:val="004B3BAB"/>
    <w:rsid w:val="004B3BF7"/>
    <w:rsid w:val="004B3C3D"/>
    <w:rsid w:val="004B3C56"/>
    <w:rsid w:val="004B3CAE"/>
    <w:rsid w:val="004B3D02"/>
    <w:rsid w:val="004B3D53"/>
    <w:rsid w:val="004B3D75"/>
    <w:rsid w:val="004B3E17"/>
    <w:rsid w:val="004B3E1C"/>
    <w:rsid w:val="004B3ED5"/>
    <w:rsid w:val="004B3FAC"/>
    <w:rsid w:val="004B3FB7"/>
    <w:rsid w:val="004B400D"/>
    <w:rsid w:val="004B4081"/>
    <w:rsid w:val="004B4092"/>
    <w:rsid w:val="004B40AD"/>
    <w:rsid w:val="004B40B7"/>
    <w:rsid w:val="004B40F6"/>
    <w:rsid w:val="004B4150"/>
    <w:rsid w:val="004B41AA"/>
    <w:rsid w:val="004B41B0"/>
    <w:rsid w:val="004B42E2"/>
    <w:rsid w:val="004B432B"/>
    <w:rsid w:val="004B434E"/>
    <w:rsid w:val="004B437B"/>
    <w:rsid w:val="004B43DF"/>
    <w:rsid w:val="004B43EA"/>
    <w:rsid w:val="004B4427"/>
    <w:rsid w:val="004B4483"/>
    <w:rsid w:val="004B44A1"/>
    <w:rsid w:val="004B4515"/>
    <w:rsid w:val="004B45E6"/>
    <w:rsid w:val="004B45F9"/>
    <w:rsid w:val="004B4610"/>
    <w:rsid w:val="004B466B"/>
    <w:rsid w:val="004B4676"/>
    <w:rsid w:val="004B46C2"/>
    <w:rsid w:val="004B47AA"/>
    <w:rsid w:val="004B47C7"/>
    <w:rsid w:val="004B47FB"/>
    <w:rsid w:val="004B482D"/>
    <w:rsid w:val="004B484C"/>
    <w:rsid w:val="004B4851"/>
    <w:rsid w:val="004B4856"/>
    <w:rsid w:val="004B4892"/>
    <w:rsid w:val="004B4976"/>
    <w:rsid w:val="004B49A0"/>
    <w:rsid w:val="004B49B6"/>
    <w:rsid w:val="004B49BC"/>
    <w:rsid w:val="004B49E0"/>
    <w:rsid w:val="004B4A1F"/>
    <w:rsid w:val="004B4AA4"/>
    <w:rsid w:val="004B4ABB"/>
    <w:rsid w:val="004B4B0F"/>
    <w:rsid w:val="004B4B64"/>
    <w:rsid w:val="004B4B6B"/>
    <w:rsid w:val="004B4B8C"/>
    <w:rsid w:val="004B4D6D"/>
    <w:rsid w:val="004B4D8D"/>
    <w:rsid w:val="004B4DC7"/>
    <w:rsid w:val="004B4DEE"/>
    <w:rsid w:val="004B4DF9"/>
    <w:rsid w:val="004B4E0B"/>
    <w:rsid w:val="004B4E11"/>
    <w:rsid w:val="004B4E4C"/>
    <w:rsid w:val="004B4ECD"/>
    <w:rsid w:val="004B4EEB"/>
    <w:rsid w:val="004B4F2A"/>
    <w:rsid w:val="004B4F3D"/>
    <w:rsid w:val="004B4F5C"/>
    <w:rsid w:val="004B4FB7"/>
    <w:rsid w:val="004B5009"/>
    <w:rsid w:val="004B5021"/>
    <w:rsid w:val="004B5029"/>
    <w:rsid w:val="004B5031"/>
    <w:rsid w:val="004B503C"/>
    <w:rsid w:val="004B5042"/>
    <w:rsid w:val="004B5067"/>
    <w:rsid w:val="004B50F5"/>
    <w:rsid w:val="004B513E"/>
    <w:rsid w:val="004B5141"/>
    <w:rsid w:val="004B517B"/>
    <w:rsid w:val="004B517C"/>
    <w:rsid w:val="004B519B"/>
    <w:rsid w:val="004B51C0"/>
    <w:rsid w:val="004B51ED"/>
    <w:rsid w:val="004B51F6"/>
    <w:rsid w:val="004B51FA"/>
    <w:rsid w:val="004B536D"/>
    <w:rsid w:val="004B5373"/>
    <w:rsid w:val="004B53A9"/>
    <w:rsid w:val="004B53D2"/>
    <w:rsid w:val="004B53E6"/>
    <w:rsid w:val="004B5422"/>
    <w:rsid w:val="004B542E"/>
    <w:rsid w:val="004B545B"/>
    <w:rsid w:val="004B546F"/>
    <w:rsid w:val="004B547A"/>
    <w:rsid w:val="004B54E2"/>
    <w:rsid w:val="004B54F2"/>
    <w:rsid w:val="004B5519"/>
    <w:rsid w:val="004B551C"/>
    <w:rsid w:val="004B552A"/>
    <w:rsid w:val="004B55C2"/>
    <w:rsid w:val="004B55F5"/>
    <w:rsid w:val="004B55F8"/>
    <w:rsid w:val="004B5602"/>
    <w:rsid w:val="004B560E"/>
    <w:rsid w:val="004B562E"/>
    <w:rsid w:val="004B566B"/>
    <w:rsid w:val="004B5681"/>
    <w:rsid w:val="004B56FB"/>
    <w:rsid w:val="004B5710"/>
    <w:rsid w:val="004B58D1"/>
    <w:rsid w:val="004B58D7"/>
    <w:rsid w:val="004B593F"/>
    <w:rsid w:val="004B5968"/>
    <w:rsid w:val="004B59A1"/>
    <w:rsid w:val="004B59EC"/>
    <w:rsid w:val="004B59EF"/>
    <w:rsid w:val="004B5A71"/>
    <w:rsid w:val="004B5A96"/>
    <w:rsid w:val="004B5AEB"/>
    <w:rsid w:val="004B5AFA"/>
    <w:rsid w:val="004B5B85"/>
    <w:rsid w:val="004B5BA3"/>
    <w:rsid w:val="004B5C4C"/>
    <w:rsid w:val="004B5C73"/>
    <w:rsid w:val="004B5D09"/>
    <w:rsid w:val="004B5D1B"/>
    <w:rsid w:val="004B5D27"/>
    <w:rsid w:val="004B5D56"/>
    <w:rsid w:val="004B5D79"/>
    <w:rsid w:val="004B5E0F"/>
    <w:rsid w:val="004B5E14"/>
    <w:rsid w:val="004B5E27"/>
    <w:rsid w:val="004B5E2A"/>
    <w:rsid w:val="004B5E47"/>
    <w:rsid w:val="004B5E65"/>
    <w:rsid w:val="004B5ED5"/>
    <w:rsid w:val="004B5EF1"/>
    <w:rsid w:val="004B5F07"/>
    <w:rsid w:val="004B5F0D"/>
    <w:rsid w:val="004B5F3B"/>
    <w:rsid w:val="004B5F63"/>
    <w:rsid w:val="004B5FEC"/>
    <w:rsid w:val="004B606D"/>
    <w:rsid w:val="004B60BA"/>
    <w:rsid w:val="004B60EB"/>
    <w:rsid w:val="004B6107"/>
    <w:rsid w:val="004B6122"/>
    <w:rsid w:val="004B616E"/>
    <w:rsid w:val="004B6182"/>
    <w:rsid w:val="004B620A"/>
    <w:rsid w:val="004B6215"/>
    <w:rsid w:val="004B6270"/>
    <w:rsid w:val="004B6282"/>
    <w:rsid w:val="004B62DD"/>
    <w:rsid w:val="004B632E"/>
    <w:rsid w:val="004B635A"/>
    <w:rsid w:val="004B636D"/>
    <w:rsid w:val="004B640D"/>
    <w:rsid w:val="004B6420"/>
    <w:rsid w:val="004B643F"/>
    <w:rsid w:val="004B6470"/>
    <w:rsid w:val="004B647F"/>
    <w:rsid w:val="004B64BA"/>
    <w:rsid w:val="004B6520"/>
    <w:rsid w:val="004B659A"/>
    <w:rsid w:val="004B65C5"/>
    <w:rsid w:val="004B65E1"/>
    <w:rsid w:val="004B65FE"/>
    <w:rsid w:val="004B6603"/>
    <w:rsid w:val="004B666A"/>
    <w:rsid w:val="004B666D"/>
    <w:rsid w:val="004B6680"/>
    <w:rsid w:val="004B668E"/>
    <w:rsid w:val="004B6697"/>
    <w:rsid w:val="004B6699"/>
    <w:rsid w:val="004B66F4"/>
    <w:rsid w:val="004B6719"/>
    <w:rsid w:val="004B6732"/>
    <w:rsid w:val="004B6778"/>
    <w:rsid w:val="004B6782"/>
    <w:rsid w:val="004B67B1"/>
    <w:rsid w:val="004B6828"/>
    <w:rsid w:val="004B6875"/>
    <w:rsid w:val="004B68C3"/>
    <w:rsid w:val="004B6909"/>
    <w:rsid w:val="004B69B8"/>
    <w:rsid w:val="004B69E4"/>
    <w:rsid w:val="004B6A3B"/>
    <w:rsid w:val="004B6A4A"/>
    <w:rsid w:val="004B6A54"/>
    <w:rsid w:val="004B6AD5"/>
    <w:rsid w:val="004B6B02"/>
    <w:rsid w:val="004B6BC2"/>
    <w:rsid w:val="004B6CC0"/>
    <w:rsid w:val="004B6CE0"/>
    <w:rsid w:val="004B6D13"/>
    <w:rsid w:val="004B6D1A"/>
    <w:rsid w:val="004B6D38"/>
    <w:rsid w:val="004B6DA2"/>
    <w:rsid w:val="004B6DAA"/>
    <w:rsid w:val="004B6DAC"/>
    <w:rsid w:val="004B6E0E"/>
    <w:rsid w:val="004B6E2B"/>
    <w:rsid w:val="004B6E37"/>
    <w:rsid w:val="004B6E3D"/>
    <w:rsid w:val="004B6E75"/>
    <w:rsid w:val="004B6E92"/>
    <w:rsid w:val="004B6F28"/>
    <w:rsid w:val="004B6F58"/>
    <w:rsid w:val="004B6F7F"/>
    <w:rsid w:val="004B701A"/>
    <w:rsid w:val="004B70B1"/>
    <w:rsid w:val="004B7111"/>
    <w:rsid w:val="004B7135"/>
    <w:rsid w:val="004B7138"/>
    <w:rsid w:val="004B714C"/>
    <w:rsid w:val="004B7158"/>
    <w:rsid w:val="004B7189"/>
    <w:rsid w:val="004B71AE"/>
    <w:rsid w:val="004B71BD"/>
    <w:rsid w:val="004B71CC"/>
    <w:rsid w:val="004B71DA"/>
    <w:rsid w:val="004B7219"/>
    <w:rsid w:val="004B725E"/>
    <w:rsid w:val="004B7261"/>
    <w:rsid w:val="004B726F"/>
    <w:rsid w:val="004B72E7"/>
    <w:rsid w:val="004B72ED"/>
    <w:rsid w:val="004B7326"/>
    <w:rsid w:val="004B739B"/>
    <w:rsid w:val="004B73C0"/>
    <w:rsid w:val="004B73EA"/>
    <w:rsid w:val="004B7413"/>
    <w:rsid w:val="004B742A"/>
    <w:rsid w:val="004B7454"/>
    <w:rsid w:val="004B7460"/>
    <w:rsid w:val="004B7550"/>
    <w:rsid w:val="004B755C"/>
    <w:rsid w:val="004B756B"/>
    <w:rsid w:val="004B75C9"/>
    <w:rsid w:val="004B75DB"/>
    <w:rsid w:val="004B75E3"/>
    <w:rsid w:val="004B75EC"/>
    <w:rsid w:val="004B7623"/>
    <w:rsid w:val="004B763E"/>
    <w:rsid w:val="004B76A7"/>
    <w:rsid w:val="004B76E0"/>
    <w:rsid w:val="004B770D"/>
    <w:rsid w:val="004B7717"/>
    <w:rsid w:val="004B7762"/>
    <w:rsid w:val="004B776F"/>
    <w:rsid w:val="004B7813"/>
    <w:rsid w:val="004B787B"/>
    <w:rsid w:val="004B7900"/>
    <w:rsid w:val="004B797E"/>
    <w:rsid w:val="004B79B7"/>
    <w:rsid w:val="004B79C8"/>
    <w:rsid w:val="004B7A08"/>
    <w:rsid w:val="004B7A1B"/>
    <w:rsid w:val="004B7A1D"/>
    <w:rsid w:val="004B7A61"/>
    <w:rsid w:val="004B7ACB"/>
    <w:rsid w:val="004B7B2B"/>
    <w:rsid w:val="004B7B2D"/>
    <w:rsid w:val="004B7B39"/>
    <w:rsid w:val="004B7B9C"/>
    <w:rsid w:val="004B7BDA"/>
    <w:rsid w:val="004B7BF3"/>
    <w:rsid w:val="004B7C22"/>
    <w:rsid w:val="004B7C84"/>
    <w:rsid w:val="004B7C87"/>
    <w:rsid w:val="004B7CA0"/>
    <w:rsid w:val="004B7CD2"/>
    <w:rsid w:val="004B7CD6"/>
    <w:rsid w:val="004B7D26"/>
    <w:rsid w:val="004B7D7C"/>
    <w:rsid w:val="004B7D8E"/>
    <w:rsid w:val="004B7DE4"/>
    <w:rsid w:val="004B7DED"/>
    <w:rsid w:val="004B7E3F"/>
    <w:rsid w:val="004B7EAE"/>
    <w:rsid w:val="004B7F7C"/>
    <w:rsid w:val="004B7FAA"/>
    <w:rsid w:val="004B7FE4"/>
    <w:rsid w:val="004C0020"/>
    <w:rsid w:val="004C004E"/>
    <w:rsid w:val="004C00A1"/>
    <w:rsid w:val="004C00AA"/>
    <w:rsid w:val="004C00E8"/>
    <w:rsid w:val="004C00FA"/>
    <w:rsid w:val="004C011F"/>
    <w:rsid w:val="004C0132"/>
    <w:rsid w:val="004C014D"/>
    <w:rsid w:val="004C0198"/>
    <w:rsid w:val="004C01E9"/>
    <w:rsid w:val="004C01FD"/>
    <w:rsid w:val="004C023D"/>
    <w:rsid w:val="004C028C"/>
    <w:rsid w:val="004C0357"/>
    <w:rsid w:val="004C03A9"/>
    <w:rsid w:val="004C03DC"/>
    <w:rsid w:val="004C0445"/>
    <w:rsid w:val="004C045E"/>
    <w:rsid w:val="004C047D"/>
    <w:rsid w:val="004C048D"/>
    <w:rsid w:val="004C04A8"/>
    <w:rsid w:val="004C04E2"/>
    <w:rsid w:val="004C051C"/>
    <w:rsid w:val="004C052E"/>
    <w:rsid w:val="004C0561"/>
    <w:rsid w:val="004C058F"/>
    <w:rsid w:val="004C059D"/>
    <w:rsid w:val="004C05B1"/>
    <w:rsid w:val="004C0655"/>
    <w:rsid w:val="004C0659"/>
    <w:rsid w:val="004C0668"/>
    <w:rsid w:val="004C06DB"/>
    <w:rsid w:val="004C06EB"/>
    <w:rsid w:val="004C0754"/>
    <w:rsid w:val="004C0794"/>
    <w:rsid w:val="004C0804"/>
    <w:rsid w:val="004C0821"/>
    <w:rsid w:val="004C083A"/>
    <w:rsid w:val="004C0840"/>
    <w:rsid w:val="004C0846"/>
    <w:rsid w:val="004C0869"/>
    <w:rsid w:val="004C086B"/>
    <w:rsid w:val="004C0875"/>
    <w:rsid w:val="004C08B7"/>
    <w:rsid w:val="004C08D7"/>
    <w:rsid w:val="004C08DC"/>
    <w:rsid w:val="004C0971"/>
    <w:rsid w:val="004C0977"/>
    <w:rsid w:val="004C097D"/>
    <w:rsid w:val="004C09E9"/>
    <w:rsid w:val="004C0A55"/>
    <w:rsid w:val="004C0A63"/>
    <w:rsid w:val="004C0A70"/>
    <w:rsid w:val="004C0AE6"/>
    <w:rsid w:val="004C0B81"/>
    <w:rsid w:val="004C0B92"/>
    <w:rsid w:val="004C0B9D"/>
    <w:rsid w:val="004C0B9E"/>
    <w:rsid w:val="004C0BAB"/>
    <w:rsid w:val="004C0BBD"/>
    <w:rsid w:val="004C0BDC"/>
    <w:rsid w:val="004C0C02"/>
    <w:rsid w:val="004C0C04"/>
    <w:rsid w:val="004C0C10"/>
    <w:rsid w:val="004C0C50"/>
    <w:rsid w:val="004C0C70"/>
    <w:rsid w:val="004C0C7E"/>
    <w:rsid w:val="004C0CA9"/>
    <w:rsid w:val="004C0CBD"/>
    <w:rsid w:val="004C0CE3"/>
    <w:rsid w:val="004C0D3E"/>
    <w:rsid w:val="004C0D50"/>
    <w:rsid w:val="004C0D51"/>
    <w:rsid w:val="004C0D5E"/>
    <w:rsid w:val="004C0D64"/>
    <w:rsid w:val="004C0D8F"/>
    <w:rsid w:val="004C0D94"/>
    <w:rsid w:val="004C0DD2"/>
    <w:rsid w:val="004C0E00"/>
    <w:rsid w:val="004C0E3E"/>
    <w:rsid w:val="004C0E8E"/>
    <w:rsid w:val="004C0EBF"/>
    <w:rsid w:val="004C0EDC"/>
    <w:rsid w:val="004C0EF7"/>
    <w:rsid w:val="004C0F0D"/>
    <w:rsid w:val="004C0F77"/>
    <w:rsid w:val="004C0F91"/>
    <w:rsid w:val="004C0FAF"/>
    <w:rsid w:val="004C0FD9"/>
    <w:rsid w:val="004C0FFA"/>
    <w:rsid w:val="004C101F"/>
    <w:rsid w:val="004C1052"/>
    <w:rsid w:val="004C117A"/>
    <w:rsid w:val="004C117E"/>
    <w:rsid w:val="004C11A7"/>
    <w:rsid w:val="004C1212"/>
    <w:rsid w:val="004C1265"/>
    <w:rsid w:val="004C1267"/>
    <w:rsid w:val="004C12FB"/>
    <w:rsid w:val="004C1329"/>
    <w:rsid w:val="004C1355"/>
    <w:rsid w:val="004C1386"/>
    <w:rsid w:val="004C13C7"/>
    <w:rsid w:val="004C13E6"/>
    <w:rsid w:val="004C1434"/>
    <w:rsid w:val="004C14C3"/>
    <w:rsid w:val="004C14FD"/>
    <w:rsid w:val="004C1538"/>
    <w:rsid w:val="004C1572"/>
    <w:rsid w:val="004C157E"/>
    <w:rsid w:val="004C15AF"/>
    <w:rsid w:val="004C15B5"/>
    <w:rsid w:val="004C15BB"/>
    <w:rsid w:val="004C15BE"/>
    <w:rsid w:val="004C15F4"/>
    <w:rsid w:val="004C1632"/>
    <w:rsid w:val="004C1676"/>
    <w:rsid w:val="004C1680"/>
    <w:rsid w:val="004C169A"/>
    <w:rsid w:val="004C16B1"/>
    <w:rsid w:val="004C16CA"/>
    <w:rsid w:val="004C16D4"/>
    <w:rsid w:val="004C1700"/>
    <w:rsid w:val="004C171B"/>
    <w:rsid w:val="004C1748"/>
    <w:rsid w:val="004C1771"/>
    <w:rsid w:val="004C17D7"/>
    <w:rsid w:val="004C182F"/>
    <w:rsid w:val="004C1878"/>
    <w:rsid w:val="004C1886"/>
    <w:rsid w:val="004C1998"/>
    <w:rsid w:val="004C1A4E"/>
    <w:rsid w:val="004C1A51"/>
    <w:rsid w:val="004C1A6B"/>
    <w:rsid w:val="004C1A83"/>
    <w:rsid w:val="004C1AC3"/>
    <w:rsid w:val="004C1B4E"/>
    <w:rsid w:val="004C1BDE"/>
    <w:rsid w:val="004C1C3A"/>
    <w:rsid w:val="004C1C77"/>
    <w:rsid w:val="004C1CCD"/>
    <w:rsid w:val="004C1D06"/>
    <w:rsid w:val="004C1D08"/>
    <w:rsid w:val="004C1D6B"/>
    <w:rsid w:val="004C1E0A"/>
    <w:rsid w:val="004C1E1D"/>
    <w:rsid w:val="004C1E23"/>
    <w:rsid w:val="004C1E46"/>
    <w:rsid w:val="004C1EBC"/>
    <w:rsid w:val="004C1F1E"/>
    <w:rsid w:val="004C1F29"/>
    <w:rsid w:val="004C1F57"/>
    <w:rsid w:val="004C1F91"/>
    <w:rsid w:val="004C1F9A"/>
    <w:rsid w:val="004C2015"/>
    <w:rsid w:val="004C202A"/>
    <w:rsid w:val="004C2041"/>
    <w:rsid w:val="004C2050"/>
    <w:rsid w:val="004C2083"/>
    <w:rsid w:val="004C20B4"/>
    <w:rsid w:val="004C211D"/>
    <w:rsid w:val="004C216A"/>
    <w:rsid w:val="004C2199"/>
    <w:rsid w:val="004C219E"/>
    <w:rsid w:val="004C220D"/>
    <w:rsid w:val="004C221B"/>
    <w:rsid w:val="004C221F"/>
    <w:rsid w:val="004C226D"/>
    <w:rsid w:val="004C22EF"/>
    <w:rsid w:val="004C233B"/>
    <w:rsid w:val="004C23E7"/>
    <w:rsid w:val="004C23EF"/>
    <w:rsid w:val="004C2453"/>
    <w:rsid w:val="004C248E"/>
    <w:rsid w:val="004C24EF"/>
    <w:rsid w:val="004C258E"/>
    <w:rsid w:val="004C2601"/>
    <w:rsid w:val="004C262C"/>
    <w:rsid w:val="004C2650"/>
    <w:rsid w:val="004C265A"/>
    <w:rsid w:val="004C2663"/>
    <w:rsid w:val="004C2664"/>
    <w:rsid w:val="004C2694"/>
    <w:rsid w:val="004C26B0"/>
    <w:rsid w:val="004C26B2"/>
    <w:rsid w:val="004C26C6"/>
    <w:rsid w:val="004C26DB"/>
    <w:rsid w:val="004C26ED"/>
    <w:rsid w:val="004C26FE"/>
    <w:rsid w:val="004C2719"/>
    <w:rsid w:val="004C2772"/>
    <w:rsid w:val="004C2777"/>
    <w:rsid w:val="004C27BA"/>
    <w:rsid w:val="004C27C0"/>
    <w:rsid w:val="004C27E8"/>
    <w:rsid w:val="004C282C"/>
    <w:rsid w:val="004C288A"/>
    <w:rsid w:val="004C28A8"/>
    <w:rsid w:val="004C28D2"/>
    <w:rsid w:val="004C2935"/>
    <w:rsid w:val="004C29B0"/>
    <w:rsid w:val="004C29E3"/>
    <w:rsid w:val="004C2A09"/>
    <w:rsid w:val="004C2A54"/>
    <w:rsid w:val="004C2A91"/>
    <w:rsid w:val="004C2B03"/>
    <w:rsid w:val="004C2B28"/>
    <w:rsid w:val="004C2B89"/>
    <w:rsid w:val="004C2B96"/>
    <w:rsid w:val="004C2B9D"/>
    <w:rsid w:val="004C2C20"/>
    <w:rsid w:val="004C2C2D"/>
    <w:rsid w:val="004C2C3F"/>
    <w:rsid w:val="004C2C9B"/>
    <w:rsid w:val="004C2CFE"/>
    <w:rsid w:val="004C2CFF"/>
    <w:rsid w:val="004C2D3E"/>
    <w:rsid w:val="004C2D4D"/>
    <w:rsid w:val="004C2D5D"/>
    <w:rsid w:val="004C2D63"/>
    <w:rsid w:val="004C2D6E"/>
    <w:rsid w:val="004C2D80"/>
    <w:rsid w:val="004C2DCA"/>
    <w:rsid w:val="004C2DE0"/>
    <w:rsid w:val="004C2E0F"/>
    <w:rsid w:val="004C2E8C"/>
    <w:rsid w:val="004C2EA8"/>
    <w:rsid w:val="004C2EBD"/>
    <w:rsid w:val="004C2F25"/>
    <w:rsid w:val="004C2F34"/>
    <w:rsid w:val="004C2F62"/>
    <w:rsid w:val="004C2F71"/>
    <w:rsid w:val="004C303D"/>
    <w:rsid w:val="004C30AC"/>
    <w:rsid w:val="004C30B2"/>
    <w:rsid w:val="004C30E5"/>
    <w:rsid w:val="004C3112"/>
    <w:rsid w:val="004C3119"/>
    <w:rsid w:val="004C3130"/>
    <w:rsid w:val="004C3199"/>
    <w:rsid w:val="004C31C6"/>
    <w:rsid w:val="004C31F2"/>
    <w:rsid w:val="004C3213"/>
    <w:rsid w:val="004C3223"/>
    <w:rsid w:val="004C3243"/>
    <w:rsid w:val="004C324C"/>
    <w:rsid w:val="004C32C7"/>
    <w:rsid w:val="004C32EF"/>
    <w:rsid w:val="004C33E5"/>
    <w:rsid w:val="004C3405"/>
    <w:rsid w:val="004C3445"/>
    <w:rsid w:val="004C347D"/>
    <w:rsid w:val="004C3487"/>
    <w:rsid w:val="004C34B1"/>
    <w:rsid w:val="004C34BB"/>
    <w:rsid w:val="004C3532"/>
    <w:rsid w:val="004C3549"/>
    <w:rsid w:val="004C3567"/>
    <w:rsid w:val="004C35B6"/>
    <w:rsid w:val="004C35EC"/>
    <w:rsid w:val="004C366B"/>
    <w:rsid w:val="004C366F"/>
    <w:rsid w:val="004C36A9"/>
    <w:rsid w:val="004C36DC"/>
    <w:rsid w:val="004C36FF"/>
    <w:rsid w:val="004C3732"/>
    <w:rsid w:val="004C3785"/>
    <w:rsid w:val="004C3792"/>
    <w:rsid w:val="004C3796"/>
    <w:rsid w:val="004C37D6"/>
    <w:rsid w:val="004C380B"/>
    <w:rsid w:val="004C385C"/>
    <w:rsid w:val="004C389E"/>
    <w:rsid w:val="004C38B8"/>
    <w:rsid w:val="004C38D0"/>
    <w:rsid w:val="004C38D5"/>
    <w:rsid w:val="004C39CF"/>
    <w:rsid w:val="004C39E2"/>
    <w:rsid w:val="004C3A70"/>
    <w:rsid w:val="004C3A85"/>
    <w:rsid w:val="004C3B18"/>
    <w:rsid w:val="004C3B56"/>
    <w:rsid w:val="004C3B64"/>
    <w:rsid w:val="004C3B69"/>
    <w:rsid w:val="004C3BAC"/>
    <w:rsid w:val="004C3BD4"/>
    <w:rsid w:val="004C3BE1"/>
    <w:rsid w:val="004C3C28"/>
    <w:rsid w:val="004C3C4C"/>
    <w:rsid w:val="004C3C63"/>
    <w:rsid w:val="004C3C68"/>
    <w:rsid w:val="004C3CBE"/>
    <w:rsid w:val="004C3CC9"/>
    <w:rsid w:val="004C3CF6"/>
    <w:rsid w:val="004C3D27"/>
    <w:rsid w:val="004C3D3E"/>
    <w:rsid w:val="004C3D8A"/>
    <w:rsid w:val="004C3D8B"/>
    <w:rsid w:val="004C3DB9"/>
    <w:rsid w:val="004C3E50"/>
    <w:rsid w:val="004C3ED6"/>
    <w:rsid w:val="004C3F08"/>
    <w:rsid w:val="004C3F96"/>
    <w:rsid w:val="004C3FFE"/>
    <w:rsid w:val="004C4037"/>
    <w:rsid w:val="004C4043"/>
    <w:rsid w:val="004C404A"/>
    <w:rsid w:val="004C4077"/>
    <w:rsid w:val="004C40B1"/>
    <w:rsid w:val="004C4188"/>
    <w:rsid w:val="004C419B"/>
    <w:rsid w:val="004C4259"/>
    <w:rsid w:val="004C427C"/>
    <w:rsid w:val="004C42AB"/>
    <w:rsid w:val="004C4392"/>
    <w:rsid w:val="004C4419"/>
    <w:rsid w:val="004C447F"/>
    <w:rsid w:val="004C44C0"/>
    <w:rsid w:val="004C44C1"/>
    <w:rsid w:val="004C44C7"/>
    <w:rsid w:val="004C4505"/>
    <w:rsid w:val="004C4513"/>
    <w:rsid w:val="004C46AF"/>
    <w:rsid w:val="004C46B6"/>
    <w:rsid w:val="004C46CC"/>
    <w:rsid w:val="004C46D3"/>
    <w:rsid w:val="004C46F0"/>
    <w:rsid w:val="004C46F4"/>
    <w:rsid w:val="004C46F6"/>
    <w:rsid w:val="004C4715"/>
    <w:rsid w:val="004C4733"/>
    <w:rsid w:val="004C4794"/>
    <w:rsid w:val="004C47AB"/>
    <w:rsid w:val="004C4843"/>
    <w:rsid w:val="004C4853"/>
    <w:rsid w:val="004C485C"/>
    <w:rsid w:val="004C4869"/>
    <w:rsid w:val="004C487B"/>
    <w:rsid w:val="004C4896"/>
    <w:rsid w:val="004C48C7"/>
    <w:rsid w:val="004C4931"/>
    <w:rsid w:val="004C4957"/>
    <w:rsid w:val="004C497E"/>
    <w:rsid w:val="004C49AA"/>
    <w:rsid w:val="004C49B6"/>
    <w:rsid w:val="004C49F8"/>
    <w:rsid w:val="004C4A3F"/>
    <w:rsid w:val="004C4A5E"/>
    <w:rsid w:val="004C4A60"/>
    <w:rsid w:val="004C4AA9"/>
    <w:rsid w:val="004C4AC7"/>
    <w:rsid w:val="004C4AC9"/>
    <w:rsid w:val="004C4ACA"/>
    <w:rsid w:val="004C4AE9"/>
    <w:rsid w:val="004C4B31"/>
    <w:rsid w:val="004C4B79"/>
    <w:rsid w:val="004C4BE7"/>
    <w:rsid w:val="004C4BF4"/>
    <w:rsid w:val="004C4C3A"/>
    <w:rsid w:val="004C4CCC"/>
    <w:rsid w:val="004C4D15"/>
    <w:rsid w:val="004C4D4F"/>
    <w:rsid w:val="004C4D7F"/>
    <w:rsid w:val="004C4D84"/>
    <w:rsid w:val="004C4D99"/>
    <w:rsid w:val="004C4DA8"/>
    <w:rsid w:val="004C4DBD"/>
    <w:rsid w:val="004C4DD5"/>
    <w:rsid w:val="004C4DE9"/>
    <w:rsid w:val="004C4DF7"/>
    <w:rsid w:val="004C4E3A"/>
    <w:rsid w:val="004C4EFF"/>
    <w:rsid w:val="004C4F30"/>
    <w:rsid w:val="004C4F5E"/>
    <w:rsid w:val="004C4F93"/>
    <w:rsid w:val="004C4FC1"/>
    <w:rsid w:val="004C4FE6"/>
    <w:rsid w:val="004C5037"/>
    <w:rsid w:val="004C5047"/>
    <w:rsid w:val="004C506A"/>
    <w:rsid w:val="004C5092"/>
    <w:rsid w:val="004C5198"/>
    <w:rsid w:val="004C520F"/>
    <w:rsid w:val="004C521A"/>
    <w:rsid w:val="004C5245"/>
    <w:rsid w:val="004C527F"/>
    <w:rsid w:val="004C5285"/>
    <w:rsid w:val="004C52B9"/>
    <w:rsid w:val="004C52DE"/>
    <w:rsid w:val="004C52E2"/>
    <w:rsid w:val="004C5329"/>
    <w:rsid w:val="004C535D"/>
    <w:rsid w:val="004C5360"/>
    <w:rsid w:val="004C536F"/>
    <w:rsid w:val="004C537E"/>
    <w:rsid w:val="004C53C0"/>
    <w:rsid w:val="004C53C6"/>
    <w:rsid w:val="004C53D6"/>
    <w:rsid w:val="004C5411"/>
    <w:rsid w:val="004C5435"/>
    <w:rsid w:val="004C543A"/>
    <w:rsid w:val="004C543F"/>
    <w:rsid w:val="004C544B"/>
    <w:rsid w:val="004C54C8"/>
    <w:rsid w:val="004C54DA"/>
    <w:rsid w:val="004C54F8"/>
    <w:rsid w:val="004C5512"/>
    <w:rsid w:val="004C5544"/>
    <w:rsid w:val="004C558D"/>
    <w:rsid w:val="004C559C"/>
    <w:rsid w:val="004C5601"/>
    <w:rsid w:val="004C5624"/>
    <w:rsid w:val="004C5656"/>
    <w:rsid w:val="004C572A"/>
    <w:rsid w:val="004C576F"/>
    <w:rsid w:val="004C578E"/>
    <w:rsid w:val="004C57DD"/>
    <w:rsid w:val="004C583C"/>
    <w:rsid w:val="004C58DE"/>
    <w:rsid w:val="004C58F5"/>
    <w:rsid w:val="004C590E"/>
    <w:rsid w:val="004C590F"/>
    <w:rsid w:val="004C5943"/>
    <w:rsid w:val="004C5971"/>
    <w:rsid w:val="004C599B"/>
    <w:rsid w:val="004C59CD"/>
    <w:rsid w:val="004C5A00"/>
    <w:rsid w:val="004C5A60"/>
    <w:rsid w:val="004C5A7F"/>
    <w:rsid w:val="004C5AA5"/>
    <w:rsid w:val="004C5AB2"/>
    <w:rsid w:val="004C5B1A"/>
    <w:rsid w:val="004C5B1D"/>
    <w:rsid w:val="004C5B3B"/>
    <w:rsid w:val="004C5B52"/>
    <w:rsid w:val="004C5B90"/>
    <w:rsid w:val="004C5B9B"/>
    <w:rsid w:val="004C5BA6"/>
    <w:rsid w:val="004C5BBE"/>
    <w:rsid w:val="004C5C0B"/>
    <w:rsid w:val="004C5C3D"/>
    <w:rsid w:val="004C5C7A"/>
    <w:rsid w:val="004C5C7D"/>
    <w:rsid w:val="004C5CA3"/>
    <w:rsid w:val="004C5CB4"/>
    <w:rsid w:val="004C5CC6"/>
    <w:rsid w:val="004C5CE0"/>
    <w:rsid w:val="004C5CE3"/>
    <w:rsid w:val="004C5D34"/>
    <w:rsid w:val="004C5D62"/>
    <w:rsid w:val="004C5D6F"/>
    <w:rsid w:val="004C5D9F"/>
    <w:rsid w:val="004C5DD3"/>
    <w:rsid w:val="004C5DDE"/>
    <w:rsid w:val="004C5DEB"/>
    <w:rsid w:val="004C5E0D"/>
    <w:rsid w:val="004C5E5C"/>
    <w:rsid w:val="004C5E65"/>
    <w:rsid w:val="004C5EBD"/>
    <w:rsid w:val="004C5EFA"/>
    <w:rsid w:val="004C5EFC"/>
    <w:rsid w:val="004C5F02"/>
    <w:rsid w:val="004C5F03"/>
    <w:rsid w:val="004C5F28"/>
    <w:rsid w:val="004C5F31"/>
    <w:rsid w:val="004C5F50"/>
    <w:rsid w:val="004C5F66"/>
    <w:rsid w:val="004C5F7A"/>
    <w:rsid w:val="004C5F81"/>
    <w:rsid w:val="004C5FA3"/>
    <w:rsid w:val="004C5FA6"/>
    <w:rsid w:val="004C5FB3"/>
    <w:rsid w:val="004C600B"/>
    <w:rsid w:val="004C602B"/>
    <w:rsid w:val="004C602F"/>
    <w:rsid w:val="004C6062"/>
    <w:rsid w:val="004C6081"/>
    <w:rsid w:val="004C60B5"/>
    <w:rsid w:val="004C60DF"/>
    <w:rsid w:val="004C6103"/>
    <w:rsid w:val="004C6109"/>
    <w:rsid w:val="004C6161"/>
    <w:rsid w:val="004C6185"/>
    <w:rsid w:val="004C6199"/>
    <w:rsid w:val="004C619B"/>
    <w:rsid w:val="004C61B8"/>
    <w:rsid w:val="004C61EB"/>
    <w:rsid w:val="004C620D"/>
    <w:rsid w:val="004C621F"/>
    <w:rsid w:val="004C6225"/>
    <w:rsid w:val="004C622D"/>
    <w:rsid w:val="004C6241"/>
    <w:rsid w:val="004C6242"/>
    <w:rsid w:val="004C62AC"/>
    <w:rsid w:val="004C62FB"/>
    <w:rsid w:val="004C6342"/>
    <w:rsid w:val="004C6352"/>
    <w:rsid w:val="004C637E"/>
    <w:rsid w:val="004C63E1"/>
    <w:rsid w:val="004C645B"/>
    <w:rsid w:val="004C6461"/>
    <w:rsid w:val="004C648B"/>
    <w:rsid w:val="004C6497"/>
    <w:rsid w:val="004C64BA"/>
    <w:rsid w:val="004C64ED"/>
    <w:rsid w:val="004C654A"/>
    <w:rsid w:val="004C655E"/>
    <w:rsid w:val="004C6577"/>
    <w:rsid w:val="004C6587"/>
    <w:rsid w:val="004C659E"/>
    <w:rsid w:val="004C6601"/>
    <w:rsid w:val="004C6605"/>
    <w:rsid w:val="004C6631"/>
    <w:rsid w:val="004C66A6"/>
    <w:rsid w:val="004C66B5"/>
    <w:rsid w:val="004C66FE"/>
    <w:rsid w:val="004C6730"/>
    <w:rsid w:val="004C67B0"/>
    <w:rsid w:val="004C67B4"/>
    <w:rsid w:val="004C67FD"/>
    <w:rsid w:val="004C681C"/>
    <w:rsid w:val="004C6859"/>
    <w:rsid w:val="004C6899"/>
    <w:rsid w:val="004C689C"/>
    <w:rsid w:val="004C68AC"/>
    <w:rsid w:val="004C698A"/>
    <w:rsid w:val="004C69AC"/>
    <w:rsid w:val="004C69DB"/>
    <w:rsid w:val="004C69E2"/>
    <w:rsid w:val="004C6A29"/>
    <w:rsid w:val="004C6A45"/>
    <w:rsid w:val="004C6AC0"/>
    <w:rsid w:val="004C6AE7"/>
    <w:rsid w:val="004C6B56"/>
    <w:rsid w:val="004C6BD9"/>
    <w:rsid w:val="004C6C14"/>
    <w:rsid w:val="004C6C15"/>
    <w:rsid w:val="004C6C38"/>
    <w:rsid w:val="004C6C91"/>
    <w:rsid w:val="004C6D27"/>
    <w:rsid w:val="004C6D54"/>
    <w:rsid w:val="004C6D87"/>
    <w:rsid w:val="004C6DB1"/>
    <w:rsid w:val="004C6DBB"/>
    <w:rsid w:val="004C6DCE"/>
    <w:rsid w:val="004C6E35"/>
    <w:rsid w:val="004C6E58"/>
    <w:rsid w:val="004C6E7D"/>
    <w:rsid w:val="004C6E82"/>
    <w:rsid w:val="004C6E96"/>
    <w:rsid w:val="004C6F37"/>
    <w:rsid w:val="004C6F6F"/>
    <w:rsid w:val="004C6F7B"/>
    <w:rsid w:val="004C6F86"/>
    <w:rsid w:val="004C7104"/>
    <w:rsid w:val="004C7128"/>
    <w:rsid w:val="004C7154"/>
    <w:rsid w:val="004C719A"/>
    <w:rsid w:val="004C71E5"/>
    <w:rsid w:val="004C7201"/>
    <w:rsid w:val="004C7208"/>
    <w:rsid w:val="004C723B"/>
    <w:rsid w:val="004C727B"/>
    <w:rsid w:val="004C729E"/>
    <w:rsid w:val="004C730C"/>
    <w:rsid w:val="004C735E"/>
    <w:rsid w:val="004C736B"/>
    <w:rsid w:val="004C739C"/>
    <w:rsid w:val="004C73D7"/>
    <w:rsid w:val="004C73D8"/>
    <w:rsid w:val="004C7403"/>
    <w:rsid w:val="004C7435"/>
    <w:rsid w:val="004C74CE"/>
    <w:rsid w:val="004C75CC"/>
    <w:rsid w:val="004C7615"/>
    <w:rsid w:val="004C7627"/>
    <w:rsid w:val="004C7688"/>
    <w:rsid w:val="004C76A5"/>
    <w:rsid w:val="004C76C4"/>
    <w:rsid w:val="004C76C6"/>
    <w:rsid w:val="004C76D3"/>
    <w:rsid w:val="004C770B"/>
    <w:rsid w:val="004C7717"/>
    <w:rsid w:val="004C7729"/>
    <w:rsid w:val="004C7791"/>
    <w:rsid w:val="004C77F8"/>
    <w:rsid w:val="004C7819"/>
    <w:rsid w:val="004C7828"/>
    <w:rsid w:val="004C783B"/>
    <w:rsid w:val="004C7938"/>
    <w:rsid w:val="004C794F"/>
    <w:rsid w:val="004C795A"/>
    <w:rsid w:val="004C796A"/>
    <w:rsid w:val="004C7979"/>
    <w:rsid w:val="004C79BB"/>
    <w:rsid w:val="004C79D1"/>
    <w:rsid w:val="004C7A06"/>
    <w:rsid w:val="004C7AE2"/>
    <w:rsid w:val="004C7AED"/>
    <w:rsid w:val="004C7B22"/>
    <w:rsid w:val="004C7B4B"/>
    <w:rsid w:val="004C7B5C"/>
    <w:rsid w:val="004C7B9D"/>
    <w:rsid w:val="004C7BCE"/>
    <w:rsid w:val="004C7C1D"/>
    <w:rsid w:val="004C7C3B"/>
    <w:rsid w:val="004C7C54"/>
    <w:rsid w:val="004C7C56"/>
    <w:rsid w:val="004C7C7F"/>
    <w:rsid w:val="004C7C8D"/>
    <w:rsid w:val="004C7CC7"/>
    <w:rsid w:val="004C7CCD"/>
    <w:rsid w:val="004C7D67"/>
    <w:rsid w:val="004C7D69"/>
    <w:rsid w:val="004C7DE7"/>
    <w:rsid w:val="004C7DF0"/>
    <w:rsid w:val="004C7DF2"/>
    <w:rsid w:val="004C7E08"/>
    <w:rsid w:val="004C7E67"/>
    <w:rsid w:val="004C7E8D"/>
    <w:rsid w:val="004C7EF1"/>
    <w:rsid w:val="004C7F43"/>
    <w:rsid w:val="004C7F59"/>
    <w:rsid w:val="004C7F85"/>
    <w:rsid w:val="004C7FA8"/>
    <w:rsid w:val="004C7FC7"/>
    <w:rsid w:val="004C7FEA"/>
    <w:rsid w:val="004C7FF6"/>
    <w:rsid w:val="004D0010"/>
    <w:rsid w:val="004D004E"/>
    <w:rsid w:val="004D0083"/>
    <w:rsid w:val="004D00AD"/>
    <w:rsid w:val="004D00C4"/>
    <w:rsid w:val="004D00CA"/>
    <w:rsid w:val="004D014F"/>
    <w:rsid w:val="004D0163"/>
    <w:rsid w:val="004D0173"/>
    <w:rsid w:val="004D01F3"/>
    <w:rsid w:val="004D020C"/>
    <w:rsid w:val="004D0267"/>
    <w:rsid w:val="004D026E"/>
    <w:rsid w:val="004D0274"/>
    <w:rsid w:val="004D02A2"/>
    <w:rsid w:val="004D02B0"/>
    <w:rsid w:val="004D0329"/>
    <w:rsid w:val="004D0375"/>
    <w:rsid w:val="004D037E"/>
    <w:rsid w:val="004D041C"/>
    <w:rsid w:val="004D0459"/>
    <w:rsid w:val="004D046D"/>
    <w:rsid w:val="004D049B"/>
    <w:rsid w:val="004D04B7"/>
    <w:rsid w:val="004D04E1"/>
    <w:rsid w:val="004D0552"/>
    <w:rsid w:val="004D057A"/>
    <w:rsid w:val="004D05AC"/>
    <w:rsid w:val="004D05C3"/>
    <w:rsid w:val="004D065C"/>
    <w:rsid w:val="004D0667"/>
    <w:rsid w:val="004D0696"/>
    <w:rsid w:val="004D06B1"/>
    <w:rsid w:val="004D06FA"/>
    <w:rsid w:val="004D0733"/>
    <w:rsid w:val="004D07D7"/>
    <w:rsid w:val="004D0809"/>
    <w:rsid w:val="004D0817"/>
    <w:rsid w:val="004D084E"/>
    <w:rsid w:val="004D0854"/>
    <w:rsid w:val="004D085B"/>
    <w:rsid w:val="004D085E"/>
    <w:rsid w:val="004D0867"/>
    <w:rsid w:val="004D0882"/>
    <w:rsid w:val="004D08A3"/>
    <w:rsid w:val="004D08B9"/>
    <w:rsid w:val="004D08E5"/>
    <w:rsid w:val="004D08FB"/>
    <w:rsid w:val="004D08FC"/>
    <w:rsid w:val="004D09A0"/>
    <w:rsid w:val="004D09B2"/>
    <w:rsid w:val="004D09C8"/>
    <w:rsid w:val="004D09D0"/>
    <w:rsid w:val="004D09ED"/>
    <w:rsid w:val="004D0A0D"/>
    <w:rsid w:val="004D0A7A"/>
    <w:rsid w:val="004D0AB8"/>
    <w:rsid w:val="004D0AC8"/>
    <w:rsid w:val="004D0AE0"/>
    <w:rsid w:val="004D0AED"/>
    <w:rsid w:val="004D0AF7"/>
    <w:rsid w:val="004D0B05"/>
    <w:rsid w:val="004D0B32"/>
    <w:rsid w:val="004D0BCF"/>
    <w:rsid w:val="004D0BEA"/>
    <w:rsid w:val="004D0BFA"/>
    <w:rsid w:val="004D0BFE"/>
    <w:rsid w:val="004D0C01"/>
    <w:rsid w:val="004D0C23"/>
    <w:rsid w:val="004D0C40"/>
    <w:rsid w:val="004D0C52"/>
    <w:rsid w:val="004D0C6F"/>
    <w:rsid w:val="004D0CBF"/>
    <w:rsid w:val="004D0CDF"/>
    <w:rsid w:val="004D0D77"/>
    <w:rsid w:val="004D0D84"/>
    <w:rsid w:val="004D0D9F"/>
    <w:rsid w:val="004D0DA3"/>
    <w:rsid w:val="004D0DBE"/>
    <w:rsid w:val="004D0E60"/>
    <w:rsid w:val="004D0EA7"/>
    <w:rsid w:val="004D0EFA"/>
    <w:rsid w:val="004D0F17"/>
    <w:rsid w:val="004D0F1D"/>
    <w:rsid w:val="004D0F59"/>
    <w:rsid w:val="004D0F5C"/>
    <w:rsid w:val="004D0F5E"/>
    <w:rsid w:val="004D0F94"/>
    <w:rsid w:val="004D0FD4"/>
    <w:rsid w:val="004D1046"/>
    <w:rsid w:val="004D1059"/>
    <w:rsid w:val="004D108A"/>
    <w:rsid w:val="004D10C0"/>
    <w:rsid w:val="004D10D4"/>
    <w:rsid w:val="004D1164"/>
    <w:rsid w:val="004D11AC"/>
    <w:rsid w:val="004D120B"/>
    <w:rsid w:val="004D122E"/>
    <w:rsid w:val="004D123B"/>
    <w:rsid w:val="004D129A"/>
    <w:rsid w:val="004D12AD"/>
    <w:rsid w:val="004D12B2"/>
    <w:rsid w:val="004D12DB"/>
    <w:rsid w:val="004D132A"/>
    <w:rsid w:val="004D15B8"/>
    <w:rsid w:val="004D15E3"/>
    <w:rsid w:val="004D160E"/>
    <w:rsid w:val="004D161F"/>
    <w:rsid w:val="004D164B"/>
    <w:rsid w:val="004D1676"/>
    <w:rsid w:val="004D16B1"/>
    <w:rsid w:val="004D16EE"/>
    <w:rsid w:val="004D1732"/>
    <w:rsid w:val="004D1745"/>
    <w:rsid w:val="004D1799"/>
    <w:rsid w:val="004D179E"/>
    <w:rsid w:val="004D17CF"/>
    <w:rsid w:val="004D181A"/>
    <w:rsid w:val="004D18AA"/>
    <w:rsid w:val="004D18C0"/>
    <w:rsid w:val="004D19F9"/>
    <w:rsid w:val="004D1A36"/>
    <w:rsid w:val="004D1A44"/>
    <w:rsid w:val="004D1A6E"/>
    <w:rsid w:val="004D1A9E"/>
    <w:rsid w:val="004D1AA0"/>
    <w:rsid w:val="004D1AED"/>
    <w:rsid w:val="004D1B10"/>
    <w:rsid w:val="004D1B34"/>
    <w:rsid w:val="004D1B3C"/>
    <w:rsid w:val="004D1B95"/>
    <w:rsid w:val="004D1B9E"/>
    <w:rsid w:val="004D1CBA"/>
    <w:rsid w:val="004D1CDF"/>
    <w:rsid w:val="004D1CEF"/>
    <w:rsid w:val="004D1D05"/>
    <w:rsid w:val="004D1D10"/>
    <w:rsid w:val="004D1DAD"/>
    <w:rsid w:val="004D1DF0"/>
    <w:rsid w:val="004D1DF2"/>
    <w:rsid w:val="004D1E1C"/>
    <w:rsid w:val="004D1E62"/>
    <w:rsid w:val="004D1E88"/>
    <w:rsid w:val="004D1ECF"/>
    <w:rsid w:val="004D1EF1"/>
    <w:rsid w:val="004D1F32"/>
    <w:rsid w:val="004D1FAD"/>
    <w:rsid w:val="004D1FFE"/>
    <w:rsid w:val="004D201A"/>
    <w:rsid w:val="004D203F"/>
    <w:rsid w:val="004D2056"/>
    <w:rsid w:val="004D2077"/>
    <w:rsid w:val="004D20A1"/>
    <w:rsid w:val="004D2149"/>
    <w:rsid w:val="004D2166"/>
    <w:rsid w:val="004D219F"/>
    <w:rsid w:val="004D222E"/>
    <w:rsid w:val="004D223F"/>
    <w:rsid w:val="004D229C"/>
    <w:rsid w:val="004D22A7"/>
    <w:rsid w:val="004D22AA"/>
    <w:rsid w:val="004D22B4"/>
    <w:rsid w:val="004D22F0"/>
    <w:rsid w:val="004D2350"/>
    <w:rsid w:val="004D235F"/>
    <w:rsid w:val="004D2377"/>
    <w:rsid w:val="004D239D"/>
    <w:rsid w:val="004D2416"/>
    <w:rsid w:val="004D2467"/>
    <w:rsid w:val="004D24B6"/>
    <w:rsid w:val="004D24CF"/>
    <w:rsid w:val="004D24E4"/>
    <w:rsid w:val="004D257F"/>
    <w:rsid w:val="004D25C3"/>
    <w:rsid w:val="004D25C4"/>
    <w:rsid w:val="004D25EA"/>
    <w:rsid w:val="004D264E"/>
    <w:rsid w:val="004D2675"/>
    <w:rsid w:val="004D2692"/>
    <w:rsid w:val="004D269C"/>
    <w:rsid w:val="004D26B9"/>
    <w:rsid w:val="004D26D1"/>
    <w:rsid w:val="004D2791"/>
    <w:rsid w:val="004D27A1"/>
    <w:rsid w:val="004D27ED"/>
    <w:rsid w:val="004D2852"/>
    <w:rsid w:val="004D28FC"/>
    <w:rsid w:val="004D2922"/>
    <w:rsid w:val="004D2928"/>
    <w:rsid w:val="004D2944"/>
    <w:rsid w:val="004D2996"/>
    <w:rsid w:val="004D29A3"/>
    <w:rsid w:val="004D29FB"/>
    <w:rsid w:val="004D2A48"/>
    <w:rsid w:val="004D2A79"/>
    <w:rsid w:val="004D2AA7"/>
    <w:rsid w:val="004D2ADF"/>
    <w:rsid w:val="004D2B0D"/>
    <w:rsid w:val="004D2B22"/>
    <w:rsid w:val="004D2B3A"/>
    <w:rsid w:val="004D2B43"/>
    <w:rsid w:val="004D2B7D"/>
    <w:rsid w:val="004D2B9E"/>
    <w:rsid w:val="004D2BAC"/>
    <w:rsid w:val="004D2BBE"/>
    <w:rsid w:val="004D2C02"/>
    <w:rsid w:val="004D2C1E"/>
    <w:rsid w:val="004D2C3A"/>
    <w:rsid w:val="004D2C78"/>
    <w:rsid w:val="004D2D52"/>
    <w:rsid w:val="004D2D72"/>
    <w:rsid w:val="004D2E37"/>
    <w:rsid w:val="004D2E40"/>
    <w:rsid w:val="004D2E84"/>
    <w:rsid w:val="004D2E96"/>
    <w:rsid w:val="004D2EB1"/>
    <w:rsid w:val="004D2EB4"/>
    <w:rsid w:val="004D2F02"/>
    <w:rsid w:val="004D2F15"/>
    <w:rsid w:val="004D2F4C"/>
    <w:rsid w:val="004D2F96"/>
    <w:rsid w:val="004D2FA0"/>
    <w:rsid w:val="004D301B"/>
    <w:rsid w:val="004D3127"/>
    <w:rsid w:val="004D316E"/>
    <w:rsid w:val="004D318C"/>
    <w:rsid w:val="004D31B7"/>
    <w:rsid w:val="004D31F7"/>
    <w:rsid w:val="004D324D"/>
    <w:rsid w:val="004D3297"/>
    <w:rsid w:val="004D32A4"/>
    <w:rsid w:val="004D32B7"/>
    <w:rsid w:val="004D32C9"/>
    <w:rsid w:val="004D32D2"/>
    <w:rsid w:val="004D331F"/>
    <w:rsid w:val="004D3359"/>
    <w:rsid w:val="004D3376"/>
    <w:rsid w:val="004D3392"/>
    <w:rsid w:val="004D341B"/>
    <w:rsid w:val="004D3422"/>
    <w:rsid w:val="004D3432"/>
    <w:rsid w:val="004D3435"/>
    <w:rsid w:val="004D3470"/>
    <w:rsid w:val="004D34AA"/>
    <w:rsid w:val="004D34B9"/>
    <w:rsid w:val="004D34CC"/>
    <w:rsid w:val="004D3518"/>
    <w:rsid w:val="004D3538"/>
    <w:rsid w:val="004D3540"/>
    <w:rsid w:val="004D358C"/>
    <w:rsid w:val="004D3598"/>
    <w:rsid w:val="004D35B2"/>
    <w:rsid w:val="004D35CF"/>
    <w:rsid w:val="004D35EF"/>
    <w:rsid w:val="004D361E"/>
    <w:rsid w:val="004D376B"/>
    <w:rsid w:val="004D376E"/>
    <w:rsid w:val="004D377C"/>
    <w:rsid w:val="004D378F"/>
    <w:rsid w:val="004D385C"/>
    <w:rsid w:val="004D38A3"/>
    <w:rsid w:val="004D38BC"/>
    <w:rsid w:val="004D3915"/>
    <w:rsid w:val="004D394A"/>
    <w:rsid w:val="004D3958"/>
    <w:rsid w:val="004D396A"/>
    <w:rsid w:val="004D39C6"/>
    <w:rsid w:val="004D3A5B"/>
    <w:rsid w:val="004D3A5D"/>
    <w:rsid w:val="004D3AAE"/>
    <w:rsid w:val="004D3AFD"/>
    <w:rsid w:val="004D3B25"/>
    <w:rsid w:val="004D3B3A"/>
    <w:rsid w:val="004D3B3B"/>
    <w:rsid w:val="004D3C04"/>
    <w:rsid w:val="004D3C2E"/>
    <w:rsid w:val="004D3C4F"/>
    <w:rsid w:val="004D3C70"/>
    <w:rsid w:val="004D3C83"/>
    <w:rsid w:val="004D3C93"/>
    <w:rsid w:val="004D3CA0"/>
    <w:rsid w:val="004D3D13"/>
    <w:rsid w:val="004D3D16"/>
    <w:rsid w:val="004D3D2D"/>
    <w:rsid w:val="004D3D49"/>
    <w:rsid w:val="004D3D7E"/>
    <w:rsid w:val="004D3DDE"/>
    <w:rsid w:val="004D3E05"/>
    <w:rsid w:val="004D3E09"/>
    <w:rsid w:val="004D3EA5"/>
    <w:rsid w:val="004D3EB1"/>
    <w:rsid w:val="004D3F85"/>
    <w:rsid w:val="004D3F8E"/>
    <w:rsid w:val="004D3F9F"/>
    <w:rsid w:val="004D3FD1"/>
    <w:rsid w:val="004D3FDA"/>
    <w:rsid w:val="004D3FE5"/>
    <w:rsid w:val="004D4004"/>
    <w:rsid w:val="004D406D"/>
    <w:rsid w:val="004D407A"/>
    <w:rsid w:val="004D40FF"/>
    <w:rsid w:val="004D412E"/>
    <w:rsid w:val="004D4145"/>
    <w:rsid w:val="004D414A"/>
    <w:rsid w:val="004D414D"/>
    <w:rsid w:val="004D4189"/>
    <w:rsid w:val="004D41A7"/>
    <w:rsid w:val="004D41EF"/>
    <w:rsid w:val="004D4223"/>
    <w:rsid w:val="004D4282"/>
    <w:rsid w:val="004D42A1"/>
    <w:rsid w:val="004D42CD"/>
    <w:rsid w:val="004D4383"/>
    <w:rsid w:val="004D43A1"/>
    <w:rsid w:val="004D43B0"/>
    <w:rsid w:val="004D43C2"/>
    <w:rsid w:val="004D43C7"/>
    <w:rsid w:val="004D440C"/>
    <w:rsid w:val="004D442B"/>
    <w:rsid w:val="004D44B3"/>
    <w:rsid w:val="004D44C1"/>
    <w:rsid w:val="004D4525"/>
    <w:rsid w:val="004D454C"/>
    <w:rsid w:val="004D454E"/>
    <w:rsid w:val="004D45BB"/>
    <w:rsid w:val="004D460C"/>
    <w:rsid w:val="004D460E"/>
    <w:rsid w:val="004D4638"/>
    <w:rsid w:val="004D464F"/>
    <w:rsid w:val="004D4653"/>
    <w:rsid w:val="004D46AB"/>
    <w:rsid w:val="004D46D3"/>
    <w:rsid w:val="004D46DC"/>
    <w:rsid w:val="004D471B"/>
    <w:rsid w:val="004D4763"/>
    <w:rsid w:val="004D4764"/>
    <w:rsid w:val="004D476B"/>
    <w:rsid w:val="004D47F7"/>
    <w:rsid w:val="004D4857"/>
    <w:rsid w:val="004D489A"/>
    <w:rsid w:val="004D48AE"/>
    <w:rsid w:val="004D48DB"/>
    <w:rsid w:val="004D494D"/>
    <w:rsid w:val="004D4974"/>
    <w:rsid w:val="004D49A8"/>
    <w:rsid w:val="004D4A2E"/>
    <w:rsid w:val="004D4A6D"/>
    <w:rsid w:val="004D4A80"/>
    <w:rsid w:val="004D4A93"/>
    <w:rsid w:val="004D4AFE"/>
    <w:rsid w:val="004D4B07"/>
    <w:rsid w:val="004D4B57"/>
    <w:rsid w:val="004D4B65"/>
    <w:rsid w:val="004D4B6E"/>
    <w:rsid w:val="004D4BF3"/>
    <w:rsid w:val="004D4C14"/>
    <w:rsid w:val="004D4C2B"/>
    <w:rsid w:val="004D4C43"/>
    <w:rsid w:val="004D4C91"/>
    <w:rsid w:val="004D4CB3"/>
    <w:rsid w:val="004D4CF3"/>
    <w:rsid w:val="004D4D19"/>
    <w:rsid w:val="004D4D3E"/>
    <w:rsid w:val="004D4D5A"/>
    <w:rsid w:val="004D4D5C"/>
    <w:rsid w:val="004D4D61"/>
    <w:rsid w:val="004D4D7A"/>
    <w:rsid w:val="004D4D8C"/>
    <w:rsid w:val="004D4DAD"/>
    <w:rsid w:val="004D4DAF"/>
    <w:rsid w:val="004D4DD0"/>
    <w:rsid w:val="004D4DF5"/>
    <w:rsid w:val="004D4E65"/>
    <w:rsid w:val="004D4E67"/>
    <w:rsid w:val="004D4E77"/>
    <w:rsid w:val="004D4E7A"/>
    <w:rsid w:val="004D4F01"/>
    <w:rsid w:val="004D4F64"/>
    <w:rsid w:val="004D4FA8"/>
    <w:rsid w:val="004D501B"/>
    <w:rsid w:val="004D50B4"/>
    <w:rsid w:val="004D50C3"/>
    <w:rsid w:val="004D50C6"/>
    <w:rsid w:val="004D50DD"/>
    <w:rsid w:val="004D50F8"/>
    <w:rsid w:val="004D512F"/>
    <w:rsid w:val="004D5176"/>
    <w:rsid w:val="004D5196"/>
    <w:rsid w:val="004D51B4"/>
    <w:rsid w:val="004D5250"/>
    <w:rsid w:val="004D53AB"/>
    <w:rsid w:val="004D53FB"/>
    <w:rsid w:val="004D5402"/>
    <w:rsid w:val="004D5408"/>
    <w:rsid w:val="004D5409"/>
    <w:rsid w:val="004D541B"/>
    <w:rsid w:val="004D544E"/>
    <w:rsid w:val="004D5463"/>
    <w:rsid w:val="004D54B5"/>
    <w:rsid w:val="004D54EF"/>
    <w:rsid w:val="004D54FA"/>
    <w:rsid w:val="004D554D"/>
    <w:rsid w:val="004D557B"/>
    <w:rsid w:val="004D55A0"/>
    <w:rsid w:val="004D55A1"/>
    <w:rsid w:val="004D55EA"/>
    <w:rsid w:val="004D55EB"/>
    <w:rsid w:val="004D570A"/>
    <w:rsid w:val="004D571B"/>
    <w:rsid w:val="004D573F"/>
    <w:rsid w:val="004D5740"/>
    <w:rsid w:val="004D57A7"/>
    <w:rsid w:val="004D57AB"/>
    <w:rsid w:val="004D57B8"/>
    <w:rsid w:val="004D57C9"/>
    <w:rsid w:val="004D57D1"/>
    <w:rsid w:val="004D57DB"/>
    <w:rsid w:val="004D57ED"/>
    <w:rsid w:val="004D586D"/>
    <w:rsid w:val="004D589B"/>
    <w:rsid w:val="004D58C9"/>
    <w:rsid w:val="004D58EE"/>
    <w:rsid w:val="004D5957"/>
    <w:rsid w:val="004D5997"/>
    <w:rsid w:val="004D5A20"/>
    <w:rsid w:val="004D5A44"/>
    <w:rsid w:val="004D5A76"/>
    <w:rsid w:val="004D5AAB"/>
    <w:rsid w:val="004D5AD6"/>
    <w:rsid w:val="004D5AFB"/>
    <w:rsid w:val="004D5BB2"/>
    <w:rsid w:val="004D5BE0"/>
    <w:rsid w:val="004D5C6D"/>
    <w:rsid w:val="004D5CAA"/>
    <w:rsid w:val="004D5CDF"/>
    <w:rsid w:val="004D5CE7"/>
    <w:rsid w:val="004D5CF1"/>
    <w:rsid w:val="004D5D31"/>
    <w:rsid w:val="004D5D36"/>
    <w:rsid w:val="004D5D50"/>
    <w:rsid w:val="004D5D52"/>
    <w:rsid w:val="004D5DF8"/>
    <w:rsid w:val="004D5E07"/>
    <w:rsid w:val="004D5E34"/>
    <w:rsid w:val="004D5E3C"/>
    <w:rsid w:val="004D5E5C"/>
    <w:rsid w:val="004D5EF6"/>
    <w:rsid w:val="004D5F5B"/>
    <w:rsid w:val="004D5F91"/>
    <w:rsid w:val="004D5F94"/>
    <w:rsid w:val="004D5FB2"/>
    <w:rsid w:val="004D5FBB"/>
    <w:rsid w:val="004D5FF0"/>
    <w:rsid w:val="004D602E"/>
    <w:rsid w:val="004D60DE"/>
    <w:rsid w:val="004D6141"/>
    <w:rsid w:val="004D614E"/>
    <w:rsid w:val="004D615B"/>
    <w:rsid w:val="004D6179"/>
    <w:rsid w:val="004D6199"/>
    <w:rsid w:val="004D6206"/>
    <w:rsid w:val="004D6221"/>
    <w:rsid w:val="004D62A2"/>
    <w:rsid w:val="004D62AB"/>
    <w:rsid w:val="004D62E7"/>
    <w:rsid w:val="004D6367"/>
    <w:rsid w:val="004D63B4"/>
    <w:rsid w:val="004D6444"/>
    <w:rsid w:val="004D64D1"/>
    <w:rsid w:val="004D64F5"/>
    <w:rsid w:val="004D6580"/>
    <w:rsid w:val="004D65A9"/>
    <w:rsid w:val="004D65CD"/>
    <w:rsid w:val="004D6611"/>
    <w:rsid w:val="004D663C"/>
    <w:rsid w:val="004D6684"/>
    <w:rsid w:val="004D670A"/>
    <w:rsid w:val="004D671E"/>
    <w:rsid w:val="004D6745"/>
    <w:rsid w:val="004D6767"/>
    <w:rsid w:val="004D67B7"/>
    <w:rsid w:val="004D67B8"/>
    <w:rsid w:val="004D682C"/>
    <w:rsid w:val="004D683F"/>
    <w:rsid w:val="004D6847"/>
    <w:rsid w:val="004D689B"/>
    <w:rsid w:val="004D6925"/>
    <w:rsid w:val="004D694C"/>
    <w:rsid w:val="004D694E"/>
    <w:rsid w:val="004D6955"/>
    <w:rsid w:val="004D6981"/>
    <w:rsid w:val="004D6982"/>
    <w:rsid w:val="004D69AB"/>
    <w:rsid w:val="004D6A06"/>
    <w:rsid w:val="004D6A09"/>
    <w:rsid w:val="004D6A2B"/>
    <w:rsid w:val="004D6A3E"/>
    <w:rsid w:val="004D6A42"/>
    <w:rsid w:val="004D6A50"/>
    <w:rsid w:val="004D6ACD"/>
    <w:rsid w:val="004D6B00"/>
    <w:rsid w:val="004D6B58"/>
    <w:rsid w:val="004D6B71"/>
    <w:rsid w:val="004D6B8C"/>
    <w:rsid w:val="004D6BA5"/>
    <w:rsid w:val="004D6BAC"/>
    <w:rsid w:val="004D6BCF"/>
    <w:rsid w:val="004D6BE0"/>
    <w:rsid w:val="004D6C80"/>
    <w:rsid w:val="004D6C9B"/>
    <w:rsid w:val="004D6CE9"/>
    <w:rsid w:val="004D6CEF"/>
    <w:rsid w:val="004D6CF3"/>
    <w:rsid w:val="004D6CF7"/>
    <w:rsid w:val="004D6D02"/>
    <w:rsid w:val="004D6D71"/>
    <w:rsid w:val="004D6E21"/>
    <w:rsid w:val="004D6E5F"/>
    <w:rsid w:val="004D6E99"/>
    <w:rsid w:val="004D6EA1"/>
    <w:rsid w:val="004D6EBA"/>
    <w:rsid w:val="004D6F1E"/>
    <w:rsid w:val="004D6F8D"/>
    <w:rsid w:val="004D6FA5"/>
    <w:rsid w:val="004D6FC7"/>
    <w:rsid w:val="004D6FD9"/>
    <w:rsid w:val="004D7004"/>
    <w:rsid w:val="004D7017"/>
    <w:rsid w:val="004D701E"/>
    <w:rsid w:val="004D7037"/>
    <w:rsid w:val="004D712C"/>
    <w:rsid w:val="004D71A5"/>
    <w:rsid w:val="004D71D1"/>
    <w:rsid w:val="004D71F7"/>
    <w:rsid w:val="004D71FE"/>
    <w:rsid w:val="004D722A"/>
    <w:rsid w:val="004D722B"/>
    <w:rsid w:val="004D7286"/>
    <w:rsid w:val="004D72CF"/>
    <w:rsid w:val="004D72D9"/>
    <w:rsid w:val="004D738D"/>
    <w:rsid w:val="004D73EF"/>
    <w:rsid w:val="004D7400"/>
    <w:rsid w:val="004D7430"/>
    <w:rsid w:val="004D7449"/>
    <w:rsid w:val="004D7470"/>
    <w:rsid w:val="004D7489"/>
    <w:rsid w:val="004D74AA"/>
    <w:rsid w:val="004D74C3"/>
    <w:rsid w:val="004D74DD"/>
    <w:rsid w:val="004D74DF"/>
    <w:rsid w:val="004D753F"/>
    <w:rsid w:val="004D7598"/>
    <w:rsid w:val="004D75B7"/>
    <w:rsid w:val="004D75E3"/>
    <w:rsid w:val="004D764E"/>
    <w:rsid w:val="004D765C"/>
    <w:rsid w:val="004D76B7"/>
    <w:rsid w:val="004D76BF"/>
    <w:rsid w:val="004D76D7"/>
    <w:rsid w:val="004D7732"/>
    <w:rsid w:val="004D7756"/>
    <w:rsid w:val="004D775A"/>
    <w:rsid w:val="004D776D"/>
    <w:rsid w:val="004D77F4"/>
    <w:rsid w:val="004D77FE"/>
    <w:rsid w:val="004D7841"/>
    <w:rsid w:val="004D789D"/>
    <w:rsid w:val="004D78A8"/>
    <w:rsid w:val="004D78C8"/>
    <w:rsid w:val="004D78DC"/>
    <w:rsid w:val="004D78F5"/>
    <w:rsid w:val="004D790A"/>
    <w:rsid w:val="004D794F"/>
    <w:rsid w:val="004D797F"/>
    <w:rsid w:val="004D799C"/>
    <w:rsid w:val="004D79AC"/>
    <w:rsid w:val="004D79CF"/>
    <w:rsid w:val="004D7A42"/>
    <w:rsid w:val="004D7A77"/>
    <w:rsid w:val="004D7A95"/>
    <w:rsid w:val="004D7A99"/>
    <w:rsid w:val="004D7AF7"/>
    <w:rsid w:val="004D7B0F"/>
    <w:rsid w:val="004D7B22"/>
    <w:rsid w:val="004D7BA1"/>
    <w:rsid w:val="004D7BAE"/>
    <w:rsid w:val="004D7BB4"/>
    <w:rsid w:val="004D7BC2"/>
    <w:rsid w:val="004D7BCC"/>
    <w:rsid w:val="004D7BDC"/>
    <w:rsid w:val="004D7C53"/>
    <w:rsid w:val="004D7C70"/>
    <w:rsid w:val="004D7C80"/>
    <w:rsid w:val="004D7CAF"/>
    <w:rsid w:val="004D7CE4"/>
    <w:rsid w:val="004D7D08"/>
    <w:rsid w:val="004D7D0D"/>
    <w:rsid w:val="004D7D59"/>
    <w:rsid w:val="004D7D98"/>
    <w:rsid w:val="004D7DB7"/>
    <w:rsid w:val="004D7DEB"/>
    <w:rsid w:val="004D7E9F"/>
    <w:rsid w:val="004D7EA1"/>
    <w:rsid w:val="004D7EC6"/>
    <w:rsid w:val="004D7EFE"/>
    <w:rsid w:val="004D7F31"/>
    <w:rsid w:val="004D7F6A"/>
    <w:rsid w:val="004D7F6B"/>
    <w:rsid w:val="004D7F8D"/>
    <w:rsid w:val="004D7FEC"/>
    <w:rsid w:val="004E0000"/>
    <w:rsid w:val="004E0005"/>
    <w:rsid w:val="004E00A3"/>
    <w:rsid w:val="004E00D3"/>
    <w:rsid w:val="004E00F0"/>
    <w:rsid w:val="004E00F8"/>
    <w:rsid w:val="004E016A"/>
    <w:rsid w:val="004E0184"/>
    <w:rsid w:val="004E0218"/>
    <w:rsid w:val="004E022B"/>
    <w:rsid w:val="004E0263"/>
    <w:rsid w:val="004E02A3"/>
    <w:rsid w:val="004E030B"/>
    <w:rsid w:val="004E0376"/>
    <w:rsid w:val="004E03A1"/>
    <w:rsid w:val="004E0401"/>
    <w:rsid w:val="004E0404"/>
    <w:rsid w:val="004E041E"/>
    <w:rsid w:val="004E0450"/>
    <w:rsid w:val="004E0459"/>
    <w:rsid w:val="004E046A"/>
    <w:rsid w:val="004E0477"/>
    <w:rsid w:val="004E049D"/>
    <w:rsid w:val="004E04BB"/>
    <w:rsid w:val="004E04C5"/>
    <w:rsid w:val="004E0527"/>
    <w:rsid w:val="004E052B"/>
    <w:rsid w:val="004E053C"/>
    <w:rsid w:val="004E056D"/>
    <w:rsid w:val="004E05B8"/>
    <w:rsid w:val="004E0602"/>
    <w:rsid w:val="004E065C"/>
    <w:rsid w:val="004E066F"/>
    <w:rsid w:val="004E0750"/>
    <w:rsid w:val="004E0765"/>
    <w:rsid w:val="004E076A"/>
    <w:rsid w:val="004E07BF"/>
    <w:rsid w:val="004E07CF"/>
    <w:rsid w:val="004E07F9"/>
    <w:rsid w:val="004E0866"/>
    <w:rsid w:val="004E0872"/>
    <w:rsid w:val="004E0893"/>
    <w:rsid w:val="004E08AA"/>
    <w:rsid w:val="004E09AE"/>
    <w:rsid w:val="004E09FB"/>
    <w:rsid w:val="004E0A29"/>
    <w:rsid w:val="004E0A57"/>
    <w:rsid w:val="004E0A6D"/>
    <w:rsid w:val="004E0B3A"/>
    <w:rsid w:val="004E0B57"/>
    <w:rsid w:val="004E0B9F"/>
    <w:rsid w:val="004E0BC5"/>
    <w:rsid w:val="004E0BCB"/>
    <w:rsid w:val="004E0C09"/>
    <w:rsid w:val="004E0C41"/>
    <w:rsid w:val="004E0C6A"/>
    <w:rsid w:val="004E0C97"/>
    <w:rsid w:val="004E0C9B"/>
    <w:rsid w:val="004E0CD3"/>
    <w:rsid w:val="004E0D4A"/>
    <w:rsid w:val="004E0D64"/>
    <w:rsid w:val="004E0D84"/>
    <w:rsid w:val="004E0D8C"/>
    <w:rsid w:val="004E0D92"/>
    <w:rsid w:val="004E0E17"/>
    <w:rsid w:val="004E0E8D"/>
    <w:rsid w:val="004E0EC3"/>
    <w:rsid w:val="004E0F19"/>
    <w:rsid w:val="004E0F34"/>
    <w:rsid w:val="004E0F39"/>
    <w:rsid w:val="004E0F44"/>
    <w:rsid w:val="004E0F56"/>
    <w:rsid w:val="004E0FD7"/>
    <w:rsid w:val="004E108D"/>
    <w:rsid w:val="004E109A"/>
    <w:rsid w:val="004E10A2"/>
    <w:rsid w:val="004E10A5"/>
    <w:rsid w:val="004E1122"/>
    <w:rsid w:val="004E11CB"/>
    <w:rsid w:val="004E11D9"/>
    <w:rsid w:val="004E11E9"/>
    <w:rsid w:val="004E120E"/>
    <w:rsid w:val="004E1215"/>
    <w:rsid w:val="004E1220"/>
    <w:rsid w:val="004E125D"/>
    <w:rsid w:val="004E12C1"/>
    <w:rsid w:val="004E135F"/>
    <w:rsid w:val="004E13A1"/>
    <w:rsid w:val="004E13A6"/>
    <w:rsid w:val="004E13C7"/>
    <w:rsid w:val="004E13DD"/>
    <w:rsid w:val="004E140B"/>
    <w:rsid w:val="004E1415"/>
    <w:rsid w:val="004E144D"/>
    <w:rsid w:val="004E1483"/>
    <w:rsid w:val="004E1489"/>
    <w:rsid w:val="004E1495"/>
    <w:rsid w:val="004E14BC"/>
    <w:rsid w:val="004E14F1"/>
    <w:rsid w:val="004E151C"/>
    <w:rsid w:val="004E1537"/>
    <w:rsid w:val="004E1638"/>
    <w:rsid w:val="004E167A"/>
    <w:rsid w:val="004E16D8"/>
    <w:rsid w:val="004E1700"/>
    <w:rsid w:val="004E1770"/>
    <w:rsid w:val="004E1774"/>
    <w:rsid w:val="004E17A9"/>
    <w:rsid w:val="004E180E"/>
    <w:rsid w:val="004E182D"/>
    <w:rsid w:val="004E1833"/>
    <w:rsid w:val="004E1881"/>
    <w:rsid w:val="004E18AA"/>
    <w:rsid w:val="004E18B5"/>
    <w:rsid w:val="004E1930"/>
    <w:rsid w:val="004E1933"/>
    <w:rsid w:val="004E19CC"/>
    <w:rsid w:val="004E1A02"/>
    <w:rsid w:val="004E1A45"/>
    <w:rsid w:val="004E1A9E"/>
    <w:rsid w:val="004E1AB4"/>
    <w:rsid w:val="004E1B08"/>
    <w:rsid w:val="004E1BA8"/>
    <w:rsid w:val="004E1BB4"/>
    <w:rsid w:val="004E1BC0"/>
    <w:rsid w:val="004E1BE2"/>
    <w:rsid w:val="004E1C17"/>
    <w:rsid w:val="004E1C48"/>
    <w:rsid w:val="004E1C6F"/>
    <w:rsid w:val="004E1C77"/>
    <w:rsid w:val="004E1CAD"/>
    <w:rsid w:val="004E1D94"/>
    <w:rsid w:val="004E1E4B"/>
    <w:rsid w:val="004E1E54"/>
    <w:rsid w:val="004E1E5F"/>
    <w:rsid w:val="004E1EA8"/>
    <w:rsid w:val="004E1EAA"/>
    <w:rsid w:val="004E1EE5"/>
    <w:rsid w:val="004E1F6B"/>
    <w:rsid w:val="004E1F71"/>
    <w:rsid w:val="004E1F72"/>
    <w:rsid w:val="004E1F81"/>
    <w:rsid w:val="004E1FC6"/>
    <w:rsid w:val="004E1FF8"/>
    <w:rsid w:val="004E203A"/>
    <w:rsid w:val="004E2050"/>
    <w:rsid w:val="004E2074"/>
    <w:rsid w:val="004E2087"/>
    <w:rsid w:val="004E2124"/>
    <w:rsid w:val="004E2171"/>
    <w:rsid w:val="004E218D"/>
    <w:rsid w:val="004E21EC"/>
    <w:rsid w:val="004E2206"/>
    <w:rsid w:val="004E229E"/>
    <w:rsid w:val="004E2300"/>
    <w:rsid w:val="004E235B"/>
    <w:rsid w:val="004E237D"/>
    <w:rsid w:val="004E23DA"/>
    <w:rsid w:val="004E2445"/>
    <w:rsid w:val="004E24BA"/>
    <w:rsid w:val="004E24FB"/>
    <w:rsid w:val="004E24FC"/>
    <w:rsid w:val="004E2537"/>
    <w:rsid w:val="004E254F"/>
    <w:rsid w:val="004E25C3"/>
    <w:rsid w:val="004E25C5"/>
    <w:rsid w:val="004E269D"/>
    <w:rsid w:val="004E26CD"/>
    <w:rsid w:val="004E26F6"/>
    <w:rsid w:val="004E272D"/>
    <w:rsid w:val="004E273D"/>
    <w:rsid w:val="004E275E"/>
    <w:rsid w:val="004E276B"/>
    <w:rsid w:val="004E279F"/>
    <w:rsid w:val="004E27F6"/>
    <w:rsid w:val="004E2804"/>
    <w:rsid w:val="004E28F3"/>
    <w:rsid w:val="004E294F"/>
    <w:rsid w:val="004E29EA"/>
    <w:rsid w:val="004E2A33"/>
    <w:rsid w:val="004E2A70"/>
    <w:rsid w:val="004E2A86"/>
    <w:rsid w:val="004E2AAB"/>
    <w:rsid w:val="004E2AB5"/>
    <w:rsid w:val="004E2B2A"/>
    <w:rsid w:val="004E2B3E"/>
    <w:rsid w:val="004E2B46"/>
    <w:rsid w:val="004E2B53"/>
    <w:rsid w:val="004E2B81"/>
    <w:rsid w:val="004E2B9E"/>
    <w:rsid w:val="004E2BC4"/>
    <w:rsid w:val="004E2BFE"/>
    <w:rsid w:val="004E2D08"/>
    <w:rsid w:val="004E2D22"/>
    <w:rsid w:val="004E2D78"/>
    <w:rsid w:val="004E2DD9"/>
    <w:rsid w:val="004E2DF2"/>
    <w:rsid w:val="004E2E15"/>
    <w:rsid w:val="004E2E21"/>
    <w:rsid w:val="004E2E38"/>
    <w:rsid w:val="004E2E51"/>
    <w:rsid w:val="004E2E84"/>
    <w:rsid w:val="004E2EA2"/>
    <w:rsid w:val="004E2EAD"/>
    <w:rsid w:val="004E2EBF"/>
    <w:rsid w:val="004E2EC7"/>
    <w:rsid w:val="004E2ED1"/>
    <w:rsid w:val="004E2F1E"/>
    <w:rsid w:val="004E2F4B"/>
    <w:rsid w:val="004E2F77"/>
    <w:rsid w:val="004E3011"/>
    <w:rsid w:val="004E3022"/>
    <w:rsid w:val="004E3043"/>
    <w:rsid w:val="004E3044"/>
    <w:rsid w:val="004E3071"/>
    <w:rsid w:val="004E30A4"/>
    <w:rsid w:val="004E30C6"/>
    <w:rsid w:val="004E30D9"/>
    <w:rsid w:val="004E311E"/>
    <w:rsid w:val="004E316D"/>
    <w:rsid w:val="004E3184"/>
    <w:rsid w:val="004E31CB"/>
    <w:rsid w:val="004E31E5"/>
    <w:rsid w:val="004E3226"/>
    <w:rsid w:val="004E3284"/>
    <w:rsid w:val="004E32E5"/>
    <w:rsid w:val="004E3312"/>
    <w:rsid w:val="004E3340"/>
    <w:rsid w:val="004E337B"/>
    <w:rsid w:val="004E33B5"/>
    <w:rsid w:val="004E33CB"/>
    <w:rsid w:val="004E33E2"/>
    <w:rsid w:val="004E3405"/>
    <w:rsid w:val="004E34FA"/>
    <w:rsid w:val="004E351A"/>
    <w:rsid w:val="004E354C"/>
    <w:rsid w:val="004E3563"/>
    <w:rsid w:val="004E3571"/>
    <w:rsid w:val="004E35CC"/>
    <w:rsid w:val="004E35F8"/>
    <w:rsid w:val="004E366F"/>
    <w:rsid w:val="004E3682"/>
    <w:rsid w:val="004E368C"/>
    <w:rsid w:val="004E369B"/>
    <w:rsid w:val="004E36E2"/>
    <w:rsid w:val="004E3738"/>
    <w:rsid w:val="004E3745"/>
    <w:rsid w:val="004E376A"/>
    <w:rsid w:val="004E377D"/>
    <w:rsid w:val="004E37AC"/>
    <w:rsid w:val="004E37CC"/>
    <w:rsid w:val="004E37EE"/>
    <w:rsid w:val="004E380E"/>
    <w:rsid w:val="004E3828"/>
    <w:rsid w:val="004E383A"/>
    <w:rsid w:val="004E3872"/>
    <w:rsid w:val="004E3885"/>
    <w:rsid w:val="004E391B"/>
    <w:rsid w:val="004E3932"/>
    <w:rsid w:val="004E3959"/>
    <w:rsid w:val="004E39A0"/>
    <w:rsid w:val="004E39EC"/>
    <w:rsid w:val="004E39ED"/>
    <w:rsid w:val="004E3A29"/>
    <w:rsid w:val="004E3AA8"/>
    <w:rsid w:val="004E3AE2"/>
    <w:rsid w:val="004E3AF1"/>
    <w:rsid w:val="004E3B6C"/>
    <w:rsid w:val="004E3B90"/>
    <w:rsid w:val="004E3BA2"/>
    <w:rsid w:val="004E3C35"/>
    <w:rsid w:val="004E3C6F"/>
    <w:rsid w:val="004E3C72"/>
    <w:rsid w:val="004E3C7B"/>
    <w:rsid w:val="004E3C86"/>
    <w:rsid w:val="004E3CCD"/>
    <w:rsid w:val="004E3D68"/>
    <w:rsid w:val="004E3D77"/>
    <w:rsid w:val="004E3E1B"/>
    <w:rsid w:val="004E3EFC"/>
    <w:rsid w:val="004E3F53"/>
    <w:rsid w:val="004E3F65"/>
    <w:rsid w:val="004E4011"/>
    <w:rsid w:val="004E4024"/>
    <w:rsid w:val="004E4048"/>
    <w:rsid w:val="004E4056"/>
    <w:rsid w:val="004E407C"/>
    <w:rsid w:val="004E4174"/>
    <w:rsid w:val="004E417B"/>
    <w:rsid w:val="004E41A8"/>
    <w:rsid w:val="004E41DC"/>
    <w:rsid w:val="004E41FB"/>
    <w:rsid w:val="004E4262"/>
    <w:rsid w:val="004E4278"/>
    <w:rsid w:val="004E4294"/>
    <w:rsid w:val="004E42A8"/>
    <w:rsid w:val="004E42B9"/>
    <w:rsid w:val="004E42C4"/>
    <w:rsid w:val="004E42D2"/>
    <w:rsid w:val="004E4336"/>
    <w:rsid w:val="004E4361"/>
    <w:rsid w:val="004E43B9"/>
    <w:rsid w:val="004E43BD"/>
    <w:rsid w:val="004E43FA"/>
    <w:rsid w:val="004E4403"/>
    <w:rsid w:val="004E4416"/>
    <w:rsid w:val="004E447C"/>
    <w:rsid w:val="004E44FF"/>
    <w:rsid w:val="004E454F"/>
    <w:rsid w:val="004E4569"/>
    <w:rsid w:val="004E462C"/>
    <w:rsid w:val="004E463F"/>
    <w:rsid w:val="004E46EF"/>
    <w:rsid w:val="004E46F8"/>
    <w:rsid w:val="004E4731"/>
    <w:rsid w:val="004E4785"/>
    <w:rsid w:val="004E47A3"/>
    <w:rsid w:val="004E47BC"/>
    <w:rsid w:val="004E47DB"/>
    <w:rsid w:val="004E47EA"/>
    <w:rsid w:val="004E4848"/>
    <w:rsid w:val="004E4871"/>
    <w:rsid w:val="004E491F"/>
    <w:rsid w:val="004E4949"/>
    <w:rsid w:val="004E4951"/>
    <w:rsid w:val="004E4A12"/>
    <w:rsid w:val="004E4A1E"/>
    <w:rsid w:val="004E4A8B"/>
    <w:rsid w:val="004E4AE4"/>
    <w:rsid w:val="004E4B6D"/>
    <w:rsid w:val="004E4BA0"/>
    <w:rsid w:val="004E4C58"/>
    <w:rsid w:val="004E4CDF"/>
    <w:rsid w:val="004E4D16"/>
    <w:rsid w:val="004E4D24"/>
    <w:rsid w:val="004E4D3D"/>
    <w:rsid w:val="004E4D41"/>
    <w:rsid w:val="004E4D4D"/>
    <w:rsid w:val="004E4DCC"/>
    <w:rsid w:val="004E4DDE"/>
    <w:rsid w:val="004E4DF9"/>
    <w:rsid w:val="004E4DFB"/>
    <w:rsid w:val="004E4E10"/>
    <w:rsid w:val="004E4E88"/>
    <w:rsid w:val="004E4EEB"/>
    <w:rsid w:val="004E4F52"/>
    <w:rsid w:val="004E4F53"/>
    <w:rsid w:val="004E4FCF"/>
    <w:rsid w:val="004E502B"/>
    <w:rsid w:val="004E5037"/>
    <w:rsid w:val="004E5043"/>
    <w:rsid w:val="004E5075"/>
    <w:rsid w:val="004E50B0"/>
    <w:rsid w:val="004E50C3"/>
    <w:rsid w:val="004E5102"/>
    <w:rsid w:val="004E5125"/>
    <w:rsid w:val="004E5126"/>
    <w:rsid w:val="004E5134"/>
    <w:rsid w:val="004E5138"/>
    <w:rsid w:val="004E51AC"/>
    <w:rsid w:val="004E51F2"/>
    <w:rsid w:val="004E5207"/>
    <w:rsid w:val="004E5263"/>
    <w:rsid w:val="004E5306"/>
    <w:rsid w:val="004E5356"/>
    <w:rsid w:val="004E535D"/>
    <w:rsid w:val="004E537E"/>
    <w:rsid w:val="004E538A"/>
    <w:rsid w:val="004E539E"/>
    <w:rsid w:val="004E53B8"/>
    <w:rsid w:val="004E53FC"/>
    <w:rsid w:val="004E53FF"/>
    <w:rsid w:val="004E5426"/>
    <w:rsid w:val="004E5477"/>
    <w:rsid w:val="004E54E7"/>
    <w:rsid w:val="004E5556"/>
    <w:rsid w:val="004E5569"/>
    <w:rsid w:val="004E558B"/>
    <w:rsid w:val="004E558E"/>
    <w:rsid w:val="004E5599"/>
    <w:rsid w:val="004E55A9"/>
    <w:rsid w:val="004E55FC"/>
    <w:rsid w:val="004E5608"/>
    <w:rsid w:val="004E561B"/>
    <w:rsid w:val="004E567F"/>
    <w:rsid w:val="004E568C"/>
    <w:rsid w:val="004E56C3"/>
    <w:rsid w:val="004E56EE"/>
    <w:rsid w:val="004E56EF"/>
    <w:rsid w:val="004E5721"/>
    <w:rsid w:val="004E574E"/>
    <w:rsid w:val="004E5793"/>
    <w:rsid w:val="004E57E5"/>
    <w:rsid w:val="004E5819"/>
    <w:rsid w:val="004E5859"/>
    <w:rsid w:val="004E585A"/>
    <w:rsid w:val="004E585E"/>
    <w:rsid w:val="004E58E9"/>
    <w:rsid w:val="004E590C"/>
    <w:rsid w:val="004E5972"/>
    <w:rsid w:val="004E5974"/>
    <w:rsid w:val="004E5989"/>
    <w:rsid w:val="004E59A6"/>
    <w:rsid w:val="004E59CB"/>
    <w:rsid w:val="004E59EC"/>
    <w:rsid w:val="004E5A4F"/>
    <w:rsid w:val="004E5AD6"/>
    <w:rsid w:val="004E5B38"/>
    <w:rsid w:val="004E5B3B"/>
    <w:rsid w:val="004E5BB3"/>
    <w:rsid w:val="004E5C84"/>
    <w:rsid w:val="004E5CBC"/>
    <w:rsid w:val="004E5CCB"/>
    <w:rsid w:val="004E5D3B"/>
    <w:rsid w:val="004E5E3B"/>
    <w:rsid w:val="004E5E45"/>
    <w:rsid w:val="004E5E59"/>
    <w:rsid w:val="004E5E9C"/>
    <w:rsid w:val="004E5EA5"/>
    <w:rsid w:val="004E5ED5"/>
    <w:rsid w:val="004E5EEB"/>
    <w:rsid w:val="004E5EED"/>
    <w:rsid w:val="004E5F16"/>
    <w:rsid w:val="004E5F4F"/>
    <w:rsid w:val="004E5F97"/>
    <w:rsid w:val="004E5F9E"/>
    <w:rsid w:val="004E5FD8"/>
    <w:rsid w:val="004E603C"/>
    <w:rsid w:val="004E6061"/>
    <w:rsid w:val="004E6086"/>
    <w:rsid w:val="004E60C1"/>
    <w:rsid w:val="004E60CC"/>
    <w:rsid w:val="004E60EA"/>
    <w:rsid w:val="004E60F1"/>
    <w:rsid w:val="004E6124"/>
    <w:rsid w:val="004E6135"/>
    <w:rsid w:val="004E6145"/>
    <w:rsid w:val="004E616A"/>
    <w:rsid w:val="004E61AF"/>
    <w:rsid w:val="004E61E6"/>
    <w:rsid w:val="004E62D2"/>
    <w:rsid w:val="004E630C"/>
    <w:rsid w:val="004E6347"/>
    <w:rsid w:val="004E6358"/>
    <w:rsid w:val="004E63D9"/>
    <w:rsid w:val="004E63F7"/>
    <w:rsid w:val="004E6501"/>
    <w:rsid w:val="004E669E"/>
    <w:rsid w:val="004E66A2"/>
    <w:rsid w:val="004E6705"/>
    <w:rsid w:val="004E671C"/>
    <w:rsid w:val="004E6742"/>
    <w:rsid w:val="004E679F"/>
    <w:rsid w:val="004E67A6"/>
    <w:rsid w:val="004E6874"/>
    <w:rsid w:val="004E6880"/>
    <w:rsid w:val="004E6906"/>
    <w:rsid w:val="004E6929"/>
    <w:rsid w:val="004E6930"/>
    <w:rsid w:val="004E69B3"/>
    <w:rsid w:val="004E69CE"/>
    <w:rsid w:val="004E6A40"/>
    <w:rsid w:val="004E6A4C"/>
    <w:rsid w:val="004E6AD2"/>
    <w:rsid w:val="004E6AEF"/>
    <w:rsid w:val="004E6AFC"/>
    <w:rsid w:val="004E6B02"/>
    <w:rsid w:val="004E6B09"/>
    <w:rsid w:val="004E6B1E"/>
    <w:rsid w:val="004E6B6A"/>
    <w:rsid w:val="004E6BCE"/>
    <w:rsid w:val="004E6C33"/>
    <w:rsid w:val="004E6C59"/>
    <w:rsid w:val="004E6C7F"/>
    <w:rsid w:val="004E6C89"/>
    <w:rsid w:val="004E6CA0"/>
    <w:rsid w:val="004E6CAA"/>
    <w:rsid w:val="004E6DC2"/>
    <w:rsid w:val="004E6DF0"/>
    <w:rsid w:val="004E6E15"/>
    <w:rsid w:val="004E6E6D"/>
    <w:rsid w:val="004E6E6E"/>
    <w:rsid w:val="004E6EAB"/>
    <w:rsid w:val="004E6ECA"/>
    <w:rsid w:val="004E6F0A"/>
    <w:rsid w:val="004E6F30"/>
    <w:rsid w:val="004E6F4E"/>
    <w:rsid w:val="004E6FB3"/>
    <w:rsid w:val="004E700B"/>
    <w:rsid w:val="004E704F"/>
    <w:rsid w:val="004E708C"/>
    <w:rsid w:val="004E70AE"/>
    <w:rsid w:val="004E70B9"/>
    <w:rsid w:val="004E70D5"/>
    <w:rsid w:val="004E70E3"/>
    <w:rsid w:val="004E70E5"/>
    <w:rsid w:val="004E712D"/>
    <w:rsid w:val="004E7152"/>
    <w:rsid w:val="004E7164"/>
    <w:rsid w:val="004E71D9"/>
    <w:rsid w:val="004E71E1"/>
    <w:rsid w:val="004E7235"/>
    <w:rsid w:val="004E723F"/>
    <w:rsid w:val="004E72DC"/>
    <w:rsid w:val="004E72EC"/>
    <w:rsid w:val="004E730A"/>
    <w:rsid w:val="004E734C"/>
    <w:rsid w:val="004E734E"/>
    <w:rsid w:val="004E7355"/>
    <w:rsid w:val="004E73A6"/>
    <w:rsid w:val="004E73F0"/>
    <w:rsid w:val="004E7410"/>
    <w:rsid w:val="004E7474"/>
    <w:rsid w:val="004E74D3"/>
    <w:rsid w:val="004E7514"/>
    <w:rsid w:val="004E751E"/>
    <w:rsid w:val="004E7564"/>
    <w:rsid w:val="004E7577"/>
    <w:rsid w:val="004E758F"/>
    <w:rsid w:val="004E75DF"/>
    <w:rsid w:val="004E7603"/>
    <w:rsid w:val="004E7615"/>
    <w:rsid w:val="004E7635"/>
    <w:rsid w:val="004E766C"/>
    <w:rsid w:val="004E76B1"/>
    <w:rsid w:val="004E76E8"/>
    <w:rsid w:val="004E76FD"/>
    <w:rsid w:val="004E775A"/>
    <w:rsid w:val="004E7789"/>
    <w:rsid w:val="004E779F"/>
    <w:rsid w:val="004E77C1"/>
    <w:rsid w:val="004E7852"/>
    <w:rsid w:val="004E7883"/>
    <w:rsid w:val="004E7905"/>
    <w:rsid w:val="004E7988"/>
    <w:rsid w:val="004E79B4"/>
    <w:rsid w:val="004E7A08"/>
    <w:rsid w:val="004E7A1F"/>
    <w:rsid w:val="004E7A73"/>
    <w:rsid w:val="004E7AA5"/>
    <w:rsid w:val="004E7ABB"/>
    <w:rsid w:val="004E7B26"/>
    <w:rsid w:val="004E7B48"/>
    <w:rsid w:val="004E7B81"/>
    <w:rsid w:val="004E7B99"/>
    <w:rsid w:val="004E7BB0"/>
    <w:rsid w:val="004E7BD3"/>
    <w:rsid w:val="004E7C00"/>
    <w:rsid w:val="004E7C19"/>
    <w:rsid w:val="004E7D08"/>
    <w:rsid w:val="004E7D1F"/>
    <w:rsid w:val="004E7D2E"/>
    <w:rsid w:val="004E7D58"/>
    <w:rsid w:val="004E7D8A"/>
    <w:rsid w:val="004E7DB9"/>
    <w:rsid w:val="004E7E0A"/>
    <w:rsid w:val="004E7EAA"/>
    <w:rsid w:val="004E7EBE"/>
    <w:rsid w:val="004E7F1D"/>
    <w:rsid w:val="004E7F79"/>
    <w:rsid w:val="004E7FEF"/>
    <w:rsid w:val="004E7FF3"/>
    <w:rsid w:val="004F0039"/>
    <w:rsid w:val="004F0058"/>
    <w:rsid w:val="004F00AD"/>
    <w:rsid w:val="004F0110"/>
    <w:rsid w:val="004F0151"/>
    <w:rsid w:val="004F0182"/>
    <w:rsid w:val="004F0186"/>
    <w:rsid w:val="004F0192"/>
    <w:rsid w:val="004F0220"/>
    <w:rsid w:val="004F0245"/>
    <w:rsid w:val="004F0263"/>
    <w:rsid w:val="004F02B2"/>
    <w:rsid w:val="004F02E0"/>
    <w:rsid w:val="004F03D2"/>
    <w:rsid w:val="004F03DF"/>
    <w:rsid w:val="004F03E2"/>
    <w:rsid w:val="004F040F"/>
    <w:rsid w:val="004F041A"/>
    <w:rsid w:val="004F043C"/>
    <w:rsid w:val="004F044B"/>
    <w:rsid w:val="004F0455"/>
    <w:rsid w:val="004F0461"/>
    <w:rsid w:val="004F0478"/>
    <w:rsid w:val="004F04BB"/>
    <w:rsid w:val="004F04CF"/>
    <w:rsid w:val="004F0526"/>
    <w:rsid w:val="004F0530"/>
    <w:rsid w:val="004F0533"/>
    <w:rsid w:val="004F054B"/>
    <w:rsid w:val="004F056D"/>
    <w:rsid w:val="004F05B3"/>
    <w:rsid w:val="004F05DA"/>
    <w:rsid w:val="004F05F4"/>
    <w:rsid w:val="004F0647"/>
    <w:rsid w:val="004F0697"/>
    <w:rsid w:val="004F06CA"/>
    <w:rsid w:val="004F06DA"/>
    <w:rsid w:val="004F06EB"/>
    <w:rsid w:val="004F0764"/>
    <w:rsid w:val="004F07A9"/>
    <w:rsid w:val="004F07B9"/>
    <w:rsid w:val="004F07CB"/>
    <w:rsid w:val="004F084C"/>
    <w:rsid w:val="004F0972"/>
    <w:rsid w:val="004F0983"/>
    <w:rsid w:val="004F09C1"/>
    <w:rsid w:val="004F0A62"/>
    <w:rsid w:val="004F0A7D"/>
    <w:rsid w:val="004F0AA1"/>
    <w:rsid w:val="004F0AC3"/>
    <w:rsid w:val="004F0AD4"/>
    <w:rsid w:val="004F0B03"/>
    <w:rsid w:val="004F0B0F"/>
    <w:rsid w:val="004F0BA2"/>
    <w:rsid w:val="004F0BDF"/>
    <w:rsid w:val="004F0BE7"/>
    <w:rsid w:val="004F0C0A"/>
    <w:rsid w:val="004F0C30"/>
    <w:rsid w:val="004F0CC6"/>
    <w:rsid w:val="004F0D3C"/>
    <w:rsid w:val="004F0D8C"/>
    <w:rsid w:val="004F0DC2"/>
    <w:rsid w:val="004F0E13"/>
    <w:rsid w:val="004F0E21"/>
    <w:rsid w:val="004F0E3D"/>
    <w:rsid w:val="004F0EA6"/>
    <w:rsid w:val="004F0EFD"/>
    <w:rsid w:val="004F0F1F"/>
    <w:rsid w:val="004F0FA8"/>
    <w:rsid w:val="004F0FF7"/>
    <w:rsid w:val="004F100F"/>
    <w:rsid w:val="004F1021"/>
    <w:rsid w:val="004F1042"/>
    <w:rsid w:val="004F10D0"/>
    <w:rsid w:val="004F1196"/>
    <w:rsid w:val="004F1198"/>
    <w:rsid w:val="004F11FA"/>
    <w:rsid w:val="004F11FD"/>
    <w:rsid w:val="004F1210"/>
    <w:rsid w:val="004F132B"/>
    <w:rsid w:val="004F135C"/>
    <w:rsid w:val="004F1364"/>
    <w:rsid w:val="004F138D"/>
    <w:rsid w:val="004F13D1"/>
    <w:rsid w:val="004F1492"/>
    <w:rsid w:val="004F1498"/>
    <w:rsid w:val="004F14A0"/>
    <w:rsid w:val="004F14BD"/>
    <w:rsid w:val="004F14C0"/>
    <w:rsid w:val="004F14EF"/>
    <w:rsid w:val="004F153E"/>
    <w:rsid w:val="004F15C2"/>
    <w:rsid w:val="004F15D1"/>
    <w:rsid w:val="004F15E3"/>
    <w:rsid w:val="004F160C"/>
    <w:rsid w:val="004F1629"/>
    <w:rsid w:val="004F162F"/>
    <w:rsid w:val="004F1671"/>
    <w:rsid w:val="004F1673"/>
    <w:rsid w:val="004F16BF"/>
    <w:rsid w:val="004F1786"/>
    <w:rsid w:val="004F17F4"/>
    <w:rsid w:val="004F1881"/>
    <w:rsid w:val="004F1889"/>
    <w:rsid w:val="004F1909"/>
    <w:rsid w:val="004F1938"/>
    <w:rsid w:val="004F193D"/>
    <w:rsid w:val="004F19EC"/>
    <w:rsid w:val="004F1A72"/>
    <w:rsid w:val="004F1A82"/>
    <w:rsid w:val="004F1A95"/>
    <w:rsid w:val="004F1AB3"/>
    <w:rsid w:val="004F1AF1"/>
    <w:rsid w:val="004F1B16"/>
    <w:rsid w:val="004F1B1D"/>
    <w:rsid w:val="004F1B41"/>
    <w:rsid w:val="004F1B5E"/>
    <w:rsid w:val="004F1BE9"/>
    <w:rsid w:val="004F1C31"/>
    <w:rsid w:val="004F1C4F"/>
    <w:rsid w:val="004F1C70"/>
    <w:rsid w:val="004F1CAB"/>
    <w:rsid w:val="004F1D5F"/>
    <w:rsid w:val="004F1DA6"/>
    <w:rsid w:val="004F1DA7"/>
    <w:rsid w:val="004F1E1B"/>
    <w:rsid w:val="004F1E59"/>
    <w:rsid w:val="004F1E5B"/>
    <w:rsid w:val="004F1F30"/>
    <w:rsid w:val="004F1F8A"/>
    <w:rsid w:val="004F1FBC"/>
    <w:rsid w:val="004F1FE7"/>
    <w:rsid w:val="004F2010"/>
    <w:rsid w:val="004F2017"/>
    <w:rsid w:val="004F2039"/>
    <w:rsid w:val="004F203C"/>
    <w:rsid w:val="004F21D4"/>
    <w:rsid w:val="004F223A"/>
    <w:rsid w:val="004F22AB"/>
    <w:rsid w:val="004F22F3"/>
    <w:rsid w:val="004F2318"/>
    <w:rsid w:val="004F235B"/>
    <w:rsid w:val="004F2387"/>
    <w:rsid w:val="004F238D"/>
    <w:rsid w:val="004F2399"/>
    <w:rsid w:val="004F242B"/>
    <w:rsid w:val="004F242C"/>
    <w:rsid w:val="004F2440"/>
    <w:rsid w:val="004F24C2"/>
    <w:rsid w:val="004F24F5"/>
    <w:rsid w:val="004F2524"/>
    <w:rsid w:val="004F2557"/>
    <w:rsid w:val="004F2598"/>
    <w:rsid w:val="004F25D1"/>
    <w:rsid w:val="004F25F0"/>
    <w:rsid w:val="004F2612"/>
    <w:rsid w:val="004F266F"/>
    <w:rsid w:val="004F26EE"/>
    <w:rsid w:val="004F2713"/>
    <w:rsid w:val="004F271C"/>
    <w:rsid w:val="004F2732"/>
    <w:rsid w:val="004F2734"/>
    <w:rsid w:val="004F274B"/>
    <w:rsid w:val="004F275F"/>
    <w:rsid w:val="004F2776"/>
    <w:rsid w:val="004F279B"/>
    <w:rsid w:val="004F281C"/>
    <w:rsid w:val="004F2863"/>
    <w:rsid w:val="004F287A"/>
    <w:rsid w:val="004F2888"/>
    <w:rsid w:val="004F28B4"/>
    <w:rsid w:val="004F28CD"/>
    <w:rsid w:val="004F28DC"/>
    <w:rsid w:val="004F295C"/>
    <w:rsid w:val="004F295D"/>
    <w:rsid w:val="004F29BE"/>
    <w:rsid w:val="004F2A21"/>
    <w:rsid w:val="004F2A63"/>
    <w:rsid w:val="004F2A7E"/>
    <w:rsid w:val="004F2AF9"/>
    <w:rsid w:val="004F2AFA"/>
    <w:rsid w:val="004F2B60"/>
    <w:rsid w:val="004F2B68"/>
    <w:rsid w:val="004F2B85"/>
    <w:rsid w:val="004F2BB6"/>
    <w:rsid w:val="004F2BB8"/>
    <w:rsid w:val="004F2C0D"/>
    <w:rsid w:val="004F2C1E"/>
    <w:rsid w:val="004F2C5F"/>
    <w:rsid w:val="004F2D30"/>
    <w:rsid w:val="004F2D9F"/>
    <w:rsid w:val="004F2E42"/>
    <w:rsid w:val="004F2E75"/>
    <w:rsid w:val="004F2E98"/>
    <w:rsid w:val="004F2E99"/>
    <w:rsid w:val="004F2EF3"/>
    <w:rsid w:val="004F2EFD"/>
    <w:rsid w:val="004F2F18"/>
    <w:rsid w:val="004F2F2F"/>
    <w:rsid w:val="004F2F3A"/>
    <w:rsid w:val="004F2F98"/>
    <w:rsid w:val="004F2FA2"/>
    <w:rsid w:val="004F3054"/>
    <w:rsid w:val="004F3068"/>
    <w:rsid w:val="004F307E"/>
    <w:rsid w:val="004F3090"/>
    <w:rsid w:val="004F3096"/>
    <w:rsid w:val="004F30ED"/>
    <w:rsid w:val="004F3117"/>
    <w:rsid w:val="004F3124"/>
    <w:rsid w:val="004F3204"/>
    <w:rsid w:val="004F324E"/>
    <w:rsid w:val="004F328B"/>
    <w:rsid w:val="004F328D"/>
    <w:rsid w:val="004F32A7"/>
    <w:rsid w:val="004F32DD"/>
    <w:rsid w:val="004F3316"/>
    <w:rsid w:val="004F333C"/>
    <w:rsid w:val="004F3386"/>
    <w:rsid w:val="004F33C3"/>
    <w:rsid w:val="004F33D4"/>
    <w:rsid w:val="004F33E8"/>
    <w:rsid w:val="004F33F8"/>
    <w:rsid w:val="004F341A"/>
    <w:rsid w:val="004F34C5"/>
    <w:rsid w:val="004F34D2"/>
    <w:rsid w:val="004F353E"/>
    <w:rsid w:val="004F356B"/>
    <w:rsid w:val="004F35C4"/>
    <w:rsid w:val="004F360D"/>
    <w:rsid w:val="004F366A"/>
    <w:rsid w:val="004F37AE"/>
    <w:rsid w:val="004F37B1"/>
    <w:rsid w:val="004F37C5"/>
    <w:rsid w:val="004F37CF"/>
    <w:rsid w:val="004F37DF"/>
    <w:rsid w:val="004F3883"/>
    <w:rsid w:val="004F38DB"/>
    <w:rsid w:val="004F38FF"/>
    <w:rsid w:val="004F39D4"/>
    <w:rsid w:val="004F3A13"/>
    <w:rsid w:val="004F3A75"/>
    <w:rsid w:val="004F3AB0"/>
    <w:rsid w:val="004F3AFB"/>
    <w:rsid w:val="004F3AFD"/>
    <w:rsid w:val="004F3B40"/>
    <w:rsid w:val="004F3B53"/>
    <w:rsid w:val="004F3BAE"/>
    <w:rsid w:val="004F3BB1"/>
    <w:rsid w:val="004F3CA5"/>
    <w:rsid w:val="004F3CD4"/>
    <w:rsid w:val="004F3D67"/>
    <w:rsid w:val="004F3D72"/>
    <w:rsid w:val="004F3D74"/>
    <w:rsid w:val="004F3DAD"/>
    <w:rsid w:val="004F3DC3"/>
    <w:rsid w:val="004F3DC4"/>
    <w:rsid w:val="004F3DE0"/>
    <w:rsid w:val="004F3DE1"/>
    <w:rsid w:val="004F3DEF"/>
    <w:rsid w:val="004F3E0F"/>
    <w:rsid w:val="004F3E49"/>
    <w:rsid w:val="004F3E4E"/>
    <w:rsid w:val="004F3E78"/>
    <w:rsid w:val="004F3F75"/>
    <w:rsid w:val="004F3F84"/>
    <w:rsid w:val="004F3FA9"/>
    <w:rsid w:val="004F3FE6"/>
    <w:rsid w:val="004F4022"/>
    <w:rsid w:val="004F4047"/>
    <w:rsid w:val="004F40C4"/>
    <w:rsid w:val="004F40D4"/>
    <w:rsid w:val="004F4102"/>
    <w:rsid w:val="004F4163"/>
    <w:rsid w:val="004F419B"/>
    <w:rsid w:val="004F4212"/>
    <w:rsid w:val="004F421A"/>
    <w:rsid w:val="004F4242"/>
    <w:rsid w:val="004F4247"/>
    <w:rsid w:val="004F426B"/>
    <w:rsid w:val="004F42AD"/>
    <w:rsid w:val="004F42B4"/>
    <w:rsid w:val="004F42ED"/>
    <w:rsid w:val="004F440A"/>
    <w:rsid w:val="004F4412"/>
    <w:rsid w:val="004F447F"/>
    <w:rsid w:val="004F449F"/>
    <w:rsid w:val="004F44BA"/>
    <w:rsid w:val="004F44C1"/>
    <w:rsid w:val="004F4509"/>
    <w:rsid w:val="004F4537"/>
    <w:rsid w:val="004F453E"/>
    <w:rsid w:val="004F455B"/>
    <w:rsid w:val="004F45DC"/>
    <w:rsid w:val="004F4616"/>
    <w:rsid w:val="004F4658"/>
    <w:rsid w:val="004F4674"/>
    <w:rsid w:val="004F46A4"/>
    <w:rsid w:val="004F46CF"/>
    <w:rsid w:val="004F46F3"/>
    <w:rsid w:val="004F4760"/>
    <w:rsid w:val="004F47BC"/>
    <w:rsid w:val="004F48C0"/>
    <w:rsid w:val="004F48C1"/>
    <w:rsid w:val="004F48DC"/>
    <w:rsid w:val="004F4903"/>
    <w:rsid w:val="004F491A"/>
    <w:rsid w:val="004F4948"/>
    <w:rsid w:val="004F494D"/>
    <w:rsid w:val="004F49DA"/>
    <w:rsid w:val="004F4A07"/>
    <w:rsid w:val="004F4A38"/>
    <w:rsid w:val="004F4A3C"/>
    <w:rsid w:val="004F4A7E"/>
    <w:rsid w:val="004F4AAB"/>
    <w:rsid w:val="004F4AB8"/>
    <w:rsid w:val="004F4B2D"/>
    <w:rsid w:val="004F4B4A"/>
    <w:rsid w:val="004F4B68"/>
    <w:rsid w:val="004F4B8C"/>
    <w:rsid w:val="004F4BB5"/>
    <w:rsid w:val="004F4C1A"/>
    <w:rsid w:val="004F4C68"/>
    <w:rsid w:val="004F4CC6"/>
    <w:rsid w:val="004F4CE2"/>
    <w:rsid w:val="004F4CE7"/>
    <w:rsid w:val="004F4CF2"/>
    <w:rsid w:val="004F4D11"/>
    <w:rsid w:val="004F4D2A"/>
    <w:rsid w:val="004F4D85"/>
    <w:rsid w:val="004F4DF7"/>
    <w:rsid w:val="004F4E0A"/>
    <w:rsid w:val="004F4E2B"/>
    <w:rsid w:val="004F4EB6"/>
    <w:rsid w:val="004F4EDE"/>
    <w:rsid w:val="004F4EEA"/>
    <w:rsid w:val="004F4EF3"/>
    <w:rsid w:val="004F4F0F"/>
    <w:rsid w:val="004F4F70"/>
    <w:rsid w:val="004F4F7E"/>
    <w:rsid w:val="004F4FA3"/>
    <w:rsid w:val="004F4FD7"/>
    <w:rsid w:val="004F4FDB"/>
    <w:rsid w:val="004F5036"/>
    <w:rsid w:val="004F504E"/>
    <w:rsid w:val="004F505A"/>
    <w:rsid w:val="004F507B"/>
    <w:rsid w:val="004F50BB"/>
    <w:rsid w:val="004F50E5"/>
    <w:rsid w:val="004F5147"/>
    <w:rsid w:val="004F5149"/>
    <w:rsid w:val="004F5174"/>
    <w:rsid w:val="004F5220"/>
    <w:rsid w:val="004F5250"/>
    <w:rsid w:val="004F52BF"/>
    <w:rsid w:val="004F52C6"/>
    <w:rsid w:val="004F52FA"/>
    <w:rsid w:val="004F5311"/>
    <w:rsid w:val="004F5313"/>
    <w:rsid w:val="004F532A"/>
    <w:rsid w:val="004F53C6"/>
    <w:rsid w:val="004F53CB"/>
    <w:rsid w:val="004F5403"/>
    <w:rsid w:val="004F540A"/>
    <w:rsid w:val="004F542A"/>
    <w:rsid w:val="004F542C"/>
    <w:rsid w:val="004F5467"/>
    <w:rsid w:val="004F5500"/>
    <w:rsid w:val="004F553A"/>
    <w:rsid w:val="004F5582"/>
    <w:rsid w:val="004F55AA"/>
    <w:rsid w:val="004F55B5"/>
    <w:rsid w:val="004F55DD"/>
    <w:rsid w:val="004F5615"/>
    <w:rsid w:val="004F5631"/>
    <w:rsid w:val="004F5650"/>
    <w:rsid w:val="004F569F"/>
    <w:rsid w:val="004F56A2"/>
    <w:rsid w:val="004F56AD"/>
    <w:rsid w:val="004F56C5"/>
    <w:rsid w:val="004F56F0"/>
    <w:rsid w:val="004F5717"/>
    <w:rsid w:val="004F5729"/>
    <w:rsid w:val="004F5739"/>
    <w:rsid w:val="004F5789"/>
    <w:rsid w:val="004F57B8"/>
    <w:rsid w:val="004F5818"/>
    <w:rsid w:val="004F5887"/>
    <w:rsid w:val="004F58C5"/>
    <w:rsid w:val="004F5942"/>
    <w:rsid w:val="004F595D"/>
    <w:rsid w:val="004F59B7"/>
    <w:rsid w:val="004F5A11"/>
    <w:rsid w:val="004F5A19"/>
    <w:rsid w:val="004F5A35"/>
    <w:rsid w:val="004F5ABE"/>
    <w:rsid w:val="004F5AD9"/>
    <w:rsid w:val="004F5B22"/>
    <w:rsid w:val="004F5B4D"/>
    <w:rsid w:val="004F5B9C"/>
    <w:rsid w:val="004F5BFC"/>
    <w:rsid w:val="004F5C19"/>
    <w:rsid w:val="004F5C48"/>
    <w:rsid w:val="004F5C5C"/>
    <w:rsid w:val="004F5C73"/>
    <w:rsid w:val="004F5C87"/>
    <w:rsid w:val="004F5CBE"/>
    <w:rsid w:val="004F5D20"/>
    <w:rsid w:val="004F5D77"/>
    <w:rsid w:val="004F5DAA"/>
    <w:rsid w:val="004F5DEE"/>
    <w:rsid w:val="004F5DF6"/>
    <w:rsid w:val="004F5DF9"/>
    <w:rsid w:val="004F5E1B"/>
    <w:rsid w:val="004F5E74"/>
    <w:rsid w:val="004F5E9A"/>
    <w:rsid w:val="004F5EA0"/>
    <w:rsid w:val="004F5F19"/>
    <w:rsid w:val="004F5FC9"/>
    <w:rsid w:val="004F6009"/>
    <w:rsid w:val="004F6052"/>
    <w:rsid w:val="004F6060"/>
    <w:rsid w:val="004F606D"/>
    <w:rsid w:val="004F6076"/>
    <w:rsid w:val="004F60F1"/>
    <w:rsid w:val="004F60F7"/>
    <w:rsid w:val="004F6171"/>
    <w:rsid w:val="004F617B"/>
    <w:rsid w:val="004F6197"/>
    <w:rsid w:val="004F61A2"/>
    <w:rsid w:val="004F61AC"/>
    <w:rsid w:val="004F61E2"/>
    <w:rsid w:val="004F61E7"/>
    <w:rsid w:val="004F6203"/>
    <w:rsid w:val="004F6258"/>
    <w:rsid w:val="004F6270"/>
    <w:rsid w:val="004F6295"/>
    <w:rsid w:val="004F62FA"/>
    <w:rsid w:val="004F6320"/>
    <w:rsid w:val="004F635C"/>
    <w:rsid w:val="004F63E6"/>
    <w:rsid w:val="004F64C8"/>
    <w:rsid w:val="004F6528"/>
    <w:rsid w:val="004F6532"/>
    <w:rsid w:val="004F6553"/>
    <w:rsid w:val="004F65A0"/>
    <w:rsid w:val="004F65D4"/>
    <w:rsid w:val="004F6602"/>
    <w:rsid w:val="004F6622"/>
    <w:rsid w:val="004F662C"/>
    <w:rsid w:val="004F6638"/>
    <w:rsid w:val="004F6645"/>
    <w:rsid w:val="004F667B"/>
    <w:rsid w:val="004F66A0"/>
    <w:rsid w:val="004F66A4"/>
    <w:rsid w:val="004F66A6"/>
    <w:rsid w:val="004F66E2"/>
    <w:rsid w:val="004F675E"/>
    <w:rsid w:val="004F67EC"/>
    <w:rsid w:val="004F6812"/>
    <w:rsid w:val="004F6828"/>
    <w:rsid w:val="004F6866"/>
    <w:rsid w:val="004F688A"/>
    <w:rsid w:val="004F6917"/>
    <w:rsid w:val="004F6933"/>
    <w:rsid w:val="004F698D"/>
    <w:rsid w:val="004F69AB"/>
    <w:rsid w:val="004F6A2C"/>
    <w:rsid w:val="004F6A61"/>
    <w:rsid w:val="004F6A74"/>
    <w:rsid w:val="004F6A92"/>
    <w:rsid w:val="004F6A97"/>
    <w:rsid w:val="004F6ABE"/>
    <w:rsid w:val="004F6B23"/>
    <w:rsid w:val="004F6B2F"/>
    <w:rsid w:val="004F6B94"/>
    <w:rsid w:val="004F6B9F"/>
    <w:rsid w:val="004F6BCD"/>
    <w:rsid w:val="004F6BEC"/>
    <w:rsid w:val="004F6CE2"/>
    <w:rsid w:val="004F6CEE"/>
    <w:rsid w:val="004F6D20"/>
    <w:rsid w:val="004F6D3C"/>
    <w:rsid w:val="004F6D4B"/>
    <w:rsid w:val="004F6DBD"/>
    <w:rsid w:val="004F6DC4"/>
    <w:rsid w:val="004F6DCB"/>
    <w:rsid w:val="004F6E25"/>
    <w:rsid w:val="004F6E68"/>
    <w:rsid w:val="004F6EA6"/>
    <w:rsid w:val="004F6EF2"/>
    <w:rsid w:val="004F6F0B"/>
    <w:rsid w:val="004F6F5C"/>
    <w:rsid w:val="004F6F87"/>
    <w:rsid w:val="004F6F98"/>
    <w:rsid w:val="004F703D"/>
    <w:rsid w:val="004F7061"/>
    <w:rsid w:val="004F7086"/>
    <w:rsid w:val="004F70C8"/>
    <w:rsid w:val="004F70EB"/>
    <w:rsid w:val="004F717F"/>
    <w:rsid w:val="004F719E"/>
    <w:rsid w:val="004F71E3"/>
    <w:rsid w:val="004F7213"/>
    <w:rsid w:val="004F724A"/>
    <w:rsid w:val="004F72E1"/>
    <w:rsid w:val="004F72F0"/>
    <w:rsid w:val="004F7308"/>
    <w:rsid w:val="004F742E"/>
    <w:rsid w:val="004F744B"/>
    <w:rsid w:val="004F74B3"/>
    <w:rsid w:val="004F74BB"/>
    <w:rsid w:val="004F74C9"/>
    <w:rsid w:val="004F74FD"/>
    <w:rsid w:val="004F755B"/>
    <w:rsid w:val="004F7563"/>
    <w:rsid w:val="004F757E"/>
    <w:rsid w:val="004F758A"/>
    <w:rsid w:val="004F75DE"/>
    <w:rsid w:val="004F7657"/>
    <w:rsid w:val="004F7663"/>
    <w:rsid w:val="004F76A0"/>
    <w:rsid w:val="004F76C3"/>
    <w:rsid w:val="004F76DD"/>
    <w:rsid w:val="004F76FD"/>
    <w:rsid w:val="004F7719"/>
    <w:rsid w:val="004F7737"/>
    <w:rsid w:val="004F774C"/>
    <w:rsid w:val="004F774D"/>
    <w:rsid w:val="004F7759"/>
    <w:rsid w:val="004F77A4"/>
    <w:rsid w:val="004F781A"/>
    <w:rsid w:val="004F7856"/>
    <w:rsid w:val="004F7857"/>
    <w:rsid w:val="004F78F5"/>
    <w:rsid w:val="004F78F6"/>
    <w:rsid w:val="004F78FA"/>
    <w:rsid w:val="004F796B"/>
    <w:rsid w:val="004F7986"/>
    <w:rsid w:val="004F79B5"/>
    <w:rsid w:val="004F7A02"/>
    <w:rsid w:val="004F7A3A"/>
    <w:rsid w:val="004F7B31"/>
    <w:rsid w:val="004F7B39"/>
    <w:rsid w:val="004F7B60"/>
    <w:rsid w:val="004F7B69"/>
    <w:rsid w:val="004F7B80"/>
    <w:rsid w:val="004F7BB1"/>
    <w:rsid w:val="004F7BEC"/>
    <w:rsid w:val="004F7C03"/>
    <w:rsid w:val="004F7C29"/>
    <w:rsid w:val="004F7C31"/>
    <w:rsid w:val="004F7C54"/>
    <w:rsid w:val="004F7C68"/>
    <w:rsid w:val="004F7CA2"/>
    <w:rsid w:val="004F7CF5"/>
    <w:rsid w:val="004F7CFC"/>
    <w:rsid w:val="004F7D01"/>
    <w:rsid w:val="004F7D13"/>
    <w:rsid w:val="004F7D42"/>
    <w:rsid w:val="004F7D5B"/>
    <w:rsid w:val="004F7D62"/>
    <w:rsid w:val="004F7D7C"/>
    <w:rsid w:val="004F7DA4"/>
    <w:rsid w:val="004F7DF1"/>
    <w:rsid w:val="004F7DFC"/>
    <w:rsid w:val="004F7E0B"/>
    <w:rsid w:val="004F7E4E"/>
    <w:rsid w:val="004F7EA7"/>
    <w:rsid w:val="004F7EC4"/>
    <w:rsid w:val="004F7EF4"/>
    <w:rsid w:val="004F7F30"/>
    <w:rsid w:val="004F7F48"/>
    <w:rsid w:val="004F7FAA"/>
    <w:rsid w:val="004F7FAC"/>
    <w:rsid w:val="004F7FE9"/>
    <w:rsid w:val="0050005B"/>
    <w:rsid w:val="00500099"/>
    <w:rsid w:val="005000C0"/>
    <w:rsid w:val="005000D5"/>
    <w:rsid w:val="00500118"/>
    <w:rsid w:val="0050014D"/>
    <w:rsid w:val="0050017E"/>
    <w:rsid w:val="00500184"/>
    <w:rsid w:val="005001AA"/>
    <w:rsid w:val="005001BB"/>
    <w:rsid w:val="00500221"/>
    <w:rsid w:val="00500222"/>
    <w:rsid w:val="00500233"/>
    <w:rsid w:val="00500266"/>
    <w:rsid w:val="005002CC"/>
    <w:rsid w:val="0050036E"/>
    <w:rsid w:val="0050037D"/>
    <w:rsid w:val="0050039C"/>
    <w:rsid w:val="005003C6"/>
    <w:rsid w:val="00500405"/>
    <w:rsid w:val="0050041E"/>
    <w:rsid w:val="005004C2"/>
    <w:rsid w:val="005004C9"/>
    <w:rsid w:val="005004D8"/>
    <w:rsid w:val="00500509"/>
    <w:rsid w:val="0050054C"/>
    <w:rsid w:val="00500562"/>
    <w:rsid w:val="0050058D"/>
    <w:rsid w:val="005005E1"/>
    <w:rsid w:val="005005EA"/>
    <w:rsid w:val="0050065B"/>
    <w:rsid w:val="0050069D"/>
    <w:rsid w:val="00500797"/>
    <w:rsid w:val="0050079F"/>
    <w:rsid w:val="005007AB"/>
    <w:rsid w:val="005007B5"/>
    <w:rsid w:val="005007BC"/>
    <w:rsid w:val="0050081C"/>
    <w:rsid w:val="0050082D"/>
    <w:rsid w:val="00500837"/>
    <w:rsid w:val="0050086D"/>
    <w:rsid w:val="005008B3"/>
    <w:rsid w:val="005008E5"/>
    <w:rsid w:val="005008EC"/>
    <w:rsid w:val="005008EF"/>
    <w:rsid w:val="00500958"/>
    <w:rsid w:val="005009BE"/>
    <w:rsid w:val="005009D4"/>
    <w:rsid w:val="005009E2"/>
    <w:rsid w:val="005009EC"/>
    <w:rsid w:val="00500A1F"/>
    <w:rsid w:val="00500A24"/>
    <w:rsid w:val="00500A2D"/>
    <w:rsid w:val="00500A65"/>
    <w:rsid w:val="00500A67"/>
    <w:rsid w:val="00500A73"/>
    <w:rsid w:val="00500A86"/>
    <w:rsid w:val="00500B31"/>
    <w:rsid w:val="00500B49"/>
    <w:rsid w:val="00500B6E"/>
    <w:rsid w:val="00500BA7"/>
    <w:rsid w:val="00500BDC"/>
    <w:rsid w:val="00500BF4"/>
    <w:rsid w:val="00500C11"/>
    <w:rsid w:val="00500C4A"/>
    <w:rsid w:val="00500C4C"/>
    <w:rsid w:val="00500C59"/>
    <w:rsid w:val="00500C75"/>
    <w:rsid w:val="00500C8A"/>
    <w:rsid w:val="00500C91"/>
    <w:rsid w:val="00500CD3"/>
    <w:rsid w:val="00500CDC"/>
    <w:rsid w:val="00500E6B"/>
    <w:rsid w:val="00500E6D"/>
    <w:rsid w:val="00500E7A"/>
    <w:rsid w:val="00500ECE"/>
    <w:rsid w:val="00500F1C"/>
    <w:rsid w:val="00500FAF"/>
    <w:rsid w:val="00500FE5"/>
    <w:rsid w:val="0050106C"/>
    <w:rsid w:val="00501096"/>
    <w:rsid w:val="00501122"/>
    <w:rsid w:val="00501166"/>
    <w:rsid w:val="00501192"/>
    <w:rsid w:val="00501231"/>
    <w:rsid w:val="0050123C"/>
    <w:rsid w:val="005012D9"/>
    <w:rsid w:val="005012E1"/>
    <w:rsid w:val="00501326"/>
    <w:rsid w:val="0050134C"/>
    <w:rsid w:val="0050138F"/>
    <w:rsid w:val="005013DC"/>
    <w:rsid w:val="005013F5"/>
    <w:rsid w:val="00501414"/>
    <w:rsid w:val="00501430"/>
    <w:rsid w:val="00501487"/>
    <w:rsid w:val="00501493"/>
    <w:rsid w:val="005014AA"/>
    <w:rsid w:val="005014DD"/>
    <w:rsid w:val="0050150C"/>
    <w:rsid w:val="00501514"/>
    <w:rsid w:val="0050156B"/>
    <w:rsid w:val="005015B2"/>
    <w:rsid w:val="005015E1"/>
    <w:rsid w:val="005015E2"/>
    <w:rsid w:val="005015E6"/>
    <w:rsid w:val="005015F0"/>
    <w:rsid w:val="0050161C"/>
    <w:rsid w:val="0050164D"/>
    <w:rsid w:val="00501674"/>
    <w:rsid w:val="00501696"/>
    <w:rsid w:val="0050170E"/>
    <w:rsid w:val="00501715"/>
    <w:rsid w:val="00501754"/>
    <w:rsid w:val="005017CA"/>
    <w:rsid w:val="005017CC"/>
    <w:rsid w:val="005017E3"/>
    <w:rsid w:val="0050181F"/>
    <w:rsid w:val="00501823"/>
    <w:rsid w:val="00501859"/>
    <w:rsid w:val="00501864"/>
    <w:rsid w:val="005018BF"/>
    <w:rsid w:val="005018CD"/>
    <w:rsid w:val="005018DB"/>
    <w:rsid w:val="005018EB"/>
    <w:rsid w:val="00501901"/>
    <w:rsid w:val="00501931"/>
    <w:rsid w:val="0050194C"/>
    <w:rsid w:val="00501967"/>
    <w:rsid w:val="00501989"/>
    <w:rsid w:val="005019A1"/>
    <w:rsid w:val="005019AC"/>
    <w:rsid w:val="005019CA"/>
    <w:rsid w:val="005019DB"/>
    <w:rsid w:val="00501AEA"/>
    <w:rsid w:val="00501AF6"/>
    <w:rsid w:val="00501B12"/>
    <w:rsid w:val="00501B55"/>
    <w:rsid w:val="00501B71"/>
    <w:rsid w:val="00501B74"/>
    <w:rsid w:val="00501B95"/>
    <w:rsid w:val="00501B98"/>
    <w:rsid w:val="00501C18"/>
    <w:rsid w:val="00501C1E"/>
    <w:rsid w:val="00501C27"/>
    <w:rsid w:val="00501C39"/>
    <w:rsid w:val="00501C51"/>
    <w:rsid w:val="00501C7B"/>
    <w:rsid w:val="00501CC8"/>
    <w:rsid w:val="00501D09"/>
    <w:rsid w:val="00501D51"/>
    <w:rsid w:val="00501D63"/>
    <w:rsid w:val="00501D80"/>
    <w:rsid w:val="00501D90"/>
    <w:rsid w:val="00501DF7"/>
    <w:rsid w:val="00501E6A"/>
    <w:rsid w:val="00501EDA"/>
    <w:rsid w:val="00501F07"/>
    <w:rsid w:val="00501F4C"/>
    <w:rsid w:val="00501F59"/>
    <w:rsid w:val="00502007"/>
    <w:rsid w:val="00502014"/>
    <w:rsid w:val="00502017"/>
    <w:rsid w:val="00502037"/>
    <w:rsid w:val="00502053"/>
    <w:rsid w:val="00502059"/>
    <w:rsid w:val="005020A7"/>
    <w:rsid w:val="005020CE"/>
    <w:rsid w:val="005020D2"/>
    <w:rsid w:val="005020D4"/>
    <w:rsid w:val="005020EA"/>
    <w:rsid w:val="005021C3"/>
    <w:rsid w:val="005021CE"/>
    <w:rsid w:val="0050222B"/>
    <w:rsid w:val="00502238"/>
    <w:rsid w:val="00502241"/>
    <w:rsid w:val="0050228C"/>
    <w:rsid w:val="005022AF"/>
    <w:rsid w:val="005022DD"/>
    <w:rsid w:val="005022E3"/>
    <w:rsid w:val="005022E4"/>
    <w:rsid w:val="005022FC"/>
    <w:rsid w:val="00502326"/>
    <w:rsid w:val="0050236F"/>
    <w:rsid w:val="005023A8"/>
    <w:rsid w:val="00502433"/>
    <w:rsid w:val="005024CC"/>
    <w:rsid w:val="005025E8"/>
    <w:rsid w:val="00502673"/>
    <w:rsid w:val="00502690"/>
    <w:rsid w:val="005026F2"/>
    <w:rsid w:val="00502775"/>
    <w:rsid w:val="0050277A"/>
    <w:rsid w:val="00502794"/>
    <w:rsid w:val="005027C6"/>
    <w:rsid w:val="0050282C"/>
    <w:rsid w:val="00502893"/>
    <w:rsid w:val="005028E4"/>
    <w:rsid w:val="00502907"/>
    <w:rsid w:val="00502982"/>
    <w:rsid w:val="005029D0"/>
    <w:rsid w:val="005029DF"/>
    <w:rsid w:val="005029EF"/>
    <w:rsid w:val="005029F1"/>
    <w:rsid w:val="00502A8A"/>
    <w:rsid w:val="00502B44"/>
    <w:rsid w:val="00502B97"/>
    <w:rsid w:val="00502BCE"/>
    <w:rsid w:val="00502C0F"/>
    <w:rsid w:val="00502CC3"/>
    <w:rsid w:val="00502CCA"/>
    <w:rsid w:val="00502CE0"/>
    <w:rsid w:val="00502CEB"/>
    <w:rsid w:val="00502CEF"/>
    <w:rsid w:val="00502D2C"/>
    <w:rsid w:val="00502D51"/>
    <w:rsid w:val="00502D64"/>
    <w:rsid w:val="00502DA4"/>
    <w:rsid w:val="00502DE9"/>
    <w:rsid w:val="00502DED"/>
    <w:rsid w:val="00502EC6"/>
    <w:rsid w:val="00502F31"/>
    <w:rsid w:val="00502F70"/>
    <w:rsid w:val="00502F81"/>
    <w:rsid w:val="00502FA3"/>
    <w:rsid w:val="00502FE3"/>
    <w:rsid w:val="0050301B"/>
    <w:rsid w:val="00503045"/>
    <w:rsid w:val="00503050"/>
    <w:rsid w:val="00503087"/>
    <w:rsid w:val="005030AD"/>
    <w:rsid w:val="005030D6"/>
    <w:rsid w:val="00503104"/>
    <w:rsid w:val="0050311D"/>
    <w:rsid w:val="00503162"/>
    <w:rsid w:val="00503178"/>
    <w:rsid w:val="0050323B"/>
    <w:rsid w:val="0050325C"/>
    <w:rsid w:val="0050325F"/>
    <w:rsid w:val="00503267"/>
    <w:rsid w:val="00503271"/>
    <w:rsid w:val="00503283"/>
    <w:rsid w:val="00503288"/>
    <w:rsid w:val="005032BB"/>
    <w:rsid w:val="00503303"/>
    <w:rsid w:val="00503323"/>
    <w:rsid w:val="00503336"/>
    <w:rsid w:val="0050333C"/>
    <w:rsid w:val="00503370"/>
    <w:rsid w:val="0050337B"/>
    <w:rsid w:val="005033A2"/>
    <w:rsid w:val="005033D9"/>
    <w:rsid w:val="00503412"/>
    <w:rsid w:val="00503417"/>
    <w:rsid w:val="00503418"/>
    <w:rsid w:val="005034A1"/>
    <w:rsid w:val="00503511"/>
    <w:rsid w:val="0050352A"/>
    <w:rsid w:val="00503550"/>
    <w:rsid w:val="005035A3"/>
    <w:rsid w:val="005035E5"/>
    <w:rsid w:val="005035F7"/>
    <w:rsid w:val="0050360B"/>
    <w:rsid w:val="00503685"/>
    <w:rsid w:val="005036AF"/>
    <w:rsid w:val="005036C9"/>
    <w:rsid w:val="005036E7"/>
    <w:rsid w:val="0050377F"/>
    <w:rsid w:val="005037F9"/>
    <w:rsid w:val="0050388B"/>
    <w:rsid w:val="0050389A"/>
    <w:rsid w:val="005038DB"/>
    <w:rsid w:val="005038F0"/>
    <w:rsid w:val="00503929"/>
    <w:rsid w:val="0050392D"/>
    <w:rsid w:val="00503975"/>
    <w:rsid w:val="005039B6"/>
    <w:rsid w:val="00503A19"/>
    <w:rsid w:val="00503A5B"/>
    <w:rsid w:val="00503A85"/>
    <w:rsid w:val="00503B5D"/>
    <w:rsid w:val="00503B8E"/>
    <w:rsid w:val="00503BCF"/>
    <w:rsid w:val="00503C55"/>
    <w:rsid w:val="00503C73"/>
    <w:rsid w:val="00503CBC"/>
    <w:rsid w:val="00503CC6"/>
    <w:rsid w:val="00503CD4"/>
    <w:rsid w:val="00503D52"/>
    <w:rsid w:val="00503DB9"/>
    <w:rsid w:val="00503DC5"/>
    <w:rsid w:val="00503DC6"/>
    <w:rsid w:val="00503DEE"/>
    <w:rsid w:val="00503E0C"/>
    <w:rsid w:val="00503EEF"/>
    <w:rsid w:val="00503F11"/>
    <w:rsid w:val="00503F1A"/>
    <w:rsid w:val="00503F60"/>
    <w:rsid w:val="00504041"/>
    <w:rsid w:val="0050406B"/>
    <w:rsid w:val="005040A1"/>
    <w:rsid w:val="005040C6"/>
    <w:rsid w:val="00504117"/>
    <w:rsid w:val="00504118"/>
    <w:rsid w:val="00504133"/>
    <w:rsid w:val="00504171"/>
    <w:rsid w:val="00504190"/>
    <w:rsid w:val="005041BB"/>
    <w:rsid w:val="00504276"/>
    <w:rsid w:val="0050428E"/>
    <w:rsid w:val="005042B8"/>
    <w:rsid w:val="005042BB"/>
    <w:rsid w:val="005042BD"/>
    <w:rsid w:val="0050432E"/>
    <w:rsid w:val="0050433D"/>
    <w:rsid w:val="0050437D"/>
    <w:rsid w:val="00504395"/>
    <w:rsid w:val="005043DA"/>
    <w:rsid w:val="00504427"/>
    <w:rsid w:val="00504460"/>
    <w:rsid w:val="00504523"/>
    <w:rsid w:val="0050452B"/>
    <w:rsid w:val="00504542"/>
    <w:rsid w:val="005045EB"/>
    <w:rsid w:val="005045ED"/>
    <w:rsid w:val="005045FA"/>
    <w:rsid w:val="00504601"/>
    <w:rsid w:val="00504622"/>
    <w:rsid w:val="00504649"/>
    <w:rsid w:val="005046B5"/>
    <w:rsid w:val="0050473B"/>
    <w:rsid w:val="00504755"/>
    <w:rsid w:val="005047A4"/>
    <w:rsid w:val="005047CD"/>
    <w:rsid w:val="005047E6"/>
    <w:rsid w:val="0050485E"/>
    <w:rsid w:val="00504874"/>
    <w:rsid w:val="005048E1"/>
    <w:rsid w:val="00504920"/>
    <w:rsid w:val="00504964"/>
    <w:rsid w:val="005049C4"/>
    <w:rsid w:val="005049E9"/>
    <w:rsid w:val="00504A7B"/>
    <w:rsid w:val="00504AE8"/>
    <w:rsid w:val="00504B3E"/>
    <w:rsid w:val="00504B55"/>
    <w:rsid w:val="00504B62"/>
    <w:rsid w:val="00504B6B"/>
    <w:rsid w:val="00504B9B"/>
    <w:rsid w:val="00504BAA"/>
    <w:rsid w:val="00504C15"/>
    <w:rsid w:val="00504C19"/>
    <w:rsid w:val="00504C4B"/>
    <w:rsid w:val="00504D1C"/>
    <w:rsid w:val="00504D24"/>
    <w:rsid w:val="00504D77"/>
    <w:rsid w:val="00504D9B"/>
    <w:rsid w:val="00504DC0"/>
    <w:rsid w:val="00504DC3"/>
    <w:rsid w:val="00504DE2"/>
    <w:rsid w:val="00504E14"/>
    <w:rsid w:val="00504E27"/>
    <w:rsid w:val="00504E29"/>
    <w:rsid w:val="00504E48"/>
    <w:rsid w:val="00504E4E"/>
    <w:rsid w:val="00504E54"/>
    <w:rsid w:val="00504E57"/>
    <w:rsid w:val="00504E92"/>
    <w:rsid w:val="00504EAB"/>
    <w:rsid w:val="00504ECB"/>
    <w:rsid w:val="00504F5C"/>
    <w:rsid w:val="00504F82"/>
    <w:rsid w:val="00504F8A"/>
    <w:rsid w:val="00504F8D"/>
    <w:rsid w:val="00504FBB"/>
    <w:rsid w:val="00504FF9"/>
    <w:rsid w:val="00504FFE"/>
    <w:rsid w:val="00505010"/>
    <w:rsid w:val="00505059"/>
    <w:rsid w:val="0050506E"/>
    <w:rsid w:val="00505122"/>
    <w:rsid w:val="0050515B"/>
    <w:rsid w:val="005051B2"/>
    <w:rsid w:val="005051D9"/>
    <w:rsid w:val="005051EA"/>
    <w:rsid w:val="005052C2"/>
    <w:rsid w:val="005052CC"/>
    <w:rsid w:val="005052DB"/>
    <w:rsid w:val="00505435"/>
    <w:rsid w:val="00505446"/>
    <w:rsid w:val="00505494"/>
    <w:rsid w:val="005054FC"/>
    <w:rsid w:val="0050556B"/>
    <w:rsid w:val="00505572"/>
    <w:rsid w:val="00505579"/>
    <w:rsid w:val="005055B1"/>
    <w:rsid w:val="005055CB"/>
    <w:rsid w:val="005055E8"/>
    <w:rsid w:val="0050562A"/>
    <w:rsid w:val="005056C3"/>
    <w:rsid w:val="0050577A"/>
    <w:rsid w:val="0050577D"/>
    <w:rsid w:val="005057C9"/>
    <w:rsid w:val="00505808"/>
    <w:rsid w:val="00505829"/>
    <w:rsid w:val="005058A3"/>
    <w:rsid w:val="005058AB"/>
    <w:rsid w:val="005058B9"/>
    <w:rsid w:val="005058C1"/>
    <w:rsid w:val="005058D2"/>
    <w:rsid w:val="005058FC"/>
    <w:rsid w:val="0050590B"/>
    <w:rsid w:val="0050590D"/>
    <w:rsid w:val="00505931"/>
    <w:rsid w:val="0050593A"/>
    <w:rsid w:val="0050594E"/>
    <w:rsid w:val="0050598D"/>
    <w:rsid w:val="005059E7"/>
    <w:rsid w:val="00505A2D"/>
    <w:rsid w:val="00505A56"/>
    <w:rsid w:val="00505A57"/>
    <w:rsid w:val="00505A5A"/>
    <w:rsid w:val="00505A89"/>
    <w:rsid w:val="00505A8D"/>
    <w:rsid w:val="00505A9C"/>
    <w:rsid w:val="00505AB7"/>
    <w:rsid w:val="00505AFE"/>
    <w:rsid w:val="00505B1A"/>
    <w:rsid w:val="00505B3A"/>
    <w:rsid w:val="00505B6E"/>
    <w:rsid w:val="00505BCC"/>
    <w:rsid w:val="00505D0A"/>
    <w:rsid w:val="00505D0E"/>
    <w:rsid w:val="00505D21"/>
    <w:rsid w:val="00505D43"/>
    <w:rsid w:val="00505DA2"/>
    <w:rsid w:val="00505DA6"/>
    <w:rsid w:val="00505DF1"/>
    <w:rsid w:val="00505E34"/>
    <w:rsid w:val="00505EAC"/>
    <w:rsid w:val="00505EBF"/>
    <w:rsid w:val="00505EC6"/>
    <w:rsid w:val="00505EF6"/>
    <w:rsid w:val="00505EFD"/>
    <w:rsid w:val="00505F78"/>
    <w:rsid w:val="00505F85"/>
    <w:rsid w:val="00505F87"/>
    <w:rsid w:val="00505FCC"/>
    <w:rsid w:val="00505FF0"/>
    <w:rsid w:val="005060EE"/>
    <w:rsid w:val="005060FA"/>
    <w:rsid w:val="00506101"/>
    <w:rsid w:val="00506107"/>
    <w:rsid w:val="0050611E"/>
    <w:rsid w:val="00506135"/>
    <w:rsid w:val="0050616A"/>
    <w:rsid w:val="0050619C"/>
    <w:rsid w:val="005061AE"/>
    <w:rsid w:val="005061AF"/>
    <w:rsid w:val="005061B3"/>
    <w:rsid w:val="0050623A"/>
    <w:rsid w:val="00506276"/>
    <w:rsid w:val="005062F9"/>
    <w:rsid w:val="00506313"/>
    <w:rsid w:val="00506327"/>
    <w:rsid w:val="0050637D"/>
    <w:rsid w:val="0050637E"/>
    <w:rsid w:val="0050638E"/>
    <w:rsid w:val="00506415"/>
    <w:rsid w:val="00506437"/>
    <w:rsid w:val="00506479"/>
    <w:rsid w:val="005064EF"/>
    <w:rsid w:val="00506506"/>
    <w:rsid w:val="0050653A"/>
    <w:rsid w:val="005065A0"/>
    <w:rsid w:val="00506618"/>
    <w:rsid w:val="00506621"/>
    <w:rsid w:val="00506623"/>
    <w:rsid w:val="005066A3"/>
    <w:rsid w:val="005066BF"/>
    <w:rsid w:val="00506722"/>
    <w:rsid w:val="00506736"/>
    <w:rsid w:val="00506785"/>
    <w:rsid w:val="005067B7"/>
    <w:rsid w:val="0050680B"/>
    <w:rsid w:val="0050682E"/>
    <w:rsid w:val="00506858"/>
    <w:rsid w:val="005068BB"/>
    <w:rsid w:val="005068C4"/>
    <w:rsid w:val="00506916"/>
    <w:rsid w:val="00506918"/>
    <w:rsid w:val="00506971"/>
    <w:rsid w:val="00506A25"/>
    <w:rsid w:val="00506A46"/>
    <w:rsid w:val="00506A65"/>
    <w:rsid w:val="00506A9D"/>
    <w:rsid w:val="00506B85"/>
    <w:rsid w:val="00506B90"/>
    <w:rsid w:val="00506B9A"/>
    <w:rsid w:val="00506BD7"/>
    <w:rsid w:val="00506BEC"/>
    <w:rsid w:val="00506C00"/>
    <w:rsid w:val="00506C0F"/>
    <w:rsid w:val="00506C16"/>
    <w:rsid w:val="00506C17"/>
    <w:rsid w:val="00506C31"/>
    <w:rsid w:val="00506C81"/>
    <w:rsid w:val="00506CD3"/>
    <w:rsid w:val="00506CF8"/>
    <w:rsid w:val="00506D53"/>
    <w:rsid w:val="00506D60"/>
    <w:rsid w:val="00506D73"/>
    <w:rsid w:val="00506DBF"/>
    <w:rsid w:val="00506DE3"/>
    <w:rsid w:val="00506DFF"/>
    <w:rsid w:val="00506E4F"/>
    <w:rsid w:val="00506E84"/>
    <w:rsid w:val="00506EAB"/>
    <w:rsid w:val="00506EBD"/>
    <w:rsid w:val="00506ED4"/>
    <w:rsid w:val="00506ED8"/>
    <w:rsid w:val="00506EE4"/>
    <w:rsid w:val="00506F2D"/>
    <w:rsid w:val="00506FF9"/>
    <w:rsid w:val="00507042"/>
    <w:rsid w:val="0050707F"/>
    <w:rsid w:val="0050708C"/>
    <w:rsid w:val="0050717E"/>
    <w:rsid w:val="00507194"/>
    <w:rsid w:val="005071AE"/>
    <w:rsid w:val="005071BC"/>
    <w:rsid w:val="005071E5"/>
    <w:rsid w:val="005071E9"/>
    <w:rsid w:val="0050721F"/>
    <w:rsid w:val="00507274"/>
    <w:rsid w:val="005072C7"/>
    <w:rsid w:val="005072C8"/>
    <w:rsid w:val="005072D2"/>
    <w:rsid w:val="005072E2"/>
    <w:rsid w:val="0050737C"/>
    <w:rsid w:val="005073D4"/>
    <w:rsid w:val="00507424"/>
    <w:rsid w:val="00507432"/>
    <w:rsid w:val="00507437"/>
    <w:rsid w:val="00507452"/>
    <w:rsid w:val="00507473"/>
    <w:rsid w:val="005074A7"/>
    <w:rsid w:val="005074AA"/>
    <w:rsid w:val="005074AF"/>
    <w:rsid w:val="005074B8"/>
    <w:rsid w:val="0050763E"/>
    <w:rsid w:val="0050763F"/>
    <w:rsid w:val="00507670"/>
    <w:rsid w:val="0050769C"/>
    <w:rsid w:val="00507733"/>
    <w:rsid w:val="00507758"/>
    <w:rsid w:val="00507772"/>
    <w:rsid w:val="005077A5"/>
    <w:rsid w:val="005077EF"/>
    <w:rsid w:val="005077F9"/>
    <w:rsid w:val="00507818"/>
    <w:rsid w:val="00507829"/>
    <w:rsid w:val="00507858"/>
    <w:rsid w:val="005078B6"/>
    <w:rsid w:val="005078FB"/>
    <w:rsid w:val="0050798B"/>
    <w:rsid w:val="00507995"/>
    <w:rsid w:val="005079DC"/>
    <w:rsid w:val="00507A58"/>
    <w:rsid w:val="00507A9C"/>
    <w:rsid w:val="00507ACF"/>
    <w:rsid w:val="00507B3E"/>
    <w:rsid w:val="00507B97"/>
    <w:rsid w:val="00507BCF"/>
    <w:rsid w:val="00507C04"/>
    <w:rsid w:val="00507C1F"/>
    <w:rsid w:val="00507CAD"/>
    <w:rsid w:val="00507CD4"/>
    <w:rsid w:val="00507CDE"/>
    <w:rsid w:val="00507D46"/>
    <w:rsid w:val="00507D60"/>
    <w:rsid w:val="00507DCC"/>
    <w:rsid w:val="00507DDC"/>
    <w:rsid w:val="00507DF0"/>
    <w:rsid w:val="00507E4D"/>
    <w:rsid w:val="00507EBB"/>
    <w:rsid w:val="00507EE9"/>
    <w:rsid w:val="00507FB1"/>
    <w:rsid w:val="0051003F"/>
    <w:rsid w:val="00510073"/>
    <w:rsid w:val="0051008B"/>
    <w:rsid w:val="00510090"/>
    <w:rsid w:val="005100D0"/>
    <w:rsid w:val="00510164"/>
    <w:rsid w:val="0051018F"/>
    <w:rsid w:val="005101C4"/>
    <w:rsid w:val="005101F7"/>
    <w:rsid w:val="0051028B"/>
    <w:rsid w:val="00510292"/>
    <w:rsid w:val="0051032F"/>
    <w:rsid w:val="00510380"/>
    <w:rsid w:val="00510381"/>
    <w:rsid w:val="005103BF"/>
    <w:rsid w:val="00510405"/>
    <w:rsid w:val="0051041C"/>
    <w:rsid w:val="00510447"/>
    <w:rsid w:val="0051048C"/>
    <w:rsid w:val="005104EE"/>
    <w:rsid w:val="00510516"/>
    <w:rsid w:val="00510595"/>
    <w:rsid w:val="0051059C"/>
    <w:rsid w:val="00510604"/>
    <w:rsid w:val="005106B4"/>
    <w:rsid w:val="00510718"/>
    <w:rsid w:val="00510743"/>
    <w:rsid w:val="00510758"/>
    <w:rsid w:val="0051076D"/>
    <w:rsid w:val="0051077F"/>
    <w:rsid w:val="00510795"/>
    <w:rsid w:val="005107A3"/>
    <w:rsid w:val="005107A6"/>
    <w:rsid w:val="0051088F"/>
    <w:rsid w:val="005108A4"/>
    <w:rsid w:val="005108A6"/>
    <w:rsid w:val="005108AE"/>
    <w:rsid w:val="005108F7"/>
    <w:rsid w:val="005108FC"/>
    <w:rsid w:val="00510961"/>
    <w:rsid w:val="00510974"/>
    <w:rsid w:val="0051099A"/>
    <w:rsid w:val="005109BC"/>
    <w:rsid w:val="00510A19"/>
    <w:rsid w:val="00510A69"/>
    <w:rsid w:val="00510A75"/>
    <w:rsid w:val="00510AC6"/>
    <w:rsid w:val="00510B07"/>
    <w:rsid w:val="00510B57"/>
    <w:rsid w:val="00510B70"/>
    <w:rsid w:val="00510BC9"/>
    <w:rsid w:val="00510C22"/>
    <w:rsid w:val="00510C30"/>
    <w:rsid w:val="00510C40"/>
    <w:rsid w:val="00510C91"/>
    <w:rsid w:val="00510CB4"/>
    <w:rsid w:val="00510CF6"/>
    <w:rsid w:val="00510D13"/>
    <w:rsid w:val="00510D6A"/>
    <w:rsid w:val="00510DA7"/>
    <w:rsid w:val="00510DB2"/>
    <w:rsid w:val="00510DBB"/>
    <w:rsid w:val="00510DF3"/>
    <w:rsid w:val="00510E42"/>
    <w:rsid w:val="00510E4E"/>
    <w:rsid w:val="00510E92"/>
    <w:rsid w:val="00510F70"/>
    <w:rsid w:val="00510F76"/>
    <w:rsid w:val="00510F7C"/>
    <w:rsid w:val="0051107B"/>
    <w:rsid w:val="0051107F"/>
    <w:rsid w:val="00511084"/>
    <w:rsid w:val="005110E1"/>
    <w:rsid w:val="00511121"/>
    <w:rsid w:val="0051116C"/>
    <w:rsid w:val="00511182"/>
    <w:rsid w:val="0051119A"/>
    <w:rsid w:val="005111A9"/>
    <w:rsid w:val="005111F1"/>
    <w:rsid w:val="00511217"/>
    <w:rsid w:val="005112B8"/>
    <w:rsid w:val="005112C8"/>
    <w:rsid w:val="005112F4"/>
    <w:rsid w:val="00511304"/>
    <w:rsid w:val="005113F3"/>
    <w:rsid w:val="0051140D"/>
    <w:rsid w:val="0051143A"/>
    <w:rsid w:val="00511481"/>
    <w:rsid w:val="00511497"/>
    <w:rsid w:val="005115FD"/>
    <w:rsid w:val="00511611"/>
    <w:rsid w:val="00511645"/>
    <w:rsid w:val="0051166E"/>
    <w:rsid w:val="0051167B"/>
    <w:rsid w:val="0051170A"/>
    <w:rsid w:val="0051172C"/>
    <w:rsid w:val="00511738"/>
    <w:rsid w:val="00511764"/>
    <w:rsid w:val="00511792"/>
    <w:rsid w:val="005117A6"/>
    <w:rsid w:val="005117CE"/>
    <w:rsid w:val="005117EE"/>
    <w:rsid w:val="005118D9"/>
    <w:rsid w:val="0051197E"/>
    <w:rsid w:val="005119A2"/>
    <w:rsid w:val="005119C6"/>
    <w:rsid w:val="005119C8"/>
    <w:rsid w:val="005119D3"/>
    <w:rsid w:val="005119E6"/>
    <w:rsid w:val="005119EA"/>
    <w:rsid w:val="005119FD"/>
    <w:rsid w:val="00511A07"/>
    <w:rsid w:val="00511A81"/>
    <w:rsid w:val="00511A94"/>
    <w:rsid w:val="00511AAF"/>
    <w:rsid w:val="00511AB3"/>
    <w:rsid w:val="00511AC0"/>
    <w:rsid w:val="00511AE0"/>
    <w:rsid w:val="00511AFB"/>
    <w:rsid w:val="00511B02"/>
    <w:rsid w:val="00511B0A"/>
    <w:rsid w:val="00511B3C"/>
    <w:rsid w:val="00511C18"/>
    <w:rsid w:val="00511C45"/>
    <w:rsid w:val="00511C89"/>
    <w:rsid w:val="00511CBA"/>
    <w:rsid w:val="00511CC2"/>
    <w:rsid w:val="00511CD5"/>
    <w:rsid w:val="00511CE3"/>
    <w:rsid w:val="00511CF7"/>
    <w:rsid w:val="00511CFD"/>
    <w:rsid w:val="00511D0A"/>
    <w:rsid w:val="00511D1F"/>
    <w:rsid w:val="00511D33"/>
    <w:rsid w:val="00511D61"/>
    <w:rsid w:val="00511D86"/>
    <w:rsid w:val="00511DD8"/>
    <w:rsid w:val="00511DE5"/>
    <w:rsid w:val="00511E14"/>
    <w:rsid w:val="00511E43"/>
    <w:rsid w:val="00511E44"/>
    <w:rsid w:val="00511E53"/>
    <w:rsid w:val="00511E68"/>
    <w:rsid w:val="00511E90"/>
    <w:rsid w:val="00511EEC"/>
    <w:rsid w:val="00511F5E"/>
    <w:rsid w:val="00511F99"/>
    <w:rsid w:val="00511F9E"/>
    <w:rsid w:val="00511FD9"/>
    <w:rsid w:val="00512082"/>
    <w:rsid w:val="005120AF"/>
    <w:rsid w:val="005120C8"/>
    <w:rsid w:val="005120CB"/>
    <w:rsid w:val="005120CF"/>
    <w:rsid w:val="005120EB"/>
    <w:rsid w:val="0051213A"/>
    <w:rsid w:val="00512148"/>
    <w:rsid w:val="00512173"/>
    <w:rsid w:val="00512179"/>
    <w:rsid w:val="00512181"/>
    <w:rsid w:val="00512185"/>
    <w:rsid w:val="005121EB"/>
    <w:rsid w:val="0051220E"/>
    <w:rsid w:val="00512218"/>
    <w:rsid w:val="0051228F"/>
    <w:rsid w:val="005122ED"/>
    <w:rsid w:val="00512327"/>
    <w:rsid w:val="0051232F"/>
    <w:rsid w:val="00512333"/>
    <w:rsid w:val="0051233E"/>
    <w:rsid w:val="00512384"/>
    <w:rsid w:val="00512390"/>
    <w:rsid w:val="005123E9"/>
    <w:rsid w:val="005123ED"/>
    <w:rsid w:val="0051242C"/>
    <w:rsid w:val="0051245C"/>
    <w:rsid w:val="005124B9"/>
    <w:rsid w:val="005124CA"/>
    <w:rsid w:val="005124CF"/>
    <w:rsid w:val="00512508"/>
    <w:rsid w:val="00512525"/>
    <w:rsid w:val="005125B4"/>
    <w:rsid w:val="005125F4"/>
    <w:rsid w:val="00512635"/>
    <w:rsid w:val="0051263A"/>
    <w:rsid w:val="00512687"/>
    <w:rsid w:val="0051273C"/>
    <w:rsid w:val="0051275E"/>
    <w:rsid w:val="00512770"/>
    <w:rsid w:val="005127B7"/>
    <w:rsid w:val="005127CA"/>
    <w:rsid w:val="005127D9"/>
    <w:rsid w:val="005127EE"/>
    <w:rsid w:val="00512801"/>
    <w:rsid w:val="00512804"/>
    <w:rsid w:val="0051281F"/>
    <w:rsid w:val="00512834"/>
    <w:rsid w:val="005128C3"/>
    <w:rsid w:val="005128D3"/>
    <w:rsid w:val="005128EA"/>
    <w:rsid w:val="00512903"/>
    <w:rsid w:val="0051291F"/>
    <w:rsid w:val="00512928"/>
    <w:rsid w:val="00512948"/>
    <w:rsid w:val="005129B5"/>
    <w:rsid w:val="00512A55"/>
    <w:rsid w:val="00512A7B"/>
    <w:rsid w:val="00512A7C"/>
    <w:rsid w:val="00512A9C"/>
    <w:rsid w:val="00512AB7"/>
    <w:rsid w:val="00512ADE"/>
    <w:rsid w:val="00512ADF"/>
    <w:rsid w:val="00512AE8"/>
    <w:rsid w:val="00512B31"/>
    <w:rsid w:val="00512B36"/>
    <w:rsid w:val="00512B3C"/>
    <w:rsid w:val="00512B9E"/>
    <w:rsid w:val="00512BBF"/>
    <w:rsid w:val="00512BC1"/>
    <w:rsid w:val="00512C15"/>
    <w:rsid w:val="00512C2B"/>
    <w:rsid w:val="00512C52"/>
    <w:rsid w:val="00512CB4"/>
    <w:rsid w:val="00512CB9"/>
    <w:rsid w:val="00512D1A"/>
    <w:rsid w:val="00512D48"/>
    <w:rsid w:val="00512D4C"/>
    <w:rsid w:val="00512D70"/>
    <w:rsid w:val="00512D75"/>
    <w:rsid w:val="00512D7E"/>
    <w:rsid w:val="00512D97"/>
    <w:rsid w:val="00512E0B"/>
    <w:rsid w:val="00512EE5"/>
    <w:rsid w:val="00512EF1"/>
    <w:rsid w:val="00512F2D"/>
    <w:rsid w:val="00512F3B"/>
    <w:rsid w:val="00512F68"/>
    <w:rsid w:val="00513024"/>
    <w:rsid w:val="00513026"/>
    <w:rsid w:val="005130F2"/>
    <w:rsid w:val="00513138"/>
    <w:rsid w:val="0051313A"/>
    <w:rsid w:val="0051319B"/>
    <w:rsid w:val="005131A3"/>
    <w:rsid w:val="005131E9"/>
    <w:rsid w:val="005131F4"/>
    <w:rsid w:val="0051321E"/>
    <w:rsid w:val="00513280"/>
    <w:rsid w:val="005132B5"/>
    <w:rsid w:val="005132C2"/>
    <w:rsid w:val="00513315"/>
    <w:rsid w:val="0051333D"/>
    <w:rsid w:val="0051335C"/>
    <w:rsid w:val="00513378"/>
    <w:rsid w:val="00513398"/>
    <w:rsid w:val="005133D9"/>
    <w:rsid w:val="005133FE"/>
    <w:rsid w:val="00513440"/>
    <w:rsid w:val="005134B0"/>
    <w:rsid w:val="005134C0"/>
    <w:rsid w:val="005134D8"/>
    <w:rsid w:val="005134E1"/>
    <w:rsid w:val="00513571"/>
    <w:rsid w:val="00513596"/>
    <w:rsid w:val="005135C6"/>
    <w:rsid w:val="005135D9"/>
    <w:rsid w:val="005135FE"/>
    <w:rsid w:val="00513636"/>
    <w:rsid w:val="0051365E"/>
    <w:rsid w:val="0051366A"/>
    <w:rsid w:val="00513676"/>
    <w:rsid w:val="0051375A"/>
    <w:rsid w:val="00513764"/>
    <w:rsid w:val="00513794"/>
    <w:rsid w:val="00513842"/>
    <w:rsid w:val="0051387A"/>
    <w:rsid w:val="00513881"/>
    <w:rsid w:val="005138E1"/>
    <w:rsid w:val="00513911"/>
    <w:rsid w:val="00513926"/>
    <w:rsid w:val="00513928"/>
    <w:rsid w:val="00513949"/>
    <w:rsid w:val="0051396E"/>
    <w:rsid w:val="005139BF"/>
    <w:rsid w:val="00513A6D"/>
    <w:rsid w:val="00513A8F"/>
    <w:rsid w:val="00513AA1"/>
    <w:rsid w:val="00513ACF"/>
    <w:rsid w:val="00513B10"/>
    <w:rsid w:val="00513BA8"/>
    <w:rsid w:val="00513BF3"/>
    <w:rsid w:val="00513C14"/>
    <w:rsid w:val="00513C65"/>
    <w:rsid w:val="00513C70"/>
    <w:rsid w:val="00513C9A"/>
    <w:rsid w:val="00513CCA"/>
    <w:rsid w:val="00513CDD"/>
    <w:rsid w:val="00513D09"/>
    <w:rsid w:val="00513D6D"/>
    <w:rsid w:val="00513D77"/>
    <w:rsid w:val="00513DC6"/>
    <w:rsid w:val="00513DCC"/>
    <w:rsid w:val="00513DE5"/>
    <w:rsid w:val="00513DE9"/>
    <w:rsid w:val="00513E15"/>
    <w:rsid w:val="00513E5E"/>
    <w:rsid w:val="00513EA3"/>
    <w:rsid w:val="00513EF6"/>
    <w:rsid w:val="00513FFC"/>
    <w:rsid w:val="0051407A"/>
    <w:rsid w:val="0051410B"/>
    <w:rsid w:val="00514123"/>
    <w:rsid w:val="00514150"/>
    <w:rsid w:val="00514167"/>
    <w:rsid w:val="00514175"/>
    <w:rsid w:val="00514187"/>
    <w:rsid w:val="005141C7"/>
    <w:rsid w:val="00514205"/>
    <w:rsid w:val="0051421F"/>
    <w:rsid w:val="00514223"/>
    <w:rsid w:val="00514300"/>
    <w:rsid w:val="0051431F"/>
    <w:rsid w:val="0051432D"/>
    <w:rsid w:val="00514357"/>
    <w:rsid w:val="00514370"/>
    <w:rsid w:val="00514397"/>
    <w:rsid w:val="00514408"/>
    <w:rsid w:val="00514422"/>
    <w:rsid w:val="005144DA"/>
    <w:rsid w:val="005144F3"/>
    <w:rsid w:val="0051456A"/>
    <w:rsid w:val="0051458D"/>
    <w:rsid w:val="00514619"/>
    <w:rsid w:val="0051461B"/>
    <w:rsid w:val="0051463D"/>
    <w:rsid w:val="00514679"/>
    <w:rsid w:val="005146A7"/>
    <w:rsid w:val="005146C8"/>
    <w:rsid w:val="00514758"/>
    <w:rsid w:val="0051479C"/>
    <w:rsid w:val="005147CE"/>
    <w:rsid w:val="00514840"/>
    <w:rsid w:val="00514880"/>
    <w:rsid w:val="005148AA"/>
    <w:rsid w:val="005148DE"/>
    <w:rsid w:val="00514907"/>
    <w:rsid w:val="00514917"/>
    <w:rsid w:val="0051492D"/>
    <w:rsid w:val="0051498E"/>
    <w:rsid w:val="00514999"/>
    <w:rsid w:val="005149AC"/>
    <w:rsid w:val="00514A44"/>
    <w:rsid w:val="00514AAE"/>
    <w:rsid w:val="00514ACD"/>
    <w:rsid w:val="00514B28"/>
    <w:rsid w:val="00514B35"/>
    <w:rsid w:val="00514B5B"/>
    <w:rsid w:val="00514B85"/>
    <w:rsid w:val="00514B86"/>
    <w:rsid w:val="00514BC4"/>
    <w:rsid w:val="00514BDC"/>
    <w:rsid w:val="00514CA4"/>
    <w:rsid w:val="00514CE7"/>
    <w:rsid w:val="00514D0A"/>
    <w:rsid w:val="00514D20"/>
    <w:rsid w:val="00514D5B"/>
    <w:rsid w:val="00514D6C"/>
    <w:rsid w:val="00514E24"/>
    <w:rsid w:val="00514E45"/>
    <w:rsid w:val="00514E4E"/>
    <w:rsid w:val="00514E6D"/>
    <w:rsid w:val="00514E9D"/>
    <w:rsid w:val="00514F5A"/>
    <w:rsid w:val="00514F93"/>
    <w:rsid w:val="00514FEC"/>
    <w:rsid w:val="00515014"/>
    <w:rsid w:val="005150C2"/>
    <w:rsid w:val="005150F3"/>
    <w:rsid w:val="005150FB"/>
    <w:rsid w:val="00515177"/>
    <w:rsid w:val="005151EE"/>
    <w:rsid w:val="00515202"/>
    <w:rsid w:val="00515225"/>
    <w:rsid w:val="00515236"/>
    <w:rsid w:val="0051530C"/>
    <w:rsid w:val="00515320"/>
    <w:rsid w:val="0051535B"/>
    <w:rsid w:val="005153CD"/>
    <w:rsid w:val="005153FF"/>
    <w:rsid w:val="0051542D"/>
    <w:rsid w:val="0051543F"/>
    <w:rsid w:val="00515476"/>
    <w:rsid w:val="005154A4"/>
    <w:rsid w:val="005154CE"/>
    <w:rsid w:val="0051550A"/>
    <w:rsid w:val="00515540"/>
    <w:rsid w:val="00515590"/>
    <w:rsid w:val="00515596"/>
    <w:rsid w:val="005155BA"/>
    <w:rsid w:val="005155D2"/>
    <w:rsid w:val="005155D6"/>
    <w:rsid w:val="005155E0"/>
    <w:rsid w:val="00515656"/>
    <w:rsid w:val="00515683"/>
    <w:rsid w:val="0051568E"/>
    <w:rsid w:val="00515695"/>
    <w:rsid w:val="005156B1"/>
    <w:rsid w:val="0051570D"/>
    <w:rsid w:val="00515791"/>
    <w:rsid w:val="005157E0"/>
    <w:rsid w:val="005158C2"/>
    <w:rsid w:val="005158D8"/>
    <w:rsid w:val="0051592E"/>
    <w:rsid w:val="00515931"/>
    <w:rsid w:val="00515947"/>
    <w:rsid w:val="0051595A"/>
    <w:rsid w:val="005159E3"/>
    <w:rsid w:val="00515A0B"/>
    <w:rsid w:val="00515A17"/>
    <w:rsid w:val="00515AAC"/>
    <w:rsid w:val="00515B15"/>
    <w:rsid w:val="00515B1D"/>
    <w:rsid w:val="00515B2B"/>
    <w:rsid w:val="00515B5B"/>
    <w:rsid w:val="00515B6C"/>
    <w:rsid w:val="00515BAE"/>
    <w:rsid w:val="00515BE1"/>
    <w:rsid w:val="00515BF2"/>
    <w:rsid w:val="00515C18"/>
    <w:rsid w:val="00515C1C"/>
    <w:rsid w:val="00515C28"/>
    <w:rsid w:val="00515C38"/>
    <w:rsid w:val="00515C6A"/>
    <w:rsid w:val="00515CBD"/>
    <w:rsid w:val="00515CE7"/>
    <w:rsid w:val="00515CF3"/>
    <w:rsid w:val="00515D64"/>
    <w:rsid w:val="00515D90"/>
    <w:rsid w:val="00515DA5"/>
    <w:rsid w:val="00515E62"/>
    <w:rsid w:val="00515E6E"/>
    <w:rsid w:val="00515E70"/>
    <w:rsid w:val="00515E81"/>
    <w:rsid w:val="00515EF0"/>
    <w:rsid w:val="00515F1A"/>
    <w:rsid w:val="00515F21"/>
    <w:rsid w:val="00515F2A"/>
    <w:rsid w:val="00515F37"/>
    <w:rsid w:val="00515F4D"/>
    <w:rsid w:val="00515F55"/>
    <w:rsid w:val="00515F97"/>
    <w:rsid w:val="00515FCE"/>
    <w:rsid w:val="00516010"/>
    <w:rsid w:val="00516020"/>
    <w:rsid w:val="00516048"/>
    <w:rsid w:val="005160B2"/>
    <w:rsid w:val="005161C3"/>
    <w:rsid w:val="005161CA"/>
    <w:rsid w:val="00516210"/>
    <w:rsid w:val="0051629C"/>
    <w:rsid w:val="005162D9"/>
    <w:rsid w:val="0051631E"/>
    <w:rsid w:val="0051635B"/>
    <w:rsid w:val="005163B5"/>
    <w:rsid w:val="005163F7"/>
    <w:rsid w:val="0051643E"/>
    <w:rsid w:val="00516451"/>
    <w:rsid w:val="0051645F"/>
    <w:rsid w:val="00516479"/>
    <w:rsid w:val="005164A2"/>
    <w:rsid w:val="0051650D"/>
    <w:rsid w:val="00516511"/>
    <w:rsid w:val="00516512"/>
    <w:rsid w:val="00516522"/>
    <w:rsid w:val="00516527"/>
    <w:rsid w:val="005165F3"/>
    <w:rsid w:val="005165F8"/>
    <w:rsid w:val="005165F9"/>
    <w:rsid w:val="00516639"/>
    <w:rsid w:val="0051666B"/>
    <w:rsid w:val="0051668E"/>
    <w:rsid w:val="005166CC"/>
    <w:rsid w:val="00516711"/>
    <w:rsid w:val="0051673B"/>
    <w:rsid w:val="0051673F"/>
    <w:rsid w:val="00516768"/>
    <w:rsid w:val="00516769"/>
    <w:rsid w:val="0051682E"/>
    <w:rsid w:val="00516854"/>
    <w:rsid w:val="00516858"/>
    <w:rsid w:val="00516863"/>
    <w:rsid w:val="0051688B"/>
    <w:rsid w:val="005168BE"/>
    <w:rsid w:val="005168C4"/>
    <w:rsid w:val="005168D1"/>
    <w:rsid w:val="0051693A"/>
    <w:rsid w:val="00516942"/>
    <w:rsid w:val="005169A5"/>
    <w:rsid w:val="00516A4B"/>
    <w:rsid w:val="00516AA5"/>
    <w:rsid w:val="00516AB3"/>
    <w:rsid w:val="00516ACD"/>
    <w:rsid w:val="00516B10"/>
    <w:rsid w:val="00516BDC"/>
    <w:rsid w:val="00516BDE"/>
    <w:rsid w:val="00516BE3"/>
    <w:rsid w:val="00516BFF"/>
    <w:rsid w:val="00516C08"/>
    <w:rsid w:val="00516C9D"/>
    <w:rsid w:val="00516CDB"/>
    <w:rsid w:val="00516D1F"/>
    <w:rsid w:val="00516D27"/>
    <w:rsid w:val="00516D68"/>
    <w:rsid w:val="00516DDD"/>
    <w:rsid w:val="00516DE0"/>
    <w:rsid w:val="00516E2F"/>
    <w:rsid w:val="00516F09"/>
    <w:rsid w:val="00516F67"/>
    <w:rsid w:val="00516FA6"/>
    <w:rsid w:val="00516FC4"/>
    <w:rsid w:val="00517102"/>
    <w:rsid w:val="00517107"/>
    <w:rsid w:val="0051715B"/>
    <w:rsid w:val="00517201"/>
    <w:rsid w:val="00517275"/>
    <w:rsid w:val="00517278"/>
    <w:rsid w:val="0051727B"/>
    <w:rsid w:val="005172A9"/>
    <w:rsid w:val="005172CB"/>
    <w:rsid w:val="005172CC"/>
    <w:rsid w:val="005172E7"/>
    <w:rsid w:val="0051736F"/>
    <w:rsid w:val="0051738A"/>
    <w:rsid w:val="00517435"/>
    <w:rsid w:val="00517460"/>
    <w:rsid w:val="0051746C"/>
    <w:rsid w:val="005174E0"/>
    <w:rsid w:val="005174FA"/>
    <w:rsid w:val="00517563"/>
    <w:rsid w:val="005175E5"/>
    <w:rsid w:val="00517607"/>
    <w:rsid w:val="0051766A"/>
    <w:rsid w:val="0051768A"/>
    <w:rsid w:val="005176CA"/>
    <w:rsid w:val="005176DC"/>
    <w:rsid w:val="00517739"/>
    <w:rsid w:val="0051774A"/>
    <w:rsid w:val="00517751"/>
    <w:rsid w:val="0051776E"/>
    <w:rsid w:val="005177B7"/>
    <w:rsid w:val="005177EC"/>
    <w:rsid w:val="00517864"/>
    <w:rsid w:val="00517872"/>
    <w:rsid w:val="005178E9"/>
    <w:rsid w:val="005178F3"/>
    <w:rsid w:val="00517941"/>
    <w:rsid w:val="005179BC"/>
    <w:rsid w:val="00517A44"/>
    <w:rsid w:val="00517A70"/>
    <w:rsid w:val="00517A81"/>
    <w:rsid w:val="00517AB7"/>
    <w:rsid w:val="00517AD0"/>
    <w:rsid w:val="00517AE3"/>
    <w:rsid w:val="00517B8F"/>
    <w:rsid w:val="00517BF6"/>
    <w:rsid w:val="00517BFB"/>
    <w:rsid w:val="00517C2E"/>
    <w:rsid w:val="00517D6F"/>
    <w:rsid w:val="00517DA6"/>
    <w:rsid w:val="00517DC9"/>
    <w:rsid w:val="00517E34"/>
    <w:rsid w:val="00517E6C"/>
    <w:rsid w:val="00517E8B"/>
    <w:rsid w:val="00517F07"/>
    <w:rsid w:val="00517F1B"/>
    <w:rsid w:val="00517FB3"/>
    <w:rsid w:val="00517FD7"/>
    <w:rsid w:val="00517FDC"/>
    <w:rsid w:val="00520028"/>
    <w:rsid w:val="00520034"/>
    <w:rsid w:val="0052003B"/>
    <w:rsid w:val="00520060"/>
    <w:rsid w:val="0052008B"/>
    <w:rsid w:val="005200A3"/>
    <w:rsid w:val="005200A8"/>
    <w:rsid w:val="005200C7"/>
    <w:rsid w:val="005200D2"/>
    <w:rsid w:val="00520139"/>
    <w:rsid w:val="00520199"/>
    <w:rsid w:val="00520263"/>
    <w:rsid w:val="005202BB"/>
    <w:rsid w:val="00520318"/>
    <w:rsid w:val="005203DF"/>
    <w:rsid w:val="00520409"/>
    <w:rsid w:val="00520418"/>
    <w:rsid w:val="00520432"/>
    <w:rsid w:val="0052043F"/>
    <w:rsid w:val="005204D1"/>
    <w:rsid w:val="005204F2"/>
    <w:rsid w:val="00520504"/>
    <w:rsid w:val="00520546"/>
    <w:rsid w:val="00520551"/>
    <w:rsid w:val="0052058D"/>
    <w:rsid w:val="005205BA"/>
    <w:rsid w:val="005205CF"/>
    <w:rsid w:val="005205D3"/>
    <w:rsid w:val="005205DD"/>
    <w:rsid w:val="005205F2"/>
    <w:rsid w:val="0052062B"/>
    <w:rsid w:val="0052064F"/>
    <w:rsid w:val="00520683"/>
    <w:rsid w:val="005206BD"/>
    <w:rsid w:val="005206C7"/>
    <w:rsid w:val="005206C9"/>
    <w:rsid w:val="005206EA"/>
    <w:rsid w:val="0052073A"/>
    <w:rsid w:val="00520751"/>
    <w:rsid w:val="00520758"/>
    <w:rsid w:val="00520761"/>
    <w:rsid w:val="005207D8"/>
    <w:rsid w:val="005207F6"/>
    <w:rsid w:val="00520805"/>
    <w:rsid w:val="00520810"/>
    <w:rsid w:val="0052084D"/>
    <w:rsid w:val="00520851"/>
    <w:rsid w:val="0052088B"/>
    <w:rsid w:val="00520895"/>
    <w:rsid w:val="005208B9"/>
    <w:rsid w:val="005208D0"/>
    <w:rsid w:val="00520944"/>
    <w:rsid w:val="005209B6"/>
    <w:rsid w:val="005209F4"/>
    <w:rsid w:val="005209FD"/>
    <w:rsid w:val="00520A0B"/>
    <w:rsid w:val="00520A4A"/>
    <w:rsid w:val="00520A85"/>
    <w:rsid w:val="00520AB7"/>
    <w:rsid w:val="00520B09"/>
    <w:rsid w:val="00520B35"/>
    <w:rsid w:val="00520B72"/>
    <w:rsid w:val="00520BB3"/>
    <w:rsid w:val="00520C72"/>
    <w:rsid w:val="00520CA6"/>
    <w:rsid w:val="00520CCB"/>
    <w:rsid w:val="00520D0E"/>
    <w:rsid w:val="00520D61"/>
    <w:rsid w:val="00520D7D"/>
    <w:rsid w:val="00520DB6"/>
    <w:rsid w:val="00520DE4"/>
    <w:rsid w:val="00520DEC"/>
    <w:rsid w:val="00520DFB"/>
    <w:rsid w:val="00520E14"/>
    <w:rsid w:val="00520E3F"/>
    <w:rsid w:val="00520E43"/>
    <w:rsid w:val="00520E67"/>
    <w:rsid w:val="00520E68"/>
    <w:rsid w:val="00520EC0"/>
    <w:rsid w:val="00520F39"/>
    <w:rsid w:val="00520F5B"/>
    <w:rsid w:val="00520FE3"/>
    <w:rsid w:val="00521005"/>
    <w:rsid w:val="00521090"/>
    <w:rsid w:val="00521125"/>
    <w:rsid w:val="00521188"/>
    <w:rsid w:val="0052123A"/>
    <w:rsid w:val="005212A8"/>
    <w:rsid w:val="005212B6"/>
    <w:rsid w:val="005212C6"/>
    <w:rsid w:val="005212C7"/>
    <w:rsid w:val="005212DD"/>
    <w:rsid w:val="005212EA"/>
    <w:rsid w:val="00521348"/>
    <w:rsid w:val="00521364"/>
    <w:rsid w:val="00521372"/>
    <w:rsid w:val="00521380"/>
    <w:rsid w:val="005214CD"/>
    <w:rsid w:val="00521575"/>
    <w:rsid w:val="0052159F"/>
    <w:rsid w:val="005215FD"/>
    <w:rsid w:val="00521645"/>
    <w:rsid w:val="005216CA"/>
    <w:rsid w:val="00521746"/>
    <w:rsid w:val="00521753"/>
    <w:rsid w:val="0052178B"/>
    <w:rsid w:val="005217B5"/>
    <w:rsid w:val="005217CB"/>
    <w:rsid w:val="005217CE"/>
    <w:rsid w:val="005217DE"/>
    <w:rsid w:val="00521805"/>
    <w:rsid w:val="0052182D"/>
    <w:rsid w:val="00521910"/>
    <w:rsid w:val="0052191A"/>
    <w:rsid w:val="00521945"/>
    <w:rsid w:val="00521951"/>
    <w:rsid w:val="00521958"/>
    <w:rsid w:val="0052199D"/>
    <w:rsid w:val="005219D9"/>
    <w:rsid w:val="00521A09"/>
    <w:rsid w:val="00521A0A"/>
    <w:rsid w:val="00521A68"/>
    <w:rsid w:val="00521A81"/>
    <w:rsid w:val="00521AC0"/>
    <w:rsid w:val="00521B15"/>
    <w:rsid w:val="00521B55"/>
    <w:rsid w:val="00521B6B"/>
    <w:rsid w:val="00521B77"/>
    <w:rsid w:val="00521BAA"/>
    <w:rsid w:val="00521C1E"/>
    <w:rsid w:val="00521C46"/>
    <w:rsid w:val="00521C7D"/>
    <w:rsid w:val="00521CA5"/>
    <w:rsid w:val="00521CAF"/>
    <w:rsid w:val="00521D97"/>
    <w:rsid w:val="00521D9F"/>
    <w:rsid w:val="00521E01"/>
    <w:rsid w:val="00521E1D"/>
    <w:rsid w:val="00521E56"/>
    <w:rsid w:val="00521E6A"/>
    <w:rsid w:val="00521F28"/>
    <w:rsid w:val="00521F30"/>
    <w:rsid w:val="00521F3D"/>
    <w:rsid w:val="00521F50"/>
    <w:rsid w:val="00521F92"/>
    <w:rsid w:val="00521FB9"/>
    <w:rsid w:val="00522047"/>
    <w:rsid w:val="00522096"/>
    <w:rsid w:val="005220EE"/>
    <w:rsid w:val="0052212A"/>
    <w:rsid w:val="00522151"/>
    <w:rsid w:val="0052215D"/>
    <w:rsid w:val="0052219E"/>
    <w:rsid w:val="0052220B"/>
    <w:rsid w:val="0052220E"/>
    <w:rsid w:val="00522214"/>
    <w:rsid w:val="00522219"/>
    <w:rsid w:val="00522245"/>
    <w:rsid w:val="00522291"/>
    <w:rsid w:val="00522296"/>
    <w:rsid w:val="005222B0"/>
    <w:rsid w:val="005222B3"/>
    <w:rsid w:val="005222B6"/>
    <w:rsid w:val="00522340"/>
    <w:rsid w:val="00522347"/>
    <w:rsid w:val="005223B5"/>
    <w:rsid w:val="005223CD"/>
    <w:rsid w:val="005223CF"/>
    <w:rsid w:val="0052243F"/>
    <w:rsid w:val="0052248A"/>
    <w:rsid w:val="005224BF"/>
    <w:rsid w:val="0052252C"/>
    <w:rsid w:val="0052253E"/>
    <w:rsid w:val="0052255C"/>
    <w:rsid w:val="005225C4"/>
    <w:rsid w:val="005225DA"/>
    <w:rsid w:val="005225FA"/>
    <w:rsid w:val="0052261C"/>
    <w:rsid w:val="00522648"/>
    <w:rsid w:val="005226B5"/>
    <w:rsid w:val="0052270B"/>
    <w:rsid w:val="00522722"/>
    <w:rsid w:val="00522737"/>
    <w:rsid w:val="0052273F"/>
    <w:rsid w:val="0052276B"/>
    <w:rsid w:val="00522771"/>
    <w:rsid w:val="005227A4"/>
    <w:rsid w:val="005227A7"/>
    <w:rsid w:val="005227E3"/>
    <w:rsid w:val="00522829"/>
    <w:rsid w:val="0052283F"/>
    <w:rsid w:val="005228A8"/>
    <w:rsid w:val="005228BB"/>
    <w:rsid w:val="005228BD"/>
    <w:rsid w:val="00522954"/>
    <w:rsid w:val="00522964"/>
    <w:rsid w:val="00522966"/>
    <w:rsid w:val="005229D9"/>
    <w:rsid w:val="005229E5"/>
    <w:rsid w:val="00522A73"/>
    <w:rsid w:val="00522AA7"/>
    <w:rsid w:val="00522BA7"/>
    <w:rsid w:val="00522C3C"/>
    <w:rsid w:val="00522CC4"/>
    <w:rsid w:val="00522D2C"/>
    <w:rsid w:val="00522D67"/>
    <w:rsid w:val="00522D71"/>
    <w:rsid w:val="00522D7F"/>
    <w:rsid w:val="00522D8D"/>
    <w:rsid w:val="00522D92"/>
    <w:rsid w:val="00522D95"/>
    <w:rsid w:val="00522DAE"/>
    <w:rsid w:val="00522DF9"/>
    <w:rsid w:val="00522DFB"/>
    <w:rsid w:val="00522E03"/>
    <w:rsid w:val="00522E91"/>
    <w:rsid w:val="00522EBF"/>
    <w:rsid w:val="00522EF9"/>
    <w:rsid w:val="00522F0A"/>
    <w:rsid w:val="00522F19"/>
    <w:rsid w:val="00522F35"/>
    <w:rsid w:val="00522F49"/>
    <w:rsid w:val="00522FD1"/>
    <w:rsid w:val="00523035"/>
    <w:rsid w:val="0052307D"/>
    <w:rsid w:val="00523080"/>
    <w:rsid w:val="00523097"/>
    <w:rsid w:val="005230E1"/>
    <w:rsid w:val="005230E8"/>
    <w:rsid w:val="00523115"/>
    <w:rsid w:val="0052312E"/>
    <w:rsid w:val="0052317C"/>
    <w:rsid w:val="00523185"/>
    <w:rsid w:val="0052319B"/>
    <w:rsid w:val="00523202"/>
    <w:rsid w:val="0052324D"/>
    <w:rsid w:val="0052325D"/>
    <w:rsid w:val="00523296"/>
    <w:rsid w:val="005232EA"/>
    <w:rsid w:val="0052331E"/>
    <w:rsid w:val="0052336D"/>
    <w:rsid w:val="005233B3"/>
    <w:rsid w:val="005233E7"/>
    <w:rsid w:val="005233F7"/>
    <w:rsid w:val="0052341F"/>
    <w:rsid w:val="0052343B"/>
    <w:rsid w:val="0052343F"/>
    <w:rsid w:val="00523443"/>
    <w:rsid w:val="0052348C"/>
    <w:rsid w:val="00523492"/>
    <w:rsid w:val="00523497"/>
    <w:rsid w:val="00523498"/>
    <w:rsid w:val="005234B1"/>
    <w:rsid w:val="00523501"/>
    <w:rsid w:val="00523567"/>
    <w:rsid w:val="005236C3"/>
    <w:rsid w:val="005236C5"/>
    <w:rsid w:val="005236E1"/>
    <w:rsid w:val="005236FE"/>
    <w:rsid w:val="00523725"/>
    <w:rsid w:val="00523733"/>
    <w:rsid w:val="00523779"/>
    <w:rsid w:val="00523829"/>
    <w:rsid w:val="00523832"/>
    <w:rsid w:val="0052383C"/>
    <w:rsid w:val="005238D4"/>
    <w:rsid w:val="0052390E"/>
    <w:rsid w:val="00523923"/>
    <w:rsid w:val="005239D4"/>
    <w:rsid w:val="00523A30"/>
    <w:rsid w:val="00523A40"/>
    <w:rsid w:val="00523A5A"/>
    <w:rsid w:val="00523A8A"/>
    <w:rsid w:val="00523A8E"/>
    <w:rsid w:val="00523AA0"/>
    <w:rsid w:val="00523AAC"/>
    <w:rsid w:val="00523B1B"/>
    <w:rsid w:val="00523B1C"/>
    <w:rsid w:val="00523BB9"/>
    <w:rsid w:val="00523BC6"/>
    <w:rsid w:val="00523BDE"/>
    <w:rsid w:val="00523BE7"/>
    <w:rsid w:val="00523BEA"/>
    <w:rsid w:val="00523C2D"/>
    <w:rsid w:val="00523C3D"/>
    <w:rsid w:val="00523C80"/>
    <w:rsid w:val="00523C84"/>
    <w:rsid w:val="00523C8E"/>
    <w:rsid w:val="00523CF3"/>
    <w:rsid w:val="00523D92"/>
    <w:rsid w:val="00523DA5"/>
    <w:rsid w:val="00523DD7"/>
    <w:rsid w:val="00523DED"/>
    <w:rsid w:val="00523E13"/>
    <w:rsid w:val="00523E68"/>
    <w:rsid w:val="00523E78"/>
    <w:rsid w:val="00523E92"/>
    <w:rsid w:val="00523F5E"/>
    <w:rsid w:val="0052402E"/>
    <w:rsid w:val="005240C4"/>
    <w:rsid w:val="0052417B"/>
    <w:rsid w:val="00524184"/>
    <w:rsid w:val="00524204"/>
    <w:rsid w:val="00524224"/>
    <w:rsid w:val="0052424E"/>
    <w:rsid w:val="0052427A"/>
    <w:rsid w:val="005242DC"/>
    <w:rsid w:val="005242FE"/>
    <w:rsid w:val="0052432D"/>
    <w:rsid w:val="00524346"/>
    <w:rsid w:val="00524376"/>
    <w:rsid w:val="0052439D"/>
    <w:rsid w:val="005243AA"/>
    <w:rsid w:val="005243CB"/>
    <w:rsid w:val="005243E9"/>
    <w:rsid w:val="00524403"/>
    <w:rsid w:val="0052442C"/>
    <w:rsid w:val="00524449"/>
    <w:rsid w:val="0052446C"/>
    <w:rsid w:val="00524499"/>
    <w:rsid w:val="005244BF"/>
    <w:rsid w:val="005244DD"/>
    <w:rsid w:val="0052451E"/>
    <w:rsid w:val="00524535"/>
    <w:rsid w:val="00524555"/>
    <w:rsid w:val="0052455D"/>
    <w:rsid w:val="00524580"/>
    <w:rsid w:val="00524599"/>
    <w:rsid w:val="005245A2"/>
    <w:rsid w:val="005245CA"/>
    <w:rsid w:val="005245E7"/>
    <w:rsid w:val="005245ED"/>
    <w:rsid w:val="005246B0"/>
    <w:rsid w:val="005246D6"/>
    <w:rsid w:val="005246DE"/>
    <w:rsid w:val="00524706"/>
    <w:rsid w:val="005247C6"/>
    <w:rsid w:val="0052483C"/>
    <w:rsid w:val="0052485C"/>
    <w:rsid w:val="005248A6"/>
    <w:rsid w:val="005248D2"/>
    <w:rsid w:val="005248F9"/>
    <w:rsid w:val="0052491A"/>
    <w:rsid w:val="0052493F"/>
    <w:rsid w:val="0052497D"/>
    <w:rsid w:val="0052499E"/>
    <w:rsid w:val="005249C9"/>
    <w:rsid w:val="005249CB"/>
    <w:rsid w:val="005249DB"/>
    <w:rsid w:val="00524A07"/>
    <w:rsid w:val="00524A3A"/>
    <w:rsid w:val="00524A45"/>
    <w:rsid w:val="00524A72"/>
    <w:rsid w:val="00524AE1"/>
    <w:rsid w:val="00524AE2"/>
    <w:rsid w:val="00524AED"/>
    <w:rsid w:val="00524B11"/>
    <w:rsid w:val="00524BA3"/>
    <w:rsid w:val="00524BD0"/>
    <w:rsid w:val="00524BD2"/>
    <w:rsid w:val="00524BDA"/>
    <w:rsid w:val="00524C0D"/>
    <w:rsid w:val="00524C37"/>
    <w:rsid w:val="00524C88"/>
    <w:rsid w:val="00524D3D"/>
    <w:rsid w:val="00524DCB"/>
    <w:rsid w:val="00524DDB"/>
    <w:rsid w:val="00524E18"/>
    <w:rsid w:val="00524E35"/>
    <w:rsid w:val="00524E37"/>
    <w:rsid w:val="00524E9D"/>
    <w:rsid w:val="00524EAB"/>
    <w:rsid w:val="00524EC8"/>
    <w:rsid w:val="00524F44"/>
    <w:rsid w:val="00524F8A"/>
    <w:rsid w:val="00524FC9"/>
    <w:rsid w:val="00524FFE"/>
    <w:rsid w:val="00524FFF"/>
    <w:rsid w:val="00525001"/>
    <w:rsid w:val="0052504F"/>
    <w:rsid w:val="0052512A"/>
    <w:rsid w:val="00525138"/>
    <w:rsid w:val="00525143"/>
    <w:rsid w:val="0052514D"/>
    <w:rsid w:val="00525170"/>
    <w:rsid w:val="00525186"/>
    <w:rsid w:val="005251D2"/>
    <w:rsid w:val="005251FA"/>
    <w:rsid w:val="00525226"/>
    <w:rsid w:val="005252B1"/>
    <w:rsid w:val="005252C8"/>
    <w:rsid w:val="005252D7"/>
    <w:rsid w:val="005252E7"/>
    <w:rsid w:val="005252F2"/>
    <w:rsid w:val="005252FA"/>
    <w:rsid w:val="0052531A"/>
    <w:rsid w:val="00525359"/>
    <w:rsid w:val="0052538B"/>
    <w:rsid w:val="005253AB"/>
    <w:rsid w:val="005253B5"/>
    <w:rsid w:val="00525414"/>
    <w:rsid w:val="0052543D"/>
    <w:rsid w:val="00525467"/>
    <w:rsid w:val="00525495"/>
    <w:rsid w:val="005254A8"/>
    <w:rsid w:val="005254C1"/>
    <w:rsid w:val="005254D4"/>
    <w:rsid w:val="00525523"/>
    <w:rsid w:val="005255D4"/>
    <w:rsid w:val="00525658"/>
    <w:rsid w:val="00525786"/>
    <w:rsid w:val="005257AD"/>
    <w:rsid w:val="005257B4"/>
    <w:rsid w:val="005257C1"/>
    <w:rsid w:val="00525814"/>
    <w:rsid w:val="00525829"/>
    <w:rsid w:val="00525860"/>
    <w:rsid w:val="00525871"/>
    <w:rsid w:val="0052593A"/>
    <w:rsid w:val="00525962"/>
    <w:rsid w:val="00525967"/>
    <w:rsid w:val="005259B4"/>
    <w:rsid w:val="005259D3"/>
    <w:rsid w:val="005259D4"/>
    <w:rsid w:val="00525A17"/>
    <w:rsid w:val="00525A8C"/>
    <w:rsid w:val="00525ACE"/>
    <w:rsid w:val="00525B4F"/>
    <w:rsid w:val="00525B54"/>
    <w:rsid w:val="00525C25"/>
    <w:rsid w:val="00525C47"/>
    <w:rsid w:val="00525C49"/>
    <w:rsid w:val="00525CB6"/>
    <w:rsid w:val="00525CCD"/>
    <w:rsid w:val="00525CE9"/>
    <w:rsid w:val="00525D3D"/>
    <w:rsid w:val="00525D5F"/>
    <w:rsid w:val="00525D7F"/>
    <w:rsid w:val="00525DAE"/>
    <w:rsid w:val="00525E06"/>
    <w:rsid w:val="00525E8F"/>
    <w:rsid w:val="00525EE7"/>
    <w:rsid w:val="00525F12"/>
    <w:rsid w:val="00525F70"/>
    <w:rsid w:val="00525F92"/>
    <w:rsid w:val="00525FC4"/>
    <w:rsid w:val="00525FDC"/>
    <w:rsid w:val="00526052"/>
    <w:rsid w:val="005260B0"/>
    <w:rsid w:val="00526156"/>
    <w:rsid w:val="005261D0"/>
    <w:rsid w:val="005262BE"/>
    <w:rsid w:val="005262D6"/>
    <w:rsid w:val="005262EE"/>
    <w:rsid w:val="00526344"/>
    <w:rsid w:val="00526373"/>
    <w:rsid w:val="00526399"/>
    <w:rsid w:val="005263A8"/>
    <w:rsid w:val="005263BE"/>
    <w:rsid w:val="00526415"/>
    <w:rsid w:val="00526469"/>
    <w:rsid w:val="0052646F"/>
    <w:rsid w:val="00526486"/>
    <w:rsid w:val="005264C2"/>
    <w:rsid w:val="005264E0"/>
    <w:rsid w:val="005264E2"/>
    <w:rsid w:val="0052650E"/>
    <w:rsid w:val="00526535"/>
    <w:rsid w:val="00526611"/>
    <w:rsid w:val="00526649"/>
    <w:rsid w:val="0052664A"/>
    <w:rsid w:val="00526652"/>
    <w:rsid w:val="0052669E"/>
    <w:rsid w:val="005266AE"/>
    <w:rsid w:val="005266D7"/>
    <w:rsid w:val="005266E9"/>
    <w:rsid w:val="00526740"/>
    <w:rsid w:val="00526761"/>
    <w:rsid w:val="005267CE"/>
    <w:rsid w:val="005267D6"/>
    <w:rsid w:val="00526871"/>
    <w:rsid w:val="00526891"/>
    <w:rsid w:val="0052694B"/>
    <w:rsid w:val="0052695F"/>
    <w:rsid w:val="00526982"/>
    <w:rsid w:val="00526989"/>
    <w:rsid w:val="005269AB"/>
    <w:rsid w:val="005269C8"/>
    <w:rsid w:val="005269C9"/>
    <w:rsid w:val="005269CE"/>
    <w:rsid w:val="00526A03"/>
    <w:rsid w:val="00526A1F"/>
    <w:rsid w:val="00526A29"/>
    <w:rsid w:val="00526A4D"/>
    <w:rsid w:val="00526A6F"/>
    <w:rsid w:val="00526A76"/>
    <w:rsid w:val="00526B48"/>
    <w:rsid w:val="00526B98"/>
    <w:rsid w:val="00526BD7"/>
    <w:rsid w:val="00526BE9"/>
    <w:rsid w:val="00526C24"/>
    <w:rsid w:val="00526C48"/>
    <w:rsid w:val="00526C84"/>
    <w:rsid w:val="00526C96"/>
    <w:rsid w:val="00526CD4"/>
    <w:rsid w:val="00526D02"/>
    <w:rsid w:val="00526DC7"/>
    <w:rsid w:val="00526DF9"/>
    <w:rsid w:val="00526E2E"/>
    <w:rsid w:val="00526E58"/>
    <w:rsid w:val="00526E98"/>
    <w:rsid w:val="00526E9D"/>
    <w:rsid w:val="00526EC4"/>
    <w:rsid w:val="00526F0B"/>
    <w:rsid w:val="00526F72"/>
    <w:rsid w:val="00526F91"/>
    <w:rsid w:val="00526FC9"/>
    <w:rsid w:val="00526FF2"/>
    <w:rsid w:val="00527022"/>
    <w:rsid w:val="00527051"/>
    <w:rsid w:val="005270FA"/>
    <w:rsid w:val="00527122"/>
    <w:rsid w:val="00527129"/>
    <w:rsid w:val="0052715F"/>
    <w:rsid w:val="0052719B"/>
    <w:rsid w:val="005271FE"/>
    <w:rsid w:val="00527237"/>
    <w:rsid w:val="005273A8"/>
    <w:rsid w:val="005273CB"/>
    <w:rsid w:val="005273CD"/>
    <w:rsid w:val="005273EC"/>
    <w:rsid w:val="005273ED"/>
    <w:rsid w:val="00527401"/>
    <w:rsid w:val="00527443"/>
    <w:rsid w:val="00527452"/>
    <w:rsid w:val="0052745F"/>
    <w:rsid w:val="0052747A"/>
    <w:rsid w:val="00527491"/>
    <w:rsid w:val="005274E9"/>
    <w:rsid w:val="00527511"/>
    <w:rsid w:val="00527580"/>
    <w:rsid w:val="00527650"/>
    <w:rsid w:val="00527674"/>
    <w:rsid w:val="00527687"/>
    <w:rsid w:val="005276DE"/>
    <w:rsid w:val="00527706"/>
    <w:rsid w:val="0052770D"/>
    <w:rsid w:val="00527715"/>
    <w:rsid w:val="00527744"/>
    <w:rsid w:val="00527808"/>
    <w:rsid w:val="00527897"/>
    <w:rsid w:val="0052796F"/>
    <w:rsid w:val="00527996"/>
    <w:rsid w:val="005279C5"/>
    <w:rsid w:val="005279CB"/>
    <w:rsid w:val="00527AC4"/>
    <w:rsid w:val="00527AE9"/>
    <w:rsid w:val="00527B28"/>
    <w:rsid w:val="00527B74"/>
    <w:rsid w:val="00527B9B"/>
    <w:rsid w:val="00527BC6"/>
    <w:rsid w:val="00527C07"/>
    <w:rsid w:val="00527C0C"/>
    <w:rsid w:val="00527C73"/>
    <w:rsid w:val="00527CB2"/>
    <w:rsid w:val="00527CB5"/>
    <w:rsid w:val="00527D1A"/>
    <w:rsid w:val="00527D36"/>
    <w:rsid w:val="00527D38"/>
    <w:rsid w:val="00527DB6"/>
    <w:rsid w:val="00527DE5"/>
    <w:rsid w:val="00527E51"/>
    <w:rsid w:val="00527E53"/>
    <w:rsid w:val="00527ECB"/>
    <w:rsid w:val="00527EF0"/>
    <w:rsid w:val="00527F0A"/>
    <w:rsid w:val="00527F0E"/>
    <w:rsid w:val="00527F2A"/>
    <w:rsid w:val="00527F36"/>
    <w:rsid w:val="00527F4B"/>
    <w:rsid w:val="00527F85"/>
    <w:rsid w:val="00527FB7"/>
    <w:rsid w:val="00527FBB"/>
    <w:rsid w:val="00530021"/>
    <w:rsid w:val="0053005B"/>
    <w:rsid w:val="005300A7"/>
    <w:rsid w:val="005300D6"/>
    <w:rsid w:val="005300E2"/>
    <w:rsid w:val="0053012F"/>
    <w:rsid w:val="0053014E"/>
    <w:rsid w:val="00530167"/>
    <w:rsid w:val="005301CE"/>
    <w:rsid w:val="0053023B"/>
    <w:rsid w:val="00530242"/>
    <w:rsid w:val="00530279"/>
    <w:rsid w:val="005302D1"/>
    <w:rsid w:val="0053036A"/>
    <w:rsid w:val="0053037B"/>
    <w:rsid w:val="00530385"/>
    <w:rsid w:val="005303EE"/>
    <w:rsid w:val="005303F3"/>
    <w:rsid w:val="005304B5"/>
    <w:rsid w:val="005304C3"/>
    <w:rsid w:val="005304E9"/>
    <w:rsid w:val="0053054A"/>
    <w:rsid w:val="00530569"/>
    <w:rsid w:val="0053057F"/>
    <w:rsid w:val="00530586"/>
    <w:rsid w:val="005305BE"/>
    <w:rsid w:val="005305CF"/>
    <w:rsid w:val="005305DF"/>
    <w:rsid w:val="005305E2"/>
    <w:rsid w:val="005305F3"/>
    <w:rsid w:val="005305F7"/>
    <w:rsid w:val="00530624"/>
    <w:rsid w:val="00530673"/>
    <w:rsid w:val="00530677"/>
    <w:rsid w:val="0053067C"/>
    <w:rsid w:val="005306D8"/>
    <w:rsid w:val="005306F3"/>
    <w:rsid w:val="00530796"/>
    <w:rsid w:val="005307D7"/>
    <w:rsid w:val="00530869"/>
    <w:rsid w:val="0053088F"/>
    <w:rsid w:val="005308A7"/>
    <w:rsid w:val="00530938"/>
    <w:rsid w:val="00530943"/>
    <w:rsid w:val="0053095A"/>
    <w:rsid w:val="00530965"/>
    <w:rsid w:val="005309CF"/>
    <w:rsid w:val="00530AAF"/>
    <w:rsid w:val="00530ABB"/>
    <w:rsid w:val="00530AEA"/>
    <w:rsid w:val="00530AF3"/>
    <w:rsid w:val="00530B0A"/>
    <w:rsid w:val="00530B42"/>
    <w:rsid w:val="00530B6D"/>
    <w:rsid w:val="00530BFC"/>
    <w:rsid w:val="00530C22"/>
    <w:rsid w:val="00530C3A"/>
    <w:rsid w:val="00530C51"/>
    <w:rsid w:val="00530C92"/>
    <w:rsid w:val="00530CAD"/>
    <w:rsid w:val="00530CDF"/>
    <w:rsid w:val="00530D02"/>
    <w:rsid w:val="00530D13"/>
    <w:rsid w:val="00530D3C"/>
    <w:rsid w:val="00530D79"/>
    <w:rsid w:val="00530DC4"/>
    <w:rsid w:val="00530E77"/>
    <w:rsid w:val="00530E86"/>
    <w:rsid w:val="00530EAA"/>
    <w:rsid w:val="00530F54"/>
    <w:rsid w:val="00530F9E"/>
    <w:rsid w:val="00530FBF"/>
    <w:rsid w:val="00530FCD"/>
    <w:rsid w:val="005310A6"/>
    <w:rsid w:val="005310B6"/>
    <w:rsid w:val="005310D4"/>
    <w:rsid w:val="00531108"/>
    <w:rsid w:val="00531152"/>
    <w:rsid w:val="005311A7"/>
    <w:rsid w:val="00531255"/>
    <w:rsid w:val="00531275"/>
    <w:rsid w:val="00531283"/>
    <w:rsid w:val="005312DC"/>
    <w:rsid w:val="00531324"/>
    <w:rsid w:val="0053133B"/>
    <w:rsid w:val="00531340"/>
    <w:rsid w:val="00531346"/>
    <w:rsid w:val="005313BF"/>
    <w:rsid w:val="005313C9"/>
    <w:rsid w:val="005313DE"/>
    <w:rsid w:val="005313F3"/>
    <w:rsid w:val="0053140D"/>
    <w:rsid w:val="0053143A"/>
    <w:rsid w:val="0053143F"/>
    <w:rsid w:val="0053144A"/>
    <w:rsid w:val="0053144B"/>
    <w:rsid w:val="0053149A"/>
    <w:rsid w:val="005314D3"/>
    <w:rsid w:val="005314F7"/>
    <w:rsid w:val="00531535"/>
    <w:rsid w:val="0053155E"/>
    <w:rsid w:val="00531569"/>
    <w:rsid w:val="0053158B"/>
    <w:rsid w:val="0053159E"/>
    <w:rsid w:val="005315A1"/>
    <w:rsid w:val="005315AE"/>
    <w:rsid w:val="005315B3"/>
    <w:rsid w:val="005315E8"/>
    <w:rsid w:val="0053160E"/>
    <w:rsid w:val="00531628"/>
    <w:rsid w:val="0053162F"/>
    <w:rsid w:val="00531662"/>
    <w:rsid w:val="005316A5"/>
    <w:rsid w:val="0053170A"/>
    <w:rsid w:val="00531746"/>
    <w:rsid w:val="005317D0"/>
    <w:rsid w:val="005317DE"/>
    <w:rsid w:val="0053180C"/>
    <w:rsid w:val="0053185F"/>
    <w:rsid w:val="00531890"/>
    <w:rsid w:val="005318A4"/>
    <w:rsid w:val="005318BB"/>
    <w:rsid w:val="00531900"/>
    <w:rsid w:val="00531920"/>
    <w:rsid w:val="00531953"/>
    <w:rsid w:val="005319D3"/>
    <w:rsid w:val="005319D9"/>
    <w:rsid w:val="005319DF"/>
    <w:rsid w:val="005319E1"/>
    <w:rsid w:val="005319F0"/>
    <w:rsid w:val="00531A12"/>
    <w:rsid w:val="00531A43"/>
    <w:rsid w:val="00531AA0"/>
    <w:rsid w:val="00531AE1"/>
    <w:rsid w:val="00531B7E"/>
    <w:rsid w:val="00531B9D"/>
    <w:rsid w:val="00531BAA"/>
    <w:rsid w:val="00531BBE"/>
    <w:rsid w:val="00531BE0"/>
    <w:rsid w:val="00531C0D"/>
    <w:rsid w:val="00531C12"/>
    <w:rsid w:val="00531C2E"/>
    <w:rsid w:val="00531C5B"/>
    <w:rsid w:val="00531C86"/>
    <w:rsid w:val="00531CAA"/>
    <w:rsid w:val="00531CE3"/>
    <w:rsid w:val="00531D85"/>
    <w:rsid w:val="00531DB6"/>
    <w:rsid w:val="00531DE3"/>
    <w:rsid w:val="00531DF3"/>
    <w:rsid w:val="00531DFB"/>
    <w:rsid w:val="00531DFD"/>
    <w:rsid w:val="00531E0D"/>
    <w:rsid w:val="00531E24"/>
    <w:rsid w:val="00531E3A"/>
    <w:rsid w:val="00531EAC"/>
    <w:rsid w:val="00531F12"/>
    <w:rsid w:val="00531F62"/>
    <w:rsid w:val="00531F63"/>
    <w:rsid w:val="00531F85"/>
    <w:rsid w:val="00531F9E"/>
    <w:rsid w:val="00531FAB"/>
    <w:rsid w:val="0053200A"/>
    <w:rsid w:val="00532015"/>
    <w:rsid w:val="00532060"/>
    <w:rsid w:val="00532097"/>
    <w:rsid w:val="005320BE"/>
    <w:rsid w:val="00532123"/>
    <w:rsid w:val="0053212A"/>
    <w:rsid w:val="0053212C"/>
    <w:rsid w:val="0053215F"/>
    <w:rsid w:val="00532177"/>
    <w:rsid w:val="00532179"/>
    <w:rsid w:val="0053220E"/>
    <w:rsid w:val="00532365"/>
    <w:rsid w:val="0053238B"/>
    <w:rsid w:val="00532394"/>
    <w:rsid w:val="005323A7"/>
    <w:rsid w:val="005323AB"/>
    <w:rsid w:val="0053247D"/>
    <w:rsid w:val="0053248D"/>
    <w:rsid w:val="005324AD"/>
    <w:rsid w:val="005324BA"/>
    <w:rsid w:val="005324EA"/>
    <w:rsid w:val="0053250E"/>
    <w:rsid w:val="00532525"/>
    <w:rsid w:val="00532528"/>
    <w:rsid w:val="0053252D"/>
    <w:rsid w:val="00532599"/>
    <w:rsid w:val="005325A4"/>
    <w:rsid w:val="005325A9"/>
    <w:rsid w:val="0053262F"/>
    <w:rsid w:val="005326C4"/>
    <w:rsid w:val="005326FA"/>
    <w:rsid w:val="0053270E"/>
    <w:rsid w:val="00532717"/>
    <w:rsid w:val="0053274E"/>
    <w:rsid w:val="00532756"/>
    <w:rsid w:val="0053276C"/>
    <w:rsid w:val="0053278A"/>
    <w:rsid w:val="005327DA"/>
    <w:rsid w:val="005327F3"/>
    <w:rsid w:val="00532861"/>
    <w:rsid w:val="00532880"/>
    <w:rsid w:val="0053288F"/>
    <w:rsid w:val="005328A4"/>
    <w:rsid w:val="005328A8"/>
    <w:rsid w:val="005328C4"/>
    <w:rsid w:val="005328DF"/>
    <w:rsid w:val="005328E2"/>
    <w:rsid w:val="00532907"/>
    <w:rsid w:val="00532908"/>
    <w:rsid w:val="00532917"/>
    <w:rsid w:val="0053293D"/>
    <w:rsid w:val="0053294A"/>
    <w:rsid w:val="005329D8"/>
    <w:rsid w:val="005329E8"/>
    <w:rsid w:val="00532A52"/>
    <w:rsid w:val="00532A57"/>
    <w:rsid w:val="00532A65"/>
    <w:rsid w:val="00532A68"/>
    <w:rsid w:val="00532AC2"/>
    <w:rsid w:val="00532B03"/>
    <w:rsid w:val="00532B1A"/>
    <w:rsid w:val="00532B2D"/>
    <w:rsid w:val="00532BD8"/>
    <w:rsid w:val="00532C0C"/>
    <w:rsid w:val="00532C49"/>
    <w:rsid w:val="00532CB4"/>
    <w:rsid w:val="00532CD7"/>
    <w:rsid w:val="00532D44"/>
    <w:rsid w:val="00532D51"/>
    <w:rsid w:val="00532D84"/>
    <w:rsid w:val="00532DAD"/>
    <w:rsid w:val="00532DF4"/>
    <w:rsid w:val="00532E16"/>
    <w:rsid w:val="00532E24"/>
    <w:rsid w:val="00532E4E"/>
    <w:rsid w:val="00532E50"/>
    <w:rsid w:val="00532E56"/>
    <w:rsid w:val="00532E8E"/>
    <w:rsid w:val="00532F07"/>
    <w:rsid w:val="00532F46"/>
    <w:rsid w:val="00532F76"/>
    <w:rsid w:val="00532F90"/>
    <w:rsid w:val="00533001"/>
    <w:rsid w:val="00533014"/>
    <w:rsid w:val="00533064"/>
    <w:rsid w:val="00533076"/>
    <w:rsid w:val="00533086"/>
    <w:rsid w:val="00533090"/>
    <w:rsid w:val="00533095"/>
    <w:rsid w:val="005330DC"/>
    <w:rsid w:val="0053318A"/>
    <w:rsid w:val="00533232"/>
    <w:rsid w:val="0053326E"/>
    <w:rsid w:val="005332A0"/>
    <w:rsid w:val="005332C3"/>
    <w:rsid w:val="005332CB"/>
    <w:rsid w:val="0053330F"/>
    <w:rsid w:val="00533334"/>
    <w:rsid w:val="00533380"/>
    <w:rsid w:val="0053339A"/>
    <w:rsid w:val="005333C8"/>
    <w:rsid w:val="005333FB"/>
    <w:rsid w:val="00533427"/>
    <w:rsid w:val="00533487"/>
    <w:rsid w:val="00533491"/>
    <w:rsid w:val="00533498"/>
    <w:rsid w:val="005334CA"/>
    <w:rsid w:val="005334CB"/>
    <w:rsid w:val="005334D4"/>
    <w:rsid w:val="005334ED"/>
    <w:rsid w:val="005334F4"/>
    <w:rsid w:val="005334FB"/>
    <w:rsid w:val="00533505"/>
    <w:rsid w:val="00533513"/>
    <w:rsid w:val="0053353D"/>
    <w:rsid w:val="0053354B"/>
    <w:rsid w:val="0053356C"/>
    <w:rsid w:val="00533592"/>
    <w:rsid w:val="00533600"/>
    <w:rsid w:val="0053360B"/>
    <w:rsid w:val="00533645"/>
    <w:rsid w:val="0053365D"/>
    <w:rsid w:val="005336AD"/>
    <w:rsid w:val="005336ED"/>
    <w:rsid w:val="00533707"/>
    <w:rsid w:val="0053378E"/>
    <w:rsid w:val="005337AF"/>
    <w:rsid w:val="00533808"/>
    <w:rsid w:val="00533820"/>
    <w:rsid w:val="00533873"/>
    <w:rsid w:val="005338D3"/>
    <w:rsid w:val="005338F7"/>
    <w:rsid w:val="00533933"/>
    <w:rsid w:val="00533982"/>
    <w:rsid w:val="005339AF"/>
    <w:rsid w:val="00533A21"/>
    <w:rsid w:val="00533A3E"/>
    <w:rsid w:val="00533A51"/>
    <w:rsid w:val="00533A8B"/>
    <w:rsid w:val="00533A90"/>
    <w:rsid w:val="00533AD1"/>
    <w:rsid w:val="00533AFC"/>
    <w:rsid w:val="00533B67"/>
    <w:rsid w:val="00533C36"/>
    <w:rsid w:val="00533C78"/>
    <w:rsid w:val="00533C82"/>
    <w:rsid w:val="00533CCE"/>
    <w:rsid w:val="00533D50"/>
    <w:rsid w:val="00533D76"/>
    <w:rsid w:val="00533D9B"/>
    <w:rsid w:val="00533DFA"/>
    <w:rsid w:val="00533E6D"/>
    <w:rsid w:val="00533E8F"/>
    <w:rsid w:val="00533E96"/>
    <w:rsid w:val="00533F53"/>
    <w:rsid w:val="00533FCC"/>
    <w:rsid w:val="00533FCE"/>
    <w:rsid w:val="00533FDD"/>
    <w:rsid w:val="00533FE0"/>
    <w:rsid w:val="00534007"/>
    <w:rsid w:val="0053400F"/>
    <w:rsid w:val="00534058"/>
    <w:rsid w:val="0053405B"/>
    <w:rsid w:val="0053410F"/>
    <w:rsid w:val="00534130"/>
    <w:rsid w:val="00534162"/>
    <w:rsid w:val="0053418B"/>
    <w:rsid w:val="00534212"/>
    <w:rsid w:val="005342DD"/>
    <w:rsid w:val="005342E6"/>
    <w:rsid w:val="0053431F"/>
    <w:rsid w:val="0053432E"/>
    <w:rsid w:val="00534374"/>
    <w:rsid w:val="005343CD"/>
    <w:rsid w:val="005344D0"/>
    <w:rsid w:val="005344FA"/>
    <w:rsid w:val="00534502"/>
    <w:rsid w:val="00534552"/>
    <w:rsid w:val="005345D4"/>
    <w:rsid w:val="00534642"/>
    <w:rsid w:val="0053465A"/>
    <w:rsid w:val="005346C3"/>
    <w:rsid w:val="005346DA"/>
    <w:rsid w:val="005346EF"/>
    <w:rsid w:val="00534727"/>
    <w:rsid w:val="00534764"/>
    <w:rsid w:val="00534849"/>
    <w:rsid w:val="00534884"/>
    <w:rsid w:val="005348D5"/>
    <w:rsid w:val="005348E9"/>
    <w:rsid w:val="005348F2"/>
    <w:rsid w:val="00534928"/>
    <w:rsid w:val="0053495E"/>
    <w:rsid w:val="0053497F"/>
    <w:rsid w:val="005349A8"/>
    <w:rsid w:val="005349CE"/>
    <w:rsid w:val="00534A1E"/>
    <w:rsid w:val="00534AAB"/>
    <w:rsid w:val="00534B20"/>
    <w:rsid w:val="00534B4B"/>
    <w:rsid w:val="00534B59"/>
    <w:rsid w:val="00534BB0"/>
    <w:rsid w:val="00534C07"/>
    <w:rsid w:val="00534C27"/>
    <w:rsid w:val="00534C56"/>
    <w:rsid w:val="00534C64"/>
    <w:rsid w:val="00534C9E"/>
    <w:rsid w:val="00534D77"/>
    <w:rsid w:val="00534D8F"/>
    <w:rsid w:val="00534DF0"/>
    <w:rsid w:val="00534E63"/>
    <w:rsid w:val="00534E70"/>
    <w:rsid w:val="00534E9C"/>
    <w:rsid w:val="00534EA6"/>
    <w:rsid w:val="00534ED5"/>
    <w:rsid w:val="00534F3A"/>
    <w:rsid w:val="00534F41"/>
    <w:rsid w:val="00534F90"/>
    <w:rsid w:val="00535090"/>
    <w:rsid w:val="00535284"/>
    <w:rsid w:val="00535297"/>
    <w:rsid w:val="005352D9"/>
    <w:rsid w:val="00535306"/>
    <w:rsid w:val="005353AB"/>
    <w:rsid w:val="005353B0"/>
    <w:rsid w:val="005353B7"/>
    <w:rsid w:val="00535401"/>
    <w:rsid w:val="00535407"/>
    <w:rsid w:val="00535418"/>
    <w:rsid w:val="0053541F"/>
    <w:rsid w:val="00535475"/>
    <w:rsid w:val="005354B7"/>
    <w:rsid w:val="005354DE"/>
    <w:rsid w:val="005354E1"/>
    <w:rsid w:val="00535554"/>
    <w:rsid w:val="00535581"/>
    <w:rsid w:val="00535597"/>
    <w:rsid w:val="00535608"/>
    <w:rsid w:val="00535642"/>
    <w:rsid w:val="0053567B"/>
    <w:rsid w:val="005356CB"/>
    <w:rsid w:val="0053580D"/>
    <w:rsid w:val="00535823"/>
    <w:rsid w:val="0053582B"/>
    <w:rsid w:val="00535857"/>
    <w:rsid w:val="0053586E"/>
    <w:rsid w:val="00535884"/>
    <w:rsid w:val="005358E8"/>
    <w:rsid w:val="005358F9"/>
    <w:rsid w:val="00535904"/>
    <w:rsid w:val="0053592A"/>
    <w:rsid w:val="00535968"/>
    <w:rsid w:val="00535982"/>
    <w:rsid w:val="00535A33"/>
    <w:rsid w:val="00535A3E"/>
    <w:rsid w:val="00535A48"/>
    <w:rsid w:val="00535A51"/>
    <w:rsid w:val="00535A59"/>
    <w:rsid w:val="00535A6F"/>
    <w:rsid w:val="00535A94"/>
    <w:rsid w:val="00535A9E"/>
    <w:rsid w:val="00535AC3"/>
    <w:rsid w:val="00535B04"/>
    <w:rsid w:val="00535B30"/>
    <w:rsid w:val="00535B31"/>
    <w:rsid w:val="00535B3C"/>
    <w:rsid w:val="00535B3E"/>
    <w:rsid w:val="00535B83"/>
    <w:rsid w:val="00535BBA"/>
    <w:rsid w:val="00535C45"/>
    <w:rsid w:val="00535C61"/>
    <w:rsid w:val="00535C81"/>
    <w:rsid w:val="00535C86"/>
    <w:rsid w:val="00535D07"/>
    <w:rsid w:val="00535D13"/>
    <w:rsid w:val="00535D29"/>
    <w:rsid w:val="00535D32"/>
    <w:rsid w:val="00535DC5"/>
    <w:rsid w:val="00535DE2"/>
    <w:rsid w:val="00535E40"/>
    <w:rsid w:val="00535E4C"/>
    <w:rsid w:val="00535E97"/>
    <w:rsid w:val="00535F05"/>
    <w:rsid w:val="00535F0C"/>
    <w:rsid w:val="00535F13"/>
    <w:rsid w:val="00535F22"/>
    <w:rsid w:val="00535F74"/>
    <w:rsid w:val="00535F89"/>
    <w:rsid w:val="00535FAE"/>
    <w:rsid w:val="00535FC1"/>
    <w:rsid w:val="00535FCF"/>
    <w:rsid w:val="0053602E"/>
    <w:rsid w:val="005360A8"/>
    <w:rsid w:val="005360AE"/>
    <w:rsid w:val="0053615A"/>
    <w:rsid w:val="00536185"/>
    <w:rsid w:val="0053619D"/>
    <w:rsid w:val="005361B3"/>
    <w:rsid w:val="005361CC"/>
    <w:rsid w:val="005361EB"/>
    <w:rsid w:val="00536205"/>
    <w:rsid w:val="00536217"/>
    <w:rsid w:val="00536228"/>
    <w:rsid w:val="00536260"/>
    <w:rsid w:val="0053627B"/>
    <w:rsid w:val="00536286"/>
    <w:rsid w:val="005362A7"/>
    <w:rsid w:val="005362D5"/>
    <w:rsid w:val="005362F9"/>
    <w:rsid w:val="0053632F"/>
    <w:rsid w:val="0053639A"/>
    <w:rsid w:val="00536444"/>
    <w:rsid w:val="005364DA"/>
    <w:rsid w:val="0053651B"/>
    <w:rsid w:val="0053653D"/>
    <w:rsid w:val="00536578"/>
    <w:rsid w:val="0053658B"/>
    <w:rsid w:val="00536596"/>
    <w:rsid w:val="0053659F"/>
    <w:rsid w:val="005365A0"/>
    <w:rsid w:val="005365B0"/>
    <w:rsid w:val="005365B2"/>
    <w:rsid w:val="005365DC"/>
    <w:rsid w:val="005365F7"/>
    <w:rsid w:val="00536608"/>
    <w:rsid w:val="00536673"/>
    <w:rsid w:val="0053668C"/>
    <w:rsid w:val="0053669D"/>
    <w:rsid w:val="005366E7"/>
    <w:rsid w:val="005366F5"/>
    <w:rsid w:val="0053670D"/>
    <w:rsid w:val="0053672C"/>
    <w:rsid w:val="00536792"/>
    <w:rsid w:val="00536799"/>
    <w:rsid w:val="005367A2"/>
    <w:rsid w:val="005367BE"/>
    <w:rsid w:val="005367C5"/>
    <w:rsid w:val="005367F1"/>
    <w:rsid w:val="00536805"/>
    <w:rsid w:val="00536875"/>
    <w:rsid w:val="00536892"/>
    <w:rsid w:val="0053692C"/>
    <w:rsid w:val="0053692D"/>
    <w:rsid w:val="00536935"/>
    <w:rsid w:val="00536960"/>
    <w:rsid w:val="0053698E"/>
    <w:rsid w:val="00536997"/>
    <w:rsid w:val="00536A9C"/>
    <w:rsid w:val="00536ADE"/>
    <w:rsid w:val="00536B0B"/>
    <w:rsid w:val="00536B4F"/>
    <w:rsid w:val="00536B5A"/>
    <w:rsid w:val="00536B90"/>
    <w:rsid w:val="00536BB6"/>
    <w:rsid w:val="00536C33"/>
    <w:rsid w:val="00536C3C"/>
    <w:rsid w:val="00536C8C"/>
    <w:rsid w:val="00536CAD"/>
    <w:rsid w:val="00536CFA"/>
    <w:rsid w:val="00536DE8"/>
    <w:rsid w:val="00536E24"/>
    <w:rsid w:val="00536E4F"/>
    <w:rsid w:val="00536E5B"/>
    <w:rsid w:val="00536E67"/>
    <w:rsid w:val="00536E9D"/>
    <w:rsid w:val="00536EAA"/>
    <w:rsid w:val="00536EBA"/>
    <w:rsid w:val="00536F3A"/>
    <w:rsid w:val="00536F77"/>
    <w:rsid w:val="00536F88"/>
    <w:rsid w:val="00536FA9"/>
    <w:rsid w:val="00536FCE"/>
    <w:rsid w:val="00536FF6"/>
    <w:rsid w:val="00537000"/>
    <w:rsid w:val="0053701B"/>
    <w:rsid w:val="00537034"/>
    <w:rsid w:val="0053705D"/>
    <w:rsid w:val="0053707C"/>
    <w:rsid w:val="00537093"/>
    <w:rsid w:val="005370AE"/>
    <w:rsid w:val="005370CB"/>
    <w:rsid w:val="00537107"/>
    <w:rsid w:val="00537132"/>
    <w:rsid w:val="005371B2"/>
    <w:rsid w:val="005371BE"/>
    <w:rsid w:val="005371EE"/>
    <w:rsid w:val="00537208"/>
    <w:rsid w:val="00537224"/>
    <w:rsid w:val="00537265"/>
    <w:rsid w:val="00537283"/>
    <w:rsid w:val="00537296"/>
    <w:rsid w:val="005372F0"/>
    <w:rsid w:val="0053731F"/>
    <w:rsid w:val="00537324"/>
    <w:rsid w:val="00537380"/>
    <w:rsid w:val="005373A7"/>
    <w:rsid w:val="005373D3"/>
    <w:rsid w:val="005373FD"/>
    <w:rsid w:val="0053746C"/>
    <w:rsid w:val="005374B2"/>
    <w:rsid w:val="005374C0"/>
    <w:rsid w:val="005374D0"/>
    <w:rsid w:val="00537527"/>
    <w:rsid w:val="0053758D"/>
    <w:rsid w:val="005375F0"/>
    <w:rsid w:val="0053760A"/>
    <w:rsid w:val="005376CE"/>
    <w:rsid w:val="0053777F"/>
    <w:rsid w:val="005377C3"/>
    <w:rsid w:val="00537835"/>
    <w:rsid w:val="005378D3"/>
    <w:rsid w:val="005378E3"/>
    <w:rsid w:val="00537938"/>
    <w:rsid w:val="00537997"/>
    <w:rsid w:val="005379BC"/>
    <w:rsid w:val="005379CE"/>
    <w:rsid w:val="005379EA"/>
    <w:rsid w:val="00537A52"/>
    <w:rsid w:val="00537A5E"/>
    <w:rsid w:val="00537A98"/>
    <w:rsid w:val="00537AE4"/>
    <w:rsid w:val="00537B49"/>
    <w:rsid w:val="00537B60"/>
    <w:rsid w:val="00537B65"/>
    <w:rsid w:val="00537B72"/>
    <w:rsid w:val="00537B73"/>
    <w:rsid w:val="00537B75"/>
    <w:rsid w:val="00537B95"/>
    <w:rsid w:val="00537BD9"/>
    <w:rsid w:val="00537C03"/>
    <w:rsid w:val="00537C2F"/>
    <w:rsid w:val="00537C5C"/>
    <w:rsid w:val="00537C5D"/>
    <w:rsid w:val="00537CA0"/>
    <w:rsid w:val="00537CB2"/>
    <w:rsid w:val="00537CE3"/>
    <w:rsid w:val="00537CF2"/>
    <w:rsid w:val="00537D81"/>
    <w:rsid w:val="00537E66"/>
    <w:rsid w:val="00537E79"/>
    <w:rsid w:val="00537ECB"/>
    <w:rsid w:val="00537EDF"/>
    <w:rsid w:val="00537F34"/>
    <w:rsid w:val="00537F70"/>
    <w:rsid w:val="00537F79"/>
    <w:rsid w:val="00537FD2"/>
    <w:rsid w:val="00537FEC"/>
    <w:rsid w:val="00540004"/>
    <w:rsid w:val="00540056"/>
    <w:rsid w:val="005400A9"/>
    <w:rsid w:val="005400C0"/>
    <w:rsid w:val="0054015B"/>
    <w:rsid w:val="00540279"/>
    <w:rsid w:val="00540282"/>
    <w:rsid w:val="005402D9"/>
    <w:rsid w:val="005402DE"/>
    <w:rsid w:val="005402E8"/>
    <w:rsid w:val="005402E9"/>
    <w:rsid w:val="005402EA"/>
    <w:rsid w:val="00540316"/>
    <w:rsid w:val="0054037D"/>
    <w:rsid w:val="0054043A"/>
    <w:rsid w:val="00540453"/>
    <w:rsid w:val="00540477"/>
    <w:rsid w:val="00540480"/>
    <w:rsid w:val="00540486"/>
    <w:rsid w:val="00540519"/>
    <w:rsid w:val="00540550"/>
    <w:rsid w:val="00540553"/>
    <w:rsid w:val="00540589"/>
    <w:rsid w:val="005405B0"/>
    <w:rsid w:val="005405E1"/>
    <w:rsid w:val="0054060D"/>
    <w:rsid w:val="00540645"/>
    <w:rsid w:val="0054065D"/>
    <w:rsid w:val="0054066A"/>
    <w:rsid w:val="005406AE"/>
    <w:rsid w:val="00540729"/>
    <w:rsid w:val="00540732"/>
    <w:rsid w:val="00540843"/>
    <w:rsid w:val="005408A2"/>
    <w:rsid w:val="005408B4"/>
    <w:rsid w:val="0054092A"/>
    <w:rsid w:val="0054093A"/>
    <w:rsid w:val="00540948"/>
    <w:rsid w:val="00540968"/>
    <w:rsid w:val="005409E5"/>
    <w:rsid w:val="00540A3B"/>
    <w:rsid w:val="00540A80"/>
    <w:rsid w:val="00540A96"/>
    <w:rsid w:val="00540B2B"/>
    <w:rsid w:val="00540B34"/>
    <w:rsid w:val="00540B36"/>
    <w:rsid w:val="00540B54"/>
    <w:rsid w:val="00540B84"/>
    <w:rsid w:val="00540B8D"/>
    <w:rsid w:val="00540BA1"/>
    <w:rsid w:val="00540BB4"/>
    <w:rsid w:val="00540BB5"/>
    <w:rsid w:val="00540BD4"/>
    <w:rsid w:val="00540BE4"/>
    <w:rsid w:val="00540BE8"/>
    <w:rsid w:val="00540C31"/>
    <w:rsid w:val="00540C32"/>
    <w:rsid w:val="00540C4E"/>
    <w:rsid w:val="00540C62"/>
    <w:rsid w:val="00540D02"/>
    <w:rsid w:val="00540DBC"/>
    <w:rsid w:val="00540DFA"/>
    <w:rsid w:val="00540DFE"/>
    <w:rsid w:val="00540DFF"/>
    <w:rsid w:val="00540E2F"/>
    <w:rsid w:val="00540E51"/>
    <w:rsid w:val="00540E77"/>
    <w:rsid w:val="00540E87"/>
    <w:rsid w:val="00540E9A"/>
    <w:rsid w:val="00540F1E"/>
    <w:rsid w:val="00540F99"/>
    <w:rsid w:val="00540FD5"/>
    <w:rsid w:val="0054101F"/>
    <w:rsid w:val="0054105A"/>
    <w:rsid w:val="005410A9"/>
    <w:rsid w:val="005410DA"/>
    <w:rsid w:val="00541111"/>
    <w:rsid w:val="0054112A"/>
    <w:rsid w:val="0054116C"/>
    <w:rsid w:val="00541176"/>
    <w:rsid w:val="005411C1"/>
    <w:rsid w:val="005411F4"/>
    <w:rsid w:val="0054122C"/>
    <w:rsid w:val="00541378"/>
    <w:rsid w:val="00541395"/>
    <w:rsid w:val="0054139E"/>
    <w:rsid w:val="005413B1"/>
    <w:rsid w:val="0054143F"/>
    <w:rsid w:val="005414B7"/>
    <w:rsid w:val="005414D8"/>
    <w:rsid w:val="00541517"/>
    <w:rsid w:val="00541534"/>
    <w:rsid w:val="00541544"/>
    <w:rsid w:val="00541546"/>
    <w:rsid w:val="00541556"/>
    <w:rsid w:val="0054155E"/>
    <w:rsid w:val="00541573"/>
    <w:rsid w:val="00541579"/>
    <w:rsid w:val="005415C8"/>
    <w:rsid w:val="005415E1"/>
    <w:rsid w:val="005415F4"/>
    <w:rsid w:val="00541666"/>
    <w:rsid w:val="005416BD"/>
    <w:rsid w:val="0054173B"/>
    <w:rsid w:val="0054183A"/>
    <w:rsid w:val="0054188C"/>
    <w:rsid w:val="005418AD"/>
    <w:rsid w:val="005418C0"/>
    <w:rsid w:val="005418DF"/>
    <w:rsid w:val="0054192B"/>
    <w:rsid w:val="0054199C"/>
    <w:rsid w:val="005419FA"/>
    <w:rsid w:val="00541A08"/>
    <w:rsid w:val="00541A20"/>
    <w:rsid w:val="00541A24"/>
    <w:rsid w:val="00541A40"/>
    <w:rsid w:val="00541A6F"/>
    <w:rsid w:val="00541A7D"/>
    <w:rsid w:val="00541B1C"/>
    <w:rsid w:val="00541B2A"/>
    <w:rsid w:val="00541BBC"/>
    <w:rsid w:val="00541C64"/>
    <w:rsid w:val="00541C89"/>
    <w:rsid w:val="00541CB2"/>
    <w:rsid w:val="00541CBD"/>
    <w:rsid w:val="00541CC0"/>
    <w:rsid w:val="00541CCF"/>
    <w:rsid w:val="00541D1C"/>
    <w:rsid w:val="00541D32"/>
    <w:rsid w:val="00541E19"/>
    <w:rsid w:val="00541E61"/>
    <w:rsid w:val="00541E73"/>
    <w:rsid w:val="00541EF1"/>
    <w:rsid w:val="00541F35"/>
    <w:rsid w:val="00541F40"/>
    <w:rsid w:val="00541F41"/>
    <w:rsid w:val="00541F4E"/>
    <w:rsid w:val="00541F79"/>
    <w:rsid w:val="00541F91"/>
    <w:rsid w:val="00541FA2"/>
    <w:rsid w:val="00541FD6"/>
    <w:rsid w:val="00541FE0"/>
    <w:rsid w:val="00541FFF"/>
    <w:rsid w:val="0054203F"/>
    <w:rsid w:val="005420B6"/>
    <w:rsid w:val="005420CE"/>
    <w:rsid w:val="0054211B"/>
    <w:rsid w:val="0054216A"/>
    <w:rsid w:val="00542175"/>
    <w:rsid w:val="0054218D"/>
    <w:rsid w:val="005421F7"/>
    <w:rsid w:val="00542221"/>
    <w:rsid w:val="0054222F"/>
    <w:rsid w:val="0054228E"/>
    <w:rsid w:val="005422A7"/>
    <w:rsid w:val="005422C6"/>
    <w:rsid w:val="00542399"/>
    <w:rsid w:val="005423AE"/>
    <w:rsid w:val="00542435"/>
    <w:rsid w:val="0054244A"/>
    <w:rsid w:val="00542477"/>
    <w:rsid w:val="00542488"/>
    <w:rsid w:val="00542504"/>
    <w:rsid w:val="00542559"/>
    <w:rsid w:val="005425BB"/>
    <w:rsid w:val="005425D9"/>
    <w:rsid w:val="0054261E"/>
    <w:rsid w:val="0054262C"/>
    <w:rsid w:val="00542660"/>
    <w:rsid w:val="005426BD"/>
    <w:rsid w:val="005426E1"/>
    <w:rsid w:val="005426F8"/>
    <w:rsid w:val="00542818"/>
    <w:rsid w:val="0054283F"/>
    <w:rsid w:val="005428EE"/>
    <w:rsid w:val="0054292C"/>
    <w:rsid w:val="0054293B"/>
    <w:rsid w:val="00542957"/>
    <w:rsid w:val="00542964"/>
    <w:rsid w:val="0054296D"/>
    <w:rsid w:val="0054298D"/>
    <w:rsid w:val="005429BD"/>
    <w:rsid w:val="005429E5"/>
    <w:rsid w:val="00542A15"/>
    <w:rsid w:val="00542A4D"/>
    <w:rsid w:val="00542A52"/>
    <w:rsid w:val="00542A64"/>
    <w:rsid w:val="00542B18"/>
    <w:rsid w:val="00542B54"/>
    <w:rsid w:val="00542B57"/>
    <w:rsid w:val="00542B70"/>
    <w:rsid w:val="00542B8F"/>
    <w:rsid w:val="00542BA8"/>
    <w:rsid w:val="00542BD5"/>
    <w:rsid w:val="00542BDB"/>
    <w:rsid w:val="00542BEA"/>
    <w:rsid w:val="00542C7E"/>
    <w:rsid w:val="00542C88"/>
    <w:rsid w:val="00542C99"/>
    <w:rsid w:val="00542CA9"/>
    <w:rsid w:val="00542CE5"/>
    <w:rsid w:val="00542D12"/>
    <w:rsid w:val="00542DB6"/>
    <w:rsid w:val="00542DD3"/>
    <w:rsid w:val="00542E0A"/>
    <w:rsid w:val="00542EA1"/>
    <w:rsid w:val="00542EE3"/>
    <w:rsid w:val="00542EEB"/>
    <w:rsid w:val="00542EFD"/>
    <w:rsid w:val="00542F10"/>
    <w:rsid w:val="00542F3B"/>
    <w:rsid w:val="00542F7D"/>
    <w:rsid w:val="00542F81"/>
    <w:rsid w:val="00542F96"/>
    <w:rsid w:val="00543098"/>
    <w:rsid w:val="0054312C"/>
    <w:rsid w:val="005431B4"/>
    <w:rsid w:val="00543228"/>
    <w:rsid w:val="00543356"/>
    <w:rsid w:val="00543357"/>
    <w:rsid w:val="005433EE"/>
    <w:rsid w:val="005433F6"/>
    <w:rsid w:val="00543446"/>
    <w:rsid w:val="0054345D"/>
    <w:rsid w:val="0054346F"/>
    <w:rsid w:val="005434BA"/>
    <w:rsid w:val="005434F9"/>
    <w:rsid w:val="00543531"/>
    <w:rsid w:val="00543537"/>
    <w:rsid w:val="00543565"/>
    <w:rsid w:val="005435AA"/>
    <w:rsid w:val="005435DA"/>
    <w:rsid w:val="00543607"/>
    <w:rsid w:val="00543620"/>
    <w:rsid w:val="00543656"/>
    <w:rsid w:val="0054365A"/>
    <w:rsid w:val="00543688"/>
    <w:rsid w:val="005436A0"/>
    <w:rsid w:val="005436D4"/>
    <w:rsid w:val="0054378B"/>
    <w:rsid w:val="00543792"/>
    <w:rsid w:val="005437A2"/>
    <w:rsid w:val="005437DA"/>
    <w:rsid w:val="005437F5"/>
    <w:rsid w:val="0054387C"/>
    <w:rsid w:val="00543894"/>
    <w:rsid w:val="005438A1"/>
    <w:rsid w:val="005438E0"/>
    <w:rsid w:val="0054392A"/>
    <w:rsid w:val="00543979"/>
    <w:rsid w:val="005439D9"/>
    <w:rsid w:val="00543A00"/>
    <w:rsid w:val="00543A2E"/>
    <w:rsid w:val="00543A59"/>
    <w:rsid w:val="00543A6A"/>
    <w:rsid w:val="00543AD5"/>
    <w:rsid w:val="00543B13"/>
    <w:rsid w:val="00543B2F"/>
    <w:rsid w:val="00543B44"/>
    <w:rsid w:val="00543BAF"/>
    <w:rsid w:val="00543BF3"/>
    <w:rsid w:val="00543C12"/>
    <w:rsid w:val="00543C58"/>
    <w:rsid w:val="00543C97"/>
    <w:rsid w:val="00543CB8"/>
    <w:rsid w:val="00543CC4"/>
    <w:rsid w:val="00543CF5"/>
    <w:rsid w:val="00543D0F"/>
    <w:rsid w:val="00543D80"/>
    <w:rsid w:val="00543D9A"/>
    <w:rsid w:val="00543DE5"/>
    <w:rsid w:val="00543E0C"/>
    <w:rsid w:val="00543E16"/>
    <w:rsid w:val="00543E2C"/>
    <w:rsid w:val="00543E53"/>
    <w:rsid w:val="00543E5E"/>
    <w:rsid w:val="00543ECA"/>
    <w:rsid w:val="00543EE5"/>
    <w:rsid w:val="00543EEF"/>
    <w:rsid w:val="00543F0B"/>
    <w:rsid w:val="00543F46"/>
    <w:rsid w:val="00543F5A"/>
    <w:rsid w:val="00543F5D"/>
    <w:rsid w:val="00543F83"/>
    <w:rsid w:val="00543FA0"/>
    <w:rsid w:val="005440DB"/>
    <w:rsid w:val="00544153"/>
    <w:rsid w:val="00544166"/>
    <w:rsid w:val="0054417D"/>
    <w:rsid w:val="00544181"/>
    <w:rsid w:val="0054418D"/>
    <w:rsid w:val="0054418F"/>
    <w:rsid w:val="005441D0"/>
    <w:rsid w:val="005441EC"/>
    <w:rsid w:val="005441F5"/>
    <w:rsid w:val="0054420E"/>
    <w:rsid w:val="0054421F"/>
    <w:rsid w:val="00544251"/>
    <w:rsid w:val="0054425A"/>
    <w:rsid w:val="0054426C"/>
    <w:rsid w:val="00544271"/>
    <w:rsid w:val="00544360"/>
    <w:rsid w:val="00544420"/>
    <w:rsid w:val="0054447B"/>
    <w:rsid w:val="00544495"/>
    <w:rsid w:val="005444BC"/>
    <w:rsid w:val="005444C8"/>
    <w:rsid w:val="0054454A"/>
    <w:rsid w:val="00544575"/>
    <w:rsid w:val="00544594"/>
    <w:rsid w:val="005445D1"/>
    <w:rsid w:val="005445D6"/>
    <w:rsid w:val="005445FD"/>
    <w:rsid w:val="00544680"/>
    <w:rsid w:val="0054468B"/>
    <w:rsid w:val="0054468D"/>
    <w:rsid w:val="005446A7"/>
    <w:rsid w:val="00544700"/>
    <w:rsid w:val="00544731"/>
    <w:rsid w:val="005447E2"/>
    <w:rsid w:val="005447E9"/>
    <w:rsid w:val="005447FB"/>
    <w:rsid w:val="00544810"/>
    <w:rsid w:val="00544830"/>
    <w:rsid w:val="0054484A"/>
    <w:rsid w:val="0054484E"/>
    <w:rsid w:val="00544859"/>
    <w:rsid w:val="005448DE"/>
    <w:rsid w:val="00544909"/>
    <w:rsid w:val="0054499B"/>
    <w:rsid w:val="005449AF"/>
    <w:rsid w:val="00544A2B"/>
    <w:rsid w:val="00544A68"/>
    <w:rsid w:val="00544B21"/>
    <w:rsid w:val="00544B51"/>
    <w:rsid w:val="00544B52"/>
    <w:rsid w:val="00544B7F"/>
    <w:rsid w:val="00544B8B"/>
    <w:rsid w:val="00544BE4"/>
    <w:rsid w:val="00544C2F"/>
    <w:rsid w:val="00544C8A"/>
    <w:rsid w:val="00544CA0"/>
    <w:rsid w:val="00544D9E"/>
    <w:rsid w:val="00544DD5"/>
    <w:rsid w:val="00544E42"/>
    <w:rsid w:val="00544E45"/>
    <w:rsid w:val="00544EDA"/>
    <w:rsid w:val="00544F3F"/>
    <w:rsid w:val="00544F56"/>
    <w:rsid w:val="00544F61"/>
    <w:rsid w:val="00544F72"/>
    <w:rsid w:val="00544F77"/>
    <w:rsid w:val="00544FC1"/>
    <w:rsid w:val="00544FC6"/>
    <w:rsid w:val="00544FF6"/>
    <w:rsid w:val="00545021"/>
    <w:rsid w:val="00545024"/>
    <w:rsid w:val="00545030"/>
    <w:rsid w:val="00545033"/>
    <w:rsid w:val="00545035"/>
    <w:rsid w:val="0054503D"/>
    <w:rsid w:val="0054505E"/>
    <w:rsid w:val="00545073"/>
    <w:rsid w:val="0054511D"/>
    <w:rsid w:val="0054514F"/>
    <w:rsid w:val="0054515A"/>
    <w:rsid w:val="0054516B"/>
    <w:rsid w:val="00545189"/>
    <w:rsid w:val="0054518A"/>
    <w:rsid w:val="005451BF"/>
    <w:rsid w:val="005451C7"/>
    <w:rsid w:val="005451E0"/>
    <w:rsid w:val="005451F1"/>
    <w:rsid w:val="00545270"/>
    <w:rsid w:val="00545310"/>
    <w:rsid w:val="00545393"/>
    <w:rsid w:val="005453DF"/>
    <w:rsid w:val="005453FF"/>
    <w:rsid w:val="0054548B"/>
    <w:rsid w:val="005454ED"/>
    <w:rsid w:val="0054550D"/>
    <w:rsid w:val="00545595"/>
    <w:rsid w:val="005455C5"/>
    <w:rsid w:val="00545606"/>
    <w:rsid w:val="00545610"/>
    <w:rsid w:val="00545617"/>
    <w:rsid w:val="00545621"/>
    <w:rsid w:val="00545629"/>
    <w:rsid w:val="0054563A"/>
    <w:rsid w:val="0054565D"/>
    <w:rsid w:val="00545667"/>
    <w:rsid w:val="00545676"/>
    <w:rsid w:val="005456C2"/>
    <w:rsid w:val="005456D4"/>
    <w:rsid w:val="005456DB"/>
    <w:rsid w:val="00545727"/>
    <w:rsid w:val="0054575B"/>
    <w:rsid w:val="00545774"/>
    <w:rsid w:val="00545776"/>
    <w:rsid w:val="005457B7"/>
    <w:rsid w:val="005457CC"/>
    <w:rsid w:val="005457FD"/>
    <w:rsid w:val="00545800"/>
    <w:rsid w:val="00545811"/>
    <w:rsid w:val="0054583F"/>
    <w:rsid w:val="005458D1"/>
    <w:rsid w:val="00545935"/>
    <w:rsid w:val="005459BC"/>
    <w:rsid w:val="005459E6"/>
    <w:rsid w:val="00545A78"/>
    <w:rsid w:val="00545AC7"/>
    <w:rsid w:val="00545AE4"/>
    <w:rsid w:val="00545AEA"/>
    <w:rsid w:val="00545B60"/>
    <w:rsid w:val="00545B85"/>
    <w:rsid w:val="00545BB5"/>
    <w:rsid w:val="00545BD8"/>
    <w:rsid w:val="00545BFF"/>
    <w:rsid w:val="00545C0B"/>
    <w:rsid w:val="00545C48"/>
    <w:rsid w:val="00545CF0"/>
    <w:rsid w:val="00545CF2"/>
    <w:rsid w:val="00545D0D"/>
    <w:rsid w:val="00545D30"/>
    <w:rsid w:val="00545D6F"/>
    <w:rsid w:val="00545DA2"/>
    <w:rsid w:val="00545E08"/>
    <w:rsid w:val="00545E48"/>
    <w:rsid w:val="00545E6E"/>
    <w:rsid w:val="00545E7C"/>
    <w:rsid w:val="00545EB3"/>
    <w:rsid w:val="00545EF2"/>
    <w:rsid w:val="00545F30"/>
    <w:rsid w:val="00545F44"/>
    <w:rsid w:val="00545F65"/>
    <w:rsid w:val="00545F94"/>
    <w:rsid w:val="00545FC1"/>
    <w:rsid w:val="00545FD1"/>
    <w:rsid w:val="00545FFA"/>
    <w:rsid w:val="0054604F"/>
    <w:rsid w:val="0054605F"/>
    <w:rsid w:val="005460CB"/>
    <w:rsid w:val="005460D9"/>
    <w:rsid w:val="00546102"/>
    <w:rsid w:val="00546184"/>
    <w:rsid w:val="00546185"/>
    <w:rsid w:val="00546196"/>
    <w:rsid w:val="0054622F"/>
    <w:rsid w:val="0054625D"/>
    <w:rsid w:val="00546292"/>
    <w:rsid w:val="00546297"/>
    <w:rsid w:val="005462BF"/>
    <w:rsid w:val="005462F9"/>
    <w:rsid w:val="00546377"/>
    <w:rsid w:val="005463F6"/>
    <w:rsid w:val="00546403"/>
    <w:rsid w:val="0054640B"/>
    <w:rsid w:val="0054642B"/>
    <w:rsid w:val="0054644D"/>
    <w:rsid w:val="0054645F"/>
    <w:rsid w:val="005464A6"/>
    <w:rsid w:val="005464E8"/>
    <w:rsid w:val="005464EB"/>
    <w:rsid w:val="005464EC"/>
    <w:rsid w:val="005464F5"/>
    <w:rsid w:val="00546541"/>
    <w:rsid w:val="005465E1"/>
    <w:rsid w:val="00546657"/>
    <w:rsid w:val="005466EE"/>
    <w:rsid w:val="00546708"/>
    <w:rsid w:val="0054672E"/>
    <w:rsid w:val="00546748"/>
    <w:rsid w:val="00546758"/>
    <w:rsid w:val="00546792"/>
    <w:rsid w:val="0054680D"/>
    <w:rsid w:val="00546838"/>
    <w:rsid w:val="005468BE"/>
    <w:rsid w:val="00546913"/>
    <w:rsid w:val="005469BF"/>
    <w:rsid w:val="005469D5"/>
    <w:rsid w:val="00546A0D"/>
    <w:rsid w:val="00546A7A"/>
    <w:rsid w:val="00546A96"/>
    <w:rsid w:val="00546AAB"/>
    <w:rsid w:val="00546ABB"/>
    <w:rsid w:val="00546AEA"/>
    <w:rsid w:val="00546AF9"/>
    <w:rsid w:val="00546B45"/>
    <w:rsid w:val="00546B97"/>
    <w:rsid w:val="00546BE2"/>
    <w:rsid w:val="00546C45"/>
    <w:rsid w:val="00546C7A"/>
    <w:rsid w:val="00546CE2"/>
    <w:rsid w:val="00546D17"/>
    <w:rsid w:val="00546D4C"/>
    <w:rsid w:val="00546E05"/>
    <w:rsid w:val="00546E16"/>
    <w:rsid w:val="00546E2C"/>
    <w:rsid w:val="00546E33"/>
    <w:rsid w:val="00546E3B"/>
    <w:rsid w:val="00546EBC"/>
    <w:rsid w:val="00546F0D"/>
    <w:rsid w:val="00546F2C"/>
    <w:rsid w:val="00546FAB"/>
    <w:rsid w:val="00546FE1"/>
    <w:rsid w:val="00546FF1"/>
    <w:rsid w:val="00547047"/>
    <w:rsid w:val="005470B8"/>
    <w:rsid w:val="0054710F"/>
    <w:rsid w:val="00547120"/>
    <w:rsid w:val="00547175"/>
    <w:rsid w:val="0054717D"/>
    <w:rsid w:val="00547182"/>
    <w:rsid w:val="005471BA"/>
    <w:rsid w:val="005471E7"/>
    <w:rsid w:val="0054721C"/>
    <w:rsid w:val="0054723A"/>
    <w:rsid w:val="00547298"/>
    <w:rsid w:val="005472CC"/>
    <w:rsid w:val="005472F3"/>
    <w:rsid w:val="0054730D"/>
    <w:rsid w:val="00547329"/>
    <w:rsid w:val="00547362"/>
    <w:rsid w:val="00547387"/>
    <w:rsid w:val="0054738D"/>
    <w:rsid w:val="005473A8"/>
    <w:rsid w:val="005473E2"/>
    <w:rsid w:val="005473FD"/>
    <w:rsid w:val="0054740D"/>
    <w:rsid w:val="00547458"/>
    <w:rsid w:val="0054745B"/>
    <w:rsid w:val="0054745C"/>
    <w:rsid w:val="00547462"/>
    <w:rsid w:val="0054747B"/>
    <w:rsid w:val="00547487"/>
    <w:rsid w:val="00547494"/>
    <w:rsid w:val="005474AB"/>
    <w:rsid w:val="005474CD"/>
    <w:rsid w:val="005474D7"/>
    <w:rsid w:val="0054750B"/>
    <w:rsid w:val="005475EF"/>
    <w:rsid w:val="0054760B"/>
    <w:rsid w:val="00547625"/>
    <w:rsid w:val="0054768B"/>
    <w:rsid w:val="0054770F"/>
    <w:rsid w:val="00547725"/>
    <w:rsid w:val="0054776D"/>
    <w:rsid w:val="00547773"/>
    <w:rsid w:val="005477C1"/>
    <w:rsid w:val="005477F1"/>
    <w:rsid w:val="0054784C"/>
    <w:rsid w:val="00547879"/>
    <w:rsid w:val="0054787B"/>
    <w:rsid w:val="005478C0"/>
    <w:rsid w:val="005478C4"/>
    <w:rsid w:val="005478CB"/>
    <w:rsid w:val="00547951"/>
    <w:rsid w:val="00547968"/>
    <w:rsid w:val="005479BA"/>
    <w:rsid w:val="005479CA"/>
    <w:rsid w:val="00547A15"/>
    <w:rsid w:val="00547A37"/>
    <w:rsid w:val="00547AAE"/>
    <w:rsid w:val="00547B11"/>
    <w:rsid w:val="00547B6D"/>
    <w:rsid w:val="00547C81"/>
    <w:rsid w:val="00547D41"/>
    <w:rsid w:val="00547D62"/>
    <w:rsid w:val="00547D6A"/>
    <w:rsid w:val="00547DF0"/>
    <w:rsid w:val="00547ED3"/>
    <w:rsid w:val="00547EE9"/>
    <w:rsid w:val="00547EFA"/>
    <w:rsid w:val="00547F10"/>
    <w:rsid w:val="00547F6B"/>
    <w:rsid w:val="00547F6F"/>
    <w:rsid w:val="005500D5"/>
    <w:rsid w:val="005500D7"/>
    <w:rsid w:val="0055010B"/>
    <w:rsid w:val="005501E9"/>
    <w:rsid w:val="0055020B"/>
    <w:rsid w:val="00550216"/>
    <w:rsid w:val="005502BD"/>
    <w:rsid w:val="005502DC"/>
    <w:rsid w:val="005502E0"/>
    <w:rsid w:val="005502EF"/>
    <w:rsid w:val="00550313"/>
    <w:rsid w:val="005503AE"/>
    <w:rsid w:val="005503E7"/>
    <w:rsid w:val="005503E9"/>
    <w:rsid w:val="0055049F"/>
    <w:rsid w:val="005504ED"/>
    <w:rsid w:val="00550532"/>
    <w:rsid w:val="00550534"/>
    <w:rsid w:val="0055058B"/>
    <w:rsid w:val="005505EE"/>
    <w:rsid w:val="0055066B"/>
    <w:rsid w:val="0055069D"/>
    <w:rsid w:val="005506A5"/>
    <w:rsid w:val="005506CC"/>
    <w:rsid w:val="00550709"/>
    <w:rsid w:val="0055070F"/>
    <w:rsid w:val="0055071E"/>
    <w:rsid w:val="0055074A"/>
    <w:rsid w:val="0055077B"/>
    <w:rsid w:val="00550782"/>
    <w:rsid w:val="005507A5"/>
    <w:rsid w:val="005507A7"/>
    <w:rsid w:val="00550805"/>
    <w:rsid w:val="0055089C"/>
    <w:rsid w:val="0055090A"/>
    <w:rsid w:val="00550953"/>
    <w:rsid w:val="005509E1"/>
    <w:rsid w:val="00550A25"/>
    <w:rsid w:val="00550A4D"/>
    <w:rsid w:val="00550AB2"/>
    <w:rsid w:val="00550ABE"/>
    <w:rsid w:val="00550ADC"/>
    <w:rsid w:val="00550ADF"/>
    <w:rsid w:val="00550AEB"/>
    <w:rsid w:val="00550B0D"/>
    <w:rsid w:val="00550B21"/>
    <w:rsid w:val="00550C90"/>
    <w:rsid w:val="00550CAB"/>
    <w:rsid w:val="00550CAF"/>
    <w:rsid w:val="00550D46"/>
    <w:rsid w:val="00550D48"/>
    <w:rsid w:val="00550D68"/>
    <w:rsid w:val="00550D6F"/>
    <w:rsid w:val="00550E01"/>
    <w:rsid w:val="00550E0C"/>
    <w:rsid w:val="00550E4D"/>
    <w:rsid w:val="00550EBC"/>
    <w:rsid w:val="00550ECE"/>
    <w:rsid w:val="00550EDC"/>
    <w:rsid w:val="00550F23"/>
    <w:rsid w:val="00550F5A"/>
    <w:rsid w:val="00550FAB"/>
    <w:rsid w:val="00550FDB"/>
    <w:rsid w:val="00550FDC"/>
    <w:rsid w:val="00551011"/>
    <w:rsid w:val="0055108B"/>
    <w:rsid w:val="00551099"/>
    <w:rsid w:val="005510BA"/>
    <w:rsid w:val="005510D8"/>
    <w:rsid w:val="00551133"/>
    <w:rsid w:val="00551147"/>
    <w:rsid w:val="00551181"/>
    <w:rsid w:val="005511B6"/>
    <w:rsid w:val="00551278"/>
    <w:rsid w:val="00551297"/>
    <w:rsid w:val="005512DF"/>
    <w:rsid w:val="00551350"/>
    <w:rsid w:val="00551379"/>
    <w:rsid w:val="00551393"/>
    <w:rsid w:val="005513E8"/>
    <w:rsid w:val="00551430"/>
    <w:rsid w:val="00551465"/>
    <w:rsid w:val="00551482"/>
    <w:rsid w:val="00551484"/>
    <w:rsid w:val="005514E9"/>
    <w:rsid w:val="005514F3"/>
    <w:rsid w:val="0055150B"/>
    <w:rsid w:val="00551548"/>
    <w:rsid w:val="0055154C"/>
    <w:rsid w:val="0055157F"/>
    <w:rsid w:val="005515C3"/>
    <w:rsid w:val="005515D8"/>
    <w:rsid w:val="00551604"/>
    <w:rsid w:val="00551625"/>
    <w:rsid w:val="005516D7"/>
    <w:rsid w:val="00551703"/>
    <w:rsid w:val="00551734"/>
    <w:rsid w:val="00551754"/>
    <w:rsid w:val="0055178B"/>
    <w:rsid w:val="005517D4"/>
    <w:rsid w:val="005517DF"/>
    <w:rsid w:val="0055182D"/>
    <w:rsid w:val="00551835"/>
    <w:rsid w:val="0055186C"/>
    <w:rsid w:val="005518C8"/>
    <w:rsid w:val="005518E5"/>
    <w:rsid w:val="00551953"/>
    <w:rsid w:val="005519B2"/>
    <w:rsid w:val="005519C9"/>
    <w:rsid w:val="00551A47"/>
    <w:rsid w:val="00551A97"/>
    <w:rsid w:val="00551ABF"/>
    <w:rsid w:val="00551B5E"/>
    <w:rsid w:val="00551B70"/>
    <w:rsid w:val="00551C10"/>
    <w:rsid w:val="00551CDE"/>
    <w:rsid w:val="00551D42"/>
    <w:rsid w:val="00551D50"/>
    <w:rsid w:val="00551D6E"/>
    <w:rsid w:val="00551D73"/>
    <w:rsid w:val="00551D99"/>
    <w:rsid w:val="00551DA3"/>
    <w:rsid w:val="00551DB4"/>
    <w:rsid w:val="00551DF7"/>
    <w:rsid w:val="00551E13"/>
    <w:rsid w:val="00551E53"/>
    <w:rsid w:val="00551E74"/>
    <w:rsid w:val="00551F7D"/>
    <w:rsid w:val="00551F90"/>
    <w:rsid w:val="00551FD2"/>
    <w:rsid w:val="00551FD5"/>
    <w:rsid w:val="00552022"/>
    <w:rsid w:val="0055203B"/>
    <w:rsid w:val="0055204C"/>
    <w:rsid w:val="005520A6"/>
    <w:rsid w:val="005520BA"/>
    <w:rsid w:val="005520DC"/>
    <w:rsid w:val="00552121"/>
    <w:rsid w:val="0055212B"/>
    <w:rsid w:val="00552136"/>
    <w:rsid w:val="00552137"/>
    <w:rsid w:val="005521B8"/>
    <w:rsid w:val="005521EC"/>
    <w:rsid w:val="0055222E"/>
    <w:rsid w:val="0055225F"/>
    <w:rsid w:val="00552283"/>
    <w:rsid w:val="00552295"/>
    <w:rsid w:val="00552309"/>
    <w:rsid w:val="00552325"/>
    <w:rsid w:val="00552327"/>
    <w:rsid w:val="0055232C"/>
    <w:rsid w:val="0055238B"/>
    <w:rsid w:val="005523A9"/>
    <w:rsid w:val="005523BA"/>
    <w:rsid w:val="005523C6"/>
    <w:rsid w:val="00552488"/>
    <w:rsid w:val="005524C7"/>
    <w:rsid w:val="0055251E"/>
    <w:rsid w:val="005525A3"/>
    <w:rsid w:val="005525E3"/>
    <w:rsid w:val="005525E5"/>
    <w:rsid w:val="00552643"/>
    <w:rsid w:val="00552669"/>
    <w:rsid w:val="00552727"/>
    <w:rsid w:val="0055274B"/>
    <w:rsid w:val="0055275F"/>
    <w:rsid w:val="005527B4"/>
    <w:rsid w:val="005527BF"/>
    <w:rsid w:val="00552846"/>
    <w:rsid w:val="00552853"/>
    <w:rsid w:val="005528E7"/>
    <w:rsid w:val="00552913"/>
    <w:rsid w:val="00552924"/>
    <w:rsid w:val="00552925"/>
    <w:rsid w:val="00552999"/>
    <w:rsid w:val="0055299C"/>
    <w:rsid w:val="005529A5"/>
    <w:rsid w:val="005529DA"/>
    <w:rsid w:val="005529DB"/>
    <w:rsid w:val="00552A18"/>
    <w:rsid w:val="00552AA6"/>
    <w:rsid w:val="00552AB7"/>
    <w:rsid w:val="00552B0E"/>
    <w:rsid w:val="00552B20"/>
    <w:rsid w:val="00552B39"/>
    <w:rsid w:val="00552B59"/>
    <w:rsid w:val="00552BA4"/>
    <w:rsid w:val="00552BAE"/>
    <w:rsid w:val="00552BE4"/>
    <w:rsid w:val="00552C1B"/>
    <w:rsid w:val="00552C51"/>
    <w:rsid w:val="00552CC2"/>
    <w:rsid w:val="00552CDB"/>
    <w:rsid w:val="00552CF2"/>
    <w:rsid w:val="00552D19"/>
    <w:rsid w:val="00552D30"/>
    <w:rsid w:val="00552D35"/>
    <w:rsid w:val="00552D4B"/>
    <w:rsid w:val="00552D82"/>
    <w:rsid w:val="00552D98"/>
    <w:rsid w:val="00552DA4"/>
    <w:rsid w:val="00552DB8"/>
    <w:rsid w:val="00552DD1"/>
    <w:rsid w:val="00552E44"/>
    <w:rsid w:val="00552EDD"/>
    <w:rsid w:val="00552F0F"/>
    <w:rsid w:val="00552F41"/>
    <w:rsid w:val="00552FAE"/>
    <w:rsid w:val="00552FCD"/>
    <w:rsid w:val="00553066"/>
    <w:rsid w:val="005530AD"/>
    <w:rsid w:val="005530B9"/>
    <w:rsid w:val="005530F8"/>
    <w:rsid w:val="00553117"/>
    <w:rsid w:val="0055314F"/>
    <w:rsid w:val="00553197"/>
    <w:rsid w:val="005531CC"/>
    <w:rsid w:val="005531CF"/>
    <w:rsid w:val="005531DA"/>
    <w:rsid w:val="00553234"/>
    <w:rsid w:val="0055323A"/>
    <w:rsid w:val="00553244"/>
    <w:rsid w:val="00553283"/>
    <w:rsid w:val="00553285"/>
    <w:rsid w:val="0055329E"/>
    <w:rsid w:val="00553326"/>
    <w:rsid w:val="00553352"/>
    <w:rsid w:val="0055339D"/>
    <w:rsid w:val="00553436"/>
    <w:rsid w:val="00553443"/>
    <w:rsid w:val="00553449"/>
    <w:rsid w:val="0055344A"/>
    <w:rsid w:val="0055345C"/>
    <w:rsid w:val="005534C2"/>
    <w:rsid w:val="005534F4"/>
    <w:rsid w:val="00553506"/>
    <w:rsid w:val="00553521"/>
    <w:rsid w:val="005535A7"/>
    <w:rsid w:val="005535ED"/>
    <w:rsid w:val="00553683"/>
    <w:rsid w:val="00553684"/>
    <w:rsid w:val="005536A3"/>
    <w:rsid w:val="005536E8"/>
    <w:rsid w:val="005536F8"/>
    <w:rsid w:val="005536FC"/>
    <w:rsid w:val="0055372F"/>
    <w:rsid w:val="005537AC"/>
    <w:rsid w:val="00553953"/>
    <w:rsid w:val="00553958"/>
    <w:rsid w:val="00553964"/>
    <w:rsid w:val="00553A1E"/>
    <w:rsid w:val="00553A29"/>
    <w:rsid w:val="00553A44"/>
    <w:rsid w:val="00553A91"/>
    <w:rsid w:val="00553A94"/>
    <w:rsid w:val="00553ACB"/>
    <w:rsid w:val="00553B08"/>
    <w:rsid w:val="00553B31"/>
    <w:rsid w:val="00553B58"/>
    <w:rsid w:val="00553BA6"/>
    <w:rsid w:val="00553BDA"/>
    <w:rsid w:val="00553C0A"/>
    <w:rsid w:val="00553CB9"/>
    <w:rsid w:val="00553D2C"/>
    <w:rsid w:val="00553D7E"/>
    <w:rsid w:val="00553E30"/>
    <w:rsid w:val="00553E96"/>
    <w:rsid w:val="00553EDE"/>
    <w:rsid w:val="00553EE3"/>
    <w:rsid w:val="00553F8C"/>
    <w:rsid w:val="00553FEF"/>
    <w:rsid w:val="00554018"/>
    <w:rsid w:val="00554042"/>
    <w:rsid w:val="00554059"/>
    <w:rsid w:val="005540E6"/>
    <w:rsid w:val="005540EC"/>
    <w:rsid w:val="005540ED"/>
    <w:rsid w:val="005540EF"/>
    <w:rsid w:val="00554103"/>
    <w:rsid w:val="00554128"/>
    <w:rsid w:val="0055414C"/>
    <w:rsid w:val="005541F6"/>
    <w:rsid w:val="00554216"/>
    <w:rsid w:val="00554225"/>
    <w:rsid w:val="00554229"/>
    <w:rsid w:val="00554248"/>
    <w:rsid w:val="0055427C"/>
    <w:rsid w:val="00554284"/>
    <w:rsid w:val="00554299"/>
    <w:rsid w:val="005542EC"/>
    <w:rsid w:val="00554306"/>
    <w:rsid w:val="00554325"/>
    <w:rsid w:val="00554348"/>
    <w:rsid w:val="00554380"/>
    <w:rsid w:val="00554383"/>
    <w:rsid w:val="005543B1"/>
    <w:rsid w:val="00554401"/>
    <w:rsid w:val="00554406"/>
    <w:rsid w:val="0055441F"/>
    <w:rsid w:val="0055449F"/>
    <w:rsid w:val="0055453B"/>
    <w:rsid w:val="00554590"/>
    <w:rsid w:val="005545AF"/>
    <w:rsid w:val="005545E1"/>
    <w:rsid w:val="005545FF"/>
    <w:rsid w:val="00554690"/>
    <w:rsid w:val="00554691"/>
    <w:rsid w:val="005546BC"/>
    <w:rsid w:val="005546C2"/>
    <w:rsid w:val="005546F5"/>
    <w:rsid w:val="005546F9"/>
    <w:rsid w:val="005547F5"/>
    <w:rsid w:val="0055482B"/>
    <w:rsid w:val="00554934"/>
    <w:rsid w:val="00554937"/>
    <w:rsid w:val="0055493E"/>
    <w:rsid w:val="0055494C"/>
    <w:rsid w:val="0055499D"/>
    <w:rsid w:val="005549D0"/>
    <w:rsid w:val="00554A66"/>
    <w:rsid w:val="00554A77"/>
    <w:rsid w:val="00554AD4"/>
    <w:rsid w:val="00554B35"/>
    <w:rsid w:val="00554BD9"/>
    <w:rsid w:val="00554C4D"/>
    <w:rsid w:val="00554CD4"/>
    <w:rsid w:val="00554CF2"/>
    <w:rsid w:val="00554D11"/>
    <w:rsid w:val="00554D58"/>
    <w:rsid w:val="00554D6A"/>
    <w:rsid w:val="00554D9F"/>
    <w:rsid w:val="00554DE9"/>
    <w:rsid w:val="00554E15"/>
    <w:rsid w:val="00554E30"/>
    <w:rsid w:val="00554E31"/>
    <w:rsid w:val="00554E43"/>
    <w:rsid w:val="00554EE3"/>
    <w:rsid w:val="00554F14"/>
    <w:rsid w:val="00554F80"/>
    <w:rsid w:val="00554FA0"/>
    <w:rsid w:val="00555027"/>
    <w:rsid w:val="005550A3"/>
    <w:rsid w:val="005550AA"/>
    <w:rsid w:val="005550F0"/>
    <w:rsid w:val="0055510F"/>
    <w:rsid w:val="00555144"/>
    <w:rsid w:val="005551C6"/>
    <w:rsid w:val="005551CF"/>
    <w:rsid w:val="00555219"/>
    <w:rsid w:val="0055525E"/>
    <w:rsid w:val="00555268"/>
    <w:rsid w:val="00555278"/>
    <w:rsid w:val="0055527E"/>
    <w:rsid w:val="005552E1"/>
    <w:rsid w:val="005552E7"/>
    <w:rsid w:val="005552EA"/>
    <w:rsid w:val="005552FB"/>
    <w:rsid w:val="005552FC"/>
    <w:rsid w:val="00555317"/>
    <w:rsid w:val="0055533A"/>
    <w:rsid w:val="0055533B"/>
    <w:rsid w:val="005553AD"/>
    <w:rsid w:val="005553BE"/>
    <w:rsid w:val="005553E0"/>
    <w:rsid w:val="005553F7"/>
    <w:rsid w:val="00555444"/>
    <w:rsid w:val="00555461"/>
    <w:rsid w:val="00555498"/>
    <w:rsid w:val="005554C3"/>
    <w:rsid w:val="005554E0"/>
    <w:rsid w:val="005554FF"/>
    <w:rsid w:val="00555519"/>
    <w:rsid w:val="00555546"/>
    <w:rsid w:val="0055555E"/>
    <w:rsid w:val="00555564"/>
    <w:rsid w:val="005555CE"/>
    <w:rsid w:val="005555D5"/>
    <w:rsid w:val="005555E2"/>
    <w:rsid w:val="0055566D"/>
    <w:rsid w:val="005556A7"/>
    <w:rsid w:val="005556FC"/>
    <w:rsid w:val="00555755"/>
    <w:rsid w:val="005557A8"/>
    <w:rsid w:val="005557AF"/>
    <w:rsid w:val="005557D0"/>
    <w:rsid w:val="005557E1"/>
    <w:rsid w:val="00555801"/>
    <w:rsid w:val="0055580B"/>
    <w:rsid w:val="00555844"/>
    <w:rsid w:val="00555881"/>
    <w:rsid w:val="00555898"/>
    <w:rsid w:val="005558A0"/>
    <w:rsid w:val="005558D4"/>
    <w:rsid w:val="0055591E"/>
    <w:rsid w:val="00555945"/>
    <w:rsid w:val="005559A5"/>
    <w:rsid w:val="005559DC"/>
    <w:rsid w:val="005559EF"/>
    <w:rsid w:val="00555A3C"/>
    <w:rsid w:val="00555A8E"/>
    <w:rsid w:val="00555A95"/>
    <w:rsid w:val="00555AD5"/>
    <w:rsid w:val="00555ADA"/>
    <w:rsid w:val="00555AF0"/>
    <w:rsid w:val="00555BA8"/>
    <w:rsid w:val="00555BCA"/>
    <w:rsid w:val="00555BE2"/>
    <w:rsid w:val="00555C3B"/>
    <w:rsid w:val="00555C6D"/>
    <w:rsid w:val="00555C7B"/>
    <w:rsid w:val="00555C83"/>
    <w:rsid w:val="00555CCD"/>
    <w:rsid w:val="00555CDE"/>
    <w:rsid w:val="00555D1E"/>
    <w:rsid w:val="00555D21"/>
    <w:rsid w:val="00555D4C"/>
    <w:rsid w:val="00555DC9"/>
    <w:rsid w:val="00555DF3"/>
    <w:rsid w:val="00555DF6"/>
    <w:rsid w:val="00555E16"/>
    <w:rsid w:val="00555E32"/>
    <w:rsid w:val="00555ED9"/>
    <w:rsid w:val="00555F18"/>
    <w:rsid w:val="00555FAC"/>
    <w:rsid w:val="00555FFF"/>
    <w:rsid w:val="00556013"/>
    <w:rsid w:val="00556017"/>
    <w:rsid w:val="00556044"/>
    <w:rsid w:val="00556052"/>
    <w:rsid w:val="0055606E"/>
    <w:rsid w:val="005560AC"/>
    <w:rsid w:val="005560BD"/>
    <w:rsid w:val="0055613D"/>
    <w:rsid w:val="0055618A"/>
    <w:rsid w:val="005561FA"/>
    <w:rsid w:val="00556201"/>
    <w:rsid w:val="0055622F"/>
    <w:rsid w:val="0055627D"/>
    <w:rsid w:val="0055628F"/>
    <w:rsid w:val="005562A9"/>
    <w:rsid w:val="00556327"/>
    <w:rsid w:val="005563BF"/>
    <w:rsid w:val="005563D9"/>
    <w:rsid w:val="005563DA"/>
    <w:rsid w:val="00556417"/>
    <w:rsid w:val="0055641D"/>
    <w:rsid w:val="0055647B"/>
    <w:rsid w:val="00556484"/>
    <w:rsid w:val="005564A6"/>
    <w:rsid w:val="005564BC"/>
    <w:rsid w:val="005564C2"/>
    <w:rsid w:val="005565D5"/>
    <w:rsid w:val="00556604"/>
    <w:rsid w:val="0055661B"/>
    <w:rsid w:val="00556650"/>
    <w:rsid w:val="0055667A"/>
    <w:rsid w:val="00556752"/>
    <w:rsid w:val="00556810"/>
    <w:rsid w:val="00556862"/>
    <w:rsid w:val="0055688E"/>
    <w:rsid w:val="00556890"/>
    <w:rsid w:val="005568C7"/>
    <w:rsid w:val="005568E9"/>
    <w:rsid w:val="0055690A"/>
    <w:rsid w:val="00556965"/>
    <w:rsid w:val="0055699A"/>
    <w:rsid w:val="005569FD"/>
    <w:rsid w:val="00556A52"/>
    <w:rsid w:val="00556A54"/>
    <w:rsid w:val="00556A8E"/>
    <w:rsid w:val="00556AA4"/>
    <w:rsid w:val="00556AC9"/>
    <w:rsid w:val="00556AF5"/>
    <w:rsid w:val="00556B38"/>
    <w:rsid w:val="00556C36"/>
    <w:rsid w:val="00556C72"/>
    <w:rsid w:val="00556C9E"/>
    <w:rsid w:val="00556CDB"/>
    <w:rsid w:val="00556CFE"/>
    <w:rsid w:val="00556D40"/>
    <w:rsid w:val="00556D54"/>
    <w:rsid w:val="00556D57"/>
    <w:rsid w:val="00556D7C"/>
    <w:rsid w:val="00556D99"/>
    <w:rsid w:val="00556DA4"/>
    <w:rsid w:val="00556DB9"/>
    <w:rsid w:val="00556E1E"/>
    <w:rsid w:val="00556E38"/>
    <w:rsid w:val="00556E3F"/>
    <w:rsid w:val="00556E4D"/>
    <w:rsid w:val="00556E79"/>
    <w:rsid w:val="00556E7D"/>
    <w:rsid w:val="00556EBC"/>
    <w:rsid w:val="00556ECB"/>
    <w:rsid w:val="00556EE9"/>
    <w:rsid w:val="00556F33"/>
    <w:rsid w:val="00556F65"/>
    <w:rsid w:val="00556F86"/>
    <w:rsid w:val="00556F9D"/>
    <w:rsid w:val="00556FAF"/>
    <w:rsid w:val="00557055"/>
    <w:rsid w:val="0055707A"/>
    <w:rsid w:val="005570AB"/>
    <w:rsid w:val="0055710A"/>
    <w:rsid w:val="00557134"/>
    <w:rsid w:val="00557142"/>
    <w:rsid w:val="0055714A"/>
    <w:rsid w:val="00557174"/>
    <w:rsid w:val="005571A1"/>
    <w:rsid w:val="005571BB"/>
    <w:rsid w:val="005571EE"/>
    <w:rsid w:val="005571F6"/>
    <w:rsid w:val="00557229"/>
    <w:rsid w:val="005572BA"/>
    <w:rsid w:val="005572FD"/>
    <w:rsid w:val="0055735F"/>
    <w:rsid w:val="005573A1"/>
    <w:rsid w:val="005573EA"/>
    <w:rsid w:val="005574BB"/>
    <w:rsid w:val="005575F8"/>
    <w:rsid w:val="00557671"/>
    <w:rsid w:val="0055768D"/>
    <w:rsid w:val="005576A2"/>
    <w:rsid w:val="005576CB"/>
    <w:rsid w:val="005576EA"/>
    <w:rsid w:val="0055770D"/>
    <w:rsid w:val="00557794"/>
    <w:rsid w:val="005577A4"/>
    <w:rsid w:val="005577B3"/>
    <w:rsid w:val="005577C8"/>
    <w:rsid w:val="005577FC"/>
    <w:rsid w:val="00557870"/>
    <w:rsid w:val="0055789B"/>
    <w:rsid w:val="00557950"/>
    <w:rsid w:val="005579B9"/>
    <w:rsid w:val="005579C2"/>
    <w:rsid w:val="005579F7"/>
    <w:rsid w:val="00557A31"/>
    <w:rsid w:val="00557A37"/>
    <w:rsid w:val="00557A67"/>
    <w:rsid w:val="00557A6B"/>
    <w:rsid w:val="00557A93"/>
    <w:rsid w:val="00557AA3"/>
    <w:rsid w:val="00557B91"/>
    <w:rsid w:val="00557BBB"/>
    <w:rsid w:val="00557BDD"/>
    <w:rsid w:val="00557C0A"/>
    <w:rsid w:val="00557C12"/>
    <w:rsid w:val="00557C2D"/>
    <w:rsid w:val="00557C39"/>
    <w:rsid w:val="00557C66"/>
    <w:rsid w:val="00557C87"/>
    <w:rsid w:val="00557D05"/>
    <w:rsid w:val="00557D2F"/>
    <w:rsid w:val="00557D3C"/>
    <w:rsid w:val="00557D5F"/>
    <w:rsid w:val="00557D76"/>
    <w:rsid w:val="00557DB6"/>
    <w:rsid w:val="00557DCF"/>
    <w:rsid w:val="00557DF6"/>
    <w:rsid w:val="00557DF7"/>
    <w:rsid w:val="00557E2F"/>
    <w:rsid w:val="00557E3D"/>
    <w:rsid w:val="00557E3F"/>
    <w:rsid w:val="00557E84"/>
    <w:rsid w:val="00557E94"/>
    <w:rsid w:val="00557EA5"/>
    <w:rsid w:val="00557EB4"/>
    <w:rsid w:val="00557EFF"/>
    <w:rsid w:val="00557F5D"/>
    <w:rsid w:val="00557FAC"/>
    <w:rsid w:val="00557FCA"/>
    <w:rsid w:val="00560008"/>
    <w:rsid w:val="0056000F"/>
    <w:rsid w:val="00560015"/>
    <w:rsid w:val="00560047"/>
    <w:rsid w:val="00560080"/>
    <w:rsid w:val="00560116"/>
    <w:rsid w:val="0056011A"/>
    <w:rsid w:val="00560139"/>
    <w:rsid w:val="005601A6"/>
    <w:rsid w:val="005601DF"/>
    <w:rsid w:val="0056020D"/>
    <w:rsid w:val="00560281"/>
    <w:rsid w:val="005602A8"/>
    <w:rsid w:val="005602BF"/>
    <w:rsid w:val="005602F1"/>
    <w:rsid w:val="005602F7"/>
    <w:rsid w:val="0056036B"/>
    <w:rsid w:val="005603A2"/>
    <w:rsid w:val="005603DE"/>
    <w:rsid w:val="0056043D"/>
    <w:rsid w:val="00560489"/>
    <w:rsid w:val="00560495"/>
    <w:rsid w:val="0056049C"/>
    <w:rsid w:val="005604CB"/>
    <w:rsid w:val="00560544"/>
    <w:rsid w:val="0056058A"/>
    <w:rsid w:val="005605AB"/>
    <w:rsid w:val="0056060D"/>
    <w:rsid w:val="0056065B"/>
    <w:rsid w:val="00560660"/>
    <w:rsid w:val="00560691"/>
    <w:rsid w:val="0056069B"/>
    <w:rsid w:val="005606C8"/>
    <w:rsid w:val="005606D4"/>
    <w:rsid w:val="005606E8"/>
    <w:rsid w:val="005607BD"/>
    <w:rsid w:val="005608DA"/>
    <w:rsid w:val="0056092C"/>
    <w:rsid w:val="0056094D"/>
    <w:rsid w:val="00560988"/>
    <w:rsid w:val="0056098F"/>
    <w:rsid w:val="005609AF"/>
    <w:rsid w:val="005609EE"/>
    <w:rsid w:val="00560A00"/>
    <w:rsid w:val="00560A70"/>
    <w:rsid w:val="00560ADC"/>
    <w:rsid w:val="00560AE3"/>
    <w:rsid w:val="00560BD3"/>
    <w:rsid w:val="00560C11"/>
    <w:rsid w:val="00560C29"/>
    <w:rsid w:val="00560C96"/>
    <w:rsid w:val="00560CB8"/>
    <w:rsid w:val="00560DD0"/>
    <w:rsid w:val="00560E05"/>
    <w:rsid w:val="00560E7F"/>
    <w:rsid w:val="00560ED4"/>
    <w:rsid w:val="00560F12"/>
    <w:rsid w:val="00560F90"/>
    <w:rsid w:val="00560FEB"/>
    <w:rsid w:val="00561045"/>
    <w:rsid w:val="00561083"/>
    <w:rsid w:val="005610D3"/>
    <w:rsid w:val="005610F6"/>
    <w:rsid w:val="00561131"/>
    <w:rsid w:val="0056115C"/>
    <w:rsid w:val="00561166"/>
    <w:rsid w:val="00561169"/>
    <w:rsid w:val="0056118A"/>
    <w:rsid w:val="0056119A"/>
    <w:rsid w:val="005611F8"/>
    <w:rsid w:val="00561219"/>
    <w:rsid w:val="00561220"/>
    <w:rsid w:val="0056129B"/>
    <w:rsid w:val="005612DC"/>
    <w:rsid w:val="00561367"/>
    <w:rsid w:val="005613BA"/>
    <w:rsid w:val="005613CC"/>
    <w:rsid w:val="005613FC"/>
    <w:rsid w:val="00561477"/>
    <w:rsid w:val="00561494"/>
    <w:rsid w:val="0056149B"/>
    <w:rsid w:val="005614A7"/>
    <w:rsid w:val="005614E8"/>
    <w:rsid w:val="00561541"/>
    <w:rsid w:val="00561556"/>
    <w:rsid w:val="00561576"/>
    <w:rsid w:val="005615B1"/>
    <w:rsid w:val="005615C3"/>
    <w:rsid w:val="005615F2"/>
    <w:rsid w:val="005615F7"/>
    <w:rsid w:val="0056160A"/>
    <w:rsid w:val="00561683"/>
    <w:rsid w:val="005617A1"/>
    <w:rsid w:val="005617AD"/>
    <w:rsid w:val="005617F1"/>
    <w:rsid w:val="005618BF"/>
    <w:rsid w:val="005618F5"/>
    <w:rsid w:val="0056191C"/>
    <w:rsid w:val="0056193B"/>
    <w:rsid w:val="00561942"/>
    <w:rsid w:val="0056195A"/>
    <w:rsid w:val="00561964"/>
    <w:rsid w:val="00561975"/>
    <w:rsid w:val="00561984"/>
    <w:rsid w:val="005619C4"/>
    <w:rsid w:val="00561A39"/>
    <w:rsid w:val="00561B17"/>
    <w:rsid w:val="00561B5E"/>
    <w:rsid w:val="00561BCF"/>
    <w:rsid w:val="00561BE3"/>
    <w:rsid w:val="00561C09"/>
    <w:rsid w:val="00561C47"/>
    <w:rsid w:val="00561CBB"/>
    <w:rsid w:val="00561D76"/>
    <w:rsid w:val="00561E24"/>
    <w:rsid w:val="00561E28"/>
    <w:rsid w:val="00561E49"/>
    <w:rsid w:val="00561F08"/>
    <w:rsid w:val="00561F63"/>
    <w:rsid w:val="00561F9A"/>
    <w:rsid w:val="00561FB6"/>
    <w:rsid w:val="00561FE6"/>
    <w:rsid w:val="00562001"/>
    <w:rsid w:val="0056200F"/>
    <w:rsid w:val="00562071"/>
    <w:rsid w:val="005620D6"/>
    <w:rsid w:val="005620DC"/>
    <w:rsid w:val="005620EF"/>
    <w:rsid w:val="005620F3"/>
    <w:rsid w:val="00562169"/>
    <w:rsid w:val="0056217F"/>
    <w:rsid w:val="00562191"/>
    <w:rsid w:val="005621E3"/>
    <w:rsid w:val="00562252"/>
    <w:rsid w:val="00562272"/>
    <w:rsid w:val="00562280"/>
    <w:rsid w:val="005622D4"/>
    <w:rsid w:val="005622F8"/>
    <w:rsid w:val="00562326"/>
    <w:rsid w:val="00562337"/>
    <w:rsid w:val="00562353"/>
    <w:rsid w:val="005623FA"/>
    <w:rsid w:val="00562458"/>
    <w:rsid w:val="0056245B"/>
    <w:rsid w:val="00562475"/>
    <w:rsid w:val="0056253A"/>
    <w:rsid w:val="0056254F"/>
    <w:rsid w:val="00562640"/>
    <w:rsid w:val="005626AE"/>
    <w:rsid w:val="005626DE"/>
    <w:rsid w:val="00562704"/>
    <w:rsid w:val="0056276C"/>
    <w:rsid w:val="0056277C"/>
    <w:rsid w:val="005627C3"/>
    <w:rsid w:val="005627DE"/>
    <w:rsid w:val="00562869"/>
    <w:rsid w:val="00562882"/>
    <w:rsid w:val="005629BE"/>
    <w:rsid w:val="005629D9"/>
    <w:rsid w:val="00562A26"/>
    <w:rsid w:val="00562A45"/>
    <w:rsid w:val="00562A4E"/>
    <w:rsid w:val="00562A5B"/>
    <w:rsid w:val="00562A62"/>
    <w:rsid w:val="00562AB1"/>
    <w:rsid w:val="00562B1B"/>
    <w:rsid w:val="00562B58"/>
    <w:rsid w:val="00562BA7"/>
    <w:rsid w:val="00562C74"/>
    <w:rsid w:val="00562CB4"/>
    <w:rsid w:val="00562CB6"/>
    <w:rsid w:val="00562CE4"/>
    <w:rsid w:val="00562CE9"/>
    <w:rsid w:val="00562D1C"/>
    <w:rsid w:val="00562D24"/>
    <w:rsid w:val="00562DD0"/>
    <w:rsid w:val="00562E08"/>
    <w:rsid w:val="00562E0D"/>
    <w:rsid w:val="00562E53"/>
    <w:rsid w:val="00562EAE"/>
    <w:rsid w:val="00562EF4"/>
    <w:rsid w:val="00562F08"/>
    <w:rsid w:val="00562F2D"/>
    <w:rsid w:val="00562F44"/>
    <w:rsid w:val="00562F56"/>
    <w:rsid w:val="00562FA6"/>
    <w:rsid w:val="00562FAD"/>
    <w:rsid w:val="00563024"/>
    <w:rsid w:val="0056305F"/>
    <w:rsid w:val="00563118"/>
    <w:rsid w:val="0056313A"/>
    <w:rsid w:val="0056314E"/>
    <w:rsid w:val="0056314F"/>
    <w:rsid w:val="005631A6"/>
    <w:rsid w:val="00563201"/>
    <w:rsid w:val="00563219"/>
    <w:rsid w:val="00563220"/>
    <w:rsid w:val="00563336"/>
    <w:rsid w:val="00563337"/>
    <w:rsid w:val="0056334F"/>
    <w:rsid w:val="0056338E"/>
    <w:rsid w:val="005633BA"/>
    <w:rsid w:val="00563405"/>
    <w:rsid w:val="0056346D"/>
    <w:rsid w:val="00563476"/>
    <w:rsid w:val="005634C4"/>
    <w:rsid w:val="005634DF"/>
    <w:rsid w:val="00563512"/>
    <w:rsid w:val="00563541"/>
    <w:rsid w:val="00563556"/>
    <w:rsid w:val="005635AF"/>
    <w:rsid w:val="005635EA"/>
    <w:rsid w:val="005635F4"/>
    <w:rsid w:val="0056365E"/>
    <w:rsid w:val="00563711"/>
    <w:rsid w:val="00563712"/>
    <w:rsid w:val="0056377B"/>
    <w:rsid w:val="005637BF"/>
    <w:rsid w:val="005637E7"/>
    <w:rsid w:val="00563801"/>
    <w:rsid w:val="0056380F"/>
    <w:rsid w:val="005638B0"/>
    <w:rsid w:val="00563918"/>
    <w:rsid w:val="0056396A"/>
    <w:rsid w:val="005639A2"/>
    <w:rsid w:val="005639A9"/>
    <w:rsid w:val="005639D1"/>
    <w:rsid w:val="00563A56"/>
    <w:rsid w:val="00563A70"/>
    <w:rsid w:val="00563A92"/>
    <w:rsid w:val="00563B09"/>
    <w:rsid w:val="00563B1C"/>
    <w:rsid w:val="00563B2A"/>
    <w:rsid w:val="00563B3B"/>
    <w:rsid w:val="00563BB5"/>
    <w:rsid w:val="00563C20"/>
    <w:rsid w:val="00563C44"/>
    <w:rsid w:val="00563C52"/>
    <w:rsid w:val="00563CFA"/>
    <w:rsid w:val="00563D54"/>
    <w:rsid w:val="00563D7E"/>
    <w:rsid w:val="00563DB0"/>
    <w:rsid w:val="00563DB7"/>
    <w:rsid w:val="00563DC3"/>
    <w:rsid w:val="00563DE9"/>
    <w:rsid w:val="00563DFE"/>
    <w:rsid w:val="00563E5D"/>
    <w:rsid w:val="00563EB9"/>
    <w:rsid w:val="00563EBA"/>
    <w:rsid w:val="00563EF6"/>
    <w:rsid w:val="00563EFA"/>
    <w:rsid w:val="00563F27"/>
    <w:rsid w:val="00563F2A"/>
    <w:rsid w:val="00563F69"/>
    <w:rsid w:val="00563FF5"/>
    <w:rsid w:val="00564076"/>
    <w:rsid w:val="0056407C"/>
    <w:rsid w:val="005640A1"/>
    <w:rsid w:val="005640BE"/>
    <w:rsid w:val="005640D9"/>
    <w:rsid w:val="005640EF"/>
    <w:rsid w:val="00564113"/>
    <w:rsid w:val="00564163"/>
    <w:rsid w:val="00564234"/>
    <w:rsid w:val="0056424A"/>
    <w:rsid w:val="00564263"/>
    <w:rsid w:val="00564264"/>
    <w:rsid w:val="00564271"/>
    <w:rsid w:val="005642E9"/>
    <w:rsid w:val="005642FE"/>
    <w:rsid w:val="00564323"/>
    <w:rsid w:val="00564348"/>
    <w:rsid w:val="00564362"/>
    <w:rsid w:val="00564368"/>
    <w:rsid w:val="00564374"/>
    <w:rsid w:val="005643B0"/>
    <w:rsid w:val="005643FC"/>
    <w:rsid w:val="00564402"/>
    <w:rsid w:val="0056445B"/>
    <w:rsid w:val="00564468"/>
    <w:rsid w:val="005644B7"/>
    <w:rsid w:val="005644D9"/>
    <w:rsid w:val="0056454D"/>
    <w:rsid w:val="00564584"/>
    <w:rsid w:val="005645BF"/>
    <w:rsid w:val="005645D3"/>
    <w:rsid w:val="00564606"/>
    <w:rsid w:val="0056463C"/>
    <w:rsid w:val="005646FF"/>
    <w:rsid w:val="00564702"/>
    <w:rsid w:val="005647B4"/>
    <w:rsid w:val="005647DB"/>
    <w:rsid w:val="00564812"/>
    <w:rsid w:val="005648B0"/>
    <w:rsid w:val="005648D2"/>
    <w:rsid w:val="005648DF"/>
    <w:rsid w:val="005648F8"/>
    <w:rsid w:val="0056490F"/>
    <w:rsid w:val="00564936"/>
    <w:rsid w:val="00564972"/>
    <w:rsid w:val="0056499D"/>
    <w:rsid w:val="005649A9"/>
    <w:rsid w:val="00564A2F"/>
    <w:rsid w:val="00564A58"/>
    <w:rsid w:val="00564ABF"/>
    <w:rsid w:val="00564B8A"/>
    <w:rsid w:val="00564B8C"/>
    <w:rsid w:val="00564B9C"/>
    <w:rsid w:val="00564BF2"/>
    <w:rsid w:val="00564C0B"/>
    <w:rsid w:val="00564C25"/>
    <w:rsid w:val="00564CB8"/>
    <w:rsid w:val="00564CE7"/>
    <w:rsid w:val="00564D56"/>
    <w:rsid w:val="00564D69"/>
    <w:rsid w:val="00564D94"/>
    <w:rsid w:val="00564DC6"/>
    <w:rsid w:val="00564E85"/>
    <w:rsid w:val="00564EDC"/>
    <w:rsid w:val="00565029"/>
    <w:rsid w:val="005650CD"/>
    <w:rsid w:val="005650EB"/>
    <w:rsid w:val="00565164"/>
    <w:rsid w:val="0056516A"/>
    <w:rsid w:val="005651C1"/>
    <w:rsid w:val="00565245"/>
    <w:rsid w:val="0056527F"/>
    <w:rsid w:val="00565289"/>
    <w:rsid w:val="005652C6"/>
    <w:rsid w:val="005652C7"/>
    <w:rsid w:val="00565308"/>
    <w:rsid w:val="00565343"/>
    <w:rsid w:val="00565351"/>
    <w:rsid w:val="0056536E"/>
    <w:rsid w:val="005653F3"/>
    <w:rsid w:val="0056541D"/>
    <w:rsid w:val="0056541F"/>
    <w:rsid w:val="00565428"/>
    <w:rsid w:val="005654CA"/>
    <w:rsid w:val="00565585"/>
    <w:rsid w:val="00565647"/>
    <w:rsid w:val="005656A4"/>
    <w:rsid w:val="005656D3"/>
    <w:rsid w:val="005656D4"/>
    <w:rsid w:val="005656F2"/>
    <w:rsid w:val="00565726"/>
    <w:rsid w:val="0056573F"/>
    <w:rsid w:val="0056574C"/>
    <w:rsid w:val="0056575A"/>
    <w:rsid w:val="0056575F"/>
    <w:rsid w:val="005657DF"/>
    <w:rsid w:val="005657F7"/>
    <w:rsid w:val="005657F9"/>
    <w:rsid w:val="00565814"/>
    <w:rsid w:val="00565815"/>
    <w:rsid w:val="00565835"/>
    <w:rsid w:val="005658D6"/>
    <w:rsid w:val="005658DC"/>
    <w:rsid w:val="00565923"/>
    <w:rsid w:val="00565964"/>
    <w:rsid w:val="005659A1"/>
    <w:rsid w:val="005659BC"/>
    <w:rsid w:val="00565B98"/>
    <w:rsid w:val="00565BF5"/>
    <w:rsid w:val="00565C36"/>
    <w:rsid w:val="00565C72"/>
    <w:rsid w:val="00565C76"/>
    <w:rsid w:val="00565C8C"/>
    <w:rsid w:val="00565CCF"/>
    <w:rsid w:val="00565CD5"/>
    <w:rsid w:val="00565CE4"/>
    <w:rsid w:val="00565D15"/>
    <w:rsid w:val="00565D66"/>
    <w:rsid w:val="00565D7D"/>
    <w:rsid w:val="00565D9E"/>
    <w:rsid w:val="00565DE7"/>
    <w:rsid w:val="00565E1F"/>
    <w:rsid w:val="00565E2E"/>
    <w:rsid w:val="00565E35"/>
    <w:rsid w:val="00565E87"/>
    <w:rsid w:val="00565EA1"/>
    <w:rsid w:val="00565EE7"/>
    <w:rsid w:val="00565EE8"/>
    <w:rsid w:val="00565F00"/>
    <w:rsid w:val="00565F3A"/>
    <w:rsid w:val="00565F61"/>
    <w:rsid w:val="00565F79"/>
    <w:rsid w:val="00565F82"/>
    <w:rsid w:val="00565F92"/>
    <w:rsid w:val="00565F97"/>
    <w:rsid w:val="00565FDA"/>
    <w:rsid w:val="00566002"/>
    <w:rsid w:val="0056603E"/>
    <w:rsid w:val="00566069"/>
    <w:rsid w:val="0056610D"/>
    <w:rsid w:val="0056613A"/>
    <w:rsid w:val="00566140"/>
    <w:rsid w:val="0056616B"/>
    <w:rsid w:val="00566171"/>
    <w:rsid w:val="005661D7"/>
    <w:rsid w:val="005661F5"/>
    <w:rsid w:val="005661F8"/>
    <w:rsid w:val="00566204"/>
    <w:rsid w:val="0056623A"/>
    <w:rsid w:val="00566267"/>
    <w:rsid w:val="00566290"/>
    <w:rsid w:val="00566295"/>
    <w:rsid w:val="00566297"/>
    <w:rsid w:val="005662F2"/>
    <w:rsid w:val="0056630A"/>
    <w:rsid w:val="0056632C"/>
    <w:rsid w:val="00566384"/>
    <w:rsid w:val="005663A6"/>
    <w:rsid w:val="005663AD"/>
    <w:rsid w:val="005663E0"/>
    <w:rsid w:val="005663E1"/>
    <w:rsid w:val="005663EA"/>
    <w:rsid w:val="00566403"/>
    <w:rsid w:val="0056641F"/>
    <w:rsid w:val="0056644C"/>
    <w:rsid w:val="0056647D"/>
    <w:rsid w:val="00566489"/>
    <w:rsid w:val="005664C1"/>
    <w:rsid w:val="005664DA"/>
    <w:rsid w:val="0056652A"/>
    <w:rsid w:val="0056658D"/>
    <w:rsid w:val="005665B4"/>
    <w:rsid w:val="00566649"/>
    <w:rsid w:val="00566671"/>
    <w:rsid w:val="0056669C"/>
    <w:rsid w:val="005666CF"/>
    <w:rsid w:val="00566724"/>
    <w:rsid w:val="005667C8"/>
    <w:rsid w:val="00566822"/>
    <w:rsid w:val="00566855"/>
    <w:rsid w:val="005668B7"/>
    <w:rsid w:val="005668BC"/>
    <w:rsid w:val="005668DC"/>
    <w:rsid w:val="005668E1"/>
    <w:rsid w:val="00566908"/>
    <w:rsid w:val="0056692B"/>
    <w:rsid w:val="00566974"/>
    <w:rsid w:val="0056698E"/>
    <w:rsid w:val="00566992"/>
    <w:rsid w:val="005669C2"/>
    <w:rsid w:val="00566A89"/>
    <w:rsid w:val="00566ABD"/>
    <w:rsid w:val="00566B45"/>
    <w:rsid w:val="00566B46"/>
    <w:rsid w:val="00566B5A"/>
    <w:rsid w:val="00566BBA"/>
    <w:rsid w:val="00566BD8"/>
    <w:rsid w:val="00566CC7"/>
    <w:rsid w:val="00566D29"/>
    <w:rsid w:val="00566D98"/>
    <w:rsid w:val="00566DA2"/>
    <w:rsid w:val="00566E0B"/>
    <w:rsid w:val="00566E1E"/>
    <w:rsid w:val="00566E1F"/>
    <w:rsid w:val="00566E66"/>
    <w:rsid w:val="00566E71"/>
    <w:rsid w:val="00566E7C"/>
    <w:rsid w:val="00566EA9"/>
    <w:rsid w:val="00566F0A"/>
    <w:rsid w:val="00566F3F"/>
    <w:rsid w:val="00566F83"/>
    <w:rsid w:val="00566FC5"/>
    <w:rsid w:val="00566FEA"/>
    <w:rsid w:val="00567001"/>
    <w:rsid w:val="00567081"/>
    <w:rsid w:val="0056709A"/>
    <w:rsid w:val="0056709E"/>
    <w:rsid w:val="005670AD"/>
    <w:rsid w:val="005670B8"/>
    <w:rsid w:val="005670F8"/>
    <w:rsid w:val="0056710E"/>
    <w:rsid w:val="00567115"/>
    <w:rsid w:val="00567124"/>
    <w:rsid w:val="00567131"/>
    <w:rsid w:val="005671CC"/>
    <w:rsid w:val="005671D6"/>
    <w:rsid w:val="0056723C"/>
    <w:rsid w:val="005672B2"/>
    <w:rsid w:val="005672D9"/>
    <w:rsid w:val="005672DE"/>
    <w:rsid w:val="005672FF"/>
    <w:rsid w:val="00567346"/>
    <w:rsid w:val="00567348"/>
    <w:rsid w:val="00567350"/>
    <w:rsid w:val="00567385"/>
    <w:rsid w:val="00567388"/>
    <w:rsid w:val="005673AA"/>
    <w:rsid w:val="005673AB"/>
    <w:rsid w:val="005673B4"/>
    <w:rsid w:val="005673D4"/>
    <w:rsid w:val="00567435"/>
    <w:rsid w:val="0056746D"/>
    <w:rsid w:val="0056746E"/>
    <w:rsid w:val="00567484"/>
    <w:rsid w:val="00567489"/>
    <w:rsid w:val="005674A5"/>
    <w:rsid w:val="00567508"/>
    <w:rsid w:val="00567567"/>
    <w:rsid w:val="0056756C"/>
    <w:rsid w:val="00567589"/>
    <w:rsid w:val="005675C0"/>
    <w:rsid w:val="0056763A"/>
    <w:rsid w:val="00567672"/>
    <w:rsid w:val="0056769C"/>
    <w:rsid w:val="005676D3"/>
    <w:rsid w:val="005676DA"/>
    <w:rsid w:val="00567719"/>
    <w:rsid w:val="00567726"/>
    <w:rsid w:val="005677A8"/>
    <w:rsid w:val="005677B5"/>
    <w:rsid w:val="005677BA"/>
    <w:rsid w:val="0056781A"/>
    <w:rsid w:val="0056781B"/>
    <w:rsid w:val="005678F9"/>
    <w:rsid w:val="005678FC"/>
    <w:rsid w:val="0056790B"/>
    <w:rsid w:val="00567966"/>
    <w:rsid w:val="005679D3"/>
    <w:rsid w:val="00567A01"/>
    <w:rsid w:val="00567A2F"/>
    <w:rsid w:val="00567A62"/>
    <w:rsid w:val="00567A7E"/>
    <w:rsid w:val="00567ADD"/>
    <w:rsid w:val="00567B26"/>
    <w:rsid w:val="00567B2E"/>
    <w:rsid w:val="00567BA6"/>
    <w:rsid w:val="00567BA8"/>
    <w:rsid w:val="00567C71"/>
    <w:rsid w:val="00567CE1"/>
    <w:rsid w:val="00567D01"/>
    <w:rsid w:val="00567E12"/>
    <w:rsid w:val="00567EBE"/>
    <w:rsid w:val="00567EE2"/>
    <w:rsid w:val="00567EEB"/>
    <w:rsid w:val="00567F32"/>
    <w:rsid w:val="00567F3D"/>
    <w:rsid w:val="00567F47"/>
    <w:rsid w:val="00567F4C"/>
    <w:rsid w:val="00567F5D"/>
    <w:rsid w:val="00567F87"/>
    <w:rsid w:val="00567FAC"/>
    <w:rsid w:val="00567FC8"/>
    <w:rsid w:val="00567FD1"/>
    <w:rsid w:val="00567FF3"/>
    <w:rsid w:val="00570005"/>
    <w:rsid w:val="00570007"/>
    <w:rsid w:val="00570046"/>
    <w:rsid w:val="0057004E"/>
    <w:rsid w:val="005700C5"/>
    <w:rsid w:val="005700CB"/>
    <w:rsid w:val="005700DA"/>
    <w:rsid w:val="005700FC"/>
    <w:rsid w:val="00570171"/>
    <w:rsid w:val="005701D7"/>
    <w:rsid w:val="005701D8"/>
    <w:rsid w:val="005701E8"/>
    <w:rsid w:val="005701F1"/>
    <w:rsid w:val="00570207"/>
    <w:rsid w:val="0057021A"/>
    <w:rsid w:val="0057022F"/>
    <w:rsid w:val="0057025E"/>
    <w:rsid w:val="0057026C"/>
    <w:rsid w:val="005702B5"/>
    <w:rsid w:val="005702BF"/>
    <w:rsid w:val="005702EB"/>
    <w:rsid w:val="005702F5"/>
    <w:rsid w:val="005702F6"/>
    <w:rsid w:val="00570342"/>
    <w:rsid w:val="005703BD"/>
    <w:rsid w:val="005703FB"/>
    <w:rsid w:val="005703FD"/>
    <w:rsid w:val="00570440"/>
    <w:rsid w:val="00570476"/>
    <w:rsid w:val="00570486"/>
    <w:rsid w:val="005704A1"/>
    <w:rsid w:val="005704B7"/>
    <w:rsid w:val="005704DE"/>
    <w:rsid w:val="005704FE"/>
    <w:rsid w:val="00570516"/>
    <w:rsid w:val="00570543"/>
    <w:rsid w:val="0057054A"/>
    <w:rsid w:val="00570589"/>
    <w:rsid w:val="005705AA"/>
    <w:rsid w:val="005705BB"/>
    <w:rsid w:val="005706A0"/>
    <w:rsid w:val="005706E0"/>
    <w:rsid w:val="00570766"/>
    <w:rsid w:val="0057076E"/>
    <w:rsid w:val="00570780"/>
    <w:rsid w:val="005707B2"/>
    <w:rsid w:val="005707BF"/>
    <w:rsid w:val="005707F8"/>
    <w:rsid w:val="005707F9"/>
    <w:rsid w:val="00570848"/>
    <w:rsid w:val="00570853"/>
    <w:rsid w:val="005708C4"/>
    <w:rsid w:val="005708E8"/>
    <w:rsid w:val="00570949"/>
    <w:rsid w:val="00570970"/>
    <w:rsid w:val="00570972"/>
    <w:rsid w:val="0057097B"/>
    <w:rsid w:val="005709B9"/>
    <w:rsid w:val="00570A09"/>
    <w:rsid w:val="00570A6B"/>
    <w:rsid w:val="00570A76"/>
    <w:rsid w:val="00570AB9"/>
    <w:rsid w:val="00570AC1"/>
    <w:rsid w:val="00570C28"/>
    <w:rsid w:val="00570C4E"/>
    <w:rsid w:val="00570C7C"/>
    <w:rsid w:val="00570CAA"/>
    <w:rsid w:val="00570CD1"/>
    <w:rsid w:val="00570D3E"/>
    <w:rsid w:val="00570D40"/>
    <w:rsid w:val="00570D48"/>
    <w:rsid w:val="00570D88"/>
    <w:rsid w:val="00570DAB"/>
    <w:rsid w:val="00570DBB"/>
    <w:rsid w:val="00570DC7"/>
    <w:rsid w:val="00570E48"/>
    <w:rsid w:val="00570ECE"/>
    <w:rsid w:val="00570F08"/>
    <w:rsid w:val="00570F79"/>
    <w:rsid w:val="00570F9C"/>
    <w:rsid w:val="0057100B"/>
    <w:rsid w:val="0057104D"/>
    <w:rsid w:val="00571082"/>
    <w:rsid w:val="00571089"/>
    <w:rsid w:val="005710C2"/>
    <w:rsid w:val="0057112C"/>
    <w:rsid w:val="0057119D"/>
    <w:rsid w:val="005711B6"/>
    <w:rsid w:val="005711D8"/>
    <w:rsid w:val="005711EB"/>
    <w:rsid w:val="00571243"/>
    <w:rsid w:val="00571260"/>
    <w:rsid w:val="005712A1"/>
    <w:rsid w:val="005712BB"/>
    <w:rsid w:val="005712DE"/>
    <w:rsid w:val="0057133B"/>
    <w:rsid w:val="00571367"/>
    <w:rsid w:val="005713E4"/>
    <w:rsid w:val="00571424"/>
    <w:rsid w:val="00571452"/>
    <w:rsid w:val="00571460"/>
    <w:rsid w:val="0057149C"/>
    <w:rsid w:val="00571550"/>
    <w:rsid w:val="00571573"/>
    <w:rsid w:val="0057158C"/>
    <w:rsid w:val="005715B3"/>
    <w:rsid w:val="005715C2"/>
    <w:rsid w:val="005715FC"/>
    <w:rsid w:val="00571640"/>
    <w:rsid w:val="0057165C"/>
    <w:rsid w:val="00571684"/>
    <w:rsid w:val="005716E1"/>
    <w:rsid w:val="00571736"/>
    <w:rsid w:val="00571742"/>
    <w:rsid w:val="00571764"/>
    <w:rsid w:val="00571781"/>
    <w:rsid w:val="00571786"/>
    <w:rsid w:val="0057178E"/>
    <w:rsid w:val="00571797"/>
    <w:rsid w:val="005717F7"/>
    <w:rsid w:val="0057180D"/>
    <w:rsid w:val="00571829"/>
    <w:rsid w:val="00571844"/>
    <w:rsid w:val="005718A8"/>
    <w:rsid w:val="00571901"/>
    <w:rsid w:val="00571925"/>
    <w:rsid w:val="0057198C"/>
    <w:rsid w:val="00571A53"/>
    <w:rsid w:val="00571A63"/>
    <w:rsid w:val="00571A73"/>
    <w:rsid w:val="00571AB7"/>
    <w:rsid w:val="00571AE0"/>
    <w:rsid w:val="00571B55"/>
    <w:rsid w:val="00571B96"/>
    <w:rsid w:val="00571BFB"/>
    <w:rsid w:val="00571C24"/>
    <w:rsid w:val="00571C30"/>
    <w:rsid w:val="00571C91"/>
    <w:rsid w:val="00571CA8"/>
    <w:rsid w:val="00571D41"/>
    <w:rsid w:val="00571D72"/>
    <w:rsid w:val="00571D89"/>
    <w:rsid w:val="00571DD7"/>
    <w:rsid w:val="00571E66"/>
    <w:rsid w:val="00571E73"/>
    <w:rsid w:val="00571E9F"/>
    <w:rsid w:val="00571EB1"/>
    <w:rsid w:val="00571EDB"/>
    <w:rsid w:val="00571EEF"/>
    <w:rsid w:val="00571F90"/>
    <w:rsid w:val="0057200B"/>
    <w:rsid w:val="0057200D"/>
    <w:rsid w:val="0057205A"/>
    <w:rsid w:val="00572107"/>
    <w:rsid w:val="0057210A"/>
    <w:rsid w:val="0057213E"/>
    <w:rsid w:val="0057213F"/>
    <w:rsid w:val="00572199"/>
    <w:rsid w:val="005721B3"/>
    <w:rsid w:val="005721D4"/>
    <w:rsid w:val="005721E2"/>
    <w:rsid w:val="005721FF"/>
    <w:rsid w:val="0057223E"/>
    <w:rsid w:val="005722C9"/>
    <w:rsid w:val="005723AC"/>
    <w:rsid w:val="005723EE"/>
    <w:rsid w:val="005723F8"/>
    <w:rsid w:val="00572403"/>
    <w:rsid w:val="00572447"/>
    <w:rsid w:val="00572481"/>
    <w:rsid w:val="005724C1"/>
    <w:rsid w:val="005724E9"/>
    <w:rsid w:val="00572500"/>
    <w:rsid w:val="0057250E"/>
    <w:rsid w:val="00572527"/>
    <w:rsid w:val="0057252E"/>
    <w:rsid w:val="0057256A"/>
    <w:rsid w:val="0057257A"/>
    <w:rsid w:val="005725CB"/>
    <w:rsid w:val="005725D4"/>
    <w:rsid w:val="005725E2"/>
    <w:rsid w:val="0057263E"/>
    <w:rsid w:val="00572665"/>
    <w:rsid w:val="005726E9"/>
    <w:rsid w:val="005728A5"/>
    <w:rsid w:val="00572967"/>
    <w:rsid w:val="005729C0"/>
    <w:rsid w:val="005729D4"/>
    <w:rsid w:val="005729DD"/>
    <w:rsid w:val="00572A2E"/>
    <w:rsid w:val="00572A37"/>
    <w:rsid w:val="00572A53"/>
    <w:rsid w:val="00572A58"/>
    <w:rsid w:val="00572ABF"/>
    <w:rsid w:val="00572AD3"/>
    <w:rsid w:val="00572AFA"/>
    <w:rsid w:val="00572B4C"/>
    <w:rsid w:val="00572B68"/>
    <w:rsid w:val="00572B9F"/>
    <w:rsid w:val="00572BA1"/>
    <w:rsid w:val="00572C56"/>
    <w:rsid w:val="00572CA0"/>
    <w:rsid w:val="00572CA8"/>
    <w:rsid w:val="00572CB8"/>
    <w:rsid w:val="00572CDD"/>
    <w:rsid w:val="00572CE4"/>
    <w:rsid w:val="00572D4D"/>
    <w:rsid w:val="00572D5E"/>
    <w:rsid w:val="00572D7D"/>
    <w:rsid w:val="00572D91"/>
    <w:rsid w:val="00572E3B"/>
    <w:rsid w:val="00572E44"/>
    <w:rsid w:val="00572EDF"/>
    <w:rsid w:val="00572EFD"/>
    <w:rsid w:val="00572F14"/>
    <w:rsid w:val="00572F3C"/>
    <w:rsid w:val="00572F41"/>
    <w:rsid w:val="00572F88"/>
    <w:rsid w:val="00572FDF"/>
    <w:rsid w:val="00572FE5"/>
    <w:rsid w:val="00573024"/>
    <w:rsid w:val="00573037"/>
    <w:rsid w:val="0057304C"/>
    <w:rsid w:val="00573053"/>
    <w:rsid w:val="00573056"/>
    <w:rsid w:val="0057308D"/>
    <w:rsid w:val="005730A5"/>
    <w:rsid w:val="005730DD"/>
    <w:rsid w:val="0057310B"/>
    <w:rsid w:val="00573161"/>
    <w:rsid w:val="00573186"/>
    <w:rsid w:val="00573188"/>
    <w:rsid w:val="00573220"/>
    <w:rsid w:val="00573279"/>
    <w:rsid w:val="005732B9"/>
    <w:rsid w:val="005732BA"/>
    <w:rsid w:val="00573372"/>
    <w:rsid w:val="005733C4"/>
    <w:rsid w:val="005733F7"/>
    <w:rsid w:val="0057340F"/>
    <w:rsid w:val="0057341B"/>
    <w:rsid w:val="00573429"/>
    <w:rsid w:val="00573471"/>
    <w:rsid w:val="005734A3"/>
    <w:rsid w:val="005734A7"/>
    <w:rsid w:val="005734D9"/>
    <w:rsid w:val="005734EF"/>
    <w:rsid w:val="00573544"/>
    <w:rsid w:val="005735A6"/>
    <w:rsid w:val="005735D6"/>
    <w:rsid w:val="0057360E"/>
    <w:rsid w:val="00573620"/>
    <w:rsid w:val="005736B1"/>
    <w:rsid w:val="005736B6"/>
    <w:rsid w:val="0057377F"/>
    <w:rsid w:val="005737F9"/>
    <w:rsid w:val="00573873"/>
    <w:rsid w:val="00573881"/>
    <w:rsid w:val="005739A8"/>
    <w:rsid w:val="005739B3"/>
    <w:rsid w:val="00573A19"/>
    <w:rsid w:val="00573A1F"/>
    <w:rsid w:val="00573A8F"/>
    <w:rsid w:val="00573A91"/>
    <w:rsid w:val="00573AAC"/>
    <w:rsid w:val="00573AE9"/>
    <w:rsid w:val="00573B3C"/>
    <w:rsid w:val="00573BFA"/>
    <w:rsid w:val="00573C0B"/>
    <w:rsid w:val="00573C1C"/>
    <w:rsid w:val="00573C35"/>
    <w:rsid w:val="00573C4E"/>
    <w:rsid w:val="00573C52"/>
    <w:rsid w:val="00573D41"/>
    <w:rsid w:val="00573D75"/>
    <w:rsid w:val="00573D91"/>
    <w:rsid w:val="00573DC7"/>
    <w:rsid w:val="00573DF9"/>
    <w:rsid w:val="00573DFA"/>
    <w:rsid w:val="00573E4F"/>
    <w:rsid w:val="00573E9F"/>
    <w:rsid w:val="00573EE4"/>
    <w:rsid w:val="00573EF6"/>
    <w:rsid w:val="00573EFB"/>
    <w:rsid w:val="00573F0C"/>
    <w:rsid w:val="00573F0F"/>
    <w:rsid w:val="00573F7E"/>
    <w:rsid w:val="00573FB9"/>
    <w:rsid w:val="00573FCB"/>
    <w:rsid w:val="00573FDF"/>
    <w:rsid w:val="00573FE0"/>
    <w:rsid w:val="0057408F"/>
    <w:rsid w:val="005740B3"/>
    <w:rsid w:val="005740BB"/>
    <w:rsid w:val="005740C2"/>
    <w:rsid w:val="005740ED"/>
    <w:rsid w:val="005741CC"/>
    <w:rsid w:val="005741E5"/>
    <w:rsid w:val="005741E8"/>
    <w:rsid w:val="005741FE"/>
    <w:rsid w:val="0057421C"/>
    <w:rsid w:val="00574233"/>
    <w:rsid w:val="0057426B"/>
    <w:rsid w:val="00574271"/>
    <w:rsid w:val="00574288"/>
    <w:rsid w:val="00574289"/>
    <w:rsid w:val="005742C2"/>
    <w:rsid w:val="0057432D"/>
    <w:rsid w:val="0057433A"/>
    <w:rsid w:val="00574369"/>
    <w:rsid w:val="005743A9"/>
    <w:rsid w:val="005743EE"/>
    <w:rsid w:val="00574426"/>
    <w:rsid w:val="00574443"/>
    <w:rsid w:val="00574452"/>
    <w:rsid w:val="00574453"/>
    <w:rsid w:val="00574473"/>
    <w:rsid w:val="005744C9"/>
    <w:rsid w:val="005744DB"/>
    <w:rsid w:val="005744FB"/>
    <w:rsid w:val="00574500"/>
    <w:rsid w:val="0057450C"/>
    <w:rsid w:val="00574537"/>
    <w:rsid w:val="0057455D"/>
    <w:rsid w:val="0057456D"/>
    <w:rsid w:val="005745AB"/>
    <w:rsid w:val="005745EF"/>
    <w:rsid w:val="005745F4"/>
    <w:rsid w:val="005745FA"/>
    <w:rsid w:val="00574629"/>
    <w:rsid w:val="00574634"/>
    <w:rsid w:val="00574692"/>
    <w:rsid w:val="0057469D"/>
    <w:rsid w:val="005746AD"/>
    <w:rsid w:val="005746F7"/>
    <w:rsid w:val="0057471C"/>
    <w:rsid w:val="00574759"/>
    <w:rsid w:val="0057478C"/>
    <w:rsid w:val="005747F0"/>
    <w:rsid w:val="00574809"/>
    <w:rsid w:val="00574817"/>
    <w:rsid w:val="00574868"/>
    <w:rsid w:val="00574874"/>
    <w:rsid w:val="005748A0"/>
    <w:rsid w:val="005748BA"/>
    <w:rsid w:val="005749C8"/>
    <w:rsid w:val="005749CB"/>
    <w:rsid w:val="005749CF"/>
    <w:rsid w:val="00574AA2"/>
    <w:rsid w:val="00574AB6"/>
    <w:rsid w:val="00574AD7"/>
    <w:rsid w:val="00574B4A"/>
    <w:rsid w:val="00574B6D"/>
    <w:rsid w:val="00574B88"/>
    <w:rsid w:val="00574B8E"/>
    <w:rsid w:val="00574BAD"/>
    <w:rsid w:val="00574C5E"/>
    <w:rsid w:val="00574C6F"/>
    <w:rsid w:val="00574C70"/>
    <w:rsid w:val="00574C72"/>
    <w:rsid w:val="00574C8D"/>
    <w:rsid w:val="00574C8F"/>
    <w:rsid w:val="00574CB7"/>
    <w:rsid w:val="00574D1F"/>
    <w:rsid w:val="00574D22"/>
    <w:rsid w:val="00574DB3"/>
    <w:rsid w:val="00574E0F"/>
    <w:rsid w:val="00574E23"/>
    <w:rsid w:val="00574E40"/>
    <w:rsid w:val="00574E65"/>
    <w:rsid w:val="00574E76"/>
    <w:rsid w:val="00574E8D"/>
    <w:rsid w:val="00574EF6"/>
    <w:rsid w:val="00574F0C"/>
    <w:rsid w:val="00574F18"/>
    <w:rsid w:val="00574F9B"/>
    <w:rsid w:val="00574FB1"/>
    <w:rsid w:val="00574FC3"/>
    <w:rsid w:val="00574FCD"/>
    <w:rsid w:val="00574FDB"/>
    <w:rsid w:val="00574FDC"/>
    <w:rsid w:val="00575045"/>
    <w:rsid w:val="0057507E"/>
    <w:rsid w:val="0057509A"/>
    <w:rsid w:val="005750B4"/>
    <w:rsid w:val="005750E6"/>
    <w:rsid w:val="00575130"/>
    <w:rsid w:val="00575197"/>
    <w:rsid w:val="005751DD"/>
    <w:rsid w:val="005751E5"/>
    <w:rsid w:val="005751EA"/>
    <w:rsid w:val="00575215"/>
    <w:rsid w:val="00575216"/>
    <w:rsid w:val="0057521B"/>
    <w:rsid w:val="005752BB"/>
    <w:rsid w:val="00575325"/>
    <w:rsid w:val="0057534F"/>
    <w:rsid w:val="0057536C"/>
    <w:rsid w:val="00575388"/>
    <w:rsid w:val="00575396"/>
    <w:rsid w:val="005753BC"/>
    <w:rsid w:val="005753E9"/>
    <w:rsid w:val="0057541F"/>
    <w:rsid w:val="00575449"/>
    <w:rsid w:val="00575474"/>
    <w:rsid w:val="0057549E"/>
    <w:rsid w:val="005754FD"/>
    <w:rsid w:val="0057556B"/>
    <w:rsid w:val="0057558E"/>
    <w:rsid w:val="00575640"/>
    <w:rsid w:val="0057564C"/>
    <w:rsid w:val="00575674"/>
    <w:rsid w:val="00575677"/>
    <w:rsid w:val="00575695"/>
    <w:rsid w:val="005756A0"/>
    <w:rsid w:val="005756E2"/>
    <w:rsid w:val="00575728"/>
    <w:rsid w:val="0057575C"/>
    <w:rsid w:val="005757B7"/>
    <w:rsid w:val="005757EC"/>
    <w:rsid w:val="00575806"/>
    <w:rsid w:val="005758B3"/>
    <w:rsid w:val="005758D1"/>
    <w:rsid w:val="00575982"/>
    <w:rsid w:val="00575986"/>
    <w:rsid w:val="00575988"/>
    <w:rsid w:val="005759D4"/>
    <w:rsid w:val="00575A00"/>
    <w:rsid w:val="00575A5B"/>
    <w:rsid w:val="00575A5E"/>
    <w:rsid w:val="00575A84"/>
    <w:rsid w:val="00575AA9"/>
    <w:rsid w:val="00575AAF"/>
    <w:rsid w:val="00575BC6"/>
    <w:rsid w:val="00575C67"/>
    <w:rsid w:val="00575C9A"/>
    <w:rsid w:val="00575CE3"/>
    <w:rsid w:val="00575D4D"/>
    <w:rsid w:val="00575DDF"/>
    <w:rsid w:val="00575E55"/>
    <w:rsid w:val="00575E7A"/>
    <w:rsid w:val="00575ED7"/>
    <w:rsid w:val="00575F60"/>
    <w:rsid w:val="00575FA0"/>
    <w:rsid w:val="00576003"/>
    <w:rsid w:val="0057606B"/>
    <w:rsid w:val="00576078"/>
    <w:rsid w:val="00576079"/>
    <w:rsid w:val="0057607A"/>
    <w:rsid w:val="00576080"/>
    <w:rsid w:val="0057608D"/>
    <w:rsid w:val="0057609E"/>
    <w:rsid w:val="005760BE"/>
    <w:rsid w:val="005760D3"/>
    <w:rsid w:val="0057610D"/>
    <w:rsid w:val="00576144"/>
    <w:rsid w:val="005761F1"/>
    <w:rsid w:val="00576225"/>
    <w:rsid w:val="0057623B"/>
    <w:rsid w:val="0057625D"/>
    <w:rsid w:val="00576279"/>
    <w:rsid w:val="005762D1"/>
    <w:rsid w:val="0057630E"/>
    <w:rsid w:val="0057631C"/>
    <w:rsid w:val="00576332"/>
    <w:rsid w:val="005763EE"/>
    <w:rsid w:val="00576435"/>
    <w:rsid w:val="00576465"/>
    <w:rsid w:val="0057648C"/>
    <w:rsid w:val="005764CC"/>
    <w:rsid w:val="005764DE"/>
    <w:rsid w:val="005764E8"/>
    <w:rsid w:val="005764FD"/>
    <w:rsid w:val="0057659A"/>
    <w:rsid w:val="005765E5"/>
    <w:rsid w:val="005765ED"/>
    <w:rsid w:val="005765FE"/>
    <w:rsid w:val="0057664C"/>
    <w:rsid w:val="00576683"/>
    <w:rsid w:val="005766BF"/>
    <w:rsid w:val="005766DD"/>
    <w:rsid w:val="005766E8"/>
    <w:rsid w:val="00576748"/>
    <w:rsid w:val="005767AB"/>
    <w:rsid w:val="005767BE"/>
    <w:rsid w:val="0057689A"/>
    <w:rsid w:val="005768F7"/>
    <w:rsid w:val="0057692F"/>
    <w:rsid w:val="00576938"/>
    <w:rsid w:val="00576939"/>
    <w:rsid w:val="00576989"/>
    <w:rsid w:val="005769AB"/>
    <w:rsid w:val="005769B2"/>
    <w:rsid w:val="005769B8"/>
    <w:rsid w:val="005769CB"/>
    <w:rsid w:val="005769DD"/>
    <w:rsid w:val="005769F4"/>
    <w:rsid w:val="00576A35"/>
    <w:rsid w:val="00576BBD"/>
    <w:rsid w:val="00576BD1"/>
    <w:rsid w:val="00576C1C"/>
    <w:rsid w:val="00576C49"/>
    <w:rsid w:val="00576CD3"/>
    <w:rsid w:val="00576CE6"/>
    <w:rsid w:val="00576CFC"/>
    <w:rsid w:val="00576DBA"/>
    <w:rsid w:val="00576E6F"/>
    <w:rsid w:val="00576EC4"/>
    <w:rsid w:val="00576ED8"/>
    <w:rsid w:val="00576F08"/>
    <w:rsid w:val="00576F27"/>
    <w:rsid w:val="00576F5F"/>
    <w:rsid w:val="00576FA9"/>
    <w:rsid w:val="00576FB9"/>
    <w:rsid w:val="00576FC5"/>
    <w:rsid w:val="00577026"/>
    <w:rsid w:val="00577055"/>
    <w:rsid w:val="00577062"/>
    <w:rsid w:val="00577065"/>
    <w:rsid w:val="00577075"/>
    <w:rsid w:val="00577087"/>
    <w:rsid w:val="0057708C"/>
    <w:rsid w:val="0057709C"/>
    <w:rsid w:val="005770D7"/>
    <w:rsid w:val="005770E2"/>
    <w:rsid w:val="00577127"/>
    <w:rsid w:val="00577171"/>
    <w:rsid w:val="00577197"/>
    <w:rsid w:val="0057719B"/>
    <w:rsid w:val="005771E2"/>
    <w:rsid w:val="005772F8"/>
    <w:rsid w:val="0057731A"/>
    <w:rsid w:val="0057731D"/>
    <w:rsid w:val="00577326"/>
    <w:rsid w:val="00577346"/>
    <w:rsid w:val="00577359"/>
    <w:rsid w:val="00577377"/>
    <w:rsid w:val="0057738A"/>
    <w:rsid w:val="00577398"/>
    <w:rsid w:val="005773AA"/>
    <w:rsid w:val="0057741A"/>
    <w:rsid w:val="00577431"/>
    <w:rsid w:val="00577522"/>
    <w:rsid w:val="0057752C"/>
    <w:rsid w:val="00577548"/>
    <w:rsid w:val="005775A9"/>
    <w:rsid w:val="005775B0"/>
    <w:rsid w:val="005775C2"/>
    <w:rsid w:val="005775F1"/>
    <w:rsid w:val="005776EE"/>
    <w:rsid w:val="005776F0"/>
    <w:rsid w:val="0057774F"/>
    <w:rsid w:val="0057778B"/>
    <w:rsid w:val="0057779A"/>
    <w:rsid w:val="0057779E"/>
    <w:rsid w:val="005777CB"/>
    <w:rsid w:val="0057780E"/>
    <w:rsid w:val="00577848"/>
    <w:rsid w:val="00577884"/>
    <w:rsid w:val="005778BF"/>
    <w:rsid w:val="005778FF"/>
    <w:rsid w:val="00577918"/>
    <w:rsid w:val="0057791B"/>
    <w:rsid w:val="00577A03"/>
    <w:rsid w:val="00577A10"/>
    <w:rsid w:val="00577A6F"/>
    <w:rsid w:val="00577AC7"/>
    <w:rsid w:val="00577AE0"/>
    <w:rsid w:val="00577B44"/>
    <w:rsid w:val="00577B68"/>
    <w:rsid w:val="00577B6E"/>
    <w:rsid w:val="00577BAB"/>
    <w:rsid w:val="00577BB1"/>
    <w:rsid w:val="00577BB7"/>
    <w:rsid w:val="00577DA1"/>
    <w:rsid w:val="00577DB6"/>
    <w:rsid w:val="00577E09"/>
    <w:rsid w:val="00577E0D"/>
    <w:rsid w:val="00577E0F"/>
    <w:rsid w:val="00577E39"/>
    <w:rsid w:val="00577E47"/>
    <w:rsid w:val="00577F6A"/>
    <w:rsid w:val="00577F7E"/>
    <w:rsid w:val="00577F7F"/>
    <w:rsid w:val="00577F9A"/>
    <w:rsid w:val="0058003A"/>
    <w:rsid w:val="005800F6"/>
    <w:rsid w:val="00580146"/>
    <w:rsid w:val="0058019D"/>
    <w:rsid w:val="005801A4"/>
    <w:rsid w:val="005801C3"/>
    <w:rsid w:val="005801D2"/>
    <w:rsid w:val="005801E2"/>
    <w:rsid w:val="005801E6"/>
    <w:rsid w:val="005801F0"/>
    <w:rsid w:val="005801F9"/>
    <w:rsid w:val="005802E0"/>
    <w:rsid w:val="00580322"/>
    <w:rsid w:val="00580325"/>
    <w:rsid w:val="00580364"/>
    <w:rsid w:val="00580374"/>
    <w:rsid w:val="00580375"/>
    <w:rsid w:val="005803D7"/>
    <w:rsid w:val="005803E3"/>
    <w:rsid w:val="00580402"/>
    <w:rsid w:val="00580429"/>
    <w:rsid w:val="00580480"/>
    <w:rsid w:val="005804A5"/>
    <w:rsid w:val="005804B3"/>
    <w:rsid w:val="005804BC"/>
    <w:rsid w:val="00580532"/>
    <w:rsid w:val="005805CF"/>
    <w:rsid w:val="00580631"/>
    <w:rsid w:val="0058063B"/>
    <w:rsid w:val="00580643"/>
    <w:rsid w:val="00580697"/>
    <w:rsid w:val="005806D8"/>
    <w:rsid w:val="00580708"/>
    <w:rsid w:val="0058077C"/>
    <w:rsid w:val="005807BA"/>
    <w:rsid w:val="005807E9"/>
    <w:rsid w:val="00580844"/>
    <w:rsid w:val="005808D4"/>
    <w:rsid w:val="005808DD"/>
    <w:rsid w:val="005808E8"/>
    <w:rsid w:val="0058092E"/>
    <w:rsid w:val="0058095F"/>
    <w:rsid w:val="0058099B"/>
    <w:rsid w:val="00580A66"/>
    <w:rsid w:val="00580A9A"/>
    <w:rsid w:val="00580B12"/>
    <w:rsid w:val="00580B2F"/>
    <w:rsid w:val="00580C37"/>
    <w:rsid w:val="00580C48"/>
    <w:rsid w:val="00580C5B"/>
    <w:rsid w:val="00580C79"/>
    <w:rsid w:val="00580CA7"/>
    <w:rsid w:val="00580CB0"/>
    <w:rsid w:val="00580CEB"/>
    <w:rsid w:val="00580D09"/>
    <w:rsid w:val="00580D34"/>
    <w:rsid w:val="00580D48"/>
    <w:rsid w:val="00580D5B"/>
    <w:rsid w:val="00580D63"/>
    <w:rsid w:val="00580D9A"/>
    <w:rsid w:val="00580D9E"/>
    <w:rsid w:val="00580DED"/>
    <w:rsid w:val="00580E31"/>
    <w:rsid w:val="00580E41"/>
    <w:rsid w:val="00580E7D"/>
    <w:rsid w:val="00580EBB"/>
    <w:rsid w:val="00580F19"/>
    <w:rsid w:val="00581003"/>
    <w:rsid w:val="00581038"/>
    <w:rsid w:val="00581089"/>
    <w:rsid w:val="00581092"/>
    <w:rsid w:val="005810A2"/>
    <w:rsid w:val="005810AC"/>
    <w:rsid w:val="005810C8"/>
    <w:rsid w:val="005810E6"/>
    <w:rsid w:val="00581136"/>
    <w:rsid w:val="00581179"/>
    <w:rsid w:val="005812D7"/>
    <w:rsid w:val="00581312"/>
    <w:rsid w:val="0058136E"/>
    <w:rsid w:val="005813C3"/>
    <w:rsid w:val="005813E9"/>
    <w:rsid w:val="005814DC"/>
    <w:rsid w:val="005814F6"/>
    <w:rsid w:val="00581565"/>
    <w:rsid w:val="005815D2"/>
    <w:rsid w:val="0058162C"/>
    <w:rsid w:val="00581651"/>
    <w:rsid w:val="00581654"/>
    <w:rsid w:val="005816B5"/>
    <w:rsid w:val="0058171F"/>
    <w:rsid w:val="0058183A"/>
    <w:rsid w:val="0058183B"/>
    <w:rsid w:val="0058189F"/>
    <w:rsid w:val="005818BF"/>
    <w:rsid w:val="005818E6"/>
    <w:rsid w:val="005818FE"/>
    <w:rsid w:val="0058194E"/>
    <w:rsid w:val="00581966"/>
    <w:rsid w:val="005819AD"/>
    <w:rsid w:val="005819D4"/>
    <w:rsid w:val="005819F1"/>
    <w:rsid w:val="005819F9"/>
    <w:rsid w:val="00581A4D"/>
    <w:rsid w:val="00581A9E"/>
    <w:rsid w:val="00581AAB"/>
    <w:rsid w:val="00581AAF"/>
    <w:rsid w:val="00581ADF"/>
    <w:rsid w:val="00581AEB"/>
    <w:rsid w:val="00581B13"/>
    <w:rsid w:val="00581B55"/>
    <w:rsid w:val="00581B9E"/>
    <w:rsid w:val="00581BAB"/>
    <w:rsid w:val="00581BBD"/>
    <w:rsid w:val="00581BEF"/>
    <w:rsid w:val="00581C26"/>
    <w:rsid w:val="00581C68"/>
    <w:rsid w:val="00581C73"/>
    <w:rsid w:val="00581C80"/>
    <w:rsid w:val="00581CFF"/>
    <w:rsid w:val="00581D1F"/>
    <w:rsid w:val="00581D57"/>
    <w:rsid w:val="00581D5A"/>
    <w:rsid w:val="00581DF5"/>
    <w:rsid w:val="00581E0F"/>
    <w:rsid w:val="00581E28"/>
    <w:rsid w:val="00581E42"/>
    <w:rsid w:val="00581E49"/>
    <w:rsid w:val="00581E82"/>
    <w:rsid w:val="00581E8D"/>
    <w:rsid w:val="00581EA7"/>
    <w:rsid w:val="00581EB1"/>
    <w:rsid w:val="00581EDB"/>
    <w:rsid w:val="00581F0E"/>
    <w:rsid w:val="00581FD5"/>
    <w:rsid w:val="00582014"/>
    <w:rsid w:val="00582021"/>
    <w:rsid w:val="0058206F"/>
    <w:rsid w:val="00582072"/>
    <w:rsid w:val="00582084"/>
    <w:rsid w:val="0058209E"/>
    <w:rsid w:val="005820B5"/>
    <w:rsid w:val="00582102"/>
    <w:rsid w:val="0058211A"/>
    <w:rsid w:val="0058214A"/>
    <w:rsid w:val="005821A6"/>
    <w:rsid w:val="005821EB"/>
    <w:rsid w:val="005822F0"/>
    <w:rsid w:val="00582318"/>
    <w:rsid w:val="00582321"/>
    <w:rsid w:val="0058235E"/>
    <w:rsid w:val="00582387"/>
    <w:rsid w:val="0058239F"/>
    <w:rsid w:val="005823BA"/>
    <w:rsid w:val="00582404"/>
    <w:rsid w:val="00582468"/>
    <w:rsid w:val="0058247B"/>
    <w:rsid w:val="005824B5"/>
    <w:rsid w:val="00582557"/>
    <w:rsid w:val="00582598"/>
    <w:rsid w:val="0058259A"/>
    <w:rsid w:val="005825A7"/>
    <w:rsid w:val="00582603"/>
    <w:rsid w:val="00582611"/>
    <w:rsid w:val="00582663"/>
    <w:rsid w:val="005826B8"/>
    <w:rsid w:val="005826BE"/>
    <w:rsid w:val="005826C4"/>
    <w:rsid w:val="00582741"/>
    <w:rsid w:val="0058274D"/>
    <w:rsid w:val="0058275F"/>
    <w:rsid w:val="00582780"/>
    <w:rsid w:val="005827D8"/>
    <w:rsid w:val="005827F3"/>
    <w:rsid w:val="00582857"/>
    <w:rsid w:val="0058288F"/>
    <w:rsid w:val="005828A1"/>
    <w:rsid w:val="005828D0"/>
    <w:rsid w:val="00582949"/>
    <w:rsid w:val="0058295E"/>
    <w:rsid w:val="005829A8"/>
    <w:rsid w:val="005829B6"/>
    <w:rsid w:val="00582A37"/>
    <w:rsid w:val="00582A5B"/>
    <w:rsid w:val="00582B1B"/>
    <w:rsid w:val="00582B65"/>
    <w:rsid w:val="00582B6B"/>
    <w:rsid w:val="00582B6F"/>
    <w:rsid w:val="00582B88"/>
    <w:rsid w:val="00582B89"/>
    <w:rsid w:val="00582B98"/>
    <w:rsid w:val="00582BE9"/>
    <w:rsid w:val="00582C6B"/>
    <w:rsid w:val="00582C78"/>
    <w:rsid w:val="00582CC6"/>
    <w:rsid w:val="00582CEA"/>
    <w:rsid w:val="00582D1A"/>
    <w:rsid w:val="00582D1F"/>
    <w:rsid w:val="00582DD1"/>
    <w:rsid w:val="00582E32"/>
    <w:rsid w:val="00582E7A"/>
    <w:rsid w:val="00582E9F"/>
    <w:rsid w:val="00582F74"/>
    <w:rsid w:val="00582FCE"/>
    <w:rsid w:val="00583004"/>
    <w:rsid w:val="00583028"/>
    <w:rsid w:val="00583031"/>
    <w:rsid w:val="00583048"/>
    <w:rsid w:val="00583054"/>
    <w:rsid w:val="00583072"/>
    <w:rsid w:val="00583085"/>
    <w:rsid w:val="0058311D"/>
    <w:rsid w:val="0058313E"/>
    <w:rsid w:val="00583155"/>
    <w:rsid w:val="00583189"/>
    <w:rsid w:val="005831D4"/>
    <w:rsid w:val="005831F5"/>
    <w:rsid w:val="00583209"/>
    <w:rsid w:val="0058325C"/>
    <w:rsid w:val="005832AD"/>
    <w:rsid w:val="005832FA"/>
    <w:rsid w:val="00583314"/>
    <w:rsid w:val="0058333C"/>
    <w:rsid w:val="00583369"/>
    <w:rsid w:val="00583384"/>
    <w:rsid w:val="00583389"/>
    <w:rsid w:val="005833D2"/>
    <w:rsid w:val="0058340D"/>
    <w:rsid w:val="0058343A"/>
    <w:rsid w:val="00583467"/>
    <w:rsid w:val="005834DB"/>
    <w:rsid w:val="005834DE"/>
    <w:rsid w:val="00583515"/>
    <w:rsid w:val="0058352D"/>
    <w:rsid w:val="0058353C"/>
    <w:rsid w:val="00583585"/>
    <w:rsid w:val="005835B0"/>
    <w:rsid w:val="0058368D"/>
    <w:rsid w:val="005836A0"/>
    <w:rsid w:val="005836BC"/>
    <w:rsid w:val="00583736"/>
    <w:rsid w:val="0058374D"/>
    <w:rsid w:val="00583792"/>
    <w:rsid w:val="005837AE"/>
    <w:rsid w:val="005837D7"/>
    <w:rsid w:val="005837F5"/>
    <w:rsid w:val="00583811"/>
    <w:rsid w:val="0058383F"/>
    <w:rsid w:val="00583853"/>
    <w:rsid w:val="00583872"/>
    <w:rsid w:val="00583882"/>
    <w:rsid w:val="0058393D"/>
    <w:rsid w:val="00583948"/>
    <w:rsid w:val="00583956"/>
    <w:rsid w:val="0058395E"/>
    <w:rsid w:val="005839B2"/>
    <w:rsid w:val="00583A4E"/>
    <w:rsid w:val="00583A51"/>
    <w:rsid w:val="00583A7B"/>
    <w:rsid w:val="00583AC8"/>
    <w:rsid w:val="00583B07"/>
    <w:rsid w:val="00583B52"/>
    <w:rsid w:val="00583B66"/>
    <w:rsid w:val="00583BA3"/>
    <w:rsid w:val="00583BED"/>
    <w:rsid w:val="00583C61"/>
    <w:rsid w:val="00583C9B"/>
    <w:rsid w:val="00583CD3"/>
    <w:rsid w:val="00583D3C"/>
    <w:rsid w:val="00583DA7"/>
    <w:rsid w:val="00583DB6"/>
    <w:rsid w:val="00583E06"/>
    <w:rsid w:val="00583E0F"/>
    <w:rsid w:val="00583E17"/>
    <w:rsid w:val="00583E69"/>
    <w:rsid w:val="00583E76"/>
    <w:rsid w:val="00583E91"/>
    <w:rsid w:val="00583E9E"/>
    <w:rsid w:val="00583EEA"/>
    <w:rsid w:val="00583EF6"/>
    <w:rsid w:val="00583F09"/>
    <w:rsid w:val="00583F55"/>
    <w:rsid w:val="00583F85"/>
    <w:rsid w:val="00583FB5"/>
    <w:rsid w:val="00583FD0"/>
    <w:rsid w:val="00583FF4"/>
    <w:rsid w:val="00584031"/>
    <w:rsid w:val="00584041"/>
    <w:rsid w:val="0058404D"/>
    <w:rsid w:val="0058408E"/>
    <w:rsid w:val="005840B2"/>
    <w:rsid w:val="005840B6"/>
    <w:rsid w:val="005840BA"/>
    <w:rsid w:val="005840D1"/>
    <w:rsid w:val="005840E9"/>
    <w:rsid w:val="005840EC"/>
    <w:rsid w:val="0058411C"/>
    <w:rsid w:val="00584122"/>
    <w:rsid w:val="0058415E"/>
    <w:rsid w:val="005841A8"/>
    <w:rsid w:val="005841F3"/>
    <w:rsid w:val="0058420E"/>
    <w:rsid w:val="0058422B"/>
    <w:rsid w:val="00584260"/>
    <w:rsid w:val="00584277"/>
    <w:rsid w:val="00584285"/>
    <w:rsid w:val="005842AE"/>
    <w:rsid w:val="005842C9"/>
    <w:rsid w:val="0058433A"/>
    <w:rsid w:val="0058433E"/>
    <w:rsid w:val="00584383"/>
    <w:rsid w:val="00584386"/>
    <w:rsid w:val="005843AF"/>
    <w:rsid w:val="005843B1"/>
    <w:rsid w:val="005843BE"/>
    <w:rsid w:val="005843C2"/>
    <w:rsid w:val="0058441B"/>
    <w:rsid w:val="00584481"/>
    <w:rsid w:val="00584494"/>
    <w:rsid w:val="0058449F"/>
    <w:rsid w:val="005844EB"/>
    <w:rsid w:val="005844ED"/>
    <w:rsid w:val="00584574"/>
    <w:rsid w:val="00584590"/>
    <w:rsid w:val="005845C2"/>
    <w:rsid w:val="00584666"/>
    <w:rsid w:val="00584683"/>
    <w:rsid w:val="00584696"/>
    <w:rsid w:val="005846F0"/>
    <w:rsid w:val="0058470F"/>
    <w:rsid w:val="00584729"/>
    <w:rsid w:val="00584734"/>
    <w:rsid w:val="00584772"/>
    <w:rsid w:val="0058477E"/>
    <w:rsid w:val="005847D7"/>
    <w:rsid w:val="005847DD"/>
    <w:rsid w:val="005847F8"/>
    <w:rsid w:val="0058484F"/>
    <w:rsid w:val="005848F8"/>
    <w:rsid w:val="005848F9"/>
    <w:rsid w:val="00584934"/>
    <w:rsid w:val="0058495C"/>
    <w:rsid w:val="0058498A"/>
    <w:rsid w:val="0058498D"/>
    <w:rsid w:val="00584991"/>
    <w:rsid w:val="005849A1"/>
    <w:rsid w:val="00584A45"/>
    <w:rsid w:val="00584A89"/>
    <w:rsid w:val="00584AAC"/>
    <w:rsid w:val="00584B4D"/>
    <w:rsid w:val="00584B67"/>
    <w:rsid w:val="00584BAD"/>
    <w:rsid w:val="00584BF3"/>
    <w:rsid w:val="00584BFD"/>
    <w:rsid w:val="00584C15"/>
    <w:rsid w:val="00584C16"/>
    <w:rsid w:val="00584C21"/>
    <w:rsid w:val="00584C30"/>
    <w:rsid w:val="00584C61"/>
    <w:rsid w:val="00584C86"/>
    <w:rsid w:val="00584CB8"/>
    <w:rsid w:val="00584CCB"/>
    <w:rsid w:val="00584D18"/>
    <w:rsid w:val="00584D8F"/>
    <w:rsid w:val="00584DD5"/>
    <w:rsid w:val="00584DF2"/>
    <w:rsid w:val="00584E6B"/>
    <w:rsid w:val="00584F7A"/>
    <w:rsid w:val="00584FCA"/>
    <w:rsid w:val="00584FEF"/>
    <w:rsid w:val="0058500E"/>
    <w:rsid w:val="00585056"/>
    <w:rsid w:val="005850B5"/>
    <w:rsid w:val="00585111"/>
    <w:rsid w:val="00585119"/>
    <w:rsid w:val="00585192"/>
    <w:rsid w:val="00585220"/>
    <w:rsid w:val="0058529F"/>
    <w:rsid w:val="005852A3"/>
    <w:rsid w:val="005852B8"/>
    <w:rsid w:val="005852B9"/>
    <w:rsid w:val="0058536B"/>
    <w:rsid w:val="00585389"/>
    <w:rsid w:val="005853F3"/>
    <w:rsid w:val="00585426"/>
    <w:rsid w:val="0058546A"/>
    <w:rsid w:val="0058549B"/>
    <w:rsid w:val="005854C2"/>
    <w:rsid w:val="005854F7"/>
    <w:rsid w:val="00585545"/>
    <w:rsid w:val="00585572"/>
    <w:rsid w:val="0058558A"/>
    <w:rsid w:val="005855A7"/>
    <w:rsid w:val="005855FC"/>
    <w:rsid w:val="0058561D"/>
    <w:rsid w:val="0058563C"/>
    <w:rsid w:val="0058564C"/>
    <w:rsid w:val="0058565E"/>
    <w:rsid w:val="0058566F"/>
    <w:rsid w:val="005856D9"/>
    <w:rsid w:val="005856DF"/>
    <w:rsid w:val="005856F5"/>
    <w:rsid w:val="0058570B"/>
    <w:rsid w:val="00585711"/>
    <w:rsid w:val="0058573D"/>
    <w:rsid w:val="00585843"/>
    <w:rsid w:val="0058587A"/>
    <w:rsid w:val="005858B2"/>
    <w:rsid w:val="005858BB"/>
    <w:rsid w:val="005858F8"/>
    <w:rsid w:val="00585958"/>
    <w:rsid w:val="0058595D"/>
    <w:rsid w:val="0058595E"/>
    <w:rsid w:val="0058596E"/>
    <w:rsid w:val="0058597E"/>
    <w:rsid w:val="0058598B"/>
    <w:rsid w:val="005859FE"/>
    <w:rsid w:val="00585A4F"/>
    <w:rsid w:val="00585A9F"/>
    <w:rsid w:val="00585ABC"/>
    <w:rsid w:val="00585B6D"/>
    <w:rsid w:val="00585B84"/>
    <w:rsid w:val="00585BA8"/>
    <w:rsid w:val="00585BF1"/>
    <w:rsid w:val="00585C03"/>
    <w:rsid w:val="00585CF6"/>
    <w:rsid w:val="00585D1D"/>
    <w:rsid w:val="00585D9D"/>
    <w:rsid w:val="00585DA6"/>
    <w:rsid w:val="00585DC2"/>
    <w:rsid w:val="00585DD5"/>
    <w:rsid w:val="00585E0F"/>
    <w:rsid w:val="00585E11"/>
    <w:rsid w:val="00585E4F"/>
    <w:rsid w:val="00585E5A"/>
    <w:rsid w:val="00585E5B"/>
    <w:rsid w:val="00585E8D"/>
    <w:rsid w:val="00585EB9"/>
    <w:rsid w:val="00585EBE"/>
    <w:rsid w:val="00585F2B"/>
    <w:rsid w:val="00585F70"/>
    <w:rsid w:val="00585F9C"/>
    <w:rsid w:val="00585FC4"/>
    <w:rsid w:val="00585FF8"/>
    <w:rsid w:val="00585FFC"/>
    <w:rsid w:val="00586019"/>
    <w:rsid w:val="0058601E"/>
    <w:rsid w:val="00586022"/>
    <w:rsid w:val="00586064"/>
    <w:rsid w:val="0058606F"/>
    <w:rsid w:val="00586085"/>
    <w:rsid w:val="005860A6"/>
    <w:rsid w:val="005860B2"/>
    <w:rsid w:val="005860C6"/>
    <w:rsid w:val="005860C9"/>
    <w:rsid w:val="00586102"/>
    <w:rsid w:val="00586134"/>
    <w:rsid w:val="0058616C"/>
    <w:rsid w:val="00586174"/>
    <w:rsid w:val="00586177"/>
    <w:rsid w:val="00586199"/>
    <w:rsid w:val="005861C7"/>
    <w:rsid w:val="005861E4"/>
    <w:rsid w:val="0058623E"/>
    <w:rsid w:val="00586276"/>
    <w:rsid w:val="005862CE"/>
    <w:rsid w:val="005862D8"/>
    <w:rsid w:val="005862DF"/>
    <w:rsid w:val="005862E7"/>
    <w:rsid w:val="00586311"/>
    <w:rsid w:val="0058635C"/>
    <w:rsid w:val="005863CD"/>
    <w:rsid w:val="005863D7"/>
    <w:rsid w:val="005863E1"/>
    <w:rsid w:val="005863E9"/>
    <w:rsid w:val="0058643D"/>
    <w:rsid w:val="005864F0"/>
    <w:rsid w:val="0058654D"/>
    <w:rsid w:val="00586570"/>
    <w:rsid w:val="00586578"/>
    <w:rsid w:val="00586580"/>
    <w:rsid w:val="00586586"/>
    <w:rsid w:val="0058658C"/>
    <w:rsid w:val="005865B1"/>
    <w:rsid w:val="005865C2"/>
    <w:rsid w:val="005865E1"/>
    <w:rsid w:val="0058660B"/>
    <w:rsid w:val="00586631"/>
    <w:rsid w:val="00586655"/>
    <w:rsid w:val="00586669"/>
    <w:rsid w:val="00586693"/>
    <w:rsid w:val="005866B5"/>
    <w:rsid w:val="005866ED"/>
    <w:rsid w:val="0058671B"/>
    <w:rsid w:val="00586733"/>
    <w:rsid w:val="00586756"/>
    <w:rsid w:val="0058675A"/>
    <w:rsid w:val="005867C4"/>
    <w:rsid w:val="005868CE"/>
    <w:rsid w:val="005868D1"/>
    <w:rsid w:val="00586915"/>
    <w:rsid w:val="00586927"/>
    <w:rsid w:val="00586970"/>
    <w:rsid w:val="00586977"/>
    <w:rsid w:val="005869B8"/>
    <w:rsid w:val="005869EA"/>
    <w:rsid w:val="00586A0E"/>
    <w:rsid w:val="00586A10"/>
    <w:rsid w:val="00586A38"/>
    <w:rsid w:val="00586A48"/>
    <w:rsid w:val="00586A86"/>
    <w:rsid w:val="00586AA5"/>
    <w:rsid w:val="00586AC9"/>
    <w:rsid w:val="00586AD1"/>
    <w:rsid w:val="00586AEC"/>
    <w:rsid w:val="00586B2D"/>
    <w:rsid w:val="00586BEA"/>
    <w:rsid w:val="00586C21"/>
    <w:rsid w:val="00586C54"/>
    <w:rsid w:val="00586C73"/>
    <w:rsid w:val="00586CD0"/>
    <w:rsid w:val="00586CD3"/>
    <w:rsid w:val="00586CD4"/>
    <w:rsid w:val="00586CFA"/>
    <w:rsid w:val="00586D4F"/>
    <w:rsid w:val="00586D75"/>
    <w:rsid w:val="00586DA3"/>
    <w:rsid w:val="00586DB3"/>
    <w:rsid w:val="00586DB7"/>
    <w:rsid w:val="00586DF0"/>
    <w:rsid w:val="00586E08"/>
    <w:rsid w:val="00586E12"/>
    <w:rsid w:val="00586EFD"/>
    <w:rsid w:val="00586F35"/>
    <w:rsid w:val="00586F7C"/>
    <w:rsid w:val="00586FDA"/>
    <w:rsid w:val="00587037"/>
    <w:rsid w:val="00587040"/>
    <w:rsid w:val="00587095"/>
    <w:rsid w:val="005870BF"/>
    <w:rsid w:val="00587174"/>
    <w:rsid w:val="005871C0"/>
    <w:rsid w:val="00587255"/>
    <w:rsid w:val="00587259"/>
    <w:rsid w:val="00587266"/>
    <w:rsid w:val="0058727C"/>
    <w:rsid w:val="0058727D"/>
    <w:rsid w:val="005872AD"/>
    <w:rsid w:val="00587358"/>
    <w:rsid w:val="00587387"/>
    <w:rsid w:val="005873A1"/>
    <w:rsid w:val="00587483"/>
    <w:rsid w:val="005874EB"/>
    <w:rsid w:val="0058750D"/>
    <w:rsid w:val="00587523"/>
    <w:rsid w:val="0058754F"/>
    <w:rsid w:val="0058756E"/>
    <w:rsid w:val="0058757D"/>
    <w:rsid w:val="00587582"/>
    <w:rsid w:val="00587586"/>
    <w:rsid w:val="005875F4"/>
    <w:rsid w:val="0058762D"/>
    <w:rsid w:val="0058764B"/>
    <w:rsid w:val="005876A2"/>
    <w:rsid w:val="005876B0"/>
    <w:rsid w:val="005876C5"/>
    <w:rsid w:val="005876E2"/>
    <w:rsid w:val="0058770E"/>
    <w:rsid w:val="00587734"/>
    <w:rsid w:val="00587749"/>
    <w:rsid w:val="005877BE"/>
    <w:rsid w:val="0058780F"/>
    <w:rsid w:val="00587868"/>
    <w:rsid w:val="0058786C"/>
    <w:rsid w:val="00587885"/>
    <w:rsid w:val="00587888"/>
    <w:rsid w:val="00587900"/>
    <w:rsid w:val="00587912"/>
    <w:rsid w:val="0058796D"/>
    <w:rsid w:val="0058799B"/>
    <w:rsid w:val="005879EB"/>
    <w:rsid w:val="005879FC"/>
    <w:rsid w:val="00587A0B"/>
    <w:rsid w:val="00587A24"/>
    <w:rsid w:val="00587A5F"/>
    <w:rsid w:val="00587AAC"/>
    <w:rsid w:val="00587AD4"/>
    <w:rsid w:val="00587AE2"/>
    <w:rsid w:val="00587B0D"/>
    <w:rsid w:val="00587B3F"/>
    <w:rsid w:val="00587B6F"/>
    <w:rsid w:val="00587BAA"/>
    <w:rsid w:val="00587BC4"/>
    <w:rsid w:val="00587C08"/>
    <w:rsid w:val="00587C67"/>
    <w:rsid w:val="00587C7C"/>
    <w:rsid w:val="00587CCE"/>
    <w:rsid w:val="00587CD0"/>
    <w:rsid w:val="00587CD4"/>
    <w:rsid w:val="00587CFD"/>
    <w:rsid w:val="00587D6B"/>
    <w:rsid w:val="00587D91"/>
    <w:rsid w:val="00587DA9"/>
    <w:rsid w:val="00587DE2"/>
    <w:rsid w:val="00587E30"/>
    <w:rsid w:val="00587E37"/>
    <w:rsid w:val="00587E72"/>
    <w:rsid w:val="00587E8E"/>
    <w:rsid w:val="00587E97"/>
    <w:rsid w:val="00587F32"/>
    <w:rsid w:val="00587F58"/>
    <w:rsid w:val="00587F6C"/>
    <w:rsid w:val="00587F78"/>
    <w:rsid w:val="00587FAA"/>
    <w:rsid w:val="00587FF1"/>
    <w:rsid w:val="00590018"/>
    <w:rsid w:val="0059004F"/>
    <w:rsid w:val="0059005B"/>
    <w:rsid w:val="00590065"/>
    <w:rsid w:val="005900B6"/>
    <w:rsid w:val="005900EE"/>
    <w:rsid w:val="00590104"/>
    <w:rsid w:val="0059021E"/>
    <w:rsid w:val="005902B0"/>
    <w:rsid w:val="005902C7"/>
    <w:rsid w:val="00590325"/>
    <w:rsid w:val="00590359"/>
    <w:rsid w:val="00590364"/>
    <w:rsid w:val="0059037B"/>
    <w:rsid w:val="0059038F"/>
    <w:rsid w:val="005903A4"/>
    <w:rsid w:val="005903DD"/>
    <w:rsid w:val="005903DE"/>
    <w:rsid w:val="005903FD"/>
    <w:rsid w:val="0059040A"/>
    <w:rsid w:val="0059042B"/>
    <w:rsid w:val="00590436"/>
    <w:rsid w:val="00590449"/>
    <w:rsid w:val="00590452"/>
    <w:rsid w:val="00590456"/>
    <w:rsid w:val="0059046E"/>
    <w:rsid w:val="0059049C"/>
    <w:rsid w:val="005904A9"/>
    <w:rsid w:val="005904B9"/>
    <w:rsid w:val="005904C6"/>
    <w:rsid w:val="0059055E"/>
    <w:rsid w:val="0059057D"/>
    <w:rsid w:val="005905A6"/>
    <w:rsid w:val="005905E9"/>
    <w:rsid w:val="00590675"/>
    <w:rsid w:val="0059069B"/>
    <w:rsid w:val="005906AF"/>
    <w:rsid w:val="005906CB"/>
    <w:rsid w:val="005906FC"/>
    <w:rsid w:val="005907A9"/>
    <w:rsid w:val="00590839"/>
    <w:rsid w:val="0059086B"/>
    <w:rsid w:val="0059086F"/>
    <w:rsid w:val="005908D2"/>
    <w:rsid w:val="00590920"/>
    <w:rsid w:val="00590932"/>
    <w:rsid w:val="00590982"/>
    <w:rsid w:val="005909D4"/>
    <w:rsid w:val="00590A02"/>
    <w:rsid w:val="00590A15"/>
    <w:rsid w:val="00590A1F"/>
    <w:rsid w:val="00590A4A"/>
    <w:rsid w:val="00590A52"/>
    <w:rsid w:val="00590AA7"/>
    <w:rsid w:val="00590AC4"/>
    <w:rsid w:val="00590AD8"/>
    <w:rsid w:val="00590AEB"/>
    <w:rsid w:val="00590B00"/>
    <w:rsid w:val="00590B40"/>
    <w:rsid w:val="00590B49"/>
    <w:rsid w:val="00590B66"/>
    <w:rsid w:val="00590B9A"/>
    <w:rsid w:val="00590BB7"/>
    <w:rsid w:val="00590BD1"/>
    <w:rsid w:val="00590C1B"/>
    <w:rsid w:val="00590C79"/>
    <w:rsid w:val="00590CA2"/>
    <w:rsid w:val="00590D4A"/>
    <w:rsid w:val="00590DB2"/>
    <w:rsid w:val="00590DD5"/>
    <w:rsid w:val="00590DFB"/>
    <w:rsid w:val="00590E21"/>
    <w:rsid w:val="00590E94"/>
    <w:rsid w:val="00590EAF"/>
    <w:rsid w:val="00590EC3"/>
    <w:rsid w:val="00590EF9"/>
    <w:rsid w:val="00590F00"/>
    <w:rsid w:val="00590F01"/>
    <w:rsid w:val="00590F35"/>
    <w:rsid w:val="00590FCD"/>
    <w:rsid w:val="00590FF2"/>
    <w:rsid w:val="00591009"/>
    <w:rsid w:val="00591089"/>
    <w:rsid w:val="005910A1"/>
    <w:rsid w:val="005910B3"/>
    <w:rsid w:val="005910BA"/>
    <w:rsid w:val="005910DC"/>
    <w:rsid w:val="005910F0"/>
    <w:rsid w:val="0059112A"/>
    <w:rsid w:val="00591132"/>
    <w:rsid w:val="00591154"/>
    <w:rsid w:val="0059117F"/>
    <w:rsid w:val="005911E8"/>
    <w:rsid w:val="005911F9"/>
    <w:rsid w:val="00591252"/>
    <w:rsid w:val="00591366"/>
    <w:rsid w:val="0059137E"/>
    <w:rsid w:val="00591381"/>
    <w:rsid w:val="0059138C"/>
    <w:rsid w:val="005913D0"/>
    <w:rsid w:val="00591400"/>
    <w:rsid w:val="00591409"/>
    <w:rsid w:val="0059141B"/>
    <w:rsid w:val="00591497"/>
    <w:rsid w:val="005914C2"/>
    <w:rsid w:val="005914E8"/>
    <w:rsid w:val="00591594"/>
    <w:rsid w:val="0059159A"/>
    <w:rsid w:val="005915C5"/>
    <w:rsid w:val="005915CF"/>
    <w:rsid w:val="005915D1"/>
    <w:rsid w:val="0059160A"/>
    <w:rsid w:val="00591635"/>
    <w:rsid w:val="00591640"/>
    <w:rsid w:val="00591662"/>
    <w:rsid w:val="005916FB"/>
    <w:rsid w:val="00591705"/>
    <w:rsid w:val="00591722"/>
    <w:rsid w:val="0059174F"/>
    <w:rsid w:val="005917A2"/>
    <w:rsid w:val="005917CA"/>
    <w:rsid w:val="005917F2"/>
    <w:rsid w:val="005917FD"/>
    <w:rsid w:val="00591817"/>
    <w:rsid w:val="005918E1"/>
    <w:rsid w:val="00591914"/>
    <w:rsid w:val="00591915"/>
    <w:rsid w:val="00591960"/>
    <w:rsid w:val="005919AB"/>
    <w:rsid w:val="005919D0"/>
    <w:rsid w:val="005919E8"/>
    <w:rsid w:val="00591A18"/>
    <w:rsid w:val="00591A29"/>
    <w:rsid w:val="00591A32"/>
    <w:rsid w:val="00591ABB"/>
    <w:rsid w:val="00591AD4"/>
    <w:rsid w:val="00591AF6"/>
    <w:rsid w:val="00591B03"/>
    <w:rsid w:val="00591B4B"/>
    <w:rsid w:val="00591B4E"/>
    <w:rsid w:val="00591BA0"/>
    <w:rsid w:val="00591BCC"/>
    <w:rsid w:val="00591BED"/>
    <w:rsid w:val="00591C47"/>
    <w:rsid w:val="00591C72"/>
    <w:rsid w:val="00591C8B"/>
    <w:rsid w:val="00591CAA"/>
    <w:rsid w:val="00591D05"/>
    <w:rsid w:val="00591D22"/>
    <w:rsid w:val="00591D6D"/>
    <w:rsid w:val="00591D8D"/>
    <w:rsid w:val="00591DB0"/>
    <w:rsid w:val="00591DCF"/>
    <w:rsid w:val="00591DD4"/>
    <w:rsid w:val="00591DDD"/>
    <w:rsid w:val="00591E7A"/>
    <w:rsid w:val="00591EB5"/>
    <w:rsid w:val="00591EDD"/>
    <w:rsid w:val="00591EF8"/>
    <w:rsid w:val="00591EF9"/>
    <w:rsid w:val="00591F38"/>
    <w:rsid w:val="00591F5A"/>
    <w:rsid w:val="00591FE2"/>
    <w:rsid w:val="00591FF4"/>
    <w:rsid w:val="00592071"/>
    <w:rsid w:val="0059209E"/>
    <w:rsid w:val="005920BE"/>
    <w:rsid w:val="00592135"/>
    <w:rsid w:val="00592177"/>
    <w:rsid w:val="005921BA"/>
    <w:rsid w:val="005921F2"/>
    <w:rsid w:val="005921F9"/>
    <w:rsid w:val="00592200"/>
    <w:rsid w:val="0059222E"/>
    <w:rsid w:val="005922EC"/>
    <w:rsid w:val="00592316"/>
    <w:rsid w:val="0059232F"/>
    <w:rsid w:val="00592385"/>
    <w:rsid w:val="005923BE"/>
    <w:rsid w:val="00592450"/>
    <w:rsid w:val="005924CD"/>
    <w:rsid w:val="005924F8"/>
    <w:rsid w:val="0059252E"/>
    <w:rsid w:val="00592531"/>
    <w:rsid w:val="0059254F"/>
    <w:rsid w:val="00592567"/>
    <w:rsid w:val="005926D4"/>
    <w:rsid w:val="00592796"/>
    <w:rsid w:val="005927F9"/>
    <w:rsid w:val="0059280C"/>
    <w:rsid w:val="00592831"/>
    <w:rsid w:val="00592834"/>
    <w:rsid w:val="0059283A"/>
    <w:rsid w:val="00592852"/>
    <w:rsid w:val="00592858"/>
    <w:rsid w:val="00592874"/>
    <w:rsid w:val="00592891"/>
    <w:rsid w:val="0059289D"/>
    <w:rsid w:val="005928B5"/>
    <w:rsid w:val="00592909"/>
    <w:rsid w:val="0059292F"/>
    <w:rsid w:val="00592930"/>
    <w:rsid w:val="00592993"/>
    <w:rsid w:val="005929C7"/>
    <w:rsid w:val="00592A3F"/>
    <w:rsid w:val="00592A4D"/>
    <w:rsid w:val="00592A51"/>
    <w:rsid w:val="00592AA0"/>
    <w:rsid w:val="00592B53"/>
    <w:rsid w:val="00592BEC"/>
    <w:rsid w:val="00592C8A"/>
    <w:rsid w:val="00592C9A"/>
    <w:rsid w:val="00592C9C"/>
    <w:rsid w:val="00592CA3"/>
    <w:rsid w:val="00592CAD"/>
    <w:rsid w:val="00592D17"/>
    <w:rsid w:val="00592D35"/>
    <w:rsid w:val="00592DB7"/>
    <w:rsid w:val="00592DD7"/>
    <w:rsid w:val="00592E3F"/>
    <w:rsid w:val="00592E9D"/>
    <w:rsid w:val="00592ED9"/>
    <w:rsid w:val="00592F16"/>
    <w:rsid w:val="00592F97"/>
    <w:rsid w:val="00592FB7"/>
    <w:rsid w:val="00592FB8"/>
    <w:rsid w:val="00593003"/>
    <w:rsid w:val="00593004"/>
    <w:rsid w:val="0059303E"/>
    <w:rsid w:val="00593091"/>
    <w:rsid w:val="005930CF"/>
    <w:rsid w:val="005931B7"/>
    <w:rsid w:val="005931BF"/>
    <w:rsid w:val="005931CA"/>
    <w:rsid w:val="00593204"/>
    <w:rsid w:val="00593253"/>
    <w:rsid w:val="00593297"/>
    <w:rsid w:val="005932A4"/>
    <w:rsid w:val="005932B1"/>
    <w:rsid w:val="0059333C"/>
    <w:rsid w:val="0059336D"/>
    <w:rsid w:val="005933C9"/>
    <w:rsid w:val="005933F0"/>
    <w:rsid w:val="00593401"/>
    <w:rsid w:val="00593407"/>
    <w:rsid w:val="0059340A"/>
    <w:rsid w:val="00593441"/>
    <w:rsid w:val="00593448"/>
    <w:rsid w:val="00593449"/>
    <w:rsid w:val="0059345A"/>
    <w:rsid w:val="0059348A"/>
    <w:rsid w:val="005934A2"/>
    <w:rsid w:val="00593514"/>
    <w:rsid w:val="0059351C"/>
    <w:rsid w:val="00593582"/>
    <w:rsid w:val="005935B4"/>
    <w:rsid w:val="00593618"/>
    <w:rsid w:val="0059363C"/>
    <w:rsid w:val="0059364C"/>
    <w:rsid w:val="00593695"/>
    <w:rsid w:val="00593697"/>
    <w:rsid w:val="005936B5"/>
    <w:rsid w:val="005936B6"/>
    <w:rsid w:val="005936D4"/>
    <w:rsid w:val="005936E6"/>
    <w:rsid w:val="00593710"/>
    <w:rsid w:val="0059374F"/>
    <w:rsid w:val="005937DA"/>
    <w:rsid w:val="005937E2"/>
    <w:rsid w:val="005938D3"/>
    <w:rsid w:val="00593914"/>
    <w:rsid w:val="0059392C"/>
    <w:rsid w:val="00593940"/>
    <w:rsid w:val="0059395A"/>
    <w:rsid w:val="0059397B"/>
    <w:rsid w:val="005939B0"/>
    <w:rsid w:val="00593A06"/>
    <w:rsid w:val="00593A86"/>
    <w:rsid w:val="00593A92"/>
    <w:rsid w:val="00593AED"/>
    <w:rsid w:val="00593B05"/>
    <w:rsid w:val="00593B1F"/>
    <w:rsid w:val="00593B23"/>
    <w:rsid w:val="00593B26"/>
    <w:rsid w:val="00593B2A"/>
    <w:rsid w:val="00593BB1"/>
    <w:rsid w:val="00593BE1"/>
    <w:rsid w:val="00593BE2"/>
    <w:rsid w:val="00593C20"/>
    <w:rsid w:val="00593C3E"/>
    <w:rsid w:val="00593D98"/>
    <w:rsid w:val="00593DA8"/>
    <w:rsid w:val="00593DD1"/>
    <w:rsid w:val="00593E08"/>
    <w:rsid w:val="00593E18"/>
    <w:rsid w:val="00593E3E"/>
    <w:rsid w:val="00593E65"/>
    <w:rsid w:val="00593E86"/>
    <w:rsid w:val="00593F2A"/>
    <w:rsid w:val="00593F89"/>
    <w:rsid w:val="0059402D"/>
    <w:rsid w:val="0059402E"/>
    <w:rsid w:val="00594035"/>
    <w:rsid w:val="005940B5"/>
    <w:rsid w:val="005940EB"/>
    <w:rsid w:val="00594106"/>
    <w:rsid w:val="00594165"/>
    <w:rsid w:val="005941AC"/>
    <w:rsid w:val="005941CB"/>
    <w:rsid w:val="005941EF"/>
    <w:rsid w:val="00594201"/>
    <w:rsid w:val="0059423B"/>
    <w:rsid w:val="0059425B"/>
    <w:rsid w:val="00594277"/>
    <w:rsid w:val="0059427D"/>
    <w:rsid w:val="005942AB"/>
    <w:rsid w:val="00594302"/>
    <w:rsid w:val="0059431B"/>
    <w:rsid w:val="005943A6"/>
    <w:rsid w:val="005943BB"/>
    <w:rsid w:val="005943CE"/>
    <w:rsid w:val="005943DD"/>
    <w:rsid w:val="00594477"/>
    <w:rsid w:val="005944A1"/>
    <w:rsid w:val="005944DB"/>
    <w:rsid w:val="005945CD"/>
    <w:rsid w:val="005945CF"/>
    <w:rsid w:val="005945EC"/>
    <w:rsid w:val="005945F0"/>
    <w:rsid w:val="005945FE"/>
    <w:rsid w:val="00594627"/>
    <w:rsid w:val="00594653"/>
    <w:rsid w:val="00594665"/>
    <w:rsid w:val="005946B0"/>
    <w:rsid w:val="0059473D"/>
    <w:rsid w:val="00594767"/>
    <w:rsid w:val="0059477C"/>
    <w:rsid w:val="0059481C"/>
    <w:rsid w:val="00594872"/>
    <w:rsid w:val="0059488F"/>
    <w:rsid w:val="005948D3"/>
    <w:rsid w:val="005949C3"/>
    <w:rsid w:val="005949FB"/>
    <w:rsid w:val="00594A3B"/>
    <w:rsid w:val="00594A51"/>
    <w:rsid w:val="00594A79"/>
    <w:rsid w:val="00594AB0"/>
    <w:rsid w:val="00594B03"/>
    <w:rsid w:val="00594B2E"/>
    <w:rsid w:val="00594B58"/>
    <w:rsid w:val="00594B6D"/>
    <w:rsid w:val="00594C06"/>
    <w:rsid w:val="00594C14"/>
    <w:rsid w:val="00594C79"/>
    <w:rsid w:val="00594C7F"/>
    <w:rsid w:val="00594C81"/>
    <w:rsid w:val="00594CA3"/>
    <w:rsid w:val="00594CCB"/>
    <w:rsid w:val="00594CEF"/>
    <w:rsid w:val="00594D72"/>
    <w:rsid w:val="00594D7D"/>
    <w:rsid w:val="00594DED"/>
    <w:rsid w:val="00594E1E"/>
    <w:rsid w:val="00594E69"/>
    <w:rsid w:val="00594E98"/>
    <w:rsid w:val="00594E9A"/>
    <w:rsid w:val="00594EA4"/>
    <w:rsid w:val="00594ECD"/>
    <w:rsid w:val="00594ED5"/>
    <w:rsid w:val="00594EE4"/>
    <w:rsid w:val="00594F47"/>
    <w:rsid w:val="00594F4D"/>
    <w:rsid w:val="00594F6E"/>
    <w:rsid w:val="00594FB3"/>
    <w:rsid w:val="00594FD6"/>
    <w:rsid w:val="00594FED"/>
    <w:rsid w:val="00595045"/>
    <w:rsid w:val="0059507B"/>
    <w:rsid w:val="00595082"/>
    <w:rsid w:val="00595093"/>
    <w:rsid w:val="005950DC"/>
    <w:rsid w:val="00595105"/>
    <w:rsid w:val="0059514F"/>
    <w:rsid w:val="00595151"/>
    <w:rsid w:val="00595188"/>
    <w:rsid w:val="005951E7"/>
    <w:rsid w:val="005951EC"/>
    <w:rsid w:val="00595207"/>
    <w:rsid w:val="00595277"/>
    <w:rsid w:val="00595283"/>
    <w:rsid w:val="0059529A"/>
    <w:rsid w:val="0059529E"/>
    <w:rsid w:val="005952D9"/>
    <w:rsid w:val="005952E6"/>
    <w:rsid w:val="00595333"/>
    <w:rsid w:val="0059534A"/>
    <w:rsid w:val="00595355"/>
    <w:rsid w:val="005953DC"/>
    <w:rsid w:val="005953F3"/>
    <w:rsid w:val="0059542B"/>
    <w:rsid w:val="0059546E"/>
    <w:rsid w:val="0059547F"/>
    <w:rsid w:val="0059549B"/>
    <w:rsid w:val="005954E8"/>
    <w:rsid w:val="005954F8"/>
    <w:rsid w:val="00595521"/>
    <w:rsid w:val="0059552C"/>
    <w:rsid w:val="0059556C"/>
    <w:rsid w:val="005955DB"/>
    <w:rsid w:val="0059560F"/>
    <w:rsid w:val="005956C9"/>
    <w:rsid w:val="005956D5"/>
    <w:rsid w:val="00595715"/>
    <w:rsid w:val="005957E4"/>
    <w:rsid w:val="005957FF"/>
    <w:rsid w:val="0059581E"/>
    <w:rsid w:val="00595838"/>
    <w:rsid w:val="0059589A"/>
    <w:rsid w:val="005958CB"/>
    <w:rsid w:val="0059591B"/>
    <w:rsid w:val="00595926"/>
    <w:rsid w:val="0059592A"/>
    <w:rsid w:val="00595996"/>
    <w:rsid w:val="005959D1"/>
    <w:rsid w:val="00595A00"/>
    <w:rsid w:val="00595A09"/>
    <w:rsid w:val="00595A36"/>
    <w:rsid w:val="00595A65"/>
    <w:rsid w:val="00595A98"/>
    <w:rsid w:val="00595ADA"/>
    <w:rsid w:val="00595B3E"/>
    <w:rsid w:val="00595B6D"/>
    <w:rsid w:val="00595B8C"/>
    <w:rsid w:val="00595BC7"/>
    <w:rsid w:val="00595BD0"/>
    <w:rsid w:val="00595C0D"/>
    <w:rsid w:val="00595C11"/>
    <w:rsid w:val="00595C17"/>
    <w:rsid w:val="00595C19"/>
    <w:rsid w:val="00595C59"/>
    <w:rsid w:val="00595C86"/>
    <w:rsid w:val="00595D1D"/>
    <w:rsid w:val="00595D7A"/>
    <w:rsid w:val="00595E1D"/>
    <w:rsid w:val="00595E3A"/>
    <w:rsid w:val="00595E53"/>
    <w:rsid w:val="00595E59"/>
    <w:rsid w:val="00595EA0"/>
    <w:rsid w:val="00595EC3"/>
    <w:rsid w:val="00595EDB"/>
    <w:rsid w:val="00595EEC"/>
    <w:rsid w:val="00595F3D"/>
    <w:rsid w:val="00595F4D"/>
    <w:rsid w:val="00595FA9"/>
    <w:rsid w:val="00595FDE"/>
    <w:rsid w:val="0059602C"/>
    <w:rsid w:val="0059605B"/>
    <w:rsid w:val="00596060"/>
    <w:rsid w:val="00596074"/>
    <w:rsid w:val="00596079"/>
    <w:rsid w:val="00596086"/>
    <w:rsid w:val="005960A3"/>
    <w:rsid w:val="005960B7"/>
    <w:rsid w:val="005960F5"/>
    <w:rsid w:val="00596121"/>
    <w:rsid w:val="00596152"/>
    <w:rsid w:val="00596172"/>
    <w:rsid w:val="005961DE"/>
    <w:rsid w:val="005961E6"/>
    <w:rsid w:val="0059620A"/>
    <w:rsid w:val="0059627F"/>
    <w:rsid w:val="005962D0"/>
    <w:rsid w:val="0059631B"/>
    <w:rsid w:val="00596332"/>
    <w:rsid w:val="0059637F"/>
    <w:rsid w:val="005963CA"/>
    <w:rsid w:val="005963D7"/>
    <w:rsid w:val="005963F5"/>
    <w:rsid w:val="00596465"/>
    <w:rsid w:val="005964A7"/>
    <w:rsid w:val="005964CD"/>
    <w:rsid w:val="005964E4"/>
    <w:rsid w:val="00596553"/>
    <w:rsid w:val="0059655C"/>
    <w:rsid w:val="005965B3"/>
    <w:rsid w:val="005965F2"/>
    <w:rsid w:val="00596669"/>
    <w:rsid w:val="00596673"/>
    <w:rsid w:val="005966A5"/>
    <w:rsid w:val="005966FB"/>
    <w:rsid w:val="00596716"/>
    <w:rsid w:val="0059671B"/>
    <w:rsid w:val="0059672E"/>
    <w:rsid w:val="0059674E"/>
    <w:rsid w:val="0059678D"/>
    <w:rsid w:val="005967B1"/>
    <w:rsid w:val="005967CF"/>
    <w:rsid w:val="0059681F"/>
    <w:rsid w:val="005968B5"/>
    <w:rsid w:val="005968CF"/>
    <w:rsid w:val="005968FB"/>
    <w:rsid w:val="00596901"/>
    <w:rsid w:val="00596964"/>
    <w:rsid w:val="00596977"/>
    <w:rsid w:val="00596A10"/>
    <w:rsid w:val="00596A2B"/>
    <w:rsid w:val="00596A39"/>
    <w:rsid w:val="00596A6A"/>
    <w:rsid w:val="00596A96"/>
    <w:rsid w:val="00596AAE"/>
    <w:rsid w:val="00596ACA"/>
    <w:rsid w:val="00596ADD"/>
    <w:rsid w:val="00596AF4"/>
    <w:rsid w:val="00596B26"/>
    <w:rsid w:val="00596B27"/>
    <w:rsid w:val="00596B38"/>
    <w:rsid w:val="00596B6E"/>
    <w:rsid w:val="00596B8E"/>
    <w:rsid w:val="00596BAD"/>
    <w:rsid w:val="00596BB3"/>
    <w:rsid w:val="00596BBE"/>
    <w:rsid w:val="00596BE4"/>
    <w:rsid w:val="00596BF8"/>
    <w:rsid w:val="00596C2A"/>
    <w:rsid w:val="00596C4B"/>
    <w:rsid w:val="00596C66"/>
    <w:rsid w:val="00596CAC"/>
    <w:rsid w:val="00596CD4"/>
    <w:rsid w:val="00596D21"/>
    <w:rsid w:val="00596D37"/>
    <w:rsid w:val="00596D5D"/>
    <w:rsid w:val="00596DAA"/>
    <w:rsid w:val="00596E07"/>
    <w:rsid w:val="00596E0E"/>
    <w:rsid w:val="00596E2C"/>
    <w:rsid w:val="00596E96"/>
    <w:rsid w:val="00596EA8"/>
    <w:rsid w:val="00596ED3"/>
    <w:rsid w:val="00596ED8"/>
    <w:rsid w:val="00596FAD"/>
    <w:rsid w:val="00596FF1"/>
    <w:rsid w:val="0059703F"/>
    <w:rsid w:val="00597045"/>
    <w:rsid w:val="00597071"/>
    <w:rsid w:val="005970DA"/>
    <w:rsid w:val="00597106"/>
    <w:rsid w:val="00597124"/>
    <w:rsid w:val="00597151"/>
    <w:rsid w:val="0059717E"/>
    <w:rsid w:val="005971B8"/>
    <w:rsid w:val="005971FD"/>
    <w:rsid w:val="00597217"/>
    <w:rsid w:val="0059723B"/>
    <w:rsid w:val="0059724F"/>
    <w:rsid w:val="00597259"/>
    <w:rsid w:val="005972BE"/>
    <w:rsid w:val="005972CF"/>
    <w:rsid w:val="00597353"/>
    <w:rsid w:val="005973AD"/>
    <w:rsid w:val="005973B7"/>
    <w:rsid w:val="005973C5"/>
    <w:rsid w:val="00597473"/>
    <w:rsid w:val="005974C4"/>
    <w:rsid w:val="005974D1"/>
    <w:rsid w:val="005974D4"/>
    <w:rsid w:val="00597523"/>
    <w:rsid w:val="005975DF"/>
    <w:rsid w:val="005975E2"/>
    <w:rsid w:val="0059762A"/>
    <w:rsid w:val="00597635"/>
    <w:rsid w:val="00597637"/>
    <w:rsid w:val="0059765F"/>
    <w:rsid w:val="00597669"/>
    <w:rsid w:val="0059767F"/>
    <w:rsid w:val="0059769E"/>
    <w:rsid w:val="005976BD"/>
    <w:rsid w:val="00597781"/>
    <w:rsid w:val="0059782B"/>
    <w:rsid w:val="0059784E"/>
    <w:rsid w:val="00597877"/>
    <w:rsid w:val="00597884"/>
    <w:rsid w:val="0059794F"/>
    <w:rsid w:val="00597968"/>
    <w:rsid w:val="00597995"/>
    <w:rsid w:val="005979F2"/>
    <w:rsid w:val="00597A0F"/>
    <w:rsid w:val="00597A2C"/>
    <w:rsid w:val="00597B8D"/>
    <w:rsid w:val="00597BC6"/>
    <w:rsid w:val="00597BF3"/>
    <w:rsid w:val="00597C11"/>
    <w:rsid w:val="00597C7C"/>
    <w:rsid w:val="00597C8B"/>
    <w:rsid w:val="00597CA3"/>
    <w:rsid w:val="00597CC5"/>
    <w:rsid w:val="00597CDE"/>
    <w:rsid w:val="00597D35"/>
    <w:rsid w:val="00597D4D"/>
    <w:rsid w:val="00597D6F"/>
    <w:rsid w:val="00597E16"/>
    <w:rsid w:val="00597EAF"/>
    <w:rsid w:val="00597F0B"/>
    <w:rsid w:val="00597F21"/>
    <w:rsid w:val="00597F61"/>
    <w:rsid w:val="00597F6E"/>
    <w:rsid w:val="00597F9D"/>
    <w:rsid w:val="00597FC1"/>
    <w:rsid w:val="00597FDD"/>
    <w:rsid w:val="005A000E"/>
    <w:rsid w:val="005A004D"/>
    <w:rsid w:val="005A005C"/>
    <w:rsid w:val="005A0084"/>
    <w:rsid w:val="005A0097"/>
    <w:rsid w:val="005A00F3"/>
    <w:rsid w:val="005A012D"/>
    <w:rsid w:val="005A01C8"/>
    <w:rsid w:val="005A0271"/>
    <w:rsid w:val="005A02AF"/>
    <w:rsid w:val="005A0350"/>
    <w:rsid w:val="005A0376"/>
    <w:rsid w:val="005A03D2"/>
    <w:rsid w:val="005A03F4"/>
    <w:rsid w:val="005A0408"/>
    <w:rsid w:val="005A040C"/>
    <w:rsid w:val="005A0423"/>
    <w:rsid w:val="005A0489"/>
    <w:rsid w:val="005A04B6"/>
    <w:rsid w:val="005A04BB"/>
    <w:rsid w:val="005A04D9"/>
    <w:rsid w:val="005A055F"/>
    <w:rsid w:val="005A05A6"/>
    <w:rsid w:val="005A05A8"/>
    <w:rsid w:val="005A05FD"/>
    <w:rsid w:val="005A0600"/>
    <w:rsid w:val="005A0646"/>
    <w:rsid w:val="005A0662"/>
    <w:rsid w:val="005A069A"/>
    <w:rsid w:val="005A06CF"/>
    <w:rsid w:val="005A06D0"/>
    <w:rsid w:val="005A06EB"/>
    <w:rsid w:val="005A06FE"/>
    <w:rsid w:val="005A0700"/>
    <w:rsid w:val="005A0732"/>
    <w:rsid w:val="005A073C"/>
    <w:rsid w:val="005A07BB"/>
    <w:rsid w:val="005A07EB"/>
    <w:rsid w:val="005A0812"/>
    <w:rsid w:val="005A0824"/>
    <w:rsid w:val="005A0830"/>
    <w:rsid w:val="005A087E"/>
    <w:rsid w:val="005A0887"/>
    <w:rsid w:val="005A08A2"/>
    <w:rsid w:val="005A08BD"/>
    <w:rsid w:val="005A0911"/>
    <w:rsid w:val="005A0915"/>
    <w:rsid w:val="005A0922"/>
    <w:rsid w:val="005A0930"/>
    <w:rsid w:val="005A0932"/>
    <w:rsid w:val="005A0964"/>
    <w:rsid w:val="005A097E"/>
    <w:rsid w:val="005A09BE"/>
    <w:rsid w:val="005A09EF"/>
    <w:rsid w:val="005A0A05"/>
    <w:rsid w:val="005A0A1A"/>
    <w:rsid w:val="005A0A1B"/>
    <w:rsid w:val="005A0A20"/>
    <w:rsid w:val="005A0A2F"/>
    <w:rsid w:val="005A0A39"/>
    <w:rsid w:val="005A0A8D"/>
    <w:rsid w:val="005A0A9D"/>
    <w:rsid w:val="005A0B04"/>
    <w:rsid w:val="005A0B26"/>
    <w:rsid w:val="005A0BBB"/>
    <w:rsid w:val="005A0C96"/>
    <w:rsid w:val="005A0C9A"/>
    <w:rsid w:val="005A0CA5"/>
    <w:rsid w:val="005A0CCD"/>
    <w:rsid w:val="005A0CE1"/>
    <w:rsid w:val="005A0CE2"/>
    <w:rsid w:val="005A0D00"/>
    <w:rsid w:val="005A0D02"/>
    <w:rsid w:val="005A0D04"/>
    <w:rsid w:val="005A0D5A"/>
    <w:rsid w:val="005A0E04"/>
    <w:rsid w:val="005A0E08"/>
    <w:rsid w:val="005A0E8D"/>
    <w:rsid w:val="005A0E9C"/>
    <w:rsid w:val="005A0EA3"/>
    <w:rsid w:val="005A0EEC"/>
    <w:rsid w:val="005A0F20"/>
    <w:rsid w:val="005A0F3D"/>
    <w:rsid w:val="005A0F57"/>
    <w:rsid w:val="005A0FA2"/>
    <w:rsid w:val="005A0FAC"/>
    <w:rsid w:val="005A1049"/>
    <w:rsid w:val="005A106B"/>
    <w:rsid w:val="005A113B"/>
    <w:rsid w:val="005A11D8"/>
    <w:rsid w:val="005A1270"/>
    <w:rsid w:val="005A1272"/>
    <w:rsid w:val="005A1276"/>
    <w:rsid w:val="005A12F7"/>
    <w:rsid w:val="005A136A"/>
    <w:rsid w:val="005A1372"/>
    <w:rsid w:val="005A137E"/>
    <w:rsid w:val="005A1389"/>
    <w:rsid w:val="005A13C2"/>
    <w:rsid w:val="005A13CA"/>
    <w:rsid w:val="005A13E3"/>
    <w:rsid w:val="005A1465"/>
    <w:rsid w:val="005A154C"/>
    <w:rsid w:val="005A1614"/>
    <w:rsid w:val="005A174B"/>
    <w:rsid w:val="005A174C"/>
    <w:rsid w:val="005A1753"/>
    <w:rsid w:val="005A17D9"/>
    <w:rsid w:val="005A17F0"/>
    <w:rsid w:val="005A1801"/>
    <w:rsid w:val="005A1862"/>
    <w:rsid w:val="005A186A"/>
    <w:rsid w:val="005A189E"/>
    <w:rsid w:val="005A18CE"/>
    <w:rsid w:val="005A18DC"/>
    <w:rsid w:val="005A191A"/>
    <w:rsid w:val="005A1931"/>
    <w:rsid w:val="005A1952"/>
    <w:rsid w:val="005A19D3"/>
    <w:rsid w:val="005A1A49"/>
    <w:rsid w:val="005A1ACF"/>
    <w:rsid w:val="005A1B27"/>
    <w:rsid w:val="005A1B92"/>
    <w:rsid w:val="005A1B94"/>
    <w:rsid w:val="005A1B9A"/>
    <w:rsid w:val="005A1C7D"/>
    <w:rsid w:val="005A1CAC"/>
    <w:rsid w:val="005A1CC9"/>
    <w:rsid w:val="005A1D1B"/>
    <w:rsid w:val="005A1D48"/>
    <w:rsid w:val="005A1D73"/>
    <w:rsid w:val="005A1DE0"/>
    <w:rsid w:val="005A1E2A"/>
    <w:rsid w:val="005A1E4B"/>
    <w:rsid w:val="005A1E77"/>
    <w:rsid w:val="005A1EC9"/>
    <w:rsid w:val="005A1F54"/>
    <w:rsid w:val="005A1F91"/>
    <w:rsid w:val="005A201E"/>
    <w:rsid w:val="005A203E"/>
    <w:rsid w:val="005A206E"/>
    <w:rsid w:val="005A2085"/>
    <w:rsid w:val="005A2125"/>
    <w:rsid w:val="005A2129"/>
    <w:rsid w:val="005A2141"/>
    <w:rsid w:val="005A2163"/>
    <w:rsid w:val="005A21BA"/>
    <w:rsid w:val="005A2227"/>
    <w:rsid w:val="005A2251"/>
    <w:rsid w:val="005A227A"/>
    <w:rsid w:val="005A22B2"/>
    <w:rsid w:val="005A22F4"/>
    <w:rsid w:val="005A243F"/>
    <w:rsid w:val="005A2486"/>
    <w:rsid w:val="005A24B8"/>
    <w:rsid w:val="005A24F5"/>
    <w:rsid w:val="005A2512"/>
    <w:rsid w:val="005A252A"/>
    <w:rsid w:val="005A256A"/>
    <w:rsid w:val="005A25C7"/>
    <w:rsid w:val="005A25D9"/>
    <w:rsid w:val="005A25E1"/>
    <w:rsid w:val="005A25E5"/>
    <w:rsid w:val="005A25E6"/>
    <w:rsid w:val="005A260F"/>
    <w:rsid w:val="005A2618"/>
    <w:rsid w:val="005A2623"/>
    <w:rsid w:val="005A2631"/>
    <w:rsid w:val="005A2635"/>
    <w:rsid w:val="005A266A"/>
    <w:rsid w:val="005A26D8"/>
    <w:rsid w:val="005A274E"/>
    <w:rsid w:val="005A276B"/>
    <w:rsid w:val="005A27A2"/>
    <w:rsid w:val="005A2804"/>
    <w:rsid w:val="005A280A"/>
    <w:rsid w:val="005A2817"/>
    <w:rsid w:val="005A281D"/>
    <w:rsid w:val="005A2886"/>
    <w:rsid w:val="005A28A6"/>
    <w:rsid w:val="005A28B2"/>
    <w:rsid w:val="005A28B7"/>
    <w:rsid w:val="005A28CC"/>
    <w:rsid w:val="005A28F6"/>
    <w:rsid w:val="005A2905"/>
    <w:rsid w:val="005A292D"/>
    <w:rsid w:val="005A293E"/>
    <w:rsid w:val="005A295D"/>
    <w:rsid w:val="005A2967"/>
    <w:rsid w:val="005A29E7"/>
    <w:rsid w:val="005A2A1A"/>
    <w:rsid w:val="005A2A2B"/>
    <w:rsid w:val="005A2A30"/>
    <w:rsid w:val="005A2A5A"/>
    <w:rsid w:val="005A2A83"/>
    <w:rsid w:val="005A2AE1"/>
    <w:rsid w:val="005A2B94"/>
    <w:rsid w:val="005A2B9E"/>
    <w:rsid w:val="005A2BCD"/>
    <w:rsid w:val="005A2BE2"/>
    <w:rsid w:val="005A2C8A"/>
    <w:rsid w:val="005A2C9D"/>
    <w:rsid w:val="005A2CBA"/>
    <w:rsid w:val="005A2CEF"/>
    <w:rsid w:val="005A2D91"/>
    <w:rsid w:val="005A2E1F"/>
    <w:rsid w:val="005A2E6C"/>
    <w:rsid w:val="005A2E75"/>
    <w:rsid w:val="005A2E7E"/>
    <w:rsid w:val="005A2EF2"/>
    <w:rsid w:val="005A2F06"/>
    <w:rsid w:val="005A2F1C"/>
    <w:rsid w:val="005A2F3B"/>
    <w:rsid w:val="005A2F71"/>
    <w:rsid w:val="005A2FEA"/>
    <w:rsid w:val="005A3010"/>
    <w:rsid w:val="005A3017"/>
    <w:rsid w:val="005A3055"/>
    <w:rsid w:val="005A307E"/>
    <w:rsid w:val="005A30E7"/>
    <w:rsid w:val="005A316A"/>
    <w:rsid w:val="005A31A0"/>
    <w:rsid w:val="005A31C7"/>
    <w:rsid w:val="005A3216"/>
    <w:rsid w:val="005A3218"/>
    <w:rsid w:val="005A3241"/>
    <w:rsid w:val="005A325E"/>
    <w:rsid w:val="005A32E9"/>
    <w:rsid w:val="005A32FB"/>
    <w:rsid w:val="005A337B"/>
    <w:rsid w:val="005A33D3"/>
    <w:rsid w:val="005A33E9"/>
    <w:rsid w:val="005A3401"/>
    <w:rsid w:val="005A340B"/>
    <w:rsid w:val="005A340C"/>
    <w:rsid w:val="005A3431"/>
    <w:rsid w:val="005A347F"/>
    <w:rsid w:val="005A3495"/>
    <w:rsid w:val="005A34D1"/>
    <w:rsid w:val="005A3508"/>
    <w:rsid w:val="005A350E"/>
    <w:rsid w:val="005A3579"/>
    <w:rsid w:val="005A35B0"/>
    <w:rsid w:val="005A35B3"/>
    <w:rsid w:val="005A3640"/>
    <w:rsid w:val="005A3660"/>
    <w:rsid w:val="005A369C"/>
    <w:rsid w:val="005A36A0"/>
    <w:rsid w:val="005A36F9"/>
    <w:rsid w:val="005A370C"/>
    <w:rsid w:val="005A3711"/>
    <w:rsid w:val="005A37B7"/>
    <w:rsid w:val="005A3817"/>
    <w:rsid w:val="005A38A9"/>
    <w:rsid w:val="005A38AC"/>
    <w:rsid w:val="005A38FA"/>
    <w:rsid w:val="005A3935"/>
    <w:rsid w:val="005A3943"/>
    <w:rsid w:val="005A3968"/>
    <w:rsid w:val="005A3992"/>
    <w:rsid w:val="005A39E1"/>
    <w:rsid w:val="005A3A60"/>
    <w:rsid w:val="005A3A63"/>
    <w:rsid w:val="005A3A7E"/>
    <w:rsid w:val="005A3AA4"/>
    <w:rsid w:val="005A3AE0"/>
    <w:rsid w:val="005A3B31"/>
    <w:rsid w:val="005A3B35"/>
    <w:rsid w:val="005A3B9F"/>
    <w:rsid w:val="005A3BB3"/>
    <w:rsid w:val="005A3BE6"/>
    <w:rsid w:val="005A3C66"/>
    <w:rsid w:val="005A3C7B"/>
    <w:rsid w:val="005A3C7F"/>
    <w:rsid w:val="005A3CAA"/>
    <w:rsid w:val="005A3CB0"/>
    <w:rsid w:val="005A3CFB"/>
    <w:rsid w:val="005A3D11"/>
    <w:rsid w:val="005A3D4E"/>
    <w:rsid w:val="005A3D92"/>
    <w:rsid w:val="005A3D99"/>
    <w:rsid w:val="005A3D9E"/>
    <w:rsid w:val="005A3DC4"/>
    <w:rsid w:val="005A3E47"/>
    <w:rsid w:val="005A3E7D"/>
    <w:rsid w:val="005A3EA7"/>
    <w:rsid w:val="005A3EAB"/>
    <w:rsid w:val="005A3EED"/>
    <w:rsid w:val="005A3F40"/>
    <w:rsid w:val="005A3F6B"/>
    <w:rsid w:val="005A3FD0"/>
    <w:rsid w:val="005A3FD6"/>
    <w:rsid w:val="005A4038"/>
    <w:rsid w:val="005A405B"/>
    <w:rsid w:val="005A405F"/>
    <w:rsid w:val="005A40BB"/>
    <w:rsid w:val="005A4117"/>
    <w:rsid w:val="005A41D0"/>
    <w:rsid w:val="005A41ED"/>
    <w:rsid w:val="005A4205"/>
    <w:rsid w:val="005A4270"/>
    <w:rsid w:val="005A42C6"/>
    <w:rsid w:val="005A42FC"/>
    <w:rsid w:val="005A4336"/>
    <w:rsid w:val="005A4346"/>
    <w:rsid w:val="005A436D"/>
    <w:rsid w:val="005A43A2"/>
    <w:rsid w:val="005A43ED"/>
    <w:rsid w:val="005A443A"/>
    <w:rsid w:val="005A444B"/>
    <w:rsid w:val="005A450E"/>
    <w:rsid w:val="005A458B"/>
    <w:rsid w:val="005A4597"/>
    <w:rsid w:val="005A45A9"/>
    <w:rsid w:val="005A463B"/>
    <w:rsid w:val="005A46B8"/>
    <w:rsid w:val="005A46E3"/>
    <w:rsid w:val="005A46EF"/>
    <w:rsid w:val="005A4721"/>
    <w:rsid w:val="005A47AF"/>
    <w:rsid w:val="005A47B5"/>
    <w:rsid w:val="005A47E1"/>
    <w:rsid w:val="005A47EF"/>
    <w:rsid w:val="005A4835"/>
    <w:rsid w:val="005A4852"/>
    <w:rsid w:val="005A4860"/>
    <w:rsid w:val="005A4918"/>
    <w:rsid w:val="005A492E"/>
    <w:rsid w:val="005A4950"/>
    <w:rsid w:val="005A496D"/>
    <w:rsid w:val="005A4989"/>
    <w:rsid w:val="005A499A"/>
    <w:rsid w:val="005A49C3"/>
    <w:rsid w:val="005A49D3"/>
    <w:rsid w:val="005A49FC"/>
    <w:rsid w:val="005A4A10"/>
    <w:rsid w:val="005A4A11"/>
    <w:rsid w:val="005A4A14"/>
    <w:rsid w:val="005A4A6A"/>
    <w:rsid w:val="005A4A7D"/>
    <w:rsid w:val="005A4A9C"/>
    <w:rsid w:val="005A4AB9"/>
    <w:rsid w:val="005A4ABC"/>
    <w:rsid w:val="005A4B80"/>
    <w:rsid w:val="005A4B81"/>
    <w:rsid w:val="005A4B8B"/>
    <w:rsid w:val="005A4BBA"/>
    <w:rsid w:val="005A4BC9"/>
    <w:rsid w:val="005A4BED"/>
    <w:rsid w:val="005A4C09"/>
    <w:rsid w:val="005A4C1D"/>
    <w:rsid w:val="005A4C3E"/>
    <w:rsid w:val="005A4C67"/>
    <w:rsid w:val="005A4C6A"/>
    <w:rsid w:val="005A4CF3"/>
    <w:rsid w:val="005A4D13"/>
    <w:rsid w:val="005A4D1F"/>
    <w:rsid w:val="005A4D36"/>
    <w:rsid w:val="005A4D9D"/>
    <w:rsid w:val="005A4E0F"/>
    <w:rsid w:val="005A4E3C"/>
    <w:rsid w:val="005A4E74"/>
    <w:rsid w:val="005A4E9E"/>
    <w:rsid w:val="005A4EC8"/>
    <w:rsid w:val="005A4EDD"/>
    <w:rsid w:val="005A4F1F"/>
    <w:rsid w:val="005A4F69"/>
    <w:rsid w:val="005A4F75"/>
    <w:rsid w:val="005A4FCA"/>
    <w:rsid w:val="005A5012"/>
    <w:rsid w:val="005A50B4"/>
    <w:rsid w:val="005A50E6"/>
    <w:rsid w:val="005A513E"/>
    <w:rsid w:val="005A514C"/>
    <w:rsid w:val="005A5150"/>
    <w:rsid w:val="005A5204"/>
    <w:rsid w:val="005A5207"/>
    <w:rsid w:val="005A521D"/>
    <w:rsid w:val="005A521E"/>
    <w:rsid w:val="005A522C"/>
    <w:rsid w:val="005A52D1"/>
    <w:rsid w:val="005A52F3"/>
    <w:rsid w:val="005A5376"/>
    <w:rsid w:val="005A5382"/>
    <w:rsid w:val="005A53AE"/>
    <w:rsid w:val="005A53CF"/>
    <w:rsid w:val="005A53FB"/>
    <w:rsid w:val="005A53FC"/>
    <w:rsid w:val="005A544F"/>
    <w:rsid w:val="005A5476"/>
    <w:rsid w:val="005A5494"/>
    <w:rsid w:val="005A54D8"/>
    <w:rsid w:val="005A5556"/>
    <w:rsid w:val="005A5576"/>
    <w:rsid w:val="005A55AB"/>
    <w:rsid w:val="005A55EA"/>
    <w:rsid w:val="005A55EC"/>
    <w:rsid w:val="005A5609"/>
    <w:rsid w:val="005A564B"/>
    <w:rsid w:val="005A56C9"/>
    <w:rsid w:val="005A56D1"/>
    <w:rsid w:val="005A5717"/>
    <w:rsid w:val="005A5752"/>
    <w:rsid w:val="005A5767"/>
    <w:rsid w:val="005A5793"/>
    <w:rsid w:val="005A57BE"/>
    <w:rsid w:val="005A57C3"/>
    <w:rsid w:val="005A5804"/>
    <w:rsid w:val="005A584F"/>
    <w:rsid w:val="005A589E"/>
    <w:rsid w:val="005A58B3"/>
    <w:rsid w:val="005A58CA"/>
    <w:rsid w:val="005A58E1"/>
    <w:rsid w:val="005A5903"/>
    <w:rsid w:val="005A5906"/>
    <w:rsid w:val="005A5926"/>
    <w:rsid w:val="005A5982"/>
    <w:rsid w:val="005A59D1"/>
    <w:rsid w:val="005A59F2"/>
    <w:rsid w:val="005A5A52"/>
    <w:rsid w:val="005A5A67"/>
    <w:rsid w:val="005A5A7A"/>
    <w:rsid w:val="005A5AC7"/>
    <w:rsid w:val="005A5B00"/>
    <w:rsid w:val="005A5B1A"/>
    <w:rsid w:val="005A5B5E"/>
    <w:rsid w:val="005A5B6B"/>
    <w:rsid w:val="005A5B7C"/>
    <w:rsid w:val="005A5BA8"/>
    <w:rsid w:val="005A5BD0"/>
    <w:rsid w:val="005A5C00"/>
    <w:rsid w:val="005A5C22"/>
    <w:rsid w:val="005A5C36"/>
    <w:rsid w:val="005A5C80"/>
    <w:rsid w:val="005A5D8F"/>
    <w:rsid w:val="005A5E5F"/>
    <w:rsid w:val="005A5E67"/>
    <w:rsid w:val="005A5E7D"/>
    <w:rsid w:val="005A5ED3"/>
    <w:rsid w:val="005A5EF2"/>
    <w:rsid w:val="005A5F26"/>
    <w:rsid w:val="005A601F"/>
    <w:rsid w:val="005A6030"/>
    <w:rsid w:val="005A604C"/>
    <w:rsid w:val="005A6060"/>
    <w:rsid w:val="005A6065"/>
    <w:rsid w:val="005A6070"/>
    <w:rsid w:val="005A607A"/>
    <w:rsid w:val="005A6103"/>
    <w:rsid w:val="005A6125"/>
    <w:rsid w:val="005A612A"/>
    <w:rsid w:val="005A612D"/>
    <w:rsid w:val="005A6133"/>
    <w:rsid w:val="005A61BD"/>
    <w:rsid w:val="005A61DE"/>
    <w:rsid w:val="005A6220"/>
    <w:rsid w:val="005A6270"/>
    <w:rsid w:val="005A62FB"/>
    <w:rsid w:val="005A636F"/>
    <w:rsid w:val="005A63AD"/>
    <w:rsid w:val="005A63D1"/>
    <w:rsid w:val="005A6453"/>
    <w:rsid w:val="005A64B5"/>
    <w:rsid w:val="005A64CD"/>
    <w:rsid w:val="005A659A"/>
    <w:rsid w:val="005A663E"/>
    <w:rsid w:val="005A6660"/>
    <w:rsid w:val="005A6682"/>
    <w:rsid w:val="005A6686"/>
    <w:rsid w:val="005A66F7"/>
    <w:rsid w:val="005A6705"/>
    <w:rsid w:val="005A67D7"/>
    <w:rsid w:val="005A67DB"/>
    <w:rsid w:val="005A67F6"/>
    <w:rsid w:val="005A6805"/>
    <w:rsid w:val="005A684F"/>
    <w:rsid w:val="005A68A7"/>
    <w:rsid w:val="005A68BD"/>
    <w:rsid w:val="005A68C9"/>
    <w:rsid w:val="005A68F2"/>
    <w:rsid w:val="005A6931"/>
    <w:rsid w:val="005A6936"/>
    <w:rsid w:val="005A6999"/>
    <w:rsid w:val="005A69AC"/>
    <w:rsid w:val="005A69D6"/>
    <w:rsid w:val="005A6A16"/>
    <w:rsid w:val="005A6A26"/>
    <w:rsid w:val="005A6A3B"/>
    <w:rsid w:val="005A6A41"/>
    <w:rsid w:val="005A6A4F"/>
    <w:rsid w:val="005A6A57"/>
    <w:rsid w:val="005A6A8B"/>
    <w:rsid w:val="005A6AF4"/>
    <w:rsid w:val="005A6BB1"/>
    <w:rsid w:val="005A6C16"/>
    <w:rsid w:val="005A6C2A"/>
    <w:rsid w:val="005A6C3B"/>
    <w:rsid w:val="005A6C67"/>
    <w:rsid w:val="005A6C77"/>
    <w:rsid w:val="005A6CCE"/>
    <w:rsid w:val="005A6D23"/>
    <w:rsid w:val="005A6D84"/>
    <w:rsid w:val="005A6DCB"/>
    <w:rsid w:val="005A6E1C"/>
    <w:rsid w:val="005A6E62"/>
    <w:rsid w:val="005A6E72"/>
    <w:rsid w:val="005A6E83"/>
    <w:rsid w:val="005A6EED"/>
    <w:rsid w:val="005A6F15"/>
    <w:rsid w:val="005A6F46"/>
    <w:rsid w:val="005A6F47"/>
    <w:rsid w:val="005A6F99"/>
    <w:rsid w:val="005A6FA3"/>
    <w:rsid w:val="005A6FAB"/>
    <w:rsid w:val="005A7031"/>
    <w:rsid w:val="005A7043"/>
    <w:rsid w:val="005A7079"/>
    <w:rsid w:val="005A7081"/>
    <w:rsid w:val="005A70A7"/>
    <w:rsid w:val="005A70AF"/>
    <w:rsid w:val="005A70BD"/>
    <w:rsid w:val="005A70BF"/>
    <w:rsid w:val="005A70D6"/>
    <w:rsid w:val="005A713A"/>
    <w:rsid w:val="005A7148"/>
    <w:rsid w:val="005A7171"/>
    <w:rsid w:val="005A718F"/>
    <w:rsid w:val="005A71B2"/>
    <w:rsid w:val="005A71C0"/>
    <w:rsid w:val="005A71C6"/>
    <w:rsid w:val="005A71E3"/>
    <w:rsid w:val="005A722D"/>
    <w:rsid w:val="005A7236"/>
    <w:rsid w:val="005A725C"/>
    <w:rsid w:val="005A7294"/>
    <w:rsid w:val="005A7295"/>
    <w:rsid w:val="005A72A5"/>
    <w:rsid w:val="005A731D"/>
    <w:rsid w:val="005A7397"/>
    <w:rsid w:val="005A741C"/>
    <w:rsid w:val="005A7441"/>
    <w:rsid w:val="005A7447"/>
    <w:rsid w:val="005A74FC"/>
    <w:rsid w:val="005A7519"/>
    <w:rsid w:val="005A75EB"/>
    <w:rsid w:val="005A75EC"/>
    <w:rsid w:val="005A7611"/>
    <w:rsid w:val="005A7636"/>
    <w:rsid w:val="005A76AF"/>
    <w:rsid w:val="005A7750"/>
    <w:rsid w:val="005A7755"/>
    <w:rsid w:val="005A77A0"/>
    <w:rsid w:val="005A7833"/>
    <w:rsid w:val="005A7835"/>
    <w:rsid w:val="005A7861"/>
    <w:rsid w:val="005A7924"/>
    <w:rsid w:val="005A796C"/>
    <w:rsid w:val="005A7996"/>
    <w:rsid w:val="005A7A87"/>
    <w:rsid w:val="005A7ADF"/>
    <w:rsid w:val="005A7B50"/>
    <w:rsid w:val="005A7BA7"/>
    <w:rsid w:val="005A7BCF"/>
    <w:rsid w:val="005A7BF9"/>
    <w:rsid w:val="005A7C2E"/>
    <w:rsid w:val="005A7C9D"/>
    <w:rsid w:val="005A7D91"/>
    <w:rsid w:val="005A7DD1"/>
    <w:rsid w:val="005A7DF4"/>
    <w:rsid w:val="005A7DFE"/>
    <w:rsid w:val="005A7E11"/>
    <w:rsid w:val="005A7E2E"/>
    <w:rsid w:val="005A7E78"/>
    <w:rsid w:val="005A7E99"/>
    <w:rsid w:val="005A7F14"/>
    <w:rsid w:val="005A7F75"/>
    <w:rsid w:val="005A7F7D"/>
    <w:rsid w:val="005A7FB4"/>
    <w:rsid w:val="005B002F"/>
    <w:rsid w:val="005B0080"/>
    <w:rsid w:val="005B0128"/>
    <w:rsid w:val="005B014F"/>
    <w:rsid w:val="005B01AA"/>
    <w:rsid w:val="005B0245"/>
    <w:rsid w:val="005B024F"/>
    <w:rsid w:val="005B027F"/>
    <w:rsid w:val="005B02A2"/>
    <w:rsid w:val="005B02B9"/>
    <w:rsid w:val="005B02E7"/>
    <w:rsid w:val="005B0301"/>
    <w:rsid w:val="005B03E9"/>
    <w:rsid w:val="005B0435"/>
    <w:rsid w:val="005B0476"/>
    <w:rsid w:val="005B049B"/>
    <w:rsid w:val="005B04CF"/>
    <w:rsid w:val="005B04E6"/>
    <w:rsid w:val="005B04ED"/>
    <w:rsid w:val="005B053B"/>
    <w:rsid w:val="005B0571"/>
    <w:rsid w:val="005B0616"/>
    <w:rsid w:val="005B062C"/>
    <w:rsid w:val="005B0639"/>
    <w:rsid w:val="005B0658"/>
    <w:rsid w:val="005B066C"/>
    <w:rsid w:val="005B0690"/>
    <w:rsid w:val="005B06B2"/>
    <w:rsid w:val="005B06E1"/>
    <w:rsid w:val="005B06FE"/>
    <w:rsid w:val="005B0705"/>
    <w:rsid w:val="005B0791"/>
    <w:rsid w:val="005B07BF"/>
    <w:rsid w:val="005B07D4"/>
    <w:rsid w:val="005B07F3"/>
    <w:rsid w:val="005B0807"/>
    <w:rsid w:val="005B0824"/>
    <w:rsid w:val="005B0835"/>
    <w:rsid w:val="005B0842"/>
    <w:rsid w:val="005B085F"/>
    <w:rsid w:val="005B0871"/>
    <w:rsid w:val="005B0890"/>
    <w:rsid w:val="005B08DA"/>
    <w:rsid w:val="005B0945"/>
    <w:rsid w:val="005B095A"/>
    <w:rsid w:val="005B0965"/>
    <w:rsid w:val="005B097B"/>
    <w:rsid w:val="005B09A3"/>
    <w:rsid w:val="005B09C1"/>
    <w:rsid w:val="005B0A2E"/>
    <w:rsid w:val="005B0A6E"/>
    <w:rsid w:val="005B0A91"/>
    <w:rsid w:val="005B0ADB"/>
    <w:rsid w:val="005B0B56"/>
    <w:rsid w:val="005B0B7E"/>
    <w:rsid w:val="005B0B93"/>
    <w:rsid w:val="005B0BC7"/>
    <w:rsid w:val="005B0BD0"/>
    <w:rsid w:val="005B0C08"/>
    <w:rsid w:val="005B0C2C"/>
    <w:rsid w:val="005B0C3C"/>
    <w:rsid w:val="005B0C66"/>
    <w:rsid w:val="005B0C84"/>
    <w:rsid w:val="005B0CBB"/>
    <w:rsid w:val="005B0D3B"/>
    <w:rsid w:val="005B0D50"/>
    <w:rsid w:val="005B0D82"/>
    <w:rsid w:val="005B0D9D"/>
    <w:rsid w:val="005B0DCA"/>
    <w:rsid w:val="005B0DF2"/>
    <w:rsid w:val="005B0DFE"/>
    <w:rsid w:val="005B0E7A"/>
    <w:rsid w:val="005B0ED7"/>
    <w:rsid w:val="005B0EF4"/>
    <w:rsid w:val="005B0F00"/>
    <w:rsid w:val="005B0F8C"/>
    <w:rsid w:val="005B0FE5"/>
    <w:rsid w:val="005B0FEE"/>
    <w:rsid w:val="005B1006"/>
    <w:rsid w:val="005B1057"/>
    <w:rsid w:val="005B10A7"/>
    <w:rsid w:val="005B10D3"/>
    <w:rsid w:val="005B10F7"/>
    <w:rsid w:val="005B1107"/>
    <w:rsid w:val="005B1117"/>
    <w:rsid w:val="005B114E"/>
    <w:rsid w:val="005B1176"/>
    <w:rsid w:val="005B121C"/>
    <w:rsid w:val="005B1266"/>
    <w:rsid w:val="005B12A4"/>
    <w:rsid w:val="005B12CB"/>
    <w:rsid w:val="005B12D9"/>
    <w:rsid w:val="005B1358"/>
    <w:rsid w:val="005B137C"/>
    <w:rsid w:val="005B13C8"/>
    <w:rsid w:val="005B1463"/>
    <w:rsid w:val="005B1485"/>
    <w:rsid w:val="005B1490"/>
    <w:rsid w:val="005B14C7"/>
    <w:rsid w:val="005B151A"/>
    <w:rsid w:val="005B1547"/>
    <w:rsid w:val="005B1591"/>
    <w:rsid w:val="005B164E"/>
    <w:rsid w:val="005B16E0"/>
    <w:rsid w:val="005B16F5"/>
    <w:rsid w:val="005B1801"/>
    <w:rsid w:val="005B182E"/>
    <w:rsid w:val="005B1855"/>
    <w:rsid w:val="005B1872"/>
    <w:rsid w:val="005B18ED"/>
    <w:rsid w:val="005B18F0"/>
    <w:rsid w:val="005B1929"/>
    <w:rsid w:val="005B192C"/>
    <w:rsid w:val="005B194B"/>
    <w:rsid w:val="005B1978"/>
    <w:rsid w:val="005B1A05"/>
    <w:rsid w:val="005B1A5C"/>
    <w:rsid w:val="005B1A81"/>
    <w:rsid w:val="005B1AD4"/>
    <w:rsid w:val="005B1B01"/>
    <w:rsid w:val="005B1B0A"/>
    <w:rsid w:val="005B1B29"/>
    <w:rsid w:val="005B1B5E"/>
    <w:rsid w:val="005B1BA6"/>
    <w:rsid w:val="005B1C2A"/>
    <w:rsid w:val="005B1C34"/>
    <w:rsid w:val="005B1C38"/>
    <w:rsid w:val="005B1C83"/>
    <w:rsid w:val="005B1CB1"/>
    <w:rsid w:val="005B1D10"/>
    <w:rsid w:val="005B1D13"/>
    <w:rsid w:val="005B1D60"/>
    <w:rsid w:val="005B1D75"/>
    <w:rsid w:val="005B1D98"/>
    <w:rsid w:val="005B1DDA"/>
    <w:rsid w:val="005B1DFC"/>
    <w:rsid w:val="005B1E42"/>
    <w:rsid w:val="005B1E4F"/>
    <w:rsid w:val="005B1E5D"/>
    <w:rsid w:val="005B1E8E"/>
    <w:rsid w:val="005B1EEC"/>
    <w:rsid w:val="005B1EFB"/>
    <w:rsid w:val="005B1F42"/>
    <w:rsid w:val="005B1F65"/>
    <w:rsid w:val="005B1F7B"/>
    <w:rsid w:val="005B1F86"/>
    <w:rsid w:val="005B1FDE"/>
    <w:rsid w:val="005B2026"/>
    <w:rsid w:val="005B202B"/>
    <w:rsid w:val="005B2030"/>
    <w:rsid w:val="005B206F"/>
    <w:rsid w:val="005B2079"/>
    <w:rsid w:val="005B20CB"/>
    <w:rsid w:val="005B2179"/>
    <w:rsid w:val="005B217C"/>
    <w:rsid w:val="005B221C"/>
    <w:rsid w:val="005B2239"/>
    <w:rsid w:val="005B223F"/>
    <w:rsid w:val="005B225C"/>
    <w:rsid w:val="005B2272"/>
    <w:rsid w:val="005B228D"/>
    <w:rsid w:val="005B22A9"/>
    <w:rsid w:val="005B22B2"/>
    <w:rsid w:val="005B22E0"/>
    <w:rsid w:val="005B235F"/>
    <w:rsid w:val="005B2366"/>
    <w:rsid w:val="005B2382"/>
    <w:rsid w:val="005B2383"/>
    <w:rsid w:val="005B2397"/>
    <w:rsid w:val="005B2400"/>
    <w:rsid w:val="005B2445"/>
    <w:rsid w:val="005B251C"/>
    <w:rsid w:val="005B2526"/>
    <w:rsid w:val="005B2538"/>
    <w:rsid w:val="005B253D"/>
    <w:rsid w:val="005B2623"/>
    <w:rsid w:val="005B2633"/>
    <w:rsid w:val="005B266B"/>
    <w:rsid w:val="005B268A"/>
    <w:rsid w:val="005B2718"/>
    <w:rsid w:val="005B273B"/>
    <w:rsid w:val="005B273E"/>
    <w:rsid w:val="005B274B"/>
    <w:rsid w:val="005B2763"/>
    <w:rsid w:val="005B2797"/>
    <w:rsid w:val="005B27C5"/>
    <w:rsid w:val="005B27DC"/>
    <w:rsid w:val="005B2824"/>
    <w:rsid w:val="005B2840"/>
    <w:rsid w:val="005B28D9"/>
    <w:rsid w:val="005B28F4"/>
    <w:rsid w:val="005B28FF"/>
    <w:rsid w:val="005B2911"/>
    <w:rsid w:val="005B299F"/>
    <w:rsid w:val="005B2A63"/>
    <w:rsid w:val="005B2AAF"/>
    <w:rsid w:val="005B2ACF"/>
    <w:rsid w:val="005B2AD6"/>
    <w:rsid w:val="005B2AF8"/>
    <w:rsid w:val="005B2B22"/>
    <w:rsid w:val="005B2B7D"/>
    <w:rsid w:val="005B2B93"/>
    <w:rsid w:val="005B2BB7"/>
    <w:rsid w:val="005B2C20"/>
    <w:rsid w:val="005B2C2A"/>
    <w:rsid w:val="005B2C80"/>
    <w:rsid w:val="005B2CAA"/>
    <w:rsid w:val="005B2CB3"/>
    <w:rsid w:val="005B2CB9"/>
    <w:rsid w:val="005B2CD8"/>
    <w:rsid w:val="005B2D0E"/>
    <w:rsid w:val="005B2D10"/>
    <w:rsid w:val="005B2D6E"/>
    <w:rsid w:val="005B2D70"/>
    <w:rsid w:val="005B2D7C"/>
    <w:rsid w:val="005B2DBC"/>
    <w:rsid w:val="005B2DCE"/>
    <w:rsid w:val="005B2DEA"/>
    <w:rsid w:val="005B2E18"/>
    <w:rsid w:val="005B2E36"/>
    <w:rsid w:val="005B2E51"/>
    <w:rsid w:val="005B2EC4"/>
    <w:rsid w:val="005B2EF2"/>
    <w:rsid w:val="005B2F10"/>
    <w:rsid w:val="005B2F51"/>
    <w:rsid w:val="005B2F5A"/>
    <w:rsid w:val="005B2F67"/>
    <w:rsid w:val="005B2F7D"/>
    <w:rsid w:val="005B2F8A"/>
    <w:rsid w:val="005B2FC9"/>
    <w:rsid w:val="005B2FD5"/>
    <w:rsid w:val="005B2FFB"/>
    <w:rsid w:val="005B3043"/>
    <w:rsid w:val="005B308A"/>
    <w:rsid w:val="005B309B"/>
    <w:rsid w:val="005B30A4"/>
    <w:rsid w:val="005B30AC"/>
    <w:rsid w:val="005B30BB"/>
    <w:rsid w:val="005B3156"/>
    <w:rsid w:val="005B316C"/>
    <w:rsid w:val="005B3208"/>
    <w:rsid w:val="005B32C3"/>
    <w:rsid w:val="005B3349"/>
    <w:rsid w:val="005B3372"/>
    <w:rsid w:val="005B33AB"/>
    <w:rsid w:val="005B33E1"/>
    <w:rsid w:val="005B343C"/>
    <w:rsid w:val="005B34A2"/>
    <w:rsid w:val="005B34B5"/>
    <w:rsid w:val="005B3537"/>
    <w:rsid w:val="005B353A"/>
    <w:rsid w:val="005B3548"/>
    <w:rsid w:val="005B3561"/>
    <w:rsid w:val="005B3562"/>
    <w:rsid w:val="005B358A"/>
    <w:rsid w:val="005B35B0"/>
    <w:rsid w:val="005B35DE"/>
    <w:rsid w:val="005B35EA"/>
    <w:rsid w:val="005B360B"/>
    <w:rsid w:val="005B36C0"/>
    <w:rsid w:val="005B36EF"/>
    <w:rsid w:val="005B36F2"/>
    <w:rsid w:val="005B3700"/>
    <w:rsid w:val="005B371C"/>
    <w:rsid w:val="005B3734"/>
    <w:rsid w:val="005B375F"/>
    <w:rsid w:val="005B3793"/>
    <w:rsid w:val="005B37B7"/>
    <w:rsid w:val="005B37CA"/>
    <w:rsid w:val="005B3812"/>
    <w:rsid w:val="005B3829"/>
    <w:rsid w:val="005B3859"/>
    <w:rsid w:val="005B3868"/>
    <w:rsid w:val="005B3899"/>
    <w:rsid w:val="005B3A42"/>
    <w:rsid w:val="005B3A57"/>
    <w:rsid w:val="005B3A68"/>
    <w:rsid w:val="005B3A74"/>
    <w:rsid w:val="005B3AD3"/>
    <w:rsid w:val="005B3B51"/>
    <w:rsid w:val="005B3B9F"/>
    <w:rsid w:val="005B3BF1"/>
    <w:rsid w:val="005B3C02"/>
    <w:rsid w:val="005B3C3C"/>
    <w:rsid w:val="005B3C3E"/>
    <w:rsid w:val="005B3C5B"/>
    <w:rsid w:val="005B3C63"/>
    <w:rsid w:val="005B3C99"/>
    <w:rsid w:val="005B3CE0"/>
    <w:rsid w:val="005B3CEC"/>
    <w:rsid w:val="005B3D7F"/>
    <w:rsid w:val="005B3D8B"/>
    <w:rsid w:val="005B3D96"/>
    <w:rsid w:val="005B3DC7"/>
    <w:rsid w:val="005B3DCE"/>
    <w:rsid w:val="005B3DF3"/>
    <w:rsid w:val="005B3DFF"/>
    <w:rsid w:val="005B3E06"/>
    <w:rsid w:val="005B3E3A"/>
    <w:rsid w:val="005B3E53"/>
    <w:rsid w:val="005B3E73"/>
    <w:rsid w:val="005B3E80"/>
    <w:rsid w:val="005B3E81"/>
    <w:rsid w:val="005B3EA0"/>
    <w:rsid w:val="005B3EB6"/>
    <w:rsid w:val="005B3F68"/>
    <w:rsid w:val="005B3F9A"/>
    <w:rsid w:val="005B3FB4"/>
    <w:rsid w:val="005B3FED"/>
    <w:rsid w:val="005B4096"/>
    <w:rsid w:val="005B40A9"/>
    <w:rsid w:val="005B40B5"/>
    <w:rsid w:val="005B40E4"/>
    <w:rsid w:val="005B4130"/>
    <w:rsid w:val="005B418F"/>
    <w:rsid w:val="005B41A1"/>
    <w:rsid w:val="005B41A8"/>
    <w:rsid w:val="005B4226"/>
    <w:rsid w:val="005B4234"/>
    <w:rsid w:val="005B4255"/>
    <w:rsid w:val="005B4256"/>
    <w:rsid w:val="005B4265"/>
    <w:rsid w:val="005B426F"/>
    <w:rsid w:val="005B42B4"/>
    <w:rsid w:val="005B42CF"/>
    <w:rsid w:val="005B42EC"/>
    <w:rsid w:val="005B42F9"/>
    <w:rsid w:val="005B437F"/>
    <w:rsid w:val="005B43AA"/>
    <w:rsid w:val="005B43C0"/>
    <w:rsid w:val="005B4478"/>
    <w:rsid w:val="005B447B"/>
    <w:rsid w:val="005B44E0"/>
    <w:rsid w:val="005B44F0"/>
    <w:rsid w:val="005B4507"/>
    <w:rsid w:val="005B4546"/>
    <w:rsid w:val="005B45A0"/>
    <w:rsid w:val="005B45C4"/>
    <w:rsid w:val="005B4619"/>
    <w:rsid w:val="005B463C"/>
    <w:rsid w:val="005B4664"/>
    <w:rsid w:val="005B46DB"/>
    <w:rsid w:val="005B479E"/>
    <w:rsid w:val="005B47F8"/>
    <w:rsid w:val="005B4801"/>
    <w:rsid w:val="005B4814"/>
    <w:rsid w:val="005B4830"/>
    <w:rsid w:val="005B4881"/>
    <w:rsid w:val="005B488F"/>
    <w:rsid w:val="005B48D0"/>
    <w:rsid w:val="005B4945"/>
    <w:rsid w:val="005B499F"/>
    <w:rsid w:val="005B49FF"/>
    <w:rsid w:val="005B4A8F"/>
    <w:rsid w:val="005B4ADA"/>
    <w:rsid w:val="005B4ADB"/>
    <w:rsid w:val="005B4B00"/>
    <w:rsid w:val="005B4B4E"/>
    <w:rsid w:val="005B4B5A"/>
    <w:rsid w:val="005B4BCC"/>
    <w:rsid w:val="005B4BE7"/>
    <w:rsid w:val="005B4C56"/>
    <w:rsid w:val="005B4C6B"/>
    <w:rsid w:val="005B4CA2"/>
    <w:rsid w:val="005B4D5E"/>
    <w:rsid w:val="005B4D8C"/>
    <w:rsid w:val="005B4DB4"/>
    <w:rsid w:val="005B4DCF"/>
    <w:rsid w:val="005B4DD8"/>
    <w:rsid w:val="005B4E0E"/>
    <w:rsid w:val="005B4E5D"/>
    <w:rsid w:val="005B4F6C"/>
    <w:rsid w:val="005B4F71"/>
    <w:rsid w:val="005B4F9A"/>
    <w:rsid w:val="005B4FE3"/>
    <w:rsid w:val="005B503C"/>
    <w:rsid w:val="005B5055"/>
    <w:rsid w:val="005B5083"/>
    <w:rsid w:val="005B508F"/>
    <w:rsid w:val="005B509D"/>
    <w:rsid w:val="005B50C4"/>
    <w:rsid w:val="005B50C8"/>
    <w:rsid w:val="005B50FC"/>
    <w:rsid w:val="005B5115"/>
    <w:rsid w:val="005B5116"/>
    <w:rsid w:val="005B51A5"/>
    <w:rsid w:val="005B51C2"/>
    <w:rsid w:val="005B5222"/>
    <w:rsid w:val="005B523E"/>
    <w:rsid w:val="005B526F"/>
    <w:rsid w:val="005B52DD"/>
    <w:rsid w:val="005B5303"/>
    <w:rsid w:val="005B534F"/>
    <w:rsid w:val="005B535B"/>
    <w:rsid w:val="005B539A"/>
    <w:rsid w:val="005B53A7"/>
    <w:rsid w:val="005B53A8"/>
    <w:rsid w:val="005B53C9"/>
    <w:rsid w:val="005B53D7"/>
    <w:rsid w:val="005B541E"/>
    <w:rsid w:val="005B5443"/>
    <w:rsid w:val="005B5444"/>
    <w:rsid w:val="005B546A"/>
    <w:rsid w:val="005B54A4"/>
    <w:rsid w:val="005B550C"/>
    <w:rsid w:val="005B5567"/>
    <w:rsid w:val="005B557B"/>
    <w:rsid w:val="005B5628"/>
    <w:rsid w:val="005B5654"/>
    <w:rsid w:val="005B5672"/>
    <w:rsid w:val="005B567D"/>
    <w:rsid w:val="005B5692"/>
    <w:rsid w:val="005B56B1"/>
    <w:rsid w:val="005B5755"/>
    <w:rsid w:val="005B57CF"/>
    <w:rsid w:val="005B57DA"/>
    <w:rsid w:val="005B584B"/>
    <w:rsid w:val="005B5881"/>
    <w:rsid w:val="005B588E"/>
    <w:rsid w:val="005B58A7"/>
    <w:rsid w:val="005B58B4"/>
    <w:rsid w:val="005B58BD"/>
    <w:rsid w:val="005B5932"/>
    <w:rsid w:val="005B5947"/>
    <w:rsid w:val="005B5965"/>
    <w:rsid w:val="005B5997"/>
    <w:rsid w:val="005B5A0B"/>
    <w:rsid w:val="005B5A1F"/>
    <w:rsid w:val="005B5A25"/>
    <w:rsid w:val="005B5A54"/>
    <w:rsid w:val="005B5AAD"/>
    <w:rsid w:val="005B5AAE"/>
    <w:rsid w:val="005B5AE2"/>
    <w:rsid w:val="005B5B0B"/>
    <w:rsid w:val="005B5B19"/>
    <w:rsid w:val="005B5B7D"/>
    <w:rsid w:val="005B5B9E"/>
    <w:rsid w:val="005B5BAD"/>
    <w:rsid w:val="005B5BCA"/>
    <w:rsid w:val="005B5C03"/>
    <w:rsid w:val="005B5C14"/>
    <w:rsid w:val="005B5C1A"/>
    <w:rsid w:val="005B5C5D"/>
    <w:rsid w:val="005B5DA5"/>
    <w:rsid w:val="005B5DC0"/>
    <w:rsid w:val="005B5DC7"/>
    <w:rsid w:val="005B5DF9"/>
    <w:rsid w:val="005B5DFC"/>
    <w:rsid w:val="005B5E03"/>
    <w:rsid w:val="005B5E69"/>
    <w:rsid w:val="005B5E93"/>
    <w:rsid w:val="005B5EAD"/>
    <w:rsid w:val="005B5EC7"/>
    <w:rsid w:val="005B5F1D"/>
    <w:rsid w:val="005B5F47"/>
    <w:rsid w:val="005B5F8B"/>
    <w:rsid w:val="005B5F90"/>
    <w:rsid w:val="005B5F9F"/>
    <w:rsid w:val="005B6004"/>
    <w:rsid w:val="005B6032"/>
    <w:rsid w:val="005B604C"/>
    <w:rsid w:val="005B60A0"/>
    <w:rsid w:val="005B60D9"/>
    <w:rsid w:val="005B611F"/>
    <w:rsid w:val="005B6186"/>
    <w:rsid w:val="005B61F4"/>
    <w:rsid w:val="005B61FA"/>
    <w:rsid w:val="005B6245"/>
    <w:rsid w:val="005B624B"/>
    <w:rsid w:val="005B6264"/>
    <w:rsid w:val="005B6277"/>
    <w:rsid w:val="005B62B4"/>
    <w:rsid w:val="005B6310"/>
    <w:rsid w:val="005B6319"/>
    <w:rsid w:val="005B6344"/>
    <w:rsid w:val="005B637B"/>
    <w:rsid w:val="005B637D"/>
    <w:rsid w:val="005B637E"/>
    <w:rsid w:val="005B63B6"/>
    <w:rsid w:val="005B641D"/>
    <w:rsid w:val="005B646E"/>
    <w:rsid w:val="005B64B7"/>
    <w:rsid w:val="005B64CA"/>
    <w:rsid w:val="005B64E0"/>
    <w:rsid w:val="005B64FF"/>
    <w:rsid w:val="005B650C"/>
    <w:rsid w:val="005B6536"/>
    <w:rsid w:val="005B6543"/>
    <w:rsid w:val="005B6573"/>
    <w:rsid w:val="005B6584"/>
    <w:rsid w:val="005B65D4"/>
    <w:rsid w:val="005B664F"/>
    <w:rsid w:val="005B6675"/>
    <w:rsid w:val="005B6687"/>
    <w:rsid w:val="005B66E3"/>
    <w:rsid w:val="005B66E4"/>
    <w:rsid w:val="005B66E8"/>
    <w:rsid w:val="005B6700"/>
    <w:rsid w:val="005B6701"/>
    <w:rsid w:val="005B6706"/>
    <w:rsid w:val="005B6716"/>
    <w:rsid w:val="005B6750"/>
    <w:rsid w:val="005B6759"/>
    <w:rsid w:val="005B677A"/>
    <w:rsid w:val="005B6781"/>
    <w:rsid w:val="005B6820"/>
    <w:rsid w:val="005B682E"/>
    <w:rsid w:val="005B683E"/>
    <w:rsid w:val="005B6840"/>
    <w:rsid w:val="005B688E"/>
    <w:rsid w:val="005B68CF"/>
    <w:rsid w:val="005B696C"/>
    <w:rsid w:val="005B6978"/>
    <w:rsid w:val="005B6A18"/>
    <w:rsid w:val="005B6A27"/>
    <w:rsid w:val="005B6A58"/>
    <w:rsid w:val="005B6A63"/>
    <w:rsid w:val="005B6A76"/>
    <w:rsid w:val="005B6AD9"/>
    <w:rsid w:val="005B6AF3"/>
    <w:rsid w:val="005B6B54"/>
    <w:rsid w:val="005B6BC7"/>
    <w:rsid w:val="005B6C07"/>
    <w:rsid w:val="005B6C08"/>
    <w:rsid w:val="005B6C71"/>
    <w:rsid w:val="005B6C8F"/>
    <w:rsid w:val="005B6CB6"/>
    <w:rsid w:val="005B6D0E"/>
    <w:rsid w:val="005B6D12"/>
    <w:rsid w:val="005B6D32"/>
    <w:rsid w:val="005B6D3F"/>
    <w:rsid w:val="005B6D9E"/>
    <w:rsid w:val="005B6DBE"/>
    <w:rsid w:val="005B6ECC"/>
    <w:rsid w:val="005B6F4B"/>
    <w:rsid w:val="005B6F69"/>
    <w:rsid w:val="005B6F6B"/>
    <w:rsid w:val="005B6F95"/>
    <w:rsid w:val="005B700D"/>
    <w:rsid w:val="005B702F"/>
    <w:rsid w:val="005B7053"/>
    <w:rsid w:val="005B7075"/>
    <w:rsid w:val="005B70E9"/>
    <w:rsid w:val="005B7117"/>
    <w:rsid w:val="005B711E"/>
    <w:rsid w:val="005B7127"/>
    <w:rsid w:val="005B712B"/>
    <w:rsid w:val="005B7199"/>
    <w:rsid w:val="005B719C"/>
    <w:rsid w:val="005B71C5"/>
    <w:rsid w:val="005B71E6"/>
    <w:rsid w:val="005B7200"/>
    <w:rsid w:val="005B7214"/>
    <w:rsid w:val="005B7239"/>
    <w:rsid w:val="005B7248"/>
    <w:rsid w:val="005B728D"/>
    <w:rsid w:val="005B7291"/>
    <w:rsid w:val="005B7299"/>
    <w:rsid w:val="005B72AB"/>
    <w:rsid w:val="005B72BF"/>
    <w:rsid w:val="005B733A"/>
    <w:rsid w:val="005B736E"/>
    <w:rsid w:val="005B73AB"/>
    <w:rsid w:val="005B73C6"/>
    <w:rsid w:val="005B73E4"/>
    <w:rsid w:val="005B7409"/>
    <w:rsid w:val="005B74CB"/>
    <w:rsid w:val="005B7512"/>
    <w:rsid w:val="005B7530"/>
    <w:rsid w:val="005B75AB"/>
    <w:rsid w:val="005B75B1"/>
    <w:rsid w:val="005B75B7"/>
    <w:rsid w:val="005B76BA"/>
    <w:rsid w:val="005B76F6"/>
    <w:rsid w:val="005B7736"/>
    <w:rsid w:val="005B773C"/>
    <w:rsid w:val="005B77B9"/>
    <w:rsid w:val="005B7807"/>
    <w:rsid w:val="005B7810"/>
    <w:rsid w:val="005B783D"/>
    <w:rsid w:val="005B786D"/>
    <w:rsid w:val="005B7927"/>
    <w:rsid w:val="005B7947"/>
    <w:rsid w:val="005B795B"/>
    <w:rsid w:val="005B799D"/>
    <w:rsid w:val="005B79F7"/>
    <w:rsid w:val="005B7A69"/>
    <w:rsid w:val="005B7A98"/>
    <w:rsid w:val="005B7AA7"/>
    <w:rsid w:val="005B7B56"/>
    <w:rsid w:val="005B7B9F"/>
    <w:rsid w:val="005B7BA5"/>
    <w:rsid w:val="005B7BC2"/>
    <w:rsid w:val="005B7BEB"/>
    <w:rsid w:val="005B7C04"/>
    <w:rsid w:val="005B7C52"/>
    <w:rsid w:val="005B7D0A"/>
    <w:rsid w:val="005B7D15"/>
    <w:rsid w:val="005B7D4B"/>
    <w:rsid w:val="005B7D4F"/>
    <w:rsid w:val="005B7D83"/>
    <w:rsid w:val="005B7D8E"/>
    <w:rsid w:val="005B7DC0"/>
    <w:rsid w:val="005B7E2C"/>
    <w:rsid w:val="005B7E46"/>
    <w:rsid w:val="005B7E56"/>
    <w:rsid w:val="005B7E72"/>
    <w:rsid w:val="005B7E96"/>
    <w:rsid w:val="005B7EA4"/>
    <w:rsid w:val="005B7EA9"/>
    <w:rsid w:val="005B7EB1"/>
    <w:rsid w:val="005B7F77"/>
    <w:rsid w:val="005B7F8F"/>
    <w:rsid w:val="005B7FA0"/>
    <w:rsid w:val="005C0028"/>
    <w:rsid w:val="005C00BB"/>
    <w:rsid w:val="005C00F4"/>
    <w:rsid w:val="005C015F"/>
    <w:rsid w:val="005C018B"/>
    <w:rsid w:val="005C01A4"/>
    <w:rsid w:val="005C01A5"/>
    <w:rsid w:val="005C01CF"/>
    <w:rsid w:val="005C01DB"/>
    <w:rsid w:val="005C01F3"/>
    <w:rsid w:val="005C022F"/>
    <w:rsid w:val="005C0247"/>
    <w:rsid w:val="005C028A"/>
    <w:rsid w:val="005C0354"/>
    <w:rsid w:val="005C035A"/>
    <w:rsid w:val="005C03AA"/>
    <w:rsid w:val="005C0451"/>
    <w:rsid w:val="005C04C4"/>
    <w:rsid w:val="005C051E"/>
    <w:rsid w:val="005C054B"/>
    <w:rsid w:val="005C05AB"/>
    <w:rsid w:val="005C05E1"/>
    <w:rsid w:val="005C0608"/>
    <w:rsid w:val="005C0635"/>
    <w:rsid w:val="005C0644"/>
    <w:rsid w:val="005C067E"/>
    <w:rsid w:val="005C06AE"/>
    <w:rsid w:val="005C0714"/>
    <w:rsid w:val="005C0768"/>
    <w:rsid w:val="005C0783"/>
    <w:rsid w:val="005C07C4"/>
    <w:rsid w:val="005C07DD"/>
    <w:rsid w:val="005C07E4"/>
    <w:rsid w:val="005C097E"/>
    <w:rsid w:val="005C09A6"/>
    <w:rsid w:val="005C0A04"/>
    <w:rsid w:val="005C0AB8"/>
    <w:rsid w:val="005C0AC5"/>
    <w:rsid w:val="005C0B16"/>
    <w:rsid w:val="005C0B40"/>
    <w:rsid w:val="005C0B41"/>
    <w:rsid w:val="005C0B9A"/>
    <w:rsid w:val="005C0BA1"/>
    <w:rsid w:val="005C0C2A"/>
    <w:rsid w:val="005C0C4D"/>
    <w:rsid w:val="005C0CA7"/>
    <w:rsid w:val="005C0CF3"/>
    <w:rsid w:val="005C0D41"/>
    <w:rsid w:val="005C0D42"/>
    <w:rsid w:val="005C0D4D"/>
    <w:rsid w:val="005C0D9A"/>
    <w:rsid w:val="005C0DC6"/>
    <w:rsid w:val="005C0E02"/>
    <w:rsid w:val="005C0E82"/>
    <w:rsid w:val="005C0EA0"/>
    <w:rsid w:val="005C0EC8"/>
    <w:rsid w:val="005C0EF0"/>
    <w:rsid w:val="005C0EFE"/>
    <w:rsid w:val="005C0F0C"/>
    <w:rsid w:val="005C0F1D"/>
    <w:rsid w:val="005C0F2D"/>
    <w:rsid w:val="005C0F44"/>
    <w:rsid w:val="005C0F5D"/>
    <w:rsid w:val="005C0F8F"/>
    <w:rsid w:val="005C101B"/>
    <w:rsid w:val="005C1033"/>
    <w:rsid w:val="005C10F7"/>
    <w:rsid w:val="005C1195"/>
    <w:rsid w:val="005C11D1"/>
    <w:rsid w:val="005C1213"/>
    <w:rsid w:val="005C1215"/>
    <w:rsid w:val="005C1221"/>
    <w:rsid w:val="005C1270"/>
    <w:rsid w:val="005C12C6"/>
    <w:rsid w:val="005C12E8"/>
    <w:rsid w:val="005C1344"/>
    <w:rsid w:val="005C1374"/>
    <w:rsid w:val="005C138D"/>
    <w:rsid w:val="005C1393"/>
    <w:rsid w:val="005C139E"/>
    <w:rsid w:val="005C13C0"/>
    <w:rsid w:val="005C13EA"/>
    <w:rsid w:val="005C1411"/>
    <w:rsid w:val="005C1413"/>
    <w:rsid w:val="005C142D"/>
    <w:rsid w:val="005C146B"/>
    <w:rsid w:val="005C149C"/>
    <w:rsid w:val="005C14A7"/>
    <w:rsid w:val="005C14C9"/>
    <w:rsid w:val="005C1536"/>
    <w:rsid w:val="005C153D"/>
    <w:rsid w:val="005C15C2"/>
    <w:rsid w:val="005C15EF"/>
    <w:rsid w:val="005C161B"/>
    <w:rsid w:val="005C16A8"/>
    <w:rsid w:val="005C16BA"/>
    <w:rsid w:val="005C16E7"/>
    <w:rsid w:val="005C1701"/>
    <w:rsid w:val="005C170D"/>
    <w:rsid w:val="005C1710"/>
    <w:rsid w:val="005C1714"/>
    <w:rsid w:val="005C1762"/>
    <w:rsid w:val="005C178B"/>
    <w:rsid w:val="005C17F4"/>
    <w:rsid w:val="005C17F6"/>
    <w:rsid w:val="005C1805"/>
    <w:rsid w:val="005C1811"/>
    <w:rsid w:val="005C1846"/>
    <w:rsid w:val="005C1858"/>
    <w:rsid w:val="005C189A"/>
    <w:rsid w:val="005C18B6"/>
    <w:rsid w:val="005C18C2"/>
    <w:rsid w:val="005C18CD"/>
    <w:rsid w:val="005C1918"/>
    <w:rsid w:val="005C195A"/>
    <w:rsid w:val="005C195E"/>
    <w:rsid w:val="005C19DB"/>
    <w:rsid w:val="005C1A1E"/>
    <w:rsid w:val="005C1A30"/>
    <w:rsid w:val="005C1A92"/>
    <w:rsid w:val="005C1AA3"/>
    <w:rsid w:val="005C1AC2"/>
    <w:rsid w:val="005C1B1C"/>
    <w:rsid w:val="005C1B92"/>
    <w:rsid w:val="005C1B95"/>
    <w:rsid w:val="005C1BB1"/>
    <w:rsid w:val="005C1BEC"/>
    <w:rsid w:val="005C1BF5"/>
    <w:rsid w:val="005C1C3D"/>
    <w:rsid w:val="005C1C53"/>
    <w:rsid w:val="005C1CA8"/>
    <w:rsid w:val="005C1CC6"/>
    <w:rsid w:val="005C1CE6"/>
    <w:rsid w:val="005C1D5D"/>
    <w:rsid w:val="005C1D99"/>
    <w:rsid w:val="005C1DEC"/>
    <w:rsid w:val="005C1E17"/>
    <w:rsid w:val="005C1E2C"/>
    <w:rsid w:val="005C1E40"/>
    <w:rsid w:val="005C1E46"/>
    <w:rsid w:val="005C1ED1"/>
    <w:rsid w:val="005C1F27"/>
    <w:rsid w:val="005C2018"/>
    <w:rsid w:val="005C206B"/>
    <w:rsid w:val="005C2097"/>
    <w:rsid w:val="005C20EF"/>
    <w:rsid w:val="005C2102"/>
    <w:rsid w:val="005C210B"/>
    <w:rsid w:val="005C2137"/>
    <w:rsid w:val="005C213A"/>
    <w:rsid w:val="005C214D"/>
    <w:rsid w:val="005C215E"/>
    <w:rsid w:val="005C21B1"/>
    <w:rsid w:val="005C21EB"/>
    <w:rsid w:val="005C2248"/>
    <w:rsid w:val="005C229B"/>
    <w:rsid w:val="005C22BD"/>
    <w:rsid w:val="005C22E5"/>
    <w:rsid w:val="005C22FF"/>
    <w:rsid w:val="005C2302"/>
    <w:rsid w:val="005C232A"/>
    <w:rsid w:val="005C23B6"/>
    <w:rsid w:val="005C23F0"/>
    <w:rsid w:val="005C2437"/>
    <w:rsid w:val="005C2454"/>
    <w:rsid w:val="005C2482"/>
    <w:rsid w:val="005C2483"/>
    <w:rsid w:val="005C24A2"/>
    <w:rsid w:val="005C24B5"/>
    <w:rsid w:val="005C24FC"/>
    <w:rsid w:val="005C24FD"/>
    <w:rsid w:val="005C2508"/>
    <w:rsid w:val="005C256C"/>
    <w:rsid w:val="005C258E"/>
    <w:rsid w:val="005C25AB"/>
    <w:rsid w:val="005C2608"/>
    <w:rsid w:val="005C2619"/>
    <w:rsid w:val="005C2659"/>
    <w:rsid w:val="005C2823"/>
    <w:rsid w:val="005C2839"/>
    <w:rsid w:val="005C2845"/>
    <w:rsid w:val="005C2884"/>
    <w:rsid w:val="005C28B4"/>
    <w:rsid w:val="005C28E4"/>
    <w:rsid w:val="005C28F0"/>
    <w:rsid w:val="005C292B"/>
    <w:rsid w:val="005C29A2"/>
    <w:rsid w:val="005C29F2"/>
    <w:rsid w:val="005C2A3F"/>
    <w:rsid w:val="005C2A5C"/>
    <w:rsid w:val="005C2A5E"/>
    <w:rsid w:val="005C2A71"/>
    <w:rsid w:val="005C2A8C"/>
    <w:rsid w:val="005C2AE0"/>
    <w:rsid w:val="005C2AEE"/>
    <w:rsid w:val="005C2B20"/>
    <w:rsid w:val="005C2B5E"/>
    <w:rsid w:val="005C2B77"/>
    <w:rsid w:val="005C2BB2"/>
    <w:rsid w:val="005C2C99"/>
    <w:rsid w:val="005C2CD5"/>
    <w:rsid w:val="005C2CE4"/>
    <w:rsid w:val="005C2CEA"/>
    <w:rsid w:val="005C2D03"/>
    <w:rsid w:val="005C2D7E"/>
    <w:rsid w:val="005C2D81"/>
    <w:rsid w:val="005C2DAA"/>
    <w:rsid w:val="005C2DE6"/>
    <w:rsid w:val="005C2DED"/>
    <w:rsid w:val="005C2E09"/>
    <w:rsid w:val="005C2E7C"/>
    <w:rsid w:val="005C2EF8"/>
    <w:rsid w:val="005C2EFF"/>
    <w:rsid w:val="005C2F27"/>
    <w:rsid w:val="005C2F3F"/>
    <w:rsid w:val="005C2F4F"/>
    <w:rsid w:val="005C2F60"/>
    <w:rsid w:val="005C2F83"/>
    <w:rsid w:val="005C2FB7"/>
    <w:rsid w:val="005C2FEB"/>
    <w:rsid w:val="005C3035"/>
    <w:rsid w:val="005C3069"/>
    <w:rsid w:val="005C3072"/>
    <w:rsid w:val="005C308D"/>
    <w:rsid w:val="005C3099"/>
    <w:rsid w:val="005C3140"/>
    <w:rsid w:val="005C3141"/>
    <w:rsid w:val="005C3154"/>
    <w:rsid w:val="005C315D"/>
    <w:rsid w:val="005C317D"/>
    <w:rsid w:val="005C3188"/>
    <w:rsid w:val="005C318D"/>
    <w:rsid w:val="005C31A3"/>
    <w:rsid w:val="005C31F1"/>
    <w:rsid w:val="005C31F7"/>
    <w:rsid w:val="005C3208"/>
    <w:rsid w:val="005C320E"/>
    <w:rsid w:val="005C3245"/>
    <w:rsid w:val="005C3267"/>
    <w:rsid w:val="005C3294"/>
    <w:rsid w:val="005C3299"/>
    <w:rsid w:val="005C32DD"/>
    <w:rsid w:val="005C3317"/>
    <w:rsid w:val="005C3382"/>
    <w:rsid w:val="005C33CE"/>
    <w:rsid w:val="005C3400"/>
    <w:rsid w:val="005C341E"/>
    <w:rsid w:val="005C341F"/>
    <w:rsid w:val="005C3451"/>
    <w:rsid w:val="005C347E"/>
    <w:rsid w:val="005C3494"/>
    <w:rsid w:val="005C3533"/>
    <w:rsid w:val="005C353A"/>
    <w:rsid w:val="005C35A7"/>
    <w:rsid w:val="005C35D4"/>
    <w:rsid w:val="005C35EA"/>
    <w:rsid w:val="005C35EB"/>
    <w:rsid w:val="005C360F"/>
    <w:rsid w:val="005C36AA"/>
    <w:rsid w:val="005C36C7"/>
    <w:rsid w:val="005C3731"/>
    <w:rsid w:val="005C376A"/>
    <w:rsid w:val="005C376F"/>
    <w:rsid w:val="005C37B9"/>
    <w:rsid w:val="005C37CA"/>
    <w:rsid w:val="005C3803"/>
    <w:rsid w:val="005C38B1"/>
    <w:rsid w:val="005C3944"/>
    <w:rsid w:val="005C3A90"/>
    <w:rsid w:val="005C3AF3"/>
    <w:rsid w:val="005C3B24"/>
    <w:rsid w:val="005C3B6E"/>
    <w:rsid w:val="005C3B84"/>
    <w:rsid w:val="005C3BB7"/>
    <w:rsid w:val="005C3BFD"/>
    <w:rsid w:val="005C3C90"/>
    <w:rsid w:val="005C3CB8"/>
    <w:rsid w:val="005C3CD1"/>
    <w:rsid w:val="005C3CDF"/>
    <w:rsid w:val="005C3D6B"/>
    <w:rsid w:val="005C3D77"/>
    <w:rsid w:val="005C3E0B"/>
    <w:rsid w:val="005C3E3C"/>
    <w:rsid w:val="005C3ECE"/>
    <w:rsid w:val="005C3F53"/>
    <w:rsid w:val="005C3F56"/>
    <w:rsid w:val="005C3F79"/>
    <w:rsid w:val="005C3F8B"/>
    <w:rsid w:val="005C3FA9"/>
    <w:rsid w:val="005C3FD4"/>
    <w:rsid w:val="005C40A6"/>
    <w:rsid w:val="005C40C2"/>
    <w:rsid w:val="005C40CF"/>
    <w:rsid w:val="005C40DA"/>
    <w:rsid w:val="005C40DC"/>
    <w:rsid w:val="005C413E"/>
    <w:rsid w:val="005C4153"/>
    <w:rsid w:val="005C41B3"/>
    <w:rsid w:val="005C41DE"/>
    <w:rsid w:val="005C41FB"/>
    <w:rsid w:val="005C422F"/>
    <w:rsid w:val="005C4235"/>
    <w:rsid w:val="005C426C"/>
    <w:rsid w:val="005C4300"/>
    <w:rsid w:val="005C432C"/>
    <w:rsid w:val="005C435C"/>
    <w:rsid w:val="005C43BC"/>
    <w:rsid w:val="005C43C2"/>
    <w:rsid w:val="005C4417"/>
    <w:rsid w:val="005C4455"/>
    <w:rsid w:val="005C4466"/>
    <w:rsid w:val="005C4471"/>
    <w:rsid w:val="005C4476"/>
    <w:rsid w:val="005C44E3"/>
    <w:rsid w:val="005C4514"/>
    <w:rsid w:val="005C4522"/>
    <w:rsid w:val="005C452F"/>
    <w:rsid w:val="005C4535"/>
    <w:rsid w:val="005C4548"/>
    <w:rsid w:val="005C4561"/>
    <w:rsid w:val="005C45B5"/>
    <w:rsid w:val="005C4605"/>
    <w:rsid w:val="005C4647"/>
    <w:rsid w:val="005C4652"/>
    <w:rsid w:val="005C4695"/>
    <w:rsid w:val="005C46C1"/>
    <w:rsid w:val="005C46D0"/>
    <w:rsid w:val="005C475C"/>
    <w:rsid w:val="005C476B"/>
    <w:rsid w:val="005C4786"/>
    <w:rsid w:val="005C479A"/>
    <w:rsid w:val="005C47DC"/>
    <w:rsid w:val="005C482B"/>
    <w:rsid w:val="005C48A2"/>
    <w:rsid w:val="005C48D2"/>
    <w:rsid w:val="005C491F"/>
    <w:rsid w:val="005C4922"/>
    <w:rsid w:val="005C4940"/>
    <w:rsid w:val="005C496C"/>
    <w:rsid w:val="005C4982"/>
    <w:rsid w:val="005C4A13"/>
    <w:rsid w:val="005C4A29"/>
    <w:rsid w:val="005C4AF6"/>
    <w:rsid w:val="005C4B49"/>
    <w:rsid w:val="005C4B4A"/>
    <w:rsid w:val="005C4B96"/>
    <w:rsid w:val="005C4BE8"/>
    <w:rsid w:val="005C4C1F"/>
    <w:rsid w:val="005C4C24"/>
    <w:rsid w:val="005C4C2A"/>
    <w:rsid w:val="005C4C37"/>
    <w:rsid w:val="005C4CB1"/>
    <w:rsid w:val="005C4D1F"/>
    <w:rsid w:val="005C4D6E"/>
    <w:rsid w:val="005C4DD4"/>
    <w:rsid w:val="005C4E3D"/>
    <w:rsid w:val="005C4E79"/>
    <w:rsid w:val="005C4E7C"/>
    <w:rsid w:val="005C4EC9"/>
    <w:rsid w:val="005C4ED8"/>
    <w:rsid w:val="005C4EF4"/>
    <w:rsid w:val="005C4F53"/>
    <w:rsid w:val="005C4F5B"/>
    <w:rsid w:val="005C4F73"/>
    <w:rsid w:val="005C4F89"/>
    <w:rsid w:val="005C4F90"/>
    <w:rsid w:val="005C4FC3"/>
    <w:rsid w:val="005C4FCB"/>
    <w:rsid w:val="005C4FF0"/>
    <w:rsid w:val="005C5009"/>
    <w:rsid w:val="005C50A8"/>
    <w:rsid w:val="005C5102"/>
    <w:rsid w:val="005C5134"/>
    <w:rsid w:val="005C519E"/>
    <w:rsid w:val="005C51D1"/>
    <w:rsid w:val="005C5249"/>
    <w:rsid w:val="005C5274"/>
    <w:rsid w:val="005C5299"/>
    <w:rsid w:val="005C52D5"/>
    <w:rsid w:val="005C52F7"/>
    <w:rsid w:val="005C5321"/>
    <w:rsid w:val="005C543C"/>
    <w:rsid w:val="005C5470"/>
    <w:rsid w:val="005C5482"/>
    <w:rsid w:val="005C54B0"/>
    <w:rsid w:val="005C54D5"/>
    <w:rsid w:val="005C550C"/>
    <w:rsid w:val="005C5547"/>
    <w:rsid w:val="005C5566"/>
    <w:rsid w:val="005C55B1"/>
    <w:rsid w:val="005C55B6"/>
    <w:rsid w:val="005C55C0"/>
    <w:rsid w:val="005C563B"/>
    <w:rsid w:val="005C56CB"/>
    <w:rsid w:val="005C5736"/>
    <w:rsid w:val="005C5757"/>
    <w:rsid w:val="005C57A8"/>
    <w:rsid w:val="005C57B4"/>
    <w:rsid w:val="005C5811"/>
    <w:rsid w:val="005C581A"/>
    <w:rsid w:val="005C582A"/>
    <w:rsid w:val="005C5832"/>
    <w:rsid w:val="005C587C"/>
    <w:rsid w:val="005C590C"/>
    <w:rsid w:val="005C5910"/>
    <w:rsid w:val="005C591A"/>
    <w:rsid w:val="005C5920"/>
    <w:rsid w:val="005C5939"/>
    <w:rsid w:val="005C594E"/>
    <w:rsid w:val="005C5990"/>
    <w:rsid w:val="005C599D"/>
    <w:rsid w:val="005C59A5"/>
    <w:rsid w:val="005C59BB"/>
    <w:rsid w:val="005C59CC"/>
    <w:rsid w:val="005C5A11"/>
    <w:rsid w:val="005C5A2C"/>
    <w:rsid w:val="005C5A8C"/>
    <w:rsid w:val="005C5B0A"/>
    <w:rsid w:val="005C5BA2"/>
    <w:rsid w:val="005C5C38"/>
    <w:rsid w:val="005C5C64"/>
    <w:rsid w:val="005C5C75"/>
    <w:rsid w:val="005C5C79"/>
    <w:rsid w:val="005C5C8A"/>
    <w:rsid w:val="005C5CAD"/>
    <w:rsid w:val="005C5D01"/>
    <w:rsid w:val="005C5D42"/>
    <w:rsid w:val="005C5D75"/>
    <w:rsid w:val="005C5D91"/>
    <w:rsid w:val="005C5D9D"/>
    <w:rsid w:val="005C5DB1"/>
    <w:rsid w:val="005C5DB9"/>
    <w:rsid w:val="005C5DC6"/>
    <w:rsid w:val="005C5DE7"/>
    <w:rsid w:val="005C5DE9"/>
    <w:rsid w:val="005C5E32"/>
    <w:rsid w:val="005C5E5F"/>
    <w:rsid w:val="005C5EB6"/>
    <w:rsid w:val="005C5EBE"/>
    <w:rsid w:val="005C5F27"/>
    <w:rsid w:val="005C5F70"/>
    <w:rsid w:val="005C5F91"/>
    <w:rsid w:val="005C5FF7"/>
    <w:rsid w:val="005C60D3"/>
    <w:rsid w:val="005C60EF"/>
    <w:rsid w:val="005C60F1"/>
    <w:rsid w:val="005C6152"/>
    <w:rsid w:val="005C6172"/>
    <w:rsid w:val="005C61A1"/>
    <w:rsid w:val="005C61C6"/>
    <w:rsid w:val="005C6204"/>
    <w:rsid w:val="005C62DF"/>
    <w:rsid w:val="005C6379"/>
    <w:rsid w:val="005C63EF"/>
    <w:rsid w:val="005C641E"/>
    <w:rsid w:val="005C6441"/>
    <w:rsid w:val="005C647B"/>
    <w:rsid w:val="005C648B"/>
    <w:rsid w:val="005C648E"/>
    <w:rsid w:val="005C64FD"/>
    <w:rsid w:val="005C6516"/>
    <w:rsid w:val="005C651B"/>
    <w:rsid w:val="005C6578"/>
    <w:rsid w:val="005C65D1"/>
    <w:rsid w:val="005C65DE"/>
    <w:rsid w:val="005C65E9"/>
    <w:rsid w:val="005C65EB"/>
    <w:rsid w:val="005C6643"/>
    <w:rsid w:val="005C668E"/>
    <w:rsid w:val="005C669D"/>
    <w:rsid w:val="005C66FE"/>
    <w:rsid w:val="005C6724"/>
    <w:rsid w:val="005C6736"/>
    <w:rsid w:val="005C67E4"/>
    <w:rsid w:val="005C67EB"/>
    <w:rsid w:val="005C6816"/>
    <w:rsid w:val="005C6854"/>
    <w:rsid w:val="005C6860"/>
    <w:rsid w:val="005C68A3"/>
    <w:rsid w:val="005C68D2"/>
    <w:rsid w:val="005C690D"/>
    <w:rsid w:val="005C6947"/>
    <w:rsid w:val="005C694A"/>
    <w:rsid w:val="005C69A4"/>
    <w:rsid w:val="005C69D6"/>
    <w:rsid w:val="005C69F3"/>
    <w:rsid w:val="005C69F5"/>
    <w:rsid w:val="005C6A1F"/>
    <w:rsid w:val="005C6A25"/>
    <w:rsid w:val="005C6A43"/>
    <w:rsid w:val="005C6A49"/>
    <w:rsid w:val="005C6A67"/>
    <w:rsid w:val="005C6AA2"/>
    <w:rsid w:val="005C6AB7"/>
    <w:rsid w:val="005C6ADC"/>
    <w:rsid w:val="005C6BC7"/>
    <w:rsid w:val="005C6BFA"/>
    <w:rsid w:val="005C6C38"/>
    <w:rsid w:val="005C6C6D"/>
    <w:rsid w:val="005C6D76"/>
    <w:rsid w:val="005C6D7C"/>
    <w:rsid w:val="005C6DB1"/>
    <w:rsid w:val="005C6DDB"/>
    <w:rsid w:val="005C6DFF"/>
    <w:rsid w:val="005C6E21"/>
    <w:rsid w:val="005C6E35"/>
    <w:rsid w:val="005C6E46"/>
    <w:rsid w:val="005C6E8B"/>
    <w:rsid w:val="005C6EE0"/>
    <w:rsid w:val="005C6F3E"/>
    <w:rsid w:val="005C6F87"/>
    <w:rsid w:val="005C6FCA"/>
    <w:rsid w:val="005C7045"/>
    <w:rsid w:val="005C708C"/>
    <w:rsid w:val="005C7091"/>
    <w:rsid w:val="005C7097"/>
    <w:rsid w:val="005C70B3"/>
    <w:rsid w:val="005C70C2"/>
    <w:rsid w:val="005C70FB"/>
    <w:rsid w:val="005C712D"/>
    <w:rsid w:val="005C7162"/>
    <w:rsid w:val="005C716C"/>
    <w:rsid w:val="005C71AA"/>
    <w:rsid w:val="005C71D8"/>
    <w:rsid w:val="005C7202"/>
    <w:rsid w:val="005C7245"/>
    <w:rsid w:val="005C7292"/>
    <w:rsid w:val="005C72E0"/>
    <w:rsid w:val="005C731A"/>
    <w:rsid w:val="005C7332"/>
    <w:rsid w:val="005C7382"/>
    <w:rsid w:val="005C73D7"/>
    <w:rsid w:val="005C73D8"/>
    <w:rsid w:val="005C7427"/>
    <w:rsid w:val="005C7448"/>
    <w:rsid w:val="005C746A"/>
    <w:rsid w:val="005C74B8"/>
    <w:rsid w:val="005C7507"/>
    <w:rsid w:val="005C750F"/>
    <w:rsid w:val="005C7593"/>
    <w:rsid w:val="005C75A6"/>
    <w:rsid w:val="005C75BA"/>
    <w:rsid w:val="005C75C3"/>
    <w:rsid w:val="005C75C6"/>
    <w:rsid w:val="005C75E7"/>
    <w:rsid w:val="005C7602"/>
    <w:rsid w:val="005C762C"/>
    <w:rsid w:val="005C765D"/>
    <w:rsid w:val="005C7735"/>
    <w:rsid w:val="005C7769"/>
    <w:rsid w:val="005C779B"/>
    <w:rsid w:val="005C77B3"/>
    <w:rsid w:val="005C7850"/>
    <w:rsid w:val="005C7861"/>
    <w:rsid w:val="005C78AE"/>
    <w:rsid w:val="005C7904"/>
    <w:rsid w:val="005C7920"/>
    <w:rsid w:val="005C797C"/>
    <w:rsid w:val="005C7981"/>
    <w:rsid w:val="005C7985"/>
    <w:rsid w:val="005C7994"/>
    <w:rsid w:val="005C79A4"/>
    <w:rsid w:val="005C7A25"/>
    <w:rsid w:val="005C7A44"/>
    <w:rsid w:val="005C7A84"/>
    <w:rsid w:val="005C7A8E"/>
    <w:rsid w:val="005C7AAE"/>
    <w:rsid w:val="005C7AE9"/>
    <w:rsid w:val="005C7B93"/>
    <w:rsid w:val="005C7BA5"/>
    <w:rsid w:val="005C7BAB"/>
    <w:rsid w:val="005C7BAC"/>
    <w:rsid w:val="005C7C61"/>
    <w:rsid w:val="005C7CE4"/>
    <w:rsid w:val="005C7D07"/>
    <w:rsid w:val="005C7D41"/>
    <w:rsid w:val="005C7D5A"/>
    <w:rsid w:val="005C7D65"/>
    <w:rsid w:val="005C7D8A"/>
    <w:rsid w:val="005C7D97"/>
    <w:rsid w:val="005C7DAA"/>
    <w:rsid w:val="005C7E24"/>
    <w:rsid w:val="005C7E25"/>
    <w:rsid w:val="005C7EA0"/>
    <w:rsid w:val="005C7EB3"/>
    <w:rsid w:val="005C7EC5"/>
    <w:rsid w:val="005C7EDC"/>
    <w:rsid w:val="005C7EF9"/>
    <w:rsid w:val="005C7F03"/>
    <w:rsid w:val="005C7F0B"/>
    <w:rsid w:val="005C7F38"/>
    <w:rsid w:val="005C7FAE"/>
    <w:rsid w:val="005C7FD6"/>
    <w:rsid w:val="005C7FE4"/>
    <w:rsid w:val="005C7FE5"/>
    <w:rsid w:val="005C7FED"/>
    <w:rsid w:val="005D0002"/>
    <w:rsid w:val="005D001E"/>
    <w:rsid w:val="005D0021"/>
    <w:rsid w:val="005D0041"/>
    <w:rsid w:val="005D005F"/>
    <w:rsid w:val="005D0063"/>
    <w:rsid w:val="005D00C9"/>
    <w:rsid w:val="005D00E7"/>
    <w:rsid w:val="005D0104"/>
    <w:rsid w:val="005D01A3"/>
    <w:rsid w:val="005D01EB"/>
    <w:rsid w:val="005D0236"/>
    <w:rsid w:val="005D023C"/>
    <w:rsid w:val="005D0256"/>
    <w:rsid w:val="005D025B"/>
    <w:rsid w:val="005D0279"/>
    <w:rsid w:val="005D0283"/>
    <w:rsid w:val="005D02A5"/>
    <w:rsid w:val="005D02D5"/>
    <w:rsid w:val="005D0300"/>
    <w:rsid w:val="005D0302"/>
    <w:rsid w:val="005D0370"/>
    <w:rsid w:val="005D03D9"/>
    <w:rsid w:val="005D03ED"/>
    <w:rsid w:val="005D0403"/>
    <w:rsid w:val="005D0451"/>
    <w:rsid w:val="005D045B"/>
    <w:rsid w:val="005D0469"/>
    <w:rsid w:val="005D0583"/>
    <w:rsid w:val="005D05A2"/>
    <w:rsid w:val="005D05DB"/>
    <w:rsid w:val="005D0605"/>
    <w:rsid w:val="005D063A"/>
    <w:rsid w:val="005D068A"/>
    <w:rsid w:val="005D06BA"/>
    <w:rsid w:val="005D0717"/>
    <w:rsid w:val="005D075C"/>
    <w:rsid w:val="005D07C3"/>
    <w:rsid w:val="005D0802"/>
    <w:rsid w:val="005D0870"/>
    <w:rsid w:val="005D08D0"/>
    <w:rsid w:val="005D0904"/>
    <w:rsid w:val="005D0966"/>
    <w:rsid w:val="005D09A8"/>
    <w:rsid w:val="005D0A1D"/>
    <w:rsid w:val="005D0A78"/>
    <w:rsid w:val="005D0AEC"/>
    <w:rsid w:val="005D0AF6"/>
    <w:rsid w:val="005D0B2B"/>
    <w:rsid w:val="005D0B74"/>
    <w:rsid w:val="005D0B77"/>
    <w:rsid w:val="005D0B9C"/>
    <w:rsid w:val="005D0BA6"/>
    <w:rsid w:val="005D0BA8"/>
    <w:rsid w:val="005D0BB9"/>
    <w:rsid w:val="005D0BF9"/>
    <w:rsid w:val="005D0C06"/>
    <w:rsid w:val="005D0C20"/>
    <w:rsid w:val="005D0C3F"/>
    <w:rsid w:val="005D0C72"/>
    <w:rsid w:val="005D0CCE"/>
    <w:rsid w:val="005D0D25"/>
    <w:rsid w:val="005D0D35"/>
    <w:rsid w:val="005D0D39"/>
    <w:rsid w:val="005D0E1B"/>
    <w:rsid w:val="005D0E67"/>
    <w:rsid w:val="005D0E8B"/>
    <w:rsid w:val="005D0F87"/>
    <w:rsid w:val="005D105B"/>
    <w:rsid w:val="005D10B8"/>
    <w:rsid w:val="005D10F0"/>
    <w:rsid w:val="005D1136"/>
    <w:rsid w:val="005D113B"/>
    <w:rsid w:val="005D11A9"/>
    <w:rsid w:val="005D11AD"/>
    <w:rsid w:val="005D121F"/>
    <w:rsid w:val="005D1250"/>
    <w:rsid w:val="005D12CC"/>
    <w:rsid w:val="005D134B"/>
    <w:rsid w:val="005D1396"/>
    <w:rsid w:val="005D13CF"/>
    <w:rsid w:val="005D13E3"/>
    <w:rsid w:val="005D13EC"/>
    <w:rsid w:val="005D13EF"/>
    <w:rsid w:val="005D13F8"/>
    <w:rsid w:val="005D1422"/>
    <w:rsid w:val="005D145A"/>
    <w:rsid w:val="005D1467"/>
    <w:rsid w:val="005D14A7"/>
    <w:rsid w:val="005D150E"/>
    <w:rsid w:val="005D1552"/>
    <w:rsid w:val="005D1568"/>
    <w:rsid w:val="005D156D"/>
    <w:rsid w:val="005D15A1"/>
    <w:rsid w:val="005D15A6"/>
    <w:rsid w:val="005D15DD"/>
    <w:rsid w:val="005D1647"/>
    <w:rsid w:val="005D16CF"/>
    <w:rsid w:val="005D1710"/>
    <w:rsid w:val="005D1718"/>
    <w:rsid w:val="005D172C"/>
    <w:rsid w:val="005D17BB"/>
    <w:rsid w:val="005D17EA"/>
    <w:rsid w:val="005D1815"/>
    <w:rsid w:val="005D1853"/>
    <w:rsid w:val="005D1869"/>
    <w:rsid w:val="005D186C"/>
    <w:rsid w:val="005D18A9"/>
    <w:rsid w:val="005D18CA"/>
    <w:rsid w:val="005D18DD"/>
    <w:rsid w:val="005D18F0"/>
    <w:rsid w:val="005D1933"/>
    <w:rsid w:val="005D193B"/>
    <w:rsid w:val="005D1986"/>
    <w:rsid w:val="005D19C9"/>
    <w:rsid w:val="005D1A01"/>
    <w:rsid w:val="005D1A0D"/>
    <w:rsid w:val="005D1A1C"/>
    <w:rsid w:val="005D1A2F"/>
    <w:rsid w:val="005D1AA8"/>
    <w:rsid w:val="005D1ABE"/>
    <w:rsid w:val="005D1AE9"/>
    <w:rsid w:val="005D1AEA"/>
    <w:rsid w:val="005D1B2C"/>
    <w:rsid w:val="005D1B7E"/>
    <w:rsid w:val="005D1B97"/>
    <w:rsid w:val="005D1BA6"/>
    <w:rsid w:val="005D1BF2"/>
    <w:rsid w:val="005D1C3F"/>
    <w:rsid w:val="005D1C88"/>
    <w:rsid w:val="005D1CB2"/>
    <w:rsid w:val="005D1CC6"/>
    <w:rsid w:val="005D1CF0"/>
    <w:rsid w:val="005D1D10"/>
    <w:rsid w:val="005D1D1C"/>
    <w:rsid w:val="005D1D66"/>
    <w:rsid w:val="005D1D71"/>
    <w:rsid w:val="005D1E18"/>
    <w:rsid w:val="005D1E21"/>
    <w:rsid w:val="005D1E7A"/>
    <w:rsid w:val="005D1E8B"/>
    <w:rsid w:val="005D1E8C"/>
    <w:rsid w:val="005D1ED2"/>
    <w:rsid w:val="005D1F13"/>
    <w:rsid w:val="005D1F1B"/>
    <w:rsid w:val="005D1F32"/>
    <w:rsid w:val="005D1F5D"/>
    <w:rsid w:val="005D1FFB"/>
    <w:rsid w:val="005D2010"/>
    <w:rsid w:val="005D2062"/>
    <w:rsid w:val="005D20D9"/>
    <w:rsid w:val="005D20DA"/>
    <w:rsid w:val="005D20F7"/>
    <w:rsid w:val="005D2100"/>
    <w:rsid w:val="005D2115"/>
    <w:rsid w:val="005D21E3"/>
    <w:rsid w:val="005D2221"/>
    <w:rsid w:val="005D233D"/>
    <w:rsid w:val="005D23B2"/>
    <w:rsid w:val="005D244C"/>
    <w:rsid w:val="005D2486"/>
    <w:rsid w:val="005D24B3"/>
    <w:rsid w:val="005D2514"/>
    <w:rsid w:val="005D253D"/>
    <w:rsid w:val="005D2553"/>
    <w:rsid w:val="005D2570"/>
    <w:rsid w:val="005D25AB"/>
    <w:rsid w:val="005D25B9"/>
    <w:rsid w:val="005D260C"/>
    <w:rsid w:val="005D2697"/>
    <w:rsid w:val="005D2731"/>
    <w:rsid w:val="005D275D"/>
    <w:rsid w:val="005D27EF"/>
    <w:rsid w:val="005D284B"/>
    <w:rsid w:val="005D2912"/>
    <w:rsid w:val="005D2920"/>
    <w:rsid w:val="005D2992"/>
    <w:rsid w:val="005D29BB"/>
    <w:rsid w:val="005D29E7"/>
    <w:rsid w:val="005D29F3"/>
    <w:rsid w:val="005D2ADB"/>
    <w:rsid w:val="005D2B22"/>
    <w:rsid w:val="005D2BAE"/>
    <w:rsid w:val="005D2C0F"/>
    <w:rsid w:val="005D2C5C"/>
    <w:rsid w:val="005D2CD7"/>
    <w:rsid w:val="005D2D13"/>
    <w:rsid w:val="005D2D64"/>
    <w:rsid w:val="005D2D76"/>
    <w:rsid w:val="005D2DA0"/>
    <w:rsid w:val="005D2DC2"/>
    <w:rsid w:val="005D2DD2"/>
    <w:rsid w:val="005D2E07"/>
    <w:rsid w:val="005D2E0E"/>
    <w:rsid w:val="005D2EB9"/>
    <w:rsid w:val="005D2EC4"/>
    <w:rsid w:val="005D2F46"/>
    <w:rsid w:val="005D2F71"/>
    <w:rsid w:val="005D2F87"/>
    <w:rsid w:val="005D2F8A"/>
    <w:rsid w:val="005D2F97"/>
    <w:rsid w:val="005D2FCD"/>
    <w:rsid w:val="005D2FD6"/>
    <w:rsid w:val="005D2FEC"/>
    <w:rsid w:val="005D3023"/>
    <w:rsid w:val="005D3048"/>
    <w:rsid w:val="005D306A"/>
    <w:rsid w:val="005D3074"/>
    <w:rsid w:val="005D3088"/>
    <w:rsid w:val="005D308F"/>
    <w:rsid w:val="005D3097"/>
    <w:rsid w:val="005D30D1"/>
    <w:rsid w:val="005D30D4"/>
    <w:rsid w:val="005D312C"/>
    <w:rsid w:val="005D3139"/>
    <w:rsid w:val="005D3161"/>
    <w:rsid w:val="005D31EA"/>
    <w:rsid w:val="005D3210"/>
    <w:rsid w:val="005D3299"/>
    <w:rsid w:val="005D32DA"/>
    <w:rsid w:val="005D334B"/>
    <w:rsid w:val="005D338C"/>
    <w:rsid w:val="005D3397"/>
    <w:rsid w:val="005D33B5"/>
    <w:rsid w:val="005D33CA"/>
    <w:rsid w:val="005D3400"/>
    <w:rsid w:val="005D3453"/>
    <w:rsid w:val="005D3466"/>
    <w:rsid w:val="005D347B"/>
    <w:rsid w:val="005D34E4"/>
    <w:rsid w:val="005D34E8"/>
    <w:rsid w:val="005D3592"/>
    <w:rsid w:val="005D359D"/>
    <w:rsid w:val="005D35D0"/>
    <w:rsid w:val="005D3648"/>
    <w:rsid w:val="005D36C0"/>
    <w:rsid w:val="005D3735"/>
    <w:rsid w:val="005D3745"/>
    <w:rsid w:val="005D376A"/>
    <w:rsid w:val="005D376D"/>
    <w:rsid w:val="005D37A2"/>
    <w:rsid w:val="005D37D5"/>
    <w:rsid w:val="005D3861"/>
    <w:rsid w:val="005D38A9"/>
    <w:rsid w:val="005D38F7"/>
    <w:rsid w:val="005D3905"/>
    <w:rsid w:val="005D3914"/>
    <w:rsid w:val="005D3933"/>
    <w:rsid w:val="005D394D"/>
    <w:rsid w:val="005D39F0"/>
    <w:rsid w:val="005D39F4"/>
    <w:rsid w:val="005D3A45"/>
    <w:rsid w:val="005D3A47"/>
    <w:rsid w:val="005D3A5A"/>
    <w:rsid w:val="005D3ABF"/>
    <w:rsid w:val="005D3B03"/>
    <w:rsid w:val="005D3B28"/>
    <w:rsid w:val="005D3B3A"/>
    <w:rsid w:val="005D3B40"/>
    <w:rsid w:val="005D3B7C"/>
    <w:rsid w:val="005D3BA5"/>
    <w:rsid w:val="005D3BF9"/>
    <w:rsid w:val="005D3C4D"/>
    <w:rsid w:val="005D3C5F"/>
    <w:rsid w:val="005D3CD2"/>
    <w:rsid w:val="005D3CF9"/>
    <w:rsid w:val="005D3D20"/>
    <w:rsid w:val="005D3D34"/>
    <w:rsid w:val="005D3D3C"/>
    <w:rsid w:val="005D3D4F"/>
    <w:rsid w:val="005D3D6D"/>
    <w:rsid w:val="005D3DA7"/>
    <w:rsid w:val="005D3EEF"/>
    <w:rsid w:val="005D3F19"/>
    <w:rsid w:val="005D3F55"/>
    <w:rsid w:val="005D3FB5"/>
    <w:rsid w:val="005D3FCD"/>
    <w:rsid w:val="005D3FDD"/>
    <w:rsid w:val="005D4025"/>
    <w:rsid w:val="005D4035"/>
    <w:rsid w:val="005D4086"/>
    <w:rsid w:val="005D409F"/>
    <w:rsid w:val="005D40E5"/>
    <w:rsid w:val="005D4155"/>
    <w:rsid w:val="005D41AC"/>
    <w:rsid w:val="005D41D8"/>
    <w:rsid w:val="005D41EA"/>
    <w:rsid w:val="005D420B"/>
    <w:rsid w:val="005D4285"/>
    <w:rsid w:val="005D42A1"/>
    <w:rsid w:val="005D42B5"/>
    <w:rsid w:val="005D42EA"/>
    <w:rsid w:val="005D42FA"/>
    <w:rsid w:val="005D42FE"/>
    <w:rsid w:val="005D439E"/>
    <w:rsid w:val="005D4408"/>
    <w:rsid w:val="005D4439"/>
    <w:rsid w:val="005D44A5"/>
    <w:rsid w:val="005D44C8"/>
    <w:rsid w:val="005D4500"/>
    <w:rsid w:val="005D4523"/>
    <w:rsid w:val="005D452A"/>
    <w:rsid w:val="005D453A"/>
    <w:rsid w:val="005D453D"/>
    <w:rsid w:val="005D4563"/>
    <w:rsid w:val="005D45AF"/>
    <w:rsid w:val="005D45DF"/>
    <w:rsid w:val="005D45E0"/>
    <w:rsid w:val="005D45EF"/>
    <w:rsid w:val="005D46D2"/>
    <w:rsid w:val="005D46DB"/>
    <w:rsid w:val="005D46E5"/>
    <w:rsid w:val="005D46F2"/>
    <w:rsid w:val="005D473F"/>
    <w:rsid w:val="005D4766"/>
    <w:rsid w:val="005D47A5"/>
    <w:rsid w:val="005D489C"/>
    <w:rsid w:val="005D48D6"/>
    <w:rsid w:val="005D49A1"/>
    <w:rsid w:val="005D49A3"/>
    <w:rsid w:val="005D49CB"/>
    <w:rsid w:val="005D49FE"/>
    <w:rsid w:val="005D4A36"/>
    <w:rsid w:val="005D4A98"/>
    <w:rsid w:val="005D4AF1"/>
    <w:rsid w:val="005D4B42"/>
    <w:rsid w:val="005D4B71"/>
    <w:rsid w:val="005D4B8A"/>
    <w:rsid w:val="005D4BA1"/>
    <w:rsid w:val="005D4BBC"/>
    <w:rsid w:val="005D4BF8"/>
    <w:rsid w:val="005D4C16"/>
    <w:rsid w:val="005D4C40"/>
    <w:rsid w:val="005D4C7D"/>
    <w:rsid w:val="005D4CA4"/>
    <w:rsid w:val="005D4D70"/>
    <w:rsid w:val="005D4D98"/>
    <w:rsid w:val="005D4DAF"/>
    <w:rsid w:val="005D4DBF"/>
    <w:rsid w:val="005D4DD6"/>
    <w:rsid w:val="005D4DDB"/>
    <w:rsid w:val="005D4DEC"/>
    <w:rsid w:val="005D4E3C"/>
    <w:rsid w:val="005D4E4F"/>
    <w:rsid w:val="005D4E67"/>
    <w:rsid w:val="005D4E70"/>
    <w:rsid w:val="005D4EA5"/>
    <w:rsid w:val="005D4EB0"/>
    <w:rsid w:val="005D4EB7"/>
    <w:rsid w:val="005D4F6B"/>
    <w:rsid w:val="005D4FA1"/>
    <w:rsid w:val="005D5031"/>
    <w:rsid w:val="005D5068"/>
    <w:rsid w:val="005D50DC"/>
    <w:rsid w:val="005D5116"/>
    <w:rsid w:val="005D5148"/>
    <w:rsid w:val="005D5152"/>
    <w:rsid w:val="005D5166"/>
    <w:rsid w:val="005D5195"/>
    <w:rsid w:val="005D51C7"/>
    <w:rsid w:val="005D520E"/>
    <w:rsid w:val="005D5229"/>
    <w:rsid w:val="005D5231"/>
    <w:rsid w:val="005D5294"/>
    <w:rsid w:val="005D52CA"/>
    <w:rsid w:val="005D52CD"/>
    <w:rsid w:val="005D52F5"/>
    <w:rsid w:val="005D533E"/>
    <w:rsid w:val="005D5377"/>
    <w:rsid w:val="005D537F"/>
    <w:rsid w:val="005D53DF"/>
    <w:rsid w:val="005D53E6"/>
    <w:rsid w:val="005D5491"/>
    <w:rsid w:val="005D549F"/>
    <w:rsid w:val="005D54A9"/>
    <w:rsid w:val="005D54AE"/>
    <w:rsid w:val="005D550C"/>
    <w:rsid w:val="005D551C"/>
    <w:rsid w:val="005D5543"/>
    <w:rsid w:val="005D560E"/>
    <w:rsid w:val="005D563B"/>
    <w:rsid w:val="005D5688"/>
    <w:rsid w:val="005D56A4"/>
    <w:rsid w:val="005D5714"/>
    <w:rsid w:val="005D57B1"/>
    <w:rsid w:val="005D582D"/>
    <w:rsid w:val="005D584D"/>
    <w:rsid w:val="005D5852"/>
    <w:rsid w:val="005D5868"/>
    <w:rsid w:val="005D5967"/>
    <w:rsid w:val="005D597F"/>
    <w:rsid w:val="005D5A17"/>
    <w:rsid w:val="005D5A46"/>
    <w:rsid w:val="005D5A63"/>
    <w:rsid w:val="005D5AB7"/>
    <w:rsid w:val="005D5AF0"/>
    <w:rsid w:val="005D5AF4"/>
    <w:rsid w:val="005D5B01"/>
    <w:rsid w:val="005D5B29"/>
    <w:rsid w:val="005D5B9A"/>
    <w:rsid w:val="005D5BAE"/>
    <w:rsid w:val="005D5C80"/>
    <w:rsid w:val="005D5C87"/>
    <w:rsid w:val="005D5C99"/>
    <w:rsid w:val="005D5CCF"/>
    <w:rsid w:val="005D5D11"/>
    <w:rsid w:val="005D5D1F"/>
    <w:rsid w:val="005D5D86"/>
    <w:rsid w:val="005D5DB2"/>
    <w:rsid w:val="005D5E24"/>
    <w:rsid w:val="005D5E2B"/>
    <w:rsid w:val="005D5E97"/>
    <w:rsid w:val="005D5EC9"/>
    <w:rsid w:val="005D5EF5"/>
    <w:rsid w:val="005D5F02"/>
    <w:rsid w:val="005D5F0A"/>
    <w:rsid w:val="005D5F4E"/>
    <w:rsid w:val="005D5F91"/>
    <w:rsid w:val="005D5FFE"/>
    <w:rsid w:val="005D6048"/>
    <w:rsid w:val="005D60B9"/>
    <w:rsid w:val="005D60C7"/>
    <w:rsid w:val="005D60DA"/>
    <w:rsid w:val="005D60E4"/>
    <w:rsid w:val="005D60E8"/>
    <w:rsid w:val="005D6120"/>
    <w:rsid w:val="005D612D"/>
    <w:rsid w:val="005D612E"/>
    <w:rsid w:val="005D616A"/>
    <w:rsid w:val="005D6174"/>
    <w:rsid w:val="005D619D"/>
    <w:rsid w:val="005D61A3"/>
    <w:rsid w:val="005D61BE"/>
    <w:rsid w:val="005D620C"/>
    <w:rsid w:val="005D6211"/>
    <w:rsid w:val="005D623C"/>
    <w:rsid w:val="005D6247"/>
    <w:rsid w:val="005D62EE"/>
    <w:rsid w:val="005D6340"/>
    <w:rsid w:val="005D6344"/>
    <w:rsid w:val="005D6360"/>
    <w:rsid w:val="005D6375"/>
    <w:rsid w:val="005D6378"/>
    <w:rsid w:val="005D6396"/>
    <w:rsid w:val="005D63A2"/>
    <w:rsid w:val="005D63A4"/>
    <w:rsid w:val="005D63EB"/>
    <w:rsid w:val="005D63FE"/>
    <w:rsid w:val="005D6451"/>
    <w:rsid w:val="005D6503"/>
    <w:rsid w:val="005D6523"/>
    <w:rsid w:val="005D6525"/>
    <w:rsid w:val="005D6541"/>
    <w:rsid w:val="005D6542"/>
    <w:rsid w:val="005D65C4"/>
    <w:rsid w:val="005D6612"/>
    <w:rsid w:val="005D667B"/>
    <w:rsid w:val="005D671A"/>
    <w:rsid w:val="005D6765"/>
    <w:rsid w:val="005D677C"/>
    <w:rsid w:val="005D67AB"/>
    <w:rsid w:val="005D6811"/>
    <w:rsid w:val="005D6853"/>
    <w:rsid w:val="005D68A4"/>
    <w:rsid w:val="005D6932"/>
    <w:rsid w:val="005D6970"/>
    <w:rsid w:val="005D69B8"/>
    <w:rsid w:val="005D69B9"/>
    <w:rsid w:val="005D6A1B"/>
    <w:rsid w:val="005D6A44"/>
    <w:rsid w:val="005D6A8C"/>
    <w:rsid w:val="005D6AA6"/>
    <w:rsid w:val="005D6ABF"/>
    <w:rsid w:val="005D6B0D"/>
    <w:rsid w:val="005D6B4B"/>
    <w:rsid w:val="005D6BC8"/>
    <w:rsid w:val="005D6C03"/>
    <w:rsid w:val="005D6C0C"/>
    <w:rsid w:val="005D6C55"/>
    <w:rsid w:val="005D6C8B"/>
    <w:rsid w:val="005D6CA8"/>
    <w:rsid w:val="005D6CB8"/>
    <w:rsid w:val="005D6CFC"/>
    <w:rsid w:val="005D6D23"/>
    <w:rsid w:val="005D6D5D"/>
    <w:rsid w:val="005D6D6D"/>
    <w:rsid w:val="005D6D6E"/>
    <w:rsid w:val="005D6D7D"/>
    <w:rsid w:val="005D6D8D"/>
    <w:rsid w:val="005D6DB3"/>
    <w:rsid w:val="005D6DC9"/>
    <w:rsid w:val="005D6DF9"/>
    <w:rsid w:val="005D6E14"/>
    <w:rsid w:val="005D6E30"/>
    <w:rsid w:val="005D6E33"/>
    <w:rsid w:val="005D6E39"/>
    <w:rsid w:val="005D6E6B"/>
    <w:rsid w:val="005D6E7F"/>
    <w:rsid w:val="005D6E83"/>
    <w:rsid w:val="005D6E8D"/>
    <w:rsid w:val="005D6E9F"/>
    <w:rsid w:val="005D6EB7"/>
    <w:rsid w:val="005D6ED6"/>
    <w:rsid w:val="005D6F1A"/>
    <w:rsid w:val="005D6F2E"/>
    <w:rsid w:val="005D6F30"/>
    <w:rsid w:val="005D6F7F"/>
    <w:rsid w:val="005D6F9A"/>
    <w:rsid w:val="005D7013"/>
    <w:rsid w:val="005D7047"/>
    <w:rsid w:val="005D7064"/>
    <w:rsid w:val="005D70A0"/>
    <w:rsid w:val="005D715A"/>
    <w:rsid w:val="005D7209"/>
    <w:rsid w:val="005D720C"/>
    <w:rsid w:val="005D725E"/>
    <w:rsid w:val="005D732C"/>
    <w:rsid w:val="005D733F"/>
    <w:rsid w:val="005D7391"/>
    <w:rsid w:val="005D7432"/>
    <w:rsid w:val="005D745C"/>
    <w:rsid w:val="005D7476"/>
    <w:rsid w:val="005D74A3"/>
    <w:rsid w:val="005D74A7"/>
    <w:rsid w:val="005D74E0"/>
    <w:rsid w:val="005D74F5"/>
    <w:rsid w:val="005D7517"/>
    <w:rsid w:val="005D752A"/>
    <w:rsid w:val="005D7533"/>
    <w:rsid w:val="005D7537"/>
    <w:rsid w:val="005D75BC"/>
    <w:rsid w:val="005D75C5"/>
    <w:rsid w:val="005D75FF"/>
    <w:rsid w:val="005D762E"/>
    <w:rsid w:val="005D7644"/>
    <w:rsid w:val="005D765C"/>
    <w:rsid w:val="005D7661"/>
    <w:rsid w:val="005D76AD"/>
    <w:rsid w:val="005D76E0"/>
    <w:rsid w:val="005D76F3"/>
    <w:rsid w:val="005D76FC"/>
    <w:rsid w:val="005D771C"/>
    <w:rsid w:val="005D7748"/>
    <w:rsid w:val="005D774E"/>
    <w:rsid w:val="005D778F"/>
    <w:rsid w:val="005D77A6"/>
    <w:rsid w:val="005D783F"/>
    <w:rsid w:val="005D78FD"/>
    <w:rsid w:val="005D7907"/>
    <w:rsid w:val="005D794F"/>
    <w:rsid w:val="005D7968"/>
    <w:rsid w:val="005D79C6"/>
    <w:rsid w:val="005D79E9"/>
    <w:rsid w:val="005D7A28"/>
    <w:rsid w:val="005D7A2B"/>
    <w:rsid w:val="005D7A5D"/>
    <w:rsid w:val="005D7A6A"/>
    <w:rsid w:val="005D7A88"/>
    <w:rsid w:val="005D7AD2"/>
    <w:rsid w:val="005D7AFD"/>
    <w:rsid w:val="005D7B7D"/>
    <w:rsid w:val="005D7B7F"/>
    <w:rsid w:val="005D7B80"/>
    <w:rsid w:val="005D7B95"/>
    <w:rsid w:val="005D7BA3"/>
    <w:rsid w:val="005D7BAE"/>
    <w:rsid w:val="005D7BDB"/>
    <w:rsid w:val="005D7C1C"/>
    <w:rsid w:val="005D7C2B"/>
    <w:rsid w:val="005D7C44"/>
    <w:rsid w:val="005D7CAB"/>
    <w:rsid w:val="005D7CDC"/>
    <w:rsid w:val="005D7D00"/>
    <w:rsid w:val="005D7D99"/>
    <w:rsid w:val="005D7DC4"/>
    <w:rsid w:val="005D7DE3"/>
    <w:rsid w:val="005D7E05"/>
    <w:rsid w:val="005D7E0E"/>
    <w:rsid w:val="005D7EA6"/>
    <w:rsid w:val="005D7EC6"/>
    <w:rsid w:val="005D7F33"/>
    <w:rsid w:val="005D7F63"/>
    <w:rsid w:val="005D7F68"/>
    <w:rsid w:val="005D7F9D"/>
    <w:rsid w:val="005D7FA6"/>
    <w:rsid w:val="005D7FB4"/>
    <w:rsid w:val="005E0008"/>
    <w:rsid w:val="005E00BE"/>
    <w:rsid w:val="005E0197"/>
    <w:rsid w:val="005E01A6"/>
    <w:rsid w:val="005E01D4"/>
    <w:rsid w:val="005E01EF"/>
    <w:rsid w:val="005E0273"/>
    <w:rsid w:val="005E027D"/>
    <w:rsid w:val="005E030B"/>
    <w:rsid w:val="005E031B"/>
    <w:rsid w:val="005E0380"/>
    <w:rsid w:val="005E03CF"/>
    <w:rsid w:val="005E0429"/>
    <w:rsid w:val="005E042D"/>
    <w:rsid w:val="005E046A"/>
    <w:rsid w:val="005E047A"/>
    <w:rsid w:val="005E0488"/>
    <w:rsid w:val="005E04DC"/>
    <w:rsid w:val="005E04E6"/>
    <w:rsid w:val="005E059C"/>
    <w:rsid w:val="005E05CE"/>
    <w:rsid w:val="005E061A"/>
    <w:rsid w:val="005E061D"/>
    <w:rsid w:val="005E0628"/>
    <w:rsid w:val="005E0633"/>
    <w:rsid w:val="005E068B"/>
    <w:rsid w:val="005E06A9"/>
    <w:rsid w:val="005E06DE"/>
    <w:rsid w:val="005E0728"/>
    <w:rsid w:val="005E078E"/>
    <w:rsid w:val="005E07A2"/>
    <w:rsid w:val="005E07F3"/>
    <w:rsid w:val="005E0844"/>
    <w:rsid w:val="005E0860"/>
    <w:rsid w:val="005E0864"/>
    <w:rsid w:val="005E088A"/>
    <w:rsid w:val="005E08D1"/>
    <w:rsid w:val="005E08EE"/>
    <w:rsid w:val="005E0966"/>
    <w:rsid w:val="005E0995"/>
    <w:rsid w:val="005E09AF"/>
    <w:rsid w:val="005E09BC"/>
    <w:rsid w:val="005E09D1"/>
    <w:rsid w:val="005E09D3"/>
    <w:rsid w:val="005E09D4"/>
    <w:rsid w:val="005E0A0E"/>
    <w:rsid w:val="005E0A4D"/>
    <w:rsid w:val="005E0A54"/>
    <w:rsid w:val="005E0A78"/>
    <w:rsid w:val="005E0A92"/>
    <w:rsid w:val="005E0AA1"/>
    <w:rsid w:val="005E0B03"/>
    <w:rsid w:val="005E0B3B"/>
    <w:rsid w:val="005E0B75"/>
    <w:rsid w:val="005E0BAF"/>
    <w:rsid w:val="005E0CA6"/>
    <w:rsid w:val="005E0DB3"/>
    <w:rsid w:val="005E0E44"/>
    <w:rsid w:val="005E0E79"/>
    <w:rsid w:val="005E0F09"/>
    <w:rsid w:val="005E0F2D"/>
    <w:rsid w:val="005E0F36"/>
    <w:rsid w:val="005E0FC4"/>
    <w:rsid w:val="005E100E"/>
    <w:rsid w:val="005E1021"/>
    <w:rsid w:val="005E1045"/>
    <w:rsid w:val="005E108F"/>
    <w:rsid w:val="005E1099"/>
    <w:rsid w:val="005E10CF"/>
    <w:rsid w:val="005E1105"/>
    <w:rsid w:val="005E1109"/>
    <w:rsid w:val="005E112B"/>
    <w:rsid w:val="005E117A"/>
    <w:rsid w:val="005E11ED"/>
    <w:rsid w:val="005E1268"/>
    <w:rsid w:val="005E12D0"/>
    <w:rsid w:val="005E13B2"/>
    <w:rsid w:val="005E13CD"/>
    <w:rsid w:val="005E1452"/>
    <w:rsid w:val="005E1458"/>
    <w:rsid w:val="005E149A"/>
    <w:rsid w:val="005E14A2"/>
    <w:rsid w:val="005E1551"/>
    <w:rsid w:val="005E156D"/>
    <w:rsid w:val="005E15A7"/>
    <w:rsid w:val="005E15E8"/>
    <w:rsid w:val="005E15F3"/>
    <w:rsid w:val="005E1657"/>
    <w:rsid w:val="005E1689"/>
    <w:rsid w:val="005E1765"/>
    <w:rsid w:val="005E177A"/>
    <w:rsid w:val="005E17B6"/>
    <w:rsid w:val="005E17C6"/>
    <w:rsid w:val="005E190A"/>
    <w:rsid w:val="005E193F"/>
    <w:rsid w:val="005E195B"/>
    <w:rsid w:val="005E1995"/>
    <w:rsid w:val="005E1998"/>
    <w:rsid w:val="005E19DF"/>
    <w:rsid w:val="005E19F1"/>
    <w:rsid w:val="005E19F8"/>
    <w:rsid w:val="005E1A2C"/>
    <w:rsid w:val="005E1A4D"/>
    <w:rsid w:val="005E1A95"/>
    <w:rsid w:val="005E1A9D"/>
    <w:rsid w:val="005E1AA1"/>
    <w:rsid w:val="005E1B11"/>
    <w:rsid w:val="005E1B1F"/>
    <w:rsid w:val="005E1B84"/>
    <w:rsid w:val="005E1B95"/>
    <w:rsid w:val="005E1BA4"/>
    <w:rsid w:val="005E1C78"/>
    <w:rsid w:val="005E1CAA"/>
    <w:rsid w:val="005E1CD7"/>
    <w:rsid w:val="005E1D26"/>
    <w:rsid w:val="005E1D2D"/>
    <w:rsid w:val="005E1D34"/>
    <w:rsid w:val="005E1D4F"/>
    <w:rsid w:val="005E1D7E"/>
    <w:rsid w:val="005E1D94"/>
    <w:rsid w:val="005E1E05"/>
    <w:rsid w:val="005E1E0A"/>
    <w:rsid w:val="005E1E4C"/>
    <w:rsid w:val="005E1E65"/>
    <w:rsid w:val="005E1EC0"/>
    <w:rsid w:val="005E1EFA"/>
    <w:rsid w:val="005E1F03"/>
    <w:rsid w:val="005E1F2D"/>
    <w:rsid w:val="005E1F35"/>
    <w:rsid w:val="005E1FD5"/>
    <w:rsid w:val="005E2014"/>
    <w:rsid w:val="005E204B"/>
    <w:rsid w:val="005E2055"/>
    <w:rsid w:val="005E2056"/>
    <w:rsid w:val="005E20D7"/>
    <w:rsid w:val="005E20DE"/>
    <w:rsid w:val="005E212C"/>
    <w:rsid w:val="005E2151"/>
    <w:rsid w:val="005E2217"/>
    <w:rsid w:val="005E223A"/>
    <w:rsid w:val="005E224F"/>
    <w:rsid w:val="005E227B"/>
    <w:rsid w:val="005E22E7"/>
    <w:rsid w:val="005E22F9"/>
    <w:rsid w:val="005E231D"/>
    <w:rsid w:val="005E2333"/>
    <w:rsid w:val="005E2340"/>
    <w:rsid w:val="005E23AB"/>
    <w:rsid w:val="005E23C0"/>
    <w:rsid w:val="005E2401"/>
    <w:rsid w:val="005E2415"/>
    <w:rsid w:val="005E24B1"/>
    <w:rsid w:val="005E24E5"/>
    <w:rsid w:val="005E257E"/>
    <w:rsid w:val="005E25B9"/>
    <w:rsid w:val="005E25D7"/>
    <w:rsid w:val="005E2610"/>
    <w:rsid w:val="005E2727"/>
    <w:rsid w:val="005E272C"/>
    <w:rsid w:val="005E2779"/>
    <w:rsid w:val="005E27A0"/>
    <w:rsid w:val="005E28BE"/>
    <w:rsid w:val="005E2978"/>
    <w:rsid w:val="005E29E1"/>
    <w:rsid w:val="005E2A15"/>
    <w:rsid w:val="005E2AF4"/>
    <w:rsid w:val="005E2B61"/>
    <w:rsid w:val="005E2B71"/>
    <w:rsid w:val="005E2B7B"/>
    <w:rsid w:val="005E2B7E"/>
    <w:rsid w:val="005E2B99"/>
    <w:rsid w:val="005E2BBA"/>
    <w:rsid w:val="005E2BC2"/>
    <w:rsid w:val="005E2C19"/>
    <w:rsid w:val="005E2C3A"/>
    <w:rsid w:val="005E2C52"/>
    <w:rsid w:val="005E2D39"/>
    <w:rsid w:val="005E2D97"/>
    <w:rsid w:val="005E2DD0"/>
    <w:rsid w:val="005E2DDA"/>
    <w:rsid w:val="005E2E0D"/>
    <w:rsid w:val="005E2E2C"/>
    <w:rsid w:val="005E2E53"/>
    <w:rsid w:val="005E2E68"/>
    <w:rsid w:val="005E2EB9"/>
    <w:rsid w:val="005E2ECB"/>
    <w:rsid w:val="005E2F22"/>
    <w:rsid w:val="005E2F31"/>
    <w:rsid w:val="005E2F34"/>
    <w:rsid w:val="005E2F6B"/>
    <w:rsid w:val="005E2FCD"/>
    <w:rsid w:val="005E300E"/>
    <w:rsid w:val="005E304B"/>
    <w:rsid w:val="005E3050"/>
    <w:rsid w:val="005E30CA"/>
    <w:rsid w:val="005E30DC"/>
    <w:rsid w:val="005E3155"/>
    <w:rsid w:val="005E3180"/>
    <w:rsid w:val="005E31C4"/>
    <w:rsid w:val="005E31C9"/>
    <w:rsid w:val="005E3221"/>
    <w:rsid w:val="005E3235"/>
    <w:rsid w:val="005E326A"/>
    <w:rsid w:val="005E32A8"/>
    <w:rsid w:val="005E32C1"/>
    <w:rsid w:val="005E32C5"/>
    <w:rsid w:val="005E3319"/>
    <w:rsid w:val="005E3350"/>
    <w:rsid w:val="005E337F"/>
    <w:rsid w:val="005E33A3"/>
    <w:rsid w:val="005E3413"/>
    <w:rsid w:val="005E3452"/>
    <w:rsid w:val="005E345A"/>
    <w:rsid w:val="005E34A3"/>
    <w:rsid w:val="005E34F9"/>
    <w:rsid w:val="005E3539"/>
    <w:rsid w:val="005E3543"/>
    <w:rsid w:val="005E354A"/>
    <w:rsid w:val="005E3589"/>
    <w:rsid w:val="005E35CB"/>
    <w:rsid w:val="005E35D2"/>
    <w:rsid w:val="005E35D6"/>
    <w:rsid w:val="005E3638"/>
    <w:rsid w:val="005E363D"/>
    <w:rsid w:val="005E36A1"/>
    <w:rsid w:val="005E36F0"/>
    <w:rsid w:val="005E3743"/>
    <w:rsid w:val="005E3757"/>
    <w:rsid w:val="005E3847"/>
    <w:rsid w:val="005E3853"/>
    <w:rsid w:val="005E385B"/>
    <w:rsid w:val="005E38A0"/>
    <w:rsid w:val="005E38DA"/>
    <w:rsid w:val="005E393A"/>
    <w:rsid w:val="005E3968"/>
    <w:rsid w:val="005E39B8"/>
    <w:rsid w:val="005E39DA"/>
    <w:rsid w:val="005E3A2B"/>
    <w:rsid w:val="005E3A5B"/>
    <w:rsid w:val="005E3A60"/>
    <w:rsid w:val="005E3A8E"/>
    <w:rsid w:val="005E3AA4"/>
    <w:rsid w:val="005E3B25"/>
    <w:rsid w:val="005E3B68"/>
    <w:rsid w:val="005E3B9A"/>
    <w:rsid w:val="005E3BA5"/>
    <w:rsid w:val="005E3BCC"/>
    <w:rsid w:val="005E3BE2"/>
    <w:rsid w:val="005E3D29"/>
    <w:rsid w:val="005E3D38"/>
    <w:rsid w:val="005E3D6A"/>
    <w:rsid w:val="005E3D9C"/>
    <w:rsid w:val="005E3DC6"/>
    <w:rsid w:val="005E3DCF"/>
    <w:rsid w:val="005E3DEA"/>
    <w:rsid w:val="005E3DF5"/>
    <w:rsid w:val="005E3DF7"/>
    <w:rsid w:val="005E3E04"/>
    <w:rsid w:val="005E3E05"/>
    <w:rsid w:val="005E3E2B"/>
    <w:rsid w:val="005E3E61"/>
    <w:rsid w:val="005E3EE8"/>
    <w:rsid w:val="005E3EF0"/>
    <w:rsid w:val="005E3F28"/>
    <w:rsid w:val="005E3F42"/>
    <w:rsid w:val="005E3F79"/>
    <w:rsid w:val="005E3FE4"/>
    <w:rsid w:val="005E4007"/>
    <w:rsid w:val="005E4010"/>
    <w:rsid w:val="005E405D"/>
    <w:rsid w:val="005E4068"/>
    <w:rsid w:val="005E40A5"/>
    <w:rsid w:val="005E40EF"/>
    <w:rsid w:val="005E411D"/>
    <w:rsid w:val="005E4163"/>
    <w:rsid w:val="005E4168"/>
    <w:rsid w:val="005E418D"/>
    <w:rsid w:val="005E41D5"/>
    <w:rsid w:val="005E4236"/>
    <w:rsid w:val="005E4237"/>
    <w:rsid w:val="005E4261"/>
    <w:rsid w:val="005E4286"/>
    <w:rsid w:val="005E428B"/>
    <w:rsid w:val="005E4303"/>
    <w:rsid w:val="005E4335"/>
    <w:rsid w:val="005E4363"/>
    <w:rsid w:val="005E43B7"/>
    <w:rsid w:val="005E43F5"/>
    <w:rsid w:val="005E440B"/>
    <w:rsid w:val="005E4476"/>
    <w:rsid w:val="005E448A"/>
    <w:rsid w:val="005E44FB"/>
    <w:rsid w:val="005E461F"/>
    <w:rsid w:val="005E4625"/>
    <w:rsid w:val="005E462E"/>
    <w:rsid w:val="005E467C"/>
    <w:rsid w:val="005E4680"/>
    <w:rsid w:val="005E46EB"/>
    <w:rsid w:val="005E46F4"/>
    <w:rsid w:val="005E472A"/>
    <w:rsid w:val="005E4730"/>
    <w:rsid w:val="005E4754"/>
    <w:rsid w:val="005E477A"/>
    <w:rsid w:val="005E47A0"/>
    <w:rsid w:val="005E4811"/>
    <w:rsid w:val="005E482C"/>
    <w:rsid w:val="005E4858"/>
    <w:rsid w:val="005E488C"/>
    <w:rsid w:val="005E489C"/>
    <w:rsid w:val="005E48B2"/>
    <w:rsid w:val="005E48B5"/>
    <w:rsid w:val="005E48F0"/>
    <w:rsid w:val="005E4947"/>
    <w:rsid w:val="005E4969"/>
    <w:rsid w:val="005E4981"/>
    <w:rsid w:val="005E49BE"/>
    <w:rsid w:val="005E49E1"/>
    <w:rsid w:val="005E4A3D"/>
    <w:rsid w:val="005E4A61"/>
    <w:rsid w:val="005E4A99"/>
    <w:rsid w:val="005E4AF9"/>
    <w:rsid w:val="005E4B25"/>
    <w:rsid w:val="005E4B71"/>
    <w:rsid w:val="005E4BBB"/>
    <w:rsid w:val="005E4BDA"/>
    <w:rsid w:val="005E4BFD"/>
    <w:rsid w:val="005E4C0B"/>
    <w:rsid w:val="005E4C61"/>
    <w:rsid w:val="005E4C68"/>
    <w:rsid w:val="005E4C7F"/>
    <w:rsid w:val="005E4C88"/>
    <w:rsid w:val="005E4CD0"/>
    <w:rsid w:val="005E4CF3"/>
    <w:rsid w:val="005E4D47"/>
    <w:rsid w:val="005E4D77"/>
    <w:rsid w:val="005E4D7B"/>
    <w:rsid w:val="005E4DA8"/>
    <w:rsid w:val="005E4DAE"/>
    <w:rsid w:val="005E4DC6"/>
    <w:rsid w:val="005E4E60"/>
    <w:rsid w:val="005E4F2D"/>
    <w:rsid w:val="005E4F57"/>
    <w:rsid w:val="005E4F9E"/>
    <w:rsid w:val="005E4FA3"/>
    <w:rsid w:val="005E4FB8"/>
    <w:rsid w:val="005E4FE9"/>
    <w:rsid w:val="005E4FEA"/>
    <w:rsid w:val="005E500E"/>
    <w:rsid w:val="005E5039"/>
    <w:rsid w:val="005E5063"/>
    <w:rsid w:val="005E508C"/>
    <w:rsid w:val="005E50CC"/>
    <w:rsid w:val="005E5120"/>
    <w:rsid w:val="005E5188"/>
    <w:rsid w:val="005E51DA"/>
    <w:rsid w:val="005E5289"/>
    <w:rsid w:val="005E5291"/>
    <w:rsid w:val="005E52AC"/>
    <w:rsid w:val="005E52F4"/>
    <w:rsid w:val="005E52F9"/>
    <w:rsid w:val="005E530B"/>
    <w:rsid w:val="005E5321"/>
    <w:rsid w:val="005E5340"/>
    <w:rsid w:val="005E53B7"/>
    <w:rsid w:val="005E53DB"/>
    <w:rsid w:val="005E53DE"/>
    <w:rsid w:val="005E53E7"/>
    <w:rsid w:val="005E5434"/>
    <w:rsid w:val="005E5446"/>
    <w:rsid w:val="005E5475"/>
    <w:rsid w:val="005E5509"/>
    <w:rsid w:val="005E552F"/>
    <w:rsid w:val="005E5572"/>
    <w:rsid w:val="005E5586"/>
    <w:rsid w:val="005E55D9"/>
    <w:rsid w:val="005E564D"/>
    <w:rsid w:val="005E5654"/>
    <w:rsid w:val="005E5716"/>
    <w:rsid w:val="005E573C"/>
    <w:rsid w:val="005E575D"/>
    <w:rsid w:val="005E5765"/>
    <w:rsid w:val="005E5781"/>
    <w:rsid w:val="005E57B0"/>
    <w:rsid w:val="005E5800"/>
    <w:rsid w:val="005E5809"/>
    <w:rsid w:val="005E580B"/>
    <w:rsid w:val="005E5872"/>
    <w:rsid w:val="005E5894"/>
    <w:rsid w:val="005E589D"/>
    <w:rsid w:val="005E58B0"/>
    <w:rsid w:val="005E5922"/>
    <w:rsid w:val="005E59A0"/>
    <w:rsid w:val="005E59EA"/>
    <w:rsid w:val="005E5A42"/>
    <w:rsid w:val="005E5A52"/>
    <w:rsid w:val="005E5A8A"/>
    <w:rsid w:val="005E5AF2"/>
    <w:rsid w:val="005E5B2C"/>
    <w:rsid w:val="005E5B33"/>
    <w:rsid w:val="005E5B62"/>
    <w:rsid w:val="005E5B69"/>
    <w:rsid w:val="005E5BB6"/>
    <w:rsid w:val="005E5C00"/>
    <w:rsid w:val="005E5C05"/>
    <w:rsid w:val="005E5C2E"/>
    <w:rsid w:val="005E5CA7"/>
    <w:rsid w:val="005E5CE2"/>
    <w:rsid w:val="005E5CE6"/>
    <w:rsid w:val="005E5D04"/>
    <w:rsid w:val="005E5D65"/>
    <w:rsid w:val="005E5D7F"/>
    <w:rsid w:val="005E5DA6"/>
    <w:rsid w:val="005E5DAD"/>
    <w:rsid w:val="005E5DBF"/>
    <w:rsid w:val="005E5DC9"/>
    <w:rsid w:val="005E5DE1"/>
    <w:rsid w:val="005E5DF5"/>
    <w:rsid w:val="005E5DFF"/>
    <w:rsid w:val="005E5E23"/>
    <w:rsid w:val="005E5ED7"/>
    <w:rsid w:val="005E5F23"/>
    <w:rsid w:val="005E5FB0"/>
    <w:rsid w:val="005E5FC6"/>
    <w:rsid w:val="005E5FDC"/>
    <w:rsid w:val="005E5FE5"/>
    <w:rsid w:val="005E6021"/>
    <w:rsid w:val="005E614E"/>
    <w:rsid w:val="005E6190"/>
    <w:rsid w:val="005E6218"/>
    <w:rsid w:val="005E6287"/>
    <w:rsid w:val="005E6293"/>
    <w:rsid w:val="005E6318"/>
    <w:rsid w:val="005E6329"/>
    <w:rsid w:val="005E632F"/>
    <w:rsid w:val="005E63A0"/>
    <w:rsid w:val="005E63EC"/>
    <w:rsid w:val="005E642B"/>
    <w:rsid w:val="005E642F"/>
    <w:rsid w:val="005E643D"/>
    <w:rsid w:val="005E6453"/>
    <w:rsid w:val="005E6468"/>
    <w:rsid w:val="005E646C"/>
    <w:rsid w:val="005E6508"/>
    <w:rsid w:val="005E652B"/>
    <w:rsid w:val="005E65A0"/>
    <w:rsid w:val="005E65A5"/>
    <w:rsid w:val="005E65BC"/>
    <w:rsid w:val="005E65E4"/>
    <w:rsid w:val="005E65F1"/>
    <w:rsid w:val="005E661A"/>
    <w:rsid w:val="005E6622"/>
    <w:rsid w:val="005E662D"/>
    <w:rsid w:val="005E666A"/>
    <w:rsid w:val="005E66A1"/>
    <w:rsid w:val="005E66A4"/>
    <w:rsid w:val="005E66E9"/>
    <w:rsid w:val="005E66F1"/>
    <w:rsid w:val="005E672D"/>
    <w:rsid w:val="005E6786"/>
    <w:rsid w:val="005E678D"/>
    <w:rsid w:val="005E67CF"/>
    <w:rsid w:val="005E67D7"/>
    <w:rsid w:val="005E680F"/>
    <w:rsid w:val="005E6869"/>
    <w:rsid w:val="005E6884"/>
    <w:rsid w:val="005E689C"/>
    <w:rsid w:val="005E68A3"/>
    <w:rsid w:val="005E68AA"/>
    <w:rsid w:val="005E68FC"/>
    <w:rsid w:val="005E6912"/>
    <w:rsid w:val="005E6937"/>
    <w:rsid w:val="005E695C"/>
    <w:rsid w:val="005E699A"/>
    <w:rsid w:val="005E69D9"/>
    <w:rsid w:val="005E6A25"/>
    <w:rsid w:val="005E6A27"/>
    <w:rsid w:val="005E6A66"/>
    <w:rsid w:val="005E6A80"/>
    <w:rsid w:val="005E6A99"/>
    <w:rsid w:val="005E6AB0"/>
    <w:rsid w:val="005E6ACD"/>
    <w:rsid w:val="005E6ACE"/>
    <w:rsid w:val="005E6B81"/>
    <w:rsid w:val="005E6B9C"/>
    <w:rsid w:val="005E6B9D"/>
    <w:rsid w:val="005E6BD4"/>
    <w:rsid w:val="005E6BD6"/>
    <w:rsid w:val="005E6C08"/>
    <w:rsid w:val="005E6C58"/>
    <w:rsid w:val="005E6CBC"/>
    <w:rsid w:val="005E6D48"/>
    <w:rsid w:val="005E6D49"/>
    <w:rsid w:val="005E6D5F"/>
    <w:rsid w:val="005E6DB6"/>
    <w:rsid w:val="005E6E07"/>
    <w:rsid w:val="005E6E2D"/>
    <w:rsid w:val="005E6E52"/>
    <w:rsid w:val="005E6EED"/>
    <w:rsid w:val="005E6F19"/>
    <w:rsid w:val="005E6F1F"/>
    <w:rsid w:val="005E6FD2"/>
    <w:rsid w:val="005E708C"/>
    <w:rsid w:val="005E7095"/>
    <w:rsid w:val="005E70D6"/>
    <w:rsid w:val="005E70F0"/>
    <w:rsid w:val="005E7147"/>
    <w:rsid w:val="005E7177"/>
    <w:rsid w:val="005E71B1"/>
    <w:rsid w:val="005E7211"/>
    <w:rsid w:val="005E7213"/>
    <w:rsid w:val="005E721B"/>
    <w:rsid w:val="005E725B"/>
    <w:rsid w:val="005E726B"/>
    <w:rsid w:val="005E72D1"/>
    <w:rsid w:val="005E72D9"/>
    <w:rsid w:val="005E7334"/>
    <w:rsid w:val="005E735F"/>
    <w:rsid w:val="005E73C7"/>
    <w:rsid w:val="005E7439"/>
    <w:rsid w:val="005E74A0"/>
    <w:rsid w:val="005E74BC"/>
    <w:rsid w:val="005E74C5"/>
    <w:rsid w:val="005E74FF"/>
    <w:rsid w:val="005E7557"/>
    <w:rsid w:val="005E757F"/>
    <w:rsid w:val="005E75D4"/>
    <w:rsid w:val="005E763E"/>
    <w:rsid w:val="005E76BC"/>
    <w:rsid w:val="005E76F7"/>
    <w:rsid w:val="005E770C"/>
    <w:rsid w:val="005E7715"/>
    <w:rsid w:val="005E7719"/>
    <w:rsid w:val="005E7769"/>
    <w:rsid w:val="005E7790"/>
    <w:rsid w:val="005E77AC"/>
    <w:rsid w:val="005E77AF"/>
    <w:rsid w:val="005E77C1"/>
    <w:rsid w:val="005E77C4"/>
    <w:rsid w:val="005E7800"/>
    <w:rsid w:val="005E7828"/>
    <w:rsid w:val="005E7897"/>
    <w:rsid w:val="005E789B"/>
    <w:rsid w:val="005E78CA"/>
    <w:rsid w:val="005E78EC"/>
    <w:rsid w:val="005E790C"/>
    <w:rsid w:val="005E798D"/>
    <w:rsid w:val="005E79A4"/>
    <w:rsid w:val="005E79A8"/>
    <w:rsid w:val="005E79C9"/>
    <w:rsid w:val="005E79FD"/>
    <w:rsid w:val="005E7A08"/>
    <w:rsid w:val="005E7A09"/>
    <w:rsid w:val="005E7A59"/>
    <w:rsid w:val="005E7AA5"/>
    <w:rsid w:val="005E7AC7"/>
    <w:rsid w:val="005E7B2E"/>
    <w:rsid w:val="005E7B35"/>
    <w:rsid w:val="005E7B3C"/>
    <w:rsid w:val="005E7B44"/>
    <w:rsid w:val="005E7BD7"/>
    <w:rsid w:val="005E7BDB"/>
    <w:rsid w:val="005E7C65"/>
    <w:rsid w:val="005E7CEA"/>
    <w:rsid w:val="005E7D07"/>
    <w:rsid w:val="005E7D2A"/>
    <w:rsid w:val="005E7D3D"/>
    <w:rsid w:val="005E7D54"/>
    <w:rsid w:val="005E7D98"/>
    <w:rsid w:val="005E7DB3"/>
    <w:rsid w:val="005E7E12"/>
    <w:rsid w:val="005E7EC6"/>
    <w:rsid w:val="005E7ED2"/>
    <w:rsid w:val="005E7EF5"/>
    <w:rsid w:val="005E7F66"/>
    <w:rsid w:val="005E7FAD"/>
    <w:rsid w:val="005E7FE1"/>
    <w:rsid w:val="005E7FE5"/>
    <w:rsid w:val="005F0009"/>
    <w:rsid w:val="005F000F"/>
    <w:rsid w:val="005F0025"/>
    <w:rsid w:val="005F0090"/>
    <w:rsid w:val="005F00B4"/>
    <w:rsid w:val="005F0159"/>
    <w:rsid w:val="005F01B8"/>
    <w:rsid w:val="005F020E"/>
    <w:rsid w:val="005F021B"/>
    <w:rsid w:val="005F023E"/>
    <w:rsid w:val="005F0281"/>
    <w:rsid w:val="005F02B1"/>
    <w:rsid w:val="005F02C4"/>
    <w:rsid w:val="005F0475"/>
    <w:rsid w:val="005F04EC"/>
    <w:rsid w:val="005F0593"/>
    <w:rsid w:val="005F05B3"/>
    <w:rsid w:val="005F05BB"/>
    <w:rsid w:val="005F0612"/>
    <w:rsid w:val="005F0617"/>
    <w:rsid w:val="005F0649"/>
    <w:rsid w:val="005F0664"/>
    <w:rsid w:val="005F0696"/>
    <w:rsid w:val="005F06AB"/>
    <w:rsid w:val="005F074F"/>
    <w:rsid w:val="005F0757"/>
    <w:rsid w:val="005F07C5"/>
    <w:rsid w:val="005F07F7"/>
    <w:rsid w:val="005F0805"/>
    <w:rsid w:val="005F0938"/>
    <w:rsid w:val="005F095E"/>
    <w:rsid w:val="005F09B8"/>
    <w:rsid w:val="005F09BE"/>
    <w:rsid w:val="005F09D8"/>
    <w:rsid w:val="005F0AB7"/>
    <w:rsid w:val="005F0AEC"/>
    <w:rsid w:val="005F0B13"/>
    <w:rsid w:val="005F0B25"/>
    <w:rsid w:val="005F0B27"/>
    <w:rsid w:val="005F0BBB"/>
    <w:rsid w:val="005F0C18"/>
    <w:rsid w:val="005F0C1F"/>
    <w:rsid w:val="005F0C7B"/>
    <w:rsid w:val="005F0C99"/>
    <w:rsid w:val="005F0CA0"/>
    <w:rsid w:val="005F0CE6"/>
    <w:rsid w:val="005F0D18"/>
    <w:rsid w:val="005F0D1C"/>
    <w:rsid w:val="005F0D41"/>
    <w:rsid w:val="005F0D8D"/>
    <w:rsid w:val="005F0DF9"/>
    <w:rsid w:val="005F0E2C"/>
    <w:rsid w:val="005F0E9E"/>
    <w:rsid w:val="005F0EE6"/>
    <w:rsid w:val="005F0EE8"/>
    <w:rsid w:val="005F0F6C"/>
    <w:rsid w:val="005F0F8E"/>
    <w:rsid w:val="005F0F95"/>
    <w:rsid w:val="005F0F9D"/>
    <w:rsid w:val="005F0FD5"/>
    <w:rsid w:val="005F109F"/>
    <w:rsid w:val="005F10D3"/>
    <w:rsid w:val="005F10E3"/>
    <w:rsid w:val="005F10F8"/>
    <w:rsid w:val="005F112C"/>
    <w:rsid w:val="005F1131"/>
    <w:rsid w:val="005F113F"/>
    <w:rsid w:val="005F1165"/>
    <w:rsid w:val="005F1171"/>
    <w:rsid w:val="005F118F"/>
    <w:rsid w:val="005F121C"/>
    <w:rsid w:val="005F1266"/>
    <w:rsid w:val="005F126F"/>
    <w:rsid w:val="005F12B7"/>
    <w:rsid w:val="005F12CD"/>
    <w:rsid w:val="005F12DC"/>
    <w:rsid w:val="005F1322"/>
    <w:rsid w:val="005F138A"/>
    <w:rsid w:val="005F13A6"/>
    <w:rsid w:val="005F13FD"/>
    <w:rsid w:val="005F14F9"/>
    <w:rsid w:val="005F150E"/>
    <w:rsid w:val="005F1513"/>
    <w:rsid w:val="005F151D"/>
    <w:rsid w:val="005F152D"/>
    <w:rsid w:val="005F1538"/>
    <w:rsid w:val="005F154F"/>
    <w:rsid w:val="005F1582"/>
    <w:rsid w:val="005F15A1"/>
    <w:rsid w:val="005F15A9"/>
    <w:rsid w:val="005F15D5"/>
    <w:rsid w:val="005F163D"/>
    <w:rsid w:val="005F1647"/>
    <w:rsid w:val="005F1648"/>
    <w:rsid w:val="005F1670"/>
    <w:rsid w:val="005F1680"/>
    <w:rsid w:val="005F1691"/>
    <w:rsid w:val="005F16A5"/>
    <w:rsid w:val="005F16C7"/>
    <w:rsid w:val="005F1714"/>
    <w:rsid w:val="005F1719"/>
    <w:rsid w:val="005F1729"/>
    <w:rsid w:val="005F1772"/>
    <w:rsid w:val="005F178F"/>
    <w:rsid w:val="005F17B4"/>
    <w:rsid w:val="005F17CC"/>
    <w:rsid w:val="005F17FD"/>
    <w:rsid w:val="005F1826"/>
    <w:rsid w:val="005F1839"/>
    <w:rsid w:val="005F1847"/>
    <w:rsid w:val="005F18D3"/>
    <w:rsid w:val="005F1963"/>
    <w:rsid w:val="005F196F"/>
    <w:rsid w:val="005F19BB"/>
    <w:rsid w:val="005F19E1"/>
    <w:rsid w:val="005F1A7F"/>
    <w:rsid w:val="005F1A8F"/>
    <w:rsid w:val="005F1B92"/>
    <w:rsid w:val="005F1BBB"/>
    <w:rsid w:val="005F1BDD"/>
    <w:rsid w:val="005F1BE1"/>
    <w:rsid w:val="005F1C43"/>
    <w:rsid w:val="005F1C5F"/>
    <w:rsid w:val="005F1C78"/>
    <w:rsid w:val="005F1C7B"/>
    <w:rsid w:val="005F1D42"/>
    <w:rsid w:val="005F1D48"/>
    <w:rsid w:val="005F1D53"/>
    <w:rsid w:val="005F1D97"/>
    <w:rsid w:val="005F1DA3"/>
    <w:rsid w:val="005F1DA8"/>
    <w:rsid w:val="005F1DE4"/>
    <w:rsid w:val="005F1DE6"/>
    <w:rsid w:val="005F1DF8"/>
    <w:rsid w:val="005F1E1F"/>
    <w:rsid w:val="005F1E28"/>
    <w:rsid w:val="005F1E53"/>
    <w:rsid w:val="005F1E75"/>
    <w:rsid w:val="005F1EC1"/>
    <w:rsid w:val="005F1EDC"/>
    <w:rsid w:val="005F1F33"/>
    <w:rsid w:val="005F1F39"/>
    <w:rsid w:val="005F1F42"/>
    <w:rsid w:val="005F1FBC"/>
    <w:rsid w:val="005F1FFA"/>
    <w:rsid w:val="005F2007"/>
    <w:rsid w:val="005F207A"/>
    <w:rsid w:val="005F2082"/>
    <w:rsid w:val="005F20A6"/>
    <w:rsid w:val="005F20EA"/>
    <w:rsid w:val="005F212B"/>
    <w:rsid w:val="005F2159"/>
    <w:rsid w:val="005F217E"/>
    <w:rsid w:val="005F219C"/>
    <w:rsid w:val="005F21CA"/>
    <w:rsid w:val="005F21D4"/>
    <w:rsid w:val="005F2229"/>
    <w:rsid w:val="005F229F"/>
    <w:rsid w:val="005F22DD"/>
    <w:rsid w:val="005F22DF"/>
    <w:rsid w:val="005F22E0"/>
    <w:rsid w:val="005F2306"/>
    <w:rsid w:val="005F2357"/>
    <w:rsid w:val="005F241E"/>
    <w:rsid w:val="005F24AE"/>
    <w:rsid w:val="005F24EB"/>
    <w:rsid w:val="005F24F9"/>
    <w:rsid w:val="005F2539"/>
    <w:rsid w:val="005F256E"/>
    <w:rsid w:val="005F2607"/>
    <w:rsid w:val="005F26B0"/>
    <w:rsid w:val="005F26BF"/>
    <w:rsid w:val="005F26D8"/>
    <w:rsid w:val="005F26F2"/>
    <w:rsid w:val="005F271A"/>
    <w:rsid w:val="005F272A"/>
    <w:rsid w:val="005F2739"/>
    <w:rsid w:val="005F2762"/>
    <w:rsid w:val="005F2798"/>
    <w:rsid w:val="005F27BA"/>
    <w:rsid w:val="005F27D3"/>
    <w:rsid w:val="005F27D8"/>
    <w:rsid w:val="005F27F7"/>
    <w:rsid w:val="005F280E"/>
    <w:rsid w:val="005F281E"/>
    <w:rsid w:val="005F282B"/>
    <w:rsid w:val="005F2830"/>
    <w:rsid w:val="005F296D"/>
    <w:rsid w:val="005F29AD"/>
    <w:rsid w:val="005F29C5"/>
    <w:rsid w:val="005F29FF"/>
    <w:rsid w:val="005F2A12"/>
    <w:rsid w:val="005F2A7A"/>
    <w:rsid w:val="005F2A95"/>
    <w:rsid w:val="005F2AA1"/>
    <w:rsid w:val="005F2AC0"/>
    <w:rsid w:val="005F2AF5"/>
    <w:rsid w:val="005F2B1E"/>
    <w:rsid w:val="005F2B66"/>
    <w:rsid w:val="005F2B76"/>
    <w:rsid w:val="005F2B9F"/>
    <w:rsid w:val="005F2BF0"/>
    <w:rsid w:val="005F2C0D"/>
    <w:rsid w:val="005F2C60"/>
    <w:rsid w:val="005F2C61"/>
    <w:rsid w:val="005F2C82"/>
    <w:rsid w:val="005F2C9F"/>
    <w:rsid w:val="005F2CC5"/>
    <w:rsid w:val="005F2D03"/>
    <w:rsid w:val="005F2D37"/>
    <w:rsid w:val="005F2D7B"/>
    <w:rsid w:val="005F2DDB"/>
    <w:rsid w:val="005F2DE3"/>
    <w:rsid w:val="005F2EBF"/>
    <w:rsid w:val="005F2F0B"/>
    <w:rsid w:val="005F2F27"/>
    <w:rsid w:val="005F2F3F"/>
    <w:rsid w:val="005F2F47"/>
    <w:rsid w:val="005F2F75"/>
    <w:rsid w:val="005F2F7F"/>
    <w:rsid w:val="005F2FA2"/>
    <w:rsid w:val="005F305A"/>
    <w:rsid w:val="005F307E"/>
    <w:rsid w:val="005F30C6"/>
    <w:rsid w:val="005F310E"/>
    <w:rsid w:val="005F3179"/>
    <w:rsid w:val="005F3182"/>
    <w:rsid w:val="005F31E2"/>
    <w:rsid w:val="005F3266"/>
    <w:rsid w:val="005F326F"/>
    <w:rsid w:val="005F3283"/>
    <w:rsid w:val="005F3284"/>
    <w:rsid w:val="005F3291"/>
    <w:rsid w:val="005F32B9"/>
    <w:rsid w:val="005F32BF"/>
    <w:rsid w:val="005F32C2"/>
    <w:rsid w:val="005F3301"/>
    <w:rsid w:val="005F3324"/>
    <w:rsid w:val="005F332B"/>
    <w:rsid w:val="005F3346"/>
    <w:rsid w:val="005F33BA"/>
    <w:rsid w:val="005F33BB"/>
    <w:rsid w:val="005F33DC"/>
    <w:rsid w:val="005F3420"/>
    <w:rsid w:val="005F344F"/>
    <w:rsid w:val="005F3464"/>
    <w:rsid w:val="005F34A5"/>
    <w:rsid w:val="005F34AC"/>
    <w:rsid w:val="005F34DF"/>
    <w:rsid w:val="005F34F0"/>
    <w:rsid w:val="005F3519"/>
    <w:rsid w:val="005F3575"/>
    <w:rsid w:val="005F35B9"/>
    <w:rsid w:val="005F35CE"/>
    <w:rsid w:val="005F3615"/>
    <w:rsid w:val="005F3669"/>
    <w:rsid w:val="005F367E"/>
    <w:rsid w:val="005F36E8"/>
    <w:rsid w:val="005F3712"/>
    <w:rsid w:val="005F3717"/>
    <w:rsid w:val="005F3777"/>
    <w:rsid w:val="005F37AD"/>
    <w:rsid w:val="005F37D8"/>
    <w:rsid w:val="005F37E2"/>
    <w:rsid w:val="005F381B"/>
    <w:rsid w:val="005F3829"/>
    <w:rsid w:val="005F382E"/>
    <w:rsid w:val="005F3908"/>
    <w:rsid w:val="005F3954"/>
    <w:rsid w:val="005F3974"/>
    <w:rsid w:val="005F3977"/>
    <w:rsid w:val="005F397B"/>
    <w:rsid w:val="005F39CF"/>
    <w:rsid w:val="005F3A72"/>
    <w:rsid w:val="005F3AB0"/>
    <w:rsid w:val="005F3AFA"/>
    <w:rsid w:val="005F3B15"/>
    <w:rsid w:val="005F3B29"/>
    <w:rsid w:val="005F3BC2"/>
    <w:rsid w:val="005F3BCB"/>
    <w:rsid w:val="005F3C06"/>
    <w:rsid w:val="005F3C9F"/>
    <w:rsid w:val="005F3D49"/>
    <w:rsid w:val="005F3D75"/>
    <w:rsid w:val="005F3D8B"/>
    <w:rsid w:val="005F3DE0"/>
    <w:rsid w:val="005F3E34"/>
    <w:rsid w:val="005F3E83"/>
    <w:rsid w:val="005F3EBD"/>
    <w:rsid w:val="005F3EC2"/>
    <w:rsid w:val="005F3EE5"/>
    <w:rsid w:val="005F3EF4"/>
    <w:rsid w:val="005F3F2F"/>
    <w:rsid w:val="005F3F32"/>
    <w:rsid w:val="005F4016"/>
    <w:rsid w:val="005F401D"/>
    <w:rsid w:val="005F4036"/>
    <w:rsid w:val="005F4069"/>
    <w:rsid w:val="005F40EE"/>
    <w:rsid w:val="005F40F8"/>
    <w:rsid w:val="005F410F"/>
    <w:rsid w:val="005F41CF"/>
    <w:rsid w:val="005F4283"/>
    <w:rsid w:val="005F4296"/>
    <w:rsid w:val="005F42EA"/>
    <w:rsid w:val="005F42FB"/>
    <w:rsid w:val="005F4309"/>
    <w:rsid w:val="005F4388"/>
    <w:rsid w:val="005F4394"/>
    <w:rsid w:val="005F43FF"/>
    <w:rsid w:val="005F442F"/>
    <w:rsid w:val="005F444C"/>
    <w:rsid w:val="005F444E"/>
    <w:rsid w:val="005F4482"/>
    <w:rsid w:val="005F44A5"/>
    <w:rsid w:val="005F44B4"/>
    <w:rsid w:val="005F44DE"/>
    <w:rsid w:val="005F456D"/>
    <w:rsid w:val="005F459B"/>
    <w:rsid w:val="005F461F"/>
    <w:rsid w:val="005F4626"/>
    <w:rsid w:val="005F4633"/>
    <w:rsid w:val="005F4656"/>
    <w:rsid w:val="005F466D"/>
    <w:rsid w:val="005F4694"/>
    <w:rsid w:val="005F4701"/>
    <w:rsid w:val="005F4706"/>
    <w:rsid w:val="005F473C"/>
    <w:rsid w:val="005F4777"/>
    <w:rsid w:val="005F47BB"/>
    <w:rsid w:val="005F47FA"/>
    <w:rsid w:val="005F4899"/>
    <w:rsid w:val="005F48CD"/>
    <w:rsid w:val="005F4964"/>
    <w:rsid w:val="005F4988"/>
    <w:rsid w:val="005F49A4"/>
    <w:rsid w:val="005F49C7"/>
    <w:rsid w:val="005F49E2"/>
    <w:rsid w:val="005F4A03"/>
    <w:rsid w:val="005F4A24"/>
    <w:rsid w:val="005F4A81"/>
    <w:rsid w:val="005F4AED"/>
    <w:rsid w:val="005F4B36"/>
    <w:rsid w:val="005F4B47"/>
    <w:rsid w:val="005F4B8B"/>
    <w:rsid w:val="005F4BC1"/>
    <w:rsid w:val="005F4C09"/>
    <w:rsid w:val="005F4C27"/>
    <w:rsid w:val="005F4C3E"/>
    <w:rsid w:val="005F4C8C"/>
    <w:rsid w:val="005F4CD1"/>
    <w:rsid w:val="005F4D00"/>
    <w:rsid w:val="005F4D99"/>
    <w:rsid w:val="005F4DA6"/>
    <w:rsid w:val="005F4DAF"/>
    <w:rsid w:val="005F4DF5"/>
    <w:rsid w:val="005F4E25"/>
    <w:rsid w:val="005F4E29"/>
    <w:rsid w:val="005F4E89"/>
    <w:rsid w:val="005F4E99"/>
    <w:rsid w:val="005F4EC1"/>
    <w:rsid w:val="005F4EC8"/>
    <w:rsid w:val="005F4EE7"/>
    <w:rsid w:val="005F4F2F"/>
    <w:rsid w:val="005F4F45"/>
    <w:rsid w:val="005F4F7C"/>
    <w:rsid w:val="005F4F88"/>
    <w:rsid w:val="005F4FA1"/>
    <w:rsid w:val="005F4FEA"/>
    <w:rsid w:val="005F5025"/>
    <w:rsid w:val="005F506A"/>
    <w:rsid w:val="005F5090"/>
    <w:rsid w:val="005F50AB"/>
    <w:rsid w:val="005F50F5"/>
    <w:rsid w:val="005F513C"/>
    <w:rsid w:val="005F51CE"/>
    <w:rsid w:val="005F5224"/>
    <w:rsid w:val="005F5237"/>
    <w:rsid w:val="005F5255"/>
    <w:rsid w:val="005F5266"/>
    <w:rsid w:val="005F5271"/>
    <w:rsid w:val="005F5276"/>
    <w:rsid w:val="005F529F"/>
    <w:rsid w:val="005F52B1"/>
    <w:rsid w:val="005F52BC"/>
    <w:rsid w:val="005F5330"/>
    <w:rsid w:val="005F537A"/>
    <w:rsid w:val="005F53B6"/>
    <w:rsid w:val="005F53DD"/>
    <w:rsid w:val="005F53E8"/>
    <w:rsid w:val="005F543E"/>
    <w:rsid w:val="005F5450"/>
    <w:rsid w:val="005F545C"/>
    <w:rsid w:val="005F5468"/>
    <w:rsid w:val="005F5541"/>
    <w:rsid w:val="005F554F"/>
    <w:rsid w:val="005F555C"/>
    <w:rsid w:val="005F55A8"/>
    <w:rsid w:val="005F55CD"/>
    <w:rsid w:val="005F55F8"/>
    <w:rsid w:val="005F564C"/>
    <w:rsid w:val="005F564E"/>
    <w:rsid w:val="005F569B"/>
    <w:rsid w:val="005F56AE"/>
    <w:rsid w:val="005F56F0"/>
    <w:rsid w:val="005F5701"/>
    <w:rsid w:val="005F57A8"/>
    <w:rsid w:val="005F57CC"/>
    <w:rsid w:val="005F5841"/>
    <w:rsid w:val="005F5861"/>
    <w:rsid w:val="005F590A"/>
    <w:rsid w:val="005F5951"/>
    <w:rsid w:val="005F59A2"/>
    <w:rsid w:val="005F5A76"/>
    <w:rsid w:val="005F5B1B"/>
    <w:rsid w:val="005F5B45"/>
    <w:rsid w:val="005F5BB7"/>
    <w:rsid w:val="005F5BE7"/>
    <w:rsid w:val="005F5BFB"/>
    <w:rsid w:val="005F5CB5"/>
    <w:rsid w:val="005F5CD4"/>
    <w:rsid w:val="005F5CE4"/>
    <w:rsid w:val="005F5D1A"/>
    <w:rsid w:val="005F5D3A"/>
    <w:rsid w:val="005F5D83"/>
    <w:rsid w:val="005F5DAB"/>
    <w:rsid w:val="005F5DB8"/>
    <w:rsid w:val="005F5E1F"/>
    <w:rsid w:val="005F5E93"/>
    <w:rsid w:val="005F5EA5"/>
    <w:rsid w:val="005F5EB2"/>
    <w:rsid w:val="005F5EE4"/>
    <w:rsid w:val="005F5F32"/>
    <w:rsid w:val="005F5F34"/>
    <w:rsid w:val="005F5F38"/>
    <w:rsid w:val="005F5F66"/>
    <w:rsid w:val="005F5F8E"/>
    <w:rsid w:val="005F5FC7"/>
    <w:rsid w:val="005F6049"/>
    <w:rsid w:val="005F60C6"/>
    <w:rsid w:val="005F60CC"/>
    <w:rsid w:val="005F60EB"/>
    <w:rsid w:val="005F6121"/>
    <w:rsid w:val="005F6157"/>
    <w:rsid w:val="005F61A7"/>
    <w:rsid w:val="005F61ED"/>
    <w:rsid w:val="005F622B"/>
    <w:rsid w:val="005F62C5"/>
    <w:rsid w:val="005F62E1"/>
    <w:rsid w:val="005F633E"/>
    <w:rsid w:val="005F6362"/>
    <w:rsid w:val="005F6379"/>
    <w:rsid w:val="005F63F1"/>
    <w:rsid w:val="005F6411"/>
    <w:rsid w:val="005F6458"/>
    <w:rsid w:val="005F64E4"/>
    <w:rsid w:val="005F64F7"/>
    <w:rsid w:val="005F6501"/>
    <w:rsid w:val="005F650B"/>
    <w:rsid w:val="005F657A"/>
    <w:rsid w:val="005F6620"/>
    <w:rsid w:val="005F6624"/>
    <w:rsid w:val="005F6688"/>
    <w:rsid w:val="005F668F"/>
    <w:rsid w:val="005F66B7"/>
    <w:rsid w:val="005F66C3"/>
    <w:rsid w:val="005F66D2"/>
    <w:rsid w:val="005F66D3"/>
    <w:rsid w:val="005F670D"/>
    <w:rsid w:val="005F673D"/>
    <w:rsid w:val="005F673F"/>
    <w:rsid w:val="005F674D"/>
    <w:rsid w:val="005F677E"/>
    <w:rsid w:val="005F6798"/>
    <w:rsid w:val="005F679B"/>
    <w:rsid w:val="005F67C9"/>
    <w:rsid w:val="005F6828"/>
    <w:rsid w:val="005F682B"/>
    <w:rsid w:val="005F6883"/>
    <w:rsid w:val="005F6890"/>
    <w:rsid w:val="005F68A0"/>
    <w:rsid w:val="005F68AE"/>
    <w:rsid w:val="005F68BB"/>
    <w:rsid w:val="005F68D9"/>
    <w:rsid w:val="005F690F"/>
    <w:rsid w:val="005F6915"/>
    <w:rsid w:val="005F6923"/>
    <w:rsid w:val="005F694A"/>
    <w:rsid w:val="005F69AB"/>
    <w:rsid w:val="005F69B0"/>
    <w:rsid w:val="005F69BD"/>
    <w:rsid w:val="005F69C6"/>
    <w:rsid w:val="005F6A16"/>
    <w:rsid w:val="005F6A1C"/>
    <w:rsid w:val="005F6A53"/>
    <w:rsid w:val="005F6A85"/>
    <w:rsid w:val="005F6A94"/>
    <w:rsid w:val="005F6AAA"/>
    <w:rsid w:val="005F6AAD"/>
    <w:rsid w:val="005F6AF4"/>
    <w:rsid w:val="005F6B29"/>
    <w:rsid w:val="005F6B2A"/>
    <w:rsid w:val="005F6BEA"/>
    <w:rsid w:val="005F6C10"/>
    <w:rsid w:val="005F6C96"/>
    <w:rsid w:val="005F6CBF"/>
    <w:rsid w:val="005F6CD2"/>
    <w:rsid w:val="005F6CF3"/>
    <w:rsid w:val="005F6D05"/>
    <w:rsid w:val="005F6D22"/>
    <w:rsid w:val="005F6D5A"/>
    <w:rsid w:val="005F6D6A"/>
    <w:rsid w:val="005F6D89"/>
    <w:rsid w:val="005F6DB7"/>
    <w:rsid w:val="005F6DCD"/>
    <w:rsid w:val="005F6DEA"/>
    <w:rsid w:val="005F6DF7"/>
    <w:rsid w:val="005F6E77"/>
    <w:rsid w:val="005F6E9A"/>
    <w:rsid w:val="005F6EB1"/>
    <w:rsid w:val="005F6EEF"/>
    <w:rsid w:val="005F6F55"/>
    <w:rsid w:val="005F6F83"/>
    <w:rsid w:val="005F6FE6"/>
    <w:rsid w:val="005F701A"/>
    <w:rsid w:val="005F703C"/>
    <w:rsid w:val="005F708F"/>
    <w:rsid w:val="005F70A4"/>
    <w:rsid w:val="005F7185"/>
    <w:rsid w:val="005F7191"/>
    <w:rsid w:val="005F719F"/>
    <w:rsid w:val="005F71AF"/>
    <w:rsid w:val="005F71E1"/>
    <w:rsid w:val="005F71E6"/>
    <w:rsid w:val="005F7252"/>
    <w:rsid w:val="005F7289"/>
    <w:rsid w:val="005F72B4"/>
    <w:rsid w:val="005F72CE"/>
    <w:rsid w:val="005F72D7"/>
    <w:rsid w:val="005F7367"/>
    <w:rsid w:val="005F7368"/>
    <w:rsid w:val="005F73B7"/>
    <w:rsid w:val="005F73BF"/>
    <w:rsid w:val="005F73C4"/>
    <w:rsid w:val="005F7412"/>
    <w:rsid w:val="005F7413"/>
    <w:rsid w:val="005F7419"/>
    <w:rsid w:val="005F7477"/>
    <w:rsid w:val="005F747F"/>
    <w:rsid w:val="005F7481"/>
    <w:rsid w:val="005F7490"/>
    <w:rsid w:val="005F7499"/>
    <w:rsid w:val="005F74FD"/>
    <w:rsid w:val="005F7504"/>
    <w:rsid w:val="005F7514"/>
    <w:rsid w:val="005F751D"/>
    <w:rsid w:val="005F758D"/>
    <w:rsid w:val="005F75AB"/>
    <w:rsid w:val="005F75E2"/>
    <w:rsid w:val="005F75E6"/>
    <w:rsid w:val="005F75FC"/>
    <w:rsid w:val="005F761D"/>
    <w:rsid w:val="005F761F"/>
    <w:rsid w:val="005F764D"/>
    <w:rsid w:val="005F7657"/>
    <w:rsid w:val="005F7678"/>
    <w:rsid w:val="005F767D"/>
    <w:rsid w:val="005F769D"/>
    <w:rsid w:val="005F76AD"/>
    <w:rsid w:val="005F76E3"/>
    <w:rsid w:val="005F76E5"/>
    <w:rsid w:val="005F7714"/>
    <w:rsid w:val="005F7736"/>
    <w:rsid w:val="005F779D"/>
    <w:rsid w:val="005F77AE"/>
    <w:rsid w:val="005F77B5"/>
    <w:rsid w:val="005F77F4"/>
    <w:rsid w:val="005F77FE"/>
    <w:rsid w:val="005F7822"/>
    <w:rsid w:val="005F7833"/>
    <w:rsid w:val="005F789D"/>
    <w:rsid w:val="005F78D5"/>
    <w:rsid w:val="005F78F2"/>
    <w:rsid w:val="005F7932"/>
    <w:rsid w:val="005F79CF"/>
    <w:rsid w:val="005F79D1"/>
    <w:rsid w:val="005F79E3"/>
    <w:rsid w:val="005F79F0"/>
    <w:rsid w:val="005F79FB"/>
    <w:rsid w:val="005F7A32"/>
    <w:rsid w:val="005F7A4D"/>
    <w:rsid w:val="005F7B38"/>
    <w:rsid w:val="005F7B62"/>
    <w:rsid w:val="005F7BF4"/>
    <w:rsid w:val="005F7C29"/>
    <w:rsid w:val="005F7C2F"/>
    <w:rsid w:val="005F7C36"/>
    <w:rsid w:val="005F7C65"/>
    <w:rsid w:val="005F7CFE"/>
    <w:rsid w:val="005F7D01"/>
    <w:rsid w:val="005F7D22"/>
    <w:rsid w:val="005F7D32"/>
    <w:rsid w:val="005F7D5F"/>
    <w:rsid w:val="005F7DBC"/>
    <w:rsid w:val="005F7DD7"/>
    <w:rsid w:val="005F7DFD"/>
    <w:rsid w:val="005F7E01"/>
    <w:rsid w:val="005F7E1C"/>
    <w:rsid w:val="005F7E23"/>
    <w:rsid w:val="005F7E53"/>
    <w:rsid w:val="005F7EA9"/>
    <w:rsid w:val="005F7F03"/>
    <w:rsid w:val="005F7FA0"/>
    <w:rsid w:val="00600020"/>
    <w:rsid w:val="00600050"/>
    <w:rsid w:val="00600059"/>
    <w:rsid w:val="00600075"/>
    <w:rsid w:val="0060008F"/>
    <w:rsid w:val="00600091"/>
    <w:rsid w:val="00600092"/>
    <w:rsid w:val="0060009A"/>
    <w:rsid w:val="006000F1"/>
    <w:rsid w:val="00600116"/>
    <w:rsid w:val="00600126"/>
    <w:rsid w:val="006001AD"/>
    <w:rsid w:val="00600217"/>
    <w:rsid w:val="0060024D"/>
    <w:rsid w:val="00600251"/>
    <w:rsid w:val="00600299"/>
    <w:rsid w:val="006002BF"/>
    <w:rsid w:val="006002DD"/>
    <w:rsid w:val="006002F4"/>
    <w:rsid w:val="00600328"/>
    <w:rsid w:val="00600332"/>
    <w:rsid w:val="00600345"/>
    <w:rsid w:val="00600366"/>
    <w:rsid w:val="006003C7"/>
    <w:rsid w:val="006003D7"/>
    <w:rsid w:val="006004E6"/>
    <w:rsid w:val="00600501"/>
    <w:rsid w:val="00600514"/>
    <w:rsid w:val="0060052F"/>
    <w:rsid w:val="00600548"/>
    <w:rsid w:val="00600550"/>
    <w:rsid w:val="00600567"/>
    <w:rsid w:val="00600572"/>
    <w:rsid w:val="0060058D"/>
    <w:rsid w:val="006005B3"/>
    <w:rsid w:val="006005C2"/>
    <w:rsid w:val="00600609"/>
    <w:rsid w:val="0060068C"/>
    <w:rsid w:val="0060069C"/>
    <w:rsid w:val="006006C2"/>
    <w:rsid w:val="006006E2"/>
    <w:rsid w:val="0060073C"/>
    <w:rsid w:val="00600794"/>
    <w:rsid w:val="00600799"/>
    <w:rsid w:val="006007F0"/>
    <w:rsid w:val="00600803"/>
    <w:rsid w:val="0060085D"/>
    <w:rsid w:val="0060087C"/>
    <w:rsid w:val="0060088B"/>
    <w:rsid w:val="006008EC"/>
    <w:rsid w:val="00600907"/>
    <w:rsid w:val="00600993"/>
    <w:rsid w:val="006009AF"/>
    <w:rsid w:val="006009B9"/>
    <w:rsid w:val="00600ABC"/>
    <w:rsid w:val="00600B0F"/>
    <w:rsid w:val="00600BC8"/>
    <w:rsid w:val="00600C81"/>
    <w:rsid w:val="00600C9B"/>
    <w:rsid w:val="00600CA0"/>
    <w:rsid w:val="00600CAD"/>
    <w:rsid w:val="00600CB0"/>
    <w:rsid w:val="00600D53"/>
    <w:rsid w:val="00600D72"/>
    <w:rsid w:val="00600DBD"/>
    <w:rsid w:val="00600DE2"/>
    <w:rsid w:val="00600DE8"/>
    <w:rsid w:val="00600E02"/>
    <w:rsid w:val="00600E05"/>
    <w:rsid w:val="00600E09"/>
    <w:rsid w:val="00600E0E"/>
    <w:rsid w:val="00600E12"/>
    <w:rsid w:val="00600E28"/>
    <w:rsid w:val="00600E4E"/>
    <w:rsid w:val="00600E58"/>
    <w:rsid w:val="00600E78"/>
    <w:rsid w:val="00600E9E"/>
    <w:rsid w:val="00600EC3"/>
    <w:rsid w:val="00600EC6"/>
    <w:rsid w:val="00600EF5"/>
    <w:rsid w:val="00600F9E"/>
    <w:rsid w:val="00600FBB"/>
    <w:rsid w:val="0060104E"/>
    <w:rsid w:val="00601078"/>
    <w:rsid w:val="0060107D"/>
    <w:rsid w:val="00601091"/>
    <w:rsid w:val="006010B5"/>
    <w:rsid w:val="006010BA"/>
    <w:rsid w:val="00601117"/>
    <w:rsid w:val="00601124"/>
    <w:rsid w:val="0060115E"/>
    <w:rsid w:val="00601166"/>
    <w:rsid w:val="006011C7"/>
    <w:rsid w:val="006011F6"/>
    <w:rsid w:val="0060126B"/>
    <w:rsid w:val="0060126E"/>
    <w:rsid w:val="00601287"/>
    <w:rsid w:val="006012BD"/>
    <w:rsid w:val="00601306"/>
    <w:rsid w:val="00601343"/>
    <w:rsid w:val="00601363"/>
    <w:rsid w:val="00601368"/>
    <w:rsid w:val="00601385"/>
    <w:rsid w:val="006013B8"/>
    <w:rsid w:val="0060143C"/>
    <w:rsid w:val="00601468"/>
    <w:rsid w:val="006014B8"/>
    <w:rsid w:val="0060154E"/>
    <w:rsid w:val="0060155D"/>
    <w:rsid w:val="006015F5"/>
    <w:rsid w:val="00601640"/>
    <w:rsid w:val="00601673"/>
    <w:rsid w:val="00601675"/>
    <w:rsid w:val="006016A9"/>
    <w:rsid w:val="00601715"/>
    <w:rsid w:val="0060171D"/>
    <w:rsid w:val="0060174C"/>
    <w:rsid w:val="00601752"/>
    <w:rsid w:val="0060175B"/>
    <w:rsid w:val="0060175C"/>
    <w:rsid w:val="006017AE"/>
    <w:rsid w:val="00601830"/>
    <w:rsid w:val="00601853"/>
    <w:rsid w:val="00601854"/>
    <w:rsid w:val="00601880"/>
    <w:rsid w:val="00601882"/>
    <w:rsid w:val="0060189F"/>
    <w:rsid w:val="006018A5"/>
    <w:rsid w:val="006018CC"/>
    <w:rsid w:val="006018F0"/>
    <w:rsid w:val="00601922"/>
    <w:rsid w:val="00601933"/>
    <w:rsid w:val="00601970"/>
    <w:rsid w:val="006019C0"/>
    <w:rsid w:val="00601A71"/>
    <w:rsid w:val="00601A77"/>
    <w:rsid w:val="00601A7D"/>
    <w:rsid w:val="00601A91"/>
    <w:rsid w:val="00601B27"/>
    <w:rsid w:val="00601B54"/>
    <w:rsid w:val="00601BC1"/>
    <w:rsid w:val="00601BC6"/>
    <w:rsid w:val="00601C17"/>
    <w:rsid w:val="00601C5C"/>
    <w:rsid w:val="00601C7D"/>
    <w:rsid w:val="00601CAD"/>
    <w:rsid w:val="00601D6F"/>
    <w:rsid w:val="00601D79"/>
    <w:rsid w:val="00601D7F"/>
    <w:rsid w:val="00601D88"/>
    <w:rsid w:val="00601DD9"/>
    <w:rsid w:val="00601DFE"/>
    <w:rsid w:val="00601EFC"/>
    <w:rsid w:val="00601F66"/>
    <w:rsid w:val="00601FAD"/>
    <w:rsid w:val="00601FF7"/>
    <w:rsid w:val="00601FFF"/>
    <w:rsid w:val="00602002"/>
    <w:rsid w:val="0060200F"/>
    <w:rsid w:val="0060203A"/>
    <w:rsid w:val="00602066"/>
    <w:rsid w:val="0060208B"/>
    <w:rsid w:val="0060209A"/>
    <w:rsid w:val="006020A1"/>
    <w:rsid w:val="006020D1"/>
    <w:rsid w:val="00602167"/>
    <w:rsid w:val="00602186"/>
    <w:rsid w:val="006021E1"/>
    <w:rsid w:val="00602202"/>
    <w:rsid w:val="0060223E"/>
    <w:rsid w:val="0060228E"/>
    <w:rsid w:val="006022A2"/>
    <w:rsid w:val="006022A3"/>
    <w:rsid w:val="006022B3"/>
    <w:rsid w:val="006022D6"/>
    <w:rsid w:val="00602312"/>
    <w:rsid w:val="006023A0"/>
    <w:rsid w:val="006023FD"/>
    <w:rsid w:val="00602454"/>
    <w:rsid w:val="0060245B"/>
    <w:rsid w:val="00602466"/>
    <w:rsid w:val="006024CB"/>
    <w:rsid w:val="006024DF"/>
    <w:rsid w:val="006024F6"/>
    <w:rsid w:val="006024F7"/>
    <w:rsid w:val="00602566"/>
    <w:rsid w:val="006025A5"/>
    <w:rsid w:val="006025B3"/>
    <w:rsid w:val="006025C5"/>
    <w:rsid w:val="006025DC"/>
    <w:rsid w:val="00602625"/>
    <w:rsid w:val="0060262B"/>
    <w:rsid w:val="0060263C"/>
    <w:rsid w:val="00602684"/>
    <w:rsid w:val="006026D2"/>
    <w:rsid w:val="006026DF"/>
    <w:rsid w:val="0060270F"/>
    <w:rsid w:val="0060272F"/>
    <w:rsid w:val="0060277B"/>
    <w:rsid w:val="006027A0"/>
    <w:rsid w:val="006027F3"/>
    <w:rsid w:val="00602805"/>
    <w:rsid w:val="0060280A"/>
    <w:rsid w:val="0060280C"/>
    <w:rsid w:val="00602813"/>
    <w:rsid w:val="00602832"/>
    <w:rsid w:val="00602907"/>
    <w:rsid w:val="00602925"/>
    <w:rsid w:val="0060293E"/>
    <w:rsid w:val="00602945"/>
    <w:rsid w:val="00602956"/>
    <w:rsid w:val="00602979"/>
    <w:rsid w:val="00602989"/>
    <w:rsid w:val="00602A88"/>
    <w:rsid w:val="00602A89"/>
    <w:rsid w:val="00602A90"/>
    <w:rsid w:val="00602AAC"/>
    <w:rsid w:val="00602AF1"/>
    <w:rsid w:val="00602B2E"/>
    <w:rsid w:val="00602B3E"/>
    <w:rsid w:val="00602B6C"/>
    <w:rsid w:val="00602B72"/>
    <w:rsid w:val="00602B99"/>
    <w:rsid w:val="00602BC2"/>
    <w:rsid w:val="00602C1C"/>
    <w:rsid w:val="00602C2B"/>
    <w:rsid w:val="00602C36"/>
    <w:rsid w:val="00602C4B"/>
    <w:rsid w:val="00602C4F"/>
    <w:rsid w:val="00602C80"/>
    <w:rsid w:val="00602CF8"/>
    <w:rsid w:val="00602D27"/>
    <w:rsid w:val="00602D2F"/>
    <w:rsid w:val="00602D6B"/>
    <w:rsid w:val="00602D7A"/>
    <w:rsid w:val="00602D9F"/>
    <w:rsid w:val="00602E0B"/>
    <w:rsid w:val="00602E30"/>
    <w:rsid w:val="00602E73"/>
    <w:rsid w:val="00602F09"/>
    <w:rsid w:val="00602F6B"/>
    <w:rsid w:val="00602FB0"/>
    <w:rsid w:val="00603010"/>
    <w:rsid w:val="00603032"/>
    <w:rsid w:val="0060303A"/>
    <w:rsid w:val="00603095"/>
    <w:rsid w:val="006030A5"/>
    <w:rsid w:val="006030A7"/>
    <w:rsid w:val="006030E0"/>
    <w:rsid w:val="00603107"/>
    <w:rsid w:val="006031BD"/>
    <w:rsid w:val="006031D5"/>
    <w:rsid w:val="006031D8"/>
    <w:rsid w:val="006031EF"/>
    <w:rsid w:val="00603254"/>
    <w:rsid w:val="0060325A"/>
    <w:rsid w:val="006032AD"/>
    <w:rsid w:val="006032C4"/>
    <w:rsid w:val="006032E3"/>
    <w:rsid w:val="00603353"/>
    <w:rsid w:val="00603357"/>
    <w:rsid w:val="00603371"/>
    <w:rsid w:val="00603388"/>
    <w:rsid w:val="00603398"/>
    <w:rsid w:val="006033AE"/>
    <w:rsid w:val="00603403"/>
    <w:rsid w:val="0060341D"/>
    <w:rsid w:val="00603429"/>
    <w:rsid w:val="00603441"/>
    <w:rsid w:val="006034CC"/>
    <w:rsid w:val="0060351E"/>
    <w:rsid w:val="00603539"/>
    <w:rsid w:val="0060359E"/>
    <w:rsid w:val="0060362D"/>
    <w:rsid w:val="0060369C"/>
    <w:rsid w:val="006036B5"/>
    <w:rsid w:val="006036E7"/>
    <w:rsid w:val="006036ED"/>
    <w:rsid w:val="00603753"/>
    <w:rsid w:val="006037D6"/>
    <w:rsid w:val="00603806"/>
    <w:rsid w:val="00603812"/>
    <w:rsid w:val="0060382E"/>
    <w:rsid w:val="00603843"/>
    <w:rsid w:val="00603844"/>
    <w:rsid w:val="0060385E"/>
    <w:rsid w:val="0060388D"/>
    <w:rsid w:val="00603895"/>
    <w:rsid w:val="006038D9"/>
    <w:rsid w:val="00603A17"/>
    <w:rsid w:val="00603A22"/>
    <w:rsid w:val="00603A36"/>
    <w:rsid w:val="00603A4A"/>
    <w:rsid w:val="00603ACF"/>
    <w:rsid w:val="00603AEB"/>
    <w:rsid w:val="00603B31"/>
    <w:rsid w:val="00603B5D"/>
    <w:rsid w:val="00603B62"/>
    <w:rsid w:val="00603B73"/>
    <w:rsid w:val="00603B7F"/>
    <w:rsid w:val="00603C12"/>
    <w:rsid w:val="00603D1B"/>
    <w:rsid w:val="00603D63"/>
    <w:rsid w:val="00603D82"/>
    <w:rsid w:val="00603E48"/>
    <w:rsid w:val="00603E7D"/>
    <w:rsid w:val="00603EAA"/>
    <w:rsid w:val="00603F01"/>
    <w:rsid w:val="00603F16"/>
    <w:rsid w:val="00603F50"/>
    <w:rsid w:val="00603F62"/>
    <w:rsid w:val="00603F81"/>
    <w:rsid w:val="00603FC4"/>
    <w:rsid w:val="00603FF5"/>
    <w:rsid w:val="00604025"/>
    <w:rsid w:val="00604121"/>
    <w:rsid w:val="00604141"/>
    <w:rsid w:val="00604144"/>
    <w:rsid w:val="00604166"/>
    <w:rsid w:val="00604184"/>
    <w:rsid w:val="006041B4"/>
    <w:rsid w:val="006041B5"/>
    <w:rsid w:val="006041C6"/>
    <w:rsid w:val="006041F4"/>
    <w:rsid w:val="00604246"/>
    <w:rsid w:val="00604254"/>
    <w:rsid w:val="00604269"/>
    <w:rsid w:val="006042A1"/>
    <w:rsid w:val="0060434C"/>
    <w:rsid w:val="0060439C"/>
    <w:rsid w:val="00604408"/>
    <w:rsid w:val="0060440A"/>
    <w:rsid w:val="00604420"/>
    <w:rsid w:val="00604426"/>
    <w:rsid w:val="0060442A"/>
    <w:rsid w:val="00604463"/>
    <w:rsid w:val="006044B8"/>
    <w:rsid w:val="00604538"/>
    <w:rsid w:val="00604598"/>
    <w:rsid w:val="006045DB"/>
    <w:rsid w:val="00604643"/>
    <w:rsid w:val="00604672"/>
    <w:rsid w:val="00604683"/>
    <w:rsid w:val="0060468D"/>
    <w:rsid w:val="0060469D"/>
    <w:rsid w:val="006046CC"/>
    <w:rsid w:val="0060472B"/>
    <w:rsid w:val="0060478C"/>
    <w:rsid w:val="006047B5"/>
    <w:rsid w:val="006047C3"/>
    <w:rsid w:val="006047DD"/>
    <w:rsid w:val="0060480A"/>
    <w:rsid w:val="00604877"/>
    <w:rsid w:val="00604880"/>
    <w:rsid w:val="006048BF"/>
    <w:rsid w:val="00604937"/>
    <w:rsid w:val="00604942"/>
    <w:rsid w:val="00604950"/>
    <w:rsid w:val="006049D2"/>
    <w:rsid w:val="00604A6E"/>
    <w:rsid w:val="00604A74"/>
    <w:rsid w:val="00604ADE"/>
    <w:rsid w:val="00604B0E"/>
    <w:rsid w:val="00604B33"/>
    <w:rsid w:val="00604B58"/>
    <w:rsid w:val="00604B6B"/>
    <w:rsid w:val="00604BDF"/>
    <w:rsid w:val="00604BEA"/>
    <w:rsid w:val="00604C01"/>
    <w:rsid w:val="00604C15"/>
    <w:rsid w:val="00604C22"/>
    <w:rsid w:val="00604C2A"/>
    <w:rsid w:val="00604C4E"/>
    <w:rsid w:val="00604DD9"/>
    <w:rsid w:val="00604E7F"/>
    <w:rsid w:val="00604F2A"/>
    <w:rsid w:val="00604F85"/>
    <w:rsid w:val="00604FAF"/>
    <w:rsid w:val="00604FD0"/>
    <w:rsid w:val="00604FDE"/>
    <w:rsid w:val="0060502D"/>
    <w:rsid w:val="00605054"/>
    <w:rsid w:val="006050CF"/>
    <w:rsid w:val="00605136"/>
    <w:rsid w:val="006051F1"/>
    <w:rsid w:val="0060521A"/>
    <w:rsid w:val="0060521F"/>
    <w:rsid w:val="00605262"/>
    <w:rsid w:val="0060529D"/>
    <w:rsid w:val="006052C4"/>
    <w:rsid w:val="006052F0"/>
    <w:rsid w:val="00605346"/>
    <w:rsid w:val="00605366"/>
    <w:rsid w:val="00605391"/>
    <w:rsid w:val="006053A5"/>
    <w:rsid w:val="006053B7"/>
    <w:rsid w:val="006053C4"/>
    <w:rsid w:val="006053C8"/>
    <w:rsid w:val="006053ED"/>
    <w:rsid w:val="00605427"/>
    <w:rsid w:val="00605483"/>
    <w:rsid w:val="00605498"/>
    <w:rsid w:val="006054BD"/>
    <w:rsid w:val="0060557D"/>
    <w:rsid w:val="00605591"/>
    <w:rsid w:val="006055DE"/>
    <w:rsid w:val="0060560C"/>
    <w:rsid w:val="00605623"/>
    <w:rsid w:val="006056DF"/>
    <w:rsid w:val="006056E5"/>
    <w:rsid w:val="00605798"/>
    <w:rsid w:val="006057B6"/>
    <w:rsid w:val="006057E3"/>
    <w:rsid w:val="006057FB"/>
    <w:rsid w:val="00605801"/>
    <w:rsid w:val="00605825"/>
    <w:rsid w:val="00605830"/>
    <w:rsid w:val="0060584C"/>
    <w:rsid w:val="0060585E"/>
    <w:rsid w:val="0060586C"/>
    <w:rsid w:val="006058BB"/>
    <w:rsid w:val="006058C1"/>
    <w:rsid w:val="006058C6"/>
    <w:rsid w:val="006058FD"/>
    <w:rsid w:val="0060594B"/>
    <w:rsid w:val="0060595D"/>
    <w:rsid w:val="006059D8"/>
    <w:rsid w:val="00605A34"/>
    <w:rsid w:val="00605A5C"/>
    <w:rsid w:val="00605A6E"/>
    <w:rsid w:val="00605A89"/>
    <w:rsid w:val="00605AA1"/>
    <w:rsid w:val="00605B1C"/>
    <w:rsid w:val="00605B54"/>
    <w:rsid w:val="00605BB1"/>
    <w:rsid w:val="00605C1E"/>
    <w:rsid w:val="00605C2F"/>
    <w:rsid w:val="00605C54"/>
    <w:rsid w:val="00605C55"/>
    <w:rsid w:val="00605CB4"/>
    <w:rsid w:val="00605CF7"/>
    <w:rsid w:val="00605D03"/>
    <w:rsid w:val="00605D1F"/>
    <w:rsid w:val="00605D22"/>
    <w:rsid w:val="00605D6B"/>
    <w:rsid w:val="00605DB0"/>
    <w:rsid w:val="00605DE4"/>
    <w:rsid w:val="00605DEF"/>
    <w:rsid w:val="00605E1B"/>
    <w:rsid w:val="00605E2C"/>
    <w:rsid w:val="00605EA6"/>
    <w:rsid w:val="00605F6B"/>
    <w:rsid w:val="00605FCC"/>
    <w:rsid w:val="00605FD6"/>
    <w:rsid w:val="00606006"/>
    <w:rsid w:val="0060602F"/>
    <w:rsid w:val="0060604B"/>
    <w:rsid w:val="0060606E"/>
    <w:rsid w:val="006060DC"/>
    <w:rsid w:val="006060DE"/>
    <w:rsid w:val="0060611A"/>
    <w:rsid w:val="00606152"/>
    <w:rsid w:val="006061A5"/>
    <w:rsid w:val="006061C4"/>
    <w:rsid w:val="00606247"/>
    <w:rsid w:val="006062F5"/>
    <w:rsid w:val="0060635C"/>
    <w:rsid w:val="00606389"/>
    <w:rsid w:val="006063A4"/>
    <w:rsid w:val="00606412"/>
    <w:rsid w:val="0060642D"/>
    <w:rsid w:val="00606433"/>
    <w:rsid w:val="0060643B"/>
    <w:rsid w:val="00606481"/>
    <w:rsid w:val="006064BF"/>
    <w:rsid w:val="006064FB"/>
    <w:rsid w:val="0060651B"/>
    <w:rsid w:val="00606535"/>
    <w:rsid w:val="0060655F"/>
    <w:rsid w:val="006065B3"/>
    <w:rsid w:val="006065CA"/>
    <w:rsid w:val="00606637"/>
    <w:rsid w:val="00606697"/>
    <w:rsid w:val="006066A1"/>
    <w:rsid w:val="006066D0"/>
    <w:rsid w:val="006066D9"/>
    <w:rsid w:val="0060676F"/>
    <w:rsid w:val="006067ED"/>
    <w:rsid w:val="0060680B"/>
    <w:rsid w:val="0060682E"/>
    <w:rsid w:val="00606856"/>
    <w:rsid w:val="00606874"/>
    <w:rsid w:val="006068BC"/>
    <w:rsid w:val="006068D3"/>
    <w:rsid w:val="006068EC"/>
    <w:rsid w:val="006068F8"/>
    <w:rsid w:val="0060699E"/>
    <w:rsid w:val="006069AF"/>
    <w:rsid w:val="006069E6"/>
    <w:rsid w:val="00606A34"/>
    <w:rsid w:val="00606A40"/>
    <w:rsid w:val="00606A4F"/>
    <w:rsid w:val="00606A88"/>
    <w:rsid w:val="00606ACB"/>
    <w:rsid w:val="00606AE6"/>
    <w:rsid w:val="00606B7D"/>
    <w:rsid w:val="00606B88"/>
    <w:rsid w:val="00606BB7"/>
    <w:rsid w:val="00606C15"/>
    <w:rsid w:val="00606C4A"/>
    <w:rsid w:val="00606C80"/>
    <w:rsid w:val="00606CC8"/>
    <w:rsid w:val="00606D09"/>
    <w:rsid w:val="00606D12"/>
    <w:rsid w:val="00606D22"/>
    <w:rsid w:val="00606DA8"/>
    <w:rsid w:val="00606DAD"/>
    <w:rsid w:val="00606DE8"/>
    <w:rsid w:val="00606DF1"/>
    <w:rsid w:val="00606E06"/>
    <w:rsid w:val="00606E07"/>
    <w:rsid w:val="00606E44"/>
    <w:rsid w:val="00606E7D"/>
    <w:rsid w:val="00606EB5"/>
    <w:rsid w:val="00606F07"/>
    <w:rsid w:val="00606FC1"/>
    <w:rsid w:val="00606FC9"/>
    <w:rsid w:val="00607082"/>
    <w:rsid w:val="006070AB"/>
    <w:rsid w:val="0060711B"/>
    <w:rsid w:val="00607131"/>
    <w:rsid w:val="006071A2"/>
    <w:rsid w:val="006071A9"/>
    <w:rsid w:val="006071B9"/>
    <w:rsid w:val="006071D1"/>
    <w:rsid w:val="00607224"/>
    <w:rsid w:val="0060722C"/>
    <w:rsid w:val="00607236"/>
    <w:rsid w:val="00607290"/>
    <w:rsid w:val="006072C9"/>
    <w:rsid w:val="00607337"/>
    <w:rsid w:val="00607339"/>
    <w:rsid w:val="0060738A"/>
    <w:rsid w:val="00607394"/>
    <w:rsid w:val="0060739C"/>
    <w:rsid w:val="006073A4"/>
    <w:rsid w:val="006073F5"/>
    <w:rsid w:val="006073F6"/>
    <w:rsid w:val="00607470"/>
    <w:rsid w:val="006074BE"/>
    <w:rsid w:val="006074C4"/>
    <w:rsid w:val="006074F1"/>
    <w:rsid w:val="0060752D"/>
    <w:rsid w:val="0060752F"/>
    <w:rsid w:val="0060754E"/>
    <w:rsid w:val="0060755F"/>
    <w:rsid w:val="0060757E"/>
    <w:rsid w:val="006075B1"/>
    <w:rsid w:val="00607608"/>
    <w:rsid w:val="00607626"/>
    <w:rsid w:val="0060765D"/>
    <w:rsid w:val="006076BC"/>
    <w:rsid w:val="006076D7"/>
    <w:rsid w:val="0060772C"/>
    <w:rsid w:val="0060775A"/>
    <w:rsid w:val="00607772"/>
    <w:rsid w:val="00607777"/>
    <w:rsid w:val="00607784"/>
    <w:rsid w:val="006077FA"/>
    <w:rsid w:val="00607804"/>
    <w:rsid w:val="00607831"/>
    <w:rsid w:val="00607873"/>
    <w:rsid w:val="00607881"/>
    <w:rsid w:val="006078A7"/>
    <w:rsid w:val="006078F0"/>
    <w:rsid w:val="00607957"/>
    <w:rsid w:val="0060797E"/>
    <w:rsid w:val="006079AC"/>
    <w:rsid w:val="006079B8"/>
    <w:rsid w:val="006079C1"/>
    <w:rsid w:val="00607A05"/>
    <w:rsid w:val="00607A22"/>
    <w:rsid w:val="00607A45"/>
    <w:rsid w:val="00607ADF"/>
    <w:rsid w:val="00607AED"/>
    <w:rsid w:val="00607AF6"/>
    <w:rsid w:val="00607B1F"/>
    <w:rsid w:val="00607B76"/>
    <w:rsid w:val="00607B7F"/>
    <w:rsid w:val="00607B8A"/>
    <w:rsid w:val="00607B9E"/>
    <w:rsid w:val="00607BA3"/>
    <w:rsid w:val="00607BBD"/>
    <w:rsid w:val="00607C21"/>
    <w:rsid w:val="00607C2B"/>
    <w:rsid w:val="00607CC7"/>
    <w:rsid w:val="00607CF1"/>
    <w:rsid w:val="00607D14"/>
    <w:rsid w:val="00607D4A"/>
    <w:rsid w:val="00607D53"/>
    <w:rsid w:val="00607D5E"/>
    <w:rsid w:val="00607DB1"/>
    <w:rsid w:val="00607DB4"/>
    <w:rsid w:val="00607DC5"/>
    <w:rsid w:val="00607DE1"/>
    <w:rsid w:val="00607DEE"/>
    <w:rsid w:val="00607E0F"/>
    <w:rsid w:val="00607E2B"/>
    <w:rsid w:val="00607E52"/>
    <w:rsid w:val="00607E5D"/>
    <w:rsid w:val="00607E8B"/>
    <w:rsid w:val="00607E9A"/>
    <w:rsid w:val="00607ED8"/>
    <w:rsid w:val="00607EDF"/>
    <w:rsid w:val="00607EEE"/>
    <w:rsid w:val="00607F0A"/>
    <w:rsid w:val="00607F90"/>
    <w:rsid w:val="00607F9E"/>
    <w:rsid w:val="00607FDE"/>
    <w:rsid w:val="00607FDF"/>
    <w:rsid w:val="00607FF5"/>
    <w:rsid w:val="00607FFE"/>
    <w:rsid w:val="0061000A"/>
    <w:rsid w:val="0061000B"/>
    <w:rsid w:val="0061002B"/>
    <w:rsid w:val="00610082"/>
    <w:rsid w:val="006100E4"/>
    <w:rsid w:val="00610120"/>
    <w:rsid w:val="00610148"/>
    <w:rsid w:val="00610156"/>
    <w:rsid w:val="006101C0"/>
    <w:rsid w:val="006101CF"/>
    <w:rsid w:val="006101D2"/>
    <w:rsid w:val="006101F7"/>
    <w:rsid w:val="00610232"/>
    <w:rsid w:val="0061024B"/>
    <w:rsid w:val="00610260"/>
    <w:rsid w:val="0061026A"/>
    <w:rsid w:val="00610282"/>
    <w:rsid w:val="006102B0"/>
    <w:rsid w:val="00610301"/>
    <w:rsid w:val="0061033E"/>
    <w:rsid w:val="00610353"/>
    <w:rsid w:val="00610366"/>
    <w:rsid w:val="0061037D"/>
    <w:rsid w:val="00610388"/>
    <w:rsid w:val="0061039D"/>
    <w:rsid w:val="006103C4"/>
    <w:rsid w:val="006103F6"/>
    <w:rsid w:val="006103FE"/>
    <w:rsid w:val="00610451"/>
    <w:rsid w:val="00610456"/>
    <w:rsid w:val="00610465"/>
    <w:rsid w:val="00610494"/>
    <w:rsid w:val="006104BA"/>
    <w:rsid w:val="006104D8"/>
    <w:rsid w:val="006104F4"/>
    <w:rsid w:val="00610566"/>
    <w:rsid w:val="00610595"/>
    <w:rsid w:val="006105B7"/>
    <w:rsid w:val="0061062A"/>
    <w:rsid w:val="00610636"/>
    <w:rsid w:val="00610668"/>
    <w:rsid w:val="006106BE"/>
    <w:rsid w:val="006106D3"/>
    <w:rsid w:val="006106E7"/>
    <w:rsid w:val="006106F5"/>
    <w:rsid w:val="0061073B"/>
    <w:rsid w:val="0061077E"/>
    <w:rsid w:val="006108A1"/>
    <w:rsid w:val="006108AF"/>
    <w:rsid w:val="006108C1"/>
    <w:rsid w:val="00610929"/>
    <w:rsid w:val="00610937"/>
    <w:rsid w:val="00610938"/>
    <w:rsid w:val="0061093C"/>
    <w:rsid w:val="0061093F"/>
    <w:rsid w:val="00610942"/>
    <w:rsid w:val="00610962"/>
    <w:rsid w:val="0061097B"/>
    <w:rsid w:val="006109DB"/>
    <w:rsid w:val="00610A16"/>
    <w:rsid w:val="00610A5C"/>
    <w:rsid w:val="00610A93"/>
    <w:rsid w:val="00610B2E"/>
    <w:rsid w:val="00610B38"/>
    <w:rsid w:val="00610B43"/>
    <w:rsid w:val="00610B83"/>
    <w:rsid w:val="00610B8A"/>
    <w:rsid w:val="00610BD1"/>
    <w:rsid w:val="00610BF0"/>
    <w:rsid w:val="00610C00"/>
    <w:rsid w:val="00610C39"/>
    <w:rsid w:val="00610CCF"/>
    <w:rsid w:val="00610D18"/>
    <w:rsid w:val="00610D47"/>
    <w:rsid w:val="00610D79"/>
    <w:rsid w:val="00610DB2"/>
    <w:rsid w:val="00610DFF"/>
    <w:rsid w:val="00610E3C"/>
    <w:rsid w:val="00610E4A"/>
    <w:rsid w:val="00610EA0"/>
    <w:rsid w:val="00610EB4"/>
    <w:rsid w:val="00610EF0"/>
    <w:rsid w:val="00610F15"/>
    <w:rsid w:val="00610F19"/>
    <w:rsid w:val="00610F36"/>
    <w:rsid w:val="00610F69"/>
    <w:rsid w:val="00610F9F"/>
    <w:rsid w:val="00610FBF"/>
    <w:rsid w:val="00611022"/>
    <w:rsid w:val="00611027"/>
    <w:rsid w:val="00611067"/>
    <w:rsid w:val="006110A2"/>
    <w:rsid w:val="006110C9"/>
    <w:rsid w:val="006110DA"/>
    <w:rsid w:val="00611117"/>
    <w:rsid w:val="0061112A"/>
    <w:rsid w:val="0061112B"/>
    <w:rsid w:val="00611133"/>
    <w:rsid w:val="00611162"/>
    <w:rsid w:val="006111AE"/>
    <w:rsid w:val="006111AF"/>
    <w:rsid w:val="006111C8"/>
    <w:rsid w:val="006111D3"/>
    <w:rsid w:val="006111DD"/>
    <w:rsid w:val="00611263"/>
    <w:rsid w:val="00611270"/>
    <w:rsid w:val="006112B2"/>
    <w:rsid w:val="006112C2"/>
    <w:rsid w:val="006112E9"/>
    <w:rsid w:val="00611303"/>
    <w:rsid w:val="0061131D"/>
    <w:rsid w:val="0061131E"/>
    <w:rsid w:val="00611337"/>
    <w:rsid w:val="0061133B"/>
    <w:rsid w:val="00611381"/>
    <w:rsid w:val="00611399"/>
    <w:rsid w:val="006113BC"/>
    <w:rsid w:val="0061141B"/>
    <w:rsid w:val="0061142E"/>
    <w:rsid w:val="006114CD"/>
    <w:rsid w:val="00611501"/>
    <w:rsid w:val="00611504"/>
    <w:rsid w:val="00611545"/>
    <w:rsid w:val="0061155F"/>
    <w:rsid w:val="0061158C"/>
    <w:rsid w:val="00611595"/>
    <w:rsid w:val="00611620"/>
    <w:rsid w:val="00611622"/>
    <w:rsid w:val="00611632"/>
    <w:rsid w:val="00611642"/>
    <w:rsid w:val="0061165C"/>
    <w:rsid w:val="00611710"/>
    <w:rsid w:val="0061178C"/>
    <w:rsid w:val="0061180D"/>
    <w:rsid w:val="00611856"/>
    <w:rsid w:val="00611877"/>
    <w:rsid w:val="00611884"/>
    <w:rsid w:val="006118E7"/>
    <w:rsid w:val="00611907"/>
    <w:rsid w:val="00611911"/>
    <w:rsid w:val="0061193C"/>
    <w:rsid w:val="00611A31"/>
    <w:rsid w:val="00611A39"/>
    <w:rsid w:val="00611A86"/>
    <w:rsid w:val="00611A8F"/>
    <w:rsid w:val="00611AF0"/>
    <w:rsid w:val="00611B15"/>
    <w:rsid w:val="00611B6F"/>
    <w:rsid w:val="00611B8D"/>
    <w:rsid w:val="00611BF9"/>
    <w:rsid w:val="00611C2C"/>
    <w:rsid w:val="00611C33"/>
    <w:rsid w:val="00611C50"/>
    <w:rsid w:val="00611C51"/>
    <w:rsid w:val="00611C54"/>
    <w:rsid w:val="00611C6D"/>
    <w:rsid w:val="00611C8A"/>
    <w:rsid w:val="00611D1A"/>
    <w:rsid w:val="00611D24"/>
    <w:rsid w:val="00611D37"/>
    <w:rsid w:val="00611DA9"/>
    <w:rsid w:val="00611DAF"/>
    <w:rsid w:val="00611DB7"/>
    <w:rsid w:val="00611DBD"/>
    <w:rsid w:val="00611DCF"/>
    <w:rsid w:val="00611E07"/>
    <w:rsid w:val="00611E09"/>
    <w:rsid w:val="00611E70"/>
    <w:rsid w:val="00611EA0"/>
    <w:rsid w:val="00611EC2"/>
    <w:rsid w:val="00611ED2"/>
    <w:rsid w:val="00611EF1"/>
    <w:rsid w:val="00611F55"/>
    <w:rsid w:val="00611F73"/>
    <w:rsid w:val="00611F79"/>
    <w:rsid w:val="00611F8F"/>
    <w:rsid w:val="00611F97"/>
    <w:rsid w:val="00611FBD"/>
    <w:rsid w:val="00611FED"/>
    <w:rsid w:val="00611FEE"/>
    <w:rsid w:val="0061203E"/>
    <w:rsid w:val="0061205B"/>
    <w:rsid w:val="00612086"/>
    <w:rsid w:val="00612107"/>
    <w:rsid w:val="0061211F"/>
    <w:rsid w:val="00612131"/>
    <w:rsid w:val="0061213C"/>
    <w:rsid w:val="0061216C"/>
    <w:rsid w:val="0061218A"/>
    <w:rsid w:val="006121BE"/>
    <w:rsid w:val="006121BF"/>
    <w:rsid w:val="0061220F"/>
    <w:rsid w:val="0061221D"/>
    <w:rsid w:val="00612267"/>
    <w:rsid w:val="00612276"/>
    <w:rsid w:val="0061228C"/>
    <w:rsid w:val="006122A0"/>
    <w:rsid w:val="006122F9"/>
    <w:rsid w:val="0061231E"/>
    <w:rsid w:val="00612386"/>
    <w:rsid w:val="006123C8"/>
    <w:rsid w:val="006123F1"/>
    <w:rsid w:val="006123FA"/>
    <w:rsid w:val="0061240C"/>
    <w:rsid w:val="0061243E"/>
    <w:rsid w:val="0061246E"/>
    <w:rsid w:val="00612499"/>
    <w:rsid w:val="006124A6"/>
    <w:rsid w:val="006124AB"/>
    <w:rsid w:val="006125A5"/>
    <w:rsid w:val="006125C3"/>
    <w:rsid w:val="006125DB"/>
    <w:rsid w:val="006125ED"/>
    <w:rsid w:val="00612625"/>
    <w:rsid w:val="0061264F"/>
    <w:rsid w:val="006126B1"/>
    <w:rsid w:val="006126F0"/>
    <w:rsid w:val="00612708"/>
    <w:rsid w:val="0061270C"/>
    <w:rsid w:val="0061274A"/>
    <w:rsid w:val="0061276C"/>
    <w:rsid w:val="006127D1"/>
    <w:rsid w:val="006127EF"/>
    <w:rsid w:val="006127F2"/>
    <w:rsid w:val="00612892"/>
    <w:rsid w:val="006128C2"/>
    <w:rsid w:val="0061297A"/>
    <w:rsid w:val="00612982"/>
    <w:rsid w:val="00612984"/>
    <w:rsid w:val="00612996"/>
    <w:rsid w:val="006129D3"/>
    <w:rsid w:val="006129F8"/>
    <w:rsid w:val="006129FA"/>
    <w:rsid w:val="00612A6E"/>
    <w:rsid w:val="00612B21"/>
    <w:rsid w:val="00612BD7"/>
    <w:rsid w:val="00612BEC"/>
    <w:rsid w:val="00612C39"/>
    <w:rsid w:val="00612C46"/>
    <w:rsid w:val="00612C48"/>
    <w:rsid w:val="00612D04"/>
    <w:rsid w:val="00612D5A"/>
    <w:rsid w:val="00612D71"/>
    <w:rsid w:val="00612DA8"/>
    <w:rsid w:val="00612DAF"/>
    <w:rsid w:val="00612E00"/>
    <w:rsid w:val="00612E2B"/>
    <w:rsid w:val="00612EBC"/>
    <w:rsid w:val="00612EE3"/>
    <w:rsid w:val="00612F00"/>
    <w:rsid w:val="00612F12"/>
    <w:rsid w:val="00612F19"/>
    <w:rsid w:val="00612F1F"/>
    <w:rsid w:val="00612F5E"/>
    <w:rsid w:val="00612F60"/>
    <w:rsid w:val="00612F6F"/>
    <w:rsid w:val="00612F8F"/>
    <w:rsid w:val="00612FEC"/>
    <w:rsid w:val="00613079"/>
    <w:rsid w:val="00613087"/>
    <w:rsid w:val="00613090"/>
    <w:rsid w:val="006130F9"/>
    <w:rsid w:val="0061313D"/>
    <w:rsid w:val="0061315F"/>
    <w:rsid w:val="00613229"/>
    <w:rsid w:val="00613256"/>
    <w:rsid w:val="00613295"/>
    <w:rsid w:val="006132A3"/>
    <w:rsid w:val="006132A8"/>
    <w:rsid w:val="006132B4"/>
    <w:rsid w:val="006132C0"/>
    <w:rsid w:val="00613301"/>
    <w:rsid w:val="0061334D"/>
    <w:rsid w:val="00613352"/>
    <w:rsid w:val="00613377"/>
    <w:rsid w:val="0061337A"/>
    <w:rsid w:val="006133AB"/>
    <w:rsid w:val="006133FC"/>
    <w:rsid w:val="00613410"/>
    <w:rsid w:val="00613412"/>
    <w:rsid w:val="00613429"/>
    <w:rsid w:val="00613437"/>
    <w:rsid w:val="00613448"/>
    <w:rsid w:val="006134CC"/>
    <w:rsid w:val="006134D5"/>
    <w:rsid w:val="006134DD"/>
    <w:rsid w:val="006134FA"/>
    <w:rsid w:val="006135AF"/>
    <w:rsid w:val="0061360C"/>
    <w:rsid w:val="00613678"/>
    <w:rsid w:val="006136AB"/>
    <w:rsid w:val="006136F3"/>
    <w:rsid w:val="0061371D"/>
    <w:rsid w:val="00613734"/>
    <w:rsid w:val="00613743"/>
    <w:rsid w:val="0061387C"/>
    <w:rsid w:val="006138DF"/>
    <w:rsid w:val="00613974"/>
    <w:rsid w:val="006139DD"/>
    <w:rsid w:val="006139F0"/>
    <w:rsid w:val="00613A1C"/>
    <w:rsid w:val="00613A3F"/>
    <w:rsid w:val="00613A4E"/>
    <w:rsid w:val="00613A7A"/>
    <w:rsid w:val="00613A9A"/>
    <w:rsid w:val="00613AAB"/>
    <w:rsid w:val="00613B01"/>
    <w:rsid w:val="00613B15"/>
    <w:rsid w:val="00613BAD"/>
    <w:rsid w:val="00613BF1"/>
    <w:rsid w:val="00613CD2"/>
    <w:rsid w:val="00613D11"/>
    <w:rsid w:val="00613D1E"/>
    <w:rsid w:val="00613D73"/>
    <w:rsid w:val="00613D76"/>
    <w:rsid w:val="00613E3B"/>
    <w:rsid w:val="00613E65"/>
    <w:rsid w:val="00613E9E"/>
    <w:rsid w:val="00613EB0"/>
    <w:rsid w:val="00613ED4"/>
    <w:rsid w:val="00613EFF"/>
    <w:rsid w:val="00613F07"/>
    <w:rsid w:val="00613F70"/>
    <w:rsid w:val="00613F73"/>
    <w:rsid w:val="00613FA8"/>
    <w:rsid w:val="00613FB7"/>
    <w:rsid w:val="0061405F"/>
    <w:rsid w:val="006140CE"/>
    <w:rsid w:val="00614153"/>
    <w:rsid w:val="0061417B"/>
    <w:rsid w:val="006141BA"/>
    <w:rsid w:val="00614206"/>
    <w:rsid w:val="0061422A"/>
    <w:rsid w:val="00614254"/>
    <w:rsid w:val="00614258"/>
    <w:rsid w:val="00614294"/>
    <w:rsid w:val="006142F8"/>
    <w:rsid w:val="0061430E"/>
    <w:rsid w:val="00614353"/>
    <w:rsid w:val="00614373"/>
    <w:rsid w:val="006143B0"/>
    <w:rsid w:val="006143C8"/>
    <w:rsid w:val="006143EC"/>
    <w:rsid w:val="006143FC"/>
    <w:rsid w:val="0061441F"/>
    <w:rsid w:val="0061442B"/>
    <w:rsid w:val="00614455"/>
    <w:rsid w:val="006144D6"/>
    <w:rsid w:val="006144F0"/>
    <w:rsid w:val="0061451F"/>
    <w:rsid w:val="006145AE"/>
    <w:rsid w:val="006145CC"/>
    <w:rsid w:val="0061461B"/>
    <w:rsid w:val="00614645"/>
    <w:rsid w:val="00614657"/>
    <w:rsid w:val="00614677"/>
    <w:rsid w:val="006146AB"/>
    <w:rsid w:val="006146AE"/>
    <w:rsid w:val="00614748"/>
    <w:rsid w:val="0061476A"/>
    <w:rsid w:val="00614829"/>
    <w:rsid w:val="0061489B"/>
    <w:rsid w:val="006148A7"/>
    <w:rsid w:val="006148C0"/>
    <w:rsid w:val="006148C4"/>
    <w:rsid w:val="006148EB"/>
    <w:rsid w:val="00614901"/>
    <w:rsid w:val="0061493F"/>
    <w:rsid w:val="00614957"/>
    <w:rsid w:val="00614961"/>
    <w:rsid w:val="00614964"/>
    <w:rsid w:val="006149DF"/>
    <w:rsid w:val="00614A1A"/>
    <w:rsid w:val="00614A54"/>
    <w:rsid w:val="00614A7C"/>
    <w:rsid w:val="00614AD6"/>
    <w:rsid w:val="00614AFD"/>
    <w:rsid w:val="00614B41"/>
    <w:rsid w:val="00614B4D"/>
    <w:rsid w:val="00614B71"/>
    <w:rsid w:val="00614B80"/>
    <w:rsid w:val="00614BAF"/>
    <w:rsid w:val="00614BED"/>
    <w:rsid w:val="00614C04"/>
    <w:rsid w:val="00614C7C"/>
    <w:rsid w:val="00614C9A"/>
    <w:rsid w:val="00614CE4"/>
    <w:rsid w:val="00614CFA"/>
    <w:rsid w:val="00614D4C"/>
    <w:rsid w:val="00614D6C"/>
    <w:rsid w:val="00614D7A"/>
    <w:rsid w:val="00614DA8"/>
    <w:rsid w:val="00614DE8"/>
    <w:rsid w:val="00614E1C"/>
    <w:rsid w:val="00614E6F"/>
    <w:rsid w:val="00614E8C"/>
    <w:rsid w:val="00614E8F"/>
    <w:rsid w:val="00614EB5"/>
    <w:rsid w:val="00614EC7"/>
    <w:rsid w:val="00614EEC"/>
    <w:rsid w:val="00614F3E"/>
    <w:rsid w:val="00614F51"/>
    <w:rsid w:val="0061502A"/>
    <w:rsid w:val="00615041"/>
    <w:rsid w:val="00615069"/>
    <w:rsid w:val="0061507D"/>
    <w:rsid w:val="00615087"/>
    <w:rsid w:val="00615091"/>
    <w:rsid w:val="006150A5"/>
    <w:rsid w:val="0061510A"/>
    <w:rsid w:val="00615114"/>
    <w:rsid w:val="00615170"/>
    <w:rsid w:val="0061518F"/>
    <w:rsid w:val="0061520B"/>
    <w:rsid w:val="00615256"/>
    <w:rsid w:val="006152C7"/>
    <w:rsid w:val="00615311"/>
    <w:rsid w:val="00615325"/>
    <w:rsid w:val="0061533B"/>
    <w:rsid w:val="00615343"/>
    <w:rsid w:val="00615368"/>
    <w:rsid w:val="006153B6"/>
    <w:rsid w:val="006153BC"/>
    <w:rsid w:val="006153CD"/>
    <w:rsid w:val="006153E2"/>
    <w:rsid w:val="006153E3"/>
    <w:rsid w:val="006153FF"/>
    <w:rsid w:val="0061540B"/>
    <w:rsid w:val="0061543E"/>
    <w:rsid w:val="00615441"/>
    <w:rsid w:val="0061544B"/>
    <w:rsid w:val="006154A0"/>
    <w:rsid w:val="00615516"/>
    <w:rsid w:val="0061551E"/>
    <w:rsid w:val="0061560C"/>
    <w:rsid w:val="00615630"/>
    <w:rsid w:val="00615694"/>
    <w:rsid w:val="006156BF"/>
    <w:rsid w:val="006156C6"/>
    <w:rsid w:val="0061571E"/>
    <w:rsid w:val="0061573D"/>
    <w:rsid w:val="006157A3"/>
    <w:rsid w:val="006157AE"/>
    <w:rsid w:val="00615872"/>
    <w:rsid w:val="0061587E"/>
    <w:rsid w:val="006158AC"/>
    <w:rsid w:val="006158BB"/>
    <w:rsid w:val="006158C0"/>
    <w:rsid w:val="006158D2"/>
    <w:rsid w:val="006158D6"/>
    <w:rsid w:val="0061590E"/>
    <w:rsid w:val="0061598D"/>
    <w:rsid w:val="0061599C"/>
    <w:rsid w:val="006159AA"/>
    <w:rsid w:val="006159BA"/>
    <w:rsid w:val="00615A13"/>
    <w:rsid w:val="00615A80"/>
    <w:rsid w:val="00615A96"/>
    <w:rsid w:val="00615AC1"/>
    <w:rsid w:val="00615AF8"/>
    <w:rsid w:val="00615B2E"/>
    <w:rsid w:val="00615B76"/>
    <w:rsid w:val="00615B99"/>
    <w:rsid w:val="00615BB1"/>
    <w:rsid w:val="00615BDC"/>
    <w:rsid w:val="00615C03"/>
    <w:rsid w:val="00615C14"/>
    <w:rsid w:val="00615C22"/>
    <w:rsid w:val="00615C6C"/>
    <w:rsid w:val="00615CA9"/>
    <w:rsid w:val="00615CC2"/>
    <w:rsid w:val="00615CC5"/>
    <w:rsid w:val="00615CFC"/>
    <w:rsid w:val="00615D03"/>
    <w:rsid w:val="00615D3E"/>
    <w:rsid w:val="00615DD4"/>
    <w:rsid w:val="00615E6D"/>
    <w:rsid w:val="00615E8A"/>
    <w:rsid w:val="00615EB4"/>
    <w:rsid w:val="00615F1B"/>
    <w:rsid w:val="00615F34"/>
    <w:rsid w:val="00615F9F"/>
    <w:rsid w:val="00616037"/>
    <w:rsid w:val="00616058"/>
    <w:rsid w:val="00616094"/>
    <w:rsid w:val="00616098"/>
    <w:rsid w:val="006160B9"/>
    <w:rsid w:val="006160EA"/>
    <w:rsid w:val="006160F5"/>
    <w:rsid w:val="00616116"/>
    <w:rsid w:val="0061619F"/>
    <w:rsid w:val="006161BC"/>
    <w:rsid w:val="00616239"/>
    <w:rsid w:val="0061625D"/>
    <w:rsid w:val="0061628C"/>
    <w:rsid w:val="006162BA"/>
    <w:rsid w:val="006162E9"/>
    <w:rsid w:val="006162F6"/>
    <w:rsid w:val="00616301"/>
    <w:rsid w:val="0061631C"/>
    <w:rsid w:val="0061633E"/>
    <w:rsid w:val="00616346"/>
    <w:rsid w:val="006163BB"/>
    <w:rsid w:val="00616439"/>
    <w:rsid w:val="0061645F"/>
    <w:rsid w:val="0061646B"/>
    <w:rsid w:val="006164F7"/>
    <w:rsid w:val="006165BA"/>
    <w:rsid w:val="00616623"/>
    <w:rsid w:val="006166CA"/>
    <w:rsid w:val="006166F1"/>
    <w:rsid w:val="00616708"/>
    <w:rsid w:val="00616783"/>
    <w:rsid w:val="00616797"/>
    <w:rsid w:val="006167CE"/>
    <w:rsid w:val="006167E9"/>
    <w:rsid w:val="006167FB"/>
    <w:rsid w:val="0061681B"/>
    <w:rsid w:val="00616848"/>
    <w:rsid w:val="006168A3"/>
    <w:rsid w:val="00616907"/>
    <w:rsid w:val="00616913"/>
    <w:rsid w:val="00616922"/>
    <w:rsid w:val="00616934"/>
    <w:rsid w:val="006169AC"/>
    <w:rsid w:val="00616A39"/>
    <w:rsid w:val="00616A64"/>
    <w:rsid w:val="00616A74"/>
    <w:rsid w:val="00616AF5"/>
    <w:rsid w:val="00616B5C"/>
    <w:rsid w:val="00616B9B"/>
    <w:rsid w:val="00616BDE"/>
    <w:rsid w:val="00616C01"/>
    <w:rsid w:val="00616C18"/>
    <w:rsid w:val="00616C41"/>
    <w:rsid w:val="00616C46"/>
    <w:rsid w:val="00616C68"/>
    <w:rsid w:val="00616CA9"/>
    <w:rsid w:val="00616CB3"/>
    <w:rsid w:val="00616CC7"/>
    <w:rsid w:val="00616CD4"/>
    <w:rsid w:val="00616CF2"/>
    <w:rsid w:val="00616D4A"/>
    <w:rsid w:val="00616D63"/>
    <w:rsid w:val="00616D7B"/>
    <w:rsid w:val="00616D84"/>
    <w:rsid w:val="00616DA8"/>
    <w:rsid w:val="00616DC5"/>
    <w:rsid w:val="00616DC6"/>
    <w:rsid w:val="00616E0E"/>
    <w:rsid w:val="00616E15"/>
    <w:rsid w:val="00616EA2"/>
    <w:rsid w:val="00616ECD"/>
    <w:rsid w:val="00616F0B"/>
    <w:rsid w:val="00616F9D"/>
    <w:rsid w:val="00616FB4"/>
    <w:rsid w:val="00616FEF"/>
    <w:rsid w:val="0061700A"/>
    <w:rsid w:val="00617025"/>
    <w:rsid w:val="0061705C"/>
    <w:rsid w:val="0061708E"/>
    <w:rsid w:val="006170B2"/>
    <w:rsid w:val="00617157"/>
    <w:rsid w:val="0061716D"/>
    <w:rsid w:val="00617195"/>
    <w:rsid w:val="006171E3"/>
    <w:rsid w:val="0061720E"/>
    <w:rsid w:val="0061721D"/>
    <w:rsid w:val="0061725B"/>
    <w:rsid w:val="00617296"/>
    <w:rsid w:val="006172CA"/>
    <w:rsid w:val="00617333"/>
    <w:rsid w:val="0061733D"/>
    <w:rsid w:val="00617343"/>
    <w:rsid w:val="00617364"/>
    <w:rsid w:val="00617386"/>
    <w:rsid w:val="0061739D"/>
    <w:rsid w:val="00617419"/>
    <w:rsid w:val="00617434"/>
    <w:rsid w:val="00617457"/>
    <w:rsid w:val="006174B4"/>
    <w:rsid w:val="006174C8"/>
    <w:rsid w:val="006174E4"/>
    <w:rsid w:val="00617504"/>
    <w:rsid w:val="00617545"/>
    <w:rsid w:val="00617547"/>
    <w:rsid w:val="00617588"/>
    <w:rsid w:val="00617606"/>
    <w:rsid w:val="0061762E"/>
    <w:rsid w:val="00617648"/>
    <w:rsid w:val="00617654"/>
    <w:rsid w:val="0061765F"/>
    <w:rsid w:val="006176DB"/>
    <w:rsid w:val="006177C6"/>
    <w:rsid w:val="00617814"/>
    <w:rsid w:val="00617879"/>
    <w:rsid w:val="006178F1"/>
    <w:rsid w:val="0061794E"/>
    <w:rsid w:val="006179F7"/>
    <w:rsid w:val="00617A06"/>
    <w:rsid w:val="00617A95"/>
    <w:rsid w:val="00617AC9"/>
    <w:rsid w:val="00617AD2"/>
    <w:rsid w:val="00617B13"/>
    <w:rsid w:val="00617B46"/>
    <w:rsid w:val="00617BA1"/>
    <w:rsid w:val="00617BC3"/>
    <w:rsid w:val="00617BCB"/>
    <w:rsid w:val="00617BED"/>
    <w:rsid w:val="00617C42"/>
    <w:rsid w:val="00617C48"/>
    <w:rsid w:val="00617C5F"/>
    <w:rsid w:val="00617C75"/>
    <w:rsid w:val="00617C8B"/>
    <w:rsid w:val="00617C8F"/>
    <w:rsid w:val="00617CCC"/>
    <w:rsid w:val="00617CF1"/>
    <w:rsid w:val="00617D56"/>
    <w:rsid w:val="00617D5C"/>
    <w:rsid w:val="00617DC6"/>
    <w:rsid w:val="00617DF1"/>
    <w:rsid w:val="00617E75"/>
    <w:rsid w:val="00617E7E"/>
    <w:rsid w:val="00617EA3"/>
    <w:rsid w:val="00617F1B"/>
    <w:rsid w:val="00617F6C"/>
    <w:rsid w:val="00620000"/>
    <w:rsid w:val="00620001"/>
    <w:rsid w:val="00620095"/>
    <w:rsid w:val="006200B6"/>
    <w:rsid w:val="006200FF"/>
    <w:rsid w:val="00620187"/>
    <w:rsid w:val="00620260"/>
    <w:rsid w:val="006202C8"/>
    <w:rsid w:val="006202D2"/>
    <w:rsid w:val="006202E4"/>
    <w:rsid w:val="00620313"/>
    <w:rsid w:val="00620318"/>
    <w:rsid w:val="00620323"/>
    <w:rsid w:val="0062034C"/>
    <w:rsid w:val="0062034D"/>
    <w:rsid w:val="006203FA"/>
    <w:rsid w:val="006204EB"/>
    <w:rsid w:val="00620526"/>
    <w:rsid w:val="00620535"/>
    <w:rsid w:val="00620538"/>
    <w:rsid w:val="00620559"/>
    <w:rsid w:val="0062055B"/>
    <w:rsid w:val="00620605"/>
    <w:rsid w:val="0062063A"/>
    <w:rsid w:val="0062067B"/>
    <w:rsid w:val="00620730"/>
    <w:rsid w:val="006207B9"/>
    <w:rsid w:val="0062084F"/>
    <w:rsid w:val="0062085D"/>
    <w:rsid w:val="0062097D"/>
    <w:rsid w:val="006209FF"/>
    <w:rsid w:val="00620A14"/>
    <w:rsid w:val="00620A24"/>
    <w:rsid w:val="00620A25"/>
    <w:rsid w:val="00620A61"/>
    <w:rsid w:val="00620A6C"/>
    <w:rsid w:val="00620AC3"/>
    <w:rsid w:val="00620AF0"/>
    <w:rsid w:val="00620B0C"/>
    <w:rsid w:val="00620B18"/>
    <w:rsid w:val="00620B92"/>
    <w:rsid w:val="00620B98"/>
    <w:rsid w:val="00620BDA"/>
    <w:rsid w:val="00620BE2"/>
    <w:rsid w:val="00620BEA"/>
    <w:rsid w:val="00620C3B"/>
    <w:rsid w:val="00620C6C"/>
    <w:rsid w:val="00620C7F"/>
    <w:rsid w:val="00620CB5"/>
    <w:rsid w:val="00620CE4"/>
    <w:rsid w:val="00620D38"/>
    <w:rsid w:val="00620D7B"/>
    <w:rsid w:val="00620DE1"/>
    <w:rsid w:val="00620DE3"/>
    <w:rsid w:val="00620DF6"/>
    <w:rsid w:val="00620DF7"/>
    <w:rsid w:val="00620E42"/>
    <w:rsid w:val="00620E60"/>
    <w:rsid w:val="00620EA1"/>
    <w:rsid w:val="00620EAA"/>
    <w:rsid w:val="00620EAF"/>
    <w:rsid w:val="00620EE3"/>
    <w:rsid w:val="00620EFF"/>
    <w:rsid w:val="00620F07"/>
    <w:rsid w:val="00620F4A"/>
    <w:rsid w:val="00620F57"/>
    <w:rsid w:val="00620F8B"/>
    <w:rsid w:val="00620FF5"/>
    <w:rsid w:val="00621026"/>
    <w:rsid w:val="00621067"/>
    <w:rsid w:val="0062106F"/>
    <w:rsid w:val="00621154"/>
    <w:rsid w:val="00621156"/>
    <w:rsid w:val="0062117F"/>
    <w:rsid w:val="00621181"/>
    <w:rsid w:val="006211B2"/>
    <w:rsid w:val="00621265"/>
    <w:rsid w:val="0062134C"/>
    <w:rsid w:val="00621362"/>
    <w:rsid w:val="00621367"/>
    <w:rsid w:val="0062136A"/>
    <w:rsid w:val="00621385"/>
    <w:rsid w:val="006213EA"/>
    <w:rsid w:val="00621412"/>
    <w:rsid w:val="006214BC"/>
    <w:rsid w:val="006214FC"/>
    <w:rsid w:val="006214FF"/>
    <w:rsid w:val="00621507"/>
    <w:rsid w:val="00621585"/>
    <w:rsid w:val="006215FB"/>
    <w:rsid w:val="00621632"/>
    <w:rsid w:val="00621638"/>
    <w:rsid w:val="00621661"/>
    <w:rsid w:val="0062166F"/>
    <w:rsid w:val="006216B2"/>
    <w:rsid w:val="006216CC"/>
    <w:rsid w:val="00621708"/>
    <w:rsid w:val="00621745"/>
    <w:rsid w:val="00621753"/>
    <w:rsid w:val="00621761"/>
    <w:rsid w:val="0062177C"/>
    <w:rsid w:val="0062179A"/>
    <w:rsid w:val="0062179C"/>
    <w:rsid w:val="00621834"/>
    <w:rsid w:val="00621955"/>
    <w:rsid w:val="0062197B"/>
    <w:rsid w:val="0062199A"/>
    <w:rsid w:val="00621A58"/>
    <w:rsid w:val="00621AB3"/>
    <w:rsid w:val="00621ACA"/>
    <w:rsid w:val="00621AFB"/>
    <w:rsid w:val="00621B2A"/>
    <w:rsid w:val="00621B4A"/>
    <w:rsid w:val="00621B95"/>
    <w:rsid w:val="00621BAB"/>
    <w:rsid w:val="00621BE6"/>
    <w:rsid w:val="00621C24"/>
    <w:rsid w:val="00621C3A"/>
    <w:rsid w:val="00621CAC"/>
    <w:rsid w:val="00621CE5"/>
    <w:rsid w:val="00621D3B"/>
    <w:rsid w:val="00621D79"/>
    <w:rsid w:val="00621DCC"/>
    <w:rsid w:val="00621DD1"/>
    <w:rsid w:val="00621E09"/>
    <w:rsid w:val="00621E76"/>
    <w:rsid w:val="00621EE5"/>
    <w:rsid w:val="00621EF8"/>
    <w:rsid w:val="00621EF9"/>
    <w:rsid w:val="00621F12"/>
    <w:rsid w:val="00621F52"/>
    <w:rsid w:val="00621FBA"/>
    <w:rsid w:val="00621FC0"/>
    <w:rsid w:val="00621FF2"/>
    <w:rsid w:val="006220C0"/>
    <w:rsid w:val="006220DC"/>
    <w:rsid w:val="00622115"/>
    <w:rsid w:val="00622140"/>
    <w:rsid w:val="00622143"/>
    <w:rsid w:val="00622187"/>
    <w:rsid w:val="0062221D"/>
    <w:rsid w:val="0062224A"/>
    <w:rsid w:val="006222F5"/>
    <w:rsid w:val="0062230A"/>
    <w:rsid w:val="0062232B"/>
    <w:rsid w:val="00622332"/>
    <w:rsid w:val="006223AD"/>
    <w:rsid w:val="006223DD"/>
    <w:rsid w:val="00622400"/>
    <w:rsid w:val="00622419"/>
    <w:rsid w:val="00622468"/>
    <w:rsid w:val="0062249A"/>
    <w:rsid w:val="006224B8"/>
    <w:rsid w:val="006224DA"/>
    <w:rsid w:val="0062250E"/>
    <w:rsid w:val="0062253D"/>
    <w:rsid w:val="00622595"/>
    <w:rsid w:val="006225AE"/>
    <w:rsid w:val="006225E8"/>
    <w:rsid w:val="006225E9"/>
    <w:rsid w:val="0062260E"/>
    <w:rsid w:val="0062264C"/>
    <w:rsid w:val="006226A7"/>
    <w:rsid w:val="006226BA"/>
    <w:rsid w:val="00622733"/>
    <w:rsid w:val="00622737"/>
    <w:rsid w:val="0062275B"/>
    <w:rsid w:val="00622793"/>
    <w:rsid w:val="006227AA"/>
    <w:rsid w:val="006227DC"/>
    <w:rsid w:val="006227F2"/>
    <w:rsid w:val="006228B5"/>
    <w:rsid w:val="006228DB"/>
    <w:rsid w:val="00622902"/>
    <w:rsid w:val="00622931"/>
    <w:rsid w:val="00622978"/>
    <w:rsid w:val="006229BE"/>
    <w:rsid w:val="00622A0E"/>
    <w:rsid w:val="00622A66"/>
    <w:rsid w:val="00622AB3"/>
    <w:rsid w:val="00622AF5"/>
    <w:rsid w:val="00622BC8"/>
    <w:rsid w:val="00622C09"/>
    <w:rsid w:val="00622C0C"/>
    <w:rsid w:val="00622CB7"/>
    <w:rsid w:val="00622CE8"/>
    <w:rsid w:val="00622CEE"/>
    <w:rsid w:val="00622D11"/>
    <w:rsid w:val="00622D17"/>
    <w:rsid w:val="00622D1C"/>
    <w:rsid w:val="00622D66"/>
    <w:rsid w:val="00622DD3"/>
    <w:rsid w:val="00622DE2"/>
    <w:rsid w:val="00622DF8"/>
    <w:rsid w:val="00622DFF"/>
    <w:rsid w:val="00622E11"/>
    <w:rsid w:val="00622E5A"/>
    <w:rsid w:val="00622E6B"/>
    <w:rsid w:val="00622E86"/>
    <w:rsid w:val="00622E8D"/>
    <w:rsid w:val="00622EAF"/>
    <w:rsid w:val="00622EFF"/>
    <w:rsid w:val="00622F18"/>
    <w:rsid w:val="00622F19"/>
    <w:rsid w:val="0062305D"/>
    <w:rsid w:val="0062309F"/>
    <w:rsid w:val="006230FE"/>
    <w:rsid w:val="00623119"/>
    <w:rsid w:val="0062312F"/>
    <w:rsid w:val="0062313B"/>
    <w:rsid w:val="0062314C"/>
    <w:rsid w:val="00623184"/>
    <w:rsid w:val="00623203"/>
    <w:rsid w:val="0062321A"/>
    <w:rsid w:val="00623262"/>
    <w:rsid w:val="00623263"/>
    <w:rsid w:val="00623307"/>
    <w:rsid w:val="00623314"/>
    <w:rsid w:val="0062332C"/>
    <w:rsid w:val="00623338"/>
    <w:rsid w:val="00623387"/>
    <w:rsid w:val="0062340D"/>
    <w:rsid w:val="00623480"/>
    <w:rsid w:val="00623497"/>
    <w:rsid w:val="0062349A"/>
    <w:rsid w:val="0062349D"/>
    <w:rsid w:val="006234DF"/>
    <w:rsid w:val="00623502"/>
    <w:rsid w:val="0062352F"/>
    <w:rsid w:val="00623570"/>
    <w:rsid w:val="00623582"/>
    <w:rsid w:val="006235AD"/>
    <w:rsid w:val="006235DA"/>
    <w:rsid w:val="0062363B"/>
    <w:rsid w:val="00623647"/>
    <w:rsid w:val="0062365B"/>
    <w:rsid w:val="006236EA"/>
    <w:rsid w:val="0062371A"/>
    <w:rsid w:val="0062372A"/>
    <w:rsid w:val="00623753"/>
    <w:rsid w:val="0062376F"/>
    <w:rsid w:val="0062378A"/>
    <w:rsid w:val="0062380A"/>
    <w:rsid w:val="006238A9"/>
    <w:rsid w:val="006238B8"/>
    <w:rsid w:val="006238C9"/>
    <w:rsid w:val="0062394C"/>
    <w:rsid w:val="00623963"/>
    <w:rsid w:val="00623976"/>
    <w:rsid w:val="00623998"/>
    <w:rsid w:val="00623A60"/>
    <w:rsid w:val="00623AA3"/>
    <w:rsid w:val="00623B01"/>
    <w:rsid w:val="00623B23"/>
    <w:rsid w:val="00623B33"/>
    <w:rsid w:val="00623BB2"/>
    <w:rsid w:val="00623BBD"/>
    <w:rsid w:val="00623C02"/>
    <w:rsid w:val="00623C40"/>
    <w:rsid w:val="00623C8D"/>
    <w:rsid w:val="00623CC1"/>
    <w:rsid w:val="00623CFF"/>
    <w:rsid w:val="00623D7E"/>
    <w:rsid w:val="00623DD6"/>
    <w:rsid w:val="00623E69"/>
    <w:rsid w:val="00623E7A"/>
    <w:rsid w:val="00623E7F"/>
    <w:rsid w:val="00623E93"/>
    <w:rsid w:val="00623F77"/>
    <w:rsid w:val="00623FAC"/>
    <w:rsid w:val="00623FBB"/>
    <w:rsid w:val="00623FC3"/>
    <w:rsid w:val="00623FD7"/>
    <w:rsid w:val="00623FE2"/>
    <w:rsid w:val="00624020"/>
    <w:rsid w:val="00624024"/>
    <w:rsid w:val="00624028"/>
    <w:rsid w:val="006240C6"/>
    <w:rsid w:val="006240D0"/>
    <w:rsid w:val="006240EC"/>
    <w:rsid w:val="006240F2"/>
    <w:rsid w:val="0062412C"/>
    <w:rsid w:val="0062413D"/>
    <w:rsid w:val="00624158"/>
    <w:rsid w:val="006241E9"/>
    <w:rsid w:val="00624217"/>
    <w:rsid w:val="00624218"/>
    <w:rsid w:val="0062421C"/>
    <w:rsid w:val="0062423B"/>
    <w:rsid w:val="0062425C"/>
    <w:rsid w:val="0062426E"/>
    <w:rsid w:val="00624281"/>
    <w:rsid w:val="00624288"/>
    <w:rsid w:val="00624292"/>
    <w:rsid w:val="006242A6"/>
    <w:rsid w:val="006242CB"/>
    <w:rsid w:val="0062434A"/>
    <w:rsid w:val="006243E1"/>
    <w:rsid w:val="006243E7"/>
    <w:rsid w:val="006243FC"/>
    <w:rsid w:val="0062441B"/>
    <w:rsid w:val="0062444A"/>
    <w:rsid w:val="00624476"/>
    <w:rsid w:val="0062447D"/>
    <w:rsid w:val="006244E9"/>
    <w:rsid w:val="00624502"/>
    <w:rsid w:val="00624514"/>
    <w:rsid w:val="00624560"/>
    <w:rsid w:val="0062457C"/>
    <w:rsid w:val="006245E2"/>
    <w:rsid w:val="00624648"/>
    <w:rsid w:val="00624669"/>
    <w:rsid w:val="0062468B"/>
    <w:rsid w:val="0062469B"/>
    <w:rsid w:val="006246CA"/>
    <w:rsid w:val="006246F3"/>
    <w:rsid w:val="0062471D"/>
    <w:rsid w:val="0062472F"/>
    <w:rsid w:val="00624737"/>
    <w:rsid w:val="0062477B"/>
    <w:rsid w:val="00624784"/>
    <w:rsid w:val="0062479B"/>
    <w:rsid w:val="006247B9"/>
    <w:rsid w:val="006247BB"/>
    <w:rsid w:val="006247D2"/>
    <w:rsid w:val="006247EA"/>
    <w:rsid w:val="006247F0"/>
    <w:rsid w:val="0062483D"/>
    <w:rsid w:val="00624846"/>
    <w:rsid w:val="00624869"/>
    <w:rsid w:val="00624900"/>
    <w:rsid w:val="00624929"/>
    <w:rsid w:val="00624952"/>
    <w:rsid w:val="00624959"/>
    <w:rsid w:val="0062496B"/>
    <w:rsid w:val="006249A5"/>
    <w:rsid w:val="006249BF"/>
    <w:rsid w:val="006249CB"/>
    <w:rsid w:val="006249E6"/>
    <w:rsid w:val="00624A3E"/>
    <w:rsid w:val="00624A45"/>
    <w:rsid w:val="00624A4A"/>
    <w:rsid w:val="00624A67"/>
    <w:rsid w:val="00624ACA"/>
    <w:rsid w:val="00624ACE"/>
    <w:rsid w:val="00624AE6"/>
    <w:rsid w:val="00624B35"/>
    <w:rsid w:val="00624B49"/>
    <w:rsid w:val="00624BDC"/>
    <w:rsid w:val="00624C29"/>
    <w:rsid w:val="00624C93"/>
    <w:rsid w:val="00624C94"/>
    <w:rsid w:val="00624CB9"/>
    <w:rsid w:val="00624CBC"/>
    <w:rsid w:val="00624CBD"/>
    <w:rsid w:val="00624CD6"/>
    <w:rsid w:val="00624D17"/>
    <w:rsid w:val="00624D1E"/>
    <w:rsid w:val="00624D45"/>
    <w:rsid w:val="00624D71"/>
    <w:rsid w:val="00624D98"/>
    <w:rsid w:val="00624E72"/>
    <w:rsid w:val="00624E90"/>
    <w:rsid w:val="00624EA5"/>
    <w:rsid w:val="00624ECB"/>
    <w:rsid w:val="00624EE0"/>
    <w:rsid w:val="00624EFA"/>
    <w:rsid w:val="00624F25"/>
    <w:rsid w:val="00624F92"/>
    <w:rsid w:val="00624FA1"/>
    <w:rsid w:val="00624FC9"/>
    <w:rsid w:val="00624FF1"/>
    <w:rsid w:val="00624FF5"/>
    <w:rsid w:val="00625001"/>
    <w:rsid w:val="00625050"/>
    <w:rsid w:val="006250B9"/>
    <w:rsid w:val="006250E8"/>
    <w:rsid w:val="00625147"/>
    <w:rsid w:val="00625158"/>
    <w:rsid w:val="00625160"/>
    <w:rsid w:val="0062517F"/>
    <w:rsid w:val="00625197"/>
    <w:rsid w:val="006251A8"/>
    <w:rsid w:val="006251C9"/>
    <w:rsid w:val="00625205"/>
    <w:rsid w:val="006252AD"/>
    <w:rsid w:val="0062530B"/>
    <w:rsid w:val="006253A8"/>
    <w:rsid w:val="006253B1"/>
    <w:rsid w:val="006253BD"/>
    <w:rsid w:val="006253EB"/>
    <w:rsid w:val="00625458"/>
    <w:rsid w:val="0062548A"/>
    <w:rsid w:val="006254B5"/>
    <w:rsid w:val="006254DD"/>
    <w:rsid w:val="006254F5"/>
    <w:rsid w:val="006254F8"/>
    <w:rsid w:val="00625513"/>
    <w:rsid w:val="006255AD"/>
    <w:rsid w:val="006255B1"/>
    <w:rsid w:val="006255CA"/>
    <w:rsid w:val="0062560B"/>
    <w:rsid w:val="00625647"/>
    <w:rsid w:val="00625671"/>
    <w:rsid w:val="006256A8"/>
    <w:rsid w:val="006256BB"/>
    <w:rsid w:val="006256F2"/>
    <w:rsid w:val="006256FF"/>
    <w:rsid w:val="0062572D"/>
    <w:rsid w:val="0062573A"/>
    <w:rsid w:val="006257A1"/>
    <w:rsid w:val="006257B1"/>
    <w:rsid w:val="006257BD"/>
    <w:rsid w:val="006257C6"/>
    <w:rsid w:val="006257DE"/>
    <w:rsid w:val="00625824"/>
    <w:rsid w:val="006258A3"/>
    <w:rsid w:val="006258CD"/>
    <w:rsid w:val="006258CF"/>
    <w:rsid w:val="006258E1"/>
    <w:rsid w:val="006258E9"/>
    <w:rsid w:val="00625907"/>
    <w:rsid w:val="0062590A"/>
    <w:rsid w:val="00625942"/>
    <w:rsid w:val="0062595C"/>
    <w:rsid w:val="006259EC"/>
    <w:rsid w:val="006259F2"/>
    <w:rsid w:val="00625A14"/>
    <w:rsid w:val="00625A20"/>
    <w:rsid w:val="00625B30"/>
    <w:rsid w:val="00625B88"/>
    <w:rsid w:val="00625BD1"/>
    <w:rsid w:val="00625BFE"/>
    <w:rsid w:val="00625C6B"/>
    <w:rsid w:val="00625C98"/>
    <w:rsid w:val="00625C9D"/>
    <w:rsid w:val="00625CBB"/>
    <w:rsid w:val="00625D87"/>
    <w:rsid w:val="00625DCA"/>
    <w:rsid w:val="00625DFA"/>
    <w:rsid w:val="00625E29"/>
    <w:rsid w:val="00625E45"/>
    <w:rsid w:val="00625E84"/>
    <w:rsid w:val="00625E88"/>
    <w:rsid w:val="00625EBC"/>
    <w:rsid w:val="00625F1F"/>
    <w:rsid w:val="00625F34"/>
    <w:rsid w:val="00625F76"/>
    <w:rsid w:val="00625FAD"/>
    <w:rsid w:val="00625FC8"/>
    <w:rsid w:val="00625FE9"/>
    <w:rsid w:val="00625FFC"/>
    <w:rsid w:val="0062601C"/>
    <w:rsid w:val="0062603F"/>
    <w:rsid w:val="00626043"/>
    <w:rsid w:val="00626062"/>
    <w:rsid w:val="006260B2"/>
    <w:rsid w:val="00626137"/>
    <w:rsid w:val="00626149"/>
    <w:rsid w:val="00626190"/>
    <w:rsid w:val="006261B4"/>
    <w:rsid w:val="006261C5"/>
    <w:rsid w:val="006261D7"/>
    <w:rsid w:val="0062625F"/>
    <w:rsid w:val="0062627F"/>
    <w:rsid w:val="0062632F"/>
    <w:rsid w:val="0062633D"/>
    <w:rsid w:val="00626347"/>
    <w:rsid w:val="00626357"/>
    <w:rsid w:val="00626377"/>
    <w:rsid w:val="006263AB"/>
    <w:rsid w:val="00626444"/>
    <w:rsid w:val="006264F5"/>
    <w:rsid w:val="00626500"/>
    <w:rsid w:val="00626508"/>
    <w:rsid w:val="00626548"/>
    <w:rsid w:val="00626570"/>
    <w:rsid w:val="006265A1"/>
    <w:rsid w:val="006265A7"/>
    <w:rsid w:val="00626610"/>
    <w:rsid w:val="0062664A"/>
    <w:rsid w:val="00626682"/>
    <w:rsid w:val="0062668D"/>
    <w:rsid w:val="006266DC"/>
    <w:rsid w:val="00626727"/>
    <w:rsid w:val="00626740"/>
    <w:rsid w:val="0062675D"/>
    <w:rsid w:val="006267A3"/>
    <w:rsid w:val="006267A4"/>
    <w:rsid w:val="006267CA"/>
    <w:rsid w:val="006267EC"/>
    <w:rsid w:val="006267FC"/>
    <w:rsid w:val="006267FE"/>
    <w:rsid w:val="00626846"/>
    <w:rsid w:val="00626943"/>
    <w:rsid w:val="0062694B"/>
    <w:rsid w:val="0062695A"/>
    <w:rsid w:val="006269A4"/>
    <w:rsid w:val="006269B9"/>
    <w:rsid w:val="006269DF"/>
    <w:rsid w:val="00626A6A"/>
    <w:rsid w:val="00626ABE"/>
    <w:rsid w:val="00626B0F"/>
    <w:rsid w:val="00626B2C"/>
    <w:rsid w:val="00626B34"/>
    <w:rsid w:val="00626B7F"/>
    <w:rsid w:val="00626B9C"/>
    <w:rsid w:val="00626BCA"/>
    <w:rsid w:val="00626C18"/>
    <w:rsid w:val="00626CA9"/>
    <w:rsid w:val="00626CDC"/>
    <w:rsid w:val="00626CFD"/>
    <w:rsid w:val="00626D70"/>
    <w:rsid w:val="00626DCE"/>
    <w:rsid w:val="00626DFB"/>
    <w:rsid w:val="00626E00"/>
    <w:rsid w:val="00626E5F"/>
    <w:rsid w:val="00626EA8"/>
    <w:rsid w:val="00626EB9"/>
    <w:rsid w:val="00626EBB"/>
    <w:rsid w:val="00626EF3"/>
    <w:rsid w:val="00626F1E"/>
    <w:rsid w:val="00626F42"/>
    <w:rsid w:val="00626F66"/>
    <w:rsid w:val="00626F76"/>
    <w:rsid w:val="00626F7C"/>
    <w:rsid w:val="00627071"/>
    <w:rsid w:val="006270A5"/>
    <w:rsid w:val="006270D5"/>
    <w:rsid w:val="006270EF"/>
    <w:rsid w:val="006270F0"/>
    <w:rsid w:val="00627141"/>
    <w:rsid w:val="0062715A"/>
    <w:rsid w:val="006271DA"/>
    <w:rsid w:val="0062725D"/>
    <w:rsid w:val="00627278"/>
    <w:rsid w:val="006272AF"/>
    <w:rsid w:val="006272DA"/>
    <w:rsid w:val="00627311"/>
    <w:rsid w:val="00627328"/>
    <w:rsid w:val="0062734B"/>
    <w:rsid w:val="0062736E"/>
    <w:rsid w:val="00627399"/>
    <w:rsid w:val="006273B3"/>
    <w:rsid w:val="006273C9"/>
    <w:rsid w:val="006273DC"/>
    <w:rsid w:val="00627423"/>
    <w:rsid w:val="00627450"/>
    <w:rsid w:val="0062747C"/>
    <w:rsid w:val="006274A8"/>
    <w:rsid w:val="00627655"/>
    <w:rsid w:val="00627660"/>
    <w:rsid w:val="00627663"/>
    <w:rsid w:val="00627669"/>
    <w:rsid w:val="0062766C"/>
    <w:rsid w:val="00627694"/>
    <w:rsid w:val="006276A8"/>
    <w:rsid w:val="006276C2"/>
    <w:rsid w:val="0062771D"/>
    <w:rsid w:val="00627754"/>
    <w:rsid w:val="0062776A"/>
    <w:rsid w:val="00627798"/>
    <w:rsid w:val="00627858"/>
    <w:rsid w:val="0062789E"/>
    <w:rsid w:val="006278CB"/>
    <w:rsid w:val="00627922"/>
    <w:rsid w:val="0062792E"/>
    <w:rsid w:val="006279C5"/>
    <w:rsid w:val="006279CB"/>
    <w:rsid w:val="00627A23"/>
    <w:rsid w:val="00627A81"/>
    <w:rsid w:val="00627A91"/>
    <w:rsid w:val="00627A9A"/>
    <w:rsid w:val="00627AF0"/>
    <w:rsid w:val="00627AFE"/>
    <w:rsid w:val="00627B14"/>
    <w:rsid w:val="00627BA1"/>
    <w:rsid w:val="00627BBA"/>
    <w:rsid w:val="00627C66"/>
    <w:rsid w:val="00627C67"/>
    <w:rsid w:val="00627C72"/>
    <w:rsid w:val="00627C8A"/>
    <w:rsid w:val="00627CB4"/>
    <w:rsid w:val="00627CE4"/>
    <w:rsid w:val="00627D42"/>
    <w:rsid w:val="00627D4E"/>
    <w:rsid w:val="00627DC1"/>
    <w:rsid w:val="00627DC2"/>
    <w:rsid w:val="00627DCD"/>
    <w:rsid w:val="00627DD6"/>
    <w:rsid w:val="00627E04"/>
    <w:rsid w:val="00627E45"/>
    <w:rsid w:val="00627E51"/>
    <w:rsid w:val="00627ED7"/>
    <w:rsid w:val="00627EE2"/>
    <w:rsid w:val="00627EF2"/>
    <w:rsid w:val="00627F58"/>
    <w:rsid w:val="00627F85"/>
    <w:rsid w:val="00627FCF"/>
    <w:rsid w:val="00630049"/>
    <w:rsid w:val="0063004D"/>
    <w:rsid w:val="00630052"/>
    <w:rsid w:val="006300E8"/>
    <w:rsid w:val="006300EE"/>
    <w:rsid w:val="006300FE"/>
    <w:rsid w:val="00630121"/>
    <w:rsid w:val="00630144"/>
    <w:rsid w:val="00630193"/>
    <w:rsid w:val="006301FF"/>
    <w:rsid w:val="0063021B"/>
    <w:rsid w:val="0063029F"/>
    <w:rsid w:val="006302EC"/>
    <w:rsid w:val="00630306"/>
    <w:rsid w:val="00630334"/>
    <w:rsid w:val="00630345"/>
    <w:rsid w:val="0063037E"/>
    <w:rsid w:val="00630419"/>
    <w:rsid w:val="0063044A"/>
    <w:rsid w:val="00630507"/>
    <w:rsid w:val="00630544"/>
    <w:rsid w:val="0063058F"/>
    <w:rsid w:val="006305E2"/>
    <w:rsid w:val="006305EB"/>
    <w:rsid w:val="006305FB"/>
    <w:rsid w:val="0063060B"/>
    <w:rsid w:val="00630621"/>
    <w:rsid w:val="00630671"/>
    <w:rsid w:val="006306BA"/>
    <w:rsid w:val="006306E9"/>
    <w:rsid w:val="00630714"/>
    <w:rsid w:val="0063072E"/>
    <w:rsid w:val="00630739"/>
    <w:rsid w:val="0063073C"/>
    <w:rsid w:val="00630740"/>
    <w:rsid w:val="00630747"/>
    <w:rsid w:val="006307F6"/>
    <w:rsid w:val="00630863"/>
    <w:rsid w:val="00630865"/>
    <w:rsid w:val="006308E8"/>
    <w:rsid w:val="00630991"/>
    <w:rsid w:val="006309D4"/>
    <w:rsid w:val="00630A37"/>
    <w:rsid w:val="00630A84"/>
    <w:rsid w:val="00630AB2"/>
    <w:rsid w:val="00630ACC"/>
    <w:rsid w:val="00630AE7"/>
    <w:rsid w:val="00630B8C"/>
    <w:rsid w:val="00630B8E"/>
    <w:rsid w:val="00630BFE"/>
    <w:rsid w:val="00630CBD"/>
    <w:rsid w:val="00630CE9"/>
    <w:rsid w:val="00630D09"/>
    <w:rsid w:val="00630D0A"/>
    <w:rsid w:val="00630D0F"/>
    <w:rsid w:val="00630D3E"/>
    <w:rsid w:val="00630D94"/>
    <w:rsid w:val="00630D96"/>
    <w:rsid w:val="00630D9E"/>
    <w:rsid w:val="00630DBF"/>
    <w:rsid w:val="00630DE3"/>
    <w:rsid w:val="00630DE5"/>
    <w:rsid w:val="00630E36"/>
    <w:rsid w:val="00630E9D"/>
    <w:rsid w:val="00630F8A"/>
    <w:rsid w:val="00630F96"/>
    <w:rsid w:val="00630FB2"/>
    <w:rsid w:val="00630FC0"/>
    <w:rsid w:val="00631054"/>
    <w:rsid w:val="0063105C"/>
    <w:rsid w:val="00631094"/>
    <w:rsid w:val="0063113B"/>
    <w:rsid w:val="00631197"/>
    <w:rsid w:val="006311A8"/>
    <w:rsid w:val="006311B1"/>
    <w:rsid w:val="0063123F"/>
    <w:rsid w:val="00631335"/>
    <w:rsid w:val="00631394"/>
    <w:rsid w:val="00631443"/>
    <w:rsid w:val="00631461"/>
    <w:rsid w:val="00631512"/>
    <w:rsid w:val="00631546"/>
    <w:rsid w:val="0063157E"/>
    <w:rsid w:val="00631594"/>
    <w:rsid w:val="006315DA"/>
    <w:rsid w:val="006315F8"/>
    <w:rsid w:val="00631623"/>
    <w:rsid w:val="00631696"/>
    <w:rsid w:val="006316A3"/>
    <w:rsid w:val="006316AB"/>
    <w:rsid w:val="006316C7"/>
    <w:rsid w:val="006316DA"/>
    <w:rsid w:val="006316F3"/>
    <w:rsid w:val="00631720"/>
    <w:rsid w:val="00631724"/>
    <w:rsid w:val="006317DB"/>
    <w:rsid w:val="00631834"/>
    <w:rsid w:val="0063183A"/>
    <w:rsid w:val="00631890"/>
    <w:rsid w:val="006318A9"/>
    <w:rsid w:val="006318BD"/>
    <w:rsid w:val="00631917"/>
    <w:rsid w:val="0063196E"/>
    <w:rsid w:val="0063198A"/>
    <w:rsid w:val="006319AD"/>
    <w:rsid w:val="006319BA"/>
    <w:rsid w:val="006319F1"/>
    <w:rsid w:val="00631A1A"/>
    <w:rsid w:val="00631A33"/>
    <w:rsid w:val="00631A89"/>
    <w:rsid w:val="00631AF3"/>
    <w:rsid w:val="00631B66"/>
    <w:rsid w:val="00631C11"/>
    <w:rsid w:val="00631C1E"/>
    <w:rsid w:val="00631C49"/>
    <w:rsid w:val="00631C54"/>
    <w:rsid w:val="00631C84"/>
    <w:rsid w:val="00631D18"/>
    <w:rsid w:val="00631D54"/>
    <w:rsid w:val="00631D6D"/>
    <w:rsid w:val="00631D83"/>
    <w:rsid w:val="00631D85"/>
    <w:rsid w:val="00631D9E"/>
    <w:rsid w:val="00631DBA"/>
    <w:rsid w:val="00631DC4"/>
    <w:rsid w:val="00631E4F"/>
    <w:rsid w:val="00631E71"/>
    <w:rsid w:val="00631EC9"/>
    <w:rsid w:val="00631ED8"/>
    <w:rsid w:val="00631EE7"/>
    <w:rsid w:val="00631F3B"/>
    <w:rsid w:val="006321B2"/>
    <w:rsid w:val="006321D7"/>
    <w:rsid w:val="00632212"/>
    <w:rsid w:val="006322D2"/>
    <w:rsid w:val="0063236A"/>
    <w:rsid w:val="006323E2"/>
    <w:rsid w:val="006323E3"/>
    <w:rsid w:val="006323FB"/>
    <w:rsid w:val="00632431"/>
    <w:rsid w:val="0063245A"/>
    <w:rsid w:val="0063245B"/>
    <w:rsid w:val="00632487"/>
    <w:rsid w:val="006324E5"/>
    <w:rsid w:val="00632527"/>
    <w:rsid w:val="0063252E"/>
    <w:rsid w:val="0063258C"/>
    <w:rsid w:val="006325AA"/>
    <w:rsid w:val="006325BF"/>
    <w:rsid w:val="00632617"/>
    <w:rsid w:val="006326E4"/>
    <w:rsid w:val="0063275E"/>
    <w:rsid w:val="0063278E"/>
    <w:rsid w:val="006327C8"/>
    <w:rsid w:val="006327F9"/>
    <w:rsid w:val="00632809"/>
    <w:rsid w:val="0063288C"/>
    <w:rsid w:val="0063288D"/>
    <w:rsid w:val="006328A7"/>
    <w:rsid w:val="006328B0"/>
    <w:rsid w:val="0063290A"/>
    <w:rsid w:val="00632931"/>
    <w:rsid w:val="00632966"/>
    <w:rsid w:val="00632968"/>
    <w:rsid w:val="006329D7"/>
    <w:rsid w:val="00632A05"/>
    <w:rsid w:val="00632A1A"/>
    <w:rsid w:val="00632A24"/>
    <w:rsid w:val="00632A5A"/>
    <w:rsid w:val="00632A6B"/>
    <w:rsid w:val="00632AF9"/>
    <w:rsid w:val="00632B2C"/>
    <w:rsid w:val="00632B30"/>
    <w:rsid w:val="00632B38"/>
    <w:rsid w:val="00632B3B"/>
    <w:rsid w:val="00632B71"/>
    <w:rsid w:val="00632B87"/>
    <w:rsid w:val="00632B8A"/>
    <w:rsid w:val="00632BA3"/>
    <w:rsid w:val="00632BC7"/>
    <w:rsid w:val="00632BCF"/>
    <w:rsid w:val="00632BD8"/>
    <w:rsid w:val="00632C04"/>
    <w:rsid w:val="00632C41"/>
    <w:rsid w:val="00632C7C"/>
    <w:rsid w:val="00632C81"/>
    <w:rsid w:val="00632CE9"/>
    <w:rsid w:val="00632D11"/>
    <w:rsid w:val="00632D49"/>
    <w:rsid w:val="00632D56"/>
    <w:rsid w:val="00632D7A"/>
    <w:rsid w:val="00632DA5"/>
    <w:rsid w:val="00632DAB"/>
    <w:rsid w:val="00632DDC"/>
    <w:rsid w:val="00632DFB"/>
    <w:rsid w:val="00632E0E"/>
    <w:rsid w:val="00632E2F"/>
    <w:rsid w:val="00632E5B"/>
    <w:rsid w:val="00632E61"/>
    <w:rsid w:val="00632E6B"/>
    <w:rsid w:val="00632EAC"/>
    <w:rsid w:val="00632EDB"/>
    <w:rsid w:val="00632EEA"/>
    <w:rsid w:val="00632F09"/>
    <w:rsid w:val="00632F60"/>
    <w:rsid w:val="00632F84"/>
    <w:rsid w:val="00632F88"/>
    <w:rsid w:val="00632F89"/>
    <w:rsid w:val="00632F9A"/>
    <w:rsid w:val="00632FC7"/>
    <w:rsid w:val="00632FE7"/>
    <w:rsid w:val="00633060"/>
    <w:rsid w:val="0063307A"/>
    <w:rsid w:val="006330A8"/>
    <w:rsid w:val="006330B5"/>
    <w:rsid w:val="00633129"/>
    <w:rsid w:val="0063315F"/>
    <w:rsid w:val="00633173"/>
    <w:rsid w:val="006332B9"/>
    <w:rsid w:val="006332D0"/>
    <w:rsid w:val="006332F5"/>
    <w:rsid w:val="00633343"/>
    <w:rsid w:val="00633388"/>
    <w:rsid w:val="0063338F"/>
    <w:rsid w:val="006333AB"/>
    <w:rsid w:val="006333DE"/>
    <w:rsid w:val="006333F1"/>
    <w:rsid w:val="00633414"/>
    <w:rsid w:val="00633475"/>
    <w:rsid w:val="006334D6"/>
    <w:rsid w:val="006334EC"/>
    <w:rsid w:val="00633502"/>
    <w:rsid w:val="0063351A"/>
    <w:rsid w:val="00633555"/>
    <w:rsid w:val="0063359C"/>
    <w:rsid w:val="006335C5"/>
    <w:rsid w:val="006335DE"/>
    <w:rsid w:val="00633633"/>
    <w:rsid w:val="00633678"/>
    <w:rsid w:val="006336C8"/>
    <w:rsid w:val="006336FD"/>
    <w:rsid w:val="006337B7"/>
    <w:rsid w:val="006337C5"/>
    <w:rsid w:val="00633802"/>
    <w:rsid w:val="00633831"/>
    <w:rsid w:val="0063384D"/>
    <w:rsid w:val="006338CF"/>
    <w:rsid w:val="00633956"/>
    <w:rsid w:val="006339B3"/>
    <w:rsid w:val="006339D4"/>
    <w:rsid w:val="00633A3D"/>
    <w:rsid w:val="00633A87"/>
    <w:rsid w:val="00633A93"/>
    <w:rsid w:val="00633AAC"/>
    <w:rsid w:val="00633ABA"/>
    <w:rsid w:val="00633AC5"/>
    <w:rsid w:val="00633AE9"/>
    <w:rsid w:val="00633B02"/>
    <w:rsid w:val="00633B6A"/>
    <w:rsid w:val="00633B98"/>
    <w:rsid w:val="00633BF2"/>
    <w:rsid w:val="00633BF3"/>
    <w:rsid w:val="00633CB4"/>
    <w:rsid w:val="00633CBB"/>
    <w:rsid w:val="00633D66"/>
    <w:rsid w:val="00633DA6"/>
    <w:rsid w:val="00633DC0"/>
    <w:rsid w:val="00633DFA"/>
    <w:rsid w:val="00633E0C"/>
    <w:rsid w:val="00633EB0"/>
    <w:rsid w:val="00633EE6"/>
    <w:rsid w:val="00633EF9"/>
    <w:rsid w:val="00633F0B"/>
    <w:rsid w:val="00633F32"/>
    <w:rsid w:val="00633F70"/>
    <w:rsid w:val="00633F98"/>
    <w:rsid w:val="00633FBC"/>
    <w:rsid w:val="00633FD3"/>
    <w:rsid w:val="00633FD8"/>
    <w:rsid w:val="00634040"/>
    <w:rsid w:val="00634081"/>
    <w:rsid w:val="006340A8"/>
    <w:rsid w:val="006340BA"/>
    <w:rsid w:val="006340E4"/>
    <w:rsid w:val="006340F3"/>
    <w:rsid w:val="0063410C"/>
    <w:rsid w:val="0063414B"/>
    <w:rsid w:val="006341AB"/>
    <w:rsid w:val="006341B9"/>
    <w:rsid w:val="006341D4"/>
    <w:rsid w:val="006341F4"/>
    <w:rsid w:val="006341F7"/>
    <w:rsid w:val="0063421F"/>
    <w:rsid w:val="006342BC"/>
    <w:rsid w:val="00634303"/>
    <w:rsid w:val="00634313"/>
    <w:rsid w:val="00634376"/>
    <w:rsid w:val="0063443B"/>
    <w:rsid w:val="00634481"/>
    <w:rsid w:val="006344EB"/>
    <w:rsid w:val="006344F1"/>
    <w:rsid w:val="006344FA"/>
    <w:rsid w:val="00634500"/>
    <w:rsid w:val="0063452D"/>
    <w:rsid w:val="00634575"/>
    <w:rsid w:val="00634598"/>
    <w:rsid w:val="006345C6"/>
    <w:rsid w:val="006345C8"/>
    <w:rsid w:val="006345F8"/>
    <w:rsid w:val="0063460C"/>
    <w:rsid w:val="00634629"/>
    <w:rsid w:val="00634654"/>
    <w:rsid w:val="0063466E"/>
    <w:rsid w:val="006346C6"/>
    <w:rsid w:val="0063470E"/>
    <w:rsid w:val="00634745"/>
    <w:rsid w:val="0063476D"/>
    <w:rsid w:val="0063478D"/>
    <w:rsid w:val="006347A4"/>
    <w:rsid w:val="006347B4"/>
    <w:rsid w:val="006347C1"/>
    <w:rsid w:val="006347CF"/>
    <w:rsid w:val="0063484B"/>
    <w:rsid w:val="00634881"/>
    <w:rsid w:val="00634899"/>
    <w:rsid w:val="006348A0"/>
    <w:rsid w:val="0063490A"/>
    <w:rsid w:val="00634917"/>
    <w:rsid w:val="0063491B"/>
    <w:rsid w:val="0063492B"/>
    <w:rsid w:val="0063492D"/>
    <w:rsid w:val="0063496A"/>
    <w:rsid w:val="00634979"/>
    <w:rsid w:val="0063499C"/>
    <w:rsid w:val="006349AA"/>
    <w:rsid w:val="006349DD"/>
    <w:rsid w:val="006349F2"/>
    <w:rsid w:val="00634A04"/>
    <w:rsid w:val="00634AEE"/>
    <w:rsid w:val="00634B0F"/>
    <w:rsid w:val="00634B2A"/>
    <w:rsid w:val="00634BC5"/>
    <w:rsid w:val="00634C70"/>
    <w:rsid w:val="00634C8C"/>
    <w:rsid w:val="00634CC9"/>
    <w:rsid w:val="00634CD0"/>
    <w:rsid w:val="00634D1A"/>
    <w:rsid w:val="00634D4E"/>
    <w:rsid w:val="00634D7F"/>
    <w:rsid w:val="00634D94"/>
    <w:rsid w:val="00634DA7"/>
    <w:rsid w:val="00634E05"/>
    <w:rsid w:val="00634E33"/>
    <w:rsid w:val="00634E77"/>
    <w:rsid w:val="00634E93"/>
    <w:rsid w:val="00634EAB"/>
    <w:rsid w:val="00634ED8"/>
    <w:rsid w:val="00634EEC"/>
    <w:rsid w:val="00634F25"/>
    <w:rsid w:val="00634F38"/>
    <w:rsid w:val="00634FDC"/>
    <w:rsid w:val="0063500B"/>
    <w:rsid w:val="00635010"/>
    <w:rsid w:val="00635025"/>
    <w:rsid w:val="0063505F"/>
    <w:rsid w:val="006350D0"/>
    <w:rsid w:val="006350EE"/>
    <w:rsid w:val="00635161"/>
    <w:rsid w:val="0063517F"/>
    <w:rsid w:val="006351AC"/>
    <w:rsid w:val="006351BD"/>
    <w:rsid w:val="006351BE"/>
    <w:rsid w:val="006351C9"/>
    <w:rsid w:val="00635201"/>
    <w:rsid w:val="0063521B"/>
    <w:rsid w:val="00635311"/>
    <w:rsid w:val="00635364"/>
    <w:rsid w:val="00635406"/>
    <w:rsid w:val="0063545E"/>
    <w:rsid w:val="00635477"/>
    <w:rsid w:val="006354B2"/>
    <w:rsid w:val="006354B9"/>
    <w:rsid w:val="006354CD"/>
    <w:rsid w:val="0063552E"/>
    <w:rsid w:val="00635550"/>
    <w:rsid w:val="00635576"/>
    <w:rsid w:val="006355BE"/>
    <w:rsid w:val="00635615"/>
    <w:rsid w:val="006356A9"/>
    <w:rsid w:val="00635704"/>
    <w:rsid w:val="0063573C"/>
    <w:rsid w:val="00635747"/>
    <w:rsid w:val="0063574B"/>
    <w:rsid w:val="006357CB"/>
    <w:rsid w:val="006357EA"/>
    <w:rsid w:val="0063587B"/>
    <w:rsid w:val="006358AB"/>
    <w:rsid w:val="006358EB"/>
    <w:rsid w:val="006359A6"/>
    <w:rsid w:val="006359DA"/>
    <w:rsid w:val="006359F7"/>
    <w:rsid w:val="00635A06"/>
    <w:rsid w:val="00635A59"/>
    <w:rsid w:val="00635A69"/>
    <w:rsid w:val="00635A97"/>
    <w:rsid w:val="00635B2A"/>
    <w:rsid w:val="00635B74"/>
    <w:rsid w:val="00635BBE"/>
    <w:rsid w:val="00635C06"/>
    <w:rsid w:val="00635C21"/>
    <w:rsid w:val="00635C47"/>
    <w:rsid w:val="00635C4B"/>
    <w:rsid w:val="00635C5A"/>
    <w:rsid w:val="00635C89"/>
    <w:rsid w:val="00635CB4"/>
    <w:rsid w:val="00635CDD"/>
    <w:rsid w:val="00635D33"/>
    <w:rsid w:val="00635D42"/>
    <w:rsid w:val="00635D86"/>
    <w:rsid w:val="00635D93"/>
    <w:rsid w:val="00635E0D"/>
    <w:rsid w:val="00635ECC"/>
    <w:rsid w:val="00635F13"/>
    <w:rsid w:val="00635F14"/>
    <w:rsid w:val="00635F7A"/>
    <w:rsid w:val="00635F9D"/>
    <w:rsid w:val="0063606D"/>
    <w:rsid w:val="00636094"/>
    <w:rsid w:val="0063609C"/>
    <w:rsid w:val="006360A1"/>
    <w:rsid w:val="006360C9"/>
    <w:rsid w:val="00636167"/>
    <w:rsid w:val="00636193"/>
    <w:rsid w:val="006361B8"/>
    <w:rsid w:val="006361CE"/>
    <w:rsid w:val="006361ED"/>
    <w:rsid w:val="00636204"/>
    <w:rsid w:val="0063620F"/>
    <w:rsid w:val="00636251"/>
    <w:rsid w:val="006362EF"/>
    <w:rsid w:val="006362F1"/>
    <w:rsid w:val="00636347"/>
    <w:rsid w:val="00636358"/>
    <w:rsid w:val="00636379"/>
    <w:rsid w:val="006363D8"/>
    <w:rsid w:val="00636430"/>
    <w:rsid w:val="00636450"/>
    <w:rsid w:val="0063648B"/>
    <w:rsid w:val="00636501"/>
    <w:rsid w:val="0063650E"/>
    <w:rsid w:val="00636536"/>
    <w:rsid w:val="0063654B"/>
    <w:rsid w:val="00636556"/>
    <w:rsid w:val="00636586"/>
    <w:rsid w:val="006365EA"/>
    <w:rsid w:val="006365F3"/>
    <w:rsid w:val="0063660F"/>
    <w:rsid w:val="00636631"/>
    <w:rsid w:val="0063664B"/>
    <w:rsid w:val="00636674"/>
    <w:rsid w:val="006366AD"/>
    <w:rsid w:val="006366DA"/>
    <w:rsid w:val="00636713"/>
    <w:rsid w:val="0063675E"/>
    <w:rsid w:val="0063676C"/>
    <w:rsid w:val="0063679A"/>
    <w:rsid w:val="006367B7"/>
    <w:rsid w:val="006367C9"/>
    <w:rsid w:val="006367DC"/>
    <w:rsid w:val="0063682A"/>
    <w:rsid w:val="00636841"/>
    <w:rsid w:val="00636899"/>
    <w:rsid w:val="006368B7"/>
    <w:rsid w:val="006368F6"/>
    <w:rsid w:val="00636917"/>
    <w:rsid w:val="0063696A"/>
    <w:rsid w:val="00636A44"/>
    <w:rsid w:val="00636A4E"/>
    <w:rsid w:val="00636AAE"/>
    <w:rsid w:val="00636B73"/>
    <w:rsid w:val="00636BAC"/>
    <w:rsid w:val="00636BB7"/>
    <w:rsid w:val="00636BBD"/>
    <w:rsid w:val="00636BD4"/>
    <w:rsid w:val="00636BFF"/>
    <w:rsid w:val="00636C1B"/>
    <w:rsid w:val="00636C47"/>
    <w:rsid w:val="00636C7A"/>
    <w:rsid w:val="00636CA5"/>
    <w:rsid w:val="00636CC9"/>
    <w:rsid w:val="00636CDB"/>
    <w:rsid w:val="00636D15"/>
    <w:rsid w:val="00636D3E"/>
    <w:rsid w:val="00636D44"/>
    <w:rsid w:val="00636DCE"/>
    <w:rsid w:val="00636E00"/>
    <w:rsid w:val="00636E26"/>
    <w:rsid w:val="00636E27"/>
    <w:rsid w:val="00636E30"/>
    <w:rsid w:val="00636E5A"/>
    <w:rsid w:val="00636E61"/>
    <w:rsid w:val="00636E66"/>
    <w:rsid w:val="00636E9A"/>
    <w:rsid w:val="00636ED1"/>
    <w:rsid w:val="00636EDB"/>
    <w:rsid w:val="00636F09"/>
    <w:rsid w:val="00636F71"/>
    <w:rsid w:val="00636FD3"/>
    <w:rsid w:val="00637004"/>
    <w:rsid w:val="00637010"/>
    <w:rsid w:val="00637066"/>
    <w:rsid w:val="006370D2"/>
    <w:rsid w:val="006370E5"/>
    <w:rsid w:val="00637102"/>
    <w:rsid w:val="00637105"/>
    <w:rsid w:val="00637107"/>
    <w:rsid w:val="00637118"/>
    <w:rsid w:val="0063712D"/>
    <w:rsid w:val="0063716F"/>
    <w:rsid w:val="0063717C"/>
    <w:rsid w:val="00637182"/>
    <w:rsid w:val="006371A0"/>
    <w:rsid w:val="006371B7"/>
    <w:rsid w:val="006371BE"/>
    <w:rsid w:val="006371EC"/>
    <w:rsid w:val="0063723E"/>
    <w:rsid w:val="00637247"/>
    <w:rsid w:val="006372C5"/>
    <w:rsid w:val="00637306"/>
    <w:rsid w:val="0063730B"/>
    <w:rsid w:val="00637319"/>
    <w:rsid w:val="00637343"/>
    <w:rsid w:val="00637357"/>
    <w:rsid w:val="0063736F"/>
    <w:rsid w:val="006373F9"/>
    <w:rsid w:val="00637406"/>
    <w:rsid w:val="0063740E"/>
    <w:rsid w:val="0063743C"/>
    <w:rsid w:val="0063745C"/>
    <w:rsid w:val="00637497"/>
    <w:rsid w:val="0063749E"/>
    <w:rsid w:val="006374B1"/>
    <w:rsid w:val="006374CA"/>
    <w:rsid w:val="006374FA"/>
    <w:rsid w:val="00637570"/>
    <w:rsid w:val="006375CA"/>
    <w:rsid w:val="00637601"/>
    <w:rsid w:val="00637625"/>
    <w:rsid w:val="0063765B"/>
    <w:rsid w:val="00637690"/>
    <w:rsid w:val="00637691"/>
    <w:rsid w:val="0063777B"/>
    <w:rsid w:val="006377E1"/>
    <w:rsid w:val="0063786B"/>
    <w:rsid w:val="0063789E"/>
    <w:rsid w:val="006378AE"/>
    <w:rsid w:val="00637926"/>
    <w:rsid w:val="0063794B"/>
    <w:rsid w:val="006379FE"/>
    <w:rsid w:val="00637A0D"/>
    <w:rsid w:val="00637A32"/>
    <w:rsid w:val="00637A3B"/>
    <w:rsid w:val="00637A4F"/>
    <w:rsid w:val="00637A7A"/>
    <w:rsid w:val="00637B10"/>
    <w:rsid w:val="00637B5F"/>
    <w:rsid w:val="00637B7A"/>
    <w:rsid w:val="00637B84"/>
    <w:rsid w:val="00637CC8"/>
    <w:rsid w:val="00637CD4"/>
    <w:rsid w:val="00637D70"/>
    <w:rsid w:val="00637D7B"/>
    <w:rsid w:val="00637D9A"/>
    <w:rsid w:val="00637DAE"/>
    <w:rsid w:val="00637DDC"/>
    <w:rsid w:val="00637DEF"/>
    <w:rsid w:val="00637E98"/>
    <w:rsid w:val="00637E9E"/>
    <w:rsid w:val="00637F2D"/>
    <w:rsid w:val="00637F30"/>
    <w:rsid w:val="00637F8B"/>
    <w:rsid w:val="00637FB7"/>
    <w:rsid w:val="00637FE0"/>
    <w:rsid w:val="00640042"/>
    <w:rsid w:val="0064004F"/>
    <w:rsid w:val="00640053"/>
    <w:rsid w:val="0064005B"/>
    <w:rsid w:val="0064007E"/>
    <w:rsid w:val="00640088"/>
    <w:rsid w:val="006400E1"/>
    <w:rsid w:val="006400E4"/>
    <w:rsid w:val="00640135"/>
    <w:rsid w:val="0064013A"/>
    <w:rsid w:val="0064013C"/>
    <w:rsid w:val="0064019B"/>
    <w:rsid w:val="006401B9"/>
    <w:rsid w:val="006401D0"/>
    <w:rsid w:val="006401EF"/>
    <w:rsid w:val="00640245"/>
    <w:rsid w:val="0064024A"/>
    <w:rsid w:val="0064027E"/>
    <w:rsid w:val="006402D6"/>
    <w:rsid w:val="006402EB"/>
    <w:rsid w:val="00640303"/>
    <w:rsid w:val="0064031B"/>
    <w:rsid w:val="00640341"/>
    <w:rsid w:val="006403F4"/>
    <w:rsid w:val="0064040A"/>
    <w:rsid w:val="00640420"/>
    <w:rsid w:val="0064042B"/>
    <w:rsid w:val="0064044F"/>
    <w:rsid w:val="00640470"/>
    <w:rsid w:val="00640490"/>
    <w:rsid w:val="0064049E"/>
    <w:rsid w:val="006404AD"/>
    <w:rsid w:val="006404BA"/>
    <w:rsid w:val="0064053F"/>
    <w:rsid w:val="006405C5"/>
    <w:rsid w:val="006405CB"/>
    <w:rsid w:val="006405DC"/>
    <w:rsid w:val="00640600"/>
    <w:rsid w:val="0064063A"/>
    <w:rsid w:val="00640663"/>
    <w:rsid w:val="006406CA"/>
    <w:rsid w:val="006406CD"/>
    <w:rsid w:val="00640700"/>
    <w:rsid w:val="0064070D"/>
    <w:rsid w:val="00640825"/>
    <w:rsid w:val="00640854"/>
    <w:rsid w:val="006408EB"/>
    <w:rsid w:val="00640908"/>
    <w:rsid w:val="00640917"/>
    <w:rsid w:val="0064092C"/>
    <w:rsid w:val="0064093E"/>
    <w:rsid w:val="00640952"/>
    <w:rsid w:val="00640995"/>
    <w:rsid w:val="006409E1"/>
    <w:rsid w:val="00640A00"/>
    <w:rsid w:val="00640A31"/>
    <w:rsid w:val="00640A3F"/>
    <w:rsid w:val="00640B5B"/>
    <w:rsid w:val="00640BB2"/>
    <w:rsid w:val="00640BCE"/>
    <w:rsid w:val="00640BD8"/>
    <w:rsid w:val="00640BE5"/>
    <w:rsid w:val="00640C0A"/>
    <w:rsid w:val="00640C4E"/>
    <w:rsid w:val="00640CB9"/>
    <w:rsid w:val="00640CE5"/>
    <w:rsid w:val="00640D49"/>
    <w:rsid w:val="00640D75"/>
    <w:rsid w:val="00640D84"/>
    <w:rsid w:val="00640DF4"/>
    <w:rsid w:val="00640E13"/>
    <w:rsid w:val="00640E61"/>
    <w:rsid w:val="00640EC2"/>
    <w:rsid w:val="00640EDB"/>
    <w:rsid w:val="00640F0B"/>
    <w:rsid w:val="00640F54"/>
    <w:rsid w:val="00640F90"/>
    <w:rsid w:val="00640FB9"/>
    <w:rsid w:val="00640FC3"/>
    <w:rsid w:val="00640FF9"/>
    <w:rsid w:val="00641002"/>
    <w:rsid w:val="00641037"/>
    <w:rsid w:val="00641076"/>
    <w:rsid w:val="0064107B"/>
    <w:rsid w:val="00641096"/>
    <w:rsid w:val="006410A9"/>
    <w:rsid w:val="006410BA"/>
    <w:rsid w:val="00641131"/>
    <w:rsid w:val="0064117E"/>
    <w:rsid w:val="00641227"/>
    <w:rsid w:val="0064125F"/>
    <w:rsid w:val="00641273"/>
    <w:rsid w:val="00641282"/>
    <w:rsid w:val="00641292"/>
    <w:rsid w:val="006412BB"/>
    <w:rsid w:val="006412D5"/>
    <w:rsid w:val="006412F9"/>
    <w:rsid w:val="0064132E"/>
    <w:rsid w:val="00641355"/>
    <w:rsid w:val="0064139D"/>
    <w:rsid w:val="006413B8"/>
    <w:rsid w:val="006413C3"/>
    <w:rsid w:val="006413DF"/>
    <w:rsid w:val="006413E8"/>
    <w:rsid w:val="00641461"/>
    <w:rsid w:val="0064146D"/>
    <w:rsid w:val="006414B7"/>
    <w:rsid w:val="006415E2"/>
    <w:rsid w:val="006416A5"/>
    <w:rsid w:val="006416D0"/>
    <w:rsid w:val="00641715"/>
    <w:rsid w:val="00641831"/>
    <w:rsid w:val="006418A3"/>
    <w:rsid w:val="006418BA"/>
    <w:rsid w:val="006418DE"/>
    <w:rsid w:val="00641901"/>
    <w:rsid w:val="00641966"/>
    <w:rsid w:val="006419F5"/>
    <w:rsid w:val="00641A9E"/>
    <w:rsid w:val="00641B3B"/>
    <w:rsid w:val="00641B9A"/>
    <w:rsid w:val="00641CCC"/>
    <w:rsid w:val="00641DA0"/>
    <w:rsid w:val="00641E05"/>
    <w:rsid w:val="00641E08"/>
    <w:rsid w:val="00641E0B"/>
    <w:rsid w:val="00641E64"/>
    <w:rsid w:val="00641EB6"/>
    <w:rsid w:val="00641EC4"/>
    <w:rsid w:val="00641EEA"/>
    <w:rsid w:val="00641F47"/>
    <w:rsid w:val="00641F9A"/>
    <w:rsid w:val="00641FA2"/>
    <w:rsid w:val="00641FB3"/>
    <w:rsid w:val="00641FC4"/>
    <w:rsid w:val="00641FC9"/>
    <w:rsid w:val="0064200A"/>
    <w:rsid w:val="0064204B"/>
    <w:rsid w:val="0064205B"/>
    <w:rsid w:val="006420DE"/>
    <w:rsid w:val="00642116"/>
    <w:rsid w:val="00642189"/>
    <w:rsid w:val="0064218D"/>
    <w:rsid w:val="00642197"/>
    <w:rsid w:val="006421D7"/>
    <w:rsid w:val="00642224"/>
    <w:rsid w:val="0064224C"/>
    <w:rsid w:val="00642283"/>
    <w:rsid w:val="006422B1"/>
    <w:rsid w:val="006422BC"/>
    <w:rsid w:val="006422C1"/>
    <w:rsid w:val="006422C9"/>
    <w:rsid w:val="00642307"/>
    <w:rsid w:val="00642319"/>
    <w:rsid w:val="00642363"/>
    <w:rsid w:val="006423B6"/>
    <w:rsid w:val="006423C3"/>
    <w:rsid w:val="00642450"/>
    <w:rsid w:val="0064248F"/>
    <w:rsid w:val="006424B9"/>
    <w:rsid w:val="0064251B"/>
    <w:rsid w:val="0064254E"/>
    <w:rsid w:val="0064255F"/>
    <w:rsid w:val="00642573"/>
    <w:rsid w:val="006425B7"/>
    <w:rsid w:val="0064264C"/>
    <w:rsid w:val="0064266B"/>
    <w:rsid w:val="006426C3"/>
    <w:rsid w:val="00642733"/>
    <w:rsid w:val="00642785"/>
    <w:rsid w:val="00642788"/>
    <w:rsid w:val="0064278F"/>
    <w:rsid w:val="00642805"/>
    <w:rsid w:val="00642809"/>
    <w:rsid w:val="0064280B"/>
    <w:rsid w:val="00642834"/>
    <w:rsid w:val="00642838"/>
    <w:rsid w:val="006428A8"/>
    <w:rsid w:val="006428B3"/>
    <w:rsid w:val="006428B8"/>
    <w:rsid w:val="006428C4"/>
    <w:rsid w:val="00642959"/>
    <w:rsid w:val="006429BD"/>
    <w:rsid w:val="006429C7"/>
    <w:rsid w:val="00642A18"/>
    <w:rsid w:val="00642A4C"/>
    <w:rsid w:val="00642A81"/>
    <w:rsid w:val="00642AC4"/>
    <w:rsid w:val="00642ADB"/>
    <w:rsid w:val="00642AE1"/>
    <w:rsid w:val="00642B15"/>
    <w:rsid w:val="00642B39"/>
    <w:rsid w:val="00642B41"/>
    <w:rsid w:val="00642B68"/>
    <w:rsid w:val="00642B6B"/>
    <w:rsid w:val="00642B9D"/>
    <w:rsid w:val="00642BC5"/>
    <w:rsid w:val="00642BF0"/>
    <w:rsid w:val="00642C06"/>
    <w:rsid w:val="00642D90"/>
    <w:rsid w:val="00642DD6"/>
    <w:rsid w:val="00642DEE"/>
    <w:rsid w:val="00642E37"/>
    <w:rsid w:val="00642E57"/>
    <w:rsid w:val="00642EA0"/>
    <w:rsid w:val="00642EA4"/>
    <w:rsid w:val="00642EEA"/>
    <w:rsid w:val="00642EF7"/>
    <w:rsid w:val="00642F05"/>
    <w:rsid w:val="00642F27"/>
    <w:rsid w:val="00642F57"/>
    <w:rsid w:val="00642F7A"/>
    <w:rsid w:val="00642FD2"/>
    <w:rsid w:val="00642FFA"/>
    <w:rsid w:val="00643023"/>
    <w:rsid w:val="0064303A"/>
    <w:rsid w:val="00643040"/>
    <w:rsid w:val="0064305C"/>
    <w:rsid w:val="00643074"/>
    <w:rsid w:val="006430B8"/>
    <w:rsid w:val="006430C4"/>
    <w:rsid w:val="00643129"/>
    <w:rsid w:val="0064313E"/>
    <w:rsid w:val="00643228"/>
    <w:rsid w:val="0064333D"/>
    <w:rsid w:val="0064336D"/>
    <w:rsid w:val="00643379"/>
    <w:rsid w:val="006433B0"/>
    <w:rsid w:val="006433D8"/>
    <w:rsid w:val="006433E5"/>
    <w:rsid w:val="00643427"/>
    <w:rsid w:val="00643498"/>
    <w:rsid w:val="00643539"/>
    <w:rsid w:val="006435AD"/>
    <w:rsid w:val="006435B8"/>
    <w:rsid w:val="006435CE"/>
    <w:rsid w:val="006435D0"/>
    <w:rsid w:val="006435D6"/>
    <w:rsid w:val="006435EA"/>
    <w:rsid w:val="006435EC"/>
    <w:rsid w:val="00643618"/>
    <w:rsid w:val="00643630"/>
    <w:rsid w:val="00643639"/>
    <w:rsid w:val="00643670"/>
    <w:rsid w:val="006436B7"/>
    <w:rsid w:val="006436FB"/>
    <w:rsid w:val="00643715"/>
    <w:rsid w:val="00643757"/>
    <w:rsid w:val="00643784"/>
    <w:rsid w:val="0064378F"/>
    <w:rsid w:val="0064381E"/>
    <w:rsid w:val="00643870"/>
    <w:rsid w:val="00643917"/>
    <w:rsid w:val="00643949"/>
    <w:rsid w:val="00643952"/>
    <w:rsid w:val="00643961"/>
    <w:rsid w:val="00643963"/>
    <w:rsid w:val="006439A5"/>
    <w:rsid w:val="006439B8"/>
    <w:rsid w:val="00643A0C"/>
    <w:rsid w:val="00643A7A"/>
    <w:rsid w:val="00643A81"/>
    <w:rsid w:val="00643AAC"/>
    <w:rsid w:val="00643AF7"/>
    <w:rsid w:val="00643B0F"/>
    <w:rsid w:val="00643B10"/>
    <w:rsid w:val="00643B49"/>
    <w:rsid w:val="00643BA5"/>
    <w:rsid w:val="00643BA6"/>
    <w:rsid w:val="00643BB9"/>
    <w:rsid w:val="00643BE4"/>
    <w:rsid w:val="00643C31"/>
    <w:rsid w:val="00643C4C"/>
    <w:rsid w:val="00643C66"/>
    <w:rsid w:val="00643CA9"/>
    <w:rsid w:val="00643CFD"/>
    <w:rsid w:val="00643D15"/>
    <w:rsid w:val="00643D3E"/>
    <w:rsid w:val="00643D76"/>
    <w:rsid w:val="00643D79"/>
    <w:rsid w:val="00643E26"/>
    <w:rsid w:val="00643E33"/>
    <w:rsid w:val="00643F08"/>
    <w:rsid w:val="00643F18"/>
    <w:rsid w:val="00643F34"/>
    <w:rsid w:val="00643F37"/>
    <w:rsid w:val="00643F76"/>
    <w:rsid w:val="00643F79"/>
    <w:rsid w:val="00643F9E"/>
    <w:rsid w:val="00643FE7"/>
    <w:rsid w:val="00644008"/>
    <w:rsid w:val="00644038"/>
    <w:rsid w:val="0064407E"/>
    <w:rsid w:val="00644092"/>
    <w:rsid w:val="0064409E"/>
    <w:rsid w:val="006440D0"/>
    <w:rsid w:val="006440D8"/>
    <w:rsid w:val="006440F2"/>
    <w:rsid w:val="00644104"/>
    <w:rsid w:val="00644134"/>
    <w:rsid w:val="0064413D"/>
    <w:rsid w:val="0064414C"/>
    <w:rsid w:val="0064416E"/>
    <w:rsid w:val="0064418F"/>
    <w:rsid w:val="006441DD"/>
    <w:rsid w:val="00644200"/>
    <w:rsid w:val="00644217"/>
    <w:rsid w:val="0064428D"/>
    <w:rsid w:val="00644308"/>
    <w:rsid w:val="00644345"/>
    <w:rsid w:val="00644431"/>
    <w:rsid w:val="00644438"/>
    <w:rsid w:val="00644478"/>
    <w:rsid w:val="006444C8"/>
    <w:rsid w:val="006444D3"/>
    <w:rsid w:val="0064450B"/>
    <w:rsid w:val="0064450D"/>
    <w:rsid w:val="00644587"/>
    <w:rsid w:val="006445A4"/>
    <w:rsid w:val="0064466E"/>
    <w:rsid w:val="0064469F"/>
    <w:rsid w:val="0064471F"/>
    <w:rsid w:val="006447A8"/>
    <w:rsid w:val="0064483D"/>
    <w:rsid w:val="0064487D"/>
    <w:rsid w:val="006448BE"/>
    <w:rsid w:val="006448CB"/>
    <w:rsid w:val="00644905"/>
    <w:rsid w:val="0064491E"/>
    <w:rsid w:val="00644935"/>
    <w:rsid w:val="0064497A"/>
    <w:rsid w:val="00644986"/>
    <w:rsid w:val="006449C7"/>
    <w:rsid w:val="006449F4"/>
    <w:rsid w:val="006449F5"/>
    <w:rsid w:val="00644A0B"/>
    <w:rsid w:val="00644A3E"/>
    <w:rsid w:val="00644A5B"/>
    <w:rsid w:val="00644A6D"/>
    <w:rsid w:val="00644A77"/>
    <w:rsid w:val="00644B8B"/>
    <w:rsid w:val="00644B9A"/>
    <w:rsid w:val="00644BB3"/>
    <w:rsid w:val="00644BD8"/>
    <w:rsid w:val="00644C0F"/>
    <w:rsid w:val="00644C26"/>
    <w:rsid w:val="00644C2E"/>
    <w:rsid w:val="00644C4A"/>
    <w:rsid w:val="00644CA2"/>
    <w:rsid w:val="00644CE8"/>
    <w:rsid w:val="00644D08"/>
    <w:rsid w:val="00644D2B"/>
    <w:rsid w:val="00644D3C"/>
    <w:rsid w:val="00644D4F"/>
    <w:rsid w:val="00644DF6"/>
    <w:rsid w:val="00644DFC"/>
    <w:rsid w:val="00644E34"/>
    <w:rsid w:val="00644E63"/>
    <w:rsid w:val="00644EA7"/>
    <w:rsid w:val="00644ED6"/>
    <w:rsid w:val="00644EE2"/>
    <w:rsid w:val="00644F24"/>
    <w:rsid w:val="00644F2D"/>
    <w:rsid w:val="00644F46"/>
    <w:rsid w:val="00644F5C"/>
    <w:rsid w:val="00644F5F"/>
    <w:rsid w:val="00644F76"/>
    <w:rsid w:val="00644FA5"/>
    <w:rsid w:val="00644FBF"/>
    <w:rsid w:val="00644FC7"/>
    <w:rsid w:val="00644FD1"/>
    <w:rsid w:val="006450C2"/>
    <w:rsid w:val="0064518B"/>
    <w:rsid w:val="0064520B"/>
    <w:rsid w:val="00645238"/>
    <w:rsid w:val="006452D7"/>
    <w:rsid w:val="00645308"/>
    <w:rsid w:val="00645339"/>
    <w:rsid w:val="00645340"/>
    <w:rsid w:val="006453F6"/>
    <w:rsid w:val="0064542E"/>
    <w:rsid w:val="00645459"/>
    <w:rsid w:val="0064548C"/>
    <w:rsid w:val="00645491"/>
    <w:rsid w:val="006454AE"/>
    <w:rsid w:val="006454E0"/>
    <w:rsid w:val="00645507"/>
    <w:rsid w:val="00645520"/>
    <w:rsid w:val="0064553E"/>
    <w:rsid w:val="00645554"/>
    <w:rsid w:val="00645577"/>
    <w:rsid w:val="0064557F"/>
    <w:rsid w:val="006455D0"/>
    <w:rsid w:val="006455E2"/>
    <w:rsid w:val="006455EA"/>
    <w:rsid w:val="006455FF"/>
    <w:rsid w:val="0064563B"/>
    <w:rsid w:val="0064564F"/>
    <w:rsid w:val="0064567B"/>
    <w:rsid w:val="006456AC"/>
    <w:rsid w:val="006456AD"/>
    <w:rsid w:val="006456BD"/>
    <w:rsid w:val="00645729"/>
    <w:rsid w:val="0064573B"/>
    <w:rsid w:val="00645815"/>
    <w:rsid w:val="0064581A"/>
    <w:rsid w:val="0064582D"/>
    <w:rsid w:val="00645830"/>
    <w:rsid w:val="00645891"/>
    <w:rsid w:val="00645896"/>
    <w:rsid w:val="006458A3"/>
    <w:rsid w:val="006458AB"/>
    <w:rsid w:val="00645985"/>
    <w:rsid w:val="006459BE"/>
    <w:rsid w:val="006459C2"/>
    <w:rsid w:val="006459E9"/>
    <w:rsid w:val="00645A45"/>
    <w:rsid w:val="00645A47"/>
    <w:rsid w:val="00645A60"/>
    <w:rsid w:val="00645B0E"/>
    <w:rsid w:val="00645B64"/>
    <w:rsid w:val="00645BAF"/>
    <w:rsid w:val="00645BBF"/>
    <w:rsid w:val="00645BD2"/>
    <w:rsid w:val="00645BE0"/>
    <w:rsid w:val="00645C45"/>
    <w:rsid w:val="00645C6D"/>
    <w:rsid w:val="00645CF0"/>
    <w:rsid w:val="00645DCE"/>
    <w:rsid w:val="00645E25"/>
    <w:rsid w:val="00645E2F"/>
    <w:rsid w:val="00645E4F"/>
    <w:rsid w:val="00645E54"/>
    <w:rsid w:val="00645E62"/>
    <w:rsid w:val="00645E8A"/>
    <w:rsid w:val="00645E8E"/>
    <w:rsid w:val="00645F57"/>
    <w:rsid w:val="00645FBA"/>
    <w:rsid w:val="00645FC2"/>
    <w:rsid w:val="0064601A"/>
    <w:rsid w:val="00646046"/>
    <w:rsid w:val="006460BB"/>
    <w:rsid w:val="006460BD"/>
    <w:rsid w:val="006460C0"/>
    <w:rsid w:val="006460C1"/>
    <w:rsid w:val="006460CC"/>
    <w:rsid w:val="006460D2"/>
    <w:rsid w:val="00646118"/>
    <w:rsid w:val="00646150"/>
    <w:rsid w:val="0064619C"/>
    <w:rsid w:val="006461D5"/>
    <w:rsid w:val="006461F3"/>
    <w:rsid w:val="006461F9"/>
    <w:rsid w:val="0064623A"/>
    <w:rsid w:val="0064623C"/>
    <w:rsid w:val="00646266"/>
    <w:rsid w:val="0064629D"/>
    <w:rsid w:val="006462EE"/>
    <w:rsid w:val="00646300"/>
    <w:rsid w:val="00646323"/>
    <w:rsid w:val="00646344"/>
    <w:rsid w:val="0064635B"/>
    <w:rsid w:val="00646366"/>
    <w:rsid w:val="006463F0"/>
    <w:rsid w:val="00646407"/>
    <w:rsid w:val="00646442"/>
    <w:rsid w:val="00646443"/>
    <w:rsid w:val="00646448"/>
    <w:rsid w:val="00646452"/>
    <w:rsid w:val="00646499"/>
    <w:rsid w:val="006464B7"/>
    <w:rsid w:val="006464E9"/>
    <w:rsid w:val="006464ED"/>
    <w:rsid w:val="006464FF"/>
    <w:rsid w:val="00646531"/>
    <w:rsid w:val="0064653A"/>
    <w:rsid w:val="0064654A"/>
    <w:rsid w:val="00646585"/>
    <w:rsid w:val="0064659C"/>
    <w:rsid w:val="006465A5"/>
    <w:rsid w:val="00646635"/>
    <w:rsid w:val="00646664"/>
    <w:rsid w:val="0064667C"/>
    <w:rsid w:val="0064667D"/>
    <w:rsid w:val="0064669A"/>
    <w:rsid w:val="00646736"/>
    <w:rsid w:val="00646742"/>
    <w:rsid w:val="0064675F"/>
    <w:rsid w:val="0064688A"/>
    <w:rsid w:val="006468B6"/>
    <w:rsid w:val="00646931"/>
    <w:rsid w:val="00646947"/>
    <w:rsid w:val="00646950"/>
    <w:rsid w:val="00646957"/>
    <w:rsid w:val="0064695C"/>
    <w:rsid w:val="006469A4"/>
    <w:rsid w:val="00646A31"/>
    <w:rsid w:val="00646A98"/>
    <w:rsid w:val="00646AAF"/>
    <w:rsid w:val="00646AB7"/>
    <w:rsid w:val="00646B08"/>
    <w:rsid w:val="00646B0D"/>
    <w:rsid w:val="00646B3D"/>
    <w:rsid w:val="00646B3E"/>
    <w:rsid w:val="00646B66"/>
    <w:rsid w:val="00646BB5"/>
    <w:rsid w:val="00646BE6"/>
    <w:rsid w:val="00646BFC"/>
    <w:rsid w:val="00646C0D"/>
    <w:rsid w:val="00646C0F"/>
    <w:rsid w:val="00646C6E"/>
    <w:rsid w:val="00646CE4"/>
    <w:rsid w:val="00646CE6"/>
    <w:rsid w:val="00646CF5"/>
    <w:rsid w:val="00646D1B"/>
    <w:rsid w:val="00646D31"/>
    <w:rsid w:val="00646D61"/>
    <w:rsid w:val="00646DBC"/>
    <w:rsid w:val="00646E8C"/>
    <w:rsid w:val="00646EBB"/>
    <w:rsid w:val="00646EF6"/>
    <w:rsid w:val="00646F3D"/>
    <w:rsid w:val="00646F8E"/>
    <w:rsid w:val="00646FF1"/>
    <w:rsid w:val="00647066"/>
    <w:rsid w:val="0064707C"/>
    <w:rsid w:val="00647099"/>
    <w:rsid w:val="0064722F"/>
    <w:rsid w:val="0064727B"/>
    <w:rsid w:val="00647290"/>
    <w:rsid w:val="006472AE"/>
    <w:rsid w:val="006472FE"/>
    <w:rsid w:val="006473A2"/>
    <w:rsid w:val="00647420"/>
    <w:rsid w:val="0064744C"/>
    <w:rsid w:val="006474F4"/>
    <w:rsid w:val="00647537"/>
    <w:rsid w:val="00647547"/>
    <w:rsid w:val="0064754A"/>
    <w:rsid w:val="00647564"/>
    <w:rsid w:val="006475CE"/>
    <w:rsid w:val="0064764B"/>
    <w:rsid w:val="00647683"/>
    <w:rsid w:val="006476F4"/>
    <w:rsid w:val="00647733"/>
    <w:rsid w:val="00647738"/>
    <w:rsid w:val="0064776C"/>
    <w:rsid w:val="0064776E"/>
    <w:rsid w:val="00647790"/>
    <w:rsid w:val="006477C8"/>
    <w:rsid w:val="006477F1"/>
    <w:rsid w:val="00647827"/>
    <w:rsid w:val="0064782D"/>
    <w:rsid w:val="00647887"/>
    <w:rsid w:val="0064798C"/>
    <w:rsid w:val="006479FB"/>
    <w:rsid w:val="00647A0A"/>
    <w:rsid w:val="00647A0E"/>
    <w:rsid w:val="00647A4D"/>
    <w:rsid w:val="00647A8B"/>
    <w:rsid w:val="00647A8C"/>
    <w:rsid w:val="00647A9E"/>
    <w:rsid w:val="00647AA0"/>
    <w:rsid w:val="00647B59"/>
    <w:rsid w:val="00647B5B"/>
    <w:rsid w:val="00647BBB"/>
    <w:rsid w:val="00647BCC"/>
    <w:rsid w:val="00647BD9"/>
    <w:rsid w:val="00647BE6"/>
    <w:rsid w:val="00647C26"/>
    <w:rsid w:val="00647C5F"/>
    <w:rsid w:val="00647CA4"/>
    <w:rsid w:val="00647CA5"/>
    <w:rsid w:val="00647CA8"/>
    <w:rsid w:val="00647D1C"/>
    <w:rsid w:val="00647D33"/>
    <w:rsid w:val="00647D34"/>
    <w:rsid w:val="00647D50"/>
    <w:rsid w:val="00647DA0"/>
    <w:rsid w:val="00647DCB"/>
    <w:rsid w:val="00647DCD"/>
    <w:rsid w:val="00647E11"/>
    <w:rsid w:val="00647E6D"/>
    <w:rsid w:val="00647E74"/>
    <w:rsid w:val="00647EA3"/>
    <w:rsid w:val="00647EA5"/>
    <w:rsid w:val="00647F6A"/>
    <w:rsid w:val="00647FAA"/>
    <w:rsid w:val="00647FAF"/>
    <w:rsid w:val="00647FD7"/>
    <w:rsid w:val="00647FE0"/>
    <w:rsid w:val="00650048"/>
    <w:rsid w:val="00650085"/>
    <w:rsid w:val="006500AD"/>
    <w:rsid w:val="006500EC"/>
    <w:rsid w:val="0065010B"/>
    <w:rsid w:val="0065016D"/>
    <w:rsid w:val="00650172"/>
    <w:rsid w:val="0065019B"/>
    <w:rsid w:val="006501B8"/>
    <w:rsid w:val="006501B9"/>
    <w:rsid w:val="00650201"/>
    <w:rsid w:val="00650227"/>
    <w:rsid w:val="0065024C"/>
    <w:rsid w:val="0065026F"/>
    <w:rsid w:val="00650298"/>
    <w:rsid w:val="00650325"/>
    <w:rsid w:val="00650352"/>
    <w:rsid w:val="00650383"/>
    <w:rsid w:val="006503C7"/>
    <w:rsid w:val="006504A8"/>
    <w:rsid w:val="00650595"/>
    <w:rsid w:val="006505DB"/>
    <w:rsid w:val="0065060D"/>
    <w:rsid w:val="00650628"/>
    <w:rsid w:val="0065062A"/>
    <w:rsid w:val="00650652"/>
    <w:rsid w:val="00650668"/>
    <w:rsid w:val="006506B0"/>
    <w:rsid w:val="00650758"/>
    <w:rsid w:val="00650864"/>
    <w:rsid w:val="0065088F"/>
    <w:rsid w:val="006508A9"/>
    <w:rsid w:val="006508B1"/>
    <w:rsid w:val="00650928"/>
    <w:rsid w:val="0065092E"/>
    <w:rsid w:val="0065095C"/>
    <w:rsid w:val="00650A15"/>
    <w:rsid w:val="00650A21"/>
    <w:rsid w:val="00650A25"/>
    <w:rsid w:val="00650A29"/>
    <w:rsid w:val="00650A2B"/>
    <w:rsid w:val="00650A4A"/>
    <w:rsid w:val="00650A4D"/>
    <w:rsid w:val="00650AB2"/>
    <w:rsid w:val="00650ABD"/>
    <w:rsid w:val="00650AEC"/>
    <w:rsid w:val="00650B56"/>
    <w:rsid w:val="00650B82"/>
    <w:rsid w:val="00650B90"/>
    <w:rsid w:val="00650BAB"/>
    <w:rsid w:val="00650BEF"/>
    <w:rsid w:val="00650BF8"/>
    <w:rsid w:val="00650C8A"/>
    <w:rsid w:val="00650CA4"/>
    <w:rsid w:val="00650CBC"/>
    <w:rsid w:val="00650CD2"/>
    <w:rsid w:val="00650D05"/>
    <w:rsid w:val="00650D0C"/>
    <w:rsid w:val="00650D50"/>
    <w:rsid w:val="00650DB0"/>
    <w:rsid w:val="00650DC2"/>
    <w:rsid w:val="00650DED"/>
    <w:rsid w:val="00650DEE"/>
    <w:rsid w:val="00650DF2"/>
    <w:rsid w:val="00650ECA"/>
    <w:rsid w:val="00650EDD"/>
    <w:rsid w:val="00650EEA"/>
    <w:rsid w:val="00650F2F"/>
    <w:rsid w:val="00650F5C"/>
    <w:rsid w:val="00650FBB"/>
    <w:rsid w:val="00650FD8"/>
    <w:rsid w:val="00650FF0"/>
    <w:rsid w:val="0065100C"/>
    <w:rsid w:val="0065108B"/>
    <w:rsid w:val="0065108D"/>
    <w:rsid w:val="00651133"/>
    <w:rsid w:val="0065114D"/>
    <w:rsid w:val="006511CE"/>
    <w:rsid w:val="0065122C"/>
    <w:rsid w:val="006512C0"/>
    <w:rsid w:val="00651303"/>
    <w:rsid w:val="0065135C"/>
    <w:rsid w:val="00651365"/>
    <w:rsid w:val="00651386"/>
    <w:rsid w:val="00651399"/>
    <w:rsid w:val="0065140A"/>
    <w:rsid w:val="00651494"/>
    <w:rsid w:val="00651517"/>
    <w:rsid w:val="00651535"/>
    <w:rsid w:val="0065153A"/>
    <w:rsid w:val="00651623"/>
    <w:rsid w:val="00651637"/>
    <w:rsid w:val="00651673"/>
    <w:rsid w:val="00651683"/>
    <w:rsid w:val="0065168B"/>
    <w:rsid w:val="0065174E"/>
    <w:rsid w:val="00651751"/>
    <w:rsid w:val="00651774"/>
    <w:rsid w:val="0065177A"/>
    <w:rsid w:val="0065179C"/>
    <w:rsid w:val="006517F9"/>
    <w:rsid w:val="0065181A"/>
    <w:rsid w:val="006518EE"/>
    <w:rsid w:val="006518F9"/>
    <w:rsid w:val="00651923"/>
    <w:rsid w:val="0065194B"/>
    <w:rsid w:val="0065195A"/>
    <w:rsid w:val="006519F4"/>
    <w:rsid w:val="006519F7"/>
    <w:rsid w:val="006519F8"/>
    <w:rsid w:val="00651A0E"/>
    <w:rsid w:val="00651A12"/>
    <w:rsid w:val="00651A2F"/>
    <w:rsid w:val="00651A30"/>
    <w:rsid w:val="00651A62"/>
    <w:rsid w:val="00651AA3"/>
    <w:rsid w:val="00651AB1"/>
    <w:rsid w:val="00651AB5"/>
    <w:rsid w:val="00651B16"/>
    <w:rsid w:val="00651B28"/>
    <w:rsid w:val="00651B60"/>
    <w:rsid w:val="00651B70"/>
    <w:rsid w:val="00651B9C"/>
    <w:rsid w:val="00651BA2"/>
    <w:rsid w:val="00651C21"/>
    <w:rsid w:val="00651C66"/>
    <w:rsid w:val="00651CA2"/>
    <w:rsid w:val="00651CDA"/>
    <w:rsid w:val="00651D0C"/>
    <w:rsid w:val="00651D10"/>
    <w:rsid w:val="00651D15"/>
    <w:rsid w:val="00651D2A"/>
    <w:rsid w:val="00651D42"/>
    <w:rsid w:val="00651D64"/>
    <w:rsid w:val="00651E28"/>
    <w:rsid w:val="00651E4F"/>
    <w:rsid w:val="00651E6D"/>
    <w:rsid w:val="00651EA9"/>
    <w:rsid w:val="00651EB2"/>
    <w:rsid w:val="00651ECA"/>
    <w:rsid w:val="00651F23"/>
    <w:rsid w:val="00651F29"/>
    <w:rsid w:val="00651F2C"/>
    <w:rsid w:val="00651F34"/>
    <w:rsid w:val="00651F3E"/>
    <w:rsid w:val="00651F63"/>
    <w:rsid w:val="00651F88"/>
    <w:rsid w:val="00651F91"/>
    <w:rsid w:val="00651FE6"/>
    <w:rsid w:val="00652047"/>
    <w:rsid w:val="006520B8"/>
    <w:rsid w:val="006520D4"/>
    <w:rsid w:val="006520E9"/>
    <w:rsid w:val="00652138"/>
    <w:rsid w:val="00652143"/>
    <w:rsid w:val="00652149"/>
    <w:rsid w:val="00652164"/>
    <w:rsid w:val="0065216E"/>
    <w:rsid w:val="00652172"/>
    <w:rsid w:val="006521A7"/>
    <w:rsid w:val="006521B6"/>
    <w:rsid w:val="0065222C"/>
    <w:rsid w:val="0065224D"/>
    <w:rsid w:val="00652299"/>
    <w:rsid w:val="006522C9"/>
    <w:rsid w:val="006522DE"/>
    <w:rsid w:val="0065230B"/>
    <w:rsid w:val="00652316"/>
    <w:rsid w:val="0065231D"/>
    <w:rsid w:val="00652372"/>
    <w:rsid w:val="006523B0"/>
    <w:rsid w:val="006523C0"/>
    <w:rsid w:val="00652414"/>
    <w:rsid w:val="00652415"/>
    <w:rsid w:val="00652431"/>
    <w:rsid w:val="00652436"/>
    <w:rsid w:val="006524A1"/>
    <w:rsid w:val="006524D6"/>
    <w:rsid w:val="006524EE"/>
    <w:rsid w:val="0065251B"/>
    <w:rsid w:val="00652528"/>
    <w:rsid w:val="0065252C"/>
    <w:rsid w:val="00652574"/>
    <w:rsid w:val="006525CA"/>
    <w:rsid w:val="006525F1"/>
    <w:rsid w:val="00652603"/>
    <w:rsid w:val="00652657"/>
    <w:rsid w:val="00652667"/>
    <w:rsid w:val="0065268F"/>
    <w:rsid w:val="006526BF"/>
    <w:rsid w:val="00652722"/>
    <w:rsid w:val="00652734"/>
    <w:rsid w:val="0065279C"/>
    <w:rsid w:val="006527AD"/>
    <w:rsid w:val="00652837"/>
    <w:rsid w:val="00652860"/>
    <w:rsid w:val="006528C3"/>
    <w:rsid w:val="006528F6"/>
    <w:rsid w:val="006529D8"/>
    <w:rsid w:val="00652AC2"/>
    <w:rsid w:val="00652AD4"/>
    <w:rsid w:val="00652AED"/>
    <w:rsid w:val="00652BAB"/>
    <w:rsid w:val="00652BB2"/>
    <w:rsid w:val="00652BC8"/>
    <w:rsid w:val="00652BC9"/>
    <w:rsid w:val="00652BE3"/>
    <w:rsid w:val="00652C4F"/>
    <w:rsid w:val="00652C68"/>
    <w:rsid w:val="00652C93"/>
    <w:rsid w:val="00652CAF"/>
    <w:rsid w:val="00652CE6"/>
    <w:rsid w:val="00652D27"/>
    <w:rsid w:val="00652D9D"/>
    <w:rsid w:val="00652E0D"/>
    <w:rsid w:val="00652E5C"/>
    <w:rsid w:val="00652E94"/>
    <w:rsid w:val="00652E9A"/>
    <w:rsid w:val="00652EC6"/>
    <w:rsid w:val="00652F42"/>
    <w:rsid w:val="00652F43"/>
    <w:rsid w:val="00652F59"/>
    <w:rsid w:val="00652F79"/>
    <w:rsid w:val="00652FD1"/>
    <w:rsid w:val="0065312B"/>
    <w:rsid w:val="0065313C"/>
    <w:rsid w:val="0065316A"/>
    <w:rsid w:val="00653190"/>
    <w:rsid w:val="006531C0"/>
    <w:rsid w:val="0065328F"/>
    <w:rsid w:val="00653336"/>
    <w:rsid w:val="00653377"/>
    <w:rsid w:val="006533AE"/>
    <w:rsid w:val="006533FE"/>
    <w:rsid w:val="00653407"/>
    <w:rsid w:val="0065347D"/>
    <w:rsid w:val="006534D7"/>
    <w:rsid w:val="006534F4"/>
    <w:rsid w:val="0065352F"/>
    <w:rsid w:val="006535AB"/>
    <w:rsid w:val="006535BA"/>
    <w:rsid w:val="00653600"/>
    <w:rsid w:val="00653625"/>
    <w:rsid w:val="00653669"/>
    <w:rsid w:val="00653677"/>
    <w:rsid w:val="00653687"/>
    <w:rsid w:val="006536A4"/>
    <w:rsid w:val="00653711"/>
    <w:rsid w:val="00653721"/>
    <w:rsid w:val="006537D2"/>
    <w:rsid w:val="00653812"/>
    <w:rsid w:val="0065381B"/>
    <w:rsid w:val="0065389C"/>
    <w:rsid w:val="006538C0"/>
    <w:rsid w:val="006538D2"/>
    <w:rsid w:val="006538E2"/>
    <w:rsid w:val="006539F9"/>
    <w:rsid w:val="00653A28"/>
    <w:rsid w:val="00653A61"/>
    <w:rsid w:val="00653A87"/>
    <w:rsid w:val="00653ABF"/>
    <w:rsid w:val="00653AD8"/>
    <w:rsid w:val="00653ADB"/>
    <w:rsid w:val="00653B0D"/>
    <w:rsid w:val="00653BB8"/>
    <w:rsid w:val="00653C2C"/>
    <w:rsid w:val="00653C32"/>
    <w:rsid w:val="00653C7A"/>
    <w:rsid w:val="00653D03"/>
    <w:rsid w:val="00653D3A"/>
    <w:rsid w:val="00653D7F"/>
    <w:rsid w:val="00653E15"/>
    <w:rsid w:val="00653E22"/>
    <w:rsid w:val="00653E3A"/>
    <w:rsid w:val="00653E41"/>
    <w:rsid w:val="00653E56"/>
    <w:rsid w:val="00653E77"/>
    <w:rsid w:val="00653E7D"/>
    <w:rsid w:val="00653EBD"/>
    <w:rsid w:val="00653EF4"/>
    <w:rsid w:val="00653F03"/>
    <w:rsid w:val="00653F0D"/>
    <w:rsid w:val="00653F0E"/>
    <w:rsid w:val="00653F4F"/>
    <w:rsid w:val="00653F69"/>
    <w:rsid w:val="00653F81"/>
    <w:rsid w:val="00653FCC"/>
    <w:rsid w:val="00653FED"/>
    <w:rsid w:val="00654007"/>
    <w:rsid w:val="0065404B"/>
    <w:rsid w:val="00654056"/>
    <w:rsid w:val="0065408A"/>
    <w:rsid w:val="006540CE"/>
    <w:rsid w:val="006540D8"/>
    <w:rsid w:val="00654122"/>
    <w:rsid w:val="0065413D"/>
    <w:rsid w:val="00654164"/>
    <w:rsid w:val="0065423D"/>
    <w:rsid w:val="00654280"/>
    <w:rsid w:val="0065433B"/>
    <w:rsid w:val="0065433F"/>
    <w:rsid w:val="0065434D"/>
    <w:rsid w:val="00654363"/>
    <w:rsid w:val="00654379"/>
    <w:rsid w:val="006543BF"/>
    <w:rsid w:val="006543C7"/>
    <w:rsid w:val="006543EF"/>
    <w:rsid w:val="00654413"/>
    <w:rsid w:val="00654429"/>
    <w:rsid w:val="00654441"/>
    <w:rsid w:val="0065446A"/>
    <w:rsid w:val="00654472"/>
    <w:rsid w:val="0065447C"/>
    <w:rsid w:val="00654486"/>
    <w:rsid w:val="00654487"/>
    <w:rsid w:val="006544AA"/>
    <w:rsid w:val="006544CA"/>
    <w:rsid w:val="006544F6"/>
    <w:rsid w:val="0065452C"/>
    <w:rsid w:val="0065453B"/>
    <w:rsid w:val="00654576"/>
    <w:rsid w:val="00654579"/>
    <w:rsid w:val="0065459A"/>
    <w:rsid w:val="006545D2"/>
    <w:rsid w:val="00654609"/>
    <w:rsid w:val="00654634"/>
    <w:rsid w:val="00654662"/>
    <w:rsid w:val="00654670"/>
    <w:rsid w:val="00654699"/>
    <w:rsid w:val="006546BA"/>
    <w:rsid w:val="006546D9"/>
    <w:rsid w:val="0065470F"/>
    <w:rsid w:val="0065472B"/>
    <w:rsid w:val="00654738"/>
    <w:rsid w:val="0065474C"/>
    <w:rsid w:val="00654794"/>
    <w:rsid w:val="006547CE"/>
    <w:rsid w:val="00654809"/>
    <w:rsid w:val="00654865"/>
    <w:rsid w:val="00654895"/>
    <w:rsid w:val="006548A3"/>
    <w:rsid w:val="00654968"/>
    <w:rsid w:val="0065498A"/>
    <w:rsid w:val="00654992"/>
    <w:rsid w:val="006549D9"/>
    <w:rsid w:val="00654A3C"/>
    <w:rsid w:val="00654AFC"/>
    <w:rsid w:val="00654B67"/>
    <w:rsid w:val="00654B89"/>
    <w:rsid w:val="00654B8D"/>
    <w:rsid w:val="00654B9D"/>
    <w:rsid w:val="00654BF4"/>
    <w:rsid w:val="00654BFF"/>
    <w:rsid w:val="00654C04"/>
    <w:rsid w:val="00654C0A"/>
    <w:rsid w:val="00654C46"/>
    <w:rsid w:val="00654C5C"/>
    <w:rsid w:val="00654C6F"/>
    <w:rsid w:val="00654C7B"/>
    <w:rsid w:val="00654C7F"/>
    <w:rsid w:val="00654C80"/>
    <w:rsid w:val="00654CC7"/>
    <w:rsid w:val="00654D29"/>
    <w:rsid w:val="00654D60"/>
    <w:rsid w:val="00654D6A"/>
    <w:rsid w:val="00654DB7"/>
    <w:rsid w:val="00654DC4"/>
    <w:rsid w:val="00654DEC"/>
    <w:rsid w:val="00654E46"/>
    <w:rsid w:val="00654E6F"/>
    <w:rsid w:val="00654E75"/>
    <w:rsid w:val="00654E91"/>
    <w:rsid w:val="00654EB9"/>
    <w:rsid w:val="00654EBD"/>
    <w:rsid w:val="00654EBF"/>
    <w:rsid w:val="00654F18"/>
    <w:rsid w:val="00654F24"/>
    <w:rsid w:val="00654F2E"/>
    <w:rsid w:val="00654F31"/>
    <w:rsid w:val="00654F60"/>
    <w:rsid w:val="00654FCD"/>
    <w:rsid w:val="0065504B"/>
    <w:rsid w:val="0065508B"/>
    <w:rsid w:val="006550A6"/>
    <w:rsid w:val="006550BA"/>
    <w:rsid w:val="00655133"/>
    <w:rsid w:val="006551BD"/>
    <w:rsid w:val="006551C0"/>
    <w:rsid w:val="006551E4"/>
    <w:rsid w:val="006551E6"/>
    <w:rsid w:val="0065522C"/>
    <w:rsid w:val="0065525B"/>
    <w:rsid w:val="00655282"/>
    <w:rsid w:val="006552E0"/>
    <w:rsid w:val="0065531A"/>
    <w:rsid w:val="0065531E"/>
    <w:rsid w:val="0065534F"/>
    <w:rsid w:val="0065535A"/>
    <w:rsid w:val="0065537F"/>
    <w:rsid w:val="006553AD"/>
    <w:rsid w:val="006553D0"/>
    <w:rsid w:val="0065546D"/>
    <w:rsid w:val="00655496"/>
    <w:rsid w:val="006554B0"/>
    <w:rsid w:val="006554D2"/>
    <w:rsid w:val="006554E2"/>
    <w:rsid w:val="00655505"/>
    <w:rsid w:val="00655512"/>
    <w:rsid w:val="00655533"/>
    <w:rsid w:val="00655561"/>
    <w:rsid w:val="00655588"/>
    <w:rsid w:val="00655590"/>
    <w:rsid w:val="006555A0"/>
    <w:rsid w:val="006555A8"/>
    <w:rsid w:val="00655615"/>
    <w:rsid w:val="0065566F"/>
    <w:rsid w:val="0065567A"/>
    <w:rsid w:val="00655682"/>
    <w:rsid w:val="0065568F"/>
    <w:rsid w:val="00655690"/>
    <w:rsid w:val="00655759"/>
    <w:rsid w:val="0065579F"/>
    <w:rsid w:val="006557BC"/>
    <w:rsid w:val="006557E3"/>
    <w:rsid w:val="0065584A"/>
    <w:rsid w:val="0065586F"/>
    <w:rsid w:val="00655896"/>
    <w:rsid w:val="006558C9"/>
    <w:rsid w:val="00655918"/>
    <w:rsid w:val="0065594D"/>
    <w:rsid w:val="00655962"/>
    <w:rsid w:val="006559B1"/>
    <w:rsid w:val="00655A8A"/>
    <w:rsid w:val="00655AAF"/>
    <w:rsid w:val="00655AD5"/>
    <w:rsid w:val="00655B32"/>
    <w:rsid w:val="00655B37"/>
    <w:rsid w:val="00655B5D"/>
    <w:rsid w:val="00655BDC"/>
    <w:rsid w:val="00655C10"/>
    <w:rsid w:val="00655C28"/>
    <w:rsid w:val="00655C37"/>
    <w:rsid w:val="00655CFB"/>
    <w:rsid w:val="00655D42"/>
    <w:rsid w:val="00655D8F"/>
    <w:rsid w:val="00655DDD"/>
    <w:rsid w:val="00655DEF"/>
    <w:rsid w:val="00655E06"/>
    <w:rsid w:val="00655E68"/>
    <w:rsid w:val="00655E71"/>
    <w:rsid w:val="00655E7E"/>
    <w:rsid w:val="00655E8A"/>
    <w:rsid w:val="00655E92"/>
    <w:rsid w:val="00655EA3"/>
    <w:rsid w:val="00655EBB"/>
    <w:rsid w:val="00655EC1"/>
    <w:rsid w:val="00655F0F"/>
    <w:rsid w:val="00655F25"/>
    <w:rsid w:val="00655FCA"/>
    <w:rsid w:val="00656008"/>
    <w:rsid w:val="00656079"/>
    <w:rsid w:val="006560CE"/>
    <w:rsid w:val="00656200"/>
    <w:rsid w:val="00656215"/>
    <w:rsid w:val="0065625C"/>
    <w:rsid w:val="006562EC"/>
    <w:rsid w:val="00656328"/>
    <w:rsid w:val="0065639A"/>
    <w:rsid w:val="00656402"/>
    <w:rsid w:val="0065644B"/>
    <w:rsid w:val="0065651F"/>
    <w:rsid w:val="0065654B"/>
    <w:rsid w:val="00656565"/>
    <w:rsid w:val="0065658E"/>
    <w:rsid w:val="006565A7"/>
    <w:rsid w:val="006565B1"/>
    <w:rsid w:val="00656669"/>
    <w:rsid w:val="0065667C"/>
    <w:rsid w:val="00656702"/>
    <w:rsid w:val="00656719"/>
    <w:rsid w:val="00656739"/>
    <w:rsid w:val="006567BC"/>
    <w:rsid w:val="006567F1"/>
    <w:rsid w:val="00656824"/>
    <w:rsid w:val="006568A8"/>
    <w:rsid w:val="00656912"/>
    <w:rsid w:val="00656979"/>
    <w:rsid w:val="006569EB"/>
    <w:rsid w:val="00656A70"/>
    <w:rsid w:val="00656A8B"/>
    <w:rsid w:val="00656AA9"/>
    <w:rsid w:val="00656AB3"/>
    <w:rsid w:val="00656AB5"/>
    <w:rsid w:val="00656ABC"/>
    <w:rsid w:val="00656AF9"/>
    <w:rsid w:val="00656B43"/>
    <w:rsid w:val="00656B82"/>
    <w:rsid w:val="00656BD7"/>
    <w:rsid w:val="00656C4E"/>
    <w:rsid w:val="00656C5A"/>
    <w:rsid w:val="00656CC5"/>
    <w:rsid w:val="00656D42"/>
    <w:rsid w:val="00656D6F"/>
    <w:rsid w:val="00656DA6"/>
    <w:rsid w:val="00656DC7"/>
    <w:rsid w:val="00656E38"/>
    <w:rsid w:val="00656E5A"/>
    <w:rsid w:val="00656F6F"/>
    <w:rsid w:val="00656F7F"/>
    <w:rsid w:val="00656F88"/>
    <w:rsid w:val="00656FA3"/>
    <w:rsid w:val="00656FEA"/>
    <w:rsid w:val="0065705A"/>
    <w:rsid w:val="006570AC"/>
    <w:rsid w:val="006570FE"/>
    <w:rsid w:val="00657171"/>
    <w:rsid w:val="006571D4"/>
    <w:rsid w:val="0065721D"/>
    <w:rsid w:val="00657231"/>
    <w:rsid w:val="00657261"/>
    <w:rsid w:val="00657282"/>
    <w:rsid w:val="006572B2"/>
    <w:rsid w:val="006572C2"/>
    <w:rsid w:val="006572C4"/>
    <w:rsid w:val="00657310"/>
    <w:rsid w:val="0065736A"/>
    <w:rsid w:val="00657375"/>
    <w:rsid w:val="00657379"/>
    <w:rsid w:val="006573A1"/>
    <w:rsid w:val="006573D6"/>
    <w:rsid w:val="006573E2"/>
    <w:rsid w:val="00657427"/>
    <w:rsid w:val="006574D4"/>
    <w:rsid w:val="006574D7"/>
    <w:rsid w:val="00657501"/>
    <w:rsid w:val="00657556"/>
    <w:rsid w:val="00657574"/>
    <w:rsid w:val="00657579"/>
    <w:rsid w:val="0065757A"/>
    <w:rsid w:val="006575D9"/>
    <w:rsid w:val="006575FE"/>
    <w:rsid w:val="00657607"/>
    <w:rsid w:val="00657628"/>
    <w:rsid w:val="0065763B"/>
    <w:rsid w:val="006576DB"/>
    <w:rsid w:val="00657703"/>
    <w:rsid w:val="00657707"/>
    <w:rsid w:val="00657736"/>
    <w:rsid w:val="00657737"/>
    <w:rsid w:val="00657740"/>
    <w:rsid w:val="0065775D"/>
    <w:rsid w:val="00657768"/>
    <w:rsid w:val="006577BE"/>
    <w:rsid w:val="006577DF"/>
    <w:rsid w:val="00657837"/>
    <w:rsid w:val="0065783F"/>
    <w:rsid w:val="00657850"/>
    <w:rsid w:val="0065786A"/>
    <w:rsid w:val="0065787E"/>
    <w:rsid w:val="0065787F"/>
    <w:rsid w:val="00657896"/>
    <w:rsid w:val="0065794F"/>
    <w:rsid w:val="00657957"/>
    <w:rsid w:val="00657974"/>
    <w:rsid w:val="00657989"/>
    <w:rsid w:val="00657992"/>
    <w:rsid w:val="00657A95"/>
    <w:rsid w:val="00657AEE"/>
    <w:rsid w:val="00657B75"/>
    <w:rsid w:val="00657BA6"/>
    <w:rsid w:val="00657BB7"/>
    <w:rsid w:val="00657BCC"/>
    <w:rsid w:val="00657C17"/>
    <w:rsid w:val="00657C6A"/>
    <w:rsid w:val="00657C9D"/>
    <w:rsid w:val="00657CF4"/>
    <w:rsid w:val="00657D37"/>
    <w:rsid w:val="00657D38"/>
    <w:rsid w:val="00657E9D"/>
    <w:rsid w:val="00657ED4"/>
    <w:rsid w:val="00657ED9"/>
    <w:rsid w:val="00657F3A"/>
    <w:rsid w:val="00657F68"/>
    <w:rsid w:val="00657F72"/>
    <w:rsid w:val="00657FC1"/>
    <w:rsid w:val="00657FDD"/>
    <w:rsid w:val="00657FFE"/>
    <w:rsid w:val="00660027"/>
    <w:rsid w:val="0066005D"/>
    <w:rsid w:val="00660077"/>
    <w:rsid w:val="00660082"/>
    <w:rsid w:val="006600C0"/>
    <w:rsid w:val="006600EB"/>
    <w:rsid w:val="00660108"/>
    <w:rsid w:val="00660126"/>
    <w:rsid w:val="00660132"/>
    <w:rsid w:val="0066013A"/>
    <w:rsid w:val="00660146"/>
    <w:rsid w:val="00660154"/>
    <w:rsid w:val="006601A6"/>
    <w:rsid w:val="006601C3"/>
    <w:rsid w:val="006601F8"/>
    <w:rsid w:val="00660205"/>
    <w:rsid w:val="00660258"/>
    <w:rsid w:val="00660277"/>
    <w:rsid w:val="00660285"/>
    <w:rsid w:val="006602A3"/>
    <w:rsid w:val="006602CD"/>
    <w:rsid w:val="00660397"/>
    <w:rsid w:val="006603B2"/>
    <w:rsid w:val="00660401"/>
    <w:rsid w:val="00660423"/>
    <w:rsid w:val="00660471"/>
    <w:rsid w:val="0066048C"/>
    <w:rsid w:val="006604E3"/>
    <w:rsid w:val="006604E6"/>
    <w:rsid w:val="00660507"/>
    <w:rsid w:val="0066053A"/>
    <w:rsid w:val="00660559"/>
    <w:rsid w:val="00660560"/>
    <w:rsid w:val="00660595"/>
    <w:rsid w:val="006605A0"/>
    <w:rsid w:val="006605F3"/>
    <w:rsid w:val="00660603"/>
    <w:rsid w:val="0066061F"/>
    <w:rsid w:val="0066067D"/>
    <w:rsid w:val="006606A2"/>
    <w:rsid w:val="006606C3"/>
    <w:rsid w:val="006606EC"/>
    <w:rsid w:val="00660733"/>
    <w:rsid w:val="00660739"/>
    <w:rsid w:val="00660798"/>
    <w:rsid w:val="006607F5"/>
    <w:rsid w:val="00660801"/>
    <w:rsid w:val="00660806"/>
    <w:rsid w:val="0066081F"/>
    <w:rsid w:val="0066082F"/>
    <w:rsid w:val="00660877"/>
    <w:rsid w:val="006608D8"/>
    <w:rsid w:val="006608DE"/>
    <w:rsid w:val="00660941"/>
    <w:rsid w:val="0066095F"/>
    <w:rsid w:val="006609AE"/>
    <w:rsid w:val="00660A29"/>
    <w:rsid w:val="00660A3C"/>
    <w:rsid w:val="00660A49"/>
    <w:rsid w:val="00660A5F"/>
    <w:rsid w:val="00660ACF"/>
    <w:rsid w:val="00660AEA"/>
    <w:rsid w:val="00660B25"/>
    <w:rsid w:val="00660B4A"/>
    <w:rsid w:val="00660B4E"/>
    <w:rsid w:val="00660B5A"/>
    <w:rsid w:val="00660BA9"/>
    <w:rsid w:val="00660BFB"/>
    <w:rsid w:val="00660C77"/>
    <w:rsid w:val="00660CEE"/>
    <w:rsid w:val="00660CFD"/>
    <w:rsid w:val="00660D0E"/>
    <w:rsid w:val="00660D15"/>
    <w:rsid w:val="00660D23"/>
    <w:rsid w:val="00660D79"/>
    <w:rsid w:val="00660D80"/>
    <w:rsid w:val="00660D8B"/>
    <w:rsid w:val="00660DAA"/>
    <w:rsid w:val="00660DAD"/>
    <w:rsid w:val="00660DB4"/>
    <w:rsid w:val="00660DC6"/>
    <w:rsid w:val="00660E35"/>
    <w:rsid w:val="00660E42"/>
    <w:rsid w:val="00660E52"/>
    <w:rsid w:val="00660E68"/>
    <w:rsid w:val="00660EBF"/>
    <w:rsid w:val="00660EE6"/>
    <w:rsid w:val="00660F14"/>
    <w:rsid w:val="00660FB4"/>
    <w:rsid w:val="00660FB5"/>
    <w:rsid w:val="00661002"/>
    <w:rsid w:val="00661007"/>
    <w:rsid w:val="00661024"/>
    <w:rsid w:val="00661036"/>
    <w:rsid w:val="00661053"/>
    <w:rsid w:val="00661065"/>
    <w:rsid w:val="00661092"/>
    <w:rsid w:val="00661115"/>
    <w:rsid w:val="0066111F"/>
    <w:rsid w:val="00661130"/>
    <w:rsid w:val="00661137"/>
    <w:rsid w:val="0066113F"/>
    <w:rsid w:val="00661140"/>
    <w:rsid w:val="0066116A"/>
    <w:rsid w:val="00661177"/>
    <w:rsid w:val="006611C5"/>
    <w:rsid w:val="006611EF"/>
    <w:rsid w:val="00661256"/>
    <w:rsid w:val="00661330"/>
    <w:rsid w:val="0066137A"/>
    <w:rsid w:val="006613F5"/>
    <w:rsid w:val="00661483"/>
    <w:rsid w:val="006614D8"/>
    <w:rsid w:val="006614E4"/>
    <w:rsid w:val="00661555"/>
    <w:rsid w:val="00661561"/>
    <w:rsid w:val="00661566"/>
    <w:rsid w:val="006615DD"/>
    <w:rsid w:val="00661667"/>
    <w:rsid w:val="0066166A"/>
    <w:rsid w:val="00661684"/>
    <w:rsid w:val="00661688"/>
    <w:rsid w:val="0066169A"/>
    <w:rsid w:val="006616BC"/>
    <w:rsid w:val="006616C5"/>
    <w:rsid w:val="006616E6"/>
    <w:rsid w:val="00661701"/>
    <w:rsid w:val="0066171A"/>
    <w:rsid w:val="00661777"/>
    <w:rsid w:val="006617A3"/>
    <w:rsid w:val="006617B6"/>
    <w:rsid w:val="006617E5"/>
    <w:rsid w:val="006617EB"/>
    <w:rsid w:val="00661861"/>
    <w:rsid w:val="006618C0"/>
    <w:rsid w:val="006618E6"/>
    <w:rsid w:val="00661904"/>
    <w:rsid w:val="00661916"/>
    <w:rsid w:val="00661944"/>
    <w:rsid w:val="00661953"/>
    <w:rsid w:val="00661A18"/>
    <w:rsid w:val="00661A3B"/>
    <w:rsid w:val="00661A77"/>
    <w:rsid w:val="00661A8F"/>
    <w:rsid w:val="00661B2A"/>
    <w:rsid w:val="00661B4D"/>
    <w:rsid w:val="00661B78"/>
    <w:rsid w:val="00661BC9"/>
    <w:rsid w:val="00661C07"/>
    <w:rsid w:val="00661C67"/>
    <w:rsid w:val="00661CBF"/>
    <w:rsid w:val="00661CE6"/>
    <w:rsid w:val="00661CF0"/>
    <w:rsid w:val="00661D24"/>
    <w:rsid w:val="00661D5E"/>
    <w:rsid w:val="00661D75"/>
    <w:rsid w:val="00661DAD"/>
    <w:rsid w:val="00661E01"/>
    <w:rsid w:val="00661E56"/>
    <w:rsid w:val="00661E5A"/>
    <w:rsid w:val="00661E5D"/>
    <w:rsid w:val="00661E66"/>
    <w:rsid w:val="00661E6D"/>
    <w:rsid w:val="00661E7E"/>
    <w:rsid w:val="00661EE2"/>
    <w:rsid w:val="00661F1F"/>
    <w:rsid w:val="00661F44"/>
    <w:rsid w:val="00661F4D"/>
    <w:rsid w:val="00661F84"/>
    <w:rsid w:val="00661F85"/>
    <w:rsid w:val="00661F9D"/>
    <w:rsid w:val="00661FB1"/>
    <w:rsid w:val="00661FC3"/>
    <w:rsid w:val="00661FE0"/>
    <w:rsid w:val="0066206D"/>
    <w:rsid w:val="0066207C"/>
    <w:rsid w:val="00662089"/>
    <w:rsid w:val="006620B8"/>
    <w:rsid w:val="006620F1"/>
    <w:rsid w:val="00662121"/>
    <w:rsid w:val="0066214F"/>
    <w:rsid w:val="0066217E"/>
    <w:rsid w:val="00662194"/>
    <w:rsid w:val="0066221A"/>
    <w:rsid w:val="00662285"/>
    <w:rsid w:val="00662287"/>
    <w:rsid w:val="006622C7"/>
    <w:rsid w:val="006622DE"/>
    <w:rsid w:val="006622F9"/>
    <w:rsid w:val="00662343"/>
    <w:rsid w:val="00662345"/>
    <w:rsid w:val="0066235C"/>
    <w:rsid w:val="00662361"/>
    <w:rsid w:val="00662382"/>
    <w:rsid w:val="006623BA"/>
    <w:rsid w:val="00662431"/>
    <w:rsid w:val="00662440"/>
    <w:rsid w:val="00662448"/>
    <w:rsid w:val="00662461"/>
    <w:rsid w:val="00662503"/>
    <w:rsid w:val="0066253B"/>
    <w:rsid w:val="00662583"/>
    <w:rsid w:val="006625F1"/>
    <w:rsid w:val="006625F5"/>
    <w:rsid w:val="00662601"/>
    <w:rsid w:val="0066264A"/>
    <w:rsid w:val="00662669"/>
    <w:rsid w:val="006626BC"/>
    <w:rsid w:val="006626CE"/>
    <w:rsid w:val="006627C1"/>
    <w:rsid w:val="006627CF"/>
    <w:rsid w:val="006627D1"/>
    <w:rsid w:val="006627FD"/>
    <w:rsid w:val="0066283F"/>
    <w:rsid w:val="006628A0"/>
    <w:rsid w:val="006628B8"/>
    <w:rsid w:val="006628C4"/>
    <w:rsid w:val="006628D5"/>
    <w:rsid w:val="006628DF"/>
    <w:rsid w:val="00662961"/>
    <w:rsid w:val="00662A0A"/>
    <w:rsid w:val="00662A47"/>
    <w:rsid w:val="00662A97"/>
    <w:rsid w:val="00662AB4"/>
    <w:rsid w:val="00662AC2"/>
    <w:rsid w:val="00662AD0"/>
    <w:rsid w:val="00662AF2"/>
    <w:rsid w:val="00662BA4"/>
    <w:rsid w:val="00662BC7"/>
    <w:rsid w:val="00662C0C"/>
    <w:rsid w:val="00662C1B"/>
    <w:rsid w:val="00662CA5"/>
    <w:rsid w:val="00662CBC"/>
    <w:rsid w:val="00662D9F"/>
    <w:rsid w:val="00662DC4"/>
    <w:rsid w:val="00662E43"/>
    <w:rsid w:val="00662E4B"/>
    <w:rsid w:val="00662E6E"/>
    <w:rsid w:val="00662EA6"/>
    <w:rsid w:val="00662F59"/>
    <w:rsid w:val="00662FC1"/>
    <w:rsid w:val="00662FF1"/>
    <w:rsid w:val="0066301E"/>
    <w:rsid w:val="00663033"/>
    <w:rsid w:val="006630AE"/>
    <w:rsid w:val="00663103"/>
    <w:rsid w:val="00663125"/>
    <w:rsid w:val="00663161"/>
    <w:rsid w:val="00663199"/>
    <w:rsid w:val="0066319F"/>
    <w:rsid w:val="006631A9"/>
    <w:rsid w:val="006631AC"/>
    <w:rsid w:val="0066327C"/>
    <w:rsid w:val="00663322"/>
    <w:rsid w:val="00663376"/>
    <w:rsid w:val="006633B0"/>
    <w:rsid w:val="006633B5"/>
    <w:rsid w:val="006633CC"/>
    <w:rsid w:val="00663427"/>
    <w:rsid w:val="00663582"/>
    <w:rsid w:val="00663645"/>
    <w:rsid w:val="0066367E"/>
    <w:rsid w:val="0066368A"/>
    <w:rsid w:val="00663695"/>
    <w:rsid w:val="00663697"/>
    <w:rsid w:val="006636BA"/>
    <w:rsid w:val="006636E9"/>
    <w:rsid w:val="0066373B"/>
    <w:rsid w:val="0066374E"/>
    <w:rsid w:val="0066380E"/>
    <w:rsid w:val="00663849"/>
    <w:rsid w:val="0066388C"/>
    <w:rsid w:val="0066388F"/>
    <w:rsid w:val="00663896"/>
    <w:rsid w:val="006638A2"/>
    <w:rsid w:val="006638BB"/>
    <w:rsid w:val="006638BF"/>
    <w:rsid w:val="0066394A"/>
    <w:rsid w:val="0066399E"/>
    <w:rsid w:val="006639C5"/>
    <w:rsid w:val="006639D5"/>
    <w:rsid w:val="00663A2E"/>
    <w:rsid w:val="00663A94"/>
    <w:rsid w:val="00663AD6"/>
    <w:rsid w:val="00663AE9"/>
    <w:rsid w:val="00663B5D"/>
    <w:rsid w:val="00663BCC"/>
    <w:rsid w:val="00663BE3"/>
    <w:rsid w:val="00663C16"/>
    <w:rsid w:val="00663C54"/>
    <w:rsid w:val="00663CA5"/>
    <w:rsid w:val="00663CB8"/>
    <w:rsid w:val="00663CE4"/>
    <w:rsid w:val="00663CFC"/>
    <w:rsid w:val="00663D21"/>
    <w:rsid w:val="00663D8D"/>
    <w:rsid w:val="00663E0E"/>
    <w:rsid w:val="00663ED5"/>
    <w:rsid w:val="00663EE3"/>
    <w:rsid w:val="00663EF2"/>
    <w:rsid w:val="00663F0E"/>
    <w:rsid w:val="00663F26"/>
    <w:rsid w:val="00663F57"/>
    <w:rsid w:val="00663F85"/>
    <w:rsid w:val="00663F9C"/>
    <w:rsid w:val="00663FD1"/>
    <w:rsid w:val="00663FE1"/>
    <w:rsid w:val="0066404F"/>
    <w:rsid w:val="0066405E"/>
    <w:rsid w:val="00664085"/>
    <w:rsid w:val="006640F4"/>
    <w:rsid w:val="00664116"/>
    <w:rsid w:val="0066415A"/>
    <w:rsid w:val="00664177"/>
    <w:rsid w:val="006641A0"/>
    <w:rsid w:val="00664211"/>
    <w:rsid w:val="0066422B"/>
    <w:rsid w:val="00664248"/>
    <w:rsid w:val="00664251"/>
    <w:rsid w:val="00664267"/>
    <w:rsid w:val="00664280"/>
    <w:rsid w:val="00664297"/>
    <w:rsid w:val="00664308"/>
    <w:rsid w:val="0066430C"/>
    <w:rsid w:val="00664340"/>
    <w:rsid w:val="00664381"/>
    <w:rsid w:val="006643B5"/>
    <w:rsid w:val="006643C0"/>
    <w:rsid w:val="006643D3"/>
    <w:rsid w:val="0066441D"/>
    <w:rsid w:val="00664497"/>
    <w:rsid w:val="006644C9"/>
    <w:rsid w:val="006644DB"/>
    <w:rsid w:val="0066451C"/>
    <w:rsid w:val="0066452E"/>
    <w:rsid w:val="00664588"/>
    <w:rsid w:val="00664595"/>
    <w:rsid w:val="00664598"/>
    <w:rsid w:val="006645AA"/>
    <w:rsid w:val="006645BC"/>
    <w:rsid w:val="006645CC"/>
    <w:rsid w:val="006645F5"/>
    <w:rsid w:val="00664646"/>
    <w:rsid w:val="0066465F"/>
    <w:rsid w:val="00664678"/>
    <w:rsid w:val="006646D8"/>
    <w:rsid w:val="00664738"/>
    <w:rsid w:val="0066473A"/>
    <w:rsid w:val="00664778"/>
    <w:rsid w:val="0066477D"/>
    <w:rsid w:val="00664793"/>
    <w:rsid w:val="00664816"/>
    <w:rsid w:val="00664827"/>
    <w:rsid w:val="0066486B"/>
    <w:rsid w:val="006648ED"/>
    <w:rsid w:val="006648FA"/>
    <w:rsid w:val="00664951"/>
    <w:rsid w:val="0066495D"/>
    <w:rsid w:val="00664987"/>
    <w:rsid w:val="00664A03"/>
    <w:rsid w:val="00664A68"/>
    <w:rsid w:val="00664A7A"/>
    <w:rsid w:val="00664AD2"/>
    <w:rsid w:val="00664B35"/>
    <w:rsid w:val="00664BA9"/>
    <w:rsid w:val="00664BCE"/>
    <w:rsid w:val="00664C16"/>
    <w:rsid w:val="00664C45"/>
    <w:rsid w:val="00664C60"/>
    <w:rsid w:val="00664C7B"/>
    <w:rsid w:val="00664C93"/>
    <w:rsid w:val="00664C9D"/>
    <w:rsid w:val="00664CF3"/>
    <w:rsid w:val="00664D0B"/>
    <w:rsid w:val="00664D0E"/>
    <w:rsid w:val="00664D41"/>
    <w:rsid w:val="00664E45"/>
    <w:rsid w:val="00664E4C"/>
    <w:rsid w:val="00664EF8"/>
    <w:rsid w:val="00664F35"/>
    <w:rsid w:val="00664F4C"/>
    <w:rsid w:val="00664F53"/>
    <w:rsid w:val="00664F59"/>
    <w:rsid w:val="00664F84"/>
    <w:rsid w:val="00664FA4"/>
    <w:rsid w:val="00665011"/>
    <w:rsid w:val="0066506A"/>
    <w:rsid w:val="0066506D"/>
    <w:rsid w:val="0066508B"/>
    <w:rsid w:val="00665111"/>
    <w:rsid w:val="00665134"/>
    <w:rsid w:val="00665135"/>
    <w:rsid w:val="00665159"/>
    <w:rsid w:val="006651E9"/>
    <w:rsid w:val="00665289"/>
    <w:rsid w:val="00665297"/>
    <w:rsid w:val="006652C6"/>
    <w:rsid w:val="006653F8"/>
    <w:rsid w:val="006653FC"/>
    <w:rsid w:val="00665405"/>
    <w:rsid w:val="00665427"/>
    <w:rsid w:val="0066543B"/>
    <w:rsid w:val="0066545E"/>
    <w:rsid w:val="00665463"/>
    <w:rsid w:val="006654B2"/>
    <w:rsid w:val="006654D3"/>
    <w:rsid w:val="006654DC"/>
    <w:rsid w:val="00665510"/>
    <w:rsid w:val="00665515"/>
    <w:rsid w:val="0066552C"/>
    <w:rsid w:val="00665532"/>
    <w:rsid w:val="0066559F"/>
    <w:rsid w:val="006655C4"/>
    <w:rsid w:val="006655D5"/>
    <w:rsid w:val="006655F2"/>
    <w:rsid w:val="00665674"/>
    <w:rsid w:val="0066568E"/>
    <w:rsid w:val="006656BF"/>
    <w:rsid w:val="006656F8"/>
    <w:rsid w:val="006656FF"/>
    <w:rsid w:val="00665736"/>
    <w:rsid w:val="006657E6"/>
    <w:rsid w:val="00665817"/>
    <w:rsid w:val="0066585A"/>
    <w:rsid w:val="006658BD"/>
    <w:rsid w:val="006658D7"/>
    <w:rsid w:val="0066597C"/>
    <w:rsid w:val="0066597F"/>
    <w:rsid w:val="00665986"/>
    <w:rsid w:val="006659A4"/>
    <w:rsid w:val="006659C9"/>
    <w:rsid w:val="00665A02"/>
    <w:rsid w:val="00665A37"/>
    <w:rsid w:val="00665A4C"/>
    <w:rsid w:val="00665AD9"/>
    <w:rsid w:val="00665AEA"/>
    <w:rsid w:val="00665B21"/>
    <w:rsid w:val="00665B8E"/>
    <w:rsid w:val="00665BD4"/>
    <w:rsid w:val="00665BD7"/>
    <w:rsid w:val="00665C1A"/>
    <w:rsid w:val="00665C1B"/>
    <w:rsid w:val="00665C68"/>
    <w:rsid w:val="00665C7E"/>
    <w:rsid w:val="00665CF5"/>
    <w:rsid w:val="00665CFF"/>
    <w:rsid w:val="00665D17"/>
    <w:rsid w:val="00665D19"/>
    <w:rsid w:val="00665D3D"/>
    <w:rsid w:val="00665D9B"/>
    <w:rsid w:val="00665D9D"/>
    <w:rsid w:val="00665DD8"/>
    <w:rsid w:val="00665E29"/>
    <w:rsid w:val="00665E9B"/>
    <w:rsid w:val="00665EBD"/>
    <w:rsid w:val="00665EDE"/>
    <w:rsid w:val="00665EF1"/>
    <w:rsid w:val="00665F45"/>
    <w:rsid w:val="00665F48"/>
    <w:rsid w:val="00665F84"/>
    <w:rsid w:val="0066603B"/>
    <w:rsid w:val="0066608A"/>
    <w:rsid w:val="006660C3"/>
    <w:rsid w:val="006660CA"/>
    <w:rsid w:val="00666118"/>
    <w:rsid w:val="0066612B"/>
    <w:rsid w:val="0066613A"/>
    <w:rsid w:val="00666195"/>
    <w:rsid w:val="006661C3"/>
    <w:rsid w:val="006661E1"/>
    <w:rsid w:val="0066620A"/>
    <w:rsid w:val="00666225"/>
    <w:rsid w:val="0066622A"/>
    <w:rsid w:val="0066622E"/>
    <w:rsid w:val="00666262"/>
    <w:rsid w:val="00666268"/>
    <w:rsid w:val="00666402"/>
    <w:rsid w:val="00666407"/>
    <w:rsid w:val="0066642D"/>
    <w:rsid w:val="0066644B"/>
    <w:rsid w:val="00666460"/>
    <w:rsid w:val="00666469"/>
    <w:rsid w:val="00666479"/>
    <w:rsid w:val="00666486"/>
    <w:rsid w:val="006664A8"/>
    <w:rsid w:val="006665C4"/>
    <w:rsid w:val="006665FA"/>
    <w:rsid w:val="0066660F"/>
    <w:rsid w:val="00666613"/>
    <w:rsid w:val="00666652"/>
    <w:rsid w:val="00666699"/>
    <w:rsid w:val="006666A3"/>
    <w:rsid w:val="006666AD"/>
    <w:rsid w:val="00666727"/>
    <w:rsid w:val="00666734"/>
    <w:rsid w:val="0066676F"/>
    <w:rsid w:val="00666797"/>
    <w:rsid w:val="006667A6"/>
    <w:rsid w:val="006667C9"/>
    <w:rsid w:val="006667D2"/>
    <w:rsid w:val="006667EB"/>
    <w:rsid w:val="00666817"/>
    <w:rsid w:val="00666823"/>
    <w:rsid w:val="0066685D"/>
    <w:rsid w:val="006668A2"/>
    <w:rsid w:val="006668D9"/>
    <w:rsid w:val="006668DB"/>
    <w:rsid w:val="006668FF"/>
    <w:rsid w:val="0066693C"/>
    <w:rsid w:val="0066698F"/>
    <w:rsid w:val="00666991"/>
    <w:rsid w:val="0066699B"/>
    <w:rsid w:val="006669FB"/>
    <w:rsid w:val="00666ABE"/>
    <w:rsid w:val="00666ADB"/>
    <w:rsid w:val="00666AEB"/>
    <w:rsid w:val="00666AEF"/>
    <w:rsid w:val="00666BBA"/>
    <w:rsid w:val="00666BC2"/>
    <w:rsid w:val="00666BC5"/>
    <w:rsid w:val="00666BD7"/>
    <w:rsid w:val="00666C0A"/>
    <w:rsid w:val="00666C11"/>
    <w:rsid w:val="00666C23"/>
    <w:rsid w:val="00666C4A"/>
    <w:rsid w:val="00666C74"/>
    <w:rsid w:val="00666CAC"/>
    <w:rsid w:val="00666CB3"/>
    <w:rsid w:val="00666CDD"/>
    <w:rsid w:val="00666D37"/>
    <w:rsid w:val="00666D83"/>
    <w:rsid w:val="00666D86"/>
    <w:rsid w:val="00666D89"/>
    <w:rsid w:val="00666DA8"/>
    <w:rsid w:val="00666DC1"/>
    <w:rsid w:val="00666E2B"/>
    <w:rsid w:val="00666E30"/>
    <w:rsid w:val="00666E33"/>
    <w:rsid w:val="00666E5F"/>
    <w:rsid w:val="00666E8B"/>
    <w:rsid w:val="00666E8D"/>
    <w:rsid w:val="00666E9E"/>
    <w:rsid w:val="00666ECC"/>
    <w:rsid w:val="00666F0E"/>
    <w:rsid w:val="00666F34"/>
    <w:rsid w:val="00666F47"/>
    <w:rsid w:val="00666F68"/>
    <w:rsid w:val="00666F84"/>
    <w:rsid w:val="0066701B"/>
    <w:rsid w:val="0066701C"/>
    <w:rsid w:val="00667044"/>
    <w:rsid w:val="00667048"/>
    <w:rsid w:val="006670AB"/>
    <w:rsid w:val="00667133"/>
    <w:rsid w:val="00667204"/>
    <w:rsid w:val="00667210"/>
    <w:rsid w:val="00667214"/>
    <w:rsid w:val="0066727B"/>
    <w:rsid w:val="0066729F"/>
    <w:rsid w:val="006672E9"/>
    <w:rsid w:val="006672F3"/>
    <w:rsid w:val="00667306"/>
    <w:rsid w:val="00667328"/>
    <w:rsid w:val="0066736E"/>
    <w:rsid w:val="00667380"/>
    <w:rsid w:val="00667389"/>
    <w:rsid w:val="0066739C"/>
    <w:rsid w:val="006673FE"/>
    <w:rsid w:val="00667451"/>
    <w:rsid w:val="00667536"/>
    <w:rsid w:val="00667559"/>
    <w:rsid w:val="0066757D"/>
    <w:rsid w:val="00667583"/>
    <w:rsid w:val="00667598"/>
    <w:rsid w:val="006675EC"/>
    <w:rsid w:val="0066763A"/>
    <w:rsid w:val="0066767C"/>
    <w:rsid w:val="00667681"/>
    <w:rsid w:val="006676EF"/>
    <w:rsid w:val="00667727"/>
    <w:rsid w:val="0066772A"/>
    <w:rsid w:val="0066775F"/>
    <w:rsid w:val="00667779"/>
    <w:rsid w:val="00667784"/>
    <w:rsid w:val="006677A0"/>
    <w:rsid w:val="00667809"/>
    <w:rsid w:val="00667824"/>
    <w:rsid w:val="0066782A"/>
    <w:rsid w:val="006678CA"/>
    <w:rsid w:val="006678E6"/>
    <w:rsid w:val="00667919"/>
    <w:rsid w:val="006679B4"/>
    <w:rsid w:val="006679CB"/>
    <w:rsid w:val="006679EA"/>
    <w:rsid w:val="006679EF"/>
    <w:rsid w:val="00667A03"/>
    <w:rsid w:val="00667A7C"/>
    <w:rsid w:val="00667A86"/>
    <w:rsid w:val="00667AEA"/>
    <w:rsid w:val="00667AF8"/>
    <w:rsid w:val="00667AFF"/>
    <w:rsid w:val="00667B32"/>
    <w:rsid w:val="00667B4C"/>
    <w:rsid w:val="00667B8C"/>
    <w:rsid w:val="00667B97"/>
    <w:rsid w:val="00667BCA"/>
    <w:rsid w:val="00667C41"/>
    <w:rsid w:val="00667C85"/>
    <w:rsid w:val="00667CA8"/>
    <w:rsid w:val="00667CF1"/>
    <w:rsid w:val="00667D67"/>
    <w:rsid w:val="00667D7A"/>
    <w:rsid w:val="00667DB7"/>
    <w:rsid w:val="00667EC3"/>
    <w:rsid w:val="00667EE6"/>
    <w:rsid w:val="00667F04"/>
    <w:rsid w:val="00667F22"/>
    <w:rsid w:val="00667F2E"/>
    <w:rsid w:val="00667F6E"/>
    <w:rsid w:val="00667FA6"/>
    <w:rsid w:val="00667FDB"/>
    <w:rsid w:val="00670017"/>
    <w:rsid w:val="0067005E"/>
    <w:rsid w:val="00670066"/>
    <w:rsid w:val="006700DD"/>
    <w:rsid w:val="006700DE"/>
    <w:rsid w:val="006700F3"/>
    <w:rsid w:val="0067010C"/>
    <w:rsid w:val="00670131"/>
    <w:rsid w:val="006701DE"/>
    <w:rsid w:val="00670206"/>
    <w:rsid w:val="0067020B"/>
    <w:rsid w:val="0067024D"/>
    <w:rsid w:val="0067024E"/>
    <w:rsid w:val="00670258"/>
    <w:rsid w:val="0067032E"/>
    <w:rsid w:val="00670383"/>
    <w:rsid w:val="006703B0"/>
    <w:rsid w:val="006703E9"/>
    <w:rsid w:val="006703F7"/>
    <w:rsid w:val="00670408"/>
    <w:rsid w:val="0067047E"/>
    <w:rsid w:val="00670489"/>
    <w:rsid w:val="0067048A"/>
    <w:rsid w:val="0067048C"/>
    <w:rsid w:val="006704CE"/>
    <w:rsid w:val="00670538"/>
    <w:rsid w:val="00670577"/>
    <w:rsid w:val="0067057A"/>
    <w:rsid w:val="006705D7"/>
    <w:rsid w:val="0067063D"/>
    <w:rsid w:val="00670648"/>
    <w:rsid w:val="0067064F"/>
    <w:rsid w:val="006706CB"/>
    <w:rsid w:val="006706DA"/>
    <w:rsid w:val="006706E3"/>
    <w:rsid w:val="006706E5"/>
    <w:rsid w:val="006706E9"/>
    <w:rsid w:val="0067072B"/>
    <w:rsid w:val="0067078A"/>
    <w:rsid w:val="006707CD"/>
    <w:rsid w:val="006707CE"/>
    <w:rsid w:val="00670854"/>
    <w:rsid w:val="0067085E"/>
    <w:rsid w:val="0067088D"/>
    <w:rsid w:val="006708ED"/>
    <w:rsid w:val="006708F6"/>
    <w:rsid w:val="00670948"/>
    <w:rsid w:val="0067099B"/>
    <w:rsid w:val="00670A07"/>
    <w:rsid w:val="00670A25"/>
    <w:rsid w:val="00670A56"/>
    <w:rsid w:val="00670A66"/>
    <w:rsid w:val="00670A85"/>
    <w:rsid w:val="00670AA9"/>
    <w:rsid w:val="00670AFB"/>
    <w:rsid w:val="00670B27"/>
    <w:rsid w:val="00670C63"/>
    <w:rsid w:val="00670C75"/>
    <w:rsid w:val="00670C90"/>
    <w:rsid w:val="00670C92"/>
    <w:rsid w:val="00670CE1"/>
    <w:rsid w:val="00670CE9"/>
    <w:rsid w:val="00670D5C"/>
    <w:rsid w:val="00670D89"/>
    <w:rsid w:val="00670D92"/>
    <w:rsid w:val="00670D9D"/>
    <w:rsid w:val="00670E17"/>
    <w:rsid w:val="00670E4A"/>
    <w:rsid w:val="00670EBE"/>
    <w:rsid w:val="00670EFF"/>
    <w:rsid w:val="00670FBA"/>
    <w:rsid w:val="006710B9"/>
    <w:rsid w:val="00671125"/>
    <w:rsid w:val="00671129"/>
    <w:rsid w:val="006711AD"/>
    <w:rsid w:val="006711C4"/>
    <w:rsid w:val="00671204"/>
    <w:rsid w:val="0067130B"/>
    <w:rsid w:val="00671316"/>
    <w:rsid w:val="00671383"/>
    <w:rsid w:val="00671394"/>
    <w:rsid w:val="0067140A"/>
    <w:rsid w:val="0067140E"/>
    <w:rsid w:val="0067143D"/>
    <w:rsid w:val="0067146F"/>
    <w:rsid w:val="00671500"/>
    <w:rsid w:val="00671545"/>
    <w:rsid w:val="006715DB"/>
    <w:rsid w:val="006715F7"/>
    <w:rsid w:val="0067160E"/>
    <w:rsid w:val="0067162A"/>
    <w:rsid w:val="0067163D"/>
    <w:rsid w:val="0067166D"/>
    <w:rsid w:val="006716B4"/>
    <w:rsid w:val="006716D5"/>
    <w:rsid w:val="006716DE"/>
    <w:rsid w:val="00671729"/>
    <w:rsid w:val="00671732"/>
    <w:rsid w:val="006717D0"/>
    <w:rsid w:val="00671811"/>
    <w:rsid w:val="00671854"/>
    <w:rsid w:val="006718A9"/>
    <w:rsid w:val="006718B3"/>
    <w:rsid w:val="006718C4"/>
    <w:rsid w:val="006718E2"/>
    <w:rsid w:val="006718FE"/>
    <w:rsid w:val="0067192F"/>
    <w:rsid w:val="0067193B"/>
    <w:rsid w:val="006719AD"/>
    <w:rsid w:val="006719F5"/>
    <w:rsid w:val="00671A1A"/>
    <w:rsid w:val="00671A2E"/>
    <w:rsid w:val="00671A3D"/>
    <w:rsid w:val="00671AD6"/>
    <w:rsid w:val="00671ADA"/>
    <w:rsid w:val="00671B48"/>
    <w:rsid w:val="00671B95"/>
    <w:rsid w:val="00671C03"/>
    <w:rsid w:val="00671C07"/>
    <w:rsid w:val="00671C12"/>
    <w:rsid w:val="00671C20"/>
    <w:rsid w:val="00671C26"/>
    <w:rsid w:val="00671C41"/>
    <w:rsid w:val="00671C42"/>
    <w:rsid w:val="00671C52"/>
    <w:rsid w:val="00671C8C"/>
    <w:rsid w:val="00671C92"/>
    <w:rsid w:val="00671CCF"/>
    <w:rsid w:val="00671CE2"/>
    <w:rsid w:val="00671D0A"/>
    <w:rsid w:val="00671D72"/>
    <w:rsid w:val="00671D99"/>
    <w:rsid w:val="00671DA0"/>
    <w:rsid w:val="00671DCC"/>
    <w:rsid w:val="00671DCE"/>
    <w:rsid w:val="00671DFF"/>
    <w:rsid w:val="00671E2F"/>
    <w:rsid w:val="00671E59"/>
    <w:rsid w:val="00671EAC"/>
    <w:rsid w:val="00671EB0"/>
    <w:rsid w:val="00671EB3"/>
    <w:rsid w:val="00671F01"/>
    <w:rsid w:val="00671F13"/>
    <w:rsid w:val="00671F81"/>
    <w:rsid w:val="00671F83"/>
    <w:rsid w:val="00671F8B"/>
    <w:rsid w:val="00671F96"/>
    <w:rsid w:val="00671FC2"/>
    <w:rsid w:val="00671FD9"/>
    <w:rsid w:val="0067201A"/>
    <w:rsid w:val="0067201F"/>
    <w:rsid w:val="00672098"/>
    <w:rsid w:val="006720B9"/>
    <w:rsid w:val="006720F1"/>
    <w:rsid w:val="00672166"/>
    <w:rsid w:val="0067226A"/>
    <w:rsid w:val="0067229B"/>
    <w:rsid w:val="0067229C"/>
    <w:rsid w:val="006722AC"/>
    <w:rsid w:val="006722D7"/>
    <w:rsid w:val="00672300"/>
    <w:rsid w:val="0067232E"/>
    <w:rsid w:val="00672359"/>
    <w:rsid w:val="00672387"/>
    <w:rsid w:val="00672392"/>
    <w:rsid w:val="00672393"/>
    <w:rsid w:val="0067239E"/>
    <w:rsid w:val="006723B1"/>
    <w:rsid w:val="006723BD"/>
    <w:rsid w:val="006723F7"/>
    <w:rsid w:val="006723F9"/>
    <w:rsid w:val="00672406"/>
    <w:rsid w:val="0067247D"/>
    <w:rsid w:val="006724A9"/>
    <w:rsid w:val="00672544"/>
    <w:rsid w:val="00672559"/>
    <w:rsid w:val="00672595"/>
    <w:rsid w:val="006725D4"/>
    <w:rsid w:val="0067260C"/>
    <w:rsid w:val="00672636"/>
    <w:rsid w:val="00672648"/>
    <w:rsid w:val="00672649"/>
    <w:rsid w:val="00672681"/>
    <w:rsid w:val="0067274B"/>
    <w:rsid w:val="0067276B"/>
    <w:rsid w:val="00672777"/>
    <w:rsid w:val="00672786"/>
    <w:rsid w:val="006727F7"/>
    <w:rsid w:val="00672840"/>
    <w:rsid w:val="00672868"/>
    <w:rsid w:val="00672878"/>
    <w:rsid w:val="006728B4"/>
    <w:rsid w:val="006728FE"/>
    <w:rsid w:val="00672990"/>
    <w:rsid w:val="006729DB"/>
    <w:rsid w:val="00672A14"/>
    <w:rsid w:val="00672A3A"/>
    <w:rsid w:val="00672A3F"/>
    <w:rsid w:val="00672A4A"/>
    <w:rsid w:val="00672A81"/>
    <w:rsid w:val="00672B12"/>
    <w:rsid w:val="00672B2B"/>
    <w:rsid w:val="00672B61"/>
    <w:rsid w:val="00672B8C"/>
    <w:rsid w:val="00672B94"/>
    <w:rsid w:val="00672BB2"/>
    <w:rsid w:val="00672BBD"/>
    <w:rsid w:val="00672BD4"/>
    <w:rsid w:val="00672BE7"/>
    <w:rsid w:val="00672BED"/>
    <w:rsid w:val="00672C09"/>
    <w:rsid w:val="00672C4A"/>
    <w:rsid w:val="00672C71"/>
    <w:rsid w:val="00672C7A"/>
    <w:rsid w:val="00672C7B"/>
    <w:rsid w:val="00672CF8"/>
    <w:rsid w:val="00672D09"/>
    <w:rsid w:val="00672D5C"/>
    <w:rsid w:val="00672DCD"/>
    <w:rsid w:val="00672E2D"/>
    <w:rsid w:val="00672E65"/>
    <w:rsid w:val="00672EB9"/>
    <w:rsid w:val="00672EC3"/>
    <w:rsid w:val="00672F2A"/>
    <w:rsid w:val="00672F2B"/>
    <w:rsid w:val="00672FBC"/>
    <w:rsid w:val="00672FC2"/>
    <w:rsid w:val="00673055"/>
    <w:rsid w:val="0067306F"/>
    <w:rsid w:val="00673170"/>
    <w:rsid w:val="006731C8"/>
    <w:rsid w:val="006731F4"/>
    <w:rsid w:val="00673239"/>
    <w:rsid w:val="00673261"/>
    <w:rsid w:val="006732AA"/>
    <w:rsid w:val="006732BC"/>
    <w:rsid w:val="006732F2"/>
    <w:rsid w:val="00673308"/>
    <w:rsid w:val="00673362"/>
    <w:rsid w:val="00673423"/>
    <w:rsid w:val="00673467"/>
    <w:rsid w:val="0067348F"/>
    <w:rsid w:val="0067349A"/>
    <w:rsid w:val="006734AC"/>
    <w:rsid w:val="006734F5"/>
    <w:rsid w:val="006734FC"/>
    <w:rsid w:val="006735CF"/>
    <w:rsid w:val="006735EB"/>
    <w:rsid w:val="00673622"/>
    <w:rsid w:val="00673633"/>
    <w:rsid w:val="00673648"/>
    <w:rsid w:val="006736B2"/>
    <w:rsid w:val="006736DC"/>
    <w:rsid w:val="0067370D"/>
    <w:rsid w:val="00673726"/>
    <w:rsid w:val="00673760"/>
    <w:rsid w:val="00673795"/>
    <w:rsid w:val="006737A0"/>
    <w:rsid w:val="006737AD"/>
    <w:rsid w:val="006737B0"/>
    <w:rsid w:val="006737E1"/>
    <w:rsid w:val="00673806"/>
    <w:rsid w:val="00673818"/>
    <w:rsid w:val="0067387D"/>
    <w:rsid w:val="006738B0"/>
    <w:rsid w:val="006738CC"/>
    <w:rsid w:val="0067391A"/>
    <w:rsid w:val="00673932"/>
    <w:rsid w:val="00673988"/>
    <w:rsid w:val="006739A4"/>
    <w:rsid w:val="00673A5A"/>
    <w:rsid w:val="00673AC1"/>
    <w:rsid w:val="00673AFD"/>
    <w:rsid w:val="00673B34"/>
    <w:rsid w:val="00673B64"/>
    <w:rsid w:val="00673B6A"/>
    <w:rsid w:val="00673BA6"/>
    <w:rsid w:val="00673BB1"/>
    <w:rsid w:val="00673BE0"/>
    <w:rsid w:val="00673CB6"/>
    <w:rsid w:val="00673CD5"/>
    <w:rsid w:val="00673CD9"/>
    <w:rsid w:val="00673CDA"/>
    <w:rsid w:val="00673D82"/>
    <w:rsid w:val="00673DA1"/>
    <w:rsid w:val="00673E64"/>
    <w:rsid w:val="00673EA7"/>
    <w:rsid w:val="00673EAE"/>
    <w:rsid w:val="00673EBE"/>
    <w:rsid w:val="00673F04"/>
    <w:rsid w:val="00673F25"/>
    <w:rsid w:val="00673F2A"/>
    <w:rsid w:val="00673F36"/>
    <w:rsid w:val="00673F4A"/>
    <w:rsid w:val="00673F60"/>
    <w:rsid w:val="00673F83"/>
    <w:rsid w:val="00673FBE"/>
    <w:rsid w:val="00673FC7"/>
    <w:rsid w:val="0067400B"/>
    <w:rsid w:val="00674022"/>
    <w:rsid w:val="006740C2"/>
    <w:rsid w:val="006740D1"/>
    <w:rsid w:val="006740E4"/>
    <w:rsid w:val="006740FB"/>
    <w:rsid w:val="006741A0"/>
    <w:rsid w:val="006741DD"/>
    <w:rsid w:val="00674244"/>
    <w:rsid w:val="00674262"/>
    <w:rsid w:val="006742D5"/>
    <w:rsid w:val="006742EB"/>
    <w:rsid w:val="00674301"/>
    <w:rsid w:val="0067432B"/>
    <w:rsid w:val="006743B4"/>
    <w:rsid w:val="00674427"/>
    <w:rsid w:val="00674444"/>
    <w:rsid w:val="006744B8"/>
    <w:rsid w:val="006744DD"/>
    <w:rsid w:val="006745BE"/>
    <w:rsid w:val="006745D2"/>
    <w:rsid w:val="00674605"/>
    <w:rsid w:val="0067461C"/>
    <w:rsid w:val="00674626"/>
    <w:rsid w:val="0067465C"/>
    <w:rsid w:val="006746A5"/>
    <w:rsid w:val="006746CC"/>
    <w:rsid w:val="006746D6"/>
    <w:rsid w:val="006746D7"/>
    <w:rsid w:val="00674706"/>
    <w:rsid w:val="006747FB"/>
    <w:rsid w:val="0067481C"/>
    <w:rsid w:val="00674836"/>
    <w:rsid w:val="0067487C"/>
    <w:rsid w:val="00674881"/>
    <w:rsid w:val="006748E0"/>
    <w:rsid w:val="0067496E"/>
    <w:rsid w:val="00674970"/>
    <w:rsid w:val="00674989"/>
    <w:rsid w:val="006749BF"/>
    <w:rsid w:val="006749E3"/>
    <w:rsid w:val="006749E7"/>
    <w:rsid w:val="00674A2D"/>
    <w:rsid w:val="00674A8A"/>
    <w:rsid w:val="00674ACA"/>
    <w:rsid w:val="00674AEB"/>
    <w:rsid w:val="00674B1A"/>
    <w:rsid w:val="00674B43"/>
    <w:rsid w:val="00674B51"/>
    <w:rsid w:val="00674BB2"/>
    <w:rsid w:val="00674C16"/>
    <w:rsid w:val="00674C41"/>
    <w:rsid w:val="00674C94"/>
    <w:rsid w:val="00674C95"/>
    <w:rsid w:val="00674CD1"/>
    <w:rsid w:val="00674D20"/>
    <w:rsid w:val="00674D34"/>
    <w:rsid w:val="00674DD4"/>
    <w:rsid w:val="00674DE0"/>
    <w:rsid w:val="00674E2D"/>
    <w:rsid w:val="00674E41"/>
    <w:rsid w:val="00674E9F"/>
    <w:rsid w:val="00674F37"/>
    <w:rsid w:val="00674F7F"/>
    <w:rsid w:val="00674F8E"/>
    <w:rsid w:val="00674F9F"/>
    <w:rsid w:val="00674FCA"/>
    <w:rsid w:val="00674FEA"/>
    <w:rsid w:val="00675096"/>
    <w:rsid w:val="0067509F"/>
    <w:rsid w:val="006750CD"/>
    <w:rsid w:val="006750F3"/>
    <w:rsid w:val="00675114"/>
    <w:rsid w:val="0067511C"/>
    <w:rsid w:val="0067516B"/>
    <w:rsid w:val="006751A5"/>
    <w:rsid w:val="006751B3"/>
    <w:rsid w:val="006751D7"/>
    <w:rsid w:val="0067520F"/>
    <w:rsid w:val="00675223"/>
    <w:rsid w:val="00675249"/>
    <w:rsid w:val="00675252"/>
    <w:rsid w:val="0067525A"/>
    <w:rsid w:val="0067525F"/>
    <w:rsid w:val="00675278"/>
    <w:rsid w:val="00675381"/>
    <w:rsid w:val="0067539C"/>
    <w:rsid w:val="006753C1"/>
    <w:rsid w:val="00675435"/>
    <w:rsid w:val="0067548B"/>
    <w:rsid w:val="006754EC"/>
    <w:rsid w:val="00675513"/>
    <w:rsid w:val="00675515"/>
    <w:rsid w:val="0067557B"/>
    <w:rsid w:val="0067560B"/>
    <w:rsid w:val="00675623"/>
    <w:rsid w:val="00675648"/>
    <w:rsid w:val="00675654"/>
    <w:rsid w:val="00675658"/>
    <w:rsid w:val="0067565B"/>
    <w:rsid w:val="0067567B"/>
    <w:rsid w:val="00675692"/>
    <w:rsid w:val="006757C1"/>
    <w:rsid w:val="00675845"/>
    <w:rsid w:val="0067584F"/>
    <w:rsid w:val="00675874"/>
    <w:rsid w:val="0067589A"/>
    <w:rsid w:val="006758A1"/>
    <w:rsid w:val="006758B3"/>
    <w:rsid w:val="006758FA"/>
    <w:rsid w:val="0067593A"/>
    <w:rsid w:val="0067594D"/>
    <w:rsid w:val="0067595D"/>
    <w:rsid w:val="00675981"/>
    <w:rsid w:val="006759BE"/>
    <w:rsid w:val="00675A18"/>
    <w:rsid w:val="00675A28"/>
    <w:rsid w:val="00675A3C"/>
    <w:rsid w:val="00675A4C"/>
    <w:rsid w:val="00675A65"/>
    <w:rsid w:val="00675A7C"/>
    <w:rsid w:val="00675B30"/>
    <w:rsid w:val="00675B31"/>
    <w:rsid w:val="00675B3B"/>
    <w:rsid w:val="00675C1F"/>
    <w:rsid w:val="00675C31"/>
    <w:rsid w:val="00675C44"/>
    <w:rsid w:val="00675D37"/>
    <w:rsid w:val="00675D38"/>
    <w:rsid w:val="00675D57"/>
    <w:rsid w:val="00675D61"/>
    <w:rsid w:val="00675D62"/>
    <w:rsid w:val="00675D91"/>
    <w:rsid w:val="00675E1E"/>
    <w:rsid w:val="00675E3D"/>
    <w:rsid w:val="00675EC8"/>
    <w:rsid w:val="00675ECB"/>
    <w:rsid w:val="00675EF3"/>
    <w:rsid w:val="00675F07"/>
    <w:rsid w:val="00675F1B"/>
    <w:rsid w:val="00675F73"/>
    <w:rsid w:val="00675F90"/>
    <w:rsid w:val="00675FA5"/>
    <w:rsid w:val="0067601C"/>
    <w:rsid w:val="00676069"/>
    <w:rsid w:val="0067606B"/>
    <w:rsid w:val="0067606F"/>
    <w:rsid w:val="006760FB"/>
    <w:rsid w:val="006760FE"/>
    <w:rsid w:val="0067611C"/>
    <w:rsid w:val="00676155"/>
    <w:rsid w:val="00676191"/>
    <w:rsid w:val="00676214"/>
    <w:rsid w:val="006762D0"/>
    <w:rsid w:val="006762E7"/>
    <w:rsid w:val="00676363"/>
    <w:rsid w:val="00676435"/>
    <w:rsid w:val="0067647D"/>
    <w:rsid w:val="00676539"/>
    <w:rsid w:val="0067654A"/>
    <w:rsid w:val="00676598"/>
    <w:rsid w:val="006765CA"/>
    <w:rsid w:val="0067666A"/>
    <w:rsid w:val="006766B4"/>
    <w:rsid w:val="006766B9"/>
    <w:rsid w:val="0067678F"/>
    <w:rsid w:val="006767DA"/>
    <w:rsid w:val="00676820"/>
    <w:rsid w:val="00676887"/>
    <w:rsid w:val="006768AB"/>
    <w:rsid w:val="006768BF"/>
    <w:rsid w:val="006768EA"/>
    <w:rsid w:val="0067692D"/>
    <w:rsid w:val="00676983"/>
    <w:rsid w:val="006769B1"/>
    <w:rsid w:val="006769C1"/>
    <w:rsid w:val="006769F8"/>
    <w:rsid w:val="00676A48"/>
    <w:rsid w:val="00676A4A"/>
    <w:rsid w:val="00676A67"/>
    <w:rsid w:val="00676A78"/>
    <w:rsid w:val="00676A96"/>
    <w:rsid w:val="00676ACB"/>
    <w:rsid w:val="00676B07"/>
    <w:rsid w:val="00676B10"/>
    <w:rsid w:val="00676B52"/>
    <w:rsid w:val="00676B98"/>
    <w:rsid w:val="00676BC8"/>
    <w:rsid w:val="00676C4E"/>
    <w:rsid w:val="00676CB2"/>
    <w:rsid w:val="00676D33"/>
    <w:rsid w:val="00676D6F"/>
    <w:rsid w:val="00676DD1"/>
    <w:rsid w:val="00676DDE"/>
    <w:rsid w:val="00676E0C"/>
    <w:rsid w:val="00676E3D"/>
    <w:rsid w:val="00676E6E"/>
    <w:rsid w:val="00676EA3"/>
    <w:rsid w:val="00676F04"/>
    <w:rsid w:val="00676F14"/>
    <w:rsid w:val="00676F4B"/>
    <w:rsid w:val="00676F73"/>
    <w:rsid w:val="00676FA6"/>
    <w:rsid w:val="00676FDB"/>
    <w:rsid w:val="00676FDD"/>
    <w:rsid w:val="0067701A"/>
    <w:rsid w:val="0067705E"/>
    <w:rsid w:val="00677099"/>
    <w:rsid w:val="006770F4"/>
    <w:rsid w:val="00677109"/>
    <w:rsid w:val="0067711B"/>
    <w:rsid w:val="00677129"/>
    <w:rsid w:val="00677157"/>
    <w:rsid w:val="00677182"/>
    <w:rsid w:val="00677193"/>
    <w:rsid w:val="006771DB"/>
    <w:rsid w:val="006771DC"/>
    <w:rsid w:val="0067722C"/>
    <w:rsid w:val="00677231"/>
    <w:rsid w:val="006772A5"/>
    <w:rsid w:val="006772A8"/>
    <w:rsid w:val="006772DC"/>
    <w:rsid w:val="006772DE"/>
    <w:rsid w:val="006772E3"/>
    <w:rsid w:val="00677304"/>
    <w:rsid w:val="00677319"/>
    <w:rsid w:val="00677399"/>
    <w:rsid w:val="006773F0"/>
    <w:rsid w:val="00677411"/>
    <w:rsid w:val="00677451"/>
    <w:rsid w:val="00677461"/>
    <w:rsid w:val="0067750B"/>
    <w:rsid w:val="00677510"/>
    <w:rsid w:val="00677512"/>
    <w:rsid w:val="0067752A"/>
    <w:rsid w:val="00677538"/>
    <w:rsid w:val="00677541"/>
    <w:rsid w:val="00677568"/>
    <w:rsid w:val="00677611"/>
    <w:rsid w:val="0067765E"/>
    <w:rsid w:val="00677663"/>
    <w:rsid w:val="00677692"/>
    <w:rsid w:val="006776C5"/>
    <w:rsid w:val="006776E1"/>
    <w:rsid w:val="00677754"/>
    <w:rsid w:val="00677771"/>
    <w:rsid w:val="00677775"/>
    <w:rsid w:val="00677797"/>
    <w:rsid w:val="006777A5"/>
    <w:rsid w:val="006777A6"/>
    <w:rsid w:val="006777BE"/>
    <w:rsid w:val="006777C8"/>
    <w:rsid w:val="00677826"/>
    <w:rsid w:val="0067783A"/>
    <w:rsid w:val="0067787F"/>
    <w:rsid w:val="006778D5"/>
    <w:rsid w:val="006778E3"/>
    <w:rsid w:val="006778F9"/>
    <w:rsid w:val="0067791E"/>
    <w:rsid w:val="0067796A"/>
    <w:rsid w:val="0067796B"/>
    <w:rsid w:val="006779CE"/>
    <w:rsid w:val="00677A0D"/>
    <w:rsid w:val="00677A37"/>
    <w:rsid w:val="00677A53"/>
    <w:rsid w:val="00677A7F"/>
    <w:rsid w:val="00677A98"/>
    <w:rsid w:val="00677ABB"/>
    <w:rsid w:val="00677B19"/>
    <w:rsid w:val="00677B21"/>
    <w:rsid w:val="00677B3E"/>
    <w:rsid w:val="00677B60"/>
    <w:rsid w:val="00677BB8"/>
    <w:rsid w:val="00677BEC"/>
    <w:rsid w:val="00677BF9"/>
    <w:rsid w:val="00677C96"/>
    <w:rsid w:val="00677D05"/>
    <w:rsid w:val="00677D46"/>
    <w:rsid w:val="00677D57"/>
    <w:rsid w:val="00677DDA"/>
    <w:rsid w:val="00677DE1"/>
    <w:rsid w:val="00677DFB"/>
    <w:rsid w:val="00677E14"/>
    <w:rsid w:val="00677E59"/>
    <w:rsid w:val="00677F02"/>
    <w:rsid w:val="00677F19"/>
    <w:rsid w:val="00677F39"/>
    <w:rsid w:val="00677F82"/>
    <w:rsid w:val="00677F9C"/>
    <w:rsid w:val="00677FC3"/>
    <w:rsid w:val="00677FD0"/>
    <w:rsid w:val="00680045"/>
    <w:rsid w:val="0068004C"/>
    <w:rsid w:val="0068006D"/>
    <w:rsid w:val="00680072"/>
    <w:rsid w:val="006800D5"/>
    <w:rsid w:val="006800DF"/>
    <w:rsid w:val="00680116"/>
    <w:rsid w:val="0068011A"/>
    <w:rsid w:val="00680169"/>
    <w:rsid w:val="0068016D"/>
    <w:rsid w:val="00680194"/>
    <w:rsid w:val="006801DD"/>
    <w:rsid w:val="00680214"/>
    <w:rsid w:val="00680263"/>
    <w:rsid w:val="00680290"/>
    <w:rsid w:val="00680348"/>
    <w:rsid w:val="0068034B"/>
    <w:rsid w:val="00680361"/>
    <w:rsid w:val="0068036F"/>
    <w:rsid w:val="00680393"/>
    <w:rsid w:val="006803F2"/>
    <w:rsid w:val="006803F7"/>
    <w:rsid w:val="006803F9"/>
    <w:rsid w:val="0068041E"/>
    <w:rsid w:val="0068041F"/>
    <w:rsid w:val="006804EC"/>
    <w:rsid w:val="00680510"/>
    <w:rsid w:val="0068051E"/>
    <w:rsid w:val="006805A2"/>
    <w:rsid w:val="006805A3"/>
    <w:rsid w:val="006805C8"/>
    <w:rsid w:val="006805DA"/>
    <w:rsid w:val="00680676"/>
    <w:rsid w:val="00680679"/>
    <w:rsid w:val="0068068F"/>
    <w:rsid w:val="006806A4"/>
    <w:rsid w:val="006806E1"/>
    <w:rsid w:val="0068074E"/>
    <w:rsid w:val="00680759"/>
    <w:rsid w:val="00680792"/>
    <w:rsid w:val="00680830"/>
    <w:rsid w:val="00680834"/>
    <w:rsid w:val="0068084C"/>
    <w:rsid w:val="00680869"/>
    <w:rsid w:val="00680891"/>
    <w:rsid w:val="006808BD"/>
    <w:rsid w:val="0068090C"/>
    <w:rsid w:val="00680963"/>
    <w:rsid w:val="00680A0E"/>
    <w:rsid w:val="00680A23"/>
    <w:rsid w:val="00680A67"/>
    <w:rsid w:val="00680AAE"/>
    <w:rsid w:val="00680ABB"/>
    <w:rsid w:val="00680AC4"/>
    <w:rsid w:val="00680B05"/>
    <w:rsid w:val="00680B60"/>
    <w:rsid w:val="00680B8E"/>
    <w:rsid w:val="00680BC1"/>
    <w:rsid w:val="00680C2D"/>
    <w:rsid w:val="00680CBA"/>
    <w:rsid w:val="00680CDA"/>
    <w:rsid w:val="00680D03"/>
    <w:rsid w:val="00680D0A"/>
    <w:rsid w:val="00680D2D"/>
    <w:rsid w:val="00680D9E"/>
    <w:rsid w:val="00680DB5"/>
    <w:rsid w:val="00680E73"/>
    <w:rsid w:val="00680EB5"/>
    <w:rsid w:val="00680EC4"/>
    <w:rsid w:val="0068100E"/>
    <w:rsid w:val="00681031"/>
    <w:rsid w:val="00681051"/>
    <w:rsid w:val="006810BD"/>
    <w:rsid w:val="00681110"/>
    <w:rsid w:val="00681148"/>
    <w:rsid w:val="00681158"/>
    <w:rsid w:val="00681163"/>
    <w:rsid w:val="006811C4"/>
    <w:rsid w:val="0068125F"/>
    <w:rsid w:val="00681287"/>
    <w:rsid w:val="006812BC"/>
    <w:rsid w:val="006812FF"/>
    <w:rsid w:val="0068131E"/>
    <w:rsid w:val="00681363"/>
    <w:rsid w:val="006813C1"/>
    <w:rsid w:val="006813D4"/>
    <w:rsid w:val="0068140C"/>
    <w:rsid w:val="0068142A"/>
    <w:rsid w:val="00681433"/>
    <w:rsid w:val="00681435"/>
    <w:rsid w:val="00681457"/>
    <w:rsid w:val="0068152E"/>
    <w:rsid w:val="00681563"/>
    <w:rsid w:val="006815C6"/>
    <w:rsid w:val="006815CB"/>
    <w:rsid w:val="006815D7"/>
    <w:rsid w:val="00681631"/>
    <w:rsid w:val="00681680"/>
    <w:rsid w:val="006816B1"/>
    <w:rsid w:val="006816B6"/>
    <w:rsid w:val="0068174F"/>
    <w:rsid w:val="0068177F"/>
    <w:rsid w:val="006817E9"/>
    <w:rsid w:val="006817ED"/>
    <w:rsid w:val="0068186D"/>
    <w:rsid w:val="00681887"/>
    <w:rsid w:val="006818CE"/>
    <w:rsid w:val="00681914"/>
    <w:rsid w:val="00681925"/>
    <w:rsid w:val="0068192D"/>
    <w:rsid w:val="00681941"/>
    <w:rsid w:val="006819FD"/>
    <w:rsid w:val="00681A09"/>
    <w:rsid w:val="00681A14"/>
    <w:rsid w:val="00681A1E"/>
    <w:rsid w:val="00681A2B"/>
    <w:rsid w:val="00681A62"/>
    <w:rsid w:val="00681A6E"/>
    <w:rsid w:val="00681ABB"/>
    <w:rsid w:val="00681B09"/>
    <w:rsid w:val="00681B8B"/>
    <w:rsid w:val="00681BB2"/>
    <w:rsid w:val="00681BBF"/>
    <w:rsid w:val="00681BE9"/>
    <w:rsid w:val="00681BFF"/>
    <w:rsid w:val="00681C43"/>
    <w:rsid w:val="00681CCA"/>
    <w:rsid w:val="00681CD4"/>
    <w:rsid w:val="00681CE8"/>
    <w:rsid w:val="00681D9C"/>
    <w:rsid w:val="00681DA0"/>
    <w:rsid w:val="00681DCE"/>
    <w:rsid w:val="00681DE5"/>
    <w:rsid w:val="00681DF0"/>
    <w:rsid w:val="00681E28"/>
    <w:rsid w:val="00681E3C"/>
    <w:rsid w:val="00681E54"/>
    <w:rsid w:val="00681E75"/>
    <w:rsid w:val="00681E88"/>
    <w:rsid w:val="00681F04"/>
    <w:rsid w:val="00681F08"/>
    <w:rsid w:val="00681F59"/>
    <w:rsid w:val="00681F5B"/>
    <w:rsid w:val="00681F8A"/>
    <w:rsid w:val="00682032"/>
    <w:rsid w:val="00682040"/>
    <w:rsid w:val="0068208A"/>
    <w:rsid w:val="0068209D"/>
    <w:rsid w:val="00682109"/>
    <w:rsid w:val="00682158"/>
    <w:rsid w:val="0068216A"/>
    <w:rsid w:val="00682199"/>
    <w:rsid w:val="006821C2"/>
    <w:rsid w:val="006821D1"/>
    <w:rsid w:val="006821D3"/>
    <w:rsid w:val="00682200"/>
    <w:rsid w:val="00682205"/>
    <w:rsid w:val="0068222E"/>
    <w:rsid w:val="006822DC"/>
    <w:rsid w:val="006822FB"/>
    <w:rsid w:val="00682317"/>
    <w:rsid w:val="0068233B"/>
    <w:rsid w:val="006823A4"/>
    <w:rsid w:val="0068247A"/>
    <w:rsid w:val="00682487"/>
    <w:rsid w:val="0068249C"/>
    <w:rsid w:val="006824D6"/>
    <w:rsid w:val="006824E7"/>
    <w:rsid w:val="00682506"/>
    <w:rsid w:val="00682518"/>
    <w:rsid w:val="0068257A"/>
    <w:rsid w:val="006825F0"/>
    <w:rsid w:val="0068262B"/>
    <w:rsid w:val="0068267E"/>
    <w:rsid w:val="00682694"/>
    <w:rsid w:val="006826BB"/>
    <w:rsid w:val="006827D0"/>
    <w:rsid w:val="006827E3"/>
    <w:rsid w:val="006827E7"/>
    <w:rsid w:val="006827FA"/>
    <w:rsid w:val="00682815"/>
    <w:rsid w:val="00682833"/>
    <w:rsid w:val="0068284C"/>
    <w:rsid w:val="00682972"/>
    <w:rsid w:val="00682986"/>
    <w:rsid w:val="0068299F"/>
    <w:rsid w:val="006829BE"/>
    <w:rsid w:val="006829CD"/>
    <w:rsid w:val="006829E4"/>
    <w:rsid w:val="00682A03"/>
    <w:rsid w:val="00682A70"/>
    <w:rsid w:val="00682A8B"/>
    <w:rsid w:val="00682B35"/>
    <w:rsid w:val="00682B79"/>
    <w:rsid w:val="00682BCB"/>
    <w:rsid w:val="00682BF8"/>
    <w:rsid w:val="00682C20"/>
    <w:rsid w:val="00682C67"/>
    <w:rsid w:val="00682C98"/>
    <w:rsid w:val="00682CAB"/>
    <w:rsid w:val="00682CE7"/>
    <w:rsid w:val="00682CF1"/>
    <w:rsid w:val="00682D17"/>
    <w:rsid w:val="00682D3B"/>
    <w:rsid w:val="00682D7E"/>
    <w:rsid w:val="00682DBB"/>
    <w:rsid w:val="00682DBD"/>
    <w:rsid w:val="00682E10"/>
    <w:rsid w:val="00682ED0"/>
    <w:rsid w:val="00682F10"/>
    <w:rsid w:val="00682F23"/>
    <w:rsid w:val="00682F86"/>
    <w:rsid w:val="00682F92"/>
    <w:rsid w:val="00682FAD"/>
    <w:rsid w:val="00682FB4"/>
    <w:rsid w:val="0068300E"/>
    <w:rsid w:val="006830B2"/>
    <w:rsid w:val="006830C4"/>
    <w:rsid w:val="00683132"/>
    <w:rsid w:val="0068316C"/>
    <w:rsid w:val="006831D9"/>
    <w:rsid w:val="006831DE"/>
    <w:rsid w:val="006831E5"/>
    <w:rsid w:val="0068322A"/>
    <w:rsid w:val="00683277"/>
    <w:rsid w:val="00683297"/>
    <w:rsid w:val="006832EF"/>
    <w:rsid w:val="006832F4"/>
    <w:rsid w:val="00683300"/>
    <w:rsid w:val="0068331A"/>
    <w:rsid w:val="0068331D"/>
    <w:rsid w:val="006833A9"/>
    <w:rsid w:val="006833BF"/>
    <w:rsid w:val="006833F2"/>
    <w:rsid w:val="0068341E"/>
    <w:rsid w:val="0068342D"/>
    <w:rsid w:val="00683489"/>
    <w:rsid w:val="006834B8"/>
    <w:rsid w:val="006834FF"/>
    <w:rsid w:val="00683506"/>
    <w:rsid w:val="0068351B"/>
    <w:rsid w:val="0068354D"/>
    <w:rsid w:val="00683577"/>
    <w:rsid w:val="0068358E"/>
    <w:rsid w:val="0068359C"/>
    <w:rsid w:val="006835B5"/>
    <w:rsid w:val="006835F5"/>
    <w:rsid w:val="00683606"/>
    <w:rsid w:val="0068361F"/>
    <w:rsid w:val="0068365A"/>
    <w:rsid w:val="00683663"/>
    <w:rsid w:val="00683698"/>
    <w:rsid w:val="006836AF"/>
    <w:rsid w:val="006836F0"/>
    <w:rsid w:val="00683704"/>
    <w:rsid w:val="00683713"/>
    <w:rsid w:val="00683721"/>
    <w:rsid w:val="00683731"/>
    <w:rsid w:val="0068375F"/>
    <w:rsid w:val="00683795"/>
    <w:rsid w:val="00683799"/>
    <w:rsid w:val="006837A8"/>
    <w:rsid w:val="006838D5"/>
    <w:rsid w:val="00683938"/>
    <w:rsid w:val="0068393E"/>
    <w:rsid w:val="00683A12"/>
    <w:rsid w:val="00683A17"/>
    <w:rsid w:val="00683A30"/>
    <w:rsid w:val="00683A56"/>
    <w:rsid w:val="00683A79"/>
    <w:rsid w:val="00683A9C"/>
    <w:rsid w:val="00683ABB"/>
    <w:rsid w:val="00683AC4"/>
    <w:rsid w:val="00683AFC"/>
    <w:rsid w:val="00683B43"/>
    <w:rsid w:val="00683B75"/>
    <w:rsid w:val="00683B86"/>
    <w:rsid w:val="00683B92"/>
    <w:rsid w:val="00683B9B"/>
    <w:rsid w:val="00683BFF"/>
    <w:rsid w:val="00683C40"/>
    <w:rsid w:val="00683C49"/>
    <w:rsid w:val="00683C68"/>
    <w:rsid w:val="00683C79"/>
    <w:rsid w:val="00683CA7"/>
    <w:rsid w:val="00683CD0"/>
    <w:rsid w:val="00683D89"/>
    <w:rsid w:val="00683DA2"/>
    <w:rsid w:val="00683DBA"/>
    <w:rsid w:val="00683DC4"/>
    <w:rsid w:val="00683E14"/>
    <w:rsid w:val="00683E49"/>
    <w:rsid w:val="00683E66"/>
    <w:rsid w:val="00683E6B"/>
    <w:rsid w:val="00683EB9"/>
    <w:rsid w:val="00683EBC"/>
    <w:rsid w:val="00683EBF"/>
    <w:rsid w:val="00683F20"/>
    <w:rsid w:val="00683F8D"/>
    <w:rsid w:val="00683F92"/>
    <w:rsid w:val="0068400A"/>
    <w:rsid w:val="00684058"/>
    <w:rsid w:val="00684059"/>
    <w:rsid w:val="00684074"/>
    <w:rsid w:val="006840F0"/>
    <w:rsid w:val="00684131"/>
    <w:rsid w:val="0068418A"/>
    <w:rsid w:val="00684194"/>
    <w:rsid w:val="006841FE"/>
    <w:rsid w:val="00684236"/>
    <w:rsid w:val="00684257"/>
    <w:rsid w:val="00684265"/>
    <w:rsid w:val="00684266"/>
    <w:rsid w:val="0068427A"/>
    <w:rsid w:val="006842C4"/>
    <w:rsid w:val="006842E0"/>
    <w:rsid w:val="0068432A"/>
    <w:rsid w:val="0068434B"/>
    <w:rsid w:val="00684365"/>
    <w:rsid w:val="006843CA"/>
    <w:rsid w:val="00684403"/>
    <w:rsid w:val="00684404"/>
    <w:rsid w:val="006844B8"/>
    <w:rsid w:val="006844C6"/>
    <w:rsid w:val="006844FA"/>
    <w:rsid w:val="0068453D"/>
    <w:rsid w:val="0068454E"/>
    <w:rsid w:val="006845FF"/>
    <w:rsid w:val="006846AB"/>
    <w:rsid w:val="006846FB"/>
    <w:rsid w:val="0068471F"/>
    <w:rsid w:val="00684724"/>
    <w:rsid w:val="0068473F"/>
    <w:rsid w:val="00684752"/>
    <w:rsid w:val="006847CF"/>
    <w:rsid w:val="006847D3"/>
    <w:rsid w:val="006847E7"/>
    <w:rsid w:val="0068484D"/>
    <w:rsid w:val="0068488E"/>
    <w:rsid w:val="006848B8"/>
    <w:rsid w:val="006848E9"/>
    <w:rsid w:val="006849AD"/>
    <w:rsid w:val="006849D6"/>
    <w:rsid w:val="006849F3"/>
    <w:rsid w:val="00684A18"/>
    <w:rsid w:val="00684A20"/>
    <w:rsid w:val="00684A57"/>
    <w:rsid w:val="00684A63"/>
    <w:rsid w:val="00684A7D"/>
    <w:rsid w:val="00684AD1"/>
    <w:rsid w:val="00684B3A"/>
    <w:rsid w:val="00684B85"/>
    <w:rsid w:val="00684B8B"/>
    <w:rsid w:val="00684BA4"/>
    <w:rsid w:val="00684BBA"/>
    <w:rsid w:val="00684BE1"/>
    <w:rsid w:val="00684C07"/>
    <w:rsid w:val="00684C4D"/>
    <w:rsid w:val="00684C53"/>
    <w:rsid w:val="00684CCD"/>
    <w:rsid w:val="00684D1E"/>
    <w:rsid w:val="00684D3B"/>
    <w:rsid w:val="00684D6A"/>
    <w:rsid w:val="00684D7B"/>
    <w:rsid w:val="00684D7F"/>
    <w:rsid w:val="00684DA3"/>
    <w:rsid w:val="00684DF9"/>
    <w:rsid w:val="00684E46"/>
    <w:rsid w:val="00684E7F"/>
    <w:rsid w:val="00684E95"/>
    <w:rsid w:val="00684E9C"/>
    <w:rsid w:val="00684EAA"/>
    <w:rsid w:val="00684EB4"/>
    <w:rsid w:val="00684EF1"/>
    <w:rsid w:val="00684EFC"/>
    <w:rsid w:val="00684F54"/>
    <w:rsid w:val="00684F87"/>
    <w:rsid w:val="00684FD7"/>
    <w:rsid w:val="00684FE7"/>
    <w:rsid w:val="00684FF1"/>
    <w:rsid w:val="0068508C"/>
    <w:rsid w:val="006850A7"/>
    <w:rsid w:val="00685152"/>
    <w:rsid w:val="00685182"/>
    <w:rsid w:val="006851CF"/>
    <w:rsid w:val="00685213"/>
    <w:rsid w:val="00685221"/>
    <w:rsid w:val="00685225"/>
    <w:rsid w:val="00685239"/>
    <w:rsid w:val="00685248"/>
    <w:rsid w:val="00685344"/>
    <w:rsid w:val="00685349"/>
    <w:rsid w:val="006853D9"/>
    <w:rsid w:val="006853DD"/>
    <w:rsid w:val="0068540C"/>
    <w:rsid w:val="00685449"/>
    <w:rsid w:val="00685467"/>
    <w:rsid w:val="00685484"/>
    <w:rsid w:val="006854DB"/>
    <w:rsid w:val="0068554A"/>
    <w:rsid w:val="0068556C"/>
    <w:rsid w:val="0068557F"/>
    <w:rsid w:val="00685584"/>
    <w:rsid w:val="00685588"/>
    <w:rsid w:val="006855A9"/>
    <w:rsid w:val="006855B0"/>
    <w:rsid w:val="006855B4"/>
    <w:rsid w:val="006855F2"/>
    <w:rsid w:val="006855FC"/>
    <w:rsid w:val="00685680"/>
    <w:rsid w:val="00685681"/>
    <w:rsid w:val="0068569C"/>
    <w:rsid w:val="006856FD"/>
    <w:rsid w:val="0068570C"/>
    <w:rsid w:val="00685733"/>
    <w:rsid w:val="0068574A"/>
    <w:rsid w:val="0068577D"/>
    <w:rsid w:val="0068579A"/>
    <w:rsid w:val="006857DA"/>
    <w:rsid w:val="006857F5"/>
    <w:rsid w:val="0068586C"/>
    <w:rsid w:val="006858A3"/>
    <w:rsid w:val="006858B0"/>
    <w:rsid w:val="006858EB"/>
    <w:rsid w:val="00685901"/>
    <w:rsid w:val="00685997"/>
    <w:rsid w:val="006859C9"/>
    <w:rsid w:val="00685B2A"/>
    <w:rsid w:val="00685B30"/>
    <w:rsid w:val="00685BAD"/>
    <w:rsid w:val="00685BC7"/>
    <w:rsid w:val="00685BDA"/>
    <w:rsid w:val="00685C0F"/>
    <w:rsid w:val="00685C34"/>
    <w:rsid w:val="00685C61"/>
    <w:rsid w:val="00685D17"/>
    <w:rsid w:val="00685DA2"/>
    <w:rsid w:val="00685DFF"/>
    <w:rsid w:val="00685E49"/>
    <w:rsid w:val="00685E63"/>
    <w:rsid w:val="00685E6A"/>
    <w:rsid w:val="00685E75"/>
    <w:rsid w:val="00685E8F"/>
    <w:rsid w:val="00685EBF"/>
    <w:rsid w:val="00685EEA"/>
    <w:rsid w:val="00685EFA"/>
    <w:rsid w:val="00685F08"/>
    <w:rsid w:val="00685F17"/>
    <w:rsid w:val="00685F1F"/>
    <w:rsid w:val="00685F4B"/>
    <w:rsid w:val="00685F68"/>
    <w:rsid w:val="00685F69"/>
    <w:rsid w:val="00685F8C"/>
    <w:rsid w:val="00685FD4"/>
    <w:rsid w:val="00685FD5"/>
    <w:rsid w:val="006860F6"/>
    <w:rsid w:val="0068611A"/>
    <w:rsid w:val="00686142"/>
    <w:rsid w:val="006861CF"/>
    <w:rsid w:val="006861DF"/>
    <w:rsid w:val="0068620B"/>
    <w:rsid w:val="00686275"/>
    <w:rsid w:val="006862B0"/>
    <w:rsid w:val="006862D8"/>
    <w:rsid w:val="00686340"/>
    <w:rsid w:val="00686362"/>
    <w:rsid w:val="00686396"/>
    <w:rsid w:val="006863AA"/>
    <w:rsid w:val="006863C3"/>
    <w:rsid w:val="006863D2"/>
    <w:rsid w:val="006863D7"/>
    <w:rsid w:val="006863E1"/>
    <w:rsid w:val="006863E2"/>
    <w:rsid w:val="006863E9"/>
    <w:rsid w:val="0068645E"/>
    <w:rsid w:val="006864EE"/>
    <w:rsid w:val="00686548"/>
    <w:rsid w:val="00686572"/>
    <w:rsid w:val="00686573"/>
    <w:rsid w:val="006865BC"/>
    <w:rsid w:val="006865D6"/>
    <w:rsid w:val="006865DC"/>
    <w:rsid w:val="006865E4"/>
    <w:rsid w:val="00686613"/>
    <w:rsid w:val="006866AD"/>
    <w:rsid w:val="006866C6"/>
    <w:rsid w:val="006866CD"/>
    <w:rsid w:val="00686726"/>
    <w:rsid w:val="006867A1"/>
    <w:rsid w:val="00686811"/>
    <w:rsid w:val="00686816"/>
    <w:rsid w:val="0068685E"/>
    <w:rsid w:val="006868A6"/>
    <w:rsid w:val="006868FD"/>
    <w:rsid w:val="00686902"/>
    <w:rsid w:val="00686920"/>
    <w:rsid w:val="0068698F"/>
    <w:rsid w:val="00686A48"/>
    <w:rsid w:val="00686A6D"/>
    <w:rsid w:val="00686A82"/>
    <w:rsid w:val="00686C34"/>
    <w:rsid w:val="00686C4B"/>
    <w:rsid w:val="00686C68"/>
    <w:rsid w:val="00686C78"/>
    <w:rsid w:val="00686CAD"/>
    <w:rsid w:val="00686CED"/>
    <w:rsid w:val="00686D12"/>
    <w:rsid w:val="00686E5A"/>
    <w:rsid w:val="00686E6E"/>
    <w:rsid w:val="00686E81"/>
    <w:rsid w:val="00686EF7"/>
    <w:rsid w:val="00686F12"/>
    <w:rsid w:val="00686F69"/>
    <w:rsid w:val="00686F94"/>
    <w:rsid w:val="00686FA0"/>
    <w:rsid w:val="00686FE0"/>
    <w:rsid w:val="0068702F"/>
    <w:rsid w:val="00687042"/>
    <w:rsid w:val="0068710D"/>
    <w:rsid w:val="00687117"/>
    <w:rsid w:val="006871A9"/>
    <w:rsid w:val="0068720A"/>
    <w:rsid w:val="00687217"/>
    <w:rsid w:val="0068722B"/>
    <w:rsid w:val="00687252"/>
    <w:rsid w:val="0068731D"/>
    <w:rsid w:val="0068732C"/>
    <w:rsid w:val="0068735E"/>
    <w:rsid w:val="006873A7"/>
    <w:rsid w:val="006873A8"/>
    <w:rsid w:val="0068749B"/>
    <w:rsid w:val="006874B1"/>
    <w:rsid w:val="006874B4"/>
    <w:rsid w:val="006874D6"/>
    <w:rsid w:val="00687567"/>
    <w:rsid w:val="0068758B"/>
    <w:rsid w:val="00687601"/>
    <w:rsid w:val="0068766F"/>
    <w:rsid w:val="00687682"/>
    <w:rsid w:val="006876AA"/>
    <w:rsid w:val="006876DC"/>
    <w:rsid w:val="0068777A"/>
    <w:rsid w:val="006877F9"/>
    <w:rsid w:val="00687812"/>
    <w:rsid w:val="00687823"/>
    <w:rsid w:val="0068784B"/>
    <w:rsid w:val="006878AA"/>
    <w:rsid w:val="006878DA"/>
    <w:rsid w:val="00687948"/>
    <w:rsid w:val="00687A13"/>
    <w:rsid w:val="00687A63"/>
    <w:rsid w:val="00687A7B"/>
    <w:rsid w:val="00687B24"/>
    <w:rsid w:val="00687B4A"/>
    <w:rsid w:val="00687B9E"/>
    <w:rsid w:val="00687BA6"/>
    <w:rsid w:val="00687BC6"/>
    <w:rsid w:val="00687BF0"/>
    <w:rsid w:val="00687C2C"/>
    <w:rsid w:val="00687C84"/>
    <w:rsid w:val="00687CA5"/>
    <w:rsid w:val="00687CBE"/>
    <w:rsid w:val="00687D13"/>
    <w:rsid w:val="00687D78"/>
    <w:rsid w:val="00687DCE"/>
    <w:rsid w:val="00687DF2"/>
    <w:rsid w:val="00687E12"/>
    <w:rsid w:val="00687EFB"/>
    <w:rsid w:val="00687F1E"/>
    <w:rsid w:val="00687FAD"/>
    <w:rsid w:val="00690068"/>
    <w:rsid w:val="006900A1"/>
    <w:rsid w:val="006900EC"/>
    <w:rsid w:val="00690151"/>
    <w:rsid w:val="00690166"/>
    <w:rsid w:val="006901FB"/>
    <w:rsid w:val="00690209"/>
    <w:rsid w:val="00690235"/>
    <w:rsid w:val="0069026F"/>
    <w:rsid w:val="0069027C"/>
    <w:rsid w:val="0069027D"/>
    <w:rsid w:val="006902A3"/>
    <w:rsid w:val="006902BC"/>
    <w:rsid w:val="00690368"/>
    <w:rsid w:val="006903E0"/>
    <w:rsid w:val="006903E5"/>
    <w:rsid w:val="006903E9"/>
    <w:rsid w:val="006903EF"/>
    <w:rsid w:val="00690419"/>
    <w:rsid w:val="0069043A"/>
    <w:rsid w:val="00690479"/>
    <w:rsid w:val="006904A0"/>
    <w:rsid w:val="006904A6"/>
    <w:rsid w:val="00690517"/>
    <w:rsid w:val="00690519"/>
    <w:rsid w:val="00690539"/>
    <w:rsid w:val="00690541"/>
    <w:rsid w:val="0069057D"/>
    <w:rsid w:val="0069060D"/>
    <w:rsid w:val="00690649"/>
    <w:rsid w:val="0069068A"/>
    <w:rsid w:val="00690692"/>
    <w:rsid w:val="006906A1"/>
    <w:rsid w:val="006906A8"/>
    <w:rsid w:val="006906CD"/>
    <w:rsid w:val="006906EC"/>
    <w:rsid w:val="006906F0"/>
    <w:rsid w:val="00690843"/>
    <w:rsid w:val="00690875"/>
    <w:rsid w:val="006908A1"/>
    <w:rsid w:val="006908B0"/>
    <w:rsid w:val="006908BB"/>
    <w:rsid w:val="006908BD"/>
    <w:rsid w:val="006908E4"/>
    <w:rsid w:val="006908EB"/>
    <w:rsid w:val="0069090B"/>
    <w:rsid w:val="0069096F"/>
    <w:rsid w:val="00690972"/>
    <w:rsid w:val="00690974"/>
    <w:rsid w:val="00690A1C"/>
    <w:rsid w:val="00690A75"/>
    <w:rsid w:val="00690A8F"/>
    <w:rsid w:val="00690A97"/>
    <w:rsid w:val="00690AC7"/>
    <w:rsid w:val="00690AF7"/>
    <w:rsid w:val="00690AFC"/>
    <w:rsid w:val="00690B08"/>
    <w:rsid w:val="00690B41"/>
    <w:rsid w:val="00690B59"/>
    <w:rsid w:val="00690B61"/>
    <w:rsid w:val="00690B71"/>
    <w:rsid w:val="00690BAE"/>
    <w:rsid w:val="00690BC7"/>
    <w:rsid w:val="00690C0B"/>
    <w:rsid w:val="00690C24"/>
    <w:rsid w:val="00690C33"/>
    <w:rsid w:val="00690C34"/>
    <w:rsid w:val="00690C5F"/>
    <w:rsid w:val="00690CDE"/>
    <w:rsid w:val="00690CF0"/>
    <w:rsid w:val="00690D0B"/>
    <w:rsid w:val="00690D5A"/>
    <w:rsid w:val="00690DE2"/>
    <w:rsid w:val="00690DED"/>
    <w:rsid w:val="00690E2E"/>
    <w:rsid w:val="00690E8C"/>
    <w:rsid w:val="00690ECD"/>
    <w:rsid w:val="00690ED1"/>
    <w:rsid w:val="00690ED3"/>
    <w:rsid w:val="00690EEC"/>
    <w:rsid w:val="00690F01"/>
    <w:rsid w:val="00690F15"/>
    <w:rsid w:val="00690F3E"/>
    <w:rsid w:val="00690F43"/>
    <w:rsid w:val="00690F4D"/>
    <w:rsid w:val="00691003"/>
    <w:rsid w:val="00691020"/>
    <w:rsid w:val="00691028"/>
    <w:rsid w:val="00691041"/>
    <w:rsid w:val="0069105F"/>
    <w:rsid w:val="00691075"/>
    <w:rsid w:val="00691085"/>
    <w:rsid w:val="006911BB"/>
    <w:rsid w:val="00691230"/>
    <w:rsid w:val="006912CB"/>
    <w:rsid w:val="006912FC"/>
    <w:rsid w:val="00691328"/>
    <w:rsid w:val="00691335"/>
    <w:rsid w:val="00691351"/>
    <w:rsid w:val="00691358"/>
    <w:rsid w:val="00691386"/>
    <w:rsid w:val="00691389"/>
    <w:rsid w:val="0069143E"/>
    <w:rsid w:val="00691441"/>
    <w:rsid w:val="00691490"/>
    <w:rsid w:val="00691498"/>
    <w:rsid w:val="0069149B"/>
    <w:rsid w:val="006914B3"/>
    <w:rsid w:val="006914C8"/>
    <w:rsid w:val="006914D4"/>
    <w:rsid w:val="006914ED"/>
    <w:rsid w:val="0069155B"/>
    <w:rsid w:val="00691578"/>
    <w:rsid w:val="0069159E"/>
    <w:rsid w:val="006915B0"/>
    <w:rsid w:val="006915C6"/>
    <w:rsid w:val="006915DC"/>
    <w:rsid w:val="00691607"/>
    <w:rsid w:val="00691624"/>
    <w:rsid w:val="00691648"/>
    <w:rsid w:val="0069165A"/>
    <w:rsid w:val="0069165F"/>
    <w:rsid w:val="0069168A"/>
    <w:rsid w:val="0069168B"/>
    <w:rsid w:val="006916A5"/>
    <w:rsid w:val="006916EE"/>
    <w:rsid w:val="006917CF"/>
    <w:rsid w:val="006917E4"/>
    <w:rsid w:val="006917F6"/>
    <w:rsid w:val="0069181D"/>
    <w:rsid w:val="0069182D"/>
    <w:rsid w:val="00691887"/>
    <w:rsid w:val="00691915"/>
    <w:rsid w:val="00691965"/>
    <w:rsid w:val="0069196A"/>
    <w:rsid w:val="006919E4"/>
    <w:rsid w:val="00691A21"/>
    <w:rsid w:val="00691A43"/>
    <w:rsid w:val="00691A6A"/>
    <w:rsid w:val="00691A8D"/>
    <w:rsid w:val="00691A9E"/>
    <w:rsid w:val="00691B60"/>
    <w:rsid w:val="00691B6E"/>
    <w:rsid w:val="00691C71"/>
    <w:rsid w:val="00691C74"/>
    <w:rsid w:val="00691CD0"/>
    <w:rsid w:val="00691CFE"/>
    <w:rsid w:val="00691D0B"/>
    <w:rsid w:val="00691D69"/>
    <w:rsid w:val="00691D7D"/>
    <w:rsid w:val="00691D95"/>
    <w:rsid w:val="00691E17"/>
    <w:rsid w:val="00691E24"/>
    <w:rsid w:val="00691E55"/>
    <w:rsid w:val="00691E83"/>
    <w:rsid w:val="00691F10"/>
    <w:rsid w:val="00691F49"/>
    <w:rsid w:val="00691F8E"/>
    <w:rsid w:val="00691FCE"/>
    <w:rsid w:val="00692021"/>
    <w:rsid w:val="006920C4"/>
    <w:rsid w:val="006920EE"/>
    <w:rsid w:val="006920F5"/>
    <w:rsid w:val="00692142"/>
    <w:rsid w:val="0069215C"/>
    <w:rsid w:val="0069216F"/>
    <w:rsid w:val="006921CF"/>
    <w:rsid w:val="006921E4"/>
    <w:rsid w:val="006921FB"/>
    <w:rsid w:val="0069221B"/>
    <w:rsid w:val="00692233"/>
    <w:rsid w:val="00692238"/>
    <w:rsid w:val="00692293"/>
    <w:rsid w:val="006922B8"/>
    <w:rsid w:val="006922E9"/>
    <w:rsid w:val="00692302"/>
    <w:rsid w:val="00692339"/>
    <w:rsid w:val="006923D1"/>
    <w:rsid w:val="006923F1"/>
    <w:rsid w:val="00692456"/>
    <w:rsid w:val="0069248E"/>
    <w:rsid w:val="0069249F"/>
    <w:rsid w:val="006924CB"/>
    <w:rsid w:val="006924F8"/>
    <w:rsid w:val="0069255C"/>
    <w:rsid w:val="0069258B"/>
    <w:rsid w:val="006925B3"/>
    <w:rsid w:val="006925B5"/>
    <w:rsid w:val="006925C0"/>
    <w:rsid w:val="006925EF"/>
    <w:rsid w:val="00692621"/>
    <w:rsid w:val="0069262D"/>
    <w:rsid w:val="0069262E"/>
    <w:rsid w:val="00692665"/>
    <w:rsid w:val="00692667"/>
    <w:rsid w:val="0069266A"/>
    <w:rsid w:val="00692679"/>
    <w:rsid w:val="00692686"/>
    <w:rsid w:val="006926C9"/>
    <w:rsid w:val="006926E9"/>
    <w:rsid w:val="00692732"/>
    <w:rsid w:val="00692757"/>
    <w:rsid w:val="0069277F"/>
    <w:rsid w:val="006927A6"/>
    <w:rsid w:val="006927C9"/>
    <w:rsid w:val="006927DC"/>
    <w:rsid w:val="00692806"/>
    <w:rsid w:val="00692810"/>
    <w:rsid w:val="00692827"/>
    <w:rsid w:val="00692858"/>
    <w:rsid w:val="0069289E"/>
    <w:rsid w:val="006928C6"/>
    <w:rsid w:val="006928E7"/>
    <w:rsid w:val="006928EE"/>
    <w:rsid w:val="00692978"/>
    <w:rsid w:val="00692987"/>
    <w:rsid w:val="00692A05"/>
    <w:rsid w:val="00692A27"/>
    <w:rsid w:val="00692A62"/>
    <w:rsid w:val="00692AC8"/>
    <w:rsid w:val="00692AF5"/>
    <w:rsid w:val="00692B1F"/>
    <w:rsid w:val="00692B34"/>
    <w:rsid w:val="00692B9A"/>
    <w:rsid w:val="00692C29"/>
    <w:rsid w:val="00692C4E"/>
    <w:rsid w:val="00692C9F"/>
    <w:rsid w:val="00692CCB"/>
    <w:rsid w:val="00692CF7"/>
    <w:rsid w:val="00692D4A"/>
    <w:rsid w:val="00692D4C"/>
    <w:rsid w:val="00692DB7"/>
    <w:rsid w:val="00692E57"/>
    <w:rsid w:val="00692E67"/>
    <w:rsid w:val="00692EB8"/>
    <w:rsid w:val="00692EF0"/>
    <w:rsid w:val="00692F25"/>
    <w:rsid w:val="00692F2B"/>
    <w:rsid w:val="00692F3A"/>
    <w:rsid w:val="00692F94"/>
    <w:rsid w:val="00693021"/>
    <w:rsid w:val="0069307B"/>
    <w:rsid w:val="00693090"/>
    <w:rsid w:val="00693153"/>
    <w:rsid w:val="00693160"/>
    <w:rsid w:val="00693168"/>
    <w:rsid w:val="00693187"/>
    <w:rsid w:val="00693192"/>
    <w:rsid w:val="006931A6"/>
    <w:rsid w:val="006931E7"/>
    <w:rsid w:val="006931EA"/>
    <w:rsid w:val="006931F0"/>
    <w:rsid w:val="0069321A"/>
    <w:rsid w:val="0069321F"/>
    <w:rsid w:val="00693239"/>
    <w:rsid w:val="00693246"/>
    <w:rsid w:val="00693251"/>
    <w:rsid w:val="0069326B"/>
    <w:rsid w:val="00693270"/>
    <w:rsid w:val="0069328E"/>
    <w:rsid w:val="00693307"/>
    <w:rsid w:val="0069330A"/>
    <w:rsid w:val="00693321"/>
    <w:rsid w:val="0069337A"/>
    <w:rsid w:val="00693387"/>
    <w:rsid w:val="006933F0"/>
    <w:rsid w:val="006933FF"/>
    <w:rsid w:val="00693430"/>
    <w:rsid w:val="0069344E"/>
    <w:rsid w:val="00693451"/>
    <w:rsid w:val="006934E1"/>
    <w:rsid w:val="0069352C"/>
    <w:rsid w:val="00693543"/>
    <w:rsid w:val="00693563"/>
    <w:rsid w:val="006935BB"/>
    <w:rsid w:val="00693600"/>
    <w:rsid w:val="00693677"/>
    <w:rsid w:val="00693724"/>
    <w:rsid w:val="00693768"/>
    <w:rsid w:val="0069377B"/>
    <w:rsid w:val="006937B3"/>
    <w:rsid w:val="00693874"/>
    <w:rsid w:val="006938C3"/>
    <w:rsid w:val="006938C8"/>
    <w:rsid w:val="006938CB"/>
    <w:rsid w:val="0069397B"/>
    <w:rsid w:val="00693A1A"/>
    <w:rsid w:val="00693A63"/>
    <w:rsid w:val="00693AC2"/>
    <w:rsid w:val="00693B0D"/>
    <w:rsid w:val="00693B89"/>
    <w:rsid w:val="00693B9F"/>
    <w:rsid w:val="00693BD7"/>
    <w:rsid w:val="00693BFE"/>
    <w:rsid w:val="00693C07"/>
    <w:rsid w:val="00693C75"/>
    <w:rsid w:val="00693CA1"/>
    <w:rsid w:val="00693CA7"/>
    <w:rsid w:val="00693CFA"/>
    <w:rsid w:val="00693D82"/>
    <w:rsid w:val="00693D98"/>
    <w:rsid w:val="00693DBF"/>
    <w:rsid w:val="00693DDD"/>
    <w:rsid w:val="00693DE5"/>
    <w:rsid w:val="00693E1A"/>
    <w:rsid w:val="00693E6C"/>
    <w:rsid w:val="00693E80"/>
    <w:rsid w:val="00693FE4"/>
    <w:rsid w:val="0069400D"/>
    <w:rsid w:val="00694050"/>
    <w:rsid w:val="00694059"/>
    <w:rsid w:val="00694062"/>
    <w:rsid w:val="006940D8"/>
    <w:rsid w:val="00694102"/>
    <w:rsid w:val="00694106"/>
    <w:rsid w:val="00694128"/>
    <w:rsid w:val="0069412F"/>
    <w:rsid w:val="0069415D"/>
    <w:rsid w:val="006941C8"/>
    <w:rsid w:val="006941EC"/>
    <w:rsid w:val="00694241"/>
    <w:rsid w:val="00694265"/>
    <w:rsid w:val="00694286"/>
    <w:rsid w:val="006942D3"/>
    <w:rsid w:val="00694380"/>
    <w:rsid w:val="00694401"/>
    <w:rsid w:val="00694427"/>
    <w:rsid w:val="0069448E"/>
    <w:rsid w:val="006944F0"/>
    <w:rsid w:val="006944F3"/>
    <w:rsid w:val="0069454D"/>
    <w:rsid w:val="0069458C"/>
    <w:rsid w:val="006945C2"/>
    <w:rsid w:val="00694633"/>
    <w:rsid w:val="00694647"/>
    <w:rsid w:val="0069466C"/>
    <w:rsid w:val="006946B4"/>
    <w:rsid w:val="00694700"/>
    <w:rsid w:val="00694714"/>
    <w:rsid w:val="006947E2"/>
    <w:rsid w:val="006947E4"/>
    <w:rsid w:val="00694831"/>
    <w:rsid w:val="00694848"/>
    <w:rsid w:val="00694851"/>
    <w:rsid w:val="00694876"/>
    <w:rsid w:val="00694887"/>
    <w:rsid w:val="006948A9"/>
    <w:rsid w:val="006948D2"/>
    <w:rsid w:val="006948EA"/>
    <w:rsid w:val="006948F4"/>
    <w:rsid w:val="006948F5"/>
    <w:rsid w:val="00694907"/>
    <w:rsid w:val="00694946"/>
    <w:rsid w:val="006949A3"/>
    <w:rsid w:val="00694A1C"/>
    <w:rsid w:val="00694A27"/>
    <w:rsid w:val="00694A52"/>
    <w:rsid w:val="00694A53"/>
    <w:rsid w:val="00694AA6"/>
    <w:rsid w:val="00694ABC"/>
    <w:rsid w:val="00694AC0"/>
    <w:rsid w:val="00694AD0"/>
    <w:rsid w:val="00694BAB"/>
    <w:rsid w:val="00694BD6"/>
    <w:rsid w:val="00694BDC"/>
    <w:rsid w:val="00694C16"/>
    <w:rsid w:val="00694C53"/>
    <w:rsid w:val="00694C84"/>
    <w:rsid w:val="00694C9A"/>
    <w:rsid w:val="00694CA5"/>
    <w:rsid w:val="00694CDE"/>
    <w:rsid w:val="00694D7A"/>
    <w:rsid w:val="00694DB3"/>
    <w:rsid w:val="00694E70"/>
    <w:rsid w:val="00694E98"/>
    <w:rsid w:val="00694EA5"/>
    <w:rsid w:val="00694EA8"/>
    <w:rsid w:val="00694F12"/>
    <w:rsid w:val="00694F67"/>
    <w:rsid w:val="0069507F"/>
    <w:rsid w:val="00695090"/>
    <w:rsid w:val="00695091"/>
    <w:rsid w:val="006950C6"/>
    <w:rsid w:val="006950EA"/>
    <w:rsid w:val="0069517A"/>
    <w:rsid w:val="00695197"/>
    <w:rsid w:val="006951B9"/>
    <w:rsid w:val="006951DC"/>
    <w:rsid w:val="00695269"/>
    <w:rsid w:val="0069528E"/>
    <w:rsid w:val="00695292"/>
    <w:rsid w:val="006952FA"/>
    <w:rsid w:val="00695323"/>
    <w:rsid w:val="00695329"/>
    <w:rsid w:val="00695369"/>
    <w:rsid w:val="0069538F"/>
    <w:rsid w:val="006953A7"/>
    <w:rsid w:val="006953EC"/>
    <w:rsid w:val="00695404"/>
    <w:rsid w:val="0069543A"/>
    <w:rsid w:val="006954D1"/>
    <w:rsid w:val="006954F1"/>
    <w:rsid w:val="0069554F"/>
    <w:rsid w:val="0069558D"/>
    <w:rsid w:val="00695598"/>
    <w:rsid w:val="006955C3"/>
    <w:rsid w:val="0069562E"/>
    <w:rsid w:val="00695656"/>
    <w:rsid w:val="0069566A"/>
    <w:rsid w:val="006956B4"/>
    <w:rsid w:val="00695752"/>
    <w:rsid w:val="00695783"/>
    <w:rsid w:val="006957A7"/>
    <w:rsid w:val="006957EF"/>
    <w:rsid w:val="0069585A"/>
    <w:rsid w:val="0069587B"/>
    <w:rsid w:val="0069589B"/>
    <w:rsid w:val="0069589D"/>
    <w:rsid w:val="006958A5"/>
    <w:rsid w:val="006958AD"/>
    <w:rsid w:val="006958BC"/>
    <w:rsid w:val="006958F8"/>
    <w:rsid w:val="00695900"/>
    <w:rsid w:val="00695913"/>
    <w:rsid w:val="006959CC"/>
    <w:rsid w:val="00695A02"/>
    <w:rsid w:val="00695A0A"/>
    <w:rsid w:val="00695B0C"/>
    <w:rsid w:val="00695B62"/>
    <w:rsid w:val="00695B97"/>
    <w:rsid w:val="00695BB7"/>
    <w:rsid w:val="00695CA2"/>
    <w:rsid w:val="00695CAD"/>
    <w:rsid w:val="00695D49"/>
    <w:rsid w:val="00695D94"/>
    <w:rsid w:val="00695DC2"/>
    <w:rsid w:val="00695E1E"/>
    <w:rsid w:val="00695E21"/>
    <w:rsid w:val="00695E58"/>
    <w:rsid w:val="00695EDD"/>
    <w:rsid w:val="00695F18"/>
    <w:rsid w:val="00695F3C"/>
    <w:rsid w:val="00695F64"/>
    <w:rsid w:val="00695F86"/>
    <w:rsid w:val="00695FC0"/>
    <w:rsid w:val="00695FD9"/>
    <w:rsid w:val="0069605A"/>
    <w:rsid w:val="006960BB"/>
    <w:rsid w:val="006960C4"/>
    <w:rsid w:val="006960EF"/>
    <w:rsid w:val="00696126"/>
    <w:rsid w:val="0069615F"/>
    <w:rsid w:val="006961F3"/>
    <w:rsid w:val="0069623C"/>
    <w:rsid w:val="006962D7"/>
    <w:rsid w:val="00696387"/>
    <w:rsid w:val="00696405"/>
    <w:rsid w:val="00696433"/>
    <w:rsid w:val="00696521"/>
    <w:rsid w:val="0069652B"/>
    <w:rsid w:val="00696532"/>
    <w:rsid w:val="00696534"/>
    <w:rsid w:val="00696568"/>
    <w:rsid w:val="0069657E"/>
    <w:rsid w:val="00696594"/>
    <w:rsid w:val="006965A1"/>
    <w:rsid w:val="00696611"/>
    <w:rsid w:val="0069661A"/>
    <w:rsid w:val="006966EF"/>
    <w:rsid w:val="00696713"/>
    <w:rsid w:val="0069672A"/>
    <w:rsid w:val="00696755"/>
    <w:rsid w:val="00696763"/>
    <w:rsid w:val="00696765"/>
    <w:rsid w:val="006967B5"/>
    <w:rsid w:val="00696805"/>
    <w:rsid w:val="00696866"/>
    <w:rsid w:val="00696880"/>
    <w:rsid w:val="00696886"/>
    <w:rsid w:val="006968A8"/>
    <w:rsid w:val="006968DE"/>
    <w:rsid w:val="00696909"/>
    <w:rsid w:val="00696914"/>
    <w:rsid w:val="00696922"/>
    <w:rsid w:val="00696955"/>
    <w:rsid w:val="00696980"/>
    <w:rsid w:val="006969C6"/>
    <w:rsid w:val="006969EF"/>
    <w:rsid w:val="00696A5F"/>
    <w:rsid w:val="00696B17"/>
    <w:rsid w:val="00696B20"/>
    <w:rsid w:val="00696BBD"/>
    <w:rsid w:val="00696BD1"/>
    <w:rsid w:val="00696BE2"/>
    <w:rsid w:val="00696C45"/>
    <w:rsid w:val="00696CD5"/>
    <w:rsid w:val="00696CE9"/>
    <w:rsid w:val="00696CF5"/>
    <w:rsid w:val="00696D14"/>
    <w:rsid w:val="00696D32"/>
    <w:rsid w:val="00696DC6"/>
    <w:rsid w:val="00696DDC"/>
    <w:rsid w:val="00696E21"/>
    <w:rsid w:val="00696ED4"/>
    <w:rsid w:val="00696F36"/>
    <w:rsid w:val="00696F39"/>
    <w:rsid w:val="00696F4D"/>
    <w:rsid w:val="00696F54"/>
    <w:rsid w:val="00696FBE"/>
    <w:rsid w:val="00696FCB"/>
    <w:rsid w:val="00696FFD"/>
    <w:rsid w:val="0069705D"/>
    <w:rsid w:val="0069709C"/>
    <w:rsid w:val="0069709D"/>
    <w:rsid w:val="006970C5"/>
    <w:rsid w:val="00697109"/>
    <w:rsid w:val="0069710F"/>
    <w:rsid w:val="00697130"/>
    <w:rsid w:val="00697136"/>
    <w:rsid w:val="00697151"/>
    <w:rsid w:val="00697168"/>
    <w:rsid w:val="00697197"/>
    <w:rsid w:val="0069719C"/>
    <w:rsid w:val="006971AF"/>
    <w:rsid w:val="00697230"/>
    <w:rsid w:val="0069724D"/>
    <w:rsid w:val="0069725C"/>
    <w:rsid w:val="0069729F"/>
    <w:rsid w:val="006972A7"/>
    <w:rsid w:val="006972CC"/>
    <w:rsid w:val="00697331"/>
    <w:rsid w:val="00697360"/>
    <w:rsid w:val="0069736F"/>
    <w:rsid w:val="0069741D"/>
    <w:rsid w:val="0069744E"/>
    <w:rsid w:val="00697467"/>
    <w:rsid w:val="006974A9"/>
    <w:rsid w:val="006974E6"/>
    <w:rsid w:val="00697532"/>
    <w:rsid w:val="00697533"/>
    <w:rsid w:val="00697561"/>
    <w:rsid w:val="006975B6"/>
    <w:rsid w:val="006975D0"/>
    <w:rsid w:val="006975DF"/>
    <w:rsid w:val="00697649"/>
    <w:rsid w:val="0069766F"/>
    <w:rsid w:val="0069767C"/>
    <w:rsid w:val="006976A5"/>
    <w:rsid w:val="006976DD"/>
    <w:rsid w:val="0069775B"/>
    <w:rsid w:val="00697797"/>
    <w:rsid w:val="006977D3"/>
    <w:rsid w:val="006977DC"/>
    <w:rsid w:val="006977DD"/>
    <w:rsid w:val="006977FD"/>
    <w:rsid w:val="00697805"/>
    <w:rsid w:val="0069783D"/>
    <w:rsid w:val="00697865"/>
    <w:rsid w:val="006978B3"/>
    <w:rsid w:val="006978C2"/>
    <w:rsid w:val="006978C9"/>
    <w:rsid w:val="006978CC"/>
    <w:rsid w:val="00697982"/>
    <w:rsid w:val="006979D1"/>
    <w:rsid w:val="00697A15"/>
    <w:rsid w:val="00697A59"/>
    <w:rsid w:val="00697A93"/>
    <w:rsid w:val="00697AD3"/>
    <w:rsid w:val="00697B4C"/>
    <w:rsid w:val="00697B83"/>
    <w:rsid w:val="00697B8C"/>
    <w:rsid w:val="00697B8D"/>
    <w:rsid w:val="00697BDF"/>
    <w:rsid w:val="00697C20"/>
    <w:rsid w:val="00697C27"/>
    <w:rsid w:val="00697C7E"/>
    <w:rsid w:val="00697C8D"/>
    <w:rsid w:val="00697C98"/>
    <w:rsid w:val="00697CB0"/>
    <w:rsid w:val="00697CE4"/>
    <w:rsid w:val="00697D1F"/>
    <w:rsid w:val="00697D2F"/>
    <w:rsid w:val="00697DCF"/>
    <w:rsid w:val="00697E29"/>
    <w:rsid w:val="00697EB0"/>
    <w:rsid w:val="00697F0F"/>
    <w:rsid w:val="00697F27"/>
    <w:rsid w:val="00697F6C"/>
    <w:rsid w:val="00697FB8"/>
    <w:rsid w:val="006A0065"/>
    <w:rsid w:val="006A0070"/>
    <w:rsid w:val="006A008E"/>
    <w:rsid w:val="006A0092"/>
    <w:rsid w:val="006A00DE"/>
    <w:rsid w:val="006A017C"/>
    <w:rsid w:val="006A0186"/>
    <w:rsid w:val="006A01EE"/>
    <w:rsid w:val="006A0204"/>
    <w:rsid w:val="006A0216"/>
    <w:rsid w:val="006A022D"/>
    <w:rsid w:val="006A0230"/>
    <w:rsid w:val="006A0252"/>
    <w:rsid w:val="006A027A"/>
    <w:rsid w:val="006A028C"/>
    <w:rsid w:val="006A0302"/>
    <w:rsid w:val="006A0349"/>
    <w:rsid w:val="006A036C"/>
    <w:rsid w:val="006A037B"/>
    <w:rsid w:val="006A0392"/>
    <w:rsid w:val="006A0406"/>
    <w:rsid w:val="006A0478"/>
    <w:rsid w:val="006A04C1"/>
    <w:rsid w:val="006A04DD"/>
    <w:rsid w:val="006A0507"/>
    <w:rsid w:val="006A0512"/>
    <w:rsid w:val="006A0522"/>
    <w:rsid w:val="006A0529"/>
    <w:rsid w:val="006A0547"/>
    <w:rsid w:val="006A05A2"/>
    <w:rsid w:val="006A05F9"/>
    <w:rsid w:val="006A0609"/>
    <w:rsid w:val="006A061E"/>
    <w:rsid w:val="006A0623"/>
    <w:rsid w:val="006A0630"/>
    <w:rsid w:val="006A0640"/>
    <w:rsid w:val="006A0645"/>
    <w:rsid w:val="006A067E"/>
    <w:rsid w:val="006A0688"/>
    <w:rsid w:val="006A06A3"/>
    <w:rsid w:val="006A06C8"/>
    <w:rsid w:val="006A06CD"/>
    <w:rsid w:val="006A06DC"/>
    <w:rsid w:val="006A06E6"/>
    <w:rsid w:val="006A06F8"/>
    <w:rsid w:val="006A0730"/>
    <w:rsid w:val="006A0731"/>
    <w:rsid w:val="006A0732"/>
    <w:rsid w:val="006A0749"/>
    <w:rsid w:val="006A0786"/>
    <w:rsid w:val="006A07A8"/>
    <w:rsid w:val="006A07BA"/>
    <w:rsid w:val="006A086D"/>
    <w:rsid w:val="006A0899"/>
    <w:rsid w:val="006A091B"/>
    <w:rsid w:val="006A094C"/>
    <w:rsid w:val="006A098D"/>
    <w:rsid w:val="006A09B5"/>
    <w:rsid w:val="006A09FA"/>
    <w:rsid w:val="006A0A27"/>
    <w:rsid w:val="006A0A57"/>
    <w:rsid w:val="006A0AAC"/>
    <w:rsid w:val="006A0B0E"/>
    <w:rsid w:val="006A0B66"/>
    <w:rsid w:val="006A0B9E"/>
    <w:rsid w:val="006A0BA6"/>
    <w:rsid w:val="006A0BC3"/>
    <w:rsid w:val="006A0BDA"/>
    <w:rsid w:val="006A0C88"/>
    <w:rsid w:val="006A0C8A"/>
    <w:rsid w:val="006A0CA9"/>
    <w:rsid w:val="006A0CAA"/>
    <w:rsid w:val="006A0CC5"/>
    <w:rsid w:val="006A0CC8"/>
    <w:rsid w:val="006A0DBE"/>
    <w:rsid w:val="006A0DE9"/>
    <w:rsid w:val="006A0DEC"/>
    <w:rsid w:val="006A0EAD"/>
    <w:rsid w:val="006A0EBC"/>
    <w:rsid w:val="006A0EFD"/>
    <w:rsid w:val="006A0F17"/>
    <w:rsid w:val="006A0F62"/>
    <w:rsid w:val="006A0F98"/>
    <w:rsid w:val="006A0FD4"/>
    <w:rsid w:val="006A1006"/>
    <w:rsid w:val="006A103A"/>
    <w:rsid w:val="006A103C"/>
    <w:rsid w:val="006A105B"/>
    <w:rsid w:val="006A10C6"/>
    <w:rsid w:val="006A1120"/>
    <w:rsid w:val="006A116E"/>
    <w:rsid w:val="006A117C"/>
    <w:rsid w:val="006A1182"/>
    <w:rsid w:val="006A11E4"/>
    <w:rsid w:val="006A11E6"/>
    <w:rsid w:val="006A1231"/>
    <w:rsid w:val="006A1251"/>
    <w:rsid w:val="006A127C"/>
    <w:rsid w:val="006A1297"/>
    <w:rsid w:val="006A12ED"/>
    <w:rsid w:val="006A12F2"/>
    <w:rsid w:val="006A1346"/>
    <w:rsid w:val="006A1371"/>
    <w:rsid w:val="006A137E"/>
    <w:rsid w:val="006A1381"/>
    <w:rsid w:val="006A13E5"/>
    <w:rsid w:val="006A13FD"/>
    <w:rsid w:val="006A13FF"/>
    <w:rsid w:val="006A140D"/>
    <w:rsid w:val="006A1471"/>
    <w:rsid w:val="006A147F"/>
    <w:rsid w:val="006A1520"/>
    <w:rsid w:val="006A1576"/>
    <w:rsid w:val="006A157F"/>
    <w:rsid w:val="006A1633"/>
    <w:rsid w:val="006A1693"/>
    <w:rsid w:val="006A16B4"/>
    <w:rsid w:val="006A177F"/>
    <w:rsid w:val="006A1859"/>
    <w:rsid w:val="006A1860"/>
    <w:rsid w:val="006A1886"/>
    <w:rsid w:val="006A18C6"/>
    <w:rsid w:val="006A18FA"/>
    <w:rsid w:val="006A1905"/>
    <w:rsid w:val="006A191C"/>
    <w:rsid w:val="006A1934"/>
    <w:rsid w:val="006A19E1"/>
    <w:rsid w:val="006A19EF"/>
    <w:rsid w:val="006A1A03"/>
    <w:rsid w:val="006A1A04"/>
    <w:rsid w:val="006A1A49"/>
    <w:rsid w:val="006A1A86"/>
    <w:rsid w:val="006A1A8D"/>
    <w:rsid w:val="006A1B63"/>
    <w:rsid w:val="006A1BC9"/>
    <w:rsid w:val="006A1C3B"/>
    <w:rsid w:val="006A1C79"/>
    <w:rsid w:val="006A1C86"/>
    <w:rsid w:val="006A1CCF"/>
    <w:rsid w:val="006A1CD2"/>
    <w:rsid w:val="006A1CED"/>
    <w:rsid w:val="006A1D19"/>
    <w:rsid w:val="006A1D41"/>
    <w:rsid w:val="006A1DC9"/>
    <w:rsid w:val="006A1DFF"/>
    <w:rsid w:val="006A1E4B"/>
    <w:rsid w:val="006A1E5A"/>
    <w:rsid w:val="006A1E71"/>
    <w:rsid w:val="006A1E90"/>
    <w:rsid w:val="006A1ECF"/>
    <w:rsid w:val="006A1F36"/>
    <w:rsid w:val="006A1F59"/>
    <w:rsid w:val="006A1F60"/>
    <w:rsid w:val="006A203F"/>
    <w:rsid w:val="006A2086"/>
    <w:rsid w:val="006A210C"/>
    <w:rsid w:val="006A2133"/>
    <w:rsid w:val="006A2188"/>
    <w:rsid w:val="006A218C"/>
    <w:rsid w:val="006A21C8"/>
    <w:rsid w:val="006A21E5"/>
    <w:rsid w:val="006A220D"/>
    <w:rsid w:val="006A2217"/>
    <w:rsid w:val="006A225F"/>
    <w:rsid w:val="006A227D"/>
    <w:rsid w:val="006A22E1"/>
    <w:rsid w:val="006A235E"/>
    <w:rsid w:val="006A2366"/>
    <w:rsid w:val="006A2380"/>
    <w:rsid w:val="006A2420"/>
    <w:rsid w:val="006A2428"/>
    <w:rsid w:val="006A24C6"/>
    <w:rsid w:val="006A257D"/>
    <w:rsid w:val="006A259E"/>
    <w:rsid w:val="006A2633"/>
    <w:rsid w:val="006A270D"/>
    <w:rsid w:val="006A276F"/>
    <w:rsid w:val="006A2811"/>
    <w:rsid w:val="006A2850"/>
    <w:rsid w:val="006A28FD"/>
    <w:rsid w:val="006A298F"/>
    <w:rsid w:val="006A29B2"/>
    <w:rsid w:val="006A29FE"/>
    <w:rsid w:val="006A2A3A"/>
    <w:rsid w:val="006A2A88"/>
    <w:rsid w:val="006A2AFF"/>
    <w:rsid w:val="006A2B40"/>
    <w:rsid w:val="006A2B53"/>
    <w:rsid w:val="006A2B7D"/>
    <w:rsid w:val="006A2BAF"/>
    <w:rsid w:val="006A2BD8"/>
    <w:rsid w:val="006A2C22"/>
    <w:rsid w:val="006A2C75"/>
    <w:rsid w:val="006A2C81"/>
    <w:rsid w:val="006A2C95"/>
    <w:rsid w:val="006A2CD2"/>
    <w:rsid w:val="006A2CDC"/>
    <w:rsid w:val="006A2CF3"/>
    <w:rsid w:val="006A2D36"/>
    <w:rsid w:val="006A2D4B"/>
    <w:rsid w:val="006A2D6B"/>
    <w:rsid w:val="006A2DD7"/>
    <w:rsid w:val="006A2E55"/>
    <w:rsid w:val="006A2E94"/>
    <w:rsid w:val="006A2EA0"/>
    <w:rsid w:val="006A2EB5"/>
    <w:rsid w:val="006A2EB8"/>
    <w:rsid w:val="006A2EE0"/>
    <w:rsid w:val="006A2F65"/>
    <w:rsid w:val="006A300F"/>
    <w:rsid w:val="006A301C"/>
    <w:rsid w:val="006A3027"/>
    <w:rsid w:val="006A3076"/>
    <w:rsid w:val="006A307E"/>
    <w:rsid w:val="006A3095"/>
    <w:rsid w:val="006A30B9"/>
    <w:rsid w:val="006A30CE"/>
    <w:rsid w:val="006A317C"/>
    <w:rsid w:val="006A319A"/>
    <w:rsid w:val="006A3243"/>
    <w:rsid w:val="006A3316"/>
    <w:rsid w:val="006A332F"/>
    <w:rsid w:val="006A3345"/>
    <w:rsid w:val="006A337D"/>
    <w:rsid w:val="006A33C4"/>
    <w:rsid w:val="006A3421"/>
    <w:rsid w:val="006A3457"/>
    <w:rsid w:val="006A3458"/>
    <w:rsid w:val="006A34CE"/>
    <w:rsid w:val="006A34DA"/>
    <w:rsid w:val="006A34DC"/>
    <w:rsid w:val="006A34EF"/>
    <w:rsid w:val="006A3556"/>
    <w:rsid w:val="006A3591"/>
    <w:rsid w:val="006A359D"/>
    <w:rsid w:val="006A3730"/>
    <w:rsid w:val="006A382E"/>
    <w:rsid w:val="006A3870"/>
    <w:rsid w:val="006A3A1C"/>
    <w:rsid w:val="006A3AC4"/>
    <w:rsid w:val="006A3AC8"/>
    <w:rsid w:val="006A3ACD"/>
    <w:rsid w:val="006A3AF4"/>
    <w:rsid w:val="006A3B6D"/>
    <w:rsid w:val="006A3B7E"/>
    <w:rsid w:val="006A3B91"/>
    <w:rsid w:val="006A3B95"/>
    <w:rsid w:val="006A3C12"/>
    <w:rsid w:val="006A3C60"/>
    <w:rsid w:val="006A3C7F"/>
    <w:rsid w:val="006A3CD2"/>
    <w:rsid w:val="006A3CF6"/>
    <w:rsid w:val="006A3D06"/>
    <w:rsid w:val="006A3D0A"/>
    <w:rsid w:val="006A3D76"/>
    <w:rsid w:val="006A3D7B"/>
    <w:rsid w:val="006A3DF5"/>
    <w:rsid w:val="006A3E01"/>
    <w:rsid w:val="006A3E15"/>
    <w:rsid w:val="006A3E2D"/>
    <w:rsid w:val="006A3E9D"/>
    <w:rsid w:val="006A3ED8"/>
    <w:rsid w:val="006A3F30"/>
    <w:rsid w:val="006A3FE7"/>
    <w:rsid w:val="006A4022"/>
    <w:rsid w:val="006A40BF"/>
    <w:rsid w:val="006A40D2"/>
    <w:rsid w:val="006A40D8"/>
    <w:rsid w:val="006A411C"/>
    <w:rsid w:val="006A415E"/>
    <w:rsid w:val="006A418D"/>
    <w:rsid w:val="006A41DD"/>
    <w:rsid w:val="006A41E6"/>
    <w:rsid w:val="006A424B"/>
    <w:rsid w:val="006A428A"/>
    <w:rsid w:val="006A42BD"/>
    <w:rsid w:val="006A42BE"/>
    <w:rsid w:val="006A4328"/>
    <w:rsid w:val="006A435C"/>
    <w:rsid w:val="006A4361"/>
    <w:rsid w:val="006A4395"/>
    <w:rsid w:val="006A43AE"/>
    <w:rsid w:val="006A43C8"/>
    <w:rsid w:val="006A4411"/>
    <w:rsid w:val="006A44EE"/>
    <w:rsid w:val="006A44F2"/>
    <w:rsid w:val="006A4507"/>
    <w:rsid w:val="006A45BC"/>
    <w:rsid w:val="006A45D0"/>
    <w:rsid w:val="006A467A"/>
    <w:rsid w:val="006A46C0"/>
    <w:rsid w:val="006A471D"/>
    <w:rsid w:val="006A4786"/>
    <w:rsid w:val="006A478E"/>
    <w:rsid w:val="006A47EE"/>
    <w:rsid w:val="006A47F5"/>
    <w:rsid w:val="006A4888"/>
    <w:rsid w:val="006A488D"/>
    <w:rsid w:val="006A48F1"/>
    <w:rsid w:val="006A497B"/>
    <w:rsid w:val="006A499B"/>
    <w:rsid w:val="006A49C6"/>
    <w:rsid w:val="006A4A40"/>
    <w:rsid w:val="006A4AB7"/>
    <w:rsid w:val="006A4AF8"/>
    <w:rsid w:val="006A4B1C"/>
    <w:rsid w:val="006A4B37"/>
    <w:rsid w:val="006A4B4F"/>
    <w:rsid w:val="006A4B81"/>
    <w:rsid w:val="006A4BA2"/>
    <w:rsid w:val="006A4C51"/>
    <w:rsid w:val="006A4C96"/>
    <w:rsid w:val="006A4CA2"/>
    <w:rsid w:val="006A4CE6"/>
    <w:rsid w:val="006A4CEE"/>
    <w:rsid w:val="006A4D2B"/>
    <w:rsid w:val="006A4D3C"/>
    <w:rsid w:val="006A4D54"/>
    <w:rsid w:val="006A4D5A"/>
    <w:rsid w:val="006A4D78"/>
    <w:rsid w:val="006A4D7C"/>
    <w:rsid w:val="006A4D8E"/>
    <w:rsid w:val="006A4D9D"/>
    <w:rsid w:val="006A4DC3"/>
    <w:rsid w:val="006A4DF5"/>
    <w:rsid w:val="006A4E40"/>
    <w:rsid w:val="006A4E8D"/>
    <w:rsid w:val="006A4E94"/>
    <w:rsid w:val="006A4ED4"/>
    <w:rsid w:val="006A4EDF"/>
    <w:rsid w:val="006A4EE5"/>
    <w:rsid w:val="006A4F3D"/>
    <w:rsid w:val="006A4F5F"/>
    <w:rsid w:val="006A4F94"/>
    <w:rsid w:val="006A4FDE"/>
    <w:rsid w:val="006A4FFA"/>
    <w:rsid w:val="006A5007"/>
    <w:rsid w:val="006A503E"/>
    <w:rsid w:val="006A504E"/>
    <w:rsid w:val="006A50D0"/>
    <w:rsid w:val="006A5102"/>
    <w:rsid w:val="006A5107"/>
    <w:rsid w:val="006A5165"/>
    <w:rsid w:val="006A51A7"/>
    <w:rsid w:val="006A51D5"/>
    <w:rsid w:val="006A52AF"/>
    <w:rsid w:val="006A52EE"/>
    <w:rsid w:val="006A5306"/>
    <w:rsid w:val="006A5322"/>
    <w:rsid w:val="006A5401"/>
    <w:rsid w:val="006A5409"/>
    <w:rsid w:val="006A544F"/>
    <w:rsid w:val="006A5451"/>
    <w:rsid w:val="006A547E"/>
    <w:rsid w:val="006A54F2"/>
    <w:rsid w:val="006A55B1"/>
    <w:rsid w:val="006A55F8"/>
    <w:rsid w:val="006A560A"/>
    <w:rsid w:val="006A5623"/>
    <w:rsid w:val="006A563A"/>
    <w:rsid w:val="006A564D"/>
    <w:rsid w:val="006A573B"/>
    <w:rsid w:val="006A5747"/>
    <w:rsid w:val="006A5786"/>
    <w:rsid w:val="006A57B4"/>
    <w:rsid w:val="006A581A"/>
    <w:rsid w:val="006A581C"/>
    <w:rsid w:val="006A5857"/>
    <w:rsid w:val="006A5880"/>
    <w:rsid w:val="006A58A9"/>
    <w:rsid w:val="006A58B5"/>
    <w:rsid w:val="006A58B6"/>
    <w:rsid w:val="006A58C9"/>
    <w:rsid w:val="006A58FD"/>
    <w:rsid w:val="006A592A"/>
    <w:rsid w:val="006A59B5"/>
    <w:rsid w:val="006A5A0D"/>
    <w:rsid w:val="006A5A35"/>
    <w:rsid w:val="006A5A99"/>
    <w:rsid w:val="006A5AA3"/>
    <w:rsid w:val="006A5AC1"/>
    <w:rsid w:val="006A5ADF"/>
    <w:rsid w:val="006A5B0E"/>
    <w:rsid w:val="006A5B1E"/>
    <w:rsid w:val="006A5B40"/>
    <w:rsid w:val="006A5B45"/>
    <w:rsid w:val="006A5B4D"/>
    <w:rsid w:val="006A5B7F"/>
    <w:rsid w:val="006A5BD5"/>
    <w:rsid w:val="006A5BDB"/>
    <w:rsid w:val="006A5BEE"/>
    <w:rsid w:val="006A5BFD"/>
    <w:rsid w:val="006A5C07"/>
    <w:rsid w:val="006A5C27"/>
    <w:rsid w:val="006A5C69"/>
    <w:rsid w:val="006A5C93"/>
    <w:rsid w:val="006A5CBE"/>
    <w:rsid w:val="006A5CDB"/>
    <w:rsid w:val="006A5D15"/>
    <w:rsid w:val="006A5DA0"/>
    <w:rsid w:val="006A5DAF"/>
    <w:rsid w:val="006A5DEE"/>
    <w:rsid w:val="006A5E63"/>
    <w:rsid w:val="006A5E72"/>
    <w:rsid w:val="006A5F35"/>
    <w:rsid w:val="006A5F87"/>
    <w:rsid w:val="006A5FA3"/>
    <w:rsid w:val="006A5FA5"/>
    <w:rsid w:val="006A5FFC"/>
    <w:rsid w:val="006A6022"/>
    <w:rsid w:val="006A6073"/>
    <w:rsid w:val="006A607B"/>
    <w:rsid w:val="006A609A"/>
    <w:rsid w:val="006A60E2"/>
    <w:rsid w:val="006A6126"/>
    <w:rsid w:val="006A615B"/>
    <w:rsid w:val="006A616C"/>
    <w:rsid w:val="006A61E4"/>
    <w:rsid w:val="006A620C"/>
    <w:rsid w:val="006A621A"/>
    <w:rsid w:val="006A62F7"/>
    <w:rsid w:val="006A6314"/>
    <w:rsid w:val="006A6335"/>
    <w:rsid w:val="006A635F"/>
    <w:rsid w:val="006A63A5"/>
    <w:rsid w:val="006A63BA"/>
    <w:rsid w:val="006A6407"/>
    <w:rsid w:val="006A640E"/>
    <w:rsid w:val="006A6488"/>
    <w:rsid w:val="006A64D2"/>
    <w:rsid w:val="006A654B"/>
    <w:rsid w:val="006A6576"/>
    <w:rsid w:val="006A657A"/>
    <w:rsid w:val="006A65CC"/>
    <w:rsid w:val="006A65F9"/>
    <w:rsid w:val="006A661B"/>
    <w:rsid w:val="006A6627"/>
    <w:rsid w:val="006A6667"/>
    <w:rsid w:val="006A6690"/>
    <w:rsid w:val="006A6748"/>
    <w:rsid w:val="006A685E"/>
    <w:rsid w:val="006A6888"/>
    <w:rsid w:val="006A68AC"/>
    <w:rsid w:val="006A68B1"/>
    <w:rsid w:val="006A6924"/>
    <w:rsid w:val="006A69BB"/>
    <w:rsid w:val="006A69D1"/>
    <w:rsid w:val="006A6A79"/>
    <w:rsid w:val="006A6B91"/>
    <w:rsid w:val="006A6B99"/>
    <w:rsid w:val="006A6C16"/>
    <w:rsid w:val="006A6C36"/>
    <w:rsid w:val="006A6CA6"/>
    <w:rsid w:val="006A6CBB"/>
    <w:rsid w:val="006A6D12"/>
    <w:rsid w:val="006A6D15"/>
    <w:rsid w:val="006A6D2E"/>
    <w:rsid w:val="006A6D36"/>
    <w:rsid w:val="006A6D7D"/>
    <w:rsid w:val="006A6D8C"/>
    <w:rsid w:val="006A6DA1"/>
    <w:rsid w:val="006A6DAC"/>
    <w:rsid w:val="006A6E2A"/>
    <w:rsid w:val="006A6E3C"/>
    <w:rsid w:val="006A6E5A"/>
    <w:rsid w:val="006A6E5E"/>
    <w:rsid w:val="006A6E93"/>
    <w:rsid w:val="006A6EEB"/>
    <w:rsid w:val="006A6F3D"/>
    <w:rsid w:val="006A6F96"/>
    <w:rsid w:val="006A6F9A"/>
    <w:rsid w:val="006A6FA0"/>
    <w:rsid w:val="006A6FAC"/>
    <w:rsid w:val="006A7065"/>
    <w:rsid w:val="006A70A2"/>
    <w:rsid w:val="006A7115"/>
    <w:rsid w:val="006A7158"/>
    <w:rsid w:val="006A718C"/>
    <w:rsid w:val="006A719D"/>
    <w:rsid w:val="006A71B0"/>
    <w:rsid w:val="006A71BB"/>
    <w:rsid w:val="006A71C6"/>
    <w:rsid w:val="006A71DD"/>
    <w:rsid w:val="006A71DE"/>
    <w:rsid w:val="006A723D"/>
    <w:rsid w:val="006A728C"/>
    <w:rsid w:val="006A72ED"/>
    <w:rsid w:val="006A72FB"/>
    <w:rsid w:val="006A7300"/>
    <w:rsid w:val="006A73D4"/>
    <w:rsid w:val="006A7407"/>
    <w:rsid w:val="006A74B7"/>
    <w:rsid w:val="006A74CF"/>
    <w:rsid w:val="006A74E2"/>
    <w:rsid w:val="006A74E4"/>
    <w:rsid w:val="006A74EF"/>
    <w:rsid w:val="006A75F1"/>
    <w:rsid w:val="006A7618"/>
    <w:rsid w:val="006A7659"/>
    <w:rsid w:val="006A7731"/>
    <w:rsid w:val="006A773E"/>
    <w:rsid w:val="006A773F"/>
    <w:rsid w:val="006A7778"/>
    <w:rsid w:val="006A77E3"/>
    <w:rsid w:val="006A7802"/>
    <w:rsid w:val="006A7830"/>
    <w:rsid w:val="006A7845"/>
    <w:rsid w:val="006A7880"/>
    <w:rsid w:val="006A78FF"/>
    <w:rsid w:val="006A793D"/>
    <w:rsid w:val="006A79A6"/>
    <w:rsid w:val="006A79DF"/>
    <w:rsid w:val="006A79EE"/>
    <w:rsid w:val="006A79FF"/>
    <w:rsid w:val="006A7B0E"/>
    <w:rsid w:val="006A7B9D"/>
    <w:rsid w:val="006A7BC2"/>
    <w:rsid w:val="006A7BD1"/>
    <w:rsid w:val="006A7BD8"/>
    <w:rsid w:val="006A7C24"/>
    <w:rsid w:val="006A7C58"/>
    <w:rsid w:val="006A7C67"/>
    <w:rsid w:val="006A7CA1"/>
    <w:rsid w:val="006A7CDB"/>
    <w:rsid w:val="006A7CFC"/>
    <w:rsid w:val="006A7CFF"/>
    <w:rsid w:val="006A7D01"/>
    <w:rsid w:val="006A7D10"/>
    <w:rsid w:val="006A7D8A"/>
    <w:rsid w:val="006A7DA6"/>
    <w:rsid w:val="006A7DB5"/>
    <w:rsid w:val="006A7DBA"/>
    <w:rsid w:val="006A7DFF"/>
    <w:rsid w:val="006A7E42"/>
    <w:rsid w:val="006A7E4B"/>
    <w:rsid w:val="006A7E87"/>
    <w:rsid w:val="006A7EA5"/>
    <w:rsid w:val="006A7ECA"/>
    <w:rsid w:val="006A7F10"/>
    <w:rsid w:val="006A7F25"/>
    <w:rsid w:val="006A7F37"/>
    <w:rsid w:val="006A7F7D"/>
    <w:rsid w:val="006A7F90"/>
    <w:rsid w:val="006A7FFD"/>
    <w:rsid w:val="006B004C"/>
    <w:rsid w:val="006B0051"/>
    <w:rsid w:val="006B00AD"/>
    <w:rsid w:val="006B0122"/>
    <w:rsid w:val="006B0126"/>
    <w:rsid w:val="006B015E"/>
    <w:rsid w:val="006B01F9"/>
    <w:rsid w:val="006B021B"/>
    <w:rsid w:val="006B024D"/>
    <w:rsid w:val="006B026E"/>
    <w:rsid w:val="006B026F"/>
    <w:rsid w:val="006B02AA"/>
    <w:rsid w:val="006B0350"/>
    <w:rsid w:val="006B035A"/>
    <w:rsid w:val="006B036C"/>
    <w:rsid w:val="006B03A3"/>
    <w:rsid w:val="006B03A9"/>
    <w:rsid w:val="006B03DA"/>
    <w:rsid w:val="006B0429"/>
    <w:rsid w:val="006B044C"/>
    <w:rsid w:val="006B048C"/>
    <w:rsid w:val="006B04A2"/>
    <w:rsid w:val="006B04A6"/>
    <w:rsid w:val="006B04B7"/>
    <w:rsid w:val="006B04C3"/>
    <w:rsid w:val="006B04C4"/>
    <w:rsid w:val="006B04DA"/>
    <w:rsid w:val="006B0538"/>
    <w:rsid w:val="006B05EC"/>
    <w:rsid w:val="006B05F9"/>
    <w:rsid w:val="006B0670"/>
    <w:rsid w:val="006B067C"/>
    <w:rsid w:val="006B06CB"/>
    <w:rsid w:val="006B06DF"/>
    <w:rsid w:val="006B0713"/>
    <w:rsid w:val="006B071E"/>
    <w:rsid w:val="006B077B"/>
    <w:rsid w:val="006B07D7"/>
    <w:rsid w:val="006B087C"/>
    <w:rsid w:val="006B0895"/>
    <w:rsid w:val="006B08B8"/>
    <w:rsid w:val="006B08EE"/>
    <w:rsid w:val="006B0904"/>
    <w:rsid w:val="006B0977"/>
    <w:rsid w:val="006B09B5"/>
    <w:rsid w:val="006B09D9"/>
    <w:rsid w:val="006B0A0C"/>
    <w:rsid w:val="006B0A1B"/>
    <w:rsid w:val="006B0A22"/>
    <w:rsid w:val="006B0A70"/>
    <w:rsid w:val="006B0A9F"/>
    <w:rsid w:val="006B0AAD"/>
    <w:rsid w:val="006B0AC2"/>
    <w:rsid w:val="006B0B23"/>
    <w:rsid w:val="006B0B57"/>
    <w:rsid w:val="006B0B86"/>
    <w:rsid w:val="006B0B9A"/>
    <w:rsid w:val="006B0BA5"/>
    <w:rsid w:val="006B0BBF"/>
    <w:rsid w:val="006B0BEF"/>
    <w:rsid w:val="006B0CA8"/>
    <w:rsid w:val="006B0CCD"/>
    <w:rsid w:val="006B0CE8"/>
    <w:rsid w:val="006B0CFB"/>
    <w:rsid w:val="006B0D00"/>
    <w:rsid w:val="006B0D1E"/>
    <w:rsid w:val="006B0D22"/>
    <w:rsid w:val="006B0DAC"/>
    <w:rsid w:val="006B0DCE"/>
    <w:rsid w:val="006B0E15"/>
    <w:rsid w:val="006B0E19"/>
    <w:rsid w:val="006B0E4B"/>
    <w:rsid w:val="006B0E6A"/>
    <w:rsid w:val="006B0E91"/>
    <w:rsid w:val="006B0EA1"/>
    <w:rsid w:val="006B0EE1"/>
    <w:rsid w:val="006B0EF6"/>
    <w:rsid w:val="006B0F16"/>
    <w:rsid w:val="006B0F1E"/>
    <w:rsid w:val="006B0F24"/>
    <w:rsid w:val="006B0F25"/>
    <w:rsid w:val="006B0F84"/>
    <w:rsid w:val="006B0FD0"/>
    <w:rsid w:val="006B0FDB"/>
    <w:rsid w:val="006B1032"/>
    <w:rsid w:val="006B1056"/>
    <w:rsid w:val="006B1059"/>
    <w:rsid w:val="006B1063"/>
    <w:rsid w:val="006B10CC"/>
    <w:rsid w:val="006B1148"/>
    <w:rsid w:val="006B1185"/>
    <w:rsid w:val="006B11CA"/>
    <w:rsid w:val="006B11DB"/>
    <w:rsid w:val="006B128C"/>
    <w:rsid w:val="006B12C9"/>
    <w:rsid w:val="006B12D6"/>
    <w:rsid w:val="006B131C"/>
    <w:rsid w:val="006B133C"/>
    <w:rsid w:val="006B1353"/>
    <w:rsid w:val="006B139F"/>
    <w:rsid w:val="006B13B9"/>
    <w:rsid w:val="006B13DD"/>
    <w:rsid w:val="006B13F9"/>
    <w:rsid w:val="006B1401"/>
    <w:rsid w:val="006B144A"/>
    <w:rsid w:val="006B144E"/>
    <w:rsid w:val="006B1454"/>
    <w:rsid w:val="006B14B1"/>
    <w:rsid w:val="006B14E6"/>
    <w:rsid w:val="006B14EE"/>
    <w:rsid w:val="006B1524"/>
    <w:rsid w:val="006B1553"/>
    <w:rsid w:val="006B164B"/>
    <w:rsid w:val="006B1679"/>
    <w:rsid w:val="006B167C"/>
    <w:rsid w:val="006B170D"/>
    <w:rsid w:val="006B1753"/>
    <w:rsid w:val="006B17B1"/>
    <w:rsid w:val="006B17D9"/>
    <w:rsid w:val="006B17E1"/>
    <w:rsid w:val="006B17EC"/>
    <w:rsid w:val="006B1810"/>
    <w:rsid w:val="006B183A"/>
    <w:rsid w:val="006B1898"/>
    <w:rsid w:val="006B18CB"/>
    <w:rsid w:val="006B190F"/>
    <w:rsid w:val="006B1917"/>
    <w:rsid w:val="006B19A1"/>
    <w:rsid w:val="006B19B1"/>
    <w:rsid w:val="006B19FE"/>
    <w:rsid w:val="006B1A59"/>
    <w:rsid w:val="006B1B0D"/>
    <w:rsid w:val="006B1B15"/>
    <w:rsid w:val="006B1B38"/>
    <w:rsid w:val="006B1B6F"/>
    <w:rsid w:val="006B1BC3"/>
    <w:rsid w:val="006B1CDE"/>
    <w:rsid w:val="006B1CE1"/>
    <w:rsid w:val="006B1D57"/>
    <w:rsid w:val="006B1D5B"/>
    <w:rsid w:val="006B1D66"/>
    <w:rsid w:val="006B1D8E"/>
    <w:rsid w:val="006B1D9D"/>
    <w:rsid w:val="006B1E37"/>
    <w:rsid w:val="006B1E3A"/>
    <w:rsid w:val="006B1E78"/>
    <w:rsid w:val="006B1EA9"/>
    <w:rsid w:val="006B1EF9"/>
    <w:rsid w:val="006B2027"/>
    <w:rsid w:val="006B206C"/>
    <w:rsid w:val="006B20C8"/>
    <w:rsid w:val="006B211C"/>
    <w:rsid w:val="006B2122"/>
    <w:rsid w:val="006B2139"/>
    <w:rsid w:val="006B2267"/>
    <w:rsid w:val="006B2271"/>
    <w:rsid w:val="006B22AE"/>
    <w:rsid w:val="006B22FA"/>
    <w:rsid w:val="006B237B"/>
    <w:rsid w:val="006B23AE"/>
    <w:rsid w:val="006B23B7"/>
    <w:rsid w:val="006B23EB"/>
    <w:rsid w:val="006B23EF"/>
    <w:rsid w:val="006B2475"/>
    <w:rsid w:val="006B24B3"/>
    <w:rsid w:val="006B24E5"/>
    <w:rsid w:val="006B2527"/>
    <w:rsid w:val="006B25AC"/>
    <w:rsid w:val="006B25D7"/>
    <w:rsid w:val="006B25F8"/>
    <w:rsid w:val="006B25F9"/>
    <w:rsid w:val="006B2635"/>
    <w:rsid w:val="006B266C"/>
    <w:rsid w:val="006B270D"/>
    <w:rsid w:val="006B2744"/>
    <w:rsid w:val="006B2794"/>
    <w:rsid w:val="006B2795"/>
    <w:rsid w:val="006B27B4"/>
    <w:rsid w:val="006B27D9"/>
    <w:rsid w:val="006B27DB"/>
    <w:rsid w:val="006B27E2"/>
    <w:rsid w:val="006B27F3"/>
    <w:rsid w:val="006B27F7"/>
    <w:rsid w:val="006B2807"/>
    <w:rsid w:val="006B2836"/>
    <w:rsid w:val="006B283D"/>
    <w:rsid w:val="006B2858"/>
    <w:rsid w:val="006B28CF"/>
    <w:rsid w:val="006B28D0"/>
    <w:rsid w:val="006B28D6"/>
    <w:rsid w:val="006B2906"/>
    <w:rsid w:val="006B2919"/>
    <w:rsid w:val="006B295F"/>
    <w:rsid w:val="006B2995"/>
    <w:rsid w:val="006B29A8"/>
    <w:rsid w:val="006B29C3"/>
    <w:rsid w:val="006B2A66"/>
    <w:rsid w:val="006B2A6A"/>
    <w:rsid w:val="006B2AB0"/>
    <w:rsid w:val="006B2ABB"/>
    <w:rsid w:val="006B2AE1"/>
    <w:rsid w:val="006B2AF3"/>
    <w:rsid w:val="006B2B4F"/>
    <w:rsid w:val="006B2B68"/>
    <w:rsid w:val="006B2B77"/>
    <w:rsid w:val="006B2B92"/>
    <w:rsid w:val="006B2BEF"/>
    <w:rsid w:val="006B2C26"/>
    <w:rsid w:val="006B2CB7"/>
    <w:rsid w:val="006B2CFD"/>
    <w:rsid w:val="006B2D12"/>
    <w:rsid w:val="006B2D6A"/>
    <w:rsid w:val="006B2D70"/>
    <w:rsid w:val="006B2D93"/>
    <w:rsid w:val="006B2DAD"/>
    <w:rsid w:val="006B2DFF"/>
    <w:rsid w:val="006B2E0D"/>
    <w:rsid w:val="006B2EB4"/>
    <w:rsid w:val="006B2EF6"/>
    <w:rsid w:val="006B2F32"/>
    <w:rsid w:val="006B2F78"/>
    <w:rsid w:val="006B2F87"/>
    <w:rsid w:val="006B2F93"/>
    <w:rsid w:val="006B2F95"/>
    <w:rsid w:val="006B2FA3"/>
    <w:rsid w:val="006B3020"/>
    <w:rsid w:val="006B303A"/>
    <w:rsid w:val="006B3065"/>
    <w:rsid w:val="006B3092"/>
    <w:rsid w:val="006B30BC"/>
    <w:rsid w:val="006B30EA"/>
    <w:rsid w:val="006B3146"/>
    <w:rsid w:val="006B3176"/>
    <w:rsid w:val="006B31B7"/>
    <w:rsid w:val="006B320A"/>
    <w:rsid w:val="006B3212"/>
    <w:rsid w:val="006B3221"/>
    <w:rsid w:val="006B3260"/>
    <w:rsid w:val="006B32C7"/>
    <w:rsid w:val="006B333E"/>
    <w:rsid w:val="006B3363"/>
    <w:rsid w:val="006B3365"/>
    <w:rsid w:val="006B3373"/>
    <w:rsid w:val="006B3382"/>
    <w:rsid w:val="006B33F2"/>
    <w:rsid w:val="006B33F3"/>
    <w:rsid w:val="006B33F5"/>
    <w:rsid w:val="006B340D"/>
    <w:rsid w:val="006B340F"/>
    <w:rsid w:val="006B3437"/>
    <w:rsid w:val="006B343B"/>
    <w:rsid w:val="006B3469"/>
    <w:rsid w:val="006B346D"/>
    <w:rsid w:val="006B3490"/>
    <w:rsid w:val="006B34DB"/>
    <w:rsid w:val="006B34FC"/>
    <w:rsid w:val="006B3523"/>
    <w:rsid w:val="006B35A7"/>
    <w:rsid w:val="006B35D4"/>
    <w:rsid w:val="006B35F3"/>
    <w:rsid w:val="006B3623"/>
    <w:rsid w:val="006B3699"/>
    <w:rsid w:val="006B36BF"/>
    <w:rsid w:val="006B3731"/>
    <w:rsid w:val="006B3743"/>
    <w:rsid w:val="006B3753"/>
    <w:rsid w:val="006B3774"/>
    <w:rsid w:val="006B37FE"/>
    <w:rsid w:val="006B383F"/>
    <w:rsid w:val="006B3841"/>
    <w:rsid w:val="006B3853"/>
    <w:rsid w:val="006B387D"/>
    <w:rsid w:val="006B38C4"/>
    <w:rsid w:val="006B38C6"/>
    <w:rsid w:val="006B38D4"/>
    <w:rsid w:val="006B38EF"/>
    <w:rsid w:val="006B38F6"/>
    <w:rsid w:val="006B3903"/>
    <w:rsid w:val="006B3960"/>
    <w:rsid w:val="006B3A2A"/>
    <w:rsid w:val="006B3A34"/>
    <w:rsid w:val="006B3A5E"/>
    <w:rsid w:val="006B3A66"/>
    <w:rsid w:val="006B3A7D"/>
    <w:rsid w:val="006B3AE2"/>
    <w:rsid w:val="006B3B40"/>
    <w:rsid w:val="006B3B50"/>
    <w:rsid w:val="006B3B54"/>
    <w:rsid w:val="006B3BE1"/>
    <w:rsid w:val="006B3C21"/>
    <w:rsid w:val="006B3C3D"/>
    <w:rsid w:val="006B3C5A"/>
    <w:rsid w:val="006B3E05"/>
    <w:rsid w:val="006B3E28"/>
    <w:rsid w:val="006B3E42"/>
    <w:rsid w:val="006B3E44"/>
    <w:rsid w:val="006B3E4B"/>
    <w:rsid w:val="006B3E53"/>
    <w:rsid w:val="006B3E7E"/>
    <w:rsid w:val="006B3EAF"/>
    <w:rsid w:val="006B3EE3"/>
    <w:rsid w:val="006B3F77"/>
    <w:rsid w:val="006B3FAE"/>
    <w:rsid w:val="006B4031"/>
    <w:rsid w:val="006B4072"/>
    <w:rsid w:val="006B4088"/>
    <w:rsid w:val="006B4104"/>
    <w:rsid w:val="006B4143"/>
    <w:rsid w:val="006B417F"/>
    <w:rsid w:val="006B424E"/>
    <w:rsid w:val="006B4287"/>
    <w:rsid w:val="006B42A4"/>
    <w:rsid w:val="006B4332"/>
    <w:rsid w:val="006B4339"/>
    <w:rsid w:val="006B435F"/>
    <w:rsid w:val="006B4369"/>
    <w:rsid w:val="006B4373"/>
    <w:rsid w:val="006B43DC"/>
    <w:rsid w:val="006B4464"/>
    <w:rsid w:val="006B44A2"/>
    <w:rsid w:val="006B450E"/>
    <w:rsid w:val="006B4512"/>
    <w:rsid w:val="006B4558"/>
    <w:rsid w:val="006B4583"/>
    <w:rsid w:val="006B45D0"/>
    <w:rsid w:val="006B45E2"/>
    <w:rsid w:val="006B45E3"/>
    <w:rsid w:val="006B45E4"/>
    <w:rsid w:val="006B4632"/>
    <w:rsid w:val="006B4717"/>
    <w:rsid w:val="006B471E"/>
    <w:rsid w:val="006B475B"/>
    <w:rsid w:val="006B478D"/>
    <w:rsid w:val="006B47CD"/>
    <w:rsid w:val="006B47D2"/>
    <w:rsid w:val="006B47F1"/>
    <w:rsid w:val="006B4846"/>
    <w:rsid w:val="006B4876"/>
    <w:rsid w:val="006B487B"/>
    <w:rsid w:val="006B48B7"/>
    <w:rsid w:val="006B48D8"/>
    <w:rsid w:val="006B4933"/>
    <w:rsid w:val="006B4960"/>
    <w:rsid w:val="006B4970"/>
    <w:rsid w:val="006B4A01"/>
    <w:rsid w:val="006B4A64"/>
    <w:rsid w:val="006B4A7F"/>
    <w:rsid w:val="006B4ACB"/>
    <w:rsid w:val="006B4AEC"/>
    <w:rsid w:val="006B4AFF"/>
    <w:rsid w:val="006B4B17"/>
    <w:rsid w:val="006B4BAB"/>
    <w:rsid w:val="006B4BAF"/>
    <w:rsid w:val="006B4C01"/>
    <w:rsid w:val="006B4C53"/>
    <w:rsid w:val="006B4CE0"/>
    <w:rsid w:val="006B4CED"/>
    <w:rsid w:val="006B4D02"/>
    <w:rsid w:val="006B4D3B"/>
    <w:rsid w:val="006B4DB0"/>
    <w:rsid w:val="006B4DDC"/>
    <w:rsid w:val="006B4E8C"/>
    <w:rsid w:val="006B4EA9"/>
    <w:rsid w:val="006B4EB2"/>
    <w:rsid w:val="006B4FB3"/>
    <w:rsid w:val="006B5003"/>
    <w:rsid w:val="006B50DA"/>
    <w:rsid w:val="006B50E9"/>
    <w:rsid w:val="006B5101"/>
    <w:rsid w:val="006B5102"/>
    <w:rsid w:val="006B5179"/>
    <w:rsid w:val="006B5185"/>
    <w:rsid w:val="006B51A6"/>
    <w:rsid w:val="006B51E1"/>
    <w:rsid w:val="006B521C"/>
    <w:rsid w:val="006B522F"/>
    <w:rsid w:val="006B52AC"/>
    <w:rsid w:val="006B52E4"/>
    <w:rsid w:val="006B5362"/>
    <w:rsid w:val="006B5367"/>
    <w:rsid w:val="006B53A5"/>
    <w:rsid w:val="006B53BF"/>
    <w:rsid w:val="006B53CC"/>
    <w:rsid w:val="006B5406"/>
    <w:rsid w:val="006B5449"/>
    <w:rsid w:val="006B547E"/>
    <w:rsid w:val="006B54A4"/>
    <w:rsid w:val="006B54B5"/>
    <w:rsid w:val="006B54B7"/>
    <w:rsid w:val="006B54D4"/>
    <w:rsid w:val="006B54FC"/>
    <w:rsid w:val="006B5504"/>
    <w:rsid w:val="006B554F"/>
    <w:rsid w:val="006B559B"/>
    <w:rsid w:val="006B55B2"/>
    <w:rsid w:val="006B55EF"/>
    <w:rsid w:val="006B55F7"/>
    <w:rsid w:val="006B5601"/>
    <w:rsid w:val="006B5673"/>
    <w:rsid w:val="006B5727"/>
    <w:rsid w:val="006B5736"/>
    <w:rsid w:val="006B5791"/>
    <w:rsid w:val="006B57C3"/>
    <w:rsid w:val="006B587B"/>
    <w:rsid w:val="006B5888"/>
    <w:rsid w:val="006B58E4"/>
    <w:rsid w:val="006B590D"/>
    <w:rsid w:val="006B591B"/>
    <w:rsid w:val="006B593B"/>
    <w:rsid w:val="006B596B"/>
    <w:rsid w:val="006B59C0"/>
    <w:rsid w:val="006B5A26"/>
    <w:rsid w:val="006B5A86"/>
    <w:rsid w:val="006B5A9B"/>
    <w:rsid w:val="006B5A9F"/>
    <w:rsid w:val="006B5AB6"/>
    <w:rsid w:val="006B5B1F"/>
    <w:rsid w:val="006B5B30"/>
    <w:rsid w:val="006B5BAF"/>
    <w:rsid w:val="006B5BB9"/>
    <w:rsid w:val="006B5BC7"/>
    <w:rsid w:val="006B5BC9"/>
    <w:rsid w:val="006B5C1B"/>
    <w:rsid w:val="006B5C21"/>
    <w:rsid w:val="006B5C33"/>
    <w:rsid w:val="006B5C5C"/>
    <w:rsid w:val="006B5C64"/>
    <w:rsid w:val="006B5C74"/>
    <w:rsid w:val="006B5C7D"/>
    <w:rsid w:val="006B5CD3"/>
    <w:rsid w:val="006B5D47"/>
    <w:rsid w:val="006B5D68"/>
    <w:rsid w:val="006B5D8E"/>
    <w:rsid w:val="006B5D96"/>
    <w:rsid w:val="006B5DD1"/>
    <w:rsid w:val="006B5DDB"/>
    <w:rsid w:val="006B5DF8"/>
    <w:rsid w:val="006B5E00"/>
    <w:rsid w:val="006B5E13"/>
    <w:rsid w:val="006B5E1F"/>
    <w:rsid w:val="006B5E83"/>
    <w:rsid w:val="006B5EC5"/>
    <w:rsid w:val="006B5EDF"/>
    <w:rsid w:val="006B5F0C"/>
    <w:rsid w:val="006B5F78"/>
    <w:rsid w:val="006B5FA8"/>
    <w:rsid w:val="006B5FCE"/>
    <w:rsid w:val="006B604C"/>
    <w:rsid w:val="006B607B"/>
    <w:rsid w:val="006B607E"/>
    <w:rsid w:val="006B60C6"/>
    <w:rsid w:val="006B60E2"/>
    <w:rsid w:val="006B60FE"/>
    <w:rsid w:val="006B6150"/>
    <w:rsid w:val="006B61CE"/>
    <w:rsid w:val="006B6201"/>
    <w:rsid w:val="006B6274"/>
    <w:rsid w:val="006B62CD"/>
    <w:rsid w:val="006B62DD"/>
    <w:rsid w:val="006B6339"/>
    <w:rsid w:val="006B638D"/>
    <w:rsid w:val="006B63AC"/>
    <w:rsid w:val="006B63FE"/>
    <w:rsid w:val="006B6415"/>
    <w:rsid w:val="006B6419"/>
    <w:rsid w:val="006B6422"/>
    <w:rsid w:val="006B6428"/>
    <w:rsid w:val="006B6435"/>
    <w:rsid w:val="006B645A"/>
    <w:rsid w:val="006B6474"/>
    <w:rsid w:val="006B64E9"/>
    <w:rsid w:val="006B64EF"/>
    <w:rsid w:val="006B64F5"/>
    <w:rsid w:val="006B64FA"/>
    <w:rsid w:val="006B6536"/>
    <w:rsid w:val="006B6552"/>
    <w:rsid w:val="006B6557"/>
    <w:rsid w:val="006B655D"/>
    <w:rsid w:val="006B6574"/>
    <w:rsid w:val="006B65A3"/>
    <w:rsid w:val="006B65A5"/>
    <w:rsid w:val="006B6613"/>
    <w:rsid w:val="006B665F"/>
    <w:rsid w:val="006B66D0"/>
    <w:rsid w:val="006B66E2"/>
    <w:rsid w:val="006B66EA"/>
    <w:rsid w:val="006B66FD"/>
    <w:rsid w:val="006B6703"/>
    <w:rsid w:val="006B6782"/>
    <w:rsid w:val="006B67C1"/>
    <w:rsid w:val="006B67E7"/>
    <w:rsid w:val="006B67FE"/>
    <w:rsid w:val="006B6855"/>
    <w:rsid w:val="006B6894"/>
    <w:rsid w:val="006B68D1"/>
    <w:rsid w:val="006B68EE"/>
    <w:rsid w:val="006B6913"/>
    <w:rsid w:val="006B69EF"/>
    <w:rsid w:val="006B69F4"/>
    <w:rsid w:val="006B6A19"/>
    <w:rsid w:val="006B6A25"/>
    <w:rsid w:val="006B6A4A"/>
    <w:rsid w:val="006B6A7A"/>
    <w:rsid w:val="006B6A93"/>
    <w:rsid w:val="006B6B33"/>
    <w:rsid w:val="006B6B3E"/>
    <w:rsid w:val="006B6B50"/>
    <w:rsid w:val="006B6B94"/>
    <w:rsid w:val="006B6B9C"/>
    <w:rsid w:val="006B6BF4"/>
    <w:rsid w:val="006B6C39"/>
    <w:rsid w:val="006B6C7A"/>
    <w:rsid w:val="006B6C7B"/>
    <w:rsid w:val="006B6C81"/>
    <w:rsid w:val="006B6C97"/>
    <w:rsid w:val="006B6CB2"/>
    <w:rsid w:val="006B6CC8"/>
    <w:rsid w:val="006B6CF5"/>
    <w:rsid w:val="006B6D16"/>
    <w:rsid w:val="006B6D19"/>
    <w:rsid w:val="006B6D6A"/>
    <w:rsid w:val="006B6DB6"/>
    <w:rsid w:val="006B6DBB"/>
    <w:rsid w:val="006B6DC5"/>
    <w:rsid w:val="006B6E3F"/>
    <w:rsid w:val="006B6E4F"/>
    <w:rsid w:val="006B6EA5"/>
    <w:rsid w:val="006B6EBA"/>
    <w:rsid w:val="006B6F7B"/>
    <w:rsid w:val="006B6F97"/>
    <w:rsid w:val="006B7027"/>
    <w:rsid w:val="006B7028"/>
    <w:rsid w:val="006B7071"/>
    <w:rsid w:val="006B70C8"/>
    <w:rsid w:val="006B70E6"/>
    <w:rsid w:val="006B7155"/>
    <w:rsid w:val="006B716D"/>
    <w:rsid w:val="006B719A"/>
    <w:rsid w:val="006B71A2"/>
    <w:rsid w:val="006B71B1"/>
    <w:rsid w:val="006B71F4"/>
    <w:rsid w:val="006B7227"/>
    <w:rsid w:val="006B725C"/>
    <w:rsid w:val="006B727C"/>
    <w:rsid w:val="006B72AE"/>
    <w:rsid w:val="006B734C"/>
    <w:rsid w:val="006B745A"/>
    <w:rsid w:val="006B7461"/>
    <w:rsid w:val="006B74A4"/>
    <w:rsid w:val="006B74BB"/>
    <w:rsid w:val="006B74C1"/>
    <w:rsid w:val="006B74CD"/>
    <w:rsid w:val="006B7543"/>
    <w:rsid w:val="006B755E"/>
    <w:rsid w:val="006B7567"/>
    <w:rsid w:val="006B7572"/>
    <w:rsid w:val="006B75BA"/>
    <w:rsid w:val="006B75BF"/>
    <w:rsid w:val="006B76A8"/>
    <w:rsid w:val="006B76E3"/>
    <w:rsid w:val="006B7747"/>
    <w:rsid w:val="006B77A0"/>
    <w:rsid w:val="006B7802"/>
    <w:rsid w:val="006B7821"/>
    <w:rsid w:val="006B785E"/>
    <w:rsid w:val="006B789C"/>
    <w:rsid w:val="006B78A7"/>
    <w:rsid w:val="006B78F2"/>
    <w:rsid w:val="006B7908"/>
    <w:rsid w:val="006B793E"/>
    <w:rsid w:val="006B7A0A"/>
    <w:rsid w:val="006B7A2C"/>
    <w:rsid w:val="006B7A4F"/>
    <w:rsid w:val="006B7A5C"/>
    <w:rsid w:val="006B7A7D"/>
    <w:rsid w:val="006B7AFA"/>
    <w:rsid w:val="006B7B1B"/>
    <w:rsid w:val="006B7B7C"/>
    <w:rsid w:val="006B7BC3"/>
    <w:rsid w:val="006B7BCE"/>
    <w:rsid w:val="006B7C27"/>
    <w:rsid w:val="006B7C7A"/>
    <w:rsid w:val="006B7CAA"/>
    <w:rsid w:val="006B7CC3"/>
    <w:rsid w:val="006B7D3B"/>
    <w:rsid w:val="006B7DF9"/>
    <w:rsid w:val="006B7E38"/>
    <w:rsid w:val="006B7F05"/>
    <w:rsid w:val="006B7F41"/>
    <w:rsid w:val="006B7FA2"/>
    <w:rsid w:val="006B7FEE"/>
    <w:rsid w:val="006C0024"/>
    <w:rsid w:val="006C0033"/>
    <w:rsid w:val="006C005F"/>
    <w:rsid w:val="006C00BA"/>
    <w:rsid w:val="006C00CE"/>
    <w:rsid w:val="006C00D9"/>
    <w:rsid w:val="006C0141"/>
    <w:rsid w:val="006C014D"/>
    <w:rsid w:val="006C015B"/>
    <w:rsid w:val="006C0189"/>
    <w:rsid w:val="006C01AA"/>
    <w:rsid w:val="006C01B1"/>
    <w:rsid w:val="006C01C5"/>
    <w:rsid w:val="006C01C7"/>
    <w:rsid w:val="006C01E4"/>
    <w:rsid w:val="006C01EC"/>
    <w:rsid w:val="006C01F2"/>
    <w:rsid w:val="006C0216"/>
    <w:rsid w:val="006C021A"/>
    <w:rsid w:val="006C023C"/>
    <w:rsid w:val="006C02AA"/>
    <w:rsid w:val="006C0333"/>
    <w:rsid w:val="006C03B5"/>
    <w:rsid w:val="006C03B6"/>
    <w:rsid w:val="006C03D0"/>
    <w:rsid w:val="006C0409"/>
    <w:rsid w:val="006C0412"/>
    <w:rsid w:val="006C0429"/>
    <w:rsid w:val="006C04E8"/>
    <w:rsid w:val="006C04FC"/>
    <w:rsid w:val="006C04FF"/>
    <w:rsid w:val="006C058A"/>
    <w:rsid w:val="006C05AB"/>
    <w:rsid w:val="006C05E7"/>
    <w:rsid w:val="006C0608"/>
    <w:rsid w:val="006C062F"/>
    <w:rsid w:val="006C0638"/>
    <w:rsid w:val="006C0666"/>
    <w:rsid w:val="006C06D4"/>
    <w:rsid w:val="006C06EE"/>
    <w:rsid w:val="006C0714"/>
    <w:rsid w:val="006C073D"/>
    <w:rsid w:val="006C0750"/>
    <w:rsid w:val="006C0777"/>
    <w:rsid w:val="006C0783"/>
    <w:rsid w:val="006C0789"/>
    <w:rsid w:val="006C0792"/>
    <w:rsid w:val="006C0804"/>
    <w:rsid w:val="006C0896"/>
    <w:rsid w:val="006C08C5"/>
    <w:rsid w:val="006C08C6"/>
    <w:rsid w:val="006C0932"/>
    <w:rsid w:val="006C094B"/>
    <w:rsid w:val="006C09A7"/>
    <w:rsid w:val="006C09AC"/>
    <w:rsid w:val="006C09E0"/>
    <w:rsid w:val="006C09F4"/>
    <w:rsid w:val="006C0A36"/>
    <w:rsid w:val="006C0A53"/>
    <w:rsid w:val="006C0A5F"/>
    <w:rsid w:val="006C0A64"/>
    <w:rsid w:val="006C0B15"/>
    <w:rsid w:val="006C0B28"/>
    <w:rsid w:val="006C0B8D"/>
    <w:rsid w:val="006C0B9E"/>
    <w:rsid w:val="006C0BE4"/>
    <w:rsid w:val="006C0BEB"/>
    <w:rsid w:val="006C0BFD"/>
    <w:rsid w:val="006C0C28"/>
    <w:rsid w:val="006C0C51"/>
    <w:rsid w:val="006C0C73"/>
    <w:rsid w:val="006C0C81"/>
    <w:rsid w:val="006C0CD1"/>
    <w:rsid w:val="006C0CDC"/>
    <w:rsid w:val="006C0CE6"/>
    <w:rsid w:val="006C0D16"/>
    <w:rsid w:val="006C0D3C"/>
    <w:rsid w:val="006C0DA8"/>
    <w:rsid w:val="006C0DAE"/>
    <w:rsid w:val="006C0E1A"/>
    <w:rsid w:val="006C0E33"/>
    <w:rsid w:val="006C0E97"/>
    <w:rsid w:val="006C0EAB"/>
    <w:rsid w:val="006C0EC8"/>
    <w:rsid w:val="006C0F35"/>
    <w:rsid w:val="006C0F7B"/>
    <w:rsid w:val="006C1008"/>
    <w:rsid w:val="006C1011"/>
    <w:rsid w:val="006C1018"/>
    <w:rsid w:val="006C1036"/>
    <w:rsid w:val="006C1043"/>
    <w:rsid w:val="006C104D"/>
    <w:rsid w:val="006C105B"/>
    <w:rsid w:val="006C1064"/>
    <w:rsid w:val="006C1073"/>
    <w:rsid w:val="006C10BB"/>
    <w:rsid w:val="006C10E8"/>
    <w:rsid w:val="006C10F2"/>
    <w:rsid w:val="006C1191"/>
    <w:rsid w:val="006C1202"/>
    <w:rsid w:val="006C1218"/>
    <w:rsid w:val="006C1242"/>
    <w:rsid w:val="006C124A"/>
    <w:rsid w:val="006C1270"/>
    <w:rsid w:val="006C12CD"/>
    <w:rsid w:val="006C12EB"/>
    <w:rsid w:val="006C12EF"/>
    <w:rsid w:val="006C1361"/>
    <w:rsid w:val="006C1381"/>
    <w:rsid w:val="006C1463"/>
    <w:rsid w:val="006C1522"/>
    <w:rsid w:val="006C1553"/>
    <w:rsid w:val="006C15A9"/>
    <w:rsid w:val="006C1675"/>
    <w:rsid w:val="006C1683"/>
    <w:rsid w:val="006C16E3"/>
    <w:rsid w:val="006C1762"/>
    <w:rsid w:val="006C1789"/>
    <w:rsid w:val="006C178E"/>
    <w:rsid w:val="006C17C4"/>
    <w:rsid w:val="006C184A"/>
    <w:rsid w:val="006C18DE"/>
    <w:rsid w:val="006C1915"/>
    <w:rsid w:val="006C1924"/>
    <w:rsid w:val="006C1927"/>
    <w:rsid w:val="006C1931"/>
    <w:rsid w:val="006C193A"/>
    <w:rsid w:val="006C1948"/>
    <w:rsid w:val="006C19BC"/>
    <w:rsid w:val="006C19C5"/>
    <w:rsid w:val="006C19DA"/>
    <w:rsid w:val="006C19E8"/>
    <w:rsid w:val="006C19F0"/>
    <w:rsid w:val="006C1A9E"/>
    <w:rsid w:val="006C1AC6"/>
    <w:rsid w:val="006C1AF1"/>
    <w:rsid w:val="006C1B51"/>
    <w:rsid w:val="006C1B5B"/>
    <w:rsid w:val="006C1B77"/>
    <w:rsid w:val="006C1C0B"/>
    <w:rsid w:val="006C1C27"/>
    <w:rsid w:val="006C1C42"/>
    <w:rsid w:val="006C1C52"/>
    <w:rsid w:val="006C1C58"/>
    <w:rsid w:val="006C1C64"/>
    <w:rsid w:val="006C1C65"/>
    <w:rsid w:val="006C1C69"/>
    <w:rsid w:val="006C1CAD"/>
    <w:rsid w:val="006C1CB3"/>
    <w:rsid w:val="006C1CBC"/>
    <w:rsid w:val="006C1CE3"/>
    <w:rsid w:val="006C1D76"/>
    <w:rsid w:val="006C1D8D"/>
    <w:rsid w:val="006C1E63"/>
    <w:rsid w:val="006C1EB6"/>
    <w:rsid w:val="006C1ED1"/>
    <w:rsid w:val="006C1F89"/>
    <w:rsid w:val="006C1F99"/>
    <w:rsid w:val="006C1F9B"/>
    <w:rsid w:val="006C2017"/>
    <w:rsid w:val="006C2069"/>
    <w:rsid w:val="006C208B"/>
    <w:rsid w:val="006C2168"/>
    <w:rsid w:val="006C224A"/>
    <w:rsid w:val="006C22BC"/>
    <w:rsid w:val="006C2345"/>
    <w:rsid w:val="006C23F7"/>
    <w:rsid w:val="006C240C"/>
    <w:rsid w:val="006C244A"/>
    <w:rsid w:val="006C24A5"/>
    <w:rsid w:val="006C24DA"/>
    <w:rsid w:val="006C24FB"/>
    <w:rsid w:val="006C2514"/>
    <w:rsid w:val="006C2553"/>
    <w:rsid w:val="006C255B"/>
    <w:rsid w:val="006C2593"/>
    <w:rsid w:val="006C25B8"/>
    <w:rsid w:val="006C2607"/>
    <w:rsid w:val="006C2650"/>
    <w:rsid w:val="006C2694"/>
    <w:rsid w:val="006C26A3"/>
    <w:rsid w:val="006C270A"/>
    <w:rsid w:val="006C270B"/>
    <w:rsid w:val="006C2785"/>
    <w:rsid w:val="006C2880"/>
    <w:rsid w:val="006C28FD"/>
    <w:rsid w:val="006C2926"/>
    <w:rsid w:val="006C2928"/>
    <w:rsid w:val="006C2994"/>
    <w:rsid w:val="006C29D4"/>
    <w:rsid w:val="006C29E4"/>
    <w:rsid w:val="006C29F9"/>
    <w:rsid w:val="006C2A0B"/>
    <w:rsid w:val="006C2A17"/>
    <w:rsid w:val="006C2A1B"/>
    <w:rsid w:val="006C2A1E"/>
    <w:rsid w:val="006C2A32"/>
    <w:rsid w:val="006C2A35"/>
    <w:rsid w:val="006C2AB7"/>
    <w:rsid w:val="006C2AC8"/>
    <w:rsid w:val="006C2AD0"/>
    <w:rsid w:val="006C2B70"/>
    <w:rsid w:val="006C2B78"/>
    <w:rsid w:val="006C2BA8"/>
    <w:rsid w:val="006C2BC3"/>
    <w:rsid w:val="006C2BC5"/>
    <w:rsid w:val="006C2BD2"/>
    <w:rsid w:val="006C2BE1"/>
    <w:rsid w:val="006C2C4A"/>
    <w:rsid w:val="006C2CD6"/>
    <w:rsid w:val="006C2D1B"/>
    <w:rsid w:val="006C2D67"/>
    <w:rsid w:val="006C2D83"/>
    <w:rsid w:val="006C2DEC"/>
    <w:rsid w:val="006C2E82"/>
    <w:rsid w:val="006C2E97"/>
    <w:rsid w:val="006C2EB8"/>
    <w:rsid w:val="006C2EBF"/>
    <w:rsid w:val="006C2F8A"/>
    <w:rsid w:val="006C3000"/>
    <w:rsid w:val="006C304D"/>
    <w:rsid w:val="006C305E"/>
    <w:rsid w:val="006C306A"/>
    <w:rsid w:val="006C30C6"/>
    <w:rsid w:val="006C30E8"/>
    <w:rsid w:val="006C3105"/>
    <w:rsid w:val="006C31AE"/>
    <w:rsid w:val="006C31FC"/>
    <w:rsid w:val="006C320F"/>
    <w:rsid w:val="006C3226"/>
    <w:rsid w:val="006C3248"/>
    <w:rsid w:val="006C32A0"/>
    <w:rsid w:val="006C32B6"/>
    <w:rsid w:val="006C3307"/>
    <w:rsid w:val="006C332B"/>
    <w:rsid w:val="006C3385"/>
    <w:rsid w:val="006C339A"/>
    <w:rsid w:val="006C33A2"/>
    <w:rsid w:val="006C33AF"/>
    <w:rsid w:val="006C33D5"/>
    <w:rsid w:val="006C33D8"/>
    <w:rsid w:val="006C3421"/>
    <w:rsid w:val="006C34A1"/>
    <w:rsid w:val="006C34B8"/>
    <w:rsid w:val="006C34D5"/>
    <w:rsid w:val="006C34E1"/>
    <w:rsid w:val="006C353B"/>
    <w:rsid w:val="006C3541"/>
    <w:rsid w:val="006C357F"/>
    <w:rsid w:val="006C35D3"/>
    <w:rsid w:val="006C35EB"/>
    <w:rsid w:val="006C35EE"/>
    <w:rsid w:val="006C35F6"/>
    <w:rsid w:val="006C363D"/>
    <w:rsid w:val="006C3643"/>
    <w:rsid w:val="006C368A"/>
    <w:rsid w:val="006C3698"/>
    <w:rsid w:val="006C36D1"/>
    <w:rsid w:val="006C370A"/>
    <w:rsid w:val="006C374B"/>
    <w:rsid w:val="006C3760"/>
    <w:rsid w:val="006C3778"/>
    <w:rsid w:val="006C3779"/>
    <w:rsid w:val="006C3781"/>
    <w:rsid w:val="006C378D"/>
    <w:rsid w:val="006C3793"/>
    <w:rsid w:val="006C389C"/>
    <w:rsid w:val="006C38AE"/>
    <w:rsid w:val="006C396C"/>
    <w:rsid w:val="006C398D"/>
    <w:rsid w:val="006C39C5"/>
    <w:rsid w:val="006C39E6"/>
    <w:rsid w:val="006C39F1"/>
    <w:rsid w:val="006C3A4A"/>
    <w:rsid w:val="006C3A63"/>
    <w:rsid w:val="006C3A6A"/>
    <w:rsid w:val="006C3A71"/>
    <w:rsid w:val="006C3AA8"/>
    <w:rsid w:val="006C3B52"/>
    <w:rsid w:val="006C3C0B"/>
    <w:rsid w:val="006C3C0C"/>
    <w:rsid w:val="006C3C3A"/>
    <w:rsid w:val="006C3C40"/>
    <w:rsid w:val="006C3C42"/>
    <w:rsid w:val="006C3C9B"/>
    <w:rsid w:val="006C3CC6"/>
    <w:rsid w:val="006C3D3C"/>
    <w:rsid w:val="006C3D90"/>
    <w:rsid w:val="006C3DFA"/>
    <w:rsid w:val="006C3E19"/>
    <w:rsid w:val="006C3E3C"/>
    <w:rsid w:val="006C3E6A"/>
    <w:rsid w:val="006C3E99"/>
    <w:rsid w:val="006C3EC9"/>
    <w:rsid w:val="006C3ED3"/>
    <w:rsid w:val="006C3EF1"/>
    <w:rsid w:val="006C3FA0"/>
    <w:rsid w:val="006C3FD8"/>
    <w:rsid w:val="006C4009"/>
    <w:rsid w:val="006C401F"/>
    <w:rsid w:val="006C4054"/>
    <w:rsid w:val="006C409B"/>
    <w:rsid w:val="006C409C"/>
    <w:rsid w:val="006C40BE"/>
    <w:rsid w:val="006C40D4"/>
    <w:rsid w:val="006C41A5"/>
    <w:rsid w:val="006C41B3"/>
    <w:rsid w:val="006C41C4"/>
    <w:rsid w:val="006C4280"/>
    <w:rsid w:val="006C4293"/>
    <w:rsid w:val="006C431F"/>
    <w:rsid w:val="006C432D"/>
    <w:rsid w:val="006C436A"/>
    <w:rsid w:val="006C43D0"/>
    <w:rsid w:val="006C442A"/>
    <w:rsid w:val="006C4432"/>
    <w:rsid w:val="006C443B"/>
    <w:rsid w:val="006C447D"/>
    <w:rsid w:val="006C4483"/>
    <w:rsid w:val="006C4489"/>
    <w:rsid w:val="006C44A3"/>
    <w:rsid w:val="006C44AA"/>
    <w:rsid w:val="006C44B7"/>
    <w:rsid w:val="006C44E1"/>
    <w:rsid w:val="006C4503"/>
    <w:rsid w:val="006C4539"/>
    <w:rsid w:val="006C4577"/>
    <w:rsid w:val="006C45E1"/>
    <w:rsid w:val="006C45E3"/>
    <w:rsid w:val="006C45E8"/>
    <w:rsid w:val="006C4613"/>
    <w:rsid w:val="006C464D"/>
    <w:rsid w:val="006C4665"/>
    <w:rsid w:val="006C4679"/>
    <w:rsid w:val="006C46A8"/>
    <w:rsid w:val="006C46DE"/>
    <w:rsid w:val="006C4756"/>
    <w:rsid w:val="006C47C5"/>
    <w:rsid w:val="006C47D6"/>
    <w:rsid w:val="006C47FA"/>
    <w:rsid w:val="006C47FC"/>
    <w:rsid w:val="006C4887"/>
    <w:rsid w:val="006C48E8"/>
    <w:rsid w:val="006C4910"/>
    <w:rsid w:val="006C4913"/>
    <w:rsid w:val="006C492F"/>
    <w:rsid w:val="006C496B"/>
    <w:rsid w:val="006C4988"/>
    <w:rsid w:val="006C499F"/>
    <w:rsid w:val="006C49A0"/>
    <w:rsid w:val="006C49E0"/>
    <w:rsid w:val="006C4A98"/>
    <w:rsid w:val="006C4AA5"/>
    <w:rsid w:val="006C4AAF"/>
    <w:rsid w:val="006C4B2C"/>
    <w:rsid w:val="006C4B32"/>
    <w:rsid w:val="006C4B38"/>
    <w:rsid w:val="006C4B45"/>
    <w:rsid w:val="006C4B73"/>
    <w:rsid w:val="006C4B89"/>
    <w:rsid w:val="006C4BE3"/>
    <w:rsid w:val="006C4C01"/>
    <w:rsid w:val="006C4C29"/>
    <w:rsid w:val="006C4C39"/>
    <w:rsid w:val="006C4DF1"/>
    <w:rsid w:val="006C4E22"/>
    <w:rsid w:val="006C4E38"/>
    <w:rsid w:val="006C4E8F"/>
    <w:rsid w:val="006C4ED1"/>
    <w:rsid w:val="006C4FD1"/>
    <w:rsid w:val="006C500A"/>
    <w:rsid w:val="006C5073"/>
    <w:rsid w:val="006C5130"/>
    <w:rsid w:val="006C519F"/>
    <w:rsid w:val="006C5200"/>
    <w:rsid w:val="006C5247"/>
    <w:rsid w:val="006C5250"/>
    <w:rsid w:val="006C526A"/>
    <w:rsid w:val="006C5270"/>
    <w:rsid w:val="006C52EA"/>
    <w:rsid w:val="006C53BF"/>
    <w:rsid w:val="006C53CC"/>
    <w:rsid w:val="006C5408"/>
    <w:rsid w:val="006C5493"/>
    <w:rsid w:val="006C549D"/>
    <w:rsid w:val="006C54A2"/>
    <w:rsid w:val="006C553C"/>
    <w:rsid w:val="006C557B"/>
    <w:rsid w:val="006C5593"/>
    <w:rsid w:val="006C55BA"/>
    <w:rsid w:val="006C5643"/>
    <w:rsid w:val="006C5645"/>
    <w:rsid w:val="006C5672"/>
    <w:rsid w:val="006C5679"/>
    <w:rsid w:val="006C568B"/>
    <w:rsid w:val="006C56CC"/>
    <w:rsid w:val="006C5745"/>
    <w:rsid w:val="006C57E9"/>
    <w:rsid w:val="006C57EE"/>
    <w:rsid w:val="006C5827"/>
    <w:rsid w:val="006C5834"/>
    <w:rsid w:val="006C5863"/>
    <w:rsid w:val="006C58D9"/>
    <w:rsid w:val="006C58FD"/>
    <w:rsid w:val="006C5905"/>
    <w:rsid w:val="006C59A7"/>
    <w:rsid w:val="006C59C4"/>
    <w:rsid w:val="006C5A47"/>
    <w:rsid w:val="006C5A50"/>
    <w:rsid w:val="006C5A72"/>
    <w:rsid w:val="006C5A7C"/>
    <w:rsid w:val="006C5B06"/>
    <w:rsid w:val="006C5BB8"/>
    <w:rsid w:val="006C5BBD"/>
    <w:rsid w:val="006C5C7D"/>
    <w:rsid w:val="006C5D17"/>
    <w:rsid w:val="006C5D19"/>
    <w:rsid w:val="006C5D86"/>
    <w:rsid w:val="006C5DDD"/>
    <w:rsid w:val="006C5F11"/>
    <w:rsid w:val="006C5F1B"/>
    <w:rsid w:val="006C5F45"/>
    <w:rsid w:val="006C5F56"/>
    <w:rsid w:val="006C5F77"/>
    <w:rsid w:val="006C5F7A"/>
    <w:rsid w:val="006C5F7E"/>
    <w:rsid w:val="006C5FAC"/>
    <w:rsid w:val="006C5FEA"/>
    <w:rsid w:val="006C601A"/>
    <w:rsid w:val="006C609D"/>
    <w:rsid w:val="006C6130"/>
    <w:rsid w:val="006C613D"/>
    <w:rsid w:val="006C614A"/>
    <w:rsid w:val="006C6176"/>
    <w:rsid w:val="006C6261"/>
    <w:rsid w:val="006C62BA"/>
    <w:rsid w:val="006C632D"/>
    <w:rsid w:val="006C635A"/>
    <w:rsid w:val="006C63DF"/>
    <w:rsid w:val="006C6437"/>
    <w:rsid w:val="006C6485"/>
    <w:rsid w:val="006C648D"/>
    <w:rsid w:val="006C64B8"/>
    <w:rsid w:val="006C64DF"/>
    <w:rsid w:val="006C64E3"/>
    <w:rsid w:val="006C6549"/>
    <w:rsid w:val="006C6573"/>
    <w:rsid w:val="006C65DD"/>
    <w:rsid w:val="006C65E1"/>
    <w:rsid w:val="006C65FD"/>
    <w:rsid w:val="006C6608"/>
    <w:rsid w:val="006C661A"/>
    <w:rsid w:val="006C6667"/>
    <w:rsid w:val="006C6692"/>
    <w:rsid w:val="006C66B0"/>
    <w:rsid w:val="006C671D"/>
    <w:rsid w:val="006C6730"/>
    <w:rsid w:val="006C679D"/>
    <w:rsid w:val="006C67D6"/>
    <w:rsid w:val="006C684B"/>
    <w:rsid w:val="006C692B"/>
    <w:rsid w:val="006C6A01"/>
    <w:rsid w:val="006C6A04"/>
    <w:rsid w:val="006C6A29"/>
    <w:rsid w:val="006C6A2A"/>
    <w:rsid w:val="006C6AB8"/>
    <w:rsid w:val="006C6ACA"/>
    <w:rsid w:val="006C6B3B"/>
    <w:rsid w:val="006C6B7B"/>
    <w:rsid w:val="006C6BEE"/>
    <w:rsid w:val="006C6C34"/>
    <w:rsid w:val="006C6C36"/>
    <w:rsid w:val="006C6C5C"/>
    <w:rsid w:val="006C6C89"/>
    <w:rsid w:val="006C6C97"/>
    <w:rsid w:val="006C6CA9"/>
    <w:rsid w:val="006C6D21"/>
    <w:rsid w:val="006C6D47"/>
    <w:rsid w:val="006C6D70"/>
    <w:rsid w:val="006C6D82"/>
    <w:rsid w:val="006C6E59"/>
    <w:rsid w:val="006C6E6B"/>
    <w:rsid w:val="006C6EE7"/>
    <w:rsid w:val="006C6F10"/>
    <w:rsid w:val="006C6F19"/>
    <w:rsid w:val="006C6F22"/>
    <w:rsid w:val="006C6F23"/>
    <w:rsid w:val="006C6F75"/>
    <w:rsid w:val="006C6FC5"/>
    <w:rsid w:val="006C70F4"/>
    <w:rsid w:val="006C7102"/>
    <w:rsid w:val="006C7150"/>
    <w:rsid w:val="006C716F"/>
    <w:rsid w:val="006C719F"/>
    <w:rsid w:val="006C7216"/>
    <w:rsid w:val="006C7225"/>
    <w:rsid w:val="006C7255"/>
    <w:rsid w:val="006C7258"/>
    <w:rsid w:val="006C7301"/>
    <w:rsid w:val="006C731E"/>
    <w:rsid w:val="006C7328"/>
    <w:rsid w:val="006C7368"/>
    <w:rsid w:val="006C736B"/>
    <w:rsid w:val="006C7380"/>
    <w:rsid w:val="006C73A4"/>
    <w:rsid w:val="006C73F4"/>
    <w:rsid w:val="006C744C"/>
    <w:rsid w:val="006C746B"/>
    <w:rsid w:val="006C7491"/>
    <w:rsid w:val="006C74E4"/>
    <w:rsid w:val="006C74E7"/>
    <w:rsid w:val="006C7502"/>
    <w:rsid w:val="006C7509"/>
    <w:rsid w:val="006C754E"/>
    <w:rsid w:val="006C7580"/>
    <w:rsid w:val="006C75EC"/>
    <w:rsid w:val="006C7603"/>
    <w:rsid w:val="006C7604"/>
    <w:rsid w:val="006C7649"/>
    <w:rsid w:val="006C7682"/>
    <w:rsid w:val="006C7691"/>
    <w:rsid w:val="006C76A6"/>
    <w:rsid w:val="006C76E1"/>
    <w:rsid w:val="006C7715"/>
    <w:rsid w:val="006C775A"/>
    <w:rsid w:val="006C77A8"/>
    <w:rsid w:val="006C77B6"/>
    <w:rsid w:val="006C77CD"/>
    <w:rsid w:val="006C7857"/>
    <w:rsid w:val="006C786D"/>
    <w:rsid w:val="006C7883"/>
    <w:rsid w:val="006C78E5"/>
    <w:rsid w:val="006C7978"/>
    <w:rsid w:val="006C7A0F"/>
    <w:rsid w:val="006C7A24"/>
    <w:rsid w:val="006C7A52"/>
    <w:rsid w:val="006C7A9A"/>
    <w:rsid w:val="006C7AC5"/>
    <w:rsid w:val="006C7B42"/>
    <w:rsid w:val="006C7B7E"/>
    <w:rsid w:val="006C7B84"/>
    <w:rsid w:val="006C7C00"/>
    <w:rsid w:val="006C7C03"/>
    <w:rsid w:val="006C7C13"/>
    <w:rsid w:val="006C7C1E"/>
    <w:rsid w:val="006C7C2B"/>
    <w:rsid w:val="006C7C3C"/>
    <w:rsid w:val="006C7C44"/>
    <w:rsid w:val="006C7C4B"/>
    <w:rsid w:val="006C7CE9"/>
    <w:rsid w:val="006C7CED"/>
    <w:rsid w:val="006C7CF2"/>
    <w:rsid w:val="006C7D70"/>
    <w:rsid w:val="006C7DB7"/>
    <w:rsid w:val="006C7DD1"/>
    <w:rsid w:val="006C7EB6"/>
    <w:rsid w:val="006C7EC5"/>
    <w:rsid w:val="006C7FA0"/>
    <w:rsid w:val="006C7FA2"/>
    <w:rsid w:val="006C7FFA"/>
    <w:rsid w:val="006D000B"/>
    <w:rsid w:val="006D00B7"/>
    <w:rsid w:val="006D00CB"/>
    <w:rsid w:val="006D00CE"/>
    <w:rsid w:val="006D0113"/>
    <w:rsid w:val="006D0133"/>
    <w:rsid w:val="006D014B"/>
    <w:rsid w:val="006D01AD"/>
    <w:rsid w:val="006D01B3"/>
    <w:rsid w:val="006D01CC"/>
    <w:rsid w:val="006D0236"/>
    <w:rsid w:val="006D0257"/>
    <w:rsid w:val="006D028E"/>
    <w:rsid w:val="006D0305"/>
    <w:rsid w:val="006D0310"/>
    <w:rsid w:val="006D038D"/>
    <w:rsid w:val="006D03A3"/>
    <w:rsid w:val="006D03D0"/>
    <w:rsid w:val="006D03D2"/>
    <w:rsid w:val="006D03DE"/>
    <w:rsid w:val="006D041E"/>
    <w:rsid w:val="006D0472"/>
    <w:rsid w:val="006D04C3"/>
    <w:rsid w:val="006D0528"/>
    <w:rsid w:val="006D059A"/>
    <w:rsid w:val="006D05ED"/>
    <w:rsid w:val="006D0609"/>
    <w:rsid w:val="006D060F"/>
    <w:rsid w:val="006D064D"/>
    <w:rsid w:val="006D065D"/>
    <w:rsid w:val="006D0665"/>
    <w:rsid w:val="006D0678"/>
    <w:rsid w:val="006D0688"/>
    <w:rsid w:val="006D070F"/>
    <w:rsid w:val="006D074C"/>
    <w:rsid w:val="006D075E"/>
    <w:rsid w:val="006D07EB"/>
    <w:rsid w:val="006D07FA"/>
    <w:rsid w:val="006D0814"/>
    <w:rsid w:val="006D0848"/>
    <w:rsid w:val="006D089D"/>
    <w:rsid w:val="006D0959"/>
    <w:rsid w:val="006D0963"/>
    <w:rsid w:val="006D09E8"/>
    <w:rsid w:val="006D0A0C"/>
    <w:rsid w:val="006D0A1D"/>
    <w:rsid w:val="006D0AF4"/>
    <w:rsid w:val="006D0B11"/>
    <w:rsid w:val="006D0B60"/>
    <w:rsid w:val="006D0B8D"/>
    <w:rsid w:val="006D0C2D"/>
    <w:rsid w:val="006D0C38"/>
    <w:rsid w:val="006D0C42"/>
    <w:rsid w:val="006D0C60"/>
    <w:rsid w:val="006D0CC5"/>
    <w:rsid w:val="006D0CD7"/>
    <w:rsid w:val="006D0CFF"/>
    <w:rsid w:val="006D0D0A"/>
    <w:rsid w:val="006D0D30"/>
    <w:rsid w:val="006D0DB4"/>
    <w:rsid w:val="006D0DC6"/>
    <w:rsid w:val="006D0DDF"/>
    <w:rsid w:val="006D0E00"/>
    <w:rsid w:val="006D0E4A"/>
    <w:rsid w:val="006D0E50"/>
    <w:rsid w:val="006D0E78"/>
    <w:rsid w:val="006D0EB0"/>
    <w:rsid w:val="006D0F2B"/>
    <w:rsid w:val="006D0F35"/>
    <w:rsid w:val="006D0F54"/>
    <w:rsid w:val="006D0F73"/>
    <w:rsid w:val="006D0FCB"/>
    <w:rsid w:val="006D0FEB"/>
    <w:rsid w:val="006D1046"/>
    <w:rsid w:val="006D1086"/>
    <w:rsid w:val="006D10E0"/>
    <w:rsid w:val="006D10EA"/>
    <w:rsid w:val="006D10EC"/>
    <w:rsid w:val="006D1135"/>
    <w:rsid w:val="006D113D"/>
    <w:rsid w:val="006D113E"/>
    <w:rsid w:val="006D115B"/>
    <w:rsid w:val="006D1178"/>
    <w:rsid w:val="006D11B5"/>
    <w:rsid w:val="006D11E1"/>
    <w:rsid w:val="006D1210"/>
    <w:rsid w:val="006D1227"/>
    <w:rsid w:val="006D1242"/>
    <w:rsid w:val="006D1250"/>
    <w:rsid w:val="006D127B"/>
    <w:rsid w:val="006D1320"/>
    <w:rsid w:val="006D134A"/>
    <w:rsid w:val="006D13C3"/>
    <w:rsid w:val="006D1425"/>
    <w:rsid w:val="006D1439"/>
    <w:rsid w:val="006D1459"/>
    <w:rsid w:val="006D1480"/>
    <w:rsid w:val="006D1494"/>
    <w:rsid w:val="006D1550"/>
    <w:rsid w:val="006D1584"/>
    <w:rsid w:val="006D15C8"/>
    <w:rsid w:val="006D1610"/>
    <w:rsid w:val="006D163B"/>
    <w:rsid w:val="006D1644"/>
    <w:rsid w:val="006D1656"/>
    <w:rsid w:val="006D1692"/>
    <w:rsid w:val="006D16A9"/>
    <w:rsid w:val="006D16FE"/>
    <w:rsid w:val="006D1740"/>
    <w:rsid w:val="006D1770"/>
    <w:rsid w:val="006D17C3"/>
    <w:rsid w:val="006D17E0"/>
    <w:rsid w:val="006D17FE"/>
    <w:rsid w:val="006D1821"/>
    <w:rsid w:val="006D185F"/>
    <w:rsid w:val="006D1874"/>
    <w:rsid w:val="006D1901"/>
    <w:rsid w:val="006D1905"/>
    <w:rsid w:val="006D1930"/>
    <w:rsid w:val="006D194C"/>
    <w:rsid w:val="006D194F"/>
    <w:rsid w:val="006D1959"/>
    <w:rsid w:val="006D198C"/>
    <w:rsid w:val="006D1A42"/>
    <w:rsid w:val="006D1A6F"/>
    <w:rsid w:val="006D1A99"/>
    <w:rsid w:val="006D1AC7"/>
    <w:rsid w:val="006D1AD1"/>
    <w:rsid w:val="006D1AF0"/>
    <w:rsid w:val="006D1B1E"/>
    <w:rsid w:val="006D1B43"/>
    <w:rsid w:val="006D1B82"/>
    <w:rsid w:val="006D1C6E"/>
    <w:rsid w:val="006D1C7D"/>
    <w:rsid w:val="006D1C7F"/>
    <w:rsid w:val="006D1CB0"/>
    <w:rsid w:val="006D1CEB"/>
    <w:rsid w:val="006D1D42"/>
    <w:rsid w:val="006D1D44"/>
    <w:rsid w:val="006D1D45"/>
    <w:rsid w:val="006D1D64"/>
    <w:rsid w:val="006D1DA6"/>
    <w:rsid w:val="006D1DFE"/>
    <w:rsid w:val="006D1E0C"/>
    <w:rsid w:val="006D1EBC"/>
    <w:rsid w:val="006D1ECC"/>
    <w:rsid w:val="006D1EE0"/>
    <w:rsid w:val="006D1EFC"/>
    <w:rsid w:val="006D1F3B"/>
    <w:rsid w:val="006D1F59"/>
    <w:rsid w:val="006D1FAF"/>
    <w:rsid w:val="006D1FDF"/>
    <w:rsid w:val="006D1FE3"/>
    <w:rsid w:val="006D201F"/>
    <w:rsid w:val="006D2061"/>
    <w:rsid w:val="006D2075"/>
    <w:rsid w:val="006D20BD"/>
    <w:rsid w:val="006D2123"/>
    <w:rsid w:val="006D215C"/>
    <w:rsid w:val="006D219B"/>
    <w:rsid w:val="006D219D"/>
    <w:rsid w:val="006D21BB"/>
    <w:rsid w:val="006D2200"/>
    <w:rsid w:val="006D222D"/>
    <w:rsid w:val="006D2248"/>
    <w:rsid w:val="006D22D5"/>
    <w:rsid w:val="006D2307"/>
    <w:rsid w:val="006D2367"/>
    <w:rsid w:val="006D2380"/>
    <w:rsid w:val="006D2391"/>
    <w:rsid w:val="006D239B"/>
    <w:rsid w:val="006D23EF"/>
    <w:rsid w:val="006D2495"/>
    <w:rsid w:val="006D24A2"/>
    <w:rsid w:val="006D24F2"/>
    <w:rsid w:val="006D24F7"/>
    <w:rsid w:val="006D251F"/>
    <w:rsid w:val="006D255C"/>
    <w:rsid w:val="006D25B3"/>
    <w:rsid w:val="006D25BB"/>
    <w:rsid w:val="006D2602"/>
    <w:rsid w:val="006D2658"/>
    <w:rsid w:val="006D2670"/>
    <w:rsid w:val="006D2694"/>
    <w:rsid w:val="006D26D5"/>
    <w:rsid w:val="006D272B"/>
    <w:rsid w:val="006D274D"/>
    <w:rsid w:val="006D279E"/>
    <w:rsid w:val="006D27BC"/>
    <w:rsid w:val="006D2805"/>
    <w:rsid w:val="006D2843"/>
    <w:rsid w:val="006D2867"/>
    <w:rsid w:val="006D28D8"/>
    <w:rsid w:val="006D2908"/>
    <w:rsid w:val="006D2919"/>
    <w:rsid w:val="006D2969"/>
    <w:rsid w:val="006D297E"/>
    <w:rsid w:val="006D29AE"/>
    <w:rsid w:val="006D29BB"/>
    <w:rsid w:val="006D29E2"/>
    <w:rsid w:val="006D2A54"/>
    <w:rsid w:val="006D2AB8"/>
    <w:rsid w:val="006D2B37"/>
    <w:rsid w:val="006D2B45"/>
    <w:rsid w:val="006D2B5F"/>
    <w:rsid w:val="006D2BB2"/>
    <w:rsid w:val="006D2C3B"/>
    <w:rsid w:val="006D2C7A"/>
    <w:rsid w:val="006D2D53"/>
    <w:rsid w:val="006D2D90"/>
    <w:rsid w:val="006D2D9E"/>
    <w:rsid w:val="006D2DC0"/>
    <w:rsid w:val="006D2DC3"/>
    <w:rsid w:val="006D2E1C"/>
    <w:rsid w:val="006D2E3B"/>
    <w:rsid w:val="006D2E49"/>
    <w:rsid w:val="006D2F08"/>
    <w:rsid w:val="006D2F0C"/>
    <w:rsid w:val="006D2F7B"/>
    <w:rsid w:val="006D2F98"/>
    <w:rsid w:val="006D2FE9"/>
    <w:rsid w:val="006D3043"/>
    <w:rsid w:val="006D3044"/>
    <w:rsid w:val="006D3088"/>
    <w:rsid w:val="006D3091"/>
    <w:rsid w:val="006D30AF"/>
    <w:rsid w:val="006D30C7"/>
    <w:rsid w:val="006D3114"/>
    <w:rsid w:val="006D314E"/>
    <w:rsid w:val="006D31D6"/>
    <w:rsid w:val="006D3200"/>
    <w:rsid w:val="006D3211"/>
    <w:rsid w:val="006D3222"/>
    <w:rsid w:val="006D322C"/>
    <w:rsid w:val="006D3287"/>
    <w:rsid w:val="006D32D1"/>
    <w:rsid w:val="006D32D8"/>
    <w:rsid w:val="006D3314"/>
    <w:rsid w:val="006D3350"/>
    <w:rsid w:val="006D3352"/>
    <w:rsid w:val="006D33E4"/>
    <w:rsid w:val="006D33E9"/>
    <w:rsid w:val="006D3425"/>
    <w:rsid w:val="006D3433"/>
    <w:rsid w:val="006D345A"/>
    <w:rsid w:val="006D34B2"/>
    <w:rsid w:val="006D34D0"/>
    <w:rsid w:val="006D34DD"/>
    <w:rsid w:val="006D3544"/>
    <w:rsid w:val="006D354D"/>
    <w:rsid w:val="006D354F"/>
    <w:rsid w:val="006D3551"/>
    <w:rsid w:val="006D3553"/>
    <w:rsid w:val="006D3579"/>
    <w:rsid w:val="006D357E"/>
    <w:rsid w:val="006D35AC"/>
    <w:rsid w:val="006D35E2"/>
    <w:rsid w:val="006D3606"/>
    <w:rsid w:val="006D363A"/>
    <w:rsid w:val="006D365C"/>
    <w:rsid w:val="006D36AC"/>
    <w:rsid w:val="006D36BA"/>
    <w:rsid w:val="006D36D4"/>
    <w:rsid w:val="006D371B"/>
    <w:rsid w:val="006D3721"/>
    <w:rsid w:val="006D3736"/>
    <w:rsid w:val="006D376E"/>
    <w:rsid w:val="006D3784"/>
    <w:rsid w:val="006D37FF"/>
    <w:rsid w:val="006D38B8"/>
    <w:rsid w:val="006D38BD"/>
    <w:rsid w:val="006D38D4"/>
    <w:rsid w:val="006D3942"/>
    <w:rsid w:val="006D398A"/>
    <w:rsid w:val="006D398D"/>
    <w:rsid w:val="006D39B8"/>
    <w:rsid w:val="006D39E7"/>
    <w:rsid w:val="006D39F4"/>
    <w:rsid w:val="006D3A20"/>
    <w:rsid w:val="006D3A6D"/>
    <w:rsid w:val="006D3A8B"/>
    <w:rsid w:val="006D3A96"/>
    <w:rsid w:val="006D3AA2"/>
    <w:rsid w:val="006D3ABA"/>
    <w:rsid w:val="006D3B18"/>
    <w:rsid w:val="006D3B38"/>
    <w:rsid w:val="006D3B42"/>
    <w:rsid w:val="006D3B44"/>
    <w:rsid w:val="006D3B6E"/>
    <w:rsid w:val="006D3BA8"/>
    <w:rsid w:val="006D3BB0"/>
    <w:rsid w:val="006D3C26"/>
    <w:rsid w:val="006D3C5F"/>
    <w:rsid w:val="006D3C86"/>
    <w:rsid w:val="006D3CBF"/>
    <w:rsid w:val="006D3D1A"/>
    <w:rsid w:val="006D3DD6"/>
    <w:rsid w:val="006D3DEB"/>
    <w:rsid w:val="006D3DF1"/>
    <w:rsid w:val="006D3E4B"/>
    <w:rsid w:val="006D3E5B"/>
    <w:rsid w:val="006D3EC1"/>
    <w:rsid w:val="006D3EEC"/>
    <w:rsid w:val="006D3EF3"/>
    <w:rsid w:val="006D3F08"/>
    <w:rsid w:val="006D3F1C"/>
    <w:rsid w:val="006D400E"/>
    <w:rsid w:val="006D401C"/>
    <w:rsid w:val="006D4025"/>
    <w:rsid w:val="006D405C"/>
    <w:rsid w:val="006D40CB"/>
    <w:rsid w:val="006D4104"/>
    <w:rsid w:val="006D413C"/>
    <w:rsid w:val="006D4164"/>
    <w:rsid w:val="006D41C2"/>
    <w:rsid w:val="006D4263"/>
    <w:rsid w:val="006D4284"/>
    <w:rsid w:val="006D4287"/>
    <w:rsid w:val="006D42AF"/>
    <w:rsid w:val="006D42B8"/>
    <w:rsid w:val="006D42C6"/>
    <w:rsid w:val="006D4328"/>
    <w:rsid w:val="006D4368"/>
    <w:rsid w:val="006D436A"/>
    <w:rsid w:val="006D44DC"/>
    <w:rsid w:val="006D4503"/>
    <w:rsid w:val="006D4522"/>
    <w:rsid w:val="006D4546"/>
    <w:rsid w:val="006D4595"/>
    <w:rsid w:val="006D4615"/>
    <w:rsid w:val="006D462F"/>
    <w:rsid w:val="006D4631"/>
    <w:rsid w:val="006D46AC"/>
    <w:rsid w:val="006D46AD"/>
    <w:rsid w:val="006D46B0"/>
    <w:rsid w:val="006D46B3"/>
    <w:rsid w:val="006D46F3"/>
    <w:rsid w:val="006D4732"/>
    <w:rsid w:val="006D4790"/>
    <w:rsid w:val="006D4797"/>
    <w:rsid w:val="006D47B0"/>
    <w:rsid w:val="006D4808"/>
    <w:rsid w:val="006D48FF"/>
    <w:rsid w:val="006D4919"/>
    <w:rsid w:val="006D4924"/>
    <w:rsid w:val="006D495A"/>
    <w:rsid w:val="006D4983"/>
    <w:rsid w:val="006D4994"/>
    <w:rsid w:val="006D49BB"/>
    <w:rsid w:val="006D49DE"/>
    <w:rsid w:val="006D49E9"/>
    <w:rsid w:val="006D4A24"/>
    <w:rsid w:val="006D4ADB"/>
    <w:rsid w:val="006D4B23"/>
    <w:rsid w:val="006D4B37"/>
    <w:rsid w:val="006D4B4D"/>
    <w:rsid w:val="006D4B73"/>
    <w:rsid w:val="006D4B9A"/>
    <w:rsid w:val="006D4BD3"/>
    <w:rsid w:val="006D4C06"/>
    <w:rsid w:val="006D4C8E"/>
    <w:rsid w:val="006D4C92"/>
    <w:rsid w:val="006D4CB2"/>
    <w:rsid w:val="006D4D29"/>
    <w:rsid w:val="006D4D46"/>
    <w:rsid w:val="006D4D92"/>
    <w:rsid w:val="006D4DD5"/>
    <w:rsid w:val="006D4E21"/>
    <w:rsid w:val="006D4E2F"/>
    <w:rsid w:val="006D4E4A"/>
    <w:rsid w:val="006D4E61"/>
    <w:rsid w:val="006D4EF4"/>
    <w:rsid w:val="006D4EF7"/>
    <w:rsid w:val="006D4F1A"/>
    <w:rsid w:val="006D4F57"/>
    <w:rsid w:val="006D4FA6"/>
    <w:rsid w:val="006D5004"/>
    <w:rsid w:val="006D5008"/>
    <w:rsid w:val="006D5037"/>
    <w:rsid w:val="006D5039"/>
    <w:rsid w:val="006D50A6"/>
    <w:rsid w:val="006D5145"/>
    <w:rsid w:val="006D5148"/>
    <w:rsid w:val="006D517B"/>
    <w:rsid w:val="006D5199"/>
    <w:rsid w:val="006D51CE"/>
    <w:rsid w:val="006D5264"/>
    <w:rsid w:val="006D5284"/>
    <w:rsid w:val="006D532D"/>
    <w:rsid w:val="006D5345"/>
    <w:rsid w:val="006D5384"/>
    <w:rsid w:val="006D538A"/>
    <w:rsid w:val="006D539E"/>
    <w:rsid w:val="006D53BC"/>
    <w:rsid w:val="006D53F0"/>
    <w:rsid w:val="006D53F6"/>
    <w:rsid w:val="006D541B"/>
    <w:rsid w:val="006D546B"/>
    <w:rsid w:val="006D548A"/>
    <w:rsid w:val="006D548D"/>
    <w:rsid w:val="006D54AC"/>
    <w:rsid w:val="006D54CC"/>
    <w:rsid w:val="006D553E"/>
    <w:rsid w:val="006D555C"/>
    <w:rsid w:val="006D5581"/>
    <w:rsid w:val="006D55A6"/>
    <w:rsid w:val="006D55AA"/>
    <w:rsid w:val="006D55D5"/>
    <w:rsid w:val="006D5633"/>
    <w:rsid w:val="006D5644"/>
    <w:rsid w:val="006D565A"/>
    <w:rsid w:val="006D5669"/>
    <w:rsid w:val="006D56EF"/>
    <w:rsid w:val="006D572D"/>
    <w:rsid w:val="006D5744"/>
    <w:rsid w:val="006D5779"/>
    <w:rsid w:val="006D57C0"/>
    <w:rsid w:val="006D57C7"/>
    <w:rsid w:val="006D5821"/>
    <w:rsid w:val="006D582D"/>
    <w:rsid w:val="006D5869"/>
    <w:rsid w:val="006D5876"/>
    <w:rsid w:val="006D5881"/>
    <w:rsid w:val="006D58CD"/>
    <w:rsid w:val="006D58EB"/>
    <w:rsid w:val="006D5917"/>
    <w:rsid w:val="006D598C"/>
    <w:rsid w:val="006D5993"/>
    <w:rsid w:val="006D5995"/>
    <w:rsid w:val="006D5997"/>
    <w:rsid w:val="006D5A1E"/>
    <w:rsid w:val="006D5A96"/>
    <w:rsid w:val="006D5AFA"/>
    <w:rsid w:val="006D5B10"/>
    <w:rsid w:val="006D5B85"/>
    <w:rsid w:val="006D5BD2"/>
    <w:rsid w:val="006D5C05"/>
    <w:rsid w:val="006D5C1C"/>
    <w:rsid w:val="006D5C32"/>
    <w:rsid w:val="006D5CB4"/>
    <w:rsid w:val="006D5D16"/>
    <w:rsid w:val="006D5D5E"/>
    <w:rsid w:val="006D5E15"/>
    <w:rsid w:val="006D5E17"/>
    <w:rsid w:val="006D5E35"/>
    <w:rsid w:val="006D5E50"/>
    <w:rsid w:val="006D5E6B"/>
    <w:rsid w:val="006D5E6E"/>
    <w:rsid w:val="006D5E7B"/>
    <w:rsid w:val="006D5EA5"/>
    <w:rsid w:val="006D5EC4"/>
    <w:rsid w:val="006D5EDB"/>
    <w:rsid w:val="006D5F0E"/>
    <w:rsid w:val="006D5F1B"/>
    <w:rsid w:val="006D5FA1"/>
    <w:rsid w:val="006D5FE1"/>
    <w:rsid w:val="006D5FF5"/>
    <w:rsid w:val="006D600B"/>
    <w:rsid w:val="006D6033"/>
    <w:rsid w:val="006D6072"/>
    <w:rsid w:val="006D60B9"/>
    <w:rsid w:val="006D6174"/>
    <w:rsid w:val="006D618E"/>
    <w:rsid w:val="006D61A5"/>
    <w:rsid w:val="006D61E9"/>
    <w:rsid w:val="006D61ED"/>
    <w:rsid w:val="006D61FF"/>
    <w:rsid w:val="006D6241"/>
    <w:rsid w:val="006D6256"/>
    <w:rsid w:val="006D628B"/>
    <w:rsid w:val="006D6292"/>
    <w:rsid w:val="006D629E"/>
    <w:rsid w:val="006D62D9"/>
    <w:rsid w:val="006D630D"/>
    <w:rsid w:val="006D634A"/>
    <w:rsid w:val="006D6350"/>
    <w:rsid w:val="006D635C"/>
    <w:rsid w:val="006D6383"/>
    <w:rsid w:val="006D6399"/>
    <w:rsid w:val="006D6427"/>
    <w:rsid w:val="006D6468"/>
    <w:rsid w:val="006D646D"/>
    <w:rsid w:val="006D6490"/>
    <w:rsid w:val="006D653A"/>
    <w:rsid w:val="006D653C"/>
    <w:rsid w:val="006D655D"/>
    <w:rsid w:val="006D6590"/>
    <w:rsid w:val="006D6614"/>
    <w:rsid w:val="006D6649"/>
    <w:rsid w:val="006D667B"/>
    <w:rsid w:val="006D66C8"/>
    <w:rsid w:val="006D673B"/>
    <w:rsid w:val="006D67B0"/>
    <w:rsid w:val="006D67EF"/>
    <w:rsid w:val="006D6808"/>
    <w:rsid w:val="006D686A"/>
    <w:rsid w:val="006D687C"/>
    <w:rsid w:val="006D68CD"/>
    <w:rsid w:val="006D68D4"/>
    <w:rsid w:val="006D693D"/>
    <w:rsid w:val="006D6949"/>
    <w:rsid w:val="006D696B"/>
    <w:rsid w:val="006D699D"/>
    <w:rsid w:val="006D6AB7"/>
    <w:rsid w:val="006D6B4B"/>
    <w:rsid w:val="006D6B64"/>
    <w:rsid w:val="006D6BAA"/>
    <w:rsid w:val="006D6BDB"/>
    <w:rsid w:val="006D6C4C"/>
    <w:rsid w:val="006D6D33"/>
    <w:rsid w:val="006D6D3B"/>
    <w:rsid w:val="006D6D66"/>
    <w:rsid w:val="006D6DFC"/>
    <w:rsid w:val="006D6E49"/>
    <w:rsid w:val="006D6E55"/>
    <w:rsid w:val="006D6E7A"/>
    <w:rsid w:val="006D6F5A"/>
    <w:rsid w:val="006D6F91"/>
    <w:rsid w:val="006D6FB2"/>
    <w:rsid w:val="006D6FB4"/>
    <w:rsid w:val="006D70BE"/>
    <w:rsid w:val="006D70EF"/>
    <w:rsid w:val="006D70FA"/>
    <w:rsid w:val="006D7132"/>
    <w:rsid w:val="006D7153"/>
    <w:rsid w:val="006D716C"/>
    <w:rsid w:val="006D718E"/>
    <w:rsid w:val="006D71A1"/>
    <w:rsid w:val="006D720A"/>
    <w:rsid w:val="006D7211"/>
    <w:rsid w:val="006D7225"/>
    <w:rsid w:val="006D7239"/>
    <w:rsid w:val="006D7259"/>
    <w:rsid w:val="006D728F"/>
    <w:rsid w:val="006D729C"/>
    <w:rsid w:val="006D72B0"/>
    <w:rsid w:val="006D7377"/>
    <w:rsid w:val="006D73E1"/>
    <w:rsid w:val="006D7424"/>
    <w:rsid w:val="006D74AF"/>
    <w:rsid w:val="006D7536"/>
    <w:rsid w:val="006D753E"/>
    <w:rsid w:val="006D75DE"/>
    <w:rsid w:val="006D75E4"/>
    <w:rsid w:val="006D7654"/>
    <w:rsid w:val="006D767D"/>
    <w:rsid w:val="006D76A1"/>
    <w:rsid w:val="006D7717"/>
    <w:rsid w:val="006D77B2"/>
    <w:rsid w:val="006D77BB"/>
    <w:rsid w:val="006D77E8"/>
    <w:rsid w:val="006D77FC"/>
    <w:rsid w:val="006D785A"/>
    <w:rsid w:val="006D78D2"/>
    <w:rsid w:val="006D78ED"/>
    <w:rsid w:val="006D7911"/>
    <w:rsid w:val="006D7952"/>
    <w:rsid w:val="006D79E6"/>
    <w:rsid w:val="006D79F5"/>
    <w:rsid w:val="006D7A7C"/>
    <w:rsid w:val="006D7ADB"/>
    <w:rsid w:val="006D7B0F"/>
    <w:rsid w:val="006D7B20"/>
    <w:rsid w:val="006D7B6E"/>
    <w:rsid w:val="006D7BC3"/>
    <w:rsid w:val="006D7BE9"/>
    <w:rsid w:val="006D7C05"/>
    <w:rsid w:val="006D7C91"/>
    <w:rsid w:val="006D7CA7"/>
    <w:rsid w:val="006D7CB9"/>
    <w:rsid w:val="006D7D47"/>
    <w:rsid w:val="006D7D61"/>
    <w:rsid w:val="006D7D72"/>
    <w:rsid w:val="006D7D77"/>
    <w:rsid w:val="006D7D8E"/>
    <w:rsid w:val="006D7DDA"/>
    <w:rsid w:val="006D7DE0"/>
    <w:rsid w:val="006D7DFC"/>
    <w:rsid w:val="006D7E0C"/>
    <w:rsid w:val="006D7E17"/>
    <w:rsid w:val="006D7E2E"/>
    <w:rsid w:val="006D7E3A"/>
    <w:rsid w:val="006D7E7F"/>
    <w:rsid w:val="006D7EEE"/>
    <w:rsid w:val="006D7EF6"/>
    <w:rsid w:val="006D7F16"/>
    <w:rsid w:val="006D7F32"/>
    <w:rsid w:val="006D7F46"/>
    <w:rsid w:val="006D7FB6"/>
    <w:rsid w:val="006D7FDC"/>
    <w:rsid w:val="006E002D"/>
    <w:rsid w:val="006E0031"/>
    <w:rsid w:val="006E0038"/>
    <w:rsid w:val="006E005D"/>
    <w:rsid w:val="006E0090"/>
    <w:rsid w:val="006E00B3"/>
    <w:rsid w:val="006E00C5"/>
    <w:rsid w:val="006E00E2"/>
    <w:rsid w:val="006E00EC"/>
    <w:rsid w:val="006E0100"/>
    <w:rsid w:val="006E0138"/>
    <w:rsid w:val="006E0147"/>
    <w:rsid w:val="006E01E1"/>
    <w:rsid w:val="006E020A"/>
    <w:rsid w:val="006E020C"/>
    <w:rsid w:val="006E0211"/>
    <w:rsid w:val="006E021A"/>
    <w:rsid w:val="006E023C"/>
    <w:rsid w:val="006E0259"/>
    <w:rsid w:val="006E026D"/>
    <w:rsid w:val="006E02BE"/>
    <w:rsid w:val="006E02D2"/>
    <w:rsid w:val="006E02D5"/>
    <w:rsid w:val="006E02F6"/>
    <w:rsid w:val="006E032B"/>
    <w:rsid w:val="006E0344"/>
    <w:rsid w:val="006E036D"/>
    <w:rsid w:val="006E03AB"/>
    <w:rsid w:val="006E03DA"/>
    <w:rsid w:val="006E03FF"/>
    <w:rsid w:val="006E0452"/>
    <w:rsid w:val="006E0456"/>
    <w:rsid w:val="006E0463"/>
    <w:rsid w:val="006E0466"/>
    <w:rsid w:val="006E0472"/>
    <w:rsid w:val="006E0475"/>
    <w:rsid w:val="006E04FA"/>
    <w:rsid w:val="006E050C"/>
    <w:rsid w:val="006E0510"/>
    <w:rsid w:val="006E058D"/>
    <w:rsid w:val="006E0591"/>
    <w:rsid w:val="006E0594"/>
    <w:rsid w:val="006E0614"/>
    <w:rsid w:val="006E061C"/>
    <w:rsid w:val="006E0682"/>
    <w:rsid w:val="006E068F"/>
    <w:rsid w:val="006E06BB"/>
    <w:rsid w:val="006E06CB"/>
    <w:rsid w:val="006E06D7"/>
    <w:rsid w:val="006E06DA"/>
    <w:rsid w:val="006E0705"/>
    <w:rsid w:val="006E071E"/>
    <w:rsid w:val="006E0767"/>
    <w:rsid w:val="006E076B"/>
    <w:rsid w:val="006E0782"/>
    <w:rsid w:val="006E07B5"/>
    <w:rsid w:val="006E07CB"/>
    <w:rsid w:val="006E080C"/>
    <w:rsid w:val="006E0827"/>
    <w:rsid w:val="006E0852"/>
    <w:rsid w:val="006E085D"/>
    <w:rsid w:val="006E088F"/>
    <w:rsid w:val="006E08C2"/>
    <w:rsid w:val="006E08C3"/>
    <w:rsid w:val="006E08DE"/>
    <w:rsid w:val="006E08E1"/>
    <w:rsid w:val="006E095A"/>
    <w:rsid w:val="006E09A0"/>
    <w:rsid w:val="006E09C2"/>
    <w:rsid w:val="006E0A45"/>
    <w:rsid w:val="006E0A93"/>
    <w:rsid w:val="006E0A9F"/>
    <w:rsid w:val="006E0ACF"/>
    <w:rsid w:val="006E0AEE"/>
    <w:rsid w:val="006E0AF2"/>
    <w:rsid w:val="006E0B29"/>
    <w:rsid w:val="006E0BA1"/>
    <w:rsid w:val="006E0BB8"/>
    <w:rsid w:val="006E0BBC"/>
    <w:rsid w:val="006E0BCD"/>
    <w:rsid w:val="006E0BD4"/>
    <w:rsid w:val="006E0C6B"/>
    <w:rsid w:val="006E0D11"/>
    <w:rsid w:val="006E0D3C"/>
    <w:rsid w:val="006E0D43"/>
    <w:rsid w:val="006E0D51"/>
    <w:rsid w:val="006E0D7A"/>
    <w:rsid w:val="006E0DC5"/>
    <w:rsid w:val="006E0E25"/>
    <w:rsid w:val="006E0E2B"/>
    <w:rsid w:val="006E0E3E"/>
    <w:rsid w:val="006E0E97"/>
    <w:rsid w:val="006E0F23"/>
    <w:rsid w:val="006E0FBE"/>
    <w:rsid w:val="006E0FC5"/>
    <w:rsid w:val="006E0FEF"/>
    <w:rsid w:val="006E1126"/>
    <w:rsid w:val="006E1175"/>
    <w:rsid w:val="006E117C"/>
    <w:rsid w:val="006E11A9"/>
    <w:rsid w:val="006E11B8"/>
    <w:rsid w:val="006E11EF"/>
    <w:rsid w:val="006E11F5"/>
    <w:rsid w:val="006E11FD"/>
    <w:rsid w:val="006E11FF"/>
    <w:rsid w:val="006E123E"/>
    <w:rsid w:val="006E1268"/>
    <w:rsid w:val="006E12FD"/>
    <w:rsid w:val="006E130C"/>
    <w:rsid w:val="006E130F"/>
    <w:rsid w:val="006E138E"/>
    <w:rsid w:val="006E1395"/>
    <w:rsid w:val="006E139E"/>
    <w:rsid w:val="006E13B2"/>
    <w:rsid w:val="006E1403"/>
    <w:rsid w:val="006E1451"/>
    <w:rsid w:val="006E147C"/>
    <w:rsid w:val="006E148A"/>
    <w:rsid w:val="006E158E"/>
    <w:rsid w:val="006E15A0"/>
    <w:rsid w:val="006E1667"/>
    <w:rsid w:val="006E1678"/>
    <w:rsid w:val="006E1687"/>
    <w:rsid w:val="006E16F8"/>
    <w:rsid w:val="006E16F9"/>
    <w:rsid w:val="006E1701"/>
    <w:rsid w:val="006E1732"/>
    <w:rsid w:val="006E176D"/>
    <w:rsid w:val="006E177A"/>
    <w:rsid w:val="006E178F"/>
    <w:rsid w:val="006E1791"/>
    <w:rsid w:val="006E17AC"/>
    <w:rsid w:val="006E17B5"/>
    <w:rsid w:val="006E182C"/>
    <w:rsid w:val="006E1838"/>
    <w:rsid w:val="006E1856"/>
    <w:rsid w:val="006E187F"/>
    <w:rsid w:val="006E1881"/>
    <w:rsid w:val="006E1897"/>
    <w:rsid w:val="006E18C8"/>
    <w:rsid w:val="006E18E8"/>
    <w:rsid w:val="006E1934"/>
    <w:rsid w:val="006E1966"/>
    <w:rsid w:val="006E1990"/>
    <w:rsid w:val="006E19CA"/>
    <w:rsid w:val="006E1A0C"/>
    <w:rsid w:val="006E1A2D"/>
    <w:rsid w:val="006E1A76"/>
    <w:rsid w:val="006E1A9D"/>
    <w:rsid w:val="006E1AC7"/>
    <w:rsid w:val="006E1AF9"/>
    <w:rsid w:val="006E1B09"/>
    <w:rsid w:val="006E1BC4"/>
    <w:rsid w:val="006E1C05"/>
    <w:rsid w:val="006E1C1F"/>
    <w:rsid w:val="006E1C38"/>
    <w:rsid w:val="006E1C3E"/>
    <w:rsid w:val="006E1C9B"/>
    <w:rsid w:val="006E1CF4"/>
    <w:rsid w:val="006E1D00"/>
    <w:rsid w:val="006E1D0F"/>
    <w:rsid w:val="006E1D4D"/>
    <w:rsid w:val="006E1DCE"/>
    <w:rsid w:val="006E1DF3"/>
    <w:rsid w:val="006E1DFC"/>
    <w:rsid w:val="006E1E1C"/>
    <w:rsid w:val="006E1E22"/>
    <w:rsid w:val="006E1E25"/>
    <w:rsid w:val="006E1E57"/>
    <w:rsid w:val="006E1E80"/>
    <w:rsid w:val="006E1EEB"/>
    <w:rsid w:val="006E1F2C"/>
    <w:rsid w:val="006E1F2F"/>
    <w:rsid w:val="006E1F4A"/>
    <w:rsid w:val="006E1F72"/>
    <w:rsid w:val="006E1FB5"/>
    <w:rsid w:val="006E1FEC"/>
    <w:rsid w:val="006E2047"/>
    <w:rsid w:val="006E208F"/>
    <w:rsid w:val="006E20A8"/>
    <w:rsid w:val="006E20B3"/>
    <w:rsid w:val="006E20F6"/>
    <w:rsid w:val="006E20F8"/>
    <w:rsid w:val="006E2145"/>
    <w:rsid w:val="006E21A9"/>
    <w:rsid w:val="006E21DC"/>
    <w:rsid w:val="006E220E"/>
    <w:rsid w:val="006E222E"/>
    <w:rsid w:val="006E2256"/>
    <w:rsid w:val="006E2265"/>
    <w:rsid w:val="006E2286"/>
    <w:rsid w:val="006E22C9"/>
    <w:rsid w:val="006E232E"/>
    <w:rsid w:val="006E2372"/>
    <w:rsid w:val="006E23AB"/>
    <w:rsid w:val="006E23D7"/>
    <w:rsid w:val="006E2421"/>
    <w:rsid w:val="006E2432"/>
    <w:rsid w:val="006E246D"/>
    <w:rsid w:val="006E24D6"/>
    <w:rsid w:val="006E251D"/>
    <w:rsid w:val="006E2538"/>
    <w:rsid w:val="006E254F"/>
    <w:rsid w:val="006E25A3"/>
    <w:rsid w:val="006E25F6"/>
    <w:rsid w:val="006E25F9"/>
    <w:rsid w:val="006E25FB"/>
    <w:rsid w:val="006E262F"/>
    <w:rsid w:val="006E26C3"/>
    <w:rsid w:val="006E26D8"/>
    <w:rsid w:val="006E26E6"/>
    <w:rsid w:val="006E26E8"/>
    <w:rsid w:val="006E2711"/>
    <w:rsid w:val="006E2784"/>
    <w:rsid w:val="006E27C2"/>
    <w:rsid w:val="006E27FE"/>
    <w:rsid w:val="006E284E"/>
    <w:rsid w:val="006E2865"/>
    <w:rsid w:val="006E2890"/>
    <w:rsid w:val="006E289C"/>
    <w:rsid w:val="006E28DF"/>
    <w:rsid w:val="006E2964"/>
    <w:rsid w:val="006E296B"/>
    <w:rsid w:val="006E29AD"/>
    <w:rsid w:val="006E29B1"/>
    <w:rsid w:val="006E29B7"/>
    <w:rsid w:val="006E2A50"/>
    <w:rsid w:val="006E2A8D"/>
    <w:rsid w:val="006E2AAB"/>
    <w:rsid w:val="006E2B61"/>
    <w:rsid w:val="006E2B6E"/>
    <w:rsid w:val="006E2B6F"/>
    <w:rsid w:val="006E2B91"/>
    <w:rsid w:val="006E2B9F"/>
    <w:rsid w:val="006E2BAA"/>
    <w:rsid w:val="006E2BD0"/>
    <w:rsid w:val="006E2C1A"/>
    <w:rsid w:val="006E2C61"/>
    <w:rsid w:val="006E2C87"/>
    <w:rsid w:val="006E2CB7"/>
    <w:rsid w:val="006E2CEC"/>
    <w:rsid w:val="006E2D3F"/>
    <w:rsid w:val="006E2D42"/>
    <w:rsid w:val="006E2D59"/>
    <w:rsid w:val="006E2D62"/>
    <w:rsid w:val="006E2D63"/>
    <w:rsid w:val="006E2D68"/>
    <w:rsid w:val="006E2DC8"/>
    <w:rsid w:val="006E2DCE"/>
    <w:rsid w:val="006E2E6B"/>
    <w:rsid w:val="006E2EFB"/>
    <w:rsid w:val="006E2F09"/>
    <w:rsid w:val="006E2F1D"/>
    <w:rsid w:val="006E2FA7"/>
    <w:rsid w:val="006E2FE1"/>
    <w:rsid w:val="006E3002"/>
    <w:rsid w:val="006E3009"/>
    <w:rsid w:val="006E3085"/>
    <w:rsid w:val="006E30B4"/>
    <w:rsid w:val="006E30B6"/>
    <w:rsid w:val="006E31C4"/>
    <w:rsid w:val="006E31EE"/>
    <w:rsid w:val="006E3221"/>
    <w:rsid w:val="006E3247"/>
    <w:rsid w:val="006E3289"/>
    <w:rsid w:val="006E328E"/>
    <w:rsid w:val="006E32C6"/>
    <w:rsid w:val="006E32EC"/>
    <w:rsid w:val="006E3363"/>
    <w:rsid w:val="006E3390"/>
    <w:rsid w:val="006E33A3"/>
    <w:rsid w:val="006E33B8"/>
    <w:rsid w:val="006E33F9"/>
    <w:rsid w:val="006E3459"/>
    <w:rsid w:val="006E3473"/>
    <w:rsid w:val="006E3575"/>
    <w:rsid w:val="006E35DF"/>
    <w:rsid w:val="006E35E6"/>
    <w:rsid w:val="006E3626"/>
    <w:rsid w:val="006E3638"/>
    <w:rsid w:val="006E3680"/>
    <w:rsid w:val="006E368A"/>
    <w:rsid w:val="006E36F1"/>
    <w:rsid w:val="006E3718"/>
    <w:rsid w:val="006E3719"/>
    <w:rsid w:val="006E379E"/>
    <w:rsid w:val="006E37C6"/>
    <w:rsid w:val="006E37C7"/>
    <w:rsid w:val="006E37CF"/>
    <w:rsid w:val="006E37F1"/>
    <w:rsid w:val="006E37F8"/>
    <w:rsid w:val="006E3840"/>
    <w:rsid w:val="006E38A4"/>
    <w:rsid w:val="006E38A8"/>
    <w:rsid w:val="006E38AD"/>
    <w:rsid w:val="006E38B4"/>
    <w:rsid w:val="006E393E"/>
    <w:rsid w:val="006E395E"/>
    <w:rsid w:val="006E3968"/>
    <w:rsid w:val="006E3A11"/>
    <w:rsid w:val="006E3A57"/>
    <w:rsid w:val="006E3A9C"/>
    <w:rsid w:val="006E3AFB"/>
    <w:rsid w:val="006E3B34"/>
    <w:rsid w:val="006E3B4D"/>
    <w:rsid w:val="006E3B69"/>
    <w:rsid w:val="006E3BC8"/>
    <w:rsid w:val="006E3BD3"/>
    <w:rsid w:val="006E3CA0"/>
    <w:rsid w:val="006E3CE2"/>
    <w:rsid w:val="006E3D18"/>
    <w:rsid w:val="006E3D31"/>
    <w:rsid w:val="006E3D35"/>
    <w:rsid w:val="006E3D3C"/>
    <w:rsid w:val="006E3D54"/>
    <w:rsid w:val="006E3D94"/>
    <w:rsid w:val="006E3DBA"/>
    <w:rsid w:val="006E3E55"/>
    <w:rsid w:val="006E3E59"/>
    <w:rsid w:val="006E3E86"/>
    <w:rsid w:val="006E3EEB"/>
    <w:rsid w:val="006E3F09"/>
    <w:rsid w:val="006E3F3D"/>
    <w:rsid w:val="006E3F68"/>
    <w:rsid w:val="006E3F82"/>
    <w:rsid w:val="006E3FB0"/>
    <w:rsid w:val="006E4035"/>
    <w:rsid w:val="006E407D"/>
    <w:rsid w:val="006E407E"/>
    <w:rsid w:val="006E40A9"/>
    <w:rsid w:val="006E40D4"/>
    <w:rsid w:val="006E4168"/>
    <w:rsid w:val="006E416A"/>
    <w:rsid w:val="006E417A"/>
    <w:rsid w:val="006E418D"/>
    <w:rsid w:val="006E4193"/>
    <w:rsid w:val="006E41AA"/>
    <w:rsid w:val="006E41AB"/>
    <w:rsid w:val="006E4214"/>
    <w:rsid w:val="006E4250"/>
    <w:rsid w:val="006E4269"/>
    <w:rsid w:val="006E428C"/>
    <w:rsid w:val="006E429D"/>
    <w:rsid w:val="006E4363"/>
    <w:rsid w:val="006E43B1"/>
    <w:rsid w:val="006E4445"/>
    <w:rsid w:val="006E4483"/>
    <w:rsid w:val="006E44D3"/>
    <w:rsid w:val="006E450E"/>
    <w:rsid w:val="006E459B"/>
    <w:rsid w:val="006E45A3"/>
    <w:rsid w:val="006E45BB"/>
    <w:rsid w:val="006E45D1"/>
    <w:rsid w:val="006E45D8"/>
    <w:rsid w:val="006E4616"/>
    <w:rsid w:val="006E46A3"/>
    <w:rsid w:val="006E46D8"/>
    <w:rsid w:val="006E46F8"/>
    <w:rsid w:val="006E46FE"/>
    <w:rsid w:val="006E4735"/>
    <w:rsid w:val="006E4744"/>
    <w:rsid w:val="006E4760"/>
    <w:rsid w:val="006E476E"/>
    <w:rsid w:val="006E4787"/>
    <w:rsid w:val="006E479A"/>
    <w:rsid w:val="006E4877"/>
    <w:rsid w:val="006E4894"/>
    <w:rsid w:val="006E48F5"/>
    <w:rsid w:val="006E4904"/>
    <w:rsid w:val="006E494F"/>
    <w:rsid w:val="006E4956"/>
    <w:rsid w:val="006E4968"/>
    <w:rsid w:val="006E4979"/>
    <w:rsid w:val="006E4991"/>
    <w:rsid w:val="006E4998"/>
    <w:rsid w:val="006E49BA"/>
    <w:rsid w:val="006E4A11"/>
    <w:rsid w:val="006E4A18"/>
    <w:rsid w:val="006E4A57"/>
    <w:rsid w:val="006E4A95"/>
    <w:rsid w:val="006E4AC1"/>
    <w:rsid w:val="006E4AC9"/>
    <w:rsid w:val="006E4AEB"/>
    <w:rsid w:val="006E4B02"/>
    <w:rsid w:val="006E4BD5"/>
    <w:rsid w:val="006E4C4D"/>
    <w:rsid w:val="006E4CC9"/>
    <w:rsid w:val="006E4CE0"/>
    <w:rsid w:val="006E4D11"/>
    <w:rsid w:val="006E4D71"/>
    <w:rsid w:val="006E4DFD"/>
    <w:rsid w:val="006E4EE4"/>
    <w:rsid w:val="006E4EEC"/>
    <w:rsid w:val="006E4F38"/>
    <w:rsid w:val="006E4F61"/>
    <w:rsid w:val="006E4F98"/>
    <w:rsid w:val="006E4FC7"/>
    <w:rsid w:val="006E4FD2"/>
    <w:rsid w:val="006E5033"/>
    <w:rsid w:val="006E507F"/>
    <w:rsid w:val="006E5088"/>
    <w:rsid w:val="006E50A6"/>
    <w:rsid w:val="006E50BC"/>
    <w:rsid w:val="006E50DE"/>
    <w:rsid w:val="006E5101"/>
    <w:rsid w:val="006E5109"/>
    <w:rsid w:val="006E5172"/>
    <w:rsid w:val="006E5194"/>
    <w:rsid w:val="006E51BC"/>
    <w:rsid w:val="006E52F7"/>
    <w:rsid w:val="006E535D"/>
    <w:rsid w:val="006E5380"/>
    <w:rsid w:val="006E539F"/>
    <w:rsid w:val="006E53A5"/>
    <w:rsid w:val="006E53B1"/>
    <w:rsid w:val="006E53C4"/>
    <w:rsid w:val="006E53F7"/>
    <w:rsid w:val="006E5412"/>
    <w:rsid w:val="006E5468"/>
    <w:rsid w:val="006E5499"/>
    <w:rsid w:val="006E54DB"/>
    <w:rsid w:val="006E5510"/>
    <w:rsid w:val="006E551F"/>
    <w:rsid w:val="006E553C"/>
    <w:rsid w:val="006E5561"/>
    <w:rsid w:val="006E55FC"/>
    <w:rsid w:val="006E569B"/>
    <w:rsid w:val="006E5709"/>
    <w:rsid w:val="006E5745"/>
    <w:rsid w:val="006E5766"/>
    <w:rsid w:val="006E5783"/>
    <w:rsid w:val="006E57BE"/>
    <w:rsid w:val="006E57C1"/>
    <w:rsid w:val="006E5844"/>
    <w:rsid w:val="006E585D"/>
    <w:rsid w:val="006E5879"/>
    <w:rsid w:val="006E589F"/>
    <w:rsid w:val="006E58E0"/>
    <w:rsid w:val="006E58EF"/>
    <w:rsid w:val="006E591B"/>
    <w:rsid w:val="006E591D"/>
    <w:rsid w:val="006E597F"/>
    <w:rsid w:val="006E59BC"/>
    <w:rsid w:val="006E59C6"/>
    <w:rsid w:val="006E59CC"/>
    <w:rsid w:val="006E59F1"/>
    <w:rsid w:val="006E5A23"/>
    <w:rsid w:val="006E5A3D"/>
    <w:rsid w:val="006E5AA6"/>
    <w:rsid w:val="006E5B00"/>
    <w:rsid w:val="006E5B05"/>
    <w:rsid w:val="006E5B19"/>
    <w:rsid w:val="006E5B72"/>
    <w:rsid w:val="006E5B7B"/>
    <w:rsid w:val="006E5C09"/>
    <w:rsid w:val="006E5C1E"/>
    <w:rsid w:val="006E5C36"/>
    <w:rsid w:val="006E5C38"/>
    <w:rsid w:val="006E5C5D"/>
    <w:rsid w:val="006E5CDA"/>
    <w:rsid w:val="006E5CF3"/>
    <w:rsid w:val="006E5D47"/>
    <w:rsid w:val="006E5D54"/>
    <w:rsid w:val="006E5D5A"/>
    <w:rsid w:val="006E5DA5"/>
    <w:rsid w:val="006E5DB0"/>
    <w:rsid w:val="006E5DED"/>
    <w:rsid w:val="006E5E3B"/>
    <w:rsid w:val="006E5E50"/>
    <w:rsid w:val="006E5E52"/>
    <w:rsid w:val="006E5E57"/>
    <w:rsid w:val="006E5E5A"/>
    <w:rsid w:val="006E5F02"/>
    <w:rsid w:val="006E5F49"/>
    <w:rsid w:val="006E5F78"/>
    <w:rsid w:val="006E5FC4"/>
    <w:rsid w:val="006E5FC7"/>
    <w:rsid w:val="006E5FD6"/>
    <w:rsid w:val="006E600A"/>
    <w:rsid w:val="006E601B"/>
    <w:rsid w:val="006E6048"/>
    <w:rsid w:val="006E605E"/>
    <w:rsid w:val="006E6073"/>
    <w:rsid w:val="006E609F"/>
    <w:rsid w:val="006E60E4"/>
    <w:rsid w:val="006E60E5"/>
    <w:rsid w:val="006E6108"/>
    <w:rsid w:val="006E610F"/>
    <w:rsid w:val="006E6146"/>
    <w:rsid w:val="006E6177"/>
    <w:rsid w:val="006E61BE"/>
    <w:rsid w:val="006E61F0"/>
    <w:rsid w:val="006E6202"/>
    <w:rsid w:val="006E6206"/>
    <w:rsid w:val="006E6236"/>
    <w:rsid w:val="006E6249"/>
    <w:rsid w:val="006E625A"/>
    <w:rsid w:val="006E6268"/>
    <w:rsid w:val="006E62BE"/>
    <w:rsid w:val="006E62DE"/>
    <w:rsid w:val="006E62F7"/>
    <w:rsid w:val="006E6377"/>
    <w:rsid w:val="006E639F"/>
    <w:rsid w:val="006E63FC"/>
    <w:rsid w:val="006E644A"/>
    <w:rsid w:val="006E6459"/>
    <w:rsid w:val="006E645F"/>
    <w:rsid w:val="006E646F"/>
    <w:rsid w:val="006E6489"/>
    <w:rsid w:val="006E64DC"/>
    <w:rsid w:val="006E651A"/>
    <w:rsid w:val="006E655A"/>
    <w:rsid w:val="006E655B"/>
    <w:rsid w:val="006E6627"/>
    <w:rsid w:val="006E6642"/>
    <w:rsid w:val="006E664B"/>
    <w:rsid w:val="006E6683"/>
    <w:rsid w:val="006E66A2"/>
    <w:rsid w:val="006E66A6"/>
    <w:rsid w:val="006E66B3"/>
    <w:rsid w:val="006E66C2"/>
    <w:rsid w:val="006E66C4"/>
    <w:rsid w:val="006E671F"/>
    <w:rsid w:val="006E6755"/>
    <w:rsid w:val="006E6767"/>
    <w:rsid w:val="006E6775"/>
    <w:rsid w:val="006E6780"/>
    <w:rsid w:val="006E67AD"/>
    <w:rsid w:val="006E6873"/>
    <w:rsid w:val="006E689F"/>
    <w:rsid w:val="006E68E0"/>
    <w:rsid w:val="006E692D"/>
    <w:rsid w:val="006E69A8"/>
    <w:rsid w:val="006E69DE"/>
    <w:rsid w:val="006E6A2B"/>
    <w:rsid w:val="006E6ADE"/>
    <w:rsid w:val="006E6AE6"/>
    <w:rsid w:val="006E6AFB"/>
    <w:rsid w:val="006E6B1D"/>
    <w:rsid w:val="006E6B1E"/>
    <w:rsid w:val="006E6B5F"/>
    <w:rsid w:val="006E6B92"/>
    <w:rsid w:val="006E6BA0"/>
    <w:rsid w:val="006E6BB5"/>
    <w:rsid w:val="006E6BD1"/>
    <w:rsid w:val="006E6BFB"/>
    <w:rsid w:val="006E6CC5"/>
    <w:rsid w:val="006E6D48"/>
    <w:rsid w:val="006E6D49"/>
    <w:rsid w:val="006E6D7D"/>
    <w:rsid w:val="006E6D8E"/>
    <w:rsid w:val="006E6DA3"/>
    <w:rsid w:val="006E6DF9"/>
    <w:rsid w:val="006E6E53"/>
    <w:rsid w:val="006E6E62"/>
    <w:rsid w:val="006E6EF4"/>
    <w:rsid w:val="006E6FCF"/>
    <w:rsid w:val="006E7032"/>
    <w:rsid w:val="006E70AD"/>
    <w:rsid w:val="006E70AF"/>
    <w:rsid w:val="006E70F1"/>
    <w:rsid w:val="006E7139"/>
    <w:rsid w:val="006E717F"/>
    <w:rsid w:val="006E7192"/>
    <w:rsid w:val="006E71AF"/>
    <w:rsid w:val="006E71B3"/>
    <w:rsid w:val="006E71DE"/>
    <w:rsid w:val="006E722C"/>
    <w:rsid w:val="006E7289"/>
    <w:rsid w:val="006E72A2"/>
    <w:rsid w:val="006E72CC"/>
    <w:rsid w:val="006E730A"/>
    <w:rsid w:val="006E733F"/>
    <w:rsid w:val="006E734C"/>
    <w:rsid w:val="006E7387"/>
    <w:rsid w:val="006E73A3"/>
    <w:rsid w:val="006E73E3"/>
    <w:rsid w:val="006E73EE"/>
    <w:rsid w:val="006E7400"/>
    <w:rsid w:val="006E7411"/>
    <w:rsid w:val="006E7437"/>
    <w:rsid w:val="006E7446"/>
    <w:rsid w:val="006E74A4"/>
    <w:rsid w:val="006E74AF"/>
    <w:rsid w:val="006E74BE"/>
    <w:rsid w:val="006E74D9"/>
    <w:rsid w:val="006E750A"/>
    <w:rsid w:val="006E7554"/>
    <w:rsid w:val="006E7591"/>
    <w:rsid w:val="006E75BE"/>
    <w:rsid w:val="006E7661"/>
    <w:rsid w:val="006E766B"/>
    <w:rsid w:val="006E7683"/>
    <w:rsid w:val="006E76E7"/>
    <w:rsid w:val="006E776B"/>
    <w:rsid w:val="006E77CC"/>
    <w:rsid w:val="006E782A"/>
    <w:rsid w:val="006E7838"/>
    <w:rsid w:val="006E785E"/>
    <w:rsid w:val="006E7860"/>
    <w:rsid w:val="006E787F"/>
    <w:rsid w:val="006E78E2"/>
    <w:rsid w:val="006E7900"/>
    <w:rsid w:val="006E7969"/>
    <w:rsid w:val="006E798E"/>
    <w:rsid w:val="006E79B6"/>
    <w:rsid w:val="006E79FF"/>
    <w:rsid w:val="006E7A0B"/>
    <w:rsid w:val="006E7A3F"/>
    <w:rsid w:val="006E7A56"/>
    <w:rsid w:val="006E7AA0"/>
    <w:rsid w:val="006E7AC3"/>
    <w:rsid w:val="006E7AC8"/>
    <w:rsid w:val="006E7B29"/>
    <w:rsid w:val="006E7BAD"/>
    <w:rsid w:val="006E7BD1"/>
    <w:rsid w:val="006E7BD7"/>
    <w:rsid w:val="006E7C63"/>
    <w:rsid w:val="006E7C7C"/>
    <w:rsid w:val="006E7C93"/>
    <w:rsid w:val="006E7CAB"/>
    <w:rsid w:val="006E7CCF"/>
    <w:rsid w:val="006E7CDC"/>
    <w:rsid w:val="006E7D77"/>
    <w:rsid w:val="006E7D91"/>
    <w:rsid w:val="006E7D9E"/>
    <w:rsid w:val="006E7DA3"/>
    <w:rsid w:val="006E7DBE"/>
    <w:rsid w:val="006E7E18"/>
    <w:rsid w:val="006E7E48"/>
    <w:rsid w:val="006E7E70"/>
    <w:rsid w:val="006E7EB1"/>
    <w:rsid w:val="006E7EB3"/>
    <w:rsid w:val="006E7EE0"/>
    <w:rsid w:val="006E7EF9"/>
    <w:rsid w:val="006E7F2D"/>
    <w:rsid w:val="006E7F76"/>
    <w:rsid w:val="006E7FD9"/>
    <w:rsid w:val="006F0035"/>
    <w:rsid w:val="006F0068"/>
    <w:rsid w:val="006F0071"/>
    <w:rsid w:val="006F0087"/>
    <w:rsid w:val="006F0088"/>
    <w:rsid w:val="006F00B2"/>
    <w:rsid w:val="006F00B3"/>
    <w:rsid w:val="006F00F1"/>
    <w:rsid w:val="006F012F"/>
    <w:rsid w:val="006F0160"/>
    <w:rsid w:val="006F01C1"/>
    <w:rsid w:val="006F01C2"/>
    <w:rsid w:val="006F01CD"/>
    <w:rsid w:val="006F022D"/>
    <w:rsid w:val="006F025B"/>
    <w:rsid w:val="006F0277"/>
    <w:rsid w:val="006F029C"/>
    <w:rsid w:val="006F02CA"/>
    <w:rsid w:val="006F0345"/>
    <w:rsid w:val="006F0365"/>
    <w:rsid w:val="006F0376"/>
    <w:rsid w:val="006F03A8"/>
    <w:rsid w:val="006F040E"/>
    <w:rsid w:val="006F0457"/>
    <w:rsid w:val="006F047A"/>
    <w:rsid w:val="006F048F"/>
    <w:rsid w:val="006F04B2"/>
    <w:rsid w:val="006F04E6"/>
    <w:rsid w:val="006F0512"/>
    <w:rsid w:val="006F0572"/>
    <w:rsid w:val="006F05D6"/>
    <w:rsid w:val="006F05EE"/>
    <w:rsid w:val="006F05FB"/>
    <w:rsid w:val="006F0669"/>
    <w:rsid w:val="006F068D"/>
    <w:rsid w:val="006F070F"/>
    <w:rsid w:val="006F0740"/>
    <w:rsid w:val="006F077A"/>
    <w:rsid w:val="006F07DC"/>
    <w:rsid w:val="006F082E"/>
    <w:rsid w:val="006F0848"/>
    <w:rsid w:val="006F0854"/>
    <w:rsid w:val="006F08B3"/>
    <w:rsid w:val="006F08EB"/>
    <w:rsid w:val="006F095A"/>
    <w:rsid w:val="006F0983"/>
    <w:rsid w:val="006F098E"/>
    <w:rsid w:val="006F09C8"/>
    <w:rsid w:val="006F09E8"/>
    <w:rsid w:val="006F0A17"/>
    <w:rsid w:val="006F0A91"/>
    <w:rsid w:val="006F0A93"/>
    <w:rsid w:val="006F0A97"/>
    <w:rsid w:val="006F0AED"/>
    <w:rsid w:val="006F0AFE"/>
    <w:rsid w:val="006F0B29"/>
    <w:rsid w:val="006F0B97"/>
    <w:rsid w:val="006F0BC1"/>
    <w:rsid w:val="006F0C4E"/>
    <w:rsid w:val="006F0CF1"/>
    <w:rsid w:val="006F0D17"/>
    <w:rsid w:val="006F0D81"/>
    <w:rsid w:val="006F0DCE"/>
    <w:rsid w:val="006F0E62"/>
    <w:rsid w:val="006F0E7A"/>
    <w:rsid w:val="006F0E80"/>
    <w:rsid w:val="006F0EA7"/>
    <w:rsid w:val="006F0EEA"/>
    <w:rsid w:val="006F0F34"/>
    <w:rsid w:val="006F0F61"/>
    <w:rsid w:val="006F0FF4"/>
    <w:rsid w:val="006F1009"/>
    <w:rsid w:val="006F101D"/>
    <w:rsid w:val="006F107E"/>
    <w:rsid w:val="006F108B"/>
    <w:rsid w:val="006F108D"/>
    <w:rsid w:val="006F10BF"/>
    <w:rsid w:val="006F10E5"/>
    <w:rsid w:val="006F1112"/>
    <w:rsid w:val="006F1165"/>
    <w:rsid w:val="006F11A5"/>
    <w:rsid w:val="006F11D4"/>
    <w:rsid w:val="006F11DD"/>
    <w:rsid w:val="006F1205"/>
    <w:rsid w:val="006F1237"/>
    <w:rsid w:val="006F1283"/>
    <w:rsid w:val="006F12BE"/>
    <w:rsid w:val="006F12D0"/>
    <w:rsid w:val="006F131B"/>
    <w:rsid w:val="006F1324"/>
    <w:rsid w:val="006F132A"/>
    <w:rsid w:val="006F1336"/>
    <w:rsid w:val="006F1348"/>
    <w:rsid w:val="006F134E"/>
    <w:rsid w:val="006F1359"/>
    <w:rsid w:val="006F1394"/>
    <w:rsid w:val="006F13F9"/>
    <w:rsid w:val="006F1492"/>
    <w:rsid w:val="006F151B"/>
    <w:rsid w:val="006F1542"/>
    <w:rsid w:val="006F1564"/>
    <w:rsid w:val="006F156D"/>
    <w:rsid w:val="006F15EC"/>
    <w:rsid w:val="006F1609"/>
    <w:rsid w:val="006F1698"/>
    <w:rsid w:val="006F16B8"/>
    <w:rsid w:val="006F172F"/>
    <w:rsid w:val="006F174D"/>
    <w:rsid w:val="006F17A7"/>
    <w:rsid w:val="006F17CB"/>
    <w:rsid w:val="006F17E7"/>
    <w:rsid w:val="006F1817"/>
    <w:rsid w:val="006F1825"/>
    <w:rsid w:val="006F1833"/>
    <w:rsid w:val="006F1875"/>
    <w:rsid w:val="006F18FC"/>
    <w:rsid w:val="006F199C"/>
    <w:rsid w:val="006F199E"/>
    <w:rsid w:val="006F19E1"/>
    <w:rsid w:val="006F1A44"/>
    <w:rsid w:val="006F1A57"/>
    <w:rsid w:val="006F1A69"/>
    <w:rsid w:val="006F1A96"/>
    <w:rsid w:val="006F1B3E"/>
    <w:rsid w:val="006F1B48"/>
    <w:rsid w:val="006F1B67"/>
    <w:rsid w:val="006F1C14"/>
    <w:rsid w:val="006F1C18"/>
    <w:rsid w:val="006F1C24"/>
    <w:rsid w:val="006F1C3D"/>
    <w:rsid w:val="006F1D0E"/>
    <w:rsid w:val="006F1D22"/>
    <w:rsid w:val="006F1D3B"/>
    <w:rsid w:val="006F1D3D"/>
    <w:rsid w:val="006F1D54"/>
    <w:rsid w:val="006F1D7F"/>
    <w:rsid w:val="006F1D82"/>
    <w:rsid w:val="006F1E2F"/>
    <w:rsid w:val="006F1E71"/>
    <w:rsid w:val="006F1E9F"/>
    <w:rsid w:val="006F1EB7"/>
    <w:rsid w:val="006F1EDD"/>
    <w:rsid w:val="006F1EF0"/>
    <w:rsid w:val="006F1EFD"/>
    <w:rsid w:val="006F1FD9"/>
    <w:rsid w:val="006F1FFD"/>
    <w:rsid w:val="006F201C"/>
    <w:rsid w:val="006F2056"/>
    <w:rsid w:val="006F217E"/>
    <w:rsid w:val="006F21BB"/>
    <w:rsid w:val="006F2202"/>
    <w:rsid w:val="006F224B"/>
    <w:rsid w:val="006F225E"/>
    <w:rsid w:val="006F22F2"/>
    <w:rsid w:val="006F243D"/>
    <w:rsid w:val="006F2451"/>
    <w:rsid w:val="006F2457"/>
    <w:rsid w:val="006F247F"/>
    <w:rsid w:val="006F24F3"/>
    <w:rsid w:val="006F2514"/>
    <w:rsid w:val="006F2538"/>
    <w:rsid w:val="006F255E"/>
    <w:rsid w:val="006F2572"/>
    <w:rsid w:val="006F2588"/>
    <w:rsid w:val="006F25AE"/>
    <w:rsid w:val="006F25B2"/>
    <w:rsid w:val="006F25E6"/>
    <w:rsid w:val="006F2601"/>
    <w:rsid w:val="006F2610"/>
    <w:rsid w:val="006F264A"/>
    <w:rsid w:val="006F2656"/>
    <w:rsid w:val="006F265C"/>
    <w:rsid w:val="006F2695"/>
    <w:rsid w:val="006F26AA"/>
    <w:rsid w:val="006F2723"/>
    <w:rsid w:val="006F2733"/>
    <w:rsid w:val="006F273C"/>
    <w:rsid w:val="006F274B"/>
    <w:rsid w:val="006F27DC"/>
    <w:rsid w:val="006F2817"/>
    <w:rsid w:val="006F28E7"/>
    <w:rsid w:val="006F2A2E"/>
    <w:rsid w:val="006F2A34"/>
    <w:rsid w:val="006F2A36"/>
    <w:rsid w:val="006F2A99"/>
    <w:rsid w:val="006F2ACC"/>
    <w:rsid w:val="006F2B5E"/>
    <w:rsid w:val="006F2B8D"/>
    <w:rsid w:val="006F2BD8"/>
    <w:rsid w:val="006F2BDE"/>
    <w:rsid w:val="006F2C2A"/>
    <w:rsid w:val="006F2CA7"/>
    <w:rsid w:val="006F2CC7"/>
    <w:rsid w:val="006F2CD0"/>
    <w:rsid w:val="006F2D04"/>
    <w:rsid w:val="006F2D16"/>
    <w:rsid w:val="006F2D29"/>
    <w:rsid w:val="006F2D5B"/>
    <w:rsid w:val="006F2D69"/>
    <w:rsid w:val="006F2E10"/>
    <w:rsid w:val="006F2E18"/>
    <w:rsid w:val="006F2E3B"/>
    <w:rsid w:val="006F2E4B"/>
    <w:rsid w:val="006F2E58"/>
    <w:rsid w:val="006F2F0E"/>
    <w:rsid w:val="006F2F13"/>
    <w:rsid w:val="006F2F4D"/>
    <w:rsid w:val="006F2F5A"/>
    <w:rsid w:val="006F2FA7"/>
    <w:rsid w:val="006F2FB6"/>
    <w:rsid w:val="006F2FF2"/>
    <w:rsid w:val="006F3056"/>
    <w:rsid w:val="006F3059"/>
    <w:rsid w:val="006F3060"/>
    <w:rsid w:val="006F307A"/>
    <w:rsid w:val="006F3095"/>
    <w:rsid w:val="006F30E1"/>
    <w:rsid w:val="006F30F2"/>
    <w:rsid w:val="006F3127"/>
    <w:rsid w:val="006F31AD"/>
    <w:rsid w:val="006F31CF"/>
    <w:rsid w:val="006F31E8"/>
    <w:rsid w:val="006F31F2"/>
    <w:rsid w:val="006F31FB"/>
    <w:rsid w:val="006F3245"/>
    <w:rsid w:val="006F32C1"/>
    <w:rsid w:val="006F3301"/>
    <w:rsid w:val="006F3340"/>
    <w:rsid w:val="006F336B"/>
    <w:rsid w:val="006F3385"/>
    <w:rsid w:val="006F338F"/>
    <w:rsid w:val="006F33B2"/>
    <w:rsid w:val="006F33FE"/>
    <w:rsid w:val="006F3442"/>
    <w:rsid w:val="006F34A0"/>
    <w:rsid w:val="006F34A2"/>
    <w:rsid w:val="006F34A3"/>
    <w:rsid w:val="006F34C2"/>
    <w:rsid w:val="006F34C9"/>
    <w:rsid w:val="006F3547"/>
    <w:rsid w:val="006F356B"/>
    <w:rsid w:val="006F35AC"/>
    <w:rsid w:val="006F35F4"/>
    <w:rsid w:val="006F35F5"/>
    <w:rsid w:val="006F35FA"/>
    <w:rsid w:val="006F3623"/>
    <w:rsid w:val="006F363D"/>
    <w:rsid w:val="006F3656"/>
    <w:rsid w:val="006F36A9"/>
    <w:rsid w:val="006F3714"/>
    <w:rsid w:val="006F3739"/>
    <w:rsid w:val="006F37CF"/>
    <w:rsid w:val="006F3800"/>
    <w:rsid w:val="006F380E"/>
    <w:rsid w:val="006F38BC"/>
    <w:rsid w:val="006F38E6"/>
    <w:rsid w:val="006F3930"/>
    <w:rsid w:val="006F3967"/>
    <w:rsid w:val="006F39D3"/>
    <w:rsid w:val="006F3A64"/>
    <w:rsid w:val="006F3A89"/>
    <w:rsid w:val="006F3A8F"/>
    <w:rsid w:val="006F3AC8"/>
    <w:rsid w:val="006F3AD3"/>
    <w:rsid w:val="006F3AE8"/>
    <w:rsid w:val="006F3B91"/>
    <w:rsid w:val="006F3BA0"/>
    <w:rsid w:val="006F3BDD"/>
    <w:rsid w:val="006F3BEB"/>
    <w:rsid w:val="006F3CFF"/>
    <w:rsid w:val="006F3D1C"/>
    <w:rsid w:val="006F3D2F"/>
    <w:rsid w:val="006F3D42"/>
    <w:rsid w:val="006F3D54"/>
    <w:rsid w:val="006F3D70"/>
    <w:rsid w:val="006F3D71"/>
    <w:rsid w:val="006F3D94"/>
    <w:rsid w:val="006F3DF5"/>
    <w:rsid w:val="006F3E6A"/>
    <w:rsid w:val="006F3E6C"/>
    <w:rsid w:val="006F3E76"/>
    <w:rsid w:val="006F3E8D"/>
    <w:rsid w:val="006F3E94"/>
    <w:rsid w:val="006F3EF5"/>
    <w:rsid w:val="006F3EF6"/>
    <w:rsid w:val="006F3EFD"/>
    <w:rsid w:val="006F3F30"/>
    <w:rsid w:val="006F3F55"/>
    <w:rsid w:val="006F3FAA"/>
    <w:rsid w:val="006F3FD5"/>
    <w:rsid w:val="006F4007"/>
    <w:rsid w:val="006F400C"/>
    <w:rsid w:val="006F400E"/>
    <w:rsid w:val="006F4010"/>
    <w:rsid w:val="006F40B1"/>
    <w:rsid w:val="006F40C9"/>
    <w:rsid w:val="006F40CE"/>
    <w:rsid w:val="006F4114"/>
    <w:rsid w:val="006F4169"/>
    <w:rsid w:val="006F4220"/>
    <w:rsid w:val="006F4232"/>
    <w:rsid w:val="006F426D"/>
    <w:rsid w:val="006F428B"/>
    <w:rsid w:val="006F428D"/>
    <w:rsid w:val="006F428F"/>
    <w:rsid w:val="006F42C8"/>
    <w:rsid w:val="006F42F7"/>
    <w:rsid w:val="006F4301"/>
    <w:rsid w:val="006F4304"/>
    <w:rsid w:val="006F435B"/>
    <w:rsid w:val="006F4378"/>
    <w:rsid w:val="006F43EA"/>
    <w:rsid w:val="006F4421"/>
    <w:rsid w:val="006F4426"/>
    <w:rsid w:val="006F449F"/>
    <w:rsid w:val="006F44D7"/>
    <w:rsid w:val="006F44E8"/>
    <w:rsid w:val="006F451B"/>
    <w:rsid w:val="006F451E"/>
    <w:rsid w:val="006F4580"/>
    <w:rsid w:val="006F45D6"/>
    <w:rsid w:val="006F460E"/>
    <w:rsid w:val="006F46E7"/>
    <w:rsid w:val="006F46F0"/>
    <w:rsid w:val="006F4712"/>
    <w:rsid w:val="006F4747"/>
    <w:rsid w:val="006F4761"/>
    <w:rsid w:val="006F476A"/>
    <w:rsid w:val="006F47C4"/>
    <w:rsid w:val="006F47E3"/>
    <w:rsid w:val="006F47E8"/>
    <w:rsid w:val="006F4838"/>
    <w:rsid w:val="006F484A"/>
    <w:rsid w:val="006F487C"/>
    <w:rsid w:val="006F4897"/>
    <w:rsid w:val="006F48A1"/>
    <w:rsid w:val="006F48B6"/>
    <w:rsid w:val="006F48DF"/>
    <w:rsid w:val="006F48FF"/>
    <w:rsid w:val="006F490E"/>
    <w:rsid w:val="006F4993"/>
    <w:rsid w:val="006F4A00"/>
    <w:rsid w:val="006F4A28"/>
    <w:rsid w:val="006F4A5A"/>
    <w:rsid w:val="006F4A85"/>
    <w:rsid w:val="006F4ABF"/>
    <w:rsid w:val="006F4B05"/>
    <w:rsid w:val="006F4B44"/>
    <w:rsid w:val="006F4B5C"/>
    <w:rsid w:val="006F4B81"/>
    <w:rsid w:val="006F4B83"/>
    <w:rsid w:val="006F4BC2"/>
    <w:rsid w:val="006F4BE0"/>
    <w:rsid w:val="006F4C08"/>
    <w:rsid w:val="006F4C5A"/>
    <w:rsid w:val="006F4C5C"/>
    <w:rsid w:val="006F4C7D"/>
    <w:rsid w:val="006F4C8C"/>
    <w:rsid w:val="006F4CB6"/>
    <w:rsid w:val="006F4D0E"/>
    <w:rsid w:val="006F4D1F"/>
    <w:rsid w:val="006F4D86"/>
    <w:rsid w:val="006F4DDD"/>
    <w:rsid w:val="006F4E01"/>
    <w:rsid w:val="006F4EE8"/>
    <w:rsid w:val="006F4F04"/>
    <w:rsid w:val="006F4F47"/>
    <w:rsid w:val="006F4F5B"/>
    <w:rsid w:val="006F4FA6"/>
    <w:rsid w:val="006F4FB4"/>
    <w:rsid w:val="006F4FE1"/>
    <w:rsid w:val="006F5043"/>
    <w:rsid w:val="006F5060"/>
    <w:rsid w:val="006F5061"/>
    <w:rsid w:val="006F5064"/>
    <w:rsid w:val="006F5123"/>
    <w:rsid w:val="006F5132"/>
    <w:rsid w:val="006F5167"/>
    <w:rsid w:val="006F519D"/>
    <w:rsid w:val="006F51C2"/>
    <w:rsid w:val="006F522F"/>
    <w:rsid w:val="006F52A9"/>
    <w:rsid w:val="006F530E"/>
    <w:rsid w:val="006F5328"/>
    <w:rsid w:val="006F5359"/>
    <w:rsid w:val="006F5392"/>
    <w:rsid w:val="006F53A5"/>
    <w:rsid w:val="006F5491"/>
    <w:rsid w:val="006F54A2"/>
    <w:rsid w:val="006F54BF"/>
    <w:rsid w:val="006F55B0"/>
    <w:rsid w:val="006F55D4"/>
    <w:rsid w:val="006F5607"/>
    <w:rsid w:val="006F5615"/>
    <w:rsid w:val="006F5632"/>
    <w:rsid w:val="006F5635"/>
    <w:rsid w:val="006F5636"/>
    <w:rsid w:val="006F568B"/>
    <w:rsid w:val="006F56F3"/>
    <w:rsid w:val="006F5756"/>
    <w:rsid w:val="006F5778"/>
    <w:rsid w:val="006F57D2"/>
    <w:rsid w:val="006F57E3"/>
    <w:rsid w:val="006F57FA"/>
    <w:rsid w:val="006F5820"/>
    <w:rsid w:val="006F5863"/>
    <w:rsid w:val="006F5898"/>
    <w:rsid w:val="006F589D"/>
    <w:rsid w:val="006F58E9"/>
    <w:rsid w:val="006F5938"/>
    <w:rsid w:val="006F5970"/>
    <w:rsid w:val="006F59A1"/>
    <w:rsid w:val="006F59BF"/>
    <w:rsid w:val="006F5A41"/>
    <w:rsid w:val="006F5B1B"/>
    <w:rsid w:val="006F5B3F"/>
    <w:rsid w:val="006F5BBB"/>
    <w:rsid w:val="006F5C32"/>
    <w:rsid w:val="006F5C35"/>
    <w:rsid w:val="006F5C74"/>
    <w:rsid w:val="006F5C7C"/>
    <w:rsid w:val="006F5CF6"/>
    <w:rsid w:val="006F5DBE"/>
    <w:rsid w:val="006F5E5A"/>
    <w:rsid w:val="006F5E9E"/>
    <w:rsid w:val="006F5EA7"/>
    <w:rsid w:val="006F5EBD"/>
    <w:rsid w:val="006F5F5A"/>
    <w:rsid w:val="006F5F66"/>
    <w:rsid w:val="006F5FA1"/>
    <w:rsid w:val="006F6013"/>
    <w:rsid w:val="006F602A"/>
    <w:rsid w:val="006F60BB"/>
    <w:rsid w:val="006F618C"/>
    <w:rsid w:val="006F61A2"/>
    <w:rsid w:val="006F625B"/>
    <w:rsid w:val="006F62DA"/>
    <w:rsid w:val="006F63C6"/>
    <w:rsid w:val="006F63E1"/>
    <w:rsid w:val="006F63F1"/>
    <w:rsid w:val="006F63F4"/>
    <w:rsid w:val="006F6469"/>
    <w:rsid w:val="006F64C6"/>
    <w:rsid w:val="006F64E6"/>
    <w:rsid w:val="006F650A"/>
    <w:rsid w:val="006F6526"/>
    <w:rsid w:val="006F658B"/>
    <w:rsid w:val="006F65A6"/>
    <w:rsid w:val="006F65AB"/>
    <w:rsid w:val="006F65C7"/>
    <w:rsid w:val="006F65E5"/>
    <w:rsid w:val="006F6604"/>
    <w:rsid w:val="006F6632"/>
    <w:rsid w:val="006F6669"/>
    <w:rsid w:val="006F66B6"/>
    <w:rsid w:val="006F66C5"/>
    <w:rsid w:val="006F66EC"/>
    <w:rsid w:val="006F66EE"/>
    <w:rsid w:val="006F670D"/>
    <w:rsid w:val="006F6730"/>
    <w:rsid w:val="006F6794"/>
    <w:rsid w:val="006F67A6"/>
    <w:rsid w:val="006F6810"/>
    <w:rsid w:val="006F6813"/>
    <w:rsid w:val="006F6887"/>
    <w:rsid w:val="006F68C1"/>
    <w:rsid w:val="006F68F3"/>
    <w:rsid w:val="006F695A"/>
    <w:rsid w:val="006F69E2"/>
    <w:rsid w:val="006F69EC"/>
    <w:rsid w:val="006F6A5F"/>
    <w:rsid w:val="006F6A97"/>
    <w:rsid w:val="006F6B1F"/>
    <w:rsid w:val="006F6B46"/>
    <w:rsid w:val="006F6B82"/>
    <w:rsid w:val="006F6BC9"/>
    <w:rsid w:val="006F6C88"/>
    <w:rsid w:val="006F6CDF"/>
    <w:rsid w:val="006F6D34"/>
    <w:rsid w:val="006F6D6D"/>
    <w:rsid w:val="006F6D76"/>
    <w:rsid w:val="006F6DA2"/>
    <w:rsid w:val="006F6E69"/>
    <w:rsid w:val="006F6E9F"/>
    <w:rsid w:val="006F6F32"/>
    <w:rsid w:val="006F6F5D"/>
    <w:rsid w:val="006F6FE6"/>
    <w:rsid w:val="006F704A"/>
    <w:rsid w:val="006F707F"/>
    <w:rsid w:val="006F70A8"/>
    <w:rsid w:val="006F7103"/>
    <w:rsid w:val="006F710A"/>
    <w:rsid w:val="006F7180"/>
    <w:rsid w:val="006F71D8"/>
    <w:rsid w:val="006F71E4"/>
    <w:rsid w:val="006F720A"/>
    <w:rsid w:val="006F7212"/>
    <w:rsid w:val="006F7248"/>
    <w:rsid w:val="006F7292"/>
    <w:rsid w:val="006F72F6"/>
    <w:rsid w:val="006F7308"/>
    <w:rsid w:val="006F7324"/>
    <w:rsid w:val="006F73BA"/>
    <w:rsid w:val="006F73EE"/>
    <w:rsid w:val="006F7410"/>
    <w:rsid w:val="006F744B"/>
    <w:rsid w:val="006F74CC"/>
    <w:rsid w:val="006F74D1"/>
    <w:rsid w:val="006F74D9"/>
    <w:rsid w:val="006F7530"/>
    <w:rsid w:val="006F756B"/>
    <w:rsid w:val="006F75D9"/>
    <w:rsid w:val="006F76AC"/>
    <w:rsid w:val="006F771A"/>
    <w:rsid w:val="006F7746"/>
    <w:rsid w:val="006F774B"/>
    <w:rsid w:val="006F775C"/>
    <w:rsid w:val="006F778D"/>
    <w:rsid w:val="006F77C8"/>
    <w:rsid w:val="006F77F6"/>
    <w:rsid w:val="006F7818"/>
    <w:rsid w:val="006F785E"/>
    <w:rsid w:val="006F7869"/>
    <w:rsid w:val="006F789D"/>
    <w:rsid w:val="006F791A"/>
    <w:rsid w:val="006F7956"/>
    <w:rsid w:val="006F7992"/>
    <w:rsid w:val="006F79A0"/>
    <w:rsid w:val="006F79A4"/>
    <w:rsid w:val="006F79E7"/>
    <w:rsid w:val="006F79FC"/>
    <w:rsid w:val="006F79FE"/>
    <w:rsid w:val="006F7A3B"/>
    <w:rsid w:val="006F7A84"/>
    <w:rsid w:val="006F7A8A"/>
    <w:rsid w:val="006F7AA9"/>
    <w:rsid w:val="006F7AE9"/>
    <w:rsid w:val="006F7B0B"/>
    <w:rsid w:val="006F7B16"/>
    <w:rsid w:val="006F7B42"/>
    <w:rsid w:val="006F7BA1"/>
    <w:rsid w:val="006F7BCC"/>
    <w:rsid w:val="006F7BEC"/>
    <w:rsid w:val="006F7BED"/>
    <w:rsid w:val="006F7C21"/>
    <w:rsid w:val="006F7C45"/>
    <w:rsid w:val="006F7C8E"/>
    <w:rsid w:val="006F7C91"/>
    <w:rsid w:val="006F7CDE"/>
    <w:rsid w:val="006F7CE6"/>
    <w:rsid w:val="006F7CF7"/>
    <w:rsid w:val="006F7CF9"/>
    <w:rsid w:val="006F7CFB"/>
    <w:rsid w:val="006F7D36"/>
    <w:rsid w:val="006F7D6C"/>
    <w:rsid w:val="006F7E2A"/>
    <w:rsid w:val="006F7E36"/>
    <w:rsid w:val="006F7E49"/>
    <w:rsid w:val="006F7E68"/>
    <w:rsid w:val="006F7E85"/>
    <w:rsid w:val="006F7E8C"/>
    <w:rsid w:val="006F7E96"/>
    <w:rsid w:val="006F7E99"/>
    <w:rsid w:val="006F7ECE"/>
    <w:rsid w:val="006F7EDA"/>
    <w:rsid w:val="006F7F43"/>
    <w:rsid w:val="006F7F4B"/>
    <w:rsid w:val="006F7FA0"/>
    <w:rsid w:val="006F7FAA"/>
    <w:rsid w:val="006F7FE5"/>
    <w:rsid w:val="0070003E"/>
    <w:rsid w:val="00700139"/>
    <w:rsid w:val="00700175"/>
    <w:rsid w:val="007001A2"/>
    <w:rsid w:val="007001A9"/>
    <w:rsid w:val="00700215"/>
    <w:rsid w:val="00700277"/>
    <w:rsid w:val="007002B5"/>
    <w:rsid w:val="0070030D"/>
    <w:rsid w:val="00700364"/>
    <w:rsid w:val="00700373"/>
    <w:rsid w:val="00700392"/>
    <w:rsid w:val="007003F0"/>
    <w:rsid w:val="0070041C"/>
    <w:rsid w:val="00700434"/>
    <w:rsid w:val="0070043D"/>
    <w:rsid w:val="00700475"/>
    <w:rsid w:val="007004BE"/>
    <w:rsid w:val="007004CB"/>
    <w:rsid w:val="00700560"/>
    <w:rsid w:val="00700579"/>
    <w:rsid w:val="00700596"/>
    <w:rsid w:val="007005AC"/>
    <w:rsid w:val="007005D6"/>
    <w:rsid w:val="007005DC"/>
    <w:rsid w:val="007005DD"/>
    <w:rsid w:val="007005EC"/>
    <w:rsid w:val="0070064A"/>
    <w:rsid w:val="00700683"/>
    <w:rsid w:val="0070072E"/>
    <w:rsid w:val="00700762"/>
    <w:rsid w:val="0070077D"/>
    <w:rsid w:val="00700796"/>
    <w:rsid w:val="007007BA"/>
    <w:rsid w:val="00700872"/>
    <w:rsid w:val="00700899"/>
    <w:rsid w:val="007008A7"/>
    <w:rsid w:val="007008FC"/>
    <w:rsid w:val="00700925"/>
    <w:rsid w:val="00700927"/>
    <w:rsid w:val="0070093A"/>
    <w:rsid w:val="0070094B"/>
    <w:rsid w:val="00700952"/>
    <w:rsid w:val="00700989"/>
    <w:rsid w:val="00700A31"/>
    <w:rsid w:val="00700AF2"/>
    <w:rsid w:val="00700B0E"/>
    <w:rsid w:val="00700B42"/>
    <w:rsid w:val="00700B8E"/>
    <w:rsid w:val="00700C00"/>
    <w:rsid w:val="00700C1F"/>
    <w:rsid w:val="00700C44"/>
    <w:rsid w:val="00700C67"/>
    <w:rsid w:val="00700D00"/>
    <w:rsid w:val="00700D79"/>
    <w:rsid w:val="00700DD1"/>
    <w:rsid w:val="00700DD6"/>
    <w:rsid w:val="00700DDE"/>
    <w:rsid w:val="00700DF4"/>
    <w:rsid w:val="00700E57"/>
    <w:rsid w:val="00700E82"/>
    <w:rsid w:val="00700E86"/>
    <w:rsid w:val="00700EA1"/>
    <w:rsid w:val="00700EB1"/>
    <w:rsid w:val="00700F03"/>
    <w:rsid w:val="00700F13"/>
    <w:rsid w:val="00700F14"/>
    <w:rsid w:val="00700F16"/>
    <w:rsid w:val="00700F1F"/>
    <w:rsid w:val="00700F41"/>
    <w:rsid w:val="00700F43"/>
    <w:rsid w:val="00700F4E"/>
    <w:rsid w:val="00700FB8"/>
    <w:rsid w:val="00700FC0"/>
    <w:rsid w:val="00701089"/>
    <w:rsid w:val="0070111C"/>
    <w:rsid w:val="00701121"/>
    <w:rsid w:val="007011BC"/>
    <w:rsid w:val="007011C0"/>
    <w:rsid w:val="007012F1"/>
    <w:rsid w:val="0070130E"/>
    <w:rsid w:val="00701317"/>
    <w:rsid w:val="00701341"/>
    <w:rsid w:val="0070134E"/>
    <w:rsid w:val="00701388"/>
    <w:rsid w:val="00701397"/>
    <w:rsid w:val="0070139B"/>
    <w:rsid w:val="007013A7"/>
    <w:rsid w:val="007013E3"/>
    <w:rsid w:val="007013F1"/>
    <w:rsid w:val="00701442"/>
    <w:rsid w:val="00701468"/>
    <w:rsid w:val="007014AA"/>
    <w:rsid w:val="007014CD"/>
    <w:rsid w:val="00701505"/>
    <w:rsid w:val="00701535"/>
    <w:rsid w:val="0070154C"/>
    <w:rsid w:val="00701577"/>
    <w:rsid w:val="00701582"/>
    <w:rsid w:val="007015F0"/>
    <w:rsid w:val="0070167A"/>
    <w:rsid w:val="007016BD"/>
    <w:rsid w:val="007016EB"/>
    <w:rsid w:val="007016F9"/>
    <w:rsid w:val="0070172C"/>
    <w:rsid w:val="00701738"/>
    <w:rsid w:val="00701758"/>
    <w:rsid w:val="007017AB"/>
    <w:rsid w:val="007017E1"/>
    <w:rsid w:val="0070181D"/>
    <w:rsid w:val="0070186C"/>
    <w:rsid w:val="00701922"/>
    <w:rsid w:val="00701A06"/>
    <w:rsid w:val="00701A37"/>
    <w:rsid w:val="00701AB0"/>
    <w:rsid w:val="00701AD3"/>
    <w:rsid w:val="00701B07"/>
    <w:rsid w:val="00701B2C"/>
    <w:rsid w:val="00701B3E"/>
    <w:rsid w:val="00701B54"/>
    <w:rsid w:val="00701BAE"/>
    <w:rsid w:val="00701BB2"/>
    <w:rsid w:val="00701C01"/>
    <w:rsid w:val="00701C5A"/>
    <w:rsid w:val="00701C6C"/>
    <w:rsid w:val="00701C82"/>
    <w:rsid w:val="00701D4D"/>
    <w:rsid w:val="00701D69"/>
    <w:rsid w:val="00701D96"/>
    <w:rsid w:val="00701D9A"/>
    <w:rsid w:val="00701DD2"/>
    <w:rsid w:val="00701E14"/>
    <w:rsid w:val="00701E84"/>
    <w:rsid w:val="00701EE3"/>
    <w:rsid w:val="00701F29"/>
    <w:rsid w:val="00701F6E"/>
    <w:rsid w:val="00701F7A"/>
    <w:rsid w:val="00701FF1"/>
    <w:rsid w:val="00702040"/>
    <w:rsid w:val="0070208B"/>
    <w:rsid w:val="007020A6"/>
    <w:rsid w:val="007020DE"/>
    <w:rsid w:val="007020E7"/>
    <w:rsid w:val="007020F3"/>
    <w:rsid w:val="00702138"/>
    <w:rsid w:val="007021F3"/>
    <w:rsid w:val="00702207"/>
    <w:rsid w:val="00702211"/>
    <w:rsid w:val="0070222B"/>
    <w:rsid w:val="00702264"/>
    <w:rsid w:val="0070227C"/>
    <w:rsid w:val="00702283"/>
    <w:rsid w:val="007022A4"/>
    <w:rsid w:val="007022C4"/>
    <w:rsid w:val="007022C7"/>
    <w:rsid w:val="0070233C"/>
    <w:rsid w:val="00702354"/>
    <w:rsid w:val="00702368"/>
    <w:rsid w:val="00702375"/>
    <w:rsid w:val="00702383"/>
    <w:rsid w:val="007023E3"/>
    <w:rsid w:val="00702425"/>
    <w:rsid w:val="0070253C"/>
    <w:rsid w:val="007025A8"/>
    <w:rsid w:val="007025B7"/>
    <w:rsid w:val="00702636"/>
    <w:rsid w:val="00702645"/>
    <w:rsid w:val="00702670"/>
    <w:rsid w:val="007026D1"/>
    <w:rsid w:val="007026DD"/>
    <w:rsid w:val="0070271E"/>
    <w:rsid w:val="0070277D"/>
    <w:rsid w:val="007027BC"/>
    <w:rsid w:val="0070283C"/>
    <w:rsid w:val="00702853"/>
    <w:rsid w:val="007028C5"/>
    <w:rsid w:val="00702908"/>
    <w:rsid w:val="00702962"/>
    <w:rsid w:val="00702964"/>
    <w:rsid w:val="007029CB"/>
    <w:rsid w:val="00702A06"/>
    <w:rsid w:val="00702A1E"/>
    <w:rsid w:val="00702A1F"/>
    <w:rsid w:val="00702A63"/>
    <w:rsid w:val="00702B19"/>
    <w:rsid w:val="00702B72"/>
    <w:rsid w:val="00702B93"/>
    <w:rsid w:val="00702BCD"/>
    <w:rsid w:val="00702BCE"/>
    <w:rsid w:val="00702BEB"/>
    <w:rsid w:val="00702BFC"/>
    <w:rsid w:val="00702C34"/>
    <w:rsid w:val="00702C61"/>
    <w:rsid w:val="00702CAA"/>
    <w:rsid w:val="00702CC1"/>
    <w:rsid w:val="00702D60"/>
    <w:rsid w:val="00702D74"/>
    <w:rsid w:val="00702DA9"/>
    <w:rsid w:val="00702DFB"/>
    <w:rsid w:val="00702E32"/>
    <w:rsid w:val="00702E64"/>
    <w:rsid w:val="007030AC"/>
    <w:rsid w:val="007030B0"/>
    <w:rsid w:val="007030B8"/>
    <w:rsid w:val="007030F2"/>
    <w:rsid w:val="00703160"/>
    <w:rsid w:val="00703165"/>
    <w:rsid w:val="0070316E"/>
    <w:rsid w:val="0070317A"/>
    <w:rsid w:val="007031AB"/>
    <w:rsid w:val="007031D0"/>
    <w:rsid w:val="00703242"/>
    <w:rsid w:val="00703285"/>
    <w:rsid w:val="00703292"/>
    <w:rsid w:val="007032A8"/>
    <w:rsid w:val="007032B4"/>
    <w:rsid w:val="007032C2"/>
    <w:rsid w:val="007032CE"/>
    <w:rsid w:val="00703300"/>
    <w:rsid w:val="00703312"/>
    <w:rsid w:val="007033A3"/>
    <w:rsid w:val="007033EB"/>
    <w:rsid w:val="00703428"/>
    <w:rsid w:val="0070342C"/>
    <w:rsid w:val="00703448"/>
    <w:rsid w:val="0070345B"/>
    <w:rsid w:val="007034A2"/>
    <w:rsid w:val="007034E0"/>
    <w:rsid w:val="007034F3"/>
    <w:rsid w:val="0070351F"/>
    <w:rsid w:val="00703573"/>
    <w:rsid w:val="007035B9"/>
    <w:rsid w:val="007035C5"/>
    <w:rsid w:val="00703661"/>
    <w:rsid w:val="0070366B"/>
    <w:rsid w:val="007036AA"/>
    <w:rsid w:val="007036BB"/>
    <w:rsid w:val="0070375C"/>
    <w:rsid w:val="007037A9"/>
    <w:rsid w:val="007037DA"/>
    <w:rsid w:val="007037E4"/>
    <w:rsid w:val="0070381D"/>
    <w:rsid w:val="0070386A"/>
    <w:rsid w:val="00703879"/>
    <w:rsid w:val="007038E9"/>
    <w:rsid w:val="00703936"/>
    <w:rsid w:val="00703976"/>
    <w:rsid w:val="00703983"/>
    <w:rsid w:val="00703997"/>
    <w:rsid w:val="007039DA"/>
    <w:rsid w:val="00703A08"/>
    <w:rsid w:val="00703A2F"/>
    <w:rsid w:val="00703A3B"/>
    <w:rsid w:val="00703A51"/>
    <w:rsid w:val="00703A61"/>
    <w:rsid w:val="00703A8E"/>
    <w:rsid w:val="00703B4D"/>
    <w:rsid w:val="00703B6D"/>
    <w:rsid w:val="00703BB3"/>
    <w:rsid w:val="00703BDA"/>
    <w:rsid w:val="00703BF7"/>
    <w:rsid w:val="00703BF8"/>
    <w:rsid w:val="00703C20"/>
    <w:rsid w:val="00703C24"/>
    <w:rsid w:val="00703C29"/>
    <w:rsid w:val="00703C3F"/>
    <w:rsid w:val="00703C4C"/>
    <w:rsid w:val="00703C65"/>
    <w:rsid w:val="00703CA0"/>
    <w:rsid w:val="00703CB1"/>
    <w:rsid w:val="00703CCC"/>
    <w:rsid w:val="00703CF3"/>
    <w:rsid w:val="00703D39"/>
    <w:rsid w:val="00703D4D"/>
    <w:rsid w:val="00703D63"/>
    <w:rsid w:val="00703D70"/>
    <w:rsid w:val="00703D71"/>
    <w:rsid w:val="00703D79"/>
    <w:rsid w:val="00703D95"/>
    <w:rsid w:val="00703DCA"/>
    <w:rsid w:val="00703DFC"/>
    <w:rsid w:val="00703E1C"/>
    <w:rsid w:val="00703E49"/>
    <w:rsid w:val="00703E89"/>
    <w:rsid w:val="00703EE6"/>
    <w:rsid w:val="00703EF4"/>
    <w:rsid w:val="00703F34"/>
    <w:rsid w:val="00703F3E"/>
    <w:rsid w:val="00703F8A"/>
    <w:rsid w:val="00703FC6"/>
    <w:rsid w:val="00704000"/>
    <w:rsid w:val="0070403E"/>
    <w:rsid w:val="0070404D"/>
    <w:rsid w:val="00704077"/>
    <w:rsid w:val="0070407D"/>
    <w:rsid w:val="00704095"/>
    <w:rsid w:val="007040C4"/>
    <w:rsid w:val="007040D1"/>
    <w:rsid w:val="007040E4"/>
    <w:rsid w:val="00704105"/>
    <w:rsid w:val="00704120"/>
    <w:rsid w:val="00704170"/>
    <w:rsid w:val="007041BE"/>
    <w:rsid w:val="007041CA"/>
    <w:rsid w:val="00704209"/>
    <w:rsid w:val="00704246"/>
    <w:rsid w:val="00704274"/>
    <w:rsid w:val="007042BE"/>
    <w:rsid w:val="007042F9"/>
    <w:rsid w:val="0070432A"/>
    <w:rsid w:val="0070436D"/>
    <w:rsid w:val="00704387"/>
    <w:rsid w:val="007043A5"/>
    <w:rsid w:val="007043C6"/>
    <w:rsid w:val="007043D9"/>
    <w:rsid w:val="0070441F"/>
    <w:rsid w:val="0070448E"/>
    <w:rsid w:val="00704492"/>
    <w:rsid w:val="007044C5"/>
    <w:rsid w:val="007044CE"/>
    <w:rsid w:val="007044DD"/>
    <w:rsid w:val="007044FA"/>
    <w:rsid w:val="007044FC"/>
    <w:rsid w:val="00704501"/>
    <w:rsid w:val="00704517"/>
    <w:rsid w:val="0070455B"/>
    <w:rsid w:val="0070456C"/>
    <w:rsid w:val="007045D2"/>
    <w:rsid w:val="007045EF"/>
    <w:rsid w:val="007045FD"/>
    <w:rsid w:val="00704609"/>
    <w:rsid w:val="0070461C"/>
    <w:rsid w:val="00704622"/>
    <w:rsid w:val="007046B8"/>
    <w:rsid w:val="00704728"/>
    <w:rsid w:val="0070472B"/>
    <w:rsid w:val="0070476F"/>
    <w:rsid w:val="007047AE"/>
    <w:rsid w:val="007047DE"/>
    <w:rsid w:val="007047FD"/>
    <w:rsid w:val="0070484C"/>
    <w:rsid w:val="00704874"/>
    <w:rsid w:val="007048B0"/>
    <w:rsid w:val="007048B8"/>
    <w:rsid w:val="007048C1"/>
    <w:rsid w:val="007048D1"/>
    <w:rsid w:val="0070490F"/>
    <w:rsid w:val="00704910"/>
    <w:rsid w:val="00704914"/>
    <w:rsid w:val="0070491E"/>
    <w:rsid w:val="00704A17"/>
    <w:rsid w:val="00704A71"/>
    <w:rsid w:val="00704A8D"/>
    <w:rsid w:val="00704A9D"/>
    <w:rsid w:val="00704AA8"/>
    <w:rsid w:val="00704AB0"/>
    <w:rsid w:val="00704B3B"/>
    <w:rsid w:val="00704B5B"/>
    <w:rsid w:val="00704BA0"/>
    <w:rsid w:val="00704BC2"/>
    <w:rsid w:val="00704BCF"/>
    <w:rsid w:val="00704C61"/>
    <w:rsid w:val="00704C90"/>
    <w:rsid w:val="00704CC5"/>
    <w:rsid w:val="00704D02"/>
    <w:rsid w:val="00704D22"/>
    <w:rsid w:val="00704D45"/>
    <w:rsid w:val="00704D5C"/>
    <w:rsid w:val="00704D6C"/>
    <w:rsid w:val="00704D6F"/>
    <w:rsid w:val="00704E01"/>
    <w:rsid w:val="00704EFB"/>
    <w:rsid w:val="00704F21"/>
    <w:rsid w:val="00704FD1"/>
    <w:rsid w:val="0070501A"/>
    <w:rsid w:val="0070503F"/>
    <w:rsid w:val="00705062"/>
    <w:rsid w:val="00705067"/>
    <w:rsid w:val="00705072"/>
    <w:rsid w:val="00705079"/>
    <w:rsid w:val="0070507E"/>
    <w:rsid w:val="007050D0"/>
    <w:rsid w:val="007050EB"/>
    <w:rsid w:val="00705126"/>
    <w:rsid w:val="00705140"/>
    <w:rsid w:val="00705147"/>
    <w:rsid w:val="00705157"/>
    <w:rsid w:val="0070515C"/>
    <w:rsid w:val="0070515D"/>
    <w:rsid w:val="00705187"/>
    <w:rsid w:val="00705219"/>
    <w:rsid w:val="00705225"/>
    <w:rsid w:val="0070523E"/>
    <w:rsid w:val="007052D5"/>
    <w:rsid w:val="007052E2"/>
    <w:rsid w:val="00705305"/>
    <w:rsid w:val="00705343"/>
    <w:rsid w:val="00705348"/>
    <w:rsid w:val="007053CE"/>
    <w:rsid w:val="0070546A"/>
    <w:rsid w:val="00705483"/>
    <w:rsid w:val="007054A3"/>
    <w:rsid w:val="007054CB"/>
    <w:rsid w:val="007054DD"/>
    <w:rsid w:val="0070550A"/>
    <w:rsid w:val="0070550C"/>
    <w:rsid w:val="00705530"/>
    <w:rsid w:val="00705543"/>
    <w:rsid w:val="0070554F"/>
    <w:rsid w:val="00705551"/>
    <w:rsid w:val="007055F3"/>
    <w:rsid w:val="00705601"/>
    <w:rsid w:val="0070562D"/>
    <w:rsid w:val="0070563C"/>
    <w:rsid w:val="0070566E"/>
    <w:rsid w:val="007056C0"/>
    <w:rsid w:val="007056D6"/>
    <w:rsid w:val="00705700"/>
    <w:rsid w:val="00705709"/>
    <w:rsid w:val="00705731"/>
    <w:rsid w:val="00705734"/>
    <w:rsid w:val="0070573A"/>
    <w:rsid w:val="00705760"/>
    <w:rsid w:val="00705775"/>
    <w:rsid w:val="007057A7"/>
    <w:rsid w:val="00705816"/>
    <w:rsid w:val="00705832"/>
    <w:rsid w:val="00705850"/>
    <w:rsid w:val="0070585F"/>
    <w:rsid w:val="0070595C"/>
    <w:rsid w:val="00705984"/>
    <w:rsid w:val="007059AE"/>
    <w:rsid w:val="00705A00"/>
    <w:rsid w:val="00705A41"/>
    <w:rsid w:val="00705A53"/>
    <w:rsid w:val="00705A6B"/>
    <w:rsid w:val="00705A8C"/>
    <w:rsid w:val="00705AF2"/>
    <w:rsid w:val="00705C2D"/>
    <w:rsid w:val="00705C4A"/>
    <w:rsid w:val="00705C79"/>
    <w:rsid w:val="00705C85"/>
    <w:rsid w:val="00705CB3"/>
    <w:rsid w:val="00705CFD"/>
    <w:rsid w:val="00705D14"/>
    <w:rsid w:val="00705D2B"/>
    <w:rsid w:val="00705D5F"/>
    <w:rsid w:val="00705D84"/>
    <w:rsid w:val="00705D8B"/>
    <w:rsid w:val="00705DA9"/>
    <w:rsid w:val="00705DDB"/>
    <w:rsid w:val="00705DFC"/>
    <w:rsid w:val="00705DFD"/>
    <w:rsid w:val="00705E3B"/>
    <w:rsid w:val="00705E4C"/>
    <w:rsid w:val="00705E8A"/>
    <w:rsid w:val="00705F1B"/>
    <w:rsid w:val="00705F2C"/>
    <w:rsid w:val="00705F68"/>
    <w:rsid w:val="00705F6D"/>
    <w:rsid w:val="00705F9B"/>
    <w:rsid w:val="00705FE7"/>
    <w:rsid w:val="00705FE9"/>
    <w:rsid w:val="00705FED"/>
    <w:rsid w:val="007060B6"/>
    <w:rsid w:val="007060C6"/>
    <w:rsid w:val="007060E5"/>
    <w:rsid w:val="007060F2"/>
    <w:rsid w:val="00706109"/>
    <w:rsid w:val="00706160"/>
    <w:rsid w:val="00706174"/>
    <w:rsid w:val="00706192"/>
    <w:rsid w:val="007061A6"/>
    <w:rsid w:val="007061BD"/>
    <w:rsid w:val="007061C1"/>
    <w:rsid w:val="0070622C"/>
    <w:rsid w:val="00706242"/>
    <w:rsid w:val="007062B7"/>
    <w:rsid w:val="007062BF"/>
    <w:rsid w:val="007062D3"/>
    <w:rsid w:val="007062DD"/>
    <w:rsid w:val="00706329"/>
    <w:rsid w:val="00706381"/>
    <w:rsid w:val="0070638A"/>
    <w:rsid w:val="0070638D"/>
    <w:rsid w:val="00706392"/>
    <w:rsid w:val="00706397"/>
    <w:rsid w:val="007063CF"/>
    <w:rsid w:val="007063F6"/>
    <w:rsid w:val="007063F7"/>
    <w:rsid w:val="00706404"/>
    <w:rsid w:val="0070642E"/>
    <w:rsid w:val="00706498"/>
    <w:rsid w:val="007064A9"/>
    <w:rsid w:val="007064E0"/>
    <w:rsid w:val="007064E1"/>
    <w:rsid w:val="007064FE"/>
    <w:rsid w:val="0070651A"/>
    <w:rsid w:val="0070651F"/>
    <w:rsid w:val="0070654D"/>
    <w:rsid w:val="0070658D"/>
    <w:rsid w:val="007065B6"/>
    <w:rsid w:val="007065D2"/>
    <w:rsid w:val="00706604"/>
    <w:rsid w:val="00706673"/>
    <w:rsid w:val="00706674"/>
    <w:rsid w:val="007066A7"/>
    <w:rsid w:val="007066D8"/>
    <w:rsid w:val="007066F7"/>
    <w:rsid w:val="007066F9"/>
    <w:rsid w:val="0070675F"/>
    <w:rsid w:val="007067CF"/>
    <w:rsid w:val="007067F4"/>
    <w:rsid w:val="0070680E"/>
    <w:rsid w:val="007068A6"/>
    <w:rsid w:val="007068A9"/>
    <w:rsid w:val="00706903"/>
    <w:rsid w:val="0070693E"/>
    <w:rsid w:val="00706951"/>
    <w:rsid w:val="0070695C"/>
    <w:rsid w:val="00706A0D"/>
    <w:rsid w:val="00706A7B"/>
    <w:rsid w:val="00706B82"/>
    <w:rsid w:val="00706BD1"/>
    <w:rsid w:val="00706BE4"/>
    <w:rsid w:val="00706BE6"/>
    <w:rsid w:val="00706BF5"/>
    <w:rsid w:val="00706C01"/>
    <w:rsid w:val="00706C10"/>
    <w:rsid w:val="00706C20"/>
    <w:rsid w:val="00706C22"/>
    <w:rsid w:val="00706CDA"/>
    <w:rsid w:val="00706D16"/>
    <w:rsid w:val="00706D36"/>
    <w:rsid w:val="00706D73"/>
    <w:rsid w:val="00706DAA"/>
    <w:rsid w:val="00706DAF"/>
    <w:rsid w:val="00706EB0"/>
    <w:rsid w:val="00706EEF"/>
    <w:rsid w:val="00706EF7"/>
    <w:rsid w:val="00706F1E"/>
    <w:rsid w:val="00706F4C"/>
    <w:rsid w:val="00706FFA"/>
    <w:rsid w:val="0070700A"/>
    <w:rsid w:val="00707026"/>
    <w:rsid w:val="00707062"/>
    <w:rsid w:val="007070F5"/>
    <w:rsid w:val="00707122"/>
    <w:rsid w:val="00707178"/>
    <w:rsid w:val="00707189"/>
    <w:rsid w:val="007071AF"/>
    <w:rsid w:val="007071B9"/>
    <w:rsid w:val="0070724C"/>
    <w:rsid w:val="0070725B"/>
    <w:rsid w:val="00707290"/>
    <w:rsid w:val="0070729E"/>
    <w:rsid w:val="007072DD"/>
    <w:rsid w:val="007072E6"/>
    <w:rsid w:val="0070732D"/>
    <w:rsid w:val="00707356"/>
    <w:rsid w:val="00707443"/>
    <w:rsid w:val="0070745B"/>
    <w:rsid w:val="0070746B"/>
    <w:rsid w:val="007074B5"/>
    <w:rsid w:val="007074C5"/>
    <w:rsid w:val="00707500"/>
    <w:rsid w:val="00707503"/>
    <w:rsid w:val="00707528"/>
    <w:rsid w:val="00707545"/>
    <w:rsid w:val="007075AE"/>
    <w:rsid w:val="007075B5"/>
    <w:rsid w:val="00707633"/>
    <w:rsid w:val="0070765F"/>
    <w:rsid w:val="007076B7"/>
    <w:rsid w:val="007076CF"/>
    <w:rsid w:val="007076FC"/>
    <w:rsid w:val="007076FD"/>
    <w:rsid w:val="00707713"/>
    <w:rsid w:val="0070773C"/>
    <w:rsid w:val="00707797"/>
    <w:rsid w:val="007077D6"/>
    <w:rsid w:val="007077EE"/>
    <w:rsid w:val="00707803"/>
    <w:rsid w:val="0070782C"/>
    <w:rsid w:val="0070787C"/>
    <w:rsid w:val="00707890"/>
    <w:rsid w:val="007078D9"/>
    <w:rsid w:val="00707989"/>
    <w:rsid w:val="00707995"/>
    <w:rsid w:val="007079F8"/>
    <w:rsid w:val="00707A04"/>
    <w:rsid w:val="00707A0A"/>
    <w:rsid w:val="00707A8B"/>
    <w:rsid w:val="00707AB4"/>
    <w:rsid w:val="00707AB7"/>
    <w:rsid w:val="00707AC6"/>
    <w:rsid w:val="00707AFD"/>
    <w:rsid w:val="00707B2B"/>
    <w:rsid w:val="00707B56"/>
    <w:rsid w:val="00707B5B"/>
    <w:rsid w:val="00707BA7"/>
    <w:rsid w:val="00707BFF"/>
    <w:rsid w:val="00707C80"/>
    <w:rsid w:val="00707D82"/>
    <w:rsid w:val="00707D97"/>
    <w:rsid w:val="00707D9C"/>
    <w:rsid w:val="00707DBC"/>
    <w:rsid w:val="00707DCC"/>
    <w:rsid w:val="00707DDF"/>
    <w:rsid w:val="00707DE2"/>
    <w:rsid w:val="00707DFE"/>
    <w:rsid w:val="00707E06"/>
    <w:rsid w:val="00707E8F"/>
    <w:rsid w:val="00707EB3"/>
    <w:rsid w:val="00707F82"/>
    <w:rsid w:val="00707F87"/>
    <w:rsid w:val="00707F95"/>
    <w:rsid w:val="00707FB0"/>
    <w:rsid w:val="00707FC7"/>
    <w:rsid w:val="00707FD5"/>
    <w:rsid w:val="00707FDA"/>
    <w:rsid w:val="0071000F"/>
    <w:rsid w:val="00710024"/>
    <w:rsid w:val="00710047"/>
    <w:rsid w:val="00710055"/>
    <w:rsid w:val="00710060"/>
    <w:rsid w:val="0071006F"/>
    <w:rsid w:val="0071007E"/>
    <w:rsid w:val="007100D3"/>
    <w:rsid w:val="00710110"/>
    <w:rsid w:val="00710113"/>
    <w:rsid w:val="007101C1"/>
    <w:rsid w:val="007101C2"/>
    <w:rsid w:val="007101DC"/>
    <w:rsid w:val="007101F4"/>
    <w:rsid w:val="0071024F"/>
    <w:rsid w:val="00710269"/>
    <w:rsid w:val="0071026A"/>
    <w:rsid w:val="0071026B"/>
    <w:rsid w:val="007102D0"/>
    <w:rsid w:val="007102D5"/>
    <w:rsid w:val="007102F1"/>
    <w:rsid w:val="0071038F"/>
    <w:rsid w:val="007103A3"/>
    <w:rsid w:val="007103C2"/>
    <w:rsid w:val="007103D2"/>
    <w:rsid w:val="007103ED"/>
    <w:rsid w:val="007103EF"/>
    <w:rsid w:val="007103F0"/>
    <w:rsid w:val="0071043A"/>
    <w:rsid w:val="0071044D"/>
    <w:rsid w:val="007104A7"/>
    <w:rsid w:val="007104EE"/>
    <w:rsid w:val="00710503"/>
    <w:rsid w:val="00710536"/>
    <w:rsid w:val="00710560"/>
    <w:rsid w:val="0071056A"/>
    <w:rsid w:val="007105CA"/>
    <w:rsid w:val="007105D1"/>
    <w:rsid w:val="007105D9"/>
    <w:rsid w:val="007105EE"/>
    <w:rsid w:val="007105F6"/>
    <w:rsid w:val="00710622"/>
    <w:rsid w:val="0071068D"/>
    <w:rsid w:val="007106C6"/>
    <w:rsid w:val="00710712"/>
    <w:rsid w:val="00710777"/>
    <w:rsid w:val="007107C6"/>
    <w:rsid w:val="007107E3"/>
    <w:rsid w:val="007107EC"/>
    <w:rsid w:val="0071080F"/>
    <w:rsid w:val="00710814"/>
    <w:rsid w:val="00710839"/>
    <w:rsid w:val="00710842"/>
    <w:rsid w:val="00710850"/>
    <w:rsid w:val="007108C5"/>
    <w:rsid w:val="007108F0"/>
    <w:rsid w:val="007109A6"/>
    <w:rsid w:val="007109B9"/>
    <w:rsid w:val="00710A4D"/>
    <w:rsid w:val="00710AA9"/>
    <w:rsid w:val="00710ADB"/>
    <w:rsid w:val="00710AE4"/>
    <w:rsid w:val="00710B17"/>
    <w:rsid w:val="00710B26"/>
    <w:rsid w:val="00710B54"/>
    <w:rsid w:val="00710B95"/>
    <w:rsid w:val="00710B9B"/>
    <w:rsid w:val="00710BA2"/>
    <w:rsid w:val="00710BD1"/>
    <w:rsid w:val="00710C9C"/>
    <w:rsid w:val="00710CDE"/>
    <w:rsid w:val="00710D08"/>
    <w:rsid w:val="00710D2F"/>
    <w:rsid w:val="00710D96"/>
    <w:rsid w:val="00710D97"/>
    <w:rsid w:val="00710E05"/>
    <w:rsid w:val="00710E19"/>
    <w:rsid w:val="00710E33"/>
    <w:rsid w:val="00710E51"/>
    <w:rsid w:val="00710E5E"/>
    <w:rsid w:val="00710EDB"/>
    <w:rsid w:val="00710EFE"/>
    <w:rsid w:val="00710F2E"/>
    <w:rsid w:val="00710F5C"/>
    <w:rsid w:val="00710F6D"/>
    <w:rsid w:val="00710F88"/>
    <w:rsid w:val="00710F99"/>
    <w:rsid w:val="00710F9B"/>
    <w:rsid w:val="00710FE1"/>
    <w:rsid w:val="0071100E"/>
    <w:rsid w:val="00711038"/>
    <w:rsid w:val="00711098"/>
    <w:rsid w:val="00711102"/>
    <w:rsid w:val="0071111E"/>
    <w:rsid w:val="00711123"/>
    <w:rsid w:val="00711164"/>
    <w:rsid w:val="00711175"/>
    <w:rsid w:val="00711180"/>
    <w:rsid w:val="0071119F"/>
    <w:rsid w:val="007111A3"/>
    <w:rsid w:val="007111C5"/>
    <w:rsid w:val="007111E2"/>
    <w:rsid w:val="00711249"/>
    <w:rsid w:val="007112A2"/>
    <w:rsid w:val="007112A9"/>
    <w:rsid w:val="00711362"/>
    <w:rsid w:val="0071137B"/>
    <w:rsid w:val="00711389"/>
    <w:rsid w:val="0071142C"/>
    <w:rsid w:val="0071144C"/>
    <w:rsid w:val="007114B9"/>
    <w:rsid w:val="007114DE"/>
    <w:rsid w:val="0071152E"/>
    <w:rsid w:val="0071154A"/>
    <w:rsid w:val="007115A7"/>
    <w:rsid w:val="007115C9"/>
    <w:rsid w:val="00711630"/>
    <w:rsid w:val="00711669"/>
    <w:rsid w:val="00711676"/>
    <w:rsid w:val="0071169A"/>
    <w:rsid w:val="007116A6"/>
    <w:rsid w:val="007116DB"/>
    <w:rsid w:val="007116F0"/>
    <w:rsid w:val="00711734"/>
    <w:rsid w:val="007117A4"/>
    <w:rsid w:val="007117F5"/>
    <w:rsid w:val="007117F9"/>
    <w:rsid w:val="00711835"/>
    <w:rsid w:val="0071185C"/>
    <w:rsid w:val="0071186B"/>
    <w:rsid w:val="007118A6"/>
    <w:rsid w:val="007118C2"/>
    <w:rsid w:val="0071193F"/>
    <w:rsid w:val="00711952"/>
    <w:rsid w:val="0071196B"/>
    <w:rsid w:val="0071199D"/>
    <w:rsid w:val="007119E1"/>
    <w:rsid w:val="007119E7"/>
    <w:rsid w:val="00711A65"/>
    <w:rsid w:val="00711A71"/>
    <w:rsid w:val="00711AF2"/>
    <w:rsid w:val="00711B65"/>
    <w:rsid w:val="00711B98"/>
    <w:rsid w:val="00711BA8"/>
    <w:rsid w:val="00711BBF"/>
    <w:rsid w:val="00711BC1"/>
    <w:rsid w:val="00711BD0"/>
    <w:rsid w:val="00711C03"/>
    <w:rsid w:val="00711C06"/>
    <w:rsid w:val="00711C4C"/>
    <w:rsid w:val="00711CBA"/>
    <w:rsid w:val="00711CD5"/>
    <w:rsid w:val="00711CDE"/>
    <w:rsid w:val="00711CE1"/>
    <w:rsid w:val="00711CE8"/>
    <w:rsid w:val="00711D6B"/>
    <w:rsid w:val="00711D75"/>
    <w:rsid w:val="00711D76"/>
    <w:rsid w:val="00711DB9"/>
    <w:rsid w:val="00711DD9"/>
    <w:rsid w:val="00711E23"/>
    <w:rsid w:val="00711E34"/>
    <w:rsid w:val="00711E4A"/>
    <w:rsid w:val="00711E61"/>
    <w:rsid w:val="00711E92"/>
    <w:rsid w:val="00711EC4"/>
    <w:rsid w:val="00711EC9"/>
    <w:rsid w:val="00711F2E"/>
    <w:rsid w:val="00711F70"/>
    <w:rsid w:val="00711FA0"/>
    <w:rsid w:val="00711FAC"/>
    <w:rsid w:val="00711FC8"/>
    <w:rsid w:val="00711FFC"/>
    <w:rsid w:val="0071203C"/>
    <w:rsid w:val="00712042"/>
    <w:rsid w:val="00712044"/>
    <w:rsid w:val="0071205A"/>
    <w:rsid w:val="00712070"/>
    <w:rsid w:val="007120AD"/>
    <w:rsid w:val="007120B8"/>
    <w:rsid w:val="007120CC"/>
    <w:rsid w:val="0071211A"/>
    <w:rsid w:val="00712152"/>
    <w:rsid w:val="00712170"/>
    <w:rsid w:val="00712189"/>
    <w:rsid w:val="007121A2"/>
    <w:rsid w:val="0071221C"/>
    <w:rsid w:val="00712285"/>
    <w:rsid w:val="007122D6"/>
    <w:rsid w:val="007122E7"/>
    <w:rsid w:val="007122EB"/>
    <w:rsid w:val="00712342"/>
    <w:rsid w:val="0071234F"/>
    <w:rsid w:val="00712398"/>
    <w:rsid w:val="007123E4"/>
    <w:rsid w:val="00712437"/>
    <w:rsid w:val="0071244E"/>
    <w:rsid w:val="007124BE"/>
    <w:rsid w:val="007124C9"/>
    <w:rsid w:val="0071251C"/>
    <w:rsid w:val="00712534"/>
    <w:rsid w:val="00712542"/>
    <w:rsid w:val="00712588"/>
    <w:rsid w:val="007125CB"/>
    <w:rsid w:val="00712601"/>
    <w:rsid w:val="00712611"/>
    <w:rsid w:val="00712678"/>
    <w:rsid w:val="0071267A"/>
    <w:rsid w:val="007126B6"/>
    <w:rsid w:val="007126D2"/>
    <w:rsid w:val="007126D6"/>
    <w:rsid w:val="00712702"/>
    <w:rsid w:val="00712706"/>
    <w:rsid w:val="007127AF"/>
    <w:rsid w:val="007127C8"/>
    <w:rsid w:val="00712864"/>
    <w:rsid w:val="00712884"/>
    <w:rsid w:val="007128B9"/>
    <w:rsid w:val="007128EF"/>
    <w:rsid w:val="00712908"/>
    <w:rsid w:val="0071294E"/>
    <w:rsid w:val="0071299C"/>
    <w:rsid w:val="007129BD"/>
    <w:rsid w:val="007129EB"/>
    <w:rsid w:val="00712A1B"/>
    <w:rsid w:val="00712A45"/>
    <w:rsid w:val="00712A67"/>
    <w:rsid w:val="00712AA3"/>
    <w:rsid w:val="00712AAA"/>
    <w:rsid w:val="00712AE2"/>
    <w:rsid w:val="00712B95"/>
    <w:rsid w:val="00712BC8"/>
    <w:rsid w:val="00712BD5"/>
    <w:rsid w:val="00712C0B"/>
    <w:rsid w:val="00712C14"/>
    <w:rsid w:val="00712C4A"/>
    <w:rsid w:val="00712C78"/>
    <w:rsid w:val="00712CA1"/>
    <w:rsid w:val="00712DA2"/>
    <w:rsid w:val="00712DA3"/>
    <w:rsid w:val="00712DB6"/>
    <w:rsid w:val="00712E3F"/>
    <w:rsid w:val="00712E61"/>
    <w:rsid w:val="00712E98"/>
    <w:rsid w:val="00712EA2"/>
    <w:rsid w:val="00712EAA"/>
    <w:rsid w:val="00712F18"/>
    <w:rsid w:val="00712F35"/>
    <w:rsid w:val="00712F5C"/>
    <w:rsid w:val="00712F63"/>
    <w:rsid w:val="00712F98"/>
    <w:rsid w:val="00712F9F"/>
    <w:rsid w:val="00712FA7"/>
    <w:rsid w:val="00713014"/>
    <w:rsid w:val="0071315A"/>
    <w:rsid w:val="007131A3"/>
    <w:rsid w:val="007131AD"/>
    <w:rsid w:val="00713287"/>
    <w:rsid w:val="0071329B"/>
    <w:rsid w:val="007132C6"/>
    <w:rsid w:val="007132DB"/>
    <w:rsid w:val="00713336"/>
    <w:rsid w:val="00713353"/>
    <w:rsid w:val="007133C4"/>
    <w:rsid w:val="00713423"/>
    <w:rsid w:val="0071342C"/>
    <w:rsid w:val="00713449"/>
    <w:rsid w:val="007134BE"/>
    <w:rsid w:val="007134D3"/>
    <w:rsid w:val="00713506"/>
    <w:rsid w:val="0071350C"/>
    <w:rsid w:val="00713512"/>
    <w:rsid w:val="0071353A"/>
    <w:rsid w:val="007135A0"/>
    <w:rsid w:val="007135ED"/>
    <w:rsid w:val="00713609"/>
    <w:rsid w:val="00713620"/>
    <w:rsid w:val="00713629"/>
    <w:rsid w:val="0071369B"/>
    <w:rsid w:val="007136F3"/>
    <w:rsid w:val="0071370D"/>
    <w:rsid w:val="0071371F"/>
    <w:rsid w:val="00713745"/>
    <w:rsid w:val="00713753"/>
    <w:rsid w:val="00713759"/>
    <w:rsid w:val="00713781"/>
    <w:rsid w:val="0071380F"/>
    <w:rsid w:val="00713893"/>
    <w:rsid w:val="0071390F"/>
    <w:rsid w:val="00713918"/>
    <w:rsid w:val="00713929"/>
    <w:rsid w:val="00713930"/>
    <w:rsid w:val="007139C2"/>
    <w:rsid w:val="007139FD"/>
    <w:rsid w:val="00713A1D"/>
    <w:rsid w:val="00713A27"/>
    <w:rsid w:val="00713A60"/>
    <w:rsid w:val="00713B18"/>
    <w:rsid w:val="00713B8C"/>
    <w:rsid w:val="00713BD6"/>
    <w:rsid w:val="00713BF9"/>
    <w:rsid w:val="00713C38"/>
    <w:rsid w:val="00713C9B"/>
    <w:rsid w:val="00713CCB"/>
    <w:rsid w:val="00713CD2"/>
    <w:rsid w:val="00713D41"/>
    <w:rsid w:val="00713D7A"/>
    <w:rsid w:val="00713D88"/>
    <w:rsid w:val="00713DC8"/>
    <w:rsid w:val="00713E70"/>
    <w:rsid w:val="00713EDD"/>
    <w:rsid w:val="00713EE5"/>
    <w:rsid w:val="00713F27"/>
    <w:rsid w:val="00713F29"/>
    <w:rsid w:val="00713FAD"/>
    <w:rsid w:val="00713FC2"/>
    <w:rsid w:val="00714027"/>
    <w:rsid w:val="00714050"/>
    <w:rsid w:val="007140D7"/>
    <w:rsid w:val="007140E0"/>
    <w:rsid w:val="007140FC"/>
    <w:rsid w:val="00714115"/>
    <w:rsid w:val="00714184"/>
    <w:rsid w:val="00714249"/>
    <w:rsid w:val="0071424A"/>
    <w:rsid w:val="00714253"/>
    <w:rsid w:val="00714254"/>
    <w:rsid w:val="00714255"/>
    <w:rsid w:val="00714266"/>
    <w:rsid w:val="00714268"/>
    <w:rsid w:val="00714299"/>
    <w:rsid w:val="007142A7"/>
    <w:rsid w:val="007142C0"/>
    <w:rsid w:val="007142FD"/>
    <w:rsid w:val="00714329"/>
    <w:rsid w:val="00714364"/>
    <w:rsid w:val="007143BC"/>
    <w:rsid w:val="007143F9"/>
    <w:rsid w:val="00714403"/>
    <w:rsid w:val="00714457"/>
    <w:rsid w:val="0071446E"/>
    <w:rsid w:val="0071451F"/>
    <w:rsid w:val="00714623"/>
    <w:rsid w:val="0071465E"/>
    <w:rsid w:val="007146BD"/>
    <w:rsid w:val="007146CA"/>
    <w:rsid w:val="00714760"/>
    <w:rsid w:val="00714761"/>
    <w:rsid w:val="00714806"/>
    <w:rsid w:val="00714870"/>
    <w:rsid w:val="00714880"/>
    <w:rsid w:val="00714986"/>
    <w:rsid w:val="007149B6"/>
    <w:rsid w:val="00714AD3"/>
    <w:rsid w:val="00714B96"/>
    <w:rsid w:val="00714BF9"/>
    <w:rsid w:val="00714BFC"/>
    <w:rsid w:val="00714C27"/>
    <w:rsid w:val="00714C2E"/>
    <w:rsid w:val="00714C8C"/>
    <w:rsid w:val="00714CAD"/>
    <w:rsid w:val="00714CD5"/>
    <w:rsid w:val="00714CD8"/>
    <w:rsid w:val="00714D19"/>
    <w:rsid w:val="00714D39"/>
    <w:rsid w:val="00714D46"/>
    <w:rsid w:val="00714D5D"/>
    <w:rsid w:val="00714D7B"/>
    <w:rsid w:val="00714D85"/>
    <w:rsid w:val="00714E2F"/>
    <w:rsid w:val="00714E3E"/>
    <w:rsid w:val="00714ECC"/>
    <w:rsid w:val="00714EE2"/>
    <w:rsid w:val="00714EF2"/>
    <w:rsid w:val="00714F28"/>
    <w:rsid w:val="00714F2B"/>
    <w:rsid w:val="00714F3D"/>
    <w:rsid w:val="00714F44"/>
    <w:rsid w:val="00714F49"/>
    <w:rsid w:val="00714F62"/>
    <w:rsid w:val="00714FAF"/>
    <w:rsid w:val="00714FF1"/>
    <w:rsid w:val="00715022"/>
    <w:rsid w:val="00715051"/>
    <w:rsid w:val="0071508B"/>
    <w:rsid w:val="007150A3"/>
    <w:rsid w:val="0071512A"/>
    <w:rsid w:val="0071517B"/>
    <w:rsid w:val="00715203"/>
    <w:rsid w:val="0071521A"/>
    <w:rsid w:val="0071521D"/>
    <w:rsid w:val="0071529E"/>
    <w:rsid w:val="007152E6"/>
    <w:rsid w:val="00715388"/>
    <w:rsid w:val="007153A2"/>
    <w:rsid w:val="007153BC"/>
    <w:rsid w:val="007153BF"/>
    <w:rsid w:val="007153DB"/>
    <w:rsid w:val="007153F5"/>
    <w:rsid w:val="00715425"/>
    <w:rsid w:val="00715441"/>
    <w:rsid w:val="007154B3"/>
    <w:rsid w:val="007154CE"/>
    <w:rsid w:val="007154D9"/>
    <w:rsid w:val="00715511"/>
    <w:rsid w:val="0071552C"/>
    <w:rsid w:val="00715560"/>
    <w:rsid w:val="007155A4"/>
    <w:rsid w:val="0071562E"/>
    <w:rsid w:val="00715640"/>
    <w:rsid w:val="00715642"/>
    <w:rsid w:val="007156C6"/>
    <w:rsid w:val="007156D2"/>
    <w:rsid w:val="0071570C"/>
    <w:rsid w:val="00715759"/>
    <w:rsid w:val="007157EC"/>
    <w:rsid w:val="007157F8"/>
    <w:rsid w:val="00715825"/>
    <w:rsid w:val="0071586C"/>
    <w:rsid w:val="00715874"/>
    <w:rsid w:val="00715890"/>
    <w:rsid w:val="007158B9"/>
    <w:rsid w:val="007158DE"/>
    <w:rsid w:val="007158E1"/>
    <w:rsid w:val="007158F4"/>
    <w:rsid w:val="0071593E"/>
    <w:rsid w:val="00715941"/>
    <w:rsid w:val="00715956"/>
    <w:rsid w:val="007159E2"/>
    <w:rsid w:val="00715A2A"/>
    <w:rsid w:val="00715A42"/>
    <w:rsid w:val="00715AF0"/>
    <w:rsid w:val="00715B32"/>
    <w:rsid w:val="00715B71"/>
    <w:rsid w:val="00715BAA"/>
    <w:rsid w:val="00715BFF"/>
    <w:rsid w:val="00715C46"/>
    <w:rsid w:val="00715C4E"/>
    <w:rsid w:val="00715C5E"/>
    <w:rsid w:val="00715C94"/>
    <w:rsid w:val="00715C95"/>
    <w:rsid w:val="00715CD7"/>
    <w:rsid w:val="00715CFE"/>
    <w:rsid w:val="00715D13"/>
    <w:rsid w:val="00715D47"/>
    <w:rsid w:val="00715D49"/>
    <w:rsid w:val="00715D9C"/>
    <w:rsid w:val="00715DD1"/>
    <w:rsid w:val="00715DEA"/>
    <w:rsid w:val="00715E38"/>
    <w:rsid w:val="00715E6A"/>
    <w:rsid w:val="00715E9D"/>
    <w:rsid w:val="00715EA0"/>
    <w:rsid w:val="00715EF6"/>
    <w:rsid w:val="00715F01"/>
    <w:rsid w:val="00715F10"/>
    <w:rsid w:val="00715F20"/>
    <w:rsid w:val="00715F28"/>
    <w:rsid w:val="00715F49"/>
    <w:rsid w:val="00715F61"/>
    <w:rsid w:val="00715F70"/>
    <w:rsid w:val="00715F8F"/>
    <w:rsid w:val="00715FB1"/>
    <w:rsid w:val="00715FB8"/>
    <w:rsid w:val="00715FC8"/>
    <w:rsid w:val="00715FD5"/>
    <w:rsid w:val="00716013"/>
    <w:rsid w:val="00716054"/>
    <w:rsid w:val="007160E2"/>
    <w:rsid w:val="00716100"/>
    <w:rsid w:val="00716112"/>
    <w:rsid w:val="0071617B"/>
    <w:rsid w:val="007161CD"/>
    <w:rsid w:val="007161E8"/>
    <w:rsid w:val="00716205"/>
    <w:rsid w:val="00716209"/>
    <w:rsid w:val="0071622B"/>
    <w:rsid w:val="00716231"/>
    <w:rsid w:val="0071629D"/>
    <w:rsid w:val="007162D8"/>
    <w:rsid w:val="0071630D"/>
    <w:rsid w:val="00716376"/>
    <w:rsid w:val="007163D9"/>
    <w:rsid w:val="007163EF"/>
    <w:rsid w:val="0071641C"/>
    <w:rsid w:val="00716426"/>
    <w:rsid w:val="0071645A"/>
    <w:rsid w:val="00716521"/>
    <w:rsid w:val="0071654C"/>
    <w:rsid w:val="0071657C"/>
    <w:rsid w:val="007165A6"/>
    <w:rsid w:val="007165B4"/>
    <w:rsid w:val="007165F5"/>
    <w:rsid w:val="0071666C"/>
    <w:rsid w:val="00716675"/>
    <w:rsid w:val="007166CA"/>
    <w:rsid w:val="00716720"/>
    <w:rsid w:val="0071675B"/>
    <w:rsid w:val="007167BB"/>
    <w:rsid w:val="007167FB"/>
    <w:rsid w:val="00716812"/>
    <w:rsid w:val="00716938"/>
    <w:rsid w:val="0071696C"/>
    <w:rsid w:val="007169A7"/>
    <w:rsid w:val="007169D9"/>
    <w:rsid w:val="00716A8B"/>
    <w:rsid w:val="00716B18"/>
    <w:rsid w:val="00716B80"/>
    <w:rsid w:val="00716BC1"/>
    <w:rsid w:val="00716C4E"/>
    <w:rsid w:val="00716CA9"/>
    <w:rsid w:val="00716CC8"/>
    <w:rsid w:val="00716D1C"/>
    <w:rsid w:val="00716D81"/>
    <w:rsid w:val="00716D97"/>
    <w:rsid w:val="00716E0F"/>
    <w:rsid w:val="00716E1C"/>
    <w:rsid w:val="00716E26"/>
    <w:rsid w:val="00716E5B"/>
    <w:rsid w:val="00716E69"/>
    <w:rsid w:val="00716E80"/>
    <w:rsid w:val="00716ECD"/>
    <w:rsid w:val="00716ED1"/>
    <w:rsid w:val="00716F05"/>
    <w:rsid w:val="00716FED"/>
    <w:rsid w:val="00717008"/>
    <w:rsid w:val="0071705D"/>
    <w:rsid w:val="00717086"/>
    <w:rsid w:val="007170B3"/>
    <w:rsid w:val="007170F6"/>
    <w:rsid w:val="00717157"/>
    <w:rsid w:val="007171DB"/>
    <w:rsid w:val="0071721E"/>
    <w:rsid w:val="00717235"/>
    <w:rsid w:val="0071729E"/>
    <w:rsid w:val="007172BF"/>
    <w:rsid w:val="00717319"/>
    <w:rsid w:val="00717351"/>
    <w:rsid w:val="007173AC"/>
    <w:rsid w:val="0071741E"/>
    <w:rsid w:val="00717458"/>
    <w:rsid w:val="0071758D"/>
    <w:rsid w:val="0071760D"/>
    <w:rsid w:val="0071774B"/>
    <w:rsid w:val="00717762"/>
    <w:rsid w:val="0071778D"/>
    <w:rsid w:val="00717798"/>
    <w:rsid w:val="007177AF"/>
    <w:rsid w:val="007177B2"/>
    <w:rsid w:val="007177FF"/>
    <w:rsid w:val="00717818"/>
    <w:rsid w:val="0071782D"/>
    <w:rsid w:val="0071782E"/>
    <w:rsid w:val="00717860"/>
    <w:rsid w:val="00717895"/>
    <w:rsid w:val="007178D3"/>
    <w:rsid w:val="007178F4"/>
    <w:rsid w:val="00717945"/>
    <w:rsid w:val="0071795D"/>
    <w:rsid w:val="00717987"/>
    <w:rsid w:val="007179D6"/>
    <w:rsid w:val="007179E3"/>
    <w:rsid w:val="00717A63"/>
    <w:rsid w:val="00717A66"/>
    <w:rsid w:val="00717ACA"/>
    <w:rsid w:val="00717AE3"/>
    <w:rsid w:val="00717AF8"/>
    <w:rsid w:val="00717B11"/>
    <w:rsid w:val="00717BB8"/>
    <w:rsid w:val="00717BBB"/>
    <w:rsid w:val="00717BC6"/>
    <w:rsid w:val="00717BDE"/>
    <w:rsid w:val="00717C16"/>
    <w:rsid w:val="00717C69"/>
    <w:rsid w:val="00717C80"/>
    <w:rsid w:val="00717CE4"/>
    <w:rsid w:val="00717CEF"/>
    <w:rsid w:val="00717D21"/>
    <w:rsid w:val="00717D44"/>
    <w:rsid w:val="00717DD2"/>
    <w:rsid w:val="00717DD4"/>
    <w:rsid w:val="00717DE1"/>
    <w:rsid w:val="00717E32"/>
    <w:rsid w:val="00717ECA"/>
    <w:rsid w:val="00717F10"/>
    <w:rsid w:val="00717F13"/>
    <w:rsid w:val="00717F20"/>
    <w:rsid w:val="00717F4C"/>
    <w:rsid w:val="00717F52"/>
    <w:rsid w:val="00717F9C"/>
    <w:rsid w:val="00717FF1"/>
    <w:rsid w:val="0072003D"/>
    <w:rsid w:val="007200A7"/>
    <w:rsid w:val="0072017C"/>
    <w:rsid w:val="0072018E"/>
    <w:rsid w:val="00720192"/>
    <w:rsid w:val="007201C1"/>
    <w:rsid w:val="007201E4"/>
    <w:rsid w:val="007202A2"/>
    <w:rsid w:val="007202D5"/>
    <w:rsid w:val="00720350"/>
    <w:rsid w:val="007203BA"/>
    <w:rsid w:val="007203C0"/>
    <w:rsid w:val="0072047D"/>
    <w:rsid w:val="007204DD"/>
    <w:rsid w:val="0072054F"/>
    <w:rsid w:val="00720588"/>
    <w:rsid w:val="007205E2"/>
    <w:rsid w:val="007205F3"/>
    <w:rsid w:val="007205FB"/>
    <w:rsid w:val="007205FE"/>
    <w:rsid w:val="0072063F"/>
    <w:rsid w:val="00720655"/>
    <w:rsid w:val="0072065B"/>
    <w:rsid w:val="0072078B"/>
    <w:rsid w:val="007207A0"/>
    <w:rsid w:val="007207AB"/>
    <w:rsid w:val="007207D5"/>
    <w:rsid w:val="007207FE"/>
    <w:rsid w:val="0072082F"/>
    <w:rsid w:val="00720854"/>
    <w:rsid w:val="00720890"/>
    <w:rsid w:val="00720892"/>
    <w:rsid w:val="0072091F"/>
    <w:rsid w:val="00720954"/>
    <w:rsid w:val="00720A10"/>
    <w:rsid w:val="00720A12"/>
    <w:rsid w:val="00720A13"/>
    <w:rsid w:val="00720AB2"/>
    <w:rsid w:val="00720AB5"/>
    <w:rsid w:val="00720AC7"/>
    <w:rsid w:val="00720B2D"/>
    <w:rsid w:val="00720B8C"/>
    <w:rsid w:val="00720C02"/>
    <w:rsid w:val="00720CB5"/>
    <w:rsid w:val="00720CB8"/>
    <w:rsid w:val="00720CE8"/>
    <w:rsid w:val="00720D43"/>
    <w:rsid w:val="00720E04"/>
    <w:rsid w:val="00720E1C"/>
    <w:rsid w:val="00720E79"/>
    <w:rsid w:val="00720E92"/>
    <w:rsid w:val="00720EAB"/>
    <w:rsid w:val="00720F1A"/>
    <w:rsid w:val="00720F3B"/>
    <w:rsid w:val="00720F60"/>
    <w:rsid w:val="00720F69"/>
    <w:rsid w:val="00720F86"/>
    <w:rsid w:val="00720FEB"/>
    <w:rsid w:val="00721097"/>
    <w:rsid w:val="007210A4"/>
    <w:rsid w:val="007210BE"/>
    <w:rsid w:val="00721128"/>
    <w:rsid w:val="0072115C"/>
    <w:rsid w:val="007211CB"/>
    <w:rsid w:val="007211FE"/>
    <w:rsid w:val="0072120F"/>
    <w:rsid w:val="00721212"/>
    <w:rsid w:val="007212D2"/>
    <w:rsid w:val="007212EC"/>
    <w:rsid w:val="00721391"/>
    <w:rsid w:val="007213DE"/>
    <w:rsid w:val="007213EF"/>
    <w:rsid w:val="007213F7"/>
    <w:rsid w:val="00721429"/>
    <w:rsid w:val="00721455"/>
    <w:rsid w:val="0072146F"/>
    <w:rsid w:val="00721486"/>
    <w:rsid w:val="007214D1"/>
    <w:rsid w:val="00721501"/>
    <w:rsid w:val="00721544"/>
    <w:rsid w:val="00721585"/>
    <w:rsid w:val="00721593"/>
    <w:rsid w:val="007215C0"/>
    <w:rsid w:val="00721653"/>
    <w:rsid w:val="0072167D"/>
    <w:rsid w:val="00721684"/>
    <w:rsid w:val="007216B9"/>
    <w:rsid w:val="007216E9"/>
    <w:rsid w:val="00721703"/>
    <w:rsid w:val="00721783"/>
    <w:rsid w:val="0072178C"/>
    <w:rsid w:val="007217DB"/>
    <w:rsid w:val="00721807"/>
    <w:rsid w:val="00721834"/>
    <w:rsid w:val="0072185F"/>
    <w:rsid w:val="00721874"/>
    <w:rsid w:val="00721877"/>
    <w:rsid w:val="007218A9"/>
    <w:rsid w:val="007218B0"/>
    <w:rsid w:val="007218C4"/>
    <w:rsid w:val="007218CB"/>
    <w:rsid w:val="007218EA"/>
    <w:rsid w:val="0072199F"/>
    <w:rsid w:val="007219B4"/>
    <w:rsid w:val="00721A06"/>
    <w:rsid w:val="00721A4D"/>
    <w:rsid w:val="00721AFE"/>
    <w:rsid w:val="00721B19"/>
    <w:rsid w:val="00721B1F"/>
    <w:rsid w:val="00721BA4"/>
    <w:rsid w:val="00721CA3"/>
    <w:rsid w:val="00721CC2"/>
    <w:rsid w:val="00721CD6"/>
    <w:rsid w:val="00721D60"/>
    <w:rsid w:val="00721D73"/>
    <w:rsid w:val="00721D7C"/>
    <w:rsid w:val="00721DCC"/>
    <w:rsid w:val="00721DEF"/>
    <w:rsid w:val="00721E16"/>
    <w:rsid w:val="00721E63"/>
    <w:rsid w:val="00721E79"/>
    <w:rsid w:val="00721E88"/>
    <w:rsid w:val="00721E91"/>
    <w:rsid w:val="00721EA8"/>
    <w:rsid w:val="00721EB0"/>
    <w:rsid w:val="00721EDF"/>
    <w:rsid w:val="00721F04"/>
    <w:rsid w:val="00721F28"/>
    <w:rsid w:val="00721F2B"/>
    <w:rsid w:val="00721F39"/>
    <w:rsid w:val="00721F46"/>
    <w:rsid w:val="00721F54"/>
    <w:rsid w:val="00721FC6"/>
    <w:rsid w:val="00721FEA"/>
    <w:rsid w:val="00721FFA"/>
    <w:rsid w:val="00722052"/>
    <w:rsid w:val="0072207B"/>
    <w:rsid w:val="00722132"/>
    <w:rsid w:val="00722139"/>
    <w:rsid w:val="007221AB"/>
    <w:rsid w:val="007221AE"/>
    <w:rsid w:val="007221B9"/>
    <w:rsid w:val="007221FD"/>
    <w:rsid w:val="00722261"/>
    <w:rsid w:val="007222B4"/>
    <w:rsid w:val="007222CD"/>
    <w:rsid w:val="007222D5"/>
    <w:rsid w:val="007222E3"/>
    <w:rsid w:val="00722302"/>
    <w:rsid w:val="007223F3"/>
    <w:rsid w:val="0072241D"/>
    <w:rsid w:val="00722478"/>
    <w:rsid w:val="007224AF"/>
    <w:rsid w:val="007224CB"/>
    <w:rsid w:val="007224F5"/>
    <w:rsid w:val="0072254B"/>
    <w:rsid w:val="00722584"/>
    <w:rsid w:val="00722586"/>
    <w:rsid w:val="0072258C"/>
    <w:rsid w:val="0072259A"/>
    <w:rsid w:val="00722608"/>
    <w:rsid w:val="0072263B"/>
    <w:rsid w:val="0072265B"/>
    <w:rsid w:val="0072265E"/>
    <w:rsid w:val="0072269A"/>
    <w:rsid w:val="007226C4"/>
    <w:rsid w:val="007226C7"/>
    <w:rsid w:val="0072274B"/>
    <w:rsid w:val="00722798"/>
    <w:rsid w:val="007227B0"/>
    <w:rsid w:val="007227C3"/>
    <w:rsid w:val="007227F6"/>
    <w:rsid w:val="0072280D"/>
    <w:rsid w:val="00722870"/>
    <w:rsid w:val="007228A1"/>
    <w:rsid w:val="00722926"/>
    <w:rsid w:val="00722978"/>
    <w:rsid w:val="007229EC"/>
    <w:rsid w:val="00722A6D"/>
    <w:rsid w:val="00722A96"/>
    <w:rsid w:val="00722AB4"/>
    <w:rsid w:val="00722B2F"/>
    <w:rsid w:val="00722B30"/>
    <w:rsid w:val="00722B6A"/>
    <w:rsid w:val="00722B85"/>
    <w:rsid w:val="00722B91"/>
    <w:rsid w:val="00722B97"/>
    <w:rsid w:val="00722BE2"/>
    <w:rsid w:val="00722CAA"/>
    <w:rsid w:val="00722CB6"/>
    <w:rsid w:val="00722CC5"/>
    <w:rsid w:val="00722D0A"/>
    <w:rsid w:val="00722D1C"/>
    <w:rsid w:val="00722DA9"/>
    <w:rsid w:val="00722DAF"/>
    <w:rsid w:val="00722DD5"/>
    <w:rsid w:val="00722E67"/>
    <w:rsid w:val="00722E89"/>
    <w:rsid w:val="00722E9C"/>
    <w:rsid w:val="00722EC5"/>
    <w:rsid w:val="00722ECC"/>
    <w:rsid w:val="0072301A"/>
    <w:rsid w:val="00723099"/>
    <w:rsid w:val="007230B0"/>
    <w:rsid w:val="007230DE"/>
    <w:rsid w:val="0072314D"/>
    <w:rsid w:val="00723150"/>
    <w:rsid w:val="007231F0"/>
    <w:rsid w:val="00723222"/>
    <w:rsid w:val="0072322C"/>
    <w:rsid w:val="0072324A"/>
    <w:rsid w:val="007232FC"/>
    <w:rsid w:val="007232FE"/>
    <w:rsid w:val="00723313"/>
    <w:rsid w:val="00723338"/>
    <w:rsid w:val="0072333F"/>
    <w:rsid w:val="00723352"/>
    <w:rsid w:val="00723395"/>
    <w:rsid w:val="007233AD"/>
    <w:rsid w:val="007233B3"/>
    <w:rsid w:val="007233DA"/>
    <w:rsid w:val="00723425"/>
    <w:rsid w:val="00723473"/>
    <w:rsid w:val="00723504"/>
    <w:rsid w:val="00723539"/>
    <w:rsid w:val="0072359A"/>
    <w:rsid w:val="007235B0"/>
    <w:rsid w:val="007235EC"/>
    <w:rsid w:val="007235F3"/>
    <w:rsid w:val="0072361F"/>
    <w:rsid w:val="00723650"/>
    <w:rsid w:val="007236F3"/>
    <w:rsid w:val="00723722"/>
    <w:rsid w:val="00723739"/>
    <w:rsid w:val="00723759"/>
    <w:rsid w:val="00723779"/>
    <w:rsid w:val="007237BA"/>
    <w:rsid w:val="007237BE"/>
    <w:rsid w:val="007237F4"/>
    <w:rsid w:val="0072382F"/>
    <w:rsid w:val="0072386C"/>
    <w:rsid w:val="00723893"/>
    <w:rsid w:val="007238E2"/>
    <w:rsid w:val="0072391A"/>
    <w:rsid w:val="00723982"/>
    <w:rsid w:val="0072398A"/>
    <w:rsid w:val="007239A0"/>
    <w:rsid w:val="007239DC"/>
    <w:rsid w:val="00723A19"/>
    <w:rsid w:val="00723ABE"/>
    <w:rsid w:val="00723ACF"/>
    <w:rsid w:val="00723AF8"/>
    <w:rsid w:val="00723B07"/>
    <w:rsid w:val="00723B0A"/>
    <w:rsid w:val="00723C36"/>
    <w:rsid w:val="00723CDB"/>
    <w:rsid w:val="00723D0B"/>
    <w:rsid w:val="00723D7A"/>
    <w:rsid w:val="00723D80"/>
    <w:rsid w:val="00723E21"/>
    <w:rsid w:val="00723ED7"/>
    <w:rsid w:val="00723F05"/>
    <w:rsid w:val="00723F2C"/>
    <w:rsid w:val="00723F38"/>
    <w:rsid w:val="00723FB3"/>
    <w:rsid w:val="00724036"/>
    <w:rsid w:val="00724089"/>
    <w:rsid w:val="0072409B"/>
    <w:rsid w:val="007240A2"/>
    <w:rsid w:val="007240D7"/>
    <w:rsid w:val="007240DB"/>
    <w:rsid w:val="00724135"/>
    <w:rsid w:val="007241B4"/>
    <w:rsid w:val="007241D2"/>
    <w:rsid w:val="007241E5"/>
    <w:rsid w:val="007241F6"/>
    <w:rsid w:val="00724237"/>
    <w:rsid w:val="00724252"/>
    <w:rsid w:val="00724258"/>
    <w:rsid w:val="0072426D"/>
    <w:rsid w:val="00724287"/>
    <w:rsid w:val="0072429B"/>
    <w:rsid w:val="007242AA"/>
    <w:rsid w:val="007242D4"/>
    <w:rsid w:val="007242E7"/>
    <w:rsid w:val="00724364"/>
    <w:rsid w:val="0072436F"/>
    <w:rsid w:val="00724392"/>
    <w:rsid w:val="007243A9"/>
    <w:rsid w:val="00724400"/>
    <w:rsid w:val="00724434"/>
    <w:rsid w:val="0072443E"/>
    <w:rsid w:val="00724489"/>
    <w:rsid w:val="007244F8"/>
    <w:rsid w:val="00724602"/>
    <w:rsid w:val="00724605"/>
    <w:rsid w:val="0072464A"/>
    <w:rsid w:val="00724675"/>
    <w:rsid w:val="007246AE"/>
    <w:rsid w:val="007246BF"/>
    <w:rsid w:val="007246E5"/>
    <w:rsid w:val="007246F1"/>
    <w:rsid w:val="00724702"/>
    <w:rsid w:val="00724736"/>
    <w:rsid w:val="0072476A"/>
    <w:rsid w:val="00724770"/>
    <w:rsid w:val="007247BB"/>
    <w:rsid w:val="00724897"/>
    <w:rsid w:val="007248A9"/>
    <w:rsid w:val="007248C3"/>
    <w:rsid w:val="00724969"/>
    <w:rsid w:val="007249BD"/>
    <w:rsid w:val="007249C1"/>
    <w:rsid w:val="00724A06"/>
    <w:rsid w:val="00724A0E"/>
    <w:rsid w:val="00724A37"/>
    <w:rsid w:val="00724A80"/>
    <w:rsid w:val="00724A97"/>
    <w:rsid w:val="00724AF8"/>
    <w:rsid w:val="00724B2D"/>
    <w:rsid w:val="00724B7A"/>
    <w:rsid w:val="00724BDF"/>
    <w:rsid w:val="00724C27"/>
    <w:rsid w:val="00724C30"/>
    <w:rsid w:val="00724CDE"/>
    <w:rsid w:val="00724D22"/>
    <w:rsid w:val="00724E33"/>
    <w:rsid w:val="00724E9D"/>
    <w:rsid w:val="00724EAF"/>
    <w:rsid w:val="00724F10"/>
    <w:rsid w:val="00724F43"/>
    <w:rsid w:val="00725037"/>
    <w:rsid w:val="0072504C"/>
    <w:rsid w:val="0072505D"/>
    <w:rsid w:val="00725060"/>
    <w:rsid w:val="007250A4"/>
    <w:rsid w:val="007250A5"/>
    <w:rsid w:val="007250A6"/>
    <w:rsid w:val="007250D3"/>
    <w:rsid w:val="007250F9"/>
    <w:rsid w:val="00725102"/>
    <w:rsid w:val="00725119"/>
    <w:rsid w:val="0072517D"/>
    <w:rsid w:val="007251BC"/>
    <w:rsid w:val="00725210"/>
    <w:rsid w:val="00725227"/>
    <w:rsid w:val="007252A6"/>
    <w:rsid w:val="007252D8"/>
    <w:rsid w:val="007252F6"/>
    <w:rsid w:val="00725352"/>
    <w:rsid w:val="0072535C"/>
    <w:rsid w:val="00725362"/>
    <w:rsid w:val="007253B2"/>
    <w:rsid w:val="007253B3"/>
    <w:rsid w:val="007253B8"/>
    <w:rsid w:val="00725402"/>
    <w:rsid w:val="00725412"/>
    <w:rsid w:val="00725414"/>
    <w:rsid w:val="0072542C"/>
    <w:rsid w:val="0072543D"/>
    <w:rsid w:val="00725446"/>
    <w:rsid w:val="007254D5"/>
    <w:rsid w:val="00725567"/>
    <w:rsid w:val="00725593"/>
    <w:rsid w:val="007255F8"/>
    <w:rsid w:val="00725620"/>
    <w:rsid w:val="0072563D"/>
    <w:rsid w:val="00725672"/>
    <w:rsid w:val="0072567C"/>
    <w:rsid w:val="00725694"/>
    <w:rsid w:val="007256CC"/>
    <w:rsid w:val="007256F7"/>
    <w:rsid w:val="00725702"/>
    <w:rsid w:val="00725706"/>
    <w:rsid w:val="00725717"/>
    <w:rsid w:val="0072572E"/>
    <w:rsid w:val="00725750"/>
    <w:rsid w:val="00725752"/>
    <w:rsid w:val="0072577A"/>
    <w:rsid w:val="0072577C"/>
    <w:rsid w:val="00725792"/>
    <w:rsid w:val="0072579C"/>
    <w:rsid w:val="007257DA"/>
    <w:rsid w:val="007257FE"/>
    <w:rsid w:val="00725807"/>
    <w:rsid w:val="007258E6"/>
    <w:rsid w:val="0072597A"/>
    <w:rsid w:val="007259B4"/>
    <w:rsid w:val="00725A38"/>
    <w:rsid w:val="00725A46"/>
    <w:rsid w:val="00725A6C"/>
    <w:rsid w:val="00725A71"/>
    <w:rsid w:val="00725A89"/>
    <w:rsid w:val="00725AB3"/>
    <w:rsid w:val="00725ACA"/>
    <w:rsid w:val="00725B11"/>
    <w:rsid w:val="00725B47"/>
    <w:rsid w:val="00725B84"/>
    <w:rsid w:val="00725BE2"/>
    <w:rsid w:val="00725C16"/>
    <w:rsid w:val="00725C2D"/>
    <w:rsid w:val="00725C40"/>
    <w:rsid w:val="00725C65"/>
    <w:rsid w:val="00725CC0"/>
    <w:rsid w:val="00725D4F"/>
    <w:rsid w:val="00725E1C"/>
    <w:rsid w:val="00725E8D"/>
    <w:rsid w:val="00725E93"/>
    <w:rsid w:val="00725EBD"/>
    <w:rsid w:val="00725F02"/>
    <w:rsid w:val="00725F07"/>
    <w:rsid w:val="00725F23"/>
    <w:rsid w:val="00725FD2"/>
    <w:rsid w:val="00725FE0"/>
    <w:rsid w:val="00726019"/>
    <w:rsid w:val="00726029"/>
    <w:rsid w:val="00726043"/>
    <w:rsid w:val="00726077"/>
    <w:rsid w:val="00726096"/>
    <w:rsid w:val="00726103"/>
    <w:rsid w:val="00726193"/>
    <w:rsid w:val="007261E0"/>
    <w:rsid w:val="00726216"/>
    <w:rsid w:val="00726261"/>
    <w:rsid w:val="0072627A"/>
    <w:rsid w:val="007262AA"/>
    <w:rsid w:val="007262FB"/>
    <w:rsid w:val="00726307"/>
    <w:rsid w:val="0072631D"/>
    <w:rsid w:val="007263C4"/>
    <w:rsid w:val="0072643D"/>
    <w:rsid w:val="00726448"/>
    <w:rsid w:val="00726483"/>
    <w:rsid w:val="007264FA"/>
    <w:rsid w:val="00726525"/>
    <w:rsid w:val="0072655F"/>
    <w:rsid w:val="007265C8"/>
    <w:rsid w:val="007265CB"/>
    <w:rsid w:val="007265DB"/>
    <w:rsid w:val="0072663E"/>
    <w:rsid w:val="007266E5"/>
    <w:rsid w:val="00726700"/>
    <w:rsid w:val="00726813"/>
    <w:rsid w:val="00726820"/>
    <w:rsid w:val="0072684B"/>
    <w:rsid w:val="0072686A"/>
    <w:rsid w:val="00726888"/>
    <w:rsid w:val="0072688E"/>
    <w:rsid w:val="007268A3"/>
    <w:rsid w:val="00726959"/>
    <w:rsid w:val="0072695A"/>
    <w:rsid w:val="00726A1E"/>
    <w:rsid w:val="00726AC7"/>
    <w:rsid w:val="00726B04"/>
    <w:rsid w:val="00726B41"/>
    <w:rsid w:val="00726B6B"/>
    <w:rsid w:val="00726BB5"/>
    <w:rsid w:val="00726C13"/>
    <w:rsid w:val="00726C5B"/>
    <w:rsid w:val="00726CDB"/>
    <w:rsid w:val="00726CF2"/>
    <w:rsid w:val="00726CF8"/>
    <w:rsid w:val="00726D25"/>
    <w:rsid w:val="00726D3C"/>
    <w:rsid w:val="00726D41"/>
    <w:rsid w:val="00726D61"/>
    <w:rsid w:val="00726DE1"/>
    <w:rsid w:val="00726E38"/>
    <w:rsid w:val="00726E3E"/>
    <w:rsid w:val="00726E44"/>
    <w:rsid w:val="00726E6A"/>
    <w:rsid w:val="00726EAF"/>
    <w:rsid w:val="00726EBB"/>
    <w:rsid w:val="00726EBF"/>
    <w:rsid w:val="00726EC0"/>
    <w:rsid w:val="00726ECD"/>
    <w:rsid w:val="00726EDE"/>
    <w:rsid w:val="00726F41"/>
    <w:rsid w:val="00726FA9"/>
    <w:rsid w:val="00726FE2"/>
    <w:rsid w:val="00726FF3"/>
    <w:rsid w:val="00727011"/>
    <w:rsid w:val="00727058"/>
    <w:rsid w:val="0072707D"/>
    <w:rsid w:val="0072709A"/>
    <w:rsid w:val="007270A0"/>
    <w:rsid w:val="00727102"/>
    <w:rsid w:val="0072710C"/>
    <w:rsid w:val="0072714A"/>
    <w:rsid w:val="007271BA"/>
    <w:rsid w:val="00727220"/>
    <w:rsid w:val="00727225"/>
    <w:rsid w:val="00727289"/>
    <w:rsid w:val="007272AB"/>
    <w:rsid w:val="00727307"/>
    <w:rsid w:val="007273DA"/>
    <w:rsid w:val="007273F6"/>
    <w:rsid w:val="00727411"/>
    <w:rsid w:val="0072742A"/>
    <w:rsid w:val="00727448"/>
    <w:rsid w:val="007274B5"/>
    <w:rsid w:val="007274D0"/>
    <w:rsid w:val="007274D1"/>
    <w:rsid w:val="0072754B"/>
    <w:rsid w:val="00727581"/>
    <w:rsid w:val="007275AA"/>
    <w:rsid w:val="007275C0"/>
    <w:rsid w:val="00727624"/>
    <w:rsid w:val="0072763C"/>
    <w:rsid w:val="007276E8"/>
    <w:rsid w:val="007276EE"/>
    <w:rsid w:val="00727701"/>
    <w:rsid w:val="0072771B"/>
    <w:rsid w:val="00727783"/>
    <w:rsid w:val="007277B5"/>
    <w:rsid w:val="007277C7"/>
    <w:rsid w:val="0072781A"/>
    <w:rsid w:val="0072787D"/>
    <w:rsid w:val="00727926"/>
    <w:rsid w:val="00727931"/>
    <w:rsid w:val="0072796F"/>
    <w:rsid w:val="0072797A"/>
    <w:rsid w:val="007279AD"/>
    <w:rsid w:val="007279D6"/>
    <w:rsid w:val="007279F1"/>
    <w:rsid w:val="00727A0F"/>
    <w:rsid w:val="00727A2E"/>
    <w:rsid w:val="00727ABD"/>
    <w:rsid w:val="00727AFD"/>
    <w:rsid w:val="00727B08"/>
    <w:rsid w:val="00727B65"/>
    <w:rsid w:val="00727B7C"/>
    <w:rsid w:val="00727BB5"/>
    <w:rsid w:val="00727C73"/>
    <w:rsid w:val="00727C75"/>
    <w:rsid w:val="00727CFD"/>
    <w:rsid w:val="00727D6E"/>
    <w:rsid w:val="00727DAF"/>
    <w:rsid w:val="00727DDE"/>
    <w:rsid w:val="00727E6C"/>
    <w:rsid w:val="00727E99"/>
    <w:rsid w:val="00727F46"/>
    <w:rsid w:val="00727F50"/>
    <w:rsid w:val="00727F5B"/>
    <w:rsid w:val="00727F65"/>
    <w:rsid w:val="00727F89"/>
    <w:rsid w:val="00727FC9"/>
    <w:rsid w:val="00727FD8"/>
    <w:rsid w:val="00730003"/>
    <w:rsid w:val="0073001B"/>
    <w:rsid w:val="0073002F"/>
    <w:rsid w:val="0073004A"/>
    <w:rsid w:val="0073009B"/>
    <w:rsid w:val="007300D1"/>
    <w:rsid w:val="007300FA"/>
    <w:rsid w:val="0073020C"/>
    <w:rsid w:val="00730220"/>
    <w:rsid w:val="0073024D"/>
    <w:rsid w:val="00730255"/>
    <w:rsid w:val="00730263"/>
    <w:rsid w:val="007302F7"/>
    <w:rsid w:val="00730354"/>
    <w:rsid w:val="00730425"/>
    <w:rsid w:val="00730440"/>
    <w:rsid w:val="00730481"/>
    <w:rsid w:val="007304A7"/>
    <w:rsid w:val="007304F2"/>
    <w:rsid w:val="0073053A"/>
    <w:rsid w:val="0073055E"/>
    <w:rsid w:val="007305AB"/>
    <w:rsid w:val="007305B5"/>
    <w:rsid w:val="007305C0"/>
    <w:rsid w:val="007305F3"/>
    <w:rsid w:val="00730612"/>
    <w:rsid w:val="00730614"/>
    <w:rsid w:val="00730629"/>
    <w:rsid w:val="00730646"/>
    <w:rsid w:val="0073065C"/>
    <w:rsid w:val="00730668"/>
    <w:rsid w:val="0073068A"/>
    <w:rsid w:val="007306A2"/>
    <w:rsid w:val="007306D6"/>
    <w:rsid w:val="007306E5"/>
    <w:rsid w:val="007306ED"/>
    <w:rsid w:val="007306F0"/>
    <w:rsid w:val="007306F1"/>
    <w:rsid w:val="00730759"/>
    <w:rsid w:val="00730775"/>
    <w:rsid w:val="007307A0"/>
    <w:rsid w:val="0073082B"/>
    <w:rsid w:val="0073089C"/>
    <w:rsid w:val="0073090C"/>
    <w:rsid w:val="00730999"/>
    <w:rsid w:val="007309B4"/>
    <w:rsid w:val="00730A4E"/>
    <w:rsid w:val="00730A7D"/>
    <w:rsid w:val="00730AC3"/>
    <w:rsid w:val="00730AD0"/>
    <w:rsid w:val="00730B0C"/>
    <w:rsid w:val="00730B46"/>
    <w:rsid w:val="00730B61"/>
    <w:rsid w:val="00730BF9"/>
    <w:rsid w:val="00730C00"/>
    <w:rsid w:val="00730C0E"/>
    <w:rsid w:val="00730CB1"/>
    <w:rsid w:val="00730CC6"/>
    <w:rsid w:val="00730D14"/>
    <w:rsid w:val="00730D42"/>
    <w:rsid w:val="00730D6A"/>
    <w:rsid w:val="00730D95"/>
    <w:rsid w:val="00730D99"/>
    <w:rsid w:val="00730DA4"/>
    <w:rsid w:val="00730EDD"/>
    <w:rsid w:val="00730EE4"/>
    <w:rsid w:val="00730EF1"/>
    <w:rsid w:val="00730F54"/>
    <w:rsid w:val="00730F60"/>
    <w:rsid w:val="00730F79"/>
    <w:rsid w:val="00730F90"/>
    <w:rsid w:val="00730F93"/>
    <w:rsid w:val="00730FA1"/>
    <w:rsid w:val="00730FE4"/>
    <w:rsid w:val="00731055"/>
    <w:rsid w:val="00731091"/>
    <w:rsid w:val="007310A3"/>
    <w:rsid w:val="0073112D"/>
    <w:rsid w:val="007311AC"/>
    <w:rsid w:val="007311F4"/>
    <w:rsid w:val="007311F5"/>
    <w:rsid w:val="0073123C"/>
    <w:rsid w:val="00731241"/>
    <w:rsid w:val="007312DF"/>
    <w:rsid w:val="0073138B"/>
    <w:rsid w:val="007313BA"/>
    <w:rsid w:val="007313F9"/>
    <w:rsid w:val="00731408"/>
    <w:rsid w:val="00731448"/>
    <w:rsid w:val="00731467"/>
    <w:rsid w:val="0073148E"/>
    <w:rsid w:val="007314BB"/>
    <w:rsid w:val="00731523"/>
    <w:rsid w:val="00731554"/>
    <w:rsid w:val="00731570"/>
    <w:rsid w:val="0073159A"/>
    <w:rsid w:val="007315C5"/>
    <w:rsid w:val="007315DA"/>
    <w:rsid w:val="0073168D"/>
    <w:rsid w:val="007316B9"/>
    <w:rsid w:val="0073174A"/>
    <w:rsid w:val="007317A1"/>
    <w:rsid w:val="007317AE"/>
    <w:rsid w:val="007317EC"/>
    <w:rsid w:val="00731851"/>
    <w:rsid w:val="0073196F"/>
    <w:rsid w:val="00731988"/>
    <w:rsid w:val="007319E6"/>
    <w:rsid w:val="00731A88"/>
    <w:rsid w:val="00731AAA"/>
    <w:rsid w:val="00731B16"/>
    <w:rsid w:val="00731B65"/>
    <w:rsid w:val="00731B69"/>
    <w:rsid w:val="00731B79"/>
    <w:rsid w:val="00731BF4"/>
    <w:rsid w:val="00731C31"/>
    <w:rsid w:val="00731CC0"/>
    <w:rsid w:val="00731CCB"/>
    <w:rsid w:val="00731CE5"/>
    <w:rsid w:val="00731DC2"/>
    <w:rsid w:val="00731DCB"/>
    <w:rsid w:val="00731DD3"/>
    <w:rsid w:val="00731E6A"/>
    <w:rsid w:val="00731E6E"/>
    <w:rsid w:val="00731E73"/>
    <w:rsid w:val="00731F0B"/>
    <w:rsid w:val="00731F4E"/>
    <w:rsid w:val="00731F51"/>
    <w:rsid w:val="00731F91"/>
    <w:rsid w:val="00731F9A"/>
    <w:rsid w:val="00731FD7"/>
    <w:rsid w:val="00732033"/>
    <w:rsid w:val="00732057"/>
    <w:rsid w:val="0073205F"/>
    <w:rsid w:val="00732099"/>
    <w:rsid w:val="007320A6"/>
    <w:rsid w:val="007320AB"/>
    <w:rsid w:val="007320C0"/>
    <w:rsid w:val="0073212A"/>
    <w:rsid w:val="0073219D"/>
    <w:rsid w:val="007321BB"/>
    <w:rsid w:val="007321E6"/>
    <w:rsid w:val="00732231"/>
    <w:rsid w:val="00732267"/>
    <w:rsid w:val="007322A0"/>
    <w:rsid w:val="0073230C"/>
    <w:rsid w:val="00732368"/>
    <w:rsid w:val="0073238C"/>
    <w:rsid w:val="0073242B"/>
    <w:rsid w:val="00732446"/>
    <w:rsid w:val="00732485"/>
    <w:rsid w:val="007324B7"/>
    <w:rsid w:val="007324F6"/>
    <w:rsid w:val="007325B5"/>
    <w:rsid w:val="007325BE"/>
    <w:rsid w:val="007325E0"/>
    <w:rsid w:val="00732610"/>
    <w:rsid w:val="0073262C"/>
    <w:rsid w:val="0073269C"/>
    <w:rsid w:val="0073282A"/>
    <w:rsid w:val="00732834"/>
    <w:rsid w:val="0073288C"/>
    <w:rsid w:val="007328A8"/>
    <w:rsid w:val="007328D6"/>
    <w:rsid w:val="0073290D"/>
    <w:rsid w:val="0073290F"/>
    <w:rsid w:val="007329BA"/>
    <w:rsid w:val="00732A05"/>
    <w:rsid w:val="00732A37"/>
    <w:rsid w:val="00732A51"/>
    <w:rsid w:val="00732A68"/>
    <w:rsid w:val="00732A6B"/>
    <w:rsid w:val="00732A84"/>
    <w:rsid w:val="00732AE8"/>
    <w:rsid w:val="00732B0F"/>
    <w:rsid w:val="00732B54"/>
    <w:rsid w:val="00732BC3"/>
    <w:rsid w:val="00732CCA"/>
    <w:rsid w:val="00732D3E"/>
    <w:rsid w:val="00732DA7"/>
    <w:rsid w:val="00732DD9"/>
    <w:rsid w:val="00732DDA"/>
    <w:rsid w:val="00732E63"/>
    <w:rsid w:val="00732E7F"/>
    <w:rsid w:val="00732E92"/>
    <w:rsid w:val="00732EC1"/>
    <w:rsid w:val="00732EC2"/>
    <w:rsid w:val="00732F1F"/>
    <w:rsid w:val="00732FDF"/>
    <w:rsid w:val="00732FE7"/>
    <w:rsid w:val="00732FF1"/>
    <w:rsid w:val="0073303E"/>
    <w:rsid w:val="0073304B"/>
    <w:rsid w:val="0073305F"/>
    <w:rsid w:val="00733081"/>
    <w:rsid w:val="0073309D"/>
    <w:rsid w:val="007330F1"/>
    <w:rsid w:val="007330FA"/>
    <w:rsid w:val="0073313B"/>
    <w:rsid w:val="00733172"/>
    <w:rsid w:val="00733184"/>
    <w:rsid w:val="007331BD"/>
    <w:rsid w:val="007331FB"/>
    <w:rsid w:val="00733241"/>
    <w:rsid w:val="00733278"/>
    <w:rsid w:val="00733298"/>
    <w:rsid w:val="0073330F"/>
    <w:rsid w:val="00733366"/>
    <w:rsid w:val="0073338D"/>
    <w:rsid w:val="007333A3"/>
    <w:rsid w:val="007333B7"/>
    <w:rsid w:val="007333E2"/>
    <w:rsid w:val="007333E5"/>
    <w:rsid w:val="007333FC"/>
    <w:rsid w:val="00733482"/>
    <w:rsid w:val="00733487"/>
    <w:rsid w:val="007334A7"/>
    <w:rsid w:val="007334C0"/>
    <w:rsid w:val="007334EA"/>
    <w:rsid w:val="007334F6"/>
    <w:rsid w:val="00733502"/>
    <w:rsid w:val="007335F2"/>
    <w:rsid w:val="00733674"/>
    <w:rsid w:val="007336FC"/>
    <w:rsid w:val="0073372C"/>
    <w:rsid w:val="007337A4"/>
    <w:rsid w:val="0073381B"/>
    <w:rsid w:val="0073381C"/>
    <w:rsid w:val="00733838"/>
    <w:rsid w:val="00733855"/>
    <w:rsid w:val="00733866"/>
    <w:rsid w:val="00733889"/>
    <w:rsid w:val="0073388D"/>
    <w:rsid w:val="007338CB"/>
    <w:rsid w:val="00733915"/>
    <w:rsid w:val="0073399A"/>
    <w:rsid w:val="007339ED"/>
    <w:rsid w:val="007339FE"/>
    <w:rsid w:val="00733A21"/>
    <w:rsid w:val="00733A26"/>
    <w:rsid w:val="00733AB9"/>
    <w:rsid w:val="00733B1E"/>
    <w:rsid w:val="00733B41"/>
    <w:rsid w:val="00733B7E"/>
    <w:rsid w:val="00733BA3"/>
    <w:rsid w:val="00733BE1"/>
    <w:rsid w:val="00733BF8"/>
    <w:rsid w:val="00733C1C"/>
    <w:rsid w:val="00733C1E"/>
    <w:rsid w:val="00733C97"/>
    <w:rsid w:val="00733CCB"/>
    <w:rsid w:val="00733D06"/>
    <w:rsid w:val="00733D4D"/>
    <w:rsid w:val="00733D59"/>
    <w:rsid w:val="00733D7C"/>
    <w:rsid w:val="00733D90"/>
    <w:rsid w:val="00733E2B"/>
    <w:rsid w:val="00733E6E"/>
    <w:rsid w:val="00733E98"/>
    <w:rsid w:val="00733EA8"/>
    <w:rsid w:val="00733ED4"/>
    <w:rsid w:val="00733F5D"/>
    <w:rsid w:val="00733F94"/>
    <w:rsid w:val="00733FAB"/>
    <w:rsid w:val="00733FC0"/>
    <w:rsid w:val="00733FC5"/>
    <w:rsid w:val="0073403D"/>
    <w:rsid w:val="0073405C"/>
    <w:rsid w:val="00734083"/>
    <w:rsid w:val="00734084"/>
    <w:rsid w:val="0073415E"/>
    <w:rsid w:val="0073415F"/>
    <w:rsid w:val="00734167"/>
    <w:rsid w:val="0073417F"/>
    <w:rsid w:val="007341A1"/>
    <w:rsid w:val="007341E9"/>
    <w:rsid w:val="00734208"/>
    <w:rsid w:val="0073424A"/>
    <w:rsid w:val="00734295"/>
    <w:rsid w:val="007342B9"/>
    <w:rsid w:val="0073431A"/>
    <w:rsid w:val="0073431F"/>
    <w:rsid w:val="0073435F"/>
    <w:rsid w:val="00734374"/>
    <w:rsid w:val="00734376"/>
    <w:rsid w:val="00734396"/>
    <w:rsid w:val="007343AD"/>
    <w:rsid w:val="00734436"/>
    <w:rsid w:val="00734457"/>
    <w:rsid w:val="00734495"/>
    <w:rsid w:val="0073449D"/>
    <w:rsid w:val="00734520"/>
    <w:rsid w:val="00734542"/>
    <w:rsid w:val="00734582"/>
    <w:rsid w:val="007345FD"/>
    <w:rsid w:val="00734608"/>
    <w:rsid w:val="00734622"/>
    <w:rsid w:val="007346E1"/>
    <w:rsid w:val="007346F2"/>
    <w:rsid w:val="007346FC"/>
    <w:rsid w:val="00734776"/>
    <w:rsid w:val="0073477B"/>
    <w:rsid w:val="007347C7"/>
    <w:rsid w:val="007347CC"/>
    <w:rsid w:val="00734812"/>
    <w:rsid w:val="0073481B"/>
    <w:rsid w:val="00734825"/>
    <w:rsid w:val="00734857"/>
    <w:rsid w:val="00734878"/>
    <w:rsid w:val="007348E3"/>
    <w:rsid w:val="00734900"/>
    <w:rsid w:val="00734946"/>
    <w:rsid w:val="007349BB"/>
    <w:rsid w:val="007349C2"/>
    <w:rsid w:val="007349D8"/>
    <w:rsid w:val="00734A7B"/>
    <w:rsid w:val="00734AF7"/>
    <w:rsid w:val="00734B10"/>
    <w:rsid w:val="00734B48"/>
    <w:rsid w:val="00734B55"/>
    <w:rsid w:val="00734BAD"/>
    <w:rsid w:val="00734BDA"/>
    <w:rsid w:val="00734C05"/>
    <w:rsid w:val="00734C39"/>
    <w:rsid w:val="00734C92"/>
    <w:rsid w:val="00734CF6"/>
    <w:rsid w:val="00734D97"/>
    <w:rsid w:val="00734DBA"/>
    <w:rsid w:val="00734DCA"/>
    <w:rsid w:val="00734DED"/>
    <w:rsid w:val="00734E67"/>
    <w:rsid w:val="00734E83"/>
    <w:rsid w:val="00734E84"/>
    <w:rsid w:val="00734EA9"/>
    <w:rsid w:val="00734F42"/>
    <w:rsid w:val="00734F4E"/>
    <w:rsid w:val="00734F5A"/>
    <w:rsid w:val="00734F8A"/>
    <w:rsid w:val="00734F9A"/>
    <w:rsid w:val="00734F9E"/>
    <w:rsid w:val="00735046"/>
    <w:rsid w:val="007350B8"/>
    <w:rsid w:val="007350C2"/>
    <w:rsid w:val="007350EA"/>
    <w:rsid w:val="007350F1"/>
    <w:rsid w:val="0073512E"/>
    <w:rsid w:val="007351A8"/>
    <w:rsid w:val="007351B3"/>
    <w:rsid w:val="007351C4"/>
    <w:rsid w:val="007351C8"/>
    <w:rsid w:val="007351E4"/>
    <w:rsid w:val="007351E6"/>
    <w:rsid w:val="00735295"/>
    <w:rsid w:val="007352AC"/>
    <w:rsid w:val="00735312"/>
    <w:rsid w:val="00735371"/>
    <w:rsid w:val="0073540A"/>
    <w:rsid w:val="0073544A"/>
    <w:rsid w:val="007354C9"/>
    <w:rsid w:val="007354CF"/>
    <w:rsid w:val="007354F0"/>
    <w:rsid w:val="00735519"/>
    <w:rsid w:val="0073553B"/>
    <w:rsid w:val="00735552"/>
    <w:rsid w:val="00735554"/>
    <w:rsid w:val="0073555C"/>
    <w:rsid w:val="00735584"/>
    <w:rsid w:val="007355F6"/>
    <w:rsid w:val="00735669"/>
    <w:rsid w:val="00735675"/>
    <w:rsid w:val="007356E3"/>
    <w:rsid w:val="0073572F"/>
    <w:rsid w:val="00735737"/>
    <w:rsid w:val="00735744"/>
    <w:rsid w:val="00735783"/>
    <w:rsid w:val="00735808"/>
    <w:rsid w:val="0073583A"/>
    <w:rsid w:val="007358C8"/>
    <w:rsid w:val="007358E5"/>
    <w:rsid w:val="00735901"/>
    <w:rsid w:val="0073591B"/>
    <w:rsid w:val="0073593A"/>
    <w:rsid w:val="0073593C"/>
    <w:rsid w:val="00735984"/>
    <w:rsid w:val="007359BC"/>
    <w:rsid w:val="00735A4F"/>
    <w:rsid w:val="00735AB1"/>
    <w:rsid w:val="00735B26"/>
    <w:rsid w:val="00735B4A"/>
    <w:rsid w:val="00735B73"/>
    <w:rsid w:val="00735C17"/>
    <w:rsid w:val="00735C49"/>
    <w:rsid w:val="00735C4F"/>
    <w:rsid w:val="00735C59"/>
    <w:rsid w:val="00735C5D"/>
    <w:rsid w:val="00735D2E"/>
    <w:rsid w:val="00735D32"/>
    <w:rsid w:val="00735D54"/>
    <w:rsid w:val="00735D5F"/>
    <w:rsid w:val="00735D94"/>
    <w:rsid w:val="00735DBA"/>
    <w:rsid w:val="00735DCC"/>
    <w:rsid w:val="00735DEE"/>
    <w:rsid w:val="00735E70"/>
    <w:rsid w:val="00735E73"/>
    <w:rsid w:val="00735EC0"/>
    <w:rsid w:val="00735ECA"/>
    <w:rsid w:val="00735ECE"/>
    <w:rsid w:val="00735F1D"/>
    <w:rsid w:val="00735F20"/>
    <w:rsid w:val="00735F47"/>
    <w:rsid w:val="00735FAE"/>
    <w:rsid w:val="00735FCA"/>
    <w:rsid w:val="00736029"/>
    <w:rsid w:val="00736046"/>
    <w:rsid w:val="00736071"/>
    <w:rsid w:val="007360A0"/>
    <w:rsid w:val="007360BB"/>
    <w:rsid w:val="007360CA"/>
    <w:rsid w:val="007360E2"/>
    <w:rsid w:val="00736104"/>
    <w:rsid w:val="00736109"/>
    <w:rsid w:val="00736140"/>
    <w:rsid w:val="00736169"/>
    <w:rsid w:val="00736197"/>
    <w:rsid w:val="007361A0"/>
    <w:rsid w:val="00736247"/>
    <w:rsid w:val="00736263"/>
    <w:rsid w:val="007362B7"/>
    <w:rsid w:val="00736336"/>
    <w:rsid w:val="00736343"/>
    <w:rsid w:val="0073635C"/>
    <w:rsid w:val="00736361"/>
    <w:rsid w:val="00736363"/>
    <w:rsid w:val="00736382"/>
    <w:rsid w:val="00736385"/>
    <w:rsid w:val="007363A5"/>
    <w:rsid w:val="007363CD"/>
    <w:rsid w:val="00736413"/>
    <w:rsid w:val="00736422"/>
    <w:rsid w:val="0073643F"/>
    <w:rsid w:val="0073644E"/>
    <w:rsid w:val="00736489"/>
    <w:rsid w:val="007364AF"/>
    <w:rsid w:val="007364C7"/>
    <w:rsid w:val="007364CA"/>
    <w:rsid w:val="00736523"/>
    <w:rsid w:val="00736525"/>
    <w:rsid w:val="00736572"/>
    <w:rsid w:val="0073659A"/>
    <w:rsid w:val="007365A3"/>
    <w:rsid w:val="00736606"/>
    <w:rsid w:val="00736617"/>
    <w:rsid w:val="00736644"/>
    <w:rsid w:val="00736652"/>
    <w:rsid w:val="00736659"/>
    <w:rsid w:val="007366EA"/>
    <w:rsid w:val="00736734"/>
    <w:rsid w:val="007367C3"/>
    <w:rsid w:val="007367E4"/>
    <w:rsid w:val="00736841"/>
    <w:rsid w:val="0073686E"/>
    <w:rsid w:val="007368A9"/>
    <w:rsid w:val="00736941"/>
    <w:rsid w:val="0073696E"/>
    <w:rsid w:val="007369E6"/>
    <w:rsid w:val="00736A60"/>
    <w:rsid w:val="00736A78"/>
    <w:rsid w:val="00736AA0"/>
    <w:rsid w:val="00736AAE"/>
    <w:rsid w:val="00736B17"/>
    <w:rsid w:val="00736B88"/>
    <w:rsid w:val="00736B90"/>
    <w:rsid w:val="00736B9D"/>
    <w:rsid w:val="00736BC8"/>
    <w:rsid w:val="00736C3F"/>
    <w:rsid w:val="00736C65"/>
    <w:rsid w:val="00736C6C"/>
    <w:rsid w:val="00736C7C"/>
    <w:rsid w:val="00736C82"/>
    <w:rsid w:val="00736C90"/>
    <w:rsid w:val="00736D57"/>
    <w:rsid w:val="00736D85"/>
    <w:rsid w:val="00736E34"/>
    <w:rsid w:val="00736E39"/>
    <w:rsid w:val="00736EA0"/>
    <w:rsid w:val="00736EA6"/>
    <w:rsid w:val="00736EAB"/>
    <w:rsid w:val="00736ED4"/>
    <w:rsid w:val="00736F6E"/>
    <w:rsid w:val="00736F71"/>
    <w:rsid w:val="00736F72"/>
    <w:rsid w:val="00736F9E"/>
    <w:rsid w:val="00736FCB"/>
    <w:rsid w:val="00736FE7"/>
    <w:rsid w:val="0073706A"/>
    <w:rsid w:val="007370BB"/>
    <w:rsid w:val="007370C0"/>
    <w:rsid w:val="00737128"/>
    <w:rsid w:val="00737161"/>
    <w:rsid w:val="00737170"/>
    <w:rsid w:val="00737186"/>
    <w:rsid w:val="0073724A"/>
    <w:rsid w:val="0073725F"/>
    <w:rsid w:val="007372FD"/>
    <w:rsid w:val="00737310"/>
    <w:rsid w:val="00737342"/>
    <w:rsid w:val="00737357"/>
    <w:rsid w:val="00737430"/>
    <w:rsid w:val="00737442"/>
    <w:rsid w:val="00737484"/>
    <w:rsid w:val="007374A7"/>
    <w:rsid w:val="007374A8"/>
    <w:rsid w:val="007374A9"/>
    <w:rsid w:val="007374CA"/>
    <w:rsid w:val="007374FE"/>
    <w:rsid w:val="00737556"/>
    <w:rsid w:val="00737578"/>
    <w:rsid w:val="007375FD"/>
    <w:rsid w:val="0073768C"/>
    <w:rsid w:val="007376CA"/>
    <w:rsid w:val="007376CE"/>
    <w:rsid w:val="00737783"/>
    <w:rsid w:val="0073779F"/>
    <w:rsid w:val="007377C6"/>
    <w:rsid w:val="0073783C"/>
    <w:rsid w:val="00737852"/>
    <w:rsid w:val="0073786C"/>
    <w:rsid w:val="00737886"/>
    <w:rsid w:val="007378F4"/>
    <w:rsid w:val="00737908"/>
    <w:rsid w:val="00737914"/>
    <w:rsid w:val="0073792A"/>
    <w:rsid w:val="00737933"/>
    <w:rsid w:val="007379F3"/>
    <w:rsid w:val="00737A6C"/>
    <w:rsid w:val="00737A99"/>
    <w:rsid w:val="00737A9F"/>
    <w:rsid w:val="00737AE9"/>
    <w:rsid w:val="00737B5C"/>
    <w:rsid w:val="00737C72"/>
    <w:rsid w:val="00737C7C"/>
    <w:rsid w:val="00737D03"/>
    <w:rsid w:val="00737D54"/>
    <w:rsid w:val="00737D61"/>
    <w:rsid w:val="00737D7E"/>
    <w:rsid w:val="00737E46"/>
    <w:rsid w:val="00737E67"/>
    <w:rsid w:val="00737F03"/>
    <w:rsid w:val="00737F50"/>
    <w:rsid w:val="00737FA8"/>
    <w:rsid w:val="00740024"/>
    <w:rsid w:val="00740062"/>
    <w:rsid w:val="007400E4"/>
    <w:rsid w:val="0074011A"/>
    <w:rsid w:val="0074013D"/>
    <w:rsid w:val="00740155"/>
    <w:rsid w:val="00740164"/>
    <w:rsid w:val="0074018D"/>
    <w:rsid w:val="007401A0"/>
    <w:rsid w:val="007401C3"/>
    <w:rsid w:val="007401EC"/>
    <w:rsid w:val="00740267"/>
    <w:rsid w:val="0074026F"/>
    <w:rsid w:val="00740270"/>
    <w:rsid w:val="00740283"/>
    <w:rsid w:val="00740286"/>
    <w:rsid w:val="0074028F"/>
    <w:rsid w:val="007402C6"/>
    <w:rsid w:val="007402DB"/>
    <w:rsid w:val="00740335"/>
    <w:rsid w:val="0074036C"/>
    <w:rsid w:val="007403D2"/>
    <w:rsid w:val="007403DC"/>
    <w:rsid w:val="0074042C"/>
    <w:rsid w:val="00740445"/>
    <w:rsid w:val="00740457"/>
    <w:rsid w:val="0074047A"/>
    <w:rsid w:val="00740518"/>
    <w:rsid w:val="00740523"/>
    <w:rsid w:val="00740587"/>
    <w:rsid w:val="0074058A"/>
    <w:rsid w:val="007405B0"/>
    <w:rsid w:val="007405CB"/>
    <w:rsid w:val="007405CD"/>
    <w:rsid w:val="007405DA"/>
    <w:rsid w:val="00740658"/>
    <w:rsid w:val="00740678"/>
    <w:rsid w:val="00740687"/>
    <w:rsid w:val="0074068A"/>
    <w:rsid w:val="007406A2"/>
    <w:rsid w:val="007406BE"/>
    <w:rsid w:val="007406C0"/>
    <w:rsid w:val="007406D7"/>
    <w:rsid w:val="00740743"/>
    <w:rsid w:val="0074087B"/>
    <w:rsid w:val="007408F4"/>
    <w:rsid w:val="0074094E"/>
    <w:rsid w:val="00740974"/>
    <w:rsid w:val="007409F2"/>
    <w:rsid w:val="00740A3C"/>
    <w:rsid w:val="00740B60"/>
    <w:rsid w:val="00740B70"/>
    <w:rsid w:val="00740B8A"/>
    <w:rsid w:val="00740BA0"/>
    <w:rsid w:val="00740BFB"/>
    <w:rsid w:val="00740C4D"/>
    <w:rsid w:val="00740CAF"/>
    <w:rsid w:val="00740CF7"/>
    <w:rsid w:val="00740D42"/>
    <w:rsid w:val="00740D71"/>
    <w:rsid w:val="00740D94"/>
    <w:rsid w:val="00740D9F"/>
    <w:rsid w:val="00740DA8"/>
    <w:rsid w:val="00740DC5"/>
    <w:rsid w:val="00740DCF"/>
    <w:rsid w:val="00740DFD"/>
    <w:rsid w:val="00740E08"/>
    <w:rsid w:val="00740E2B"/>
    <w:rsid w:val="00740E30"/>
    <w:rsid w:val="00740EA1"/>
    <w:rsid w:val="00740EB2"/>
    <w:rsid w:val="00740EED"/>
    <w:rsid w:val="00740F0D"/>
    <w:rsid w:val="00740F4D"/>
    <w:rsid w:val="00740F5F"/>
    <w:rsid w:val="00740F76"/>
    <w:rsid w:val="00740F7E"/>
    <w:rsid w:val="00740FC1"/>
    <w:rsid w:val="00740FF0"/>
    <w:rsid w:val="00740FF3"/>
    <w:rsid w:val="00740FF9"/>
    <w:rsid w:val="00740FFB"/>
    <w:rsid w:val="00741046"/>
    <w:rsid w:val="00741047"/>
    <w:rsid w:val="00741054"/>
    <w:rsid w:val="00741081"/>
    <w:rsid w:val="0074108B"/>
    <w:rsid w:val="007410C6"/>
    <w:rsid w:val="007410F2"/>
    <w:rsid w:val="00741126"/>
    <w:rsid w:val="00741177"/>
    <w:rsid w:val="007411D1"/>
    <w:rsid w:val="00741207"/>
    <w:rsid w:val="00741263"/>
    <w:rsid w:val="0074129E"/>
    <w:rsid w:val="007412C1"/>
    <w:rsid w:val="0074132D"/>
    <w:rsid w:val="00741337"/>
    <w:rsid w:val="007413B8"/>
    <w:rsid w:val="007413D0"/>
    <w:rsid w:val="007413E7"/>
    <w:rsid w:val="007413FB"/>
    <w:rsid w:val="00741427"/>
    <w:rsid w:val="00741438"/>
    <w:rsid w:val="0074144D"/>
    <w:rsid w:val="00741491"/>
    <w:rsid w:val="007414A4"/>
    <w:rsid w:val="00741569"/>
    <w:rsid w:val="007415A9"/>
    <w:rsid w:val="00741650"/>
    <w:rsid w:val="0074168B"/>
    <w:rsid w:val="00741699"/>
    <w:rsid w:val="007416B2"/>
    <w:rsid w:val="007416CA"/>
    <w:rsid w:val="00741711"/>
    <w:rsid w:val="00741712"/>
    <w:rsid w:val="0074171A"/>
    <w:rsid w:val="00741762"/>
    <w:rsid w:val="00741795"/>
    <w:rsid w:val="007417D2"/>
    <w:rsid w:val="00741848"/>
    <w:rsid w:val="00741897"/>
    <w:rsid w:val="007418B2"/>
    <w:rsid w:val="007418D3"/>
    <w:rsid w:val="0074190E"/>
    <w:rsid w:val="0074191C"/>
    <w:rsid w:val="0074192D"/>
    <w:rsid w:val="00741963"/>
    <w:rsid w:val="00741966"/>
    <w:rsid w:val="00741985"/>
    <w:rsid w:val="00741A3D"/>
    <w:rsid w:val="00741B34"/>
    <w:rsid w:val="00741B52"/>
    <w:rsid w:val="00741B68"/>
    <w:rsid w:val="00741B9E"/>
    <w:rsid w:val="00741BA8"/>
    <w:rsid w:val="00741BCB"/>
    <w:rsid w:val="00741BED"/>
    <w:rsid w:val="00741C4C"/>
    <w:rsid w:val="00741C5B"/>
    <w:rsid w:val="00741C9B"/>
    <w:rsid w:val="00741D2A"/>
    <w:rsid w:val="00741D44"/>
    <w:rsid w:val="00741DAD"/>
    <w:rsid w:val="00741DF7"/>
    <w:rsid w:val="00741E0A"/>
    <w:rsid w:val="00741E67"/>
    <w:rsid w:val="00741EBF"/>
    <w:rsid w:val="00741F35"/>
    <w:rsid w:val="00741F8A"/>
    <w:rsid w:val="00741FB7"/>
    <w:rsid w:val="00741FBD"/>
    <w:rsid w:val="00741FDA"/>
    <w:rsid w:val="00742069"/>
    <w:rsid w:val="0074206C"/>
    <w:rsid w:val="00742144"/>
    <w:rsid w:val="00742186"/>
    <w:rsid w:val="0074219B"/>
    <w:rsid w:val="007421AE"/>
    <w:rsid w:val="007421BD"/>
    <w:rsid w:val="007421DF"/>
    <w:rsid w:val="00742245"/>
    <w:rsid w:val="00742289"/>
    <w:rsid w:val="007422A1"/>
    <w:rsid w:val="007422E0"/>
    <w:rsid w:val="00742300"/>
    <w:rsid w:val="00742301"/>
    <w:rsid w:val="00742303"/>
    <w:rsid w:val="0074230E"/>
    <w:rsid w:val="00742321"/>
    <w:rsid w:val="0074232E"/>
    <w:rsid w:val="0074234A"/>
    <w:rsid w:val="007423EE"/>
    <w:rsid w:val="007423FB"/>
    <w:rsid w:val="00742403"/>
    <w:rsid w:val="007424AE"/>
    <w:rsid w:val="007424D6"/>
    <w:rsid w:val="00742526"/>
    <w:rsid w:val="00742544"/>
    <w:rsid w:val="007425DB"/>
    <w:rsid w:val="007425DD"/>
    <w:rsid w:val="00742607"/>
    <w:rsid w:val="0074263F"/>
    <w:rsid w:val="0074267E"/>
    <w:rsid w:val="007426C3"/>
    <w:rsid w:val="0074277E"/>
    <w:rsid w:val="0074279A"/>
    <w:rsid w:val="007427E2"/>
    <w:rsid w:val="00742809"/>
    <w:rsid w:val="0074280A"/>
    <w:rsid w:val="00742861"/>
    <w:rsid w:val="00742873"/>
    <w:rsid w:val="00742885"/>
    <w:rsid w:val="007428A2"/>
    <w:rsid w:val="007428B5"/>
    <w:rsid w:val="007428C1"/>
    <w:rsid w:val="007428F4"/>
    <w:rsid w:val="007428FF"/>
    <w:rsid w:val="00742915"/>
    <w:rsid w:val="00742951"/>
    <w:rsid w:val="007429A7"/>
    <w:rsid w:val="007429DB"/>
    <w:rsid w:val="00742A00"/>
    <w:rsid w:val="00742A61"/>
    <w:rsid w:val="00742AC0"/>
    <w:rsid w:val="00742B67"/>
    <w:rsid w:val="00742B7F"/>
    <w:rsid w:val="00742BC6"/>
    <w:rsid w:val="00742BDE"/>
    <w:rsid w:val="00742BFB"/>
    <w:rsid w:val="00742C07"/>
    <w:rsid w:val="00742C22"/>
    <w:rsid w:val="00742C4D"/>
    <w:rsid w:val="00742C54"/>
    <w:rsid w:val="00742CA3"/>
    <w:rsid w:val="00742D14"/>
    <w:rsid w:val="00742D1B"/>
    <w:rsid w:val="00742D25"/>
    <w:rsid w:val="00742D2D"/>
    <w:rsid w:val="00742DC5"/>
    <w:rsid w:val="00742E2E"/>
    <w:rsid w:val="00742E5C"/>
    <w:rsid w:val="00742E5E"/>
    <w:rsid w:val="00742EDC"/>
    <w:rsid w:val="00742F02"/>
    <w:rsid w:val="00742F95"/>
    <w:rsid w:val="00742FDC"/>
    <w:rsid w:val="00743039"/>
    <w:rsid w:val="0074305F"/>
    <w:rsid w:val="00743076"/>
    <w:rsid w:val="00743097"/>
    <w:rsid w:val="00743098"/>
    <w:rsid w:val="007430B8"/>
    <w:rsid w:val="00743120"/>
    <w:rsid w:val="00743123"/>
    <w:rsid w:val="00743153"/>
    <w:rsid w:val="007431FB"/>
    <w:rsid w:val="00743216"/>
    <w:rsid w:val="007432D1"/>
    <w:rsid w:val="007432F0"/>
    <w:rsid w:val="00743323"/>
    <w:rsid w:val="00743355"/>
    <w:rsid w:val="0074336F"/>
    <w:rsid w:val="00743372"/>
    <w:rsid w:val="007433B6"/>
    <w:rsid w:val="007433BE"/>
    <w:rsid w:val="007433FD"/>
    <w:rsid w:val="0074344F"/>
    <w:rsid w:val="0074346B"/>
    <w:rsid w:val="007434BE"/>
    <w:rsid w:val="0074350D"/>
    <w:rsid w:val="00743588"/>
    <w:rsid w:val="007435DB"/>
    <w:rsid w:val="007435EA"/>
    <w:rsid w:val="0074360F"/>
    <w:rsid w:val="00743612"/>
    <w:rsid w:val="007436C3"/>
    <w:rsid w:val="007436D9"/>
    <w:rsid w:val="007436E9"/>
    <w:rsid w:val="007436EB"/>
    <w:rsid w:val="0074370E"/>
    <w:rsid w:val="00743720"/>
    <w:rsid w:val="00743761"/>
    <w:rsid w:val="00743797"/>
    <w:rsid w:val="007438AD"/>
    <w:rsid w:val="007438C8"/>
    <w:rsid w:val="00743914"/>
    <w:rsid w:val="0074395B"/>
    <w:rsid w:val="00743988"/>
    <w:rsid w:val="007439F2"/>
    <w:rsid w:val="00743A8E"/>
    <w:rsid w:val="00743AA0"/>
    <w:rsid w:val="00743AC6"/>
    <w:rsid w:val="00743BC5"/>
    <w:rsid w:val="00743BFF"/>
    <w:rsid w:val="00743C26"/>
    <w:rsid w:val="00743C4F"/>
    <w:rsid w:val="00743C72"/>
    <w:rsid w:val="00743C9C"/>
    <w:rsid w:val="00743CC3"/>
    <w:rsid w:val="00743D4B"/>
    <w:rsid w:val="00743D55"/>
    <w:rsid w:val="00743DE4"/>
    <w:rsid w:val="00743E52"/>
    <w:rsid w:val="00743ED3"/>
    <w:rsid w:val="00743EDF"/>
    <w:rsid w:val="00743F59"/>
    <w:rsid w:val="00743FE5"/>
    <w:rsid w:val="00744044"/>
    <w:rsid w:val="007440C3"/>
    <w:rsid w:val="007440D2"/>
    <w:rsid w:val="00744115"/>
    <w:rsid w:val="00744117"/>
    <w:rsid w:val="00744206"/>
    <w:rsid w:val="00744249"/>
    <w:rsid w:val="007442CA"/>
    <w:rsid w:val="007442F9"/>
    <w:rsid w:val="00744305"/>
    <w:rsid w:val="0074430D"/>
    <w:rsid w:val="0074431F"/>
    <w:rsid w:val="00744406"/>
    <w:rsid w:val="0074443A"/>
    <w:rsid w:val="0074443B"/>
    <w:rsid w:val="0074446A"/>
    <w:rsid w:val="00744536"/>
    <w:rsid w:val="0074454B"/>
    <w:rsid w:val="0074455D"/>
    <w:rsid w:val="00744566"/>
    <w:rsid w:val="007445FA"/>
    <w:rsid w:val="00744627"/>
    <w:rsid w:val="0074469B"/>
    <w:rsid w:val="007447E4"/>
    <w:rsid w:val="00744843"/>
    <w:rsid w:val="0074484F"/>
    <w:rsid w:val="0074489D"/>
    <w:rsid w:val="0074489E"/>
    <w:rsid w:val="00744923"/>
    <w:rsid w:val="00744940"/>
    <w:rsid w:val="00744997"/>
    <w:rsid w:val="007449B1"/>
    <w:rsid w:val="00744A71"/>
    <w:rsid w:val="00744A8E"/>
    <w:rsid w:val="00744A94"/>
    <w:rsid w:val="00744A97"/>
    <w:rsid w:val="00744B36"/>
    <w:rsid w:val="00744B46"/>
    <w:rsid w:val="00744BAA"/>
    <w:rsid w:val="00744BF3"/>
    <w:rsid w:val="00744C52"/>
    <w:rsid w:val="00744C7B"/>
    <w:rsid w:val="00744CA8"/>
    <w:rsid w:val="00744CB6"/>
    <w:rsid w:val="00744CBD"/>
    <w:rsid w:val="00744CC6"/>
    <w:rsid w:val="00744CDD"/>
    <w:rsid w:val="00744D03"/>
    <w:rsid w:val="00744D0E"/>
    <w:rsid w:val="00744D6F"/>
    <w:rsid w:val="00744D8F"/>
    <w:rsid w:val="00744DAE"/>
    <w:rsid w:val="00744E14"/>
    <w:rsid w:val="00744E1B"/>
    <w:rsid w:val="00744E1E"/>
    <w:rsid w:val="00744E47"/>
    <w:rsid w:val="00744E54"/>
    <w:rsid w:val="00744EB9"/>
    <w:rsid w:val="00744EC2"/>
    <w:rsid w:val="00744ECA"/>
    <w:rsid w:val="00744F6B"/>
    <w:rsid w:val="00744F86"/>
    <w:rsid w:val="00744FCF"/>
    <w:rsid w:val="00745010"/>
    <w:rsid w:val="0074504A"/>
    <w:rsid w:val="00745061"/>
    <w:rsid w:val="007450AC"/>
    <w:rsid w:val="007450AD"/>
    <w:rsid w:val="00745129"/>
    <w:rsid w:val="00745140"/>
    <w:rsid w:val="0074517F"/>
    <w:rsid w:val="007452F0"/>
    <w:rsid w:val="00745301"/>
    <w:rsid w:val="0074535B"/>
    <w:rsid w:val="00745366"/>
    <w:rsid w:val="0074537A"/>
    <w:rsid w:val="0074538A"/>
    <w:rsid w:val="00745391"/>
    <w:rsid w:val="007453A5"/>
    <w:rsid w:val="007453D9"/>
    <w:rsid w:val="0074546D"/>
    <w:rsid w:val="0074549F"/>
    <w:rsid w:val="007454BB"/>
    <w:rsid w:val="00745546"/>
    <w:rsid w:val="00745549"/>
    <w:rsid w:val="0074554E"/>
    <w:rsid w:val="00745567"/>
    <w:rsid w:val="0074559E"/>
    <w:rsid w:val="0074560A"/>
    <w:rsid w:val="0074562C"/>
    <w:rsid w:val="00745683"/>
    <w:rsid w:val="00745696"/>
    <w:rsid w:val="007456DB"/>
    <w:rsid w:val="007456FF"/>
    <w:rsid w:val="007457A1"/>
    <w:rsid w:val="007457AE"/>
    <w:rsid w:val="007457BD"/>
    <w:rsid w:val="00745826"/>
    <w:rsid w:val="00745867"/>
    <w:rsid w:val="007458E7"/>
    <w:rsid w:val="007458F0"/>
    <w:rsid w:val="00745925"/>
    <w:rsid w:val="00745937"/>
    <w:rsid w:val="00745947"/>
    <w:rsid w:val="00745A27"/>
    <w:rsid w:val="00745A6E"/>
    <w:rsid w:val="00745A8B"/>
    <w:rsid w:val="00745A9C"/>
    <w:rsid w:val="00745ABA"/>
    <w:rsid w:val="00745ABF"/>
    <w:rsid w:val="00745AD7"/>
    <w:rsid w:val="00745B42"/>
    <w:rsid w:val="00745B77"/>
    <w:rsid w:val="00745B87"/>
    <w:rsid w:val="00745C7C"/>
    <w:rsid w:val="00745D23"/>
    <w:rsid w:val="00745D26"/>
    <w:rsid w:val="00745D30"/>
    <w:rsid w:val="00745D62"/>
    <w:rsid w:val="00745DB8"/>
    <w:rsid w:val="00745DD1"/>
    <w:rsid w:val="00745E11"/>
    <w:rsid w:val="00745E2E"/>
    <w:rsid w:val="00745E6C"/>
    <w:rsid w:val="00745ECA"/>
    <w:rsid w:val="00745ED4"/>
    <w:rsid w:val="00745EE8"/>
    <w:rsid w:val="00745EEB"/>
    <w:rsid w:val="00745EF6"/>
    <w:rsid w:val="00745F52"/>
    <w:rsid w:val="00745F65"/>
    <w:rsid w:val="00745F6B"/>
    <w:rsid w:val="00745F7C"/>
    <w:rsid w:val="00745F7F"/>
    <w:rsid w:val="00745FE7"/>
    <w:rsid w:val="00745FFE"/>
    <w:rsid w:val="00746029"/>
    <w:rsid w:val="0074609E"/>
    <w:rsid w:val="007460AC"/>
    <w:rsid w:val="007460EA"/>
    <w:rsid w:val="007460F0"/>
    <w:rsid w:val="007460F8"/>
    <w:rsid w:val="0074610D"/>
    <w:rsid w:val="00746120"/>
    <w:rsid w:val="00746164"/>
    <w:rsid w:val="007461B8"/>
    <w:rsid w:val="007461C8"/>
    <w:rsid w:val="00746203"/>
    <w:rsid w:val="00746226"/>
    <w:rsid w:val="00746296"/>
    <w:rsid w:val="007462B1"/>
    <w:rsid w:val="0074637A"/>
    <w:rsid w:val="007463EC"/>
    <w:rsid w:val="0074641A"/>
    <w:rsid w:val="00746438"/>
    <w:rsid w:val="0074643B"/>
    <w:rsid w:val="00746454"/>
    <w:rsid w:val="00746478"/>
    <w:rsid w:val="007464AF"/>
    <w:rsid w:val="0074652C"/>
    <w:rsid w:val="007465E4"/>
    <w:rsid w:val="007465E9"/>
    <w:rsid w:val="00746622"/>
    <w:rsid w:val="00746634"/>
    <w:rsid w:val="00746639"/>
    <w:rsid w:val="007466D8"/>
    <w:rsid w:val="007466E5"/>
    <w:rsid w:val="007466EE"/>
    <w:rsid w:val="0074673B"/>
    <w:rsid w:val="00746775"/>
    <w:rsid w:val="00746780"/>
    <w:rsid w:val="007467B3"/>
    <w:rsid w:val="007467F8"/>
    <w:rsid w:val="00746831"/>
    <w:rsid w:val="0074683D"/>
    <w:rsid w:val="00746861"/>
    <w:rsid w:val="00746876"/>
    <w:rsid w:val="007468B2"/>
    <w:rsid w:val="007468C2"/>
    <w:rsid w:val="007468FA"/>
    <w:rsid w:val="00746936"/>
    <w:rsid w:val="00746994"/>
    <w:rsid w:val="0074699C"/>
    <w:rsid w:val="007469A9"/>
    <w:rsid w:val="007469CC"/>
    <w:rsid w:val="00746A1B"/>
    <w:rsid w:val="00746A1F"/>
    <w:rsid w:val="00746A37"/>
    <w:rsid w:val="00746A49"/>
    <w:rsid w:val="00746A8E"/>
    <w:rsid w:val="00746A8F"/>
    <w:rsid w:val="00746AF6"/>
    <w:rsid w:val="00746B17"/>
    <w:rsid w:val="00746B53"/>
    <w:rsid w:val="00746B6B"/>
    <w:rsid w:val="00746BA5"/>
    <w:rsid w:val="00746BA8"/>
    <w:rsid w:val="00746BB6"/>
    <w:rsid w:val="00746BCC"/>
    <w:rsid w:val="00746C0D"/>
    <w:rsid w:val="00746CE9"/>
    <w:rsid w:val="00746D64"/>
    <w:rsid w:val="00746D7E"/>
    <w:rsid w:val="00746D83"/>
    <w:rsid w:val="00746D9E"/>
    <w:rsid w:val="00746DB5"/>
    <w:rsid w:val="00746E04"/>
    <w:rsid w:val="00746E7F"/>
    <w:rsid w:val="00746E91"/>
    <w:rsid w:val="00746EB7"/>
    <w:rsid w:val="00746EBB"/>
    <w:rsid w:val="00746EC4"/>
    <w:rsid w:val="00746ED9"/>
    <w:rsid w:val="00746EE1"/>
    <w:rsid w:val="00746EEE"/>
    <w:rsid w:val="00746F13"/>
    <w:rsid w:val="00746F5A"/>
    <w:rsid w:val="00746F5B"/>
    <w:rsid w:val="00746F85"/>
    <w:rsid w:val="00746FEB"/>
    <w:rsid w:val="00747057"/>
    <w:rsid w:val="007470CF"/>
    <w:rsid w:val="007470DE"/>
    <w:rsid w:val="0074711B"/>
    <w:rsid w:val="00747134"/>
    <w:rsid w:val="00747169"/>
    <w:rsid w:val="0074718A"/>
    <w:rsid w:val="00747277"/>
    <w:rsid w:val="007472F3"/>
    <w:rsid w:val="007472F8"/>
    <w:rsid w:val="007472FB"/>
    <w:rsid w:val="00747312"/>
    <w:rsid w:val="00747316"/>
    <w:rsid w:val="0074735B"/>
    <w:rsid w:val="00747377"/>
    <w:rsid w:val="00747389"/>
    <w:rsid w:val="007473A2"/>
    <w:rsid w:val="007473A9"/>
    <w:rsid w:val="007473CC"/>
    <w:rsid w:val="007473D1"/>
    <w:rsid w:val="00747466"/>
    <w:rsid w:val="00747479"/>
    <w:rsid w:val="00747493"/>
    <w:rsid w:val="007474DA"/>
    <w:rsid w:val="00747502"/>
    <w:rsid w:val="007475B0"/>
    <w:rsid w:val="007475E1"/>
    <w:rsid w:val="0074764B"/>
    <w:rsid w:val="007476AC"/>
    <w:rsid w:val="007476BE"/>
    <w:rsid w:val="00747780"/>
    <w:rsid w:val="007477AA"/>
    <w:rsid w:val="007477B9"/>
    <w:rsid w:val="007477D0"/>
    <w:rsid w:val="00747834"/>
    <w:rsid w:val="0074783F"/>
    <w:rsid w:val="0074785D"/>
    <w:rsid w:val="00747881"/>
    <w:rsid w:val="00747883"/>
    <w:rsid w:val="00747996"/>
    <w:rsid w:val="007479B6"/>
    <w:rsid w:val="007479D4"/>
    <w:rsid w:val="00747A05"/>
    <w:rsid w:val="00747A45"/>
    <w:rsid w:val="00747A5D"/>
    <w:rsid w:val="00747A95"/>
    <w:rsid w:val="00747AB3"/>
    <w:rsid w:val="00747ABC"/>
    <w:rsid w:val="00747AC5"/>
    <w:rsid w:val="00747AD7"/>
    <w:rsid w:val="00747AF2"/>
    <w:rsid w:val="00747B1B"/>
    <w:rsid w:val="00747B6D"/>
    <w:rsid w:val="00747B74"/>
    <w:rsid w:val="00747BEE"/>
    <w:rsid w:val="00747C35"/>
    <w:rsid w:val="00747C63"/>
    <w:rsid w:val="00747C7D"/>
    <w:rsid w:val="00747CEB"/>
    <w:rsid w:val="00747CF6"/>
    <w:rsid w:val="00747D03"/>
    <w:rsid w:val="00747D07"/>
    <w:rsid w:val="00747D1C"/>
    <w:rsid w:val="00747D31"/>
    <w:rsid w:val="00747D36"/>
    <w:rsid w:val="00747D3E"/>
    <w:rsid w:val="00747D60"/>
    <w:rsid w:val="00747DF6"/>
    <w:rsid w:val="00747E32"/>
    <w:rsid w:val="00747E50"/>
    <w:rsid w:val="00747EB5"/>
    <w:rsid w:val="00747EF4"/>
    <w:rsid w:val="00747F23"/>
    <w:rsid w:val="00747F2E"/>
    <w:rsid w:val="00747F4C"/>
    <w:rsid w:val="00747F76"/>
    <w:rsid w:val="00747F96"/>
    <w:rsid w:val="00747FB3"/>
    <w:rsid w:val="00747FED"/>
    <w:rsid w:val="00747FF0"/>
    <w:rsid w:val="00747FF2"/>
    <w:rsid w:val="00750030"/>
    <w:rsid w:val="00750047"/>
    <w:rsid w:val="00750064"/>
    <w:rsid w:val="007500DC"/>
    <w:rsid w:val="00750152"/>
    <w:rsid w:val="00750172"/>
    <w:rsid w:val="0075021E"/>
    <w:rsid w:val="0075029F"/>
    <w:rsid w:val="007502E0"/>
    <w:rsid w:val="00750316"/>
    <w:rsid w:val="00750378"/>
    <w:rsid w:val="00750395"/>
    <w:rsid w:val="007503DF"/>
    <w:rsid w:val="00750408"/>
    <w:rsid w:val="00750415"/>
    <w:rsid w:val="00750482"/>
    <w:rsid w:val="007504A3"/>
    <w:rsid w:val="007504BE"/>
    <w:rsid w:val="007504D0"/>
    <w:rsid w:val="007504D6"/>
    <w:rsid w:val="007504F1"/>
    <w:rsid w:val="00750528"/>
    <w:rsid w:val="007505A1"/>
    <w:rsid w:val="007505A7"/>
    <w:rsid w:val="007505CB"/>
    <w:rsid w:val="00750620"/>
    <w:rsid w:val="007506B2"/>
    <w:rsid w:val="0075071A"/>
    <w:rsid w:val="00750768"/>
    <w:rsid w:val="00750783"/>
    <w:rsid w:val="007507AE"/>
    <w:rsid w:val="00750805"/>
    <w:rsid w:val="0075082C"/>
    <w:rsid w:val="00750872"/>
    <w:rsid w:val="00750969"/>
    <w:rsid w:val="00750982"/>
    <w:rsid w:val="007509A7"/>
    <w:rsid w:val="007509AF"/>
    <w:rsid w:val="007509EA"/>
    <w:rsid w:val="007509FF"/>
    <w:rsid w:val="00750A1F"/>
    <w:rsid w:val="00750A2A"/>
    <w:rsid w:val="00750A2E"/>
    <w:rsid w:val="00750A8C"/>
    <w:rsid w:val="00750A91"/>
    <w:rsid w:val="00750AEE"/>
    <w:rsid w:val="00750AFB"/>
    <w:rsid w:val="00750B06"/>
    <w:rsid w:val="00750B0B"/>
    <w:rsid w:val="00750B42"/>
    <w:rsid w:val="00750B97"/>
    <w:rsid w:val="00750BAA"/>
    <w:rsid w:val="00750BF9"/>
    <w:rsid w:val="00750C1E"/>
    <w:rsid w:val="00750C22"/>
    <w:rsid w:val="00750C2F"/>
    <w:rsid w:val="00750C44"/>
    <w:rsid w:val="00750C68"/>
    <w:rsid w:val="00750D1E"/>
    <w:rsid w:val="00750D61"/>
    <w:rsid w:val="00750DC0"/>
    <w:rsid w:val="00750DC5"/>
    <w:rsid w:val="00750E18"/>
    <w:rsid w:val="00750E8C"/>
    <w:rsid w:val="00750E9D"/>
    <w:rsid w:val="00750EE5"/>
    <w:rsid w:val="00750EFF"/>
    <w:rsid w:val="00750F78"/>
    <w:rsid w:val="00750FA8"/>
    <w:rsid w:val="00750FDD"/>
    <w:rsid w:val="00751001"/>
    <w:rsid w:val="00751015"/>
    <w:rsid w:val="00751021"/>
    <w:rsid w:val="00751027"/>
    <w:rsid w:val="00751091"/>
    <w:rsid w:val="00751109"/>
    <w:rsid w:val="0075111E"/>
    <w:rsid w:val="00751132"/>
    <w:rsid w:val="00751165"/>
    <w:rsid w:val="0075116D"/>
    <w:rsid w:val="00751182"/>
    <w:rsid w:val="007511E7"/>
    <w:rsid w:val="00751253"/>
    <w:rsid w:val="0075125D"/>
    <w:rsid w:val="0075126F"/>
    <w:rsid w:val="0075128B"/>
    <w:rsid w:val="007512B3"/>
    <w:rsid w:val="007512C8"/>
    <w:rsid w:val="007512F6"/>
    <w:rsid w:val="00751302"/>
    <w:rsid w:val="00751306"/>
    <w:rsid w:val="0075134B"/>
    <w:rsid w:val="00751359"/>
    <w:rsid w:val="00751364"/>
    <w:rsid w:val="00751370"/>
    <w:rsid w:val="0075137C"/>
    <w:rsid w:val="007513AB"/>
    <w:rsid w:val="00751459"/>
    <w:rsid w:val="00751462"/>
    <w:rsid w:val="0075149D"/>
    <w:rsid w:val="007514F3"/>
    <w:rsid w:val="0075150A"/>
    <w:rsid w:val="00751582"/>
    <w:rsid w:val="007515C8"/>
    <w:rsid w:val="007515ED"/>
    <w:rsid w:val="007515F5"/>
    <w:rsid w:val="0075166C"/>
    <w:rsid w:val="00751679"/>
    <w:rsid w:val="007516B9"/>
    <w:rsid w:val="007516FD"/>
    <w:rsid w:val="0075171E"/>
    <w:rsid w:val="007517C9"/>
    <w:rsid w:val="00751860"/>
    <w:rsid w:val="0075187D"/>
    <w:rsid w:val="0075188D"/>
    <w:rsid w:val="007518C5"/>
    <w:rsid w:val="00751916"/>
    <w:rsid w:val="00751935"/>
    <w:rsid w:val="00751989"/>
    <w:rsid w:val="007519A3"/>
    <w:rsid w:val="007519C0"/>
    <w:rsid w:val="007519CA"/>
    <w:rsid w:val="007519E4"/>
    <w:rsid w:val="00751A12"/>
    <w:rsid w:val="00751A5F"/>
    <w:rsid w:val="00751A65"/>
    <w:rsid w:val="00751AB8"/>
    <w:rsid w:val="00751B03"/>
    <w:rsid w:val="00751B34"/>
    <w:rsid w:val="00751B4B"/>
    <w:rsid w:val="00751B55"/>
    <w:rsid w:val="00751BB5"/>
    <w:rsid w:val="00751C1D"/>
    <w:rsid w:val="00751C46"/>
    <w:rsid w:val="00751C9E"/>
    <w:rsid w:val="00751C9F"/>
    <w:rsid w:val="00751CF3"/>
    <w:rsid w:val="00751D2B"/>
    <w:rsid w:val="00751D44"/>
    <w:rsid w:val="00751D4A"/>
    <w:rsid w:val="00751D5F"/>
    <w:rsid w:val="00751D92"/>
    <w:rsid w:val="00751DB6"/>
    <w:rsid w:val="00751DCE"/>
    <w:rsid w:val="00751DE7"/>
    <w:rsid w:val="00751E60"/>
    <w:rsid w:val="00751EA3"/>
    <w:rsid w:val="00751F17"/>
    <w:rsid w:val="00751F3A"/>
    <w:rsid w:val="00751FA4"/>
    <w:rsid w:val="00751FD6"/>
    <w:rsid w:val="00752033"/>
    <w:rsid w:val="00752076"/>
    <w:rsid w:val="007520A7"/>
    <w:rsid w:val="007520D1"/>
    <w:rsid w:val="00752123"/>
    <w:rsid w:val="00752175"/>
    <w:rsid w:val="00752191"/>
    <w:rsid w:val="007521B4"/>
    <w:rsid w:val="007521BB"/>
    <w:rsid w:val="007521D9"/>
    <w:rsid w:val="00752259"/>
    <w:rsid w:val="007522B8"/>
    <w:rsid w:val="007522E4"/>
    <w:rsid w:val="007522EC"/>
    <w:rsid w:val="00752311"/>
    <w:rsid w:val="0075233A"/>
    <w:rsid w:val="007523AE"/>
    <w:rsid w:val="0075242D"/>
    <w:rsid w:val="0075244E"/>
    <w:rsid w:val="00752451"/>
    <w:rsid w:val="0075246B"/>
    <w:rsid w:val="00752478"/>
    <w:rsid w:val="0075249B"/>
    <w:rsid w:val="0075250F"/>
    <w:rsid w:val="00752536"/>
    <w:rsid w:val="007525FA"/>
    <w:rsid w:val="00752603"/>
    <w:rsid w:val="00752683"/>
    <w:rsid w:val="00752725"/>
    <w:rsid w:val="0075278C"/>
    <w:rsid w:val="00752873"/>
    <w:rsid w:val="007528A8"/>
    <w:rsid w:val="0075290F"/>
    <w:rsid w:val="00752986"/>
    <w:rsid w:val="00752A03"/>
    <w:rsid w:val="00752A0F"/>
    <w:rsid w:val="00752A4F"/>
    <w:rsid w:val="00752A50"/>
    <w:rsid w:val="00752A7E"/>
    <w:rsid w:val="00752AB2"/>
    <w:rsid w:val="00752AC7"/>
    <w:rsid w:val="00752AEF"/>
    <w:rsid w:val="00752B22"/>
    <w:rsid w:val="00752B4F"/>
    <w:rsid w:val="00752BA0"/>
    <w:rsid w:val="00752BA1"/>
    <w:rsid w:val="00752BAF"/>
    <w:rsid w:val="00752BD0"/>
    <w:rsid w:val="00752BF1"/>
    <w:rsid w:val="00752C5B"/>
    <w:rsid w:val="00752C6E"/>
    <w:rsid w:val="00752C83"/>
    <w:rsid w:val="00752C9D"/>
    <w:rsid w:val="00752CB2"/>
    <w:rsid w:val="00752CFB"/>
    <w:rsid w:val="00752D6B"/>
    <w:rsid w:val="00752DE7"/>
    <w:rsid w:val="00752E4A"/>
    <w:rsid w:val="00752E4D"/>
    <w:rsid w:val="00752E6D"/>
    <w:rsid w:val="00752E89"/>
    <w:rsid w:val="00752EB9"/>
    <w:rsid w:val="00752EF4"/>
    <w:rsid w:val="00752F01"/>
    <w:rsid w:val="00752FCF"/>
    <w:rsid w:val="00752FDC"/>
    <w:rsid w:val="00752FF2"/>
    <w:rsid w:val="0075300E"/>
    <w:rsid w:val="0075302E"/>
    <w:rsid w:val="00753044"/>
    <w:rsid w:val="00753058"/>
    <w:rsid w:val="00753061"/>
    <w:rsid w:val="00753092"/>
    <w:rsid w:val="007530A6"/>
    <w:rsid w:val="007530AF"/>
    <w:rsid w:val="007530F0"/>
    <w:rsid w:val="00753146"/>
    <w:rsid w:val="0075317C"/>
    <w:rsid w:val="007531A4"/>
    <w:rsid w:val="00753239"/>
    <w:rsid w:val="0075324D"/>
    <w:rsid w:val="00753273"/>
    <w:rsid w:val="007532A1"/>
    <w:rsid w:val="007532D1"/>
    <w:rsid w:val="007532E6"/>
    <w:rsid w:val="007532F1"/>
    <w:rsid w:val="007532F8"/>
    <w:rsid w:val="00753325"/>
    <w:rsid w:val="00753350"/>
    <w:rsid w:val="00753359"/>
    <w:rsid w:val="00753384"/>
    <w:rsid w:val="0075339B"/>
    <w:rsid w:val="0075339C"/>
    <w:rsid w:val="00753416"/>
    <w:rsid w:val="0075341D"/>
    <w:rsid w:val="00753423"/>
    <w:rsid w:val="0075345E"/>
    <w:rsid w:val="0075347C"/>
    <w:rsid w:val="007534E9"/>
    <w:rsid w:val="0075350A"/>
    <w:rsid w:val="00753519"/>
    <w:rsid w:val="007535D9"/>
    <w:rsid w:val="00753697"/>
    <w:rsid w:val="007536A6"/>
    <w:rsid w:val="007536B0"/>
    <w:rsid w:val="007536EC"/>
    <w:rsid w:val="007536F8"/>
    <w:rsid w:val="0075370E"/>
    <w:rsid w:val="00753798"/>
    <w:rsid w:val="007537BF"/>
    <w:rsid w:val="007537CF"/>
    <w:rsid w:val="007537D8"/>
    <w:rsid w:val="007537E1"/>
    <w:rsid w:val="00753875"/>
    <w:rsid w:val="00753879"/>
    <w:rsid w:val="007538C4"/>
    <w:rsid w:val="00753905"/>
    <w:rsid w:val="00753911"/>
    <w:rsid w:val="00753927"/>
    <w:rsid w:val="00753949"/>
    <w:rsid w:val="007539D0"/>
    <w:rsid w:val="00753A09"/>
    <w:rsid w:val="00753A28"/>
    <w:rsid w:val="00753A52"/>
    <w:rsid w:val="00753A6D"/>
    <w:rsid w:val="00753A92"/>
    <w:rsid w:val="00753AA5"/>
    <w:rsid w:val="00753AD6"/>
    <w:rsid w:val="00753AEB"/>
    <w:rsid w:val="00753B2E"/>
    <w:rsid w:val="00753B31"/>
    <w:rsid w:val="00753BB5"/>
    <w:rsid w:val="00753BB6"/>
    <w:rsid w:val="00753BF9"/>
    <w:rsid w:val="00753C85"/>
    <w:rsid w:val="00753CC6"/>
    <w:rsid w:val="00753CE6"/>
    <w:rsid w:val="00753D1F"/>
    <w:rsid w:val="00753D5F"/>
    <w:rsid w:val="00753D89"/>
    <w:rsid w:val="00753D8A"/>
    <w:rsid w:val="00753D90"/>
    <w:rsid w:val="00753D9B"/>
    <w:rsid w:val="00753DA4"/>
    <w:rsid w:val="00753DD1"/>
    <w:rsid w:val="00753DD2"/>
    <w:rsid w:val="00753E00"/>
    <w:rsid w:val="00753E14"/>
    <w:rsid w:val="00753E70"/>
    <w:rsid w:val="00753E79"/>
    <w:rsid w:val="00753EA5"/>
    <w:rsid w:val="00753EA7"/>
    <w:rsid w:val="00753EB6"/>
    <w:rsid w:val="00753EC7"/>
    <w:rsid w:val="00753F7A"/>
    <w:rsid w:val="00753F7E"/>
    <w:rsid w:val="00753F81"/>
    <w:rsid w:val="00753F86"/>
    <w:rsid w:val="00753FBE"/>
    <w:rsid w:val="00753FDD"/>
    <w:rsid w:val="00753FE0"/>
    <w:rsid w:val="0075401D"/>
    <w:rsid w:val="0075405C"/>
    <w:rsid w:val="0075406D"/>
    <w:rsid w:val="007540BE"/>
    <w:rsid w:val="00754104"/>
    <w:rsid w:val="00754136"/>
    <w:rsid w:val="00754142"/>
    <w:rsid w:val="0075414A"/>
    <w:rsid w:val="00754177"/>
    <w:rsid w:val="007541A3"/>
    <w:rsid w:val="0075420F"/>
    <w:rsid w:val="00754211"/>
    <w:rsid w:val="00754218"/>
    <w:rsid w:val="007542D2"/>
    <w:rsid w:val="007542DA"/>
    <w:rsid w:val="007543E6"/>
    <w:rsid w:val="00754408"/>
    <w:rsid w:val="00754418"/>
    <w:rsid w:val="0075441D"/>
    <w:rsid w:val="00754443"/>
    <w:rsid w:val="00754501"/>
    <w:rsid w:val="0075456B"/>
    <w:rsid w:val="0075458A"/>
    <w:rsid w:val="0075460F"/>
    <w:rsid w:val="00754633"/>
    <w:rsid w:val="00754661"/>
    <w:rsid w:val="0075466E"/>
    <w:rsid w:val="00754719"/>
    <w:rsid w:val="0075473C"/>
    <w:rsid w:val="0075476C"/>
    <w:rsid w:val="0075476E"/>
    <w:rsid w:val="0075478F"/>
    <w:rsid w:val="00754801"/>
    <w:rsid w:val="00754824"/>
    <w:rsid w:val="00754829"/>
    <w:rsid w:val="00754830"/>
    <w:rsid w:val="0075489A"/>
    <w:rsid w:val="007548D7"/>
    <w:rsid w:val="00754930"/>
    <w:rsid w:val="00754933"/>
    <w:rsid w:val="00754967"/>
    <w:rsid w:val="007549A4"/>
    <w:rsid w:val="007549AE"/>
    <w:rsid w:val="007549EC"/>
    <w:rsid w:val="00754A27"/>
    <w:rsid w:val="00754A44"/>
    <w:rsid w:val="00754A93"/>
    <w:rsid w:val="00754B13"/>
    <w:rsid w:val="00754BF4"/>
    <w:rsid w:val="00754C04"/>
    <w:rsid w:val="00754C55"/>
    <w:rsid w:val="00754C56"/>
    <w:rsid w:val="00754C59"/>
    <w:rsid w:val="00754C91"/>
    <w:rsid w:val="00754CB6"/>
    <w:rsid w:val="00754CFC"/>
    <w:rsid w:val="00754D01"/>
    <w:rsid w:val="00754D1C"/>
    <w:rsid w:val="00754D21"/>
    <w:rsid w:val="00754D22"/>
    <w:rsid w:val="00754D5A"/>
    <w:rsid w:val="00754D5D"/>
    <w:rsid w:val="00754D78"/>
    <w:rsid w:val="00754DA4"/>
    <w:rsid w:val="00754DF8"/>
    <w:rsid w:val="00754E09"/>
    <w:rsid w:val="00754E12"/>
    <w:rsid w:val="00754E38"/>
    <w:rsid w:val="00754E5A"/>
    <w:rsid w:val="00754EF5"/>
    <w:rsid w:val="00754F03"/>
    <w:rsid w:val="00754F2F"/>
    <w:rsid w:val="00754F55"/>
    <w:rsid w:val="00754FE8"/>
    <w:rsid w:val="00755004"/>
    <w:rsid w:val="0075501E"/>
    <w:rsid w:val="0075512D"/>
    <w:rsid w:val="0075512E"/>
    <w:rsid w:val="00755166"/>
    <w:rsid w:val="00755197"/>
    <w:rsid w:val="007551B3"/>
    <w:rsid w:val="00755233"/>
    <w:rsid w:val="00755287"/>
    <w:rsid w:val="007552CC"/>
    <w:rsid w:val="007552F2"/>
    <w:rsid w:val="007552F8"/>
    <w:rsid w:val="00755380"/>
    <w:rsid w:val="007553AF"/>
    <w:rsid w:val="007553C0"/>
    <w:rsid w:val="00755417"/>
    <w:rsid w:val="00755421"/>
    <w:rsid w:val="0075542B"/>
    <w:rsid w:val="00755474"/>
    <w:rsid w:val="007554F9"/>
    <w:rsid w:val="00755502"/>
    <w:rsid w:val="0075550D"/>
    <w:rsid w:val="0075554D"/>
    <w:rsid w:val="00755571"/>
    <w:rsid w:val="00755581"/>
    <w:rsid w:val="007555AB"/>
    <w:rsid w:val="007555B4"/>
    <w:rsid w:val="007555BA"/>
    <w:rsid w:val="007555EB"/>
    <w:rsid w:val="00755606"/>
    <w:rsid w:val="00755617"/>
    <w:rsid w:val="0075562B"/>
    <w:rsid w:val="00755698"/>
    <w:rsid w:val="0075569F"/>
    <w:rsid w:val="007556B6"/>
    <w:rsid w:val="007556BB"/>
    <w:rsid w:val="00755717"/>
    <w:rsid w:val="00755726"/>
    <w:rsid w:val="00755731"/>
    <w:rsid w:val="00755765"/>
    <w:rsid w:val="0075577E"/>
    <w:rsid w:val="007557DE"/>
    <w:rsid w:val="00755831"/>
    <w:rsid w:val="0075583D"/>
    <w:rsid w:val="00755864"/>
    <w:rsid w:val="00755881"/>
    <w:rsid w:val="00755884"/>
    <w:rsid w:val="007558AC"/>
    <w:rsid w:val="007558B7"/>
    <w:rsid w:val="0075593D"/>
    <w:rsid w:val="00755966"/>
    <w:rsid w:val="007559A7"/>
    <w:rsid w:val="007559B8"/>
    <w:rsid w:val="00755A0D"/>
    <w:rsid w:val="00755A22"/>
    <w:rsid w:val="00755A55"/>
    <w:rsid w:val="00755A5A"/>
    <w:rsid w:val="00755A96"/>
    <w:rsid w:val="00755AF8"/>
    <w:rsid w:val="00755B0E"/>
    <w:rsid w:val="00755B1C"/>
    <w:rsid w:val="00755B36"/>
    <w:rsid w:val="00755B42"/>
    <w:rsid w:val="00755B4C"/>
    <w:rsid w:val="00755B73"/>
    <w:rsid w:val="00755B8D"/>
    <w:rsid w:val="00755BA4"/>
    <w:rsid w:val="00755C4A"/>
    <w:rsid w:val="00755CD8"/>
    <w:rsid w:val="00755DFF"/>
    <w:rsid w:val="00755E0A"/>
    <w:rsid w:val="00755E73"/>
    <w:rsid w:val="00755E99"/>
    <w:rsid w:val="00755EB8"/>
    <w:rsid w:val="00755ECB"/>
    <w:rsid w:val="00755EE7"/>
    <w:rsid w:val="00755F98"/>
    <w:rsid w:val="00755FA4"/>
    <w:rsid w:val="00755FBA"/>
    <w:rsid w:val="00755FE7"/>
    <w:rsid w:val="00755FF6"/>
    <w:rsid w:val="00756029"/>
    <w:rsid w:val="00756040"/>
    <w:rsid w:val="0075606E"/>
    <w:rsid w:val="0075608C"/>
    <w:rsid w:val="007560C3"/>
    <w:rsid w:val="007560CA"/>
    <w:rsid w:val="007560D0"/>
    <w:rsid w:val="007560E7"/>
    <w:rsid w:val="007560F7"/>
    <w:rsid w:val="007561B9"/>
    <w:rsid w:val="007561EF"/>
    <w:rsid w:val="007561FF"/>
    <w:rsid w:val="00756203"/>
    <w:rsid w:val="00756255"/>
    <w:rsid w:val="00756297"/>
    <w:rsid w:val="0075629C"/>
    <w:rsid w:val="007562CF"/>
    <w:rsid w:val="007562DC"/>
    <w:rsid w:val="007562ED"/>
    <w:rsid w:val="00756376"/>
    <w:rsid w:val="00756378"/>
    <w:rsid w:val="00756390"/>
    <w:rsid w:val="007563A8"/>
    <w:rsid w:val="00756446"/>
    <w:rsid w:val="00756482"/>
    <w:rsid w:val="00756498"/>
    <w:rsid w:val="0075649A"/>
    <w:rsid w:val="007564BA"/>
    <w:rsid w:val="007564BE"/>
    <w:rsid w:val="007564D6"/>
    <w:rsid w:val="007564FE"/>
    <w:rsid w:val="0075650D"/>
    <w:rsid w:val="00756568"/>
    <w:rsid w:val="0075656F"/>
    <w:rsid w:val="00756572"/>
    <w:rsid w:val="00756578"/>
    <w:rsid w:val="0075658B"/>
    <w:rsid w:val="007565A2"/>
    <w:rsid w:val="00756658"/>
    <w:rsid w:val="00756683"/>
    <w:rsid w:val="007566CA"/>
    <w:rsid w:val="007566EA"/>
    <w:rsid w:val="00756728"/>
    <w:rsid w:val="00756760"/>
    <w:rsid w:val="00756841"/>
    <w:rsid w:val="00756846"/>
    <w:rsid w:val="0075686F"/>
    <w:rsid w:val="007568E8"/>
    <w:rsid w:val="00756924"/>
    <w:rsid w:val="0075694C"/>
    <w:rsid w:val="00756965"/>
    <w:rsid w:val="00756994"/>
    <w:rsid w:val="00756A25"/>
    <w:rsid w:val="00756A3C"/>
    <w:rsid w:val="00756A49"/>
    <w:rsid w:val="00756A71"/>
    <w:rsid w:val="00756A79"/>
    <w:rsid w:val="00756AA1"/>
    <w:rsid w:val="00756ABC"/>
    <w:rsid w:val="00756B1B"/>
    <w:rsid w:val="00756B23"/>
    <w:rsid w:val="00756B3B"/>
    <w:rsid w:val="00756BBF"/>
    <w:rsid w:val="00756C7A"/>
    <w:rsid w:val="00756CA4"/>
    <w:rsid w:val="00756CA9"/>
    <w:rsid w:val="00756CAB"/>
    <w:rsid w:val="00756CBF"/>
    <w:rsid w:val="00756CEC"/>
    <w:rsid w:val="00756D1C"/>
    <w:rsid w:val="00756D66"/>
    <w:rsid w:val="00756DB2"/>
    <w:rsid w:val="00756DB8"/>
    <w:rsid w:val="00756DC8"/>
    <w:rsid w:val="00756E2E"/>
    <w:rsid w:val="00756E53"/>
    <w:rsid w:val="00756E77"/>
    <w:rsid w:val="00756E78"/>
    <w:rsid w:val="00756E7B"/>
    <w:rsid w:val="00756E88"/>
    <w:rsid w:val="00756EFB"/>
    <w:rsid w:val="00756F14"/>
    <w:rsid w:val="00756F18"/>
    <w:rsid w:val="00756F1F"/>
    <w:rsid w:val="00756F77"/>
    <w:rsid w:val="00756F95"/>
    <w:rsid w:val="00756FC2"/>
    <w:rsid w:val="0075704C"/>
    <w:rsid w:val="0075708D"/>
    <w:rsid w:val="007570E5"/>
    <w:rsid w:val="007570EE"/>
    <w:rsid w:val="007570FD"/>
    <w:rsid w:val="00757118"/>
    <w:rsid w:val="00757159"/>
    <w:rsid w:val="007571E2"/>
    <w:rsid w:val="007571F6"/>
    <w:rsid w:val="007571F9"/>
    <w:rsid w:val="0075723D"/>
    <w:rsid w:val="00757243"/>
    <w:rsid w:val="0075728C"/>
    <w:rsid w:val="007572B1"/>
    <w:rsid w:val="007572BF"/>
    <w:rsid w:val="007572D9"/>
    <w:rsid w:val="0075735B"/>
    <w:rsid w:val="007573CF"/>
    <w:rsid w:val="00757455"/>
    <w:rsid w:val="00757486"/>
    <w:rsid w:val="007575C5"/>
    <w:rsid w:val="00757642"/>
    <w:rsid w:val="0075764A"/>
    <w:rsid w:val="00757661"/>
    <w:rsid w:val="007576D5"/>
    <w:rsid w:val="007576F0"/>
    <w:rsid w:val="007577A4"/>
    <w:rsid w:val="007577B1"/>
    <w:rsid w:val="007577E5"/>
    <w:rsid w:val="007577FC"/>
    <w:rsid w:val="00757814"/>
    <w:rsid w:val="00757825"/>
    <w:rsid w:val="00757872"/>
    <w:rsid w:val="0075790C"/>
    <w:rsid w:val="00757923"/>
    <w:rsid w:val="0075792A"/>
    <w:rsid w:val="0075796A"/>
    <w:rsid w:val="00757990"/>
    <w:rsid w:val="00757A2B"/>
    <w:rsid w:val="00757AA2"/>
    <w:rsid w:val="00757AB2"/>
    <w:rsid w:val="00757AC3"/>
    <w:rsid w:val="00757AD4"/>
    <w:rsid w:val="00757AE2"/>
    <w:rsid w:val="00757B19"/>
    <w:rsid w:val="00757B2B"/>
    <w:rsid w:val="00757B32"/>
    <w:rsid w:val="00757B4B"/>
    <w:rsid w:val="00757B71"/>
    <w:rsid w:val="00757B84"/>
    <w:rsid w:val="00757BBC"/>
    <w:rsid w:val="00757BEB"/>
    <w:rsid w:val="00757BED"/>
    <w:rsid w:val="00757C20"/>
    <w:rsid w:val="00757C3F"/>
    <w:rsid w:val="00757C82"/>
    <w:rsid w:val="00757C9A"/>
    <w:rsid w:val="00757C9E"/>
    <w:rsid w:val="00757D1C"/>
    <w:rsid w:val="00757D2A"/>
    <w:rsid w:val="00757D31"/>
    <w:rsid w:val="00757D4F"/>
    <w:rsid w:val="00757D92"/>
    <w:rsid w:val="00757E20"/>
    <w:rsid w:val="00757E3F"/>
    <w:rsid w:val="00757E43"/>
    <w:rsid w:val="00757E99"/>
    <w:rsid w:val="00757EB9"/>
    <w:rsid w:val="00757EBD"/>
    <w:rsid w:val="00757EEE"/>
    <w:rsid w:val="00757EFD"/>
    <w:rsid w:val="00757FB7"/>
    <w:rsid w:val="0076004D"/>
    <w:rsid w:val="007600A0"/>
    <w:rsid w:val="007600A2"/>
    <w:rsid w:val="007600CD"/>
    <w:rsid w:val="007600DC"/>
    <w:rsid w:val="007600F1"/>
    <w:rsid w:val="007600F9"/>
    <w:rsid w:val="00760127"/>
    <w:rsid w:val="00760135"/>
    <w:rsid w:val="00760142"/>
    <w:rsid w:val="0076015B"/>
    <w:rsid w:val="00760168"/>
    <w:rsid w:val="0076019C"/>
    <w:rsid w:val="007601B9"/>
    <w:rsid w:val="007601C1"/>
    <w:rsid w:val="007601C9"/>
    <w:rsid w:val="007601E6"/>
    <w:rsid w:val="0076025B"/>
    <w:rsid w:val="00760261"/>
    <w:rsid w:val="007602B3"/>
    <w:rsid w:val="007602FB"/>
    <w:rsid w:val="00760338"/>
    <w:rsid w:val="00760342"/>
    <w:rsid w:val="007603FE"/>
    <w:rsid w:val="0076049C"/>
    <w:rsid w:val="00760545"/>
    <w:rsid w:val="00760548"/>
    <w:rsid w:val="0076054A"/>
    <w:rsid w:val="007605A7"/>
    <w:rsid w:val="007605EC"/>
    <w:rsid w:val="00760606"/>
    <w:rsid w:val="00760607"/>
    <w:rsid w:val="00760651"/>
    <w:rsid w:val="00760686"/>
    <w:rsid w:val="007606DD"/>
    <w:rsid w:val="0076070F"/>
    <w:rsid w:val="00760729"/>
    <w:rsid w:val="0076072D"/>
    <w:rsid w:val="00760732"/>
    <w:rsid w:val="0076076E"/>
    <w:rsid w:val="007607B0"/>
    <w:rsid w:val="00760833"/>
    <w:rsid w:val="00760835"/>
    <w:rsid w:val="00760840"/>
    <w:rsid w:val="0076088D"/>
    <w:rsid w:val="0076090B"/>
    <w:rsid w:val="00760914"/>
    <w:rsid w:val="00760985"/>
    <w:rsid w:val="00760997"/>
    <w:rsid w:val="007609BE"/>
    <w:rsid w:val="007609F3"/>
    <w:rsid w:val="00760A43"/>
    <w:rsid w:val="00760A51"/>
    <w:rsid w:val="00760A89"/>
    <w:rsid w:val="00760AF8"/>
    <w:rsid w:val="00760B45"/>
    <w:rsid w:val="00760BBD"/>
    <w:rsid w:val="00760BCC"/>
    <w:rsid w:val="00760BCD"/>
    <w:rsid w:val="00760BD2"/>
    <w:rsid w:val="00760C32"/>
    <w:rsid w:val="00760C36"/>
    <w:rsid w:val="00760C7B"/>
    <w:rsid w:val="00760CAD"/>
    <w:rsid w:val="00760CDE"/>
    <w:rsid w:val="00760CE7"/>
    <w:rsid w:val="00760D00"/>
    <w:rsid w:val="00760D37"/>
    <w:rsid w:val="00760D5C"/>
    <w:rsid w:val="00760D5D"/>
    <w:rsid w:val="00760D83"/>
    <w:rsid w:val="00760DBD"/>
    <w:rsid w:val="00760E54"/>
    <w:rsid w:val="00760E7F"/>
    <w:rsid w:val="00760E8E"/>
    <w:rsid w:val="00760EA9"/>
    <w:rsid w:val="00760F03"/>
    <w:rsid w:val="00760F13"/>
    <w:rsid w:val="00760F3C"/>
    <w:rsid w:val="00760F47"/>
    <w:rsid w:val="00760F74"/>
    <w:rsid w:val="00760F93"/>
    <w:rsid w:val="00761037"/>
    <w:rsid w:val="00761073"/>
    <w:rsid w:val="00761074"/>
    <w:rsid w:val="00761078"/>
    <w:rsid w:val="007610A0"/>
    <w:rsid w:val="007610E7"/>
    <w:rsid w:val="0076112F"/>
    <w:rsid w:val="00761184"/>
    <w:rsid w:val="007611A1"/>
    <w:rsid w:val="007611DA"/>
    <w:rsid w:val="00761270"/>
    <w:rsid w:val="0076128A"/>
    <w:rsid w:val="007612BD"/>
    <w:rsid w:val="007612CD"/>
    <w:rsid w:val="007612DF"/>
    <w:rsid w:val="00761316"/>
    <w:rsid w:val="00761354"/>
    <w:rsid w:val="00761359"/>
    <w:rsid w:val="0076136B"/>
    <w:rsid w:val="007613A7"/>
    <w:rsid w:val="0076143E"/>
    <w:rsid w:val="0076144E"/>
    <w:rsid w:val="00761455"/>
    <w:rsid w:val="007614AB"/>
    <w:rsid w:val="007614AE"/>
    <w:rsid w:val="00761526"/>
    <w:rsid w:val="00761555"/>
    <w:rsid w:val="00761576"/>
    <w:rsid w:val="0076157C"/>
    <w:rsid w:val="007615EA"/>
    <w:rsid w:val="00761605"/>
    <w:rsid w:val="0076163D"/>
    <w:rsid w:val="0076167D"/>
    <w:rsid w:val="007616A7"/>
    <w:rsid w:val="007616E7"/>
    <w:rsid w:val="00761748"/>
    <w:rsid w:val="00761755"/>
    <w:rsid w:val="0076179B"/>
    <w:rsid w:val="007617CB"/>
    <w:rsid w:val="007617D7"/>
    <w:rsid w:val="007617D9"/>
    <w:rsid w:val="007617DF"/>
    <w:rsid w:val="00761823"/>
    <w:rsid w:val="00761851"/>
    <w:rsid w:val="00761854"/>
    <w:rsid w:val="00761927"/>
    <w:rsid w:val="0076193C"/>
    <w:rsid w:val="0076195C"/>
    <w:rsid w:val="00761979"/>
    <w:rsid w:val="00761993"/>
    <w:rsid w:val="007619B0"/>
    <w:rsid w:val="007619C4"/>
    <w:rsid w:val="00761A03"/>
    <w:rsid w:val="00761A0C"/>
    <w:rsid w:val="00761A16"/>
    <w:rsid w:val="00761A88"/>
    <w:rsid w:val="00761AD5"/>
    <w:rsid w:val="00761AD7"/>
    <w:rsid w:val="00761B03"/>
    <w:rsid w:val="00761B15"/>
    <w:rsid w:val="00761B66"/>
    <w:rsid w:val="00761C13"/>
    <w:rsid w:val="00761C5D"/>
    <w:rsid w:val="00761C7C"/>
    <w:rsid w:val="00761C9B"/>
    <w:rsid w:val="00761D15"/>
    <w:rsid w:val="00761D2C"/>
    <w:rsid w:val="00761D53"/>
    <w:rsid w:val="00761D69"/>
    <w:rsid w:val="00761D72"/>
    <w:rsid w:val="00761D83"/>
    <w:rsid w:val="00761D90"/>
    <w:rsid w:val="00761D95"/>
    <w:rsid w:val="00761DE4"/>
    <w:rsid w:val="00761E75"/>
    <w:rsid w:val="00761EB0"/>
    <w:rsid w:val="00761F1C"/>
    <w:rsid w:val="00761F2D"/>
    <w:rsid w:val="00761F63"/>
    <w:rsid w:val="00761F84"/>
    <w:rsid w:val="00761FD6"/>
    <w:rsid w:val="00761FDE"/>
    <w:rsid w:val="00761FF8"/>
    <w:rsid w:val="0076205B"/>
    <w:rsid w:val="00762061"/>
    <w:rsid w:val="00762075"/>
    <w:rsid w:val="007620CC"/>
    <w:rsid w:val="007620D6"/>
    <w:rsid w:val="007620E7"/>
    <w:rsid w:val="00762171"/>
    <w:rsid w:val="00762177"/>
    <w:rsid w:val="00762191"/>
    <w:rsid w:val="007621AF"/>
    <w:rsid w:val="007621F2"/>
    <w:rsid w:val="007621F9"/>
    <w:rsid w:val="00762208"/>
    <w:rsid w:val="00762219"/>
    <w:rsid w:val="0076222F"/>
    <w:rsid w:val="00762247"/>
    <w:rsid w:val="00762271"/>
    <w:rsid w:val="0076229B"/>
    <w:rsid w:val="007622D1"/>
    <w:rsid w:val="007623B2"/>
    <w:rsid w:val="007623C4"/>
    <w:rsid w:val="00762409"/>
    <w:rsid w:val="00762411"/>
    <w:rsid w:val="00762429"/>
    <w:rsid w:val="0076244A"/>
    <w:rsid w:val="00762488"/>
    <w:rsid w:val="0076248C"/>
    <w:rsid w:val="00762494"/>
    <w:rsid w:val="00762497"/>
    <w:rsid w:val="007624B8"/>
    <w:rsid w:val="007624E6"/>
    <w:rsid w:val="00762520"/>
    <w:rsid w:val="00762534"/>
    <w:rsid w:val="00762541"/>
    <w:rsid w:val="00762598"/>
    <w:rsid w:val="007625A6"/>
    <w:rsid w:val="007625FD"/>
    <w:rsid w:val="0076260B"/>
    <w:rsid w:val="0076260C"/>
    <w:rsid w:val="007626EB"/>
    <w:rsid w:val="00762746"/>
    <w:rsid w:val="0076276A"/>
    <w:rsid w:val="0076277E"/>
    <w:rsid w:val="0076278A"/>
    <w:rsid w:val="0076289D"/>
    <w:rsid w:val="007628B4"/>
    <w:rsid w:val="007628CC"/>
    <w:rsid w:val="007628EF"/>
    <w:rsid w:val="00762904"/>
    <w:rsid w:val="0076290B"/>
    <w:rsid w:val="0076291F"/>
    <w:rsid w:val="00762925"/>
    <w:rsid w:val="00762945"/>
    <w:rsid w:val="007629CE"/>
    <w:rsid w:val="007629DF"/>
    <w:rsid w:val="007629F8"/>
    <w:rsid w:val="00762A32"/>
    <w:rsid w:val="00762A7F"/>
    <w:rsid w:val="00762A8C"/>
    <w:rsid w:val="00762AA3"/>
    <w:rsid w:val="00762AE6"/>
    <w:rsid w:val="00762B25"/>
    <w:rsid w:val="00762B5B"/>
    <w:rsid w:val="00762B66"/>
    <w:rsid w:val="00762B76"/>
    <w:rsid w:val="00762BD3"/>
    <w:rsid w:val="00762CFE"/>
    <w:rsid w:val="00762D6F"/>
    <w:rsid w:val="00762DA3"/>
    <w:rsid w:val="00762DB6"/>
    <w:rsid w:val="00762E0A"/>
    <w:rsid w:val="00762E2C"/>
    <w:rsid w:val="00762E38"/>
    <w:rsid w:val="00762EC2"/>
    <w:rsid w:val="00762F42"/>
    <w:rsid w:val="00762F77"/>
    <w:rsid w:val="00762FBA"/>
    <w:rsid w:val="00762FBC"/>
    <w:rsid w:val="00763043"/>
    <w:rsid w:val="0076304D"/>
    <w:rsid w:val="0076313B"/>
    <w:rsid w:val="0076318D"/>
    <w:rsid w:val="00763196"/>
    <w:rsid w:val="007631EB"/>
    <w:rsid w:val="007631F4"/>
    <w:rsid w:val="0076322D"/>
    <w:rsid w:val="007632AA"/>
    <w:rsid w:val="007632D0"/>
    <w:rsid w:val="0076332F"/>
    <w:rsid w:val="007633AA"/>
    <w:rsid w:val="007633CA"/>
    <w:rsid w:val="007633F5"/>
    <w:rsid w:val="0076340C"/>
    <w:rsid w:val="007634E8"/>
    <w:rsid w:val="007634F8"/>
    <w:rsid w:val="0076353D"/>
    <w:rsid w:val="00763544"/>
    <w:rsid w:val="00763576"/>
    <w:rsid w:val="0076359F"/>
    <w:rsid w:val="007635C3"/>
    <w:rsid w:val="007635E3"/>
    <w:rsid w:val="00763600"/>
    <w:rsid w:val="0076369E"/>
    <w:rsid w:val="007636E5"/>
    <w:rsid w:val="007636F3"/>
    <w:rsid w:val="007636F4"/>
    <w:rsid w:val="0076370B"/>
    <w:rsid w:val="00763733"/>
    <w:rsid w:val="007637BA"/>
    <w:rsid w:val="007637C5"/>
    <w:rsid w:val="007637DA"/>
    <w:rsid w:val="00763817"/>
    <w:rsid w:val="0076381B"/>
    <w:rsid w:val="00763838"/>
    <w:rsid w:val="00763892"/>
    <w:rsid w:val="00763899"/>
    <w:rsid w:val="007638D4"/>
    <w:rsid w:val="007638F5"/>
    <w:rsid w:val="0076399B"/>
    <w:rsid w:val="007639DF"/>
    <w:rsid w:val="007639E6"/>
    <w:rsid w:val="00763A3F"/>
    <w:rsid w:val="00763A7F"/>
    <w:rsid w:val="00763A86"/>
    <w:rsid w:val="00763AC3"/>
    <w:rsid w:val="00763B18"/>
    <w:rsid w:val="00763B33"/>
    <w:rsid w:val="00763B7C"/>
    <w:rsid w:val="00763BB3"/>
    <w:rsid w:val="00763C21"/>
    <w:rsid w:val="00763C2E"/>
    <w:rsid w:val="00763CC5"/>
    <w:rsid w:val="00763CDD"/>
    <w:rsid w:val="00763CF0"/>
    <w:rsid w:val="00763D15"/>
    <w:rsid w:val="00763D17"/>
    <w:rsid w:val="00763D4A"/>
    <w:rsid w:val="00763D67"/>
    <w:rsid w:val="00763D6F"/>
    <w:rsid w:val="00763D72"/>
    <w:rsid w:val="00763DD8"/>
    <w:rsid w:val="00763DE2"/>
    <w:rsid w:val="00763E46"/>
    <w:rsid w:val="00763E53"/>
    <w:rsid w:val="00763E57"/>
    <w:rsid w:val="00763E8C"/>
    <w:rsid w:val="00763E9D"/>
    <w:rsid w:val="00763EB6"/>
    <w:rsid w:val="00763ED4"/>
    <w:rsid w:val="00763EE1"/>
    <w:rsid w:val="00763F0C"/>
    <w:rsid w:val="00763F28"/>
    <w:rsid w:val="00763F3B"/>
    <w:rsid w:val="00763F4D"/>
    <w:rsid w:val="00763F86"/>
    <w:rsid w:val="00763FEF"/>
    <w:rsid w:val="00764002"/>
    <w:rsid w:val="0076401E"/>
    <w:rsid w:val="007640C6"/>
    <w:rsid w:val="007640DB"/>
    <w:rsid w:val="007640F7"/>
    <w:rsid w:val="00764141"/>
    <w:rsid w:val="0076425D"/>
    <w:rsid w:val="0076426E"/>
    <w:rsid w:val="0076430D"/>
    <w:rsid w:val="00764384"/>
    <w:rsid w:val="00764396"/>
    <w:rsid w:val="007643AB"/>
    <w:rsid w:val="007643EA"/>
    <w:rsid w:val="00764438"/>
    <w:rsid w:val="00764462"/>
    <w:rsid w:val="0076447E"/>
    <w:rsid w:val="0076449C"/>
    <w:rsid w:val="007644B5"/>
    <w:rsid w:val="007644CF"/>
    <w:rsid w:val="00764541"/>
    <w:rsid w:val="007645D2"/>
    <w:rsid w:val="007645E0"/>
    <w:rsid w:val="007645EE"/>
    <w:rsid w:val="00764630"/>
    <w:rsid w:val="00764684"/>
    <w:rsid w:val="007646DC"/>
    <w:rsid w:val="00764706"/>
    <w:rsid w:val="00764794"/>
    <w:rsid w:val="007647C5"/>
    <w:rsid w:val="007647CE"/>
    <w:rsid w:val="00764817"/>
    <w:rsid w:val="0076484E"/>
    <w:rsid w:val="00764867"/>
    <w:rsid w:val="00764870"/>
    <w:rsid w:val="00764896"/>
    <w:rsid w:val="00764953"/>
    <w:rsid w:val="007649BF"/>
    <w:rsid w:val="00764A38"/>
    <w:rsid w:val="00764A90"/>
    <w:rsid w:val="00764AA1"/>
    <w:rsid w:val="00764AB1"/>
    <w:rsid w:val="00764B7B"/>
    <w:rsid w:val="00764B8E"/>
    <w:rsid w:val="00764BA7"/>
    <w:rsid w:val="00764C0F"/>
    <w:rsid w:val="00764C3A"/>
    <w:rsid w:val="00764C61"/>
    <w:rsid w:val="00764C68"/>
    <w:rsid w:val="00764C7A"/>
    <w:rsid w:val="00764D01"/>
    <w:rsid w:val="00764D3F"/>
    <w:rsid w:val="00764D81"/>
    <w:rsid w:val="00764D9D"/>
    <w:rsid w:val="00764DB9"/>
    <w:rsid w:val="00764DD2"/>
    <w:rsid w:val="00764ED0"/>
    <w:rsid w:val="00764F15"/>
    <w:rsid w:val="00764F4E"/>
    <w:rsid w:val="00764FE2"/>
    <w:rsid w:val="00765030"/>
    <w:rsid w:val="00765065"/>
    <w:rsid w:val="00765080"/>
    <w:rsid w:val="0076509C"/>
    <w:rsid w:val="007650B5"/>
    <w:rsid w:val="007650E0"/>
    <w:rsid w:val="007650E9"/>
    <w:rsid w:val="00765135"/>
    <w:rsid w:val="00765140"/>
    <w:rsid w:val="0076514C"/>
    <w:rsid w:val="0076518F"/>
    <w:rsid w:val="007651A0"/>
    <w:rsid w:val="007651BB"/>
    <w:rsid w:val="007651EF"/>
    <w:rsid w:val="007651FD"/>
    <w:rsid w:val="007652C5"/>
    <w:rsid w:val="00765308"/>
    <w:rsid w:val="00765372"/>
    <w:rsid w:val="007653A1"/>
    <w:rsid w:val="007653A8"/>
    <w:rsid w:val="007653FE"/>
    <w:rsid w:val="00765412"/>
    <w:rsid w:val="0076548B"/>
    <w:rsid w:val="0076549F"/>
    <w:rsid w:val="007654AD"/>
    <w:rsid w:val="007654C3"/>
    <w:rsid w:val="007654EA"/>
    <w:rsid w:val="007654FF"/>
    <w:rsid w:val="0076550B"/>
    <w:rsid w:val="00765541"/>
    <w:rsid w:val="00765618"/>
    <w:rsid w:val="0076565D"/>
    <w:rsid w:val="00765670"/>
    <w:rsid w:val="007656C1"/>
    <w:rsid w:val="007656D5"/>
    <w:rsid w:val="007656E5"/>
    <w:rsid w:val="0076572E"/>
    <w:rsid w:val="0076576A"/>
    <w:rsid w:val="0076578A"/>
    <w:rsid w:val="007657CF"/>
    <w:rsid w:val="007657EE"/>
    <w:rsid w:val="007657FF"/>
    <w:rsid w:val="0076580D"/>
    <w:rsid w:val="0076582F"/>
    <w:rsid w:val="00765897"/>
    <w:rsid w:val="007658A2"/>
    <w:rsid w:val="007658B4"/>
    <w:rsid w:val="007658E2"/>
    <w:rsid w:val="007658EE"/>
    <w:rsid w:val="0076590C"/>
    <w:rsid w:val="00765910"/>
    <w:rsid w:val="00765979"/>
    <w:rsid w:val="00765986"/>
    <w:rsid w:val="00765992"/>
    <w:rsid w:val="007659BF"/>
    <w:rsid w:val="00765A0F"/>
    <w:rsid w:val="00765A36"/>
    <w:rsid w:val="00765A4A"/>
    <w:rsid w:val="00765A6B"/>
    <w:rsid w:val="00765A7F"/>
    <w:rsid w:val="00765AA8"/>
    <w:rsid w:val="00765AD7"/>
    <w:rsid w:val="00765C51"/>
    <w:rsid w:val="00765C99"/>
    <w:rsid w:val="00765D4F"/>
    <w:rsid w:val="00765D64"/>
    <w:rsid w:val="00765D77"/>
    <w:rsid w:val="00765E1A"/>
    <w:rsid w:val="00765E83"/>
    <w:rsid w:val="00765EB2"/>
    <w:rsid w:val="00765F34"/>
    <w:rsid w:val="00765F8C"/>
    <w:rsid w:val="00765FB4"/>
    <w:rsid w:val="00765FBB"/>
    <w:rsid w:val="00765FDB"/>
    <w:rsid w:val="00765FF0"/>
    <w:rsid w:val="00766074"/>
    <w:rsid w:val="0076607F"/>
    <w:rsid w:val="0076608D"/>
    <w:rsid w:val="007660D9"/>
    <w:rsid w:val="007660F3"/>
    <w:rsid w:val="007660F5"/>
    <w:rsid w:val="00766100"/>
    <w:rsid w:val="00766148"/>
    <w:rsid w:val="0076615B"/>
    <w:rsid w:val="0076615C"/>
    <w:rsid w:val="0076617F"/>
    <w:rsid w:val="00766192"/>
    <w:rsid w:val="00766193"/>
    <w:rsid w:val="007661E8"/>
    <w:rsid w:val="007661ED"/>
    <w:rsid w:val="00766200"/>
    <w:rsid w:val="00766206"/>
    <w:rsid w:val="00766229"/>
    <w:rsid w:val="007662B8"/>
    <w:rsid w:val="00766334"/>
    <w:rsid w:val="0076634A"/>
    <w:rsid w:val="0076634C"/>
    <w:rsid w:val="0076639C"/>
    <w:rsid w:val="007663BE"/>
    <w:rsid w:val="007663C2"/>
    <w:rsid w:val="00766436"/>
    <w:rsid w:val="00766439"/>
    <w:rsid w:val="00766448"/>
    <w:rsid w:val="0076644E"/>
    <w:rsid w:val="007664B9"/>
    <w:rsid w:val="00766507"/>
    <w:rsid w:val="00766547"/>
    <w:rsid w:val="00766593"/>
    <w:rsid w:val="007665B4"/>
    <w:rsid w:val="007665CE"/>
    <w:rsid w:val="00766644"/>
    <w:rsid w:val="0076669A"/>
    <w:rsid w:val="007666C5"/>
    <w:rsid w:val="007666E9"/>
    <w:rsid w:val="00766711"/>
    <w:rsid w:val="00766750"/>
    <w:rsid w:val="00766765"/>
    <w:rsid w:val="0076678F"/>
    <w:rsid w:val="007667B2"/>
    <w:rsid w:val="007667CB"/>
    <w:rsid w:val="007667CE"/>
    <w:rsid w:val="0076681C"/>
    <w:rsid w:val="00766859"/>
    <w:rsid w:val="00766867"/>
    <w:rsid w:val="00766882"/>
    <w:rsid w:val="00766892"/>
    <w:rsid w:val="007668C7"/>
    <w:rsid w:val="007668E2"/>
    <w:rsid w:val="00766945"/>
    <w:rsid w:val="0076694B"/>
    <w:rsid w:val="007669C1"/>
    <w:rsid w:val="00766A32"/>
    <w:rsid w:val="00766A67"/>
    <w:rsid w:val="00766A6D"/>
    <w:rsid w:val="00766AD0"/>
    <w:rsid w:val="00766B2A"/>
    <w:rsid w:val="00766B3E"/>
    <w:rsid w:val="00766B8B"/>
    <w:rsid w:val="00766C05"/>
    <w:rsid w:val="00766C27"/>
    <w:rsid w:val="00766C44"/>
    <w:rsid w:val="00766C84"/>
    <w:rsid w:val="00766D99"/>
    <w:rsid w:val="00766DA2"/>
    <w:rsid w:val="00766DC4"/>
    <w:rsid w:val="00766DFE"/>
    <w:rsid w:val="00766E27"/>
    <w:rsid w:val="00766E29"/>
    <w:rsid w:val="00766ED4"/>
    <w:rsid w:val="00766EE8"/>
    <w:rsid w:val="00766F03"/>
    <w:rsid w:val="00766F22"/>
    <w:rsid w:val="00766F55"/>
    <w:rsid w:val="00766F8A"/>
    <w:rsid w:val="00766F98"/>
    <w:rsid w:val="00766FDF"/>
    <w:rsid w:val="00767001"/>
    <w:rsid w:val="00767095"/>
    <w:rsid w:val="007670C8"/>
    <w:rsid w:val="00767189"/>
    <w:rsid w:val="00767191"/>
    <w:rsid w:val="00767192"/>
    <w:rsid w:val="007671A6"/>
    <w:rsid w:val="00767214"/>
    <w:rsid w:val="00767216"/>
    <w:rsid w:val="00767249"/>
    <w:rsid w:val="007672C0"/>
    <w:rsid w:val="007672EB"/>
    <w:rsid w:val="00767343"/>
    <w:rsid w:val="00767388"/>
    <w:rsid w:val="007673B3"/>
    <w:rsid w:val="00767428"/>
    <w:rsid w:val="0076745A"/>
    <w:rsid w:val="00767473"/>
    <w:rsid w:val="007674BA"/>
    <w:rsid w:val="007674C0"/>
    <w:rsid w:val="00767531"/>
    <w:rsid w:val="00767550"/>
    <w:rsid w:val="007675B7"/>
    <w:rsid w:val="007675CC"/>
    <w:rsid w:val="007675CD"/>
    <w:rsid w:val="007675FE"/>
    <w:rsid w:val="00767679"/>
    <w:rsid w:val="00767692"/>
    <w:rsid w:val="00767693"/>
    <w:rsid w:val="007676E3"/>
    <w:rsid w:val="00767729"/>
    <w:rsid w:val="00767743"/>
    <w:rsid w:val="0076775C"/>
    <w:rsid w:val="00767773"/>
    <w:rsid w:val="00767781"/>
    <w:rsid w:val="007677A6"/>
    <w:rsid w:val="007677C1"/>
    <w:rsid w:val="00767818"/>
    <w:rsid w:val="007678A6"/>
    <w:rsid w:val="007678FE"/>
    <w:rsid w:val="0076795C"/>
    <w:rsid w:val="0076796A"/>
    <w:rsid w:val="00767973"/>
    <w:rsid w:val="0076798E"/>
    <w:rsid w:val="00767990"/>
    <w:rsid w:val="007679E8"/>
    <w:rsid w:val="007679F7"/>
    <w:rsid w:val="00767A0E"/>
    <w:rsid w:val="00767A42"/>
    <w:rsid w:val="00767A75"/>
    <w:rsid w:val="00767AB7"/>
    <w:rsid w:val="00767AE7"/>
    <w:rsid w:val="00767B3E"/>
    <w:rsid w:val="00767B5E"/>
    <w:rsid w:val="00767BA3"/>
    <w:rsid w:val="00767BCC"/>
    <w:rsid w:val="00767BFA"/>
    <w:rsid w:val="00767C0C"/>
    <w:rsid w:val="00767C9C"/>
    <w:rsid w:val="00767D0D"/>
    <w:rsid w:val="00767D2F"/>
    <w:rsid w:val="00767DB8"/>
    <w:rsid w:val="00767DCD"/>
    <w:rsid w:val="00767DD0"/>
    <w:rsid w:val="00767E1B"/>
    <w:rsid w:val="00767E2B"/>
    <w:rsid w:val="00767E37"/>
    <w:rsid w:val="00767E85"/>
    <w:rsid w:val="00767EAB"/>
    <w:rsid w:val="00767EF9"/>
    <w:rsid w:val="00767F4D"/>
    <w:rsid w:val="00767FAB"/>
    <w:rsid w:val="00767FC5"/>
    <w:rsid w:val="00767FC7"/>
    <w:rsid w:val="00767FE7"/>
    <w:rsid w:val="00770049"/>
    <w:rsid w:val="0077004D"/>
    <w:rsid w:val="00770092"/>
    <w:rsid w:val="007700B4"/>
    <w:rsid w:val="007700E4"/>
    <w:rsid w:val="007700E7"/>
    <w:rsid w:val="0077013F"/>
    <w:rsid w:val="00770165"/>
    <w:rsid w:val="007701DB"/>
    <w:rsid w:val="007701F9"/>
    <w:rsid w:val="007701FE"/>
    <w:rsid w:val="0077020B"/>
    <w:rsid w:val="0077022E"/>
    <w:rsid w:val="0077024C"/>
    <w:rsid w:val="0077029D"/>
    <w:rsid w:val="0077030C"/>
    <w:rsid w:val="00770396"/>
    <w:rsid w:val="007703D3"/>
    <w:rsid w:val="007703F2"/>
    <w:rsid w:val="0077040E"/>
    <w:rsid w:val="00770422"/>
    <w:rsid w:val="00770457"/>
    <w:rsid w:val="0077048F"/>
    <w:rsid w:val="00770492"/>
    <w:rsid w:val="007704A7"/>
    <w:rsid w:val="007704B6"/>
    <w:rsid w:val="007704EA"/>
    <w:rsid w:val="00770537"/>
    <w:rsid w:val="007705B3"/>
    <w:rsid w:val="007706E7"/>
    <w:rsid w:val="00770720"/>
    <w:rsid w:val="0077078E"/>
    <w:rsid w:val="007707F7"/>
    <w:rsid w:val="0077082C"/>
    <w:rsid w:val="00770858"/>
    <w:rsid w:val="0077086C"/>
    <w:rsid w:val="007708DC"/>
    <w:rsid w:val="007708F0"/>
    <w:rsid w:val="00770908"/>
    <w:rsid w:val="00770968"/>
    <w:rsid w:val="0077098C"/>
    <w:rsid w:val="00770A08"/>
    <w:rsid w:val="00770A30"/>
    <w:rsid w:val="00770A58"/>
    <w:rsid w:val="00770B11"/>
    <w:rsid w:val="00770B12"/>
    <w:rsid w:val="00770B23"/>
    <w:rsid w:val="00770B42"/>
    <w:rsid w:val="00770B6E"/>
    <w:rsid w:val="00770B78"/>
    <w:rsid w:val="00770B7C"/>
    <w:rsid w:val="00770B86"/>
    <w:rsid w:val="00770B9A"/>
    <w:rsid w:val="00770B9B"/>
    <w:rsid w:val="00770BA3"/>
    <w:rsid w:val="00770BC8"/>
    <w:rsid w:val="00770BE3"/>
    <w:rsid w:val="00770CD2"/>
    <w:rsid w:val="00770D29"/>
    <w:rsid w:val="00770D7C"/>
    <w:rsid w:val="00770D88"/>
    <w:rsid w:val="00770D96"/>
    <w:rsid w:val="00770DD2"/>
    <w:rsid w:val="00770E2C"/>
    <w:rsid w:val="00770E57"/>
    <w:rsid w:val="00770E95"/>
    <w:rsid w:val="00770EEE"/>
    <w:rsid w:val="00770F0B"/>
    <w:rsid w:val="00770F6A"/>
    <w:rsid w:val="00770FE3"/>
    <w:rsid w:val="0077111C"/>
    <w:rsid w:val="00771142"/>
    <w:rsid w:val="00771162"/>
    <w:rsid w:val="007711C1"/>
    <w:rsid w:val="0077121E"/>
    <w:rsid w:val="00771254"/>
    <w:rsid w:val="007712AD"/>
    <w:rsid w:val="007712F9"/>
    <w:rsid w:val="0077130F"/>
    <w:rsid w:val="00771380"/>
    <w:rsid w:val="007713A5"/>
    <w:rsid w:val="007713E3"/>
    <w:rsid w:val="00771428"/>
    <w:rsid w:val="0077144B"/>
    <w:rsid w:val="00771453"/>
    <w:rsid w:val="0077146A"/>
    <w:rsid w:val="007714CF"/>
    <w:rsid w:val="0077153B"/>
    <w:rsid w:val="00771593"/>
    <w:rsid w:val="007715AE"/>
    <w:rsid w:val="007715C4"/>
    <w:rsid w:val="0077161A"/>
    <w:rsid w:val="00771682"/>
    <w:rsid w:val="007716E0"/>
    <w:rsid w:val="00771708"/>
    <w:rsid w:val="0077175F"/>
    <w:rsid w:val="007717E0"/>
    <w:rsid w:val="00771802"/>
    <w:rsid w:val="0077181B"/>
    <w:rsid w:val="00771878"/>
    <w:rsid w:val="007718A4"/>
    <w:rsid w:val="007718BE"/>
    <w:rsid w:val="007718EA"/>
    <w:rsid w:val="007718F5"/>
    <w:rsid w:val="0077190B"/>
    <w:rsid w:val="00771949"/>
    <w:rsid w:val="007719AD"/>
    <w:rsid w:val="007719D4"/>
    <w:rsid w:val="00771A05"/>
    <w:rsid w:val="00771A36"/>
    <w:rsid w:val="00771A54"/>
    <w:rsid w:val="00771A61"/>
    <w:rsid w:val="00771A8F"/>
    <w:rsid w:val="00771B07"/>
    <w:rsid w:val="00771B3C"/>
    <w:rsid w:val="00771B57"/>
    <w:rsid w:val="00771B6A"/>
    <w:rsid w:val="00771C2D"/>
    <w:rsid w:val="00771C49"/>
    <w:rsid w:val="00771C4D"/>
    <w:rsid w:val="00771D4F"/>
    <w:rsid w:val="00771DA3"/>
    <w:rsid w:val="00771E16"/>
    <w:rsid w:val="00771E47"/>
    <w:rsid w:val="00771EC9"/>
    <w:rsid w:val="00771F0C"/>
    <w:rsid w:val="00771F32"/>
    <w:rsid w:val="00771F4C"/>
    <w:rsid w:val="00771F5D"/>
    <w:rsid w:val="00771F74"/>
    <w:rsid w:val="00771FA9"/>
    <w:rsid w:val="00771FD9"/>
    <w:rsid w:val="00771FE9"/>
    <w:rsid w:val="00771FF4"/>
    <w:rsid w:val="00772000"/>
    <w:rsid w:val="0077200C"/>
    <w:rsid w:val="00772035"/>
    <w:rsid w:val="00772054"/>
    <w:rsid w:val="00772061"/>
    <w:rsid w:val="007720BE"/>
    <w:rsid w:val="007720C1"/>
    <w:rsid w:val="007720C7"/>
    <w:rsid w:val="007720CC"/>
    <w:rsid w:val="00772147"/>
    <w:rsid w:val="00772158"/>
    <w:rsid w:val="00772171"/>
    <w:rsid w:val="0077218A"/>
    <w:rsid w:val="007721D8"/>
    <w:rsid w:val="007721F4"/>
    <w:rsid w:val="0077224F"/>
    <w:rsid w:val="00772278"/>
    <w:rsid w:val="00772361"/>
    <w:rsid w:val="0077238B"/>
    <w:rsid w:val="0077238F"/>
    <w:rsid w:val="00772418"/>
    <w:rsid w:val="0077245B"/>
    <w:rsid w:val="007724A0"/>
    <w:rsid w:val="007724F6"/>
    <w:rsid w:val="00772541"/>
    <w:rsid w:val="00772560"/>
    <w:rsid w:val="00772596"/>
    <w:rsid w:val="0077259D"/>
    <w:rsid w:val="007725C2"/>
    <w:rsid w:val="007725D6"/>
    <w:rsid w:val="007725FA"/>
    <w:rsid w:val="0077269E"/>
    <w:rsid w:val="007726A0"/>
    <w:rsid w:val="007726BE"/>
    <w:rsid w:val="007726C4"/>
    <w:rsid w:val="00772705"/>
    <w:rsid w:val="00772790"/>
    <w:rsid w:val="007727A9"/>
    <w:rsid w:val="007727D9"/>
    <w:rsid w:val="00772801"/>
    <w:rsid w:val="00772803"/>
    <w:rsid w:val="00772836"/>
    <w:rsid w:val="0077285E"/>
    <w:rsid w:val="007728E8"/>
    <w:rsid w:val="00772914"/>
    <w:rsid w:val="0077299A"/>
    <w:rsid w:val="00772A13"/>
    <w:rsid w:val="00772A27"/>
    <w:rsid w:val="00772A79"/>
    <w:rsid w:val="00772A80"/>
    <w:rsid w:val="00772ABD"/>
    <w:rsid w:val="00772AF4"/>
    <w:rsid w:val="00772AF7"/>
    <w:rsid w:val="00772B2E"/>
    <w:rsid w:val="00772BD1"/>
    <w:rsid w:val="00772C16"/>
    <w:rsid w:val="00772C4E"/>
    <w:rsid w:val="00772C59"/>
    <w:rsid w:val="00772C75"/>
    <w:rsid w:val="00772C7F"/>
    <w:rsid w:val="00772C97"/>
    <w:rsid w:val="00772CC2"/>
    <w:rsid w:val="00772CC4"/>
    <w:rsid w:val="00772CD8"/>
    <w:rsid w:val="00772CFB"/>
    <w:rsid w:val="00772D17"/>
    <w:rsid w:val="00772D30"/>
    <w:rsid w:val="00772D7D"/>
    <w:rsid w:val="00772D99"/>
    <w:rsid w:val="00772E00"/>
    <w:rsid w:val="00772E29"/>
    <w:rsid w:val="00772E78"/>
    <w:rsid w:val="00772EF8"/>
    <w:rsid w:val="00772F12"/>
    <w:rsid w:val="00772F2C"/>
    <w:rsid w:val="00772F40"/>
    <w:rsid w:val="00772F57"/>
    <w:rsid w:val="00773010"/>
    <w:rsid w:val="0077304C"/>
    <w:rsid w:val="00773080"/>
    <w:rsid w:val="007730CA"/>
    <w:rsid w:val="00773150"/>
    <w:rsid w:val="00773176"/>
    <w:rsid w:val="00773187"/>
    <w:rsid w:val="007731D0"/>
    <w:rsid w:val="0077324B"/>
    <w:rsid w:val="00773267"/>
    <w:rsid w:val="00773296"/>
    <w:rsid w:val="007732E7"/>
    <w:rsid w:val="00773307"/>
    <w:rsid w:val="0077333D"/>
    <w:rsid w:val="007733A1"/>
    <w:rsid w:val="007733BC"/>
    <w:rsid w:val="007733C1"/>
    <w:rsid w:val="007733D3"/>
    <w:rsid w:val="0077340D"/>
    <w:rsid w:val="00773445"/>
    <w:rsid w:val="00773455"/>
    <w:rsid w:val="007734B0"/>
    <w:rsid w:val="007734B2"/>
    <w:rsid w:val="0077351F"/>
    <w:rsid w:val="0077352B"/>
    <w:rsid w:val="0077354A"/>
    <w:rsid w:val="0077355E"/>
    <w:rsid w:val="0077358C"/>
    <w:rsid w:val="00773625"/>
    <w:rsid w:val="00773637"/>
    <w:rsid w:val="00773684"/>
    <w:rsid w:val="007736AA"/>
    <w:rsid w:val="00773718"/>
    <w:rsid w:val="0077373C"/>
    <w:rsid w:val="0077377B"/>
    <w:rsid w:val="00773782"/>
    <w:rsid w:val="0077378F"/>
    <w:rsid w:val="007737A9"/>
    <w:rsid w:val="007737FB"/>
    <w:rsid w:val="00773824"/>
    <w:rsid w:val="0077384B"/>
    <w:rsid w:val="0077386F"/>
    <w:rsid w:val="00773889"/>
    <w:rsid w:val="007738C9"/>
    <w:rsid w:val="00773904"/>
    <w:rsid w:val="007739D4"/>
    <w:rsid w:val="007739FD"/>
    <w:rsid w:val="00773A78"/>
    <w:rsid w:val="00773A81"/>
    <w:rsid w:val="00773A84"/>
    <w:rsid w:val="00773AA9"/>
    <w:rsid w:val="00773AD7"/>
    <w:rsid w:val="00773AE6"/>
    <w:rsid w:val="00773AF9"/>
    <w:rsid w:val="00773B48"/>
    <w:rsid w:val="00773B58"/>
    <w:rsid w:val="00773B5F"/>
    <w:rsid w:val="00773B8B"/>
    <w:rsid w:val="00773BEC"/>
    <w:rsid w:val="00773C04"/>
    <w:rsid w:val="00773C2A"/>
    <w:rsid w:val="00773C3A"/>
    <w:rsid w:val="00773C6C"/>
    <w:rsid w:val="00773C8B"/>
    <w:rsid w:val="00773CB4"/>
    <w:rsid w:val="00773CF8"/>
    <w:rsid w:val="00773CFB"/>
    <w:rsid w:val="00773D01"/>
    <w:rsid w:val="00773D37"/>
    <w:rsid w:val="00773D4E"/>
    <w:rsid w:val="00773D68"/>
    <w:rsid w:val="00773D6C"/>
    <w:rsid w:val="00773DB1"/>
    <w:rsid w:val="00773DD2"/>
    <w:rsid w:val="00773DF9"/>
    <w:rsid w:val="00773E1B"/>
    <w:rsid w:val="00773E94"/>
    <w:rsid w:val="00773EE9"/>
    <w:rsid w:val="00773F19"/>
    <w:rsid w:val="00773F38"/>
    <w:rsid w:val="00773F7F"/>
    <w:rsid w:val="00773F85"/>
    <w:rsid w:val="00773F89"/>
    <w:rsid w:val="00773FBC"/>
    <w:rsid w:val="00773FF0"/>
    <w:rsid w:val="00773FF5"/>
    <w:rsid w:val="00774011"/>
    <w:rsid w:val="0077401F"/>
    <w:rsid w:val="0077403B"/>
    <w:rsid w:val="00774079"/>
    <w:rsid w:val="007740DB"/>
    <w:rsid w:val="00774144"/>
    <w:rsid w:val="0077418D"/>
    <w:rsid w:val="00774199"/>
    <w:rsid w:val="007742B7"/>
    <w:rsid w:val="007742E7"/>
    <w:rsid w:val="007742F5"/>
    <w:rsid w:val="00774305"/>
    <w:rsid w:val="00774328"/>
    <w:rsid w:val="00774337"/>
    <w:rsid w:val="00774378"/>
    <w:rsid w:val="007743AE"/>
    <w:rsid w:val="007743C2"/>
    <w:rsid w:val="0077444A"/>
    <w:rsid w:val="007744DD"/>
    <w:rsid w:val="007744E9"/>
    <w:rsid w:val="0077454F"/>
    <w:rsid w:val="00774552"/>
    <w:rsid w:val="00774556"/>
    <w:rsid w:val="0077455C"/>
    <w:rsid w:val="007745AA"/>
    <w:rsid w:val="007745D4"/>
    <w:rsid w:val="007745F3"/>
    <w:rsid w:val="0077463C"/>
    <w:rsid w:val="0077464B"/>
    <w:rsid w:val="00774683"/>
    <w:rsid w:val="00774696"/>
    <w:rsid w:val="007746A1"/>
    <w:rsid w:val="007746EC"/>
    <w:rsid w:val="00774720"/>
    <w:rsid w:val="0077473C"/>
    <w:rsid w:val="0077478C"/>
    <w:rsid w:val="0077478D"/>
    <w:rsid w:val="007747F5"/>
    <w:rsid w:val="00774818"/>
    <w:rsid w:val="0077482F"/>
    <w:rsid w:val="00774861"/>
    <w:rsid w:val="00774872"/>
    <w:rsid w:val="00774873"/>
    <w:rsid w:val="00774898"/>
    <w:rsid w:val="007748B7"/>
    <w:rsid w:val="007748C6"/>
    <w:rsid w:val="007748F3"/>
    <w:rsid w:val="00774928"/>
    <w:rsid w:val="00774949"/>
    <w:rsid w:val="00774966"/>
    <w:rsid w:val="00774994"/>
    <w:rsid w:val="007749DB"/>
    <w:rsid w:val="007749E2"/>
    <w:rsid w:val="00774A29"/>
    <w:rsid w:val="00774A32"/>
    <w:rsid w:val="00774A3F"/>
    <w:rsid w:val="00774A43"/>
    <w:rsid w:val="00774B12"/>
    <w:rsid w:val="00774B31"/>
    <w:rsid w:val="00774B95"/>
    <w:rsid w:val="00774BA2"/>
    <w:rsid w:val="00774BF6"/>
    <w:rsid w:val="00774C02"/>
    <w:rsid w:val="00774C17"/>
    <w:rsid w:val="00774C43"/>
    <w:rsid w:val="00774C4A"/>
    <w:rsid w:val="00774C70"/>
    <w:rsid w:val="00774CBB"/>
    <w:rsid w:val="00774CD8"/>
    <w:rsid w:val="00774CD9"/>
    <w:rsid w:val="00774D0B"/>
    <w:rsid w:val="00774D3C"/>
    <w:rsid w:val="00774D7E"/>
    <w:rsid w:val="00774D9E"/>
    <w:rsid w:val="00774DED"/>
    <w:rsid w:val="00774DF9"/>
    <w:rsid w:val="00774F06"/>
    <w:rsid w:val="00774F33"/>
    <w:rsid w:val="00774F50"/>
    <w:rsid w:val="00774FD4"/>
    <w:rsid w:val="00774FD8"/>
    <w:rsid w:val="00774FDC"/>
    <w:rsid w:val="0077501C"/>
    <w:rsid w:val="00775067"/>
    <w:rsid w:val="00775080"/>
    <w:rsid w:val="0077509C"/>
    <w:rsid w:val="007750D9"/>
    <w:rsid w:val="00775112"/>
    <w:rsid w:val="007751A6"/>
    <w:rsid w:val="007751DD"/>
    <w:rsid w:val="00775232"/>
    <w:rsid w:val="007752A5"/>
    <w:rsid w:val="00775395"/>
    <w:rsid w:val="0077539B"/>
    <w:rsid w:val="007753A8"/>
    <w:rsid w:val="007753EE"/>
    <w:rsid w:val="007753F4"/>
    <w:rsid w:val="00775402"/>
    <w:rsid w:val="00775476"/>
    <w:rsid w:val="007754EC"/>
    <w:rsid w:val="007754FF"/>
    <w:rsid w:val="00775507"/>
    <w:rsid w:val="00775568"/>
    <w:rsid w:val="007755CE"/>
    <w:rsid w:val="007755E3"/>
    <w:rsid w:val="00775627"/>
    <w:rsid w:val="00775654"/>
    <w:rsid w:val="00775665"/>
    <w:rsid w:val="00775756"/>
    <w:rsid w:val="0077575F"/>
    <w:rsid w:val="00775785"/>
    <w:rsid w:val="007757A6"/>
    <w:rsid w:val="007757C5"/>
    <w:rsid w:val="007757CF"/>
    <w:rsid w:val="007757D6"/>
    <w:rsid w:val="007757FE"/>
    <w:rsid w:val="0077585B"/>
    <w:rsid w:val="0077585C"/>
    <w:rsid w:val="007758C1"/>
    <w:rsid w:val="00775904"/>
    <w:rsid w:val="0077591E"/>
    <w:rsid w:val="00775929"/>
    <w:rsid w:val="00775951"/>
    <w:rsid w:val="00775969"/>
    <w:rsid w:val="00775983"/>
    <w:rsid w:val="007759CE"/>
    <w:rsid w:val="00775A3C"/>
    <w:rsid w:val="00775A90"/>
    <w:rsid w:val="00775A9A"/>
    <w:rsid w:val="00775AE0"/>
    <w:rsid w:val="00775B20"/>
    <w:rsid w:val="00775B46"/>
    <w:rsid w:val="00775B48"/>
    <w:rsid w:val="00775B74"/>
    <w:rsid w:val="00775B9B"/>
    <w:rsid w:val="00775C27"/>
    <w:rsid w:val="00775C42"/>
    <w:rsid w:val="00775C48"/>
    <w:rsid w:val="00775C72"/>
    <w:rsid w:val="00775D29"/>
    <w:rsid w:val="00775D4C"/>
    <w:rsid w:val="00775D5D"/>
    <w:rsid w:val="00775D70"/>
    <w:rsid w:val="00775D7B"/>
    <w:rsid w:val="00775D9F"/>
    <w:rsid w:val="00775E33"/>
    <w:rsid w:val="00775E54"/>
    <w:rsid w:val="00775E87"/>
    <w:rsid w:val="00775E89"/>
    <w:rsid w:val="00775ED5"/>
    <w:rsid w:val="00775F5E"/>
    <w:rsid w:val="00775F61"/>
    <w:rsid w:val="00775F77"/>
    <w:rsid w:val="00775FD4"/>
    <w:rsid w:val="00775FF8"/>
    <w:rsid w:val="00775FFF"/>
    <w:rsid w:val="00776005"/>
    <w:rsid w:val="0077608A"/>
    <w:rsid w:val="0077609B"/>
    <w:rsid w:val="007760EF"/>
    <w:rsid w:val="00776118"/>
    <w:rsid w:val="00776125"/>
    <w:rsid w:val="007761DF"/>
    <w:rsid w:val="0077622E"/>
    <w:rsid w:val="00776241"/>
    <w:rsid w:val="00776286"/>
    <w:rsid w:val="007762E9"/>
    <w:rsid w:val="007762F7"/>
    <w:rsid w:val="0077635C"/>
    <w:rsid w:val="00776419"/>
    <w:rsid w:val="00776442"/>
    <w:rsid w:val="007764A6"/>
    <w:rsid w:val="007764DB"/>
    <w:rsid w:val="00776501"/>
    <w:rsid w:val="00776536"/>
    <w:rsid w:val="0077658E"/>
    <w:rsid w:val="007765A8"/>
    <w:rsid w:val="007765E6"/>
    <w:rsid w:val="00776604"/>
    <w:rsid w:val="0077660A"/>
    <w:rsid w:val="0077661B"/>
    <w:rsid w:val="00776659"/>
    <w:rsid w:val="0077665C"/>
    <w:rsid w:val="0077665D"/>
    <w:rsid w:val="0077665F"/>
    <w:rsid w:val="00776679"/>
    <w:rsid w:val="0077668E"/>
    <w:rsid w:val="007766E4"/>
    <w:rsid w:val="0077673D"/>
    <w:rsid w:val="0077676B"/>
    <w:rsid w:val="00776795"/>
    <w:rsid w:val="00776829"/>
    <w:rsid w:val="00776830"/>
    <w:rsid w:val="00776867"/>
    <w:rsid w:val="007768DB"/>
    <w:rsid w:val="0077693E"/>
    <w:rsid w:val="00776956"/>
    <w:rsid w:val="00776966"/>
    <w:rsid w:val="0077699D"/>
    <w:rsid w:val="007769E0"/>
    <w:rsid w:val="007769F2"/>
    <w:rsid w:val="00776A17"/>
    <w:rsid w:val="00776A3D"/>
    <w:rsid w:val="00776A85"/>
    <w:rsid w:val="00776AD8"/>
    <w:rsid w:val="00776AEA"/>
    <w:rsid w:val="00776B23"/>
    <w:rsid w:val="00776B3B"/>
    <w:rsid w:val="00776B4F"/>
    <w:rsid w:val="00776B75"/>
    <w:rsid w:val="00776B7B"/>
    <w:rsid w:val="00776B84"/>
    <w:rsid w:val="00776B85"/>
    <w:rsid w:val="00776BAB"/>
    <w:rsid w:val="00776BB0"/>
    <w:rsid w:val="00776C03"/>
    <w:rsid w:val="00776C87"/>
    <w:rsid w:val="00776D93"/>
    <w:rsid w:val="00776DD2"/>
    <w:rsid w:val="00776E2D"/>
    <w:rsid w:val="00776F02"/>
    <w:rsid w:val="00776F07"/>
    <w:rsid w:val="00776F2C"/>
    <w:rsid w:val="00776F58"/>
    <w:rsid w:val="00776FC4"/>
    <w:rsid w:val="00776FDD"/>
    <w:rsid w:val="00776FE7"/>
    <w:rsid w:val="0077700A"/>
    <w:rsid w:val="00777031"/>
    <w:rsid w:val="00777033"/>
    <w:rsid w:val="00777038"/>
    <w:rsid w:val="00777093"/>
    <w:rsid w:val="0077709D"/>
    <w:rsid w:val="007770C5"/>
    <w:rsid w:val="0077712F"/>
    <w:rsid w:val="0077717C"/>
    <w:rsid w:val="00777191"/>
    <w:rsid w:val="007771D7"/>
    <w:rsid w:val="0077722C"/>
    <w:rsid w:val="00777251"/>
    <w:rsid w:val="0077725C"/>
    <w:rsid w:val="00777330"/>
    <w:rsid w:val="00777354"/>
    <w:rsid w:val="0077735D"/>
    <w:rsid w:val="00777398"/>
    <w:rsid w:val="007773E8"/>
    <w:rsid w:val="0077741F"/>
    <w:rsid w:val="0077742F"/>
    <w:rsid w:val="007774A6"/>
    <w:rsid w:val="007774B1"/>
    <w:rsid w:val="00777528"/>
    <w:rsid w:val="007775C8"/>
    <w:rsid w:val="007775D7"/>
    <w:rsid w:val="007775F6"/>
    <w:rsid w:val="0077764D"/>
    <w:rsid w:val="007776AD"/>
    <w:rsid w:val="007776BB"/>
    <w:rsid w:val="00777743"/>
    <w:rsid w:val="00777754"/>
    <w:rsid w:val="0077776C"/>
    <w:rsid w:val="007777C6"/>
    <w:rsid w:val="0077781A"/>
    <w:rsid w:val="00777861"/>
    <w:rsid w:val="0077787D"/>
    <w:rsid w:val="00777881"/>
    <w:rsid w:val="007778BB"/>
    <w:rsid w:val="00777956"/>
    <w:rsid w:val="00777965"/>
    <w:rsid w:val="0077796B"/>
    <w:rsid w:val="00777995"/>
    <w:rsid w:val="007779D3"/>
    <w:rsid w:val="007779E3"/>
    <w:rsid w:val="007779FC"/>
    <w:rsid w:val="00777AAB"/>
    <w:rsid w:val="00777BC3"/>
    <w:rsid w:val="00777BC4"/>
    <w:rsid w:val="00777BD5"/>
    <w:rsid w:val="00777CFE"/>
    <w:rsid w:val="00777D7C"/>
    <w:rsid w:val="00777D96"/>
    <w:rsid w:val="00777DD0"/>
    <w:rsid w:val="00777DD6"/>
    <w:rsid w:val="00777E1D"/>
    <w:rsid w:val="00777E72"/>
    <w:rsid w:val="00777E85"/>
    <w:rsid w:val="00777E87"/>
    <w:rsid w:val="00777E98"/>
    <w:rsid w:val="00777EAE"/>
    <w:rsid w:val="00777EC7"/>
    <w:rsid w:val="00777F2F"/>
    <w:rsid w:val="00777F80"/>
    <w:rsid w:val="00777F8B"/>
    <w:rsid w:val="007800B8"/>
    <w:rsid w:val="007800CC"/>
    <w:rsid w:val="00780116"/>
    <w:rsid w:val="0078011E"/>
    <w:rsid w:val="00780137"/>
    <w:rsid w:val="00780155"/>
    <w:rsid w:val="0078017B"/>
    <w:rsid w:val="0078017D"/>
    <w:rsid w:val="00780182"/>
    <w:rsid w:val="00780254"/>
    <w:rsid w:val="00780296"/>
    <w:rsid w:val="007802BE"/>
    <w:rsid w:val="007802E8"/>
    <w:rsid w:val="00780306"/>
    <w:rsid w:val="00780309"/>
    <w:rsid w:val="0078031D"/>
    <w:rsid w:val="0078033D"/>
    <w:rsid w:val="0078035B"/>
    <w:rsid w:val="007803F5"/>
    <w:rsid w:val="0078043D"/>
    <w:rsid w:val="00780451"/>
    <w:rsid w:val="00780484"/>
    <w:rsid w:val="007804EA"/>
    <w:rsid w:val="0078051A"/>
    <w:rsid w:val="00780553"/>
    <w:rsid w:val="00780563"/>
    <w:rsid w:val="007805F2"/>
    <w:rsid w:val="0078069C"/>
    <w:rsid w:val="007806FC"/>
    <w:rsid w:val="00780705"/>
    <w:rsid w:val="00780758"/>
    <w:rsid w:val="00780796"/>
    <w:rsid w:val="0078081E"/>
    <w:rsid w:val="00780835"/>
    <w:rsid w:val="00780843"/>
    <w:rsid w:val="0078084C"/>
    <w:rsid w:val="007808FA"/>
    <w:rsid w:val="00780929"/>
    <w:rsid w:val="00780940"/>
    <w:rsid w:val="00780964"/>
    <w:rsid w:val="0078097E"/>
    <w:rsid w:val="00780994"/>
    <w:rsid w:val="00780998"/>
    <w:rsid w:val="007809C4"/>
    <w:rsid w:val="00780A1F"/>
    <w:rsid w:val="00780A8D"/>
    <w:rsid w:val="00780B4B"/>
    <w:rsid w:val="00780BD2"/>
    <w:rsid w:val="00780C04"/>
    <w:rsid w:val="00780C2A"/>
    <w:rsid w:val="00780C30"/>
    <w:rsid w:val="00780C5A"/>
    <w:rsid w:val="00780C74"/>
    <w:rsid w:val="00780C7B"/>
    <w:rsid w:val="00780CC0"/>
    <w:rsid w:val="00780CF0"/>
    <w:rsid w:val="00780D4F"/>
    <w:rsid w:val="00780D55"/>
    <w:rsid w:val="00780D80"/>
    <w:rsid w:val="00780D92"/>
    <w:rsid w:val="00780DCE"/>
    <w:rsid w:val="00780DE4"/>
    <w:rsid w:val="00780E4E"/>
    <w:rsid w:val="00780ED3"/>
    <w:rsid w:val="00780F09"/>
    <w:rsid w:val="00780F42"/>
    <w:rsid w:val="00780F56"/>
    <w:rsid w:val="00780FD7"/>
    <w:rsid w:val="00781036"/>
    <w:rsid w:val="0078105B"/>
    <w:rsid w:val="00781097"/>
    <w:rsid w:val="00781207"/>
    <w:rsid w:val="0078120A"/>
    <w:rsid w:val="0078128F"/>
    <w:rsid w:val="007812E7"/>
    <w:rsid w:val="007812F8"/>
    <w:rsid w:val="0078130C"/>
    <w:rsid w:val="0078135C"/>
    <w:rsid w:val="007813A0"/>
    <w:rsid w:val="007813BE"/>
    <w:rsid w:val="007813CE"/>
    <w:rsid w:val="007813D5"/>
    <w:rsid w:val="00781419"/>
    <w:rsid w:val="00781420"/>
    <w:rsid w:val="0078144C"/>
    <w:rsid w:val="007814A3"/>
    <w:rsid w:val="007814DB"/>
    <w:rsid w:val="007814E1"/>
    <w:rsid w:val="007814EB"/>
    <w:rsid w:val="007814FC"/>
    <w:rsid w:val="00781522"/>
    <w:rsid w:val="0078156A"/>
    <w:rsid w:val="00781574"/>
    <w:rsid w:val="00781585"/>
    <w:rsid w:val="00781594"/>
    <w:rsid w:val="00781608"/>
    <w:rsid w:val="00781682"/>
    <w:rsid w:val="007816A6"/>
    <w:rsid w:val="007816BD"/>
    <w:rsid w:val="007817A7"/>
    <w:rsid w:val="007817BD"/>
    <w:rsid w:val="00781868"/>
    <w:rsid w:val="0078187A"/>
    <w:rsid w:val="007818DE"/>
    <w:rsid w:val="00781928"/>
    <w:rsid w:val="00781941"/>
    <w:rsid w:val="00781A4C"/>
    <w:rsid w:val="00781A59"/>
    <w:rsid w:val="00781A89"/>
    <w:rsid w:val="00781A97"/>
    <w:rsid w:val="00781ABA"/>
    <w:rsid w:val="00781ACB"/>
    <w:rsid w:val="00781AF5"/>
    <w:rsid w:val="00781B22"/>
    <w:rsid w:val="00781B56"/>
    <w:rsid w:val="00781BB8"/>
    <w:rsid w:val="00781BDA"/>
    <w:rsid w:val="00781BE3"/>
    <w:rsid w:val="00781BF3"/>
    <w:rsid w:val="00781C81"/>
    <w:rsid w:val="00781C97"/>
    <w:rsid w:val="00781CBC"/>
    <w:rsid w:val="00781CF3"/>
    <w:rsid w:val="00781D03"/>
    <w:rsid w:val="00781D20"/>
    <w:rsid w:val="00781D26"/>
    <w:rsid w:val="00781D2C"/>
    <w:rsid w:val="00781D89"/>
    <w:rsid w:val="00781D9C"/>
    <w:rsid w:val="00781E5E"/>
    <w:rsid w:val="00781E8A"/>
    <w:rsid w:val="00781F02"/>
    <w:rsid w:val="00781F3F"/>
    <w:rsid w:val="00781FAF"/>
    <w:rsid w:val="00781FBA"/>
    <w:rsid w:val="00782015"/>
    <w:rsid w:val="00782057"/>
    <w:rsid w:val="0078206C"/>
    <w:rsid w:val="00782097"/>
    <w:rsid w:val="007820A5"/>
    <w:rsid w:val="007820E0"/>
    <w:rsid w:val="007820ED"/>
    <w:rsid w:val="007820F2"/>
    <w:rsid w:val="00782117"/>
    <w:rsid w:val="0078211C"/>
    <w:rsid w:val="00782182"/>
    <w:rsid w:val="00782191"/>
    <w:rsid w:val="007821A5"/>
    <w:rsid w:val="00782210"/>
    <w:rsid w:val="00782233"/>
    <w:rsid w:val="0078224F"/>
    <w:rsid w:val="007822AB"/>
    <w:rsid w:val="007822D1"/>
    <w:rsid w:val="007822E1"/>
    <w:rsid w:val="00782303"/>
    <w:rsid w:val="00782346"/>
    <w:rsid w:val="00782350"/>
    <w:rsid w:val="00782383"/>
    <w:rsid w:val="0078238B"/>
    <w:rsid w:val="00782397"/>
    <w:rsid w:val="007823C9"/>
    <w:rsid w:val="007823FB"/>
    <w:rsid w:val="0078246B"/>
    <w:rsid w:val="00782478"/>
    <w:rsid w:val="007824AD"/>
    <w:rsid w:val="00782516"/>
    <w:rsid w:val="00782561"/>
    <w:rsid w:val="00782574"/>
    <w:rsid w:val="0078257C"/>
    <w:rsid w:val="007825A4"/>
    <w:rsid w:val="007825B4"/>
    <w:rsid w:val="007825CA"/>
    <w:rsid w:val="007825D5"/>
    <w:rsid w:val="007825EF"/>
    <w:rsid w:val="0078260E"/>
    <w:rsid w:val="00782678"/>
    <w:rsid w:val="00782719"/>
    <w:rsid w:val="00782728"/>
    <w:rsid w:val="00782747"/>
    <w:rsid w:val="007828A9"/>
    <w:rsid w:val="007828B0"/>
    <w:rsid w:val="007828E8"/>
    <w:rsid w:val="007829A1"/>
    <w:rsid w:val="007829E9"/>
    <w:rsid w:val="00782A0E"/>
    <w:rsid w:val="00782A48"/>
    <w:rsid w:val="00782A6D"/>
    <w:rsid w:val="00782A7B"/>
    <w:rsid w:val="00782A7D"/>
    <w:rsid w:val="00782A83"/>
    <w:rsid w:val="00782AA3"/>
    <w:rsid w:val="00782AD9"/>
    <w:rsid w:val="00782B0A"/>
    <w:rsid w:val="00782B1B"/>
    <w:rsid w:val="00782B47"/>
    <w:rsid w:val="00782B4D"/>
    <w:rsid w:val="00782B6B"/>
    <w:rsid w:val="00782B7A"/>
    <w:rsid w:val="00782BF5"/>
    <w:rsid w:val="00782C21"/>
    <w:rsid w:val="00782CD2"/>
    <w:rsid w:val="00782D05"/>
    <w:rsid w:val="00782D46"/>
    <w:rsid w:val="00782D98"/>
    <w:rsid w:val="00782D99"/>
    <w:rsid w:val="00782D9E"/>
    <w:rsid w:val="00782DAB"/>
    <w:rsid w:val="00782DB3"/>
    <w:rsid w:val="00782DBF"/>
    <w:rsid w:val="00782E8C"/>
    <w:rsid w:val="00782EC1"/>
    <w:rsid w:val="00782EF7"/>
    <w:rsid w:val="00782F2C"/>
    <w:rsid w:val="00782F52"/>
    <w:rsid w:val="00782F88"/>
    <w:rsid w:val="00782F98"/>
    <w:rsid w:val="00782FC1"/>
    <w:rsid w:val="00782FFB"/>
    <w:rsid w:val="0078301F"/>
    <w:rsid w:val="00783075"/>
    <w:rsid w:val="007830B9"/>
    <w:rsid w:val="00783132"/>
    <w:rsid w:val="00783146"/>
    <w:rsid w:val="0078318B"/>
    <w:rsid w:val="00783195"/>
    <w:rsid w:val="007831B2"/>
    <w:rsid w:val="007831E1"/>
    <w:rsid w:val="00783243"/>
    <w:rsid w:val="00783245"/>
    <w:rsid w:val="0078324C"/>
    <w:rsid w:val="0078332D"/>
    <w:rsid w:val="00783335"/>
    <w:rsid w:val="0078334C"/>
    <w:rsid w:val="00783382"/>
    <w:rsid w:val="00783409"/>
    <w:rsid w:val="0078341F"/>
    <w:rsid w:val="00783437"/>
    <w:rsid w:val="0078343E"/>
    <w:rsid w:val="0078345A"/>
    <w:rsid w:val="00783494"/>
    <w:rsid w:val="007834F7"/>
    <w:rsid w:val="00783500"/>
    <w:rsid w:val="00783506"/>
    <w:rsid w:val="00783537"/>
    <w:rsid w:val="00783538"/>
    <w:rsid w:val="00783568"/>
    <w:rsid w:val="007835C4"/>
    <w:rsid w:val="007835E8"/>
    <w:rsid w:val="007835F2"/>
    <w:rsid w:val="0078364B"/>
    <w:rsid w:val="00783652"/>
    <w:rsid w:val="007836F7"/>
    <w:rsid w:val="00783717"/>
    <w:rsid w:val="0078375A"/>
    <w:rsid w:val="00783796"/>
    <w:rsid w:val="007837AC"/>
    <w:rsid w:val="007837C0"/>
    <w:rsid w:val="007837E9"/>
    <w:rsid w:val="00783827"/>
    <w:rsid w:val="0078383F"/>
    <w:rsid w:val="00783856"/>
    <w:rsid w:val="00783954"/>
    <w:rsid w:val="0078397A"/>
    <w:rsid w:val="007839E7"/>
    <w:rsid w:val="007839FC"/>
    <w:rsid w:val="00783A06"/>
    <w:rsid w:val="00783A27"/>
    <w:rsid w:val="00783AAE"/>
    <w:rsid w:val="00783AEB"/>
    <w:rsid w:val="00783B20"/>
    <w:rsid w:val="00783B71"/>
    <w:rsid w:val="00783BA7"/>
    <w:rsid w:val="00783BCB"/>
    <w:rsid w:val="00783BEA"/>
    <w:rsid w:val="00783BEC"/>
    <w:rsid w:val="00783C21"/>
    <w:rsid w:val="00783C40"/>
    <w:rsid w:val="00783C49"/>
    <w:rsid w:val="00783C6B"/>
    <w:rsid w:val="00783C79"/>
    <w:rsid w:val="00783C85"/>
    <w:rsid w:val="00783CA2"/>
    <w:rsid w:val="00783D35"/>
    <w:rsid w:val="00783D9F"/>
    <w:rsid w:val="00783DB5"/>
    <w:rsid w:val="00783E05"/>
    <w:rsid w:val="00783E34"/>
    <w:rsid w:val="00783E58"/>
    <w:rsid w:val="00783E5D"/>
    <w:rsid w:val="00783EC3"/>
    <w:rsid w:val="00783ECB"/>
    <w:rsid w:val="00783EDE"/>
    <w:rsid w:val="00783EF0"/>
    <w:rsid w:val="00783F0A"/>
    <w:rsid w:val="00783F76"/>
    <w:rsid w:val="00783F9F"/>
    <w:rsid w:val="00783FD0"/>
    <w:rsid w:val="00783FF7"/>
    <w:rsid w:val="00784024"/>
    <w:rsid w:val="00784049"/>
    <w:rsid w:val="00784073"/>
    <w:rsid w:val="007840BE"/>
    <w:rsid w:val="007840FA"/>
    <w:rsid w:val="0078416D"/>
    <w:rsid w:val="007841FA"/>
    <w:rsid w:val="0078423E"/>
    <w:rsid w:val="0078427C"/>
    <w:rsid w:val="007842CD"/>
    <w:rsid w:val="007842EB"/>
    <w:rsid w:val="007842F9"/>
    <w:rsid w:val="00784303"/>
    <w:rsid w:val="00784395"/>
    <w:rsid w:val="007843B2"/>
    <w:rsid w:val="007843FF"/>
    <w:rsid w:val="00784433"/>
    <w:rsid w:val="00784442"/>
    <w:rsid w:val="007844BB"/>
    <w:rsid w:val="007844C1"/>
    <w:rsid w:val="007844DF"/>
    <w:rsid w:val="007844F0"/>
    <w:rsid w:val="00784510"/>
    <w:rsid w:val="00784527"/>
    <w:rsid w:val="0078457D"/>
    <w:rsid w:val="0078459B"/>
    <w:rsid w:val="007845A7"/>
    <w:rsid w:val="007845ED"/>
    <w:rsid w:val="0078462A"/>
    <w:rsid w:val="007846A8"/>
    <w:rsid w:val="007846C4"/>
    <w:rsid w:val="00784783"/>
    <w:rsid w:val="00784795"/>
    <w:rsid w:val="0078479B"/>
    <w:rsid w:val="007847BF"/>
    <w:rsid w:val="007847C2"/>
    <w:rsid w:val="007847C5"/>
    <w:rsid w:val="00784807"/>
    <w:rsid w:val="00784814"/>
    <w:rsid w:val="00784831"/>
    <w:rsid w:val="0078485C"/>
    <w:rsid w:val="00784896"/>
    <w:rsid w:val="007848ED"/>
    <w:rsid w:val="007849AA"/>
    <w:rsid w:val="007849AC"/>
    <w:rsid w:val="007849CD"/>
    <w:rsid w:val="007849D4"/>
    <w:rsid w:val="007849F6"/>
    <w:rsid w:val="00784A4A"/>
    <w:rsid w:val="00784A51"/>
    <w:rsid w:val="00784A53"/>
    <w:rsid w:val="00784AB9"/>
    <w:rsid w:val="00784ACD"/>
    <w:rsid w:val="00784B35"/>
    <w:rsid w:val="00784B50"/>
    <w:rsid w:val="00784B5D"/>
    <w:rsid w:val="00784B9A"/>
    <w:rsid w:val="00784BD7"/>
    <w:rsid w:val="00784BED"/>
    <w:rsid w:val="00784CA2"/>
    <w:rsid w:val="00784D31"/>
    <w:rsid w:val="00784D38"/>
    <w:rsid w:val="00784D3F"/>
    <w:rsid w:val="00784D5A"/>
    <w:rsid w:val="00784DD5"/>
    <w:rsid w:val="00784EA3"/>
    <w:rsid w:val="00784F59"/>
    <w:rsid w:val="00784F76"/>
    <w:rsid w:val="00784FB2"/>
    <w:rsid w:val="0078501B"/>
    <w:rsid w:val="00785045"/>
    <w:rsid w:val="0078508C"/>
    <w:rsid w:val="0078509B"/>
    <w:rsid w:val="007850FE"/>
    <w:rsid w:val="0078511C"/>
    <w:rsid w:val="0078513B"/>
    <w:rsid w:val="00785174"/>
    <w:rsid w:val="00785229"/>
    <w:rsid w:val="00785236"/>
    <w:rsid w:val="00785300"/>
    <w:rsid w:val="00785310"/>
    <w:rsid w:val="0078532D"/>
    <w:rsid w:val="00785355"/>
    <w:rsid w:val="0078537E"/>
    <w:rsid w:val="00785392"/>
    <w:rsid w:val="007853DC"/>
    <w:rsid w:val="007853E3"/>
    <w:rsid w:val="00785430"/>
    <w:rsid w:val="0078543F"/>
    <w:rsid w:val="00785485"/>
    <w:rsid w:val="00785497"/>
    <w:rsid w:val="007854B3"/>
    <w:rsid w:val="007855D4"/>
    <w:rsid w:val="0078563F"/>
    <w:rsid w:val="00785667"/>
    <w:rsid w:val="00785689"/>
    <w:rsid w:val="00785695"/>
    <w:rsid w:val="0078569F"/>
    <w:rsid w:val="007856F4"/>
    <w:rsid w:val="007856FD"/>
    <w:rsid w:val="00785707"/>
    <w:rsid w:val="0078570F"/>
    <w:rsid w:val="00785774"/>
    <w:rsid w:val="0078578B"/>
    <w:rsid w:val="00785837"/>
    <w:rsid w:val="007858D9"/>
    <w:rsid w:val="00785927"/>
    <w:rsid w:val="00785947"/>
    <w:rsid w:val="00785953"/>
    <w:rsid w:val="0078595E"/>
    <w:rsid w:val="00785A11"/>
    <w:rsid w:val="00785A4E"/>
    <w:rsid w:val="00785A5A"/>
    <w:rsid w:val="00785A6A"/>
    <w:rsid w:val="00785ACC"/>
    <w:rsid w:val="00785ADC"/>
    <w:rsid w:val="00785B19"/>
    <w:rsid w:val="00785B2C"/>
    <w:rsid w:val="00785B31"/>
    <w:rsid w:val="00785B51"/>
    <w:rsid w:val="00785B7C"/>
    <w:rsid w:val="00785BAC"/>
    <w:rsid w:val="00785BD0"/>
    <w:rsid w:val="00785C04"/>
    <w:rsid w:val="00785C16"/>
    <w:rsid w:val="00785C1E"/>
    <w:rsid w:val="00785C58"/>
    <w:rsid w:val="00785C5D"/>
    <w:rsid w:val="00785C69"/>
    <w:rsid w:val="00785CA9"/>
    <w:rsid w:val="00785CF6"/>
    <w:rsid w:val="00785D01"/>
    <w:rsid w:val="00785D9E"/>
    <w:rsid w:val="00785DAF"/>
    <w:rsid w:val="00785DDF"/>
    <w:rsid w:val="00785E1C"/>
    <w:rsid w:val="00785E1E"/>
    <w:rsid w:val="00785E2D"/>
    <w:rsid w:val="00785E3C"/>
    <w:rsid w:val="00785E44"/>
    <w:rsid w:val="00785EBF"/>
    <w:rsid w:val="00785F0A"/>
    <w:rsid w:val="00785F75"/>
    <w:rsid w:val="00785FF0"/>
    <w:rsid w:val="0078601D"/>
    <w:rsid w:val="00786028"/>
    <w:rsid w:val="007860B8"/>
    <w:rsid w:val="00786135"/>
    <w:rsid w:val="007861B4"/>
    <w:rsid w:val="007861CF"/>
    <w:rsid w:val="0078620B"/>
    <w:rsid w:val="00786288"/>
    <w:rsid w:val="00786291"/>
    <w:rsid w:val="0078634C"/>
    <w:rsid w:val="00786356"/>
    <w:rsid w:val="007863F8"/>
    <w:rsid w:val="00786444"/>
    <w:rsid w:val="00786463"/>
    <w:rsid w:val="00786470"/>
    <w:rsid w:val="00786473"/>
    <w:rsid w:val="00786486"/>
    <w:rsid w:val="007864D0"/>
    <w:rsid w:val="007864E7"/>
    <w:rsid w:val="00786514"/>
    <w:rsid w:val="007865C8"/>
    <w:rsid w:val="007865D5"/>
    <w:rsid w:val="00786612"/>
    <w:rsid w:val="007866A9"/>
    <w:rsid w:val="007866F2"/>
    <w:rsid w:val="0078671A"/>
    <w:rsid w:val="00786746"/>
    <w:rsid w:val="0078676E"/>
    <w:rsid w:val="007867CD"/>
    <w:rsid w:val="007867DD"/>
    <w:rsid w:val="00786800"/>
    <w:rsid w:val="0078681C"/>
    <w:rsid w:val="00786820"/>
    <w:rsid w:val="00786832"/>
    <w:rsid w:val="0078685D"/>
    <w:rsid w:val="00786885"/>
    <w:rsid w:val="007868D3"/>
    <w:rsid w:val="007868FC"/>
    <w:rsid w:val="00786932"/>
    <w:rsid w:val="007869AC"/>
    <w:rsid w:val="00786A07"/>
    <w:rsid w:val="00786A12"/>
    <w:rsid w:val="00786A44"/>
    <w:rsid w:val="00786A91"/>
    <w:rsid w:val="00786ADD"/>
    <w:rsid w:val="00786B3E"/>
    <w:rsid w:val="00786B63"/>
    <w:rsid w:val="00786B68"/>
    <w:rsid w:val="00786B7C"/>
    <w:rsid w:val="00786B83"/>
    <w:rsid w:val="00786BA8"/>
    <w:rsid w:val="00786BD0"/>
    <w:rsid w:val="00786BE4"/>
    <w:rsid w:val="00786BF6"/>
    <w:rsid w:val="00786C07"/>
    <w:rsid w:val="00786C0F"/>
    <w:rsid w:val="00786C52"/>
    <w:rsid w:val="00786C63"/>
    <w:rsid w:val="00786C77"/>
    <w:rsid w:val="00786CEE"/>
    <w:rsid w:val="00786E06"/>
    <w:rsid w:val="00786E0B"/>
    <w:rsid w:val="00786E46"/>
    <w:rsid w:val="00786E7B"/>
    <w:rsid w:val="00786ECA"/>
    <w:rsid w:val="00786F0A"/>
    <w:rsid w:val="00786F21"/>
    <w:rsid w:val="00786F62"/>
    <w:rsid w:val="00786F69"/>
    <w:rsid w:val="00786F7F"/>
    <w:rsid w:val="00786FC1"/>
    <w:rsid w:val="00786FC6"/>
    <w:rsid w:val="00786FCA"/>
    <w:rsid w:val="00787023"/>
    <w:rsid w:val="00787031"/>
    <w:rsid w:val="0078704B"/>
    <w:rsid w:val="0078704D"/>
    <w:rsid w:val="00787065"/>
    <w:rsid w:val="007870CD"/>
    <w:rsid w:val="007870D2"/>
    <w:rsid w:val="007870DA"/>
    <w:rsid w:val="007870E8"/>
    <w:rsid w:val="00787102"/>
    <w:rsid w:val="0078713B"/>
    <w:rsid w:val="00787149"/>
    <w:rsid w:val="00787179"/>
    <w:rsid w:val="00787228"/>
    <w:rsid w:val="007872B1"/>
    <w:rsid w:val="007872B5"/>
    <w:rsid w:val="007872D4"/>
    <w:rsid w:val="007872EA"/>
    <w:rsid w:val="00787312"/>
    <w:rsid w:val="007873AD"/>
    <w:rsid w:val="007873CB"/>
    <w:rsid w:val="007873F5"/>
    <w:rsid w:val="0078741F"/>
    <w:rsid w:val="00787442"/>
    <w:rsid w:val="00787445"/>
    <w:rsid w:val="0078745E"/>
    <w:rsid w:val="007874A9"/>
    <w:rsid w:val="00787516"/>
    <w:rsid w:val="00787517"/>
    <w:rsid w:val="007875C0"/>
    <w:rsid w:val="007876BA"/>
    <w:rsid w:val="007876F2"/>
    <w:rsid w:val="0078770E"/>
    <w:rsid w:val="00787727"/>
    <w:rsid w:val="00787743"/>
    <w:rsid w:val="00787750"/>
    <w:rsid w:val="00787798"/>
    <w:rsid w:val="007877A2"/>
    <w:rsid w:val="007877B4"/>
    <w:rsid w:val="007877CB"/>
    <w:rsid w:val="007877D2"/>
    <w:rsid w:val="007877F0"/>
    <w:rsid w:val="00787802"/>
    <w:rsid w:val="00787823"/>
    <w:rsid w:val="0078782A"/>
    <w:rsid w:val="0078785D"/>
    <w:rsid w:val="0078788C"/>
    <w:rsid w:val="007878C4"/>
    <w:rsid w:val="007878CE"/>
    <w:rsid w:val="00787926"/>
    <w:rsid w:val="0078798C"/>
    <w:rsid w:val="00787998"/>
    <w:rsid w:val="007879B6"/>
    <w:rsid w:val="007879DF"/>
    <w:rsid w:val="00787A0A"/>
    <w:rsid w:val="00787A74"/>
    <w:rsid w:val="00787AC6"/>
    <w:rsid w:val="00787AF8"/>
    <w:rsid w:val="00787B21"/>
    <w:rsid w:val="00787B4D"/>
    <w:rsid w:val="00787BA9"/>
    <w:rsid w:val="00787BD2"/>
    <w:rsid w:val="00787BF3"/>
    <w:rsid w:val="00787C11"/>
    <w:rsid w:val="00787C20"/>
    <w:rsid w:val="00787C7A"/>
    <w:rsid w:val="00787C9C"/>
    <w:rsid w:val="00787CD6"/>
    <w:rsid w:val="00787D08"/>
    <w:rsid w:val="00787D1A"/>
    <w:rsid w:val="00787D1F"/>
    <w:rsid w:val="00787D4E"/>
    <w:rsid w:val="00787D5C"/>
    <w:rsid w:val="00787D83"/>
    <w:rsid w:val="00787DA0"/>
    <w:rsid w:val="00787DA8"/>
    <w:rsid w:val="00787DD0"/>
    <w:rsid w:val="00787E0A"/>
    <w:rsid w:val="00787E19"/>
    <w:rsid w:val="00787E1D"/>
    <w:rsid w:val="00787E31"/>
    <w:rsid w:val="00787EC7"/>
    <w:rsid w:val="00787EE1"/>
    <w:rsid w:val="00787EE6"/>
    <w:rsid w:val="00787F2B"/>
    <w:rsid w:val="00787F3F"/>
    <w:rsid w:val="00787FFA"/>
    <w:rsid w:val="0079006E"/>
    <w:rsid w:val="00790164"/>
    <w:rsid w:val="007901AB"/>
    <w:rsid w:val="007901E6"/>
    <w:rsid w:val="00790240"/>
    <w:rsid w:val="00790265"/>
    <w:rsid w:val="00790280"/>
    <w:rsid w:val="007902A4"/>
    <w:rsid w:val="007902B4"/>
    <w:rsid w:val="007902FA"/>
    <w:rsid w:val="0079031E"/>
    <w:rsid w:val="00790395"/>
    <w:rsid w:val="00790398"/>
    <w:rsid w:val="007903C8"/>
    <w:rsid w:val="007903E9"/>
    <w:rsid w:val="007903F0"/>
    <w:rsid w:val="00790404"/>
    <w:rsid w:val="00790460"/>
    <w:rsid w:val="00790470"/>
    <w:rsid w:val="007904B3"/>
    <w:rsid w:val="007904D1"/>
    <w:rsid w:val="007904EF"/>
    <w:rsid w:val="00790562"/>
    <w:rsid w:val="0079059C"/>
    <w:rsid w:val="0079059D"/>
    <w:rsid w:val="007905C9"/>
    <w:rsid w:val="0079060A"/>
    <w:rsid w:val="0079062E"/>
    <w:rsid w:val="00790673"/>
    <w:rsid w:val="007906C9"/>
    <w:rsid w:val="0079076D"/>
    <w:rsid w:val="00790774"/>
    <w:rsid w:val="007907DC"/>
    <w:rsid w:val="0079080B"/>
    <w:rsid w:val="0079084E"/>
    <w:rsid w:val="007908C1"/>
    <w:rsid w:val="007908DF"/>
    <w:rsid w:val="00790952"/>
    <w:rsid w:val="0079095F"/>
    <w:rsid w:val="00790964"/>
    <w:rsid w:val="007909E3"/>
    <w:rsid w:val="007909F7"/>
    <w:rsid w:val="00790A4C"/>
    <w:rsid w:val="00790A84"/>
    <w:rsid w:val="00790A88"/>
    <w:rsid w:val="00790ADA"/>
    <w:rsid w:val="00790AE7"/>
    <w:rsid w:val="00790B07"/>
    <w:rsid w:val="00790B34"/>
    <w:rsid w:val="00790B4D"/>
    <w:rsid w:val="00790C3B"/>
    <w:rsid w:val="00790C65"/>
    <w:rsid w:val="00790C81"/>
    <w:rsid w:val="00790CD3"/>
    <w:rsid w:val="00790D96"/>
    <w:rsid w:val="00790DB5"/>
    <w:rsid w:val="00790DD2"/>
    <w:rsid w:val="00790E39"/>
    <w:rsid w:val="00790E6A"/>
    <w:rsid w:val="00790EE0"/>
    <w:rsid w:val="00790F1D"/>
    <w:rsid w:val="00790F50"/>
    <w:rsid w:val="00790F75"/>
    <w:rsid w:val="00790F9C"/>
    <w:rsid w:val="00790FA3"/>
    <w:rsid w:val="00790FD4"/>
    <w:rsid w:val="00791058"/>
    <w:rsid w:val="00791065"/>
    <w:rsid w:val="0079107C"/>
    <w:rsid w:val="0079107D"/>
    <w:rsid w:val="00791087"/>
    <w:rsid w:val="00791099"/>
    <w:rsid w:val="007910F2"/>
    <w:rsid w:val="00791104"/>
    <w:rsid w:val="00791108"/>
    <w:rsid w:val="0079111E"/>
    <w:rsid w:val="00791131"/>
    <w:rsid w:val="00791193"/>
    <w:rsid w:val="0079119F"/>
    <w:rsid w:val="007911A1"/>
    <w:rsid w:val="007911B1"/>
    <w:rsid w:val="00791206"/>
    <w:rsid w:val="00791238"/>
    <w:rsid w:val="00791321"/>
    <w:rsid w:val="007913D3"/>
    <w:rsid w:val="00791422"/>
    <w:rsid w:val="00791424"/>
    <w:rsid w:val="00791440"/>
    <w:rsid w:val="0079145B"/>
    <w:rsid w:val="0079146E"/>
    <w:rsid w:val="0079149B"/>
    <w:rsid w:val="007914D8"/>
    <w:rsid w:val="007914F1"/>
    <w:rsid w:val="007914FE"/>
    <w:rsid w:val="0079155C"/>
    <w:rsid w:val="0079155D"/>
    <w:rsid w:val="00791619"/>
    <w:rsid w:val="0079164B"/>
    <w:rsid w:val="0079164D"/>
    <w:rsid w:val="007916A2"/>
    <w:rsid w:val="007916DD"/>
    <w:rsid w:val="007916F4"/>
    <w:rsid w:val="007916F7"/>
    <w:rsid w:val="007917A9"/>
    <w:rsid w:val="00791860"/>
    <w:rsid w:val="00791867"/>
    <w:rsid w:val="0079187B"/>
    <w:rsid w:val="00791895"/>
    <w:rsid w:val="007918AA"/>
    <w:rsid w:val="0079199A"/>
    <w:rsid w:val="0079199D"/>
    <w:rsid w:val="007919BE"/>
    <w:rsid w:val="007919F7"/>
    <w:rsid w:val="00791AB2"/>
    <w:rsid w:val="00791AC6"/>
    <w:rsid w:val="00791ACF"/>
    <w:rsid w:val="00791B16"/>
    <w:rsid w:val="00791BE4"/>
    <w:rsid w:val="00791BE9"/>
    <w:rsid w:val="00791C13"/>
    <w:rsid w:val="00791C6C"/>
    <w:rsid w:val="00791CE7"/>
    <w:rsid w:val="00791D33"/>
    <w:rsid w:val="00791D41"/>
    <w:rsid w:val="00791DA4"/>
    <w:rsid w:val="00791DB2"/>
    <w:rsid w:val="00791DD9"/>
    <w:rsid w:val="00791E26"/>
    <w:rsid w:val="00791EA5"/>
    <w:rsid w:val="00791EE0"/>
    <w:rsid w:val="00791F0C"/>
    <w:rsid w:val="00791F5B"/>
    <w:rsid w:val="00791F75"/>
    <w:rsid w:val="00791FAF"/>
    <w:rsid w:val="00792022"/>
    <w:rsid w:val="00792039"/>
    <w:rsid w:val="007920A8"/>
    <w:rsid w:val="007920B7"/>
    <w:rsid w:val="007920C5"/>
    <w:rsid w:val="007920DD"/>
    <w:rsid w:val="007921AC"/>
    <w:rsid w:val="007921E0"/>
    <w:rsid w:val="0079223A"/>
    <w:rsid w:val="0079224D"/>
    <w:rsid w:val="00792253"/>
    <w:rsid w:val="0079227D"/>
    <w:rsid w:val="0079228A"/>
    <w:rsid w:val="007923AD"/>
    <w:rsid w:val="007923B1"/>
    <w:rsid w:val="007923C6"/>
    <w:rsid w:val="007923C8"/>
    <w:rsid w:val="007923FE"/>
    <w:rsid w:val="00792401"/>
    <w:rsid w:val="0079245A"/>
    <w:rsid w:val="007924AE"/>
    <w:rsid w:val="007924C1"/>
    <w:rsid w:val="007924E0"/>
    <w:rsid w:val="007924F9"/>
    <w:rsid w:val="00792515"/>
    <w:rsid w:val="0079257E"/>
    <w:rsid w:val="00792619"/>
    <w:rsid w:val="00792647"/>
    <w:rsid w:val="0079264E"/>
    <w:rsid w:val="00792738"/>
    <w:rsid w:val="0079273D"/>
    <w:rsid w:val="00792742"/>
    <w:rsid w:val="00792772"/>
    <w:rsid w:val="0079277B"/>
    <w:rsid w:val="007927D3"/>
    <w:rsid w:val="00792846"/>
    <w:rsid w:val="00792871"/>
    <w:rsid w:val="0079287C"/>
    <w:rsid w:val="007928FA"/>
    <w:rsid w:val="00792955"/>
    <w:rsid w:val="007929AA"/>
    <w:rsid w:val="007929D2"/>
    <w:rsid w:val="007929D4"/>
    <w:rsid w:val="00792A12"/>
    <w:rsid w:val="00792A62"/>
    <w:rsid w:val="00792A77"/>
    <w:rsid w:val="00792A88"/>
    <w:rsid w:val="00792AAE"/>
    <w:rsid w:val="00792B17"/>
    <w:rsid w:val="00792B5C"/>
    <w:rsid w:val="00792BA9"/>
    <w:rsid w:val="00792BE5"/>
    <w:rsid w:val="00792C0D"/>
    <w:rsid w:val="00792C35"/>
    <w:rsid w:val="00792C57"/>
    <w:rsid w:val="00792C7A"/>
    <w:rsid w:val="00792C96"/>
    <w:rsid w:val="00792C9C"/>
    <w:rsid w:val="00792CDA"/>
    <w:rsid w:val="00792D12"/>
    <w:rsid w:val="00792D4D"/>
    <w:rsid w:val="00792D5A"/>
    <w:rsid w:val="00792D5D"/>
    <w:rsid w:val="00792D60"/>
    <w:rsid w:val="00792D6C"/>
    <w:rsid w:val="00792DA0"/>
    <w:rsid w:val="00792DD9"/>
    <w:rsid w:val="00792DDD"/>
    <w:rsid w:val="00792E07"/>
    <w:rsid w:val="00792E10"/>
    <w:rsid w:val="00792E22"/>
    <w:rsid w:val="00792E28"/>
    <w:rsid w:val="00792E38"/>
    <w:rsid w:val="00792EDC"/>
    <w:rsid w:val="00792F07"/>
    <w:rsid w:val="00792F72"/>
    <w:rsid w:val="00793017"/>
    <w:rsid w:val="00793030"/>
    <w:rsid w:val="00793035"/>
    <w:rsid w:val="0079304C"/>
    <w:rsid w:val="00793078"/>
    <w:rsid w:val="00793098"/>
    <w:rsid w:val="007930BC"/>
    <w:rsid w:val="007930F2"/>
    <w:rsid w:val="007930F3"/>
    <w:rsid w:val="0079312C"/>
    <w:rsid w:val="00793192"/>
    <w:rsid w:val="007931C5"/>
    <w:rsid w:val="0079324D"/>
    <w:rsid w:val="0079326C"/>
    <w:rsid w:val="0079327B"/>
    <w:rsid w:val="007932D6"/>
    <w:rsid w:val="007932E5"/>
    <w:rsid w:val="007932F0"/>
    <w:rsid w:val="0079333B"/>
    <w:rsid w:val="00793352"/>
    <w:rsid w:val="007933B0"/>
    <w:rsid w:val="007933BE"/>
    <w:rsid w:val="0079341E"/>
    <w:rsid w:val="0079343F"/>
    <w:rsid w:val="00793467"/>
    <w:rsid w:val="00793493"/>
    <w:rsid w:val="007934A9"/>
    <w:rsid w:val="007934B7"/>
    <w:rsid w:val="007934C6"/>
    <w:rsid w:val="00793528"/>
    <w:rsid w:val="0079352A"/>
    <w:rsid w:val="00793532"/>
    <w:rsid w:val="0079354D"/>
    <w:rsid w:val="00793579"/>
    <w:rsid w:val="0079360F"/>
    <w:rsid w:val="00793620"/>
    <w:rsid w:val="0079365A"/>
    <w:rsid w:val="00793665"/>
    <w:rsid w:val="00793685"/>
    <w:rsid w:val="007936E9"/>
    <w:rsid w:val="0079375A"/>
    <w:rsid w:val="0079375C"/>
    <w:rsid w:val="007937E4"/>
    <w:rsid w:val="007937F5"/>
    <w:rsid w:val="00793816"/>
    <w:rsid w:val="00793869"/>
    <w:rsid w:val="007938C6"/>
    <w:rsid w:val="007938E9"/>
    <w:rsid w:val="007939DE"/>
    <w:rsid w:val="007939EA"/>
    <w:rsid w:val="00793A05"/>
    <w:rsid w:val="00793A20"/>
    <w:rsid w:val="00793A86"/>
    <w:rsid w:val="00793A9F"/>
    <w:rsid w:val="00793AF6"/>
    <w:rsid w:val="00793B93"/>
    <w:rsid w:val="00793C05"/>
    <w:rsid w:val="00793C14"/>
    <w:rsid w:val="00793C1B"/>
    <w:rsid w:val="00793C52"/>
    <w:rsid w:val="00793C5A"/>
    <w:rsid w:val="00793C6F"/>
    <w:rsid w:val="00793C88"/>
    <w:rsid w:val="00793DDA"/>
    <w:rsid w:val="00793E99"/>
    <w:rsid w:val="00793EC0"/>
    <w:rsid w:val="00793F08"/>
    <w:rsid w:val="00793F09"/>
    <w:rsid w:val="00794014"/>
    <w:rsid w:val="00794034"/>
    <w:rsid w:val="00794050"/>
    <w:rsid w:val="0079406A"/>
    <w:rsid w:val="0079408B"/>
    <w:rsid w:val="007940A6"/>
    <w:rsid w:val="007940C2"/>
    <w:rsid w:val="007940D4"/>
    <w:rsid w:val="00794171"/>
    <w:rsid w:val="007941F4"/>
    <w:rsid w:val="007941F8"/>
    <w:rsid w:val="0079420E"/>
    <w:rsid w:val="00794227"/>
    <w:rsid w:val="00794233"/>
    <w:rsid w:val="0079423A"/>
    <w:rsid w:val="0079428A"/>
    <w:rsid w:val="0079429B"/>
    <w:rsid w:val="007942C0"/>
    <w:rsid w:val="007942FA"/>
    <w:rsid w:val="0079432E"/>
    <w:rsid w:val="00794393"/>
    <w:rsid w:val="00794396"/>
    <w:rsid w:val="007943A2"/>
    <w:rsid w:val="007943F2"/>
    <w:rsid w:val="00794400"/>
    <w:rsid w:val="00794413"/>
    <w:rsid w:val="00794414"/>
    <w:rsid w:val="0079441F"/>
    <w:rsid w:val="0079444F"/>
    <w:rsid w:val="007944A2"/>
    <w:rsid w:val="0079452C"/>
    <w:rsid w:val="00794541"/>
    <w:rsid w:val="00794593"/>
    <w:rsid w:val="00794598"/>
    <w:rsid w:val="007945BB"/>
    <w:rsid w:val="007945FD"/>
    <w:rsid w:val="0079460B"/>
    <w:rsid w:val="0079463C"/>
    <w:rsid w:val="00794667"/>
    <w:rsid w:val="007947C2"/>
    <w:rsid w:val="0079485F"/>
    <w:rsid w:val="00794875"/>
    <w:rsid w:val="00794894"/>
    <w:rsid w:val="007948A8"/>
    <w:rsid w:val="007948D5"/>
    <w:rsid w:val="0079490F"/>
    <w:rsid w:val="007949A0"/>
    <w:rsid w:val="007949D7"/>
    <w:rsid w:val="00794A07"/>
    <w:rsid w:val="00794A1E"/>
    <w:rsid w:val="00794A2D"/>
    <w:rsid w:val="00794A3A"/>
    <w:rsid w:val="00794A47"/>
    <w:rsid w:val="00794A4B"/>
    <w:rsid w:val="00794A75"/>
    <w:rsid w:val="00794A7C"/>
    <w:rsid w:val="00794AA6"/>
    <w:rsid w:val="00794ABB"/>
    <w:rsid w:val="00794AFE"/>
    <w:rsid w:val="00794B6C"/>
    <w:rsid w:val="00794B93"/>
    <w:rsid w:val="00794BB7"/>
    <w:rsid w:val="00794C13"/>
    <w:rsid w:val="00794C51"/>
    <w:rsid w:val="00794C54"/>
    <w:rsid w:val="00794C56"/>
    <w:rsid w:val="00794C7B"/>
    <w:rsid w:val="00794CB1"/>
    <w:rsid w:val="00794CBA"/>
    <w:rsid w:val="00794D18"/>
    <w:rsid w:val="00794D31"/>
    <w:rsid w:val="00794D47"/>
    <w:rsid w:val="00794D82"/>
    <w:rsid w:val="00794D89"/>
    <w:rsid w:val="00794D99"/>
    <w:rsid w:val="00794D9C"/>
    <w:rsid w:val="00794DBE"/>
    <w:rsid w:val="00794DC3"/>
    <w:rsid w:val="00794DE7"/>
    <w:rsid w:val="00794E64"/>
    <w:rsid w:val="00794E85"/>
    <w:rsid w:val="00794EC4"/>
    <w:rsid w:val="00794EE2"/>
    <w:rsid w:val="00794EEE"/>
    <w:rsid w:val="00794EF4"/>
    <w:rsid w:val="00794FA4"/>
    <w:rsid w:val="0079500E"/>
    <w:rsid w:val="00795021"/>
    <w:rsid w:val="0079502D"/>
    <w:rsid w:val="00795034"/>
    <w:rsid w:val="0079505A"/>
    <w:rsid w:val="00795067"/>
    <w:rsid w:val="00795068"/>
    <w:rsid w:val="00795099"/>
    <w:rsid w:val="0079509D"/>
    <w:rsid w:val="007950CA"/>
    <w:rsid w:val="007950DC"/>
    <w:rsid w:val="007950FE"/>
    <w:rsid w:val="0079513C"/>
    <w:rsid w:val="007951CC"/>
    <w:rsid w:val="0079520B"/>
    <w:rsid w:val="0079527D"/>
    <w:rsid w:val="007952F1"/>
    <w:rsid w:val="00795302"/>
    <w:rsid w:val="0079533B"/>
    <w:rsid w:val="00795363"/>
    <w:rsid w:val="0079538A"/>
    <w:rsid w:val="0079538B"/>
    <w:rsid w:val="0079539D"/>
    <w:rsid w:val="0079543D"/>
    <w:rsid w:val="00795460"/>
    <w:rsid w:val="00795483"/>
    <w:rsid w:val="00795499"/>
    <w:rsid w:val="007954F2"/>
    <w:rsid w:val="00795535"/>
    <w:rsid w:val="0079554C"/>
    <w:rsid w:val="00795607"/>
    <w:rsid w:val="0079566F"/>
    <w:rsid w:val="00795675"/>
    <w:rsid w:val="0079568B"/>
    <w:rsid w:val="007956E4"/>
    <w:rsid w:val="007956F5"/>
    <w:rsid w:val="0079573C"/>
    <w:rsid w:val="00795772"/>
    <w:rsid w:val="0079579C"/>
    <w:rsid w:val="0079579E"/>
    <w:rsid w:val="007957F0"/>
    <w:rsid w:val="00795809"/>
    <w:rsid w:val="0079580C"/>
    <w:rsid w:val="0079581D"/>
    <w:rsid w:val="0079586D"/>
    <w:rsid w:val="007958DD"/>
    <w:rsid w:val="00795904"/>
    <w:rsid w:val="00795906"/>
    <w:rsid w:val="0079591D"/>
    <w:rsid w:val="00795951"/>
    <w:rsid w:val="00795956"/>
    <w:rsid w:val="0079596C"/>
    <w:rsid w:val="00795A23"/>
    <w:rsid w:val="00795A40"/>
    <w:rsid w:val="00795A7C"/>
    <w:rsid w:val="00795B5B"/>
    <w:rsid w:val="00795B82"/>
    <w:rsid w:val="00795B87"/>
    <w:rsid w:val="00795BF5"/>
    <w:rsid w:val="00795C0E"/>
    <w:rsid w:val="00795C6C"/>
    <w:rsid w:val="00795C72"/>
    <w:rsid w:val="00795C99"/>
    <w:rsid w:val="00795CD0"/>
    <w:rsid w:val="00795CE4"/>
    <w:rsid w:val="00795D22"/>
    <w:rsid w:val="00795D3A"/>
    <w:rsid w:val="00795D7A"/>
    <w:rsid w:val="00795DFA"/>
    <w:rsid w:val="00795E0B"/>
    <w:rsid w:val="00795E4B"/>
    <w:rsid w:val="00795E4E"/>
    <w:rsid w:val="00795E61"/>
    <w:rsid w:val="00795EA0"/>
    <w:rsid w:val="00795EAF"/>
    <w:rsid w:val="00795EBB"/>
    <w:rsid w:val="00795EDE"/>
    <w:rsid w:val="00795F16"/>
    <w:rsid w:val="00795F97"/>
    <w:rsid w:val="00795F98"/>
    <w:rsid w:val="00795FDD"/>
    <w:rsid w:val="0079600B"/>
    <w:rsid w:val="0079602B"/>
    <w:rsid w:val="00796071"/>
    <w:rsid w:val="007960A7"/>
    <w:rsid w:val="007960DA"/>
    <w:rsid w:val="0079615B"/>
    <w:rsid w:val="00796196"/>
    <w:rsid w:val="00796199"/>
    <w:rsid w:val="007961AD"/>
    <w:rsid w:val="007961B9"/>
    <w:rsid w:val="00796218"/>
    <w:rsid w:val="0079622A"/>
    <w:rsid w:val="0079622E"/>
    <w:rsid w:val="00796256"/>
    <w:rsid w:val="00796265"/>
    <w:rsid w:val="007962BE"/>
    <w:rsid w:val="0079632F"/>
    <w:rsid w:val="00796330"/>
    <w:rsid w:val="00796343"/>
    <w:rsid w:val="00796363"/>
    <w:rsid w:val="00796381"/>
    <w:rsid w:val="007963BD"/>
    <w:rsid w:val="00796417"/>
    <w:rsid w:val="0079642D"/>
    <w:rsid w:val="0079644D"/>
    <w:rsid w:val="00796456"/>
    <w:rsid w:val="0079646B"/>
    <w:rsid w:val="00796498"/>
    <w:rsid w:val="007964A6"/>
    <w:rsid w:val="007964C4"/>
    <w:rsid w:val="007964F4"/>
    <w:rsid w:val="00796555"/>
    <w:rsid w:val="00796568"/>
    <w:rsid w:val="0079656E"/>
    <w:rsid w:val="007965E9"/>
    <w:rsid w:val="0079663E"/>
    <w:rsid w:val="00796668"/>
    <w:rsid w:val="0079666C"/>
    <w:rsid w:val="007966E5"/>
    <w:rsid w:val="00796760"/>
    <w:rsid w:val="0079676F"/>
    <w:rsid w:val="007967AB"/>
    <w:rsid w:val="007967F6"/>
    <w:rsid w:val="00796824"/>
    <w:rsid w:val="0079683D"/>
    <w:rsid w:val="00796852"/>
    <w:rsid w:val="007968B6"/>
    <w:rsid w:val="007968CF"/>
    <w:rsid w:val="007968D4"/>
    <w:rsid w:val="00796985"/>
    <w:rsid w:val="0079698A"/>
    <w:rsid w:val="007969A6"/>
    <w:rsid w:val="007969EA"/>
    <w:rsid w:val="00796A47"/>
    <w:rsid w:val="00796AB4"/>
    <w:rsid w:val="00796AFE"/>
    <w:rsid w:val="00796BD3"/>
    <w:rsid w:val="00796C38"/>
    <w:rsid w:val="00796C51"/>
    <w:rsid w:val="00796CC0"/>
    <w:rsid w:val="00796D09"/>
    <w:rsid w:val="00796D22"/>
    <w:rsid w:val="00796D32"/>
    <w:rsid w:val="00796D99"/>
    <w:rsid w:val="00796E61"/>
    <w:rsid w:val="00796E65"/>
    <w:rsid w:val="00796E71"/>
    <w:rsid w:val="00796E96"/>
    <w:rsid w:val="00796F9E"/>
    <w:rsid w:val="00796FA0"/>
    <w:rsid w:val="00796FAD"/>
    <w:rsid w:val="00796FB3"/>
    <w:rsid w:val="00796FE5"/>
    <w:rsid w:val="00796FEA"/>
    <w:rsid w:val="0079703B"/>
    <w:rsid w:val="00797044"/>
    <w:rsid w:val="00797058"/>
    <w:rsid w:val="007970FE"/>
    <w:rsid w:val="00797108"/>
    <w:rsid w:val="00797256"/>
    <w:rsid w:val="007972B5"/>
    <w:rsid w:val="00797310"/>
    <w:rsid w:val="00797351"/>
    <w:rsid w:val="0079740F"/>
    <w:rsid w:val="0079741A"/>
    <w:rsid w:val="00797450"/>
    <w:rsid w:val="007974DB"/>
    <w:rsid w:val="007974DE"/>
    <w:rsid w:val="007974EC"/>
    <w:rsid w:val="00797531"/>
    <w:rsid w:val="00797578"/>
    <w:rsid w:val="0079759F"/>
    <w:rsid w:val="007975B8"/>
    <w:rsid w:val="007975DD"/>
    <w:rsid w:val="007975F2"/>
    <w:rsid w:val="0079763A"/>
    <w:rsid w:val="00797646"/>
    <w:rsid w:val="00797676"/>
    <w:rsid w:val="0079767C"/>
    <w:rsid w:val="00797697"/>
    <w:rsid w:val="00797744"/>
    <w:rsid w:val="0079776D"/>
    <w:rsid w:val="007977C2"/>
    <w:rsid w:val="007977D2"/>
    <w:rsid w:val="007977F4"/>
    <w:rsid w:val="00797805"/>
    <w:rsid w:val="0079781D"/>
    <w:rsid w:val="00797822"/>
    <w:rsid w:val="00797861"/>
    <w:rsid w:val="00797864"/>
    <w:rsid w:val="00797873"/>
    <w:rsid w:val="0079789D"/>
    <w:rsid w:val="007978B1"/>
    <w:rsid w:val="007978D4"/>
    <w:rsid w:val="007978F8"/>
    <w:rsid w:val="00797927"/>
    <w:rsid w:val="00797933"/>
    <w:rsid w:val="0079795A"/>
    <w:rsid w:val="00797979"/>
    <w:rsid w:val="0079797F"/>
    <w:rsid w:val="007979DE"/>
    <w:rsid w:val="00797A20"/>
    <w:rsid w:val="00797A71"/>
    <w:rsid w:val="00797A7D"/>
    <w:rsid w:val="00797A98"/>
    <w:rsid w:val="00797AB0"/>
    <w:rsid w:val="00797ADC"/>
    <w:rsid w:val="00797AF6"/>
    <w:rsid w:val="00797B28"/>
    <w:rsid w:val="00797B40"/>
    <w:rsid w:val="00797B9E"/>
    <w:rsid w:val="00797C2C"/>
    <w:rsid w:val="00797C58"/>
    <w:rsid w:val="00797C68"/>
    <w:rsid w:val="00797CCB"/>
    <w:rsid w:val="00797D20"/>
    <w:rsid w:val="00797D24"/>
    <w:rsid w:val="00797DBB"/>
    <w:rsid w:val="00797DCC"/>
    <w:rsid w:val="00797E36"/>
    <w:rsid w:val="00797E57"/>
    <w:rsid w:val="00797E9A"/>
    <w:rsid w:val="00797EA1"/>
    <w:rsid w:val="00797F80"/>
    <w:rsid w:val="00797FDE"/>
    <w:rsid w:val="007A00EC"/>
    <w:rsid w:val="007A00F6"/>
    <w:rsid w:val="007A00F7"/>
    <w:rsid w:val="007A010C"/>
    <w:rsid w:val="007A0129"/>
    <w:rsid w:val="007A015A"/>
    <w:rsid w:val="007A017B"/>
    <w:rsid w:val="007A019E"/>
    <w:rsid w:val="007A01CB"/>
    <w:rsid w:val="007A01F2"/>
    <w:rsid w:val="007A01FD"/>
    <w:rsid w:val="007A0201"/>
    <w:rsid w:val="007A0209"/>
    <w:rsid w:val="007A0275"/>
    <w:rsid w:val="007A0299"/>
    <w:rsid w:val="007A0325"/>
    <w:rsid w:val="007A03AB"/>
    <w:rsid w:val="007A03B5"/>
    <w:rsid w:val="007A03B7"/>
    <w:rsid w:val="007A03F7"/>
    <w:rsid w:val="007A0462"/>
    <w:rsid w:val="007A04DA"/>
    <w:rsid w:val="007A04F3"/>
    <w:rsid w:val="007A051E"/>
    <w:rsid w:val="007A053F"/>
    <w:rsid w:val="007A056C"/>
    <w:rsid w:val="007A056D"/>
    <w:rsid w:val="007A057D"/>
    <w:rsid w:val="007A05A5"/>
    <w:rsid w:val="007A05AD"/>
    <w:rsid w:val="007A05B2"/>
    <w:rsid w:val="007A05B4"/>
    <w:rsid w:val="007A05D0"/>
    <w:rsid w:val="007A05FE"/>
    <w:rsid w:val="007A0662"/>
    <w:rsid w:val="007A0733"/>
    <w:rsid w:val="007A075F"/>
    <w:rsid w:val="007A0780"/>
    <w:rsid w:val="007A07AA"/>
    <w:rsid w:val="007A07B6"/>
    <w:rsid w:val="007A07E7"/>
    <w:rsid w:val="007A082B"/>
    <w:rsid w:val="007A0858"/>
    <w:rsid w:val="007A087A"/>
    <w:rsid w:val="007A087B"/>
    <w:rsid w:val="007A08B6"/>
    <w:rsid w:val="007A08DC"/>
    <w:rsid w:val="007A09E0"/>
    <w:rsid w:val="007A0A21"/>
    <w:rsid w:val="007A0A5F"/>
    <w:rsid w:val="007A0AB6"/>
    <w:rsid w:val="007A0B3E"/>
    <w:rsid w:val="007A0B8A"/>
    <w:rsid w:val="007A0BB6"/>
    <w:rsid w:val="007A0BB7"/>
    <w:rsid w:val="007A0BBD"/>
    <w:rsid w:val="007A0C6E"/>
    <w:rsid w:val="007A0C7B"/>
    <w:rsid w:val="007A0C7C"/>
    <w:rsid w:val="007A0D38"/>
    <w:rsid w:val="007A0D86"/>
    <w:rsid w:val="007A0DB7"/>
    <w:rsid w:val="007A0E2C"/>
    <w:rsid w:val="007A0E67"/>
    <w:rsid w:val="007A0EE7"/>
    <w:rsid w:val="007A0EF1"/>
    <w:rsid w:val="007A0EF6"/>
    <w:rsid w:val="007A0F30"/>
    <w:rsid w:val="007A0F90"/>
    <w:rsid w:val="007A0F97"/>
    <w:rsid w:val="007A0FBF"/>
    <w:rsid w:val="007A0FF0"/>
    <w:rsid w:val="007A101B"/>
    <w:rsid w:val="007A10AD"/>
    <w:rsid w:val="007A10C0"/>
    <w:rsid w:val="007A10C4"/>
    <w:rsid w:val="007A10E2"/>
    <w:rsid w:val="007A10EA"/>
    <w:rsid w:val="007A10FE"/>
    <w:rsid w:val="007A112A"/>
    <w:rsid w:val="007A1176"/>
    <w:rsid w:val="007A1207"/>
    <w:rsid w:val="007A123D"/>
    <w:rsid w:val="007A12BC"/>
    <w:rsid w:val="007A12D1"/>
    <w:rsid w:val="007A12D8"/>
    <w:rsid w:val="007A1305"/>
    <w:rsid w:val="007A1330"/>
    <w:rsid w:val="007A135F"/>
    <w:rsid w:val="007A137D"/>
    <w:rsid w:val="007A1392"/>
    <w:rsid w:val="007A139E"/>
    <w:rsid w:val="007A147B"/>
    <w:rsid w:val="007A14A3"/>
    <w:rsid w:val="007A14D0"/>
    <w:rsid w:val="007A1505"/>
    <w:rsid w:val="007A150E"/>
    <w:rsid w:val="007A1516"/>
    <w:rsid w:val="007A155A"/>
    <w:rsid w:val="007A1571"/>
    <w:rsid w:val="007A1573"/>
    <w:rsid w:val="007A1589"/>
    <w:rsid w:val="007A1600"/>
    <w:rsid w:val="007A161A"/>
    <w:rsid w:val="007A1642"/>
    <w:rsid w:val="007A1651"/>
    <w:rsid w:val="007A16AA"/>
    <w:rsid w:val="007A16C7"/>
    <w:rsid w:val="007A1739"/>
    <w:rsid w:val="007A174C"/>
    <w:rsid w:val="007A175B"/>
    <w:rsid w:val="007A176B"/>
    <w:rsid w:val="007A177F"/>
    <w:rsid w:val="007A17A1"/>
    <w:rsid w:val="007A17A9"/>
    <w:rsid w:val="007A17C4"/>
    <w:rsid w:val="007A17F3"/>
    <w:rsid w:val="007A186C"/>
    <w:rsid w:val="007A188F"/>
    <w:rsid w:val="007A18DA"/>
    <w:rsid w:val="007A1904"/>
    <w:rsid w:val="007A192A"/>
    <w:rsid w:val="007A1947"/>
    <w:rsid w:val="007A1976"/>
    <w:rsid w:val="007A1982"/>
    <w:rsid w:val="007A19D2"/>
    <w:rsid w:val="007A19E4"/>
    <w:rsid w:val="007A19F0"/>
    <w:rsid w:val="007A1ACF"/>
    <w:rsid w:val="007A1AEC"/>
    <w:rsid w:val="007A1AF4"/>
    <w:rsid w:val="007A1AFE"/>
    <w:rsid w:val="007A1B1A"/>
    <w:rsid w:val="007A1B81"/>
    <w:rsid w:val="007A1BDA"/>
    <w:rsid w:val="007A1BFA"/>
    <w:rsid w:val="007A1C00"/>
    <w:rsid w:val="007A1C1B"/>
    <w:rsid w:val="007A1C59"/>
    <w:rsid w:val="007A1CC0"/>
    <w:rsid w:val="007A1CE7"/>
    <w:rsid w:val="007A1CFB"/>
    <w:rsid w:val="007A1D28"/>
    <w:rsid w:val="007A1D62"/>
    <w:rsid w:val="007A1DAD"/>
    <w:rsid w:val="007A1DC5"/>
    <w:rsid w:val="007A1DDC"/>
    <w:rsid w:val="007A1DFC"/>
    <w:rsid w:val="007A1E5F"/>
    <w:rsid w:val="007A1E67"/>
    <w:rsid w:val="007A1EA9"/>
    <w:rsid w:val="007A1F1C"/>
    <w:rsid w:val="007A1F7C"/>
    <w:rsid w:val="007A1FA3"/>
    <w:rsid w:val="007A1FDC"/>
    <w:rsid w:val="007A2013"/>
    <w:rsid w:val="007A204E"/>
    <w:rsid w:val="007A2105"/>
    <w:rsid w:val="007A216E"/>
    <w:rsid w:val="007A217E"/>
    <w:rsid w:val="007A21FD"/>
    <w:rsid w:val="007A2225"/>
    <w:rsid w:val="007A2229"/>
    <w:rsid w:val="007A2236"/>
    <w:rsid w:val="007A223F"/>
    <w:rsid w:val="007A2244"/>
    <w:rsid w:val="007A2247"/>
    <w:rsid w:val="007A2254"/>
    <w:rsid w:val="007A227C"/>
    <w:rsid w:val="007A22B7"/>
    <w:rsid w:val="007A22E4"/>
    <w:rsid w:val="007A22F9"/>
    <w:rsid w:val="007A230E"/>
    <w:rsid w:val="007A2369"/>
    <w:rsid w:val="007A23CB"/>
    <w:rsid w:val="007A23DB"/>
    <w:rsid w:val="007A23F8"/>
    <w:rsid w:val="007A245D"/>
    <w:rsid w:val="007A249E"/>
    <w:rsid w:val="007A2530"/>
    <w:rsid w:val="007A2548"/>
    <w:rsid w:val="007A255B"/>
    <w:rsid w:val="007A255F"/>
    <w:rsid w:val="007A256D"/>
    <w:rsid w:val="007A256F"/>
    <w:rsid w:val="007A25A7"/>
    <w:rsid w:val="007A25CC"/>
    <w:rsid w:val="007A25D7"/>
    <w:rsid w:val="007A2647"/>
    <w:rsid w:val="007A2709"/>
    <w:rsid w:val="007A273D"/>
    <w:rsid w:val="007A2766"/>
    <w:rsid w:val="007A278F"/>
    <w:rsid w:val="007A280B"/>
    <w:rsid w:val="007A280E"/>
    <w:rsid w:val="007A2838"/>
    <w:rsid w:val="007A2848"/>
    <w:rsid w:val="007A287C"/>
    <w:rsid w:val="007A287F"/>
    <w:rsid w:val="007A28A7"/>
    <w:rsid w:val="007A28B5"/>
    <w:rsid w:val="007A28D0"/>
    <w:rsid w:val="007A28E2"/>
    <w:rsid w:val="007A2905"/>
    <w:rsid w:val="007A2958"/>
    <w:rsid w:val="007A296F"/>
    <w:rsid w:val="007A29D2"/>
    <w:rsid w:val="007A2A37"/>
    <w:rsid w:val="007A2ACD"/>
    <w:rsid w:val="007A2AD1"/>
    <w:rsid w:val="007A2B62"/>
    <w:rsid w:val="007A2BCD"/>
    <w:rsid w:val="007A2C42"/>
    <w:rsid w:val="007A2C59"/>
    <w:rsid w:val="007A2CAB"/>
    <w:rsid w:val="007A2D62"/>
    <w:rsid w:val="007A2D8A"/>
    <w:rsid w:val="007A2DA4"/>
    <w:rsid w:val="007A2DD8"/>
    <w:rsid w:val="007A2E0B"/>
    <w:rsid w:val="007A2E35"/>
    <w:rsid w:val="007A2E6A"/>
    <w:rsid w:val="007A2F2A"/>
    <w:rsid w:val="007A2F64"/>
    <w:rsid w:val="007A2FA4"/>
    <w:rsid w:val="007A2FB3"/>
    <w:rsid w:val="007A2FBE"/>
    <w:rsid w:val="007A2FC7"/>
    <w:rsid w:val="007A2FC9"/>
    <w:rsid w:val="007A3059"/>
    <w:rsid w:val="007A30C3"/>
    <w:rsid w:val="007A30E0"/>
    <w:rsid w:val="007A30EE"/>
    <w:rsid w:val="007A3130"/>
    <w:rsid w:val="007A313C"/>
    <w:rsid w:val="007A319F"/>
    <w:rsid w:val="007A31D1"/>
    <w:rsid w:val="007A31D6"/>
    <w:rsid w:val="007A3208"/>
    <w:rsid w:val="007A320C"/>
    <w:rsid w:val="007A3223"/>
    <w:rsid w:val="007A3267"/>
    <w:rsid w:val="007A327D"/>
    <w:rsid w:val="007A333B"/>
    <w:rsid w:val="007A3363"/>
    <w:rsid w:val="007A339F"/>
    <w:rsid w:val="007A33C3"/>
    <w:rsid w:val="007A33CA"/>
    <w:rsid w:val="007A33F4"/>
    <w:rsid w:val="007A345D"/>
    <w:rsid w:val="007A3467"/>
    <w:rsid w:val="007A348C"/>
    <w:rsid w:val="007A34BA"/>
    <w:rsid w:val="007A3515"/>
    <w:rsid w:val="007A3548"/>
    <w:rsid w:val="007A3554"/>
    <w:rsid w:val="007A3589"/>
    <w:rsid w:val="007A362E"/>
    <w:rsid w:val="007A366C"/>
    <w:rsid w:val="007A3671"/>
    <w:rsid w:val="007A3683"/>
    <w:rsid w:val="007A36C0"/>
    <w:rsid w:val="007A36C7"/>
    <w:rsid w:val="007A372B"/>
    <w:rsid w:val="007A3755"/>
    <w:rsid w:val="007A37BA"/>
    <w:rsid w:val="007A37DF"/>
    <w:rsid w:val="007A37F6"/>
    <w:rsid w:val="007A3806"/>
    <w:rsid w:val="007A3845"/>
    <w:rsid w:val="007A3867"/>
    <w:rsid w:val="007A3876"/>
    <w:rsid w:val="007A38A1"/>
    <w:rsid w:val="007A38FA"/>
    <w:rsid w:val="007A3903"/>
    <w:rsid w:val="007A3928"/>
    <w:rsid w:val="007A39C3"/>
    <w:rsid w:val="007A39F8"/>
    <w:rsid w:val="007A39F9"/>
    <w:rsid w:val="007A3A02"/>
    <w:rsid w:val="007A3A9B"/>
    <w:rsid w:val="007A3B34"/>
    <w:rsid w:val="007A3B6F"/>
    <w:rsid w:val="007A3BB7"/>
    <w:rsid w:val="007A3BEE"/>
    <w:rsid w:val="007A3C97"/>
    <w:rsid w:val="007A3CA0"/>
    <w:rsid w:val="007A3CBE"/>
    <w:rsid w:val="007A3CC0"/>
    <w:rsid w:val="007A3CC3"/>
    <w:rsid w:val="007A3CEB"/>
    <w:rsid w:val="007A3D21"/>
    <w:rsid w:val="007A3DB0"/>
    <w:rsid w:val="007A3DCC"/>
    <w:rsid w:val="007A3DD7"/>
    <w:rsid w:val="007A3E0D"/>
    <w:rsid w:val="007A3E1F"/>
    <w:rsid w:val="007A3F0B"/>
    <w:rsid w:val="007A3FEB"/>
    <w:rsid w:val="007A4028"/>
    <w:rsid w:val="007A408D"/>
    <w:rsid w:val="007A410F"/>
    <w:rsid w:val="007A415B"/>
    <w:rsid w:val="007A41C9"/>
    <w:rsid w:val="007A41E5"/>
    <w:rsid w:val="007A41FC"/>
    <w:rsid w:val="007A4206"/>
    <w:rsid w:val="007A424C"/>
    <w:rsid w:val="007A4276"/>
    <w:rsid w:val="007A42E9"/>
    <w:rsid w:val="007A42EA"/>
    <w:rsid w:val="007A433C"/>
    <w:rsid w:val="007A4385"/>
    <w:rsid w:val="007A4399"/>
    <w:rsid w:val="007A4432"/>
    <w:rsid w:val="007A4447"/>
    <w:rsid w:val="007A4459"/>
    <w:rsid w:val="007A445F"/>
    <w:rsid w:val="007A448E"/>
    <w:rsid w:val="007A44BA"/>
    <w:rsid w:val="007A44C6"/>
    <w:rsid w:val="007A4529"/>
    <w:rsid w:val="007A454D"/>
    <w:rsid w:val="007A45DF"/>
    <w:rsid w:val="007A4618"/>
    <w:rsid w:val="007A461C"/>
    <w:rsid w:val="007A4657"/>
    <w:rsid w:val="007A4696"/>
    <w:rsid w:val="007A46E3"/>
    <w:rsid w:val="007A46EC"/>
    <w:rsid w:val="007A46F1"/>
    <w:rsid w:val="007A4728"/>
    <w:rsid w:val="007A4788"/>
    <w:rsid w:val="007A479B"/>
    <w:rsid w:val="007A47AC"/>
    <w:rsid w:val="007A47BC"/>
    <w:rsid w:val="007A47F5"/>
    <w:rsid w:val="007A47FD"/>
    <w:rsid w:val="007A483C"/>
    <w:rsid w:val="007A484C"/>
    <w:rsid w:val="007A484D"/>
    <w:rsid w:val="007A489C"/>
    <w:rsid w:val="007A489F"/>
    <w:rsid w:val="007A48C1"/>
    <w:rsid w:val="007A48C9"/>
    <w:rsid w:val="007A4902"/>
    <w:rsid w:val="007A4911"/>
    <w:rsid w:val="007A4928"/>
    <w:rsid w:val="007A498B"/>
    <w:rsid w:val="007A49B2"/>
    <w:rsid w:val="007A49C5"/>
    <w:rsid w:val="007A49C8"/>
    <w:rsid w:val="007A4A08"/>
    <w:rsid w:val="007A4A62"/>
    <w:rsid w:val="007A4A6C"/>
    <w:rsid w:val="007A4A7A"/>
    <w:rsid w:val="007A4A7F"/>
    <w:rsid w:val="007A4AA2"/>
    <w:rsid w:val="007A4AEF"/>
    <w:rsid w:val="007A4B34"/>
    <w:rsid w:val="007A4B54"/>
    <w:rsid w:val="007A4B75"/>
    <w:rsid w:val="007A4B84"/>
    <w:rsid w:val="007A4BA3"/>
    <w:rsid w:val="007A4BC4"/>
    <w:rsid w:val="007A4C08"/>
    <w:rsid w:val="007A4C15"/>
    <w:rsid w:val="007A4C22"/>
    <w:rsid w:val="007A4C3B"/>
    <w:rsid w:val="007A4C43"/>
    <w:rsid w:val="007A4C50"/>
    <w:rsid w:val="007A4D61"/>
    <w:rsid w:val="007A4D8F"/>
    <w:rsid w:val="007A4DB5"/>
    <w:rsid w:val="007A4E06"/>
    <w:rsid w:val="007A4E44"/>
    <w:rsid w:val="007A4E5E"/>
    <w:rsid w:val="007A4EAC"/>
    <w:rsid w:val="007A4EB4"/>
    <w:rsid w:val="007A4F2B"/>
    <w:rsid w:val="007A4F37"/>
    <w:rsid w:val="007A4FAB"/>
    <w:rsid w:val="007A4FEC"/>
    <w:rsid w:val="007A5009"/>
    <w:rsid w:val="007A500E"/>
    <w:rsid w:val="007A5010"/>
    <w:rsid w:val="007A5099"/>
    <w:rsid w:val="007A50AA"/>
    <w:rsid w:val="007A5164"/>
    <w:rsid w:val="007A5194"/>
    <w:rsid w:val="007A51AD"/>
    <w:rsid w:val="007A525E"/>
    <w:rsid w:val="007A5278"/>
    <w:rsid w:val="007A530C"/>
    <w:rsid w:val="007A5325"/>
    <w:rsid w:val="007A5326"/>
    <w:rsid w:val="007A5327"/>
    <w:rsid w:val="007A5356"/>
    <w:rsid w:val="007A5362"/>
    <w:rsid w:val="007A5369"/>
    <w:rsid w:val="007A5376"/>
    <w:rsid w:val="007A53C8"/>
    <w:rsid w:val="007A53DE"/>
    <w:rsid w:val="007A53E3"/>
    <w:rsid w:val="007A5435"/>
    <w:rsid w:val="007A543C"/>
    <w:rsid w:val="007A549B"/>
    <w:rsid w:val="007A54F5"/>
    <w:rsid w:val="007A554A"/>
    <w:rsid w:val="007A555E"/>
    <w:rsid w:val="007A5584"/>
    <w:rsid w:val="007A5589"/>
    <w:rsid w:val="007A559A"/>
    <w:rsid w:val="007A55C4"/>
    <w:rsid w:val="007A55EA"/>
    <w:rsid w:val="007A55F2"/>
    <w:rsid w:val="007A564C"/>
    <w:rsid w:val="007A5653"/>
    <w:rsid w:val="007A566D"/>
    <w:rsid w:val="007A567E"/>
    <w:rsid w:val="007A5693"/>
    <w:rsid w:val="007A56A3"/>
    <w:rsid w:val="007A56B5"/>
    <w:rsid w:val="007A56BD"/>
    <w:rsid w:val="007A56CC"/>
    <w:rsid w:val="007A56E3"/>
    <w:rsid w:val="007A56EC"/>
    <w:rsid w:val="007A5727"/>
    <w:rsid w:val="007A5735"/>
    <w:rsid w:val="007A57C2"/>
    <w:rsid w:val="007A586E"/>
    <w:rsid w:val="007A587A"/>
    <w:rsid w:val="007A58A6"/>
    <w:rsid w:val="007A58D1"/>
    <w:rsid w:val="007A58E9"/>
    <w:rsid w:val="007A58FA"/>
    <w:rsid w:val="007A5910"/>
    <w:rsid w:val="007A59A0"/>
    <w:rsid w:val="007A5A20"/>
    <w:rsid w:val="007A5A34"/>
    <w:rsid w:val="007A5A8F"/>
    <w:rsid w:val="007A5B42"/>
    <w:rsid w:val="007A5B4F"/>
    <w:rsid w:val="007A5B8E"/>
    <w:rsid w:val="007A5B8F"/>
    <w:rsid w:val="007A5BEB"/>
    <w:rsid w:val="007A5C4F"/>
    <w:rsid w:val="007A5C7E"/>
    <w:rsid w:val="007A5C98"/>
    <w:rsid w:val="007A5D0B"/>
    <w:rsid w:val="007A5DB0"/>
    <w:rsid w:val="007A5DEA"/>
    <w:rsid w:val="007A5E82"/>
    <w:rsid w:val="007A5EB3"/>
    <w:rsid w:val="007A5EE5"/>
    <w:rsid w:val="007A5F05"/>
    <w:rsid w:val="007A5F0D"/>
    <w:rsid w:val="007A5F1E"/>
    <w:rsid w:val="007A5F37"/>
    <w:rsid w:val="007A5F3C"/>
    <w:rsid w:val="007A5F5B"/>
    <w:rsid w:val="007A5F7C"/>
    <w:rsid w:val="007A5F91"/>
    <w:rsid w:val="007A5FA2"/>
    <w:rsid w:val="007A5FDE"/>
    <w:rsid w:val="007A603B"/>
    <w:rsid w:val="007A604B"/>
    <w:rsid w:val="007A604E"/>
    <w:rsid w:val="007A6052"/>
    <w:rsid w:val="007A60C7"/>
    <w:rsid w:val="007A60D6"/>
    <w:rsid w:val="007A60F2"/>
    <w:rsid w:val="007A610D"/>
    <w:rsid w:val="007A6165"/>
    <w:rsid w:val="007A6173"/>
    <w:rsid w:val="007A61A7"/>
    <w:rsid w:val="007A61ED"/>
    <w:rsid w:val="007A6203"/>
    <w:rsid w:val="007A6231"/>
    <w:rsid w:val="007A6235"/>
    <w:rsid w:val="007A6274"/>
    <w:rsid w:val="007A6287"/>
    <w:rsid w:val="007A6299"/>
    <w:rsid w:val="007A629F"/>
    <w:rsid w:val="007A630F"/>
    <w:rsid w:val="007A6320"/>
    <w:rsid w:val="007A6321"/>
    <w:rsid w:val="007A633D"/>
    <w:rsid w:val="007A63F3"/>
    <w:rsid w:val="007A6456"/>
    <w:rsid w:val="007A645D"/>
    <w:rsid w:val="007A645F"/>
    <w:rsid w:val="007A6468"/>
    <w:rsid w:val="007A64C4"/>
    <w:rsid w:val="007A6560"/>
    <w:rsid w:val="007A65E3"/>
    <w:rsid w:val="007A66CF"/>
    <w:rsid w:val="007A6735"/>
    <w:rsid w:val="007A675A"/>
    <w:rsid w:val="007A6762"/>
    <w:rsid w:val="007A67FD"/>
    <w:rsid w:val="007A6817"/>
    <w:rsid w:val="007A6826"/>
    <w:rsid w:val="007A68CB"/>
    <w:rsid w:val="007A690F"/>
    <w:rsid w:val="007A6915"/>
    <w:rsid w:val="007A692F"/>
    <w:rsid w:val="007A6972"/>
    <w:rsid w:val="007A6993"/>
    <w:rsid w:val="007A6A31"/>
    <w:rsid w:val="007A6A33"/>
    <w:rsid w:val="007A6A92"/>
    <w:rsid w:val="007A6ACB"/>
    <w:rsid w:val="007A6ADF"/>
    <w:rsid w:val="007A6AFE"/>
    <w:rsid w:val="007A6BA6"/>
    <w:rsid w:val="007A6C70"/>
    <w:rsid w:val="007A6CA1"/>
    <w:rsid w:val="007A6CB7"/>
    <w:rsid w:val="007A6D18"/>
    <w:rsid w:val="007A6D1B"/>
    <w:rsid w:val="007A6D1E"/>
    <w:rsid w:val="007A6D3E"/>
    <w:rsid w:val="007A6D6A"/>
    <w:rsid w:val="007A6D9E"/>
    <w:rsid w:val="007A6DEB"/>
    <w:rsid w:val="007A6E23"/>
    <w:rsid w:val="007A6E3A"/>
    <w:rsid w:val="007A6E63"/>
    <w:rsid w:val="007A6E88"/>
    <w:rsid w:val="007A704C"/>
    <w:rsid w:val="007A7072"/>
    <w:rsid w:val="007A70BC"/>
    <w:rsid w:val="007A7140"/>
    <w:rsid w:val="007A719C"/>
    <w:rsid w:val="007A71DB"/>
    <w:rsid w:val="007A71E7"/>
    <w:rsid w:val="007A71FD"/>
    <w:rsid w:val="007A7216"/>
    <w:rsid w:val="007A727D"/>
    <w:rsid w:val="007A7283"/>
    <w:rsid w:val="007A729E"/>
    <w:rsid w:val="007A72C1"/>
    <w:rsid w:val="007A72CC"/>
    <w:rsid w:val="007A72CE"/>
    <w:rsid w:val="007A730B"/>
    <w:rsid w:val="007A73C1"/>
    <w:rsid w:val="007A73E0"/>
    <w:rsid w:val="007A73EC"/>
    <w:rsid w:val="007A7438"/>
    <w:rsid w:val="007A7501"/>
    <w:rsid w:val="007A7517"/>
    <w:rsid w:val="007A7579"/>
    <w:rsid w:val="007A75A1"/>
    <w:rsid w:val="007A75CC"/>
    <w:rsid w:val="007A7631"/>
    <w:rsid w:val="007A7647"/>
    <w:rsid w:val="007A76BC"/>
    <w:rsid w:val="007A76F4"/>
    <w:rsid w:val="007A7721"/>
    <w:rsid w:val="007A7759"/>
    <w:rsid w:val="007A7765"/>
    <w:rsid w:val="007A776D"/>
    <w:rsid w:val="007A77A1"/>
    <w:rsid w:val="007A77D1"/>
    <w:rsid w:val="007A7847"/>
    <w:rsid w:val="007A78CC"/>
    <w:rsid w:val="007A78FF"/>
    <w:rsid w:val="007A7911"/>
    <w:rsid w:val="007A793C"/>
    <w:rsid w:val="007A7947"/>
    <w:rsid w:val="007A795E"/>
    <w:rsid w:val="007A7966"/>
    <w:rsid w:val="007A79C2"/>
    <w:rsid w:val="007A79E5"/>
    <w:rsid w:val="007A7A26"/>
    <w:rsid w:val="007A7A55"/>
    <w:rsid w:val="007A7A7A"/>
    <w:rsid w:val="007A7A80"/>
    <w:rsid w:val="007A7AA1"/>
    <w:rsid w:val="007A7ABD"/>
    <w:rsid w:val="007A7B37"/>
    <w:rsid w:val="007A7B88"/>
    <w:rsid w:val="007A7B90"/>
    <w:rsid w:val="007A7BB3"/>
    <w:rsid w:val="007A7BC4"/>
    <w:rsid w:val="007A7BDC"/>
    <w:rsid w:val="007A7BFB"/>
    <w:rsid w:val="007A7C23"/>
    <w:rsid w:val="007A7C49"/>
    <w:rsid w:val="007A7CE7"/>
    <w:rsid w:val="007A7D5C"/>
    <w:rsid w:val="007A7DAB"/>
    <w:rsid w:val="007A7DAE"/>
    <w:rsid w:val="007A7DBA"/>
    <w:rsid w:val="007A7DE0"/>
    <w:rsid w:val="007A7E14"/>
    <w:rsid w:val="007A7E33"/>
    <w:rsid w:val="007A7E4F"/>
    <w:rsid w:val="007A7E54"/>
    <w:rsid w:val="007A7E65"/>
    <w:rsid w:val="007A7EB1"/>
    <w:rsid w:val="007A7F23"/>
    <w:rsid w:val="007A7F3D"/>
    <w:rsid w:val="007A7F42"/>
    <w:rsid w:val="007A7F60"/>
    <w:rsid w:val="007A7F91"/>
    <w:rsid w:val="007B0019"/>
    <w:rsid w:val="007B0031"/>
    <w:rsid w:val="007B0055"/>
    <w:rsid w:val="007B009C"/>
    <w:rsid w:val="007B00AC"/>
    <w:rsid w:val="007B00B0"/>
    <w:rsid w:val="007B00BD"/>
    <w:rsid w:val="007B00D8"/>
    <w:rsid w:val="007B00E5"/>
    <w:rsid w:val="007B0176"/>
    <w:rsid w:val="007B0180"/>
    <w:rsid w:val="007B01DD"/>
    <w:rsid w:val="007B0221"/>
    <w:rsid w:val="007B0261"/>
    <w:rsid w:val="007B0273"/>
    <w:rsid w:val="007B031A"/>
    <w:rsid w:val="007B0359"/>
    <w:rsid w:val="007B037A"/>
    <w:rsid w:val="007B0502"/>
    <w:rsid w:val="007B0506"/>
    <w:rsid w:val="007B0552"/>
    <w:rsid w:val="007B05E3"/>
    <w:rsid w:val="007B05F3"/>
    <w:rsid w:val="007B066B"/>
    <w:rsid w:val="007B0682"/>
    <w:rsid w:val="007B072E"/>
    <w:rsid w:val="007B075F"/>
    <w:rsid w:val="007B0760"/>
    <w:rsid w:val="007B077D"/>
    <w:rsid w:val="007B0815"/>
    <w:rsid w:val="007B0869"/>
    <w:rsid w:val="007B0900"/>
    <w:rsid w:val="007B091B"/>
    <w:rsid w:val="007B0929"/>
    <w:rsid w:val="007B094C"/>
    <w:rsid w:val="007B0950"/>
    <w:rsid w:val="007B0964"/>
    <w:rsid w:val="007B0976"/>
    <w:rsid w:val="007B09C8"/>
    <w:rsid w:val="007B0A9F"/>
    <w:rsid w:val="007B0AC8"/>
    <w:rsid w:val="007B0B01"/>
    <w:rsid w:val="007B0B02"/>
    <w:rsid w:val="007B0BAF"/>
    <w:rsid w:val="007B0BC8"/>
    <w:rsid w:val="007B0BDD"/>
    <w:rsid w:val="007B0C17"/>
    <w:rsid w:val="007B0C34"/>
    <w:rsid w:val="007B0C56"/>
    <w:rsid w:val="007B0C78"/>
    <w:rsid w:val="007B0CB7"/>
    <w:rsid w:val="007B0CF8"/>
    <w:rsid w:val="007B0D07"/>
    <w:rsid w:val="007B0D0E"/>
    <w:rsid w:val="007B0DB4"/>
    <w:rsid w:val="007B0E53"/>
    <w:rsid w:val="007B0E64"/>
    <w:rsid w:val="007B0E7A"/>
    <w:rsid w:val="007B0ED1"/>
    <w:rsid w:val="007B0F05"/>
    <w:rsid w:val="007B0F2A"/>
    <w:rsid w:val="007B0FB8"/>
    <w:rsid w:val="007B0FE0"/>
    <w:rsid w:val="007B109F"/>
    <w:rsid w:val="007B10B6"/>
    <w:rsid w:val="007B10F4"/>
    <w:rsid w:val="007B110A"/>
    <w:rsid w:val="007B115B"/>
    <w:rsid w:val="007B1191"/>
    <w:rsid w:val="007B119A"/>
    <w:rsid w:val="007B11CA"/>
    <w:rsid w:val="007B11D2"/>
    <w:rsid w:val="007B1265"/>
    <w:rsid w:val="007B126D"/>
    <w:rsid w:val="007B12E5"/>
    <w:rsid w:val="007B133F"/>
    <w:rsid w:val="007B139F"/>
    <w:rsid w:val="007B13B6"/>
    <w:rsid w:val="007B13E0"/>
    <w:rsid w:val="007B140B"/>
    <w:rsid w:val="007B1481"/>
    <w:rsid w:val="007B1487"/>
    <w:rsid w:val="007B14BF"/>
    <w:rsid w:val="007B1505"/>
    <w:rsid w:val="007B1517"/>
    <w:rsid w:val="007B15A1"/>
    <w:rsid w:val="007B1625"/>
    <w:rsid w:val="007B1637"/>
    <w:rsid w:val="007B164B"/>
    <w:rsid w:val="007B16C5"/>
    <w:rsid w:val="007B1737"/>
    <w:rsid w:val="007B174E"/>
    <w:rsid w:val="007B1806"/>
    <w:rsid w:val="007B1814"/>
    <w:rsid w:val="007B187E"/>
    <w:rsid w:val="007B18B2"/>
    <w:rsid w:val="007B18CC"/>
    <w:rsid w:val="007B1947"/>
    <w:rsid w:val="007B1953"/>
    <w:rsid w:val="007B1987"/>
    <w:rsid w:val="007B19E2"/>
    <w:rsid w:val="007B19E9"/>
    <w:rsid w:val="007B1A28"/>
    <w:rsid w:val="007B1A4F"/>
    <w:rsid w:val="007B1A9D"/>
    <w:rsid w:val="007B1AFE"/>
    <w:rsid w:val="007B1B09"/>
    <w:rsid w:val="007B1B2C"/>
    <w:rsid w:val="007B1BD8"/>
    <w:rsid w:val="007B1BEE"/>
    <w:rsid w:val="007B1BF3"/>
    <w:rsid w:val="007B1C06"/>
    <w:rsid w:val="007B1C33"/>
    <w:rsid w:val="007B1C6F"/>
    <w:rsid w:val="007B1CBE"/>
    <w:rsid w:val="007B1D73"/>
    <w:rsid w:val="007B1DFF"/>
    <w:rsid w:val="007B1E31"/>
    <w:rsid w:val="007B1EC4"/>
    <w:rsid w:val="007B1F1C"/>
    <w:rsid w:val="007B1FC1"/>
    <w:rsid w:val="007B1FEA"/>
    <w:rsid w:val="007B1FF5"/>
    <w:rsid w:val="007B203E"/>
    <w:rsid w:val="007B204F"/>
    <w:rsid w:val="007B20BF"/>
    <w:rsid w:val="007B210D"/>
    <w:rsid w:val="007B2143"/>
    <w:rsid w:val="007B21AD"/>
    <w:rsid w:val="007B21B8"/>
    <w:rsid w:val="007B2238"/>
    <w:rsid w:val="007B2249"/>
    <w:rsid w:val="007B2255"/>
    <w:rsid w:val="007B2271"/>
    <w:rsid w:val="007B2326"/>
    <w:rsid w:val="007B2342"/>
    <w:rsid w:val="007B23CB"/>
    <w:rsid w:val="007B243B"/>
    <w:rsid w:val="007B244E"/>
    <w:rsid w:val="007B2458"/>
    <w:rsid w:val="007B2475"/>
    <w:rsid w:val="007B2487"/>
    <w:rsid w:val="007B25C5"/>
    <w:rsid w:val="007B25E9"/>
    <w:rsid w:val="007B25F1"/>
    <w:rsid w:val="007B260C"/>
    <w:rsid w:val="007B261A"/>
    <w:rsid w:val="007B2646"/>
    <w:rsid w:val="007B276E"/>
    <w:rsid w:val="007B279F"/>
    <w:rsid w:val="007B27B8"/>
    <w:rsid w:val="007B27F7"/>
    <w:rsid w:val="007B28CA"/>
    <w:rsid w:val="007B28E1"/>
    <w:rsid w:val="007B28F7"/>
    <w:rsid w:val="007B290A"/>
    <w:rsid w:val="007B2919"/>
    <w:rsid w:val="007B2995"/>
    <w:rsid w:val="007B29B6"/>
    <w:rsid w:val="007B29DA"/>
    <w:rsid w:val="007B29E0"/>
    <w:rsid w:val="007B2A12"/>
    <w:rsid w:val="007B2A19"/>
    <w:rsid w:val="007B2A6B"/>
    <w:rsid w:val="007B2AE3"/>
    <w:rsid w:val="007B2B35"/>
    <w:rsid w:val="007B2B56"/>
    <w:rsid w:val="007B2B59"/>
    <w:rsid w:val="007B2BD3"/>
    <w:rsid w:val="007B2C50"/>
    <w:rsid w:val="007B2CC0"/>
    <w:rsid w:val="007B2CE8"/>
    <w:rsid w:val="007B2CFA"/>
    <w:rsid w:val="007B2D4C"/>
    <w:rsid w:val="007B2D68"/>
    <w:rsid w:val="007B2D82"/>
    <w:rsid w:val="007B2D9F"/>
    <w:rsid w:val="007B2DFC"/>
    <w:rsid w:val="007B2E64"/>
    <w:rsid w:val="007B2E78"/>
    <w:rsid w:val="007B2E80"/>
    <w:rsid w:val="007B2E93"/>
    <w:rsid w:val="007B2F5E"/>
    <w:rsid w:val="007B2F85"/>
    <w:rsid w:val="007B2F87"/>
    <w:rsid w:val="007B2FB2"/>
    <w:rsid w:val="007B2FC3"/>
    <w:rsid w:val="007B2FC6"/>
    <w:rsid w:val="007B2FFE"/>
    <w:rsid w:val="007B3038"/>
    <w:rsid w:val="007B303A"/>
    <w:rsid w:val="007B3063"/>
    <w:rsid w:val="007B3083"/>
    <w:rsid w:val="007B308C"/>
    <w:rsid w:val="007B3099"/>
    <w:rsid w:val="007B30AB"/>
    <w:rsid w:val="007B30E8"/>
    <w:rsid w:val="007B30FE"/>
    <w:rsid w:val="007B315B"/>
    <w:rsid w:val="007B31E3"/>
    <w:rsid w:val="007B31F5"/>
    <w:rsid w:val="007B3238"/>
    <w:rsid w:val="007B32A9"/>
    <w:rsid w:val="007B32D4"/>
    <w:rsid w:val="007B32F0"/>
    <w:rsid w:val="007B32FD"/>
    <w:rsid w:val="007B3330"/>
    <w:rsid w:val="007B333C"/>
    <w:rsid w:val="007B334C"/>
    <w:rsid w:val="007B3368"/>
    <w:rsid w:val="007B33EA"/>
    <w:rsid w:val="007B342B"/>
    <w:rsid w:val="007B348F"/>
    <w:rsid w:val="007B34A7"/>
    <w:rsid w:val="007B34B5"/>
    <w:rsid w:val="007B34E5"/>
    <w:rsid w:val="007B34E8"/>
    <w:rsid w:val="007B351A"/>
    <w:rsid w:val="007B3569"/>
    <w:rsid w:val="007B3597"/>
    <w:rsid w:val="007B35C1"/>
    <w:rsid w:val="007B35C5"/>
    <w:rsid w:val="007B35C7"/>
    <w:rsid w:val="007B35CE"/>
    <w:rsid w:val="007B361C"/>
    <w:rsid w:val="007B36A1"/>
    <w:rsid w:val="007B36D1"/>
    <w:rsid w:val="007B36EC"/>
    <w:rsid w:val="007B3701"/>
    <w:rsid w:val="007B371B"/>
    <w:rsid w:val="007B3727"/>
    <w:rsid w:val="007B373D"/>
    <w:rsid w:val="007B375C"/>
    <w:rsid w:val="007B381A"/>
    <w:rsid w:val="007B388F"/>
    <w:rsid w:val="007B38DE"/>
    <w:rsid w:val="007B38F9"/>
    <w:rsid w:val="007B3904"/>
    <w:rsid w:val="007B3955"/>
    <w:rsid w:val="007B3956"/>
    <w:rsid w:val="007B3987"/>
    <w:rsid w:val="007B39D3"/>
    <w:rsid w:val="007B3A21"/>
    <w:rsid w:val="007B3A80"/>
    <w:rsid w:val="007B3AC3"/>
    <w:rsid w:val="007B3AEA"/>
    <w:rsid w:val="007B3B22"/>
    <w:rsid w:val="007B3B2B"/>
    <w:rsid w:val="007B3B6C"/>
    <w:rsid w:val="007B3BF5"/>
    <w:rsid w:val="007B3C1A"/>
    <w:rsid w:val="007B3C47"/>
    <w:rsid w:val="007B3C4B"/>
    <w:rsid w:val="007B3C7B"/>
    <w:rsid w:val="007B3C9D"/>
    <w:rsid w:val="007B3D18"/>
    <w:rsid w:val="007B3D8B"/>
    <w:rsid w:val="007B3DB7"/>
    <w:rsid w:val="007B3E0F"/>
    <w:rsid w:val="007B3E28"/>
    <w:rsid w:val="007B3E70"/>
    <w:rsid w:val="007B3EF6"/>
    <w:rsid w:val="007B3F21"/>
    <w:rsid w:val="007B3F7A"/>
    <w:rsid w:val="007B3F82"/>
    <w:rsid w:val="007B3F9E"/>
    <w:rsid w:val="007B4018"/>
    <w:rsid w:val="007B4045"/>
    <w:rsid w:val="007B404E"/>
    <w:rsid w:val="007B4077"/>
    <w:rsid w:val="007B40A4"/>
    <w:rsid w:val="007B40F7"/>
    <w:rsid w:val="007B40FB"/>
    <w:rsid w:val="007B4108"/>
    <w:rsid w:val="007B415F"/>
    <w:rsid w:val="007B41B5"/>
    <w:rsid w:val="007B41DA"/>
    <w:rsid w:val="007B4248"/>
    <w:rsid w:val="007B4260"/>
    <w:rsid w:val="007B4281"/>
    <w:rsid w:val="007B4288"/>
    <w:rsid w:val="007B429C"/>
    <w:rsid w:val="007B42B9"/>
    <w:rsid w:val="007B42E8"/>
    <w:rsid w:val="007B42F6"/>
    <w:rsid w:val="007B433D"/>
    <w:rsid w:val="007B43CA"/>
    <w:rsid w:val="007B442C"/>
    <w:rsid w:val="007B44B1"/>
    <w:rsid w:val="007B44E2"/>
    <w:rsid w:val="007B44FF"/>
    <w:rsid w:val="007B455B"/>
    <w:rsid w:val="007B455F"/>
    <w:rsid w:val="007B458B"/>
    <w:rsid w:val="007B45B6"/>
    <w:rsid w:val="007B45DC"/>
    <w:rsid w:val="007B45E5"/>
    <w:rsid w:val="007B45F2"/>
    <w:rsid w:val="007B4614"/>
    <w:rsid w:val="007B464B"/>
    <w:rsid w:val="007B466A"/>
    <w:rsid w:val="007B46C2"/>
    <w:rsid w:val="007B471B"/>
    <w:rsid w:val="007B4720"/>
    <w:rsid w:val="007B474D"/>
    <w:rsid w:val="007B4768"/>
    <w:rsid w:val="007B47E7"/>
    <w:rsid w:val="007B4815"/>
    <w:rsid w:val="007B482B"/>
    <w:rsid w:val="007B4865"/>
    <w:rsid w:val="007B486A"/>
    <w:rsid w:val="007B489A"/>
    <w:rsid w:val="007B48BB"/>
    <w:rsid w:val="007B48C1"/>
    <w:rsid w:val="007B48D1"/>
    <w:rsid w:val="007B490B"/>
    <w:rsid w:val="007B49A2"/>
    <w:rsid w:val="007B49B2"/>
    <w:rsid w:val="007B49C1"/>
    <w:rsid w:val="007B49D0"/>
    <w:rsid w:val="007B49F2"/>
    <w:rsid w:val="007B49FC"/>
    <w:rsid w:val="007B4A26"/>
    <w:rsid w:val="007B4A57"/>
    <w:rsid w:val="007B4A71"/>
    <w:rsid w:val="007B4AA0"/>
    <w:rsid w:val="007B4AA7"/>
    <w:rsid w:val="007B4AAD"/>
    <w:rsid w:val="007B4ACF"/>
    <w:rsid w:val="007B4B35"/>
    <w:rsid w:val="007B4B3F"/>
    <w:rsid w:val="007B4B79"/>
    <w:rsid w:val="007B4B91"/>
    <w:rsid w:val="007B4BAE"/>
    <w:rsid w:val="007B4BF7"/>
    <w:rsid w:val="007B4C0E"/>
    <w:rsid w:val="007B4C4F"/>
    <w:rsid w:val="007B4C63"/>
    <w:rsid w:val="007B4C8E"/>
    <w:rsid w:val="007B4C9E"/>
    <w:rsid w:val="007B4CBD"/>
    <w:rsid w:val="007B4CE6"/>
    <w:rsid w:val="007B4CEA"/>
    <w:rsid w:val="007B4D22"/>
    <w:rsid w:val="007B4D5B"/>
    <w:rsid w:val="007B4D6C"/>
    <w:rsid w:val="007B4DA8"/>
    <w:rsid w:val="007B4DC1"/>
    <w:rsid w:val="007B4DEC"/>
    <w:rsid w:val="007B4DFE"/>
    <w:rsid w:val="007B4E10"/>
    <w:rsid w:val="007B4E4C"/>
    <w:rsid w:val="007B4EB0"/>
    <w:rsid w:val="007B4F1F"/>
    <w:rsid w:val="007B4F40"/>
    <w:rsid w:val="007B4FC0"/>
    <w:rsid w:val="007B4FE2"/>
    <w:rsid w:val="007B5008"/>
    <w:rsid w:val="007B5066"/>
    <w:rsid w:val="007B5078"/>
    <w:rsid w:val="007B50AB"/>
    <w:rsid w:val="007B50CC"/>
    <w:rsid w:val="007B50D5"/>
    <w:rsid w:val="007B5148"/>
    <w:rsid w:val="007B5152"/>
    <w:rsid w:val="007B5171"/>
    <w:rsid w:val="007B51BC"/>
    <w:rsid w:val="007B51C1"/>
    <w:rsid w:val="007B5207"/>
    <w:rsid w:val="007B523C"/>
    <w:rsid w:val="007B525F"/>
    <w:rsid w:val="007B5276"/>
    <w:rsid w:val="007B52E8"/>
    <w:rsid w:val="007B52EA"/>
    <w:rsid w:val="007B532D"/>
    <w:rsid w:val="007B5364"/>
    <w:rsid w:val="007B5395"/>
    <w:rsid w:val="007B5396"/>
    <w:rsid w:val="007B53B6"/>
    <w:rsid w:val="007B53D3"/>
    <w:rsid w:val="007B53D4"/>
    <w:rsid w:val="007B5474"/>
    <w:rsid w:val="007B547D"/>
    <w:rsid w:val="007B5484"/>
    <w:rsid w:val="007B5513"/>
    <w:rsid w:val="007B5550"/>
    <w:rsid w:val="007B55E1"/>
    <w:rsid w:val="007B5629"/>
    <w:rsid w:val="007B5643"/>
    <w:rsid w:val="007B5655"/>
    <w:rsid w:val="007B56E4"/>
    <w:rsid w:val="007B56F5"/>
    <w:rsid w:val="007B575C"/>
    <w:rsid w:val="007B575D"/>
    <w:rsid w:val="007B57E4"/>
    <w:rsid w:val="007B5833"/>
    <w:rsid w:val="007B5869"/>
    <w:rsid w:val="007B589D"/>
    <w:rsid w:val="007B589F"/>
    <w:rsid w:val="007B58A9"/>
    <w:rsid w:val="007B58AC"/>
    <w:rsid w:val="007B58E1"/>
    <w:rsid w:val="007B5956"/>
    <w:rsid w:val="007B59AC"/>
    <w:rsid w:val="007B59DA"/>
    <w:rsid w:val="007B5A93"/>
    <w:rsid w:val="007B5B5A"/>
    <w:rsid w:val="007B5B73"/>
    <w:rsid w:val="007B5B9E"/>
    <w:rsid w:val="007B5BA3"/>
    <w:rsid w:val="007B5BE4"/>
    <w:rsid w:val="007B5BE8"/>
    <w:rsid w:val="007B5BF7"/>
    <w:rsid w:val="007B5C22"/>
    <w:rsid w:val="007B5C7B"/>
    <w:rsid w:val="007B5C87"/>
    <w:rsid w:val="007B5C9A"/>
    <w:rsid w:val="007B5CB3"/>
    <w:rsid w:val="007B5D0B"/>
    <w:rsid w:val="007B5D10"/>
    <w:rsid w:val="007B5D5E"/>
    <w:rsid w:val="007B5D6F"/>
    <w:rsid w:val="007B5D9C"/>
    <w:rsid w:val="007B5D9F"/>
    <w:rsid w:val="007B5DF3"/>
    <w:rsid w:val="007B5DFB"/>
    <w:rsid w:val="007B5E5B"/>
    <w:rsid w:val="007B5E62"/>
    <w:rsid w:val="007B5E9F"/>
    <w:rsid w:val="007B5EA8"/>
    <w:rsid w:val="007B5F01"/>
    <w:rsid w:val="007B5F36"/>
    <w:rsid w:val="007B5F3B"/>
    <w:rsid w:val="007B5F54"/>
    <w:rsid w:val="007B5FCB"/>
    <w:rsid w:val="007B5FD0"/>
    <w:rsid w:val="007B6032"/>
    <w:rsid w:val="007B61A8"/>
    <w:rsid w:val="007B61B2"/>
    <w:rsid w:val="007B61BC"/>
    <w:rsid w:val="007B61FC"/>
    <w:rsid w:val="007B6258"/>
    <w:rsid w:val="007B62B4"/>
    <w:rsid w:val="007B62E5"/>
    <w:rsid w:val="007B631E"/>
    <w:rsid w:val="007B6331"/>
    <w:rsid w:val="007B637C"/>
    <w:rsid w:val="007B6394"/>
    <w:rsid w:val="007B63FC"/>
    <w:rsid w:val="007B6431"/>
    <w:rsid w:val="007B6489"/>
    <w:rsid w:val="007B64DD"/>
    <w:rsid w:val="007B6507"/>
    <w:rsid w:val="007B6526"/>
    <w:rsid w:val="007B6529"/>
    <w:rsid w:val="007B652F"/>
    <w:rsid w:val="007B6532"/>
    <w:rsid w:val="007B6581"/>
    <w:rsid w:val="007B65D2"/>
    <w:rsid w:val="007B666A"/>
    <w:rsid w:val="007B6695"/>
    <w:rsid w:val="007B66C4"/>
    <w:rsid w:val="007B66E3"/>
    <w:rsid w:val="007B66F5"/>
    <w:rsid w:val="007B66F9"/>
    <w:rsid w:val="007B670E"/>
    <w:rsid w:val="007B6728"/>
    <w:rsid w:val="007B6776"/>
    <w:rsid w:val="007B677F"/>
    <w:rsid w:val="007B678B"/>
    <w:rsid w:val="007B67B4"/>
    <w:rsid w:val="007B67D9"/>
    <w:rsid w:val="007B680A"/>
    <w:rsid w:val="007B6854"/>
    <w:rsid w:val="007B68A6"/>
    <w:rsid w:val="007B68F2"/>
    <w:rsid w:val="007B68F3"/>
    <w:rsid w:val="007B6933"/>
    <w:rsid w:val="007B6937"/>
    <w:rsid w:val="007B6A41"/>
    <w:rsid w:val="007B6A47"/>
    <w:rsid w:val="007B6A5B"/>
    <w:rsid w:val="007B6ABF"/>
    <w:rsid w:val="007B6AD5"/>
    <w:rsid w:val="007B6AD6"/>
    <w:rsid w:val="007B6AFA"/>
    <w:rsid w:val="007B6B15"/>
    <w:rsid w:val="007B6B60"/>
    <w:rsid w:val="007B6B63"/>
    <w:rsid w:val="007B6B66"/>
    <w:rsid w:val="007B6B93"/>
    <w:rsid w:val="007B6C2F"/>
    <w:rsid w:val="007B6C3C"/>
    <w:rsid w:val="007B6C6B"/>
    <w:rsid w:val="007B6C80"/>
    <w:rsid w:val="007B6C8B"/>
    <w:rsid w:val="007B6CDB"/>
    <w:rsid w:val="007B6CE0"/>
    <w:rsid w:val="007B6D4F"/>
    <w:rsid w:val="007B6D55"/>
    <w:rsid w:val="007B6D57"/>
    <w:rsid w:val="007B6DE0"/>
    <w:rsid w:val="007B6E11"/>
    <w:rsid w:val="007B6E2A"/>
    <w:rsid w:val="007B6E3A"/>
    <w:rsid w:val="007B6EA1"/>
    <w:rsid w:val="007B6EA5"/>
    <w:rsid w:val="007B6ED6"/>
    <w:rsid w:val="007B6F15"/>
    <w:rsid w:val="007B6F1D"/>
    <w:rsid w:val="007B6F43"/>
    <w:rsid w:val="007B6F79"/>
    <w:rsid w:val="007B6F98"/>
    <w:rsid w:val="007B6FA4"/>
    <w:rsid w:val="007B6FBE"/>
    <w:rsid w:val="007B6FC6"/>
    <w:rsid w:val="007B6FFC"/>
    <w:rsid w:val="007B7008"/>
    <w:rsid w:val="007B702A"/>
    <w:rsid w:val="007B7041"/>
    <w:rsid w:val="007B70DB"/>
    <w:rsid w:val="007B70F2"/>
    <w:rsid w:val="007B70FE"/>
    <w:rsid w:val="007B711C"/>
    <w:rsid w:val="007B71A3"/>
    <w:rsid w:val="007B7229"/>
    <w:rsid w:val="007B7260"/>
    <w:rsid w:val="007B7272"/>
    <w:rsid w:val="007B7282"/>
    <w:rsid w:val="007B72AF"/>
    <w:rsid w:val="007B72CC"/>
    <w:rsid w:val="007B72D7"/>
    <w:rsid w:val="007B72E4"/>
    <w:rsid w:val="007B7309"/>
    <w:rsid w:val="007B734D"/>
    <w:rsid w:val="007B737C"/>
    <w:rsid w:val="007B7387"/>
    <w:rsid w:val="007B7398"/>
    <w:rsid w:val="007B73CC"/>
    <w:rsid w:val="007B73E8"/>
    <w:rsid w:val="007B7426"/>
    <w:rsid w:val="007B7454"/>
    <w:rsid w:val="007B7478"/>
    <w:rsid w:val="007B748E"/>
    <w:rsid w:val="007B7521"/>
    <w:rsid w:val="007B753D"/>
    <w:rsid w:val="007B753E"/>
    <w:rsid w:val="007B7545"/>
    <w:rsid w:val="007B7580"/>
    <w:rsid w:val="007B75ED"/>
    <w:rsid w:val="007B7608"/>
    <w:rsid w:val="007B7650"/>
    <w:rsid w:val="007B766D"/>
    <w:rsid w:val="007B76C9"/>
    <w:rsid w:val="007B76E7"/>
    <w:rsid w:val="007B772A"/>
    <w:rsid w:val="007B7767"/>
    <w:rsid w:val="007B7779"/>
    <w:rsid w:val="007B77B4"/>
    <w:rsid w:val="007B77DE"/>
    <w:rsid w:val="007B77F1"/>
    <w:rsid w:val="007B7809"/>
    <w:rsid w:val="007B7821"/>
    <w:rsid w:val="007B7937"/>
    <w:rsid w:val="007B795E"/>
    <w:rsid w:val="007B7980"/>
    <w:rsid w:val="007B79B2"/>
    <w:rsid w:val="007B79FA"/>
    <w:rsid w:val="007B7A4A"/>
    <w:rsid w:val="007B7A50"/>
    <w:rsid w:val="007B7AA9"/>
    <w:rsid w:val="007B7B33"/>
    <w:rsid w:val="007B7BBB"/>
    <w:rsid w:val="007B7BBD"/>
    <w:rsid w:val="007B7BDC"/>
    <w:rsid w:val="007B7BE7"/>
    <w:rsid w:val="007B7BE9"/>
    <w:rsid w:val="007B7C47"/>
    <w:rsid w:val="007B7C51"/>
    <w:rsid w:val="007B7D10"/>
    <w:rsid w:val="007B7D35"/>
    <w:rsid w:val="007B7D7A"/>
    <w:rsid w:val="007B7D7E"/>
    <w:rsid w:val="007B7D9F"/>
    <w:rsid w:val="007B7DA5"/>
    <w:rsid w:val="007B7DA8"/>
    <w:rsid w:val="007B7DDB"/>
    <w:rsid w:val="007B7E5F"/>
    <w:rsid w:val="007B7EF0"/>
    <w:rsid w:val="007B7EFC"/>
    <w:rsid w:val="007B7F27"/>
    <w:rsid w:val="007B7F2C"/>
    <w:rsid w:val="007B7F30"/>
    <w:rsid w:val="007B7F46"/>
    <w:rsid w:val="007B7F6A"/>
    <w:rsid w:val="007B7FA8"/>
    <w:rsid w:val="007B7FBE"/>
    <w:rsid w:val="007B7FC3"/>
    <w:rsid w:val="007B7FE8"/>
    <w:rsid w:val="007C0038"/>
    <w:rsid w:val="007C0061"/>
    <w:rsid w:val="007C0079"/>
    <w:rsid w:val="007C00A8"/>
    <w:rsid w:val="007C00AC"/>
    <w:rsid w:val="007C00D8"/>
    <w:rsid w:val="007C00E6"/>
    <w:rsid w:val="007C0142"/>
    <w:rsid w:val="007C0149"/>
    <w:rsid w:val="007C0165"/>
    <w:rsid w:val="007C019C"/>
    <w:rsid w:val="007C01EA"/>
    <w:rsid w:val="007C027D"/>
    <w:rsid w:val="007C02A7"/>
    <w:rsid w:val="007C0308"/>
    <w:rsid w:val="007C033D"/>
    <w:rsid w:val="007C0347"/>
    <w:rsid w:val="007C0372"/>
    <w:rsid w:val="007C03A1"/>
    <w:rsid w:val="007C03AA"/>
    <w:rsid w:val="007C03BE"/>
    <w:rsid w:val="007C03D0"/>
    <w:rsid w:val="007C03FA"/>
    <w:rsid w:val="007C04F5"/>
    <w:rsid w:val="007C04FE"/>
    <w:rsid w:val="007C0509"/>
    <w:rsid w:val="007C0516"/>
    <w:rsid w:val="007C0527"/>
    <w:rsid w:val="007C0576"/>
    <w:rsid w:val="007C0582"/>
    <w:rsid w:val="007C0610"/>
    <w:rsid w:val="007C0616"/>
    <w:rsid w:val="007C063F"/>
    <w:rsid w:val="007C0645"/>
    <w:rsid w:val="007C065D"/>
    <w:rsid w:val="007C0696"/>
    <w:rsid w:val="007C06F5"/>
    <w:rsid w:val="007C0708"/>
    <w:rsid w:val="007C071D"/>
    <w:rsid w:val="007C073B"/>
    <w:rsid w:val="007C0757"/>
    <w:rsid w:val="007C07CC"/>
    <w:rsid w:val="007C08A3"/>
    <w:rsid w:val="007C0950"/>
    <w:rsid w:val="007C096B"/>
    <w:rsid w:val="007C096D"/>
    <w:rsid w:val="007C09BC"/>
    <w:rsid w:val="007C0A02"/>
    <w:rsid w:val="007C0A0B"/>
    <w:rsid w:val="007C0A10"/>
    <w:rsid w:val="007C0AC0"/>
    <w:rsid w:val="007C0AF3"/>
    <w:rsid w:val="007C0AF8"/>
    <w:rsid w:val="007C0AF9"/>
    <w:rsid w:val="007C0B18"/>
    <w:rsid w:val="007C0B3A"/>
    <w:rsid w:val="007C0B81"/>
    <w:rsid w:val="007C0C03"/>
    <w:rsid w:val="007C0C23"/>
    <w:rsid w:val="007C0C8D"/>
    <w:rsid w:val="007C0D3B"/>
    <w:rsid w:val="007C0D3D"/>
    <w:rsid w:val="007C0D48"/>
    <w:rsid w:val="007C0D49"/>
    <w:rsid w:val="007C0D76"/>
    <w:rsid w:val="007C0DB1"/>
    <w:rsid w:val="007C0E90"/>
    <w:rsid w:val="007C0EFB"/>
    <w:rsid w:val="007C0F1E"/>
    <w:rsid w:val="007C0F93"/>
    <w:rsid w:val="007C0FA3"/>
    <w:rsid w:val="007C0FD3"/>
    <w:rsid w:val="007C0FF0"/>
    <w:rsid w:val="007C1011"/>
    <w:rsid w:val="007C1028"/>
    <w:rsid w:val="007C10A6"/>
    <w:rsid w:val="007C10CD"/>
    <w:rsid w:val="007C10D5"/>
    <w:rsid w:val="007C10E1"/>
    <w:rsid w:val="007C10E8"/>
    <w:rsid w:val="007C1152"/>
    <w:rsid w:val="007C11A6"/>
    <w:rsid w:val="007C11BA"/>
    <w:rsid w:val="007C11F3"/>
    <w:rsid w:val="007C1293"/>
    <w:rsid w:val="007C12AF"/>
    <w:rsid w:val="007C12C4"/>
    <w:rsid w:val="007C12F5"/>
    <w:rsid w:val="007C1311"/>
    <w:rsid w:val="007C1318"/>
    <w:rsid w:val="007C1342"/>
    <w:rsid w:val="007C1362"/>
    <w:rsid w:val="007C13B2"/>
    <w:rsid w:val="007C13FA"/>
    <w:rsid w:val="007C141B"/>
    <w:rsid w:val="007C1426"/>
    <w:rsid w:val="007C1476"/>
    <w:rsid w:val="007C14B5"/>
    <w:rsid w:val="007C14E7"/>
    <w:rsid w:val="007C154F"/>
    <w:rsid w:val="007C155C"/>
    <w:rsid w:val="007C1587"/>
    <w:rsid w:val="007C1596"/>
    <w:rsid w:val="007C1627"/>
    <w:rsid w:val="007C1630"/>
    <w:rsid w:val="007C1657"/>
    <w:rsid w:val="007C1662"/>
    <w:rsid w:val="007C166F"/>
    <w:rsid w:val="007C1680"/>
    <w:rsid w:val="007C169B"/>
    <w:rsid w:val="007C1717"/>
    <w:rsid w:val="007C1748"/>
    <w:rsid w:val="007C1790"/>
    <w:rsid w:val="007C1856"/>
    <w:rsid w:val="007C18ED"/>
    <w:rsid w:val="007C1901"/>
    <w:rsid w:val="007C190B"/>
    <w:rsid w:val="007C1919"/>
    <w:rsid w:val="007C193A"/>
    <w:rsid w:val="007C193B"/>
    <w:rsid w:val="007C1975"/>
    <w:rsid w:val="007C19A1"/>
    <w:rsid w:val="007C19B6"/>
    <w:rsid w:val="007C19B8"/>
    <w:rsid w:val="007C19DC"/>
    <w:rsid w:val="007C1A57"/>
    <w:rsid w:val="007C1A62"/>
    <w:rsid w:val="007C1A8D"/>
    <w:rsid w:val="007C1AA1"/>
    <w:rsid w:val="007C1AC3"/>
    <w:rsid w:val="007C1AFB"/>
    <w:rsid w:val="007C1B09"/>
    <w:rsid w:val="007C1B11"/>
    <w:rsid w:val="007C1BBE"/>
    <w:rsid w:val="007C1BEA"/>
    <w:rsid w:val="007C1C51"/>
    <w:rsid w:val="007C1C54"/>
    <w:rsid w:val="007C1C9A"/>
    <w:rsid w:val="007C1CCD"/>
    <w:rsid w:val="007C1CD9"/>
    <w:rsid w:val="007C1D0E"/>
    <w:rsid w:val="007C1D10"/>
    <w:rsid w:val="007C1D41"/>
    <w:rsid w:val="007C1D44"/>
    <w:rsid w:val="007C1D99"/>
    <w:rsid w:val="007C1DD1"/>
    <w:rsid w:val="007C1DEF"/>
    <w:rsid w:val="007C1E0C"/>
    <w:rsid w:val="007C1E26"/>
    <w:rsid w:val="007C1E3B"/>
    <w:rsid w:val="007C1E6C"/>
    <w:rsid w:val="007C1EA8"/>
    <w:rsid w:val="007C1ED6"/>
    <w:rsid w:val="007C1F0E"/>
    <w:rsid w:val="007C1F1B"/>
    <w:rsid w:val="007C1F24"/>
    <w:rsid w:val="007C1F64"/>
    <w:rsid w:val="007C1F6F"/>
    <w:rsid w:val="007C1F9E"/>
    <w:rsid w:val="007C1FC7"/>
    <w:rsid w:val="007C1FCE"/>
    <w:rsid w:val="007C1FD4"/>
    <w:rsid w:val="007C1FEB"/>
    <w:rsid w:val="007C2005"/>
    <w:rsid w:val="007C2023"/>
    <w:rsid w:val="007C2029"/>
    <w:rsid w:val="007C205E"/>
    <w:rsid w:val="007C212B"/>
    <w:rsid w:val="007C212D"/>
    <w:rsid w:val="007C2149"/>
    <w:rsid w:val="007C2160"/>
    <w:rsid w:val="007C2169"/>
    <w:rsid w:val="007C219E"/>
    <w:rsid w:val="007C21B6"/>
    <w:rsid w:val="007C21D0"/>
    <w:rsid w:val="007C2233"/>
    <w:rsid w:val="007C223D"/>
    <w:rsid w:val="007C224A"/>
    <w:rsid w:val="007C2295"/>
    <w:rsid w:val="007C22AA"/>
    <w:rsid w:val="007C22B0"/>
    <w:rsid w:val="007C22B3"/>
    <w:rsid w:val="007C231E"/>
    <w:rsid w:val="007C2389"/>
    <w:rsid w:val="007C23A2"/>
    <w:rsid w:val="007C23EC"/>
    <w:rsid w:val="007C2421"/>
    <w:rsid w:val="007C243A"/>
    <w:rsid w:val="007C245D"/>
    <w:rsid w:val="007C2509"/>
    <w:rsid w:val="007C254C"/>
    <w:rsid w:val="007C255C"/>
    <w:rsid w:val="007C2567"/>
    <w:rsid w:val="007C256B"/>
    <w:rsid w:val="007C25BC"/>
    <w:rsid w:val="007C25D5"/>
    <w:rsid w:val="007C25EA"/>
    <w:rsid w:val="007C2605"/>
    <w:rsid w:val="007C2618"/>
    <w:rsid w:val="007C268C"/>
    <w:rsid w:val="007C26C3"/>
    <w:rsid w:val="007C2707"/>
    <w:rsid w:val="007C272E"/>
    <w:rsid w:val="007C2745"/>
    <w:rsid w:val="007C27B7"/>
    <w:rsid w:val="007C27CE"/>
    <w:rsid w:val="007C2826"/>
    <w:rsid w:val="007C2852"/>
    <w:rsid w:val="007C2866"/>
    <w:rsid w:val="007C286F"/>
    <w:rsid w:val="007C28AD"/>
    <w:rsid w:val="007C28DD"/>
    <w:rsid w:val="007C28E3"/>
    <w:rsid w:val="007C2904"/>
    <w:rsid w:val="007C291E"/>
    <w:rsid w:val="007C294B"/>
    <w:rsid w:val="007C296B"/>
    <w:rsid w:val="007C299E"/>
    <w:rsid w:val="007C2A5E"/>
    <w:rsid w:val="007C2AA7"/>
    <w:rsid w:val="007C2AA8"/>
    <w:rsid w:val="007C2B01"/>
    <w:rsid w:val="007C2B7F"/>
    <w:rsid w:val="007C2B9E"/>
    <w:rsid w:val="007C2BA2"/>
    <w:rsid w:val="007C2BA3"/>
    <w:rsid w:val="007C2BAE"/>
    <w:rsid w:val="007C2BBF"/>
    <w:rsid w:val="007C2BC0"/>
    <w:rsid w:val="007C2C0A"/>
    <w:rsid w:val="007C2C46"/>
    <w:rsid w:val="007C2C4E"/>
    <w:rsid w:val="007C2C62"/>
    <w:rsid w:val="007C2CDE"/>
    <w:rsid w:val="007C2CED"/>
    <w:rsid w:val="007C2D16"/>
    <w:rsid w:val="007C2D8C"/>
    <w:rsid w:val="007C2D94"/>
    <w:rsid w:val="007C2DA2"/>
    <w:rsid w:val="007C2DAC"/>
    <w:rsid w:val="007C2DEC"/>
    <w:rsid w:val="007C2E32"/>
    <w:rsid w:val="007C2E72"/>
    <w:rsid w:val="007C2F0B"/>
    <w:rsid w:val="007C2F5D"/>
    <w:rsid w:val="007C2FC4"/>
    <w:rsid w:val="007C2FC5"/>
    <w:rsid w:val="007C2FDC"/>
    <w:rsid w:val="007C300F"/>
    <w:rsid w:val="007C3052"/>
    <w:rsid w:val="007C30D2"/>
    <w:rsid w:val="007C30EC"/>
    <w:rsid w:val="007C3101"/>
    <w:rsid w:val="007C315F"/>
    <w:rsid w:val="007C318B"/>
    <w:rsid w:val="007C31AD"/>
    <w:rsid w:val="007C324C"/>
    <w:rsid w:val="007C3325"/>
    <w:rsid w:val="007C3336"/>
    <w:rsid w:val="007C339A"/>
    <w:rsid w:val="007C33C2"/>
    <w:rsid w:val="007C33FF"/>
    <w:rsid w:val="007C3446"/>
    <w:rsid w:val="007C3464"/>
    <w:rsid w:val="007C3481"/>
    <w:rsid w:val="007C3485"/>
    <w:rsid w:val="007C356D"/>
    <w:rsid w:val="007C3599"/>
    <w:rsid w:val="007C3606"/>
    <w:rsid w:val="007C362E"/>
    <w:rsid w:val="007C36E1"/>
    <w:rsid w:val="007C3703"/>
    <w:rsid w:val="007C3755"/>
    <w:rsid w:val="007C3762"/>
    <w:rsid w:val="007C3787"/>
    <w:rsid w:val="007C3801"/>
    <w:rsid w:val="007C3823"/>
    <w:rsid w:val="007C382B"/>
    <w:rsid w:val="007C389F"/>
    <w:rsid w:val="007C38AE"/>
    <w:rsid w:val="007C38C9"/>
    <w:rsid w:val="007C3936"/>
    <w:rsid w:val="007C39D0"/>
    <w:rsid w:val="007C3A06"/>
    <w:rsid w:val="007C3A57"/>
    <w:rsid w:val="007C3AAC"/>
    <w:rsid w:val="007C3AD7"/>
    <w:rsid w:val="007C3B22"/>
    <w:rsid w:val="007C3B25"/>
    <w:rsid w:val="007C3B90"/>
    <w:rsid w:val="007C3BA1"/>
    <w:rsid w:val="007C3BD6"/>
    <w:rsid w:val="007C3BDA"/>
    <w:rsid w:val="007C3C11"/>
    <w:rsid w:val="007C3C17"/>
    <w:rsid w:val="007C3C44"/>
    <w:rsid w:val="007C3D4F"/>
    <w:rsid w:val="007C3D91"/>
    <w:rsid w:val="007C3DF6"/>
    <w:rsid w:val="007C3E0C"/>
    <w:rsid w:val="007C3E10"/>
    <w:rsid w:val="007C3E6F"/>
    <w:rsid w:val="007C3E99"/>
    <w:rsid w:val="007C3ECD"/>
    <w:rsid w:val="007C3F0F"/>
    <w:rsid w:val="007C3F34"/>
    <w:rsid w:val="007C3F6C"/>
    <w:rsid w:val="007C3F74"/>
    <w:rsid w:val="007C3FB3"/>
    <w:rsid w:val="007C4033"/>
    <w:rsid w:val="007C405D"/>
    <w:rsid w:val="007C4066"/>
    <w:rsid w:val="007C4088"/>
    <w:rsid w:val="007C409E"/>
    <w:rsid w:val="007C40CC"/>
    <w:rsid w:val="007C4200"/>
    <w:rsid w:val="007C4220"/>
    <w:rsid w:val="007C4221"/>
    <w:rsid w:val="007C4243"/>
    <w:rsid w:val="007C4291"/>
    <w:rsid w:val="007C42B7"/>
    <w:rsid w:val="007C42D4"/>
    <w:rsid w:val="007C4305"/>
    <w:rsid w:val="007C435E"/>
    <w:rsid w:val="007C438D"/>
    <w:rsid w:val="007C44F3"/>
    <w:rsid w:val="007C4510"/>
    <w:rsid w:val="007C459C"/>
    <w:rsid w:val="007C45BB"/>
    <w:rsid w:val="007C45D0"/>
    <w:rsid w:val="007C460E"/>
    <w:rsid w:val="007C462C"/>
    <w:rsid w:val="007C4631"/>
    <w:rsid w:val="007C467C"/>
    <w:rsid w:val="007C470F"/>
    <w:rsid w:val="007C4733"/>
    <w:rsid w:val="007C4767"/>
    <w:rsid w:val="007C47AE"/>
    <w:rsid w:val="007C47D7"/>
    <w:rsid w:val="007C47EC"/>
    <w:rsid w:val="007C4825"/>
    <w:rsid w:val="007C485D"/>
    <w:rsid w:val="007C48A0"/>
    <w:rsid w:val="007C48CF"/>
    <w:rsid w:val="007C48E5"/>
    <w:rsid w:val="007C493A"/>
    <w:rsid w:val="007C4955"/>
    <w:rsid w:val="007C49A2"/>
    <w:rsid w:val="007C49A8"/>
    <w:rsid w:val="007C49F8"/>
    <w:rsid w:val="007C4A00"/>
    <w:rsid w:val="007C4AA3"/>
    <w:rsid w:val="007C4ACC"/>
    <w:rsid w:val="007C4B2F"/>
    <w:rsid w:val="007C4B43"/>
    <w:rsid w:val="007C4B85"/>
    <w:rsid w:val="007C4BAA"/>
    <w:rsid w:val="007C4BEE"/>
    <w:rsid w:val="007C4C00"/>
    <w:rsid w:val="007C4C15"/>
    <w:rsid w:val="007C4C9E"/>
    <w:rsid w:val="007C4D0F"/>
    <w:rsid w:val="007C4D3A"/>
    <w:rsid w:val="007C4DE0"/>
    <w:rsid w:val="007C4E0C"/>
    <w:rsid w:val="007C4E34"/>
    <w:rsid w:val="007C4EE9"/>
    <w:rsid w:val="007C4F3A"/>
    <w:rsid w:val="007C4F66"/>
    <w:rsid w:val="007C5053"/>
    <w:rsid w:val="007C5075"/>
    <w:rsid w:val="007C50C3"/>
    <w:rsid w:val="007C50F4"/>
    <w:rsid w:val="007C5150"/>
    <w:rsid w:val="007C517A"/>
    <w:rsid w:val="007C517C"/>
    <w:rsid w:val="007C518A"/>
    <w:rsid w:val="007C5195"/>
    <w:rsid w:val="007C51A1"/>
    <w:rsid w:val="007C51B3"/>
    <w:rsid w:val="007C51F8"/>
    <w:rsid w:val="007C5212"/>
    <w:rsid w:val="007C5219"/>
    <w:rsid w:val="007C521A"/>
    <w:rsid w:val="007C5260"/>
    <w:rsid w:val="007C5271"/>
    <w:rsid w:val="007C528D"/>
    <w:rsid w:val="007C52B9"/>
    <w:rsid w:val="007C52C6"/>
    <w:rsid w:val="007C52CB"/>
    <w:rsid w:val="007C530B"/>
    <w:rsid w:val="007C5359"/>
    <w:rsid w:val="007C537C"/>
    <w:rsid w:val="007C537F"/>
    <w:rsid w:val="007C5387"/>
    <w:rsid w:val="007C5399"/>
    <w:rsid w:val="007C539E"/>
    <w:rsid w:val="007C53E4"/>
    <w:rsid w:val="007C5417"/>
    <w:rsid w:val="007C543C"/>
    <w:rsid w:val="007C543E"/>
    <w:rsid w:val="007C5451"/>
    <w:rsid w:val="007C54B1"/>
    <w:rsid w:val="007C54BA"/>
    <w:rsid w:val="007C54C3"/>
    <w:rsid w:val="007C54EA"/>
    <w:rsid w:val="007C5529"/>
    <w:rsid w:val="007C5532"/>
    <w:rsid w:val="007C5582"/>
    <w:rsid w:val="007C560E"/>
    <w:rsid w:val="007C560F"/>
    <w:rsid w:val="007C5651"/>
    <w:rsid w:val="007C566A"/>
    <w:rsid w:val="007C56A2"/>
    <w:rsid w:val="007C56EC"/>
    <w:rsid w:val="007C570B"/>
    <w:rsid w:val="007C571B"/>
    <w:rsid w:val="007C5743"/>
    <w:rsid w:val="007C5783"/>
    <w:rsid w:val="007C5784"/>
    <w:rsid w:val="007C5794"/>
    <w:rsid w:val="007C57C8"/>
    <w:rsid w:val="007C5825"/>
    <w:rsid w:val="007C586A"/>
    <w:rsid w:val="007C58D1"/>
    <w:rsid w:val="007C58DB"/>
    <w:rsid w:val="007C595D"/>
    <w:rsid w:val="007C598F"/>
    <w:rsid w:val="007C5994"/>
    <w:rsid w:val="007C5995"/>
    <w:rsid w:val="007C5A6C"/>
    <w:rsid w:val="007C5A96"/>
    <w:rsid w:val="007C5AA8"/>
    <w:rsid w:val="007C5B10"/>
    <w:rsid w:val="007C5B17"/>
    <w:rsid w:val="007C5CC8"/>
    <w:rsid w:val="007C5CE3"/>
    <w:rsid w:val="007C5D0D"/>
    <w:rsid w:val="007C5D2C"/>
    <w:rsid w:val="007C5D2F"/>
    <w:rsid w:val="007C5D5A"/>
    <w:rsid w:val="007C5DAA"/>
    <w:rsid w:val="007C5E89"/>
    <w:rsid w:val="007C5ED2"/>
    <w:rsid w:val="007C5EF0"/>
    <w:rsid w:val="007C5F10"/>
    <w:rsid w:val="007C5F25"/>
    <w:rsid w:val="007C5F2B"/>
    <w:rsid w:val="007C5F68"/>
    <w:rsid w:val="007C5F6B"/>
    <w:rsid w:val="007C5F81"/>
    <w:rsid w:val="007C5FCD"/>
    <w:rsid w:val="007C5FE1"/>
    <w:rsid w:val="007C6067"/>
    <w:rsid w:val="007C6071"/>
    <w:rsid w:val="007C6104"/>
    <w:rsid w:val="007C6112"/>
    <w:rsid w:val="007C6134"/>
    <w:rsid w:val="007C6155"/>
    <w:rsid w:val="007C6190"/>
    <w:rsid w:val="007C61C1"/>
    <w:rsid w:val="007C61D3"/>
    <w:rsid w:val="007C634E"/>
    <w:rsid w:val="007C643A"/>
    <w:rsid w:val="007C6503"/>
    <w:rsid w:val="007C6504"/>
    <w:rsid w:val="007C6509"/>
    <w:rsid w:val="007C650F"/>
    <w:rsid w:val="007C6538"/>
    <w:rsid w:val="007C6567"/>
    <w:rsid w:val="007C65CF"/>
    <w:rsid w:val="007C6602"/>
    <w:rsid w:val="007C6618"/>
    <w:rsid w:val="007C662B"/>
    <w:rsid w:val="007C665E"/>
    <w:rsid w:val="007C669C"/>
    <w:rsid w:val="007C66AF"/>
    <w:rsid w:val="007C671C"/>
    <w:rsid w:val="007C6724"/>
    <w:rsid w:val="007C6728"/>
    <w:rsid w:val="007C6767"/>
    <w:rsid w:val="007C6789"/>
    <w:rsid w:val="007C6791"/>
    <w:rsid w:val="007C67A3"/>
    <w:rsid w:val="007C67AF"/>
    <w:rsid w:val="007C67E7"/>
    <w:rsid w:val="007C680A"/>
    <w:rsid w:val="007C688D"/>
    <w:rsid w:val="007C698A"/>
    <w:rsid w:val="007C69BD"/>
    <w:rsid w:val="007C69F6"/>
    <w:rsid w:val="007C6A3B"/>
    <w:rsid w:val="007C6A68"/>
    <w:rsid w:val="007C6A71"/>
    <w:rsid w:val="007C6A7D"/>
    <w:rsid w:val="007C6AD0"/>
    <w:rsid w:val="007C6AFC"/>
    <w:rsid w:val="007C6AFD"/>
    <w:rsid w:val="007C6B3E"/>
    <w:rsid w:val="007C6B5C"/>
    <w:rsid w:val="007C6B80"/>
    <w:rsid w:val="007C6BA7"/>
    <w:rsid w:val="007C6BB2"/>
    <w:rsid w:val="007C6BDF"/>
    <w:rsid w:val="007C6BE4"/>
    <w:rsid w:val="007C6BF2"/>
    <w:rsid w:val="007C6C55"/>
    <w:rsid w:val="007C6D11"/>
    <w:rsid w:val="007C6D20"/>
    <w:rsid w:val="007C6D3E"/>
    <w:rsid w:val="007C6D82"/>
    <w:rsid w:val="007C6DB7"/>
    <w:rsid w:val="007C6DD7"/>
    <w:rsid w:val="007C6DE4"/>
    <w:rsid w:val="007C6DF1"/>
    <w:rsid w:val="007C6E06"/>
    <w:rsid w:val="007C6E90"/>
    <w:rsid w:val="007C6E9F"/>
    <w:rsid w:val="007C6EA6"/>
    <w:rsid w:val="007C6ED0"/>
    <w:rsid w:val="007C6F23"/>
    <w:rsid w:val="007C6F64"/>
    <w:rsid w:val="007C6F69"/>
    <w:rsid w:val="007C6F90"/>
    <w:rsid w:val="007C6FE2"/>
    <w:rsid w:val="007C6FEA"/>
    <w:rsid w:val="007C6FFD"/>
    <w:rsid w:val="007C700C"/>
    <w:rsid w:val="007C701F"/>
    <w:rsid w:val="007C7026"/>
    <w:rsid w:val="007C7061"/>
    <w:rsid w:val="007C707B"/>
    <w:rsid w:val="007C7085"/>
    <w:rsid w:val="007C70C5"/>
    <w:rsid w:val="007C70EF"/>
    <w:rsid w:val="007C70F4"/>
    <w:rsid w:val="007C716D"/>
    <w:rsid w:val="007C71E2"/>
    <w:rsid w:val="007C7203"/>
    <w:rsid w:val="007C7288"/>
    <w:rsid w:val="007C72FF"/>
    <w:rsid w:val="007C7303"/>
    <w:rsid w:val="007C7336"/>
    <w:rsid w:val="007C733D"/>
    <w:rsid w:val="007C7340"/>
    <w:rsid w:val="007C73D4"/>
    <w:rsid w:val="007C7406"/>
    <w:rsid w:val="007C7435"/>
    <w:rsid w:val="007C7490"/>
    <w:rsid w:val="007C7496"/>
    <w:rsid w:val="007C74AE"/>
    <w:rsid w:val="007C7559"/>
    <w:rsid w:val="007C76EB"/>
    <w:rsid w:val="007C76F7"/>
    <w:rsid w:val="007C7785"/>
    <w:rsid w:val="007C77A2"/>
    <w:rsid w:val="007C77C4"/>
    <w:rsid w:val="007C77DD"/>
    <w:rsid w:val="007C7820"/>
    <w:rsid w:val="007C7827"/>
    <w:rsid w:val="007C7868"/>
    <w:rsid w:val="007C7873"/>
    <w:rsid w:val="007C7952"/>
    <w:rsid w:val="007C795A"/>
    <w:rsid w:val="007C7977"/>
    <w:rsid w:val="007C79A9"/>
    <w:rsid w:val="007C7A70"/>
    <w:rsid w:val="007C7AA7"/>
    <w:rsid w:val="007C7B2C"/>
    <w:rsid w:val="007C7C0A"/>
    <w:rsid w:val="007C7C97"/>
    <w:rsid w:val="007C7CCC"/>
    <w:rsid w:val="007C7CCD"/>
    <w:rsid w:val="007C7CD4"/>
    <w:rsid w:val="007C7D30"/>
    <w:rsid w:val="007C7D3E"/>
    <w:rsid w:val="007C7D74"/>
    <w:rsid w:val="007C7DB2"/>
    <w:rsid w:val="007C7DD8"/>
    <w:rsid w:val="007C7DD9"/>
    <w:rsid w:val="007C7E0D"/>
    <w:rsid w:val="007C7E11"/>
    <w:rsid w:val="007C7E18"/>
    <w:rsid w:val="007C7F06"/>
    <w:rsid w:val="007C7F0B"/>
    <w:rsid w:val="007C7F14"/>
    <w:rsid w:val="007C7F4C"/>
    <w:rsid w:val="007C7F79"/>
    <w:rsid w:val="007C7FE5"/>
    <w:rsid w:val="007D0014"/>
    <w:rsid w:val="007D002F"/>
    <w:rsid w:val="007D0032"/>
    <w:rsid w:val="007D0038"/>
    <w:rsid w:val="007D00DB"/>
    <w:rsid w:val="007D00F2"/>
    <w:rsid w:val="007D0168"/>
    <w:rsid w:val="007D018D"/>
    <w:rsid w:val="007D01B7"/>
    <w:rsid w:val="007D01C4"/>
    <w:rsid w:val="007D0275"/>
    <w:rsid w:val="007D028C"/>
    <w:rsid w:val="007D02CE"/>
    <w:rsid w:val="007D02F5"/>
    <w:rsid w:val="007D0308"/>
    <w:rsid w:val="007D0313"/>
    <w:rsid w:val="007D0342"/>
    <w:rsid w:val="007D03B3"/>
    <w:rsid w:val="007D0406"/>
    <w:rsid w:val="007D0432"/>
    <w:rsid w:val="007D0479"/>
    <w:rsid w:val="007D0480"/>
    <w:rsid w:val="007D0489"/>
    <w:rsid w:val="007D0496"/>
    <w:rsid w:val="007D04E0"/>
    <w:rsid w:val="007D04EB"/>
    <w:rsid w:val="007D0503"/>
    <w:rsid w:val="007D0505"/>
    <w:rsid w:val="007D0583"/>
    <w:rsid w:val="007D0584"/>
    <w:rsid w:val="007D0665"/>
    <w:rsid w:val="007D0666"/>
    <w:rsid w:val="007D0681"/>
    <w:rsid w:val="007D06B2"/>
    <w:rsid w:val="007D06BA"/>
    <w:rsid w:val="007D06CA"/>
    <w:rsid w:val="007D06FA"/>
    <w:rsid w:val="007D071A"/>
    <w:rsid w:val="007D0762"/>
    <w:rsid w:val="007D0797"/>
    <w:rsid w:val="007D07A8"/>
    <w:rsid w:val="007D07C3"/>
    <w:rsid w:val="007D07C5"/>
    <w:rsid w:val="007D07CB"/>
    <w:rsid w:val="007D07EA"/>
    <w:rsid w:val="007D0804"/>
    <w:rsid w:val="007D0809"/>
    <w:rsid w:val="007D0817"/>
    <w:rsid w:val="007D084A"/>
    <w:rsid w:val="007D089A"/>
    <w:rsid w:val="007D089C"/>
    <w:rsid w:val="007D08D2"/>
    <w:rsid w:val="007D08D3"/>
    <w:rsid w:val="007D08E5"/>
    <w:rsid w:val="007D0944"/>
    <w:rsid w:val="007D09C1"/>
    <w:rsid w:val="007D0A96"/>
    <w:rsid w:val="007D0AB3"/>
    <w:rsid w:val="007D0AB7"/>
    <w:rsid w:val="007D0AD4"/>
    <w:rsid w:val="007D0AFD"/>
    <w:rsid w:val="007D0B12"/>
    <w:rsid w:val="007D0B49"/>
    <w:rsid w:val="007D0B5D"/>
    <w:rsid w:val="007D0B5F"/>
    <w:rsid w:val="007D0B85"/>
    <w:rsid w:val="007D0BA6"/>
    <w:rsid w:val="007D0BBC"/>
    <w:rsid w:val="007D0BC4"/>
    <w:rsid w:val="007D0BDD"/>
    <w:rsid w:val="007D0C3D"/>
    <w:rsid w:val="007D0CC5"/>
    <w:rsid w:val="007D0D06"/>
    <w:rsid w:val="007D0D36"/>
    <w:rsid w:val="007D0D3C"/>
    <w:rsid w:val="007D0D8F"/>
    <w:rsid w:val="007D0D93"/>
    <w:rsid w:val="007D0DFC"/>
    <w:rsid w:val="007D0E03"/>
    <w:rsid w:val="007D0E05"/>
    <w:rsid w:val="007D0E50"/>
    <w:rsid w:val="007D0EBF"/>
    <w:rsid w:val="007D0F71"/>
    <w:rsid w:val="007D0F80"/>
    <w:rsid w:val="007D0FD6"/>
    <w:rsid w:val="007D102F"/>
    <w:rsid w:val="007D105E"/>
    <w:rsid w:val="007D10A9"/>
    <w:rsid w:val="007D10AE"/>
    <w:rsid w:val="007D10FD"/>
    <w:rsid w:val="007D1139"/>
    <w:rsid w:val="007D11B5"/>
    <w:rsid w:val="007D11EE"/>
    <w:rsid w:val="007D11F2"/>
    <w:rsid w:val="007D120B"/>
    <w:rsid w:val="007D1219"/>
    <w:rsid w:val="007D1242"/>
    <w:rsid w:val="007D125C"/>
    <w:rsid w:val="007D1371"/>
    <w:rsid w:val="007D137C"/>
    <w:rsid w:val="007D1412"/>
    <w:rsid w:val="007D1419"/>
    <w:rsid w:val="007D1429"/>
    <w:rsid w:val="007D143B"/>
    <w:rsid w:val="007D14C7"/>
    <w:rsid w:val="007D14CA"/>
    <w:rsid w:val="007D14E3"/>
    <w:rsid w:val="007D14EA"/>
    <w:rsid w:val="007D14F9"/>
    <w:rsid w:val="007D1536"/>
    <w:rsid w:val="007D1547"/>
    <w:rsid w:val="007D1563"/>
    <w:rsid w:val="007D1575"/>
    <w:rsid w:val="007D15A8"/>
    <w:rsid w:val="007D15E8"/>
    <w:rsid w:val="007D1629"/>
    <w:rsid w:val="007D171C"/>
    <w:rsid w:val="007D171D"/>
    <w:rsid w:val="007D171F"/>
    <w:rsid w:val="007D1746"/>
    <w:rsid w:val="007D176B"/>
    <w:rsid w:val="007D17C1"/>
    <w:rsid w:val="007D17C9"/>
    <w:rsid w:val="007D17D4"/>
    <w:rsid w:val="007D182A"/>
    <w:rsid w:val="007D184B"/>
    <w:rsid w:val="007D189C"/>
    <w:rsid w:val="007D18C7"/>
    <w:rsid w:val="007D190F"/>
    <w:rsid w:val="007D1939"/>
    <w:rsid w:val="007D1989"/>
    <w:rsid w:val="007D19D1"/>
    <w:rsid w:val="007D1A74"/>
    <w:rsid w:val="007D1A89"/>
    <w:rsid w:val="007D1B56"/>
    <w:rsid w:val="007D1B70"/>
    <w:rsid w:val="007D1B80"/>
    <w:rsid w:val="007D1C98"/>
    <w:rsid w:val="007D1CB5"/>
    <w:rsid w:val="007D1CF0"/>
    <w:rsid w:val="007D1D1F"/>
    <w:rsid w:val="007D1D2D"/>
    <w:rsid w:val="007D1D46"/>
    <w:rsid w:val="007D1D6C"/>
    <w:rsid w:val="007D1E2A"/>
    <w:rsid w:val="007D1E79"/>
    <w:rsid w:val="007D1EB0"/>
    <w:rsid w:val="007D1EDA"/>
    <w:rsid w:val="007D1EDB"/>
    <w:rsid w:val="007D1F02"/>
    <w:rsid w:val="007D1F10"/>
    <w:rsid w:val="007D1F24"/>
    <w:rsid w:val="007D1F8A"/>
    <w:rsid w:val="007D1FB2"/>
    <w:rsid w:val="007D2018"/>
    <w:rsid w:val="007D2049"/>
    <w:rsid w:val="007D204B"/>
    <w:rsid w:val="007D2053"/>
    <w:rsid w:val="007D2054"/>
    <w:rsid w:val="007D2079"/>
    <w:rsid w:val="007D20AF"/>
    <w:rsid w:val="007D20D8"/>
    <w:rsid w:val="007D2101"/>
    <w:rsid w:val="007D2152"/>
    <w:rsid w:val="007D2169"/>
    <w:rsid w:val="007D216B"/>
    <w:rsid w:val="007D21DF"/>
    <w:rsid w:val="007D2285"/>
    <w:rsid w:val="007D22C4"/>
    <w:rsid w:val="007D22D1"/>
    <w:rsid w:val="007D22F9"/>
    <w:rsid w:val="007D2327"/>
    <w:rsid w:val="007D2363"/>
    <w:rsid w:val="007D23AA"/>
    <w:rsid w:val="007D23E3"/>
    <w:rsid w:val="007D23EA"/>
    <w:rsid w:val="007D23EF"/>
    <w:rsid w:val="007D23F5"/>
    <w:rsid w:val="007D2407"/>
    <w:rsid w:val="007D2424"/>
    <w:rsid w:val="007D2454"/>
    <w:rsid w:val="007D2475"/>
    <w:rsid w:val="007D24B2"/>
    <w:rsid w:val="007D24BA"/>
    <w:rsid w:val="007D24BC"/>
    <w:rsid w:val="007D2500"/>
    <w:rsid w:val="007D2553"/>
    <w:rsid w:val="007D25DA"/>
    <w:rsid w:val="007D2617"/>
    <w:rsid w:val="007D2625"/>
    <w:rsid w:val="007D2641"/>
    <w:rsid w:val="007D26BE"/>
    <w:rsid w:val="007D2705"/>
    <w:rsid w:val="007D2740"/>
    <w:rsid w:val="007D2763"/>
    <w:rsid w:val="007D2780"/>
    <w:rsid w:val="007D2792"/>
    <w:rsid w:val="007D27F9"/>
    <w:rsid w:val="007D2804"/>
    <w:rsid w:val="007D283F"/>
    <w:rsid w:val="007D284E"/>
    <w:rsid w:val="007D28AE"/>
    <w:rsid w:val="007D28BA"/>
    <w:rsid w:val="007D28F9"/>
    <w:rsid w:val="007D297B"/>
    <w:rsid w:val="007D2980"/>
    <w:rsid w:val="007D29D6"/>
    <w:rsid w:val="007D29E4"/>
    <w:rsid w:val="007D2A4E"/>
    <w:rsid w:val="007D2A67"/>
    <w:rsid w:val="007D2AA4"/>
    <w:rsid w:val="007D2B51"/>
    <w:rsid w:val="007D2B6A"/>
    <w:rsid w:val="007D2B7E"/>
    <w:rsid w:val="007D2B8E"/>
    <w:rsid w:val="007D2B91"/>
    <w:rsid w:val="007D2BFC"/>
    <w:rsid w:val="007D2BFD"/>
    <w:rsid w:val="007D2C4E"/>
    <w:rsid w:val="007D2C6F"/>
    <w:rsid w:val="007D2C70"/>
    <w:rsid w:val="007D2C77"/>
    <w:rsid w:val="007D2CAF"/>
    <w:rsid w:val="007D2CCA"/>
    <w:rsid w:val="007D2CD1"/>
    <w:rsid w:val="007D2CFE"/>
    <w:rsid w:val="007D2CFF"/>
    <w:rsid w:val="007D2D75"/>
    <w:rsid w:val="007D2D81"/>
    <w:rsid w:val="007D2D86"/>
    <w:rsid w:val="007D2D9F"/>
    <w:rsid w:val="007D2DB1"/>
    <w:rsid w:val="007D2DD6"/>
    <w:rsid w:val="007D2E24"/>
    <w:rsid w:val="007D2E72"/>
    <w:rsid w:val="007D2E9C"/>
    <w:rsid w:val="007D2F1D"/>
    <w:rsid w:val="007D2F3B"/>
    <w:rsid w:val="007D2F42"/>
    <w:rsid w:val="007D2F9B"/>
    <w:rsid w:val="007D2FA4"/>
    <w:rsid w:val="007D2FBF"/>
    <w:rsid w:val="007D2FD0"/>
    <w:rsid w:val="007D3075"/>
    <w:rsid w:val="007D3108"/>
    <w:rsid w:val="007D3146"/>
    <w:rsid w:val="007D315C"/>
    <w:rsid w:val="007D31EB"/>
    <w:rsid w:val="007D3204"/>
    <w:rsid w:val="007D3250"/>
    <w:rsid w:val="007D3257"/>
    <w:rsid w:val="007D325D"/>
    <w:rsid w:val="007D32C4"/>
    <w:rsid w:val="007D32D3"/>
    <w:rsid w:val="007D32DA"/>
    <w:rsid w:val="007D32E6"/>
    <w:rsid w:val="007D3340"/>
    <w:rsid w:val="007D334A"/>
    <w:rsid w:val="007D3350"/>
    <w:rsid w:val="007D336C"/>
    <w:rsid w:val="007D337B"/>
    <w:rsid w:val="007D33E0"/>
    <w:rsid w:val="007D341A"/>
    <w:rsid w:val="007D342D"/>
    <w:rsid w:val="007D3445"/>
    <w:rsid w:val="007D346B"/>
    <w:rsid w:val="007D34C0"/>
    <w:rsid w:val="007D34E1"/>
    <w:rsid w:val="007D3515"/>
    <w:rsid w:val="007D3532"/>
    <w:rsid w:val="007D35BC"/>
    <w:rsid w:val="007D35D8"/>
    <w:rsid w:val="007D366E"/>
    <w:rsid w:val="007D3697"/>
    <w:rsid w:val="007D3701"/>
    <w:rsid w:val="007D3719"/>
    <w:rsid w:val="007D37C7"/>
    <w:rsid w:val="007D37D3"/>
    <w:rsid w:val="007D37F6"/>
    <w:rsid w:val="007D3812"/>
    <w:rsid w:val="007D3829"/>
    <w:rsid w:val="007D3870"/>
    <w:rsid w:val="007D38D4"/>
    <w:rsid w:val="007D3936"/>
    <w:rsid w:val="007D394A"/>
    <w:rsid w:val="007D39B0"/>
    <w:rsid w:val="007D39D9"/>
    <w:rsid w:val="007D3A06"/>
    <w:rsid w:val="007D3A74"/>
    <w:rsid w:val="007D3B22"/>
    <w:rsid w:val="007D3B95"/>
    <w:rsid w:val="007D3BE3"/>
    <w:rsid w:val="007D3C28"/>
    <w:rsid w:val="007D3C73"/>
    <w:rsid w:val="007D3CBB"/>
    <w:rsid w:val="007D3CCB"/>
    <w:rsid w:val="007D3D5F"/>
    <w:rsid w:val="007D3D6F"/>
    <w:rsid w:val="007D3DA0"/>
    <w:rsid w:val="007D3E17"/>
    <w:rsid w:val="007D3E28"/>
    <w:rsid w:val="007D3ED0"/>
    <w:rsid w:val="007D3F01"/>
    <w:rsid w:val="007D3F42"/>
    <w:rsid w:val="007D3F60"/>
    <w:rsid w:val="007D3F73"/>
    <w:rsid w:val="007D3F84"/>
    <w:rsid w:val="007D3FE7"/>
    <w:rsid w:val="007D401A"/>
    <w:rsid w:val="007D4025"/>
    <w:rsid w:val="007D4079"/>
    <w:rsid w:val="007D40EB"/>
    <w:rsid w:val="007D4118"/>
    <w:rsid w:val="007D4144"/>
    <w:rsid w:val="007D414F"/>
    <w:rsid w:val="007D419E"/>
    <w:rsid w:val="007D41BD"/>
    <w:rsid w:val="007D41D6"/>
    <w:rsid w:val="007D4204"/>
    <w:rsid w:val="007D423F"/>
    <w:rsid w:val="007D4271"/>
    <w:rsid w:val="007D42B7"/>
    <w:rsid w:val="007D42BC"/>
    <w:rsid w:val="007D42CB"/>
    <w:rsid w:val="007D42E0"/>
    <w:rsid w:val="007D42E2"/>
    <w:rsid w:val="007D4326"/>
    <w:rsid w:val="007D4343"/>
    <w:rsid w:val="007D4350"/>
    <w:rsid w:val="007D43A1"/>
    <w:rsid w:val="007D43DE"/>
    <w:rsid w:val="007D4427"/>
    <w:rsid w:val="007D444C"/>
    <w:rsid w:val="007D4454"/>
    <w:rsid w:val="007D44AD"/>
    <w:rsid w:val="007D44C1"/>
    <w:rsid w:val="007D4501"/>
    <w:rsid w:val="007D45B6"/>
    <w:rsid w:val="007D45C3"/>
    <w:rsid w:val="007D462F"/>
    <w:rsid w:val="007D4643"/>
    <w:rsid w:val="007D467B"/>
    <w:rsid w:val="007D46B2"/>
    <w:rsid w:val="007D47D0"/>
    <w:rsid w:val="007D4800"/>
    <w:rsid w:val="007D4807"/>
    <w:rsid w:val="007D4810"/>
    <w:rsid w:val="007D4857"/>
    <w:rsid w:val="007D4870"/>
    <w:rsid w:val="007D4898"/>
    <w:rsid w:val="007D48E3"/>
    <w:rsid w:val="007D48E4"/>
    <w:rsid w:val="007D4962"/>
    <w:rsid w:val="007D4975"/>
    <w:rsid w:val="007D49B1"/>
    <w:rsid w:val="007D49DE"/>
    <w:rsid w:val="007D49E4"/>
    <w:rsid w:val="007D4A15"/>
    <w:rsid w:val="007D4A56"/>
    <w:rsid w:val="007D4AA9"/>
    <w:rsid w:val="007D4AD2"/>
    <w:rsid w:val="007D4B19"/>
    <w:rsid w:val="007D4B5F"/>
    <w:rsid w:val="007D4B62"/>
    <w:rsid w:val="007D4B9B"/>
    <w:rsid w:val="007D4BBC"/>
    <w:rsid w:val="007D4BC5"/>
    <w:rsid w:val="007D4BCD"/>
    <w:rsid w:val="007D4BFF"/>
    <w:rsid w:val="007D4C09"/>
    <w:rsid w:val="007D4C95"/>
    <w:rsid w:val="007D4D25"/>
    <w:rsid w:val="007D4D62"/>
    <w:rsid w:val="007D4D87"/>
    <w:rsid w:val="007D4D95"/>
    <w:rsid w:val="007D4DBA"/>
    <w:rsid w:val="007D4DCA"/>
    <w:rsid w:val="007D4DE3"/>
    <w:rsid w:val="007D4E0B"/>
    <w:rsid w:val="007D4EAA"/>
    <w:rsid w:val="007D4EC1"/>
    <w:rsid w:val="007D4EE4"/>
    <w:rsid w:val="007D4F68"/>
    <w:rsid w:val="007D5090"/>
    <w:rsid w:val="007D50D1"/>
    <w:rsid w:val="007D50D8"/>
    <w:rsid w:val="007D50DD"/>
    <w:rsid w:val="007D50E1"/>
    <w:rsid w:val="007D50E5"/>
    <w:rsid w:val="007D5167"/>
    <w:rsid w:val="007D5188"/>
    <w:rsid w:val="007D51A2"/>
    <w:rsid w:val="007D51B0"/>
    <w:rsid w:val="007D51DB"/>
    <w:rsid w:val="007D529E"/>
    <w:rsid w:val="007D5300"/>
    <w:rsid w:val="007D5317"/>
    <w:rsid w:val="007D5348"/>
    <w:rsid w:val="007D536A"/>
    <w:rsid w:val="007D53F6"/>
    <w:rsid w:val="007D5453"/>
    <w:rsid w:val="007D5454"/>
    <w:rsid w:val="007D547E"/>
    <w:rsid w:val="007D54EC"/>
    <w:rsid w:val="007D54F3"/>
    <w:rsid w:val="007D550F"/>
    <w:rsid w:val="007D556D"/>
    <w:rsid w:val="007D5590"/>
    <w:rsid w:val="007D55BC"/>
    <w:rsid w:val="007D55D2"/>
    <w:rsid w:val="007D55D5"/>
    <w:rsid w:val="007D55DD"/>
    <w:rsid w:val="007D55DF"/>
    <w:rsid w:val="007D5603"/>
    <w:rsid w:val="007D5621"/>
    <w:rsid w:val="007D5639"/>
    <w:rsid w:val="007D5661"/>
    <w:rsid w:val="007D5674"/>
    <w:rsid w:val="007D568D"/>
    <w:rsid w:val="007D579C"/>
    <w:rsid w:val="007D57C7"/>
    <w:rsid w:val="007D57E1"/>
    <w:rsid w:val="007D5800"/>
    <w:rsid w:val="007D5825"/>
    <w:rsid w:val="007D583F"/>
    <w:rsid w:val="007D593D"/>
    <w:rsid w:val="007D59A3"/>
    <w:rsid w:val="007D59B6"/>
    <w:rsid w:val="007D59C6"/>
    <w:rsid w:val="007D5A02"/>
    <w:rsid w:val="007D5A89"/>
    <w:rsid w:val="007D5A92"/>
    <w:rsid w:val="007D5A9E"/>
    <w:rsid w:val="007D5ABC"/>
    <w:rsid w:val="007D5ACC"/>
    <w:rsid w:val="007D5AFC"/>
    <w:rsid w:val="007D5B07"/>
    <w:rsid w:val="007D5B9C"/>
    <w:rsid w:val="007D5BA0"/>
    <w:rsid w:val="007D5BE5"/>
    <w:rsid w:val="007D5C59"/>
    <w:rsid w:val="007D5C8A"/>
    <w:rsid w:val="007D5CCB"/>
    <w:rsid w:val="007D5D20"/>
    <w:rsid w:val="007D5D6B"/>
    <w:rsid w:val="007D5D74"/>
    <w:rsid w:val="007D5D7E"/>
    <w:rsid w:val="007D5DB0"/>
    <w:rsid w:val="007D5DB4"/>
    <w:rsid w:val="007D5E8D"/>
    <w:rsid w:val="007D5E92"/>
    <w:rsid w:val="007D5E9D"/>
    <w:rsid w:val="007D5F02"/>
    <w:rsid w:val="007D5F45"/>
    <w:rsid w:val="007D5F58"/>
    <w:rsid w:val="007D5F61"/>
    <w:rsid w:val="007D5F6C"/>
    <w:rsid w:val="007D5F7A"/>
    <w:rsid w:val="007D5F8E"/>
    <w:rsid w:val="007D5FA3"/>
    <w:rsid w:val="007D5FC4"/>
    <w:rsid w:val="007D5FC5"/>
    <w:rsid w:val="007D5FCA"/>
    <w:rsid w:val="007D5FE8"/>
    <w:rsid w:val="007D6067"/>
    <w:rsid w:val="007D606B"/>
    <w:rsid w:val="007D6082"/>
    <w:rsid w:val="007D610A"/>
    <w:rsid w:val="007D6117"/>
    <w:rsid w:val="007D6140"/>
    <w:rsid w:val="007D6177"/>
    <w:rsid w:val="007D6182"/>
    <w:rsid w:val="007D61E1"/>
    <w:rsid w:val="007D6236"/>
    <w:rsid w:val="007D6253"/>
    <w:rsid w:val="007D6274"/>
    <w:rsid w:val="007D62D5"/>
    <w:rsid w:val="007D62F9"/>
    <w:rsid w:val="007D632B"/>
    <w:rsid w:val="007D6352"/>
    <w:rsid w:val="007D6398"/>
    <w:rsid w:val="007D63AA"/>
    <w:rsid w:val="007D63C6"/>
    <w:rsid w:val="007D6443"/>
    <w:rsid w:val="007D6476"/>
    <w:rsid w:val="007D647B"/>
    <w:rsid w:val="007D652F"/>
    <w:rsid w:val="007D653A"/>
    <w:rsid w:val="007D655F"/>
    <w:rsid w:val="007D65C6"/>
    <w:rsid w:val="007D65D0"/>
    <w:rsid w:val="007D65FE"/>
    <w:rsid w:val="007D6611"/>
    <w:rsid w:val="007D6658"/>
    <w:rsid w:val="007D669F"/>
    <w:rsid w:val="007D66F4"/>
    <w:rsid w:val="007D6762"/>
    <w:rsid w:val="007D676D"/>
    <w:rsid w:val="007D676E"/>
    <w:rsid w:val="007D67AF"/>
    <w:rsid w:val="007D67FA"/>
    <w:rsid w:val="007D681E"/>
    <w:rsid w:val="007D687F"/>
    <w:rsid w:val="007D6891"/>
    <w:rsid w:val="007D68AE"/>
    <w:rsid w:val="007D6903"/>
    <w:rsid w:val="007D6983"/>
    <w:rsid w:val="007D6A00"/>
    <w:rsid w:val="007D6A44"/>
    <w:rsid w:val="007D6A5C"/>
    <w:rsid w:val="007D6A8D"/>
    <w:rsid w:val="007D6AF6"/>
    <w:rsid w:val="007D6B05"/>
    <w:rsid w:val="007D6B60"/>
    <w:rsid w:val="007D6B7C"/>
    <w:rsid w:val="007D6B90"/>
    <w:rsid w:val="007D6BA1"/>
    <w:rsid w:val="007D6BB2"/>
    <w:rsid w:val="007D6C14"/>
    <w:rsid w:val="007D6C19"/>
    <w:rsid w:val="007D6C35"/>
    <w:rsid w:val="007D6C9A"/>
    <w:rsid w:val="007D6CCD"/>
    <w:rsid w:val="007D6D49"/>
    <w:rsid w:val="007D6D4D"/>
    <w:rsid w:val="007D6D5D"/>
    <w:rsid w:val="007D6E2E"/>
    <w:rsid w:val="007D6E66"/>
    <w:rsid w:val="007D6E78"/>
    <w:rsid w:val="007D6F13"/>
    <w:rsid w:val="007D6F60"/>
    <w:rsid w:val="007D6F6E"/>
    <w:rsid w:val="007D6F83"/>
    <w:rsid w:val="007D6F93"/>
    <w:rsid w:val="007D6FC3"/>
    <w:rsid w:val="007D6FDF"/>
    <w:rsid w:val="007D700C"/>
    <w:rsid w:val="007D70A2"/>
    <w:rsid w:val="007D70CF"/>
    <w:rsid w:val="007D711F"/>
    <w:rsid w:val="007D713D"/>
    <w:rsid w:val="007D71EB"/>
    <w:rsid w:val="007D71EE"/>
    <w:rsid w:val="007D720D"/>
    <w:rsid w:val="007D724E"/>
    <w:rsid w:val="007D72B3"/>
    <w:rsid w:val="007D72B9"/>
    <w:rsid w:val="007D72DE"/>
    <w:rsid w:val="007D7303"/>
    <w:rsid w:val="007D7306"/>
    <w:rsid w:val="007D7314"/>
    <w:rsid w:val="007D7342"/>
    <w:rsid w:val="007D73D4"/>
    <w:rsid w:val="007D73E7"/>
    <w:rsid w:val="007D7534"/>
    <w:rsid w:val="007D7566"/>
    <w:rsid w:val="007D759C"/>
    <w:rsid w:val="007D7633"/>
    <w:rsid w:val="007D763E"/>
    <w:rsid w:val="007D764F"/>
    <w:rsid w:val="007D7656"/>
    <w:rsid w:val="007D76E6"/>
    <w:rsid w:val="007D772F"/>
    <w:rsid w:val="007D7775"/>
    <w:rsid w:val="007D77DD"/>
    <w:rsid w:val="007D77E0"/>
    <w:rsid w:val="007D780F"/>
    <w:rsid w:val="007D7815"/>
    <w:rsid w:val="007D7850"/>
    <w:rsid w:val="007D785F"/>
    <w:rsid w:val="007D787D"/>
    <w:rsid w:val="007D78E0"/>
    <w:rsid w:val="007D78FB"/>
    <w:rsid w:val="007D791F"/>
    <w:rsid w:val="007D7928"/>
    <w:rsid w:val="007D7935"/>
    <w:rsid w:val="007D79ED"/>
    <w:rsid w:val="007D7A04"/>
    <w:rsid w:val="007D7A0D"/>
    <w:rsid w:val="007D7A18"/>
    <w:rsid w:val="007D7AA2"/>
    <w:rsid w:val="007D7AB7"/>
    <w:rsid w:val="007D7B41"/>
    <w:rsid w:val="007D7B73"/>
    <w:rsid w:val="007D7BBB"/>
    <w:rsid w:val="007D7BF4"/>
    <w:rsid w:val="007D7BFC"/>
    <w:rsid w:val="007D7C0C"/>
    <w:rsid w:val="007D7C2D"/>
    <w:rsid w:val="007D7CC8"/>
    <w:rsid w:val="007D7CE0"/>
    <w:rsid w:val="007D7CF6"/>
    <w:rsid w:val="007D7D2D"/>
    <w:rsid w:val="007D7D93"/>
    <w:rsid w:val="007D7D9C"/>
    <w:rsid w:val="007D7DCD"/>
    <w:rsid w:val="007D7E43"/>
    <w:rsid w:val="007E007E"/>
    <w:rsid w:val="007E00FA"/>
    <w:rsid w:val="007E0132"/>
    <w:rsid w:val="007E017D"/>
    <w:rsid w:val="007E01B2"/>
    <w:rsid w:val="007E01C5"/>
    <w:rsid w:val="007E01F8"/>
    <w:rsid w:val="007E021F"/>
    <w:rsid w:val="007E0221"/>
    <w:rsid w:val="007E023F"/>
    <w:rsid w:val="007E028F"/>
    <w:rsid w:val="007E02BD"/>
    <w:rsid w:val="007E02D1"/>
    <w:rsid w:val="007E02F0"/>
    <w:rsid w:val="007E030E"/>
    <w:rsid w:val="007E032A"/>
    <w:rsid w:val="007E036B"/>
    <w:rsid w:val="007E03C6"/>
    <w:rsid w:val="007E0428"/>
    <w:rsid w:val="007E04C5"/>
    <w:rsid w:val="007E04D9"/>
    <w:rsid w:val="007E04F4"/>
    <w:rsid w:val="007E0514"/>
    <w:rsid w:val="007E052D"/>
    <w:rsid w:val="007E0555"/>
    <w:rsid w:val="007E0556"/>
    <w:rsid w:val="007E0557"/>
    <w:rsid w:val="007E058B"/>
    <w:rsid w:val="007E05D4"/>
    <w:rsid w:val="007E05FF"/>
    <w:rsid w:val="007E0607"/>
    <w:rsid w:val="007E061D"/>
    <w:rsid w:val="007E064C"/>
    <w:rsid w:val="007E0653"/>
    <w:rsid w:val="007E066E"/>
    <w:rsid w:val="007E0682"/>
    <w:rsid w:val="007E0689"/>
    <w:rsid w:val="007E068A"/>
    <w:rsid w:val="007E068F"/>
    <w:rsid w:val="007E06A5"/>
    <w:rsid w:val="007E06C0"/>
    <w:rsid w:val="007E0734"/>
    <w:rsid w:val="007E0739"/>
    <w:rsid w:val="007E074C"/>
    <w:rsid w:val="007E0779"/>
    <w:rsid w:val="007E0793"/>
    <w:rsid w:val="007E07A7"/>
    <w:rsid w:val="007E080C"/>
    <w:rsid w:val="007E085D"/>
    <w:rsid w:val="007E0863"/>
    <w:rsid w:val="007E086E"/>
    <w:rsid w:val="007E087E"/>
    <w:rsid w:val="007E08A9"/>
    <w:rsid w:val="007E08B1"/>
    <w:rsid w:val="007E094F"/>
    <w:rsid w:val="007E097C"/>
    <w:rsid w:val="007E09ED"/>
    <w:rsid w:val="007E09FD"/>
    <w:rsid w:val="007E0A0F"/>
    <w:rsid w:val="007E0A22"/>
    <w:rsid w:val="007E0A30"/>
    <w:rsid w:val="007E0A4F"/>
    <w:rsid w:val="007E0A57"/>
    <w:rsid w:val="007E0A81"/>
    <w:rsid w:val="007E0B27"/>
    <w:rsid w:val="007E0BBC"/>
    <w:rsid w:val="007E0BBE"/>
    <w:rsid w:val="007E0BF6"/>
    <w:rsid w:val="007E0D3D"/>
    <w:rsid w:val="007E0D42"/>
    <w:rsid w:val="007E0D84"/>
    <w:rsid w:val="007E0D95"/>
    <w:rsid w:val="007E0DA1"/>
    <w:rsid w:val="007E0DB9"/>
    <w:rsid w:val="007E0DBF"/>
    <w:rsid w:val="007E0E09"/>
    <w:rsid w:val="007E0E95"/>
    <w:rsid w:val="007E0ECB"/>
    <w:rsid w:val="007E0EE4"/>
    <w:rsid w:val="007E0EFB"/>
    <w:rsid w:val="007E0F27"/>
    <w:rsid w:val="007E0F7F"/>
    <w:rsid w:val="007E1022"/>
    <w:rsid w:val="007E10A1"/>
    <w:rsid w:val="007E112E"/>
    <w:rsid w:val="007E113C"/>
    <w:rsid w:val="007E1150"/>
    <w:rsid w:val="007E11E4"/>
    <w:rsid w:val="007E11E8"/>
    <w:rsid w:val="007E122A"/>
    <w:rsid w:val="007E1244"/>
    <w:rsid w:val="007E124C"/>
    <w:rsid w:val="007E12B8"/>
    <w:rsid w:val="007E12BD"/>
    <w:rsid w:val="007E133A"/>
    <w:rsid w:val="007E141C"/>
    <w:rsid w:val="007E143E"/>
    <w:rsid w:val="007E1456"/>
    <w:rsid w:val="007E146B"/>
    <w:rsid w:val="007E146C"/>
    <w:rsid w:val="007E1486"/>
    <w:rsid w:val="007E14D6"/>
    <w:rsid w:val="007E1566"/>
    <w:rsid w:val="007E1577"/>
    <w:rsid w:val="007E15C4"/>
    <w:rsid w:val="007E163A"/>
    <w:rsid w:val="007E164E"/>
    <w:rsid w:val="007E1655"/>
    <w:rsid w:val="007E1673"/>
    <w:rsid w:val="007E16B9"/>
    <w:rsid w:val="007E17B3"/>
    <w:rsid w:val="007E181F"/>
    <w:rsid w:val="007E18A4"/>
    <w:rsid w:val="007E18C6"/>
    <w:rsid w:val="007E18F9"/>
    <w:rsid w:val="007E1902"/>
    <w:rsid w:val="007E190D"/>
    <w:rsid w:val="007E19A5"/>
    <w:rsid w:val="007E19C6"/>
    <w:rsid w:val="007E19C8"/>
    <w:rsid w:val="007E19F9"/>
    <w:rsid w:val="007E1A34"/>
    <w:rsid w:val="007E1A3C"/>
    <w:rsid w:val="007E1A8C"/>
    <w:rsid w:val="007E1A8E"/>
    <w:rsid w:val="007E1AB4"/>
    <w:rsid w:val="007E1AD4"/>
    <w:rsid w:val="007E1AF9"/>
    <w:rsid w:val="007E1B85"/>
    <w:rsid w:val="007E1BAB"/>
    <w:rsid w:val="007E1BFA"/>
    <w:rsid w:val="007E1C72"/>
    <w:rsid w:val="007E1C79"/>
    <w:rsid w:val="007E1CEA"/>
    <w:rsid w:val="007E1D37"/>
    <w:rsid w:val="007E1D45"/>
    <w:rsid w:val="007E1D7E"/>
    <w:rsid w:val="007E1D94"/>
    <w:rsid w:val="007E1DF7"/>
    <w:rsid w:val="007E1E01"/>
    <w:rsid w:val="007E1E26"/>
    <w:rsid w:val="007E1E58"/>
    <w:rsid w:val="007E1E8B"/>
    <w:rsid w:val="007E1E96"/>
    <w:rsid w:val="007E1E99"/>
    <w:rsid w:val="007E1EA5"/>
    <w:rsid w:val="007E1EA8"/>
    <w:rsid w:val="007E1EB2"/>
    <w:rsid w:val="007E1F1D"/>
    <w:rsid w:val="007E1F3E"/>
    <w:rsid w:val="007E1F4E"/>
    <w:rsid w:val="007E1FAF"/>
    <w:rsid w:val="007E201E"/>
    <w:rsid w:val="007E202B"/>
    <w:rsid w:val="007E203B"/>
    <w:rsid w:val="007E2056"/>
    <w:rsid w:val="007E20CB"/>
    <w:rsid w:val="007E2109"/>
    <w:rsid w:val="007E210F"/>
    <w:rsid w:val="007E2143"/>
    <w:rsid w:val="007E2177"/>
    <w:rsid w:val="007E21F4"/>
    <w:rsid w:val="007E222C"/>
    <w:rsid w:val="007E224F"/>
    <w:rsid w:val="007E2257"/>
    <w:rsid w:val="007E225A"/>
    <w:rsid w:val="007E2261"/>
    <w:rsid w:val="007E2278"/>
    <w:rsid w:val="007E2279"/>
    <w:rsid w:val="007E2299"/>
    <w:rsid w:val="007E22A3"/>
    <w:rsid w:val="007E22E7"/>
    <w:rsid w:val="007E2348"/>
    <w:rsid w:val="007E2393"/>
    <w:rsid w:val="007E23EE"/>
    <w:rsid w:val="007E23F1"/>
    <w:rsid w:val="007E2458"/>
    <w:rsid w:val="007E258C"/>
    <w:rsid w:val="007E25C7"/>
    <w:rsid w:val="007E25D9"/>
    <w:rsid w:val="007E266C"/>
    <w:rsid w:val="007E26A7"/>
    <w:rsid w:val="007E26AF"/>
    <w:rsid w:val="007E26CC"/>
    <w:rsid w:val="007E26D4"/>
    <w:rsid w:val="007E2714"/>
    <w:rsid w:val="007E2765"/>
    <w:rsid w:val="007E2795"/>
    <w:rsid w:val="007E27A7"/>
    <w:rsid w:val="007E27F2"/>
    <w:rsid w:val="007E281A"/>
    <w:rsid w:val="007E2899"/>
    <w:rsid w:val="007E28E7"/>
    <w:rsid w:val="007E28FA"/>
    <w:rsid w:val="007E2909"/>
    <w:rsid w:val="007E2957"/>
    <w:rsid w:val="007E2975"/>
    <w:rsid w:val="007E29A7"/>
    <w:rsid w:val="007E2A0C"/>
    <w:rsid w:val="007E2A0F"/>
    <w:rsid w:val="007E2A49"/>
    <w:rsid w:val="007E2AF7"/>
    <w:rsid w:val="007E2AFD"/>
    <w:rsid w:val="007E2B42"/>
    <w:rsid w:val="007E2B57"/>
    <w:rsid w:val="007E2B67"/>
    <w:rsid w:val="007E2BA1"/>
    <w:rsid w:val="007E2BA7"/>
    <w:rsid w:val="007E2BD9"/>
    <w:rsid w:val="007E2BE7"/>
    <w:rsid w:val="007E2C2D"/>
    <w:rsid w:val="007E2C37"/>
    <w:rsid w:val="007E2C73"/>
    <w:rsid w:val="007E2C94"/>
    <w:rsid w:val="007E2CED"/>
    <w:rsid w:val="007E2D0A"/>
    <w:rsid w:val="007E2D48"/>
    <w:rsid w:val="007E2D69"/>
    <w:rsid w:val="007E2D93"/>
    <w:rsid w:val="007E2DA0"/>
    <w:rsid w:val="007E2DA1"/>
    <w:rsid w:val="007E2DAC"/>
    <w:rsid w:val="007E2E30"/>
    <w:rsid w:val="007E2E5A"/>
    <w:rsid w:val="007E2F43"/>
    <w:rsid w:val="007E2FAF"/>
    <w:rsid w:val="007E3013"/>
    <w:rsid w:val="007E3074"/>
    <w:rsid w:val="007E3077"/>
    <w:rsid w:val="007E30B9"/>
    <w:rsid w:val="007E3100"/>
    <w:rsid w:val="007E3101"/>
    <w:rsid w:val="007E3126"/>
    <w:rsid w:val="007E3154"/>
    <w:rsid w:val="007E3202"/>
    <w:rsid w:val="007E322B"/>
    <w:rsid w:val="007E3265"/>
    <w:rsid w:val="007E3269"/>
    <w:rsid w:val="007E3297"/>
    <w:rsid w:val="007E329B"/>
    <w:rsid w:val="007E32E3"/>
    <w:rsid w:val="007E3313"/>
    <w:rsid w:val="007E3387"/>
    <w:rsid w:val="007E345F"/>
    <w:rsid w:val="007E34B1"/>
    <w:rsid w:val="007E34B8"/>
    <w:rsid w:val="007E34F9"/>
    <w:rsid w:val="007E353D"/>
    <w:rsid w:val="007E3562"/>
    <w:rsid w:val="007E35B5"/>
    <w:rsid w:val="007E35D6"/>
    <w:rsid w:val="007E3611"/>
    <w:rsid w:val="007E3615"/>
    <w:rsid w:val="007E3648"/>
    <w:rsid w:val="007E3695"/>
    <w:rsid w:val="007E36FA"/>
    <w:rsid w:val="007E37A3"/>
    <w:rsid w:val="007E3802"/>
    <w:rsid w:val="007E383E"/>
    <w:rsid w:val="007E387D"/>
    <w:rsid w:val="007E3892"/>
    <w:rsid w:val="007E3894"/>
    <w:rsid w:val="007E38E2"/>
    <w:rsid w:val="007E3907"/>
    <w:rsid w:val="007E3914"/>
    <w:rsid w:val="007E3950"/>
    <w:rsid w:val="007E3967"/>
    <w:rsid w:val="007E39C7"/>
    <w:rsid w:val="007E39F9"/>
    <w:rsid w:val="007E3A20"/>
    <w:rsid w:val="007E3A2A"/>
    <w:rsid w:val="007E3A31"/>
    <w:rsid w:val="007E3A40"/>
    <w:rsid w:val="007E3A6F"/>
    <w:rsid w:val="007E3A81"/>
    <w:rsid w:val="007E3A94"/>
    <w:rsid w:val="007E3AB6"/>
    <w:rsid w:val="007E3BB3"/>
    <w:rsid w:val="007E3BCD"/>
    <w:rsid w:val="007E3BD9"/>
    <w:rsid w:val="007E3BF9"/>
    <w:rsid w:val="007E3BFD"/>
    <w:rsid w:val="007E3C11"/>
    <w:rsid w:val="007E3C93"/>
    <w:rsid w:val="007E3CA0"/>
    <w:rsid w:val="007E3CAA"/>
    <w:rsid w:val="007E3CC5"/>
    <w:rsid w:val="007E3CE5"/>
    <w:rsid w:val="007E3D3B"/>
    <w:rsid w:val="007E3DE1"/>
    <w:rsid w:val="007E3DF5"/>
    <w:rsid w:val="007E3E35"/>
    <w:rsid w:val="007E3E85"/>
    <w:rsid w:val="007E3ED9"/>
    <w:rsid w:val="007E3F2C"/>
    <w:rsid w:val="007E3F40"/>
    <w:rsid w:val="007E3F90"/>
    <w:rsid w:val="007E3FD6"/>
    <w:rsid w:val="007E4015"/>
    <w:rsid w:val="007E4023"/>
    <w:rsid w:val="007E4030"/>
    <w:rsid w:val="007E4079"/>
    <w:rsid w:val="007E4094"/>
    <w:rsid w:val="007E40A4"/>
    <w:rsid w:val="007E40DE"/>
    <w:rsid w:val="007E40E3"/>
    <w:rsid w:val="007E414E"/>
    <w:rsid w:val="007E4182"/>
    <w:rsid w:val="007E41B1"/>
    <w:rsid w:val="007E41C1"/>
    <w:rsid w:val="007E41C3"/>
    <w:rsid w:val="007E4203"/>
    <w:rsid w:val="007E42AB"/>
    <w:rsid w:val="007E4300"/>
    <w:rsid w:val="007E432F"/>
    <w:rsid w:val="007E4331"/>
    <w:rsid w:val="007E4353"/>
    <w:rsid w:val="007E4356"/>
    <w:rsid w:val="007E4370"/>
    <w:rsid w:val="007E4379"/>
    <w:rsid w:val="007E438B"/>
    <w:rsid w:val="007E43CB"/>
    <w:rsid w:val="007E441F"/>
    <w:rsid w:val="007E4422"/>
    <w:rsid w:val="007E4441"/>
    <w:rsid w:val="007E4447"/>
    <w:rsid w:val="007E4498"/>
    <w:rsid w:val="007E44AE"/>
    <w:rsid w:val="007E4506"/>
    <w:rsid w:val="007E452A"/>
    <w:rsid w:val="007E456E"/>
    <w:rsid w:val="007E458E"/>
    <w:rsid w:val="007E4590"/>
    <w:rsid w:val="007E45D6"/>
    <w:rsid w:val="007E45DD"/>
    <w:rsid w:val="007E4658"/>
    <w:rsid w:val="007E4668"/>
    <w:rsid w:val="007E467B"/>
    <w:rsid w:val="007E46A7"/>
    <w:rsid w:val="007E46E9"/>
    <w:rsid w:val="007E4708"/>
    <w:rsid w:val="007E479C"/>
    <w:rsid w:val="007E47A9"/>
    <w:rsid w:val="007E47CC"/>
    <w:rsid w:val="007E47CD"/>
    <w:rsid w:val="007E47F8"/>
    <w:rsid w:val="007E483E"/>
    <w:rsid w:val="007E486C"/>
    <w:rsid w:val="007E487C"/>
    <w:rsid w:val="007E487F"/>
    <w:rsid w:val="007E4887"/>
    <w:rsid w:val="007E4895"/>
    <w:rsid w:val="007E48AC"/>
    <w:rsid w:val="007E4945"/>
    <w:rsid w:val="007E4948"/>
    <w:rsid w:val="007E4953"/>
    <w:rsid w:val="007E4A86"/>
    <w:rsid w:val="007E4ABE"/>
    <w:rsid w:val="007E4B2D"/>
    <w:rsid w:val="007E4B60"/>
    <w:rsid w:val="007E4B68"/>
    <w:rsid w:val="007E4B95"/>
    <w:rsid w:val="007E4BD5"/>
    <w:rsid w:val="007E4BD6"/>
    <w:rsid w:val="007E4BD9"/>
    <w:rsid w:val="007E4C36"/>
    <w:rsid w:val="007E4C67"/>
    <w:rsid w:val="007E4CAC"/>
    <w:rsid w:val="007E4CB7"/>
    <w:rsid w:val="007E4CC7"/>
    <w:rsid w:val="007E4CDA"/>
    <w:rsid w:val="007E4D21"/>
    <w:rsid w:val="007E4D54"/>
    <w:rsid w:val="007E4D5B"/>
    <w:rsid w:val="007E4D67"/>
    <w:rsid w:val="007E4DDD"/>
    <w:rsid w:val="007E4E2F"/>
    <w:rsid w:val="007E4E79"/>
    <w:rsid w:val="007E4F0A"/>
    <w:rsid w:val="007E4F93"/>
    <w:rsid w:val="007E4FF6"/>
    <w:rsid w:val="007E4FFC"/>
    <w:rsid w:val="007E5000"/>
    <w:rsid w:val="007E50B4"/>
    <w:rsid w:val="007E50D6"/>
    <w:rsid w:val="007E5155"/>
    <w:rsid w:val="007E51D4"/>
    <w:rsid w:val="007E51FB"/>
    <w:rsid w:val="007E522A"/>
    <w:rsid w:val="007E5249"/>
    <w:rsid w:val="007E52BF"/>
    <w:rsid w:val="007E52CC"/>
    <w:rsid w:val="007E531C"/>
    <w:rsid w:val="007E5385"/>
    <w:rsid w:val="007E53C1"/>
    <w:rsid w:val="007E5401"/>
    <w:rsid w:val="007E5454"/>
    <w:rsid w:val="007E5483"/>
    <w:rsid w:val="007E54B2"/>
    <w:rsid w:val="007E54B9"/>
    <w:rsid w:val="007E54D7"/>
    <w:rsid w:val="007E5535"/>
    <w:rsid w:val="007E5538"/>
    <w:rsid w:val="007E557E"/>
    <w:rsid w:val="007E55E4"/>
    <w:rsid w:val="007E55EF"/>
    <w:rsid w:val="007E55F4"/>
    <w:rsid w:val="007E562A"/>
    <w:rsid w:val="007E5635"/>
    <w:rsid w:val="007E5641"/>
    <w:rsid w:val="007E5648"/>
    <w:rsid w:val="007E565A"/>
    <w:rsid w:val="007E56BC"/>
    <w:rsid w:val="007E56C7"/>
    <w:rsid w:val="007E56E1"/>
    <w:rsid w:val="007E571B"/>
    <w:rsid w:val="007E571E"/>
    <w:rsid w:val="007E5723"/>
    <w:rsid w:val="007E575A"/>
    <w:rsid w:val="007E5762"/>
    <w:rsid w:val="007E5793"/>
    <w:rsid w:val="007E57AF"/>
    <w:rsid w:val="007E5840"/>
    <w:rsid w:val="007E5855"/>
    <w:rsid w:val="007E585E"/>
    <w:rsid w:val="007E58D8"/>
    <w:rsid w:val="007E5903"/>
    <w:rsid w:val="007E594A"/>
    <w:rsid w:val="007E5978"/>
    <w:rsid w:val="007E59A8"/>
    <w:rsid w:val="007E59AB"/>
    <w:rsid w:val="007E59CA"/>
    <w:rsid w:val="007E59E0"/>
    <w:rsid w:val="007E59F2"/>
    <w:rsid w:val="007E59F3"/>
    <w:rsid w:val="007E5A36"/>
    <w:rsid w:val="007E5A3D"/>
    <w:rsid w:val="007E5A51"/>
    <w:rsid w:val="007E5AFD"/>
    <w:rsid w:val="007E5B2F"/>
    <w:rsid w:val="007E5B86"/>
    <w:rsid w:val="007E5BA1"/>
    <w:rsid w:val="007E5C29"/>
    <w:rsid w:val="007E5C63"/>
    <w:rsid w:val="007E5C8D"/>
    <w:rsid w:val="007E5CBB"/>
    <w:rsid w:val="007E5CF2"/>
    <w:rsid w:val="007E5D50"/>
    <w:rsid w:val="007E5D59"/>
    <w:rsid w:val="007E5D78"/>
    <w:rsid w:val="007E5DAF"/>
    <w:rsid w:val="007E5DE3"/>
    <w:rsid w:val="007E5E02"/>
    <w:rsid w:val="007E5E05"/>
    <w:rsid w:val="007E5E37"/>
    <w:rsid w:val="007E5E85"/>
    <w:rsid w:val="007E5EA4"/>
    <w:rsid w:val="007E5EBE"/>
    <w:rsid w:val="007E5ED7"/>
    <w:rsid w:val="007E5F26"/>
    <w:rsid w:val="007E5F3A"/>
    <w:rsid w:val="007E5FA7"/>
    <w:rsid w:val="007E60EC"/>
    <w:rsid w:val="007E6179"/>
    <w:rsid w:val="007E618B"/>
    <w:rsid w:val="007E61E4"/>
    <w:rsid w:val="007E6212"/>
    <w:rsid w:val="007E623F"/>
    <w:rsid w:val="007E624B"/>
    <w:rsid w:val="007E6251"/>
    <w:rsid w:val="007E6268"/>
    <w:rsid w:val="007E626D"/>
    <w:rsid w:val="007E62AF"/>
    <w:rsid w:val="007E62EA"/>
    <w:rsid w:val="007E634E"/>
    <w:rsid w:val="007E6397"/>
    <w:rsid w:val="007E63A9"/>
    <w:rsid w:val="007E63D6"/>
    <w:rsid w:val="007E6441"/>
    <w:rsid w:val="007E6457"/>
    <w:rsid w:val="007E6485"/>
    <w:rsid w:val="007E64BB"/>
    <w:rsid w:val="007E64DC"/>
    <w:rsid w:val="007E64E4"/>
    <w:rsid w:val="007E6513"/>
    <w:rsid w:val="007E657B"/>
    <w:rsid w:val="007E658C"/>
    <w:rsid w:val="007E658F"/>
    <w:rsid w:val="007E65B0"/>
    <w:rsid w:val="007E6603"/>
    <w:rsid w:val="007E662B"/>
    <w:rsid w:val="007E66C8"/>
    <w:rsid w:val="007E67FB"/>
    <w:rsid w:val="007E6812"/>
    <w:rsid w:val="007E6828"/>
    <w:rsid w:val="007E6853"/>
    <w:rsid w:val="007E6854"/>
    <w:rsid w:val="007E68BC"/>
    <w:rsid w:val="007E68C4"/>
    <w:rsid w:val="007E6935"/>
    <w:rsid w:val="007E6941"/>
    <w:rsid w:val="007E6943"/>
    <w:rsid w:val="007E698C"/>
    <w:rsid w:val="007E6992"/>
    <w:rsid w:val="007E699E"/>
    <w:rsid w:val="007E69A8"/>
    <w:rsid w:val="007E69C4"/>
    <w:rsid w:val="007E6A2E"/>
    <w:rsid w:val="007E6A56"/>
    <w:rsid w:val="007E6A65"/>
    <w:rsid w:val="007E6A70"/>
    <w:rsid w:val="007E6A71"/>
    <w:rsid w:val="007E6B51"/>
    <w:rsid w:val="007E6B53"/>
    <w:rsid w:val="007E6B5F"/>
    <w:rsid w:val="007E6B75"/>
    <w:rsid w:val="007E6BB8"/>
    <w:rsid w:val="007E6BC2"/>
    <w:rsid w:val="007E6BE9"/>
    <w:rsid w:val="007E6BF4"/>
    <w:rsid w:val="007E6C0E"/>
    <w:rsid w:val="007E6D9F"/>
    <w:rsid w:val="007E6DA0"/>
    <w:rsid w:val="007E6DB4"/>
    <w:rsid w:val="007E6DB6"/>
    <w:rsid w:val="007E6DCE"/>
    <w:rsid w:val="007E6DF1"/>
    <w:rsid w:val="007E6E04"/>
    <w:rsid w:val="007E6E97"/>
    <w:rsid w:val="007E6F10"/>
    <w:rsid w:val="007E6F41"/>
    <w:rsid w:val="007E6F4A"/>
    <w:rsid w:val="007E6F88"/>
    <w:rsid w:val="007E6F8E"/>
    <w:rsid w:val="007E6FA5"/>
    <w:rsid w:val="007E6FB2"/>
    <w:rsid w:val="007E6FDA"/>
    <w:rsid w:val="007E6FFB"/>
    <w:rsid w:val="007E70F0"/>
    <w:rsid w:val="007E7174"/>
    <w:rsid w:val="007E71AD"/>
    <w:rsid w:val="007E720D"/>
    <w:rsid w:val="007E7215"/>
    <w:rsid w:val="007E728A"/>
    <w:rsid w:val="007E72DF"/>
    <w:rsid w:val="007E7315"/>
    <w:rsid w:val="007E7323"/>
    <w:rsid w:val="007E7338"/>
    <w:rsid w:val="007E7345"/>
    <w:rsid w:val="007E737C"/>
    <w:rsid w:val="007E73D7"/>
    <w:rsid w:val="007E73EE"/>
    <w:rsid w:val="007E7483"/>
    <w:rsid w:val="007E74AA"/>
    <w:rsid w:val="007E7535"/>
    <w:rsid w:val="007E758C"/>
    <w:rsid w:val="007E7613"/>
    <w:rsid w:val="007E7617"/>
    <w:rsid w:val="007E7646"/>
    <w:rsid w:val="007E7695"/>
    <w:rsid w:val="007E76B9"/>
    <w:rsid w:val="007E76CA"/>
    <w:rsid w:val="007E781C"/>
    <w:rsid w:val="007E78B3"/>
    <w:rsid w:val="007E78E6"/>
    <w:rsid w:val="007E790E"/>
    <w:rsid w:val="007E7933"/>
    <w:rsid w:val="007E7961"/>
    <w:rsid w:val="007E79B7"/>
    <w:rsid w:val="007E79D3"/>
    <w:rsid w:val="007E79E4"/>
    <w:rsid w:val="007E7A4B"/>
    <w:rsid w:val="007E7AF1"/>
    <w:rsid w:val="007E7B48"/>
    <w:rsid w:val="007E7BEA"/>
    <w:rsid w:val="007E7C5C"/>
    <w:rsid w:val="007E7C9E"/>
    <w:rsid w:val="007E7CEA"/>
    <w:rsid w:val="007E7D42"/>
    <w:rsid w:val="007E7D7D"/>
    <w:rsid w:val="007E7D91"/>
    <w:rsid w:val="007E7DB8"/>
    <w:rsid w:val="007E7DC4"/>
    <w:rsid w:val="007E7DD9"/>
    <w:rsid w:val="007E7E00"/>
    <w:rsid w:val="007E7E05"/>
    <w:rsid w:val="007E7E16"/>
    <w:rsid w:val="007E7E4C"/>
    <w:rsid w:val="007E7E62"/>
    <w:rsid w:val="007E7EC1"/>
    <w:rsid w:val="007E7EC3"/>
    <w:rsid w:val="007E7ECD"/>
    <w:rsid w:val="007E7F18"/>
    <w:rsid w:val="007E7F50"/>
    <w:rsid w:val="007E7F7A"/>
    <w:rsid w:val="007E7F84"/>
    <w:rsid w:val="007E7FB8"/>
    <w:rsid w:val="007E7FFC"/>
    <w:rsid w:val="007E7FFD"/>
    <w:rsid w:val="007F0004"/>
    <w:rsid w:val="007F002F"/>
    <w:rsid w:val="007F003A"/>
    <w:rsid w:val="007F00EC"/>
    <w:rsid w:val="007F00F7"/>
    <w:rsid w:val="007F014B"/>
    <w:rsid w:val="007F01CD"/>
    <w:rsid w:val="007F01E2"/>
    <w:rsid w:val="007F01EE"/>
    <w:rsid w:val="007F022D"/>
    <w:rsid w:val="007F0238"/>
    <w:rsid w:val="007F024D"/>
    <w:rsid w:val="007F0272"/>
    <w:rsid w:val="007F02E1"/>
    <w:rsid w:val="007F03B2"/>
    <w:rsid w:val="007F03C6"/>
    <w:rsid w:val="007F03F9"/>
    <w:rsid w:val="007F0435"/>
    <w:rsid w:val="007F04AA"/>
    <w:rsid w:val="007F04CF"/>
    <w:rsid w:val="007F0518"/>
    <w:rsid w:val="007F0573"/>
    <w:rsid w:val="007F057D"/>
    <w:rsid w:val="007F05A3"/>
    <w:rsid w:val="007F064F"/>
    <w:rsid w:val="007F0674"/>
    <w:rsid w:val="007F0749"/>
    <w:rsid w:val="007F0757"/>
    <w:rsid w:val="007F0778"/>
    <w:rsid w:val="007F0798"/>
    <w:rsid w:val="007F0799"/>
    <w:rsid w:val="007F07D8"/>
    <w:rsid w:val="007F07E6"/>
    <w:rsid w:val="007F07F1"/>
    <w:rsid w:val="007F0800"/>
    <w:rsid w:val="007F0825"/>
    <w:rsid w:val="007F0837"/>
    <w:rsid w:val="007F0858"/>
    <w:rsid w:val="007F0899"/>
    <w:rsid w:val="007F089B"/>
    <w:rsid w:val="007F09A4"/>
    <w:rsid w:val="007F09EE"/>
    <w:rsid w:val="007F09FD"/>
    <w:rsid w:val="007F0A1F"/>
    <w:rsid w:val="007F0AA5"/>
    <w:rsid w:val="007F0AE8"/>
    <w:rsid w:val="007F0B1A"/>
    <w:rsid w:val="007F0B4F"/>
    <w:rsid w:val="007F0BF6"/>
    <w:rsid w:val="007F0C03"/>
    <w:rsid w:val="007F0C0E"/>
    <w:rsid w:val="007F0CA1"/>
    <w:rsid w:val="007F0CC0"/>
    <w:rsid w:val="007F0CCD"/>
    <w:rsid w:val="007F0CD9"/>
    <w:rsid w:val="007F0D2F"/>
    <w:rsid w:val="007F0DB7"/>
    <w:rsid w:val="007F0E0F"/>
    <w:rsid w:val="007F0E2B"/>
    <w:rsid w:val="007F0E80"/>
    <w:rsid w:val="007F0EC7"/>
    <w:rsid w:val="007F0EDE"/>
    <w:rsid w:val="007F0F5D"/>
    <w:rsid w:val="007F0F76"/>
    <w:rsid w:val="007F0F7D"/>
    <w:rsid w:val="007F0FA3"/>
    <w:rsid w:val="007F1005"/>
    <w:rsid w:val="007F1036"/>
    <w:rsid w:val="007F1062"/>
    <w:rsid w:val="007F10FE"/>
    <w:rsid w:val="007F1117"/>
    <w:rsid w:val="007F111F"/>
    <w:rsid w:val="007F112F"/>
    <w:rsid w:val="007F11B0"/>
    <w:rsid w:val="007F11DD"/>
    <w:rsid w:val="007F1210"/>
    <w:rsid w:val="007F122C"/>
    <w:rsid w:val="007F122F"/>
    <w:rsid w:val="007F1239"/>
    <w:rsid w:val="007F1281"/>
    <w:rsid w:val="007F12E3"/>
    <w:rsid w:val="007F12FE"/>
    <w:rsid w:val="007F13BD"/>
    <w:rsid w:val="007F13F3"/>
    <w:rsid w:val="007F145D"/>
    <w:rsid w:val="007F1461"/>
    <w:rsid w:val="007F14B1"/>
    <w:rsid w:val="007F151C"/>
    <w:rsid w:val="007F1587"/>
    <w:rsid w:val="007F158A"/>
    <w:rsid w:val="007F15DB"/>
    <w:rsid w:val="007F15DD"/>
    <w:rsid w:val="007F161B"/>
    <w:rsid w:val="007F1643"/>
    <w:rsid w:val="007F1659"/>
    <w:rsid w:val="007F1676"/>
    <w:rsid w:val="007F16D7"/>
    <w:rsid w:val="007F1708"/>
    <w:rsid w:val="007F1715"/>
    <w:rsid w:val="007F1727"/>
    <w:rsid w:val="007F17BD"/>
    <w:rsid w:val="007F17E2"/>
    <w:rsid w:val="007F17F8"/>
    <w:rsid w:val="007F1821"/>
    <w:rsid w:val="007F1832"/>
    <w:rsid w:val="007F183E"/>
    <w:rsid w:val="007F186F"/>
    <w:rsid w:val="007F1875"/>
    <w:rsid w:val="007F1877"/>
    <w:rsid w:val="007F1930"/>
    <w:rsid w:val="007F1963"/>
    <w:rsid w:val="007F1966"/>
    <w:rsid w:val="007F196D"/>
    <w:rsid w:val="007F1979"/>
    <w:rsid w:val="007F1988"/>
    <w:rsid w:val="007F19AD"/>
    <w:rsid w:val="007F1A03"/>
    <w:rsid w:val="007F1A3A"/>
    <w:rsid w:val="007F1A53"/>
    <w:rsid w:val="007F1AA6"/>
    <w:rsid w:val="007F1AB3"/>
    <w:rsid w:val="007F1AC1"/>
    <w:rsid w:val="007F1AD6"/>
    <w:rsid w:val="007F1AF1"/>
    <w:rsid w:val="007F1B71"/>
    <w:rsid w:val="007F1B94"/>
    <w:rsid w:val="007F1B96"/>
    <w:rsid w:val="007F1BFD"/>
    <w:rsid w:val="007F1C04"/>
    <w:rsid w:val="007F1C72"/>
    <w:rsid w:val="007F1C7F"/>
    <w:rsid w:val="007F1C85"/>
    <w:rsid w:val="007F1C96"/>
    <w:rsid w:val="007F1CB2"/>
    <w:rsid w:val="007F1CF6"/>
    <w:rsid w:val="007F1CFB"/>
    <w:rsid w:val="007F1D01"/>
    <w:rsid w:val="007F1D1B"/>
    <w:rsid w:val="007F1D39"/>
    <w:rsid w:val="007F1D68"/>
    <w:rsid w:val="007F1DB2"/>
    <w:rsid w:val="007F1E38"/>
    <w:rsid w:val="007F1E66"/>
    <w:rsid w:val="007F1E6F"/>
    <w:rsid w:val="007F1EB3"/>
    <w:rsid w:val="007F1EFC"/>
    <w:rsid w:val="007F1F55"/>
    <w:rsid w:val="007F1F7A"/>
    <w:rsid w:val="007F1FE4"/>
    <w:rsid w:val="007F2033"/>
    <w:rsid w:val="007F2048"/>
    <w:rsid w:val="007F205E"/>
    <w:rsid w:val="007F2073"/>
    <w:rsid w:val="007F20EE"/>
    <w:rsid w:val="007F20F5"/>
    <w:rsid w:val="007F213F"/>
    <w:rsid w:val="007F2167"/>
    <w:rsid w:val="007F2178"/>
    <w:rsid w:val="007F21F4"/>
    <w:rsid w:val="007F21F8"/>
    <w:rsid w:val="007F2202"/>
    <w:rsid w:val="007F2206"/>
    <w:rsid w:val="007F2218"/>
    <w:rsid w:val="007F2244"/>
    <w:rsid w:val="007F22DD"/>
    <w:rsid w:val="007F2357"/>
    <w:rsid w:val="007F235A"/>
    <w:rsid w:val="007F235C"/>
    <w:rsid w:val="007F2370"/>
    <w:rsid w:val="007F23D3"/>
    <w:rsid w:val="007F23EE"/>
    <w:rsid w:val="007F24C5"/>
    <w:rsid w:val="007F24E4"/>
    <w:rsid w:val="007F2560"/>
    <w:rsid w:val="007F25C4"/>
    <w:rsid w:val="007F25DF"/>
    <w:rsid w:val="007F2607"/>
    <w:rsid w:val="007F261B"/>
    <w:rsid w:val="007F26AC"/>
    <w:rsid w:val="007F26B8"/>
    <w:rsid w:val="007F26C2"/>
    <w:rsid w:val="007F26C3"/>
    <w:rsid w:val="007F26E8"/>
    <w:rsid w:val="007F26E9"/>
    <w:rsid w:val="007F26ED"/>
    <w:rsid w:val="007F26F3"/>
    <w:rsid w:val="007F2713"/>
    <w:rsid w:val="007F2747"/>
    <w:rsid w:val="007F2755"/>
    <w:rsid w:val="007F2760"/>
    <w:rsid w:val="007F277E"/>
    <w:rsid w:val="007F279F"/>
    <w:rsid w:val="007F27B5"/>
    <w:rsid w:val="007F2859"/>
    <w:rsid w:val="007F28D5"/>
    <w:rsid w:val="007F28D8"/>
    <w:rsid w:val="007F2906"/>
    <w:rsid w:val="007F2911"/>
    <w:rsid w:val="007F292E"/>
    <w:rsid w:val="007F2A8C"/>
    <w:rsid w:val="007F2AA3"/>
    <w:rsid w:val="007F2AB0"/>
    <w:rsid w:val="007F2B37"/>
    <w:rsid w:val="007F2BB5"/>
    <w:rsid w:val="007F2C7E"/>
    <w:rsid w:val="007F2CEA"/>
    <w:rsid w:val="007F2CF4"/>
    <w:rsid w:val="007F2D0D"/>
    <w:rsid w:val="007F2D39"/>
    <w:rsid w:val="007F2D98"/>
    <w:rsid w:val="007F2DB0"/>
    <w:rsid w:val="007F2DB5"/>
    <w:rsid w:val="007F2DD4"/>
    <w:rsid w:val="007F2DE8"/>
    <w:rsid w:val="007F2DFD"/>
    <w:rsid w:val="007F2E05"/>
    <w:rsid w:val="007F2E2A"/>
    <w:rsid w:val="007F2EDC"/>
    <w:rsid w:val="007F2F9A"/>
    <w:rsid w:val="007F2FB3"/>
    <w:rsid w:val="007F3001"/>
    <w:rsid w:val="007F3005"/>
    <w:rsid w:val="007F3036"/>
    <w:rsid w:val="007F308F"/>
    <w:rsid w:val="007F30C4"/>
    <w:rsid w:val="007F3106"/>
    <w:rsid w:val="007F312F"/>
    <w:rsid w:val="007F31CE"/>
    <w:rsid w:val="007F31DF"/>
    <w:rsid w:val="007F31F5"/>
    <w:rsid w:val="007F321A"/>
    <w:rsid w:val="007F3223"/>
    <w:rsid w:val="007F322C"/>
    <w:rsid w:val="007F322D"/>
    <w:rsid w:val="007F3238"/>
    <w:rsid w:val="007F323F"/>
    <w:rsid w:val="007F3274"/>
    <w:rsid w:val="007F330A"/>
    <w:rsid w:val="007F331B"/>
    <w:rsid w:val="007F339E"/>
    <w:rsid w:val="007F340C"/>
    <w:rsid w:val="007F3416"/>
    <w:rsid w:val="007F341F"/>
    <w:rsid w:val="007F3422"/>
    <w:rsid w:val="007F346F"/>
    <w:rsid w:val="007F34CA"/>
    <w:rsid w:val="007F3556"/>
    <w:rsid w:val="007F3570"/>
    <w:rsid w:val="007F35B9"/>
    <w:rsid w:val="007F35DD"/>
    <w:rsid w:val="007F365F"/>
    <w:rsid w:val="007F3681"/>
    <w:rsid w:val="007F368A"/>
    <w:rsid w:val="007F371C"/>
    <w:rsid w:val="007F3769"/>
    <w:rsid w:val="007F37AF"/>
    <w:rsid w:val="007F37B7"/>
    <w:rsid w:val="007F37E1"/>
    <w:rsid w:val="007F3811"/>
    <w:rsid w:val="007F3893"/>
    <w:rsid w:val="007F38DD"/>
    <w:rsid w:val="007F3916"/>
    <w:rsid w:val="007F39C1"/>
    <w:rsid w:val="007F39C6"/>
    <w:rsid w:val="007F3A08"/>
    <w:rsid w:val="007F3A4C"/>
    <w:rsid w:val="007F3AA0"/>
    <w:rsid w:val="007F3B04"/>
    <w:rsid w:val="007F3B48"/>
    <w:rsid w:val="007F3B9A"/>
    <w:rsid w:val="007F3BA8"/>
    <w:rsid w:val="007F3BC4"/>
    <w:rsid w:val="007F3BD2"/>
    <w:rsid w:val="007F3BF2"/>
    <w:rsid w:val="007F3C09"/>
    <w:rsid w:val="007F3C0F"/>
    <w:rsid w:val="007F3C1D"/>
    <w:rsid w:val="007F3C49"/>
    <w:rsid w:val="007F3C60"/>
    <w:rsid w:val="007F3CA0"/>
    <w:rsid w:val="007F3CA3"/>
    <w:rsid w:val="007F3D26"/>
    <w:rsid w:val="007F3D27"/>
    <w:rsid w:val="007F3D2D"/>
    <w:rsid w:val="007F3DA0"/>
    <w:rsid w:val="007F3DC4"/>
    <w:rsid w:val="007F3DC8"/>
    <w:rsid w:val="007F3F00"/>
    <w:rsid w:val="007F3F0C"/>
    <w:rsid w:val="007F3F17"/>
    <w:rsid w:val="007F3F3A"/>
    <w:rsid w:val="007F3FC5"/>
    <w:rsid w:val="007F3FC7"/>
    <w:rsid w:val="007F3FD6"/>
    <w:rsid w:val="007F3FD8"/>
    <w:rsid w:val="007F3FDA"/>
    <w:rsid w:val="007F3FE1"/>
    <w:rsid w:val="007F400C"/>
    <w:rsid w:val="007F404F"/>
    <w:rsid w:val="007F4052"/>
    <w:rsid w:val="007F40F5"/>
    <w:rsid w:val="007F4107"/>
    <w:rsid w:val="007F410E"/>
    <w:rsid w:val="007F4167"/>
    <w:rsid w:val="007F4175"/>
    <w:rsid w:val="007F420D"/>
    <w:rsid w:val="007F4231"/>
    <w:rsid w:val="007F4283"/>
    <w:rsid w:val="007F42A1"/>
    <w:rsid w:val="007F42AA"/>
    <w:rsid w:val="007F42DF"/>
    <w:rsid w:val="007F42F8"/>
    <w:rsid w:val="007F4304"/>
    <w:rsid w:val="007F430B"/>
    <w:rsid w:val="007F4325"/>
    <w:rsid w:val="007F43AD"/>
    <w:rsid w:val="007F43B3"/>
    <w:rsid w:val="007F43E0"/>
    <w:rsid w:val="007F43EE"/>
    <w:rsid w:val="007F44E3"/>
    <w:rsid w:val="007F44F9"/>
    <w:rsid w:val="007F4513"/>
    <w:rsid w:val="007F451A"/>
    <w:rsid w:val="007F4548"/>
    <w:rsid w:val="007F4585"/>
    <w:rsid w:val="007F45BE"/>
    <w:rsid w:val="007F4612"/>
    <w:rsid w:val="007F461F"/>
    <w:rsid w:val="007F4656"/>
    <w:rsid w:val="007F46BB"/>
    <w:rsid w:val="007F46F7"/>
    <w:rsid w:val="007F4769"/>
    <w:rsid w:val="007F47BA"/>
    <w:rsid w:val="007F47EC"/>
    <w:rsid w:val="007F47FC"/>
    <w:rsid w:val="007F4829"/>
    <w:rsid w:val="007F4836"/>
    <w:rsid w:val="007F4882"/>
    <w:rsid w:val="007F4888"/>
    <w:rsid w:val="007F492C"/>
    <w:rsid w:val="007F497C"/>
    <w:rsid w:val="007F49A9"/>
    <w:rsid w:val="007F49B4"/>
    <w:rsid w:val="007F4A90"/>
    <w:rsid w:val="007F4AA8"/>
    <w:rsid w:val="007F4AF1"/>
    <w:rsid w:val="007F4AF7"/>
    <w:rsid w:val="007F4B49"/>
    <w:rsid w:val="007F4BAB"/>
    <w:rsid w:val="007F4C2E"/>
    <w:rsid w:val="007F4C9D"/>
    <w:rsid w:val="007F4D38"/>
    <w:rsid w:val="007F4D46"/>
    <w:rsid w:val="007F4DD0"/>
    <w:rsid w:val="007F4DDC"/>
    <w:rsid w:val="007F4DE2"/>
    <w:rsid w:val="007F4DF5"/>
    <w:rsid w:val="007F4E04"/>
    <w:rsid w:val="007F4E50"/>
    <w:rsid w:val="007F4EDB"/>
    <w:rsid w:val="007F4F2B"/>
    <w:rsid w:val="007F4F2D"/>
    <w:rsid w:val="007F4F5D"/>
    <w:rsid w:val="007F5015"/>
    <w:rsid w:val="007F5025"/>
    <w:rsid w:val="007F5032"/>
    <w:rsid w:val="007F5033"/>
    <w:rsid w:val="007F5086"/>
    <w:rsid w:val="007F50A7"/>
    <w:rsid w:val="007F50A9"/>
    <w:rsid w:val="007F50DE"/>
    <w:rsid w:val="007F50E8"/>
    <w:rsid w:val="007F5115"/>
    <w:rsid w:val="007F5158"/>
    <w:rsid w:val="007F51C2"/>
    <w:rsid w:val="007F52B7"/>
    <w:rsid w:val="007F52E6"/>
    <w:rsid w:val="007F52FC"/>
    <w:rsid w:val="007F52FF"/>
    <w:rsid w:val="007F5358"/>
    <w:rsid w:val="007F5432"/>
    <w:rsid w:val="007F544B"/>
    <w:rsid w:val="007F545B"/>
    <w:rsid w:val="007F5496"/>
    <w:rsid w:val="007F54A5"/>
    <w:rsid w:val="007F5558"/>
    <w:rsid w:val="007F55A2"/>
    <w:rsid w:val="007F55E8"/>
    <w:rsid w:val="007F55EA"/>
    <w:rsid w:val="007F55F5"/>
    <w:rsid w:val="007F561F"/>
    <w:rsid w:val="007F562F"/>
    <w:rsid w:val="007F5633"/>
    <w:rsid w:val="007F569A"/>
    <w:rsid w:val="007F5741"/>
    <w:rsid w:val="007F577A"/>
    <w:rsid w:val="007F5792"/>
    <w:rsid w:val="007F57C3"/>
    <w:rsid w:val="007F57F5"/>
    <w:rsid w:val="007F5826"/>
    <w:rsid w:val="007F584E"/>
    <w:rsid w:val="007F585C"/>
    <w:rsid w:val="007F5862"/>
    <w:rsid w:val="007F5878"/>
    <w:rsid w:val="007F58C3"/>
    <w:rsid w:val="007F58DF"/>
    <w:rsid w:val="007F58F4"/>
    <w:rsid w:val="007F5933"/>
    <w:rsid w:val="007F5953"/>
    <w:rsid w:val="007F59B5"/>
    <w:rsid w:val="007F59CC"/>
    <w:rsid w:val="007F5A45"/>
    <w:rsid w:val="007F5A46"/>
    <w:rsid w:val="007F5A4C"/>
    <w:rsid w:val="007F5A7B"/>
    <w:rsid w:val="007F5AFC"/>
    <w:rsid w:val="007F5B6B"/>
    <w:rsid w:val="007F5B70"/>
    <w:rsid w:val="007F5C30"/>
    <w:rsid w:val="007F5CE8"/>
    <w:rsid w:val="007F5D08"/>
    <w:rsid w:val="007F5D42"/>
    <w:rsid w:val="007F5D6C"/>
    <w:rsid w:val="007F5D70"/>
    <w:rsid w:val="007F5DCC"/>
    <w:rsid w:val="007F5DD7"/>
    <w:rsid w:val="007F5E4D"/>
    <w:rsid w:val="007F5E56"/>
    <w:rsid w:val="007F5E77"/>
    <w:rsid w:val="007F5E9F"/>
    <w:rsid w:val="007F5F68"/>
    <w:rsid w:val="007F5F7A"/>
    <w:rsid w:val="007F5F91"/>
    <w:rsid w:val="007F5F9C"/>
    <w:rsid w:val="007F5FA8"/>
    <w:rsid w:val="007F5FDC"/>
    <w:rsid w:val="007F5FE2"/>
    <w:rsid w:val="007F6065"/>
    <w:rsid w:val="007F6082"/>
    <w:rsid w:val="007F6088"/>
    <w:rsid w:val="007F60CC"/>
    <w:rsid w:val="007F60E2"/>
    <w:rsid w:val="007F618A"/>
    <w:rsid w:val="007F61CD"/>
    <w:rsid w:val="007F6221"/>
    <w:rsid w:val="007F6265"/>
    <w:rsid w:val="007F6266"/>
    <w:rsid w:val="007F6272"/>
    <w:rsid w:val="007F628E"/>
    <w:rsid w:val="007F62B5"/>
    <w:rsid w:val="007F62D9"/>
    <w:rsid w:val="007F62E8"/>
    <w:rsid w:val="007F62FA"/>
    <w:rsid w:val="007F630D"/>
    <w:rsid w:val="007F6332"/>
    <w:rsid w:val="007F633C"/>
    <w:rsid w:val="007F6381"/>
    <w:rsid w:val="007F63AC"/>
    <w:rsid w:val="007F63E1"/>
    <w:rsid w:val="007F647F"/>
    <w:rsid w:val="007F6506"/>
    <w:rsid w:val="007F6513"/>
    <w:rsid w:val="007F6530"/>
    <w:rsid w:val="007F6596"/>
    <w:rsid w:val="007F65F6"/>
    <w:rsid w:val="007F661F"/>
    <w:rsid w:val="007F6643"/>
    <w:rsid w:val="007F6667"/>
    <w:rsid w:val="007F66E5"/>
    <w:rsid w:val="007F6732"/>
    <w:rsid w:val="007F6742"/>
    <w:rsid w:val="007F6788"/>
    <w:rsid w:val="007F678A"/>
    <w:rsid w:val="007F67C2"/>
    <w:rsid w:val="007F6837"/>
    <w:rsid w:val="007F6838"/>
    <w:rsid w:val="007F685B"/>
    <w:rsid w:val="007F6886"/>
    <w:rsid w:val="007F688D"/>
    <w:rsid w:val="007F6900"/>
    <w:rsid w:val="007F691B"/>
    <w:rsid w:val="007F698B"/>
    <w:rsid w:val="007F69BE"/>
    <w:rsid w:val="007F69FD"/>
    <w:rsid w:val="007F6A4A"/>
    <w:rsid w:val="007F6A69"/>
    <w:rsid w:val="007F6A78"/>
    <w:rsid w:val="007F6A86"/>
    <w:rsid w:val="007F6AE6"/>
    <w:rsid w:val="007F6B76"/>
    <w:rsid w:val="007F6B7C"/>
    <w:rsid w:val="007F6BC1"/>
    <w:rsid w:val="007F6BDC"/>
    <w:rsid w:val="007F6BE9"/>
    <w:rsid w:val="007F6C9F"/>
    <w:rsid w:val="007F6CE2"/>
    <w:rsid w:val="007F6D40"/>
    <w:rsid w:val="007F6EFD"/>
    <w:rsid w:val="007F6F0C"/>
    <w:rsid w:val="007F6F1D"/>
    <w:rsid w:val="007F6FC7"/>
    <w:rsid w:val="007F701F"/>
    <w:rsid w:val="007F7023"/>
    <w:rsid w:val="007F7029"/>
    <w:rsid w:val="007F7056"/>
    <w:rsid w:val="007F70E1"/>
    <w:rsid w:val="007F7102"/>
    <w:rsid w:val="007F7140"/>
    <w:rsid w:val="007F7163"/>
    <w:rsid w:val="007F7168"/>
    <w:rsid w:val="007F71B9"/>
    <w:rsid w:val="007F71DF"/>
    <w:rsid w:val="007F724D"/>
    <w:rsid w:val="007F72B6"/>
    <w:rsid w:val="007F72E4"/>
    <w:rsid w:val="007F73A8"/>
    <w:rsid w:val="007F73B7"/>
    <w:rsid w:val="007F7403"/>
    <w:rsid w:val="007F742E"/>
    <w:rsid w:val="007F7441"/>
    <w:rsid w:val="007F74CF"/>
    <w:rsid w:val="007F74D6"/>
    <w:rsid w:val="007F74DA"/>
    <w:rsid w:val="007F75B4"/>
    <w:rsid w:val="007F7643"/>
    <w:rsid w:val="007F7684"/>
    <w:rsid w:val="007F76B0"/>
    <w:rsid w:val="007F76B8"/>
    <w:rsid w:val="007F76D7"/>
    <w:rsid w:val="007F76F6"/>
    <w:rsid w:val="007F7706"/>
    <w:rsid w:val="007F771A"/>
    <w:rsid w:val="007F7726"/>
    <w:rsid w:val="007F7740"/>
    <w:rsid w:val="007F7751"/>
    <w:rsid w:val="007F776C"/>
    <w:rsid w:val="007F7799"/>
    <w:rsid w:val="007F77AA"/>
    <w:rsid w:val="007F77CD"/>
    <w:rsid w:val="007F77F0"/>
    <w:rsid w:val="007F782C"/>
    <w:rsid w:val="007F7833"/>
    <w:rsid w:val="007F7840"/>
    <w:rsid w:val="007F7881"/>
    <w:rsid w:val="007F78F6"/>
    <w:rsid w:val="007F7912"/>
    <w:rsid w:val="007F794B"/>
    <w:rsid w:val="007F7980"/>
    <w:rsid w:val="007F79B4"/>
    <w:rsid w:val="007F79D5"/>
    <w:rsid w:val="007F79DA"/>
    <w:rsid w:val="007F79F5"/>
    <w:rsid w:val="007F7A3F"/>
    <w:rsid w:val="007F7A57"/>
    <w:rsid w:val="007F7A86"/>
    <w:rsid w:val="007F7AB4"/>
    <w:rsid w:val="007F7AEB"/>
    <w:rsid w:val="007F7AFB"/>
    <w:rsid w:val="007F7AFD"/>
    <w:rsid w:val="007F7B15"/>
    <w:rsid w:val="007F7B7B"/>
    <w:rsid w:val="007F7BC9"/>
    <w:rsid w:val="007F7C11"/>
    <w:rsid w:val="007F7C2D"/>
    <w:rsid w:val="007F7C7C"/>
    <w:rsid w:val="007F7CA3"/>
    <w:rsid w:val="007F7CC9"/>
    <w:rsid w:val="007F7CFA"/>
    <w:rsid w:val="007F7D23"/>
    <w:rsid w:val="007F7D4E"/>
    <w:rsid w:val="007F7D58"/>
    <w:rsid w:val="007F7D77"/>
    <w:rsid w:val="007F7DAF"/>
    <w:rsid w:val="007F7DB6"/>
    <w:rsid w:val="007F7DBA"/>
    <w:rsid w:val="007F7DE8"/>
    <w:rsid w:val="007F7EAA"/>
    <w:rsid w:val="007F7EE2"/>
    <w:rsid w:val="007F7EFD"/>
    <w:rsid w:val="007F7F28"/>
    <w:rsid w:val="007F7F7B"/>
    <w:rsid w:val="007F7F95"/>
    <w:rsid w:val="007F7F98"/>
    <w:rsid w:val="007F7F99"/>
    <w:rsid w:val="007F7FBA"/>
    <w:rsid w:val="00800011"/>
    <w:rsid w:val="00800022"/>
    <w:rsid w:val="0080005E"/>
    <w:rsid w:val="00800075"/>
    <w:rsid w:val="00800079"/>
    <w:rsid w:val="00800112"/>
    <w:rsid w:val="00800134"/>
    <w:rsid w:val="008001B9"/>
    <w:rsid w:val="00800205"/>
    <w:rsid w:val="0080022D"/>
    <w:rsid w:val="00800248"/>
    <w:rsid w:val="00800288"/>
    <w:rsid w:val="008002BF"/>
    <w:rsid w:val="008002C0"/>
    <w:rsid w:val="008002E2"/>
    <w:rsid w:val="0080032B"/>
    <w:rsid w:val="00800344"/>
    <w:rsid w:val="00800354"/>
    <w:rsid w:val="008003A5"/>
    <w:rsid w:val="008003E4"/>
    <w:rsid w:val="0080041D"/>
    <w:rsid w:val="00800423"/>
    <w:rsid w:val="0080043A"/>
    <w:rsid w:val="00800454"/>
    <w:rsid w:val="0080045D"/>
    <w:rsid w:val="008004E6"/>
    <w:rsid w:val="00800506"/>
    <w:rsid w:val="0080051A"/>
    <w:rsid w:val="00800540"/>
    <w:rsid w:val="00800569"/>
    <w:rsid w:val="00800575"/>
    <w:rsid w:val="008005AD"/>
    <w:rsid w:val="008005F9"/>
    <w:rsid w:val="00800601"/>
    <w:rsid w:val="00800610"/>
    <w:rsid w:val="00800699"/>
    <w:rsid w:val="008006B4"/>
    <w:rsid w:val="0080077C"/>
    <w:rsid w:val="0080079B"/>
    <w:rsid w:val="008007A6"/>
    <w:rsid w:val="008007F5"/>
    <w:rsid w:val="0080080A"/>
    <w:rsid w:val="00800828"/>
    <w:rsid w:val="0080086C"/>
    <w:rsid w:val="0080086F"/>
    <w:rsid w:val="0080089C"/>
    <w:rsid w:val="0080089F"/>
    <w:rsid w:val="008008C3"/>
    <w:rsid w:val="008008CC"/>
    <w:rsid w:val="008008D6"/>
    <w:rsid w:val="008008DB"/>
    <w:rsid w:val="008008EF"/>
    <w:rsid w:val="008009A3"/>
    <w:rsid w:val="00800A52"/>
    <w:rsid w:val="00800B2F"/>
    <w:rsid w:val="00800B7A"/>
    <w:rsid w:val="00800BB7"/>
    <w:rsid w:val="00800C34"/>
    <w:rsid w:val="00800C50"/>
    <w:rsid w:val="00800C76"/>
    <w:rsid w:val="00800D93"/>
    <w:rsid w:val="00800DC9"/>
    <w:rsid w:val="00800DCF"/>
    <w:rsid w:val="00800DD8"/>
    <w:rsid w:val="00800DDF"/>
    <w:rsid w:val="00800DF7"/>
    <w:rsid w:val="00800E42"/>
    <w:rsid w:val="00800F09"/>
    <w:rsid w:val="00800F6F"/>
    <w:rsid w:val="00800F75"/>
    <w:rsid w:val="00800F7D"/>
    <w:rsid w:val="00800F7F"/>
    <w:rsid w:val="0080103C"/>
    <w:rsid w:val="00801040"/>
    <w:rsid w:val="0080105E"/>
    <w:rsid w:val="008010D4"/>
    <w:rsid w:val="00801173"/>
    <w:rsid w:val="00801183"/>
    <w:rsid w:val="00801184"/>
    <w:rsid w:val="0080118E"/>
    <w:rsid w:val="00801194"/>
    <w:rsid w:val="008011A7"/>
    <w:rsid w:val="008011B5"/>
    <w:rsid w:val="008011C3"/>
    <w:rsid w:val="008011F3"/>
    <w:rsid w:val="0080120D"/>
    <w:rsid w:val="00801247"/>
    <w:rsid w:val="00801291"/>
    <w:rsid w:val="00801328"/>
    <w:rsid w:val="00801335"/>
    <w:rsid w:val="0080134E"/>
    <w:rsid w:val="008013C8"/>
    <w:rsid w:val="008013CE"/>
    <w:rsid w:val="0080140D"/>
    <w:rsid w:val="0080144D"/>
    <w:rsid w:val="00801452"/>
    <w:rsid w:val="00801454"/>
    <w:rsid w:val="00801464"/>
    <w:rsid w:val="008014DF"/>
    <w:rsid w:val="0080150B"/>
    <w:rsid w:val="00801527"/>
    <w:rsid w:val="00801537"/>
    <w:rsid w:val="00801573"/>
    <w:rsid w:val="00801595"/>
    <w:rsid w:val="008015A6"/>
    <w:rsid w:val="008015C0"/>
    <w:rsid w:val="008015CE"/>
    <w:rsid w:val="008015D9"/>
    <w:rsid w:val="00801621"/>
    <w:rsid w:val="00801623"/>
    <w:rsid w:val="00801637"/>
    <w:rsid w:val="008016C0"/>
    <w:rsid w:val="008016EF"/>
    <w:rsid w:val="0080170B"/>
    <w:rsid w:val="00801714"/>
    <w:rsid w:val="00801758"/>
    <w:rsid w:val="0080176C"/>
    <w:rsid w:val="0080179C"/>
    <w:rsid w:val="008017C8"/>
    <w:rsid w:val="008017D4"/>
    <w:rsid w:val="008017E5"/>
    <w:rsid w:val="008017E6"/>
    <w:rsid w:val="008017EE"/>
    <w:rsid w:val="00801838"/>
    <w:rsid w:val="00801855"/>
    <w:rsid w:val="0080195C"/>
    <w:rsid w:val="008019CD"/>
    <w:rsid w:val="00801A28"/>
    <w:rsid w:val="00801AD1"/>
    <w:rsid w:val="00801AEE"/>
    <w:rsid w:val="00801B80"/>
    <w:rsid w:val="00801B81"/>
    <w:rsid w:val="00801B87"/>
    <w:rsid w:val="00801B8C"/>
    <w:rsid w:val="00801BDC"/>
    <w:rsid w:val="00801BEA"/>
    <w:rsid w:val="00801BF4"/>
    <w:rsid w:val="00801C27"/>
    <w:rsid w:val="00801C34"/>
    <w:rsid w:val="00801C4C"/>
    <w:rsid w:val="00801C5C"/>
    <w:rsid w:val="00801C89"/>
    <w:rsid w:val="00801CEF"/>
    <w:rsid w:val="00801CF4"/>
    <w:rsid w:val="00801D0E"/>
    <w:rsid w:val="00801D1B"/>
    <w:rsid w:val="00801D65"/>
    <w:rsid w:val="00801D6F"/>
    <w:rsid w:val="00801D7C"/>
    <w:rsid w:val="00801DF9"/>
    <w:rsid w:val="00801E2F"/>
    <w:rsid w:val="00801E41"/>
    <w:rsid w:val="00801E44"/>
    <w:rsid w:val="00801E6C"/>
    <w:rsid w:val="00801EDA"/>
    <w:rsid w:val="00801F44"/>
    <w:rsid w:val="00801FAF"/>
    <w:rsid w:val="00801FBA"/>
    <w:rsid w:val="00801FC2"/>
    <w:rsid w:val="00801FCC"/>
    <w:rsid w:val="00801FCE"/>
    <w:rsid w:val="00802017"/>
    <w:rsid w:val="0080203B"/>
    <w:rsid w:val="00802057"/>
    <w:rsid w:val="0080207B"/>
    <w:rsid w:val="0080207F"/>
    <w:rsid w:val="00802106"/>
    <w:rsid w:val="008021B9"/>
    <w:rsid w:val="008021C2"/>
    <w:rsid w:val="008022E0"/>
    <w:rsid w:val="008022FD"/>
    <w:rsid w:val="00802303"/>
    <w:rsid w:val="00802322"/>
    <w:rsid w:val="0080237A"/>
    <w:rsid w:val="008023A9"/>
    <w:rsid w:val="008023D7"/>
    <w:rsid w:val="0080244B"/>
    <w:rsid w:val="0080251A"/>
    <w:rsid w:val="00802580"/>
    <w:rsid w:val="0080268F"/>
    <w:rsid w:val="008026AA"/>
    <w:rsid w:val="008026D8"/>
    <w:rsid w:val="0080271F"/>
    <w:rsid w:val="00802733"/>
    <w:rsid w:val="00802740"/>
    <w:rsid w:val="00802743"/>
    <w:rsid w:val="00802753"/>
    <w:rsid w:val="00802778"/>
    <w:rsid w:val="00802798"/>
    <w:rsid w:val="008027A6"/>
    <w:rsid w:val="008027B8"/>
    <w:rsid w:val="0080284C"/>
    <w:rsid w:val="0080286C"/>
    <w:rsid w:val="00802897"/>
    <w:rsid w:val="008028A3"/>
    <w:rsid w:val="008028D3"/>
    <w:rsid w:val="00802910"/>
    <w:rsid w:val="00802936"/>
    <w:rsid w:val="0080293B"/>
    <w:rsid w:val="00802988"/>
    <w:rsid w:val="00802995"/>
    <w:rsid w:val="008029D0"/>
    <w:rsid w:val="008029E9"/>
    <w:rsid w:val="00802A0F"/>
    <w:rsid w:val="00802A1B"/>
    <w:rsid w:val="00802A55"/>
    <w:rsid w:val="00802AA9"/>
    <w:rsid w:val="00802ABC"/>
    <w:rsid w:val="00802B7C"/>
    <w:rsid w:val="00802B7E"/>
    <w:rsid w:val="00802B9D"/>
    <w:rsid w:val="00802BB1"/>
    <w:rsid w:val="00802BC7"/>
    <w:rsid w:val="00802BC9"/>
    <w:rsid w:val="00802C19"/>
    <w:rsid w:val="00802C2A"/>
    <w:rsid w:val="00802C6A"/>
    <w:rsid w:val="00802D14"/>
    <w:rsid w:val="00802D3A"/>
    <w:rsid w:val="00802E27"/>
    <w:rsid w:val="00802E60"/>
    <w:rsid w:val="00802F22"/>
    <w:rsid w:val="00802F40"/>
    <w:rsid w:val="00802F47"/>
    <w:rsid w:val="00802F7A"/>
    <w:rsid w:val="00802FCB"/>
    <w:rsid w:val="00802FFB"/>
    <w:rsid w:val="00802FFF"/>
    <w:rsid w:val="00803008"/>
    <w:rsid w:val="0080302A"/>
    <w:rsid w:val="00803040"/>
    <w:rsid w:val="0080310D"/>
    <w:rsid w:val="00803126"/>
    <w:rsid w:val="00803145"/>
    <w:rsid w:val="00803150"/>
    <w:rsid w:val="0080316F"/>
    <w:rsid w:val="00803172"/>
    <w:rsid w:val="008031AF"/>
    <w:rsid w:val="008031C3"/>
    <w:rsid w:val="00803217"/>
    <w:rsid w:val="00803239"/>
    <w:rsid w:val="0080323D"/>
    <w:rsid w:val="0080325B"/>
    <w:rsid w:val="008032BB"/>
    <w:rsid w:val="008032DF"/>
    <w:rsid w:val="008032EB"/>
    <w:rsid w:val="00803303"/>
    <w:rsid w:val="00803307"/>
    <w:rsid w:val="0080330D"/>
    <w:rsid w:val="00803323"/>
    <w:rsid w:val="00803339"/>
    <w:rsid w:val="00803353"/>
    <w:rsid w:val="0080338C"/>
    <w:rsid w:val="008033C4"/>
    <w:rsid w:val="008033EA"/>
    <w:rsid w:val="0080354B"/>
    <w:rsid w:val="00803558"/>
    <w:rsid w:val="00803590"/>
    <w:rsid w:val="008035FE"/>
    <w:rsid w:val="00803600"/>
    <w:rsid w:val="0080365E"/>
    <w:rsid w:val="00803672"/>
    <w:rsid w:val="00803673"/>
    <w:rsid w:val="008036A4"/>
    <w:rsid w:val="008036FA"/>
    <w:rsid w:val="008036FC"/>
    <w:rsid w:val="00803711"/>
    <w:rsid w:val="0080372D"/>
    <w:rsid w:val="008037CE"/>
    <w:rsid w:val="0080382C"/>
    <w:rsid w:val="008038B3"/>
    <w:rsid w:val="008038DB"/>
    <w:rsid w:val="008038EA"/>
    <w:rsid w:val="0080390A"/>
    <w:rsid w:val="00803935"/>
    <w:rsid w:val="00803939"/>
    <w:rsid w:val="00803959"/>
    <w:rsid w:val="0080399B"/>
    <w:rsid w:val="008039E7"/>
    <w:rsid w:val="00803A26"/>
    <w:rsid w:val="00803A34"/>
    <w:rsid w:val="00803A4A"/>
    <w:rsid w:val="00803A4D"/>
    <w:rsid w:val="00803A93"/>
    <w:rsid w:val="00803B1B"/>
    <w:rsid w:val="00803B4B"/>
    <w:rsid w:val="00803B90"/>
    <w:rsid w:val="00803BA2"/>
    <w:rsid w:val="00803BB4"/>
    <w:rsid w:val="00803BB6"/>
    <w:rsid w:val="00803C36"/>
    <w:rsid w:val="00803C7E"/>
    <w:rsid w:val="00803CD1"/>
    <w:rsid w:val="00803D1B"/>
    <w:rsid w:val="00803D79"/>
    <w:rsid w:val="00803D7D"/>
    <w:rsid w:val="00803D8F"/>
    <w:rsid w:val="00803D91"/>
    <w:rsid w:val="00803D92"/>
    <w:rsid w:val="00803D96"/>
    <w:rsid w:val="00803D9E"/>
    <w:rsid w:val="00803E0A"/>
    <w:rsid w:val="00803E3B"/>
    <w:rsid w:val="00803E3F"/>
    <w:rsid w:val="00803E55"/>
    <w:rsid w:val="00803E9C"/>
    <w:rsid w:val="00803EF5"/>
    <w:rsid w:val="00803F01"/>
    <w:rsid w:val="00803F65"/>
    <w:rsid w:val="00803F6E"/>
    <w:rsid w:val="00803F73"/>
    <w:rsid w:val="00803F9F"/>
    <w:rsid w:val="00803FA5"/>
    <w:rsid w:val="00803FC2"/>
    <w:rsid w:val="0080401C"/>
    <w:rsid w:val="00804044"/>
    <w:rsid w:val="0080408F"/>
    <w:rsid w:val="008040A2"/>
    <w:rsid w:val="008040A4"/>
    <w:rsid w:val="00804104"/>
    <w:rsid w:val="00804135"/>
    <w:rsid w:val="0080413D"/>
    <w:rsid w:val="0080415D"/>
    <w:rsid w:val="0080416C"/>
    <w:rsid w:val="00804173"/>
    <w:rsid w:val="008041F7"/>
    <w:rsid w:val="00804236"/>
    <w:rsid w:val="00804245"/>
    <w:rsid w:val="0080425B"/>
    <w:rsid w:val="00804273"/>
    <w:rsid w:val="0080429E"/>
    <w:rsid w:val="0080430A"/>
    <w:rsid w:val="008043A3"/>
    <w:rsid w:val="008043DA"/>
    <w:rsid w:val="0080440C"/>
    <w:rsid w:val="00804474"/>
    <w:rsid w:val="0080449D"/>
    <w:rsid w:val="008044C5"/>
    <w:rsid w:val="008044ED"/>
    <w:rsid w:val="008044FA"/>
    <w:rsid w:val="00804508"/>
    <w:rsid w:val="0080453A"/>
    <w:rsid w:val="0080453F"/>
    <w:rsid w:val="00804540"/>
    <w:rsid w:val="00804541"/>
    <w:rsid w:val="00804562"/>
    <w:rsid w:val="00804583"/>
    <w:rsid w:val="00804593"/>
    <w:rsid w:val="008045A4"/>
    <w:rsid w:val="008045C6"/>
    <w:rsid w:val="0080460F"/>
    <w:rsid w:val="0080464C"/>
    <w:rsid w:val="00804654"/>
    <w:rsid w:val="00804679"/>
    <w:rsid w:val="00804688"/>
    <w:rsid w:val="008046A6"/>
    <w:rsid w:val="008046C8"/>
    <w:rsid w:val="008046DC"/>
    <w:rsid w:val="00804738"/>
    <w:rsid w:val="00804776"/>
    <w:rsid w:val="00804789"/>
    <w:rsid w:val="008047C8"/>
    <w:rsid w:val="00804844"/>
    <w:rsid w:val="00804872"/>
    <w:rsid w:val="00804887"/>
    <w:rsid w:val="008048E8"/>
    <w:rsid w:val="00804984"/>
    <w:rsid w:val="00804987"/>
    <w:rsid w:val="008049A8"/>
    <w:rsid w:val="008049BE"/>
    <w:rsid w:val="008049DF"/>
    <w:rsid w:val="008049E2"/>
    <w:rsid w:val="00804A39"/>
    <w:rsid w:val="00804A3B"/>
    <w:rsid w:val="00804A45"/>
    <w:rsid w:val="00804A89"/>
    <w:rsid w:val="00804AE6"/>
    <w:rsid w:val="00804B09"/>
    <w:rsid w:val="00804B4B"/>
    <w:rsid w:val="00804C40"/>
    <w:rsid w:val="00804CA2"/>
    <w:rsid w:val="00804CB5"/>
    <w:rsid w:val="00804CD7"/>
    <w:rsid w:val="00804D50"/>
    <w:rsid w:val="00804DD2"/>
    <w:rsid w:val="00804DD9"/>
    <w:rsid w:val="00804E33"/>
    <w:rsid w:val="00804E5D"/>
    <w:rsid w:val="00804E8F"/>
    <w:rsid w:val="00804EF3"/>
    <w:rsid w:val="00804EF9"/>
    <w:rsid w:val="00804F2B"/>
    <w:rsid w:val="00804F2F"/>
    <w:rsid w:val="00804FB1"/>
    <w:rsid w:val="00805017"/>
    <w:rsid w:val="008050A4"/>
    <w:rsid w:val="008050A8"/>
    <w:rsid w:val="008050B6"/>
    <w:rsid w:val="008050EA"/>
    <w:rsid w:val="00805104"/>
    <w:rsid w:val="00805107"/>
    <w:rsid w:val="00805125"/>
    <w:rsid w:val="00805134"/>
    <w:rsid w:val="0080513D"/>
    <w:rsid w:val="00805145"/>
    <w:rsid w:val="0080514C"/>
    <w:rsid w:val="008051E5"/>
    <w:rsid w:val="008051EC"/>
    <w:rsid w:val="0080520E"/>
    <w:rsid w:val="0080521C"/>
    <w:rsid w:val="0080522E"/>
    <w:rsid w:val="00805231"/>
    <w:rsid w:val="00805289"/>
    <w:rsid w:val="0080533C"/>
    <w:rsid w:val="00805352"/>
    <w:rsid w:val="00805444"/>
    <w:rsid w:val="0080544E"/>
    <w:rsid w:val="00805455"/>
    <w:rsid w:val="00805496"/>
    <w:rsid w:val="008054CA"/>
    <w:rsid w:val="008054CC"/>
    <w:rsid w:val="008054EE"/>
    <w:rsid w:val="0080550E"/>
    <w:rsid w:val="00805553"/>
    <w:rsid w:val="008055D9"/>
    <w:rsid w:val="00805600"/>
    <w:rsid w:val="0080560A"/>
    <w:rsid w:val="00805653"/>
    <w:rsid w:val="00805692"/>
    <w:rsid w:val="008056D8"/>
    <w:rsid w:val="008056ED"/>
    <w:rsid w:val="00805712"/>
    <w:rsid w:val="00805757"/>
    <w:rsid w:val="00805764"/>
    <w:rsid w:val="0080579D"/>
    <w:rsid w:val="008057B4"/>
    <w:rsid w:val="008057C0"/>
    <w:rsid w:val="008057E1"/>
    <w:rsid w:val="0080581F"/>
    <w:rsid w:val="00805825"/>
    <w:rsid w:val="0080583C"/>
    <w:rsid w:val="0080587E"/>
    <w:rsid w:val="008058F6"/>
    <w:rsid w:val="008058F7"/>
    <w:rsid w:val="00805969"/>
    <w:rsid w:val="008059BD"/>
    <w:rsid w:val="00805A53"/>
    <w:rsid w:val="00805A86"/>
    <w:rsid w:val="00805A8D"/>
    <w:rsid w:val="00805B09"/>
    <w:rsid w:val="00805B23"/>
    <w:rsid w:val="00805B32"/>
    <w:rsid w:val="00805B58"/>
    <w:rsid w:val="00805B99"/>
    <w:rsid w:val="00805D06"/>
    <w:rsid w:val="00805D15"/>
    <w:rsid w:val="00805D28"/>
    <w:rsid w:val="00805D48"/>
    <w:rsid w:val="00805D49"/>
    <w:rsid w:val="00805D71"/>
    <w:rsid w:val="00805D76"/>
    <w:rsid w:val="00805DE3"/>
    <w:rsid w:val="00805E20"/>
    <w:rsid w:val="00805E30"/>
    <w:rsid w:val="00805E35"/>
    <w:rsid w:val="00805E54"/>
    <w:rsid w:val="00805EA4"/>
    <w:rsid w:val="00805F4A"/>
    <w:rsid w:val="00805F65"/>
    <w:rsid w:val="00805F75"/>
    <w:rsid w:val="00805F7B"/>
    <w:rsid w:val="00805F7F"/>
    <w:rsid w:val="00806016"/>
    <w:rsid w:val="0080602B"/>
    <w:rsid w:val="00806045"/>
    <w:rsid w:val="00806056"/>
    <w:rsid w:val="00806095"/>
    <w:rsid w:val="0080612D"/>
    <w:rsid w:val="0080614D"/>
    <w:rsid w:val="0080614E"/>
    <w:rsid w:val="0080619C"/>
    <w:rsid w:val="008061A3"/>
    <w:rsid w:val="008061B9"/>
    <w:rsid w:val="008061D5"/>
    <w:rsid w:val="0080626A"/>
    <w:rsid w:val="00806282"/>
    <w:rsid w:val="008062AF"/>
    <w:rsid w:val="008062BC"/>
    <w:rsid w:val="008062E1"/>
    <w:rsid w:val="008062FA"/>
    <w:rsid w:val="00806315"/>
    <w:rsid w:val="00806370"/>
    <w:rsid w:val="008063E3"/>
    <w:rsid w:val="00806400"/>
    <w:rsid w:val="00806441"/>
    <w:rsid w:val="008064DA"/>
    <w:rsid w:val="0080652C"/>
    <w:rsid w:val="0080652E"/>
    <w:rsid w:val="00806538"/>
    <w:rsid w:val="00806547"/>
    <w:rsid w:val="0080657D"/>
    <w:rsid w:val="008065CF"/>
    <w:rsid w:val="008065D6"/>
    <w:rsid w:val="008065FE"/>
    <w:rsid w:val="00806602"/>
    <w:rsid w:val="00806669"/>
    <w:rsid w:val="00806681"/>
    <w:rsid w:val="008066E9"/>
    <w:rsid w:val="008067DD"/>
    <w:rsid w:val="008067DF"/>
    <w:rsid w:val="008067F9"/>
    <w:rsid w:val="0080686B"/>
    <w:rsid w:val="00806875"/>
    <w:rsid w:val="008068AA"/>
    <w:rsid w:val="00806918"/>
    <w:rsid w:val="0080691E"/>
    <w:rsid w:val="00806A9F"/>
    <w:rsid w:val="00806AB0"/>
    <w:rsid w:val="00806AC6"/>
    <w:rsid w:val="00806B2C"/>
    <w:rsid w:val="00806B5C"/>
    <w:rsid w:val="00806B67"/>
    <w:rsid w:val="00806B78"/>
    <w:rsid w:val="00806BB5"/>
    <w:rsid w:val="00806BD9"/>
    <w:rsid w:val="00806BE4"/>
    <w:rsid w:val="00806BEB"/>
    <w:rsid w:val="00806BF3"/>
    <w:rsid w:val="00806CBC"/>
    <w:rsid w:val="00806CD0"/>
    <w:rsid w:val="00806CF5"/>
    <w:rsid w:val="00806D3C"/>
    <w:rsid w:val="00806D40"/>
    <w:rsid w:val="00806D81"/>
    <w:rsid w:val="00806DBF"/>
    <w:rsid w:val="00806DC2"/>
    <w:rsid w:val="00806DF4"/>
    <w:rsid w:val="00806EEC"/>
    <w:rsid w:val="00806F68"/>
    <w:rsid w:val="00806F6B"/>
    <w:rsid w:val="0080702F"/>
    <w:rsid w:val="00807037"/>
    <w:rsid w:val="00807096"/>
    <w:rsid w:val="008070B5"/>
    <w:rsid w:val="008070ED"/>
    <w:rsid w:val="0080711F"/>
    <w:rsid w:val="00807153"/>
    <w:rsid w:val="00807175"/>
    <w:rsid w:val="00807229"/>
    <w:rsid w:val="0080723D"/>
    <w:rsid w:val="00807259"/>
    <w:rsid w:val="00807285"/>
    <w:rsid w:val="008072ED"/>
    <w:rsid w:val="00807309"/>
    <w:rsid w:val="00807317"/>
    <w:rsid w:val="008073B1"/>
    <w:rsid w:val="00807419"/>
    <w:rsid w:val="008074BA"/>
    <w:rsid w:val="00807502"/>
    <w:rsid w:val="00807509"/>
    <w:rsid w:val="0080750A"/>
    <w:rsid w:val="00807517"/>
    <w:rsid w:val="00807595"/>
    <w:rsid w:val="00807596"/>
    <w:rsid w:val="008075AA"/>
    <w:rsid w:val="00807635"/>
    <w:rsid w:val="00807671"/>
    <w:rsid w:val="008076E6"/>
    <w:rsid w:val="00807749"/>
    <w:rsid w:val="0080774B"/>
    <w:rsid w:val="00807787"/>
    <w:rsid w:val="00807791"/>
    <w:rsid w:val="008077A2"/>
    <w:rsid w:val="008077BA"/>
    <w:rsid w:val="008077E6"/>
    <w:rsid w:val="00807805"/>
    <w:rsid w:val="0080780A"/>
    <w:rsid w:val="00807834"/>
    <w:rsid w:val="0080786A"/>
    <w:rsid w:val="00807878"/>
    <w:rsid w:val="008078B1"/>
    <w:rsid w:val="008078E0"/>
    <w:rsid w:val="00807921"/>
    <w:rsid w:val="0080792D"/>
    <w:rsid w:val="008079E1"/>
    <w:rsid w:val="008079FF"/>
    <w:rsid w:val="00807A4E"/>
    <w:rsid w:val="00807A6D"/>
    <w:rsid w:val="00807AA5"/>
    <w:rsid w:val="00807AC3"/>
    <w:rsid w:val="00807B03"/>
    <w:rsid w:val="00807B29"/>
    <w:rsid w:val="00807B2D"/>
    <w:rsid w:val="00807B41"/>
    <w:rsid w:val="00807B63"/>
    <w:rsid w:val="00807B69"/>
    <w:rsid w:val="00807B75"/>
    <w:rsid w:val="00807B8E"/>
    <w:rsid w:val="00807BA0"/>
    <w:rsid w:val="00807C1B"/>
    <w:rsid w:val="00807C1E"/>
    <w:rsid w:val="00807C5B"/>
    <w:rsid w:val="00807C63"/>
    <w:rsid w:val="00807C66"/>
    <w:rsid w:val="00807C6E"/>
    <w:rsid w:val="00807CDC"/>
    <w:rsid w:val="00807CE2"/>
    <w:rsid w:val="00807CF5"/>
    <w:rsid w:val="00807CFE"/>
    <w:rsid w:val="00807D00"/>
    <w:rsid w:val="00807D5F"/>
    <w:rsid w:val="00807DF1"/>
    <w:rsid w:val="00807E00"/>
    <w:rsid w:val="00807E42"/>
    <w:rsid w:val="00807E4D"/>
    <w:rsid w:val="00807E55"/>
    <w:rsid w:val="00807E92"/>
    <w:rsid w:val="00807E97"/>
    <w:rsid w:val="00807EA6"/>
    <w:rsid w:val="00807ED1"/>
    <w:rsid w:val="00807EF3"/>
    <w:rsid w:val="00807F48"/>
    <w:rsid w:val="00807F5C"/>
    <w:rsid w:val="00807F80"/>
    <w:rsid w:val="00807F8F"/>
    <w:rsid w:val="00807F9F"/>
    <w:rsid w:val="00807FA8"/>
    <w:rsid w:val="00810011"/>
    <w:rsid w:val="0081005C"/>
    <w:rsid w:val="00810096"/>
    <w:rsid w:val="008100D6"/>
    <w:rsid w:val="00810110"/>
    <w:rsid w:val="00810129"/>
    <w:rsid w:val="00810148"/>
    <w:rsid w:val="00810191"/>
    <w:rsid w:val="008101B3"/>
    <w:rsid w:val="00810234"/>
    <w:rsid w:val="0081023D"/>
    <w:rsid w:val="008102AD"/>
    <w:rsid w:val="008102F8"/>
    <w:rsid w:val="00810324"/>
    <w:rsid w:val="00810341"/>
    <w:rsid w:val="008103EC"/>
    <w:rsid w:val="0081040E"/>
    <w:rsid w:val="00810418"/>
    <w:rsid w:val="0081047F"/>
    <w:rsid w:val="00810510"/>
    <w:rsid w:val="0081051B"/>
    <w:rsid w:val="0081051F"/>
    <w:rsid w:val="00810525"/>
    <w:rsid w:val="00810588"/>
    <w:rsid w:val="0081060F"/>
    <w:rsid w:val="00810613"/>
    <w:rsid w:val="0081061E"/>
    <w:rsid w:val="0081061F"/>
    <w:rsid w:val="0081069B"/>
    <w:rsid w:val="008106BA"/>
    <w:rsid w:val="008106F8"/>
    <w:rsid w:val="00810733"/>
    <w:rsid w:val="0081073A"/>
    <w:rsid w:val="0081077D"/>
    <w:rsid w:val="0081078D"/>
    <w:rsid w:val="008107A9"/>
    <w:rsid w:val="0081086F"/>
    <w:rsid w:val="008108C3"/>
    <w:rsid w:val="00810911"/>
    <w:rsid w:val="00810941"/>
    <w:rsid w:val="0081094C"/>
    <w:rsid w:val="0081095E"/>
    <w:rsid w:val="00810987"/>
    <w:rsid w:val="008109FF"/>
    <w:rsid w:val="00810A89"/>
    <w:rsid w:val="00810AF6"/>
    <w:rsid w:val="00810B0D"/>
    <w:rsid w:val="00810B26"/>
    <w:rsid w:val="00810B4A"/>
    <w:rsid w:val="00810B53"/>
    <w:rsid w:val="00810B73"/>
    <w:rsid w:val="00810B74"/>
    <w:rsid w:val="00810B77"/>
    <w:rsid w:val="00810B7D"/>
    <w:rsid w:val="00810BC6"/>
    <w:rsid w:val="00810BE0"/>
    <w:rsid w:val="00810BE6"/>
    <w:rsid w:val="00810BE9"/>
    <w:rsid w:val="00810BFF"/>
    <w:rsid w:val="00810C2C"/>
    <w:rsid w:val="00810C83"/>
    <w:rsid w:val="00810C85"/>
    <w:rsid w:val="00810D20"/>
    <w:rsid w:val="00810D4D"/>
    <w:rsid w:val="00810D6C"/>
    <w:rsid w:val="00810DCF"/>
    <w:rsid w:val="00810E0B"/>
    <w:rsid w:val="00810E17"/>
    <w:rsid w:val="00810E37"/>
    <w:rsid w:val="00810E41"/>
    <w:rsid w:val="00810E57"/>
    <w:rsid w:val="00810E5A"/>
    <w:rsid w:val="00810E63"/>
    <w:rsid w:val="00810E76"/>
    <w:rsid w:val="00810E7B"/>
    <w:rsid w:val="00810EA2"/>
    <w:rsid w:val="00810EB2"/>
    <w:rsid w:val="00810EC0"/>
    <w:rsid w:val="00810ED5"/>
    <w:rsid w:val="00810EE0"/>
    <w:rsid w:val="00810F01"/>
    <w:rsid w:val="00810F0A"/>
    <w:rsid w:val="00810F19"/>
    <w:rsid w:val="00810F43"/>
    <w:rsid w:val="00810F5A"/>
    <w:rsid w:val="00810F76"/>
    <w:rsid w:val="00810FB7"/>
    <w:rsid w:val="00810FC4"/>
    <w:rsid w:val="00810FE0"/>
    <w:rsid w:val="00810FE9"/>
    <w:rsid w:val="0081100A"/>
    <w:rsid w:val="00811021"/>
    <w:rsid w:val="0081106C"/>
    <w:rsid w:val="00811091"/>
    <w:rsid w:val="00811096"/>
    <w:rsid w:val="008110D4"/>
    <w:rsid w:val="008110E4"/>
    <w:rsid w:val="00811106"/>
    <w:rsid w:val="00811167"/>
    <w:rsid w:val="008111C5"/>
    <w:rsid w:val="00811218"/>
    <w:rsid w:val="00811297"/>
    <w:rsid w:val="008112C8"/>
    <w:rsid w:val="008112E2"/>
    <w:rsid w:val="008112FF"/>
    <w:rsid w:val="00811321"/>
    <w:rsid w:val="0081135F"/>
    <w:rsid w:val="00811360"/>
    <w:rsid w:val="008113A5"/>
    <w:rsid w:val="008113AE"/>
    <w:rsid w:val="008113EE"/>
    <w:rsid w:val="008114BA"/>
    <w:rsid w:val="008114D4"/>
    <w:rsid w:val="0081152C"/>
    <w:rsid w:val="00811548"/>
    <w:rsid w:val="0081156A"/>
    <w:rsid w:val="00811572"/>
    <w:rsid w:val="008115CA"/>
    <w:rsid w:val="00811631"/>
    <w:rsid w:val="0081166B"/>
    <w:rsid w:val="0081171B"/>
    <w:rsid w:val="00811770"/>
    <w:rsid w:val="00811828"/>
    <w:rsid w:val="00811870"/>
    <w:rsid w:val="00811910"/>
    <w:rsid w:val="0081196B"/>
    <w:rsid w:val="0081196E"/>
    <w:rsid w:val="0081198C"/>
    <w:rsid w:val="008119A2"/>
    <w:rsid w:val="008119FA"/>
    <w:rsid w:val="00811AB5"/>
    <w:rsid w:val="00811B12"/>
    <w:rsid w:val="00811BDD"/>
    <w:rsid w:val="00811BE2"/>
    <w:rsid w:val="00811C66"/>
    <w:rsid w:val="00811C6C"/>
    <w:rsid w:val="00811CF7"/>
    <w:rsid w:val="00811D13"/>
    <w:rsid w:val="00811D37"/>
    <w:rsid w:val="00811D65"/>
    <w:rsid w:val="00811DB2"/>
    <w:rsid w:val="00811DEB"/>
    <w:rsid w:val="00811DED"/>
    <w:rsid w:val="00811DF4"/>
    <w:rsid w:val="00811E23"/>
    <w:rsid w:val="00811E6F"/>
    <w:rsid w:val="00811E8A"/>
    <w:rsid w:val="00811EA4"/>
    <w:rsid w:val="00811EBB"/>
    <w:rsid w:val="00811F0F"/>
    <w:rsid w:val="00811F11"/>
    <w:rsid w:val="00811F1F"/>
    <w:rsid w:val="00811F5A"/>
    <w:rsid w:val="00811F7C"/>
    <w:rsid w:val="00811FEC"/>
    <w:rsid w:val="0081200D"/>
    <w:rsid w:val="008120A7"/>
    <w:rsid w:val="008120B5"/>
    <w:rsid w:val="008121B7"/>
    <w:rsid w:val="00812220"/>
    <w:rsid w:val="00812227"/>
    <w:rsid w:val="00812277"/>
    <w:rsid w:val="008123E4"/>
    <w:rsid w:val="0081244F"/>
    <w:rsid w:val="00812464"/>
    <w:rsid w:val="0081247F"/>
    <w:rsid w:val="0081249E"/>
    <w:rsid w:val="008124DD"/>
    <w:rsid w:val="0081250C"/>
    <w:rsid w:val="00812510"/>
    <w:rsid w:val="0081253A"/>
    <w:rsid w:val="0081258A"/>
    <w:rsid w:val="008125A3"/>
    <w:rsid w:val="008125A4"/>
    <w:rsid w:val="008125AF"/>
    <w:rsid w:val="008125E2"/>
    <w:rsid w:val="00812619"/>
    <w:rsid w:val="0081263C"/>
    <w:rsid w:val="00812659"/>
    <w:rsid w:val="0081267C"/>
    <w:rsid w:val="0081269B"/>
    <w:rsid w:val="008126F3"/>
    <w:rsid w:val="00812709"/>
    <w:rsid w:val="00812710"/>
    <w:rsid w:val="0081272E"/>
    <w:rsid w:val="0081274A"/>
    <w:rsid w:val="008127B5"/>
    <w:rsid w:val="008127E4"/>
    <w:rsid w:val="0081282B"/>
    <w:rsid w:val="00812840"/>
    <w:rsid w:val="0081287B"/>
    <w:rsid w:val="00812893"/>
    <w:rsid w:val="00812949"/>
    <w:rsid w:val="0081299D"/>
    <w:rsid w:val="00812A02"/>
    <w:rsid w:val="00812ADE"/>
    <w:rsid w:val="00812B4E"/>
    <w:rsid w:val="00812BB0"/>
    <w:rsid w:val="00812BDA"/>
    <w:rsid w:val="00812BE4"/>
    <w:rsid w:val="00812C07"/>
    <w:rsid w:val="00812CE1"/>
    <w:rsid w:val="00812CF1"/>
    <w:rsid w:val="00812D3A"/>
    <w:rsid w:val="00812D70"/>
    <w:rsid w:val="00812E07"/>
    <w:rsid w:val="00812E63"/>
    <w:rsid w:val="00812E6A"/>
    <w:rsid w:val="00812E7C"/>
    <w:rsid w:val="00812EBE"/>
    <w:rsid w:val="00812EC2"/>
    <w:rsid w:val="00812EFD"/>
    <w:rsid w:val="00812F11"/>
    <w:rsid w:val="00812F3E"/>
    <w:rsid w:val="00812F7D"/>
    <w:rsid w:val="00812F89"/>
    <w:rsid w:val="00812FA4"/>
    <w:rsid w:val="0081303F"/>
    <w:rsid w:val="008130A0"/>
    <w:rsid w:val="0081311C"/>
    <w:rsid w:val="00813164"/>
    <w:rsid w:val="00813175"/>
    <w:rsid w:val="008131F0"/>
    <w:rsid w:val="00813200"/>
    <w:rsid w:val="0081323E"/>
    <w:rsid w:val="0081325A"/>
    <w:rsid w:val="00813285"/>
    <w:rsid w:val="008132A0"/>
    <w:rsid w:val="0081331C"/>
    <w:rsid w:val="00813364"/>
    <w:rsid w:val="00813374"/>
    <w:rsid w:val="008133BF"/>
    <w:rsid w:val="00813475"/>
    <w:rsid w:val="008134FE"/>
    <w:rsid w:val="00813541"/>
    <w:rsid w:val="00813573"/>
    <w:rsid w:val="008135FE"/>
    <w:rsid w:val="0081363F"/>
    <w:rsid w:val="00813669"/>
    <w:rsid w:val="00813680"/>
    <w:rsid w:val="008136B0"/>
    <w:rsid w:val="008136F1"/>
    <w:rsid w:val="00813728"/>
    <w:rsid w:val="00813762"/>
    <w:rsid w:val="00813779"/>
    <w:rsid w:val="00813822"/>
    <w:rsid w:val="00813872"/>
    <w:rsid w:val="0081387E"/>
    <w:rsid w:val="00813890"/>
    <w:rsid w:val="00813899"/>
    <w:rsid w:val="008138AD"/>
    <w:rsid w:val="008138CC"/>
    <w:rsid w:val="008138E2"/>
    <w:rsid w:val="0081390F"/>
    <w:rsid w:val="0081397A"/>
    <w:rsid w:val="008139A1"/>
    <w:rsid w:val="008139BF"/>
    <w:rsid w:val="00813A2A"/>
    <w:rsid w:val="00813A81"/>
    <w:rsid w:val="00813A82"/>
    <w:rsid w:val="00813ABA"/>
    <w:rsid w:val="00813B0F"/>
    <w:rsid w:val="00813B2F"/>
    <w:rsid w:val="00813B37"/>
    <w:rsid w:val="00813BA9"/>
    <w:rsid w:val="00813BBD"/>
    <w:rsid w:val="00813BBF"/>
    <w:rsid w:val="00813C19"/>
    <w:rsid w:val="00813C34"/>
    <w:rsid w:val="00813C3A"/>
    <w:rsid w:val="00813C71"/>
    <w:rsid w:val="00813C90"/>
    <w:rsid w:val="00813CF9"/>
    <w:rsid w:val="00813CFA"/>
    <w:rsid w:val="00813D34"/>
    <w:rsid w:val="00813D78"/>
    <w:rsid w:val="00813D9B"/>
    <w:rsid w:val="00813E06"/>
    <w:rsid w:val="00813EC1"/>
    <w:rsid w:val="00813EFE"/>
    <w:rsid w:val="00813F34"/>
    <w:rsid w:val="00813F4A"/>
    <w:rsid w:val="00813F6C"/>
    <w:rsid w:val="00813F6E"/>
    <w:rsid w:val="00813F77"/>
    <w:rsid w:val="00813FCF"/>
    <w:rsid w:val="00814054"/>
    <w:rsid w:val="00814087"/>
    <w:rsid w:val="008140BC"/>
    <w:rsid w:val="008140CD"/>
    <w:rsid w:val="0081412C"/>
    <w:rsid w:val="0081418F"/>
    <w:rsid w:val="00814252"/>
    <w:rsid w:val="0081425C"/>
    <w:rsid w:val="00814268"/>
    <w:rsid w:val="0081429F"/>
    <w:rsid w:val="008142C4"/>
    <w:rsid w:val="008142D1"/>
    <w:rsid w:val="0081435A"/>
    <w:rsid w:val="00814376"/>
    <w:rsid w:val="00814382"/>
    <w:rsid w:val="008143A5"/>
    <w:rsid w:val="00814433"/>
    <w:rsid w:val="00814446"/>
    <w:rsid w:val="00814449"/>
    <w:rsid w:val="008144BC"/>
    <w:rsid w:val="0081456E"/>
    <w:rsid w:val="0081458E"/>
    <w:rsid w:val="0081460A"/>
    <w:rsid w:val="00814637"/>
    <w:rsid w:val="0081463D"/>
    <w:rsid w:val="00814656"/>
    <w:rsid w:val="00814688"/>
    <w:rsid w:val="00814717"/>
    <w:rsid w:val="00814732"/>
    <w:rsid w:val="008147AB"/>
    <w:rsid w:val="008147AF"/>
    <w:rsid w:val="008147DA"/>
    <w:rsid w:val="0081480D"/>
    <w:rsid w:val="0081482F"/>
    <w:rsid w:val="00814862"/>
    <w:rsid w:val="0081489D"/>
    <w:rsid w:val="008148E4"/>
    <w:rsid w:val="008148EB"/>
    <w:rsid w:val="00814953"/>
    <w:rsid w:val="008149AB"/>
    <w:rsid w:val="008149B8"/>
    <w:rsid w:val="008149ED"/>
    <w:rsid w:val="008149F5"/>
    <w:rsid w:val="00814A8A"/>
    <w:rsid w:val="00814AB2"/>
    <w:rsid w:val="00814AD7"/>
    <w:rsid w:val="00814AE2"/>
    <w:rsid w:val="00814AEE"/>
    <w:rsid w:val="00814B05"/>
    <w:rsid w:val="00814B33"/>
    <w:rsid w:val="00814C1D"/>
    <w:rsid w:val="00814C5F"/>
    <w:rsid w:val="00814C78"/>
    <w:rsid w:val="00814C8E"/>
    <w:rsid w:val="00814C9E"/>
    <w:rsid w:val="00814CF1"/>
    <w:rsid w:val="00814D37"/>
    <w:rsid w:val="00814D69"/>
    <w:rsid w:val="00814D9D"/>
    <w:rsid w:val="00814EDE"/>
    <w:rsid w:val="00814EE5"/>
    <w:rsid w:val="00814EF3"/>
    <w:rsid w:val="00814F27"/>
    <w:rsid w:val="00814F99"/>
    <w:rsid w:val="00814F9D"/>
    <w:rsid w:val="00814FAC"/>
    <w:rsid w:val="008150BB"/>
    <w:rsid w:val="008150F1"/>
    <w:rsid w:val="008150F4"/>
    <w:rsid w:val="008150FF"/>
    <w:rsid w:val="008151A1"/>
    <w:rsid w:val="008151C3"/>
    <w:rsid w:val="008151D3"/>
    <w:rsid w:val="008151D5"/>
    <w:rsid w:val="008151E2"/>
    <w:rsid w:val="00815209"/>
    <w:rsid w:val="00815233"/>
    <w:rsid w:val="00815259"/>
    <w:rsid w:val="0081526A"/>
    <w:rsid w:val="00815299"/>
    <w:rsid w:val="008152A0"/>
    <w:rsid w:val="008152C3"/>
    <w:rsid w:val="00815330"/>
    <w:rsid w:val="00815350"/>
    <w:rsid w:val="00815456"/>
    <w:rsid w:val="00815475"/>
    <w:rsid w:val="008154B2"/>
    <w:rsid w:val="008154B7"/>
    <w:rsid w:val="00815560"/>
    <w:rsid w:val="0081562B"/>
    <w:rsid w:val="0081562E"/>
    <w:rsid w:val="00815639"/>
    <w:rsid w:val="00815661"/>
    <w:rsid w:val="00815671"/>
    <w:rsid w:val="00815694"/>
    <w:rsid w:val="008156C9"/>
    <w:rsid w:val="00815752"/>
    <w:rsid w:val="008157A7"/>
    <w:rsid w:val="008157DD"/>
    <w:rsid w:val="008157E9"/>
    <w:rsid w:val="00815810"/>
    <w:rsid w:val="00815880"/>
    <w:rsid w:val="0081588C"/>
    <w:rsid w:val="0081589A"/>
    <w:rsid w:val="008158EC"/>
    <w:rsid w:val="008158EE"/>
    <w:rsid w:val="00815979"/>
    <w:rsid w:val="00815992"/>
    <w:rsid w:val="00815994"/>
    <w:rsid w:val="00815A00"/>
    <w:rsid w:val="00815A2C"/>
    <w:rsid w:val="00815A40"/>
    <w:rsid w:val="00815AE8"/>
    <w:rsid w:val="00815B04"/>
    <w:rsid w:val="00815B0C"/>
    <w:rsid w:val="00815B18"/>
    <w:rsid w:val="00815B56"/>
    <w:rsid w:val="00815B6A"/>
    <w:rsid w:val="00815BA5"/>
    <w:rsid w:val="00815BC6"/>
    <w:rsid w:val="00815BFC"/>
    <w:rsid w:val="00815C38"/>
    <w:rsid w:val="00815C4F"/>
    <w:rsid w:val="00815CC1"/>
    <w:rsid w:val="00815D23"/>
    <w:rsid w:val="00815D5A"/>
    <w:rsid w:val="00815E13"/>
    <w:rsid w:val="00815E3E"/>
    <w:rsid w:val="00815E53"/>
    <w:rsid w:val="00815E98"/>
    <w:rsid w:val="00815ECE"/>
    <w:rsid w:val="00815EE7"/>
    <w:rsid w:val="00815F17"/>
    <w:rsid w:val="00815F30"/>
    <w:rsid w:val="00815FAF"/>
    <w:rsid w:val="00815FB2"/>
    <w:rsid w:val="00816003"/>
    <w:rsid w:val="00816006"/>
    <w:rsid w:val="00816008"/>
    <w:rsid w:val="0081607C"/>
    <w:rsid w:val="00816080"/>
    <w:rsid w:val="00816089"/>
    <w:rsid w:val="008160CF"/>
    <w:rsid w:val="008160EB"/>
    <w:rsid w:val="008160FB"/>
    <w:rsid w:val="0081610B"/>
    <w:rsid w:val="0081618B"/>
    <w:rsid w:val="008161A2"/>
    <w:rsid w:val="008161B3"/>
    <w:rsid w:val="008161B4"/>
    <w:rsid w:val="008161DF"/>
    <w:rsid w:val="008161F1"/>
    <w:rsid w:val="00816238"/>
    <w:rsid w:val="008162A8"/>
    <w:rsid w:val="008162D4"/>
    <w:rsid w:val="0081632F"/>
    <w:rsid w:val="0081633F"/>
    <w:rsid w:val="00816361"/>
    <w:rsid w:val="008163D1"/>
    <w:rsid w:val="00816415"/>
    <w:rsid w:val="0081642C"/>
    <w:rsid w:val="00816436"/>
    <w:rsid w:val="00816437"/>
    <w:rsid w:val="00816439"/>
    <w:rsid w:val="00816475"/>
    <w:rsid w:val="00816481"/>
    <w:rsid w:val="0081649C"/>
    <w:rsid w:val="008164C8"/>
    <w:rsid w:val="00816516"/>
    <w:rsid w:val="0081651E"/>
    <w:rsid w:val="00816527"/>
    <w:rsid w:val="0081659E"/>
    <w:rsid w:val="008165BC"/>
    <w:rsid w:val="008165F7"/>
    <w:rsid w:val="0081667C"/>
    <w:rsid w:val="008166CD"/>
    <w:rsid w:val="008166EE"/>
    <w:rsid w:val="008166F6"/>
    <w:rsid w:val="008166FC"/>
    <w:rsid w:val="00816709"/>
    <w:rsid w:val="008167CC"/>
    <w:rsid w:val="008167FD"/>
    <w:rsid w:val="00816871"/>
    <w:rsid w:val="008168B6"/>
    <w:rsid w:val="008168E1"/>
    <w:rsid w:val="00816956"/>
    <w:rsid w:val="008169C5"/>
    <w:rsid w:val="008169FD"/>
    <w:rsid w:val="00816A1F"/>
    <w:rsid w:val="00816A76"/>
    <w:rsid w:val="00816AE4"/>
    <w:rsid w:val="00816B71"/>
    <w:rsid w:val="00816BFC"/>
    <w:rsid w:val="00816C1E"/>
    <w:rsid w:val="00816C4B"/>
    <w:rsid w:val="00816C80"/>
    <w:rsid w:val="00816C89"/>
    <w:rsid w:val="00816D01"/>
    <w:rsid w:val="00816D93"/>
    <w:rsid w:val="00816E1B"/>
    <w:rsid w:val="00816E5D"/>
    <w:rsid w:val="00816E5F"/>
    <w:rsid w:val="00816ED4"/>
    <w:rsid w:val="00816F30"/>
    <w:rsid w:val="00816F31"/>
    <w:rsid w:val="00816F6B"/>
    <w:rsid w:val="00816FC9"/>
    <w:rsid w:val="00816FEB"/>
    <w:rsid w:val="00817034"/>
    <w:rsid w:val="0081705A"/>
    <w:rsid w:val="0081705E"/>
    <w:rsid w:val="00817068"/>
    <w:rsid w:val="00817092"/>
    <w:rsid w:val="00817118"/>
    <w:rsid w:val="0081716E"/>
    <w:rsid w:val="00817179"/>
    <w:rsid w:val="0081719B"/>
    <w:rsid w:val="0081719C"/>
    <w:rsid w:val="00817213"/>
    <w:rsid w:val="0081721E"/>
    <w:rsid w:val="0081724C"/>
    <w:rsid w:val="0081725D"/>
    <w:rsid w:val="00817288"/>
    <w:rsid w:val="008172A6"/>
    <w:rsid w:val="008172AA"/>
    <w:rsid w:val="008172D1"/>
    <w:rsid w:val="008172EF"/>
    <w:rsid w:val="008172F3"/>
    <w:rsid w:val="008172F4"/>
    <w:rsid w:val="008172FC"/>
    <w:rsid w:val="008172FF"/>
    <w:rsid w:val="00817333"/>
    <w:rsid w:val="00817346"/>
    <w:rsid w:val="0081736D"/>
    <w:rsid w:val="00817370"/>
    <w:rsid w:val="008173CD"/>
    <w:rsid w:val="0081740B"/>
    <w:rsid w:val="00817420"/>
    <w:rsid w:val="00817454"/>
    <w:rsid w:val="008174C9"/>
    <w:rsid w:val="0081751D"/>
    <w:rsid w:val="00817532"/>
    <w:rsid w:val="00817540"/>
    <w:rsid w:val="0081754A"/>
    <w:rsid w:val="00817588"/>
    <w:rsid w:val="00817696"/>
    <w:rsid w:val="008176B3"/>
    <w:rsid w:val="00817727"/>
    <w:rsid w:val="00817769"/>
    <w:rsid w:val="00817785"/>
    <w:rsid w:val="00817827"/>
    <w:rsid w:val="0081785F"/>
    <w:rsid w:val="00817871"/>
    <w:rsid w:val="0081791A"/>
    <w:rsid w:val="00817936"/>
    <w:rsid w:val="0081794F"/>
    <w:rsid w:val="00817966"/>
    <w:rsid w:val="00817972"/>
    <w:rsid w:val="00817977"/>
    <w:rsid w:val="0081799F"/>
    <w:rsid w:val="008179A9"/>
    <w:rsid w:val="008179AE"/>
    <w:rsid w:val="00817A13"/>
    <w:rsid w:val="00817A1F"/>
    <w:rsid w:val="00817A25"/>
    <w:rsid w:val="00817A44"/>
    <w:rsid w:val="00817A6E"/>
    <w:rsid w:val="00817A7F"/>
    <w:rsid w:val="00817A82"/>
    <w:rsid w:val="00817ADD"/>
    <w:rsid w:val="00817AF6"/>
    <w:rsid w:val="00817B2A"/>
    <w:rsid w:val="00817B30"/>
    <w:rsid w:val="00817B33"/>
    <w:rsid w:val="00817B37"/>
    <w:rsid w:val="00817B46"/>
    <w:rsid w:val="00817BAC"/>
    <w:rsid w:val="00817BF0"/>
    <w:rsid w:val="00817C58"/>
    <w:rsid w:val="00817C6B"/>
    <w:rsid w:val="00817C70"/>
    <w:rsid w:val="00817D06"/>
    <w:rsid w:val="00817D1C"/>
    <w:rsid w:val="00817D35"/>
    <w:rsid w:val="00817DC4"/>
    <w:rsid w:val="00817DD3"/>
    <w:rsid w:val="00817E21"/>
    <w:rsid w:val="00817E73"/>
    <w:rsid w:val="00817E7D"/>
    <w:rsid w:val="00817EB0"/>
    <w:rsid w:val="00817EE6"/>
    <w:rsid w:val="00817F34"/>
    <w:rsid w:val="00817F88"/>
    <w:rsid w:val="00817FA6"/>
    <w:rsid w:val="00817FB2"/>
    <w:rsid w:val="00817FD5"/>
    <w:rsid w:val="00817FDB"/>
    <w:rsid w:val="00817FE3"/>
    <w:rsid w:val="00817FF7"/>
    <w:rsid w:val="008200DF"/>
    <w:rsid w:val="0082017A"/>
    <w:rsid w:val="0082017B"/>
    <w:rsid w:val="0082017F"/>
    <w:rsid w:val="008201FC"/>
    <w:rsid w:val="00820202"/>
    <w:rsid w:val="00820212"/>
    <w:rsid w:val="00820213"/>
    <w:rsid w:val="00820246"/>
    <w:rsid w:val="00820278"/>
    <w:rsid w:val="0082029B"/>
    <w:rsid w:val="008202C0"/>
    <w:rsid w:val="008202EA"/>
    <w:rsid w:val="00820383"/>
    <w:rsid w:val="00820385"/>
    <w:rsid w:val="0082038A"/>
    <w:rsid w:val="008203BD"/>
    <w:rsid w:val="008203E4"/>
    <w:rsid w:val="008203E5"/>
    <w:rsid w:val="00820411"/>
    <w:rsid w:val="00820425"/>
    <w:rsid w:val="0082043A"/>
    <w:rsid w:val="0082048F"/>
    <w:rsid w:val="0082049D"/>
    <w:rsid w:val="0082049F"/>
    <w:rsid w:val="008204B9"/>
    <w:rsid w:val="008204C5"/>
    <w:rsid w:val="008204D2"/>
    <w:rsid w:val="008204D5"/>
    <w:rsid w:val="008204D6"/>
    <w:rsid w:val="008204F9"/>
    <w:rsid w:val="00820510"/>
    <w:rsid w:val="00820531"/>
    <w:rsid w:val="0082053D"/>
    <w:rsid w:val="0082057C"/>
    <w:rsid w:val="008205E2"/>
    <w:rsid w:val="00820668"/>
    <w:rsid w:val="008206B4"/>
    <w:rsid w:val="008206D0"/>
    <w:rsid w:val="008206EC"/>
    <w:rsid w:val="00820704"/>
    <w:rsid w:val="00820733"/>
    <w:rsid w:val="0082078D"/>
    <w:rsid w:val="0082083A"/>
    <w:rsid w:val="00820885"/>
    <w:rsid w:val="0082088F"/>
    <w:rsid w:val="00820945"/>
    <w:rsid w:val="00820958"/>
    <w:rsid w:val="008209C1"/>
    <w:rsid w:val="008209C2"/>
    <w:rsid w:val="008209F2"/>
    <w:rsid w:val="008209F4"/>
    <w:rsid w:val="00820A45"/>
    <w:rsid w:val="00820A75"/>
    <w:rsid w:val="00820AAF"/>
    <w:rsid w:val="00820B16"/>
    <w:rsid w:val="00820B6F"/>
    <w:rsid w:val="00820B8C"/>
    <w:rsid w:val="00820BA1"/>
    <w:rsid w:val="00820BB1"/>
    <w:rsid w:val="00820BB8"/>
    <w:rsid w:val="00820BC0"/>
    <w:rsid w:val="00820BED"/>
    <w:rsid w:val="00820C2B"/>
    <w:rsid w:val="00820C33"/>
    <w:rsid w:val="00820C66"/>
    <w:rsid w:val="00820C77"/>
    <w:rsid w:val="00820C86"/>
    <w:rsid w:val="00820CAA"/>
    <w:rsid w:val="00820CB9"/>
    <w:rsid w:val="00820D65"/>
    <w:rsid w:val="00820D71"/>
    <w:rsid w:val="00820D77"/>
    <w:rsid w:val="00820D84"/>
    <w:rsid w:val="00820DB4"/>
    <w:rsid w:val="00820DB6"/>
    <w:rsid w:val="00820E11"/>
    <w:rsid w:val="00820E9C"/>
    <w:rsid w:val="00820EB7"/>
    <w:rsid w:val="00820ED5"/>
    <w:rsid w:val="00820ED9"/>
    <w:rsid w:val="00820F18"/>
    <w:rsid w:val="00820F3C"/>
    <w:rsid w:val="00820F6D"/>
    <w:rsid w:val="00820FCB"/>
    <w:rsid w:val="0082102C"/>
    <w:rsid w:val="0082103B"/>
    <w:rsid w:val="0082104A"/>
    <w:rsid w:val="00821050"/>
    <w:rsid w:val="008210D1"/>
    <w:rsid w:val="00821111"/>
    <w:rsid w:val="00821122"/>
    <w:rsid w:val="00821171"/>
    <w:rsid w:val="008211F9"/>
    <w:rsid w:val="00821295"/>
    <w:rsid w:val="00821347"/>
    <w:rsid w:val="0082138B"/>
    <w:rsid w:val="0082141C"/>
    <w:rsid w:val="00821444"/>
    <w:rsid w:val="00821471"/>
    <w:rsid w:val="00821512"/>
    <w:rsid w:val="00821516"/>
    <w:rsid w:val="00821529"/>
    <w:rsid w:val="00821561"/>
    <w:rsid w:val="008215EA"/>
    <w:rsid w:val="008215F3"/>
    <w:rsid w:val="008216F4"/>
    <w:rsid w:val="008216FF"/>
    <w:rsid w:val="00821719"/>
    <w:rsid w:val="00821903"/>
    <w:rsid w:val="00821908"/>
    <w:rsid w:val="00821914"/>
    <w:rsid w:val="0082195C"/>
    <w:rsid w:val="008219AC"/>
    <w:rsid w:val="008219B5"/>
    <w:rsid w:val="008219BC"/>
    <w:rsid w:val="008219C4"/>
    <w:rsid w:val="00821A01"/>
    <w:rsid w:val="00821A0C"/>
    <w:rsid w:val="00821A39"/>
    <w:rsid w:val="00821A46"/>
    <w:rsid w:val="00821A5A"/>
    <w:rsid w:val="00821A72"/>
    <w:rsid w:val="00821AFF"/>
    <w:rsid w:val="00821B7E"/>
    <w:rsid w:val="00821BB1"/>
    <w:rsid w:val="00821BD2"/>
    <w:rsid w:val="00821BDA"/>
    <w:rsid w:val="00821C09"/>
    <w:rsid w:val="00821C95"/>
    <w:rsid w:val="00821CA7"/>
    <w:rsid w:val="00821CBB"/>
    <w:rsid w:val="00821D66"/>
    <w:rsid w:val="00821D98"/>
    <w:rsid w:val="00821DAD"/>
    <w:rsid w:val="00821DF4"/>
    <w:rsid w:val="00821E11"/>
    <w:rsid w:val="00821EAC"/>
    <w:rsid w:val="00821ECB"/>
    <w:rsid w:val="00821F0F"/>
    <w:rsid w:val="00821F12"/>
    <w:rsid w:val="00821F3F"/>
    <w:rsid w:val="00821F50"/>
    <w:rsid w:val="00821F7F"/>
    <w:rsid w:val="00821FA1"/>
    <w:rsid w:val="00821FAE"/>
    <w:rsid w:val="00821FAF"/>
    <w:rsid w:val="00821FD5"/>
    <w:rsid w:val="00822036"/>
    <w:rsid w:val="0082203A"/>
    <w:rsid w:val="0082204B"/>
    <w:rsid w:val="008220EF"/>
    <w:rsid w:val="008220FC"/>
    <w:rsid w:val="00822130"/>
    <w:rsid w:val="00822139"/>
    <w:rsid w:val="00822147"/>
    <w:rsid w:val="0082215B"/>
    <w:rsid w:val="0082215E"/>
    <w:rsid w:val="008221A0"/>
    <w:rsid w:val="008221A2"/>
    <w:rsid w:val="0082220B"/>
    <w:rsid w:val="0082226A"/>
    <w:rsid w:val="0082232D"/>
    <w:rsid w:val="00822393"/>
    <w:rsid w:val="008223A8"/>
    <w:rsid w:val="008223B7"/>
    <w:rsid w:val="008223BB"/>
    <w:rsid w:val="008223BE"/>
    <w:rsid w:val="00822431"/>
    <w:rsid w:val="00822446"/>
    <w:rsid w:val="00822459"/>
    <w:rsid w:val="008224BC"/>
    <w:rsid w:val="008224D4"/>
    <w:rsid w:val="008224DF"/>
    <w:rsid w:val="00822508"/>
    <w:rsid w:val="0082254A"/>
    <w:rsid w:val="00822595"/>
    <w:rsid w:val="008225A4"/>
    <w:rsid w:val="008225C0"/>
    <w:rsid w:val="00822647"/>
    <w:rsid w:val="00822661"/>
    <w:rsid w:val="00822663"/>
    <w:rsid w:val="00822679"/>
    <w:rsid w:val="008226A2"/>
    <w:rsid w:val="0082270B"/>
    <w:rsid w:val="0082270D"/>
    <w:rsid w:val="0082276A"/>
    <w:rsid w:val="008227AD"/>
    <w:rsid w:val="008227DD"/>
    <w:rsid w:val="008227EB"/>
    <w:rsid w:val="00822829"/>
    <w:rsid w:val="0082282C"/>
    <w:rsid w:val="0082289F"/>
    <w:rsid w:val="008228AB"/>
    <w:rsid w:val="0082291B"/>
    <w:rsid w:val="0082294F"/>
    <w:rsid w:val="00822983"/>
    <w:rsid w:val="00822994"/>
    <w:rsid w:val="00822A40"/>
    <w:rsid w:val="00822A5A"/>
    <w:rsid w:val="00822A64"/>
    <w:rsid w:val="00822A71"/>
    <w:rsid w:val="00822A72"/>
    <w:rsid w:val="00822ADA"/>
    <w:rsid w:val="00822AFC"/>
    <w:rsid w:val="00822B3E"/>
    <w:rsid w:val="00822B48"/>
    <w:rsid w:val="00822BA2"/>
    <w:rsid w:val="00822BA5"/>
    <w:rsid w:val="00822BC5"/>
    <w:rsid w:val="00822BFA"/>
    <w:rsid w:val="00822BFC"/>
    <w:rsid w:val="00822C4B"/>
    <w:rsid w:val="00822C5D"/>
    <w:rsid w:val="00822C96"/>
    <w:rsid w:val="00822CCB"/>
    <w:rsid w:val="00822CD3"/>
    <w:rsid w:val="00822CE1"/>
    <w:rsid w:val="00822CE3"/>
    <w:rsid w:val="00822CF4"/>
    <w:rsid w:val="00822D5D"/>
    <w:rsid w:val="00822D97"/>
    <w:rsid w:val="00822D9F"/>
    <w:rsid w:val="00822DBF"/>
    <w:rsid w:val="00822E06"/>
    <w:rsid w:val="00822E28"/>
    <w:rsid w:val="00822E31"/>
    <w:rsid w:val="00822E69"/>
    <w:rsid w:val="00822E88"/>
    <w:rsid w:val="00822EC6"/>
    <w:rsid w:val="00822EEB"/>
    <w:rsid w:val="00822EF2"/>
    <w:rsid w:val="00822FCB"/>
    <w:rsid w:val="00822FD6"/>
    <w:rsid w:val="0082305A"/>
    <w:rsid w:val="0082307B"/>
    <w:rsid w:val="0082312B"/>
    <w:rsid w:val="0082312C"/>
    <w:rsid w:val="0082314A"/>
    <w:rsid w:val="00823168"/>
    <w:rsid w:val="008231A2"/>
    <w:rsid w:val="008231CD"/>
    <w:rsid w:val="008231E7"/>
    <w:rsid w:val="008231F8"/>
    <w:rsid w:val="008231FE"/>
    <w:rsid w:val="00823228"/>
    <w:rsid w:val="0082326D"/>
    <w:rsid w:val="00823281"/>
    <w:rsid w:val="008232A5"/>
    <w:rsid w:val="008232A9"/>
    <w:rsid w:val="008232BF"/>
    <w:rsid w:val="008232EC"/>
    <w:rsid w:val="0082334D"/>
    <w:rsid w:val="00823363"/>
    <w:rsid w:val="008233C0"/>
    <w:rsid w:val="0082341B"/>
    <w:rsid w:val="00823436"/>
    <w:rsid w:val="0082345C"/>
    <w:rsid w:val="008234CF"/>
    <w:rsid w:val="008234E0"/>
    <w:rsid w:val="00823544"/>
    <w:rsid w:val="00823567"/>
    <w:rsid w:val="0082357F"/>
    <w:rsid w:val="00823589"/>
    <w:rsid w:val="0082359A"/>
    <w:rsid w:val="008235B2"/>
    <w:rsid w:val="008235CD"/>
    <w:rsid w:val="008235EB"/>
    <w:rsid w:val="0082360A"/>
    <w:rsid w:val="0082361E"/>
    <w:rsid w:val="0082362F"/>
    <w:rsid w:val="00823660"/>
    <w:rsid w:val="00823675"/>
    <w:rsid w:val="008236EE"/>
    <w:rsid w:val="0082370D"/>
    <w:rsid w:val="00823767"/>
    <w:rsid w:val="008237A1"/>
    <w:rsid w:val="0082380A"/>
    <w:rsid w:val="00823819"/>
    <w:rsid w:val="0082382E"/>
    <w:rsid w:val="00823856"/>
    <w:rsid w:val="00823881"/>
    <w:rsid w:val="0082395C"/>
    <w:rsid w:val="00823964"/>
    <w:rsid w:val="008239EA"/>
    <w:rsid w:val="00823A77"/>
    <w:rsid w:val="00823AA1"/>
    <w:rsid w:val="00823AC4"/>
    <w:rsid w:val="00823AE2"/>
    <w:rsid w:val="00823AE9"/>
    <w:rsid w:val="00823AFA"/>
    <w:rsid w:val="00823B06"/>
    <w:rsid w:val="00823B30"/>
    <w:rsid w:val="00823B44"/>
    <w:rsid w:val="00823C55"/>
    <w:rsid w:val="00823C73"/>
    <w:rsid w:val="00823C8D"/>
    <w:rsid w:val="00823CB2"/>
    <w:rsid w:val="00823D06"/>
    <w:rsid w:val="00823D21"/>
    <w:rsid w:val="00823D5F"/>
    <w:rsid w:val="00823D92"/>
    <w:rsid w:val="00823E55"/>
    <w:rsid w:val="00823ECA"/>
    <w:rsid w:val="00823F2B"/>
    <w:rsid w:val="00823F32"/>
    <w:rsid w:val="00823F7B"/>
    <w:rsid w:val="00824003"/>
    <w:rsid w:val="00824073"/>
    <w:rsid w:val="0082409E"/>
    <w:rsid w:val="00824100"/>
    <w:rsid w:val="00824146"/>
    <w:rsid w:val="0082414A"/>
    <w:rsid w:val="008241D6"/>
    <w:rsid w:val="0082420E"/>
    <w:rsid w:val="00824220"/>
    <w:rsid w:val="0082424B"/>
    <w:rsid w:val="00824267"/>
    <w:rsid w:val="0082426F"/>
    <w:rsid w:val="00824296"/>
    <w:rsid w:val="008242C3"/>
    <w:rsid w:val="00824354"/>
    <w:rsid w:val="008243EC"/>
    <w:rsid w:val="008243F3"/>
    <w:rsid w:val="0082442C"/>
    <w:rsid w:val="00824448"/>
    <w:rsid w:val="00824456"/>
    <w:rsid w:val="00824490"/>
    <w:rsid w:val="008244C4"/>
    <w:rsid w:val="00824510"/>
    <w:rsid w:val="0082454C"/>
    <w:rsid w:val="00824578"/>
    <w:rsid w:val="008245CE"/>
    <w:rsid w:val="008245E6"/>
    <w:rsid w:val="00824628"/>
    <w:rsid w:val="00824729"/>
    <w:rsid w:val="00824736"/>
    <w:rsid w:val="0082476A"/>
    <w:rsid w:val="0082476D"/>
    <w:rsid w:val="00824789"/>
    <w:rsid w:val="0082482A"/>
    <w:rsid w:val="00824847"/>
    <w:rsid w:val="0082485B"/>
    <w:rsid w:val="0082486A"/>
    <w:rsid w:val="00824872"/>
    <w:rsid w:val="0082487D"/>
    <w:rsid w:val="008248DA"/>
    <w:rsid w:val="008248FA"/>
    <w:rsid w:val="00824954"/>
    <w:rsid w:val="00824975"/>
    <w:rsid w:val="008249B2"/>
    <w:rsid w:val="008249CF"/>
    <w:rsid w:val="00824A33"/>
    <w:rsid w:val="00824AB6"/>
    <w:rsid w:val="00824AC4"/>
    <w:rsid w:val="00824ADB"/>
    <w:rsid w:val="00824AF0"/>
    <w:rsid w:val="00824B14"/>
    <w:rsid w:val="00824B32"/>
    <w:rsid w:val="00824B55"/>
    <w:rsid w:val="00824B76"/>
    <w:rsid w:val="00824C8D"/>
    <w:rsid w:val="00824CC1"/>
    <w:rsid w:val="00824CF8"/>
    <w:rsid w:val="00824CFD"/>
    <w:rsid w:val="00824D28"/>
    <w:rsid w:val="00824D80"/>
    <w:rsid w:val="00824DF2"/>
    <w:rsid w:val="00824E12"/>
    <w:rsid w:val="00824E28"/>
    <w:rsid w:val="00824E65"/>
    <w:rsid w:val="00824EE9"/>
    <w:rsid w:val="00824F31"/>
    <w:rsid w:val="00824F6B"/>
    <w:rsid w:val="00824F7A"/>
    <w:rsid w:val="00824F82"/>
    <w:rsid w:val="00825005"/>
    <w:rsid w:val="0082501E"/>
    <w:rsid w:val="0082506A"/>
    <w:rsid w:val="008250AE"/>
    <w:rsid w:val="008250B5"/>
    <w:rsid w:val="0082515B"/>
    <w:rsid w:val="00825173"/>
    <w:rsid w:val="00825202"/>
    <w:rsid w:val="00825208"/>
    <w:rsid w:val="00825279"/>
    <w:rsid w:val="00825307"/>
    <w:rsid w:val="00825338"/>
    <w:rsid w:val="00825395"/>
    <w:rsid w:val="008253C7"/>
    <w:rsid w:val="008253E8"/>
    <w:rsid w:val="00825410"/>
    <w:rsid w:val="00825443"/>
    <w:rsid w:val="008254A7"/>
    <w:rsid w:val="008254C6"/>
    <w:rsid w:val="008254CD"/>
    <w:rsid w:val="008254EC"/>
    <w:rsid w:val="0082552D"/>
    <w:rsid w:val="0082553F"/>
    <w:rsid w:val="00825588"/>
    <w:rsid w:val="0082565D"/>
    <w:rsid w:val="00825665"/>
    <w:rsid w:val="00825667"/>
    <w:rsid w:val="00825670"/>
    <w:rsid w:val="008256A1"/>
    <w:rsid w:val="00825702"/>
    <w:rsid w:val="0082573E"/>
    <w:rsid w:val="0082574B"/>
    <w:rsid w:val="00825772"/>
    <w:rsid w:val="00825797"/>
    <w:rsid w:val="008257B6"/>
    <w:rsid w:val="008257CA"/>
    <w:rsid w:val="008257D3"/>
    <w:rsid w:val="00825843"/>
    <w:rsid w:val="00825881"/>
    <w:rsid w:val="0082598D"/>
    <w:rsid w:val="008259A7"/>
    <w:rsid w:val="00825A03"/>
    <w:rsid w:val="00825A67"/>
    <w:rsid w:val="00825AAC"/>
    <w:rsid w:val="00825AC7"/>
    <w:rsid w:val="00825AEA"/>
    <w:rsid w:val="00825AF2"/>
    <w:rsid w:val="00825B0C"/>
    <w:rsid w:val="00825B4A"/>
    <w:rsid w:val="00825B50"/>
    <w:rsid w:val="00825B92"/>
    <w:rsid w:val="00825BBA"/>
    <w:rsid w:val="00825BBD"/>
    <w:rsid w:val="00825C06"/>
    <w:rsid w:val="00825C19"/>
    <w:rsid w:val="00825C3F"/>
    <w:rsid w:val="00825C40"/>
    <w:rsid w:val="00825C48"/>
    <w:rsid w:val="00825C6D"/>
    <w:rsid w:val="00825CCA"/>
    <w:rsid w:val="00825D15"/>
    <w:rsid w:val="00825D3F"/>
    <w:rsid w:val="00825DB0"/>
    <w:rsid w:val="00825DC0"/>
    <w:rsid w:val="00825E1E"/>
    <w:rsid w:val="00825F32"/>
    <w:rsid w:val="00825F3D"/>
    <w:rsid w:val="00825F50"/>
    <w:rsid w:val="00825F5D"/>
    <w:rsid w:val="00825F83"/>
    <w:rsid w:val="00825FDD"/>
    <w:rsid w:val="00825FE6"/>
    <w:rsid w:val="00825FF7"/>
    <w:rsid w:val="00826057"/>
    <w:rsid w:val="008260A0"/>
    <w:rsid w:val="008260DC"/>
    <w:rsid w:val="008260EF"/>
    <w:rsid w:val="0082612C"/>
    <w:rsid w:val="00826187"/>
    <w:rsid w:val="00826208"/>
    <w:rsid w:val="00826296"/>
    <w:rsid w:val="008262BC"/>
    <w:rsid w:val="008262E6"/>
    <w:rsid w:val="008262EC"/>
    <w:rsid w:val="00826373"/>
    <w:rsid w:val="008263C0"/>
    <w:rsid w:val="008263FC"/>
    <w:rsid w:val="00826422"/>
    <w:rsid w:val="0082646A"/>
    <w:rsid w:val="00826486"/>
    <w:rsid w:val="008264FD"/>
    <w:rsid w:val="00826568"/>
    <w:rsid w:val="00826569"/>
    <w:rsid w:val="0082657F"/>
    <w:rsid w:val="008265A4"/>
    <w:rsid w:val="008265EF"/>
    <w:rsid w:val="008265F1"/>
    <w:rsid w:val="008265F4"/>
    <w:rsid w:val="00826604"/>
    <w:rsid w:val="0082661D"/>
    <w:rsid w:val="00826642"/>
    <w:rsid w:val="008267A5"/>
    <w:rsid w:val="00826816"/>
    <w:rsid w:val="00826825"/>
    <w:rsid w:val="00826860"/>
    <w:rsid w:val="00826888"/>
    <w:rsid w:val="00826896"/>
    <w:rsid w:val="00826900"/>
    <w:rsid w:val="00826958"/>
    <w:rsid w:val="00826961"/>
    <w:rsid w:val="00826984"/>
    <w:rsid w:val="008269BB"/>
    <w:rsid w:val="008269C6"/>
    <w:rsid w:val="008269E0"/>
    <w:rsid w:val="00826A28"/>
    <w:rsid w:val="00826A2C"/>
    <w:rsid w:val="00826A49"/>
    <w:rsid w:val="00826A55"/>
    <w:rsid w:val="00826A89"/>
    <w:rsid w:val="00826AD2"/>
    <w:rsid w:val="00826ADF"/>
    <w:rsid w:val="00826B20"/>
    <w:rsid w:val="00826B3F"/>
    <w:rsid w:val="00826B85"/>
    <w:rsid w:val="00826BC6"/>
    <w:rsid w:val="00826BCC"/>
    <w:rsid w:val="00826BCD"/>
    <w:rsid w:val="00826C0D"/>
    <w:rsid w:val="00826C2B"/>
    <w:rsid w:val="00826C44"/>
    <w:rsid w:val="00826C84"/>
    <w:rsid w:val="00826CE5"/>
    <w:rsid w:val="00826CFD"/>
    <w:rsid w:val="00826D29"/>
    <w:rsid w:val="00826D2A"/>
    <w:rsid w:val="00826D40"/>
    <w:rsid w:val="00826D63"/>
    <w:rsid w:val="00826D64"/>
    <w:rsid w:val="00826D7B"/>
    <w:rsid w:val="00826D9B"/>
    <w:rsid w:val="00826DAB"/>
    <w:rsid w:val="00826DBC"/>
    <w:rsid w:val="00826DE5"/>
    <w:rsid w:val="00826DE9"/>
    <w:rsid w:val="00826E34"/>
    <w:rsid w:val="00826E4E"/>
    <w:rsid w:val="00826E68"/>
    <w:rsid w:val="00826E82"/>
    <w:rsid w:val="00826EF8"/>
    <w:rsid w:val="00826EFB"/>
    <w:rsid w:val="00826F38"/>
    <w:rsid w:val="00826F8E"/>
    <w:rsid w:val="00826F9D"/>
    <w:rsid w:val="0082704D"/>
    <w:rsid w:val="0082706E"/>
    <w:rsid w:val="0082710C"/>
    <w:rsid w:val="00827171"/>
    <w:rsid w:val="00827180"/>
    <w:rsid w:val="008271C4"/>
    <w:rsid w:val="008271D6"/>
    <w:rsid w:val="00827204"/>
    <w:rsid w:val="00827248"/>
    <w:rsid w:val="00827255"/>
    <w:rsid w:val="00827282"/>
    <w:rsid w:val="008272AE"/>
    <w:rsid w:val="008272FA"/>
    <w:rsid w:val="00827300"/>
    <w:rsid w:val="0082735A"/>
    <w:rsid w:val="008273A1"/>
    <w:rsid w:val="008273AA"/>
    <w:rsid w:val="008273B0"/>
    <w:rsid w:val="008273DE"/>
    <w:rsid w:val="008273EE"/>
    <w:rsid w:val="008273F1"/>
    <w:rsid w:val="008273FF"/>
    <w:rsid w:val="0082742A"/>
    <w:rsid w:val="008274A3"/>
    <w:rsid w:val="008274D2"/>
    <w:rsid w:val="008274E1"/>
    <w:rsid w:val="0082750E"/>
    <w:rsid w:val="00827516"/>
    <w:rsid w:val="0082752A"/>
    <w:rsid w:val="00827533"/>
    <w:rsid w:val="00827544"/>
    <w:rsid w:val="00827545"/>
    <w:rsid w:val="0082763C"/>
    <w:rsid w:val="00827673"/>
    <w:rsid w:val="008276B4"/>
    <w:rsid w:val="008276E2"/>
    <w:rsid w:val="008276EC"/>
    <w:rsid w:val="0082771F"/>
    <w:rsid w:val="00827724"/>
    <w:rsid w:val="0082775F"/>
    <w:rsid w:val="00827760"/>
    <w:rsid w:val="0082776A"/>
    <w:rsid w:val="008277B8"/>
    <w:rsid w:val="008277C1"/>
    <w:rsid w:val="008277DD"/>
    <w:rsid w:val="0082780C"/>
    <w:rsid w:val="00827829"/>
    <w:rsid w:val="008278AA"/>
    <w:rsid w:val="008278B8"/>
    <w:rsid w:val="008278D2"/>
    <w:rsid w:val="0082790A"/>
    <w:rsid w:val="0082792B"/>
    <w:rsid w:val="00827975"/>
    <w:rsid w:val="00827981"/>
    <w:rsid w:val="0082798A"/>
    <w:rsid w:val="008279B4"/>
    <w:rsid w:val="008279D0"/>
    <w:rsid w:val="008279E3"/>
    <w:rsid w:val="00827A8D"/>
    <w:rsid w:val="00827AAE"/>
    <w:rsid w:val="00827AE4"/>
    <w:rsid w:val="00827B73"/>
    <w:rsid w:val="00827B79"/>
    <w:rsid w:val="00827B80"/>
    <w:rsid w:val="00827BDF"/>
    <w:rsid w:val="00827BF9"/>
    <w:rsid w:val="00827C3B"/>
    <w:rsid w:val="00827CE2"/>
    <w:rsid w:val="00827D32"/>
    <w:rsid w:val="00827D34"/>
    <w:rsid w:val="00827D85"/>
    <w:rsid w:val="00827D8D"/>
    <w:rsid w:val="00827DC4"/>
    <w:rsid w:val="00827DEC"/>
    <w:rsid w:val="00827E06"/>
    <w:rsid w:val="00827E15"/>
    <w:rsid w:val="00827E1F"/>
    <w:rsid w:val="00827E9B"/>
    <w:rsid w:val="00827E9E"/>
    <w:rsid w:val="00827EEC"/>
    <w:rsid w:val="00827F0A"/>
    <w:rsid w:val="00827F6E"/>
    <w:rsid w:val="00827F75"/>
    <w:rsid w:val="00827FAB"/>
    <w:rsid w:val="00827FE2"/>
    <w:rsid w:val="00827FFD"/>
    <w:rsid w:val="00830032"/>
    <w:rsid w:val="00830103"/>
    <w:rsid w:val="00830123"/>
    <w:rsid w:val="00830129"/>
    <w:rsid w:val="008301DB"/>
    <w:rsid w:val="00830211"/>
    <w:rsid w:val="00830259"/>
    <w:rsid w:val="008302F3"/>
    <w:rsid w:val="00830339"/>
    <w:rsid w:val="0083036B"/>
    <w:rsid w:val="00830397"/>
    <w:rsid w:val="008303C8"/>
    <w:rsid w:val="00830469"/>
    <w:rsid w:val="008304DD"/>
    <w:rsid w:val="00830533"/>
    <w:rsid w:val="0083055D"/>
    <w:rsid w:val="008305C2"/>
    <w:rsid w:val="008305E4"/>
    <w:rsid w:val="008305E9"/>
    <w:rsid w:val="008305FD"/>
    <w:rsid w:val="00830611"/>
    <w:rsid w:val="00830620"/>
    <w:rsid w:val="00830627"/>
    <w:rsid w:val="0083064D"/>
    <w:rsid w:val="008306CB"/>
    <w:rsid w:val="008306D0"/>
    <w:rsid w:val="008306EE"/>
    <w:rsid w:val="008306FA"/>
    <w:rsid w:val="0083070F"/>
    <w:rsid w:val="00830716"/>
    <w:rsid w:val="00830721"/>
    <w:rsid w:val="00830759"/>
    <w:rsid w:val="008307AB"/>
    <w:rsid w:val="00830838"/>
    <w:rsid w:val="00830874"/>
    <w:rsid w:val="00830897"/>
    <w:rsid w:val="008308A8"/>
    <w:rsid w:val="008308E4"/>
    <w:rsid w:val="00830903"/>
    <w:rsid w:val="0083091E"/>
    <w:rsid w:val="00830945"/>
    <w:rsid w:val="00830991"/>
    <w:rsid w:val="008309AE"/>
    <w:rsid w:val="008309B9"/>
    <w:rsid w:val="008309D2"/>
    <w:rsid w:val="00830A14"/>
    <w:rsid w:val="00830A38"/>
    <w:rsid w:val="00830A3F"/>
    <w:rsid w:val="00830A64"/>
    <w:rsid w:val="00830A7E"/>
    <w:rsid w:val="00830ACF"/>
    <w:rsid w:val="00830AE2"/>
    <w:rsid w:val="00830B61"/>
    <w:rsid w:val="00830B95"/>
    <w:rsid w:val="00830BB2"/>
    <w:rsid w:val="00830BB3"/>
    <w:rsid w:val="00830BFB"/>
    <w:rsid w:val="00830C32"/>
    <w:rsid w:val="00830C50"/>
    <w:rsid w:val="00830C6D"/>
    <w:rsid w:val="00830CF4"/>
    <w:rsid w:val="00830D18"/>
    <w:rsid w:val="00830D7E"/>
    <w:rsid w:val="00830D82"/>
    <w:rsid w:val="00830DD6"/>
    <w:rsid w:val="00830DE3"/>
    <w:rsid w:val="00830E83"/>
    <w:rsid w:val="00830F30"/>
    <w:rsid w:val="00830FC9"/>
    <w:rsid w:val="00831027"/>
    <w:rsid w:val="008310EC"/>
    <w:rsid w:val="00831124"/>
    <w:rsid w:val="0083112A"/>
    <w:rsid w:val="00831136"/>
    <w:rsid w:val="00831173"/>
    <w:rsid w:val="008311B1"/>
    <w:rsid w:val="008311FE"/>
    <w:rsid w:val="00831210"/>
    <w:rsid w:val="00831272"/>
    <w:rsid w:val="008312C7"/>
    <w:rsid w:val="008312D3"/>
    <w:rsid w:val="008312E7"/>
    <w:rsid w:val="00831377"/>
    <w:rsid w:val="008313F1"/>
    <w:rsid w:val="0083149D"/>
    <w:rsid w:val="008314FA"/>
    <w:rsid w:val="00831507"/>
    <w:rsid w:val="00831540"/>
    <w:rsid w:val="00831574"/>
    <w:rsid w:val="00831576"/>
    <w:rsid w:val="00831593"/>
    <w:rsid w:val="0083159E"/>
    <w:rsid w:val="008315BE"/>
    <w:rsid w:val="00831618"/>
    <w:rsid w:val="008316B8"/>
    <w:rsid w:val="0083175E"/>
    <w:rsid w:val="00831780"/>
    <w:rsid w:val="008317A1"/>
    <w:rsid w:val="0083185F"/>
    <w:rsid w:val="0083186C"/>
    <w:rsid w:val="008318D2"/>
    <w:rsid w:val="008318ED"/>
    <w:rsid w:val="00831901"/>
    <w:rsid w:val="0083191F"/>
    <w:rsid w:val="0083193E"/>
    <w:rsid w:val="00831952"/>
    <w:rsid w:val="00831955"/>
    <w:rsid w:val="0083198F"/>
    <w:rsid w:val="008319D9"/>
    <w:rsid w:val="008319F4"/>
    <w:rsid w:val="00831A16"/>
    <w:rsid w:val="00831AFB"/>
    <w:rsid w:val="00831B1F"/>
    <w:rsid w:val="00831B28"/>
    <w:rsid w:val="00831B55"/>
    <w:rsid w:val="00831B86"/>
    <w:rsid w:val="00831B8B"/>
    <w:rsid w:val="00831BD7"/>
    <w:rsid w:val="00831BED"/>
    <w:rsid w:val="00831BF1"/>
    <w:rsid w:val="00831C2F"/>
    <w:rsid w:val="00831C54"/>
    <w:rsid w:val="00831D23"/>
    <w:rsid w:val="00831D6C"/>
    <w:rsid w:val="00831D7C"/>
    <w:rsid w:val="00831D9C"/>
    <w:rsid w:val="00831DE6"/>
    <w:rsid w:val="00831E15"/>
    <w:rsid w:val="00831E5B"/>
    <w:rsid w:val="00831E5F"/>
    <w:rsid w:val="00831E74"/>
    <w:rsid w:val="00831EA9"/>
    <w:rsid w:val="00831F37"/>
    <w:rsid w:val="00831FAD"/>
    <w:rsid w:val="00831FE5"/>
    <w:rsid w:val="00831FF7"/>
    <w:rsid w:val="0083201B"/>
    <w:rsid w:val="00832089"/>
    <w:rsid w:val="008320B2"/>
    <w:rsid w:val="00832143"/>
    <w:rsid w:val="00832195"/>
    <w:rsid w:val="008321E0"/>
    <w:rsid w:val="008321E2"/>
    <w:rsid w:val="00832237"/>
    <w:rsid w:val="0083224A"/>
    <w:rsid w:val="00832256"/>
    <w:rsid w:val="008322BB"/>
    <w:rsid w:val="008322DD"/>
    <w:rsid w:val="0083231D"/>
    <w:rsid w:val="0083244D"/>
    <w:rsid w:val="00832531"/>
    <w:rsid w:val="008325B6"/>
    <w:rsid w:val="008326A0"/>
    <w:rsid w:val="008326BC"/>
    <w:rsid w:val="008326D7"/>
    <w:rsid w:val="008326F2"/>
    <w:rsid w:val="0083276C"/>
    <w:rsid w:val="008327A8"/>
    <w:rsid w:val="008327AD"/>
    <w:rsid w:val="008327B4"/>
    <w:rsid w:val="0083289B"/>
    <w:rsid w:val="008328F2"/>
    <w:rsid w:val="00832911"/>
    <w:rsid w:val="00832932"/>
    <w:rsid w:val="00832954"/>
    <w:rsid w:val="00832966"/>
    <w:rsid w:val="00832968"/>
    <w:rsid w:val="00832985"/>
    <w:rsid w:val="008329C8"/>
    <w:rsid w:val="00832A0F"/>
    <w:rsid w:val="00832A4A"/>
    <w:rsid w:val="00832A51"/>
    <w:rsid w:val="00832A6B"/>
    <w:rsid w:val="00832BA4"/>
    <w:rsid w:val="00832BB6"/>
    <w:rsid w:val="00832C36"/>
    <w:rsid w:val="00832C55"/>
    <w:rsid w:val="00832C7F"/>
    <w:rsid w:val="00832CA3"/>
    <w:rsid w:val="00832CCA"/>
    <w:rsid w:val="00832CCE"/>
    <w:rsid w:val="00832D01"/>
    <w:rsid w:val="00832D8E"/>
    <w:rsid w:val="00832D90"/>
    <w:rsid w:val="00832E02"/>
    <w:rsid w:val="00832E0A"/>
    <w:rsid w:val="00832E33"/>
    <w:rsid w:val="00832E3C"/>
    <w:rsid w:val="00832E40"/>
    <w:rsid w:val="00832E51"/>
    <w:rsid w:val="00832EC2"/>
    <w:rsid w:val="00832F4A"/>
    <w:rsid w:val="00832F6A"/>
    <w:rsid w:val="00832F7A"/>
    <w:rsid w:val="00832F9A"/>
    <w:rsid w:val="00832F9C"/>
    <w:rsid w:val="00832FDF"/>
    <w:rsid w:val="0083303F"/>
    <w:rsid w:val="00833055"/>
    <w:rsid w:val="008330A0"/>
    <w:rsid w:val="008330AB"/>
    <w:rsid w:val="008330F9"/>
    <w:rsid w:val="00833136"/>
    <w:rsid w:val="00833171"/>
    <w:rsid w:val="00833175"/>
    <w:rsid w:val="0083319B"/>
    <w:rsid w:val="008331F6"/>
    <w:rsid w:val="00833224"/>
    <w:rsid w:val="0083322D"/>
    <w:rsid w:val="00833281"/>
    <w:rsid w:val="00833309"/>
    <w:rsid w:val="00833322"/>
    <w:rsid w:val="00833343"/>
    <w:rsid w:val="00833374"/>
    <w:rsid w:val="00833380"/>
    <w:rsid w:val="00833384"/>
    <w:rsid w:val="008333A4"/>
    <w:rsid w:val="008333DA"/>
    <w:rsid w:val="00833411"/>
    <w:rsid w:val="00833455"/>
    <w:rsid w:val="00833492"/>
    <w:rsid w:val="008334A2"/>
    <w:rsid w:val="008334C2"/>
    <w:rsid w:val="00833520"/>
    <w:rsid w:val="00833558"/>
    <w:rsid w:val="00833563"/>
    <w:rsid w:val="0083358A"/>
    <w:rsid w:val="0083359E"/>
    <w:rsid w:val="008335A9"/>
    <w:rsid w:val="008335E8"/>
    <w:rsid w:val="0083360E"/>
    <w:rsid w:val="0083361D"/>
    <w:rsid w:val="0083362F"/>
    <w:rsid w:val="00833636"/>
    <w:rsid w:val="008336C4"/>
    <w:rsid w:val="00833745"/>
    <w:rsid w:val="00833760"/>
    <w:rsid w:val="0083378D"/>
    <w:rsid w:val="008337B7"/>
    <w:rsid w:val="008337E4"/>
    <w:rsid w:val="00833857"/>
    <w:rsid w:val="00833890"/>
    <w:rsid w:val="00833990"/>
    <w:rsid w:val="008339D7"/>
    <w:rsid w:val="008339FC"/>
    <w:rsid w:val="00833A4A"/>
    <w:rsid w:val="00833A88"/>
    <w:rsid w:val="00833ABA"/>
    <w:rsid w:val="00833ABB"/>
    <w:rsid w:val="00833AD7"/>
    <w:rsid w:val="00833B2A"/>
    <w:rsid w:val="00833C00"/>
    <w:rsid w:val="00833C61"/>
    <w:rsid w:val="00833C9B"/>
    <w:rsid w:val="00833CC1"/>
    <w:rsid w:val="00833CEC"/>
    <w:rsid w:val="00833D0D"/>
    <w:rsid w:val="00833D3D"/>
    <w:rsid w:val="00833D45"/>
    <w:rsid w:val="00833D47"/>
    <w:rsid w:val="00833D58"/>
    <w:rsid w:val="00833DAD"/>
    <w:rsid w:val="00833DEC"/>
    <w:rsid w:val="00833E5B"/>
    <w:rsid w:val="00833E67"/>
    <w:rsid w:val="00833E88"/>
    <w:rsid w:val="00833EB4"/>
    <w:rsid w:val="00833EBB"/>
    <w:rsid w:val="00833EFC"/>
    <w:rsid w:val="00833F58"/>
    <w:rsid w:val="00833F5B"/>
    <w:rsid w:val="00833F89"/>
    <w:rsid w:val="00833F91"/>
    <w:rsid w:val="00833F97"/>
    <w:rsid w:val="00833FA5"/>
    <w:rsid w:val="00834007"/>
    <w:rsid w:val="00834010"/>
    <w:rsid w:val="00834099"/>
    <w:rsid w:val="0083409B"/>
    <w:rsid w:val="008340DB"/>
    <w:rsid w:val="008340F4"/>
    <w:rsid w:val="008340FB"/>
    <w:rsid w:val="00834160"/>
    <w:rsid w:val="00834172"/>
    <w:rsid w:val="008341B6"/>
    <w:rsid w:val="008341C6"/>
    <w:rsid w:val="008341E5"/>
    <w:rsid w:val="008341F8"/>
    <w:rsid w:val="00834202"/>
    <w:rsid w:val="008342BF"/>
    <w:rsid w:val="008342E0"/>
    <w:rsid w:val="008342F4"/>
    <w:rsid w:val="008343AA"/>
    <w:rsid w:val="008343B9"/>
    <w:rsid w:val="00834404"/>
    <w:rsid w:val="0083442B"/>
    <w:rsid w:val="0083442D"/>
    <w:rsid w:val="0083449C"/>
    <w:rsid w:val="008344B5"/>
    <w:rsid w:val="008344C6"/>
    <w:rsid w:val="0083456C"/>
    <w:rsid w:val="0083456E"/>
    <w:rsid w:val="00834570"/>
    <w:rsid w:val="00834573"/>
    <w:rsid w:val="008345C8"/>
    <w:rsid w:val="008345D3"/>
    <w:rsid w:val="008345F8"/>
    <w:rsid w:val="00834616"/>
    <w:rsid w:val="0083462C"/>
    <w:rsid w:val="008346A6"/>
    <w:rsid w:val="008346F2"/>
    <w:rsid w:val="00834716"/>
    <w:rsid w:val="0083471F"/>
    <w:rsid w:val="00834742"/>
    <w:rsid w:val="00834755"/>
    <w:rsid w:val="00834775"/>
    <w:rsid w:val="0083478E"/>
    <w:rsid w:val="008347A8"/>
    <w:rsid w:val="008347D9"/>
    <w:rsid w:val="0083485A"/>
    <w:rsid w:val="00834894"/>
    <w:rsid w:val="008348EF"/>
    <w:rsid w:val="0083490B"/>
    <w:rsid w:val="0083491F"/>
    <w:rsid w:val="00834936"/>
    <w:rsid w:val="008349A0"/>
    <w:rsid w:val="008349D7"/>
    <w:rsid w:val="00834A0E"/>
    <w:rsid w:val="00834A62"/>
    <w:rsid w:val="00834AA7"/>
    <w:rsid w:val="00834AE4"/>
    <w:rsid w:val="00834AEF"/>
    <w:rsid w:val="00834B0F"/>
    <w:rsid w:val="00834B59"/>
    <w:rsid w:val="00834B60"/>
    <w:rsid w:val="00834B89"/>
    <w:rsid w:val="00834C00"/>
    <w:rsid w:val="00834C07"/>
    <w:rsid w:val="00834C1D"/>
    <w:rsid w:val="00834C26"/>
    <w:rsid w:val="00834CE8"/>
    <w:rsid w:val="00834CF7"/>
    <w:rsid w:val="00834CFD"/>
    <w:rsid w:val="00834D4B"/>
    <w:rsid w:val="00834D5F"/>
    <w:rsid w:val="00834E9F"/>
    <w:rsid w:val="00834EA7"/>
    <w:rsid w:val="00834ED8"/>
    <w:rsid w:val="00834EDE"/>
    <w:rsid w:val="00834EF1"/>
    <w:rsid w:val="00834F26"/>
    <w:rsid w:val="00834F39"/>
    <w:rsid w:val="00834F55"/>
    <w:rsid w:val="00834F5D"/>
    <w:rsid w:val="00834F90"/>
    <w:rsid w:val="00834FAF"/>
    <w:rsid w:val="00834FB3"/>
    <w:rsid w:val="00834FC9"/>
    <w:rsid w:val="00834FE2"/>
    <w:rsid w:val="00835005"/>
    <w:rsid w:val="00835029"/>
    <w:rsid w:val="00835053"/>
    <w:rsid w:val="00835133"/>
    <w:rsid w:val="0083518C"/>
    <w:rsid w:val="00835252"/>
    <w:rsid w:val="008352B0"/>
    <w:rsid w:val="008352BA"/>
    <w:rsid w:val="008352E6"/>
    <w:rsid w:val="00835304"/>
    <w:rsid w:val="00835307"/>
    <w:rsid w:val="00835333"/>
    <w:rsid w:val="0083539C"/>
    <w:rsid w:val="008353AA"/>
    <w:rsid w:val="008353BC"/>
    <w:rsid w:val="008353D2"/>
    <w:rsid w:val="008353F0"/>
    <w:rsid w:val="0083548A"/>
    <w:rsid w:val="008354A2"/>
    <w:rsid w:val="008354E3"/>
    <w:rsid w:val="00835513"/>
    <w:rsid w:val="00835517"/>
    <w:rsid w:val="0083556D"/>
    <w:rsid w:val="0083558D"/>
    <w:rsid w:val="00835595"/>
    <w:rsid w:val="008355C7"/>
    <w:rsid w:val="008355DF"/>
    <w:rsid w:val="0083563B"/>
    <w:rsid w:val="00835645"/>
    <w:rsid w:val="0083565C"/>
    <w:rsid w:val="008356E8"/>
    <w:rsid w:val="008356F5"/>
    <w:rsid w:val="00835753"/>
    <w:rsid w:val="0083576D"/>
    <w:rsid w:val="008357AC"/>
    <w:rsid w:val="00835833"/>
    <w:rsid w:val="00835888"/>
    <w:rsid w:val="008358A4"/>
    <w:rsid w:val="008358CB"/>
    <w:rsid w:val="008358D4"/>
    <w:rsid w:val="00835908"/>
    <w:rsid w:val="00835926"/>
    <w:rsid w:val="00835941"/>
    <w:rsid w:val="008359A6"/>
    <w:rsid w:val="008359AB"/>
    <w:rsid w:val="008359BA"/>
    <w:rsid w:val="008359C2"/>
    <w:rsid w:val="008359D5"/>
    <w:rsid w:val="008359E0"/>
    <w:rsid w:val="008359F1"/>
    <w:rsid w:val="00835A37"/>
    <w:rsid w:val="00835AC1"/>
    <w:rsid w:val="00835AD5"/>
    <w:rsid w:val="00835B7D"/>
    <w:rsid w:val="00835BD5"/>
    <w:rsid w:val="00835BE2"/>
    <w:rsid w:val="00835BEA"/>
    <w:rsid w:val="00835C35"/>
    <w:rsid w:val="00835C4F"/>
    <w:rsid w:val="00835C53"/>
    <w:rsid w:val="00835C77"/>
    <w:rsid w:val="00835C8F"/>
    <w:rsid w:val="00835CBF"/>
    <w:rsid w:val="00835CEE"/>
    <w:rsid w:val="00835D3B"/>
    <w:rsid w:val="00835D3F"/>
    <w:rsid w:val="00835D85"/>
    <w:rsid w:val="00835DD6"/>
    <w:rsid w:val="00835DF1"/>
    <w:rsid w:val="00835E05"/>
    <w:rsid w:val="00835ECC"/>
    <w:rsid w:val="00835EFF"/>
    <w:rsid w:val="00835F02"/>
    <w:rsid w:val="00835F6F"/>
    <w:rsid w:val="00835F9E"/>
    <w:rsid w:val="00835FB4"/>
    <w:rsid w:val="00835FFD"/>
    <w:rsid w:val="0083600A"/>
    <w:rsid w:val="0083602E"/>
    <w:rsid w:val="00836039"/>
    <w:rsid w:val="00836144"/>
    <w:rsid w:val="0083614D"/>
    <w:rsid w:val="0083617F"/>
    <w:rsid w:val="00836191"/>
    <w:rsid w:val="00836196"/>
    <w:rsid w:val="008361AC"/>
    <w:rsid w:val="008361E2"/>
    <w:rsid w:val="008361ED"/>
    <w:rsid w:val="00836201"/>
    <w:rsid w:val="0083620E"/>
    <w:rsid w:val="0083621F"/>
    <w:rsid w:val="00836220"/>
    <w:rsid w:val="00836235"/>
    <w:rsid w:val="00836255"/>
    <w:rsid w:val="0083625E"/>
    <w:rsid w:val="008362F5"/>
    <w:rsid w:val="00836313"/>
    <w:rsid w:val="00836375"/>
    <w:rsid w:val="0083637B"/>
    <w:rsid w:val="008363AA"/>
    <w:rsid w:val="008363B8"/>
    <w:rsid w:val="008363CE"/>
    <w:rsid w:val="00836432"/>
    <w:rsid w:val="00836441"/>
    <w:rsid w:val="008364EE"/>
    <w:rsid w:val="00836509"/>
    <w:rsid w:val="00836532"/>
    <w:rsid w:val="00836534"/>
    <w:rsid w:val="0083654C"/>
    <w:rsid w:val="0083659C"/>
    <w:rsid w:val="008365AD"/>
    <w:rsid w:val="008365C7"/>
    <w:rsid w:val="008365CB"/>
    <w:rsid w:val="0083661D"/>
    <w:rsid w:val="0083661F"/>
    <w:rsid w:val="008366AD"/>
    <w:rsid w:val="008366D9"/>
    <w:rsid w:val="008366DB"/>
    <w:rsid w:val="00836707"/>
    <w:rsid w:val="00836757"/>
    <w:rsid w:val="00836777"/>
    <w:rsid w:val="0083678A"/>
    <w:rsid w:val="008367B2"/>
    <w:rsid w:val="008367D1"/>
    <w:rsid w:val="008367E4"/>
    <w:rsid w:val="00836800"/>
    <w:rsid w:val="0083680C"/>
    <w:rsid w:val="00836810"/>
    <w:rsid w:val="0083681A"/>
    <w:rsid w:val="0083681C"/>
    <w:rsid w:val="0083685E"/>
    <w:rsid w:val="00836867"/>
    <w:rsid w:val="00836886"/>
    <w:rsid w:val="0083688C"/>
    <w:rsid w:val="008368E8"/>
    <w:rsid w:val="00836902"/>
    <w:rsid w:val="00836906"/>
    <w:rsid w:val="00836911"/>
    <w:rsid w:val="0083694A"/>
    <w:rsid w:val="00836A4B"/>
    <w:rsid w:val="00836A8A"/>
    <w:rsid w:val="00836AA3"/>
    <w:rsid w:val="00836AA5"/>
    <w:rsid w:val="00836AD9"/>
    <w:rsid w:val="00836AEC"/>
    <w:rsid w:val="00836B7B"/>
    <w:rsid w:val="00836BAE"/>
    <w:rsid w:val="00836C10"/>
    <w:rsid w:val="00836C12"/>
    <w:rsid w:val="00836C14"/>
    <w:rsid w:val="00836C7B"/>
    <w:rsid w:val="00836C81"/>
    <w:rsid w:val="00836CC4"/>
    <w:rsid w:val="00836D24"/>
    <w:rsid w:val="00836D52"/>
    <w:rsid w:val="00836D61"/>
    <w:rsid w:val="00836D84"/>
    <w:rsid w:val="00836DFC"/>
    <w:rsid w:val="00836E0A"/>
    <w:rsid w:val="00836E1B"/>
    <w:rsid w:val="00836E3B"/>
    <w:rsid w:val="00836E4B"/>
    <w:rsid w:val="00836E72"/>
    <w:rsid w:val="00836E78"/>
    <w:rsid w:val="00836EBB"/>
    <w:rsid w:val="00836FB9"/>
    <w:rsid w:val="00836FD9"/>
    <w:rsid w:val="00836FFA"/>
    <w:rsid w:val="00836FFF"/>
    <w:rsid w:val="00837034"/>
    <w:rsid w:val="00837055"/>
    <w:rsid w:val="00837085"/>
    <w:rsid w:val="008370A3"/>
    <w:rsid w:val="008370B6"/>
    <w:rsid w:val="00837129"/>
    <w:rsid w:val="0083715C"/>
    <w:rsid w:val="008371A1"/>
    <w:rsid w:val="008371F1"/>
    <w:rsid w:val="008371F8"/>
    <w:rsid w:val="008371FC"/>
    <w:rsid w:val="0083720E"/>
    <w:rsid w:val="00837215"/>
    <w:rsid w:val="00837244"/>
    <w:rsid w:val="0083726D"/>
    <w:rsid w:val="0083729A"/>
    <w:rsid w:val="008372B3"/>
    <w:rsid w:val="008372C0"/>
    <w:rsid w:val="00837347"/>
    <w:rsid w:val="00837364"/>
    <w:rsid w:val="00837398"/>
    <w:rsid w:val="008373B4"/>
    <w:rsid w:val="008373E0"/>
    <w:rsid w:val="008373ED"/>
    <w:rsid w:val="0083749A"/>
    <w:rsid w:val="008374CF"/>
    <w:rsid w:val="008374E5"/>
    <w:rsid w:val="008374F4"/>
    <w:rsid w:val="0083754C"/>
    <w:rsid w:val="008375A3"/>
    <w:rsid w:val="008375D4"/>
    <w:rsid w:val="008375E4"/>
    <w:rsid w:val="0083760D"/>
    <w:rsid w:val="00837622"/>
    <w:rsid w:val="00837632"/>
    <w:rsid w:val="00837640"/>
    <w:rsid w:val="00837757"/>
    <w:rsid w:val="0083775A"/>
    <w:rsid w:val="008377D6"/>
    <w:rsid w:val="0083780C"/>
    <w:rsid w:val="00837829"/>
    <w:rsid w:val="00837840"/>
    <w:rsid w:val="0083784E"/>
    <w:rsid w:val="0083786C"/>
    <w:rsid w:val="00837877"/>
    <w:rsid w:val="008378CE"/>
    <w:rsid w:val="008378E5"/>
    <w:rsid w:val="00837914"/>
    <w:rsid w:val="00837926"/>
    <w:rsid w:val="00837951"/>
    <w:rsid w:val="00837A07"/>
    <w:rsid w:val="00837A1A"/>
    <w:rsid w:val="00837A48"/>
    <w:rsid w:val="00837A88"/>
    <w:rsid w:val="00837ABD"/>
    <w:rsid w:val="00837AD9"/>
    <w:rsid w:val="00837AF1"/>
    <w:rsid w:val="00837B20"/>
    <w:rsid w:val="00837B78"/>
    <w:rsid w:val="00837B8B"/>
    <w:rsid w:val="00837B92"/>
    <w:rsid w:val="00837BD3"/>
    <w:rsid w:val="00837C2E"/>
    <w:rsid w:val="00837C45"/>
    <w:rsid w:val="00837C62"/>
    <w:rsid w:val="00837C82"/>
    <w:rsid w:val="00837CA8"/>
    <w:rsid w:val="00837D10"/>
    <w:rsid w:val="00837D73"/>
    <w:rsid w:val="00837D81"/>
    <w:rsid w:val="00837D82"/>
    <w:rsid w:val="00837DA6"/>
    <w:rsid w:val="00837DB8"/>
    <w:rsid w:val="00837DF2"/>
    <w:rsid w:val="00837E14"/>
    <w:rsid w:val="00837E22"/>
    <w:rsid w:val="00837E3C"/>
    <w:rsid w:val="00837E7A"/>
    <w:rsid w:val="00837F1E"/>
    <w:rsid w:val="00837F2D"/>
    <w:rsid w:val="00837F41"/>
    <w:rsid w:val="0084003F"/>
    <w:rsid w:val="00840068"/>
    <w:rsid w:val="00840070"/>
    <w:rsid w:val="0084007E"/>
    <w:rsid w:val="00840090"/>
    <w:rsid w:val="008400BC"/>
    <w:rsid w:val="00840219"/>
    <w:rsid w:val="00840238"/>
    <w:rsid w:val="0084025D"/>
    <w:rsid w:val="0084029F"/>
    <w:rsid w:val="008402AC"/>
    <w:rsid w:val="00840391"/>
    <w:rsid w:val="008403A7"/>
    <w:rsid w:val="008403B3"/>
    <w:rsid w:val="008403C9"/>
    <w:rsid w:val="008403ED"/>
    <w:rsid w:val="0084045C"/>
    <w:rsid w:val="00840463"/>
    <w:rsid w:val="00840498"/>
    <w:rsid w:val="008404A1"/>
    <w:rsid w:val="00840533"/>
    <w:rsid w:val="00840549"/>
    <w:rsid w:val="00840583"/>
    <w:rsid w:val="008405A3"/>
    <w:rsid w:val="008405AF"/>
    <w:rsid w:val="008405C1"/>
    <w:rsid w:val="0084062A"/>
    <w:rsid w:val="00840654"/>
    <w:rsid w:val="00840659"/>
    <w:rsid w:val="008406A0"/>
    <w:rsid w:val="0084070E"/>
    <w:rsid w:val="0084072F"/>
    <w:rsid w:val="0084076F"/>
    <w:rsid w:val="00840792"/>
    <w:rsid w:val="008407ED"/>
    <w:rsid w:val="00840808"/>
    <w:rsid w:val="00840809"/>
    <w:rsid w:val="0084080B"/>
    <w:rsid w:val="0084089F"/>
    <w:rsid w:val="008408BE"/>
    <w:rsid w:val="008408C4"/>
    <w:rsid w:val="008408E4"/>
    <w:rsid w:val="008408F2"/>
    <w:rsid w:val="00840969"/>
    <w:rsid w:val="00840AAF"/>
    <w:rsid w:val="00840AD7"/>
    <w:rsid w:val="00840B1C"/>
    <w:rsid w:val="00840B1E"/>
    <w:rsid w:val="00840B23"/>
    <w:rsid w:val="00840B30"/>
    <w:rsid w:val="00840B3F"/>
    <w:rsid w:val="00840B60"/>
    <w:rsid w:val="00840B6D"/>
    <w:rsid w:val="00840B72"/>
    <w:rsid w:val="00840B9C"/>
    <w:rsid w:val="00840BB0"/>
    <w:rsid w:val="00840BBB"/>
    <w:rsid w:val="00840C3B"/>
    <w:rsid w:val="00840C3E"/>
    <w:rsid w:val="00840C45"/>
    <w:rsid w:val="00840CBF"/>
    <w:rsid w:val="00840CD9"/>
    <w:rsid w:val="00840D9C"/>
    <w:rsid w:val="00840DF9"/>
    <w:rsid w:val="00840E0C"/>
    <w:rsid w:val="00840E4B"/>
    <w:rsid w:val="00840E8A"/>
    <w:rsid w:val="00840E9C"/>
    <w:rsid w:val="00840EA3"/>
    <w:rsid w:val="00840EA8"/>
    <w:rsid w:val="00840EAA"/>
    <w:rsid w:val="00840EB1"/>
    <w:rsid w:val="00840EBE"/>
    <w:rsid w:val="00840EC0"/>
    <w:rsid w:val="00840EC2"/>
    <w:rsid w:val="00840F1B"/>
    <w:rsid w:val="00840FA0"/>
    <w:rsid w:val="00840FA6"/>
    <w:rsid w:val="00840FAA"/>
    <w:rsid w:val="00840FBC"/>
    <w:rsid w:val="00841011"/>
    <w:rsid w:val="00841030"/>
    <w:rsid w:val="0084107A"/>
    <w:rsid w:val="00841096"/>
    <w:rsid w:val="008410C3"/>
    <w:rsid w:val="008410F2"/>
    <w:rsid w:val="008410FC"/>
    <w:rsid w:val="00841109"/>
    <w:rsid w:val="00841127"/>
    <w:rsid w:val="008411CC"/>
    <w:rsid w:val="008411F2"/>
    <w:rsid w:val="0084123D"/>
    <w:rsid w:val="00841263"/>
    <w:rsid w:val="0084127C"/>
    <w:rsid w:val="008412EC"/>
    <w:rsid w:val="00841355"/>
    <w:rsid w:val="0084140C"/>
    <w:rsid w:val="00841410"/>
    <w:rsid w:val="0084143D"/>
    <w:rsid w:val="00841442"/>
    <w:rsid w:val="0084144F"/>
    <w:rsid w:val="008414BA"/>
    <w:rsid w:val="00841547"/>
    <w:rsid w:val="00841559"/>
    <w:rsid w:val="00841579"/>
    <w:rsid w:val="008415D5"/>
    <w:rsid w:val="0084160F"/>
    <w:rsid w:val="0084163D"/>
    <w:rsid w:val="0084164D"/>
    <w:rsid w:val="00841669"/>
    <w:rsid w:val="00841690"/>
    <w:rsid w:val="00841692"/>
    <w:rsid w:val="008416C7"/>
    <w:rsid w:val="008416E8"/>
    <w:rsid w:val="00841700"/>
    <w:rsid w:val="00841740"/>
    <w:rsid w:val="00841741"/>
    <w:rsid w:val="0084174F"/>
    <w:rsid w:val="00841768"/>
    <w:rsid w:val="0084176E"/>
    <w:rsid w:val="00841816"/>
    <w:rsid w:val="00841845"/>
    <w:rsid w:val="00841863"/>
    <w:rsid w:val="00841869"/>
    <w:rsid w:val="008418F0"/>
    <w:rsid w:val="00841913"/>
    <w:rsid w:val="0084193A"/>
    <w:rsid w:val="008419BA"/>
    <w:rsid w:val="00841A12"/>
    <w:rsid w:val="00841AF1"/>
    <w:rsid w:val="00841B2A"/>
    <w:rsid w:val="00841B53"/>
    <w:rsid w:val="00841B67"/>
    <w:rsid w:val="00841BA3"/>
    <w:rsid w:val="00841BEF"/>
    <w:rsid w:val="00841C5A"/>
    <w:rsid w:val="00841C5C"/>
    <w:rsid w:val="00841C5D"/>
    <w:rsid w:val="00841C6A"/>
    <w:rsid w:val="00841D0B"/>
    <w:rsid w:val="00841D65"/>
    <w:rsid w:val="00841D6F"/>
    <w:rsid w:val="00841D76"/>
    <w:rsid w:val="00841D8F"/>
    <w:rsid w:val="00841DE6"/>
    <w:rsid w:val="00841E9F"/>
    <w:rsid w:val="00841EF3"/>
    <w:rsid w:val="00841FDB"/>
    <w:rsid w:val="0084200A"/>
    <w:rsid w:val="0084201F"/>
    <w:rsid w:val="00842023"/>
    <w:rsid w:val="00842073"/>
    <w:rsid w:val="00842080"/>
    <w:rsid w:val="008420A5"/>
    <w:rsid w:val="008420E0"/>
    <w:rsid w:val="008420EC"/>
    <w:rsid w:val="008420F4"/>
    <w:rsid w:val="00842158"/>
    <w:rsid w:val="00842196"/>
    <w:rsid w:val="008421C2"/>
    <w:rsid w:val="008421CC"/>
    <w:rsid w:val="008421ED"/>
    <w:rsid w:val="00842218"/>
    <w:rsid w:val="00842221"/>
    <w:rsid w:val="00842222"/>
    <w:rsid w:val="0084227B"/>
    <w:rsid w:val="008422D3"/>
    <w:rsid w:val="00842301"/>
    <w:rsid w:val="0084241C"/>
    <w:rsid w:val="00842432"/>
    <w:rsid w:val="00842495"/>
    <w:rsid w:val="008424F2"/>
    <w:rsid w:val="008424FB"/>
    <w:rsid w:val="00842501"/>
    <w:rsid w:val="00842517"/>
    <w:rsid w:val="0084253B"/>
    <w:rsid w:val="00842554"/>
    <w:rsid w:val="00842567"/>
    <w:rsid w:val="008425CD"/>
    <w:rsid w:val="008425FC"/>
    <w:rsid w:val="0084261A"/>
    <w:rsid w:val="008426AA"/>
    <w:rsid w:val="008426CD"/>
    <w:rsid w:val="0084271C"/>
    <w:rsid w:val="00842730"/>
    <w:rsid w:val="0084274F"/>
    <w:rsid w:val="008427B4"/>
    <w:rsid w:val="008427DF"/>
    <w:rsid w:val="008427E9"/>
    <w:rsid w:val="0084280F"/>
    <w:rsid w:val="00842850"/>
    <w:rsid w:val="008428A1"/>
    <w:rsid w:val="008428AC"/>
    <w:rsid w:val="008428BD"/>
    <w:rsid w:val="008428D8"/>
    <w:rsid w:val="0084291E"/>
    <w:rsid w:val="008429F2"/>
    <w:rsid w:val="00842A37"/>
    <w:rsid w:val="00842A52"/>
    <w:rsid w:val="00842AB5"/>
    <w:rsid w:val="00842ACD"/>
    <w:rsid w:val="00842B4F"/>
    <w:rsid w:val="00842B7B"/>
    <w:rsid w:val="00842B93"/>
    <w:rsid w:val="00842B99"/>
    <w:rsid w:val="00842BDC"/>
    <w:rsid w:val="00842BED"/>
    <w:rsid w:val="00842C2D"/>
    <w:rsid w:val="00842C34"/>
    <w:rsid w:val="00842C6D"/>
    <w:rsid w:val="00842C88"/>
    <w:rsid w:val="00842C9E"/>
    <w:rsid w:val="00842CF7"/>
    <w:rsid w:val="00842D1C"/>
    <w:rsid w:val="00842DA4"/>
    <w:rsid w:val="00842DBF"/>
    <w:rsid w:val="00842DC5"/>
    <w:rsid w:val="00842DEA"/>
    <w:rsid w:val="00842E09"/>
    <w:rsid w:val="00842E75"/>
    <w:rsid w:val="00842E91"/>
    <w:rsid w:val="00842E97"/>
    <w:rsid w:val="00842EA1"/>
    <w:rsid w:val="00842EA4"/>
    <w:rsid w:val="00842F19"/>
    <w:rsid w:val="00842FCF"/>
    <w:rsid w:val="00843011"/>
    <w:rsid w:val="00843015"/>
    <w:rsid w:val="0084307C"/>
    <w:rsid w:val="008430A1"/>
    <w:rsid w:val="008430A9"/>
    <w:rsid w:val="008430B7"/>
    <w:rsid w:val="008430CD"/>
    <w:rsid w:val="008430F5"/>
    <w:rsid w:val="00843113"/>
    <w:rsid w:val="0084311D"/>
    <w:rsid w:val="00843164"/>
    <w:rsid w:val="00843166"/>
    <w:rsid w:val="00843198"/>
    <w:rsid w:val="008431AB"/>
    <w:rsid w:val="008431B1"/>
    <w:rsid w:val="008431D4"/>
    <w:rsid w:val="008431F0"/>
    <w:rsid w:val="00843210"/>
    <w:rsid w:val="00843245"/>
    <w:rsid w:val="0084324D"/>
    <w:rsid w:val="0084328C"/>
    <w:rsid w:val="008432A7"/>
    <w:rsid w:val="008432C4"/>
    <w:rsid w:val="008432DA"/>
    <w:rsid w:val="00843331"/>
    <w:rsid w:val="0084333F"/>
    <w:rsid w:val="008433A0"/>
    <w:rsid w:val="008433DB"/>
    <w:rsid w:val="00843409"/>
    <w:rsid w:val="0084341F"/>
    <w:rsid w:val="00843461"/>
    <w:rsid w:val="0084346E"/>
    <w:rsid w:val="00843486"/>
    <w:rsid w:val="00843487"/>
    <w:rsid w:val="00843573"/>
    <w:rsid w:val="0084357F"/>
    <w:rsid w:val="008435A3"/>
    <w:rsid w:val="008435C6"/>
    <w:rsid w:val="008435E9"/>
    <w:rsid w:val="00843689"/>
    <w:rsid w:val="0084370D"/>
    <w:rsid w:val="00843728"/>
    <w:rsid w:val="0084373E"/>
    <w:rsid w:val="00843751"/>
    <w:rsid w:val="0084375B"/>
    <w:rsid w:val="0084379D"/>
    <w:rsid w:val="008437A4"/>
    <w:rsid w:val="008437A6"/>
    <w:rsid w:val="008437C4"/>
    <w:rsid w:val="00843816"/>
    <w:rsid w:val="00843894"/>
    <w:rsid w:val="0084389B"/>
    <w:rsid w:val="008438EB"/>
    <w:rsid w:val="008438FF"/>
    <w:rsid w:val="00843911"/>
    <w:rsid w:val="0084393E"/>
    <w:rsid w:val="0084395F"/>
    <w:rsid w:val="00843978"/>
    <w:rsid w:val="00843A36"/>
    <w:rsid w:val="00843A60"/>
    <w:rsid w:val="00843ABB"/>
    <w:rsid w:val="00843AE9"/>
    <w:rsid w:val="00843B0D"/>
    <w:rsid w:val="00843B40"/>
    <w:rsid w:val="00843B49"/>
    <w:rsid w:val="00843B88"/>
    <w:rsid w:val="00843BB1"/>
    <w:rsid w:val="00843BE7"/>
    <w:rsid w:val="00843BEE"/>
    <w:rsid w:val="00843D10"/>
    <w:rsid w:val="00843DB3"/>
    <w:rsid w:val="00843DBC"/>
    <w:rsid w:val="00843E32"/>
    <w:rsid w:val="00843E33"/>
    <w:rsid w:val="00843EF0"/>
    <w:rsid w:val="00843F5D"/>
    <w:rsid w:val="00843F8B"/>
    <w:rsid w:val="00843F94"/>
    <w:rsid w:val="00843FAE"/>
    <w:rsid w:val="00843FFD"/>
    <w:rsid w:val="00844005"/>
    <w:rsid w:val="0084402F"/>
    <w:rsid w:val="00844036"/>
    <w:rsid w:val="00844043"/>
    <w:rsid w:val="00844047"/>
    <w:rsid w:val="00844082"/>
    <w:rsid w:val="008440B2"/>
    <w:rsid w:val="008440EC"/>
    <w:rsid w:val="008441E6"/>
    <w:rsid w:val="00844295"/>
    <w:rsid w:val="008442CA"/>
    <w:rsid w:val="008442E9"/>
    <w:rsid w:val="008442FA"/>
    <w:rsid w:val="0084431F"/>
    <w:rsid w:val="00844331"/>
    <w:rsid w:val="00844357"/>
    <w:rsid w:val="0084437C"/>
    <w:rsid w:val="00844380"/>
    <w:rsid w:val="008443BB"/>
    <w:rsid w:val="008443E6"/>
    <w:rsid w:val="00844472"/>
    <w:rsid w:val="00844473"/>
    <w:rsid w:val="008444A2"/>
    <w:rsid w:val="008444A8"/>
    <w:rsid w:val="008444E3"/>
    <w:rsid w:val="008444FA"/>
    <w:rsid w:val="00844505"/>
    <w:rsid w:val="008445B0"/>
    <w:rsid w:val="008445D9"/>
    <w:rsid w:val="008445E0"/>
    <w:rsid w:val="008445E1"/>
    <w:rsid w:val="00844672"/>
    <w:rsid w:val="008446B3"/>
    <w:rsid w:val="008446B5"/>
    <w:rsid w:val="00844710"/>
    <w:rsid w:val="00844764"/>
    <w:rsid w:val="00844794"/>
    <w:rsid w:val="008447D5"/>
    <w:rsid w:val="00844821"/>
    <w:rsid w:val="00844882"/>
    <w:rsid w:val="008448E0"/>
    <w:rsid w:val="0084491D"/>
    <w:rsid w:val="00844959"/>
    <w:rsid w:val="0084496E"/>
    <w:rsid w:val="00844981"/>
    <w:rsid w:val="0084498A"/>
    <w:rsid w:val="0084498E"/>
    <w:rsid w:val="008449EB"/>
    <w:rsid w:val="00844A40"/>
    <w:rsid w:val="00844A5A"/>
    <w:rsid w:val="00844A9E"/>
    <w:rsid w:val="00844AA1"/>
    <w:rsid w:val="00844AE2"/>
    <w:rsid w:val="00844AE3"/>
    <w:rsid w:val="00844B0C"/>
    <w:rsid w:val="00844B32"/>
    <w:rsid w:val="00844B3E"/>
    <w:rsid w:val="00844BC4"/>
    <w:rsid w:val="00844BD1"/>
    <w:rsid w:val="00844BD2"/>
    <w:rsid w:val="00844C70"/>
    <w:rsid w:val="00844CAD"/>
    <w:rsid w:val="00844CAE"/>
    <w:rsid w:val="00844CFC"/>
    <w:rsid w:val="00844D0C"/>
    <w:rsid w:val="00844D7E"/>
    <w:rsid w:val="00844D9A"/>
    <w:rsid w:val="00844DF1"/>
    <w:rsid w:val="00844DFC"/>
    <w:rsid w:val="00844E03"/>
    <w:rsid w:val="00844E41"/>
    <w:rsid w:val="00844E46"/>
    <w:rsid w:val="00844E63"/>
    <w:rsid w:val="00844E77"/>
    <w:rsid w:val="00844EFB"/>
    <w:rsid w:val="00844F00"/>
    <w:rsid w:val="00844F1E"/>
    <w:rsid w:val="00844F39"/>
    <w:rsid w:val="00844F5E"/>
    <w:rsid w:val="00844F7D"/>
    <w:rsid w:val="00844F8E"/>
    <w:rsid w:val="00845011"/>
    <w:rsid w:val="00845063"/>
    <w:rsid w:val="0084507D"/>
    <w:rsid w:val="008450E4"/>
    <w:rsid w:val="008450FB"/>
    <w:rsid w:val="00845101"/>
    <w:rsid w:val="00845116"/>
    <w:rsid w:val="0084515A"/>
    <w:rsid w:val="0084516C"/>
    <w:rsid w:val="00845181"/>
    <w:rsid w:val="008451AA"/>
    <w:rsid w:val="008451AE"/>
    <w:rsid w:val="008451C1"/>
    <w:rsid w:val="00845216"/>
    <w:rsid w:val="008452FE"/>
    <w:rsid w:val="00845377"/>
    <w:rsid w:val="00845380"/>
    <w:rsid w:val="008453A9"/>
    <w:rsid w:val="008453B3"/>
    <w:rsid w:val="00845423"/>
    <w:rsid w:val="0084545B"/>
    <w:rsid w:val="00845461"/>
    <w:rsid w:val="008454BA"/>
    <w:rsid w:val="00845520"/>
    <w:rsid w:val="00845582"/>
    <w:rsid w:val="008455B3"/>
    <w:rsid w:val="008455E5"/>
    <w:rsid w:val="008456B9"/>
    <w:rsid w:val="008456C2"/>
    <w:rsid w:val="008456C6"/>
    <w:rsid w:val="008456DA"/>
    <w:rsid w:val="00845756"/>
    <w:rsid w:val="00845758"/>
    <w:rsid w:val="00845764"/>
    <w:rsid w:val="00845777"/>
    <w:rsid w:val="0084584B"/>
    <w:rsid w:val="0084587E"/>
    <w:rsid w:val="00845894"/>
    <w:rsid w:val="008458EE"/>
    <w:rsid w:val="00845908"/>
    <w:rsid w:val="0084590A"/>
    <w:rsid w:val="0084591E"/>
    <w:rsid w:val="00845978"/>
    <w:rsid w:val="008459B9"/>
    <w:rsid w:val="008459E8"/>
    <w:rsid w:val="00845A1D"/>
    <w:rsid w:val="00845A32"/>
    <w:rsid w:val="00845A54"/>
    <w:rsid w:val="00845A80"/>
    <w:rsid w:val="00845AC7"/>
    <w:rsid w:val="00845ADA"/>
    <w:rsid w:val="00845B00"/>
    <w:rsid w:val="00845B4F"/>
    <w:rsid w:val="00845BDD"/>
    <w:rsid w:val="00845C04"/>
    <w:rsid w:val="00845C31"/>
    <w:rsid w:val="00845C49"/>
    <w:rsid w:val="00845CA7"/>
    <w:rsid w:val="00845CBA"/>
    <w:rsid w:val="00845CDC"/>
    <w:rsid w:val="00845CEA"/>
    <w:rsid w:val="00845D4F"/>
    <w:rsid w:val="00845D5C"/>
    <w:rsid w:val="00845D62"/>
    <w:rsid w:val="00845DB2"/>
    <w:rsid w:val="00845DB3"/>
    <w:rsid w:val="00845DC6"/>
    <w:rsid w:val="00845DE1"/>
    <w:rsid w:val="00845E04"/>
    <w:rsid w:val="00845E08"/>
    <w:rsid w:val="00845E17"/>
    <w:rsid w:val="00845E19"/>
    <w:rsid w:val="00845E2E"/>
    <w:rsid w:val="00845E69"/>
    <w:rsid w:val="00845E84"/>
    <w:rsid w:val="00845E89"/>
    <w:rsid w:val="00845F63"/>
    <w:rsid w:val="008460BD"/>
    <w:rsid w:val="008460DA"/>
    <w:rsid w:val="008460EE"/>
    <w:rsid w:val="00846141"/>
    <w:rsid w:val="008461BA"/>
    <w:rsid w:val="008461D7"/>
    <w:rsid w:val="00846200"/>
    <w:rsid w:val="00846212"/>
    <w:rsid w:val="00846271"/>
    <w:rsid w:val="00846295"/>
    <w:rsid w:val="008462DD"/>
    <w:rsid w:val="00846310"/>
    <w:rsid w:val="0084634B"/>
    <w:rsid w:val="008463A2"/>
    <w:rsid w:val="008463CD"/>
    <w:rsid w:val="0084643C"/>
    <w:rsid w:val="00846540"/>
    <w:rsid w:val="008465D4"/>
    <w:rsid w:val="0084663E"/>
    <w:rsid w:val="00846709"/>
    <w:rsid w:val="0084671D"/>
    <w:rsid w:val="00846750"/>
    <w:rsid w:val="00846758"/>
    <w:rsid w:val="00846765"/>
    <w:rsid w:val="00846767"/>
    <w:rsid w:val="00846785"/>
    <w:rsid w:val="00846789"/>
    <w:rsid w:val="008467F4"/>
    <w:rsid w:val="00846820"/>
    <w:rsid w:val="00846825"/>
    <w:rsid w:val="00846829"/>
    <w:rsid w:val="008468C0"/>
    <w:rsid w:val="008468C4"/>
    <w:rsid w:val="008468E4"/>
    <w:rsid w:val="0084697D"/>
    <w:rsid w:val="008469BB"/>
    <w:rsid w:val="00846A20"/>
    <w:rsid w:val="00846A26"/>
    <w:rsid w:val="00846A5D"/>
    <w:rsid w:val="00846A82"/>
    <w:rsid w:val="00846ACB"/>
    <w:rsid w:val="00846AFA"/>
    <w:rsid w:val="00846B8D"/>
    <w:rsid w:val="00846BAD"/>
    <w:rsid w:val="00846BB3"/>
    <w:rsid w:val="00846BE8"/>
    <w:rsid w:val="00846BF1"/>
    <w:rsid w:val="00846BF6"/>
    <w:rsid w:val="00846C2D"/>
    <w:rsid w:val="00846C95"/>
    <w:rsid w:val="00846CB0"/>
    <w:rsid w:val="00846CD5"/>
    <w:rsid w:val="00846D12"/>
    <w:rsid w:val="00846D19"/>
    <w:rsid w:val="00846D5A"/>
    <w:rsid w:val="00846DF9"/>
    <w:rsid w:val="00846DFE"/>
    <w:rsid w:val="00846E0E"/>
    <w:rsid w:val="00846E45"/>
    <w:rsid w:val="00846E73"/>
    <w:rsid w:val="00846E7A"/>
    <w:rsid w:val="00846EE6"/>
    <w:rsid w:val="00846F3C"/>
    <w:rsid w:val="00846F8A"/>
    <w:rsid w:val="00846F91"/>
    <w:rsid w:val="00846F9E"/>
    <w:rsid w:val="00846F9F"/>
    <w:rsid w:val="00846FA5"/>
    <w:rsid w:val="00846FC0"/>
    <w:rsid w:val="00847004"/>
    <w:rsid w:val="00847047"/>
    <w:rsid w:val="00847079"/>
    <w:rsid w:val="0084707C"/>
    <w:rsid w:val="008470EC"/>
    <w:rsid w:val="00847130"/>
    <w:rsid w:val="0084714D"/>
    <w:rsid w:val="00847183"/>
    <w:rsid w:val="00847187"/>
    <w:rsid w:val="00847196"/>
    <w:rsid w:val="008471AE"/>
    <w:rsid w:val="00847214"/>
    <w:rsid w:val="0084722B"/>
    <w:rsid w:val="0084734E"/>
    <w:rsid w:val="00847356"/>
    <w:rsid w:val="0084736D"/>
    <w:rsid w:val="00847436"/>
    <w:rsid w:val="00847442"/>
    <w:rsid w:val="00847453"/>
    <w:rsid w:val="00847458"/>
    <w:rsid w:val="00847464"/>
    <w:rsid w:val="008474C7"/>
    <w:rsid w:val="008474E2"/>
    <w:rsid w:val="00847507"/>
    <w:rsid w:val="00847545"/>
    <w:rsid w:val="00847563"/>
    <w:rsid w:val="00847569"/>
    <w:rsid w:val="00847575"/>
    <w:rsid w:val="00847587"/>
    <w:rsid w:val="008475A5"/>
    <w:rsid w:val="008475F7"/>
    <w:rsid w:val="008475FE"/>
    <w:rsid w:val="00847693"/>
    <w:rsid w:val="008476AB"/>
    <w:rsid w:val="008476B0"/>
    <w:rsid w:val="008476FA"/>
    <w:rsid w:val="00847703"/>
    <w:rsid w:val="00847777"/>
    <w:rsid w:val="008477C1"/>
    <w:rsid w:val="008477C6"/>
    <w:rsid w:val="008477E0"/>
    <w:rsid w:val="0084780B"/>
    <w:rsid w:val="0084788F"/>
    <w:rsid w:val="008478C9"/>
    <w:rsid w:val="008478E0"/>
    <w:rsid w:val="0084798E"/>
    <w:rsid w:val="008479CA"/>
    <w:rsid w:val="00847A00"/>
    <w:rsid w:val="00847A02"/>
    <w:rsid w:val="00847A16"/>
    <w:rsid w:val="00847A39"/>
    <w:rsid w:val="00847AF4"/>
    <w:rsid w:val="00847B56"/>
    <w:rsid w:val="00847B6F"/>
    <w:rsid w:val="00847BB4"/>
    <w:rsid w:val="00847BFC"/>
    <w:rsid w:val="00847C16"/>
    <w:rsid w:val="00847C22"/>
    <w:rsid w:val="00847C3F"/>
    <w:rsid w:val="00847C56"/>
    <w:rsid w:val="00847C94"/>
    <w:rsid w:val="00847CCE"/>
    <w:rsid w:val="00847CE8"/>
    <w:rsid w:val="00847CF7"/>
    <w:rsid w:val="00847D3C"/>
    <w:rsid w:val="00847DB7"/>
    <w:rsid w:val="00847DF0"/>
    <w:rsid w:val="00847DF3"/>
    <w:rsid w:val="00847E06"/>
    <w:rsid w:val="00847E12"/>
    <w:rsid w:val="00847E46"/>
    <w:rsid w:val="00847E4B"/>
    <w:rsid w:val="00847E6B"/>
    <w:rsid w:val="00847F16"/>
    <w:rsid w:val="00847F17"/>
    <w:rsid w:val="00847F24"/>
    <w:rsid w:val="00847F2A"/>
    <w:rsid w:val="00847FD6"/>
    <w:rsid w:val="00847FE4"/>
    <w:rsid w:val="00850004"/>
    <w:rsid w:val="0085001A"/>
    <w:rsid w:val="00850074"/>
    <w:rsid w:val="008500DE"/>
    <w:rsid w:val="00850160"/>
    <w:rsid w:val="008501A6"/>
    <w:rsid w:val="008501AC"/>
    <w:rsid w:val="008501D3"/>
    <w:rsid w:val="008501F1"/>
    <w:rsid w:val="00850202"/>
    <w:rsid w:val="00850253"/>
    <w:rsid w:val="00850268"/>
    <w:rsid w:val="008502CE"/>
    <w:rsid w:val="008502EF"/>
    <w:rsid w:val="008502FD"/>
    <w:rsid w:val="00850315"/>
    <w:rsid w:val="00850327"/>
    <w:rsid w:val="0085032E"/>
    <w:rsid w:val="00850341"/>
    <w:rsid w:val="00850372"/>
    <w:rsid w:val="008503DF"/>
    <w:rsid w:val="00850409"/>
    <w:rsid w:val="00850419"/>
    <w:rsid w:val="00850436"/>
    <w:rsid w:val="008504EE"/>
    <w:rsid w:val="00850515"/>
    <w:rsid w:val="008505F8"/>
    <w:rsid w:val="00850668"/>
    <w:rsid w:val="00850688"/>
    <w:rsid w:val="00850694"/>
    <w:rsid w:val="008506BB"/>
    <w:rsid w:val="008506BC"/>
    <w:rsid w:val="00850712"/>
    <w:rsid w:val="00850732"/>
    <w:rsid w:val="00850746"/>
    <w:rsid w:val="008507BD"/>
    <w:rsid w:val="008507F6"/>
    <w:rsid w:val="00850862"/>
    <w:rsid w:val="00850880"/>
    <w:rsid w:val="008508B7"/>
    <w:rsid w:val="008508DE"/>
    <w:rsid w:val="008508FE"/>
    <w:rsid w:val="00850978"/>
    <w:rsid w:val="00850989"/>
    <w:rsid w:val="008509E4"/>
    <w:rsid w:val="008509F6"/>
    <w:rsid w:val="00850A13"/>
    <w:rsid w:val="00850A39"/>
    <w:rsid w:val="00850A3D"/>
    <w:rsid w:val="00850ADB"/>
    <w:rsid w:val="00850B03"/>
    <w:rsid w:val="00850B88"/>
    <w:rsid w:val="00850B8D"/>
    <w:rsid w:val="00850B9A"/>
    <w:rsid w:val="00850BA5"/>
    <w:rsid w:val="00850BAA"/>
    <w:rsid w:val="00850BAC"/>
    <w:rsid w:val="00850C0B"/>
    <w:rsid w:val="00850C2F"/>
    <w:rsid w:val="00850C93"/>
    <w:rsid w:val="00850D2A"/>
    <w:rsid w:val="00850D3E"/>
    <w:rsid w:val="00850D56"/>
    <w:rsid w:val="00850D60"/>
    <w:rsid w:val="00850D63"/>
    <w:rsid w:val="00850DA6"/>
    <w:rsid w:val="00850DC7"/>
    <w:rsid w:val="00850DE4"/>
    <w:rsid w:val="00850E07"/>
    <w:rsid w:val="00850E11"/>
    <w:rsid w:val="00850E30"/>
    <w:rsid w:val="00850E67"/>
    <w:rsid w:val="00850EA9"/>
    <w:rsid w:val="00850F07"/>
    <w:rsid w:val="00850F0F"/>
    <w:rsid w:val="00850F57"/>
    <w:rsid w:val="00850F71"/>
    <w:rsid w:val="00850F72"/>
    <w:rsid w:val="00850F7D"/>
    <w:rsid w:val="00850FBD"/>
    <w:rsid w:val="00850FD6"/>
    <w:rsid w:val="00851075"/>
    <w:rsid w:val="008510AE"/>
    <w:rsid w:val="008510B9"/>
    <w:rsid w:val="008510C4"/>
    <w:rsid w:val="008510C9"/>
    <w:rsid w:val="00851130"/>
    <w:rsid w:val="0085117E"/>
    <w:rsid w:val="008511D1"/>
    <w:rsid w:val="008511D6"/>
    <w:rsid w:val="008511D8"/>
    <w:rsid w:val="008511E9"/>
    <w:rsid w:val="008511EC"/>
    <w:rsid w:val="008512B9"/>
    <w:rsid w:val="008512C6"/>
    <w:rsid w:val="008512EA"/>
    <w:rsid w:val="00851326"/>
    <w:rsid w:val="0085132C"/>
    <w:rsid w:val="008513AD"/>
    <w:rsid w:val="00851458"/>
    <w:rsid w:val="008514AC"/>
    <w:rsid w:val="008514C1"/>
    <w:rsid w:val="0085150A"/>
    <w:rsid w:val="00851517"/>
    <w:rsid w:val="00851520"/>
    <w:rsid w:val="0085152E"/>
    <w:rsid w:val="0085153A"/>
    <w:rsid w:val="00851563"/>
    <w:rsid w:val="00851619"/>
    <w:rsid w:val="00851655"/>
    <w:rsid w:val="00851685"/>
    <w:rsid w:val="0085168B"/>
    <w:rsid w:val="008516D2"/>
    <w:rsid w:val="008516F9"/>
    <w:rsid w:val="0085173C"/>
    <w:rsid w:val="00851742"/>
    <w:rsid w:val="008517AC"/>
    <w:rsid w:val="00851899"/>
    <w:rsid w:val="00851904"/>
    <w:rsid w:val="008519DB"/>
    <w:rsid w:val="00851A05"/>
    <w:rsid w:val="00851A0A"/>
    <w:rsid w:val="00851A48"/>
    <w:rsid w:val="00851A6A"/>
    <w:rsid w:val="00851A86"/>
    <w:rsid w:val="00851B48"/>
    <w:rsid w:val="00851BD9"/>
    <w:rsid w:val="00851C69"/>
    <w:rsid w:val="00851C7C"/>
    <w:rsid w:val="00851C98"/>
    <w:rsid w:val="00851CF8"/>
    <w:rsid w:val="00851D46"/>
    <w:rsid w:val="00851D84"/>
    <w:rsid w:val="00851D9B"/>
    <w:rsid w:val="00851DA9"/>
    <w:rsid w:val="00851DDB"/>
    <w:rsid w:val="00851E06"/>
    <w:rsid w:val="00851E3C"/>
    <w:rsid w:val="00851E8C"/>
    <w:rsid w:val="00851E9A"/>
    <w:rsid w:val="00851EDC"/>
    <w:rsid w:val="00851F01"/>
    <w:rsid w:val="00851F18"/>
    <w:rsid w:val="00851F76"/>
    <w:rsid w:val="00851FCA"/>
    <w:rsid w:val="00851FF8"/>
    <w:rsid w:val="00852036"/>
    <w:rsid w:val="00852065"/>
    <w:rsid w:val="00852085"/>
    <w:rsid w:val="00852086"/>
    <w:rsid w:val="00852087"/>
    <w:rsid w:val="008520A2"/>
    <w:rsid w:val="008520B1"/>
    <w:rsid w:val="008520CE"/>
    <w:rsid w:val="008520F8"/>
    <w:rsid w:val="008520FF"/>
    <w:rsid w:val="0085212F"/>
    <w:rsid w:val="008521C9"/>
    <w:rsid w:val="00852201"/>
    <w:rsid w:val="00852227"/>
    <w:rsid w:val="0085227B"/>
    <w:rsid w:val="00852310"/>
    <w:rsid w:val="00852321"/>
    <w:rsid w:val="00852351"/>
    <w:rsid w:val="0085236F"/>
    <w:rsid w:val="00852392"/>
    <w:rsid w:val="00852394"/>
    <w:rsid w:val="008523A9"/>
    <w:rsid w:val="008523B3"/>
    <w:rsid w:val="008523D8"/>
    <w:rsid w:val="00852487"/>
    <w:rsid w:val="00852495"/>
    <w:rsid w:val="008524CE"/>
    <w:rsid w:val="008524FC"/>
    <w:rsid w:val="00852518"/>
    <w:rsid w:val="0085254C"/>
    <w:rsid w:val="00852604"/>
    <w:rsid w:val="0085262B"/>
    <w:rsid w:val="00852646"/>
    <w:rsid w:val="00852698"/>
    <w:rsid w:val="008526A4"/>
    <w:rsid w:val="008526BC"/>
    <w:rsid w:val="0085271A"/>
    <w:rsid w:val="0085272D"/>
    <w:rsid w:val="0085273B"/>
    <w:rsid w:val="0085275F"/>
    <w:rsid w:val="008527B2"/>
    <w:rsid w:val="008527DC"/>
    <w:rsid w:val="0085280F"/>
    <w:rsid w:val="00852874"/>
    <w:rsid w:val="00852879"/>
    <w:rsid w:val="00852881"/>
    <w:rsid w:val="0085288A"/>
    <w:rsid w:val="008528A3"/>
    <w:rsid w:val="008528F9"/>
    <w:rsid w:val="00852912"/>
    <w:rsid w:val="00852917"/>
    <w:rsid w:val="00852937"/>
    <w:rsid w:val="00852941"/>
    <w:rsid w:val="0085294F"/>
    <w:rsid w:val="00852953"/>
    <w:rsid w:val="0085295D"/>
    <w:rsid w:val="0085297A"/>
    <w:rsid w:val="00852988"/>
    <w:rsid w:val="00852A09"/>
    <w:rsid w:val="00852A27"/>
    <w:rsid w:val="00852A44"/>
    <w:rsid w:val="00852A70"/>
    <w:rsid w:val="00852A90"/>
    <w:rsid w:val="00852ACD"/>
    <w:rsid w:val="00852B14"/>
    <w:rsid w:val="00852B2A"/>
    <w:rsid w:val="00852B9A"/>
    <w:rsid w:val="00852BAD"/>
    <w:rsid w:val="00852BD4"/>
    <w:rsid w:val="00852C2B"/>
    <w:rsid w:val="00852C6F"/>
    <w:rsid w:val="00852CCD"/>
    <w:rsid w:val="00852CEE"/>
    <w:rsid w:val="00852CFE"/>
    <w:rsid w:val="00852D06"/>
    <w:rsid w:val="00852D4F"/>
    <w:rsid w:val="00852D56"/>
    <w:rsid w:val="00852D60"/>
    <w:rsid w:val="00852D69"/>
    <w:rsid w:val="00852D77"/>
    <w:rsid w:val="00852D84"/>
    <w:rsid w:val="00852DA5"/>
    <w:rsid w:val="00852DBE"/>
    <w:rsid w:val="00852DD3"/>
    <w:rsid w:val="00852DD9"/>
    <w:rsid w:val="00852DEF"/>
    <w:rsid w:val="00852DF1"/>
    <w:rsid w:val="00852DFE"/>
    <w:rsid w:val="00852E11"/>
    <w:rsid w:val="00852E7D"/>
    <w:rsid w:val="00852EBC"/>
    <w:rsid w:val="00852EC7"/>
    <w:rsid w:val="00852F43"/>
    <w:rsid w:val="00852F85"/>
    <w:rsid w:val="00852FB8"/>
    <w:rsid w:val="00852FC6"/>
    <w:rsid w:val="008530C6"/>
    <w:rsid w:val="008530D0"/>
    <w:rsid w:val="00853111"/>
    <w:rsid w:val="00853175"/>
    <w:rsid w:val="0085319F"/>
    <w:rsid w:val="00853235"/>
    <w:rsid w:val="00853273"/>
    <w:rsid w:val="0085329F"/>
    <w:rsid w:val="008532AE"/>
    <w:rsid w:val="008532D5"/>
    <w:rsid w:val="00853304"/>
    <w:rsid w:val="00853374"/>
    <w:rsid w:val="0085337C"/>
    <w:rsid w:val="008533A7"/>
    <w:rsid w:val="008533B5"/>
    <w:rsid w:val="008533CD"/>
    <w:rsid w:val="008533CF"/>
    <w:rsid w:val="00853409"/>
    <w:rsid w:val="0085341B"/>
    <w:rsid w:val="00853425"/>
    <w:rsid w:val="0085342B"/>
    <w:rsid w:val="00853466"/>
    <w:rsid w:val="00853483"/>
    <w:rsid w:val="008534A7"/>
    <w:rsid w:val="008534A8"/>
    <w:rsid w:val="0085352A"/>
    <w:rsid w:val="00853531"/>
    <w:rsid w:val="00853533"/>
    <w:rsid w:val="00853568"/>
    <w:rsid w:val="00853581"/>
    <w:rsid w:val="00853591"/>
    <w:rsid w:val="00853630"/>
    <w:rsid w:val="00853653"/>
    <w:rsid w:val="00853680"/>
    <w:rsid w:val="008536D0"/>
    <w:rsid w:val="0085370E"/>
    <w:rsid w:val="00853761"/>
    <w:rsid w:val="00853784"/>
    <w:rsid w:val="0085378D"/>
    <w:rsid w:val="00853791"/>
    <w:rsid w:val="008537DC"/>
    <w:rsid w:val="00853859"/>
    <w:rsid w:val="00853861"/>
    <w:rsid w:val="00853862"/>
    <w:rsid w:val="008538AA"/>
    <w:rsid w:val="00853934"/>
    <w:rsid w:val="0085393A"/>
    <w:rsid w:val="008539CA"/>
    <w:rsid w:val="008539F3"/>
    <w:rsid w:val="00853A12"/>
    <w:rsid w:val="00853A21"/>
    <w:rsid w:val="00853A2B"/>
    <w:rsid w:val="00853A6D"/>
    <w:rsid w:val="00853A6F"/>
    <w:rsid w:val="00853A84"/>
    <w:rsid w:val="00853AF6"/>
    <w:rsid w:val="00853B1C"/>
    <w:rsid w:val="00853B26"/>
    <w:rsid w:val="00853B62"/>
    <w:rsid w:val="00853BAC"/>
    <w:rsid w:val="00853BFE"/>
    <w:rsid w:val="00853C3D"/>
    <w:rsid w:val="00853C8A"/>
    <w:rsid w:val="00853C8D"/>
    <w:rsid w:val="00853CF6"/>
    <w:rsid w:val="00853D32"/>
    <w:rsid w:val="00853DC8"/>
    <w:rsid w:val="00853E33"/>
    <w:rsid w:val="00853E3C"/>
    <w:rsid w:val="00853E56"/>
    <w:rsid w:val="00853EF2"/>
    <w:rsid w:val="00853F10"/>
    <w:rsid w:val="00853F51"/>
    <w:rsid w:val="00853F97"/>
    <w:rsid w:val="00853FE0"/>
    <w:rsid w:val="00854018"/>
    <w:rsid w:val="0085401F"/>
    <w:rsid w:val="00854020"/>
    <w:rsid w:val="0085402B"/>
    <w:rsid w:val="00854056"/>
    <w:rsid w:val="008540BB"/>
    <w:rsid w:val="00854154"/>
    <w:rsid w:val="008541B3"/>
    <w:rsid w:val="008541C7"/>
    <w:rsid w:val="008541D4"/>
    <w:rsid w:val="00854205"/>
    <w:rsid w:val="00854210"/>
    <w:rsid w:val="00854280"/>
    <w:rsid w:val="008542B7"/>
    <w:rsid w:val="008542D9"/>
    <w:rsid w:val="008542EB"/>
    <w:rsid w:val="0085432F"/>
    <w:rsid w:val="008543CA"/>
    <w:rsid w:val="008543D0"/>
    <w:rsid w:val="008543F0"/>
    <w:rsid w:val="00854404"/>
    <w:rsid w:val="00854449"/>
    <w:rsid w:val="0085446D"/>
    <w:rsid w:val="0085448C"/>
    <w:rsid w:val="0085449A"/>
    <w:rsid w:val="008544C2"/>
    <w:rsid w:val="00854511"/>
    <w:rsid w:val="008545D2"/>
    <w:rsid w:val="00854602"/>
    <w:rsid w:val="0085461A"/>
    <w:rsid w:val="00854641"/>
    <w:rsid w:val="0085464D"/>
    <w:rsid w:val="0085465A"/>
    <w:rsid w:val="008546CB"/>
    <w:rsid w:val="008546E2"/>
    <w:rsid w:val="008546E5"/>
    <w:rsid w:val="00854712"/>
    <w:rsid w:val="00854729"/>
    <w:rsid w:val="0085472C"/>
    <w:rsid w:val="0085477B"/>
    <w:rsid w:val="0085478D"/>
    <w:rsid w:val="008547A1"/>
    <w:rsid w:val="008547EA"/>
    <w:rsid w:val="008547F3"/>
    <w:rsid w:val="008547FB"/>
    <w:rsid w:val="0085480C"/>
    <w:rsid w:val="00854833"/>
    <w:rsid w:val="0085489C"/>
    <w:rsid w:val="008548EA"/>
    <w:rsid w:val="0085490D"/>
    <w:rsid w:val="00854913"/>
    <w:rsid w:val="0085491D"/>
    <w:rsid w:val="00854928"/>
    <w:rsid w:val="00854943"/>
    <w:rsid w:val="00854982"/>
    <w:rsid w:val="008549A8"/>
    <w:rsid w:val="008549B1"/>
    <w:rsid w:val="008549B6"/>
    <w:rsid w:val="008549D4"/>
    <w:rsid w:val="008549D9"/>
    <w:rsid w:val="00854A48"/>
    <w:rsid w:val="00854A49"/>
    <w:rsid w:val="00854A6A"/>
    <w:rsid w:val="00854A76"/>
    <w:rsid w:val="00854AC4"/>
    <w:rsid w:val="00854AF6"/>
    <w:rsid w:val="00854B22"/>
    <w:rsid w:val="00854B53"/>
    <w:rsid w:val="00854B75"/>
    <w:rsid w:val="00854B81"/>
    <w:rsid w:val="00854BA2"/>
    <w:rsid w:val="00854BD0"/>
    <w:rsid w:val="00854BE9"/>
    <w:rsid w:val="00854BFB"/>
    <w:rsid w:val="00854CC7"/>
    <w:rsid w:val="00854CDE"/>
    <w:rsid w:val="00854D88"/>
    <w:rsid w:val="00854DB7"/>
    <w:rsid w:val="00854DC3"/>
    <w:rsid w:val="00854DD5"/>
    <w:rsid w:val="00854DE2"/>
    <w:rsid w:val="00854DF7"/>
    <w:rsid w:val="00854E46"/>
    <w:rsid w:val="00854EC0"/>
    <w:rsid w:val="00854EDF"/>
    <w:rsid w:val="00854F1C"/>
    <w:rsid w:val="00854FC3"/>
    <w:rsid w:val="00854FCA"/>
    <w:rsid w:val="00855033"/>
    <w:rsid w:val="00855045"/>
    <w:rsid w:val="0085509D"/>
    <w:rsid w:val="008550C0"/>
    <w:rsid w:val="008550CD"/>
    <w:rsid w:val="008550F3"/>
    <w:rsid w:val="008550FD"/>
    <w:rsid w:val="00855101"/>
    <w:rsid w:val="00855154"/>
    <w:rsid w:val="0085518E"/>
    <w:rsid w:val="008551D4"/>
    <w:rsid w:val="00855211"/>
    <w:rsid w:val="00855294"/>
    <w:rsid w:val="00855296"/>
    <w:rsid w:val="008552C4"/>
    <w:rsid w:val="00855324"/>
    <w:rsid w:val="00855334"/>
    <w:rsid w:val="00855347"/>
    <w:rsid w:val="0085534D"/>
    <w:rsid w:val="008553E9"/>
    <w:rsid w:val="008553FF"/>
    <w:rsid w:val="0085544B"/>
    <w:rsid w:val="00855489"/>
    <w:rsid w:val="0085549B"/>
    <w:rsid w:val="008554D8"/>
    <w:rsid w:val="008554FA"/>
    <w:rsid w:val="00855539"/>
    <w:rsid w:val="00855576"/>
    <w:rsid w:val="008555E3"/>
    <w:rsid w:val="00855605"/>
    <w:rsid w:val="0085567B"/>
    <w:rsid w:val="00855689"/>
    <w:rsid w:val="008556CF"/>
    <w:rsid w:val="00855706"/>
    <w:rsid w:val="00855715"/>
    <w:rsid w:val="00855764"/>
    <w:rsid w:val="00855777"/>
    <w:rsid w:val="008557A5"/>
    <w:rsid w:val="008557C2"/>
    <w:rsid w:val="0085583C"/>
    <w:rsid w:val="00855879"/>
    <w:rsid w:val="008558CF"/>
    <w:rsid w:val="008558F4"/>
    <w:rsid w:val="0085590C"/>
    <w:rsid w:val="00855932"/>
    <w:rsid w:val="00855965"/>
    <w:rsid w:val="008559A3"/>
    <w:rsid w:val="008559B5"/>
    <w:rsid w:val="008559FC"/>
    <w:rsid w:val="00855AB3"/>
    <w:rsid w:val="00855AE0"/>
    <w:rsid w:val="00855AE6"/>
    <w:rsid w:val="00855B02"/>
    <w:rsid w:val="00855B40"/>
    <w:rsid w:val="00855C26"/>
    <w:rsid w:val="00855C3B"/>
    <w:rsid w:val="00855C41"/>
    <w:rsid w:val="00855C48"/>
    <w:rsid w:val="00855C6F"/>
    <w:rsid w:val="00855C73"/>
    <w:rsid w:val="00855D21"/>
    <w:rsid w:val="00855D23"/>
    <w:rsid w:val="00855D8B"/>
    <w:rsid w:val="00855DA8"/>
    <w:rsid w:val="00855DC1"/>
    <w:rsid w:val="00855DC7"/>
    <w:rsid w:val="00855DEE"/>
    <w:rsid w:val="00855E1F"/>
    <w:rsid w:val="00855E3C"/>
    <w:rsid w:val="00855EB9"/>
    <w:rsid w:val="00855EC6"/>
    <w:rsid w:val="00855F48"/>
    <w:rsid w:val="00855F4A"/>
    <w:rsid w:val="00855F55"/>
    <w:rsid w:val="00855F77"/>
    <w:rsid w:val="00855F7E"/>
    <w:rsid w:val="00855F93"/>
    <w:rsid w:val="00855F9E"/>
    <w:rsid w:val="00856014"/>
    <w:rsid w:val="00856032"/>
    <w:rsid w:val="00856071"/>
    <w:rsid w:val="0085607A"/>
    <w:rsid w:val="008561A7"/>
    <w:rsid w:val="008561AB"/>
    <w:rsid w:val="0085625E"/>
    <w:rsid w:val="00856273"/>
    <w:rsid w:val="0085629D"/>
    <w:rsid w:val="008562E6"/>
    <w:rsid w:val="008562F4"/>
    <w:rsid w:val="00856317"/>
    <w:rsid w:val="0085643D"/>
    <w:rsid w:val="00856444"/>
    <w:rsid w:val="0085647A"/>
    <w:rsid w:val="008564CE"/>
    <w:rsid w:val="008564F1"/>
    <w:rsid w:val="00856573"/>
    <w:rsid w:val="0085659B"/>
    <w:rsid w:val="008565D3"/>
    <w:rsid w:val="008565D9"/>
    <w:rsid w:val="0085663B"/>
    <w:rsid w:val="00856690"/>
    <w:rsid w:val="00856703"/>
    <w:rsid w:val="0085670A"/>
    <w:rsid w:val="00856717"/>
    <w:rsid w:val="008567A3"/>
    <w:rsid w:val="00856810"/>
    <w:rsid w:val="00856837"/>
    <w:rsid w:val="008568F6"/>
    <w:rsid w:val="00856925"/>
    <w:rsid w:val="008569A8"/>
    <w:rsid w:val="008569BA"/>
    <w:rsid w:val="008569CE"/>
    <w:rsid w:val="008569F5"/>
    <w:rsid w:val="00856A74"/>
    <w:rsid w:val="00856A7B"/>
    <w:rsid w:val="00856A8F"/>
    <w:rsid w:val="00856A90"/>
    <w:rsid w:val="00856AA3"/>
    <w:rsid w:val="00856AAB"/>
    <w:rsid w:val="00856ACC"/>
    <w:rsid w:val="00856AD8"/>
    <w:rsid w:val="00856ADC"/>
    <w:rsid w:val="00856B15"/>
    <w:rsid w:val="00856B22"/>
    <w:rsid w:val="00856B87"/>
    <w:rsid w:val="00856BBC"/>
    <w:rsid w:val="00856BE4"/>
    <w:rsid w:val="00856C85"/>
    <w:rsid w:val="00856C97"/>
    <w:rsid w:val="00856CED"/>
    <w:rsid w:val="00856D33"/>
    <w:rsid w:val="00856D70"/>
    <w:rsid w:val="00856E21"/>
    <w:rsid w:val="00856E3B"/>
    <w:rsid w:val="00856E8A"/>
    <w:rsid w:val="00856EC8"/>
    <w:rsid w:val="00856ECB"/>
    <w:rsid w:val="00856EF3"/>
    <w:rsid w:val="00856F72"/>
    <w:rsid w:val="00856F89"/>
    <w:rsid w:val="00856FC0"/>
    <w:rsid w:val="00856FC1"/>
    <w:rsid w:val="00856FEC"/>
    <w:rsid w:val="00856FF2"/>
    <w:rsid w:val="00857044"/>
    <w:rsid w:val="00857069"/>
    <w:rsid w:val="008570B0"/>
    <w:rsid w:val="008570C0"/>
    <w:rsid w:val="00857140"/>
    <w:rsid w:val="00857165"/>
    <w:rsid w:val="0085719E"/>
    <w:rsid w:val="008571C3"/>
    <w:rsid w:val="008571C8"/>
    <w:rsid w:val="008571EB"/>
    <w:rsid w:val="00857211"/>
    <w:rsid w:val="00857224"/>
    <w:rsid w:val="0085722C"/>
    <w:rsid w:val="0085726E"/>
    <w:rsid w:val="008572B7"/>
    <w:rsid w:val="0085732A"/>
    <w:rsid w:val="0085733D"/>
    <w:rsid w:val="00857354"/>
    <w:rsid w:val="00857396"/>
    <w:rsid w:val="008573A2"/>
    <w:rsid w:val="0085743E"/>
    <w:rsid w:val="0085744E"/>
    <w:rsid w:val="008574B4"/>
    <w:rsid w:val="008574DC"/>
    <w:rsid w:val="008574F6"/>
    <w:rsid w:val="00857510"/>
    <w:rsid w:val="00857513"/>
    <w:rsid w:val="0085752C"/>
    <w:rsid w:val="00857574"/>
    <w:rsid w:val="0085757B"/>
    <w:rsid w:val="008575A6"/>
    <w:rsid w:val="008575B8"/>
    <w:rsid w:val="008575FD"/>
    <w:rsid w:val="0085760E"/>
    <w:rsid w:val="00857641"/>
    <w:rsid w:val="00857673"/>
    <w:rsid w:val="0085767E"/>
    <w:rsid w:val="008576D1"/>
    <w:rsid w:val="00857719"/>
    <w:rsid w:val="00857735"/>
    <w:rsid w:val="00857738"/>
    <w:rsid w:val="00857765"/>
    <w:rsid w:val="0085776C"/>
    <w:rsid w:val="00857780"/>
    <w:rsid w:val="00857783"/>
    <w:rsid w:val="008577C7"/>
    <w:rsid w:val="008577ED"/>
    <w:rsid w:val="008577FF"/>
    <w:rsid w:val="0085780C"/>
    <w:rsid w:val="008578A2"/>
    <w:rsid w:val="008578F4"/>
    <w:rsid w:val="00857912"/>
    <w:rsid w:val="0085794E"/>
    <w:rsid w:val="00857966"/>
    <w:rsid w:val="008579A3"/>
    <w:rsid w:val="008579F5"/>
    <w:rsid w:val="00857A21"/>
    <w:rsid w:val="00857B24"/>
    <w:rsid w:val="00857B40"/>
    <w:rsid w:val="00857C3E"/>
    <w:rsid w:val="00857C6E"/>
    <w:rsid w:val="00857CAD"/>
    <w:rsid w:val="00857D35"/>
    <w:rsid w:val="00857D57"/>
    <w:rsid w:val="00857D77"/>
    <w:rsid w:val="00857E17"/>
    <w:rsid w:val="00857E1E"/>
    <w:rsid w:val="00857E6C"/>
    <w:rsid w:val="00857E8A"/>
    <w:rsid w:val="00857E8C"/>
    <w:rsid w:val="00857E8F"/>
    <w:rsid w:val="00857E98"/>
    <w:rsid w:val="00857F0C"/>
    <w:rsid w:val="00857F3A"/>
    <w:rsid w:val="00857F9C"/>
    <w:rsid w:val="00857FCB"/>
    <w:rsid w:val="00857FD2"/>
    <w:rsid w:val="00860042"/>
    <w:rsid w:val="00860082"/>
    <w:rsid w:val="008600B3"/>
    <w:rsid w:val="00860131"/>
    <w:rsid w:val="0086014C"/>
    <w:rsid w:val="00860150"/>
    <w:rsid w:val="008601CE"/>
    <w:rsid w:val="008601F5"/>
    <w:rsid w:val="00860217"/>
    <w:rsid w:val="00860279"/>
    <w:rsid w:val="008602D4"/>
    <w:rsid w:val="0086030C"/>
    <w:rsid w:val="0086031A"/>
    <w:rsid w:val="00860323"/>
    <w:rsid w:val="00860328"/>
    <w:rsid w:val="00860366"/>
    <w:rsid w:val="0086037C"/>
    <w:rsid w:val="008603A1"/>
    <w:rsid w:val="008603D8"/>
    <w:rsid w:val="0086040D"/>
    <w:rsid w:val="00860430"/>
    <w:rsid w:val="00860455"/>
    <w:rsid w:val="00860462"/>
    <w:rsid w:val="00860463"/>
    <w:rsid w:val="00860469"/>
    <w:rsid w:val="008604EC"/>
    <w:rsid w:val="008604F7"/>
    <w:rsid w:val="00860572"/>
    <w:rsid w:val="008605B0"/>
    <w:rsid w:val="008605E9"/>
    <w:rsid w:val="008605FA"/>
    <w:rsid w:val="00860600"/>
    <w:rsid w:val="00860602"/>
    <w:rsid w:val="00860606"/>
    <w:rsid w:val="00860617"/>
    <w:rsid w:val="008606D4"/>
    <w:rsid w:val="008606D5"/>
    <w:rsid w:val="00860762"/>
    <w:rsid w:val="00860777"/>
    <w:rsid w:val="008607CC"/>
    <w:rsid w:val="008607E3"/>
    <w:rsid w:val="00860816"/>
    <w:rsid w:val="0086086D"/>
    <w:rsid w:val="0086089B"/>
    <w:rsid w:val="008608C3"/>
    <w:rsid w:val="00860902"/>
    <w:rsid w:val="0086091A"/>
    <w:rsid w:val="0086092D"/>
    <w:rsid w:val="008609B1"/>
    <w:rsid w:val="008609B8"/>
    <w:rsid w:val="008609D8"/>
    <w:rsid w:val="00860A19"/>
    <w:rsid w:val="00860A28"/>
    <w:rsid w:val="00860A3D"/>
    <w:rsid w:val="00860A55"/>
    <w:rsid w:val="00860AC7"/>
    <w:rsid w:val="00860AE1"/>
    <w:rsid w:val="00860B31"/>
    <w:rsid w:val="00860B41"/>
    <w:rsid w:val="00860B59"/>
    <w:rsid w:val="00860B60"/>
    <w:rsid w:val="00860B63"/>
    <w:rsid w:val="00860B70"/>
    <w:rsid w:val="00860B96"/>
    <w:rsid w:val="00860C46"/>
    <w:rsid w:val="00860C79"/>
    <w:rsid w:val="00860C8A"/>
    <w:rsid w:val="00860CD7"/>
    <w:rsid w:val="00860D1A"/>
    <w:rsid w:val="00860D1E"/>
    <w:rsid w:val="00860D62"/>
    <w:rsid w:val="00860E0D"/>
    <w:rsid w:val="00860E0F"/>
    <w:rsid w:val="00860E56"/>
    <w:rsid w:val="00860E63"/>
    <w:rsid w:val="00860E6F"/>
    <w:rsid w:val="00860E88"/>
    <w:rsid w:val="00860E8F"/>
    <w:rsid w:val="00860EAF"/>
    <w:rsid w:val="00860EB5"/>
    <w:rsid w:val="00860EC7"/>
    <w:rsid w:val="00860F02"/>
    <w:rsid w:val="00860F45"/>
    <w:rsid w:val="00860FB0"/>
    <w:rsid w:val="00860FE6"/>
    <w:rsid w:val="00861002"/>
    <w:rsid w:val="008610A6"/>
    <w:rsid w:val="008610AE"/>
    <w:rsid w:val="008610B3"/>
    <w:rsid w:val="008610C4"/>
    <w:rsid w:val="008610C9"/>
    <w:rsid w:val="008610FC"/>
    <w:rsid w:val="008610FE"/>
    <w:rsid w:val="00861184"/>
    <w:rsid w:val="00861197"/>
    <w:rsid w:val="0086119A"/>
    <w:rsid w:val="008611B2"/>
    <w:rsid w:val="008611DF"/>
    <w:rsid w:val="008611E8"/>
    <w:rsid w:val="0086126E"/>
    <w:rsid w:val="008612E0"/>
    <w:rsid w:val="008612FA"/>
    <w:rsid w:val="00861307"/>
    <w:rsid w:val="00861339"/>
    <w:rsid w:val="0086135F"/>
    <w:rsid w:val="00861391"/>
    <w:rsid w:val="008613DA"/>
    <w:rsid w:val="0086145C"/>
    <w:rsid w:val="00861465"/>
    <w:rsid w:val="00861492"/>
    <w:rsid w:val="008614C5"/>
    <w:rsid w:val="0086150A"/>
    <w:rsid w:val="00861540"/>
    <w:rsid w:val="0086157F"/>
    <w:rsid w:val="008615AA"/>
    <w:rsid w:val="008615B3"/>
    <w:rsid w:val="0086163D"/>
    <w:rsid w:val="0086165C"/>
    <w:rsid w:val="008616F0"/>
    <w:rsid w:val="00861703"/>
    <w:rsid w:val="00861758"/>
    <w:rsid w:val="00861797"/>
    <w:rsid w:val="0086179F"/>
    <w:rsid w:val="008617BF"/>
    <w:rsid w:val="008617EA"/>
    <w:rsid w:val="00861802"/>
    <w:rsid w:val="00861804"/>
    <w:rsid w:val="0086183D"/>
    <w:rsid w:val="0086184F"/>
    <w:rsid w:val="0086186D"/>
    <w:rsid w:val="00861898"/>
    <w:rsid w:val="008618B5"/>
    <w:rsid w:val="008618EC"/>
    <w:rsid w:val="008618F2"/>
    <w:rsid w:val="008618F4"/>
    <w:rsid w:val="008618F6"/>
    <w:rsid w:val="0086192D"/>
    <w:rsid w:val="00861939"/>
    <w:rsid w:val="0086195E"/>
    <w:rsid w:val="00861A2A"/>
    <w:rsid w:val="00861A4C"/>
    <w:rsid w:val="00861A79"/>
    <w:rsid w:val="00861A8E"/>
    <w:rsid w:val="00861ADE"/>
    <w:rsid w:val="00861B43"/>
    <w:rsid w:val="00861C33"/>
    <w:rsid w:val="00861C69"/>
    <w:rsid w:val="00861C93"/>
    <w:rsid w:val="00861C9F"/>
    <w:rsid w:val="00861CCD"/>
    <w:rsid w:val="00861CD8"/>
    <w:rsid w:val="00861CE7"/>
    <w:rsid w:val="00861D01"/>
    <w:rsid w:val="00861D33"/>
    <w:rsid w:val="00861D3C"/>
    <w:rsid w:val="00861D4B"/>
    <w:rsid w:val="00861D67"/>
    <w:rsid w:val="00861D78"/>
    <w:rsid w:val="00861DC1"/>
    <w:rsid w:val="00861DF8"/>
    <w:rsid w:val="00861E05"/>
    <w:rsid w:val="00861E18"/>
    <w:rsid w:val="00861E36"/>
    <w:rsid w:val="00861E5A"/>
    <w:rsid w:val="00861E9E"/>
    <w:rsid w:val="00861ED1"/>
    <w:rsid w:val="00861EFC"/>
    <w:rsid w:val="00861F04"/>
    <w:rsid w:val="00861FD2"/>
    <w:rsid w:val="00862037"/>
    <w:rsid w:val="0086205D"/>
    <w:rsid w:val="00862072"/>
    <w:rsid w:val="0086207B"/>
    <w:rsid w:val="008620AF"/>
    <w:rsid w:val="00862112"/>
    <w:rsid w:val="0086215D"/>
    <w:rsid w:val="00862216"/>
    <w:rsid w:val="008622F2"/>
    <w:rsid w:val="00862349"/>
    <w:rsid w:val="00862388"/>
    <w:rsid w:val="00862392"/>
    <w:rsid w:val="008623B5"/>
    <w:rsid w:val="00862403"/>
    <w:rsid w:val="00862445"/>
    <w:rsid w:val="00862463"/>
    <w:rsid w:val="008624FD"/>
    <w:rsid w:val="00862571"/>
    <w:rsid w:val="00862581"/>
    <w:rsid w:val="008625A8"/>
    <w:rsid w:val="008625B5"/>
    <w:rsid w:val="008625D6"/>
    <w:rsid w:val="00862648"/>
    <w:rsid w:val="00862649"/>
    <w:rsid w:val="008626B6"/>
    <w:rsid w:val="008626D4"/>
    <w:rsid w:val="00862743"/>
    <w:rsid w:val="0086278D"/>
    <w:rsid w:val="008627DC"/>
    <w:rsid w:val="008627E6"/>
    <w:rsid w:val="00862811"/>
    <w:rsid w:val="0086284E"/>
    <w:rsid w:val="008628AE"/>
    <w:rsid w:val="008628D9"/>
    <w:rsid w:val="008628F2"/>
    <w:rsid w:val="008629CA"/>
    <w:rsid w:val="00862A81"/>
    <w:rsid w:val="00862AAD"/>
    <w:rsid w:val="00862AC1"/>
    <w:rsid w:val="00862B04"/>
    <w:rsid w:val="00862B21"/>
    <w:rsid w:val="00862B70"/>
    <w:rsid w:val="00862BC4"/>
    <w:rsid w:val="00862C87"/>
    <w:rsid w:val="00862D11"/>
    <w:rsid w:val="00862D43"/>
    <w:rsid w:val="00862D7C"/>
    <w:rsid w:val="00862DB1"/>
    <w:rsid w:val="00862DD8"/>
    <w:rsid w:val="00862DD9"/>
    <w:rsid w:val="00862DDD"/>
    <w:rsid w:val="00862DF0"/>
    <w:rsid w:val="00862E0B"/>
    <w:rsid w:val="00862E0F"/>
    <w:rsid w:val="00862E7B"/>
    <w:rsid w:val="00862E8C"/>
    <w:rsid w:val="00862F10"/>
    <w:rsid w:val="00862F2D"/>
    <w:rsid w:val="00862F66"/>
    <w:rsid w:val="00862F6C"/>
    <w:rsid w:val="00862FAD"/>
    <w:rsid w:val="00862FAE"/>
    <w:rsid w:val="00862FCD"/>
    <w:rsid w:val="00862FD9"/>
    <w:rsid w:val="0086302D"/>
    <w:rsid w:val="00863040"/>
    <w:rsid w:val="00863053"/>
    <w:rsid w:val="00863084"/>
    <w:rsid w:val="008630BC"/>
    <w:rsid w:val="00863151"/>
    <w:rsid w:val="00863168"/>
    <w:rsid w:val="00863179"/>
    <w:rsid w:val="008631F3"/>
    <w:rsid w:val="00863263"/>
    <w:rsid w:val="0086327E"/>
    <w:rsid w:val="008632BC"/>
    <w:rsid w:val="008632CC"/>
    <w:rsid w:val="008632FE"/>
    <w:rsid w:val="0086330E"/>
    <w:rsid w:val="0086332E"/>
    <w:rsid w:val="00863387"/>
    <w:rsid w:val="008633FE"/>
    <w:rsid w:val="00863417"/>
    <w:rsid w:val="0086346F"/>
    <w:rsid w:val="0086347C"/>
    <w:rsid w:val="008634A8"/>
    <w:rsid w:val="008634B0"/>
    <w:rsid w:val="008634BD"/>
    <w:rsid w:val="008634E8"/>
    <w:rsid w:val="0086350A"/>
    <w:rsid w:val="0086351C"/>
    <w:rsid w:val="0086352F"/>
    <w:rsid w:val="008635B8"/>
    <w:rsid w:val="008635D2"/>
    <w:rsid w:val="00863709"/>
    <w:rsid w:val="00863725"/>
    <w:rsid w:val="008637C2"/>
    <w:rsid w:val="00863839"/>
    <w:rsid w:val="00863888"/>
    <w:rsid w:val="008638DC"/>
    <w:rsid w:val="00863928"/>
    <w:rsid w:val="008639E6"/>
    <w:rsid w:val="00863A04"/>
    <w:rsid w:val="00863A3D"/>
    <w:rsid w:val="00863A4D"/>
    <w:rsid w:val="00863A61"/>
    <w:rsid w:val="00863A69"/>
    <w:rsid w:val="00863AB7"/>
    <w:rsid w:val="00863AF2"/>
    <w:rsid w:val="00863B57"/>
    <w:rsid w:val="00863BE1"/>
    <w:rsid w:val="00863BF4"/>
    <w:rsid w:val="00863BFA"/>
    <w:rsid w:val="00863C33"/>
    <w:rsid w:val="00863CA8"/>
    <w:rsid w:val="00863CAA"/>
    <w:rsid w:val="00863CC6"/>
    <w:rsid w:val="00863D07"/>
    <w:rsid w:val="00863D08"/>
    <w:rsid w:val="00863D69"/>
    <w:rsid w:val="00863D70"/>
    <w:rsid w:val="00863D73"/>
    <w:rsid w:val="00863D7C"/>
    <w:rsid w:val="00863D94"/>
    <w:rsid w:val="00863DDB"/>
    <w:rsid w:val="00863E08"/>
    <w:rsid w:val="00863E23"/>
    <w:rsid w:val="00863E32"/>
    <w:rsid w:val="00863E77"/>
    <w:rsid w:val="00863EC6"/>
    <w:rsid w:val="00863ED5"/>
    <w:rsid w:val="00863EE6"/>
    <w:rsid w:val="00863F19"/>
    <w:rsid w:val="00863F3D"/>
    <w:rsid w:val="00863F55"/>
    <w:rsid w:val="00863FC7"/>
    <w:rsid w:val="0086400F"/>
    <w:rsid w:val="00864018"/>
    <w:rsid w:val="0086405D"/>
    <w:rsid w:val="008640D0"/>
    <w:rsid w:val="0086410D"/>
    <w:rsid w:val="00864140"/>
    <w:rsid w:val="00864141"/>
    <w:rsid w:val="0086415B"/>
    <w:rsid w:val="008641B8"/>
    <w:rsid w:val="008641C4"/>
    <w:rsid w:val="00864267"/>
    <w:rsid w:val="00864296"/>
    <w:rsid w:val="008642DD"/>
    <w:rsid w:val="0086432C"/>
    <w:rsid w:val="00864373"/>
    <w:rsid w:val="008643C4"/>
    <w:rsid w:val="0086441B"/>
    <w:rsid w:val="0086441C"/>
    <w:rsid w:val="00864431"/>
    <w:rsid w:val="00864483"/>
    <w:rsid w:val="008644C2"/>
    <w:rsid w:val="008644F5"/>
    <w:rsid w:val="0086451D"/>
    <w:rsid w:val="00864579"/>
    <w:rsid w:val="008645BC"/>
    <w:rsid w:val="00864659"/>
    <w:rsid w:val="00864694"/>
    <w:rsid w:val="008646E5"/>
    <w:rsid w:val="008646EB"/>
    <w:rsid w:val="0086473F"/>
    <w:rsid w:val="00864785"/>
    <w:rsid w:val="00864797"/>
    <w:rsid w:val="00864836"/>
    <w:rsid w:val="0086488B"/>
    <w:rsid w:val="00864930"/>
    <w:rsid w:val="00864975"/>
    <w:rsid w:val="008649A8"/>
    <w:rsid w:val="008649D6"/>
    <w:rsid w:val="008649DD"/>
    <w:rsid w:val="008649E7"/>
    <w:rsid w:val="008649FC"/>
    <w:rsid w:val="00864A16"/>
    <w:rsid w:val="00864A56"/>
    <w:rsid w:val="00864A75"/>
    <w:rsid w:val="00864A87"/>
    <w:rsid w:val="00864AB1"/>
    <w:rsid w:val="00864B6E"/>
    <w:rsid w:val="00864B8A"/>
    <w:rsid w:val="00864B92"/>
    <w:rsid w:val="00864C18"/>
    <w:rsid w:val="00864C2A"/>
    <w:rsid w:val="00864C6A"/>
    <w:rsid w:val="00864C6C"/>
    <w:rsid w:val="00864C7F"/>
    <w:rsid w:val="00864C93"/>
    <w:rsid w:val="00864D10"/>
    <w:rsid w:val="00864D16"/>
    <w:rsid w:val="00864D19"/>
    <w:rsid w:val="00864D1A"/>
    <w:rsid w:val="00864D49"/>
    <w:rsid w:val="00864D52"/>
    <w:rsid w:val="00864DCD"/>
    <w:rsid w:val="00864DEB"/>
    <w:rsid w:val="00864DFC"/>
    <w:rsid w:val="00864E91"/>
    <w:rsid w:val="00864EBF"/>
    <w:rsid w:val="00864ECE"/>
    <w:rsid w:val="00864ECF"/>
    <w:rsid w:val="00864F14"/>
    <w:rsid w:val="00864F3D"/>
    <w:rsid w:val="00864F6B"/>
    <w:rsid w:val="00864FC5"/>
    <w:rsid w:val="00864FD4"/>
    <w:rsid w:val="00864FF4"/>
    <w:rsid w:val="00865020"/>
    <w:rsid w:val="0086506F"/>
    <w:rsid w:val="00865075"/>
    <w:rsid w:val="00865089"/>
    <w:rsid w:val="008650A9"/>
    <w:rsid w:val="00865168"/>
    <w:rsid w:val="00865171"/>
    <w:rsid w:val="00865182"/>
    <w:rsid w:val="008651D5"/>
    <w:rsid w:val="008651EF"/>
    <w:rsid w:val="008651FD"/>
    <w:rsid w:val="0086521D"/>
    <w:rsid w:val="0086524F"/>
    <w:rsid w:val="00865257"/>
    <w:rsid w:val="0086527C"/>
    <w:rsid w:val="008652A7"/>
    <w:rsid w:val="008652AC"/>
    <w:rsid w:val="00865307"/>
    <w:rsid w:val="00865324"/>
    <w:rsid w:val="00865328"/>
    <w:rsid w:val="00865356"/>
    <w:rsid w:val="00865396"/>
    <w:rsid w:val="008653AB"/>
    <w:rsid w:val="00865443"/>
    <w:rsid w:val="008654D2"/>
    <w:rsid w:val="00865529"/>
    <w:rsid w:val="00865565"/>
    <w:rsid w:val="008655DE"/>
    <w:rsid w:val="0086561E"/>
    <w:rsid w:val="00865630"/>
    <w:rsid w:val="0086566D"/>
    <w:rsid w:val="00865671"/>
    <w:rsid w:val="00865673"/>
    <w:rsid w:val="0086569F"/>
    <w:rsid w:val="008656B0"/>
    <w:rsid w:val="008656C3"/>
    <w:rsid w:val="0086571C"/>
    <w:rsid w:val="0086573F"/>
    <w:rsid w:val="008657F0"/>
    <w:rsid w:val="008657FB"/>
    <w:rsid w:val="00865811"/>
    <w:rsid w:val="00865855"/>
    <w:rsid w:val="00865863"/>
    <w:rsid w:val="00865869"/>
    <w:rsid w:val="00865879"/>
    <w:rsid w:val="008658CE"/>
    <w:rsid w:val="00865912"/>
    <w:rsid w:val="0086597D"/>
    <w:rsid w:val="00865984"/>
    <w:rsid w:val="008659C6"/>
    <w:rsid w:val="00865A01"/>
    <w:rsid w:val="00865A48"/>
    <w:rsid w:val="00865AB4"/>
    <w:rsid w:val="00865B5A"/>
    <w:rsid w:val="00865B7D"/>
    <w:rsid w:val="00865BBE"/>
    <w:rsid w:val="00865BFC"/>
    <w:rsid w:val="00865CC2"/>
    <w:rsid w:val="00865CF1"/>
    <w:rsid w:val="00865DAD"/>
    <w:rsid w:val="00865E56"/>
    <w:rsid w:val="00865E76"/>
    <w:rsid w:val="00865E79"/>
    <w:rsid w:val="00865EBE"/>
    <w:rsid w:val="00865EDE"/>
    <w:rsid w:val="00865EFE"/>
    <w:rsid w:val="00865EFF"/>
    <w:rsid w:val="00865F2D"/>
    <w:rsid w:val="00865F93"/>
    <w:rsid w:val="00865F9A"/>
    <w:rsid w:val="00865FA8"/>
    <w:rsid w:val="00865FAA"/>
    <w:rsid w:val="00865FE3"/>
    <w:rsid w:val="00866064"/>
    <w:rsid w:val="00866088"/>
    <w:rsid w:val="008660B4"/>
    <w:rsid w:val="00866103"/>
    <w:rsid w:val="00866111"/>
    <w:rsid w:val="0086613F"/>
    <w:rsid w:val="00866175"/>
    <w:rsid w:val="00866185"/>
    <w:rsid w:val="008661A8"/>
    <w:rsid w:val="008661C5"/>
    <w:rsid w:val="008661DB"/>
    <w:rsid w:val="00866269"/>
    <w:rsid w:val="0086626C"/>
    <w:rsid w:val="00866272"/>
    <w:rsid w:val="008662A6"/>
    <w:rsid w:val="008662A7"/>
    <w:rsid w:val="0086634C"/>
    <w:rsid w:val="00866357"/>
    <w:rsid w:val="00866413"/>
    <w:rsid w:val="00866429"/>
    <w:rsid w:val="00866440"/>
    <w:rsid w:val="00866441"/>
    <w:rsid w:val="00866478"/>
    <w:rsid w:val="0086647E"/>
    <w:rsid w:val="00866492"/>
    <w:rsid w:val="0086649F"/>
    <w:rsid w:val="00866532"/>
    <w:rsid w:val="00866540"/>
    <w:rsid w:val="00866550"/>
    <w:rsid w:val="00866552"/>
    <w:rsid w:val="00866591"/>
    <w:rsid w:val="00866611"/>
    <w:rsid w:val="00866620"/>
    <w:rsid w:val="00866639"/>
    <w:rsid w:val="0086663D"/>
    <w:rsid w:val="008666C7"/>
    <w:rsid w:val="008666D9"/>
    <w:rsid w:val="0086672D"/>
    <w:rsid w:val="00866730"/>
    <w:rsid w:val="0086676B"/>
    <w:rsid w:val="008667AD"/>
    <w:rsid w:val="008667C0"/>
    <w:rsid w:val="008667DD"/>
    <w:rsid w:val="0086684B"/>
    <w:rsid w:val="0086685A"/>
    <w:rsid w:val="00866872"/>
    <w:rsid w:val="0086688E"/>
    <w:rsid w:val="008668BA"/>
    <w:rsid w:val="0086694B"/>
    <w:rsid w:val="008669D1"/>
    <w:rsid w:val="008669E2"/>
    <w:rsid w:val="00866A42"/>
    <w:rsid w:val="00866A65"/>
    <w:rsid w:val="00866A80"/>
    <w:rsid w:val="00866B19"/>
    <w:rsid w:val="00866B23"/>
    <w:rsid w:val="00866BB3"/>
    <w:rsid w:val="00866BCD"/>
    <w:rsid w:val="00866BE4"/>
    <w:rsid w:val="00866C18"/>
    <w:rsid w:val="00866C1D"/>
    <w:rsid w:val="00866C21"/>
    <w:rsid w:val="00866C34"/>
    <w:rsid w:val="00866CAF"/>
    <w:rsid w:val="00866CD2"/>
    <w:rsid w:val="00866D4E"/>
    <w:rsid w:val="00866DC9"/>
    <w:rsid w:val="00866E06"/>
    <w:rsid w:val="00866E34"/>
    <w:rsid w:val="00866E70"/>
    <w:rsid w:val="00866EE9"/>
    <w:rsid w:val="00866EF1"/>
    <w:rsid w:val="00866EF4"/>
    <w:rsid w:val="00866F13"/>
    <w:rsid w:val="00866FB4"/>
    <w:rsid w:val="00866FE9"/>
    <w:rsid w:val="008670D5"/>
    <w:rsid w:val="008670D8"/>
    <w:rsid w:val="00867128"/>
    <w:rsid w:val="0086717E"/>
    <w:rsid w:val="00867267"/>
    <w:rsid w:val="0086726B"/>
    <w:rsid w:val="008672A9"/>
    <w:rsid w:val="008672B3"/>
    <w:rsid w:val="0086730F"/>
    <w:rsid w:val="0086731C"/>
    <w:rsid w:val="0086731D"/>
    <w:rsid w:val="0086735D"/>
    <w:rsid w:val="00867395"/>
    <w:rsid w:val="008673AA"/>
    <w:rsid w:val="008673B1"/>
    <w:rsid w:val="008673D1"/>
    <w:rsid w:val="00867435"/>
    <w:rsid w:val="00867454"/>
    <w:rsid w:val="00867470"/>
    <w:rsid w:val="00867477"/>
    <w:rsid w:val="00867493"/>
    <w:rsid w:val="008674E6"/>
    <w:rsid w:val="00867501"/>
    <w:rsid w:val="0086751B"/>
    <w:rsid w:val="0086751C"/>
    <w:rsid w:val="00867550"/>
    <w:rsid w:val="00867669"/>
    <w:rsid w:val="0086772F"/>
    <w:rsid w:val="00867890"/>
    <w:rsid w:val="00867978"/>
    <w:rsid w:val="00867990"/>
    <w:rsid w:val="00867991"/>
    <w:rsid w:val="008679A0"/>
    <w:rsid w:val="00867A01"/>
    <w:rsid w:val="00867A40"/>
    <w:rsid w:val="00867A53"/>
    <w:rsid w:val="00867A6A"/>
    <w:rsid w:val="00867A73"/>
    <w:rsid w:val="00867A76"/>
    <w:rsid w:val="00867AD0"/>
    <w:rsid w:val="00867B5A"/>
    <w:rsid w:val="00867B8B"/>
    <w:rsid w:val="00867C02"/>
    <w:rsid w:val="00867C0D"/>
    <w:rsid w:val="00867C44"/>
    <w:rsid w:val="00867C4D"/>
    <w:rsid w:val="00867C4F"/>
    <w:rsid w:val="00867CBE"/>
    <w:rsid w:val="00867CED"/>
    <w:rsid w:val="00867D00"/>
    <w:rsid w:val="00867D0D"/>
    <w:rsid w:val="00867D58"/>
    <w:rsid w:val="00867DD0"/>
    <w:rsid w:val="00867DDF"/>
    <w:rsid w:val="00867E16"/>
    <w:rsid w:val="00867E50"/>
    <w:rsid w:val="00867E60"/>
    <w:rsid w:val="00867EA8"/>
    <w:rsid w:val="00867F18"/>
    <w:rsid w:val="00867F63"/>
    <w:rsid w:val="00867F95"/>
    <w:rsid w:val="00867FA1"/>
    <w:rsid w:val="00867FE6"/>
    <w:rsid w:val="00867FF7"/>
    <w:rsid w:val="00870013"/>
    <w:rsid w:val="0087003C"/>
    <w:rsid w:val="00870040"/>
    <w:rsid w:val="00870119"/>
    <w:rsid w:val="00870148"/>
    <w:rsid w:val="00870171"/>
    <w:rsid w:val="0087017A"/>
    <w:rsid w:val="008701CC"/>
    <w:rsid w:val="00870213"/>
    <w:rsid w:val="0087021A"/>
    <w:rsid w:val="0087022B"/>
    <w:rsid w:val="00870244"/>
    <w:rsid w:val="00870263"/>
    <w:rsid w:val="00870265"/>
    <w:rsid w:val="00870285"/>
    <w:rsid w:val="00870295"/>
    <w:rsid w:val="008702D7"/>
    <w:rsid w:val="008702E5"/>
    <w:rsid w:val="00870345"/>
    <w:rsid w:val="00870353"/>
    <w:rsid w:val="0087039E"/>
    <w:rsid w:val="008703DA"/>
    <w:rsid w:val="008703EA"/>
    <w:rsid w:val="008703F0"/>
    <w:rsid w:val="0087040D"/>
    <w:rsid w:val="00870417"/>
    <w:rsid w:val="0087046F"/>
    <w:rsid w:val="008704A6"/>
    <w:rsid w:val="008704AF"/>
    <w:rsid w:val="0087052E"/>
    <w:rsid w:val="00870530"/>
    <w:rsid w:val="0087055B"/>
    <w:rsid w:val="00870568"/>
    <w:rsid w:val="0087056F"/>
    <w:rsid w:val="00870592"/>
    <w:rsid w:val="008705B4"/>
    <w:rsid w:val="008705DA"/>
    <w:rsid w:val="008705FA"/>
    <w:rsid w:val="0087063C"/>
    <w:rsid w:val="008706F1"/>
    <w:rsid w:val="00870702"/>
    <w:rsid w:val="00870705"/>
    <w:rsid w:val="00870717"/>
    <w:rsid w:val="0087076C"/>
    <w:rsid w:val="0087079C"/>
    <w:rsid w:val="00870825"/>
    <w:rsid w:val="00870947"/>
    <w:rsid w:val="0087094C"/>
    <w:rsid w:val="0087096F"/>
    <w:rsid w:val="00870997"/>
    <w:rsid w:val="008709B1"/>
    <w:rsid w:val="008709C9"/>
    <w:rsid w:val="008709D3"/>
    <w:rsid w:val="00870A08"/>
    <w:rsid w:val="00870B01"/>
    <w:rsid w:val="00870B95"/>
    <w:rsid w:val="00870BE6"/>
    <w:rsid w:val="00870C38"/>
    <w:rsid w:val="00870C43"/>
    <w:rsid w:val="00870C6D"/>
    <w:rsid w:val="00870CCA"/>
    <w:rsid w:val="00870D1D"/>
    <w:rsid w:val="00870D2C"/>
    <w:rsid w:val="00870D3B"/>
    <w:rsid w:val="00870D75"/>
    <w:rsid w:val="00870D7A"/>
    <w:rsid w:val="00870D89"/>
    <w:rsid w:val="00870DE3"/>
    <w:rsid w:val="00870E0F"/>
    <w:rsid w:val="00870E10"/>
    <w:rsid w:val="00870E2B"/>
    <w:rsid w:val="00870E97"/>
    <w:rsid w:val="00870E9E"/>
    <w:rsid w:val="00870EA9"/>
    <w:rsid w:val="00870EAA"/>
    <w:rsid w:val="00870F20"/>
    <w:rsid w:val="00870F26"/>
    <w:rsid w:val="00870FC0"/>
    <w:rsid w:val="00870FD5"/>
    <w:rsid w:val="00870FE4"/>
    <w:rsid w:val="00871054"/>
    <w:rsid w:val="0087113B"/>
    <w:rsid w:val="008711C7"/>
    <w:rsid w:val="008711D0"/>
    <w:rsid w:val="00871221"/>
    <w:rsid w:val="0087135B"/>
    <w:rsid w:val="0087136D"/>
    <w:rsid w:val="0087138F"/>
    <w:rsid w:val="008713CD"/>
    <w:rsid w:val="008713F0"/>
    <w:rsid w:val="008713F1"/>
    <w:rsid w:val="00871439"/>
    <w:rsid w:val="008714CF"/>
    <w:rsid w:val="008714D9"/>
    <w:rsid w:val="00871529"/>
    <w:rsid w:val="00871556"/>
    <w:rsid w:val="00871650"/>
    <w:rsid w:val="008716B3"/>
    <w:rsid w:val="008716EA"/>
    <w:rsid w:val="0087170E"/>
    <w:rsid w:val="0087172C"/>
    <w:rsid w:val="00871759"/>
    <w:rsid w:val="00871782"/>
    <w:rsid w:val="008717B5"/>
    <w:rsid w:val="008717BD"/>
    <w:rsid w:val="0087186C"/>
    <w:rsid w:val="0087187F"/>
    <w:rsid w:val="0087188E"/>
    <w:rsid w:val="008718BC"/>
    <w:rsid w:val="008718E4"/>
    <w:rsid w:val="008718EE"/>
    <w:rsid w:val="00871906"/>
    <w:rsid w:val="00871989"/>
    <w:rsid w:val="00871997"/>
    <w:rsid w:val="0087199C"/>
    <w:rsid w:val="008719E3"/>
    <w:rsid w:val="008719EF"/>
    <w:rsid w:val="008719F6"/>
    <w:rsid w:val="00871A20"/>
    <w:rsid w:val="00871A37"/>
    <w:rsid w:val="00871A55"/>
    <w:rsid w:val="00871AA1"/>
    <w:rsid w:val="00871AEB"/>
    <w:rsid w:val="00871B1D"/>
    <w:rsid w:val="00871B5D"/>
    <w:rsid w:val="00871B60"/>
    <w:rsid w:val="00871BCF"/>
    <w:rsid w:val="00871C1B"/>
    <w:rsid w:val="00871C2B"/>
    <w:rsid w:val="00871C8A"/>
    <w:rsid w:val="00871CA1"/>
    <w:rsid w:val="00871CDF"/>
    <w:rsid w:val="00871D8A"/>
    <w:rsid w:val="00871DA0"/>
    <w:rsid w:val="00871E03"/>
    <w:rsid w:val="00871E0D"/>
    <w:rsid w:val="00871E13"/>
    <w:rsid w:val="00871E3D"/>
    <w:rsid w:val="00871E95"/>
    <w:rsid w:val="00871EA7"/>
    <w:rsid w:val="00871ED9"/>
    <w:rsid w:val="00871EE0"/>
    <w:rsid w:val="00871FC8"/>
    <w:rsid w:val="00871FFA"/>
    <w:rsid w:val="0087202F"/>
    <w:rsid w:val="008720B6"/>
    <w:rsid w:val="00872114"/>
    <w:rsid w:val="00872129"/>
    <w:rsid w:val="00872153"/>
    <w:rsid w:val="00872169"/>
    <w:rsid w:val="0087216B"/>
    <w:rsid w:val="00872176"/>
    <w:rsid w:val="008721CC"/>
    <w:rsid w:val="00872271"/>
    <w:rsid w:val="0087228E"/>
    <w:rsid w:val="00872296"/>
    <w:rsid w:val="008722E3"/>
    <w:rsid w:val="0087231B"/>
    <w:rsid w:val="00872426"/>
    <w:rsid w:val="0087247A"/>
    <w:rsid w:val="00872503"/>
    <w:rsid w:val="00872577"/>
    <w:rsid w:val="0087257F"/>
    <w:rsid w:val="00872580"/>
    <w:rsid w:val="00872583"/>
    <w:rsid w:val="00872594"/>
    <w:rsid w:val="008725D8"/>
    <w:rsid w:val="008725E8"/>
    <w:rsid w:val="00872641"/>
    <w:rsid w:val="00872681"/>
    <w:rsid w:val="00872697"/>
    <w:rsid w:val="00872711"/>
    <w:rsid w:val="00872752"/>
    <w:rsid w:val="0087277A"/>
    <w:rsid w:val="0087278D"/>
    <w:rsid w:val="00872795"/>
    <w:rsid w:val="00872799"/>
    <w:rsid w:val="008727E1"/>
    <w:rsid w:val="008727F1"/>
    <w:rsid w:val="00872845"/>
    <w:rsid w:val="008728A3"/>
    <w:rsid w:val="008728EA"/>
    <w:rsid w:val="008728FE"/>
    <w:rsid w:val="0087292A"/>
    <w:rsid w:val="008729B8"/>
    <w:rsid w:val="008729D1"/>
    <w:rsid w:val="00872A1D"/>
    <w:rsid w:val="00872ACA"/>
    <w:rsid w:val="00872B10"/>
    <w:rsid w:val="00872BEA"/>
    <w:rsid w:val="00872C01"/>
    <w:rsid w:val="00872C99"/>
    <w:rsid w:val="00872CA3"/>
    <w:rsid w:val="00872CAA"/>
    <w:rsid w:val="00872CB1"/>
    <w:rsid w:val="00872D26"/>
    <w:rsid w:val="00872D53"/>
    <w:rsid w:val="00872D6F"/>
    <w:rsid w:val="00872D73"/>
    <w:rsid w:val="00872DA6"/>
    <w:rsid w:val="00872DAD"/>
    <w:rsid w:val="00872DDF"/>
    <w:rsid w:val="00872E12"/>
    <w:rsid w:val="00872E13"/>
    <w:rsid w:val="00872EBE"/>
    <w:rsid w:val="00872F00"/>
    <w:rsid w:val="00872F1A"/>
    <w:rsid w:val="00872F2E"/>
    <w:rsid w:val="00872F4A"/>
    <w:rsid w:val="00872F55"/>
    <w:rsid w:val="00872F7A"/>
    <w:rsid w:val="00872F90"/>
    <w:rsid w:val="00872FB5"/>
    <w:rsid w:val="00872FF9"/>
    <w:rsid w:val="0087305A"/>
    <w:rsid w:val="008730D1"/>
    <w:rsid w:val="008730EB"/>
    <w:rsid w:val="0087311B"/>
    <w:rsid w:val="0087314A"/>
    <w:rsid w:val="00873163"/>
    <w:rsid w:val="00873193"/>
    <w:rsid w:val="008731DC"/>
    <w:rsid w:val="0087321E"/>
    <w:rsid w:val="00873230"/>
    <w:rsid w:val="00873255"/>
    <w:rsid w:val="00873299"/>
    <w:rsid w:val="008732B4"/>
    <w:rsid w:val="008732BD"/>
    <w:rsid w:val="008732CE"/>
    <w:rsid w:val="00873398"/>
    <w:rsid w:val="0087339B"/>
    <w:rsid w:val="008733C9"/>
    <w:rsid w:val="0087345C"/>
    <w:rsid w:val="00873464"/>
    <w:rsid w:val="008734AD"/>
    <w:rsid w:val="008734E1"/>
    <w:rsid w:val="00873536"/>
    <w:rsid w:val="008735F5"/>
    <w:rsid w:val="00873693"/>
    <w:rsid w:val="008736AE"/>
    <w:rsid w:val="008736EB"/>
    <w:rsid w:val="00873732"/>
    <w:rsid w:val="008737A1"/>
    <w:rsid w:val="008737B9"/>
    <w:rsid w:val="008737C6"/>
    <w:rsid w:val="008737CA"/>
    <w:rsid w:val="008737EB"/>
    <w:rsid w:val="0087384E"/>
    <w:rsid w:val="00873881"/>
    <w:rsid w:val="008738A9"/>
    <w:rsid w:val="008738B6"/>
    <w:rsid w:val="00873907"/>
    <w:rsid w:val="00873943"/>
    <w:rsid w:val="0087394F"/>
    <w:rsid w:val="008739BD"/>
    <w:rsid w:val="00873A30"/>
    <w:rsid w:val="00873A71"/>
    <w:rsid w:val="00873AE6"/>
    <w:rsid w:val="00873B4D"/>
    <w:rsid w:val="00873B91"/>
    <w:rsid w:val="00873BA1"/>
    <w:rsid w:val="00873CFE"/>
    <w:rsid w:val="00873D30"/>
    <w:rsid w:val="00873D4F"/>
    <w:rsid w:val="00873D90"/>
    <w:rsid w:val="00873DA0"/>
    <w:rsid w:val="00873E1E"/>
    <w:rsid w:val="00873E5B"/>
    <w:rsid w:val="00873E6F"/>
    <w:rsid w:val="00873E7D"/>
    <w:rsid w:val="00873E88"/>
    <w:rsid w:val="00873E93"/>
    <w:rsid w:val="00873EE6"/>
    <w:rsid w:val="00873F36"/>
    <w:rsid w:val="00873FA3"/>
    <w:rsid w:val="00873FC7"/>
    <w:rsid w:val="00873FDA"/>
    <w:rsid w:val="00873FEB"/>
    <w:rsid w:val="00873FFF"/>
    <w:rsid w:val="00874032"/>
    <w:rsid w:val="00874074"/>
    <w:rsid w:val="008740AB"/>
    <w:rsid w:val="008740AC"/>
    <w:rsid w:val="008740C3"/>
    <w:rsid w:val="00874136"/>
    <w:rsid w:val="0087419E"/>
    <w:rsid w:val="0087423C"/>
    <w:rsid w:val="00874271"/>
    <w:rsid w:val="0087428B"/>
    <w:rsid w:val="008742B4"/>
    <w:rsid w:val="008742D3"/>
    <w:rsid w:val="008742D6"/>
    <w:rsid w:val="008742F2"/>
    <w:rsid w:val="00874306"/>
    <w:rsid w:val="00874356"/>
    <w:rsid w:val="00874373"/>
    <w:rsid w:val="0087437B"/>
    <w:rsid w:val="0087439E"/>
    <w:rsid w:val="008743B0"/>
    <w:rsid w:val="008743BE"/>
    <w:rsid w:val="008743DC"/>
    <w:rsid w:val="0087441C"/>
    <w:rsid w:val="00874424"/>
    <w:rsid w:val="0087446E"/>
    <w:rsid w:val="008744A4"/>
    <w:rsid w:val="008744AD"/>
    <w:rsid w:val="008744C5"/>
    <w:rsid w:val="008744D8"/>
    <w:rsid w:val="008744EB"/>
    <w:rsid w:val="00874513"/>
    <w:rsid w:val="00874565"/>
    <w:rsid w:val="008745B1"/>
    <w:rsid w:val="008745C7"/>
    <w:rsid w:val="00874608"/>
    <w:rsid w:val="00874632"/>
    <w:rsid w:val="00874674"/>
    <w:rsid w:val="00874679"/>
    <w:rsid w:val="008746AC"/>
    <w:rsid w:val="008746D1"/>
    <w:rsid w:val="008746D5"/>
    <w:rsid w:val="008746E1"/>
    <w:rsid w:val="00874725"/>
    <w:rsid w:val="0087473D"/>
    <w:rsid w:val="008747B0"/>
    <w:rsid w:val="008747B8"/>
    <w:rsid w:val="008747F3"/>
    <w:rsid w:val="00874830"/>
    <w:rsid w:val="0087485B"/>
    <w:rsid w:val="0087485C"/>
    <w:rsid w:val="0087485D"/>
    <w:rsid w:val="0087489E"/>
    <w:rsid w:val="008748D4"/>
    <w:rsid w:val="008748F0"/>
    <w:rsid w:val="0087496F"/>
    <w:rsid w:val="00874A18"/>
    <w:rsid w:val="00874A4E"/>
    <w:rsid w:val="00874A7C"/>
    <w:rsid w:val="00874AB4"/>
    <w:rsid w:val="00874ADE"/>
    <w:rsid w:val="00874AF2"/>
    <w:rsid w:val="00874B10"/>
    <w:rsid w:val="00874B52"/>
    <w:rsid w:val="00874B8B"/>
    <w:rsid w:val="00874B96"/>
    <w:rsid w:val="00874BBD"/>
    <w:rsid w:val="00874BD8"/>
    <w:rsid w:val="00874BDA"/>
    <w:rsid w:val="00874BEF"/>
    <w:rsid w:val="00874BF5"/>
    <w:rsid w:val="00874C09"/>
    <w:rsid w:val="00874C14"/>
    <w:rsid w:val="00874C76"/>
    <w:rsid w:val="00874D20"/>
    <w:rsid w:val="00874D2B"/>
    <w:rsid w:val="00874D53"/>
    <w:rsid w:val="00874D7B"/>
    <w:rsid w:val="00874D8C"/>
    <w:rsid w:val="00874E1D"/>
    <w:rsid w:val="00874E73"/>
    <w:rsid w:val="00874EB1"/>
    <w:rsid w:val="00874EF2"/>
    <w:rsid w:val="00874F06"/>
    <w:rsid w:val="00874F28"/>
    <w:rsid w:val="00874F4D"/>
    <w:rsid w:val="00874F4F"/>
    <w:rsid w:val="00874F5C"/>
    <w:rsid w:val="00874F7B"/>
    <w:rsid w:val="00874F9A"/>
    <w:rsid w:val="00874FB2"/>
    <w:rsid w:val="00875006"/>
    <w:rsid w:val="008750FD"/>
    <w:rsid w:val="0087511B"/>
    <w:rsid w:val="00875126"/>
    <w:rsid w:val="0087512C"/>
    <w:rsid w:val="0087512F"/>
    <w:rsid w:val="0087517E"/>
    <w:rsid w:val="00875199"/>
    <w:rsid w:val="008751B7"/>
    <w:rsid w:val="00875253"/>
    <w:rsid w:val="0087529A"/>
    <w:rsid w:val="00875313"/>
    <w:rsid w:val="0087533C"/>
    <w:rsid w:val="00875359"/>
    <w:rsid w:val="008753D9"/>
    <w:rsid w:val="00875408"/>
    <w:rsid w:val="00875418"/>
    <w:rsid w:val="00875432"/>
    <w:rsid w:val="0087544C"/>
    <w:rsid w:val="00875496"/>
    <w:rsid w:val="00875557"/>
    <w:rsid w:val="00875578"/>
    <w:rsid w:val="0087559F"/>
    <w:rsid w:val="008755B4"/>
    <w:rsid w:val="008755B7"/>
    <w:rsid w:val="008755DD"/>
    <w:rsid w:val="00875612"/>
    <w:rsid w:val="00875689"/>
    <w:rsid w:val="008756B1"/>
    <w:rsid w:val="008756BF"/>
    <w:rsid w:val="008756E2"/>
    <w:rsid w:val="00875766"/>
    <w:rsid w:val="00875769"/>
    <w:rsid w:val="00875778"/>
    <w:rsid w:val="0087579C"/>
    <w:rsid w:val="008757B8"/>
    <w:rsid w:val="008757CF"/>
    <w:rsid w:val="008758C5"/>
    <w:rsid w:val="00875990"/>
    <w:rsid w:val="008759E1"/>
    <w:rsid w:val="00875A9A"/>
    <w:rsid w:val="00875AF8"/>
    <w:rsid w:val="00875B7E"/>
    <w:rsid w:val="00875BD6"/>
    <w:rsid w:val="00875C51"/>
    <w:rsid w:val="00875C58"/>
    <w:rsid w:val="00875C60"/>
    <w:rsid w:val="00875C9B"/>
    <w:rsid w:val="00875CB9"/>
    <w:rsid w:val="00875CE2"/>
    <w:rsid w:val="00875DD1"/>
    <w:rsid w:val="00875DFF"/>
    <w:rsid w:val="00875E14"/>
    <w:rsid w:val="00875E17"/>
    <w:rsid w:val="00875E49"/>
    <w:rsid w:val="00875ED0"/>
    <w:rsid w:val="00875F49"/>
    <w:rsid w:val="00875F75"/>
    <w:rsid w:val="00876055"/>
    <w:rsid w:val="0087606B"/>
    <w:rsid w:val="00876091"/>
    <w:rsid w:val="008760E2"/>
    <w:rsid w:val="00876135"/>
    <w:rsid w:val="00876139"/>
    <w:rsid w:val="0087617D"/>
    <w:rsid w:val="008761C4"/>
    <w:rsid w:val="0087620F"/>
    <w:rsid w:val="00876241"/>
    <w:rsid w:val="0087624B"/>
    <w:rsid w:val="00876252"/>
    <w:rsid w:val="008762B5"/>
    <w:rsid w:val="00876346"/>
    <w:rsid w:val="0087635C"/>
    <w:rsid w:val="0087638F"/>
    <w:rsid w:val="00876445"/>
    <w:rsid w:val="0087644E"/>
    <w:rsid w:val="008764AC"/>
    <w:rsid w:val="00876501"/>
    <w:rsid w:val="0087651E"/>
    <w:rsid w:val="00876530"/>
    <w:rsid w:val="00876554"/>
    <w:rsid w:val="00876565"/>
    <w:rsid w:val="008765B2"/>
    <w:rsid w:val="00876612"/>
    <w:rsid w:val="00876645"/>
    <w:rsid w:val="008766DF"/>
    <w:rsid w:val="0087671A"/>
    <w:rsid w:val="00876749"/>
    <w:rsid w:val="0087676E"/>
    <w:rsid w:val="0087677E"/>
    <w:rsid w:val="008767B4"/>
    <w:rsid w:val="008767BF"/>
    <w:rsid w:val="008767E3"/>
    <w:rsid w:val="0087683C"/>
    <w:rsid w:val="00876860"/>
    <w:rsid w:val="0087686B"/>
    <w:rsid w:val="00876872"/>
    <w:rsid w:val="0087688C"/>
    <w:rsid w:val="008768CE"/>
    <w:rsid w:val="00876905"/>
    <w:rsid w:val="00876917"/>
    <w:rsid w:val="0087695E"/>
    <w:rsid w:val="00876979"/>
    <w:rsid w:val="00876988"/>
    <w:rsid w:val="008769B8"/>
    <w:rsid w:val="00876A7A"/>
    <w:rsid w:val="00876A84"/>
    <w:rsid w:val="00876A8E"/>
    <w:rsid w:val="00876A92"/>
    <w:rsid w:val="00876AAD"/>
    <w:rsid w:val="00876B36"/>
    <w:rsid w:val="00876B38"/>
    <w:rsid w:val="00876B58"/>
    <w:rsid w:val="00876BE2"/>
    <w:rsid w:val="00876C0D"/>
    <w:rsid w:val="00876C39"/>
    <w:rsid w:val="00876C42"/>
    <w:rsid w:val="00876C58"/>
    <w:rsid w:val="00876CD3"/>
    <w:rsid w:val="00876D54"/>
    <w:rsid w:val="00876D80"/>
    <w:rsid w:val="00876D9F"/>
    <w:rsid w:val="00876DCE"/>
    <w:rsid w:val="00876DD6"/>
    <w:rsid w:val="00876DE7"/>
    <w:rsid w:val="00876E03"/>
    <w:rsid w:val="00876E34"/>
    <w:rsid w:val="00876E46"/>
    <w:rsid w:val="00876E74"/>
    <w:rsid w:val="00876E8D"/>
    <w:rsid w:val="00876E9F"/>
    <w:rsid w:val="00876EC6"/>
    <w:rsid w:val="00876F07"/>
    <w:rsid w:val="00876F19"/>
    <w:rsid w:val="00876F2B"/>
    <w:rsid w:val="00876FC9"/>
    <w:rsid w:val="00876FFB"/>
    <w:rsid w:val="00877001"/>
    <w:rsid w:val="0087700F"/>
    <w:rsid w:val="0087701C"/>
    <w:rsid w:val="008770D7"/>
    <w:rsid w:val="008770E7"/>
    <w:rsid w:val="008770F6"/>
    <w:rsid w:val="00877126"/>
    <w:rsid w:val="00877179"/>
    <w:rsid w:val="0087717C"/>
    <w:rsid w:val="00877192"/>
    <w:rsid w:val="0087720B"/>
    <w:rsid w:val="00877226"/>
    <w:rsid w:val="00877255"/>
    <w:rsid w:val="00877280"/>
    <w:rsid w:val="008772B8"/>
    <w:rsid w:val="008772F0"/>
    <w:rsid w:val="0087738E"/>
    <w:rsid w:val="0087739C"/>
    <w:rsid w:val="008773BA"/>
    <w:rsid w:val="008773F8"/>
    <w:rsid w:val="0087748A"/>
    <w:rsid w:val="00877498"/>
    <w:rsid w:val="008774AD"/>
    <w:rsid w:val="00877508"/>
    <w:rsid w:val="00877561"/>
    <w:rsid w:val="0087759D"/>
    <w:rsid w:val="008775B1"/>
    <w:rsid w:val="008775D8"/>
    <w:rsid w:val="00877675"/>
    <w:rsid w:val="0087770A"/>
    <w:rsid w:val="00877721"/>
    <w:rsid w:val="008777BA"/>
    <w:rsid w:val="008777BC"/>
    <w:rsid w:val="008777C8"/>
    <w:rsid w:val="00877810"/>
    <w:rsid w:val="0087782B"/>
    <w:rsid w:val="00877836"/>
    <w:rsid w:val="0087786A"/>
    <w:rsid w:val="00877878"/>
    <w:rsid w:val="00877897"/>
    <w:rsid w:val="0087791D"/>
    <w:rsid w:val="0087793D"/>
    <w:rsid w:val="0087796C"/>
    <w:rsid w:val="008779D2"/>
    <w:rsid w:val="008779F3"/>
    <w:rsid w:val="00877A03"/>
    <w:rsid w:val="00877A68"/>
    <w:rsid w:val="00877AB6"/>
    <w:rsid w:val="00877AED"/>
    <w:rsid w:val="00877B1C"/>
    <w:rsid w:val="00877B36"/>
    <w:rsid w:val="00877B84"/>
    <w:rsid w:val="00877B85"/>
    <w:rsid w:val="00877B92"/>
    <w:rsid w:val="00877BAB"/>
    <w:rsid w:val="00877BB5"/>
    <w:rsid w:val="00877BE9"/>
    <w:rsid w:val="00877C0F"/>
    <w:rsid w:val="00877C4D"/>
    <w:rsid w:val="00877C59"/>
    <w:rsid w:val="00877C5F"/>
    <w:rsid w:val="00877CC8"/>
    <w:rsid w:val="00877CDA"/>
    <w:rsid w:val="00877CF0"/>
    <w:rsid w:val="00877D10"/>
    <w:rsid w:val="00877D25"/>
    <w:rsid w:val="00877D41"/>
    <w:rsid w:val="00877D99"/>
    <w:rsid w:val="00877DC2"/>
    <w:rsid w:val="00877E00"/>
    <w:rsid w:val="00877E16"/>
    <w:rsid w:val="00877E3F"/>
    <w:rsid w:val="00877EB3"/>
    <w:rsid w:val="00877EF9"/>
    <w:rsid w:val="00877F20"/>
    <w:rsid w:val="00877F96"/>
    <w:rsid w:val="00877FB9"/>
    <w:rsid w:val="00877FC3"/>
    <w:rsid w:val="00877FE6"/>
    <w:rsid w:val="00880014"/>
    <w:rsid w:val="00880065"/>
    <w:rsid w:val="008800A2"/>
    <w:rsid w:val="008800E8"/>
    <w:rsid w:val="00880112"/>
    <w:rsid w:val="00880168"/>
    <w:rsid w:val="00880176"/>
    <w:rsid w:val="008801B6"/>
    <w:rsid w:val="008801C2"/>
    <w:rsid w:val="00880214"/>
    <w:rsid w:val="0088021A"/>
    <w:rsid w:val="0088026D"/>
    <w:rsid w:val="008802CE"/>
    <w:rsid w:val="008802DC"/>
    <w:rsid w:val="00880305"/>
    <w:rsid w:val="0088036A"/>
    <w:rsid w:val="008803C1"/>
    <w:rsid w:val="008803CB"/>
    <w:rsid w:val="008803E0"/>
    <w:rsid w:val="00880439"/>
    <w:rsid w:val="00880487"/>
    <w:rsid w:val="008804F6"/>
    <w:rsid w:val="0088051F"/>
    <w:rsid w:val="00880620"/>
    <w:rsid w:val="00880633"/>
    <w:rsid w:val="00880650"/>
    <w:rsid w:val="00880669"/>
    <w:rsid w:val="008806C6"/>
    <w:rsid w:val="008806FA"/>
    <w:rsid w:val="0088071C"/>
    <w:rsid w:val="00880759"/>
    <w:rsid w:val="0088076E"/>
    <w:rsid w:val="00880773"/>
    <w:rsid w:val="008807CA"/>
    <w:rsid w:val="00880818"/>
    <w:rsid w:val="0088082A"/>
    <w:rsid w:val="00880846"/>
    <w:rsid w:val="0088084B"/>
    <w:rsid w:val="0088085F"/>
    <w:rsid w:val="00880879"/>
    <w:rsid w:val="00880893"/>
    <w:rsid w:val="008808CC"/>
    <w:rsid w:val="008808FC"/>
    <w:rsid w:val="0088094A"/>
    <w:rsid w:val="00880960"/>
    <w:rsid w:val="00880996"/>
    <w:rsid w:val="00880A11"/>
    <w:rsid w:val="00880A2B"/>
    <w:rsid w:val="00880A57"/>
    <w:rsid w:val="00880A94"/>
    <w:rsid w:val="00880AC8"/>
    <w:rsid w:val="00880AE4"/>
    <w:rsid w:val="00880AF9"/>
    <w:rsid w:val="00880C23"/>
    <w:rsid w:val="00880C4C"/>
    <w:rsid w:val="00880CCC"/>
    <w:rsid w:val="00880CD4"/>
    <w:rsid w:val="00880D2A"/>
    <w:rsid w:val="00880D45"/>
    <w:rsid w:val="00880D65"/>
    <w:rsid w:val="00880DFF"/>
    <w:rsid w:val="00880E24"/>
    <w:rsid w:val="00880E3E"/>
    <w:rsid w:val="00880E4D"/>
    <w:rsid w:val="00880EB5"/>
    <w:rsid w:val="00880EC7"/>
    <w:rsid w:val="00880F2A"/>
    <w:rsid w:val="00880F7F"/>
    <w:rsid w:val="00880FC9"/>
    <w:rsid w:val="00881046"/>
    <w:rsid w:val="00881074"/>
    <w:rsid w:val="008810B7"/>
    <w:rsid w:val="008810BF"/>
    <w:rsid w:val="008810C5"/>
    <w:rsid w:val="008810C7"/>
    <w:rsid w:val="008810CD"/>
    <w:rsid w:val="0088121F"/>
    <w:rsid w:val="00881264"/>
    <w:rsid w:val="008812AB"/>
    <w:rsid w:val="008812F2"/>
    <w:rsid w:val="00881304"/>
    <w:rsid w:val="0088131D"/>
    <w:rsid w:val="0088135A"/>
    <w:rsid w:val="00881371"/>
    <w:rsid w:val="00881384"/>
    <w:rsid w:val="00881431"/>
    <w:rsid w:val="00881494"/>
    <w:rsid w:val="008814D5"/>
    <w:rsid w:val="00881506"/>
    <w:rsid w:val="00881524"/>
    <w:rsid w:val="0088152D"/>
    <w:rsid w:val="00881541"/>
    <w:rsid w:val="0088158B"/>
    <w:rsid w:val="008815AA"/>
    <w:rsid w:val="008815F4"/>
    <w:rsid w:val="008815FC"/>
    <w:rsid w:val="00881624"/>
    <w:rsid w:val="00881649"/>
    <w:rsid w:val="0088166D"/>
    <w:rsid w:val="00881731"/>
    <w:rsid w:val="0088175F"/>
    <w:rsid w:val="0088178C"/>
    <w:rsid w:val="008817C8"/>
    <w:rsid w:val="008817DC"/>
    <w:rsid w:val="00881819"/>
    <w:rsid w:val="00881893"/>
    <w:rsid w:val="00881894"/>
    <w:rsid w:val="008819DE"/>
    <w:rsid w:val="008819F3"/>
    <w:rsid w:val="00881A2D"/>
    <w:rsid w:val="00881A9E"/>
    <w:rsid w:val="00881AA4"/>
    <w:rsid w:val="00881AE7"/>
    <w:rsid w:val="00881B4C"/>
    <w:rsid w:val="00881B9D"/>
    <w:rsid w:val="00881BC0"/>
    <w:rsid w:val="00881BF7"/>
    <w:rsid w:val="00881C14"/>
    <w:rsid w:val="00881C38"/>
    <w:rsid w:val="00881C57"/>
    <w:rsid w:val="00881C5D"/>
    <w:rsid w:val="00881C78"/>
    <w:rsid w:val="00881C82"/>
    <w:rsid w:val="00881CA5"/>
    <w:rsid w:val="00881CCE"/>
    <w:rsid w:val="00881D05"/>
    <w:rsid w:val="00881D59"/>
    <w:rsid w:val="00881D84"/>
    <w:rsid w:val="00881DA4"/>
    <w:rsid w:val="00881DE7"/>
    <w:rsid w:val="00881DE9"/>
    <w:rsid w:val="00881DEA"/>
    <w:rsid w:val="00881E03"/>
    <w:rsid w:val="00881E09"/>
    <w:rsid w:val="00881E2F"/>
    <w:rsid w:val="00881EAD"/>
    <w:rsid w:val="00881EAF"/>
    <w:rsid w:val="00881EC3"/>
    <w:rsid w:val="00881F39"/>
    <w:rsid w:val="00881F53"/>
    <w:rsid w:val="00881F56"/>
    <w:rsid w:val="00881FB7"/>
    <w:rsid w:val="00881FBF"/>
    <w:rsid w:val="00881FC5"/>
    <w:rsid w:val="00881FD9"/>
    <w:rsid w:val="00881FF1"/>
    <w:rsid w:val="00882001"/>
    <w:rsid w:val="0088206C"/>
    <w:rsid w:val="008820DA"/>
    <w:rsid w:val="00882150"/>
    <w:rsid w:val="008821CB"/>
    <w:rsid w:val="008821F5"/>
    <w:rsid w:val="0088220C"/>
    <w:rsid w:val="00882227"/>
    <w:rsid w:val="008822B4"/>
    <w:rsid w:val="008822E6"/>
    <w:rsid w:val="008822FC"/>
    <w:rsid w:val="00882310"/>
    <w:rsid w:val="00882322"/>
    <w:rsid w:val="0088236A"/>
    <w:rsid w:val="00882374"/>
    <w:rsid w:val="00882376"/>
    <w:rsid w:val="0088238A"/>
    <w:rsid w:val="0088239E"/>
    <w:rsid w:val="008823AE"/>
    <w:rsid w:val="008823B7"/>
    <w:rsid w:val="008823D0"/>
    <w:rsid w:val="00882423"/>
    <w:rsid w:val="0088244C"/>
    <w:rsid w:val="008824A9"/>
    <w:rsid w:val="008824C6"/>
    <w:rsid w:val="008824F8"/>
    <w:rsid w:val="00882552"/>
    <w:rsid w:val="0088257A"/>
    <w:rsid w:val="00882582"/>
    <w:rsid w:val="008825BE"/>
    <w:rsid w:val="008825C7"/>
    <w:rsid w:val="008825D3"/>
    <w:rsid w:val="00882612"/>
    <w:rsid w:val="00882623"/>
    <w:rsid w:val="00882656"/>
    <w:rsid w:val="0088265C"/>
    <w:rsid w:val="0088269C"/>
    <w:rsid w:val="008826AA"/>
    <w:rsid w:val="008826DF"/>
    <w:rsid w:val="00882703"/>
    <w:rsid w:val="008827CD"/>
    <w:rsid w:val="008827FE"/>
    <w:rsid w:val="00882891"/>
    <w:rsid w:val="0088296A"/>
    <w:rsid w:val="00882994"/>
    <w:rsid w:val="008829C0"/>
    <w:rsid w:val="00882A02"/>
    <w:rsid w:val="00882A0B"/>
    <w:rsid w:val="00882A5E"/>
    <w:rsid w:val="00882A68"/>
    <w:rsid w:val="00882A76"/>
    <w:rsid w:val="00882AE3"/>
    <w:rsid w:val="00882B0C"/>
    <w:rsid w:val="00882B46"/>
    <w:rsid w:val="00882BDB"/>
    <w:rsid w:val="00882BDE"/>
    <w:rsid w:val="00882C34"/>
    <w:rsid w:val="00882C6C"/>
    <w:rsid w:val="00882CF0"/>
    <w:rsid w:val="00882CFD"/>
    <w:rsid w:val="00882D32"/>
    <w:rsid w:val="00882DFC"/>
    <w:rsid w:val="00882DFE"/>
    <w:rsid w:val="00882E80"/>
    <w:rsid w:val="00882F8E"/>
    <w:rsid w:val="00882FC8"/>
    <w:rsid w:val="0088302B"/>
    <w:rsid w:val="00883060"/>
    <w:rsid w:val="008830A7"/>
    <w:rsid w:val="008830BD"/>
    <w:rsid w:val="00883143"/>
    <w:rsid w:val="00883156"/>
    <w:rsid w:val="00883170"/>
    <w:rsid w:val="008831E4"/>
    <w:rsid w:val="00883217"/>
    <w:rsid w:val="008832BC"/>
    <w:rsid w:val="008832DF"/>
    <w:rsid w:val="00883321"/>
    <w:rsid w:val="0088338B"/>
    <w:rsid w:val="008833FA"/>
    <w:rsid w:val="00883400"/>
    <w:rsid w:val="00883415"/>
    <w:rsid w:val="00883463"/>
    <w:rsid w:val="00883468"/>
    <w:rsid w:val="0088355B"/>
    <w:rsid w:val="00883673"/>
    <w:rsid w:val="00883679"/>
    <w:rsid w:val="008836C8"/>
    <w:rsid w:val="008836DB"/>
    <w:rsid w:val="0088372E"/>
    <w:rsid w:val="00883741"/>
    <w:rsid w:val="0088375A"/>
    <w:rsid w:val="00883808"/>
    <w:rsid w:val="00883842"/>
    <w:rsid w:val="00883908"/>
    <w:rsid w:val="0088395F"/>
    <w:rsid w:val="00883979"/>
    <w:rsid w:val="0088398E"/>
    <w:rsid w:val="008839C7"/>
    <w:rsid w:val="008839C8"/>
    <w:rsid w:val="00883A1A"/>
    <w:rsid w:val="00883AF5"/>
    <w:rsid w:val="00883B3B"/>
    <w:rsid w:val="00883B9A"/>
    <w:rsid w:val="00883BA6"/>
    <w:rsid w:val="00883BAB"/>
    <w:rsid w:val="00883BEE"/>
    <w:rsid w:val="00883C0B"/>
    <w:rsid w:val="00883C0E"/>
    <w:rsid w:val="00883C37"/>
    <w:rsid w:val="00883C41"/>
    <w:rsid w:val="00883D06"/>
    <w:rsid w:val="00883D16"/>
    <w:rsid w:val="00883D5C"/>
    <w:rsid w:val="00883E44"/>
    <w:rsid w:val="00883E50"/>
    <w:rsid w:val="00883E65"/>
    <w:rsid w:val="00883ECD"/>
    <w:rsid w:val="00883ED9"/>
    <w:rsid w:val="00883EE5"/>
    <w:rsid w:val="00883F2D"/>
    <w:rsid w:val="0088404E"/>
    <w:rsid w:val="0088409D"/>
    <w:rsid w:val="008840E9"/>
    <w:rsid w:val="008840F6"/>
    <w:rsid w:val="00884149"/>
    <w:rsid w:val="008841BC"/>
    <w:rsid w:val="008841F5"/>
    <w:rsid w:val="0088420F"/>
    <w:rsid w:val="00884239"/>
    <w:rsid w:val="008842C8"/>
    <w:rsid w:val="008842F3"/>
    <w:rsid w:val="0088433F"/>
    <w:rsid w:val="00884358"/>
    <w:rsid w:val="00884364"/>
    <w:rsid w:val="00884428"/>
    <w:rsid w:val="00884452"/>
    <w:rsid w:val="00884455"/>
    <w:rsid w:val="00884464"/>
    <w:rsid w:val="0088448A"/>
    <w:rsid w:val="008844EE"/>
    <w:rsid w:val="008844EF"/>
    <w:rsid w:val="00884529"/>
    <w:rsid w:val="00884557"/>
    <w:rsid w:val="00884566"/>
    <w:rsid w:val="0088456A"/>
    <w:rsid w:val="0088456F"/>
    <w:rsid w:val="008845AF"/>
    <w:rsid w:val="008846AD"/>
    <w:rsid w:val="008846D3"/>
    <w:rsid w:val="0088474A"/>
    <w:rsid w:val="00884786"/>
    <w:rsid w:val="008847A5"/>
    <w:rsid w:val="00884811"/>
    <w:rsid w:val="00884824"/>
    <w:rsid w:val="008848A8"/>
    <w:rsid w:val="008848AB"/>
    <w:rsid w:val="008848B5"/>
    <w:rsid w:val="008848D6"/>
    <w:rsid w:val="0088492D"/>
    <w:rsid w:val="00884956"/>
    <w:rsid w:val="008849A8"/>
    <w:rsid w:val="00884A26"/>
    <w:rsid w:val="00884AAF"/>
    <w:rsid w:val="00884AD5"/>
    <w:rsid w:val="00884ADF"/>
    <w:rsid w:val="00884AE5"/>
    <w:rsid w:val="00884AF9"/>
    <w:rsid w:val="00884B66"/>
    <w:rsid w:val="00884B73"/>
    <w:rsid w:val="00884B8E"/>
    <w:rsid w:val="00884BC3"/>
    <w:rsid w:val="00884BCF"/>
    <w:rsid w:val="00884BD1"/>
    <w:rsid w:val="00884BD8"/>
    <w:rsid w:val="00884CBA"/>
    <w:rsid w:val="00884D51"/>
    <w:rsid w:val="00884D87"/>
    <w:rsid w:val="00884DAA"/>
    <w:rsid w:val="00884DBC"/>
    <w:rsid w:val="00884DBD"/>
    <w:rsid w:val="00884E0A"/>
    <w:rsid w:val="00884E10"/>
    <w:rsid w:val="00884E38"/>
    <w:rsid w:val="00884E52"/>
    <w:rsid w:val="00884EB4"/>
    <w:rsid w:val="00884EE9"/>
    <w:rsid w:val="00884F1C"/>
    <w:rsid w:val="00884F20"/>
    <w:rsid w:val="00884F39"/>
    <w:rsid w:val="00884F89"/>
    <w:rsid w:val="00884FEC"/>
    <w:rsid w:val="00884FF3"/>
    <w:rsid w:val="00885040"/>
    <w:rsid w:val="00885075"/>
    <w:rsid w:val="00885085"/>
    <w:rsid w:val="0088508A"/>
    <w:rsid w:val="008850AF"/>
    <w:rsid w:val="008850B0"/>
    <w:rsid w:val="008850C2"/>
    <w:rsid w:val="008850DC"/>
    <w:rsid w:val="00885136"/>
    <w:rsid w:val="0088515E"/>
    <w:rsid w:val="008851B1"/>
    <w:rsid w:val="008851D1"/>
    <w:rsid w:val="00885205"/>
    <w:rsid w:val="00885239"/>
    <w:rsid w:val="0088528F"/>
    <w:rsid w:val="008852A0"/>
    <w:rsid w:val="008852D8"/>
    <w:rsid w:val="0088530B"/>
    <w:rsid w:val="0088532D"/>
    <w:rsid w:val="008853A4"/>
    <w:rsid w:val="008853C6"/>
    <w:rsid w:val="0088541C"/>
    <w:rsid w:val="0088541E"/>
    <w:rsid w:val="0088549B"/>
    <w:rsid w:val="008854DD"/>
    <w:rsid w:val="008854FD"/>
    <w:rsid w:val="00885529"/>
    <w:rsid w:val="00885545"/>
    <w:rsid w:val="0088556F"/>
    <w:rsid w:val="00885594"/>
    <w:rsid w:val="00885598"/>
    <w:rsid w:val="0088568B"/>
    <w:rsid w:val="008856DA"/>
    <w:rsid w:val="008856ED"/>
    <w:rsid w:val="00885754"/>
    <w:rsid w:val="00885776"/>
    <w:rsid w:val="008857B5"/>
    <w:rsid w:val="00885809"/>
    <w:rsid w:val="00885838"/>
    <w:rsid w:val="0088587E"/>
    <w:rsid w:val="008858ED"/>
    <w:rsid w:val="00885901"/>
    <w:rsid w:val="00885912"/>
    <w:rsid w:val="00885916"/>
    <w:rsid w:val="0088592A"/>
    <w:rsid w:val="0088597D"/>
    <w:rsid w:val="0088599A"/>
    <w:rsid w:val="008859AE"/>
    <w:rsid w:val="008859CF"/>
    <w:rsid w:val="008859FF"/>
    <w:rsid w:val="00885A3C"/>
    <w:rsid w:val="00885A3D"/>
    <w:rsid w:val="00885A48"/>
    <w:rsid w:val="00885A49"/>
    <w:rsid w:val="00885A4C"/>
    <w:rsid w:val="00885AAA"/>
    <w:rsid w:val="00885AAB"/>
    <w:rsid w:val="00885AC0"/>
    <w:rsid w:val="00885AD6"/>
    <w:rsid w:val="00885ADF"/>
    <w:rsid w:val="00885B3C"/>
    <w:rsid w:val="00885B54"/>
    <w:rsid w:val="00885B6E"/>
    <w:rsid w:val="00885B85"/>
    <w:rsid w:val="00885C37"/>
    <w:rsid w:val="00885C48"/>
    <w:rsid w:val="00885D16"/>
    <w:rsid w:val="00885D39"/>
    <w:rsid w:val="00885D4F"/>
    <w:rsid w:val="00885D5B"/>
    <w:rsid w:val="00885D73"/>
    <w:rsid w:val="00885D7F"/>
    <w:rsid w:val="00885D8E"/>
    <w:rsid w:val="00885D99"/>
    <w:rsid w:val="00885DCF"/>
    <w:rsid w:val="00885E48"/>
    <w:rsid w:val="00885E6A"/>
    <w:rsid w:val="00885E73"/>
    <w:rsid w:val="00885E85"/>
    <w:rsid w:val="00885E95"/>
    <w:rsid w:val="00885F1C"/>
    <w:rsid w:val="00885F3D"/>
    <w:rsid w:val="00885F7A"/>
    <w:rsid w:val="00885F85"/>
    <w:rsid w:val="00885FDF"/>
    <w:rsid w:val="00885FF5"/>
    <w:rsid w:val="0088604D"/>
    <w:rsid w:val="00886084"/>
    <w:rsid w:val="008860C2"/>
    <w:rsid w:val="00886123"/>
    <w:rsid w:val="00886131"/>
    <w:rsid w:val="0088615A"/>
    <w:rsid w:val="00886195"/>
    <w:rsid w:val="00886247"/>
    <w:rsid w:val="00886315"/>
    <w:rsid w:val="0088631D"/>
    <w:rsid w:val="0088632C"/>
    <w:rsid w:val="0088634F"/>
    <w:rsid w:val="00886368"/>
    <w:rsid w:val="00886373"/>
    <w:rsid w:val="0088639C"/>
    <w:rsid w:val="00886420"/>
    <w:rsid w:val="0088642A"/>
    <w:rsid w:val="0088642C"/>
    <w:rsid w:val="00886473"/>
    <w:rsid w:val="00886484"/>
    <w:rsid w:val="0088648A"/>
    <w:rsid w:val="008864AC"/>
    <w:rsid w:val="008864AD"/>
    <w:rsid w:val="008864BA"/>
    <w:rsid w:val="008864D6"/>
    <w:rsid w:val="00886568"/>
    <w:rsid w:val="008865D7"/>
    <w:rsid w:val="008865DD"/>
    <w:rsid w:val="00886606"/>
    <w:rsid w:val="008866A6"/>
    <w:rsid w:val="008866B2"/>
    <w:rsid w:val="008866C4"/>
    <w:rsid w:val="00886725"/>
    <w:rsid w:val="00886733"/>
    <w:rsid w:val="00886738"/>
    <w:rsid w:val="0088674A"/>
    <w:rsid w:val="008867B1"/>
    <w:rsid w:val="008867BC"/>
    <w:rsid w:val="008867CF"/>
    <w:rsid w:val="00886804"/>
    <w:rsid w:val="008868A5"/>
    <w:rsid w:val="00886944"/>
    <w:rsid w:val="0088695C"/>
    <w:rsid w:val="00886977"/>
    <w:rsid w:val="00886987"/>
    <w:rsid w:val="0088698B"/>
    <w:rsid w:val="008869F7"/>
    <w:rsid w:val="008869FE"/>
    <w:rsid w:val="00886A10"/>
    <w:rsid w:val="00886A21"/>
    <w:rsid w:val="00886A3E"/>
    <w:rsid w:val="00886A74"/>
    <w:rsid w:val="00886A85"/>
    <w:rsid w:val="00886B6B"/>
    <w:rsid w:val="00886BC8"/>
    <w:rsid w:val="00886BEA"/>
    <w:rsid w:val="00886C24"/>
    <w:rsid w:val="00886C2E"/>
    <w:rsid w:val="00886CA8"/>
    <w:rsid w:val="00886CB3"/>
    <w:rsid w:val="00886D00"/>
    <w:rsid w:val="00886D08"/>
    <w:rsid w:val="00886DBF"/>
    <w:rsid w:val="00886DE8"/>
    <w:rsid w:val="00886DFA"/>
    <w:rsid w:val="00886E54"/>
    <w:rsid w:val="00886FFC"/>
    <w:rsid w:val="00887005"/>
    <w:rsid w:val="0088704D"/>
    <w:rsid w:val="0088705B"/>
    <w:rsid w:val="00887078"/>
    <w:rsid w:val="008870B0"/>
    <w:rsid w:val="008870CD"/>
    <w:rsid w:val="0088712A"/>
    <w:rsid w:val="0088712E"/>
    <w:rsid w:val="0088722F"/>
    <w:rsid w:val="0088723F"/>
    <w:rsid w:val="00887251"/>
    <w:rsid w:val="00887253"/>
    <w:rsid w:val="008872A5"/>
    <w:rsid w:val="008872B3"/>
    <w:rsid w:val="008872D0"/>
    <w:rsid w:val="008872F1"/>
    <w:rsid w:val="00887335"/>
    <w:rsid w:val="008873E1"/>
    <w:rsid w:val="008873ED"/>
    <w:rsid w:val="008874AD"/>
    <w:rsid w:val="008874D5"/>
    <w:rsid w:val="008874D7"/>
    <w:rsid w:val="008874F3"/>
    <w:rsid w:val="008874F8"/>
    <w:rsid w:val="00887508"/>
    <w:rsid w:val="00887541"/>
    <w:rsid w:val="0088756B"/>
    <w:rsid w:val="0088759D"/>
    <w:rsid w:val="0088759F"/>
    <w:rsid w:val="008875AF"/>
    <w:rsid w:val="008875B6"/>
    <w:rsid w:val="00887606"/>
    <w:rsid w:val="0088764F"/>
    <w:rsid w:val="0088768B"/>
    <w:rsid w:val="008876EA"/>
    <w:rsid w:val="00887703"/>
    <w:rsid w:val="0088777E"/>
    <w:rsid w:val="008877BD"/>
    <w:rsid w:val="008877DF"/>
    <w:rsid w:val="008877E3"/>
    <w:rsid w:val="00887826"/>
    <w:rsid w:val="0088782B"/>
    <w:rsid w:val="00887872"/>
    <w:rsid w:val="0088788B"/>
    <w:rsid w:val="00887897"/>
    <w:rsid w:val="008878D5"/>
    <w:rsid w:val="008878F5"/>
    <w:rsid w:val="0088794A"/>
    <w:rsid w:val="00887966"/>
    <w:rsid w:val="00887994"/>
    <w:rsid w:val="00887A3A"/>
    <w:rsid w:val="00887A73"/>
    <w:rsid w:val="00887ABD"/>
    <w:rsid w:val="00887AD1"/>
    <w:rsid w:val="00887B57"/>
    <w:rsid w:val="00887B63"/>
    <w:rsid w:val="00887B8B"/>
    <w:rsid w:val="00887BA5"/>
    <w:rsid w:val="00887BA8"/>
    <w:rsid w:val="00887BE5"/>
    <w:rsid w:val="00887C03"/>
    <w:rsid w:val="00887C1A"/>
    <w:rsid w:val="00887C59"/>
    <w:rsid w:val="00887C60"/>
    <w:rsid w:val="00887CDB"/>
    <w:rsid w:val="00887D21"/>
    <w:rsid w:val="00887D31"/>
    <w:rsid w:val="00887D55"/>
    <w:rsid w:val="00887D76"/>
    <w:rsid w:val="00887D78"/>
    <w:rsid w:val="00887D8A"/>
    <w:rsid w:val="00887D8E"/>
    <w:rsid w:val="00887DB3"/>
    <w:rsid w:val="00887DBE"/>
    <w:rsid w:val="00887DFC"/>
    <w:rsid w:val="00887E53"/>
    <w:rsid w:val="00887E59"/>
    <w:rsid w:val="00887E9D"/>
    <w:rsid w:val="00887EE8"/>
    <w:rsid w:val="00887EEB"/>
    <w:rsid w:val="00887F36"/>
    <w:rsid w:val="00887F7D"/>
    <w:rsid w:val="00887F81"/>
    <w:rsid w:val="00887F8A"/>
    <w:rsid w:val="00887F94"/>
    <w:rsid w:val="00887F9F"/>
    <w:rsid w:val="00887FB6"/>
    <w:rsid w:val="00887FBE"/>
    <w:rsid w:val="00887FE5"/>
    <w:rsid w:val="00890000"/>
    <w:rsid w:val="00890010"/>
    <w:rsid w:val="00890081"/>
    <w:rsid w:val="00890096"/>
    <w:rsid w:val="008900C5"/>
    <w:rsid w:val="008900DD"/>
    <w:rsid w:val="00890114"/>
    <w:rsid w:val="00890123"/>
    <w:rsid w:val="0089012F"/>
    <w:rsid w:val="00890154"/>
    <w:rsid w:val="0089021A"/>
    <w:rsid w:val="0089023A"/>
    <w:rsid w:val="00890248"/>
    <w:rsid w:val="00890254"/>
    <w:rsid w:val="00890261"/>
    <w:rsid w:val="00890263"/>
    <w:rsid w:val="0089030B"/>
    <w:rsid w:val="0089035B"/>
    <w:rsid w:val="0089037E"/>
    <w:rsid w:val="0089038A"/>
    <w:rsid w:val="0089039D"/>
    <w:rsid w:val="008903A1"/>
    <w:rsid w:val="008903A3"/>
    <w:rsid w:val="008903C5"/>
    <w:rsid w:val="00890437"/>
    <w:rsid w:val="00890443"/>
    <w:rsid w:val="00890458"/>
    <w:rsid w:val="00890463"/>
    <w:rsid w:val="008904AE"/>
    <w:rsid w:val="008904CC"/>
    <w:rsid w:val="008905DB"/>
    <w:rsid w:val="008905DD"/>
    <w:rsid w:val="008905E4"/>
    <w:rsid w:val="0089061B"/>
    <w:rsid w:val="00890648"/>
    <w:rsid w:val="0089065D"/>
    <w:rsid w:val="00890690"/>
    <w:rsid w:val="008906F6"/>
    <w:rsid w:val="00890711"/>
    <w:rsid w:val="0089071C"/>
    <w:rsid w:val="0089076B"/>
    <w:rsid w:val="0089077D"/>
    <w:rsid w:val="00890794"/>
    <w:rsid w:val="008907C6"/>
    <w:rsid w:val="008907DA"/>
    <w:rsid w:val="008907FD"/>
    <w:rsid w:val="00890827"/>
    <w:rsid w:val="00890841"/>
    <w:rsid w:val="0089089B"/>
    <w:rsid w:val="0089089C"/>
    <w:rsid w:val="008908BA"/>
    <w:rsid w:val="008908F1"/>
    <w:rsid w:val="00890968"/>
    <w:rsid w:val="0089098F"/>
    <w:rsid w:val="00890A16"/>
    <w:rsid w:val="00890A6B"/>
    <w:rsid w:val="00890A79"/>
    <w:rsid w:val="00890AC0"/>
    <w:rsid w:val="00890AD0"/>
    <w:rsid w:val="00890AEA"/>
    <w:rsid w:val="00890B01"/>
    <w:rsid w:val="00890B1C"/>
    <w:rsid w:val="00890B34"/>
    <w:rsid w:val="00890B75"/>
    <w:rsid w:val="00890B91"/>
    <w:rsid w:val="00890BAF"/>
    <w:rsid w:val="00890BB5"/>
    <w:rsid w:val="00890BEB"/>
    <w:rsid w:val="00890C0F"/>
    <w:rsid w:val="00890C4F"/>
    <w:rsid w:val="00890CBC"/>
    <w:rsid w:val="00890D32"/>
    <w:rsid w:val="00890D62"/>
    <w:rsid w:val="00890DE2"/>
    <w:rsid w:val="00890E04"/>
    <w:rsid w:val="00890E38"/>
    <w:rsid w:val="00890E3D"/>
    <w:rsid w:val="00890E96"/>
    <w:rsid w:val="00890EBB"/>
    <w:rsid w:val="00890EF1"/>
    <w:rsid w:val="00890F0D"/>
    <w:rsid w:val="00890F2A"/>
    <w:rsid w:val="00890F99"/>
    <w:rsid w:val="00890FB9"/>
    <w:rsid w:val="00891040"/>
    <w:rsid w:val="0089104E"/>
    <w:rsid w:val="008910A4"/>
    <w:rsid w:val="0089111E"/>
    <w:rsid w:val="0089113A"/>
    <w:rsid w:val="00891167"/>
    <w:rsid w:val="0089117F"/>
    <w:rsid w:val="008911CC"/>
    <w:rsid w:val="008911D2"/>
    <w:rsid w:val="0089121A"/>
    <w:rsid w:val="008912A3"/>
    <w:rsid w:val="008912A6"/>
    <w:rsid w:val="00891318"/>
    <w:rsid w:val="00891346"/>
    <w:rsid w:val="0089134D"/>
    <w:rsid w:val="00891386"/>
    <w:rsid w:val="008913E0"/>
    <w:rsid w:val="0089142E"/>
    <w:rsid w:val="00891437"/>
    <w:rsid w:val="00891486"/>
    <w:rsid w:val="0089148A"/>
    <w:rsid w:val="00891491"/>
    <w:rsid w:val="00891498"/>
    <w:rsid w:val="008914C6"/>
    <w:rsid w:val="0089151B"/>
    <w:rsid w:val="0089156E"/>
    <w:rsid w:val="00891574"/>
    <w:rsid w:val="00891587"/>
    <w:rsid w:val="0089160A"/>
    <w:rsid w:val="00891620"/>
    <w:rsid w:val="00891638"/>
    <w:rsid w:val="00891656"/>
    <w:rsid w:val="0089168A"/>
    <w:rsid w:val="00891690"/>
    <w:rsid w:val="008916BD"/>
    <w:rsid w:val="00891707"/>
    <w:rsid w:val="00891772"/>
    <w:rsid w:val="008917A6"/>
    <w:rsid w:val="008917AE"/>
    <w:rsid w:val="008917D0"/>
    <w:rsid w:val="0089184A"/>
    <w:rsid w:val="0089187E"/>
    <w:rsid w:val="008918C7"/>
    <w:rsid w:val="008918CB"/>
    <w:rsid w:val="008918E1"/>
    <w:rsid w:val="008918E7"/>
    <w:rsid w:val="008918ED"/>
    <w:rsid w:val="008918EE"/>
    <w:rsid w:val="0089190B"/>
    <w:rsid w:val="008919C3"/>
    <w:rsid w:val="008919DA"/>
    <w:rsid w:val="00891A14"/>
    <w:rsid w:val="00891A57"/>
    <w:rsid w:val="00891A84"/>
    <w:rsid w:val="00891B89"/>
    <w:rsid w:val="00891BFB"/>
    <w:rsid w:val="00891C4E"/>
    <w:rsid w:val="00891CE2"/>
    <w:rsid w:val="00891D2B"/>
    <w:rsid w:val="00891D39"/>
    <w:rsid w:val="00891DA1"/>
    <w:rsid w:val="00891DAA"/>
    <w:rsid w:val="00891DFB"/>
    <w:rsid w:val="00891E45"/>
    <w:rsid w:val="00891E93"/>
    <w:rsid w:val="00891F10"/>
    <w:rsid w:val="00891F30"/>
    <w:rsid w:val="00891FEA"/>
    <w:rsid w:val="00892015"/>
    <w:rsid w:val="0089208A"/>
    <w:rsid w:val="008920B9"/>
    <w:rsid w:val="00892132"/>
    <w:rsid w:val="00892147"/>
    <w:rsid w:val="00892164"/>
    <w:rsid w:val="00892262"/>
    <w:rsid w:val="0089226E"/>
    <w:rsid w:val="00892279"/>
    <w:rsid w:val="008922E2"/>
    <w:rsid w:val="008922FE"/>
    <w:rsid w:val="00892305"/>
    <w:rsid w:val="00892386"/>
    <w:rsid w:val="0089243B"/>
    <w:rsid w:val="008924BA"/>
    <w:rsid w:val="0089251E"/>
    <w:rsid w:val="0089256D"/>
    <w:rsid w:val="008925A8"/>
    <w:rsid w:val="008925B6"/>
    <w:rsid w:val="008925FF"/>
    <w:rsid w:val="00892629"/>
    <w:rsid w:val="0089266C"/>
    <w:rsid w:val="00892670"/>
    <w:rsid w:val="008926CE"/>
    <w:rsid w:val="008926E3"/>
    <w:rsid w:val="0089270C"/>
    <w:rsid w:val="00892715"/>
    <w:rsid w:val="00892774"/>
    <w:rsid w:val="0089279A"/>
    <w:rsid w:val="008927DB"/>
    <w:rsid w:val="008928DA"/>
    <w:rsid w:val="00892914"/>
    <w:rsid w:val="00892917"/>
    <w:rsid w:val="0089292F"/>
    <w:rsid w:val="00892941"/>
    <w:rsid w:val="00892983"/>
    <w:rsid w:val="00892990"/>
    <w:rsid w:val="008929A1"/>
    <w:rsid w:val="008929CF"/>
    <w:rsid w:val="00892A84"/>
    <w:rsid w:val="00892A98"/>
    <w:rsid w:val="00892AE1"/>
    <w:rsid w:val="00892AE7"/>
    <w:rsid w:val="00892B14"/>
    <w:rsid w:val="00892B89"/>
    <w:rsid w:val="00892B91"/>
    <w:rsid w:val="00892BD8"/>
    <w:rsid w:val="00892C71"/>
    <w:rsid w:val="00892CB3"/>
    <w:rsid w:val="00892D52"/>
    <w:rsid w:val="00892D64"/>
    <w:rsid w:val="00892D72"/>
    <w:rsid w:val="00892D78"/>
    <w:rsid w:val="00892D8F"/>
    <w:rsid w:val="00892E60"/>
    <w:rsid w:val="00892E9E"/>
    <w:rsid w:val="00892EC6"/>
    <w:rsid w:val="00892EE9"/>
    <w:rsid w:val="00892F58"/>
    <w:rsid w:val="00892F84"/>
    <w:rsid w:val="00892FE7"/>
    <w:rsid w:val="00892FF3"/>
    <w:rsid w:val="0089300E"/>
    <w:rsid w:val="008930B0"/>
    <w:rsid w:val="0089315F"/>
    <w:rsid w:val="00893178"/>
    <w:rsid w:val="008931B0"/>
    <w:rsid w:val="008931F2"/>
    <w:rsid w:val="008931F4"/>
    <w:rsid w:val="00893204"/>
    <w:rsid w:val="00893207"/>
    <w:rsid w:val="00893253"/>
    <w:rsid w:val="00893284"/>
    <w:rsid w:val="008932C1"/>
    <w:rsid w:val="0089339D"/>
    <w:rsid w:val="0089339F"/>
    <w:rsid w:val="008933D2"/>
    <w:rsid w:val="008933E4"/>
    <w:rsid w:val="00893433"/>
    <w:rsid w:val="0089345F"/>
    <w:rsid w:val="00893491"/>
    <w:rsid w:val="008934A5"/>
    <w:rsid w:val="0089354B"/>
    <w:rsid w:val="00893577"/>
    <w:rsid w:val="00893599"/>
    <w:rsid w:val="008935B1"/>
    <w:rsid w:val="008935CF"/>
    <w:rsid w:val="0089362B"/>
    <w:rsid w:val="0089368A"/>
    <w:rsid w:val="008936AF"/>
    <w:rsid w:val="008936E6"/>
    <w:rsid w:val="008937AD"/>
    <w:rsid w:val="00893825"/>
    <w:rsid w:val="008938B3"/>
    <w:rsid w:val="008938D0"/>
    <w:rsid w:val="0089391E"/>
    <w:rsid w:val="00893945"/>
    <w:rsid w:val="00893968"/>
    <w:rsid w:val="008939A4"/>
    <w:rsid w:val="008939C8"/>
    <w:rsid w:val="00893A55"/>
    <w:rsid w:val="00893B02"/>
    <w:rsid w:val="00893B19"/>
    <w:rsid w:val="00893B5C"/>
    <w:rsid w:val="00893B83"/>
    <w:rsid w:val="00893BF8"/>
    <w:rsid w:val="00893CE0"/>
    <w:rsid w:val="00893CED"/>
    <w:rsid w:val="00893CF8"/>
    <w:rsid w:val="00893D1A"/>
    <w:rsid w:val="00893D67"/>
    <w:rsid w:val="00893D99"/>
    <w:rsid w:val="00893DB8"/>
    <w:rsid w:val="00893E24"/>
    <w:rsid w:val="00893E45"/>
    <w:rsid w:val="00893E9E"/>
    <w:rsid w:val="00893EC9"/>
    <w:rsid w:val="00893EE4"/>
    <w:rsid w:val="00893F06"/>
    <w:rsid w:val="00893F13"/>
    <w:rsid w:val="00893F2F"/>
    <w:rsid w:val="00893F46"/>
    <w:rsid w:val="00893FBE"/>
    <w:rsid w:val="00894027"/>
    <w:rsid w:val="00894065"/>
    <w:rsid w:val="008941CF"/>
    <w:rsid w:val="008941DB"/>
    <w:rsid w:val="0089422B"/>
    <w:rsid w:val="0089423D"/>
    <w:rsid w:val="0089425E"/>
    <w:rsid w:val="008942B2"/>
    <w:rsid w:val="0089437E"/>
    <w:rsid w:val="008943CA"/>
    <w:rsid w:val="008943D3"/>
    <w:rsid w:val="008943D6"/>
    <w:rsid w:val="00894432"/>
    <w:rsid w:val="008944BA"/>
    <w:rsid w:val="0089450D"/>
    <w:rsid w:val="00894517"/>
    <w:rsid w:val="0089454F"/>
    <w:rsid w:val="0089459F"/>
    <w:rsid w:val="008945C9"/>
    <w:rsid w:val="008945F9"/>
    <w:rsid w:val="00894609"/>
    <w:rsid w:val="00894631"/>
    <w:rsid w:val="0089466C"/>
    <w:rsid w:val="00894672"/>
    <w:rsid w:val="00894688"/>
    <w:rsid w:val="0089468A"/>
    <w:rsid w:val="0089469F"/>
    <w:rsid w:val="008946F1"/>
    <w:rsid w:val="00894749"/>
    <w:rsid w:val="0089474F"/>
    <w:rsid w:val="00894784"/>
    <w:rsid w:val="008947AA"/>
    <w:rsid w:val="008947AF"/>
    <w:rsid w:val="008947CF"/>
    <w:rsid w:val="008947FF"/>
    <w:rsid w:val="0089482E"/>
    <w:rsid w:val="00894851"/>
    <w:rsid w:val="008948A7"/>
    <w:rsid w:val="008948AB"/>
    <w:rsid w:val="008948C0"/>
    <w:rsid w:val="0089491E"/>
    <w:rsid w:val="0089492C"/>
    <w:rsid w:val="0089497F"/>
    <w:rsid w:val="008949CA"/>
    <w:rsid w:val="008949DD"/>
    <w:rsid w:val="008949FF"/>
    <w:rsid w:val="00894A09"/>
    <w:rsid w:val="00894A16"/>
    <w:rsid w:val="00894A38"/>
    <w:rsid w:val="00894AAD"/>
    <w:rsid w:val="00894ACF"/>
    <w:rsid w:val="00894AE5"/>
    <w:rsid w:val="00894AFC"/>
    <w:rsid w:val="00894B19"/>
    <w:rsid w:val="00894B4D"/>
    <w:rsid w:val="00894B96"/>
    <w:rsid w:val="00894BA9"/>
    <w:rsid w:val="00894C01"/>
    <w:rsid w:val="00894C0F"/>
    <w:rsid w:val="00894C4F"/>
    <w:rsid w:val="00894C69"/>
    <w:rsid w:val="00894CF4"/>
    <w:rsid w:val="00894D52"/>
    <w:rsid w:val="00894DB3"/>
    <w:rsid w:val="00894E2B"/>
    <w:rsid w:val="00894E8C"/>
    <w:rsid w:val="00894EBB"/>
    <w:rsid w:val="00894F26"/>
    <w:rsid w:val="00894F68"/>
    <w:rsid w:val="00894F95"/>
    <w:rsid w:val="0089502A"/>
    <w:rsid w:val="0089502B"/>
    <w:rsid w:val="0089503D"/>
    <w:rsid w:val="0089506E"/>
    <w:rsid w:val="008950CB"/>
    <w:rsid w:val="00895111"/>
    <w:rsid w:val="0089512D"/>
    <w:rsid w:val="00895138"/>
    <w:rsid w:val="0089518B"/>
    <w:rsid w:val="008951BB"/>
    <w:rsid w:val="008951F7"/>
    <w:rsid w:val="00895207"/>
    <w:rsid w:val="0089522F"/>
    <w:rsid w:val="00895231"/>
    <w:rsid w:val="008952E2"/>
    <w:rsid w:val="008952F1"/>
    <w:rsid w:val="008952F5"/>
    <w:rsid w:val="008953AB"/>
    <w:rsid w:val="00895429"/>
    <w:rsid w:val="00895486"/>
    <w:rsid w:val="00895511"/>
    <w:rsid w:val="00895558"/>
    <w:rsid w:val="00895584"/>
    <w:rsid w:val="008955CD"/>
    <w:rsid w:val="0089578D"/>
    <w:rsid w:val="0089579E"/>
    <w:rsid w:val="008957CC"/>
    <w:rsid w:val="008957DC"/>
    <w:rsid w:val="00895802"/>
    <w:rsid w:val="00895804"/>
    <w:rsid w:val="008958CB"/>
    <w:rsid w:val="00895966"/>
    <w:rsid w:val="008959F7"/>
    <w:rsid w:val="00895A4B"/>
    <w:rsid w:val="00895A9B"/>
    <w:rsid w:val="00895AEE"/>
    <w:rsid w:val="00895B43"/>
    <w:rsid w:val="00895B52"/>
    <w:rsid w:val="00895B75"/>
    <w:rsid w:val="00895B95"/>
    <w:rsid w:val="00895BA5"/>
    <w:rsid w:val="00895BA9"/>
    <w:rsid w:val="00895BD1"/>
    <w:rsid w:val="00895C5B"/>
    <w:rsid w:val="00895C78"/>
    <w:rsid w:val="00895C93"/>
    <w:rsid w:val="00895CBB"/>
    <w:rsid w:val="00895CC4"/>
    <w:rsid w:val="00895CD1"/>
    <w:rsid w:val="00895CD6"/>
    <w:rsid w:val="00895D0C"/>
    <w:rsid w:val="00895D11"/>
    <w:rsid w:val="00895D4D"/>
    <w:rsid w:val="00895D8E"/>
    <w:rsid w:val="00895DC1"/>
    <w:rsid w:val="00895DD1"/>
    <w:rsid w:val="00895E4C"/>
    <w:rsid w:val="00895EC1"/>
    <w:rsid w:val="00895F06"/>
    <w:rsid w:val="00895F75"/>
    <w:rsid w:val="00896036"/>
    <w:rsid w:val="00896051"/>
    <w:rsid w:val="00896053"/>
    <w:rsid w:val="0089605D"/>
    <w:rsid w:val="00896068"/>
    <w:rsid w:val="00896094"/>
    <w:rsid w:val="008960A9"/>
    <w:rsid w:val="0089610F"/>
    <w:rsid w:val="00896112"/>
    <w:rsid w:val="00896139"/>
    <w:rsid w:val="00896174"/>
    <w:rsid w:val="00896189"/>
    <w:rsid w:val="00896211"/>
    <w:rsid w:val="0089622F"/>
    <w:rsid w:val="00896286"/>
    <w:rsid w:val="008962B0"/>
    <w:rsid w:val="008962D0"/>
    <w:rsid w:val="008962D5"/>
    <w:rsid w:val="008962DF"/>
    <w:rsid w:val="008962E4"/>
    <w:rsid w:val="00896318"/>
    <w:rsid w:val="0089634B"/>
    <w:rsid w:val="00896355"/>
    <w:rsid w:val="0089635C"/>
    <w:rsid w:val="00896372"/>
    <w:rsid w:val="0089638E"/>
    <w:rsid w:val="008963B7"/>
    <w:rsid w:val="008963B9"/>
    <w:rsid w:val="008963DD"/>
    <w:rsid w:val="0089640D"/>
    <w:rsid w:val="0089645A"/>
    <w:rsid w:val="008964A2"/>
    <w:rsid w:val="008964A5"/>
    <w:rsid w:val="00896535"/>
    <w:rsid w:val="0089655B"/>
    <w:rsid w:val="0089658F"/>
    <w:rsid w:val="008965A8"/>
    <w:rsid w:val="008965B1"/>
    <w:rsid w:val="00896628"/>
    <w:rsid w:val="00896636"/>
    <w:rsid w:val="008966D4"/>
    <w:rsid w:val="008966DB"/>
    <w:rsid w:val="008966DC"/>
    <w:rsid w:val="00896735"/>
    <w:rsid w:val="0089674B"/>
    <w:rsid w:val="00896796"/>
    <w:rsid w:val="008967B0"/>
    <w:rsid w:val="008967BC"/>
    <w:rsid w:val="0089682F"/>
    <w:rsid w:val="00896869"/>
    <w:rsid w:val="008968A0"/>
    <w:rsid w:val="00896951"/>
    <w:rsid w:val="00896966"/>
    <w:rsid w:val="00896A08"/>
    <w:rsid w:val="00896A91"/>
    <w:rsid w:val="00896AAA"/>
    <w:rsid w:val="00896AB1"/>
    <w:rsid w:val="00896ACC"/>
    <w:rsid w:val="00896AFF"/>
    <w:rsid w:val="00896B14"/>
    <w:rsid w:val="00896B4A"/>
    <w:rsid w:val="00896B5C"/>
    <w:rsid w:val="00896B77"/>
    <w:rsid w:val="00896BCF"/>
    <w:rsid w:val="00896BF8"/>
    <w:rsid w:val="00896C24"/>
    <w:rsid w:val="00896C4E"/>
    <w:rsid w:val="00896C69"/>
    <w:rsid w:val="00896C6B"/>
    <w:rsid w:val="00896C9B"/>
    <w:rsid w:val="00896CB9"/>
    <w:rsid w:val="00896CBE"/>
    <w:rsid w:val="00896D47"/>
    <w:rsid w:val="00896D9E"/>
    <w:rsid w:val="00896DA2"/>
    <w:rsid w:val="00896DA6"/>
    <w:rsid w:val="00896DD4"/>
    <w:rsid w:val="00896E2E"/>
    <w:rsid w:val="00896E56"/>
    <w:rsid w:val="00896EDF"/>
    <w:rsid w:val="00896EEE"/>
    <w:rsid w:val="00896F27"/>
    <w:rsid w:val="00896F45"/>
    <w:rsid w:val="00896F54"/>
    <w:rsid w:val="00896F62"/>
    <w:rsid w:val="00896FF6"/>
    <w:rsid w:val="0089702E"/>
    <w:rsid w:val="00897060"/>
    <w:rsid w:val="00897068"/>
    <w:rsid w:val="0089707E"/>
    <w:rsid w:val="008970AB"/>
    <w:rsid w:val="008970E1"/>
    <w:rsid w:val="00897130"/>
    <w:rsid w:val="00897132"/>
    <w:rsid w:val="0089716B"/>
    <w:rsid w:val="008971AA"/>
    <w:rsid w:val="008971B4"/>
    <w:rsid w:val="008971BC"/>
    <w:rsid w:val="008971D3"/>
    <w:rsid w:val="008971D9"/>
    <w:rsid w:val="008971E9"/>
    <w:rsid w:val="0089727A"/>
    <w:rsid w:val="008972B1"/>
    <w:rsid w:val="008972BE"/>
    <w:rsid w:val="008972C9"/>
    <w:rsid w:val="0089734D"/>
    <w:rsid w:val="008973B5"/>
    <w:rsid w:val="008973C4"/>
    <w:rsid w:val="008973C9"/>
    <w:rsid w:val="008973EF"/>
    <w:rsid w:val="00897450"/>
    <w:rsid w:val="00897471"/>
    <w:rsid w:val="008974AB"/>
    <w:rsid w:val="00897516"/>
    <w:rsid w:val="0089753E"/>
    <w:rsid w:val="00897579"/>
    <w:rsid w:val="008975BC"/>
    <w:rsid w:val="008975DE"/>
    <w:rsid w:val="008975EC"/>
    <w:rsid w:val="00897649"/>
    <w:rsid w:val="0089767E"/>
    <w:rsid w:val="008976EF"/>
    <w:rsid w:val="00897741"/>
    <w:rsid w:val="0089774B"/>
    <w:rsid w:val="0089775D"/>
    <w:rsid w:val="00897794"/>
    <w:rsid w:val="008977B4"/>
    <w:rsid w:val="00897818"/>
    <w:rsid w:val="0089781C"/>
    <w:rsid w:val="0089783C"/>
    <w:rsid w:val="00897840"/>
    <w:rsid w:val="008978A7"/>
    <w:rsid w:val="008978E3"/>
    <w:rsid w:val="008978E5"/>
    <w:rsid w:val="008978EE"/>
    <w:rsid w:val="00897923"/>
    <w:rsid w:val="00897934"/>
    <w:rsid w:val="0089798E"/>
    <w:rsid w:val="008979AB"/>
    <w:rsid w:val="008979BB"/>
    <w:rsid w:val="008979C2"/>
    <w:rsid w:val="008979D6"/>
    <w:rsid w:val="008979DC"/>
    <w:rsid w:val="008979E5"/>
    <w:rsid w:val="008979E9"/>
    <w:rsid w:val="00897A14"/>
    <w:rsid w:val="00897A5B"/>
    <w:rsid w:val="00897A89"/>
    <w:rsid w:val="00897ACB"/>
    <w:rsid w:val="00897AF1"/>
    <w:rsid w:val="00897B16"/>
    <w:rsid w:val="00897B5E"/>
    <w:rsid w:val="00897BA8"/>
    <w:rsid w:val="00897C0D"/>
    <w:rsid w:val="00897C94"/>
    <w:rsid w:val="00897C96"/>
    <w:rsid w:val="00897CAB"/>
    <w:rsid w:val="00897D40"/>
    <w:rsid w:val="00897D88"/>
    <w:rsid w:val="00897DA2"/>
    <w:rsid w:val="00897DA7"/>
    <w:rsid w:val="00897DD1"/>
    <w:rsid w:val="00897DD9"/>
    <w:rsid w:val="00897DDD"/>
    <w:rsid w:val="00897DE1"/>
    <w:rsid w:val="00897E28"/>
    <w:rsid w:val="00897E2B"/>
    <w:rsid w:val="00897E65"/>
    <w:rsid w:val="00897EA3"/>
    <w:rsid w:val="00897EC3"/>
    <w:rsid w:val="00897EDC"/>
    <w:rsid w:val="00897F13"/>
    <w:rsid w:val="00897F1B"/>
    <w:rsid w:val="00897F2B"/>
    <w:rsid w:val="00897F36"/>
    <w:rsid w:val="00897F42"/>
    <w:rsid w:val="00897F53"/>
    <w:rsid w:val="00897F5C"/>
    <w:rsid w:val="00897F64"/>
    <w:rsid w:val="00897F76"/>
    <w:rsid w:val="00897FB7"/>
    <w:rsid w:val="00897FC0"/>
    <w:rsid w:val="00897FEC"/>
    <w:rsid w:val="008A0057"/>
    <w:rsid w:val="008A013A"/>
    <w:rsid w:val="008A01A6"/>
    <w:rsid w:val="008A02B1"/>
    <w:rsid w:val="008A02C1"/>
    <w:rsid w:val="008A02C2"/>
    <w:rsid w:val="008A02CD"/>
    <w:rsid w:val="008A02D0"/>
    <w:rsid w:val="008A0359"/>
    <w:rsid w:val="008A0365"/>
    <w:rsid w:val="008A039C"/>
    <w:rsid w:val="008A03D9"/>
    <w:rsid w:val="008A03FA"/>
    <w:rsid w:val="008A04B4"/>
    <w:rsid w:val="008A04D8"/>
    <w:rsid w:val="008A0523"/>
    <w:rsid w:val="008A053B"/>
    <w:rsid w:val="008A05BE"/>
    <w:rsid w:val="008A05F7"/>
    <w:rsid w:val="008A0603"/>
    <w:rsid w:val="008A0620"/>
    <w:rsid w:val="008A0675"/>
    <w:rsid w:val="008A0676"/>
    <w:rsid w:val="008A06FE"/>
    <w:rsid w:val="008A07A7"/>
    <w:rsid w:val="008A081A"/>
    <w:rsid w:val="008A086B"/>
    <w:rsid w:val="008A0886"/>
    <w:rsid w:val="008A08C5"/>
    <w:rsid w:val="008A08CB"/>
    <w:rsid w:val="008A08DD"/>
    <w:rsid w:val="008A08F7"/>
    <w:rsid w:val="008A0913"/>
    <w:rsid w:val="008A0984"/>
    <w:rsid w:val="008A09AD"/>
    <w:rsid w:val="008A0A23"/>
    <w:rsid w:val="008A0A3E"/>
    <w:rsid w:val="008A0A55"/>
    <w:rsid w:val="008A0A5A"/>
    <w:rsid w:val="008A0ABC"/>
    <w:rsid w:val="008A0AC9"/>
    <w:rsid w:val="008A0AD8"/>
    <w:rsid w:val="008A0B39"/>
    <w:rsid w:val="008A0B5E"/>
    <w:rsid w:val="008A0B5F"/>
    <w:rsid w:val="008A0B8E"/>
    <w:rsid w:val="008A0BAE"/>
    <w:rsid w:val="008A0C53"/>
    <w:rsid w:val="008A0C59"/>
    <w:rsid w:val="008A0C89"/>
    <w:rsid w:val="008A0CB2"/>
    <w:rsid w:val="008A0CC6"/>
    <w:rsid w:val="008A0D1C"/>
    <w:rsid w:val="008A0D27"/>
    <w:rsid w:val="008A0D62"/>
    <w:rsid w:val="008A0D77"/>
    <w:rsid w:val="008A0E03"/>
    <w:rsid w:val="008A0E1B"/>
    <w:rsid w:val="008A0E61"/>
    <w:rsid w:val="008A0E77"/>
    <w:rsid w:val="008A0EF1"/>
    <w:rsid w:val="008A0F0A"/>
    <w:rsid w:val="008A0F29"/>
    <w:rsid w:val="008A0F2B"/>
    <w:rsid w:val="008A0F8D"/>
    <w:rsid w:val="008A0F9F"/>
    <w:rsid w:val="008A0FBB"/>
    <w:rsid w:val="008A0FE6"/>
    <w:rsid w:val="008A1092"/>
    <w:rsid w:val="008A109E"/>
    <w:rsid w:val="008A10A9"/>
    <w:rsid w:val="008A1175"/>
    <w:rsid w:val="008A120E"/>
    <w:rsid w:val="008A1217"/>
    <w:rsid w:val="008A1222"/>
    <w:rsid w:val="008A1286"/>
    <w:rsid w:val="008A12A6"/>
    <w:rsid w:val="008A12BB"/>
    <w:rsid w:val="008A12C2"/>
    <w:rsid w:val="008A1350"/>
    <w:rsid w:val="008A1351"/>
    <w:rsid w:val="008A13BC"/>
    <w:rsid w:val="008A13D8"/>
    <w:rsid w:val="008A13F3"/>
    <w:rsid w:val="008A143B"/>
    <w:rsid w:val="008A145A"/>
    <w:rsid w:val="008A15AA"/>
    <w:rsid w:val="008A1666"/>
    <w:rsid w:val="008A16D2"/>
    <w:rsid w:val="008A16E0"/>
    <w:rsid w:val="008A1722"/>
    <w:rsid w:val="008A1797"/>
    <w:rsid w:val="008A17D4"/>
    <w:rsid w:val="008A17DE"/>
    <w:rsid w:val="008A17F0"/>
    <w:rsid w:val="008A1884"/>
    <w:rsid w:val="008A18E8"/>
    <w:rsid w:val="008A1931"/>
    <w:rsid w:val="008A1977"/>
    <w:rsid w:val="008A19A0"/>
    <w:rsid w:val="008A19C4"/>
    <w:rsid w:val="008A1A59"/>
    <w:rsid w:val="008A1B2F"/>
    <w:rsid w:val="008A1B3E"/>
    <w:rsid w:val="008A1B4D"/>
    <w:rsid w:val="008A1B4E"/>
    <w:rsid w:val="008A1B87"/>
    <w:rsid w:val="008A1B9B"/>
    <w:rsid w:val="008A1BBD"/>
    <w:rsid w:val="008A1C58"/>
    <w:rsid w:val="008A1C73"/>
    <w:rsid w:val="008A1CB3"/>
    <w:rsid w:val="008A1D1E"/>
    <w:rsid w:val="008A1D21"/>
    <w:rsid w:val="008A1D31"/>
    <w:rsid w:val="008A1D71"/>
    <w:rsid w:val="008A1DD2"/>
    <w:rsid w:val="008A1DF2"/>
    <w:rsid w:val="008A1DF5"/>
    <w:rsid w:val="008A1E41"/>
    <w:rsid w:val="008A1E6E"/>
    <w:rsid w:val="008A1E8C"/>
    <w:rsid w:val="008A1EA5"/>
    <w:rsid w:val="008A1ECF"/>
    <w:rsid w:val="008A1F3D"/>
    <w:rsid w:val="008A1F72"/>
    <w:rsid w:val="008A1FFC"/>
    <w:rsid w:val="008A2029"/>
    <w:rsid w:val="008A204E"/>
    <w:rsid w:val="008A205F"/>
    <w:rsid w:val="008A207D"/>
    <w:rsid w:val="008A20D3"/>
    <w:rsid w:val="008A21DD"/>
    <w:rsid w:val="008A21E6"/>
    <w:rsid w:val="008A2242"/>
    <w:rsid w:val="008A225E"/>
    <w:rsid w:val="008A2292"/>
    <w:rsid w:val="008A22A0"/>
    <w:rsid w:val="008A22A5"/>
    <w:rsid w:val="008A22E0"/>
    <w:rsid w:val="008A2344"/>
    <w:rsid w:val="008A237B"/>
    <w:rsid w:val="008A23B3"/>
    <w:rsid w:val="008A2405"/>
    <w:rsid w:val="008A240D"/>
    <w:rsid w:val="008A2449"/>
    <w:rsid w:val="008A266A"/>
    <w:rsid w:val="008A2671"/>
    <w:rsid w:val="008A267D"/>
    <w:rsid w:val="008A26AC"/>
    <w:rsid w:val="008A26BF"/>
    <w:rsid w:val="008A26FF"/>
    <w:rsid w:val="008A2702"/>
    <w:rsid w:val="008A275F"/>
    <w:rsid w:val="008A2768"/>
    <w:rsid w:val="008A2787"/>
    <w:rsid w:val="008A2822"/>
    <w:rsid w:val="008A282B"/>
    <w:rsid w:val="008A285E"/>
    <w:rsid w:val="008A2861"/>
    <w:rsid w:val="008A2893"/>
    <w:rsid w:val="008A28C3"/>
    <w:rsid w:val="008A28D8"/>
    <w:rsid w:val="008A2915"/>
    <w:rsid w:val="008A298C"/>
    <w:rsid w:val="008A2990"/>
    <w:rsid w:val="008A29B7"/>
    <w:rsid w:val="008A2A3A"/>
    <w:rsid w:val="008A2B65"/>
    <w:rsid w:val="008A2B69"/>
    <w:rsid w:val="008A2B94"/>
    <w:rsid w:val="008A2BD0"/>
    <w:rsid w:val="008A2CA2"/>
    <w:rsid w:val="008A2CA5"/>
    <w:rsid w:val="008A2D12"/>
    <w:rsid w:val="008A2D22"/>
    <w:rsid w:val="008A2D3D"/>
    <w:rsid w:val="008A2D78"/>
    <w:rsid w:val="008A2D96"/>
    <w:rsid w:val="008A2D9A"/>
    <w:rsid w:val="008A2DA0"/>
    <w:rsid w:val="008A2DA7"/>
    <w:rsid w:val="008A2DF6"/>
    <w:rsid w:val="008A2E0B"/>
    <w:rsid w:val="008A2E36"/>
    <w:rsid w:val="008A2E76"/>
    <w:rsid w:val="008A2E84"/>
    <w:rsid w:val="008A2E86"/>
    <w:rsid w:val="008A2F20"/>
    <w:rsid w:val="008A2F57"/>
    <w:rsid w:val="008A2F58"/>
    <w:rsid w:val="008A2F5F"/>
    <w:rsid w:val="008A2F7B"/>
    <w:rsid w:val="008A2F90"/>
    <w:rsid w:val="008A2FC5"/>
    <w:rsid w:val="008A302F"/>
    <w:rsid w:val="008A3052"/>
    <w:rsid w:val="008A306F"/>
    <w:rsid w:val="008A308B"/>
    <w:rsid w:val="008A308C"/>
    <w:rsid w:val="008A3102"/>
    <w:rsid w:val="008A3131"/>
    <w:rsid w:val="008A3136"/>
    <w:rsid w:val="008A313C"/>
    <w:rsid w:val="008A31CC"/>
    <w:rsid w:val="008A31FC"/>
    <w:rsid w:val="008A3244"/>
    <w:rsid w:val="008A327A"/>
    <w:rsid w:val="008A32D9"/>
    <w:rsid w:val="008A32E1"/>
    <w:rsid w:val="008A3400"/>
    <w:rsid w:val="008A3419"/>
    <w:rsid w:val="008A345F"/>
    <w:rsid w:val="008A3478"/>
    <w:rsid w:val="008A3479"/>
    <w:rsid w:val="008A3489"/>
    <w:rsid w:val="008A3491"/>
    <w:rsid w:val="008A34FC"/>
    <w:rsid w:val="008A3500"/>
    <w:rsid w:val="008A3503"/>
    <w:rsid w:val="008A3505"/>
    <w:rsid w:val="008A3555"/>
    <w:rsid w:val="008A3585"/>
    <w:rsid w:val="008A3594"/>
    <w:rsid w:val="008A359A"/>
    <w:rsid w:val="008A35A1"/>
    <w:rsid w:val="008A35E5"/>
    <w:rsid w:val="008A3624"/>
    <w:rsid w:val="008A3636"/>
    <w:rsid w:val="008A36AA"/>
    <w:rsid w:val="008A36D9"/>
    <w:rsid w:val="008A36E8"/>
    <w:rsid w:val="008A372B"/>
    <w:rsid w:val="008A3735"/>
    <w:rsid w:val="008A374D"/>
    <w:rsid w:val="008A3780"/>
    <w:rsid w:val="008A3792"/>
    <w:rsid w:val="008A37AA"/>
    <w:rsid w:val="008A37AC"/>
    <w:rsid w:val="008A37C7"/>
    <w:rsid w:val="008A37CA"/>
    <w:rsid w:val="008A37CC"/>
    <w:rsid w:val="008A37F9"/>
    <w:rsid w:val="008A381F"/>
    <w:rsid w:val="008A3842"/>
    <w:rsid w:val="008A3856"/>
    <w:rsid w:val="008A3868"/>
    <w:rsid w:val="008A3893"/>
    <w:rsid w:val="008A3899"/>
    <w:rsid w:val="008A38AC"/>
    <w:rsid w:val="008A3922"/>
    <w:rsid w:val="008A394C"/>
    <w:rsid w:val="008A396C"/>
    <w:rsid w:val="008A399B"/>
    <w:rsid w:val="008A39E6"/>
    <w:rsid w:val="008A39F9"/>
    <w:rsid w:val="008A3A89"/>
    <w:rsid w:val="008A3AC5"/>
    <w:rsid w:val="008A3AC9"/>
    <w:rsid w:val="008A3AE3"/>
    <w:rsid w:val="008A3B6B"/>
    <w:rsid w:val="008A3B99"/>
    <w:rsid w:val="008A3BBA"/>
    <w:rsid w:val="008A3BC8"/>
    <w:rsid w:val="008A3C31"/>
    <w:rsid w:val="008A3C39"/>
    <w:rsid w:val="008A3C5C"/>
    <w:rsid w:val="008A3C97"/>
    <w:rsid w:val="008A3CBE"/>
    <w:rsid w:val="008A3CFA"/>
    <w:rsid w:val="008A3D92"/>
    <w:rsid w:val="008A3DA2"/>
    <w:rsid w:val="008A3DCB"/>
    <w:rsid w:val="008A3DF1"/>
    <w:rsid w:val="008A3DFA"/>
    <w:rsid w:val="008A3E02"/>
    <w:rsid w:val="008A3E09"/>
    <w:rsid w:val="008A3E60"/>
    <w:rsid w:val="008A3E85"/>
    <w:rsid w:val="008A3E89"/>
    <w:rsid w:val="008A3EF4"/>
    <w:rsid w:val="008A3F1A"/>
    <w:rsid w:val="008A3F62"/>
    <w:rsid w:val="008A3F6A"/>
    <w:rsid w:val="008A3FFA"/>
    <w:rsid w:val="008A4010"/>
    <w:rsid w:val="008A4031"/>
    <w:rsid w:val="008A40A8"/>
    <w:rsid w:val="008A40E7"/>
    <w:rsid w:val="008A40FD"/>
    <w:rsid w:val="008A4147"/>
    <w:rsid w:val="008A41C6"/>
    <w:rsid w:val="008A421C"/>
    <w:rsid w:val="008A424C"/>
    <w:rsid w:val="008A425E"/>
    <w:rsid w:val="008A42AF"/>
    <w:rsid w:val="008A42D4"/>
    <w:rsid w:val="008A4309"/>
    <w:rsid w:val="008A4330"/>
    <w:rsid w:val="008A4377"/>
    <w:rsid w:val="008A437B"/>
    <w:rsid w:val="008A443D"/>
    <w:rsid w:val="008A4475"/>
    <w:rsid w:val="008A44E4"/>
    <w:rsid w:val="008A4516"/>
    <w:rsid w:val="008A452D"/>
    <w:rsid w:val="008A453F"/>
    <w:rsid w:val="008A454B"/>
    <w:rsid w:val="008A4608"/>
    <w:rsid w:val="008A463A"/>
    <w:rsid w:val="008A4646"/>
    <w:rsid w:val="008A467B"/>
    <w:rsid w:val="008A467D"/>
    <w:rsid w:val="008A46A6"/>
    <w:rsid w:val="008A46DE"/>
    <w:rsid w:val="008A46FD"/>
    <w:rsid w:val="008A4730"/>
    <w:rsid w:val="008A4793"/>
    <w:rsid w:val="008A47A7"/>
    <w:rsid w:val="008A47AE"/>
    <w:rsid w:val="008A47BD"/>
    <w:rsid w:val="008A4862"/>
    <w:rsid w:val="008A48A3"/>
    <w:rsid w:val="008A4901"/>
    <w:rsid w:val="008A4916"/>
    <w:rsid w:val="008A4962"/>
    <w:rsid w:val="008A4991"/>
    <w:rsid w:val="008A49CA"/>
    <w:rsid w:val="008A4B02"/>
    <w:rsid w:val="008A4B65"/>
    <w:rsid w:val="008A4BB9"/>
    <w:rsid w:val="008A4BC7"/>
    <w:rsid w:val="008A4BCA"/>
    <w:rsid w:val="008A4C34"/>
    <w:rsid w:val="008A4C4E"/>
    <w:rsid w:val="008A4C91"/>
    <w:rsid w:val="008A4CCA"/>
    <w:rsid w:val="008A4CF5"/>
    <w:rsid w:val="008A4CFC"/>
    <w:rsid w:val="008A4D25"/>
    <w:rsid w:val="008A4D66"/>
    <w:rsid w:val="008A4DAF"/>
    <w:rsid w:val="008A4DB1"/>
    <w:rsid w:val="008A4DC1"/>
    <w:rsid w:val="008A4DF6"/>
    <w:rsid w:val="008A4E04"/>
    <w:rsid w:val="008A4E3C"/>
    <w:rsid w:val="008A4E42"/>
    <w:rsid w:val="008A4E4F"/>
    <w:rsid w:val="008A4E83"/>
    <w:rsid w:val="008A4EC2"/>
    <w:rsid w:val="008A4EDE"/>
    <w:rsid w:val="008A4F31"/>
    <w:rsid w:val="008A4F82"/>
    <w:rsid w:val="008A4FA4"/>
    <w:rsid w:val="008A4FB4"/>
    <w:rsid w:val="008A4FB9"/>
    <w:rsid w:val="008A4FBF"/>
    <w:rsid w:val="008A4FEA"/>
    <w:rsid w:val="008A500B"/>
    <w:rsid w:val="008A5094"/>
    <w:rsid w:val="008A5109"/>
    <w:rsid w:val="008A5146"/>
    <w:rsid w:val="008A51CB"/>
    <w:rsid w:val="008A525D"/>
    <w:rsid w:val="008A5278"/>
    <w:rsid w:val="008A52FC"/>
    <w:rsid w:val="008A533B"/>
    <w:rsid w:val="008A5364"/>
    <w:rsid w:val="008A53BA"/>
    <w:rsid w:val="008A53DA"/>
    <w:rsid w:val="008A54CF"/>
    <w:rsid w:val="008A5527"/>
    <w:rsid w:val="008A554B"/>
    <w:rsid w:val="008A5568"/>
    <w:rsid w:val="008A558B"/>
    <w:rsid w:val="008A5601"/>
    <w:rsid w:val="008A561B"/>
    <w:rsid w:val="008A5621"/>
    <w:rsid w:val="008A5624"/>
    <w:rsid w:val="008A563F"/>
    <w:rsid w:val="008A5649"/>
    <w:rsid w:val="008A5656"/>
    <w:rsid w:val="008A56C3"/>
    <w:rsid w:val="008A56D5"/>
    <w:rsid w:val="008A5742"/>
    <w:rsid w:val="008A574E"/>
    <w:rsid w:val="008A58B5"/>
    <w:rsid w:val="008A58D9"/>
    <w:rsid w:val="008A590C"/>
    <w:rsid w:val="008A590F"/>
    <w:rsid w:val="008A591F"/>
    <w:rsid w:val="008A596D"/>
    <w:rsid w:val="008A59ED"/>
    <w:rsid w:val="008A59F4"/>
    <w:rsid w:val="008A5A85"/>
    <w:rsid w:val="008A5A86"/>
    <w:rsid w:val="008A5B4D"/>
    <w:rsid w:val="008A5B7D"/>
    <w:rsid w:val="008A5BD3"/>
    <w:rsid w:val="008A5BE4"/>
    <w:rsid w:val="008A5BEB"/>
    <w:rsid w:val="008A5C11"/>
    <w:rsid w:val="008A5C15"/>
    <w:rsid w:val="008A5C56"/>
    <w:rsid w:val="008A5CA7"/>
    <w:rsid w:val="008A5CDD"/>
    <w:rsid w:val="008A5D41"/>
    <w:rsid w:val="008A5D5A"/>
    <w:rsid w:val="008A5D81"/>
    <w:rsid w:val="008A5D91"/>
    <w:rsid w:val="008A5DD9"/>
    <w:rsid w:val="008A5DDA"/>
    <w:rsid w:val="008A5DF9"/>
    <w:rsid w:val="008A5E3E"/>
    <w:rsid w:val="008A5E53"/>
    <w:rsid w:val="008A5E63"/>
    <w:rsid w:val="008A5E92"/>
    <w:rsid w:val="008A5F42"/>
    <w:rsid w:val="008A5F9F"/>
    <w:rsid w:val="008A5FE4"/>
    <w:rsid w:val="008A600A"/>
    <w:rsid w:val="008A6022"/>
    <w:rsid w:val="008A6023"/>
    <w:rsid w:val="008A6041"/>
    <w:rsid w:val="008A60DF"/>
    <w:rsid w:val="008A6131"/>
    <w:rsid w:val="008A615A"/>
    <w:rsid w:val="008A61FE"/>
    <w:rsid w:val="008A6203"/>
    <w:rsid w:val="008A622C"/>
    <w:rsid w:val="008A6288"/>
    <w:rsid w:val="008A62CA"/>
    <w:rsid w:val="008A62F8"/>
    <w:rsid w:val="008A6328"/>
    <w:rsid w:val="008A6397"/>
    <w:rsid w:val="008A63B8"/>
    <w:rsid w:val="008A63C6"/>
    <w:rsid w:val="008A63EE"/>
    <w:rsid w:val="008A640F"/>
    <w:rsid w:val="008A643F"/>
    <w:rsid w:val="008A6440"/>
    <w:rsid w:val="008A646F"/>
    <w:rsid w:val="008A647E"/>
    <w:rsid w:val="008A64A9"/>
    <w:rsid w:val="008A6512"/>
    <w:rsid w:val="008A652C"/>
    <w:rsid w:val="008A656E"/>
    <w:rsid w:val="008A65DB"/>
    <w:rsid w:val="008A65E1"/>
    <w:rsid w:val="008A65FE"/>
    <w:rsid w:val="008A669E"/>
    <w:rsid w:val="008A66DE"/>
    <w:rsid w:val="008A673A"/>
    <w:rsid w:val="008A675B"/>
    <w:rsid w:val="008A6773"/>
    <w:rsid w:val="008A6788"/>
    <w:rsid w:val="008A679B"/>
    <w:rsid w:val="008A67EF"/>
    <w:rsid w:val="008A67FF"/>
    <w:rsid w:val="008A6842"/>
    <w:rsid w:val="008A6863"/>
    <w:rsid w:val="008A6865"/>
    <w:rsid w:val="008A68CC"/>
    <w:rsid w:val="008A6933"/>
    <w:rsid w:val="008A696D"/>
    <w:rsid w:val="008A69CD"/>
    <w:rsid w:val="008A69D7"/>
    <w:rsid w:val="008A6A41"/>
    <w:rsid w:val="008A6A54"/>
    <w:rsid w:val="008A6A87"/>
    <w:rsid w:val="008A6A9B"/>
    <w:rsid w:val="008A6AAC"/>
    <w:rsid w:val="008A6ADB"/>
    <w:rsid w:val="008A6B1A"/>
    <w:rsid w:val="008A6B26"/>
    <w:rsid w:val="008A6B31"/>
    <w:rsid w:val="008A6B5A"/>
    <w:rsid w:val="008A6B61"/>
    <w:rsid w:val="008A6BF9"/>
    <w:rsid w:val="008A6C9A"/>
    <w:rsid w:val="008A6D10"/>
    <w:rsid w:val="008A6DAB"/>
    <w:rsid w:val="008A6E30"/>
    <w:rsid w:val="008A6EDF"/>
    <w:rsid w:val="008A6FF3"/>
    <w:rsid w:val="008A700B"/>
    <w:rsid w:val="008A701E"/>
    <w:rsid w:val="008A7024"/>
    <w:rsid w:val="008A70B0"/>
    <w:rsid w:val="008A70E0"/>
    <w:rsid w:val="008A718B"/>
    <w:rsid w:val="008A718D"/>
    <w:rsid w:val="008A71C2"/>
    <w:rsid w:val="008A71CB"/>
    <w:rsid w:val="008A722F"/>
    <w:rsid w:val="008A7285"/>
    <w:rsid w:val="008A7292"/>
    <w:rsid w:val="008A72C3"/>
    <w:rsid w:val="008A72DD"/>
    <w:rsid w:val="008A72F2"/>
    <w:rsid w:val="008A7305"/>
    <w:rsid w:val="008A737A"/>
    <w:rsid w:val="008A73C0"/>
    <w:rsid w:val="008A7425"/>
    <w:rsid w:val="008A7443"/>
    <w:rsid w:val="008A74A1"/>
    <w:rsid w:val="008A74B9"/>
    <w:rsid w:val="008A74DC"/>
    <w:rsid w:val="008A7560"/>
    <w:rsid w:val="008A7595"/>
    <w:rsid w:val="008A75F3"/>
    <w:rsid w:val="008A7640"/>
    <w:rsid w:val="008A7658"/>
    <w:rsid w:val="008A7664"/>
    <w:rsid w:val="008A76D3"/>
    <w:rsid w:val="008A771C"/>
    <w:rsid w:val="008A778C"/>
    <w:rsid w:val="008A77A4"/>
    <w:rsid w:val="008A77BD"/>
    <w:rsid w:val="008A7863"/>
    <w:rsid w:val="008A7886"/>
    <w:rsid w:val="008A78B8"/>
    <w:rsid w:val="008A79FD"/>
    <w:rsid w:val="008A7A36"/>
    <w:rsid w:val="008A7AB0"/>
    <w:rsid w:val="008A7ACD"/>
    <w:rsid w:val="008A7AF6"/>
    <w:rsid w:val="008A7B04"/>
    <w:rsid w:val="008A7B65"/>
    <w:rsid w:val="008A7CF7"/>
    <w:rsid w:val="008A7D48"/>
    <w:rsid w:val="008A7DA9"/>
    <w:rsid w:val="008A7DBC"/>
    <w:rsid w:val="008A7DF0"/>
    <w:rsid w:val="008A7E53"/>
    <w:rsid w:val="008A7E6F"/>
    <w:rsid w:val="008A7E84"/>
    <w:rsid w:val="008A7E8D"/>
    <w:rsid w:val="008A7E9F"/>
    <w:rsid w:val="008A7EEF"/>
    <w:rsid w:val="008A7F2C"/>
    <w:rsid w:val="008A7FE0"/>
    <w:rsid w:val="008B000F"/>
    <w:rsid w:val="008B0030"/>
    <w:rsid w:val="008B0050"/>
    <w:rsid w:val="008B0106"/>
    <w:rsid w:val="008B014E"/>
    <w:rsid w:val="008B0155"/>
    <w:rsid w:val="008B0161"/>
    <w:rsid w:val="008B017E"/>
    <w:rsid w:val="008B0194"/>
    <w:rsid w:val="008B0204"/>
    <w:rsid w:val="008B021A"/>
    <w:rsid w:val="008B0241"/>
    <w:rsid w:val="008B028E"/>
    <w:rsid w:val="008B029E"/>
    <w:rsid w:val="008B02CB"/>
    <w:rsid w:val="008B02E6"/>
    <w:rsid w:val="008B03D1"/>
    <w:rsid w:val="008B03F6"/>
    <w:rsid w:val="008B0401"/>
    <w:rsid w:val="008B042D"/>
    <w:rsid w:val="008B042E"/>
    <w:rsid w:val="008B0440"/>
    <w:rsid w:val="008B0471"/>
    <w:rsid w:val="008B0474"/>
    <w:rsid w:val="008B0475"/>
    <w:rsid w:val="008B0479"/>
    <w:rsid w:val="008B0481"/>
    <w:rsid w:val="008B048A"/>
    <w:rsid w:val="008B04B4"/>
    <w:rsid w:val="008B04BC"/>
    <w:rsid w:val="008B04D5"/>
    <w:rsid w:val="008B04EC"/>
    <w:rsid w:val="008B0501"/>
    <w:rsid w:val="008B0522"/>
    <w:rsid w:val="008B053F"/>
    <w:rsid w:val="008B05DE"/>
    <w:rsid w:val="008B05E9"/>
    <w:rsid w:val="008B0668"/>
    <w:rsid w:val="008B06F1"/>
    <w:rsid w:val="008B07BC"/>
    <w:rsid w:val="008B07CB"/>
    <w:rsid w:val="008B07CF"/>
    <w:rsid w:val="008B0815"/>
    <w:rsid w:val="008B0821"/>
    <w:rsid w:val="008B0846"/>
    <w:rsid w:val="008B0890"/>
    <w:rsid w:val="008B08F9"/>
    <w:rsid w:val="008B0955"/>
    <w:rsid w:val="008B096D"/>
    <w:rsid w:val="008B09EB"/>
    <w:rsid w:val="008B0A4A"/>
    <w:rsid w:val="008B0A86"/>
    <w:rsid w:val="008B0AAE"/>
    <w:rsid w:val="008B0AE1"/>
    <w:rsid w:val="008B0B09"/>
    <w:rsid w:val="008B0B32"/>
    <w:rsid w:val="008B0B6F"/>
    <w:rsid w:val="008B0BAD"/>
    <w:rsid w:val="008B0C1E"/>
    <w:rsid w:val="008B0C62"/>
    <w:rsid w:val="008B0C80"/>
    <w:rsid w:val="008B0C98"/>
    <w:rsid w:val="008B0CDA"/>
    <w:rsid w:val="008B0D01"/>
    <w:rsid w:val="008B0D03"/>
    <w:rsid w:val="008B0D2B"/>
    <w:rsid w:val="008B0D69"/>
    <w:rsid w:val="008B0DD9"/>
    <w:rsid w:val="008B0DDD"/>
    <w:rsid w:val="008B0E01"/>
    <w:rsid w:val="008B0E54"/>
    <w:rsid w:val="008B0E6F"/>
    <w:rsid w:val="008B0EB5"/>
    <w:rsid w:val="008B0F1E"/>
    <w:rsid w:val="008B0F47"/>
    <w:rsid w:val="008B0F89"/>
    <w:rsid w:val="008B1033"/>
    <w:rsid w:val="008B104C"/>
    <w:rsid w:val="008B1053"/>
    <w:rsid w:val="008B10A9"/>
    <w:rsid w:val="008B10B9"/>
    <w:rsid w:val="008B11EA"/>
    <w:rsid w:val="008B124B"/>
    <w:rsid w:val="008B1257"/>
    <w:rsid w:val="008B1266"/>
    <w:rsid w:val="008B12A6"/>
    <w:rsid w:val="008B12C4"/>
    <w:rsid w:val="008B12D2"/>
    <w:rsid w:val="008B1350"/>
    <w:rsid w:val="008B1390"/>
    <w:rsid w:val="008B13A3"/>
    <w:rsid w:val="008B13D0"/>
    <w:rsid w:val="008B141D"/>
    <w:rsid w:val="008B148B"/>
    <w:rsid w:val="008B1496"/>
    <w:rsid w:val="008B14BE"/>
    <w:rsid w:val="008B14C7"/>
    <w:rsid w:val="008B14D3"/>
    <w:rsid w:val="008B15BD"/>
    <w:rsid w:val="008B1602"/>
    <w:rsid w:val="008B164C"/>
    <w:rsid w:val="008B1669"/>
    <w:rsid w:val="008B16D4"/>
    <w:rsid w:val="008B16F8"/>
    <w:rsid w:val="008B16FE"/>
    <w:rsid w:val="008B174B"/>
    <w:rsid w:val="008B1827"/>
    <w:rsid w:val="008B1850"/>
    <w:rsid w:val="008B1869"/>
    <w:rsid w:val="008B1879"/>
    <w:rsid w:val="008B1880"/>
    <w:rsid w:val="008B18C6"/>
    <w:rsid w:val="008B18D9"/>
    <w:rsid w:val="008B18E7"/>
    <w:rsid w:val="008B1929"/>
    <w:rsid w:val="008B1932"/>
    <w:rsid w:val="008B193B"/>
    <w:rsid w:val="008B1948"/>
    <w:rsid w:val="008B19B3"/>
    <w:rsid w:val="008B1A0B"/>
    <w:rsid w:val="008B1A5D"/>
    <w:rsid w:val="008B1AD0"/>
    <w:rsid w:val="008B1B74"/>
    <w:rsid w:val="008B1B75"/>
    <w:rsid w:val="008B1BE1"/>
    <w:rsid w:val="008B1C30"/>
    <w:rsid w:val="008B1C50"/>
    <w:rsid w:val="008B1C7E"/>
    <w:rsid w:val="008B1D15"/>
    <w:rsid w:val="008B1D17"/>
    <w:rsid w:val="008B1D2B"/>
    <w:rsid w:val="008B1D79"/>
    <w:rsid w:val="008B1DA6"/>
    <w:rsid w:val="008B1E2F"/>
    <w:rsid w:val="008B1E65"/>
    <w:rsid w:val="008B1E82"/>
    <w:rsid w:val="008B1E8E"/>
    <w:rsid w:val="008B1EB0"/>
    <w:rsid w:val="008B1EE8"/>
    <w:rsid w:val="008B1EEE"/>
    <w:rsid w:val="008B1EFD"/>
    <w:rsid w:val="008B1FC8"/>
    <w:rsid w:val="008B1FCD"/>
    <w:rsid w:val="008B1FE6"/>
    <w:rsid w:val="008B1FF3"/>
    <w:rsid w:val="008B2004"/>
    <w:rsid w:val="008B202B"/>
    <w:rsid w:val="008B208B"/>
    <w:rsid w:val="008B20CC"/>
    <w:rsid w:val="008B20D8"/>
    <w:rsid w:val="008B20DE"/>
    <w:rsid w:val="008B2172"/>
    <w:rsid w:val="008B2198"/>
    <w:rsid w:val="008B21B1"/>
    <w:rsid w:val="008B21E2"/>
    <w:rsid w:val="008B21F1"/>
    <w:rsid w:val="008B220B"/>
    <w:rsid w:val="008B2263"/>
    <w:rsid w:val="008B2272"/>
    <w:rsid w:val="008B2279"/>
    <w:rsid w:val="008B22D6"/>
    <w:rsid w:val="008B22F4"/>
    <w:rsid w:val="008B2318"/>
    <w:rsid w:val="008B2334"/>
    <w:rsid w:val="008B234A"/>
    <w:rsid w:val="008B23C6"/>
    <w:rsid w:val="008B247F"/>
    <w:rsid w:val="008B2482"/>
    <w:rsid w:val="008B249E"/>
    <w:rsid w:val="008B24AC"/>
    <w:rsid w:val="008B24E2"/>
    <w:rsid w:val="008B250D"/>
    <w:rsid w:val="008B25BA"/>
    <w:rsid w:val="008B25E8"/>
    <w:rsid w:val="008B25F3"/>
    <w:rsid w:val="008B2612"/>
    <w:rsid w:val="008B26DD"/>
    <w:rsid w:val="008B2705"/>
    <w:rsid w:val="008B273A"/>
    <w:rsid w:val="008B27C8"/>
    <w:rsid w:val="008B2803"/>
    <w:rsid w:val="008B2869"/>
    <w:rsid w:val="008B2890"/>
    <w:rsid w:val="008B28DD"/>
    <w:rsid w:val="008B2941"/>
    <w:rsid w:val="008B29C4"/>
    <w:rsid w:val="008B2A08"/>
    <w:rsid w:val="008B2A28"/>
    <w:rsid w:val="008B2A43"/>
    <w:rsid w:val="008B2B09"/>
    <w:rsid w:val="008B2B3D"/>
    <w:rsid w:val="008B2B70"/>
    <w:rsid w:val="008B2B83"/>
    <w:rsid w:val="008B2BAA"/>
    <w:rsid w:val="008B2BC0"/>
    <w:rsid w:val="008B2BC3"/>
    <w:rsid w:val="008B2BEF"/>
    <w:rsid w:val="008B2C1C"/>
    <w:rsid w:val="008B2C71"/>
    <w:rsid w:val="008B2CA8"/>
    <w:rsid w:val="008B2CE7"/>
    <w:rsid w:val="008B2CF4"/>
    <w:rsid w:val="008B2D09"/>
    <w:rsid w:val="008B2D51"/>
    <w:rsid w:val="008B2D65"/>
    <w:rsid w:val="008B2DCC"/>
    <w:rsid w:val="008B2DF2"/>
    <w:rsid w:val="008B2E22"/>
    <w:rsid w:val="008B2EA6"/>
    <w:rsid w:val="008B2EAC"/>
    <w:rsid w:val="008B2EFE"/>
    <w:rsid w:val="008B2F15"/>
    <w:rsid w:val="008B2F1D"/>
    <w:rsid w:val="008B2F9C"/>
    <w:rsid w:val="008B2FF7"/>
    <w:rsid w:val="008B305C"/>
    <w:rsid w:val="008B3074"/>
    <w:rsid w:val="008B3080"/>
    <w:rsid w:val="008B3199"/>
    <w:rsid w:val="008B323E"/>
    <w:rsid w:val="008B3253"/>
    <w:rsid w:val="008B3311"/>
    <w:rsid w:val="008B3322"/>
    <w:rsid w:val="008B3370"/>
    <w:rsid w:val="008B3387"/>
    <w:rsid w:val="008B3388"/>
    <w:rsid w:val="008B339E"/>
    <w:rsid w:val="008B33BD"/>
    <w:rsid w:val="008B3411"/>
    <w:rsid w:val="008B342D"/>
    <w:rsid w:val="008B345B"/>
    <w:rsid w:val="008B345E"/>
    <w:rsid w:val="008B347C"/>
    <w:rsid w:val="008B3481"/>
    <w:rsid w:val="008B3517"/>
    <w:rsid w:val="008B3552"/>
    <w:rsid w:val="008B3576"/>
    <w:rsid w:val="008B35A0"/>
    <w:rsid w:val="008B35BD"/>
    <w:rsid w:val="008B35CB"/>
    <w:rsid w:val="008B35F8"/>
    <w:rsid w:val="008B3605"/>
    <w:rsid w:val="008B3621"/>
    <w:rsid w:val="008B3636"/>
    <w:rsid w:val="008B36AC"/>
    <w:rsid w:val="008B36B0"/>
    <w:rsid w:val="008B36D6"/>
    <w:rsid w:val="008B371A"/>
    <w:rsid w:val="008B37C4"/>
    <w:rsid w:val="008B37C9"/>
    <w:rsid w:val="008B3815"/>
    <w:rsid w:val="008B3821"/>
    <w:rsid w:val="008B383E"/>
    <w:rsid w:val="008B390C"/>
    <w:rsid w:val="008B396B"/>
    <w:rsid w:val="008B3970"/>
    <w:rsid w:val="008B398B"/>
    <w:rsid w:val="008B3A24"/>
    <w:rsid w:val="008B3B20"/>
    <w:rsid w:val="008B3B34"/>
    <w:rsid w:val="008B3BBA"/>
    <w:rsid w:val="008B3C11"/>
    <w:rsid w:val="008B3C2E"/>
    <w:rsid w:val="008B3C48"/>
    <w:rsid w:val="008B3C67"/>
    <w:rsid w:val="008B3C6E"/>
    <w:rsid w:val="008B3C81"/>
    <w:rsid w:val="008B3D58"/>
    <w:rsid w:val="008B3D85"/>
    <w:rsid w:val="008B3DAF"/>
    <w:rsid w:val="008B3DC6"/>
    <w:rsid w:val="008B3DD3"/>
    <w:rsid w:val="008B3DE9"/>
    <w:rsid w:val="008B3E18"/>
    <w:rsid w:val="008B3E27"/>
    <w:rsid w:val="008B3E45"/>
    <w:rsid w:val="008B3E5C"/>
    <w:rsid w:val="008B3E60"/>
    <w:rsid w:val="008B3E84"/>
    <w:rsid w:val="008B3F0B"/>
    <w:rsid w:val="008B3F0E"/>
    <w:rsid w:val="008B3F37"/>
    <w:rsid w:val="008B3F4A"/>
    <w:rsid w:val="008B3F51"/>
    <w:rsid w:val="008B3F9D"/>
    <w:rsid w:val="008B3FB7"/>
    <w:rsid w:val="008B403E"/>
    <w:rsid w:val="008B4091"/>
    <w:rsid w:val="008B40A6"/>
    <w:rsid w:val="008B4113"/>
    <w:rsid w:val="008B413B"/>
    <w:rsid w:val="008B4148"/>
    <w:rsid w:val="008B414C"/>
    <w:rsid w:val="008B416C"/>
    <w:rsid w:val="008B41AA"/>
    <w:rsid w:val="008B41FA"/>
    <w:rsid w:val="008B421C"/>
    <w:rsid w:val="008B425A"/>
    <w:rsid w:val="008B4293"/>
    <w:rsid w:val="008B42CD"/>
    <w:rsid w:val="008B42EB"/>
    <w:rsid w:val="008B42FE"/>
    <w:rsid w:val="008B436B"/>
    <w:rsid w:val="008B43BF"/>
    <w:rsid w:val="008B43E5"/>
    <w:rsid w:val="008B4471"/>
    <w:rsid w:val="008B44C2"/>
    <w:rsid w:val="008B458F"/>
    <w:rsid w:val="008B4591"/>
    <w:rsid w:val="008B45A8"/>
    <w:rsid w:val="008B45BD"/>
    <w:rsid w:val="008B45EA"/>
    <w:rsid w:val="008B45EC"/>
    <w:rsid w:val="008B460F"/>
    <w:rsid w:val="008B4703"/>
    <w:rsid w:val="008B4738"/>
    <w:rsid w:val="008B4753"/>
    <w:rsid w:val="008B478E"/>
    <w:rsid w:val="008B47AE"/>
    <w:rsid w:val="008B47B0"/>
    <w:rsid w:val="008B47D4"/>
    <w:rsid w:val="008B47D6"/>
    <w:rsid w:val="008B47DB"/>
    <w:rsid w:val="008B47F2"/>
    <w:rsid w:val="008B47F6"/>
    <w:rsid w:val="008B482E"/>
    <w:rsid w:val="008B4842"/>
    <w:rsid w:val="008B4850"/>
    <w:rsid w:val="008B486C"/>
    <w:rsid w:val="008B48B4"/>
    <w:rsid w:val="008B48F1"/>
    <w:rsid w:val="008B4900"/>
    <w:rsid w:val="008B4960"/>
    <w:rsid w:val="008B49A2"/>
    <w:rsid w:val="008B49EA"/>
    <w:rsid w:val="008B49F1"/>
    <w:rsid w:val="008B4A4D"/>
    <w:rsid w:val="008B4A5A"/>
    <w:rsid w:val="008B4AC5"/>
    <w:rsid w:val="008B4AF0"/>
    <w:rsid w:val="008B4B1E"/>
    <w:rsid w:val="008B4C14"/>
    <w:rsid w:val="008B4C62"/>
    <w:rsid w:val="008B4CFD"/>
    <w:rsid w:val="008B4D98"/>
    <w:rsid w:val="008B4F52"/>
    <w:rsid w:val="008B4F8C"/>
    <w:rsid w:val="008B4FBA"/>
    <w:rsid w:val="008B4FD4"/>
    <w:rsid w:val="008B4FEA"/>
    <w:rsid w:val="008B5068"/>
    <w:rsid w:val="008B5074"/>
    <w:rsid w:val="008B5089"/>
    <w:rsid w:val="008B50CF"/>
    <w:rsid w:val="008B50FA"/>
    <w:rsid w:val="008B5136"/>
    <w:rsid w:val="008B513D"/>
    <w:rsid w:val="008B517B"/>
    <w:rsid w:val="008B51C1"/>
    <w:rsid w:val="008B5200"/>
    <w:rsid w:val="008B5218"/>
    <w:rsid w:val="008B5227"/>
    <w:rsid w:val="008B527C"/>
    <w:rsid w:val="008B5296"/>
    <w:rsid w:val="008B52E0"/>
    <w:rsid w:val="008B5325"/>
    <w:rsid w:val="008B5352"/>
    <w:rsid w:val="008B538C"/>
    <w:rsid w:val="008B5391"/>
    <w:rsid w:val="008B53B7"/>
    <w:rsid w:val="008B543A"/>
    <w:rsid w:val="008B5458"/>
    <w:rsid w:val="008B548B"/>
    <w:rsid w:val="008B549B"/>
    <w:rsid w:val="008B54CA"/>
    <w:rsid w:val="008B54CE"/>
    <w:rsid w:val="008B54DA"/>
    <w:rsid w:val="008B55C1"/>
    <w:rsid w:val="008B560B"/>
    <w:rsid w:val="008B5618"/>
    <w:rsid w:val="008B5644"/>
    <w:rsid w:val="008B56A0"/>
    <w:rsid w:val="008B570A"/>
    <w:rsid w:val="008B570C"/>
    <w:rsid w:val="008B5732"/>
    <w:rsid w:val="008B573C"/>
    <w:rsid w:val="008B574A"/>
    <w:rsid w:val="008B5750"/>
    <w:rsid w:val="008B57CE"/>
    <w:rsid w:val="008B5868"/>
    <w:rsid w:val="008B58A2"/>
    <w:rsid w:val="008B58B3"/>
    <w:rsid w:val="008B58C9"/>
    <w:rsid w:val="008B59D1"/>
    <w:rsid w:val="008B59DA"/>
    <w:rsid w:val="008B5A4A"/>
    <w:rsid w:val="008B5A5C"/>
    <w:rsid w:val="008B5ACA"/>
    <w:rsid w:val="008B5AD2"/>
    <w:rsid w:val="008B5AF6"/>
    <w:rsid w:val="008B5B00"/>
    <w:rsid w:val="008B5B14"/>
    <w:rsid w:val="008B5B2E"/>
    <w:rsid w:val="008B5B3D"/>
    <w:rsid w:val="008B5B49"/>
    <w:rsid w:val="008B5B4E"/>
    <w:rsid w:val="008B5B92"/>
    <w:rsid w:val="008B5BC3"/>
    <w:rsid w:val="008B5BDC"/>
    <w:rsid w:val="008B5BF2"/>
    <w:rsid w:val="008B5BFC"/>
    <w:rsid w:val="008B5C17"/>
    <w:rsid w:val="008B5C1D"/>
    <w:rsid w:val="008B5C79"/>
    <w:rsid w:val="008B5CA7"/>
    <w:rsid w:val="008B5CF3"/>
    <w:rsid w:val="008B5D38"/>
    <w:rsid w:val="008B5D4A"/>
    <w:rsid w:val="008B5D7F"/>
    <w:rsid w:val="008B5D98"/>
    <w:rsid w:val="008B5DEC"/>
    <w:rsid w:val="008B5DF0"/>
    <w:rsid w:val="008B5DFE"/>
    <w:rsid w:val="008B5E00"/>
    <w:rsid w:val="008B5E23"/>
    <w:rsid w:val="008B5E35"/>
    <w:rsid w:val="008B5E5E"/>
    <w:rsid w:val="008B5E8C"/>
    <w:rsid w:val="008B5EB6"/>
    <w:rsid w:val="008B5EC4"/>
    <w:rsid w:val="008B5F23"/>
    <w:rsid w:val="008B5F2F"/>
    <w:rsid w:val="008B5F8A"/>
    <w:rsid w:val="008B5F98"/>
    <w:rsid w:val="008B5FA2"/>
    <w:rsid w:val="008B606F"/>
    <w:rsid w:val="008B607F"/>
    <w:rsid w:val="008B6090"/>
    <w:rsid w:val="008B60A8"/>
    <w:rsid w:val="008B60C5"/>
    <w:rsid w:val="008B60FE"/>
    <w:rsid w:val="008B610F"/>
    <w:rsid w:val="008B613D"/>
    <w:rsid w:val="008B6188"/>
    <w:rsid w:val="008B621F"/>
    <w:rsid w:val="008B6275"/>
    <w:rsid w:val="008B6287"/>
    <w:rsid w:val="008B628C"/>
    <w:rsid w:val="008B62D4"/>
    <w:rsid w:val="008B62F9"/>
    <w:rsid w:val="008B63D5"/>
    <w:rsid w:val="008B6453"/>
    <w:rsid w:val="008B6484"/>
    <w:rsid w:val="008B6517"/>
    <w:rsid w:val="008B657D"/>
    <w:rsid w:val="008B6585"/>
    <w:rsid w:val="008B659A"/>
    <w:rsid w:val="008B65A5"/>
    <w:rsid w:val="008B661D"/>
    <w:rsid w:val="008B66D4"/>
    <w:rsid w:val="008B66DB"/>
    <w:rsid w:val="008B673F"/>
    <w:rsid w:val="008B6742"/>
    <w:rsid w:val="008B674E"/>
    <w:rsid w:val="008B675B"/>
    <w:rsid w:val="008B6761"/>
    <w:rsid w:val="008B67A2"/>
    <w:rsid w:val="008B67AF"/>
    <w:rsid w:val="008B67D6"/>
    <w:rsid w:val="008B67DD"/>
    <w:rsid w:val="008B67F2"/>
    <w:rsid w:val="008B6851"/>
    <w:rsid w:val="008B6880"/>
    <w:rsid w:val="008B68C2"/>
    <w:rsid w:val="008B68D9"/>
    <w:rsid w:val="008B6940"/>
    <w:rsid w:val="008B6952"/>
    <w:rsid w:val="008B695A"/>
    <w:rsid w:val="008B69D4"/>
    <w:rsid w:val="008B69E1"/>
    <w:rsid w:val="008B6A1A"/>
    <w:rsid w:val="008B6A28"/>
    <w:rsid w:val="008B6A47"/>
    <w:rsid w:val="008B6A5B"/>
    <w:rsid w:val="008B6A95"/>
    <w:rsid w:val="008B6AD7"/>
    <w:rsid w:val="008B6B73"/>
    <w:rsid w:val="008B6B82"/>
    <w:rsid w:val="008B6B88"/>
    <w:rsid w:val="008B6BDE"/>
    <w:rsid w:val="008B6BEF"/>
    <w:rsid w:val="008B6C61"/>
    <w:rsid w:val="008B6CD4"/>
    <w:rsid w:val="008B6CEA"/>
    <w:rsid w:val="008B6D14"/>
    <w:rsid w:val="008B6D59"/>
    <w:rsid w:val="008B6D76"/>
    <w:rsid w:val="008B6DB0"/>
    <w:rsid w:val="008B6E04"/>
    <w:rsid w:val="008B6E30"/>
    <w:rsid w:val="008B6EDF"/>
    <w:rsid w:val="008B6EF2"/>
    <w:rsid w:val="008B6EFA"/>
    <w:rsid w:val="008B6F5D"/>
    <w:rsid w:val="008B6FB6"/>
    <w:rsid w:val="008B6FCD"/>
    <w:rsid w:val="008B7037"/>
    <w:rsid w:val="008B7070"/>
    <w:rsid w:val="008B7090"/>
    <w:rsid w:val="008B70BC"/>
    <w:rsid w:val="008B70E7"/>
    <w:rsid w:val="008B7150"/>
    <w:rsid w:val="008B7155"/>
    <w:rsid w:val="008B7170"/>
    <w:rsid w:val="008B71F3"/>
    <w:rsid w:val="008B7234"/>
    <w:rsid w:val="008B7262"/>
    <w:rsid w:val="008B7263"/>
    <w:rsid w:val="008B7292"/>
    <w:rsid w:val="008B7312"/>
    <w:rsid w:val="008B7325"/>
    <w:rsid w:val="008B73B7"/>
    <w:rsid w:val="008B73BC"/>
    <w:rsid w:val="008B73C9"/>
    <w:rsid w:val="008B73CA"/>
    <w:rsid w:val="008B73E0"/>
    <w:rsid w:val="008B7412"/>
    <w:rsid w:val="008B7429"/>
    <w:rsid w:val="008B74C9"/>
    <w:rsid w:val="008B74FA"/>
    <w:rsid w:val="008B74FF"/>
    <w:rsid w:val="008B750B"/>
    <w:rsid w:val="008B7517"/>
    <w:rsid w:val="008B7536"/>
    <w:rsid w:val="008B754A"/>
    <w:rsid w:val="008B7566"/>
    <w:rsid w:val="008B7585"/>
    <w:rsid w:val="008B761E"/>
    <w:rsid w:val="008B762E"/>
    <w:rsid w:val="008B7654"/>
    <w:rsid w:val="008B7676"/>
    <w:rsid w:val="008B76C0"/>
    <w:rsid w:val="008B771D"/>
    <w:rsid w:val="008B771E"/>
    <w:rsid w:val="008B772A"/>
    <w:rsid w:val="008B77A3"/>
    <w:rsid w:val="008B77B6"/>
    <w:rsid w:val="008B77B9"/>
    <w:rsid w:val="008B77D2"/>
    <w:rsid w:val="008B77DE"/>
    <w:rsid w:val="008B7809"/>
    <w:rsid w:val="008B7831"/>
    <w:rsid w:val="008B78BF"/>
    <w:rsid w:val="008B7932"/>
    <w:rsid w:val="008B7938"/>
    <w:rsid w:val="008B7976"/>
    <w:rsid w:val="008B79D9"/>
    <w:rsid w:val="008B7A47"/>
    <w:rsid w:val="008B7A4F"/>
    <w:rsid w:val="008B7A8D"/>
    <w:rsid w:val="008B7A8E"/>
    <w:rsid w:val="008B7AF6"/>
    <w:rsid w:val="008B7AFB"/>
    <w:rsid w:val="008B7B0A"/>
    <w:rsid w:val="008B7B0B"/>
    <w:rsid w:val="008B7B36"/>
    <w:rsid w:val="008B7B5A"/>
    <w:rsid w:val="008B7BC3"/>
    <w:rsid w:val="008B7C59"/>
    <w:rsid w:val="008B7C87"/>
    <w:rsid w:val="008B7CC5"/>
    <w:rsid w:val="008B7CCC"/>
    <w:rsid w:val="008B7CDA"/>
    <w:rsid w:val="008B7D37"/>
    <w:rsid w:val="008B7D4E"/>
    <w:rsid w:val="008B7D52"/>
    <w:rsid w:val="008B7D75"/>
    <w:rsid w:val="008B7E20"/>
    <w:rsid w:val="008B7E31"/>
    <w:rsid w:val="008B7E6B"/>
    <w:rsid w:val="008B7EB9"/>
    <w:rsid w:val="008B7F67"/>
    <w:rsid w:val="008B7FCA"/>
    <w:rsid w:val="008C00A7"/>
    <w:rsid w:val="008C00CB"/>
    <w:rsid w:val="008C00E7"/>
    <w:rsid w:val="008C011C"/>
    <w:rsid w:val="008C0122"/>
    <w:rsid w:val="008C012D"/>
    <w:rsid w:val="008C0167"/>
    <w:rsid w:val="008C0179"/>
    <w:rsid w:val="008C019F"/>
    <w:rsid w:val="008C01FD"/>
    <w:rsid w:val="008C0253"/>
    <w:rsid w:val="008C0283"/>
    <w:rsid w:val="008C0296"/>
    <w:rsid w:val="008C02C9"/>
    <w:rsid w:val="008C02D0"/>
    <w:rsid w:val="008C02EB"/>
    <w:rsid w:val="008C036A"/>
    <w:rsid w:val="008C039F"/>
    <w:rsid w:val="008C03B2"/>
    <w:rsid w:val="008C03C5"/>
    <w:rsid w:val="008C0422"/>
    <w:rsid w:val="008C0471"/>
    <w:rsid w:val="008C0479"/>
    <w:rsid w:val="008C04B3"/>
    <w:rsid w:val="008C053A"/>
    <w:rsid w:val="008C059E"/>
    <w:rsid w:val="008C05B1"/>
    <w:rsid w:val="008C05F7"/>
    <w:rsid w:val="008C0610"/>
    <w:rsid w:val="008C0637"/>
    <w:rsid w:val="008C063C"/>
    <w:rsid w:val="008C0642"/>
    <w:rsid w:val="008C0687"/>
    <w:rsid w:val="008C069D"/>
    <w:rsid w:val="008C06C2"/>
    <w:rsid w:val="008C06E2"/>
    <w:rsid w:val="008C06E3"/>
    <w:rsid w:val="008C06ED"/>
    <w:rsid w:val="008C06EE"/>
    <w:rsid w:val="008C071A"/>
    <w:rsid w:val="008C0755"/>
    <w:rsid w:val="008C0760"/>
    <w:rsid w:val="008C077B"/>
    <w:rsid w:val="008C07A3"/>
    <w:rsid w:val="008C07D2"/>
    <w:rsid w:val="008C07F0"/>
    <w:rsid w:val="008C085C"/>
    <w:rsid w:val="008C08E7"/>
    <w:rsid w:val="008C094F"/>
    <w:rsid w:val="008C0953"/>
    <w:rsid w:val="008C095F"/>
    <w:rsid w:val="008C0968"/>
    <w:rsid w:val="008C0974"/>
    <w:rsid w:val="008C0A2F"/>
    <w:rsid w:val="008C0A71"/>
    <w:rsid w:val="008C0A97"/>
    <w:rsid w:val="008C0AA2"/>
    <w:rsid w:val="008C0AC0"/>
    <w:rsid w:val="008C0ACB"/>
    <w:rsid w:val="008C0B3F"/>
    <w:rsid w:val="008C0B5D"/>
    <w:rsid w:val="008C0B7C"/>
    <w:rsid w:val="008C0C34"/>
    <w:rsid w:val="008C0C4A"/>
    <w:rsid w:val="008C0C53"/>
    <w:rsid w:val="008C0C8A"/>
    <w:rsid w:val="008C0CB0"/>
    <w:rsid w:val="008C0CB5"/>
    <w:rsid w:val="008C0CB7"/>
    <w:rsid w:val="008C0D0B"/>
    <w:rsid w:val="008C0D10"/>
    <w:rsid w:val="008C0D48"/>
    <w:rsid w:val="008C0D53"/>
    <w:rsid w:val="008C0D8B"/>
    <w:rsid w:val="008C0DB0"/>
    <w:rsid w:val="008C0DD5"/>
    <w:rsid w:val="008C0E1D"/>
    <w:rsid w:val="008C0E29"/>
    <w:rsid w:val="008C0E62"/>
    <w:rsid w:val="008C0E9F"/>
    <w:rsid w:val="008C0EE7"/>
    <w:rsid w:val="008C0EE8"/>
    <w:rsid w:val="008C0EEE"/>
    <w:rsid w:val="008C0F6A"/>
    <w:rsid w:val="008C0F94"/>
    <w:rsid w:val="008C0FA5"/>
    <w:rsid w:val="008C0FDA"/>
    <w:rsid w:val="008C0FDB"/>
    <w:rsid w:val="008C1013"/>
    <w:rsid w:val="008C102C"/>
    <w:rsid w:val="008C103C"/>
    <w:rsid w:val="008C1058"/>
    <w:rsid w:val="008C109E"/>
    <w:rsid w:val="008C10C7"/>
    <w:rsid w:val="008C10ED"/>
    <w:rsid w:val="008C10F4"/>
    <w:rsid w:val="008C110F"/>
    <w:rsid w:val="008C1147"/>
    <w:rsid w:val="008C115D"/>
    <w:rsid w:val="008C1161"/>
    <w:rsid w:val="008C11AC"/>
    <w:rsid w:val="008C11F4"/>
    <w:rsid w:val="008C1210"/>
    <w:rsid w:val="008C122A"/>
    <w:rsid w:val="008C1275"/>
    <w:rsid w:val="008C127D"/>
    <w:rsid w:val="008C12BA"/>
    <w:rsid w:val="008C12CD"/>
    <w:rsid w:val="008C12F2"/>
    <w:rsid w:val="008C12FA"/>
    <w:rsid w:val="008C1316"/>
    <w:rsid w:val="008C136A"/>
    <w:rsid w:val="008C1372"/>
    <w:rsid w:val="008C13A3"/>
    <w:rsid w:val="008C13D0"/>
    <w:rsid w:val="008C13F6"/>
    <w:rsid w:val="008C1400"/>
    <w:rsid w:val="008C1464"/>
    <w:rsid w:val="008C1489"/>
    <w:rsid w:val="008C14AB"/>
    <w:rsid w:val="008C156F"/>
    <w:rsid w:val="008C163E"/>
    <w:rsid w:val="008C1653"/>
    <w:rsid w:val="008C1656"/>
    <w:rsid w:val="008C16A9"/>
    <w:rsid w:val="008C16BC"/>
    <w:rsid w:val="008C16E0"/>
    <w:rsid w:val="008C177B"/>
    <w:rsid w:val="008C17F8"/>
    <w:rsid w:val="008C181D"/>
    <w:rsid w:val="008C184E"/>
    <w:rsid w:val="008C1887"/>
    <w:rsid w:val="008C1893"/>
    <w:rsid w:val="008C18B3"/>
    <w:rsid w:val="008C19BF"/>
    <w:rsid w:val="008C19E8"/>
    <w:rsid w:val="008C1A50"/>
    <w:rsid w:val="008C1A65"/>
    <w:rsid w:val="008C1A83"/>
    <w:rsid w:val="008C1AB3"/>
    <w:rsid w:val="008C1ABF"/>
    <w:rsid w:val="008C1AD3"/>
    <w:rsid w:val="008C1B25"/>
    <w:rsid w:val="008C1C07"/>
    <w:rsid w:val="008C1C08"/>
    <w:rsid w:val="008C1C33"/>
    <w:rsid w:val="008C1C3B"/>
    <w:rsid w:val="008C1C6A"/>
    <w:rsid w:val="008C1C9E"/>
    <w:rsid w:val="008C1CA6"/>
    <w:rsid w:val="008C1CEB"/>
    <w:rsid w:val="008C1D0D"/>
    <w:rsid w:val="008C1D9F"/>
    <w:rsid w:val="008C1DEB"/>
    <w:rsid w:val="008C1E0B"/>
    <w:rsid w:val="008C1E68"/>
    <w:rsid w:val="008C1F3B"/>
    <w:rsid w:val="008C1F90"/>
    <w:rsid w:val="008C1F99"/>
    <w:rsid w:val="008C1FD3"/>
    <w:rsid w:val="008C1FEE"/>
    <w:rsid w:val="008C2040"/>
    <w:rsid w:val="008C2070"/>
    <w:rsid w:val="008C2087"/>
    <w:rsid w:val="008C2096"/>
    <w:rsid w:val="008C20F9"/>
    <w:rsid w:val="008C2146"/>
    <w:rsid w:val="008C2151"/>
    <w:rsid w:val="008C2203"/>
    <w:rsid w:val="008C226D"/>
    <w:rsid w:val="008C230E"/>
    <w:rsid w:val="008C2316"/>
    <w:rsid w:val="008C2357"/>
    <w:rsid w:val="008C23C9"/>
    <w:rsid w:val="008C23EF"/>
    <w:rsid w:val="008C2430"/>
    <w:rsid w:val="008C2472"/>
    <w:rsid w:val="008C24AE"/>
    <w:rsid w:val="008C250E"/>
    <w:rsid w:val="008C2592"/>
    <w:rsid w:val="008C25A5"/>
    <w:rsid w:val="008C260D"/>
    <w:rsid w:val="008C261C"/>
    <w:rsid w:val="008C2682"/>
    <w:rsid w:val="008C26AB"/>
    <w:rsid w:val="008C26C8"/>
    <w:rsid w:val="008C2733"/>
    <w:rsid w:val="008C2760"/>
    <w:rsid w:val="008C2777"/>
    <w:rsid w:val="008C2778"/>
    <w:rsid w:val="008C2780"/>
    <w:rsid w:val="008C27AA"/>
    <w:rsid w:val="008C2817"/>
    <w:rsid w:val="008C282A"/>
    <w:rsid w:val="008C287B"/>
    <w:rsid w:val="008C2881"/>
    <w:rsid w:val="008C28F1"/>
    <w:rsid w:val="008C28F6"/>
    <w:rsid w:val="008C2901"/>
    <w:rsid w:val="008C2914"/>
    <w:rsid w:val="008C2943"/>
    <w:rsid w:val="008C2946"/>
    <w:rsid w:val="008C2968"/>
    <w:rsid w:val="008C2A26"/>
    <w:rsid w:val="008C2A41"/>
    <w:rsid w:val="008C2A7C"/>
    <w:rsid w:val="008C2A95"/>
    <w:rsid w:val="008C2AA1"/>
    <w:rsid w:val="008C2ADA"/>
    <w:rsid w:val="008C2AFD"/>
    <w:rsid w:val="008C2B35"/>
    <w:rsid w:val="008C2B59"/>
    <w:rsid w:val="008C2B88"/>
    <w:rsid w:val="008C2BB5"/>
    <w:rsid w:val="008C2BE4"/>
    <w:rsid w:val="008C2C19"/>
    <w:rsid w:val="008C2C2C"/>
    <w:rsid w:val="008C2C53"/>
    <w:rsid w:val="008C2C60"/>
    <w:rsid w:val="008C2C87"/>
    <w:rsid w:val="008C2CA9"/>
    <w:rsid w:val="008C2CD3"/>
    <w:rsid w:val="008C2D15"/>
    <w:rsid w:val="008C2D29"/>
    <w:rsid w:val="008C2D3E"/>
    <w:rsid w:val="008C2D49"/>
    <w:rsid w:val="008C2D74"/>
    <w:rsid w:val="008C2DA9"/>
    <w:rsid w:val="008C2DDD"/>
    <w:rsid w:val="008C2E2A"/>
    <w:rsid w:val="008C2E3D"/>
    <w:rsid w:val="008C2E9E"/>
    <w:rsid w:val="008C2EB8"/>
    <w:rsid w:val="008C2ED5"/>
    <w:rsid w:val="008C2EE3"/>
    <w:rsid w:val="008C2F04"/>
    <w:rsid w:val="008C2F0A"/>
    <w:rsid w:val="008C2F17"/>
    <w:rsid w:val="008C2F72"/>
    <w:rsid w:val="008C2FB6"/>
    <w:rsid w:val="008C2FC7"/>
    <w:rsid w:val="008C2FF8"/>
    <w:rsid w:val="008C2FFD"/>
    <w:rsid w:val="008C30AD"/>
    <w:rsid w:val="008C30CF"/>
    <w:rsid w:val="008C310A"/>
    <w:rsid w:val="008C3123"/>
    <w:rsid w:val="008C3168"/>
    <w:rsid w:val="008C31D1"/>
    <w:rsid w:val="008C31E5"/>
    <w:rsid w:val="008C31EE"/>
    <w:rsid w:val="008C31FE"/>
    <w:rsid w:val="008C329E"/>
    <w:rsid w:val="008C334D"/>
    <w:rsid w:val="008C3371"/>
    <w:rsid w:val="008C33E9"/>
    <w:rsid w:val="008C344D"/>
    <w:rsid w:val="008C34BF"/>
    <w:rsid w:val="008C3515"/>
    <w:rsid w:val="008C3517"/>
    <w:rsid w:val="008C3541"/>
    <w:rsid w:val="008C3575"/>
    <w:rsid w:val="008C3586"/>
    <w:rsid w:val="008C358B"/>
    <w:rsid w:val="008C35B6"/>
    <w:rsid w:val="008C35C4"/>
    <w:rsid w:val="008C35D2"/>
    <w:rsid w:val="008C35EB"/>
    <w:rsid w:val="008C35FA"/>
    <w:rsid w:val="008C3607"/>
    <w:rsid w:val="008C365A"/>
    <w:rsid w:val="008C365F"/>
    <w:rsid w:val="008C3668"/>
    <w:rsid w:val="008C370E"/>
    <w:rsid w:val="008C3730"/>
    <w:rsid w:val="008C3787"/>
    <w:rsid w:val="008C37AA"/>
    <w:rsid w:val="008C37B2"/>
    <w:rsid w:val="008C37B6"/>
    <w:rsid w:val="008C3802"/>
    <w:rsid w:val="008C3820"/>
    <w:rsid w:val="008C386D"/>
    <w:rsid w:val="008C3884"/>
    <w:rsid w:val="008C388B"/>
    <w:rsid w:val="008C388C"/>
    <w:rsid w:val="008C38EA"/>
    <w:rsid w:val="008C397C"/>
    <w:rsid w:val="008C3A98"/>
    <w:rsid w:val="008C3AC9"/>
    <w:rsid w:val="008C3AFD"/>
    <w:rsid w:val="008C3B3E"/>
    <w:rsid w:val="008C3B47"/>
    <w:rsid w:val="008C3B58"/>
    <w:rsid w:val="008C3B93"/>
    <w:rsid w:val="008C3BE9"/>
    <w:rsid w:val="008C3C05"/>
    <w:rsid w:val="008C3C71"/>
    <w:rsid w:val="008C3CA8"/>
    <w:rsid w:val="008C3CB7"/>
    <w:rsid w:val="008C3CCC"/>
    <w:rsid w:val="008C3CED"/>
    <w:rsid w:val="008C3CFB"/>
    <w:rsid w:val="008C3D12"/>
    <w:rsid w:val="008C3D1F"/>
    <w:rsid w:val="008C3DA2"/>
    <w:rsid w:val="008C3DCA"/>
    <w:rsid w:val="008C3DEA"/>
    <w:rsid w:val="008C3E76"/>
    <w:rsid w:val="008C3E8A"/>
    <w:rsid w:val="008C3EBA"/>
    <w:rsid w:val="008C3EC8"/>
    <w:rsid w:val="008C3F01"/>
    <w:rsid w:val="008C3F53"/>
    <w:rsid w:val="008C4065"/>
    <w:rsid w:val="008C4066"/>
    <w:rsid w:val="008C406A"/>
    <w:rsid w:val="008C4071"/>
    <w:rsid w:val="008C40AD"/>
    <w:rsid w:val="008C40D1"/>
    <w:rsid w:val="008C415F"/>
    <w:rsid w:val="008C41C8"/>
    <w:rsid w:val="008C41D9"/>
    <w:rsid w:val="008C427C"/>
    <w:rsid w:val="008C42A2"/>
    <w:rsid w:val="008C4384"/>
    <w:rsid w:val="008C43EA"/>
    <w:rsid w:val="008C444B"/>
    <w:rsid w:val="008C44FB"/>
    <w:rsid w:val="008C4524"/>
    <w:rsid w:val="008C452F"/>
    <w:rsid w:val="008C4538"/>
    <w:rsid w:val="008C453E"/>
    <w:rsid w:val="008C459A"/>
    <w:rsid w:val="008C45E5"/>
    <w:rsid w:val="008C45E8"/>
    <w:rsid w:val="008C4610"/>
    <w:rsid w:val="008C4615"/>
    <w:rsid w:val="008C4629"/>
    <w:rsid w:val="008C4655"/>
    <w:rsid w:val="008C4662"/>
    <w:rsid w:val="008C466B"/>
    <w:rsid w:val="008C4673"/>
    <w:rsid w:val="008C46F8"/>
    <w:rsid w:val="008C46FC"/>
    <w:rsid w:val="008C4802"/>
    <w:rsid w:val="008C4812"/>
    <w:rsid w:val="008C4825"/>
    <w:rsid w:val="008C4846"/>
    <w:rsid w:val="008C489F"/>
    <w:rsid w:val="008C48B8"/>
    <w:rsid w:val="008C48C3"/>
    <w:rsid w:val="008C4946"/>
    <w:rsid w:val="008C4963"/>
    <w:rsid w:val="008C49A5"/>
    <w:rsid w:val="008C49A7"/>
    <w:rsid w:val="008C49C6"/>
    <w:rsid w:val="008C49CF"/>
    <w:rsid w:val="008C49EC"/>
    <w:rsid w:val="008C49FD"/>
    <w:rsid w:val="008C4A7A"/>
    <w:rsid w:val="008C4ABB"/>
    <w:rsid w:val="008C4ABF"/>
    <w:rsid w:val="008C4AFE"/>
    <w:rsid w:val="008C4B01"/>
    <w:rsid w:val="008C4B32"/>
    <w:rsid w:val="008C4B36"/>
    <w:rsid w:val="008C4B4E"/>
    <w:rsid w:val="008C4B66"/>
    <w:rsid w:val="008C4B87"/>
    <w:rsid w:val="008C4C67"/>
    <w:rsid w:val="008C4CA7"/>
    <w:rsid w:val="008C4CE5"/>
    <w:rsid w:val="008C4D3E"/>
    <w:rsid w:val="008C4D92"/>
    <w:rsid w:val="008C4DA4"/>
    <w:rsid w:val="008C4DA7"/>
    <w:rsid w:val="008C4EBA"/>
    <w:rsid w:val="008C4EEB"/>
    <w:rsid w:val="008C4F15"/>
    <w:rsid w:val="008C4F5D"/>
    <w:rsid w:val="008C4FAB"/>
    <w:rsid w:val="008C4FFA"/>
    <w:rsid w:val="008C5022"/>
    <w:rsid w:val="008C5033"/>
    <w:rsid w:val="008C503C"/>
    <w:rsid w:val="008C505A"/>
    <w:rsid w:val="008C50E3"/>
    <w:rsid w:val="008C5122"/>
    <w:rsid w:val="008C5143"/>
    <w:rsid w:val="008C514C"/>
    <w:rsid w:val="008C518B"/>
    <w:rsid w:val="008C524C"/>
    <w:rsid w:val="008C5272"/>
    <w:rsid w:val="008C5292"/>
    <w:rsid w:val="008C52EB"/>
    <w:rsid w:val="008C52F0"/>
    <w:rsid w:val="008C52F7"/>
    <w:rsid w:val="008C5300"/>
    <w:rsid w:val="008C534A"/>
    <w:rsid w:val="008C53F1"/>
    <w:rsid w:val="008C543B"/>
    <w:rsid w:val="008C5463"/>
    <w:rsid w:val="008C54C9"/>
    <w:rsid w:val="008C5533"/>
    <w:rsid w:val="008C5543"/>
    <w:rsid w:val="008C5591"/>
    <w:rsid w:val="008C55CA"/>
    <w:rsid w:val="008C5603"/>
    <w:rsid w:val="008C5674"/>
    <w:rsid w:val="008C56A3"/>
    <w:rsid w:val="008C572D"/>
    <w:rsid w:val="008C57F7"/>
    <w:rsid w:val="008C5866"/>
    <w:rsid w:val="008C5883"/>
    <w:rsid w:val="008C58AA"/>
    <w:rsid w:val="008C58B4"/>
    <w:rsid w:val="008C58F2"/>
    <w:rsid w:val="008C593E"/>
    <w:rsid w:val="008C595B"/>
    <w:rsid w:val="008C5A56"/>
    <w:rsid w:val="008C5A79"/>
    <w:rsid w:val="008C5A9A"/>
    <w:rsid w:val="008C5AAF"/>
    <w:rsid w:val="008C5AD5"/>
    <w:rsid w:val="008C5AED"/>
    <w:rsid w:val="008C5B46"/>
    <w:rsid w:val="008C5B9D"/>
    <w:rsid w:val="008C5C01"/>
    <w:rsid w:val="008C5C4B"/>
    <w:rsid w:val="008C5C64"/>
    <w:rsid w:val="008C5C9C"/>
    <w:rsid w:val="008C5D2C"/>
    <w:rsid w:val="008C5DDD"/>
    <w:rsid w:val="008C5E3B"/>
    <w:rsid w:val="008C5E4A"/>
    <w:rsid w:val="008C5E5C"/>
    <w:rsid w:val="008C5E75"/>
    <w:rsid w:val="008C5EAB"/>
    <w:rsid w:val="008C5F11"/>
    <w:rsid w:val="008C6027"/>
    <w:rsid w:val="008C602D"/>
    <w:rsid w:val="008C6047"/>
    <w:rsid w:val="008C6056"/>
    <w:rsid w:val="008C6076"/>
    <w:rsid w:val="008C6080"/>
    <w:rsid w:val="008C6091"/>
    <w:rsid w:val="008C60C7"/>
    <w:rsid w:val="008C60CA"/>
    <w:rsid w:val="008C60D0"/>
    <w:rsid w:val="008C60FC"/>
    <w:rsid w:val="008C620A"/>
    <w:rsid w:val="008C6218"/>
    <w:rsid w:val="008C622D"/>
    <w:rsid w:val="008C6248"/>
    <w:rsid w:val="008C62D4"/>
    <w:rsid w:val="008C62F1"/>
    <w:rsid w:val="008C638B"/>
    <w:rsid w:val="008C639D"/>
    <w:rsid w:val="008C63A2"/>
    <w:rsid w:val="008C63B5"/>
    <w:rsid w:val="008C63B6"/>
    <w:rsid w:val="008C63B7"/>
    <w:rsid w:val="008C63C0"/>
    <w:rsid w:val="008C63C7"/>
    <w:rsid w:val="008C63FC"/>
    <w:rsid w:val="008C6443"/>
    <w:rsid w:val="008C644B"/>
    <w:rsid w:val="008C6517"/>
    <w:rsid w:val="008C651D"/>
    <w:rsid w:val="008C652F"/>
    <w:rsid w:val="008C6590"/>
    <w:rsid w:val="008C65A7"/>
    <w:rsid w:val="008C65BA"/>
    <w:rsid w:val="008C65C0"/>
    <w:rsid w:val="008C663E"/>
    <w:rsid w:val="008C66BA"/>
    <w:rsid w:val="008C66E9"/>
    <w:rsid w:val="008C66FE"/>
    <w:rsid w:val="008C6756"/>
    <w:rsid w:val="008C677C"/>
    <w:rsid w:val="008C6820"/>
    <w:rsid w:val="008C6825"/>
    <w:rsid w:val="008C6830"/>
    <w:rsid w:val="008C6910"/>
    <w:rsid w:val="008C694E"/>
    <w:rsid w:val="008C69C4"/>
    <w:rsid w:val="008C69ED"/>
    <w:rsid w:val="008C6A15"/>
    <w:rsid w:val="008C6A23"/>
    <w:rsid w:val="008C6A2A"/>
    <w:rsid w:val="008C6A9E"/>
    <w:rsid w:val="008C6AB0"/>
    <w:rsid w:val="008C6B20"/>
    <w:rsid w:val="008C6B4D"/>
    <w:rsid w:val="008C6BB5"/>
    <w:rsid w:val="008C6BBF"/>
    <w:rsid w:val="008C6BD3"/>
    <w:rsid w:val="008C6BE6"/>
    <w:rsid w:val="008C6C7B"/>
    <w:rsid w:val="008C6C99"/>
    <w:rsid w:val="008C6CC3"/>
    <w:rsid w:val="008C6D10"/>
    <w:rsid w:val="008C6D65"/>
    <w:rsid w:val="008C6DF3"/>
    <w:rsid w:val="008C6DF6"/>
    <w:rsid w:val="008C6E43"/>
    <w:rsid w:val="008C6E56"/>
    <w:rsid w:val="008C6E58"/>
    <w:rsid w:val="008C6E7E"/>
    <w:rsid w:val="008C6E90"/>
    <w:rsid w:val="008C6E9C"/>
    <w:rsid w:val="008C6E9F"/>
    <w:rsid w:val="008C6EC9"/>
    <w:rsid w:val="008C6EF5"/>
    <w:rsid w:val="008C6F89"/>
    <w:rsid w:val="008C6F91"/>
    <w:rsid w:val="008C6FA9"/>
    <w:rsid w:val="008C6FAD"/>
    <w:rsid w:val="008C6FE1"/>
    <w:rsid w:val="008C7033"/>
    <w:rsid w:val="008C708D"/>
    <w:rsid w:val="008C70DF"/>
    <w:rsid w:val="008C711C"/>
    <w:rsid w:val="008C7147"/>
    <w:rsid w:val="008C718E"/>
    <w:rsid w:val="008C71B9"/>
    <w:rsid w:val="008C732F"/>
    <w:rsid w:val="008C7352"/>
    <w:rsid w:val="008C73E2"/>
    <w:rsid w:val="008C7424"/>
    <w:rsid w:val="008C7477"/>
    <w:rsid w:val="008C747B"/>
    <w:rsid w:val="008C74F2"/>
    <w:rsid w:val="008C750A"/>
    <w:rsid w:val="008C750C"/>
    <w:rsid w:val="008C75AD"/>
    <w:rsid w:val="008C75B7"/>
    <w:rsid w:val="008C75DF"/>
    <w:rsid w:val="008C75E5"/>
    <w:rsid w:val="008C75F9"/>
    <w:rsid w:val="008C7670"/>
    <w:rsid w:val="008C76A6"/>
    <w:rsid w:val="008C76DD"/>
    <w:rsid w:val="008C7721"/>
    <w:rsid w:val="008C777E"/>
    <w:rsid w:val="008C7783"/>
    <w:rsid w:val="008C77A5"/>
    <w:rsid w:val="008C7801"/>
    <w:rsid w:val="008C783E"/>
    <w:rsid w:val="008C78BF"/>
    <w:rsid w:val="008C78C0"/>
    <w:rsid w:val="008C796C"/>
    <w:rsid w:val="008C7978"/>
    <w:rsid w:val="008C79DA"/>
    <w:rsid w:val="008C7A0C"/>
    <w:rsid w:val="008C7A2E"/>
    <w:rsid w:val="008C7A7C"/>
    <w:rsid w:val="008C7A89"/>
    <w:rsid w:val="008C7ABB"/>
    <w:rsid w:val="008C7ADA"/>
    <w:rsid w:val="008C7AFC"/>
    <w:rsid w:val="008C7B6E"/>
    <w:rsid w:val="008C7C2D"/>
    <w:rsid w:val="008C7C5B"/>
    <w:rsid w:val="008C7C71"/>
    <w:rsid w:val="008C7C92"/>
    <w:rsid w:val="008C7CF5"/>
    <w:rsid w:val="008C7D08"/>
    <w:rsid w:val="008C7D0E"/>
    <w:rsid w:val="008C7D1A"/>
    <w:rsid w:val="008C7D56"/>
    <w:rsid w:val="008C7DC8"/>
    <w:rsid w:val="008C7E03"/>
    <w:rsid w:val="008C7E49"/>
    <w:rsid w:val="008C7E84"/>
    <w:rsid w:val="008C7E86"/>
    <w:rsid w:val="008C7E8C"/>
    <w:rsid w:val="008C7EEC"/>
    <w:rsid w:val="008C7EFD"/>
    <w:rsid w:val="008C7F16"/>
    <w:rsid w:val="008C7F37"/>
    <w:rsid w:val="008C7FB1"/>
    <w:rsid w:val="008D000D"/>
    <w:rsid w:val="008D005A"/>
    <w:rsid w:val="008D0069"/>
    <w:rsid w:val="008D0070"/>
    <w:rsid w:val="008D008D"/>
    <w:rsid w:val="008D01A1"/>
    <w:rsid w:val="008D01A4"/>
    <w:rsid w:val="008D0215"/>
    <w:rsid w:val="008D028A"/>
    <w:rsid w:val="008D02C6"/>
    <w:rsid w:val="008D02FB"/>
    <w:rsid w:val="008D034A"/>
    <w:rsid w:val="008D03B2"/>
    <w:rsid w:val="008D03F5"/>
    <w:rsid w:val="008D0438"/>
    <w:rsid w:val="008D045F"/>
    <w:rsid w:val="008D0460"/>
    <w:rsid w:val="008D0544"/>
    <w:rsid w:val="008D054C"/>
    <w:rsid w:val="008D055F"/>
    <w:rsid w:val="008D0571"/>
    <w:rsid w:val="008D05C2"/>
    <w:rsid w:val="008D065F"/>
    <w:rsid w:val="008D0667"/>
    <w:rsid w:val="008D06C2"/>
    <w:rsid w:val="008D06FF"/>
    <w:rsid w:val="008D070F"/>
    <w:rsid w:val="008D0745"/>
    <w:rsid w:val="008D0752"/>
    <w:rsid w:val="008D0772"/>
    <w:rsid w:val="008D07A6"/>
    <w:rsid w:val="008D07B7"/>
    <w:rsid w:val="008D07D4"/>
    <w:rsid w:val="008D07EC"/>
    <w:rsid w:val="008D0831"/>
    <w:rsid w:val="008D08CA"/>
    <w:rsid w:val="008D0916"/>
    <w:rsid w:val="008D096A"/>
    <w:rsid w:val="008D0984"/>
    <w:rsid w:val="008D09D8"/>
    <w:rsid w:val="008D09DA"/>
    <w:rsid w:val="008D0A33"/>
    <w:rsid w:val="008D0A68"/>
    <w:rsid w:val="008D0AC9"/>
    <w:rsid w:val="008D0B25"/>
    <w:rsid w:val="008D0B31"/>
    <w:rsid w:val="008D0B5C"/>
    <w:rsid w:val="008D0B6A"/>
    <w:rsid w:val="008D0B8D"/>
    <w:rsid w:val="008D0BE5"/>
    <w:rsid w:val="008D0BF8"/>
    <w:rsid w:val="008D0C07"/>
    <w:rsid w:val="008D0C77"/>
    <w:rsid w:val="008D0CA0"/>
    <w:rsid w:val="008D0CE2"/>
    <w:rsid w:val="008D0CE9"/>
    <w:rsid w:val="008D0D1B"/>
    <w:rsid w:val="008D0D33"/>
    <w:rsid w:val="008D0D5B"/>
    <w:rsid w:val="008D0D5C"/>
    <w:rsid w:val="008D0DD4"/>
    <w:rsid w:val="008D0E03"/>
    <w:rsid w:val="008D0E06"/>
    <w:rsid w:val="008D0E07"/>
    <w:rsid w:val="008D0E49"/>
    <w:rsid w:val="008D0E84"/>
    <w:rsid w:val="008D0EA6"/>
    <w:rsid w:val="008D0EAF"/>
    <w:rsid w:val="008D0EB9"/>
    <w:rsid w:val="008D0F01"/>
    <w:rsid w:val="008D0F06"/>
    <w:rsid w:val="008D0F13"/>
    <w:rsid w:val="008D0F8C"/>
    <w:rsid w:val="008D0F8F"/>
    <w:rsid w:val="008D0FC9"/>
    <w:rsid w:val="008D1003"/>
    <w:rsid w:val="008D1034"/>
    <w:rsid w:val="008D1049"/>
    <w:rsid w:val="008D107D"/>
    <w:rsid w:val="008D1099"/>
    <w:rsid w:val="008D10D7"/>
    <w:rsid w:val="008D1134"/>
    <w:rsid w:val="008D1140"/>
    <w:rsid w:val="008D11F9"/>
    <w:rsid w:val="008D1219"/>
    <w:rsid w:val="008D1266"/>
    <w:rsid w:val="008D1280"/>
    <w:rsid w:val="008D12B8"/>
    <w:rsid w:val="008D12CE"/>
    <w:rsid w:val="008D12F7"/>
    <w:rsid w:val="008D1348"/>
    <w:rsid w:val="008D1370"/>
    <w:rsid w:val="008D13AE"/>
    <w:rsid w:val="008D141E"/>
    <w:rsid w:val="008D142A"/>
    <w:rsid w:val="008D143A"/>
    <w:rsid w:val="008D152A"/>
    <w:rsid w:val="008D1538"/>
    <w:rsid w:val="008D1541"/>
    <w:rsid w:val="008D1551"/>
    <w:rsid w:val="008D15CC"/>
    <w:rsid w:val="008D15DD"/>
    <w:rsid w:val="008D1631"/>
    <w:rsid w:val="008D165C"/>
    <w:rsid w:val="008D16BB"/>
    <w:rsid w:val="008D16E2"/>
    <w:rsid w:val="008D1705"/>
    <w:rsid w:val="008D1724"/>
    <w:rsid w:val="008D1750"/>
    <w:rsid w:val="008D1783"/>
    <w:rsid w:val="008D1797"/>
    <w:rsid w:val="008D17AA"/>
    <w:rsid w:val="008D17F0"/>
    <w:rsid w:val="008D1835"/>
    <w:rsid w:val="008D1860"/>
    <w:rsid w:val="008D1874"/>
    <w:rsid w:val="008D18B5"/>
    <w:rsid w:val="008D18EF"/>
    <w:rsid w:val="008D1924"/>
    <w:rsid w:val="008D1974"/>
    <w:rsid w:val="008D19C7"/>
    <w:rsid w:val="008D1A78"/>
    <w:rsid w:val="008D1A8B"/>
    <w:rsid w:val="008D1A9A"/>
    <w:rsid w:val="008D1B21"/>
    <w:rsid w:val="008D1B6D"/>
    <w:rsid w:val="008D1B93"/>
    <w:rsid w:val="008D1BA9"/>
    <w:rsid w:val="008D1BB1"/>
    <w:rsid w:val="008D1BBD"/>
    <w:rsid w:val="008D1BDF"/>
    <w:rsid w:val="008D1BEF"/>
    <w:rsid w:val="008D1C14"/>
    <w:rsid w:val="008D1CBD"/>
    <w:rsid w:val="008D1CD2"/>
    <w:rsid w:val="008D1D5D"/>
    <w:rsid w:val="008D1DCB"/>
    <w:rsid w:val="008D1DF3"/>
    <w:rsid w:val="008D1E3D"/>
    <w:rsid w:val="008D1E61"/>
    <w:rsid w:val="008D1EFA"/>
    <w:rsid w:val="008D1F71"/>
    <w:rsid w:val="008D1FAC"/>
    <w:rsid w:val="008D203E"/>
    <w:rsid w:val="008D2051"/>
    <w:rsid w:val="008D2082"/>
    <w:rsid w:val="008D20D5"/>
    <w:rsid w:val="008D2177"/>
    <w:rsid w:val="008D2192"/>
    <w:rsid w:val="008D21B6"/>
    <w:rsid w:val="008D21D6"/>
    <w:rsid w:val="008D21D9"/>
    <w:rsid w:val="008D2201"/>
    <w:rsid w:val="008D2210"/>
    <w:rsid w:val="008D222E"/>
    <w:rsid w:val="008D225D"/>
    <w:rsid w:val="008D2298"/>
    <w:rsid w:val="008D22A7"/>
    <w:rsid w:val="008D22DC"/>
    <w:rsid w:val="008D22E6"/>
    <w:rsid w:val="008D2336"/>
    <w:rsid w:val="008D233F"/>
    <w:rsid w:val="008D235E"/>
    <w:rsid w:val="008D23BF"/>
    <w:rsid w:val="008D23CE"/>
    <w:rsid w:val="008D23F3"/>
    <w:rsid w:val="008D241E"/>
    <w:rsid w:val="008D2424"/>
    <w:rsid w:val="008D2428"/>
    <w:rsid w:val="008D2475"/>
    <w:rsid w:val="008D2508"/>
    <w:rsid w:val="008D259D"/>
    <w:rsid w:val="008D25DF"/>
    <w:rsid w:val="008D25E2"/>
    <w:rsid w:val="008D25EC"/>
    <w:rsid w:val="008D2683"/>
    <w:rsid w:val="008D268D"/>
    <w:rsid w:val="008D26AA"/>
    <w:rsid w:val="008D2731"/>
    <w:rsid w:val="008D2742"/>
    <w:rsid w:val="008D27E8"/>
    <w:rsid w:val="008D2816"/>
    <w:rsid w:val="008D2829"/>
    <w:rsid w:val="008D283F"/>
    <w:rsid w:val="008D2897"/>
    <w:rsid w:val="008D28A1"/>
    <w:rsid w:val="008D28B3"/>
    <w:rsid w:val="008D2900"/>
    <w:rsid w:val="008D290C"/>
    <w:rsid w:val="008D2929"/>
    <w:rsid w:val="008D2974"/>
    <w:rsid w:val="008D297C"/>
    <w:rsid w:val="008D2995"/>
    <w:rsid w:val="008D2999"/>
    <w:rsid w:val="008D29A0"/>
    <w:rsid w:val="008D29D1"/>
    <w:rsid w:val="008D29EB"/>
    <w:rsid w:val="008D2A13"/>
    <w:rsid w:val="008D2A1C"/>
    <w:rsid w:val="008D2A75"/>
    <w:rsid w:val="008D2AD4"/>
    <w:rsid w:val="008D2B5A"/>
    <w:rsid w:val="008D2BD2"/>
    <w:rsid w:val="008D2BD4"/>
    <w:rsid w:val="008D2BE6"/>
    <w:rsid w:val="008D2C13"/>
    <w:rsid w:val="008D2C6E"/>
    <w:rsid w:val="008D2C77"/>
    <w:rsid w:val="008D2D8D"/>
    <w:rsid w:val="008D2DDC"/>
    <w:rsid w:val="008D2DE6"/>
    <w:rsid w:val="008D2DFC"/>
    <w:rsid w:val="008D2DFE"/>
    <w:rsid w:val="008D2E0C"/>
    <w:rsid w:val="008D2E0E"/>
    <w:rsid w:val="008D2E81"/>
    <w:rsid w:val="008D2EB0"/>
    <w:rsid w:val="008D2EC8"/>
    <w:rsid w:val="008D2EE2"/>
    <w:rsid w:val="008D2EE6"/>
    <w:rsid w:val="008D2F0F"/>
    <w:rsid w:val="008D2F59"/>
    <w:rsid w:val="008D2F70"/>
    <w:rsid w:val="008D2FEB"/>
    <w:rsid w:val="008D303D"/>
    <w:rsid w:val="008D3046"/>
    <w:rsid w:val="008D305C"/>
    <w:rsid w:val="008D30C0"/>
    <w:rsid w:val="008D30D0"/>
    <w:rsid w:val="008D3100"/>
    <w:rsid w:val="008D31A1"/>
    <w:rsid w:val="008D31AE"/>
    <w:rsid w:val="008D31C7"/>
    <w:rsid w:val="008D3253"/>
    <w:rsid w:val="008D326A"/>
    <w:rsid w:val="008D3287"/>
    <w:rsid w:val="008D3300"/>
    <w:rsid w:val="008D3302"/>
    <w:rsid w:val="008D3322"/>
    <w:rsid w:val="008D333B"/>
    <w:rsid w:val="008D3364"/>
    <w:rsid w:val="008D33A0"/>
    <w:rsid w:val="008D3408"/>
    <w:rsid w:val="008D3491"/>
    <w:rsid w:val="008D349E"/>
    <w:rsid w:val="008D3515"/>
    <w:rsid w:val="008D3524"/>
    <w:rsid w:val="008D352D"/>
    <w:rsid w:val="008D358E"/>
    <w:rsid w:val="008D3625"/>
    <w:rsid w:val="008D3685"/>
    <w:rsid w:val="008D36B2"/>
    <w:rsid w:val="008D36E1"/>
    <w:rsid w:val="008D3711"/>
    <w:rsid w:val="008D3759"/>
    <w:rsid w:val="008D3786"/>
    <w:rsid w:val="008D37C6"/>
    <w:rsid w:val="008D3823"/>
    <w:rsid w:val="008D3841"/>
    <w:rsid w:val="008D38A5"/>
    <w:rsid w:val="008D38BE"/>
    <w:rsid w:val="008D3931"/>
    <w:rsid w:val="008D3943"/>
    <w:rsid w:val="008D3997"/>
    <w:rsid w:val="008D39D4"/>
    <w:rsid w:val="008D39F9"/>
    <w:rsid w:val="008D3A30"/>
    <w:rsid w:val="008D3A39"/>
    <w:rsid w:val="008D3A49"/>
    <w:rsid w:val="008D3AA6"/>
    <w:rsid w:val="008D3ABD"/>
    <w:rsid w:val="008D3AC9"/>
    <w:rsid w:val="008D3B06"/>
    <w:rsid w:val="008D3B0F"/>
    <w:rsid w:val="008D3B71"/>
    <w:rsid w:val="008D3B78"/>
    <w:rsid w:val="008D3C13"/>
    <w:rsid w:val="008D3C38"/>
    <w:rsid w:val="008D3C8B"/>
    <w:rsid w:val="008D3C91"/>
    <w:rsid w:val="008D3D21"/>
    <w:rsid w:val="008D3D41"/>
    <w:rsid w:val="008D3DCB"/>
    <w:rsid w:val="008D3E05"/>
    <w:rsid w:val="008D3E23"/>
    <w:rsid w:val="008D3E46"/>
    <w:rsid w:val="008D3E48"/>
    <w:rsid w:val="008D3E67"/>
    <w:rsid w:val="008D3E6B"/>
    <w:rsid w:val="008D3E84"/>
    <w:rsid w:val="008D3EA4"/>
    <w:rsid w:val="008D3F3D"/>
    <w:rsid w:val="008D3F54"/>
    <w:rsid w:val="008D3F88"/>
    <w:rsid w:val="008D3FEA"/>
    <w:rsid w:val="008D4005"/>
    <w:rsid w:val="008D4029"/>
    <w:rsid w:val="008D4042"/>
    <w:rsid w:val="008D4085"/>
    <w:rsid w:val="008D4087"/>
    <w:rsid w:val="008D40BF"/>
    <w:rsid w:val="008D414D"/>
    <w:rsid w:val="008D4173"/>
    <w:rsid w:val="008D41E8"/>
    <w:rsid w:val="008D4226"/>
    <w:rsid w:val="008D4230"/>
    <w:rsid w:val="008D425D"/>
    <w:rsid w:val="008D427F"/>
    <w:rsid w:val="008D434C"/>
    <w:rsid w:val="008D43F5"/>
    <w:rsid w:val="008D441C"/>
    <w:rsid w:val="008D441F"/>
    <w:rsid w:val="008D442B"/>
    <w:rsid w:val="008D4485"/>
    <w:rsid w:val="008D4495"/>
    <w:rsid w:val="008D44ED"/>
    <w:rsid w:val="008D44F6"/>
    <w:rsid w:val="008D453E"/>
    <w:rsid w:val="008D4561"/>
    <w:rsid w:val="008D45ED"/>
    <w:rsid w:val="008D4605"/>
    <w:rsid w:val="008D4652"/>
    <w:rsid w:val="008D4678"/>
    <w:rsid w:val="008D4682"/>
    <w:rsid w:val="008D469D"/>
    <w:rsid w:val="008D46D2"/>
    <w:rsid w:val="008D46F3"/>
    <w:rsid w:val="008D4756"/>
    <w:rsid w:val="008D47A8"/>
    <w:rsid w:val="008D47EF"/>
    <w:rsid w:val="008D483C"/>
    <w:rsid w:val="008D486B"/>
    <w:rsid w:val="008D48AC"/>
    <w:rsid w:val="008D48F4"/>
    <w:rsid w:val="008D4903"/>
    <w:rsid w:val="008D4916"/>
    <w:rsid w:val="008D4935"/>
    <w:rsid w:val="008D495F"/>
    <w:rsid w:val="008D4964"/>
    <w:rsid w:val="008D49BE"/>
    <w:rsid w:val="008D49CC"/>
    <w:rsid w:val="008D49CE"/>
    <w:rsid w:val="008D49F4"/>
    <w:rsid w:val="008D49FC"/>
    <w:rsid w:val="008D4A37"/>
    <w:rsid w:val="008D4A9A"/>
    <w:rsid w:val="008D4AED"/>
    <w:rsid w:val="008D4B03"/>
    <w:rsid w:val="008D4BFA"/>
    <w:rsid w:val="008D4C41"/>
    <w:rsid w:val="008D4CBB"/>
    <w:rsid w:val="008D4CD6"/>
    <w:rsid w:val="008D4D03"/>
    <w:rsid w:val="008D4DB9"/>
    <w:rsid w:val="008D4E0F"/>
    <w:rsid w:val="008D4E14"/>
    <w:rsid w:val="008D4E2C"/>
    <w:rsid w:val="008D4E73"/>
    <w:rsid w:val="008D4E7D"/>
    <w:rsid w:val="008D4E8C"/>
    <w:rsid w:val="008D4E8F"/>
    <w:rsid w:val="008D4EBD"/>
    <w:rsid w:val="008D4EDF"/>
    <w:rsid w:val="008D4F3F"/>
    <w:rsid w:val="008D4F47"/>
    <w:rsid w:val="008D4F7B"/>
    <w:rsid w:val="008D4F88"/>
    <w:rsid w:val="008D4FA3"/>
    <w:rsid w:val="008D4FAF"/>
    <w:rsid w:val="008D4FDA"/>
    <w:rsid w:val="008D5026"/>
    <w:rsid w:val="008D508F"/>
    <w:rsid w:val="008D50A8"/>
    <w:rsid w:val="008D514F"/>
    <w:rsid w:val="008D517A"/>
    <w:rsid w:val="008D5189"/>
    <w:rsid w:val="008D51A5"/>
    <w:rsid w:val="008D51BE"/>
    <w:rsid w:val="008D5216"/>
    <w:rsid w:val="008D5232"/>
    <w:rsid w:val="008D5267"/>
    <w:rsid w:val="008D526C"/>
    <w:rsid w:val="008D52D7"/>
    <w:rsid w:val="008D5310"/>
    <w:rsid w:val="008D53A8"/>
    <w:rsid w:val="008D53D3"/>
    <w:rsid w:val="008D540C"/>
    <w:rsid w:val="008D54AB"/>
    <w:rsid w:val="008D54C6"/>
    <w:rsid w:val="008D54E6"/>
    <w:rsid w:val="008D5519"/>
    <w:rsid w:val="008D552A"/>
    <w:rsid w:val="008D5531"/>
    <w:rsid w:val="008D554C"/>
    <w:rsid w:val="008D558E"/>
    <w:rsid w:val="008D55AE"/>
    <w:rsid w:val="008D564C"/>
    <w:rsid w:val="008D565C"/>
    <w:rsid w:val="008D56E7"/>
    <w:rsid w:val="008D56F5"/>
    <w:rsid w:val="008D56F8"/>
    <w:rsid w:val="008D5705"/>
    <w:rsid w:val="008D5723"/>
    <w:rsid w:val="008D572A"/>
    <w:rsid w:val="008D5784"/>
    <w:rsid w:val="008D578B"/>
    <w:rsid w:val="008D5807"/>
    <w:rsid w:val="008D5858"/>
    <w:rsid w:val="008D589E"/>
    <w:rsid w:val="008D58D2"/>
    <w:rsid w:val="008D5937"/>
    <w:rsid w:val="008D5952"/>
    <w:rsid w:val="008D598C"/>
    <w:rsid w:val="008D59B9"/>
    <w:rsid w:val="008D59DC"/>
    <w:rsid w:val="008D5A41"/>
    <w:rsid w:val="008D5A8C"/>
    <w:rsid w:val="008D5B3A"/>
    <w:rsid w:val="008D5BC1"/>
    <w:rsid w:val="008D5BDC"/>
    <w:rsid w:val="008D5C04"/>
    <w:rsid w:val="008D5C27"/>
    <w:rsid w:val="008D5CDF"/>
    <w:rsid w:val="008D5CE9"/>
    <w:rsid w:val="008D5CEC"/>
    <w:rsid w:val="008D5D4E"/>
    <w:rsid w:val="008D5D4F"/>
    <w:rsid w:val="008D5D53"/>
    <w:rsid w:val="008D5D73"/>
    <w:rsid w:val="008D5D90"/>
    <w:rsid w:val="008D5DA3"/>
    <w:rsid w:val="008D5DBB"/>
    <w:rsid w:val="008D5DCC"/>
    <w:rsid w:val="008D5E27"/>
    <w:rsid w:val="008D5E55"/>
    <w:rsid w:val="008D5E64"/>
    <w:rsid w:val="008D5E9A"/>
    <w:rsid w:val="008D5E9C"/>
    <w:rsid w:val="008D5ECD"/>
    <w:rsid w:val="008D5F26"/>
    <w:rsid w:val="008D5F56"/>
    <w:rsid w:val="008D5FFD"/>
    <w:rsid w:val="008D601B"/>
    <w:rsid w:val="008D6052"/>
    <w:rsid w:val="008D6079"/>
    <w:rsid w:val="008D60DA"/>
    <w:rsid w:val="008D60DF"/>
    <w:rsid w:val="008D60EE"/>
    <w:rsid w:val="008D60F1"/>
    <w:rsid w:val="008D6104"/>
    <w:rsid w:val="008D6114"/>
    <w:rsid w:val="008D6118"/>
    <w:rsid w:val="008D6137"/>
    <w:rsid w:val="008D617C"/>
    <w:rsid w:val="008D61B3"/>
    <w:rsid w:val="008D61DE"/>
    <w:rsid w:val="008D621E"/>
    <w:rsid w:val="008D6240"/>
    <w:rsid w:val="008D6267"/>
    <w:rsid w:val="008D6272"/>
    <w:rsid w:val="008D6276"/>
    <w:rsid w:val="008D629C"/>
    <w:rsid w:val="008D62AA"/>
    <w:rsid w:val="008D62BF"/>
    <w:rsid w:val="008D62E7"/>
    <w:rsid w:val="008D6309"/>
    <w:rsid w:val="008D632A"/>
    <w:rsid w:val="008D632F"/>
    <w:rsid w:val="008D63B5"/>
    <w:rsid w:val="008D63F4"/>
    <w:rsid w:val="008D6416"/>
    <w:rsid w:val="008D6449"/>
    <w:rsid w:val="008D6467"/>
    <w:rsid w:val="008D64C3"/>
    <w:rsid w:val="008D64DA"/>
    <w:rsid w:val="008D6521"/>
    <w:rsid w:val="008D655D"/>
    <w:rsid w:val="008D6565"/>
    <w:rsid w:val="008D6574"/>
    <w:rsid w:val="008D657F"/>
    <w:rsid w:val="008D658C"/>
    <w:rsid w:val="008D65A3"/>
    <w:rsid w:val="008D65D0"/>
    <w:rsid w:val="008D65FD"/>
    <w:rsid w:val="008D6653"/>
    <w:rsid w:val="008D66A4"/>
    <w:rsid w:val="008D66BC"/>
    <w:rsid w:val="008D6731"/>
    <w:rsid w:val="008D6734"/>
    <w:rsid w:val="008D6750"/>
    <w:rsid w:val="008D6753"/>
    <w:rsid w:val="008D678D"/>
    <w:rsid w:val="008D67E9"/>
    <w:rsid w:val="008D6812"/>
    <w:rsid w:val="008D6829"/>
    <w:rsid w:val="008D6851"/>
    <w:rsid w:val="008D68A4"/>
    <w:rsid w:val="008D68A9"/>
    <w:rsid w:val="008D68C7"/>
    <w:rsid w:val="008D68EA"/>
    <w:rsid w:val="008D6921"/>
    <w:rsid w:val="008D693D"/>
    <w:rsid w:val="008D6972"/>
    <w:rsid w:val="008D69A4"/>
    <w:rsid w:val="008D69AA"/>
    <w:rsid w:val="008D69B2"/>
    <w:rsid w:val="008D6A31"/>
    <w:rsid w:val="008D6A82"/>
    <w:rsid w:val="008D6AA0"/>
    <w:rsid w:val="008D6AC0"/>
    <w:rsid w:val="008D6B4F"/>
    <w:rsid w:val="008D6B53"/>
    <w:rsid w:val="008D6B7F"/>
    <w:rsid w:val="008D6BC8"/>
    <w:rsid w:val="008D6BF9"/>
    <w:rsid w:val="008D6C01"/>
    <w:rsid w:val="008D6C58"/>
    <w:rsid w:val="008D6C66"/>
    <w:rsid w:val="008D6CAF"/>
    <w:rsid w:val="008D6CD2"/>
    <w:rsid w:val="008D6D3B"/>
    <w:rsid w:val="008D6D6F"/>
    <w:rsid w:val="008D6DB7"/>
    <w:rsid w:val="008D6E05"/>
    <w:rsid w:val="008D6E66"/>
    <w:rsid w:val="008D6E69"/>
    <w:rsid w:val="008D6E77"/>
    <w:rsid w:val="008D6EC6"/>
    <w:rsid w:val="008D6EEA"/>
    <w:rsid w:val="008D6F37"/>
    <w:rsid w:val="008D6F48"/>
    <w:rsid w:val="008D6FB5"/>
    <w:rsid w:val="008D701C"/>
    <w:rsid w:val="008D702F"/>
    <w:rsid w:val="008D704A"/>
    <w:rsid w:val="008D7091"/>
    <w:rsid w:val="008D70D5"/>
    <w:rsid w:val="008D7105"/>
    <w:rsid w:val="008D710E"/>
    <w:rsid w:val="008D7125"/>
    <w:rsid w:val="008D7126"/>
    <w:rsid w:val="008D714B"/>
    <w:rsid w:val="008D7162"/>
    <w:rsid w:val="008D7197"/>
    <w:rsid w:val="008D71B2"/>
    <w:rsid w:val="008D7256"/>
    <w:rsid w:val="008D7340"/>
    <w:rsid w:val="008D7354"/>
    <w:rsid w:val="008D739C"/>
    <w:rsid w:val="008D73BF"/>
    <w:rsid w:val="008D7404"/>
    <w:rsid w:val="008D7419"/>
    <w:rsid w:val="008D7445"/>
    <w:rsid w:val="008D7469"/>
    <w:rsid w:val="008D7488"/>
    <w:rsid w:val="008D74FE"/>
    <w:rsid w:val="008D74FF"/>
    <w:rsid w:val="008D7513"/>
    <w:rsid w:val="008D7558"/>
    <w:rsid w:val="008D757E"/>
    <w:rsid w:val="008D75E9"/>
    <w:rsid w:val="008D7677"/>
    <w:rsid w:val="008D767E"/>
    <w:rsid w:val="008D7688"/>
    <w:rsid w:val="008D7695"/>
    <w:rsid w:val="008D777E"/>
    <w:rsid w:val="008D7798"/>
    <w:rsid w:val="008D77A4"/>
    <w:rsid w:val="008D77CA"/>
    <w:rsid w:val="008D7829"/>
    <w:rsid w:val="008D782E"/>
    <w:rsid w:val="008D783F"/>
    <w:rsid w:val="008D7892"/>
    <w:rsid w:val="008D7903"/>
    <w:rsid w:val="008D7920"/>
    <w:rsid w:val="008D79D8"/>
    <w:rsid w:val="008D79E7"/>
    <w:rsid w:val="008D7A37"/>
    <w:rsid w:val="008D7A4C"/>
    <w:rsid w:val="008D7B0B"/>
    <w:rsid w:val="008D7B2D"/>
    <w:rsid w:val="008D7B80"/>
    <w:rsid w:val="008D7B9A"/>
    <w:rsid w:val="008D7BF3"/>
    <w:rsid w:val="008D7CD0"/>
    <w:rsid w:val="008D7CDB"/>
    <w:rsid w:val="008D7D24"/>
    <w:rsid w:val="008D7D91"/>
    <w:rsid w:val="008D7E24"/>
    <w:rsid w:val="008D7E45"/>
    <w:rsid w:val="008D7E72"/>
    <w:rsid w:val="008D7E92"/>
    <w:rsid w:val="008D7ED4"/>
    <w:rsid w:val="008D7EEA"/>
    <w:rsid w:val="008D7F46"/>
    <w:rsid w:val="008E007B"/>
    <w:rsid w:val="008E01F8"/>
    <w:rsid w:val="008E02D0"/>
    <w:rsid w:val="008E02D3"/>
    <w:rsid w:val="008E02F5"/>
    <w:rsid w:val="008E0311"/>
    <w:rsid w:val="008E031B"/>
    <w:rsid w:val="008E0369"/>
    <w:rsid w:val="008E0419"/>
    <w:rsid w:val="008E041A"/>
    <w:rsid w:val="008E047A"/>
    <w:rsid w:val="008E050E"/>
    <w:rsid w:val="008E051E"/>
    <w:rsid w:val="008E0523"/>
    <w:rsid w:val="008E052B"/>
    <w:rsid w:val="008E0542"/>
    <w:rsid w:val="008E055B"/>
    <w:rsid w:val="008E059D"/>
    <w:rsid w:val="008E05A2"/>
    <w:rsid w:val="008E05A4"/>
    <w:rsid w:val="008E05BA"/>
    <w:rsid w:val="008E05D3"/>
    <w:rsid w:val="008E05E0"/>
    <w:rsid w:val="008E067E"/>
    <w:rsid w:val="008E0762"/>
    <w:rsid w:val="008E077C"/>
    <w:rsid w:val="008E0791"/>
    <w:rsid w:val="008E07E3"/>
    <w:rsid w:val="008E0828"/>
    <w:rsid w:val="008E082F"/>
    <w:rsid w:val="008E083C"/>
    <w:rsid w:val="008E083F"/>
    <w:rsid w:val="008E0843"/>
    <w:rsid w:val="008E0867"/>
    <w:rsid w:val="008E0890"/>
    <w:rsid w:val="008E089D"/>
    <w:rsid w:val="008E08AC"/>
    <w:rsid w:val="008E08BE"/>
    <w:rsid w:val="008E08C6"/>
    <w:rsid w:val="008E0908"/>
    <w:rsid w:val="008E0965"/>
    <w:rsid w:val="008E0988"/>
    <w:rsid w:val="008E0A33"/>
    <w:rsid w:val="008E0A65"/>
    <w:rsid w:val="008E0A7A"/>
    <w:rsid w:val="008E0AC4"/>
    <w:rsid w:val="008E0B06"/>
    <w:rsid w:val="008E0B35"/>
    <w:rsid w:val="008E0BB2"/>
    <w:rsid w:val="008E0BC1"/>
    <w:rsid w:val="008E0C0F"/>
    <w:rsid w:val="008E0C2B"/>
    <w:rsid w:val="008E0C4D"/>
    <w:rsid w:val="008E0C95"/>
    <w:rsid w:val="008E0CB9"/>
    <w:rsid w:val="008E0CCB"/>
    <w:rsid w:val="008E0D0F"/>
    <w:rsid w:val="008E0D40"/>
    <w:rsid w:val="008E0D45"/>
    <w:rsid w:val="008E0DC7"/>
    <w:rsid w:val="008E0DDF"/>
    <w:rsid w:val="008E0E73"/>
    <w:rsid w:val="008E0E8B"/>
    <w:rsid w:val="008E0EA0"/>
    <w:rsid w:val="008E0EE3"/>
    <w:rsid w:val="008E0F48"/>
    <w:rsid w:val="008E0F5D"/>
    <w:rsid w:val="008E0F75"/>
    <w:rsid w:val="008E0F8E"/>
    <w:rsid w:val="008E0FC2"/>
    <w:rsid w:val="008E0FE8"/>
    <w:rsid w:val="008E0FFE"/>
    <w:rsid w:val="008E101B"/>
    <w:rsid w:val="008E113B"/>
    <w:rsid w:val="008E114E"/>
    <w:rsid w:val="008E1178"/>
    <w:rsid w:val="008E119A"/>
    <w:rsid w:val="008E11B3"/>
    <w:rsid w:val="008E11CD"/>
    <w:rsid w:val="008E11F8"/>
    <w:rsid w:val="008E1204"/>
    <w:rsid w:val="008E1273"/>
    <w:rsid w:val="008E12A1"/>
    <w:rsid w:val="008E12A6"/>
    <w:rsid w:val="008E12BD"/>
    <w:rsid w:val="008E12EF"/>
    <w:rsid w:val="008E1343"/>
    <w:rsid w:val="008E138B"/>
    <w:rsid w:val="008E13A8"/>
    <w:rsid w:val="008E13AA"/>
    <w:rsid w:val="008E13BD"/>
    <w:rsid w:val="008E13DD"/>
    <w:rsid w:val="008E13EB"/>
    <w:rsid w:val="008E143E"/>
    <w:rsid w:val="008E1449"/>
    <w:rsid w:val="008E144B"/>
    <w:rsid w:val="008E14AD"/>
    <w:rsid w:val="008E14BE"/>
    <w:rsid w:val="008E14E0"/>
    <w:rsid w:val="008E14E5"/>
    <w:rsid w:val="008E1530"/>
    <w:rsid w:val="008E154F"/>
    <w:rsid w:val="008E1594"/>
    <w:rsid w:val="008E15AB"/>
    <w:rsid w:val="008E15B9"/>
    <w:rsid w:val="008E15F2"/>
    <w:rsid w:val="008E15FA"/>
    <w:rsid w:val="008E16CA"/>
    <w:rsid w:val="008E16E3"/>
    <w:rsid w:val="008E173B"/>
    <w:rsid w:val="008E1792"/>
    <w:rsid w:val="008E17D6"/>
    <w:rsid w:val="008E17F5"/>
    <w:rsid w:val="008E181A"/>
    <w:rsid w:val="008E18A6"/>
    <w:rsid w:val="008E18B5"/>
    <w:rsid w:val="008E18BB"/>
    <w:rsid w:val="008E18E1"/>
    <w:rsid w:val="008E1911"/>
    <w:rsid w:val="008E1939"/>
    <w:rsid w:val="008E1981"/>
    <w:rsid w:val="008E1988"/>
    <w:rsid w:val="008E19BD"/>
    <w:rsid w:val="008E19FD"/>
    <w:rsid w:val="008E1A28"/>
    <w:rsid w:val="008E1A67"/>
    <w:rsid w:val="008E1A79"/>
    <w:rsid w:val="008E1B69"/>
    <w:rsid w:val="008E1B8E"/>
    <w:rsid w:val="008E1BE6"/>
    <w:rsid w:val="008E1C33"/>
    <w:rsid w:val="008E1C58"/>
    <w:rsid w:val="008E1C6C"/>
    <w:rsid w:val="008E1CA0"/>
    <w:rsid w:val="008E1D27"/>
    <w:rsid w:val="008E1D28"/>
    <w:rsid w:val="008E1D4A"/>
    <w:rsid w:val="008E1D93"/>
    <w:rsid w:val="008E1DCE"/>
    <w:rsid w:val="008E1DD4"/>
    <w:rsid w:val="008E1DE5"/>
    <w:rsid w:val="008E1E19"/>
    <w:rsid w:val="008E1E1E"/>
    <w:rsid w:val="008E1ED3"/>
    <w:rsid w:val="008E1F05"/>
    <w:rsid w:val="008E1F3B"/>
    <w:rsid w:val="008E1F47"/>
    <w:rsid w:val="008E1F73"/>
    <w:rsid w:val="008E1F9B"/>
    <w:rsid w:val="008E1FA9"/>
    <w:rsid w:val="008E1FAD"/>
    <w:rsid w:val="008E1FB3"/>
    <w:rsid w:val="008E201F"/>
    <w:rsid w:val="008E203B"/>
    <w:rsid w:val="008E2067"/>
    <w:rsid w:val="008E20A9"/>
    <w:rsid w:val="008E20B9"/>
    <w:rsid w:val="008E20F1"/>
    <w:rsid w:val="008E2103"/>
    <w:rsid w:val="008E214F"/>
    <w:rsid w:val="008E215C"/>
    <w:rsid w:val="008E21BD"/>
    <w:rsid w:val="008E21C1"/>
    <w:rsid w:val="008E2202"/>
    <w:rsid w:val="008E2207"/>
    <w:rsid w:val="008E2269"/>
    <w:rsid w:val="008E227E"/>
    <w:rsid w:val="008E2285"/>
    <w:rsid w:val="008E2298"/>
    <w:rsid w:val="008E22B9"/>
    <w:rsid w:val="008E22C4"/>
    <w:rsid w:val="008E2370"/>
    <w:rsid w:val="008E2388"/>
    <w:rsid w:val="008E23A6"/>
    <w:rsid w:val="008E23CA"/>
    <w:rsid w:val="008E23FD"/>
    <w:rsid w:val="008E245F"/>
    <w:rsid w:val="008E24A2"/>
    <w:rsid w:val="008E25C6"/>
    <w:rsid w:val="008E2636"/>
    <w:rsid w:val="008E26A5"/>
    <w:rsid w:val="008E26CC"/>
    <w:rsid w:val="008E271D"/>
    <w:rsid w:val="008E2732"/>
    <w:rsid w:val="008E2740"/>
    <w:rsid w:val="008E2772"/>
    <w:rsid w:val="008E2781"/>
    <w:rsid w:val="008E280A"/>
    <w:rsid w:val="008E28E3"/>
    <w:rsid w:val="008E28FF"/>
    <w:rsid w:val="008E2924"/>
    <w:rsid w:val="008E2946"/>
    <w:rsid w:val="008E2966"/>
    <w:rsid w:val="008E2A31"/>
    <w:rsid w:val="008E2A69"/>
    <w:rsid w:val="008E2B0A"/>
    <w:rsid w:val="008E2B14"/>
    <w:rsid w:val="008E2B27"/>
    <w:rsid w:val="008E2B69"/>
    <w:rsid w:val="008E2B76"/>
    <w:rsid w:val="008E2B78"/>
    <w:rsid w:val="008E2B7C"/>
    <w:rsid w:val="008E2BEF"/>
    <w:rsid w:val="008E2C0E"/>
    <w:rsid w:val="008E2C22"/>
    <w:rsid w:val="008E2C3A"/>
    <w:rsid w:val="008E2C44"/>
    <w:rsid w:val="008E2C45"/>
    <w:rsid w:val="008E2C48"/>
    <w:rsid w:val="008E2C4E"/>
    <w:rsid w:val="008E2C6E"/>
    <w:rsid w:val="008E2C9D"/>
    <w:rsid w:val="008E2CAB"/>
    <w:rsid w:val="008E2CAF"/>
    <w:rsid w:val="008E2D4C"/>
    <w:rsid w:val="008E2DEA"/>
    <w:rsid w:val="008E2E78"/>
    <w:rsid w:val="008E2EAF"/>
    <w:rsid w:val="008E2EB3"/>
    <w:rsid w:val="008E2EFA"/>
    <w:rsid w:val="008E2F5F"/>
    <w:rsid w:val="008E2FA7"/>
    <w:rsid w:val="008E2FBD"/>
    <w:rsid w:val="008E2FBE"/>
    <w:rsid w:val="008E3058"/>
    <w:rsid w:val="008E3073"/>
    <w:rsid w:val="008E30BD"/>
    <w:rsid w:val="008E30FD"/>
    <w:rsid w:val="008E3111"/>
    <w:rsid w:val="008E3146"/>
    <w:rsid w:val="008E3147"/>
    <w:rsid w:val="008E3178"/>
    <w:rsid w:val="008E319E"/>
    <w:rsid w:val="008E31CB"/>
    <w:rsid w:val="008E31CE"/>
    <w:rsid w:val="008E31EE"/>
    <w:rsid w:val="008E31F8"/>
    <w:rsid w:val="008E321A"/>
    <w:rsid w:val="008E3220"/>
    <w:rsid w:val="008E32A0"/>
    <w:rsid w:val="008E333A"/>
    <w:rsid w:val="008E3356"/>
    <w:rsid w:val="008E336E"/>
    <w:rsid w:val="008E337E"/>
    <w:rsid w:val="008E33A1"/>
    <w:rsid w:val="008E33A7"/>
    <w:rsid w:val="008E33DE"/>
    <w:rsid w:val="008E33F0"/>
    <w:rsid w:val="008E3402"/>
    <w:rsid w:val="008E340D"/>
    <w:rsid w:val="008E3425"/>
    <w:rsid w:val="008E3437"/>
    <w:rsid w:val="008E34B7"/>
    <w:rsid w:val="008E34C0"/>
    <w:rsid w:val="008E35B5"/>
    <w:rsid w:val="008E363D"/>
    <w:rsid w:val="008E36A5"/>
    <w:rsid w:val="008E36D5"/>
    <w:rsid w:val="008E36EA"/>
    <w:rsid w:val="008E3719"/>
    <w:rsid w:val="008E3734"/>
    <w:rsid w:val="008E37B1"/>
    <w:rsid w:val="008E37C3"/>
    <w:rsid w:val="008E37D5"/>
    <w:rsid w:val="008E3855"/>
    <w:rsid w:val="008E38B6"/>
    <w:rsid w:val="008E38E3"/>
    <w:rsid w:val="008E392B"/>
    <w:rsid w:val="008E396C"/>
    <w:rsid w:val="008E39A2"/>
    <w:rsid w:val="008E3A17"/>
    <w:rsid w:val="008E3A1E"/>
    <w:rsid w:val="008E3A2E"/>
    <w:rsid w:val="008E3A7E"/>
    <w:rsid w:val="008E3AE3"/>
    <w:rsid w:val="008E3B57"/>
    <w:rsid w:val="008E3B92"/>
    <w:rsid w:val="008E3C2C"/>
    <w:rsid w:val="008E3C2F"/>
    <w:rsid w:val="008E3C8C"/>
    <w:rsid w:val="008E3CDC"/>
    <w:rsid w:val="008E3CE3"/>
    <w:rsid w:val="008E3D1B"/>
    <w:rsid w:val="008E3D45"/>
    <w:rsid w:val="008E3D65"/>
    <w:rsid w:val="008E3D76"/>
    <w:rsid w:val="008E3D98"/>
    <w:rsid w:val="008E3DBE"/>
    <w:rsid w:val="008E3DE6"/>
    <w:rsid w:val="008E3E03"/>
    <w:rsid w:val="008E3E14"/>
    <w:rsid w:val="008E3EAF"/>
    <w:rsid w:val="008E3EB7"/>
    <w:rsid w:val="008E3F09"/>
    <w:rsid w:val="008E3F28"/>
    <w:rsid w:val="008E3F92"/>
    <w:rsid w:val="008E3F9D"/>
    <w:rsid w:val="008E3FA9"/>
    <w:rsid w:val="008E4002"/>
    <w:rsid w:val="008E4020"/>
    <w:rsid w:val="008E4024"/>
    <w:rsid w:val="008E409C"/>
    <w:rsid w:val="008E40E2"/>
    <w:rsid w:val="008E40EC"/>
    <w:rsid w:val="008E4105"/>
    <w:rsid w:val="008E413D"/>
    <w:rsid w:val="008E41C4"/>
    <w:rsid w:val="008E41C5"/>
    <w:rsid w:val="008E41D5"/>
    <w:rsid w:val="008E41EF"/>
    <w:rsid w:val="008E4205"/>
    <w:rsid w:val="008E4271"/>
    <w:rsid w:val="008E429D"/>
    <w:rsid w:val="008E42BB"/>
    <w:rsid w:val="008E42D0"/>
    <w:rsid w:val="008E42EB"/>
    <w:rsid w:val="008E4312"/>
    <w:rsid w:val="008E431F"/>
    <w:rsid w:val="008E433F"/>
    <w:rsid w:val="008E436B"/>
    <w:rsid w:val="008E437D"/>
    <w:rsid w:val="008E4382"/>
    <w:rsid w:val="008E43C7"/>
    <w:rsid w:val="008E43EB"/>
    <w:rsid w:val="008E4447"/>
    <w:rsid w:val="008E44B0"/>
    <w:rsid w:val="008E44E1"/>
    <w:rsid w:val="008E4531"/>
    <w:rsid w:val="008E458F"/>
    <w:rsid w:val="008E45BE"/>
    <w:rsid w:val="008E4665"/>
    <w:rsid w:val="008E46DB"/>
    <w:rsid w:val="008E46ED"/>
    <w:rsid w:val="008E4752"/>
    <w:rsid w:val="008E4754"/>
    <w:rsid w:val="008E4762"/>
    <w:rsid w:val="008E478F"/>
    <w:rsid w:val="008E47AD"/>
    <w:rsid w:val="008E47C2"/>
    <w:rsid w:val="008E47D7"/>
    <w:rsid w:val="008E47DA"/>
    <w:rsid w:val="008E47F2"/>
    <w:rsid w:val="008E483B"/>
    <w:rsid w:val="008E4873"/>
    <w:rsid w:val="008E4897"/>
    <w:rsid w:val="008E48A2"/>
    <w:rsid w:val="008E48FC"/>
    <w:rsid w:val="008E4931"/>
    <w:rsid w:val="008E4932"/>
    <w:rsid w:val="008E4942"/>
    <w:rsid w:val="008E49EB"/>
    <w:rsid w:val="008E4A19"/>
    <w:rsid w:val="008E4A25"/>
    <w:rsid w:val="008E4A9F"/>
    <w:rsid w:val="008E4AA8"/>
    <w:rsid w:val="008E4AC8"/>
    <w:rsid w:val="008E4AD6"/>
    <w:rsid w:val="008E4C13"/>
    <w:rsid w:val="008E4C60"/>
    <w:rsid w:val="008E4CFC"/>
    <w:rsid w:val="008E4D00"/>
    <w:rsid w:val="008E4D38"/>
    <w:rsid w:val="008E4DA4"/>
    <w:rsid w:val="008E4DE9"/>
    <w:rsid w:val="008E4DFA"/>
    <w:rsid w:val="008E4E17"/>
    <w:rsid w:val="008E4E19"/>
    <w:rsid w:val="008E4E3C"/>
    <w:rsid w:val="008E4E3E"/>
    <w:rsid w:val="008E4E5B"/>
    <w:rsid w:val="008E4E71"/>
    <w:rsid w:val="008E4E73"/>
    <w:rsid w:val="008E4E95"/>
    <w:rsid w:val="008E4F76"/>
    <w:rsid w:val="008E4F9B"/>
    <w:rsid w:val="008E4FFB"/>
    <w:rsid w:val="008E501A"/>
    <w:rsid w:val="008E502B"/>
    <w:rsid w:val="008E50DB"/>
    <w:rsid w:val="008E510F"/>
    <w:rsid w:val="008E5137"/>
    <w:rsid w:val="008E513D"/>
    <w:rsid w:val="008E5144"/>
    <w:rsid w:val="008E516F"/>
    <w:rsid w:val="008E5182"/>
    <w:rsid w:val="008E5183"/>
    <w:rsid w:val="008E5189"/>
    <w:rsid w:val="008E519E"/>
    <w:rsid w:val="008E51A4"/>
    <w:rsid w:val="008E51D7"/>
    <w:rsid w:val="008E523C"/>
    <w:rsid w:val="008E525E"/>
    <w:rsid w:val="008E5294"/>
    <w:rsid w:val="008E52CD"/>
    <w:rsid w:val="008E52CF"/>
    <w:rsid w:val="008E53DB"/>
    <w:rsid w:val="008E5456"/>
    <w:rsid w:val="008E54A0"/>
    <w:rsid w:val="008E54C6"/>
    <w:rsid w:val="008E54E6"/>
    <w:rsid w:val="008E5506"/>
    <w:rsid w:val="008E5513"/>
    <w:rsid w:val="008E5535"/>
    <w:rsid w:val="008E55C5"/>
    <w:rsid w:val="008E55D6"/>
    <w:rsid w:val="008E5603"/>
    <w:rsid w:val="008E5664"/>
    <w:rsid w:val="008E5683"/>
    <w:rsid w:val="008E56B2"/>
    <w:rsid w:val="008E578C"/>
    <w:rsid w:val="008E57C5"/>
    <w:rsid w:val="008E57D9"/>
    <w:rsid w:val="008E581C"/>
    <w:rsid w:val="008E5845"/>
    <w:rsid w:val="008E5849"/>
    <w:rsid w:val="008E58A8"/>
    <w:rsid w:val="008E58BA"/>
    <w:rsid w:val="008E58D7"/>
    <w:rsid w:val="008E58EE"/>
    <w:rsid w:val="008E58FB"/>
    <w:rsid w:val="008E5906"/>
    <w:rsid w:val="008E5980"/>
    <w:rsid w:val="008E599C"/>
    <w:rsid w:val="008E59C3"/>
    <w:rsid w:val="008E5A0A"/>
    <w:rsid w:val="008E5A12"/>
    <w:rsid w:val="008E5A7C"/>
    <w:rsid w:val="008E5A82"/>
    <w:rsid w:val="008E5A9D"/>
    <w:rsid w:val="008E5B45"/>
    <w:rsid w:val="008E5BED"/>
    <w:rsid w:val="008E5BFE"/>
    <w:rsid w:val="008E5C1B"/>
    <w:rsid w:val="008E5C47"/>
    <w:rsid w:val="008E5C8A"/>
    <w:rsid w:val="008E5CAB"/>
    <w:rsid w:val="008E5CD1"/>
    <w:rsid w:val="008E5CD8"/>
    <w:rsid w:val="008E5CF3"/>
    <w:rsid w:val="008E5DB8"/>
    <w:rsid w:val="008E5E14"/>
    <w:rsid w:val="008E5E38"/>
    <w:rsid w:val="008E5E5B"/>
    <w:rsid w:val="008E5E88"/>
    <w:rsid w:val="008E5E89"/>
    <w:rsid w:val="008E5EDC"/>
    <w:rsid w:val="008E5F0D"/>
    <w:rsid w:val="008E5F2D"/>
    <w:rsid w:val="008E5F43"/>
    <w:rsid w:val="008E5F91"/>
    <w:rsid w:val="008E5F92"/>
    <w:rsid w:val="008E5FE1"/>
    <w:rsid w:val="008E60EA"/>
    <w:rsid w:val="008E60F9"/>
    <w:rsid w:val="008E613F"/>
    <w:rsid w:val="008E6150"/>
    <w:rsid w:val="008E6151"/>
    <w:rsid w:val="008E6191"/>
    <w:rsid w:val="008E61A5"/>
    <w:rsid w:val="008E620C"/>
    <w:rsid w:val="008E6215"/>
    <w:rsid w:val="008E6257"/>
    <w:rsid w:val="008E629F"/>
    <w:rsid w:val="008E62C1"/>
    <w:rsid w:val="008E62D7"/>
    <w:rsid w:val="008E62DE"/>
    <w:rsid w:val="008E62EF"/>
    <w:rsid w:val="008E62F6"/>
    <w:rsid w:val="008E636F"/>
    <w:rsid w:val="008E6389"/>
    <w:rsid w:val="008E63C1"/>
    <w:rsid w:val="008E63C9"/>
    <w:rsid w:val="008E63D3"/>
    <w:rsid w:val="008E63DD"/>
    <w:rsid w:val="008E63E0"/>
    <w:rsid w:val="008E63FA"/>
    <w:rsid w:val="008E6400"/>
    <w:rsid w:val="008E6431"/>
    <w:rsid w:val="008E6463"/>
    <w:rsid w:val="008E6486"/>
    <w:rsid w:val="008E648D"/>
    <w:rsid w:val="008E64EC"/>
    <w:rsid w:val="008E64F7"/>
    <w:rsid w:val="008E6572"/>
    <w:rsid w:val="008E6593"/>
    <w:rsid w:val="008E667C"/>
    <w:rsid w:val="008E671F"/>
    <w:rsid w:val="008E6792"/>
    <w:rsid w:val="008E67A4"/>
    <w:rsid w:val="008E67F8"/>
    <w:rsid w:val="008E684A"/>
    <w:rsid w:val="008E686A"/>
    <w:rsid w:val="008E6878"/>
    <w:rsid w:val="008E68E1"/>
    <w:rsid w:val="008E68E4"/>
    <w:rsid w:val="008E690F"/>
    <w:rsid w:val="008E69E5"/>
    <w:rsid w:val="008E6A26"/>
    <w:rsid w:val="008E6A3C"/>
    <w:rsid w:val="008E6A44"/>
    <w:rsid w:val="008E6A48"/>
    <w:rsid w:val="008E6A62"/>
    <w:rsid w:val="008E6B1D"/>
    <w:rsid w:val="008E6B4D"/>
    <w:rsid w:val="008E6BAD"/>
    <w:rsid w:val="008E6BD3"/>
    <w:rsid w:val="008E6C2A"/>
    <w:rsid w:val="008E6C78"/>
    <w:rsid w:val="008E6D11"/>
    <w:rsid w:val="008E6D5C"/>
    <w:rsid w:val="008E6D8D"/>
    <w:rsid w:val="008E6DF7"/>
    <w:rsid w:val="008E6E13"/>
    <w:rsid w:val="008E6E59"/>
    <w:rsid w:val="008E6E5A"/>
    <w:rsid w:val="008E6E5E"/>
    <w:rsid w:val="008E6EB8"/>
    <w:rsid w:val="008E6ED0"/>
    <w:rsid w:val="008E6ED9"/>
    <w:rsid w:val="008E6EED"/>
    <w:rsid w:val="008E6EFE"/>
    <w:rsid w:val="008E7002"/>
    <w:rsid w:val="008E7006"/>
    <w:rsid w:val="008E706A"/>
    <w:rsid w:val="008E70ED"/>
    <w:rsid w:val="008E70F9"/>
    <w:rsid w:val="008E7109"/>
    <w:rsid w:val="008E7133"/>
    <w:rsid w:val="008E7146"/>
    <w:rsid w:val="008E7175"/>
    <w:rsid w:val="008E71A4"/>
    <w:rsid w:val="008E7222"/>
    <w:rsid w:val="008E72F8"/>
    <w:rsid w:val="008E734B"/>
    <w:rsid w:val="008E738C"/>
    <w:rsid w:val="008E73A5"/>
    <w:rsid w:val="008E73AB"/>
    <w:rsid w:val="008E746E"/>
    <w:rsid w:val="008E74F6"/>
    <w:rsid w:val="008E7514"/>
    <w:rsid w:val="008E7541"/>
    <w:rsid w:val="008E75DA"/>
    <w:rsid w:val="008E75DD"/>
    <w:rsid w:val="008E7652"/>
    <w:rsid w:val="008E7665"/>
    <w:rsid w:val="008E766E"/>
    <w:rsid w:val="008E76A7"/>
    <w:rsid w:val="008E76B1"/>
    <w:rsid w:val="008E76CE"/>
    <w:rsid w:val="008E76F1"/>
    <w:rsid w:val="008E770A"/>
    <w:rsid w:val="008E773C"/>
    <w:rsid w:val="008E7775"/>
    <w:rsid w:val="008E77D0"/>
    <w:rsid w:val="008E7883"/>
    <w:rsid w:val="008E7975"/>
    <w:rsid w:val="008E7A17"/>
    <w:rsid w:val="008E7A4F"/>
    <w:rsid w:val="008E7AE3"/>
    <w:rsid w:val="008E7B52"/>
    <w:rsid w:val="008E7B7A"/>
    <w:rsid w:val="008E7BA5"/>
    <w:rsid w:val="008E7BB9"/>
    <w:rsid w:val="008E7BC8"/>
    <w:rsid w:val="008E7C0C"/>
    <w:rsid w:val="008E7C22"/>
    <w:rsid w:val="008E7C31"/>
    <w:rsid w:val="008E7C44"/>
    <w:rsid w:val="008E7C6E"/>
    <w:rsid w:val="008E7C94"/>
    <w:rsid w:val="008E7CD1"/>
    <w:rsid w:val="008E7D3B"/>
    <w:rsid w:val="008E7D59"/>
    <w:rsid w:val="008E7D65"/>
    <w:rsid w:val="008E7DBC"/>
    <w:rsid w:val="008E7DC6"/>
    <w:rsid w:val="008E7E59"/>
    <w:rsid w:val="008E7E8D"/>
    <w:rsid w:val="008E7ED2"/>
    <w:rsid w:val="008E7EFA"/>
    <w:rsid w:val="008E7F04"/>
    <w:rsid w:val="008E7F36"/>
    <w:rsid w:val="008E7F7D"/>
    <w:rsid w:val="008E7FA8"/>
    <w:rsid w:val="008E7FD4"/>
    <w:rsid w:val="008E7FD7"/>
    <w:rsid w:val="008E7FD9"/>
    <w:rsid w:val="008F002B"/>
    <w:rsid w:val="008F0031"/>
    <w:rsid w:val="008F00B4"/>
    <w:rsid w:val="008F00EA"/>
    <w:rsid w:val="008F0109"/>
    <w:rsid w:val="008F0151"/>
    <w:rsid w:val="008F018B"/>
    <w:rsid w:val="008F01AA"/>
    <w:rsid w:val="008F01BA"/>
    <w:rsid w:val="008F01EA"/>
    <w:rsid w:val="008F01FF"/>
    <w:rsid w:val="008F0297"/>
    <w:rsid w:val="008F02CA"/>
    <w:rsid w:val="008F030A"/>
    <w:rsid w:val="008F0334"/>
    <w:rsid w:val="008F041D"/>
    <w:rsid w:val="008F0486"/>
    <w:rsid w:val="008F0498"/>
    <w:rsid w:val="008F04A0"/>
    <w:rsid w:val="008F04F1"/>
    <w:rsid w:val="008F0505"/>
    <w:rsid w:val="008F0523"/>
    <w:rsid w:val="008F0549"/>
    <w:rsid w:val="008F0575"/>
    <w:rsid w:val="008F0593"/>
    <w:rsid w:val="008F05A5"/>
    <w:rsid w:val="008F05C3"/>
    <w:rsid w:val="008F05C4"/>
    <w:rsid w:val="008F05F7"/>
    <w:rsid w:val="008F05FA"/>
    <w:rsid w:val="008F064E"/>
    <w:rsid w:val="008F06C2"/>
    <w:rsid w:val="008F071B"/>
    <w:rsid w:val="008F0747"/>
    <w:rsid w:val="008F07E6"/>
    <w:rsid w:val="008F0801"/>
    <w:rsid w:val="008F0825"/>
    <w:rsid w:val="008F0828"/>
    <w:rsid w:val="008F0838"/>
    <w:rsid w:val="008F084D"/>
    <w:rsid w:val="008F0856"/>
    <w:rsid w:val="008F08A7"/>
    <w:rsid w:val="008F0922"/>
    <w:rsid w:val="008F095F"/>
    <w:rsid w:val="008F0975"/>
    <w:rsid w:val="008F09D2"/>
    <w:rsid w:val="008F09D9"/>
    <w:rsid w:val="008F0A12"/>
    <w:rsid w:val="008F0A51"/>
    <w:rsid w:val="008F0AAA"/>
    <w:rsid w:val="008F0B1D"/>
    <w:rsid w:val="008F0B3A"/>
    <w:rsid w:val="008F0B3F"/>
    <w:rsid w:val="008F0B55"/>
    <w:rsid w:val="008F0B95"/>
    <w:rsid w:val="008F0BEE"/>
    <w:rsid w:val="008F0C79"/>
    <w:rsid w:val="008F0C7E"/>
    <w:rsid w:val="008F0CBC"/>
    <w:rsid w:val="008F0D43"/>
    <w:rsid w:val="008F0D58"/>
    <w:rsid w:val="008F0D7B"/>
    <w:rsid w:val="008F0DAF"/>
    <w:rsid w:val="008F0DD5"/>
    <w:rsid w:val="008F0DD9"/>
    <w:rsid w:val="008F0DE4"/>
    <w:rsid w:val="008F0E17"/>
    <w:rsid w:val="008F0E3C"/>
    <w:rsid w:val="008F0EA5"/>
    <w:rsid w:val="008F0ECB"/>
    <w:rsid w:val="008F0EE1"/>
    <w:rsid w:val="008F0EF5"/>
    <w:rsid w:val="008F0EF6"/>
    <w:rsid w:val="008F0F08"/>
    <w:rsid w:val="008F0F0F"/>
    <w:rsid w:val="008F0F66"/>
    <w:rsid w:val="008F0F99"/>
    <w:rsid w:val="008F0FC3"/>
    <w:rsid w:val="008F1061"/>
    <w:rsid w:val="008F1069"/>
    <w:rsid w:val="008F111F"/>
    <w:rsid w:val="008F1184"/>
    <w:rsid w:val="008F1199"/>
    <w:rsid w:val="008F120A"/>
    <w:rsid w:val="008F120E"/>
    <w:rsid w:val="008F1210"/>
    <w:rsid w:val="008F1247"/>
    <w:rsid w:val="008F124D"/>
    <w:rsid w:val="008F12E0"/>
    <w:rsid w:val="008F130D"/>
    <w:rsid w:val="008F1350"/>
    <w:rsid w:val="008F1359"/>
    <w:rsid w:val="008F13AF"/>
    <w:rsid w:val="008F13D4"/>
    <w:rsid w:val="008F13F8"/>
    <w:rsid w:val="008F143B"/>
    <w:rsid w:val="008F1442"/>
    <w:rsid w:val="008F146B"/>
    <w:rsid w:val="008F148C"/>
    <w:rsid w:val="008F14A2"/>
    <w:rsid w:val="008F14EF"/>
    <w:rsid w:val="008F1508"/>
    <w:rsid w:val="008F1512"/>
    <w:rsid w:val="008F157B"/>
    <w:rsid w:val="008F1585"/>
    <w:rsid w:val="008F15AA"/>
    <w:rsid w:val="008F1628"/>
    <w:rsid w:val="008F16AC"/>
    <w:rsid w:val="008F1706"/>
    <w:rsid w:val="008F1753"/>
    <w:rsid w:val="008F1769"/>
    <w:rsid w:val="008F17FB"/>
    <w:rsid w:val="008F1893"/>
    <w:rsid w:val="008F1895"/>
    <w:rsid w:val="008F18A4"/>
    <w:rsid w:val="008F18BD"/>
    <w:rsid w:val="008F1922"/>
    <w:rsid w:val="008F1996"/>
    <w:rsid w:val="008F19B4"/>
    <w:rsid w:val="008F19D4"/>
    <w:rsid w:val="008F1A4C"/>
    <w:rsid w:val="008F1A80"/>
    <w:rsid w:val="008F1AAC"/>
    <w:rsid w:val="008F1AAF"/>
    <w:rsid w:val="008F1ABC"/>
    <w:rsid w:val="008F1AF6"/>
    <w:rsid w:val="008F1B2A"/>
    <w:rsid w:val="008F1B63"/>
    <w:rsid w:val="008F1B6F"/>
    <w:rsid w:val="008F1B95"/>
    <w:rsid w:val="008F1BFB"/>
    <w:rsid w:val="008F1C34"/>
    <w:rsid w:val="008F1C4A"/>
    <w:rsid w:val="008F1C9A"/>
    <w:rsid w:val="008F1C9C"/>
    <w:rsid w:val="008F1CF2"/>
    <w:rsid w:val="008F1D22"/>
    <w:rsid w:val="008F1D7C"/>
    <w:rsid w:val="008F1DAA"/>
    <w:rsid w:val="008F1DD1"/>
    <w:rsid w:val="008F1DE9"/>
    <w:rsid w:val="008F1E01"/>
    <w:rsid w:val="008F1E32"/>
    <w:rsid w:val="008F1E50"/>
    <w:rsid w:val="008F1EBA"/>
    <w:rsid w:val="008F1EE9"/>
    <w:rsid w:val="008F1FE7"/>
    <w:rsid w:val="008F1FE8"/>
    <w:rsid w:val="008F1FFD"/>
    <w:rsid w:val="008F1FFE"/>
    <w:rsid w:val="008F2033"/>
    <w:rsid w:val="008F2050"/>
    <w:rsid w:val="008F2064"/>
    <w:rsid w:val="008F2065"/>
    <w:rsid w:val="008F208F"/>
    <w:rsid w:val="008F20BC"/>
    <w:rsid w:val="008F2161"/>
    <w:rsid w:val="008F21A1"/>
    <w:rsid w:val="008F21D8"/>
    <w:rsid w:val="008F21EE"/>
    <w:rsid w:val="008F2284"/>
    <w:rsid w:val="008F2300"/>
    <w:rsid w:val="008F238B"/>
    <w:rsid w:val="008F23CB"/>
    <w:rsid w:val="008F23D2"/>
    <w:rsid w:val="008F23DB"/>
    <w:rsid w:val="008F2407"/>
    <w:rsid w:val="008F2478"/>
    <w:rsid w:val="008F2481"/>
    <w:rsid w:val="008F2496"/>
    <w:rsid w:val="008F24C9"/>
    <w:rsid w:val="008F24D8"/>
    <w:rsid w:val="008F24DE"/>
    <w:rsid w:val="008F24E2"/>
    <w:rsid w:val="008F2518"/>
    <w:rsid w:val="008F256E"/>
    <w:rsid w:val="008F26BD"/>
    <w:rsid w:val="008F273C"/>
    <w:rsid w:val="008F273E"/>
    <w:rsid w:val="008F2769"/>
    <w:rsid w:val="008F27AD"/>
    <w:rsid w:val="008F2899"/>
    <w:rsid w:val="008F28BB"/>
    <w:rsid w:val="008F28BC"/>
    <w:rsid w:val="008F2920"/>
    <w:rsid w:val="008F292A"/>
    <w:rsid w:val="008F2984"/>
    <w:rsid w:val="008F2A12"/>
    <w:rsid w:val="008F2AC6"/>
    <w:rsid w:val="008F2B78"/>
    <w:rsid w:val="008F2B91"/>
    <w:rsid w:val="008F2BB2"/>
    <w:rsid w:val="008F2BC0"/>
    <w:rsid w:val="008F2BFB"/>
    <w:rsid w:val="008F2C5F"/>
    <w:rsid w:val="008F2C87"/>
    <w:rsid w:val="008F2CD2"/>
    <w:rsid w:val="008F2CF4"/>
    <w:rsid w:val="008F2D40"/>
    <w:rsid w:val="008F2D5A"/>
    <w:rsid w:val="008F2DA6"/>
    <w:rsid w:val="008F2DEC"/>
    <w:rsid w:val="008F2E13"/>
    <w:rsid w:val="008F2E2C"/>
    <w:rsid w:val="008F2E36"/>
    <w:rsid w:val="008F2E4B"/>
    <w:rsid w:val="008F2E8E"/>
    <w:rsid w:val="008F2E8F"/>
    <w:rsid w:val="008F2F19"/>
    <w:rsid w:val="008F2F1A"/>
    <w:rsid w:val="008F2F5D"/>
    <w:rsid w:val="008F2F89"/>
    <w:rsid w:val="008F3010"/>
    <w:rsid w:val="008F305A"/>
    <w:rsid w:val="008F3098"/>
    <w:rsid w:val="008F30BF"/>
    <w:rsid w:val="008F30C1"/>
    <w:rsid w:val="008F3125"/>
    <w:rsid w:val="008F3164"/>
    <w:rsid w:val="008F31A7"/>
    <w:rsid w:val="008F321C"/>
    <w:rsid w:val="008F3237"/>
    <w:rsid w:val="008F3247"/>
    <w:rsid w:val="008F3265"/>
    <w:rsid w:val="008F3295"/>
    <w:rsid w:val="008F32A9"/>
    <w:rsid w:val="008F32AC"/>
    <w:rsid w:val="008F32BF"/>
    <w:rsid w:val="008F32C5"/>
    <w:rsid w:val="008F32FC"/>
    <w:rsid w:val="008F338D"/>
    <w:rsid w:val="008F3431"/>
    <w:rsid w:val="008F348F"/>
    <w:rsid w:val="008F34D0"/>
    <w:rsid w:val="008F3546"/>
    <w:rsid w:val="008F3581"/>
    <w:rsid w:val="008F35CD"/>
    <w:rsid w:val="008F35DE"/>
    <w:rsid w:val="008F35ED"/>
    <w:rsid w:val="008F3648"/>
    <w:rsid w:val="008F36AC"/>
    <w:rsid w:val="008F3722"/>
    <w:rsid w:val="008F37CD"/>
    <w:rsid w:val="008F37DB"/>
    <w:rsid w:val="008F37E4"/>
    <w:rsid w:val="008F3889"/>
    <w:rsid w:val="008F38B0"/>
    <w:rsid w:val="008F38B5"/>
    <w:rsid w:val="008F38BF"/>
    <w:rsid w:val="008F38F8"/>
    <w:rsid w:val="008F390D"/>
    <w:rsid w:val="008F3912"/>
    <w:rsid w:val="008F395B"/>
    <w:rsid w:val="008F39CC"/>
    <w:rsid w:val="008F39D3"/>
    <w:rsid w:val="008F39DC"/>
    <w:rsid w:val="008F39DD"/>
    <w:rsid w:val="008F39E9"/>
    <w:rsid w:val="008F3A58"/>
    <w:rsid w:val="008F3A96"/>
    <w:rsid w:val="008F3A9B"/>
    <w:rsid w:val="008F3AE7"/>
    <w:rsid w:val="008F3B16"/>
    <w:rsid w:val="008F3B29"/>
    <w:rsid w:val="008F3B54"/>
    <w:rsid w:val="008F3B7D"/>
    <w:rsid w:val="008F3B99"/>
    <w:rsid w:val="008F3BDE"/>
    <w:rsid w:val="008F3C61"/>
    <w:rsid w:val="008F3C6E"/>
    <w:rsid w:val="008F3C8A"/>
    <w:rsid w:val="008F3C92"/>
    <w:rsid w:val="008F3C9D"/>
    <w:rsid w:val="008F3CA0"/>
    <w:rsid w:val="008F3CC5"/>
    <w:rsid w:val="008F3CFD"/>
    <w:rsid w:val="008F3D15"/>
    <w:rsid w:val="008F3D50"/>
    <w:rsid w:val="008F3DD5"/>
    <w:rsid w:val="008F3DE2"/>
    <w:rsid w:val="008F3E29"/>
    <w:rsid w:val="008F3EC7"/>
    <w:rsid w:val="008F3F7F"/>
    <w:rsid w:val="008F3F8F"/>
    <w:rsid w:val="008F3F98"/>
    <w:rsid w:val="008F3FCC"/>
    <w:rsid w:val="008F3FF2"/>
    <w:rsid w:val="008F4021"/>
    <w:rsid w:val="008F4028"/>
    <w:rsid w:val="008F4046"/>
    <w:rsid w:val="008F4047"/>
    <w:rsid w:val="008F40AA"/>
    <w:rsid w:val="008F40C7"/>
    <w:rsid w:val="008F40D3"/>
    <w:rsid w:val="008F4102"/>
    <w:rsid w:val="008F4145"/>
    <w:rsid w:val="008F4163"/>
    <w:rsid w:val="008F4188"/>
    <w:rsid w:val="008F41CD"/>
    <w:rsid w:val="008F4270"/>
    <w:rsid w:val="008F4276"/>
    <w:rsid w:val="008F429C"/>
    <w:rsid w:val="008F429E"/>
    <w:rsid w:val="008F42A8"/>
    <w:rsid w:val="008F42C4"/>
    <w:rsid w:val="008F42E8"/>
    <w:rsid w:val="008F4331"/>
    <w:rsid w:val="008F4353"/>
    <w:rsid w:val="008F43BF"/>
    <w:rsid w:val="008F4401"/>
    <w:rsid w:val="008F440A"/>
    <w:rsid w:val="008F4438"/>
    <w:rsid w:val="008F4455"/>
    <w:rsid w:val="008F450B"/>
    <w:rsid w:val="008F451E"/>
    <w:rsid w:val="008F455B"/>
    <w:rsid w:val="008F4623"/>
    <w:rsid w:val="008F465B"/>
    <w:rsid w:val="008F4685"/>
    <w:rsid w:val="008F46E6"/>
    <w:rsid w:val="008F4702"/>
    <w:rsid w:val="008F4715"/>
    <w:rsid w:val="008F4741"/>
    <w:rsid w:val="008F4768"/>
    <w:rsid w:val="008F476F"/>
    <w:rsid w:val="008F477F"/>
    <w:rsid w:val="008F4799"/>
    <w:rsid w:val="008F47E1"/>
    <w:rsid w:val="008F480C"/>
    <w:rsid w:val="008F4895"/>
    <w:rsid w:val="008F48BC"/>
    <w:rsid w:val="008F48C0"/>
    <w:rsid w:val="008F49A7"/>
    <w:rsid w:val="008F49A9"/>
    <w:rsid w:val="008F49F4"/>
    <w:rsid w:val="008F4A07"/>
    <w:rsid w:val="008F4A2C"/>
    <w:rsid w:val="008F4A5A"/>
    <w:rsid w:val="008F4A84"/>
    <w:rsid w:val="008F4A87"/>
    <w:rsid w:val="008F4AF9"/>
    <w:rsid w:val="008F4B41"/>
    <w:rsid w:val="008F4B42"/>
    <w:rsid w:val="008F4B67"/>
    <w:rsid w:val="008F4B80"/>
    <w:rsid w:val="008F4B92"/>
    <w:rsid w:val="008F4BB4"/>
    <w:rsid w:val="008F4C4D"/>
    <w:rsid w:val="008F4C60"/>
    <w:rsid w:val="008F4D38"/>
    <w:rsid w:val="008F4DA5"/>
    <w:rsid w:val="008F4DFF"/>
    <w:rsid w:val="008F4E00"/>
    <w:rsid w:val="008F4E25"/>
    <w:rsid w:val="008F4EBE"/>
    <w:rsid w:val="008F4F57"/>
    <w:rsid w:val="008F4F88"/>
    <w:rsid w:val="008F4F90"/>
    <w:rsid w:val="008F4FBD"/>
    <w:rsid w:val="008F4FD8"/>
    <w:rsid w:val="008F5099"/>
    <w:rsid w:val="008F50A7"/>
    <w:rsid w:val="008F5140"/>
    <w:rsid w:val="008F5141"/>
    <w:rsid w:val="008F5145"/>
    <w:rsid w:val="008F5185"/>
    <w:rsid w:val="008F519D"/>
    <w:rsid w:val="008F51A7"/>
    <w:rsid w:val="008F51BB"/>
    <w:rsid w:val="008F51C8"/>
    <w:rsid w:val="008F52A8"/>
    <w:rsid w:val="008F5357"/>
    <w:rsid w:val="008F539F"/>
    <w:rsid w:val="008F53A7"/>
    <w:rsid w:val="008F53B8"/>
    <w:rsid w:val="008F5454"/>
    <w:rsid w:val="008F5472"/>
    <w:rsid w:val="008F5492"/>
    <w:rsid w:val="008F5514"/>
    <w:rsid w:val="008F5592"/>
    <w:rsid w:val="008F55B5"/>
    <w:rsid w:val="008F55EA"/>
    <w:rsid w:val="008F569A"/>
    <w:rsid w:val="008F5709"/>
    <w:rsid w:val="008F57E4"/>
    <w:rsid w:val="008F57FB"/>
    <w:rsid w:val="008F5888"/>
    <w:rsid w:val="008F58B1"/>
    <w:rsid w:val="008F58C4"/>
    <w:rsid w:val="008F58C6"/>
    <w:rsid w:val="008F5911"/>
    <w:rsid w:val="008F594C"/>
    <w:rsid w:val="008F5976"/>
    <w:rsid w:val="008F597C"/>
    <w:rsid w:val="008F59A7"/>
    <w:rsid w:val="008F59BE"/>
    <w:rsid w:val="008F5A8D"/>
    <w:rsid w:val="008F5AB0"/>
    <w:rsid w:val="008F5AC5"/>
    <w:rsid w:val="008F5B2E"/>
    <w:rsid w:val="008F5B68"/>
    <w:rsid w:val="008F5BD5"/>
    <w:rsid w:val="008F5BE8"/>
    <w:rsid w:val="008F5BED"/>
    <w:rsid w:val="008F5C02"/>
    <w:rsid w:val="008F5C1E"/>
    <w:rsid w:val="008F5C44"/>
    <w:rsid w:val="008F5CD1"/>
    <w:rsid w:val="008F5D00"/>
    <w:rsid w:val="008F5D2E"/>
    <w:rsid w:val="008F5D47"/>
    <w:rsid w:val="008F5D64"/>
    <w:rsid w:val="008F5D68"/>
    <w:rsid w:val="008F5D75"/>
    <w:rsid w:val="008F5E5D"/>
    <w:rsid w:val="008F5E76"/>
    <w:rsid w:val="008F5E90"/>
    <w:rsid w:val="008F5F00"/>
    <w:rsid w:val="008F5F1A"/>
    <w:rsid w:val="008F5F70"/>
    <w:rsid w:val="008F5FBB"/>
    <w:rsid w:val="008F6012"/>
    <w:rsid w:val="008F602A"/>
    <w:rsid w:val="008F6036"/>
    <w:rsid w:val="008F605A"/>
    <w:rsid w:val="008F606F"/>
    <w:rsid w:val="008F609C"/>
    <w:rsid w:val="008F60FF"/>
    <w:rsid w:val="008F6124"/>
    <w:rsid w:val="008F6155"/>
    <w:rsid w:val="008F616D"/>
    <w:rsid w:val="008F6185"/>
    <w:rsid w:val="008F6186"/>
    <w:rsid w:val="008F6189"/>
    <w:rsid w:val="008F6194"/>
    <w:rsid w:val="008F61C2"/>
    <w:rsid w:val="008F61D0"/>
    <w:rsid w:val="008F6228"/>
    <w:rsid w:val="008F6246"/>
    <w:rsid w:val="008F6280"/>
    <w:rsid w:val="008F628C"/>
    <w:rsid w:val="008F6294"/>
    <w:rsid w:val="008F62A1"/>
    <w:rsid w:val="008F631B"/>
    <w:rsid w:val="008F6365"/>
    <w:rsid w:val="008F63B8"/>
    <w:rsid w:val="008F63E6"/>
    <w:rsid w:val="008F6408"/>
    <w:rsid w:val="008F640A"/>
    <w:rsid w:val="008F6430"/>
    <w:rsid w:val="008F64CD"/>
    <w:rsid w:val="008F6512"/>
    <w:rsid w:val="008F6536"/>
    <w:rsid w:val="008F65AF"/>
    <w:rsid w:val="008F6645"/>
    <w:rsid w:val="008F6666"/>
    <w:rsid w:val="008F669B"/>
    <w:rsid w:val="008F66D4"/>
    <w:rsid w:val="008F66E1"/>
    <w:rsid w:val="008F66E5"/>
    <w:rsid w:val="008F6753"/>
    <w:rsid w:val="008F6755"/>
    <w:rsid w:val="008F6768"/>
    <w:rsid w:val="008F678A"/>
    <w:rsid w:val="008F67A5"/>
    <w:rsid w:val="008F67BE"/>
    <w:rsid w:val="008F67D5"/>
    <w:rsid w:val="008F6806"/>
    <w:rsid w:val="008F6828"/>
    <w:rsid w:val="008F688E"/>
    <w:rsid w:val="008F68B4"/>
    <w:rsid w:val="008F68D7"/>
    <w:rsid w:val="008F68F8"/>
    <w:rsid w:val="008F692D"/>
    <w:rsid w:val="008F6944"/>
    <w:rsid w:val="008F6968"/>
    <w:rsid w:val="008F69C8"/>
    <w:rsid w:val="008F69D5"/>
    <w:rsid w:val="008F6ABC"/>
    <w:rsid w:val="008F6AD3"/>
    <w:rsid w:val="008F6B13"/>
    <w:rsid w:val="008F6B86"/>
    <w:rsid w:val="008F6BC4"/>
    <w:rsid w:val="008F6BE8"/>
    <w:rsid w:val="008F6C80"/>
    <w:rsid w:val="008F6DAD"/>
    <w:rsid w:val="008F6E59"/>
    <w:rsid w:val="008F6E91"/>
    <w:rsid w:val="008F6EB0"/>
    <w:rsid w:val="008F6ECC"/>
    <w:rsid w:val="008F6EFD"/>
    <w:rsid w:val="008F6F0D"/>
    <w:rsid w:val="008F6F1A"/>
    <w:rsid w:val="008F6F2C"/>
    <w:rsid w:val="008F6F9E"/>
    <w:rsid w:val="008F6FC9"/>
    <w:rsid w:val="008F7089"/>
    <w:rsid w:val="008F7139"/>
    <w:rsid w:val="008F718B"/>
    <w:rsid w:val="008F7190"/>
    <w:rsid w:val="008F71FF"/>
    <w:rsid w:val="008F721A"/>
    <w:rsid w:val="008F721F"/>
    <w:rsid w:val="008F7222"/>
    <w:rsid w:val="008F7259"/>
    <w:rsid w:val="008F7279"/>
    <w:rsid w:val="008F7288"/>
    <w:rsid w:val="008F72FF"/>
    <w:rsid w:val="008F7308"/>
    <w:rsid w:val="008F7320"/>
    <w:rsid w:val="008F7334"/>
    <w:rsid w:val="008F736D"/>
    <w:rsid w:val="008F739E"/>
    <w:rsid w:val="008F73B4"/>
    <w:rsid w:val="008F73E8"/>
    <w:rsid w:val="008F7416"/>
    <w:rsid w:val="008F7447"/>
    <w:rsid w:val="008F744E"/>
    <w:rsid w:val="008F7458"/>
    <w:rsid w:val="008F74AA"/>
    <w:rsid w:val="008F7522"/>
    <w:rsid w:val="008F7525"/>
    <w:rsid w:val="008F759D"/>
    <w:rsid w:val="008F75E0"/>
    <w:rsid w:val="008F7652"/>
    <w:rsid w:val="008F76AD"/>
    <w:rsid w:val="008F76B7"/>
    <w:rsid w:val="008F76DA"/>
    <w:rsid w:val="008F76DE"/>
    <w:rsid w:val="008F76E9"/>
    <w:rsid w:val="008F7720"/>
    <w:rsid w:val="008F7768"/>
    <w:rsid w:val="008F7769"/>
    <w:rsid w:val="008F778E"/>
    <w:rsid w:val="008F77AB"/>
    <w:rsid w:val="008F7868"/>
    <w:rsid w:val="008F7879"/>
    <w:rsid w:val="008F78A2"/>
    <w:rsid w:val="008F78B0"/>
    <w:rsid w:val="008F78FC"/>
    <w:rsid w:val="008F7940"/>
    <w:rsid w:val="008F7997"/>
    <w:rsid w:val="008F79DE"/>
    <w:rsid w:val="008F79EC"/>
    <w:rsid w:val="008F79F2"/>
    <w:rsid w:val="008F7A97"/>
    <w:rsid w:val="008F7AAB"/>
    <w:rsid w:val="008F7AD1"/>
    <w:rsid w:val="008F7AF8"/>
    <w:rsid w:val="008F7B38"/>
    <w:rsid w:val="008F7B7D"/>
    <w:rsid w:val="008F7C28"/>
    <w:rsid w:val="008F7C8B"/>
    <w:rsid w:val="008F7D22"/>
    <w:rsid w:val="008F7D37"/>
    <w:rsid w:val="008F7D47"/>
    <w:rsid w:val="008F7D4E"/>
    <w:rsid w:val="008F7D5E"/>
    <w:rsid w:val="008F7D6A"/>
    <w:rsid w:val="008F7DA6"/>
    <w:rsid w:val="008F7DB0"/>
    <w:rsid w:val="008F7E01"/>
    <w:rsid w:val="008F7E4E"/>
    <w:rsid w:val="008F7E7D"/>
    <w:rsid w:val="008F7E9D"/>
    <w:rsid w:val="008F7EAE"/>
    <w:rsid w:val="008F7EC4"/>
    <w:rsid w:val="008F7FCA"/>
    <w:rsid w:val="00900039"/>
    <w:rsid w:val="0090004B"/>
    <w:rsid w:val="00900078"/>
    <w:rsid w:val="0090014C"/>
    <w:rsid w:val="00900155"/>
    <w:rsid w:val="00900164"/>
    <w:rsid w:val="00900196"/>
    <w:rsid w:val="009001C6"/>
    <w:rsid w:val="009001FD"/>
    <w:rsid w:val="0090022B"/>
    <w:rsid w:val="00900251"/>
    <w:rsid w:val="0090027B"/>
    <w:rsid w:val="00900298"/>
    <w:rsid w:val="009002E3"/>
    <w:rsid w:val="009002E4"/>
    <w:rsid w:val="009002FD"/>
    <w:rsid w:val="00900325"/>
    <w:rsid w:val="0090033D"/>
    <w:rsid w:val="00900345"/>
    <w:rsid w:val="009003B0"/>
    <w:rsid w:val="009003B5"/>
    <w:rsid w:val="009003BF"/>
    <w:rsid w:val="009003D1"/>
    <w:rsid w:val="009003F0"/>
    <w:rsid w:val="009003F5"/>
    <w:rsid w:val="009003FE"/>
    <w:rsid w:val="00900419"/>
    <w:rsid w:val="00900451"/>
    <w:rsid w:val="00900464"/>
    <w:rsid w:val="00900494"/>
    <w:rsid w:val="0090049A"/>
    <w:rsid w:val="009004E0"/>
    <w:rsid w:val="009004E3"/>
    <w:rsid w:val="009004E6"/>
    <w:rsid w:val="00900501"/>
    <w:rsid w:val="0090055B"/>
    <w:rsid w:val="009005A2"/>
    <w:rsid w:val="00900625"/>
    <w:rsid w:val="0090063C"/>
    <w:rsid w:val="00900643"/>
    <w:rsid w:val="0090064F"/>
    <w:rsid w:val="00900651"/>
    <w:rsid w:val="0090067A"/>
    <w:rsid w:val="0090068A"/>
    <w:rsid w:val="00900716"/>
    <w:rsid w:val="00900745"/>
    <w:rsid w:val="009007F7"/>
    <w:rsid w:val="0090083C"/>
    <w:rsid w:val="00900855"/>
    <w:rsid w:val="0090088C"/>
    <w:rsid w:val="0090089A"/>
    <w:rsid w:val="009008A3"/>
    <w:rsid w:val="009008B1"/>
    <w:rsid w:val="009008BA"/>
    <w:rsid w:val="00900972"/>
    <w:rsid w:val="00900A36"/>
    <w:rsid w:val="00900A95"/>
    <w:rsid w:val="00900AA3"/>
    <w:rsid w:val="00900AD3"/>
    <w:rsid w:val="00900B04"/>
    <w:rsid w:val="00900B30"/>
    <w:rsid w:val="00900B69"/>
    <w:rsid w:val="00900BBE"/>
    <w:rsid w:val="00900BC4"/>
    <w:rsid w:val="00900C10"/>
    <w:rsid w:val="00900C20"/>
    <w:rsid w:val="00900C2F"/>
    <w:rsid w:val="00900C4F"/>
    <w:rsid w:val="00900C57"/>
    <w:rsid w:val="00900C6A"/>
    <w:rsid w:val="00900CA2"/>
    <w:rsid w:val="00900CA8"/>
    <w:rsid w:val="00900CE4"/>
    <w:rsid w:val="00900CEB"/>
    <w:rsid w:val="00900D17"/>
    <w:rsid w:val="00900D7A"/>
    <w:rsid w:val="00900D8A"/>
    <w:rsid w:val="00900DC4"/>
    <w:rsid w:val="00900DFC"/>
    <w:rsid w:val="00900E18"/>
    <w:rsid w:val="00900E71"/>
    <w:rsid w:val="00900F39"/>
    <w:rsid w:val="00900FA7"/>
    <w:rsid w:val="00900FE7"/>
    <w:rsid w:val="00900FF3"/>
    <w:rsid w:val="00901032"/>
    <w:rsid w:val="00901038"/>
    <w:rsid w:val="00901046"/>
    <w:rsid w:val="009010DC"/>
    <w:rsid w:val="00901202"/>
    <w:rsid w:val="0090121B"/>
    <w:rsid w:val="00901221"/>
    <w:rsid w:val="009012D1"/>
    <w:rsid w:val="00901353"/>
    <w:rsid w:val="0090137A"/>
    <w:rsid w:val="009013FE"/>
    <w:rsid w:val="009013FF"/>
    <w:rsid w:val="00901412"/>
    <w:rsid w:val="0090145B"/>
    <w:rsid w:val="00901517"/>
    <w:rsid w:val="00901550"/>
    <w:rsid w:val="00901553"/>
    <w:rsid w:val="0090157C"/>
    <w:rsid w:val="009015A0"/>
    <w:rsid w:val="009015E7"/>
    <w:rsid w:val="00901633"/>
    <w:rsid w:val="00901663"/>
    <w:rsid w:val="009016A9"/>
    <w:rsid w:val="009016C5"/>
    <w:rsid w:val="00901736"/>
    <w:rsid w:val="00901741"/>
    <w:rsid w:val="00901763"/>
    <w:rsid w:val="00901782"/>
    <w:rsid w:val="0090179D"/>
    <w:rsid w:val="0090180A"/>
    <w:rsid w:val="00901894"/>
    <w:rsid w:val="00901972"/>
    <w:rsid w:val="00901987"/>
    <w:rsid w:val="0090198B"/>
    <w:rsid w:val="0090199A"/>
    <w:rsid w:val="0090199D"/>
    <w:rsid w:val="009019A6"/>
    <w:rsid w:val="009019A9"/>
    <w:rsid w:val="009019EE"/>
    <w:rsid w:val="00901A40"/>
    <w:rsid w:val="00901A41"/>
    <w:rsid w:val="00901AB5"/>
    <w:rsid w:val="00901B13"/>
    <w:rsid w:val="00901B1C"/>
    <w:rsid w:val="00901B3B"/>
    <w:rsid w:val="00901B49"/>
    <w:rsid w:val="00901BA2"/>
    <w:rsid w:val="00901BEB"/>
    <w:rsid w:val="00901C41"/>
    <w:rsid w:val="00901C52"/>
    <w:rsid w:val="00901C73"/>
    <w:rsid w:val="00901C95"/>
    <w:rsid w:val="00901C9E"/>
    <w:rsid w:val="00901CA8"/>
    <w:rsid w:val="00901CC0"/>
    <w:rsid w:val="00901D13"/>
    <w:rsid w:val="00901D20"/>
    <w:rsid w:val="00901D3B"/>
    <w:rsid w:val="00901DB5"/>
    <w:rsid w:val="00901E27"/>
    <w:rsid w:val="00901E32"/>
    <w:rsid w:val="00901EF7"/>
    <w:rsid w:val="00901EF9"/>
    <w:rsid w:val="00901F64"/>
    <w:rsid w:val="00901F6D"/>
    <w:rsid w:val="00901F8F"/>
    <w:rsid w:val="00901F93"/>
    <w:rsid w:val="00901FD5"/>
    <w:rsid w:val="00902029"/>
    <w:rsid w:val="00902048"/>
    <w:rsid w:val="0090204B"/>
    <w:rsid w:val="0090205B"/>
    <w:rsid w:val="0090209A"/>
    <w:rsid w:val="009020C2"/>
    <w:rsid w:val="009020D2"/>
    <w:rsid w:val="009020D8"/>
    <w:rsid w:val="0090210F"/>
    <w:rsid w:val="0090216E"/>
    <w:rsid w:val="009021C7"/>
    <w:rsid w:val="00902294"/>
    <w:rsid w:val="009022AE"/>
    <w:rsid w:val="009022B8"/>
    <w:rsid w:val="00902347"/>
    <w:rsid w:val="0090241C"/>
    <w:rsid w:val="0090244E"/>
    <w:rsid w:val="009024AC"/>
    <w:rsid w:val="009024BA"/>
    <w:rsid w:val="00902542"/>
    <w:rsid w:val="009025BE"/>
    <w:rsid w:val="009025D4"/>
    <w:rsid w:val="009025D8"/>
    <w:rsid w:val="009025E1"/>
    <w:rsid w:val="00902631"/>
    <w:rsid w:val="00902642"/>
    <w:rsid w:val="0090265A"/>
    <w:rsid w:val="0090268D"/>
    <w:rsid w:val="009026A8"/>
    <w:rsid w:val="009026B6"/>
    <w:rsid w:val="009026E6"/>
    <w:rsid w:val="009026FC"/>
    <w:rsid w:val="00902713"/>
    <w:rsid w:val="00902773"/>
    <w:rsid w:val="00902788"/>
    <w:rsid w:val="009027A6"/>
    <w:rsid w:val="009027F1"/>
    <w:rsid w:val="00902804"/>
    <w:rsid w:val="0090280B"/>
    <w:rsid w:val="00902850"/>
    <w:rsid w:val="009028CC"/>
    <w:rsid w:val="009028E9"/>
    <w:rsid w:val="009029A2"/>
    <w:rsid w:val="00902A98"/>
    <w:rsid w:val="00902B2A"/>
    <w:rsid w:val="00902B58"/>
    <w:rsid w:val="00902B61"/>
    <w:rsid w:val="00902C84"/>
    <w:rsid w:val="00902CA4"/>
    <w:rsid w:val="00902CD8"/>
    <w:rsid w:val="00902D5B"/>
    <w:rsid w:val="00902D8D"/>
    <w:rsid w:val="00902DCA"/>
    <w:rsid w:val="00902DDD"/>
    <w:rsid w:val="00902E65"/>
    <w:rsid w:val="00902EAB"/>
    <w:rsid w:val="00902EBC"/>
    <w:rsid w:val="00902ED3"/>
    <w:rsid w:val="00902EFF"/>
    <w:rsid w:val="00902F18"/>
    <w:rsid w:val="00902F7D"/>
    <w:rsid w:val="00902FAE"/>
    <w:rsid w:val="00902FC3"/>
    <w:rsid w:val="00903049"/>
    <w:rsid w:val="0090305F"/>
    <w:rsid w:val="00903062"/>
    <w:rsid w:val="0090306E"/>
    <w:rsid w:val="00903072"/>
    <w:rsid w:val="00903090"/>
    <w:rsid w:val="009030BC"/>
    <w:rsid w:val="00903103"/>
    <w:rsid w:val="00903128"/>
    <w:rsid w:val="00903134"/>
    <w:rsid w:val="0090313A"/>
    <w:rsid w:val="00903150"/>
    <w:rsid w:val="0090317B"/>
    <w:rsid w:val="0090324C"/>
    <w:rsid w:val="00903290"/>
    <w:rsid w:val="0090330D"/>
    <w:rsid w:val="00903345"/>
    <w:rsid w:val="009033B3"/>
    <w:rsid w:val="0090341F"/>
    <w:rsid w:val="009034D1"/>
    <w:rsid w:val="009034DC"/>
    <w:rsid w:val="009034F4"/>
    <w:rsid w:val="0090355A"/>
    <w:rsid w:val="00903588"/>
    <w:rsid w:val="009035C8"/>
    <w:rsid w:val="00903604"/>
    <w:rsid w:val="00903674"/>
    <w:rsid w:val="0090367B"/>
    <w:rsid w:val="00903682"/>
    <w:rsid w:val="0090368E"/>
    <w:rsid w:val="009036D0"/>
    <w:rsid w:val="00903707"/>
    <w:rsid w:val="00903752"/>
    <w:rsid w:val="00903782"/>
    <w:rsid w:val="009037A4"/>
    <w:rsid w:val="009037C0"/>
    <w:rsid w:val="0090380B"/>
    <w:rsid w:val="00903814"/>
    <w:rsid w:val="00903885"/>
    <w:rsid w:val="00903924"/>
    <w:rsid w:val="0090399F"/>
    <w:rsid w:val="009039CA"/>
    <w:rsid w:val="009039F9"/>
    <w:rsid w:val="00903A19"/>
    <w:rsid w:val="00903A2D"/>
    <w:rsid w:val="00903A39"/>
    <w:rsid w:val="00903A7F"/>
    <w:rsid w:val="00903AE7"/>
    <w:rsid w:val="00903AFB"/>
    <w:rsid w:val="00903B56"/>
    <w:rsid w:val="00903B71"/>
    <w:rsid w:val="00903B98"/>
    <w:rsid w:val="00903C32"/>
    <w:rsid w:val="00903C55"/>
    <w:rsid w:val="00903C5A"/>
    <w:rsid w:val="00903C86"/>
    <w:rsid w:val="00903CC3"/>
    <w:rsid w:val="00903CCD"/>
    <w:rsid w:val="00903D32"/>
    <w:rsid w:val="00903D33"/>
    <w:rsid w:val="00903D6C"/>
    <w:rsid w:val="00903D8D"/>
    <w:rsid w:val="00903D9B"/>
    <w:rsid w:val="00903DB3"/>
    <w:rsid w:val="00903DD9"/>
    <w:rsid w:val="00903E24"/>
    <w:rsid w:val="00903E56"/>
    <w:rsid w:val="00903F24"/>
    <w:rsid w:val="00903F2F"/>
    <w:rsid w:val="00903F66"/>
    <w:rsid w:val="00903FEF"/>
    <w:rsid w:val="00904085"/>
    <w:rsid w:val="009040BD"/>
    <w:rsid w:val="009040C8"/>
    <w:rsid w:val="0090410E"/>
    <w:rsid w:val="0090411B"/>
    <w:rsid w:val="00904149"/>
    <w:rsid w:val="009041C5"/>
    <w:rsid w:val="009041D3"/>
    <w:rsid w:val="009041E5"/>
    <w:rsid w:val="009041F8"/>
    <w:rsid w:val="00904281"/>
    <w:rsid w:val="0090428D"/>
    <w:rsid w:val="009042B5"/>
    <w:rsid w:val="00904345"/>
    <w:rsid w:val="00904365"/>
    <w:rsid w:val="0090441A"/>
    <w:rsid w:val="00904432"/>
    <w:rsid w:val="00904446"/>
    <w:rsid w:val="009044FA"/>
    <w:rsid w:val="00904517"/>
    <w:rsid w:val="0090451E"/>
    <w:rsid w:val="0090452B"/>
    <w:rsid w:val="009045FD"/>
    <w:rsid w:val="0090467C"/>
    <w:rsid w:val="0090468B"/>
    <w:rsid w:val="009046AF"/>
    <w:rsid w:val="009046C2"/>
    <w:rsid w:val="009046CB"/>
    <w:rsid w:val="009046F4"/>
    <w:rsid w:val="0090479E"/>
    <w:rsid w:val="0090479F"/>
    <w:rsid w:val="009047EF"/>
    <w:rsid w:val="00904896"/>
    <w:rsid w:val="009048A7"/>
    <w:rsid w:val="009048B9"/>
    <w:rsid w:val="009048FA"/>
    <w:rsid w:val="0090491B"/>
    <w:rsid w:val="00904999"/>
    <w:rsid w:val="009049A0"/>
    <w:rsid w:val="009049B1"/>
    <w:rsid w:val="009049C5"/>
    <w:rsid w:val="009049EE"/>
    <w:rsid w:val="00904A06"/>
    <w:rsid w:val="00904A69"/>
    <w:rsid w:val="00904AAF"/>
    <w:rsid w:val="00904ADD"/>
    <w:rsid w:val="00904AF5"/>
    <w:rsid w:val="00904B0E"/>
    <w:rsid w:val="00904B61"/>
    <w:rsid w:val="00904BBA"/>
    <w:rsid w:val="00904C6C"/>
    <w:rsid w:val="00904C80"/>
    <w:rsid w:val="00904CC0"/>
    <w:rsid w:val="00904CDA"/>
    <w:rsid w:val="00904CDC"/>
    <w:rsid w:val="00904D15"/>
    <w:rsid w:val="00904D28"/>
    <w:rsid w:val="00904D29"/>
    <w:rsid w:val="00904D57"/>
    <w:rsid w:val="00904D75"/>
    <w:rsid w:val="00904D9A"/>
    <w:rsid w:val="00904DEB"/>
    <w:rsid w:val="00904DF9"/>
    <w:rsid w:val="00904DFE"/>
    <w:rsid w:val="00904E12"/>
    <w:rsid w:val="00904E25"/>
    <w:rsid w:val="00904E8A"/>
    <w:rsid w:val="00904F01"/>
    <w:rsid w:val="00904F36"/>
    <w:rsid w:val="00904F61"/>
    <w:rsid w:val="00904F7D"/>
    <w:rsid w:val="0090500B"/>
    <w:rsid w:val="0090500C"/>
    <w:rsid w:val="00905020"/>
    <w:rsid w:val="00905031"/>
    <w:rsid w:val="0090503F"/>
    <w:rsid w:val="0090509E"/>
    <w:rsid w:val="009050BE"/>
    <w:rsid w:val="00905106"/>
    <w:rsid w:val="0090512E"/>
    <w:rsid w:val="00905180"/>
    <w:rsid w:val="00905181"/>
    <w:rsid w:val="0090520B"/>
    <w:rsid w:val="00905211"/>
    <w:rsid w:val="00905219"/>
    <w:rsid w:val="0090524E"/>
    <w:rsid w:val="00905276"/>
    <w:rsid w:val="0090528A"/>
    <w:rsid w:val="009052B5"/>
    <w:rsid w:val="009052E1"/>
    <w:rsid w:val="009052FA"/>
    <w:rsid w:val="009052FF"/>
    <w:rsid w:val="00905322"/>
    <w:rsid w:val="00905346"/>
    <w:rsid w:val="0090534A"/>
    <w:rsid w:val="00905362"/>
    <w:rsid w:val="009053C3"/>
    <w:rsid w:val="009053DB"/>
    <w:rsid w:val="00905468"/>
    <w:rsid w:val="009054BF"/>
    <w:rsid w:val="0090551F"/>
    <w:rsid w:val="00905523"/>
    <w:rsid w:val="00905570"/>
    <w:rsid w:val="0090558E"/>
    <w:rsid w:val="009055FC"/>
    <w:rsid w:val="0090563E"/>
    <w:rsid w:val="00905657"/>
    <w:rsid w:val="00905658"/>
    <w:rsid w:val="00905665"/>
    <w:rsid w:val="00905685"/>
    <w:rsid w:val="009056AD"/>
    <w:rsid w:val="009056AF"/>
    <w:rsid w:val="009056F0"/>
    <w:rsid w:val="00905741"/>
    <w:rsid w:val="0090574D"/>
    <w:rsid w:val="00905773"/>
    <w:rsid w:val="0090577E"/>
    <w:rsid w:val="009057B9"/>
    <w:rsid w:val="009057D6"/>
    <w:rsid w:val="009058D2"/>
    <w:rsid w:val="009058F3"/>
    <w:rsid w:val="009058FB"/>
    <w:rsid w:val="009058FE"/>
    <w:rsid w:val="00905934"/>
    <w:rsid w:val="009059DB"/>
    <w:rsid w:val="00905A2A"/>
    <w:rsid w:val="00905A46"/>
    <w:rsid w:val="00905A50"/>
    <w:rsid w:val="00905A9F"/>
    <w:rsid w:val="00905AB5"/>
    <w:rsid w:val="00905ACB"/>
    <w:rsid w:val="00905B0F"/>
    <w:rsid w:val="00905B27"/>
    <w:rsid w:val="00905B4B"/>
    <w:rsid w:val="00905BC5"/>
    <w:rsid w:val="00905BD3"/>
    <w:rsid w:val="00905CF2"/>
    <w:rsid w:val="00905D07"/>
    <w:rsid w:val="00905D58"/>
    <w:rsid w:val="00905D90"/>
    <w:rsid w:val="00905DB2"/>
    <w:rsid w:val="00905E49"/>
    <w:rsid w:val="00905E7B"/>
    <w:rsid w:val="00905EA0"/>
    <w:rsid w:val="00905F92"/>
    <w:rsid w:val="00905F93"/>
    <w:rsid w:val="00905FE9"/>
    <w:rsid w:val="00906020"/>
    <w:rsid w:val="00906045"/>
    <w:rsid w:val="00906066"/>
    <w:rsid w:val="00906074"/>
    <w:rsid w:val="009060A5"/>
    <w:rsid w:val="0090616C"/>
    <w:rsid w:val="00906173"/>
    <w:rsid w:val="0090618D"/>
    <w:rsid w:val="00906198"/>
    <w:rsid w:val="009061DA"/>
    <w:rsid w:val="0090624E"/>
    <w:rsid w:val="0090626E"/>
    <w:rsid w:val="009062C9"/>
    <w:rsid w:val="009063E7"/>
    <w:rsid w:val="00906443"/>
    <w:rsid w:val="00906461"/>
    <w:rsid w:val="009064D6"/>
    <w:rsid w:val="009064F4"/>
    <w:rsid w:val="00906537"/>
    <w:rsid w:val="0090654F"/>
    <w:rsid w:val="0090659B"/>
    <w:rsid w:val="009065FB"/>
    <w:rsid w:val="009065FE"/>
    <w:rsid w:val="0090664B"/>
    <w:rsid w:val="009066AB"/>
    <w:rsid w:val="009066CF"/>
    <w:rsid w:val="0090671E"/>
    <w:rsid w:val="00906781"/>
    <w:rsid w:val="0090679F"/>
    <w:rsid w:val="009067B1"/>
    <w:rsid w:val="009067B7"/>
    <w:rsid w:val="00906830"/>
    <w:rsid w:val="009068CB"/>
    <w:rsid w:val="00906987"/>
    <w:rsid w:val="0090698F"/>
    <w:rsid w:val="00906998"/>
    <w:rsid w:val="00906999"/>
    <w:rsid w:val="0090699B"/>
    <w:rsid w:val="009069BF"/>
    <w:rsid w:val="009069E4"/>
    <w:rsid w:val="009069FB"/>
    <w:rsid w:val="00906A38"/>
    <w:rsid w:val="00906A5D"/>
    <w:rsid w:val="00906ABF"/>
    <w:rsid w:val="00906AC2"/>
    <w:rsid w:val="00906B7E"/>
    <w:rsid w:val="00906B8D"/>
    <w:rsid w:val="00906B91"/>
    <w:rsid w:val="00906BBC"/>
    <w:rsid w:val="00906BCC"/>
    <w:rsid w:val="00906C00"/>
    <w:rsid w:val="00906C0A"/>
    <w:rsid w:val="00906C74"/>
    <w:rsid w:val="00906C8B"/>
    <w:rsid w:val="00906CB3"/>
    <w:rsid w:val="00906CBE"/>
    <w:rsid w:val="00906CF2"/>
    <w:rsid w:val="00906CF9"/>
    <w:rsid w:val="00906D06"/>
    <w:rsid w:val="00906D50"/>
    <w:rsid w:val="00906D73"/>
    <w:rsid w:val="00906D7B"/>
    <w:rsid w:val="00906DEF"/>
    <w:rsid w:val="00906EC7"/>
    <w:rsid w:val="00906F50"/>
    <w:rsid w:val="00906F76"/>
    <w:rsid w:val="00906F83"/>
    <w:rsid w:val="00906F86"/>
    <w:rsid w:val="0090703F"/>
    <w:rsid w:val="00907057"/>
    <w:rsid w:val="00907059"/>
    <w:rsid w:val="009070A8"/>
    <w:rsid w:val="009070AF"/>
    <w:rsid w:val="0090711A"/>
    <w:rsid w:val="00907123"/>
    <w:rsid w:val="00907149"/>
    <w:rsid w:val="00907170"/>
    <w:rsid w:val="009071AA"/>
    <w:rsid w:val="009071EF"/>
    <w:rsid w:val="00907219"/>
    <w:rsid w:val="00907244"/>
    <w:rsid w:val="0090726E"/>
    <w:rsid w:val="00907275"/>
    <w:rsid w:val="009072C8"/>
    <w:rsid w:val="0090730F"/>
    <w:rsid w:val="00907318"/>
    <w:rsid w:val="00907329"/>
    <w:rsid w:val="00907390"/>
    <w:rsid w:val="009073B4"/>
    <w:rsid w:val="009073F1"/>
    <w:rsid w:val="009074DE"/>
    <w:rsid w:val="009074F9"/>
    <w:rsid w:val="009074FF"/>
    <w:rsid w:val="009075CC"/>
    <w:rsid w:val="009075D9"/>
    <w:rsid w:val="009075F8"/>
    <w:rsid w:val="0090760C"/>
    <w:rsid w:val="009076C3"/>
    <w:rsid w:val="00907700"/>
    <w:rsid w:val="0090771D"/>
    <w:rsid w:val="00907742"/>
    <w:rsid w:val="0090779D"/>
    <w:rsid w:val="009077EC"/>
    <w:rsid w:val="00907802"/>
    <w:rsid w:val="0090780A"/>
    <w:rsid w:val="009078C4"/>
    <w:rsid w:val="009078C7"/>
    <w:rsid w:val="00907950"/>
    <w:rsid w:val="0090795F"/>
    <w:rsid w:val="009079B1"/>
    <w:rsid w:val="009079CF"/>
    <w:rsid w:val="009079D6"/>
    <w:rsid w:val="00907A2D"/>
    <w:rsid w:val="00907A51"/>
    <w:rsid w:val="00907AA7"/>
    <w:rsid w:val="00907AE5"/>
    <w:rsid w:val="00907B64"/>
    <w:rsid w:val="00907B73"/>
    <w:rsid w:val="00907BCD"/>
    <w:rsid w:val="00907BD6"/>
    <w:rsid w:val="00907BEC"/>
    <w:rsid w:val="00907C22"/>
    <w:rsid w:val="00907C31"/>
    <w:rsid w:val="00907CA4"/>
    <w:rsid w:val="00907D09"/>
    <w:rsid w:val="00907D3A"/>
    <w:rsid w:val="00907D46"/>
    <w:rsid w:val="00907D71"/>
    <w:rsid w:val="00907DD2"/>
    <w:rsid w:val="00907E31"/>
    <w:rsid w:val="00907E81"/>
    <w:rsid w:val="00907EF0"/>
    <w:rsid w:val="00907F49"/>
    <w:rsid w:val="00907F77"/>
    <w:rsid w:val="00907F92"/>
    <w:rsid w:val="00907FD8"/>
    <w:rsid w:val="00907FF7"/>
    <w:rsid w:val="0091003F"/>
    <w:rsid w:val="00910068"/>
    <w:rsid w:val="00910091"/>
    <w:rsid w:val="009100A3"/>
    <w:rsid w:val="00910158"/>
    <w:rsid w:val="0091018D"/>
    <w:rsid w:val="009101A4"/>
    <w:rsid w:val="009101BB"/>
    <w:rsid w:val="009101C6"/>
    <w:rsid w:val="009101CC"/>
    <w:rsid w:val="0091024B"/>
    <w:rsid w:val="0091028F"/>
    <w:rsid w:val="00910291"/>
    <w:rsid w:val="00910297"/>
    <w:rsid w:val="009102C3"/>
    <w:rsid w:val="009102C5"/>
    <w:rsid w:val="00910312"/>
    <w:rsid w:val="00910358"/>
    <w:rsid w:val="00910390"/>
    <w:rsid w:val="00910392"/>
    <w:rsid w:val="009103BE"/>
    <w:rsid w:val="0091040F"/>
    <w:rsid w:val="0091044D"/>
    <w:rsid w:val="009104C9"/>
    <w:rsid w:val="00910506"/>
    <w:rsid w:val="00910516"/>
    <w:rsid w:val="0091054D"/>
    <w:rsid w:val="0091057D"/>
    <w:rsid w:val="009105B6"/>
    <w:rsid w:val="009105DC"/>
    <w:rsid w:val="0091060B"/>
    <w:rsid w:val="0091061F"/>
    <w:rsid w:val="00910678"/>
    <w:rsid w:val="009106BA"/>
    <w:rsid w:val="00910771"/>
    <w:rsid w:val="00910794"/>
    <w:rsid w:val="00910892"/>
    <w:rsid w:val="009108DF"/>
    <w:rsid w:val="009108F6"/>
    <w:rsid w:val="009109B1"/>
    <w:rsid w:val="009109C5"/>
    <w:rsid w:val="009109F0"/>
    <w:rsid w:val="00910A30"/>
    <w:rsid w:val="00910A51"/>
    <w:rsid w:val="00910AD1"/>
    <w:rsid w:val="00910B34"/>
    <w:rsid w:val="00910B8B"/>
    <w:rsid w:val="00910BB8"/>
    <w:rsid w:val="00910C0D"/>
    <w:rsid w:val="00910C86"/>
    <w:rsid w:val="00910CB1"/>
    <w:rsid w:val="00910CFC"/>
    <w:rsid w:val="00910D18"/>
    <w:rsid w:val="00910D25"/>
    <w:rsid w:val="00910DAB"/>
    <w:rsid w:val="00910E1A"/>
    <w:rsid w:val="00910E30"/>
    <w:rsid w:val="00910E47"/>
    <w:rsid w:val="00910E50"/>
    <w:rsid w:val="00910E68"/>
    <w:rsid w:val="00910EB3"/>
    <w:rsid w:val="00910EEF"/>
    <w:rsid w:val="00910F3F"/>
    <w:rsid w:val="00910F5D"/>
    <w:rsid w:val="00910FD1"/>
    <w:rsid w:val="00910FDF"/>
    <w:rsid w:val="00911004"/>
    <w:rsid w:val="0091109B"/>
    <w:rsid w:val="009110C5"/>
    <w:rsid w:val="009110E9"/>
    <w:rsid w:val="00911125"/>
    <w:rsid w:val="00911139"/>
    <w:rsid w:val="0091113D"/>
    <w:rsid w:val="009111E5"/>
    <w:rsid w:val="009111FE"/>
    <w:rsid w:val="00911208"/>
    <w:rsid w:val="00911227"/>
    <w:rsid w:val="00911231"/>
    <w:rsid w:val="00911232"/>
    <w:rsid w:val="009112B7"/>
    <w:rsid w:val="009112FF"/>
    <w:rsid w:val="009113D1"/>
    <w:rsid w:val="009113E3"/>
    <w:rsid w:val="009113E5"/>
    <w:rsid w:val="00911480"/>
    <w:rsid w:val="0091149F"/>
    <w:rsid w:val="009114BA"/>
    <w:rsid w:val="009114EE"/>
    <w:rsid w:val="009114F9"/>
    <w:rsid w:val="00911512"/>
    <w:rsid w:val="0091152E"/>
    <w:rsid w:val="00911588"/>
    <w:rsid w:val="00911603"/>
    <w:rsid w:val="0091162C"/>
    <w:rsid w:val="00911653"/>
    <w:rsid w:val="00911681"/>
    <w:rsid w:val="009116FF"/>
    <w:rsid w:val="00911776"/>
    <w:rsid w:val="0091178A"/>
    <w:rsid w:val="009117F7"/>
    <w:rsid w:val="009117FF"/>
    <w:rsid w:val="00911812"/>
    <w:rsid w:val="00911825"/>
    <w:rsid w:val="0091186C"/>
    <w:rsid w:val="0091187D"/>
    <w:rsid w:val="00911889"/>
    <w:rsid w:val="00911890"/>
    <w:rsid w:val="00911893"/>
    <w:rsid w:val="009118BA"/>
    <w:rsid w:val="009118F6"/>
    <w:rsid w:val="009118FE"/>
    <w:rsid w:val="0091197C"/>
    <w:rsid w:val="009119A4"/>
    <w:rsid w:val="009119E0"/>
    <w:rsid w:val="009119E8"/>
    <w:rsid w:val="00911A48"/>
    <w:rsid w:val="00911A51"/>
    <w:rsid w:val="00911A59"/>
    <w:rsid w:val="00911A61"/>
    <w:rsid w:val="00911A88"/>
    <w:rsid w:val="00911B30"/>
    <w:rsid w:val="00911B59"/>
    <w:rsid w:val="00911BA6"/>
    <w:rsid w:val="00911BE5"/>
    <w:rsid w:val="00911BF9"/>
    <w:rsid w:val="00911BFF"/>
    <w:rsid w:val="00911C27"/>
    <w:rsid w:val="00911C3E"/>
    <w:rsid w:val="00911C45"/>
    <w:rsid w:val="00911C76"/>
    <w:rsid w:val="00911C94"/>
    <w:rsid w:val="00911CD9"/>
    <w:rsid w:val="00911CEE"/>
    <w:rsid w:val="00911D02"/>
    <w:rsid w:val="00911D59"/>
    <w:rsid w:val="00911D7D"/>
    <w:rsid w:val="00911D8D"/>
    <w:rsid w:val="00911D93"/>
    <w:rsid w:val="00911E42"/>
    <w:rsid w:val="00911E8E"/>
    <w:rsid w:val="00911E99"/>
    <w:rsid w:val="00911EB3"/>
    <w:rsid w:val="00911F59"/>
    <w:rsid w:val="00911F5F"/>
    <w:rsid w:val="00911F99"/>
    <w:rsid w:val="00911F9B"/>
    <w:rsid w:val="0091203C"/>
    <w:rsid w:val="00912097"/>
    <w:rsid w:val="00912123"/>
    <w:rsid w:val="009121A5"/>
    <w:rsid w:val="009122BA"/>
    <w:rsid w:val="009122D3"/>
    <w:rsid w:val="009122F0"/>
    <w:rsid w:val="00912311"/>
    <w:rsid w:val="00912315"/>
    <w:rsid w:val="0091231D"/>
    <w:rsid w:val="0091236B"/>
    <w:rsid w:val="0091237E"/>
    <w:rsid w:val="00912396"/>
    <w:rsid w:val="00912404"/>
    <w:rsid w:val="00912411"/>
    <w:rsid w:val="0091246F"/>
    <w:rsid w:val="00912487"/>
    <w:rsid w:val="00912491"/>
    <w:rsid w:val="0091251C"/>
    <w:rsid w:val="00912542"/>
    <w:rsid w:val="00912574"/>
    <w:rsid w:val="00912615"/>
    <w:rsid w:val="0091264E"/>
    <w:rsid w:val="00912684"/>
    <w:rsid w:val="0091268E"/>
    <w:rsid w:val="009126DD"/>
    <w:rsid w:val="0091272D"/>
    <w:rsid w:val="0091276B"/>
    <w:rsid w:val="0091278B"/>
    <w:rsid w:val="009127C0"/>
    <w:rsid w:val="0091283B"/>
    <w:rsid w:val="00912854"/>
    <w:rsid w:val="00912883"/>
    <w:rsid w:val="009128EA"/>
    <w:rsid w:val="009128F5"/>
    <w:rsid w:val="00912915"/>
    <w:rsid w:val="00912941"/>
    <w:rsid w:val="0091294E"/>
    <w:rsid w:val="0091299E"/>
    <w:rsid w:val="009129B7"/>
    <w:rsid w:val="00912A00"/>
    <w:rsid w:val="00912A4A"/>
    <w:rsid w:val="00912A5D"/>
    <w:rsid w:val="00912AAE"/>
    <w:rsid w:val="00912AD1"/>
    <w:rsid w:val="00912AED"/>
    <w:rsid w:val="00912AF5"/>
    <w:rsid w:val="00912AFD"/>
    <w:rsid w:val="00912B12"/>
    <w:rsid w:val="00912B27"/>
    <w:rsid w:val="00912B62"/>
    <w:rsid w:val="00912B6B"/>
    <w:rsid w:val="00912B94"/>
    <w:rsid w:val="00912B9A"/>
    <w:rsid w:val="00912BBA"/>
    <w:rsid w:val="00912C8A"/>
    <w:rsid w:val="00912CA2"/>
    <w:rsid w:val="00912CDF"/>
    <w:rsid w:val="00912D16"/>
    <w:rsid w:val="00912D3C"/>
    <w:rsid w:val="00912D47"/>
    <w:rsid w:val="00912D7E"/>
    <w:rsid w:val="00912D89"/>
    <w:rsid w:val="00912D92"/>
    <w:rsid w:val="00912DDC"/>
    <w:rsid w:val="00912E51"/>
    <w:rsid w:val="00912E99"/>
    <w:rsid w:val="00912EAF"/>
    <w:rsid w:val="00912ECF"/>
    <w:rsid w:val="00912F07"/>
    <w:rsid w:val="00912F35"/>
    <w:rsid w:val="00912F3C"/>
    <w:rsid w:val="00912F6E"/>
    <w:rsid w:val="00912F89"/>
    <w:rsid w:val="00912F92"/>
    <w:rsid w:val="00912F97"/>
    <w:rsid w:val="00912FA2"/>
    <w:rsid w:val="00912FA4"/>
    <w:rsid w:val="00912FF1"/>
    <w:rsid w:val="00912FF8"/>
    <w:rsid w:val="0091303E"/>
    <w:rsid w:val="00913058"/>
    <w:rsid w:val="00913064"/>
    <w:rsid w:val="00913089"/>
    <w:rsid w:val="0091312A"/>
    <w:rsid w:val="00913137"/>
    <w:rsid w:val="00913140"/>
    <w:rsid w:val="00913141"/>
    <w:rsid w:val="0091319B"/>
    <w:rsid w:val="009131CD"/>
    <w:rsid w:val="00913203"/>
    <w:rsid w:val="0091327F"/>
    <w:rsid w:val="00913295"/>
    <w:rsid w:val="009132C8"/>
    <w:rsid w:val="009132D1"/>
    <w:rsid w:val="009132E8"/>
    <w:rsid w:val="00913318"/>
    <w:rsid w:val="00913330"/>
    <w:rsid w:val="0091333A"/>
    <w:rsid w:val="00913343"/>
    <w:rsid w:val="0091336B"/>
    <w:rsid w:val="00913373"/>
    <w:rsid w:val="00913377"/>
    <w:rsid w:val="00913399"/>
    <w:rsid w:val="0091339F"/>
    <w:rsid w:val="009133E7"/>
    <w:rsid w:val="009133F3"/>
    <w:rsid w:val="009133F7"/>
    <w:rsid w:val="0091341F"/>
    <w:rsid w:val="0091342D"/>
    <w:rsid w:val="0091349D"/>
    <w:rsid w:val="009134AF"/>
    <w:rsid w:val="009134B1"/>
    <w:rsid w:val="00913516"/>
    <w:rsid w:val="00913532"/>
    <w:rsid w:val="00913535"/>
    <w:rsid w:val="00913539"/>
    <w:rsid w:val="0091353F"/>
    <w:rsid w:val="009135B8"/>
    <w:rsid w:val="009135FA"/>
    <w:rsid w:val="0091370E"/>
    <w:rsid w:val="009137A5"/>
    <w:rsid w:val="009137AD"/>
    <w:rsid w:val="009137C5"/>
    <w:rsid w:val="00913823"/>
    <w:rsid w:val="0091384B"/>
    <w:rsid w:val="009138F0"/>
    <w:rsid w:val="009138FD"/>
    <w:rsid w:val="00913908"/>
    <w:rsid w:val="00913A62"/>
    <w:rsid w:val="00913A65"/>
    <w:rsid w:val="00913AEE"/>
    <w:rsid w:val="00913B6F"/>
    <w:rsid w:val="00913BA0"/>
    <w:rsid w:val="00913BD7"/>
    <w:rsid w:val="00913BDB"/>
    <w:rsid w:val="00913C23"/>
    <w:rsid w:val="00913C2A"/>
    <w:rsid w:val="00913C32"/>
    <w:rsid w:val="00913C33"/>
    <w:rsid w:val="00913C42"/>
    <w:rsid w:val="00913CBD"/>
    <w:rsid w:val="00913CC5"/>
    <w:rsid w:val="00913CF6"/>
    <w:rsid w:val="00913DD4"/>
    <w:rsid w:val="00913E0E"/>
    <w:rsid w:val="00913E49"/>
    <w:rsid w:val="00913F4B"/>
    <w:rsid w:val="00913FBB"/>
    <w:rsid w:val="00914016"/>
    <w:rsid w:val="00914018"/>
    <w:rsid w:val="0091401A"/>
    <w:rsid w:val="00914033"/>
    <w:rsid w:val="00914085"/>
    <w:rsid w:val="009140C9"/>
    <w:rsid w:val="009140D8"/>
    <w:rsid w:val="009140EB"/>
    <w:rsid w:val="009140F7"/>
    <w:rsid w:val="00914128"/>
    <w:rsid w:val="00914153"/>
    <w:rsid w:val="0091419F"/>
    <w:rsid w:val="009141E8"/>
    <w:rsid w:val="009141F1"/>
    <w:rsid w:val="0091426A"/>
    <w:rsid w:val="009142DF"/>
    <w:rsid w:val="0091435B"/>
    <w:rsid w:val="0091436E"/>
    <w:rsid w:val="0091438D"/>
    <w:rsid w:val="009143BC"/>
    <w:rsid w:val="0091445A"/>
    <w:rsid w:val="0091450C"/>
    <w:rsid w:val="00914514"/>
    <w:rsid w:val="00914516"/>
    <w:rsid w:val="0091452D"/>
    <w:rsid w:val="009145C9"/>
    <w:rsid w:val="009145E1"/>
    <w:rsid w:val="009145E8"/>
    <w:rsid w:val="009145F6"/>
    <w:rsid w:val="009145FD"/>
    <w:rsid w:val="00914630"/>
    <w:rsid w:val="00914674"/>
    <w:rsid w:val="009146B4"/>
    <w:rsid w:val="009146DA"/>
    <w:rsid w:val="00914726"/>
    <w:rsid w:val="009147AB"/>
    <w:rsid w:val="00914826"/>
    <w:rsid w:val="00914845"/>
    <w:rsid w:val="0091485A"/>
    <w:rsid w:val="009148E8"/>
    <w:rsid w:val="0091492B"/>
    <w:rsid w:val="00914973"/>
    <w:rsid w:val="00914975"/>
    <w:rsid w:val="009149BE"/>
    <w:rsid w:val="009149F6"/>
    <w:rsid w:val="00914A2B"/>
    <w:rsid w:val="00914A6F"/>
    <w:rsid w:val="00914AD5"/>
    <w:rsid w:val="00914AEC"/>
    <w:rsid w:val="00914B15"/>
    <w:rsid w:val="00914B1D"/>
    <w:rsid w:val="00914B5B"/>
    <w:rsid w:val="00914B67"/>
    <w:rsid w:val="00914B69"/>
    <w:rsid w:val="00914BA6"/>
    <w:rsid w:val="00914BD4"/>
    <w:rsid w:val="00914C15"/>
    <w:rsid w:val="00914C1C"/>
    <w:rsid w:val="00914C55"/>
    <w:rsid w:val="00914C75"/>
    <w:rsid w:val="00914C8A"/>
    <w:rsid w:val="00914CBE"/>
    <w:rsid w:val="00914CC8"/>
    <w:rsid w:val="00914CCB"/>
    <w:rsid w:val="00914E1B"/>
    <w:rsid w:val="00914E2E"/>
    <w:rsid w:val="00914E6F"/>
    <w:rsid w:val="00914E73"/>
    <w:rsid w:val="00914ED7"/>
    <w:rsid w:val="00914EFC"/>
    <w:rsid w:val="00914F20"/>
    <w:rsid w:val="00914F56"/>
    <w:rsid w:val="00914F7A"/>
    <w:rsid w:val="00914FB5"/>
    <w:rsid w:val="00915008"/>
    <w:rsid w:val="00915009"/>
    <w:rsid w:val="00915040"/>
    <w:rsid w:val="009150C3"/>
    <w:rsid w:val="009150C8"/>
    <w:rsid w:val="009150E4"/>
    <w:rsid w:val="009150F7"/>
    <w:rsid w:val="0091510C"/>
    <w:rsid w:val="00915130"/>
    <w:rsid w:val="00915173"/>
    <w:rsid w:val="0091519C"/>
    <w:rsid w:val="009151E7"/>
    <w:rsid w:val="00915246"/>
    <w:rsid w:val="00915252"/>
    <w:rsid w:val="0091529D"/>
    <w:rsid w:val="009152AB"/>
    <w:rsid w:val="009152C9"/>
    <w:rsid w:val="009152CF"/>
    <w:rsid w:val="009152F9"/>
    <w:rsid w:val="00915337"/>
    <w:rsid w:val="00915339"/>
    <w:rsid w:val="00915355"/>
    <w:rsid w:val="00915367"/>
    <w:rsid w:val="0091536F"/>
    <w:rsid w:val="0091538E"/>
    <w:rsid w:val="009153B6"/>
    <w:rsid w:val="009153ED"/>
    <w:rsid w:val="009153F7"/>
    <w:rsid w:val="00915401"/>
    <w:rsid w:val="00915418"/>
    <w:rsid w:val="0091543A"/>
    <w:rsid w:val="009154DA"/>
    <w:rsid w:val="00915533"/>
    <w:rsid w:val="009155B5"/>
    <w:rsid w:val="009155DB"/>
    <w:rsid w:val="0091562A"/>
    <w:rsid w:val="00915694"/>
    <w:rsid w:val="009156AA"/>
    <w:rsid w:val="009156F9"/>
    <w:rsid w:val="00915741"/>
    <w:rsid w:val="009157B2"/>
    <w:rsid w:val="009157DD"/>
    <w:rsid w:val="009157F5"/>
    <w:rsid w:val="00915837"/>
    <w:rsid w:val="00915866"/>
    <w:rsid w:val="009158A4"/>
    <w:rsid w:val="009158AE"/>
    <w:rsid w:val="00915912"/>
    <w:rsid w:val="0091593C"/>
    <w:rsid w:val="009159CD"/>
    <w:rsid w:val="009159DC"/>
    <w:rsid w:val="00915A0B"/>
    <w:rsid w:val="00915A1A"/>
    <w:rsid w:val="00915A34"/>
    <w:rsid w:val="00915A74"/>
    <w:rsid w:val="00915AC3"/>
    <w:rsid w:val="00915AF1"/>
    <w:rsid w:val="00915B2D"/>
    <w:rsid w:val="00915B3A"/>
    <w:rsid w:val="00915B46"/>
    <w:rsid w:val="00915B78"/>
    <w:rsid w:val="00915C3A"/>
    <w:rsid w:val="00915C72"/>
    <w:rsid w:val="00915D36"/>
    <w:rsid w:val="00915DAA"/>
    <w:rsid w:val="00915DAD"/>
    <w:rsid w:val="00915DF5"/>
    <w:rsid w:val="00915E09"/>
    <w:rsid w:val="00915E37"/>
    <w:rsid w:val="00915E97"/>
    <w:rsid w:val="00915E9F"/>
    <w:rsid w:val="00915EB2"/>
    <w:rsid w:val="00915EB5"/>
    <w:rsid w:val="00915FED"/>
    <w:rsid w:val="0091602E"/>
    <w:rsid w:val="00916070"/>
    <w:rsid w:val="0091609F"/>
    <w:rsid w:val="0091614A"/>
    <w:rsid w:val="00916166"/>
    <w:rsid w:val="00916203"/>
    <w:rsid w:val="00916205"/>
    <w:rsid w:val="00916222"/>
    <w:rsid w:val="0091624F"/>
    <w:rsid w:val="00916250"/>
    <w:rsid w:val="0091629C"/>
    <w:rsid w:val="0091630F"/>
    <w:rsid w:val="00916341"/>
    <w:rsid w:val="0091634A"/>
    <w:rsid w:val="0091636F"/>
    <w:rsid w:val="00916385"/>
    <w:rsid w:val="00916387"/>
    <w:rsid w:val="0091639C"/>
    <w:rsid w:val="009163D0"/>
    <w:rsid w:val="009163D9"/>
    <w:rsid w:val="009163ED"/>
    <w:rsid w:val="00916455"/>
    <w:rsid w:val="00916463"/>
    <w:rsid w:val="00916473"/>
    <w:rsid w:val="0091649F"/>
    <w:rsid w:val="009164BC"/>
    <w:rsid w:val="009164CD"/>
    <w:rsid w:val="00916579"/>
    <w:rsid w:val="009165B1"/>
    <w:rsid w:val="009165C5"/>
    <w:rsid w:val="009165FD"/>
    <w:rsid w:val="00916623"/>
    <w:rsid w:val="00916627"/>
    <w:rsid w:val="00916645"/>
    <w:rsid w:val="0091669C"/>
    <w:rsid w:val="0091669F"/>
    <w:rsid w:val="009166A6"/>
    <w:rsid w:val="009166C3"/>
    <w:rsid w:val="009166EB"/>
    <w:rsid w:val="00916771"/>
    <w:rsid w:val="00916785"/>
    <w:rsid w:val="009167D6"/>
    <w:rsid w:val="00916807"/>
    <w:rsid w:val="0091686F"/>
    <w:rsid w:val="0091687A"/>
    <w:rsid w:val="009168E8"/>
    <w:rsid w:val="00916908"/>
    <w:rsid w:val="0091691F"/>
    <w:rsid w:val="00916938"/>
    <w:rsid w:val="009169FD"/>
    <w:rsid w:val="00916A06"/>
    <w:rsid w:val="00916A3F"/>
    <w:rsid w:val="00916A49"/>
    <w:rsid w:val="00916ABB"/>
    <w:rsid w:val="00916B0D"/>
    <w:rsid w:val="00916B5F"/>
    <w:rsid w:val="00916B8F"/>
    <w:rsid w:val="00916B99"/>
    <w:rsid w:val="00916CDF"/>
    <w:rsid w:val="00916D0B"/>
    <w:rsid w:val="00916D38"/>
    <w:rsid w:val="00916DC7"/>
    <w:rsid w:val="00916E02"/>
    <w:rsid w:val="00916E1E"/>
    <w:rsid w:val="00916E33"/>
    <w:rsid w:val="00916E93"/>
    <w:rsid w:val="00916EBA"/>
    <w:rsid w:val="00916EE5"/>
    <w:rsid w:val="00916F15"/>
    <w:rsid w:val="00916F19"/>
    <w:rsid w:val="00916F22"/>
    <w:rsid w:val="00916F33"/>
    <w:rsid w:val="00916F43"/>
    <w:rsid w:val="00916F9D"/>
    <w:rsid w:val="00916FCE"/>
    <w:rsid w:val="00916FD3"/>
    <w:rsid w:val="00916FDB"/>
    <w:rsid w:val="00916FDD"/>
    <w:rsid w:val="00916FEA"/>
    <w:rsid w:val="0091700B"/>
    <w:rsid w:val="00917015"/>
    <w:rsid w:val="00917022"/>
    <w:rsid w:val="00917041"/>
    <w:rsid w:val="009170A1"/>
    <w:rsid w:val="009170B2"/>
    <w:rsid w:val="009170D8"/>
    <w:rsid w:val="0091711A"/>
    <w:rsid w:val="0091714B"/>
    <w:rsid w:val="009171C1"/>
    <w:rsid w:val="00917214"/>
    <w:rsid w:val="00917237"/>
    <w:rsid w:val="0091729F"/>
    <w:rsid w:val="009172ED"/>
    <w:rsid w:val="00917307"/>
    <w:rsid w:val="00917333"/>
    <w:rsid w:val="0091737F"/>
    <w:rsid w:val="00917384"/>
    <w:rsid w:val="009173ED"/>
    <w:rsid w:val="0091740C"/>
    <w:rsid w:val="0091741A"/>
    <w:rsid w:val="00917437"/>
    <w:rsid w:val="009174D0"/>
    <w:rsid w:val="009174DC"/>
    <w:rsid w:val="00917540"/>
    <w:rsid w:val="00917546"/>
    <w:rsid w:val="00917582"/>
    <w:rsid w:val="00917601"/>
    <w:rsid w:val="0091768A"/>
    <w:rsid w:val="0091768D"/>
    <w:rsid w:val="00917715"/>
    <w:rsid w:val="00917721"/>
    <w:rsid w:val="009177D0"/>
    <w:rsid w:val="009177DF"/>
    <w:rsid w:val="009177F0"/>
    <w:rsid w:val="00917856"/>
    <w:rsid w:val="0091786D"/>
    <w:rsid w:val="0091788A"/>
    <w:rsid w:val="0091789B"/>
    <w:rsid w:val="009178AD"/>
    <w:rsid w:val="009178B0"/>
    <w:rsid w:val="009178DB"/>
    <w:rsid w:val="00917918"/>
    <w:rsid w:val="0091795F"/>
    <w:rsid w:val="0091796A"/>
    <w:rsid w:val="009179F9"/>
    <w:rsid w:val="00917A21"/>
    <w:rsid w:val="00917A3F"/>
    <w:rsid w:val="00917A53"/>
    <w:rsid w:val="00917ADA"/>
    <w:rsid w:val="00917B10"/>
    <w:rsid w:val="00917B26"/>
    <w:rsid w:val="00917B3C"/>
    <w:rsid w:val="00917B54"/>
    <w:rsid w:val="00917B64"/>
    <w:rsid w:val="00917B65"/>
    <w:rsid w:val="00917B91"/>
    <w:rsid w:val="00917C0C"/>
    <w:rsid w:val="00917C3E"/>
    <w:rsid w:val="00917C82"/>
    <w:rsid w:val="00917C95"/>
    <w:rsid w:val="00917CA0"/>
    <w:rsid w:val="00917CCF"/>
    <w:rsid w:val="00917D32"/>
    <w:rsid w:val="00917D48"/>
    <w:rsid w:val="00917D58"/>
    <w:rsid w:val="00917D5A"/>
    <w:rsid w:val="00917D9C"/>
    <w:rsid w:val="00917DA6"/>
    <w:rsid w:val="00917DBE"/>
    <w:rsid w:val="00917F7A"/>
    <w:rsid w:val="00917FFB"/>
    <w:rsid w:val="00920062"/>
    <w:rsid w:val="00920069"/>
    <w:rsid w:val="00920089"/>
    <w:rsid w:val="00920095"/>
    <w:rsid w:val="009200AC"/>
    <w:rsid w:val="009200E3"/>
    <w:rsid w:val="00920126"/>
    <w:rsid w:val="00920130"/>
    <w:rsid w:val="00920139"/>
    <w:rsid w:val="00920159"/>
    <w:rsid w:val="00920185"/>
    <w:rsid w:val="009201C7"/>
    <w:rsid w:val="00920213"/>
    <w:rsid w:val="00920227"/>
    <w:rsid w:val="0092022E"/>
    <w:rsid w:val="009202E2"/>
    <w:rsid w:val="009202FC"/>
    <w:rsid w:val="0092034E"/>
    <w:rsid w:val="00920352"/>
    <w:rsid w:val="00920373"/>
    <w:rsid w:val="009203F0"/>
    <w:rsid w:val="009203F2"/>
    <w:rsid w:val="00920440"/>
    <w:rsid w:val="00920495"/>
    <w:rsid w:val="0092052E"/>
    <w:rsid w:val="00920541"/>
    <w:rsid w:val="00920545"/>
    <w:rsid w:val="00920574"/>
    <w:rsid w:val="009205A9"/>
    <w:rsid w:val="009205B2"/>
    <w:rsid w:val="009205CC"/>
    <w:rsid w:val="009205DF"/>
    <w:rsid w:val="009205FA"/>
    <w:rsid w:val="0092061C"/>
    <w:rsid w:val="0092064F"/>
    <w:rsid w:val="00920655"/>
    <w:rsid w:val="0092068C"/>
    <w:rsid w:val="00920690"/>
    <w:rsid w:val="009206BD"/>
    <w:rsid w:val="00920737"/>
    <w:rsid w:val="00920744"/>
    <w:rsid w:val="0092075C"/>
    <w:rsid w:val="009207FC"/>
    <w:rsid w:val="00920827"/>
    <w:rsid w:val="00920837"/>
    <w:rsid w:val="0092084B"/>
    <w:rsid w:val="00920936"/>
    <w:rsid w:val="00920989"/>
    <w:rsid w:val="009209AD"/>
    <w:rsid w:val="009209D9"/>
    <w:rsid w:val="00920A1C"/>
    <w:rsid w:val="00920A2F"/>
    <w:rsid w:val="00920A3B"/>
    <w:rsid w:val="00920A40"/>
    <w:rsid w:val="00920ABD"/>
    <w:rsid w:val="00920AE9"/>
    <w:rsid w:val="00920B5E"/>
    <w:rsid w:val="00920B6F"/>
    <w:rsid w:val="00920BDA"/>
    <w:rsid w:val="00920BE8"/>
    <w:rsid w:val="00920BEA"/>
    <w:rsid w:val="00920C0E"/>
    <w:rsid w:val="00920C26"/>
    <w:rsid w:val="00920C54"/>
    <w:rsid w:val="00920C67"/>
    <w:rsid w:val="00920C70"/>
    <w:rsid w:val="00920CD6"/>
    <w:rsid w:val="00920CDE"/>
    <w:rsid w:val="00920CE3"/>
    <w:rsid w:val="00920CEA"/>
    <w:rsid w:val="00920D42"/>
    <w:rsid w:val="00920D45"/>
    <w:rsid w:val="00920DAE"/>
    <w:rsid w:val="00920DDC"/>
    <w:rsid w:val="00920DF0"/>
    <w:rsid w:val="00920E83"/>
    <w:rsid w:val="00920E9A"/>
    <w:rsid w:val="00920EB3"/>
    <w:rsid w:val="00920EB6"/>
    <w:rsid w:val="00920FE5"/>
    <w:rsid w:val="00920FF9"/>
    <w:rsid w:val="00921023"/>
    <w:rsid w:val="00921070"/>
    <w:rsid w:val="00921085"/>
    <w:rsid w:val="009210F0"/>
    <w:rsid w:val="009210FE"/>
    <w:rsid w:val="0092111F"/>
    <w:rsid w:val="0092112B"/>
    <w:rsid w:val="0092113C"/>
    <w:rsid w:val="00921145"/>
    <w:rsid w:val="00921146"/>
    <w:rsid w:val="00921190"/>
    <w:rsid w:val="009211C3"/>
    <w:rsid w:val="009211F8"/>
    <w:rsid w:val="00921210"/>
    <w:rsid w:val="0092123A"/>
    <w:rsid w:val="00921288"/>
    <w:rsid w:val="009212EE"/>
    <w:rsid w:val="009212F7"/>
    <w:rsid w:val="00921337"/>
    <w:rsid w:val="00921343"/>
    <w:rsid w:val="00921350"/>
    <w:rsid w:val="00921354"/>
    <w:rsid w:val="0092138B"/>
    <w:rsid w:val="009213BF"/>
    <w:rsid w:val="00921465"/>
    <w:rsid w:val="00921516"/>
    <w:rsid w:val="0092151B"/>
    <w:rsid w:val="0092152F"/>
    <w:rsid w:val="0092153A"/>
    <w:rsid w:val="00921542"/>
    <w:rsid w:val="0092155B"/>
    <w:rsid w:val="00921576"/>
    <w:rsid w:val="009215DE"/>
    <w:rsid w:val="009215E7"/>
    <w:rsid w:val="0092163B"/>
    <w:rsid w:val="0092164D"/>
    <w:rsid w:val="0092168B"/>
    <w:rsid w:val="0092172E"/>
    <w:rsid w:val="00921746"/>
    <w:rsid w:val="00921752"/>
    <w:rsid w:val="0092176D"/>
    <w:rsid w:val="009217B0"/>
    <w:rsid w:val="009217B8"/>
    <w:rsid w:val="009217C9"/>
    <w:rsid w:val="009217D3"/>
    <w:rsid w:val="009217EE"/>
    <w:rsid w:val="00921893"/>
    <w:rsid w:val="009218EB"/>
    <w:rsid w:val="009218F1"/>
    <w:rsid w:val="009218F9"/>
    <w:rsid w:val="00921916"/>
    <w:rsid w:val="0092193C"/>
    <w:rsid w:val="00921997"/>
    <w:rsid w:val="00921999"/>
    <w:rsid w:val="00921A26"/>
    <w:rsid w:val="00921A44"/>
    <w:rsid w:val="00921A8D"/>
    <w:rsid w:val="00921AA7"/>
    <w:rsid w:val="00921B11"/>
    <w:rsid w:val="00921B25"/>
    <w:rsid w:val="00921B3B"/>
    <w:rsid w:val="00921B40"/>
    <w:rsid w:val="00921B4E"/>
    <w:rsid w:val="00921B7F"/>
    <w:rsid w:val="00921B86"/>
    <w:rsid w:val="00921BBE"/>
    <w:rsid w:val="00921BE9"/>
    <w:rsid w:val="00921BEE"/>
    <w:rsid w:val="00921BFC"/>
    <w:rsid w:val="00921C38"/>
    <w:rsid w:val="00921C49"/>
    <w:rsid w:val="00921C4A"/>
    <w:rsid w:val="00921C85"/>
    <w:rsid w:val="00921C88"/>
    <w:rsid w:val="00921C9A"/>
    <w:rsid w:val="00921D12"/>
    <w:rsid w:val="00921D18"/>
    <w:rsid w:val="00921D8D"/>
    <w:rsid w:val="00921D92"/>
    <w:rsid w:val="00921DD3"/>
    <w:rsid w:val="00921DED"/>
    <w:rsid w:val="00921DEF"/>
    <w:rsid w:val="00921E07"/>
    <w:rsid w:val="00921E8A"/>
    <w:rsid w:val="00921EB8"/>
    <w:rsid w:val="00921F03"/>
    <w:rsid w:val="00921F37"/>
    <w:rsid w:val="00921F5A"/>
    <w:rsid w:val="00921F9A"/>
    <w:rsid w:val="00921FEA"/>
    <w:rsid w:val="00922079"/>
    <w:rsid w:val="00922097"/>
    <w:rsid w:val="009220F4"/>
    <w:rsid w:val="00922166"/>
    <w:rsid w:val="0092217B"/>
    <w:rsid w:val="009221A7"/>
    <w:rsid w:val="0092220B"/>
    <w:rsid w:val="00922272"/>
    <w:rsid w:val="00922284"/>
    <w:rsid w:val="0092229F"/>
    <w:rsid w:val="009222D8"/>
    <w:rsid w:val="00922317"/>
    <w:rsid w:val="0092236A"/>
    <w:rsid w:val="00922400"/>
    <w:rsid w:val="00922422"/>
    <w:rsid w:val="009224FA"/>
    <w:rsid w:val="00922584"/>
    <w:rsid w:val="0092259E"/>
    <w:rsid w:val="009225FF"/>
    <w:rsid w:val="00922637"/>
    <w:rsid w:val="00922645"/>
    <w:rsid w:val="00922654"/>
    <w:rsid w:val="0092265D"/>
    <w:rsid w:val="009226D4"/>
    <w:rsid w:val="009226E8"/>
    <w:rsid w:val="009226EB"/>
    <w:rsid w:val="00922707"/>
    <w:rsid w:val="00922710"/>
    <w:rsid w:val="00922770"/>
    <w:rsid w:val="0092278C"/>
    <w:rsid w:val="0092279D"/>
    <w:rsid w:val="0092280A"/>
    <w:rsid w:val="0092286E"/>
    <w:rsid w:val="0092287C"/>
    <w:rsid w:val="009228B8"/>
    <w:rsid w:val="009228E4"/>
    <w:rsid w:val="00922997"/>
    <w:rsid w:val="009229CC"/>
    <w:rsid w:val="00922A14"/>
    <w:rsid w:val="00922A54"/>
    <w:rsid w:val="00922A65"/>
    <w:rsid w:val="00922AA2"/>
    <w:rsid w:val="00922AE0"/>
    <w:rsid w:val="00922B66"/>
    <w:rsid w:val="00922BA6"/>
    <w:rsid w:val="00922BF1"/>
    <w:rsid w:val="00922C7C"/>
    <w:rsid w:val="00922D31"/>
    <w:rsid w:val="00922DBD"/>
    <w:rsid w:val="00922DCA"/>
    <w:rsid w:val="00922E93"/>
    <w:rsid w:val="00922EB4"/>
    <w:rsid w:val="00922F01"/>
    <w:rsid w:val="00922F81"/>
    <w:rsid w:val="00922F93"/>
    <w:rsid w:val="00922FC1"/>
    <w:rsid w:val="0092300D"/>
    <w:rsid w:val="009230EF"/>
    <w:rsid w:val="0092311A"/>
    <w:rsid w:val="009231DC"/>
    <w:rsid w:val="00923243"/>
    <w:rsid w:val="00923270"/>
    <w:rsid w:val="009232CD"/>
    <w:rsid w:val="009232DC"/>
    <w:rsid w:val="00923314"/>
    <w:rsid w:val="00923347"/>
    <w:rsid w:val="0092334A"/>
    <w:rsid w:val="00923356"/>
    <w:rsid w:val="009233A6"/>
    <w:rsid w:val="00923411"/>
    <w:rsid w:val="00923432"/>
    <w:rsid w:val="00923452"/>
    <w:rsid w:val="00923482"/>
    <w:rsid w:val="0092349E"/>
    <w:rsid w:val="009234F8"/>
    <w:rsid w:val="00923514"/>
    <w:rsid w:val="00923569"/>
    <w:rsid w:val="009235AA"/>
    <w:rsid w:val="009235C4"/>
    <w:rsid w:val="009235CC"/>
    <w:rsid w:val="00923635"/>
    <w:rsid w:val="0092365E"/>
    <w:rsid w:val="00923678"/>
    <w:rsid w:val="00923685"/>
    <w:rsid w:val="009236DC"/>
    <w:rsid w:val="009236EC"/>
    <w:rsid w:val="0092371D"/>
    <w:rsid w:val="00923751"/>
    <w:rsid w:val="00923786"/>
    <w:rsid w:val="009237E3"/>
    <w:rsid w:val="00923813"/>
    <w:rsid w:val="00923845"/>
    <w:rsid w:val="0092386B"/>
    <w:rsid w:val="0092389F"/>
    <w:rsid w:val="009238B3"/>
    <w:rsid w:val="009238D7"/>
    <w:rsid w:val="009239A2"/>
    <w:rsid w:val="00923AB0"/>
    <w:rsid w:val="00923AD6"/>
    <w:rsid w:val="00923AED"/>
    <w:rsid w:val="00923B4D"/>
    <w:rsid w:val="00923BA1"/>
    <w:rsid w:val="00923BAB"/>
    <w:rsid w:val="00923C2D"/>
    <w:rsid w:val="00923CA6"/>
    <w:rsid w:val="00923CFE"/>
    <w:rsid w:val="00923D14"/>
    <w:rsid w:val="00923D4F"/>
    <w:rsid w:val="00923E46"/>
    <w:rsid w:val="00923E57"/>
    <w:rsid w:val="00923E58"/>
    <w:rsid w:val="00923E83"/>
    <w:rsid w:val="00923EF1"/>
    <w:rsid w:val="00923EF4"/>
    <w:rsid w:val="00923EF6"/>
    <w:rsid w:val="00923F23"/>
    <w:rsid w:val="00923F2D"/>
    <w:rsid w:val="00923F47"/>
    <w:rsid w:val="00923F4A"/>
    <w:rsid w:val="00923F55"/>
    <w:rsid w:val="00923F7D"/>
    <w:rsid w:val="00923FC1"/>
    <w:rsid w:val="00923FF3"/>
    <w:rsid w:val="00923FF4"/>
    <w:rsid w:val="00924063"/>
    <w:rsid w:val="00924092"/>
    <w:rsid w:val="009240B9"/>
    <w:rsid w:val="0092415B"/>
    <w:rsid w:val="00924173"/>
    <w:rsid w:val="00924178"/>
    <w:rsid w:val="0092419C"/>
    <w:rsid w:val="009241B2"/>
    <w:rsid w:val="009241E1"/>
    <w:rsid w:val="009241FB"/>
    <w:rsid w:val="0092420A"/>
    <w:rsid w:val="00924215"/>
    <w:rsid w:val="0092422C"/>
    <w:rsid w:val="00924236"/>
    <w:rsid w:val="009242A8"/>
    <w:rsid w:val="009242B9"/>
    <w:rsid w:val="009242E4"/>
    <w:rsid w:val="009242EA"/>
    <w:rsid w:val="0092430C"/>
    <w:rsid w:val="00924399"/>
    <w:rsid w:val="009243AB"/>
    <w:rsid w:val="009243CE"/>
    <w:rsid w:val="00924409"/>
    <w:rsid w:val="0092443B"/>
    <w:rsid w:val="00924449"/>
    <w:rsid w:val="00924463"/>
    <w:rsid w:val="0092446A"/>
    <w:rsid w:val="009244D4"/>
    <w:rsid w:val="009244D7"/>
    <w:rsid w:val="009244DE"/>
    <w:rsid w:val="00924669"/>
    <w:rsid w:val="00924769"/>
    <w:rsid w:val="00924770"/>
    <w:rsid w:val="0092478F"/>
    <w:rsid w:val="009247BC"/>
    <w:rsid w:val="009247C6"/>
    <w:rsid w:val="009247C9"/>
    <w:rsid w:val="00924869"/>
    <w:rsid w:val="0092489A"/>
    <w:rsid w:val="0092489C"/>
    <w:rsid w:val="0092497A"/>
    <w:rsid w:val="00924984"/>
    <w:rsid w:val="009249C4"/>
    <w:rsid w:val="009249E2"/>
    <w:rsid w:val="00924A03"/>
    <w:rsid w:val="00924A94"/>
    <w:rsid w:val="00924AC3"/>
    <w:rsid w:val="00924ADE"/>
    <w:rsid w:val="00924AE0"/>
    <w:rsid w:val="00924AE8"/>
    <w:rsid w:val="00924B43"/>
    <w:rsid w:val="00924BB1"/>
    <w:rsid w:val="00924BE1"/>
    <w:rsid w:val="00924C0A"/>
    <w:rsid w:val="00924C16"/>
    <w:rsid w:val="00924C23"/>
    <w:rsid w:val="00924C36"/>
    <w:rsid w:val="00924C51"/>
    <w:rsid w:val="00924C7B"/>
    <w:rsid w:val="00924CA9"/>
    <w:rsid w:val="00924CDF"/>
    <w:rsid w:val="00924CEB"/>
    <w:rsid w:val="00924D07"/>
    <w:rsid w:val="00924D0C"/>
    <w:rsid w:val="00924D23"/>
    <w:rsid w:val="00924D2D"/>
    <w:rsid w:val="00924D2F"/>
    <w:rsid w:val="00924D56"/>
    <w:rsid w:val="00924D71"/>
    <w:rsid w:val="00924D78"/>
    <w:rsid w:val="00924DAA"/>
    <w:rsid w:val="00924DB5"/>
    <w:rsid w:val="00924DBF"/>
    <w:rsid w:val="00924DEA"/>
    <w:rsid w:val="00924E74"/>
    <w:rsid w:val="00924E7E"/>
    <w:rsid w:val="00924ECC"/>
    <w:rsid w:val="00924F22"/>
    <w:rsid w:val="00924F48"/>
    <w:rsid w:val="00924F8E"/>
    <w:rsid w:val="00924FD9"/>
    <w:rsid w:val="00924FE0"/>
    <w:rsid w:val="00925046"/>
    <w:rsid w:val="00925086"/>
    <w:rsid w:val="009250C0"/>
    <w:rsid w:val="009250DB"/>
    <w:rsid w:val="009250E5"/>
    <w:rsid w:val="00925183"/>
    <w:rsid w:val="0092518C"/>
    <w:rsid w:val="0092519E"/>
    <w:rsid w:val="00925239"/>
    <w:rsid w:val="00925256"/>
    <w:rsid w:val="00925274"/>
    <w:rsid w:val="009252AD"/>
    <w:rsid w:val="0092531C"/>
    <w:rsid w:val="00925356"/>
    <w:rsid w:val="00925375"/>
    <w:rsid w:val="0092537B"/>
    <w:rsid w:val="00925458"/>
    <w:rsid w:val="00925485"/>
    <w:rsid w:val="0092550E"/>
    <w:rsid w:val="00925524"/>
    <w:rsid w:val="00925526"/>
    <w:rsid w:val="0092557E"/>
    <w:rsid w:val="009255D0"/>
    <w:rsid w:val="009255FB"/>
    <w:rsid w:val="00925601"/>
    <w:rsid w:val="0092564D"/>
    <w:rsid w:val="0092569C"/>
    <w:rsid w:val="009256A2"/>
    <w:rsid w:val="009256E4"/>
    <w:rsid w:val="00925715"/>
    <w:rsid w:val="0092573F"/>
    <w:rsid w:val="009257F0"/>
    <w:rsid w:val="0092582D"/>
    <w:rsid w:val="0092586C"/>
    <w:rsid w:val="00925879"/>
    <w:rsid w:val="0092588A"/>
    <w:rsid w:val="009258EC"/>
    <w:rsid w:val="009258F6"/>
    <w:rsid w:val="00925920"/>
    <w:rsid w:val="0092595A"/>
    <w:rsid w:val="009259ED"/>
    <w:rsid w:val="00925A3B"/>
    <w:rsid w:val="00925A6B"/>
    <w:rsid w:val="00925A7E"/>
    <w:rsid w:val="00925ABD"/>
    <w:rsid w:val="00925B66"/>
    <w:rsid w:val="00925B73"/>
    <w:rsid w:val="00925BCB"/>
    <w:rsid w:val="00925C05"/>
    <w:rsid w:val="00925C73"/>
    <w:rsid w:val="00925C98"/>
    <w:rsid w:val="00925CA9"/>
    <w:rsid w:val="00925CED"/>
    <w:rsid w:val="00925CFA"/>
    <w:rsid w:val="00925D8A"/>
    <w:rsid w:val="00925DC9"/>
    <w:rsid w:val="00925DD5"/>
    <w:rsid w:val="00925DFC"/>
    <w:rsid w:val="00925E3D"/>
    <w:rsid w:val="00925E4D"/>
    <w:rsid w:val="00925E59"/>
    <w:rsid w:val="00925E81"/>
    <w:rsid w:val="00925EF6"/>
    <w:rsid w:val="00925F0D"/>
    <w:rsid w:val="00926008"/>
    <w:rsid w:val="0092604B"/>
    <w:rsid w:val="0092605C"/>
    <w:rsid w:val="0092606C"/>
    <w:rsid w:val="00926092"/>
    <w:rsid w:val="0092609A"/>
    <w:rsid w:val="009260A4"/>
    <w:rsid w:val="009260B6"/>
    <w:rsid w:val="009260C3"/>
    <w:rsid w:val="0092612B"/>
    <w:rsid w:val="00926130"/>
    <w:rsid w:val="0092613E"/>
    <w:rsid w:val="009261B5"/>
    <w:rsid w:val="009261CC"/>
    <w:rsid w:val="009261F7"/>
    <w:rsid w:val="00926240"/>
    <w:rsid w:val="0092627C"/>
    <w:rsid w:val="00926284"/>
    <w:rsid w:val="009262DB"/>
    <w:rsid w:val="00926307"/>
    <w:rsid w:val="0092630A"/>
    <w:rsid w:val="0092631D"/>
    <w:rsid w:val="00926399"/>
    <w:rsid w:val="009263EC"/>
    <w:rsid w:val="00926434"/>
    <w:rsid w:val="009265A6"/>
    <w:rsid w:val="009265B4"/>
    <w:rsid w:val="009265CA"/>
    <w:rsid w:val="009265E3"/>
    <w:rsid w:val="009265E5"/>
    <w:rsid w:val="0092666C"/>
    <w:rsid w:val="00926768"/>
    <w:rsid w:val="00926784"/>
    <w:rsid w:val="009267D8"/>
    <w:rsid w:val="009267F2"/>
    <w:rsid w:val="0092680F"/>
    <w:rsid w:val="0092686A"/>
    <w:rsid w:val="00926870"/>
    <w:rsid w:val="00926903"/>
    <w:rsid w:val="009269BE"/>
    <w:rsid w:val="00926A47"/>
    <w:rsid w:val="00926A52"/>
    <w:rsid w:val="00926A9B"/>
    <w:rsid w:val="00926B26"/>
    <w:rsid w:val="00926B2F"/>
    <w:rsid w:val="00926B4A"/>
    <w:rsid w:val="00926B52"/>
    <w:rsid w:val="00926B8E"/>
    <w:rsid w:val="00926BD3"/>
    <w:rsid w:val="00926C8A"/>
    <w:rsid w:val="00926C98"/>
    <w:rsid w:val="00926CA1"/>
    <w:rsid w:val="00926CC2"/>
    <w:rsid w:val="00926D00"/>
    <w:rsid w:val="00926D2B"/>
    <w:rsid w:val="00926E03"/>
    <w:rsid w:val="00926E62"/>
    <w:rsid w:val="00926E74"/>
    <w:rsid w:val="00926E84"/>
    <w:rsid w:val="00926EA8"/>
    <w:rsid w:val="00926ED3"/>
    <w:rsid w:val="00926FC2"/>
    <w:rsid w:val="00926FEF"/>
    <w:rsid w:val="0092700B"/>
    <w:rsid w:val="00927019"/>
    <w:rsid w:val="00927021"/>
    <w:rsid w:val="00927049"/>
    <w:rsid w:val="00927073"/>
    <w:rsid w:val="00927081"/>
    <w:rsid w:val="00927121"/>
    <w:rsid w:val="00927155"/>
    <w:rsid w:val="00927165"/>
    <w:rsid w:val="0092719A"/>
    <w:rsid w:val="009271E7"/>
    <w:rsid w:val="00927266"/>
    <w:rsid w:val="00927288"/>
    <w:rsid w:val="009272C0"/>
    <w:rsid w:val="0092736F"/>
    <w:rsid w:val="00927380"/>
    <w:rsid w:val="00927394"/>
    <w:rsid w:val="009273BA"/>
    <w:rsid w:val="009273EB"/>
    <w:rsid w:val="009273FB"/>
    <w:rsid w:val="00927411"/>
    <w:rsid w:val="0092746A"/>
    <w:rsid w:val="00927487"/>
    <w:rsid w:val="0092749D"/>
    <w:rsid w:val="009274D5"/>
    <w:rsid w:val="009274D8"/>
    <w:rsid w:val="009274E1"/>
    <w:rsid w:val="00927524"/>
    <w:rsid w:val="00927538"/>
    <w:rsid w:val="00927559"/>
    <w:rsid w:val="0092756C"/>
    <w:rsid w:val="0092758F"/>
    <w:rsid w:val="009275C1"/>
    <w:rsid w:val="009275DF"/>
    <w:rsid w:val="00927606"/>
    <w:rsid w:val="00927618"/>
    <w:rsid w:val="00927662"/>
    <w:rsid w:val="00927683"/>
    <w:rsid w:val="0092769D"/>
    <w:rsid w:val="009276B2"/>
    <w:rsid w:val="009276C0"/>
    <w:rsid w:val="009276E4"/>
    <w:rsid w:val="00927789"/>
    <w:rsid w:val="009277BB"/>
    <w:rsid w:val="009277BD"/>
    <w:rsid w:val="0092786B"/>
    <w:rsid w:val="0092787A"/>
    <w:rsid w:val="00927889"/>
    <w:rsid w:val="009278D5"/>
    <w:rsid w:val="009278DD"/>
    <w:rsid w:val="009278F0"/>
    <w:rsid w:val="009279BA"/>
    <w:rsid w:val="00927A02"/>
    <w:rsid w:val="00927A52"/>
    <w:rsid w:val="00927A8D"/>
    <w:rsid w:val="00927B19"/>
    <w:rsid w:val="00927B3E"/>
    <w:rsid w:val="00927B5C"/>
    <w:rsid w:val="00927B5E"/>
    <w:rsid w:val="00927B6A"/>
    <w:rsid w:val="00927C16"/>
    <w:rsid w:val="00927C35"/>
    <w:rsid w:val="00927C78"/>
    <w:rsid w:val="00927C8E"/>
    <w:rsid w:val="00927CBB"/>
    <w:rsid w:val="00927CD9"/>
    <w:rsid w:val="00927CE2"/>
    <w:rsid w:val="00927D5F"/>
    <w:rsid w:val="00927DB4"/>
    <w:rsid w:val="00927DB6"/>
    <w:rsid w:val="00927E08"/>
    <w:rsid w:val="00927E3E"/>
    <w:rsid w:val="00927E85"/>
    <w:rsid w:val="00927EC4"/>
    <w:rsid w:val="00927ECE"/>
    <w:rsid w:val="00927F11"/>
    <w:rsid w:val="00927F21"/>
    <w:rsid w:val="00927FD8"/>
    <w:rsid w:val="00927FE0"/>
    <w:rsid w:val="00927FE8"/>
    <w:rsid w:val="00930006"/>
    <w:rsid w:val="00930027"/>
    <w:rsid w:val="00930075"/>
    <w:rsid w:val="009300BE"/>
    <w:rsid w:val="009300E9"/>
    <w:rsid w:val="009300F5"/>
    <w:rsid w:val="009300FB"/>
    <w:rsid w:val="00930141"/>
    <w:rsid w:val="00930164"/>
    <w:rsid w:val="009301B1"/>
    <w:rsid w:val="009301F2"/>
    <w:rsid w:val="009301F7"/>
    <w:rsid w:val="009301FE"/>
    <w:rsid w:val="00930222"/>
    <w:rsid w:val="00930265"/>
    <w:rsid w:val="0093026C"/>
    <w:rsid w:val="009302E3"/>
    <w:rsid w:val="00930302"/>
    <w:rsid w:val="0093030A"/>
    <w:rsid w:val="00930348"/>
    <w:rsid w:val="00930370"/>
    <w:rsid w:val="00930396"/>
    <w:rsid w:val="0093039D"/>
    <w:rsid w:val="009303C6"/>
    <w:rsid w:val="0093041D"/>
    <w:rsid w:val="00930464"/>
    <w:rsid w:val="009304A6"/>
    <w:rsid w:val="009304FA"/>
    <w:rsid w:val="00930527"/>
    <w:rsid w:val="00930536"/>
    <w:rsid w:val="009305D1"/>
    <w:rsid w:val="00930649"/>
    <w:rsid w:val="00930664"/>
    <w:rsid w:val="0093066E"/>
    <w:rsid w:val="0093067B"/>
    <w:rsid w:val="00930728"/>
    <w:rsid w:val="009307AA"/>
    <w:rsid w:val="009307D9"/>
    <w:rsid w:val="00930879"/>
    <w:rsid w:val="00930909"/>
    <w:rsid w:val="00930925"/>
    <w:rsid w:val="00930936"/>
    <w:rsid w:val="00930939"/>
    <w:rsid w:val="00930971"/>
    <w:rsid w:val="00930999"/>
    <w:rsid w:val="009309A6"/>
    <w:rsid w:val="009309CB"/>
    <w:rsid w:val="00930A33"/>
    <w:rsid w:val="00930A5C"/>
    <w:rsid w:val="00930A6D"/>
    <w:rsid w:val="00930A77"/>
    <w:rsid w:val="00930A94"/>
    <w:rsid w:val="00930A97"/>
    <w:rsid w:val="00930AD5"/>
    <w:rsid w:val="00930B2C"/>
    <w:rsid w:val="00930B46"/>
    <w:rsid w:val="00930B5A"/>
    <w:rsid w:val="00930B61"/>
    <w:rsid w:val="00930B87"/>
    <w:rsid w:val="00930BCE"/>
    <w:rsid w:val="00930C03"/>
    <w:rsid w:val="00930C0C"/>
    <w:rsid w:val="00930C89"/>
    <w:rsid w:val="00930CA5"/>
    <w:rsid w:val="00930D16"/>
    <w:rsid w:val="00930D56"/>
    <w:rsid w:val="00930D74"/>
    <w:rsid w:val="00930D8B"/>
    <w:rsid w:val="00930DBE"/>
    <w:rsid w:val="00930DCC"/>
    <w:rsid w:val="00930DF1"/>
    <w:rsid w:val="00930E61"/>
    <w:rsid w:val="00930EB6"/>
    <w:rsid w:val="00930EDC"/>
    <w:rsid w:val="00930F6D"/>
    <w:rsid w:val="00930F7B"/>
    <w:rsid w:val="00930FBA"/>
    <w:rsid w:val="00930FBC"/>
    <w:rsid w:val="00930FC7"/>
    <w:rsid w:val="00930FD1"/>
    <w:rsid w:val="00930FE6"/>
    <w:rsid w:val="00930FE7"/>
    <w:rsid w:val="00931007"/>
    <w:rsid w:val="0093102C"/>
    <w:rsid w:val="00931062"/>
    <w:rsid w:val="009310AB"/>
    <w:rsid w:val="009310D8"/>
    <w:rsid w:val="009310E0"/>
    <w:rsid w:val="009310E8"/>
    <w:rsid w:val="009310F1"/>
    <w:rsid w:val="00931101"/>
    <w:rsid w:val="00931110"/>
    <w:rsid w:val="00931111"/>
    <w:rsid w:val="0093111A"/>
    <w:rsid w:val="00931132"/>
    <w:rsid w:val="00931151"/>
    <w:rsid w:val="00931157"/>
    <w:rsid w:val="00931169"/>
    <w:rsid w:val="0093117A"/>
    <w:rsid w:val="009311BB"/>
    <w:rsid w:val="00931213"/>
    <w:rsid w:val="0093125D"/>
    <w:rsid w:val="0093125E"/>
    <w:rsid w:val="00931264"/>
    <w:rsid w:val="009312EF"/>
    <w:rsid w:val="009313FB"/>
    <w:rsid w:val="00931440"/>
    <w:rsid w:val="009314DA"/>
    <w:rsid w:val="00931500"/>
    <w:rsid w:val="0093154D"/>
    <w:rsid w:val="00931562"/>
    <w:rsid w:val="0093157F"/>
    <w:rsid w:val="0093159B"/>
    <w:rsid w:val="0093159D"/>
    <w:rsid w:val="009315C2"/>
    <w:rsid w:val="009315D8"/>
    <w:rsid w:val="00931631"/>
    <w:rsid w:val="00931637"/>
    <w:rsid w:val="0093167C"/>
    <w:rsid w:val="00931684"/>
    <w:rsid w:val="00931687"/>
    <w:rsid w:val="009316A6"/>
    <w:rsid w:val="009316B8"/>
    <w:rsid w:val="009316D2"/>
    <w:rsid w:val="009316D7"/>
    <w:rsid w:val="00931727"/>
    <w:rsid w:val="0093172E"/>
    <w:rsid w:val="0093173B"/>
    <w:rsid w:val="00931745"/>
    <w:rsid w:val="0093174A"/>
    <w:rsid w:val="0093176C"/>
    <w:rsid w:val="0093178D"/>
    <w:rsid w:val="0093179F"/>
    <w:rsid w:val="0093184A"/>
    <w:rsid w:val="009318C7"/>
    <w:rsid w:val="0093191C"/>
    <w:rsid w:val="00931930"/>
    <w:rsid w:val="00931931"/>
    <w:rsid w:val="0093196C"/>
    <w:rsid w:val="009319B1"/>
    <w:rsid w:val="00931A55"/>
    <w:rsid w:val="00931A65"/>
    <w:rsid w:val="00931AB1"/>
    <w:rsid w:val="00931AD7"/>
    <w:rsid w:val="00931AF6"/>
    <w:rsid w:val="00931B35"/>
    <w:rsid w:val="00931B8E"/>
    <w:rsid w:val="00931BDE"/>
    <w:rsid w:val="00931BEB"/>
    <w:rsid w:val="00931BF5"/>
    <w:rsid w:val="00931C3A"/>
    <w:rsid w:val="00931C4D"/>
    <w:rsid w:val="00931C69"/>
    <w:rsid w:val="00931C98"/>
    <w:rsid w:val="00931CF6"/>
    <w:rsid w:val="00931CFF"/>
    <w:rsid w:val="00931D03"/>
    <w:rsid w:val="00931D5B"/>
    <w:rsid w:val="00931D67"/>
    <w:rsid w:val="00931DCF"/>
    <w:rsid w:val="00931EBD"/>
    <w:rsid w:val="00931EC5"/>
    <w:rsid w:val="00931EF9"/>
    <w:rsid w:val="00931F61"/>
    <w:rsid w:val="00931F64"/>
    <w:rsid w:val="009320BE"/>
    <w:rsid w:val="009320F9"/>
    <w:rsid w:val="0093230C"/>
    <w:rsid w:val="009323D2"/>
    <w:rsid w:val="00932416"/>
    <w:rsid w:val="00932503"/>
    <w:rsid w:val="0093253A"/>
    <w:rsid w:val="00932544"/>
    <w:rsid w:val="0093255F"/>
    <w:rsid w:val="00932573"/>
    <w:rsid w:val="00932583"/>
    <w:rsid w:val="009325B1"/>
    <w:rsid w:val="009325FA"/>
    <w:rsid w:val="00932621"/>
    <w:rsid w:val="0093263E"/>
    <w:rsid w:val="0093263F"/>
    <w:rsid w:val="00932668"/>
    <w:rsid w:val="00932693"/>
    <w:rsid w:val="009326D0"/>
    <w:rsid w:val="009326D6"/>
    <w:rsid w:val="009326EA"/>
    <w:rsid w:val="00932718"/>
    <w:rsid w:val="00932762"/>
    <w:rsid w:val="0093279A"/>
    <w:rsid w:val="0093279F"/>
    <w:rsid w:val="009328DE"/>
    <w:rsid w:val="00932947"/>
    <w:rsid w:val="00932955"/>
    <w:rsid w:val="0093295A"/>
    <w:rsid w:val="0093295E"/>
    <w:rsid w:val="009329F6"/>
    <w:rsid w:val="00932A6B"/>
    <w:rsid w:val="00932AFC"/>
    <w:rsid w:val="00932B06"/>
    <w:rsid w:val="00932B38"/>
    <w:rsid w:val="00932B3F"/>
    <w:rsid w:val="00932B51"/>
    <w:rsid w:val="00932B6E"/>
    <w:rsid w:val="00932C2C"/>
    <w:rsid w:val="00932C3A"/>
    <w:rsid w:val="00932C8C"/>
    <w:rsid w:val="00932CB6"/>
    <w:rsid w:val="00932CBE"/>
    <w:rsid w:val="00932CDE"/>
    <w:rsid w:val="00932D5A"/>
    <w:rsid w:val="00932D7B"/>
    <w:rsid w:val="00932D9B"/>
    <w:rsid w:val="00932E25"/>
    <w:rsid w:val="00932E48"/>
    <w:rsid w:val="00932E85"/>
    <w:rsid w:val="00932ED8"/>
    <w:rsid w:val="00932EDB"/>
    <w:rsid w:val="00932F1B"/>
    <w:rsid w:val="00932F22"/>
    <w:rsid w:val="00932F62"/>
    <w:rsid w:val="00932F63"/>
    <w:rsid w:val="00932F84"/>
    <w:rsid w:val="00932FAB"/>
    <w:rsid w:val="00932FE2"/>
    <w:rsid w:val="00933004"/>
    <w:rsid w:val="00933026"/>
    <w:rsid w:val="00933048"/>
    <w:rsid w:val="00933057"/>
    <w:rsid w:val="00933062"/>
    <w:rsid w:val="00933079"/>
    <w:rsid w:val="009330A4"/>
    <w:rsid w:val="00933102"/>
    <w:rsid w:val="00933117"/>
    <w:rsid w:val="00933119"/>
    <w:rsid w:val="0093312A"/>
    <w:rsid w:val="009331DF"/>
    <w:rsid w:val="0093320C"/>
    <w:rsid w:val="0093325F"/>
    <w:rsid w:val="0093328B"/>
    <w:rsid w:val="009332D1"/>
    <w:rsid w:val="009332DE"/>
    <w:rsid w:val="00933337"/>
    <w:rsid w:val="0093333F"/>
    <w:rsid w:val="0093336E"/>
    <w:rsid w:val="00933378"/>
    <w:rsid w:val="00933384"/>
    <w:rsid w:val="00933395"/>
    <w:rsid w:val="009333D2"/>
    <w:rsid w:val="009333FE"/>
    <w:rsid w:val="00933413"/>
    <w:rsid w:val="00933426"/>
    <w:rsid w:val="00933441"/>
    <w:rsid w:val="00933443"/>
    <w:rsid w:val="00933449"/>
    <w:rsid w:val="00933468"/>
    <w:rsid w:val="0093349D"/>
    <w:rsid w:val="009334D2"/>
    <w:rsid w:val="009334E0"/>
    <w:rsid w:val="009334F3"/>
    <w:rsid w:val="00933505"/>
    <w:rsid w:val="0093354A"/>
    <w:rsid w:val="009335EE"/>
    <w:rsid w:val="00933608"/>
    <w:rsid w:val="00933664"/>
    <w:rsid w:val="00933685"/>
    <w:rsid w:val="00933714"/>
    <w:rsid w:val="009337BB"/>
    <w:rsid w:val="009337E6"/>
    <w:rsid w:val="00933840"/>
    <w:rsid w:val="0093384E"/>
    <w:rsid w:val="009338B2"/>
    <w:rsid w:val="009338F0"/>
    <w:rsid w:val="0093390F"/>
    <w:rsid w:val="0093391A"/>
    <w:rsid w:val="00933965"/>
    <w:rsid w:val="009339B1"/>
    <w:rsid w:val="009339B2"/>
    <w:rsid w:val="009339BD"/>
    <w:rsid w:val="009339E7"/>
    <w:rsid w:val="009339F2"/>
    <w:rsid w:val="00933A01"/>
    <w:rsid w:val="00933A1D"/>
    <w:rsid w:val="00933A6F"/>
    <w:rsid w:val="00933A7C"/>
    <w:rsid w:val="00933AC5"/>
    <w:rsid w:val="00933AEB"/>
    <w:rsid w:val="00933B10"/>
    <w:rsid w:val="00933B2F"/>
    <w:rsid w:val="00933B31"/>
    <w:rsid w:val="00933B9F"/>
    <w:rsid w:val="00933BB3"/>
    <w:rsid w:val="00933BBD"/>
    <w:rsid w:val="00933BE3"/>
    <w:rsid w:val="00933C17"/>
    <w:rsid w:val="00933C18"/>
    <w:rsid w:val="00933C1F"/>
    <w:rsid w:val="00933C20"/>
    <w:rsid w:val="00933C22"/>
    <w:rsid w:val="00933C2F"/>
    <w:rsid w:val="00933C36"/>
    <w:rsid w:val="00933CB6"/>
    <w:rsid w:val="00933CEE"/>
    <w:rsid w:val="00933D6F"/>
    <w:rsid w:val="00933DAD"/>
    <w:rsid w:val="00933DC1"/>
    <w:rsid w:val="00933DFB"/>
    <w:rsid w:val="00933E65"/>
    <w:rsid w:val="00933E9D"/>
    <w:rsid w:val="00933EB8"/>
    <w:rsid w:val="00933EBF"/>
    <w:rsid w:val="00933EED"/>
    <w:rsid w:val="00933EF4"/>
    <w:rsid w:val="00933F08"/>
    <w:rsid w:val="00933F68"/>
    <w:rsid w:val="00933F8E"/>
    <w:rsid w:val="00933F97"/>
    <w:rsid w:val="00933FA5"/>
    <w:rsid w:val="00933FC3"/>
    <w:rsid w:val="00934061"/>
    <w:rsid w:val="009340DF"/>
    <w:rsid w:val="00934117"/>
    <w:rsid w:val="00934142"/>
    <w:rsid w:val="00934172"/>
    <w:rsid w:val="0093418C"/>
    <w:rsid w:val="00934220"/>
    <w:rsid w:val="00934270"/>
    <w:rsid w:val="009342F4"/>
    <w:rsid w:val="0093432C"/>
    <w:rsid w:val="00934336"/>
    <w:rsid w:val="0093433C"/>
    <w:rsid w:val="0093434F"/>
    <w:rsid w:val="00934378"/>
    <w:rsid w:val="0093438C"/>
    <w:rsid w:val="009343A4"/>
    <w:rsid w:val="0093448C"/>
    <w:rsid w:val="009344ED"/>
    <w:rsid w:val="0093452A"/>
    <w:rsid w:val="00934534"/>
    <w:rsid w:val="0093456F"/>
    <w:rsid w:val="00934599"/>
    <w:rsid w:val="009345A8"/>
    <w:rsid w:val="009345F9"/>
    <w:rsid w:val="009345FD"/>
    <w:rsid w:val="00934619"/>
    <w:rsid w:val="0093461A"/>
    <w:rsid w:val="00934630"/>
    <w:rsid w:val="00934638"/>
    <w:rsid w:val="00934649"/>
    <w:rsid w:val="00934650"/>
    <w:rsid w:val="009346C2"/>
    <w:rsid w:val="00934717"/>
    <w:rsid w:val="00934754"/>
    <w:rsid w:val="00934798"/>
    <w:rsid w:val="009347C3"/>
    <w:rsid w:val="009347D7"/>
    <w:rsid w:val="009347FA"/>
    <w:rsid w:val="0093480A"/>
    <w:rsid w:val="00934823"/>
    <w:rsid w:val="009348F9"/>
    <w:rsid w:val="009348FB"/>
    <w:rsid w:val="0093494E"/>
    <w:rsid w:val="0093495D"/>
    <w:rsid w:val="00934994"/>
    <w:rsid w:val="00934A1D"/>
    <w:rsid w:val="00934A44"/>
    <w:rsid w:val="00934A48"/>
    <w:rsid w:val="00934A5E"/>
    <w:rsid w:val="00934A6D"/>
    <w:rsid w:val="00934AE3"/>
    <w:rsid w:val="00934AE5"/>
    <w:rsid w:val="00934BC1"/>
    <w:rsid w:val="00934BFA"/>
    <w:rsid w:val="00934C1E"/>
    <w:rsid w:val="00934C4E"/>
    <w:rsid w:val="00934C56"/>
    <w:rsid w:val="00934C94"/>
    <w:rsid w:val="00934CDA"/>
    <w:rsid w:val="00934D5A"/>
    <w:rsid w:val="00934DA5"/>
    <w:rsid w:val="00934DCD"/>
    <w:rsid w:val="00934E57"/>
    <w:rsid w:val="00934EE5"/>
    <w:rsid w:val="00934EEA"/>
    <w:rsid w:val="00934F27"/>
    <w:rsid w:val="00934F38"/>
    <w:rsid w:val="00934F3F"/>
    <w:rsid w:val="00934F66"/>
    <w:rsid w:val="00934F9A"/>
    <w:rsid w:val="00935007"/>
    <w:rsid w:val="00935076"/>
    <w:rsid w:val="009350A0"/>
    <w:rsid w:val="00935123"/>
    <w:rsid w:val="00935180"/>
    <w:rsid w:val="00935186"/>
    <w:rsid w:val="00935188"/>
    <w:rsid w:val="00935190"/>
    <w:rsid w:val="009351AE"/>
    <w:rsid w:val="009351B0"/>
    <w:rsid w:val="009351BF"/>
    <w:rsid w:val="009351F3"/>
    <w:rsid w:val="009352DA"/>
    <w:rsid w:val="009352E1"/>
    <w:rsid w:val="0093539A"/>
    <w:rsid w:val="009353DE"/>
    <w:rsid w:val="0093543D"/>
    <w:rsid w:val="0093543F"/>
    <w:rsid w:val="009354FF"/>
    <w:rsid w:val="00935546"/>
    <w:rsid w:val="0093556C"/>
    <w:rsid w:val="009355C0"/>
    <w:rsid w:val="009355FC"/>
    <w:rsid w:val="0093560A"/>
    <w:rsid w:val="00935632"/>
    <w:rsid w:val="0093568E"/>
    <w:rsid w:val="009356AD"/>
    <w:rsid w:val="009356D6"/>
    <w:rsid w:val="00935704"/>
    <w:rsid w:val="0093571C"/>
    <w:rsid w:val="0093575E"/>
    <w:rsid w:val="00935803"/>
    <w:rsid w:val="009358E2"/>
    <w:rsid w:val="00935920"/>
    <w:rsid w:val="00935931"/>
    <w:rsid w:val="00935980"/>
    <w:rsid w:val="009359BF"/>
    <w:rsid w:val="009359CC"/>
    <w:rsid w:val="009359D7"/>
    <w:rsid w:val="009359E6"/>
    <w:rsid w:val="009359EC"/>
    <w:rsid w:val="009359F9"/>
    <w:rsid w:val="00935A1E"/>
    <w:rsid w:val="00935A48"/>
    <w:rsid w:val="00935A6D"/>
    <w:rsid w:val="00935AB6"/>
    <w:rsid w:val="00935ACC"/>
    <w:rsid w:val="00935AED"/>
    <w:rsid w:val="00935B1F"/>
    <w:rsid w:val="00935BDF"/>
    <w:rsid w:val="00935BEF"/>
    <w:rsid w:val="00935C6E"/>
    <w:rsid w:val="00935C93"/>
    <w:rsid w:val="00935C98"/>
    <w:rsid w:val="00935CB6"/>
    <w:rsid w:val="00935D0D"/>
    <w:rsid w:val="00935DEE"/>
    <w:rsid w:val="00935DF6"/>
    <w:rsid w:val="00935ECE"/>
    <w:rsid w:val="00935EE4"/>
    <w:rsid w:val="00935EE6"/>
    <w:rsid w:val="00935F7C"/>
    <w:rsid w:val="00935F83"/>
    <w:rsid w:val="00935FA0"/>
    <w:rsid w:val="00935FB1"/>
    <w:rsid w:val="00935FC4"/>
    <w:rsid w:val="00936095"/>
    <w:rsid w:val="009360A1"/>
    <w:rsid w:val="009360CE"/>
    <w:rsid w:val="00936136"/>
    <w:rsid w:val="0093615C"/>
    <w:rsid w:val="00936193"/>
    <w:rsid w:val="009361A6"/>
    <w:rsid w:val="009361BD"/>
    <w:rsid w:val="009361EC"/>
    <w:rsid w:val="009361FB"/>
    <w:rsid w:val="009361FE"/>
    <w:rsid w:val="00936217"/>
    <w:rsid w:val="00936254"/>
    <w:rsid w:val="00936291"/>
    <w:rsid w:val="0093631C"/>
    <w:rsid w:val="00936361"/>
    <w:rsid w:val="00936389"/>
    <w:rsid w:val="009363AD"/>
    <w:rsid w:val="00936402"/>
    <w:rsid w:val="0093642A"/>
    <w:rsid w:val="0093643F"/>
    <w:rsid w:val="00936488"/>
    <w:rsid w:val="009364B5"/>
    <w:rsid w:val="009364D6"/>
    <w:rsid w:val="00936500"/>
    <w:rsid w:val="00936536"/>
    <w:rsid w:val="0093661E"/>
    <w:rsid w:val="00936665"/>
    <w:rsid w:val="00936669"/>
    <w:rsid w:val="009366EB"/>
    <w:rsid w:val="0093670A"/>
    <w:rsid w:val="00936717"/>
    <w:rsid w:val="00936730"/>
    <w:rsid w:val="0093674F"/>
    <w:rsid w:val="0093677C"/>
    <w:rsid w:val="009367C6"/>
    <w:rsid w:val="00936820"/>
    <w:rsid w:val="0093682A"/>
    <w:rsid w:val="00936846"/>
    <w:rsid w:val="0093686E"/>
    <w:rsid w:val="009368A2"/>
    <w:rsid w:val="00936903"/>
    <w:rsid w:val="0093695E"/>
    <w:rsid w:val="0093697C"/>
    <w:rsid w:val="009369CC"/>
    <w:rsid w:val="009369D5"/>
    <w:rsid w:val="009369EE"/>
    <w:rsid w:val="00936A4E"/>
    <w:rsid w:val="00936B5E"/>
    <w:rsid w:val="00936B8F"/>
    <w:rsid w:val="00936C44"/>
    <w:rsid w:val="00936C69"/>
    <w:rsid w:val="00936C83"/>
    <w:rsid w:val="00936CBD"/>
    <w:rsid w:val="00936CDA"/>
    <w:rsid w:val="00936CE3"/>
    <w:rsid w:val="00936CE4"/>
    <w:rsid w:val="00936D18"/>
    <w:rsid w:val="00936D3F"/>
    <w:rsid w:val="00936D68"/>
    <w:rsid w:val="00936D88"/>
    <w:rsid w:val="00936D8D"/>
    <w:rsid w:val="00936D9E"/>
    <w:rsid w:val="00936DD8"/>
    <w:rsid w:val="00936DF6"/>
    <w:rsid w:val="00936E4A"/>
    <w:rsid w:val="00936E57"/>
    <w:rsid w:val="00936E5B"/>
    <w:rsid w:val="00936E63"/>
    <w:rsid w:val="00936E69"/>
    <w:rsid w:val="00936E72"/>
    <w:rsid w:val="00936EC5"/>
    <w:rsid w:val="00936ED0"/>
    <w:rsid w:val="00936EE2"/>
    <w:rsid w:val="00936FB5"/>
    <w:rsid w:val="00936FE3"/>
    <w:rsid w:val="0093702F"/>
    <w:rsid w:val="00937051"/>
    <w:rsid w:val="00937052"/>
    <w:rsid w:val="00937063"/>
    <w:rsid w:val="0093709F"/>
    <w:rsid w:val="009370BC"/>
    <w:rsid w:val="009370D5"/>
    <w:rsid w:val="0093711A"/>
    <w:rsid w:val="00937156"/>
    <w:rsid w:val="00937160"/>
    <w:rsid w:val="00937180"/>
    <w:rsid w:val="0093719A"/>
    <w:rsid w:val="009371B3"/>
    <w:rsid w:val="009371B4"/>
    <w:rsid w:val="009371E0"/>
    <w:rsid w:val="009372DC"/>
    <w:rsid w:val="009372E2"/>
    <w:rsid w:val="009373BA"/>
    <w:rsid w:val="009373D8"/>
    <w:rsid w:val="009373E1"/>
    <w:rsid w:val="00937423"/>
    <w:rsid w:val="00937455"/>
    <w:rsid w:val="00937477"/>
    <w:rsid w:val="009374AD"/>
    <w:rsid w:val="0093750F"/>
    <w:rsid w:val="0093754C"/>
    <w:rsid w:val="00937567"/>
    <w:rsid w:val="0093756F"/>
    <w:rsid w:val="00937576"/>
    <w:rsid w:val="009375D5"/>
    <w:rsid w:val="0093763D"/>
    <w:rsid w:val="00937657"/>
    <w:rsid w:val="009376BB"/>
    <w:rsid w:val="009376CE"/>
    <w:rsid w:val="00937769"/>
    <w:rsid w:val="00937791"/>
    <w:rsid w:val="009377CE"/>
    <w:rsid w:val="009377D8"/>
    <w:rsid w:val="009377D9"/>
    <w:rsid w:val="009377DC"/>
    <w:rsid w:val="00937804"/>
    <w:rsid w:val="0093780C"/>
    <w:rsid w:val="0093783F"/>
    <w:rsid w:val="0093784C"/>
    <w:rsid w:val="00937868"/>
    <w:rsid w:val="009378AB"/>
    <w:rsid w:val="009378B7"/>
    <w:rsid w:val="009378E7"/>
    <w:rsid w:val="009378F4"/>
    <w:rsid w:val="0093791F"/>
    <w:rsid w:val="009379EB"/>
    <w:rsid w:val="00937A2E"/>
    <w:rsid w:val="00937A34"/>
    <w:rsid w:val="00937A4A"/>
    <w:rsid w:val="00937A56"/>
    <w:rsid w:val="00937AED"/>
    <w:rsid w:val="00937B64"/>
    <w:rsid w:val="00937B87"/>
    <w:rsid w:val="00937BA3"/>
    <w:rsid w:val="00937BCC"/>
    <w:rsid w:val="00937C0D"/>
    <w:rsid w:val="00937C30"/>
    <w:rsid w:val="00937C35"/>
    <w:rsid w:val="00937C3E"/>
    <w:rsid w:val="00937C41"/>
    <w:rsid w:val="00937CB2"/>
    <w:rsid w:val="00937CCF"/>
    <w:rsid w:val="00937CE6"/>
    <w:rsid w:val="00937CEB"/>
    <w:rsid w:val="00937D54"/>
    <w:rsid w:val="00937DB7"/>
    <w:rsid w:val="00937E7B"/>
    <w:rsid w:val="00937ED5"/>
    <w:rsid w:val="00937F03"/>
    <w:rsid w:val="00937F87"/>
    <w:rsid w:val="00937FA5"/>
    <w:rsid w:val="00937FB4"/>
    <w:rsid w:val="00937FC5"/>
    <w:rsid w:val="00940008"/>
    <w:rsid w:val="0094005C"/>
    <w:rsid w:val="00940083"/>
    <w:rsid w:val="00940095"/>
    <w:rsid w:val="009400AA"/>
    <w:rsid w:val="009400BA"/>
    <w:rsid w:val="009400BC"/>
    <w:rsid w:val="00940122"/>
    <w:rsid w:val="00940125"/>
    <w:rsid w:val="0094013D"/>
    <w:rsid w:val="00940182"/>
    <w:rsid w:val="0094018D"/>
    <w:rsid w:val="009401BC"/>
    <w:rsid w:val="0094023E"/>
    <w:rsid w:val="009402B0"/>
    <w:rsid w:val="009402DA"/>
    <w:rsid w:val="0094030A"/>
    <w:rsid w:val="0094032D"/>
    <w:rsid w:val="009403CD"/>
    <w:rsid w:val="00940445"/>
    <w:rsid w:val="0094048D"/>
    <w:rsid w:val="009404BD"/>
    <w:rsid w:val="00940509"/>
    <w:rsid w:val="0094056D"/>
    <w:rsid w:val="00940577"/>
    <w:rsid w:val="009405D2"/>
    <w:rsid w:val="0094063C"/>
    <w:rsid w:val="00940669"/>
    <w:rsid w:val="0094066B"/>
    <w:rsid w:val="0094068D"/>
    <w:rsid w:val="009406C6"/>
    <w:rsid w:val="009406E5"/>
    <w:rsid w:val="00940765"/>
    <w:rsid w:val="009407C1"/>
    <w:rsid w:val="009407FE"/>
    <w:rsid w:val="00940818"/>
    <w:rsid w:val="00940825"/>
    <w:rsid w:val="0094087C"/>
    <w:rsid w:val="009408DD"/>
    <w:rsid w:val="009408E1"/>
    <w:rsid w:val="00940914"/>
    <w:rsid w:val="0094095A"/>
    <w:rsid w:val="0094099C"/>
    <w:rsid w:val="009409A4"/>
    <w:rsid w:val="009409A7"/>
    <w:rsid w:val="009409AE"/>
    <w:rsid w:val="009409BE"/>
    <w:rsid w:val="009409D9"/>
    <w:rsid w:val="00940A00"/>
    <w:rsid w:val="00940A21"/>
    <w:rsid w:val="00940A59"/>
    <w:rsid w:val="00940A84"/>
    <w:rsid w:val="00940A90"/>
    <w:rsid w:val="00940A96"/>
    <w:rsid w:val="00940AF2"/>
    <w:rsid w:val="00940B4F"/>
    <w:rsid w:val="00940BF0"/>
    <w:rsid w:val="00940BF5"/>
    <w:rsid w:val="00940BF8"/>
    <w:rsid w:val="00940C34"/>
    <w:rsid w:val="00940C41"/>
    <w:rsid w:val="00940CA0"/>
    <w:rsid w:val="00940CA2"/>
    <w:rsid w:val="00940CBB"/>
    <w:rsid w:val="00940CC0"/>
    <w:rsid w:val="00940CEA"/>
    <w:rsid w:val="00940D1D"/>
    <w:rsid w:val="00940D32"/>
    <w:rsid w:val="00940D52"/>
    <w:rsid w:val="00940DC6"/>
    <w:rsid w:val="00940DC9"/>
    <w:rsid w:val="00940DD6"/>
    <w:rsid w:val="00940DD9"/>
    <w:rsid w:val="00940E07"/>
    <w:rsid w:val="00940E1C"/>
    <w:rsid w:val="00940E2F"/>
    <w:rsid w:val="00940E46"/>
    <w:rsid w:val="00940E47"/>
    <w:rsid w:val="00940E81"/>
    <w:rsid w:val="00940E8E"/>
    <w:rsid w:val="00940E96"/>
    <w:rsid w:val="00940EB0"/>
    <w:rsid w:val="00940F11"/>
    <w:rsid w:val="00940F47"/>
    <w:rsid w:val="00940F7F"/>
    <w:rsid w:val="00940F8D"/>
    <w:rsid w:val="00940FC2"/>
    <w:rsid w:val="0094108E"/>
    <w:rsid w:val="0094114A"/>
    <w:rsid w:val="00941160"/>
    <w:rsid w:val="0094116F"/>
    <w:rsid w:val="009411A7"/>
    <w:rsid w:val="009411A9"/>
    <w:rsid w:val="0094128D"/>
    <w:rsid w:val="009412C3"/>
    <w:rsid w:val="009412C6"/>
    <w:rsid w:val="0094139A"/>
    <w:rsid w:val="0094139B"/>
    <w:rsid w:val="009413EE"/>
    <w:rsid w:val="009413F1"/>
    <w:rsid w:val="0094141D"/>
    <w:rsid w:val="0094142C"/>
    <w:rsid w:val="00941438"/>
    <w:rsid w:val="0094144F"/>
    <w:rsid w:val="00941450"/>
    <w:rsid w:val="0094148E"/>
    <w:rsid w:val="009414F4"/>
    <w:rsid w:val="009414F9"/>
    <w:rsid w:val="00941502"/>
    <w:rsid w:val="0094152F"/>
    <w:rsid w:val="0094154D"/>
    <w:rsid w:val="00941564"/>
    <w:rsid w:val="0094156F"/>
    <w:rsid w:val="009415B8"/>
    <w:rsid w:val="009415C7"/>
    <w:rsid w:val="009415E1"/>
    <w:rsid w:val="00941613"/>
    <w:rsid w:val="00941633"/>
    <w:rsid w:val="00941656"/>
    <w:rsid w:val="00941673"/>
    <w:rsid w:val="009416DB"/>
    <w:rsid w:val="00941779"/>
    <w:rsid w:val="00941839"/>
    <w:rsid w:val="0094189C"/>
    <w:rsid w:val="009418FB"/>
    <w:rsid w:val="00941935"/>
    <w:rsid w:val="0094199D"/>
    <w:rsid w:val="009419B1"/>
    <w:rsid w:val="009419B9"/>
    <w:rsid w:val="009419E3"/>
    <w:rsid w:val="00941A0A"/>
    <w:rsid w:val="00941A16"/>
    <w:rsid w:val="00941ABB"/>
    <w:rsid w:val="00941B10"/>
    <w:rsid w:val="00941B5A"/>
    <w:rsid w:val="00941B73"/>
    <w:rsid w:val="00941B87"/>
    <w:rsid w:val="00941B92"/>
    <w:rsid w:val="00941BA7"/>
    <w:rsid w:val="00941BCA"/>
    <w:rsid w:val="00941C16"/>
    <w:rsid w:val="00941C1C"/>
    <w:rsid w:val="00941C40"/>
    <w:rsid w:val="00941CC4"/>
    <w:rsid w:val="00941DB8"/>
    <w:rsid w:val="00941E09"/>
    <w:rsid w:val="00941E3A"/>
    <w:rsid w:val="00941E82"/>
    <w:rsid w:val="00941E87"/>
    <w:rsid w:val="00941E9F"/>
    <w:rsid w:val="00941EB1"/>
    <w:rsid w:val="00941EEF"/>
    <w:rsid w:val="00941EFC"/>
    <w:rsid w:val="00941F64"/>
    <w:rsid w:val="00941F6A"/>
    <w:rsid w:val="00941F7B"/>
    <w:rsid w:val="0094202A"/>
    <w:rsid w:val="0094205A"/>
    <w:rsid w:val="00942065"/>
    <w:rsid w:val="009420E8"/>
    <w:rsid w:val="0094212B"/>
    <w:rsid w:val="00942133"/>
    <w:rsid w:val="009421B9"/>
    <w:rsid w:val="00942256"/>
    <w:rsid w:val="00942392"/>
    <w:rsid w:val="009423A0"/>
    <w:rsid w:val="009423E1"/>
    <w:rsid w:val="0094241F"/>
    <w:rsid w:val="00942424"/>
    <w:rsid w:val="0094246E"/>
    <w:rsid w:val="009424A9"/>
    <w:rsid w:val="009424D1"/>
    <w:rsid w:val="009424F9"/>
    <w:rsid w:val="00942531"/>
    <w:rsid w:val="00942562"/>
    <w:rsid w:val="009425DA"/>
    <w:rsid w:val="0094266F"/>
    <w:rsid w:val="00942674"/>
    <w:rsid w:val="00942719"/>
    <w:rsid w:val="00942757"/>
    <w:rsid w:val="009427DD"/>
    <w:rsid w:val="0094286D"/>
    <w:rsid w:val="009428B5"/>
    <w:rsid w:val="009428D6"/>
    <w:rsid w:val="009428E8"/>
    <w:rsid w:val="00942907"/>
    <w:rsid w:val="00942959"/>
    <w:rsid w:val="00942994"/>
    <w:rsid w:val="009429A4"/>
    <w:rsid w:val="009429C5"/>
    <w:rsid w:val="00942A51"/>
    <w:rsid w:val="00942A6C"/>
    <w:rsid w:val="00942AAA"/>
    <w:rsid w:val="00942B51"/>
    <w:rsid w:val="00942B8D"/>
    <w:rsid w:val="00942BC2"/>
    <w:rsid w:val="00942BF0"/>
    <w:rsid w:val="00942BF5"/>
    <w:rsid w:val="00942C1B"/>
    <w:rsid w:val="00942C48"/>
    <w:rsid w:val="00942C5C"/>
    <w:rsid w:val="00942C82"/>
    <w:rsid w:val="00942C92"/>
    <w:rsid w:val="00942CB6"/>
    <w:rsid w:val="00942D29"/>
    <w:rsid w:val="00942D6D"/>
    <w:rsid w:val="00942DC5"/>
    <w:rsid w:val="00942DF6"/>
    <w:rsid w:val="00942E03"/>
    <w:rsid w:val="00942E09"/>
    <w:rsid w:val="00942E83"/>
    <w:rsid w:val="00942E96"/>
    <w:rsid w:val="00942FB7"/>
    <w:rsid w:val="0094307B"/>
    <w:rsid w:val="0094309B"/>
    <w:rsid w:val="009430D3"/>
    <w:rsid w:val="0094313D"/>
    <w:rsid w:val="0094316F"/>
    <w:rsid w:val="009431B9"/>
    <w:rsid w:val="00943200"/>
    <w:rsid w:val="00943230"/>
    <w:rsid w:val="0094325F"/>
    <w:rsid w:val="009432B1"/>
    <w:rsid w:val="009432FF"/>
    <w:rsid w:val="00943347"/>
    <w:rsid w:val="0094336A"/>
    <w:rsid w:val="00943371"/>
    <w:rsid w:val="00943393"/>
    <w:rsid w:val="0094345A"/>
    <w:rsid w:val="00943494"/>
    <w:rsid w:val="009434B1"/>
    <w:rsid w:val="009434E2"/>
    <w:rsid w:val="00943502"/>
    <w:rsid w:val="00943516"/>
    <w:rsid w:val="00943526"/>
    <w:rsid w:val="00943560"/>
    <w:rsid w:val="00943567"/>
    <w:rsid w:val="0094357B"/>
    <w:rsid w:val="00943594"/>
    <w:rsid w:val="0094359F"/>
    <w:rsid w:val="009435C5"/>
    <w:rsid w:val="0094364B"/>
    <w:rsid w:val="00943667"/>
    <w:rsid w:val="009436E0"/>
    <w:rsid w:val="0094372B"/>
    <w:rsid w:val="0094373C"/>
    <w:rsid w:val="00943748"/>
    <w:rsid w:val="00943774"/>
    <w:rsid w:val="009437B2"/>
    <w:rsid w:val="009437C3"/>
    <w:rsid w:val="009437D6"/>
    <w:rsid w:val="009437D9"/>
    <w:rsid w:val="009437E3"/>
    <w:rsid w:val="00943815"/>
    <w:rsid w:val="00943834"/>
    <w:rsid w:val="0094391E"/>
    <w:rsid w:val="00943A49"/>
    <w:rsid w:val="00943A50"/>
    <w:rsid w:val="00943A65"/>
    <w:rsid w:val="00943AA5"/>
    <w:rsid w:val="00943ABB"/>
    <w:rsid w:val="00943B21"/>
    <w:rsid w:val="00943B53"/>
    <w:rsid w:val="00943BF4"/>
    <w:rsid w:val="00943C0F"/>
    <w:rsid w:val="00943C15"/>
    <w:rsid w:val="00943C24"/>
    <w:rsid w:val="00943C36"/>
    <w:rsid w:val="00943C40"/>
    <w:rsid w:val="00943C4A"/>
    <w:rsid w:val="00943C98"/>
    <w:rsid w:val="00943CA2"/>
    <w:rsid w:val="00943D06"/>
    <w:rsid w:val="00943D7D"/>
    <w:rsid w:val="00943D98"/>
    <w:rsid w:val="00943D9F"/>
    <w:rsid w:val="00943DC1"/>
    <w:rsid w:val="00943DD2"/>
    <w:rsid w:val="00943DE7"/>
    <w:rsid w:val="00943E1B"/>
    <w:rsid w:val="00943E97"/>
    <w:rsid w:val="00943EF5"/>
    <w:rsid w:val="00943F1B"/>
    <w:rsid w:val="00943F21"/>
    <w:rsid w:val="00943F67"/>
    <w:rsid w:val="00943F7D"/>
    <w:rsid w:val="00943F97"/>
    <w:rsid w:val="00943FBE"/>
    <w:rsid w:val="00943FE8"/>
    <w:rsid w:val="00944007"/>
    <w:rsid w:val="0094400A"/>
    <w:rsid w:val="00944053"/>
    <w:rsid w:val="00944064"/>
    <w:rsid w:val="0094407F"/>
    <w:rsid w:val="0094411A"/>
    <w:rsid w:val="00944139"/>
    <w:rsid w:val="00944144"/>
    <w:rsid w:val="00944173"/>
    <w:rsid w:val="00944174"/>
    <w:rsid w:val="009441D0"/>
    <w:rsid w:val="00944202"/>
    <w:rsid w:val="00944203"/>
    <w:rsid w:val="00944219"/>
    <w:rsid w:val="0094421B"/>
    <w:rsid w:val="0094425C"/>
    <w:rsid w:val="009442D0"/>
    <w:rsid w:val="009442E3"/>
    <w:rsid w:val="009442F9"/>
    <w:rsid w:val="00944300"/>
    <w:rsid w:val="00944344"/>
    <w:rsid w:val="00944345"/>
    <w:rsid w:val="00944377"/>
    <w:rsid w:val="00944425"/>
    <w:rsid w:val="00944450"/>
    <w:rsid w:val="00944453"/>
    <w:rsid w:val="0094445A"/>
    <w:rsid w:val="00944482"/>
    <w:rsid w:val="009444BC"/>
    <w:rsid w:val="009444C1"/>
    <w:rsid w:val="00944572"/>
    <w:rsid w:val="0094458E"/>
    <w:rsid w:val="009445E9"/>
    <w:rsid w:val="009445F0"/>
    <w:rsid w:val="009445FF"/>
    <w:rsid w:val="00944672"/>
    <w:rsid w:val="009446E9"/>
    <w:rsid w:val="0094476B"/>
    <w:rsid w:val="009447FB"/>
    <w:rsid w:val="0094480D"/>
    <w:rsid w:val="00944838"/>
    <w:rsid w:val="0094487A"/>
    <w:rsid w:val="009448D9"/>
    <w:rsid w:val="009448FE"/>
    <w:rsid w:val="00944910"/>
    <w:rsid w:val="00944932"/>
    <w:rsid w:val="00944968"/>
    <w:rsid w:val="009449B9"/>
    <w:rsid w:val="00944A11"/>
    <w:rsid w:val="00944A29"/>
    <w:rsid w:val="00944AA3"/>
    <w:rsid w:val="00944AB7"/>
    <w:rsid w:val="00944AE0"/>
    <w:rsid w:val="00944B08"/>
    <w:rsid w:val="00944B12"/>
    <w:rsid w:val="00944B51"/>
    <w:rsid w:val="00944C07"/>
    <w:rsid w:val="00944C10"/>
    <w:rsid w:val="00944C6F"/>
    <w:rsid w:val="00944CDF"/>
    <w:rsid w:val="00944D1B"/>
    <w:rsid w:val="00944D6C"/>
    <w:rsid w:val="00944E14"/>
    <w:rsid w:val="00944E23"/>
    <w:rsid w:val="00944E59"/>
    <w:rsid w:val="00944EA7"/>
    <w:rsid w:val="00944EDF"/>
    <w:rsid w:val="00944EED"/>
    <w:rsid w:val="00944F7A"/>
    <w:rsid w:val="00944FB1"/>
    <w:rsid w:val="00944FD5"/>
    <w:rsid w:val="009450C6"/>
    <w:rsid w:val="00945136"/>
    <w:rsid w:val="00945164"/>
    <w:rsid w:val="00945174"/>
    <w:rsid w:val="00945185"/>
    <w:rsid w:val="009451F0"/>
    <w:rsid w:val="0094528E"/>
    <w:rsid w:val="009452CB"/>
    <w:rsid w:val="009452E3"/>
    <w:rsid w:val="009452EE"/>
    <w:rsid w:val="00945301"/>
    <w:rsid w:val="0094533D"/>
    <w:rsid w:val="0094534C"/>
    <w:rsid w:val="00945360"/>
    <w:rsid w:val="00945383"/>
    <w:rsid w:val="009453BF"/>
    <w:rsid w:val="009453C4"/>
    <w:rsid w:val="009453D5"/>
    <w:rsid w:val="009453E0"/>
    <w:rsid w:val="009453E5"/>
    <w:rsid w:val="0094546B"/>
    <w:rsid w:val="00945477"/>
    <w:rsid w:val="0094548F"/>
    <w:rsid w:val="00945494"/>
    <w:rsid w:val="009454BF"/>
    <w:rsid w:val="009454CC"/>
    <w:rsid w:val="009454CD"/>
    <w:rsid w:val="009454DA"/>
    <w:rsid w:val="00945550"/>
    <w:rsid w:val="009455ED"/>
    <w:rsid w:val="00945638"/>
    <w:rsid w:val="00945641"/>
    <w:rsid w:val="0094567C"/>
    <w:rsid w:val="0094569D"/>
    <w:rsid w:val="009456B6"/>
    <w:rsid w:val="0094572B"/>
    <w:rsid w:val="00945755"/>
    <w:rsid w:val="00945773"/>
    <w:rsid w:val="00945780"/>
    <w:rsid w:val="009457B5"/>
    <w:rsid w:val="009457D4"/>
    <w:rsid w:val="009457F8"/>
    <w:rsid w:val="0094580D"/>
    <w:rsid w:val="00945810"/>
    <w:rsid w:val="00945872"/>
    <w:rsid w:val="0094588F"/>
    <w:rsid w:val="009458B6"/>
    <w:rsid w:val="009458DD"/>
    <w:rsid w:val="00945924"/>
    <w:rsid w:val="00945973"/>
    <w:rsid w:val="009459B8"/>
    <w:rsid w:val="009459C1"/>
    <w:rsid w:val="009459D5"/>
    <w:rsid w:val="00945A17"/>
    <w:rsid w:val="00945A8B"/>
    <w:rsid w:val="00945B18"/>
    <w:rsid w:val="00945B1B"/>
    <w:rsid w:val="00945B69"/>
    <w:rsid w:val="00945BA9"/>
    <w:rsid w:val="00945BF6"/>
    <w:rsid w:val="00945C8F"/>
    <w:rsid w:val="00945CB9"/>
    <w:rsid w:val="00945CC6"/>
    <w:rsid w:val="00945CDF"/>
    <w:rsid w:val="00945D01"/>
    <w:rsid w:val="00945D02"/>
    <w:rsid w:val="00945D7E"/>
    <w:rsid w:val="00945DE8"/>
    <w:rsid w:val="00945DEA"/>
    <w:rsid w:val="00945DEE"/>
    <w:rsid w:val="00945E10"/>
    <w:rsid w:val="00945E33"/>
    <w:rsid w:val="00945E42"/>
    <w:rsid w:val="00945E4F"/>
    <w:rsid w:val="00945E66"/>
    <w:rsid w:val="00945E90"/>
    <w:rsid w:val="00945EA9"/>
    <w:rsid w:val="00945ED7"/>
    <w:rsid w:val="00945F2E"/>
    <w:rsid w:val="00945F52"/>
    <w:rsid w:val="00945FD2"/>
    <w:rsid w:val="00946001"/>
    <w:rsid w:val="0094600C"/>
    <w:rsid w:val="00946037"/>
    <w:rsid w:val="0094609B"/>
    <w:rsid w:val="0094610D"/>
    <w:rsid w:val="00946140"/>
    <w:rsid w:val="0094614A"/>
    <w:rsid w:val="00946154"/>
    <w:rsid w:val="00946199"/>
    <w:rsid w:val="009461AA"/>
    <w:rsid w:val="009461D8"/>
    <w:rsid w:val="009461F4"/>
    <w:rsid w:val="009461FA"/>
    <w:rsid w:val="00946203"/>
    <w:rsid w:val="0094621D"/>
    <w:rsid w:val="00946257"/>
    <w:rsid w:val="009462A4"/>
    <w:rsid w:val="009462C5"/>
    <w:rsid w:val="00946356"/>
    <w:rsid w:val="00946371"/>
    <w:rsid w:val="00946396"/>
    <w:rsid w:val="00946411"/>
    <w:rsid w:val="0094641D"/>
    <w:rsid w:val="0094645A"/>
    <w:rsid w:val="00946477"/>
    <w:rsid w:val="0094651A"/>
    <w:rsid w:val="00946553"/>
    <w:rsid w:val="0094658A"/>
    <w:rsid w:val="00946646"/>
    <w:rsid w:val="009466D1"/>
    <w:rsid w:val="009466FA"/>
    <w:rsid w:val="00946723"/>
    <w:rsid w:val="0094672D"/>
    <w:rsid w:val="0094673B"/>
    <w:rsid w:val="0094676F"/>
    <w:rsid w:val="00946799"/>
    <w:rsid w:val="0094679E"/>
    <w:rsid w:val="009467B1"/>
    <w:rsid w:val="00946816"/>
    <w:rsid w:val="00946825"/>
    <w:rsid w:val="00946829"/>
    <w:rsid w:val="00946831"/>
    <w:rsid w:val="00946833"/>
    <w:rsid w:val="00946835"/>
    <w:rsid w:val="00946838"/>
    <w:rsid w:val="00946864"/>
    <w:rsid w:val="00946873"/>
    <w:rsid w:val="00946911"/>
    <w:rsid w:val="009469DE"/>
    <w:rsid w:val="009469F9"/>
    <w:rsid w:val="00946A16"/>
    <w:rsid w:val="00946A1C"/>
    <w:rsid w:val="00946A23"/>
    <w:rsid w:val="00946A5B"/>
    <w:rsid w:val="00946A7D"/>
    <w:rsid w:val="00946A86"/>
    <w:rsid w:val="00946A9C"/>
    <w:rsid w:val="00946AA6"/>
    <w:rsid w:val="00946ACF"/>
    <w:rsid w:val="00946AD9"/>
    <w:rsid w:val="00946ADA"/>
    <w:rsid w:val="00946B1E"/>
    <w:rsid w:val="00946B30"/>
    <w:rsid w:val="00946B70"/>
    <w:rsid w:val="00946B83"/>
    <w:rsid w:val="00946BC7"/>
    <w:rsid w:val="00946BEE"/>
    <w:rsid w:val="00946BEF"/>
    <w:rsid w:val="00946C39"/>
    <w:rsid w:val="00946C90"/>
    <w:rsid w:val="00946CF2"/>
    <w:rsid w:val="00946D33"/>
    <w:rsid w:val="00946DBE"/>
    <w:rsid w:val="00946DCD"/>
    <w:rsid w:val="00946DE1"/>
    <w:rsid w:val="00946DE9"/>
    <w:rsid w:val="00946DF9"/>
    <w:rsid w:val="00946E33"/>
    <w:rsid w:val="00946E87"/>
    <w:rsid w:val="00946EB7"/>
    <w:rsid w:val="00946F34"/>
    <w:rsid w:val="00946FBA"/>
    <w:rsid w:val="00947023"/>
    <w:rsid w:val="0094703F"/>
    <w:rsid w:val="009470AF"/>
    <w:rsid w:val="009470BA"/>
    <w:rsid w:val="009470FC"/>
    <w:rsid w:val="00947127"/>
    <w:rsid w:val="0094714D"/>
    <w:rsid w:val="009471C2"/>
    <w:rsid w:val="0094720B"/>
    <w:rsid w:val="00947219"/>
    <w:rsid w:val="00947276"/>
    <w:rsid w:val="009472A8"/>
    <w:rsid w:val="009472BD"/>
    <w:rsid w:val="0094734A"/>
    <w:rsid w:val="009473C4"/>
    <w:rsid w:val="009473E9"/>
    <w:rsid w:val="0094740E"/>
    <w:rsid w:val="00947452"/>
    <w:rsid w:val="009474FF"/>
    <w:rsid w:val="0094751F"/>
    <w:rsid w:val="0094752E"/>
    <w:rsid w:val="00947531"/>
    <w:rsid w:val="0094753A"/>
    <w:rsid w:val="00947541"/>
    <w:rsid w:val="0094755E"/>
    <w:rsid w:val="00947563"/>
    <w:rsid w:val="009475E7"/>
    <w:rsid w:val="00947676"/>
    <w:rsid w:val="009476B1"/>
    <w:rsid w:val="0094772C"/>
    <w:rsid w:val="0094772F"/>
    <w:rsid w:val="0094774D"/>
    <w:rsid w:val="009477D6"/>
    <w:rsid w:val="009477E2"/>
    <w:rsid w:val="00947825"/>
    <w:rsid w:val="00947880"/>
    <w:rsid w:val="00947894"/>
    <w:rsid w:val="009478AF"/>
    <w:rsid w:val="009478F7"/>
    <w:rsid w:val="009478FD"/>
    <w:rsid w:val="0094794C"/>
    <w:rsid w:val="00947970"/>
    <w:rsid w:val="0094798D"/>
    <w:rsid w:val="0094799F"/>
    <w:rsid w:val="009479C0"/>
    <w:rsid w:val="00947A78"/>
    <w:rsid w:val="00947A83"/>
    <w:rsid w:val="00947A89"/>
    <w:rsid w:val="00947ACE"/>
    <w:rsid w:val="00947AD4"/>
    <w:rsid w:val="00947B0F"/>
    <w:rsid w:val="00947B16"/>
    <w:rsid w:val="00947B1F"/>
    <w:rsid w:val="00947B35"/>
    <w:rsid w:val="00947B48"/>
    <w:rsid w:val="00947BBC"/>
    <w:rsid w:val="00947BE2"/>
    <w:rsid w:val="00947BFF"/>
    <w:rsid w:val="00947C13"/>
    <w:rsid w:val="00947D05"/>
    <w:rsid w:val="00947D17"/>
    <w:rsid w:val="00947D2A"/>
    <w:rsid w:val="00947D35"/>
    <w:rsid w:val="00947DF9"/>
    <w:rsid w:val="00947E66"/>
    <w:rsid w:val="00947E7F"/>
    <w:rsid w:val="00947E9A"/>
    <w:rsid w:val="00947F18"/>
    <w:rsid w:val="00947F41"/>
    <w:rsid w:val="00947F8B"/>
    <w:rsid w:val="00947FD0"/>
    <w:rsid w:val="00950014"/>
    <w:rsid w:val="009500CD"/>
    <w:rsid w:val="00950112"/>
    <w:rsid w:val="00950141"/>
    <w:rsid w:val="00950177"/>
    <w:rsid w:val="0095019D"/>
    <w:rsid w:val="009501B1"/>
    <w:rsid w:val="009501B2"/>
    <w:rsid w:val="00950211"/>
    <w:rsid w:val="0095022A"/>
    <w:rsid w:val="0095022B"/>
    <w:rsid w:val="00950238"/>
    <w:rsid w:val="009502B8"/>
    <w:rsid w:val="009502E3"/>
    <w:rsid w:val="009502F5"/>
    <w:rsid w:val="00950300"/>
    <w:rsid w:val="00950305"/>
    <w:rsid w:val="009503D3"/>
    <w:rsid w:val="00950412"/>
    <w:rsid w:val="00950413"/>
    <w:rsid w:val="0095043A"/>
    <w:rsid w:val="00950448"/>
    <w:rsid w:val="009504FF"/>
    <w:rsid w:val="00950538"/>
    <w:rsid w:val="0095055F"/>
    <w:rsid w:val="0095057D"/>
    <w:rsid w:val="00950584"/>
    <w:rsid w:val="0095061A"/>
    <w:rsid w:val="0095062A"/>
    <w:rsid w:val="0095062B"/>
    <w:rsid w:val="00950642"/>
    <w:rsid w:val="00950671"/>
    <w:rsid w:val="00950685"/>
    <w:rsid w:val="00950688"/>
    <w:rsid w:val="009506C6"/>
    <w:rsid w:val="00950763"/>
    <w:rsid w:val="009507B1"/>
    <w:rsid w:val="00950810"/>
    <w:rsid w:val="0095087E"/>
    <w:rsid w:val="009508BD"/>
    <w:rsid w:val="009508C4"/>
    <w:rsid w:val="0095092D"/>
    <w:rsid w:val="00950957"/>
    <w:rsid w:val="009509B4"/>
    <w:rsid w:val="009509F5"/>
    <w:rsid w:val="00950A33"/>
    <w:rsid w:val="00950A5D"/>
    <w:rsid w:val="00950AB2"/>
    <w:rsid w:val="00950AB7"/>
    <w:rsid w:val="00950AD4"/>
    <w:rsid w:val="00950AEB"/>
    <w:rsid w:val="00950AFA"/>
    <w:rsid w:val="00950B25"/>
    <w:rsid w:val="00950C94"/>
    <w:rsid w:val="00950C95"/>
    <w:rsid w:val="00950C98"/>
    <w:rsid w:val="00950D84"/>
    <w:rsid w:val="00950D92"/>
    <w:rsid w:val="00950DB9"/>
    <w:rsid w:val="00950DED"/>
    <w:rsid w:val="00950E80"/>
    <w:rsid w:val="00950E93"/>
    <w:rsid w:val="00950ED0"/>
    <w:rsid w:val="00950F02"/>
    <w:rsid w:val="00950F35"/>
    <w:rsid w:val="00950F37"/>
    <w:rsid w:val="00950F71"/>
    <w:rsid w:val="00950FB7"/>
    <w:rsid w:val="00950FE8"/>
    <w:rsid w:val="00950FFF"/>
    <w:rsid w:val="0095106A"/>
    <w:rsid w:val="00951095"/>
    <w:rsid w:val="009510D5"/>
    <w:rsid w:val="009510E9"/>
    <w:rsid w:val="0095110D"/>
    <w:rsid w:val="00951128"/>
    <w:rsid w:val="00951136"/>
    <w:rsid w:val="009511D4"/>
    <w:rsid w:val="0095124B"/>
    <w:rsid w:val="009512D7"/>
    <w:rsid w:val="009512DB"/>
    <w:rsid w:val="00951347"/>
    <w:rsid w:val="00951349"/>
    <w:rsid w:val="009513D9"/>
    <w:rsid w:val="00951426"/>
    <w:rsid w:val="0095143C"/>
    <w:rsid w:val="009514AE"/>
    <w:rsid w:val="009514E8"/>
    <w:rsid w:val="009514F5"/>
    <w:rsid w:val="00951501"/>
    <w:rsid w:val="00951541"/>
    <w:rsid w:val="009515A1"/>
    <w:rsid w:val="009515B8"/>
    <w:rsid w:val="009515CC"/>
    <w:rsid w:val="009515D4"/>
    <w:rsid w:val="00951600"/>
    <w:rsid w:val="00951633"/>
    <w:rsid w:val="00951650"/>
    <w:rsid w:val="0095169D"/>
    <w:rsid w:val="009516C4"/>
    <w:rsid w:val="009516DE"/>
    <w:rsid w:val="009516EA"/>
    <w:rsid w:val="0095171A"/>
    <w:rsid w:val="00951748"/>
    <w:rsid w:val="00951754"/>
    <w:rsid w:val="009517B7"/>
    <w:rsid w:val="009517C6"/>
    <w:rsid w:val="009517E3"/>
    <w:rsid w:val="00951844"/>
    <w:rsid w:val="0095186A"/>
    <w:rsid w:val="0095189B"/>
    <w:rsid w:val="009518BA"/>
    <w:rsid w:val="00951961"/>
    <w:rsid w:val="00951986"/>
    <w:rsid w:val="0095198A"/>
    <w:rsid w:val="009519FC"/>
    <w:rsid w:val="009519FD"/>
    <w:rsid w:val="00951A32"/>
    <w:rsid w:val="00951A5C"/>
    <w:rsid w:val="00951A69"/>
    <w:rsid w:val="00951A7D"/>
    <w:rsid w:val="00951AC6"/>
    <w:rsid w:val="00951B10"/>
    <w:rsid w:val="00951B57"/>
    <w:rsid w:val="00951B5C"/>
    <w:rsid w:val="00951B6B"/>
    <w:rsid w:val="00951B8C"/>
    <w:rsid w:val="00951BA9"/>
    <w:rsid w:val="00951BDC"/>
    <w:rsid w:val="00951BEA"/>
    <w:rsid w:val="00951C01"/>
    <w:rsid w:val="00951C04"/>
    <w:rsid w:val="00951C16"/>
    <w:rsid w:val="00951C5F"/>
    <w:rsid w:val="00951CC1"/>
    <w:rsid w:val="00951CC8"/>
    <w:rsid w:val="00951CDB"/>
    <w:rsid w:val="00951D0C"/>
    <w:rsid w:val="00951D18"/>
    <w:rsid w:val="00951D34"/>
    <w:rsid w:val="00951D35"/>
    <w:rsid w:val="00951D4B"/>
    <w:rsid w:val="00951DF4"/>
    <w:rsid w:val="00951E02"/>
    <w:rsid w:val="00951E2F"/>
    <w:rsid w:val="00951E48"/>
    <w:rsid w:val="00951E5C"/>
    <w:rsid w:val="00951EA8"/>
    <w:rsid w:val="00951EC4"/>
    <w:rsid w:val="00951ECE"/>
    <w:rsid w:val="00951ED0"/>
    <w:rsid w:val="00951ED4"/>
    <w:rsid w:val="00951FEE"/>
    <w:rsid w:val="00952089"/>
    <w:rsid w:val="009520B0"/>
    <w:rsid w:val="009520CB"/>
    <w:rsid w:val="00952128"/>
    <w:rsid w:val="00952169"/>
    <w:rsid w:val="009521A3"/>
    <w:rsid w:val="009521CA"/>
    <w:rsid w:val="009521DB"/>
    <w:rsid w:val="0095220C"/>
    <w:rsid w:val="00952220"/>
    <w:rsid w:val="00952226"/>
    <w:rsid w:val="00952248"/>
    <w:rsid w:val="0095224A"/>
    <w:rsid w:val="0095224F"/>
    <w:rsid w:val="0095228A"/>
    <w:rsid w:val="0095228B"/>
    <w:rsid w:val="00952296"/>
    <w:rsid w:val="00952304"/>
    <w:rsid w:val="009523DF"/>
    <w:rsid w:val="009524BB"/>
    <w:rsid w:val="009524D9"/>
    <w:rsid w:val="009524DD"/>
    <w:rsid w:val="009524E3"/>
    <w:rsid w:val="009524FF"/>
    <w:rsid w:val="00952507"/>
    <w:rsid w:val="0095250C"/>
    <w:rsid w:val="00952516"/>
    <w:rsid w:val="0095256A"/>
    <w:rsid w:val="009525AF"/>
    <w:rsid w:val="009525CF"/>
    <w:rsid w:val="009525F8"/>
    <w:rsid w:val="00952608"/>
    <w:rsid w:val="00952611"/>
    <w:rsid w:val="00952635"/>
    <w:rsid w:val="00952644"/>
    <w:rsid w:val="009526B0"/>
    <w:rsid w:val="009526D2"/>
    <w:rsid w:val="00952720"/>
    <w:rsid w:val="00952733"/>
    <w:rsid w:val="0095276D"/>
    <w:rsid w:val="00952774"/>
    <w:rsid w:val="009527B6"/>
    <w:rsid w:val="00952811"/>
    <w:rsid w:val="0095283D"/>
    <w:rsid w:val="0095284F"/>
    <w:rsid w:val="00952861"/>
    <w:rsid w:val="009528BD"/>
    <w:rsid w:val="009528CF"/>
    <w:rsid w:val="009528D2"/>
    <w:rsid w:val="009528F7"/>
    <w:rsid w:val="00952921"/>
    <w:rsid w:val="00952942"/>
    <w:rsid w:val="00952953"/>
    <w:rsid w:val="00952968"/>
    <w:rsid w:val="00952980"/>
    <w:rsid w:val="009529AF"/>
    <w:rsid w:val="009529E1"/>
    <w:rsid w:val="009529ED"/>
    <w:rsid w:val="009529FA"/>
    <w:rsid w:val="00952A12"/>
    <w:rsid w:val="00952A2F"/>
    <w:rsid w:val="00952A39"/>
    <w:rsid w:val="00952A3C"/>
    <w:rsid w:val="00952A9D"/>
    <w:rsid w:val="00952AB0"/>
    <w:rsid w:val="00952AEF"/>
    <w:rsid w:val="00952B25"/>
    <w:rsid w:val="00952B2C"/>
    <w:rsid w:val="00952B4B"/>
    <w:rsid w:val="00952BC0"/>
    <w:rsid w:val="00952BF9"/>
    <w:rsid w:val="00952C12"/>
    <w:rsid w:val="00952C16"/>
    <w:rsid w:val="00952C36"/>
    <w:rsid w:val="00952C8F"/>
    <w:rsid w:val="00952CC4"/>
    <w:rsid w:val="00952D01"/>
    <w:rsid w:val="00952D21"/>
    <w:rsid w:val="00952D90"/>
    <w:rsid w:val="00952DA7"/>
    <w:rsid w:val="00952DAC"/>
    <w:rsid w:val="00952DD8"/>
    <w:rsid w:val="00952DDD"/>
    <w:rsid w:val="00952DF7"/>
    <w:rsid w:val="00952EC4"/>
    <w:rsid w:val="00952EFE"/>
    <w:rsid w:val="00952F7A"/>
    <w:rsid w:val="00952F99"/>
    <w:rsid w:val="00952FAE"/>
    <w:rsid w:val="00952FCE"/>
    <w:rsid w:val="00952FFF"/>
    <w:rsid w:val="0095301D"/>
    <w:rsid w:val="00953049"/>
    <w:rsid w:val="00953075"/>
    <w:rsid w:val="009530CE"/>
    <w:rsid w:val="00953110"/>
    <w:rsid w:val="00953169"/>
    <w:rsid w:val="009531A5"/>
    <w:rsid w:val="00953208"/>
    <w:rsid w:val="00953218"/>
    <w:rsid w:val="00953259"/>
    <w:rsid w:val="009532A9"/>
    <w:rsid w:val="009532F2"/>
    <w:rsid w:val="00953353"/>
    <w:rsid w:val="0095337C"/>
    <w:rsid w:val="009533A2"/>
    <w:rsid w:val="009533DF"/>
    <w:rsid w:val="0095342E"/>
    <w:rsid w:val="0095342F"/>
    <w:rsid w:val="00953447"/>
    <w:rsid w:val="009534E7"/>
    <w:rsid w:val="009534F2"/>
    <w:rsid w:val="00953504"/>
    <w:rsid w:val="0095354F"/>
    <w:rsid w:val="00953576"/>
    <w:rsid w:val="00953581"/>
    <w:rsid w:val="00953593"/>
    <w:rsid w:val="009536AD"/>
    <w:rsid w:val="009536D8"/>
    <w:rsid w:val="00953729"/>
    <w:rsid w:val="0095376C"/>
    <w:rsid w:val="009537B9"/>
    <w:rsid w:val="009537D6"/>
    <w:rsid w:val="009537EC"/>
    <w:rsid w:val="00953892"/>
    <w:rsid w:val="009538A8"/>
    <w:rsid w:val="009538F4"/>
    <w:rsid w:val="0095390B"/>
    <w:rsid w:val="00953957"/>
    <w:rsid w:val="0095396B"/>
    <w:rsid w:val="00953982"/>
    <w:rsid w:val="00953994"/>
    <w:rsid w:val="009539D5"/>
    <w:rsid w:val="00953A1F"/>
    <w:rsid w:val="00953A6E"/>
    <w:rsid w:val="00953AD7"/>
    <w:rsid w:val="00953B2A"/>
    <w:rsid w:val="00953B7C"/>
    <w:rsid w:val="00953B87"/>
    <w:rsid w:val="00953B96"/>
    <w:rsid w:val="00953BC4"/>
    <w:rsid w:val="00953BCE"/>
    <w:rsid w:val="00953C3A"/>
    <w:rsid w:val="00953C82"/>
    <w:rsid w:val="00953C8D"/>
    <w:rsid w:val="00953D2B"/>
    <w:rsid w:val="00953D57"/>
    <w:rsid w:val="00953D6E"/>
    <w:rsid w:val="00953D8E"/>
    <w:rsid w:val="00953DC4"/>
    <w:rsid w:val="00953DDA"/>
    <w:rsid w:val="00953E84"/>
    <w:rsid w:val="00953EE1"/>
    <w:rsid w:val="00953EE3"/>
    <w:rsid w:val="00953EF7"/>
    <w:rsid w:val="00953EFE"/>
    <w:rsid w:val="00953F9B"/>
    <w:rsid w:val="00953FD9"/>
    <w:rsid w:val="00954021"/>
    <w:rsid w:val="009540FD"/>
    <w:rsid w:val="00954142"/>
    <w:rsid w:val="009541D5"/>
    <w:rsid w:val="0095420B"/>
    <w:rsid w:val="0095421C"/>
    <w:rsid w:val="00954241"/>
    <w:rsid w:val="009542D9"/>
    <w:rsid w:val="009542F4"/>
    <w:rsid w:val="009542FE"/>
    <w:rsid w:val="00954313"/>
    <w:rsid w:val="0095438B"/>
    <w:rsid w:val="0095439E"/>
    <w:rsid w:val="009543B2"/>
    <w:rsid w:val="009543BF"/>
    <w:rsid w:val="009543CB"/>
    <w:rsid w:val="00954402"/>
    <w:rsid w:val="00954446"/>
    <w:rsid w:val="009544E8"/>
    <w:rsid w:val="00954520"/>
    <w:rsid w:val="0095455E"/>
    <w:rsid w:val="00954598"/>
    <w:rsid w:val="009545C8"/>
    <w:rsid w:val="009545D2"/>
    <w:rsid w:val="009545F5"/>
    <w:rsid w:val="00954677"/>
    <w:rsid w:val="009546D1"/>
    <w:rsid w:val="00954784"/>
    <w:rsid w:val="00954795"/>
    <w:rsid w:val="009547A6"/>
    <w:rsid w:val="009547EA"/>
    <w:rsid w:val="009547FC"/>
    <w:rsid w:val="00954812"/>
    <w:rsid w:val="00954815"/>
    <w:rsid w:val="009548A0"/>
    <w:rsid w:val="009548C2"/>
    <w:rsid w:val="00954985"/>
    <w:rsid w:val="009549B3"/>
    <w:rsid w:val="00954AA2"/>
    <w:rsid w:val="00954AE2"/>
    <w:rsid w:val="00954AFC"/>
    <w:rsid w:val="00954B79"/>
    <w:rsid w:val="00954B8A"/>
    <w:rsid w:val="00954BDB"/>
    <w:rsid w:val="00954BF8"/>
    <w:rsid w:val="00954C36"/>
    <w:rsid w:val="00954C7A"/>
    <w:rsid w:val="00954CEF"/>
    <w:rsid w:val="00954D93"/>
    <w:rsid w:val="00954DAF"/>
    <w:rsid w:val="00954DBF"/>
    <w:rsid w:val="00954DE1"/>
    <w:rsid w:val="00954E03"/>
    <w:rsid w:val="00954E45"/>
    <w:rsid w:val="00954E4A"/>
    <w:rsid w:val="00954E65"/>
    <w:rsid w:val="00954E83"/>
    <w:rsid w:val="00954EBD"/>
    <w:rsid w:val="00954EFE"/>
    <w:rsid w:val="00954F35"/>
    <w:rsid w:val="00954F63"/>
    <w:rsid w:val="00954F9B"/>
    <w:rsid w:val="0095500F"/>
    <w:rsid w:val="00955040"/>
    <w:rsid w:val="00955066"/>
    <w:rsid w:val="009550C9"/>
    <w:rsid w:val="009550E1"/>
    <w:rsid w:val="00955104"/>
    <w:rsid w:val="0095511B"/>
    <w:rsid w:val="00955131"/>
    <w:rsid w:val="00955151"/>
    <w:rsid w:val="0095519A"/>
    <w:rsid w:val="009551DB"/>
    <w:rsid w:val="00955231"/>
    <w:rsid w:val="009552B2"/>
    <w:rsid w:val="009552D1"/>
    <w:rsid w:val="0095535A"/>
    <w:rsid w:val="0095537A"/>
    <w:rsid w:val="00955383"/>
    <w:rsid w:val="0095538C"/>
    <w:rsid w:val="00955394"/>
    <w:rsid w:val="009553DA"/>
    <w:rsid w:val="009554AB"/>
    <w:rsid w:val="009554E6"/>
    <w:rsid w:val="0095556B"/>
    <w:rsid w:val="0095559A"/>
    <w:rsid w:val="009555AB"/>
    <w:rsid w:val="009555C4"/>
    <w:rsid w:val="009555CF"/>
    <w:rsid w:val="00955628"/>
    <w:rsid w:val="00955655"/>
    <w:rsid w:val="0095573F"/>
    <w:rsid w:val="009557C7"/>
    <w:rsid w:val="009557D7"/>
    <w:rsid w:val="009557FE"/>
    <w:rsid w:val="00955903"/>
    <w:rsid w:val="00955967"/>
    <w:rsid w:val="009559F7"/>
    <w:rsid w:val="00955A2A"/>
    <w:rsid w:val="00955A5D"/>
    <w:rsid w:val="00955A85"/>
    <w:rsid w:val="00955AC1"/>
    <w:rsid w:val="00955B09"/>
    <w:rsid w:val="00955BC4"/>
    <w:rsid w:val="00955C45"/>
    <w:rsid w:val="00955C91"/>
    <w:rsid w:val="00955C93"/>
    <w:rsid w:val="00955C96"/>
    <w:rsid w:val="00955CA5"/>
    <w:rsid w:val="00955CB8"/>
    <w:rsid w:val="00955CC1"/>
    <w:rsid w:val="00955CCB"/>
    <w:rsid w:val="00955CD4"/>
    <w:rsid w:val="00955CE2"/>
    <w:rsid w:val="00955CF3"/>
    <w:rsid w:val="00955D09"/>
    <w:rsid w:val="00955D4C"/>
    <w:rsid w:val="00955DA2"/>
    <w:rsid w:val="00955DD7"/>
    <w:rsid w:val="00955DF5"/>
    <w:rsid w:val="00955E0A"/>
    <w:rsid w:val="00955E29"/>
    <w:rsid w:val="00955E9B"/>
    <w:rsid w:val="00955EAE"/>
    <w:rsid w:val="00955EBA"/>
    <w:rsid w:val="00955EC8"/>
    <w:rsid w:val="00955F2A"/>
    <w:rsid w:val="00955F49"/>
    <w:rsid w:val="00955F8D"/>
    <w:rsid w:val="00955FB1"/>
    <w:rsid w:val="00955FB7"/>
    <w:rsid w:val="00955FC6"/>
    <w:rsid w:val="00955FF7"/>
    <w:rsid w:val="00956013"/>
    <w:rsid w:val="0095608B"/>
    <w:rsid w:val="009560DC"/>
    <w:rsid w:val="00956117"/>
    <w:rsid w:val="00956132"/>
    <w:rsid w:val="00956142"/>
    <w:rsid w:val="009561BE"/>
    <w:rsid w:val="009561E8"/>
    <w:rsid w:val="0095625F"/>
    <w:rsid w:val="009562CF"/>
    <w:rsid w:val="009562D1"/>
    <w:rsid w:val="009562E5"/>
    <w:rsid w:val="0095631D"/>
    <w:rsid w:val="00956328"/>
    <w:rsid w:val="0095632D"/>
    <w:rsid w:val="0095639E"/>
    <w:rsid w:val="009563AC"/>
    <w:rsid w:val="009563C3"/>
    <w:rsid w:val="00956428"/>
    <w:rsid w:val="00956435"/>
    <w:rsid w:val="0095644E"/>
    <w:rsid w:val="009564E6"/>
    <w:rsid w:val="0095652C"/>
    <w:rsid w:val="0095655D"/>
    <w:rsid w:val="00956564"/>
    <w:rsid w:val="009565A9"/>
    <w:rsid w:val="00956615"/>
    <w:rsid w:val="00956622"/>
    <w:rsid w:val="0095666F"/>
    <w:rsid w:val="00956675"/>
    <w:rsid w:val="00956682"/>
    <w:rsid w:val="00956715"/>
    <w:rsid w:val="00956729"/>
    <w:rsid w:val="00956773"/>
    <w:rsid w:val="009567DB"/>
    <w:rsid w:val="00956859"/>
    <w:rsid w:val="009568C0"/>
    <w:rsid w:val="00956919"/>
    <w:rsid w:val="0095693D"/>
    <w:rsid w:val="00956958"/>
    <w:rsid w:val="00956962"/>
    <w:rsid w:val="00956982"/>
    <w:rsid w:val="00956983"/>
    <w:rsid w:val="00956987"/>
    <w:rsid w:val="009569CF"/>
    <w:rsid w:val="009569D9"/>
    <w:rsid w:val="009569E6"/>
    <w:rsid w:val="00956A33"/>
    <w:rsid w:val="00956A87"/>
    <w:rsid w:val="00956A8A"/>
    <w:rsid w:val="00956A8C"/>
    <w:rsid w:val="00956A94"/>
    <w:rsid w:val="00956A95"/>
    <w:rsid w:val="00956ADB"/>
    <w:rsid w:val="00956AE1"/>
    <w:rsid w:val="00956B70"/>
    <w:rsid w:val="00956BB7"/>
    <w:rsid w:val="00956BDA"/>
    <w:rsid w:val="00956C47"/>
    <w:rsid w:val="00956CB6"/>
    <w:rsid w:val="00956D25"/>
    <w:rsid w:val="00956D2B"/>
    <w:rsid w:val="00956D62"/>
    <w:rsid w:val="00956D87"/>
    <w:rsid w:val="00956DE2"/>
    <w:rsid w:val="00956DEE"/>
    <w:rsid w:val="00956E2F"/>
    <w:rsid w:val="00956EC6"/>
    <w:rsid w:val="00956F3E"/>
    <w:rsid w:val="00956F66"/>
    <w:rsid w:val="00956FD1"/>
    <w:rsid w:val="00957014"/>
    <w:rsid w:val="00957085"/>
    <w:rsid w:val="00957200"/>
    <w:rsid w:val="00957255"/>
    <w:rsid w:val="0095725C"/>
    <w:rsid w:val="0095727A"/>
    <w:rsid w:val="009572B5"/>
    <w:rsid w:val="009572BC"/>
    <w:rsid w:val="009572C6"/>
    <w:rsid w:val="0095730A"/>
    <w:rsid w:val="00957350"/>
    <w:rsid w:val="00957373"/>
    <w:rsid w:val="00957419"/>
    <w:rsid w:val="00957438"/>
    <w:rsid w:val="00957472"/>
    <w:rsid w:val="009574E1"/>
    <w:rsid w:val="009574FD"/>
    <w:rsid w:val="00957573"/>
    <w:rsid w:val="009575F3"/>
    <w:rsid w:val="0095761B"/>
    <w:rsid w:val="00957627"/>
    <w:rsid w:val="00957648"/>
    <w:rsid w:val="009576BF"/>
    <w:rsid w:val="009576DF"/>
    <w:rsid w:val="009576EA"/>
    <w:rsid w:val="00957723"/>
    <w:rsid w:val="00957734"/>
    <w:rsid w:val="0095773C"/>
    <w:rsid w:val="0095774A"/>
    <w:rsid w:val="0095782E"/>
    <w:rsid w:val="00957846"/>
    <w:rsid w:val="0095784B"/>
    <w:rsid w:val="0095784D"/>
    <w:rsid w:val="00957887"/>
    <w:rsid w:val="00957898"/>
    <w:rsid w:val="009578C2"/>
    <w:rsid w:val="009578EA"/>
    <w:rsid w:val="0095796E"/>
    <w:rsid w:val="00957976"/>
    <w:rsid w:val="00957A00"/>
    <w:rsid w:val="00957A0C"/>
    <w:rsid w:val="00957A6E"/>
    <w:rsid w:val="00957A8C"/>
    <w:rsid w:val="00957A8E"/>
    <w:rsid w:val="00957A9A"/>
    <w:rsid w:val="00957B91"/>
    <w:rsid w:val="00957BD2"/>
    <w:rsid w:val="00957BE9"/>
    <w:rsid w:val="00957C2E"/>
    <w:rsid w:val="00957C5D"/>
    <w:rsid w:val="00957C60"/>
    <w:rsid w:val="00957CB0"/>
    <w:rsid w:val="00957D3A"/>
    <w:rsid w:val="00957D5B"/>
    <w:rsid w:val="00957DE6"/>
    <w:rsid w:val="00957E3B"/>
    <w:rsid w:val="00957E94"/>
    <w:rsid w:val="00957EFB"/>
    <w:rsid w:val="00957F24"/>
    <w:rsid w:val="00957F29"/>
    <w:rsid w:val="00957F42"/>
    <w:rsid w:val="00957F4B"/>
    <w:rsid w:val="00957F56"/>
    <w:rsid w:val="0096001D"/>
    <w:rsid w:val="00960123"/>
    <w:rsid w:val="00960125"/>
    <w:rsid w:val="00960148"/>
    <w:rsid w:val="0096015D"/>
    <w:rsid w:val="0096018F"/>
    <w:rsid w:val="009601AA"/>
    <w:rsid w:val="0096022C"/>
    <w:rsid w:val="00960239"/>
    <w:rsid w:val="0096029F"/>
    <w:rsid w:val="009602C8"/>
    <w:rsid w:val="009602E4"/>
    <w:rsid w:val="00960421"/>
    <w:rsid w:val="0096042D"/>
    <w:rsid w:val="00960459"/>
    <w:rsid w:val="0096046B"/>
    <w:rsid w:val="00960481"/>
    <w:rsid w:val="009604BD"/>
    <w:rsid w:val="009604D0"/>
    <w:rsid w:val="00960544"/>
    <w:rsid w:val="00960545"/>
    <w:rsid w:val="00960579"/>
    <w:rsid w:val="00960584"/>
    <w:rsid w:val="009605A8"/>
    <w:rsid w:val="009605B8"/>
    <w:rsid w:val="009605FD"/>
    <w:rsid w:val="0096066C"/>
    <w:rsid w:val="009606AA"/>
    <w:rsid w:val="00960700"/>
    <w:rsid w:val="00960716"/>
    <w:rsid w:val="009607A7"/>
    <w:rsid w:val="009607E2"/>
    <w:rsid w:val="009607E8"/>
    <w:rsid w:val="0096083B"/>
    <w:rsid w:val="00960856"/>
    <w:rsid w:val="0096086F"/>
    <w:rsid w:val="009608A4"/>
    <w:rsid w:val="009608CA"/>
    <w:rsid w:val="00960912"/>
    <w:rsid w:val="0096094C"/>
    <w:rsid w:val="00960994"/>
    <w:rsid w:val="009609E4"/>
    <w:rsid w:val="009609EE"/>
    <w:rsid w:val="009609F4"/>
    <w:rsid w:val="00960AE7"/>
    <w:rsid w:val="00960AF0"/>
    <w:rsid w:val="00960AFD"/>
    <w:rsid w:val="00960B2C"/>
    <w:rsid w:val="00960B47"/>
    <w:rsid w:val="00960B56"/>
    <w:rsid w:val="00960B6D"/>
    <w:rsid w:val="00960B92"/>
    <w:rsid w:val="00960BAC"/>
    <w:rsid w:val="00960C12"/>
    <w:rsid w:val="00960C18"/>
    <w:rsid w:val="00960C22"/>
    <w:rsid w:val="00960C51"/>
    <w:rsid w:val="00960C83"/>
    <w:rsid w:val="00960C9B"/>
    <w:rsid w:val="00960D11"/>
    <w:rsid w:val="00960D6F"/>
    <w:rsid w:val="00960DB0"/>
    <w:rsid w:val="00960DFD"/>
    <w:rsid w:val="00960E21"/>
    <w:rsid w:val="00960E37"/>
    <w:rsid w:val="00960E69"/>
    <w:rsid w:val="00960EA4"/>
    <w:rsid w:val="00960EB3"/>
    <w:rsid w:val="00960F14"/>
    <w:rsid w:val="00960F4E"/>
    <w:rsid w:val="00960F7F"/>
    <w:rsid w:val="00960FF0"/>
    <w:rsid w:val="00960FF3"/>
    <w:rsid w:val="0096102A"/>
    <w:rsid w:val="009610D6"/>
    <w:rsid w:val="009610EB"/>
    <w:rsid w:val="00961127"/>
    <w:rsid w:val="00961195"/>
    <w:rsid w:val="00961226"/>
    <w:rsid w:val="00961229"/>
    <w:rsid w:val="0096125E"/>
    <w:rsid w:val="00961268"/>
    <w:rsid w:val="0096127B"/>
    <w:rsid w:val="00961297"/>
    <w:rsid w:val="009612BA"/>
    <w:rsid w:val="00961348"/>
    <w:rsid w:val="0096136E"/>
    <w:rsid w:val="009613A7"/>
    <w:rsid w:val="0096140F"/>
    <w:rsid w:val="0096141E"/>
    <w:rsid w:val="0096142F"/>
    <w:rsid w:val="00961434"/>
    <w:rsid w:val="0096144F"/>
    <w:rsid w:val="0096145C"/>
    <w:rsid w:val="009614B0"/>
    <w:rsid w:val="00961522"/>
    <w:rsid w:val="00961549"/>
    <w:rsid w:val="00961561"/>
    <w:rsid w:val="00961567"/>
    <w:rsid w:val="0096158A"/>
    <w:rsid w:val="00961592"/>
    <w:rsid w:val="009615AB"/>
    <w:rsid w:val="009615C7"/>
    <w:rsid w:val="00961608"/>
    <w:rsid w:val="0096160D"/>
    <w:rsid w:val="0096162F"/>
    <w:rsid w:val="0096163A"/>
    <w:rsid w:val="00961666"/>
    <w:rsid w:val="009616AB"/>
    <w:rsid w:val="009616D7"/>
    <w:rsid w:val="009616E9"/>
    <w:rsid w:val="0096170D"/>
    <w:rsid w:val="0096174D"/>
    <w:rsid w:val="00961778"/>
    <w:rsid w:val="00961792"/>
    <w:rsid w:val="00961797"/>
    <w:rsid w:val="0096182D"/>
    <w:rsid w:val="0096183A"/>
    <w:rsid w:val="009618C6"/>
    <w:rsid w:val="009618DD"/>
    <w:rsid w:val="009618F8"/>
    <w:rsid w:val="0096191D"/>
    <w:rsid w:val="00961977"/>
    <w:rsid w:val="0096197E"/>
    <w:rsid w:val="00961985"/>
    <w:rsid w:val="0096198A"/>
    <w:rsid w:val="009619A4"/>
    <w:rsid w:val="009619EE"/>
    <w:rsid w:val="009619F2"/>
    <w:rsid w:val="009619F8"/>
    <w:rsid w:val="009619FF"/>
    <w:rsid w:val="00961A2A"/>
    <w:rsid w:val="00961A55"/>
    <w:rsid w:val="00961A91"/>
    <w:rsid w:val="00961ADA"/>
    <w:rsid w:val="00961B19"/>
    <w:rsid w:val="00961B2C"/>
    <w:rsid w:val="00961BA7"/>
    <w:rsid w:val="00961BE5"/>
    <w:rsid w:val="00961C5B"/>
    <w:rsid w:val="00961C6C"/>
    <w:rsid w:val="00961CED"/>
    <w:rsid w:val="00961D3C"/>
    <w:rsid w:val="00961D45"/>
    <w:rsid w:val="00961D75"/>
    <w:rsid w:val="00961D80"/>
    <w:rsid w:val="00961D97"/>
    <w:rsid w:val="00961DE0"/>
    <w:rsid w:val="00961DE7"/>
    <w:rsid w:val="00961E02"/>
    <w:rsid w:val="00961E09"/>
    <w:rsid w:val="00961E5A"/>
    <w:rsid w:val="00961E6E"/>
    <w:rsid w:val="00961E9C"/>
    <w:rsid w:val="00961ECF"/>
    <w:rsid w:val="00961EF3"/>
    <w:rsid w:val="00961F41"/>
    <w:rsid w:val="00961F65"/>
    <w:rsid w:val="00961FC8"/>
    <w:rsid w:val="00961FD0"/>
    <w:rsid w:val="00961FDD"/>
    <w:rsid w:val="00962016"/>
    <w:rsid w:val="00962020"/>
    <w:rsid w:val="0096207A"/>
    <w:rsid w:val="009620D2"/>
    <w:rsid w:val="0096215B"/>
    <w:rsid w:val="00962193"/>
    <w:rsid w:val="009621E6"/>
    <w:rsid w:val="00962227"/>
    <w:rsid w:val="0096222F"/>
    <w:rsid w:val="0096225A"/>
    <w:rsid w:val="00962296"/>
    <w:rsid w:val="00962350"/>
    <w:rsid w:val="00962361"/>
    <w:rsid w:val="00962427"/>
    <w:rsid w:val="0096245C"/>
    <w:rsid w:val="0096246B"/>
    <w:rsid w:val="0096248A"/>
    <w:rsid w:val="00962516"/>
    <w:rsid w:val="0096251D"/>
    <w:rsid w:val="00962556"/>
    <w:rsid w:val="009625D6"/>
    <w:rsid w:val="00962657"/>
    <w:rsid w:val="00962701"/>
    <w:rsid w:val="00962718"/>
    <w:rsid w:val="00962733"/>
    <w:rsid w:val="00962748"/>
    <w:rsid w:val="009627DB"/>
    <w:rsid w:val="0096283C"/>
    <w:rsid w:val="0096285F"/>
    <w:rsid w:val="0096286A"/>
    <w:rsid w:val="0096286E"/>
    <w:rsid w:val="00962870"/>
    <w:rsid w:val="00962871"/>
    <w:rsid w:val="0096287A"/>
    <w:rsid w:val="00962885"/>
    <w:rsid w:val="00962894"/>
    <w:rsid w:val="009628C3"/>
    <w:rsid w:val="009628EF"/>
    <w:rsid w:val="00962909"/>
    <w:rsid w:val="0096290E"/>
    <w:rsid w:val="00962950"/>
    <w:rsid w:val="00962978"/>
    <w:rsid w:val="009629BF"/>
    <w:rsid w:val="00962A04"/>
    <w:rsid w:val="00962A7B"/>
    <w:rsid w:val="00962A99"/>
    <w:rsid w:val="00962AC5"/>
    <w:rsid w:val="00962ADF"/>
    <w:rsid w:val="00962AE4"/>
    <w:rsid w:val="00962B0F"/>
    <w:rsid w:val="00962B22"/>
    <w:rsid w:val="00962B5D"/>
    <w:rsid w:val="00962B6F"/>
    <w:rsid w:val="00962B8E"/>
    <w:rsid w:val="00962BFC"/>
    <w:rsid w:val="00962C88"/>
    <w:rsid w:val="00962CAA"/>
    <w:rsid w:val="00962CFC"/>
    <w:rsid w:val="00962D00"/>
    <w:rsid w:val="00962D54"/>
    <w:rsid w:val="00962D65"/>
    <w:rsid w:val="00962D77"/>
    <w:rsid w:val="00962DB5"/>
    <w:rsid w:val="00962E06"/>
    <w:rsid w:val="00962E11"/>
    <w:rsid w:val="00962E81"/>
    <w:rsid w:val="00962EA7"/>
    <w:rsid w:val="00962EC4"/>
    <w:rsid w:val="00962ED2"/>
    <w:rsid w:val="00962F1D"/>
    <w:rsid w:val="00962F24"/>
    <w:rsid w:val="00962F87"/>
    <w:rsid w:val="00962F8D"/>
    <w:rsid w:val="00962F9F"/>
    <w:rsid w:val="00962FAA"/>
    <w:rsid w:val="00963052"/>
    <w:rsid w:val="00963086"/>
    <w:rsid w:val="009630DF"/>
    <w:rsid w:val="009630E2"/>
    <w:rsid w:val="009630E7"/>
    <w:rsid w:val="0096317B"/>
    <w:rsid w:val="0096318B"/>
    <w:rsid w:val="009631B1"/>
    <w:rsid w:val="009632D2"/>
    <w:rsid w:val="009632D6"/>
    <w:rsid w:val="0096332E"/>
    <w:rsid w:val="009633DD"/>
    <w:rsid w:val="009633FC"/>
    <w:rsid w:val="00963403"/>
    <w:rsid w:val="0096346E"/>
    <w:rsid w:val="0096347D"/>
    <w:rsid w:val="00963482"/>
    <w:rsid w:val="009634C9"/>
    <w:rsid w:val="00963506"/>
    <w:rsid w:val="0096352F"/>
    <w:rsid w:val="00963532"/>
    <w:rsid w:val="0096360A"/>
    <w:rsid w:val="00963627"/>
    <w:rsid w:val="00963645"/>
    <w:rsid w:val="00963656"/>
    <w:rsid w:val="00963657"/>
    <w:rsid w:val="00963686"/>
    <w:rsid w:val="009636CD"/>
    <w:rsid w:val="0096375C"/>
    <w:rsid w:val="009637FF"/>
    <w:rsid w:val="00963845"/>
    <w:rsid w:val="009638AB"/>
    <w:rsid w:val="009638CE"/>
    <w:rsid w:val="009638F6"/>
    <w:rsid w:val="00963962"/>
    <w:rsid w:val="00963A06"/>
    <w:rsid w:val="00963A19"/>
    <w:rsid w:val="00963A4F"/>
    <w:rsid w:val="00963A5C"/>
    <w:rsid w:val="00963A86"/>
    <w:rsid w:val="00963AAB"/>
    <w:rsid w:val="00963ABF"/>
    <w:rsid w:val="00963AC6"/>
    <w:rsid w:val="00963AE5"/>
    <w:rsid w:val="00963B04"/>
    <w:rsid w:val="00963B23"/>
    <w:rsid w:val="00963B48"/>
    <w:rsid w:val="00963B8A"/>
    <w:rsid w:val="00963B95"/>
    <w:rsid w:val="00963BA9"/>
    <w:rsid w:val="00963BC7"/>
    <w:rsid w:val="00963C3B"/>
    <w:rsid w:val="00963C9C"/>
    <w:rsid w:val="00963CA2"/>
    <w:rsid w:val="00963CB7"/>
    <w:rsid w:val="00963CBD"/>
    <w:rsid w:val="00963CC5"/>
    <w:rsid w:val="00963CF4"/>
    <w:rsid w:val="00963D0F"/>
    <w:rsid w:val="00963D3D"/>
    <w:rsid w:val="00963D75"/>
    <w:rsid w:val="00963D7F"/>
    <w:rsid w:val="00963DAC"/>
    <w:rsid w:val="00963DE5"/>
    <w:rsid w:val="00963E30"/>
    <w:rsid w:val="00963F68"/>
    <w:rsid w:val="00963F71"/>
    <w:rsid w:val="00963FB0"/>
    <w:rsid w:val="00963FB3"/>
    <w:rsid w:val="0096403C"/>
    <w:rsid w:val="0096416B"/>
    <w:rsid w:val="009641BC"/>
    <w:rsid w:val="009641E6"/>
    <w:rsid w:val="009641ED"/>
    <w:rsid w:val="009641EF"/>
    <w:rsid w:val="00964210"/>
    <w:rsid w:val="0096422B"/>
    <w:rsid w:val="00964286"/>
    <w:rsid w:val="009642C7"/>
    <w:rsid w:val="009642F1"/>
    <w:rsid w:val="009642FD"/>
    <w:rsid w:val="00964366"/>
    <w:rsid w:val="009643E7"/>
    <w:rsid w:val="009643EC"/>
    <w:rsid w:val="00964421"/>
    <w:rsid w:val="0096443E"/>
    <w:rsid w:val="00964505"/>
    <w:rsid w:val="00964547"/>
    <w:rsid w:val="0096459F"/>
    <w:rsid w:val="009645D5"/>
    <w:rsid w:val="009645D6"/>
    <w:rsid w:val="009645E0"/>
    <w:rsid w:val="009645ED"/>
    <w:rsid w:val="00964682"/>
    <w:rsid w:val="00964690"/>
    <w:rsid w:val="00964692"/>
    <w:rsid w:val="0096471F"/>
    <w:rsid w:val="009647A0"/>
    <w:rsid w:val="009647F6"/>
    <w:rsid w:val="009648AD"/>
    <w:rsid w:val="009648AF"/>
    <w:rsid w:val="00964932"/>
    <w:rsid w:val="009649E9"/>
    <w:rsid w:val="00964A19"/>
    <w:rsid w:val="00964A43"/>
    <w:rsid w:val="00964A55"/>
    <w:rsid w:val="00964A95"/>
    <w:rsid w:val="00964AC1"/>
    <w:rsid w:val="00964AE5"/>
    <w:rsid w:val="00964B2E"/>
    <w:rsid w:val="00964B37"/>
    <w:rsid w:val="00964B3A"/>
    <w:rsid w:val="00964B8F"/>
    <w:rsid w:val="00964BD9"/>
    <w:rsid w:val="00964BDE"/>
    <w:rsid w:val="00964BE1"/>
    <w:rsid w:val="00964BF7"/>
    <w:rsid w:val="00964C06"/>
    <w:rsid w:val="00964C30"/>
    <w:rsid w:val="00964C5A"/>
    <w:rsid w:val="00964CAD"/>
    <w:rsid w:val="00964D1B"/>
    <w:rsid w:val="00964D4C"/>
    <w:rsid w:val="00964D8D"/>
    <w:rsid w:val="00964D9E"/>
    <w:rsid w:val="00964DC9"/>
    <w:rsid w:val="00964DDE"/>
    <w:rsid w:val="00964DEA"/>
    <w:rsid w:val="00964DF2"/>
    <w:rsid w:val="00964E82"/>
    <w:rsid w:val="00964E89"/>
    <w:rsid w:val="00964E98"/>
    <w:rsid w:val="00964ECA"/>
    <w:rsid w:val="00964F38"/>
    <w:rsid w:val="00964F78"/>
    <w:rsid w:val="00964F7C"/>
    <w:rsid w:val="00964FC9"/>
    <w:rsid w:val="00964FE2"/>
    <w:rsid w:val="00965016"/>
    <w:rsid w:val="009650A4"/>
    <w:rsid w:val="0096513C"/>
    <w:rsid w:val="00965147"/>
    <w:rsid w:val="0096516C"/>
    <w:rsid w:val="0096516E"/>
    <w:rsid w:val="00965179"/>
    <w:rsid w:val="00965189"/>
    <w:rsid w:val="0096524A"/>
    <w:rsid w:val="0096524E"/>
    <w:rsid w:val="00965273"/>
    <w:rsid w:val="0096528A"/>
    <w:rsid w:val="009652A1"/>
    <w:rsid w:val="009652AC"/>
    <w:rsid w:val="0096530F"/>
    <w:rsid w:val="0096536A"/>
    <w:rsid w:val="00965379"/>
    <w:rsid w:val="00965393"/>
    <w:rsid w:val="0096539F"/>
    <w:rsid w:val="009653D7"/>
    <w:rsid w:val="00965409"/>
    <w:rsid w:val="0096542F"/>
    <w:rsid w:val="0096547F"/>
    <w:rsid w:val="009654CA"/>
    <w:rsid w:val="00965504"/>
    <w:rsid w:val="0096551B"/>
    <w:rsid w:val="0096554B"/>
    <w:rsid w:val="0096555C"/>
    <w:rsid w:val="00965569"/>
    <w:rsid w:val="009655BA"/>
    <w:rsid w:val="009655C3"/>
    <w:rsid w:val="009655F3"/>
    <w:rsid w:val="0096565E"/>
    <w:rsid w:val="0096566C"/>
    <w:rsid w:val="009656B5"/>
    <w:rsid w:val="009656FD"/>
    <w:rsid w:val="00965722"/>
    <w:rsid w:val="00965765"/>
    <w:rsid w:val="009657BD"/>
    <w:rsid w:val="009657C6"/>
    <w:rsid w:val="009657D8"/>
    <w:rsid w:val="009657D9"/>
    <w:rsid w:val="009657EF"/>
    <w:rsid w:val="00965834"/>
    <w:rsid w:val="00965895"/>
    <w:rsid w:val="009658D3"/>
    <w:rsid w:val="009658DB"/>
    <w:rsid w:val="00965915"/>
    <w:rsid w:val="0096595C"/>
    <w:rsid w:val="0096598F"/>
    <w:rsid w:val="00965997"/>
    <w:rsid w:val="009659B3"/>
    <w:rsid w:val="009659B5"/>
    <w:rsid w:val="009659F6"/>
    <w:rsid w:val="00965A18"/>
    <w:rsid w:val="00965A64"/>
    <w:rsid w:val="00965A65"/>
    <w:rsid w:val="00965AA3"/>
    <w:rsid w:val="00965AB5"/>
    <w:rsid w:val="00965AE3"/>
    <w:rsid w:val="00965B63"/>
    <w:rsid w:val="00965B72"/>
    <w:rsid w:val="00965BA3"/>
    <w:rsid w:val="00965BE2"/>
    <w:rsid w:val="00965C02"/>
    <w:rsid w:val="00965C2F"/>
    <w:rsid w:val="00965C3F"/>
    <w:rsid w:val="00965C64"/>
    <w:rsid w:val="00965CA6"/>
    <w:rsid w:val="00965D28"/>
    <w:rsid w:val="00965D3D"/>
    <w:rsid w:val="00965D49"/>
    <w:rsid w:val="00965D73"/>
    <w:rsid w:val="00965DB6"/>
    <w:rsid w:val="00965DCA"/>
    <w:rsid w:val="00965E01"/>
    <w:rsid w:val="00965E21"/>
    <w:rsid w:val="00965E22"/>
    <w:rsid w:val="00965E64"/>
    <w:rsid w:val="00965EB9"/>
    <w:rsid w:val="00965EEA"/>
    <w:rsid w:val="00965EF0"/>
    <w:rsid w:val="00965F2B"/>
    <w:rsid w:val="00965F36"/>
    <w:rsid w:val="00965F9A"/>
    <w:rsid w:val="00965FD5"/>
    <w:rsid w:val="00966021"/>
    <w:rsid w:val="00966024"/>
    <w:rsid w:val="00966088"/>
    <w:rsid w:val="009660A3"/>
    <w:rsid w:val="009660B0"/>
    <w:rsid w:val="009660EA"/>
    <w:rsid w:val="009660F6"/>
    <w:rsid w:val="00966123"/>
    <w:rsid w:val="00966155"/>
    <w:rsid w:val="0096619B"/>
    <w:rsid w:val="009661E2"/>
    <w:rsid w:val="009661EF"/>
    <w:rsid w:val="00966242"/>
    <w:rsid w:val="00966252"/>
    <w:rsid w:val="00966329"/>
    <w:rsid w:val="00966335"/>
    <w:rsid w:val="00966366"/>
    <w:rsid w:val="0096636C"/>
    <w:rsid w:val="009663A3"/>
    <w:rsid w:val="009663C4"/>
    <w:rsid w:val="00966413"/>
    <w:rsid w:val="0096642A"/>
    <w:rsid w:val="009664A8"/>
    <w:rsid w:val="009664CC"/>
    <w:rsid w:val="009664EC"/>
    <w:rsid w:val="00966514"/>
    <w:rsid w:val="00966518"/>
    <w:rsid w:val="0096654C"/>
    <w:rsid w:val="00966579"/>
    <w:rsid w:val="00966596"/>
    <w:rsid w:val="0096659F"/>
    <w:rsid w:val="009665B9"/>
    <w:rsid w:val="009665F7"/>
    <w:rsid w:val="009665FC"/>
    <w:rsid w:val="00966622"/>
    <w:rsid w:val="00966624"/>
    <w:rsid w:val="00966639"/>
    <w:rsid w:val="00966644"/>
    <w:rsid w:val="00966658"/>
    <w:rsid w:val="00966687"/>
    <w:rsid w:val="0096668D"/>
    <w:rsid w:val="009666C4"/>
    <w:rsid w:val="009666F4"/>
    <w:rsid w:val="0096678B"/>
    <w:rsid w:val="0096680D"/>
    <w:rsid w:val="00966829"/>
    <w:rsid w:val="00966844"/>
    <w:rsid w:val="0096688C"/>
    <w:rsid w:val="00966891"/>
    <w:rsid w:val="009668F2"/>
    <w:rsid w:val="0096690B"/>
    <w:rsid w:val="00966926"/>
    <w:rsid w:val="009669F1"/>
    <w:rsid w:val="009669F9"/>
    <w:rsid w:val="00966A08"/>
    <w:rsid w:val="00966A45"/>
    <w:rsid w:val="00966A8E"/>
    <w:rsid w:val="00966AD2"/>
    <w:rsid w:val="00966AE3"/>
    <w:rsid w:val="00966B24"/>
    <w:rsid w:val="00966B90"/>
    <w:rsid w:val="00966BCD"/>
    <w:rsid w:val="00966BD0"/>
    <w:rsid w:val="00966BF5"/>
    <w:rsid w:val="00966C8D"/>
    <w:rsid w:val="00966D70"/>
    <w:rsid w:val="00966D98"/>
    <w:rsid w:val="00966E71"/>
    <w:rsid w:val="00966E85"/>
    <w:rsid w:val="00966EC3"/>
    <w:rsid w:val="00966EE2"/>
    <w:rsid w:val="00966FDD"/>
    <w:rsid w:val="00966FE3"/>
    <w:rsid w:val="00966FE5"/>
    <w:rsid w:val="00967013"/>
    <w:rsid w:val="009670F1"/>
    <w:rsid w:val="009670F3"/>
    <w:rsid w:val="00967178"/>
    <w:rsid w:val="009671C1"/>
    <w:rsid w:val="00967226"/>
    <w:rsid w:val="0096726A"/>
    <w:rsid w:val="00967296"/>
    <w:rsid w:val="00967347"/>
    <w:rsid w:val="00967358"/>
    <w:rsid w:val="00967365"/>
    <w:rsid w:val="009673A9"/>
    <w:rsid w:val="009673B4"/>
    <w:rsid w:val="009673C3"/>
    <w:rsid w:val="009673C5"/>
    <w:rsid w:val="0096742B"/>
    <w:rsid w:val="0096743F"/>
    <w:rsid w:val="00967488"/>
    <w:rsid w:val="0096748D"/>
    <w:rsid w:val="00967491"/>
    <w:rsid w:val="009674A3"/>
    <w:rsid w:val="00967510"/>
    <w:rsid w:val="0096751D"/>
    <w:rsid w:val="0096758A"/>
    <w:rsid w:val="009675F3"/>
    <w:rsid w:val="009676D5"/>
    <w:rsid w:val="00967710"/>
    <w:rsid w:val="00967752"/>
    <w:rsid w:val="009677AE"/>
    <w:rsid w:val="009677B6"/>
    <w:rsid w:val="009677EF"/>
    <w:rsid w:val="0096780D"/>
    <w:rsid w:val="0096784A"/>
    <w:rsid w:val="009678BA"/>
    <w:rsid w:val="00967906"/>
    <w:rsid w:val="0096790C"/>
    <w:rsid w:val="0096793B"/>
    <w:rsid w:val="0096794E"/>
    <w:rsid w:val="0096797F"/>
    <w:rsid w:val="00967980"/>
    <w:rsid w:val="00967ABE"/>
    <w:rsid w:val="00967AE7"/>
    <w:rsid w:val="00967B10"/>
    <w:rsid w:val="00967B18"/>
    <w:rsid w:val="00967BEE"/>
    <w:rsid w:val="00967C2D"/>
    <w:rsid w:val="00967C3B"/>
    <w:rsid w:val="00967C3C"/>
    <w:rsid w:val="00967C6F"/>
    <w:rsid w:val="00967D0D"/>
    <w:rsid w:val="00967D4A"/>
    <w:rsid w:val="00967E1C"/>
    <w:rsid w:val="00967E53"/>
    <w:rsid w:val="00967E5D"/>
    <w:rsid w:val="00967E98"/>
    <w:rsid w:val="00967EBA"/>
    <w:rsid w:val="00967EC9"/>
    <w:rsid w:val="00967F2C"/>
    <w:rsid w:val="00967F96"/>
    <w:rsid w:val="00970061"/>
    <w:rsid w:val="00970098"/>
    <w:rsid w:val="009700CF"/>
    <w:rsid w:val="009700FD"/>
    <w:rsid w:val="009700FE"/>
    <w:rsid w:val="0097010C"/>
    <w:rsid w:val="00970161"/>
    <w:rsid w:val="00970174"/>
    <w:rsid w:val="00970186"/>
    <w:rsid w:val="00970190"/>
    <w:rsid w:val="009701E9"/>
    <w:rsid w:val="0097020B"/>
    <w:rsid w:val="00970218"/>
    <w:rsid w:val="0097022C"/>
    <w:rsid w:val="0097027E"/>
    <w:rsid w:val="009702D1"/>
    <w:rsid w:val="009702DD"/>
    <w:rsid w:val="00970300"/>
    <w:rsid w:val="0097030E"/>
    <w:rsid w:val="00970313"/>
    <w:rsid w:val="0097033A"/>
    <w:rsid w:val="009703A2"/>
    <w:rsid w:val="00970407"/>
    <w:rsid w:val="00970424"/>
    <w:rsid w:val="00970428"/>
    <w:rsid w:val="00970438"/>
    <w:rsid w:val="00970442"/>
    <w:rsid w:val="00970445"/>
    <w:rsid w:val="0097046F"/>
    <w:rsid w:val="00970489"/>
    <w:rsid w:val="009704C1"/>
    <w:rsid w:val="00970578"/>
    <w:rsid w:val="00970594"/>
    <w:rsid w:val="0097059D"/>
    <w:rsid w:val="009705D4"/>
    <w:rsid w:val="009705D5"/>
    <w:rsid w:val="009705F7"/>
    <w:rsid w:val="0097065B"/>
    <w:rsid w:val="00970685"/>
    <w:rsid w:val="0097068F"/>
    <w:rsid w:val="0097069A"/>
    <w:rsid w:val="009706C1"/>
    <w:rsid w:val="00970780"/>
    <w:rsid w:val="009707D6"/>
    <w:rsid w:val="0097081C"/>
    <w:rsid w:val="00970851"/>
    <w:rsid w:val="00970877"/>
    <w:rsid w:val="00970897"/>
    <w:rsid w:val="00970970"/>
    <w:rsid w:val="009709DB"/>
    <w:rsid w:val="009709F1"/>
    <w:rsid w:val="00970A04"/>
    <w:rsid w:val="00970B81"/>
    <w:rsid w:val="00970B83"/>
    <w:rsid w:val="00970BA0"/>
    <w:rsid w:val="00970BB1"/>
    <w:rsid w:val="00970BB5"/>
    <w:rsid w:val="00970BCE"/>
    <w:rsid w:val="00970BE9"/>
    <w:rsid w:val="00970BF0"/>
    <w:rsid w:val="00970C30"/>
    <w:rsid w:val="00970C5B"/>
    <w:rsid w:val="00970C82"/>
    <w:rsid w:val="00970C9C"/>
    <w:rsid w:val="00970CF8"/>
    <w:rsid w:val="00970D67"/>
    <w:rsid w:val="00970D75"/>
    <w:rsid w:val="00970DDB"/>
    <w:rsid w:val="00970E30"/>
    <w:rsid w:val="00970E45"/>
    <w:rsid w:val="00970EAA"/>
    <w:rsid w:val="00970ECE"/>
    <w:rsid w:val="00970EF2"/>
    <w:rsid w:val="00970F35"/>
    <w:rsid w:val="00970F9F"/>
    <w:rsid w:val="00971002"/>
    <w:rsid w:val="00971070"/>
    <w:rsid w:val="00971135"/>
    <w:rsid w:val="00971142"/>
    <w:rsid w:val="009711A3"/>
    <w:rsid w:val="009711A5"/>
    <w:rsid w:val="009711BA"/>
    <w:rsid w:val="009711BD"/>
    <w:rsid w:val="009711D9"/>
    <w:rsid w:val="0097124E"/>
    <w:rsid w:val="0097129B"/>
    <w:rsid w:val="009712B3"/>
    <w:rsid w:val="009712D6"/>
    <w:rsid w:val="009712E3"/>
    <w:rsid w:val="00971350"/>
    <w:rsid w:val="009713AA"/>
    <w:rsid w:val="009713DD"/>
    <w:rsid w:val="0097143B"/>
    <w:rsid w:val="0097145B"/>
    <w:rsid w:val="00971460"/>
    <w:rsid w:val="009714EE"/>
    <w:rsid w:val="00971549"/>
    <w:rsid w:val="00971562"/>
    <w:rsid w:val="009715AB"/>
    <w:rsid w:val="009715EB"/>
    <w:rsid w:val="00971621"/>
    <w:rsid w:val="0097167E"/>
    <w:rsid w:val="009716DD"/>
    <w:rsid w:val="0097173F"/>
    <w:rsid w:val="00971749"/>
    <w:rsid w:val="00971782"/>
    <w:rsid w:val="009717EB"/>
    <w:rsid w:val="00971838"/>
    <w:rsid w:val="009718BF"/>
    <w:rsid w:val="009719E3"/>
    <w:rsid w:val="009719E7"/>
    <w:rsid w:val="009719ED"/>
    <w:rsid w:val="00971A04"/>
    <w:rsid w:val="00971A6D"/>
    <w:rsid w:val="00971AC8"/>
    <w:rsid w:val="00971AD2"/>
    <w:rsid w:val="00971AE8"/>
    <w:rsid w:val="00971B18"/>
    <w:rsid w:val="00971BAC"/>
    <w:rsid w:val="00971BB2"/>
    <w:rsid w:val="00971BB4"/>
    <w:rsid w:val="00971BE4"/>
    <w:rsid w:val="00971C1D"/>
    <w:rsid w:val="00971C24"/>
    <w:rsid w:val="00971C27"/>
    <w:rsid w:val="00971C2D"/>
    <w:rsid w:val="00971C57"/>
    <w:rsid w:val="00971CBA"/>
    <w:rsid w:val="00971D02"/>
    <w:rsid w:val="00971D45"/>
    <w:rsid w:val="00971D86"/>
    <w:rsid w:val="00971D98"/>
    <w:rsid w:val="00971DCD"/>
    <w:rsid w:val="00971E2D"/>
    <w:rsid w:val="00971E7D"/>
    <w:rsid w:val="00971E96"/>
    <w:rsid w:val="00971ED4"/>
    <w:rsid w:val="00971EFD"/>
    <w:rsid w:val="00971F75"/>
    <w:rsid w:val="00971F95"/>
    <w:rsid w:val="00971FD1"/>
    <w:rsid w:val="0097203E"/>
    <w:rsid w:val="00972096"/>
    <w:rsid w:val="009720C7"/>
    <w:rsid w:val="00972188"/>
    <w:rsid w:val="0097218B"/>
    <w:rsid w:val="0097218C"/>
    <w:rsid w:val="009721FC"/>
    <w:rsid w:val="00972210"/>
    <w:rsid w:val="0097223F"/>
    <w:rsid w:val="00972272"/>
    <w:rsid w:val="0097229E"/>
    <w:rsid w:val="009722DE"/>
    <w:rsid w:val="00972317"/>
    <w:rsid w:val="0097236B"/>
    <w:rsid w:val="00972370"/>
    <w:rsid w:val="0097237B"/>
    <w:rsid w:val="00972392"/>
    <w:rsid w:val="009723E4"/>
    <w:rsid w:val="00972471"/>
    <w:rsid w:val="009724C0"/>
    <w:rsid w:val="009724C4"/>
    <w:rsid w:val="009724CF"/>
    <w:rsid w:val="009724D2"/>
    <w:rsid w:val="009724D7"/>
    <w:rsid w:val="00972559"/>
    <w:rsid w:val="009725D3"/>
    <w:rsid w:val="009725DB"/>
    <w:rsid w:val="00972641"/>
    <w:rsid w:val="0097266E"/>
    <w:rsid w:val="00972673"/>
    <w:rsid w:val="0097267C"/>
    <w:rsid w:val="0097284C"/>
    <w:rsid w:val="00972856"/>
    <w:rsid w:val="0097285C"/>
    <w:rsid w:val="00972873"/>
    <w:rsid w:val="00972877"/>
    <w:rsid w:val="009728EA"/>
    <w:rsid w:val="00972912"/>
    <w:rsid w:val="00972972"/>
    <w:rsid w:val="009729A7"/>
    <w:rsid w:val="009729C0"/>
    <w:rsid w:val="00972A03"/>
    <w:rsid w:val="00972A05"/>
    <w:rsid w:val="00972A24"/>
    <w:rsid w:val="00972B37"/>
    <w:rsid w:val="00972B58"/>
    <w:rsid w:val="00972B62"/>
    <w:rsid w:val="00972BC2"/>
    <w:rsid w:val="00972BCD"/>
    <w:rsid w:val="00972BE9"/>
    <w:rsid w:val="00972C41"/>
    <w:rsid w:val="00972C5A"/>
    <w:rsid w:val="00972C7A"/>
    <w:rsid w:val="00972C87"/>
    <w:rsid w:val="00972C92"/>
    <w:rsid w:val="00972CD8"/>
    <w:rsid w:val="00972DC2"/>
    <w:rsid w:val="00972DF5"/>
    <w:rsid w:val="00972DF8"/>
    <w:rsid w:val="00972E38"/>
    <w:rsid w:val="00972E4E"/>
    <w:rsid w:val="00972E7C"/>
    <w:rsid w:val="00972E9C"/>
    <w:rsid w:val="00972ECF"/>
    <w:rsid w:val="00972EF3"/>
    <w:rsid w:val="00972F33"/>
    <w:rsid w:val="00972F94"/>
    <w:rsid w:val="0097304C"/>
    <w:rsid w:val="00973088"/>
    <w:rsid w:val="0097309A"/>
    <w:rsid w:val="009730E1"/>
    <w:rsid w:val="009730FC"/>
    <w:rsid w:val="00973100"/>
    <w:rsid w:val="0097312B"/>
    <w:rsid w:val="00973130"/>
    <w:rsid w:val="00973294"/>
    <w:rsid w:val="0097329F"/>
    <w:rsid w:val="00973316"/>
    <w:rsid w:val="0097331B"/>
    <w:rsid w:val="009733AC"/>
    <w:rsid w:val="009733B6"/>
    <w:rsid w:val="009733D8"/>
    <w:rsid w:val="00973423"/>
    <w:rsid w:val="0097342A"/>
    <w:rsid w:val="00973432"/>
    <w:rsid w:val="0097345B"/>
    <w:rsid w:val="0097345F"/>
    <w:rsid w:val="00973476"/>
    <w:rsid w:val="009734CC"/>
    <w:rsid w:val="009734EE"/>
    <w:rsid w:val="0097350E"/>
    <w:rsid w:val="00973516"/>
    <w:rsid w:val="00973525"/>
    <w:rsid w:val="00973547"/>
    <w:rsid w:val="009735A4"/>
    <w:rsid w:val="00973602"/>
    <w:rsid w:val="00973617"/>
    <w:rsid w:val="0097362C"/>
    <w:rsid w:val="009736BB"/>
    <w:rsid w:val="0097376E"/>
    <w:rsid w:val="00973790"/>
    <w:rsid w:val="009737A2"/>
    <w:rsid w:val="009737E1"/>
    <w:rsid w:val="009737F9"/>
    <w:rsid w:val="00973858"/>
    <w:rsid w:val="0097386E"/>
    <w:rsid w:val="00973903"/>
    <w:rsid w:val="00973949"/>
    <w:rsid w:val="0097397E"/>
    <w:rsid w:val="0097399B"/>
    <w:rsid w:val="009739E5"/>
    <w:rsid w:val="00973A05"/>
    <w:rsid w:val="00973A0C"/>
    <w:rsid w:val="00973A2D"/>
    <w:rsid w:val="00973A93"/>
    <w:rsid w:val="00973ADF"/>
    <w:rsid w:val="00973B09"/>
    <w:rsid w:val="00973B17"/>
    <w:rsid w:val="00973BA4"/>
    <w:rsid w:val="00973BBD"/>
    <w:rsid w:val="00973BEF"/>
    <w:rsid w:val="00973C28"/>
    <w:rsid w:val="00973C76"/>
    <w:rsid w:val="00973CAB"/>
    <w:rsid w:val="00973CB6"/>
    <w:rsid w:val="00973CB9"/>
    <w:rsid w:val="00973CCA"/>
    <w:rsid w:val="00973CD1"/>
    <w:rsid w:val="00973D5D"/>
    <w:rsid w:val="00973D62"/>
    <w:rsid w:val="00973D6A"/>
    <w:rsid w:val="00973D95"/>
    <w:rsid w:val="00973DD0"/>
    <w:rsid w:val="00973DD9"/>
    <w:rsid w:val="00973E05"/>
    <w:rsid w:val="00973EE9"/>
    <w:rsid w:val="00973EED"/>
    <w:rsid w:val="00973EFA"/>
    <w:rsid w:val="00973FA6"/>
    <w:rsid w:val="00973FCC"/>
    <w:rsid w:val="00973FD5"/>
    <w:rsid w:val="00974090"/>
    <w:rsid w:val="009740A6"/>
    <w:rsid w:val="009740AB"/>
    <w:rsid w:val="009740D5"/>
    <w:rsid w:val="009740EC"/>
    <w:rsid w:val="009741A7"/>
    <w:rsid w:val="009741B2"/>
    <w:rsid w:val="0097420E"/>
    <w:rsid w:val="0097422A"/>
    <w:rsid w:val="00974268"/>
    <w:rsid w:val="009742A4"/>
    <w:rsid w:val="009742DE"/>
    <w:rsid w:val="0097433C"/>
    <w:rsid w:val="009743CA"/>
    <w:rsid w:val="009743F8"/>
    <w:rsid w:val="0097440B"/>
    <w:rsid w:val="00974434"/>
    <w:rsid w:val="0097448F"/>
    <w:rsid w:val="009744BA"/>
    <w:rsid w:val="0097453D"/>
    <w:rsid w:val="0097456B"/>
    <w:rsid w:val="0097457B"/>
    <w:rsid w:val="009745F5"/>
    <w:rsid w:val="0097460B"/>
    <w:rsid w:val="0097463D"/>
    <w:rsid w:val="009746C7"/>
    <w:rsid w:val="009746C8"/>
    <w:rsid w:val="009746E5"/>
    <w:rsid w:val="009746F2"/>
    <w:rsid w:val="009746F6"/>
    <w:rsid w:val="00974755"/>
    <w:rsid w:val="0097477D"/>
    <w:rsid w:val="009747B9"/>
    <w:rsid w:val="00974815"/>
    <w:rsid w:val="00974839"/>
    <w:rsid w:val="00974863"/>
    <w:rsid w:val="00974878"/>
    <w:rsid w:val="00974891"/>
    <w:rsid w:val="00974895"/>
    <w:rsid w:val="009748E3"/>
    <w:rsid w:val="00974942"/>
    <w:rsid w:val="00974960"/>
    <w:rsid w:val="009749AB"/>
    <w:rsid w:val="009749D8"/>
    <w:rsid w:val="009749EA"/>
    <w:rsid w:val="00974A04"/>
    <w:rsid w:val="00974A3B"/>
    <w:rsid w:val="00974A92"/>
    <w:rsid w:val="00974AAF"/>
    <w:rsid w:val="00974AE4"/>
    <w:rsid w:val="00974AF9"/>
    <w:rsid w:val="00974B11"/>
    <w:rsid w:val="00974B85"/>
    <w:rsid w:val="00974BA8"/>
    <w:rsid w:val="00974BAF"/>
    <w:rsid w:val="00974BF0"/>
    <w:rsid w:val="00974BF9"/>
    <w:rsid w:val="00974BFD"/>
    <w:rsid w:val="00974C5A"/>
    <w:rsid w:val="00974C6D"/>
    <w:rsid w:val="00974C97"/>
    <w:rsid w:val="00974CA2"/>
    <w:rsid w:val="00974CD3"/>
    <w:rsid w:val="00974CF2"/>
    <w:rsid w:val="00974D40"/>
    <w:rsid w:val="00974D4F"/>
    <w:rsid w:val="00974D75"/>
    <w:rsid w:val="00974D80"/>
    <w:rsid w:val="00974D9D"/>
    <w:rsid w:val="00974DBC"/>
    <w:rsid w:val="00974DDB"/>
    <w:rsid w:val="00974DF8"/>
    <w:rsid w:val="00974E02"/>
    <w:rsid w:val="00974E6B"/>
    <w:rsid w:val="00974F3D"/>
    <w:rsid w:val="00974F51"/>
    <w:rsid w:val="00974F77"/>
    <w:rsid w:val="00974FE3"/>
    <w:rsid w:val="00974FE7"/>
    <w:rsid w:val="0097503D"/>
    <w:rsid w:val="00975055"/>
    <w:rsid w:val="00975071"/>
    <w:rsid w:val="00975093"/>
    <w:rsid w:val="00975130"/>
    <w:rsid w:val="0097518D"/>
    <w:rsid w:val="0097520D"/>
    <w:rsid w:val="0097522D"/>
    <w:rsid w:val="0097522F"/>
    <w:rsid w:val="0097523B"/>
    <w:rsid w:val="00975254"/>
    <w:rsid w:val="0097525D"/>
    <w:rsid w:val="00975292"/>
    <w:rsid w:val="009752A1"/>
    <w:rsid w:val="009752C5"/>
    <w:rsid w:val="00975355"/>
    <w:rsid w:val="00975358"/>
    <w:rsid w:val="009753A6"/>
    <w:rsid w:val="009753CE"/>
    <w:rsid w:val="009753E2"/>
    <w:rsid w:val="009754FC"/>
    <w:rsid w:val="009755B4"/>
    <w:rsid w:val="00975601"/>
    <w:rsid w:val="00975622"/>
    <w:rsid w:val="0097563B"/>
    <w:rsid w:val="0097563D"/>
    <w:rsid w:val="00975655"/>
    <w:rsid w:val="0097567C"/>
    <w:rsid w:val="009756A9"/>
    <w:rsid w:val="009756D2"/>
    <w:rsid w:val="009756E5"/>
    <w:rsid w:val="0097572C"/>
    <w:rsid w:val="0097579A"/>
    <w:rsid w:val="009757CC"/>
    <w:rsid w:val="009757FA"/>
    <w:rsid w:val="00975817"/>
    <w:rsid w:val="00975830"/>
    <w:rsid w:val="00975846"/>
    <w:rsid w:val="0097588F"/>
    <w:rsid w:val="009758AC"/>
    <w:rsid w:val="00975915"/>
    <w:rsid w:val="00975957"/>
    <w:rsid w:val="00975982"/>
    <w:rsid w:val="009759A2"/>
    <w:rsid w:val="009759D1"/>
    <w:rsid w:val="009759FB"/>
    <w:rsid w:val="00975A6B"/>
    <w:rsid w:val="00975AAC"/>
    <w:rsid w:val="00975AD3"/>
    <w:rsid w:val="00975B6A"/>
    <w:rsid w:val="00975BFB"/>
    <w:rsid w:val="00975C20"/>
    <w:rsid w:val="00975C30"/>
    <w:rsid w:val="00975C4D"/>
    <w:rsid w:val="00975C80"/>
    <w:rsid w:val="00975C8D"/>
    <w:rsid w:val="00975CA1"/>
    <w:rsid w:val="00975D11"/>
    <w:rsid w:val="00975D19"/>
    <w:rsid w:val="00975D64"/>
    <w:rsid w:val="00975D6C"/>
    <w:rsid w:val="00975DC8"/>
    <w:rsid w:val="00975DD7"/>
    <w:rsid w:val="00975E8A"/>
    <w:rsid w:val="00975F2B"/>
    <w:rsid w:val="00975F58"/>
    <w:rsid w:val="00975F97"/>
    <w:rsid w:val="00976053"/>
    <w:rsid w:val="00976080"/>
    <w:rsid w:val="00976097"/>
    <w:rsid w:val="00976126"/>
    <w:rsid w:val="0097613C"/>
    <w:rsid w:val="0097614F"/>
    <w:rsid w:val="00976163"/>
    <w:rsid w:val="00976184"/>
    <w:rsid w:val="009761CB"/>
    <w:rsid w:val="0097625B"/>
    <w:rsid w:val="009762EA"/>
    <w:rsid w:val="009762F0"/>
    <w:rsid w:val="00976360"/>
    <w:rsid w:val="0097637E"/>
    <w:rsid w:val="009763E1"/>
    <w:rsid w:val="0097641E"/>
    <w:rsid w:val="00976449"/>
    <w:rsid w:val="0097649C"/>
    <w:rsid w:val="009764A0"/>
    <w:rsid w:val="009764B7"/>
    <w:rsid w:val="0097650A"/>
    <w:rsid w:val="00976553"/>
    <w:rsid w:val="00976574"/>
    <w:rsid w:val="009765FA"/>
    <w:rsid w:val="00976657"/>
    <w:rsid w:val="0097666D"/>
    <w:rsid w:val="009766CE"/>
    <w:rsid w:val="0097677B"/>
    <w:rsid w:val="0097680D"/>
    <w:rsid w:val="00976821"/>
    <w:rsid w:val="00976828"/>
    <w:rsid w:val="00976858"/>
    <w:rsid w:val="00976860"/>
    <w:rsid w:val="00976861"/>
    <w:rsid w:val="00976869"/>
    <w:rsid w:val="00976884"/>
    <w:rsid w:val="0097689A"/>
    <w:rsid w:val="009768C1"/>
    <w:rsid w:val="00976924"/>
    <w:rsid w:val="00976959"/>
    <w:rsid w:val="00976963"/>
    <w:rsid w:val="00976995"/>
    <w:rsid w:val="00976996"/>
    <w:rsid w:val="009769AB"/>
    <w:rsid w:val="009769C1"/>
    <w:rsid w:val="009769C5"/>
    <w:rsid w:val="009769F7"/>
    <w:rsid w:val="00976A31"/>
    <w:rsid w:val="00976A66"/>
    <w:rsid w:val="00976AB6"/>
    <w:rsid w:val="00976AF3"/>
    <w:rsid w:val="00976B5F"/>
    <w:rsid w:val="00976B80"/>
    <w:rsid w:val="00976B8B"/>
    <w:rsid w:val="00976BCF"/>
    <w:rsid w:val="00976BEC"/>
    <w:rsid w:val="00976BF0"/>
    <w:rsid w:val="00976C0C"/>
    <w:rsid w:val="00976C5C"/>
    <w:rsid w:val="00976CA3"/>
    <w:rsid w:val="00976CBE"/>
    <w:rsid w:val="00976CCF"/>
    <w:rsid w:val="00976D47"/>
    <w:rsid w:val="00976D91"/>
    <w:rsid w:val="00976DCD"/>
    <w:rsid w:val="00976E57"/>
    <w:rsid w:val="00976E88"/>
    <w:rsid w:val="00976EBE"/>
    <w:rsid w:val="00976EFB"/>
    <w:rsid w:val="00976F1A"/>
    <w:rsid w:val="00976F99"/>
    <w:rsid w:val="00977053"/>
    <w:rsid w:val="009770CC"/>
    <w:rsid w:val="009770F7"/>
    <w:rsid w:val="00977108"/>
    <w:rsid w:val="00977115"/>
    <w:rsid w:val="00977131"/>
    <w:rsid w:val="0097713E"/>
    <w:rsid w:val="00977149"/>
    <w:rsid w:val="00977164"/>
    <w:rsid w:val="00977194"/>
    <w:rsid w:val="009772B5"/>
    <w:rsid w:val="009772EC"/>
    <w:rsid w:val="00977335"/>
    <w:rsid w:val="00977391"/>
    <w:rsid w:val="00977399"/>
    <w:rsid w:val="009773B7"/>
    <w:rsid w:val="00977452"/>
    <w:rsid w:val="00977473"/>
    <w:rsid w:val="0097748D"/>
    <w:rsid w:val="0097752E"/>
    <w:rsid w:val="0097755D"/>
    <w:rsid w:val="0097759B"/>
    <w:rsid w:val="009775A2"/>
    <w:rsid w:val="009775B2"/>
    <w:rsid w:val="0097764C"/>
    <w:rsid w:val="009776D8"/>
    <w:rsid w:val="009776F7"/>
    <w:rsid w:val="0097771C"/>
    <w:rsid w:val="009777A0"/>
    <w:rsid w:val="009777AA"/>
    <w:rsid w:val="009777E1"/>
    <w:rsid w:val="0097780C"/>
    <w:rsid w:val="00977837"/>
    <w:rsid w:val="0097787F"/>
    <w:rsid w:val="00977899"/>
    <w:rsid w:val="009778A6"/>
    <w:rsid w:val="009778BF"/>
    <w:rsid w:val="009778D4"/>
    <w:rsid w:val="009778EF"/>
    <w:rsid w:val="009778FD"/>
    <w:rsid w:val="00977907"/>
    <w:rsid w:val="00977911"/>
    <w:rsid w:val="00977931"/>
    <w:rsid w:val="009779E0"/>
    <w:rsid w:val="00977A7B"/>
    <w:rsid w:val="00977A99"/>
    <w:rsid w:val="00977B08"/>
    <w:rsid w:val="00977B68"/>
    <w:rsid w:val="00977BC8"/>
    <w:rsid w:val="00977BF3"/>
    <w:rsid w:val="00977BFD"/>
    <w:rsid w:val="00977C0D"/>
    <w:rsid w:val="00977C13"/>
    <w:rsid w:val="00977C42"/>
    <w:rsid w:val="00977C55"/>
    <w:rsid w:val="00977C5F"/>
    <w:rsid w:val="00977C69"/>
    <w:rsid w:val="00977D0F"/>
    <w:rsid w:val="00977D2A"/>
    <w:rsid w:val="00977D48"/>
    <w:rsid w:val="00977D71"/>
    <w:rsid w:val="00977DF8"/>
    <w:rsid w:val="00977E3F"/>
    <w:rsid w:val="00977EB8"/>
    <w:rsid w:val="00977F08"/>
    <w:rsid w:val="00977F11"/>
    <w:rsid w:val="00977F6B"/>
    <w:rsid w:val="00980033"/>
    <w:rsid w:val="0098003A"/>
    <w:rsid w:val="00980092"/>
    <w:rsid w:val="009800AA"/>
    <w:rsid w:val="009800AE"/>
    <w:rsid w:val="00980127"/>
    <w:rsid w:val="009801A9"/>
    <w:rsid w:val="0098024C"/>
    <w:rsid w:val="00980259"/>
    <w:rsid w:val="00980295"/>
    <w:rsid w:val="009802CC"/>
    <w:rsid w:val="009802D7"/>
    <w:rsid w:val="009802D9"/>
    <w:rsid w:val="009802EB"/>
    <w:rsid w:val="00980324"/>
    <w:rsid w:val="00980325"/>
    <w:rsid w:val="009803A6"/>
    <w:rsid w:val="009803F4"/>
    <w:rsid w:val="00980404"/>
    <w:rsid w:val="0098040A"/>
    <w:rsid w:val="00980446"/>
    <w:rsid w:val="00980469"/>
    <w:rsid w:val="0098046E"/>
    <w:rsid w:val="0098048F"/>
    <w:rsid w:val="00980490"/>
    <w:rsid w:val="009804E3"/>
    <w:rsid w:val="009804F0"/>
    <w:rsid w:val="00980504"/>
    <w:rsid w:val="0098055B"/>
    <w:rsid w:val="009805B6"/>
    <w:rsid w:val="009805DF"/>
    <w:rsid w:val="009805E8"/>
    <w:rsid w:val="0098064E"/>
    <w:rsid w:val="009806A2"/>
    <w:rsid w:val="00980784"/>
    <w:rsid w:val="0098078A"/>
    <w:rsid w:val="009807AC"/>
    <w:rsid w:val="009807C6"/>
    <w:rsid w:val="0098082F"/>
    <w:rsid w:val="00980862"/>
    <w:rsid w:val="009808A9"/>
    <w:rsid w:val="009808BD"/>
    <w:rsid w:val="009808EC"/>
    <w:rsid w:val="00980971"/>
    <w:rsid w:val="0098097E"/>
    <w:rsid w:val="009809F6"/>
    <w:rsid w:val="00980A0F"/>
    <w:rsid w:val="00980A3A"/>
    <w:rsid w:val="00980A58"/>
    <w:rsid w:val="00980AA9"/>
    <w:rsid w:val="00980AF9"/>
    <w:rsid w:val="00980B1B"/>
    <w:rsid w:val="00980B41"/>
    <w:rsid w:val="00980BDD"/>
    <w:rsid w:val="00980BF3"/>
    <w:rsid w:val="00980C20"/>
    <w:rsid w:val="00980C27"/>
    <w:rsid w:val="00980C30"/>
    <w:rsid w:val="00980D01"/>
    <w:rsid w:val="00980D44"/>
    <w:rsid w:val="00980D7A"/>
    <w:rsid w:val="00980DAA"/>
    <w:rsid w:val="00980DF5"/>
    <w:rsid w:val="00980E97"/>
    <w:rsid w:val="00980EB6"/>
    <w:rsid w:val="00980F62"/>
    <w:rsid w:val="00980F78"/>
    <w:rsid w:val="00980F7C"/>
    <w:rsid w:val="00980FF5"/>
    <w:rsid w:val="0098100F"/>
    <w:rsid w:val="0098104A"/>
    <w:rsid w:val="009810BB"/>
    <w:rsid w:val="009810D5"/>
    <w:rsid w:val="009810E5"/>
    <w:rsid w:val="009810F0"/>
    <w:rsid w:val="00981133"/>
    <w:rsid w:val="00981182"/>
    <w:rsid w:val="009811A6"/>
    <w:rsid w:val="00981213"/>
    <w:rsid w:val="0098123F"/>
    <w:rsid w:val="009812A3"/>
    <w:rsid w:val="009812DF"/>
    <w:rsid w:val="009812F8"/>
    <w:rsid w:val="0098133A"/>
    <w:rsid w:val="00981360"/>
    <w:rsid w:val="0098140A"/>
    <w:rsid w:val="00981420"/>
    <w:rsid w:val="00981439"/>
    <w:rsid w:val="00981462"/>
    <w:rsid w:val="0098148F"/>
    <w:rsid w:val="00981531"/>
    <w:rsid w:val="0098154B"/>
    <w:rsid w:val="0098154E"/>
    <w:rsid w:val="009815D9"/>
    <w:rsid w:val="009815FD"/>
    <w:rsid w:val="00981643"/>
    <w:rsid w:val="00981656"/>
    <w:rsid w:val="0098168F"/>
    <w:rsid w:val="00981691"/>
    <w:rsid w:val="009816E6"/>
    <w:rsid w:val="0098170A"/>
    <w:rsid w:val="0098170F"/>
    <w:rsid w:val="00981730"/>
    <w:rsid w:val="009817D9"/>
    <w:rsid w:val="00981881"/>
    <w:rsid w:val="009818A0"/>
    <w:rsid w:val="009818C9"/>
    <w:rsid w:val="0098190E"/>
    <w:rsid w:val="00981939"/>
    <w:rsid w:val="009819B4"/>
    <w:rsid w:val="009819FD"/>
    <w:rsid w:val="00981A11"/>
    <w:rsid w:val="00981A21"/>
    <w:rsid w:val="00981AEA"/>
    <w:rsid w:val="00981B09"/>
    <w:rsid w:val="00981B5F"/>
    <w:rsid w:val="00981B64"/>
    <w:rsid w:val="00981BC7"/>
    <w:rsid w:val="00981C52"/>
    <w:rsid w:val="00981C8F"/>
    <w:rsid w:val="00981D12"/>
    <w:rsid w:val="00981D76"/>
    <w:rsid w:val="00981D88"/>
    <w:rsid w:val="00981DC3"/>
    <w:rsid w:val="00981DD5"/>
    <w:rsid w:val="00981DDB"/>
    <w:rsid w:val="00981E22"/>
    <w:rsid w:val="00981E6D"/>
    <w:rsid w:val="00981E98"/>
    <w:rsid w:val="00981E9C"/>
    <w:rsid w:val="00981EE7"/>
    <w:rsid w:val="00981F02"/>
    <w:rsid w:val="00981F04"/>
    <w:rsid w:val="00981F3F"/>
    <w:rsid w:val="00981F56"/>
    <w:rsid w:val="00981F60"/>
    <w:rsid w:val="00981F7B"/>
    <w:rsid w:val="00981F89"/>
    <w:rsid w:val="00981FA1"/>
    <w:rsid w:val="00981FD1"/>
    <w:rsid w:val="00981FF5"/>
    <w:rsid w:val="00982067"/>
    <w:rsid w:val="009820BF"/>
    <w:rsid w:val="009820C7"/>
    <w:rsid w:val="009820FD"/>
    <w:rsid w:val="00982113"/>
    <w:rsid w:val="00982121"/>
    <w:rsid w:val="0098215F"/>
    <w:rsid w:val="009821B2"/>
    <w:rsid w:val="0098223F"/>
    <w:rsid w:val="00982263"/>
    <w:rsid w:val="00982274"/>
    <w:rsid w:val="0098228B"/>
    <w:rsid w:val="0098228F"/>
    <w:rsid w:val="009822A5"/>
    <w:rsid w:val="009822C2"/>
    <w:rsid w:val="009822F8"/>
    <w:rsid w:val="009822FD"/>
    <w:rsid w:val="00982348"/>
    <w:rsid w:val="00982357"/>
    <w:rsid w:val="00982385"/>
    <w:rsid w:val="009823CE"/>
    <w:rsid w:val="0098240A"/>
    <w:rsid w:val="0098241F"/>
    <w:rsid w:val="00982459"/>
    <w:rsid w:val="009824EF"/>
    <w:rsid w:val="009824F2"/>
    <w:rsid w:val="00982564"/>
    <w:rsid w:val="009825CE"/>
    <w:rsid w:val="00982601"/>
    <w:rsid w:val="00982745"/>
    <w:rsid w:val="009827D5"/>
    <w:rsid w:val="00982830"/>
    <w:rsid w:val="00982844"/>
    <w:rsid w:val="00982898"/>
    <w:rsid w:val="00982947"/>
    <w:rsid w:val="0098299C"/>
    <w:rsid w:val="009829F9"/>
    <w:rsid w:val="00982A3E"/>
    <w:rsid w:val="00982A82"/>
    <w:rsid w:val="00982AC9"/>
    <w:rsid w:val="00982AFB"/>
    <w:rsid w:val="00982B08"/>
    <w:rsid w:val="00982B19"/>
    <w:rsid w:val="00982B1C"/>
    <w:rsid w:val="00982B3F"/>
    <w:rsid w:val="00982B77"/>
    <w:rsid w:val="00982BE6"/>
    <w:rsid w:val="00982C89"/>
    <w:rsid w:val="00982C8E"/>
    <w:rsid w:val="00982CA4"/>
    <w:rsid w:val="00982CDB"/>
    <w:rsid w:val="00982D1E"/>
    <w:rsid w:val="00982D23"/>
    <w:rsid w:val="00982D59"/>
    <w:rsid w:val="00982D78"/>
    <w:rsid w:val="00982E13"/>
    <w:rsid w:val="00982E28"/>
    <w:rsid w:val="00982E6E"/>
    <w:rsid w:val="00982E77"/>
    <w:rsid w:val="00982F77"/>
    <w:rsid w:val="00982F85"/>
    <w:rsid w:val="00983073"/>
    <w:rsid w:val="009830A2"/>
    <w:rsid w:val="009830BE"/>
    <w:rsid w:val="009830C0"/>
    <w:rsid w:val="009830F5"/>
    <w:rsid w:val="00983109"/>
    <w:rsid w:val="00983142"/>
    <w:rsid w:val="00983159"/>
    <w:rsid w:val="0098319D"/>
    <w:rsid w:val="009831A5"/>
    <w:rsid w:val="009831C9"/>
    <w:rsid w:val="00983244"/>
    <w:rsid w:val="00983287"/>
    <w:rsid w:val="009832C8"/>
    <w:rsid w:val="0098330D"/>
    <w:rsid w:val="00983342"/>
    <w:rsid w:val="00983364"/>
    <w:rsid w:val="0098336D"/>
    <w:rsid w:val="0098337A"/>
    <w:rsid w:val="009833B8"/>
    <w:rsid w:val="00983460"/>
    <w:rsid w:val="00983479"/>
    <w:rsid w:val="00983495"/>
    <w:rsid w:val="009834EF"/>
    <w:rsid w:val="0098351C"/>
    <w:rsid w:val="0098352D"/>
    <w:rsid w:val="00983574"/>
    <w:rsid w:val="00983607"/>
    <w:rsid w:val="0098360C"/>
    <w:rsid w:val="00983631"/>
    <w:rsid w:val="00983670"/>
    <w:rsid w:val="00983694"/>
    <w:rsid w:val="0098370A"/>
    <w:rsid w:val="00983779"/>
    <w:rsid w:val="0098378C"/>
    <w:rsid w:val="00983826"/>
    <w:rsid w:val="00983837"/>
    <w:rsid w:val="009838E1"/>
    <w:rsid w:val="009838E4"/>
    <w:rsid w:val="009838FE"/>
    <w:rsid w:val="00983918"/>
    <w:rsid w:val="00983981"/>
    <w:rsid w:val="00983993"/>
    <w:rsid w:val="00983995"/>
    <w:rsid w:val="00983996"/>
    <w:rsid w:val="009839F6"/>
    <w:rsid w:val="00983A31"/>
    <w:rsid w:val="00983A4E"/>
    <w:rsid w:val="00983A85"/>
    <w:rsid w:val="00983AB2"/>
    <w:rsid w:val="00983ADE"/>
    <w:rsid w:val="00983B4C"/>
    <w:rsid w:val="00983B70"/>
    <w:rsid w:val="00983B87"/>
    <w:rsid w:val="00983B98"/>
    <w:rsid w:val="00983BC3"/>
    <w:rsid w:val="00983BCD"/>
    <w:rsid w:val="00983BF2"/>
    <w:rsid w:val="00983C06"/>
    <w:rsid w:val="00983C16"/>
    <w:rsid w:val="00983C51"/>
    <w:rsid w:val="00983C92"/>
    <w:rsid w:val="00983D00"/>
    <w:rsid w:val="00983D12"/>
    <w:rsid w:val="00983D28"/>
    <w:rsid w:val="00983D44"/>
    <w:rsid w:val="00983D46"/>
    <w:rsid w:val="00983D94"/>
    <w:rsid w:val="00983D99"/>
    <w:rsid w:val="00983DD1"/>
    <w:rsid w:val="00983DDF"/>
    <w:rsid w:val="00983E34"/>
    <w:rsid w:val="00983E63"/>
    <w:rsid w:val="00983EA6"/>
    <w:rsid w:val="00983F0E"/>
    <w:rsid w:val="00983F4A"/>
    <w:rsid w:val="00983F99"/>
    <w:rsid w:val="00983FA2"/>
    <w:rsid w:val="00984007"/>
    <w:rsid w:val="00984015"/>
    <w:rsid w:val="00984044"/>
    <w:rsid w:val="009840A7"/>
    <w:rsid w:val="009840C1"/>
    <w:rsid w:val="009840E4"/>
    <w:rsid w:val="009840E9"/>
    <w:rsid w:val="009840EE"/>
    <w:rsid w:val="009841DD"/>
    <w:rsid w:val="009841EF"/>
    <w:rsid w:val="009841F3"/>
    <w:rsid w:val="00984204"/>
    <w:rsid w:val="00984264"/>
    <w:rsid w:val="00984287"/>
    <w:rsid w:val="009842AC"/>
    <w:rsid w:val="009842CA"/>
    <w:rsid w:val="009842E9"/>
    <w:rsid w:val="0098432A"/>
    <w:rsid w:val="00984390"/>
    <w:rsid w:val="009843DC"/>
    <w:rsid w:val="009843EA"/>
    <w:rsid w:val="009843EF"/>
    <w:rsid w:val="00984481"/>
    <w:rsid w:val="00984489"/>
    <w:rsid w:val="009844B1"/>
    <w:rsid w:val="00984530"/>
    <w:rsid w:val="00984543"/>
    <w:rsid w:val="00984556"/>
    <w:rsid w:val="00984580"/>
    <w:rsid w:val="009845BF"/>
    <w:rsid w:val="009845C6"/>
    <w:rsid w:val="00984604"/>
    <w:rsid w:val="00984636"/>
    <w:rsid w:val="009846BF"/>
    <w:rsid w:val="0098470A"/>
    <w:rsid w:val="0098470F"/>
    <w:rsid w:val="00984744"/>
    <w:rsid w:val="00984791"/>
    <w:rsid w:val="009847AE"/>
    <w:rsid w:val="009847B3"/>
    <w:rsid w:val="009847E3"/>
    <w:rsid w:val="009847FB"/>
    <w:rsid w:val="00984871"/>
    <w:rsid w:val="00984872"/>
    <w:rsid w:val="00984899"/>
    <w:rsid w:val="0098489B"/>
    <w:rsid w:val="009848A3"/>
    <w:rsid w:val="009848C2"/>
    <w:rsid w:val="009848ED"/>
    <w:rsid w:val="0098491F"/>
    <w:rsid w:val="00984959"/>
    <w:rsid w:val="00984970"/>
    <w:rsid w:val="0098498B"/>
    <w:rsid w:val="009849B2"/>
    <w:rsid w:val="009849CB"/>
    <w:rsid w:val="00984A84"/>
    <w:rsid w:val="00984B0C"/>
    <w:rsid w:val="00984B1F"/>
    <w:rsid w:val="00984B2D"/>
    <w:rsid w:val="00984B32"/>
    <w:rsid w:val="00984B3C"/>
    <w:rsid w:val="00984B8B"/>
    <w:rsid w:val="00984BB5"/>
    <w:rsid w:val="00984BBE"/>
    <w:rsid w:val="00984BCE"/>
    <w:rsid w:val="00984BED"/>
    <w:rsid w:val="00984C1D"/>
    <w:rsid w:val="00984C3B"/>
    <w:rsid w:val="00984C46"/>
    <w:rsid w:val="00984C58"/>
    <w:rsid w:val="00984C6F"/>
    <w:rsid w:val="00984CD3"/>
    <w:rsid w:val="00984CF4"/>
    <w:rsid w:val="00984D4E"/>
    <w:rsid w:val="00984D5F"/>
    <w:rsid w:val="00984DB9"/>
    <w:rsid w:val="00984DD3"/>
    <w:rsid w:val="00984EA5"/>
    <w:rsid w:val="00984EED"/>
    <w:rsid w:val="00984F11"/>
    <w:rsid w:val="00984FA1"/>
    <w:rsid w:val="0098500C"/>
    <w:rsid w:val="00985060"/>
    <w:rsid w:val="0098507C"/>
    <w:rsid w:val="009850A5"/>
    <w:rsid w:val="009850AB"/>
    <w:rsid w:val="009850FF"/>
    <w:rsid w:val="00985139"/>
    <w:rsid w:val="00985173"/>
    <w:rsid w:val="009851B4"/>
    <w:rsid w:val="009851B9"/>
    <w:rsid w:val="009851EE"/>
    <w:rsid w:val="009851F2"/>
    <w:rsid w:val="0098527D"/>
    <w:rsid w:val="00985284"/>
    <w:rsid w:val="00985388"/>
    <w:rsid w:val="00985438"/>
    <w:rsid w:val="00985530"/>
    <w:rsid w:val="00985578"/>
    <w:rsid w:val="00985596"/>
    <w:rsid w:val="009855B7"/>
    <w:rsid w:val="0098561A"/>
    <w:rsid w:val="00985629"/>
    <w:rsid w:val="00985652"/>
    <w:rsid w:val="00985671"/>
    <w:rsid w:val="00985674"/>
    <w:rsid w:val="009856A0"/>
    <w:rsid w:val="009856C2"/>
    <w:rsid w:val="0098570A"/>
    <w:rsid w:val="00985726"/>
    <w:rsid w:val="009857C2"/>
    <w:rsid w:val="009858B8"/>
    <w:rsid w:val="0098593C"/>
    <w:rsid w:val="00985964"/>
    <w:rsid w:val="00985995"/>
    <w:rsid w:val="009859CD"/>
    <w:rsid w:val="00985A03"/>
    <w:rsid w:val="00985A27"/>
    <w:rsid w:val="00985A40"/>
    <w:rsid w:val="00985A71"/>
    <w:rsid w:val="00985AF2"/>
    <w:rsid w:val="00985B06"/>
    <w:rsid w:val="00985B20"/>
    <w:rsid w:val="00985B31"/>
    <w:rsid w:val="00985B7D"/>
    <w:rsid w:val="00985BE3"/>
    <w:rsid w:val="00985C10"/>
    <w:rsid w:val="00985C33"/>
    <w:rsid w:val="00985C92"/>
    <w:rsid w:val="00985CC1"/>
    <w:rsid w:val="00985CE8"/>
    <w:rsid w:val="00985CE9"/>
    <w:rsid w:val="00985D47"/>
    <w:rsid w:val="00985D8E"/>
    <w:rsid w:val="00985D95"/>
    <w:rsid w:val="00985D97"/>
    <w:rsid w:val="00985D9B"/>
    <w:rsid w:val="00985D9F"/>
    <w:rsid w:val="00985DCF"/>
    <w:rsid w:val="00985DEF"/>
    <w:rsid w:val="00985E10"/>
    <w:rsid w:val="00985E17"/>
    <w:rsid w:val="00985E40"/>
    <w:rsid w:val="00985E43"/>
    <w:rsid w:val="00985E4B"/>
    <w:rsid w:val="00985E6F"/>
    <w:rsid w:val="00985EBA"/>
    <w:rsid w:val="00985ED6"/>
    <w:rsid w:val="00985F03"/>
    <w:rsid w:val="00985F07"/>
    <w:rsid w:val="00985F19"/>
    <w:rsid w:val="00985F27"/>
    <w:rsid w:val="00985FB2"/>
    <w:rsid w:val="00985FC8"/>
    <w:rsid w:val="00985FF2"/>
    <w:rsid w:val="0098609B"/>
    <w:rsid w:val="009860BC"/>
    <w:rsid w:val="009860D1"/>
    <w:rsid w:val="0098610C"/>
    <w:rsid w:val="00986129"/>
    <w:rsid w:val="0098612F"/>
    <w:rsid w:val="00986163"/>
    <w:rsid w:val="009861EC"/>
    <w:rsid w:val="00986236"/>
    <w:rsid w:val="00986252"/>
    <w:rsid w:val="00986296"/>
    <w:rsid w:val="009862DA"/>
    <w:rsid w:val="00986309"/>
    <w:rsid w:val="0098632F"/>
    <w:rsid w:val="0098637D"/>
    <w:rsid w:val="00986393"/>
    <w:rsid w:val="0098646C"/>
    <w:rsid w:val="009864A9"/>
    <w:rsid w:val="009864BB"/>
    <w:rsid w:val="009864FB"/>
    <w:rsid w:val="00986518"/>
    <w:rsid w:val="00986528"/>
    <w:rsid w:val="00986529"/>
    <w:rsid w:val="009865D4"/>
    <w:rsid w:val="009865F9"/>
    <w:rsid w:val="00986604"/>
    <w:rsid w:val="00986627"/>
    <w:rsid w:val="00986634"/>
    <w:rsid w:val="009866A7"/>
    <w:rsid w:val="009866AA"/>
    <w:rsid w:val="009866B4"/>
    <w:rsid w:val="009866C2"/>
    <w:rsid w:val="009866E9"/>
    <w:rsid w:val="0098675D"/>
    <w:rsid w:val="0098679A"/>
    <w:rsid w:val="009867D1"/>
    <w:rsid w:val="0098682D"/>
    <w:rsid w:val="00986937"/>
    <w:rsid w:val="009869B3"/>
    <w:rsid w:val="009869BF"/>
    <w:rsid w:val="009869EE"/>
    <w:rsid w:val="00986A08"/>
    <w:rsid w:val="00986A23"/>
    <w:rsid w:val="00986A2A"/>
    <w:rsid w:val="00986A5A"/>
    <w:rsid w:val="00986A65"/>
    <w:rsid w:val="00986A89"/>
    <w:rsid w:val="00986A8C"/>
    <w:rsid w:val="00986A8D"/>
    <w:rsid w:val="00986A8E"/>
    <w:rsid w:val="00986ABD"/>
    <w:rsid w:val="00986B26"/>
    <w:rsid w:val="00986B5E"/>
    <w:rsid w:val="00986B95"/>
    <w:rsid w:val="00986B96"/>
    <w:rsid w:val="00986B9F"/>
    <w:rsid w:val="00986C09"/>
    <w:rsid w:val="00986C3A"/>
    <w:rsid w:val="00986C3D"/>
    <w:rsid w:val="00986CA2"/>
    <w:rsid w:val="00986CAB"/>
    <w:rsid w:val="00986CC1"/>
    <w:rsid w:val="00986CC9"/>
    <w:rsid w:val="00986CCC"/>
    <w:rsid w:val="00986CCE"/>
    <w:rsid w:val="00986CE4"/>
    <w:rsid w:val="00986D10"/>
    <w:rsid w:val="00986D6C"/>
    <w:rsid w:val="00986D9C"/>
    <w:rsid w:val="00986DAD"/>
    <w:rsid w:val="00986DCE"/>
    <w:rsid w:val="00986DE3"/>
    <w:rsid w:val="00986E0F"/>
    <w:rsid w:val="00986E24"/>
    <w:rsid w:val="00986E34"/>
    <w:rsid w:val="00986E98"/>
    <w:rsid w:val="00986EAA"/>
    <w:rsid w:val="00986F06"/>
    <w:rsid w:val="00986F08"/>
    <w:rsid w:val="00986F52"/>
    <w:rsid w:val="00986F55"/>
    <w:rsid w:val="00986F70"/>
    <w:rsid w:val="00986F9F"/>
    <w:rsid w:val="00986FBD"/>
    <w:rsid w:val="0098701E"/>
    <w:rsid w:val="0098702D"/>
    <w:rsid w:val="00987037"/>
    <w:rsid w:val="00987056"/>
    <w:rsid w:val="0098706A"/>
    <w:rsid w:val="009870A5"/>
    <w:rsid w:val="00987126"/>
    <w:rsid w:val="009871C2"/>
    <w:rsid w:val="009871CE"/>
    <w:rsid w:val="009871E4"/>
    <w:rsid w:val="0098720F"/>
    <w:rsid w:val="00987210"/>
    <w:rsid w:val="00987250"/>
    <w:rsid w:val="00987254"/>
    <w:rsid w:val="0098728D"/>
    <w:rsid w:val="009872FF"/>
    <w:rsid w:val="00987314"/>
    <w:rsid w:val="00987320"/>
    <w:rsid w:val="00987334"/>
    <w:rsid w:val="00987397"/>
    <w:rsid w:val="009873A6"/>
    <w:rsid w:val="009873AF"/>
    <w:rsid w:val="009873B8"/>
    <w:rsid w:val="00987446"/>
    <w:rsid w:val="00987472"/>
    <w:rsid w:val="009874C0"/>
    <w:rsid w:val="009874C7"/>
    <w:rsid w:val="009874CA"/>
    <w:rsid w:val="009874E5"/>
    <w:rsid w:val="00987500"/>
    <w:rsid w:val="00987505"/>
    <w:rsid w:val="0098751E"/>
    <w:rsid w:val="00987546"/>
    <w:rsid w:val="009875D0"/>
    <w:rsid w:val="009875D2"/>
    <w:rsid w:val="009875DC"/>
    <w:rsid w:val="009875FB"/>
    <w:rsid w:val="00987697"/>
    <w:rsid w:val="009876A6"/>
    <w:rsid w:val="009876BD"/>
    <w:rsid w:val="00987709"/>
    <w:rsid w:val="0098771C"/>
    <w:rsid w:val="00987784"/>
    <w:rsid w:val="0098778A"/>
    <w:rsid w:val="009877A9"/>
    <w:rsid w:val="009877B6"/>
    <w:rsid w:val="009877EB"/>
    <w:rsid w:val="00987819"/>
    <w:rsid w:val="00987831"/>
    <w:rsid w:val="00987856"/>
    <w:rsid w:val="00987868"/>
    <w:rsid w:val="00987870"/>
    <w:rsid w:val="0098788B"/>
    <w:rsid w:val="0098788E"/>
    <w:rsid w:val="009878A1"/>
    <w:rsid w:val="009878B3"/>
    <w:rsid w:val="009878DD"/>
    <w:rsid w:val="009878FE"/>
    <w:rsid w:val="00987908"/>
    <w:rsid w:val="0098792C"/>
    <w:rsid w:val="00987942"/>
    <w:rsid w:val="00987959"/>
    <w:rsid w:val="00987968"/>
    <w:rsid w:val="00987990"/>
    <w:rsid w:val="009879EA"/>
    <w:rsid w:val="00987A14"/>
    <w:rsid w:val="00987A51"/>
    <w:rsid w:val="00987A9A"/>
    <w:rsid w:val="00987AA3"/>
    <w:rsid w:val="00987ABC"/>
    <w:rsid w:val="00987B05"/>
    <w:rsid w:val="00987B0F"/>
    <w:rsid w:val="00987B33"/>
    <w:rsid w:val="00987B44"/>
    <w:rsid w:val="00987CA8"/>
    <w:rsid w:val="00987D81"/>
    <w:rsid w:val="00987DBD"/>
    <w:rsid w:val="00987DF4"/>
    <w:rsid w:val="00987DFB"/>
    <w:rsid w:val="00987E38"/>
    <w:rsid w:val="00987E5F"/>
    <w:rsid w:val="00987ED3"/>
    <w:rsid w:val="00987EE3"/>
    <w:rsid w:val="00987F0F"/>
    <w:rsid w:val="00987F25"/>
    <w:rsid w:val="00987F84"/>
    <w:rsid w:val="00987FF1"/>
    <w:rsid w:val="0099001A"/>
    <w:rsid w:val="00990072"/>
    <w:rsid w:val="00990082"/>
    <w:rsid w:val="00990098"/>
    <w:rsid w:val="009900CB"/>
    <w:rsid w:val="009900EF"/>
    <w:rsid w:val="00990107"/>
    <w:rsid w:val="00990108"/>
    <w:rsid w:val="00990135"/>
    <w:rsid w:val="00990146"/>
    <w:rsid w:val="00990197"/>
    <w:rsid w:val="009901DB"/>
    <w:rsid w:val="009901F8"/>
    <w:rsid w:val="00990218"/>
    <w:rsid w:val="00990229"/>
    <w:rsid w:val="0099023C"/>
    <w:rsid w:val="009902BA"/>
    <w:rsid w:val="009902EA"/>
    <w:rsid w:val="00990301"/>
    <w:rsid w:val="0099030F"/>
    <w:rsid w:val="00990312"/>
    <w:rsid w:val="00990318"/>
    <w:rsid w:val="0099038D"/>
    <w:rsid w:val="009903AF"/>
    <w:rsid w:val="009903EC"/>
    <w:rsid w:val="0099044C"/>
    <w:rsid w:val="0099045C"/>
    <w:rsid w:val="00990488"/>
    <w:rsid w:val="009904F0"/>
    <w:rsid w:val="009905B2"/>
    <w:rsid w:val="009905E1"/>
    <w:rsid w:val="009905F0"/>
    <w:rsid w:val="00990642"/>
    <w:rsid w:val="00990681"/>
    <w:rsid w:val="00990696"/>
    <w:rsid w:val="009906E5"/>
    <w:rsid w:val="0099074D"/>
    <w:rsid w:val="0099076E"/>
    <w:rsid w:val="00990775"/>
    <w:rsid w:val="00990796"/>
    <w:rsid w:val="0099079A"/>
    <w:rsid w:val="009907A7"/>
    <w:rsid w:val="009907B1"/>
    <w:rsid w:val="009907C9"/>
    <w:rsid w:val="009907EA"/>
    <w:rsid w:val="00990831"/>
    <w:rsid w:val="00990872"/>
    <w:rsid w:val="0099088E"/>
    <w:rsid w:val="00990897"/>
    <w:rsid w:val="009908A2"/>
    <w:rsid w:val="009908A9"/>
    <w:rsid w:val="009908D6"/>
    <w:rsid w:val="009908E7"/>
    <w:rsid w:val="00990919"/>
    <w:rsid w:val="00990922"/>
    <w:rsid w:val="00990982"/>
    <w:rsid w:val="009909B1"/>
    <w:rsid w:val="009909C4"/>
    <w:rsid w:val="00990A54"/>
    <w:rsid w:val="00990AA2"/>
    <w:rsid w:val="00990B47"/>
    <w:rsid w:val="00990B5E"/>
    <w:rsid w:val="00990BAB"/>
    <w:rsid w:val="00990C2E"/>
    <w:rsid w:val="00990C47"/>
    <w:rsid w:val="00990C5A"/>
    <w:rsid w:val="00990CA5"/>
    <w:rsid w:val="00990CF5"/>
    <w:rsid w:val="00990D1D"/>
    <w:rsid w:val="00990D26"/>
    <w:rsid w:val="00990D39"/>
    <w:rsid w:val="00990D42"/>
    <w:rsid w:val="00990D4E"/>
    <w:rsid w:val="00990DA6"/>
    <w:rsid w:val="00990E29"/>
    <w:rsid w:val="00990E2D"/>
    <w:rsid w:val="00990E73"/>
    <w:rsid w:val="00990E74"/>
    <w:rsid w:val="00990E7A"/>
    <w:rsid w:val="00990E7B"/>
    <w:rsid w:val="00990EBE"/>
    <w:rsid w:val="00990EE0"/>
    <w:rsid w:val="00990F12"/>
    <w:rsid w:val="00990F17"/>
    <w:rsid w:val="00990F27"/>
    <w:rsid w:val="00990F38"/>
    <w:rsid w:val="00990F40"/>
    <w:rsid w:val="00990F89"/>
    <w:rsid w:val="00990F8B"/>
    <w:rsid w:val="00990FA4"/>
    <w:rsid w:val="00990FB1"/>
    <w:rsid w:val="00990FC6"/>
    <w:rsid w:val="00991003"/>
    <w:rsid w:val="00991060"/>
    <w:rsid w:val="009910BD"/>
    <w:rsid w:val="009910FE"/>
    <w:rsid w:val="00991157"/>
    <w:rsid w:val="009911B3"/>
    <w:rsid w:val="00991200"/>
    <w:rsid w:val="00991210"/>
    <w:rsid w:val="00991220"/>
    <w:rsid w:val="0099125D"/>
    <w:rsid w:val="00991272"/>
    <w:rsid w:val="009912A1"/>
    <w:rsid w:val="009912C9"/>
    <w:rsid w:val="00991329"/>
    <w:rsid w:val="00991366"/>
    <w:rsid w:val="00991373"/>
    <w:rsid w:val="0099138F"/>
    <w:rsid w:val="00991390"/>
    <w:rsid w:val="009913A3"/>
    <w:rsid w:val="009913D9"/>
    <w:rsid w:val="009913E2"/>
    <w:rsid w:val="00991415"/>
    <w:rsid w:val="00991437"/>
    <w:rsid w:val="00991457"/>
    <w:rsid w:val="00991486"/>
    <w:rsid w:val="00991489"/>
    <w:rsid w:val="009914A8"/>
    <w:rsid w:val="009914B6"/>
    <w:rsid w:val="0099151B"/>
    <w:rsid w:val="00991527"/>
    <w:rsid w:val="0099153B"/>
    <w:rsid w:val="00991551"/>
    <w:rsid w:val="009915B6"/>
    <w:rsid w:val="0099165C"/>
    <w:rsid w:val="0099172B"/>
    <w:rsid w:val="00991732"/>
    <w:rsid w:val="0099174B"/>
    <w:rsid w:val="00991796"/>
    <w:rsid w:val="009917BB"/>
    <w:rsid w:val="009917CF"/>
    <w:rsid w:val="009917D5"/>
    <w:rsid w:val="009917DB"/>
    <w:rsid w:val="00991828"/>
    <w:rsid w:val="00991867"/>
    <w:rsid w:val="0099187F"/>
    <w:rsid w:val="0099189F"/>
    <w:rsid w:val="009918DE"/>
    <w:rsid w:val="00991994"/>
    <w:rsid w:val="00991A1E"/>
    <w:rsid w:val="00991A43"/>
    <w:rsid w:val="00991A44"/>
    <w:rsid w:val="00991A6A"/>
    <w:rsid w:val="00991AB5"/>
    <w:rsid w:val="00991ACA"/>
    <w:rsid w:val="00991B08"/>
    <w:rsid w:val="00991B13"/>
    <w:rsid w:val="00991B43"/>
    <w:rsid w:val="00991B71"/>
    <w:rsid w:val="00991BA1"/>
    <w:rsid w:val="00991C16"/>
    <w:rsid w:val="00991CA0"/>
    <w:rsid w:val="00991CEB"/>
    <w:rsid w:val="00991D30"/>
    <w:rsid w:val="00991D92"/>
    <w:rsid w:val="00991DCE"/>
    <w:rsid w:val="00991E20"/>
    <w:rsid w:val="00991E4D"/>
    <w:rsid w:val="00991E66"/>
    <w:rsid w:val="00991EA0"/>
    <w:rsid w:val="00991EAC"/>
    <w:rsid w:val="00991EF3"/>
    <w:rsid w:val="00991F10"/>
    <w:rsid w:val="00991F3A"/>
    <w:rsid w:val="00991F6F"/>
    <w:rsid w:val="00991F99"/>
    <w:rsid w:val="00991FBE"/>
    <w:rsid w:val="00991FC8"/>
    <w:rsid w:val="0099200B"/>
    <w:rsid w:val="00992016"/>
    <w:rsid w:val="00992018"/>
    <w:rsid w:val="0099206B"/>
    <w:rsid w:val="009920CE"/>
    <w:rsid w:val="009920F0"/>
    <w:rsid w:val="00992124"/>
    <w:rsid w:val="00992146"/>
    <w:rsid w:val="00992149"/>
    <w:rsid w:val="00992172"/>
    <w:rsid w:val="00992178"/>
    <w:rsid w:val="00992207"/>
    <w:rsid w:val="0099220C"/>
    <w:rsid w:val="009922A7"/>
    <w:rsid w:val="009922B4"/>
    <w:rsid w:val="0099232C"/>
    <w:rsid w:val="009923B9"/>
    <w:rsid w:val="00992404"/>
    <w:rsid w:val="00992424"/>
    <w:rsid w:val="0099242B"/>
    <w:rsid w:val="0099247A"/>
    <w:rsid w:val="00992497"/>
    <w:rsid w:val="009924A6"/>
    <w:rsid w:val="009924E0"/>
    <w:rsid w:val="00992505"/>
    <w:rsid w:val="00992576"/>
    <w:rsid w:val="00992599"/>
    <w:rsid w:val="009925A9"/>
    <w:rsid w:val="009925EE"/>
    <w:rsid w:val="00992611"/>
    <w:rsid w:val="00992646"/>
    <w:rsid w:val="00992668"/>
    <w:rsid w:val="009926F5"/>
    <w:rsid w:val="00992705"/>
    <w:rsid w:val="00992759"/>
    <w:rsid w:val="0099275B"/>
    <w:rsid w:val="00992788"/>
    <w:rsid w:val="00992792"/>
    <w:rsid w:val="0099281D"/>
    <w:rsid w:val="00992844"/>
    <w:rsid w:val="0099285C"/>
    <w:rsid w:val="00992869"/>
    <w:rsid w:val="009928A9"/>
    <w:rsid w:val="00992968"/>
    <w:rsid w:val="00992984"/>
    <w:rsid w:val="009929C4"/>
    <w:rsid w:val="009929F9"/>
    <w:rsid w:val="009929FA"/>
    <w:rsid w:val="00992A7A"/>
    <w:rsid w:val="00992A83"/>
    <w:rsid w:val="00992AAC"/>
    <w:rsid w:val="00992B49"/>
    <w:rsid w:val="00992BE9"/>
    <w:rsid w:val="00992C4E"/>
    <w:rsid w:val="00992C5D"/>
    <w:rsid w:val="00992C91"/>
    <w:rsid w:val="00992CA0"/>
    <w:rsid w:val="00992CB6"/>
    <w:rsid w:val="00992CB8"/>
    <w:rsid w:val="00992D06"/>
    <w:rsid w:val="00992D57"/>
    <w:rsid w:val="00992D85"/>
    <w:rsid w:val="00992DD2"/>
    <w:rsid w:val="00992DDD"/>
    <w:rsid w:val="00992DFC"/>
    <w:rsid w:val="00992E28"/>
    <w:rsid w:val="00992E2A"/>
    <w:rsid w:val="00992E53"/>
    <w:rsid w:val="00992ECA"/>
    <w:rsid w:val="00992F34"/>
    <w:rsid w:val="00992F78"/>
    <w:rsid w:val="00992F9E"/>
    <w:rsid w:val="0099300E"/>
    <w:rsid w:val="00993040"/>
    <w:rsid w:val="009930B7"/>
    <w:rsid w:val="009930CC"/>
    <w:rsid w:val="00993102"/>
    <w:rsid w:val="00993115"/>
    <w:rsid w:val="00993131"/>
    <w:rsid w:val="009931B7"/>
    <w:rsid w:val="009931BB"/>
    <w:rsid w:val="009931D0"/>
    <w:rsid w:val="009931E0"/>
    <w:rsid w:val="009931EA"/>
    <w:rsid w:val="0099320D"/>
    <w:rsid w:val="0099323A"/>
    <w:rsid w:val="009932BD"/>
    <w:rsid w:val="009932EB"/>
    <w:rsid w:val="00993358"/>
    <w:rsid w:val="00993392"/>
    <w:rsid w:val="0099342F"/>
    <w:rsid w:val="0099348D"/>
    <w:rsid w:val="009934A9"/>
    <w:rsid w:val="009934B2"/>
    <w:rsid w:val="009934B6"/>
    <w:rsid w:val="00993514"/>
    <w:rsid w:val="0099351B"/>
    <w:rsid w:val="0099358A"/>
    <w:rsid w:val="0099360B"/>
    <w:rsid w:val="00993652"/>
    <w:rsid w:val="009936B5"/>
    <w:rsid w:val="0099370C"/>
    <w:rsid w:val="00993719"/>
    <w:rsid w:val="00993780"/>
    <w:rsid w:val="009937A9"/>
    <w:rsid w:val="009937AA"/>
    <w:rsid w:val="009937C5"/>
    <w:rsid w:val="009937CD"/>
    <w:rsid w:val="009937FA"/>
    <w:rsid w:val="0099381E"/>
    <w:rsid w:val="0099382F"/>
    <w:rsid w:val="0099384E"/>
    <w:rsid w:val="0099391D"/>
    <w:rsid w:val="009939A5"/>
    <w:rsid w:val="009939AA"/>
    <w:rsid w:val="00993A15"/>
    <w:rsid w:val="00993A36"/>
    <w:rsid w:val="00993A71"/>
    <w:rsid w:val="00993A88"/>
    <w:rsid w:val="00993B35"/>
    <w:rsid w:val="00993B58"/>
    <w:rsid w:val="00993BC1"/>
    <w:rsid w:val="00993C0C"/>
    <w:rsid w:val="00993C30"/>
    <w:rsid w:val="00993C5F"/>
    <w:rsid w:val="00993C66"/>
    <w:rsid w:val="00993CC9"/>
    <w:rsid w:val="00993CCF"/>
    <w:rsid w:val="00993D1E"/>
    <w:rsid w:val="00993D7F"/>
    <w:rsid w:val="00993E0F"/>
    <w:rsid w:val="00993E20"/>
    <w:rsid w:val="00993E60"/>
    <w:rsid w:val="00993E75"/>
    <w:rsid w:val="00993F59"/>
    <w:rsid w:val="00993F65"/>
    <w:rsid w:val="00993F9A"/>
    <w:rsid w:val="00993FCC"/>
    <w:rsid w:val="0099400E"/>
    <w:rsid w:val="0099402C"/>
    <w:rsid w:val="00994099"/>
    <w:rsid w:val="009940CA"/>
    <w:rsid w:val="009940D2"/>
    <w:rsid w:val="00994151"/>
    <w:rsid w:val="00994177"/>
    <w:rsid w:val="0099419B"/>
    <w:rsid w:val="009941E4"/>
    <w:rsid w:val="0099420C"/>
    <w:rsid w:val="00994216"/>
    <w:rsid w:val="00994221"/>
    <w:rsid w:val="00994271"/>
    <w:rsid w:val="0099436D"/>
    <w:rsid w:val="009943C6"/>
    <w:rsid w:val="00994421"/>
    <w:rsid w:val="0099443D"/>
    <w:rsid w:val="00994462"/>
    <w:rsid w:val="0099447F"/>
    <w:rsid w:val="009944A7"/>
    <w:rsid w:val="009944BA"/>
    <w:rsid w:val="009944D8"/>
    <w:rsid w:val="00994509"/>
    <w:rsid w:val="0099451A"/>
    <w:rsid w:val="00994541"/>
    <w:rsid w:val="0099455D"/>
    <w:rsid w:val="0099459D"/>
    <w:rsid w:val="009945DF"/>
    <w:rsid w:val="009945F2"/>
    <w:rsid w:val="00994656"/>
    <w:rsid w:val="00994672"/>
    <w:rsid w:val="009946A5"/>
    <w:rsid w:val="009946A9"/>
    <w:rsid w:val="009946EA"/>
    <w:rsid w:val="00994722"/>
    <w:rsid w:val="0099474A"/>
    <w:rsid w:val="00994792"/>
    <w:rsid w:val="009947C2"/>
    <w:rsid w:val="009947D3"/>
    <w:rsid w:val="009948FF"/>
    <w:rsid w:val="00994900"/>
    <w:rsid w:val="00994995"/>
    <w:rsid w:val="0099499A"/>
    <w:rsid w:val="00994A70"/>
    <w:rsid w:val="00994A76"/>
    <w:rsid w:val="00994B3F"/>
    <w:rsid w:val="00994B6C"/>
    <w:rsid w:val="00994B9B"/>
    <w:rsid w:val="00994BAA"/>
    <w:rsid w:val="00994BBB"/>
    <w:rsid w:val="00994BD0"/>
    <w:rsid w:val="00994C86"/>
    <w:rsid w:val="00994CA0"/>
    <w:rsid w:val="00994CD0"/>
    <w:rsid w:val="00994CDC"/>
    <w:rsid w:val="00994D5B"/>
    <w:rsid w:val="00994D95"/>
    <w:rsid w:val="00994DAA"/>
    <w:rsid w:val="00994DB0"/>
    <w:rsid w:val="00994DBA"/>
    <w:rsid w:val="00994E66"/>
    <w:rsid w:val="00994E9C"/>
    <w:rsid w:val="00994EB8"/>
    <w:rsid w:val="00994EE3"/>
    <w:rsid w:val="00994F9B"/>
    <w:rsid w:val="00994FCB"/>
    <w:rsid w:val="00994FEC"/>
    <w:rsid w:val="0099503A"/>
    <w:rsid w:val="0099504D"/>
    <w:rsid w:val="009950A0"/>
    <w:rsid w:val="009950B2"/>
    <w:rsid w:val="009950EF"/>
    <w:rsid w:val="0099510E"/>
    <w:rsid w:val="0099511C"/>
    <w:rsid w:val="00995142"/>
    <w:rsid w:val="009952EB"/>
    <w:rsid w:val="0099533C"/>
    <w:rsid w:val="00995345"/>
    <w:rsid w:val="0099535B"/>
    <w:rsid w:val="00995368"/>
    <w:rsid w:val="009953B6"/>
    <w:rsid w:val="009953D4"/>
    <w:rsid w:val="009953DF"/>
    <w:rsid w:val="00995427"/>
    <w:rsid w:val="00995497"/>
    <w:rsid w:val="009954AF"/>
    <w:rsid w:val="009954F7"/>
    <w:rsid w:val="0099553A"/>
    <w:rsid w:val="009955C3"/>
    <w:rsid w:val="009955E4"/>
    <w:rsid w:val="00995607"/>
    <w:rsid w:val="0099560A"/>
    <w:rsid w:val="0099560C"/>
    <w:rsid w:val="00995612"/>
    <w:rsid w:val="00995662"/>
    <w:rsid w:val="0099568F"/>
    <w:rsid w:val="009956F8"/>
    <w:rsid w:val="0099578C"/>
    <w:rsid w:val="009957A6"/>
    <w:rsid w:val="009957BD"/>
    <w:rsid w:val="009957FB"/>
    <w:rsid w:val="00995808"/>
    <w:rsid w:val="0099581E"/>
    <w:rsid w:val="00995835"/>
    <w:rsid w:val="00995872"/>
    <w:rsid w:val="00995879"/>
    <w:rsid w:val="0099587F"/>
    <w:rsid w:val="00995882"/>
    <w:rsid w:val="0099588A"/>
    <w:rsid w:val="0099589C"/>
    <w:rsid w:val="009958ED"/>
    <w:rsid w:val="00995966"/>
    <w:rsid w:val="00995976"/>
    <w:rsid w:val="009959A1"/>
    <w:rsid w:val="009959D2"/>
    <w:rsid w:val="009959E6"/>
    <w:rsid w:val="00995A06"/>
    <w:rsid w:val="00995A0E"/>
    <w:rsid w:val="00995A15"/>
    <w:rsid w:val="00995A1F"/>
    <w:rsid w:val="00995A77"/>
    <w:rsid w:val="00995AA5"/>
    <w:rsid w:val="00995AE9"/>
    <w:rsid w:val="00995B52"/>
    <w:rsid w:val="00995B84"/>
    <w:rsid w:val="00995BB4"/>
    <w:rsid w:val="00995BBD"/>
    <w:rsid w:val="00995BDD"/>
    <w:rsid w:val="00995C87"/>
    <w:rsid w:val="00995D09"/>
    <w:rsid w:val="00995D60"/>
    <w:rsid w:val="00995D64"/>
    <w:rsid w:val="00995DD7"/>
    <w:rsid w:val="00995E16"/>
    <w:rsid w:val="00995EED"/>
    <w:rsid w:val="00995F2A"/>
    <w:rsid w:val="00995F2E"/>
    <w:rsid w:val="00995F37"/>
    <w:rsid w:val="00995F45"/>
    <w:rsid w:val="00995FA3"/>
    <w:rsid w:val="00995FB3"/>
    <w:rsid w:val="00995FC3"/>
    <w:rsid w:val="00995FF1"/>
    <w:rsid w:val="00996021"/>
    <w:rsid w:val="0099602E"/>
    <w:rsid w:val="0099605E"/>
    <w:rsid w:val="00996127"/>
    <w:rsid w:val="00996185"/>
    <w:rsid w:val="00996191"/>
    <w:rsid w:val="009961D3"/>
    <w:rsid w:val="00996221"/>
    <w:rsid w:val="00996247"/>
    <w:rsid w:val="0099627B"/>
    <w:rsid w:val="0099630A"/>
    <w:rsid w:val="0099630C"/>
    <w:rsid w:val="00996310"/>
    <w:rsid w:val="00996350"/>
    <w:rsid w:val="00996369"/>
    <w:rsid w:val="009963A8"/>
    <w:rsid w:val="00996446"/>
    <w:rsid w:val="00996465"/>
    <w:rsid w:val="009964DF"/>
    <w:rsid w:val="009964E9"/>
    <w:rsid w:val="009964F6"/>
    <w:rsid w:val="00996536"/>
    <w:rsid w:val="00996566"/>
    <w:rsid w:val="00996589"/>
    <w:rsid w:val="009965BD"/>
    <w:rsid w:val="009966AA"/>
    <w:rsid w:val="009966C6"/>
    <w:rsid w:val="00996704"/>
    <w:rsid w:val="00996711"/>
    <w:rsid w:val="0099671B"/>
    <w:rsid w:val="00996759"/>
    <w:rsid w:val="0099680B"/>
    <w:rsid w:val="00996838"/>
    <w:rsid w:val="00996877"/>
    <w:rsid w:val="009968AF"/>
    <w:rsid w:val="009968B9"/>
    <w:rsid w:val="009968CF"/>
    <w:rsid w:val="009968EB"/>
    <w:rsid w:val="009968F5"/>
    <w:rsid w:val="0099690E"/>
    <w:rsid w:val="00996919"/>
    <w:rsid w:val="0099697C"/>
    <w:rsid w:val="009969B3"/>
    <w:rsid w:val="009969FE"/>
    <w:rsid w:val="00996A6F"/>
    <w:rsid w:val="00996A94"/>
    <w:rsid w:val="00996AA2"/>
    <w:rsid w:val="00996AD2"/>
    <w:rsid w:val="00996AF4"/>
    <w:rsid w:val="00996B17"/>
    <w:rsid w:val="00996B8C"/>
    <w:rsid w:val="00996BFA"/>
    <w:rsid w:val="00996C3D"/>
    <w:rsid w:val="00996C50"/>
    <w:rsid w:val="00996CB6"/>
    <w:rsid w:val="00996CC6"/>
    <w:rsid w:val="00996CD1"/>
    <w:rsid w:val="00996D17"/>
    <w:rsid w:val="00996D53"/>
    <w:rsid w:val="00996D62"/>
    <w:rsid w:val="00996DAF"/>
    <w:rsid w:val="00996E2E"/>
    <w:rsid w:val="00996E71"/>
    <w:rsid w:val="00996E88"/>
    <w:rsid w:val="00996EB5"/>
    <w:rsid w:val="00996EB9"/>
    <w:rsid w:val="00996ED2"/>
    <w:rsid w:val="00996F25"/>
    <w:rsid w:val="00996F7C"/>
    <w:rsid w:val="00996FB7"/>
    <w:rsid w:val="00996FC1"/>
    <w:rsid w:val="00996FFC"/>
    <w:rsid w:val="00997016"/>
    <w:rsid w:val="00997017"/>
    <w:rsid w:val="0099703D"/>
    <w:rsid w:val="0099704D"/>
    <w:rsid w:val="0099705E"/>
    <w:rsid w:val="0099707E"/>
    <w:rsid w:val="0099708B"/>
    <w:rsid w:val="00997116"/>
    <w:rsid w:val="0099711F"/>
    <w:rsid w:val="00997246"/>
    <w:rsid w:val="00997255"/>
    <w:rsid w:val="00997258"/>
    <w:rsid w:val="0099725C"/>
    <w:rsid w:val="009972A7"/>
    <w:rsid w:val="009972C4"/>
    <w:rsid w:val="0099730D"/>
    <w:rsid w:val="009973EE"/>
    <w:rsid w:val="00997419"/>
    <w:rsid w:val="0099742A"/>
    <w:rsid w:val="00997465"/>
    <w:rsid w:val="00997498"/>
    <w:rsid w:val="009974D5"/>
    <w:rsid w:val="0099750E"/>
    <w:rsid w:val="0099750F"/>
    <w:rsid w:val="00997553"/>
    <w:rsid w:val="00997556"/>
    <w:rsid w:val="009975B2"/>
    <w:rsid w:val="009975DC"/>
    <w:rsid w:val="0099762F"/>
    <w:rsid w:val="0099763D"/>
    <w:rsid w:val="00997686"/>
    <w:rsid w:val="0099768F"/>
    <w:rsid w:val="00997696"/>
    <w:rsid w:val="009976BC"/>
    <w:rsid w:val="00997709"/>
    <w:rsid w:val="00997724"/>
    <w:rsid w:val="00997781"/>
    <w:rsid w:val="009977CB"/>
    <w:rsid w:val="00997807"/>
    <w:rsid w:val="0099780A"/>
    <w:rsid w:val="0099783C"/>
    <w:rsid w:val="009978B7"/>
    <w:rsid w:val="009978FA"/>
    <w:rsid w:val="00997945"/>
    <w:rsid w:val="00997971"/>
    <w:rsid w:val="0099798E"/>
    <w:rsid w:val="009979EE"/>
    <w:rsid w:val="00997A39"/>
    <w:rsid w:val="00997A41"/>
    <w:rsid w:val="00997A55"/>
    <w:rsid w:val="00997B12"/>
    <w:rsid w:val="00997B29"/>
    <w:rsid w:val="00997B58"/>
    <w:rsid w:val="00997C4D"/>
    <w:rsid w:val="00997C93"/>
    <w:rsid w:val="00997C95"/>
    <w:rsid w:val="00997CD0"/>
    <w:rsid w:val="00997CE6"/>
    <w:rsid w:val="00997D09"/>
    <w:rsid w:val="00997D17"/>
    <w:rsid w:val="00997D97"/>
    <w:rsid w:val="00997DF1"/>
    <w:rsid w:val="00997E76"/>
    <w:rsid w:val="00997ECC"/>
    <w:rsid w:val="00997F4D"/>
    <w:rsid w:val="00997F5A"/>
    <w:rsid w:val="00997F66"/>
    <w:rsid w:val="00997FD8"/>
    <w:rsid w:val="009A0002"/>
    <w:rsid w:val="009A0007"/>
    <w:rsid w:val="009A005E"/>
    <w:rsid w:val="009A0070"/>
    <w:rsid w:val="009A0075"/>
    <w:rsid w:val="009A0087"/>
    <w:rsid w:val="009A0155"/>
    <w:rsid w:val="009A015F"/>
    <w:rsid w:val="009A0290"/>
    <w:rsid w:val="009A02E1"/>
    <w:rsid w:val="009A02E3"/>
    <w:rsid w:val="009A02FA"/>
    <w:rsid w:val="009A0337"/>
    <w:rsid w:val="009A03C8"/>
    <w:rsid w:val="009A041F"/>
    <w:rsid w:val="009A044B"/>
    <w:rsid w:val="009A0453"/>
    <w:rsid w:val="009A0483"/>
    <w:rsid w:val="009A04D5"/>
    <w:rsid w:val="009A04E0"/>
    <w:rsid w:val="009A04E6"/>
    <w:rsid w:val="009A0532"/>
    <w:rsid w:val="009A053E"/>
    <w:rsid w:val="009A0554"/>
    <w:rsid w:val="009A0564"/>
    <w:rsid w:val="009A057D"/>
    <w:rsid w:val="009A0595"/>
    <w:rsid w:val="009A05D6"/>
    <w:rsid w:val="009A05D9"/>
    <w:rsid w:val="009A05F1"/>
    <w:rsid w:val="009A0646"/>
    <w:rsid w:val="009A0679"/>
    <w:rsid w:val="009A0683"/>
    <w:rsid w:val="009A06BF"/>
    <w:rsid w:val="009A06E9"/>
    <w:rsid w:val="009A06FB"/>
    <w:rsid w:val="009A073D"/>
    <w:rsid w:val="009A0762"/>
    <w:rsid w:val="009A0778"/>
    <w:rsid w:val="009A078C"/>
    <w:rsid w:val="009A07DC"/>
    <w:rsid w:val="009A0809"/>
    <w:rsid w:val="009A0828"/>
    <w:rsid w:val="009A0867"/>
    <w:rsid w:val="009A0873"/>
    <w:rsid w:val="009A0898"/>
    <w:rsid w:val="009A089D"/>
    <w:rsid w:val="009A08AD"/>
    <w:rsid w:val="009A08FD"/>
    <w:rsid w:val="009A0907"/>
    <w:rsid w:val="009A0921"/>
    <w:rsid w:val="009A0961"/>
    <w:rsid w:val="009A0978"/>
    <w:rsid w:val="009A09EE"/>
    <w:rsid w:val="009A09FD"/>
    <w:rsid w:val="009A0A54"/>
    <w:rsid w:val="009A0A7A"/>
    <w:rsid w:val="009A0A9A"/>
    <w:rsid w:val="009A0ABF"/>
    <w:rsid w:val="009A0AD1"/>
    <w:rsid w:val="009A0B3C"/>
    <w:rsid w:val="009A0B48"/>
    <w:rsid w:val="009A0B97"/>
    <w:rsid w:val="009A0BA7"/>
    <w:rsid w:val="009A0C24"/>
    <w:rsid w:val="009A0C60"/>
    <w:rsid w:val="009A0C93"/>
    <w:rsid w:val="009A0CA8"/>
    <w:rsid w:val="009A0CAF"/>
    <w:rsid w:val="009A0CE8"/>
    <w:rsid w:val="009A0D30"/>
    <w:rsid w:val="009A0D5E"/>
    <w:rsid w:val="009A0E0D"/>
    <w:rsid w:val="009A0E3B"/>
    <w:rsid w:val="009A0E69"/>
    <w:rsid w:val="009A0E78"/>
    <w:rsid w:val="009A0E7B"/>
    <w:rsid w:val="009A0E8E"/>
    <w:rsid w:val="009A0EBD"/>
    <w:rsid w:val="009A0EF5"/>
    <w:rsid w:val="009A0F0A"/>
    <w:rsid w:val="009A0F1C"/>
    <w:rsid w:val="009A0F2B"/>
    <w:rsid w:val="009A0F82"/>
    <w:rsid w:val="009A0F96"/>
    <w:rsid w:val="009A0FB6"/>
    <w:rsid w:val="009A0FD7"/>
    <w:rsid w:val="009A0FFF"/>
    <w:rsid w:val="009A100D"/>
    <w:rsid w:val="009A104F"/>
    <w:rsid w:val="009A1053"/>
    <w:rsid w:val="009A10A1"/>
    <w:rsid w:val="009A10E1"/>
    <w:rsid w:val="009A1109"/>
    <w:rsid w:val="009A1122"/>
    <w:rsid w:val="009A114C"/>
    <w:rsid w:val="009A1172"/>
    <w:rsid w:val="009A119C"/>
    <w:rsid w:val="009A11B3"/>
    <w:rsid w:val="009A11C5"/>
    <w:rsid w:val="009A11E3"/>
    <w:rsid w:val="009A1238"/>
    <w:rsid w:val="009A125B"/>
    <w:rsid w:val="009A12AD"/>
    <w:rsid w:val="009A12FE"/>
    <w:rsid w:val="009A1306"/>
    <w:rsid w:val="009A130E"/>
    <w:rsid w:val="009A1371"/>
    <w:rsid w:val="009A1375"/>
    <w:rsid w:val="009A13A0"/>
    <w:rsid w:val="009A13B3"/>
    <w:rsid w:val="009A13D2"/>
    <w:rsid w:val="009A13E6"/>
    <w:rsid w:val="009A13F7"/>
    <w:rsid w:val="009A1442"/>
    <w:rsid w:val="009A1528"/>
    <w:rsid w:val="009A1536"/>
    <w:rsid w:val="009A155B"/>
    <w:rsid w:val="009A15AB"/>
    <w:rsid w:val="009A1621"/>
    <w:rsid w:val="009A1656"/>
    <w:rsid w:val="009A16A4"/>
    <w:rsid w:val="009A16B8"/>
    <w:rsid w:val="009A16F2"/>
    <w:rsid w:val="009A176B"/>
    <w:rsid w:val="009A17D0"/>
    <w:rsid w:val="009A17FD"/>
    <w:rsid w:val="009A1836"/>
    <w:rsid w:val="009A1889"/>
    <w:rsid w:val="009A18C1"/>
    <w:rsid w:val="009A18EB"/>
    <w:rsid w:val="009A19CA"/>
    <w:rsid w:val="009A19F0"/>
    <w:rsid w:val="009A19F1"/>
    <w:rsid w:val="009A1B0E"/>
    <w:rsid w:val="009A1BBE"/>
    <w:rsid w:val="009A1BD1"/>
    <w:rsid w:val="009A1C2C"/>
    <w:rsid w:val="009A1CAB"/>
    <w:rsid w:val="009A1CC8"/>
    <w:rsid w:val="009A1CCF"/>
    <w:rsid w:val="009A1D35"/>
    <w:rsid w:val="009A1D80"/>
    <w:rsid w:val="009A1DCF"/>
    <w:rsid w:val="009A1DD2"/>
    <w:rsid w:val="009A1E65"/>
    <w:rsid w:val="009A1E7F"/>
    <w:rsid w:val="009A1EB4"/>
    <w:rsid w:val="009A1ED1"/>
    <w:rsid w:val="009A1F1F"/>
    <w:rsid w:val="009A1F29"/>
    <w:rsid w:val="009A1F5D"/>
    <w:rsid w:val="009A204A"/>
    <w:rsid w:val="009A204B"/>
    <w:rsid w:val="009A20BC"/>
    <w:rsid w:val="009A20C8"/>
    <w:rsid w:val="009A20CC"/>
    <w:rsid w:val="009A20E7"/>
    <w:rsid w:val="009A2175"/>
    <w:rsid w:val="009A2203"/>
    <w:rsid w:val="009A222D"/>
    <w:rsid w:val="009A2233"/>
    <w:rsid w:val="009A2251"/>
    <w:rsid w:val="009A2291"/>
    <w:rsid w:val="009A22A1"/>
    <w:rsid w:val="009A22E8"/>
    <w:rsid w:val="009A234B"/>
    <w:rsid w:val="009A2371"/>
    <w:rsid w:val="009A238C"/>
    <w:rsid w:val="009A2398"/>
    <w:rsid w:val="009A23A5"/>
    <w:rsid w:val="009A23C6"/>
    <w:rsid w:val="009A2465"/>
    <w:rsid w:val="009A2468"/>
    <w:rsid w:val="009A2471"/>
    <w:rsid w:val="009A25A6"/>
    <w:rsid w:val="009A25A7"/>
    <w:rsid w:val="009A25BD"/>
    <w:rsid w:val="009A25CB"/>
    <w:rsid w:val="009A2605"/>
    <w:rsid w:val="009A2615"/>
    <w:rsid w:val="009A2641"/>
    <w:rsid w:val="009A264C"/>
    <w:rsid w:val="009A2664"/>
    <w:rsid w:val="009A26D2"/>
    <w:rsid w:val="009A26D7"/>
    <w:rsid w:val="009A26E5"/>
    <w:rsid w:val="009A26EE"/>
    <w:rsid w:val="009A2767"/>
    <w:rsid w:val="009A280D"/>
    <w:rsid w:val="009A284B"/>
    <w:rsid w:val="009A2868"/>
    <w:rsid w:val="009A2874"/>
    <w:rsid w:val="009A28B7"/>
    <w:rsid w:val="009A28BE"/>
    <w:rsid w:val="009A28CC"/>
    <w:rsid w:val="009A28F3"/>
    <w:rsid w:val="009A2902"/>
    <w:rsid w:val="009A2927"/>
    <w:rsid w:val="009A299F"/>
    <w:rsid w:val="009A29A9"/>
    <w:rsid w:val="009A2A12"/>
    <w:rsid w:val="009A2AD8"/>
    <w:rsid w:val="009A2AFB"/>
    <w:rsid w:val="009A2B24"/>
    <w:rsid w:val="009A2B32"/>
    <w:rsid w:val="009A2B55"/>
    <w:rsid w:val="009A2B5E"/>
    <w:rsid w:val="009A2BD4"/>
    <w:rsid w:val="009A2C26"/>
    <w:rsid w:val="009A2C37"/>
    <w:rsid w:val="009A2C41"/>
    <w:rsid w:val="009A2C62"/>
    <w:rsid w:val="009A2C7E"/>
    <w:rsid w:val="009A2C98"/>
    <w:rsid w:val="009A2CF8"/>
    <w:rsid w:val="009A2D0F"/>
    <w:rsid w:val="009A2D9C"/>
    <w:rsid w:val="009A2DE0"/>
    <w:rsid w:val="009A2E53"/>
    <w:rsid w:val="009A2E59"/>
    <w:rsid w:val="009A2E5B"/>
    <w:rsid w:val="009A2E67"/>
    <w:rsid w:val="009A2EB0"/>
    <w:rsid w:val="009A2EBD"/>
    <w:rsid w:val="009A2EC5"/>
    <w:rsid w:val="009A2F7E"/>
    <w:rsid w:val="009A3009"/>
    <w:rsid w:val="009A3034"/>
    <w:rsid w:val="009A303F"/>
    <w:rsid w:val="009A306E"/>
    <w:rsid w:val="009A30B8"/>
    <w:rsid w:val="009A3140"/>
    <w:rsid w:val="009A3148"/>
    <w:rsid w:val="009A318B"/>
    <w:rsid w:val="009A31D2"/>
    <w:rsid w:val="009A3234"/>
    <w:rsid w:val="009A3276"/>
    <w:rsid w:val="009A3282"/>
    <w:rsid w:val="009A3295"/>
    <w:rsid w:val="009A3300"/>
    <w:rsid w:val="009A3316"/>
    <w:rsid w:val="009A332B"/>
    <w:rsid w:val="009A3358"/>
    <w:rsid w:val="009A3373"/>
    <w:rsid w:val="009A339F"/>
    <w:rsid w:val="009A33A3"/>
    <w:rsid w:val="009A3461"/>
    <w:rsid w:val="009A3486"/>
    <w:rsid w:val="009A3488"/>
    <w:rsid w:val="009A3515"/>
    <w:rsid w:val="009A3520"/>
    <w:rsid w:val="009A3557"/>
    <w:rsid w:val="009A35A7"/>
    <w:rsid w:val="009A35BE"/>
    <w:rsid w:val="009A35C2"/>
    <w:rsid w:val="009A3664"/>
    <w:rsid w:val="009A36BE"/>
    <w:rsid w:val="009A36FB"/>
    <w:rsid w:val="009A373A"/>
    <w:rsid w:val="009A373C"/>
    <w:rsid w:val="009A3751"/>
    <w:rsid w:val="009A375A"/>
    <w:rsid w:val="009A3777"/>
    <w:rsid w:val="009A379E"/>
    <w:rsid w:val="009A3804"/>
    <w:rsid w:val="009A380E"/>
    <w:rsid w:val="009A3838"/>
    <w:rsid w:val="009A3889"/>
    <w:rsid w:val="009A38A6"/>
    <w:rsid w:val="009A3962"/>
    <w:rsid w:val="009A3975"/>
    <w:rsid w:val="009A39DE"/>
    <w:rsid w:val="009A39DF"/>
    <w:rsid w:val="009A39F5"/>
    <w:rsid w:val="009A3A21"/>
    <w:rsid w:val="009A3A22"/>
    <w:rsid w:val="009A3A40"/>
    <w:rsid w:val="009A3A5E"/>
    <w:rsid w:val="009A3A67"/>
    <w:rsid w:val="009A3AB8"/>
    <w:rsid w:val="009A3AFA"/>
    <w:rsid w:val="009A3B03"/>
    <w:rsid w:val="009A3B10"/>
    <w:rsid w:val="009A3B1A"/>
    <w:rsid w:val="009A3B43"/>
    <w:rsid w:val="009A3BAA"/>
    <w:rsid w:val="009A3BB6"/>
    <w:rsid w:val="009A3C10"/>
    <w:rsid w:val="009A3C31"/>
    <w:rsid w:val="009A3CAA"/>
    <w:rsid w:val="009A3D0D"/>
    <w:rsid w:val="009A3D55"/>
    <w:rsid w:val="009A3D9D"/>
    <w:rsid w:val="009A3D9E"/>
    <w:rsid w:val="009A3DD1"/>
    <w:rsid w:val="009A3DDF"/>
    <w:rsid w:val="009A3E18"/>
    <w:rsid w:val="009A3ECE"/>
    <w:rsid w:val="009A3EF0"/>
    <w:rsid w:val="009A3F15"/>
    <w:rsid w:val="009A3FC4"/>
    <w:rsid w:val="009A4030"/>
    <w:rsid w:val="009A4038"/>
    <w:rsid w:val="009A4052"/>
    <w:rsid w:val="009A4078"/>
    <w:rsid w:val="009A4080"/>
    <w:rsid w:val="009A408C"/>
    <w:rsid w:val="009A40AB"/>
    <w:rsid w:val="009A40AE"/>
    <w:rsid w:val="009A40AF"/>
    <w:rsid w:val="009A40FE"/>
    <w:rsid w:val="009A41C4"/>
    <w:rsid w:val="009A41C5"/>
    <w:rsid w:val="009A41D4"/>
    <w:rsid w:val="009A41E4"/>
    <w:rsid w:val="009A428A"/>
    <w:rsid w:val="009A429F"/>
    <w:rsid w:val="009A42C3"/>
    <w:rsid w:val="009A42FF"/>
    <w:rsid w:val="009A433A"/>
    <w:rsid w:val="009A4361"/>
    <w:rsid w:val="009A4376"/>
    <w:rsid w:val="009A43BE"/>
    <w:rsid w:val="009A43C6"/>
    <w:rsid w:val="009A43EF"/>
    <w:rsid w:val="009A43F5"/>
    <w:rsid w:val="009A43F8"/>
    <w:rsid w:val="009A4408"/>
    <w:rsid w:val="009A4437"/>
    <w:rsid w:val="009A4473"/>
    <w:rsid w:val="009A44B7"/>
    <w:rsid w:val="009A44D3"/>
    <w:rsid w:val="009A44DB"/>
    <w:rsid w:val="009A4527"/>
    <w:rsid w:val="009A456D"/>
    <w:rsid w:val="009A45AC"/>
    <w:rsid w:val="009A4617"/>
    <w:rsid w:val="009A467A"/>
    <w:rsid w:val="009A467D"/>
    <w:rsid w:val="009A4699"/>
    <w:rsid w:val="009A4723"/>
    <w:rsid w:val="009A473D"/>
    <w:rsid w:val="009A479D"/>
    <w:rsid w:val="009A47A5"/>
    <w:rsid w:val="009A47EB"/>
    <w:rsid w:val="009A4800"/>
    <w:rsid w:val="009A4838"/>
    <w:rsid w:val="009A4903"/>
    <w:rsid w:val="009A490A"/>
    <w:rsid w:val="009A4945"/>
    <w:rsid w:val="009A497C"/>
    <w:rsid w:val="009A49BC"/>
    <w:rsid w:val="009A49C3"/>
    <w:rsid w:val="009A49F3"/>
    <w:rsid w:val="009A49F8"/>
    <w:rsid w:val="009A4A24"/>
    <w:rsid w:val="009A4A26"/>
    <w:rsid w:val="009A4A6A"/>
    <w:rsid w:val="009A4ADE"/>
    <w:rsid w:val="009A4AF5"/>
    <w:rsid w:val="009A4B11"/>
    <w:rsid w:val="009A4B16"/>
    <w:rsid w:val="009A4B36"/>
    <w:rsid w:val="009A4B4D"/>
    <w:rsid w:val="009A4B77"/>
    <w:rsid w:val="009A4B93"/>
    <w:rsid w:val="009A4B98"/>
    <w:rsid w:val="009A4BA0"/>
    <w:rsid w:val="009A4C2E"/>
    <w:rsid w:val="009A4CBC"/>
    <w:rsid w:val="009A4CF6"/>
    <w:rsid w:val="009A4D46"/>
    <w:rsid w:val="009A4DC9"/>
    <w:rsid w:val="009A4DE2"/>
    <w:rsid w:val="009A4DF0"/>
    <w:rsid w:val="009A4E18"/>
    <w:rsid w:val="009A4E65"/>
    <w:rsid w:val="009A4E79"/>
    <w:rsid w:val="009A4EA4"/>
    <w:rsid w:val="009A4EAB"/>
    <w:rsid w:val="009A4ED5"/>
    <w:rsid w:val="009A4EE9"/>
    <w:rsid w:val="009A4F45"/>
    <w:rsid w:val="009A4F52"/>
    <w:rsid w:val="009A4F9D"/>
    <w:rsid w:val="009A5028"/>
    <w:rsid w:val="009A5073"/>
    <w:rsid w:val="009A507F"/>
    <w:rsid w:val="009A50D3"/>
    <w:rsid w:val="009A5127"/>
    <w:rsid w:val="009A5162"/>
    <w:rsid w:val="009A51A1"/>
    <w:rsid w:val="009A51D8"/>
    <w:rsid w:val="009A51EC"/>
    <w:rsid w:val="009A521C"/>
    <w:rsid w:val="009A5227"/>
    <w:rsid w:val="009A526A"/>
    <w:rsid w:val="009A5299"/>
    <w:rsid w:val="009A52E3"/>
    <w:rsid w:val="009A5306"/>
    <w:rsid w:val="009A5366"/>
    <w:rsid w:val="009A536D"/>
    <w:rsid w:val="009A5378"/>
    <w:rsid w:val="009A53B7"/>
    <w:rsid w:val="009A53F7"/>
    <w:rsid w:val="009A548A"/>
    <w:rsid w:val="009A54A1"/>
    <w:rsid w:val="009A54AF"/>
    <w:rsid w:val="009A54D0"/>
    <w:rsid w:val="009A54D2"/>
    <w:rsid w:val="009A5510"/>
    <w:rsid w:val="009A556D"/>
    <w:rsid w:val="009A5572"/>
    <w:rsid w:val="009A55A0"/>
    <w:rsid w:val="009A55A5"/>
    <w:rsid w:val="009A55B1"/>
    <w:rsid w:val="009A55B7"/>
    <w:rsid w:val="009A564A"/>
    <w:rsid w:val="009A5670"/>
    <w:rsid w:val="009A5688"/>
    <w:rsid w:val="009A56ED"/>
    <w:rsid w:val="009A5726"/>
    <w:rsid w:val="009A572F"/>
    <w:rsid w:val="009A5762"/>
    <w:rsid w:val="009A5768"/>
    <w:rsid w:val="009A579C"/>
    <w:rsid w:val="009A57CC"/>
    <w:rsid w:val="009A5807"/>
    <w:rsid w:val="009A5820"/>
    <w:rsid w:val="009A587F"/>
    <w:rsid w:val="009A58B3"/>
    <w:rsid w:val="009A59F5"/>
    <w:rsid w:val="009A59FC"/>
    <w:rsid w:val="009A5A01"/>
    <w:rsid w:val="009A5A08"/>
    <w:rsid w:val="009A5A12"/>
    <w:rsid w:val="009A5A65"/>
    <w:rsid w:val="009A5ACA"/>
    <w:rsid w:val="009A5AD9"/>
    <w:rsid w:val="009A5ADF"/>
    <w:rsid w:val="009A5AE7"/>
    <w:rsid w:val="009A5B10"/>
    <w:rsid w:val="009A5B48"/>
    <w:rsid w:val="009A5B4B"/>
    <w:rsid w:val="009A5B6E"/>
    <w:rsid w:val="009A5C1B"/>
    <w:rsid w:val="009A5C36"/>
    <w:rsid w:val="009A5C51"/>
    <w:rsid w:val="009A5C8A"/>
    <w:rsid w:val="009A5CEE"/>
    <w:rsid w:val="009A5D29"/>
    <w:rsid w:val="009A5D2A"/>
    <w:rsid w:val="009A5D59"/>
    <w:rsid w:val="009A5D69"/>
    <w:rsid w:val="009A5DB5"/>
    <w:rsid w:val="009A5DE7"/>
    <w:rsid w:val="009A5E0B"/>
    <w:rsid w:val="009A5EAE"/>
    <w:rsid w:val="009A5EC2"/>
    <w:rsid w:val="009A5EEE"/>
    <w:rsid w:val="009A5F4A"/>
    <w:rsid w:val="009A5F9C"/>
    <w:rsid w:val="009A5FBC"/>
    <w:rsid w:val="009A5FCE"/>
    <w:rsid w:val="009A601F"/>
    <w:rsid w:val="009A60C5"/>
    <w:rsid w:val="009A6153"/>
    <w:rsid w:val="009A618C"/>
    <w:rsid w:val="009A626E"/>
    <w:rsid w:val="009A6274"/>
    <w:rsid w:val="009A628B"/>
    <w:rsid w:val="009A6299"/>
    <w:rsid w:val="009A62EB"/>
    <w:rsid w:val="009A630B"/>
    <w:rsid w:val="009A63AD"/>
    <w:rsid w:val="009A63B7"/>
    <w:rsid w:val="009A63BC"/>
    <w:rsid w:val="009A640E"/>
    <w:rsid w:val="009A6415"/>
    <w:rsid w:val="009A6439"/>
    <w:rsid w:val="009A643D"/>
    <w:rsid w:val="009A6453"/>
    <w:rsid w:val="009A6463"/>
    <w:rsid w:val="009A646A"/>
    <w:rsid w:val="009A64AC"/>
    <w:rsid w:val="009A6515"/>
    <w:rsid w:val="009A653F"/>
    <w:rsid w:val="009A6548"/>
    <w:rsid w:val="009A6586"/>
    <w:rsid w:val="009A6589"/>
    <w:rsid w:val="009A65C4"/>
    <w:rsid w:val="009A65D1"/>
    <w:rsid w:val="009A6601"/>
    <w:rsid w:val="009A6608"/>
    <w:rsid w:val="009A666D"/>
    <w:rsid w:val="009A6674"/>
    <w:rsid w:val="009A6688"/>
    <w:rsid w:val="009A669A"/>
    <w:rsid w:val="009A66D7"/>
    <w:rsid w:val="009A6714"/>
    <w:rsid w:val="009A674C"/>
    <w:rsid w:val="009A6762"/>
    <w:rsid w:val="009A677F"/>
    <w:rsid w:val="009A6848"/>
    <w:rsid w:val="009A685F"/>
    <w:rsid w:val="009A68A5"/>
    <w:rsid w:val="009A68F4"/>
    <w:rsid w:val="009A68F6"/>
    <w:rsid w:val="009A690D"/>
    <w:rsid w:val="009A6AA2"/>
    <w:rsid w:val="009A6AB9"/>
    <w:rsid w:val="009A6AC1"/>
    <w:rsid w:val="009A6ADE"/>
    <w:rsid w:val="009A6B0C"/>
    <w:rsid w:val="009A6B7E"/>
    <w:rsid w:val="009A6BC2"/>
    <w:rsid w:val="009A6BCD"/>
    <w:rsid w:val="009A6C27"/>
    <w:rsid w:val="009A6C30"/>
    <w:rsid w:val="009A6C6C"/>
    <w:rsid w:val="009A6C89"/>
    <w:rsid w:val="009A6CC6"/>
    <w:rsid w:val="009A6D01"/>
    <w:rsid w:val="009A6D0B"/>
    <w:rsid w:val="009A6D68"/>
    <w:rsid w:val="009A6D6B"/>
    <w:rsid w:val="009A6D9C"/>
    <w:rsid w:val="009A6DA8"/>
    <w:rsid w:val="009A6E15"/>
    <w:rsid w:val="009A6E6D"/>
    <w:rsid w:val="009A6EA7"/>
    <w:rsid w:val="009A6EAF"/>
    <w:rsid w:val="009A6EE6"/>
    <w:rsid w:val="009A6F1F"/>
    <w:rsid w:val="009A6F29"/>
    <w:rsid w:val="009A6F4F"/>
    <w:rsid w:val="009A6F82"/>
    <w:rsid w:val="009A6F88"/>
    <w:rsid w:val="009A6F9B"/>
    <w:rsid w:val="009A6FA9"/>
    <w:rsid w:val="009A703A"/>
    <w:rsid w:val="009A7051"/>
    <w:rsid w:val="009A710E"/>
    <w:rsid w:val="009A7116"/>
    <w:rsid w:val="009A713E"/>
    <w:rsid w:val="009A71D9"/>
    <w:rsid w:val="009A71ED"/>
    <w:rsid w:val="009A7237"/>
    <w:rsid w:val="009A727D"/>
    <w:rsid w:val="009A72E3"/>
    <w:rsid w:val="009A72FA"/>
    <w:rsid w:val="009A7328"/>
    <w:rsid w:val="009A738E"/>
    <w:rsid w:val="009A73BF"/>
    <w:rsid w:val="009A741A"/>
    <w:rsid w:val="009A748F"/>
    <w:rsid w:val="009A7496"/>
    <w:rsid w:val="009A751C"/>
    <w:rsid w:val="009A754D"/>
    <w:rsid w:val="009A7571"/>
    <w:rsid w:val="009A7577"/>
    <w:rsid w:val="009A75DD"/>
    <w:rsid w:val="009A75F5"/>
    <w:rsid w:val="009A75FA"/>
    <w:rsid w:val="009A761D"/>
    <w:rsid w:val="009A7650"/>
    <w:rsid w:val="009A765C"/>
    <w:rsid w:val="009A767C"/>
    <w:rsid w:val="009A769B"/>
    <w:rsid w:val="009A76AB"/>
    <w:rsid w:val="009A770C"/>
    <w:rsid w:val="009A7720"/>
    <w:rsid w:val="009A7750"/>
    <w:rsid w:val="009A7762"/>
    <w:rsid w:val="009A77BC"/>
    <w:rsid w:val="009A77CC"/>
    <w:rsid w:val="009A77CD"/>
    <w:rsid w:val="009A780A"/>
    <w:rsid w:val="009A780E"/>
    <w:rsid w:val="009A78DF"/>
    <w:rsid w:val="009A7935"/>
    <w:rsid w:val="009A7949"/>
    <w:rsid w:val="009A7992"/>
    <w:rsid w:val="009A79CC"/>
    <w:rsid w:val="009A79DF"/>
    <w:rsid w:val="009A7A17"/>
    <w:rsid w:val="009A7A58"/>
    <w:rsid w:val="009A7AC2"/>
    <w:rsid w:val="009A7B13"/>
    <w:rsid w:val="009A7B18"/>
    <w:rsid w:val="009A7B21"/>
    <w:rsid w:val="009A7B8A"/>
    <w:rsid w:val="009A7B9F"/>
    <w:rsid w:val="009A7BA0"/>
    <w:rsid w:val="009A7C22"/>
    <w:rsid w:val="009A7C33"/>
    <w:rsid w:val="009A7C51"/>
    <w:rsid w:val="009A7C7A"/>
    <w:rsid w:val="009A7CA0"/>
    <w:rsid w:val="009A7CD2"/>
    <w:rsid w:val="009A7D50"/>
    <w:rsid w:val="009A7D98"/>
    <w:rsid w:val="009A7DAB"/>
    <w:rsid w:val="009A7E14"/>
    <w:rsid w:val="009A7E56"/>
    <w:rsid w:val="009A7E88"/>
    <w:rsid w:val="009A7E8D"/>
    <w:rsid w:val="009A7EB3"/>
    <w:rsid w:val="009A7EF0"/>
    <w:rsid w:val="009A7F28"/>
    <w:rsid w:val="009A7F29"/>
    <w:rsid w:val="009A7F50"/>
    <w:rsid w:val="009A7FB4"/>
    <w:rsid w:val="009A7FDA"/>
    <w:rsid w:val="009A7FFA"/>
    <w:rsid w:val="009B0024"/>
    <w:rsid w:val="009B007D"/>
    <w:rsid w:val="009B0095"/>
    <w:rsid w:val="009B00A5"/>
    <w:rsid w:val="009B00CD"/>
    <w:rsid w:val="009B00D3"/>
    <w:rsid w:val="009B0127"/>
    <w:rsid w:val="009B012E"/>
    <w:rsid w:val="009B0144"/>
    <w:rsid w:val="009B0149"/>
    <w:rsid w:val="009B014A"/>
    <w:rsid w:val="009B014B"/>
    <w:rsid w:val="009B0164"/>
    <w:rsid w:val="009B01AC"/>
    <w:rsid w:val="009B01EE"/>
    <w:rsid w:val="009B02BC"/>
    <w:rsid w:val="009B02F2"/>
    <w:rsid w:val="009B02FF"/>
    <w:rsid w:val="009B0324"/>
    <w:rsid w:val="009B0329"/>
    <w:rsid w:val="009B0384"/>
    <w:rsid w:val="009B0386"/>
    <w:rsid w:val="009B0393"/>
    <w:rsid w:val="009B03CB"/>
    <w:rsid w:val="009B04A1"/>
    <w:rsid w:val="009B04A5"/>
    <w:rsid w:val="009B04CC"/>
    <w:rsid w:val="009B0507"/>
    <w:rsid w:val="009B0527"/>
    <w:rsid w:val="009B0572"/>
    <w:rsid w:val="009B0588"/>
    <w:rsid w:val="009B05B2"/>
    <w:rsid w:val="009B05CA"/>
    <w:rsid w:val="009B05DE"/>
    <w:rsid w:val="009B0600"/>
    <w:rsid w:val="009B063A"/>
    <w:rsid w:val="009B063E"/>
    <w:rsid w:val="009B067B"/>
    <w:rsid w:val="009B0712"/>
    <w:rsid w:val="009B074D"/>
    <w:rsid w:val="009B0766"/>
    <w:rsid w:val="009B077E"/>
    <w:rsid w:val="009B0795"/>
    <w:rsid w:val="009B0826"/>
    <w:rsid w:val="009B084A"/>
    <w:rsid w:val="009B08D3"/>
    <w:rsid w:val="009B08EB"/>
    <w:rsid w:val="009B0934"/>
    <w:rsid w:val="009B093A"/>
    <w:rsid w:val="009B0955"/>
    <w:rsid w:val="009B095B"/>
    <w:rsid w:val="009B0966"/>
    <w:rsid w:val="009B09F1"/>
    <w:rsid w:val="009B0A2D"/>
    <w:rsid w:val="009B0AAD"/>
    <w:rsid w:val="009B0B75"/>
    <w:rsid w:val="009B0B8A"/>
    <w:rsid w:val="009B0BBE"/>
    <w:rsid w:val="009B0BCD"/>
    <w:rsid w:val="009B0C03"/>
    <w:rsid w:val="009B0C41"/>
    <w:rsid w:val="009B0C51"/>
    <w:rsid w:val="009B0CB3"/>
    <w:rsid w:val="009B0D0F"/>
    <w:rsid w:val="009B0D55"/>
    <w:rsid w:val="009B0D81"/>
    <w:rsid w:val="009B0D8A"/>
    <w:rsid w:val="009B0DA8"/>
    <w:rsid w:val="009B0DAE"/>
    <w:rsid w:val="009B0E3B"/>
    <w:rsid w:val="009B0E6C"/>
    <w:rsid w:val="009B0EA5"/>
    <w:rsid w:val="009B0EDB"/>
    <w:rsid w:val="009B0F24"/>
    <w:rsid w:val="009B0F74"/>
    <w:rsid w:val="009B0F7E"/>
    <w:rsid w:val="009B0FAE"/>
    <w:rsid w:val="009B0FB6"/>
    <w:rsid w:val="009B1010"/>
    <w:rsid w:val="009B102A"/>
    <w:rsid w:val="009B102E"/>
    <w:rsid w:val="009B1056"/>
    <w:rsid w:val="009B1058"/>
    <w:rsid w:val="009B1076"/>
    <w:rsid w:val="009B1082"/>
    <w:rsid w:val="009B108D"/>
    <w:rsid w:val="009B1095"/>
    <w:rsid w:val="009B10C3"/>
    <w:rsid w:val="009B10DD"/>
    <w:rsid w:val="009B111E"/>
    <w:rsid w:val="009B112D"/>
    <w:rsid w:val="009B1152"/>
    <w:rsid w:val="009B115C"/>
    <w:rsid w:val="009B11A7"/>
    <w:rsid w:val="009B11ED"/>
    <w:rsid w:val="009B1201"/>
    <w:rsid w:val="009B122B"/>
    <w:rsid w:val="009B125B"/>
    <w:rsid w:val="009B12A5"/>
    <w:rsid w:val="009B1314"/>
    <w:rsid w:val="009B131D"/>
    <w:rsid w:val="009B1336"/>
    <w:rsid w:val="009B133A"/>
    <w:rsid w:val="009B136A"/>
    <w:rsid w:val="009B13ED"/>
    <w:rsid w:val="009B1417"/>
    <w:rsid w:val="009B1432"/>
    <w:rsid w:val="009B14F9"/>
    <w:rsid w:val="009B14FA"/>
    <w:rsid w:val="009B151A"/>
    <w:rsid w:val="009B1565"/>
    <w:rsid w:val="009B156E"/>
    <w:rsid w:val="009B15F8"/>
    <w:rsid w:val="009B169E"/>
    <w:rsid w:val="009B16C8"/>
    <w:rsid w:val="009B16D3"/>
    <w:rsid w:val="009B175E"/>
    <w:rsid w:val="009B176A"/>
    <w:rsid w:val="009B17BD"/>
    <w:rsid w:val="009B17CE"/>
    <w:rsid w:val="009B17D5"/>
    <w:rsid w:val="009B17FB"/>
    <w:rsid w:val="009B1843"/>
    <w:rsid w:val="009B1853"/>
    <w:rsid w:val="009B1857"/>
    <w:rsid w:val="009B1878"/>
    <w:rsid w:val="009B188C"/>
    <w:rsid w:val="009B18DC"/>
    <w:rsid w:val="009B195B"/>
    <w:rsid w:val="009B19C9"/>
    <w:rsid w:val="009B19E5"/>
    <w:rsid w:val="009B19F5"/>
    <w:rsid w:val="009B1A0B"/>
    <w:rsid w:val="009B1A4C"/>
    <w:rsid w:val="009B1A60"/>
    <w:rsid w:val="009B1A67"/>
    <w:rsid w:val="009B1AA8"/>
    <w:rsid w:val="009B1AAA"/>
    <w:rsid w:val="009B1AEB"/>
    <w:rsid w:val="009B1AEF"/>
    <w:rsid w:val="009B1AF8"/>
    <w:rsid w:val="009B1B37"/>
    <w:rsid w:val="009B1B76"/>
    <w:rsid w:val="009B1C46"/>
    <w:rsid w:val="009B1C48"/>
    <w:rsid w:val="009B1CC8"/>
    <w:rsid w:val="009B1CE4"/>
    <w:rsid w:val="009B1CF7"/>
    <w:rsid w:val="009B1D25"/>
    <w:rsid w:val="009B1D54"/>
    <w:rsid w:val="009B1D56"/>
    <w:rsid w:val="009B1E03"/>
    <w:rsid w:val="009B1E11"/>
    <w:rsid w:val="009B1E1E"/>
    <w:rsid w:val="009B1E39"/>
    <w:rsid w:val="009B1E41"/>
    <w:rsid w:val="009B1E4C"/>
    <w:rsid w:val="009B1E57"/>
    <w:rsid w:val="009B1E73"/>
    <w:rsid w:val="009B1EC6"/>
    <w:rsid w:val="009B1ECB"/>
    <w:rsid w:val="009B1EE3"/>
    <w:rsid w:val="009B1EF7"/>
    <w:rsid w:val="009B1F02"/>
    <w:rsid w:val="009B1FB6"/>
    <w:rsid w:val="009B1FF5"/>
    <w:rsid w:val="009B209C"/>
    <w:rsid w:val="009B216E"/>
    <w:rsid w:val="009B2232"/>
    <w:rsid w:val="009B223C"/>
    <w:rsid w:val="009B2251"/>
    <w:rsid w:val="009B2269"/>
    <w:rsid w:val="009B2274"/>
    <w:rsid w:val="009B2287"/>
    <w:rsid w:val="009B2290"/>
    <w:rsid w:val="009B22B7"/>
    <w:rsid w:val="009B22CC"/>
    <w:rsid w:val="009B22ED"/>
    <w:rsid w:val="009B22F0"/>
    <w:rsid w:val="009B2305"/>
    <w:rsid w:val="009B23BD"/>
    <w:rsid w:val="009B23DC"/>
    <w:rsid w:val="009B23FF"/>
    <w:rsid w:val="009B245A"/>
    <w:rsid w:val="009B2474"/>
    <w:rsid w:val="009B24A3"/>
    <w:rsid w:val="009B24A4"/>
    <w:rsid w:val="009B24CF"/>
    <w:rsid w:val="009B2573"/>
    <w:rsid w:val="009B258B"/>
    <w:rsid w:val="009B259A"/>
    <w:rsid w:val="009B25BD"/>
    <w:rsid w:val="009B25FF"/>
    <w:rsid w:val="009B26A5"/>
    <w:rsid w:val="009B26D8"/>
    <w:rsid w:val="009B26F2"/>
    <w:rsid w:val="009B2700"/>
    <w:rsid w:val="009B270F"/>
    <w:rsid w:val="009B2764"/>
    <w:rsid w:val="009B27B6"/>
    <w:rsid w:val="009B27BA"/>
    <w:rsid w:val="009B27D6"/>
    <w:rsid w:val="009B27E0"/>
    <w:rsid w:val="009B2896"/>
    <w:rsid w:val="009B2899"/>
    <w:rsid w:val="009B289C"/>
    <w:rsid w:val="009B289E"/>
    <w:rsid w:val="009B28CF"/>
    <w:rsid w:val="009B2902"/>
    <w:rsid w:val="009B295A"/>
    <w:rsid w:val="009B298F"/>
    <w:rsid w:val="009B2996"/>
    <w:rsid w:val="009B299A"/>
    <w:rsid w:val="009B29F7"/>
    <w:rsid w:val="009B2A0E"/>
    <w:rsid w:val="009B2A84"/>
    <w:rsid w:val="009B2AB5"/>
    <w:rsid w:val="009B2B8F"/>
    <w:rsid w:val="009B2BB3"/>
    <w:rsid w:val="009B2BE5"/>
    <w:rsid w:val="009B2C0F"/>
    <w:rsid w:val="009B2C32"/>
    <w:rsid w:val="009B2C80"/>
    <w:rsid w:val="009B2CA8"/>
    <w:rsid w:val="009B2D05"/>
    <w:rsid w:val="009B2D43"/>
    <w:rsid w:val="009B2D6E"/>
    <w:rsid w:val="009B2D72"/>
    <w:rsid w:val="009B2DE9"/>
    <w:rsid w:val="009B2E50"/>
    <w:rsid w:val="009B2E56"/>
    <w:rsid w:val="009B2EB1"/>
    <w:rsid w:val="009B2EC1"/>
    <w:rsid w:val="009B2EC8"/>
    <w:rsid w:val="009B2ED6"/>
    <w:rsid w:val="009B2F0F"/>
    <w:rsid w:val="009B2F31"/>
    <w:rsid w:val="009B2F48"/>
    <w:rsid w:val="009B2F59"/>
    <w:rsid w:val="009B2F5E"/>
    <w:rsid w:val="009B2F62"/>
    <w:rsid w:val="009B2F67"/>
    <w:rsid w:val="009B2F72"/>
    <w:rsid w:val="009B2FEE"/>
    <w:rsid w:val="009B3024"/>
    <w:rsid w:val="009B30B1"/>
    <w:rsid w:val="009B30F4"/>
    <w:rsid w:val="009B30FE"/>
    <w:rsid w:val="009B319D"/>
    <w:rsid w:val="009B31BD"/>
    <w:rsid w:val="009B31C3"/>
    <w:rsid w:val="009B31C6"/>
    <w:rsid w:val="009B31E7"/>
    <w:rsid w:val="009B3264"/>
    <w:rsid w:val="009B3273"/>
    <w:rsid w:val="009B3292"/>
    <w:rsid w:val="009B32DA"/>
    <w:rsid w:val="009B330A"/>
    <w:rsid w:val="009B334B"/>
    <w:rsid w:val="009B3366"/>
    <w:rsid w:val="009B3382"/>
    <w:rsid w:val="009B3393"/>
    <w:rsid w:val="009B3425"/>
    <w:rsid w:val="009B3429"/>
    <w:rsid w:val="009B3435"/>
    <w:rsid w:val="009B3453"/>
    <w:rsid w:val="009B34C6"/>
    <w:rsid w:val="009B34DD"/>
    <w:rsid w:val="009B350B"/>
    <w:rsid w:val="009B353B"/>
    <w:rsid w:val="009B355F"/>
    <w:rsid w:val="009B358F"/>
    <w:rsid w:val="009B35A7"/>
    <w:rsid w:val="009B35DA"/>
    <w:rsid w:val="009B35E8"/>
    <w:rsid w:val="009B35F3"/>
    <w:rsid w:val="009B3600"/>
    <w:rsid w:val="009B361E"/>
    <w:rsid w:val="009B3658"/>
    <w:rsid w:val="009B36B5"/>
    <w:rsid w:val="009B36C4"/>
    <w:rsid w:val="009B36D6"/>
    <w:rsid w:val="009B36D7"/>
    <w:rsid w:val="009B37A6"/>
    <w:rsid w:val="009B37B8"/>
    <w:rsid w:val="009B37F6"/>
    <w:rsid w:val="009B380C"/>
    <w:rsid w:val="009B3823"/>
    <w:rsid w:val="009B382B"/>
    <w:rsid w:val="009B3847"/>
    <w:rsid w:val="009B384C"/>
    <w:rsid w:val="009B386A"/>
    <w:rsid w:val="009B3954"/>
    <w:rsid w:val="009B399D"/>
    <w:rsid w:val="009B39B6"/>
    <w:rsid w:val="009B39D4"/>
    <w:rsid w:val="009B3A26"/>
    <w:rsid w:val="009B3A2B"/>
    <w:rsid w:val="009B3A50"/>
    <w:rsid w:val="009B3A6A"/>
    <w:rsid w:val="009B3B29"/>
    <w:rsid w:val="009B3B3C"/>
    <w:rsid w:val="009B3B46"/>
    <w:rsid w:val="009B3BE7"/>
    <w:rsid w:val="009B3C09"/>
    <w:rsid w:val="009B3C5F"/>
    <w:rsid w:val="009B3C94"/>
    <w:rsid w:val="009B3CE3"/>
    <w:rsid w:val="009B3D00"/>
    <w:rsid w:val="009B3D1A"/>
    <w:rsid w:val="009B3D1F"/>
    <w:rsid w:val="009B3D7F"/>
    <w:rsid w:val="009B3DB2"/>
    <w:rsid w:val="009B3DBA"/>
    <w:rsid w:val="009B3DF4"/>
    <w:rsid w:val="009B3DFD"/>
    <w:rsid w:val="009B3E94"/>
    <w:rsid w:val="009B3E9D"/>
    <w:rsid w:val="009B3EB4"/>
    <w:rsid w:val="009B3EB7"/>
    <w:rsid w:val="009B3ECF"/>
    <w:rsid w:val="009B3ED1"/>
    <w:rsid w:val="009B3ED2"/>
    <w:rsid w:val="009B3F12"/>
    <w:rsid w:val="009B3F1C"/>
    <w:rsid w:val="009B3F46"/>
    <w:rsid w:val="009B3F48"/>
    <w:rsid w:val="009B3F8A"/>
    <w:rsid w:val="009B3FA2"/>
    <w:rsid w:val="009B3FF0"/>
    <w:rsid w:val="009B3FF7"/>
    <w:rsid w:val="009B4000"/>
    <w:rsid w:val="009B4099"/>
    <w:rsid w:val="009B40AA"/>
    <w:rsid w:val="009B40C6"/>
    <w:rsid w:val="009B40F4"/>
    <w:rsid w:val="009B4140"/>
    <w:rsid w:val="009B419F"/>
    <w:rsid w:val="009B41D9"/>
    <w:rsid w:val="009B4205"/>
    <w:rsid w:val="009B4211"/>
    <w:rsid w:val="009B4229"/>
    <w:rsid w:val="009B422F"/>
    <w:rsid w:val="009B4237"/>
    <w:rsid w:val="009B4248"/>
    <w:rsid w:val="009B426C"/>
    <w:rsid w:val="009B4278"/>
    <w:rsid w:val="009B429F"/>
    <w:rsid w:val="009B42DB"/>
    <w:rsid w:val="009B431B"/>
    <w:rsid w:val="009B4365"/>
    <w:rsid w:val="009B438C"/>
    <w:rsid w:val="009B43FB"/>
    <w:rsid w:val="009B4404"/>
    <w:rsid w:val="009B4436"/>
    <w:rsid w:val="009B4473"/>
    <w:rsid w:val="009B4486"/>
    <w:rsid w:val="009B44EB"/>
    <w:rsid w:val="009B4533"/>
    <w:rsid w:val="009B4541"/>
    <w:rsid w:val="009B4577"/>
    <w:rsid w:val="009B4594"/>
    <w:rsid w:val="009B45AB"/>
    <w:rsid w:val="009B4655"/>
    <w:rsid w:val="009B4660"/>
    <w:rsid w:val="009B471E"/>
    <w:rsid w:val="009B4756"/>
    <w:rsid w:val="009B479F"/>
    <w:rsid w:val="009B4809"/>
    <w:rsid w:val="009B4877"/>
    <w:rsid w:val="009B4882"/>
    <w:rsid w:val="009B48AC"/>
    <w:rsid w:val="009B48E9"/>
    <w:rsid w:val="009B4929"/>
    <w:rsid w:val="009B497A"/>
    <w:rsid w:val="009B49A0"/>
    <w:rsid w:val="009B49F8"/>
    <w:rsid w:val="009B4A1C"/>
    <w:rsid w:val="009B4A2C"/>
    <w:rsid w:val="009B4A2F"/>
    <w:rsid w:val="009B4A9A"/>
    <w:rsid w:val="009B4AA9"/>
    <w:rsid w:val="009B4B23"/>
    <w:rsid w:val="009B4B26"/>
    <w:rsid w:val="009B4B43"/>
    <w:rsid w:val="009B4B48"/>
    <w:rsid w:val="009B4B80"/>
    <w:rsid w:val="009B4BA7"/>
    <w:rsid w:val="009B4BD8"/>
    <w:rsid w:val="009B4BEC"/>
    <w:rsid w:val="009B4C3B"/>
    <w:rsid w:val="009B4C8E"/>
    <w:rsid w:val="009B4CED"/>
    <w:rsid w:val="009B4CFB"/>
    <w:rsid w:val="009B4D2A"/>
    <w:rsid w:val="009B4D8E"/>
    <w:rsid w:val="009B4DEC"/>
    <w:rsid w:val="009B4E48"/>
    <w:rsid w:val="009B4E52"/>
    <w:rsid w:val="009B4E6D"/>
    <w:rsid w:val="009B4E89"/>
    <w:rsid w:val="009B4E8A"/>
    <w:rsid w:val="009B4EAE"/>
    <w:rsid w:val="009B4EC0"/>
    <w:rsid w:val="009B4ED1"/>
    <w:rsid w:val="009B4EEF"/>
    <w:rsid w:val="009B4F4F"/>
    <w:rsid w:val="009B4F5D"/>
    <w:rsid w:val="009B4F67"/>
    <w:rsid w:val="009B4FC6"/>
    <w:rsid w:val="009B500C"/>
    <w:rsid w:val="009B5068"/>
    <w:rsid w:val="009B508F"/>
    <w:rsid w:val="009B50B3"/>
    <w:rsid w:val="009B5177"/>
    <w:rsid w:val="009B5291"/>
    <w:rsid w:val="009B52F1"/>
    <w:rsid w:val="009B5382"/>
    <w:rsid w:val="009B539A"/>
    <w:rsid w:val="009B53B1"/>
    <w:rsid w:val="009B542B"/>
    <w:rsid w:val="009B54A7"/>
    <w:rsid w:val="009B54C4"/>
    <w:rsid w:val="009B54E4"/>
    <w:rsid w:val="009B5546"/>
    <w:rsid w:val="009B5562"/>
    <w:rsid w:val="009B55B8"/>
    <w:rsid w:val="009B5641"/>
    <w:rsid w:val="009B56D6"/>
    <w:rsid w:val="009B5770"/>
    <w:rsid w:val="009B5830"/>
    <w:rsid w:val="009B5838"/>
    <w:rsid w:val="009B5853"/>
    <w:rsid w:val="009B5872"/>
    <w:rsid w:val="009B588B"/>
    <w:rsid w:val="009B58B2"/>
    <w:rsid w:val="009B593F"/>
    <w:rsid w:val="009B599B"/>
    <w:rsid w:val="009B59A8"/>
    <w:rsid w:val="009B59BD"/>
    <w:rsid w:val="009B59D5"/>
    <w:rsid w:val="009B5A1D"/>
    <w:rsid w:val="009B5A29"/>
    <w:rsid w:val="009B5A61"/>
    <w:rsid w:val="009B5AA8"/>
    <w:rsid w:val="009B5AB1"/>
    <w:rsid w:val="009B5AC1"/>
    <w:rsid w:val="009B5ACC"/>
    <w:rsid w:val="009B5ADC"/>
    <w:rsid w:val="009B5ADF"/>
    <w:rsid w:val="009B5B01"/>
    <w:rsid w:val="009B5B07"/>
    <w:rsid w:val="009B5B2B"/>
    <w:rsid w:val="009B5B48"/>
    <w:rsid w:val="009B5B90"/>
    <w:rsid w:val="009B5B99"/>
    <w:rsid w:val="009B5BBD"/>
    <w:rsid w:val="009B5C00"/>
    <w:rsid w:val="009B5C24"/>
    <w:rsid w:val="009B5CD7"/>
    <w:rsid w:val="009B5D0F"/>
    <w:rsid w:val="009B5D24"/>
    <w:rsid w:val="009B5D66"/>
    <w:rsid w:val="009B5D75"/>
    <w:rsid w:val="009B5D7E"/>
    <w:rsid w:val="009B5D92"/>
    <w:rsid w:val="009B5DA1"/>
    <w:rsid w:val="009B5E1A"/>
    <w:rsid w:val="009B5E57"/>
    <w:rsid w:val="009B5E66"/>
    <w:rsid w:val="009B5EA3"/>
    <w:rsid w:val="009B5F2C"/>
    <w:rsid w:val="009B5F41"/>
    <w:rsid w:val="009B5F42"/>
    <w:rsid w:val="009B5F74"/>
    <w:rsid w:val="009B5F7F"/>
    <w:rsid w:val="009B5F85"/>
    <w:rsid w:val="009B5FB3"/>
    <w:rsid w:val="009B5FB5"/>
    <w:rsid w:val="009B5FBA"/>
    <w:rsid w:val="009B5FF8"/>
    <w:rsid w:val="009B6006"/>
    <w:rsid w:val="009B603B"/>
    <w:rsid w:val="009B604D"/>
    <w:rsid w:val="009B608C"/>
    <w:rsid w:val="009B6111"/>
    <w:rsid w:val="009B612E"/>
    <w:rsid w:val="009B6136"/>
    <w:rsid w:val="009B6150"/>
    <w:rsid w:val="009B6175"/>
    <w:rsid w:val="009B61A6"/>
    <w:rsid w:val="009B6231"/>
    <w:rsid w:val="009B6293"/>
    <w:rsid w:val="009B6346"/>
    <w:rsid w:val="009B63E0"/>
    <w:rsid w:val="009B63E5"/>
    <w:rsid w:val="009B63EF"/>
    <w:rsid w:val="009B6406"/>
    <w:rsid w:val="009B64D9"/>
    <w:rsid w:val="009B64F8"/>
    <w:rsid w:val="009B6507"/>
    <w:rsid w:val="009B651C"/>
    <w:rsid w:val="009B6538"/>
    <w:rsid w:val="009B654E"/>
    <w:rsid w:val="009B6576"/>
    <w:rsid w:val="009B6581"/>
    <w:rsid w:val="009B65EB"/>
    <w:rsid w:val="009B65EC"/>
    <w:rsid w:val="009B6610"/>
    <w:rsid w:val="009B664F"/>
    <w:rsid w:val="009B66BB"/>
    <w:rsid w:val="009B66C5"/>
    <w:rsid w:val="009B66F7"/>
    <w:rsid w:val="009B66FF"/>
    <w:rsid w:val="009B6706"/>
    <w:rsid w:val="009B6719"/>
    <w:rsid w:val="009B672C"/>
    <w:rsid w:val="009B675B"/>
    <w:rsid w:val="009B678F"/>
    <w:rsid w:val="009B6796"/>
    <w:rsid w:val="009B679D"/>
    <w:rsid w:val="009B67F7"/>
    <w:rsid w:val="009B6810"/>
    <w:rsid w:val="009B6850"/>
    <w:rsid w:val="009B685B"/>
    <w:rsid w:val="009B686A"/>
    <w:rsid w:val="009B6874"/>
    <w:rsid w:val="009B6876"/>
    <w:rsid w:val="009B68A3"/>
    <w:rsid w:val="009B68E9"/>
    <w:rsid w:val="009B68F4"/>
    <w:rsid w:val="009B696E"/>
    <w:rsid w:val="009B699C"/>
    <w:rsid w:val="009B69CF"/>
    <w:rsid w:val="009B69D7"/>
    <w:rsid w:val="009B69E2"/>
    <w:rsid w:val="009B69E8"/>
    <w:rsid w:val="009B6A57"/>
    <w:rsid w:val="009B6A60"/>
    <w:rsid w:val="009B6AE1"/>
    <w:rsid w:val="009B6B1A"/>
    <w:rsid w:val="009B6B46"/>
    <w:rsid w:val="009B6B66"/>
    <w:rsid w:val="009B6BB5"/>
    <w:rsid w:val="009B6BDD"/>
    <w:rsid w:val="009B6C1B"/>
    <w:rsid w:val="009B6D9D"/>
    <w:rsid w:val="009B6DA6"/>
    <w:rsid w:val="009B6E29"/>
    <w:rsid w:val="009B6E2D"/>
    <w:rsid w:val="009B6E88"/>
    <w:rsid w:val="009B6EB1"/>
    <w:rsid w:val="009B6EBD"/>
    <w:rsid w:val="009B6F14"/>
    <w:rsid w:val="009B6F32"/>
    <w:rsid w:val="009B6F97"/>
    <w:rsid w:val="009B6FA3"/>
    <w:rsid w:val="009B6FB2"/>
    <w:rsid w:val="009B6FE7"/>
    <w:rsid w:val="009B7094"/>
    <w:rsid w:val="009B709C"/>
    <w:rsid w:val="009B70A1"/>
    <w:rsid w:val="009B70AD"/>
    <w:rsid w:val="009B710A"/>
    <w:rsid w:val="009B7172"/>
    <w:rsid w:val="009B7177"/>
    <w:rsid w:val="009B7186"/>
    <w:rsid w:val="009B7195"/>
    <w:rsid w:val="009B71C2"/>
    <w:rsid w:val="009B7209"/>
    <w:rsid w:val="009B7217"/>
    <w:rsid w:val="009B7249"/>
    <w:rsid w:val="009B729B"/>
    <w:rsid w:val="009B7374"/>
    <w:rsid w:val="009B737A"/>
    <w:rsid w:val="009B74C2"/>
    <w:rsid w:val="009B74E6"/>
    <w:rsid w:val="009B7531"/>
    <w:rsid w:val="009B7532"/>
    <w:rsid w:val="009B7599"/>
    <w:rsid w:val="009B75BA"/>
    <w:rsid w:val="009B75D3"/>
    <w:rsid w:val="009B76BC"/>
    <w:rsid w:val="009B7727"/>
    <w:rsid w:val="009B773B"/>
    <w:rsid w:val="009B7767"/>
    <w:rsid w:val="009B776A"/>
    <w:rsid w:val="009B7783"/>
    <w:rsid w:val="009B77AC"/>
    <w:rsid w:val="009B77B1"/>
    <w:rsid w:val="009B77B3"/>
    <w:rsid w:val="009B77DD"/>
    <w:rsid w:val="009B77E5"/>
    <w:rsid w:val="009B77F5"/>
    <w:rsid w:val="009B789D"/>
    <w:rsid w:val="009B78B8"/>
    <w:rsid w:val="009B78D2"/>
    <w:rsid w:val="009B7924"/>
    <w:rsid w:val="009B7927"/>
    <w:rsid w:val="009B795E"/>
    <w:rsid w:val="009B7984"/>
    <w:rsid w:val="009B79A0"/>
    <w:rsid w:val="009B79A2"/>
    <w:rsid w:val="009B79A5"/>
    <w:rsid w:val="009B7A1B"/>
    <w:rsid w:val="009B7A23"/>
    <w:rsid w:val="009B7A36"/>
    <w:rsid w:val="009B7A65"/>
    <w:rsid w:val="009B7A68"/>
    <w:rsid w:val="009B7A7F"/>
    <w:rsid w:val="009B7AA4"/>
    <w:rsid w:val="009B7AE6"/>
    <w:rsid w:val="009B7B21"/>
    <w:rsid w:val="009B7B62"/>
    <w:rsid w:val="009B7B63"/>
    <w:rsid w:val="009B7BEC"/>
    <w:rsid w:val="009B7C21"/>
    <w:rsid w:val="009B7C50"/>
    <w:rsid w:val="009B7C60"/>
    <w:rsid w:val="009B7D0A"/>
    <w:rsid w:val="009B7D27"/>
    <w:rsid w:val="009B7D40"/>
    <w:rsid w:val="009B7D48"/>
    <w:rsid w:val="009B7DB4"/>
    <w:rsid w:val="009B7DBF"/>
    <w:rsid w:val="009B7E35"/>
    <w:rsid w:val="009B7E36"/>
    <w:rsid w:val="009B7E75"/>
    <w:rsid w:val="009B7E8D"/>
    <w:rsid w:val="009B7F2F"/>
    <w:rsid w:val="009B7F46"/>
    <w:rsid w:val="009B7FA0"/>
    <w:rsid w:val="009C00AB"/>
    <w:rsid w:val="009C00C5"/>
    <w:rsid w:val="009C00E5"/>
    <w:rsid w:val="009C012B"/>
    <w:rsid w:val="009C012E"/>
    <w:rsid w:val="009C015D"/>
    <w:rsid w:val="009C0162"/>
    <w:rsid w:val="009C017A"/>
    <w:rsid w:val="009C01B9"/>
    <w:rsid w:val="009C024D"/>
    <w:rsid w:val="009C02A8"/>
    <w:rsid w:val="009C02E2"/>
    <w:rsid w:val="009C03A8"/>
    <w:rsid w:val="009C03D2"/>
    <w:rsid w:val="009C0402"/>
    <w:rsid w:val="009C044A"/>
    <w:rsid w:val="009C04D0"/>
    <w:rsid w:val="009C04D1"/>
    <w:rsid w:val="009C051C"/>
    <w:rsid w:val="009C0526"/>
    <w:rsid w:val="009C0545"/>
    <w:rsid w:val="009C0552"/>
    <w:rsid w:val="009C0568"/>
    <w:rsid w:val="009C0580"/>
    <w:rsid w:val="009C05A1"/>
    <w:rsid w:val="009C0670"/>
    <w:rsid w:val="009C0679"/>
    <w:rsid w:val="009C06EB"/>
    <w:rsid w:val="009C070B"/>
    <w:rsid w:val="009C072E"/>
    <w:rsid w:val="009C0850"/>
    <w:rsid w:val="009C0863"/>
    <w:rsid w:val="009C08CB"/>
    <w:rsid w:val="009C08F5"/>
    <w:rsid w:val="009C0909"/>
    <w:rsid w:val="009C0948"/>
    <w:rsid w:val="009C09CE"/>
    <w:rsid w:val="009C0A71"/>
    <w:rsid w:val="009C0B01"/>
    <w:rsid w:val="009C0B2A"/>
    <w:rsid w:val="009C0B34"/>
    <w:rsid w:val="009C0B50"/>
    <w:rsid w:val="009C0B8E"/>
    <w:rsid w:val="009C0BA1"/>
    <w:rsid w:val="009C0C27"/>
    <w:rsid w:val="009C0C4D"/>
    <w:rsid w:val="009C0C50"/>
    <w:rsid w:val="009C0C5A"/>
    <w:rsid w:val="009C0C5D"/>
    <w:rsid w:val="009C0C70"/>
    <w:rsid w:val="009C0C87"/>
    <w:rsid w:val="009C0CBC"/>
    <w:rsid w:val="009C0CC8"/>
    <w:rsid w:val="009C0D01"/>
    <w:rsid w:val="009C0D16"/>
    <w:rsid w:val="009C0D23"/>
    <w:rsid w:val="009C0D5A"/>
    <w:rsid w:val="009C0D81"/>
    <w:rsid w:val="009C0D8B"/>
    <w:rsid w:val="009C0E02"/>
    <w:rsid w:val="009C0E05"/>
    <w:rsid w:val="009C0E2C"/>
    <w:rsid w:val="009C0E8A"/>
    <w:rsid w:val="009C0EB1"/>
    <w:rsid w:val="009C0EC1"/>
    <w:rsid w:val="009C0EC8"/>
    <w:rsid w:val="009C0EE2"/>
    <w:rsid w:val="009C0FB6"/>
    <w:rsid w:val="009C0FD1"/>
    <w:rsid w:val="009C101A"/>
    <w:rsid w:val="009C1029"/>
    <w:rsid w:val="009C102B"/>
    <w:rsid w:val="009C1036"/>
    <w:rsid w:val="009C104C"/>
    <w:rsid w:val="009C10A4"/>
    <w:rsid w:val="009C10A7"/>
    <w:rsid w:val="009C10C5"/>
    <w:rsid w:val="009C10D1"/>
    <w:rsid w:val="009C10F6"/>
    <w:rsid w:val="009C1157"/>
    <w:rsid w:val="009C11A1"/>
    <w:rsid w:val="009C1217"/>
    <w:rsid w:val="009C122F"/>
    <w:rsid w:val="009C1288"/>
    <w:rsid w:val="009C12CA"/>
    <w:rsid w:val="009C1325"/>
    <w:rsid w:val="009C133D"/>
    <w:rsid w:val="009C1363"/>
    <w:rsid w:val="009C13A9"/>
    <w:rsid w:val="009C13C2"/>
    <w:rsid w:val="009C145E"/>
    <w:rsid w:val="009C1463"/>
    <w:rsid w:val="009C1488"/>
    <w:rsid w:val="009C1494"/>
    <w:rsid w:val="009C14B7"/>
    <w:rsid w:val="009C14B9"/>
    <w:rsid w:val="009C150A"/>
    <w:rsid w:val="009C1554"/>
    <w:rsid w:val="009C156B"/>
    <w:rsid w:val="009C1588"/>
    <w:rsid w:val="009C1637"/>
    <w:rsid w:val="009C168E"/>
    <w:rsid w:val="009C16BA"/>
    <w:rsid w:val="009C16CC"/>
    <w:rsid w:val="009C171A"/>
    <w:rsid w:val="009C1737"/>
    <w:rsid w:val="009C177B"/>
    <w:rsid w:val="009C179F"/>
    <w:rsid w:val="009C17D2"/>
    <w:rsid w:val="009C17FA"/>
    <w:rsid w:val="009C188E"/>
    <w:rsid w:val="009C1890"/>
    <w:rsid w:val="009C18C1"/>
    <w:rsid w:val="009C1955"/>
    <w:rsid w:val="009C1A09"/>
    <w:rsid w:val="009C1A2D"/>
    <w:rsid w:val="009C1A76"/>
    <w:rsid w:val="009C1AA7"/>
    <w:rsid w:val="009C1AF3"/>
    <w:rsid w:val="009C1B09"/>
    <w:rsid w:val="009C1B28"/>
    <w:rsid w:val="009C1B7A"/>
    <w:rsid w:val="009C1B97"/>
    <w:rsid w:val="009C1BF3"/>
    <w:rsid w:val="009C1C0E"/>
    <w:rsid w:val="009C1C11"/>
    <w:rsid w:val="009C1C41"/>
    <w:rsid w:val="009C1C56"/>
    <w:rsid w:val="009C1C6A"/>
    <w:rsid w:val="009C1C7C"/>
    <w:rsid w:val="009C1CA0"/>
    <w:rsid w:val="009C1CBF"/>
    <w:rsid w:val="009C1CDA"/>
    <w:rsid w:val="009C1DB6"/>
    <w:rsid w:val="009C1DE9"/>
    <w:rsid w:val="009C1DF7"/>
    <w:rsid w:val="009C1E98"/>
    <w:rsid w:val="009C1EB1"/>
    <w:rsid w:val="009C1EBD"/>
    <w:rsid w:val="009C1ED6"/>
    <w:rsid w:val="009C1F11"/>
    <w:rsid w:val="009C1F18"/>
    <w:rsid w:val="009C1F26"/>
    <w:rsid w:val="009C1F98"/>
    <w:rsid w:val="009C2079"/>
    <w:rsid w:val="009C2133"/>
    <w:rsid w:val="009C2164"/>
    <w:rsid w:val="009C21F6"/>
    <w:rsid w:val="009C220D"/>
    <w:rsid w:val="009C2223"/>
    <w:rsid w:val="009C2261"/>
    <w:rsid w:val="009C2264"/>
    <w:rsid w:val="009C22AC"/>
    <w:rsid w:val="009C22E1"/>
    <w:rsid w:val="009C233D"/>
    <w:rsid w:val="009C2366"/>
    <w:rsid w:val="009C239B"/>
    <w:rsid w:val="009C23CB"/>
    <w:rsid w:val="009C240E"/>
    <w:rsid w:val="009C2439"/>
    <w:rsid w:val="009C2441"/>
    <w:rsid w:val="009C2459"/>
    <w:rsid w:val="009C2461"/>
    <w:rsid w:val="009C2483"/>
    <w:rsid w:val="009C24A4"/>
    <w:rsid w:val="009C24C0"/>
    <w:rsid w:val="009C2512"/>
    <w:rsid w:val="009C253E"/>
    <w:rsid w:val="009C25B2"/>
    <w:rsid w:val="009C2619"/>
    <w:rsid w:val="009C2621"/>
    <w:rsid w:val="009C262A"/>
    <w:rsid w:val="009C266F"/>
    <w:rsid w:val="009C2689"/>
    <w:rsid w:val="009C26C1"/>
    <w:rsid w:val="009C2702"/>
    <w:rsid w:val="009C2748"/>
    <w:rsid w:val="009C27AB"/>
    <w:rsid w:val="009C27DA"/>
    <w:rsid w:val="009C2810"/>
    <w:rsid w:val="009C28C9"/>
    <w:rsid w:val="009C28E0"/>
    <w:rsid w:val="009C2927"/>
    <w:rsid w:val="009C292C"/>
    <w:rsid w:val="009C292E"/>
    <w:rsid w:val="009C2961"/>
    <w:rsid w:val="009C297E"/>
    <w:rsid w:val="009C29D8"/>
    <w:rsid w:val="009C2A06"/>
    <w:rsid w:val="009C2A1B"/>
    <w:rsid w:val="009C2A4A"/>
    <w:rsid w:val="009C2AFC"/>
    <w:rsid w:val="009C2B20"/>
    <w:rsid w:val="009C2B34"/>
    <w:rsid w:val="009C2B5D"/>
    <w:rsid w:val="009C2BA0"/>
    <w:rsid w:val="009C2C0A"/>
    <w:rsid w:val="009C2C34"/>
    <w:rsid w:val="009C2C6D"/>
    <w:rsid w:val="009C2C9F"/>
    <w:rsid w:val="009C2CBC"/>
    <w:rsid w:val="009C2CCF"/>
    <w:rsid w:val="009C2CDA"/>
    <w:rsid w:val="009C2CE3"/>
    <w:rsid w:val="009C2D29"/>
    <w:rsid w:val="009C2D85"/>
    <w:rsid w:val="009C2E5E"/>
    <w:rsid w:val="009C2E79"/>
    <w:rsid w:val="009C2E95"/>
    <w:rsid w:val="009C2E9A"/>
    <w:rsid w:val="009C2ED5"/>
    <w:rsid w:val="009C2F29"/>
    <w:rsid w:val="009C2F36"/>
    <w:rsid w:val="009C2FED"/>
    <w:rsid w:val="009C3023"/>
    <w:rsid w:val="009C302F"/>
    <w:rsid w:val="009C305A"/>
    <w:rsid w:val="009C3073"/>
    <w:rsid w:val="009C3085"/>
    <w:rsid w:val="009C30CF"/>
    <w:rsid w:val="009C315F"/>
    <w:rsid w:val="009C3161"/>
    <w:rsid w:val="009C3162"/>
    <w:rsid w:val="009C317E"/>
    <w:rsid w:val="009C31D1"/>
    <w:rsid w:val="009C31DA"/>
    <w:rsid w:val="009C31EC"/>
    <w:rsid w:val="009C3225"/>
    <w:rsid w:val="009C3299"/>
    <w:rsid w:val="009C32BE"/>
    <w:rsid w:val="009C32E9"/>
    <w:rsid w:val="009C337B"/>
    <w:rsid w:val="009C33E2"/>
    <w:rsid w:val="009C33E8"/>
    <w:rsid w:val="009C3419"/>
    <w:rsid w:val="009C3464"/>
    <w:rsid w:val="009C3488"/>
    <w:rsid w:val="009C34C2"/>
    <w:rsid w:val="009C34E6"/>
    <w:rsid w:val="009C34F4"/>
    <w:rsid w:val="009C352B"/>
    <w:rsid w:val="009C3566"/>
    <w:rsid w:val="009C3581"/>
    <w:rsid w:val="009C35C3"/>
    <w:rsid w:val="009C35FF"/>
    <w:rsid w:val="009C3615"/>
    <w:rsid w:val="009C3643"/>
    <w:rsid w:val="009C3674"/>
    <w:rsid w:val="009C3693"/>
    <w:rsid w:val="009C369D"/>
    <w:rsid w:val="009C36C9"/>
    <w:rsid w:val="009C370E"/>
    <w:rsid w:val="009C3721"/>
    <w:rsid w:val="009C3739"/>
    <w:rsid w:val="009C373A"/>
    <w:rsid w:val="009C374E"/>
    <w:rsid w:val="009C3789"/>
    <w:rsid w:val="009C37A3"/>
    <w:rsid w:val="009C3802"/>
    <w:rsid w:val="009C3814"/>
    <w:rsid w:val="009C3874"/>
    <w:rsid w:val="009C387D"/>
    <w:rsid w:val="009C388D"/>
    <w:rsid w:val="009C38A6"/>
    <w:rsid w:val="009C38B4"/>
    <w:rsid w:val="009C38E5"/>
    <w:rsid w:val="009C38FE"/>
    <w:rsid w:val="009C3984"/>
    <w:rsid w:val="009C398B"/>
    <w:rsid w:val="009C398F"/>
    <w:rsid w:val="009C39AB"/>
    <w:rsid w:val="009C39B8"/>
    <w:rsid w:val="009C3A1C"/>
    <w:rsid w:val="009C3A76"/>
    <w:rsid w:val="009C3B5E"/>
    <w:rsid w:val="009C3B80"/>
    <w:rsid w:val="009C3BAC"/>
    <w:rsid w:val="009C3BC3"/>
    <w:rsid w:val="009C3BFD"/>
    <w:rsid w:val="009C3C21"/>
    <w:rsid w:val="009C3C3A"/>
    <w:rsid w:val="009C3C47"/>
    <w:rsid w:val="009C3C57"/>
    <w:rsid w:val="009C3CCF"/>
    <w:rsid w:val="009C3D11"/>
    <w:rsid w:val="009C3D28"/>
    <w:rsid w:val="009C3D41"/>
    <w:rsid w:val="009C3D5C"/>
    <w:rsid w:val="009C3D80"/>
    <w:rsid w:val="009C3DB3"/>
    <w:rsid w:val="009C3DEB"/>
    <w:rsid w:val="009C3E6E"/>
    <w:rsid w:val="009C3E72"/>
    <w:rsid w:val="009C3E92"/>
    <w:rsid w:val="009C3EBD"/>
    <w:rsid w:val="009C3ED0"/>
    <w:rsid w:val="009C3EE5"/>
    <w:rsid w:val="009C3F17"/>
    <w:rsid w:val="009C3F70"/>
    <w:rsid w:val="009C3FB0"/>
    <w:rsid w:val="009C3FCE"/>
    <w:rsid w:val="009C3FE2"/>
    <w:rsid w:val="009C4007"/>
    <w:rsid w:val="009C4008"/>
    <w:rsid w:val="009C4037"/>
    <w:rsid w:val="009C405C"/>
    <w:rsid w:val="009C4092"/>
    <w:rsid w:val="009C40B2"/>
    <w:rsid w:val="009C40BD"/>
    <w:rsid w:val="009C40D2"/>
    <w:rsid w:val="009C412C"/>
    <w:rsid w:val="009C4131"/>
    <w:rsid w:val="009C416D"/>
    <w:rsid w:val="009C4172"/>
    <w:rsid w:val="009C4187"/>
    <w:rsid w:val="009C41B4"/>
    <w:rsid w:val="009C41E6"/>
    <w:rsid w:val="009C4213"/>
    <w:rsid w:val="009C4248"/>
    <w:rsid w:val="009C429F"/>
    <w:rsid w:val="009C42AD"/>
    <w:rsid w:val="009C42EF"/>
    <w:rsid w:val="009C432F"/>
    <w:rsid w:val="009C436A"/>
    <w:rsid w:val="009C4375"/>
    <w:rsid w:val="009C438A"/>
    <w:rsid w:val="009C4392"/>
    <w:rsid w:val="009C4430"/>
    <w:rsid w:val="009C447B"/>
    <w:rsid w:val="009C44F3"/>
    <w:rsid w:val="009C4500"/>
    <w:rsid w:val="009C4516"/>
    <w:rsid w:val="009C458F"/>
    <w:rsid w:val="009C45AE"/>
    <w:rsid w:val="009C45B9"/>
    <w:rsid w:val="009C45D7"/>
    <w:rsid w:val="009C45F6"/>
    <w:rsid w:val="009C4644"/>
    <w:rsid w:val="009C4664"/>
    <w:rsid w:val="009C4672"/>
    <w:rsid w:val="009C46AB"/>
    <w:rsid w:val="009C46CC"/>
    <w:rsid w:val="009C46D0"/>
    <w:rsid w:val="009C46E5"/>
    <w:rsid w:val="009C4706"/>
    <w:rsid w:val="009C4712"/>
    <w:rsid w:val="009C4715"/>
    <w:rsid w:val="009C4736"/>
    <w:rsid w:val="009C47B7"/>
    <w:rsid w:val="009C47C9"/>
    <w:rsid w:val="009C47CC"/>
    <w:rsid w:val="009C47E5"/>
    <w:rsid w:val="009C4824"/>
    <w:rsid w:val="009C4854"/>
    <w:rsid w:val="009C487E"/>
    <w:rsid w:val="009C48A3"/>
    <w:rsid w:val="009C48C3"/>
    <w:rsid w:val="009C48C5"/>
    <w:rsid w:val="009C48E6"/>
    <w:rsid w:val="009C4944"/>
    <w:rsid w:val="009C497A"/>
    <w:rsid w:val="009C49BB"/>
    <w:rsid w:val="009C49E1"/>
    <w:rsid w:val="009C49F7"/>
    <w:rsid w:val="009C4A19"/>
    <w:rsid w:val="009C4A31"/>
    <w:rsid w:val="009C4A4F"/>
    <w:rsid w:val="009C4A5B"/>
    <w:rsid w:val="009C4A76"/>
    <w:rsid w:val="009C4A78"/>
    <w:rsid w:val="009C4A83"/>
    <w:rsid w:val="009C4AEB"/>
    <w:rsid w:val="009C4B00"/>
    <w:rsid w:val="009C4B1D"/>
    <w:rsid w:val="009C4B1E"/>
    <w:rsid w:val="009C4B32"/>
    <w:rsid w:val="009C4B38"/>
    <w:rsid w:val="009C4B49"/>
    <w:rsid w:val="009C4B4A"/>
    <w:rsid w:val="009C4B4C"/>
    <w:rsid w:val="009C4B5B"/>
    <w:rsid w:val="009C4B92"/>
    <w:rsid w:val="009C4B9B"/>
    <w:rsid w:val="009C4BA0"/>
    <w:rsid w:val="009C4BF5"/>
    <w:rsid w:val="009C4C4A"/>
    <w:rsid w:val="009C4C86"/>
    <w:rsid w:val="009C4CA1"/>
    <w:rsid w:val="009C4CF9"/>
    <w:rsid w:val="009C4D39"/>
    <w:rsid w:val="009C4D67"/>
    <w:rsid w:val="009C4DA9"/>
    <w:rsid w:val="009C4DEA"/>
    <w:rsid w:val="009C4E0B"/>
    <w:rsid w:val="009C4E97"/>
    <w:rsid w:val="009C4F30"/>
    <w:rsid w:val="009C4F32"/>
    <w:rsid w:val="009C4F4A"/>
    <w:rsid w:val="009C4F5C"/>
    <w:rsid w:val="009C4FF6"/>
    <w:rsid w:val="009C5040"/>
    <w:rsid w:val="009C505E"/>
    <w:rsid w:val="009C507F"/>
    <w:rsid w:val="009C50A7"/>
    <w:rsid w:val="009C50E9"/>
    <w:rsid w:val="009C50F2"/>
    <w:rsid w:val="009C5188"/>
    <w:rsid w:val="009C520A"/>
    <w:rsid w:val="009C5253"/>
    <w:rsid w:val="009C528F"/>
    <w:rsid w:val="009C52A8"/>
    <w:rsid w:val="009C52DF"/>
    <w:rsid w:val="009C5318"/>
    <w:rsid w:val="009C5322"/>
    <w:rsid w:val="009C5329"/>
    <w:rsid w:val="009C5333"/>
    <w:rsid w:val="009C5375"/>
    <w:rsid w:val="009C5427"/>
    <w:rsid w:val="009C54B8"/>
    <w:rsid w:val="009C54D0"/>
    <w:rsid w:val="009C54E7"/>
    <w:rsid w:val="009C5503"/>
    <w:rsid w:val="009C552C"/>
    <w:rsid w:val="009C55B3"/>
    <w:rsid w:val="009C5643"/>
    <w:rsid w:val="009C5660"/>
    <w:rsid w:val="009C569A"/>
    <w:rsid w:val="009C56ED"/>
    <w:rsid w:val="009C56F0"/>
    <w:rsid w:val="009C570F"/>
    <w:rsid w:val="009C5710"/>
    <w:rsid w:val="009C571F"/>
    <w:rsid w:val="009C572C"/>
    <w:rsid w:val="009C574E"/>
    <w:rsid w:val="009C5765"/>
    <w:rsid w:val="009C5788"/>
    <w:rsid w:val="009C583E"/>
    <w:rsid w:val="009C5871"/>
    <w:rsid w:val="009C588A"/>
    <w:rsid w:val="009C58AD"/>
    <w:rsid w:val="009C58EA"/>
    <w:rsid w:val="009C5925"/>
    <w:rsid w:val="009C597D"/>
    <w:rsid w:val="009C59B4"/>
    <w:rsid w:val="009C59C1"/>
    <w:rsid w:val="009C5A8D"/>
    <w:rsid w:val="009C5A99"/>
    <w:rsid w:val="009C5ACA"/>
    <w:rsid w:val="009C5ADC"/>
    <w:rsid w:val="009C5AE7"/>
    <w:rsid w:val="009C5B34"/>
    <w:rsid w:val="009C5B54"/>
    <w:rsid w:val="009C5BB9"/>
    <w:rsid w:val="009C5BC2"/>
    <w:rsid w:val="009C5BE4"/>
    <w:rsid w:val="009C5BF1"/>
    <w:rsid w:val="009C5C6E"/>
    <w:rsid w:val="009C5CA1"/>
    <w:rsid w:val="009C5CAE"/>
    <w:rsid w:val="009C5CB4"/>
    <w:rsid w:val="009C5D13"/>
    <w:rsid w:val="009C5D16"/>
    <w:rsid w:val="009C5D1D"/>
    <w:rsid w:val="009C5D8F"/>
    <w:rsid w:val="009C5DB8"/>
    <w:rsid w:val="009C5E3E"/>
    <w:rsid w:val="009C5EBE"/>
    <w:rsid w:val="009C5EF7"/>
    <w:rsid w:val="009C5F99"/>
    <w:rsid w:val="009C6069"/>
    <w:rsid w:val="009C608C"/>
    <w:rsid w:val="009C60AA"/>
    <w:rsid w:val="009C60D3"/>
    <w:rsid w:val="009C61CD"/>
    <w:rsid w:val="009C61CF"/>
    <w:rsid w:val="009C6208"/>
    <w:rsid w:val="009C6232"/>
    <w:rsid w:val="009C6267"/>
    <w:rsid w:val="009C628A"/>
    <w:rsid w:val="009C62D2"/>
    <w:rsid w:val="009C6301"/>
    <w:rsid w:val="009C631C"/>
    <w:rsid w:val="009C6346"/>
    <w:rsid w:val="009C6396"/>
    <w:rsid w:val="009C63C6"/>
    <w:rsid w:val="009C63CC"/>
    <w:rsid w:val="009C63E4"/>
    <w:rsid w:val="009C63EB"/>
    <w:rsid w:val="009C6473"/>
    <w:rsid w:val="009C6478"/>
    <w:rsid w:val="009C649F"/>
    <w:rsid w:val="009C64B0"/>
    <w:rsid w:val="009C64E2"/>
    <w:rsid w:val="009C64FF"/>
    <w:rsid w:val="009C6500"/>
    <w:rsid w:val="009C6554"/>
    <w:rsid w:val="009C6571"/>
    <w:rsid w:val="009C65A2"/>
    <w:rsid w:val="009C65D3"/>
    <w:rsid w:val="009C65E7"/>
    <w:rsid w:val="009C65E8"/>
    <w:rsid w:val="009C65F4"/>
    <w:rsid w:val="009C6687"/>
    <w:rsid w:val="009C668C"/>
    <w:rsid w:val="009C66B1"/>
    <w:rsid w:val="009C66C2"/>
    <w:rsid w:val="009C671A"/>
    <w:rsid w:val="009C6720"/>
    <w:rsid w:val="009C673B"/>
    <w:rsid w:val="009C6774"/>
    <w:rsid w:val="009C6826"/>
    <w:rsid w:val="009C688D"/>
    <w:rsid w:val="009C68AC"/>
    <w:rsid w:val="009C6917"/>
    <w:rsid w:val="009C692D"/>
    <w:rsid w:val="009C694D"/>
    <w:rsid w:val="009C698A"/>
    <w:rsid w:val="009C6A07"/>
    <w:rsid w:val="009C6B3F"/>
    <w:rsid w:val="009C6B73"/>
    <w:rsid w:val="009C6B86"/>
    <w:rsid w:val="009C6BBC"/>
    <w:rsid w:val="009C6BD6"/>
    <w:rsid w:val="009C6C17"/>
    <w:rsid w:val="009C6C36"/>
    <w:rsid w:val="009C6C66"/>
    <w:rsid w:val="009C6CAE"/>
    <w:rsid w:val="009C6CB3"/>
    <w:rsid w:val="009C6CBF"/>
    <w:rsid w:val="009C6CC2"/>
    <w:rsid w:val="009C6CC6"/>
    <w:rsid w:val="009C6CDF"/>
    <w:rsid w:val="009C6D06"/>
    <w:rsid w:val="009C6D5A"/>
    <w:rsid w:val="009C6D61"/>
    <w:rsid w:val="009C6DC8"/>
    <w:rsid w:val="009C6DDA"/>
    <w:rsid w:val="009C6E57"/>
    <w:rsid w:val="009C6E5C"/>
    <w:rsid w:val="009C6E7E"/>
    <w:rsid w:val="009C6EAB"/>
    <w:rsid w:val="009C6ED3"/>
    <w:rsid w:val="009C6EDB"/>
    <w:rsid w:val="009C6F5D"/>
    <w:rsid w:val="009C6F7B"/>
    <w:rsid w:val="009C6F90"/>
    <w:rsid w:val="009C6F91"/>
    <w:rsid w:val="009C700A"/>
    <w:rsid w:val="009C7047"/>
    <w:rsid w:val="009C705D"/>
    <w:rsid w:val="009C70F1"/>
    <w:rsid w:val="009C715E"/>
    <w:rsid w:val="009C7172"/>
    <w:rsid w:val="009C7175"/>
    <w:rsid w:val="009C7196"/>
    <w:rsid w:val="009C71F6"/>
    <w:rsid w:val="009C720A"/>
    <w:rsid w:val="009C7227"/>
    <w:rsid w:val="009C7298"/>
    <w:rsid w:val="009C72E2"/>
    <w:rsid w:val="009C72E9"/>
    <w:rsid w:val="009C735E"/>
    <w:rsid w:val="009C7375"/>
    <w:rsid w:val="009C7397"/>
    <w:rsid w:val="009C73D3"/>
    <w:rsid w:val="009C7442"/>
    <w:rsid w:val="009C7485"/>
    <w:rsid w:val="009C74C3"/>
    <w:rsid w:val="009C74EF"/>
    <w:rsid w:val="009C750F"/>
    <w:rsid w:val="009C759F"/>
    <w:rsid w:val="009C75C9"/>
    <w:rsid w:val="009C75DF"/>
    <w:rsid w:val="009C7628"/>
    <w:rsid w:val="009C76D2"/>
    <w:rsid w:val="009C76D8"/>
    <w:rsid w:val="009C76ED"/>
    <w:rsid w:val="009C76F7"/>
    <w:rsid w:val="009C773F"/>
    <w:rsid w:val="009C7789"/>
    <w:rsid w:val="009C778D"/>
    <w:rsid w:val="009C77A0"/>
    <w:rsid w:val="009C77B0"/>
    <w:rsid w:val="009C78B7"/>
    <w:rsid w:val="009C78DA"/>
    <w:rsid w:val="009C78E4"/>
    <w:rsid w:val="009C78FC"/>
    <w:rsid w:val="009C7924"/>
    <w:rsid w:val="009C7972"/>
    <w:rsid w:val="009C79A0"/>
    <w:rsid w:val="009C79AA"/>
    <w:rsid w:val="009C79C8"/>
    <w:rsid w:val="009C7A1C"/>
    <w:rsid w:val="009C7AAF"/>
    <w:rsid w:val="009C7B39"/>
    <w:rsid w:val="009C7B3F"/>
    <w:rsid w:val="009C7B7C"/>
    <w:rsid w:val="009C7B9B"/>
    <w:rsid w:val="009C7BC8"/>
    <w:rsid w:val="009C7BF9"/>
    <w:rsid w:val="009C7C68"/>
    <w:rsid w:val="009C7CCF"/>
    <w:rsid w:val="009C7CD6"/>
    <w:rsid w:val="009C7D27"/>
    <w:rsid w:val="009C7D41"/>
    <w:rsid w:val="009C7D4E"/>
    <w:rsid w:val="009C7D66"/>
    <w:rsid w:val="009C7D79"/>
    <w:rsid w:val="009C7D9A"/>
    <w:rsid w:val="009C7DA4"/>
    <w:rsid w:val="009C7DCC"/>
    <w:rsid w:val="009C7DDA"/>
    <w:rsid w:val="009C7E03"/>
    <w:rsid w:val="009C7E27"/>
    <w:rsid w:val="009C7E34"/>
    <w:rsid w:val="009C7E3D"/>
    <w:rsid w:val="009C7E4C"/>
    <w:rsid w:val="009C7EAE"/>
    <w:rsid w:val="009C7EBC"/>
    <w:rsid w:val="009C7F39"/>
    <w:rsid w:val="009C7F45"/>
    <w:rsid w:val="009C7F9B"/>
    <w:rsid w:val="009C7FAB"/>
    <w:rsid w:val="009C7FC1"/>
    <w:rsid w:val="009D0010"/>
    <w:rsid w:val="009D0011"/>
    <w:rsid w:val="009D00D5"/>
    <w:rsid w:val="009D00D9"/>
    <w:rsid w:val="009D00DE"/>
    <w:rsid w:val="009D00ED"/>
    <w:rsid w:val="009D0111"/>
    <w:rsid w:val="009D012F"/>
    <w:rsid w:val="009D0144"/>
    <w:rsid w:val="009D0201"/>
    <w:rsid w:val="009D024A"/>
    <w:rsid w:val="009D0280"/>
    <w:rsid w:val="009D0281"/>
    <w:rsid w:val="009D0288"/>
    <w:rsid w:val="009D02A8"/>
    <w:rsid w:val="009D02DC"/>
    <w:rsid w:val="009D0311"/>
    <w:rsid w:val="009D035B"/>
    <w:rsid w:val="009D0379"/>
    <w:rsid w:val="009D038F"/>
    <w:rsid w:val="009D0392"/>
    <w:rsid w:val="009D03BD"/>
    <w:rsid w:val="009D03BF"/>
    <w:rsid w:val="009D03D2"/>
    <w:rsid w:val="009D03FC"/>
    <w:rsid w:val="009D0504"/>
    <w:rsid w:val="009D056D"/>
    <w:rsid w:val="009D058D"/>
    <w:rsid w:val="009D05BB"/>
    <w:rsid w:val="009D05E0"/>
    <w:rsid w:val="009D05F7"/>
    <w:rsid w:val="009D0627"/>
    <w:rsid w:val="009D063D"/>
    <w:rsid w:val="009D0646"/>
    <w:rsid w:val="009D06A9"/>
    <w:rsid w:val="009D06F1"/>
    <w:rsid w:val="009D070A"/>
    <w:rsid w:val="009D0759"/>
    <w:rsid w:val="009D076D"/>
    <w:rsid w:val="009D0797"/>
    <w:rsid w:val="009D07C5"/>
    <w:rsid w:val="009D0841"/>
    <w:rsid w:val="009D0862"/>
    <w:rsid w:val="009D087E"/>
    <w:rsid w:val="009D08F0"/>
    <w:rsid w:val="009D0902"/>
    <w:rsid w:val="009D091F"/>
    <w:rsid w:val="009D0947"/>
    <w:rsid w:val="009D0978"/>
    <w:rsid w:val="009D0994"/>
    <w:rsid w:val="009D0A3C"/>
    <w:rsid w:val="009D0A3F"/>
    <w:rsid w:val="009D0A5B"/>
    <w:rsid w:val="009D0AAE"/>
    <w:rsid w:val="009D0AFA"/>
    <w:rsid w:val="009D0B5B"/>
    <w:rsid w:val="009D0B9E"/>
    <w:rsid w:val="009D0BDD"/>
    <w:rsid w:val="009D0C1B"/>
    <w:rsid w:val="009D0C59"/>
    <w:rsid w:val="009D0C87"/>
    <w:rsid w:val="009D0CA2"/>
    <w:rsid w:val="009D0CDB"/>
    <w:rsid w:val="009D0D34"/>
    <w:rsid w:val="009D0D80"/>
    <w:rsid w:val="009D0D84"/>
    <w:rsid w:val="009D0D91"/>
    <w:rsid w:val="009D0D9D"/>
    <w:rsid w:val="009D0DB2"/>
    <w:rsid w:val="009D0DC7"/>
    <w:rsid w:val="009D0DDC"/>
    <w:rsid w:val="009D0E1C"/>
    <w:rsid w:val="009D0E44"/>
    <w:rsid w:val="009D0E9B"/>
    <w:rsid w:val="009D0ECE"/>
    <w:rsid w:val="009D0ED8"/>
    <w:rsid w:val="009D0EEA"/>
    <w:rsid w:val="009D0EFD"/>
    <w:rsid w:val="009D0F2E"/>
    <w:rsid w:val="009D0F7C"/>
    <w:rsid w:val="009D0F89"/>
    <w:rsid w:val="009D0F8C"/>
    <w:rsid w:val="009D0FA6"/>
    <w:rsid w:val="009D0FD6"/>
    <w:rsid w:val="009D0FF7"/>
    <w:rsid w:val="009D1006"/>
    <w:rsid w:val="009D1018"/>
    <w:rsid w:val="009D1095"/>
    <w:rsid w:val="009D10A3"/>
    <w:rsid w:val="009D10C7"/>
    <w:rsid w:val="009D10E0"/>
    <w:rsid w:val="009D10EB"/>
    <w:rsid w:val="009D1128"/>
    <w:rsid w:val="009D1147"/>
    <w:rsid w:val="009D115E"/>
    <w:rsid w:val="009D1166"/>
    <w:rsid w:val="009D11B2"/>
    <w:rsid w:val="009D11E8"/>
    <w:rsid w:val="009D128F"/>
    <w:rsid w:val="009D1312"/>
    <w:rsid w:val="009D1319"/>
    <w:rsid w:val="009D135C"/>
    <w:rsid w:val="009D1383"/>
    <w:rsid w:val="009D138C"/>
    <w:rsid w:val="009D13BC"/>
    <w:rsid w:val="009D13DD"/>
    <w:rsid w:val="009D1418"/>
    <w:rsid w:val="009D1430"/>
    <w:rsid w:val="009D1446"/>
    <w:rsid w:val="009D1471"/>
    <w:rsid w:val="009D147A"/>
    <w:rsid w:val="009D1482"/>
    <w:rsid w:val="009D14A6"/>
    <w:rsid w:val="009D1534"/>
    <w:rsid w:val="009D1573"/>
    <w:rsid w:val="009D15D5"/>
    <w:rsid w:val="009D15E0"/>
    <w:rsid w:val="009D15FC"/>
    <w:rsid w:val="009D1600"/>
    <w:rsid w:val="009D1683"/>
    <w:rsid w:val="009D16F6"/>
    <w:rsid w:val="009D17A2"/>
    <w:rsid w:val="009D17F6"/>
    <w:rsid w:val="009D184A"/>
    <w:rsid w:val="009D1878"/>
    <w:rsid w:val="009D1931"/>
    <w:rsid w:val="009D196F"/>
    <w:rsid w:val="009D19C3"/>
    <w:rsid w:val="009D19D9"/>
    <w:rsid w:val="009D19DD"/>
    <w:rsid w:val="009D1A42"/>
    <w:rsid w:val="009D1AE3"/>
    <w:rsid w:val="009D1AFF"/>
    <w:rsid w:val="009D1B3C"/>
    <w:rsid w:val="009D1B47"/>
    <w:rsid w:val="009D1B74"/>
    <w:rsid w:val="009D1BA1"/>
    <w:rsid w:val="009D1BAA"/>
    <w:rsid w:val="009D1BD1"/>
    <w:rsid w:val="009D1BD4"/>
    <w:rsid w:val="009D1BF2"/>
    <w:rsid w:val="009D1C20"/>
    <w:rsid w:val="009D1C28"/>
    <w:rsid w:val="009D1C2A"/>
    <w:rsid w:val="009D1C3D"/>
    <w:rsid w:val="009D1C54"/>
    <w:rsid w:val="009D1C6C"/>
    <w:rsid w:val="009D1C81"/>
    <w:rsid w:val="009D1C88"/>
    <w:rsid w:val="009D1C89"/>
    <w:rsid w:val="009D1CE1"/>
    <w:rsid w:val="009D1CFF"/>
    <w:rsid w:val="009D1D22"/>
    <w:rsid w:val="009D1D25"/>
    <w:rsid w:val="009D1D43"/>
    <w:rsid w:val="009D1D8E"/>
    <w:rsid w:val="009D1D97"/>
    <w:rsid w:val="009D1DA0"/>
    <w:rsid w:val="009D1E17"/>
    <w:rsid w:val="009D1E42"/>
    <w:rsid w:val="009D1E82"/>
    <w:rsid w:val="009D1EAD"/>
    <w:rsid w:val="009D1EB8"/>
    <w:rsid w:val="009D1F18"/>
    <w:rsid w:val="009D1F41"/>
    <w:rsid w:val="009D1F78"/>
    <w:rsid w:val="009D2017"/>
    <w:rsid w:val="009D202B"/>
    <w:rsid w:val="009D2049"/>
    <w:rsid w:val="009D20B0"/>
    <w:rsid w:val="009D20B3"/>
    <w:rsid w:val="009D20D2"/>
    <w:rsid w:val="009D20E1"/>
    <w:rsid w:val="009D2110"/>
    <w:rsid w:val="009D2168"/>
    <w:rsid w:val="009D21E2"/>
    <w:rsid w:val="009D2233"/>
    <w:rsid w:val="009D2250"/>
    <w:rsid w:val="009D225D"/>
    <w:rsid w:val="009D226C"/>
    <w:rsid w:val="009D2283"/>
    <w:rsid w:val="009D228C"/>
    <w:rsid w:val="009D22C8"/>
    <w:rsid w:val="009D233D"/>
    <w:rsid w:val="009D234C"/>
    <w:rsid w:val="009D237E"/>
    <w:rsid w:val="009D2396"/>
    <w:rsid w:val="009D23B9"/>
    <w:rsid w:val="009D23D1"/>
    <w:rsid w:val="009D2461"/>
    <w:rsid w:val="009D24CB"/>
    <w:rsid w:val="009D24DF"/>
    <w:rsid w:val="009D2507"/>
    <w:rsid w:val="009D2535"/>
    <w:rsid w:val="009D2558"/>
    <w:rsid w:val="009D25DE"/>
    <w:rsid w:val="009D25F6"/>
    <w:rsid w:val="009D260B"/>
    <w:rsid w:val="009D2652"/>
    <w:rsid w:val="009D2665"/>
    <w:rsid w:val="009D2681"/>
    <w:rsid w:val="009D2699"/>
    <w:rsid w:val="009D26F5"/>
    <w:rsid w:val="009D2738"/>
    <w:rsid w:val="009D27C1"/>
    <w:rsid w:val="009D281D"/>
    <w:rsid w:val="009D2896"/>
    <w:rsid w:val="009D2914"/>
    <w:rsid w:val="009D292D"/>
    <w:rsid w:val="009D29FB"/>
    <w:rsid w:val="009D2A2A"/>
    <w:rsid w:val="009D2A3E"/>
    <w:rsid w:val="009D2A7E"/>
    <w:rsid w:val="009D2A90"/>
    <w:rsid w:val="009D2A9A"/>
    <w:rsid w:val="009D2ACC"/>
    <w:rsid w:val="009D2AF6"/>
    <w:rsid w:val="009D2B00"/>
    <w:rsid w:val="009D2B73"/>
    <w:rsid w:val="009D2BA9"/>
    <w:rsid w:val="009D2BB4"/>
    <w:rsid w:val="009D2C63"/>
    <w:rsid w:val="009D2C86"/>
    <w:rsid w:val="009D2CE1"/>
    <w:rsid w:val="009D2CF3"/>
    <w:rsid w:val="009D2D1D"/>
    <w:rsid w:val="009D2D3B"/>
    <w:rsid w:val="009D2D77"/>
    <w:rsid w:val="009D2DB2"/>
    <w:rsid w:val="009D2DC4"/>
    <w:rsid w:val="009D2DDB"/>
    <w:rsid w:val="009D2DF9"/>
    <w:rsid w:val="009D2EB0"/>
    <w:rsid w:val="009D2EB3"/>
    <w:rsid w:val="009D2EF9"/>
    <w:rsid w:val="009D2EFE"/>
    <w:rsid w:val="009D2F14"/>
    <w:rsid w:val="009D2F3C"/>
    <w:rsid w:val="009D2F4C"/>
    <w:rsid w:val="009D2F50"/>
    <w:rsid w:val="009D2FAD"/>
    <w:rsid w:val="009D2FEF"/>
    <w:rsid w:val="009D302A"/>
    <w:rsid w:val="009D3087"/>
    <w:rsid w:val="009D308F"/>
    <w:rsid w:val="009D3091"/>
    <w:rsid w:val="009D30E6"/>
    <w:rsid w:val="009D3125"/>
    <w:rsid w:val="009D312F"/>
    <w:rsid w:val="009D3156"/>
    <w:rsid w:val="009D3168"/>
    <w:rsid w:val="009D3170"/>
    <w:rsid w:val="009D3193"/>
    <w:rsid w:val="009D319F"/>
    <w:rsid w:val="009D31DA"/>
    <w:rsid w:val="009D31EE"/>
    <w:rsid w:val="009D3235"/>
    <w:rsid w:val="009D323B"/>
    <w:rsid w:val="009D3259"/>
    <w:rsid w:val="009D329F"/>
    <w:rsid w:val="009D32EE"/>
    <w:rsid w:val="009D3414"/>
    <w:rsid w:val="009D347F"/>
    <w:rsid w:val="009D3486"/>
    <w:rsid w:val="009D3494"/>
    <w:rsid w:val="009D34B9"/>
    <w:rsid w:val="009D353E"/>
    <w:rsid w:val="009D35C7"/>
    <w:rsid w:val="009D35DE"/>
    <w:rsid w:val="009D3617"/>
    <w:rsid w:val="009D3621"/>
    <w:rsid w:val="009D3668"/>
    <w:rsid w:val="009D3672"/>
    <w:rsid w:val="009D36D8"/>
    <w:rsid w:val="009D36EA"/>
    <w:rsid w:val="009D377C"/>
    <w:rsid w:val="009D37B8"/>
    <w:rsid w:val="009D37BD"/>
    <w:rsid w:val="009D3841"/>
    <w:rsid w:val="009D3856"/>
    <w:rsid w:val="009D3874"/>
    <w:rsid w:val="009D3893"/>
    <w:rsid w:val="009D38A3"/>
    <w:rsid w:val="009D38AA"/>
    <w:rsid w:val="009D38D6"/>
    <w:rsid w:val="009D3916"/>
    <w:rsid w:val="009D399F"/>
    <w:rsid w:val="009D39D7"/>
    <w:rsid w:val="009D3A48"/>
    <w:rsid w:val="009D3A69"/>
    <w:rsid w:val="009D3A80"/>
    <w:rsid w:val="009D3A85"/>
    <w:rsid w:val="009D3B49"/>
    <w:rsid w:val="009D3B77"/>
    <w:rsid w:val="009D3BAA"/>
    <w:rsid w:val="009D3BB0"/>
    <w:rsid w:val="009D3C20"/>
    <w:rsid w:val="009D3C5B"/>
    <w:rsid w:val="009D3CE1"/>
    <w:rsid w:val="009D3D10"/>
    <w:rsid w:val="009D3D1B"/>
    <w:rsid w:val="009D3D59"/>
    <w:rsid w:val="009D3D6B"/>
    <w:rsid w:val="009D3DA3"/>
    <w:rsid w:val="009D3DDB"/>
    <w:rsid w:val="009D3DEE"/>
    <w:rsid w:val="009D3E05"/>
    <w:rsid w:val="009D3E08"/>
    <w:rsid w:val="009D3E12"/>
    <w:rsid w:val="009D3E57"/>
    <w:rsid w:val="009D3E67"/>
    <w:rsid w:val="009D3EE2"/>
    <w:rsid w:val="009D3F22"/>
    <w:rsid w:val="009D3F64"/>
    <w:rsid w:val="009D3F80"/>
    <w:rsid w:val="009D3F90"/>
    <w:rsid w:val="009D4055"/>
    <w:rsid w:val="009D4081"/>
    <w:rsid w:val="009D40C5"/>
    <w:rsid w:val="009D4120"/>
    <w:rsid w:val="009D41A1"/>
    <w:rsid w:val="009D41A3"/>
    <w:rsid w:val="009D41C6"/>
    <w:rsid w:val="009D41DB"/>
    <w:rsid w:val="009D41E2"/>
    <w:rsid w:val="009D4206"/>
    <w:rsid w:val="009D4252"/>
    <w:rsid w:val="009D425C"/>
    <w:rsid w:val="009D42B9"/>
    <w:rsid w:val="009D42D8"/>
    <w:rsid w:val="009D4337"/>
    <w:rsid w:val="009D4344"/>
    <w:rsid w:val="009D436B"/>
    <w:rsid w:val="009D43C5"/>
    <w:rsid w:val="009D4420"/>
    <w:rsid w:val="009D444F"/>
    <w:rsid w:val="009D44EF"/>
    <w:rsid w:val="009D4524"/>
    <w:rsid w:val="009D4555"/>
    <w:rsid w:val="009D4595"/>
    <w:rsid w:val="009D4747"/>
    <w:rsid w:val="009D4774"/>
    <w:rsid w:val="009D4795"/>
    <w:rsid w:val="009D47DA"/>
    <w:rsid w:val="009D47E8"/>
    <w:rsid w:val="009D47FA"/>
    <w:rsid w:val="009D4834"/>
    <w:rsid w:val="009D4837"/>
    <w:rsid w:val="009D483D"/>
    <w:rsid w:val="009D48A9"/>
    <w:rsid w:val="009D48B9"/>
    <w:rsid w:val="009D48BC"/>
    <w:rsid w:val="009D48BD"/>
    <w:rsid w:val="009D48EF"/>
    <w:rsid w:val="009D4902"/>
    <w:rsid w:val="009D4923"/>
    <w:rsid w:val="009D4935"/>
    <w:rsid w:val="009D4971"/>
    <w:rsid w:val="009D497C"/>
    <w:rsid w:val="009D4986"/>
    <w:rsid w:val="009D4998"/>
    <w:rsid w:val="009D4A17"/>
    <w:rsid w:val="009D4A2D"/>
    <w:rsid w:val="009D4A34"/>
    <w:rsid w:val="009D4A46"/>
    <w:rsid w:val="009D4A50"/>
    <w:rsid w:val="009D4A80"/>
    <w:rsid w:val="009D4A8D"/>
    <w:rsid w:val="009D4AB7"/>
    <w:rsid w:val="009D4AC6"/>
    <w:rsid w:val="009D4ACF"/>
    <w:rsid w:val="009D4AE8"/>
    <w:rsid w:val="009D4B17"/>
    <w:rsid w:val="009D4B28"/>
    <w:rsid w:val="009D4B35"/>
    <w:rsid w:val="009D4B42"/>
    <w:rsid w:val="009D4B5E"/>
    <w:rsid w:val="009D4B6F"/>
    <w:rsid w:val="009D4B8D"/>
    <w:rsid w:val="009D4B95"/>
    <w:rsid w:val="009D4BE8"/>
    <w:rsid w:val="009D4C17"/>
    <w:rsid w:val="009D4C45"/>
    <w:rsid w:val="009D4C5E"/>
    <w:rsid w:val="009D4C9B"/>
    <w:rsid w:val="009D4CB4"/>
    <w:rsid w:val="009D4CDF"/>
    <w:rsid w:val="009D4D0D"/>
    <w:rsid w:val="009D4D22"/>
    <w:rsid w:val="009D4D6A"/>
    <w:rsid w:val="009D4DAB"/>
    <w:rsid w:val="009D4DBA"/>
    <w:rsid w:val="009D4DE3"/>
    <w:rsid w:val="009D4E3B"/>
    <w:rsid w:val="009D4E64"/>
    <w:rsid w:val="009D4EDA"/>
    <w:rsid w:val="009D4F0B"/>
    <w:rsid w:val="009D4F4C"/>
    <w:rsid w:val="009D4F7A"/>
    <w:rsid w:val="009D4FA4"/>
    <w:rsid w:val="009D4FD0"/>
    <w:rsid w:val="009D500B"/>
    <w:rsid w:val="009D5099"/>
    <w:rsid w:val="009D510E"/>
    <w:rsid w:val="009D515B"/>
    <w:rsid w:val="009D5160"/>
    <w:rsid w:val="009D517B"/>
    <w:rsid w:val="009D5180"/>
    <w:rsid w:val="009D51D1"/>
    <w:rsid w:val="009D528F"/>
    <w:rsid w:val="009D529E"/>
    <w:rsid w:val="009D52B2"/>
    <w:rsid w:val="009D52D8"/>
    <w:rsid w:val="009D52D9"/>
    <w:rsid w:val="009D53EC"/>
    <w:rsid w:val="009D53F0"/>
    <w:rsid w:val="009D5460"/>
    <w:rsid w:val="009D54CB"/>
    <w:rsid w:val="009D54DA"/>
    <w:rsid w:val="009D54EE"/>
    <w:rsid w:val="009D54FA"/>
    <w:rsid w:val="009D5532"/>
    <w:rsid w:val="009D5558"/>
    <w:rsid w:val="009D5599"/>
    <w:rsid w:val="009D559E"/>
    <w:rsid w:val="009D55F3"/>
    <w:rsid w:val="009D55FF"/>
    <w:rsid w:val="009D561C"/>
    <w:rsid w:val="009D568F"/>
    <w:rsid w:val="009D5694"/>
    <w:rsid w:val="009D5707"/>
    <w:rsid w:val="009D5769"/>
    <w:rsid w:val="009D578E"/>
    <w:rsid w:val="009D5793"/>
    <w:rsid w:val="009D579F"/>
    <w:rsid w:val="009D57A0"/>
    <w:rsid w:val="009D57DE"/>
    <w:rsid w:val="009D57FA"/>
    <w:rsid w:val="009D5820"/>
    <w:rsid w:val="009D58B9"/>
    <w:rsid w:val="009D58C2"/>
    <w:rsid w:val="009D58D5"/>
    <w:rsid w:val="009D5905"/>
    <w:rsid w:val="009D59B4"/>
    <w:rsid w:val="009D59FF"/>
    <w:rsid w:val="009D5A01"/>
    <w:rsid w:val="009D5A2A"/>
    <w:rsid w:val="009D5A66"/>
    <w:rsid w:val="009D5A68"/>
    <w:rsid w:val="009D5AFF"/>
    <w:rsid w:val="009D5B17"/>
    <w:rsid w:val="009D5B58"/>
    <w:rsid w:val="009D5B5F"/>
    <w:rsid w:val="009D5BB0"/>
    <w:rsid w:val="009D5C2C"/>
    <w:rsid w:val="009D5C79"/>
    <w:rsid w:val="009D5CDC"/>
    <w:rsid w:val="009D5D05"/>
    <w:rsid w:val="009D5D06"/>
    <w:rsid w:val="009D5D18"/>
    <w:rsid w:val="009D5D3F"/>
    <w:rsid w:val="009D5DAB"/>
    <w:rsid w:val="009D5E0B"/>
    <w:rsid w:val="009D5E11"/>
    <w:rsid w:val="009D5E3C"/>
    <w:rsid w:val="009D5E82"/>
    <w:rsid w:val="009D5ED6"/>
    <w:rsid w:val="009D5EF8"/>
    <w:rsid w:val="009D5F16"/>
    <w:rsid w:val="009D5F17"/>
    <w:rsid w:val="009D5F49"/>
    <w:rsid w:val="009D5F8F"/>
    <w:rsid w:val="009D5F96"/>
    <w:rsid w:val="009D5FFE"/>
    <w:rsid w:val="009D6050"/>
    <w:rsid w:val="009D6062"/>
    <w:rsid w:val="009D60AB"/>
    <w:rsid w:val="009D60AD"/>
    <w:rsid w:val="009D60B6"/>
    <w:rsid w:val="009D60B9"/>
    <w:rsid w:val="009D60C3"/>
    <w:rsid w:val="009D60FB"/>
    <w:rsid w:val="009D6156"/>
    <w:rsid w:val="009D61AF"/>
    <w:rsid w:val="009D61EB"/>
    <w:rsid w:val="009D61F1"/>
    <w:rsid w:val="009D6223"/>
    <w:rsid w:val="009D6256"/>
    <w:rsid w:val="009D625F"/>
    <w:rsid w:val="009D628A"/>
    <w:rsid w:val="009D638B"/>
    <w:rsid w:val="009D63F5"/>
    <w:rsid w:val="009D63FE"/>
    <w:rsid w:val="009D6414"/>
    <w:rsid w:val="009D6491"/>
    <w:rsid w:val="009D64B1"/>
    <w:rsid w:val="009D64C7"/>
    <w:rsid w:val="009D64F5"/>
    <w:rsid w:val="009D6512"/>
    <w:rsid w:val="009D657C"/>
    <w:rsid w:val="009D65CC"/>
    <w:rsid w:val="009D65D9"/>
    <w:rsid w:val="009D66C1"/>
    <w:rsid w:val="009D66D6"/>
    <w:rsid w:val="009D6734"/>
    <w:rsid w:val="009D675A"/>
    <w:rsid w:val="009D677C"/>
    <w:rsid w:val="009D67BB"/>
    <w:rsid w:val="009D67FD"/>
    <w:rsid w:val="009D68A3"/>
    <w:rsid w:val="009D69B0"/>
    <w:rsid w:val="009D69B4"/>
    <w:rsid w:val="009D69C2"/>
    <w:rsid w:val="009D6A6E"/>
    <w:rsid w:val="009D6AE2"/>
    <w:rsid w:val="009D6B6E"/>
    <w:rsid w:val="009D6B7F"/>
    <w:rsid w:val="009D6B9B"/>
    <w:rsid w:val="009D6BCE"/>
    <w:rsid w:val="009D6BD2"/>
    <w:rsid w:val="009D6BEA"/>
    <w:rsid w:val="009D6C0B"/>
    <w:rsid w:val="009D6C60"/>
    <w:rsid w:val="009D6C9F"/>
    <w:rsid w:val="009D6CC8"/>
    <w:rsid w:val="009D6D51"/>
    <w:rsid w:val="009D6D61"/>
    <w:rsid w:val="009D6D80"/>
    <w:rsid w:val="009D6E31"/>
    <w:rsid w:val="009D6E5C"/>
    <w:rsid w:val="009D6EA8"/>
    <w:rsid w:val="009D6F0C"/>
    <w:rsid w:val="009D6F1E"/>
    <w:rsid w:val="009D6F5B"/>
    <w:rsid w:val="009D6FEC"/>
    <w:rsid w:val="009D7010"/>
    <w:rsid w:val="009D7013"/>
    <w:rsid w:val="009D701C"/>
    <w:rsid w:val="009D706F"/>
    <w:rsid w:val="009D7087"/>
    <w:rsid w:val="009D710D"/>
    <w:rsid w:val="009D7171"/>
    <w:rsid w:val="009D7193"/>
    <w:rsid w:val="009D71A5"/>
    <w:rsid w:val="009D71BF"/>
    <w:rsid w:val="009D71FC"/>
    <w:rsid w:val="009D7207"/>
    <w:rsid w:val="009D721E"/>
    <w:rsid w:val="009D72C0"/>
    <w:rsid w:val="009D731D"/>
    <w:rsid w:val="009D7372"/>
    <w:rsid w:val="009D7426"/>
    <w:rsid w:val="009D7462"/>
    <w:rsid w:val="009D746A"/>
    <w:rsid w:val="009D749D"/>
    <w:rsid w:val="009D74FE"/>
    <w:rsid w:val="009D7503"/>
    <w:rsid w:val="009D750F"/>
    <w:rsid w:val="009D7534"/>
    <w:rsid w:val="009D7547"/>
    <w:rsid w:val="009D756E"/>
    <w:rsid w:val="009D75C6"/>
    <w:rsid w:val="009D75D1"/>
    <w:rsid w:val="009D75D6"/>
    <w:rsid w:val="009D76C1"/>
    <w:rsid w:val="009D76C7"/>
    <w:rsid w:val="009D76E5"/>
    <w:rsid w:val="009D76F1"/>
    <w:rsid w:val="009D7724"/>
    <w:rsid w:val="009D7785"/>
    <w:rsid w:val="009D77A3"/>
    <w:rsid w:val="009D77EB"/>
    <w:rsid w:val="009D782E"/>
    <w:rsid w:val="009D7833"/>
    <w:rsid w:val="009D7837"/>
    <w:rsid w:val="009D78B4"/>
    <w:rsid w:val="009D78E3"/>
    <w:rsid w:val="009D7947"/>
    <w:rsid w:val="009D797F"/>
    <w:rsid w:val="009D79A6"/>
    <w:rsid w:val="009D79B1"/>
    <w:rsid w:val="009D79F9"/>
    <w:rsid w:val="009D7A11"/>
    <w:rsid w:val="009D7A54"/>
    <w:rsid w:val="009D7A5B"/>
    <w:rsid w:val="009D7A6A"/>
    <w:rsid w:val="009D7A72"/>
    <w:rsid w:val="009D7B38"/>
    <w:rsid w:val="009D7B44"/>
    <w:rsid w:val="009D7B5E"/>
    <w:rsid w:val="009D7BBA"/>
    <w:rsid w:val="009D7BC5"/>
    <w:rsid w:val="009D7C39"/>
    <w:rsid w:val="009D7C71"/>
    <w:rsid w:val="009D7CC3"/>
    <w:rsid w:val="009D7CEA"/>
    <w:rsid w:val="009D7D23"/>
    <w:rsid w:val="009D7D39"/>
    <w:rsid w:val="009D7D46"/>
    <w:rsid w:val="009D7D75"/>
    <w:rsid w:val="009D7DD4"/>
    <w:rsid w:val="009D7DDE"/>
    <w:rsid w:val="009D7DF4"/>
    <w:rsid w:val="009D7E18"/>
    <w:rsid w:val="009D7E30"/>
    <w:rsid w:val="009D7E59"/>
    <w:rsid w:val="009D7EBA"/>
    <w:rsid w:val="009D7EEE"/>
    <w:rsid w:val="009D7EFB"/>
    <w:rsid w:val="009D7F02"/>
    <w:rsid w:val="009D7F25"/>
    <w:rsid w:val="009D7F7F"/>
    <w:rsid w:val="009D7FBE"/>
    <w:rsid w:val="009D7FC2"/>
    <w:rsid w:val="009D7FC8"/>
    <w:rsid w:val="009E0006"/>
    <w:rsid w:val="009E000B"/>
    <w:rsid w:val="009E0019"/>
    <w:rsid w:val="009E006D"/>
    <w:rsid w:val="009E00CC"/>
    <w:rsid w:val="009E00D6"/>
    <w:rsid w:val="009E0120"/>
    <w:rsid w:val="009E012E"/>
    <w:rsid w:val="009E014D"/>
    <w:rsid w:val="009E0154"/>
    <w:rsid w:val="009E01FF"/>
    <w:rsid w:val="009E0203"/>
    <w:rsid w:val="009E02AA"/>
    <w:rsid w:val="009E02AC"/>
    <w:rsid w:val="009E02C1"/>
    <w:rsid w:val="009E030F"/>
    <w:rsid w:val="009E0336"/>
    <w:rsid w:val="009E0339"/>
    <w:rsid w:val="009E039C"/>
    <w:rsid w:val="009E039E"/>
    <w:rsid w:val="009E03A5"/>
    <w:rsid w:val="009E03C9"/>
    <w:rsid w:val="009E0414"/>
    <w:rsid w:val="009E041A"/>
    <w:rsid w:val="009E0438"/>
    <w:rsid w:val="009E0447"/>
    <w:rsid w:val="009E0451"/>
    <w:rsid w:val="009E0489"/>
    <w:rsid w:val="009E0490"/>
    <w:rsid w:val="009E04C4"/>
    <w:rsid w:val="009E04FA"/>
    <w:rsid w:val="009E0517"/>
    <w:rsid w:val="009E0554"/>
    <w:rsid w:val="009E05A8"/>
    <w:rsid w:val="009E05BA"/>
    <w:rsid w:val="009E05BD"/>
    <w:rsid w:val="009E05CD"/>
    <w:rsid w:val="009E0615"/>
    <w:rsid w:val="009E0786"/>
    <w:rsid w:val="009E081B"/>
    <w:rsid w:val="009E084B"/>
    <w:rsid w:val="009E09AD"/>
    <w:rsid w:val="009E0A36"/>
    <w:rsid w:val="009E0A65"/>
    <w:rsid w:val="009E0A80"/>
    <w:rsid w:val="009E0B0C"/>
    <w:rsid w:val="009E0B12"/>
    <w:rsid w:val="009E0B7A"/>
    <w:rsid w:val="009E0C02"/>
    <w:rsid w:val="009E0C12"/>
    <w:rsid w:val="009E0C5B"/>
    <w:rsid w:val="009E0CC5"/>
    <w:rsid w:val="009E0CF8"/>
    <w:rsid w:val="009E0D49"/>
    <w:rsid w:val="009E0D8F"/>
    <w:rsid w:val="009E0D9F"/>
    <w:rsid w:val="009E0DB0"/>
    <w:rsid w:val="009E0DBE"/>
    <w:rsid w:val="009E0DC4"/>
    <w:rsid w:val="009E0DC9"/>
    <w:rsid w:val="009E0DE6"/>
    <w:rsid w:val="009E0E26"/>
    <w:rsid w:val="009E0F65"/>
    <w:rsid w:val="009E0F7E"/>
    <w:rsid w:val="009E0F80"/>
    <w:rsid w:val="009E0F8E"/>
    <w:rsid w:val="009E0FBC"/>
    <w:rsid w:val="009E0FE0"/>
    <w:rsid w:val="009E1054"/>
    <w:rsid w:val="009E10B6"/>
    <w:rsid w:val="009E10B8"/>
    <w:rsid w:val="009E10FD"/>
    <w:rsid w:val="009E1129"/>
    <w:rsid w:val="009E1155"/>
    <w:rsid w:val="009E115B"/>
    <w:rsid w:val="009E11DE"/>
    <w:rsid w:val="009E1203"/>
    <w:rsid w:val="009E122D"/>
    <w:rsid w:val="009E12D0"/>
    <w:rsid w:val="009E1309"/>
    <w:rsid w:val="009E1316"/>
    <w:rsid w:val="009E1381"/>
    <w:rsid w:val="009E13B1"/>
    <w:rsid w:val="009E13D8"/>
    <w:rsid w:val="009E1420"/>
    <w:rsid w:val="009E1430"/>
    <w:rsid w:val="009E1434"/>
    <w:rsid w:val="009E14B6"/>
    <w:rsid w:val="009E14BC"/>
    <w:rsid w:val="009E14EB"/>
    <w:rsid w:val="009E1537"/>
    <w:rsid w:val="009E153E"/>
    <w:rsid w:val="009E1567"/>
    <w:rsid w:val="009E1604"/>
    <w:rsid w:val="009E1627"/>
    <w:rsid w:val="009E1633"/>
    <w:rsid w:val="009E164C"/>
    <w:rsid w:val="009E1693"/>
    <w:rsid w:val="009E16BC"/>
    <w:rsid w:val="009E16C0"/>
    <w:rsid w:val="009E170C"/>
    <w:rsid w:val="009E174C"/>
    <w:rsid w:val="009E176E"/>
    <w:rsid w:val="009E1790"/>
    <w:rsid w:val="009E17A0"/>
    <w:rsid w:val="009E17AD"/>
    <w:rsid w:val="009E17B9"/>
    <w:rsid w:val="009E1826"/>
    <w:rsid w:val="009E18A1"/>
    <w:rsid w:val="009E18B4"/>
    <w:rsid w:val="009E1960"/>
    <w:rsid w:val="009E19DC"/>
    <w:rsid w:val="009E19EF"/>
    <w:rsid w:val="009E1A43"/>
    <w:rsid w:val="009E1A96"/>
    <w:rsid w:val="009E1B53"/>
    <w:rsid w:val="009E1B8E"/>
    <w:rsid w:val="009E1BBC"/>
    <w:rsid w:val="009E1C05"/>
    <w:rsid w:val="009E1C30"/>
    <w:rsid w:val="009E1D3C"/>
    <w:rsid w:val="009E1D56"/>
    <w:rsid w:val="009E1DB0"/>
    <w:rsid w:val="009E1DEE"/>
    <w:rsid w:val="009E1E17"/>
    <w:rsid w:val="009E1E5B"/>
    <w:rsid w:val="009E1EBC"/>
    <w:rsid w:val="009E1F07"/>
    <w:rsid w:val="009E1F0E"/>
    <w:rsid w:val="009E1F97"/>
    <w:rsid w:val="009E1FA6"/>
    <w:rsid w:val="009E1FEA"/>
    <w:rsid w:val="009E1FFC"/>
    <w:rsid w:val="009E2030"/>
    <w:rsid w:val="009E206F"/>
    <w:rsid w:val="009E209A"/>
    <w:rsid w:val="009E20BC"/>
    <w:rsid w:val="009E2103"/>
    <w:rsid w:val="009E21B5"/>
    <w:rsid w:val="009E2272"/>
    <w:rsid w:val="009E22B0"/>
    <w:rsid w:val="009E22DE"/>
    <w:rsid w:val="009E231C"/>
    <w:rsid w:val="009E2415"/>
    <w:rsid w:val="009E245C"/>
    <w:rsid w:val="009E2462"/>
    <w:rsid w:val="009E24C1"/>
    <w:rsid w:val="009E25F3"/>
    <w:rsid w:val="009E2609"/>
    <w:rsid w:val="009E261A"/>
    <w:rsid w:val="009E26A3"/>
    <w:rsid w:val="009E270C"/>
    <w:rsid w:val="009E27C0"/>
    <w:rsid w:val="009E27FC"/>
    <w:rsid w:val="009E280A"/>
    <w:rsid w:val="009E2889"/>
    <w:rsid w:val="009E28B6"/>
    <w:rsid w:val="009E28E3"/>
    <w:rsid w:val="009E28F9"/>
    <w:rsid w:val="009E291C"/>
    <w:rsid w:val="009E2939"/>
    <w:rsid w:val="009E2968"/>
    <w:rsid w:val="009E296F"/>
    <w:rsid w:val="009E2970"/>
    <w:rsid w:val="009E29B9"/>
    <w:rsid w:val="009E29C7"/>
    <w:rsid w:val="009E29CE"/>
    <w:rsid w:val="009E29DF"/>
    <w:rsid w:val="009E29ED"/>
    <w:rsid w:val="009E2A0F"/>
    <w:rsid w:val="009E2A1F"/>
    <w:rsid w:val="009E2A84"/>
    <w:rsid w:val="009E2A93"/>
    <w:rsid w:val="009E2ACC"/>
    <w:rsid w:val="009E2AF4"/>
    <w:rsid w:val="009E2B1B"/>
    <w:rsid w:val="009E2B57"/>
    <w:rsid w:val="009E2B5C"/>
    <w:rsid w:val="009E2B7C"/>
    <w:rsid w:val="009E2B94"/>
    <w:rsid w:val="009E2BBE"/>
    <w:rsid w:val="009E2C72"/>
    <w:rsid w:val="009E2C77"/>
    <w:rsid w:val="009E2C80"/>
    <w:rsid w:val="009E2C87"/>
    <w:rsid w:val="009E2C89"/>
    <w:rsid w:val="009E2C8A"/>
    <w:rsid w:val="009E2CB0"/>
    <w:rsid w:val="009E2CB9"/>
    <w:rsid w:val="009E2CEA"/>
    <w:rsid w:val="009E2CF5"/>
    <w:rsid w:val="009E2D1D"/>
    <w:rsid w:val="009E2D3E"/>
    <w:rsid w:val="009E2D43"/>
    <w:rsid w:val="009E2DA4"/>
    <w:rsid w:val="009E2E5F"/>
    <w:rsid w:val="009E2ED3"/>
    <w:rsid w:val="009E2F24"/>
    <w:rsid w:val="009E2F26"/>
    <w:rsid w:val="009E2FA4"/>
    <w:rsid w:val="009E3045"/>
    <w:rsid w:val="009E3061"/>
    <w:rsid w:val="009E308F"/>
    <w:rsid w:val="009E31B7"/>
    <w:rsid w:val="009E31E2"/>
    <w:rsid w:val="009E321B"/>
    <w:rsid w:val="009E328B"/>
    <w:rsid w:val="009E329B"/>
    <w:rsid w:val="009E32BF"/>
    <w:rsid w:val="009E32E9"/>
    <w:rsid w:val="009E32EA"/>
    <w:rsid w:val="009E3352"/>
    <w:rsid w:val="009E337A"/>
    <w:rsid w:val="009E33A6"/>
    <w:rsid w:val="009E33B0"/>
    <w:rsid w:val="009E33D0"/>
    <w:rsid w:val="009E341B"/>
    <w:rsid w:val="009E344F"/>
    <w:rsid w:val="009E34A2"/>
    <w:rsid w:val="009E34F1"/>
    <w:rsid w:val="009E3521"/>
    <w:rsid w:val="009E352A"/>
    <w:rsid w:val="009E3535"/>
    <w:rsid w:val="009E353B"/>
    <w:rsid w:val="009E35D1"/>
    <w:rsid w:val="009E3609"/>
    <w:rsid w:val="009E3610"/>
    <w:rsid w:val="009E3645"/>
    <w:rsid w:val="009E366F"/>
    <w:rsid w:val="009E36EF"/>
    <w:rsid w:val="009E3751"/>
    <w:rsid w:val="009E3771"/>
    <w:rsid w:val="009E37A1"/>
    <w:rsid w:val="009E37DC"/>
    <w:rsid w:val="009E37EE"/>
    <w:rsid w:val="009E381D"/>
    <w:rsid w:val="009E3833"/>
    <w:rsid w:val="009E388E"/>
    <w:rsid w:val="009E38E8"/>
    <w:rsid w:val="009E38F7"/>
    <w:rsid w:val="009E391E"/>
    <w:rsid w:val="009E392D"/>
    <w:rsid w:val="009E3942"/>
    <w:rsid w:val="009E3953"/>
    <w:rsid w:val="009E3964"/>
    <w:rsid w:val="009E39E8"/>
    <w:rsid w:val="009E3AC2"/>
    <w:rsid w:val="009E3AEE"/>
    <w:rsid w:val="009E3B2F"/>
    <w:rsid w:val="009E3B50"/>
    <w:rsid w:val="009E3B6F"/>
    <w:rsid w:val="009E3C88"/>
    <w:rsid w:val="009E3CA3"/>
    <w:rsid w:val="009E3CEE"/>
    <w:rsid w:val="009E3D4F"/>
    <w:rsid w:val="009E3D86"/>
    <w:rsid w:val="009E3D8C"/>
    <w:rsid w:val="009E3D90"/>
    <w:rsid w:val="009E3D9A"/>
    <w:rsid w:val="009E3DAA"/>
    <w:rsid w:val="009E3DE7"/>
    <w:rsid w:val="009E3DFD"/>
    <w:rsid w:val="009E3E2A"/>
    <w:rsid w:val="009E3F46"/>
    <w:rsid w:val="009E3F57"/>
    <w:rsid w:val="009E3F59"/>
    <w:rsid w:val="009E3F73"/>
    <w:rsid w:val="009E3FB0"/>
    <w:rsid w:val="009E3FC5"/>
    <w:rsid w:val="009E4007"/>
    <w:rsid w:val="009E4013"/>
    <w:rsid w:val="009E405B"/>
    <w:rsid w:val="009E4095"/>
    <w:rsid w:val="009E4099"/>
    <w:rsid w:val="009E40A4"/>
    <w:rsid w:val="009E40AD"/>
    <w:rsid w:val="009E410C"/>
    <w:rsid w:val="009E4110"/>
    <w:rsid w:val="009E4129"/>
    <w:rsid w:val="009E412C"/>
    <w:rsid w:val="009E41FA"/>
    <w:rsid w:val="009E41FF"/>
    <w:rsid w:val="009E4203"/>
    <w:rsid w:val="009E423F"/>
    <w:rsid w:val="009E4289"/>
    <w:rsid w:val="009E42F0"/>
    <w:rsid w:val="009E4323"/>
    <w:rsid w:val="009E4368"/>
    <w:rsid w:val="009E4372"/>
    <w:rsid w:val="009E4380"/>
    <w:rsid w:val="009E43D2"/>
    <w:rsid w:val="009E440B"/>
    <w:rsid w:val="009E442A"/>
    <w:rsid w:val="009E44EE"/>
    <w:rsid w:val="009E4505"/>
    <w:rsid w:val="009E452D"/>
    <w:rsid w:val="009E455D"/>
    <w:rsid w:val="009E460F"/>
    <w:rsid w:val="009E4660"/>
    <w:rsid w:val="009E4697"/>
    <w:rsid w:val="009E46C0"/>
    <w:rsid w:val="009E4736"/>
    <w:rsid w:val="009E473D"/>
    <w:rsid w:val="009E4784"/>
    <w:rsid w:val="009E47A7"/>
    <w:rsid w:val="009E47FD"/>
    <w:rsid w:val="009E481E"/>
    <w:rsid w:val="009E4899"/>
    <w:rsid w:val="009E48D5"/>
    <w:rsid w:val="009E48F2"/>
    <w:rsid w:val="009E4918"/>
    <w:rsid w:val="009E493C"/>
    <w:rsid w:val="009E4974"/>
    <w:rsid w:val="009E49A3"/>
    <w:rsid w:val="009E49C8"/>
    <w:rsid w:val="009E4A06"/>
    <w:rsid w:val="009E4A2D"/>
    <w:rsid w:val="009E4A5F"/>
    <w:rsid w:val="009E4A79"/>
    <w:rsid w:val="009E4AB9"/>
    <w:rsid w:val="009E4ACF"/>
    <w:rsid w:val="009E4AE1"/>
    <w:rsid w:val="009E4AF2"/>
    <w:rsid w:val="009E4B29"/>
    <w:rsid w:val="009E4B2C"/>
    <w:rsid w:val="009E4C26"/>
    <w:rsid w:val="009E4C5B"/>
    <w:rsid w:val="009E4C75"/>
    <w:rsid w:val="009E4D17"/>
    <w:rsid w:val="009E4D45"/>
    <w:rsid w:val="009E4DB8"/>
    <w:rsid w:val="009E4E20"/>
    <w:rsid w:val="009E4E63"/>
    <w:rsid w:val="009E4E6A"/>
    <w:rsid w:val="009E4EFF"/>
    <w:rsid w:val="009E4F55"/>
    <w:rsid w:val="009E4F71"/>
    <w:rsid w:val="009E4F84"/>
    <w:rsid w:val="009E4FA9"/>
    <w:rsid w:val="009E4FE6"/>
    <w:rsid w:val="009E5075"/>
    <w:rsid w:val="009E50EC"/>
    <w:rsid w:val="009E50FB"/>
    <w:rsid w:val="009E5148"/>
    <w:rsid w:val="009E516F"/>
    <w:rsid w:val="009E519D"/>
    <w:rsid w:val="009E51CE"/>
    <w:rsid w:val="009E5252"/>
    <w:rsid w:val="009E5286"/>
    <w:rsid w:val="009E5298"/>
    <w:rsid w:val="009E52AB"/>
    <w:rsid w:val="009E52C0"/>
    <w:rsid w:val="009E5362"/>
    <w:rsid w:val="009E5386"/>
    <w:rsid w:val="009E539F"/>
    <w:rsid w:val="009E53A0"/>
    <w:rsid w:val="009E53CC"/>
    <w:rsid w:val="009E53CF"/>
    <w:rsid w:val="009E5436"/>
    <w:rsid w:val="009E544D"/>
    <w:rsid w:val="009E54CB"/>
    <w:rsid w:val="009E54D4"/>
    <w:rsid w:val="009E54D8"/>
    <w:rsid w:val="009E5516"/>
    <w:rsid w:val="009E558E"/>
    <w:rsid w:val="009E55EB"/>
    <w:rsid w:val="009E55F6"/>
    <w:rsid w:val="009E55FF"/>
    <w:rsid w:val="009E5631"/>
    <w:rsid w:val="009E5661"/>
    <w:rsid w:val="009E56AE"/>
    <w:rsid w:val="009E56CD"/>
    <w:rsid w:val="009E574E"/>
    <w:rsid w:val="009E575E"/>
    <w:rsid w:val="009E576A"/>
    <w:rsid w:val="009E57D7"/>
    <w:rsid w:val="009E58B5"/>
    <w:rsid w:val="009E591D"/>
    <w:rsid w:val="009E5942"/>
    <w:rsid w:val="009E59A1"/>
    <w:rsid w:val="009E59AC"/>
    <w:rsid w:val="009E5A0E"/>
    <w:rsid w:val="009E5A32"/>
    <w:rsid w:val="009E5A4A"/>
    <w:rsid w:val="009E5AA7"/>
    <w:rsid w:val="009E5AF6"/>
    <w:rsid w:val="009E5B21"/>
    <w:rsid w:val="009E5C08"/>
    <w:rsid w:val="009E5C24"/>
    <w:rsid w:val="009E5C41"/>
    <w:rsid w:val="009E5D3A"/>
    <w:rsid w:val="009E5D79"/>
    <w:rsid w:val="009E5DAE"/>
    <w:rsid w:val="009E5DC1"/>
    <w:rsid w:val="009E5E30"/>
    <w:rsid w:val="009E5EA1"/>
    <w:rsid w:val="009E5EB6"/>
    <w:rsid w:val="009E5EF0"/>
    <w:rsid w:val="009E5F76"/>
    <w:rsid w:val="009E5F98"/>
    <w:rsid w:val="009E5FA6"/>
    <w:rsid w:val="009E5FF2"/>
    <w:rsid w:val="009E605B"/>
    <w:rsid w:val="009E607A"/>
    <w:rsid w:val="009E60AC"/>
    <w:rsid w:val="009E60B6"/>
    <w:rsid w:val="009E60DE"/>
    <w:rsid w:val="009E60F5"/>
    <w:rsid w:val="009E6137"/>
    <w:rsid w:val="009E613E"/>
    <w:rsid w:val="009E614A"/>
    <w:rsid w:val="009E6167"/>
    <w:rsid w:val="009E6172"/>
    <w:rsid w:val="009E61AC"/>
    <w:rsid w:val="009E61D6"/>
    <w:rsid w:val="009E61ED"/>
    <w:rsid w:val="009E61F6"/>
    <w:rsid w:val="009E622C"/>
    <w:rsid w:val="009E6274"/>
    <w:rsid w:val="009E62C3"/>
    <w:rsid w:val="009E62C4"/>
    <w:rsid w:val="009E62C9"/>
    <w:rsid w:val="009E6363"/>
    <w:rsid w:val="009E636F"/>
    <w:rsid w:val="009E6372"/>
    <w:rsid w:val="009E6384"/>
    <w:rsid w:val="009E63C2"/>
    <w:rsid w:val="009E63FF"/>
    <w:rsid w:val="009E6409"/>
    <w:rsid w:val="009E6411"/>
    <w:rsid w:val="009E641C"/>
    <w:rsid w:val="009E644C"/>
    <w:rsid w:val="009E6484"/>
    <w:rsid w:val="009E64A2"/>
    <w:rsid w:val="009E64C6"/>
    <w:rsid w:val="009E64CF"/>
    <w:rsid w:val="009E64E4"/>
    <w:rsid w:val="009E64E7"/>
    <w:rsid w:val="009E6518"/>
    <w:rsid w:val="009E652D"/>
    <w:rsid w:val="009E656D"/>
    <w:rsid w:val="009E6596"/>
    <w:rsid w:val="009E65ED"/>
    <w:rsid w:val="009E6613"/>
    <w:rsid w:val="009E6624"/>
    <w:rsid w:val="009E673E"/>
    <w:rsid w:val="009E6747"/>
    <w:rsid w:val="009E674D"/>
    <w:rsid w:val="009E679C"/>
    <w:rsid w:val="009E67A2"/>
    <w:rsid w:val="009E67F9"/>
    <w:rsid w:val="009E687C"/>
    <w:rsid w:val="009E6886"/>
    <w:rsid w:val="009E6941"/>
    <w:rsid w:val="009E695A"/>
    <w:rsid w:val="009E6981"/>
    <w:rsid w:val="009E69AB"/>
    <w:rsid w:val="009E69AD"/>
    <w:rsid w:val="009E69D5"/>
    <w:rsid w:val="009E69E8"/>
    <w:rsid w:val="009E6A22"/>
    <w:rsid w:val="009E6A2A"/>
    <w:rsid w:val="009E6A72"/>
    <w:rsid w:val="009E6A78"/>
    <w:rsid w:val="009E6AA9"/>
    <w:rsid w:val="009E6AFF"/>
    <w:rsid w:val="009E6B46"/>
    <w:rsid w:val="009E6B56"/>
    <w:rsid w:val="009E6BC5"/>
    <w:rsid w:val="009E6BF7"/>
    <w:rsid w:val="009E6C2A"/>
    <w:rsid w:val="009E6C6C"/>
    <w:rsid w:val="009E6C85"/>
    <w:rsid w:val="009E6D61"/>
    <w:rsid w:val="009E6D96"/>
    <w:rsid w:val="009E6D98"/>
    <w:rsid w:val="009E6DE1"/>
    <w:rsid w:val="009E6E76"/>
    <w:rsid w:val="009E6EF4"/>
    <w:rsid w:val="009E6F18"/>
    <w:rsid w:val="009E6FAB"/>
    <w:rsid w:val="009E6FE0"/>
    <w:rsid w:val="009E6FF2"/>
    <w:rsid w:val="009E701A"/>
    <w:rsid w:val="009E7034"/>
    <w:rsid w:val="009E7061"/>
    <w:rsid w:val="009E70A1"/>
    <w:rsid w:val="009E70C4"/>
    <w:rsid w:val="009E70D7"/>
    <w:rsid w:val="009E70F3"/>
    <w:rsid w:val="009E7112"/>
    <w:rsid w:val="009E7120"/>
    <w:rsid w:val="009E714B"/>
    <w:rsid w:val="009E71C8"/>
    <w:rsid w:val="009E720B"/>
    <w:rsid w:val="009E7296"/>
    <w:rsid w:val="009E729E"/>
    <w:rsid w:val="009E72A1"/>
    <w:rsid w:val="009E72AB"/>
    <w:rsid w:val="009E72FF"/>
    <w:rsid w:val="009E7331"/>
    <w:rsid w:val="009E7341"/>
    <w:rsid w:val="009E7374"/>
    <w:rsid w:val="009E73C8"/>
    <w:rsid w:val="009E73D8"/>
    <w:rsid w:val="009E73E1"/>
    <w:rsid w:val="009E73EA"/>
    <w:rsid w:val="009E7443"/>
    <w:rsid w:val="009E7490"/>
    <w:rsid w:val="009E74D6"/>
    <w:rsid w:val="009E7523"/>
    <w:rsid w:val="009E7557"/>
    <w:rsid w:val="009E75CB"/>
    <w:rsid w:val="009E7610"/>
    <w:rsid w:val="009E7632"/>
    <w:rsid w:val="009E7744"/>
    <w:rsid w:val="009E774A"/>
    <w:rsid w:val="009E775A"/>
    <w:rsid w:val="009E777E"/>
    <w:rsid w:val="009E7811"/>
    <w:rsid w:val="009E7835"/>
    <w:rsid w:val="009E7838"/>
    <w:rsid w:val="009E7845"/>
    <w:rsid w:val="009E7849"/>
    <w:rsid w:val="009E787C"/>
    <w:rsid w:val="009E78A4"/>
    <w:rsid w:val="009E78C4"/>
    <w:rsid w:val="009E78CC"/>
    <w:rsid w:val="009E792D"/>
    <w:rsid w:val="009E7953"/>
    <w:rsid w:val="009E7960"/>
    <w:rsid w:val="009E79E1"/>
    <w:rsid w:val="009E7A03"/>
    <w:rsid w:val="009E7A76"/>
    <w:rsid w:val="009E7A83"/>
    <w:rsid w:val="009E7A9F"/>
    <w:rsid w:val="009E7AB8"/>
    <w:rsid w:val="009E7ABC"/>
    <w:rsid w:val="009E7AC6"/>
    <w:rsid w:val="009E7ACE"/>
    <w:rsid w:val="009E7AF5"/>
    <w:rsid w:val="009E7B26"/>
    <w:rsid w:val="009E7B3E"/>
    <w:rsid w:val="009E7B83"/>
    <w:rsid w:val="009E7BAD"/>
    <w:rsid w:val="009E7BB5"/>
    <w:rsid w:val="009E7BBD"/>
    <w:rsid w:val="009E7BD5"/>
    <w:rsid w:val="009E7C14"/>
    <w:rsid w:val="009E7C3E"/>
    <w:rsid w:val="009E7C4C"/>
    <w:rsid w:val="009E7C69"/>
    <w:rsid w:val="009E7C8A"/>
    <w:rsid w:val="009E7D8C"/>
    <w:rsid w:val="009E7D9E"/>
    <w:rsid w:val="009E7E30"/>
    <w:rsid w:val="009E7EC7"/>
    <w:rsid w:val="009E7EEA"/>
    <w:rsid w:val="009E7F31"/>
    <w:rsid w:val="009E7F8E"/>
    <w:rsid w:val="009E7FA2"/>
    <w:rsid w:val="009E7FD6"/>
    <w:rsid w:val="009F0030"/>
    <w:rsid w:val="009F004A"/>
    <w:rsid w:val="009F0071"/>
    <w:rsid w:val="009F00BB"/>
    <w:rsid w:val="009F00F5"/>
    <w:rsid w:val="009F013C"/>
    <w:rsid w:val="009F0144"/>
    <w:rsid w:val="009F0188"/>
    <w:rsid w:val="009F01BB"/>
    <w:rsid w:val="009F01C0"/>
    <w:rsid w:val="009F01FC"/>
    <w:rsid w:val="009F0213"/>
    <w:rsid w:val="009F0223"/>
    <w:rsid w:val="009F02F5"/>
    <w:rsid w:val="009F02FA"/>
    <w:rsid w:val="009F0318"/>
    <w:rsid w:val="009F0335"/>
    <w:rsid w:val="009F03E8"/>
    <w:rsid w:val="009F0414"/>
    <w:rsid w:val="009F0419"/>
    <w:rsid w:val="009F042A"/>
    <w:rsid w:val="009F0467"/>
    <w:rsid w:val="009F0478"/>
    <w:rsid w:val="009F04B5"/>
    <w:rsid w:val="009F04B7"/>
    <w:rsid w:val="009F0519"/>
    <w:rsid w:val="009F0530"/>
    <w:rsid w:val="009F0571"/>
    <w:rsid w:val="009F0578"/>
    <w:rsid w:val="009F057F"/>
    <w:rsid w:val="009F05D7"/>
    <w:rsid w:val="009F05F7"/>
    <w:rsid w:val="009F05FC"/>
    <w:rsid w:val="009F0622"/>
    <w:rsid w:val="009F065D"/>
    <w:rsid w:val="009F06E0"/>
    <w:rsid w:val="009F079E"/>
    <w:rsid w:val="009F07A8"/>
    <w:rsid w:val="009F07B3"/>
    <w:rsid w:val="009F07C1"/>
    <w:rsid w:val="009F07FD"/>
    <w:rsid w:val="009F0806"/>
    <w:rsid w:val="009F0810"/>
    <w:rsid w:val="009F081A"/>
    <w:rsid w:val="009F082A"/>
    <w:rsid w:val="009F0856"/>
    <w:rsid w:val="009F089B"/>
    <w:rsid w:val="009F08BF"/>
    <w:rsid w:val="009F08C1"/>
    <w:rsid w:val="009F0942"/>
    <w:rsid w:val="009F095B"/>
    <w:rsid w:val="009F09BA"/>
    <w:rsid w:val="009F09C0"/>
    <w:rsid w:val="009F09D0"/>
    <w:rsid w:val="009F0A01"/>
    <w:rsid w:val="009F0A16"/>
    <w:rsid w:val="009F0A3E"/>
    <w:rsid w:val="009F0A43"/>
    <w:rsid w:val="009F0A72"/>
    <w:rsid w:val="009F0A79"/>
    <w:rsid w:val="009F0AAA"/>
    <w:rsid w:val="009F0AD0"/>
    <w:rsid w:val="009F0AD5"/>
    <w:rsid w:val="009F0ADB"/>
    <w:rsid w:val="009F0B40"/>
    <w:rsid w:val="009F0BBC"/>
    <w:rsid w:val="009F0BE6"/>
    <w:rsid w:val="009F0C0D"/>
    <w:rsid w:val="009F0C13"/>
    <w:rsid w:val="009F0C38"/>
    <w:rsid w:val="009F0C7E"/>
    <w:rsid w:val="009F0C89"/>
    <w:rsid w:val="009F0C98"/>
    <w:rsid w:val="009F0CEF"/>
    <w:rsid w:val="009F0D05"/>
    <w:rsid w:val="009F0D4F"/>
    <w:rsid w:val="009F0D5C"/>
    <w:rsid w:val="009F0DC0"/>
    <w:rsid w:val="009F0DD4"/>
    <w:rsid w:val="009F0E67"/>
    <w:rsid w:val="009F0E8A"/>
    <w:rsid w:val="009F0EB7"/>
    <w:rsid w:val="009F0EF9"/>
    <w:rsid w:val="009F0EFE"/>
    <w:rsid w:val="009F0F12"/>
    <w:rsid w:val="009F0F43"/>
    <w:rsid w:val="009F0F5E"/>
    <w:rsid w:val="009F0F7C"/>
    <w:rsid w:val="009F0F9B"/>
    <w:rsid w:val="009F0FA8"/>
    <w:rsid w:val="009F0FDB"/>
    <w:rsid w:val="009F1035"/>
    <w:rsid w:val="009F1036"/>
    <w:rsid w:val="009F1073"/>
    <w:rsid w:val="009F1075"/>
    <w:rsid w:val="009F1079"/>
    <w:rsid w:val="009F1088"/>
    <w:rsid w:val="009F1089"/>
    <w:rsid w:val="009F1093"/>
    <w:rsid w:val="009F10C1"/>
    <w:rsid w:val="009F10F5"/>
    <w:rsid w:val="009F115B"/>
    <w:rsid w:val="009F11D5"/>
    <w:rsid w:val="009F1221"/>
    <w:rsid w:val="009F1269"/>
    <w:rsid w:val="009F12CE"/>
    <w:rsid w:val="009F131E"/>
    <w:rsid w:val="009F1321"/>
    <w:rsid w:val="009F1345"/>
    <w:rsid w:val="009F135F"/>
    <w:rsid w:val="009F139D"/>
    <w:rsid w:val="009F13E5"/>
    <w:rsid w:val="009F13E9"/>
    <w:rsid w:val="009F1441"/>
    <w:rsid w:val="009F1469"/>
    <w:rsid w:val="009F1483"/>
    <w:rsid w:val="009F14AB"/>
    <w:rsid w:val="009F14AE"/>
    <w:rsid w:val="009F15B8"/>
    <w:rsid w:val="009F15ED"/>
    <w:rsid w:val="009F162A"/>
    <w:rsid w:val="009F1643"/>
    <w:rsid w:val="009F1686"/>
    <w:rsid w:val="009F168F"/>
    <w:rsid w:val="009F1699"/>
    <w:rsid w:val="009F16B4"/>
    <w:rsid w:val="009F16D8"/>
    <w:rsid w:val="009F17B7"/>
    <w:rsid w:val="009F17C1"/>
    <w:rsid w:val="009F17C5"/>
    <w:rsid w:val="009F17CB"/>
    <w:rsid w:val="009F17E9"/>
    <w:rsid w:val="009F17FC"/>
    <w:rsid w:val="009F184A"/>
    <w:rsid w:val="009F1854"/>
    <w:rsid w:val="009F1898"/>
    <w:rsid w:val="009F189C"/>
    <w:rsid w:val="009F18B7"/>
    <w:rsid w:val="009F1971"/>
    <w:rsid w:val="009F1980"/>
    <w:rsid w:val="009F198D"/>
    <w:rsid w:val="009F19AB"/>
    <w:rsid w:val="009F19E1"/>
    <w:rsid w:val="009F1A12"/>
    <w:rsid w:val="009F1A1E"/>
    <w:rsid w:val="009F1A2F"/>
    <w:rsid w:val="009F1AA8"/>
    <w:rsid w:val="009F1B1D"/>
    <w:rsid w:val="009F1C8A"/>
    <w:rsid w:val="009F1D00"/>
    <w:rsid w:val="009F1D10"/>
    <w:rsid w:val="009F1D17"/>
    <w:rsid w:val="009F1D2A"/>
    <w:rsid w:val="009F1D89"/>
    <w:rsid w:val="009F1DBD"/>
    <w:rsid w:val="009F1E35"/>
    <w:rsid w:val="009F1EC5"/>
    <w:rsid w:val="009F1ECB"/>
    <w:rsid w:val="009F1F48"/>
    <w:rsid w:val="009F1F85"/>
    <w:rsid w:val="009F1F88"/>
    <w:rsid w:val="009F1F8B"/>
    <w:rsid w:val="009F1FB0"/>
    <w:rsid w:val="009F2000"/>
    <w:rsid w:val="009F2015"/>
    <w:rsid w:val="009F2071"/>
    <w:rsid w:val="009F20DB"/>
    <w:rsid w:val="009F20E7"/>
    <w:rsid w:val="009F20FC"/>
    <w:rsid w:val="009F2111"/>
    <w:rsid w:val="009F214C"/>
    <w:rsid w:val="009F2163"/>
    <w:rsid w:val="009F2172"/>
    <w:rsid w:val="009F2174"/>
    <w:rsid w:val="009F21A9"/>
    <w:rsid w:val="009F2263"/>
    <w:rsid w:val="009F22BD"/>
    <w:rsid w:val="009F22E2"/>
    <w:rsid w:val="009F22EA"/>
    <w:rsid w:val="009F2306"/>
    <w:rsid w:val="009F232C"/>
    <w:rsid w:val="009F23F1"/>
    <w:rsid w:val="009F241A"/>
    <w:rsid w:val="009F244E"/>
    <w:rsid w:val="009F2495"/>
    <w:rsid w:val="009F24BE"/>
    <w:rsid w:val="009F24D1"/>
    <w:rsid w:val="009F24DA"/>
    <w:rsid w:val="009F2599"/>
    <w:rsid w:val="009F25E7"/>
    <w:rsid w:val="009F2607"/>
    <w:rsid w:val="009F261C"/>
    <w:rsid w:val="009F268B"/>
    <w:rsid w:val="009F26B1"/>
    <w:rsid w:val="009F26BC"/>
    <w:rsid w:val="009F2721"/>
    <w:rsid w:val="009F2806"/>
    <w:rsid w:val="009F285F"/>
    <w:rsid w:val="009F28B5"/>
    <w:rsid w:val="009F28F9"/>
    <w:rsid w:val="009F29C8"/>
    <w:rsid w:val="009F29E9"/>
    <w:rsid w:val="009F29F4"/>
    <w:rsid w:val="009F2A4B"/>
    <w:rsid w:val="009F2AC4"/>
    <w:rsid w:val="009F2AFC"/>
    <w:rsid w:val="009F2B06"/>
    <w:rsid w:val="009F2B7E"/>
    <w:rsid w:val="009F2BF0"/>
    <w:rsid w:val="009F2C14"/>
    <w:rsid w:val="009F2C17"/>
    <w:rsid w:val="009F2C1D"/>
    <w:rsid w:val="009F2C57"/>
    <w:rsid w:val="009F2C64"/>
    <w:rsid w:val="009F2C6C"/>
    <w:rsid w:val="009F2C72"/>
    <w:rsid w:val="009F2D25"/>
    <w:rsid w:val="009F2D27"/>
    <w:rsid w:val="009F2D3B"/>
    <w:rsid w:val="009F2D76"/>
    <w:rsid w:val="009F2DBD"/>
    <w:rsid w:val="009F2DEB"/>
    <w:rsid w:val="009F2EB8"/>
    <w:rsid w:val="009F2EBC"/>
    <w:rsid w:val="009F2F57"/>
    <w:rsid w:val="009F2F6B"/>
    <w:rsid w:val="009F2FA3"/>
    <w:rsid w:val="009F2FA8"/>
    <w:rsid w:val="009F2FAB"/>
    <w:rsid w:val="009F2FE8"/>
    <w:rsid w:val="009F3044"/>
    <w:rsid w:val="009F3095"/>
    <w:rsid w:val="009F3096"/>
    <w:rsid w:val="009F30E6"/>
    <w:rsid w:val="009F313C"/>
    <w:rsid w:val="009F3152"/>
    <w:rsid w:val="009F31B8"/>
    <w:rsid w:val="009F31C8"/>
    <w:rsid w:val="009F320C"/>
    <w:rsid w:val="009F3294"/>
    <w:rsid w:val="009F329D"/>
    <w:rsid w:val="009F332E"/>
    <w:rsid w:val="009F33C0"/>
    <w:rsid w:val="009F33DC"/>
    <w:rsid w:val="009F33F4"/>
    <w:rsid w:val="009F340E"/>
    <w:rsid w:val="009F3410"/>
    <w:rsid w:val="009F3468"/>
    <w:rsid w:val="009F3476"/>
    <w:rsid w:val="009F347A"/>
    <w:rsid w:val="009F348A"/>
    <w:rsid w:val="009F34A1"/>
    <w:rsid w:val="009F34C3"/>
    <w:rsid w:val="009F34C5"/>
    <w:rsid w:val="009F34E6"/>
    <w:rsid w:val="009F3502"/>
    <w:rsid w:val="009F354D"/>
    <w:rsid w:val="009F3552"/>
    <w:rsid w:val="009F3557"/>
    <w:rsid w:val="009F356E"/>
    <w:rsid w:val="009F35D6"/>
    <w:rsid w:val="009F35FB"/>
    <w:rsid w:val="009F3621"/>
    <w:rsid w:val="009F365E"/>
    <w:rsid w:val="009F3665"/>
    <w:rsid w:val="009F3682"/>
    <w:rsid w:val="009F3696"/>
    <w:rsid w:val="009F3717"/>
    <w:rsid w:val="009F3721"/>
    <w:rsid w:val="009F376B"/>
    <w:rsid w:val="009F379A"/>
    <w:rsid w:val="009F382D"/>
    <w:rsid w:val="009F3839"/>
    <w:rsid w:val="009F3849"/>
    <w:rsid w:val="009F38C3"/>
    <w:rsid w:val="009F38CF"/>
    <w:rsid w:val="009F38D3"/>
    <w:rsid w:val="009F38E4"/>
    <w:rsid w:val="009F38E8"/>
    <w:rsid w:val="009F391D"/>
    <w:rsid w:val="009F3923"/>
    <w:rsid w:val="009F3954"/>
    <w:rsid w:val="009F3964"/>
    <w:rsid w:val="009F3991"/>
    <w:rsid w:val="009F39EC"/>
    <w:rsid w:val="009F3A1D"/>
    <w:rsid w:val="009F3A7D"/>
    <w:rsid w:val="009F3A93"/>
    <w:rsid w:val="009F3ADD"/>
    <w:rsid w:val="009F3AED"/>
    <w:rsid w:val="009F3AF1"/>
    <w:rsid w:val="009F3AFA"/>
    <w:rsid w:val="009F3B00"/>
    <w:rsid w:val="009F3B5D"/>
    <w:rsid w:val="009F3BE5"/>
    <w:rsid w:val="009F3C25"/>
    <w:rsid w:val="009F3C31"/>
    <w:rsid w:val="009F3C7A"/>
    <w:rsid w:val="009F3CC2"/>
    <w:rsid w:val="009F3CF9"/>
    <w:rsid w:val="009F3CFA"/>
    <w:rsid w:val="009F3D2A"/>
    <w:rsid w:val="009F3D81"/>
    <w:rsid w:val="009F3DBA"/>
    <w:rsid w:val="009F3DBD"/>
    <w:rsid w:val="009F3DDD"/>
    <w:rsid w:val="009F3E5C"/>
    <w:rsid w:val="009F3EA1"/>
    <w:rsid w:val="009F3F5D"/>
    <w:rsid w:val="009F3F66"/>
    <w:rsid w:val="009F3F72"/>
    <w:rsid w:val="009F3F73"/>
    <w:rsid w:val="009F3FC0"/>
    <w:rsid w:val="009F3FEB"/>
    <w:rsid w:val="009F400D"/>
    <w:rsid w:val="009F400E"/>
    <w:rsid w:val="009F4014"/>
    <w:rsid w:val="009F4031"/>
    <w:rsid w:val="009F4048"/>
    <w:rsid w:val="009F405C"/>
    <w:rsid w:val="009F406A"/>
    <w:rsid w:val="009F408F"/>
    <w:rsid w:val="009F40A2"/>
    <w:rsid w:val="009F40B3"/>
    <w:rsid w:val="009F410A"/>
    <w:rsid w:val="009F4120"/>
    <w:rsid w:val="009F4167"/>
    <w:rsid w:val="009F4168"/>
    <w:rsid w:val="009F4186"/>
    <w:rsid w:val="009F419A"/>
    <w:rsid w:val="009F4201"/>
    <w:rsid w:val="009F4279"/>
    <w:rsid w:val="009F427A"/>
    <w:rsid w:val="009F42C0"/>
    <w:rsid w:val="009F42C3"/>
    <w:rsid w:val="009F42E9"/>
    <w:rsid w:val="009F42EA"/>
    <w:rsid w:val="009F4326"/>
    <w:rsid w:val="009F4337"/>
    <w:rsid w:val="009F436B"/>
    <w:rsid w:val="009F43DF"/>
    <w:rsid w:val="009F43E7"/>
    <w:rsid w:val="009F43EC"/>
    <w:rsid w:val="009F43F4"/>
    <w:rsid w:val="009F4413"/>
    <w:rsid w:val="009F444B"/>
    <w:rsid w:val="009F4460"/>
    <w:rsid w:val="009F4462"/>
    <w:rsid w:val="009F4477"/>
    <w:rsid w:val="009F4499"/>
    <w:rsid w:val="009F44BB"/>
    <w:rsid w:val="009F44F8"/>
    <w:rsid w:val="009F44FC"/>
    <w:rsid w:val="009F4527"/>
    <w:rsid w:val="009F4540"/>
    <w:rsid w:val="009F4544"/>
    <w:rsid w:val="009F4568"/>
    <w:rsid w:val="009F45A0"/>
    <w:rsid w:val="009F45C5"/>
    <w:rsid w:val="009F45EC"/>
    <w:rsid w:val="009F4617"/>
    <w:rsid w:val="009F461C"/>
    <w:rsid w:val="009F4633"/>
    <w:rsid w:val="009F463F"/>
    <w:rsid w:val="009F4685"/>
    <w:rsid w:val="009F4688"/>
    <w:rsid w:val="009F46DC"/>
    <w:rsid w:val="009F4710"/>
    <w:rsid w:val="009F472B"/>
    <w:rsid w:val="009F473B"/>
    <w:rsid w:val="009F473D"/>
    <w:rsid w:val="009F475B"/>
    <w:rsid w:val="009F47AC"/>
    <w:rsid w:val="009F4807"/>
    <w:rsid w:val="009F4833"/>
    <w:rsid w:val="009F484D"/>
    <w:rsid w:val="009F4854"/>
    <w:rsid w:val="009F4871"/>
    <w:rsid w:val="009F4877"/>
    <w:rsid w:val="009F487A"/>
    <w:rsid w:val="009F489B"/>
    <w:rsid w:val="009F48E7"/>
    <w:rsid w:val="009F48F2"/>
    <w:rsid w:val="009F4903"/>
    <w:rsid w:val="009F4915"/>
    <w:rsid w:val="009F4922"/>
    <w:rsid w:val="009F4930"/>
    <w:rsid w:val="009F4959"/>
    <w:rsid w:val="009F49E1"/>
    <w:rsid w:val="009F4A34"/>
    <w:rsid w:val="009F4A38"/>
    <w:rsid w:val="009F4A54"/>
    <w:rsid w:val="009F4A95"/>
    <w:rsid w:val="009F4ABF"/>
    <w:rsid w:val="009F4C06"/>
    <w:rsid w:val="009F4CA6"/>
    <w:rsid w:val="009F4CB5"/>
    <w:rsid w:val="009F4CE4"/>
    <w:rsid w:val="009F4D48"/>
    <w:rsid w:val="009F4D53"/>
    <w:rsid w:val="009F4DA9"/>
    <w:rsid w:val="009F4DD3"/>
    <w:rsid w:val="009F4E19"/>
    <w:rsid w:val="009F4E36"/>
    <w:rsid w:val="009F4E38"/>
    <w:rsid w:val="009F4E55"/>
    <w:rsid w:val="009F4E61"/>
    <w:rsid w:val="009F4EE8"/>
    <w:rsid w:val="009F4F19"/>
    <w:rsid w:val="009F4F25"/>
    <w:rsid w:val="009F4F29"/>
    <w:rsid w:val="009F4F9E"/>
    <w:rsid w:val="009F5085"/>
    <w:rsid w:val="009F5086"/>
    <w:rsid w:val="009F50D9"/>
    <w:rsid w:val="009F5138"/>
    <w:rsid w:val="009F5146"/>
    <w:rsid w:val="009F5148"/>
    <w:rsid w:val="009F5154"/>
    <w:rsid w:val="009F516A"/>
    <w:rsid w:val="009F5183"/>
    <w:rsid w:val="009F51AE"/>
    <w:rsid w:val="009F51C8"/>
    <w:rsid w:val="009F51FC"/>
    <w:rsid w:val="009F5208"/>
    <w:rsid w:val="009F5282"/>
    <w:rsid w:val="009F52BE"/>
    <w:rsid w:val="009F52CB"/>
    <w:rsid w:val="009F530C"/>
    <w:rsid w:val="009F5336"/>
    <w:rsid w:val="009F535A"/>
    <w:rsid w:val="009F535F"/>
    <w:rsid w:val="009F53BC"/>
    <w:rsid w:val="009F5420"/>
    <w:rsid w:val="009F547E"/>
    <w:rsid w:val="009F548D"/>
    <w:rsid w:val="009F54B0"/>
    <w:rsid w:val="009F54E5"/>
    <w:rsid w:val="009F54F7"/>
    <w:rsid w:val="009F5542"/>
    <w:rsid w:val="009F5592"/>
    <w:rsid w:val="009F55CA"/>
    <w:rsid w:val="009F5605"/>
    <w:rsid w:val="009F561A"/>
    <w:rsid w:val="009F5705"/>
    <w:rsid w:val="009F571C"/>
    <w:rsid w:val="009F572A"/>
    <w:rsid w:val="009F5733"/>
    <w:rsid w:val="009F574C"/>
    <w:rsid w:val="009F576B"/>
    <w:rsid w:val="009F5784"/>
    <w:rsid w:val="009F5790"/>
    <w:rsid w:val="009F5799"/>
    <w:rsid w:val="009F57A8"/>
    <w:rsid w:val="009F57EE"/>
    <w:rsid w:val="009F57FB"/>
    <w:rsid w:val="009F5806"/>
    <w:rsid w:val="009F5817"/>
    <w:rsid w:val="009F581D"/>
    <w:rsid w:val="009F587E"/>
    <w:rsid w:val="009F5890"/>
    <w:rsid w:val="009F589E"/>
    <w:rsid w:val="009F58DF"/>
    <w:rsid w:val="009F58ED"/>
    <w:rsid w:val="009F58F5"/>
    <w:rsid w:val="009F5929"/>
    <w:rsid w:val="009F592C"/>
    <w:rsid w:val="009F5949"/>
    <w:rsid w:val="009F5956"/>
    <w:rsid w:val="009F596E"/>
    <w:rsid w:val="009F5982"/>
    <w:rsid w:val="009F59E9"/>
    <w:rsid w:val="009F5A04"/>
    <w:rsid w:val="009F5A3F"/>
    <w:rsid w:val="009F5A91"/>
    <w:rsid w:val="009F5AC8"/>
    <w:rsid w:val="009F5B24"/>
    <w:rsid w:val="009F5B41"/>
    <w:rsid w:val="009F5BA3"/>
    <w:rsid w:val="009F5BC0"/>
    <w:rsid w:val="009F5BCA"/>
    <w:rsid w:val="009F5C45"/>
    <w:rsid w:val="009F5C50"/>
    <w:rsid w:val="009F5C5F"/>
    <w:rsid w:val="009F5CAC"/>
    <w:rsid w:val="009F5CB6"/>
    <w:rsid w:val="009F5CD4"/>
    <w:rsid w:val="009F5CDD"/>
    <w:rsid w:val="009F5CDF"/>
    <w:rsid w:val="009F5D91"/>
    <w:rsid w:val="009F5D9D"/>
    <w:rsid w:val="009F5DA7"/>
    <w:rsid w:val="009F5DCD"/>
    <w:rsid w:val="009F5DD1"/>
    <w:rsid w:val="009F5DEC"/>
    <w:rsid w:val="009F5E29"/>
    <w:rsid w:val="009F5E66"/>
    <w:rsid w:val="009F5E87"/>
    <w:rsid w:val="009F5F07"/>
    <w:rsid w:val="009F5F2E"/>
    <w:rsid w:val="009F6011"/>
    <w:rsid w:val="009F60C4"/>
    <w:rsid w:val="009F60E8"/>
    <w:rsid w:val="009F615F"/>
    <w:rsid w:val="009F61BD"/>
    <w:rsid w:val="009F61F6"/>
    <w:rsid w:val="009F6223"/>
    <w:rsid w:val="009F62C1"/>
    <w:rsid w:val="009F6309"/>
    <w:rsid w:val="009F63B6"/>
    <w:rsid w:val="009F63E2"/>
    <w:rsid w:val="009F6416"/>
    <w:rsid w:val="009F644D"/>
    <w:rsid w:val="009F64A6"/>
    <w:rsid w:val="009F6529"/>
    <w:rsid w:val="009F655C"/>
    <w:rsid w:val="009F65D6"/>
    <w:rsid w:val="009F663C"/>
    <w:rsid w:val="009F663F"/>
    <w:rsid w:val="009F66A8"/>
    <w:rsid w:val="009F66B5"/>
    <w:rsid w:val="009F66D9"/>
    <w:rsid w:val="009F66EF"/>
    <w:rsid w:val="009F676B"/>
    <w:rsid w:val="009F67CF"/>
    <w:rsid w:val="009F6804"/>
    <w:rsid w:val="009F68D2"/>
    <w:rsid w:val="009F690B"/>
    <w:rsid w:val="009F690E"/>
    <w:rsid w:val="009F6961"/>
    <w:rsid w:val="009F69A7"/>
    <w:rsid w:val="009F69CC"/>
    <w:rsid w:val="009F69F8"/>
    <w:rsid w:val="009F69FE"/>
    <w:rsid w:val="009F6A0C"/>
    <w:rsid w:val="009F6A78"/>
    <w:rsid w:val="009F6AD0"/>
    <w:rsid w:val="009F6B09"/>
    <w:rsid w:val="009F6B0D"/>
    <w:rsid w:val="009F6BFB"/>
    <w:rsid w:val="009F6C2D"/>
    <w:rsid w:val="009F6CC2"/>
    <w:rsid w:val="009F6CD5"/>
    <w:rsid w:val="009F6CD6"/>
    <w:rsid w:val="009F6CDB"/>
    <w:rsid w:val="009F6D05"/>
    <w:rsid w:val="009F6D06"/>
    <w:rsid w:val="009F6D1A"/>
    <w:rsid w:val="009F6D6B"/>
    <w:rsid w:val="009F6D7A"/>
    <w:rsid w:val="009F6DFE"/>
    <w:rsid w:val="009F6E40"/>
    <w:rsid w:val="009F6E57"/>
    <w:rsid w:val="009F6E78"/>
    <w:rsid w:val="009F6EB4"/>
    <w:rsid w:val="009F6EEE"/>
    <w:rsid w:val="009F6F37"/>
    <w:rsid w:val="009F6F6F"/>
    <w:rsid w:val="009F6F9E"/>
    <w:rsid w:val="009F6FB5"/>
    <w:rsid w:val="009F6FD8"/>
    <w:rsid w:val="009F6FE7"/>
    <w:rsid w:val="009F7016"/>
    <w:rsid w:val="009F703E"/>
    <w:rsid w:val="009F7043"/>
    <w:rsid w:val="009F7047"/>
    <w:rsid w:val="009F7062"/>
    <w:rsid w:val="009F70BC"/>
    <w:rsid w:val="009F70F7"/>
    <w:rsid w:val="009F7114"/>
    <w:rsid w:val="009F7116"/>
    <w:rsid w:val="009F7145"/>
    <w:rsid w:val="009F714E"/>
    <w:rsid w:val="009F7171"/>
    <w:rsid w:val="009F71AF"/>
    <w:rsid w:val="009F71B0"/>
    <w:rsid w:val="009F71D1"/>
    <w:rsid w:val="009F71E4"/>
    <w:rsid w:val="009F7241"/>
    <w:rsid w:val="009F7252"/>
    <w:rsid w:val="009F72B4"/>
    <w:rsid w:val="009F72CD"/>
    <w:rsid w:val="009F731E"/>
    <w:rsid w:val="009F734A"/>
    <w:rsid w:val="009F73CD"/>
    <w:rsid w:val="009F73F3"/>
    <w:rsid w:val="009F742E"/>
    <w:rsid w:val="009F7435"/>
    <w:rsid w:val="009F74C7"/>
    <w:rsid w:val="009F74E7"/>
    <w:rsid w:val="009F750E"/>
    <w:rsid w:val="009F75EC"/>
    <w:rsid w:val="009F766A"/>
    <w:rsid w:val="009F7675"/>
    <w:rsid w:val="009F76DD"/>
    <w:rsid w:val="009F76EC"/>
    <w:rsid w:val="009F771C"/>
    <w:rsid w:val="009F772A"/>
    <w:rsid w:val="009F7746"/>
    <w:rsid w:val="009F77A6"/>
    <w:rsid w:val="009F77F0"/>
    <w:rsid w:val="009F78D9"/>
    <w:rsid w:val="009F790A"/>
    <w:rsid w:val="009F7926"/>
    <w:rsid w:val="009F793C"/>
    <w:rsid w:val="009F793D"/>
    <w:rsid w:val="009F795B"/>
    <w:rsid w:val="009F796C"/>
    <w:rsid w:val="009F7985"/>
    <w:rsid w:val="009F7998"/>
    <w:rsid w:val="009F79C5"/>
    <w:rsid w:val="009F79D6"/>
    <w:rsid w:val="009F79D7"/>
    <w:rsid w:val="009F7A5F"/>
    <w:rsid w:val="009F7A62"/>
    <w:rsid w:val="009F7A95"/>
    <w:rsid w:val="009F7A96"/>
    <w:rsid w:val="009F7A9C"/>
    <w:rsid w:val="009F7AA3"/>
    <w:rsid w:val="009F7B65"/>
    <w:rsid w:val="009F7BEA"/>
    <w:rsid w:val="009F7BF6"/>
    <w:rsid w:val="009F7C0B"/>
    <w:rsid w:val="009F7CC5"/>
    <w:rsid w:val="009F7D40"/>
    <w:rsid w:val="009F7D4B"/>
    <w:rsid w:val="009F7D85"/>
    <w:rsid w:val="009F7DAE"/>
    <w:rsid w:val="009F7DF3"/>
    <w:rsid w:val="009F7E02"/>
    <w:rsid w:val="009F7E0B"/>
    <w:rsid w:val="009F7E35"/>
    <w:rsid w:val="009F7E57"/>
    <w:rsid w:val="009F7EAB"/>
    <w:rsid w:val="009F7ED7"/>
    <w:rsid w:val="009F7EDC"/>
    <w:rsid w:val="009F7EFB"/>
    <w:rsid w:val="009F7F0A"/>
    <w:rsid w:val="009F7F28"/>
    <w:rsid w:val="009F7F34"/>
    <w:rsid w:val="009F7F5C"/>
    <w:rsid w:val="009F7F80"/>
    <w:rsid w:val="00A00021"/>
    <w:rsid w:val="00A0002E"/>
    <w:rsid w:val="00A0009F"/>
    <w:rsid w:val="00A000A9"/>
    <w:rsid w:val="00A000DB"/>
    <w:rsid w:val="00A000F9"/>
    <w:rsid w:val="00A0011D"/>
    <w:rsid w:val="00A00135"/>
    <w:rsid w:val="00A001A9"/>
    <w:rsid w:val="00A001C6"/>
    <w:rsid w:val="00A001EC"/>
    <w:rsid w:val="00A0025B"/>
    <w:rsid w:val="00A00262"/>
    <w:rsid w:val="00A00279"/>
    <w:rsid w:val="00A002E2"/>
    <w:rsid w:val="00A0036F"/>
    <w:rsid w:val="00A00386"/>
    <w:rsid w:val="00A003A4"/>
    <w:rsid w:val="00A003A9"/>
    <w:rsid w:val="00A004C8"/>
    <w:rsid w:val="00A0052C"/>
    <w:rsid w:val="00A00576"/>
    <w:rsid w:val="00A005B0"/>
    <w:rsid w:val="00A005B1"/>
    <w:rsid w:val="00A005B6"/>
    <w:rsid w:val="00A005C3"/>
    <w:rsid w:val="00A00622"/>
    <w:rsid w:val="00A0065E"/>
    <w:rsid w:val="00A00671"/>
    <w:rsid w:val="00A006AF"/>
    <w:rsid w:val="00A006B9"/>
    <w:rsid w:val="00A006C4"/>
    <w:rsid w:val="00A00714"/>
    <w:rsid w:val="00A00756"/>
    <w:rsid w:val="00A00763"/>
    <w:rsid w:val="00A00771"/>
    <w:rsid w:val="00A00800"/>
    <w:rsid w:val="00A00804"/>
    <w:rsid w:val="00A0080D"/>
    <w:rsid w:val="00A00876"/>
    <w:rsid w:val="00A008B8"/>
    <w:rsid w:val="00A008C7"/>
    <w:rsid w:val="00A008FF"/>
    <w:rsid w:val="00A00900"/>
    <w:rsid w:val="00A0096A"/>
    <w:rsid w:val="00A009BC"/>
    <w:rsid w:val="00A009C5"/>
    <w:rsid w:val="00A009C9"/>
    <w:rsid w:val="00A00A35"/>
    <w:rsid w:val="00A00A50"/>
    <w:rsid w:val="00A00A6F"/>
    <w:rsid w:val="00A00A96"/>
    <w:rsid w:val="00A00AB8"/>
    <w:rsid w:val="00A00AB9"/>
    <w:rsid w:val="00A00ADB"/>
    <w:rsid w:val="00A00AF6"/>
    <w:rsid w:val="00A00B2A"/>
    <w:rsid w:val="00A00B34"/>
    <w:rsid w:val="00A00B5A"/>
    <w:rsid w:val="00A00B7F"/>
    <w:rsid w:val="00A00BE3"/>
    <w:rsid w:val="00A00BFE"/>
    <w:rsid w:val="00A00C0E"/>
    <w:rsid w:val="00A00D0B"/>
    <w:rsid w:val="00A00D17"/>
    <w:rsid w:val="00A00D26"/>
    <w:rsid w:val="00A00D54"/>
    <w:rsid w:val="00A00DD5"/>
    <w:rsid w:val="00A00E2A"/>
    <w:rsid w:val="00A00E50"/>
    <w:rsid w:val="00A00E61"/>
    <w:rsid w:val="00A00F0E"/>
    <w:rsid w:val="00A00F39"/>
    <w:rsid w:val="00A00F65"/>
    <w:rsid w:val="00A00F7B"/>
    <w:rsid w:val="00A00FA2"/>
    <w:rsid w:val="00A00FA7"/>
    <w:rsid w:val="00A00FC1"/>
    <w:rsid w:val="00A0100A"/>
    <w:rsid w:val="00A0102A"/>
    <w:rsid w:val="00A01070"/>
    <w:rsid w:val="00A010B8"/>
    <w:rsid w:val="00A010EB"/>
    <w:rsid w:val="00A01106"/>
    <w:rsid w:val="00A01108"/>
    <w:rsid w:val="00A01128"/>
    <w:rsid w:val="00A01131"/>
    <w:rsid w:val="00A01147"/>
    <w:rsid w:val="00A01194"/>
    <w:rsid w:val="00A011C2"/>
    <w:rsid w:val="00A0125B"/>
    <w:rsid w:val="00A012C5"/>
    <w:rsid w:val="00A012DD"/>
    <w:rsid w:val="00A012EE"/>
    <w:rsid w:val="00A012F8"/>
    <w:rsid w:val="00A0133E"/>
    <w:rsid w:val="00A0134D"/>
    <w:rsid w:val="00A0137A"/>
    <w:rsid w:val="00A01392"/>
    <w:rsid w:val="00A01399"/>
    <w:rsid w:val="00A013AD"/>
    <w:rsid w:val="00A013AE"/>
    <w:rsid w:val="00A013D0"/>
    <w:rsid w:val="00A013D9"/>
    <w:rsid w:val="00A01407"/>
    <w:rsid w:val="00A0140F"/>
    <w:rsid w:val="00A0141B"/>
    <w:rsid w:val="00A0142C"/>
    <w:rsid w:val="00A0143A"/>
    <w:rsid w:val="00A0146D"/>
    <w:rsid w:val="00A01480"/>
    <w:rsid w:val="00A01485"/>
    <w:rsid w:val="00A014C1"/>
    <w:rsid w:val="00A014D9"/>
    <w:rsid w:val="00A0156A"/>
    <w:rsid w:val="00A015D7"/>
    <w:rsid w:val="00A0161E"/>
    <w:rsid w:val="00A01620"/>
    <w:rsid w:val="00A0171F"/>
    <w:rsid w:val="00A0172A"/>
    <w:rsid w:val="00A01775"/>
    <w:rsid w:val="00A017AA"/>
    <w:rsid w:val="00A01804"/>
    <w:rsid w:val="00A01816"/>
    <w:rsid w:val="00A01823"/>
    <w:rsid w:val="00A01841"/>
    <w:rsid w:val="00A01865"/>
    <w:rsid w:val="00A0186F"/>
    <w:rsid w:val="00A01879"/>
    <w:rsid w:val="00A0189A"/>
    <w:rsid w:val="00A0189F"/>
    <w:rsid w:val="00A018B3"/>
    <w:rsid w:val="00A01979"/>
    <w:rsid w:val="00A01991"/>
    <w:rsid w:val="00A019A9"/>
    <w:rsid w:val="00A019E2"/>
    <w:rsid w:val="00A01A31"/>
    <w:rsid w:val="00A01A5B"/>
    <w:rsid w:val="00A01AB1"/>
    <w:rsid w:val="00A01B05"/>
    <w:rsid w:val="00A01B3E"/>
    <w:rsid w:val="00A01BB9"/>
    <w:rsid w:val="00A01CB6"/>
    <w:rsid w:val="00A01CCB"/>
    <w:rsid w:val="00A01CCC"/>
    <w:rsid w:val="00A01CF6"/>
    <w:rsid w:val="00A01D1B"/>
    <w:rsid w:val="00A01D7F"/>
    <w:rsid w:val="00A01D92"/>
    <w:rsid w:val="00A01DA9"/>
    <w:rsid w:val="00A01DD0"/>
    <w:rsid w:val="00A01E1A"/>
    <w:rsid w:val="00A01E20"/>
    <w:rsid w:val="00A01E2D"/>
    <w:rsid w:val="00A01E5A"/>
    <w:rsid w:val="00A01F3A"/>
    <w:rsid w:val="00A01FAE"/>
    <w:rsid w:val="00A01FF9"/>
    <w:rsid w:val="00A02047"/>
    <w:rsid w:val="00A0205D"/>
    <w:rsid w:val="00A02074"/>
    <w:rsid w:val="00A02150"/>
    <w:rsid w:val="00A021D9"/>
    <w:rsid w:val="00A02239"/>
    <w:rsid w:val="00A02291"/>
    <w:rsid w:val="00A022C5"/>
    <w:rsid w:val="00A022C9"/>
    <w:rsid w:val="00A022DF"/>
    <w:rsid w:val="00A02301"/>
    <w:rsid w:val="00A02304"/>
    <w:rsid w:val="00A0230B"/>
    <w:rsid w:val="00A0231E"/>
    <w:rsid w:val="00A02323"/>
    <w:rsid w:val="00A0238F"/>
    <w:rsid w:val="00A023A2"/>
    <w:rsid w:val="00A023A7"/>
    <w:rsid w:val="00A0242C"/>
    <w:rsid w:val="00A0243D"/>
    <w:rsid w:val="00A024F9"/>
    <w:rsid w:val="00A025A2"/>
    <w:rsid w:val="00A025C0"/>
    <w:rsid w:val="00A025F1"/>
    <w:rsid w:val="00A02639"/>
    <w:rsid w:val="00A026D4"/>
    <w:rsid w:val="00A026F2"/>
    <w:rsid w:val="00A026FC"/>
    <w:rsid w:val="00A0272C"/>
    <w:rsid w:val="00A02861"/>
    <w:rsid w:val="00A0288D"/>
    <w:rsid w:val="00A028AD"/>
    <w:rsid w:val="00A028E0"/>
    <w:rsid w:val="00A028FC"/>
    <w:rsid w:val="00A028FF"/>
    <w:rsid w:val="00A02915"/>
    <w:rsid w:val="00A02939"/>
    <w:rsid w:val="00A029D5"/>
    <w:rsid w:val="00A02A3B"/>
    <w:rsid w:val="00A02A3C"/>
    <w:rsid w:val="00A02A44"/>
    <w:rsid w:val="00A02A45"/>
    <w:rsid w:val="00A02A60"/>
    <w:rsid w:val="00A02A92"/>
    <w:rsid w:val="00A02ABE"/>
    <w:rsid w:val="00A02B57"/>
    <w:rsid w:val="00A02B5E"/>
    <w:rsid w:val="00A02B63"/>
    <w:rsid w:val="00A02C2A"/>
    <w:rsid w:val="00A02C4E"/>
    <w:rsid w:val="00A02C8D"/>
    <w:rsid w:val="00A02C90"/>
    <w:rsid w:val="00A02CA8"/>
    <w:rsid w:val="00A02CC9"/>
    <w:rsid w:val="00A02CCC"/>
    <w:rsid w:val="00A02CDD"/>
    <w:rsid w:val="00A02D2B"/>
    <w:rsid w:val="00A02D6A"/>
    <w:rsid w:val="00A02D6F"/>
    <w:rsid w:val="00A02D7F"/>
    <w:rsid w:val="00A02DB2"/>
    <w:rsid w:val="00A02DBD"/>
    <w:rsid w:val="00A02DED"/>
    <w:rsid w:val="00A02E22"/>
    <w:rsid w:val="00A02E35"/>
    <w:rsid w:val="00A02E46"/>
    <w:rsid w:val="00A02E4E"/>
    <w:rsid w:val="00A02E88"/>
    <w:rsid w:val="00A02EF3"/>
    <w:rsid w:val="00A02F84"/>
    <w:rsid w:val="00A02F9B"/>
    <w:rsid w:val="00A02FAE"/>
    <w:rsid w:val="00A02FC0"/>
    <w:rsid w:val="00A03007"/>
    <w:rsid w:val="00A0300F"/>
    <w:rsid w:val="00A030A6"/>
    <w:rsid w:val="00A030AF"/>
    <w:rsid w:val="00A03144"/>
    <w:rsid w:val="00A0314A"/>
    <w:rsid w:val="00A03164"/>
    <w:rsid w:val="00A031C8"/>
    <w:rsid w:val="00A03218"/>
    <w:rsid w:val="00A0322A"/>
    <w:rsid w:val="00A0323F"/>
    <w:rsid w:val="00A03254"/>
    <w:rsid w:val="00A03291"/>
    <w:rsid w:val="00A032BB"/>
    <w:rsid w:val="00A03302"/>
    <w:rsid w:val="00A03310"/>
    <w:rsid w:val="00A03355"/>
    <w:rsid w:val="00A03379"/>
    <w:rsid w:val="00A03387"/>
    <w:rsid w:val="00A033A5"/>
    <w:rsid w:val="00A03401"/>
    <w:rsid w:val="00A0340E"/>
    <w:rsid w:val="00A03421"/>
    <w:rsid w:val="00A0343E"/>
    <w:rsid w:val="00A034B1"/>
    <w:rsid w:val="00A034E6"/>
    <w:rsid w:val="00A034F3"/>
    <w:rsid w:val="00A034F7"/>
    <w:rsid w:val="00A03519"/>
    <w:rsid w:val="00A03520"/>
    <w:rsid w:val="00A03545"/>
    <w:rsid w:val="00A03593"/>
    <w:rsid w:val="00A035C2"/>
    <w:rsid w:val="00A035C6"/>
    <w:rsid w:val="00A0362F"/>
    <w:rsid w:val="00A036B2"/>
    <w:rsid w:val="00A036B4"/>
    <w:rsid w:val="00A036BD"/>
    <w:rsid w:val="00A0373E"/>
    <w:rsid w:val="00A037AA"/>
    <w:rsid w:val="00A037BD"/>
    <w:rsid w:val="00A037DA"/>
    <w:rsid w:val="00A03801"/>
    <w:rsid w:val="00A03807"/>
    <w:rsid w:val="00A0381B"/>
    <w:rsid w:val="00A03885"/>
    <w:rsid w:val="00A03899"/>
    <w:rsid w:val="00A03902"/>
    <w:rsid w:val="00A0395D"/>
    <w:rsid w:val="00A03991"/>
    <w:rsid w:val="00A039C4"/>
    <w:rsid w:val="00A039C7"/>
    <w:rsid w:val="00A039EC"/>
    <w:rsid w:val="00A039FD"/>
    <w:rsid w:val="00A03AC2"/>
    <w:rsid w:val="00A03B4A"/>
    <w:rsid w:val="00A03B58"/>
    <w:rsid w:val="00A03B86"/>
    <w:rsid w:val="00A03BC8"/>
    <w:rsid w:val="00A03C85"/>
    <w:rsid w:val="00A03C95"/>
    <w:rsid w:val="00A03CE6"/>
    <w:rsid w:val="00A03D21"/>
    <w:rsid w:val="00A03D8F"/>
    <w:rsid w:val="00A03D91"/>
    <w:rsid w:val="00A03E0B"/>
    <w:rsid w:val="00A03E79"/>
    <w:rsid w:val="00A03EA6"/>
    <w:rsid w:val="00A03ED0"/>
    <w:rsid w:val="00A03F0E"/>
    <w:rsid w:val="00A03F2D"/>
    <w:rsid w:val="00A03FF5"/>
    <w:rsid w:val="00A04063"/>
    <w:rsid w:val="00A04095"/>
    <w:rsid w:val="00A040B0"/>
    <w:rsid w:val="00A040B3"/>
    <w:rsid w:val="00A040DB"/>
    <w:rsid w:val="00A040F2"/>
    <w:rsid w:val="00A040FF"/>
    <w:rsid w:val="00A04130"/>
    <w:rsid w:val="00A04181"/>
    <w:rsid w:val="00A041E2"/>
    <w:rsid w:val="00A04235"/>
    <w:rsid w:val="00A04272"/>
    <w:rsid w:val="00A04304"/>
    <w:rsid w:val="00A04337"/>
    <w:rsid w:val="00A043A7"/>
    <w:rsid w:val="00A043ED"/>
    <w:rsid w:val="00A04401"/>
    <w:rsid w:val="00A04413"/>
    <w:rsid w:val="00A044B3"/>
    <w:rsid w:val="00A04582"/>
    <w:rsid w:val="00A045CA"/>
    <w:rsid w:val="00A0460B"/>
    <w:rsid w:val="00A04613"/>
    <w:rsid w:val="00A04684"/>
    <w:rsid w:val="00A046F4"/>
    <w:rsid w:val="00A046FB"/>
    <w:rsid w:val="00A0471E"/>
    <w:rsid w:val="00A0474C"/>
    <w:rsid w:val="00A0475C"/>
    <w:rsid w:val="00A04770"/>
    <w:rsid w:val="00A04778"/>
    <w:rsid w:val="00A047A6"/>
    <w:rsid w:val="00A047D5"/>
    <w:rsid w:val="00A047DC"/>
    <w:rsid w:val="00A04824"/>
    <w:rsid w:val="00A04869"/>
    <w:rsid w:val="00A049C9"/>
    <w:rsid w:val="00A049DA"/>
    <w:rsid w:val="00A049ED"/>
    <w:rsid w:val="00A049F4"/>
    <w:rsid w:val="00A049FE"/>
    <w:rsid w:val="00A04A04"/>
    <w:rsid w:val="00A04A25"/>
    <w:rsid w:val="00A04ADE"/>
    <w:rsid w:val="00A04B97"/>
    <w:rsid w:val="00A04BB7"/>
    <w:rsid w:val="00A04C26"/>
    <w:rsid w:val="00A04C36"/>
    <w:rsid w:val="00A04C38"/>
    <w:rsid w:val="00A04C84"/>
    <w:rsid w:val="00A04CFE"/>
    <w:rsid w:val="00A04D32"/>
    <w:rsid w:val="00A04D52"/>
    <w:rsid w:val="00A04DCD"/>
    <w:rsid w:val="00A04E4D"/>
    <w:rsid w:val="00A04E69"/>
    <w:rsid w:val="00A04EAC"/>
    <w:rsid w:val="00A04EAE"/>
    <w:rsid w:val="00A04ED3"/>
    <w:rsid w:val="00A04F36"/>
    <w:rsid w:val="00A04F4C"/>
    <w:rsid w:val="00A04F54"/>
    <w:rsid w:val="00A04FC4"/>
    <w:rsid w:val="00A05001"/>
    <w:rsid w:val="00A05008"/>
    <w:rsid w:val="00A0507B"/>
    <w:rsid w:val="00A05094"/>
    <w:rsid w:val="00A05096"/>
    <w:rsid w:val="00A050A6"/>
    <w:rsid w:val="00A050E8"/>
    <w:rsid w:val="00A0512C"/>
    <w:rsid w:val="00A05150"/>
    <w:rsid w:val="00A051B2"/>
    <w:rsid w:val="00A051C5"/>
    <w:rsid w:val="00A05271"/>
    <w:rsid w:val="00A0529E"/>
    <w:rsid w:val="00A054C8"/>
    <w:rsid w:val="00A05535"/>
    <w:rsid w:val="00A055AD"/>
    <w:rsid w:val="00A055EC"/>
    <w:rsid w:val="00A055F0"/>
    <w:rsid w:val="00A05628"/>
    <w:rsid w:val="00A05677"/>
    <w:rsid w:val="00A056A8"/>
    <w:rsid w:val="00A056AD"/>
    <w:rsid w:val="00A056B4"/>
    <w:rsid w:val="00A056BD"/>
    <w:rsid w:val="00A056D1"/>
    <w:rsid w:val="00A056FF"/>
    <w:rsid w:val="00A05748"/>
    <w:rsid w:val="00A057A5"/>
    <w:rsid w:val="00A057E0"/>
    <w:rsid w:val="00A0580D"/>
    <w:rsid w:val="00A0583A"/>
    <w:rsid w:val="00A05894"/>
    <w:rsid w:val="00A05899"/>
    <w:rsid w:val="00A058B3"/>
    <w:rsid w:val="00A058C1"/>
    <w:rsid w:val="00A058DC"/>
    <w:rsid w:val="00A058FC"/>
    <w:rsid w:val="00A0592A"/>
    <w:rsid w:val="00A05955"/>
    <w:rsid w:val="00A0596A"/>
    <w:rsid w:val="00A059BC"/>
    <w:rsid w:val="00A059C3"/>
    <w:rsid w:val="00A05A15"/>
    <w:rsid w:val="00A05A55"/>
    <w:rsid w:val="00A05A75"/>
    <w:rsid w:val="00A05AB4"/>
    <w:rsid w:val="00A05B76"/>
    <w:rsid w:val="00A05BAB"/>
    <w:rsid w:val="00A05BF2"/>
    <w:rsid w:val="00A05C12"/>
    <w:rsid w:val="00A05DE3"/>
    <w:rsid w:val="00A05E09"/>
    <w:rsid w:val="00A05E54"/>
    <w:rsid w:val="00A05E67"/>
    <w:rsid w:val="00A05EA7"/>
    <w:rsid w:val="00A05EC1"/>
    <w:rsid w:val="00A05EFF"/>
    <w:rsid w:val="00A05F0C"/>
    <w:rsid w:val="00A05F2C"/>
    <w:rsid w:val="00A05F31"/>
    <w:rsid w:val="00A05F60"/>
    <w:rsid w:val="00A05F8C"/>
    <w:rsid w:val="00A0606B"/>
    <w:rsid w:val="00A060B7"/>
    <w:rsid w:val="00A060C7"/>
    <w:rsid w:val="00A06115"/>
    <w:rsid w:val="00A06124"/>
    <w:rsid w:val="00A061B9"/>
    <w:rsid w:val="00A062A3"/>
    <w:rsid w:val="00A0632D"/>
    <w:rsid w:val="00A06398"/>
    <w:rsid w:val="00A063B9"/>
    <w:rsid w:val="00A06426"/>
    <w:rsid w:val="00A064DD"/>
    <w:rsid w:val="00A06530"/>
    <w:rsid w:val="00A06534"/>
    <w:rsid w:val="00A06535"/>
    <w:rsid w:val="00A06562"/>
    <w:rsid w:val="00A06579"/>
    <w:rsid w:val="00A06643"/>
    <w:rsid w:val="00A06653"/>
    <w:rsid w:val="00A06683"/>
    <w:rsid w:val="00A0669B"/>
    <w:rsid w:val="00A0675E"/>
    <w:rsid w:val="00A06779"/>
    <w:rsid w:val="00A06782"/>
    <w:rsid w:val="00A067A4"/>
    <w:rsid w:val="00A06805"/>
    <w:rsid w:val="00A06815"/>
    <w:rsid w:val="00A06838"/>
    <w:rsid w:val="00A0684A"/>
    <w:rsid w:val="00A0684E"/>
    <w:rsid w:val="00A068A1"/>
    <w:rsid w:val="00A068A8"/>
    <w:rsid w:val="00A068F6"/>
    <w:rsid w:val="00A06925"/>
    <w:rsid w:val="00A0692C"/>
    <w:rsid w:val="00A0693F"/>
    <w:rsid w:val="00A0694F"/>
    <w:rsid w:val="00A06968"/>
    <w:rsid w:val="00A06972"/>
    <w:rsid w:val="00A06997"/>
    <w:rsid w:val="00A069D5"/>
    <w:rsid w:val="00A069E5"/>
    <w:rsid w:val="00A069F2"/>
    <w:rsid w:val="00A069F8"/>
    <w:rsid w:val="00A06A5C"/>
    <w:rsid w:val="00A06A67"/>
    <w:rsid w:val="00A06AFB"/>
    <w:rsid w:val="00A06AFE"/>
    <w:rsid w:val="00A06B10"/>
    <w:rsid w:val="00A06B37"/>
    <w:rsid w:val="00A06B83"/>
    <w:rsid w:val="00A06B9D"/>
    <w:rsid w:val="00A06C01"/>
    <w:rsid w:val="00A06C5D"/>
    <w:rsid w:val="00A06CA5"/>
    <w:rsid w:val="00A06CD4"/>
    <w:rsid w:val="00A06CE0"/>
    <w:rsid w:val="00A06D37"/>
    <w:rsid w:val="00A06D45"/>
    <w:rsid w:val="00A06D46"/>
    <w:rsid w:val="00A06D4D"/>
    <w:rsid w:val="00A06E4D"/>
    <w:rsid w:val="00A06EAC"/>
    <w:rsid w:val="00A06EE2"/>
    <w:rsid w:val="00A06F0B"/>
    <w:rsid w:val="00A06FB5"/>
    <w:rsid w:val="00A07024"/>
    <w:rsid w:val="00A07052"/>
    <w:rsid w:val="00A070B9"/>
    <w:rsid w:val="00A070F8"/>
    <w:rsid w:val="00A07167"/>
    <w:rsid w:val="00A071AA"/>
    <w:rsid w:val="00A071AD"/>
    <w:rsid w:val="00A071B7"/>
    <w:rsid w:val="00A071E4"/>
    <w:rsid w:val="00A071F5"/>
    <w:rsid w:val="00A0723A"/>
    <w:rsid w:val="00A072E7"/>
    <w:rsid w:val="00A07332"/>
    <w:rsid w:val="00A07338"/>
    <w:rsid w:val="00A07344"/>
    <w:rsid w:val="00A07372"/>
    <w:rsid w:val="00A0739B"/>
    <w:rsid w:val="00A0739D"/>
    <w:rsid w:val="00A073A3"/>
    <w:rsid w:val="00A073BC"/>
    <w:rsid w:val="00A073F0"/>
    <w:rsid w:val="00A07403"/>
    <w:rsid w:val="00A07425"/>
    <w:rsid w:val="00A07433"/>
    <w:rsid w:val="00A074D8"/>
    <w:rsid w:val="00A074F3"/>
    <w:rsid w:val="00A07518"/>
    <w:rsid w:val="00A0752E"/>
    <w:rsid w:val="00A07567"/>
    <w:rsid w:val="00A0768F"/>
    <w:rsid w:val="00A076EE"/>
    <w:rsid w:val="00A076F6"/>
    <w:rsid w:val="00A07710"/>
    <w:rsid w:val="00A0771A"/>
    <w:rsid w:val="00A07739"/>
    <w:rsid w:val="00A0773A"/>
    <w:rsid w:val="00A0778E"/>
    <w:rsid w:val="00A07804"/>
    <w:rsid w:val="00A07813"/>
    <w:rsid w:val="00A07816"/>
    <w:rsid w:val="00A078A4"/>
    <w:rsid w:val="00A078BF"/>
    <w:rsid w:val="00A07961"/>
    <w:rsid w:val="00A07997"/>
    <w:rsid w:val="00A079FC"/>
    <w:rsid w:val="00A07A0B"/>
    <w:rsid w:val="00A07A1E"/>
    <w:rsid w:val="00A07A8B"/>
    <w:rsid w:val="00A07AA4"/>
    <w:rsid w:val="00A07AB5"/>
    <w:rsid w:val="00A07AC6"/>
    <w:rsid w:val="00A07ACA"/>
    <w:rsid w:val="00A07ADD"/>
    <w:rsid w:val="00A07B09"/>
    <w:rsid w:val="00A07B0C"/>
    <w:rsid w:val="00A07B8A"/>
    <w:rsid w:val="00A07C28"/>
    <w:rsid w:val="00A07CF1"/>
    <w:rsid w:val="00A07D1A"/>
    <w:rsid w:val="00A07D36"/>
    <w:rsid w:val="00A07D6D"/>
    <w:rsid w:val="00A07DBC"/>
    <w:rsid w:val="00A07DBF"/>
    <w:rsid w:val="00A07E2F"/>
    <w:rsid w:val="00A07E4C"/>
    <w:rsid w:val="00A07EC9"/>
    <w:rsid w:val="00A07EE5"/>
    <w:rsid w:val="00A07F02"/>
    <w:rsid w:val="00A07F3A"/>
    <w:rsid w:val="00A07F7F"/>
    <w:rsid w:val="00A07F8C"/>
    <w:rsid w:val="00A07FB2"/>
    <w:rsid w:val="00A07FDF"/>
    <w:rsid w:val="00A1007B"/>
    <w:rsid w:val="00A10089"/>
    <w:rsid w:val="00A100AF"/>
    <w:rsid w:val="00A100B4"/>
    <w:rsid w:val="00A10165"/>
    <w:rsid w:val="00A101C6"/>
    <w:rsid w:val="00A101CF"/>
    <w:rsid w:val="00A10203"/>
    <w:rsid w:val="00A1024B"/>
    <w:rsid w:val="00A10265"/>
    <w:rsid w:val="00A10288"/>
    <w:rsid w:val="00A10292"/>
    <w:rsid w:val="00A102B0"/>
    <w:rsid w:val="00A102F5"/>
    <w:rsid w:val="00A10331"/>
    <w:rsid w:val="00A10346"/>
    <w:rsid w:val="00A10378"/>
    <w:rsid w:val="00A103A9"/>
    <w:rsid w:val="00A103DF"/>
    <w:rsid w:val="00A10418"/>
    <w:rsid w:val="00A10444"/>
    <w:rsid w:val="00A10482"/>
    <w:rsid w:val="00A104D3"/>
    <w:rsid w:val="00A104F3"/>
    <w:rsid w:val="00A10520"/>
    <w:rsid w:val="00A1053A"/>
    <w:rsid w:val="00A10565"/>
    <w:rsid w:val="00A105A6"/>
    <w:rsid w:val="00A10680"/>
    <w:rsid w:val="00A106E0"/>
    <w:rsid w:val="00A106F2"/>
    <w:rsid w:val="00A1070C"/>
    <w:rsid w:val="00A1085C"/>
    <w:rsid w:val="00A108F9"/>
    <w:rsid w:val="00A10918"/>
    <w:rsid w:val="00A1094D"/>
    <w:rsid w:val="00A109AE"/>
    <w:rsid w:val="00A109CC"/>
    <w:rsid w:val="00A109CE"/>
    <w:rsid w:val="00A109D6"/>
    <w:rsid w:val="00A10A61"/>
    <w:rsid w:val="00A10A99"/>
    <w:rsid w:val="00A10B42"/>
    <w:rsid w:val="00A10BAB"/>
    <w:rsid w:val="00A10C07"/>
    <w:rsid w:val="00A10C40"/>
    <w:rsid w:val="00A10CA3"/>
    <w:rsid w:val="00A10CC6"/>
    <w:rsid w:val="00A10D05"/>
    <w:rsid w:val="00A10D0C"/>
    <w:rsid w:val="00A10D2C"/>
    <w:rsid w:val="00A10D75"/>
    <w:rsid w:val="00A10DBC"/>
    <w:rsid w:val="00A10DE9"/>
    <w:rsid w:val="00A10E08"/>
    <w:rsid w:val="00A10E38"/>
    <w:rsid w:val="00A10E6B"/>
    <w:rsid w:val="00A10E6C"/>
    <w:rsid w:val="00A10E77"/>
    <w:rsid w:val="00A10E81"/>
    <w:rsid w:val="00A10EC6"/>
    <w:rsid w:val="00A10ED1"/>
    <w:rsid w:val="00A10F44"/>
    <w:rsid w:val="00A10F65"/>
    <w:rsid w:val="00A10F9E"/>
    <w:rsid w:val="00A10FAA"/>
    <w:rsid w:val="00A11002"/>
    <w:rsid w:val="00A11033"/>
    <w:rsid w:val="00A1106B"/>
    <w:rsid w:val="00A110C2"/>
    <w:rsid w:val="00A1115B"/>
    <w:rsid w:val="00A113C9"/>
    <w:rsid w:val="00A113F0"/>
    <w:rsid w:val="00A11402"/>
    <w:rsid w:val="00A11421"/>
    <w:rsid w:val="00A11453"/>
    <w:rsid w:val="00A1149D"/>
    <w:rsid w:val="00A114A0"/>
    <w:rsid w:val="00A114BF"/>
    <w:rsid w:val="00A11579"/>
    <w:rsid w:val="00A11598"/>
    <w:rsid w:val="00A115DA"/>
    <w:rsid w:val="00A115F2"/>
    <w:rsid w:val="00A115FD"/>
    <w:rsid w:val="00A11620"/>
    <w:rsid w:val="00A11775"/>
    <w:rsid w:val="00A1177A"/>
    <w:rsid w:val="00A117BE"/>
    <w:rsid w:val="00A117EB"/>
    <w:rsid w:val="00A11813"/>
    <w:rsid w:val="00A11819"/>
    <w:rsid w:val="00A11830"/>
    <w:rsid w:val="00A1186E"/>
    <w:rsid w:val="00A118F5"/>
    <w:rsid w:val="00A11975"/>
    <w:rsid w:val="00A1198F"/>
    <w:rsid w:val="00A119E9"/>
    <w:rsid w:val="00A11A0C"/>
    <w:rsid w:val="00A11A45"/>
    <w:rsid w:val="00A11A60"/>
    <w:rsid w:val="00A11A86"/>
    <w:rsid w:val="00A11A95"/>
    <w:rsid w:val="00A11AA2"/>
    <w:rsid w:val="00A11B57"/>
    <w:rsid w:val="00A11B5C"/>
    <w:rsid w:val="00A11B72"/>
    <w:rsid w:val="00A11B83"/>
    <w:rsid w:val="00A11B92"/>
    <w:rsid w:val="00A11B9A"/>
    <w:rsid w:val="00A11BFD"/>
    <w:rsid w:val="00A11C19"/>
    <w:rsid w:val="00A11C6C"/>
    <w:rsid w:val="00A11C75"/>
    <w:rsid w:val="00A11CC6"/>
    <w:rsid w:val="00A11D5A"/>
    <w:rsid w:val="00A11E64"/>
    <w:rsid w:val="00A11EA6"/>
    <w:rsid w:val="00A11ED5"/>
    <w:rsid w:val="00A11EE8"/>
    <w:rsid w:val="00A11F04"/>
    <w:rsid w:val="00A11F49"/>
    <w:rsid w:val="00A11FAC"/>
    <w:rsid w:val="00A11FFC"/>
    <w:rsid w:val="00A12017"/>
    <w:rsid w:val="00A1203B"/>
    <w:rsid w:val="00A1208A"/>
    <w:rsid w:val="00A120B9"/>
    <w:rsid w:val="00A120DC"/>
    <w:rsid w:val="00A12115"/>
    <w:rsid w:val="00A12158"/>
    <w:rsid w:val="00A12172"/>
    <w:rsid w:val="00A12175"/>
    <w:rsid w:val="00A121C5"/>
    <w:rsid w:val="00A12242"/>
    <w:rsid w:val="00A12250"/>
    <w:rsid w:val="00A122C9"/>
    <w:rsid w:val="00A122E6"/>
    <w:rsid w:val="00A12303"/>
    <w:rsid w:val="00A12308"/>
    <w:rsid w:val="00A12342"/>
    <w:rsid w:val="00A123DF"/>
    <w:rsid w:val="00A123EB"/>
    <w:rsid w:val="00A1242B"/>
    <w:rsid w:val="00A1248E"/>
    <w:rsid w:val="00A124B9"/>
    <w:rsid w:val="00A124FD"/>
    <w:rsid w:val="00A12539"/>
    <w:rsid w:val="00A12556"/>
    <w:rsid w:val="00A1256F"/>
    <w:rsid w:val="00A12583"/>
    <w:rsid w:val="00A125B2"/>
    <w:rsid w:val="00A125CA"/>
    <w:rsid w:val="00A125DC"/>
    <w:rsid w:val="00A12605"/>
    <w:rsid w:val="00A12648"/>
    <w:rsid w:val="00A1269D"/>
    <w:rsid w:val="00A12725"/>
    <w:rsid w:val="00A1273A"/>
    <w:rsid w:val="00A1276E"/>
    <w:rsid w:val="00A1276F"/>
    <w:rsid w:val="00A12784"/>
    <w:rsid w:val="00A12786"/>
    <w:rsid w:val="00A1279C"/>
    <w:rsid w:val="00A127B4"/>
    <w:rsid w:val="00A12800"/>
    <w:rsid w:val="00A12810"/>
    <w:rsid w:val="00A12861"/>
    <w:rsid w:val="00A12883"/>
    <w:rsid w:val="00A1289D"/>
    <w:rsid w:val="00A128A4"/>
    <w:rsid w:val="00A128DC"/>
    <w:rsid w:val="00A12941"/>
    <w:rsid w:val="00A12979"/>
    <w:rsid w:val="00A129BF"/>
    <w:rsid w:val="00A129D9"/>
    <w:rsid w:val="00A12A1B"/>
    <w:rsid w:val="00A12A39"/>
    <w:rsid w:val="00A12A4F"/>
    <w:rsid w:val="00A12A65"/>
    <w:rsid w:val="00A12A6A"/>
    <w:rsid w:val="00A12AE4"/>
    <w:rsid w:val="00A12BF8"/>
    <w:rsid w:val="00A12BF9"/>
    <w:rsid w:val="00A12C34"/>
    <w:rsid w:val="00A12C3A"/>
    <w:rsid w:val="00A12C7D"/>
    <w:rsid w:val="00A12C8C"/>
    <w:rsid w:val="00A12CB2"/>
    <w:rsid w:val="00A12D3E"/>
    <w:rsid w:val="00A12D46"/>
    <w:rsid w:val="00A12D89"/>
    <w:rsid w:val="00A12DAC"/>
    <w:rsid w:val="00A12E11"/>
    <w:rsid w:val="00A12E39"/>
    <w:rsid w:val="00A12E54"/>
    <w:rsid w:val="00A12EA4"/>
    <w:rsid w:val="00A12F03"/>
    <w:rsid w:val="00A12F47"/>
    <w:rsid w:val="00A12F5A"/>
    <w:rsid w:val="00A12FE9"/>
    <w:rsid w:val="00A13041"/>
    <w:rsid w:val="00A130BD"/>
    <w:rsid w:val="00A130E5"/>
    <w:rsid w:val="00A13145"/>
    <w:rsid w:val="00A1314E"/>
    <w:rsid w:val="00A13156"/>
    <w:rsid w:val="00A131C3"/>
    <w:rsid w:val="00A131DB"/>
    <w:rsid w:val="00A131DE"/>
    <w:rsid w:val="00A131F8"/>
    <w:rsid w:val="00A1320B"/>
    <w:rsid w:val="00A1323D"/>
    <w:rsid w:val="00A132DB"/>
    <w:rsid w:val="00A132E3"/>
    <w:rsid w:val="00A1339D"/>
    <w:rsid w:val="00A133A2"/>
    <w:rsid w:val="00A133EB"/>
    <w:rsid w:val="00A1342B"/>
    <w:rsid w:val="00A13468"/>
    <w:rsid w:val="00A1347F"/>
    <w:rsid w:val="00A13542"/>
    <w:rsid w:val="00A13635"/>
    <w:rsid w:val="00A1363F"/>
    <w:rsid w:val="00A13654"/>
    <w:rsid w:val="00A1366C"/>
    <w:rsid w:val="00A13673"/>
    <w:rsid w:val="00A136A3"/>
    <w:rsid w:val="00A13712"/>
    <w:rsid w:val="00A13751"/>
    <w:rsid w:val="00A1378C"/>
    <w:rsid w:val="00A137B8"/>
    <w:rsid w:val="00A137E8"/>
    <w:rsid w:val="00A13836"/>
    <w:rsid w:val="00A13872"/>
    <w:rsid w:val="00A138B1"/>
    <w:rsid w:val="00A13924"/>
    <w:rsid w:val="00A1392D"/>
    <w:rsid w:val="00A13980"/>
    <w:rsid w:val="00A139AE"/>
    <w:rsid w:val="00A139FE"/>
    <w:rsid w:val="00A13A22"/>
    <w:rsid w:val="00A13A4A"/>
    <w:rsid w:val="00A13A4B"/>
    <w:rsid w:val="00A13AAC"/>
    <w:rsid w:val="00A13AAF"/>
    <w:rsid w:val="00A13AED"/>
    <w:rsid w:val="00A13B38"/>
    <w:rsid w:val="00A13B39"/>
    <w:rsid w:val="00A13B3E"/>
    <w:rsid w:val="00A13B41"/>
    <w:rsid w:val="00A13B7E"/>
    <w:rsid w:val="00A13BF0"/>
    <w:rsid w:val="00A13BF6"/>
    <w:rsid w:val="00A13C6D"/>
    <w:rsid w:val="00A13C71"/>
    <w:rsid w:val="00A13CB6"/>
    <w:rsid w:val="00A13CD7"/>
    <w:rsid w:val="00A13CEC"/>
    <w:rsid w:val="00A13CFE"/>
    <w:rsid w:val="00A13D39"/>
    <w:rsid w:val="00A13D4C"/>
    <w:rsid w:val="00A13D9E"/>
    <w:rsid w:val="00A13E2A"/>
    <w:rsid w:val="00A13E8F"/>
    <w:rsid w:val="00A13E95"/>
    <w:rsid w:val="00A13E9C"/>
    <w:rsid w:val="00A13EA5"/>
    <w:rsid w:val="00A13F91"/>
    <w:rsid w:val="00A13F99"/>
    <w:rsid w:val="00A13FAA"/>
    <w:rsid w:val="00A13FAC"/>
    <w:rsid w:val="00A13FB7"/>
    <w:rsid w:val="00A13FEB"/>
    <w:rsid w:val="00A14003"/>
    <w:rsid w:val="00A14008"/>
    <w:rsid w:val="00A14065"/>
    <w:rsid w:val="00A1408A"/>
    <w:rsid w:val="00A140FA"/>
    <w:rsid w:val="00A1416F"/>
    <w:rsid w:val="00A1418B"/>
    <w:rsid w:val="00A141BD"/>
    <w:rsid w:val="00A141EA"/>
    <w:rsid w:val="00A141F9"/>
    <w:rsid w:val="00A1420D"/>
    <w:rsid w:val="00A1421F"/>
    <w:rsid w:val="00A1422E"/>
    <w:rsid w:val="00A14242"/>
    <w:rsid w:val="00A14283"/>
    <w:rsid w:val="00A142DF"/>
    <w:rsid w:val="00A14302"/>
    <w:rsid w:val="00A1430A"/>
    <w:rsid w:val="00A14315"/>
    <w:rsid w:val="00A14322"/>
    <w:rsid w:val="00A1434A"/>
    <w:rsid w:val="00A14370"/>
    <w:rsid w:val="00A143A8"/>
    <w:rsid w:val="00A143B6"/>
    <w:rsid w:val="00A143D9"/>
    <w:rsid w:val="00A14476"/>
    <w:rsid w:val="00A14483"/>
    <w:rsid w:val="00A1448D"/>
    <w:rsid w:val="00A144D4"/>
    <w:rsid w:val="00A14525"/>
    <w:rsid w:val="00A1454A"/>
    <w:rsid w:val="00A1456A"/>
    <w:rsid w:val="00A1457C"/>
    <w:rsid w:val="00A145AF"/>
    <w:rsid w:val="00A145D5"/>
    <w:rsid w:val="00A145F8"/>
    <w:rsid w:val="00A14690"/>
    <w:rsid w:val="00A146E7"/>
    <w:rsid w:val="00A1472A"/>
    <w:rsid w:val="00A1472B"/>
    <w:rsid w:val="00A14768"/>
    <w:rsid w:val="00A14782"/>
    <w:rsid w:val="00A147A0"/>
    <w:rsid w:val="00A147A8"/>
    <w:rsid w:val="00A147BC"/>
    <w:rsid w:val="00A147E1"/>
    <w:rsid w:val="00A147EF"/>
    <w:rsid w:val="00A14844"/>
    <w:rsid w:val="00A14853"/>
    <w:rsid w:val="00A14864"/>
    <w:rsid w:val="00A1488E"/>
    <w:rsid w:val="00A148DB"/>
    <w:rsid w:val="00A14A50"/>
    <w:rsid w:val="00A14A56"/>
    <w:rsid w:val="00A14A71"/>
    <w:rsid w:val="00A14A75"/>
    <w:rsid w:val="00A14A90"/>
    <w:rsid w:val="00A14A95"/>
    <w:rsid w:val="00A14AB0"/>
    <w:rsid w:val="00A14B00"/>
    <w:rsid w:val="00A14B40"/>
    <w:rsid w:val="00A14BA4"/>
    <w:rsid w:val="00A14BC5"/>
    <w:rsid w:val="00A14BC9"/>
    <w:rsid w:val="00A14C27"/>
    <w:rsid w:val="00A14C4B"/>
    <w:rsid w:val="00A14C60"/>
    <w:rsid w:val="00A14C6C"/>
    <w:rsid w:val="00A14CB9"/>
    <w:rsid w:val="00A14CD1"/>
    <w:rsid w:val="00A14CF9"/>
    <w:rsid w:val="00A14D3B"/>
    <w:rsid w:val="00A14D69"/>
    <w:rsid w:val="00A14D77"/>
    <w:rsid w:val="00A14D7A"/>
    <w:rsid w:val="00A14DEC"/>
    <w:rsid w:val="00A14E12"/>
    <w:rsid w:val="00A14E49"/>
    <w:rsid w:val="00A14E7D"/>
    <w:rsid w:val="00A14F1C"/>
    <w:rsid w:val="00A14F5D"/>
    <w:rsid w:val="00A14FC4"/>
    <w:rsid w:val="00A14FCA"/>
    <w:rsid w:val="00A15020"/>
    <w:rsid w:val="00A15036"/>
    <w:rsid w:val="00A1505F"/>
    <w:rsid w:val="00A15075"/>
    <w:rsid w:val="00A15086"/>
    <w:rsid w:val="00A150D1"/>
    <w:rsid w:val="00A1512E"/>
    <w:rsid w:val="00A15136"/>
    <w:rsid w:val="00A1513B"/>
    <w:rsid w:val="00A1513F"/>
    <w:rsid w:val="00A15141"/>
    <w:rsid w:val="00A15156"/>
    <w:rsid w:val="00A151D5"/>
    <w:rsid w:val="00A151FA"/>
    <w:rsid w:val="00A15229"/>
    <w:rsid w:val="00A15241"/>
    <w:rsid w:val="00A1526D"/>
    <w:rsid w:val="00A15275"/>
    <w:rsid w:val="00A1527C"/>
    <w:rsid w:val="00A152D2"/>
    <w:rsid w:val="00A15355"/>
    <w:rsid w:val="00A1535F"/>
    <w:rsid w:val="00A15382"/>
    <w:rsid w:val="00A153E3"/>
    <w:rsid w:val="00A1543F"/>
    <w:rsid w:val="00A154CB"/>
    <w:rsid w:val="00A1554B"/>
    <w:rsid w:val="00A155D8"/>
    <w:rsid w:val="00A155E9"/>
    <w:rsid w:val="00A155FA"/>
    <w:rsid w:val="00A155FB"/>
    <w:rsid w:val="00A15609"/>
    <w:rsid w:val="00A1566C"/>
    <w:rsid w:val="00A15682"/>
    <w:rsid w:val="00A15698"/>
    <w:rsid w:val="00A156B0"/>
    <w:rsid w:val="00A156DB"/>
    <w:rsid w:val="00A1570F"/>
    <w:rsid w:val="00A15711"/>
    <w:rsid w:val="00A15721"/>
    <w:rsid w:val="00A1575C"/>
    <w:rsid w:val="00A15777"/>
    <w:rsid w:val="00A1578B"/>
    <w:rsid w:val="00A15796"/>
    <w:rsid w:val="00A157D0"/>
    <w:rsid w:val="00A15802"/>
    <w:rsid w:val="00A15865"/>
    <w:rsid w:val="00A158B2"/>
    <w:rsid w:val="00A159A2"/>
    <w:rsid w:val="00A159E3"/>
    <w:rsid w:val="00A159F4"/>
    <w:rsid w:val="00A15A2D"/>
    <w:rsid w:val="00A15A4A"/>
    <w:rsid w:val="00A15A62"/>
    <w:rsid w:val="00A15AC2"/>
    <w:rsid w:val="00A15B1D"/>
    <w:rsid w:val="00A15B39"/>
    <w:rsid w:val="00A15B66"/>
    <w:rsid w:val="00A15B7D"/>
    <w:rsid w:val="00A15BA6"/>
    <w:rsid w:val="00A15C29"/>
    <w:rsid w:val="00A15C3B"/>
    <w:rsid w:val="00A15C4B"/>
    <w:rsid w:val="00A15CAA"/>
    <w:rsid w:val="00A15CB7"/>
    <w:rsid w:val="00A15CD2"/>
    <w:rsid w:val="00A15CE8"/>
    <w:rsid w:val="00A15D17"/>
    <w:rsid w:val="00A15D23"/>
    <w:rsid w:val="00A15D6F"/>
    <w:rsid w:val="00A15D98"/>
    <w:rsid w:val="00A15DD6"/>
    <w:rsid w:val="00A15DDD"/>
    <w:rsid w:val="00A15E74"/>
    <w:rsid w:val="00A15E86"/>
    <w:rsid w:val="00A15EDD"/>
    <w:rsid w:val="00A15F12"/>
    <w:rsid w:val="00A15F27"/>
    <w:rsid w:val="00A15F6E"/>
    <w:rsid w:val="00A15FA1"/>
    <w:rsid w:val="00A160A6"/>
    <w:rsid w:val="00A160D1"/>
    <w:rsid w:val="00A1610E"/>
    <w:rsid w:val="00A16128"/>
    <w:rsid w:val="00A16176"/>
    <w:rsid w:val="00A16179"/>
    <w:rsid w:val="00A1618E"/>
    <w:rsid w:val="00A161BD"/>
    <w:rsid w:val="00A161D6"/>
    <w:rsid w:val="00A161EC"/>
    <w:rsid w:val="00A1626D"/>
    <w:rsid w:val="00A162C1"/>
    <w:rsid w:val="00A162C8"/>
    <w:rsid w:val="00A162F8"/>
    <w:rsid w:val="00A162FC"/>
    <w:rsid w:val="00A1633B"/>
    <w:rsid w:val="00A16345"/>
    <w:rsid w:val="00A1640D"/>
    <w:rsid w:val="00A1647A"/>
    <w:rsid w:val="00A164DB"/>
    <w:rsid w:val="00A164FA"/>
    <w:rsid w:val="00A16509"/>
    <w:rsid w:val="00A16513"/>
    <w:rsid w:val="00A1651C"/>
    <w:rsid w:val="00A1652C"/>
    <w:rsid w:val="00A16549"/>
    <w:rsid w:val="00A1654C"/>
    <w:rsid w:val="00A16554"/>
    <w:rsid w:val="00A165C4"/>
    <w:rsid w:val="00A165E0"/>
    <w:rsid w:val="00A165EC"/>
    <w:rsid w:val="00A1660E"/>
    <w:rsid w:val="00A16617"/>
    <w:rsid w:val="00A1663C"/>
    <w:rsid w:val="00A16643"/>
    <w:rsid w:val="00A1667C"/>
    <w:rsid w:val="00A16727"/>
    <w:rsid w:val="00A16729"/>
    <w:rsid w:val="00A16753"/>
    <w:rsid w:val="00A167D1"/>
    <w:rsid w:val="00A1680E"/>
    <w:rsid w:val="00A16819"/>
    <w:rsid w:val="00A16879"/>
    <w:rsid w:val="00A16881"/>
    <w:rsid w:val="00A16893"/>
    <w:rsid w:val="00A168B6"/>
    <w:rsid w:val="00A16917"/>
    <w:rsid w:val="00A1694E"/>
    <w:rsid w:val="00A169A3"/>
    <w:rsid w:val="00A169B9"/>
    <w:rsid w:val="00A169D2"/>
    <w:rsid w:val="00A16A28"/>
    <w:rsid w:val="00A16A70"/>
    <w:rsid w:val="00A16A77"/>
    <w:rsid w:val="00A16AE4"/>
    <w:rsid w:val="00A16B28"/>
    <w:rsid w:val="00A16B49"/>
    <w:rsid w:val="00A16B96"/>
    <w:rsid w:val="00A16BB0"/>
    <w:rsid w:val="00A16BD4"/>
    <w:rsid w:val="00A16C4A"/>
    <w:rsid w:val="00A16C94"/>
    <w:rsid w:val="00A16C9F"/>
    <w:rsid w:val="00A16CC3"/>
    <w:rsid w:val="00A16CDF"/>
    <w:rsid w:val="00A16CF5"/>
    <w:rsid w:val="00A16D3D"/>
    <w:rsid w:val="00A16DDB"/>
    <w:rsid w:val="00A16DDD"/>
    <w:rsid w:val="00A16DF0"/>
    <w:rsid w:val="00A16DF7"/>
    <w:rsid w:val="00A16E01"/>
    <w:rsid w:val="00A16E11"/>
    <w:rsid w:val="00A16E34"/>
    <w:rsid w:val="00A16E50"/>
    <w:rsid w:val="00A16ECC"/>
    <w:rsid w:val="00A16F56"/>
    <w:rsid w:val="00A16F65"/>
    <w:rsid w:val="00A16F6E"/>
    <w:rsid w:val="00A16F9E"/>
    <w:rsid w:val="00A16FA0"/>
    <w:rsid w:val="00A16FA4"/>
    <w:rsid w:val="00A16FCB"/>
    <w:rsid w:val="00A1700A"/>
    <w:rsid w:val="00A17024"/>
    <w:rsid w:val="00A1703A"/>
    <w:rsid w:val="00A1706B"/>
    <w:rsid w:val="00A170B2"/>
    <w:rsid w:val="00A170E2"/>
    <w:rsid w:val="00A1720E"/>
    <w:rsid w:val="00A1728C"/>
    <w:rsid w:val="00A17293"/>
    <w:rsid w:val="00A17297"/>
    <w:rsid w:val="00A172AF"/>
    <w:rsid w:val="00A172BE"/>
    <w:rsid w:val="00A17300"/>
    <w:rsid w:val="00A17382"/>
    <w:rsid w:val="00A173A8"/>
    <w:rsid w:val="00A173B2"/>
    <w:rsid w:val="00A17403"/>
    <w:rsid w:val="00A17419"/>
    <w:rsid w:val="00A1742E"/>
    <w:rsid w:val="00A17437"/>
    <w:rsid w:val="00A1743D"/>
    <w:rsid w:val="00A17499"/>
    <w:rsid w:val="00A174CC"/>
    <w:rsid w:val="00A17540"/>
    <w:rsid w:val="00A17542"/>
    <w:rsid w:val="00A17556"/>
    <w:rsid w:val="00A175C9"/>
    <w:rsid w:val="00A17602"/>
    <w:rsid w:val="00A17608"/>
    <w:rsid w:val="00A17672"/>
    <w:rsid w:val="00A176C9"/>
    <w:rsid w:val="00A17708"/>
    <w:rsid w:val="00A1772D"/>
    <w:rsid w:val="00A17792"/>
    <w:rsid w:val="00A177A4"/>
    <w:rsid w:val="00A177B3"/>
    <w:rsid w:val="00A177D0"/>
    <w:rsid w:val="00A1785D"/>
    <w:rsid w:val="00A1788F"/>
    <w:rsid w:val="00A17895"/>
    <w:rsid w:val="00A178BB"/>
    <w:rsid w:val="00A178E7"/>
    <w:rsid w:val="00A17909"/>
    <w:rsid w:val="00A1794B"/>
    <w:rsid w:val="00A1798A"/>
    <w:rsid w:val="00A1799A"/>
    <w:rsid w:val="00A179D4"/>
    <w:rsid w:val="00A179F2"/>
    <w:rsid w:val="00A17A32"/>
    <w:rsid w:val="00A17A75"/>
    <w:rsid w:val="00A17A88"/>
    <w:rsid w:val="00A17B13"/>
    <w:rsid w:val="00A17B25"/>
    <w:rsid w:val="00A17B4D"/>
    <w:rsid w:val="00A17B6B"/>
    <w:rsid w:val="00A17B93"/>
    <w:rsid w:val="00A17BDB"/>
    <w:rsid w:val="00A17C33"/>
    <w:rsid w:val="00A17C9C"/>
    <w:rsid w:val="00A17CA6"/>
    <w:rsid w:val="00A17CA9"/>
    <w:rsid w:val="00A17CC8"/>
    <w:rsid w:val="00A17CFA"/>
    <w:rsid w:val="00A17D5C"/>
    <w:rsid w:val="00A17DA5"/>
    <w:rsid w:val="00A17DBD"/>
    <w:rsid w:val="00A17DC0"/>
    <w:rsid w:val="00A17E25"/>
    <w:rsid w:val="00A17E29"/>
    <w:rsid w:val="00A17E3C"/>
    <w:rsid w:val="00A17E61"/>
    <w:rsid w:val="00A17E86"/>
    <w:rsid w:val="00A17ED4"/>
    <w:rsid w:val="00A17EEF"/>
    <w:rsid w:val="00A17F2F"/>
    <w:rsid w:val="00A17F4C"/>
    <w:rsid w:val="00A17FAF"/>
    <w:rsid w:val="00A17FD1"/>
    <w:rsid w:val="00A17FD2"/>
    <w:rsid w:val="00A17FEB"/>
    <w:rsid w:val="00A20002"/>
    <w:rsid w:val="00A20068"/>
    <w:rsid w:val="00A200C6"/>
    <w:rsid w:val="00A200D6"/>
    <w:rsid w:val="00A20108"/>
    <w:rsid w:val="00A2017F"/>
    <w:rsid w:val="00A201DD"/>
    <w:rsid w:val="00A201F0"/>
    <w:rsid w:val="00A20233"/>
    <w:rsid w:val="00A2023D"/>
    <w:rsid w:val="00A20278"/>
    <w:rsid w:val="00A202BB"/>
    <w:rsid w:val="00A202C9"/>
    <w:rsid w:val="00A202E0"/>
    <w:rsid w:val="00A202EC"/>
    <w:rsid w:val="00A2033E"/>
    <w:rsid w:val="00A20378"/>
    <w:rsid w:val="00A20387"/>
    <w:rsid w:val="00A203C7"/>
    <w:rsid w:val="00A203EA"/>
    <w:rsid w:val="00A203F2"/>
    <w:rsid w:val="00A203F4"/>
    <w:rsid w:val="00A2040B"/>
    <w:rsid w:val="00A2049A"/>
    <w:rsid w:val="00A204A4"/>
    <w:rsid w:val="00A204BB"/>
    <w:rsid w:val="00A204C2"/>
    <w:rsid w:val="00A204CC"/>
    <w:rsid w:val="00A204D3"/>
    <w:rsid w:val="00A20570"/>
    <w:rsid w:val="00A20572"/>
    <w:rsid w:val="00A20631"/>
    <w:rsid w:val="00A20685"/>
    <w:rsid w:val="00A20699"/>
    <w:rsid w:val="00A206D5"/>
    <w:rsid w:val="00A206F0"/>
    <w:rsid w:val="00A20702"/>
    <w:rsid w:val="00A2074B"/>
    <w:rsid w:val="00A20841"/>
    <w:rsid w:val="00A20850"/>
    <w:rsid w:val="00A20857"/>
    <w:rsid w:val="00A208A5"/>
    <w:rsid w:val="00A2094B"/>
    <w:rsid w:val="00A2094C"/>
    <w:rsid w:val="00A209C3"/>
    <w:rsid w:val="00A209D2"/>
    <w:rsid w:val="00A20A1B"/>
    <w:rsid w:val="00A20A91"/>
    <w:rsid w:val="00A20AAB"/>
    <w:rsid w:val="00A20AEE"/>
    <w:rsid w:val="00A20B68"/>
    <w:rsid w:val="00A20BE0"/>
    <w:rsid w:val="00A20BFA"/>
    <w:rsid w:val="00A20C0A"/>
    <w:rsid w:val="00A20C30"/>
    <w:rsid w:val="00A20C99"/>
    <w:rsid w:val="00A20D09"/>
    <w:rsid w:val="00A20D94"/>
    <w:rsid w:val="00A20DC8"/>
    <w:rsid w:val="00A20DD4"/>
    <w:rsid w:val="00A20E13"/>
    <w:rsid w:val="00A20E18"/>
    <w:rsid w:val="00A20E49"/>
    <w:rsid w:val="00A20EBD"/>
    <w:rsid w:val="00A20ECD"/>
    <w:rsid w:val="00A20EEE"/>
    <w:rsid w:val="00A20F3F"/>
    <w:rsid w:val="00A20FB6"/>
    <w:rsid w:val="00A20FE1"/>
    <w:rsid w:val="00A21026"/>
    <w:rsid w:val="00A21047"/>
    <w:rsid w:val="00A210D9"/>
    <w:rsid w:val="00A2112C"/>
    <w:rsid w:val="00A211F1"/>
    <w:rsid w:val="00A2120F"/>
    <w:rsid w:val="00A2123A"/>
    <w:rsid w:val="00A21243"/>
    <w:rsid w:val="00A21284"/>
    <w:rsid w:val="00A2130F"/>
    <w:rsid w:val="00A21338"/>
    <w:rsid w:val="00A21378"/>
    <w:rsid w:val="00A213C6"/>
    <w:rsid w:val="00A213D3"/>
    <w:rsid w:val="00A21475"/>
    <w:rsid w:val="00A21498"/>
    <w:rsid w:val="00A21532"/>
    <w:rsid w:val="00A21533"/>
    <w:rsid w:val="00A21548"/>
    <w:rsid w:val="00A21571"/>
    <w:rsid w:val="00A21652"/>
    <w:rsid w:val="00A21657"/>
    <w:rsid w:val="00A21696"/>
    <w:rsid w:val="00A216CF"/>
    <w:rsid w:val="00A21724"/>
    <w:rsid w:val="00A2172D"/>
    <w:rsid w:val="00A21773"/>
    <w:rsid w:val="00A2178A"/>
    <w:rsid w:val="00A2178B"/>
    <w:rsid w:val="00A217EB"/>
    <w:rsid w:val="00A217F6"/>
    <w:rsid w:val="00A21816"/>
    <w:rsid w:val="00A2181A"/>
    <w:rsid w:val="00A21826"/>
    <w:rsid w:val="00A21847"/>
    <w:rsid w:val="00A218E2"/>
    <w:rsid w:val="00A218F5"/>
    <w:rsid w:val="00A219A4"/>
    <w:rsid w:val="00A219C0"/>
    <w:rsid w:val="00A219D1"/>
    <w:rsid w:val="00A219E1"/>
    <w:rsid w:val="00A21A24"/>
    <w:rsid w:val="00A21A72"/>
    <w:rsid w:val="00A21A87"/>
    <w:rsid w:val="00A21B04"/>
    <w:rsid w:val="00A21B83"/>
    <w:rsid w:val="00A21BC6"/>
    <w:rsid w:val="00A21BCC"/>
    <w:rsid w:val="00A21BE5"/>
    <w:rsid w:val="00A21C90"/>
    <w:rsid w:val="00A21CAB"/>
    <w:rsid w:val="00A21CBD"/>
    <w:rsid w:val="00A21CCE"/>
    <w:rsid w:val="00A21CD8"/>
    <w:rsid w:val="00A21CDA"/>
    <w:rsid w:val="00A21D0C"/>
    <w:rsid w:val="00A21D3F"/>
    <w:rsid w:val="00A21D54"/>
    <w:rsid w:val="00A21D56"/>
    <w:rsid w:val="00A21DB1"/>
    <w:rsid w:val="00A21DEC"/>
    <w:rsid w:val="00A21E4D"/>
    <w:rsid w:val="00A21EE1"/>
    <w:rsid w:val="00A21EE5"/>
    <w:rsid w:val="00A21F46"/>
    <w:rsid w:val="00A21F65"/>
    <w:rsid w:val="00A21F89"/>
    <w:rsid w:val="00A21FA3"/>
    <w:rsid w:val="00A22000"/>
    <w:rsid w:val="00A22031"/>
    <w:rsid w:val="00A22040"/>
    <w:rsid w:val="00A220C7"/>
    <w:rsid w:val="00A22104"/>
    <w:rsid w:val="00A22151"/>
    <w:rsid w:val="00A22167"/>
    <w:rsid w:val="00A221A5"/>
    <w:rsid w:val="00A2220C"/>
    <w:rsid w:val="00A22214"/>
    <w:rsid w:val="00A22319"/>
    <w:rsid w:val="00A2235E"/>
    <w:rsid w:val="00A2238E"/>
    <w:rsid w:val="00A22393"/>
    <w:rsid w:val="00A223DA"/>
    <w:rsid w:val="00A223EF"/>
    <w:rsid w:val="00A224A9"/>
    <w:rsid w:val="00A224B2"/>
    <w:rsid w:val="00A22526"/>
    <w:rsid w:val="00A22534"/>
    <w:rsid w:val="00A2253D"/>
    <w:rsid w:val="00A2255F"/>
    <w:rsid w:val="00A2256F"/>
    <w:rsid w:val="00A225B3"/>
    <w:rsid w:val="00A225E4"/>
    <w:rsid w:val="00A22608"/>
    <w:rsid w:val="00A22611"/>
    <w:rsid w:val="00A22643"/>
    <w:rsid w:val="00A22647"/>
    <w:rsid w:val="00A22746"/>
    <w:rsid w:val="00A22757"/>
    <w:rsid w:val="00A22799"/>
    <w:rsid w:val="00A227C2"/>
    <w:rsid w:val="00A22838"/>
    <w:rsid w:val="00A22876"/>
    <w:rsid w:val="00A22889"/>
    <w:rsid w:val="00A228AA"/>
    <w:rsid w:val="00A228B9"/>
    <w:rsid w:val="00A22921"/>
    <w:rsid w:val="00A2292C"/>
    <w:rsid w:val="00A22939"/>
    <w:rsid w:val="00A2298B"/>
    <w:rsid w:val="00A229AF"/>
    <w:rsid w:val="00A229B2"/>
    <w:rsid w:val="00A229E1"/>
    <w:rsid w:val="00A22A43"/>
    <w:rsid w:val="00A22A5E"/>
    <w:rsid w:val="00A22AD1"/>
    <w:rsid w:val="00A22AF5"/>
    <w:rsid w:val="00A22B3B"/>
    <w:rsid w:val="00A22B45"/>
    <w:rsid w:val="00A22B9F"/>
    <w:rsid w:val="00A22BCF"/>
    <w:rsid w:val="00A22BDD"/>
    <w:rsid w:val="00A22C91"/>
    <w:rsid w:val="00A22CC4"/>
    <w:rsid w:val="00A22CD0"/>
    <w:rsid w:val="00A22CD9"/>
    <w:rsid w:val="00A22DD4"/>
    <w:rsid w:val="00A22DD8"/>
    <w:rsid w:val="00A22E4F"/>
    <w:rsid w:val="00A22E5D"/>
    <w:rsid w:val="00A22E65"/>
    <w:rsid w:val="00A22E83"/>
    <w:rsid w:val="00A22E9E"/>
    <w:rsid w:val="00A22EA6"/>
    <w:rsid w:val="00A22EF2"/>
    <w:rsid w:val="00A22EF5"/>
    <w:rsid w:val="00A22F56"/>
    <w:rsid w:val="00A22F5A"/>
    <w:rsid w:val="00A22FB0"/>
    <w:rsid w:val="00A22FBE"/>
    <w:rsid w:val="00A22FC9"/>
    <w:rsid w:val="00A22FF6"/>
    <w:rsid w:val="00A23014"/>
    <w:rsid w:val="00A23020"/>
    <w:rsid w:val="00A23083"/>
    <w:rsid w:val="00A23098"/>
    <w:rsid w:val="00A231BD"/>
    <w:rsid w:val="00A231D0"/>
    <w:rsid w:val="00A231D3"/>
    <w:rsid w:val="00A231DA"/>
    <w:rsid w:val="00A231ED"/>
    <w:rsid w:val="00A23233"/>
    <w:rsid w:val="00A23294"/>
    <w:rsid w:val="00A232C5"/>
    <w:rsid w:val="00A232E9"/>
    <w:rsid w:val="00A23360"/>
    <w:rsid w:val="00A23372"/>
    <w:rsid w:val="00A23393"/>
    <w:rsid w:val="00A23441"/>
    <w:rsid w:val="00A23463"/>
    <w:rsid w:val="00A23475"/>
    <w:rsid w:val="00A234CF"/>
    <w:rsid w:val="00A234E2"/>
    <w:rsid w:val="00A23507"/>
    <w:rsid w:val="00A2351C"/>
    <w:rsid w:val="00A23530"/>
    <w:rsid w:val="00A2353E"/>
    <w:rsid w:val="00A2359E"/>
    <w:rsid w:val="00A235D2"/>
    <w:rsid w:val="00A2363E"/>
    <w:rsid w:val="00A2366C"/>
    <w:rsid w:val="00A23695"/>
    <w:rsid w:val="00A236DB"/>
    <w:rsid w:val="00A236DC"/>
    <w:rsid w:val="00A236ED"/>
    <w:rsid w:val="00A2370B"/>
    <w:rsid w:val="00A23730"/>
    <w:rsid w:val="00A23750"/>
    <w:rsid w:val="00A23765"/>
    <w:rsid w:val="00A23777"/>
    <w:rsid w:val="00A23786"/>
    <w:rsid w:val="00A237D4"/>
    <w:rsid w:val="00A237F0"/>
    <w:rsid w:val="00A23815"/>
    <w:rsid w:val="00A2381F"/>
    <w:rsid w:val="00A23888"/>
    <w:rsid w:val="00A23894"/>
    <w:rsid w:val="00A238C2"/>
    <w:rsid w:val="00A238FF"/>
    <w:rsid w:val="00A2392A"/>
    <w:rsid w:val="00A23994"/>
    <w:rsid w:val="00A239E3"/>
    <w:rsid w:val="00A23A79"/>
    <w:rsid w:val="00A23A9B"/>
    <w:rsid w:val="00A23AA1"/>
    <w:rsid w:val="00A23AA7"/>
    <w:rsid w:val="00A23AC4"/>
    <w:rsid w:val="00A23AD7"/>
    <w:rsid w:val="00A23AFC"/>
    <w:rsid w:val="00A23B02"/>
    <w:rsid w:val="00A23B03"/>
    <w:rsid w:val="00A23B91"/>
    <w:rsid w:val="00A23BE9"/>
    <w:rsid w:val="00A23C0E"/>
    <w:rsid w:val="00A23C43"/>
    <w:rsid w:val="00A23C51"/>
    <w:rsid w:val="00A23C5C"/>
    <w:rsid w:val="00A23C5E"/>
    <w:rsid w:val="00A23C60"/>
    <w:rsid w:val="00A23C7D"/>
    <w:rsid w:val="00A23C88"/>
    <w:rsid w:val="00A23CB5"/>
    <w:rsid w:val="00A23D26"/>
    <w:rsid w:val="00A23D5C"/>
    <w:rsid w:val="00A23D60"/>
    <w:rsid w:val="00A23E11"/>
    <w:rsid w:val="00A23F8D"/>
    <w:rsid w:val="00A23FA5"/>
    <w:rsid w:val="00A23FAD"/>
    <w:rsid w:val="00A23FB8"/>
    <w:rsid w:val="00A23FC5"/>
    <w:rsid w:val="00A24031"/>
    <w:rsid w:val="00A2404B"/>
    <w:rsid w:val="00A24082"/>
    <w:rsid w:val="00A24087"/>
    <w:rsid w:val="00A2409A"/>
    <w:rsid w:val="00A240AF"/>
    <w:rsid w:val="00A240E5"/>
    <w:rsid w:val="00A2411B"/>
    <w:rsid w:val="00A24176"/>
    <w:rsid w:val="00A24177"/>
    <w:rsid w:val="00A24182"/>
    <w:rsid w:val="00A241BD"/>
    <w:rsid w:val="00A241CD"/>
    <w:rsid w:val="00A2420B"/>
    <w:rsid w:val="00A2421D"/>
    <w:rsid w:val="00A2426E"/>
    <w:rsid w:val="00A242AB"/>
    <w:rsid w:val="00A242DF"/>
    <w:rsid w:val="00A24310"/>
    <w:rsid w:val="00A24344"/>
    <w:rsid w:val="00A24350"/>
    <w:rsid w:val="00A24362"/>
    <w:rsid w:val="00A24383"/>
    <w:rsid w:val="00A243D8"/>
    <w:rsid w:val="00A244AD"/>
    <w:rsid w:val="00A244ED"/>
    <w:rsid w:val="00A244FF"/>
    <w:rsid w:val="00A24534"/>
    <w:rsid w:val="00A24541"/>
    <w:rsid w:val="00A24564"/>
    <w:rsid w:val="00A2458E"/>
    <w:rsid w:val="00A245A9"/>
    <w:rsid w:val="00A245AC"/>
    <w:rsid w:val="00A2461D"/>
    <w:rsid w:val="00A246CE"/>
    <w:rsid w:val="00A24724"/>
    <w:rsid w:val="00A24787"/>
    <w:rsid w:val="00A2478F"/>
    <w:rsid w:val="00A247B5"/>
    <w:rsid w:val="00A247C0"/>
    <w:rsid w:val="00A247F3"/>
    <w:rsid w:val="00A247FE"/>
    <w:rsid w:val="00A24858"/>
    <w:rsid w:val="00A24869"/>
    <w:rsid w:val="00A24889"/>
    <w:rsid w:val="00A248A7"/>
    <w:rsid w:val="00A24900"/>
    <w:rsid w:val="00A24932"/>
    <w:rsid w:val="00A24949"/>
    <w:rsid w:val="00A24995"/>
    <w:rsid w:val="00A249A6"/>
    <w:rsid w:val="00A249C8"/>
    <w:rsid w:val="00A249F7"/>
    <w:rsid w:val="00A24A61"/>
    <w:rsid w:val="00A24A88"/>
    <w:rsid w:val="00A24A92"/>
    <w:rsid w:val="00A24AD5"/>
    <w:rsid w:val="00A24AFA"/>
    <w:rsid w:val="00A24B01"/>
    <w:rsid w:val="00A24B34"/>
    <w:rsid w:val="00A24B47"/>
    <w:rsid w:val="00A24B5A"/>
    <w:rsid w:val="00A24B69"/>
    <w:rsid w:val="00A24B8E"/>
    <w:rsid w:val="00A24BBD"/>
    <w:rsid w:val="00A24C71"/>
    <w:rsid w:val="00A24CA7"/>
    <w:rsid w:val="00A24CD2"/>
    <w:rsid w:val="00A24D52"/>
    <w:rsid w:val="00A24D6A"/>
    <w:rsid w:val="00A24D88"/>
    <w:rsid w:val="00A24D96"/>
    <w:rsid w:val="00A24DA8"/>
    <w:rsid w:val="00A24DD9"/>
    <w:rsid w:val="00A24E17"/>
    <w:rsid w:val="00A24E34"/>
    <w:rsid w:val="00A24E6A"/>
    <w:rsid w:val="00A24EC1"/>
    <w:rsid w:val="00A24EC8"/>
    <w:rsid w:val="00A24ECF"/>
    <w:rsid w:val="00A24EE0"/>
    <w:rsid w:val="00A24F5A"/>
    <w:rsid w:val="00A24F82"/>
    <w:rsid w:val="00A24F8B"/>
    <w:rsid w:val="00A24F8F"/>
    <w:rsid w:val="00A24F9B"/>
    <w:rsid w:val="00A24FC3"/>
    <w:rsid w:val="00A25024"/>
    <w:rsid w:val="00A2503F"/>
    <w:rsid w:val="00A25047"/>
    <w:rsid w:val="00A25074"/>
    <w:rsid w:val="00A250A0"/>
    <w:rsid w:val="00A250DB"/>
    <w:rsid w:val="00A250F8"/>
    <w:rsid w:val="00A25106"/>
    <w:rsid w:val="00A2514F"/>
    <w:rsid w:val="00A2518C"/>
    <w:rsid w:val="00A25195"/>
    <w:rsid w:val="00A2523E"/>
    <w:rsid w:val="00A25256"/>
    <w:rsid w:val="00A2526F"/>
    <w:rsid w:val="00A252E1"/>
    <w:rsid w:val="00A25331"/>
    <w:rsid w:val="00A25369"/>
    <w:rsid w:val="00A25386"/>
    <w:rsid w:val="00A253AA"/>
    <w:rsid w:val="00A253C9"/>
    <w:rsid w:val="00A253FB"/>
    <w:rsid w:val="00A254B2"/>
    <w:rsid w:val="00A254D0"/>
    <w:rsid w:val="00A254F9"/>
    <w:rsid w:val="00A25508"/>
    <w:rsid w:val="00A25596"/>
    <w:rsid w:val="00A255D5"/>
    <w:rsid w:val="00A255DA"/>
    <w:rsid w:val="00A25610"/>
    <w:rsid w:val="00A25644"/>
    <w:rsid w:val="00A25660"/>
    <w:rsid w:val="00A25683"/>
    <w:rsid w:val="00A256E2"/>
    <w:rsid w:val="00A256F4"/>
    <w:rsid w:val="00A25782"/>
    <w:rsid w:val="00A25785"/>
    <w:rsid w:val="00A2579D"/>
    <w:rsid w:val="00A257C5"/>
    <w:rsid w:val="00A257DC"/>
    <w:rsid w:val="00A25840"/>
    <w:rsid w:val="00A2585A"/>
    <w:rsid w:val="00A2585E"/>
    <w:rsid w:val="00A25861"/>
    <w:rsid w:val="00A25886"/>
    <w:rsid w:val="00A258D8"/>
    <w:rsid w:val="00A25962"/>
    <w:rsid w:val="00A25970"/>
    <w:rsid w:val="00A259C3"/>
    <w:rsid w:val="00A259FF"/>
    <w:rsid w:val="00A25A47"/>
    <w:rsid w:val="00A25A5F"/>
    <w:rsid w:val="00A25A82"/>
    <w:rsid w:val="00A25AD0"/>
    <w:rsid w:val="00A25AD6"/>
    <w:rsid w:val="00A25B1D"/>
    <w:rsid w:val="00A25B50"/>
    <w:rsid w:val="00A25B95"/>
    <w:rsid w:val="00A25BAE"/>
    <w:rsid w:val="00A25BD1"/>
    <w:rsid w:val="00A25BFD"/>
    <w:rsid w:val="00A25C6C"/>
    <w:rsid w:val="00A25C98"/>
    <w:rsid w:val="00A25D42"/>
    <w:rsid w:val="00A25D50"/>
    <w:rsid w:val="00A25D52"/>
    <w:rsid w:val="00A25E4C"/>
    <w:rsid w:val="00A25E56"/>
    <w:rsid w:val="00A25E62"/>
    <w:rsid w:val="00A25ED4"/>
    <w:rsid w:val="00A25F25"/>
    <w:rsid w:val="00A25F2D"/>
    <w:rsid w:val="00A25F2E"/>
    <w:rsid w:val="00A25F58"/>
    <w:rsid w:val="00A25F7B"/>
    <w:rsid w:val="00A25FD0"/>
    <w:rsid w:val="00A25FD3"/>
    <w:rsid w:val="00A25FF8"/>
    <w:rsid w:val="00A2606F"/>
    <w:rsid w:val="00A2608D"/>
    <w:rsid w:val="00A26090"/>
    <w:rsid w:val="00A260A7"/>
    <w:rsid w:val="00A260B9"/>
    <w:rsid w:val="00A2612A"/>
    <w:rsid w:val="00A26186"/>
    <w:rsid w:val="00A26197"/>
    <w:rsid w:val="00A261DE"/>
    <w:rsid w:val="00A261F2"/>
    <w:rsid w:val="00A261FA"/>
    <w:rsid w:val="00A26239"/>
    <w:rsid w:val="00A2627D"/>
    <w:rsid w:val="00A26281"/>
    <w:rsid w:val="00A262AA"/>
    <w:rsid w:val="00A262AB"/>
    <w:rsid w:val="00A262C5"/>
    <w:rsid w:val="00A262C8"/>
    <w:rsid w:val="00A262E4"/>
    <w:rsid w:val="00A2630C"/>
    <w:rsid w:val="00A2631C"/>
    <w:rsid w:val="00A26367"/>
    <w:rsid w:val="00A2639A"/>
    <w:rsid w:val="00A263A1"/>
    <w:rsid w:val="00A263B8"/>
    <w:rsid w:val="00A263C1"/>
    <w:rsid w:val="00A2642E"/>
    <w:rsid w:val="00A26443"/>
    <w:rsid w:val="00A2644B"/>
    <w:rsid w:val="00A26497"/>
    <w:rsid w:val="00A26553"/>
    <w:rsid w:val="00A26588"/>
    <w:rsid w:val="00A265E3"/>
    <w:rsid w:val="00A265EF"/>
    <w:rsid w:val="00A265F4"/>
    <w:rsid w:val="00A26607"/>
    <w:rsid w:val="00A26622"/>
    <w:rsid w:val="00A266D1"/>
    <w:rsid w:val="00A266E3"/>
    <w:rsid w:val="00A266E9"/>
    <w:rsid w:val="00A266EF"/>
    <w:rsid w:val="00A26780"/>
    <w:rsid w:val="00A26792"/>
    <w:rsid w:val="00A26795"/>
    <w:rsid w:val="00A267CA"/>
    <w:rsid w:val="00A26850"/>
    <w:rsid w:val="00A2688E"/>
    <w:rsid w:val="00A2690C"/>
    <w:rsid w:val="00A26965"/>
    <w:rsid w:val="00A269A9"/>
    <w:rsid w:val="00A269D4"/>
    <w:rsid w:val="00A26A2B"/>
    <w:rsid w:val="00A26A73"/>
    <w:rsid w:val="00A26A80"/>
    <w:rsid w:val="00A26AE8"/>
    <w:rsid w:val="00A26AEC"/>
    <w:rsid w:val="00A26B04"/>
    <w:rsid w:val="00A26B21"/>
    <w:rsid w:val="00A26B46"/>
    <w:rsid w:val="00A26B5C"/>
    <w:rsid w:val="00A26BE0"/>
    <w:rsid w:val="00A26BE1"/>
    <w:rsid w:val="00A26BF6"/>
    <w:rsid w:val="00A26CEB"/>
    <w:rsid w:val="00A26D38"/>
    <w:rsid w:val="00A26D4C"/>
    <w:rsid w:val="00A26D79"/>
    <w:rsid w:val="00A26DCE"/>
    <w:rsid w:val="00A26E00"/>
    <w:rsid w:val="00A26E60"/>
    <w:rsid w:val="00A26E85"/>
    <w:rsid w:val="00A26EA5"/>
    <w:rsid w:val="00A26EEC"/>
    <w:rsid w:val="00A26F3D"/>
    <w:rsid w:val="00A26F41"/>
    <w:rsid w:val="00A26F88"/>
    <w:rsid w:val="00A26F9B"/>
    <w:rsid w:val="00A26FDB"/>
    <w:rsid w:val="00A26FDD"/>
    <w:rsid w:val="00A27004"/>
    <w:rsid w:val="00A27015"/>
    <w:rsid w:val="00A27052"/>
    <w:rsid w:val="00A27065"/>
    <w:rsid w:val="00A270C2"/>
    <w:rsid w:val="00A270D5"/>
    <w:rsid w:val="00A270E9"/>
    <w:rsid w:val="00A27139"/>
    <w:rsid w:val="00A2716D"/>
    <w:rsid w:val="00A27184"/>
    <w:rsid w:val="00A2719D"/>
    <w:rsid w:val="00A271A6"/>
    <w:rsid w:val="00A271F0"/>
    <w:rsid w:val="00A271F2"/>
    <w:rsid w:val="00A27228"/>
    <w:rsid w:val="00A2723E"/>
    <w:rsid w:val="00A2725F"/>
    <w:rsid w:val="00A2730D"/>
    <w:rsid w:val="00A27319"/>
    <w:rsid w:val="00A2731D"/>
    <w:rsid w:val="00A27341"/>
    <w:rsid w:val="00A273A4"/>
    <w:rsid w:val="00A273BD"/>
    <w:rsid w:val="00A2740C"/>
    <w:rsid w:val="00A27443"/>
    <w:rsid w:val="00A27472"/>
    <w:rsid w:val="00A2747A"/>
    <w:rsid w:val="00A274A9"/>
    <w:rsid w:val="00A274BA"/>
    <w:rsid w:val="00A274EB"/>
    <w:rsid w:val="00A274F6"/>
    <w:rsid w:val="00A27503"/>
    <w:rsid w:val="00A2751E"/>
    <w:rsid w:val="00A27580"/>
    <w:rsid w:val="00A27595"/>
    <w:rsid w:val="00A27597"/>
    <w:rsid w:val="00A275A3"/>
    <w:rsid w:val="00A275BB"/>
    <w:rsid w:val="00A275C7"/>
    <w:rsid w:val="00A27612"/>
    <w:rsid w:val="00A27656"/>
    <w:rsid w:val="00A27673"/>
    <w:rsid w:val="00A2768A"/>
    <w:rsid w:val="00A276CE"/>
    <w:rsid w:val="00A276E8"/>
    <w:rsid w:val="00A2772F"/>
    <w:rsid w:val="00A2773D"/>
    <w:rsid w:val="00A2774C"/>
    <w:rsid w:val="00A27780"/>
    <w:rsid w:val="00A27782"/>
    <w:rsid w:val="00A277EC"/>
    <w:rsid w:val="00A27807"/>
    <w:rsid w:val="00A27894"/>
    <w:rsid w:val="00A278D8"/>
    <w:rsid w:val="00A278D9"/>
    <w:rsid w:val="00A2793D"/>
    <w:rsid w:val="00A27A2C"/>
    <w:rsid w:val="00A27AD9"/>
    <w:rsid w:val="00A27BA4"/>
    <w:rsid w:val="00A27BBD"/>
    <w:rsid w:val="00A27C3B"/>
    <w:rsid w:val="00A27C64"/>
    <w:rsid w:val="00A27C68"/>
    <w:rsid w:val="00A27CA5"/>
    <w:rsid w:val="00A27CCD"/>
    <w:rsid w:val="00A27CE4"/>
    <w:rsid w:val="00A27CEA"/>
    <w:rsid w:val="00A27D26"/>
    <w:rsid w:val="00A27D31"/>
    <w:rsid w:val="00A27D40"/>
    <w:rsid w:val="00A27D54"/>
    <w:rsid w:val="00A27D8C"/>
    <w:rsid w:val="00A27DBF"/>
    <w:rsid w:val="00A27DC1"/>
    <w:rsid w:val="00A27DEE"/>
    <w:rsid w:val="00A27E1A"/>
    <w:rsid w:val="00A27E34"/>
    <w:rsid w:val="00A27EC2"/>
    <w:rsid w:val="00A27EE3"/>
    <w:rsid w:val="00A27F94"/>
    <w:rsid w:val="00A3001C"/>
    <w:rsid w:val="00A30024"/>
    <w:rsid w:val="00A30032"/>
    <w:rsid w:val="00A3004F"/>
    <w:rsid w:val="00A30067"/>
    <w:rsid w:val="00A30070"/>
    <w:rsid w:val="00A3013C"/>
    <w:rsid w:val="00A3016B"/>
    <w:rsid w:val="00A301E1"/>
    <w:rsid w:val="00A3029B"/>
    <w:rsid w:val="00A302F5"/>
    <w:rsid w:val="00A30303"/>
    <w:rsid w:val="00A30313"/>
    <w:rsid w:val="00A303D2"/>
    <w:rsid w:val="00A30422"/>
    <w:rsid w:val="00A3048E"/>
    <w:rsid w:val="00A304D0"/>
    <w:rsid w:val="00A30503"/>
    <w:rsid w:val="00A30563"/>
    <w:rsid w:val="00A30569"/>
    <w:rsid w:val="00A305CC"/>
    <w:rsid w:val="00A305D6"/>
    <w:rsid w:val="00A305E0"/>
    <w:rsid w:val="00A30610"/>
    <w:rsid w:val="00A30665"/>
    <w:rsid w:val="00A3069B"/>
    <w:rsid w:val="00A306E5"/>
    <w:rsid w:val="00A306ED"/>
    <w:rsid w:val="00A306FB"/>
    <w:rsid w:val="00A30702"/>
    <w:rsid w:val="00A30711"/>
    <w:rsid w:val="00A3076F"/>
    <w:rsid w:val="00A30798"/>
    <w:rsid w:val="00A307A1"/>
    <w:rsid w:val="00A307C2"/>
    <w:rsid w:val="00A3086B"/>
    <w:rsid w:val="00A30885"/>
    <w:rsid w:val="00A308AF"/>
    <w:rsid w:val="00A308B3"/>
    <w:rsid w:val="00A30951"/>
    <w:rsid w:val="00A309E8"/>
    <w:rsid w:val="00A30A54"/>
    <w:rsid w:val="00A30A6A"/>
    <w:rsid w:val="00A30A7A"/>
    <w:rsid w:val="00A30A7E"/>
    <w:rsid w:val="00A30B29"/>
    <w:rsid w:val="00A30B4A"/>
    <w:rsid w:val="00A30BEA"/>
    <w:rsid w:val="00A30BEE"/>
    <w:rsid w:val="00A30C21"/>
    <w:rsid w:val="00A30C69"/>
    <w:rsid w:val="00A30CE6"/>
    <w:rsid w:val="00A30D0F"/>
    <w:rsid w:val="00A30D5F"/>
    <w:rsid w:val="00A30DDB"/>
    <w:rsid w:val="00A30E33"/>
    <w:rsid w:val="00A30E61"/>
    <w:rsid w:val="00A30EB4"/>
    <w:rsid w:val="00A30F00"/>
    <w:rsid w:val="00A30F09"/>
    <w:rsid w:val="00A30F5C"/>
    <w:rsid w:val="00A30F5D"/>
    <w:rsid w:val="00A30F98"/>
    <w:rsid w:val="00A30FFC"/>
    <w:rsid w:val="00A31066"/>
    <w:rsid w:val="00A3106C"/>
    <w:rsid w:val="00A310A7"/>
    <w:rsid w:val="00A310B5"/>
    <w:rsid w:val="00A310BA"/>
    <w:rsid w:val="00A310CC"/>
    <w:rsid w:val="00A31108"/>
    <w:rsid w:val="00A3117F"/>
    <w:rsid w:val="00A31210"/>
    <w:rsid w:val="00A3122C"/>
    <w:rsid w:val="00A31244"/>
    <w:rsid w:val="00A31246"/>
    <w:rsid w:val="00A31290"/>
    <w:rsid w:val="00A31298"/>
    <w:rsid w:val="00A3129D"/>
    <w:rsid w:val="00A312D8"/>
    <w:rsid w:val="00A312EC"/>
    <w:rsid w:val="00A312EE"/>
    <w:rsid w:val="00A31305"/>
    <w:rsid w:val="00A31347"/>
    <w:rsid w:val="00A3134B"/>
    <w:rsid w:val="00A31369"/>
    <w:rsid w:val="00A313D3"/>
    <w:rsid w:val="00A313EB"/>
    <w:rsid w:val="00A313EC"/>
    <w:rsid w:val="00A3140B"/>
    <w:rsid w:val="00A3143B"/>
    <w:rsid w:val="00A3148B"/>
    <w:rsid w:val="00A314C0"/>
    <w:rsid w:val="00A314E2"/>
    <w:rsid w:val="00A314E8"/>
    <w:rsid w:val="00A314EC"/>
    <w:rsid w:val="00A3152B"/>
    <w:rsid w:val="00A31542"/>
    <w:rsid w:val="00A31561"/>
    <w:rsid w:val="00A3156E"/>
    <w:rsid w:val="00A3157A"/>
    <w:rsid w:val="00A31582"/>
    <w:rsid w:val="00A31605"/>
    <w:rsid w:val="00A31627"/>
    <w:rsid w:val="00A31655"/>
    <w:rsid w:val="00A3166B"/>
    <w:rsid w:val="00A31675"/>
    <w:rsid w:val="00A31691"/>
    <w:rsid w:val="00A316D6"/>
    <w:rsid w:val="00A316DF"/>
    <w:rsid w:val="00A3174E"/>
    <w:rsid w:val="00A31756"/>
    <w:rsid w:val="00A31758"/>
    <w:rsid w:val="00A31760"/>
    <w:rsid w:val="00A31774"/>
    <w:rsid w:val="00A31792"/>
    <w:rsid w:val="00A31854"/>
    <w:rsid w:val="00A3185B"/>
    <w:rsid w:val="00A318C5"/>
    <w:rsid w:val="00A3192B"/>
    <w:rsid w:val="00A31948"/>
    <w:rsid w:val="00A3199E"/>
    <w:rsid w:val="00A319EA"/>
    <w:rsid w:val="00A31A0E"/>
    <w:rsid w:val="00A31A85"/>
    <w:rsid w:val="00A31A99"/>
    <w:rsid w:val="00A31AA4"/>
    <w:rsid w:val="00A31AED"/>
    <w:rsid w:val="00A31B42"/>
    <w:rsid w:val="00A31B4B"/>
    <w:rsid w:val="00A31B66"/>
    <w:rsid w:val="00A31B9F"/>
    <w:rsid w:val="00A31C3C"/>
    <w:rsid w:val="00A31C47"/>
    <w:rsid w:val="00A31C4D"/>
    <w:rsid w:val="00A31C92"/>
    <w:rsid w:val="00A31CCB"/>
    <w:rsid w:val="00A31CDB"/>
    <w:rsid w:val="00A31CE8"/>
    <w:rsid w:val="00A31D18"/>
    <w:rsid w:val="00A31DFA"/>
    <w:rsid w:val="00A31E1F"/>
    <w:rsid w:val="00A31E42"/>
    <w:rsid w:val="00A31E6E"/>
    <w:rsid w:val="00A31E84"/>
    <w:rsid w:val="00A31EB1"/>
    <w:rsid w:val="00A31F43"/>
    <w:rsid w:val="00A31F5B"/>
    <w:rsid w:val="00A31F94"/>
    <w:rsid w:val="00A31FDB"/>
    <w:rsid w:val="00A31FDE"/>
    <w:rsid w:val="00A31FFD"/>
    <w:rsid w:val="00A3203A"/>
    <w:rsid w:val="00A3208A"/>
    <w:rsid w:val="00A320B0"/>
    <w:rsid w:val="00A320E5"/>
    <w:rsid w:val="00A320F6"/>
    <w:rsid w:val="00A320F7"/>
    <w:rsid w:val="00A3226B"/>
    <w:rsid w:val="00A3227F"/>
    <w:rsid w:val="00A322B2"/>
    <w:rsid w:val="00A322B8"/>
    <w:rsid w:val="00A322C1"/>
    <w:rsid w:val="00A32313"/>
    <w:rsid w:val="00A32353"/>
    <w:rsid w:val="00A323AD"/>
    <w:rsid w:val="00A323C9"/>
    <w:rsid w:val="00A32408"/>
    <w:rsid w:val="00A3240F"/>
    <w:rsid w:val="00A32413"/>
    <w:rsid w:val="00A32439"/>
    <w:rsid w:val="00A324BD"/>
    <w:rsid w:val="00A324BE"/>
    <w:rsid w:val="00A324E4"/>
    <w:rsid w:val="00A324EE"/>
    <w:rsid w:val="00A324FC"/>
    <w:rsid w:val="00A324FD"/>
    <w:rsid w:val="00A32519"/>
    <w:rsid w:val="00A32571"/>
    <w:rsid w:val="00A3258E"/>
    <w:rsid w:val="00A325C0"/>
    <w:rsid w:val="00A32677"/>
    <w:rsid w:val="00A326E4"/>
    <w:rsid w:val="00A32741"/>
    <w:rsid w:val="00A3274E"/>
    <w:rsid w:val="00A3278B"/>
    <w:rsid w:val="00A327AD"/>
    <w:rsid w:val="00A327B0"/>
    <w:rsid w:val="00A32828"/>
    <w:rsid w:val="00A3289B"/>
    <w:rsid w:val="00A328AA"/>
    <w:rsid w:val="00A3290A"/>
    <w:rsid w:val="00A32948"/>
    <w:rsid w:val="00A3295A"/>
    <w:rsid w:val="00A32989"/>
    <w:rsid w:val="00A32AAD"/>
    <w:rsid w:val="00A32AC0"/>
    <w:rsid w:val="00A32AC6"/>
    <w:rsid w:val="00A32ADE"/>
    <w:rsid w:val="00A32B1C"/>
    <w:rsid w:val="00A32B1E"/>
    <w:rsid w:val="00A32B5E"/>
    <w:rsid w:val="00A32BAB"/>
    <w:rsid w:val="00A32BAF"/>
    <w:rsid w:val="00A32BEC"/>
    <w:rsid w:val="00A32C0E"/>
    <w:rsid w:val="00A32C54"/>
    <w:rsid w:val="00A32CA3"/>
    <w:rsid w:val="00A32CC6"/>
    <w:rsid w:val="00A32CDB"/>
    <w:rsid w:val="00A32D34"/>
    <w:rsid w:val="00A32D84"/>
    <w:rsid w:val="00A32D9F"/>
    <w:rsid w:val="00A32DC7"/>
    <w:rsid w:val="00A32DED"/>
    <w:rsid w:val="00A32E10"/>
    <w:rsid w:val="00A32E32"/>
    <w:rsid w:val="00A32E65"/>
    <w:rsid w:val="00A32E9F"/>
    <w:rsid w:val="00A32EAD"/>
    <w:rsid w:val="00A32EE7"/>
    <w:rsid w:val="00A32F3B"/>
    <w:rsid w:val="00A32F67"/>
    <w:rsid w:val="00A32F7E"/>
    <w:rsid w:val="00A32F8A"/>
    <w:rsid w:val="00A32F99"/>
    <w:rsid w:val="00A32FC2"/>
    <w:rsid w:val="00A32FD7"/>
    <w:rsid w:val="00A330CB"/>
    <w:rsid w:val="00A33167"/>
    <w:rsid w:val="00A3318C"/>
    <w:rsid w:val="00A332F0"/>
    <w:rsid w:val="00A33371"/>
    <w:rsid w:val="00A333B9"/>
    <w:rsid w:val="00A333BB"/>
    <w:rsid w:val="00A333EA"/>
    <w:rsid w:val="00A333F2"/>
    <w:rsid w:val="00A333FF"/>
    <w:rsid w:val="00A33418"/>
    <w:rsid w:val="00A33443"/>
    <w:rsid w:val="00A3345C"/>
    <w:rsid w:val="00A334B0"/>
    <w:rsid w:val="00A334B5"/>
    <w:rsid w:val="00A334B7"/>
    <w:rsid w:val="00A334C6"/>
    <w:rsid w:val="00A334CB"/>
    <w:rsid w:val="00A33500"/>
    <w:rsid w:val="00A33538"/>
    <w:rsid w:val="00A33554"/>
    <w:rsid w:val="00A33604"/>
    <w:rsid w:val="00A3361B"/>
    <w:rsid w:val="00A33658"/>
    <w:rsid w:val="00A3366B"/>
    <w:rsid w:val="00A3366D"/>
    <w:rsid w:val="00A336CA"/>
    <w:rsid w:val="00A336DE"/>
    <w:rsid w:val="00A336EF"/>
    <w:rsid w:val="00A3371E"/>
    <w:rsid w:val="00A33748"/>
    <w:rsid w:val="00A3374E"/>
    <w:rsid w:val="00A33768"/>
    <w:rsid w:val="00A33771"/>
    <w:rsid w:val="00A337BB"/>
    <w:rsid w:val="00A337FD"/>
    <w:rsid w:val="00A3383D"/>
    <w:rsid w:val="00A33844"/>
    <w:rsid w:val="00A33898"/>
    <w:rsid w:val="00A338B2"/>
    <w:rsid w:val="00A338B4"/>
    <w:rsid w:val="00A33936"/>
    <w:rsid w:val="00A3395F"/>
    <w:rsid w:val="00A33972"/>
    <w:rsid w:val="00A339B6"/>
    <w:rsid w:val="00A339E7"/>
    <w:rsid w:val="00A33A19"/>
    <w:rsid w:val="00A33A24"/>
    <w:rsid w:val="00A33A52"/>
    <w:rsid w:val="00A33A60"/>
    <w:rsid w:val="00A33AAC"/>
    <w:rsid w:val="00A33AD4"/>
    <w:rsid w:val="00A33B93"/>
    <w:rsid w:val="00A33BA2"/>
    <w:rsid w:val="00A33C49"/>
    <w:rsid w:val="00A33C5D"/>
    <w:rsid w:val="00A33C82"/>
    <w:rsid w:val="00A33CFA"/>
    <w:rsid w:val="00A33D23"/>
    <w:rsid w:val="00A33D4A"/>
    <w:rsid w:val="00A33D8C"/>
    <w:rsid w:val="00A33DBC"/>
    <w:rsid w:val="00A33DF9"/>
    <w:rsid w:val="00A33E15"/>
    <w:rsid w:val="00A33E16"/>
    <w:rsid w:val="00A33E69"/>
    <w:rsid w:val="00A33E6D"/>
    <w:rsid w:val="00A33FA9"/>
    <w:rsid w:val="00A34015"/>
    <w:rsid w:val="00A34038"/>
    <w:rsid w:val="00A34069"/>
    <w:rsid w:val="00A340A4"/>
    <w:rsid w:val="00A340E8"/>
    <w:rsid w:val="00A34126"/>
    <w:rsid w:val="00A341BB"/>
    <w:rsid w:val="00A341E1"/>
    <w:rsid w:val="00A341E6"/>
    <w:rsid w:val="00A34233"/>
    <w:rsid w:val="00A342B1"/>
    <w:rsid w:val="00A342D3"/>
    <w:rsid w:val="00A34309"/>
    <w:rsid w:val="00A34394"/>
    <w:rsid w:val="00A343C8"/>
    <w:rsid w:val="00A34453"/>
    <w:rsid w:val="00A34464"/>
    <w:rsid w:val="00A344C9"/>
    <w:rsid w:val="00A344EE"/>
    <w:rsid w:val="00A344FA"/>
    <w:rsid w:val="00A34514"/>
    <w:rsid w:val="00A34523"/>
    <w:rsid w:val="00A34533"/>
    <w:rsid w:val="00A3455B"/>
    <w:rsid w:val="00A3458E"/>
    <w:rsid w:val="00A3466C"/>
    <w:rsid w:val="00A34678"/>
    <w:rsid w:val="00A346D7"/>
    <w:rsid w:val="00A346F2"/>
    <w:rsid w:val="00A34717"/>
    <w:rsid w:val="00A34726"/>
    <w:rsid w:val="00A34755"/>
    <w:rsid w:val="00A34762"/>
    <w:rsid w:val="00A347BF"/>
    <w:rsid w:val="00A347EF"/>
    <w:rsid w:val="00A347FC"/>
    <w:rsid w:val="00A348C1"/>
    <w:rsid w:val="00A348EF"/>
    <w:rsid w:val="00A34975"/>
    <w:rsid w:val="00A34990"/>
    <w:rsid w:val="00A349B1"/>
    <w:rsid w:val="00A34A1F"/>
    <w:rsid w:val="00A34A31"/>
    <w:rsid w:val="00A34A3F"/>
    <w:rsid w:val="00A34AAE"/>
    <w:rsid w:val="00A34AE8"/>
    <w:rsid w:val="00A34B1A"/>
    <w:rsid w:val="00A34B23"/>
    <w:rsid w:val="00A34B24"/>
    <w:rsid w:val="00A34B42"/>
    <w:rsid w:val="00A34B59"/>
    <w:rsid w:val="00A34B67"/>
    <w:rsid w:val="00A34B6D"/>
    <w:rsid w:val="00A34B71"/>
    <w:rsid w:val="00A34B83"/>
    <w:rsid w:val="00A34B96"/>
    <w:rsid w:val="00A34C45"/>
    <w:rsid w:val="00A34CDB"/>
    <w:rsid w:val="00A34CFB"/>
    <w:rsid w:val="00A34D5D"/>
    <w:rsid w:val="00A34D78"/>
    <w:rsid w:val="00A34D9D"/>
    <w:rsid w:val="00A34DAD"/>
    <w:rsid w:val="00A34DC1"/>
    <w:rsid w:val="00A34DCC"/>
    <w:rsid w:val="00A34DE8"/>
    <w:rsid w:val="00A34E17"/>
    <w:rsid w:val="00A34E6F"/>
    <w:rsid w:val="00A34FC2"/>
    <w:rsid w:val="00A34FDF"/>
    <w:rsid w:val="00A35000"/>
    <w:rsid w:val="00A3500B"/>
    <w:rsid w:val="00A3503D"/>
    <w:rsid w:val="00A35081"/>
    <w:rsid w:val="00A3516B"/>
    <w:rsid w:val="00A3517E"/>
    <w:rsid w:val="00A351AE"/>
    <w:rsid w:val="00A351C3"/>
    <w:rsid w:val="00A351CB"/>
    <w:rsid w:val="00A351D6"/>
    <w:rsid w:val="00A35274"/>
    <w:rsid w:val="00A352D1"/>
    <w:rsid w:val="00A352F5"/>
    <w:rsid w:val="00A3538E"/>
    <w:rsid w:val="00A353C2"/>
    <w:rsid w:val="00A353CF"/>
    <w:rsid w:val="00A354A3"/>
    <w:rsid w:val="00A354B7"/>
    <w:rsid w:val="00A354D4"/>
    <w:rsid w:val="00A3552E"/>
    <w:rsid w:val="00A355AF"/>
    <w:rsid w:val="00A35643"/>
    <w:rsid w:val="00A356A0"/>
    <w:rsid w:val="00A356E9"/>
    <w:rsid w:val="00A356F1"/>
    <w:rsid w:val="00A3573B"/>
    <w:rsid w:val="00A35765"/>
    <w:rsid w:val="00A3576D"/>
    <w:rsid w:val="00A35776"/>
    <w:rsid w:val="00A35805"/>
    <w:rsid w:val="00A35836"/>
    <w:rsid w:val="00A3583E"/>
    <w:rsid w:val="00A35850"/>
    <w:rsid w:val="00A358A9"/>
    <w:rsid w:val="00A358B1"/>
    <w:rsid w:val="00A358C1"/>
    <w:rsid w:val="00A3597B"/>
    <w:rsid w:val="00A35987"/>
    <w:rsid w:val="00A359A1"/>
    <w:rsid w:val="00A359C6"/>
    <w:rsid w:val="00A359DA"/>
    <w:rsid w:val="00A359F1"/>
    <w:rsid w:val="00A359FC"/>
    <w:rsid w:val="00A35A04"/>
    <w:rsid w:val="00A35A17"/>
    <w:rsid w:val="00A35B72"/>
    <w:rsid w:val="00A35B81"/>
    <w:rsid w:val="00A35BF7"/>
    <w:rsid w:val="00A35C30"/>
    <w:rsid w:val="00A35C3C"/>
    <w:rsid w:val="00A35C40"/>
    <w:rsid w:val="00A35CA2"/>
    <w:rsid w:val="00A35CAD"/>
    <w:rsid w:val="00A35D3D"/>
    <w:rsid w:val="00A35D3F"/>
    <w:rsid w:val="00A35D44"/>
    <w:rsid w:val="00A35DA7"/>
    <w:rsid w:val="00A35E71"/>
    <w:rsid w:val="00A35E7E"/>
    <w:rsid w:val="00A35E8F"/>
    <w:rsid w:val="00A35F5D"/>
    <w:rsid w:val="00A35F81"/>
    <w:rsid w:val="00A35FBB"/>
    <w:rsid w:val="00A35FF3"/>
    <w:rsid w:val="00A36054"/>
    <w:rsid w:val="00A3608D"/>
    <w:rsid w:val="00A3609B"/>
    <w:rsid w:val="00A360D6"/>
    <w:rsid w:val="00A360E0"/>
    <w:rsid w:val="00A36114"/>
    <w:rsid w:val="00A36116"/>
    <w:rsid w:val="00A361CD"/>
    <w:rsid w:val="00A361F6"/>
    <w:rsid w:val="00A36208"/>
    <w:rsid w:val="00A36297"/>
    <w:rsid w:val="00A362F0"/>
    <w:rsid w:val="00A3631C"/>
    <w:rsid w:val="00A3632B"/>
    <w:rsid w:val="00A36330"/>
    <w:rsid w:val="00A36385"/>
    <w:rsid w:val="00A3639D"/>
    <w:rsid w:val="00A363A4"/>
    <w:rsid w:val="00A363B2"/>
    <w:rsid w:val="00A363E0"/>
    <w:rsid w:val="00A363F0"/>
    <w:rsid w:val="00A36411"/>
    <w:rsid w:val="00A3642C"/>
    <w:rsid w:val="00A364E1"/>
    <w:rsid w:val="00A3654B"/>
    <w:rsid w:val="00A36580"/>
    <w:rsid w:val="00A365B5"/>
    <w:rsid w:val="00A365FC"/>
    <w:rsid w:val="00A36609"/>
    <w:rsid w:val="00A36619"/>
    <w:rsid w:val="00A36659"/>
    <w:rsid w:val="00A3665F"/>
    <w:rsid w:val="00A3667B"/>
    <w:rsid w:val="00A3667D"/>
    <w:rsid w:val="00A366AB"/>
    <w:rsid w:val="00A366B4"/>
    <w:rsid w:val="00A366F6"/>
    <w:rsid w:val="00A3676A"/>
    <w:rsid w:val="00A367ED"/>
    <w:rsid w:val="00A36805"/>
    <w:rsid w:val="00A3685C"/>
    <w:rsid w:val="00A36874"/>
    <w:rsid w:val="00A36882"/>
    <w:rsid w:val="00A36936"/>
    <w:rsid w:val="00A36943"/>
    <w:rsid w:val="00A36984"/>
    <w:rsid w:val="00A3698A"/>
    <w:rsid w:val="00A369A7"/>
    <w:rsid w:val="00A369F5"/>
    <w:rsid w:val="00A369FB"/>
    <w:rsid w:val="00A36A12"/>
    <w:rsid w:val="00A36A34"/>
    <w:rsid w:val="00A36A73"/>
    <w:rsid w:val="00A36A99"/>
    <w:rsid w:val="00A36A9A"/>
    <w:rsid w:val="00A36AD2"/>
    <w:rsid w:val="00A36AF2"/>
    <w:rsid w:val="00A36AF5"/>
    <w:rsid w:val="00A36BCD"/>
    <w:rsid w:val="00A36C16"/>
    <w:rsid w:val="00A36C83"/>
    <w:rsid w:val="00A36C8E"/>
    <w:rsid w:val="00A36C9B"/>
    <w:rsid w:val="00A36CA6"/>
    <w:rsid w:val="00A36CC7"/>
    <w:rsid w:val="00A36CC9"/>
    <w:rsid w:val="00A36CE1"/>
    <w:rsid w:val="00A36CEE"/>
    <w:rsid w:val="00A36D19"/>
    <w:rsid w:val="00A36D60"/>
    <w:rsid w:val="00A36DC4"/>
    <w:rsid w:val="00A36DFB"/>
    <w:rsid w:val="00A36E4C"/>
    <w:rsid w:val="00A36E5F"/>
    <w:rsid w:val="00A36EBE"/>
    <w:rsid w:val="00A36ECB"/>
    <w:rsid w:val="00A36F05"/>
    <w:rsid w:val="00A36F81"/>
    <w:rsid w:val="00A36FE0"/>
    <w:rsid w:val="00A37065"/>
    <w:rsid w:val="00A37069"/>
    <w:rsid w:val="00A370E3"/>
    <w:rsid w:val="00A37113"/>
    <w:rsid w:val="00A371D5"/>
    <w:rsid w:val="00A371FB"/>
    <w:rsid w:val="00A37244"/>
    <w:rsid w:val="00A37248"/>
    <w:rsid w:val="00A3726F"/>
    <w:rsid w:val="00A3727B"/>
    <w:rsid w:val="00A372B1"/>
    <w:rsid w:val="00A3730D"/>
    <w:rsid w:val="00A3732E"/>
    <w:rsid w:val="00A37336"/>
    <w:rsid w:val="00A3734E"/>
    <w:rsid w:val="00A373C1"/>
    <w:rsid w:val="00A373E6"/>
    <w:rsid w:val="00A373E9"/>
    <w:rsid w:val="00A37406"/>
    <w:rsid w:val="00A374D8"/>
    <w:rsid w:val="00A374F6"/>
    <w:rsid w:val="00A3751A"/>
    <w:rsid w:val="00A37552"/>
    <w:rsid w:val="00A3758A"/>
    <w:rsid w:val="00A376A5"/>
    <w:rsid w:val="00A376B3"/>
    <w:rsid w:val="00A376B5"/>
    <w:rsid w:val="00A376B9"/>
    <w:rsid w:val="00A376CD"/>
    <w:rsid w:val="00A3774B"/>
    <w:rsid w:val="00A37789"/>
    <w:rsid w:val="00A3778E"/>
    <w:rsid w:val="00A377AC"/>
    <w:rsid w:val="00A377EE"/>
    <w:rsid w:val="00A377F7"/>
    <w:rsid w:val="00A37823"/>
    <w:rsid w:val="00A37840"/>
    <w:rsid w:val="00A378AC"/>
    <w:rsid w:val="00A378D6"/>
    <w:rsid w:val="00A37944"/>
    <w:rsid w:val="00A379A3"/>
    <w:rsid w:val="00A37A65"/>
    <w:rsid w:val="00A37A97"/>
    <w:rsid w:val="00A37AA6"/>
    <w:rsid w:val="00A37AB0"/>
    <w:rsid w:val="00A37ACF"/>
    <w:rsid w:val="00A37AD1"/>
    <w:rsid w:val="00A37B24"/>
    <w:rsid w:val="00A37B28"/>
    <w:rsid w:val="00A37B58"/>
    <w:rsid w:val="00A37B70"/>
    <w:rsid w:val="00A37B73"/>
    <w:rsid w:val="00A37BE8"/>
    <w:rsid w:val="00A37C65"/>
    <w:rsid w:val="00A37CB4"/>
    <w:rsid w:val="00A37CF4"/>
    <w:rsid w:val="00A37D5F"/>
    <w:rsid w:val="00A37DB1"/>
    <w:rsid w:val="00A37DB6"/>
    <w:rsid w:val="00A37DF7"/>
    <w:rsid w:val="00A37DFA"/>
    <w:rsid w:val="00A37E38"/>
    <w:rsid w:val="00A37E66"/>
    <w:rsid w:val="00A37E8E"/>
    <w:rsid w:val="00A37EAB"/>
    <w:rsid w:val="00A37F10"/>
    <w:rsid w:val="00A37F1B"/>
    <w:rsid w:val="00A37F26"/>
    <w:rsid w:val="00A37F51"/>
    <w:rsid w:val="00A37FE3"/>
    <w:rsid w:val="00A4007E"/>
    <w:rsid w:val="00A40097"/>
    <w:rsid w:val="00A400D6"/>
    <w:rsid w:val="00A400E2"/>
    <w:rsid w:val="00A400EA"/>
    <w:rsid w:val="00A400F7"/>
    <w:rsid w:val="00A40133"/>
    <w:rsid w:val="00A40141"/>
    <w:rsid w:val="00A40144"/>
    <w:rsid w:val="00A401E4"/>
    <w:rsid w:val="00A40206"/>
    <w:rsid w:val="00A4024B"/>
    <w:rsid w:val="00A40263"/>
    <w:rsid w:val="00A40264"/>
    <w:rsid w:val="00A402C8"/>
    <w:rsid w:val="00A402D4"/>
    <w:rsid w:val="00A402F9"/>
    <w:rsid w:val="00A4032A"/>
    <w:rsid w:val="00A403AD"/>
    <w:rsid w:val="00A403DC"/>
    <w:rsid w:val="00A40479"/>
    <w:rsid w:val="00A40504"/>
    <w:rsid w:val="00A4054C"/>
    <w:rsid w:val="00A4059A"/>
    <w:rsid w:val="00A405A7"/>
    <w:rsid w:val="00A405C9"/>
    <w:rsid w:val="00A4069D"/>
    <w:rsid w:val="00A406DA"/>
    <w:rsid w:val="00A406E6"/>
    <w:rsid w:val="00A407AF"/>
    <w:rsid w:val="00A407F5"/>
    <w:rsid w:val="00A40839"/>
    <w:rsid w:val="00A40840"/>
    <w:rsid w:val="00A408A2"/>
    <w:rsid w:val="00A408B6"/>
    <w:rsid w:val="00A408B8"/>
    <w:rsid w:val="00A408C6"/>
    <w:rsid w:val="00A408EE"/>
    <w:rsid w:val="00A40944"/>
    <w:rsid w:val="00A40958"/>
    <w:rsid w:val="00A409BE"/>
    <w:rsid w:val="00A409F2"/>
    <w:rsid w:val="00A40A26"/>
    <w:rsid w:val="00A40A53"/>
    <w:rsid w:val="00A40A70"/>
    <w:rsid w:val="00A40A73"/>
    <w:rsid w:val="00A40ADF"/>
    <w:rsid w:val="00A40AED"/>
    <w:rsid w:val="00A40B38"/>
    <w:rsid w:val="00A40B44"/>
    <w:rsid w:val="00A40B56"/>
    <w:rsid w:val="00A40B59"/>
    <w:rsid w:val="00A40B79"/>
    <w:rsid w:val="00A40B8B"/>
    <w:rsid w:val="00A40B93"/>
    <w:rsid w:val="00A40BAC"/>
    <w:rsid w:val="00A40C03"/>
    <w:rsid w:val="00A40C49"/>
    <w:rsid w:val="00A40C4F"/>
    <w:rsid w:val="00A40CA8"/>
    <w:rsid w:val="00A40CEB"/>
    <w:rsid w:val="00A40CFF"/>
    <w:rsid w:val="00A40D0F"/>
    <w:rsid w:val="00A40DA5"/>
    <w:rsid w:val="00A40DB2"/>
    <w:rsid w:val="00A40DE1"/>
    <w:rsid w:val="00A40E2B"/>
    <w:rsid w:val="00A40E38"/>
    <w:rsid w:val="00A40E45"/>
    <w:rsid w:val="00A40E54"/>
    <w:rsid w:val="00A40E63"/>
    <w:rsid w:val="00A40E7C"/>
    <w:rsid w:val="00A40EBC"/>
    <w:rsid w:val="00A40EDF"/>
    <w:rsid w:val="00A40EF5"/>
    <w:rsid w:val="00A40F27"/>
    <w:rsid w:val="00A40F29"/>
    <w:rsid w:val="00A40F2B"/>
    <w:rsid w:val="00A40F53"/>
    <w:rsid w:val="00A40F5B"/>
    <w:rsid w:val="00A40F5C"/>
    <w:rsid w:val="00A40F9F"/>
    <w:rsid w:val="00A40FE0"/>
    <w:rsid w:val="00A40FFC"/>
    <w:rsid w:val="00A41006"/>
    <w:rsid w:val="00A41017"/>
    <w:rsid w:val="00A41068"/>
    <w:rsid w:val="00A41071"/>
    <w:rsid w:val="00A41077"/>
    <w:rsid w:val="00A41080"/>
    <w:rsid w:val="00A41088"/>
    <w:rsid w:val="00A4108C"/>
    <w:rsid w:val="00A410C8"/>
    <w:rsid w:val="00A410FB"/>
    <w:rsid w:val="00A41134"/>
    <w:rsid w:val="00A4116B"/>
    <w:rsid w:val="00A411A7"/>
    <w:rsid w:val="00A411A9"/>
    <w:rsid w:val="00A411D8"/>
    <w:rsid w:val="00A4121D"/>
    <w:rsid w:val="00A41223"/>
    <w:rsid w:val="00A41231"/>
    <w:rsid w:val="00A4123B"/>
    <w:rsid w:val="00A41278"/>
    <w:rsid w:val="00A412D8"/>
    <w:rsid w:val="00A41333"/>
    <w:rsid w:val="00A4134B"/>
    <w:rsid w:val="00A41396"/>
    <w:rsid w:val="00A413B1"/>
    <w:rsid w:val="00A413EF"/>
    <w:rsid w:val="00A41440"/>
    <w:rsid w:val="00A41448"/>
    <w:rsid w:val="00A4144F"/>
    <w:rsid w:val="00A41486"/>
    <w:rsid w:val="00A414EA"/>
    <w:rsid w:val="00A4160C"/>
    <w:rsid w:val="00A41610"/>
    <w:rsid w:val="00A41612"/>
    <w:rsid w:val="00A41673"/>
    <w:rsid w:val="00A416A0"/>
    <w:rsid w:val="00A416CE"/>
    <w:rsid w:val="00A4172B"/>
    <w:rsid w:val="00A4173D"/>
    <w:rsid w:val="00A41746"/>
    <w:rsid w:val="00A4179B"/>
    <w:rsid w:val="00A417AD"/>
    <w:rsid w:val="00A417D1"/>
    <w:rsid w:val="00A417FF"/>
    <w:rsid w:val="00A41898"/>
    <w:rsid w:val="00A418CF"/>
    <w:rsid w:val="00A418DC"/>
    <w:rsid w:val="00A418E7"/>
    <w:rsid w:val="00A418F0"/>
    <w:rsid w:val="00A418F2"/>
    <w:rsid w:val="00A41905"/>
    <w:rsid w:val="00A4191F"/>
    <w:rsid w:val="00A419BE"/>
    <w:rsid w:val="00A419DA"/>
    <w:rsid w:val="00A419DC"/>
    <w:rsid w:val="00A41A0B"/>
    <w:rsid w:val="00A41A1F"/>
    <w:rsid w:val="00A41AA8"/>
    <w:rsid w:val="00A41AB0"/>
    <w:rsid w:val="00A41AD0"/>
    <w:rsid w:val="00A41B10"/>
    <w:rsid w:val="00A41B14"/>
    <w:rsid w:val="00A41B24"/>
    <w:rsid w:val="00A41B2A"/>
    <w:rsid w:val="00A41BBB"/>
    <w:rsid w:val="00A41BF2"/>
    <w:rsid w:val="00A41C06"/>
    <w:rsid w:val="00A41C78"/>
    <w:rsid w:val="00A41C86"/>
    <w:rsid w:val="00A41C8C"/>
    <w:rsid w:val="00A41DDD"/>
    <w:rsid w:val="00A41DE2"/>
    <w:rsid w:val="00A41E77"/>
    <w:rsid w:val="00A41EDF"/>
    <w:rsid w:val="00A41EE5"/>
    <w:rsid w:val="00A41EF8"/>
    <w:rsid w:val="00A41F36"/>
    <w:rsid w:val="00A41F3E"/>
    <w:rsid w:val="00A41FB0"/>
    <w:rsid w:val="00A42035"/>
    <w:rsid w:val="00A42053"/>
    <w:rsid w:val="00A4207D"/>
    <w:rsid w:val="00A420BB"/>
    <w:rsid w:val="00A420C0"/>
    <w:rsid w:val="00A420C3"/>
    <w:rsid w:val="00A420EB"/>
    <w:rsid w:val="00A42144"/>
    <w:rsid w:val="00A421A4"/>
    <w:rsid w:val="00A42217"/>
    <w:rsid w:val="00A422BA"/>
    <w:rsid w:val="00A422E9"/>
    <w:rsid w:val="00A42331"/>
    <w:rsid w:val="00A4234C"/>
    <w:rsid w:val="00A4237F"/>
    <w:rsid w:val="00A42391"/>
    <w:rsid w:val="00A4245B"/>
    <w:rsid w:val="00A42464"/>
    <w:rsid w:val="00A424BC"/>
    <w:rsid w:val="00A42504"/>
    <w:rsid w:val="00A4254A"/>
    <w:rsid w:val="00A42554"/>
    <w:rsid w:val="00A4258E"/>
    <w:rsid w:val="00A425B3"/>
    <w:rsid w:val="00A425B4"/>
    <w:rsid w:val="00A425F2"/>
    <w:rsid w:val="00A425F6"/>
    <w:rsid w:val="00A42607"/>
    <w:rsid w:val="00A42614"/>
    <w:rsid w:val="00A42617"/>
    <w:rsid w:val="00A42624"/>
    <w:rsid w:val="00A42638"/>
    <w:rsid w:val="00A4265A"/>
    <w:rsid w:val="00A426C5"/>
    <w:rsid w:val="00A4272D"/>
    <w:rsid w:val="00A427AE"/>
    <w:rsid w:val="00A427BF"/>
    <w:rsid w:val="00A427E0"/>
    <w:rsid w:val="00A42834"/>
    <w:rsid w:val="00A42848"/>
    <w:rsid w:val="00A42858"/>
    <w:rsid w:val="00A42888"/>
    <w:rsid w:val="00A428DD"/>
    <w:rsid w:val="00A42912"/>
    <w:rsid w:val="00A42950"/>
    <w:rsid w:val="00A4298A"/>
    <w:rsid w:val="00A429F2"/>
    <w:rsid w:val="00A42A0F"/>
    <w:rsid w:val="00A42AD8"/>
    <w:rsid w:val="00A42B16"/>
    <w:rsid w:val="00A42B19"/>
    <w:rsid w:val="00A42BD1"/>
    <w:rsid w:val="00A42BF0"/>
    <w:rsid w:val="00A42C21"/>
    <w:rsid w:val="00A42C2C"/>
    <w:rsid w:val="00A42C4C"/>
    <w:rsid w:val="00A42C50"/>
    <w:rsid w:val="00A42C7F"/>
    <w:rsid w:val="00A42CE1"/>
    <w:rsid w:val="00A42D1A"/>
    <w:rsid w:val="00A42D5E"/>
    <w:rsid w:val="00A42DAD"/>
    <w:rsid w:val="00A42DB7"/>
    <w:rsid w:val="00A42DBF"/>
    <w:rsid w:val="00A42DE7"/>
    <w:rsid w:val="00A42E0D"/>
    <w:rsid w:val="00A42E44"/>
    <w:rsid w:val="00A42E67"/>
    <w:rsid w:val="00A42F5B"/>
    <w:rsid w:val="00A42FAA"/>
    <w:rsid w:val="00A42FBA"/>
    <w:rsid w:val="00A42FC7"/>
    <w:rsid w:val="00A42FD5"/>
    <w:rsid w:val="00A43096"/>
    <w:rsid w:val="00A4309E"/>
    <w:rsid w:val="00A4311C"/>
    <w:rsid w:val="00A43128"/>
    <w:rsid w:val="00A43165"/>
    <w:rsid w:val="00A4320E"/>
    <w:rsid w:val="00A4321B"/>
    <w:rsid w:val="00A4322C"/>
    <w:rsid w:val="00A4322F"/>
    <w:rsid w:val="00A43245"/>
    <w:rsid w:val="00A43253"/>
    <w:rsid w:val="00A43268"/>
    <w:rsid w:val="00A432D4"/>
    <w:rsid w:val="00A4332C"/>
    <w:rsid w:val="00A43337"/>
    <w:rsid w:val="00A43399"/>
    <w:rsid w:val="00A433B0"/>
    <w:rsid w:val="00A433C1"/>
    <w:rsid w:val="00A433CC"/>
    <w:rsid w:val="00A433E5"/>
    <w:rsid w:val="00A43434"/>
    <w:rsid w:val="00A43438"/>
    <w:rsid w:val="00A4343F"/>
    <w:rsid w:val="00A4344B"/>
    <w:rsid w:val="00A4348B"/>
    <w:rsid w:val="00A4348D"/>
    <w:rsid w:val="00A434A7"/>
    <w:rsid w:val="00A434E9"/>
    <w:rsid w:val="00A43521"/>
    <w:rsid w:val="00A4352D"/>
    <w:rsid w:val="00A4354F"/>
    <w:rsid w:val="00A435A8"/>
    <w:rsid w:val="00A435B8"/>
    <w:rsid w:val="00A435BD"/>
    <w:rsid w:val="00A43627"/>
    <w:rsid w:val="00A4367F"/>
    <w:rsid w:val="00A436BB"/>
    <w:rsid w:val="00A436DA"/>
    <w:rsid w:val="00A436DC"/>
    <w:rsid w:val="00A436EB"/>
    <w:rsid w:val="00A436FA"/>
    <w:rsid w:val="00A43717"/>
    <w:rsid w:val="00A4371D"/>
    <w:rsid w:val="00A43723"/>
    <w:rsid w:val="00A43733"/>
    <w:rsid w:val="00A4373F"/>
    <w:rsid w:val="00A4379F"/>
    <w:rsid w:val="00A437B7"/>
    <w:rsid w:val="00A437FC"/>
    <w:rsid w:val="00A4380E"/>
    <w:rsid w:val="00A43854"/>
    <w:rsid w:val="00A438C6"/>
    <w:rsid w:val="00A438EE"/>
    <w:rsid w:val="00A43974"/>
    <w:rsid w:val="00A43992"/>
    <w:rsid w:val="00A439B9"/>
    <w:rsid w:val="00A439BC"/>
    <w:rsid w:val="00A439CE"/>
    <w:rsid w:val="00A439E6"/>
    <w:rsid w:val="00A439EF"/>
    <w:rsid w:val="00A43A2A"/>
    <w:rsid w:val="00A43A57"/>
    <w:rsid w:val="00A43A62"/>
    <w:rsid w:val="00A43A6C"/>
    <w:rsid w:val="00A43A7B"/>
    <w:rsid w:val="00A43A8D"/>
    <w:rsid w:val="00A43BB3"/>
    <w:rsid w:val="00A43C42"/>
    <w:rsid w:val="00A43C66"/>
    <w:rsid w:val="00A43C6C"/>
    <w:rsid w:val="00A43CB7"/>
    <w:rsid w:val="00A43D89"/>
    <w:rsid w:val="00A43DB5"/>
    <w:rsid w:val="00A43DD3"/>
    <w:rsid w:val="00A43DE0"/>
    <w:rsid w:val="00A43E03"/>
    <w:rsid w:val="00A43E56"/>
    <w:rsid w:val="00A43EB9"/>
    <w:rsid w:val="00A43ED5"/>
    <w:rsid w:val="00A43F2B"/>
    <w:rsid w:val="00A43F45"/>
    <w:rsid w:val="00A43FE7"/>
    <w:rsid w:val="00A44051"/>
    <w:rsid w:val="00A44091"/>
    <w:rsid w:val="00A440F0"/>
    <w:rsid w:val="00A440F4"/>
    <w:rsid w:val="00A4410D"/>
    <w:rsid w:val="00A441A8"/>
    <w:rsid w:val="00A441B3"/>
    <w:rsid w:val="00A441FF"/>
    <w:rsid w:val="00A4421D"/>
    <w:rsid w:val="00A44224"/>
    <w:rsid w:val="00A4426B"/>
    <w:rsid w:val="00A4428B"/>
    <w:rsid w:val="00A4429E"/>
    <w:rsid w:val="00A442B1"/>
    <w:rsid w:val="00A442DB"/>
    <w:rsid w:val="00A442FC"/>
    <w:rsid w:val="00A443C8"/>
    <w:rsid w:val="00A44402"/>
    <w:rsid w:val="00A44415"/>
    <w:rsid w:val="00A44457"/>
    <w:rsid w:val="00A4446B"/>
    <w:rsid w:val="00A4460D"/>
    <w:rsid w:val="00A446FC"/>
    <w:rsid w:val="00A4470B"/>
    <w:rsid w:val="00A4471A"/>
    <w:rsid w:val="00A4471E"/>
    <w:rsid w:val="00A44805"/>
    <w:rsid w:val="00A4481C"/>
    <w:rsid w:val="00A44897"/>
    <w:rsid w:val="00A448AE"/>
    <w:rsid w:val="00A448BB"/>
    <w:rsid w:val="00A448CB"/>
    <w:rsid w:val="00A448D2"/>
    <w:rsid w:val="00A448FA"/>
    <w:rsid w:val="00A4490B"/>
    <w:rsid w:val="00A4491D"/>
    <w:rsid w:val="00A44931"/>
    <w:rsid w:val="00A44958"/>
    <w:rsid w:val="00A4495E"/>
    <w:rsid w:val="00A44985"/>
    <w:rsid w:val="00A449CB"/>
    <w:rsid w:val="00A449EC"/>
    <w:rsid w:val="00A44A03"/>
    <w:rsid w:val="00A44A0A"/>
    <w:rsid w:val="00A44A29"/>
    <w:rsid w:val="00A44A60"/>
    <w:rsid w:val="00A44A74"/>
    <w:rsid w:val="00A44AAF"/>
    <w:rsid w:val="00A44BC7"/>
    <w:rsid w:val="00A44BCF"/>
    <w:rsid w:val="00A44C04"/>
    <w:rsid w:val="00A44C0E"/>
    <w:rsid w:val="00A44C24"/>
    <w:rsid w:val="00A44C8B"/>
    <w:rsid w:val="00A44CB7"/>
    <w:rsid w:val="00A44CF2"/>
    <w:rsid w:val="00A44D0E"/>
    <w:rsid w:val="00A44D24"/>
    <w:rsid w:val="00A44D28"/>
    <w:rsid w:val="00A44D84"/>
    <w:rsid w:val="00A44DC2"/>
    <w:rsid w:val="00A44E53"/>
    <w:rsid w:val="00A44E5D"/>
    <w:rsid w:val="00A44E8B"/>
    <w:rsid w:val="00A44E8F"/>
    <w:rsid w:val="00A44F2D"/>
    <w:rsid w:val="00A44F88"/>
    <w:rsid w:val="00A44FB0"/>
    <w:rsid w:val="00A45019"/>
    <w:rsid w:val="00A4506A"/>
    <w:rsid w:val="00A450DE"/>
    <w:rsid w:val="00A45120"/>
    <w:rsid w:val="00A45134"/>
    <w:rsid w:val="00A4514E"/>
    <w:rsid w:val="00A45156"/>
    <w:rsid w:val="00A451AD"/>
    <w:rsid w:val="00A451DE"/>
    <w:rsid w:val="00A45200"/>
    <w:rsid w:val="00A4524D"/>
    <w:rsid w:val="00A45284"/>
    <w:rsid w:val="00A452F9"/>
    <w:rsid w:val="00A4532A"/>
    <w:rsid w:val="00A453B7"/>
    <w:rsid w:val="00A453E3"/>
    <w:rsid w:val="00A453E9"/>
    <w:rsid w:val="00A453F5"/>
    <w:rsid w:val="00A453FC"/>
    <w:rsid w:val="00A453FF"/>
    <w:rsid w:val="00A4542D"/>
    <w:rsid w:val="00A45445"/>
    <w:rsid w:val="00A45449"/>
    <w:rsid w:val="00A45519"/>
    <w:rsid w:val="00A45534"/>
    <w:rsid w:val="00A4554C"/>
    <w:rsid w:val="00A455D9"/>
    <w:rsid w:val="00A45639"/>
    <w:rsid w:val="00A45798"/>
    <w:rsid w:val="00A457B3"/>
    <w:rsid w:val="00A457DE"/>
    <w:rsid w:val="00A4580B"/>
    <w:rsid w:val="00A45815"/>
    <w:rsid w:val="00A4583D"/>
    <w:rsid w:val="00A45866"/>
    <w:rsid w:val="00A45884"/>
    <w:rsid w:val="00A458B6"/>
    <w:rsid w:val="00A45936"/>
    <w:rsid w:val="00A459F9"/>
    <w:rsid w:val="00A459FD"/>
    <w:rsid w:val="00A45A11"/>
    <w:rsid w:val="00A45A18"/>
    <w:rsid w:val="00A45A3C"/>
    <w:rsid w:val="00A45A3F"/>
    <w:rsid w:val="00A45A51"/>
    <w:rsid w:val="00A45AB0"/>
    <w:rsid w:val="00A45B6E"/>
    <w:rsid w:val="00A45B73"/>
    <w:rsid w:val="00A45B87"/>
    <w:rsid w:val="00A45C5B"/>
    <w:rsid w:val="00A45C66"/>
    <w:rsid w:val="00A45CB2"/>
    <w:rsid w:val="00A45CD7"/>
    <w:rsid w:val="00A45CE1"/>
    <w:rsid w:val="00A45D1A"/>
    <w:rsid w:val="00A45D20"/>
    <w:rsid w:val="00A45D9C"/>
    <w:rsid w:val="00A45DB9"/>
    <w:rsid w:val="00A45E15"/>
    <w:rsid w:val="00A45E4E"/>
    <w:rsid w:val="00A45E6B"/>
    <w:rsid w:val="00A45EF4"/>
    <w:rsid w:val="00A45F31"/>
    <w:rsid w:val="00A45F6A"/>
    <w:rsid w:val="00A45FD6"/>
    <w:rsid w:val="00A45FDB"/>
    <w:rsid w:val="00A45FDE"/>
    <w:rsid w:val="00A46095"/>
    <w:rsid w:val="00A460AB"/>
    <w:rsid w:val="00A460C8"/>
    <w:rsid w:val="00A460D0"/>
    <w:rsid w:val="00A46148"/>
    <w:rsid w:val="00A46162"/>
    <w:rsid w:val="00A46228"/>
    <w:rsid w:val="00A46231"/>
    <w:rsid w:val="00A46254"/>
    <w:rsid w:val="00A4625B"/>
    <w:rsid w:val="00A462A3"/>
    <w:rsid w:val="00A462E1"/>
    <w:rsid w:val="00A46377"/>
    <w:rsid w:val="00A46388"/>
    <w:rsid w:val="00A46401"/>
    <w:rsid w:val="00A4640E"/>
    <w:rsid w:val="00A46456"/>
    <w:rsid w:val="00A46467"/>
    <w:rsid w:val="00A46468"/>
    <w:rsid w:val="00A46490"/>
    <w:rsid w:val="00A464FA"/>
    <w:rsid w:val="00A46530"/>
    <w:rsid w:val="00A46554"/>
    <w:rsid w:val="00A46562"/>
    <w:rsid w:val="00A4657B"/>
    <w:rsid w:val="00A465BD"/>
    <w:rsid w:val="00A465BE"/>
    <w:rsid w:val="00A465C8"/>
    <w:rsid w:val="00A465DE"/>
    <w:rsid w:val="00A465E4"/>
    <w:rsid w:val="00A46603"/>
    <w:rsid w:val="00A4660A"/>
    <w:rsid w:val="00A4664B"/>
    <w:rsid w:val="00A466BA"/>
    <w:rsid w:val="00A466CE"/>
    <w:rsid w:val="00A46720"/>
    <w:rsid w:val="00A46732"/>
    <w:rsid w:val="00A46735"/>
    <w:rsid w:val="00A4673F"/>
    <w:rsid w:val="00A46751"/>
    <w:rsid w:val="00A46772"/>
    <w:rsid w:val="00A467C4"/>
    <w:rsid w:val="00A468D8"/>
    <w:rsid w:val="00A468DB"/>
    <w:rsid w:val="00A468FD"/>
    <w:rsid w:val="00A46922"/>
    <w:rsid w:val="00A4694A"/>
    <w:rsid w:val="00A469F4"/>
    <w:rsid w:val="00A469FB"/>
    <w:rsid w:val="00A46A22"/>
    <w:rsid w:val="00A46A37"/>
    <w:rsid w:val="00A46A60"/>
    <w:rsid w:val="00A46A77"/>
    <w:rsid w:val="00A46AAC"/>
    <w:rsid w:val="00A46AD3"/>
    <w:rsid w:val="00A46AF4"/>
    <w:rsid w:val="00A46B4D"/>
    <w:rsid w:val="00A46B5C"/>
    <w:rsid w:val="00A46B6C"/>
    <w:rsid w:val="00A46B8E"/>
    <w:rsid w:val="00A46BDD"/>
    <w:rsid w:val="00A46CCB"/>
    <w:rsid w:val="00A46D05"/>
    <w:rsid w:val="00A46DF3"/>
    <w:rsid w:val="00A46E16"/>
    <w:rsid w:val="00A46E1E"/>
    <w:rsid w:val="00A46E21"/>
    <w:rsid w:val="00A46E47"/>
    <w:rsid w:val="00A46E4D"/>
    <w:rsid w:val="00A46E56"/>
    <w:rsid w:val="00A46E72"/>
    <w:rsid w:val="00A46E9D"/>
    <w:rsid w:val="00A46EC5"/>
    <w:rsid w:val="00A46ED6"/>
    <w:rsid w:val="00A46EEE"/>
    <w:rsid w:val="00A46EF5"/>
    <w:rsid w:val="00A46F23"/>
    <w:rsid w:val="00A46F26"/>
    <w:rsid w:val="00A46F3D"/>
    <w:rsid w:val="00A46FB4"/>
    <w:rsid w:val="00A4701F"/>
    <w:rsid w:val="00A47047"/>
    <w:rsid w:val="00A47069"/>
    <w:rsid w:val="00A470B2"/>
    <w:rsid w:val="00A470C6"/>
    <w:rsid w:val="00A4714B"/>
    <w:rsid w:val="00A47180"/>
    <w:rsid w:val="00A4718F"/>
    <w:rsid w:val="00A471B5"/>
    <w:rsid w:val="00A471F6"/>
    <w:rsid w:val="00A47293"/>
    <w:rsid w:val="00A4729D"/>
    <w:rsid w:val="00A472AB"/>
    <w:rsid w:val="00A4734F"/>
    <w:rsid w:val="00A47361"/>
    <w:rsid w:val="00A47375"/>
    <w:rsid w:val="00A47397"/>
    <w:rsid w:val="00A473DC"/>
    <w:rsid w:val="00A473FD"/>
    <w:rsid w:val="00A47403"/>
    <w:rsid w:val="00A47438"/>
    <w:rsid w:val="00A47466"/>
    <w:rsid w:val="00A47480"/>
    <w:rsid w:val="00A47496"/>
    <w:rsid w:val="00A4749D"/>
    <w:rsid w:val="00A474FA"/>
    <w:rsid w:val="00A4751E"/>
    <w:rsid w:val="00A4756B"/>
    <w:rsid w:val="00A47575"/>
    <w:rsid w:val="00A475DA"/>
    <w:rsid w:val="00A475F7"/>
    <w:rsid w:val="00A47629"/>
    <w:rsid w:val="00A47679"/>
    <w:rsid w:val="00A4768B"/>
    <w:rsid w:val="00A4769C"/>
    <w:rsid w:val="00A476F8"/>
    <w:rsid w:val="00A476FB"/>
    <w:rsid w:val="00A47710"/>
    <w:rsid w:val="00A477DD"/>
    <w:rsid w:val="00A477E4"/>
    <w:rsid w:val="00A4781A"/>
    <w:rsid w:val="00A47823"/>
    <w:rsid w:val="00A47841"/>
    <w:rsid w:val="00A4789E"/>
    <w:rsid w:val="00A478C1"/>
    <w:rsid w:val="00A4792C"/>
    <w:rsid w:val="00A4794C"/>
    <w:rsid w:val="00A4796A"/>
    <w:rsid w:val="00A47A21"/>
    <w:rsid w:val="00A47A54"/>
    <w:rsid w:val="00A47AA6"/>
    <w:rsid w:val="00A47AC4"/>
    <w:rsid w:val="00A47ACE"/>
    <w:rsid w:val="00A47B15"/>
    <w:rsid w:val="00A47B51"/>
    <w:rsid w:val="00A47BD9"/>
    <w:rsid w:val="00A47C4F"/>
    <w:rsid w:val="00A47C87"/>
    <w:rsid w:val="00A47C94"/>
    <w:rsid w:val="00A47CF3"/>
    <w:rsid w:val="00A47D71"/>
    <w:rsid w:val="00A47DA2"/>
    <w:rsid w:val="00A47DE1"/>
    <w:rsid w:val="00A47DE8"/>
    <w:rsid w:val="00A47DEA"/>
    <w:rsid w:val="00A47E06"/>
    <w:rsid w:val="00A47E17"/>
    <w:rsid w:val="00A47E48"/>
    <w:rsid w:val="00A47EA2"/>
    <w:rsid w:val="00A47ED0"/>
    <w:rsid w:val="00A47F40"/>
    <w:rsid w:val="00A47F77"/>
    <w:rsid w:val="00A47F8B"/>
    <w:rsid w:val="00A47F8C"/>
    <w:rsid w:val="00A47F9A"/>
    <w:rsid w:val="00A47FDD"/>
    <w:rsid w:val="00A5007B"/>
    <w:rsid w:val="00A5009B"/>
    <w:rsid w:val="00A50106"/>
    <w:rsid w:val="00A50129"/>
    <w:rsid w:val="00A50174"/>
    <w:rsid w:val="00A50182"/>
    <w:rsid w:val="00A501C3"/>
    <w:rsid w:val="00A50217"/>
    <w:rsid w:val="00A50223"/>
    <w:rsid w:val="00A50238"/>
    <w:rsid w:val="00A502C6"/>
    <w:rsid w:val="00A50355"/>
    <w:rsid w:val="00A50398"/>
    <w:rsid w:val="00A50401"/>
    <w:rsid w:val="00A5041E"/>
    <w:rsid w:val="00A5044E"/>
    <w:rsid w:val="00A5045B"/>
    <w:rsid w:val="00A50531"/>
    <w:rsid w:val="00A50568"/>
    <w:rsid w:val="00A50579"/>
    <w:rsid w:val="00A505A9"/>
    <w:rsid w:val="00A505C0"/>
    <w:rsid w:val="00A505D2"/>
    <w:rsid w:val="00A505FD"/>
    <w:rsid w:val="00A5061F"/>
    <w:rsid w:val="00A50629"/>
    <w:rsid w:val="00A5062E"/>
    <w:rsid w:val="00A50642"/>
    <w:rsid w:val="00A50660"/>
    <w:rsid w:val="00A50675"/>
    <w:rsid w:val="00A50692"/>
    <w:rsid w:val="00A506FA"/>
    <w:rsid w:val="00A50779"/>
    <w:rsid w:val="00A507B0"/>
    <w:rsid w:val="00A5081C"/>
    <w:rsid w:val="00A5081D"/>
    <w:rsid w:val="00A50873"/>
    <w:rsid w:val="00A5088F"/>
    <w:rsid w:val="00A508D9"/>
    <w:rsid w:val="00A50900"/>
    <w:rsid w:val="00A50936"/>
    <w:rsid w:val="00A5097F"/>
    <w:rsid w:val="00A50998"/>
    <w:rsid w:val="00A509D3"/>
    <w:rsid w:val="00A509D9"/>
    <w:rsid w:val="00A50A04"/>
    <w:rsid w:val="00A50A2E"/>
    <w:rsid w:val="00A50AD7"/>
    <w:rsid w:val="00A50BCB"/>
    <w:rsid w:val="00A50BF1"/>
    <w:rsid w:val="00A50C14"/>
    <w:rsid w:val="00A50CB1"/>
    <w:rsid w:val="00A50CCB"/>
    <w:rsid w:val="00A50D94"/>
    <w:rsid w:val="00A50DAD"/>
    <w:rsid w:val="00A50E03"/>
    <w:rsid w:val="00A50E51"/>
    <w:rsid w:val="00A50EAC"/>
    <w:rsid w:val="00A50EBA"/>
    <w:rsid w:val="00A50EF8"/>
    <w:rsid w:val="00A50F4F"/>
    <w:rsid w:val="00A50F6A"/>
    <w:rsid w:val="00A50F82"/>
    <w:rsid w:val="00A50FC1"/>
    <w:rsid w:val="00A51012"/>
    <w:rsid w:val="00A51065"/>
    <w:rsid w:val="00A5106C"/>
    <w:rsid w:val="00A510AF"/>
    <w:rsid w:val="00A510B3"/>
    <w:rsid w:val="00A510BC"/>
    <w:rsid w:val="00A51139"/>
    <w:rsid w:val="00A5116A"/>
    <w:rsid w:val="00A511D9"/>
    <w:rsid w:val="00A511FF"/>
    <w:rsid w:val="00A51213"/>
    <w:rsid w:val="00A51258"/>
    <w:rsid w:val="00A512D8"/>
    <w:rsid w:val="00A512E3"/>
    <w:rsid w:val="00A512F5"/>
    <w:rsid w:val="00A513B2"/>
    <w:rsid w:val="00A51400"/>
    <w:rsid w:val="00A51470"/>
    <w:rsid w:val="00A514B5"/>
    <w:rsid w:val="00A514CF"/>
    <w:rsid w:val="00A514D8"/>
    <w:rsid w:val="00A514FD"/>
    <w:rsid w:val="00A514FF"/>
    <w:rsid w:val="00A5153F"/>
    <w:rsid w:val="00A51590"/>
    <w:rsid w:val="00A515A9"/>
    <w:rsid w:val="00A515B6"/>
    <w:rsid w:val="00A515B7"/>
    <w:rsid w:val="00A515F7"/>
    <w:rsid w:val="00A515FF"/>
    <w:rsid w:val="00A51632"/>
    <w:rsid w:val="00A51643"/>
    <w:rsid w:val="00A516A5"/>
    <w:rsid w:val="00A516BE"/>
    <w:rsid w:val="00A516F9"/>
    <w:rsid w:val="00A5171A"/>
    <w:rsid w:val="00A5173A"/>
    <w:rsid w:val="00A5174C"/>
    <w:rsid w:val="00A5175B"/>
    <w:rsid w:val="00A51792"/>
    <w:rsid w:val="00A517A9"/>
    <w:rsid w:val="00A5183A"/>
    <w:rsid w:val="00A5188B"/>
    <w:rsid w:val="00A518F1"/>
    <w:rsid w:val="00A51975"/>
    <w:rsid w:val="00A519DD"/>
    <w:rsid w:val="00A51A17"/>
    <w:rsid w:val="00A51A25"/>
    <w:rsid w:val="00A51A5F"/>
    <w:rsid w:val="00A51AC4"/>
    <w:rsid w:val="00A51B41"/>
    <w:rsid w:val="00A51B62"/>
    <w:rsid w:val="00A51B87"/>
    <w:rsid w:val="00A51B9B"/>
    <w:rsid w:val="00A51C35"/>
    <w:rsid w:val="00A51C38"/>
    <w:rsid w:val="00A51C4A"/>
    <w:rsid w:val="00A51C5B"/>
    <w:rsid w:val="00A51CAB"/>
    <w:rsid w:val="00A51CAC"/>
    <w:rsid w:val="00A51CE1"/>
    <w:rsid w:val="00A51CF2"/>
    <w:rsid w:val="00A51D32"/>
    <w:rsid w:val="00A51D39"/>
    <w:rsid w:val="00A51D61"/>
    <w:rsid w:val="00A51E3D"/>
    <w:rsid w:val="00A51E4D"/>
    <w:rsid w:val="00A51E5A"/>
    <w:rsid w:val="00A51E6C"/>
    <w:rsid w:val="00A51E81"/>
    <w:rsid w:val="00A51EBC"/>
    <w:rsid w:val="00A51EBD"/>
    <w:rsid w:val="00A51EC5"/>
    <w:rsid w:val="00A51EDF"/>
    <w:rsid w:val="00A51EF9"/>
    <w:rsid w:val="00A51EFB"/>
    <w:rsid w:val="00A51F0D"/>
    <w:rsid w:val="00A51F11"/>
    <w:rsid w:val="00A51F1B"/>
    <w:rsid w:val="00A51F45"/>
    <w:rsid w:val="00A51F77"/>
    <w:rsid w:val="00A51F8A"/>
    <w:rsid w:val="00A51FB8"/>
    <w:rsid w:val="00A5203E"/>
    <w:rsid w:val="00A5204E"/>
    <w:rsid w:val="00A52099"/>
    <w:rsid w:val="00A5210D"/>
    <w:rsid w:val="00A52111"/>
    <w:rsid w:val="00A5212E"/>
    <w:rsid w:val="00A52137"/>
    <w:rsid w:val="00A5214F"/>
    <w:rsid w:val="00A52152"/>
    <w:rsid w:val="00A52176"/>
    <w:rsid w:val="00A5218A"/>
    <w:rsid w:val="00A52220"/>
    <w:rsid w:val="00A5224A"/>
    <w:rsid w:val="00A5227F"/>
    <w:rsid w:val="00A522B5"/>
    <w:rsid w:val="00A522B9"/>
    <w:rsid w:val="00A522C6"/>
    <w:rsid w:val="00A522E5"/>
    <w:rsid w:val="00A52314"/>
    <w:rsid w:val="00A52346"/>
    <w:rsid w:val="00A523BC"/>
    <w:rsid w:val="00A523F6"/>
    <w:rsid w:val="00A52465"/>
    <w:rsid w:val="00A524E5"/>
    <w:rsid w:val="00A5250F"/>
    <w:rsid w:val="00A5253C"/>
    <w:rsid w:val="00A52550"/>
    <w:rsid w:val="00A52561"/>
    <w:rsid w:val="00A525A0"/>
    <w:rsid w:val="00A52601"/>
    <w:rsid w:val="00A5261E"/>
    <w:rsid w:val="00A52632"/>
    <w:rsid w:val="00A526BD"/>
    <w:rsid w:val="00A5278E"/>
    <w:rsid w:val="00A527C1"/>
    <w:rsid w:val="00A527E2"/>
    <w:rsid w:val="00A527E5"/>
    <w:rsid w:val="00A527F1"/>
    <w:rsid w:val="00A528D3"/>
    <w:rsid w:val="00A528E8"/>
    <w:rsid w:val="00A52926"/>
    <w:rsid w:val="00A52927"/>
    <w:rsid w:val="00A529AC"/>
    <w:rsid w:val="00A529AE"/>
    <w:rsid w:val="00A529BE"/>
    <w:rsid w:val="00A529C5"/>
    <w:rsid w:val="00A52A48"/>
    <w:rsid w:val="00A52A53"/>
    <w:rsid w:val="00A52A73"/>
    <w:rsid w:val="00A52A75"/>
    <w:rsid w:val="00A52A7A"/>
    <w:rsid w:val="00A52A88"/>
    <w:rsid w:val="00A52A89"/>
    <w:rsid w:val="00A52AAD"/>
    <w:rsid w:val="00A52AD9"/>
    <w:rsid w:val="00A52B2E"/>
    <w:rsid w:val="00A52B40"/>
    <w:rsid w:val="00A52B52"/>
    <w:rsid w:val="00A52C19"/>
    <w:rsid w:val="00A52C6C"/>
    <w:rsid w:val="00A52CD2"/>
    <w:rsid w:val="00A52CF5"/>
    <w:rsid w:val="00A52D63"/>
    <w:rsid w:val="00A52D74"/>
    <w:rsid w:val="00A52D75"/>
    <w:rsid w:val="00A52DAE"/>
    <w:rsid w:val="00A52DC4"/>
    <w:rsid w:val="00A52E23"/>
    <w:rsid w:val="00A52E55"/>
    <w:rsid w:val="00A52E69"/>
    <w:rsid w:val="00A52EE3"/>
    <w:rsid w:val="00A52EF7"/>
    <w:rsid w:val="00A52F2E"/>
    <w:rsid w:val="00A52F73"/>
    <w:rsid w:val="00A52F8C"/>
    <w:rsid w:val="00A52FDB"/>
    <w:rsid w:val="00A52FEA"/>
    <w:rsid w:val="00A52FF2"/>
    <w:rsid w:val="00A53170"/>
    <w:rsid w:val="00A53182"/>
    <w:rsid w:val="00A53189"/>
    <w:rsid w:val="00A53202"/>
    <w:rsid w:val="00A5320E"/>
    <w:rsid w:val="00A5321A"/>
    <w:rsid w:val="00A53226"/>
    <w:rsid w:val="00A5325A"/>
    <w:rsid w:val="00A53296"/>
    <w:rsid w:val="00A5332E"/>
    <w:rsid w:val="00A5334B"/>
    <w:rsid w:val="00A53361"/>
    <w:rsid w:val="00A533D1"/>
    <w:rsid w:val="00A533E2"/>
    <w:rsid w:val="00A53416"/>
    <w:rsid w:val="00A5346F"/>
    <w:rsid w:val="00A53488"/>
    <w:rsid w:val="00A534DA"/>
    <w:rsid w:val="00A5353E"/>
    <w:rsid w:val="00A53565"/>
    <w:rsid w:val="00A53584"/>
    <w:rsid w:val="00A5358F"/>
    <w:rsid w:val="00A535A5"/>
    <w:rsid w:val="00A535A8"/>
    <w:rsid w:val="00A5363D"/>
    <w:rsid w:val="00A5364F"/>
    <w:rsid w:val="00A53655"/>
    <w:rsid w:val="00A5365A"/>
    <w:rsid w:val="00A536B1"/>
    <w:rsid w:val="00A536B9"/>
    <w:rsid w:val="00A536C7"/>
    <w:rsid w:val="00A536D0"/>
    <w:rsid w:val="00A536DC"/>
    <w:rsid w:val="00A53768"/>
    <w:rsid w:val="00A53780"/>
    <w:rsid w:val="00A53784"/>
    <w:rsid w:val="00A537C3"/>
    <w:rsid w:val="00A537D9"/>
    <w:rsid w:val="00A537F5"/>
    <w:rsid w:val="00A537FF"/>
    <w:rsid w:val="00A53839"/>
    <w:rsid w:val="00A5385C"/>
    <w:rsid w:val="00A53862"/>
    <w:rsid w:val="00A53896"/>
    <w:rsid w:val="00A5389F"/>
    <w:rsid w:val="00A538A8"/>
    <w:rsid w:val="00A538C9"/>
    <w:rsid w:val="00A538FF"/>
    <w:rsid w:val="00A5392D"/>
    <w:rsid w:val="00A53968"/>
    <w:rsid w:val="00A5396C"/>
    <w:rsid w:val="00A53976"/>
    <w:rsid w:val="00A539CF"/>
    <w:rsid w:val="00A53A1F"/>
    <w:rsid w:val="00A53A20"/>
    <w:rsid w:val="00A53ACA"/>
    <w:rsid w:val="00A53AD1"/>
    <w:rsid w:val="00A53ADB"/>
    <w:rsid w:val="00A53B0E"/>
    <w:rsid w:val="00A53B28"/>
    <w:rsid w:val="00A53B45"/>
    <w:rsid w:val="00A53B9A"/>
    <w:rsid w:val="00A53BA7"/>
    <w:rsid w:val="00A53C02"/>
    <w:rsid w:val="00A53C81"/>
    <w:rsid w:val="00A53C9D"/>
    <w:rsid w:val="00A53C9E"/>
    <w:rsid w:val="00A53CC0"/>
    <w:rsid w:val="00A53D0A"/>
    <w:rsid w:val="00A53D2B"/>
    <w:rsid w:val="00A53D74"/>
    <w:rsid w:val="00A53DD2"/>
    <w:rsid w:val="00A53DDD"/>
    <w:rsid w:val="00A53DE4"/>
    <w:rsid w:val="00A53DEF"/>
    <w:rsid w:val="00A53E1C"/>
    <w:rsid w:val="00A53E83"/>
    <w:rsid w:val="00A53E85"/>
    <w:rsid w:val="00A53ED8"/>
    <w:rsid w:val="00A53F45"/>
    <w:rsid w:val="00A53F7A"/>
    <w:rsid w:val="00A53FD4"/>
    <w:rsid w:val="00A53FE6"/>
    <w:rsid w:val="00A53FF0"/>
    <w:rsid w:val="00A53FFC"/>
    <w:rsid w:val="00A5400B"/>
    <w:rsid w:val="00A54015"/>
    <w:rsid w:val="00A54021"/>
    <w:rsid w:val="00A54054"/>
    <w:rsid w:val="00A54080"/>
    <w:rsid w:val="00A541C2"/>
    <w:rsid w:val="00A541C9"/>
    <w:rsid w:val="00A541E1"/>
    <w:rsid w:val="00A541EB"/>
    <w:rsid w:val="00A54212"/>
    <w:rsid w:val="00A54229"/>
    <w:rsid w:val="00A542D3"/>
    <w:rsid w:val="00A542E7"/>
    <w:rsid w:val="00A542EC"/>
    <w:rsid w:val="00A5433A"/>
    <w:rsid w:val="00A54366"/>
    <w:rsid w:val="00A543B3"/>
    <w:rsid w:val="00A543B8"/>
    <w:rsid w:val="00A54422"/>
    <w:rsid w:val="00A5442C"/>
    <w:rsid w:val="00A5445D"/>
    <w:rsid w:val="00A5447E"/>
    <w:rsid w:val="00A544AD"/>
    <w:rsid w:val="00A5450A"/>
    <w:rsid w:val="00A5450F"/>
    <w:rsid w:val="00A54519"/>
    <w:rsid w:val="00A5452A"/>
    <w:rsid w:val="00A54546"/>
    <w:rsid w:val="00A5454D"/>
    <w:rsid w:val="00A545B7"/>
    <w:rsid w:val="00A545DA"/>
    <w:rsid w:val="00A545E6"/>
    <w:rsid w:val="00A545EE"/>
    <w:rsid w:val="00A54694"/>
    <w:rsid w:val="00A546A1"/>
    <w:rsid w:val="00A546C0"/>
    <w:rsid w:val="00A546C3"/>
    <w:rsid w:val="00A546F9"/>
    <w:rsid w:val="00A5474B"/>
    <w:rsid w:val="00A547BD"/>
    <w:rsid w:val="00A547C5"/>
    <w:rsid w:val="00A547EF"/>
    <w:rsid w:val="00A547F2"/>
    <w:rsid w:val="00A54820"/>
    <w:rsid w:val="00A54829"/>
    <w:rsid w:val="00A5483D"/>
    <w:rsid w:val="00A548C2"/>
    <w:rsid w:val="00A548DD"/>
    <w:rsid w:val="00A548F2"/>
    <w:rsid w:val="00A54A02"/>
    <w:rsid w:val="00A54B42"/>
    <w:rsid w:val="00A54B6B"/>
    <w:rsid w:val="00A54BA7"/>
    <w:rsid w:val="00A54BF2"/>
    <w:rsid w:val="00A54C7D"/>
    <w:rsid w:val="00A54C7E"/>
    <w:rsid w:val="00A54CEB"/>
    <w:rsid w:val="00A54CEE"/>
    <w:rsid w:val="00A54CF0"/>
    <w:rsid w:val="00A54D90"/>
    <w:rsid w:val="00A54DA0"/>
    <w:rsid w:val="00A54DA1"/>
    <w:rsid w:val="00A54E2A"/>
    <w:rsid w:val="00A54E63"/>
    <w:rsid w:val="00A54E82"/>
    <w:rsid w:val="00A54E8D"/>
    <w:rsid w:val="00A54EAC"/>
    <w:rsid w:val="00A54EB4"/>
    <w:rsid w:val="00A54ECE"/>
    <w:rsid w:val="00A54EDF"/>
    <w:rsid w:val="00A54EFA"/>
    <w:rsid w:val="00A54F42"/>
    <w:rsid w:val="00A55043"/>
    <w:rsid w:val="00A55053"/>
    <w:rsid w:val="00A55066"/>
    <w:rsid w:val="00A55098"/>
    <w:rsid w:val="00A5509F"/>
    <w:rsid w:val="00A5515A"/>
    <w:rsid w:val="00A55160"/>
    <w:rsid w:val="00A55167"/>
    <w:rsid w:val="00A5519C"/>
    <w:rsid w:val="00A551EF"/>
    <w:rsid w:val="00A55220"/>
    <w:rsid w:val="00A55222"/>
    <w:rsid w:val="00A5524C"/>
    <w:rsid w:val="00A5524F"/>
    <w:rsid w:val="00A55276"/>
    <w:rsid w:val="00A55304"/>
    <w:rsid w:val="00A55316"/>
    <w:rsid w:val="00A5537C"/>
    <w:rsid w:val="00A553BA"/>
    <w:rsid w:val="00A553C8"/>
    <w:rsid w:val="00A55414"/>
    <w:rsid w:val="00A55441"/>
    <w:rsid w:val="00A55466"/>
    <w:rsid w:val="00A554A8"/>
    <w:rsid w:val="00A554C4"/>
    <w:rsid w:val="00A554DD"/>
    <w:rsid w:val="00A55546"/>
    <w:rsid w:val="00A55590"/>
    <w:rsid w:val="00A555BD"/>
    <w:rsid w:val="00A55610"/>
    <w:rsid w:val="00A5563B"/>
    <w:rsid w:val="00A5565E"/>
    <w:rsid w:val="00A55691"/>
    <w:rsid w:val="00A556B7"/>
    <w:rsid w:val="00A55748"/>
    <w:rsid w:val="00A557C5"/>
    <w:rsid w:val="00A55819"/>
    <w:rsid w:val="00A5581D"/>
    <w:rsid w:val="00A55827"/>
    <w:rsid w:val="00A558B7"/>
    <w:rsid w:val="00A558D5"/>
    <w:rsid w:val="00A55924"/>
    <w:rsid w:val="00A55933"/>
    <w:rsid w:val="00A55957"/>
    <w:rsid w:val="00A559B2"/>
    <w:rsid w:val="00A55A02"/>
    <w:rsid w:val="00A55A18"/>
    <w:rsid w:val="00A55A28"/>
    <w:rsid w:val="00A55A41"/>
    <w:rsid w:val="00A55AB2"/>
    <w:rsid w:val="00A55BFC"/>
    <w:rsid w:val="00A55C25"/>
    <w:rsid w:val="00A55C56"/>
    <w:rsid w:val="00A55CA7"/>
    <w:rsid w:val="00A55D29"/>
    <w:rsid w:val="00A55D3A"/>
    <w:rsid w:val="00A55DD5"/>
    <w:rsid w:val="00A55DF6"/>
    <w:rsid w:val="00A55E2E"/>
    <w:rsid w:val="00A55E4C"/>
    <w:rsid w:val="00A55E66"/>
    <w:rsid w:val="00A55E9C"/>
    <w:rsid w:val="00A55F01"/>
    <w:rsid w:val="00A55F38"/>
    <w:rsid w:val="00A55F9E"/>
    <w:rsid w:val="00A55FA1"/>
    <w:rsid w:val="00A55FA5"/>
    <w:rsid w:val="00A55FC1"/>
    <w:rsid w:val="00A5600C"/>
    <w:rsid w:val="00A5600E"/>
    <w:rsid w:val="00A560FC"/>
    <w:rsid w:val="00A5612B"/>
    <w:rsid w:val="00A5616D"/>
    <w:rsid w:val="00A561DD"/>
    <w:rsid w:val="00A561FD"/>
    <w:rsid w:val="00A56223"/>
    <w:rsid w:val="00A5622F"/>
    <w:rsid w:val="00A56233"/>
    <w:rsid w:val="00A5631C"/>
    <w:rsid w:val="00A56359"/>
    <w:rsid w:val="00A5644A"/>
    <w:rsid w:val="00A5645A"/>
    <w:rsid w:val="00A56477"/>
    <w:rsid w:val="00A564B5"/>
    <w:rsid w:val="00A56517"/>
    <w:rsid w:val="00A5657C"/>
    <w:rsid w:val="00A565CE"/>
    <w:rsid w:val="00A565EA"/>
    <w:rsid w:val="00A56694"/>
    <w:rsid w:val="00A566AC"/>
    <w:rsid w:val="00A566CB"/>
    <w:rsid w:val="00A566D9"/>
    <w:rsid w:val="00A566DA"/>
    <w:rsid w:val="00A566FA"/>
    <w:rsid w:val="00A56708"/>
    <w:rsid w:val="00A5676C"/>
    <w:rsid w:val="00A5678D"/>
    <w:rsid w:val="00A56798"/>
    <w:rsid w:val="00A5679C"/>
    <w:rsid w:val="00A567E2"/>
    <w:rsid w:val="00A567F7"/>
    <w:rsid w:val="00A56811"/>
    <w:rsid w:val="00A568EF"/>
    <w:rsid w:val="00A56952"/>
    <w:rsid w:val="00A56961"/>
    <w:rsid w:val="00A569ED"/>
    <w:rsid w:val="00A569F6"/>
    <w:rsid w:val="00A56A31"/>
    <w:rsid w:val="00A56AA4"/>
    <w:rsid w:val="00A56AAE"/>
    <w:rsid w:val="00A56AC1"/>
    <w:rsid w:val="00A56AC5"/>
    <w:rsid w:val="00A56B77"/>
    <w:rsid w:val="00A56BA3"/>
    <w:rsid w:val="00A56BCE"/>
    <w:rsid w:val="00A56BFE"/>
    <w:rsid w:val="00A56C0C"/>
    <w:rsid w:val="00A56C4A"/>
    <w:rsid w:val="00A56CB5"/>
    <w:rsid w:val="00A56CCC"/>
    <w:rsid w:val="00A56CE6"/>
    <w:rsid w:val="00A56D00"/>
    <w:rsid w:val="00A56D44"/>
    <w:rsid w:val="00A56D5A"/>
    <w:rsid w:val="00A56D7D"/>
    <w:rsid w:val="00A56DA0"/>
    <w:rsid w:val="00A56DE9"/>
    <w:rsid w:val="00A56E18"/>
    <w:rsid w:val="00A56E34"/>
    <w:rsid w:val="00A56E6F"/>
    <w:rsid w:val="00A56EE5"/>
    <w:rsid w:val="00A56F33"/>
    <w:rsid w:val="00A56F4B"/>
    <w:rsid w:val="00A56F9D"/>
    <w:rsid w:val="00A56FE5"/>
    <w:rsid w:val="00A5701E"/>
    <w:rsid w:val="00A5702F"/>
    <w:rsid w:val="00A5706C"/>
    <w:rsid w:val="00A57086"/>
    <w:rsid w:val="00A570BA"/>
    <w:rsid w:val="00A570BE"/>
    <w:rsid w:val="00A57104"/>
    <w:rsid w:val="00A57107"/>
    <w:rsid w:val="00A5711F"/>
    <w:rsid w:val="00A57185"/>
    <w:rsid w:val="00A5719F"/>
    <w:rsid w:val="00A571AA"/>
    <w:rsid w:val="00A571D1"/>
    <w:rsid w:val="00A57214"/>
    <w:rsid w:val="00A57226"/>
    <w:rsid w:val="00A5722B"/>
    <w:rsid w:val="00A5723B"/>
    <w:rsid w:val="00A57253"/>
    <w:rsid w:val="00A57259"/>
    <w:rsid w:val="00A5726A"/>
    <w:rsid w:val="00A572BF"/>
    <w:rsid w:val="00A572C6"/>
    <w:rsid w:val="00A57308"/>
    <w:rsid w:val="00A57309"/>
    <w:rsid w:val="00A57311"/>
    <w:rsid w:val="00A5731D"/>
    <w:rsid w:val="00A5733E"/>
    <w:rsid w:val="00A57383"/>
    <w:rsid w:val="00A573A2"/>
    <w:rsid w:val="00A573A9"/>
    <w:rsid w:val="00A573AC"/>
    <w:rsid w:val="00A573E1"/>
    <w:rsid w:val="00A5741D"/>
    <w:rsid w:val="00A57485"/>
    <w:rsid w:val="00A574A8"/>
    <w:rsid w:val="00A57503"/>
    <w:rsid w:val="00A5750E"/>
    <w:rsid w:val="00A57527"/>
    <w:rsid w:val="00A5757F"/>
    <w:rsid w:val="00A575BB"/>
    <w:rsid w:val="00A5760A"/>
    <w:rsid w:val="00A57611"/>
    <w:rsid w:val="00A57643"/>
    <w:rsid w:val="00A57651"/>
    <w:rsid w:val="00A5765A"/>
    <w:rsid w:val="00A5767B"/>
    <w:rsid w:val="00A576B7"/>
    <w:rsid w:val="00A576E7"/>
    <w:rsid w:val="00A5775D"/>
    <w:rsid w:val="00A57778"/>
    <w:rsid w:val="00A5778C"/>
    <w:rsid w:val="00A57844"/>
    <w:rsid w:val="00A57862"/>
    <w:rsid w:val="00A5789F"/>
    <w:rsid w:val="00A578C6"/>
    <w:rsid w:val="00A578D9"/>
    <w:rsid w:val="00A578E8"/>
    <w:rsid w:val="00A57999"/>
    <w:rsid w:val="00A579A3"/>
    <w:rsid w:val="00A579DF"/>
    <w:rsid w:val="00A57A0D"/>
    <w:rsid w:val="00A57A4C"/>
    <w:rsid w:val="00A57A56"/>
    <w:rsid w:val="00A57A58"/>
    <w:rsid w:val="00A57A64"/>
    <w:rsid w:val="00A57A6F"/>
    <w:rsid w:val="00A57A7F"/>
    <w:rsid w:val="00A57ADC"/>
    <w:rsid w:val="00A57AE5"/>
    <w:rsid w:val="00A57B12"/>
    <w:rsid w:val="00A57B21"/>
    <w:rsid w:val="00A57B36"/>
    <w:rsid w:val="00A57B7B"/>
    <w:rsid w:val="00A57B97"/>
    <w:rsid w:val="00A57BB1"/>
    <w:rsid w:val="00A57BBD"/>
    <w:rsid w:val="00A57BFB"/>
    <w:rsid w:val="00A57C84"/>
    <w:rsid w:val="00A57CA1"/>
    <w:rsid w:val="00A57CE8"/>
    <w:rsid w:val="00A57D19"/>
    <w:rsid w:val="00A57D1A"/>
    <w:rsid w:val="00A57D6C"/>
    <w:rsid w:val="00A57DE0"/>
    <w:rsid w:val="00A57DEA"/>
    <w:rsid w:val="00A57E0E"/>
    <w:rsid w:val="00A57E3F"/>
    <w:rsid w:val="00A57E5B"/>
    <w:rsid w:val="00A57E8F"/>
    <w:rsid w:val="00A57EA2"/>
    <w:rsid w:val="00A57EDA"/>
    <w:rsid w:val="00A57F53"/>
    <w:rsid w:val="00A57F97"/>
    <w:rsid w:val="00A60006"/>
    <w:rsid w:val="00A60055"/>
    <w:rsid w:val="00A6008B"/>
    <w:rsid w:val="00A600E6"/>
    <w:rsid w:val="00A601E2"/>
    <w:rsid w:val="00A6021F"/>
    <w:rsid w:val="00A60228"/>
    <w:rsid w:val="00A6023D"/>
    <w:rsid w:val="00A6024C"/>
    <w:rsid w:val="00A60293"/>
    <w:rsid w:val="00A602B9"/>
    <w:rsid w:val="00A60318"/>
    <w:rsid w:val="00A60325"/>
    <w:rsid w:val="00A6034F"/>
    <w:rsid w:val="00A60398"/>
    <w:rsid w:val="00A6039A"/>
    <w:rsid w:val="00A6039E"/>
    <w:rsid w:val="00A603A2"/>
    <w:rsid w:val="00A603CA"/>
    <w:rsid w:val="00A603CD"/>
    <w:rsid w:val="00A6045E"/>
    <w:rsid w:val="00A60519"/>
    <w:rsid w:val="00A60534"/>
    <w:rsid w:val="00A605AB"/>
    <w:rsid w:val="00A605D0"/>
    <w:rsid w:val="00A605FD"/>
    <w:rsid w:val="00A60641"/>
    <w:rsid w:val="00A60658"/>
    <w:rsid w:val="00A606F9"/>
    <w:rsid w:val="00A60714"/>
    <w:rsid w:val="00A6073B"/>
    <w:rsid w:val="00A60755"/>
    <w:rsid w:val="00A60764"/>
    <w:rsid w:val="00A6077E"/>
    <w:rsid w:val="00A60780"/>
    <w:rsid w:val="00A607B7"/>
    <w:rsid w:val="00A607CF"/>
    <w:rsid w:val="00A6080C"/>
    <w:rsid w:val="00A60843"/>
    <w:rsid w:val="00A608A2"/>
    <w:rsid w:val="00A608FA"/>
    <w:rsid w:val="00A6097C"/>
    <w:rsid w:val="00A609E3"/>
    <w:rsid w:val="00A609E8"/>
    <w:rsid w:val="00A609F3"/>
    <w:rsid w:val="00A60A0A"/>
    <w:rsid w:val="00A60A32"/>
    <w:rsid w:val="00A60A4B"/>
    <w:rsid w:val="00A60A65"/>
    <w:rsid w:val="00A60AD0"/>
    <w:rsid w:val="00A60B87"/>
    <w:rsid w:val="00A60BBA"/>
    <w:rsid w:val="00A60BE5"/>
    <w:rsid w:val="00A60C03"/>
    <w:rsid w:val="00A60C26"/>
    <w:rsid w:val="00A60C5F"/>
    <w:rsid w:val="00A60C64"/>
    <w:rsid w:val="00A60C68"/>
    <w:rsid w:val="00A60C9B"/>
    <w:rsid w:val="00A60C9C"/>
    <w:rsid w:val="00A60CA9"/>
    <w:rsid w:val="00A60CE6"/>
    <w:rsid w:val="00A60CF7"/>
    <w:rsid w:val="00A60D62"/>
    <w:rsid w:val="00A60D89"/>
    <w:rsid w:val="00A60DAF"/>
    <w:rsid w:val="00A60DDC"/>
    <w:rsid w:val="00A60F14"/>
    <w:rsid w:val="00A60F1E"/>
    <w:rsid w:val="00A60F30"/>
    <w:rsid w:val="00A60F34"/>
    <w:rsid w:val="00A60F8B"/>
    <w:rsid w:val="00A60FEB"/>
    <w:rsid w:val="00A6100A"/>
    <w:rsid w:val="00A61028"/>
    <w:rsid w:val="00A6102E"/>
    <w:rsid w:val="00A61066"/>
    <w:rsid w:val="00A61074"/>
    <w:rsid w:val="00A610A6"/>
    <w:rsid w:val="00A610D7"/>
    <w:rsid w:val="00A610F5"/>
    <w:rsid w:val="00A61125"/>
    <w:rsid w:val="00A61135"/>
    <w:rsid w:val="00A6114C"/>
    <w:rsid w:val="00A611BD"/>
    <w:rsid w:val="00A611F8"/>
    <w:rsid w:val="00A61205"/>
    <w:rsid w:val="00A61262"/>
    <w:rsid w:val="00A6128D"/>
    <w:rsid w:val="00A61312"/>
    <w:rsid w:val="00A61334"/>
    <w:rsid w:val="00A613D9"/>
    <w:rsid w:val="00A61408"/>
    <w:rsid w:val="00A61434"/>
    <w:rsid w:val="00A61457"/>
    <w:rsid w:val="00A6146C"/>
    <w:rsid w:val="00A614F1"/>
    <w:rsid w:val="00A614F4"/>
    <w:rsid w:val="00A61503"/>
    <w:rsid w:val="00A615BA"/>
    <w:rsid w:val="00A615D1"/>
    <w:rsid w:val="00A615ED"/>
    <w:rsid w:val="00A616E7"/>
    <w:rsid w:val="00A616EC"/>
    <w:rsid w:val="00A616F0"/>
    <w:rsid w:val="00A616F2"/>
    <w:rsid w:val="00A6172D"/>
    <w:rsid w:val="00A61795"/>
    <w:rsid w:val="00A6179E"/>
    <w:rsid w:val="00A617B2"/>
    <w:rsid w:val="00A61860"/>
    <w:rsid w:val="00A61872"/>
    <w:rsid w:val="00A6188F"/>
    <w:rsid w:val="00A6193C"/>
    <w:rsid w:val="00A6197E"/>
    <w:rsid w:val="00A619A8"/>
    <w:rsid w:val="00A619B0"/>
    <w:rsid w:val="00A619C1"/>
    <w:rsid w:val="00A619C3"/>
    <w:rsid w:val="00A619D3"/>
    <w:rsid w:val="00A61ADA"/>
    <w:rsid w:val="00A61AF4"/>
    <w:rsid w:val="00A61B40"/>
    <w:rsid w:val="00A61BB4"/>
    <w:rsid w:val="00A61C07"/>
    <w:rsid w:val="00A61C32"/>
    <w:rsid w:val="00A61C4E"/>
    <w:rsid w:val="00A61C58"/>
    <w:rsid w:val="00A61CA6"/>
    <w:rsid w:val="00A61CED"/>
    <w:rsid w:val="00A61D23"/>
    <w:rsid w:val="00A61DC7"/>
    <w:rsid w:val="00A61EC2"/>
    <w:rsid w:val="00A61EDA"/>
    <w:rsid w:val="00A61F17"/>
    <w:rsid w:val="00A61F2A"/>
    <w:rsid w:val="00A61F5D"/>
    <w:rsid w:val="00A61FDD"/>
    <w:rsid w:val="00A61FED"/>
    <w:rsid w:val="00A620A4"/>
    <w:rsid w:val="00A620DD"/>
    <w:rsid w:val="00A6213C"/>
    <w:rsid w:val="00A621B6"/>
    <w:rsid w:val="00A6223A"/>
    <w:rsid w:val="00A62272"/>
    <w:rsid w:val="00A622BB"/>
    <w:rsid w:val="00A622BC"/>
    <w:rsid w:val="00A6236C"/>
    <w:rsid w:val="00A623C6"/>
    <w:rsid w:val="00A6244D"/>
    <w:rsid w:val="00A624ED"/>
    <w:rsid w:val="00A62574"/>
    <w:rsid w:val="00A625E5"/>
    <w:rsid w:val="00A62648"/>
    <w:rsid w:val="00A626A6"/>
    <w:rsid w:val="00A626D8"/>
    <w:rsid w:val="00A62753"/>
    <w:rsid w:val="00A6278F"/>
    <w:rsid w:val="00A62794"/>
    <w:rsid w:val="00A62846"/>
    <w:rsid w:val="00A6299D"/>
    <w:rsid w:val="00A629C5"/>
    <w:rsid w:val="00A629DF"/>
    <w:rsid w:val="00A62A16"/>
    <w:rsid w:val="00A62A57"/>
    <w:rsid w:val="00A62AC9"/>
    <w:rsid w:val="00A62B16"/>
    <w:rsid w:val="00A62B2A"/>
    <w:rsid w:val="00A62B36"/>
    <w:rsid w:val="00A62B69"/>
    <w:rsid w:val="00A62B82"/>
    <w:rsid w:val="00A62B83"/>
    <w:rsid w:val="00A62BA7"/>
    <w:rsid w:val="00A62C65"/>
    <w:rsid w:val="00A62CB9"/>
    <w:rsid w:val="00A62CFF"/>
    <w:rsid w:val="00A62D17"/>
    <w:rsid w:val="00A62D40"/>
    <w:rsid w:val="00A62D51"/>
    <w:rsid w:val="00A62DA6"/>
    <w:rsid w:val="00A62DDA"/>
    <w:rsid w:val="00A62E10"/>
    <w:rsid w:val="00A62E57"/>
    <w:rsid w:val="00A62EE0"/>
    <w:rsid w:val="00A62F10"/>
    <w:rsid w:val="00A62F57"/>
    <w:rsid w:val="00A62FB7"/>
    <w:rsid w:val="00A62FE9"/>
    <w:rsid w:val="00A63009"/>
    <w:rsid w:val="00A6302C"/>
    <w:rsid w:val="00A63030"/>
    <w:rsid w:val="00A63054"/>
    <w:rsid w:val="00A630F1"/>
    <w:rsid w:val="00A63115"/>
    <w:rsid w:val="00A63254"/>
    <w:rsid w:val="00A632C9"/>
    <w:rsid w:val="00A632F0"/>
    <w:rsid w:val="00A632FF"/>
    <w:rsid w:val="00A63327"/>
    <w:rsid w:val="00A63329"/>
    <w:rsid w:val="00A63335"/>
    <w:rsid w:val="00A6336E"/>
    <w:rsid w:val="00A633CB"/>
    <w:rsid w:val="00A6340B"/>
    <w:rsid w:val="00A6348D"/>
    <w:rsid w:val="00A634D3"/>
    <w:rsid w:val="00A6351B"/>
    <w:rsid w:val="00A6352A"/>
    <w:rsid w:val="00A63538"/>
    <w:rsid w:val="00A63547"/>
    <w:rsid w:val="00A63586"/>
    <w:rsid w:val="00A635A0"/>
    <w:rsid w:val="00A635C6"/>
    <w:rsid w:val="00A635CD"/>
    <w:rsid w:val="00A635E0"/>
    <w:rsid w:val="00A635F8"/>
    <w:rsid w:val="00A635F9"/>
    <w:rsid w:val="00A63606"/>
    <w:rsid w:val="00A63625"/>
    <w:rsid w:val="00A63662"/>
    <w:rsid w:val="00A63666"/>
    <w:rsid w:val="00A6367C"/>
    <w:rsid w:val="00A636DA"/>
    <w:rsid w:val="00A636DE"/>
    <w:rsid w:val="00A636E6"/>
    <w:rsid w:val="00A63766"/>
    <w:rsid w:val="00A637FC"/>
    <w:rsid w:val="00A63804"/>
    <w:rsid w:val="00A63832"/>
    <w:rsid w:val="00A63857"/>
    <w:rsid w:val="00A638AA"/>
    <w:rsid w:val="00A638BA"/>
    <w:rsid w:val="00A638CB"/>
    <w:rsid w:val="00A638D4"/>
    <w:rsid w:val="00A638E2"/>
    <w:rsid w:val="00A63923"/>
    <w:rsid w:val="00A63926"/>
    <w:rsid w:val="00A63930"/>
    <w:rsid w:val="00A6394C"/>
    <w:rsid w:val="00A63A11"/>
    <w:rsid w:val="00A63A30"/>
    <w:rsid w:val="00A63A5E"/>
    <w:rsid w:val="00A63A91"/>
    <w:rsid w:val="00A63AAC"/>
    <w:rsid w:val="00A63AD9"/>
    <w:rsid w:val="00A63B14"/>
    <w:rsid w:val="00A63B33"/>
    <w:rsid w:val="00A63B6F"/>
    <w:rsid w:val="00A63C00"/>
    <w:rsid w:val="00A63C6F"/>
    <w:rsid w:val="00A63D4D"/>
    <w:rsid w:val="00A63E49"/>
    <w:rsid w:val="00A63E4B"/>
    <w:rsid w:val="00A63E83"/>
    <w:rsid w:val="00A63EF5"/>
    <w:rsid w:val="00A63F18"/>
    <w:rsid w:val="00A63F22"/>
    <w:rsid w:val="00A63F45"/>
    <w:rsid w:val="00A63F8A"/>
    <w:rsid w:val="00A63F99"/>
    <w:rsid w:val="00A64045"/>
    <w:rsid w:val="00A6407E"/>
    <w:rsid w:val="00A6409D"/>
    <w:rsid w:val="00A640B7"/>
    <w:rsid w:val="00A6410C"/>
    <w:rsid w:val="00A6411A"/>
    <w:rsid w:val="00A6412E"/>
    <w:rsid w:val="00A64175"/>
    <w:rsid w:val="00A64183"/>
    <w:rsid w:val="00A642CE"/>
    <w:rsid w:val="00A64306"/>
    <w:rsid w:val="00A64338"/>
    <w:rsid w:val="00A6438C"/>
    <w:rsid w:val="00A643EE"/>
    <w:rsid w:val="00A64441"/>
    <w:rsid w:val="00A6445F"/>
    <w:rsid w:val="00A6449A"/>
    <w:rsid w:val="00A644C6"/>
    <w:rsid w:val="00A644DA"/>
    <w:rsid w:val="00A644DC"/>
    <w:rsid w:val="00A64516"/>
    <w:rsid w:val="00A64569"/>
    <w:rsid w:val="00A645A2"/>
    <w:rsid w:val="00A645B3"/>
    <w:rsid w:val="00A6462E"/>
    <w:rsid w:val="00A64646"/>
    <w:rsid w:val="00A64677"/>
    <w:rsid w:val="00A64696"/>
    <w:rsid w:val="00A64711"/>
    <w:rsid w:val="00A64735"/>
    <w:rsid w:val="00A64783"/>
    <w:rsid w:val="00A64787"/>
    <w:rsid w:val="00A647B7"/>
    <w:rsid w:val="00A647CA"/>
    <w:rsid w:val="00A64860"/>
    <w:rsid w:val="00A64877"/>
    <w:rsid w:val="00A648DD"/>
    <w:rsid w:val="00A648FC"/>
    <w:rsid w:val="00A64937"/>
    <w:rsid w:val="00A64988"/>
    <w:rsid w:val="00A649D6"/>
    <w:rsid w:val="00A649DA"/>
    <w:rsid w:val="00A64A04"/>
    <w:rsid w:val="00A64AD4"/>
    <w:rsid w:val="00A64B02"/>
    <w:rsid w:val="00A64B41"/>
    <w:rsid w:val="00A64BA1"/>
    <w:rsid w:val="00A64BA6"/>
    <w:rsid w:val="00A64C16"/>
    <w:rsid w:val="00A64C95"/>
    <w:rsid w:val="00A64D0F"/>
    <w:rsid w:val="00A64D85"/>
    <w:rsid w:val="00A64DC8"/>
    <w:rsid w:val="00A64DDE"/>
    <w:rsid w:val="00A64E4E"/>
    <w:rsid w:val="00A64E78"/>
    <w:rsid w:val="00A64EE4"/>
    <w:rsid w:val="00A64F17"/>
    <w:rsid w:val="00A64F36"/>
    <w:rsid w:val="00A64F66"/>
    <w:rsid w:val="00A64FE7"/>
    <w:rsid w:val="00A64FEE"/>
    <w:rsid w:val="00A64FFE"/>
    <w:rsid w:val="00A65022"/>
    <w:rsid w:val="00A65023"/>
    <w:rsid w:val="00A65048"/>
    <w:rsid w:val="00A6505C"/>
    <w:rsid w:val="00A6507A"/>
    <w:rsid w:val="00A6508E"/>
    <w:rsid w:val="00A65090"/>
    <w:rsid w:val="00A650A9"/>
    <w:rsid w:val="00A65158"/>
    <w:rsid w:val="00A65159"/>
    <w:rsid w:val="00A651AD"/>
    <w:rsid w:val="00A651B0"/>
    <w:rsid w:val="00A651DB"/>
    <w:rsid w:val="00A65224"/>
    <w:rsid w:val="00A6523B"/>
    <w:rsid w:val="00A65246"/>
    <w:rsid w:val="00A6524D"/>
    <w:rsid w:val="00A6526B"/>
    <w:rsid w:val="00A652BD"/>
    <w:rsid w:val="00A652BE"/>
    <w:rsid w:val="00A653E7"/>
    <w:rsid w:val="00A653EA"/>
    <w:rsid w:val="00A653F6"/>
    <w:rsid w:val="00A6540D"/>
    <w:rsid w:val="00A65431"/>
    <w:rsid w:val="00A6548A"/>
    <w:rsid w:val="00A654E3"/>
    <w:rsid w:val="00A654F9"/>
    <w:rsid w:val="00A654FA"/>
    <w:rsid w:val="00A654FB"/>
    <w:rsid w:val="00A6551D"/>
    <w:rsid w:val="00A6556F"/>
    <w:rsid w:val="00A6558F"/>
    <w:rsid w:val="00A655BE"/>
    <w:rsid w:val="00A6561F"/>
    <w:rsid w:val="00A656AC"/>
    <w:rsid w:val="00A6572B"/>
    <w:rsid w:val="00A65789"/>
    <w:rsid w:val="00A657BD"/>
    <w:rsid w:val="00A657EF"/>
    <w:rsid w:val="00A657F4"/>
    <w:rsid w:val="00A65870"/>
    <w:rsid w:val="00A65899"/>
    <w:rsid w:val="00A658D9"/>
    <w:rsid w:val="00A6591F"/>
    <w:rsid w:val="00A6596E"/>
    <w:rsid w:val="00A65A01"/>
    <w:rsid w:val="00A65A5E"/>
    <w:rsid w:val="00A65B30"/>
    <w:rsid w:val="00A65B36"/>
    <w:rsid w:val="00A65B59"/>
    <w:rsid w:val="00A65B83"/>
    <w:rsid w:val="00A65BAF"/>
    <w:rsid w:val="00A65BB0"/>
    <w:rsid w:val="00A65BF4"/>
    <w:rsid w:val="00A65C0C"/>
    <w:rsid w:val="00A65C40"/>
    <w:rsid w:val="00A65C41"/>
    <w:rsid w:val="00A65C4B"/>
    <w:rsid w:val="00A65C62"/>
    <w:rsid w:val="00A65CA2"/>
    <w:rsid w:val="00A65CC1"/>
    <w:rsid w:val="00A65CC8"/>
    <w:rsid w:val="00A65D23"/>
    <w:rsid w:val="00A65D6A"/>
    <w:rsid w:val="00A65D81"/>
    <w:rsid w:val="00A65DBE"/>
    <w:rsid w:val="00A65DC7"/>
    <w:rsid w:val="00A65DFA"/>
    <w:rsid w:val="00A65E3C"/>
    <w:rsid w:val="00A65E61"/>
    <w:rsid w:val="00A65E86"/>
    <w:rsid w:val="00A65EBD"/>
    <w:rsid w:val="00A65EC0"/>
    <w:rsid w:val="00A65ED2"/>
    <w:rsid w:val="00A65F44"/>
    <w:rsid w:val="00A65F7E"/>
    <w:rsid w:val="00A65FD0"/>
    <w:rsid w:val="00A6601B"/>
    <w:rsid w:val="00A66037"/>
    <w:rsid w:val="00A6604F"/>
    <w:rsid w:val="00A66069"/>
    <w:rsid w:val="00A660B7"/>
    <w:rsid w:val="00A66115"/>
    <w:rsid w:val="00A66143"/>
    <w:rsid w:val="00A661C9"/>
    <w:rsid w:val="00A66237"/>
    <w:rsid w:val="00A66257"/>
    <w:rsid w:val="00A662B4"/>
    <w:rsid w:val="00A66327"/>
    <w:rsid w:val="00A66360"/>
    <w:rsid w:val="00A66384"/>
    <w:rsid w:val="00A663C1"/>
    <w:rsid w:val="00A663D1"/>
    <w:rsid w:val="00A663D4"/>
    <w:rsid w:val="00A663EF"/>
    <w:rsid w:val="00A663F3"/>
    <w:rsid w:val="00A663F6"/>
    <w:rsid w:val="00A66429"/>
    <w:rsid w:val="00A66442"/>
    <w:rsid w:val="00A66465"/>
    <w:rsid w:val="00A664A4"/>
    <w:rsid w:val="00A664C1"/>
    <w:rsid w:val="00A6652B"/>
    <w:rsid w:val="00A665CF"/>
    <w:rsid w:val="00A665F0"/>
    <w:rsid w:val="00A6663D"/>
    <w:rsid w:val="00A666B9"/>
    <w:rsid w:val="00A666E8"/>
    <w:rsid w:val="00A6678C"/>
    <w:rsid w:val="00A6679D"/>
    <w:rsid w:val="00A66941"/>
    <w:rsid w:val="00A6699C"/>
    <w:rsid w:val="00A669B6"/>
    <w:rsid w:val="00A669EB"/>
    <w:rsid w:val="00A66A12"/>
    <w:rsid w:val="00A66A1D"/>
    <w:rsid w:val="00A66A6A"/>
    <w:rsid w:val="00A66A78"/>
    <w:rsid w:val="00A66A85"/>
    <w:rsid w:val="00A66B18"/>
    <w:rsid w:val="00A66B9B"/>
    <w:rsid w:val="00A66BD0"/>
    <w:rsid w:val="00A66BDD"/>
    <w:rsid w:val="00A66BE9"/>
    <w:rsid w:val="00A66BFB"/>
    <w:rsid w:val="00A66C4C"/>
    <w:rsid w:val="00A66C50"/>
    <w:rsid w:val="00A66C64"/>
    <w:rsid w:val="00A66CA7"/>
    <w:rsid w:val="00A66D2B"/>
    <w:rsid w:val="00A66D47"/>
    <w:rsid w:val="00A66D87"/>
    <w:rsid w:val="00A66D91"/>
    <w:rsid w:val="00A66DA2"/>
    <w:rsid w:val="00A66DAE"/>
    <w:rsid w:val="00A66DAF"/>
    <w:rsid w:val="00A66DB9"/>
    <w:rsid w:val="00A66DC4"/>
    <w:rsid w:val="00A66E1E"/>
    <w:rsid w:val="00A66E75"/>
    <w:rsid w:val="00A66E80"/>
    <w:rsid w:val="00A66E90"/>
    <w:rsid w:val="00A66EB7"/>
    <w:rsid w:val="00A66F27"/>
    <w:rsid w:val="00A66F39"/>
    <w:rsid w:val="00A66F9E"/>
    <w:rsid w:val="00A66FE8"/>
    <w:rsid w:val="00A67063"/>
    <w:rsid w:val="00A670B0"/>
    <w:rsid w:val="00A670D4"/>
    <w:rsid w:val="00A67107"/>
    <w:rsid w:val="00A67154"/>
    <w:rsid w:val="00A67177"/>
    <w:rsid w:val="00A671C0"/>
    <w:rsid w:val="00A671E6"/>
    <w:rsid w:val="00A671E7"/>
    <w:rsid w:val="00A67253"/>
    <w:rsid w:val="00A672FE"/>
    <w:rsid w:val="00A6733F"/>
    <w:rsid w:val="00A6737B"/>
    <w:rsid w:val="00A673FB"/>
    <w:rsid w:val="00A67414"/>
    <w:rsid w:val="00A67424"/>
    <w:rsid w:val="00A6743E"/>
    <w:rsid w:val="00A6746B"/>
    <w:rsid w:val="00A67477"/>
    <w:rsid w:val="00A674E1"/>
    <w:rsid w:val="00A67576"/>
    <w:rsid w:val="00A67583"/>
    <w:rsid w:val="00A675B5"/>
    <w:rsid w:val="00A675FA"/>
    <w:rsid w:val="00A67600"/>
    <w:rsid w:val="00A67617"/>
    <w:rsid w:val="00A67656"/>
    <w:rsid w:val="00A676A5"/>
    <w:rsid w:val="00A676BC"/>
    <w:rsid w:val="00A676C5"/>
    <w:rsid w:val="00A676D1"/>
    <w:rsid w:val="00A67768"/>
    <w:rsid w:val="00A67861"/>
    <w:rsid w:val="00A67862"/>
    <w:rsid w:val="00A67891"/>
    <w:rsid w:val="00A678D9"/>
    <w:rsid w:val="00A67927"/>
    <w:rsid w:val="00A67944"/>
    <w:rsid w:val="00A67963"/>
    <w:rsid w:val="00A679A1"/>
    <w:rsid w:val="00A679F5"/>
    <w:rsid w:val="00A67A1D"/>
    <w:rsid w:val="00A67A45"/>
    <w:rsid w:val="00A67A8A"/>
    <w:rsid w:val="00A67AC4"/>
    <w:rsid w:val="00A67B72"/>
    <w:rsid w:val="00A67B89"/>
    <w:rsid w:val="00A67BC0"/>
    <w:rsid w:val="00A67BEC"/>
    <w:rsid w:val="00A67BED"/>
    <w:rsid w:val="00A67C68"/>
    <w:rsid w:val="00A67C69"/>
    <w:rsid w:val="00A67CAB"/>
    <w:rsid w:val="00A67CF9"/>
    <w:rsid w:val="00A67D2D"/>
    <w:rsid w:val="00A67D73"/>
    <w:rsid w:val="00A67D81"/>
    <w:rsid w:val="00A67D85"/>
    <w:rsid w:val="00A67D99"/>
    <w:rsid w:val="00A67DAC"/>
    <w:rsid w:val="00A67DCB"/>
    <w:rsid w:val="00A67E01"/>
    <w:rsid w:val="00A67E58"/>
    <w:rsid w:val="00A67E5B"/>
    <w:rsid w:val="00A67E7F"/>
    <w:rsid w:val="00A67E87"/>
    <w:rsid w:val="00A67EF8"/>
    <w:rsid w:val="00A67F34"/>
    <w:rsid w:val="00A67F71"/>
    <w:rsid w:val="00A67FA1"/>
    <w:rsid w:val="00A67FBF"/>
    <w:rsid w:val="00A67FD6"/>
    <w:rsid w:val="00A67FD9"/>
    <w:rsid w:val="00A67FE8"/>
    <w:rsid w:val="00A70091"/>
    <w:rsid w:val="00A700E5"/>
    <w:rsid w:val="00A70128"/>
    <w:rsid w:val="00A7017E"/>
    <w:rsid w:val="00A701BA"/>
    <w:rsid w:val="00A70221"/>
    <w:rsid w:val="00A702C7"/>
    <w:rsid w:val="00A702C8"/>
    <w:rsid w:val="00A70329"/>
    <w:rsid w:val="00A70333"/>
    <w:rsid w:val="00A70359"/>
    <w:rsid w:val="00A703A7"/>
    <w:rsid w:val="00A703C9"/>
    <w:rsid w:val="00A703FD"/>
    <w:rsid w:val="00A7041B"/>
    <w:rsid w:val="00A7049F"/>
    <w:rsid w:val="00A70578"/>
    <w:rsid w:val="00A705CE"/>
    <w:rsid w:val="00A705D7"/>
    <w:rsid w:val="00A705FF"/>
    <w:rsid w:val="00A70647"/>
    <w:rsid w:val="00A70680"/>
    <w:rsid w:val="00A706C8"/>
    <w:rsid w:val="00A706D5"/>
    <w:rsid w:val="00A706D8"/>
    <w:rsid w:val="00A706E1"/>
    <w:rsid w:val="00A707A2"/>
    <w:rsid w:val="00A707A5"/>
    <w:rsid w:val="00A707B0"/>
    <w:rsid w:val="00A707C0"/>
    <w:rsid w:val="00A707C5"/>
    <w:rsid w:val="00A7081E"/>
    <w:rsid w:val="00A7085F"/>
    <w:rsid w:val="00A708D8"/>
    <w:rsid w:val="00A70920"/>
    <w:rsid w:val="00A7093D"/>
    <w:rsid w:val="00A709D2"/>
    <w:rsid w:val="00A70A0B"/>
    <w:rsid w:val="00A70A0C"/>
    <w:rsid w:val="00A70A47"/>
    <w:rsid w:val="00A70A74"/>
    <w:rsid w:val="00A70AB3"/>
    <w:rsid w:val="00A70AB6"/>
    <w:rsid w:val="00A70AC4"/>
    <w:rsid w:val="00A70AC5"/>
    <w:rsid w:val="00A70ADA"/>
    <w:rsid w:val="00A70AE2"/>
    <w:rsid w:val="00A70AFC"/>
    <w:rsid w:val="00A70C1F"/>
    <w:rsid w:val="00A70C63"/>
    <w:rsid w:val="00A70C84"/>
    <w:rsid w:val="00A70C8D"/>
    <w:rsid w:val="00A70C92"/>
    <w:rsid w:val="00A70C9D"/>
    <w:rsid w:val="00A70D01"/>
    <w:rsid w:val="00A70D6B"/>
    <w:rsid w:val="00A70D77"/>
    <w:rsid w:val="00A70D82"/>
    <w:rsid w:val="00A70DD6"/>
    <w:rsid w:val="00A70E51"/>
    <w:rsid w:val="00A70E54"/>
    <w:rsid w:val="00A70EBB"/>
    <w:rsid w:val="00A70EDF"/>
    <w:rsid w:val="00A70EF0"/>
    <w:rsid w:val="00A70F16"/>
    <w:rsid w:val="00A70F24"/>
    <w:rsid w:val="00A70F2A"/>
    <w:rsid w:val="00A70F31"/>
    <w:rsid w:val="00A70F49"/>
    <w:rsid w:val="00A70F4E"/>
    <w:rsid w:val="00A70F6B"/>
    <w:rsid w:val="00A70F72"/>
    <w:rsid w:val="00A70FA4"/>
    <w:rsid w:val="00A70FB0"/>
    <w:rsid w:val="00A70FF3"/>
    <w:rsid w:val="00A71032"/>
    <w:rsid w:val="00A71072"/>
    <w:rsid w:val="00A7109E"/>
    <w:rsid w:val="00A710A5"/>
    <w:rsid w:val="00A710C0"/>
    <w:rsid w:val="00A71120"/>
    <w:rsid w:val="00A71155"/>
    <w:rsid w:val="00A71172"/>
    <w:rsid w:val="00A71271"/>
    <w:rsid w:val="00A712D9"/>
    <w:rsid w:val="00A712EF"/>
    <w:rsid w:val="00A71369"/>
    <w:rsid w:val="00A7145A"/>
    <w:rsid w:val="00A71476"/>
    <w:rsid w:val="00A7148E"/>
    <w:rsid w:val="00A71505"/>
    <w:rsid w:val="00A71518"/>
    <w:rsid w:val="00A71667"/>
    <w:rsid w:val="00A71683"/>
    <w:rsid w:val="00A716D0"/>
    <w:rsid w:val="00A71721"/>
    <w:rsid w:val="00A7172A"/>
    <w:rsid w:val="00A7175F"/>
    <w:rsid w:val="00A71780"/>
    <w:rsid w:val="00A71879"/>
    <w:rsid w:val="00A7188E"/>
    <w:rsid w:val="00A71893"/>
    <w:rsid w:val="00A718C6"/>
    <w:rsid w:val="00A71912"/>
    <w:rsid w:val="00A7191A"/>
    <w:rsid w:val="00A71922"/>
    <w:rsid w:val="00A7197D"/>
    <w:rsid w:val="00A71A2B"/>
    <w:rsid w:val="00A71A6A"/>
    <w:rsid w:val="00A71AAA"/>
    <w:rsid w:val="00A71AB5"/>
    <w:rsid w:val="00A71B1D"/>
    <w:rsid w:val="00A71B3B"/>
    <w:rsid w:val="00A71B59"/>
    <w:rsid w:val="00A71B8A"/>
    <w:rsid w:val="00A71B97"/>
    <w:rsid w:val="00A71B98"/>
    <w:rsid w:val="00A71B9B"/>
    <w:rsid w:val="00A71BB3"/>
    <w:rsid w:val="00A71BB5"/>
    <w:rsid w:val="00A71C1D"/>
    <w:rsid w:val="00A71C96"/>
    <w:rsid w:val="00A71CAC"/>
    <w:rsid w:val="00A71CD4"/>
    <w:rsid w:val="00A71CE3"/>
    <w:rsid w:val="00A71D08"/>
    <w:rsid w:val="00A71D25"/>
    <w:rsid w:val="00A71D2A"/>
    <w:rsid w:val="00A71DD3"/>
    <w:rsid w:val="00A71DD9"/>
    <w:rsid w:val="00A71DEB"/>
    <w:rsid w:val="00A71E6F"/>
    <w:rsid w:val="00A71E7D"/>
    <w:rsid w:val="00A71F2B"/>
    <w:rsid w:val="00A71FAA"/>
    <w:rsid w:val="00A71FAD"/>
    <w:rsid w:val="00A71FF8"/>
    <w:rsid w:val="00A7200A"/>
    <w:rsid w:val="00A72012"/>
    <w:rsid w:val="00A7202E"/>
    <w:rsid w:val="00A72034"/>
    <w:rsid w:val="00A72036"/>
    <w:rsid w:val="00A72038"/>
    <w:rsid w:val="00A72050"/>
    <w:rsid w:val="00A7206D"/>
    <w:rsid w:val="00A72087"/>
    <w:rsid w:val="00A7209D"/>
    <w:rsid w:val="00A720C4"/>
    <w:rsid w:val="00A720DA"/>
    <w:rsid w:val="00A720E2"/>
    <w:rsid w:val="00A72110"/>
    <w:rsid w:val="00A721A0"/>
    <w:rsid w:val="00A721C3"/>
    <w:rsid w:val="00A721DC"/>
    <w:rsid w:val="00A72222"/>
    <w:rsid w:val="00A722AB"/>
    <w:rsid w:val="00A722F1"/>
    <w:rsid w:val="00A722F6"/>
    <w:rsid w:val="00A72341"/>
    <w:rsid w:val="00A7238C"/>
    <w:rsid w:val="00A723BB"/>
    <w:rsid w:val="00A723BF"/>
    <w:rsid w:val="00A72402"/>
    <w:rsid w:val="00A724DE"/>
    <w:rsid w:val="00A724E6"/>
    <w:rsid w:val="00A72566"/>
    <w:rsid w:val="00A7257A"/>
    <w:rsid w:val="00A725A0"/>
    <w:rsid w:val="00A7261B"/>
    <w:rsid w:val="00A72692"/>
    <w:rsid w:val="00A72748"/>
    <w:rsid w:val="00A72757"/>
    <w:rsid w:val="00A727A4"/>
    <w:rsid w:val="00A727AD"/>
    <w:rsid w:val="00A727BF"/>
    <w:rsid w:val="00A72802"/>
    <w:rsid w:val="00A7282B"/>
    <w:rsid w:val="00A72857"/>
    <w:rsid w:val="00A728B2"/>
    <w:rsid w:val="00A728B4"/>
    <w:rsid w:val="00A728D8"/>
    <w:rsid w:val="00A72905"/>
    <w:rsid w:val="00A729CA"/>
    <w:rsid w:val="00A72A3B"/>
    <w:rsid w:val="00A72A44"/>
    <w:rsid w:val="00A72A4F"/>
    <w:rsid w:val="00A72AB4"/>
    <w:rsid w:val="00A72ABC"/>
    <w:rsid w:val="00A72AE0"/>
    <w:rsid w:val="00A72AF9"/>
    <w:rsid w:val="00A72B63"/>
    <w:rsid w:val="00A72C13"/>
    <w:rsid w:val="00A72C17"/>
    <w:rsid w:val="00A72C74"/>
    <w:rsid w:val="00A72D0B"/>
    <w:rsid w:val="00A72D2C"/>
    <w:rsid w:val="00A72D45"/>
    <w:rsid w:val="00A72D50"/>
    <w:rsid w:val="00A72DA3"/>
    <w:rsid w:val="00A72DED"/>
    <w:rsid w:val="00A72E10"/>
    <w:rsid w:val="00A72E3D"/>
    <w:rsid w:val="00A72E44"/>
    <w:rsid w:val="00A72E4A"/>
    <w:rsid w:val="00A72E62"/>
    <w:rsid w:val="00A72E8F"/>
    <w:rsid w:val="00A72F02"/>
    <w:rsid w:val="00A72F3B"/>
    <w:rsid w:val="00A72FE7"/>
    <w:rsid w:val="00A73026"/>
    <w:rsid w:val="00A73050"/>
    <w:rsid w:val="00A73054"/>
    <w:rsid w:val="00A73097"/>
    <w:rsid w:val="00A730A9"/>
    <w:rsid w:val="00A7314E"/>
    <w:rsid w:val="00A73170"/>
    <w:rsid w:val="00A731B7"/>
    <w:rsid w:val="00A731E4"/>
    <w:rsid w:val="00A731EE"/>
    <w:rsid w:val="00A73260"/>
    <w:rsid w:val="00A73292"/>
    <w:rsid w:val="00A732A8"/>
    <w:rsid w:val="00A732D0"/>
    <w:rsid w:val="00A732D7"/>
    <w:rsid w:val="00A7331A"/>
    <w:rsid w:val="00A7331B"/>
    <w:rsid w:val="00A73368"/>
    <w:rsid w:val="00A7337E"/>
    <w:rsid w:val="00A73399"/>
    <w:rsid w:val="00A733B5"/>
    <w:rsid w:val="00A733F2"/>
    <w:rsid w:val="00A73436"/>
    <w:rsid w:val="00A73451"/>
    <w:rsid w:val="00A7349A"/>
    <w:rsid w:val="00A734D3"/>
    <w:rsid w:val="00A734DB"/>
    <w:rsid w:val="00A734FF"/>
    <w:rsid w:val="00A73541"/>
    <w:rsid w:val="00A73583"/>
    <w:rsid w:val="00A7358F"/>
    <w:rsid w:val="00A735FA"/>
    <w:rsid w:val="00A73626"/>
    <w:rsid w:val="00A7362D"/>
    <w:rsid w:val="00A73684"/>
    <w:rsid w:val="00A736DB"/>
    <w:rsid w:val="00A736E9"/>
    <w:rsid w:val="00A73729"/>
    <w:rsid w:val="00A73784"/>
    <w:rsid w:val="00A737CE"/>
    <w:rsid w:val="00A737E7"/>
    <w:rsid w:val="00A737FC"/>
    <w:rsid w:val="00A73820"/>
    <w:rsid w:val="00A73828"/>
    <w:rsid w:val="00A73852"/>
    <w:rsid w:val="00A7386C"/>
    <w:rsid w:val="00A738A3"/>
    <w:rsid w:val="00A738EF"/>
    <w:rsid w:val="00A73931"/>
    <w:rsid w:val="00A7395C"/>
    <w:rsid w:val="00A739B3"/>
    <w:rsid w:val="00A739B6"/>
    <w:rsid w:val="00A739BD"/>
    <w:rsid w:val="00A73A65"/>
    <w:rsid w:val="00A73A89"/>
    <w:rsid w:val="00A73B10"/>
    <w:rsid w:val="00A73B27"/>
    <w:rsid w:val="00A73BE4"/>
    <w:rsid w:val="00A73C55"/>
    <w:rsid w:val="00A73C62"/>
    <w:rsid w:val="00A73C9A"/>
    <w:rsid w:val="00A73CD5"/>
    <w:rsid w:val="00A73DD0"/>
    <w:rsid w:val="00A73E04"/>
    <w:rsid w:val="00A73E5C"/>
    <w:rsid w:val="00A73EA3"/>
    <w:rsid w:val="00A73EB3"/>
    <w:rsid w:val="00A73EC9"/>
    <w:rsid w:val="00A73EE5"/>
    <w:rsid w:val="00A73EFA"/>
    <w:rsid w:val="00A73F55"/>
    <w:rsid w:val="00A73F8B"/>
    <w:rsid w:val="00A73FDA"/>
    <w:rsid w:val="00A74016"/>
    <w:rsid w:val="00A7408F"/>
    <w:rsid w:val="00A740F6"/>
    <w:rsid w:val="00A74145"/>
    <w:rsid w:val="00A74158"/>
    <w:rsid w:val="00A74177"/>
    <w:rsid w:val="00A74264"/>
    <w:rsid w:val="00A742AA"/>
    <w:rsid w:val="00A742CA"/>
    <w:rsid w:val="00A742EF"/>
    <w:rsid w:val="00A742F5"/>
    <w:rsid w:val="00A7430C"/>
    <w:rsid w:val="00A7430F"/>
    <w:rsid w:val="00A74327"/>
    <w:rsid w:val="00A74338"/>
    <w:rsid w:val="00A74341"/>
    <w:rsid w:val="00A743EB"/>
    <w:rsid w:val="00A743FA"/>
    <w:rsid w:val="00A74418"/>
    <w:rsid w:val="00A74463"/>
    <w:rsid w:val="00A74553"/>
    <w:rsid w:val="00A7455A"/>
    <w:rsid w:val="00A7457C"/>
    <w:rsid w:val="00A745B5"/>
    <w:rsid w:val="00A745FF"/>
    <w:rsid w:val="00A74639"/>
    <w:rsid w:val="00A7463D"/>
    <w:rsid w:val="00A74731"/>
    <w:rsid w:val="00A74754"/>
    <w:rsid w:val="00A747A6"/>
    <w:rsid w:val="00A747CC"/>
    <w:rsid w:val="00A74875"/>
    <w:rsid w:val="00A748F4"/>
    <w:rsid w:val="00A7493E"/>
    <w:rsid w:val="00A74946"/>
    <w:rsid w:val="00A74971"/>
    <w:rsid w:val="00A7499F"/>
    <w:rsid w:val="00A749BD"/>
    <w:rsid w:val="00A749E1"/>
    <w:rsid w:val="00A749F2"/>
    <w:rsid w:val="00A74A04"/>
    <w:rsid w:val="00A74A8A"/>
    <w:rsid w:val="00A74AC8"/>
    <w:rsid w:val="00A74ACC"/>
    <w:rsid w:val="00A74ADC"/>
    <w:rsid w:val="00A74B25"/>
    <w:rsid w:val="00A74B81"/>
    <w:rsid w:val="00A74BF4"/>
    <w:rsid w:val="00A74C8E"/>
    <w:rsid w:val="00A74C96"/>
    <w:rsid w:val="00A74CA2"/>
    <w:rsid w:val="00A74CAB"/>
    <w:rsid w:val="00A74D35"/>
    <w:rsid w:val="00A74D3B"/>
    <w:rsid w:val="00A74D81"/>
    <w:rsid w:val="00A74D83"/>
    <w:rsid w:val="00A74DF6"/>
    <w:rsid w:val="00A74E0E"/>
    <w:rsid w:val="00A74E22"/>
    <w:rsid w:val="00A74E33"/>
    <w:rsid w:val="00A74E7C"/>
    <w:rsid w:val="00A74E7D"/>
    <w:rsid w:val="00A74E9D"/>
    <w:rsid w:val="00A74EC1"/>
    <w:rsid w:val="00A74EDB"/>
    <w:rsid w:val="00A74EE9"/>
    <w:rsid w:val="00A74EEB"/>
    <w:rsid w:val="00A74F48"/>
    <w:rsid w:val="00A74FC6"/>
    <w:rsid w:val="00A7510E"/>
    <w:rsid w:val="00A75159"/>
    <w:rsid w:val="00A75161"/>
    <w:rsid w:val="00A75175"/>
    <w:rsid w:val="00A75197"/>
    <w:rsid w:val="00A751EB"/>
    <w:rsid w:val="00A7523C"/>
    <w:rsid w:val="00A752D2"/>
    <w:rsid w:val="00A752EF"/>
    <w:rsid w:val="00A75310"/>
    <w:rsid w:val="00A75349"/>
    <w:rsid w:val="00A7535C"/>
    <w:rsid w:val="00A75371"/>
    <w:rsid w:val="00A75395"/>
    <w:rsid w:val="00A7539A"/>
    <w:rsid w:val="00A753FA"/>
    <w:rsid w:val="00A75473"/>
    <w:rsid w:val="00A7548C"/>
    <w:rsid w:val="00A75505"/>
    <w:rsid w:val="00A75540"/>
    <w:rsid w:val="00A7559B"/>
    <w:rsid w:val="00A755A7"/>
    <w:rsid w:val="00A755A9"/>
    <w:rsid w:val="00A75608"/>
    <w:rsid w:val="00A7567E"/>
    <w:rsid w:val="00A75692"/>
    <w:rsid w:val="00A756C3"/>
    <w:rsid w:val="00A756EC"/>
    <w:rsid w:val="00A75730"/>
    <w:rsid w:val="00A75754"/>
    <w:rsid w:val="00A75760"/>
    <w:rsid w:val="00A757FD"/>
    <w:rsid w:val="00A75822"/>
    <w:rsid w:val="00A75860"/>
    <w:rsid w:val="00A758F3"/>
    <w:rsid w:val="00A758FA"/>
    <w:rsid w:val="00A7590A"/>
    <w:rsid w:val="00A75950"/>
    <w:rsid w:val="00A7597B"/>
    <w:rsid w:val="00A759ED"/>
    <w:rsid w:val="00A75A49"/>
    <w:rsid w:val="00A75A7B"/>
    <w:rsid w:val="00A75AD5"/>
    <w:rsid w:val="00A75AF1"/>
    <w:rsid w:val="00A75B49"/>
    <w:rsid w:val="00A75B5C"/>
    <w:rsid w:val="00A75B64"/>
    <w:rsid w:val="00A75B9F"/>
    <w:rsid w:val="00A75BF6"/>
    <w:rsid w:val="00A75C05"/>
    <w:rsid w:val="00A75C09"/>
    <w:rsid w:val="00A75C20"/>
    <w:rsid w:val="00A75C2C"/>
    <w:rsid w:val="00A75C45"/>
    <w:rsid w:val="00A75C87"/>
    <w:rsid w:val="00A75C94"/>
    <w:rsid w:val="00A75CE9"/>
    <w:rsid w:val="00A75D27"/>
    <w:rsid w:val="00A75DD6"/>
    <w:rsid w:val="00A75E06"/>
    <w:rsid w:val="00A75E13"/>
    <w:rsid w:val="00A75E55"/>
    <w:rsid w:val="00A75E65"/>
    <w:rsid w:val="00A75E83"/>
    <w:rsid w:val="00A75EEE"/>
    <w:rsid w:val="00A75F38"/>
    <w:rsid w:val="00A75FA9"/>
    <w:rsid w:val="00A75FE3"/>
    <w:rsid w:val="00A75FE9"/>
    <w:rsid w:val="00A76002"/>
    <w:rsid w:val="00A76053"/>
    <w:rsid w:val="00A76063"/>
    <w:rsid w:val="00A760C1"/>
    <w:rsid w:val="00A760CE"/>
    <w:rsid w:val="00A76134"/>
    <w:rsid w:val="00A76189"/>
    <w:rsid w:val="00A761CC"/>
    <w:rsid w:val="00A761E2"/>
    <w:rsid w:val="00A761F7"/>
    <w:rsid w:val="00A76225"/>
    <w:rsid w:val="00A76291"/>
    <w:rsid w:val="00A762A0"/>
    <w:rsid w:val="00A762B2"/>
    <w:rsid w:val="00A762DB"/>
    <w:rsid w:val="00A76343"/>
    <w:rsid w:val="00A76370"/>
    <w:rsid w:val="00A7638E"/>
    <w:rsid w:val="00A763A3"/>
    <w:rsid w:val="00A763DD"/>
    <w:rsid w:val="00A763EA"/>
    <w:rsid w:val="00A76400"/>
    <w:rsid w:val="00A76443"/>
    <w:rsid w:val="00A76461"/>
    <w:rsid w:val="00A764CD"/>
    <w:rsid w:val="00A764FE"/>
    <w:rsid w:val="00A7656B"/>
    <w:rsid w:val="00A76581"/>
    <w:rsid w:val="00A76643"/>
    <w:rsid w:val="00A766BE"/>
    <w:rsid w:val="00A766D7"/>
    <w:rsid w:val="00A766E9"/>
    <w:rsid w:val="00A767BC"/>
    <w:rsid w:val="00A767CC"/>
    <w:rsid w:val="00A767FC"/>
    <w:rsid w:val="00A76838"/>
    <w:rsid w:val="00A7683A"/>
    <w:rsid w:val="00A76856"/>
    <w:rsid w:val="00A7685C"/>
    <w:rsid w:val="00A76923"/>
    <w:rsid w:val="00A769A3"/>
    <w:rsid w:val="00A76A36"/>
    <w:rsid w:val="00A76A57"/>
    <w:rsid w:val="00A76A5F"/>
    <w:rsid w:val="00A76A8D"/>
    <w:rsid w:val="00A76ABF"/>
    <w:rsid w:val="00A76AD5"/>
    <w:rsid w:val="00A76AE3"/>
    <w:rsid w:val="00A76B2F"/>
    <w:rsid w:val="00A76B73"/>
    <w:rsid w:val="00A76B7B"/>
    <w:rsid w:val="00A76C24"/>
    <w:rsid w:val="00A76CF1"/>
    <w:rsid w:val="00A76D05"/>
    <w:rsid w:val="00A76D18"/>
    <w:rsid w:val="00A76D30"/>
    <w:rsid w:val="00A76D53"/>
    <w:rsid w:val="00A76D58"/>
    <w:rsid w:val="00A76D62"/>
    <w:rsid w:val="00A76D72"/>
    <w:rsid w:val="00A76E06"/>
    <w:rsid w:val="00A76E5C"/>
    <w:rsid w:val="00A76EC3"/>
    <w:rsid w:val="00A76EE8"/>
    <w:rsid w:val="00A76EFB"/>
    <w:rsid w:val="00A76F3B"/>
    <w:rsid w:val="00A76F4D"/>
    <w:rsid w:val="00A76F8F"/>
    <w:rsid w:val="00A76FAB"/>
    <w:rsid w:val="00A76FDA"/>
    <w:rsid w:val="00A77000"/>
    <w:rsid w:val="00A7700C"/>
    <w:rsid w:val="00A7700E"/>
    <w:rsid w:val="00A77014"/>
    <w:rsid w:val="00A7701F"/>
    <w:rsid w:val="00A7702E"/>
    <w:rsid w:val="00A77058"/>
    <w:rsid w:val="00A770A1"/>
    <w:rsid w:val="00A770C3"/>
    <w:rsid w:val="00A770E8"/>
    <w:rsid w:val="00A77188"/>
    <w:rsid w:val="00A7718E"/>
    <w:rsid w:val="00A771A1"/>
    <w:rsid w:val="00A77258"/>
    <w:rsid w:val="00A772C9"/>
    <w:rsid w:val="00A7739D"/>
    <w:rsid w:val="00A773CD"/>
    <w:rsid w:val="00A773D7"/>
    <w:rsid w:val="00A773DC"/>
    <w:rsid w:val="00A773E2"/>
    <w:rsid w:val="00A773FC"/>
    <w:rsid w:val="00A7741E"/>
    <w:rsid w:val="00A7743A"/>
    <w:rsid w:val="00A77455"/>
    <w:rsid w:val="00A7745F"/>
    <w:rsid w:val="00A7748A"/>
    <w:rsid w:val="00A774BE"/>
    <w:rsid w:val="00A77528"/>
    <w:rsid w:val="00A775D9"/>
    <w:rsid w:val="00A77602"/>
    <w:rsid w:val="00A77604"/>
    <w:rsid w:val="00A7766C"/>
    <w:rsid w:val="00A77683"/>
    <w:rsid w:val="00A776CB"/>
    <w:rsid w:val="00A776F3"/>
    <w:rsid w:val="00A7774E"/>
    <w:rsid w:val="00A77758"/>
    <w:rsid w:val="00A77766"/>
    <w:rsid w:val="00A77791"/>
    <w:rsid w:val="00A777AC"/>
    <w:rsid w:val="00A777DA"/>
    <w:rsid w:val="00A7785D"/>
    <w:rsid w:val="00A7788D"/>
    <w:rsid w:val="00A778FD"/>
    <w:rsid w:val="00A7797C"/>
    <w:rsid w:val="00A77985"/>
    <w:rsid w:val="00A779F9"/>
    <w:rsid w:val="00A77A00"/>
    <w:rsid w:val="00A77A0E"/>
    <w:rsid w:val="00A77A35"/>
    <w:rsid w:val="00A77B00"/>
    <w:rsid w:val="00A77B57"/>
    <w:rsid w:val="00A77B8A"/>
    <w:rsid w:val="00A77C3A"/>
    <w:rsid w:val="00A77C56"/>
    <w:rsid w:val="00A77C78"/>
    <w:rsid w:val="00A77C87"/>
    <w:rsid w:val="00A77C93"/>
    <w:rsid w:val="00A77D26"/>
    <w:rsid w:val="00A77D30"/>
    <w:rsid w:val="00A77D64"/>
    <w:rsid w:val="00A77D69"/>
    <w:rsid w:val="00A77D92"/>
    <w:rsid w:val="00A77D99"/>
    <w:rsid w:val="00A77DC7"/>
    <w:rsid w:val="00A77DE9"/>
    <w:rsid w:val="00A77E12"/>
    <w:rsid w:val="00A77E5A"/>
    <w:rsid w:val="00A77E81"/>
    <w:rsid w:val="00A77E96"/>
    <w:rsid w:val="00A77F66"/>
    <w:rsid w:val="00A77F6E"/>
    <w:rsid w:val="00A77F89"/>
    <w:rsid w:val="00A77F96"/>
    <w:rsid w:val="00A80091"/>
    <w:rsid w:val="00A800D8"/>
    <w:rsid w:val="00A800F2"/>
    <w:rsid w:val="00A80222"/>
    <w:rsid w:val="00A8026E"/>
    <w:rsid w:val="00A80288"/>
    <w:rsid w:val="00A8028F"/>
    <w:rsid w:val="00A802C8"/>
    <w:rsid w:val="00A802D8"/>
    <w:rsid w:val="00A802F7"/>
    <w:rsid w:val="00A80339"/>
    <w:rsid w:val="00A80371"/>
    <w:rsid w:val="00A803CC"/>
    <w:rsid w:val="00A8043D"/>
    <w:rsid w:val="00A80446"/>
    <w:rsid w:val="00A80494"/>
    <w:rsid w:val="00A80499"/>
    <w:rsid w:val="00A804AC"/>
    <w:rsid w:val="00A804EE"/>
    <w:rsid w:val="00A80533"/>
    <w:rsid w:val="00A80539"/>
    <w:rsid w:val="00A805B0"/>
    <w:rsid w:val="00A805B8"/>
    <w:rsid w:val="00A8068D"/>
    <w:rsid w:val="00A806D5"/>
    <w:rsid w:val="00A806E3"/>
    <w:rsid w:val="00A806ED"/>
    <w:rsid w:val="00A80729"/>
    <w:rsid w:val="00A8074A"/>
    <w:rsid w:val="00A8079E"/>
    <w:rsid w:val="00A807DB"/>
    <w:rsid w:val="00A8081A"/>
    <w:rsid w:val="00A808A6"/>
    <w:rsid w:val="00A808B7"/>
    <w:rsid w:val="00A808BA"/>
    <w:rsid w:val="00A808C9"/>
    <w:rsid w:val="00A80906"/>
    <w:rsid w:val="00A80909"/>
    <w:rsid w:val="00A80948"/>
    <w:rsid w:val="00A8099B"/>
    <w:rsid w:val="00A809D9"/>
    <w:rsid w:val="00A80A06"/>
    <w:rsid w:val="00A80A9D"/>
    <w:rsid w:val="00A80AA3"/>
    <w:rsid w:val="00A80AED"/>
    <w:rsid w:val="00A80AFD"/>
    <w:rsid w:val="00A80B2E"/>
    <w:rsid w:val="00A80C71"/>
    <w:rsid w:val="00A80CBE"/>
    <w:rsid w:val="00A80D40"/>
    <w:rsid w:val="00A80D77"/>
    <w:rsid w:val="00A80D81"/>
    <w:rsid w:val="00A80DB8"/>
    <w:rsid w:val="00A80DCA"/>
    <w:rsid w:val="00A80E31"/>
    <w:rsid w:val="00A80EBB"/>
    <w:rsid w:val="00A80EBD"/>
    <w:rsid w:val="00A80EDE"/>
    <w:rsid w:val="00A80EF1"/>
    <w:rsid w:val="00A80EFF"/>
    <w:rsid w:val="00A80F72"/>
    <w:rsid w:val="00A80F93"/>
    <w:rsid w:val="00A80F9B"/>
    <w:rsid w:val="00A80FA1"/>
    <w:rsid w:val="00A80FCD"/>
    <w:rsid w:val="00A80FDA"/>
    <w:rsid w:val="00A80FF8"/>
    <w:rsid w:val="00A81066"/>
    <w:rsid w:val="00A810AE"/>
    <w:rsid w:val="00A810C6"/>
    <w:rsid w:val="00A810E9"/>
    <w:rsid w:val="00A81113"/>
    <w:rsid w:val="00A81142"/>
    <w:rsid w:val="00A81182"/>
    <w:rsid w:val="00A811A9"/>
    <w:rsid w:val="00A811B7"/>
    <w:rsid w:val="00A811DB"/>
    <w:rsid w:val="00A81232"/>
    <w:rsid w:val="00A8124A"/>
    <w:rsid w:val="00A812A5"/>
    <w:rsid w:val="00A812B3"/>
    <w:rsid w:val="00A812C8"/>
    <w:rsid w:val="00A81312"/>
    <w:rsid w:val="00A81329"/>
    <w:rsid w:val="00A81387"/>
    <w:rsid w:val="00A81392"/>
    <w:rsid w:val="00A813AC"/>
    <w:rsid w:val="00A813CD"/>
    <w:rsid w:val="00A81470"/>
    <w:rsid w:val="00A81491"/>
    <w:rsid w:val="00A81517"/>
    <w:rsid w:val="00A81524"/>
    <w:rsid w:val="00A8154A"/>
    <w:rsid w:val="00A8156F"/>
    <w:rsid w:val="00A81570"/>
    <w:rsid w:val="00A81579"/>
    <w:rsid w:val="00A815A9"/>
    <w:rsid w:val="00A815DF"/>
    <w:rsid w:val="00A8160B"/>
    <w:rsid w:val="00A8160E"/>
    <w:rsid w:val="00A8163E"/>
    <w:rsid w:val="00A81664"/>
    <w:rsid w:val="00A8167B"/>
    <w:rsid w:val="00A81696"/>
    <w:rsid w:val="00A81749"/>
    <w:rsid w:val="00A81785"/>
    <w:rsid w:val="00A81817"/>
    <w:rsid w:val="00A81859"/>
    <w:rsid w:val="00A8185D"/>
    <w:rsid w:val="00A81891"/>
    <w:rsid w:val="00A8199C"/>
    <w:rsid w:val="00A819D6"/>
    <w:rsid w:val="00A81A4E"/>
    <w:rsid w:val="00A81ACF"/>
    <w:rsid w:val="00A81AEE"/>
    <w:rsid w:val="00A81B0E"/>
    <w:rsid w:val="00A81B16"/>
    <w:rsid w:val="00A81B2B"/>
    <w:rsid w:val="00A81B2F"/>
    <w:rsid w:val="00A81B37"/>
    <w:rsid w:val="00A81BD9"/>
    <w:rsid w:val="00A81BE4"/>
    <w:rsid w:val="00A81BF8"/>
    <w:rsid w:val="00A81C0B"/>
    <w:rsid w:val="00A81C33"/>
    <w:rsid w:val="00A81C3A"/>
    <w:rsid w:val="00A81C58"/>
    <w:rsid w:val="00A81C89"/>
    <w:rsid w:val="00A81C90"/>
    <w:rsid w:val="00A81CA4"/>
    <w:rsid w:val="00A81CE2"/>
    <w:rsid w:val="00A81CE5"/>
    <w:rsid w:val="00A81D4E"/>
    <w:rsid w:val="00A81D51"/>
    <w:rsid w:val="00A81D60"/>
    <w:rsid w:val="00A81D77"/>
    <w:rsid w:val="00A81E1D"/>
    <w:rsid w:val="00A81E3F"/>
    <w:rsid w:val="00A81E65"/>
    <w:rsid w:val="00A81EBA"/>
    <w:rsid w:val="00A81EC4"/>
    <w:rsid w:val="00A81EFC"/>
    <w:rsid w:val="00A81F24"/>
    <w:rsid w:val="00A81F90"/>
    <w:rsid w:val="00A81FCC"/>
    <w:rsid w:val="00A81FD3"/>
    <w:rsid w:val="00A81FE1"/>
    <w:rsid w:val="00A81FEE"/>
    <w:rsid w:val="00A82012"/>
    <w:rsid w:val="00A82047"/>
    <w:rsid w:val="00A82079"/>
    <w:rsid w:val="00A8208C"/>
    <w:rsid w:val="00A820C3"/>
    <w:rsid w:val="00A820E5"/>
    <w:rsid w:val="00A820F8"/>
    <w:rsid w:val="00A82127"/>
    <w:rsid w:val="00A8218D"/>
    <w:rsid w:val="00A821B5"/>
    <w:rsid w:val="00A821C5"/>
    <w:rsid w:val="00A8224C"/>
    <w:rsid w:val="00A8224E"/>
    <w:rsid w:val="00A82262"/>
    <w:rsid w:val="00A8237F"/>
    <w:rsid w:val="00A82396"/>
    <w:rsid w:val="00A8239C"/>
    <w:rsid w:val="00A823BD"/>
    <w:rsid w:val="00A823DB"/>
    <w:rsid w:val="00A8241C"/>
    <w:rsid w:val="00A824DE"/>
    <w:rsid w:val="00A8253D"/>
    <w:rsid w:val="00A8254B"/>
    <w:rsid w:val="00A82610"/>
    <w:rsid w:val="00A82652"/>
    <w:rsid w:val="00A82685"/>
    <w:rsid w:val="00A826C2"/>
    <w:rsid w:val="00A826DC"/>
    <w:rsid w:val="00A8270E"/>
    <w:rsid w:val="00A82727"/>
    <w:rsid w:val="00A827A1"/>
    <w:rsid w:val="00A827B7"/>
    <w:rsid w:val="00A827BD"/>
    <w:rsid w:val="00A827DD"/>
    <w:rsid w:val="00A82812"/>
    <w:rsid w:val="00A8285D"/>
    <w:rsid w:val="00A8286B"/>
    <w:rsid w:val="00A828AB"/>
    <w:rsid w:val="00A82928"/>
    <w:rsid w:val="00A82950"/>
    <w:rsid w:val="00A82963"/>
    <w:rsid w:val="00A82968"/>
    <w:rsid w:val="00A82975"/>
    <w:rsid w:val="00A82976"/>
    <w:rsid w:val="00A829B2"/>
    <w:rsid w:val="00A829BD"/>
    <w:rsid w:val="00A829FB"/>
    <w:rsid w:val="00A82A19"/>
    <w:rsid w:val="00A82A21"/>
    <w:rsid w:val="00A82A5A"/>
    <w:rsid w:val="00A82AFD"/>
    <w:rsid w:val="00A82B8A"/>
    <w:rsid w:val="00A82B9B"/>
    <w:rsid w:val="00A82C2A"/>
    <w:rsid w:val="00A82C77"/>
    <w:rsid w:val="00A82C9B"/>
    <w:rsid w:val="00A82CD3"/>
    <w:rsid w:val="00A82CF4"/>
    <w:rsid w:val="00A82D12"/>
    <w:rsid w:val="00A82D30"/>
    <w:rsid w:val="00A82DBE"/>
    <w:rsid w:val="00A82DDD"/>
    <w:rsid w:val="00A82E1E"/>
    <w:rsid w:val="00A82E46"/>
    <w:rsid w:val="00A82E74"/>
    <w:rsid w:val="00A82EC6"/>
    <w:rsid w:val="00A82EEF"/>
    <w:rsid w:val="00A82EFF"/>
    <w:rsid w:val="00A82F0D"/>
    <w:rsid w:val="00A82F42"/>
    <w:rsid w:val="00A82F5C"/>
    <w:rsid w:val="00A82F67"/>
    <w:rsid w:val="00A82F7D"/>
    <w:rsid w:val="00A82F7E"/>
    <w:rsid w:val="00A82FA9"/>
    <w:rsid w:val="00A82FBA"/>
    <w:rsid w:val="00A82FEF"/>
    <w:rsid w:val="00A83042"/>
    <w:rsid w:val="00A83064"/>
    <w:rsid w:val="00A830D6"/>
    <w:rsid w:val="00A83106"/>
    <w:rsid w:val="00A83123"/>
    <w:rsid w:val="00A8314E"/>
    <w:rsid w:val="00A8318F"/>
    <w:rsid w:val="00A831C7"/>
    <w:rsid w:val="00A8321A"/>
    <w:rsid w:val="00A83290"/>
    <w:rsid w:val="00A832A7"/>
    <w:rsid w:val="00A832B4"/>
    <w:rsid w:val="00A833C5"/>
    <w:rsid w:val="00A833F6"/>
    <w:rsid w:val="00A83415"/>
    <w:rsid w:val="00A8342F"/>
    <w:rsid w:val="00A8348A"/>
    <w:rsid w:val="00A834AD"/>
    <w:rsid w:val="00A834E4"/>
    <w:rsid w:val="00A834E8"/>
    <w:rsid w:val="00A83518"/>
    <w:rsid w:val="00A83524"/>
    <w:rsid w:val="00A83537"/>
    <w:rsid w:val="00A835A3"/>
    <w:rsid w:val="00A835C2"/>
    <w:rsid w:val="00A835F1"/>
    <w:rsid w:val="00A83622"/>
    <w:rsid w:val="00A83626"/>
    <w:rsid w:val="00A8365C"/>
    <w:rsid w:val="00A836BB"/>
    <w:rsid w:val="00A83707"/>
    <w:rsid w:val="00A83715"/>
    <w:rsid w:val="00A83757"/>
    <w:rsid w:val="00A8377B"/>
    <w:rsid w:val="00A837A9"/>
    <w:rsid w:val="00A837B8"/>
    <w:rsid w:val="00A83825"/>
    <w:rsid w:val="00A838B8"/>
    <w:rsid w:val="00A838FA"/>
    <w:rsid w:val="00A8398C"/>
    <w:rsid w:val="00A83991"/>
    <w:rsid w:val="00A83A35"/>
    <w:rsid w:val="00A83AB4"/>
    <w:rsid w:val="00A83AFA"/>
    <w:rsid w:val="00A83B0E"/>
    <w:rsid w:val="00A83BAA"/>
    <w:rsid w:val="00A83BC6"/>
    <w:rsid w:val="00A83BE8"/>
    <w:rsid w:val="00A83C4C"/>
    <w:rsid w:val="00A83C50"/>
    <w:rsid w:val="00A83C59"/>
    <w:rsid w:val="00A83C61"/>
    <w:rsid w:val="00A83C89"/>
    <w:rsid w:val="00A83CEF"/>
    <w:rsid w:val="00A83DB2"/>
    <w:rsid w:val="00A83DB5"/>
    <w:rsid w:val="00A83E1C"/>
    <w:rsid w:val="00A83E4E"/>
    <w:rsid w:val="00A83E6D"/>
    <w:rsid w:val="00A83E6E"/>
    <w:rsid w:val="00A83EC4"/>
    <w:rsid w:val="00A83EEC"/>
    <w:rsid w:val="00A83F98"/>
    <w:rsid w:val="00A84007"/>
    <w:rsid w:val="00A84033"/>
    <w:rsid w:val="00A840A3"/>
    <w:rsid w:val="00A84104"/>
    <w:rsid w:val="00A84138"/>
    <w:rsid w:val="00A84149"/>
    <w:rsid w:val="00A8414E"/>
    <w:rsid w:val="00A84157"/>
    <w:rsid w:val="00A8415D"/>
    <w:rsid w:val="00A841D6"/>
    <w:rsid w:val="00A841DE"/>
    <w:rsid w:val="00A841E8"/>
    <w:rsid w:val="00A841EF"/>
    <w:rsid w:val="00A8421C"/>
    <w:rsid w:val="00A8423B"/>
    <w:rsid w:val="00A8423D"/>
    <w:rsid w:val="00A84273"/>
    <w:rsid w:val="00A842A2"/>
    <w:rsid w:val="00A84359"/>
    <w:rsid w:val="00A84372"/>
    <w:rsid w:val="00A84396"/>
    <w:rsid w:val="00A843AE"/>
    <w:rsid w:val="00A843BB"/>
    <w:rsid w:val="00A843E1"/>
    <w:rsid w:val="00A84423"/>
    <w:rsid w:val="00A84448"/>
    <w:rsid w:val="00A84491"/>
    <w:rsid w:val="00A844F1"/>
    <w:rsid w:val="00A84509"/>
    <w:rsid w:val="00A8451C"/>
    <w:rsid w:val="00A8452E"/>
    <w:rsid w:val="00A84530"/>
    <w:rsid w:val="00A84539"/>
    <w:rsid w:val="00A845E2"/>
    <w:rsid w:val="00A845E9"/>
    <w:rsid w:val="00A84614"/>
    <w:rsid w:val="00A84664"/>
    <w:rsid w:val="00A84693"/>
    <w:rsid w:val="00A846D3"/>
    <w:rsid w:val="00A846DD"/>
    <w:rsid w:val="00A84797"/>
    <w:rsid w:val="00A847A9"/>
    <w:rsid w:val="00A848A3"/>
    <w:rsid w:val="00A848F5"/>
    <w:rsid w:val="00A848F6"/>
    <w:rsid w:val="00A84915"/>
    <w:rsid w:val="00A84920"/>
    <w:rsid w:val="00A84929"/>
    <w:rsid w:val="00A8499B"/>
    <w:rsid w:val="00A84A8B"/>
    <w:rsid w:val="00A84A9E"/>
    <w:rsid w:val="00A84AAB"/>
    <w:rsid w:val="00A84ACA"/>
    <w:rsid w:val="00A84ACF"/>
    <w:rsid w:val="00A84B3E"/>
    <w:rsid w:val="00A84BD3"/>
    <w:rsid w:val="00A84BFE"/>
    <w:rsid w:val="00A84C0D"/>
    <w:rsid w:val="00A84C36"/>
    <w:rsid w:val="00A84C5A"/>
    <w:rsid w:val="00A84C68"/>
    <w:rsid w:val="00A84CB7"/>
    <w:rsid w:val="00A84CBA"/>
    <w:rsid w:val="00A84CC1"/>
    <w:rsid w:val="00A84CCC"/>
    <w:rsid w:val="00A84CD1"/>
    <w:rsid w:val="00A84CE4"/>
    <w:rsid w:val="00A84D77"/>
    <w:rsid w:val="00A84DF7"/>
    <w:rsid w:val="00A84E26"/>
    <w:rsid w:val="00A84E79"/>
    <w:rsid w:val="00A84E82"/>
    <w:rsid w:val="00A84E88"/>
    <w:rsid w:val="00A84F1F"/>
    <w:rsid w:val="00A84F35"/>
    <w:rsid w:val="00A84F6B"/>
    <w:rsid w:val="00A84F77"/>
    <w:rsid w:val="00A84F9C"/>
    <w:rsid w:val="00A84FC1"/>
    <w:rsid w:val="00A85027"/>
    <w:rsid w:val="00A85031"/>
    <w:rsid w:val="00A8503B"/>
    <w:rsid w:val="00A8504E"/>
    <w:rsid w:val="00A8505E"/>
    <w:rsid w:val="00A85069"/>
    <w:rsid w:val="00A850C7"/>
    <w:rsid w:val="00A850E0"/>
    <w:rsid w:val="00A850E7"/>
    <w:rsid w:val="00A85115"/>
    <w:rsid w:val="00A8515F"/>
    <w:rsid w:val="00A85215"/>
    <w:rsid w:val="00A85258"/>
    <w:rsid w:val="00A85263"/>
    <w:rsid w:val="00A852B1"/>
    <w:rsid w:val="00A852CD"/>
    <w:rsid w:val="00A852D0"/>
    <w:rsid w:val="00A8534B"/>
    <w:rsid w:val="00A8538E"/>
    <w:rsid w:val="00A853B7"/>
    <w:rsid w:val="00A853BA"/>
    <w:rsid w:val="00A853C5"/>
    <w:rsid w:val="00A853DD"/>
    <w:rsid w:val="00A85444"/>
    <w:rsid w:val="00A8545D"/>
    <w:rsid w:val="00A85482"/>
    <w:rsid w:val="00A854C6"/>
    <w:rsid w:val="00A854DC"/>
    <w:rsid w:val="00A85521"/>
    <w:rsid w:val="00A85536"/>
    <w:rsid w:val="00A855C2"/>
    <w:rsid w:val="00A855C9"/>
    <w:rsid w:val="00A855F3"/>
    <w:rsid w:val="00A85612"/>
    <w:rsid w:val="00A8562F"/>
    <w:rsid w:val="00A8566D"/>
    <w:rsid w:val="00A85696"/>
    <w:rsid w:val="00A856E2"/>
    <w:rsid w:val="00A856F3"/>
    <w:rsid w:val="00A85743"/>
    <w:rsid w:val="00A85796"/>
    <w:rsid w:val="00A857A9"/>
    <w:rsid w:val="00A857B0"/>
    <w:rsid w:val="00A857B7"/>
    <w:rsid w:val="00A85827"/>
    <w:rsid w:val="00A8586A"/>
    <w:rsid w:val="00A85898"/>
    <w:rsid w:val="00A858E0"/>
    <w:rsid w:val="00A858F2"/>
    <w:rsid w:val="00A858F4"/>
    <w:rsid w:val="00A85920"/>
    <w:rsid w:val="00A85988"/>
    <w:rsid w:val="00A85989"/>
    <w:rsid w:val="00A859B8"/>
    <w:rsid w:val="00A859D0"/>
    <w:rsid w:val="00A859DD"/>
    <w:rsid w:val="00A859F7"/>
    <w:rsid w:val="00A859FD"/>
    <w:rsid w:val="00A85A0E"/>
    <w:rsid w:val="00A85A69"/>
    <w:rsid w:val="00A85ADB"/>
    <w:rsid w:val="00A85B0E"/>
    <w:rsid w:val="00A85B19"/>
    <w:rsid w:val="00A85B5A"/>
    <w:rsid w:val="00A85B61"/>
    <w:rsid w:val="00A85B7A"/>
    <w:rsid w:val="00A85C45"/>
    <w:rsid w:val="00A85C75"/>
    <w:rsid w:val="00A85CFA"/>
    <w:rsid w:val="00A85CFC"/>
    <w:rsid w:val="00A85D0D"/>
    <w:rsid w:val="00A85D38"/>
    <w:rsid w:val="00A85D7B"/>
    <w:rsid w:val="00A85DF7"/>
    <w:rsid w:val="00A85E27"/>
    <w:rsid w:val="00A85E34"/>
    <w:rsid w:val="00A85E3D"/>
    <w:rsid w:val="00A85E60"/>
    <w:rsid w:val="00A85E74"/>
    <w:rsid w:val="00A85EAC"/>
    <w:rsid w:val="00A85ECA"/>
    <w:rsid w:val="00A85F10"/>
    <w:rsid w:val="00A85F2C"/>
    <w:rsid w:val="00A85FAA"/>
    <w:rsid w:val="00A85FE6"/>
    <w:rsid w:val="00A85FF5"/>
    <w:rsid w:val="00A8601B"/>
    <w:rsid w:val="00A8604E"/>
    <w:rsid w:val="00A8605F"/>
    <w:rsid w:val="00A860D0"/>
    <w:rsid w:val="00A860EB"/>
    <w:rsid w:val="00A860FE"/>
    <w:rsid w:val="00A8610A"/>
    <w:rsid w:val="00A8611F"/>
    <w:rsid w:val="00A8616F"/>
    <w:rsid w:val="00A8617E"/>
    <w:rsid w:val="00A8618D"/>
    <w:rsid w:val="00A861AA"/>
    <w:rsid w:val="00A861F9"/>
    <w:rsid w:val="00A862C0"/>
    <w:rsid w:val="00A862FC"/>
    <w:rsid w:val="00A8631D"/>
    <w:rsid w:val="00A8635E"/>
    <w:rsid w:val="00A8638E"/>
    <w:rsid w:val="00A863DA"/>
    <w:rsid w:val="00A86430"/>
    <w:rsid w:val="00A86483"/>
    <w:rsid w:val="00A86489"/>
    <w:rsid w:val="00A86493"/>
    <w:rsid w:val="00A864B2"/>
    <w:rsid w:val="00A86556"/>
    <w:rsid w:val="00A86596"/>
    <w:rsid w:val="00A8659E"/>
    <w:rsid w:val="00A865DC"/>
    <w:rsid w:val="00A865FB"/>
    <w:rsid w:val="00A86650"/>
    <w:rsid w:val="00A86685"/>
    <w:rsid w:val="00A866A1"/>
    <w:rsid w:val="00A866BE"/>
    <w:rsid w:val="00A866EB"/>
    <w:rsid w:val="00A866F4"/>
    <w:rsid w:val="00A86704"/>
    <w:rsid w:val="00A86715"/>
    <w:rsid w:val="00A8673C"/>
    <w:rsid w:val="00A8675F"/>
    <w:rsid w:val="00A86786"/>
    <w:rsid w:val="00A8680A"/>
    <w:rsid w:val="00A86860"/>
    <w:rsid w:val="00A868AF"/>
    <w:rsid w:val="00A868DD"/>
    <w:rsid w:val="00A868E1"/>
    <w:rsid w:val="00A86965"/>
    <w:rsid w:val="00A869B1"/>
    <w:rsid w:val="00A86A34"/>
    <w:rsid w:val="00A86A6A"/>
    <w:rsid w:val="00A86A99"/>
    <w:rsid w:val="00A86ABB"/>
    <w:rsid w:val="00A86ACE"/>
    <w:rsid w:val="00A86AD6"/>
    <w:rsid w:val="00A86B06"/>
    <w:rsid w:val="00A86B37"/>
    <w:rsid w:val="00A86C07"/>
    <w:rsid w:val="00A86C27"/>
    <w:rsid w:val="00A86C5E"/>
    <w:rsid w:val="00A86C7F"/>
    <w:rsid w:val="00A86C80"/>
    <w:rsid w:val="00A86C8D"/>
    <w:rsid w:val="00A86C94"/>
    <w:rsid w:val="00A86CA3"/>
    <w:rsid w:val="00A86CC4"/>
    <w:rsid w:val="00A86CFB"/>
    <w:rsid w:val="00A86D00"/>
    <w:rsid w:val="00A86D21"/>
    <w:rsid w:val="00A86D26"/>
    <w:rsid w:val="00A86D55"/>
    <w:rsid w:val="00A86D9E"/>
    <w:rsid w:val="00A86DE1"/>
    <w:rsid w:val="00A86E09"/>
    <w:rsid w:val="00A86E16"/>
    <w:rsid w:val="00A86E43"/>
    <w:rsid w:val="00A86E4E"/>
    <w:rsid w:val="00A86EDC"/>
    <w:rsid w:val="00A86FC4"/>
    <w:rsid w:val="00A86FCE"/>
    <w:rsid w:val="00A86FFB"/>
    <w:rsid w:val="00A87001"/>
    <w:rsid w:val="00A87090"/>
    <w:rsid w:val="00A870FB"/>
    <w:rsid w:val="00A87173"/>
    <w:rsid w:val="00A8717F"/>
    <w:rsid w:val="00A87186"/>
    <w:rsid w:val="00A87199"/>
    <w:rsid w:val="00A871CC"/>
    <w:rsid w:val="00A871E6"/>
    <w:rsid w:val="00A871EA"/>
    <w:rsid w:val="00A871F8"/>
    <w:rsid w:val="00A8721A"/>
    <w:rsid w:val="00A8728B"/>
    <w:rsid w:val="00A872F2"/>
    <w:rsid w:val="00A87322"/>
    <w:rsid w:val="00A87337"/>
    <w:rsid w:val="00A8736D"/>
    <w:rsid w:val="00A8738C"/>
    <w:rsid w:val="00A873CE"/>
    <w:rsid w:val="00A873E3"/>
    <w:rsid w:val="00A87467"/>
    <w:rsid w:val="00A874C1"/>
    <w:rsid w:val="00A874CC"/>
    <w:rsid w:val="00A874D9"/>
    <w:rsid w:val="00A87510"/>
    <w:rsid w:val="00A87557"/>
    <w:rsid w:val="00A87594"/>
    <w:rsid w:val="00A875AD"/>
    <w:rsid w:val="00A875BF"/>
    <w:rsid w:val="00A875EE"/>
    <w:rsid w:val="00A87618"/>
    <w:rsid w:val="00A87674"/>
    <w:rsid w:val="00A87699"/>
    <w:rsid w:val="00A87704"/>
    <w:rsid w:val="00A87731"/>
    <w:rsid w:val="00A87766"/>
    <w:rsid w:val="00A8776E"/>
    <w:rsid w:val="00A87771"/>
    <w:rsid w:val="00A877E2"/>
    <w:rsid w:val="00A877E3"/>
    <w:rsid w:val="00A87844"/>
    <w:rsid w:val="00A8786C"/>
    <w:rsid w:val="00A87872"/>
    <w:rsid w:val="00A8788A"/>
    <w:rsid w:val="00A87897"/>
    <w:rsid w:val="00A878B3"/>
    <w:rsid w:val="00A878B8"/>
    <w:rsid w:val="00A87960"/>
    <w:rsid w:val="00A879CA"/>
    <w:rsid w:val="00A87A14"/>
    <w:rsid w:val="00A87A2B"/>
    <w:rsid w:val="00A87AA6"/>
    <w:rsid w:val="00A87BA6"/>
    <w:rsid w:val="00A87BF4"/>
    <w:rsid w:val="00A87D18"/>
    <w:rsid w:val="00A87D1E"/>
    <w:rsid w:val="00A87D35"/>
    <w:rsid w:val="00A87D7D"/>
    <w:rsid w:val="00A87DA6"/>
    <w:rsid w:val="00A87DB4"/>
    <w:rsid w:val="00A87DBD"/>
    <w:rsid w:val="00A87DE3"/>
    <w:rsid w:val="00A87E2E"/>
    <w:rsid w:val="00A87E68"/>
    <w:rsid w:val="00A87E93"/>
    <w:rsid w:val="00A87EBF"/>
    <w:rsid w:val="00A87F35"/>
    <w:rsid w:val="00A87F65"/>
    <w:rsid w:val="00A87F9B"/>
    <w:rsid w:val="00A9003E"/>
    <w:rsid w:val="00A90086"/>
    <w:rsid w:val="00A900D4"/>
    <w:rsid w:val="00A900F0"/>
    <w:rsid w:val="00A90101"/>
    <w:rsid w:val="00A90103"/>
    <w:rsid w:val="00A90213"/>
    <w:rsid w:val="00A90234"/>
    <w:rsid w:val="00A9024C"/>
    <w:rsid w:val="00A90279"/>
    <w:rsid w:val="00A902BB"/>
    <w:rsid w:val="00A902F5"/>
    <w:rsid w:val="00A9031B"/>
    <w:rsid w:val="00A903E6"/>
    <w:rsid w:val="00A9042F"/>
    <w:rsid w:val="00A9045E"/>
    <w:rsid w:val="00A90488"/>
    <w:rsid w:val="00A90503"/>
    <w:rsid w:val="00A905CD"/>
    <w:rsid w:val="00A9062B"/>
    <w:rsid w:val="00A9064D"/>
    <w:rsid w:val="00A906A4"/>
    <w:rsid w:val="00A9072F"/>
    <w:rsid w:val="00A90739"/>
    <w:rsid w:val="00A90749"/>
    <w:rsid w:val="00A9077C"/>
    <w:rsid w:val="00A9084C"/>
    <w:rsid w:val="00A90859"/>
    <w:rsid w:val="00A90883"/>
    <w:rsid w:val="00A908AE"/>
    <w:rsid w:val="00A908D9"/>
    <w:rsid w:val="00A908DA"/>
    <w:rsid w:val="00A908EC"/>
    <w:rsid w:val="00A90964"/>
    <w:rsid w:val="00A9096B"/>
    <w:rsid w:val="00A90977"/>
    <w:rsid w:val="00A909B7"/>
    <w:rsid w:val="00A909BD"/>
    <w:rsid w:val="00A90A7D"/>
    <w:rsid w:val="00A90A85"/>
    <w:rsid w:val="00A90B57"/>
    <w:rsid w:val="00A90B71"/>
    <w:rsid w:val="00A90B87"/>
    <w:rsid w:val="00A90BB3"/>
    <w:rsid w:val="00A90C43"/>
    <w:rsid w:val="00A90C66"/>
    <w:rsid w:val="00A90C79"/>
    <w:rsid w:val="00A90CDE"/>
    <w:rsid w:val="00A90D2C"/>
    <w:rsid w:val="00A90D37"/>
    <w:rsid w:val="00A90DF4"/>
    <w:rsid w:val="00A90DF7"/>
    <w:rsid w:val="00A90E20"/>
    <w:rsid w:val="00A90EA7"/>
    <w:rsid w:val="00A90EAD"/>
    <w:rsid w:val="00A90EB2"/>
    <w:rsid w:val="00A90F0A"/>
    <w:rsid w:val="00A90F23"/>
    <w:rsid w:val="00A90F63"/>
    <w:rsid w:val="00A90F72"/>
    <w:rsid w:val="00A90F87"/>
    <w:rsid w:val="00A90FA2"/>
    <w:rsid w:val="00A90FAB"/>
    <w:rsid w:val="00A90FAF"/>
    <w:rsid w:val="00A90FC4"/>
    <w:rsid w:val="00A90FEC"/>
    <w:rsid w:val="00A9105B"/>
    <w:rsid w:val="00A9105E"/>
    <w:rsid w:val="00A91099"/>
    <w:rsid w:val="00A910D9"/>
    <w:rsid w:val="00A91150"/>
    <w:rsid w:val="00A9115E"/>
    <w:rsid w:val="00A91186"/>
    <w:rsid w:val="00A911CB"/>
    <w:rsid w:val="00A9122E"/>
    <w:rsid w:val="00A9124A"/>
    <w:rsid w:val="00A9124E"/>
    <w:rsid w:val="00A91283"/>
    <w:rsid w:val="00A9129F"/>
    <w:rsid w:val="00A912A9"/>
    <w:rsid w:val="00A912AB"/>
    <w:rsid w:val="00A912E2"/>
    <w:rsid w:val="00A91328"/>
    <w:rsid w:val="00A9136C"/>
    <w:rsid w:val="00A91399"/>
    <w:rsid w:val="00A913AE"/>
    <w:rsid w:val="00A913D9"/>
    <w:rsid w:val="00A913EE"/>
    <w:rsid w:val="00A913FA"/>
    <w:rsid w:val="00A91526"/>
    <w:rsid w:val="00A91582"/>
    <w:rsid w:val="00A915AB"/>
    <w:rsid w:val="00A915B7"/>
    <w:rsid w:val="00A9160F"/>
    <w:rsid w:val="00A91660"/>
    <w:rsid w:val="00A916A8"/>
    <w:rsid w:val="00A91723"/>
    <w:rsid w:val="00A9172A"/>
    <w:rsid w:val="00A91731"/>
    <w:rsid w:val="00A91769"/>
    <w:rsid w:val="00A91770"/>
    <w:rsid w:val="00A917B4"/>
    <w:rsid w:val="00A9181C"/>
    <w:rsid w:val="00A91878"/>
    <w:rsid w:val="00A91897"/>
    <w:rsid w:val="00A918C4"/>
    <w:rsid w:val="00A9191D"/>
    <w:rsid w:val="00A9193A"/>
    <w:rsid w:val="00A9195B"/>
    <w:rsid w:val="00A9197B"/>
    <w:rsid w:val="00A91A35"/>
    <w:rsid w:val="00A91A6E"/>
    <w:rsid w:val="00A91AF9"/>
    <w:rsid w:val="00A91B53"/>
    <w:rsid w:val="00A91B8F"/>
    <w:rsid w:val="00A91BA2"/>
    <w:rsid w:val="00A91BAD"/>
    <w:rsid w:val="00A91BE8"/>
    <w:rsid w:val="00A91C19"/>
    <w:rsid w:val="00A91CD8"/>
    <w:rsid w:val="00A91D55"/>
    <w:rsid w:val="00A91D9A"/>
    <w:rsid w:val="00A91E55"/>
    <w:rsid w:val="00A91E76"/>
    <w:rsid w:val="00A91E8E"/>
    <w:rsid w:val="00A91EAD"/>
    <w:rsid w:val="00A91EDA"/>
    <w:rsid w:val="00A91F31"/>
    <w:rsid w:val="00A91F58"/>
    <w:rsid w:val="00A91F5B"/>
    <w:rsid w:val="00A91F61"/>
    <w:rsid w:val="00A91F62"/>
    <w:rsid w:val="00A91F6D"/>
    <w:rsid w:val="00A91FB6"/>
    <w:rsid w:val="00A91FC6"/>
    <w:rsid w:val="00A9201E"/>
    <w:rsid w:val="00A92023"/>
    <w:rsid w:val="00A92034"/>
    <w:rsid w:val="00A92081"/>
    <w:rsid w:val="00A920D8"/>
    <w:rsid w:val="00A9213D"/>
    <w:rsid w:val="00A92192"/>
    <w:rsid w:val="00A92196"/>
    <w:rsid w:val="00A921D8"/>
    <w:rsid w:val="00A921FA"/>
    <w:rsid w:val="00A92201"/>
    <w:rsid w:val="00A92236"/>
    <w:rsid w:val="00A92239"/>
    <w:rsid w:val="00A9223A"/>
    <w:rsid w:val="00A9225A"/>
    <w:rsid w:val="00A9226C"/>
    <w:rsid w:val="00A92320"/>
    <w:rsid w:val="00A92322"/>
    <w:rsid w:val="00A9232F"/>
    <w:rsid w:val="00A923A9"/>
    <w:rsid w:val="00A923C4"/>
    <w:rsid w:val="00A9245F"/>
    <w:rsid w:val="00A92512"/>
    <w:rsid w:val="00A92518"/>
    <w:rsid w:val="00A9251F"/>
    <w:rsid w:val="00A92522"/>
    <w:rsid w:val="00A9252A"/>
    <w:rsid w:val="00A925D5"/>
    <w:rsid w:val="00A92614"/>
    <w:rsid w:val="00A92629"/>
    <w:rsid w:val="00A92666"/>
    <w:rsid w:val="00A926A0"/>
    <w:rsid w:val="00A926AB"/>
    <w:rsid w:val="00A926C6"/>
    <w:rsid w:val="00A92702"/>
    <w:rsid w:val="00A9275C"/>
    <w:rsid w:val="00A9276D"/>
    <w:rsid w:val="00A927C7"/>
    <w:rsid w:val="00A9282F"/>
    <w:rsid w:val="00A92854"/>
    <w:rsid w:val="00A92891"/>
    <w:rsid w:val="00A928E5"/>
    <w:rsid w:val="00A928F1"/>
    <w:rsid w:val="00A9291E"/>
    <w:rsid w:val="00A92953"/>
    <w:rsid w:val="00A92975"/>
    <w:rsid w:val="00A9297C"/>
    <w:rsid w:val="00A929ED"/>
    <w:rsid w:val="00A92A3D"/>
    <w:rsid w:val="00A92A60"/>
    <w:rsid w:val="00A92A68"/>
    <w:rsid w:val="00A92B09"/>
    <w:rsid w:val="00A92B15"/>
    <w:rsid w:val="00A92B17"/>
    <w:rsid w:val="00A92B37"/>
    <w:rsid w:val="00A92B5F"/>
    <w:rsid w:val="00A92B85"/>
    <w:rsid w:val="00A92C46"/>
    <w:rsid w:val="00A92C6B"/>
    <w:rsid w:val="00A92C6D"/>
    <w:rsid w:val="00A92C71"/>
    <w:rsid w:val="00A92D52"/>
    <w:rsid w:val="00A92D55"/>
    <w:rsid w:val="00A92D5B"/>
    <w:rsid w:val="00A92D5D"/>
    <w:rsid w:val="00A92D6F"/>
    <w:rsid w:val="00A92D84"/>
    <w:rsid w:val="00A92DFA"/>
    <w:rsid w:val="00A92E21"/>
    <w:rsid w:val="00A92E57"/>
    <w:rsid w:val="00A92E6A"/>
    <w:rsid w:val="00A92EBF"/>
    <w:rsid w:val="00A92F06"/>
    <w:rsid w:val="00A92F0E"/>
    <w:rsid w:val="00A92F28"/>
    <w:rsid w:val="00A92F7E"/>
    <w:rsid w:val="00A92F8D"/>
    <w:rsid w:val="00A92FBF"/>
    <w:rsid w:val="00A92FE2"/>
    <w:rsid w:val="00A92FF3"/>
    <w:rsid w:val="00A92FF9"/>
    <w:rsid w:val="00A93010"/>
    <w:rsid w:val="00A93033"/>
    <w:rsid w:val="00A930A0"/>
    <w:rsid w:val="00A93102"/>
    <w:rsid w:val="00A93104"/>
    <w:rsid w:val="00A93116"/>
    <w:rsid w:val="00A93127"/>
    <w:rsid w:val="00A93142"/>
    <w:rsid w:val="00A9318B"/>
    <w:rsid w:val="00A931AE"/>
    <w:rsid w:val="00A9320F"/>
    <w:rsid w:val="00A93267"/>
    <w:rsid w:val="00A932B3"/>
    <w:rsid w:val="00A932ED"/>
    <w:rsid w:val="00A93311"/>
    <w:rsid w:val="00A9331A"/>
    <w:rsid w:val="00A9337C"/>
    <w:rsid w:val="00A93390"/>
    <w:rsid w:val="00A933B8"/>
    <w:rsid w:val="00A933D5"/>
    <w:rsid w:val="00A93428"/>
    <w:rsid w:val="00A9344C"/>
    <w:rsid w:val="00A93487"/>
    <w:rsid w:val="00A9349C"/>
    <w:rsid w:val="00A934D3"/>
    <w:rsid w:val="00A93544"/>
    <w:rsid w:val="00A9358D"/>
    <w:rsid w:val="00A935B9"/>
    <w:rsid w:val="00A935F8"/>
    <w:rsid w:val="00A9363A"/>
    <w:rsid w:val="00A93651"/>
    <w:rsid w:val="00A936A4"/>
    <w:rsid w:val="00A9371B"/>
    <w:rsid w:val="00A9371F"/>
    <w:rsid w:val="00A9375B"/>
    <w:rsid w:val="00A9376B"/>
    <w:rsid w:val="00A93791"/>
    <w:rsid w:val="00A9380A"/>
    <w:rsid w:val="00A93863"/>
    <w:rsid w:val="00A938CA"/>
    <w:rsid w:val="00A938E2"/>
    <w:rsid w:val="00A938E4"/>
    <w:rsid w:val="00A938E9"/>
    <w:rsid w:val="00A93902"/>
    <w:rsid w:val="00A93920"/>
    <w:rsid w:val="00A9396D"/>
    <w:rsid w:val="00A939C7"/>
    <w:rsid w:val="00A93A00"/>
    <w:rsid w:val="00A93A1C"/>
    <w:rsid w:val="00A93A9D"/>
    <w:rsid w:val="00A93AF6"/>
    <w:rsid w:val="00A93B1D"/>
    <w:rsid w:val="00A93B1F"/>
    <w:rsid w:val="00A93B54"/>
    <w:rsid w:val="00A93B5E"/>
    <w:rsid w:val="00A93B62"/>
    <w:rsid w:val="00A93BD5"/>
    <w:rsid w:val="00A93C08"/>
    <w:rsid w:val="00A93C44"/>
    <w:rsid w:val="00A93C5F"/>
    <w:rsid w:val="00A93CE1"/>
    <w:rsid w:val="00A93D3B"/>
    <w:rsid w:val="00A93D44"/>
    <w:rsid w:val="00A93DAE"/>
    <w:rsid w:val="00A93DF7"/>
    <w:rsid w:val="00A93E17"/>
    <w:rsid w:val="00A93E2A"/>
    <w:rsid w:val="00A93E2E"/>
    <w:rsid w:val="00A93E41"/>
    <w:rsid w:val="00A93E8F"/>
    <w:rsid w:val="00A93ED9"/>
    <w:rsid w:val="00A93F18"/>
    <w:rsid w:val="00A93F28"/>
    <w:rsid w:val="00A93F49"/>
    <w:rsid w:val="00A93F87"/>
    <w:rsid w:val="00A93F94"/>
    <w:rsid w:val="00A93FD0"/>
    <w:rsid w:val="00A94006"/>
    <w:rsid w:val="00A94069"/>
    <w:rsid w:val="00A940CF"/>
    <w:rsid w:val="00A94112"/>
    <w:rsid w:val="00A94198"/>
    <w:rsid w:val="00A941DF"/>
    <w:rsid w:val="00A9427B"/>
    <w:rsid w:val="00A9429C"/>
    <w:rsid w:val="00A9429F"/>
    <w:rsid w:val="00A942EA"/>
    <w:rsid w:val="00A94310"/>
    <w:rsid w:val="00A943B2"/>
    <w:rsid w:val="00A9443B"/>
    <w:rsid w:val="00A94460"/>
    <w:rsid w:val="00A944CE"/>
    <w:rsid w:val="00A9454A"/>
    <w:rsid w:val="00A945E7"/>
    <w:rsid w:val="00A945E9"/>
    <w:rsid w:val="00A945FB"/>
    <w:rsid w:val="00A94646"/>
    <w:rsid w:val="00A9464D"/>
    <w:rsid w:val="00A946D2"/>
    <w:rsid w:val="00A946F2"/>
    <w:rsid w:val="00A9470F"/>
    <w:rsid w:val="00A94724"/>
    <w:rsid w:val="00A9475E"/>
    <w:rsid w:val="00A94762"/>
    <w:rsid w:val="00A94789"/>
    <w:rsid w:val="00A947CC"/>
    <w:rsid w:val="00A94863"/>
    <w:rsid w:val="00A94898"/>
    <w:rsid w:val="00A9489D"/>
    <w:rsid w:val="00A948D5"/>
    <w:rsid w:val="00A94902"/>
    <w:rsid w:val="00A949BA"/>
    <w:rsid w:val="00A949E7"/>
    <w:rsid w:val="00A949FE"/>
    <w:rsid w:val="00A94A96"/>
    <w:rsid w:val="00A94AB4"/>
    <w:rsid w:val="00A94B3E"/>
    <w:rsid w:val="00A94B76"/>
    <w:rsid w:val="00A94BD0"/>
    <w:rsid w:val="00A94BEC"/>
    <w:rsid w:val="00A94C3A"/>
    <w:rsid w:val="00A94C73"/>
    <w:rsid w:val="00A94D0D"/>
    <w:rsid w:val="00A94D25"/>
    <w:rsid w:val="00A94D74"/>
    <w:rsid w:val="00A94D7E"/>
    <w:rsid w:val="00A94D83"/>
    <w:rsid w:val="00A94DB3"/>
    <w:rsid w:val="00A94DDA"/>
    <w:rsid w:val="00A94DE2"/>
    <w:rsid w:val="00A94DFC"/>
    <w:rsid w:val="00A94E4B"/>
    <w:rsid w:val="00A94E68"/>
    <w:rsid w:val="00A94E90"/>
    <w:rsid w:val="00A94E98"/>
    <w:rsid w:val="00A94F51"/>
    <w:rsid w:val="00A94F53"/>
    <w:rsid w:val="00A94F89"/>
    <w:rsid w:val="00A94F8A"/>
    <w:rsid w:val="00A94FB2"/>
    <w:rsid w:val="00A94FB5"/>
    <w:rsid w:val="00A94FC5"/>
    <w:rsid w:val="00A94FE0"/>
    <w:rsid w:val="00A9501B"/>
    <w:rsid w:val="00A95048"/>
    <w:rsid w:val="00A95077"/>
    <w:rsid w:val="00A9508D"/>
    <w:rsid w:val="00A9509F"/>
    <w:rsid w:val="00A950BF"/>
    <w:rsid w:val="00A95145"/>
    <w:rsid w:val="00A95181"/>
    <w:rsid w:val="00A95188"/>
    <w:rsid w:val="00A951C8"/>
    <w:rsid w:val="00A95210"/>
    <w:rsid w:val="00A95227"/>
    <w:rsid w:val="00A95277"/>
    <w:rsid w:val="00A95278"/>
    <w:rsid w:val="00A95297"/>
    <w:rsid w:val="00A952D6"/>
    <w:rsid w:val="00A952D9"/>
    <w:rsid w:val="00A952E7"/>
    <w:rsid w:val="00A9532E"/>
    <w:rsid w:val="00A9534F"/>
    <w:rsid w:val="00A95351"/>
    <w:rsid w:val="00A9536D"/>
    <w:rsid w:val="00A9539A"/>
    <w:rsid w:val="00A953C7"/>
    <w:rsid w:val="00A95415"/>
    <w:rsid w:val="00A9541E"/>
    <w:rsid w:val="00A95462"/>
    <w:rsid w:val="00A9547B"/>
    <w:rsid w:val="00A95495"/>
    <w:rsid w:val="00A954A9"/>
    <w:rsid w:val="00A954C2"/>
    <w:rsid w:val="00A954EA"/>
    <w:rsid w:val="00A9552D"/>
    <w:rsid w:val="00A95572"/>
    <w:rsid w:val="00A955AC"/>
    <w:rsid w:val="00A955F9"/>
    <w:rsid w:val="00A9562F"/>
    <w:rsid w:val="00A95633"/>
    <w:rsid w:val="00A95640"/>
    <w:rsid w:val="00A95641"/>
    <w:rsid w:val="00A9573C"/>
    <w:rsid w:val="00A957A8"/>
    <w:rsid w:val="00A95807"/>
    <w:rsid w:val="00A95889"/>
    <w:rsid w:val="00A95890"/>
    <w:rsid w:val="00A958A1"/>
    <w:rsid w:val="00A9594B"/>
    <w:rsid w:val="00A95964"/>
    <w:rsid w:val="00A95978"/>
    <w:rsid w:val="00A9599E"/>
    <w:rsid w:val="00A95A6D"/>
    <w:rsid w:val="00A95A8C"/>
    <w:rsid w:val="00A95AA7"/>
    <w:rsid w:val="00A95AF8"/>
    <w:rsid w:val="00A95B07"/>
    <w:rsid w:val="00A95B42"/>
    <w:rsid w:val="00A95B6B"/>
    <w:rsid w:val="00A95B7E"/>
    <w:rsid w:val="00A95B86"/>
    <w:rsid w:val="00A95B93"/>
    <w:rsid w:val="00A95BAC"/>
    <w:rsid w:val="00A95BBA"/>
    <w:rsid w:val="00A95BCF"/>
    <w:rsid w:val="00A95BEB"/>
    <w:rsid w:val="00A95BF6"/>
    <w:rsid w:val="00A95C0E"/>
    <w:rsid w:val="00A95C13"/>
    <w:rsid w:val="00A95C7D"/>
    <w:rsid w:val="00A95CA4"/>
    <w:rsid w:val="00A95CF2"/>
    <w:rsid w:val="00A95D1B"/>
    <w:rsid w:val="00A95D48"/>
    <w:rsid w:val="00A95D4F"/>
    <w:rsid w:val="00A95E1D"/>
    <w:rsid w:val="00A95E68"/>
    <w:rsid w:val="00A95E76"/>
    <w:rsid w:val="00A95EA4"/>
    <w:rsid w:val="00A95EDD"/>
    <w:rsid w:val="00A95EE2"/>
    <w:rsid w:val="00A95EF2"/>
    <w:rsid w:val="00A95F15"/>
    <w:rsid w:val="00A95F38"/>
    <w:rsid w:val="00A95F40"/>
    <w:rsid w:val="00A95F45"/>
    <w:rsid w:val="00A95F5E"/>
    <w:rsid w:val="00A95F9E"/>
    <w:rsid w:val="00A95FA7"/>
    <w:rsid w:val="00A95FD7"/>
    <w:rsid w:val="00A9602C"/>
    <w:rsid w:val="00A96072"/>
    <w:rsid w:val="00A960DE"/>
    <w:rsid w:val="00A960DF"/>
    <w:rsid w:val="00A96104"/>
    <w:rsid w:val="00A96134"/>
    <w:rsid w:val="00A9619C"/>
    <w:rsid w:val="00A96207"/>
    <w:rsid w:val="00A9623D"/>
    <w:rsid w:val="00A96268"/>
    <w:rsid w:val="00A962D9"/>
    <w:rsid w:val="00A9639E"/>
    <w:rsid w:val="00A963F0"/>
    <w:rsid w:val="00A96476"/>
    <w:rsid w:val="00A964BF"/>
    <w:rsid w:val="00A9653B"/>
    <w:rsid w:val="00A96546"/>
    <w:rsid w:val="00A96631"/>
    <w:rsid w:val="00A96638"/>
    <w:rsid w:val="00A9666C"/>
    <w:rsid w:val="00A96672"/>
    <w:rsid w:val="00A9669D"/>
    <w:rsid w:val="00A966A2"/>
    <w:rsid w:val="00A966E4"/>
    <w:rsid w:val="00A96711"/>
    <w:rsid w:val="00A96730"/>
    <w:rsid w:val="00A9675E"/>
    <w:rsid w:val="00A9676B"/>
    <w:rsid w:val="00A967AB"/>
    <w:rsid w:val="00A967B6"/>
    <w:rsid w:val="00A967D9"/>
    <w:rsid w:val="00A96869"/>
    <w:rsid w:val="00A96892"/>
    <w:rsid w:val="00A96A39"/>
    <w:rsid w:val="00A96A3B"/>
    <w:rsid w:val="00A96A5F"/>
    <w:rsid w:val="00A96A70"/>
    <w:rsid w:val="00A96A9E"/>
    <w:rsid w:val="00A96ACB"/>
    <w:rsid w:val="00A96B14"/>
    <w:rsid w:val="00A96B77"/>
    <w:rsid w:val="00A96BB4"/>
    <w:rsid w:val="00A96C2D"/>
    <w:rsid w:val="00A96CA8"/>
    <w:rsid w:val="00A96CC4"/>
    <w:rsid w:val="00A96D0C"/>
    <w:rsid w:val="00A96D1D"/>
    <w:rsid w:val="00A96D81"/>
    <w:rsid w:val="00A96D93"/>
    <w:rsid w:val="00A96DA8"/>
    <w:rsid w:val="00A96E90"/>
    <w:rsid w:val="00A96ED9"/>
    <w:rsid w:val="00A96EE6"/>
    <w:rsid w:val="00A96EF8"/>
    <w:rsid w:val="00A96F4C"/>
    <w:rsid w:val="00A96F51"/>
    <w:rsid w:val="00A96FB0"/>
    <w:rsid w:val="00A96FE5"/>
    <w:rsid w:val="00A9706E"/>
    <w:rsid w:val="00A9709A"/>
    <w:rsid w:val="00A970C3"/>
    <w:rsid w:val="00A9717C"/>
    <w:rsid w:val="00A971B0"/>
    <w:rsid w:val="00A971E3"/>
    <w:rsid w:val="00A971ED"/>
    <w:rsid w:val="00A9721C"/>
    <w:rsid w:val="00A97272"/>
    <w:rsid w:val="00A97383"/>
    <w:rsid w:val="00A9739B"/>
    <w:rsid w:val="00A97409"/>
    <w:rsid w:val="00A97419"/>
    <w:rsid w:val="00A97427"/>
    <w:rsid w:val="00A97447"/>
    <w:rsid w:val="00A97448"/>
    <w:rsid w:val="00A97502"/>
    <w:rsid w:val="00A97534"/>
    <w:rsid w:val="00A9753E"/>
    <w:rsid w:val="00A97556"/>
    <w:rsid w:val="00A97568"/>
    <w:rsid w:val="00A9757D"/>
    <w:rsid w:val="00A97600"/>
    <w:rsid w:val="00A97601"/>
    <w:rsid w:val="00A97635"/>
    <w:rsid w:val="00A97639"/>
    <w:rsid w:val="00A97651"/>
    <w:rsid w:val="00A97678"/>
    <w:rsid w:val="00A97682"/>
    <w:rsid w:val="00A976C9"/>
    <w:rsid w:val="00A976F9"/>
    <w:rsid w:val="00A97725"/>
    <w:rsid w:val="00A97775"/>
    <w:rsid w:val="00A977D4"/>
    <w:rsid w:val="00A97819"/>
    <w:rsid w:val="00A97831"/>
    <w:rsid w:val="00A9784C"/>
    <w:rsid w:val="00A97866"/>
    <w:rsid w:val="00A9786D"/>
    <w:rsid w:val="00A9788E"/>
    <w:rsid w:val="00A9789A"/>
    <w:rsid w:val="00A978AD"/>
    <w:rsid w:val="00A97913"/>
    <w:rsid w:val="00A9796F"/>
    <w:rsid w:val="00A979E6"/>
    <w:rsid w:val="00A97A08"/>
    <w:rsid w:val="00A97A11"/>
    <w:rsid w:val="00A97A14"/>
    <w:rsid w:val="00A97A8B"/>
    <w:rsid w:val="00A97ADE"/>
    <w:rsid w:val="00A97AE5"/>
    <w:rsid w:val="00A97B14"/>
    <w:rsid w:val="00A97B70"/>
    <w:rsid w:val="00A97BDE"/>
    <w:rsid w:val="00A97BEF"/>
    <w:rsid w:val="00A97C06"/>
    <w:rsid w:val="00A97C25"/>
    <w:rsid w:val="00A97C2C"/>
    <w:rsid w:val="00A97C2D"/>
    <w:rsid w:val="00A97CCE"/>
    <w:rsid w:val="00A97D0A"/>
    <w:rsid w:val="00A97D4B"/>
    <w:rsid w:val="00A97DBC"/>
    <w:rsid w:val="00A97DCF"/>
    <w:rsid w:val="00A97E0B"/>
    <w:rsid w:val="00A97E41"/>
    <w:rsid w:val="00A97EAA"/>
    <w:rsid w:val="00A97EFD"/>
    <w:rsid w:val="00A97F2C"/>
    <w:rsid w:val="00A97F5D"/>
    <w:rsid w:val="00A97F60"/>
    <w:rsid w:val="00A97FDC"/>
    <w:rsid w:val="00A97FEF"/>
    <w:rsid w:val="00AA004E"/>
    <w:rsid w:val="00AA0063"/>
    <w:rsid w:val="00AA0130"/>
    <w:rsid w:val="00AA014B"/>
    <w:rsid w:val="00AA0190"/>
    <w:rsid w:val="00AA01A8"/>
    <w:rsid w:val="00AA01BC"/>
    <w:rsid w:val="00AA0295"/>
    <w:rsid w:val="00AA02E3"/>
    <w:rsid w:val="00AA030D"/>
    <w:rsid w:val="00AA0336"/>
    <w:rsid w:val="00AA0384"/>
    <w:rsid w:val="00AA03A5"/>
    <w:rsid w:val="00AA03B2"/>
    <w:rsid w:val="00AA03C9"/>
    <w:rsid w:val="00AA03DF"/>
    <w:rsid w:val="00AA047B"/>
    <w:rsid w:val="00AA04B0"/>
    <w:rsid w:val="00AA04C9"/>
    <w:rsid w:val="00AA050E"/>
    <w:rsid w:val="00AA0533"/>
    <w:rsid w:val="00AA0536"/>
    <w:rsid w:val="00AA0561"/>
    <w:rsid w:val="00AA0566"/>
    <w:rsid w:val="00AA05A8"/>
    <w:rsid w:val="00AA05D9"/>
    <w:rsid w:val="00AA0604"/>
    <w:rsid w:val="00AA0683"/>
    <w:rsid w:val="00AA076A"/>
    <w:rsid w:val="00AA07BE"/>
    <w:rsid w:val="00AA07C3"/>
    <w:rsid w:val="00AA084C"/>
    <w:rsid w:val="00AA08C2"/>
    <w:rsid w:val="00AA08C7"/>
    <w:rsid w:val="00AA08CC"/>
    <w:rsid w:val="00AA08E8"/>
    <w:rsid w:val="00AA0907"/>
    <w:rsid w:val="00AA0949"/>
    <w:rsid w:val="00AA0956"/>
    <w:rsid w:val="00AA0A0E"/>
    <w:rsid w:val="00AA0A1B"/>
    <w:rsid w:val="00AA0A51"/>
    <w:rsid w:val="00AA0AF5"/>
    <w:rsid w:val="00AA0B09"/>
    <w:rsid w:val="00AA0C62"/>
    <w:rsid w:val="00AA0CA8"/>
    <w:rsid w:val="00AA0D40"/>
    <w:rsid w:val="00AA0E8B"/>
    <w:rsid w:val="00AA0EAE"/>
    <w:rsid w:val="00AA0EB1"/>
    <w:rsid w:val="00AA0EE4"/>
    <w:rsid w:val="00AA0F4F"/>
    <w:rsid w:val="00AA0F50"/>
    <w:rsid w:val="00AA0F59"/>
    <w:rsid w:val="00AA0F94"/>
    <w:rsid w:val="00AA0FB9"/>
    <w:rsid w:val="00AA0FBD"/>
    <w:rsid w:val="00AA0FC2"/>
    <w:rsid w:val="00AA0FDB"/>
    <w:rsid w:val="00AA0FEA"/>
    <w:rsid w:val="00AA1024"/>
    <w:rsid w:val="00AA1089"/>
    <w:rsid w:val="00AA1099"/>
    <w:rsid w:val="00AA10E1"/>
    <w:rsid w:val="00AA112F"/>
    <w:rsid w:val="00AA1133"/>
    <w:rsid w:val="00AA113F"/>
    <w:rsid w:val="00AA115A"/>
    <w:rsid w:val="00AA121C"/>
    <w:rsid w:val="00AA1277"/>
    <w:rsid w:val="00AA1279"/>
    <w:rsid w:val="00AA1289"/>
    <w:rsid w:val="00AA12B3"/>
    <w:rsid w:val="00AA12BD"/>
    <w:rsid w:val="00AA1384"/>
    <w:rsid w:val="00AA13AE"/>
    <w:rsid w:val="00AA13BE"/>
    <w:rsid w:val="00AA145E"/>
    <w:rsid w:val="00AA14ED"/>
    <w:rsid w:val="00AA1511"/>
    <w:rsid w:val="00AA1528"/>
    <w:rsid w:val="00AA1583"/>
    <w:rsid w:val="00AA15BB"/>
    <w:rsid w:val="00AA15BD"/>
    <w:rsid w:val="00AA15BE"/>
    <w:rsid w:val="00AA1678"/>
    <w:rsid w:val="00AA16A1"/>
    <w:rsid w:val="00AA1811"/>
    <w:rsid w:val="00AA1848"/>
    <w:rsid w:val="00AA1852"/>
    <w:rsid w:val="00AA1895"/>
    <w:rsid w:val="00AA18BA"/>
    <w:rsid w:val="00AA1908"/>
    <w:rsid w:val="00AA192B"/>
    <w:rsid w:val="00AA1952"/>
    <w:rsid w:val="00AA19CA"/>
    <w:rsid w:val="00AA19D2"/>
    <w:rsid w:val="00AA19D9"/>
    <w:rsid w:val="00AA19E9"/>
    <w:rsid w:val="00AA19F9"/>
    <w:rsid w:val="00AA1A0D"/>
    <w:rsid w:val="00AA1A76"/>
    <w:rsid w:val="00AA1AE2"/>
    <w:rsid w:val="00AA1B2E"/>
    <w:rsid w:val="00AA1B78"/>
    <w:rsid w:val="00AA1B85"/>
    <w:rsid w:val="00AA1BDB"/>
    <w:rsid w:val="00AA1C0B"/>
    <w:rsid w:val="00AA1C2E"/>
    <w:rsid w:val="00AA1C55"/>
    <w:rsid w:val="00AA1CE1"/>
    <w:rsid w:val="00AA1D36"/>
    <w:rsid w:val="00AA1D7F"/>
    <w:rsid w:val="00AA1D83"/>
    <w:rsid w:val="00AA1DB4"/>
    <w:rsid w:val="00AA1DBD"/>
    <w:rsid w:val="00AA1E49"/>
    <w:rsid w:val="00AA1E71"/>
    <w:rsid w:val="00AA1E7A"/>
    <w:rsid w:val="00AA1E80"/>
    <w:rsid w:val="00AA1EAA"/>
    <w:rsid w:val="00AA1EC1"/>
    <w:rsid w:val="00AA1ED0"/>
    <w:rsid w:val="00AA1EF6"/>
    <w:rsid w:val="00AA1F24"/>
    <w:rsid w:val="00AA1FDD"/>
    <w:rsid w:val="00AA2011"/>
    <w:rsid w:val="00AA2031"/>
    <w:rsid w:val="00AA208F"/>
    <w:rsid w:val="00AA2199"/>
    <w:rsid w:val="00AA2206"/>
    <w:rsid w:val="00AA220F"/>
    <w:rsid w:val="00AA221B"/>
    <w:rsid w:val="00AA2279"/>
    <w:rsid w:val="00AA2287"/>
    <w:rsid w:val="00AA229E"/>
    <w:rsid w:val="00AA22D0"/>
    <w:rsid w:val="00AA2354"/>
    <w:rsid w:val="00AA2359"/>
    <w:rsid w:val="00AA240F"/>
    <w:rsid w:val="00AA241F"/>
    <w:rsid w:val="00AA2425"/>
    <w:rsid w:val="00AA2458"/>
    <w:rsid w:val="00AA247D"/>
    <w:rsid w:val="00AA24C2"/>
    <w:rsid w:val="00AA24FE"/>
    <w:rsid w:val="00AA2500"/>
    <w:rsid w:val="00AA251C"/>
    <w:rsid w:val="00AA255D"/>
    <w:rsid w:val="00AA258F"/>
    <w:rsid w:val="00AA25CD"/>
    <w:rsid w:val="00AA25DA"/>
    <w:rsid w:val="00AA2605"/>
    <w:rsid w:val="00AA2629"/>
    <w:rsid w:val="00AA263E"/>
    <w:rsid w:val="00AA2662"/>
    <w:rsid w:val="00AA26E4"/>
    <w:rsid w:val="00AA26EB"/>
    <w:rsid w:val="00AA2729"/>
    <w:rsid w:val="00AA2743"/>
    <w:rsid w:val="00AA2790"/>
    <w:rsid w:val="00AA27E7"/>
    <w:rsid w:val="00AA280E"/>
    <w:rsid w:val="00AA281D"/>
    <w:rsid w:val="00AA282D"/>
    <w:rsid w:val="00AA2925"/>
    <w:rsid w:val="00AA2949"/>
    <w:rsid w:val="00AA2971"/>
    <w:rsid w:val="00AA29C1"/>
    <w:rsid w:val="00AA29FA"/>
    <w:rsid w:val="00AA2A49"/>
    <w:rsid w:val="00AA2ABB"/>
    <w:rsid w:val="00AA2B21"/>
    <w:rsid w:val="00AA2B42"/>
    <w:rsid w:val="00AA2B6C"/>
    <w:rsid w:val="00AA2BAC"/>
    <w:rsid w:val="00AA2BBE"/>
    <w:rsid w:val="00AA2C2D"/>
    <w:rsid w:val="00AA2C39"/>
    <w:rsid w:val="00AA2C3D"/>
    <w:rsid w:val="00AA2D01"/>
    <w:rsid w:val="00AA2D2C"/>
    <w:rsid w:val="00AA2D32"/>
    <w:rsid w:val="00AA2D3E"/>
    <w:rsid w:val="00AA2D49"/>
    <w:rsid w:val="00AA2D50"/>
    <w:rsid w:val="00AA2D94"/>
    <w:rsid w:val="00AA2E66"/>
    <w:rsid w:val="00AA2E8D"/>
    <w:rsid w:val="00AA2EAC"/>
    <w:rsid w:val="00AA2EAD"/>
    <w:rsid w:val="00AA2F39"/>
    <w:rsid w:val="00AA2F40"/>
    <w:rsid w:val="00AA2F47"/>
    <w:rsid w:val="00AA2F51"/>
    <w:rsid w:val="00AA2F75"/>
    <w:rsid w:val="00AA2F84"/>
    <w:rsid w:val="00AA2F9D"/>
    <w:rsid w:val="00AA2FE5"/>
    <w:rsid w:val="00AA2FED"/>
    <w:rsid w:val="00AA2FF7"/>
    <w:rsid w:val="00AA300C"/>
    <w:rsid w:val="00AA302D"/>
    <w:rsid w:val="00AA3043"/>
    <w:rsid w:val="00AA30F1"/>
    <w:rsid w:val="00AA31A1"/>
    <w:rsid w:val="00AA31C6"/>
    <w:rsid w:val="00AA31DD"/>
    <w:rsid w:val="00AA3203"/>
    <w:rsid w:val="00AA3221"/>
    <w:rsid w:val="00AA3295"/>
    <w:rsid w:val="00AA32A1"/>
    <w:rsid w:val="00AA32DE"/>
    <w:rsid w:val="00AA32EC"/>
    <w:rsid w:val="00AA3302"/>
    <w:rsid w:val="00AA3315"/>
    <w:rsid w:val="00AA333B"/>
    <w:rsid w:val="00AA335C"/>
    <w:rsid w:val="00AA3388"/>
    <w:rsid w:val="00AA3393"/>
    <w:rsid w:val="00AA33FB"/>
    <w:rsid w:val="00AA340A"/>
    <w:rsid w:val="00AA3455"/>
    <w:rsid w:val="00AA3467"/>
    <w:rsid w:val="00AA3477"/>
    <w:rsid w:val="00AA34C1"/>
    <w:rsid w:val="00AA3565"/>
    <w:rsid w:val="00AA3575"/>
    <w:rsid w:val="00AA3597"/>
    <w:rsid w:val="00AA35AA"/>
    <w:rsid w:val="00AA35C0"/>
    <w:rsid w:val="00AA3635"/>
    <w:rsid w:val="00AA3677"/>
    <w:rsid w:val="00AA367E"/>
    <w:rsid w:val="00AA36A2"/>
    <w:rsid w:val="00AA36DF"/>
    <w:rsid w:val="00AA373A"/>
    <w:rsid w:val="00AA374A"/>
    <w:rsid w:val="00AA3761"/>
    <w:rsid w:val="00AA3775"/>
    <w:rsid w:val="00AA37B1"/>
    <w:rsid w:val="00AA37E0"/>
    <w:rsid w:val="00AA3862"/>
    <w:rsid w:val="00AA3897"/>
    <w:rsid w:val="00AA38AF"/>
    <w:rsid w:val="00AA391D"/>
    <w:rsid w:val="00AA392B"/>
    <w:rsid w:val="00AA3932"/>
    <w:rsid w:val="00AA393C"/>
    <w:rsid w:val="00AA39AA"/>
    <w:rsid w:val="00AA39CA"/>
    <w:rsid w:val="00AA39F1"/>
    <w:rsid w:val="00AA3A14"/>
    <w:rsid w:val="00AA3A6F"/>
    <w:rsid w:val="00AA3AA6"/>
    <w:rsid w:val="00AA3ADF"/>
    <w:rsid w:val="00AA3B29"/>
    <w:rsid w:val="00AA3B71"/>
    <w:rsid w:val="00AA3B73"/>
    <w:rsid w:val="00AA3B99"/>
    <w:rsid w:val="00AA3BA9"/>
    <w:rsid w:val="00AA3BBF"/>
    <w:rsid w:val="00AA3C13"/>
    <w:rsid w:val="00AA3CA4"/>
    <w:rsid w:val="00AA3CF1"/>
    <w:rsid w:val="00AA3D9C"/>
    <w:rsid w:val="00AA3E21"/>
    <w:rsid w:val="00AA3E67"/>
    <w:rsid w:val="00AA3ECA"/>
    <w:rsid w:val="00AA3EF9"/>
    <w:rsid w:val="00AA3F30"/>
    <w:rsid w:val="00AA3F35"/>
    <w:rsid w:val="00AA3FF4"/>
    <w:rsid w:val="00AA3FF7"/>
    <w:rsid w:val="00AA4007"/>
    <w:rsid w:val="00AA4026"/>
    <w:rsid w:val="00AA4052"/>
    <w:rsid w:val="00AA4068"/>
    <w:rsid w:val="00AA4102"/>
    <w:rsid w:val="00AA4170"/>
    <w:rsid w:val="00AA418E"/>
    <w:rsid w:val="00AA41A4"/>
    <w:rsid w:val="00AA423A"/>
    <w:rsid w:val="00AA4262"/>
    <w:rsid w:val="00AA4277"/>
    <w:rsid w:val="00AA4284"/>
    <w:rsid w:val="00AA4321"/>
    <w:rsid w:val="00AA433E"/>
    <w:rsid w:val="00AA4388"/>
    <w:rsid w:val="00AA438E"/>
    <w:rsid w:val="00AA4391"/>
    <w:rsid w:val="00AA43DC"/>
    <w:rsid w:val="00AA43EA"/>
    <w:rsid w:val="00AA446F"/>
    <w:rsid w:val="00AA4480"/>
    <w:rsid w:val="00AA44C5"/>
    <w:rsid w:val="00AA44C6"/>
    <w:rsid w:val="00AA453D"/>
    <w:rsid w:val="00AA4555"/>
    <w:rsid w:val="00AA45FB"/>
    <w:rsid w:val="00AA4631"/>
    <w:rsid w:val="00AA466A"/>
    <w:rsid w:val="00AA4677"/>
    <w:rsid w:val="00AA469E"/>
    <w:rsid w:val="00AA46B1"/>
    <w:rsid w:val="00AA472F"/>
    <w:rsid w:val="00AA4733"/>
    <w:rsid w:val="00AA4771"/>
    <w:rsid w:val="00AA477A"/>
    <w:rsid w:val="00AA47AB"/>
    <w:rsid w:val="00AA47C6"/>
    <w:rsid w:val="00AA4842"/>
    <w:rsid w:val="00AA4909"/>
    <w:rsid w:val="00AA4919"/>
    <w:rsid w:val="00AA491F"/>
    <w:rsid w:val="00AA4980"/>
    <w:rsid w:val="00AA498F"/>
    <w:rsid w:val="00AA49E0"/>
    <w:rsid w:val="00AA49F8"/>
    <w:rsid w:val="00AA4A5C"/>
    <w:rsid w:val="00AA4A80"/>
    <w:rsid w:val="00AA4A91"/>
    <w:rsid w:val="00AA4AD7"/>
    <w:rsid w:val="00AA4B1E"/>
    <w:rsid w:val="00AA4B77"/>
    <w:rsid w:val="00AA4BB8"/>
    <w:rsid w:val="00AA4BC2"/>
    <w:rsid w:val="00AA4BC5"/>
    <w:rsid w:val="00AA4BD9"/>
    <w:rsid w:val="00AA4BF3"/>
    <w:rsid w:val="00AA4C3F"/>
    <w:rsid w:val="00AA4C67"/>
    <w:rsid w:val="00AA4C7F"/>
    <w:rsid w:val="00AA4C9A"/>
    <w:rsid w:val="00AA4CC3"/>
    <w:rsid w:val="00AA4CDA"/>
    <w:rsid w:val="00AA4CDB"/>
    <w:rsid w:val="00AA4CE6"/>
    <w:rsid w:val="00AA4D99"/>
    <w:rsid w:val="00AA4DD7"/>
    <w:rsid w:val="00AA4DDB"/>
    <w:rsid w:val="00AA4DE2"/>
    <w:rsid w:val="00AA4E1D"/>
    <w:rsid w:val="00AA4E42"/>
    <w:rsid w:val="00AA4E44"/>
    <w:rsid w:val="00AA4E8A"/>
    <w:rsid w:val="00AA4EA9"/>
    <w:rsid w:val="00AA4EBF"/>
    <w:rsid w:val="00AA4F35"/>
    <w:rsid w:val="00AA4FB5"/>
    <w:rsid w:val="00AA4FC6"/>
    <w:rsid w:val="00AA5016"/>
    <w:rsid w:val="00AA5055"/>
    <w:rsid w:val="00AA50EA"/>
    <w:rsid w:val="00AA50F7"/>
    <w:rsid w:val="00AA5137"/>
    <w:rsid w:val="00AA51C4"/>
    <w:rsid w:val="00AA520A"/>
    <w:rsid w:val="00AA5219"/>
    <w:rsid w:val="00AA5235"/>
    <w:rsid w:val="00AA5245"/>
    <w:rsid w:val="00AA52B5"/>
    <w:rsid w:val="00AA5390"/>
    <w:rsid w:val="00AA5392"/>
    <w:rsid w:val="00AA53A4"/>
    <w:rsid w:val="00AA5469"/>
    <w:rsid w:val="00AA547E"/>
    <w:rsid w:val="00AA54A2"/>
    <w:rsid w:val="00AA54BB"/>
    <w:rsid w:val="00AA54DD"/>
    <w:rsid w:val="00AA5538"/>
    <w:rsid w:val="00AA5549"/>
    <w:rsid w:val="00AA5553"/>
    <w:rsid w:val="00AA555F"/>
    <w:rsid w:val="00AA557E"/>
    <w:rsid w:val="00AA5585"/>
    <w:rsid w:val="00AA559E"/>
    <w:rsid w:val="00AA55B9"/>
    <w:rsid w:val="00AA55BB"/>
    <w:rsid w:val="00AA55BF"/>
    <w:rsid w:val="00AA55F0"/>
    <w:rsid w:val="00AA5608"/>
    <w:rsid w:val="00AA5629"/>
    <w:rsid w:val="00AA5638"/>
    <w:rsid w:val="00AA566F"/>
    <w:rsid w:val="00AA5690"/>
    <w:rsid w:val="00AA56AA"/>
    <w:rsid w:val="00AA5706"/>
    <w:rsid w:val="00AA570D"/>
    <w:rsid w:val="00AA5748"/>
    <w:rsid w:val="00AA5783"/>
    <w:rsid w:val="00AA579D"/>
    <w:rsid w:val="00AA57F5"/>
    <w:rsid w:val="00AA5814"/>
    <w:rsid w:val="00AA5875"/>
    <w:rsid w:val="00AA589E"/>
    <w:rsid w:val="00AA58D9"/>
    <w:rsid w:val="00AA58E1"/>
    <w:rsid w:val="00AA58F3"/>
    <w:rsid w:val="00AA5996"/>
    <w:rsid w:val="00AA59D6"/>
    <w:rsid w:val="00AA5A14"/>
    <w:rsid w:val="00AA5A27"/>
    <w:rsid w:val="00AA5A31"/>
    <w:rsid w:val="00AA5A42"/>
    <w:rsid w:val="00AA5A94"/>
    <w:rsid w:val="00AA5AAE"/>
    <w:rsid w:val="00AA5AC5"/>
    <w:rsid w:val="00AA5B0C"/>
    <w:rsid w:val="00AA5B16"/>
    <w:rsid w:val="00AA5BEA"/>
    <w:rsid w:val="00AA5C06"/>
    <w:rsid w:val="00AA5C1E"/>
    <w:rsid w:val="00AA5C25"/>
    <w:rsid w:val="00AA5C56"/>
    <w:rsid w:val="00AA5C8F"/>
    <w:rsid w:val="00AA5CF4"/>
    <w:rsid w:val="00AA5CFA"/>
    <w:rsid w:val="00AA5D07"/>
    <w:rsid w:val="00AA5D0F"/>
    <w:rsid w:val="00AA5D10"/>
    <w:rsid w:val="00AA5D1A"/>
    <w:rsid w:val="00AA5D2C"/>
    <w:rsid w:val="00AA5D63"/>
    <w:rsid w:val="00AA5D6D"/>
    <w:rsid w:val="00AA5E18"/>
    <w:rsid w:val="00AA5E34"/>
    <w:rsid w:val="00AA5E6F"/>
    <w:rsid w:val="00AA5E75"/>
    <w:rsid w:val="00AA5E88"/>
    <w:rsid w:val="00AA5EC6"/>
    <w:rsid w:val="00AA5ED6"/>
    <w:rsid w:val="00AA5EE2"/>
    <w:rsid w:val="00AA5EF8"/>
    <w:rsid w:val="00AA5F04"/>
    <w:rsid w:val="00AA5F15"/>
    <w:rsid w:val="00AA5F16"/>
    <w:rsid w:val="00AA5F87"/>
    <w:rsid w:val="00AA5F9F"/>
    <w:rsid w:val="00AA5FCF"/>
    <w:rsid w:val="00AA5FE4"/>
    <w:rsid w:val="00AA6017"/>
    <w:rsid w:val="00AA6019"/>
    <w:rsid w:val="00AA602E"/>
    <w:rsid w:val="00AA60C1"/>
    <w:rsid w:val="00AA6101"/>
    <w:rsid w:val="00AA6106"/>
    <w:rsid w:val="00AA610C"/>
    <w:rsid w:val="00AA613E"/>
    <w:rsid w:val="00AA6177"/>
    <w:rsid w:val="00AA61B4"/>
    <w:rsid w:val="00AA61C3"/>
    <w:rsid w:val="00AA61D4"/>
    <w:rsid w:val="00AA61EA"/>
    <w:rsid w:val="00AA6238"/>
    <w:rsid w:val="00AA628F"/>
    <w:rsid w:val="00AA62D7"/>
    <w:rsid w:val="00AA6314"/>
    <w:rsid w:val="00AA6338"/>
    <w:rsid w:val="00AA634B"/>
    <w:rsid w:val="00AA6372"/>
    <w:rsid w:val="00AA6382"/>
    <w:rsid w:val="00AA63C8"/>
    <w:rsid w:val="00AA642C"/>
    <w:rsid w:val="00AA644B"/>
    <w:rsid w:val="00AA647C"/>
    <w:rsid w:val="00AA64AE"/>
    <w:rsid w:val="00AA64E9"/>
    <w:rsid w:val="00AA64FB"/>
    <w:rsid w:val="00AA6509"/>
    <w:rsid w:val="00AA6523"/>
    <w:rsid w:val="00AA6543"/>
    <w:rsid w:val="00AA6567"/>
    <w:rsid w:val="00AA656A"/>
    <w:rsid w:val="00AA65A5"/>
    <w:rsid w:val="00AA65B9"/>
    <w:rsid w:val="00AA662E"/>
    <w:rsid w:val="00AA6657"/>
    <w:rsid w:val="00AA6706"/>
    <w:rsid w:val="00AA674C"/>
    <w:rsid w:val="00AA6782"/>
    <w:rsid w:val="00AA67EA"/>
    <w:rsid w:val="00AA6806"/>
    <w:rsid w:val="00AA682A"/>
    <w:rsid w:val="00AA684D"/>
    <w:rsid w:val="00AA685B"/>
    <w:rsid w:val="00AA685F"/>
    <w:rsid w:val="00AA6860"/>
    <w:rsid w:val="00AA691E"/>
    <w:rsid w:val="00AA6985"/>
    <w:rsid w:val="00AA6995"/>
    <w:rsid w:val="00AA69BE"/>
    <w:rsid w:val="00AA6A24"/>
    <w:rsid w:val="00AA6A38"/>
    <w:rsid w:val="00AA6A4B"/>
    <w:rsid w:val="00AA6A75"/>
    <w:rsid w:val="00AA6A80"/>
    <w:rsid w:val="00AA6AB5"/>
    <w:rsid w:val="00AA6AE2"/>
    <w:rsid w:val="00AA6AFF"/>
    <w:rsid w:val="00AA6B2F"/>
    <w:rsid w:val="00AA6B33"/>
    <w:rsid w:val="00AA6B35"/>
    <w:rsid w:val="00AA6B66"/>
    <w:rsid w:val="00AA6BE4"/>
    <w:rsid w:val="00AA6C49"/>
    <w:rsid w:val="00AA6C9A"/>
    <w:rsid w:val="00AA6CA5"/>
    <w:rsid w:val="00AA6D1D"/>
    <w:rsid w:val="00AA6D38"/>
    <w:rsid w:val="00AA6D42"/>
    <w:rsid w:val="00AA6D5B"/>
    <w:rsid w:val="00AA6DA9"/>
    <w:rsid w:val="00AA6DFF"/>
    <w:rsid w:val="00AA6E67"/>
    <w:rsid w:val="00AA6EAB"/>
    <w:rsid w:val="00AA6EAE"/>
    <w:rsid w:val="00AA6EB7"/>
    <w:rsid w:val="00AA6EC7"/>
    <w:rsid w:val="00AA6EDC"/>
    <w:rsid w:val="00AA6EEB"/>
    <w:rsid w:val="00AA6EF0"/>
    <w:rsid w:val="00AA6F02"/>
    <w:rsid w:val="00AA6F33"/>
    <w:rsid w:val="00AA6F3B"/>
    <w:rsid w:val="00AA6F6B"/>
    <w:rsid w:val="00AA6F85"/>
    <w:rsid w:val="00AA6FA4"/>
    <w:rsid w:val="00AA7004"/>
    <w:rsid w:val="00AA700F"/>
    <w:rsid w:val="00AA7034"/>
    <w:rsid w:val="00AA7053"/>
    <w:rsid w:val="00AA70C6"/>
    <w:rsid w:val="00AA70CC"/>
    <w:rsid w:val="00AA71A3"/>
    <w:rsid w:val="00AA71B6"/>
    <w:rsid w:val="00AA71D0"/>
    <w:rsid w:val="00AA720C"/>
    <w:rsid w:val="00AA720F"/>
    <w:rsid w:val="00AA7245"/>
    <w:rsid w:val="00AA725C"/>
    <w:rsid w:val="00AA7269"/>
    <w:rsid w:val="00AA7281"/>
    <w:rsid w:val="00AA72AA"/>
    <w:rsid w:val="00AA72C6"/>
    <w:rsid w:val="00AA7308"/>
    <w:rsid w:val="00AA730E"/>
    <w:rsid w:val="00AA73AA"/>
    <w:rsid w:val="00AA7407"/>
    <w:rsid w:val="00AA743D"/>
    <w:rsid w:val="00AA7483"/>
    <w:rsid w:val="00AA74D3"/>
    <w:rsid w:val="00AA74E6"/>
    <w:rsid w:val="00AA7533"/>
    <w:rsid w:val="00AA7576"/>
    <w:rsid w:val="00AA75BE"/>
    <w:rsid w:val="00AA75ED"/>
    <w:rsid w:val="00AA760F"/>
    <w:rsid w:val="00AA761B"/>
    <w:rsid w:val="00AA764B"/>
    <w:rsid w:val="00AA772F"/>
    <w:rsid w:val="00AA7768"/>
    <w:rsid w:val="00AA776B"/>
    <w:rsid w:val="00AA777F"/>
    <w:rsid w:val="00AA7789"/>
    <w:rsid w:val="00AA779D"/>
    <w:rsid w:val="00AA77B1"/>
    <w:rsid w:val="00AA77BE"/>
    <w:rsid w:val="00AA77C6"/>
    <w:rsid w:val="00AA7800"/>
    <w:rsid w:val="00AA7817"/>
    <w:rsid w:val="00AA782D"/>
    <w:rsid w:val="00AA7997"/>
    <w:rsid w:val="00AA79C1"/>
    <w:rsid w:val="00AA79D4"/>
    <w:rsid w:val="00AA7A25"/>
    <w:rsid w:val="00AA7A64"/>
    <w:rsid w:val="00AA7B0B"/>
    <w:rsid w:val="00AA7B10"/>
    <w:rsid w:val="00AA7B36"/>
    <w:rsid w:val="00AA7D07"/>
    <w:rsid w:val="00AA7D99"/>
    <w:rsid w:val="00AA7DEC"/>
    <w:rsid w:val="00AA7DED"/>
    <w:rsid w:val="00AA7DEE"/>
    <w:rsid w:val="00AA7DEF"/>
    <w:rsid w:val="00AA7E01"/>
    <w:rsid w:val="00AA7E12"/>
    <w:rsid w:val="00AA7EA5"/>
    <w:rsid w:val="00AA7F12"/>
    <w:rsid w:val="00AA7F2E"/>
    <w:rsid w:val="00AA7F84"/>
    <w:rsid w:val="00AA7F98"/>
    <w:rsid w:val="00AA7FBA"/>
    <w:rsid w:val="00AA7FBF"/>
    <w:rsid w:val="00AA7FC4"/>
    <w:rsid w:val="00AA7FE1"/>
    <w:rsid w:val="00AB0011"/>
    <w:rsid w:val="00AB0035"/>
    <w:rsid w:val="00AB0036"/>
    <w:rsid w:val="00AB0093"/>
    <w:rsid w:val="00AB011D"/>
    <w:rsid w:val="00AB0174"/>
    <w:rsid w:val="00AB01B6"/>
    <w:rsid w:val="00AB01F4"/>
    <w:rsid w:val="00AB0206"/>
    <w:rsid w:val="00AB0241"/>
    <w:rsid w:val="00AB028A"/>
    <w:rsid w:val="00AB02B6"/>
    <w:rsid w:val="00AB02D1"/>
    <w:rsid w:val="00AB02FB"/>
    <w:rsid w:val="00AB0307"/>
    <w:rsid w:val="00AB0336"/>
    <w:rsid w:val="00AB03A7"/>
    <w:rsid w:val="00AB03D1"/>
    <w:rsid w:val="00AB03F3"/>
    <w:rsid w:val="00AB042A"/>
    <w:rsid w:val="00AB042D"/>
    <w:rsid w:val="00AB0464"/>
    <w:rsid w:val="00AB0467"/>
    <w:rsid w:val="00AB048B"/>
    <w:rsid w:val="00AB048F"/>
    <w:rsid w:val="00AB049E"/>
    <w:rsid w:val="00AB04A7"/>
    <w:rsid w:val="00AB04E7"/>
    <w:rsid w:val="00AB04F1"/>
    <w:rsid w:val="00AB055F"/>
    <w:rsid w:val="00AB0576"/>
    <w:rsid w:val="00AB0577"/>
    <w:rsid w:val="00AB0587"/>
    <w:rsid w:val="00AB05C5"/>
    <w:rsid w:val="00AB05D9"/>
    <w:rsid w:val="00AB05FD"/>
    <w:rsid w:val="00AB060C"/>
    <w:rsid w:val="00AB065D"/>
    <w:rsid w:val="00AB0677"/>
    <w:rsid w:val="00AB06D4"/>
    <w:rsid w:val="00AB0729"/>
    <w:rsid w:val="00AB074C"/>
    <w:rsid w:val="00AB076A"/>
    <w:rsid w:val="00AB07B5"/>
    <w:rsid w:val="00AB0806"/>
    <w:rsid w:val="00AB08B0"/>
    <w:rsid w:val="00AB0A32"/>
    <w:rsid w:val="00AB0A7D"/>
    <w:rsid w:val="00AB0A88"/>
    <w:rsid w:val="00AB0AC9"/>
    <w:rsid w:val="00AB0B0C"/>
    <w:rsid w:val="00AB0B62"/>
    <w:rsid w:val="00AB0B78"/>
    <w:rsid w:val="00AB0BAC"/>
    <w:rsid w:val="00AB0BE1"/>
    <w:rsid w:val="00AB0BF2"/>
    <w:rsid w:val="00AB0D03"/>
    <w:rsid w:val="00AB0D0C"/>
    <w:rsid w:val="00AB0D70"/>
    <w:rsid w:val="00AB0D82"/>
    <w:rsid w:val="00AB0DAA"/>
    <w:rsid w:val="00AB0DB8"/>
    <w:rsid w:val="00AB0DBA"/>
    <w:rsid w:val="00AB0DBC"/>
    <w:rsid w:val="00AB0DF2"/>
    <w:rsid w:val="00AB0E3C"/>
    <w:rsid w:val="00AB0E9D"/>
    <w:rsid w:val="00AB0EC2"/>
    <w:rsid w:val="00AB0EE9"/>
    <w:rsid w:val="00AB0EF5"/>
    <w:rsid w:val="00AB0F33"/>
    <w:rsid w:val="00AB0F4A"/>
    <w:rsid w:val="00AB0F7A"/>
    <w:rsid w:val="00AB0F91"/>
    <w:rsid w:val="00AB0FDD"/>
    <w:rsid w:val="00AB102F"/>
    <w:rsid w:val="00AB1046"/>
    <w:rsid w:val="00AB1063"/>
    <w:rsid w:val="00AB1093"/>
    <w:rsid w:val="00AB10AC"/>
    <w:rsid w:val="00AB10B2"/>
    <w:rsid w:val="00AB10B4"/>
    <w:rsid w:val="00AB10F0"/>
    <w:rsid w:val="00AB113C"/>
    <w:rsid w:val="00AB115A"/>
    <w:rsid w:val="00AB1169"/>
    <w:rsid w:val="00AB11BA"/>
    <w:rsid w:val="00AB11E2"/>
    <w:rsid w:val="00AB123E"/>
    <w:rsid w:val="00AB1279"/>
    <w:rsid w:val="00AB1293"/>
    <w:rsid w:val="00AB129E"/>
    <w:rsid w:val="00AB12AF"/>
    <w:rsid w:val="00AB12B2"/>
    <w:rsid w:val="00AB12BC"/>
    <w:rsid w:val="00AB12D2"/>
    <w:rsid w:val="00AB12E8"/>
    <w:rsid w:val="00AB1302"/>
    <w:rsid w:val="00AB1359"/>
    <w:rsid w:val="00AB1386"/>
    <w:rsid w:val="00AB1390"/>
    <w:rsid w:val="00AB1395"/>
    <w:rsid w:val="00AB13EA"/>
    <w:rsid w:val="00AB1420"/>
    <w:rsid w:val="00AB148E"/>
    <w:rsid w:val="00AB14F3"/>
    <w:rsid w:val="00AB14F7"/>
    <w:rsid w:val="00AB1559"/>
    <w:rsid w:val="00AB15CF"/>
    <w:rsid w:val="00AB16AB"/>
    <w:rsid w:val="00AB1710"/>
    <w:rsid w:val="00AB17B6"/>
    <w:rsid w:val="00AB1859"/>
    <w:rsid w:val="00AB1895"/>
    <w:rsid w:val="00AB18D3"/>
    <w:rsid w:val="00AB190A"/>
    <w:rsid w:val="00AB1937"/>
    <w:rsid w:val="00AB19A7"/>
    <w:rsid w:val="00AB19BB"/>
    <w:rsid w:val="00AB1A36"/>
    <w:rsid w:val="00AB1A53"/>
    <w:rsid w:val="00AB1A6E"/>
    <w:rsid w:val="00AB1A8E"/>
    <w:rsid w:val="00AB1AA1"/>
    <w:rsid w:val="00AB1ABF"/>
    <w:rsid w:val="00AB1B1E"/>
    <w:rsid w:val="00AB1B2C"/>
    <w:rsid w:val="00AB1B5F"/>
    <w:rsid w:val="00AB1B61"/>
    <w:rsid w:val="00AB1B66"/>
    <w:rsid w:val="00AB1BCA"/>
    <w:rsid w:val="00AB1C01"/>
    <w:rsid w:val="00AB1C0B"/>
    <w:rsid w:val="00AB1C23"/>
    <w:rsid w:val="00AB1C27"/>
    <w:rsid w:val="00AB1C40"/>
    <w:rsid w:val="00AB1C8D"/>
    <w:rsid w:val="00AB1D5C"/>
    <w:rsid w:val="00AB1DE6"/>
    <w:rsid w:val="00AB1E26"/>
    <w:rsid w:val="00AB1E3E"/>
    <w:rsid w:val="00AB1E50"/>
    <w:rsid w:val="00AB1E7C"/>
    <w:rsid w:val="00AB1E7D"/>
    <w:rsid w:val="00AB1E93"/>
    <w:rsid w:val="00AB1E9F"/>
    <w:rsid w:val="00AB1EF5"/>
    <w:rsid w:val="00AB1EFF"/>
    <w:rsid w:val="00AB1F00"/>
    <w:rsid w:val="00AB1F0F"/>
    <w:rsid w:val="00AB1F8B"/>
    <w:rsid w:val="00AB1FE8"/>
    <w:rsid w:val="00AB2019"/>
    <w:rsid w:val="00AB202B"/>
    <w:rsid w:val="00AB2096"/>
    <w:rsid w:val="00AB20A4"/>
    <w:rsid w:val="00AB20B9"/>
    <w:rsid w:val="00AB2103"/>
    <w:rsid w:val="00AB211C"/>
    <w:rsid w:val="00AB224B"/>
    <w:rsid w:val="00AB226B"/>
    <w:rsid w:val="00AB2280"/>
    <w:rsid w:val="00AB228B"/>
    <w:rsid w:val="00AB22F0"/>
    <w:rsid w:val="00AB2367"/>
    <w:rsid w:val="00AB23AF"/>
    <w:rsid w:val="00AB23F2"/>
    <w:rsid w:val="00AB2403"/>
    <w:rsid w:val="00AB24A6"/>
    <w:rsid w:val="00AB2506"/>
    <w:rsid w:val="00AB250E"/>
    <w:rsid w:val="00AB25DF"/>
    <w:rsid w:val="00AB2655"/>
    <w:rsid w:val="00AB269A"/>
    <w:rsid w:val="00AB26DA"/>
    <w:rsid w:val="00AB274A"/>
    <w:rsid w:val="00AB2750"/>
    <w:rsid w:val="00AB27BB"/>
    <w:rsid w:val="00AB27E1"/>
    <w:rsid w:val="00AB27F3"/>
    <w:rsid w:val="00AB2847"/>
    <w:rsid w:val="00AB2869"/>
    <w:rsid w:val="00AB2896"/>
    <w:rsid w:val="00AB2897"/>
    <w:rsid w:val="00AB28A2"/>
    <w:rsid w:val="00AB28A6"/>
    <w:rsid w:val="00AB2932"/>
    <w:rsid w:val="00AB2971"/>
    <w:rsid w:val="00AB2983"/>
    <w:rsid w:val="00AB29B8"/>
    <w:rsid w:val="00AB2A4C"/>
    <w:rsid w:val="00AB2A6E"/>
    <w:rsid w:val="00AB2A80"/>
    <w:rsid w:val="00AB2B81"/>
    <w:rsid w:val="00AB2BFC"/>
    <w:rsid w:val="00AB2C50"/>
    <w:rsid w:val="00AB2C59"/>
    <w:rsid w:val="00AB2C6D"/>
    <w:rsid w:val="00AB2CF6"/>
    <w:rsid w:val="00AB2D3A"/>
    <w:rsid w:val="00AB2DB0"/>
    <w:rsid w:val="00AB2E43"/>
    <w:rsid w:val="00AB2EDE"/>
    <w:rsid w:val="00AB2EEC"/>
    <w:rsid w:val="00AB2F08"/>
    <w:rsid w:val="00AB2F28"/>
    <w:rsid w:val="00AB2FA0"/>
    <w:rsid w:val="00AB2FF1"/>
    <w:rsid w:val="00AB30CD"/>
    <w:rsid w:val="00AB30DC"/>
    <w:rsid w:val="00AB3110"/>
    <w:rsid w:val="00AB3131"/>
    <w:rsid w:val="00AB3185"/>
    <w:rsid w:val="00AB32A1"/>
    <w:rsid w:val="00AB32EE"/>
    <w:rsid w:val="00AB3316"/>
    <w:rsid w:val="00AB3331"/>
    <w:rsid w:val="00AB3332"/>
    <w:rsid w:val="00AB3381"/>
    <w:rsid w:val="00AB338D"/>
    <w:rsid w:val="00AB33BE"/>
    <w:rsid w:val="00AB33D3"/>
    <w:rsid w:val="00AB3444"/>
    <w:rsid w:val="00AB356B"/>
    <w:rsid w:val="00AB357C"/>
    <w:rsid w:val="00AB35F8"/>
    <w:rsid w:val="00AB3630"/>
    <w:rsid w:val="00AB3664"/>
    <w:rsid w:val="00AB36B3"/>
    <w:rsid w:val="00AB3775"/>
    <w:rsid w:val="00AB37E3"/>
    <w:rsid w:val="00AB37FB"/>
    <w:rsid w:val="00AB381E"/>
    <w:rsid w:val="00AB388F"/>
    <w:rsid w:val="00AB38D2"/>
    <w:rsid w:val="00AB38E7"/>
    <w:rsid w:val="00AB3916"/>
    <w:rsid w:val="00AB391A"/>
    <w:rsid w:val="00AB3929"/>
    <w:rsid w:val="00AB396B"/>
    <w:rsid w:val="00AB3982"/>
    <w:rsid w:val="00AB3A58"/>
    <w:rsid w:val="00AB3A80"/>
    <w:rsid w:val="00AB3AF5"/>
    <w:rsid w:val="00AB3B01"/>
    <w:rsid w:val="00AB3B20"/>
    <w:rsid w:val="00AB3B52"/>
    <w:rsid w:val="00AB3B99"/>
    <w:rsid w:val="00AB3B9A"/>
    <w:rsid w:val="00AB3BC3"/>
    <w:rsid w:val="00AB3BCF"/>
    <w:rsid w:val="00AB3BFD"/>
    <w:rsid w:val="00AB3C4A"/>
    <w:rsid w:val="00AB3CB1"/>
    <w:rsid w:val="00AB3CFC"/>
    <w:rsid w:val="00AB3D0E"/>
    <w:rsid w:val="00AB3D1C"/>
    <w:rsid w:val="00AB3D28"/>
    <w:rsid w:val="00AB3D4C"/>
    <w:rsid w:val="00AB3DAA"/>
    <w:rsid w:val="00AB3DED"/>
    <w:rsid w:val="00AB3E08"/>
    <w:rsid w:val="00AB3E3D"/>
    <w:rsid w:val="00AB3E78"/>
    <w:rsid w:val="00AB3E9F"/>
    <w:rsid w:val="00AB3F19"/>
    <w:rsid w:val="00AB3F1E"/>
    <w:rsid w:val="00AB3F60"/>
    <w:rsid w:val="00AB4012"/>
    <w:rsid w:val="00AB4038"/>
    <w:rsid w:val="00AB403E"/>
    <w:rsid w:val="00AB4095"/>
    <w:rsid w:val="00AB40A7"/>
    <w:rsid w:val="00AB40D5"/>
    <w:rsid w:val="00AB41B3"/>
    <w:rsid w:val="00AB4205"/>
    <w:rsid w:val="00AB422A"/>
    <w:rsid w:val="00AB42B4"/>
    <w:rsid w:val="00AB4313"/>
    <w:rsid w:val="00AB4321"/>
    <w:rsid w:val="00AB4361"/>
    <w:rsid w:val="00AB4368"/>
    <w:rsid w:val="00AB43E7"/>
    <w:rsid w:val="00AB4431"/>
    <w:rsid w:val="00AB44AA"/>
    <w:rsid w:val="00AB44C1"/>
    <w:rsid w:val="00AB44EA"/>
    <w:rsid w:val="00AB459D"/>
    <w:rsid w:val="00AB45BA"/>
    <w:rsid w:val="00AB4621"/>
    <w:rsid w:val="00AB4644"/>
    <w:rsid w:val="00AB465E"/>
    <w:rsid w:val="00AB4663"/>
    <w:rsid w:val="00AB467E"/>
    <w:rsid w:val="00AB468F"/>
    <w:rsid w:val="00AB469D"/>
    <w:rsid w:val="00AB46B5"/>
    <w:rsid w:val="00AB46D2"/>
    <w:rsid w:val="00AB46EC"/>
    <w:rsid w:val="00AB475D"/>
    <w:rsid w:val="00AB4873"/>
    <w:rsid w:val="00AB4887"/>
    <w:rsid w:val="00AB48AF"/>
    <w:rsid w:val="00AB48C9"/>
    <w:rsid w:val="00AB48E8"/>
    <w:rsid w:val="00AB48EE"/>
    <w:rsid w:val="00AB4987"/>
    <w:rsid w:val="00AB4991"/>
    <w:rsid w:val="00AB4A03"/>
    <w:rsid w:val="00AB4A1A"/>
    <w:rsid w:val="00AB4A39"/>
    <w:rsid w:val="00AB4A73"/>
    <w:rsid w:val="00AB4A88"/>
    <w:rsid w:val="00AB4AC8"/>
    <w:rsid w:val="00AB4ACA"/>
    <w:rsid w:val="00AB4AF8"/>
    <w:rsid w:val="00AB4B00"/>
    <w:rsid w:val="00AB4B16"/>
    <w:rsid w:val="00AB4B46"/>
    <w:rsid w:val="00AB4B6A"/>
    <w:rsid w:val="00AB4BA8"/>
    <w:rsid w:val="00AB4BDA"/>
    <w:rsid w:val="00AB4BF6"/>
    <w:rsid w:val="00AB4BF7"/>
    <w:rsid w:val="00AB4BFB"/>
    <w:rsid w:val="00AB4C10"/>
    <w:rsid w:val="00AB4C1C"/>
    <w:rsid w:val="00AB4C56"/>
    <w:rsid w:val="00AB4C69"/>
    <w:rsid w:val="00AB4C6B"/>
    <w:rsid w:val="00AB4C80"/>
    <w:rsid w:val="00AB4C89"/>
    <w:rsid w:val="00AB4CFE"/>
    <w:rsid w:val="00AB4D03"/>
    <w:rsid w:val="00AB4D52"/>
    <w:rsid w:val="00AB4D6B"/>
    <w:rsid w:val="00AB4D93"/>
    <w:rsid w:val="00AB4DF3"/>
    <w:rsid w:val="00AB4E8B"/>
    <w:rsid w:val="00AB4EA9"/>
    <w:rsid w:val="00AB4EF9"/>
    <w:rsid w:val="00AB4F05"/>
    <w:rsid w:val="00AB4F42"/>
    <w:rsid w:val="00AB4F47"/>
    <w:rsid w:val="00AB4FA5"/>
    <w:rsid w:val="00AB4FAD"/>
    <w:rsid w:val="00AB4FD7"/>
    <w:rsid w:val="00AB4FD8"/>
    <w:rsid w:val="00AB500C"/>
    <w:rsid w:val="00AB503A"/>
    <w:rsid w:val="00AB50BD"/>
    <w:rsid w:val="00AB50DA"/>
    <w:rsid w:val="00AB5178"/>
    <w:rsid w:val="00AB51AC"/>
    <w:rsid w:val="00AB51F0"/>
    <w:rsid w:val="00AB51F3"/>
    <w:rsid w:val="00AB5205"/>
    <w:rsid w:val="00AB5218"/>
    <w:rsid w:val="00AB5234"/>
    <w:rsid w:val="00AB5267"/>
    <w:rsid w:val="00AB52A8"/>
    <w:rsid w:val="00AB5317"/>
    <w:rsid w:val="00AB5336"/>
    <w:rsid w:val="00AB5337"/>
    <w:rsid w:val="00AB5338"/>
    <w:rsid w:val="00AB538F"/>
    <w:rsid w:val="00AB5391"/>
    <w:rsid w:val="00AB53C6"/>
    <w:rsid w:val="00AB53EF"/>
    <w:rsid w:val="00AB5400"/>
    <w:rsid w:val="00AB544D"/>
    <w:rsid w:val="00AB5457"/>
    <w:rsid w:val="00AB548C"/>
    <w:rsid w:val="00AB54B2"/>
    <w:rsid w:val="00AB54CF"/>
    <w:rsid w:val="00AB54E7"/>
    <w:rsid w:val="00AB5505"/>
    <w:rsid w:val="00AB5517"/>
    <w:rsid w:val="00AB553C"/>
    <w:rsid w:val="00AB555E"/>
    <w:rsid w:val="00AB5574"/>
    <w:rsid w:val="00AB5577"/>
    <w:rsid w:val="00AB5591"/>
    <w:rsid w:val="00AB559F"/>
    <w:rsid w:val="00AB55B3"/>
    <w:rsid w:val="00AB55C2"/>
    <w:rsid w:val="00AB55CF"/>
    <w:rsid w:val="00AB55ED"/>
    <w:rsid w:val="00AB564C"/>
    <w:rsid w:val="00AB56C2"/>
    <w:rsid w:val="00AB56CD"/>
    <w:rsid w:val="00AB56D6"/>
    <w:rsid w:val="00AB56EB"/>
    <w:rsid w:val="00AB5712"/>
    <w:rsid w:val="00AB571C"/>
    <w:rsid w:val="00AB577F"/>
    <w:rsid w:val="00AB57B3"/>
    <w:rsid w:val="00AB5816"/>
    <w:rsid w:val="00AB582A"/>
    <w:rsid w:val="00AB5848"/>
    <w:rsid w:val="00AB584B"/>
    <w:rsid w:val="00AB587C"/>
    <w:rsid w:val="00AB5884"/>
    <w:rsid w:val="00AB58A4"/>
    <w:rsid w:val="00AB58B2"/>
    <w:rsid w:val="00AB58B8"/>
    <w:rsid w:val="00AB58E1"/>
    <w:rsid w:val="00AB594F"/>
    <w:rsid w:val="00AB5991"/>
    <w:rsid w:val="00AB59BD"/>
    <w:rsid w:val="00AB59DF"/>
    <w:rsid w:val="00AB5A40"/>
    <w:rsid w:val="00AB5A55"/>
    <w:rsid w:val="00AB5A9D"/>
    <w:rsid w:val="00AB5A9F"/>
    <w:rsid w:val="00AB5ADD"/>
    <w:rsid w:val="00AB5AF9"/>
    <w:rsid w:val="00AB5B45"/>
    <w:rsid w:val="00AB5B49"/>
    <w:rsid w:val="00AB5B52"/>
    <w:rsid w:val="00AB5C5D"/>
    <w:rsid w:val="00AB5C76"/>
    <w:rsid w:val="00AB5C92"/>
    <w:rsid w:val="00AB5CE0"/>
    <w:rsid w:val="00AB5CFA"/>
    <w:rsid w:val="00AB5CFF"/>
    <w:rsid w:val="00AB5D59"/>
    <w:rsid w:val="00AB5D6B"/>
    <w:rsid w:val="00AB5DA0"/>
    <w:rsid w:val="00AB5DCB"/>
    <w:rsid w:val="00AB5DF0"/>
    <w:rsid w:val="00AB5DFC"/>
    <w:rsid w:val="00AB5E36"/>
    <w:rsid w:val="00AB5E8C"/>
    <w:rsid w:val="00AB5E90"/>
    <w:rsid w:val="00AB5EB7"/>
    <w:rsid w:val="00AB5EE7"/>
    <w:rsid w:val="00AB5F02"/>
    <w:rsid w:val="00AB5F2F"/>
    <w:rsid w:val="00AB5F39"/>
    <w:rsid w:val="00AB5F3A"/>
    <w:rsid w:val="00AB5F9F"/>
    <w:rsid w:val="00AB5FD0"/>
    <w:rsid w:val="00AB5FD1"/>
    <w:rsid w:val="00AB5FE1"/>
    <w:rsid w:val="00AB6007"/>
    <w:rsid w:val="00AB6038"/>
    <w:rsid w:val="00AB6093"/>
    <w:rsid w:val="00AB60B7"/>
    <w:rsid w:val="00AB60DD"/>
    <w:rsid w:val="00AB60F3"/>
    <w:rsid w:val="00AB6106"/>
    <w:rsid w:val="00AB6150"/>
    <w:rsid w:val="00AB6182"/>
    <w:rsid w:val="00AB61A1"/>
    <w:rsid w:val="00AB61B9"/>
    <w:rsid w:val="00AB6261"/>
    <w:rsid w:val="00AB633B"/>
    <w:rsid w:val="00AB639F"/>
    <w:rsid w:val="00AB63DF"/>
    <w:rsid w:val="00AB63EF"/>
    <w:rsid w:val="00AB6404"/>
    <w:rsid w:val="00AB640E"/>
    <w:rsid w:val="00AB644B"/>
    <w:rsid w:val="00AB6459"/>
    <w:rsid w:val="00AB64DD"/>
    <w:rsid w:val="00AB6542"/>
    <w:rsid w:val="00AB65D5"/>
    <w:rsid w:val="00AB660D"/>
    <w:rsid w:val="00AB671F"/>
    <w:rsid w:val="00AB6741"/>
    <w:rsid w:val="00AB676C"/>
    <w:rsid w:val="00AB677D"/>
    <w:rsid w:val="00AB6784"/>
    <w:rsid w:val="00AB67A6"/>
    <w:rsid w:val="00AB682B"/>
    <w:rsid w:val="00AB6850"/>
    <w:rsid w:val="00AB689A"/>
    <w:rsid w:val="00AB68C1"/>
    <w:rsid w:val="00AB6905"/>
    <w:rsid w:val="00AB693F"/>
    <w:rsid w:val="00AB69BC"/>
    <w:rsid w:val="00AB69C7"/>
    <w:rsid w:val="00AB69D8"/>
    <w:rsid w:val="00AB6A4B"/>
    <w:rsid w:val="00AB6A6A"/>
    <w:rsid w:val="00AB6A6E"/>
    <w:rsid w:val="00AB6A86"/>
    <w:rsid w:val="00AB6A98"/>
    <w:rsid w:val="00AB6A9E"/>
    <w:rsid w:val="00AB6B2B"/>
    <w:rsid w:val="00AB6B83"/>
    <w:rsid w:val="00AB6BCB"/>
    <w:rsid w:val="00AB6C57"/>
    <w:rsid w:val="00AB6C91"/>
    <w:rsid w:val="00AB6CC8"/>
    <w:rsid w:val="00AB6CEB"/>
    <w:rsid w:val="00AB6D06"/>
    <w:rsid w:val="00AB6D0F"/>
    <w:rsid w:val="00AB6D45"/>
    <w:rsid w:val="00AB6D56"/>
    <w:rsid w:val="00AB6D8D"/>
    <w:rsid w:val="00AB6DB9"/>
    <w:rsid w:val="00AB6E4C"/>
    <w:rsid w:val="00AB6E58"/>
    <w:rsid w:val="00AB6E75"/>
    <w:rsid w:val="00AB6ED5"/>
    <w:rsid w:val="00AB6EE2"/>
    <w:rsid w:val="00AB6F0A"/>
    <w:rsid w:val="00AB6F38"/>
    <w:rsid w:val="00AB6F62"/>
    <w:rsid w:val="00AB6F6B"/>
    <w:rsid w:val="00AB7002"/>
    <w:rsid w:val="00AB708E"/>
    <w:rsid w:val="00AB70A8"/>
    <w:rsid w:val="00AB70E2"/>
    <w:rsid w:val="00AB7146"/>
    <w:rsid w:val="00AB71AF"/>
    <w:rsid w:val="00AB71C0"/>
    <w:rsid w:val="00AB71EC"/>
    <w:rsid w:val="00AB7263"/>
    <w:rsid w:val="00AB7289"/>
    <w:rsid w:val="00AB728E"/>
    <w:rsid w:val="00AB72D2"/>
    <w:rsid w:val="00AB7389"/>
    <w:rsid w:val="00AB73A7"/>
    <w:rsid w:val="00AB749A"/>
    <w:rsid w:val="00AB74A3"/>
    <w:rsid w:val="00AB74AC"/>
    <w:rsid w:val="00AB74B7"/>
    <w:rsid w:val="00AB752F"/>
    <w:rsid w:val="00AB757B"/>
    <w:rsid w:val="00AB7587"/>
    <w:rsid w:val="00AB758D"/>
    <w:rsid w:val="00AB759A"/>
    <w:rsid w:val="00AB75A6"/>
    <w:rsid w:val="00AB75AE"/>
    <w:rsid w:val="00AB7665"/>
    <w:rsid w:val="00AB76E2"/>
    <w:rsid w:val="00AB76EF"/>
    <w:rsid w:val="00AB76FC"/>
    <w:rsid w:val="00AB7770"/>
    <w:rsid w:val="00AB777A"/>
    <w:rsid w:val="00AB77B9"/>
    <w:rsid w:val="00AB780C"/>
    <w:rsid w:val="00AB7840"/>
    <w:rsid w:val="00AB7872"/>
    <w:rsid w:val="00AB78B7"/>
    <w:rsid w:val="00AB78BE"/>
    <w:rsid w:val="00AB78F1"/>
    <w:rsid w:val="00AB7906"/>
    <w:rsid w:val="00AB7962"/>
    <w:rsid w:val="00AB799E"/>
    <w:rsid w:val="00AB79B5"/>
    <w:rsid w:val="00AB79B9"/>
    <w:rsid w:val="00AB79F5"/>
    <w:rsid w:val="00AB7A00"/>
    <w:rsid w:val="00AB7A10"/>
    <w:rsid w:val="00AB7A27"/>
    <w:rsid w:val="00AB7A90"/>
    <w:rsid w:val="00AB7B00"/>
    <w:rsid w:val="00AB7B02"/>
    <w:rsid w:val="00AB7B30"/>
    <w:rsid w:val="00AB7B97"/>
    <w:rsid w:val="00AB7BA0"/>
    <w:rsid w:val="00AB7BE9"/>
    <w:rsid w:val="00AB7C01"/>
    <w:rsid w:val="00AB7C38"/>
    <w:rsid w:val="00AB7C4A"/>
    <w:rsid w:val="00AB7C51"/>
    <w:rsid w:val="00AB7C57"/>
    <w:rsid w:val="00AB7C7A"/>
    <w:rsid w:val="00AB7CA5"/>
    <w:rsid w:val="00AB7D12"/>
    <w:rsid w:val="00AB7D1E"/>
    <w:rsid w:val="00AB7DD2"/>
    <w:rsid w:val="00AB7E0E"/>
    <w:rsid w:val="00AB7E1E"/>
    <w:rsid w:val="00AB7E37"/>
    <w:rsid w:val="00AB7E74"/>
    <w:rsid w:val="00AB7E97"/>
    <w:rsid w:val="00AB7EE3"/>
    <w:rsid w:val="00AB7EF6"/>
    <w:rsid w:val="00AB7F13"/>
    <w:rsid w:val="00AB7F63"/>
    <w:rsid w:val="00AB7FB6"/>
    <w:rsid w:val="00AC0095"/>
    <w:rsid w:val="00AC00C5"/>
    <w:rsid w:val="00AC0174"/>
    <w:rsid w:val="00AC018B"/>
    <w:rsid w:val="00AC01CD"/>
    <w:rsid w:val="00AC01E6"/>
    <w:rsid w:val="00AC0240"/>
    <w:rsid w:val="00AC02DD"/>
    <w:rsid w:val="00AC02E0"/>
    <w:rsid w:val="00AC0300"/>
    <w:rsid w:val="00AC0358"/>
    <w:rsid w:val="00AC038E"/>
    <w:rsid w:val="00AC03B4"/>
    <w:rsid w:val="00AC03EF"/>
    <w:rsid w:val="00AC042F"/>
    <w:rsid w:val="00AC0430"/>
    <w:rsid w:val="00AC0431"/>
    <w:rsid w:val="00AC044A"/>
    <w:rsid w:val="00AC04CB"/>
    <w:rsid w:val="00AC04F5"/>
    <w:rsid w:val="00AC0525"/>
    <w:rsid w:val="00AC053C"/>
    <w:rsid w:val="00AC0569"/>
    <w:rsid w:val="00AC0571"/>
    <w:rsid w:val="00AC0577"/>
    <w:rsid w:val="00AC05DC"/>
    <w:rsid w:val="00AC063A"/>
    <w:rsid w:val="00AC06A2"/>
    <w:rsid w:val="00AC06B3"/>
    <w:rsid w:val="00AC070F"/>
    <w:rsid w:val="00AC0765"/>
    <w:rsid w:val="00AC0778"/>
    <w:rsid w:val="00AC078C"/>
    <w:rsid w:val="00AC07D4"/>
    <w:rsid w:val="00AC07F4"/>
    <w:rsid w:val="00AC0818"/>
    <w:rsid w:val="00AC0824"/>
    <w:rsid w:val="00AC0861"/>
    <w:rsid w:val="00AC0897"/>
    <w:rsid w:val="00AC08A6"/>
    <w:rsid w:val="00AC093E"/>
    <w:rsid w:val="00AC0989"/>
    <w:rsid w:val="00AC09B4"/>
    <w:rsid w:val="00AC0A9F"/>
    <w:rsid w:val="00AC0B25"/>
    <w:rsid w:val="00AC0B2C"/>
    <w:rsid w:val="00AC0B7F"/>
    <w:rsid w:val="00AC0BA7"/>
    <w:rsid w:val="00AC0C04"/>
    <w:rsid w:val="00AC0CFA"/>
    <w:rsid w:val="00AC0D1E"/>
    <w:rsid w:val="00AC0D2E"/>
    <w:rsid w:val="00AC0D69"/>
    <w:rsid w:val="00AC0DAB"/>
    <w:rsid w:val="00AC0DBF"/>
    <w:rsid w:val="00AC0DD3"/>
    <w:rsid w:val="00AC0E24"/>
    <w:rsid w:val="00AC0E6A"/>
    <w:rsid w:val="00AC0EB1"/>
    <w:rsid w:val="00AC0EDB"/>
    <w:rsid w:val="00AC0EE2"/>
    <w:rsid w:val="00AC0F00"/>
    <w:rsid w:val="00AC0F05"/>
    <w:rsid w:val="00AC0F37"/>
    <w:rsid w:val="00AC0F7E"/>
    <w:rsid w:val="00AC0F93"/>
    <w:rsid w:val="00AC1099"/>
    <w:rsid w:val="00AC10A0"/>
    <w:rsid w:val="00AC10F5"/>
    <w:rsid w:val="00AC114B"/>
    <w:rsid w:val="00AC1171"/>
    <w:rsid w:val="00AC1192"/>
    <w:rsid w:val="00AC11AE"/>
    <w:rsid w:val="00AC11C6"/>
    <w:rsid w:val="00AC11F4"/>
    <w:rsid w:val="00AC122B"/>
    <w:rsid w:val="00AC1254"/>
    <w:rsid w:val="00AC1289"/>
    <w:rsid w:val="00AC12DB"/>
    <w:rsid w:val="00AC132A"/>
    <w:rsid w:val="00AC132D"/>
    <w:rsid w:val="00AC134A"/>
    <w:rsid w:val="00AC1365"/>
    <w:rsid w:val="00AC13B4"/>
    <w:rsid w:val="00AC143D"/>
    <w:rsid w:val="00AC1481"/>
    <w:rsid w:val="00AC14C4"/>
    <w:rsid w:val="00AC14E6"/>
    <w:rsid w:val="00AC1547"/>
    <w:rsid w:val="00AC1639"/>
    <w:rsid w:val="00AC1666"/>
    <w:rsid w:val="00AC166E"/>
    <w:rsid w:val="00AC16AB"/>
    <w:rsid w:val="00AC16C2"/>
    <w:rsid w:val="00AC16CC"/>
    <w:rsid w:val="00AC170C"/>
    <w:rsid w:val="00AC1788"/>
    <w:rsid w:val="00AC17B1"/>
    <w:rsid w:val="00AC17CE"/>
    <w:rsid w:val="00AC17E3"/>
    <w:rsid w:val="00AC17F5"/>
    <w:rsid w:val="00AC181D"/>
    <w:rsid w:val="00AC182B"/>
    <w:rsid w:val="00AC1833"/>
    <w:rsid w:val="00AC1869"/>
    <w:rsid w:val="00AC186E"/>
    <w:rsid w:val="00AC1885"/>
    <w:rsid w:val="00AC18EA"/>
    <w:rsid w:val="00AC1920"/>
    <w:rsid w:val="00AC1922"/>
    <w:rsid w:val="00AC1977"/>
    <w:rsid w:val="00AC19CB"/>
    <w:rsid w:val="00AC1A4A"/>
    <w:rsid w:val="00AC1A5F"/>
    <w:rsid w:val="00AC1A7A"/>
    <w:rsid w:val="00AC1B04"/>
    <w:rsid w:val="00AC1B1E"/>
    <w:rsid w:val="00AC1B2C"/>
    <w:rsid w:val="00AC1C32"/>
    <w:rsid w:val="00AC1C35"/>
    <w:rsid w:val="00AC1CB6"/>
    <w:rsid w:val="00AC1D10"/>
    <w:rsid w:val="00AC1DBA"/>
    <w:rsid w:val="00AC1DED"/>
    <w:rsid w:val="00AC1E7D"/>
    <w:rsid w:val="00AC1E83"/>
    <w:rsid w:val="00AC1E90"/>
    <w:rsid w:val="00AC1EAD"/>
    <w:rsid w:val="00AC1F1C"/>
    <w:rsid w:val="00AC1F1E"/>
    <w:rsid w:val="00AC1F2B"/>
    <w:rsid w:val="00AC1F3E"/>
    <w:rsid w:val="00AC1F44"/>
    <w:rsid w:val="00AC1F4E"/>
    <w:rsid w:val="00AC1FB4"/>
    <w:rsid w:val="00AC1FB5"/>
    <w:rsid w:val="00AC1FBD"/>
    <w:rsid w:val="00AC2058"/>
    <w:rsid w:val="00AC20FC"/>
    <w:rsid w:val="00AC20FE"/>
    <w:rsid w:val="00AC211E"/>
    <w:rsid w:val="00AC2167"/>
    <w:rsid w:val="00AC218D"/>
    <w:rsid w:val="00AC21CB"/>
    <w:rsid w:val="00AC2242"/>
    <w:rsid w:val="00AC224F"/>
    <w:rsid w:val="00AC2264"/>
    <w:rsid w:val="00AC22AB"/>
    <w:rsid w:val="00AC22AD"/>
    <w:rsid w:val="00AC22B3"/>
    <w:rsid w:val="00AC22C4"/>
    <w:rsid w:val="00AC22E1"/>
    <w:rsid w:val="00AC22EF"/>
    <w:rsid w:val="00AC2300"/>
    <w:rsid w:val="00AC230C"/>
    <w:rsid w:val="00AC2331"/>
    <w:rsid w:val="00AC2363"/>
    <w:rsid w:val="00AC23B6"/>
    <w:rsid w:val="00AC2423"/>
    <w:rsid w:val="00AC243D"/>
    <w:rsid w:val="00AC2442"/>
    <w:rsid w:val="00AC244C"/>
    <w:rsid w:val="00AC245F"/>
    <w:rsid w:val="00AC246B"/>
    <w:rsid w:val="00AC247B"/>
    <w:rsid w:val="00AC24B0"/>
    <w:rsid w:val="00AC24C1"/>
    <w:rsid w:val="00AC25A0"/>
    <w:rsid w:val="00AC25B8"/>
    <w:rsid w:val="00AC25D3"/>
    <w:rsid w:val="00AC25EE"/>
    <w:rsid w:val="00AC265B"/>
    <w:rsid w:val="00AC265C"/>
    <w:rsid w:val="00AC26D9"/>
    <w:rsid w:val="00AC26F3"/>
    <w:rsid w:val="00AC272B"/>
    <w:rsid w:val="00AC273F"/>
    <w:rsid w:val="00AC2740"/>
    <w:rsid w:val="00AC2747"/>
    <w:rsid w:val="00AC275E"/>
    <w:rsid w:val="00AC2779"/>
    <w:rsid w:val="00AC277C"/>
    <w:rsid w:val="00AC2799"/>
    <w:rsid w:val="00AC27E1"/>
    <w:rsid w:val="00AC281E"/>
    <w:rsid w:val="00AC282F"/>
    <w:rsid w:val="00AC2891"/>
    <w:rsid w:val="00AC28B7"/>
    <w:rsid w:val="00AC28BE"/>
    <w:rsid w:val="00AC28ED"/>
    <w:rsid w:val="00AC2A3F"/>
    <w:rsid w:val="00AC2A42"/>
    <w:rsid w:val="00AC2A4E"/>
    <w:rsid w:val="00AC2A99"/>
    <w:rsid w:val="00AC2AFD"/>
    <w:rsid w:val="00AC2B33"/>
    <w:rsid w:val="00AC2BC0"/>
    <w:rsid w:val="00AC2BD7"/>
    <w:rsid w:val="00AC2C28"/>
    <w:rsid w:val="00AC2C64"/>
    <w:rsid w:val="00AC2CB5"/>
    <w:rsid w:val="00AC2D3B"/>
    <w:rsid w:val="00AC2D86"/>
    <w:rsid w:val="00AC2DA2"/>
    <w:rsid w:val="00AC2DA6"/>
    <w:rsid w:val="00AC2DD0"/>
    <w:rsid w:val="00AC2DF4"/>
    <w:rsid w:val="00AC2E52"/>
    <w:rsid w:val="00AC2F0B"/>
    <w:rsid w:val="00AC2F2C"/>
    <w:rsid w:val="00AC2F65"/>
    <w:rsid w:val="00AC2F79"/>
    <w:rsid w:val="00AC2F94"/>
    <w:rsid w:val="00AC2FD1"/>
    <w:rsid w:val="00AC305B"/>
    <w:rsid w:val="00AC3073"/>
    <w:rsid w:val="00AC30C1"/>
    <w:rsid w:val="00AC30D0"/>
    <w:rsid w:val="00AC3147"/>
    <w:rsid w:val="00AC3160"/>
    <w:rsid w:val="00AC316B"/>
    <w:rsid w:val="00AC3198"/>
    <w:rsid w:val="00AC31DE"/>
    <w:rsid w:val="00AC3218"/>
    <w:rsid w:val="00AC3233"/>
    <w:rsid w:val="00AC32C8"/>
    <w:rsid w:val="00AC32FB"/>
    <w:rsid w:val="00AC332E"/>
    <w:rsid w:val="00AC338D"/>
    <w:rsid w:val="00AC33C9"/>
    <w:rsid w:val="00AC33D7"/>
    <w:rsid w:val="00AC33F1"/>
    <w:rsid w:val="00AC349E"/>
    <w:rsid w:val="00AC34A4"/>
    <w:rsid w:val="00AC34B4"/>
    <w:rsid w:val="00AC34B5"/>
    <w:rsid w:val="00AC34C8"/>
    <w:rsid w:val="00AC34E7"/>
    <w:rsid w:val="00AC34E8"/>
    <w:rsid w:val="00AC3543"/>
    <w:rsid w:val="00AC3583"/>
    <w:rsid w:val="00AC3685"/>
    <w:rsid w:val="00AC36ED"/>
    <w:rsid w:val="00AC3732"/>
    <w:rsid w:val="00AC379A"/>
    <w:rsid w:val="00AC37C9"/>
    <w:rsid w:val="00AC37D3"/>
    <w:rsid w:val="00AC37DC"/>
    <w:rsid w:val="00AC3823"/>
    <w:rsid w:val="00AC3942"/>
    <w:rsid w:val="00AC394E"/>
    <w:rsid w:val="00AC395E"/>
    <w:rsid w:val="00AC3988"/>
    <w:rsid w:val="00AC3A45"/>
    <w:rsid w:val="00AC3A52"/>
    <w:rsid w:val="00AC3AA7"/>
    <w:rsid w:val="00AC3AB8"/>
    <w:rsid w:val="00AC3AD1"/>
    <w:rsid w:val="00AC3ADD"/>
    <w:rsid w:val="00AC3AF6"/>
    <w:rsid w:val="00AC3B16"/>
    <w:rsid w:val="00AC3B5D"/>
    <w:rsid w:val="00AC3BAE"/>
    <w:rsid w:val="00AC3BCB"/>
    <w:rsid w:val="00AC3BEB"/>
    <w:rsid w:val="00AC3C4E"/>
    <w:rsid w:val="00AC3CDB"/>
    <w:rsid w:val="00AC3D94"/>
    <w:rsid w:val="00AC3DAE"/>
    <w:rsid w:val="00AC3DFD"/>
    <w:rsid w:val="00AC3E4C"/>
    <w:rsid w:val="00AC3E84"/>
    <w:rsid w:val="00AC3EB0"/>
    <w:rsid w:val="00AC3F0E"/>
    <w:rsid w:val="00AC3F1D"/>
    <w:rsid w:val="00AC3F27"/>
    <w:rsid w:val="00AC3F3B"/>
    <w:rsid w:val="00AC3F4A"/>
    <w:rsid w:val="00AC3FDD"/>
    <w:rsid w:val="00AC4015"/>
    <w:rsid w:val="00AC4049"/>
    <w:rsid w:val="00AC4060"/>
    <w:rsid w:val="00AC406E"/>
    <w:rsid w:val="00AC40AC"/>
    <w:rsid w:val="00AC40F2"/>
    <w:rsid w:val="00AC4143"/>
    <w:rsid w:val="00AC417F"/>
    <w:rsid w:val="00AC41AA"/>
    <w:rsid w:val="00AC41AF"/>
    <w:rsid w:val="00AC41E8"/>
    <w:rsid w:val="00AC4223"/>
    <w:rsid w:val="00AC4231"/>
    <w:rsid w:val="00AC4245"/>
    <w:rsid w:val="00AC42A6"/>
    <w:rsid w:val="00AC42AF"/>
    <w:rsid w:val="00AC42B0"/>
    <w:rsid w:val="00AC42CC"/>
    <w:rsid w:val="00AC4306"/>
    <w:rsid w:val="00AC432D"/>
    <w:rsid w:val="00AC4370"/>
    <w:rsid w:val="00AC43B3"/>
    <w:rsid w:val="00AC43C2"/>
    <w:rsid w:val="00AC43D6"/>
    <w:rsid w:val="00AC4431"/>
    <w:rsid w:val="00AC4451"/>
    <w:rsid w:val="00AC44B6"/>
    <w:rsid w:val="00AC44E0"/>
    <w:rsid w:val="00AC44E5"/>
    <w:rsid w:val="00AC457D"/>
    <w:rsid w:val="00AC458E"/>
    <w:rsid w:val="00AC45DF"/>
    <w:rsid w:val="00AC45ED"/>
    <w:rsid w:val="00AC461A"/>
    <w:rsid w:val="00AC466D"/>
    <w:rsid w:val="00AC4683"/>
    <w:rsid w:val="00AC4726"/>
    <w:rsid w:val="00AC4734"/>
    <w:rsid w:val="00AC4768"/>
    <w:rsid w:val="00AC4778"/>
    <w:rsid w:val="00AC4794"/>
    <w:rsid w:val="00AC47F5"/>
    <w:rsid w:val="00AC480A"/>
    <w:rsid w:val="00AC482F"/>
    <w:rsid w:val="00AC4865"/>
    <w:rsid w:val="00AC4869"/>
    <w:rsid w:val="00AC494F"/>
    <w:rsid w:val="00AC4953"/>
    <w:rsid w:val="00AC49A0"/>
    <w:rsid w:val="00AC49D4"/>
    <w:rsid w:val="00AC49E1"/>
    <w:rsid w:val="00AC4AB4"/>
    <w:rsid w:val="00AC4B28"/>
    <w:rsid w:val="00AC4B50"/>
    <w:rsid w:val="00AC4B76"/>
    <w:rsid w:val="00AC4BAA"/>
    <w:rsid w:val="00AC4BD6"/>
    <w:rsid w:val="00AC4BE6"/>
    <w:rsid w:val="00AC4C4E"/>
    <w:rsid w:val="00AC4C96"/>
    <w:rsid w:val="00AC4CC7"/>
    <w:rsid w:val="00AC4CF0"/>
    <w:rsid w:val="00AC4D4B"/>
    <w:rsid w:val="00AC4D57"/>
    <w:rsid w:val="00AC4D69"/>
    <w:rsid w:val="00AC4DDC"/>
    <w:rsid w:val="00AC4DE4"/>
    <w:rsid w:val="00AC4E09"/>
    <w:rsid w:val="00AC4E69"/>
    <w:rsid w:val="00AC4E6D"/>
    <w:rsid w:val="00AC4E90"/>
    <w:rsid w:val="00AC4EA1"/>
    <w:rsid w:val="00AC4EAB"/>
    <w:rsid w:val="00AC4EAD"/>
    <w:rsid w:val="00AC4EF8"/>
    <w:rsid w:val="00AC4EFB"/>
    <w:rsid w:val="00AC4F62"/>
    <w:rsid w:val="00AC4F72"/>
    <w:rsid w:val="00AC4FA9"/>
    <w:rsid w:val="00AC4FBE"/>
    <w:rsid w:val="00AC4FD2"/>
    <w:rsid w:val="00AC4FEF"/>
    <w:rsid w:val="00AC5042"/>
    <w:rsid w:val="00AC5077"/>
    <w:rsid w:val="00AC5098"/>
    <w:rsid w:val="00AC50B1"/>
    <w:rsid w:val="00AC50C5"/>
    <w:rsid w:val="00AC50FD"/>
    <w:rsid w:val="00AC5157"/>
    <w:rsid w:val="00AC51C4"/>
    <w:rsid w:val="00AC529E"/>
    <w:rsid w:val="00AC530E"/>
    <w:rsid w:val="00AC5311"/>
    <w:rsid w:val="00AC5329"/>
    <w:rsid w:val="00AC532A"/>
    <w:rsid w:val="00AC5364"/>
    <w:rsid w:val="00AC53DB"/>
    <w:rsid w:val="00AC53F1"/>
    <w:rsid w:val="00AC5406"/>
    <w:rsid w:val="00AC54FC"/>
    <w:rsid w:val="00AC5552"/>
    <w:rsid w:val="00AC5575"/>
    <w:rsid w:val="00AC55B0"/>
    <w:rsid w:val="00AC55BF"/>
    <w:rsid w:val="00AC55EC"/>
    <w:rsid w:val="00AC5609"/>
    <w:rsid w:val="00AC562F"/>
    <w:rsid w:val="00AC56BE"/>
    <w:rsid w:val="00AC56BF"/>
    <w:rsid w:val="00AC57A5"/>
    <w:rsid w:val="00AC57D9"/>
    <w:rsid w:val="00AC57DF"/>
    <w:rsid w:val="00AC57E7"/>
    <w:rsid w:val="00AC582C"/>
    <w:rsid w:val="00AC583E"/>
    <w:rsid w:val="00AC5859"/>
    <w:rsid w:val="00AC5877"/>
    <w:rsid w:val="00AC5883"/>
    <w:rsid w:val="00AC58D9"/>
    <w:rsid w:val="00AC58EB"/>
    <w:rsid w:val="00AC5970"/>
    <w:rsid w:val="00AC5A5E"/>
    <w:rsid w:val="00AC5A8F"/>
    <w:rsid w:val="00AC5AE0"/>
    <w:rsid w:val="00AC5B30"/>
    <w:rsid w:val="00AC5B6F"/>
    <w:rsid w:val="00AC5B9A"/>
    <w:rsid w:val="00AC5BF0"/>
    <w:rsid w:val="00AC5C09"/>
    <w:rsid w:val="00AC5C47"/>
    <w:rsid w:val="00AC5C98"/>
    <w:rsid w:val="00AC5CB5"/>
    <w:rsid w:val="00AC5D14"/>
    <w:rsid w:val="00AC5DD7"/>
    <w:rsid w:val="00AC5E11"/>
    <w:rsid w:val="00AC5E21"/>
    <w:rsid w:val="00AC5E27"/>
    <w:rsid w:val="00AC5E2C"/>
    <w:rsid w:val="00AC5E42"/>
    <w:rsid w:val="00AC5E44"/>
    <w:rsid w:val="00AC5E45"/>
    <w:rsid w:val="00AC5E9F"/>
    <w:rsid w:val="00AC5EB1"/>
    <w:rsid w:val="00AC5EEA"/>
    <w:rsid w:val="00AC5EEB"/>
    <w:rsid w:val="00AC5F2F"/>
    <w:rsid w:val="00AC5F4C"/>
    <w:rsid w:val="00AC5F59"/>
    <w:rsid w:val="00AC5FA5"/>
    <w:rsid w:val="00AC5FC1"/>
    <w:rsid w:val="00AC5FEB"/>
    <w:rsid w:val="00AC5FF1"/>
    <w:rsid w:val="00AC6005"/>
    <w:rsid w:val="00AC6012"/>
    <w:rsid w:val="00AC6153"/>
    <w:rsid w:val="00AC61D8"/>
    <w:rsid w:val="00AC6309"/>
    <w:rsid w:val="00AC6323"/>
    <w:rsid w:val="00AC637A"/>
    <w:rsid w:val="00AC63DB"/>
    <w:rsid w:val="00AC644E"/>
    <w:rsid w:val="00AC6450"/>
    <w:rsid w:val="00AC648F"/>
    <w:rsid w:val="00AC64D6"/>
    <w:rsid w:val="00AC6538"/>
    <w:rsid w:val="00AC656C"/>
    <w:rsid w:val="00AC6580"/>
    <w:rsid w:val="00AC6593"/>
    <w:rsid w:val="00AC65CA"/>
    <w:rsid w:val="00AC671A"/>
    <w:rsid w:val="00AC6727"/>
    <w:rsid w:val="00AC677A"/>
    <w:rsid w:val="00AC67BA"/>
    <w:rsid w:val="00AC67BC"/>
    <w:rsid w:val="00AC680E"/>
    <w:rsid w:val="00AC6820"/>
    <w:rsid w:val="00AC6829"/>
    <w:rsid w:val="00AC6846"/>
    <w:rsid w:val="00AC686B"/>
    <w:rsid w:val="00AC6878"/>
    <w:rsid w:val="00AC68FA"/>
    <w:rsid w:val="00AC692F"/>
    <w:rsid w:val="00AC6954"/>
    <w:rsid w:val="00AC696C"/>
    <w:rsid w:val="00AC697D"/>
    <w:rsid w:val="00AC69A8"/>
    <w:rsid w:val="00AC69F2"/>
    <w:rsid w:val="00AC6A40"/>
    <w:rsid w:val="00AC6A50"/>
    <w:rsid w:val="00AC6A6B"/>
    <w:rsid w:val="00AC6AA2"/>
    <w:rsid w:val="00AC6ACB"/>
    <w:rsid w:val="00AC6B88"/>
    <w:rsid w:val="00AC6B8D"/>
    <w:rsid w:val="00AC6BA3"/>
    <w:rsid w:val="00AC6C04"/>
    <w:rsid w:val="00AC6C17"/>
    <w:rsid w:val="00AC6D1C"/>
    <w:rsid w:val="00AC6D38"/>
    <w:rsid w:val="00AC6D93"/>
    <w:rsid w:val="00AC6DA7"/>
    <w:rsid w:val="00AC6DB2"/>
    <w:rsid w:val="00AC6DC0"/>
    <w:rsid w:val="00AC6E06"/>
    <w:rsid w:val="00AC6E17"/>
    <w:rsid w:val="00AC6E39"/>
    <w:rsid w:val="00AC6E92"/>
    <w:rsid w:val="00AC6E99"/>
    <w:rsid w:val="00AC6ED6"/>
    <w:rsid w:val="00AC6EF1"/>
    <w:rsid w:val="00AC6EFD"/>
    <w:rsid w:val="00AC6F50"/>
    <w:rsid w:val="00AC6FB4"/>
    <w:rsid w:val="00AC6FCA"/>
    <w:rsid w:val="00AC6FF4"/>
    <w:rsid w:val="00AC701E"/>
    <w:rsid w:val="00AC7036"/>
    <w:rsid w:val="00AC70B8"/>
    <w:rsid w:val="00AC70C9"/>
    <w:rsid w:val="00AC70FC"/>
    <w:rsid w:val="00AC7122"/>
    <w:rsid w:val="00AC713B"/>
    <w:rsid w:val="00AC71BF"/>
    <w:rsid w:val="00AC71D9"/>
    <w:rsid w:val="00AC71E7"/>
    <w:rsid w:val="00AC71ED"/>
    <w:rsid w:val="00AC7206"/>
    <w:rsid w:val="00AC7207"/>
    <w:rsid w:val="00AC7212"/>
    <w:rsid w:val="00AC725C"/>
    <w:rsid w:val="00AC726D"/>
    <w:rsid w:val="00AC7273"/>
    <w:rsid w:val="00AC7278"/>
    <w:rsid w:val="00AC72D0"/>
    <w:rsid w:val="00AC72E5"/>
    <w:rsid w:val="00AC730B"/>
    <w:rsid w:val="00AC732E"/>
    <w:rsid w:val="00AC733C"/>
    <w:rsid w:val="00AC73B4"/>
    <w:rsid w:val="00AC7428"/>
    <w:rsid w:val="00AC7440"/>
    <w:rsid w:val="00AC747A"/>
    <w:rsid w:val="00AC74BA"/>
    <w:rsid w:val="00AC74CA"/>
    <w:rsid w:val="00AC74D8"/>
    <w:rsid w:val="00AC7537"/>
    <w:rsid w:val="00AC7538"/>
    <w:rsid w:val="00AC753C"/>
    <w:rsid w:val="00AC754C"/>
    <w:rsid w:val="00AC757F"/>
    <w:rsid w:val="00AC7594"/>
    <w:rsid w:val="00AC75C3"/>
    <w:rsid w:val="00AC75E8"/>
    <w:rsid w:val="00AC75EE"/>
    <w:rsid w:val="00AC75F1"/>
    <w:rsid w:val="00AC75F7"/>
    <w:rsid w:val="00AC7633"/>
    <w:rsid w:val="00AC7657"/>
    <w:rsid w:val="00AC769A"/>
    <w:rsid w:val="00AC76BF"/>
    <w:rsid w:val="00AC76C2"/>
    <w:rsid w:val="00AC76CF"/>
    <w:rsid w:val="00AC76DB"/>
    <w:rsid w:val="00AC76E8"/>
    <w:rsid w:val="00AC76EF"/>
    <w:rsid w:val="00AC76FF"/>
    <w:rsid w:val="00AC7752"/>
    <w:rsid w:val="00AC7772"/>
    <w:rsid w:val="00AC7786"/>
    <w:rsid w:val="00AC7790"/>
    <w:rsid w:val="00AC77E7"/>
    <w:rsid w:val="00AC77F2"/>
    <w:rsid w:val="00AC7816"/>
    <w:rsid w:val="00AC783F"/>
    <w:rsid w:val="00AC7840"/>
    <w:rsid w:val="00AC789F"/>
    <w:rsid w:val="00AC78AD"/>
    <w:rsid w:val="00AC7986"/>
    <w:rsid w:val="00AC79BB"/>
    <w:rsid w:val="00AC79CF"/>
    <w:rsid w:val="00AC7A46"/>
    <w:rsid w:val="00AC7A59"/>
    <w:rsid w:val="00AC7A8F"/>
    <w:rsid w:val="00AC7AB0"/>
    <w:rsid w:val="00AC7ABA"/>
    <w:rsid w:val="00AC7ACE"/>
    <w:rsid w:val="00AC7AF5"/>
    <w:rsid w:val="00AC7B0B"/>
    <w:rsid w:val="00AC7B7A"/>
    <w:rsid w:val="00AC7BCC"/>
    <w:rsid w:val="00AC7BFF"/>
    <w:rsid w:val="00AC7C22"/>
    <w:rsid w:val="00AC7C92"/>
    <w:rsid w:val="00AC7D33"/>
    <w:rsid w:val="00AC7D43"/>
    <w:rsid w:val="00AC7D4E"/>
    <w:rsid w:val="00AC7D9E"/>
    <w:rsid w:val="00AC7DB2"/>
    <w:rsid w:val="00AC7DB3"/>
    <w:rsid w:val="00AC7DC1"/>
    <w:rsid w:val="00AC7E5C"/>
    <w:rsid w:val="00AC7EA5"/>
    <w:rsid w:val="00AC7ED9"/>
    <w:rsid w:val="00AD001E"/>
    <w:rsid w:val="00AD0087"/>
    <w:rsid w:val="00AD00A5"/>
    <w:rsid w:val="00AD0115"/>
    <w:rsid w:val="00AD0132"/>
    <w:rsid w:val="00AD0133"/>
    <w:rsid w:val="00AD0193"/>
    <w:rsid w:val="00AD0194"/>
    <w:rsid w:val="00AD01D6"/>
    <w:rsid w:val="00AD01DA"/>
    <w:rsid w:val="00AD01E9"/>
    <w:rsid w:val="00AD01F4"/>
    <w:rsid w:val="00AD01F8"/>
    <w:rsid w:val="00AD0206"/>
    <w:rsid w:val="00AD020E"/>
    <w:rsid w:val="00AD0286"/>
    <w:rsid w:val="00AD02BA"/>
    <w:rsid w:val="00AD035D"/>
    <w:rsid w:val="00AD03A2"/>
    <w:rsid w:val="00AD03F4"/>
    <w:rsid w:val="00AD03FE"/>
    <w:rsid w:val="00AD0419"/>
    <w:rsid w:val="00AD041D"/>
    <w:rsid w:val="00AD043D"/>
    <w:rsid w:val="00AD0531"/>
    <w:rsid w:val="00AD053A"/>
    <w:rsid w:val="00AD0564"/>
    <w:rsid w:val="00AD0579"/>
    <w:rsid w:val="00AD0595"/>
    <w:rsid w:val="00AD05B9"/>
    <w:rsid w:val="00AD05D9"/>
    <w:rsid w:val="00AD06BE"/>
    <w:rsid w:val="00AD06DA"/>
    <w:rsid w:val="00AD06DF"/>
    <w:rsid w:val="00AD071D"/>
    <w:rsid w:val="00AD0722"/>
    <w:rsid w:val="00AD075A"/>
    <w:rsid w:val="00AD079C"/>
    <w:rsid w:val="00AD07B7"/>
    <w:rsid w:val="00AD081C"/>
    <w:rsid w:val="00AD0916"/>
    <w:rsid w:val="00AD0933"/>
    <w:rsid w:val="00AD093A"/>
    <w:rsid w:val="00AD099D"/>
    <w:rsid w:val="00AD09A6"/>
    <w:rsid w:val="00AD09B4"/>
    <w:rsid w:val="00AD09C4"/>
    <w:rsid w:val="00AD09E8"/>
    <w:rsid w:val="00AD0A1A"/>
    <w:rsid w:val="00AD0A6D"/>
    <w:rsid w:val="00AD0A94"/>
    <w:rsid w:val="00AD0AAA"/>
    <w:rsid w:val="00AD0AC4"/>
    <w:rsid w:val="00AD0B1D"/>
    <w:rsid w:val="00AD0B2B"/>
    <w:rsid w:val="00AD0BCF"/>
    <w:rsid w:val="00AD0C08"/>
    <w:rsid w:val="00AD0C45"/>
    <w:rsid w:val="00AD0D96"/>
    <w:rsid w:val="00AD0E86"/>
    <w:rsid w:val="00AD0E98"/>
    <w:rsid w:val="00AD0EE4"/>
    <w:rsid w:val="00AD0EFA"/>
    <w:rsid w:val="00AD0F10"/>
    <w:rsid w:val="00AD0F3A"/>
    <w:rsid w:val="00AD0F56"/>
    <w:rsid w:val="00AD0F88"/>
    <w:rsid w:val="00AD0FA9"/>
    <w:rsid w:val="00AD0FFF"/>
    <w:rsid w:val="00AD1000"/>
    <w:rsid w:val="00AD1015"/>
    <w:rsid w:val="00AD106E"/>
    <w:rsid w:val="00AD1071"/>
    <w:rsid w:val="00AD1079"/>
    <w:rsid w:val="00AD10A3"/>
    <w:rsid w:val="00AD10C3"/>
    <w:rsid w:val="00AD121D"/>
    <w:rsid w:val="00AD1227"/>
    <w:rsid w:val="00AD1235"/>
    <w:rsid w:val="00AD1246"/>
    <w:rsid w:val="00AD124F"/>
    <w:rsid w:val="00AD1291"/>
    <w:rsid w:val="00AD12A1"/>
    <w:rsid w:val="00AD12B0"/>
    <w:rsid w:val="00AD12F4"/>
    <w:rsid w:val="00AD1302"/>
    <w:rsid w:val="00AD133D"/>
    <w:rsid w:val="00AD1348"/>
    <w:rsid w:val="00AD137F"/>
    <w:rsid w:val="00AD13B6"/>
    <w:rsid w:val="00AD13D1"/>
    <w:rsid w:val="00AD146F"/>
    <w:rsid w:val="00AD1490"/>
    <w:rsid w:val="00AD14D7"/>
    <w:rsid w:val="00AD150A"/>
    <w:rsid w:val="00AD1575"/>
    <w:rsid w:val="00AD15E0"/>
    <w:rsid w:val="00AD15F2"/>
    <w:rsid w:val="00AD1620"/>
    <w:rsid w:val="00AD1665"/>
    <w:rsid w:val="00AD1676"/>
    <w:rsid w:val="00AD16BC"/>
    <w:rsid w:val="00AD16F8"/>
    <w:rsid w:val="00AD1716"/>
    <w:rsid w:val="00AD171A"/>
    <w:rsid w:val="00AD1723"/>
    <w:rsid w:val="00AD1781"/>
    <w:rsid w:val="00AD1796"/>
    <w:rsid w:val="00AD17AA"/>
    <w:rsid w:val="00AD17F4"/>
    <w:rsid w:val="00AD1806"/>
    <w:rsid w:val="00AD1853"/>
    <w:rsid w:val="00AD1880"/>
    <w:rsid w:val="00AD18B9"/>
    <w:rsid w:val="00AD18D4"/>
    <w:rsid w:val="00AD18EB"/>
    <w:rsid w:val="00AD1941"/>
    <w:rsid w:val="00AD1944"/>
    <w:rsid w:val="00AD1968"/>
    <w:rsid w:val="00AD199F"/>
    <w:rsid w:val="00AD19C4"/>
    <w:rsid w:val="00AD1A0A"/>
    <w:rsid w:val="00AD1A15"/>
    <w:rsid w:val="00AD1A3A"/>
    <w:rsid w:val="00AD1AB8"/>
    <w:rsid w:val="00AD1AC8"/>
    <w:rsid w:val="00AD1B0C"/>
    <w:rsid w:val="00AD1B36"/>
    <w:rsid w:val="00AD1B4A"/>
    <w:rsid w:val="00AD1B53"/>
    <w:rsid w:val="00AD1B54"/>
    <w:rsid w:val="00AD1B5F"/>
    <w:rsid w:val="00AD1BAD"/>
    <w:rsid w:val="00AD1BAE"/>
    <w:rsid w:val="00AD1BE2"/>
    <w:rsid w:val="00AD1C0B"/>
    <w:rsid w:val="00AD1C0F"/>
    <w:rsid w:val="00AD1C1F"/>
    <w:rsid w:val="00AD1C4D"/>
    <w:rsid w:val="00AD1C5D"/>
    <w:rsid w:val="00AD1C7D"/>
    <w:rsid w:val="00AD1CA1"/>
    <w:rsid w:val="00AD1CB4"/>
    <w:rsid w:val="00AD1CFC"/>
    <w:rsid w:val="00AD1D2A"/>
    <w:rsid w:val="00AD1D35"/>
    <w:rsid w:val="00AD1D3C"/>
    <w:rsid w:val="00AD1E1D"/>
    <w:rsid w:val="00AD1E31"/>
    <w:rsid w:val="00AD1E51"/>
    <w:rsid w:val="00AD1E56"/>
    <w:rsid w:val="00AD1E5E"/>
    <w:rsid w:val="00AD1E65"/>
    <w:rsid w:val="00AD1E93"/>
    <w:rsid w:val="00AD1EC3"/>
    <w:rsid w:val="00AD1F01"/>
    <w:rsid w:val="00AD1FA0"/>
    <w:rsid w:val="00AD200A"/>
    <w:rsid w:val="00AD202D"/>
    <w:rsid w:val="00AD2036"/>
    <w:rsid w:val="00AD20C2"/>
    <w:rsid w:val="00AD20D9"/>
    <w:rsid w:val="00AD20F4"/>
    <w:rsid w:val="00AD216A"/>
    <w:rsid w:val="00AD21BE"/>
    <w:rsid w:val="00AD21E4"/>
    <w:rsid w:val="00AD2221"/>
    <w:rsid w:val="00AD223D"/>
    <w:rsid w:val="00AD2289"/>
    <w:rsid w:val="00AD22DA"/>
    <w:rsid w:val="00AD231A"/>
    <w:rsid w:val="00AD2352"/>
    <w:rsid w:val="00AD23D0"/>
    <w:rsid w:val="00AD23EF"/>
    <w:rsid w:val="00AD23FC"/>
    <w:rsid w:val="00AD2409"/>
    <w:rsid w:val="00AD2459"/>
    <w:rsid w:val="00AD2477"/>
    <w:rsid w:val="00AD248D"/>
    <w:rsid w:val="00AD24C6"/>
    <w:rsid w:val="00AD255C"/>
    <w:rsid w:val="00AD257D"/>
    <w:rsid w:val="00AD25AA"/>
    <w:rsid w:val="00AD25B0"/>
    <w:rsid w:val="00AD25B9"/>
    <w:rsid w:val="00AD25CE"/>
    <w:rsid w:val="00AD2679"/>
    <w:rsid w:val="00AD26B3"/>
    <w:rsid w:val="00AD26D0"/>
    <w:rsid w:val="00AD26D8"/>
    <w:rsid w:val="00AD271D"/>
    <w:rsid w:val="00AD273C"/>
    <w:rsid w:val="00AD2760"/>
    <w:rsid w:val="00AD2767"/>
    <w:rsid w:val="00AD276D"/>
    <w:rsid w:val="00AD2775"/>
    <w:rsid w:val="00AD27B9"/>
    <w:rsid w:val="00AD27BA"/>
    <w:rsid w:val="00AD27E7"/>
    <w:rsid w:val="00AD27F0"/>
    <w:rsid w:val="00AD2883"/>
    <w:rsid w:val="00AD28AB"/>
    <w:rsid w:val="00AD28B6"/>
    <w:rsid w:val="00AD28D0"/>
    <w:rsid w:val="00AD28EA"/>
    <w:rsid w:val="00AD290E"/>
    <w:rsid w:val="00AD2922"/>
    <w:rsid w:val="00AD295F"/>
    <w:rsid w:val="00AD2967"/>
    <w:rsid w:val="00AD29A3"/>
    <w:rsid w:val="00AD2A73"/>
    <w:rsid w:val="00AD2B98"/>
    <w:rsid w:val="00AD2BC3"/>
    <w:rsid w:val="00AD2BD4"/>
    <w:rsid w:val="00AD2C99"/>
    <w:rsid w:val="00AD2D04"/>
    <w:rsid w:val="00AD2D33"/>
    <w:rsid w:val="00AD2D59"/>
    <w:rsid w:val="00AD2D7F"/>
    <w:rsid w:val="00AD2DF6"/>
    <w:rsid w:val="00AD2E2E"/>
    <w:rsid w:val="00AD2E5A"/>
    <w:rsid w:val="00AD2E7A"/>
    <w:rsid w:val="00AD2ED7"/>
    <w:rsid w:val="00AD2F32"/>
    <w:rsid w:val="00AD2F60"/>
    <w:rsid w:val="00AD2FB0"/>
    <w:rsid w:val="00AD2FE7"/>
    <w:rsid w:val="00AD2FEA"/>
    <w:rsid w:val="00AD3015"/>
    <w:rsid w:val="00AD3018"/>
    <w:rsid w:val="00AD3086"/>
    <w:rsid w:val="00AD308E"/>
    <w:rsid w:val="00AD30E0"/>
    <w:rsid w:val="00AD31FD"/>
    <w:rsid w:val="00AD3205"/>
    <w:rsid w:val="00AD32CC"/>
    <w:rsid w:val="00AD3360"/>
    <w:rsid w:val="00AD337A"/>
    <w:rsid w:val="00AD33BA"/>
    <w:rsid w:val="00AD33C8"/>
    <w:rsid w:val="00AD33D2"/>
    <w:rsid w:val="00AD33F4"/>
    <w:rsid w:val="00AD33F6"/>
    <w:rsid w:val="00AD3419"/>
    <w:rsid w:val="00AD345E"/>
    <w:rsid w:val="00AD34C9"/>
    <w:rsid w:val="00AD3501"/>
    <w:rsid w:val="00AD3547"/>
    <w:rsid w:val="00AD357C"/>
    <w:rsid w:val="00AD35E6"/>
    <w:rsid w:val="00AD35EC"/>
    <w:rsid w:val="00AD360E"/>
    <w:rsid w:val="00AD362B"/>
    <w:rsid w:val="00AD3655"/>
    <w:rsid w:val="00AD368D"/>
    <w:rsid w:val="00AD3690"/>
    <w:rsid w:val="00AD3696"/>
    <w:rsid w:val="00AD3697"/>
    <w:rsid w:val="00AD36C0"/>
    <w:rsid w:val="00AD36D8"/>
    <w:rsid w:val="00AD3723"/>
    <w:rsid w:val="00AD374B"/>
    <w:rsid w:val="00AD374D"/>
    <w:rsid w:val="00AD3799"/>
    <w:rsid w:val="00AD37E7"/>
    <w:rsid w:val="00AD37EE"/>
    <w:rsid w:val="00AD381E"/>
    <w:rsid w:val="00AD3864"/>
    <w:rsid w:val="00AD3891"/>
    <w:rsid w:val="00AD38A3"/>
    <w:rsid w:val="00AD38F5"/>
    <w:rsid w:val="00AD3983"/>
    <w:rsid w:val="00AD39E2"/>
    <w:rsid w:val="00AD3A3E"/>
    <w:rsid w:val="00AD3A7B"/>
    <w:rsid w:val="00AD3A85"/>
    <w:rsid w:val="00AD3AB7"/>
    <w:rsid w:val="00AD3AC0"/>
    <w:rsid w:val="00AD3B6E"/>
    <w:rsid w:val="00AD3BAC"/>
    <w:rsid w:val="00AD3BEB"/>
    <w:rsid w:val="00AD3BF0"/>
    <w:rsid w:val="00AD3C58"/>
    <w:rsid w:val="00AD3C8E"/>
    <w:rsid w:val="00AD3CA2"/>
    <w:rsid w:val="00AD3CE7"/>
    <w:rsid w:val="00AD3CE8"/>
    <w:rsid w:val="00AD3CF1"/>
    <w:rsid w:val="00AD3CF2"/>
    <w:rsid w:val="00AD3D37"/>
    <w:rsid w:val="00AD3D8C"/>
    <w:rsid w:val="00AD3DC0"/>
    <w:rsid w:val="00AD3E1E"/>
    <w:rsid w:val="00AD3E65"/>
    <w:rsid w:val="00AD3ED7"/>
    <w:rsid w:val="00AD3EF8"/>
    <w:rsid w:val="00AD3F0E"/>
    <w:rsid w:val="00AD3F34"/>
    <w:rsid w:val="00AD3F45"/>
    <w:rsid w:val="00AD3FA9"/>
    <w:rsid w:val="00AD3FB9"/>
    <w:rsid w:val="00AD3FC7"/>
    <w:rsid w:val="00AD4045"/>
    <w:rsid w:val="00AD405B"/>
    <w:rsid w:val="00AD405F"/>
    <w:rsid w:val="00AD4084"/>
    <w:rsid w:val="00AD4089"/>
    <w:rsid w:val="00AD419E"/>
    <w:rsid w:val="00AD41B1"/>
    <w:rsid w:val="00AD4204"/>
    <w:rsid w:val="00AD4294"/>
    <w:rsid w:val="00AD429D"/>
    <w:rsid w:val="00AD42AB"/>
    <w:rsid w:val="00AD434B"/>
    <w:rsid w:val="00AD439A"/>
    <w:rsid w:val="00AD43B0"/>
    <w:rsid w:val="00AD43B8"/>
    <w:rsid w:val="00AD43BB"/>
    <w:rsid w:val="00AD43E2"/>
    <w:rsid w:val="00AD43EB"/>
    <w:rsid w:val="00AD4402"/>
    <w:rsid w:val="00AD4409"/>
    <w:rsid w:val="00AD4414"/>
    <w:rsid w:val="00AD4455"/>
    <w:rsid w:val="00AD4474"/>
    <w:rsid w:val="00AD44E2"/>
    <w:rsid w:val="00AD44E9"/>
    <w:rsid w:val="00AD450D"/>
    <w:rsid w:val="00AD451E"/>
    <w:rsid w:val="00AD4545"/>
    <w:rsid w:val="00AD45B3"/>
    <w:rsid w:val="00AD45D3"/>
    <w:rsid w:val="00AD45DF"/>
    <w:rsid w:val="00AD4626"/>
    <w:rsid w:val="00AD466F"/>
    <w:rsid w:val="00AD46AA"/>
    <w:rsid w:val="00AD46AE"/>
    <w:rsid w:val="00AD471F"/>
    <w:rsid w:val="00AD474B"/>
    <w:rsid w:val="00AD4756"/>
    <w:rsid w:val="00AD4781"/>
    <w:rsid w:val="00AD4782"/>
    <w:rsid w:val="00AD4799"/>
    <w:rsid w:val="00AD4809"/>
    <w:rsid w:val="00AD4834"/>
    <w:rsid w:val="00AD4841"/>
    <w:rsid w:val="00AD48B6"/>
    <w:rsid w:val="00AD48E6"/>
    <w:rsid w:val="00AD4915"/>
    <w:rsid w:val="00AD4941"/>
    <w:rsid w:val="00AD497F"/>
    <w:rsid w:val="00AD4981"/>
    <w:rsid w:val="00AD499C"/>
    <w:rsid w:val="00AD4A10"/>
    <w:rsid w:val="00AD4A3C"/>
    <w:rsid w:val="00AD4A58"/>
    <w:rsid w:val="00AD4A5B"/>
    <w:rsid w:val="00AD4A6B"/>
    <w:rsid w:val="00AD4A8D"/>
    <w:rsid w:val="00AD4AA3"/>
    <w:rsid w:val="00AD4B12"/>
    <w:rsid w:val="00AD4B15"/>
    <w:rsid w:val="00AD4B50"/>
    <w:rsid w:val="00AD4B67"/>
    <w:rsid w:val="00AD4BC2"/>
    <w:rsid w:val="00AD4BEA"/>
    <w:rsid w:val="00AD4CBE"/>
    <w:rsid w:val="00AD4D05"/>
    <w:rsid w:val="00AD4D18"/>
    <w:rsid w:val="00AD4D1C"/>
    <w:rsid w:val="00AD4D35"/>
    <w:rsid w:val="00AD4D47"/>
    <w:rsid w:val="00AD4D61"/>
    <w:rsid w:val="00AD4D77"/>
    <w:rsid w:val="00AD4DAB"/>
    <w:rsid w:val="00AD4DD8"/>
    <w:rsid w:val="00AD4E10"/>
    <w:rsid w:val="00AD4E2D"/>
    <w:rsid w:val="00AD4E59"/>
    <w:rsid w:val="00AD4E83"/>
    <w:rsid w:val="00AD4EB4"/>
    <w:rsid w:val="00AD4EBC"/>
    <w:rsid w:val="00AD4EE0"/>
    <w:rsid w:val="00AD4F12"/>
    <w:rsid w:val="00AD4F2D"/>
    <w:rsid w:val="00AD4F32"/>
    <w:rsid w:val="00AD4F51"/>
    <w:rsid w:val="00AD4FC4"/>
    <w:rsid w:val="00AD5005"/>
    <w:rsid w:val="00AD5015"/>
    <w:rsid w:val="00AD501B"/>
    <w:rsid w:val="00AD501F"/>
    <w:rsid w:val="00AD5031"/>
    <w:rsid w:val="00AD5089"/>
    <w:rsid w:val="00AD509A"/>
    <w:rsid w:val="00AD512F"/>
    <w:rsid w:val="00AD5157"/>
    <w:rsid w:val="00AD515F"/>
    <w:rsid w:val="00AD51FF"/>
    <w:rsid w:val="00AD5214"/>
    <w:rsid w:val="00AD5234"/>
    <w:rsid w:val="00AD52A7"/>
    <w:rsid w:val="00AD5354"/>
    <w:rsid w:val="00AD5385"/>
    <w:rsid w:val="00AD53CF"/>
    <w:rsid w:val="00AD53F1"/>
    <w:rsid w:val="00AD53F2"/>
    <w:rsid w:val="00AD5443"/>
    <w:rsid w:val="00AD5486"/>
    <w:rsid w:val="00AD548E"/>
    <w:rsid w:val="00AD54CF"/>
    <w:rsid w:val="00AD553C"/>
    <w:rsid w:val="00AD554E"/>
    <w:rsid w:val="00AD5562"/>
    <w:rsid w:val="00AD559C"/>
    <w:rsid w:val="00AD5644"/>
    <w:rsid w:val="00AD564F"/>
    <w:rsid w:val="00AD5653"/>
    <w:rsid w:val="00AD5658"/>
    <w:rsid w:val="00AD56A2"/>
    <w:rsid w:val="00AD56D8"/>
    <w:rsid w:val="00AD5732"/>
    <w:rsid w:val="00AD57BA"/>
    <w:rsid w:val="00AD57CB"/>
    <w:rsid w:val="00AD57ED"/>
    <w:rsid w:val="00AD57F8"/>
    <w:rsid w:val="00AD582D"/>
    <w:rsid w:val="00AD583F"/>
    <w:rsid w:val="00AD584A"/>
    <w:rsid w:val="00AD58C1"/>
    <w:rsid w:val="00AD58C6"/>
    <w:rsid w:val="00AD58F0"/>
    <w:rsid w:val="00AD593C"/>
    <w:rsid w:val="00AD598B"/>
    <w:rsid w:val="00AD59E0"/>
    <w:rsid w:val="00AD5A51"/>
    <w:rsid w:val="00AD5A5F"/>
    <w:rsid w:val="00AD5B74"/>
    <w:rsid w:val="00AD5B7E"/>
    <w:rsid w:val="00AD5BCE"/>
    <w:rsid w:val="00AD5C0D"/>
    <w:rsid w:val="00AD5C47"/>
    <w:rsid w:val="00AD5C8C"/>
    <w:rsid w:val="00AD5C97"/>
    <w:rsid w:val="00AD5CB2"/>
    <w:rsid w:val="00AD5CCF"/>
    <w:rsid w:val="00AD5CF5"/>
    <w:rsid w:val="00AD5D0A"/>
    <w:rsid w:val="00AD5D45"/>
    <w:rsid w:val="00AD5D8D"/>
    <w:rsid w:val="00AD5D96"/>
    <w:rsid w:val="00AD5DB1"/>
    <w:rsid w:val="00AD5DE2"/>
    <w:rsid w:val="00AD5E12"/>
    <w:rsid w:val="00AD5E46"/>
    <w:rsid w:val="00AD5E6A"/>
    <w:rsid w:val="00AD5EB9"/>
    <w:rsid w:val="00AD5ED3"/>
    <w:rsid w:val="00AD5EE4"/>
    <w:rsid w:val="00AD5F5A"/>
    <w:rsid w:val="00AD5F69"/>
    <w:rsid w:val="00AD5F74"/>
    <w:rsid w:val="00AD5F98"/>
    <w:rsid w:val="00AD5FAA"/>
    <w:rsid w:val="00AD6007"/>
    <w:rsid w:val="00AD6038"/>
    <w:rsid w:val="00AD6066"/>
    <w:rsid w:val="00AD6069"/>
    <w:rsid w:val="00AD60DF"/>
    <w:rsid w:val="00AD60EC"/>
    <w:rsid w:val="00AD6130"/>
    <w:rsid w:val="00AD6143"/>
    <w:rsid w:val="00AD619B"/>
    <w:rsid w:val="00AD61AF"/>
    <w:rsid w:val="00AD61C4"/>
    <w:rsid w:val="00AD625F"/>
    <w:rsid w:val="00AD6274"/>
    <w:rsid w:val="00AD62E2"/>
    <w:rsid w:val="00AD6321"/>
    <w:rsid w:val="00AD644C"/>
    <w:rsid w:val="00AD649D"/>
    <w:rsid w:val="00AD64B2"/>
    <w:rsid w:val="00AD64C2"/>
    <w:rsid w:val="00AD64D4"/>
    <w:rsid w:val="00AD6515"/>
    <w:rsid w:val="00AD6522"/>
    <w:rsid w:val="00AD6535"/>
    <w:rsid w:val="00AD6549"/>
    <w:rsid w:val="00AD654E"/>
    <w:rsid w:val="00AD6562"/>
    <w:rsid w:val="00AD65E8"/>
    <w:rsid w:val="00AD65FC"/>
    <w:rsid w:val="00AD6635"/>
    <w:rsid w:val="00AD6666"/>
    <w:rsid w:val="00AD66C2"/>
    <w:rsid w:val="00AD66EB"/>
    <w:rsid w:val="00AD6717"/>
    <w:rsid w:val="00AD6721"/>
    <w:rsid w:val="00AD672A"/>
    <w:rsid w:val="00AD6735"/>
    <w:rsid w:val="00AD6777"/>
    <w:rsid w:val="00AD677B"/>
    <w:rsid w:val="00AD677E"/>
    <w:rsid w:val="00AD678B"/>
    <w:rsid w:val="00AD6792"/>
    <w:rsid w:val="00AD67A9"/>
    <w:rsid w:val="00AD67E0"/>
    <w:rsid w:val="00AD6824"/>
    <w:rsid w:val="00AD6825"/>
    <w:rsid w:val="00AD68BE"/>
    <w:rsid w:val="00AD68CD"/>
    <w:rsid w:val="00AD68FB"/>
    <w:rsid w:val="00AD692B"/>
    <w:rsid w:val="00AD6984"/>
    <w:rsid w:val="00AD6999"/>
    <w:rsid w:val="00AD69BB"/>
    <w:rsid w:val="00AD69CA"/>
    <w:rsid w:val="00AD6A33"/>
    <w:rsid w:val="00AD6A8D"/>
    <w:rsid w:val="00AD6A9A"/>
    <w:rsid w:val="00AD6AA3"/>
    <w:rsid w:val="00AD6B05"/>
    <w:rsid w:val="00AD6B1F"/>
    <w:rsid w:val="00AD6B30"/>
    <w:rsid w:val="00AD6B65"/>
    <w:rsid w:val="00AD6B96"/>
    <w:rsid w:val="00AD6C0B"/>
    <w:rsid w:val="00AD6C5E"/>
    <w:rsid w:val="00AD6CB5"/>
    <w:rsid w:val="00AD6CE5"/>
    <w:rsid w:val="00AD6D48"/>
    <w:rsid w:val="00AD6D69"/>
    <w:rsid w:val="00AD6DCD"/>
    <w:rsid w:val="00AD6DF6"/>
    <w:rsid w:val="00AD6E87"/>
    <w:rsid w:val="00AD6EB0"/>
    <w:rsid w:val="00AD6EC8"/>
    <w:rsid w:val="00AD6EE8"/>
    <w:rsid w:val="00AD6F37"/>
    <w:rsid w:val="00AD6F3C"/>
    <w:rsid w:val="00AD6F77"/>
    <w:rsid w:val="00AD6F79"/>
    <w:rsid w:val="00AD6FFE"/>
    <w:rsid w:val="00AD7057"/>
    <w:rsid w:val="00AD7067"/>
    <w:rsid w:val="00AD70A3"/>
    <w:rsid w:val="00AD70BA"/>
    <w:rsid w:val="00AD7136"/>
    <w:rsid w:val="00AD713B"/>
    <w:rsid w:val="00AD7181"/>
    <w:rsid w:val="00AD7195"/>
    <w:rsid w:val="00AD71AB"/>
    <w:rsid w:val="00AD724E"/>
    <w:rsid w:val="00AD72AD"/>
    <w:rsid w:val="00AD7324"/>
    <w:rsid w:val="00AD7390"/>
    <w:rsid w:val="00AD73FF"/>
    <w:rsid w:val="00AD748D"/>
    <w:rsid w:val="00AD74BB"/>
    <w:rsid w:val="00AD74DD"/>
    <w:rsid w:val="00AD756B"/>
    <w:rsid w:val="00AD757C"/>
    <w:rsid w:val="00AD766A"/>
    <w:rsid w:val="00AD7676"/>
    <w:rsid w:val="00AD775F"/>
    <w:rsid w:val="00AD7766"/>
    <w:rsid w:val="00AD777C"/>
    <w:rsid w:val="00AD7789"/>
    <w:rsid w:val="00AD7793"/>
    <w:rsid w:val="00AD77F1"/>
    <w:rsid w:val="00AD78A6"/>
    <w:rsid w:val="00AD78A8"/>
    <w:rsid w:val="00AD78F9"/>
    <w:rsid w:val="00AD78FB"/>
    <w:rsid w:val="00AD7978"/>
    <w:rsid w:val="00AD79D3"/>
    <w:rsid w:val="00AD7ACB"/>
    <w:rsid w:val="00AD7AF9"/>
    <w:rsid w:val="00AD7B27"/>
    <w:rsid w:val="00AD7BC4"/>
    <w:rsid w:val="00AD7C37"/>
    <w:rsid w:val="00AD7C60"/>
    <w:rsid w:val="00AD7C86"/>
    <w:rsid w:val="00AD7CCE"/>
    <w:rsid w:val="00AD7CEC"/>
    <w:rsid w:val="00AD7D43"/>
    <w:rsid w:val="00AD7D76"/>
    <w:rsid w:val="00AD7D84"/>
    <w:rsid w:val="00AD7DE4"/>
    <w:rsid w:val="00AD7E01"/>
    <w:rsid w:val="00AD7E08"/>
    <w:rsid w:val="00AD7E20"/>
    <w:rsid w:val="00AD7E23"/>
    <w:rsid w:val="00AD7E2B"/>
    <w:rsid w:val="00AD7E86"/>
    <w:rsid w:val="00AD7EEC"/>
    <w:rsid w:val="00AD7EED"/>
    <w:rsid w:val="00AD7F20"/>
    <w:rsid w:val="00AD7F53"/>
    <w:rsid w:val="00AD7F7B"/>
    <w:rsid w:val="00AD7FB6"/>
    <w:rsid w:val="00AD7FC4"/>
    <w:rsid w:val="00AD7FC5"/>
    <w:rsid w:val="00AD7FF3"/>
    <w:rsid w:val="00AE0071"/>
    <w:rsid w:val="00AE0081"/>
    <w:rsid w:val="00AE00B8"/>
    <w:rsid w:val="00AE00F0"/>
    <w:rsid w:val="00AE0115"/>
    <w:rsid w:val="00AE0149"/>
    <w:rsid w:val="00AE0189"/>
    <w:rsid w:val="00AE01B7"/>
    <w:rsid w:val="00AE0222"/>
    <w:rsid w:val="00AE024C"/>
    <w:rsid w:val="00AE0266"/>
    <w:rsid w:val="00AE0317"/>
    <w:rsid w:val="00AE0334"/>
    <w:rsid w:val="00AE039A"/>
    <w:rsid w:val="00AE03C7"/>
    <w:rsid w:val="00AE045D"/>
    <w:rsid w:val="00AE04AA"/>
    <w:rsid w:val="00AE0551"/>
    <w:rsid w:val="00AE0571"/>
    <w:rsid w:val="00AE05A0"/>
    <w:rsid w:val="00AE05A3"/>
    <w:rsid w:val="00AE05A4"/>
    <w:rsid w:val="00AE05D5"/>
    <w:rsid w:val="00AE05E6"/>
    <w:rsid w:val="00AE0612"/>
    <w:rsid w:val="00AE0640"/>
    <w:rsid w:val="00AE0645"/>
    <w:rsid w:val="00AE0680"/>
    <w:rsid w:val="00AE06B5"/>
    <w:rsid w:val="00AE06B9"/>
    <w:rsid w:val="00AE06BE"/>
    <w:rsid w:val="00AE0712"/>
    <w:rsid w:val="00AE0721"/>
    <w:rsid w:val="00AE0744"/>
    <w:rsid w:val="00AE076B"/>
    <w:rsid w:val="00AE07A9"/>
    <w:rsid w:val="00AE07F5"/>
    <w:rsid w:val="00AE08CF"/>
    <w:rsid w:val="00AE08D0"/>
    <w:rsid w:val="00AE08EC"/>
    <w:rsid w:val="00AE08F7"/>
    <w:rsid w:val="00AE090C"/>
    <w:rsid w:val="00AE096D"/>
    <w:rsid w:val="00AE0981"/>
    <w:rsid w:val="00AE0A31"/>
    <w:rsid w:val="00AE0A36"/>
    <w:rsid w:val="00AE0A52"/>
    <w:rsid w:val="00AE0A83"/>
    <w:rsid w:val="00AE0ABE"/>
    <w:rsid w:val="00AE0ADD"/>
    <w:rsid w:val="00AE0AF2"/>
    <w:rsid w:val="00AE0B72"/>
    <w:rsid w:val="00AE0BD0"/>
    <w:rsid w:val="00AE0BD3"/>
    <w:rsid w:val="00AE0C0D"/>
    <w:rsid w:val="00AE0C95"/>
    <w:rsid w:val="00AE0D6A"/>
    <w:rsid w:val="00AE0D89"/>
    <w:rsid w:val="00AE0D8C"/>
    <w:rsid w:val="00AE0DC6"/>
    <w:rsid w:val="00AE0DC8"/>
    <w:rsid w:val="00AE0DDA"/>
    <w:rsid w:val="00AE0E27"/>
    <w:rsid w:val="00AE0E60"/>
    <w:rsid w:val="00AE0E72"/>
    <w:rsid w:val="00AE0E9A"/>
    <w:rsid w:val="00AE0EA7"/>
    <w:rsid w:val="00AE0EAE"/>
    <w:rsid w:val="00AE0F34"/>
    <w:rsid w:val="00AE0F3C"/>
    <w:rsid w:val="00AE0F59"/>
    <w:rsid w:val="00AE0F66"/>
    <w:rsid w:val="00AE0FA4"/>
    <w:rsid w:val="00AE0FD0"/>
    <w:rsid w:val="00AE0FEA"/>
    <w:rsid w:val="00AE1003"/>
    <w:rsid w:val="00AE1032"/>
    <w:rsid w:val="00AE10DE"/>
    <w:rsid w:val="00AE111C"/>
    <w:rsid w:val="00AE1151"/>
    <w:rsid w:val="00AE1161"/>
    <w:rsid w:val="00AE11C4"/>
    <w:rsid w:val="00AE11F3"/>
    <w:rsid w:val="00AE122A"/>
    <w:rsid w:val="00AE1288"/>
    <w:rsid w:val="00AE12B5"/>
    <w:rsid w:val="00AE1347"/>
    <w:rsid w:val="00AE138C"/>
    <w:rsid w:val="00AE13D0"/>
    <w:rsid w:val="00AE13E9"/>
    <w:rsid w:val="00AE1417"/>
    <w:rsid w:val="00AE144D"/>
    <w:rsid w:val="00AE1471"/>
    <w:rsid w:val="00AE14EE"/>
    <w:rsid w:val="00AE1509"/>
    <w:rsid w:val="00AE1519"/>
    <w:rsid w:val="00AE1526"/>
    <w:rsid w:val="00AE152E"/>
    <w:rsid w:val="00AE153E"/>
    <w:rsid w:val="00AE154E"/>
    <w:rsid w:val="00AE1568"/>
    <w:rsid w:val="00AE1583"/>
    <w:rsid w:val="00AE15BA"/>
    <w:rsid w:val="00AE15E1"/>
    <w:rsid w:val="00AE15FB"/>
    <w:rsid w:val="00AE1622"/>
    <w:rsid w:val="00AE1683"/>
    <w:rsid w:val="00AE16E1"/>
    <w:rsid w:val="00AE16E7"/>
    <w:rsid w:val="00AE1712"/>
    <w:rsid w:val="00AE1791"/>
    <w:rsid w:val="00AE17DF"/>
    <w:rsid w:val="00AE1835"/>
    <w:rsid w:val="00AE1857"/>
    <w:rsid w:val="00AE1884"/>
    <w:rsid w:val="00AE189E"/>
    <w:rsid w:val="00AE18EF"/>
    <w:rsid w:val="00AE1989"/>
    <w:rsid w:val="00AE19BC"/>
    <w:rsid w:val="00AE19D9"/>
    <w:rsid w:val="00AE1A1C"/>
    <w:rsid w:val="00AE1A66"/>
    <w:rsid w:val="00AE1A7C"/>
    <w:rsid w:val="00AE1AE1"/>
    <w:rsid w:val="00AE1AF1"/>
    <w:rsid w:val="00AE1B25"/>
    <w:rsid w:val="00AE1B2C"/>
    <w:rsid w:val="00AE1B3B"/>
    <w:rsid w:val="00AE1B3C"/>
    <w:rsid w:val="00AE1B4E"/>
    <w:rsid w:val="00AE1B64"/>
    <w:rsid w:val="00AE1BA6"/>
    <w:rsid w:val="00AE1BB6"/>
    <w:rsid w:val="00AE1BDE"/>
    <w:rsid w:val="00AE1BF2"/>
    <w:rsid w:val="00AE1C2A"/>
    <w:rsid w:val="00AE1CA3"/>
    <w:rsid w:val="00AE1CEA"/>
    <w:rsid w:val="00AE1CF1"/>
    <w:rsid w:val="00AE1CFF"/>
    <w:rsid w:val="00AE1D29"/>
    <w:rsid w:val="00AE1D46"/>
    <w:rsid w:val="00AE1E95"/>
    <w:rsid w:val="00AE1ECD"/>
    <w:rsid w:val="00AE1EEB"/>
    <w:rsid w:val="00AE1EFE"/>
    <w:rsid w:val="00AE1EFF"/>
    <w:rsid w:val="00AE1F86"/>
    <w:rsid w:val="00AE2014"/>
    <w:rsid w:val="00AE209E"/>
    <w:rsid w:val="00AE20BE"/>
    <w:rsid w:val="00AE20FD"/>
    <w:rsid w:val="00AE2114"/>
    <w:rsid w:val="00AE217D"/>
    <w:rsid w:val="00AE219E"/>
    <w:rsid w:val="00AE21EA"/>
    <w:rsid w:val="00AE2291"/>
    <w:rsid w:val="00AE22F2"/>
    <w:rsid w:val="00AE2336"/>
    <w:rsid w:val="00AE2368"/>
    <w:rsid w:val="00AE236F"/>
    <w:rsid w:val="00AE238D"/>
    <w:rsid w:val="00AE239A"/>
    <w:rsid w:val="00AE23D4"/>
    <w:rsid w:val="00AE2421"/>
    <w:rsid w:val="00AE2458"/>
    <w:rsid w:val="00AE24DB"/>
    <w:rsid w:val="00AE24EA"/>
    <w:rsid w:val="00AE2532"/>
    <w:rsid w:val="00AE256E"/>
    <w:rsid w:val="00AE2585"/>
    <w:rsid w:val="00AE25C3"/>
    <w:rsid w:val="00AE2610"/>
    <w:rsid w:val="00AE2611"/>
    <w:rsid w:val="00AE2630"/>
    <w:rsid w:val="00AE26D2"/>
    <w:rsid w:val="00AE276A"/>
    <w:rsid w:val="00AE279E"/>
    <w:rsid w:val="00AE27EE"/>
    <w:rsid w:val="00AE2801"/>
    <w:rsid w:val="00AE2884"/>
    <w:rsid w:val="00AE2889"/>
    <w:rsid w:val="00AE289B"/>
    <w:rsid w:val="00AE28BA"/>
    <w:rsid w:val="00AE28C4"/>
    <w:rsid w:val="00AE2932"/>
    <w:rsid w:val="00AE295B"/>
    <w:rsid w:val="00AE2970"/>
    <w:rsid w:val="00AE2973"/>
    <w:rsid w:val="00AE297B"/>
    <w:rsid w:val="00AE297D"/>
    <w:rsid w:val="00AE298F"/>
    <w:rsid w:val="00AE29B2"/>
    <w:rsid w:val="00AE29BD"/>
    <w:rsid w:val="00AE29C6"/>
    <w:rsid w:val="00AE2A4F"/>
    <w:rsid w:val="00AE2ACA"/>
    <w:rsid w:val="00AE2AE3"/>
    <w:rsid w:val="00AE2B13"/>
    <w:rsid w:val="00AE2B84"/>
    <w:rsid w:val="00AE2B96"/>
    <w:rsid w:val="00AE2C0E"/>
    <w:rsid w:val="00AE2C20"/>
    <w:rsid w:val="00AE2C72"/>
    <w:rsid w:val="00AE2CA7"/>
    <w:rsid w:val="00AE2D06"/>
    <w:rsid w:val="00AE2D13"/>
    <w:rsid w:val="00AE2D43"/>
    <w:rsid w:val="00AE2D53"/>
    <w:rsid w:val="00AE2D8F"/>
    <w:rsid w:val="00AE2D97"/>
    <w:rsid w:val="00AE2E1C"/>
    <w:rsid w:val="00AE2E56"/>
    <w:rsid w:val="00AE2E87"/>
    <w:rsid w:val="00AE2EA1"/>
    <w:rsid w:val="00AE2F53"/>
    <w:rsid w:val="00AE2FAB"/>
    <w:rsid w:val="00AE2FC9"/>
    <w:rsid w:val="00AE2FCA"/>
    <w:rsid w:val="00AE2FED"/>
    <w:rsid w:val="00AE3013"/>
    <w:rsid w:val="00AE3023"/>
    <w:rsid w:val="00AE3027"/>
    <w:rsid w:val="00AE302D"/>
    <w:rsid w:val="00AE305C"/>
    <w:rsid w:val="00AE309C"/>
    <w:rsid w:val="00AE30B4"/>
    <w:rsid w:val="00AE30DE"/>
    <w:rsid w:val="00AE3116"/>
    <w:rsid w:val="00AE311E"/>
    <w:rsid w:val="00AE31CD"/>
    <w:rsid w:val="00AE31D8"/>
    <w:rsid w:val="00AE3209"/>
    <w:rsid w:val="00AE329F"/>
    <w:rsid w:val="00AE32EC"/>
    <w:rsid w:val="00AE3305"/>
    <w:rsid w:val="00AE3326"/>
    <w:rsid w:val="00AE333F"/>
    <w:rsid w:val="00AE337B"/>
    <w:rsid w:val="00AE33C8"/>
    <w:rsid w:val="00AE33D9"/>
    <w:rsid w:val="00AE33DE"/>
    <w:rsid w:val="00AE33E3"/>
    <w:rsid w:val="00AE3414"/>
    <w:rsid w:val="00AE3423"/>
    <w:rsid w:val="00AE347C"/>
    <w:rsid w:val="00AE3498"/>
    <w:rsid w:val="00AE3531"/>
    <w:rsid w:val="00AE35AD"/>
    <w:rsid w:val="00AE35BC"/>
    <w:rsid w:val="00AE3627"/>
    <w:rsid w:val="00AE3640"/>
    <w:rsid w:val="00AE3646"/>
    <w:rsid w:val="00AE36D1"/>
    <w:rsid w:val="00AE3733"/>
    <w:rsid w:val="00AE376F"/>
    <w:rsid w:val="00AE37AF"/>
    <w:rsid w:val="00AE37BB"/>
    <w:rsid w:val="00AE37C4"/>
    <w:rsid w:val="00AE37E2"/>
    <w:rsid w:val="00AE37F5"/>
    <w:rsid w:val="00AE37FF"/>
    <w:rsid w:val="00AE381E"/>
    <w:rsid w:val="00AE385B"/>
    <w:rsid w:val="00AE387F"/>
    <w:rsid w:val="00AE38AD"/>
    <w:rsid w:val="00AE38E2"/>
    <w:rsid w:val="00AE392E"/>
    <w:rsid w:val="00AE3990"/>
    <w:rsid w:val="00AE39AD"/>
    <w:rsid w:val="00AE39DD"/>
    <w:rsid w:val="00AE3A69"/>
    <w:rsid w:val="00AE3A7B"/>
    <w:rsid w:val="00AE3AAC"/>
    <w:rsid w:val="00AE3AB2"/>
    <w:rsid w:val="00AE3AEF"/>
    <w:rsid w:val="00AE3B2E"/>
    <w:rsid w:val="00AE3B3A"/>
    <w:rsid w:val="00AE3B54"/>
    <w:rsid w:val="00AE3B76"/>
    <w:rsid w:val="00AE3BDC"/>
    <w:rsid w:val="00AE3C2A"/>
    <w:rsid w:val="00AE3C34"/>
    <w:rsid w:val="00AE3C47"/>
    <w:rsid w:val="00AE3C69"/>
    <w:rsid w:val="00AE3C80"/>
    <w:rsid w:val="00AE3CEE"/>
    <w:rsid w:val="00AE3E08"/>
    <w:rsid w:val="00AE3E47"/>
    <w:rsid w:val="00AE3E5F"/>
    <w:rsid w:val="00AE3E62"/>
    <w:rsid w:val="00AE3E7D"/>
    <w:rsid w:val="00AE3EAB"/>
    <w:rsid w:val="00AE3ECE"/>
    <w:rsid w:val="00AE3EF6"/>
    <w:rsid w:val="00AE3F13"/>
    <w:rsid w:val="00AE3F29"/>
    <w:rsid w:val="00AE3F60"/>
    <w:rsid w:val="00AE3F8D"/>
    <w:rsid w:val="00AE3FF9"/>
    <w:rsid w:val="00AE401B"/>
    <w:rsid w:val="00AE405D"/>
    <w:rsid w:val="00AE407F"/>
    <w:rsid w:val="00AE408A"/>
    <w:rsid w:val="00AE40A9"/>
    <w:rsid w:val="00AE40E5"/>
    <w:rsid w:val="00AE40EA"/>
    <w:rsid w:val="00AE40EC"/>
    <w:rsid w:val="00AE414A"/>
    <w:rsid w:val="00AE418F"/>
    <w:rsid w:val="00AE41FA"/>
    <w:rsid w:val="00AE4208"/>
    <w:rsid w:val="00AE4262"/>
    <w:rsid w:val="00AE42AD"/>
    <w:rsid w:val="00AE432C"/>
    <w:rsid w:val="00AE435E"/>
    <w:rsid w:val="00AE43DE"/>
    <w:rsid w:val="00AE4436"/>
    <w:rsid w:val="00AE4444"/>
    <w:rsid w:val="00AE448E"/>
    <w:rsid w:val="00AE44A3"/>
    <w:rsid w:val="00AE44D5"/>
    <w:rsid w:val="00AE44DF"/>
    <w:rsid w:val="00AE4500"/>
    <w:rsid w:val="00AE4531"/>
    <w:rsid w:val="00AE4582"/>
    <w:rsid w:val="00AE45C1"/>
    <w:rsid w:val="00AE45C2"/>
    <w:rsid w:val="00AE45F9"/>
    <w:rsid w:val="00AE466D"/>
    <w:rsid w:val="00AE46AA"/>
    <w:rsid w:val="00AE4726"/>
    <w:rsid w:val="00AE4734"/>
    <w:rsid w:val="00AE473F"/>
    <w:rsid w:val="00AE476C"/>
    <w:rsid w:val="00AE4791"/>
    <w:rsid w:val="00AE47B6"/>
    <w:rsid w:val="00AE47BD"/>
    <w:rsid w:val="00AE47D2"/>
    <w:rsid w:val="00AE47D7"/>
    <w:rsid w:val="00AE481B"/>
    <w:rsid w:val="00AE481E"/>
    <w:rsid w:val="00AE4860"/>
    <w:rsid w:val="00AE486F"/>
    <w:rsid w:val="00AE48E4"/>
    <w:rsid w:val="00AE48F3"/>
    <w:rsid w:val="00AE48FE"/>
    <w:rsid w:val="00AE4900"/>
    <w:rsid w:val="00AE4934"/>
    <w:rsid w:val="00AE4982"/>
    <w:rsid w:val="00AE4998"/>
    <w:rsid w:val="00AE49EE"/>
    <w:rsid w:val="00AE4A00"/>
    <w:rsid w:val="00AE4A01"/>
    <w:rsid w:val="00AE4A0B"/>
    <w:rsid w:val="00AE4A2C"/>
    <w:rsid w:val="00AE4A52"/>
    <w:rsid w:val="00AE4AF5"/>
    <w:rsid w:val="00AE4B08"/>
    <w:rsid w:val="00AE4B0A"/>
    <w:rsid w:val="00AE4B48"/>
    <w:rsid w:val="00AE4BAA"/>
    <w:rsid w:val="00AE4BCB"/>
    <w:rsid w:val="00AE4C23"/>
    <w:rsid w:val="00AE4CA0"/>
    <w:rsid w:val="00AE4CC4"/>
    <w:rsid w:val="00AE4CE5"/>
    <w:rsid w:val="00AE4CE8"/>
    <w:rsid w:val="00AE4D2A"/>
    <w:rsid w:val="00AE4D7B"/>
    <w:rsid w:val="00AE4DAD"/>
    <w:rsid w:val="00AE4DED"/>
    <w:rsid w:val="00AE4E0C"/>
    <w:rsid w:val="00AE4E47"/>
    <w:rsid w:val="00AE4E78"/>
    <w:rsid w:val="00AE4E96"/>
    <w:rsid w:val="00AE4EC4"/>
    <w:rsid w:val="00AE4EFA"/>
    <w:rsid w:val="00AE4F06"/>
    <w:rsid w:val="00AE4F1E"/>
    <w:rsid w:val="00AE4F2C"/>
    <w:rsid w:val="00AE4F37"/>
    <w:rsid w:val="00AE4F4F"/>
    <w:rsid w:val="00AE4FE1"/>
    <w:rsid w:val="00AE4FE6"/>
    <w:rsid w:val="00AE5019"/>
    <w:rsid w:val="00AE5030"/>
    <w:rsid w:val="00AE506D"/>
    <w:rsid w:val="00AE50BA"/>
    <w:rsid w:val="00AE50BC"/>
    <w:rsid w:val="00AE50CC"/>
    <w:rsid w:val="00AE50FC"/>
    <w:rsid w:val="00AE512C"/>
    <w:rsid w:val="00AE51D8"/>
    <w:rsid w:val="00AE5201"/>
    <w:rsid w:val="00AE5214"/>
    <w:rsid w:val="00AE5276"/>
    <w:rsid w:val="00AE52CF"/>
    <w:rsid w:val="00AE5395"/>
    <w:rsid w:val="00AE53CB"/>
    <w:rsid w:val="00AE53CD"/>
    <w:rsid w:val="00AE53FB"/>
    <w:rsid w:val="00AE5431"/>
    <w:rsid w:val="00AE545D"/>
    <w:rsid w:val="00AE5490"/>
    <w:rsid w:val="00AE54D2"/>
    <w:rsid w:val="00AE5581"/>
    <w:rsid w:val="00AE559A"/>
    <w:rsid w:val="00AE55B8"/>
    <w:rsid w:val="00AE55CA"/>
    <w:rsid w:val="00AE55CE"/>
    <w:rsid w:val="00AE561C"/>
    <w:rsid w:val="00AE5627"/>
    <w:rsid w:val="00AE563E"/>
    <w:rsid w:val="00AE5646"/>
    <w:rsid w:val="00AE56A7"/>
    <w:rsid w:val="00AE578C"/>
    <w:rsid w:val="00AE57FE"/>
    <w:rsid w:val="00AE5805"/>
    <w:rsid w:val="00AE5815"/>
    <w:rsid w:val="00AE5828"/>
    <w:rsid w:val="00AE583E"/>
    <w:rsid w:val="00AE584C"/>
    <w:rsid w:val="00AE5878"/>
    <w:rsid w:val="00AE58E4"/>
    <w:rsid w:val="00AE58F1"/>
    <w:rsid w:val="00AE5929"/>
    <w:rsid w:val="00AE5974"/>
    <w:rsid w:val="00AE5982"/>
    <w:rsid w:val="00AE5A0E"/>
    <w:rsid w:val="00AE5AA5"/>
    <w:rsid w:val="00AE5AB4"/>
    <w:rsid w:val="00AE5AD7"/>
    <w:rsid w:val="00AE5AEF"/>
    <w:rsid w:val="00AE5B64"/>
    <w:rsid w:val="00AE5B7F"/>
    <w:rsid w:val="00AE5B9C"/>
    <w:rsid w:val="00AE5C5E"/>
    <w:rsid w:val="00AE5C6D"/>
    <w:rsid w:val="00AE5CDD"/>
    <w:rsid w:val="00AE5D12"/>
    <w:rsid w:val="00AE5DFE"/>
    <w:rsid w:val="00AE5E01"/>
    <w:rsid w:val="00AE5E0A"/>
    <w:rsid w:val="00AE5E0B"/>
    <w:rsid w:val="00AE5FC4"/>
    <w:rsid w:val="00AE5FFB"/>
    <w:rsid w:val="00AE6007"/>
    <w:rsid w:val="00AE6014"/>
    <w:rsid w:val="00AE605C"/>
    <w:rsid w:val="00AE60E5"/>
    <w:rsid w:val="00AE6107"/>
    <w:rsid w:val="00AE6124"/>
    <w:rsid w:val="00AE6128"/>
    <w:rsid w:val="00AE623E"/>
    <w:rsid w:val="00AE624A"/>
    <w:rsid w:val="00AE62AF"/>
    <w:rsid w:val="00AE62FE"/>
    <w:rsid w:val="00AE631E"/>
    <w:rsid w:val="00AE6381"/>
    <w:rsid w:val="00AE639A"/>
    <w:rsid w:val="00AE63AF"/>
    <w:rsid w:val="00AE63D8"/>
    <w:rsid w:val="00AE63DB"/>
    <w:rsid w:val="00AE6404"/>
    <w:rsid w:val="00AE6445"/>
    <w:rsid w:val="00AE646C"/>
    <w:rsid w:val="00AE6491"/>
    <w:rsid w:val="00AE6546"/>
    <w:rsid w:val="00AE65AE"/>
    <w:rsid w:val="00AE664C"/>
    <w:rsid w:val="00AE66B0"/>
    <w:rsid w:val="00AE66DE"/>
    <w:rsid w:val="00AE66E9"/>
    <w:rsid w:val="00AE66EC"/>
    <w:rsid w:val="00AE66ED"/>
    <w:rsid w:val="00AE672D"/>
    <w:rsid w:val="00AE673A"/>
    <w:rsid w:val="00AE6740"/>
    <w:rsid w:val="00AE6766"/>
    <w:rsid w:val="00AE67E7"/>
    <w:rsid w:val="00AE685F"/>
    <w:rsid w:val="00AE6862"/>
    <w:rsid w:val="00AE6884"/>
    <w:rsid w:val="00AE68D8"/>
    <w:rsid w:val="00AE6911"/>
    <w:rsid w:val="00AE6931"/>
    <w:rsid w:val="00AE6953"/>
    <w:rsid w:val="00AE6957"/>
    <w:rsid w:val="00AE6990"/>
    <w:rsid w:val="00AE69BA"/>
    <w:rsid w:val="00AE69BF"/>
    <w:rsid w:val="00AE6A0E"/>
    <w:rsid w:val="00AE6AAB"/>
    <w:rsid w:val="00AE6ABA"/>
    <w:rsid w:val="00AE6B05"/>
    <w:rsid w:val="00AE6B08"/>
    <w:rsid w:val="00AE6B29"/>
    <w:rsid w:val="00AE6B34"/>
    <w:rsid w:val="00AE6B44"/>
    <w:rsid w:val="00AE6B81"/>
    <w:rsid w:val="00AE6B8F"/>
    <w:rsid w:val="00AE6B92"/>
    <w:rsid w:val="00AE6BA5"/>
    <w:rsid w:val="00AE6BC8"/>
    <w:rsid w:val="00AE6C7B"/>
    <w:rsid w:val="00AE6C85"/>
    <w:rsid w:val="00AE6CA8"/>
    <w:rsid w:val="00AE6CAF"/>
    <w:rsid w:val="00AE6CB5"/>
    <w:rsid w:val="00AE6CC3"/>
    <w:rsid w:val="00AE6CDB"/>
    <w:rsid w:val="00AE6CE3"/>
    <w:rsid w:val="00AE6D4B"/>
    <w:rsid w:val="00AE6D70"/>
    <w:rsid w:val="00AE6D80"/>
    <w:rsid w:val="00AE6D9C"/>
    <w:rsid w:val="00AE6DA6"/>
    <w:rsid w:val="00AE6DC9"/>
    <w:rsid w:val="00AE6DD5"/>
    <w:rsid w:val="00AE6E1A"/>
    <w:rsid w:val="00AE6EEC"/>
    <w:rsid w:val="00AE7004"/>
    <w:rsid w:val="00AE7006"/>
    <w:rsid w:val="00AE7068"/>
    <w:rsid w:val="00AE7079"/>
    <w:rsid w:val="00AE70C0"/>
    <w:rsid w:val="00AE7163"/>
    <w:rsid w:val="00AE726D"/>
    <w:rsid w:val="00AE727F"/>
    <w:rsid w:val="00AE728C"/>
    <w:rsid w:val="00AE732C"/>
    <w:rsid w:val="00AE736E"/>
    <w:rsid w:val="00AE7371"/>
    <w:rsid w:val="00AE73A4"/>
    <w:rsid w:val="00AE73CD"/>
    <w:rsid w:val="00AE73F7"/>
    <w:rsid w:val="00AE74D5"/>
    <w:rsid w:val="00AE74D7"/>
    <w:rsid w:val="00AE74E4"/>
    <w:rsid w:val="00AE750F"/>
    <w:rsid w:val="00AE7549"/>
    <w:rsid w:val="00AE757F"/>
    <w:rsid w:val="00AE7580"/>
    <w:rsid w:val="00AE75D5"/>
    <w:rsid w:val="00AE75E1"/>
    <w:rsid w:val="00AE7644"/>
    <w:rsid w:val="00AE768A"/>
    <w:rsid w:val="00AE769B"/>
    <w:rsid w:val="00AE76F7"/>
    <w:rsid w:val="00AE76FC"/>
    <w:rsid w:val="00AE774C"/>
    <w:rsid w:val="00AE776C"/>
    <w:rsid w:val="00AE77C4"/>
    <w:rsid w:val="00AE7828"/>
    <w:rsid w:val="00AE7872"/>
    <w:rsid w:val="00AE788E"/>
    <w:rsid w:val="00AE78B0"/>
    <w:rsid w:val="00AE78EC"/>
    <w:rsid w:val="00AE78F0"/>
    <w:rsid w:val="00AE7A19"/>
    <w:rsid w:val="00AE7A95"/>
    <w:rsid w:val="00AE7AB5"/>
    <w:rsid w:val="00AE7B0B"/>
    <w:rsid w:val="00AE7B25"/>
    <w:rsid w:val="00AE7B46"/>
    <w:rsid w:val="00AE7B8A"/>
    <w:rsid w:val="00AE7BBF"/>
    <w:rsid w:val="00AE7C00"/>
    <w:rsid w:val="00AE7C56"/>
    <w:rsid w:val="00AE7CB3"/>
    <w:rsid w:val="00AE7CC0"/>
    <w:rsid w:val="00AE7CE5"/>
    <w:rsid w:val="00AE7D0F"/>
    <w:rsid w:val="00AE7D13"/>
    <w:rsid w:val="00AE7D1C"/>
    <w:rsid w:val="00AE7E1B"/>
    <w:rsid w:val="00AE7E5B"/>
    <w:rsid w:val="00AE7EBD"/>
    <w:rsid w:val="00AE7ECE"/>
    <w:rsid w:val="00AE7EFE"/>
    <w:rsid w:val="00AE7F7E"/>
    <w:rsid w:val="00AE7FF8"/>
    <w:rsid w:val="00AF000C"/>
    <w:rsid w:val="00AF0036"/>
    <w:rsid w:val="00AF0099"/>
    <w:rsid w:val="00AF00FF"/>
    <w:rsid w:val="00AF010B"/>
    <w:rsid w:val="00AF016D"/>
    <w:rsid w:val="00AF017C"/>
    <w:rsid w:val="00AF01AF"/>
    <w:rsid w:val="00AF01F8"/>
    <w:rsid w:val="00AF025C"/>
    <w:rsid w:val="00AF0268"/>
    <w:rsid w:val="00AF02FE"/>
    <w:rsid w:val="00AF0359"/>
    <w:rsid w:val="00AF037F"/>
    <w:rsid w:val="00AF03E6"/>
    <w:rsid w:val="00AF03EA"/>
    <w:rsid w:val="00AF0439"/>
    <w:rsid w:val="00AF043E"/>
    <w:rsid w:val="00AF0449"/>
    <w:rsid w:val="00AF0514"/>
    <w:rsid w:val="00AF0533"/>
    <w:rsid w:val="00AF053A"/>
    <w:rsid w:val="00AF05E1"/>
    <w:rsid w:val="00AF05EA"/>
    <w:rsid w:val="00AF0622"/>
    <w:rsid w:val="00AF065F"/>
    <w:rsid w:val="00AF06BD"/>
    <w:rsid w:val="00AF074D"/>
    <w:rsid w:val="00AF0847"/>
    <w:rsid w:val="00AF086B"/>
    <w:rsid w:val="00AF0970"/>
    <w:rsid w:val="00AF09A6"/>
    <w:rsid w:val="00AF09CF"/>
    <w:rsid w:val="00AF09D0"/>
    <w:rsid w:val="00AF09D5"/>
    <w:rsid w:val="00AF0A69"/>
    <w:rsid w:val="00AF0A97"/>
    <w:rsid w:val="00AF0AB4"/>
    <w:rsid w:val="00AF0B0A"/>
    <w:rsid w:val="00AF0B0B"/>
    <w:rsid w:val="00AF0B21"/>
    <w:rsid w:val="00AF0B4F"/>
    <w:rsid w:val="00AF0B97"/>
    <w:rsid w:val="00AF0C0E"/>
    <w:rsid w:val="00AF0C91"/>
    <w:rsid w:val="00AF0CD7"/>
    <w:rsid w:val="00AF0CF1"/>
    <w:rsid w:val="00AF0CF5"/>
    <w:rsid w:val="00AF0DA6"/>
    <w:rsid w:val="00AF0DC7"/>
    <w:rsid w:val="00AF0DE2"/>
    <w:rsid w:val="00AF0DF4"/>
    <w:rsid w:val="00AF0E0E"/>
    <w:rsid w:val="00AF0E1D"/>
    <w:rsid w:val="00AF0E26"/>
    <w:rsid w:val="00AF0EC2"/>
    <w:rsid w:val="00AF0EDC"/>
    <w:rsid w:val="00AF0EE3"/>
    <w:rsid w:val="00AF0EEE"/>
    <w:rsid w:val="00AF0F6D"/>
    <w:rsid w:val="00AF0F7D"/>
    <w:rsid w:val="00AF1005"/>
    <w:rsid w:val="00AF1022"/>
    <w:rsid w:val="00AF1026"/>
    <w:rsid w:val="00AF1027"/>
    <w:rsid w:val="00AF1039"/>
    <w:rsid w:val="00AF107E"/>
    <w:rsid w:val="00AF1099"/>
    <w:rsid w:val="00AF10D0"/>
    <w:rsid w:val="00AF1118"/>
    <w:rsid w:val="00AF1160"/>
    <w:rsid w:val="00AF11EA"/>
    <w:rsid w:val="00AF1242"/>
    <w:rsid w:val="00AF1256"/>
    <w:rsid w:val="00AF130D"/>
    <w:rsid w:val="00AF134C"/>
    <w:rsid w:val="00AF135F"/>
    <w:rsid w:val="00AF1396"/>
    <w:rsid w:val="00AF13B0"/>
    <w:rsid w:val="00AF140A"/>
    <w:rsid w:val="00AF1479"/>
    <w:rsid w:val="00AF14DE"/>
    <w:rsid w:val="00AF1520"/>
    <w:rsid w:val="00AF157D"/>
    <w:rsid w:val="00AF15A8"/>
    <w:rsid w:val="00AF15AF"/>
    <w:rsid w:val="00AF15CF"/>
    <w:rsid w:val="00AF15D6"/>
    <w:rsid w:val="00AF162B"/>
    <w:rsid w:val="00AF1652"/>
    <w:rsid w:val="00AF16E9"/>
    <w:rsid w:val="00AF1736"/>
    <w:rsid w:val="00AF1768"/>
    <w:rsid w:val="00AF1821"/>
    <w:rsid w:val="00AF1879"/>
    <w:rsid w:val="00AF189E"/>
    <w:rsid w:val="00AF18A3"/>
    <w:rsid w:val="00AF18FE"/>
    <w:rsid w:val="00AF19D3"/>
    <w:rsid w:val="00AF19F4"/>
    <w:rsid w:val="00AF19F9"/>
    <w:rsid w:val="00AF1A03"/>
    <w:rsid w:val="00AF1A75"/>
    <w:rsid w:val="00AF1AB3"/>
    <w:rsid w:val="00AF1AF0"/>
    <w:rsid w:val="00AF1B16"/>
    <w:rsid w:val="00AF1B2F"/>
    <w:rsid w:val="00AF1BE0"/>
    <w:rsid w:val="00AF1BE4"/>
    <w:rsid w:val="00AF1BF9"/>
    <w:rsid w:val="00AF1C00"/>
    <w:rsid w:val="00AF1C22"/>
    <w:rsid w:val="00AF1C48"/>
    <w:rsid w:val="00AF1C77"/>
    <w:rsid w:val="00AF1CC4"/>
    <w:rsid w:val="00AF1CCD"/>
    <w:rsid w:val="00AF1CE9"/>
    <w:rsid w:val="00AF1CFC"/>
    <w:rsid w:val="00AF1D67"/>
    <w:rsid w:val="00AF1DB2"/>
    <w:rsid w:val="00AF1E02"/>
    <w:rsid w:val="00AF1E3D"/>
    <w:rsid w:val="00AF1E6D"/>
    <w:rsid w:val="00AF1E8A"/>
    <w:rsid w:val="00AF1ED0"/>
    <w:rsid w:val="00AF1ED7"/>
    <w:rsid w:val="00AF1EDF"/>
    <w:rsid w:val="00AF1EE8"/>
    <w:rsid w:val="00AF1F2A"/>
    <w:rsid w:val="00AF1F35"/>
    <w:rsid w:val="00AF1F6A"/>
    <w:rsid w:val="00AF202E"/>
    <w:rsid w:val="00AF20A4"/>
    <w:rsid w:val="00AF20C5"/>
    <w:rsid w:val="00AF214B"/>
    <w:rsid w:val="00AF21C3"/>
    <w:rsid w:val="00AF21D3"/>
    <w:rsid w:val="00AF21ED"/>
    <w:rsid w:val="00AF2253"/>
    <w:rsid w:val="00AF2267"/>
    <w:rsid w:val="00AF22F8"/>
    <w:rsid w:val="00AF2353"/>
    <w:rsid w:val="00AF23AB"/>
    <w:rsid w:val="00AF23B3"/>
    <w:rsid w:val="00AF23B4"/>
    <w:rsid w:val="00AF23CF"/>
    <w:rsid w:val="00AF2411"/>
    <w:rsid w:val="00AF2420"/>
    <w:rsid w:val="00AF2424"/>
    <w:rsid w:val="00AF2437"/>
    <w:rsid w:val="00AF24A9"/>
    <w:rsid w:val="00AF254C"/>
    <w:rsid w:val="00AF257A"/>
    <w:rsid w:val="00AF25C0"/>
    <w:rsid w:val="00AF2622"/>
    <w:rsid w:val="00AF263E"/>
    <w:rsid w:val="00AF2673"/>
    <w:rsid w:val="00AF268A"/>
    <w:rsid w:val="00AF26A9"/>
    <w:rsid w:val="00AF26AF"/>
    <w:rsid w:val="00AF26B2"/>
    <w:rsid w:val="00AF270A"/>
    <w:rsid w:val="00AF2723"/>
    <w:rsid w:val="00AF2725"/>
    <w:rsid w:val="00AF2740"/>
    <w:rsid w:val="00AF27D4"/>
    <w:rsid w:val="00AF283A"/>
    <w:rsid w:val="00AF289C"/>
    <w:rsid w:val="00AF28C4"/>
    <w:rsid w:val="00AF28C9"/>
    <w:rsid w:val="00AF28D0"/>
    <w:rsid w:val="00AF28DA"/>
    <w:rsid w:val="00AF28EB"/>
    <w:rsid w:val="00AF28EE"/>
    <w:rsid w:val="00AF2931"/>
    <w:rsid w:val="00AF2942"/>
    <w:rsid w:val="00AF29B0"/>
    <w:rsid w:val="00AF2A3A"/>
    <w:rsid w:val="00AF2A4C"/>
    <w:rsid w:val="00AF2A73"/>
    <w:rsid w:val="00AF2A7E"/>
    <w:rsid w:val="00AF2ACE"/>
    <w:rsid w:val="00AF2B42"/>
    <w:rsid w:val="00AF2B59"/>
    <w:rsid w:val="00AF2BDD"/>
    <w:rsid w:val="00AF2C87"/>
    <w:rsid w:val="00AF2D36"/>
    <w:rsid w:val="00AF2D58"/>
    <w:rsid w:val="00AF2D5E"/>
    <w:rsid w:val="00AF2D61"/>
    <w:rsid w:val="00AF2D69"/>
    <w:rsid w:val="00AF2D70"/>
    <w:rsid w:val="00AF2D9B"/>
    <w:rsid w:val="00AF2DD2"/>
    <w:rsid w:val="00AF2DEF"/>
    <w:rsid w:val="00AF2E37"/>
    <w:rsid w:val="00AF2EBF"/>
    <w:rsid w:val="00AF2EDB"/>
    <w:rsid w:val="00AF2F78"/>
    <w:rsid w:val="00AF2F85"/>
    <w:rsid w:val="00AF2FAF"/>
    <w:rsid w:val="00AF2FED"/>
    <w:rsid w:val="00AF3031"/>
    <w:rsid w:val="00AF3046"/>
    <w:rsid w:val="00AF3054"/>
    <w:rsid w:val="00AF3082"/>
    <w:rsid w:val="00AF3083"/>
    <w:rsid w:val="00AF3099"/>
    <w:rsid w:val="00AF30A8"/>
    <w:rsid w:val="00AF30CB"/>
    <w:rsid w:val="00AF30E1"/>
    <w:rsid w:val="00AF3148"/>
    <w:rsid w:val="00AF317B"/>
    <w:rsid w:val="00AF3192"/>
    <w:rsid w:val="00AF31E6"/>
    <w:rsid w:val="00AF321A"/>
    <w:rsid w:val="00AF3251"/>
    <w:rsid w:val="00AF32A1"/>
    <w:rsid w:val="00AF32A9"/>
    <w:rsid w:val="00AF3307"/>
    <w:rsid w:val="00AF33B6"/>
    <w:rsid w:val="00AF33BB"/>
    <w:rsid w:val="00AF33FE"/>
    <w:rsid w:val="00AF3435"/>
    <w:rsid w:val="00AF3447"/>
    <w:rsid w:val="00AF345E"/>
    <w:rsid w:val="00AF3549"/>
    <w:rsid w:val="00AF3568"/>
    <w:rsid w:val="00AF35B2"/>
    <w:rsid w:val="00AF35FB"/>
    <w:rsid w:val="00AF36C4"/>
    <w:rsid w:val="00AF36ED"/>
    <w:rsid w:val="00AF370C"/>
    <w:rsid w:val="00AF3730"/>
    <w:rsid w:val="00AF3735"/>
    <w:rsid w:val="00AF3781"/>
    <w:rsid w:val="00AF3802"/>
    <w:rsid w:val="00AF38EB"/>
    <w:rsid w:val="00AF38ED"/>
    <w:rsid w:val="00AF398C"/>
    <w:rsid w:val="00AF3991"/>
    <w:rsid w:val="00AF399E"/>
    <w:rsid w:val="00AF39E8"/>
    <w:rsid w:val="00AF3A11"/>
    <w:rsid w:val="00AF3A51"/>
    <w:rsid w:val="00AF3AB9"/>
    <w:rsid w:val="00AF3B04"/>
    <w:rsid w:val="00AF3B1E"/>
    <w:rsid w:val="00AF3B34"/>
    <w:rsid w:val="00AF3BEC"/>
    <w:rsid w:val="00AF3C3A"/>
    <w:rsid w:val="00AF3C45"/>
    <w:rsid w:val="00AF3C4C"/>
    <w:rsid w:val="00AF3C54"/>
    <w:rsid w:val="00AF3CCB"/>
    <w:rsid w:val="00AF3D32"/>
    <w:rsid w:val="00AF3D4D"/>
    <w:rsid w:val="00AF3D64"/>
    <w:rsid w:val="00AF3D9F"/>
    <w:rsid w:val="00AF3E33"/>
    <w:rsid w:val="00AF3E36"/>
    <w:rsid w:val="00AF3ED4"/>
    <w:rsid w:val="00AF3EE2"/>
    <w:rsid w:val="00AF3EFD"/>
    <w:rsid w:val="00AF3F76"/>
    <w:rsid w:val="00AF3FD4"/>
    <w:rsid w:val="00AF403A"/>
    <w:rsid w:val="00AF405B"/>
    <w:rsid w:val="00AF4080"/>
    <w:rsid w:val="00AF40A0"/>
    <w:rsid w:val="00AF40BB"/>
    <w:rsid w:val="00AF4147"/>
    <w:rsid w:val="00AF416A"/>
    <w:rsid w:val="00AF4192"/>
    <w:rsid w:val="00AF41A1"/>
    <w:rsid w:val="00AF41A7"/>
    <w:rsid w:val="00AF41BA"/>
    <w:rsid w:val="00AF41E3"/>
    <w:rsid w:val="00AF4223"/>
    <w:rsid w:val="00AF422A"/>
    <w:rsid w:val="00AF4235"/>
    <w:rsid w:val="00AF426B"/>
    <w:rsid w:val="00AF4292"/>
    <w:rsid w:val="00AF42AB"/>
    <w:rsid w:val="00AF42F5"/>
    <w:rsid w:val="00AF42FA"/>
    <w:rsid w:val="00AF4308"/>
    <w:rsid w:val="00AF434F"/>
    <w:rsid w:val="00AF4354"/>
    <w:rsid w:val="00AF43D0"/>
    <w:rsid w:val="00AF43DE"/>
    <w:rsid w:val="00AF4422"/>
    <w:rsid w:val="00AF4438"/>
    <w:rsid w:val="00AF4449"/>
    <w:rsid w:val="00AF4454"/>
    <w:rsid w:val="00AF4460"/>
    <w:rsid w:val="00AF4485"/>
    <w:rsid w:val="00AF44B9"/>
    <w:rsid w:val="00AF44C8"/>
    <w:rsid w:val="00AF4526"/>
    <w:rsid w:val="00AF455B"/>
    <w:rsid w:val="00AF4572"/>
    <w:rsid w:val="00AF4584"/>
    <w:rsid w:val="00AF46D1"/>
    <w:rsid w:val="00AF46F1"/>
    <w:rsid w:val="00AF47CD"/>
    <w:rsid w:val="00AF4828"/>
    <w:rsid w:val="00AF48FE"/>
    <w:rsid w:val="00AF4938"/>
    <w:rsid w:val="00AF4972"/>
    <w:rsid w:val="00AF49D9"/>
    <w:rsid w:val="00AF4B08"/>
    <w:rsid w:val="00AF4B3F"/>
    <w:rsid w:val="00AF4B63"/>
    <w:rsid w:val="00AF4B77"/>
    <w:rsid w:val="00AF4B79"/>
    <w:rsid w:val="00AF4BBC"/>
    <w:rsid w:val="00AF4BBE"/>
    <w:rsid w:val="00AF4BF9"/>
    <w:rsid w:val="00AF4C24"/>
    <w:rsid w:val="00AF4C78"/>
    <w:rsid w:val="00AF4D21"/>
    <w:rsid w:val="00AF4D45"/>
    <w:rsid w:val="00AF4D60"/>
    <w:rsid w:val="00AF4D77"/>
    <w:rsid w:val="00AF4D83"/>
    <w:rsid w:val="00AF4E02"/>
    <w:rsid w:val="00AF4E85"/>
    <w:rsid w:val="00AF4EA9"/>
    <w:rsid w:val="00AF4EB9"/>
    <w:rsid w:val="00AF4F04"/>
    <w:rsid w:val="00AF4F27"/>
    <w:rsid w:val="00AF4F7C"/>
    <w:rsid w:val="00AF4F9E"/>
    <w:rsid w:val="00AF4F9F"/>
    <w:rsid w:val="00AF4FC9"/>
    <w:rsid w:val="00AF501D"/>
    <w:rsid w:val="00AF504F"/>
    <w:rsid w:val="00AF50C5"/>
    <w:rsid w:val="00AF517D"/>
    <w:rsid w:val="00AF5192"/>
    <w:rsid w:val="00AF519C"/>
    <w:rsid w:val="00AF51AC"/>
    <w:rsid w:val="00AF51BA"/>
    <w:rsid w:val="00AF51C1"/>
    <w:rsid w:val="00AF51F9"/>
    <w:rsid w:val="00AF522A"/>
    <w:rsid w:val="00AF525A"/>
    <w:rsid w:val="00AF5263"/>
    <w:rsid w:val="00AF5291"/>
    <w:rsid w:val="00AF529E"/>
    <w:rsid w:val="00AF52B9"/>
    <w:rsid w:val="00AF52F1"/>
    <w:rsid w:val="00AF52FD"/>
    <w:rsid w:val="00AF5377"/>
    <w:rsid w:val="00AF5379"/>
    <w:rsid w:val="00AF53CE"/>
    <w:rsid w:val="00AF53DB"/>
    <w:rsid w:val="00AF53DC"/>
    <w:rsid w:val="00AF53FD"/>
    <w:rsid w:val="00AF543D"/>
    <w:rsid w:val="00AF54A4"/>
    <w:rsid w:val="00AF54ED"/>
    <w:rsid w:val="00AF5553"/>
    <w:rsid w:val="00AF55D5"/>
    <w:rsid w:val="00AF55FE"/>
    <w:rsid w:val="00AF561A"/>
    <w:rsid w:val="00AF5655"/>
    <w:rsid w:val="00AF5666"/>
    <w:rsid w:val="00AF567B"/>
    <w:rsid w:val="00AF56CD"/>
    <w:rsid w:val="00AF570F"/>
    <w:rsid w:val="00AF578D"/>
    <w:rsid w:val="00AF57C8"/>
    <w:rsid w:val="00AF5844"/>
    <w:rsid w:val="00AF585D"/>
    <w:rsid w:val="00AF5870"/>
    <w:rsid w:val="00AF5894"/>
    <w:rsid w:val="00AF58E9"/>
    <w:rsid w:val="00AF5967"/>
    <w:rsid w:val="00AF599A"/>
    <w:rsid w:val="00AF59AF"/>
    <w:rsid w:val="00AF59FC"/>
    <w:rsid w:val="00AF5A0A"/>
    <w:rsid w:val="00AF5A24"/>
    <w:rsid w:val="00AF5A4A"/>
    <w:rsid w:val="00AF5A5D"/>
    <w:rsid w:val="00AF5A9B"/>
    <w:rsid w:val="00AF5ABB"/>
    <w:rsid w:val="00AF5AEC"/>
    <w:rsid w:val="00AF5AF5"/>
    <w:rsid w:val="00AF5B4C"/>
    <w:rsid w:val="00AF5B67"/>
    <w:rsid w:val="00AF5BE2"/>
    <w:rsid w:val="00AF5C17"/>
    <w:rsid w:val="00AF5C66"/>
    <w:rsid w:val="00AF5C79"/>
    <w:rsid w:val="00AF5C7D"/>
    <w:rsid w:val="00AF5CC9"/>
    <w:rsid w:val="00AF5CCF"/>
    <w:rsid w:val="00AF5DF5"/>
    <w:rsid w:val="00AF5EDB"/>
    <w:rsid w:val="00AF5EF7"/>
    <w:rsid w:val="00AF5F47"/>
    <w:rsid w:val="00AF5F49"/>
    <w:rsid w:val="00AF5FDC"/>
    <w:rsid w:val="00AF5FFD"/>
    <w:rsid w:val="00AF6005"/>
    <w:rsid w:val="00AF6037"/>
    <w:rsid w:val="00AF6087"/>
    <w:rsid w:val="00AF616F"/>
    <w:rsid w:val="00AF61C6"/>
    <w:rsid w:val="00AF61D2"/>
    <w:rsid w:val="00AF61F4"/>
    <w:rsid w:val="00AF6221"/>
    <w:rsid w:val="00AF6235"/>
    <w:rsid w:val="00AF6240"/>
    <w:rsid w:val="00AF6288"/>
    <w:rsid w:val="00AF628A"/>
    <w:rsid w:val="00AF62AD"/>
    <w:rsid w:val="00AF62CB"/>
    <w:rsid w:val="00AF62D2"/>
    <w:rsid w:val="00AF62F7"/>
    <w:rsid w:val="00AF6330"/>
    <w:rsid w:val="00AF6336"/>
    <w:rsid w:val="00AF6349"/>
    <w:rsid w:val="00AF639E"/>
    <w:rsid w:val="00AF63B0"/>
    <w:rsid w:val="00AF63DB"/>
    <w:rsid w:val="00AF63E0"/>
    <w:rsid w:val="00AF63EC"/>
    <w:rsid w:val="00AF63F5"/>
    <w:rsid w:val="00AF6439"/>
    <w:rsid w:val="00AF6462"/>
    <w:rsid w:val="00AF648F"/>
    <w:rsid w:val="00AF64A0"/>
    <w:rsid w:val="00AF64B9"/>
    <w:rsid w:val="00AF64CA"/>
    <w:rsid w:val="00AF64D6"/>
    <w:rsid w:val="00AF64DA"/>
    <w:rsid w:val="00AF651C"/>
    <w:rsid w:val="00AF653A"/>
    <w:rsid w:val="00AF6543"/>
    <w:rsid w:val="00AF65FC"/>
    <w:rsid w:val="00AF6617"/>
    <w:rsid w:val="00AF661A"/>
    <w:rsid w:val="00AF6675"/>
    <w:rsid w:val="00AF6679"/>
    <w:rsid w:val="00AF668D"/>
    <w:rsid w:val="00AF6699"/>
    <w:rsid w:val="00AF66B9"/>
    <w:rsid w:val="00AF66D6"/>
    <w:rsid w:val="00AF66F0"/>
    <w:rsid w:val="00AF671E"/>
    <w:rsid w:val="00AF6763"/>
    <w:rsid w:val="00AF6779"/>
    <w:rsid w:val="00AF67C6"/>
    <w:rsid w:val="00AF680E"/>
    <w:rsid w:val="00AF693E"/>
    <w:rsid w:val="00AF697B"/>
    <w:rsid w:val="00AF698B"/>
    <w:rsid w:val="00AF69C2"/>
    <w:rsid w:val="00AF6A33"/>
    <w:rsid w:val="00AF6A92"/>
    <w:rsid w:val="00AF6AF7"/>
    <w:rsid w:val="00AF6B72"/>
    <w:rsid w:val="00AF6B94"/>
    <w:rsid w:val="00AF6BBD"/>
    <w:rsid w:val="00AF6C20"/>
    <w:rsid w:val="00AF6C27"/>
    <w:rsid w:val="00AF6C31"/>
    <w:rsid w:val="00AF6C4D"/>
    <w:rsid w:val="00AF6CA4"/>
    <w:rsid w:val="00AF6CE4"/>
    <w:rsid w:val="00AF6D02"/>
    <w:rsid w:val="00AF6D2B"/>
    <w:rsid w:val="00AF6E0D"/>
    <w:rsid w:val="00AF6E22"/>
    <w:rsid w:val="00AF6E26"/>
    <w:rsid w:val="00AF6E34"/>
    <w:rsid w:val="00AF6E4B"/>
    <w:rsid w:val="00AF6E78"/>
    <w:rsid w:val="00AF6E81"/>
    <w:rsid w:val="00AF6EF6"/>
    <w:rsid w:val="00AF6F10"/>
    <w:rsid w:val="00AF6F31"/>
    <w:rsid w:val="00AF6F52"/>
    <w:rsid w:val="00AF6F69"/>
    <w:rsid w:val="00AF6FB4"/>
    <w:rsid w:val="00AF6FEE"/>
    <w:rsid w:val="00AF701F"/>
    <w:rsid w:val="00AF7072"/>
    <w:rsid w:val="00AF719C"/>
    <w:rsid w:val="00AF71A8"/>
    <w:rsid w:val="00AF71DF"/>
    <w:rsid w:val="00AF71E7"/>
    <w:rsid w:val="00AF728F"/>
    <w:rsid w:val="00AF72B2"/>
    <w:rsid w:val="00AF72C1"/>
    <w:rsid w:val="00AF72CF"/>
    <w:rsid w:val="00AF72D7"/>
    <w:rsid w:val="00AF72E5"/>
    <w:rsid w:val="00AF72EC"/>
    <w:rsid w:val="00AF7350"/>
    <w:rsid w:val="00AF7487"/>
    <w:rsid w:val="00AF748B"/>
    <w:rsid w:val="00AF74B7"/>
    <w:rsid w:val="00AF7515"/>
    <w:rsid w:val="00AF751C"/>
    <w:rsid w:val="00AF7524"/>
    <w:rsid w:val="00AF752F"/>
    <w:rsid w:val="00AF7564"/>
    <w:rsid w:val="00AF758A"/>
    <w:rsid w:val="00AF75F9"/>
    <w:rsid w:val="00AF7604"/>
    <w:rsid w:val="00AF762B"/>
    <w:rsid w:val="00AF7640"/>
    <w:rsid w:val="00AF7658"/>
    <w:rsid w:val="00AF7675"/>
    <w:rsid w:val="00AF768A"/>
    <w:rsid w:val="00AF76DD"/>
    <w:rsid w:val="00AF7709"/>
    <w:rsid w:val="00AF7738"/>
    <w:rsid w:val="00AF7751"/>
    <w:rsid w:val="00AF776A"/>
    <w:rsid w:val="00AF77A6"/>
    <w:rsid w:val="00AF781F"/>
    <w:rsid w:val="00AF782C"/>
    <w:rsid w:val="00AF7847"/>
    <w:rsid w:val="00AF7896"/>
    <w:rsid w:val="00AF790A"/>
    <w:rsid w:val="00AF793B"/>
    <w:rsid w:val="00AF793F"/>
    <w:rsid w:val="00AF79C3"/>
    <w:rsid w:val="00AF79C7"/>
    <w:rsid w:val="00AF79EB"/>
    <w:rsid w:val="00AF7A18"/>
    <w:rsid w:val="00AF7AA7"/>
    <w:rsid w:val="00AF7AD9"/>
    <w:rsid w:val="00AF7AFC"/>
    <w:rsid w:val="00AF7AFD"/>
    <w:rsid w:val="00AF7B31"/>
    <w:rsid w:val="00AF7B38"/>
    <w:rsid w:val="00AF7B5E"/>
    <w:rsid w:val="00AF7B70"/>
    <w:rsid w:val="00AF7BBC"/>
    <w:rsid w:val="00AF7C2C"/>
    <w:rsid w:val="00AF7C7D"/>
    <w:rsid w:val="00AF7C92"/>
    <w:rsid w:val="00AF7CF1"/>
    <w:rsid w:val="00AF7D2C"/>
    <w:rsid w:val="00AF7D40"/>
    <w:rsid w:val="00AF7D5C"/>
    <w:rsid w:val="00AF7D78"/>
    <w:rsid w:val="00AF7D7B"/>
    <w:rsid w:val="00AF7D7D"/>
    <w:rsid w:val="00AF7D80"/>
    <w:rsid w:val="00AF7D93"/>
    <w:rsid w:val="00AF7DA9"/>
    <w:rsid w:val="00AF7DEE"/>
    <w:rsid w:val="00AF7E05"/>
    <w:rsid w:val="00AF7EA5"/>
    <w:rsid w:val="00AF7EFA"/>
    <w:rsid w:val="00AF7F73"/>
    <w:rsid w:val="00AF7F76"/>
    <w:rsid w:val="00AF7F9D"/>
    <w:rsid w:val="00B00077"/>
    <w:rsid w:val="00B000AA"/>
    <w:rsid w:val="00B000AE"/>
    <w:rsid w:val="00B000EB"/>
    <w:rsid w:val="00B00167"/>
    <w:rsid w:val="00B00230"/>
    <w:rsid w:val="00B0023B"/>
    <w:rsid w:val="00B00279"/>
    <w:rsid w:val="00B0028B"/>
    <w:rsid w:val="00B00389"/>
    <w:rsid w:val="00B00407"/>
    <w:rsid w:val="00B00425"/>
    <w:rsid w:val="00B00456"/>
    <w:rsid w:val="00B00479"/>
    <w:rsid w:val="00B004A8"/>
    <w:rsid w:val="00B004C5"/>
    <w:rsid w:val="00B00601"/>
    <w:rsid w:val="00B0060B"/>
    <w:rsid w:val="00B00611"/>
    <w:rsid w:val="00B00673"/>
    <w:rsid w:val="00B0068E"/>
    <w:rsid w:val="00B00691"/>
    <w:rsid w:val="00B006CF"/>
    <w:rsid w:val="00B00706"/>
    <w:rsid w:val="00B0076B"/>
    <w:rsid w:val="00B0089A"/>
    <w:rsid w:val="00B008B4"/>
    <w:rsid w:val="00B008E0"/>
    <w:rsid w:val="00B0092B"/>
    <w:rsid w:val="00B0093F"/>
    <w:rsid w:val="00B009A8"/>
    <w:rsid w:val="00B009C3"/>
    <w:rsid w:val="00B009C9"/>
    <w:rsid w:val="00B00A09"/>
    <w:rsid w:val="00B00A94"/>
    <w:rsid w:val="00B00AB6"/>
    <w:rsid w:val="00B00AF5"/>
    <w:rsid w:val="00B00B37"/>
    <w:rsid w:val="00B00B47"/>
    <w:rsid w:val="00B00B7E"/>
    <w:rsid w:val="00B00BC0"/>
    <w:rsid w:val="00B00BC6"/>
    <w:rsid w:val="00B00BD5"/>
    <w:rsid w:val="00B00C46"/>
    <w:rsid w:val="00B00C56"/>
    <w:rsid w:val="00B00C5C"/>
    <w:rsid w:val="00B00C75"/>
    <w:rsid w:val="00B00CB1"/>
    <w:rsid w:val="00B00CB5"/>
    <w:rsid w:val="00B00CC1"/>
    <w:rsid w:val="00B00CCE"/>
    <w:rsid w:val="00B00CF3"/>
    <w:rsid w:val="00B00D09"/>
    <w:rsid w:val="00B00D33"/>
    <w:rsid w:val="00B00D62"/>
    <w:rsid w:val="00B00D98"/>
    <w:rsid w:val="00B00DAC"/>
    <w:rsid w:val="00B00E3D"/>
    <w:rsid w:val="00B00E3E"/>
    <w:rsid w:val="00B00E58"/>
    <w:rsid w:val="00B00E72"/>
    <w:rsid w:val="00B00EA5"/>
    <w:rsid w:val="00B00ED8"/>
    <w:rsid w:val="00B00EE7"/>
    <w:rsid w:val="00B00F00"/>
    <w:rsid w:val="00B00F51"/>
    <w:rsid w:val="00B00FA2"/>
    <w:rsid w:val="00B00FA5"/>
    <w:rsid w:val="00B00FB5"/>
    <w:rsid w:val="00B01063"/>
    <w:rsid w:val="00B0109C"/>
    <w:rsid w:val="00B010DF"/>
    <w:rsid w:val="00B0111B"/>
    <w:rsid w:val="00B01135"/>
    <w:rsid w:val="00B01159"/>
    <w:rsid w:val="00B0118A"/>
    <w:rsid w:val="00B011EF"/>
    <w:rsid w:val="00B011FA"/>
    <w:rsid w:val="00B01218"/>
    <w:rsid w:val="00B0121D"/>
    <w:rsid w:val="00B012BA"/>
    <w:rsid w:val="00B0131B"/>
    <w:rsid w:val="00B01349"/>
    <w:rsid w:val="00B0137B"/>
    <w:rsid w:val="00B013B2"/>
    <w:rsid w:val="00B013D8"/>
    <w:rsid w:val="00B013DA"/>
    <w:rsid w:val="00B01405"/>
    <w:rsid w:val="00B01446"/>
    <w:rsid w:val="00B01468"/>
    <w:rsid w:val="00B01499"/>
    <w:rsid w:val="00B015C2"/>
    <w:rsid w:val="00B015E8"/>
    <w:rsid w:val="00B01664"/>
    <w:rsid w:val="00B01696"/>
    <w:rsid w:val="00B016C7"/>
    <w:rsid w:val="00B01768"/>
    <w:rsid w:val="00B0177B"/>
    <w:rsid w:val="00B017C2"/>
    <w:rsid w:val="00B0181A"/>
    <w:rsid w:val="00B01830"/>
    <w:rsid w:val="00B0183F"/>
    <w:rsid w:val="00B018D0"/>
    <w:rsid w:val="00B01901"/>
    <w:rsid w:val="00B01920"/>
    <w:rsid w:val="00B01978"/>
    <w:rsid w:val="00B019E4"/>
    <w:rsid w:val="00B01A08"/>
    <w:rsid w:val="00B01A25"/>
    <w:rsid w:val="00B01A51"/>
    <w:rsid w:val="00B01AA2"/>
    <w:rsid w:val="00B01AB2"/>
    <w:rsid w:val="00B01AC7"/>
    <w:rsid w:val="00B01B22"/>
    <w:rsid w:val="00B01B23"/>
    <w:rsid w:val="00B01B26"/>
    <w:rsid w:val="00B01B2E"/>
    <w:rsid w:val="00B01B43"/>
    <w:rsid w:val="00B01B73"/>
    <w:rsid w:val="00B01B85"/>
    <w:rsid w:val="00B01BAF"/>
    <w:rsid w:val="00B01BF9"/>
    <w:rsid w:val="00B01C1E"/>
    <w:rsid w:val="00B01C3A"/>
    <w:rsid w:val="00B01C42"/>
    <w:rsid w:val="00B01CA6"/>
    <w:rsid w:val="00B01D3A"/>
    <w:rsid w:val="00B01D53"/>
    <w:rsid w:val="00B01D58"/>
    <w:rsid w:val="00B01D7F"/>
    <w:rsid w:val="00B01D86"/>
    <w:rsid w:val="00B01DF5"/>
    <w:rsid w:val="00B01E37"/>
    <w:rsid w:val="00B01E70"/>
    <w:rsid w:val="00B01E9A"/>
    <w:rsid w:val="00B01EDA"/>
    <w:rsid w:val="00B01EED"/>
    <w:rsid w:val="00B01EF1"/>
    <w:rsid w:val="00B01F48"/>
    <w:rsid w:val="00B01F4D"/>
    <w:rsid w:val="00B01F8B"/>
    <w:rsid w:val="00B01FA5"/>
    <w:rsid w:val="00B01FBA"/>
    <w:rsid w:val="00B01FE5"/>
    <w:rsid w:val="00B01FF9"/>
    <w:rsid w:val="00B0204D"/>
    <w:rsid w:val="00B0206A"/>
    <w:rsid w:val="00B020E8"/>
    <w:rsid w:val="00B02183"/>
    <w:rsid w:val="00B021AD"/>
    <w:rsid w:val="00B021B4"/>
    <w:rsid w:val="00B0221A"/>
    <w:rsid w:val="00B02240"/>
    <w:rsid w:val="00B0226D"/>
    <w:rsid w:val="00B0226F"/>
    <w:rsid w:val="00B02275"/>
    <w:rsid w:val="00B0227D"/>
    <w:rsid w:val="00B022B2"/>
    <w:rsid w:val="00B023EE"/>
    <w:rsid w:val="00B0247B"/>
    <w:rsid w:val="00B024B1"/>
    <w:rsid w:val="00B025B7"/>
    <w:rsid w:val="00B025BF"/>
    <w:rsid w:val="00B02604"/>
    <w:rsid w:val="00B02678"/>
    <w:rsid w:val="00B026A9"/>
    <w:rsid w:val="00B0270A"/>
    <w:rsid w:val="00B0271E"/>
    <w:rsid w:val="00B02722"/>
    <w:rsid w:val="00B02754"/>
    <w:rsid w:val="00B02756"/>
    <w:rsid w:val="00B02797"/>
    <w:rsid w:val="00B027AF"/>
    <w:rsid w:val="00B02816"/>
    <w:rsid w:val="00B028AA"/>
    <w:rsid w:val="00B0290B"/>
    <w:rsid w:val="00B02913"/>
    <w:rsid w:val="00B02919"/>
    <w:rsid w:val="00B0293E"/>
    <w:rsid w:val="00B02977"/>
    <w:rsid w:val="00B02985"/>
    <w:rsid w:val="00B029AB"/>
    <w:rsid w:val="00B029CD"/>
    <w:rsid w:val="00B029F1"/>
    <w:rsid w:val="00B02A5D"/>
    <w:rsid w:val="00B02A69"/>
    <w:rsid w:val="00B02A90"/>
    <w:rsid w:val="00B02AFD"/>
    <w:rsid w:val="00B02B4E"/>
    <w:rsid w:val="00B02B5C"/>
    <w:rsid w:val="00B02BDC"/>
    <w:rsid w:val="00B02BE1"/>
    <w:rsid w:val="00B02BF7"/>
    <w:rsid w:val="00B02C21"/>
    <w:rsid w:val="00B02C69"/>
    <w:rsid w:val="00B02C7C"/>
    <w:rsid w:val="00B02C93"/>
    <w:rsid w:val="00B02CA3"/>
    <w:rsid w:val="00B02CA5"/>
    <w:rsid w:val="00B02CAF"/>
    <w:rsid w:val="00B02CD8"/>
    <w:rsid w:val="00B02D3B"/>
    <w:rsid w:val="00B02D5A"/>
    <w:rsid w:val="00B02D87"/>
    <w:rsid w:val="00B02D99"/>
    <w:rsid w:val="00B02E22"/>
    <w:rsid w:val="00B02E87"/>
    <w:rsid w:val="00B02EA8"/>
    <w:rsid w:val="00B02EAC"/>
    <w:rsid w:val="00B02EF3"/>
    <w:rsid w:val="00B02EFF"/>
    <w:rsid w:val="00B02F43"/>
    <w:rsid w:val="00B02F71"/>
    <w:rsid w:val="00B02FAA"/>
    <w:rsid w:val="00B02FC3"/>
    <w:rsid w:val="00B02FD0"/>
    <w:rsid w:val="00B02FF1"/>
    <w:rsid w:val="00B0306B"/>
    <w:rsid w:val="00B03088"/>
    <w:rsid w:val="00B03112"/>
    <w:rsid w:val="00B0313D"/>
    <w:rsid w:val="00B03192"/>
    <w:rsid w:val="00B031A6"/>
    <w:rsid w:val="00B031E0"/>
    <w:rsid w:val="00B03276"/>
    <w:rsid w:val="00B033A8"/>
    <w:rsid w:val="00B033B2"/>
    <w:rsid w:val="00B033E6"/>
    <w:rsid w:val="00B03421"/>
    <w:rsid w:val="00B03424"/>
    <w:rsid w:val="00B0344D"/>
    <w:rsid w:val="00B0345F"/>
    <w:rsid w:val="00B03479"/>
    <w:rsid w:val="00B034A2"/>
    <w:rsid w:val="00B0357E"/>
    <w:rsid w:val="00B035B7"/>
    <w:rsid w:val="00B03611"/>
    <w:rsid w:val="00B0364F"/>
    <w:rsid w:val="00B0376A"/>
    <w:rsid w:val="00B0378B"/>
    <w:rsid w:val="00B0379C"/>
    <w:rsid w:val="00B0382A"/>
    <w:rsid w:val="00B03837"/>
    <w:rsid w:val="00B038C9"/>
    <w:rsid w:val="00B038FE"/>
    <w:rsid w:val="00B0394B"/>
    <w:rsid w:val="00B0396F"/>
    <w:rsid w:val="00B03998"/>
    <w:rsid w:val="00B03A14"/>
    <w:rsid w:val="00B03A40"/>
    <w:rsid w:val="00B03A8D"/>
    <w:rsid w:val="00B03AF9"/>
    <w:rsid w:val="00B03B08"/>
    <w:rsid w:val="00B03B15"/>
    <w:rsid w:val="00B03B6A"/>
    <w:rsid w:val="00B03B6D"/>
    <w:rsid w:val="00B03B8D"/>
    <w:rsid w:val="00B03BAB"/>
    <w:rsid w:val="00B03BBC"/>
    <w:rsid w:val="00B03BC0"/>
    <w:rsid w:val="00B03BFF"/>
    <w:rsid w:val="00B03C39"/>
    <w:rsid w:val="00B03CA6"/>
    <w:rsid w:val="00B03D00"/>
    <w:rsid w:val="00B03D43"/>
    <w:rsid w:val="00B03D68"/>
    <w:rsid w:val="00B03D6F"/>
    <w:rsid w:val="00B03E34"/>
    <w:rsid w:val="00B03E69"/>
    <w:rsid w:val="00B03F0B"/>
    <w:rsid w:val="00B03F15"/>
    <w:rsid w:val="00B03F46"/>
    <w:rsid w:val="00B03F54"/>
    <w:rsid w:val="00B03F5E"/>
    <w:rsid w:val="00B03F87"/>
    <w:rsid w:val="00B03F88"/>
    <w:rsid w:val="00B03FDD"/>
    <w:rsid w:val="00B040B6"/>
    <w:rsid w:val="00B040D3"/>
    <w:rsid w:val="00B04121"/>
    <w:rsid w:val="00B0412E"/>
    <w:rsid w:val="00B04147"/>
    <w:rsid w:val="00B0425F"/>
    <w:rsid w:val="00B04299"/>
    <w:rsid w:val="00B042B2"/>
    <w:rsid w:val="00B042F3"/>
    <w:rsid w:val="00B04340"/>
    <w:rsid w:val="00B0434E"/>
    <w:rsid w:val="00B04381"/>
    <w:rsid w:val="00B043C4"/>
    <w:rsid w:val="00B04497"/>
    <w:rsid w:val="00B044DC"/>
    <w:rsid w:val="00B044E9"/>
    <w:rsid w:val="00B0450D"/>
    <w:rsid w:val="00B0452D"/>
    <w:rsid w:val="00B0453A"/>
    <w:rsid w:val="00B04541"/>
    <w:rsid w:val="00B04551"/>
    <w:rsid w:val="00B045C5"/>
    <w:rsid w:val="00B045C8"/>
    <w:rsid w:val="00B045E4"/>
    <w:rsid w:val="00B046A7"/>
    <w:rsid w:val="00B04745"/>
    <w:rsid w:val="00B0474A"/>
    <w:rsid w:val="00B0475A"/>
    <w:rsid w:val="00B04775"/>
    <w:rsid w:val="00B0479D"/>
    <w:rsid w:val="00B0479F"/>
    <w:rsid w:val="00B047C8"/>
    <w:rsid w:val="00B047D9"/>
    <w:rsid w:val="00B047DF"/>
    <w:rsid w:val="00B047F0"/>
    <w:rsid w:val="00B0481C"/>
    <w:rsid w:val="00B04887"/>
    <w:rsid w:val="00B048A1"/>
    <w:rsid w:val="00B048FD"/>
    <w:rsid w:val="00B04996"/>
    <w:rsid w:val="00B04997"/>
    <w:rsid w:val="00B049B1"/>
    <w:rsid w:val="00B049D6"/>
    <w:rsid w:val="00B04A1D"/>
    <w:rsid w:val="00B04A1E"/>
    <w:rsid w:val="00B04A3E"/>
    <w:rsid w:val="00B04A91"/>
    <w:rsid w:val="00B04AA5"/>
    <w:rsid w:val="00B04AED"/>
    <w:rsid w:val="00B04B23"/>
    <w:rsid w:val="00B04BF2"/>
    <w:rsid w:val="00B04C21"/>
    <w:rsid w:val="00B04C39"/>
    <w:rsid w:val="00B04C77"/>
    <w:rsid w:val="00B04C81"/>
    <w:rsid w:val="00B04D09"/>
    <w:rsid w:val="00B04D59"/>
    <w:rsid w:val="00B04D64"/>
    <w:rsid w:val="00B04D91"/>
    <w:rsid w:val="00B04EAB"/>
    <w:rsid w:val="00B04EE1"/>
    <w:rsid w:val="00B04F7A"/>
    <w:rsid w:val="00B04F90"/>
    <w:rsid w:val="00B04FA1"/>
    <w:rsid w:val="00B04FEA"/>
    <w:rsid w:val="00B05034"/>
    <w:rsid w:val="00B05067"/>
    <w:rsid w:val="00B050B0"/>
    <w:rsid w:val="00B050BE"/>
    <w:rsid w:val="00B050F0"/>
    <w:rsid w:val="00B05117"/>
    <w:rsid w:val="00B0512E"/>
    <w:rsid w:val="00B0514C"/>
    <w:rsid w:val="00B05172"/>
    <w:rsid w:val="00B0519B"/>
    <w:rsid w:val="00B051A2"/>
    <w:rsid w:val="00B051A3"/>
    <w:rsid w:val="00B051AB"/>
    <w:rsid w:val="00B051AC"/>
    <w:rsid w:val="00B0521A"/>
    <w:rsid w:val="00B05252"/>
    <w:rsid w:val="00B05263"/>
    <w:rsid w:val="00B052A4"/>
    <w:rsid w:val="00B052A5"/>
    <w:rsid w:val="00B052CA"/>
    <w:rsid w:val="00B052DD"/>
    <w:rsid w:val="00B052FD"/>
    <w:rsid w:val="00B05311"/>
    <w:rsid w:val="00B0532E"/>
    <w:rsid w:val="00B05357"/>
    <w:rsid w:val="00B0536A"/>
    <w:rsid w:val="00B0536F"/>
    <w:rsid w:val="00B0538D"/>
    <w:rsid w:val="00B0539F"/>
    <w:rsid w:val="00B05442"/>
    <w:rsid w:val="00B0545E"/>
    <w:rsid w:val="00B0547F"/>
    <w:rsid w:val="00B054B9"/>
    <w:rsid w:val="00B05512"/>
    <w:rsid w:val="00B05514"/>
    <w:rsid w:val="00B0551F"/>
    <w:rsid w:val="00B0553F"/>
    <w:rsid w:val="00B0554A"/>
    <w:rsid w:val="00B05581"/>
    <w:rsid w:val="00B055FE"/>
    <w:rsid w:val="00B05600"/>
    <w:rsid w:val="00B05602"/>
    <w:rsid w:val="00B05621"/>
    <w:rsid w:val="00B05622"/>
    <w:rsid w:val="00B05637"/>
    <w:rsid w:val="00B0564C"/>
    <w:rsid w:val="00B05694"/>
    <w:rsid w:val="00B056AF"/>
    <w:rsid w:val="00B0571F"/>
    <w:rsid w:val="00B05729"/>
    <w:rsid w:val="00B0573A"/>
    <w:rsid w:val="00B05766"/>
    <w:rsid w:val="00B0578C"/>
    <w:rsid w:val="00B05792"/>
    <w:rsid w:val="00B057AD"/>
    <w:rsid w:val="00B057D7"/>
    <w:rsid w:val="00B057FC"/>
    <w:rsid w:val="00B0581D"/>
    <w:rsid w:val="00B0581E"/>
    <w:rsid w:val="00B0584D"/>
    <w:rsid w:val="00B05864"/>
    <w:rsid w:val="00B058E3"/>
    <w:rsid w:val="00B0593E"/>
    <w:rsid w:val="00B05945"/>
    <w:rsid w:val="00B05948"/>
    <w:rsid w:val="00B0595C"/>
    <w:rsid w:val="00B05966"/>
    <w:rsid w:val="00B05A00"/>
    <w:rsid w:val="00B05A3E"/>
    <w:rsid w:val="00B05AB2"/>
    <w:rsid w:val="00B05AD0"/>
    <w:rsid w:val="00B05B36"/>
    <w:rsid w:val="00B05B47"/>
    <w:rsid w:val="00B05B4D"/>
    <w:rsid w:val="00B05B54"/>
    <w:rsid w:val="00B05B57"/>
    <w:rsid w:val="00B05B5A"/>
    <w:rsid w:val="00B05B8C"/>
    <w:rsid w:val="00B05BCC"/>
    <w:rsid w:val="00B05C06"/>
    <w:rsid w:val="00B05C41"/>
    <w:rsid w:val="00B05C47"/>
    <w:rsid w:val="00B05C71"/>
    <w:rsid w:val="00B05C92"/>
    <w:rsid w:val="00B05CA3"/>
    <w:rsid w:val="00B05CA9"/>
    <w:rsid w:val="00B05CCE"/>
    <w:rsid w:val="00B05CE6"/>
    <w:rsid w:val="00B05D24"/>
    <w:rsid w:val="00B05D35"/>
    <w:rsid w:val="00B05D48"/>
    <w:rsid w:val="00B05D55"/>
    <w:rsid w:val="00B05D98"/>
    <w:rsid w:val="00B05DAF"/>
    <w:rsid w:val="00B05DD4"/>
    <w:rsid w:val="00B05E26"/>
    <w:rsid w:val="00B05E3E"/>
    <w:rsid w:val="00B05E73"/>
    <w:rsid w:val="00B05E81"/>
    <w:rsid w:val="00B05F1A"/>
    <w:rsid w:val="00B05F1B"/>
    <w:rsid w:val="00B05F31"/>
    <w:rsid w:val="00B05F7B"/>
    <w:rsid w:val="00B05FA0"/>
    <w:rsid w:val="00B05FC5"/>
    <w:rsid w:val="00B05FE7"/>
    <w:rsid w:val="00B06030"/>
    <w:rsid w:val="00B06054"/>
    <w:rsid w:val="00B0609D"/>
    <w:rsid w:val="00B061E4"/>
    <w:rsid w:val="00B06200"/>
    <w:rsid w:val="00B0620A"/>
    <w:rsid w:val="00B062C9"/>
    <w:rsid w:val="00B062FF"/>
    <w:rsid w:val="00B06315"/>
    <w:rsid w:val="00B06336"/>
    <w:rsid w:val="00B0634A"/>
    <w:rsid w:val="00B06369"/>
    <w:rsid w:val="00B06370"/>
    <w:rsid w:val="00B063E1"/>
    <w:rsid w:val="00B063E7"/>
    <w:rsid w:val="00B06405"/>
    <w:rsid w:val="00B06408"/>
    <w:rsid w:val="00B06423"/>
    <w:rsid w:val="00B06425"/>
    <w:rsid w:val="00B06427"/>
    <w:rsid w:val="00B06452"/>
    <w:rsid w:val="00B06502"/>
    <w:rsid w:val="00B06521"/>
    <w:rsid w:val="00B065A6"/>
    <w:rsid w:val="00B06696"/>
    <w:rsid w:val="00B0669E"/>
    <w:rsid w:val="00B066D6"/>
    <w:rsid w:val="00B066F0"/>
    <w:rsid w:val="00B06700"/>
    <w:rsid w:val="00B0671A"/>
    <w:rsid w:val="00B0674E"/>
    <w:rsid w:val="00B067A6"/>
    <w:rsid w:val="00B0688A"/>
    <w:rsid w:val="00B0688E"/>
    <w:rsid w:val="00B068C2"/>
    <w:rsid w:val="00B06915"/>
    <w:rsid w:val="00B06941"/>
    <w:rsid w:val="00B069CD"/>
    <w:rsid w:val="00B06A22"/>
    <w:rsid w:val="00B06A41"/>
    <w:rsid w:val="00B06ADE"/>
    <w:rsid w:val="00B06AE8"/>
    <w:rsid w:val="00B06AF2"/>
    <w:rsid w:val="00B06AFF"/>
    <w:rsid w:val="00B06B27"/>
    <w:rsid w:val="00B06B4E"/>
    <w:rsid w:val="00B06B6F"/>
    <w:rsid w:val="00B06BAA"/>
    <w:rsid w:val="00B06BB5"/>
    <w:rsid w:val="00B06BB8"/>
    <w:rsid w:val="00B06BBB"/>
    <w:rsid w:val="00B06C17"/>
    <w:rsid w:val="00B06C55"/>
    <w:rsid w:val="00B06C79"/>
    <w:rsid w:val="00B06C8D"/>
    <w:rsid w:val="00B06D3A"/>
    <w:rsid w:val="00B06D5C"/>
    <w:rsid w:val="00B06D6E"/>
    <w:rsid w:val="00B06DD3"/>
    <w:rsid w:val="00B06E43"/>
    <w:rsid w:val="00B06E9A"/>
    <w:rsid w:val="00B06EEB"/>
    <w:rsid w:val="00B06EF2"/>
    <w:rsid w:val="00B06F25"/>
    <w:rsid w:val="00B06FC7"/>
    <w:rsid w:val="00B06FD4"/>
    <w:rsid w:val="00B07011"/>
    <w:rsid w:val="00B0707C"/>
    <w:rsid w:val="00B0708D"/>
    <w:rsid w:val="00B0710B"/>
    <w:rsid w:val="00B07180"/>
    <w:rsid w:val="00B071FA"/>
    <w:rsid w:val="00B07222"/>
    <w:rsid w:val="00B072A4"/>
    <w:rsid w:val="00B0734A"/>
    <w:rsid w:val="00B0736B"/>
    <w:rsid w:val="00B0739B"/>
    <w:rsid w:val="00B073E8"/>
    <w:rsid w:val="00B0744D"/>
    <w:rsid w:val="00B074E3"/>
    <w:rsid w:val="00B074FF"/>
    <w:rsid w:val="00B075BC"/>
    <w:rsid w:val="00B0761B"/>
    <w:rsid w:val="00B07673"/>
    <w:rsid w:val="00B0768C"/>
    <w:rsid w:val="00B07727"/>
    <w:rsid w:val="00B077E7"/>
    <w:rsid w:val="00B07808"/>
    <w:rsid w:val="00B07832"/>
    <w:rsid w:val="00B07861"/>
    <w:rsid w:val="00B0788B"/>
    <w:rsid w:val="00B07893"/>
    <w:rsid w:val="00B078AF"/>
    <w:rsid w:val="00B078CA"/>
    <w:rsid w:val="00B078D4"/>
    <w:rsid w:val="00B079A6"/>
    <w:rsid w:val="00B079B1"/>
    <w:rsid w:val="00B079F5"/>
    <w:rsid w:val="00B07A34"/>
    <w:rsid w:val="00B07A35"/>
    <w:rsid w:val="00B07A45"/>
    <w:rsid w:val="00B07A83"/>
    <w:rsid w:val="00B07ACF"/>
    <w:rsid w:val="00B07ADD"/>
    <w:rsid w:val="00B07AE7"/>
    <w:rsid w:val="00B07AF2"/>
    <w:rsid w:val="00B07B03"/>
    <w:rsid w:val="00B07B1D"/>
    <w:rsid w:val="00B07B2A"/>
    <w:rsid w:val="00B07B4C"/>
    <w:rsid w:val="00B07B6B"/>
    <w:rsid w:val="00B07B99"/>
    <w:rsid w:val="00B07BD4"/>
    <w:rsid w:val="00B07BD5"/>
    <w:rsid w:val="00B07BF3"/>
    <w:rsid w:val="00B07BF7"/>
    <w:rsid w:val="00B07C06"/>
    <w:rsid w:val="00B07C3D"/>
    <w:rsid w:val="00B07C4B"/>
    <w:rsid w:val="00B07C55"/>
    <w:rsid w:val="00B07CDD"/>
    <w:rsid w:val="00B07D1C"/>
    <w:rsid w:val="00B07D24"/>
    <w:rsid w:val="00B07D57"/>
    <w:rsid w:val="00B07DA3"/>
    <w:rsid w:val="00B07DC0"/>
    <w:rsid w:val="00B07E79"/>
    <w:rsid w:val="00B07E7D"/>
    <w:rsid w:val="00B07EBD"/>
    <w:rsid w:val="00B07F0D"/>
    <w:rsid w:val="00B07F25"/>
    <w:rsid w:val="00B07F2A"/>
    <w:rsid w:val="00B07F42"/>
    <w:rsid w:val="00B07F55"/>
    <w:rsid w:val="00B07F7E"/>
    <w:rsid w:val="00B07F8D"/>
    <w:rsid w:val="00B07F9D"/>
    <w:rsid w:val="00B07FAC"/>
    <w:rsid w:val="00B07FB1"/>
    <w:rsid w:val="00B1001D"/>
    <w:rsid w:val="00B1003C"/>
    <w:rsid w:val="00B1003F"/>
    <w:rsid w:val="00B10041"/>
    <w:rsid w:val="00B10080"/>
    <w:rsid w:val="00B100A0"/>
    <w:rsid w:val="00B100C6"/>
    <w:rsid w:val="00B10114"/>
    <w:rsid w:val="00B10135"/>
    <w:rsid w:val="00B10161"/>
    <w:rsid w:val="00B101E8"/>
    <w:rsid w:val="00B1021B"/>
    <w:rsid w:val="00B10256"/>
    <w:rsid w:val="00B102C3"/>
    <w:rsid w:val="00B102E8"/>
    <w:rsid w:val="00B102F7"/>
    <w:rsid w:val="00B102FA"/>
    <w:rsid w:val="00B1030F"/>
    <w:rsid w:val="00B10320"/>
    <w:rsid w:val="00B10399"/>
    <w:rsid w:val="00B103A6"/>
    <w:rsid w:val="00B103CD"/>
    <w:rsid w:val="00B10427"/>
    <w:rsid w:val="00B1047A"/>
    <w:rsid w:val="00B104A2"/>
    <w:rsid w:val="00B104A8"/>
    <w:rsid w:val="00B104D1"/>
    <w:rsid w:val="00B1051F"/>
    <w:rsid w:val="00B10525"/>
    <w:rsid w:val="00B10596"/>
    <w:rsid w:val="00B105A6"/>
    <w:rsid w:val="00B1063C"/>
    <w:rsid w:val="00B1064E"/>
    <w:rsid w:val="00B1069B"/>
    <w:rsid w:val="00B106A8"/>
    <w:rsid w:val="00B106F2"/>
    <w:rsid w:val="00B10723"/>
    <w:rsid w:val="00B1075A"/>
    <w:rsid w:val="00B10853"/>
    <w:rsid w:val="00B108D3"/>
    <w:rsid w:val="00B108D7"/>
    <w:rsid w:val="00B10924"/>
    <w:rsid w:val="00B1097C"/>
    <w:rsid w:val="00B1098B"/>
    <w:rsid w:val="00B109CE"/>
    <w:rsid w:val="00B109D1"/>
    <w:rsid w:val="00B109D2"/>
    <w:rsid w:val="00B109F5"/>
    <w:rsid w:val="00B10A18"/>
    <w:rsid w:val="00B10A32"/>
    <w:rsid w:val="00B10A7F"/>
    <w:rsid w:val="00B10ABC"/>
    <w:rsid w:val="00B10AE3"/>
    <w:rsid w:val="00B10B35"/>
    <w:rsid w:val="00B10B37"/>
    <w:rsid w:val="00B10B7A"/>
    <w:rsid w:val="00B10B81"/>
    <w:rsid w:val="00B10B9E"/>
    <w:rsid w:val="00B10BBF"/>
    <w:rsid w:val="00B10BCE"/>
    <w:rsid w:val="00B10BD9"/>
    <w:rsid w:val="00B10C66"/>
    <w:rsid w:val="00B10C99"/>
    <w:rsid w:val="00B10CA7"/>
    <w:rsid w:val="00B10D0B"/>
    <w:rsid w:val="00B10D14"/>
    <w:rsid w:val="00B10D1F"/>
    <w:rsid w:val="00B10D21"/>
    <w:rsid w:val="00B10D22"/>
    <w:rsid w:val="00B10D2D"/>
    <w:rsid w:val="00B10D36"/>
    <w:rsid w:val="00B10D42"/>
    <w:rsid w:val="00B10DC5"/>
    <w:rsid w:val="00B10DE8"/>
    <w:rsid w:val="00B10E30"/>
    <w:rsid w:val="00B10EA3"/>
    <w:rsid w:val="00B10F18"/>
    <w:rsid w:val="00B10F58"/>
    <w:rsid w:val="00B10F63"/>
    <w:rsid w:val="00B10F6A"/>
    <w:rsid w:val="00B10FB7"/>
    <w:rsid w:val="00B11017"/>
    <w:rsid w:val="00B11023"/>
    <w:rsid w:val="00B1106D"/>
    <w:rsid w:val="00B11071"/>
    <w:rsid w:val="00B1109B"/>
    <w:rsid w:val="00B110D4"/>
    <w:rsid w:val="00B11135"/>
    <w:rsid w:val="00B1117C"/>
    <w:rsid w:val="00B1118C"/>
    <w:rsid w:val="00B111A9"/>
    <w:rsid w:val="00B111C1"/>
    <w:rsid w:val="00B11213"/>
    <w:rsid w:val="00B1122C"/>
    <w:rsid w:val="00B1128D"/>
    <w:rsid w:val="00B11296"/>
    <w:rsid w:val="00B112A3"/>
    <w:rsid w:val="00B112BE"/>
    <w:rsid w:val="00B11325"/>
    <w:rsid w:val="00B11341"/>
    <w:rsid w:val="00B113DD"/>
    <w:rsid w:val="00B113F3"/>
    <w:rsid w:val="00B11427"/>
    <w:rsid w:val="00B11470"/>
    <w:rsid w:val="00B114C2"/>
    <w:rsid w:val="00B114DB"/>
    <w:rsid w:val="00B114E9"/>
    <w:rsid w:val="00B1155A"/>
    <w:rsid w:val="00B1155C"/>
    <w:rsid w:val="00B115A1"/>
    <w:rsid w:val="00B11603"/>
    <w:rsid w:val="00B11657"/>
    <w:rsid w:val="00B11672"/>
    <w:rsid w:val="00B1167E"/>
    <w:rsid w:val="00B116E3"/>
    <w:rsid w:val="00B11704"/>
    <w:rsid w:val="00B1171E"/>
    <w:rsid w:val="00B11763"/>
    <w:rsid w:val="00B11783"/>
    <w:rsid w:val="00B11799"/>
    <w:rsid w:val="00B117A4"/>
    <w:rsid w:val="00B117BA"/>
    <w:rsid w:val="00B11826"/>
    <w:rsid w:val="00B118B7"/>
    <w:rsid w:val="00B118E8"/>
    <w:rsid w:val="00B11900"/>
    <w:rsid w:val="00B1190D"/>
    <w:rsid w:val="00B1191F"/>
    <w:rsid w:val="00B1195F"/>
    <w:rsid w:val="00B11979"/>
    <w:rsid w:val="00B119B1"/>
    <w:rsid w:val="00B11A13"/>
    <w:rsid w:val="00B11A43"/>
    <w:rsid w:val="00B11A4D"/>
    <w:rsid w:val="00B11A4F"/>
    <w:rsid w:val="00B11AF2"/>
    <w:rsid w:val="00B11B33"/>
    <w:rsid w:val="00B11B99"/>
    <w:rsid w:val="00B11BA7"/>
    <w:rsid w:val="00B11BBE"/>
    <w:rsid w:val="00B11BFA"/>
    <w:rsid w:val="00B11C26"/>
    <w:rsid w:val="00B11C34"/>
    <w:rsid w:val="00B11C43"/>
    <w:rsid w:val="00B11C62"/>
    <w:rsid w:val="00B11C67"/>
    <w:rsid w:val="00B11C6D"/>
    <w:rsid w:val="00B11C8B"/>
    <w:rsid w:val="00B11C96"/>
    <w:rsid w:val="00B11C97"/>
    <w:rsid w:val="00B11C9A"/>
    <w:rsid w:val="00B11CB4"/>
    <w:rsid w:val="00B11CC8"/>
    <w:rsid w:val="00B11CEF"/>
    <w:rsid w:val="00B11CFA"/>
    <w:rsid w:val="00B11D19"/>
    <w:rsid w:val="00B11D58"/>
    <w:rsid w:val="00B11D89"/>
    <w:rsid w:val="00B11DA2"/>
    <w:rsid w:val="00B11E41"/>
    <w:rsid w:val="00B11E5E"/>
    <w:rsid w:val="00B11E8A"/>
    <w:rsid w:val="00B11E96"/>
    <w:rsid w:val="00B11E9E"/>
    <w:rsid w:val="00B11EAA"/>
    <w:rsid w:val="00B11EE0"/>
    <w:rsid w:val="00B11F03"/>
    <w:rsid w:val="00B12008"/>
    <w:rsid w:val="00B1200F"/>
    <w:rsid w:val="00B120D3"/>
    <w:rsid w:val="00B12108"/>
    <w:rsid w:val="00B12161"/>
    <w:rsid w:val="00B1218A"/>
    <w:rsid w:val="00B12259"/>
    <w:rsid w:val="00B12323"/>
    <w:rsid w:val="00B124E6"/>
    <w:rsid w:val="00B125B3"/>
    <w:rsid w:val="00B125C2"/>
    <w:rsid w:val="00B12600"/>
    <w:rsid w:val="00B12618"/>
    <w:rsid w:val="00B12653"/>
    <w:rsid w:val="00B12669"/>
    <w:rsid w:val="00B126AE"/>
    <w:rsid w:val="00B126BC"/>
    <w:rsid w:val="00B126F7"/>
    <w:rsid w:val="00B127C6"/>
    <w:rsid w:val="00B127E7"/>
    <w:rsid w:val="00B12806"/>
    <w:rsid w:val="00B12834"/>
    <w:rsid w:val="00B12839"/>
    <w:rsid w:val="00B12868"/>
    <w:rsid w:val="00B12874"/>
    <w:rsid w:val="00B1289E"/>
    <w:rsid w:val="00B128B9"/>
    <w:rsid w:val="00B1292B"/>
    <w:rsid w:val="00B12942"/>
    <w:rsid w:val="00B129BF"/>
    <w:rsid w:val="00B129F0"/>
    <w:rsid w:val="00B12A2D"/>
    <w:rsid w:val="00B12A3C"/>
    <w:rsid w:val="00B12A5C"/>
    <w:rsid w:val="00B12AB0"/>
    <w:rsid w:val="00B12B15"/>
    <w:rsid w:val="00B12B32"/>
    <w:rsid w:val="00B12B44"/>
    <w:rsid w:val="00B12B47"/>
    <w:rsid w:val="00B12B8F"/>
    <w:rsid w:val="00B12B98"/>
    <w:rsid w:val="00B12BBF"/>
    <w:rsid w:val="00B12BF2"/>
    <w:rsid w:val="00B12C02"/>
    <w:rsid w:val="00B12C29"/>
    <w:rsid w:val="00B12C4C"/>
    <w:rsid w:val="00B12C95"/>
    <w:rsid w:val="00B12CEB"/>
    <w:rsid w:val="00B12CFF"/>
    <w:rsid w:val="00B12D0D"/>
    <w:rsid w:val="00B12D38"/>
    <w:rsid w:val="00B12D40"/>
    <w:rsid w:val="00B12D6C"/>
    <w:rsid w:val="00B12DF0"/>
    <w:rsid w:val="00B12E03"/>
    <w:rsid w:val="00B12E44"/>
    <w:rsid w:val="00B12EBF"/>
    <w:rsid w:val="00B12ECD"/>
    <w:rsid w:val="00B12EFD"/>
    <w:rsid w:val="00B12F0F"/>
    <w:rsid w:val="00B12F6E"/>
    <w:rsid w:val="00B12FA3"/>
    <w:rsid w:val="00B12FA8"/>
    <w:rsid w:val="00B1306B"/>
    <w:rsid w:val="00B13175"/>
    <w:rsid w:val="00B1319B"/>
    <w:rsid w:val="00B131A2"/>
    <w:rsid w:val="00B131A3"/>
    <w:rsid w:val="00B131DC"/>
    <w:rsid w:val="00B131F2"/>
    <w:rsid w:val="00B132CE"/>
    <w:rsid w:val="00B132D1"/>
    <w:rsid w:val="00B132F4"/>
    <w:rsid w:val="00B13300"/>
    <w:rsid w:val="00B1330C"/>
    <w:rsid w:val="00B1330D"/>
    <w:rsid w:val="00B13311"/>
    <w:rsid w:val="00B13327"/>
    <w:rsid w:val="00B133B6"/>
    <w:rsid w:val="00B133B9"/>
    <w:rsid w:val="00B133E3"/>
    <w:rsid w:val="00B133F3"/>
    <w:rsid w:val="00B1343D"/>
    <w:rsid w:val="00B1345F"/>
    <w:rsid w:val="00B13483"/>
    <w:rsid w:val="00B13497"/>
    <w:rsid w:val="00B134A5"/>
    <w:rsid w:val="00B134CA"/>
    <w:rsid w:val="00B134D5"/>
    <w:rsid w:val="00B134E4"/>
    <w:rsid w:val="00B134E8"/>
    <w:rsid w:val="00B13501"/>
    <w:rsid w:val="00B13591"/>
    <w:rsid w:val="00B135E5"/>
    <w:rsid w:val="00B135F5"/>
    <w:rsid w:val="00B13613"/>
    <w:rsid w:val="00B1363C"/>
    <w:rsid w:val="00B13654"/>
    <w:rsid w:val="00B136DC"/>
    <w:rsid w:val="00B1374E"/>
    <w:rsid w:val="00B13760"/>
    <w:rsid w:val="00B137E5"/>
    <w:rsid w:val="00B13818"/>
    <w:rsid w:val="00B13822"/>
    <w:rsid w:val="00B13846"/>
    <w:rsid w:val="00B13849"/>
    <w:rsid w:val="00B13871"/>
    <w:rsid w:val="00B138B0"/>
    <w:rsid w:val="00B138C2"/>
    <w:rsid w:val="00B138CB"/>
    <w:rsid w:val="00B138D8"/>
    <w:rsid w:val="00B13944"/>
    <w:rsid w:val="00B1396F"/>
    <w:rsid w:val="00B13992"/>
    <w:rsid w:val="00B139CA"/>
    <w:rsid w:val="00B139D0"/>
    <w:rsid w:val="00B13A28"/>
    <w:rsid w:val="00B13AE1"/>
    <w:rsid w:val="00B13B68"/>
    <w:rsid w:val="00B13BA9"/>
    <w:rsid w:val="00B13C08"/>
    <w:rsid w:val="00B13C26"/>
    <w:rsid w:val="00B13C39"/>
    <w:rsid w:val="00B13C3D"/>
    <w:rsid w:val="00B13C98"/>
    <w:rsid w:val="00B13D32"/>
    <w:rsid w:val="00B13D35"/>
    <w:rsid w:val="00B13DC9"/>
    <w:rsid w:val="00B13E09"/>
    <w:rsid w:val="00B13E19"/>
    <w:rsid w:val="00B13E83"/>
    <w:rsid w:val="00B13E9E"/>
    <w:rsid w:val="00B13EA0"/>
    <w:rsid w:val="00B13EC3"/>
    <w:rsid w:val="00B13EF0"/>
    <w:rsid w:val="00B13F2A"/>
    <w:rsid w:val="00B13F36"/>
    <w:rsid w:val="00B13FCA"/>
    <w:rsid w:val="00B14036"/>
    <w:rsid w:val="00B14045"/>
    <w:rsid w:val="00B140E8"/>
    <w:rsid w:val="00B141AB"/>
    <w:rsid w:val="00B141E5"/>
    <w:rsid w:val="00B1420A"/>
    <w:rsid w:val="00B14218"/>
    <w:rsid w:val="00B14259"/>
    <w:rsid w:val="00B14264"/>
    <w:rsid w:val="00B142A6"/>
    <w:rsid w:val="00B142B1"/>
    <w:rsid w:val="00B1431B"/>
    <w:rsid w:val="00B14321"/>
    <w:rsid w:val="00B14364"/>
    <w:rsid w:val="00B14382"/>
    <w:rsid w:val="00B143C7"/>
    <w:rsid w:val="00B143E2"/>
    <w:rsid w:val="00B14426"/>
    <w:rsid w:val="00B1444E"/>
    <w:rsid w:val="00B144B8"/>
    <w:rsid w:val="00B144C2"/>
    <w:rsid w:val="00B14524"/>
    <w:rsid w:val="00B14529"/>
    <w:rsid w:val="00B1454C"/>
    <w:rsid w:val="00B14561"/>
    <w:rsid w:val="00B1459C"/>
    <w:rsid w:val="00B145F2"/>
    <w:rsid w:val="00B145FC"/>
    <w:rsid w:val="00B14603"/>
    <w:rsid w:val="00B14664"/>
    <w:rsid w:val="00B14686"/>
    <w:rsid w:val="00B146AC"/>
    <w:rsid w:val="00B146C0"/>
    <w:rsid w:val="00B1471B"/>
    <w:rsid w:val="00B14738"/>
    <w:rsid w:val="00B14761"/>
    <w:rsid w:val="00B14791"/>
    <w:rsid w:val="00B14898"/>
    <w:rsid w:val="00B1489C"/>
    <w:rsid w:val="00B14908"/>
    <w:rsid w:val="00B14934"/>
    <w:rsid w:val="00B14971"/>
    <w:rsid w:val="00B14975"/>
    <w:rsid w:val="00B14994"/>
    <w:rsid w:val="00B149C0"/>
    <w:rsid w:val="00B149D8"/>
    <w:rsid w:val="00B14A3B"/>
    <w:rsid w:val="00B14A5F"/>
    <w:rsid w:val="00B14B26"/>
    <w:rsid w:val="00B14B5A"/>
    <w:rsid w:val="00B14B6B"/>
    <w:rsid w:val="00B14BEF"/>
    <w:rsid w:val="00B14C9A"/>
    <w:rsid w:val="00B14CBA"/>
    <w:rsid w:val="00B14D45"/>
    <w:rsid w:val="00B14D5C"/>
    <w:rsid w:val="00B14D8E"/>
    <w:rsid w:val="00B14DA1"/>
    <w:rsid w:val="00B14DAF"/>
    <w:rsid w:val="00B14E11"/>
    <w:rsid w:val="00B14E13"/>
    <w:rsid w:val="00B14E7A"/>
    <w:rsid w:val="00B14E8C"/>
    <w:rsid w:val="00B14E8F"/>
    <w:rsid w:val="00B14E9F"/>
    <w:rsid w:val="00B14EDC"/>
    <w:rsid w:val="00B14F56"/>
    <w:rsid w:val="00B14F5B"/>
    <w:rsid w:val="00B14F85"/>
    <w:rsid w:val="00B14FC8"/>
    <w:rsid w:val="00B14FD7"/>
    <w:rsid w:val="00B15053"/>
    <w:rsid w:val="00B15071"/>
    <w:rsid w:val="00B15181"/>
    <w:rsid w:val="00B15261"/>
    <w:rsid w:val="00B15296"/>
    <w:rsid w:val="00B152A0"/>
    <w:rsid w:val="00B1534A"/>
    <w:rsid w:val="00B15364"/>
    <w:rsid w:val="00B15379"/>
    <w:rsid w:val="00B153EA"/>
    <w:rsid w:val="00B153F1"/>
    <w:rsid w:val="00B153FB"/>
    <w:rsid w:val="00B15489"/>
    <w:rsid w:val="00B1548A"/>
    <w:rsid w:val="00B1555D"/>
    <w:rsid w:val="00B15561"/>
    <w:rsid w:val="00B155BE"/>
    <w:rsid w:val="00B155E2"/>
    <w:rsid w:val="00B155EF"/>
    <w:rsid w:val="00B15612"/>
    <w:rsid w:val="00B15614"/>
    <w:rsid w:val="00B15649"/>
    <w:rsid w:val="00B15682"/>
    <w:rsid w:val="00B15713"/>
    <w:rsid w:val="00B1572E"/>
    <w:rsid w:val="00B15752"/>
    <w:rsid w:val="00B157A2"/>
    <w:rsid w:val="00B157FB"/>
    <w:rsid w:val="00B15816"/>
    <w:rsid w:val="00B1590C"/>
    <w:rsid w:val="00B15934"/>
    <w:rsid w:val="00B1593D"/>
    <w:rsid w:val="00B15989"/>
    <w:rsid w:val="00B159B9"/>
    <w:rsid w:val="00B159C2"/>
    <w:rsid w:val="00B159EF"/>
    <w:rsid w:val="00B15A82"/>
    <w:rsid w:val="00B15A8B"/>
    <w:rsid w:val="00B15A96"/>
    <w:rsid w:val="00B15AA9"/>
    <w:rsid w:val="00B15AC8"/>
    <w:rsid w:val="00B15AD4"/>
    <w:rsid w:val="00B15B66"/>
    <w:rsid w:val="00B15BD8"/>
    <w:rsid w:val="00B15C41"/>
    <w:rsid w:val="00B15C8A"/>
    <w:rsid w:val="00B15D0B"/>
    <w:rsid w:val="00B15D24"/>
    <w:rsid w:val="00B15D2C"/>
    <w:rsid w:val="00B15D5C"/>
    <w:rsid w:val="00B15D85"/>
    <w:rsid w:val="00B15DCC"/>
    <w:rsid w:val="00B15E10"/>
    <w:rsid w:val="00B15E48"/>
    <w:rsid w:val="00B15E91"/>
    <w:rsid w:val="00B15EDA"/>
    <w:rsid w:val="00B15F88"/>
    <w:rsid w:val="00B15FFD"/>
    <w:rsid w:val="00B16005"/>
    <w:rsid w:val="00B16024"/>
    <w:rsid w:val="00B160C0"/>
    <w:rsid w:val="00B160EB"/>
    <w:rsid w:val="00B1613A"/>
    <w:rsid w:val="00B16166"/>
    <w:rsid w:val="00B16194"/>
    <w:rsid w:val="00B161EB"/>
    <w:rsid w:val="00B161EC"/>
    <w:rsid w:val="00B16204"/>
    <w:rsid w:val="00B1620C"/>
    <w:rsid w:val="00B1621F"/>
    <w:rsid w:val="00B1625F"/>
    <w:rsid w:val="00B162FF"/>
    <w:rsid w:val="00B16344"/>
    <w:rsid w:val="00B1644A"/>
    <w:rsid w:val="00B16463"/>
    <w:rsid w:val="00B16467"/>
    <w:rsid w:val="00B16495"/>
    <w:rsid w:val="00B164AA"/>
    <w:rsid w:val="00B164D0"/>
    <w:rsid w:val="00B16555"/>
    <w:rsid w:val="00B165BF"/>
    <w:rsid w:val="00B165F1"/>
    <w:rsid w:val="00B165F9"/>
    <w:rsid w:val="00B16622"/>
    <w:rsid w:val="00B1667B"/>
    <w:rsid w:val="00B1667E"/>
    <w:rsid w:val="00B1668A"/>
    <w:rsid w:val="00B16709"/>
    <w:rsid w:val="00B16751"/>
    <w:rsid w:val="00B16778"/>
    <w:rsid w:val="00B16779"/>
    <w:rsid w:val="00B167F1"/>
    <w:rsid w:val="00B167F3"/>
    <w:rsid w:val="00B16833"/>
    <w:rsid w:val="00B1688C"/>
    <w:rsid w:val="00B16892"/>
    <w:rsid w:val="00B168E5"/>
    <w:rsid w:val="00B16903"/>
    <w:rsid w:val="00B16914"/>
    <w:rsid w:val="00B16989"/>
    <w:rsid w:val="00B169D8"/>
    <w:rsid w:val="00B16A21"/>
    <w:rsid w:val="00B16A53"/>
    <w:rsid w:val="00B16A55"/>
    <w:rsid w:val="00B16B1A"/>
    <w:rsid w:val="00B16B37"/>
    <w:rsid w:val="00B16BC1"/>
    <w:rsid w:val="00B16BDD"/>
    <w:rsid w:val="00B16C59"/>
    <w:rsid w:val="00B16C9E"/>
    <w:rsid w:val="00B16CE0"/>
    <w:rsid w:val="00B16E23"/>
    <w:rsid w:val="00B16E63"/>
    <w:rsid w:val="00B16E8D"/>
    <w:rsid w:val="00B16F0F"/>
    <w:rsid w:val="00B16F29"/>
    <w:rsid w:val="00B16F74"/>
    <w:rsid w:val="00B16F7B"/>
    <w:rsid w:val="00B16FD7"/>
    <w:rsid w:val="00B1700D"/>
    <w:rsid w:val="00B17017"/>
    <w:rsid w:val="00B17052"/>
    <w:rsid w:val="00B17063"/>
    <w:rsid w:val="00B17064"/>
    <w:rsid w:val="00B17082"/>
    <w:rsid w:val="00B170C9"/>
    <w:rsid w:val="00B17111"/>
    <w:rsid w:val="00B17168"/>
    <w:rsid w:val="00B171A6"/>
    <w:rsid w:val="00B17240"/>
    <w:rsid w:val="00B17289"/>
    <w:rsid w:val="00B172B1"/>
    <w:rsid w:val="00B172B8"/>
    <w:rsid w:val="00B172F8"/>
    <w:rsid w:val="00B173A7"/>
    <w:rsid w:val="00B173F8"/>
    <w:rsid w:val="00B1740D"/>
    <w:rsid w:val="00B1741F"/>
    <w:rsid w:val="00B17463"/>
    <w:rsid w:val="00B17466"/>
    <w:rsid w:val="00B1748F"/>
    <w:rsid w:val="00B174A8"/>
    <w:rsid w:val="00B174E6"/>
    <w:rsid w:val="00B17528"/>
    <w:rsid w:val="00B17548"/>
    <w:rsid w:val="00B1754F"/>
    <w:rsid w:val="00B17576"/>
    <w:rsid w:val="00B175B4"/>
    <w:rsid w:val="00B175CB"/>
    <w:rsid w:val="00B17650"/>
    <w:rsid w:val="00B17664"/>
    <w:rsid w:val="00B176B8"/>
    <w:rsid w:val="00B176FA"/>
    <w:rsid w:val="00B17723"/>
    <w:rsid w:val="00B17737"/>
    <w:rsid w:val="00B17788"/>
    <w:rsid w:val="00B177BD"/>
    <w:rsid w:val="00B177CD"/>
    <w:rsid w:val="00B177E9"/>
    <w:rsid w:val="00B177FA"/>
    <w:rsid w:val="00B17805"/>
    <w:rsid w:val="00B17809"/>
    <w:rsid w:val="00B1781E"/>
    <w:rsid w:val="00B178D4"/>
    <w:rsid w:val="00B1790E"/>
    <w:rsid w:val="00B17925"/>
    <w:rsid w:val="00B1794F"/>
    <w:rsid w:val="00B17954"/>
    <w:rsid w:val="00B179E8"/>
    <w:rsid w:val="00B17A01"/>
    <w:rsid w:val="00B17A41"/>
    <w:rsid w:val="00B17A8D"/>
    <w:rsid w:val="00B17B08"/>
    <w:rsid w:val="00B17B31"/>
    <w:rsid w:val="00B17B35"/>
    <w:rsid w:val="00B17B3F"/>
    <w:rsid w:val="00B17C1A"/>
    <w:rsid w:val="00B17C1D"/>
    <w:rsid w:val="00B17C2A"/>
    <w:rsid w:val="00B17C44"/>
    <w:rsid w:val="00B17C5A"/>
    <w:rsid w:val="00B17C72"/>
    <w:rsid w:val="00B17CC6"/>
    <w:rsid w:val="00B17CEB"/>
    <w:rsid w:val="00B17CF4"/>
    <w:rsid w:val="00B17D05"/>
    <w:rsid w:val="00B17D60"/>
    <w:rsid w:val="00B17D6B"/>
    <w:rsid w:val="00B17D9B"/>
    <w:rsid w:val="00B17DB6"/>
    <w:rsid w:val="00B17E19"/>
    <w:rsid w:val="00B17E2F"/>
    <w:rsid w:val="00B17E57"/>
    <w:rsid w:val="00B17EAE"/>
    <w:rsid w:val="00B17EEE"/>
    <w:rsid w:val="00B17F84"/>
    <w:rsid w:val="00B17F89"/>
    <w:rsid w:val="00B17F96"/>
    <w:rsid w:val="00B17FC1"/>
    <w:rsid w:val="00B17FDA"/>
    <w:rsid w:val="00B2000E"/>
    <w:rsid w:val="00B2001F"/>
    <w:rsid w:val="00B200AB"/>
    <w:rsid w:val="00B2010A"/>
    <w:rsid w:val="00B2014D"/>
    <w:rsid w:val="00B2015D"/>
    <w:rsid w:val="00B201B2"/>
    <w:rsid w:val="00B2027A"/>
    <w:rsid w:val="00B20291"/>
    <w:rsid w:val="00B202F6"/>
    <w:rsid w:val="00B2039F"/>
    <w:rsid w:val="00B203AA"/>
    <w:rsid w:val="00B203C4"/>
    <w:rsid w:val="00B203DF"/>
    <w:rsid w:val="00B203E1"/>
    <w:rsid w:val="00B2043F"/>
    <w:rsid w:val="00B204DF"/>
    <w:rsid w:val="00B2051D"/>
    <w:rsid w:val="00B2057A"/>
    <w:rsid w:val="00B20589"/>
    <w:rsid w:val="00B2058B"/>
    <w:rsid w:val="00B205BD"/>
    <w:rsid w:val="00B205BE"/>
    <w:rsid w:val="00B205CE"/>
    <w:rsid w:val="00B205E7"/>
    <w:rsid w:val="00B20664"/>
    <w:rsid w:val="00B2066B"/>
    <w:rsid w:val="00B20696"/>
    <w:rsid w:val="00B206BD"/>
    <w:rsid w:val="00B20741"/>
    <w:rsid w:val="00B2078D"/>
    <w:rsid w:val="00B207F7"/>
    <w:rsid w:val="00B20882"/>
    <w:rsid w:val="00B2089E"/>
    <w:rsid w:val="00B208D9"/>
    <w:rsid w:val="00B20985"/>
    <w:rsid w:val="00B20A0C"/>
    <w:rsid w:val="00B20A1A"/>
    <w:rsid w:val="00B20A2E"/>
    <w:rsid w:val="00B20A30"/>
    <w:rsid w:val="00B20A40"/>
    <w:rsid w:val="00B20A7B"/>
    <w:rsid w:val="00B20AE5"/>
    <w:rsid w:val="00B20AFD"/>
    <w:rsid w:val="00B20B09"/>
    <w:rsid w:val="00B20B0B"/>
    <w:rsid w:val="00B20B0F"/>
    <w:rsid w:val="00B20B2C"/>
    <w:rsid w:val="00B20BAE"/>
    <w:rsid w:val="00B20BBA"/>
    <w:rsid w:val="00B20BD9"/>
    <w:rsid w:val="00B20BE1"/>
    <w:rsid w:val="00B20BE5"/>
    <w:rsid w:val="00B20BFC"/>
    <w:rsid w:val="00B20BFF"/>
    <w:rsid w:val="00B20C1C"/>
    <w:rsid w:val="00B20C7F"/>
    <w:rsid w:val="00B20C94"/>
    <w:rsid w:val="00B20C9E"/>
    <w:rsid w:val="00B20C9F"/>
    <w:rsid w:val="00B20DCA"/>
    <w:rsid w:val="00B20E8E"/>
    <w:rsid w:val="00B20EB5"/>
    <w:rsid w:val="00B20EC5"/>
    <w:rsid w:val="00B20ED8"/>
    <w:rsid w:val="00B20EDF"/>
    <w:rsid w:val="00B20F20"/>
    <w:rsid w:val="00B20F24"/>
    <w:rsid w:val="00B210AA"/>
    <w:rsid w:val="00B21190"/>
    <w:rsid w:val="00B211C2"/>
    <w:rsid w:val="00B211DA"/>
    <w:rsid w:val="00B21242"/>
    <w:rsid w:val="00B21262"/>
    <w:rsid w:val="00B2126E"/>
    <w:rsid w:val="00B21291"/>
    <w:rsid w:val="00B212FF"/>
    <w:rsid w:val="00B2131D"/>
    <w:rsid w:val="00B2137C"/>
    <w:rsid w:val="00B213A5"/>
    <w:rsid w:val="00B213C8"/>
    <w:rsid w:val="00B21421"/>
    <w:rsid w:val="00B2144B"/>
    <w:rsid w:val="00B21477"/>
    <w:rsid w:val="00B214C1"/>
    <w:rsid w:val="00B214DD"/>
    <w:rsid w:val="00B2150B"/>
    <w:rsid w:val="00B2152F"/>
    <w:rsid w:val="00B2153C"/>
    <w:rsid w:val="00B21540"/>
    <w:rsid w:val="00B21582"/>
    <w:rsid w:val="00B2159E"/>
    <w:rsid w:val="00B215D4"/>
    <w:rsid w:val="00B215F8"/>
    <w:rsid w:val="00B21617"/>
    <w:rsid w:val="00B21634"/>
    <w:rsid w:val="00B21656"/>
    <w:rsid w:val="00B21666"/>
    <w:rsid w:val="00B2167A"/>
    <w:rsid w:val="00B216C6"/>
    <w:rsid w:val="00B21739"/>
    <w:rsid w:val="00B21771"/>
    <w:rsid w:val="00B21773"/>
    <w:rsid w:val="00B21793"/>
    <w:rsid w:val="00B217A9"/>
    <w:rsid w:val="00B217DA"/>
    <w:rsid w:val="00B21805"/>
    <w:rsid w:val="00B2184F"/>
    <w:rsid w:val="00B21895"/>
    <w:rsid w:val="00B218AA"/>
    <w:rsid w:val="00B2190D"/>
    <w:rsid w:val="00B2191E"/>
    <w:rsid w:val="00B21A1F"/>
    <w:rsid w:val="00B21A4C"/>
    <w:rsid w:val="00B21A9D"/>
    <w:rsid w:val="00B21AAE"/>
    <w:rsid w:val="00B21AB4"/>
    <w:rsid w:val="00B21AC1"/>
    <w:rsid w:val="00B21AE6"/>
    <w:rsid w:val="00B21BDF"/>
    <w:rsid w:val="00B21BED"/>
    <w:rsid w:val="00B21C0E"/>
    <w:rsid w:val="00B21C30"/>
    <w:rsid w:val="00B21C5E"/>
    <w:rsid w:val="00B21C5F"/>
    <w:rsid w:val="00B21CC4"/>
    <w:rsid w:val="00B21CC7"/>
    <w:rsid w:val="00B21CD6"/>
    <w:rsid w:val="00B21D5B"/>
    <w:rsid w:val="00B21D84"/>
    <w:rsid w:val="00B21DE5"/>
    <w:rsid w:val="00B21EA0"/>
    <w:rsid w:val="00B21EBA"/>
    <w:rsid w:val="00B21EE0"/>
    <w:rsid w:val="00B21F2F"/>
    <w:rsid w:val="00B21F44"/>
    <w:rsid w:val="00B21F4C"/>
    <w:rsid w:val="00B21F62"/>
    <w:rsid w:val="00B21F7C"/>
    <w:rsid w:val="00B21FC5"/>
    <w:rsid w:val="00B21FDD"/>
    <w:rsid w:val="00B22060"/>
    <w:rsid w:val="00B22130"/>
    <w:rsid w:val="00B22139"/>
    <w:rsid w:val="00B22166"/>
    <w:rsid w:val="00B22180"/>
    <w:rsid w:val="00B221AF"/>
    <w:rsid w:val="00B22253"/>
    <w:rsid w:val="00B22254"/>
    <w:rsid w:val="00B22259"/>
    <w:rsid w:val="00B2226C"/>
    <w:rsid w:val="00B2233A"/>
    <w:rsid w:val="00B2237F"/>
    <w:rsid w:val="00B223C6"/>
    <w:rsid w:val="00B22553"/>
    <w:rsid w:val="00B225D2"/>
    <w:rsid w:val="00B225D9"/>
    <w:rsid w:val="00B225DD"/>
    <w:rsid w:val="00B2271D"/>
    <w:rsid w:val="00B22739"/>
    <w:rsid w:val="00B22743"/>
    <w:rsid w:val="00B22775"/>
    <w:rsid w:val="00B227A6"/>
    <w:rsid w:val="00B227B8"/>
    <w:rsid w:val="00B2283B"/>
    <w:rsid w:val="00B22866"/>
    <w:rsid w:val="00B2288C"/>
    <w:rsid w:val="00B228C1"/>
    <w:rsid w:val="00B228E8"/>
    <w:rsid w:val="00B228EC"/>
    <w:rsid w:val="00B2293F"/>
    <w:rsid w:val="00B229A0"/>
    <w:rsid w:val="00B229B2"/>
    <w:rsid w:val="00B229D2"/>
    <w:rsid w:val="00B22A09"/>
    <w:rsid w:val="00B22A21"/>
    <w:rsid w:val="00B22A36"/>
    <w:rsid w:val="00B22A94"/>
    <w:rsid w:val="00B22ABA"/>
    <w:rsid w:val="00B22AC1"/>
    <w:rsid w:val="00B22AC4"/>
    <w:rsid w:val="00B22AE5"/>
    <w:rsid w:val="00B22B3C"/>
    <w:rsid w:val="00B22B90"/>
    <w:rsid w:val="00B22B97"/>
    <w:rsid w:val="00B22BC5"/>
    <w:rsid w:val="00B22C02"/>
    <w:rsid w:val="00B22C06"/>
    <w:rsid w:val="00B22C43"/>
    <w:rsid w:val="00B22C55"/>
    <w:rsid w:val="00B22CCB"/>
    <w:rsid w:val="00B22CEC"/>
    <w:rsid w:val="00B22D13"/>
    <w:rsid w:val="00B22D50"/>
    <w:rsid w:val="00B22D61"/>
    <w:rsid w:val="00B22DD4"/>
    <w:rsid w:val="00B22E9D"/>
    <w:rsid w:val="00B22EE6"/>
    <w:rsid w:val="00B22EF9"/>
    <w:rsid w:val="00B22F28"/>
    <w:rsid w:val="00B22F42"/>
    <w:rsid w:val="00B22FA0"/>
    <w:rsid w:val="00B22FA2"/>
    <w:rsid w:val="00B23045"/>
    <w:rsid w:val="00B23070"/>
    <w:rsid w:val="00B230A4"/>
    <w:rsid w:val="00B230D9"/>
    <w:rsid w:val="00B23130"/>
    <w:rsid w:val="00B2315A"/>
    <w:rsid w:val="00B23188"/>
    <w:rsid w:val="00B231B6"/>
    <w:rsid w:val="00B231CE"/>
    <w:rsid w:val="00B23243"/>
    <w:rsid w:val="00B232E2"/>
    <w:rsid w:val="00B232E4"/>
    <w:rsid w:val="00B233AF"/>
    <w:rsid w:val="00B233B1"/>
    <w:rsid w:val="00B23409"/>
    <w:rsid w:val="00B23418"/>
    <w:rsid w:val="00B2347C"/>
    <w:rsid w:val="00B234A1"/>
    <w:rsid w:val="00B234E9"/>
    <w:rsid w:val="00B23502"/>
    <w:rsid w:val="00B23566"/>
    <w:rsid w:val="00B235D9"/>
    <w:rsid w:val="00B23680"/>
    <w:rsid w:val="00B236BE"/>
    <w:rsid w:val="00B236C8"/>
    <w:rsid w:val="00B236CE"/>
    <w:rsid w:val="00B236E1"/>
    <w:rsid w:val="00B23712"/>
    <w:rsid w:val="00B23727"/>
    <w:rsid w:val="00B2373C"/>
    <w:rsid w:val="00B23807"/>
    <w:rsid w:val="00B2380D"/>
    <w:rsid w:val="00B2384C"/>
    <w:rsid w:val="00B23860"/>
    <w:rsid w:val="00B238B6"/>
    <w:rsid w:val="00B238CF"/>
    <w:rsid w:val="00B23907"/>
    <w:rsid w:val="00B2391C"/>
    <w:rsid w:val="00B23925"/>
    <w:rsid w:val="00B23956"/>
    <w:rsid w:val="00B2399C"/>
    <w:rsid w:val="00B239D9"/>
    <w:rsid w:val="00B239FA"/>
    <w:rsid w:val="00B239FE"/>
    <w:rsid w:val="00B23A1D"/>
    <w:rsid w:val="00B23A26"/>
    <w:rsid w:val="00B23A80"/>
    <w:rsid w:val="00B23AE5"/>
    <w:rsid w:val="00B23AF2"/>
    <w:rsid w:val="00B23B4C"/>
    <w:rsid w:val="00B23B9B"/>
    <w:rsid w:val="00B23BA8"/>
    <w:rsid w:val="00B23BB7"/>
    <w:rsid w:val="00B23BD3"/>
    <w:rsid w:val="00B23BDF"/>
    <w:rsid w:val="00B23BFF"/>
    <w:rsid w:val="00B23C17"/>
    <w:rsid w:val="00B23C58"/>
    <w:rsid w:val="00B23C82"/>
    <w:rsid w:val="00B23CEE"/>
    <w:rsid w:val="00B23D0B"/>
    <w:rsid w:val="00B23D10"/>
    <w:rsid w:val="00B23D44"/>
    <w:rsid w:val="00B23D4F"/>
    <w:rsid w:val="00B23D6B"/>
    <w:rsid w:val="00B23D77"/>
    <w:rsid w:val="00B23D7A"/>
    <w:rsid w:val="00B23DB2"/>
    <w:rsid w:val="00B23DEA"/>
    <w:rsid w:val="00B23E00"/>
    <w:rsid w:val="00B23E18"/>
    <w:rsid w:val="00B23E7B"/>
    <w:rsid w:val="00B23F2D"/>
    <w:rsid w:val="00B23F42"/>
    <w:rsid w:val="00B23F9F"/>
    <w:rsid w:val="00B23FE5"/>
    <w:rsid w:val="00B2401F"/>
    <w:rsid w:val="00B24038"/>
    <w:rsid w:val="00B2409F"/>
    <w:rsid w:val="00B240BB"/>
    <w:rsid w:val="00B240ED"/>
    <w:rsid w:val="00B2418D"/>
    <w:rsid w:val="00B241D1"/>
    <w:rsid w:val="00B241DA"/>
    <w:rsid w:val="00B241FE"/>
    <w:rsid w:val="00B24217"/>
    <w:rsid w:val="00B24225"/>
    <w:rsid w:val="00B24246"/>
    <w:rsid w:val="00B24250"/>
    <w:rsid w:val="00B24272"/>
    <w:rsid w:val="00B242A2"/>
    <w:rsid w:val="00B242EA"/>
    <w:rsid w:val="00B24348"/>
    <w:rsid w:val="00B243AD"/>
    <w:rsid w:val="00B243B3"/>
    <w:rsid w:val="00B243C0"/>
    <w:rsid w:val="00B24411"/>
    <w:rsid w:val="00B2441A"/>
    <w:rsid w:val="00B2443A"/>
    <w:rsid w:val="00B24445"/>
    <w:rsid w:val="00B24451"/>
    <w:rsid w:val="00B24460"/>
    <w:rsid w:val="00B244AD"/>
    <w:rsid w:val="00B244CB"/>
    <w:rsid w:val="00B244D1"/>
    <w:rsid w:val="00B2460C"/>
    <w:rsid w:val="00B2463D"/>
    <w:rsid w:val="00B2464E"/>
    <w:rsid w:val="00B2465B"/>
    <w:rsid w:val="00B246B4"/>
    <w:rsid w:val="00B246CB"/>
    <w:rsid w:val="00B2471E"/>
    <w:rsid w:val="00B24728"/>
    <w:rsid w:val="00B24743"/>
    <w:rsid w:val="00B247A6"/>
    <w:rsid w:val="00B247A9"/>
    <w:rsid w:val="00B247AF"/>
    <w:rsid w:val="00B247CB"/>
    <w:rsid w:val="00B247E1"/>
    <w:rsid w:val="00B24820"/>
    <w:rsid w:val="00B2486A"/>
    <w:rsid w:val="00B248C4"/>
    <w:rsid w:val="00B248D4"/>
    <w:rsid w:val="00B248F1"/>
    <w:rsid w:val="00B248F3"/>
    <w:rsid w:val="00B248FC"/>
    <w:rsid w:val="00B249A3"/>
    <w:rsid w:val="00B24A08"/>
    <w:rsid w:val="00B24A1F"/>
    <w:rsid w:val="00B24A4E"/>
    <w:rsid w:val="00B24A7F"/>
    <w:rsid w:val="00B24AB7"/>
    <w:rsid w:val="00B24B01"/>
    <w:rsid w:val="00B24B06"/>
    <w:rsid w:val="00B24BDA"/>
    <w:rsid w:val="00B24BF1"/>
    <w:rsid w:val="00B24C36"/>
    <w:rsid w:val="00B24C9C"/>
    <w:rsid w:val="00B24CB2"/>
    <w:rsid w:val="00B24CB8"/>
    <w:rsid w:val="00B24D20"/>
    <w:rsid w:val="00B24D7C"/>
    <w:rsid w:val="00B24DB0"/>
    <w:rsid w:val="00B24DD3"/>
    <w:rsid w:val="00B24DF0"/>
    <w:rsid w:val="00B24DF3"/>
    <w:rsid w:val="00B24DF4"/>
    <w:rsid w:val="00B24E03"/>
    <w:rsid w:val="00B24E05"/>
    <w:rsid w:val="00B24E47"/>
    <w:rsid w:val="00B24E5B"/>
    <w:rsid w:val="00B24EEC"/>
    <w:rsid w:val="00B24F18"/>
    <w:rsid w:val="00B24F25"/>
    <w:rsid w:val="00B24F38"/>
    <w:rsid w:val="00B24F8A"/>
    <w:rsid w:val="00B24FB5"/>
    <w:rsid w:val="00B24FEA"/>
    <w:rsid w:val="00B2508D"/>
    <w:rsid w:val="00B250AB"/>
    <w:rsid w:val="00B250E9"/>
    <w:rsid w:val="00B250F3"/>
    <w:rsid w:val="00B25113"/>
    <w:rsid w:val="00B25130"/>
    <w:rsid w:val="00B25139"/>
    <w:rsid w:val="00B2515C"/>
    <w:rsid w:val="00B251A6"/>
    <w:rsid w:val="00B251DE"/>
    <w:rsid w:val="00B2520F"/>
    <w:rsid w:val="00B25215"/>
    <w:rsid w:val="00B2523A"/>
    <w:rsid w:val="00B2524C"/>
    <w:rsid w:val="00B25258"/>
    <w:rsid w:val="00B252C4"/>
    <w:rsid w:val="00B25305"/>
    <w:rsid w:val="00B2531D"/>
    <w:rsid w:val="00B2533A"/>
    <w:rsid w:val="00B2535C"/>
    <w:rsid w:val="00B253AC"/>
    <w:rsid w:val="00B25400"/>
    <w:rsid w:val="00B2540B"/>
    <w:rsid w:val="00B25421"/>
    <w:rsid w:val="00B25461"/>
    <w:rsid w:val="00B254B6"/>
    <w:rsid w:val="00B254CF"/>
    <w:rsid w:val="00B254D8"/>
    <w:rsid w:val="00B25571"/>
    <w:rsid w:val="00B25572"/>
    <w:rsid w:val="00B255DE"/>
    <w:rsid w:val="00B2566B"/>
    <w:rsid w:val="00B256AE"/>
    <w:rsid w:val="00B256CE"/>
    <w:rsid w:val="00B256D6"/>
    <w:rsid w:val="00B25741"/>
    <w:rsid w:val="00B2579B"/>
    <w:rsid w:val="00B257DD"/>
    <w:rsid w:val="00B257F8"/>
    <w:rsid w:val="00B258A7"/>
    <w:rsid w:val="00B258D2"/>
    <w:rsid w:val="00B2590D"/>
    <w:rsid w:val="00B25918"/>
    <w:rsid w:val="00B2598F"/>
    <w:rsid w:val="00B25A10"/>
    <w:rsid w:val="00B25A31"/>
    <w:rsid w:val="00B25A39"/>
    <w:rsid w:val="00B25A54"/>
    <w:rsid w:val="00B25A8E"/>
    <w:rsid w:val="00B25A96"/>
    <w:rsid w:val="00B25AB0"/>
    <w:rsid w:val="00B25ACA"/>
    <w:rsid w:val="00B25AD1"/>
    <w:rsid w:val="00B25AD8"/>
    <w:rsid w:val="00B25AE4"/>
    <w:rsid w:val="00B25AF1"/>
    <w:rsid w:val="00B25AFC"/>
    <w:rsid w:val="00B25B1C"/>
    <w:rsid w:val="00B25B41"/>
    <w:rsid w:val="00B25B70"/>
    <w:rsid w:val="00B25B90"/>
    <w:rsid w:val="00B25C15"/>
    <w:rsid w:val="00B25C72"/>
    <w:rsid w:val="00B25C94"/>
    <w:rsid w:val="00B25CE1"/>
    <w:rsid w:val="00B25CEB"/>
    <w:rsid w:val="00B25CF0"/>
    <w:rsid w:val="00B25CF9"/>
    <w:rsid w:val="00B25D03"/>
    <w:rsid w:val="00B25D25"/>
    <w:rsid w:val="00B25D45"/>
    <w:rsid w:val="00B25D68"/>
    <w:rsid w:val="00B25D75"/>
    <w:rsid w:val="00B25D92"/>
    <w:rsid w:val="00B25D96"/>
    <w:rsid w:val="00B25DA1"/>
    <w:rsid w:val="00B25EC8"/>
    <w:rsid w:val="00B25ED3"/>
    <w:rsid w:val="00B25F10"/>
    <w:rsid w:val="00B25F44"/>
    <w:rsid w:val="00B25FBE"/>
    <w:rsid w:val="00B25FCB"/>
    <w:rsid w:val="00B25FD4"/>
    <w:rsid w:val="00B25FD7"/>
    <w:rsid w:val="00B2605D"/>
    <w:rsid w:val="00B26076"/>
    <w:rsid w:val="00B260C3"/>
    <w:rsid w:val="00B260C8"/>
    <w:rsid w:val="00B260CD"/>
    <w:rsid w:val="00B2610C"/>
    <w:rsid w:val="00B2613C"/>
    <w:rsid w:val="00B261B4"/>
    <w:rsid w:val="00B261BB"/>
    <w:rsid w:val="00B261BC"/>
    <w:rsid w:val="00B261D5"/>
    <w:rsid w:val="00B261D9"/>
    <w:rsid w:val="00B2621B"/>
    <w:rsid w:val="00B2629A"/>
    <w:rsid w:val="00B2637A"/>
    <w:rsid w:val="00B263E2"/>
    <w:rsid w:val="00B26427"/>
    <w:rsid w:val="00B26429"/>
    <w:rsid w:val="00B26433"/>
    <w:rsid w:val="00B2644A"/>
    <w:rsid w:val="00B26484"/>
    <w:rsid w:val="00B264D5"/>
    <w:rsid w:val="00B264E6"/>
    <w:rsid w:val="00B26522"/>
    <w:rsid w:val="00B26533"/>
    <w:rsid w:val="00B26538"/>
    <w:rsid w:val="00B2655D"/>
    <w:rsid w:val="00B26563"/>
    <w:rsid w:val="00B26566"/>
    <w:rsid w:val="00B26586"/>
    <w:rsid w:val="00B265D5"/>
    <w:rsid w:val="00B265ED"/>
    <w:rsid w:val="00B2667C"/>
    <w:rsid w:val="00B266AC"/>
    <w:rsid w:val="00B26726"/>
    <w:rsid w:val="00B267BD"/>
    <w:rsid w:val="00B267CD"/>
    <w:rsid w:val="00B267EC"/>
    <w:rsid w:val="00B267FD"/>
    <w:rsid w:val="00B2681E"/>
    <w:rsid w:val="00B2682A"/>
    <w:rsid w:val="00B26874"/>
    <w:rsid w:val="00B268B3"/>
    <w:rsid w:val="00B268C2"/>
    <w:rsid w:val="00B268FE"/>
    <w:rsid w:val="00B26901"/>
    <w:rsid w:val="00B2697E"/>
    <w:rsid w:val="00B26A03"/>
    <w:rsid w:val="00B26AA3"/>
    <w:rsid w:val="00B26AC8"/>
    <w:rsid w:val="00B26B17"/>
    <w:rsid w:val="00B26B1A"/>
    <w:rsid w:val="00B26B1E"/>
    <w:rsid w:val="00B26B64"/>
    <w:rsid w:val="00B26B80"/>
    <w:rsid w:val="00B26B8E"/>
    <w:rsid w:val="00B26B94"/>
    <w:rsid w:val="00B26BCD"/>
    <w:rsid w:val="00B26BD7"/>
    <w:rsid w:val="00B26C4A"/>
    <w:rsid w:val="00B26C51"/>
    <w:rsid w:val="00B26C9C"/>
    <w:rsid w:val="00B26CE0"/>
    <w:rsid w:val="00B26D15"/>
    <w:rsid w:val="00B26D17"/>
    <w:rsid w:val="00B26D1D"/>
    <w:rsid w:val="00B26D24"/>
    <w:rsid w:val="00B26D3C"/>
    <w:rsid w:val="00B26D89"/>
    <w:rsid w:val="00B26D9D"/>
    <w:rsid w:val="00B26DCA"/>
    <w:rsid w:val="00B26DCC"/>
    <w:rsid w:val="00B26E01"/>
    <w:rsid w:val="00B26E19"/>
    <w:rsid w:val="00B26E3B"/>
    <w:rsid w:val="00B26E7D"/>
    <w:rsid w:val="00B26E84"/>
    <w:rsid w:val="00B26E8C"/>
    <w:rsid w:val="00B26ED0"/>
    <w:rsid w:val="00B26ED2"/>
    <w:rsid w:val="00B26EE3"/>
    <w:rsid w:val="00B26EE6"/>
    <w:rsid w:val="00B26EF7"/>
    <w:rsid w:val="00B26F5F"/>
    <w:rsid w:val="00B26FAA"/>
    <w:rsid w:val="00B2702B"/>
    <w:rsid w:val="00B27034"/>
    <w:rsid w:val="00B27057"/>
    <w:rsid w:val="00B270AE"/>
    <w:rsid w:val="00B270B3"/>
    <w:rsid w:val="00B270F3"/>
    <w:rsid w:val="00B27154"/>
    <w:rsid w:val="00B271A7"/>
    <w:rsid w:val="00B271BF"/>
    <w:rsid w:val="00B2721A"/>
    <w:rsid w:val="00B27222"/>
    <w:rsid w:val="00B27281"/>
    <w:rsid w:val="00B272A7"/>
    <w:rsid w:val="00B272BD"/>
    <w:rsid w:val="00B27307"/>
    <w:rsid w:val="00B27330"/>
    <w:rsid w:val="00B27347"/>
    <w:rsid w:val="00B27354"/>
    <w:rsid w:val="00B27376"/>
    <w:rsid w:val="00B2738E"/>
    <w:rsid w:val="00B273C4"/>
    <w:rsid w:val="00B27420"/>
    <w:rsid w:val="00B2744C"/>
    <w:rsid w:val="00B27474"/>
    <w:rsid w:val="00B274E7"/>
    <w:rsid w:val="00B27507"/>
    <w:rsid w:val="00B275B9"/>
    <w:rsid w:val="00B275C8"/>
    <w:rsid w:val="00B275EE"/>
    <w:rsid w:val="00B27609"/>
    <w:rsid w:val="00B27643"/>
    <w:rsid w:val="00B2764C"/>
    <w:rsid w:val="00B276A1"/>
    <w:rsid w:val="00B276A5"/>
    <w:rsid w:val="00B276F3"/>
    <w:rsid w:val="00B276F9"/>
    <w:rsid w:val="00B27735"/>
    <w:rsid w:val="00B2778E"/>
    <w:rsid w:val="00B277A4"/>
    <w:rsid w:val="00B277DF"/>
    <w:rsid w:val="00B277E4"/>
    <w:rsid w:val="00B27818"/>
    <w:rsid w:val="00B2784F"/>
    <w:rsid w:val="00B278A4"/>
    <w:rsid w:val="00B278A8"/>
    <w:rsid w:val="00B278B6"/>
    <w:rsid w:val="00B278CB"/>
    <w:rsid w:val="00B278D4"/>
    <w:rsid w:val="00B278F3"/>
    <w:rsid w:val="00B27938"/>
    <w:rsid w:val="00B27988"/>
    <w:rsid w:val="00B279DE"/>
    <w:rsid w:val="00B279FE"/>
    <w:rsid w:val="00B27A33"/>
    <w:rsid w:val="00B27A5B"/>
    <w:rsid w:val="00B27B27"/>
    <w:rsid w:val="00B27B45"/>
    <w:rsid w:val="00B27C3F"/>
    <w:rsid w:val="00B27C7D"/>
    <w:rsid w:val="00B27CB0"/>
    <w:rsid w:val="00B27CEB"/>
    <w:rsid w:val="00B27D19"/>
    <w:rsid w:val="00B27D1A"/>
    <w:rsid w:val="00B27D6E"/>
    <w:rsid w:val="00B27D83"/>
    <w:rsid w:val="00B27DD2"/>
    <w:rsid w:val="00B27DF7"/>
    <w:rsid w:val="00B27E5A"/>
    <w:rsid w:val="00B27E77"/>
    <w:rsid w:val="00B27F0B"/>
    <w:rsid w:val="00B27F0F"/>
    <w:rsid w:val="00B27F7C"/>
    <w:rsid w:val="00B27F84"/>
    <w:rsid w:val="00B27F9D"/>
    <w:rsid w:val="00B27FEF"/>
    <w:rsid w:val="00B3000B"/>
    <w:rsid w:val="00B30052"/>
    <w:rsid w:val="00B30059"/>
    <w:rsid w:val="00B3005B"/>
    <w:rsid w:val="00B300D3"/>
    <w:rsid w:val="00B30129"/>
    <w:rsid w:val="00B30144"/>
    <w:rsid w:val="00B30163"/>
    <w:rsid w:val="00B30171"/>
    <w:rsid w:val="00B3019C"/>
    <w:rsid w:val="00B301D9"/>
    <w:rsid w:val="00B30234"/>
    <w:rsid w:val="00B3026D"/>
    <w:rsid w:val="00B30272"/>
    <w:rsid w:val="00B30285"/>
    <w:rsid w:val="00B302E3"/>
    <w:rsid w:val="00B30333"/>
    <w:rsid w:val="00B30358"/>
    <w:rsid w:val="00B303F5"/>
    <w:rsid w:val="00B30402"/>
    <w:rsid w:val="00B304B6"/>
    <w:rsid w:val="00B304BB"/>
    <w:rsid w:val="00B304E1"/>
    <w:rsid w:val="00B3050E"/>
    <w:rsid w:val="00B3056A"/>
    <w:rsid w:val="00B305A0"/>
    <w:rsid w:val="00B305A6"/>
    <w:rsid w:val="00B305DA"/>
    <w:rsid w:val="00B305F7"/>
    <w:rsid w:val="00B3061E"/>
    <w:rsid w:val="00B3063E"/>
    <w:rsid w:val="00B306D5"/>
    <w:rsid w:val="00B3073D"/>
    <w:rsid w:val="00B30750"/>
    <w:rsid w:val="00B307B0"/>
    <w:rsid w:val="00B307BE"/>
    <w:rsid w:val="00B307FD"/>
    <w:rsid w:val="00B30812"/>
    <w:rsid w:val="00B3084E"/>
    <w:rsid w:val="00B3088B"/>
    <w:rsid w:val="00B308B7"/>
    <w:rsid w:val="00B308C4"/>
    <w:rsid w:val="00B308CC"/>
    <w:rsid w:val="00B308E2"/>
    <w:rsid w:val="00B30986"/>
    <w:rsid w:val="00B309AB"/>
    <w:rsid w:val="00B30AA5"/>
    <w:rsid w:val="00B30AB0"/>
    <w:rsid w:val="00B30ADF"/>
    <w:rsid w:val="00B30B1C"/>
    <w:rsid w:val="00B30B7C"/>
    <w:rsid w:val="00B30B7D"/>
    <w:rsid w:val="00B30C13"/>
    <w:rsid w:val="00B30C65"/>
    <w:rsid w:val="00B30D09"/>
    <w:rsid w:val="00B30D73"/>
    <w:rsid w:val="00B30D76"/>
    <w:rsid w:val="00B30D80"/>
    <w:rsid w:val="00B30D95"/>
    <w:rsid w:val="00B30DCA"/>
    <w:rsid w:val="00B30E8C"/>
    <w:rsid w:val="00B30EB9"/>
    <w:rsid w:val="00B30EC7"/>
    <w:rsid w:val="00B30F3D"/>
    <w:rsid w:val="00B30F54"/>
    <w:rsid w:val="00B30FBC"/>
    <w:rsid w:val="00B30FD2"/>
    <w:rsid w:val="00B30FF2"/>
    <w:rsid w:val="00B3106D"/>
    <w:rsid w:val="00B310A6"/>
    <w:rsid w:val="00B31140"/>
    <w:rsid w:val="00B31142"/>
    <w:rsid w:val="00B31186"/>
    <w:rsid w:val="00B31197"/>
    <w:rsid w:val="00B311E1"/>
    <w:rsid w:val="00B31278"/>
    <w:rsid w:val="00B313A6"/>
    <w:rsid w:val="00B3147F"/>
    <w:rsid w:val="00B314C8"/>
    <w:rsid w:val="00B314CC"/>
    <w:rsid w:val="00B31534"/>
    <w:rsid w:val="00B31541"/>
    <w:rsid w:val="00B31552"/>
    <w:rsid w:val="00B315FF"/>
    <w:rsid w:val="00B31616"/>
    <w:rsid w:val="00B3161A"/>
    <w:rsid w:val="00B31625"/>
    <w:rsid w:val="00B31632"/>
    <w:rsid w:val="00B31642"/>
    <w:rsid w:val="00B31652"/>
    <w:rsid w:val="00B31694"/>
    <w:rsid w:val="00B316BB"/>
    <w:rsid w:val="00B316DC"/>
    <w:rsid w:val="00B3175B"/>
    <w:rsid w:val="00B31771"/>
    <w:rsid w:val="00B31784"/>
    <w:rsid w:val="00B317AD"/>
    <w:rsid w:val="00B3182F"/>
    <w:rsid w:val="00B31839"/>
    <w:rsid w:val="00B31873"/>
    <w:rsid w:val="00B31899"/>
    <w:rsid w:val="00B318DE"/>
    <w:rsid w:val="00B318E0"/>
    <w:rsid w:val="00B318E8"/>
    <w:rsid w:val="00B318F8"/>
    <w:rsid w:val="00B318FA"/>
    <w:rsid w:val="00B31969"/>
    <w:rsid w:val="00B31996"/>
    <w:rsid w:val="00B319CE"/>
    <w:rsid w:val="00B319D7"/>
    <w:rsid w:val="00B31A02"/>
    <w:rsid w:val="00B31A9F"/>
    <w:rsid w:val="00B31AFD"/>
    <w:rsid w:val="00B31B28"/>
    <w:rsid w:val="00B31B7F"/>
    <w:rsid w:val="00B31B90"/>
    <w:rsid w:val="00B31BC5"/>
    <w:rsid w:val="00B31BCF"/>
    <w:rsid w:val="00B31C52"/>
    <w:rsid w:val="00B31C76"/>
    <w:rsid w:val="00B31C83"/>
    <w:rsid w:val="00B31C89"/>
    <w:rsid w:val="00B31CBD"/>
    <w:rsid w:val="00B31CC3"/>
    <w:rsid w:val="00B31CCD"/>
    <w:rsid w:val="00B31CF7"/>
    <w:rsid w:val="00B31DEC"/>
    <w:rsid w:val="00B31E12"/>
    <w:rsid w:val="00B31E8D"/>
    <w:rsid w:val="00B31F5E"/>
    <w:rsid w:val="00B31FDB"/>
    <w:rsid w:val="00B31FF5"/>
    <w:rsid w:val="00B31FFD"/>
    <w:rsid w:val="00B320FD"/>
    <w:rsid w:val="00B32216"/>
    <w:rsid w:val="00B32233"/>
    <w:rsid w:val="00B322BD"/>
    <w:rsid w:val="00B322CD"/>
    <w:rsid w:val="00B322E0"/>
    <w:rsid w:val="00B32368"/>
    <w:rsid w:val="00B3237C"/>
    <w:rsid w:val="00B3238F"/>
    <w:rsid w:val="00B323AF"/>
    <w:rsid w:val="00B323C4"/>
    <w:rsid w:val="00B32438"/>
    <w:rsid w:val="00B32444"/>
    <w:rsid w:val="00B3245E"/>
    <w:rsid w:val="00B324DA"/>
    <w:rsid w:val="00B324F1"/>
    <w:rsid w:val="00B32511"/>
    <w:rsid w:val="00B3255A"/>
    <w:rsid w:val="00B32564"/>
    <w:rsid w:val="00B32588"/>
    <w:rsid w:val="00B325AB"/>
    <w:rsid w:val="00B32607"/>
    <w:rsid w:val="00B3264D"/>
    <w:rsid w:val="00B326DB"/>
    <w:rsid w:val="00B326F0"/>
    <w:rsid w:val="00B327F1"/>
    <w:rsid w:val="00B32850"/>
    <w:rsid w:val="00B32885"/>
    <w:rsid w:val="00B328F0"/>
    <w:rsid w:val="00B32948"/>
    <w:rsid w:val="00B3296A"/>
    <w:rsid w:val="00B3296D"/>
    <w:rsid w:val="00B32999"/>
    <w:rsid w:val="00B329BB"/>
    <w:rsid w:val="00B329D4"/>
    <w:rsid w:val="00B32A57"/>
    <w:rsid w:val="00B32A84"/>
    <w:rsid w:val="00B32A89"/>
    <w:rsid w:val="00B32A9A"/>
    <w:rsid w:val="00B32A9B"/>
    <w:rsid w:val="00B32AA2"/>
    <w:rsid w:val="00B32BAB"/>
    <w:rsid w:val="00B32BF3"/>
    <w:rsid w:val="00B32BFA"/>
    <w:rsid w:val="00B32C59"/>
    <w:rsid w:val="00B32C70"/>
    <w:rsid w:val="00B32C9E"/>
    <w:rsid w:val="00B32CB1"/>
    <w:rsid w:val="00B32D04"/>
    <w:rsid w:val="00B32D0D"/>
    <w:rsid w:val="00B32D18"/>
    <w:rsid w:val="00B32D1C"/>
    <w:rsid w:val="00B32D3A"/>
    <w:rsid w:val="00B32D50"/>
    <w:rsid w:val="00B32D64"/>
    <w:rsid w:val="00B32DC2"/>
    <w:rsid w:val="00B32E75"/>
    <w:rsid w:val="00B32E82"/>
    <w:rsid w:val="00B32E8B"/>
    <w:rsid w:val="00B32F0A"/>
    <w:rsid w:val="00B32F62"/>
    <w:rsid w:val="00B3304C"/>
    <w:rsid w:val="00B33051"/>
    <w:rsid w:val="00B330B2"/>
    <w:rsid w:val="00B330CE"/>
    <w:rsid w:val="00B3310D"/>
    <w:rsid w:val="00B33147"/>
    <w:rsid w:val="00B3317B"/>
    <w:rsid w:val="00B3317D"/>
    <w:rsid w:val="00B331A7"/>
    <w:rsid w:val="00B331B7"/>
    <w:rsid w:val="00B33248"/>
    <w:rsid w:val="00B332A7"/>
    <w:rsid w:val="00B332C4"/>
    <w:rsid w:val="00B332F7"/>
    <w:rsid w:val="00B3330C"/>
    <w:rsid w:val="00B33358"/>
    <w:rsid w:val="00B3336C"/>
    <w:rsid w:val="00B3337B"/>
    <w:rsid w:val="00B3338F"/>
    <w:rsid w:val="00B333A6"/>
    <w:rsid w:val="00B333BA"/>
    <w:rsid w:val="00B33463"/>
    <w:rsid w:val="00B334C4"/>
    <w:rsid w:val="00B334EA"/>
    <w:rsid w:val="00B33534"/>
    <w:rsid w:val="00B33545"/>
    <w:rsid w:val="00B33591"/>
    <w:rsid w:val="00B335BE"/>
    <w:rsid w:val="00B3363F"/>
    <w:rsid w:val="00B33642"/>
    <w:rsid w:val="00B33645"/>
    <w:rsid w:val="00B336B0"/>
    <w:rsid w:val="00B33700"/>
    <w:rsid w:val="00B33883"/>
    <w:rsid w:val="00B338D1"/>
    <w:rsid w:val="00B338E9"/>
    <w:rsid w:val="00B33902"/>
    <w:rsid w:val="00B33948"/>
    <w:rsid w:val="00B3398E"/>
    <w:rsid w:val="00B33994"/>
    <w:rsid w:val="00B339EB"/>
    <w:rsid w:val="00B33A04"/>
    <w:rsid w:val="00B33A2A"/>
    <w:rsid w:val="00B33A3A"/>
    <w:rsid w:val="00B33A3D"/>
    <w:rsid w:val="00B33A57"/>
    <w:rsid w:val="00B33A7A"/>
    <w:rsid w:val="00B33A97"/>
    <w:rsid w:val="00B33AD2"/>
    <w:rsid w:val="00B33B80"/>
    <w:rsid w:val="00B33BAD"/>
    <w:rsid w:val="00B33BB7"/>
    <w:rsid w:val="00B33BFC"/>
    <w:rsid w:val="00B33C77"/>
    <w:rsid w:val="00B33C9A"/>
    <w:rsid w:val="00B33D51"/>
    <w:rsid w:val="00B33D63"/>
    <w:rsid w:val="00B33D77"/>
    <w:rsid w:val="00B33DC4"/>
    <w:rsid w:val="00B33DCA"/>
    <w:rsid w:val="00B33E06"/>
    <w:rsid w:val="00B33E4E"/>
    <w:rsid w:val="00B33E5A"/>
    <w:rsid w:val="00B33E8A"/>
    <w:rsid w:val="00B33F2C"/>
    <w:rsid w:val="00B33FC1"/>
    <w:rsid w:val="00B34026"/>
    <w:rsid w:val="00B3407B"/>
    <w:rsid w:val="00B3417A"/>
    <w:rsid w:val="00B3417D"/>
    <w:rsid w:val="00B3417F"/>
    <w:rsid w:val="00B34181"/>
    <w:rsid w:val="00B34184"/>
    <w:rsid w:val="00B3419D"/>
    <w:rsid w:val="00B3419F"/>
    <w:rsid w:val="00B341B4"/>
    <w:rsid w:val="00B341C9"/>
    <w:rsid w:val="00B341D9"/>
    <w:rsid w:val="00B341F2"/>
    <w:rsid w:val="00B341F5"/>
    <w:rsid w:val="00B34219"/>
    <w:rsid w:val="00B34232"/>
    <w:rsid w:val="00B342BC"/>
    <w:rsid w:val="00B342BE"/>
    <w:rsid w:val="00B34339"/>
    <w:rsid w:val="00B34387"/>
    <w:rsid w:val="00B3438F"/>
    <w:rsid w:val="00B343AD"/>
    <w:rsid w:val="00B34414"/>
    <w:rsid w:val="00B34441"/>
    <w:rsid w:val="00B3446B"/>
    <w:rsid w:val="00B34493"/>
    <w:rsid w:val="00B344C8"/>
    <w:rsid w:val="00B34569"/>
    <w:rsid w:val="00B3458A"/>
    <w:rsid w:val="00B345C6"/>
    <w:rsid w:val="00B345D8"/>
    <w:rsid w:val="00B345F7"/>
    <w:rsid w:val="00B34645"/>
    <w:rsid w:val="00B34657"/>
    <w:rsid w:val="00B34665"/>
    <w:rsid w:val="00B3472C"/>
    <w:rsid w:val="00B34735"/>
    <w:rsid w:val="00B347B9"/>
    <w:rsid w:val="00B347F5"/>
    <w:rsid w:val="00B34820"/>
    <w:rsid w:val="00B34824"/>
    <w:rsid w:val="00B34868"/>
    <w:rsid w:val="00B34896"/>
    <w:rsid w:val="00B348A0"/>
    <w:rsid w:val="00B348A1"/>
    <w:rsid w:val="00B348BA"/>
    <w:rsid w:val="00B34951"/>
    <w:rsid w:val="00B34975"/>
    <w:rsid w:val="00B349A4"/>
    <w:rsid w:val="00B34A13"/>
    <w:rsid w:val="00B34A80"/>
    <w:rsid w:val="00B34A98"/>
    <w:rsid w:val="00B34AAA"/>
    <w:rsid w:val="00B34AB5"/>
    <w:rsid w:val="00B34B05"/>
    <w:rsid w:val="00B34B8D"/>
    <w:rsid w:val="00B34B9C"/>
    <w:rsid w:val="00B34BFF"/>
    <w:rsid w:val="00B34C3F"/>
    <w:rsid w:val="00B34C8A"/>
    <w:rsid w:val="00B34CEA"/>
    <w:rsid w:val="00B34D0E"/>
    <w:rsid w:val="00B34D18"/>
    <w:rsid w:val="00B34D19"/>
    <w:rsid w:val="00B34D30"/>
    <w:rsid w:val="00B34D51"/>
    <w:rsid w:val="00B34D7A"/>
    <w:rsid w:val="00B34D97"/>
    <w:rsid w:val="00B34E43"/>
    <w:rsid w:val="00B34EA2"/>
    <w:rsid w:val="00B34ECC"/>
    <w:rsid w:val="00B34ED0"/>
    <w:rsid w:val="00B34EF5"/>
    <w:rsid w:val="00B34F5D"/>
    <w:rsid w:val="00B34FCC"/>
    <w:rsid w:val="00B34FFF"/>
    <w:rsid w:val="00B3501E"/>
    <w:rsid w:val="00B35039"/>
    <w:rsid w:val="00B35079"/>
    <w:rsid w:val="00B3509E"/>
    <w:rsid w:val="00B350A3"/>
    <w:rsid w:val="00B350AC"/>
    <w:rsid w:val="00B350D1"/>
    <w:rsid w:val="00B350D5"/>
    <w:rsid w:val="00B3513B"/>
    <w:rsid w:val="00B3517D"/>
    <w:rsid w:val="00B35263"/>
    <w:rsid w:val="00B3526B"/>
    <w:rsid w:val="00B352B5"/>
    <w:rsid w:val="00B352C3"/>
    <w:rsid w:val="00B3535D"/>
    <w:rsid w:val="00B3539F"/>
    <w:rsid w:val="00B353D8"/>
    <w:rsid w:val="00B353DD"/>
    <w:rsid w:val="00B353F3"/>
    <w:rsid w:val="00B3540C"/>
    <w:rsid w:val="00B35417"/>
    <w:rsid w:val="00B35433"/>
    <w:rsid w:val="00B3546D"/>
    <w:rsid w:val="00B354D6"/>
    <w:rsid w:val="00B35523"/>
    <w:rsid w:val="00B35563"/>
    <w:rsid w:val="00B355E0"/>
    <w:rsid w:val="00B355E5"/>
    <w:rsid w:val="00B355F3"/>
    <w:rsid w:val="00B356A4"/>
    <w:rsid w:val="00B356B7"/>
    <w:rsid w:val="00B356D0"/>
    <w:rsid w:val="00B356E6"/>
    <w:rsid w:val="00B35717"/>
    <w:rsid w:val="00B357A1"/>
    <w:rsid w:val="00B357B6"/>
    <w:rsid w:val="00B357BA"/>
    <w:rsid w:val="00B357D9"/>
    <w:rsid w:val="00B357E2"/>
    <w:rsid w:val="00B3585E"/>
    <w:rsid w:val="00B358B3"/>
    <w:rsid w:val="00B358C2"/>
    <w:rsid w:val="00B358F3"/>
    <w:rsid w:val="00B3590A"/>
    <w:rsid w:val="00B35961"/>
    <w:rsid w:val="00B3597E"/>
    <w:rsid w:val="00B359C3"/>
    <w:rsid w:val="00B359FF"/>
    <w:rsid w:val="00B35A02"/>
    <w:rsid w:val="00B35A46"/>
    <w:rsid w:val="00B35A8F"/>
    <w:rsid w:val="00B35AAE"/>
    <w:rsid w:val="00B35B20"/>
    <w:rsid w:val="00B35B22"/>
    <w:rsid w:val="00B35B28"/>
    <w:rsid w:val="00B35B37"/>
    <w:rsid w:val="00B35B63"/>
    <w:rsid w:val="00B35B7C"/>
    <w:rsid w:val="00B35C0E"/>
    <w:rsid w:val="00B35C13"/>
    <w:rsid w:val="00B35C1F"/>
    <w:rsid w:val="00B35C8C"/>
    <w:rsid w:val="00B35CA1"/>
    <w:rsid w:val="00B35CAB"/>
    <w:rsid w:val="00B35CF0"/>
    <w:rsid w:val="00B35D06"/>
    <w:rsid w:val="00B35D54"/>
    <w:rsid w:val="00B35D89"/>
    <w:rsid w:val="00B35E20"/>
    <w:rsid w:val="00B35E3F"/>
    <w:rsid w:val="00B35F18"/>
    <w:rsid w:val="00B35F6F"/>
    <w:rsid w:val="00B35F80"/>
    <w:rsid w:val="00B35FA7"/>
    <w:rsid w:val="00B35FB9"/>
    <w:rsid w:val="00B35FBD"/>
    <w:rsid w:val="00B36011"/>
    <w:rsid w:val="00B36018"/>
    <w:rsid w:val="00B36064"/>
    <w:rsid w:val="00B36099"/>
    <w:rsid w:val="00B360B7"/>
    <w:rsid w:val="00B360D8"/>
    <w:rsid w:val="00B36141"/>
    <w:rsid w:val="00B36163"/>
    <w:rsid w:val="00B361C4"/>
    <w:rsid w:val="00B361C9"/>
    <w:rsid w:val="00B36227"/>
    <w:rsid w:val="00B36282"/>
    <w:rsid w:val="00B3629F"/>
    <w:rsid w:val="00B362CE"/>
    <w:rsid w:val="00B362CF"/>
    <w:rsid w:val="00B3631B"/>
    <w:rsid w:val="00B36370"/>
    <w:rsid w:val="00B363B2"/>
    <w:rsid w:val="00B363BB"/>
    <w:rsid w:val="00B36433"/>
    <w:rsid w:val="00B36438"/>
    <w:rsid w:val="00B36519"/>
    <w:rsid w:val="00B3651E"/>
    <w:rsid w:val="00B36537"/>
    <w:rsid w:val="00B3653F"/>
    <w:rsid w:val="00B3655A"/>
    <w:rsid w:val="00B36565"/>
    <w:rsid w:val="00B36576"/>
    <w:rsid w:val="00B365C0"/>
    <w:rsid w:val="00B365CB"/>
    <w:rsid w:val="00B36610"/>
    <w:rsid w:val="00B36638"/>
    <w:rsid w:val="00B3663B"/>
    <w:rsid w:val="00B366AE"/>
    <w:rsid w:val="00B36770"/>
    <w:rsid w:val="00B367BB"/>
    <w:rsid w:val="00B36829"/>
    <w:rsid w:val="00B3684C"/>
    <w:rsid w:val="00B368E0"/>
    <w:rsid w:val="00B36909"/>
    <w:rsid w:val="00B3690F"/>
    <w:rsid w:val="00B36925"/>
    <w:rsid w:val="00B3692C"/>
    <w:rsid w:val="00B36941"/>
    <w:rsid w:val="00B3698E"/>
    <w:rsid w:val="00B369B3"/>
    <w:rsid w:val="00B369D5"/>
    <w:rsid w:val="00B36A00"/>
    <w:rsid w:val="00B36A52"/>
    <w:rsid w:val="00B36A5F"/>
    <w:rsid w:val="00B36A67"/>
    <w:rsid w:val="00B36AA6"/>
    <w:rsid w:val="00B36ACB"/>
    <w:rsid w:val="00B36AF4"/>
    <w:rsid w:val="00B36AFA"/>
    <w:rsid w:val="00B36B09"/>
    <w:rsid w:val="00B36B5C"/>
    <w:rsid w:val="00B36B9F"/>
    <w:rsid w:val="00B36BB9"/>
    <w:rsid w:val="00B36BBF"/>
    <w:rsid w:val="00B36C4B"/>
    <w:rsid w:val="00B36C9C"/>
    <w:rsid w:val="00B36CEF"/>
    <w:rsid w:val="00B36D15"/>
    <w:rsid w:val="00B36D2A"/>
    <w:rsid w:val="00B36D2D"/>
    <w:rsid w:val="00B36D40"/>
    <w:rsid w:val="00B36DB8"/>
    <w:rsid w:val="00B36DF2"/>
    <w:rsid w:val="00B36DFB"/>
    <w:rsid w:val="00B36E33"/>
    <w:rsid w:val="00B36E6C"/>
    <w:rsid w:val="00B36E91"/>
    <w:rsid w:val="00B36EC7"/>
    <w:rsid w:val="00B36EDD"/>
    <w:rsid w:val="00B36EE9"/>
    <w:rsid w:val="00B36F45"/>
    <w:rsid w:val="00B36F4C"/>
    <w:rsid w:val="00B36F6E"/>
    <w:rsid w:val="00B36F77"/>
    <w:rsid w:val="00B36F8C"/>
    <w:rsid w:val="00B36F92"/>
    <w:rsid w:val="00B36FE5"/>
    <w:rsid w:val="00B37022"/>
    <w:rsid w:val="00B37025"/>
    <w:rsid w:val="00B3703C"/>
    <w:rsid w:val="00B37049"/>
    <w:rsid w:val="00B37054"/>
    <w:rsid w:val="00B3709D"/>
    <w:rsid w:val="00B370D2"/>
    <w:rsid w:val="00B370DA"/>
    <w:rsid w:val="00B370EB"/>
    <w:rsid w:val="00B37154"/>
    <w:rsid w:val="00B37173"/>
    <w:rsid w:val="00B37185"/>
    <w:rsid w:val="00B37188"/>
    <w:rsid w:val="00B3719F"/>
    <w:rsid w:val="00B371AC"/>
    <w:rsid w:val="00B371B2"/>
    <w:rsid w:val="00B371DB"/>
    <w:rsid w:val="00B371F5"/>
    <w:rsid w:val="00B3721D"/>
    <w:rsid w:val="00B37248"/>
    <w:rsid w:val="00B3728A"/>
    <w:rsid w:val="00B3728E"/>
    <w:rsid w:val="00B3729E"/>
    <w:rsid w:val="00B3733F"/>
    <w:rsid w:val="00B3734D"/>
    <w:rsid w:val="00B3735D"/>
    <w:rsid w:val="00B373BA"/>
    <w:rsid w:val="00B373D7"/>
    <w:rsid w:val="00B3747B"/>
    <w:rsid w:val="00B374BB"/>
    <w:rsid w:val="00B37527"/>
    <w:rsid w:val="00B37579"/>
    <w:rsid w:val="00B375A2"/>
    <w:rsid w:val="00B375C5"/>
    <w:rsid w:val="00B375EB"/>
    <w:rsid w:val="00B37608"/>
    <w:rsid w:val="00B37653"/>
    <w:rsid w:val="00B3767F"/>
    <w:rsid w:val="00B376B0"/>
    <w:rsid w:val="00B376F9"/>
    <w:rsid w:val="00B3771A"/>
    <w:rsid w:val="00B37757"/>
    <w:rsid w:val="00B37761"/>
    <w:rsid w:val="00B37779"/>
    <w:rsid w:val="00B3778F"/>
    <w:rsid w:val="00B3782C"/>
    <w:rsid w:val="00B37844"/>
    <w:rsid w:val="00B3787A"/>
    <w:rsid w:val="00B37935"/>
    <w:rsid w:val="00B379ED"/>
    <w:rsid w:val="00B37A40"/>
    <w:rsid w:val="00B37AE0"/>
    <w:rsid w:val="00B37B0D"/>
    <w:rsid w:val="00B37B7C"/>
    <w:rsid w:val="00B37B7D"/>
    <w:rsid w:val="00B37BAD"/>
    <w:rsid w:val="00B37BEE"/>
    <w:rsid w:val="00B37C08"/>
    <w:rsid w:val="00B37C87"/>
    <w:rsid w:val="00B37C8E"/>
    <w:rsid w:val="00B37CEC"/>
    <w:rsid w:val="00B37D09"/>
    <w:rsid w:val="00B37D3B"/>
    <w:rsid w:val="00B37D8E"/>
    <w:rsid w:val="00B37D95"/>
    <w:rsid w:val="00B37E06"/>
    <w:rsid w:val="00B37E67"/>
    <w:rsid w:val="00B37E7A"/>
    <w:rsid w:val="00B37EAA"/>
    <w:rsid w:val="00B37EAD"/>
    <w:rsid w:val="00B37EC3"/>
    <w:rsid w:val="00B37ED9"/>
    <w:rsid w:val="00B37F2B"/>
    <w:rsid w:val="00B37F2C"/>
    <w:rsid w:val="00B37F3C"/>
    <w:rsid w:val="00B37F3D"/>
    <w:rsid w:val="00B37F47"/>
    <w:rsid w:val="00B37F53"/>
    <w:rsid w:val="00B37F5F"/>
    <w:rsid w:val="00B37F94"/>
    <w:rsid w:val="00B37FB9"/>
    <w:rsid w:val="00B37FBD"/>
    <w:rsid w:val="00B37FCC"/>
    <w:rsid w:val="00B400CC"/>
    <w:rsid w:val="00B400DF"/>
    <w:rsid w:val="00B40127"/>
    <w:rsid w:val="00B40129"/>
    <w:rsid w:val="00B4014A"/>
    <w:rsid w:val="00B4016C"/>
    <w:rsid w:val="00B40176"/>
    <w:rsid w:val="00B40295"/>
    <w:rsid w:val="00B4029A"/>
    <w:rsid w:val="00B402A2"/>
    <w:rsid w:val="00B402AD"/>
    <w:rsid w:val="00B402C0"/>
    <w:rsid w:val="00B402E4"/>
    <w:rsid w:val="00B40374"/>
    <w:rsid w:val="00B40396"/>
    <w:rsid w:val="00B403DC"/>
    <w:rsid w:val="00B40405"/>
    <w:rsid w:val="00B4044D"/>
    <w:rsid w:val="00B404BD"/>
    <w:rsid w:val="00B404C7"/>
    <w:rsid w:val="00B404DB"/>
    <w:rsid w:val="00B404E8"/>
    <w:rsid w:val="00B404F5"/>
    <w:rsid w:val="00B40508"/>
    <w:rsid w:val="00B40569"/>
    <w:rsid w:val="00B405E9"/>
    <w:rsid w:val="00B405F3"/>
    <w:rsid w:val="00B40620"/>
    <w:rsid w:val="00B40656"/>
    <w:rsid w:val="00B406BC"/>
    <w:rsid w:val="00B406D7"/>
    <w:rsid w:val="00B40728"/>
    <w:rsid w:val="00B40742"/>
    <w:rsid w:val="00B40749"/>
    <w:rsid w:val="00B40791"/>
    <w:rsid w:val="00B407CC"/>
    <w:rsid w:val="00B40809"/>
    <w:rsid w:val="00B4081A"/>
    <w:rsid w:val="00B4082B"/>
    <w:rsid w:val="00B408B5"/>
    <w:rsid w:val="00B408BA"/>
    <w:rsid w:val="00B408F9"/>
    <w:rsid w:val="00B40906"/>
    <w:rsid w:val="00B4091A"/>
    <w:rsid w:val="00B40932"/>
    <w:rsid w:val="00B4097F"/>
    <w:rsid w:val="00B40981"/>
    <w:rsid w:val="00B409F2"/>
    <w:rsid w:val="00B40A9C"/>
    <w:rsid w:val="00B40AA4"/>
    <w:rsid w:val="00B40AB4"/>
    <w:rsid w:val="00B40ABF"/>
    <w:rsid w:val="00B40B1A"/>
    <w:rsid w:val="00B40B37"/>
    <w:rsid w:val="00B40C0F"/>
    <w:rsid w:val="00B40C4F"/>
    <w:rsid w:val="00B40C63"/>
    <w:rsid w:val="00B40CFA"/>
    <w:rsid w:val="00B40D05"/>
    <w:rsid w:val="00B40D0D"/>
    <w:rsid w:val="00B40D1A"/>
    <w:rsid w:val="00B40D2C"/>
    <w:rsid w:val="00B40D3C"/>
    <w:rsid w:val="00B40D55"/>
    <w:rsid w:val="00B40D97"/>
    <w:rsid w:val="00B40EC8"/>
    <w:rsid w:val="00B40EFB"/>
    <w:rsid w:val="00B40F0D"/>
    <w:rsid w:val="00B40F3F"/>
    <w:rsid w:val="00B40F58"/>
    <w:rsid w:val="00B40F59"/>
    <w:rsid w:val="00B40F6A"/>
    <w:rsid w:val="00B40FE5"/>
    <w:rsid w:val="00B41008"/>
    <w:rsid w:val="00B4102C"/>
    <w:rsid w:val="00B41035"/>
    <w:rsid w:val="00B410CA"/>
    <w:rsid w:val="00B4113F"/>
    <w:rsid w:val="00B41142"/>
    <w:rsid w:val="00B4115F"/>
    <w:rsid w:val="00B41180"/>
    <w:rsid w:val="00B4118A"/>
    <w:rsid w:val="00B411A8"/>
    <w:rsid w:val="00B411EB"/>
    <w:rsid w:val="00B41296"/>
    <w:rsid w:val="00B412C5"/>
    <w:rsid w:val="00B412D0"/>
    <w:rsid w:val="00B412EC"/>
    <w:rsid w:val="00B41329"/>
    <w:rsid w:val="00B413A7"/>
    <w:rsid w:val="00B4143A"/>
    <w:rsid w:val="00B414E5"/>
    <w:rsid w:val="00B4151A"/>
    <w:rsid w:val="00B41556"/>
    <w:rsid w:val="00B41564"/>
    <w:rsid w:val="00B41572"/>
    <w:rsid w:val="00B41663"/>
    <w:rsid w:val="00B4168B"/>
    <w:rsid w:val="00B4178E"/>
    <w:rsid w:val="00B41792"/>
    <w:rsid w:val="00B41825"/>
    <w:rsid w:val="00B41838"/>
    <w:rsid w:val="00B41895"/>
    <w:rsid w:val="00B418D0"/>
    <w:rsid w:val="00B4196A"/>
    <w:rsid w:val="00B419AA"/>
    <w:rsid w:val="00B419D4"/>
    <w:rsid w:val="00B41A16"/>
    <w:rsid w:val="00B41A8D"/>
    <w:rsid w:val="00B41A9D"/>
    <w:rsid w:val="00B41AF9"/>
    <w:rsid w:val="00B41BB2"/>
    <w:rsid w:val="00B41BCB"/>
    <w:rsid w:val="00B41C23"/>
    <w:rsid w:val="00B41C47"/>
    <w:rsid w:val="00B41CC8"/>
    <w:rsid w:val="00B41D12"/>
    <w:rsid w:val="00B41DA3"/>
    <w:rsid w:val="00B41E2D"/>
    <w:rsid w:val="00B41E3A"/>
    <w:rsid w:val="00B41FCE"/>
    <w:rsid w:val="00B41FEB"/>
    <w:rsid w:val="00B42005"/>
    <w:rsid w:val="00B42047"/>
    <w:rsid w:val="00B4207D"/>
    <w:rsid w:val="00B420AC"/>
    <w:rsid w:val="00B420DD"/>
    <w:rsid w:val="00B42197"/>
    <w:rsid w:val="00B421AB"/>
    <w:rsid w:val="00B42247"/>
    <w:rsid w:val="00B42261"/>
    <w:rsid w:val="00B42281"/>
    <w:rsid w:val="00B422AC"/>
    <w:rsid w:val="00B422B2"/>
    <w:rsid w:val="00B422F7"/>
    <w:rsid w:val="00B42313"/>
    <w:rsid w:val="00B4235A"/>
    <w:rsid w:val="00B42375"/>
    <w:rsid w:val="00B42421"/>
    <w:rsid w:val="00B4242D"/>
    <w:rsid w:val="00B42484"/>
    <w:rsid w:val="00B424C9"/>
    <w:rsid w:val="00B424D0"/>
    <w:rsid w:val="00B424E3"/>
    <w:rsid w:val="00B4255A"/>
    <w:rsid w:val="00B425AA"/>
    <w:rsid w:val="00B425E9"/>
    <w:rsid w:val="00B4268A"/>
    <w:rsid w:val="00B42694"/>
    <w:rsid w:val="00B426AD"/>
    <w:rsid w:val="00B426C0"/>
    <w:rsid w:val="00B426D4"/>
    <w:rsid w:val="00B426D6"/>
    <w:rsid w:val="00B426EB"/>
    <w:rsid w:val="00B426F1"/>
    <w:rsid w:val="00B42746"/>
    <w:rsid w:val="00B427C6"/>
    <w:rsid w:val="00B427CA"/>
    <w:rsid w:val="00B427EE"/>
    <w:rsid w:val="00B4281A"/>
    <w:rsid w:val="00B42834"/>
    <w:rsid w:val="00B42850"/>
    <w:rsid w:val="00B428BD"/>
    <w:rsid w:val="00B428E6"/>
    <w:rsid w:val="00B42925"/>
    <w:rsid w:val="00B4295E"/>
    <w:rsid w:val="00B42964"/>
    <w:rsid w:val="00B42979"/>
    <w:rsid w:val="00B429BF"/>
    <w:rsid w:val="00B429EC"/>
    <w:rsid w:val="00B42A0D"/>
    <w:rsid w:val="00B42A0F"/>
    <w:rsid w:val="00B42A52"/>
    <w:rsid w:val="00B42AE5"/>
    <w:rsid w:val="00B42B0E"/>
    <w:rsid w:val="00B42BC3"/>
    <w:rsid w:val="00B42BCB"/>
    <w:rsid w:val="00B42C06"/>
    <w:rsid w:val="00B42C24"/>
    <w:rsid w:val="00B42C50"/>
    <w:rsid w:val="00B42C66"/>
    <w:rsid w:val="00B42C67"/>
    <w:rsid w:val="00B42C90"/>
    <w:rsid w:val="00B42C91"/>
    <w:rsid w:val="00B42CB2"/>
    <w:rsid w:val="00B42D0C"/>
    <w:rsid w:val="00B42D59"/>
    <w:rsid w:val="00B42D82"/>
    <w:rsid w:val="00B42DB5"/>
    <w:rsid w:val="00B42DC1"/>
    <w:rsid w:val="00B42DD3"/>
    <w:rsid w:val="00B42DE0"/>
    <w:rsid w:val="00B42DFE"/>
    <w:rsid w:val="00B42E2C"/>
    <w:rsid w:val="00B42E30"/>
    <w:rsid w:val="00B42E81"/>
    <w:rsid w:val="00B42EFF"/>
    <w:rsid w:val="00B42F1C"/>
    <w:rsid w:val="00B42F24"/>
    <w:rsid w:val="00B42F6D"/>
    <w:rsid w:val="00B42F8D"/>
    <w:rsid w:val="00B42FA7"/>
    <w:rsid w:val="00B42FBD"/>
    <w:rsid w:val="00B42FD7"/>
    <w:rsid w:val="00B4303C"/>
    <w:rsid w:val="00B43074"/>
    <w:rsid w:val="00B43097"/>
    <w:rsid w:val="00B430C1"/>
    <w:rsid w:val="00B430F7"/>
    <w:rsid w:val="00B4310E"/>
    <w:rsid w:val="00B43119"/>
    <w:rsid w:val="00B4312F"/>
    <w:rsid w:val="00B43169"/>
    <w:rsid w:val="00B431C3"/>
    <w:rsid w:val="00B431EE"/>
    <w:rsid w:val="00B431F4"/>
    <w:rsid w:val="00B43205"/>
    <w:rsid w:val="00B43233"/>
    <w:rsid w:val="00B43235"/>
    <w:rsid w:val="00B4325F"/>
    <w:rsid w:val="00B4327E"/>
    <w:rsid w:val="00B4328A"/>
    <w:rsid w:val="00B4328B"/>
    <w:rsid w:val="00B432C8"/>
    <w:rsid w:val="00B4332D"/>
    <w:rsid w:val="00B433A9"/>
    <w:rsid w:val="00B433BA"/>
    <w:rsid w:val="00B4344B"/>
    <w:rsid w:val="00B434CD"/>
    <w:rsid w:val="00B4359B"/>
    <w:rsid w:val="00B435A6"/>
    <w:rsid w:val="00B435C4"/>
    <w:rsid w:val="00B435F8"/>
    <w:rsid w:val="00B43613"/>
    <w:rsid w:val="00B43625"/>
    <w:rsid w:val="00B4366C"/>
    <w:rsid w:val="00B4368A"/>
    <w:rsid w:val="00B436E9"/>
    <w:rsid w:val="00B43712"/>
    <w:rsid w:val="00B43739"/>
    <w:rsid w:val="00B43748"/>
    <w:rsid w:val="00B437C4"/>
    <w:rsid w:val="00B437D9"/>
    <w:rsid w:val="00B437E6"/>
    <w:rsid w:val="00B437E7"/>
    <w:rsid w:val="00B43801"/>
    <w:rsid w:val="00B4380B"/>
    <w:rsid w:val="00B43821"/>
    <w:rsid w:val="00B4383C"/>
    <w:rsid w:val="00B43890"/>
    <w:rsid w:val="00B43895"/>
    <w:rsid w:val="00B4389E"/>
    <w:rsid w:val="00B438A6"/>
    <w:rsid w:val="00B438BE"/>
    <w:rsid w:val="00B438C4"/>
    <w:rsid w:val="00B438F0"/>
    <w:rsid w:val="00B43923"/>
    <w:rsid w:val="00B4399B"/>
    <w:rsid w:val="00B439B9"/>
    <w:rsid w:val="00B439C0"/>
    <w:rsid w:val="00B439EF"/>
    <w:rsid w:val="00B43A08"/>
    <w:rsid w:val="00B43A0D"/>
    <w:rsid w:val="00B43A74"/>
    <w:rsid w:val="00B43AA0"/>
    <w:rsid w:val="00B43B06"/>
    <w:rsid w:val="00B43B42"/>
    <w:rsid w:val="00B43B4D"/>
    <w:rsid w:val="00B43B50"/>
    <w:rsid w:val="00B43B60"/>
    <w:rsid w:val="00B43B9D"/>
    <w:rsid w:val="00B43BFC"/>
    <w:rsid w:val="00B43C19"/>
    <w:rsid w:val="00B43C31"/>
    <w:rsid w:val="00B43D5E"/>
    <w:rsid w:val="00B43D6D"/>
    <w:rsid w:val="00B43DB9"/>
    <w:rsid w:val="00B43E83"/>
    <w:rsid w:val="00B43EF2"/>
    <w:rsid w:val="00B43F1A"/>
    <w:rsid w:val="00B43F47"/>
    <w:rsid w:val="00B43F6B"/>
    <w:rsid w:val="00B44006"/>
    <w:rsid w:val="00B4400A"/>
    <w:rsid w:val="00B44028"/>
    <w:rsid w:val="00B4406C"/>
    <w:rsid w:val="00B44076"/>
    <w:rsid w:val="00B440BF"/>
    <w:rsid w:val="00B440C3"/>
    <w:rsid w:val="00B44144"/>
    <w:rsid w:val="00B44184"/>
    <w:rsid w:val="00B4419E"/>
    <w:rsid w:val="00B441E9"/>
    <w:rsid w:val="00B442B3"/>
    <w:rsid w:val="00B442F4"/>
    <w:rsid w:val="00B44322"/>
    <w:rsid w:val="00B4432B"/>
    <w:rsid w:val="00B44337"/>
    <w:rsid w:val="00B44352"/>
    <w:rsid w:val="00B443AA"/>
    <w:rsid w:val="00B443C2"/>
    <w:rsid w:val="00B443CA"/>
    <w:rsid w:val="00B444B0"/>
    <w:rsid w:val="00B444E1"/>
    <w:rsid w:val="00B444F5"/>
    <w:rsid w:val="00B44523"/>
    <w:rsid w:val="00B44567"/>
    <w:rsid w:val="00B445AE"/>
    <w:rsid w:val="00B445B1"/>
    <w:rsid w:val="00B4463C"/>
    <w:rsid w:val="00B446CF"/>
    <w:rsid w:val="00B44739"/>
    <w:rsid w:val="00B44781"/>
    <w:rsid w:val="00B447CC"/>
    <w:rsid w:val="00B44817"/>
    <w:rsid w:val="00B44846"/>
    <w:rsid w:val="00B44858"/>
    <w:rsid w:val="00B44880"/>
    <w:rsid w:val="00B448BC"/>
    <w:rsid w:val="00B448EA"/>
    <w:rsid w:val="00B4490B"/>
    <w:rsid w:val="00B44922"/>
    <w:rsid w:val="00B44952"/>
    <w:rsid w:val="00B44975"/>
    <w:rsid w:val="00B4499D"/>
    <w:rsid w:val="00B44A3E"/>
    <w:rsid w:val="00B44A3F"/>
    <w:rsid w:val="00B44A56"/>
    <w:rsid w:val="00B44A7B"/>
    <w:rsid w:val="00B44B19"/>
    <w:rsid w:val="00B44B2D"/>
    <w:rsid w:val="00B44B37"/>
    <w:rsid w:val="00B44C2F"/>
    <w:rsid w:val="00B44C84"/>
    <w:rsid w:val="00B44C87"/>
    <w:rsid w:val="00B44C8F"/>
    <w:rsid w:val="00B44CC3"/>
    <w:rsid w:val="00B44D00"/>
    <w:rsid w:val="00B44D17"/>
    <w:rsid w:val="00B44D5D"/>
    <w:rsid w:val="00B44D72"/>
    <w:rsid w:val="00B44DA1"/>
    <w:rsid w:val="00B44E2E"/>
    <w:rsid w:val="00B44E42"/>
    <w:rsid w:val="00B44E66"/>
    <w:rsid w:val="00B44E6B"/>
    <w:rsid w:val="00B44EB0"/>
    <w:rsid w:val="00B44ECE"/>
    <w:rsid w:val="00B44F02"/>
    <w:rsid w:val="00B44F50"/>
    <w:rsid w:val="00B44F5F"/>
    <w:rsid w:val="00B44F69"/>
    <w:rsid w:val="00B45017"/>
    <w:rsid w:val="00B4503E"/>
    <w:rsid w:val="00B45057"/>
    <w:rsid w:val="00B45067"/>
    <w:rsid w:val="00B45092"/>
    <w:rsid w:val="00B450B3"/>
    <w:rsid w:val="00B45181"/>
    <w:rsid w:val="00B4519B"/>
    <w:rsid w:val="00B451BE"/>
    <w:rsid w:val="00B451C5"/>
    <w:rsid w:val="00B451C6"/>
    <w:rsid w:val="00B4523B"/>
    <w:rsid w:val="00B45273"/>
    <w:rsid w:val="00B452C3"/>
    <w:rsid w:val="00B452C6"/>
    <w:rsid w:val="00B453A9"/>
    <w:rsid w:val="00B453C4"/>
    <w:rsid w:val="00B453FD"/>
    <w:rsid w:val="00B45473"/>
    <w:rsid w:val="00B45474"/>
    <w:rsid w:val="00B4549D"/>
    <w:rsid w:val="00B454BA"/>
    <w:rsid w:val="00B454BC"/>
    <w:rsid w:val="00B454C3"/>
    <w:rsid w:val="00B45514"/>
    <w:rsid w:val="00B45548"/>
    <w:rsid w:val="00B45554"/>
    <w:rsid w:val="00B455D5"/>
    <w:rsid w:val="00B45602"/>
    <w:rsid w:val="00B45614"/>
    <w:rsid w:val="00B45657"/>
    <w:rsid w:val="00B45669"/>
    <w:rsid w:val="00B45671"/>
    <w:rsid w:val="00B456A6"/>
    <w:rsid w:val="00B456AD"/>
    <w:rsid w:val="00B456EA"/>
    <w:rsid w:val="00B45702"/>
    <w:rsid w:val="00B4572C"/>
    <w:rsid w:val="00B45733"/>
    <w:rsid w:val="00B45758"/>
    <w:rsid w:val="00B45794"/>
    <w:rsid w:val="00B4579C"/>
    <w:rsid w:val="00B457A8"/>
    <w:rsid w:val="00B457C2"/>
    <w:rsid w:val="00B457F3"/>
    <w:rsid w:val="00B45813"/>
    <w:rsid w:val="00B45825"/>
    <w:rsid w:val="00B4582F"/>
    <w:rsid w:val="00B4586A"/>
    <w:rsid w:val="00B4587D"/>
    <w:rsid w:val="00B458E3"/>
    <w:rsid w:val="00B45909"/>
    <w:rsid w:val="00B45922"/>
    <w:rsid w:val="00B45924"/>
    <w:rsid w:val="00B45943"/>
    <w:rsid w:val="00B4595F"/>
    <w:rsid w:val="00B459CA"/>
    <w:rsid w:val="00B45A00"/>
    <w:rsid w:val="00B45A2D"/>
    <w:rsid w:val="00B45A65"/>
    <w:rsid w:val="00B45A6B"/>
    <w:rsid w:val="00B45A6E"/>
    <w:rsid w:val="00B45AAE"/>
    <w:rsid w:val="00B45AEC"/>
    <w:rsid w:val="00B45AFF"/>
    <w:rsid w:val="00B45B54"/>
    <w:rsid w:val="00B45B88"/>
    <w:rsid w:val="00B45C7E"/>
    <w:rsid w:val="00B45C9A"/>
    <w:rsid w:val="00B45D50"/>
    <w:rsid w:val="00B45D70"/>
    <w:rsid w:val="00B45D7B"/>
    <w:rsid w:val="00B45DC8"/>
    <w:rsid w:val="00B45DDB"/>
    <w:rsid w:val="00B45E21"/>
    <w:rsid w:val="00B45E27"/>
    <w:rsid w:val="00B45E2E"/>
    <w:rsid w:val="00B45E51"/>
    <w:rsid w:val="00B45E74"/>
    <w:rsid w:val="00B45EAA"/>
    <w:rsid w:val="00B45ED4"/>
    <w:rsid w:val="00B45EDA"/>
    <w:rsid w:val="00B45EF2"/>
    <w:rsid w:val="00B45F90"/>
    <w:rsid w:val="00B45FBC"/>
    <w:rsid w:val="00B46036"/>
    <w:rsid w:val="00B4614F"/>
    <w:rsid w:val="00B46157"/>
    <w:rsid w:val="00B46187"/>
    <w:rsid w:val="00B4618F"/>
    <w:rsid w:val="00B461B0"/>
    <w:rsid w:val="00B46210"/>
    <w:rsid w:val="00B46273"/>
    <w:rsid w:val="00B462DB"/>
    <w:rsid w:val="00B462FE"/>
    <w:rsid w:val="00B462FF"/>
    <w:rsid w:val="00B46327"/>
    <w:rsid w:val="00B46335"/>
    <w:rsid w:val="00B46363"/>
    <w:rsid w:val="00B4636E"/>
    <w:rsid w:val="00B4638D"/>
    <w:rsid w:val="00B463CE"/>
    <w:rsid w:val="00B46406"/>
    <w:rsid w:val="00B46409"/>
    <w:rsid w:val="00B4641C"/>
    <w:rsid w:val="00B46446"/>
    <w:rsid w:val="00B46486"/>
    <w:rsid w:val="00B464B6"/>
    <w:rsid w:val="00B464FD"/>
    <w:rsid w:val="00B4650C"/>
    <w:rsid w:val="00B46531"/>
    <w:rsid w:val="00B46550"/>
    <w:rsid w:val="00B4655E"/>
    <w:rsid w:val="00B465D7"/>
    <w:rsid w:val="00B465E6"/>
    <w:rsid w:val="00B4664E"/>
    <w:rsid w:val="00B4665F"/>
    <w:rsid w:val="00B46670"/>
    <w:rsid w:val="00B466B4"/>
    <w:rsid w:val="00B466F0"/>
    <w:rsid w:val="00B466F5"/>
    <w:rsid w:val="00B4676F"/>
    <w:rsid w:val="00B4677B"/>
    <w:rsid w:val="00B467BD"/>
    <w:rsid w:val="00B467C9"/>
    <w:rsid w:val="00B467E5"/>
    <w:rsid w:val="00B467EE"/>
    <w:rsid w:val="00B4680C"/>
    <w:rsid w:val="00B46852"/>
    <w:rsid w:val="00B46859"/>
    <w:rsid w:val="00B46874"/>
    <w:rsid w:val="00B468DB"/>
    <w:rsid w:val="00B468E7"/>
    <w:rsid w:val="00B468F6"/>
    <w:rsid w:val="00B4690C"/>
    <w:rsid w:val="00B4692C"/>
    <w:rsid w:val="00B469EC"/>
    <w:rsid w:val="00B46A0E"/>
    <w:rsid w:val="00B46A59"/>
    <w:rsid w:val="00B46AED"/>
    <w:rsid w:val="00B46B1B"/>
    <w:rsid w:val="00B46B1C"/>
    <w:rsid w:val="00B46BB6"/>
    <w:rsid w:val="00B46BE7"/>
    <w:rsid w:val="00B46C0E"/>
    <w:rsid w:val="00B46C10"/>
    <w:rsid w:val="00B46C31"/>
    <w:rsid w:val="00B46C55"/>
    <w:rsid w:val="00B46C69"/>
    <w:rsid w:val="00B46D0B"/>
    <w:rsid w:val="00B46D55"/>
    <w:rsid w:val="00B46DD2"/>
    <w:rsid w:val="00B46E1A"/>
    <w:rsid w:val="00B46E3C"/>
    <w:rsid w:val="00B46E47"/>
    <w:rsid w:val="00B46F34"/>
    <w:rsid w:val="00B46F36"/>
    <w:rsid w:val="00B46F37"/>
    <w:rsid w:val="00B46F39"/>
    <w:rsid w:val="00B46F94"/>
    <w:rsid w:val="00B46FD0"/>
    <w:rsid w:val="00B47120"/>
    <w:rsid w:val="00B471A0"/>
    <w:rsid w:val="00B472CA"/>
    <w:rsid w:val="00B47311"/>
    <w:rsid w:val="00B47383"/>
    <w:rsid w:val="00B47385"/>
    <w:rsid w:val="00B473F2"/>
    <w:rsid w:val="00B473FF"/>
    <w:rsid w:val="00B47407"/>
    <w:rsid w:val="00B47428"/>
    <w:rsid w:val="00B4752B"/>
    <w:rsid w:val="00B47536"/>
    <w:rsid w:val="00B47546"/>
    <w:rsid w:val="00B47565"/>
    <w:rsid w:val="00B47574"/>
    <w:rsid w:val="00B475AA"/>
    <w:rsid w:val="00B475B7"/>
    <w:rsid w:val="00B475D8"/>
    <w:rsid w:val="00B475DE"/>
    <w:rsid w:val="00B4766D"/>
    <w:rsid w:val="00B476A2"/>
    <w:rsid w:val="00B476AA"/>
    <w:rsid w:val="00B476B9"/>
    <w:rsid w:val="00B47763"/>
    <w:rsid w:val="00B4776B"/>
    <w:rsid w:val="00B4776E"/>
    <w:rsid w:val="00B47842"/>
    <w:rsid w:val="00B4784E"/>
    <w:rsid w:val="00B4790F"/>
    <w:rsid w:val="00B47998"/>
    <w:rsid w:val="00B479F9"/>
    <w:rsid w:val="00B479FF"/>
    <w:rsid w:val="00B47A1A"/>
    <w:rsid w:val="00B47A2C"/>
    <w:rsid w:val="00B47A88"/>
    <w:rsid w:val="00B47AB0"/>
    <w:rsid w:val="00B47AF2"/>
    <w:rsid w:val="00B47AFB"/>
    <w:rsid w:val="00B47B12"/>
    <w:rsid w:val="00B47B19"/>
    <w:rsid w:val="00B47B1E"/>
    <w:rsid w:val="00B47BA2"/>
    <w:rsid w:val="00B47BB2"/>
    <w:rsid w:val="00B47BE2"/>
    <w:rsid w:val="00B47BF2"/>
    <w:rsid w:val="00B47BF8"/>
    <w:rsid w:val="00B47C10"/>
    <w:rsid w:val="00B47C84"/>
    <w:rsid w:val="00B47CBE"/>
    <w:rsid w:val="00B47D04"/>
    <w:rsid w:val="00B47D19"/>
    <w:rsid w:val="00B47D2F"/>
    <w:rsid w:val="00B47D6B"/>
    <w:rsid w:val="00B47DB6"/>
    <w:rsid w:val="00B47DB8"/>
    <w:rsid w:val="00B47DC9"/>
    <w:rsid w:val="00B47DDE"/>
    <w:rsid w:val="00B47DF5"/>
    <w:rsid w:val="00B47E37"/>
    <w:rsid w:val="00B47E3D"/>
    <w:rsid w:val="00B47E41"/>
    <w:rsid w:val="00B47E4E"/>
    <w:rsid w:val="00B47EB7"/>
    <w:rsid w:val="00B47F20"/>
    <w:rsid w:val="00B47FB3"/>
    <w:rsid w:val="00B50006"/>
    <w:rsid w:val="00B50072"/>
    <w:rsid w:val="00B5009E"/>
    <w:rsid w:val="00B500A5"/>
    <w:rsid w:val="00B500D0"/>
    <w:rsid w:val="00B500D7"/>
    <w:rsid w:val="00B50100"/>
    <w:rsid w:val="00B50110"/>
    <w:rsid w:val="00B50144"/>
    <w:rsid w:val="00B50235"/>
    <w:rsid w:val="00B502FE"/>
    <w:rsid w:val="00B5031F"/>
    <w:rsid w:val="00B50348"/>
    <w:rsid w:val="00B50383"/>
    <w:rsid w:val="00B503A9"/>
    <w:rsid w:val="00B503B4"/>
    <w:rsid w:val="00B503B8"/>
    <w:rsid w:val="00B503E1"/>
    <w:rsid w:val="00B503ED"/>
    <w:rsid w:val="00B503F1"/>
    <w:rsid w:val="00B50412"/>
    <w:rsid w:val="00B50443"/>
    <w:rsid w:val="00B5045A"/>
    <w:rsid w:val="00B504B7"/>
    <w:rsid w:val="00B504F5"/>
    <w:rsid w:val="00B50517"/>
    <w:rsid w:val="00B50533"/>
    <w:rsid w:val="00B50551"/>
    <w:rsid w:val="00B50562"/>
    <w:rsid w:val="00B5059E"/>
    <w:rsid w:val="00B5063E"/>
    <w:rsid w:val="00B50643"/>
    <w:rsid w:val="00B5067F"/>
    <w:rsid w:val="00B50688"/>
    <w:rsid w:val="00B506DD"/>
    <w:rsid w:val="00B50701"/>
    <w:rsid w:val="00B50731"/>
    <w:rsid w:val="00B50735"/>
    <w:rsid w:val="00B50771"/>
    <w:rsid w:val="00B50783"/>
    <w:rsid w:val="00B507BF"/>
    <w:rsid w:val="00B507CB"/>
    <w:rsid w:val="00B507DC"/>
    <w:rsid w:val="00B507E8"/>
    <w:rsid w:val="00B5083B"/>
    <w:rsid w:val="00B5084A"/>
    <w:rsid w:val="00B5087D"/>
    <w:rsid w:val="00B50899"/>
    <w:rsid w:val="00B508B2"/>
    <w:rsid w:val="00B508D8"/>
    <w:rsid w:val="00B508F1"/>
    <w:rsid w:val="00B50921"/>
    <w:rsid w:val="00B50948"/>
    <w:rsid w:val="00B50951"/>
    <w:rsid w:val="00B50985"/>
    <w:rsid w:val="00B509AB"/>
    <w:rsid w:val="00B509FC"/>
    <w:rsid w:val="00B50A18"/>
    <w:rsid w:val="00B50A3B"/>
    <w:rsid w:val="00B50A62"/>
    <w:rsid w:val="00B50A8D"/>
    <w:rsid w:val="00B50AC4"/>
    <w:rsid w:val="00B50AF8"/>
    <w:rsid w:val="00B50B22"/>
    <w:rsid w:val="00B50C83"/>
    <w:rsid w:val="00B50CBE"/>
    <w:rsid w:val="00B50CE2"/>
    <w:rsid w:val="00B50D5B"/>
    <w:rsid w:val="00B50D6C"/>
    <w:rsid w:val="00B50DC8"/>
    <w:rsid w:val="00B50DE0"/>
    <w:rsid w:val="00B50DFA"/>
    <w:rsid w:val="00B50E4D"/>
    <w:rsid w:val="00B50E6D"/>
    <w:rsid w:val="00B50E86"/>
    <w:rsid w:val="00B50ED1"/>
    <w:rsid w:val="00B50EE9"/>
    <w:rsid w:val="00B50F09"/>
    <w:rsid w:val="00B50FD2"/>
    <w:rsid w:val="00B50FD4"/>
    <w:rsid w:val="00B51020"/>
    <w:rsid w:val="00B51054"/>
    <w:rsid w:val="00B51069"/>
    <w:rsid w:val="00B51083"/>
    <w:rsid w:val="00B510C1"/>
    <w:rsid w:val="00B510E7"/>
    <w:rsid w:val="00B51136"/>
    <w:rsid w:val="00B51248"/>
    <w:rsid w:val="00B5124D"/>
    <w:rsid w:val="00B512EC"/>
    <w:rsid w:val="00B51311"/>
    <w:rsid w:val="00B51344"/>
    <w:rsid w:val="00B51375"/>
    <w:rsid w:val="00B5138B"/>
    <w:rsid w:val="00B5139F"/>
    <w:rsid w:val="00B513CE"/>
    <w:rsid w:val="00B51449"/>
    <w:rsid w:val="00B51470"/>
    <w:rsid w:val="00B514DB"/>
    <w:rsid w:val="00B514F4"/>
    <w:rsid w:val="00B51507"/>
    <w:rsid w:val="00B51526"/>
    <w:rsid w:val="00B5153B"/>
    <w:rsid w:val="00B515BA"/>
    <w:rsid w:val="00B51680"/>
    <w:rsid w:val="00B51710"/>
    <w:rsid w:val="00B5173D"/>
    <w:rsid w:val="00B51766"/>
    <w:rsid w:val="00B51771"/>
    <w:rsid w:val="00B517AD"/>
    <w:rsid w:val="00B517FA"/>
    <w:rsid w:val="00B5184A"/>
    <w:rsid w:val="00B51877"/>
    <w:rsid w:val="00B5187E"/>
    <w:rsid w:val="00B51880"/>
    <w:rsid w:val="00B51942"/>
    <w:rsid w:val="00B51950"/>
    <w:rsid w:val="00B51951"/>
    <w:rsid w:val="00B519B6"/>
    <w:rsid w:val="00B51A11"/>
    <w:rsid w:val="00B51A57"/>
    <w:rsid w:val="00B51A77"/>
    <w:rsid w:val="00B51ACF"/>
    <w:rsid w:val="00B51B03"/>
    <w:rsid w:val="00B51B0C"/>
    <w:rsid w:val="00B51B27"/>
    <w:rsid w:val="00B51BAE"/>
    <w:rsid w:val="00B51BCF"/>
    <w:rsid w:val="00B51BF4"/>
    <w:rsid w:val="00B51C02"/>
    <w:rsid w:val="00B51C14"/>
    <w:rsid w:val="00B51C26"/>
    <w:rsid w:val="00B51C2D"/>
    <w:rsid w:val="00B51C4C"/>
    <w:rsid w:val="00B51C59"/>
    <w:rsid w:val="00B51C72"/>
    <w:rsid w:val="00B51CBA"/>
    <w:rsid w:val="00B51D72"/>
    <w:rsid w:val="00B51E01"/>
    <w:rsid w:val="00B51E16"/>
    <w:rsid w:val="00B51E6B"/>
    <w:rsid w:val="00B51EFA"/>
    <w:rsid w:val="00B51F66"/>
    <w:rsid w:val="00B51F7E"/>
    <w:rsid w:val="00B51F91"/>
    <w:rsid w:val="00B51F97"/>
    <w:rsid w:val="00B51F9A"/>
    <w:rsid w:val="00B52015"/>
    <w:rsid w:val="00B52017"/>
    <w:rsid w:val="00B52052"/>
    <w:rsid w:val="00B52078"/>
    <w:rsid w:val="00B520DD"/>
    <w:rsid w:val="00B52105"/>
    <w:rsid w:val="00B52151"/>
    <w:rsid w:val="00B521E6"/>
    <w:rsid w:val="00B521F9"/>
    <w:rsid w:val="00B52245"/>
    <w:rsid w:val="00B522A5"/>
    <w:rsid w:val="00B522B6"/>
    <w:rsid w:val="00B522BF"/>
    <w:rsid w:val="00B52313"/>
    <w:rsid w:val="00B52332"/>
    <w:rsid w:val="00B523DB"/>
    <w:rsid w:val="00B52461"/>
    <w:rsid w:val="00B524C9"/>
    <w:rsid w:val="00B52551"/>
    <w:rsid w:val="00B5261E"/>
    <w:rsid w:val="00B5262E"/>
    <w:rsid w:val="00B5269F"/>
    <w:rsid w:val="00B526B9"/>
    <w:rsid w:val="00B526E9"/>
    <w:rsid w:val="00B526ED"/>
    <w:rsid w:val="00B5271A"/>
    <w:rsid w:val="00B52724"/>
    <w:rsid w:val="00B5274E"/>
    <w:rsid w:val="00B5275D"/>
    <w:rsid w:val="00B52764"/>
    <w:rsid w:val="00B5276B"/>
    <w:rsid w:val="00B52861"/>
    <w:rsid w:val="00B5287B"/>
    <w:rsid w:val="00B528F6"/>
    <w:rsid w:val="00B52927"/>
    <w:rsid w:val="00B52932"/>
    <w:rsid w:val="00B52992"/>
    <w:rsid w:val="00B5299B"/>
    <w:rsid w:val="00B529ED"/>
    <w:rsid w:val="00B52A12"/>
    <w:rsid w:val="00B52A43"/>
    <w:rsid w:val="00B52A9F"/>
    <w:rsid w:val="00B52AAD"/>
    <w:rsid w:val="00B52AD5"/>
    <w:rsid w:val="00B52B0D"/>
    <w:rsid w:val="00B52B1E"/>
    <w:rsid w:val="00B52B27"/>
    <w:rsid w:val="00B52BB1"/>
    <w:rsid w:val="00B52C2D"/>
    <w:rsid w:val="00B52C4C"/>
    <w:rsid w:val="00B52C9E"/>
    <w:rsid w:val="00B52CCC"/>
    <w:rsid w:val="00B52D17"/>
    <w:rsid w:val="00B52D48"/>
    <w:rsid w:val="00B52DB0"/>
    <w:rsid w:val="00B52DDE"/>
    <w:rsid w:val="00B52E0C"/>
    <w:rsid w:val="00B52E1A"/>
    <w:rsid w:val="00B52EC3"/>
    <w:rsid w:val="00B52F08"/>
    <w:rsid w:val="00B52F50"/>
    <w:rsid w:val="00B52F57"/>
    <w:rsid w:val="00B53063"/>
    <w:rsid w:val="00B53064"/>
    <w:rsid w:val="00B5308C"/>
    <w:rsid w:val="00B530CC"/>
    <w:rsid w:val="00B530F6"/>
    <w:rsid w:val="00B530F9"/>
    <w:rsid w:val="00B53125"/>
    <w:rsid w:val="00B53141"/>
    <w:rsid w:val="00B53167"/>
    <w:rsid w:val="00B531A5"/>
    <w:rsid w:val="00B531AA"/>
    <w:rsid w:val="00B531D2"/>
    <w:rsid w:val="00B5322C"/>
    <w:rsid w:val="00B53267"/>
    <w:rsid w:val="00B532DE"/>
    <w:rsid w:val="00B5332B"/>
    <w:rsid w:val="00B53346"/>
    <w:rsid w:val="00B53373"/>
    <w:rsid w:val="00B5337C"/>
    <w:rsid w:val="00B533A9"/>
    <w:rsid w:val="00B533D0"/>
    <w:rsid w:val="00B53413"/>
    <w:rsid w:val="00B53439"/>
    <w:rsid w:val="00B53452"/>
    <w:rsid w:val="00B53471"/>
    <w:rsid w:val="00B534B1"/>
    <w:rsid w:val="00B53539"/>
    <w:rsid w:val="00B53593"/>
    <w:rsid w:val="00B535E5"/>
    <w:rsid w:val="00B535E8"/>
    <w:rsid w:val="00B5362C"/>
    <w:rsid w:val="00B53685"/>
    <w:rsid w:val="00B536A2"/>
    <w:rsid w:val="00B536B6"/>
    <w:rsid w:val="00B536D7"/>
    <w:rsid w:val="00B53742"/>
    <w:rsid w:val="00B5375F"/>
    <w:rsid w:val="00B537F3"/>
    <w:rsid w:val="00B53854"/>
    <w:rsid w:val="00B5386B"/>
    <w:rsid w:val="00B53888"/>
    <w:rsid w:val="00B538A4"/>
    <w:rsid w:val="00B538AF"/>
    <w:rsid w:val="00B538CA"/>
    <w:rsid w:val="00B53944"/>
    <w:rsid w:val="00B53945"/>
    <w:rsid w:val="00B53A71"/>
    <w:rsid w:val="00B53A89"/>
    <w:rsid w:val="00B53A91"/>
    <w:rsid w:val="00B53AD7"/>
    <w:rsid w:val="00B53AE5"/>
    <w:rsid w:val="00B53B67"/>
    <w:rsid w:val="00B53BA3"/>
    <w:rsid w:val="00B53BE4"/>
    <w:rsid w:val="00B53BF6"/>
    <w:rsid w:val="00B53C21"/>
    <w:rsid w:val="00B53C27"/>
    <w:rsid w:val="00B53C4F"/>
    <w:rsid w:val="00B53CD4"/>
    <w:rsid w:val="00B53CE1"/>
    <w:rsid w:val="00B53D1F"/>
    <w:rsid w:val="00B53D2C"/>
    <w:rsid w:val="00B53D3B"/>
    <w:rsid w:val="00B53D4E"/>
    <w:rsid w:val="00B53D67"/>
    <w:rsid w:val="00B53DB2"/>
    <w:rsid w:val="00B53DCA"/>
    <w:rsid w:val="00B53DF1"/>
    <w:rsid w:val="00B53E0E"/>
    <w:rsid w:val="00B53E3B"/>
    <w:rsid w:val="00B53E4F"/>
    <w:rsid w:val="00B53EBD"/>
    <w:rsid w:val="00B53F04"/>
    <w:rsid w:val="00B53F2D"/>
    <w:rsid w:val="00B53F3E"/>
    <w:rsid w:val="00B53F93"/>
    <w:rsid w:val="00B54034"/>
    <w:rsid w:val="00B5408B"/>
    <w:rsid w:val="00B540B4"/>
    <w:rsid w:val="00B540C4"/>
    <w:rsid w:val="00B540FE"/>
    <w:rsid w:val="00B54153"/>
    <w:rsid w:val="00B5416A"/>
    <w:rsid w:val="00B541C6"/>
    <w:rsid w:val="00B541C9"/>
    <w:rsid w:val="00B5427A"/>
    <w:rsid w:val="00B5427B"/>
    <w:rsid w:val="00B5428F"/>
    <w:rsid w:val="00B542BF"/>
    <w:rsid w:val="00B542E9"/>
    <w:rsid w:val="00B542F5"/>
    <w:rsid w:val="00B54312"/>
    <w:rsid w:val="00B54326"/>
    <w:rsid w:val="00B5432A"/>
    <w:rsid w:val="00B5433E"/>
    <w:rsid w:val="00B5434C"/>
    <w:rsid w:val="00B5435C"/>
    <w:rsid w:val="00B54362"/>
    <w:rsid w:val="00B54394"/>
    <w:rsid w:val="00B543E1"/>
    <w:rsid w:val="00B54402"/>
    <w:rsid w:val="00B54433"/>
    <w:rsid w:val="00B54461"/>
    <w:rsid w:val="00B544CD"/>
    <w:rsid w:val="00B54531"/>
    <w:rsid w:val="00B54538"/>
    <w:rsid w:val="00B54599"/>
    <w:rsid w:val="00B5462C"/>
    <w:rsid w:val="00B54652"/>
    <w:rsid w:val="00B54665"/>
    <w:rsid w:val="00B54685"/>
    <w:rsid w:val="00B546B7"/>
    <w:rsid w:val="00B54703"/>
    <w:rsid w:val="00B54757"/>
    <w:rsid w:val="00B54775"/>
    <w:rsid w:val="00B547B8"/>
    <w:rsid w:val="00B547BD"/>
    <w:rsid w:val="00B547ED"/>
    <w:rsid w:val="00B547F6"/>
    <w:rsid w:val="00B548C2"/>
    <w:rsid w:val="00B548D0"/>
    <w:rsid w:val="00B548EE"/>
    <w:rsid w:val="00B54942"/>
    <w:rsid w:val="00B54956"/>
    <w:rsid w:val="00B5498F"/>
    <w:rsid w:val="00B549A7"/>
    <w:rsid w:val="00B549EC"/>
    <w:rsid w:val="00B54AAD"/>
    <w:rsid w:val="00B54ABF"/>
    <w:rsid w:val="00B54AFE"/>
    <w:rsid w:val="00B54B03"/>
    <w:rsid w:val="00B54B0D"/>
    <w:rsid w:val="00B54B1C"/>
    <w:rsid w:val="00B54B75"/>
    <w:rsid w:val="00B54B8B"/>
    <w:rsid w:val="00B54BD3"/>
    <w:rsid w:val="00B54C10"/>
    <w:rsid w:val="00B54C3D"/>
    <w:rsid w:val="00B54C5C"/>
    <w:rsid w:val="00B54C71"/>
    <w:rsid w:val="00B54C7D"/>
    <w:rsid w:val="00B54CAA"/>
    <w:rsid w:val="00B54CAC"/>
    <w:rsid w:val="00B54CBF"/>
    <w:rsid w:val="00B54CC5"/>
    <w:rsid w:val="00B54CDF"/>
    <w:rsid w:val="00B54CE7"/>
    <w:rsid w:val="00B54D47"/>
    <w:rsid w:val="00B54D76"/>
    <w:rsid w:val="00B54DB2"/>
    <w:rsid w:val="00B54DC8"/>
    <w:rsid w:val="00B54DF6"/>
    <w:rsid w:val="00B54E2D"/>
    <w:rsid w:val="00B54E37"/>
    <w:rsid w:val="00B54E79"/>
    <w:rsid w:val="00B54E93"/>
    <w:rsid w:val="00B54ECB"/>
    <w:rsid w:val="00B54ED0"/>
    <w:rsid w:val="00B54EEF"/>
    <w:rsid w:val="00B54EFE"/>
    <w:rsid w:val="00B54F7A"/>
    <w:rsid w:val="00B54FA1"/>
    <w:rsid w:val="00B54FA3"/>
    <w:rsid w:val="00B54FBF"/>
    <w:rsid w:val="00B54FDF"/>
    <w:rsid w:val="00B55000"/>
    <w:rsid w:val="00B5501F"/>
    <w:rsid w:val="00B55023"/>
    <w:rsid w:val="00B55041"/>
    <w:rsid w:val="00B55045"/>
    <w:rsid w:val="00B550A8"/>
    <w:rsid w:val="00B550B6"/>
    <w:rsid w:val="00B55157"/>
    <w:rsid w:val="00B5516B"/>
    <w:rsid w:val="00B55178"/>
    <w:rsid w:val="00B5517D"/>
    <w:rsid w:val="00B55188"/>
    <w:rsid w:val="00B5518E"/>
    <w:rsid w:val="00B551A0"/>
    <w:rsid w:val="00B551A2"/>
    <w:rsid w:val="00B551CF"/>
    <w:rsid w:val="00B55200"/>
    <w:rsid w:val="00B55204"/>
    <w:rsid w:val="00B55212"/>
    <w:rsid w:val="00B55266"/>
    <w:rsid w:val="00B55276"/>
    <w:rsid w:val="00B552B9"/>
    <w:rsid w:val="00B552D7"/>
    <w:rsid w:val="00B552E9"/>
    <w:rsid w:val="00B552ED"/>
    <w:rsid w:val="00B552F3"/>
    <w:rsid w:val="00B55303"/>
    <w:rsid w:val="00B5533A"/>
    <w:rsid w:val="00B55343"/>
    <w:rsid w:val="00B55356"/>
    <w:rsid w:val="00B55387"/>
    <w:rsid w:val="00B553A7"/>
    <w:rsid w:val="00B553F0"/>
    <w:rsid w:val="00B5541E"/>
    <w:rsid w:val="00B554BE"/>
    <w:rsid w:val="00B554CF"/>
    <w:rsid w:val="00B55500"/>
    <w:rsid w:val="00B55563"/>
    <w:rsid w:val="00B55583"/>
    <w:rsid w:val="00B55605"/>
    <w:rsid w:val="00B55650"/>
    <w:rsid w:val="00B55651"/>
    <w:rsid w:val="00B556C2"/>
    <w:rsid w:val="00B556D7"/>
    <w:rsid w:val="00B55733"/>
    <w:rsid w:val="00B55754"/>
    <w:rsid w:val="00B557C3"/>
    <w:rsid w:val="00B557F8"/>
    <w:rsid w:val="00B55848"/>
    <w:rsid w:val="00B558AF"/>
    <w:rsid w:val="00B559A4"/>
    <w:rsid w:val="00B559B0"/>
    <w:rsid w:val="00B55A26"/>
    <w:rsid w:val="00B55ABB"/>
    <w:rsid w:val="00B55AE1"/>
    <w:rsid w:val="00B55AFD"/>
    <w:rsid w:val="00B55B41"/>
    <w:rsid w:val="00B55BC8"/>
    <w:rsid w:val="00B55C5A"/>
    <w:rsid w:val="00B55C86"/>
    <w:rsid w:val="00B55C97"/>
    <w:rsid w:val="00B55D2E"/>
    <w:rsid w:val="00B55D73"/>
    <w:rsid w:val="00B55D7A"/>
    <w:rsid w:val="00B55DAE"/>
    <w:rsid w:val="00B55DB2"/>
    <w:rsid w:val="00B55DBC"/>
    <w:rsid w:val="00B55DBD"/>
    <w:rsid w:val="00B55E18"/>
    <w:rsid w:val="00B55E66"/>
    <w:rsid w:val="00B55EF1"/>
    <w:rsid w:val="00B55F43"/>
    <w:rsid w:val="00B55F87"/>
    <w:rsid w:val="00B55FC5"/>
    <w:rsid w:val="00B56055"/>
    <w:rsid w:val="00B560B4"/>
    <w:rsid w:val="00B560EA"/>
    <w:rsid w:val="00B560F2"/>
    <w:rsid w:val="00B56100"/>
    <w:rsid w:val="00B56102"/>
    <w:rsid w:val="00B56120"/>
    <w:rsid w:val="00B56122"/>
    <w:rsid w:val="00B56194"/>
    <w:rsid w:val="00B561A1"/>
    <w:rsid w:val="00B56218"/>
    <w:rsid w:val="00B5624E"/>
    <w:rsid w:val="00B56294"/>
    <w:rsid w:val="00B562E4"/>
    <w:rsid w:val="00B562FE"/>
    <w:rsid w:val="00B5635A"/>
    <w:rsid w:val="00B5636E"/>
    <w:rsid w:val="00B56370"/>
    <w:rsid w:val="00B563A2"/>
    <w:rsid w:val="00B56401"/>
    <w:rsid w:val="00B56408"/>
    <w:rsid w:val="00B56425"/>
    <w:rsid w:val="00B56497"/>
    <w:rsid w:val="00B5651C"/>
    <w:rsid w:val="00B56527"/>
    <w:rsid w:val="00B565B5"/>
    <w:rsid w:val="00B565D8"/>
    <w:rsid w:val="00B56653"/>
    <w:rsid w:val="00B56674"/>
    <w:rsid w:val="00B566C2"/>
    <w:rsid w:val="00B566D6"/>
    <w:rsid w:val="00B56711"/>
    <w:rsid w:val="00B5671F"/>
    <w:rsid w:val="00B5672F"/>
    <w:rsid w:val="00B5673B"/>
    <w:rsid w:val="00B56772"/>
    <w:rsid w:val="00B56779"/>
    <w:rsid w:val="00B567DF"/>
    <w:rsid w:val="00B567E2"/>
    <w:rsid w:val="00B56816"/>
    <w:rsid w:val="00B56847"/>
    <w:rsid w:val="00B56885"/>
    <w:rsid w:val="00B568C5"/>
    <w:rsid w:val="00B568EA"/>
    <w:rsid w:val="00B5694C"/>
    <w:rsid w:val="00B5697E"/>
    <w:rsid w:val="00B56A1C"/>
    <w:rsid w:val="00B56A31"/>
    <w:rsid w:val="00B56A32"/>
    <w:rsid w:val="00B56A35"/>
    <w:rsid w:val="00B56A65"/>
    <w:rsid w:val="00B56A7E"/>
    <w:rsid w:val="00B56AFA"/>
    <w:rsid w:val="00B56B07"/>
    <w:rsid w:val="00B56B36"/>
    <w:rsid w:val="00B56B52"/>
    <w:rsid w:val="00B56B59"/>
    <w:rsid w:val="00B56B95"/>
    <w:rsid w:val="00B56BCF"/>
    <w:rsid w:val="00B56BE4"/>
    <w:rsid w:val="00B56C2A"/>
    <w:rsid w:val="00B56C89"/>
    <w:rsid w:val="00B56C9A"/>
    <w:rsid w:val="00B56CD4"/>
    <w:rsid w:val="00B56CD9"/>
    <w:rsid w:val="00B56CFA"/>
    <w:rsid w:val="00B56D1B"/>
    <w:rsid w:val="00B56D23"/>
    <w:rsid w:val="00B56D3C"/>
    <w:rsid w:val="00B56DA6"/>
    <w:rsid w:val="00B56DAE"/>
    <w:rsid w:val="00B56DE6"/>
    <w:rsid w:val="00B56E09"/>
    <w:rsid w:val="00B56E5E"/>
    <w:rsid w:val="00B56E75"/>
    <w:rsid w:val="00B56EA3"/>
    <w:rsid w:val="00B56EB0"/>
    <w:rsid w:val="00B56ED2"/>
    <w:rsid w:val="00B56EEC"/>
    <w:rsid w:val="00B56F1F"/>
    <w:rsid w:val="00B56F21"/>
    <w:rsid w:val="00B56F33"/>
    <w:rsid w:val="00B56F6D"/>
    <w:rsid w:val="00B56FDB"/>
    <w:rsid w:val="00B57047"/>
    <w:rsid w:val="00B57057"/>
    <w:rsid w:val="00B57065"/>
    <w:rsid w:val="00B570AB"/>
    <w:rsid w:val="00B570D5"/>
    <w:rsid w:val="00B570F8"/>
    <w:rsid w:val="00B57122"/>
    <w:rsid w:val="00B5713F"/>
    <w:rsid w:val="00B57198"/>
    <w:rsid w:val="00B571A3"/>
    <w:rsid w:val="00B57259"/>
    <w:rsid w:val="00B57260"/>
    <w:rsid w:val="00B572A4"/>
    <w:rsid w:val="00B572A9"/>
    <w:rsid w:val="00B572E9"/>
    <w:rsid w:val="00B573DE"/>
    <w:rsid w:val="00B573F3"/>
    <w:rsid w:val="00B57428"/>
    <w:rsid w:val="00B57442"/>
    <w:rsid w:val="00B574A8"/>
    <w:rsid w:val="00B574D2"/>
    <w:rsid w:val="00B57550"/>
    <w:rsid w:val="00B57557"/>
    <w:rsid w:val="00B57602"/>
    <w:rsid w:val="00B5760A"/>
    <w:rsid w:val="00B57636"/>
    <w:rsid w:val="00B57647"/>
    <w:rsid w:val="00B57676"/>
    <w:rsid w:val="00B57691"/>
    <w:rsid w:val="00B57715"/>
    <w:rsid w:val="00B57727"/>
    <w:rsid w:val="00B5772D"/>
    <w:rsid w:val="00B5775E"/>
    <w:rsid w:val="00B57763"/>
    <w:rsid w:val="00B57764"/>
    <w:rsid w:val="00B5779E"/>
    <w:rsid w:val="00B577A6"/>
    <w:rsid w:val="00B577CD"/>
    <w:rsid w:val="00B577F7"/>
    <w:rsid w:val="00B57805"/>
    <w:rsid w:val="00B57810"/>
    <w:rsid w:val="00B578A7"/>
    <w:rsid w:val="00B578E7"/>
    <w:rsid w:val="00B5796E"/>
    <w:rsid w:val="00B5798B"/>
    <w:rsid w:val="00B579A7"/>
    <w:rsid w:val="00B579AB"/>
    <w:rsid w:val="00B579EE"/>
    <w:rsid w:val="00B579F3"/>
    <w:rsid w:val="00B57A45"/>
    <w:rsid w:val="00B57A5F"/>
    <w:rsid w:val="00B57A76"/>
    <w:rsid w:val="00B57B4C"/>
    <w:rsid w:val="00B57B6F"/>
    <w:rsid w:val="00B57B85"/>
    <w:rsid w:val="00B57B8F"/>
    <w:rsid w:val="00B57B90"/>
    <w:rsid w:val="00B57BEE"/>
    <w:rsid w:val="00B57C43"/>
    <w:rsid w:val="00B57C8A"/>
    <w:rsid w:val="00B57C94"/>
    <w:rsid w:val="00B57C9A"/>
    <w:rsid w:val="00B57CD5"/>
    <w:rsid w:val="00B57E3C"/>
    <w:rsid w:val="00B57E8D"/>
    <w:rsid w:val="00B57E9E"/>
    <w:rsid w:val="00B57EB8"/>
    <w:rsid w:val="00B57ECB"/>
    <w:rsid w:val="00B57F12"/>
    <w:rsid w:val="00B57FA5"/>
    <w:rsid w:val="00B57FD8"/>
    <w:rsid w:val="00B57FF3"/>
    <w:rsid w:val="00B6002D"/>
    <w:rsid w:val="00B60039"/>
    <w:rsid w:val="00B60070"/>
    <w:rsid w:val="00B600A5"/>
    <w:rsid w:val="00B600C9"/>
    <w:rsid w:val="00B60140"/>
    <w:rsid w:val="00B6015F"/>
    <w:rsid w:val="00B601B0"/>
    <w:rsid w:val="00B60203"/>
    <w:rsid w:val="00B60256"/>
    <w:rsid w:val="00B602A1"/>
    <w:rsid w:val="00B60302"/>
    <w:rsid w:val="00B6030F"/>
    <w:rsid w:val="00B60327"/>
    <w:rsid w:val="00B60399"/>
    <w:rsid w:val="00B603B8"/>
    <w:rsid w:val="00B60431"/>
    <w:rsid w:val="00B6043E"/>
    <w:rsid w:val="00B60450"/>
    <w:rsid w:val="00B60469"/>
    <w:rsid w:val="00B604BC"/>
    <w:rsid w:val="00B604E4"/>
    <w:rsid w:val="00B604E9"/>
    <w:rsid w:val="00B60576"/>
    <w:rsid w:val="00B605E4"/>
    <w:rsid w:val="00B6062C"/>
    <w:rsid w:val="00B606BD"/>
    <w:rsid w:val="00B6070A"/>
    <w:rsid w:val="00B6070F"/>
    <w:rsid w:val="00B6074C"/>
    <w:rsid w:val="00B60763"/>
    <w:rsid w:val="00B60766"/>
    <w:rsid w:val="00B60773"/>
    <w:rsid w:val="00B6079B"/>
    <w:rsid w:val="00B607CD"/>
    <w:rsid w:val="00B60806"/>
    <w:rsid w:val="00B6082E"/>
    <w:rsid w:val="00B6088B"/>
    <w:rsid w:val="00B6088F"/>
    <w:rsid w:val="00B60925"/>
    <w:rsid w:val="00B6094C"/>
    <w:rsid w:val="00B609B5"/>
    <w:rsid w:val="00B609FC"/>
    <w:rsid w:val="00B60A2F"/>
    <w:rsid w:val="00B60A3D"/>
    <w:rsid w:val="00B60A40"/>
    <w:rsid w:val="00B60A94"/>
    <w:rsid w:val="00B60A9B"/>
    <w:rsid w:val="00B60AA9"/>
    <w:rsid w:val="00B60AAB"/>
    <w:rsid w:val="00B60AC2"/>
    <w:rsid w:val="00B60AD9"/>
    <w:rsid w:val="00B60AE1"/>
    <w:rsid w:val="00B60B35"/>
    <w:rsid w:val="00B60B65"/>
    <w:rsid w:val="00B60B86"/>
    <w:rsid w:val="00B60BCA"/>
    <w:rsid w:val="00B60C00"/>
    <w:rsid w:val="00B60C07"/>
    <w:rsid w:val="00B60C13"/>
    <w:rsid w:val="00B60C73"/>
    <w:rsid w:val="00B60C74"/>
    <w:rsid w:val="00B60C7F"/>
    <w:rsid w:val="00B60C8A"/>
    <w:rsid w:val="00B60C95"/>
    <w:rsid w:val="00B60D07"/>
    <w:rsid w:val="00B60D18"/>
    <w:rsid w:val="00B60D56"/>
    <w:rsid w:val="00B60D5A"/>
    <w:rsid w:val="00B60D95"/>
    <w:rsid w:val="00B60DAF"/>
    <w:rsid w:val="00B60DB2"/>
    <w:rsid w:val="00B60DB7"/>
    <w:rsid w:val="00B60DC2"/>
    <w:rsid w:val="00B60DD6"/>
    <w:rsid w:val="00B60DE8"/>
    <w:rsid w:val="00B60DEC"/>
    <w:rsid w:val="00B60E2B"/>
    <w:rsid w:val="00B60E41"/>
    <w:rsid w:val="00B60E48"/>
    <w:rsid w:val="00B60E75"/>
    <w:rsid w:val="00B60EAA"/>
    <w:rsid w:val="00B60EE0"/>
    <w:rsid w:val="00B60EEB"/>
    <w:rsid w:val="00B60F65"/>
    <w:rsid w:val="00B60F73"/>
    <w:rsid w:val="00B60FB5"/>
    <w:rsid w:val="00B60FD3"/>
    <w:rsid w:val="00B60FDE"/>
    <w:rsid w:val="00B61050"/>
    <w:rsid w:val="00B6105B"/>
    <w:rsid w:val="00B61071"/>
    <w:rsid w:val="00B6109E"/>
    <w:rsid w:val="00B610AE"/>
    <w:rsid w:val="00B610E9"/>
    <w:rsid w:val="00B61152"/>
    <w:rsid w:val="00B6115C"/>
    <w:rsid w:val="00B6117A"/>
    <w:rsid w:val="00B6119F"/>
    <w:rsid w:val="00B611D9"/>
    <w:rsid w:val="00B6125C"/>
    <w:rsid w:val="00B6129B"/>
    <w:rsid w:val="00B612BF"/>
    <w:rsid w:val="00B61335"/>
    <w:rsid w:val="00B613B7"/>
    <w:rsid w:val="00B61415"/>
    <w:rsid w:val="00B61472"/>
    <w:rsid w:val="00B614AB"/>
    <w:rsid w:val="00B614E1"/>
    <w:rsid w:val="00B614E4"/>
    <w:rsid w:val="00B61530"/>
    <w:rsid w:val="00B61563"/>
    <w:rsid w:val="00B6167A"/>
    <w:rsid w:val="00B61692"/>
    <w:rsid w:val="00B616FF"/>
    <w:rsid w:val="00B6173E"/>
    <w:rsid w:val="00B61755"/>
    <w:rsid w:val="00B61767"/>
    <w:rsid w:val="00B6176B"/>
    <w:rsid w:val="00B617A3"/>
    <w:rsid w:val="00B617BE"/>
    <w:rsid w:val="00B617FD"/>
    <w:rsid w:val="00B6182F"/>
    <w:rsid w:val="00B6183B"/>
    <w:rsid w:val="00B618AD"/>
    <w:rsid w:val="00B618C5"/>
    <w:rsid w:val="00B61913"/>
    <w:rsid w:val="00B6194A"/>
    <w:rsid w:val="00B61970"/>
    <w:rsid w:val="00B6199D"/>
    <w:rsid w:val="00B6199E"/>
    <w:rsid w:val="00B619D9"/>
    <w:rsid w:val="00B61A7E"/>
    <w:rsid w:val="00B61B41"/>
    <w:rsid w:val="00B61B44"/>
    <w:rsid w:val="00B61B5E"/>
    <w:rsid w:val="00B61B64"/>
    <w:rsid w:val="00B61B8A"/>
    <w:rsid w:val="00B61C91"/>
    <w:rsid w:val="00B61C96"/>
    <w:rsid w:val="00B61CB2"/>
    <w:rsid w:val="00B61CBA"/>
    <w:rsid w:val="00B61CCC"/>
    <w:rsid w:val="00B61CFE"/>
    <w:rsid w:val="00B61D02"/>
    <w:rsid w:val="00B61D27"/>
    <w:rsid w:val="00B61D49"/>
    <w:rsid w:val="00B61D7D"/>
    <w:rsid w:val="00B61DA6"/>
    <w:rsid w:val="00B61DFE"/>
    <w:rsid w:val="00B61E4E"/>
    <w:rsid w:val="00B61E71"/>
    <w:rsid w:val="00B61E7E"/>
    <w:rsid w:val="00B61EC2"/>
    <w:rsid w:val="00B61EDD"/>
    <w:rsid w:val="00B61F12"/>
    <w:rsid w:val="00B61F64"/>
    <w:rsid w:val="00B61F72"/>
    <w:rsid w:val="00B61FD0"/>
    <w:rsid w:val="00B61FE5"/>
    <w:rsid w:val="00B62039"/>
    <w:rsid w:val="00B620EC"/>
    <w:rsid w:val="00B62147"/>
    <w:rsid w:val="00B62180"/>
    <w:rsid w:val="00B621E1"/>
    <w:rsid w:val="00B62204"/>
    <w:rsid w:val="00B62207"/>
    <w:rsid w:val="00B6220C"/>
    <w:rsid w:val="00B62272"/>
    <w:rsid w:val="00B62277"/>
    <w:rsid w:val="00B622ED"/>
    <w:rsid w:val="00B62329"/>
    <w:rsid w:val="00B6232A"/>
    <w:rsid w:val="00B623BE"/>
    <w:rsid w:val="00B62408"/>
    <w:rsid w:val="00B62454"/>
    <w:rsid w:val="00B624AA"/>
    <w:rsid w:val="00B624CC"/>
    <w:rsid w:val="00B62525"/>
    <w:rsid w:val="00B62575"/>
    <w:rsid w:val="00B6257D"/>
    <w:rsid w:val="00B62583"/>
    <w:rsid w:val="00B625C9"/>
    <w:rsid w:val="00B626A4"/>
    <w:rsid w:val="00B626EA"/>
    <w:rsid w:val="00B62723"/>
    <w:rsid w:val="00B6274D"/>
    <w:rsid w:val="00B6275D"/>
    <w:rsid w:val="00B6275E"/>
    <w:rsid w:val="00B627C8"/>
    <w:rsid w:val="00B62845"/>
    <w:rsid w:val="00B62881"/>
    <w:rsid w:val="00B6289D"/>
    <w:rsid w:val="00B628A6"/>
    <w:rsid w:val="00B628C1"/>
    <w:rsid w:val="00B6291C"/>
    <w:rsid w:val="00B6293A"/>
    <w:rsid w:val="00B62964"/>
    <w:rsid w:val="00B629B7"/>
    <w:rsid w:val="00B629BE"/>
    <w:rsid w:val="00B62A21"/>
    <w:rsid w:val="00B62A2D"/>
    <w:rsid w:val="00B62A55"/>
    <w:rsid w:val="00B62A87"/>
    <w:rsid w:val="00B62AA4"/>
    <w:rsid w:val="00B62AA5"/>
    <w:rsid w:val="00B62B43"/>
    <w:rsid w:val="00B62B85"/>
    <w:rsid w:val="00B62B8B"/>
    <w:rsid w:val="00B62BBB"/>
    <w:rsid w:val="00B62C0E"/>
    <w:rsid w:val="00B62C2B"/>
    <w:rsid w:val="00B62C62"/>
    <w:rsid w:val="00B62C95"/>
    <w:rsid w:val="00B62CEB"/>
    <w:rsid w:val="00B62D44"/>
    <w:rsid w:val="00B62D55"/>
    <w:rsid w:val="00B62DF9"/>
    <w:rsid w:val="00B62E05"/>
    <w:rsid w:val="00B62E09"/>
    <w:rsid w:val="00B62E48"/>
    <w:rsid w:val="00B62E84"/>
    <w:rsid w:val="00B62E8A"/>
    <w:rsid w:val="00B62EFD"/>
    <w:rsid w:val="00B62F49"/>
    <w:rsid w:val="00B62F5C"/>
    <w:rsid w:val="00B62F78"/>
    <w:rsid w:val="00B62F79"/>
    <w:rsid w:val="00B62FB7"/>
    <w:rsid w:val="00B62FD7"/>
    <w:rsid w:val="00B62FDC"/>
    <w:rsid w:val="00B62FE2"/>
    <w:rsid w:val="00B63015"/>
    <w:rsid w:val="00B63049"/>
    <w:rsid w:val="00B6305C"/>
    <w:rsid w:val="00B6305E"/>
    <w:rsid w:val="00B630A1"/>
    <w:rsid w:val="00B630D5"/>
    <w:rsid w:val="00B630EE"/>
    <w:rsid w:val="00B630F7"/>
    <w:rsid w:val="00B63133"/>
    <w:rsid w:val="00B6313A"/>
    <w:rsid w:val="00B631B7"/>
    <w:rsid w:val="00B631C7"/>
    <w:rsid w:val="00B631CA"/>
    <w:rsid w:val="00B63249"/>
    <w:rsid w:val="00B632B6"/>
    <w:rsid w:val="00B632B8"/>
    <w:rsid w:val="00B632CD"/>
    <w:rsid w:val="00B6330D"/>
    <w:rsid w:val="00B6330E"/>
    <w:rsid w:val="00B6332E"/>
    <w:rsid w:val="00B63379"/>
    <w:rsid w:val="00B6339A"/>
    <w:rsid w:val="00B633C3"/>
    <w:rsid w:val="00B633DB"/>
    <w:rsid w:val="00B633F5"/>
    <w:rsid w:val="00B6341D"/>
    <w:rsid w:val="00B63450"/>
    <w:rsid w:val="00B63454"/>
    <w:rsid w:val="00B634CC"/>
    <w:rsid w:val="00B634D3"/>
    <w:rsid w:val="00B634F8"/>
    <w:rsid w:val="00B635EF"/>
    <w:rsid w:val="00B6360D"/>
    <w:rsid w:val="00B63632"/>
    <w:rsid w:val="00B63660"/>
    <w:rsid w:val="00B63681"/>
    <w:rsid w:val="00B63687"/>
    <w:rsid w:val="00B636B4"/>
    <w:rsid w:val="00B636DB"/>
    <w:rsid w:val="00B6372E"/>
    <w:rsid w:val="00B6375C"/>
    <w:rsid w:val="00B63765"/>
    <w:rsid w:val="00B63778"/>
    <w:rsid w:val="00B6377D"/>
    <w:rsid w:val="00B637F9"/>
    <w:rsid w:val="00B63800"/>
    <w:rsid w:val="00B6385A"/>
    <w:rsid w:val="00B6385F"/>
    <w:rsid w:val="00B63877"/>
    <w:rsid w:val="00B63900"/>
    <w:rsid w:val="00B63902"/>
    <w:rsid w:val="00B63913"/>
    <w:rsid w:val="00B63938"/>
    <w:rsid w:val="00B63992"/>
    <w:rsid w:val="00B639C0"/>
    <w:rsid w:val="00B639D1"/>
    <w:rsid w:val="00B639DE"/>
    <w:rsid w:val="00B63A35"/>
    <w:rsid w:val="00B63A37"/>
    <w:rsid w:val="00B63A90"/>
    <w:rsid w:val="00B63AD2"/>
    <w:rsid w:val="00B63ADA"/>
    <w:rsid w:val="00B63AF1"/>
    <w:rsid w:val="00B63B0C"/>
    <w:rsid w:val="00B63B0E"/>
    <w:rsid w:val="00B63B2A"/>
    <w:rsid w:val="00B63B65"/>
    <w:rsid w:val="00B63C3D"/>
    <w:rsid w:val="00B63C77"/>
    <w:rsid w:val="00B63CB7"/>
    <w:rsid w:val="00B63CE6"/>
    <w:rsid w:val="00B63CF7"/>
    <w:rsid w:val="00B63D02"/>
    <w:rsid w:val="00B63D51"/>
    <w:rsid w:val="00B63D89"/>
    <w:rsid w:val="00B63DA5"/>
    <w:rsid w:val="00B63DAD"/>
    <w:rsid w:val="00B63DE4"/>
    <w:rsid w:val="00B63E44"/>
    <w:rsid w:val="00B63E4A"/>
    <w:rsid w:val="00B63E5D"/>
    <w:rsid w:val="00B63E8C"/>
    <w:rsid w:val="00B63EBE"/>
    <w:rsid w:val="00B63EC9"/>
    <w:rsid w:val="00B63EF5"/>
    <w:rsid w:val="00B63EF9"/>
    <w:rsid w:val="00B63EFE"/>
    <w:rsid w:val="00B63FA9"/>
    <w:rsid w:val="00B63FB5"/>
    <w:rsid w:val="00B63FB6"/>
    <w:rsid w:val="00B64010"/>
    <w:rsid w:val="00B6402F"/>
    <w:rsid w:val="00B6403E"/>
    <w:rsid w:val="00B64044"/>
    <w:rsid w:val="00B64053"/>
    <w:rsid w:val="00B6405C"/>
    <w:rsid w:val="00B640A1"/>
    <w:rsid w:val="00B640C5"/>
    <w:rsid w:val="00B6410C"/>
    <w:rsid w:val="00B641B6"/>
    <w:rsid w:val="00B641BC"/>
    <w:rsid w:val="00B641D8"/>
    <w:rsid w:val="00B64210"/>
    <w:rsid w:val="00B64216"/>
    <w:rsid w:val="00B64256"/>
    <w:rsid w:val="00B6425A"/>
    <w:rsid w:val="00B6426D"/>
    <w:rsid w:val="00B6426E"/>
    <w:rsid w:val="00B6431D"/>
    <w:rsid w:val="00B64327"/>
    <w:rsid w:val="00B643E3"/>
    <w:rsid w:val="00B643E5"/>
    <w:rsid w:val="00B644D5"/>
    <w:rsid w:val="00B644E1"/>
    <w:rsid w:val="00B6452D"/>
    <w:rsid w:val="00B645A0"/>
    <w:rsid w:val="00B645E2"/>
    <w:rsid w:val="00B645FC"/>
    <w:rsid w:val="00B645FF"/>
    <w:rsid w:val="00B64643"/>
    <w:rsid w:val="00B6466A"/>
    <w:rsid w:val="00B646C0"/>
    <w:rsid w:val="00B646D8"/>
    <w:rsid w:val="00B646EB"/>
    <w:rsid w:val="00B646F1"/>
    <w:rsid w:val="00B64749"/>
    <w:rsid w:val="00B6475B"/>
    <w:rsid w:val="00B6476D"/>
    <w:rsid w:val="00B64782"/>
    <w:rsid w:val="00B6478C"/>
    <w:rsid w:val="00B6479D"/>
    <w:rsid w:val="00B647E3"/>
    <w:rsid w:val="00B649A8"/>
    <w:rsid w:val="00B649F8"/>
    <w:rsid w:val="00B649FD"/>
    <w:rsid w:val="00B64AAA"/>
    <w:rsid w:val="00B64ABA"/>
    <w:rsid w:val="00B64B0B"/>
    <w:rsid w:val="00B64B4B"/>
    <w:rsid w:val="00B64BAE"/>
    <w:rsid w:val="00B64BC5"/>
    <w:rsid w:val="00B64BF9"/>
    <w:rsid w:val="00B64C6C"/>
    <w:rsid w:val="00B64D3D"/>
    <w:rsid w:val="00B64D43"/>
    <w:rsid w:val="00B64D68"/>
    <w:rsid w:val="00B64D70"/>
    <w:rsid w:val="00B64D9F"/>
    <w:rsid w:val="00B64DCA"/>
    <w:rsid w:val="00B64DE7"/>
    <w:rsid w:val="00B64E28"/>
    <w:rsid w:val="00B64E6C"/>
    <w:rsid w:val="00B64E8E"/>
    <w:rsid w:val="00B64EC6"/>
    <w:rsid w:val="00B64F04"/>
    <w:rsid w:val="00B64F38"/>
    <w:rsid w:val="00B64F9A"/>
    <w:rsid w:val="00B6500E"/>
    <w:rsid w:val="00B65013"/>
    <w:rsid w:val="00B65026"/>
    <w:rsid w:val="00B650C0"/>
    <w:rsid w:val="00B650E7"/>
    <w:rsid w:val="00B65106"/>
    <w:rsid w:val="00B6517B"/>
    <w:rsid w:val="00B651FB"/>
    <w:rsid w:val="00B65219"/>
    <w:rsid w:val="00B6525C"/>
    <w:rsid w:val="00B65266"/>
    <w:rsid w:val="00B65287"/>
    <w:rsid w:val="00B6529D"/>
    <w:rsid w:val="00B65387"/>
    <w:rsid w:val="00B6538F"/>
    <w:rsid w:val="00B653A7"/>
    <w:rsid w:val="00B6543B"/>
    <w:rsid w:val="00B65471"/>
    <w:rsid w:val="00B6549C"/>
    <w:rsid w:val="00B654E3"/>
    <w:rsid w:val="00B655CB"/>
    <w:rsid w:val="00B6561F"/>
    <w:rsid w:val="00B65633"/>
    <w:rsid w:val="00B6567D"/>
    <w:rsid w:val="00B65680"/>
    <w:rsid w:val="00B65774"/>
    <w:rsid w:val="00B657F3"/>
    <w:rsid w:val="00B657F4"/>
    <w:rsid w:val="00B657FD"/>
    <w:rsid w:val="00B65830"/>
    <w:rsid w:val="00B65875"/>
    <w:rsid w:val="00B6587F"/>
    <w:rsid w:val="00B6589B"/>
    <w:rsid w:val="00B658BC"/>
    <w:rsid w:val="00B658F9"/>
    <w:rsid w:val="00B658FB"/>
    <w:rsid w:val="00B65936"/>
    <w:rsid w:val="00B65A04"/>
    <w:rsid w:val="00B65A65"/>
    <w:rsid w:val="00B65A69"/>
    <w:rsid w:val="00B65A75"/>
    <w:rsid w:val="00B65A81"/>
    <w:rsid w:val="00B65A8B"/>
    <w:rsid w:val="00B65B4D"/>
    <w:rsid w:val="00B65B93"/>
    <w:rsid w:val="00B65BDD"/>
    <w:rsid w:val="00B65C2A"/>
    <w:rsid w:val="00B65C9C"/>
    <w:rsid w:val="00B65CF8"/>
    <w:rsid w:val="00B65D3C"/>
    <w:rsid w:val="00B65D4A"/>
    <w:rsid w:val="00B65D5D"/>
    <w:rsid w:val="00B65D91"/>
    <w:rsid w:val="00B65D99"/>
    <w:rsid w:val="00B65DD7"/>
    <w:rsid w:val="00B65DF6"/>
    <w:rsid w:val="00B65DFD"/>
    <w:rsid w:val="00B65E10"/>
    <w:rsid w:val="00B65E3E"/>
    <w:rsid w:val="00B65F45"/>
    <w:rsid w:val="00B65F4C"/>
    <w:rsid w:val="00B65F9F"/>
    <w:rsid w:val="00B65FBB"/>
    <w:rsid w:val="00B65FC8"/>
    <w:rsid w:val="00B6601E"/>
    <w:rsid w:val="00B66048"/>
    <w:rsid w:val="00B66063"/>
    <w:rsid w:val="00B6607F"/>
    <w:rsid w:val="00B660A4"/>
    <w:rsid w:val="00B660C3"/>
    <w:rsid w:val="00B660CC"/>
    <w:rsid w:val="00B660DB"/>
    <w:rsid w:val="00B66107"/>
    <w:rsid w:val="00B6616B"/>
    <w:rsid w:val="00B661FA"/>
    <w:rsid w:val="00B662B7"/>
    <w:rsid w:val="00B662E9"/>
    <w:rsid w:val="00B66300"/>
    <w:rsid w:val="00B66315"/>
    <w:rsid w:val="00B6631C"/>
    <w:rsid w:val="00B6631D"/>
    <w:rsid w:val="00B66342"/>
    <w:rsid w:val="00B663A7"/>
    <w:rsid w:val="00B663BD"/>
    <w:rsid w:val="00B663DB"/>
    <w:rsid w:val="00B663F8"/>
    <w:rsid w:val="00B66420"/>
    <w:rsid w:val="00B66427"/>
    <w:rsid w:val="00B66433"/>
    <w:rsid w:val="00B6643C"/>
    <w:rsid w:val="00B66497"/>
    <w:rsid w:val="00B664C1"/>
    <w:rsid w:val="00B664D8"/>
    <w:rsid w:val="00B664F6"/>
    <w:rsid w:val="00B66566"/>
    <w:rsid w:val="00B6657C"/>
    <w:rsid w:val="00B665AA"/>
    <w:rsid w:val="00B665C7"/>
    <w:rsid w:val="00B665E8"/>
    <w:rsid w:val="00B666B3"/>
    <w:rsid w:val="00B666DF"/>
    <w:rsid w:val="00B6675D"/>
    <w:rsid w:val="00B66798"/>
    <w:rsid w:val="00B667A9"/>
    <w:rsid w:val="00B667E8"/>
    <w:rsid w:val="00B6681C"/>
    <w:rsid w:val="00B6681E"/>
    <w:rsid w:val="00B6681F"/>
    <w:rsid w:val="00B6682F"/>
    <w:rsid w:val="00B6686E"/>
    <w:rsid w:val="00B66877"/>
    <w:rsid w:val="00B6688B"/>
    <w:rsid w:val="00B66894"/>
    <w:rsid w:val="00B668CB"/>
    <w:rsid w:val="00B668D9"/>
    <w:rsid w:val="00B6694E"/>
    <w:rsid w:val="00B66967"/>
    <w:rsid w:val="00B66977"/>
    <w:rsid w:val="00B66984"/>
    <w:rsid w:val="00B669F5"/>
    <w:rsid w:val="00B66A2B"/>
    <w:rsid w:val="00B66AC6"/>
    <w:rsid w:val="00B66AC7"/>
    <w:rsid w:val="00B66B33"/>
    <w:rsid w:val="00B66B3C"/>
    <w:rsid w:val="00B66B6B"/>
    <w:rsid w:val="00B66BD3"/>
    <w:rsid w:val="00B66C06"/>
    <w:rsid w:val="00B66C14"/>
    <w:rsid w:val="00B66CA3"/>
    <w:rsid w:val="00B66CE5"/>
    <w:rsid w:val="00B66CF2"/>
    <w:rsid w:val="00B66D4E"/>
    <w:rsid w:val="00B66D5C"/>
    <w:rsid w:val="00B66D5D"/>
    <w:rsid w:val="00B66D6B"/>
    <w:rsid w:val="00B66D86"/>
    <w:rsid w:val="00B66DB4"/>
    <w:rsid w:val="00B66DF9"/>
    <w:rsid w:val="00B66E07"/>
    <w:rsid w:val="00B66E08"/>
    <w:rsid w:val="00B66E44"/>
    <w:rsid w:val="00B66E76"/>
    <w:rsid w:val="00B66E88"/>
    <w:rsid w:val="00B66F13"/>
    <w:rsid w:val="00B66F65"/>
    <w:rsid w:val="00B66F8B"/>
    <w:rsid w:val="00B66FA9"/>
    <w:rsid w:val="00B66FCC"/>
    <w:rsid w:val="00B66FDE"/>
    <w:rsid w:val="00B67009"/>
    <w:rsid w:val="00B67151"/>
    <w:rsid w:val="00B67169"/>
    <w:rsid w:val="00B6717C"/>
    <w:rsid w:val="00B67185"/>
    <w:rsid w:val="00B67190"/>
    <w:rsid w:val="00B671E3"/>
    <w:rsid w:val="00B671EA"/>
    <w:rsid w:val="00B671F7"/>
    <w:rsid w:val="00B67228"/>
    <w:rsid w:val="00B672AC"/>
    <w:rsid w:val="00B6730F"/>
    <w:rsid w:val="00B67361"/>
    <w:rsid w:val="00B6737E"/>
    <w:rsid w:val="00B673AB"/>
    <w:rsid w:val="00B6743F"/>
    <w:rsid w:val="00B674AB"/>
    <w:rsid w:val="00B674C1"/>
    <w:rsid w:val="00B674D6"/>
    <w:rsid w:val="00B674EA"/>
    <w:rsid w:val="00B67539"/>
    <w:rsid w:val="00B67588"/>
    <w:rsid w:val="00B675BC"/>
    <w:rsid w:val="00B675D5"/>
    <w:rsid w:val="00B675D8"/>
    <w:rsid w:val="00B675DB"/>
    <w:rsid w:val="00B675FC"/>
    <w:rsid w:val="00B67630"/>
    <w:rsid w:val="00B67690"/>
    <w:rsid w:val="00B67733"/>
    <w:rsid w:val="00B677B1"/>
    <w:rsid w:val="00B677B7"/>
    <w:rsid w:val="00B677B9"/>
    <w:rsid w:val="00B6780B"/>
    <w:rsid w:val="00B6783C"/>
    <w:rsid w:val="00B6785C"/>
    <w:rsid w:val="00B67862"/>
    <w:rsid w:val="00B678C5"/>
    <w:rsid w:val="00B678E4"/>
    <w:rsid w:val="00B678EA"/>
    <w:rsid w:val="00B678F9"/>
    <w:rsid w:val="00B678FD"/>
    <w:rsid w:val="00B67903"/>
    <w:rsid w:val="00B67947"/>
    <w:rsid w:val="00B67971"/>
    <w:rsid w:val="00B67999"/>
    <w:rsid w:val="00B679FA"/>
    <w:rsid w:val="00B67A0E"/>
    <w:rsid w:val="00B67A1F"/>
    <w:rsid w:val="00B67A3F"/>
    <w:rsid w:val="00B67A9A"/>
    <w:rsid w:val="00B67AA6"/>
    <w:rsid w:val="00B67ABD"/>
    <w:rsid w:val="00B67B23"/>
    <w:rsid w:val="00B67B37"/>
    <w:rsid w:val="00B67B49"/>
    <w:rsid w:val="00B67B53"/>
    <w:rsid w:val="00B67B9D"/>
    <w:rsid w:val="00B67BDB"/>
    <w:rsid w:val="00B67BDC"/>
    <w:rsid w:val="00B67BEF"/>
    <w:rsid w:val="00B67BF5"/>
    <w:rsid w:val="00B67C16"/>
    <w:rsid w:val="00B67CB0"/>
    <w:rsid w:val="00B67CBC"/>
    <w:rsid w:val="00B67CBF"/>
    <w:rsid w:val="00B67CCB"/>
    <w:rsid w:val="00B67D0B"/>
    <w:rsid w:val="00B67D0D"/>
    <w:rsid w:val="00B67D16"/>
    <w:rsid w:val="00B67D17"/>
    <w:rsid w:val="00B67D41"/>
    <w:rsid w:val="00B67D8D"/>
    <w:rsid w:val="00B67DA1"/>
    <w:rsid w:val="00B67DA4"/>
    <w:rsid w:val="00B67DCC"/>
    <w:rsid w:val="00B67E1A"/>
    <w:rsid w:val="00B67E46"/>
    <w:rsid w:val="00B67E5A"/>
    <w:rsid w:val="00B67EE2"/>
    <w:rsid w:val="00B67F12"/>
    <w:rsid w:val="00B67FF4"/>
    <w:rsid w:val="00B7008A"/>
    <w:rsid w:val="00B700C5"/>
    <w:rsid w:val="00B700CD"/>
    <w:rsid w:val="00B70121"/>
    <w:rsid w:val="00B7015D"/>
    <w:rsid w:val="00B70196"/>
    <w:rsid w:val="00B7019D"/>
    <w:rsid w:val="00B7019F"/>
    <w:rsid w:val="00B701CC"/>
    <w:rsid w:val="00B702B1"/>
    <w:rsid w:val="00B702C0"/>
    <w:rsid w:val="00B702DA"/>
    <w:rsid w:val="00B70304"/>
    <w:rsid w:val="00B7035E"/>
    <w:rsid w:val="00B70370"/>
    <w:rsid w:val="00B70456"/>
    <w:rsid w:val="00B7045A"/>
    <w:rsid w:val="00B7045F"/>
    <w:rsid w:val="00B70464"/>
    <w:rsid w:val="00B7048C"/>
    <w:rsid w:val="00B704B7"/>
    <w:rsid w:val="00B704D7"/>
    <w:rsid w:val="00B70517"/>
    <w:rsid w:val="00B7051F"/>
    <w:rsid w:val="00B70539"/>
    <w:rsid w:val="00B70599"/>
    <w:rsid w:val="00B705BE"/>
    <w:rsid w:val="00B705C0"/>
    <w:rsid w:val="00B705CB"/>
    <w:rsid w:val="00B705F5"/>
    <w:rsid w:val="00B705FC"/>
    <w:rsid w:val="00B7061E"/>
    <w:rsid w:val="00B70675"/>
    <w:rsid w:val="00B70683"/>
    <w:rsid w:val="00B7069A"/>
    <w:rsid w:val="00B706D1"/>
    <w:rsid w:val="00B70730"/>
    <w:rsid w:val="00B7078E"/>
    <w:rsid w:val="00B7078F"/>
    <w:rsid w:val="00B708B9"/>
    <w:rsid w:val="00B708CC"/>
    <w:rsid w:val="00B708D0"/>
    <w:rsid w:val="00B708F0"/>
    <w:rsid w:val="00B70917"/>
    <w:rsid w:val="00B709A7"/>
    <w:rsid w:val="00B709BF"/>
    <w:rsid w:val="00B709F6"/>
    <w:rsid w:val="00B709F7"/>
    <w:rsid w:val="00B70A53"/>
    <w:rsid w:val="00B70B3F"/>
    <w:rsid w:val="00B70B42"/>
    <w:rsid w:val="00B70B65"/>
    <w:rsid w:val="00B70B9F"/>
    <w:rsid w:val="00B70BBA"/>
    <w:rsid w:val="00B70C1A"/>
    <w:rsid w:val="00B70C3C"/>
    <w:rsid w:val="00B70C50"/>
    <w:rsid w:val="00B70C5F"/>
    <w:rsid w:val="00B70CDA"/>
    <w:rsid w:val="00B70D16"/>
    <w:rsid w:val="00B70D18"/>
    <w:rsid w:val="00B70D48"/>
    <w:rsid w:val="00B70D73"/>
    <w:rsid w:val="00B70D92"/>
    <w:rsid w:val="00B70D96"/>
    <w:rsid w:val="00B70DAE"/>
    <w:rsid w:val="00B70DBD"/>
    <w:rsid w:val="00B70DC5"/>
    <w:rsid w:val="00B70E1B"/>
    <w:rsid w:val="00B70E34"/>
    <w:rsid w:val="00B70E7C"/>
    <w:rsid w:val="00B70E7E"/>
    <w:rsid w:val="00B70E91"/>
    <w:rsid w:val="00B70EB6"/>
    <w:rsid w:val="00B70ECF"/>
    <w:rsid w:val="00B70F08"/>
    <w:rsid w:val="00B70F12"/>
    <w:rsid w:val="00B70F3E"/>
    <w:rsid w:val="00B70F5C"/>
    <w:rsid w:val="00B70F7A"/>
    <w:rsid w:val="00B70FB4"/>
    <w:rsid w:val="00B70FF2"/>
    <w:rsid w:val="00B70FFB"/>
    <w:rsid w:val="00B7100A"/>
    <w:rsid w:val="00B7100E"/>
    <w:rsid w:val="00B7103B"/>
    <w:rsid w:val="00B710B9"/>
    <w:rsid w:val="00B710E7"/>
    <w:rsid w:val="00B7110A"/>
    <w:rsid w:val="00B7111B"/>
    <w:rsid w:val="00B7111D"/>
    <w:rsid w:val="00B71122"/>
    <w:rsid w:val="00B7112E"/>
    <w:rsid w:val="00B71132"/>
    <w:rsid w:val="00B7116A"/>
    <w:rsid w:val="00B711AF"/>
    <w:rsid w:val="00B711FE"/>
    <w:rsid w:val="00B7122A"/>
    <w:rsid w:val="00B7124C"/>
    <w:rsid w:val="00B71257"/>
    <w:rsid w:val="00B71286"/>
    <w:rsid w:val="00B712C5"/>
    <w:rsid w:val="00B712F7"/>
    <w:rsid w:val="00B71312"/>
    <w:rsid w:val="00B7131C"/>
    <w:rsid w:val="00B713C5"/>
    <w:rsid w:val="00B71425"/>
    <w:rsid w:val="00B7142B"/>
    <w:rsid w:val="00B71432"/>
    <w:rsid w:val="00B7146C"/>
    <w:rsid w:val="00B714B6"/>
    <w:rsid w:val="00B7155B"/>
    <w:rsid w:val="00B71560"/>
    <w:rsid w:val="00B71584"/>
    <w:rsid w:val="00B715DB"/>
    <w:rsid w:val="00B7167E"/>
    <w:rsid w:val="00B716E3"/>
    <w:rsid w:val="00B717BC"/>
    <w:rsid w:val="00B717E7"/>
    <w:rsid w:val="00B717EB"/>
    <w:rsid w:val="00B717F9"/>
    <w:rsid w:val="00B7180A"/>
    <w:rsid w:val="00B7186E"/>
    <w:rsid w:val="00B7188A"/>
    <w:rsid w:val="00B718DB"/>
    <w:rsid w:val="00B718DF"/>
    <w:rsid w:val="00B718E0"/>
    <w:rsid w:val="00B7191A"/>
    <w:rsid w:val="00B71923"/>
    <w:rsid w:val="00B71947"/>
    <w:rsid w:val="00B7194C"/>
    <w:rsid w:val="00B7199B"/>
    <w:rsid w:val="00B719CC"/>
    <w:rsid w:val="00B719F5"/>
    <w:rsid w:val="00B71A00"/>
    <w:rsid w:val="00B71A23"/>
    <w:rsid w:val="00B71A3D"/>
    <w:rsid w:val="00B71ADE"/>
    <w:rsid w:val="00B71AEC"/>
    <w:rsid w:val="00B71AED"/>
    <w:rsid w:val="00B71B32"/>
    <w:rsid w:val="00B71B73"/>
    <w:rsid w:val="00B71B8D"/>
    <w:rsid w:val="00B71BA3"/>
    <w:rsid w:val="00B71BCF"/>
    <w:rsid w:val="00B71BD1"/>
    <w:rsid w:val="00B71BE9"/>
    <w:rsid w:val="00B71C3D"/>
    <w:rsid w:val="00B71C7F"/>
    <w:rsid w:val="00B71CA5"/>
    <w:rsid w:val="00B71CFC"/>
    <w:rsid w:val="00B71D41"/>
    <w:rsid w:val="00B71D82"/>
    <w:rsid w:val="00B71D8A"/>
    <w:rsid w:val="00B71DDD"/>
    <w:rsid w:val="00B71DFA"/>
    <w:rsid w:val="00B71E11"/>
    <w:rsid w:val="00B71E39"/>
    <w:rsid w:val="00B71E48"/>
    <w:rsid w:val="00B71E61"/>
    <w:rsid w:val="00B71E65"/>
    <w:rsid w:val="00B71E99"/>
    <w:rsid w:val="00B71F3B"/>
    <w:rsid w:val="00B71F54"/>
    <w:rsid w:val="00B71F9A"/>
    <w:rsid w:val="00B71FA9"/>
    <w:rsid w:val="00B71FD3"/>
    <w:rsid w:val="00B71FFE"/>
    <w:rsid w:val="00B7200B"/>
    <w:rsid w:val="00B72021"/>
    <w:rsid w:val="00B720A7"/>
    <w:rsid w:val="00B720EB"/>
    <w:rsid w:val="00B7210C"/>
    <w:rsid w:val="00B72140"/>
    <w:rsid w:val="00B72175"/>
    <w:rsid w:val="00B72194"/>
    <w:rsid w:val="00B721A0"/>
    <w:rsid w:val="00B721A8"/>
    <w:rsid w:val="00B721BA"/>
    <w:rsid w:val="00B7220D"/>
    <w:rsid w:val="00B72227"/>
    <w:rsid w:val="00B7223C"/>
    <w:rsid w:val="00B7228F"/>
    <w:rsid w:val="00B72296"/>
    <w:rsid w:val="00B722A0"/>
    <w:rsid w:val="00B722A4"/>
    <w:rsid w:val="00B722BE"/>
    <w:rsid w:val="00B72308"/>
    <w:rsid w:val="00B72324"/>
    <w:rsid w:val="00B7234B"/>
    <w:rsid w:val="00B72383"/>
    <w:rsid w:val="00B723E4"/>
    <w:rsid w:val="00B723F7"/>
    <w:rsid w:val="00B72405"/>
    <w:rsid w:val="00B7246A"/>
    <w:rsid w:val="00B72491"/>
    <w:rsid w:val="00B724A8"/>
    <w:rsid w:val="00B724C0"/>
    <w:rsid w:val="00B72551"/>
    <w:rsid w:val="00B7255E"/>
    <w:rsid w:val="00B72561"/>
    <w:rsid w:val="00B72572"/>
    <w:rsid w:val="00B72588"/>
    <w:rsid w:val="00B725C4"/>
    <w:rsid w:val="00B725CA"/>
    <w:rsid w:val="00B726A1"/>
    <w:rsid w:val="00B726F0"/>
    <w:rsid w:val="00B72701"/>
    <w:rsid w:val="00B72712"/>
    <w:rsid w:val="00B72719"/>
    <w:rsid w:val="00B7273C"/>
    <w:rsid w:val="00B72788"/>
    <w:rsid w:val="00B727E3"/>
    <w:rsid w:val="00B727F1"/>
    <w:rsid w:val="00B7292B"/>
    <w:rsid w:val="00B72970"/>
    <w:rsid w:val="00B72998"/>
    <w:rsid w:val="00B729DC"/>
    <w:rsid w:val="00B72A16"/>
    <w:rsid w:val="00B72A9B"/>
    <w:rsid w:val="00B72AB4"/>
    <w:rsid w:val="00B72B94"/>
    <w:rsid w:val="00B72BA2"/>
    <w:rsid w:val="00B72BD9"/>
    <w:rsid w:val="00B72C15"/>
    <w:rsid w:val="00B72C52"/>
    <w:rsid w:val="00B72C5C"/>
    <w:rsid w:val="00B72C75"/>
    <w:rsid w:val="00B72C8F"/>
    <w:rsid w:val="00B72CE6"/>
    <w:rsid w:val="00B72D03"/>
    <w:rsid w:val="00B72D09"/>
    <w:rsid w:val="00B72D3C"/>
    <w:rsid w:val="00B72D40"/>
    <w:rsid w:val="00B72D5B"/>
    <w:rsid w:val="00B72D61"/>
    <w:rsid w:val="00B72D6C"/>
    <w:rsid w:val="00B72DBF"/>
    <w:rsid w:val="00B72DCC"/>
    <w:rsid w:val="00B72E6F"/>
    <w:rsid w:val="00B72EC2"/>
    <w:rsid w:val="00B72F0B"/>
    <w:rsid w:val="00B72F0D"/>
    <w:rsid w:val="00B72F33"/>
    <w:rsid w:val="00B72F8B"/>
    <w:rsid w:val="00B72FA9"/>
    <w:rsid w:val="00B72FB3"/>
    <w:rsid w:val="00B72FD0"/>
    <w:rsid w:val="00B7302E"/>
    <w:rsid w:val="00B7304A"/>
    <w:rsid w:val="00B73053"/>
    <w:rsid w:val="00B730DF"/>
    <w:rsid w:val="00B730FE"/>
    <w:rsid w:val="00B73114"/>
    <w:rsid w:val="00B73168"/>
    <w:rsid w:val="00B731C0"/>
    <w:rsid w:val="00B73229"/>
    <w:rsid w:val="00B73278"/>
    <w:rsid w:val="00B7328E"/>
    <w:rsid w:val="00B73388"/>
    <w:rsid w:val="00B733C3"/>
    <w:rsid w:val="00B734EA"/>
    <w:rsid w:val="00B7353B"/>
    <w:rsid w:val="00B735C7"/>
    <w:rsid w:val="00B73648"/>
    <w:rsid w:val="00B7371F"/>
    <w:rsid w:val="00B73747"/>
    <w:rsid w:val="00B737B9"/>
    <w:rsid w:val="00B737DC"/>
    <w:rsid w:val="00B73873"/>
    <w:rsid w:val="00B738BF"/>
    <w:rsid w:val="00B738E3"/>
    <w:rsid w:val="00B73902"/>
    <w:rsid w:val="00B73914"/>
    <w:rsid w:val="00B7394E"/>
    <w:rsid w:val="00B7397C"/>
    <w:rsid w:val="00B7398D"/>
    <w:rsid w:val="00B739B3"/>
    <w:rsid w:val="00B73A0A"/>
    <w:rsid w:val="00B73A23"/>
    <w:rsid w:val="00B73A3E"/>
    <w:rsid w:val="00B73A92"/>
    <w:rsid w:val="00B73B00"/>
    <w:rsid w:val="00B73BAE"/>
    <w:rsid w:val="00B73BC2"/>
    <w:rsid w:val="00B73C14"/>
    <w:rsid w:val="00B73C4A"/>
    <w:rsid w:val="00B73C4C"/>
    <w:rsid w:val="00B73C5A"/>
    <w:rsid w:val="00B73C64"/>
    <w:rsid w:val="00B73CA6"/>
    <w:rsid w:val="00B73CB8"/>
    <w:rsid w:val="00B73CDA"/>
    <w:rsid w:val="00B73CFD"/>
    <w:rsid w:val="00B73D50"/>
    <w:rsid w:val="00B73D67"/>
    <w:rsid w:val="00B73D94"/>
    <w:rsid w:val="00B73DB2"/>
    <w:rsid w:val="00B73E40"/>
    <w:rsid w:val="00B73E44"/>
    <w:rsid w:val="00B73E5D"/>
    <w:rsid w:val="00B73EE1"/>
    <w:rsid w:val="00B73EF7"/>
    <w:rsid w:val="00B73F01"/>
    <w:rsid w:val="00B73FAE"/>
    <w:rsid w:val="00B73FDD"/>
    <w:rsid w:val="00B73FF9"/>
    <w:rsid w:val="00B7401C"/>
    <w:rsid w:val="00B7403D"/>
    <w:rsid w:val="00B74049"/>
    <w:rsid w:val="00B74100"/>
    <w:rsid w:val="00B741C2"/>
    <w:rsid w:val="00B74219"/>
    <w:rsid w:val="00B74261"/>
    <w:rsid w:val="00B742A3"/>
    <w:rsid w:val="00B742F5"/>
    <w:rsid w:val="00B74391"/>
    <w:rsid w:val="00B7439B"/>
    <w:rsid w:val="00B743BA"/>
    <w:rsid w:val="00B743FA"/>
    <w:rsid w:val="00B7440F"/>
    <w:rsid w:val="00B74412"/>
    <w:rsid w:val="00B744BE"/>
    <w:rsid w:val="00B744D1"/>
    <w:rsid w:val="00B7450C"/>
    <w:rsid w:val="00B74520"/>
    <w:rsid w:val="00B74524"/>
    <w:rsid w:val="00B74551"/>
    <w:rsid w:val="00B74566"/>
    <w:rsid w:val="00B74578"/>
    <w:rsid w:val="00B74590"/>
    <w:rsid w:val="00B745A6"/>
    <w:rsid w:val="00B745C8"/>
    <w:rsid w:val="00B74619"/>
    <w:rsid w:val="00B7461D"/>
    <w:rsid w:val="00B74634"/>
    <w:rsid w:val="00B74667"/>
    <w:rsid w:val="00B74670"/>
    <w:rsid w:val="00B746BF"/>
    <w:rsid w:val="00B746C7"/>
    <w:rsid w:val="00B746C9"/>
    <w:rsid w:val="00B746D9"/>
    <w:rsid w:val="00B746F8"/>
    <w:rsid w:val="00B7475E"/>
    <w:rsid w:val="00B74771"/>
    <w:rsid w:val="00B747EC"/>
    <w:rsid w:val="00B74857"/>
    <w:rsid w:val="00B7485E"/>
    <w:rsid w:val="00B7487E"/>
    <w:rsid w:val="00B748CD"/>
    <w:rsid w:val="00B749DE"/>
    <w:rsid w:val="00B74A05"/>
    <w:rsid w:val="00B74A6D"/>
    <w:rsid w:val="00B74A7D"/>
    <w:rsid w:val="00B74AA7"/>
    <w:rsid w:val="00B74AD6"/>
    <w:rsid w:val="00B74AF8"/>
    <w:rsid w:val="00B74B0C"/>
    <w:rsid w:val="00B74B11"/>
    <w:rsid w:val="00B74B1B"/>
    <w:rsid w:val="00B74B3E"/>
    <w:rsid w:val="00B74B8D"/>
    <w:rsid w:val="00B74B94"/>
    <w:rsid w:val="00B74B97"/>
    <w:rsid w:val="00B74B9D"/>
    <w:rsid w:val="00B74BAD"/>
    <w:rsid w:val="00B74BD9"/>
    <w:rsid w:val="00B74C23"/>
    <w:rsid w:val="00B74C28"/>
    <w:rsid w:val="00B74C34"/>
    <w:rsid w:val="00B74C4E"/>
    <w:rsid w:val="00B74C94"/>
    <w:rsid w:val="00B74CAD"/>
    <w:rsid w:val="00B74CCE"/>
    <w:rsid w:val="00B74CE4"/>
    <w:rsid w:val="00B74D0B"/>
    <w:rsid w:val="00B74D45"/>
    <w:rsid w:val="00B74D5B"/>
    <w:rsid w:val="00B74DF1"/>
    <w:rsid w:val="00B74E73"/>
    <w:rsid w:val="00B74EA1"/>
    <w:rsid w:val="00B74EA5"/>
    <w:rsid w:val="00B74EB8"/>
    <w:rsid w:val="00B74EFA"/>
    <w:rsid w:val="00B74F0E"/>
    <w:rsid w:val="00B74F1C"/>
    <w:rsid w:val="00B74F1D"/>
    <w:rsid w:val="00B74F4D"/>
    <w:rsid w:val="00B74F68"/>
    <w:rsid w:val="00B74F6B"/>
    <w:rsid w:val="00B74FF2"/>
    <w:rsid w:val="00B75053"/>
    <w:rsid w:val="00B7506D"/>
    <w:rsid w:val="00B751D4"/>
    <w:rsid w:val="00B75229"/>
    <w:rsid w:val="00B75270"/>
    <w:rsid w:val="00B75274"/>
    <w:rsid w:val="00B75286"/>
    <w:rsid w:val="00B752CB"/>
    <w:rsid w:val="00B75319"/>
    <w:rsid w:val="00B7534A"/>
    <w:rsid w:val="00B7534E"/>
    <w:rsid w:val="00B7536D"/>
    <w:rsid w:val="00B753CD"/>
    <w:rsid w:val="00B75430"/>
    <w:rsid w:val="00B75453"/>
    <w:rsid w:val="00B754C1"/>
    <w:rsid w:val="00B7552E"/>
    <w:rsid w:val="00B75546"/>
    <w:rsid w:val="00B7554F"/>
    <w:rsid w:val="00B755C9"/>
    <w:rsid w:val="00B755CE"/>
    <w:rsid w:val="00B7561F"/>
    <w:rsid w:val="00B7564F"/>
    <w:rsid w:val="00B756DD"/>
    <w:rsid w:val="00B756E8"/>
    <w:rsid w:val="00B756ED"/>
    <w:rsid w:val="00B756F9"/>
    <w:rsid w:val="00B7570C"/>
    <w:rsid w:val="00B75750"/>
    <w:rsid w:val="00B7576F"/>
    <w:rsid w:val="00B757AD"/>
    <w:rsid w:val="00B75835"/>
    <w:rsid w:val="00B75841"/>
    <w:rsid w:val="00B7586A"/>
    <w:rsid w:val="00B7586D"/>
    <w:rsid w:val="00B75871"/>
    <w:rsid w:val="00B758D9"/>
    <w:rsid w:val="00B75945"/>
    <w:rsid w:val="00B7596A"/>
    <w:rsid w:val="00B75A05"/>
    <w:rsid w:val="00B75A22"/>
    <w:rsid w:val="00B75A78"/>
    <w:rsid w:val="00B75A8F"/>
    <w:rsid w:val="00B75AA6"/>
    <w:rsid w:val="00B75AD2"/>
    <w:rsid w:val="00B75AF1"/>
    <w:rsid w:val="00B75B14"/>
    <w:rsid w:val="00B75B5F"/>
    <w:rsid w:val="00B75BEE"/>
    <w:rsid w:val="00B75C16"/>
    <w:rsid w:val="00B75D21"/>
    <w:rsid w:val="00B75D27"/>
    <w:rsid w:val="00B75D85"/>
    <w:rsid w:val="00B75E1C"/>
    <w:rsid w:val="00B75E30"/>
    <w:rsid w:val="00B75E62"/>
    <w:rsid w:val="00B75E9E"/>
    <w:rsid w:val="00B75EA1"/>
    <w:rsid w:val="00B75EC2"/>
    <w:rsid w:val="00B75F36"/>
    <w:rsid w:val="00B75F93"/>
    <w:rsid w:val="00B75FFC"/>
    <w:rsid w:val="00B76061"/>
    <w:rsid w:val="00B7608F"/>
    <w:rsid w:val="00B760A1"/>
    <w:rsid w:val="00B760A3"/>
    <w:rsid w:val="00B760AC"/>
    <w:rsid w:val="00B76145"/>
    <w:rsid w:val="00B7615E"/>
    <w:rsid w:val="00B761CD"/>
    <w:rsid w:val="00B761DA"/>
    <w:rsid w:val="00B76203"/>
    <w:rsid w:val="00B7621C"/>
    <w:rsid w:val="00B76224"/>
    <w:rsid w:val="00B76275"/>
    <w:rsid w:val="00B76286"/>
    <w:rsid w:val="00B762A5"/>
    <w:rsid w:val="00B762B6"/>
    <w:rsid w:val="00B762DB"/>
    <w:rsid w:val="00B76302"/>
    <w:rsid w:val="00B76395"/>
    <w:rsid w:val="00B763A6"/>
    <w:rsid w:val="00B76476"/>
    <w:rsid w:val="00B764C0"/>
    <w:rsid w:val="00B764DF"/>
    <w:rsid w:val="00B7652A"/>
    <w:rsid w:val="00B765B2"/>
    <w:rsid w:val="00B7662A"/>
    <w:rsid w:val="00B76650"/>
    <w:rsid w:val="00B7668D"/>
    <w:rsid w:val="00B766D0"/>
    <w:rsid w:val="00B766FE"/>
    <w:rsid w:val="00B76707"/>
    <w:rsid w:val="00B7671A"/>
    <w:rsid w:val="00B7671F"/>
    <w:rsid w:val="00B7674D"/>
    <w:rsid w:val="00B7674F"/>
    <w:rsid w:val="00B767CF"/>
    <w:rsid w:val="00B768AC"/>
    <w:rsid w:val="00B768C5"/>
    <w:rsid w:val="00B768F2"/>
    <w:rsid w:val="00B76919"/>
    <w:rsid w:val="00B76943"/>
    <w:rsid w:val="00B7694C"/>
    <w:rsid w:val="00B76961"/>
    <w:rsid w:val="00B7696F"/>
    <w:rsid w:val="00B76999"/>
    <w:rsid w:val="00B769F2"/>
    <w:rsid w:val="00B76A01"/>
    <w:rsid w:val="00B76A61"/>
    <w:rsid w:val="00B76A64"/>
    <w:rsid w:val="00B76A65"/>
    <w:rsid w:val="00B76A6E"/>
    <w:rsid w:val="00B76AAB"/>
    <w:rsid w:val="00B76AE5"/>
    <w:rsid w:val="00B76B93"/>
    <w:rsid w:val="00B76BFE"/>
    <w:rsid w:val="00B76C2C"/>
    <w:rsid w:val="00B76C84"/>
    <w:rsid w:val="00B76C9A"/>
    <w:rsid w:val="00B76CB2"/>
    <w:rsid w:val="00B76CD5"/>
    <w:rsid w:val="00B76CF6"/>
    <w:rsid w:val="00B76D07"/>
    <w:rsid w:val="00B76D43"/>
    <w:rsid w:val="00B76D4E"/>
    <w:rsid w:val="00B76D90"/>
    <w:rsid w:val="00B76DB2"/>
    <w:rsid w:val="00B76DD5"/>
    <w:rsid w:val="00B76DE1"/>
    <w:rsid w:val="00B76E2E"/>
    <w:rsid w:val="00B76E5A"/>
    <w:rsid w:val="00B76E67"/>
    <w:rsid w:val="00B76E82"/>
    <w:rsid w:val="00B76E9A"/>
    <w:rsid w:val="00B77021"/>
    <w:rsid w:val="00B77033"/>
    <w:rsid w:val="00B7703F"/>
    <w:rsid w:val="00B77058"/>
    <w:rsid w:val="00B77080"/>
    <w:rsid w:val="00B77084"/>
    <w:rsid w:val="00B770B7"/>
    <w:rsid w:val="00B7710D"/>
    <w:rsid w:val="00B7715B"/>
    <w:rsid w:val="00B7719F"/>
    <w:rsid w:val="00B77222"/>
    <w:rsid w:val="00B7722F"/>
    <w:rsid w:val="00B77232"/>
    <w:rsid w:val="00B77290"/>
    <w:rsid w:val="00B7729A"/>
    <w:rsid w:val="00B77338"/>
    <w:rsid w:val="00B773C1"/>
    <w:rsid w:val="00B773D5"/>
    <w:rsid w:val="00B773D6"/>
    <w:rsid w:val="00B7740B"/>
    <w:rsid w:val="00B77454"/>
    <w:rsid w:val="00B7745E"/>
    <w:rsid w:val="00B7751F"/>
    <w:rsid w:val="00B7753E"/>
    <w:rsid w:val="00B7757C"/>
    <w:rsid w:val="00B775A5"/>
    <w:rsid w:val="00B775B7"/>
    <w:rsid w:val="00B77609"/>
    <w:rsid w:val="00B77635"/>
    <w:rsid w:val="00B77646"/>
    <w:rsid w:val="00B77656"/>
    <w:rsid w:val="00B77672"/>
    <w:rsid w:val="00B776BD"/>
    <w:rsid w:val="00B776F5"/>
    <w:rsid w:val="00B776FB"/>
    <w:rsid w:val="00B77746"/>
    <w:rsid w:val="00B77747"/>
    <w:rsid w:val="00B7776F"/>
    <w:rsid w:val="00B77793"/>
    <w:rsid w:val="00B777BB"/>
    <w:rsid w:val="00B777C4"/>
    <w:rsid w:val="00B77804"/>
    <w:rsid w:val="00B77821"/>
    <w:rsid w:val="00B77965"/>
    <w:rsid w:val="00B7796B"/>
    <w:rsid w:val="00B77998"/>
    <w:rsid w:val="00B779FD"/>
    <w:rsid w:val="00B77A19"/>
    <w:rsid w:val="00B77A1D"/>
    <w:rsid w:val="00B77A21"/>
    <w:rsid w:val="00B77A98"/>
    <w:rsid w:val="00B77AA2"/>
    <w:rsid w:val="00B77AD5"/>
    <w:rsid w:val="00B77B70"/>
    <w:rsid w:val="00B77B72"/>
    <w:rsid w:val="00B77B8B"/>
    <w:rsid w:val="00B77B9C"/>
    <w:rsid w:val="00B77BC8"/>
    <w:rsid w:val="00B77BFF"/>
    <w:rsid w:val="00B77C3C"/>
    <w:rsid w:val="00B77C67"/>
    <w:rsid w:val="00B77CAC"/>
    <w:rsid w:val="00B77CE6"/>
    <w:rsid w:val="00B77D22"/>
    <w:rsid w:val="00B77D60"/>
    <w:rsid w:val="00B77D69"/>
    <w:rsid w:val="00B77DAD"/>
    <w:rsid w:val="00B77DBF"/>
    <w:rsid w:val="00B77DE8"/>
    <w:rsid w:val="00B77DF2"/>
    <w:rsid w:val="00B77DF6"/>
    <w:rsid w:val="00B77E21"/>
    <w:rsid w:val="00B77E30"/>
    <w:rsid w:val="00B77E3A"/>
    <w:rsid w:val="00B77E75"/>
    <w:rsid w:val="00B77ED7"/>
    <w:rsid w:val="00B77EDA"/>
    <w:rsid w:val="00B77EEB"/>
    <w:rsid w:val="00B77F85"/>
    <w:rsid w:val="00B77FA2"/>
    <w:rsid w:val="00B80012"/>
    <w:rsid w:val="00B8005E"/>
    <w:rsid w:val="00B80074"/>
    <w:rsid w:val="00B800A0"/>
    <w:rsid w:val="00B800B9"/>
    <w:rsid w:val="00B800D1"/>
    <w:rsid w:val="00B80222"/>
    <w:rsid w:val="00B80267"/>
    <w:rsid w:val="00B80298"/>
    <w:rsid w:val="00B802AB"/>
    <w:rsid w:val="00B802C8"/>
    <w:rsid w:val="00B802CD"/>
    <w:rsid w:val="00B802E1"/>
    <w:rsid w:val="00B80332"/>
    <w:rsid w:val="00B80343"/>
    <w:rsid w:val="00B80370"/>
    <w:rsid w:val="00B80393"/>
    <w:rsid w:val="00B803B7"/>
    <w:rsid w:val="00B803BA"/>
    <w:rsid w:val="00B803C9"/>
    <w:rsid w:val="00B8049E"/>
    <w:rsid w:val="00B804CF"/>
    <w:rsid w:val="00B80546"/>
    <w:rsid w:val="00B80551"/>
    <w:rsid w:val="00B8057F"/>
    <w:rsid w:val="00B8058A"/>
    <w:rsid w:val="00B80637"/>
    <w:rsid w:val="00B8064E"/>
    <w:rsid w:val="00B806DA"/>
    <w:rsid w:val="00B806F2"/>
    <w:rsid w:val="00B80771"/>
    <w:rsid w:val="00B8077F"/>
    <w:rsid w:val="00B807AA"/>
    <w:rsid w:val="00B807BB"/>
    <w:rsid w:val="00B807CB"/>
    <w:rsid w:val="00B80875"/>
    <w:rsid w:val="00B808D6"/>
    <w:rsid w:val="00B808E3"/>
    <w:rsid w:val="00B8099E"/>
    <w:rsid w:val="00B8099F"/>
    <w:rsid w:val="00B809C0"/>
    <w:rsid w:val="00B80A1E"/>
    <w:rsid w:val="00B80A32"/>
    <w:rsid w:val="00B80A3E"/>
    <w:rsid w:val="00B80A64"/>
    <w:rsid w:val="00B80B0B"/>
    <w:rsid w:val="00B80BEB"/>
    <w:rsid w:val="00B80C27"/>
    <w:rsid w:val="00B80C7F"/>
    <w:rsid w:val="00B80C8A"/>
    <w:rsid w:val="00B80C9E"/>
    <w:rsid w:val="00B80CC5"/>
    <w:rsid w:val="00B80CDE"/>
    <w:rsid w:val="00B80D22"/>
    <w:rsid w:val="00B80E18"/>
    <w:rsid w:val="00B80EA9"/>
    <w:rsid w:val="00B80EB2"/>
    <w:rsid w:val="00B80EB6"/>
    <w:rsid w:val="00B80ECF"/>
    <w:rsid w:val="00B80ED1"/>
    <w:rsid w:val="00B80F5D"/>
    <w:rsid w:val="00B80F73"/>
    <w:rsid w:val="00B80F9D"/>
    <w:rsid w:val="00B80FB4"/>
    <w:rsid w:val="00B80FCD"/>
    <w:rsid w:val="00B80FCF"/>
    <w:rsid w:val="00B80FDB"/>
    <w:rsid w:val="00B80FF7"/>
    <w:rsid w:val="00B810DA"/>
    <w:rsid w:val="00B81108"/>
    <w:rsid w:val="00B8110F"/>
    <w:rsid w:val="00B8112B"/>
    <w:rsid w:val="00B81148"/>
    <w:rsid w:val="00B8115E"/>
    <w:rsid w:val="00B811A8"/>
    <w:rsid w:val="00B811D2"/>
    <w:rsid w:val="00B811EC"/>
    <w:rsid w:val="00B811F9"/>
    <w:rsid w:val="00B81200"/>
    <w:rsid w:val="00B81265"/>
    <w:rsid w:val="00B812D4"/>
    <w:rsid w:val="00B8135D"/>
    <w:rsid w:val="00B8135F"/>
    <w:rsid w:val="00B81378"/>
    <w:rsid w:val="00B81413"/>
    <w:rsid w:val="00B8148D"/>
    <w:rsid w:val="00B8149A"/>
    <w:rsid w:val="00B814BB"/>
    <w:rsid w:val="00B814C8"/>
    <w:rsid w:val="00B81533"/>
    <w:rsid w:val="00B81610"/>
    <w:rsid w:val="00B81645"/>
    <w:rsid w:val="00B81654"/>
    <w:rsid w:val="00B81671"/>
    <w:rsid w:val="00B816D0"/>
    <w:rsid w:val="00B816DE"/>
    <w:rsid w:val="00B8175C"/>
    <w:rsid w:val="00B818B0"/>
    <w:rsid w:val="00B818FF"/>
    <w:rsid w:val="00B81909"/>
    <w:rsid w:val="00B81942"/>
    <w:rsid w:val="00B81975"/>
    <w:rsid w:val="00B819E8"/>
    <w:rsid w:val="00B81A16"/>
    <w:rsid w:val="00B81A59"/>
    <w:rsid w:val="00B81B26"/>
    <w:rsid w:val="00B81B55"/>
    <w:rsid w:val="00B81B78"/>
    <w:rsid w:val="00B81BAB"/>
    <w:rsid w:val="00B81BEA"/>
    <w:rsid w:val="00B81C08"/>
    <w:rsid w:val="00B81C2E"/>
    <w:rsid w:val="00B81C30"/>
    <w:rsid w:val="00B81C95"/>
    <w:rsid w:val="00B81C9D"/>
    <w:rsid w:val="00B81CC2"/>
    <w:rsid w:val="00B81CD3"/>
    <w:rsid w:val="00B81D14"/>
    <w:rsid w:val="00B81D9F"/>
    <w:rsid w:val="00B81E06"/>
    <w:rsid w:val="00B81E30"/>
    <w:rsid w:val="00B81E4F"/>
    <w:rsid w:val="00B81E54"/>
    <w:rsid w:val="00B81E72"/>
    <w:rsid w:val="00B81EEC"/>
    <w:rsid w:val="00B81F20"/>
    <w:rsid w:val="00B81F24"/>
    <w:rsid w:val="00B81F84"/>
    <w:rsid w:val="00B81FB4"/>
    <w:rsid w:val="00B8203F"/>
    <w:rsid w:val="00B82048"/>
    <w:rsid w:val="00B8204A"/>
    <w:rsid w:val="00B82094"/>
    <w:rsid w:val="00B820D5"/>
    <w:rsid w:val="00B82148"/>
    <w:rsid w:val="00B82171"/>
    <w:rsid w:val="00B8218C"/>
    <w:rsid w:val="00B821F4"/>
    <w:rsid w:val="00B821FB"/>
    <w:rsid w:val="00B8221B"/>
    <w:rsid w:val="00B8225D"/>
    <w:rsid w:val="00B82298"/>
    <w:rsid w:val="00B822D3"/>
    <w:rsid w:val="00B822ED"/>
    <w:rsid w:val="00B82383"/>
    <w:rsid w:val="00B82396"/>
    <w:rsid w:val="00B823C8"/>
    <w:rsid w:val="00B82445"/>
    <w:rsid w:val="00B82497"/>
    <w:rsid w:val="00B824D7"/>
    <w:rsid w:val="00B824D9"/>
    <w:rsid w:val="00B824E2"/>
    <w:rsid w:val="00B82545"/>
    <w:rsid w:val="00B82566"/>
    <w:rsid w:val="00B82594"/>
    <w:rsid w:val="00B82597"/>
    <w:rsid w:val="00B8259E"/>
    <w:rsid w:val="00B8266A"/>
    <w:rsid w:val="00B8267E"/>
    <w:rsid w:val="00B82688"/>
    <w:rsid w:val="00B826C4"/>
    <w:rsid w:val="00B826D3"/>
    <w:rsid w:val="00B826FB"/>
    <w:rsid w:val="00B827A9"/>
    <w:rsid w:val="00B82824"/>
    <w:rsid w:val="00B8288D"/>
    <w:rsid w:val="00B828AE"/>
    <w:rsid w:val="00B828B8"/>
    <w:rsid w:val="00B828E9"/>
    <w:rsid w:val="00B82931"/>
    <w:rsid w:val="00B8293D"/>
    <w:rsid w:val="00B8294D"/>
    <w:rsid w:val="00B82956"/>
    <w:rsid w:val="00B8297A"/>
    <w:rsid w:val="00B829C2"/>
    <w:rsid w:val="00B829D6"/>
    <w:rsid w:val="00B829DA"/>
    <w:rsid w:val="00B82A2D"/>
    <w:rsid w:val="00B82A3A"/>
    <w:rsid w:val="00B82AF8"/>
    <w:rsid w:val="00B82B65"/>
    <w:rsid w:val="00B82B93"/>
    <w:rsid w:val="00B82BC6"/>
    <w:rsid w:val="00B82BD1"/>
    <w:rsid w:val="00B82BDD"/>
    <w:rsid w:val="00B82BF5"/>
    <w:rsid w:val="00B82C03"/>
    <w:rsid w:val="00B82C3A"/>
    <w:rsid w:val="00B82C79"/>
    <w:rsid w:val="00B82CE3"/>
    <w:rsid w:val="00B82CE8"/>
    <w:rsid w:val="00B82CF5"/>
    <w:rsid w:val="00B82D2B"/>
    <w:rsid w:val="00B82D2C"/>
    <w:rsid w:val="00B82DB2"/>
    <w:rsid w:val="00B82DDD"/>
    <w:rsid w:val="00B82E00"/>
    <w:rsid w:val="00B82E11"/>
    <w:rsid w:val="00B82E38"/>
    <w:rsid w:val="00B82E47"/>
    <w:rsid w:val="00B82E97"/>
    <w:rsid w:val="00B82EA2"/>
    <w:rsid w:val="00B82EC5"/>
    <w:rsid w:val="00B82F0C"/>
    <w:rsid w:val="00B82F4A"/>
    <w:rsid w:val="00B82F6F"/>
    <w:rsid w:val="00B83047"/>
    <w:rsid w:val="00B83082"/>
    <w:rsid w:val="00B830A3"/>
    <w:rsid w:val="00B830CB"/>
    <w:rsid w:val="00B83140"/>
    <w:rsid w:val="00B831AD"/>
    <w:rsid w:val="00B832D6"/>
    <w:rsid w:val="00B8331F"/>
    <w:rsid w:val="00B8338C"/>
    <w:rsid w:val="00B8338F"/>
    <w:rsid w:val="00B833C7"/>
    <w:rsid w:val="00B833D8"/>
    <w:rsid w:val="00B833F6"/>
    <w:rsid w:val="00B8340D"/>
    <w:rsid w:val="00B83412"/>
    <w:rsid w:val="00B83432"/>
    <w:rsid w:val="00B8344D"/>
    <w:rsid w:val="00B8349C"/>
    <w:rsid w:val="00B834D8"/>
    <w:rsid w:val="00B834FD"/>
    <w:rsid w:val="00B83510"/>
    <w:rsid w:val="00B83536"/>
    <w:rsid w:val="00B83577"/>
    <w:rsid w:val="00B835B9"/>
    <w:rsid w:val="00B8360D"/>
    <w:rsid w:val="00B8364A"/>
    <w:rsid w:val="00B8366C"/>
    <w:rsid w:val="00B836DF"/>
    <w:rsid w:val="00B836E9"/>
    <w:rsid w:val="00B83711"/>
    <w:rsid w:val="00B83770"/>
    <w:rsid w:val="00B8378E"/>
    <w:rsid w:val="00B837C3"/>
    <w:rsid w:val="00B837EE"/>
    <w:rsid w:val="00B837FC"/>
    <w:rsid w:val="00B8385B"/>
    <w:rsid w:val="00B83882"/>
    <w:rsid w:val="00B83899"/>
    <w:rsid w:val="00B838BB"/>
    <w:rsid w:val="00B838E1"/>
    <w:rsid w:val="00B838FB"/>
    <w:rsid w:val="00B838FC"/>
    <w:rsid w:val="00B8395D"/>
    <w:rsid w:val="00B839BF"/>
    <w:rsid w:val="00B839FA"/>
    <w:rsid w:val="00B83A05"/>
    <w:rsid w:val="00B83A56"/>
    <w:rsid w:val="00B83A5B"/>
    <w:rsid w:val="00B83A71"/>
    <w:rsid w:val="00B83A7F"/>
    <w:rsid w:val="00B83AE0"/>
    <w:rsid w:val="00B83AE6"/>
    <w:rsid w:val="00B83B14"/>
    <w:rsid w:val="00B83B37"/>
    <w:rsid w:val="00B83B5F"/>
    <w:rsid w:val="00B83B70"/>
    <w:rsid w:val="00B83B82"/>
    <w:rsid w:val="00B83B93"/>
    <w:rsid w:val="00B83BAE"/>
    <w:rsid w:val="00B83BB1"/>
    <w:rsid w:val="00B83BCE"/>
    <w:rsid w:val="00B83C07"/>
    <w:rsid w:val="00B83C0A"/>
    <w:rsid w:val="00B83CAA"/>
    <w:rsid w:val="00B83CAB"/>
    <w:rsid w:val="00B83CF2"/>
    <w:rsid w:val="00B83CF4"/>
    <w:rsid w:val="00B83D55"/>
    <w:rsid w:val="00B83D6F"/>
    <w:rsid w:val="00B83D7B"/>
    <w:rsid w:val="00B83DA4"/>
    <w:rsid w:val="00B83DFE"/>
    <w:rsid w:val="00B83E32"/>
    <w:rsid w:val="00B83E55"/>
    <w:rsid w:val="00B83E58"/>
    <w:rsid w:val="00B83E79"/>
    <w:rsid w:val="00B83ECC"/>
    <w:rsid w:val="00B83F63"/>
    <w:rsid w:val="00B83FDB"/>
    <w:rsid w:val="00B83FE6"/>
    <w:rsid w:val="00B84077"/>
    <w:rsid w:val="00B8408E"/>
    <w:rsid w:val="00B840AF"/>
    <w:rsid w:val="00B840DC"/>
    <w:rsid w:val="00B840FA"/>
    <w:rsid w:val="00B840FE"/>
    <w:rsid w:val="00B8413B"/>
    <w:rsid w:val="00B84167"/>
    <w:rsid w:val="00B8419C"/>
    <w:rsid w:val="00B841F2"/>
    <w:rsid w:val="00B8426F"/>
    <w:rsid w:val="00B842A4"/>
    <w:rsid w:val="00B84395"/>
    <w:rsid w:val="00B8439C"/>
    <w:rsid w:val="00B843BD"/>
    <w:rsid w:val="00B843F4"/>
    <w:rsid w:val="00B843F9"/>
    <w:rsid w:val="00B84447"/>
    <w:rsid w:val="00B8444F"/>
    <w:rsid w:val="00B84462"/>
    <w:rsid w:val="00B84488"/>
    <w:rsid w:val="00B84494"/>
    <w:rsid w:val="00B8449E"/>
    <w:rsid w:val="00B844B2"/>
    <w:rsid w:val="00B844EC"/>
    <w:rsid w:val="00B844EF"/>
    <w:rsid w:val="00B8459A"/>
    <w:rsid w:val="00B84633"/>
    <w:rsid w:val="00B84683"/>
    <w:rsid w:val="00B846B2"/>
    <w:rsid w:val="00B846C1"/>
    <w:rsid w:val="00B846FA"/>
    <w:rsid w:val="00B8472B"/>
    <w:rsid w:val="00B8472E"/>
    <w:rsid w:val="00B84753"/>
    <w:rsid w:val="00B84769"/>
    <w:rsid w:val="00B84771"/>
    <w:rsid w:val="00B847BB"/>
    <w:rsid w:val="00B847BC"/>
    <w:rsid w:val="00B84808"/>
    <w:rsid w:val="00B8485B"/>
    <w:rsid w:val="00B8486C"/>
    <w:rsid w:val="00B84871"/>
    <w:rsid w:val="00B8487D"/>
    <w:rsid w:val="00B84892"/>
    <w:rsid w:val="00B848CD"/>
    <w:rsid w:val="00B848D5"/>
    <w:rsid w:val="00B84929"/>
    <w:rsid w:val="00B84935"/>
    <w:rsid w:val="00B8494E"/>
    <w:rsid w:val="00B8494F"/>
    <w:rsid w:val="00B8496F"/>
    <w:rsid w:val="00B849AA"/>
    <w:rsid w:val="00B849F6"/>
    <w:rsid w:val="00B84A13"/>
    <w:rsid w:val="00B84A1E"/>
    <w:rsid w:val="00B84A7D"/>
    <w:rsid w:val="00B84AA7"/>
    <w:rsid w:val="00B84AAD"/>
    <w:rsid w:val="00B84AE3"/>
    <w:rsid w:val="00B84BC4"/>
    <w:rsid w:val="00B84C18"/>
    <w:rsid w:val="00B84C22"/>
    <w:rsid w:val="00B84C42"/>
    <w:rsid w:val="00B84C75"/>
    <w:rsid w:val="00B84C8D"/>
    <w:rsid w:val="00B84CCC"/>
    <w:rsid w:val="00B84D19"/>
    <w:rsid w:val="00B84D33"/>
    <w:rsid w:val="00B84D70"/>
    <w:rsid w:val="00B84D9A"/>
    <w:rsid w:val="00B84DBD"/>
    <w:rsid w:val="00B84DC5"/>
    <w:rsid w:val="00B84E2A"/>
    <w:rsid w:val="00B84E4F"/>
    <w:rsid w:val="00B84E51"/>
    <w:rsid w:val="00B84E58"/>
    <w:rsid w:val="00B84E6C"/>
    <w:rsid w:val="00B84F85"/>
    <w:rsid w:val="00B8501A"/>
    <w:rsid w:val="00B8503D"/>
    <w:rsid w:val="00B85081"/>
    <w:rsid w:val="00B850A7"/>
    <w:rsid w:val="00B850CF"/>
    <w:rsid w:val="00B850DA"/>
    <w:rsid w:val="00B8510E"/>
    <w:rsid w:val="00B8511F"/>
    <w:rsid w:val="00B85125"/>
    <w:rsid w:val="00B85150"/>
    <w:rsid w:val="00B8516D"/>
    <w:rsid w:val="00B851A4"/>
    <w:rsid w:val="00B851DC"/>
    <w:rsid w:val="00B851F4"/>
    <w:rsid w:val="00B8520C"/>
    <w:rsid w:val="00B85254"/>
    <w:rsid w:val="00B8526A"/>
    <w:rsid w:val="00B852A7"/>
    <w:rsid w:val="00B85318"/>
    <w:rsid w:val="00B8531A"/>
    <w:rsid w:val="00B85340"/>
    <w:rsid w:val="00B85359"/>
    <w:rsid w:val="00B853AB"/>
    <w:rsid w:val="00B8540A"/>
    <w:rsid w:val="00B8541E"/>
    <w:rsid w:val="00B85497"/>
    <w:rsid w:val="00B854BA"/>
    <w:rsid w:val="00B854C2"/>
    <w:rsid w:val="00B8550B"/>
    <w:rsid w:val="00B85566"/>
    <w:rsid w:val="00B855CB"/>
    <w:rsid w:val="00B855FA"/>
    <w:rsid w:val="00B8560A"/>
    <w:rsid w:val="00B8567C"/>
    <w:rsid w:val="00B8569F"/>
    <w:rsid w:val="00B8572F"/>
    <w:rsid w:val="00B8576D"/>
    <w:rsid w:val="00B8577D"/>
    <w:rsid w:val="00B8578E"/>
    <w:rsid w:val="00B85830"/>
    <w:rsid w:val="00B8586C"/>
    <w:rsid w:val="00B8587C"/>
    <w:rsid w:val="00B858AF"/>
    <w:rsid w:val="00B858ED"/>
    <w:rsid w:val="00B858FC"/>
    <w:rsid w:val="00B85912"/>
    <w:rsid w:val="00B8596F"/>
    <w:rsid w:val="00B859B9"/>
    <w:rsid w:val="00B85A35"/>
    <w:rsid w:val="00B85A3B"/>
    <w:rsid w:val="00B85A56"/>
    <w:rsid w:val="00B85AFC"/>
    <w:rsid w:val="00B85C0A"/>
    <w:rsid w:val="00B85C25"/>
    <w:rsid w:val="00B85C3C"/>
    <w:rsid w:val="00B85C43"/>
    <w:rsid w:val="00B85C95"/>
    <w:rsid w:val="00B85C98"/>
    <w:rsid w:val="00B85DAC"/>
    <w:rsid w:val="00B85DB4"/>
    <w:rsid w:val="00B85DC8"/>
    <w:rsid w:val="00B85DCF"/>
    <w:rsid w:val="00B85E85"/>
    <w:rsid w:val="00B85EA4"/>
    <w:rsid w:val="00B85EB9"/>
    <w:rsid w:val="00B85EDA"/>
    <w:rsid w:val="00B86037"/>
    <w:rsid w:val="00B8604F"/>
    <w:rsid w:val="00B86066"/>
    <w:rsid w:val="00B860D6"/>
    <w:rsid w:val="00B860F2"/>
    <w:rsid w:val="00B861E2"/>
    <w:rsid w:val="00B86220"/>
    <w:rsid w:val="00B8623B"/>
    <w:rsid w:val="00B8625F"/>
    <w:rsid w:val="00B8629E"/>
    <w:rsid w:val="00B862E3"/>
    <w:rsid w:val="00B862E6"/>
    <w:rsid w:val="00B86338"/>
    <w:rsid w:val="00B86350"/>
    <w:rsid w:val="00B86355"/>
    <w:rsid w:val="00B86360"/>
    <w:rsid w:val="00B86370"/>
    <w:rsid w:val="00B863C0"/>
    <w:rsid w:val="00B8641F"/>
    <w:rsid w:val="00B86437"/>
    <w:rsid w:val="00B8644F"/>
    <w:rsid w:val="00B86463"/>
    <w:rsid w:val="00B864AF"/>
    <w:rsid w:val="00B86591"/>
    <w:rsid w:val="00B8661B"/>
    <w:rsid w:val="00B86634"/>
    <w:rsid w:val="00B8663C"/>
    <w:rsid w:val="00B86648"/>
    <w:rsid w:val="00B86655"/>
    <w:rsid w:val="00B86683"/>
    <w:rsid w:val="00B86685"/>
    <w:rsid w:val="00B86687"/>
    <w:rsid w:val="00B866CB"/>
    <w:rsid w:val="00B86712"/>
    <w:rsid w:val="00B8677C"/>
    <w:rsid w:val="00B867A2"/>
    <w:rsid w:val="00B867D6"/>
    <w:rsid w:val="00B867F9"/>
    <w:rsid w:val="00B86806"/>
    <w:rsid w:val="00B868BB"/>
    <w:rsid w:val="00B868CC"/>
    <w:rsid w:val="00B86908"/>
    <w:rsid w:val="00B8690C"/>
    <w:rsid w:val="00B86911"/>
    <w:rsid w:val="00B86934"/>
    <w:rsid w:val="00B8697B"/>
    <w:rsid w:val="00B86998"/>
    <w:rsid w:val="00B869A9"/>
    <w:rsid w:val="00B869AE"/>
    <w:rsid w:val="00B869C9"/>
    <w:rsid w:val="00B86A24"/>
    <w:rsid w:val="00B86A33"/>
    <w:rsid w:val="00B86AA1"/>
    <w:rsid w:val="00B86B03"/>
    <w:rsid w:val="00B86B2D"/>
    <w:rsid w:val="00B86B47"/>
    <w:rsid w:val="00B86B63"/>
    <w:rsid w:val="00B86B6E"/>
    <w:rsid w:val="00B86BEE"/>
    <w:rsid w:val="00B86BFA"/>
    <w:rsid w:val="00B86C02"/>
    <w:rsid w:val="00B86C34"/>
    <w:rsid w:val="00B86C7E"/>
    <w:rsid w:val="00B86C8D"/>
    <w:rsid w:val="00B86CDC"/>
    <w:rsid w:val="00B86D2E"/>
    <w:rsid w:val="00B86DD0"/>
    <w:rsid w:val="00B86E0E"/>
    <w:rsid w:val="00B86E2F"/>
    <w:rsid w:val="00B86E3D"/>
    <w:rsid w:val="00B86E77"/>
    <w:rsid w:val="00B86E98"/>
    <w:rsid w:val="00B86EAF"/>
    <w:rsid w:val="00B86EC7"/>
    <w:rsid w:val="00B86F18"/>
    <w:rsid w:val="00B86F73"/>
    <w:rsid w:val="00B87014"/>
    <w:rsid w:val="00B87058"/>
    <w:rsid w:val="00B8705C"/>
    <w:rsid w:val="00B8705D"/>
    <w:rsid w:val="00B870C8"/>
    <w:rsid w:val="00B870DF"/>
    <w:rsid w:val="00B87108"/>
    <w:rsid w:val="00B8710B"/>
    <w:rsid w:val="00B87116"/>
    <w:rsid w:val="00B87138"/>
    <w:rsid w:val="00B87165"/>
    <w:rsid w:val="00B87181"/>
    <w:rsid w:val="00B87187"/>
    <w:rsid w:val="00B871C9"/>
    <w:rsid w:val="00B871E4"/>
    <w:rsid w:val="00B871F7"/>
    <w:rsid w:val="00B87234"/>
    <w:rsid w:val="00B8725A"/>
    <w:rsid w:val="00B872A4"/>
    <w:rsid w:val="00B872C0"/>
    <w:rsid w:val="00B872D3"/>
    <w:rsid w:val="00B87307"/>
    <w:rsid w:val="00B87320"/>
    <w:rsid w:val="00B8735A"/>
    <w:rsid w:val="00B873C6"/>
    <w:rsid w:val="00B873E5"/>
    <w:rsid w:val="00B873F0"/>
    <w:rsid w:val="00B87408"/>
    <w:rsid w:val="00B8748B"/>
    <w:rsid w:val="00B874FB"/>
    <w:rsid w:val="00B8750B"/>
    <w:rsid w:val="00B87661"/>
    <w:rsid w:val="00B87669"/>
    <w:rsid w:val="00B87683"/>
    <w:rsid w:val="00B8768E"/>
    <w:rsid w:val="00B8770A"/>
    <w:rsid w:val="00B8775F"/>
    <w:rsid w:val="00B8778E"/>
    <w:rsid w:val="00B877BE"/>
    <w:rsid w:val="00B877E6"/>
    <w:rsid w:val="00B8780C"/>
    <w:rsid w:val="00B8781B"/>
    <w:rsid w:val="00B87820"/>
    <w:rsid w:val="00B8785B"/>
    <w:rsid w:val="00B87863"/>
    <w:rsid w:val="00B878B1"/>
    <w:rsid w:val="00B87950"/>
    <w:rsid w:val="00B879AA"/>
    <w:rsid w:val="00B879BE"/>
    <w:rsid w:val="00B879D4"/>
    <w:rsid w:val="00B879E6"/>
    <w:rsid w:val="00B87A63"/>
    <w:rsid w:val="00B87A88"/>
    <w:rsid w:val="00B87A9E"/>
    <w:rsid w:val="00B87AB6"/>
    <w:rsid w:val="00B87AE6"/>
    <w:rsid w:val="00B87B6C"/>
    <w:rsid w:val="00B87BB8"/>
    <w:rsid w:val="00B87BEB"/>
    <w:rsid w:val="00B87C12"/>
    <w:rsid w:val="00B87C33"/>
    <w:rsid w:val="00B87C93"/>
    <w:rsid w:val="00B87D02"/>
    <w:rsid w:val="00B87D3C"/>
    <w:rsid w:val="00B87D69"/>
    <w:rsid w:val="00B87D77"/>
    <w:rsid w:val="00B87E46"/>
    <w:rsid w:val="00B87E57"/>
    <w:rsid w:val="00B87E84"/>
    <w:rsid w:val="00B87E8C"/>
    <w:rsid w:val="00B87EB3"/>
    <w:rsid w:val="00B87EC3"/>
    <w:rsid w:val="00B87F41"/>
    <w:rsid w:val="00B9002E"/>
    <w:rsid w:val="00B9006C"/>
    <w:rsid w:val="00B9008C"/>
    <w:rsid w:val="00B900FA"/>
    <w:rsid w:val="00B9013C"/>
    <w:rsid w:val="00B90156"/>
    <w:rsid w:val="00B901A1"/>
    <w:rsid w:val="00B901A5"/>
    <w:rsid w:val="00B901B1"/>
    <w:rsid w:val="00B901BD"/>
    <w:rsid w:val="00B90203"/>
    <w:rsid w:val="00B90254"/>
    <w:rsid w:val="00B902AF"/>
    <w:rsid w:val="00B9030E"/>
    <w:rsid w:val="00B9033D"/>
    <w:rsid w:val="00B9039F"/>
    <w:rsid w:val="00B903AC"/>
    <w:rsid w:val="00B903DE"/>
    <w:rsid w:val="00B903E2"/>
    <w:rsid w:val="00B9041F"/>
    <w:rsid w:val="00B9045D"/>
    <w:rsid w:val="00B9046F"/>
    <w:rsid w:val="00B90495"/>
    <w:rsid w:val="00B904AA"/>
    <w:rsid w:val="00B904D1"/>
    <w:rsid w:val="00B90540"/>
    <w:rsid w:val="00B90575"/>
    <w:rsid w:val="00B9059B"/>
    <w:rsid w:val="00B905C0"/>
    <w:rsid w:val="00B905D3"/>
    <w:rsid w:val="00B905FB"/>
    <w:rsid w:val="00B9060D"/>
    <w:rsid w:val="00B90651"/>
    <w:rsid w:val="00B90686"/>
    <w:rsid w:val="00B906D2"/>
    <w:rsid w:val="00B906D9"/>
    <w:rsid w:val="00B90704"/>
    <w:rsid w:val="00B90715"/>
    <w:rsid w:val="00B9072F"/>
    <w:rsid w:val="00B907AD"/>
    <w:rsid w:val="00B907AE"/>
    <w:rsid w:val="00B907D4"/>
    <w:rsid w:val="00B90824"/>
    <w:rsid w:val="00B9091F"/>
    <w:rsid w:val="00B9096B"/>
    <w:rsid w:val="00B9096F"/>
    <w:rsid w:val="00B90970"/>
    <w:rsid w:val="00B9098B"/>
    <w:rsid w:val="00B9099F"/>
    <w:rsid w:val="00B909CF"/>
    <w:rsid w:val="00B90A1A"/>
    <w:rsid w:val="00B90A82"/>
    <w:rsid w:val="00B90A99"/>
    <w:rsid w:val="00B90AD8"/>
    <w:rsid w:val="00B90AE3"/>
    <w:rsid w:val="00B90B2F"/>
    <w:rsid w:val="00B90B53"/>
    <w:rsid w:val="00B90B9B"/>
    <w:rsid w:val="00B90BDB"/>
    <w:rsid w:val="00B90C06"/>
    <w:rsid w:val="00B90C0C"/>
    <w:rsid w:val="00B90C1B"/>
    <w:rsid w:val="00B90C21"/>
    <w:rsid w:val="00B90C63"/>
    <w:rsid w:val="00B90C9E"/>
    <w:rsid w:val="00B90D91"/>
    <w:rsid w:val="00B90DF2"/>
    <w:rsid w:val="00B90E0D"/>
    <w:rsid w:val="00B90E3F"/>
    <w:rsid w:val="00B90E4E"/>
    <w:rsid w:val="00B90E5F"/>
    <w:rsid w:val="00B90ECB"/>
    <w:rsid w:val="00B90EE8"/>
    <w:rsid w:val="00B90EF4"/>
    <w:rsid w:val="00B90F2B"/>
    <w:rsid w:val="00B90F52"/>
    <w:rsid w:val="00B90F6F"/>
    <w:rsid w:val="00B90FF9"/>
    <w:rsid w:val="00B91024"/>
    <w:rsid w:val="00B91030"/>
    <w:rsid w:val="00B91096"/>
    <w:rsid w:val="00B910D8"/>
    <w:rsid w:val="00B91129"/>
    <w:rsid w:val="00B9119C"/>
    <w:rsid w:val="00B911A8"/>
    <w:rsid w:val="00B911EA"/>
    <w:rsid w:val="00B91258"/>
    <w:rsid w:val="00B912A2"/>
    <w:rsid w:val="00B912E9"/>
    <w:rsid w:val="00B91349"/>
    <w:rsid w:val="00B91355"/>
    <w:rsid w:val="00B913AC"/>
    <w:rsid w:val="00B913E2"/>
    <w:rsid w:val="00B913E6"/>
    <w:rsid w:val="00B913FE"/>
    <w:rsid w:val="00B91408"/>
    <w:rsid w:val="00B9145B"/>
    <w:rsid w:val="00B914A6"/>
    <w:rsid w:val="00B914AF"/>
    <w:rsid w:val="00B914C6"/>
    <w:rsid w:val="00B914D0"/>
    <w:rsid w:val="00B9156D"/>
    <w:rsid w:val="00B91581"/>
    <w:rsid w:val="00B9162C"/>
    <w:rsid w:val="00B91655"/>
    <w:rsid w:val="00B91696"/>
    <w:rsid w:val="00B9174E"/>
    <w:rsid w:val="00B91751"/>
    <w:rsid w:val="00B91756"/>
    <w:rsid w:val="00B917D9"/>
    <w:rsid w:val="00B9183D"/>
    <w:rsid w:val="00B9184C"/>
    <w:rsid w:val="00B91860"/>
    <w:rsid w:val="00B91869"/>
    <w:rsid w:val="00B91874"/>
    <w:rsid w:val="00B918A1"/>
    <w:rsid w:val="00B918C6"/>
    <w:rsid w:val="00B918E3"/>
    <w:rsid w:val="00B918FA"/>
    <w:rsid w:val="00B91937"/>
    <w:rsid w:val="00B9193F"/>
    <w:rsid w:val="00B91950"/>
    <w:rsid w:val="00B9195B"/>
    <w:rsid w:val="00B91988"/>
    <w:rsid w:val="00B919CD"/>
    <w:rsid w:val="00B919EA"/>
    <w:rsid w:val="00B919EB"/>
    <w:rsid w:val="00B91A2E"/>
    <w:rsid w:val="00B91A4B"/>
    <w:rsid w:val="00B91AE0"/>
    <w:rsid w:val="00B91AE6"/>
    <w:rsid w:val="00B91B1F"/>
    <w:rsid w:val="00B91B54"/>
    <w:rsid w:val="00B91B9A"/>
    <w:rsid w:val="00B91BD3"/>
    <w:rsid w:val="00B91BE9"/>
    <w:rsid w:val="00B91C02"/>
    <w:rsid w:val="00B91C57"/>
    <w:rsid w:val="00B91C85"/>
    <w:rsid w:val="00B91CC2"/>
    <w:rsid w:val="00B91CFF"/>
    <w:rsid w:val="00B91D1B"/>
    <w:rsid w:val="00B91D48"/>
    <w:rsid w:val="00B91D9C"/>
    <w:rsid w:val="00B91DC6"/>
    <w:rsid w:val="00B91E36"/>
    <w:rsid w:val="00B91E44"/>
    <w:rsid w:val="00B91EE6"/>
    <w:rsid w:val="00B91EF0"/>
    <w:rsid w:val="00B91F27"/>
    <w:rsid w:val="00B91F37"/>
    <w:rsid w:val="00B91F57"/>
    <w:rsid w:val="00B91FE8"/>
    <w:rsid w:val="00B91FFB"/>
    <w:rsid w:val="00B9200E"/>
    <w:rsid w:val="00B9201D"/>
    <w:rsid w:val="00B9202F"/>
    <w:rsid w:val="00B92058"/>
    <w:rsid w:val="00B92085"/>
    <w:rsid w:val="00B920A3"/>
    <w:rsid w:val="00B920B1"/>
    <w:rsid w:val="00B92104"/>
    <w:rsid w:val="00B9212A"/>
    <w:rsid w:val="00B92133"/>
    <w:rsid w:val="00B921B2"/>
    <w:rsid w:val="00B921BD"/>
    <w:rsid w:val="00B921E5"/>
    <w:rsid w:val="00B92205"/>
    <w:rsid w:val="00B92218"/>
    <w:rsid w:val="00B9221E"/>
    <w:rsid w:val="00B92220"/>
    <w:rsid w:val="00B9222C"/>
    <w:rsid w:val="00B92245"/>
    <w:rsid w:val="00B92247"/>
    <w:rsid w:val="00B9225A"/>
    <w:rsid w:val="00B9225C"/>
    <w:rsid w:val="00B92274"/>
    <w:rsid w:val="00B922F8"/>
    <w:rsid w:val="00B92317"/>
    <w:rsid w:val="00B92321"/>
    <w:rsid w:val="00B9236D"/>
    <w:rsid w:val="00B923C5"/>
    <w:rsid w:val="00B92697"/>
    <w:rsid w:val="00B926D7"/>
    <w:rsid w:val="00B92704"/>
    <w:rsid w:val="00B9276D"/>
    <w:rsid w:val="00B92775"/>
    <w:rsid w:val="00B927D7"/>
    <w:rsid w:val="00B927F5"/>
    <w:rsid w:val="00B92848"/>
    <w:rsid w:val="00B92894"/>
    <w:rsid w:val="00B928A5"/>
    <w:rsid w:val="00B92970"/>
    <w:rsid w:val="00B92976"/>
    <w:rsid w:val="00B92981"/>
    <w:rsid w:val="00B92984"/>
    <w:rsid w:val="00B929B3"/>
    <w:rsid w:val="00B929C4"/>
    <w:rsid w:val="00B929EA"/>
    <w:rsid w:val="00B92A14"/>
    <w:rsid w:val="00B92A5D"/>
    <w:rsid w:val="00B92A83"/>
    <w:rsid w:val="00B92B3E"/>
    <w:rsid w:val="00B92B67"/>
    <w:rsid w:val="00B92B7E"/>
    <w:rsid w:val="00B92BF0"/>
    <w:rsid w:val="00B92C30"/>
    <w:rsid w:val="00B92C45"/>
    <w:rsid w:val="00B92C7B"/>
    <w:rsid w:val="00B92D5B"/>
    <w:rsid w:val="00B92D64"/>
    <w:rsid w:val="00B92D73"/>
    <w:rsid w:val="00B92DC0"/>
    <w:rsid w:val="00B92DCB"/>
    <w:rsid w:val="00B92E2D"/>
    <w:rsid w:val="00B92E57"/>
    <w:rsid w:val="00B92EB7"/>
    <w:rsid w:val="00B92EBB"/>
    <w:rsid w:val="00B92EC9"/>
    <w:rsid w:val="00B92ECA"/>
    <w:rsid w:val="00B92ED3"/>
    <w:rsid w:val="00B92EDD"/>
    <w:rsid w:val="00B92F0A"/>
    <w:rsid w:val="00B92F59"/>
    <w:rsid w:val="00B92FB0"/>
    <w:rsid w:val="00B92FB4"/>
    <w:rsid w:val="00B92FB7"/>
    <w:rsid w:val="00B92FC4"/>
    <w:rsid w:val="00B92FE2"/>
    <w:rsid w:val="00B92FFA"/>
    <w:rsid w:val="00B93035"/>
    <w:rsid w:val="00B9303C"/>
    <w:rsid w:val="00B9305A"/>
    <w:rsid w:val="00B930BE"/>
    <w:rsid w:val="00B93109"/>
    <w:rsid w:val="00B93142"/>
    <w:rsid w:val="00B93152"/>
    <w:rsid w:val="00B9316C"/>
    <w:rsid w:val="00B9318B"/>
    <w:rsid w:val="00B93195"/>
    <w:rsid w:val="00B9319F"/>
    <w:rsid w:val="00B931C8"/>
    <w:rsid w:val="00B93217"/>
    <w:rsid w:val="00B9322A"/>
    <w:rsid w:val="00B9324A"/>
    <w:rsid w:val="00B9327B"/>
    <w:rsid w:val="00B93298"/>
    <w:rsid w:val="00B932A4"/>
    <w:rsid w:val="00B932BC"/>
    <w:rsid w:val="00B932CB"/>
    <w:rsid w:val="00B932E5"/>
    <w:rsid w:val="00B9333D"/>
    <w:rsid w:val="00B9333F"/>
    <w:rsid w:val="00B93343"/>
    <w:rsid w:val="00B93362"/>
    <w:rsid w:val="00B93370"/>
    <w:rsid w:val="00B9338B"/>
    <w:rsid w:val="00B933AF"/>
    <w:rsid w:val="00B933BB"/>
    <w:rsid w:val="00B93470"/>
    <w:rsid w:val="00B934B5"/>
    <w:rsid w:val="00B934C8"/>
    <w:rsid w:val="00B93544"/>
    <w:rsid w:val="00B93561"/>
    <w:rsid w:val="00B935E2"/>
    <w:rsid w:val="00B93600"/>
    <w:rsid w:val="00B936B7"/>
    <w:rsid w:val="00B9370A"/>
    <w:rsid w:val="00B9370F"/>
    <w:rsid w:val="00B93734"/>
    <w:rsid w:val="00B93736"/>
    <w:rsid w:val="00B9376C"/>
    <w:rsid w:val="00B938C3"/>
    <w:rsid w:val="00B938D4"/>
    <w:rsid w:val="00B938E9"/>
    <w:rsid w:val="00B9398E"/>
    <w:rsid w:val="00B9399C"/>
    <w:rsid w:val="00B939C5"/>
    <w:rsid w:val="00B939D6"/>
    <w:rsid w:val="00B939DA"/>
    <w:rsid w:val="00B93A64"/>
    <w:rsid w:val="00B93A71"/>
    <w:rsid w:val="00B93A83"/>
    <w:rsid w:val="00B93A9B"/>
    <w:rsid w:val="00B93AA6"/>
    <w:rsid w:val="00B93AAF"/>
    <w:rsid w:val="00B93BD6"/>
    <w:rsid w:val="00B93BF4"/>
    <w:rsid w:val="00B93C0E"/>
    <w:rsid w:val="00B93C11"/>
    <w:rsid w:val="00B93C3B"/>
    <w:rsid w:val="00B93C51"/>
    <w:rsid w:val="00B93C71"/>
    <w:rsid w:val="00B93C8D"/>
    <w:rsid w:val="00B93CA2"/>
    <w:rsid w:val="00B93CA7"/>
    <w:rsid w:val="00B93CBC"/>
    <w:rsid w:val="00B93D30"/>
    <w:rsid w:val="00B93D43"/>
    <w:rsid w:val="00B93D5B"/>
    <w:rsid w:val="00B93D7F"/>
    <w:rsid w:val="00B93D8E"/>
    <w:rsid w:val="00B93DE6"/>
    <w:rsid w:val="00B93E0F"/>
    <w:rsid w:val="00B93E3D"/>
    <w:rsid w:val="00B93E6A"/>
    <w:rsid w:val="00B93ED5"/>
    <w:rsid w:val="00B93F2E"/>
    <w:rsid w:val="00B93F55"/>
    <w:rsid w:val="00B94019"/>
    <w:rsid w:val="00B94047"/>
    <w:rsid w:val="00B9404C"/>
    <w:rsid w:val="00B940B9"/>
    <w:rsid w:val="00B940D1"/>
    <w:rsid w:val="00B940DA"/>
    <w:rsid w:val="00B940FA"/>
    <w:rsid w:val="00B9412F"/>
    <w:rsid w:val="00B9413D"/>
    <w:rsid w:val="00B94140"/>
    <w:rsid w:val="00B94154"/>
    <w:rsid w:val="00B9415B"/>
    <w:rsid w:val="00B94166"/>
    <w:rsid w:val="00B94178"/>
    <w:rsid w:val="00B9418A"/>
    <w:rsid w:val="00B941C7"/>
    <w:rsid w:val="00B941CB"/>
    <w:rsid w:val="00B94234"/>
    <w:rsid w:val="00B9428F"/>
    <w:rsid w:val="00B942AF"/>
    <w:rsid w:val="00B942B3"/>
    <w:rsid w:val="00B94311"/>
    <w:rsid w:val="00B943B8"/>
    <w:rsid w:val="00B94487"/>
    <w:rsid w:val="00B944BA"/>
    <w:rsid w:val="00B944C9"/>
    <w:rsid w:val="00B94539"/>
    <w:rsid w:val="00B9453E"/>
    <w:rsid w:val="00B94541"/>
    <w:rsid w:val="00B9455B"/>
    <w:rsid w:val="00B9457E"/>
    <w:rsid w:val="00B945AB"/>
    <w:rsid w:val="00B94650"/>
    <w:rsid w:val="00B94655"/>
    <w:rsid w:val="00B94667"/>
    <w:rsid w:val="00B946C7"/>
    <w:rsid w:val="00B946E8"/>
    <w:rsid w:val="00B946F1"/>
    <w:rsid w:val="00B9474D"/>
    <w:rsid w:val="00B9477E"/>
    <w:rsid w:val="00B947A3"/>
    <w:rsid w:val="00B948D9"/>
    <w:rsid w:val="00B948FE"/>
    <w:rsid w:val="00B9494A"/>
    <w:rsid w:val="00B9494B"/>
    <w:rsid w:val="00B94991"/>
    <w:rsid w:val="00B949B3"/>
    <w:rsid w:val="00B949BB"/>
    <w:rsid w:val="00B949C0"/>
    <w:rsid w:val="00B949D8"/>
    <w:rsid w:val="00B949FC"/>
    <w:rsid w:val="00B94A16"/>
    <w:rsid w:val="00B94A6B"/>
    <w:rsid w:val="00B94A8A"/>
    <w:rsid w:val="00B94ABA"/>
    <w:rsid w:val="00B94AD2"/>
    <w:rsid w:val="00B94AEE"/>
    <w:rsid w:val="00B94B0A"/>
    <w:rsid w:val="00B94B1F"/>
    <w:rsid w:val="00B94B44"/>
    <w:rsid w:val="00B94B54"/>
    <w:rsid w:val="00B94B88"/>
    <w:rsid w:val="00B94BD2"/>
    <w:rsid w:val="00B94C59"/>
    <w:rsid w:val="00B94C8F"/>
    <w:rsid w:val="00B94CB0"/>
    <w:rsid w:val="00B94CD0"/>
    <w:rsid w:val="00B94D13"/>
    <w:rsid w:val="00B94D38"/>
    <w:rsid w:val="00B94D69"/>
    <w:rsid w:val="00B94DD5"/>
    <w:rsid w:val="00B94DF1"/>
    <w:rsid w:val="00B94DF3"/>
    <w:rsid w:val="00B94E9C"/>
    <w:rsid w:val="00B94EA2"/>
    <w:rsid w:val="00B94EC8"/>
    <w:rsid w:val="00B94F29"/>
    <w:rsid w:val="00B94F47"/>
    <w:rsid w:val="00B94F5F"/>
    <w:rsid w:val="00B94F63"/>
    <w:rsid w:val="00B94F70"/>
    <w:rsid w:val="00B94F9A"/>
    <w:rsid w:val="00B94FD8"/>
    <w:rsid w:val="00B9500D"/>
    <w:rsid w:val="00B95022"/>
    <w:rsid w:val="00B95040"/>
    <w:rsid w:val="00B95043"/>
    <w:rsid w:val="00B9507B"/>
    <w:rsid w:val="00B9509F"/>
    <w:rsid w:val="00B950B0"/>
    <w:rsid w:val="00B950D7"/>
    <w:rsid w:val="00B950DA"/>
    <w:rsid w:val="00B95121"/>
    <w:rsid w:val="00B95134"/>
    <w:rsid w:val="00B95156"/>
    <w:rsid w:val="00B9519E"/>
    <w:rsid w:val="00B951AC"/>
    <w:rsid w:val="00B95201"/>
    <w:rsid w:val="00B952BB"/>
    <w:rsid w:val="00B95317"/>
    <w:rsid w:val="00B953B2"/>
    <w:rsid w:val="00B953ED"/>
    <w:rsid w:val="00B9543A"/>
    <w:rsid w:val="00B9544D"/>
    <w:rsid w:val="00B954CA"/>
    <w:rsid w:val="00B95514"/>
    <w:rsid w:val="00B9557D"/>
    <w:rsid w:val="00B955C6"/>
    <w:rsid w:val="00B955DE"/>
    <w:rsid w:val="00B955EF"/>
    <w:rsid w:val="00B95687"/>
    <w:rsid w:val="00B956C4"/>
    <w:rsid w:val="00B956CF"/>
    <w:rsid w:val="00B956EB"/>
    <w:rsid w:val="00B95706"/>
    <w:rsid w:val="00B95784"/>
    <w:rsid w:val="00B957B8"/>
    <w:rsid w:val="00B957EC"/>
    <w:rsid w:val="00B95800"/>
    <w:rsid w:val="00B95827"/>
    <w:rsid w:val="00B95893"/>
    <w:rsid w:val="00B958A3"/>
    <w:rsid w:val="00B958B7"/>
    <w:rsid w:val="00B958B8"/>
    <w:rsid w:val="00B95975"/>
    <w:rsid w:val="00B959A4"/>
    <w:rsid w:val="00B959BB"/>
    <w:rsid w:val="00B959CB"/>
    <w:rsid w:val="00B95A29"/>
    <w:rsid w:val="00B95A65"/>
    <w:rsid w:val="00B95AB0"/>
    <w:rsid w:val="00B95B16"/>
    <w:rsid w:val="00B95B1C"/>
    <w:rsid w:val="00B95B72"/>
    <w:rsid w:val="00B95B7D"/>
    <w:rsid w:val="00B95BA5"/>
    <w:rsid w:val="00B95BBF"/>
    <w:rsid w:val="00B95BED"/>
    <w:rsid w:val="00B95BEF"/>
    <w:rsid w:val="00B95C0D"/>
    <w:rsid w:val="00B95C80"/>
    <w:rsid w:val="00B95C9A"/>
    <w:rsid w:val="00B95CD7"/>
    <w:rsid w:val="00B95CF7"/>
    <w:rsid w:val="00B95D03"/>
    <w:rsid w:val="00B95D55"/>
    <w:rsid w:val="00B95DB8"/>
    <w:rsid w:val="00B95DBA"/>
    <w:rsid w:val="00B95DC2"/>
    <w:rsid w:val="00B95DEF"/>
    <w:rsid w:val="00B95DF0"/>
    <w:rsid w:val="00B95E7F"/>
    <w:rsid w:val="00B95E85"/>
    <w:rsid w:val="00B95E91"/>
    <w:rsid w:val="00B95E97"/>
    <w:rsid w:val="00B95EC4"/>
    <w:rsid w:val="00B95F5C"/>
    <w:rsid w:val="00B95F88"/>
    <w:rsid w:val="00B95FA2"/>
    <w:rsid w:val="00B95FC4"/>
    <w:rsid w:val="00B95FE8"/>
    <w:rsid w:val="00B95FFD"/>
    <w:rsid w:val="00B9601B"/>
    <w:rsid w:val="00B960B6"/>
    <w:rsid w:val="00B96104"/>
    <w:rsid w:val="00B9611F"/>
    <w:rsid w:val="00B961A5"/>
    <w:rsid w:val="00B96250"/>
    <w:rsid w:val="00B96253"/>
    <w:rsid w:val="00B9627C"/>
    <w:rsid w:val="00B96281"/>
    <w:rsid w:val="00B962C8"/>
    <w:rsid w:val="00B962CE"/>
    <w:rsid w:val="00B9630B"/>
    <w:rsid w:val="00B96327"/>
    <w:rsid w:val="00B9636C"/>
    <w:rsid w:val="00B96381"/>
    <w:rsid w:val="00B963A5"/>
    <w:rsid w:val="00B963C7"/>
    <w:rsid w:val="00B9645C"/>
    <w:rsid w:val="00B9645D"/>
    <w:rsid w:val="00B96469"/>
    <w:rsid w:val="00B96475"/>
    <w:rsid w:val="00B964DC"/>
    <w:rsid w:val="00B964E3"/>
    <w:rsid w:val="00B964FC"/>
    <w:rsid w:val="00B96580"/>
    <w:rsid w:val="00B965BC"/>
    <w:rsid w:val="00B965D2"/>
    <w:rsid w:val="00B965E0"/>
    <w:rsid w:val="00B9665A"/>
    <w:rsid w:val="00B96673"/>
    <w:rsid w:val="00B96700"/>
    <w:rsid w:val="00B96709"/>
    <w:rsid w:val="00B9672D"/>
    <w:rsid w:val="00B96731"/>
    <w:rsid w:val="00B96753"/>
    <w:rsid w:val="00B96769"/>
    <w:rsid w:val="00B967D5"/>
    <w:rsid w:val="00B967E0"/>
    <w:rsid w:val="00B967E2"/>
    <w:rsid w:val="00B967E7"/>
    <w:rsid w:val="00B967ED"/>
    <w:rsid w:val="00B967F0"/>
    <w:rsid w:val="00B9685B"/>
    <w:rsid w:val="00B9689A"/>
    <w:rsid w:val="00B968AE"/>
    <w:rsid w:val="00B968CE"/>
    <w:rsid w:val="00B968EF"/>
    <w:rsid w:val="00B9695C"/>
    <w:rsid w:val="00B96973"/>
    <w:rsid w:val="00B9698C"/>
    <w:rsid w:val="00B969C4"/>
    <w:rsid w:val="00B969FD"/>
    <w:rsid w:val="00B96A08"/>
    <w:rsid w:val="00B96A3C"/>
    <w:rsid w:val="00B96A4D"/>
    <w:rsid w:val="00B96A77"/>
    <w:rsid w:val="00B96AB4"/>
    <w:rsid w:val="00B96BA9"/>
    <w:rsid w:val="00B96BE7"/>
    <w:rsid w:val="00B96BE8"/>
    <w:rsid w:val="00B96BF4"/>
    <w:rsid w:val="00B96C53"/>
    <w:rsid w:val="00B96CE8"/>
    <w:rsid w:val="00B96D30"/>
    <w:rsid w:val="00B96D44"/>
    <w:rsid w:val="00B96D84"/>
    <w:rsid w:val="00B96DAD"/>
    <w:rsid w:val="00B96DB8"/>
    <w:rsid w:val="00B96DEE"/>
    <w:rsid w:val="00B96E17"/>
    <w:rsid w:val="00B96E77"/>
    <w:rsid w:val="00B96E78"/>
    <w:rsid w:val="00B96E94"/>
    <w:rsid w:val="00B96E99"/>
    <w:rsid w:val="00B96EBD"/>
    <w:rsid w:val="00B96ECD"/>
    <w:rsid w:val="00B96EE7"/>
    <w:rsid w:val="00B96EE8"/>
    <w:rsid w:val="00B96F2E"/>
    <w:rsid w:val="00B96F8C"/>
    <w:rsid w:val="00B96F92"/>
    <w:rsid w:val="00B96FA5"/>
    <w:rsid w:val="00B96FBF"/>
    <w:rsid w:val="00B96FE1"/>
    <w:rsid w:val="00B96FE2"/>
    <w:rsid w:val="00B97013"/>
    <w:rsid w:val="00B97040"/>
    <w:rsid w:val="00B97041"/>
    <w:rsid w:val="00B97098"/>
    <w:rsid w:val="00B9709D"/>
    <w:rsid w:val="00B97108"/>
    <w:rsid w:val="00B97113"/>
    <w:rsid w:val="00B97150"/>
    <w:rsid w:val="00B97152"/>
    <w:rsid w:val="00B97169"/>
    <w:rsid w:val="00B9716F"/>
    <w:rsid w:val="00B9719D"/>
    <w:rsid w:val="00B971A3"/>
    <w:rsid w:val="00B971D6"/>
    <w:rsid w:val="00B971DB"/>
    <w:rsid w:val="00B971E2"/>
    <w:rsid w:val="00B971F5"/>
    <w:rsid w:val="00B971FE"/>
    <w:rsid w:val="00B9725C"/>
    <w:rsid w:val="00B9728E"/>
    <w:rsid w:val="00B972BA"/>
    <w:rsid w:val="00B972D4"/>
    <w:rsid w:val="00B972E9"/>
    <w:rsid w:val="00B97309"/>
    <w:rsid w:val="00B97323"/>
    <w:rsid w:val="00B9732C"/>
    <w:rsid w:val="00B97341"/>
    <w:rsid w:val="00B97397"/>
    <w:rsid w:val="00B973CD"/>
    <w:rsid w:val="00B973E8"/>
    <w:rsid w:val="00B973F0"/>
    <w:rsid w:val="00B97412"/>
    <w:rsid w:val="00B97477"/>
    <w:rsid w:val="00B974C6"/>
    <w:rsid w:val="00B9753A"/>
    <w:rsid w:val="00B975BD"/>
    <w:rsid w:val="00B975DE"/>
    <w:rsid w:val="00B9760C"/>
    <w:rsid w:val="00B9761F"/>
    <w:rsid w:val="00B97653"/>
    <w:rsid w:val="00B97672"/>
    <w:rsid w:val="00B9775B"/>
    <w:rsid w:val="00B97799"/>
    <w:rsid w:val="00B978B3"/>
    <w:rsid w:val="00B978D8"/>
    <w:rsid w:val="00B9798E"/>
    <w:rsid w:val="00B979E9"/>
    <w:rsid w:val="00B979F3"/>
    <w:rsid w:val="00B979FD"/>
    <w:rsid w:val="00B97A0A"/>
    <w:rsid w:val="00B97A25"/>
    <w:rsid w:val="00B97A4D"/>
    <w:rsid w:val="00B97AA7"/>
    <w:rsid w:val="00B97AB0"/>
    <w:rsid w:val="00B97AD1"/>
    <w:rsid w:val="00B97AD4"/>
    <w:rsid w:val="00B97AE7"/>
    <w:rsid w:val="00B97B11"/>
    <w:rsid w:val="00B97B21"/>
    <w:rsid w:val="00B97B9B"/>
    <w:rsid w:val="00B97B9E"/>
    <w:rsid w:val="00B97B9F"/>
    <w:rsid w:val="00B97BAD"/>
    <w:rsid w:val="00B97BD1"/>
    <w:rsid w:val="00B97BEC"/>
    <w:rsid w:val="00B97BF4"/>
    <w:rsid w:val="00B97C19"/>
    <w:rsid w:val="00B97C1D"/>
    <w:rsid w:val="00B97C20"/>
    <w:rsid w:val="00B97C28"/>
    <w:rsid w:val="00B97C38"/>
    <w:rsid w:val="00B97C77"/>
    <w:rsid w:val="00B97C78"/>
    <w:rsid w:val="00B97D22"/>
    <w:rsid w:val="00B97D61"/>
    <w:rsid w:val="00B97D81"/>
    <w:rsid w:val="00B97E74"/>
    <w:rsid w:val="00B97EDE"/>
    <w:rsid w:val="00B97F10"/>
    <w:rsid w:val="00B97F35"/>
    <w:rsid w:val="00B97F51"/>
    <w:rsid w:val="00B97F59"/>
    <w:rsid w:val="00B97F86"/>
    <w:rsid w:val="00B97F89"/>
    <w:rsid w:val="00B97F97"/>
    <w:rsid w:val="00B97FC9"/>
    <w:rsid w:val="00BA0001"/>
    <w:rsid w:val="00BA0063"/>
    <w:rsid w:val="00BA00C2"/>
    <w:rsid w:val="00BA00C3"/>
    <w:rsid w:val="00BA00C4"/>
    <w:rsid w:val="00BA00C5"/>
    <w:rsid w:val="00BA00F4"/>
    <w:rsid w:val="00BA0100"/>
    <w:rsid w:val="00BA013E"/>
    <w:rsid w:val="00BA0145"/>
    <w:rsid w:val="00BA0165"/>
    <w:rsid w:val="00BA0187"/>
    <w:rsid w:val="00BA01CD"/>
    <w:rsid w:val="00BA0219"/>
    <w:rsid w:val="00BA02A5"/>
    <w:rsid w:val="00BA02A8"/>
    <w:rsid w:val="00BA0346"/>
    <w:rsid w:val="00BA0428"/>
    <w:rsid w:val="00BA0436"/>
    <w:rsid w:val="00BA044A"/>
    <w:rsid w:val="00BA0459"/>
    <w:rsid w:val="00BA04A0"/>
    <w:rsid w:val="00BA0536"/>
    <w:rsid w:val="00BA0574"/>
    <w:rsid w:val="00BA05E7"/>
    <w:rsid w:val="00BA061E"/>
    <w:rsid w:val="00BA06A4"/>
    <w:rsid w:val="00BA073A"/>
    <w:rsid w:val="00BA0746"/>
    <w:rsid w:val="00BA075A"/>
    <w:rsid w:val="00BA078B"/>
    <w:rsid w:val="00BA0792"/>
    <w:rsid w:val="00BA07A2"/>
    <w:rsid w:val="00BA083A"/>
    <w:rsid w:val="00BA088F"/>
    <w:rsid w:val="00BA08DE"/>
    <w:rsid w:val="00BA08E5"/>
    <w:rsid w:val="00BA0908"/>
    <w:rsid w:val="00BA0912"/>
    <w:rsid w:val="00BA0913"/>
    <w:rsid w:val="00BA093A"/>
    <w:rsid w:val="00BA093F"/>
    <w:rsid w:val="00BA09CB"/>
    <w:rsid w:val="00BA0A04"/>
    <w:rsid w:val="00BA0A21"/>
    <w:rsid w:val="00BA0A5F"/>
    <w:rsid w:val="00BA0A71"/>
    <w:rsid w:val="00BA0A73"/>
    <w:rsid w:val="00BA0A87"/>
    <w:rsid w:val="00BA0A8C"/>
    <w:rsid w:val="00BA0A8E"/>
    <w:rsid w:val="00BA0B53"/>
    <w:rsid w:val="00BA0B68"/>
    <w:rsid w:val="00BA0B70"/>
    <w:rsid w:val="00BA0BA7"/>
    <w:rsid w:val="00BA0BC1"/>
    <w:rsid w:val="00BA0BEF"/>
    <w:rsid w:val="00BA0C0B"/>
    <w:rsid w:val="00BA0C5E"/>
    <w:rsid w:val="00BA0CC8"/>
    <w:rsid w:val="00BA0CD9"/>
    <w:rsid w:val="00BA0D3F"/>
    <w:rsid w:val="00BA0D58"/>
    <w:rsid w:val="00BA0D79"/>
    <w:rsid w:val="00BA0D82"/>
    <w:rsid w:val="00BA0DD7"/>
    <w:rsid w:val="00BA0DF1"/>
    <w:rsid w:val="00BA0E02"/>
    <w:rsid w:val="00BA0E20"/>
    <w:rsid w:val="00BA0E28"/>
    <w:rsid w:val="00BA0EE9"/>
    <w:rsid w:val="00BA0F61"/>
    <w:rsid w:val="00BA101E"/>
    <w:rsid w:val="00BA1072"/>
    <w:rsid w:val="00BA10C2"/>
    <w:rsid w:val="00BA10C9"/>
    <w:rsid w:val="00BA10D4"/>
    <w:rsid w:val="00BA10FF"/>
    <w:rsid w:val="00BA1114"/>
    <w:rsid w:val="00BA1127"/>
    <w:rsid w:val="00BA123C"/>
    <w:rsid w:val="00BA1261"/>
    <w:rsid w:val="00BA1291"/>
    <w:rsid w:val="00BA1294"/>
    <w:rsid w:val="00BA12D8"/>
    <w:rsid w:val="00BA130B"/>
    <w:rsid w:val="00BA1319"/>
    <w:rsid w:val="00BA1389"/>
    <w:rsid w:val="00BA13B9"/>
    <w:rsid w:val="00BA142F"/>
    <w:rsid w:val="00BA1448"/>
    <w:rsid w:val="00BA145E"/>
    <w:rsid w:val="00BA1470"/>
    <w:rsid w:val="00BA14C5"/>
    <w:rsid w:val="00BA14EB"/>
    <w:rsid w:val="00BA14EE"/>
    <w:rsid w:val="00BA150F"/>
    <w:rsid w:val="00BA1516"/>
    <w:rsid w:val="00BA152D"/>
    <w:rsid w:val="00BA1534"/>
    <w:rsid w:val="00BA1546"/>
    <w:rsid w:val="00BA1582"/>
    <w:rsid w:val="00BA15AA"/>
    <w:rsid w:val="00BA1628"/>
    <w:rsid w:val="00BA1632"/>
    <w:rsid w:val="00BA16A2"/>
    <w:rsid w:val="00BA16E3"/>
    <w:rsid w:val="00BA16F6"/>
    <w:rsid w:val="00BA1718"/>
    <w:rsid w:val="00BA178F"/>
    <w:rsid w:val="00BA17A6"/>
    <w:rsid w:val="00BA17B0"/>
    <w:rsid w:val="00BA17B2"/>
    <w:rsid w:val="00BA182B"/>
    <w:rsid w:val="00BA186F"/>
    <w:rsid w:val="00BA18AC"/>
    <w:rsid w:val="00BA18C6"/>
    <w:rsid w:val="00BA18ED"/>
    <w:rsid w:val="00BA1903"/>
    <w:rsid w:val="00BA1933"/>
    <w:rsid w:val="00BA1952"/>
    <w:rsid w:val="00BA1954"/>
    <w:rsid w:val="00BA1967"/>
    <w:rsid w:val="00BA1998"/>
    <w:rsid w:val="00BA19AE"/>
    <w:rsid w:val="00BA19AF"/>
    <w:rsid w:val="00BA19FD"/>
    <w:rsid w:val="00BA1A0F"/>
    <w:rsid w:val="00BA1A2B"/>
    <w:rsid w:val="00BA1A6B"/>
    <w:rsid w:val="00BA1A7B"/>
    <w:rsid w:val="00BA1AD3"/>
    <w:rsid w:val="00BA1ADB"/>
    <w:rsid w:val="00BA1AE5"/>
    <w:rsid w:val="00BA1B3A"/>
    <w:rsid w:val="00BA1B80"/>
    <w:rsid w:val="00BA1B89"/>
    <w:rsid w:val="00BA1C1F"/>
    <w:rsid w:val="00BA1C44"/>
    <w:rsid w:val="00BA1CA9"/>
    <w:rsid w:val="00BA1CC0"/>
    <w:rsid w:val="00BA1D23"/>
    <w:rsid w:val="00BA1DE6"/>
    <w:rsid w:val="00BA1DFD"/>
    <w:rsid w:val="00BA1E37"/>
    <w:rsid w:val="00BA1E48"/>
    <w:rsid w:val="00BA1EE5"/>
    <w:rsid w:val="00BA1EE6"/>
    <w:rsid w:val="00BA1F13"/>
    <w:rsid w:val="00BA1FBE"/>
    <w:rsid w:val="00BA1FC0"/>
    <w:rsid w:val="00BA1FCD"/>
    <w:rsid w:val="00BA2006"/>
    <w:rsid w:val="00BA2021"/>
    <w:rsid w:val="00BA2091"/>
    <w:rsid w:val="00BA2096"/>
    <w:rsid w:val="00BA2102"/>
    <w:rsid w:val="00BA2122"/>
    <w:rsid w:val="00BA2148"/>
    <w:rsid w:val="00BA21D1"/>
    <w:rsid w:val="00BA21EE"/>
    <w:rsid w:val="00BA222D"/>
    <w:rsid w:val="00BA2254"/>
    <w:rsid w:val="00BA2335"/>
    <w:rsid w:val="00BA2361"/>
    <w:rsid w:val="00BA2374"/>
    <w:rsid w:val="00BA23A6"/>
    <w:rsid w:val="00BA2408"/>
    <w:rsid w:val="00BA2469"/>
    <w:rsid w:val="00BA2485"/>
    <w:rsid w:val="00BA24A9"/>
    <w:rsid w:val="00BA24AA"/>
    <w:rsid w:val="00BA24B5"/>
    <w:rsid w:val="00BA24C8"/>
    <w:rsid w:val="00BA24F4"/>
    <w:rsid w:val="00BA251A"/>
    <w:rsid w:val="00BA251E"/>
    <w:rsid w:val="00BA2579"/>
    <w:rsid w:val="00BA2617"/>
    <w:rsid w:val="00BA265B"/>
    <w:rsid w:val="00BA26BB"/>
    <w:rsid w:val="00BA2741"/>
    <w:rsid w:val="00BA274A"/>
    <w:rsid w:val="00BA2764"/>
    <w:rsid w:val="00BA2772"/>
    <w:rsid w:val="00BA2789"/>
    <w:rsid w:val="00BA27D9"/>
    <w:rsid w:val="00BA27EC"/>
    <w:rsid w:val="00BA285E"/>
    <w:rsid w:val="00BA287B"/>
    <w:rsid w:val="00BA28A0"/>
    <w:rsid w:val="00BA28D3"/>
    <w:rsid w:val="00BA28DE"/>
    <w:rsid w:val="00BA28EA"/>
    <w:rsid w:val="00BA2901"/>
    <w:rsid w:val="00BA290E"/>
    <w:rsid w:val="00BA291B"/>
    <w:rsid w:val="00BA2938"/>
    <w:rsid w:val="00BA297A"/>
    <w:rsid w:val="00BA29B7"/>
    <w:rsid w:val="00BA29D4"/>
    <w:rsid w:val="00BA29F8"/>
    <w:rsid w:val="00BA2A12"/>
    <w:rsid w:val="00BA2A36"/>
    <w:rsid w:val="00BA2A85"/>
    <w:rsid w:val="00BA2A98"/>
    <w:rsid w:val="00BA2C51"/>
    <w:rsid w:val="00BA2CA1"/>
    <w:rsid w:val="00BA2CD3"/>
    <w:rsid w:val="00BA2CEC"/>
    <w:rsid w:val="00BA2D70"/>
    <w:rsid w:val="00BA2DA9"/>
    <w:rsid w:val="00BA2DFC"/>
    <w:rsid w:val="00BA2DFE"/>
    <w:rsid w:val="00BA2ED7"/>
    <w:rsid w:val="00BA2EED"/>
    <w:rsid w:val="00BA2EEE"/>
    <w:rsid w:val="00BA3018"/>
    <w:rsid w:val="00BA3065"/>
    <w:rsid w:val="00BA30B3"/>
    <w:rsid w:val="00BA3103"/>
    <w:rsid w:val="00BA3139"/>
    <w:rsid w:val="00BA31C1"/>
    <w:rsid w:val="00BA3248"/>
    <w:rsid w:val="00BA3256"/>
    <w:rsid w:val="00BA3269"/>
    <w:rsid w:val="00BA329D"/>
    <w:rsid w:val="00BA32BB"/>
    <w:rsid w:val="00BA3354"/>
    <w:rsid w:val="00BA3399"/>
    <w:rsid w:val="00BA33D6"/>
    <w:rsid w:val="00BA341F"/>
    <w:rsid w:val="00BA3428"/>
    <w:rsid w:val="00BA347F"/>
    <w:rsid w:val="00BA34AC"/>
    <w:rsid w:val="00BA34B6"/>
    <w:rsid w:val="00BA34D7"/>
    <w:rsid w:val="00BA34E0"/>
    <w:rsid w:val="00BA356E"/>
    <w:rsid w:val="00BA3590"/>
    <w:rsid w:val="00BA35FE"/>
    <w:rsid w:val="00BA360E"/>
    <w:rsid w:val="00BA3649"/>
    <w:rsid w:val="00BA3658"/>
    <w:rsid w:val="00BA36F3"/>
    <w:rsid w:val="00BA3709"/>
    <w:rsid w:val="00BA370D"/>
    <w:rsid w:val="00BA3774"/>
    <w:rsid w:val="00BA3777"/>
    <w:rsid w:val="00BA37A6"/>
    <w:rsid w:val="00BA37BC"/>
    <w:rsid w:val="00BA387C"/>
    <w:rsid w:val="00BA38BF"/>
    <w:rsid w:val="00BA390B"/>
    <w:rsid w:val="00BA3919"/>
    <w:rsid w:val="00BA3922"/>
    <w:rsid w:val="00BA393B"/>
    <w:rsid w:val="00BA3981"/>
    <w:rsid w:val="00BA3A0C"/>
    <w:rsid w:val="00BA3A27"/>
    <w:rsid w:val="00BA3A54"/>
    <w:rsid w:val="00BA3A9C"/>
    <w:rsid w:val="00BA3AD1"/>
    <w:rsid w:val="00BA3B0B"/>
    <w:rsid w:val="00BA3B64"/>
    <w:rsid w:val="00BA3BFA"/>
    <w:rsid w:val="00BA3C17"/>
    <w:rsid w:val="00BA3C19"/>
    <w:rsid w:val="00BA3C26"/>
    <w:rsid w:val="00BA3D14"/>
    <w:rsid w:val="00BA3D15"/>
    <w:rsid w:val="00BA3D32"/>
    <w:rsid w:val="00BA3DDC"/>
    <w:rsid w:val="00BA3E25"/>
    <w:rsid w:val="00BA3E65"/>
    <w:rsid w:val="00BA3EF0"/>
    <w:rsid w:val="00BA3F05"/>
    <w:rsid w:val="00BA3F15"/>
    <w:rsid w:val="00BA3F7B"/>
    <w:rsid w:val="00BA3F83"/>
    <w:rsid w:val="00BA3FB8"/>
    <w:rsid w:val="00BA4042"/>
    <w:rsid w:val="00BA4095"/>
    <w:rsid w:val="00BA40B4"/>
    <w:rsid w:val="00BA40B5"/>
    <w:rsid w:val="00BA40C0"/>
    <w:rsid w:val="00BA40CE"/>
    <w:rsid w:val="00BA4143"/>
    <w:rsid w:val="00BA4199"/>
    <w:rsid w:val="00BA419A"/>
    <w:rsid w:val="00BA41B4"/>
    <w:rsid w:val="00BA420E"/>
    <w:rsid w:val="00BA421B"/>
    <w:rsid w:val="00BA4223"/>
    <w:rsid w:val="00BA4245"/>
    <w:rsid w:val="00BA4264"/>
    <w:rsid w:val="00BA4279"/>
    <w:rsid w:val="00BA428F"/>
    <w:rsid w:val="00BA42D3"/>
    <w:rsid w:val="00BA42D7"/>
    <w:rsid w:val="00BA42D8"/>
    <w:rsid w:val="00BA42DE"/>
    <w:rsid w:val="00BA4375"/>
    <w:rsid w:val="00BA4388"/>
    <w:rsid w:val="00BA43B2"/>
    <w:rsid w:val="00BA43E3"/>
    <w:rsid w:val="00BA448A"/>
    <w:rsid w:val="00BA44A5"/>
    <w:rsid w:val="00BA4546"/>
    <w:rsid w:val="00BA4561"/>
    <w:rsid w:val="00BA458E"/>
    <w:rsid w:val="00BA4592"/>
    <w:rsid w:val="00BA45D8"/>
    <w:rsid w:val="00BA4670"/>
    <w:rsid w:val="00BA46A5"/>
    <w:rsid w:val="00BA4778"/>
    <w:rsid w:val="00BA4793"/>
    <w:rsid w:val="00BA4808"/>
    <w:rsid w:val="00BA4842"/>
    <w:rsid w:val="00BA487C"/>
    <w:rsid w:val="00BA487D"/>
    <w:rsid w:val="00BA48FC"/>
    <w:rsid w:val="00BA493B"/>
    <w:rsid w:val="00BA4997"/>
    <w:rsid w:val="00BA49A4"/>
    <w:rsid w:val="00BA49C7"/>
    <w:rsid w:val="00BA49E0"/>
    <w:rsid w:val="00BA49E5"/>
    <w:rsid w:val="00BA49F5"/>
    <w:rsid w:val="00BA4A71"/>
    <w:rsid w:val="00BA4A75"/>
    <w:rsid w:val="00BA4A9A"/>
    <w:rsid w:val="00BA4AC9"/>
    <w:rsid w:val="00BA4AEA"/>
    <w:rsid w:val="00BA4B14"/>
    <w:rsid w:val="00BA4B25"/>
    <w:rsid w:val="00BA4B3B"/>
    <w:rsid w:val="00BA4B84"/>
    <w:rsid w:val="00BA4B86"/>
    <w:rsid w:val="00BA4BBF"/>
    <w:rsid w:val="00BA4BD0"/>
    <w:rsid w:val="00BA4BFD"/>
    <w:rsid w:val="00BA4C5B"/>
    <w:rsid w:val="00BA4C76"/>
    <w:rsid w:val="00BA4C98"/>
    <w:rsid w:val="00BA4CCA"/>
    <w:rsid w:val="00BA4CD5"/>
    <w:rsid w:val="00BA4D28"/>
    <w:rsid w:val="00BA4D38"/>
    <w:rsid w:val="00BA4DC5"/>
    <w:rsid w:val="00BA4DEB"/>
    <w:rsid w:val="00BA4E05"/>
    <w:rsid w:val="00BA4E2B"/>
    <w:rsid w:val="00BA4E2E"/>
    <w:rsid w:val="00BA4E69"/>
    <w:rsid w:val="00BA4E8E"/>
    <w:rsid w:val="00BA4EB0"/>
    <w:rsid w:val="00BA4EBF"/>
    <w:rsid w:val="00BA4F0E"/>
    <w:rsid w:val="00BA4F57"/>
    <w:rsid w:val="00BA4F92"/>
    <w:rsid w:val="00BA4FA1"/>
    <w:rsid w:val="00BA4FA9"/>
    <w:rsid w:val="00BA4FBE"/>
    <w:rsid w:val="00BA4FC2"/>
    <w:rsid w:val="00BA4FC6"/>
    <w:rsid w:val="00BA5022"/>
    <w:rsid w:val="00BA508B"/>
    <w:rsid w:val="00BA50DB"/>
    <w:rsid w:val="00BA5123"/>
    <w:rsid w:val="00BA51F1"/>
    <w:rsid w:val="00BA5323"/>
    <w:rsid w:val="00BA533F"/>
    <w:rsid w:val="00BA5367"/>
    <w:rsid w:val="00BA53AD"/>
    <w:rsid w:val="00BA541E"/>
    <w:rsid w:val="00BA54A5"/>
    <w:rsid w:val="00BA5511"/>
    <w:rsid w:val="00BA5530"/>
    <w:rsid w:val="00BA5541"/>
    <w:rsid w:val="00BA5559"/>
    <w:rsid w:val="00BA556A"/>
    <w:rsid w:val="00BA5591"/>
    <w:rsid w:val="00BA5597"/>
    <w:rsid w:val="00BA55C0"/>
    <w:rsid w:val="00BA56C2"/>
    <w:rsid w:val="00BA56DB"/>
    <w:rsid w:val="00BA56F8"/>
    <w:rsid w:val="00BA56F9"/>
    <w:rsid w:val="00BA5747"/>
    <w:rsid w:val="00BA575B"/>
    <w:rsid w:val="00BA5761"/>
    <w:rsid w:val="00BA578A"/>
    <w:rsid w:val="00BA57B6"/>
    <w:rsid w:val="00BA582A"/>
    <w:rsid w:val="00BA587B"/>
    <w:rsid w:val="00BA591D"/>
    <w:rsid w:val="00BA5923"/>
    <w:rsid w:val="00BA597D"/>
    <w:rsid w:val="00BA599F"/>
    <w:rsid w:val="00BA59A4"/>
    <w:rsid w:val="00BA59AD"/>
    <w:rsid w:val="00BA59AF"/>
    <w:rsid w:val="00BA59B2"/>
    <w:rsid w:val="00BA59C9"/>
    <w:rsid w:val="00BA59DB"/>
    <w:rsid w:val="00BA5A24"/>
    <w:rsid w:val="00BA5A4F"/>
    <w:rsid w:val="00BA5A56"/>
    <w:rsid w:val="00BA5A6C"/>
    <w:rsid w:val="00BA5A78"/>
    <w:rsid w:val="00BA5A88"/>
    <w:rsid w:val="00BA5A9A"/>
    <w:rsid w:val="00BA5B0C"/>
    <w:rsid w:val="00BA5B10"/>
    <w:rsid w:val="00BA5B16"/>
    <w:rsid w:val="00BA5B36"/>
    <w:rsid w:val="00BA5B71"/>
    <w:rsid w:val="00BA5C12"/>
    <w:rsid w:val="00BA5C6F"/>
    <w:rsid w:val="00BA5C7A"/>
    <w:rsid w:val="00BA5C80"/>
    <w:rsid w:val="00BA5CAE"/>
    <w:rsid w:val="00BA5CAF"/>
    <w:rsid w:val="00BA5D14"/>
    <w:rsid w:val="00BA5D26"/>
    <w:rsid w:val="00BA5D4C"/>
    <w:rsid w:val="00BA5D67"/>
    <w:rsid w:val="00BA5D86"/>
    <w:rsid w:val="00BA5DDE"/>
    <w:rsid w:val="00BA5EB3"/>
    <w:rsid w:val="00BA5EBC"/>
    <w:rsid w:val="00BA5FCE"/>
    <w:rsid w:val="00BA5FE2"/>
    <w:rsid w:val="00BA5FF3"/>
    <w:rsid w:val="00BA6021"/>
    <w:rsid w:val="00BA606D"/>
    <w:rsid w:val="00BA60A0"/>
    <w:rsid w:val="00BA60B5"/>
    <w:rsid w:val="00BA6118"/>
    <w:rsid w:val="00BA611C"/>
    <w:rsid w:val="00BA6141"/>
    <w:rsid w:val="00BA61B4"/>
    <w:rsid w:val="00BA61EF"/>
    <w:rsid w:val="00BA6261"/>
    <w:rsid w:val="00BA62A9"/>
    <w:rsid w:val="00BA62AE"/>
    <w:rsid w:val="00BA62BB"/>
    <w:rsid w:val="00BA62F0"/>
    <w:rsid w:val="00BA6315"/>
    <w:rsid w:val="00BA6316"/>
    <w:rsid w:val="00BA632D"/>
    <w:rsid w:val="00BA633C"/>
    <w:rsid w:val="00BA6352"/>
    <w:rsid w:val="00BA6372"/>
    <w:rsid w:val="00BA639D"/>
    <w:rsid w:val="00BA63A0"/>
    <w:rsid w:val="00BA63A7"/>
    <w:rsid w:val="00BA63C4"/>
    <w:rsid w:val="00BA63D1"/>
    <w:rsid w:val="00BA63D7"/>
    <w:rsid w:val="00BA645D"/>
    <w:rsid w:val="00BA6577"/>
    <w:rsid w:val="00BA660E"/>
    <w:rsid w:val="00BA661D"/>
    <w:rsid w:val="00BA6624"/>
    <w:rsid w:val="00BA6634"/>
    <w:rsid w:val="00BA668B"/>
    <w:rsid w:val="00BA6698"/>
    <w:rsid w:val="00BA66BC"/>
    <w:rsid w:val="00BA66D4"/>
    <w:rsid w:val="00BA66DA"/>
    <w:rsid w:val="00BA66E9"/>
    <w:rsid w:val="00BA66EA"/>
    <w:rsid w:val="00BA6704"/>
    <w:rsid w:val="00BA671A"/>
    <w:rsid w:val="00BA6729"/>
    <w:rsid w:val="00BA672D"/>
    <w:rsid w:val="00BA6753"/>
    <w:rsid w:val="00BA67C1"/>
    <w:rsid w:val="00BA67E1"/>
    <w:rsid w:val="00BA680E"/>
    <w:rsid w:val="00BA680F"/>
    <w:rsid w:val="00BA683A"/>
    <w:rsid w:val="00BA683E"/>
    <w:rsid w:val="00BA688C"/>
    <w:rsid w:val="00BA6996"/>
    <w:rsid w:val="00BA69D8"/>
    <w:rsid w:val="00BA6AA5"/>
    <w:rsid w:val="00BA6ACC"/>
    <w:rsid w:val="00BA6AD4"/>
    <w:rsid w:val="00BA6AF3"/>
    <w:rsid w:val="00BA6B6A"/>
    <w:rsid w:val="00BA6B9F"/>
    <w:rsid w:val="00BA6BA1"/>
    <w:rsid w:val="00BA6BA5"/>
    <w:rsid w:val="00BA6BC0"/>
    <w:rsid w:val="00BA6BDE"/>
    <w:rsid w:val="00BA6C15"/>
    <w:rsid w:val="00BA6C25"/>
    <w:rsid w:val="00BA6C54"/>
    <w:rsid w:val="00BA6C59"/>
    <w:rsid w:val="00BA6C60"/>
    <w:rsid w:val="00BA6C61"/>
    <w:rsid w:val="00BA6C93"/>
    <w:rsid w:val="00BA6C9A"/>
    <w:rsid w:val="00BA6CD8"/>
    <w:rsid w:val="00BA6D18"/>
    <w:rsid w:val="00BA6D3C"/>
    <w:rsid w:val="00BA6D41"/>
    <w:rsid w:val="00BA6D7D"/>
    <w:rsid w:val="00BA6DC4"/>
    <w:rsid w:val="00BA6DDC"/>
    <w:rsid w:val="00BA6DDE"/>
    <w:rsid w:val="00BA6DF5"/>
    <w:rsid w:val="00BA6E80"/>
    <w:rsid w:val="00BA6EB4"/>
    <w:rsid w:val="00BA6EC0"/>
    <w:rsid w:val="00BA6F58"/>
    <w:rsid w:val="00BA6F94"/>
    <w:rsid w:val="00BA6FB1"/>
    <w:rsid w:val="00BA6FB7"/>
    <w:rsid w:val="00BA7054"/>
    <w:rsid w:val="00BA706C"/>
    <w:rsid w:val="00BA706F"/>
    <w:rsid w:val="00BA7078"/>
    <w:rsid w:val="00BA70A0"/>
    <w:rsid w:val="00BA70E3"/>
    <w:rsid w:val="00BA70E8"/>
    <w:rsid w:val="00BA7174"/>
    <w:rsid w:val="00BA718A"/>
    <w:rsid w:val="00BA71AA"/>
    <w:rsid w:val="00BA71D9"/>
    <w:rsid w:val="00BA7212"/>
    <w:rsid w:val="00BA721F"/>
    <w:rsid w:val="00BA7222"/>
    <w:rsid w:val="00BA7233"/>
    <w:rsid w:val="00BA7248"/>
    <w:rsid w:val="00BA7268"/>
    <w:rsid w:val="00BA7284"/>
    <w:rsid w:val="00BA7290"/>
    <w:rsid w:val="00BA72ED"/>
    <w:rsid w:val="00BA72F2"/>
    <w:rsid w:val="00BA736B"/>
    <w:rsid w:val="00BA7376"/>
    <w:rsid w:val="00BA73B0"/>
    <w:rsid w:val="00BA73F7"/>
    <w:rsid w:val="00BA7489"/>
    <w:rsid w:val="00BA748B"/>
    <w:rsid w:val="00BA7491"/>
    <w:rsid w:val="00BA74BC"/>
    <w:rsid w:val="00BA74FA"/>
    <w:rsid w:val="00BA7577"/>
    <w:rsid w:val="00BA75EF"/>
    <w:rsid w:val="00BA75FA"/>
    <w:rsid w:val="00BA7640"/>
    <w:rsid w:val="00BA764C"/>
    <w:rsid w:val="00BA7674"/>
    <w:rsid w:val="00BA7681"/>
    <w:rsid w:val="00BA768A"/>
    <w:rsid w:val="00BA7691"/>
    <w:rsid w:val="00BA76AE"/>
    <w:rsid w:val="00BA7733"/>
    <w:rsid w:val="00BA7744"/>
    <w:rsid w:val="00BA774A"/>
    <w:rsid w:val="00BA7785"/>
    <w:rsid w:val="00BA7787"/>
    <w:rsid w:val="00BA77BF"/>
    <w:rsid w:val="00BA77DB"/>
    <w:rsid w:val="00BA77E5"/>
    <w:rsid w:val="00BA77FE"/>
    <w:rsid w:val="00BA7805"/>
    <w:rsid w:val="00BA784D"/>
    <w:rsid w:val="00BA7876"/>
    <w:rsid w:val="00BA7968"/>
    <w:rsid w:val="00BA796B"/>
    <w:rsid w:val="00BA7989"/>
    <w:rsid w:val="00BA79ED"/>
    <w:rsid w:val="00BA7A01"/>
    <w:rsid w:val="00BA7A0E"/>
    <w:rsid w:val="00BA7A3F"/>
    <w:rsid w:val="00BA7A97"/>
    <w:rsid w:val="00BA7AC9"/>
    <w:rsid w:val="00BA7B51"/>
    <w:rsid w:val="00BA7B54"/>
    <w:rsid w:val="00BA7B80"/>
    <w:rsid w:val="00BA7B82"/>
    <w:rsid w:val="00BA7B85"/>
    <w:rsid w:val="00BA7B90"/>
    <w:rsid w:val="00BA7C6C"/>
    <w:rsid w:val="00BA7C8B"/>
    <w:rsid w:val="00BA7CAF"/>
    <w:rsid w:val="00BA7CB3"/>
    <w:rsid w:val="00BA7CBC"/>
    <w:rsid w:val="00BA7CFB"/>
    <w:rsid w:val="00BA7D54"/>
    <w:rsid w:val="00BA7DC0"/>
    <w:rsid w:val="00BA7DF6"/>
    <w:rsid w:val="00BA7E34"/>
    <w:rsid w:val="00BA7E69"/>
    <w:rsid w:val="00BA7EBC"/>
    <w:rsid w:val="00BA7EF7"/>
    <w:rsid w:val="00BA7F27"/>
    <w:rsid w:val="00BA7F37"/>
    <w:rsid w:val="00BA7FA3"/>
    <w:rsid w:val="00BA7FC2"/>
    <w:rsid w:val="00BB0040"/>
    <w:rsid w:val="00BB009A"/>
    <w:rsid w:val="00BB00AA"/>
    <w:rsid w:val="00BB0136"/>
    <w:rsid w:val="00BB0169"/>
    <w:rsid w:val="00BB01A6"/>
    <w:rsid w:val="00BB01B8"/>
    <w:rsid w:val="00BB01C6"/>
    <w:rsid w:val="00BB026A"/>
    <w:rsid w:val="00BB026E"/>
    <w:rsid w:val="00BB026F"/>
    <w:rsid w:val="00BB0296"/>
    <w:rsid w:val="00BB0297"/>
    <w:rsid w:val="00BB0305"/>
    <w:rsid w:val="00BB033F"/>
    <w:rsid w:val="00BB0347"/>
    <w:rsid w:val="00BB038B"/>
    <w:rsid w:val="00BB03A3"/>
    <w:rsid w:val="00BB03BB"/>
    <w:rsid w:val="00BB03E0"/>
    <w:rsid w:val="00BB03ED"/>
    <w:rsid w:val="00BB0428"/>
    <w:rsid w:val="00BB0469"/>
    <w:rsid w:val="00BB046C"/>
    <w:rsid w:val="00BB0493"/>
    <w:rsid w:val="00BB04AF"/>
    <w:rsid w:val="00BB04B0"/>
    <w:rsid w:val="00BB04CC"/>
    <w:rsid w:val="00BB050B"/>
    <w:rsid w:val="00BB050D"/>
    <w:rsid w:val="00BB0517"/>
    <w:rsid w:val="00BB0523"/>
    <w:rsid w:val="00BB06B3"/>
    <w:rsid w:val="00BB06E9"/>
    <w:rsid w:val="00BB06EB"/>
    <w:rsid w:val="00BB0739"/>
    <w:rsid w:val="00BB0791"/>
    <w:rsid w:val="00BB07CB"/>
    <w:rsid w:val="00BB07CC"/>
    <w:rsid w:val="00BB0857"/>
    <w:rsid w:val="00BB087F"/>
    <w:rsid w:val="00BB08B0"/>
    <w:rsid w:val="00BB08FF"/>
    <w:rsid w:val="00BB097F"/>
    <w:rsid w:val="00BB0985"/>
    <w:rsid w:val="00BB09C0"/>
    <w:rsid w:val="00BB0A16"/>
    <w:rsid w:val="00BB0A34"/>
    <w:rsid w:val="00BB0A57"/>
    <w:rsid w:val="00BB0AC6"/>
    <w:rsid w:val="00BB0B0D"/>
    <w:rsid w:val="00BB0B1F"/>
    <w:rsid w:val="00BB0B7D"/>
    <w:rsid w:val="00BB0B99"/>
    <w:rsid w:val="00BB0BA3"/>
    <w:rsid w:val="00BB0BFD"/>
    <w:rsid w:val="00BB0C16"/>
    <w:rsid w:val="00BB0CCA"/>
    <w:rsid w:val="00BB0D2B"/>
    <w:rsid w:val="00BB0DB3"/>
    <w:rsid w:val="00BB0DC9"/>
    <w:rsid w:val="00BB0DE8"/>
    <w:rsid w:val="00BB0DED"/>
    <w:rsid w:val="00BB0DF3"/>
    <w:rsid w:val="00BB0E0D"/>
    <w:rsid w:val="00BB0E21"/>
    <w:rsid w:val="00BB0E30"/>
    <w:rsid w:val="00BB0E67"/>
    <w:rsid w:val="00BB0E71"/>
    <w:rsid w:val="00BB0E89"/>
    <w:rsid w:val="00BB0E8D"/>
    <w:rsid w:val="00BB0EB7"/>
    <w:rsid w:val="00BB0EE3"/>
    <w:rsid w:val="00BB0F15"/>
    <w:rsid w:val="00BB0F6B"/>
    <w:rsid w:val="00BB0FA5"/>
    <w:rsid w:val="00BB0FE3"/>
    <w:rsid w:val="00BB0FE4"/>
    <w:rsid w:val="00BB0FEC"/>
    <w:rsid w:val="00BB0FF3"/>
    <w:rsid w:val="00BB1003"/>
    <w:rsid w:val="00BB1056"/>
    <w:rsid w:val="00BB107F"/>
    <w:rsid w:val="00BB10EE"/>
    <w:rsid w:val="00BB1190"/>
    <w:rsid w:val="00BB119D"/>
    <w:rsid w:val="00BB11E8"/>
    <w:rsid w:val="00BB124A"/>
    <w:rsid w:val="00BB124F"/>
    <w:rsid w:val="00BB1294"/>
    <w:rsid w:val="00BB12E6"/>
    <w:rsid w:val="00BB1361"/>
    <w:rsid w:val="00BB1371"/>
    <w:rsid w:val="00BB13D9"/>
    <w:rsid w:val="00BB13DA"/>
    <w:rsid w:val="00BB13FF"/>
    <w:rsid w:val="00BB1501"/>
    <w:rsid w:val="00BB151D"/>
    <w:rsid w:val="00BB154B"/>
    <w:rsid w:val="00BB1567"/>
    <w:rsid w:val="00BB1624"/>
    <w:rsid w:val="00BB1675"/>
    <w:rsid w:val="00BB1691"/>
    <w:rsid w:val="00BB16AB"/>
    <w:rsid w:val="00BB16D6"/>
    <w:rsid w:val="00BB1704"/>
    <w:rsid w:val="00BB171E"/>
    <w:rsid w:val="00BB1735"/>
    <w:rsid w:val="00BB1788"/>
    <w:rsid w:val="00BB17B6"/>
    <w:rsid w:val="00BB17D7"/>
    <w:rsid w:val="00BB1833"/>
    <w:rsid w:val="00BB183B"/>
    <w:rsid w:val="00BB184F"/>
    <w:rsid w:val="00BB1896"/>
    <w:rsid w:val="00BB18D8"/>
    <w:rsid w:val="00BB18E5"/>
    <w:rsid w:val="00BB18ED"/>
    <w:rsid w:val="00BB18EF"/>
    <w:rsid w:val="00BB1940"/>
    <w:rsid w:val="00BB19BA"/>
    <w:rsid w:val="00BB19E2"/>
    <w:rsid w:val="00BB1A1A"/>
    <w:rsid w:val="00BB1A7D"/>
    <w:rsid w:val="00BB1AC2"/>
    <w:rsid w:val="00BB1B1E"/>
    <w:rsid w:val="00BB1B92"/>
    <w:rsid w:val="00BB1BC2"/>
    <w:rsid w:val="00BB1BEF"/>
    <w:rsid w:val="00BB1C0C"/>
    <w:rsid w:val="00BB1C0D"/>
    <w:rsid w:val="00BB1C1D"/>
    <w:rsid w:val="00BB1C5B"/>
    <w:rsid w:val="00BB1C8E"/>
    <w:rsid w:val="00BB1CC8"/>
    <w:rsid w:val="00BB1CE4"/>
    <w:rsid w:val="00BB1CF8"/>
    <w:rsid w:val="00BB1D60"/>
    <w:rsid w:val="00BB1E8E"/>
    <w:rsid w:val="00BB1EA0"/>
    <w:rsid w:val="00BB1EC0"/>
    <w:rsid w:val="00BB1EFF"/>
    <w:rsid w:val="00BB1F03"/>
    <w:rsid w:val="00BB1F12"/>
    <w:rsid w:val="00BB1F19"/>
    <w:rsid w:val="00BB1F6E"/>
    <w:rsid w:val="00BB1F74"/>
    <w:rsid w:val="00BB1F7C"/>
    <w:rsid w:val="00BB1FAB"/>
    <w:rsid w:val="00BB1FF7"/>
    <w:rsid w:val="00BB2033"/>
    <w:rsid w:val="00BB20CF"/>
    <w:rsid w:val="00BB20E1"/>
    <w:rsid w:val="00BB211F"/>
    <w:rsid w:val="00BB21F9"/>
    <w:rsid w:val="00BB2205"/>
    <w:rsid w:val="00BB226A"/>
    <w:rsid w:val="00BB22C7"/>
    <w:rsid w:val="00BB22FB"/>
    <w:rsid w:val="00BB2314"/>
    <w:rsid w:val="00BB2328"/>
    <w:rsid w:val="00BB2329"/>
    <w:rsid w:val="00BB2345"/>
    <w:rsid w:val="00BB237C"/>
    <w:rsid w:val="00BB23C2"/>
    <w:rsid w:val="00BB23CD"/>
    <w:rsid w:val="00BB23E0"/>
    <w:rsid w:val="00BB2418"/>
    <w:rsid w:val="00BB2424"/>
    <w:rsid w:val="00BB243B"/>
    <w:rsid w:val="00BB2464"/>
    <w:rsid w:val="00BB246E"/>
    <w:rsid w:val="00BB248A"/>
    <w:rsid w:val="00BB24BF"/>
    <w:rsid w:val="00BB24CA"/>
    <w:rsid w:val="00BB24F0"/>
    <w:rsid w:val="00BB2567"/>
    <w:rsid w:val="00BB259E"/>
    <w:rsid w:val="00BB25E8"/>
    <w:rsid w:val="00BB25FB"/>
    <w:rsid w:val="00BB260F"/>
    <w:rsid w:val="00BB263B"/>
    <w:rsid w:val="00BB2658"/>
    <w:rsid w:val="00BB267C"/>
    <w:rsid w:val="00BB2683"/>
    <w:rsid w:val="00BB26F7"/>
    <w:rsid w:val="00BB276F"/>
    <w:rsid w:val="00BB2792"/>
    <w:rsid w:val="00BB27A7"/>
    <w:rsid w:val="00BB27A9"/>
    <w:rsid w:val="00BB27C6"/>
    <w:rsid w:val="00BB27D5"/>
    <w:rsid w:val="00BB2854"/>
    <w:rsid w:val="00BB287A"/>
    <w:rsid w:val="00BB289F"/>
    <w:rsid w:val="00BB28F7"/>
    <w:rsid w:val="00BB2933"/>
    <w:rsid w:val="00BB29B1"/>
    <w:rsid w:val="00BB29CE"/>
    <w:rsid w:val="00BB29DF"/>
    <w:rsid w:val="00BB2A6B"/>
    <w:rsid w:val="00BB2A8A"/>
    <w:rsid w:val="00BB2A9A"/>
    <w:rsid w:val="00BB2ADB"/>
    <w:rsid w:val="00BB2B1D"/>
    <w:rsid w:val="00BB2B43"/>
    <w:rsid w:val="00BB2B9D"/>
    <w:rsid w:val="00BB2BA9"/>
    <w:rsid w:val="00BB2BEC"/>
    <w:rsid w:val="00BB2C2F"/>
    <w:rsid w:val="00BB2C35"/>
    <w:rsid w:val="00BB2C4F"/>
    <w:rsid w:val="00BB2CA7"/>
    <w:rsid w:val="00BB2CBE"/>
    <w:rsid w:val="00BB2CF2"/>
    <w:rsid w:val="00BB2D8D"/>
    <w:rsid w:val="00BB2DB4"/>
    <w:rsid w:val="00BB2DCD"/>
    <w:rsid w:val="00BB2DEC"/>
    <w:rsid w:val="00BB2E12"/>
    <w:rsid w:val="00BB2E2D"/>
    <w:rsid w:val="00BB2E9F"/>
    <w:rsid w:val="00BB2EA7"/>
    <w:rsid w:val="00BB2EF7"/>
    <w:rsid w:val="00BB2F09"/>
    <w:rsid w:val="00BB2F68"/>
    <w:rsid w:val="00BB2F7B"/>
    <w:rsid w:val="00BB2FEF"/>
    <w:rsid w:val="00BB2FF7"/>
    <w:rsid w:val="00BB2FF8"/>
    <w:rsid w:val="00BB3027"/>
    <w:rsid w:val="00BB3045"/>
    <w:rsid w:val="00BB3050"/>
    <w:rsid w:val="00BB3051"/>
    <w:rsid w:val="00BB306E"/>
    <w:rsid w:val="00BB3096"/>
    <w:rsid w:val="00BB30F8"/>
    <w:rsid w:val="00BB30FA"/>
    <w:rsid w:val="00BB311A"/>
    <w:rsid w:val="00BB312C"/>
    <w:rsid w:val="00BB313E"/>
    <w:rsid w:val="00BB3164"/>
    <w:rsid w:val="00BB3182"/>
    <w:rsid w:val="00BB31B0"/>
    <w:rsid w:val="00BB3264"/>
    <w:rsid w:val="00BB32A9"/>
    <w:rsid w:val="00BB32AD"/>
    <w:rsid w:val="00BB32B1"/>
    <w:rsid w:val="00BB32D0"/>
    <w:rsid w:val="00BB32F7"/>
    <w:rsid w:val="00BB32FF"/>
    <w:rsid w:val="00BB331C"/>
    <w:rsid w:val="00BB3359"/>
    <w:rsid w:val="00BB33BB"/>
    <w:rsid w:val="00BB340C"/>
    <w:rsid w:val="00BB342F"/>
    <w:rsid w:val="00BB345B"/>
    <w:rsid w:val="00BB3472"/>
    <w:rsid w:val="00BB34BE"/>
    <w:rsid w:val="00BB34CA"/>
    <w:rsid w:val="00BB34CF"/>
    <w:rsid w:val="00BB34E5"/>
    <w:rsid w:val="00BB34F1"/>
    <w:rsid w:val="00BB350E"/>
    <w:rsid w:val="00BB353D"/>
    <w:rsid w:val="00BB355A"/>
    <w:rsid w:val="00BB356B"/>
    <w:rsid w:val="00BB358E"/>
    <w:rsid w:val="00BB3664"/>
    <w:rsid w:val="00BB36D5"/>
    <w:rsid w:val="00BB3807"/>
    <w:rsid w:val="00BB38AE"/>
    <w:rsid w:val="00BB38B9"/>
    <w:rsid w:val="00BB38FE"/>
    <w:rsid w:val="00BB3951"/>
    <w:rsid w:val="00BB395F"/>
    <w:rsid w:val="00BB397F"/>
    <w:rsid w:val="00BB39F5"/>
    <w:rsid w:val="00BB39F6"/>
    <w:rsid w:val="00BB3A76"/>
    <w:rsid w:val="00BB3A96"/>
    <w:rsid w:val="00BB3B24"/>
    <w:rsid w:val="00BB3B72"/>
    <w:rsid w:val="00BB3B7D"/>
    <w:rsid w:val="00BB3C29"/>
    <w:rsid w:val="00BB3CD1"/>
    <w:rsid w:val="00BB3CEC"/>
    <w:rsid w:val="00BB3D1E"/>
    <w:rsid w:val="00BB3D62"/>
    <w:rsid w:val="00BB3D9A"/>
    <w:rsid w:val="00BB3DCA"/>
    <w:rsid w:val="00BB3DD2"/>
    <w:rsid w:val="00BB3DE9"/>
    <w:rsid w:val="00BB3E0D"/>
    <w:rsid w:val="00BB3E43"/>
    <w:rsid w:val="00BB3ECD"/>
    <w:rsid w:val="00BB3ED8"/>
    <w:rsid w:val="00BB3F7C"/>
    <w:rsid w:val="00BB3FD9"/>
    <w:rsid w:val="00BB400D"/>
    <w:rsid w:val="00BB4015"/>
    <w:rsid w:val="00BB4043"/>
    <w:rsid w:val="00BB40F2"/>
    <w:rsid w:val="00BB40FF"/>
    <w:rsid w:val="00BB4123"/>
    <w:rsid w:val="00BB4136"/>
    <w:rsid w:val="00BB4138"/>
    <w:rsid w:val="00BB41ED"/>
    <w:rsid w:val="00BB421B"/>
    <w:rsid w:val="00BB4233"/>
    <w:rsid w:val="00BB4239"/>
    <w:rsid w:val="00BB429B"/>
    <w:rsid w:val="00BB42D6"/>
    <w:rsid w:val="00BB42D7"/>
    <w:rsid w:val="00BB42E1"/>
    <w:rsid w:val="00BB431B"/>
    <w:rsid w:val="00BB434B"/>
    <w:rsid w:val="00BB43A6"/>
    <w:rsid w:val="00BB43C4"/>
    <w:rsid w:val="00BB43DD"/>
    <w:rsid w:val="00BB4449"/>
    <w:rsid w:val="00BB4462"/>
    <w:rsid w:val="00BB4469"/>
    <w:rsid w:val="00BB4481"/>
    <w:rsid w:val="00BB44A7"/>
    <w:rsid w:val="00BB44BE"/>
    <w:rsid w:val="00BB44FB"/>
    <w:rsid w:val="00BB4514"/>
    <w:rsid w:val="00BB4519"/>
    <w:rsid w:val="00BB45B1"/>
    <w:rsid w:val="00BB45BB"/>
    <w:rsid w:val="00BB4684"/>
    <w:rsid w:val="00BB46A0"/>
    <w:rsid w:val="00BB46A6"/>
    <w:rsid w:val="00BB472D"/>
    <w:rsid w:val="00BB4748"/>
    <w:rsid w:val="00BB479D"/>
    <w:rsid w:val="00BB47D0"/>
    <w:rsid w:val="00BB47E0"/>
    <w:rsid w:val="00BB47EC"/>
    <w:rsid w:val="00BB488B"/>
    <w:rsid w:val="00BB48D7"/>
    <w:rsid w:val="00BB49EF"/>
    <w:rsid w:val="00BB4A3B"/>
    <w:rsid w:val="00BB4A4F"/>
    <w:rsid w:val="00BB4A6F"/>
    <w:rsid w:val="00BB4A8B"/>
    <w:rsid w:val="00BB4AB3"/>
    <w:rsid w:val="00BB4AC0"/>
    <w:rsid w:val="00BB4AEE"/>
    <w:rsid w:val="00BB4B05"/>
    <w:rsid w:val="00BB4B08"/>
    <w:rsid w:val="00BB4B6C"/>
    <w:rsid w:val="00BB4BA8"/>
    <w:rsid w:val="00BB4BC7"/>
    <w:rsid w:val="00BB4C9B"/>
    <w:rsid w:val="00BB4CA0"/>
    <w:rsid w:val="00BB4D48"/>
    <w:rsid w:val="00BB4D6F"/>
    <w:rsid w:val="00BB4DB1"/>
    <w:rsid w:val="00BB4E3C"/>
    <w:rsid w:val="00BB4EE2"/>
    <w:rsid w:val="00BB4EED"/>
    <w:rsid w:val="00BB4F08"/>
    <w:rsid w:val="00BB4F5C"/>
    <w:rsid w:val="00BB4F5E"/>
    <w:rsid w:val="00BB5005"/>
    <w:rsid w:val="00BB5010"/>
    <w:rsid w:val="00BB502B"/>
    <w:rsid w:val="00BB504B"/>
    <w:rsid w:val="00BB5099"/>
    <w:rsid w:val="00BB5165"/>
    <w:rsid w:val="00BB524B"/>
    <w:rsid w:val="00BB52B6"/>
    <w:rsid w:val="00BB536A"/>
    <w:rsid w:val="00BB537D"/>
    <w:rsid w:val="00BB53F5"/>
    <w:rsid w:val="00BB541F"/>
    <w:rsid w:val="00BB5442"/>
    <w:rsid w:val="00BB5466"/>
    <w:rsid w:val="00BB54FD"/>
    <w:rsid w:val="00BB5539"/>
    <w:rsid w:val="00BB5548"/>
    <w:rsid w:val="00BB55A0"/>
    <w:rsid w:val="00BB55A6"/>
    <w:rsid w:val="00BB55B5"/>
    <w:rsid w:val="00BB55C3"/>
    <w:rsid w:val="00BB55E4"/>
    <w:rsid w:val="00BB5625"/>
    <w:rsid w:val="00BB5645"/>
    <w:rsid w:val="00BB5654"/>
    <w:rsid w:val="00BB5665"/>
    <w:rsid w:val="00BB56A4"/>
    <w:rsid w:val="00BB572E"/>
    <w:rsid w:val="00BB575D"/>
    <w:rsid w:val="00BB5784"/>
    <w:rsid w:val="00BB581A"/>
    <w:rsid w:val="00BB581C"/>
    <w:rsid w:val="00BB58AD"/>
    <w:rsid w:val="00BB58F7"/>
    <w:rsid w:val="00BB58FF"/>
    <w:rsid w:val="00BB594F"/>
    <w:rsid w:val="00BB5972"/>
    <w:rsid w:val="00BB59B5"/>
    <w:rsid w:val="00BB59C5"/>
    <w:rsid w:val="00BB5A4C"/>
    <w:rsid w:val="00BB5A91"/>
    <w:rsid w:val="00BB5ABA"/>
    <w:rsid w:val="00BB5AED"/>
    <w:rsid w:val="00BB5B00"/>
    <w:rsid w:val="00BB5B2A"/>
    <w:rsid w:val="00BB5B6D"/>
    <w:rsid w:val="00BB5BE5"/>
    <w:rsid w:val="00BB5BFF"/>
    <w:rsid w:val="00BB5C03"/>
    <w:rsid w:val="00BB5C04"/>
    <w:rsid w:val="00BB5C06"/>
    <w:rsid w:val="00BB5C0E"/>
    <w:rsid w:val="00BB5C4F"/>
    <w:rsid w:val="00BB5CDA"/>
    <w:rsid w:val="00BB5CDD"/>
    <w:rsid w:val="00BB5CFE"/>
    <w:rsid w:val="00BB5DA8"/>
    <w:rsid w:val="00BB5DFF"/>
    <w:rsid w:val="00BB5E36"/>
    <w:rsid w:val="00BB5E5F"/>
    <w:rsid w:val="00BB5E81"/>
    <w:rsid w:val="00BB5E90"/>
    <w:rsid w:val="00BB5EDE"/>
    <w:rsid w:val="00BB5EF5"/>
    <w:rsid w:val="00BB5F39"/>
    <w:rsid w:val="00BB5F71"/>
    <w:rsid w:val="00BB5F93"/>
    <w:rsid w:val="00BB5FB2"/>
    <w:rsid w:val="00BB6004"/>
    <w:rsid w:val="00BB601F"/>
    <w:rsid w:val="00BB6066"/>
    <w:rsid w:val="00BB607D"/>
    <w:rsid w:val="00BB6087"/>
    <w:rsid w:val="00BB60DB"/>
    <w:rsid w:val="00BB60F8"/>
    <w:rsid w:val="00BB613F"/>
    <w:rsid w:val="00BB6158"/>
    <w:rsid w:val="00BB61A0"/>
    <w:rsid w:val="00BB61F9"/>
    <w:rsid w:val="00BB6210"/>
    <w:rsid w:val="00BB6219"/>
    <w:rsid w:val="00BB621C"/>
    <w:rsid w:val="00BB6251"/>
    <w:rsid w:val="00BB625E"/>
    <w:rsid w:val="00BB629F"/>
    <w:rsid w:val="00BB6302"/>
    <w:rsid w:val="00BB6335"/>
    <w:rsid w:val="00BB6350"/>
    <w:rsid w:val="00BB6379"/>
    <w:rsid w:val="00BB63C9"/>
    <w:rsid w:val="00BB6407"/>
    <w:rsid w:val="00BB642C"/>
    <w:rsid w:val="00BB6444"/>
    <w:rsid w:val="00BB6472"/>
    <w:rsid w:val="00BB64D0"/>
    <w:rsid w:val="00BB6530"/>
    <w:rsid w:val="00BB6573"/>
    <w:rsid w:val="00BB6589"/>
    <w:rsid w:val="00BB65EF"/>
    <w:rsid w:val="00BB65F3"/>
    <w:rsid w:val="00BB6628"/>
    <w:rsid w:val="00BB678F"/>
    <w:rsid w:val="00BB67C8"/>
    <w:rsid w:val="00BB67D7"/>
    <w:rsid w:val="00BB6807"/>
    <w:rsid w:val="00BB6859"/>
    <w:rsid w:val="00BB68C4"/>
    <w:rsid w:val="00BB68C5"/>
    <w:rsid w:val="00BB6935"/>
    <w:rsid w:val="00BB6953"/>
    <w:rsid w:val="00BB698A"/>
    <w:rsid w:val="00BB69B0"/>
    <w:rsid w:val="00BB69F0"/>
    <w:rsid w:val="00BB69F5"/>
    <w:rsid w:val="00BB6A40"/>
    <w:rsid w:val="00BB6ABF"/>
    <w:rsid w:val="00BB6B3F"/>
    <w:rsid w:val="00BB6B84"/>
    <w:rsid w:val="00BB6BCB"/>
    <w:rsid w:val="00BB6BEB"/>
    <w:rsid w:val="00BB6C23"/>
    <w:rsid w:val="00BB6C47"/>
    <w:rsid w:val="00BB6CC8"/>
    <w:rsid w:val="00BB6CFE"/>
    <w:rsid w:val="00BB6CFF"/>
    <w:rsid w:val="00BB6DD4"/>
    <w:rsid w:val="00BB6DDA"/>
    <w:rsid w:val="00BB6E36"/>
    <w:rsid w:val="00BB6E55"/>
    <w:rsid w:val="00BB6ECF"/>
    <w:rsid w:val="00BB6EDD"/>
    <w:rsid w:val="00BB6F06"/>
    <w:rsid w:val="00BB6F13"/>
    <w:rsid w:val="00BB6F14"/>
    <w:rsid w:val="00BB6F54"/>
    <w:rsid w:val="00BB6F5E"/>
    <w:rsid w:val="00BB6F6D"/>
    <w:rsid w:val="00BB6FE1"/>
    <w:rsid w:val="00BB707D"/>
    <w:rsid w:val="00BB707E"/>
    <w:rsid w:val="00BB7087"/>
    <w:rsid w:val="00BB7090"/>
    <w:rsid w:val="00BB70B0"/>
    <w:rsid w:val="00BB70C8"/>
    <w:rsid w:val="00BB70D3"/>
    <w:rsid w:val="00BB70D5"/>
    <w:rsid w:val="00BB7117"/>
    <w:rsid w:val="00BB714E"/>
    <w:rsid w:val="00BB716B"/>
    <w:rsid w:val="00BB71A4"/>
    <w:rsid w:val="00BB71DD"/>
    <w:rsid w:val="00BB71E3"/>
    <w:rsid w:val="00BB71F8"/>
    <w:rsid w:val="00BB72E4"/>
    <w:rsid w:val="00BB7317"/>
    <w:rsid w:val="00BB738F"/>
    <w:rsid w:val="00BB7394"/>
    <w:rsid w:val="00BB73A1"/>
    <w:rsid w:val="00BB7498"/>
    <w:rsid w:val="00BB74A5"/>
    <w:rsid w:val="00BB74BD"/>
    <w:rsid w:val="00BB74E5"/>
    <w:rsid w:val="00BB7506"/>
    <w:rsid w:val="00BB750D"/>
    <w:rsid w:val="00BB7555"/>
    <w:rsid w:val="00BB75BE"/>
    <w:rsid w:val="00BB75C2"/>
    <w:rsid w:val="00BB75F8"/>
    <w:rsid w:val="00BB7623"/>
    <w:rsid w:val="00BB7640"/>
    <w:rsid w:val="00BB7663"/>
    <w:rsid w:val="00BB768B"/>
    <w:rsid w:val="00BB7691"/>
    <w:rsid w:val="00BB773A"/>
    <w:rsid w:val="00BB7820"/>
    <w:rsid w:val="00BB789F"/>
    <w:rsid w:val="00BB793D"/>
    <w:rsid w:val="00BB7955"/>
    <w:rsid w:val="00BB7984"/>
    <w:rsid w:val="00BB79D1"/>
    <w:rsid w:val="00BB79ED"/>
    <w:rsid w:val="00BB79EF"/>
    <w:rsid w:val="00BB7A8E"/>
    <w:rsid w:val="00BB7BBA"/>
    <w:rsid w:val="00BB7BF3"/>
    <w:rsid w:val="00BB7BFA"/>
    <w:rsid w:val="00BB7C04"/>
    <w:rsid w:val="00BB7C49"/>
    <w:rsid w:val="00BB7C5C"/>
    <w:rsid w:val="00BB7C6A"/>
    <w:rsid w:val="00BB7C90"/>
    <w:rsid w:val="00BB7CDE"/>
    <w:rsid w:val="00BB7CF8"/>
    <w:rsid w:val="00BB7DEE"/>
    <w:rsid w:val="00BB7E33"/>
    <w:rsid w:val="00BB7E44"/>
    <w:rsid w:val="00BB7E4A"/>
    <w:rsid w:val="00BB7EEB"/>
    <w:rsid w:val="00BB7FAE"/>
    <w:rsid w:val="00BB7FB6"/>
    <w:rsid w:val="00BB7FDD"/>
    <w:rsid w:val="00BC000D"/>
    <w:rsid w:val="00BC0024"/>
    <w:rsid w:val="00BC0092"/>
    <w:rsid w:val="00BC011E"/>
    <w:rsid w:val="00BC01C7"/>
    <w:rsid w:val="00BC01D4"/>
    <w:rsid w:val="00BC0297"/>
    <w:rsid w:val="00BC02E6"/>
    <w:rsid w:val="00BC0308"/>
    <w:rsid w:val="00BC034E"/>
    <w:rsid w:val="00BC0383"/>
    <w:rsid w:val="00BC0394"/>
    <w:rsid w:val="00BC03B7"/>
    <w:rsid w:val="00BC0401"/>
    <w:rsid w:val="00BC0407"/>
    <w:rsid w:val="00BC0433"/>
    <w:rsid w:val="00BC043B"/>
    <w:rsid w:val="00BC0445"/>
    <w:rsid w:val="00BC0487"/>
    <w:rsid w:val="00BC04AB"/>
    <w:rsid w:val="00BC04F0"/>
    <w:rsid w:val="00BC0516"/>
    <w:rsid w:val="00BC0548"/>
    <w:rsid w:val="00BC0634"/>
    <w:rsid w:val="00BC065E"/>
    <w:rsid w:val="00BC0672"/>
    <w:rsid w:val="00BC0688"/>
    <w:rsid w:val="00BC06C8"/>
    <w:rsid w:val="00BC0735"/>
    <w:rsid w:val="00BC07C1"/>
    <w:rsid w:val="00BC087C"/>
    <w:rsid w:val="00BC089E"/>
    <w:rsid w:val="00BC08A7"/>
    <w:rsid w:val="00BC08AF"/>
    <w:rsid w:val="00BC094C"/>
    <w:rsid w:val="00BC09E6"/>
    <w:rsid w:val="00BC0A04"/>
    <w:rsid w:val="00BC0A1C"/>
    <w:rsid w:val="00BC0A41"/>
    <w:rsid w:val="00BC0A54"/>
    <w:rsid w:val="00BC0A6A"/>
    <w:rsid w:val="00BC0A88"/>
    <w:rsid w:val="00BC0AB1"/>
    <w:rsid w:val="00BC0AD4"/>
    <w:rsid w:val="00BC0AD6"/>
    <w:rsid w:val="00BC0B1C"/>
    <w:rsid w:val="00BC0B38"/>
    <w:rsid w:val="00BC0BDB"/>
    <w:rsid w:val="00BC0BE4"/>
    <w:rsid w:val="00BC0BF5"/>
    <w:rsid w:val="00BC0C08"/>
    <w:rsid w:val="00BC0C1B"/>
    <w:rsid w:val="00BC0C55"/>
    <w:rsid w:val="00BC0C9B"/>
    <w:rsid w:val="00BC0CC3"/>
    <w:rsid w:val="00BC0D4D"/>
    <w:rsid w:val="00BC0D51"/>
    <w:rsid w:val="00BC0D74"/>
    <w:rsid w:val="00BC0DC9"/>
    <w:rsid w:val="00BC0E06"/>
    <w:rsid w:val="00BC0E0E"/>
    <w:rsid w:val="00BC0E8A"/>
    <w:rsid w:val="00BC0F01"/>
    <w:rsid w:val="00BC0F14"/>
    <w:rsid w:val="00BC0F23"/>
    <w:rsid w:val="00BC0F28"/>
    <w:rsid w:val="00BC0F7F"/>
    <w:rsid w:val="00BC0F98"/>
    <w:rsid w:val="00BC0FBD"/>
    <w:rsid w:val="00BC0FE6"/>
    <w:rsid w:val="00BC100D"/>
    <w:rsid w:val="00BC1016"/>
    <w:rsid w:val="00BC1047"/>
    <w:rsid w:val="00BC1066"/>
    <w:rsid w:val="00BC107B"/>
    <w:rsid w:val="00BC108B"/>
    <w:rsid w:val="00BC10A9"/>
    <w:rsid w:val="00BC10E1"/>
    <w:rsid w:val="00BC1104"/>
    <w:rsid w:val="00BC1109"/>
    <w:rsid w:val="00BC1128"/>
    <w:rsid w:val="00BC1190"/>
    <w:rsid w:val="00BC11BC"/>
    <w:rsid w:val="00BC11FE"/>
    <w:rsid w:val="00BC121C"/>
    <w:rsid w:val="00BC1256"/>
    <w:rsid w:val="00BC1265"/>
    <w:rsid w:val="00BC127B"/>
    <w:rsid w:val="00BC12B7"/>
    <w:rsid w:val="00BC12C9"/>
    <w:rsid w:val="00BC1318"/>
    <w:rsid w:val="00BC1374"/>
    <w:rsid w:val="00BC13E5"/>
    <w:rsid w:val="00BC13F8"/>
    <w:rsid w:val="00BC140D"/>
    <w:rsid w:val="00BC146D"/>
    <w:rsid w:val="00BC1483"/>
    <w:rsid w:val="00BC14B7"/>
    <w:rsid w:val="00BC14FA"/>
    <w:rsid w:val="00BC1508"/>
    <w:rsid w:val="00BC152B"/>
    <w:rsid w:val="00BC15EF"/>
    <w:rsid w:val="00BC160E"/>
    <w:rsid w:val="00BC160F"/>
    <w:rsid w:val="00BC168E"/>
    <w:rsid w:val="00BC16A2"/>
    <w:rsid w:val="00BC16D1"/>
    <w:rsid w:val="00BC16E5"/>
    <w:rsid w:val="00BC16F7"/>
    <w:rsid w:val="00BC1787"/>
    <w:rsid w:val="00BC1793"/>
    <w:rsid w:val="00BC17FC"/>
    <w:rsid w:val="00BC1807"/>
    <w:rsid w:val="00BC1828"/>
    <w:rsid w:val="00BC1847"/>
    <w:rsid w:val="00BC190C"/>
    <w:rsid w:val="00BC191F"/>
    <w:rsid w:val="00BC194C"/>
    <w:rsid w:val="00BC1951"/>
    <w:rsid w:val="00BC1978"/>
    <w:rsid w:val="00BC19A9"/>
    <w:rsid w:val="00BC19CA"/>
    <w:rsid w:val="00BC19DA"/>
    <w:rsid w:val="00BC19F8"/>
    <w:rsid w:val="00BC1A11"/>
    <w:rsid w:val="00BC1A1A"/>
    <w:rsid w:val="00BC1A74"/>
    <w:rsid w:val="00BC1AFB"/>
    <w:rsid w:val="00BC1B15"/>
    <w:rsid w:val="00BC1B58"/>
    <w:rsid w:val="00BC1B7A"/>
    <w:rsid w:val="00BC1B81"/>
    <w:rsid w:val="00BC1B89"/>
    <w:rsid w:val="00BC1BF4"/>
    <w:rsid w:val="00BC1D1A"/>
    <w:rsid w:val="00BC1D5E"/>
    <w:rsid w:val="00BC1D7B"/>
    <w:rsid w:val="00BC1D8E"/>
    <w:rsid w:val="00BC1DE1"/>
    <w:rsid w:val="00BC1DF2"/>
    <w:rsid w:val="00BC1E1A"/>
    <w:rsid w:val="00BC1E84"/>
    <w:rsid w:val="00BC1E86"/>
    <w:rsid w:val="00BC1E9D"/>
    <w:rsid w:val="00BC1EC9"/>
    <w:rsid w:val="00BC1FB4"/>
    <w:rsid w:val="00BC1FB6"/>
    <w:rsid w:val="00BC2053"/>
    <w:rsid w:val="00BC2054"/>
    <w:rsid w:val="00BC20AD"/>
    <w:rsid w:val="00BC210A"/>
    <w:rsid w:val="00BC2149"/>
    <w:rsid w:val="00BC215F"/>
    <w:rsid w:val="00BC21A6"/>
    <w:rsid w:val="00BC21A7"/>
    <w:rsid w:val="00BC21AA"/>
    <w:rsid w:val="00BC21EA"/>
    <w:rsid w:val="00BC2206"/>
    <w:rsid w:val="00BC2229"/>
    <w:rsid w:val="00BC2256"/>
    <w:rsid w:val="00BC2273"/>
    <w:rsid w:val="00BC2281"/>
    <w:rsid w:val="00BC2285"/>
    <w:rsid w:val="00BC22D8"/>
    <w:rsid w:val="00BC231F"/>
    <w:rsid w:val="00BC23AD"/>
    <w:rsid w:val="00BC23EF"/>
    <w:rsid w:val="00BC245B"/>
    <w:rsid w:val="00BC246E"/>
    <w:rsid w:val="00BC2471"/>
    <w:rsid w:val="00BC247E"/>
    <w:rsid w:val="00BC2480"/>
    <w:rsid w:val="00BC2484"/>
    <w:rsid w:val="00BC24B7"/>
    <w:rsid w:val="00BC24E1"/>
    <w:rsid w:val="00BC2506"/>
    <w:rsid w:val="00BC252C"/>
    <w:rsid w:val="00BC25BB"/>
    <w:rsid w:val="00BC25EA"/>
    <w:rsid w:val="00BC2618"/>
    <w:rsid w:val="00BC263A"/>
    <w:rsid w:val="00BC2673"/>
    <w:rsid w:val="00BC26A1"/>
    <w:rsid w:val="00BC26E5"/>
    <w:rsid w:val="00BC26F9"/>
    <w:rsid w:val="00BC2705"/>
    <w:rsid w:val="00BC277E"/>
    <w:rsid w:val="00BC27A0"/>
    <w:rsid w:val="00BC27F0"/>
    <w:rsid w:val="00BC27F8"/>
    <w:rsid w:val="00BC27FD"/>
    <w:rsid w:val="00BC2865"/>
    <w:rsid w:val="00BC28FD"/>
    <w:rsid w:val="00BC2932"/>
    <w:rsid w:val="00BC293B"/>
    <w:rsid w:val="00BC29B5"/>
    <w:rsid w:val="00BC2A56"/>
    <w:rsid w:val="00BC2A67"/>
    <w:rsid w:val="00BC2AA8"/>
    <w:rsid w:val="00BC2B0F"/>
    <w:rsid w:val="00BC2B31"/>
    <w:rsid w:val="00BC2B52"/>
    <w:rsid w:val="00BC2B6F"/>
    <w:rsid w:val="00BC2B7C"/>
    <w:rsid w:val="00BC2B94"/>
    <w:rsid w:val="00BC2C5C"/>
    <w:rsid w:val="00BC2C78"/>
    <w:rsid w:val="00BC2C86"/>
    <w:rsid w:val="00BC2CE0"/>
    <w:rsid w:val="00BC2CFE"/>
    <w:rsid w:val="00BC2D1B"/>
    <w:rsid w:val="00BC2D67"/>
    <w:rsid w:val="00BC2D74"/>
    <w:rsid w:val="00BC2D8B"/>
    <w:rsid w:val="00BC2DAF"/>
    <w:rsid w:val="00BC2DC8"/>
    <w:rsid w:val="00BC2E07"/>
    <w:rsid w:val="00BC2E37"/>
    <w:rsid w:val="00BC2E58"/>
    <w:rsid w:val="00BC2E72"/>
    <w:rsid w:val="00BC2E9E"/>
    <w:rsid w:val="00BC2F37"/>
    <w:rsid w:val="00BC2F5E"/>
    <w:rsid w:val="00BC2F85"/>
    <w:rsid w:val="00BC2FD5"/>
    <w:rsid w:val="00BC2FD6"/>
    <w:rsid w:val="00BC2FE4"/>
    <w:rsid w:val="00BC2FEF"/>
    <w:rsid w:val="00BC2FFD"/>
    <w:rsid w:val="00BC2FFE"/>
    <w:rsid w:val="00BC305A"/>
    <w:rsid w:val="00BC30A7"/>
    <w:rsid w:val="00BC30E8"/>
    <w:rsid w:val="00BC31E8"/>
    <w:rsid w:val="00BC3238"/>
    <w:rsid w:val="00BC3281"/>
    <w:rsid w:val="00BC32DD"/>
    <w:rsid w:val="00BC32DE"/>
    <w:rsid w:val="00BC3311"/>
    <w:rsid w:val="00BC336F"/>
    <w:rsid w:val="00BC33BD"/>
    <w:rsid w:val="00BC346A"/>
    <w:rsid w:val="00BC3484"/>
    <w:rsid w:val="00BC348D"/>
    <w:rsid w:val="00BC34D8"/>
    <w:rsid w:val="00BC355D"/>
    <w:rsid w:val="00BC364B"/>
    <w:rsid w:val="00BC367A"/>
    <w:rsid w:val="00BC369B"/>
    <w:rsid w:val="00BC36EB"/>
    <w:rsid w:val="00BC3748"/>
    <w:rsid w:val="00BC376D"/>
    <w:rsid w:val="00BC378F"/>
    <w:rsid w:val="00BC37A6"/>
    <w:rsid w:val="00BC37A7"/>
    <w:rsid w:val="00BC37C4"/>
    <w:rsid w:val="00BC3814"/>
    <w:rsid w:val="00BC3819"/>
    <w:rsid w:val="00BC384F"/>
    <w:rsid w:val="00BC3857"/>
    <w:rsid w:val="00BC3934"/>
    <w:rsid w:val="00BC393E"/>
    <w:rsid w:val="00BC3950"/>
    <w:rsid w:val="00BC3995"/>
    <w:rsid w:val="00BC39B4"/>
    <w:rsid w:val="00BC39B8"/>
    <w:rsid w:val="00BC39CE"/>
    <w:rsid w:val="00BC39F0"/>
    <w:rsid w:val="00BC3AB9"/>
    <w:rsid w:val="00BC3ADA"/>
    <w:rsid w:val="00BC3B1C"/>
    <w:rsid w:val="00BC3B94"/>
    <w:rsid w:val="00BC3BCA"/>
    <w:rsid w:val="00BC3BF2"/>
    <w:rsid w:val="00BC3C7F"/>
    <w:rsid w:val="00BC3C97"/>
    <w:rsid w:val="00BC3CB4"/>
    <w:rsid w:val="00BC3CFD"/>
    <w:rsid w:val="00BC3D40"/>
    <w:rsid w:val="00BC3DAA"/>
    <w:rsid w:val="00BC3DAB"/>
    <w:rsid w:val="00BC3DAF"/>
    <w:rsid w:val="00BC3DE4"/>
    <w:rsid w:val="00BC3E63"/>
    <w:rsid w:val="00BC3F57"/>
    <w:rsid w:val="00BC3F67"/>
    <w:rsid w:val="00BC3F70"/>
    <w:rsid w:val="00BC3FCB"/>
    <w:rsid w:val="00BC3FEA"/>
    <w:rsid w:val="00BC409F"/>
    <w:rsid w:val="00BC40EE"/>
    <w:rsid w:val="00BC411F"/>
    <w:rsid w:val="00BC413D"/>
    <w:rsid w:val="00BC41EA"/>
    <w:rsid w:val="00BC41F6"/>
    <w:rsid w:val="00BC4238"/>
    <w:rsid w:val="00BC427E"/>
    <w:rsid w:val="00BC4280"/>
    <w:rsid w:val="00BC42D7"/>
    <w:rsid w:val="00BC4355"/>
    <w:rsid w:val="00BC4455"/>
    <w:rsid w:val="00BC447F"/>
    <w:rsid w:val="00BC44A0"/>
    <w:rsid w:val="00BC44E8"/>
    <w:rsid w:val="00BC44F1"/>
    <w:rsid w:val="00BC44F8"/>
    <w:rsid w:val="00BC4503"/>
    <w:rsid w:val="00BC4548"/>
    <w:rsid w:val="00BC4550"/>
    <w:rsid w:val="00BC4562"/>
    <w:rsid w:val="00BC4587"/>
    <w:rsid w:val="00BC45A9"/>
    <w:rsid w:val="00BC45B2"/>
    <w:rsid w:val="00BC45BF"/>
    <w:rsid w:val="00BC45C4"/>
    <w:rsid w:val="00BC469B"/>
    <w:rsid w:val="00BC46BA"/>
    <w:rsid w:val="00BC46FC"/>
    <w:rsid w:val="00BC4710"/>
    <w:rsid w:val="00BC4725"/>
    <w:rsid w:val="00BC472B"/>
    <w:rsid w:val="00BC47B5"/>
    <w:rsid w:val="00BC4801"/>
    <w:rsid w:val="00BC4821"/>
    <w:rsid w:val="00BC4834"/>
    <w:rsid w:val="00BC4840"/>
    <w:rsid w:val="00BC4874"/>
    <w:rsid w:val="00BC48C5"/>
    <w:rsid w:val="00BC48C6"/>
    <w:rsid w:val="00BC48E9"/>
    <w:rsid w:val="00BC49B0"/>
    <w:rsid w:val="00BC4A23"/>
    <w:rsid w:val="00BC4A30"/>
    <w:rsid w:val="00BC4A69"/>
    <w:rsid w:val="00BC4A6D"/>
    <w:rsid w:val="00BC4AA9"/>
    <w:rsid w:val="00BC4AD9"/>
    <w:rsid w:val="00BC4B37"/>
    <w:rsid w:val="00BC4B3B"/>
    <w:rsid w:val="00BC4B54"/>
    <w:rsid w:val="00BC4B5E"/>
    <w:rsid w:val="00BC4BA4"/>
    <w:rsid w:val="00BC4BD2"/>
    <w:rsid w:val="00BC4BE7"/>
    <w:rsid w:val="00BC4C51"/>
    <w:rsid w:val="00BC4C5E"/>
    <w:rsid w:val="00BC4CDE"/>
    <w:rsid w:val="00BC4CE3"/>
    <w:rsid w:val="00BC4E13"/>
    <w:rsid w:val="00BC4E22"/>
    <w:rsid w:val="00BC4E39"/>
    <w:rsid w:val="00BC4E44"/>
    <w:rsid w:val="00BC4EA7"/>
    <w:rsid w:val="00BC4EB1"/>
    <w:rsid w:val="00BC4F37"/>
    <w:rsid w:val="00BC4F6E"/>
    <w:rsid w:val="00BC4F77"/>
    <w:rsid w:val="00BC4FFC"/>
    <w:rsid w:val="00BC5026"/>
    <w:rsid w:val="00BC5058"/>
    <w:rsid w:val="00BC50B3"/>
    <w:rsid w:val="00BC50DC"/>
    <w:rsid w:val="00BC50F2"/>
    <w:rsid w:val="00BC5104"/>
    <w:rsid w:val="00BC5155"/>
    <w:rsid w:val="00BC5160"/>
    <w:rsid w:val="00BC5172"/>
    <w:rsid w:val="00BC517C"/>
    <w:rsid w:val="00BC51DF"/>
    <w:rsid w:val="00BC520C"/>
    <w:rsid w:val="00BC526D"/>
    <w:rsid w:val="00BC52A3"/>
    <w:rsid w:val="00BC52C8"/>
    <w:rsid w:val="00BC52D8"/>
    <w:rsid w:val="00BC52FF"/>
    <w:rsid w:val="00BC5300"/>
    <w:rsid w:val="00BC5305"/>
    <w:rsid w:val="00BC542A"/>
    <w:rsid w:val="00BC5449"/>
    <w:rsid w:val="00BC5466"/>
    <w:rsid w:val="00BC547E"/>
    <w:rsid w:val="00BC548D"/>
    <w:rsid w:val="00BC54A3"/>
    <w:rsid w:val="00BC5529"/>
    <w:rsid w:val="00BC55EF"/>
    <w:rsid w:val="00BC55F3"/>
    <w:rsid w:val="00BC560B"/>
    <w:rsid w:val="00BC5634"/>
    <w:rsid w:val="00BC567F"/>
    <w:rsid w:val="00BC570B"/>
    <w:rsid w:val="00BC574B"/>
    <w:rsid w:val="00BC5859"/>
    <w:rsid w:val="00BC587F"/>
    <w:rsid w:val="00BC58AB"/>
    <w:rsid w:val="00BC58F5"/>
    <w:rsid w:val="00BC58FC"/>
    <w:rsid w:val="00BC5965"/>
    <w:rsid w:val="00BC5979"/>
    <w:rsid w:val="00BC597E"/>
    <w:rsid w:val="00BC59AE"/>
    <w:rsid w:val="00BC5A03"/>
    <w:rsid w:val="00BC5A6F"/>
    <w:rsid w:val="00BC5A9D"/>
    <w:rsid w:val="00BC5B05"/>
    <w:rsid w:val="00BC5B2D"/>
    <w:rsid w:val="00BC5B57"/>
    <w:rsid w:val="00BC5B99"/>
    <w:rsid w:val="00BC5BD9"/>
    <w:rsid w:val="00BC5C18"/>
    <w:rsid w:val="00BC5C49"/>
    <w:rsid w:val="00BC5C9C"/>
    <w:rsid w:val="00BC5CA8"/>
    <w:rsid w:val="00BC5CC7"/>
    <w:rsid w:val="00BC5D32"/>
    <w:rsid w:val="00BC5DAA"/>
    <w:rsid w:val="00BC5E22"/>
    <w:rsid w:val="00BC5E82"/>
    <w:rsid w:val="00BC5EDA"/>
    <w:rsid w:val="00BC5EE6"/>
    <w:rsid w:val="00BC5F24"/>
    <w:rsid w:val="00BC5F92"/>
    <w:rsid w:val="00BC5FA8"/>
    <w:rsid w:val="00BC600A"/>
    <w:rsid w:val="00BC6026"/>
    <w:rsid w:val="00BC60D3"/>
    <w:rsid w:val="00BC6155"/>
    <w:rsid w:val="00BC6170"/>
    <w:rsid w:val="00BC61EB"/>
    <w:rsid w:val="00BC61FF"/>
    <w:rsid w:val="00BC62B7"/>
    <w:rsid w:val="00BC6314"/>
    <w:rsid w:val="00BC6366"/>
    <w:rsid w:val="00BC636B"/>
    <w:rsid w:val="00BC6422"/>
    <w:rsid w:val="00BC642E"/>
    <w:rsid w:val="00BC647C"/>
    <w:rsid w:val="00BC64AD"/>
    <w:rsid w:val="00BC6502"/>
    <w:rsid w:val="00BC6547"/>
    <w:rsid w:val="00BC654A"/>
    <w:rsid w:val="00BC657C"/>
    <w:rsid w:val="00BC657F"/>
    <w:rsid w:val="00BC65C4"/>
    <w:rsid w:val="00BC6663"/>
    <w:rsid w:val="00BC668C"/>
    <w:rsid w:val="00BC66AC"/>
    <w:rsid w:val="00BC66B4"/>
    <w:rsid w:val="00BC66C8"/>
    <w:rsid w:val="00BC670D"/>
    <w:rsid w:val="00BC6728"/>
    <w:rsid w:val="00BC6748"/>
    <w:rsid w:val="00BC676D"/>
    <w:rsid w:val="00BC6775"/>
    <w:rsid w:val="00BC67D5"/>
    <w:rsid w:val="00BC6847"/>
    <w:rsid w:val="00BC68A1"/>
    <w:rsid w:val="00BC68D3"/>
    <w:rsid w:val="00BC68EB"/>
    <w:rsid w:val="00BC6901"/>
    <w:rsid w:val="00BC690C"/>
    <w:rsid w:val="00BC6947"/>
    <w:rsid w:val="00BC699F"/>
    <w:rsid w:val="00BC69CC"/>
    <w:rsid w:val="00BC6A27"/>
    <w:rsid w:val="00BC6A29"/>
    <w:rsid w:val="00BC6A3F"/>
    <w:rsid w:val="00BC6A7F"/>
    <w:rsid w:val="00BC6A81"/>
    <w:rsid w:val="00BC6AE2"/>
    <w:rsid w:val="00BC6B04"/>
    <w:rsid w:val="00BC6B06"/>
    <w:rsid w:val="00BC6B30"/>
    <w:rsid w:val="00BC6B3D"/>
    <w:rsid w:val="00BC6B42"/>
    <w:rsid w:val="00BC6BA5"/>
    <w:rsid w:val="00BC6BAE"/>
    <w:rsid w:val="00BC6BC8"/>
    <w:rsid w:val="00BC6BD9"/>
    <w:rsid w:val="00BC6C98"/>
    <w:rsid w:val="00BC6CDA"/>
    <w:rsid w:val="00BC6D32"/>
    <w:rsid w:val="00BC6D38"/>
    <w:rsid w:val="00BC6D59"/>
    <w:rsid w:val="00BC6D5E"/>
    <w:rsid w:val="00BC6DA1"/>
    <w:rsid w:val="00BC6DB4"/>
    <w:rsid w:val="00BC6DF7"/>
    <w:rsid w:val="00BC6E45"/>
    <w:rsid w:val="00BC6E75"/>
    <w:rsid w:val="00BC6E7B"/>
    <w:rsid w:val="00BC6E99"/>
    <w:rsid w:val="00BC6EA9"/>
    <w:rsid w:val="00BC6EC9"/>
    <w:rsid w:val="00BC6ECF"/>
    <w:rsid w:val="00BC6EFB"/>
    <w:rsid w:val="00BC6F00"/>
    <w:rsid w:val="00BC6F10"/>
    <w:rsid w:val="00BC6FB3"/>
    <w:rsid w:val="00BC6FFE"/>
    <w:rsid w:val="00BC701D"/>
    <w:rsid w:val="00BC702B"/>
    <w:rsid w:val="00BC7096"/>
    <w:rsid w:val="00BC70DF"/>
    <w:rsid w:val="00BC7100"/>
    <w:rsid w:val="00BC7137"/>
    <w:rsid w:val="00BC7145"/>
    <w:rsid w:val="00BC7174"/>
    <w:rsid w:val="00BC71AD"/>
    <w:rsid w:val="00BC71B3"/>
    <w:rsid w:val="00BC71E2"/>
    <w:rsid w:val="00BC722C"/>
    <w:rsid w:val="00BC725C"/>
    <w:rsid w:val="00BC7274"/>
    <w:rsid w:val="00BC7294"/>
    <w:rsid w:val="00BC738B"/>
    <w:rsid w:val="00BC7397"/>
    <w:rsid w:val="00BC73C6"/>
    <w:rsid w:val="00BC7414"/>
    <w:rsid w:val="00BC7488"/>
    <w:rsid w:val="00BC754C"/>
    <w:rsid w:val="00BC755F"/>
    <w:rsid w:val="00BC75F1"/>
    <w:rsid w:val="00BC7622"/>
    <w:rsid w:val="00BC763E"/>
    <w:rsid w:val="00BC7649"/>
    <w:rsid w:val="00BC765B"/>
    <w:rsid w:val="00BC76A4"/>
    <w:rsid w:val="00BC76CD"/>
    <w:rsid w:val="00BC76D9"/>
    <w:rsid w:val="00BC7755"/>
    <w:rsid w:val="00BC7756"/>
    <w:rsid w:val="00BC776B"/>
    <w:rsid w:val="00BC7796"/>
    <w:rsid w:val="00BC77A9"/>
    <w:rsid w:val="00BC7892"/>
    <w:rsid w:val="00BC78D6"/>
    <w:rsid w:val="00BC78EA"/>
    <w:rsid w:val="00BC792E"/>
    <w:rsid w:val="00BC795E"/>
    <w:rsid w:val="00BC7971"/>
    <w:rsid w:val="00BC7976"/>
    <w:rsid w:val="00BC7999"/>
    <w:rsid w:val="00BC79BA"/>
    <w:rsid w:val="00BC79BE"/>
    <w:rsid w:val="00BC79D4"/>
    <w:rsid w:val="00BC7A05"/>
    <w:rsid w:val="00BC7A06"/>
    <w:rsid w:val="00BC7A86"/>
    <w:rsid w:val="00BC7B19"/>
    <w:rsid w:val="00BC7B6C"/>
    <w:rsid w:val="00BC7BD1"/>
    <w:rsid w:val="00BC7BDF"/>
    <w:rsid w:val="00BC7BE0"/>
    <w:rsid w:val="00BC7CB0"/>
    <w:rsid w:val="00BC7CBF"/>
    <w:rsid w:val="00BC7CD3"/>
    <w:rsid w:val="00BC7D44"/>
    <w:rsid w:val="00BC7D6E"/>
    <w:rsid w:val="00BC7D7F"/>
    <w:rsid w:val="00BC7DA9"/>
    <w:rsid w:val="00BC7DD9"/>
    <w:rsid w:val="00BC7DEB"/>
    <w:rsid w:val="00BC7E26"/>
    <w:rsid w:val="00BC7E61"/>
    <w:rsid w:val="00BC7E80"/>
    <w:rsid w:val="00BC7EA6"/>
    <w:rsid w:val="00BC7EC5"/>
    <w:rsid w:val="00BC7EF3"/>
    <w:rsid w:val="00BC7F6C"/>
    <w:rsid w:val="00BD0030"/>
    <w:rsid w:val="00BD007B"/>
    <w:rsid w:val="00BD00CB"/>
    <w:rsid w:val="00BD00FC"/>
    <w:rsid w:val="00BD0136"/>
    <w:rsid w:val="00BD016F"/>
    <w:rsid w:val="00BD0191"/>
    <w:rsid w:val="00BD01C2"/>
    <w:rsid w:val="00BD01E4"/>
    <w:rsid w:val="00BD020C"/>
    <w:rsid w:val="00BD0215"/>
    <w:rsid w:val="00BD023A"/>
    <w:rsid w:val="00BD029B"/>
    <w:rsid w:val="00BD02CB"/>
    <w:rsid w:val="00BD02DF"/>
    <w:rsid w:val="00BD02FE"/>
    <w:rsid w:val="00BD030A"/>
    <w:rsid w:val="00BD0318"/>
    <w:rsid w:val="00BD039E"/>
    <w:rsid w:val="00BD03BC"/>
    <w:rsid w:val="00BD03F7"/>
    <w:rsid w:val="00BD0446"/>
    <w:rsid w:val="00BD047C"/>
    <w:rsid w:val="00BD04AA"/>
    <w:rsid w:val="00BD058B"/>
    <w:rsid w:val="00BD0604"/>
    <w:rsid w:val="00BD0607"/>
    <w:rsid w:val="00BD0610"/>
    <w:rsid w:val="00BD0628"/>
    <w:rsid w:val="00BD063C"/>
    <w:rsid w:val="00BD064D"/>
    <w:rsid w:val="00BD0692"/>
    <w:rsid w:val="00BD06C8"/>
    <w:rsid w:val="00BD0728"/>
    <w:rsid w:val="00BD0776"/>
    <w:rsid w:val="00BD0858"/>
    <w:rsid w:val="00BD0861"/>
    <w:rsid w:val="00BD08B0"/>
    <w:rsid w:val="00BD08CB"/>
    <w:rsid w:val="00BD08D4"/>
    <w:rsid w:val="00BD08D6"/>
    <w:rsid w:val="00BD08E7"/>
    <w:rsid w:val="00BD08EB"/>
    <w:rsid w:val="00BD090E"/>
    <w:rsid w:val="00BD0913"/>
    <w:rsid w:val="00BD0A6A"/>
    <w:rsid w:val="00BD0AD2"/>
    <w:rsid w:val="00BD0BA0"/>
    <w:rsid w:val="00BD0C38"/>
    <w:rsid w:val="00BD0C86"/>
    <w:rsid w:val="00BD0D7C"/>
    <w:rsid w:val="00BD0DA3"/>
    <w:rsid w:val="00BD0DC9"/>
    <w:rsid w:val="00BD0E2C"/>
    <w:rsid w:val="00BD0FA4"/>
    <w:rsid w:val="00BD0FBF"/>
    <w:rsid w:val="00BD0FD0"/>
    <w:rsid w:val="00BD0FDF"/>
    <w:rsid w:val="00BD1045"/>
    <w:rsid w:val="00BD1067"/>
    <w:rsid w:val="00BD10CA"/>
    <w:rsid w:val="00BD112C"/>
    <w:rsid w:val="00BD1155"/>
    <w:rsid w:val="00BD1157"/>
    <w:rsid w:val="00BD116C"/>
    <w:rsid w:val="00BD117A"/>
    <w:rsid w:val="00BD1182"/>
    <w:rsid w:val="00BD118E"/>
    <w:rsid w:val="00BD1191"/>
    <w:rsid w:val="00BD1192"/>
    <w:rsid w:val="00BD11AB"/>
    <w:rsid w:val="00BD11AE"/>
    <w:rsid w:val="00BD11BF"/>
    <w:rsid w:val="00BD11EB"/>
    <w:rsid w:val="00BD11FF"/>
    <w:rsid w:val="00BD1232"/>
    <w:rsid w:val="00BD12A8"/>
    <w:rsid w:val="00BD12B0"/>
    <w:rsid w:val="00BD1321"/>
    <w:rsid w:val="00BD1379"/>
    <w:rsid w:val="00BD138D"/>
    <w:rsid w:val="00BD13B2"/>
    <w:rsid w:val="00BD13D5"/>
    <w:rsid w:val="00BD13E8"/>
    <w:rsid w:val="00BD1402"/>
    <w:rsid w:val="00BD1408"/>
    <w:rsid w:val="00BD14BF"/>
    <w:rsid w:val="00BD14EC"/>
    <w:rsid w:val="00BD151E"/>
    <w:rsid w:val="00BD15BC"/>
    <w:rsid w:val="00BD1627"/>
    <w:rsid w:val="00BD168E"/>
    <w:rsid w:val="00BD169F"/>
    <w:rsid w:val="00BD1769"/>
    <w:rsid w:val="00BD1776"/>
    <w:rsid w:val="00BD1782"/>
    <w:rsid w:val="00BD178F"/>
    <w:rsid w:val="00BD17B1"/>
    <w:rsid w:val="00BD17B5"/>
    <w:rsid w:val="00BD17D9"/>
    <w:rsid w:val="00BD17E2"/>
    <w:rsid w:val="00BD17F1"/>
    <w:rsid w:val="00BD1807"/>
    <w:rsid w:val="00BD18DC"/>
    <w:rsid w:val="00BD193D"/>
    <w:rsid w:val="00BD19BC"/>
    <w:rsid w:val="00BD1A42"/>
    <w:rsid w:val="00BD1A75"/>
    <w:rsid w:val="00BD1AE3"/>
    <w:rsid w:val="00BD1AFB"/>
    <w:rsid w:val="00BD1B1C"/>
    <w:rsid w:val="00BD1B21"/>
    <w:rsid w:val="00BD1B48"/>
    <w:rsid w:val="00BD1BD0"/>
    <w:rsid w:val="00BD1BD2"/>
    <w:rsid w:val="00BD1BEC"/>
    <w:rsid w:val="00BD1C35"/>
    <w:rsid w:val="00BD1C3E"/>
    <w:rsid w:val="00BD1C62"/>
    <w:rsid w:val="00BD1C90"/>
    <w:rsid w:val="00BD1CA8"/>
    <w:rsid w:val="00BD1CC7"/>
    <w:rsid w:val="00BD1D15"/>
    <w:rsid w:val="00BD1D4C"/>
    <w:rsid w:val="00BD1D53"/>
    <w:rsid w:val="00BD1D91"/>
    <w:rsid w:val="00BD1E3D"/>
    <w:rsid w:val="00BD1E93"/>
    <w:rsid w:val="00BD1ECE"/>
    <w:rsid w:val="00BD1ED0"/>
    <w:rsid w:val="00BD1F08"/>
    <w:rsid w:val="00BD1F1C"/>
    <w:rsid w:val="00BD1F27"/>
    <w:rsid w:val="00BD1F3F"/>
    <w:rsid w:val="00BD1F62"/>
    <w:rsid w:val="00BD1F94"/>
    <w:rsid w:val="00BD1F99"/>
    <w:rsid w:val="00BD1FAF"/>
    <w:rsid w:val="00BD1FB7"/>
    <w:rsid w:val="00BD1FD2"/>
    <w:rsid w:val="00BD1FEE"/>
    <w:rsid w:val="00BD201F"/>
    <w:rsid w:val="00BD2051"/>
    <w:rsid w:val="00BD2066"/>
    <w:rsid w:val="00BD2070"/>
    <w:rsid w:val="00BD20AB"/>
    <w:rsid w:val="00BD20B4"/>
    <w:rsid w:val="00BD20B5"/>
    <w:rsid w:val="00BD20BF"/>
    <w:rsid w:val="00BD20F7"/>
    <w:rsid w:val="00BD213F"/>
    <w:rsid w:val="00BD2150"/>
    <w:rsid w:val="00BD21C7"/>
    <w:rsid w:val="00BD21DF"/>
    <w:rsid w:val="00BD2200"/>
    <w:rsid w:val="00BD2207"/>
    <w:rsid w:val="00BD220B"/>
    <w:rsid w:val="00BD221D"/>
    <w:rsid w:val="00BD222E"/>
    <w:rsid w:val="00BD2235"/>
    <w:rsid w:val="00BD224E"/>
    <w:rsid w:val="00BD22A8"/>
    <w:rsid w:val="00BD22B4"/>
    <w:rsid w:val="00BD2315"/>
    <w:rsid w:val="00BD2348"/>
    <w:rsid w:val="00BD23A0"/>
    <w:rsid w:val="00BD23A7"/>
    <w:rsid w:val="00BD2410"/>
    <w:rsid w:val="00BD2452"/>
    <w:rsid w:val="00BD246E"/>
    <w:rsid w:val="00BD2470"/>
    <w:rsid w:val="00BD2485"/>
    <w:rsid w:val="00BD2486"/>
    <w:rsid w:val="00BD2492"/>
    <w:rsid w:val="00BD249A"/>
    <w:rsid w:val="00BD24E2"/>
    <w:rsid w:val="00BD24F2"/>
    <w:rsid w:val="00BD2570"/>
    <w:rsid w:val="00BD2572"/>
    <w:rsid w:val="00BD2579"/>
    <w:rsid w:val="00BD25B6"/>
    <w:rsid w:val="00BD2648"/>
    <w:rsid w:val="00BD273D"/>
    <w:rsid w:val="00BD2746"/>
    <w:rsid w:val="00BD274C"/>
    <w:rsid w:val="00BD284C"/>
    <w:rsid w:val="00BD286D"/>
    <w:rsid w:val="00BD2899"/>
    <w:rsid w:val="00BD28AA"/>
    <w:rsid w:val="00BD28F1"/>
    <w:rsid w:val="00BD29C1"/>
    <w:rsid w:val="00BD29CD"/>
    <w:rsid w:val="00BD2A34"/>
    <w:rsid w:val="00BD2A37"/>
    <w:rsid w:val="00BD2A46"/>
    <w:rsid w:val="00BD2B0C"/>
    <w:rsid w:val="00BD2B78"/>
    <w:rsid w:val="00BD2B94"/>
    <w:rsid w:val="00BD2BD3"/>
    <w:rsid w:val="00BD2C71"/>
    <w:rsid w:val="00BD2C80"/>
    <w:rsid w:val="00BD2CF6"/>
    <w:rsid w:val="00BD2D20"/>
    <w:rsid w:val="00BD2D2A"/>
    <w:rsid w:val="00BD2D33"/>
    <w:rsid w:val="00BD2D9E"/>
    <w:rsid w:val="00BD2DD9"/>
    <w:rsid w:val="00BD2E3E"/>
    <w:rsid w:val="00BD2F78"/>
    <w:rsid w:val="00BD2FA4"/>
    <w:rsid w:val="00BD2FAA"/>
    <w:rsid w:val="00BD3005"/>
    <w:rsid w:val="00BD300E"/>
    <w:rsid w:val="00BD3015"/>
    <w:rsid w:val="00BD3021"/>
    <w:rsid w:val="00BD3042"/>
    <w:rsid w:val="00BD304E"/>
    <w:rsid w:val="00BD3065"/>
    <w:rsid w:val="00BD30B7"/>
    <w:rsid w:val="00BD30B8"/>
    <w:rsid w:val="00BD30E0"/>
    <w:rsid w:val="00BD3117"/>
    <w:rsid w:val="00BD312C"/>
    <w:rsid w:val="00BD31D0"/>
    <w:rsid w:val="00BD31D3"/>
    <w:rsid w:val="00BD31DD"/>
    <w:rsid w:val="00BD31DF"/>
    <w:rsid w:val="00BD3226"/>
    <w:rsid w:val="00BD3269"/>
    <w:rsid w:val="00BD329D"/>
    <w:rsid w:val="00BD32B4"/>
    <w:rsid w:val="00BD32BD"/>
    <w:rsid w:val="00BD32CB"/>
    <w:rsid w:val="00BD32E2"/>
    <w:rsid w:val="00BD3329"/>
    <w:rsid w:val="00BD3357"/>
    <w:rsid w:val="00BD335A"/>
    <w:rsid w:val="00BD3383"/>
    <w:rsid w:val="00BD338B"/>
    <w:rsid w:val="00BD3393"/>
    <w:rsid w:val="00BD339F"/>
    <w:rsid w:val="00BD33DE"/>
    <w:rsid w:val="00BD33EB"/>
    <w:rsid w:val="00BD3424"/>
    <w:rsid w:val="00BD343A"/>
    <w:rsid w:val="00BD34A1"/>
    <w:rsid w:val="00BD357A"/>
    <w:rsid w:val="00BD3591"/>
    <w:rsid w:val="00BD3598"/>
    <w:rsid w:val="00BD35B2"/>
    <w:rsid w:val="00BD3623"/>
    <w:rsid w:val="00BD364C"/>
    <w:rsid w:val="00BD3686"/>
    <w:rsid w:val="00BD36E0"/>
    <w:rsid w:val="00BD36F3"/>
    <w:rsid w:val="00BD37F3"/>
    <w:rsid w:val="00BD3885"/>
    <w:rsid w:val="00BD38B5"/>
    <w:rsid w:val="00BD38CB"/>
    <w:rsid w:val="00BD38FF"/>
    <w:rsid w:val="00BD3931"/>
    <w:rsid w:val="00BD393B"/>
    <w:rsid w:val="00BD394C"/>
    <w:rsid w:val="00BD396B"/>
    <w:rsid w:val="00BD3973"/>
    <w:rsid w:val="00BD397A"/>
    <w:rsid w:val="00BD397E"/>
    <w:rsid w:val="00BD3993"/>
    <w:rsid w:val="00BD39D6"/>
    <w:rsid w:val="00BD3A0D"/>
    <w:rsid w:val="00BD3A33"/>
    <w:rsid w:val="00BD3A8B"/>
    <w:rsid w:val="00BD3A94"/>
    <w:rsid w:val="00BD3ADD"/>
    <w:rsid w:val="00BD3B06"/>
    <w:rsid w:val="00BD3B38"/>
    <w:rsid w:val="00BD3B46"/>
    <w:rsid w:val="00BD3B88"/>
    <w:rsid w:val="00BD3BC2"/>
    <w:rsid w:val="00BD3C31"/>
    <w:rsid w:val="00BD3C88"/>
    <w:rsid w:val="00BD3CBE"/>
    <w:rsid w:val="00BD3CE4"/>
    <w:rsid w:val="00BD3E11"/>
    <w:rsid w:val="00BD3E32"/>
    <w:rsid w:val="00BD3E6C"/>
    <w:rsid w:val="00BD3F6D"/>
    <w:rsid w:val="00BD3F91"/>
    <w:rsid w:val="00BD3FB7"/>
    <w:rsid w:val="00BD400B"/>
    <w:rsid w:val="00BD4012"/>
    <w:rsid w:val="00BD405D"/>
    <w:rsid w:val="00BD4064"/>
    <w:rsid w:val="00BD409A"/>
    <w:rsid w:val="00BD412A"/>
    <w:rsid w:val="00BD418F"/>
    <w:rsid w:val="00BD41E6"/>
    <w:rsid w:val="00BD420F"/>
    <w:rsid w:val="00BD4236"/>
    <w:rsid w:val="00BD42A8"/>
    <w:rsid w:val="00BD4328"/>
    <w:rsid w:val="00BD43A7"/>
    <w:rsid w:val="00BD43D6"/>
    <w:rsid w:val="00BD43F3"/>
    <w:rsid w:val="00BD4416"/>
    <w:rsid w:val="00BD442B"/>
    <w:rsid w:val="00BD4443"/>
    <w:rsid w:val="00BD446B"/>
    <w:rsid w:val="00BD4474"/>
    <w:rsid w:val="00BD44D5"/>
    <w:rsid w:val="00BD451B"/>
    <w:rsid w:val="00BD4533"/>
    <w:rsid w:val="00BD453C"/>
    <w:rsid w:val="00BD4542"/>
    <w:rsid w:val="00BD4563"/>
    <w:rsid w:val="00BD456F"/>
    <w:rsid w:val="00BD4597"/>
    <w:rsid w:val="00BD45B5"/>
    <w:rsid w:val="00BD45E0"/>
    <w:rsid w:val="00BD465F"/>
    <w:rsid w:val="00BD46E1"/>
    <w:rsid w:val="00BD46EF"/>
    <w:rsid w:val="00BD46FB"/>
    <w:rsid w:val="00BD47AF"/>
    <w:rsid w:val="00BD47CB"/>
    <w:rsid w:val="00BD47DF"/>
    <w:rsid w:val="00BD4806"/>
    <w:rsid w:val="00BD481A"/>
    <w:rsid w:val="00BD48B3"/>
    <w:rsid w:val="00BD48F6"/>
    <w:rsid w:val="00BD4931"/>
    <w:rsid w:val="00BD4935"/>
    <w:rsid w:val="00BD4951"/>
    <w:rsid w:val="00BD4968"/>
    <w:rsid w:val="00BD497E"/>
    <w:rsid w:val="00BD4996"/>
    <w:rsid w:val="00BD49B4"/>
    <w:rsid w:val="00BD49D8"/>
    <w:rsid w:val="00BD49ED"/>
    <w:rsid w:val="00BD49F3"/>
    <w:rsid w:val="00BD4A1B"/>
    <w:rsid w:val="00BD4A21"/>
    <w:rsid w:val="00BD4A4B"/>
    <w:rsid w:val="00BD4A54"/>
    <w:rsid w:val="00BD4ACE"/>
    <w:rsid w:val="00BD4B04"/>
    <w:rsid w:val="00BD4B4B"/>
    <w:rsid w:val="00BD4B60"/>
    <w:rsid w:val="00BD4B8D"/>
    <w:rsid w:val="00BD4BC2"/>
    <w:rsid w:val="00BD4BD7"/>
    <w:rsid w:val="00BD4C00"/>
    <w:rsid w:val="00BD4C35"/>
    <w:rsid w:val="00BD4CB9"/>
    <w:rsid w:val="00BD4D03"/>
    <w:rsid w:val="00BD4D08"/>
    <w:rsid w:val="00BD4D41"/>
    <w:rsid w:val="00BD4E20"/>
    <w:rsid w:val="00BD4E7D"/>
    <w:rsid w:val="00BD4E91"/>
    <w:rsid w:val="00BD4E9F"/>
    <w:rsid w:val="00BD4EA0"/>
    <w:rsid w:val="00BD4EAA"/>
    <w:rsid w:val="00BD4EBA"/>
    <w:rsid w:val="00BD4F27"/>
    <w:rsid w:val="00BD4F3F"/>
    <w:rsid w:val="00BD4F5C"/>
    <w:rsid w:val="00BD4FB3"/>
    <w:rsid w:val="00BD4FF9"/>
    <w:rsid w:val="00BD5062"/>
    <w:rsid w:val="00BD509E"/>
    <w:rsid w:val="00BD50BA"/>
    <w:rsid w:val="00BD5155"/>
    <w:rsid w:val="00BD516C"/>
    <w:rsid w:val="00BD5182"/>
    <w:rsid w:val="00BD51C2"/>
    <w:rsid w:val="00BD51CB"/>
    <w:rsid w:val="00BD51F0"/>
    <w:rsid w:val="00BD5210"/>
    <w:rsid w:val="00BD5246"/>
    <w:rsid w:val="00BD524D"/>
    <w:rsid w:val="00BD52D1"/>
    <w:rsid w:val="00BD5340"/>
    <w:rsid w:val="00BD536D"/>
    <w:rsid w:val="00BD5380"/>
    <w:rsid w:val="00BD539A"/>
    <w:rsid w:val="00BD539F"/>
    <w:rsid w:val="00BD53D2"/>
    <w:rsid w:val="00BD53D9"/>
    <w:rsid w:val="00BD53EE"/>
    <w:rsid w:val="00BD5413"/>
    <w:rsid w:val="00BD5429"/>
    <w:rsid w:val="00BD542F"/>
    <w:rsid w:val="00BD5467"/>
    <w:rsid w:val="00BD54B5"/>
    <w:rsid w:val="00BD54DE"/>
    <w:rsid w:val="00BD5508"/>
    <w:rsid w:val="00BD5520"/>
    <w:rsid w:val="00BD55E6"/>
    <w:rsid w:val="00BD5641"/>
    <w:rsid w:val="00BD5654"/>
    <w:rsid w:val="00BD5691"/>
    <w:rsid w:val="00BD56C8"/>
    <w:rsid w:val="00BD56F5"/>
    <w:rsid w:val="00BD5709"/>
    <w:rsid w:val="00BD570A"/>
    <w:rsid w:val="00BD5723"/>
    <w:rsid w:val="00BD5742"/>
    <w:rsid w:val="00BD5779"/>
    <w:rsid w:val="00BD578D"/>
    <w:rsid w:val="00BD5791"/>
    <w:rsid w:val="00BD57AC"/>
    <w:rsid w:val="00BD57D0"/>
    <w:rsid w:val="00BD57F6"/>
    <w:rsid w:val="00BD5852"/>
    <w:rsid w:val="00BD5874"/>
    <w:rsid w:val="00BD58BC"/>
    <w:rsid w:val="00BD58F3"/>
    <w:rsid w:val="00BD58FB"/>
    <w:rsid w:val="00BD5904"/>
    <w:rsid w:val="00BD591B"/>
    <w:rsid w:val="00BD5A35"/>
    <w:rsid w:val="00BD5A3A"/>
    <w:rsid w:val="00BD5AE3"/>
    <w:rsid w:val="00BD5AF0"/>
    <w:rsid w:val="00BD5B0C"/>
    <w:rsid w:val="00BD5B40"/>
    <w:rsid w:val="00BD5B80"/>
    <w:rsid w:val="00BD5BB8"/>
    <w:rsid w:val="00BD5BCC"/>
    <w:rsid w:val="00BD5BD7"/>
    <w:rsid w:val="00BD5BF3"/>
    <w:rsid w:val="00BD5CC9"/>
    <w:rsid w:val="00BD5CEA"/>
    <w:rsid w:val="00BD5D7E"/>
    <w:rsid w:val="00BD5D8C"/>
    <w:rsid w:val="00BD5D91"/>
    <w:rsid w:val="00BD5D9B"/>
    <w:rsid w:val="00BD5DA5"/>
    <w:rsid w:val="00BD5E1A"/>
    <w:rsid w:val="00BD5EEE"/>
    <w:rsid w:val="00BD5EF7"/>
    <w:rsid w:val="00BD5F1B"/>
    <w:rsid w:val="00BD5F52"/>
    <w:rsid w:val="00BD5F89"/>
    <w:rsid w:val="00BD5FB9"/>
    <w:rsid w:val="00BD5FE2"/>
    <w:rsid w:val="00BD6015"/>
    <w:rsid w:val="00BD608D"/>
    <w:rsid w:val="00BD6097"/>
    <w:rsid w:val="00BD61B2"/>
    <w:rsid w:val="00BD61C0"/>
    <w:rsid w:val="00BD61CA"/>
    <w:rsid w:val="00BD61E6"/>
    <w:rsid w:val="00BD6219"/>
    <w:rsid w:val="00BD622A"/>
    <w:rsid w:val="00BD6233"/>
    <w:rsid w:val="00BD623F"/>
    <w:rsid w:val="00BD6248"/>
    <w:rsid w:val="00BD62ED"/>
    <w:rsid w:val="00BD6312"/>
    <w:rsid w:val="00BD6326"/>
    <w:rsid w:val="00BD632E"/>
    <w:rsid w:val="00BD633E"/>
    <w:rsid w:val="00BD63D5"/>
    <w:rsid w:val="00BD63F6"/>
    <w:rsid w:val="00BD63F7"/>
    <w:rsid w:val="00BD6402"/>
    <w:rsid w:val="00BD642A"/>
    <w:rsid w:val="00BD642F"/>
    <w:rsid w:val="00BD6480"/>
    <w:rsid w:val="00BD64EA"/>
    <w:rsid w:val="00BD64F0"/>
    <w:rsid w:val="00BD6505"/>
    <w:rsid w:val="00BD653F"/>
    <w:rsid w:val="00BD6582"/>
    <w:rsid w:val="00BD65B7"/>
    <w:rsid w:val="00BD6613"/>
    <w:rsid w:val="00BD661A"/>
    <w:rsid w:val="00BD6668"/>
    <w:rsid w:val="00BD6677"/>
    <w:rsid w:val="00BD667E"/>
    <w:rsid w:val="00BD6681"/>
    <w:rsid w:val="00BD66D9"/>
    <w:rsid w:val="00BD66F3"/>
    <w:rsid w:val="00BD6730"/>
    <w:rsid w:val="00BD6785"/>
    <w:rsid w:val="00BD67AE"/>
    <w:rsid w:val="00BD6812"/>
    <w:rsid w:val="00BD6846"/>
    <w:rsid w:val="00BD6916"/>
    <w:rsid w:val="00BD6931"/>
    <w:rsid w:val="00BD69CA"/>
    <w:rsid w:val="00BD6A3D"/>
    <w:rsid w:val="00BD6AA1"/>
    <w:rsid w:val="00BD6AAA"/>
    <w:rsid w:val="00BD6AB7"/>
    <w:rsid w:val="00BD6ACB"/>
    <w:rsid w:val="00BD6AD1"/>
    <w:rsid w:val="00BD6B5A"/>
    <w:rsid w:val="00BD6BA5"/>
    <w:rsid w:val="00BD6BD4"/>
    <w:rsid w:val="00BD6CA7"/>
    <w:rsid w:val="00BD6D16"/>
    <w:rsid w:val="00BD6D1C"/>
    <w:rsid w:val="00BD6D82"/>
    <w:rsid w:val="00BD6E75"/>
    <w:rsid w:val="00BD6ECA"/>
    <w:rsid w:val="00BD6ED6"/>
    <w:rsid w:val="00BD6F45"/>
    <w:rsid w:val="00BD6F4B"/>
    <w:rsid w:val="00BD7008"/>
    <w:rsid w:val="00BD7039"/>
    <w:rsid w:val="00BD7087"/>
    <w:rsid w:val="00BD70E5"/>
    <w:rsid w:val="00BD7275"/>
    <w:rsid w:val="00BD729B"/>
    <w:rsid w:val="00BD72DB"/>
    <w:rsid w:val="00BD730C"/>
    <w:rsid w:val="00BD7321"/>
    <w:rsid w:val="00BD7357"/>
    <w:rsid w:val="00BD7362"/>
    <w:rsid w:val="00BD739A"/>
    <w:rsid w:val="00BD73D1"/>
    <w:rsid w:val="00BD73E8"/>
    <w:rsid w:val="00BD73F6"/>
    <w:rsid w:val="00BD7425"/>
    <w:rsid w:val="00BD744C"/>
    <w:rsid w:val="00BD7450"/>
    <w:rsid w:val="00BD7472"/>
    <w:rsid w:val="00BD7491"/>
    <w:rsid w:val="00BD74E7"/>
    <w:rsid w:val="00BD74F1"/>
    <w:rsid w:val="00BD7513"/>
    <w:rsid w:val="00BD7560"/>
    <w:rsid w:val="00BD75BC"/>
    <w:rsid w:val="00BD75C0"/>
    <w:rsid w:val="00BD75DA"/>
    <w:rsid w:val="00BD7619"/>
    <w:rsid w:val="00BD761F"/>
    <w:rsid w:val="00BD76FA"/>
    <w:rsid w:val="00BD76FC"/>
    <w:rsid w:val="00BD77A7"/>
    <w:rsid w:val="00BD780A"/>
    <w:rsid w:val="00BD78AA"/>
    <w:rsid w:val="00BD78B1"/>
    <w:rsid w:val="00BD78BB"/>
    <w:rsid w:val="00BD7939"/>
    <w:rsid w:val="00BD7948"/>
    <w:rsid w:val="00BD7973"/>
    <w:rsid w:val="00BD7987"/>
    <w:rsid w:val="00BD79C8"/>
    <w:rsid w:val="00BD79CE"/>
    <w:rsid w:val="00BD79E8"/>
    <w:rsid w:val="00BD7A21"/>
    <w:rsid w:val="00BD7A58"/>
    <w:rsid w:val="00BD7A5E"/>
    <w:rsid w:val="00BD7B18"/>
    <w:rsid w:val="00BD7B89"/>
    <w:rsid w:val="00BD7B9D"/>
    <w:rsid w:val="00BD7BE7"/>
    <w:rsid w:val="00BD7C2D"/>
    <w:rsid w:val="00BD7C74"/>
    <w:rsid w:val="00BD7C8A"/>
    <w:rsid w:val="00BD7CB2"/>
    <w:rsid w:val="00BD7D02"/>
    <w:rsid w:val="00BD7D15"/>
    <w:rsid w:val="00BD7D64"/>
    <w:rsid w:val="00BD7DA3"/>
    <w:rsid w:val="00BD7E32"/>
    <w:rsid w:val="00BD7E40"/>
    <w:rsid w:val="00BD7E99"/>
    <w:rsid w:val="00BD7EB8"/>
    <w:rsid w:val="00BD7EE8"/>
    <w:rsid w:val="00BD7EF5"/>
    <w:rsid w:val="00BD7F09"/>
    <w:rsid w:val="00BD7F16"/>
    <w:rsid w:val="00BD7F26"/>
    <w:rsid w:val="00BD7F2E"/>
    <w:rsid w:val="00BD7F37"/>
    <w:rsid w:val="00BD7F54"/>
    <w:rsid w:val="00BD7F8D"/>
    <w:rsid w:val="00BD7FEC"/>
    <w:rsid w:val="00BD7FF7"/>
    <w:rsid w:val="00BE0060"/>
    <w:rsid w:val="00BE0070"/>
    <w:rsid w:val="00BE00A8"/>
    <w:rsid w:val="00BE0104"/>
    <w:rsid w:val="00BE0115"/>
    <w:rsid w:val="00BE0121"/>
    <w:rsid w:val="00BE013E"/>
    <w:rsid w:val="00BE0152"/>
    <w:rsid w:val="00BE015F"/>
    <w:rsid w:val="00BE0164"/>
    <w:rsid w:val="00BE0191"/>
    <w:rsid w:val="00BE019D"/>
    <w:rsid w:val="00BE01CA"/>
    <w:rsid w:val="00BE01D4"/>
    <w:rsid w:val="00BE01DE"/>
    <w:rsid w:val="00BE01E7"/>
    <w:rsid w:val="00BE01E8"/>
    <w:rsid w:val="00BE0212"/>
    <w:rsid w:val="00BE0215"/>
    <w:rsid w:val="00BE0216"/>
    <w:rsid w:val="00BE026E"/>
    <w:rsid w:val="00BE02C7"/>
    <w:rsid w:val="00BE02E2"/>
    <w:rsid w:val="00BE02F1"/>
    <w:rsid w:val="00BE02FF"/>
    <w:rsid w:val="00BE030D"/>
    <w:rsid w:val="00BE0339"/>
    <w:rsid w:val="00BE035F"/>
    <w:rsid w:val="00BE042E"/>
    <w:rsid w:val="00BE0462"/>
    <w:rsid w:val="00BE047E"/>
    <w:rsid w:val="00BE049B"/>
    <w:rsid w:val="00BE0528"/>
    <w:rsid w:val="00BE0532"/>
    <w:rsid w:val="00BE054E"/>
    <w:rsid w:val="00BE0570"/>
    <w:rsid w:val="00BE05BC"/>
    <w:rsid w:val="00BE05C7"/>
    <w:rsid w:val="00BE05D4"/>
    <w:rsid w:val="00BE061A"/>
    <w:rsid w:val="00BE06CD"/>
    <w:rsid w:val="00BE06D2"/>
    <w:rsid w:val="00BE073C"/>
    <w:rsid w:val="00BE07AC"/>
    <w:rsid w:val="00BE07BD"/>
    <w:rsid w:val="00BE07FC"/>
    <w:rsid w:val="00BE0833"/>
    <w:rsid w:val="00BE08AB"/>
    <w:rsid w:val="00BE08EF"/>
    <w:rsid w:val="00BE094D"/>
    <w:rsid w:val="00BE0973"/>
    <w:rsid w:val="00BE0A01"/>
    <w:rsid w:val="00BE0A28"/>
    <w:rsid w:val="00BE0AB2"/>
    <w:rsid w:val="00BE0B1F"/>
    <w:rsid w:val="00BE0B29"/>
    <w:rsid w:val="00BE0B3A"/>
    <w:rsid w:val="00BE0B43"/>
    <w:rsid w:val="00BE0B91"/>
    <w:rsid w:val="00BE0C2B"/>
    <w:rsid w:val="00BE0C8C"/>
    <w:rsid w:val="00BE0CA6"/>
    <w:rsid w:val="00BE0CBB"/>
    <w:rsid w:val="00BE0D26"/>
    <w:rsid w:val="00BE0D37"/>
    <w:rsid w:val="00BE0D81"/>
    <w:rsid w:val="00BE0DB9"/>
    <w:rsid w:val="00BE0E1B"/>
    <w:rsid w:val="00BE0F18"/>
    <w:rsid w:val="00BE0F4D"/>
    <w:rsid w:val="00BE0F66"/>
    <w:rsid w:val="00BE0FB2"/>
    <w:rsid w:val="00BE0FDE"/>
    <w:rsid w:val="00BE0FF5"/>
    <w:rsid w:val="00BE101D"/>
    <w:rsid w:val="00BE1028"/>
    <w:rsid w:val="00BE1071"/>
    <w:rsid w:val="00BE109D"/>
    <w:rsid w:val="00BE1101"/>
    <w:rsid w:val="00BE1130"/>
    <w:rsid w:val="00BE1133"/>
    <w:rsid w:val="00BE115B"/>
    <w:rsid w:val="00BE1168"/>
    <w:rsid w:val="00BE118C"/>
    <w:rsid w:val="00BE11A0"/>
    <w:rsid w:val="00BE11A5"/>
    <w:rsid w:val="00BE11F5"/>
    <w:rsid w:val="00BE122C"/>
    <w:rsid w:val="00BE1268"/>
    <w:rsid w:val="00BE130B"/>
    <w:rsid w:val="00BE133F"/>
    <w:rsid w:val="00BE1346"/>
    <w:rsid w:val="00BE134D"/>
    <w:rsid w:val="00BE1381"/>
    <w:rsid w:val="00BE13D8"/>
    <w:rsid w:val="00BE13DF"/>
    <w:rsid w:val="00BE13F8"/>
    <w:rsid w:val="00BE13F9"/>
    <w:rsid w:val="00BE1412"/>
    <w:rsid w:val="00BE1502"/>
    <w:rsid w:val="00BE1508"/>
    <w:rsid w:val="00BE1535"/>
    <w:rsid w:val="00BE1547"/>
    <w:rsid w:val="00BE1595"/>
    <w:rsid w:val="00BE1598"/>
    <w:rsid w:val="00BE15A7"/>
    <w:rsid w:val="00BE15AC"/>
    <w:rsid w:val="00BE162D"/>
    <w:rsid w:val="00BE165D"/>
    <w:rsid w:val="00BE1668"/>
    <w:rsid w:val="00BE16BC"/>
    <w:rsid w:val="00BE1745"/>
    <w:rsid w:val="00BE177F"/>
    <w:rsid w:val="00BE1786"/>
    <w:rsid w:val="00BE179B"/>
    <w:rsid w:val="00BE17F0"/>
    <w:rsid w:val="00BE17F5"/>
    <w:rsid w:val="00BE1835"/>
    <w:rsid w:val="00BE18B2"/>
    <w:rsid w:val="00BE18C8"/>
    <w:rsid w:val="00BE18DC"/>
    <w:rsid w:val="00BE18DE"/>
    <w:rsid w:val="00BE1958"/>
    <w:rsid w:val="00BE19D5"/>
    <w:rsid w:val="00BE1A0E"/>
    <w:rsid w:val="00BE1A27"/>
    <w:rsid w:val="00BE1A79"/>
    <w:rsid w:val="00BE1A85"/>
    <w:rsid w:val="00BE1A8B"/>
    <w:rsid w:val="00BE1A97"/>
    <w:rsid w:val="00BE1AA1"/>
    <w:rsid w:val="00BE1AB9"/>
    <w:rsid w:val="00BE1AEF"/>
    <w:rsid w:val="00BE1BC9"/>
    <w:rsid w:val="00BE1C21"/>
    <w:rsid w:val="00BE1C2C"/>
    <w:rsid w:val="00BE1C63"/>
    <w:rsid w:val="00BE1C75"/>
    <w:rsid w:val="00BE1D3A"/>
    <w:rsid w:val="00BE1D52"/>
    <w:rsid w:val="00BE1D8B"/>
    <w:rsid w:val="00BE1DA2"/>
    <w:rsid w:val="00BE1E15"/>
    <w:rsid w:val="00BE1E2E"/>
    <w:rsid w:val="00BE1E30"/>
    <w:rsid w:val="00BE1E5D"/>
    <w:rsid w:val="00BE1F05"/>
    <w:rsid w:val="00BE1FD7"/>
    <w:rsid w:val="00BE203F"/>
    <w:rsid w:val="00BE2046"/>
    <w:rsid w:val="00BE2069"/>
    <w:rsid w:val="00BE20A1"/>
    <w:rsid w:val="00BE20A4"/>
    <w:rsid w:val="00BE20CB"/>
    <w:rsid w:val="00BE210C"/>
    <w:rsid w:val="00BE2119"/>
    <w:rsid w:val="00BE2174"/>
    <w:rsid w:val="00BE21AD"/>
    <w:rsid w:val="00BE230C"/>
    <w:rsid w:val="00BE2313"/>
    <w:rsid w:val="00BE233A"/>
    <w:rsid w:val="00BE2353"/>
    <w:rsid w:val="00BE2356"/>
    <w:rsid w:val="00BE23B8"/>
    <w:rsid w:val="00BE23C5"/>
    <w:rsid w:val="00BE23F7"/>
    <w:rsid w:val="00BE240B"/>
    <w:rsid w:val="00BE245A"/>
    <w:rsid w:val="00BE248A"/>
    <w:rsid w:val="00BE24CB"/>
    <w:rsid w:val="00BE24CD"/>
    <w:rsid w:val="00BE251C"/>
    <w:rsid w:val="00BE2562"/>
    <w:rsid w:val="00BE2563"/>
    <w:rsid w:val="00BE25D7"/>
    <w:rsid w:val="00BE261A"/>
    <w:rsid w:val="00BE2648"/>
    <w:rsid w:val="00BE2740"/>
    <w:rsid w:val="00BE2743"/>
    <w:rsid w:val="00BE274E"/>
    <w:rsid w:val="00BE277F"/>
    <w:rsid w:val="00BE27BB"/>
    <w:rsid w:val="00BE27C1"/>
    <w:rsid w:val="00BE27D0"/>
    <w:rsid w:val="00BE27E4"/>
    <w:rsid w:val="00BE27F0"/>
    <w:rsid w:val="00BE2800"/>
    <w:rsid w:val="00BE280C"/>
    <w:rsid w:val="00BE280E"/>
    <w:rsid w:val="00BE287F"/>
    <w:rsid w:val="00BE2916"/>
    <w:rsid w:val="00BE2927"/>
    <w:rsid w:val="00BE292D"/>
    <w:rsid w:val="00BE2948"/>
    <w:rsid w:val="00BE298D"/>
    <w:rsid w:val="00BE29AF"/>
    <w:rsid w:val="00BE29D8"/>
    <w:rsid w:val="00BE2A03"/>
    <w:rsid w:val="00BE2A23"/>
    <w:rsid w:val="00BE2A2F"/>
    <w:rsid w:val="00BE2A7F"/>
    <w:rsid w:val="00BE2ACE"/>
    <w:rsid w:val="00BE2AD5"/>
    <w:rsid w:val="00BE2B5D"/>
    <w:rsid w:val="00BE2B97"/>
    <w:rsid w:val="00BE2BDE"/>
    <w:rsid w:val="00BE2C0A"/>
    <w:rsid w:val="00BE2C14"/>
    <w:rsid w:val="00BE2C38"/>
    <w:rsid w:val="00BE2C53"/>
    <w:rsid w:val="00BE2C7C"/>
    <w:rsid w:val="00BE2CAB"/>
    <w:rsid w:val="00BE2CFA"/>
    <w:rsid w:val="00BE2D01"/>
    <w:rsid w:val="00BE2D4D"/>
    <w:rsid w:val="00BE2D4E"/>
    <w:rsid w:val="00BE2D87"/>
    <w:rsid w:val="00BE2DB9"/>
    <w:rsid w:val="00BE2DC5"/>
    <w:rsid w:val="00BE2DCC"/>
    <w:rsid w:val="00BE2DD5"/>
    <w:rsid w:val="00BE2E92"/>
    <w:rsid w:val="00BE2EA2"/>
    <w:rsid w:val="00BE2EBC"/>
    <w:rsid w:val="00BE2ECA"/>
    <w:rsid w:val="00BE2F13"/>
    <w:rsid w:val="00BE2F72"/>
    <w:rsid w:val="00BE2F7D"/>
    <w:rsid w:val="00BE2FBE"/>
    <w:rsid w:val="00BE3061"/>
    <w:rsid w:val="00BE311C"/>
    <w:rsid w:val="00BE3129"/>
    <w:rsid w:val="00BE3134"/>
    <w:rsid w:val="00BE3196"/>
    <w:rsid w:val="00BE31A2"/>
    <w:rsid w:val="00BE31D8"/>
    <w:rsid w:val="00BE3210"/>
    <w:rsid w:val="00BE321D"/>
    <w:rsid w:val="00BE322F"/>
    <w:rsid w:val="00BE3238"/>
    <w:rsid w:val="00BE325C"/>
    <w:rsid w:val="00BE3287"/>
    <w:rsid w:val="00BE3298"/>
    <w:rsid w:val="00BE329B"/>
    <w:rsid w:val="00BE32FE"/>
    <w:rsid w:val="00BE331B"/>
    <w:rsid w:val="00BE33E2"/>
    <w:rsid w:val="00BE341B"/>
    <w:rsid w:val="00BE3428"/>
    <w:rsid w:val="00BE34E8"/>
    <w:rsid w:val="00BE355A"/>
    <w:rsid w:val="00BE3581"/>
    <w:rsid w:val="00BE3593"/>
    <w:rsid w:val="00BE35C2"/>
    <w:rsid w:val="00BE35C4"/>
    <w:rsid w:val="00BE3606"/>
    <w:rsid w:val="00BE3623"/>
    <w:rsid w:val="00BE362B"/>
    <w:rsid w:val="00BE362C"/>
    <w:rsid w:val="00BE3666"/>
    <w:rsid w:val="00BE3686"/>
    <w:rsid w:val="00BE36B2"/>
    <w:rsid w:val="00BE36BD"/>
    <w:rsid w:val="00BE36C9"/>
    <w:rsid w:val="00BE36ED"/>
    <w:rsid w:val="00BE3799"/>
    <w:rsid w:val="00BE3818"/>
    <w:rsid w:val="00BE3847"/>
    <w:rsid w:val="00BE384F"/>
    <w:rsid w:val="00BE388B"/>
    <w:rsid w:val="00BE38D3"/>
    <w:rsid w:val="00BE3949"/>
    <w:rsid w:val="00BE3958"/>
    <w:rsid w:val="00BE395D"/>
    <w:rsid w:val="00BE399E"/>
    <w:rsid w:val="00BE39C8"/>
    <w:rsid w:val="00BE39CB"/>
    <w:rsid w:val="00BE39D7"/>
    <w:rsid w:val="00BE39D9"/>
    <w:rsid w:val="00BE39F3"/>
    <w:rsid w:val="00BE3A3F"/>
    <w:rsid w:val="00BE3A5D"/>
    <w:rsid w:val="00BE3A77"/>
    <w:rsid w:val="00BE3A8A"/>
    <w:rsid w:val="00BE3A8F"/>
    <w:rsid w:val="00BE3AD5"/>
    <w:rsid w:val="00BE3ADD"/>
    <w:rsid w:val="00BE3AF1"/>
    <w:rsid w:val="00BE3B55"/>
    <w:rsid w:val="00BE3BC5"/>
    <w:rsid w:val="00BE3BC9"/>
    <w:rsid w:val="00BE3BCF"/>
    <w:rsid w:val="00BE3C05"/>
    <w:rsid w:val="00BE3C32"/>
    <w:rsid w:val="00BE3C37"/>
    <w:rsid w:val="00BE3C54"/>
    <w:rsid w:val="00BE3C9D"/>
    <w:rsid w:val="00BE3CFB"/>
    <w:rsid w:val="00BE3D0A"/>
    <w:rsid w:val="00BE3D1B"/>
    <w:rsid w:val="00BE3DCE"/>
    <w:rsid w:val="00BE3E2C"/>
    <w:rsid w:val="00BE3E5E"/>
    <w:rsid w:val="00BE3E76"/>
    <w:rsid w:val="00BE3EA8"/>
    <w:rsid w:val="00BE3EAC"/>
    <w:rsid w:val="00BE3EBB"/>
    <w:rsid w:val="00BE3F26"/>
    <w:rsid w:val="00BE3F63"/>
    <w:rsid w:val="00BE3FB0"/>
    <w:rsid w:val="00BE3FC3"/>
    <w:rsid w:val="00BE4002"/>
    <w:rsid w:val="00BE4047"/>
    <w:rsid w:val="00BE406B"/>
    <w:rsid w:val="00BE4136"/>
    <w:rsid w:val="00BE419E"/>
    <w:rsid w:val="00BE41EF"/>
    <w:rsid w:val="00BE4200"/>
    <w:rsid w:val="00BE4295"/>
    <w:rsid w:val="00BE42A6"/>
    <w:rsid w:val="00BE42AA"/>
    <w:rsid w:val="00BE4303"/>
    <w:rsid w:val="00BE4313"/>
    <w:rsid w:val="00BE4335"/>
    <w:rsid w:val="00BE4378"/>
    <w:rsid w:val="00BE43CB"/>
    <w:rsid w:val="00BE43E0"/>
    <w:rsid w:val="00BE441D"/>
    <w:rsid w:val="00BE4480"/>
    <w:rsid w:val="00BE44C0"/>
    <w:rsid w:val="00BE44F5"/>
    <w:rsid w:val="00BE450D"/>
    <w:rsid w:val="00BE4512"/>
    <w:rsid w:val="00BE451D"/>
    <w:rsid w:val="00BE4523"/>
    <w:rsid w:val="00BE4548"/>
    <w:rsid w:val="00BE4670"/>
    <w:rsid w:val="00BE46C4"/>
    <w:rsid w:val="00BE4722"/>
    <w:rsid w:val="00BE47AE"/>
    <w:rsid w:val="00BE47DC"/>
    <w:rsid w:val="00BE4811"/>
    <w:rsid w:val="00BE481C"/>
    <w:rsid w:val="00BE4853"/>
    <w:rsid w:val="00BE4873"/>
    <w:rsid w:val="00BE48B0"/>
    <w:rsid w:val="00BE48B6"/>
    <w:rsid w:val="00BE48C7"/>
    <w:rsid w:val="00BE494E"/>
    <w:rsid w:val="00BE495C"/>
    <w:rsid w:val="00BE4968"/>
    <w:rsid w:val="00BE4978"/>
    <w:rsid w:val="00BE497B"/>
    <w:rsid w:val="00BE4989"/>
    <w:rsid w:val="00BE4995"/>
    <w:rsid w:val="00BE49AC"/>
    <w:rsid w:val="00BE49B6"/>
    <w:rsid w:val="00BE49E1"/>
    <w:rsid w:val="00BE49FD"/>
    <w:rsid w:val="00BE4A2D"/>
    <w:rsid w:val="00BE4A74"/>
    <w:rsid w:val="00BE4A7A"/>
    <w:rsid w:val="00BE4A81"/>
    <w:rsid w:val="00BE4A8D"/>
    <w:rsid w:val="00BE4AA2"/>
    <w:rsid w:val="00BE4AC9"/>
    <w:rsid w:val="00BE4AD3"/>
    <w:rsid w:val="00BE4B8F"/>
    <w:rsid w:val="00BE4B97"/>
    <w:rsid w:val="00BE4BB1"/>
    <w:rsid w:val="00BE4BFD"/>
    <w:rsid w:val="00BE4C34"/>
    <w:rsid w:val="00BE4CAF"/>
    <w:rsid w:val="00BE4CD8"/>
    <w:rsid w:val="00BE4CE3"/>
    <w:rsid w:val="00BE4D2A"/>
    <w:rsid w:val="00BE4D36"/>
    <w:rsid w:val="00BE4DBB"/>
    <w:rsid w:val="00BE4DBD"/>
    <w:rsid w:val="00BE4DE5"/>
    <w:rsid w:val="00BE4E01"/>
    <w:rsid w:val="00BE4E7A"/>
    <w:rsid w:val="00BE4ED5"/>
    <w:rsid w:val="00BE4EDE"/>
    <w:rsid w:val="00BE4F71"/>
    <w:rsid w:val="00BE4FCB"/>
    <w:rsid w:val="00BE4FE9"/>
    <w:rsid w:val="00BE501A"/>
    <w:rsid w:val="00BE501F"/>
    <w:rsid w:val="00BE508D"/>
    <w:rsid w:val="00BE5092"/>
    <w:rsid w:val="00BE50D8"/>
    <w:rsid w:val="00BE5125"/>
    <w:rsid w:val="00BE5140"/>
    <w:rsid w:val="00BE5141"/>
    <w:rsid w:val="00BE5171"/>
    <w:rsid w:val="00BE5191"/>
    <w:rsid w:val="00BE519B"/>
    <w:rsid w:val="00BE51BC"/>
    <w:rsid w:val="00BE51C3"/>
    <w:rsid w:val="00BE51C7"/>
    <w:rsid w:val="00BE522E"/>
    <w:rsid w:val="00BE5234"/>
    <w:rsid w:val="00BE5258"/>
    <w:rsid w:val="00BE526E"/>
    <w:rsid w:val="00BE5320"/>
    <w:rsid w:val="00BE5324"/>
    <w:rsid w:val="00BE534F"/>
    <w:rsid w:val="00BE5456"/>
    <w:rsid w:val="00BE545F"/>
    <w:rsid w:val="00BE54BB"/>
    <w:rsid w:val="00BE54D4"/>
    <w:rsid w:val="00BE5529"/>
    <w:rsid w:val="00BE552D"/>
    <w:rsid w:val="00BE553B"/>
    <w:rsid w:val="00BE5574"/>
    <w:rsid w:val="00BE558C"/>
    <w:rsid w:val="00BE55AE"/>
    <w:rsid w:val="00BE5615"/>
    <w:rsid w:val="00BE565F"/>
    <w:rsid w:val="00BE56CD"/>
    <w:rsid w:val="00BE57A7"/>
    <w:rsid w:val="00BE5825"/>
    <w:rsid w:val="00BE586C"/>
    <w:rsid w:val="00BE587D"/>
    <w:rsid w:val="00BE58A0"/>
    <w:rsid w:val="00BE58A6"/>
    <w:rsid w:val="00BE58B0"/>
    <w:rsid w:val="00BE58BE"/>
    <w:rsid w:val="00BE58D0"/>
    <w:rsid w:val="00BE5971"/>
    <w:rsid w:val="00BE597C"/>
    <w:rsid w:val="00BE59AD"/>
    <w:rsid w:val="00BE5A22"/>
    <w:rsid w:val="00BE5A49"/>
    <w:rsid w:val="00BE5AA5"/>
    <w:rsid w:val="00BE5AA6"/>
    <w:rsid w:val="00BE5AC7"/>
    <w:rsid w:val="00BE5B07"/>
    <w:rsid w:val="00BE5B39"/>
    <w:rsid w:val="00BE5C4B"/>
    <w:rsid w:val="00BE5C59"/>
    <w:rsid w:val="00BE5C8F"/>
    <w:rsid w:val="00BE5CB6"/>
    <w:rsid w:val="00BE5CD1"/>
    <w:rsid w:val="00BE5D39"/>
    <w:rsid w:val="00BE5D64"/>
    <w:rsid w:val="00BE5D91"/>
    <w:rsid w:val="00BE5D97"/>
    <w:rsid w:val="00BE5E54"/>
    <w:rsid w:val="00BE5EA6"/>
    <w:rsid w:val="00BE5ED1"/>
    <w:rsid w:val="00BE5EF5"/>
    <w:rsid w:val="00BE5EFC"/>
    <w:rsid w:val="00BE5F07"/>
    <w:rsid w:val="00BE5F14"/>
    <w:rsid w:val="00BE5F1C"/>
    <w:rsid w:val="00BE5F2D"/>
    <w:rsid w:val="00BE5F8F"/>
    <w:rsid w:val="00BE5FC4"/>
    <w:rsid w:val="00BE5FDB"/>
    <w:rsid w:val="00BE6033"/>
    <w:rsid w:val="00BE6045"/>
    <w:rsid w:val="00BE6065"/>
    <w:rsid w:val="00BE60D9"/>
    <w:rsid w:val="00BE60E8"/>
    <w:rsid w:val="00BE6151"/>
    <w:rsid w:val="00BE617A"/>
    <w:rsid w:val="00BE61E3"/>
    <w:rsid w:val="00BE6242"/>
    <w:rsid w:val="00BE6246"/>
    <w:rsid w:val="00BE62EA"/>
    <w:rsid w:val="00BE6331"/>
    <w:rsid w:val="00BE6397"/>
    <w:rsid w:val="00BE639B"/>
    <w:rsid w:val="00BE63BA"/>
    <w:rsid w:val="00BE6420"/>
    <w:rsid w:val="00BE643D"/>
    <w:rsid w:val="00BE646D"/>
    <w:rsid w:val="00BE6474"/>
    <w:rsid w:val="00BE649B"/>
    <w:rsid w:val="00BE64A8"/>
    <w:rsid w:val="00BE64C8"/>
    <w:rsid w:val="00BE64D7"/>
    <w:rsid w:val="00BE6506"/>
    <w:rsid w:val="00BE65AD"/>
    <w:rsid w:val="00BE65B1"/>
    <w:rsid w:val="00BE65BE"/>
    <w:rsid w:val="00BE65D1"/>
    <w:rsid w:val="00BE6614"/>
    <w:rsid w:val="00BE6615"/>
    <w:rsid w:val="00BE669C"/>
    <w:rsid w:val="00BE66C6"/>
    <w:rsid w:val="00BE66F4"/>
    <w:rsid w:val="00BE66FB"/>
    <w:rsid w:val="00BE670C"/>
    <w:rsid w:val="00BE6738"/>
    <w:rsid w:val="00BE677F"/>
    <w:rsid w:val="00BE67BC"/>
    <w:rsid w:val="00BE67FB"/>
    <w:rsid w:val="00BE684F"/>
    <w:rsid w:val="00BE68CF"/>
    <w:rsid w:val="00BE68DC"/>
    <w:rsid w:val="00BE68DD"/>
    <w:rsid w:val="00BE6958"/>
    <w:rsid w:val="00BE6986"/>
    <w:rsid w:val="00BE69F2"/>
    <w:rsid w:val="00BE69FD"/>
    <w:rsid w:val="00BE6A0C"/>
    <w:rsid w:val="00BE6A85"/>
    <w:rsid w:val="00BE6A9F"/>
    <w:rsid w:val="00BE6ABF"/>
    <w:rsid w:val="00BE6B49"/>
    <w:rsid w:val="00BE6B5B"/>
    <w:rsid w:val="00BE6B92"/>
    <w:rsid w:val="00BE6BAF"/>
    <w:rsid w:val="00BE6BB4"/>
    <w:rsid w:val="00BE6BD3"/>
    <w:rsid w:val="00BE6BE5"/>
    <w:rsid w:val="00BE6C00"/>
    <w:rsid w:val="00BE6C20"/>
    <w:rsid w:val="00BE6CA8"/>
    <w:rsid w:val="00BE6CC6"/>
    <w:rsid w:val="00BE6CDA"/>
    <w:rsid w:val="00BE6D1E"/>
    <w:rsid w:val="00BE6D46"/>
    <w:rsid w:val="00BE6D5B"/>
    <w:rsid w:val="00BE6D7A"/>
    <w:rsid w:val="00BE6DB2"/>
    <w:rsid w:val="00BE6DD4"/>
    <w:rsid w:val="00BE6E0A"/>
    <w:rsid w:val="00BE6E3B"/>
    <w:rsid w:val="00BE6EA9"/>
    <w:rsid w:val="00BE6F05"/>
    <w:rsid w:val="00BE6F13"/>
    <w:rsid w:val="00BE6F60"/>
    <w:rsid w:val="00BE6F95"/>
    <w:rsid w:val="00BE6F9A"/>
    <w:rsid w:val="00BE6FF2"/>
    <w:rsid w:val="00BE7022"/>
    <w:rsid w:val="00BE7032"/>
    <w:rsid w:val="00BE705F"/>
    <w:rsid w:val="00BE7093"/>
    <w:rsid w:val="00BE70A0"/>
    <w:rsid w:val="00BE70A2"/>
    <w:rsid w:val="00BE70A8"/>
    <w:rsid w:val="00BE70F7"/>
    <w:rsid w:val="00BE7100"/>
    <w:rsid w:val="00BE7170"/>
    <w:rsid w:val="00BE7194"/>
    <w:rsid w:val="00BE71A5"/>
    <w:rsid w:val="00BE71B3"/>
    <w:rsid w:val="00BE71E6"/>
    <w:rsid w:val="00BE7219"/>
    <w:rsid w:val="00BE721A"/>
    <w:rsid w:val="00BE7221"/>
    <w:rsid w:val="00BE72E5"/>
    <w:rsid w:val="00BE732A"/>
    <w:rsid w:val="00BE734A"/>
    <w:rsid w:val="00BE7387"/>
    <w:rsid w:val="00BE7389"/>
    <w:rsid w:val="00BE739D"/>
    <w:rsid w:val="00BE73A3"/>
    <w:rsid w:val="00BE7423"/>
    <w:rsid w:val="00BE74DE"/>
    <w:rsid w:val="00BE752E"/>
    <w:rsid w:val="00BE75AA"/>
    <w:rsid w:val="00BE7691"/>
    <w:rsid w:val="00BE7699"/>
    <w:rsid w:val="00BE76A2"/>
    <w:rsid w:val="00BE76A9"/>
    <w:rsid w:val="00BE76B2"/>
    <w:rsid w:val="00BE76DB"/>
    <w:rsid w:val="00BE7706"/>
    <w:rsid w:val="00BE778B"/>
    <w:rsid w:val="00BE7832"/>
    <w:rsid w:val="00BE7838"/>
    <w:rsid w:val="00BE7843"/>
    <w:rsid w:val="00BE788F"/>
    <w:rsid w:val="00BE791B"/>
    <w:rsid w:val="00BE79BC"/>
    <w:rsid w:val="00BE79C9"/>
    <w:rsid w:val="00BE79E1"/>
    <w:rsid w:val="00BE79EC"/>
    <w:rsid w:val="00BE79FC"/>
    <w:rsid w:val="00BE7A03"/>
    <w:rsid w:val="00BE7A77"/>
    <w:rsid w:val="00BE7ABB"/>
    <w:rsid w:val="00BE7B42"/>
    <w:rsid w:val="00BE7B7F"/>
    <w:rsid w:val="00BE7BDB"/>
    <w:rsid w:val="00BE7BF0"/>
    <w:rsid w:val="00BE7BF5"/>
    <w:rsid w:val="00BE7C8C"/>
    <w:rsid w:val="00BE7CE6"/>
    <w:rsid w:val="00BE7D87"/>
    <w:rsid w:val="00BE7D98"/>
    <w:rsid w:val="00BE7DAE"/>
    <w:rsid w:val="00BE7DB3"/>
    <w:rsid w:val="00BE7E24"/>
    <w:rsid w:val="00BE7E65"/>
    <w:rsid w:val="00BE7E9D"/>
    <w:rsid w:val="00BE7EB7"/>
    <w:rsid w:val="00BE7EEE"/>
    <w:rsid w:val="00BE7F7B"/>
    <w:rsid w:val="00BE7FD0"/>
    <w:rsid w:val="00BF002F"/>
    <w:rsid w:val="00BF0048"/>
    <w:rsid w:val="00BF0064"/>
    <w:rsid w:val="00BF0089"/>
    <w:rsid w:val="00BF00CA"/>
    <w:rsid w:val="00BF013D"/>
    <w:rsid w:val="00BF01C7"/>
    <w:rsid w:val="00BF01E0"/>
    <w:rsid w:val="00BF01EE"/>
    <w:rsid w:val="00BF01F9"/>
    <w:rsid w:val="00BF02AC"/>
    <w:rsid w:val="00BF02BF"/>
    <w:rsid w:val="00BF0310"/>
    <w:rsid w:val="00BF0364"/>
    <w:rsid w:val="00BF03AA"/>
    <w:rsid w:val="00BF042E"/>
    <w:rsid w:val="00BF0466"/>
    <w:rsid w:val="00BF04B2"/>
    <w:rsid w:val="00BF051D"/>
    <w:rsid w:val="00BF05A7"/>
    <w:rsid w:val="00BF0628"/>
    <w:rsid w:val="00BF062F"/>
    <w:rsid w:val="00BF0636"/>
    <w:rsid w:val="00BF0654"/>
    <w:rsid w:val="00BF06D4"/>
    <w:rsid w:val="00BF06E1"/>
    <w:rsid w:val="00BF0712"/>
    <w:rsid w:val="00BF0754"/>
    <w:rsid w:val="00BF076E"/>
    <w:rsid w:val="00BF0776"/>
    <w:rsid w:val="00BF07BF"/>
    <w:rsid w:val="00BF081E"/>
    <w:rsid w:val="00BF0914"/>
    <w:rsid w:val="00BF092F"/>
    <w:rsid w:val="00BF0934"/>
    <w:rsid w:val="00BF0984"/>
    <w:rsid w:val="00BF09A7"/>
    <w:rsid w:val="00BF0A3D"/>
    <w:rsid w:val="00BF0A5E"/>
    <w:rsid w:val="00BF0A9C"/>
    <w:rsid w:val="00BF0A9D"/>
    <w:rsid w:val="00BF0B5A"/>
    <w:rsid w:val="00BF0BBB"/>
    <w:rsid w:val="00BF0BC4"/>
    <w:rsid w:val="00BF0BEC"/>
    <w:rsid w:val="00BF0C03"/>
    <w:rsid w:val="00BF0C0C"/>
    <w:rsid w:val="00BF0C56"/>
    <w:rsid w:val="00BF0C67"/>
    <w:rsid w:val="00BF0CA2"/>
    <w:rsid w:val="00BF0D0C"/>
    <w:rsid w:val="00BF0D49"/>
    <w:rsid w:val="00BF0D81"/>
    <w:rsid w:val="00BF0DD3"/>
    <w:rsid w:val="00BF0DD7"/>
    <w:rsid w:val="00BF0E0E"/>
    <w:rsid w:val="00BF0EA5"/>
    <w:rsid w:val="00BF0EB4"/>
    <w:rsid w:val="00BF0EEE"/>
    <w:rsid w:val="00BF0EF1"/>
    <w:rsid w:val="00BF0EF8"/>
    <w:rsid w:val="00BF0F00"/>
    <w:rsid w:val="00BF0F92"/>
    <w:rsid w:val="00BF0FC7"/>
    <w:rsid w:val="00BF0FE4"/>
    <w:rsid w:val="00BF102C"/>
    <w:rsid w:val="00BF102E"/>
    <w:rsid w:val="00BF1053"/>
    <w:rsid w:val="00BF1090"/>
    <w:rsid w:val="00BF10E1"/>
    <w:rsid w:val="00BF10F0"/>
    <w:rsid w:val="00BF1155"/>
    <w:rsid w:val="00BF118A"/>
    <w:rsid w:val="00BF1190"/>
    <w:rsid w:val="00BF11E2"/>
    <w:rsid w:val="00BF1223"/>
    <w:rsid w:val="00BF1224"/>
    <w:rsid w:val="00BF1231"/>
    <w:rsid w:val="00BF1237"/>
    <w:rsid w:val="00BF1255"/>
    <w:rsid w:val="00BF134D"/>
    <w:rsid w:val="00BF146B"/>
    <w:rsid w:val="00BF14C5"/>
    <w:rsid w:val="00BF14F1"/>
    <w:rsid w:val="00BF14F3"/>
    <w:rsid w:val="00BF14FB"/>
    <w:rsid w:val="00BF1579"/>
    <w:rsid w:val="00BF158A"/>
    <w:rsid w:val="00BF1599"/>
    <w:rsid w:val="00BF15DE"/>
    <w:rsid w:val="00BF15E2"/>
    <w:rsid w:val="00BF1604"/>
    <w:rsid w:val="00BF161F"/>
    <w:rsid w:val="00BF164E"/>
    <w:rsid w:val="00BF168F"/>
    <w:rsid w:val="00BF170E"/>
    <w:rsid w:val="00BF1740"/>
    <w:rsid w:val="00BF179A"/>
    <w:rsid w:val="00BF17CF"/>
    <w:rsid w:val="00BF1811"/>
    <w:rsid w:val="00BF181A"/>
    <w:rsid w:val="00BF181D"/>
    <w:rsid w:val="00BF1859"/>
    <w:rsid w:val="00BF185E"/>
    <w:rsid w:val="00BF188E"/>
    <w:rsid w:val="00BF1911"/>
    <w:rsid w:val="00BF192A"/>
    <w:rsid w:val="00BF1939"/>
    <w:rsid w:val="00BF195E"/>
    <w:rsid w:val="00BF198D"/>
    <w:rsid w:val="00BF1A36"/>
    <w:rsid w:val="00BF1A54"/>
    <w:rsid w:val="00BF1A67"/>
    <w:rsid w:val="00BF1A75"/>
    <w:rsid w:val="00BF1AC3"/>
    <w:rsid w:val="00BF1ADA"/>
    <w:rsid w:val="00BF1AF3"/>
    <w:rsid w:val="00BF1B9B"/>
    <w:rsid w:val="00BF1BCC"/>
    <w:rsid w:val="00BF1C5B"/>
    <w:rsid w:val="00BF1C9A"/>
    <w:rsid w:val="00BF1CBE"/>
    <w:rsid w:val="00BF1CDA"/>
    <w:rsid w:val="00BF1CF4"/>
    <w:rsid w:val="00BF1D41"/>
    <w:rsid w:val="00BF1D4F"/>
    <w:rsid w:val="00BF1DB1"/>
    <w:rsid w:val="00BF1E0D"/>
    <w:rsid w:val="00BF1E1F"/>
    <w:rsid w:val="00BF1E21"/>
    <w:rsid w:val="00BF1E8B"/>
    <w:rsid w:val="00BF1F2A"/>
    <w:rsid w:val="00BF1F2F"/>
    <w:rsid w:val="00BF1F3F"/>
    <w:rsid w:val="00BF1F51"/>
    <w:rsid w:val="00BF1F95"/>
    <w:rsid w:val="00BF1F9D"/>
    <w:rsid w:val="00BF1FC0"/>
    <w:rsid w:val="00BF1FCA"/>
    <w:rsid w:val="00BF2022"/>
    <w:rsid w:val="00BF205C"/>
    <w:rsid w:val="00BF207B"/>
    <w:rsid w:val="00BF2090"/>
    <w:rsid w:val="00BF20B1"/>
    <w:rsid w:val="00BF20E9"/>
    <w:rsid w:val="00BF20EB"/>
    <w:rsid w:val="00BF2115"/>
    <w:rsid w:val="00BF2129"/>
    <w:rsid w:val="00BF2139"/>
    <w:rsid w:val="00BF216B"/>
    <w:rsid w:val="00BF21AE"/>
    <w:rsid w:val="00BF21D2"/>
    <w:rsid w:val="00BF224A"/>
    <w:rsid w:val="00BF2297"/>
    <w:rsid w:val="00BF22AC"/>
    <w:rsid w:val="00BF22B1"/>
    <w:rsid w:val="00BF22D4"/>
    <w:rsid w:val="00BF22FA"/>
    <w:rsid w:val="00BF230D"/>
    <w:rsid w:val="00BF231D"/>
    <w:rsid w:val="00BF2336"/>
    <w:rsid w:val="00BF235C"/>
    <w:rsid w:val="00BF2361"/>
    <w:rsid w:val="00BF2395"/>
    <w:rsid w:val="00BF23B6"/>
    <w:rsid w:val="00BF23F5"/>
    <w:rsid w:val="00BF2417"/>
    <w:rsid w:val="00BF2455"/>
    <w:rsid w:val="00BF2489"/>
    <w:rsid w:val="00BF248A"/>
    <w:rsid w:val="00BF2496"/>
    <w:rsid w:val="00BF24ED"/>
    <w:rsid w:val="00BF2502"/>
    <w:rsid w:val="00BF2521"/>
    <w:rsid w:val="00BF254B"/>
    <w:rsid w:val="00BF256B"/>
    <w:rsid w:val="00BF261D"/>
    <w:rsid w:val="00BF2623"/>
    <w:rsid w:val="00BF266E"/>
    <w:rsid w:val="00BF2679"/>
    <w:rsid w:val="00BF267C"/>
    <w:rsid w:val="00BF26B2"/>
    <w:rsid w:val="00BF2773"/>
    <w:rsid w:val="00BF27A8"/>
    <w:rsid w:val="00BF285F"/>
    <w:rsid w:val="00BF2871"/>
    <w:rsid w:val="00BF2895"/>
    <w:rsid w:val="00BF2929"/>
    <w:rsid w:val="00BF2933"/>
    <w:rsid w:val="00BF2959"/>
    <w:rsid w:val="00BF2977"/>
    <w:rsid w:val="00BF29AD"/>
    <w:rsid w:val="00BF29B3"/>
    <w:rsid w:val="00BF29B5"/>
    <w:rsid w:val="00BF29DC"/>
    <w:rsid w:val="00BF29E5"/>
    <w:rsid w:val="00BF29E9"/>
    <w:rsid w:val="00BF2A6D"/>
    <w:rsid w:val="00BF2A8A"/>
    <w:rsid w:val="00BF2B11"/>
    <w:rsid w:val="00BF2B5D"/>
    <w:rsid w:val="00BF2B5F"/>
    <w:rsid w:val="00BF2BB9"/>
    <w:rsid w:val="00BF2D2F"/>
    <w:rsid w:val="00BF2D33"/>
    <w:rsid w:val="00BF2D68"/>
    <w:rsid w:val="00BF2DB8"/>
    <w:rsid w:val="00BF2DBA"/>
    <w:rsid w:val="00BF2DEC"/>
    <w:rsid w:val="00BF2E36"/>
    <w:rsid w:val="00BF2EA0"/>
    <w:rsid w:val="00BF2EC7"/>
    <w:rsid w:val="00BF2ED2"/>
    <w:rsid w:val="00BF2ED3"/>
    <w:rsid w:val="00BF2ED7"/>
    <w:rsid w:val="00BF2EF7"/>
    <w:rsid w:val="00BF2F6C"/>
    <w:rsid w:val="00BF2F8D"/>
    <w:rsid w:val="00BF2FB3"/>
    <w:rsid w:val="00BF2FE3"/>
    <w:rsid w:val="00BF309A"/>
    <w:rsid w:val="00BF30B9"/>
    <w:rsid w:val="00BF30D3"/>
    <w:rsid w:val="00BF3125"/>
    <w:rsid w:val="00BF312A"/>
    <w:rsid w:val="00BF316E"/>
    <w:rsid w:val="00BF319F"/>
    <w:rsid w:val="00BF31DA"/>
    <w:rsid w:val="00BF31E7"/>
    <w:rsid w:val="00BF3220"/>
    <w:rsid w:val="00BF325B"/>
    <w:rsid w:val="00BF32AB"/>
    <w:rsid w:val="00BF32C5"/>
    <w:rsid w:val="00BF32E6"/>
    <w:rsid w:val="00BF3359"/>
    <w:rsid w:val="00BF33A5"/>
    <w:rsid w:val="00BF33BB"/>
    <w:rsid w:val="00BF33CC"/>
    <w:rsid w:val="00BF3427"/>
    <w:rsid w:val="00BF3449"/>
    <w:rsid w:val="00BF3451"/>
    <w:rsid w:val="00BF3453"/>
    <w:rsid w:val="00BF346D"/>
    <w:rsid w:val="00BF347B"/>
    <w:rsid w:val="00BF3533"/>
    <w:rsid w:val="00BF35B8"/>
    <w:rsid w:val="00BF35EF"/>
    <w:rsid w:val="00BF36AE"/>
    <w:rsid w:val="00BF36BB"/>
    <w:rsid w:val="00BF36D1"/>
    <w:rsid w:val="00BF36ED"/>
    <w:rsid w:val="00BF36FB"/>
    <w:rsid w:val="00BF370C"/>
    <w:rsid w:val="00BF3712"/>
    <w:rsid w:val="00BF371D"/>
    <w:rsid w:val="00BF3756"/>
    <w:rsid w:val="00BF3772"/>
    <w:rsid w:val="00BF3779"/>
    <w:rsid w:val="00BF378B"/>
    <w:rsid w:val="00BF37A8"/>
    <w:rsid w:val="00BF37CE"/>
    <w:rsid w:val="00BF3815"/>
    <w:rsid w:val="00BF3818"/>
    <w:rsid w:val="00BF387E"/>
    <w:rsid w:val="00BF38C2"/>
    <w:rsid w:val="00BF392E"/>
    <w:rsid w:val="00BF3989"/>
    <w:rsid w:val="00BF398E"/>
    <w:rsid w:val="00BF3A12"/>
    <w:rsid w:val="00BF3A18"/>
    <w:rsid w:val="00BF3A55"/>
    <w:rsid w:val="00BF3A77"/>
    <w:rsid w:val="00BF3A99"/>
    <w:rsid w:val="00BF3AC7"/>
    <w:rsid w:val="00BF3AEE"/>
    <w:rsid w:val="00BF3B39"/>
    <w:rsid w:val="00BF3B6E"/>
    <w:rsid w:val="00BF3BA0"/>
    <w:rsid w:val="00BF3BB1"/>
    <w:rsid w:val="00BF3BE4"/>
    <w:rsid w:val="00BF3C7B"/>
    <w:rsid w:val="00BF3CF1"/>
    <w:rsid w:val="00BF3DAE"/>
    <w:rsid w:val="00BF3DBA"/>
    <w:rsid w:val="00BF3DC5"/>
    <w:rsid w:val="00BF3DFF"/>
    <w:rsid w:val="00BF3E3C"/>
    <w:rsid w:val="00BF3E58"/>
    <w:rsid w:val="00BF3E5D"/>
    <w:rsid w:val="00BF3F2B"/>
    <w:rsid w:val="00BF3F74"/>
    <w:rsid w:val="00BF3FC5"/>
    <w:rsid w:val="00BF3FE2"/>
    <w:rsid w:val="00BF3FE5"/>
    <w:rsid w:val="00BF3FF9"/>
    <w:rsid w:val="00BF3FFF"/>
    <w:rsid w:val="00BF4046"/>
    <w:rsid w:val="00BF4063"/>
    <w:rsid w:val="00BF4084"/>
    <w:rsid w:val="00BF40A3"/>
    <w:rsid w:val="00BF40DB"/>
    <w:rsid w:val="00BF40E5"/>
    <w:rsid w:val="00BF4119"/>
    <w:rsid w:val="00BF414B"/>
    <w:rsid w:val="00BF415B"/>
    <w:rsid w:val="00BF41C3"/>
    <w:rsid w:val="00BF41D3"/>
    <w:rsid w:val="00BF41F4"/>
    <w:rsid w:val="00BF420A"/>
    <w:rsid w:val="00BF4230"/>
    <w:rsid w:val="00BF4294"/>
    <w:rsid w:val="00BF42A7"/>
    <w:rsid w:val="00BF42D6"/>
    <w:rsid w:val="00BF4355"/>
    <w:rsid w:val="00BF43A8"/>
    <w:rsid w:val="00BF43CF"/>
    <w:rsid w:val="00BF43DF"/>
    <w:rsid w:val="00BF43EC"/>
    <w:rsid w:val="00BF440A"/>
    <w:rsid w:val="00BF4418"/>
    <w:rsid w:val="00BF4494"/>
    <w:rsid w:val="00BF4516"/>
    <w:rsid w:val="00BF4579"/>
    <w:rsid w:val="00BF45A6"/>
    <w:rsid w:val="00BF45D0"/>
    <w:rsid w:val="00BF4625"/>
    <w:rsid w:val="00BF4646"/>
    <w:rsid w:val="00BF4659"/>
    <w:rsid w:val="00BF467D"/>
    <w:rsid w:val="00BF4686"/>
    <w:rsid w:val="00BF46C9"/>
    <w:rsid w:val="00BF46E1"/>
    <w:rsid w:val="00BF470C"/>
    <w:rsid w:val="00BF4747"/>
    <w:rsid w:val="00BF47CF"/>
    <w:rsid w:val="00BF47FC"/>
    <w:rsid w:val="00BF4805"/>
    <w:rsid w:val="00BF4849"/>
    <w:rsid w:val="00BF4873"/>
    <w:rsid w:val="00BF48A3"/>
    <w:rsid w:val="00BF48C7"/>
    <w:rsid w:val="00BF491E"/>
    <w:rsid w:val="00BF49CE"/>
    <w:rsid w:val="00BF4A39"/>
    <w:rsid w:val="00BF4A63"/>
    <w:rsid w:val="00BF4AF9"/>
    <w:rsid w:val="00BF4AFC"/>
    <w:rsid w:val="00BF4B25"/>
    <w:rsid w:val="00BF4B45"/>
    <w:rsid w:val="00BF4B4B"/>
    <w:rsid w:val="00BF4BAD"/>
    <w:rsid w:val="00BF4BF5"/>
    <w:rsid w:val="00BF4C89"/>
    <w:rsid w:val="00BF4CD4"/>
    <w:rsid w:val="00BF4D12"/>
    <w:rsid w:val="00BF4D3E"/>
    <w:rsid w:val="00BF4D88"/>
    <w:rsid w:val="00BF4E71"/>
    <w:rsid w:val="00BF4E80"/>
    <w:rsid w:val="00BF4EFC"/>
    <w:rsid w:val="00BF4F37"/>
    <w:rsid w:val="00BF4F91"/>
    <w:rsid w:val="00BF4FD6"/>
    <w:rsid w:val="00BF501C"/>
    <w:rsid w:val="00BF5067"/>
    <w:rsid w:val="00BF50A2"/>
    <w:rsid w:val="00BF5112"/>
    <w:rsid w:val="00BF511E"/>
    <w:rsid w:val="00BF5166"/>
    <w:rsid w:val="00BF517E"/>
    <w:rsid w:val="00BF519F"/>
    <w:rsid w:val="00BF51B0"/>
    <w:rsid w:val="00BF51B7"/>
    <w:rsid w:val="00BF521C"/>
    <w:rsid w:val="00BF524F"/>
    <w:rsid w:val="00BF525B"/>
    <w:rsid w:val="00BF5268"/>
    <w:rsid w:val="00BF526C"/>
    <w:rsid w:val="00BF5353"/>
    <w:rsid w:val="00BF539F"/>
    <w:rsid w:val="00BF5413"/>
    <w:rsid w:val="00BF5454"/>
    <w:rsid w:val="00BF54B8"/>
    <w:rsid w:val="00BF5503"/>
    <w:rsid w:val="00BF5513"/>
    <w:rsid w:val="00BF5535"/>
    <w:rsid w:val="00BF557A"/>
    <w:rsid w:val="00BF55FA"/>
    <w:rsid w:val="00BF5619"/>
    <w:rsid w:val="00BF5666"/>
    <w:rsid w:val="00BF5690"/>
    <w:rsid w:val="00BF5752"/>
    <w:rsid w:val="00BF5766"/>
    <w:rsid w:val="00BF5815"/>
    <w:rsid w:val="00BF581A"/>
    <w:rsid w:val="00BF5831"/>
    <w:rsid w:val="00BF5856"/>
    <w:rsid w:val="00BF5870"/>
    <w:rsid w:val="00BF58CE"/>
    <w:rsid w:val="00BF58E7"/>
    <w:rsid w:val="00BF58E9"/>
    <w:rsid w:val="00BF593A"/>
    <w:rsid w:val="00BF5940"/>
    <w:rsid w:val="00BF596B"/>
    <w:rsid w:val="00BF5A49"/>
    <w:rsid w:val="00BF5AD9"/>
    <w:rsid w:val="00BF5AE9"/>
    <w:rsid w:val="00BF5AEB"/>
    <w:rsid w:val="00BF5B24"/>
    <w:rsid w:val="00BF5B8F"/>
    <w:rsid w:val="00BF5BA7"/>
    <w:rsid w:val="00BF5BEB"/>
    <w:rsid w:val="00BF5BF8"/>
    <w:rsid w:val="00BF5C8C"/>
    <w:rsid w:val="00BF5CB4"/>
    <w:rsid w:val="00BF5D2E"/>
    <w:rsid w:val="00BF5D53"/>
    <w:rsid w:val="00BF5D54"/>
    <w:rsid w:val="00BF5D75"/>
    <w:rsid w:val="00BF5DC2"/>
    <w:rsid w:val="00BF5DCA"/>
    <w:rsid w:val="00BF5E07"/>
    <w:rsid w:val="00BF5E33"/>
    <w:rsid w:val="00BF5E67"/>
    <w:rsid w:val="00BF5E8C"/>
    <w:rsid w:val="00BF5EEE"/>
    <w:rsid w:val="00BF5F32"/>
    <w:rsid w:val="00BF5F6D"/>
    <w:rsid w:val="00BF5F92"/>
    <w:rsid w:val="00BF5FE3"/>
    <w:rsid w:val="00BF5FEA"/>
    <w:rsid w:val="00BF606D"/>
    <w:rsid w:val="00BF607E"/>
    <w:rsid w:val="00BF607F"/>
    <w:rsid w:val="00BF60F1"/>
    <w:rsid w:val="00BF6109"/>
    <w:rsid w:val="00BF6146"/>
    <w:rsid w:val="00BF6179"/>
    <w:rsid w:val="00BF620C"/>
    <w:rsid w:val="00BF6220"/>
    <w:rsid w:val="00BF623D"/>
    <w:rsid w:val="00BF625C"/>
    <w:rsid w:val="00BF6264"/>
    <w:rsid w:val="00BF628B"/>
    <w:rsid w:val="00BF62BF"/>
    <w:rsid w:val="00BF62E2"/>
    <w:rsid w:val="00BF631B"/>
    <w:rsid w:val="00BF632B"/>
    <w:rsid w:val="00BF637B"/>
    <w:rsid w:val="00BF637C"/>
    <w:rsid w:val="00BF63C2"/>
    <w:rsid w:val="00BF63E0"/>
    <w:rsid w:val="00BF641E"/>
    <w:rsid w:val="00BF6428"/>
    <w:rsid w:val="00BF6459"/>
    <w:rsid w:val="00BF64A2"/>
    <w:rsid w:val="00BF6514"/>
    <w:rsid w:val="00BF6516"/>
    <w:rsid w:val="00BF6527"/>
    <w:rsid w:val="00BF655C"/>
    <w:rsid w:val="00BF6597"/>
    <w:rsid w:val="00BF65A5"/>
    <w:rsid w:val="00BF65B4"/>
    <w:rsid w:val="00BF65B7"/>
    <w:rsid w:val="00BF672D"/>
    <w:rsid w:val="00BF6740"/>
    <w:rsid w:val="00BF6747"/>
    <w:rsid w:val="00BF6752"/>
    <w:rsid w:val="00BF6779"/>
    <w:rsid w:val="00BF679F"/>
    <w:rsid w:val="00BF67D5"/>
    <w:rsid w:val="00BF67FF"/>
    <w:rsid w:val="00BF6806"/>
    <w:rsid w:val="00BF68A4"/>
    <w:rsid w:val="00BF68D6"/>
    <w:rsid w:val="00BF6997"/>
    <w:rsid w:val="00BF69AD"/>
    <w:rsid w:val="00BF69BC"/>
    <w:rsid w:val="00BF69D5"/>
    <w:rsid w:val="00BF6A26"/>
    <w:rsid w:val="00BF6AF3"/>
    <w:rsid w:val="00BF6B30"/>
    <w:rsid w:val="00BF6BB2"/>
    <w:rsid w:val="00BF6BE1"/>
    <w:rsid w:val="00BF6BEC"/>
    <w:rsid w:val="00BF6C0A"/>
    <w:rsid w:val="00BF6C4C"/>
    <w:rsid w:val="00BF6D34"/>
    <w:rsid w:val="00BF6D60"/>
    <w:rsid w:val="00BF6D96"/>
    <w:rsid w:val="00BF6D97"/>
    <w:rsid w:val="00BF6DAD"/>
    <w:rsid w:val="00BF6DB9"/>
    <w:rsid w:val="00BF6DBE"/>
    <w:rsid w:val="00BF6DC9"/>
    <w:rsid w:val="00BF6DCA"/>
    <w:rsid w:val="00BF6E30"/>
    <w:rsid w:val="00BF6E3C"/>
    <w:rsid w:val="00BF6E44"/>
    <w:rsid w:val="00BF6ED7"/>
    <w:rsid w:val="00BF6EDF"/>
    <w:rsid w:val="00BF6F0A"/>
    <w:rsid w:val="00BF6F4A"/>
    <w:rsid w:val="00BF6F7B"/>
    <w:rsid w:val="00BF6F81"/>
    <w:rsid w:val="00BF6FC6"/>
    <w:rsid w:val="00BF7041"/>
    <w:rsid w:val="00BF7068"/>
    <w:rsid w:val="00BF7075"/>
    <w:rsid w:val="00BF70A1"/>
    <w:rsid w:val="00BF70D7"/>
    <w:rsid w:val="00BF70DF"/>
    <w:rsid w:val="00BF70F9"/>
    <w:rsid w:val="00BF7153"/>
    <w:rsid w:val="00BF718B"/>
    <w:rsid w:val="00BF71AF"/>
    <w:rsid w:val="00BF7202"/>
    <w:rsid w:val="00BF7217"/>
    <w:rsid w:val="00BF7255"/>
    <w:rsid w:val="00BF7257"/>
    <w:rsid w:val="00BF725D"/>
    <w:rsid w:val="00BF7263"/>
    <w:rsid w:val="00BF72A5"/>
    <w:rsid w:val="00BF72A7"/>
    <w:rsid w:val="00BF741A"/>
    <w:rsid w:val="00BF7428"/>
    <w:rsid w:val="00BF747D"/>
    <w:rsid w:val="00BF74AF"/>
    <w:rsid w:val="00BF74CD"/>
    <w:rsid w:val="00BF74DC"/>
    <w:rsid w:val="00BF74EA"/>
    <w:rsid w:val="00BF7530"/>
    <w:rsid w:val="00BF764A"/>
    <w:rsid w:val="00BF764D"/>
    <w:rsid w:val="00BF768A"/>
    <w:rsid w:val="00BF76BC"/>
    <w:rsid w:val="00BF76DE"/>
    <w:rsid w:val="00BF7702"/>
    <w:rsid w:val="00BF771B"/>
    <w:rsid w:val="00BF7723"/>
    <w:rsid w:val="00BF773B"/>
    <w:rsid w:val="00BF7797"/>
    <w:rsid w:val="00BF77B6"/>
    <w:rsid w:val="00BF77BF"/>
    <w:rsid w:val="00BF77C9"/>
    <w:rsid w:val="00BF77E9"/>
    <w:rsid w:val="00BF77F1"/>
    <w:rsid w:val="00BF77FA"/>
    <w:rsid w:val="00BF7823"/>
    <w:rsid w:val="00BF783D"/>
    <w:rsid w:val="00BF7883"/>
    <w:rsid w:val="00BF78DB"/>
    <w:rsid w:val="00BF78E6"/>
    <w:rsid w:val="00BF791E"/>
    <w:rsid w:val="00BF7953"/>
    <w:rsid w:val="00BF798C"/>
    <w:rsid w:val="00BF7998"/>
    <w:rsid w:val="00BF79F3"/>
    <w:rsid w:val="00BF79F4"/>
    <w:rsid w:val="00BF7A2B"/>
    <w:rsid w:val="00BF7A31"/>
    <w:rsid w:val="00BF7A49"/>
    <w:rsid w:val="00BF7A87"/>
    <w:rsid w:val="00BF7AC9"/>
    <w:rsid w:val="00BF7AD3"/>
    <w:rsid w:val="00BF7B47"/>
    <w:rsid w:val="00BF7B7C"/>
    <w:rsid w:val="00BF7B87"/>
    <w:rsid w:val="00BF7BCA"/>
    <w:rsid w:val="00BF7C33"/>
    <w:rsid w:val="00BF7C4E"/>
    <w:rsid w:val="00BF7C9B"/>
    <w:rsid w:val="00BF7CBE"/>
    <w:rsid w:val="00BF7CCE"/>
    <w:rsid w:val="00BF7DD2"/>
    <w:rsid w:val="00BF7DDE"/>
    <w:rsid w:val="00BF7DF2"/>
    <w:rsid w:val="00BF7E89"/>
    <w:rsid w:val="00BF7E95"/>
    <w:rsid w:val="00BF7EA7"/>
    <w:rsid w:val="00BF7F8C"/>
    <w:rsid w:val="00BF7FC8"/>
    <w:rsid w:val="00BF7FCE"/>
    <w:rsid w:val="00BF7FF5"/>
    <w:rsid w:val="00C00000"/>
    <w:rsid w:val="00C00006"/>
    <w:rsid w:val="00C00015"/>
    <w:rsid w:val="00C0004A"/>
    <w:rsid w:val="00C0006F"/>
    <w:rsid w:val="00C000D8"/>
    <w:rsid w:val="00C0010D"/>
    <w:rsid w:val="00C00124"/>
    <w:rsid w:val="00C00144"/>
    <w:rsid w:val="00C0014A"/>
    <w:rsid w:val="00C00185"/>
    <w:rsid w:val="00C00192"/>
    <w:rsid w:val="00C00200"/>
    <w:rsid w:val="00C00221"/>
    <w:rsid w:val="00C0023A"/>
    <w:rsid w:val="00C0024A"/>
    <w:rsid w:val="00C00266"/>
    <w:rsid w:val="00C0027D"/>
    <w:rsid w:val="00C0029B"/>
    <w:rsid w:val="00C002D6"/>
    <w:rsid w:val="00C002DD"/>
    <w:rsid w:val="00C00315"/>
    <w:rsid w:val="00C0036A"/>
    <w:rsid w:val="00C00372"/>
    <w:rsid w:val="00C0037A"/>
    <w:rsid w:val="00C003C8"/>
    <w:rsid w:val="00C003D6"/>
    <w:rsid w:val="00C003E1"/>
    <w:rsid w:val="00C00464"/>
    <w:rsid w:val="00C004B2"/>
    <w:rsid w:val="00C004F0"/>
    <w:rsid w:val="00C005BD"/>
    <w:rsid w:val="00C005DF"/>
    <w:rsid w:val="00C00613"/>
    <w:rsid w:val="00C00651"/>
    <w:rsid w:val="00C00661"/>
    <w:rsid w:val="00C00670"/>
    <w:rsid w:val="00C0069E"/>
    <w:rsid w:val="00C006CD"/>
    <w:rsid w:val="00C00743"/>
    <w:rsid w:val="00C00757"/>
    <w:rsid w:val="00C00780"/>
    <w:rsid w:val="00C00799"/>
    <w:rsid w:val="00C007C3"/>
    <w:rsid w:val="00C0080A"/>
    <w:rsid w:val="00C008A6"/>
    <w:rsid w:val="00C008D4"/>
    <w:rsid w:val="00C008E5"/>
    <w:rsid w:val="00C008F0"/>
    <w:rsid w:val="00C008F3"/>
    <w:rsid w:val="00C00921"/>
    <w:rsid w:val="00C0094E"/>
    <w:rsid w:val="00C00981"/>
    <w:rsid w:val="00C00A24"/>
    <w:rsid w:val="00C00A3A"/>
    <w:rsid w:val="00C00A3E"/>
    <w:rsid w:val="00C00AAC"/>
    <w:rsid w:val="00C00ADA"/>
    <w:rsid w:val="00C00B66"/>
    <w:rsid w:val="00C00B69"/>
    <w:rsid w:val="00C00B94"/>
    <w:rsid w:val="00C00BB8"/>
    <w:rsid w:val="00C00C1B"/>
    <w:rsid w:val="00C00C48"/>
    <w:rsid w:val="00C00C84"/>
    <w:rsid w:val="00C00CBA"/>
    <w:rsid w:val="00C00D10"/>
    <w:rsid w:val="00C00D5A"/>
    <w:rsid w:val="00C00D80"/>
    <w:rsid w:val="00C00DA3"/>
    <w:rsid w:val="00C00E07"/>
    <w:rsid w:val="00C00E3D"/>
    <w:rsid w:val="00C00E45"/>
    <w:rsid w:val="00C00E6A"/>
    <w:rsid w:val="00C00E83"/>
    <w:rsid w:val="00C00E8C"/>
    <w:rsid w:val="00C00EC2"/>
    <w:rsid w:val="00C00EC3"/>
    <w:rsid w:val="00C00ED7"/>
    <w:rsid w:val="00C00EE5"/>
    <w:rsid w:val="00C00EF5"/>
    <w:rsid w:val="00C00F2A"/>
    <w:rsid w:val="00C00F43"/>
    <w:rsid w:val="00C00FCB"/>
    <w:rsid w:val="00C01016"/>
    <w:rsid w:val="00C0102D"/>
    <w:rsid w:val="00C01050"/>
    <w:rsid w:val="00C01062"/>
    <w:rsid w:val="00C010B9"/>
    <w:rsid w:val="00C010E2"/>
    <w:rsid w:val="00C0111E"/>
    <w:rsid w:val="00C0113D"/>
    <w:rsid w:val="00C0113E"/>
    <w:rsid w:val="00C01187"/>
    <w:rsid w:val="00C011BF"/>
    <w:rsid w:val="00C011ED"/>
    <w:rsid w:val="00C011FA"/>
    <w:rsid w:val="00C01259"/>
    <w:rsid w:val="00C01260"/>
    <w:rsid w:val="00C012A3"/>
    <w:rsid w:val="00C012D5"/>
    <w:rsid w:val="00C01347"/>
    <w:rsid w:val="00C01353"/>
    <w:rsid w:val="00C01399"/>
    <w:rsid w:val="00C013A0"/>
    <w:rsid w:val="00C013C9"/>
    <w:rsid w:val="00C01443"/>
    <w:rsid w:val="00C0146D"/>
    <w:rsid w:val="00C014A0"/>
    <w:rsid w:val="00C014FD"/>
    <w:rsid w:val="00C01539"/>
    <w:rsid w:val="00C01569"/>
    <w:rsid w:val="00C0158E"/>
    <w:rsid w:val="00C015AE"/>
    <w:rsid w:val="00C015B2"/>
    <w:rsid w:val="00C015B6"/>
    <w:rsid w:val="00C01634"/>
    <w:rsid w:val="00C01685"/>
    <w:rsid w:val="00C0168E"/>
    <w:rsid w:val="00C01704"/>
    <w:rsid w:val="00C01728"/>
    <w:rsid w:val="00C0174F"/>
    <w:rsid w:val="00C01753"/>
    <w:rsid w:val="00C0179A"/>
    <w:rsid w:val="00C017D4"/>
    <w:rsid w:val="00C0180B"/>
    <w:rsid w:val="00C0180F"/>
    <w:rsid w:val="00C01816"/>
    <w:rsid w:val="00C0183F"/>
    <w:rsid w:val="00C01850"/>
    <w:rsid w:val="00C01928"/>
    <w:rsid w:val="00C01931"/>
    <w:rsid w:val="00C01956"/>
    <w:rsid w:val="00C01958"/>
    <w:rsid w:val="00C01978"/>
    <w:rsid w:val="00C01985"/>
    <w:rsid w:val="00C019BA"/>
    <w:rsid w:val="00C019D0"/>
    <w:rsid w:val="00C019EF"/>
    <w:rsid w:val="00C01AB4"/>
    <w:rsid w:val="00C01B48"/>
    <w:rsid w:val="00C01B50"/>
    <w:rsid w:val="00C01BFA"/>
    <w:rsid w:val="00C01C04"/>
    <w:rsid w:val="00C01C11"/>
    <w:rsid w:val="00C01C22"/>
    <w:rsid w:val="00C01C48"/>
    <w:rsid w:val="00C01C52"/>
    <w:rsid w:val="00C01C94"/>
    <w:rsid w:val="00C01CE3"/>
    <w:rsid w:val="00C01D54"/>
    <w:rsid w:val="00C01D67"/>
    <w:rsid w:val="00C01D6B"/>
    <w:rsid w:val="00C01D9C"/>
    <w:rsid w:val="00C01DAA"/>
    <w:rsid w:val="00C01DAC"/>
    <w:rsid w:val="00C01DE6"/>
    <w:rsid w:val="00C01DE9"/>
    <w:rsid w:val="00C01DEA"/>
    <w:rsid w:val="00C01DFA"/>
    <w:rsid w:val="00C01DFE"/>
    <w:rsid w:val="00C01E01"/>
    <w:rsid w:val="00C01E5C"/>
    <w:rsid w:val="00C01E7F"/>
    <w:rsid w:val="00C01EA2"/>
    <w:rsid w:val="00C01EF3"/>
    <w:rsid w:val="00C01F1D"/>
    <w:rsid w:val="00C01F42"/>
    <w:rsid w:val="00C01F6B"/>
    <w:rsid w:val="00C01FBF"/>
    <w:rsid w:val="00C01FCA"/>
    <w:rsid w:val="00C0203B"/>
    <w:rsid w:val="00C020F9"/>
    <w:rsid w:val="00C02121"/>
    <w:rsid w:val="00C0215C"/>
    <w:rsid w:val="00C02170"/>
    <w:rsid w:val="00C0218F"/>
    <w:rsid w:val="00C021FA"/>
    <w:rsid w:val="00C02205"/>
    <w:rsid w:val="00C02209"/>
    <w:rsid w:val="00C02226"/>
    <w:rsid w:val="00C0227C"/>
    <w:rsid w:val="00C022C8"/>
    <w:rsid w:val="00C02394"/>
    <w:rsid w:val="00C0239A"/>
    <w:rsid w:val="00C023C1"/>
    <w:rsid w:val="00C023F9"/>
    <w:rsid w:val="00C02410"/>
    <w:rsid w:val="00C0247F"/>
    <w:rsid w:val="00C024D0"/>
    <w:rsid w:val="00C0252A"/>
    <w:rsid w:val="00C02599"/>
    <w:rsid w:val="00C025BB"/>
    <w:rsid w:val="00C025F9"/>
    <w:rsid w:val="00C02610"/>
    <w:rsid w:val="00C02649"/>
    <w:rsid w:val="00C02679"/>
    <w:rsid w:val="00C0268A"/>
    <w:rsid w:val="00C02695"/>
    <w:rsid w:val="00C026C4"/>
    <w:rsid w:val="00C026EB"/>
    <w:rsid w:val="00C02702"/>
    <w:rsid w:val="00C0271B"/>
    <w:rsid w:val="00C027E3"/>
    <w:rsid w:val="00C02882"/>
    <w:rsid w:val="00C028CF"/>
    <w:rsid w:val="00C02910"/>
    <w:rsid w:val="00C0294E"/>
    <w:rsid w:val="00C029A5"/>
    <w:rsid w:val="00C029AE"/>
    <w:rsid w:val="00C029BE"/>
    <w:rsid w:val="00C029CD"/>
    <w:rsid w:val="00C029D6"/>
    <w:rsid w:val="00C029DC"/>
    <w:rsid w:val="00C029F2"/>
    <w:rsid w:val="00C02B1C"/>
    <w:rsid w:val="00C02B78"/>
    <w:rsid w:val="00C02BFC"/>
    <w:rsid w:val="00C02C0C"/>
    <w:rsid w:val="00C02C4E"/>
    <w:rsid w:val="00C02C74"/>
    <w:rsid w:val="00C02DCA"/>
    <w:rsid w:val="00C02E0D"/>
    <w:rsid w:val="00C02E8D"/>
    <w:rsid w:val="00C02E93"/>
    <w:rsid w:val="00C02ED7"/>
    <w:rsid w:val="00C02EDC"/>
    <w:rsid w:val="00C02EE7"/>
    <w:rsid w:val="00C02F16"/>
    <w:rsid w:val="00C02F2E"/>
    <w:rsid w:val="00C02F7E"/>
    <w:rsid w:val="00C030CF"/>
    <w:rsid w:val="00C030DB"/>
    <w:rsid w:val="00C0312A"/>
    <w:rsid w:val="00C03164"/>
    <w:rsid w:val="00C031D9"/>
    <w:rsid w:val="00C03226"/>
    <w:rsid w:val="00C0326F"/>
    <w:rsid w:val="00C032B7"/>
    <w:rsid w:val="00C032E0"/>
    <w:rsid w:val="00C03309"/>
    <w:rsid w:val="00C0330B"/>
    <w:rsid w:val="00C0332A"/>
    <w:rsid w:val="00C0332E"/>
    <w:rsid w:val="00C03344"/>
    <w:rsid w:val="00C0336C"/>
    <w:rsid w:val="00C0337E"/>
    <w:rsid w:val="00C03393"/>
    <w:rsid w:val="00C03398"/>
    <w:rsid w:val="00C033AE"/>
    <w:rsid w:val="00C033E2"/>
    <w:rsid w:val="00C033F8"/>
    <w:rsid w:val="00C0347B"/>
    <w:rsid w:val="00C03488"/>
    <w:rsid w:val="00C034DD"/>
    <w:rsid w:val="00C034F5"/>
    <w:rsid w:val="00C0353E"/>
    <w:rsid w:val="00C03566"/>
    <w:rsid w:val="00C03568"/>
    <w:rsid w:val="00C035B7"/>
    <w:rsid w:val="00C035BC"/>
    <w:rsid w:val="00C035BF"/>
    <w:rsid w:val="00C03624"/>
    <w:rsid w:val="00C03641"/>
    <w:rsid w:val="00C0366C"/>
    <w:rsid w:val="00C03677"/>
    <w:rsid w:val="00C036D3"/>
    <w:rsid w:val="00C036D7"/>
    <w:rsid w:val="00C036EF"/>
    <w:rsid w:val="00C0372E"/>
    <w:rsid w:val="00C03741"/>
    <w:rsid w:val="00C03755"/>
    <w:rsid w:val="00C0377A"/>
    <w:rsid w:val="00C03784"/>
    <w:rsid w:val="00C03790"/>
    <w:rsid w:val="00C037AA"/>
    <w:rsid w:val="00C03823"/>
    <w:rsid w:val="00C0384C"/>
    <w:rsid w:val="00C038D9"/>
    <w:rsid w:val="00C0393B"/>
    <w:rsid w:val="00C039BB"/>
    <w:rsid w:val="00C039EA"/>
    <w:rsid w:val="00C03A54"/>
    <w:rsid w:val="00C03ABE"/>
    <w:rsid w:val="00C03AC4"/>
    <w:rsid w:val="00C03ACF"/>
    <w:rsid w:val="00C03AD0"/>
    <w:rsid w:val="00C03B0A"/>
    <w:rsid w:val="00C03B0E"/>
    <w:rsid w:val="00C03B35"/>
    <w:rsid w:val="00C03B5B"/>
    <w:rsid w:val="00C03B7B"/>
    <w:rsid w:val="00C03C37"/>
    <w:rsid w:val="00C03C4B"/>
    <w:rsid w:val="00C03C57"/>
    <w:rsid w:val="00C03C7E"/>
    <w:rsid w:val="00C03CB1"/>
    <w:rsid w:val="00C03D62"/>
    <w:rsid w:val="00C03DC3"/>
    <w:rsid w:val="00C03E75"/>
    <w:rsid w:val="00C03E83"/>
    <w:rsid w:val="00C03ED8"/>
    <w:rsid w:val="00C03F35"/>
    <w:rsid w:val="00C0403B"/>
    <w:rsid w:val="00C0404B"/>
    <w:rsid w:val="00C040AC"/>
    <w:rsid w:val="00C040B7"/>
    <w:rsid w:val="00C04105"/>
    <w:rsid w:val="00C04159"/>
    <w:rsid w:val="00C0417F"/>
    <w:rsid w:val="00C0418C"/>
    <w:rsid w:val="00C041C6"/>
    <w:rsid w:val="00C04227"/>
    <w:rsid w:val="00C0422F"/>
    <w:rsid w:val="00C04235"/>
    <w:rsid w:val="00C0426C"/>
    <w:rsid w:val="00C04285"/>
    <w:rsid w:val="00C042F0"/>
    <w:rsid w:val="00C042F2"/>
    <w:rsid w:val="00C0434F"/>
    <w:rsid w:val="00C04385"/>
    <w:rsid w:val="00C0438D"/>
    <w:rsid w:val="00C043A2"/>
    <w:rsid w:val="00C043AE"/>
    <w:rsid w:val="00C04401"/>
    <w:rsid w:val="00C0440A"/>
    <w:rsid w:val="00C0443F"/>
    <w:rsid w:val="00C04489"/>
    <w:rsid w:val="00C044D4"/>
    <w:rsid w:val="00C044FF"/>
    <w:rsid w:val="00C0452B"/>
    <w:rsid w:val="00C04554"/>
    <w:rsid w:val="00C04563"/>
    <w:rsid w:val="00C04577"/>
    <w:rsid w:val="00C045B3"/>
    <w:rsid w:val="00C045D3"/>
    <w:rsid w:val="00C045DA"/>
    <w:rsid w:val="00C045E3"/>
    <w:rsid w:val="00C045EE"/>
    <w:rsid w:val="00C045F0"/>
    <w:rsid w:val="00C0460F"/>
    <w:rsid w:val="00C0461C"/>
    <w:rsid w:val="00C0462C"/>
    <w:rsid w:val="00C0462E"/>
    <w:rsid w:val="00C04676"/>
    <w:rsid w:val="00C046AB"/>
    <w:rsid w:val="00C046B3"/>
    <w:rsid w:val="00C0476D"/>
    <w:rsid w:val="00C0479A"/>
    <w:rsid w:val="00C047B8"/>
    <w:rsid w:val="00C0483A"/>
    <w:rsid w:val="00C04880"/>
    <w:rsid w:val="00C048EE"/>
    <w:rsid w:val="00C0490B"/>
    <w:rsid w:val="00C04978"/>
    <w:rsid w:val="00C04979"/>
    <w:rsid w:val="00C049D2"/>
    <w:rsid w:val="00C049EA"/>
    <w:rsid w:val="00C049EF"/>
    <w:rsid w:val="00C049F9"/>
    <w:rsid w:val="00C04A1B"/>
    <w:rsid w:val="00C04A49"/>
    <w:rsid w:val="00C04A6F"/>
    <w:rsid w:val="00C04AA4"/>
    <w:rsid w:val="00C04B41"/>
    <w:rsid w:val="00C04B5C"/>
    <w:rsid w:val="00C04BA8"/>
    <w:rsid w:val="00C04BAA"/>
    <w:rsid w:val="00C04C0A"/>
    <w:rsid w:val="00C04C21"/>
    <w:rsid w:val="00C04C6A"/>
    <w:rsid w:val="00C04CCC"/>
    <w:rsid w:val="00C04CEE"/>
    <w:rsid w:val="00C04CF4"/>
    <w:rsid w:val="00C04D52"/>
    <w:rsid w:val="00C04D7A"/>
    <w:rsid w:val="00C04D7F"/>
    <w:rsid w:val="00C04D8A"/>
    <w:rsid w:val="00C04D97"/>
    <w:rsid w:val="00C04DC4"/>
    <w:rsid w:val="00C04DE1"/>
    <w:rsid w:val="00C04DFA"/>
    <w:rsid w:val="00C04E48"/>
    <w:rsid w:val="00C04E6A"/>
    <w:rsid w:val="00C04E6D"/>
    <w:rsid w:val="00C04EB2"/>
    <w:rsid w:val="00C04F10"/>
    <w:rsid w:val="00C04F19"/>
    <w:rsid w:val="00C04F38"/>
    <w:rsid w:val="00C04F4E"/>
    <w:rsid w:val="00C04F91"/>
    <w:rsid w:val="00C04FEE"/>
    <w:rsid w:val="00C0500A"/>
    <w:rsid w:val="00C05037"/>
    <w:rsid w:val="00C05068"/>
    <w:rsid w:val="00C05109"/>
    <w:rsid w:val="00C0510E"/>
    <w:rsid w:val="00C0512F"/>
    <w:rsid w:val="00C05139"/>
    <w:rsid w:val="00C0515D"/>
    <w:rsid w:val="00C0516B"/>
    <w:rsid w:val="00C05199"/>
    <w:rsid w:val="00C0519D"/>
    <w:rsid w:val="00C051AF"/>
    <w:rsid w:val="00C051EC"/>
    <w:rsid w:val="00C051ED"/>
    <w:rsid w:val="00C05237"/>
    <w:rsid w:val="00C05260"/>
    <w:rsid w:val="00C052D8"/>
    <w:rsid w:val="00C05302"/>
    <w:rsid w:val="00C053AC"/>
    <w:rsid w:val="00C054A3"/>
    <w:rsid w:val="00C05508"/>
    <w:rsid w:val="00C05548"/>
    <w:rsid w:val="00C0555C"/>
    <w:rsid w:val="00C05573"/>
    <w:rsid w:val="00C0558A"/>
    <w:rsid w:val="00C055A3"/>
    <w:rsid w:val="00C055A8"/>
    <w:rsid w:val="00C055D4"/>
    <w:rsid w:val="00C05631"/>
    <w:rsid w:val="00C0567E"/>
    <w:rsid w:val="00C056EC"/>
    <w:rsid w:val="00C05721"/>
    <w:rsid w:val="00C05729"/>
    <w:rsid w:val="00C0572B"/>
    <w:rsid w:val="00C0576C"/>
    <w:rsid w:val="00C05788"/>
    <w:rsid w:val="00C0578F"/>
    <w:rsid w:val="00C057D8"/>
    <w:rsid w:val="00C057E8"/>
    <w:rsid w:val="00C05829"/>
    <w:rsid w:val="00C0591B"/>
    <w:rsid w:val="00C0593C"/>
    <w:rsid w:val="00C05959"/>
    <w:rsid w:val="00C0597A"/>
    <w:rsid w:val="00C0597B"/>
    <w:rsid w:val="00C0597E"/>
    <w:rsid w:val="00C05986"/>
    <w:rsid w:val="00C059E6"/>
    <w:rsid w:val="00C05A00"/>
    <w:rsid w:val="00C05A0A"/>
    <w:rsid w:val="00C05A12"/>
    <w:rsid w:val="00C05A1C"/>
    <w:rsid w:val="00C05A73"/>
    <w:rsid w:val="00C05AC8"/>
    <w:rsid w:val="00C05ADB"/>
    <w:rsid w:val="00C05B82"/>
    <w:rsid w:val="00C05BBA"/>
    <w:rsid w:val="00C05BBB"/>
    <w:rsid w:val="00C05BCD"/>
    <w:rsid w:val="00C05C38"/>
    <w:rsid w:val="00C05C4F"/>
    <w:rsid w:val="00C05C83"/>
    <w:rsid w:val="00C05CB7"/>
    <w:rsid w:val="00C05CC1"/>
    <w:rsid w:val="00C05CF6"/>
    <w:rsid w:val="00C05D11"/>
    <w:rsid w:val="00C05D2A"/>
    <w:rsid w:val="00C05D57"/>
    <w:rsid w:val="00C05DE9"/>
    <w:rsid w:val="00C05DEC"/>
    <w:rsid w:val="00C05DF9"/>
    <w:rsid w:val="00C05E31"/>
    <w:rsid w:val="00C05E32"/>
    <w:rsid w:val="00C05E3C"/>
    <w:rsid w:val="00C05E94"/>
    <w:rsid w:val="00C05EA4"/>
    <w:rsid w:val="00C05EEC"/>
    <w:rsid w:val="00C05EF3"/>
    <w:rsid w:val="00C05F02"/>
    <w:rsid w:val="00C05F38"/>
    <w:rsid w:val="00C05F43"/>
    <w:rsid w:val="00C05F4A"/>
    <w:rsid w:val="00C05F9A"/>
    <w:rsid w:val="00C0603E"/>
    <w:rsid w:val="00C06049"/>
    <w:rsid w:val="00C0605F"/>
    <w:rsid w:val="00C0606C"/>
    <w:rsid w:val="00C060A3"/>
    <w:rsid w:val="00C060CF"/>
    <w:rsid w:val="00C060E6"/>
    <w:rsid w:val="00C06120"/>
    <w:rsid w:val="00C06179"/>
    <w:rsid w:val="00C061BF"/>
    <w:rsid w:val="00C061D5"/>
    <w:rsid w:val="00C06213"/>
    <w:rsid w:val="00C06263"/>
    <w:rsid w:val="00C06288"/>
    <w:rsid w:val="00C06294"/>
    <w:rsid w:val="00C062AE"/>
    <w:rsid w:val="00C062F5"/>
    <w:rsid w:val="00C062FB"/>
    <w:rsid w:val="00C0638C"/>
    <w:rsid w:val="00C063C7"/>
    <w:rsid w:val="00C063E0"/>
    <w:rsid w:val="00C06428"/>
    <w:rsid w:val="00C06438"/>
    <w:rsid w:val="00C06442"/>
    <w:rsid w:val="00C0648D"/>
    <w:rsid w:val="00C06500"/>
    <w:rsid w:val="00C06518"/>
    <w:rsid w:val="00C06567"/>
    <w:rsid w:val="00C065A1"/>
    <w:rsid w:val="00C06646"/>
    <w:rsid w:val="00C06659"/>
    <w:rsid w:val="00C0665C"/>
    <w:rsid w:val="00C06689"/>
    <w:rsid w:val="00C06698"/>
    <w:rsid w:val="00C066C4"/>
    <w:rsid w:val="00C066DA"/>
    <w:rsid w:val="00C066E6"/>
    <w:rsid w:val="00C06700"/>
    <w:rsid w:val="00C067EB"/>
    <w:rsid w:val="00C067FD"/>
    <w:rsid w:val="00C06843"/>
    <w:rsid w:val="00C06870"/>
    <w:rsid w:val="00C0687E"/>
    <w:rsid w:val="00C068B2"/>
    <w:rsid w:val="00C068C9"/>
    <w:rsid w:val="00C068CE"/>
    <w:rsid w:val="00C068F8"/>
    <w:rsid w:val="00C0691A"/>
    <w:rsid w:val="00C06951"/>
    <w:rsid w:val="00C06966"/>
    <w:rsid w:val="00C06A03"/>
    <w:rsid w:val="00C06A79"/>
    <w:rsid w:val="00C06B0F"/>
    <w:rsid w:val="00C06C38"/>
    <w:rsid w:val="00C06CC2"/>
    <w:rsid w:val="00C06D09"/>
    <w:rsid w:val="00C06D2B"/>
    <w:rsid w:val="00C06D40"/>
    <w:rsid w:val="00C06D43"/>
    <w:rsid w:val="00C06D55"/>
    <w:rsid w:val="00C06DA6"/>
    <w:rsid w:val="00C06DDE"/>
    <w:rsid w:val="00C06DEE"/>
    <w:rsid w:val="00C06E60"/>
    <w:rsid w:val="00C06EE2"/>
    <w:rsid w:val="00C06F5C"/>
    <w:rsid w:val="00C06F6A"/>
    <w:rsid w:val="00C06F90"/>
    <w:rsid w:val="00C070CB"/>
    <w:rsid w:val="00C070EB"/>
    <w:rsid w:val="00C0710A"/>
    <w:rsid w:val="00C07138"/>
    <w:rsid w:val="00C07139"/>
    <w:rsid w:val="00C071FA"/>
    <w:rsid w:val="00C0722B"/>
    <w:rsid w:val="00C07276"/>
    <w:rsid w:val="00C07277"/>
    <w:rsid w:val="00C07297"/>
    <w:rsid w:val="00C072A1"/>
    <w:rsid w:val="00C072D0"/>
    <w:rsid w:val="00C072F0"/>
    <w:rsid w:val="00C07318"/>
    <w:rsid w:val="00C07327"/>
    <w:rsid w:val="00C0732D"/>
    <w:rsid w:val="00C07344"/>
    <w:rsid w:val="00C0738D"/>
    <w:rsid w:val="00C07421"/>
    <w:rsid w:val="00C07459"/>
    <w:rsid w:val="00C07465"/>
    <w:rsid w:val="00C0746B"/>
    <w:rsid w:val="00C07481"/>
    <w:rsid w:val="00C074FA"/>
    <w:rsid w:val="00C0753B"/>
    <w:rsid w:val="00C0759A"/>
    <w:rsid w:val="00C075CE"/>
    <w:rsid w:val="00C0764D"/>
    <w:rsid w:val="00C0766C"/>
    <w:rsid w:val="00C07677"/>
    <w:rsid w:val="00C077D0"/>
    <w:rsid w:val="00C077D9"/>
    <w:rsid w:val="00C07856"/>
    <w:rsid w:val="00C078B2"/>
    <w:rsid w:val="00C078FC"/>
    <w:rsid w:val="00C07945"/>
    <w:rsid w:val="00C0797F"/>
    <w:rsid w:val="00C079C4"/>
    <w:rsid w:val="00C07A69"/>
    <w:rsid w:val="00C07A94"/>
    <w:rsid w:val="00C07AA1"/>
    <w:rsid w:val="00C07AB1"/>
    <w:rsid w:val="00C07AF4"/>
    <w:rsid w:val="00C07BB7"/>
    <w:rsid w:val="00C07BC8"/>
    <w:rsid w:val="00C07BE3"/>
    <w:rsid w:val="00C07BF4"/>
    <w:rsid w:val="00C07C22"/>
    <w:rsid w:val="00C07C38"/>
    <w:rsid w:val="00C07C9F"/>
    <w:rsid w:val="00C07CA0"/>
    <w:rsid w:val="00C07CBA"/>
    <w:rsid w:val="00C07CF8"/>
    <w:rsid w:val="00C07D53"/>
    <w:rsid w:val="00C07DFC"/>
    <w:rsid w:val="00C07E03"/>
    <w:rsid w:val="00C07E18"/>
    <w:rsid w:val="00C07E1D"/>
    <w:rsid w:val="00C07EB3"/>
    <w:rsid w:val="00C07ED3"/>
    <w:rsid w:val="00C07F04"/>
    <w:rsid w:val="00C07F4B"/>
    <w:rsid w:val="00C07F5D"/>
    <w:rsid w:val="00C07F6D"/>
    <w:rsid w:val="00C07FB9"/>
    <w:rsid w:val="00C07FDE"/>
    <w:rsid w:val="00C10047"/>
    <w:rsid w:val="00C10048"/>
    <w:rsid w:val="00C1004B"/>
    <w:rsid w:val="00C10081"/>
    <w:rsid w:val="00C1008F"/>
    <w:rsid w:val="00C100A7"/>
    <w:rsid w:val="00C100AC"/>
    <w:rsid w:val="00C100E1"/>
    <w:rsid w:val="00C1012C"/>
    <w:rsid w:val="00C10137"/>
    <w:rsid w:val="00C101AF"/>
    <w:rsid w:val="00C101B0"/>
    <w:rsid w:val="00C101B4"/>
    <w:rsid w:val="00C101C9"/>
    <w:rsid w:val="00C1024A"/>
    <w:rsid w:val="00C10270"/>
    <w:rsid w:val="00C10303"/>
    <w:rsid w:val="00C10397"/>
    <w:rsid w:val="00C1039E"/>
    <w:rsid w:val="00C1039F"/>
    <w:rsid w:val="00C10493"/>
    <w:rsid w:val="00C104C5"/>
    <w:rsid w:val="00C104D4"/>
    <w:rsid w:val="00C104FC"/>
    <w:rsid w:val="00C10525"/>
    <w:rsid w:val="00C1054C"/>
    <w:rsid w:val="00C10575"/>
    <w:rsid w:val="00C105B4"/>
    <w:rsid w:val="00C105CE"/>
    <w:rsid w:val="00C105DE"/>
    <w:rsid w:val="00C105EB"/>
    <w:rsid w:val="00C105FF"/>
    <w:rsid w:val="00C10644"/>
    <w:rsid w:val="00C1068D"/>
    <w:rsid w:val="00C106E9"/>
    <w:rsid w:val="00C1073C"/>
    <w:rsid w:val="00C10769"/>
    <w:rsid w:val="00C10792"/>
    <w:rsid w:val="00C10794"/>
    <w:rsid w:val="00C107CC"/>
    <w:rsid w:val="00C107E6"/>
    <w:rsid w:val="00C107FA"/>
    <w:rsid w:val="00C10807"/>
    <w:rsid w:val="00C10876"/>
    <w:rsid w:val="00C10882"/>
    <w:rsid w:val="00C109EE"/>
    <w:rsid w:val="00C10A1C"/>
    <w:rsid w:val="00C10A71"/>
    <w:rsid w:val="00C10AB0"/>
    <w:rsid w:val="00C10ACB"/>
    <w:rsid w:val="00C10B4D"/>
    <w:rsid w:val="00C10B94"/>
    <w:rsid w:val="00C10B9E"/>
    <w:rsid w:val="00C10BDB"/>
    <w:rsid w:val="00C10BEB"/>
    <w:rsid w:val="00C10C3C"/>
    <w:rsid w:val="00C10C8D"/>
    <w:rsid w:val="00C10CE1"/>
    <w:rsid w:val="00C10CF5"/>
    <w:rsid w:val="00C10D32"/>
    <w:rsid w:val="00C10DCA"/>
    <w:rsid w:val="00C10E00"/>
    <w:rsid w:val="00C10E02"/>
    <w:rsid w:val="00C10E7E"/>
    <w:rsid w:val="00C10E80"/>
    <w:rsid w:val="00C10E94"/>
    <w:rsid w:val="00C10F5C"/>
    <w:rsid w:val="00C10F60"/>
    <w:rsid w:val="00C10F99"/>
    <w:rsid w:val="00C10FA7"/>
    <w:rsid w:val="00C10FB3"/>
    <w:rsid w:val="00C10FFD"/>
    <w:rsid w:val="00C1104A"/>
    <w:rsid w:val="00C11077"/>
    <w:rsid w:val="00C11106"/>
    <w:rsid w:val="00C111AE"/>
    <w:rsid w:val="00C1122A"/>
    <w:rsid w:val="00C11241"/>
    <w:rsid w:val="00C1127E"/>
    <w:rsid w:val="00C112A1"/>
    <w:rsid w:val="00C112B2"/>
    <w:rsid w:val="00C112C7"/>
    <w:rsid w:val="00C112D3"/>
    <w:rsid w:val="00C112E5"/>
    <w:rsid w:val="00C1131D"/>
    <w:rsid w:val="00C1133A"/>
    <w:rsid w:val="00C113B2"/>
    <w:rsid w:val="00C11404"/>
    <w:rsid w:val="00C11414"/>
    <w:rsid w:val="00C11446"/>
    <w:rsid w:val="00C11456"/>
    <w:rsid w:val="00C1147A"/>
    <w:rsid w:val="00C114CB"/>
    <w:rsid w:val="00C11501"/>
    <w:rsid w:val="00C1152A"/>
    <w:rsid w:val="00C11559"/>
    <w:rsid w:val="00C115AE"/>
    <w:rsid w:val="00C115B8"/>
    <w:rsid w:val="00C115F3"/>
    <w:rsid w:val="00C1160C"/>
    <w:rsid w:val="00C11611"/>
    <w:rsid w:val="00C1163C"/>
    <w:rsid w:val="00C116C1"/>
    <w:rsid w:val="00C116DB"/>
    <w:rsid w:val="00C116EA"/>
    <w:rsid w:val="00C1170C"/>
    <w:rsid w:val="00C1170F"/>
    <w:rsid w:val="00C1174A"/>
    <w:rsid w:val="00C1183E"/>
    <w:rsid w:val="00C1183F"/>
    <w:rsid w:val="00C1184F"/>
    <w:rsid w:val="00C11869"/>
    <w:rsid w:val="00C11887"/>
    <w:rsid w:val="00C118E0"/>
    <w:rsid w:val="00C1193C"/>
    <w:rsid w:val="00C11958"/>
    <w:rsid w:val="00C11987"/>
    <w:rsid w:val="00C119BF"/>
    <w:rsid w:val="00C119CA"/>
    <w:rsid w:val="00C119DE"/>
    <w:rsid w:val="00C119F8"/>
    <w:rsid w:val="00C11A1F"/>
    <w:rsid w:val="00C11A33"/>
    <w:rsid w:val="00C11B34"/>
    <w:rsid w:val="00C11B83"/>
    <w:rsid w:val="00C11B88"/>
    <w:rsid w:val="00C11BB8"/>
    <w:rsid w:val="00C11BDC"/>
    <w:rsid w:val="00C11BFF"/>
    <w:rsid w:val="00C11C05"/>
    <w:rsid w:val="00C11C21"/>
    <w:rsid w:val="00C11D24"/>
    <w:rsid w:val="00C11D35"/>
    <w:rsid w:val="00C11D55"/>
    <w:rsid w:val="00C11D76"/>
    <w:rsid w:val="00C11D8B"/>
    <w:rsid w:val="00C11DFF"/>
    <w:rsid w:val="00C11E05"/>
    <w:rsid w:val="00C11E50"/>
    <w:rsid w:val="00C11E62"/>
    <w:rsid w:val="00C11E63"/>
    <w:rsid w:val="00C11E81"/>
    <w:rsid w:val="00C11E92"/>
    <w:rsid w:val="00C11EB9"/>
    <w:rsid w:val="00C11EBE"/>
    <w:rsid w:val="00C11EDB"/>
    <w:rsid w:val="00C11F1E"/>
    <w:rsid w:val="00C11F6F"/>
    <w:rsid w:val="00C11FA9"/>
    <w:rsid w:val="00C11FCD"/>
    <w:rsid w:val="00C12033"/>
    <w:rsid w:val="00C12070"/>
    <w:rsid w:val="00C12099"/>
    <w:rsid w:val="00C120B3"/>
    <w:rsid w:val="00C120F3"/>
    <w:rsid w:val="00C12130"/>
    <w:rsid w:val="00C1214E"/>
    <w:rsid w:val="00C121DB"/>
    <w:rsid w:val="00C12219"/>
    <w:rsid w:val="00C12234"/>
    <w:rsid w:val="00C12253"/>
    <w:rsid w:val="00C122A6"/>
    <w:rsid w:val="00C122B4"/>
    <w:rsid w:val="00C122E7"/>
    <w:rsid w:val="00C1232B"/>
    <w:rsid w:val="00C12355"/>
    <w:rsid w:val="00C12389"/>
    <w:rsid w:val="00C123C8"/>
    <w:rsid w:val="00C123EB"/>
    <w:rsid w:val="00C1246D"/>
    <w:rsid w:val="00C12486"/>
    <w:rsid w:val="00C124C2"/>
    <w:rsid w:val="00C124DF"/>
    <w:rsid w:val="00C124F8"/>
    <w:rsid w:val="00C12508"/>
    <w:rsid w:val="00C12540"/>
    <w:rsid w:val="00C1258B"/>
    <w:rsid w:val="00C125D3"/>
    <w:rsid w:val="00C125ED"/>
    <w:rsid w:val="00C12617"/>
    <w:rsid w:val="00C1265C"/>
    <w:rsid w:val="00C126A7"/>
    <w:rsid w:val="00C126B2"/>
    <w:rsid w:val="00C126E4"/>
    <w:rsid w:val="00C126F4"/>
    <w:rsid w:val="00C1271C"/>
    <w:rsid w:val="00C12760"/>
    <w:rsid w:val="00C127B0"/>
    <w:rsid w:val="00C127BB"/>
    <w:rsid w:val="00C127C6"/>
    <w:rsid w:val="00C127D2"/>
    <w:rsid w:val="00C127D7"/>
    <w:rsid w:val="00C127DC"/>
    <w:rsid w:val="00C128A3"/>
    <w:rsid w:val="00C128DF"/>
    <w:rsid w:val="00C12A0F"/>
    <w:rsid w:val="00C12A57"/>
    <w:rsid w:val="00C12AE7"/>
    <w:rsid w:val="00C12AED"/>
    <w:rsid w:val="00C12AFE"/>
    <w:rsid w:val="00C12B30"/>
    <w:rsid w:val="00C12B99"/>
    <w:rsid w:val="00C12BA2"/>
    <w:rsid w:val="00C12C1D"/>
    <w:rsid w:val="00C12C29"/>
    <w:rsid w:val="00C12C45"/>
    <w:rsid w:val="00C12C57"/>
    <w:rsid w:val="00C12CAB"/>
    <w:rsid w:val="00C12CC9"/>
    <w:rsid w:val="00C12CD1"/>
    <w:rsid w:val="00C12CF1"/>
    <w:rsid w:val="00C12D5D"/>
    <w:rsid w:val="00C12DD7"/>
    <w:rsid w:val="00C12DEE"/>
    <w:rsid w:val="00C12DFF"/>
    <w:rsid w:val="00C12E51"/>
    <w:rsid w:val="00C12E62"/>
    <w:rsid w:val="00C12E7F"/>
    <w:rsid w:val="00C12EA4"/>
    <w:rsid w:val="00C12ED2"/>
    <w:rsid w:val="00C12EF1"/>
    <w:rsid w:val="00C12F14"/>
    <w:rsid w:val="00C12F57"/>
    <w:rsid w:val="00C12FFA"/>
    <w:rsid w:val="00C13071"/>
    <w:rsid w:val="00C130C8"/>
    <w:rsid w:val="00C130FA"/>
    <w:rsid w:val="00C13103"/>
    <w:rsid w:val="00C13141"/>
    <w:rsid w:val="00C13158"/>
    <w:rsid w:val="00C1315C"/>
    <w:rsid w:val="00C1318E"/>
    <w:rsid w:val="00C131A4"/>
    <w:rsid w:val="00C131B0"/>
    <w:rsid w:val="00C131EE"/>
    <w:rsid w:val="00C131FA"/>
    <w:rsid w:val="00C132A4"/>
    <w:rsid w:val="00C132BE"/>
    <w:rsid w:val="00C13325"/>
    <w:rsid w:val="00C13354"/>
    <w:rsid w:val="00C1335F"/>
    <w:rsid w:val="00C13436"/>
    <w:rsid w:val="00C13464"/>
    <w:rsid w:val="00C1357B"/>
    <w:rsid w:val="00C135AC"/>
    <w:rsid w:val="00C135E2"/>
    <w:rsid w:val="00C13611"/>
    <w:rsid w:val="00C13621"/>
    <w:rsid w:val="00C13635"/>
    <w:rsid w:val="00C13651"/>
    <w:rsid w:val="00C13687"/>
    <w:rsid w:val="00C13688"/>
    <w:rsid w:val="00C136FF"/>
    <w:rsid w:val="00C1373F"/>
    <w:rsid w:val="00C1378E"/>
    <w:rsid w:val="00C137B8"/>
    <w:rsid w:val="00C137BB"/>
    <w:rsid w:val="00C137EA"/>
    <w:rsid w:val="00C13802"/>
    <w:rsid w:val="00C13841"/>
    <w:rsid w:val="00C1384B"/>
    <w:rsid w:val="00C1386D"/>
    <w:rsid w:val="00C1387A"/>
    <w:rsid w:val="00C13924"/>
    <w:rsid w:val="00C13929"/>
    <w:rsid w:val="00C139B8"/>
    <w:rsid w:val="00C139C4"/>
    <w:rsid w:val="00C139F2"/>
    <w:rsid w:val="00C139FF"/>
    <w:rsid w:val="00C13AC1"/>
    <w:rsid w:val="00C13AF6"/>
    <w:rsid w:val="00C13B0A"/>
    <w:rsid w:val="00C13B1F"/>
    <w:rsid w:val="00C13B47"/>
    <w:rsid w:val="00C13B9C"/>
    <w:rsid w:val="00C13BB1"/>
    <w:rsid w:val="00C13BBA"/>
    <w:rsid w:val="00C13BF5"/>
    <w:rsid w:val="00C13BF7"/>
    <w:rsid w:val="00C13C07"/>
    <w:rsid w:val="00C13C5D"/>
    <w:rsid w:val="00C13CC7"/>
    <w:rsid w:val="00C13CCE"/>
    <w:rsid w:val="00C13CDB"/>
    <w:rsid w:val="00C13D64"/>
    <w:rsid w:val="00C13DE2"/>
    <w:rsid w:val="00C13E32"/>
    <w:rsid w:val="00C13E8C"/>
    <w:rsid w:val="00C13EA5"/>
    <w:rsid w:val="00C13ED5"/>
    <w:rsid w:val="00C13F04"/>
    <w:rsid w:val="00C13F49"/>
    <w:rsid w:val="00C13FC8"/>
    <w:rsid w:val="00C13FDD"/>
    <w:rsid w:val="00C13FE0"/>
    <w:rsid w:val="00C1400B"/>
    <w:rsid w:val="00C1401B"/>
    <w:rsid w:val="00C14070"/>
    <w:rsid w:val="00C14194"/>
    <w:rsid w:val="00C141C0"/>
    <w:rsid w:val="00C1421C"/>
    <w:rsid w:val="00C1425F"/>
    <w:rsid w:val="00C14270"/>
    <w:rsid w:val="00C14284"/>
    <w:rsid w:val="00C142AB"/>
    <w:rsid w:val="00C142AD"/>
    <w:rsid w:val="00C142F7"/>
    <w:rsid w:val="00C14329"/>
    <w:rsid w:val="00C14337"/>
    <w:rsid w:val="00C14375"/>
    <w:rsid w:val="00C14397"/>
    <w:rsid w:val="00C14414"/>
    <w:rsid w:val="00C1442F"/>
    <w:rsid w:val="00C14542"/>
    <w:rsid w:val="00C14576"/>
    <w:rsid w:val="00C145D5"/>
    <w:rsid w:val="00C145FD"/>
    <w:rsid w:val="00C14602"/>
    <w:rsid w:val="00C1461B"/>
    <w:rsid w:val="00C1464E"/>
    <w:rsid w:val="00C14658"/>
    <w:rsid w:val="00C1466B"/>
    <w:rsid w:val="00C14672"/>
    <w:rsid w:val="00C146A4"/>
    <w:rsid w:val="00C146AB"/>
    <w:rsid w:val="00C146C7"/>
    <w:rsid w:val="00C14720"/>
    <w:rsid w:val="00C1472D"/>
    <w:rsid w:val="00C147F7"/>
    <w:rsid w:val="00C148D6"/>
    <w:rsid w:val="00C148EF"/>
    <w:rsid w:val="00C148F8"/>
    <w:rsid w:val="00C14938"/>
    <w:rsid w:val="00C14995"/>
    <w:rsid w:val="00C149D8"/>
    <w:rsid w:val="00C149FF"/>
    <w:rsid w:val="00C14A29"/>
    <w:rsid w:val="00C14A34"/>
    <w:rsid w:val="00C14A66"/>
    <w:rsid w:val="00C14AA4"/>
    <w:rsid w:val="00C14B78"/>
    <w:rsid w:val="00C14BF7"/>
    <w:rsid w:val="00C14BFB"/>
    <w:rsid w:val="00C14C10"/>
    <w:rsid w:val="00C14C1E"/>
    <w:rsid w:val="00C14C38"/>
    <w:rsid w:val="00C14CA9"/>
    <w:rsid w:val="00C14CAF"/>
    <w:rsid w:val="00C14CB4"/>
    <w:rsid w:val="00C14CC0"/>
    <w:rsid w:val="00C14CEC"/>
    <w:rsid w:val="00C14D2B"/>
    <w:rsid w:val="00C14D32"/>
    <w:rsid w:val="00C14D70"/>
    <w:rsid w:val="00C14DAC"/>
    <w:rsid w:val="00C14DC5"/>
    <w:rsid w:val="00C14DC9"/>
    <w:rsid w:val="00C14E0C"/>
    <w:rsid w:val="00C14E12"/>
    <w:rsid w:val="00C14E1D"/>
    <w:rsid w:val="00C14E26"/>
    <w:rsid w:val="00C14E66"/>
    <w:rsid w:val="00C14EAD"/>
    <w:rsid w:val="00C14F0F"/>
    <w:rsid w:val="00C14F4B"/>
    <w:rsid w:val="00C14F55"/>
    <w:rsid w:val="00C14FC5"/>
    <w:rsid w:val="00C15069"/>
    <w:rsid w:val="00C15074"/>
    <w:rsid w:val="00C150FD"/>
    <w:rsid w:val="00C15145"/>
    <w:rsid w:val="00C1514F"/>
    <w:rsid w:val="00C15155"/>
    <w:rsid w:val="00C1515D"/>
    <w:rsid w:val="00C1520E"/>
    <w:rsid w:val="00C15214"/>
    <w:rsid w:val="00C15233"/>
    <w:rsid w:val="00C15238"/>
    <w:rsid w:val="00C152BA"/>
    <w:rsid w:val="00C152E0"/>
    <w:rsid w:val="00C1532C"/>
    <w:rsid w:val="00C15331"/>
    <w:rsid w:val="00C1535B"/>
    <w:rsid w:val="00C15367"/>
    <w:rsid w:val="00C153B6"/>
    <w:rsid w:val="00C15440"/>
    <w:rsid w:val="00C15473"/>
    <w:rsid w:val="00C15489"/>
    <w:rsid w:val="00C154B3"/>
    <w:rsid w:val="00C154E5"/>
    <w:rsid w:val="00C154EB"/>
    <w:rsid w:val="00C154F5"/>
    <w:rsid w:val="00C1550F"/>
    <w:rsid w:val="00C1551B"/>
    <w:rsid w:val="00C155A8"/>
    <w:rsid w:val="00C155B8"/>
    <w:rsid w:val="00C155E0"/>
    <w:rsid w:val="00C156D7"/>
    <w:rsid w:val="00C156ED"/>
    <w:rsid w:val="00C15700"/>
    <w:rsid w:val="00C15726"/>
    <w:rsid w:val="00C1573F"/>
    <w:rsid w:val="00C15782"/>
    <w:rsid w:val="00C1579B"/>
    <w:rsid w:val="00C157AF"/>
    <w:rsid w:val="00C157EF"/>
    <w:rsid w:val="00C1580A"/>
    <w:rsid w:val="00C15834"/>
    <w:rsid w:val="00C1586A"/>
    <w:rsid w:val="00C15870"/>
    <w:rsid w:val="00C15872"/>
    <w:rsid w:val="00C1588C"/>
    <w:rsid w:val="00C15891"/>
    <w:rsid w:val="00C158C8"/>
    <w:rsid w:val="00C158EA"/>
    <w:rsid w:val="00C1592C"/>
    <w:rsid w:val="00C15978"/>
    <w:rsid w:val="00C15991"/>
    <w:rsid w:val="00C159D3"/>
    <w:rsid w:val="00C15A85"/>
    <w:rsid w:val="00C15B16"/>
    <w:rsid w:val="00C15B8E"/>
    <w:rsid w:val="00C15BC1"/>
    <w:rsid w:val="00C15BDB"/>
    <w:rsid w:val="00C15C14"/>
    <w:rsid w:val="00C15C2E"/>
    <w:rsid w:val="00C15C88"/>
    <w:rsid w:val="00C15C93"/>
    <w:rsid w:val="00C15C9A"/>
    <w:rsid w:val="00C15CDB"/>
    <w:rsid w:val="00C15CFD"/>
    <w:rsid w:val="00C15D1D"/>
    <w:rsid w:val="00C15D20"/>
    <w:rsid w:val="00C15E5E"/>
    <w:rsid w:val="00C15E6E"/>
    <w:rsid w:val="00C15E7D"/>
    <w:rsid w:val="00C15EC4"/>
    <w:rsid w:val="00C15F2B"/>
    <w:rsid w:val="00C15F42"/>
    <w:rsid w:val="00C15F58"/>
    <w:rsid w:val="00C15F8D"/>
    <w:rsid w:val="00C15FAC"/>
    <w:rsid w:val="00C16010"/>
    <w:rsid w:val="00C1604D"/>
    <w:rsid w:val="00C16090"/>
    <w:rsid w:val="00C160D6"/>
    <w:rsid w:val="00C160DD"/>
    <w:rsid w:val="00C1611D"/>
    <w:rsid w:val="00C1612B"/>
    <w:rsid w:val="00C16172"/>
    <w:rsid w:val="00C16173"/>
    <w:rsid w:val="00C1617C"/>
    <w:rsid w:val="00C16183"/>
    <w:rsid w:val="00C16191"/>
    <w:rsid w:val="00C161A5"/>
    <w:rsid w:val="00C161B4"/>
    <w:rsid w:val="00C161C3"/>
    <w:rsid w:val="00C16203"/>
    <w:rsid w:val="00C1623A"/>
    <w:rsid w:val="00C1623D"/>
    <w:rsid w:val="00C1629A"/>
    <w:rsid w:val="00C162B6"/>
    <w:rsid w:val="00C162CA"/>
    <w:rsid w:val="00C162D7"/>
    <w:rsid w:val="00C162F2"/>
    <w:rsid w:val="00C1632A"/>
    <w:rsid w:val="00C16330"/>
    <w:rsid w:val="00C163B5"/>
    <w:rsid w:val="00C163B6"/>
    <w:rsid w:val="00C16416"/>
    <w:rsid w:val="00C16435"/>
    <w:rsid w:val="00C16463"/>
    <w:rsid w:val="00C1646B"/>
    <w:rsid w:val="00C164BB"/>
    <w:rsid w:val="00C164DD"/>
    <w:rsid w:val="00C164EF"/>
    <w:rsid w:val="00C164F0"/>
    <w:rsid w:val="00C16522"/>
    <w:rsid w:val="00C16538"/>
    <w:rsid w:val="00C16553"/>
    <w:rsid w:val="00C1655C"/>
    <w:rsid w:val="00C16577"/>
    <w:rsid w:val="00C1659A"/>
    <w:rsid w:val="00C165B1"/>
    <w:rsid w:val="00C165C0"/>
    <w:rsid w:val="00C165D2"/>
    <w:rsid w:val="00C165FC"/>
    <w:rsid w:val="00C16629"/>
    <w:rsid w:val="00C1663E"/>
    <w:rsid w:val="00C16660"/>
    <w:rsid w:val="00C1666A"/>
    <w:rsid w:val="00C16682"/>
    <w:rsid w:val="00C166CF"/>
    <w:rsid w:val="00C166F4"/>
    <w:rsid w:val="00C16735"/>
    <w:rsid w:val="00C16798"/>
    <w:rsid w:val="00C167B6"/>
    <w:rsid w:val="00C167C1"/>
    <w:rsid w:val="00C167D4"/>
    <w:rsid w:val="00C1684C"/>
    <w:rsid w:val="00C16890"/>
    <w:rsid w:val="00C168B7"/>
    <w:rsid w:val="00C168BE"/>
    <w:rsid w:val="00C168CF"/>
    <w:rsid w:val="00C168D1"/>
    <w:rsid w:val="00C1697A"/>
    <w:rsid w:val="00C169A2"/>
    <w:rsid w:val="00C16A0C"/>
    <w:rsid w:val="00C16AE6"/>
    <w:rsid w:val="00C16B48"/>
    <w:rsid w:val="00C16B8A"/>
    <w:rsid w:val="00C16BCE"/>
    <w:rsid w:val="00C16BE8"/>
    <w:rsid w:val="00C16C2B"/>
    <w:rsid w:val="00C16CAB"/>
    <w:rsid w:val="00C16CBD"/>
    <w:rsid w:val="00C16D35"/>
    <w:rsid w:val="00C16D55"/>
    <w:rsid w:val="00C16D65"/>
    <w:rsid w:val="00C16D72"/>
    <w:rsid w:val="00C16DA0"/>
    <w:rsid w:val="00C16DAD"/>
    <w:rsid w:val="00C16DFC"/>
    <w:rsid w:val="00C16E81"/>
    <w:rsid w:val="00C16E84"/>
    <w:rsid w:val="00C16EA7"/>
    <w:rsid w:val="00C16EBA"/>
    <w:rsid w:val="00C16F0E"/>
    <w:rsid w:val="00C16F1E"/>
    <w:rsid w:val="00C16F6E"/>
    <w:rsid w:val="00C16F7A"/>
    <w:rsid w:val="00C16FB6"/>
    <w:rsid w:val="00C16FFC"/>
    <w:rsid w:val="00C17003"/>
    <w:rsid w:val="00C17022"/>
    <w:rsid w:val="00C1702D"/>
    <w:rsid w:val="00C17038"/>
    <w:rsid w:val="00C170CD"/>
    <w:rsid w:val="00C170D4"/>
    <w:rsid w:val="00C170EC"/>
    <w:rsid w:val="00C170F3"/>
    <w:rsid w:val="00C1710B"/>
    <w:rsid w:val="00C17150"/>
    <w:rsid w:val="00C17197"/>
    <w:rsid w:val="00C171BA"/>
    <w:rsid w:val="00C171CC"/>
    <w:rsid w:val="00C17228"/>
    <w:rsid w:val="00C1722A"/>
    <w:rsid w:val="00C1726E"/>
    <w:rsid w:val="00C17282"/>
    <w:rsid w:val="00C1729E"/>
    <w:rsid w:val="00C17311"/>
    <w:rsid w:val="00C1736D"/>
    <w:rsid w:val="00C1736E"/>
    <w:rsid w:val="00C17382"/>
    <w:rsid w:val="00C17390"/>
    <w:rsid w:val="00C17435"/>
    <w:rsid w:val="00C1743B"/>
    <w:rsid w:val="00C17447"/>
    <w:rsid w:val="00C17463"/>
    <w:rsid w:val="00C1746D"/>
    <w:rsid w:val="00C174A3"/>
    <w:rsid w:val="00C174B5"/>
    <w:rsid w:val="00C17511"/>
    <w:rsid w:val="00C17529"/>
    <w:rsid w:val="00C1757D"/>
    <w:rsid w:val="00C17588"/>
    <w:rsid w:val="00C17598"/>
    <w:rsid w:val="00C17651"/>
    <w:rsid w:val="00C17662"/>
    <w:rsid w:val="00C17669"/>
    <w:rsid w:val="00C1766F"/>
    <w:rsid w:val="00C1767F"/>
    <w:rsid w:val="00C176B0"/>
    <w:rsid w:val="00C176DF"/>
    <w:rsid w:val="00C176EF"/>
    <w:rsid w:val="00C17779"/>
    <w:rsid w:val="00C17827"/>
    <w:rsid w:val="00C17879"/>
    <w:rsid w:val="00C178C9"/>
    <w:rsid w:val="00C17999"/>
    <w:rsid w:val="00C17A2B"/>
    <w:rsid w:val="00C17A44"/>
    <w:rsid w:val="00C17AC1"/>
    <w:rsid w:val="00C17B13"/>
    <w:rsid w:val="00C17BA8"/>
    <w:rsid w:val="00C17C06"/>
    <w:rsid w:val="00C17C12"/>
    <w:rsid w:val="00C17C57"/>
    <w:rsid w:val="00C17D7A"/>
    <w:rsid w:val="00C17D9F"/>
    <w:rsid w:val="00C17DD5"/>
    <w:rsid w:val="00C17E35"/>
    <w:rsid w:val="00C17E64"/>
    <w:rsid w:val="00C17E74"/>
    <w:rsid w:val="00C17E83"/>
    <w:rsid w:val="00C17EAE"/>
    <w:rsid w:val="00C17ED6"/>
    <w:rsid w:val="00C17EDA"/>
    <w:rsid w:val="00C17F20"/>
    <w:rsid w:val="00C17F32"/>
    <w:rsid w:val="00C17F43"/>
    <w:rsid w:val="00C17F8B"/>
    <w:rsid w:val="00C17FAF"/>
    <w:rsid w:val="00C17FC2"/>
    <w:rsid w:val="00C17FDA"/>
    <w:rsid w:val="00C20037"/>
    <w:rsid w:val="00C20066"/>
    <w:rsid w:val="00C2007B"/>
    <w:rsid w:val="00C200FB"/>
    <w:rsid w:val="00C20116"/>
    <w:rsid w:val="00C20139"/>
    <w:rsid w:val="00C2013E"/>
    <w:rsid w:val="00C20155"/>
    <w:rsid w:val="00C201DE"/>
    <w:rsid w:val="00C201E6"/>
    <w:rsid w:val="00C201F6"/>
    <w:rsid w:val="00C20216"/>
    <w:rsid w:val="00C20230"/>
    <w:rsid w:val="00C2024D"/>
    <w:rsid w:val="00C20251"/>
    <w:rsid w:val="00C20261"/>
    <w:rsid w:val="00C20322"/>
    <w:rsid w:val="00C20369"/>
    <w:rsid w:val="00C20383"/>
    <w:rsid w:val="00C203AD"/>
    <w:rsid w:val="00C203B1"/>
    <w:rsid w:val="00C203DA"/>
    <w:rsid w:val="00C203F2"/>
    <w:rsid w:val="00C204D7"/>
    <w:rsid w:val="00C204F1"/>
    <w:rsid w:val="00C204FB"/>
    <w:rsid w:val="00C20526"/>
    <w:rsid w:val="00C20578"/>
    <w:rsid w:val="00C205A2"/>
    <w:rsid w:val="00C205E8"/>
    <w:rsid w:val="00C2060F"/>
    <w:rsid w:val="00C206AB"/>
    <w:rsid w:val="00C206C6"/>
    <w:rsid w:val="00C206CE"/>
    <w:rsid w:val="00C2073D"/>
    <w:rsid w:val="00C20812"/>
    <w:rsid w:val="00C20886"/>
    <w:rsid w:val="00C208C2"/>
    <w:rsid w:val="00C20911"/>
    <w:rsid w:val="00C2094C"/>
    <w:rsid w:val="00C20953"/>
    <w:rsid w:val="00C209E2"/>
    <w:rsid w:val="00C20A6A"/>
    <w:rsid w:val="00C20A98"/>
    <w:rsid w:val="00C20B28"/>
    <w:rsid w:val="00C20B2B"/>
    <w:rsid w:val="00C20B36"/>
    <w:rsid w:val="00C20B42"/>
    <w:rsid w:val="00C20B87"/>
    <w:rsid w:val="00C20BCB"/>
    <w:rsid w:val="00C20BE4"/>
    <w:rsid w:val="00C20C03"/>
    <w:rsid w:val="00C20C41"/>
    <w:rsid w:val="00C20C50"/>
    <w:rsid w:val="00C20C99"/>
    <w:rsid w:val="00C20CCC"/>
    <w:rsid w:val="00C20CD9"/>
    <w:rsid w:val="00C20D03"/>
    <w:rsid w:val="00C20D0F"/>
    <w:rsid w:val="00C20D16"/>
    <w:rsid w:val="00C20D72"/>
    <w:rsid w:val="00C20DBA"/>
    <w:rsid w:val="00C20E81"/>
    <w:rsid w:val="00C20E90"/>
    <w:rsid w:val="00C20EC6"/>
    <w:rsid w:val="00C20F10"/>
    <w:rsid w:val="00C20F57"/>
    <w:rsid w:val="00C20F97"/>
    <w:rsid w:val="00C20F9E"/>
    <w:rsid w:val="00C20FB2"/>
    <w:rsid w:val="00C210BF"/>
    <w:rsid w:val="00C210D0"/>
    <w:rsid w:val="00C210E8"/>
    <w:rsid w:val="00C21131"/>
    <w:rsid w:val="00C2113E"/>
    <w:rsid w:val="00C21179"/>
    <w:rsid w:val="00C21192"/>
    <w:rsid w:val="00C21210"/>
    <w:rsid w:val="00C21224"/>
    <w:rsid w:val="00C2122F"/>
    <w:rsid w:val="00C2125E"/>
    <w:rsid w:val="00C2132C"/>
    <w:rsid w:val="00C2133B"/>
    <w:rsid w:val="00C21375"/>
    <w:rsid w:val="00C21399"/>
    <w:rsid w:val="00C2139F"/>
    <w:rsid w:val="00C214C6"/>
    <w:rsid w:val="00C214D7"/>
    <w:rsid w:val="00C215B2"/>
    <w:rsid w:val="00C215D1"/>
    <w:rsid w:val="00C21662"/>
    <w:rsid w:val="00C21664"/>
    <w:rsid w:val="00C216BF"/>
    <w:rsid w:val="00C216EA"/>
    <w:rsid w:val="00C21713"/>
    <w:rsid w:val="00C21743"/>
    <w:rsid w:val="00C21790"/>
    <w:rsid w:val="00C21799"/>
    <w:rsid w:val="00C2179F"/>
    <w:rsid w:val="00C217B4"/>
    <w:rsid w:val="00C217C3"/>
    <w:rsid w:val="00C2186F"/>
    <w:rsid w:val="00C2189F"/>
    <w:rsid w:val="00C21945"/>
    <w:rsid w:val="00C2196C"/>
    <w:rsid w:val="00C21975"/>
    <w:rsid w:val="00C21990"/>
    <w:rsid w:val="00C21A09"/>
    <w:rsid w:val="00C21A15"/>
    <w:rsid w:val="00C21A77"/>
    <w:rsid w:val="00C21A80"/>
    <w:rsid w:val="00C21A90"/>
    <w:rsid w:val="00C21AD0"/>
    <w:rsid w:val="00C21AFA"/>
    <w:rsid w:val="00C21B06"/>
    <w:rsid w:val="00C21B20"/>
    <w:rsid w:val="00C21B65"/>
    <w:rsid w:val="00C21C4C"/>
    <w:rsid w:val="00C21C63"/>
    <w:rsid w:val="00C21C86"/>
    <w:rsid w:val="00C21CE4"/>
    <w:rsid w:val="00C21CFF"/>
    <w:rsid w:val="00C21D72"/>
    <w:rsid w:val="00C21D79"/>
    <w:rsid w:val="00C21DB8"/>
    <w:rsid w:val="00C21DD6"/>
    <w:rsid w:val="00C21E02"/>
    <w:rsid w:val="00C21E27"/>
    <w:rsid w:val="00C21E2B"/>
    <w:rsid w:val="00C21E5E"/>
    <w:rsid w:val="00C21EAB"/>
    <w:rsid w:val="00C21EB5"/>
    <w:rsid w:val="00C21EB9"/>
    <w:rsid w:val="00C21FFF"/>
    <w:rsid w:val="00C22027"/>
    <w:rsid w:val="00C22041"/>
    <w:rsid w:val="00C22075"/>
    <w:rsid w:val="00C220E4"/>
    <w:rsid w:val="00C22123"/>
    <w:rsid w:val="00C22124"/>
    <w:rsid w:val="00C221C4"/>
    <w:rsid w:val="00C221FF"/>
    <w:rsid w:val="00C22259"/>
    <w:rsid w:val="00C22267"/>
    <w:rsid w:val="00C22275"/>
    <w:rsid w:val="00C22406"/>
    <w:rsid w:val="00C2240F"/>
    <w:rsid w:val="00C22414"/>
    <w:rsid w:val="00C2241F"/>
    <w:rsid w:val="00C2243A"/>
    <w:rsid w:val="00C22455"/>
    <w:rsid w:val="00C22464"/>
    <w:rsid w:val="00C2246B"/>
    <w:rsid w:val="00C224FC"/>
    <w:rsid w:val="00C22598"/>
    <w:rsid w:val="00C2259C"/>
    <w:rsid w:val="00C225DD"/>
    <w:rsid w:val="00C225F3"/>
    <w:rsid w:val="00C22669"/>
    <w:rsid w:val="00C226D4"/>
    <w:rsid w:val="00C2271C"/>
    <w:rsid w:val="00C2271D"/>
    <w:rsid w:val="00C2272E"/>
    <w:rsid w:val="00C227B1"/>
    <w:rsid w:val="00C227BD"/>
    <w:rsid w:val="00C22853"/>
    <w:rsid w:val="00C22873"/>
    <w:rsid w:val="00C2287E"/>
    <w:rsid w:val="00C22894"/>
    <w:rsid w:val="00C228B4"/>
    <w:rsid w:val="00C228E3"/>
    <w:rsid w:val="00C2293B"/>
    <w:rsid w:val="00C22954"/>
    <w:rsid w:val="00C22996"/>
    <w:rsid w:val="00C229F9"/>
    <w:rsid w:val="00C22A15"/>
    <w:rsid w:val="00C22A55"/>
    <w:rsid w:val="00C22A82"/>
    <w:rsid w:val="00C22AB8"/>
    <w:rsid w:val="00C22ADB"/>
    <w:rsid w:val="00C22B16"/>
    <w:rsid w:val="00C22B1C"/>
    <w:rsid w:val="00C22BD2"/>
    <w:rsid w:val="00C22C1D"/>
    <w:rsid w:val="00C22C3E"/>
    <w:rsid w:val="00C22C43"/>
    <w:rsid w:val="00C22CBF"/>
    <w:rsid w:val="00C22CF0"/>
    <w:rsid w:val="00C22CF1"/>
    <w:rsid w:val="00C22D28"/>
    <w:rsid w:val="00C22D65"/>
    <w:rsid w:val="00C22D91"/>
    <w:rsid w:val="00C22D94"/>
    <w:rsid w:val="00C22DB9"/>
    <w:rsid w:val="00C22DC1"/>
    <w:rsid w:val="00C22DD5"/>
    <w:rsid w:val="00C22E14"/>
    <w:rsid w:val="00C22E41"/>
    <w:rsid w:val="00C22E49"/>
    <w:rsid w:val="00C22ED8"/>
    <w:rsid w:val="00C22F28"/>
    <w:rsid w:val="00C22F3C"/>
    <w:rsid w:val="00C22F44"/>
    <w:rsid w:val="00C23000"/>
    <w:rsid w:val="00C23006"/>
    <w:rsid w:val="00C23007"/>
    <w:rsid w:val="00C23019"/>
    <w:rsid w:val="00C23061"/>
    <w:rsid w:val="00C230AB"/>
    <w:rsid w:val="00C230D6"/>
    <w:rsid w:val="00C23104"/>
    <w:rsid w:val="00C2311A"/>
    <w:rsid w:val="00C2312E"/>
    <w:rsid w:val="00C23167"/>
    <w:rsid w:val="00C2318E"/>
    <w:rsid w:val="00C231D5"/>
    <w:rsid w:val="00C231EF"/>
    <w:rsid w:val="00C232A2"/>
    <w:rsid w:val="00C232AA"/>
    <w:rsid w:val="00C23365"/>
    <w:rsid w:val="00C233B1"/>
    <w:rsid w:val="00C233B3"/>
    <w:rsid w:val="00C23404"/>
    <w:rsid w:val="00C23408"/>
    <w:rsid w:val="00C23439"/>
    <w:rsid w:val="00C2343C"/>
    <w:rsid w:val="00C23441"/>
    <w:rsid w:val="00C2345B"/>
    <w:rsid w:val="00C234CA"/>
    <w:rsid w:val="00C234D1"/>
    <w:rsid w:val="00C234EF"/>
    <w:rsid w:val="00C23501"/>
    <w:rsid w:val="00C23507"/>
    <w:rsid w:val="00C2351E"/>
    <w:rsid w:val="00C235C0"/>
    <w:rsid w:val="00C235CE"/>
    <w:rsid w:val="00C235D6"/>
    <w:rsid w:val="00C23642"/>
    <w:rsid w:val="00C2367D"/>
    <w:rsid w:val="00C237B5"/>
    <w:rsid w:val="00C237EE"/>
    <w:rsid w:val="00C23837"/>
    <w:rsid w:val="00C2385D"/>
    <w:rsid w:val="00C23866"/>
    <w:rsid w:val="00C238D3"/>
    <w:rsid w:val="00C2393E"/>
    <w:rsid w:val="00C23945"/>
    <w:rsid w:val="00C23998"/>
    <w:rsid w:val="00C239B7"/>
    <w:rsid w:val="00C239BE"/>
    <w:rsid w:val="00C239DB"/>
    <w:rsid w:val="00C23A95"/>
    <w:rsid w:val="00C23A99"/>
    <w:rsid w:val="00C23AC4"/>
    <w:rsid w:val="00C23B02"/>
    <w:rsid w:val="00C23B09"/>
    <w:rsid w:val="00C23B15"/>
    <w:rsid w:val="00C23B17"/>
    <w:rsid w:val="00C23B8B"/>
    <w:rsid w:val="00C23BE3"/>
    <w:rsid w:val="00C23C1A"/>
    <w:rsid w:val="00C23C32"/>
    <w:rsid w:val="00C23CD7"/>
    <w:rsid w:val="00C23CDF"/>
    <w:rsid w:val="00C23CF6"/>
    <w:rsid w:val="00C23D40"/>
    <w:rsid w:val="00C23D61"/>
    <w:rsid w:val="00C23DB9"/>
    <w:rsid w:val="00C23DC6"/>
    <w:rsid w:val="00C23E59"/>
    <w:rsid w:val="00C23E60"/>
    <w:rsid w:val="00C23E64"/>
    <w:rsid w:val="00C23EFB"/>
    <w:rsid w:val="00C23F3E"/>
    <w:rsid w:val="00C23F63"/>
    <w:rsid w:val="00C23F74"/>
    <w:rsid w:val="00C23FEF"/>
    <w:rsid w:val="00C24077"/>
    <w:rsid w:val="00C24090"/>
    <w:rsid w:val="00C24091"/>
    <w:rsid w:val="00C240B7"/>
    <w:rsid w:val="00C240C3"/>
    <w:rsid w:val="00C24142"/>
    <w:rsid w:val="00C24161"/>
    <w:rsid w:val="00C24165"/>
    <w:rsid w:val="00C2419A"/>
    <w:rsid w:val="00C241EB"/>
    <w:rsid w:val="00C24211"/>
    <w:rsid w:val="00C2423A"/>
    <w:rsid w:val="00C2424B"/>
    <w:rsid w:val="00C242B7"/>
    <w:rsid w:val="00C24336"/>
    <w:rsid w:val="00C24346"/>
    <w:rsid w:val="00C2434B"/>
    <w:rsid w:val="00C243F2"/>
    <w:rsid w:val="00C243FD"/>
    <w:rsid w:val="00C24478"/>
    <w:rsid w:val="00C24485"/>
    <w:rsid w:val="00C244CE"/>
    <w:rsid w:val="00C24578"/>
    <w:rsid w:val="00C245E8"/>
    <w:rsid w:val="00C245EA"/>
    <w:rsid w:val="00C245EB"/>
    <w:rsid w:val="00C2464E"/>
    <w:rsid w:val="00C246D6"/>
    <w:rsid w:val="00C24710"/>
    <w:rsid w:val="00C24751"/>
    <w:rsid w:val="00C247F5"/>
    <w:rsid w:val="00C24824"/>
    <w:rsid w:val="00C2482D"/>
    <w:rsid w:val="00C24868"/>
    <w:rsid w:val="00C2486A"/>
    <w:rsid w:val="00C2486F"/>
    <w:rsid w:val="00C2487E"/>
    <w:rsid w:val="00C248BC"/>
    <w:rsid w:val="00C248C4"/>
    <w:rsid w:val="00C248E7"/>
    <w:rsid w:val="00C24A02"/>
    <w:rsid w:val="00C24B04"/>
    <w:rsid w:val="00C24B1B"/>
    <w:rsid w:val="00C24B1E"/>
    <w:rsid w:val="00C24B85"/>
    <w:rsid w:val="00C24B8E"/>
    <w:rsid w:val="00C24BAE"/>
    <w:rsid w:val="00C24CB3"/>
    <w:rsid w:val="00C24CCB"/>
    <w:rsid w:val="00C24CD3"/>
    <w:rsid w:val="00C24CEE"/>
    <w:rsid w:val="00C24CF0"/>
    <w:rsid w:val="00C24CFE"/>
    <w:rsid w:val="00C24D1E"/>
    <w:rsid w:val="00C24D51"/>
    <w:rsid w:val="00C24DC8"/>
    <w:rsid w:val="00C24DE8"/>
    <w:rsid w:val="00C24DEA"/>
    <w:rsid w:val="00C24E35"/>
    <w:rsid w:val="00C24E4A"/>
    <w:rsid w:val="00C24E61"/>
    <w:rsid w:val="00C24EA2"/>
    <w:rsid w:val="00C24F25"/>
    <w:rsid w:val="00C24F4D"/>
    <w:rsid w:val="00C24F9E"/>
    <w:rsid w:val="00C24FC5"/>
    <w:rsid w:val="00C24FFB"/>
    <w:rsid w:val="00C25003"/>
    <w:rsid w:val="00C25029"/>
    <w:rsid w:val="00C2509C"/>
    <w:rsid w:val="00C25148"/>
    <w:rsid w:val="00C251BA"/>
    <w:rsid w:val="00C251C1"/>
    <w:rsid w:val="00C251C5"/>
    <w:rsid w:val="00C251E0"/>
    <w:rsid w:val="00C2522F"/>
    <w:rsid w:val="00C25279"/>
    <w:rsid w:val="00C252BC"/>
    <w:rsid w:val="00C252D2"/>
    <w:rsid w:val="00C252F6"/>
    <w:rsid w:val="00C25316"/>
    <w:rsid w:val="00C25369"/>
    <w:rsid w:val="00C25385"/>
    <w:rsid w:val="00C25395"/>
    <w:rsid w:val="00C253BE"/>
    <w:rsid w:val="00C253EC"/>
    <w:rsid w:val="00C25400"/>
    <w:rsid w:val="00C2541A"/>
    <w:rsid w:val="00C25473"/>
    <w:rsid w:val="00C254B5"/>
    <w:rsid w:val="00C25515"/>
    <w:rsid w:val="00C25542"/>
    <w:rsid w:val="00C2554A"/>
    <w:rsid w:val="00C25587"/>
    <w:rsid w:val="00C25597"/>
    <w:rsid w:val="00C255CE"/>
    <w:rsid w:val="00C255DA"/>
    <w:rsid w:val="00C255E0"/>
    <w:rsid w:val="00C255F1"/>
    <w:rsid w:val="00C25612"/>
    <w:rsid w:val="00C25617"/>
    <w:rsid w:val="00C25649"/>
    <w:rsid w:val="00C2566B"/>
    <w:rsid w:val="00C256A0"/>
    <w:rsid w:val="00C256F3"/>
    <w:rsid w:val="00C2570D"/>
    <w:rsid w:val="00C2573C"/>
    <w:rsid w:val="00C257AC"/>
    <w:rsid w:val="00C25858"/>
    <w:rsid w:val="00C258F5"/>
    <w:rsid w:val="00C25910"/>
    <w:rsid w:val="00C25924"/>
    <w:rsid w:val="00C259C5"/>
    <w:rsid w:val="00C259DA"/>
    <w:rsid w:val="00C25A03"/>
    <w:rsid w:val="00C25A29"/>
    <w:rsid w:val="00C25A63"/>
    <w:rsid w:val="00C25AF6"/>
    <w:rsid w:val="00C25B40"/>
    <w:rsid w:val="00C25B94"/>
    <w:rsid w:val="00C25B95"/>
    <w:rsid w:val="00C25BAA"/>
    <w:rsid w:val="00C25BC6"/>
    <w:rsid w:val="00C25C04"/>
    <w:rsid w:val="00C25C11"/>
    <w:rsid w:val="00C25C47"/>
    <w:rsid w:val="00C25C6E"/>
    <w:rsid w:val="00C25C7F"/>
    <w:rsid w:val="00C25C83"/>
    <w:rsid w:val="00C25CC8"/>
    <w:rsid w:val="00C25CDB"/>
    <w:rsid w:val="00C25CF8"/>
    <w:rsid w:val="00C25DFB"/>
    <w:rsid w:val="00C25E2E"/>
    <w:rsid w:val="00C25E35"/>
    <w:rsid w:val="00C25E85"/>
    <w:rsid w:val="00C25E94"/>
    <w:rsid w:val="00C25EAF"/>
    <w:rsid w:val="00C25F9C"/>
    <w:rsid w:val="00C26001"/>
    <w:rsid w:val="00C2601C"/>
    <w:rsid w:val="00C26054"/>
    <w:rsid w:val="00C26063"/>
    <w:rsid w:val="00C2607D"/>
    <w:rsid w:val="00C260C7"/>
    <w:rsid w:val="00C260D5"/>
    <w:rsid w:val="00C260E4"/>
    <w:rsid w:val="00C26149"/>
    <w:rsid w:val="00C261AA"/>
    <w:rsid w:val="00C261DA"/>
    <w:rsid w:val="00C26264"/>
    <w:rsid w:val="00C2632A"/>
    <w:rsid w:val="00C263DB"/>
    <w:rsid w:val="00C263F9"/>
    <w:rsid w:val="00C26412"/>
    <w:rsid w:val="00C2645A"/>
    <w:rsid w:val="00C26479"/>
    <w:rsid w:val="00C264B8"/>
    <w:rsid w:val="00C264DB"/>
    <w:rsid w:val="00C265AD"/>
    <w:rsid w:val="00C265B6"/>
    <w:rsid w:val="00C265E3"/>
    <w:rsid w:val="00C2661B"/>
    <w:rsid w:val="00C26687"/>
    <w:rsid w:val="00C266D2"/>
    <w:rsid w:val="00C26712"/>
    <w:rsid w:val="00C26724"/>
    <w:rsid w:val="00C26778"/>
    <w:rsid w:val="00C26789"/>
    <w:rsid w:val="00C26864"/>
    <w:rsid w:val="00C26873"/>
    <w:rsid w:val="00C26879"/>
    <w:rsid w:val="00C26892"/>
    <w:rsid w:val="00C26895"/>
    <w:rsid w:val="00C268AE"/>
    <w:rsid w:val="00C268E0"/>
    <w:rsid w:val="00C268E4"/>
    <w:rsid w:val="00C26941"/>
    <w:rsid w:val="00C26949"/>
    <w:rsid w:val="00C26953"/>
    <w:rsid w:val="00C26964"/>
    <w:rsid w:val="00C26986"/>
    <w:rsid w:val="00C269A7"/>
    <w:rsid w:val="00C269D8"/>
    <w:rsid w:val="00C269EF"/>
    <w:rsid w:val="00C26A6D"/>
    <w:rsid w:val="00C26AAD"/>
    <w:rsid w:val="00C26ABD"/>
    <w:rsid w:val="00C26AC9"/>
    <w:rsid w:val="00C26ACF"/>
    <w:rsid w:val="00C26AE2"/>
    <w:rsid w:val="00C26AEC"/>
    <w:rsid w:val="00C26B1A"/>
    <w:rsid w:val="00C26B2B"/>
    <w:rsid w:val="00C26B75"/>
    <w:rsid w:val="00C26BAB"/>
    <w:rsid w:val="00C26BD7"/>
    <w:rsid w:val="00C26BE7"/>
    <w:rsid w:val="00C26C7D"/>
    <w:rsid w:val="00C26CCC"/>
    <w:rsid w:val="00C26D2C"/>
    <w:rsid w:val="00C26D30"/>
    <w:rsid w:val="00C26D41"/>
    <w:rsid w:val="00C26D47"/>
    <w:rsid w:val="00C26DF3"/>
    <w:rsid w:val="00C26E5B"/>
    <w:rsid w:val="00C26F16"/>
    <w:rsid w:val="00C26F1C"/>
    <w:rsid w:val="00C26F71"/>
    <w:rsid w:val="00C26F7F"/>
    <w:rsid w:val="00C27050"/>
    <w:rsid w:val="00C2705B"/>
    <w:rsid w:val="00C27061"/>
    <w:rsid w:val="00C2707D"/>
    <w:rsid w:val="00C27082"/>
    <w:rsid w:val="00C270D4"/>
    <w:rsid w:val="00C2713E"/>
    <w:rsid w:val="00C27145"/>
    <w:rsid w:val="00C2714A"/>
    <w:rsid w:val="00C271AE"/>
    <w:rsid w:val="00C271AF"/>
    <w:rsid w:val="00C271C8"/>
    <w:rsid w:val="00C271F4"/>
    <w:rsid w:val="00C2729C"/>
    <w:rsid w:val="00C272AE"/>
    <w:rsid w:val="00C272BF"/>
    <w:rsid w:val="00C27327"/>
    <w:rsid w:val="00C27364"/>
    <w:rsid w:val="00C2736C"/>
    <w:rsid w:val="00C273C5"/>
    <w:rsid w:val="00C273C7"/>
    <w:rsid w:val="00C273D1"/>
    <w:rsid w:val="00C2740D"/>
    <w:rsid w:val="00C2741B"/>
    <w:rsid w:val="00C27455"/>
    <w:rsid w:val="00C27464"/>
    <w:rsid w:val="00C27503"/>
    <w:rsid w:val="00C27556"/>
    <w:rsid w:val="00C27567"/>
    <w:rsid w:val="00C27569"/>
    <w:rsid w:val="00C275DD"/>
    <w:rsid w:val="00C27652"/>
    <w:rsid w:val="00C276C0"/>
    <w:rsid w:val="00C27718"/>
    <w:rsid w:val="00C2773A"/>
    <w:rsid w:val="00C27751"/>
    <w:rsid w:val="00C27763"/>
    <w:rsid w:val="00C27770"/>
    <w:rsid w:val="00C27794"/>
    <w:rsid w:val="00C277C2"/>
    <w:rsid w:val="00C277CB"/>
    <w:rsid w:val="00C277CF"/>
    <w:rsid w:val="00C277F6"/>
    <w:rsid w:val="00C27818"/>
    <w:rsid w:val="00C27866"/>
    <w:rsid w:val="00C278CF"/>
    <w:rsid w:val="00C2794A"/>
    <w:rsid w:val="00C279A5"/>
    <w:rsid w:val="00C279AB"/>
    <w:rsid w:val="00C279BE"/>
    <w:rsid w:val="00C279C3"/>
    <w:rsid w:val="00C27A75"/>
    <w:rsid w:val="00C27A7C"/>
    <w:rsid w:val="00C27A8F"/>
    <w:rsid w:val="00C27AB0"/>
    <w:rsid w:val="00C27ADD"/>
    <w:rsid w:val="00C27BF2"/>
    <w:rsid w:val="00C27C30"/>
    <w:rsid w:val="00C27C39"/>
    <w:rsid w:val="00C27C61"/>
    <w:rsid w:val="00C27C77"/>
    <w:rsid w:val="00C27D42"/>
    <w:rsid w:val="00C27D82"/>
    <w:rsid w:val="00C27DB0"/>
    <w:rsid w:val="00C27DC5"/>
    <w:rsid w:val="00C27DD2"/>
    <w:rsid w:val="00C27DDD"/>
    <w:rsid w:val="00C27E1E"/>
    <w:rsid w:val="00C27E33"/>
    <w:rsid w:val="00C27E41"/>
    <w:rsid w:val="00C27E84"/>
    <w:rsid w:val="00C27E94"/>
    <w:rsid w:val="00C27E9D"/>
    <w:rsid w:val="00C27ECE"/>
    <w:rsid w:val="00C27EE7"/>
    <w:rsid w:val="00C27F52"/>
    <w:rsid w:val="00C27FC3"/>
    <w:rsid w:val="00C30018"/>
    <w:rsid w:val="00C30034"/>
    <w:rsid w:val="00C3007A"/>
    <w:rsid w:val="00C300B0"/>
    <w:rsid w:val="00C300F6"/>
    <w:rsid w:val="00C30120"/>
    <w:rsid w:val="00C3012B"/>
    <w:rsid w:val="00C3014E"/>
    <w:rsid w:val="00C3016F"/>
    <w:rsid w:val="00C301AF"/>
    <w:rsid w:val="00C301C6"/>
    <w:rsid w:val="00C30201"/>
    <w:rsid w:val="00C3027F"/>
    <w:rsid w:val="00C30282"/>
    <w:rsid w:val="00C302AA"/>
    <w:rsid w:val="00C302D7"/>
    <w:rsid w:val="00C302EA"/>
    <w:rsid w:val="00C30312"/>
    <w:rsid w:val="00C30387"/>
    <w:rsid w:val="00C30426"/>
    <w:rsid w:val="00C3045C"/>
    <w:rsid w:val="00C3049B"/>
    <w:rsid w:val="00C304A5"/>
    <w:rsid w:val="00C304AA"/>
    <w:rsid w:val="00C304EE"/>
    <w:rsid w:val="00C30556"/>
    <w:rsid w:val="00C3055B"/>
    <w:rsid w:val="00C30574"/>
    <w:rsid w:val="00C30589"/>
    <w:rsid w:val="00C305EA"/>
    <w:rsid w:val="00C30600"/>
    <w:rsid w:val="00C3068A"/>
    <w:rsid w:val="00C306AC"/>
    <w:rsid w:val="00C306EE"/>
    <w:rsid w:val="00C306F9"/>
    <w:rsid w:val="00C30748"/>
    <w:rsid w:val="00C30755"/>
    <w:rsid w:val="00C30779"/>
    <w:rsid w:val="00C30797"/>
    <w:rsid w:val="00C30832"/>
    <w:rsid w:val="00C3084F"/>
    <w:rsid w:val="00C30858"/>
    <w:rsid w:val="00C3086A"/>
    <w:rsid w:val="00C30888"/>
    <w:rsid w:val="00C308B2"/>
    <w:rsid w:val="00C30977"/>
    <w:rsid w:val="00C30996"/>
    <w:rsid w:val="00C3099F"/>
    <w:rsid w:val="00C309E8"/>
    <w:rsid w:val="00C30A72"/>
    <w:rsid w:val="00C30A94"/>
    <w:rsid w:val="00C30B22"/>
    <w:rsid w:val="00C30C08"/>
    <w:rsid w:val="00C30C0E"/>
    <w:rsid w:val="00C30C82"/>
    <w:rsid w:val="00C30C87"/>
    <w:rsid w:val="00C30C9A"/>
    <w:rsid w:val="00C30CD9"/>
    <w:rsid w:val="00C30D1F"/>
    <w:rsid w:val="00C30E0B"/>
    <w:rsid w:val="00C30E47"/>
    <w:rsid w:val="00C30E4B"/>
    <w:rsid w:val="00C30E65"/>
    <w:rsid w:val="00C30E80"/>
    <w:rsid w:val="00C30F45"/>
    <w:rsid w:val="00C30FBF"/>
    <w:rsid w:val="00C30FDE"/>
    <w:rsid w:val="00C31017"/>
    <w:rsid w:val="00C3103E"/>
    <w:rsid w:val="00C3103F"/>
    <w:rsid w:val="00C31062"/>
    <w:rsid w:val="00C3106B"/>
    <w:rsid w:val="00C31073"/>
    <w:rsid w:val="00C3112C"/>
    <w:rsid w:val="00C31155"/>
    <w:rsid w:val="00C31183"/>
    <w:rsid w:val="00C31230"/>
    <w:rsid w:val="00C31267"/>
    <w:rsid w:val="00C31282"/>
    <w:rsid w:val="00C312A4"/>
    <w:rsid w:val="00C31342"/>
    <w:rsid w:val="00C31351"/>
    <w:rsid w:val="00C31352"/>
    <w:rsid w:val="00C3138C"/>
    <w:rsid w:val="00C3139C"/>
    <w:rsid w:val="00C3139D"/>
    <w:rsid w:val="00C313E2"/>
    <w:rsid w:val="00C3143A"/>
    <w:rsid w:val="00C3143B"/>
    <w:rsid w:val="00C31474"/>
    <w:rsid w:val="00C3149C"/>
    <w:rsid w:val="00C31522"/>
    <w:rsid w:val="00C31524"/>
    <w:rsid w:val="00C31536"/>
    <w:rsid w:val="00C31584"/>
    <w:rsid w:val="00C31666"/>
    <w:rsid w:val="00C31675"/>
    <w:rsid w:val="00C3168E"/>
    <w:rsid w:val="00C31694"/>
    <w:rsid w:val="00C31737"/>
    <w:rsid w:val="00C31793"/>
    <w:rsid w:val="00C31883"/>
    <w:rsid w:val="00C318AC"/>
    <w:rsid w:val="00C318B6"/>
    <w:rsid w:val="00C318BF"/>
    <w:rsid w:val="00C318C1"/>
    <w:rsid w:val="00C31951"/>
    <w:rsid w:val="00C31994"/>
    <w:rsid w:val="00C319BC"/>
    <w:rsid w:val="00C319C6"/>
    <w:rsid w:val="00C319D9"/>
    <w:rsid w:val="00C319DF"/>
    <w:rsid w:val="00C31A01"/>
    <w:rsid w:val="00C31A0B"/>
    <w:rsid w:val="00C31A73"/>
    <w:rsid w:val="00C31AC4"/>
    <w:rsid w:val="00C31ACA"/>
    <w:rsid w:val="00C31ADD"/>
    <w:rsid w:val="00C31AE3"/>
    <w:rsid w:val="00C31AEE"/>
    <w:rsid w:val="00C31B53"/>
    <w:rsid w:val="00C31C03"/>
    <w:rsid w:val="00C31C33"/>
    <w:rsid w:val="00C31C40"/>
    <w:rsid w:val="00C31C6D"/>
    <w:rsid w:val="00C31CDB"/>
    <w:rsid w:val="00C31CE8"/>
    <w:rsid w:val="00C31D06"/>
    <w:rsid w:val="00C31D31"/>
    <w:rsid w:val="00C31D71"/>
    <w:rsid w:val="00C31E25"/>
    <w:rsid w:val="00C31E40"/>
    <w:rsid w:val="00C31EB4"/>
    <w:rsid w:val="00C31EB7"/>
    <w:rsid w:val="00C31EDE"/>
    <w:rsid w:val="00C31F07"/>
    <w:rsid w:val="00C31F21"/>
    <w:rsid w:val="00C31F31"/>
    <w:rsid w:val="00C31FF4"/>
    <w:rsid w:val="00C3201D"/>
    <w:rsid w:val="00C3203D"/>
    <w:rsid w:val="00C3207D"/>
    <w:rsid w:val="00C3209E"/>
    <w:rsid w:val="00C320C7"/>
    <w:rsid w:val="00C320CB"/>
    <w:rsid w:val="00C32127"/>
    <w:rsid w:val="00C32153"/>
    <w:rsid w:val="00C32154"/>
    <w:rsid w:val="00C321B3"/>
    <w:rsid w:val="00C32205"/>
    <w:rsid w:val="00C3222C"/>
    <w:rsid w:val="00C3226B"/>
    <w:rsid w:val="00C32288"/>
    <w:rsid w:val="00C3229E"/>
    <w:rsid w:val="00C322AA"/>
    <w:rsid w:val="00C322F8"/>
    <w:rsid w:val="00C3232D"/>
    <w:rsid w:val="00C32340"/>
    <w:rsid w:val="00C32352"/>
    <w:rsid w:val="00C3236E"/>
    <w:rsid w:val="00C32377"/>
    <w:rsid w:val="00C32381"/>
    <w:rsid w:val="00C323CC"/>
    <w:rsid w:val="00C323D5"/>
    <w:rsid w:val="00C3240C"/>
    <w:rsid w:val="00C32423"/>
    <w:rsid w:val="00C32429"/>
    <w:rsid w:val="00C3242C"/>
    <w:rsid w:val="00C324AF"/>
    <w:rsid w:val="00C324B2"/>
    <w:rsid w:val="00C324B7"/>
    <w:rsid w:val="00C324C5"/>
    <w:rsid w:val="00C324E5"/>
    <w:rsid w:val="00C32524"/>
    <w:rsid w:val="00C32534"/>
    <w:rsid w:val="00C32559"/>
    <w:rsid w:val="00C3255B"/>
    <w:rsid w:val="00C3257C"/>
    <w:rsid w:val="00C325A2"/>
    <w:rsid w:val="00C325ED"/>
    <w:rsid w:val="00C325FC"/>
    <w:rsid w:val="00C3260F"/>
    <w:rsid w:val="00C3263E"/>
    <w:rsid w:val="00C3266B"/>
    <w:rsid w:val="00C326A8"/>
    <w:rsid w:val="00C326BD"/>
    <w:rsid w:val="00C32819"/>
    <w:rsid w:val="00C32826"/>
    <w:rsid w:val="00C32863"/>
    <w:rsid w:val="00C3286C"/>
    <w:rsid w:val="00C3288F"/>
    <w:rsid w:val="00C328D4"/>
    <w:rsid w:val="00C32903"/>
    <w:rsid w:val="00C32926"/>
    <w:rsid w:val="00C32937"/>
    <w:rsid w:val="00C32962"/>
    <w:rsid w:val="00C329BD"/>
    <w:rsid w:val="00C32A2A"/>
    <w:rsid w:val="00C32A2C"/>
    <w:rsid w:val="00C32A39"/>
    <w:rsid w:val="00C32A3D"/>
    <w:rsid w:val="00C32A47"/>
    <w:rsid w:val="00C32A6B"/>
    <w:rsid w:val="00C32A87"/>
    <w:rsid w:val="00C32AD3"/>
    <w:rsid w:val="00C32B14"/>
    <w:rsid w:val="00C32B60"/>
    <w:rsid w:val="00C32B68"/>
    <w:rsid w:val="00C32B73"/>
    <w:rsid w:val="00C32BAC"/>
    <w:rsid w:val="00C32BEA"/>
    <w:rsid w:val="00C32C47"/>
    <w:rsid w:val="00C32C5E"/>
    <w:rsid w:val="00C32C69"/>
    <w:rsid w:val="00C32D2A"/>
    <w:rsid w:val="00C32DC6"/>
    <w:rsid w:val="00C32DD3"/>
    <w:rsid w:val="00C32DE8"/>
    <w:rsid w:val="00C32DE9"/>
    <w:rsid w:val="00C32E33"/>
    <w:rsid w:val="00C32E7D"/>
    <w:rsid w:val="00C32F0F"/>
    <w:rsid w:val="00C32F67"/>
    <w:rsid w:val="00C3301E"/>
    <w:rsid w:val="00C33083"/>
    <w:rsid w:val="00C330C3"/>
    <w:rsid w:val="00C330CC"/>
    <w:rsid w:val="00C330CF"/>
    <w:rsid w:val="00C3310B"/>
    <w:rsid w:val="00C33138"/>
    <w:rsid w:val="00C331E0"/>
    <w:rsid w:val="00C33267"/>
    <w:rsid w:val="00C33284"/>
    <w:rsid w:val="00C332BF"/>
    <w:rsid w:val="00C33306"/>
    <w:rsid w:val="00C3331A"/>
    <w:rsid w:val="00C33342"/>
    <w:rsid w:val="00C33346"/>
    <w:rsid w:val="00C33349"/>
    <w:rsid w:val="00C334DE"/>
    <w:rsid w:val="00C334EE"/>
    <w:rsid w:val="00C33525"/>
    <w:rsid w:val="00C3355E"/>
    <w:rsid w:val="00C33622"/>
    <w:rsid w:val="00C33643"/>
    <w:rsid w:val="00C336A3"/>
    <w:rsid w:val="00C336B2"/>
    <w:rsid w:val="00C336D3"/>
    <w:rsid w:val="00C336DE"/>
    <w:rsid w:val="00C33702"/>
    <w:rsid w:val="00C338B3"/>
    <w:rsid w:val="00C338B7"/>
    <w:rsid w:val="00C3391A"/>
    <w:rsid w:val="00C33932"/>
    <w:rsid w:val="00C33943"/>
    <w:rsid w:val="00C33954"/>
    <w:rsid w:val="00C33957"/>
    <w:rsid w:val="00C33985"/>
    <w:rsid w:val="00C339B0"/>
    <w:rsid w:val="00C339D8"/>
    <w:rsid w:val="00C33A0D"/>
    <w:rsid w:val="00C33A29"/>
    <w:rsid w:val="00C33A5B"/>
    <w:rsid w:val="00C33A63"/>
    <w:rsid w:val="00C33A75"/>
    <w:rsid w:val="00C33AF1"/>
    <w:rsid w:val="00C33B2A"/>
    <w:rsid w:val="00C33B38"/>
    <w:rsid w:val="00C33B4C"/>
    <w:rsid w:val="00C33B7A"/>
    <w:rsid w:val="00C33B92"/>
    <w:rsid w:val="00C33BE6"/>
    <w:rsid w:val="00C33C02"/>
    <w:rsid w:val="00C33C08"/>
    <w:rsid w:val="00C33C24"/>
    <w:rsid w:val="00C33C98"/>
    <w:rsid w:val="00C33D47"/>
    <w:rsid w:val="00C33DA7"/>
    <w:rsid w:val="00C33E90"/>
    <w:rsid w:val="00C33EA1"/>
    <w:rsid w:val="00C33EE5"/>
    <w:rsid w:val="00C33FAF"/>
    <w:rsid w:val="00C33FB3"/>
    <w:rsid w:val="00C34013"/>
    <w:rsid w:val="00C34016"/>
    <w:rsid w:val="00C340B6"/>
    <w:rsid w:val="00C340D9"/>
    <w:rsid w:val="00C340DD"/>
    <w:rsid w:val="00C3416B"/>
    <w:rsid w:val="00C341A9"/>
    <w:rsid w:val="00C341D1"/>
    <w:rsid w:val="00C34243"/>
    <w:rsid w:val="00C34272"/>
    <w:rsid w:val="00C34286"/>
    <w:rsid w:val="00C3432B"/>
    <w:rsid w:val="00C3432C"/>
    <w:rsid w:val="00C34380"/>
    <w:rsid w:val="00C34394"/>
    <w:rsid w:val="00C3439E"/>
    <w:rsid w:val="00C343B4"/>
    <w:rsid w:val="00C3440C"/>
    <w:rsid w:val="00C3440D"/>
    <w:rsid w:val="00C34422"/>
    <w:rsid w:val="00C3442F"/>
    <w:rsid w:val="00C34454"/>
    <w:rsid w:val="00C3446C"/>
    <w:rsid w:val="00C3447C"/>
    <w:rsid w:val="00C344E2"/>
    <w:rsid w:val="00C3459C"/>
    <w:rsid w:val="00C345B6"/>
    <w:rsid w:val="00C345D2"/>
    <w:rsid w:val="00C345D8"/>
    <w:rsid w:val="00C34601"/>
    <w:rsid w:val="00C34618"/>
    <w:rsid w:val="00C346F7"/>
    <w:rsid w:val="00C347B0"/>
    <w:rsid w:val="00C347C8"/>
    <w:rsid w:val="00C34812"/>
    <w:rsid w:val="00C348B4"/>
    <w:rsid w:val="00C348EE"/>
    <w:rsid w:val="00C34900"/>
    <w:rsid w:val="00C3490A"/>
    <w:rsid w:val="00C34958"/>
    <w:rsid w:val="00C34986"/>
    <w:rsid w:val="00C3498A"/>
    <w:rsid w:val="00C3499A"/>
    <w:rsid w:val="00C34A5B"/>
    <w:rsid w:val="00C34A6F"/>
    <w:rsid w:val="00C34AAF"/>
    <w:rsid w:val="00C34B14"/>
    <w:rsid w:val="00C34B2A"/>
    <w:rsid w:val="00C34B6B"/>
    <w:rsid w:val="00C34B74"/>
    <w:rsid w:val="00C34BC1"/>
    <w:rsid w:val="00C34BEF"/>
    <w:rsid w:val="00C34C11"/>
    <w:rsid w:val="00C34C34"/>
    <w:rsid w:val="00C34C40"/>
    <w:rsid w:val="00C34CE4"/>
    <w:rsid w:val="00C34D20"/>
    <w:rsid w:val="00C34D29"/>
    <w:rsid w:val="00C34DBA"/>
    <w:rsid w:val="00C34DDB"/>
    <w:rsid w:val="00C34F33"/>
    <w:rsid w:val="00C34F99"/>
    <w:rsid w:val="00C34FA2"/>
    <w:rsid w:val="00C34FC5"/>
    <w:rsid w:val="00C35026"/>
    <w:rsid w:val="00C35078"/>
    <w:rsid w:val="00C350A2"/>
    <w:rsid w:val="00C350AF"/>
    <w:rsid w:val="00C350D0"/>
    <w:rsid w:val="00C350D6"/>
    <w:rsid w:val="00C35107"/>
    <w:rsid w:val="00C351DA"/>
    <w:rsid w:val="00C351F3"/>
    <w:rsid w:val="00C35226"/>
    <w:rsid w:val="00C35239"/>
    <w:rsid w:val="00C35246"/>
    <w:rsid w:val="00C35265"/>
    <w:rsid w:val="00C352B0"/>
    <w:rsid w:val="00C35304"/>
    <w:rsid w:val="00C3537A"/>
    <w:rsid w:val="00C353C3"/>
    <w:rsid w:val="00C353E5"/>
    <w:rsid w:val="00C35408"/>
    <w:rsid w:val="00C35474"/>
    <w:rsid w:val="00C35475"/>
    <w:rsid w:val="00C3547E"/>
    <w:rsid w:val="00C3547F"/>
    <w:rsid w:val="00C354BC"/>
    <w:rsid w:val="00C354EE"/>
    <w:rsid w:val="00C354EF"/>
    <w:rsid w:val="00C3550D"/>
    <w:rsid w:val="00C3551F"/>
    <w:rsid w:val="00C3553A"/>
    <w:rsid w:val="00C35557"/>
    <w:rsid w:val="00C35584"/>
    <w:rsid w:val="00C3558A"/>
    <w:rsid w:val="00C355D4"/>
    <w:rsid w:val="00C3560E"/>
    <w:rsid w:val="00C35686"/>
    <w:rsid w:val="00C356B5"/>
    <w:rsid w:val="00C3579F"/>
    <w:rsid w:val="00C357C1"/>
    <w:rsid w:val="00C3581D"/>
    <w:rsid w:val="00C3585E"/>
    <w:rsid w:val="00C35860"/>
    <w:rsid w:val="00C35861"/>
    <w:rsid w:val="00C358D4"/>
    <w:rsid w:val="00C3595F"/>
    <w:rsid w:val="00C35971"/>
    <w:rsid w:val="00C3599C"/>
    <w:rsid w:val="00C359AB"/>
    <w:rsid w:val="00C359B9"/>
    <w:rsid w:val="00C359DC"/>
    <w:rsid w:val="00C359E0"/>
    <w:rsid w:val="00C359F5"/>
    <w:rsid w:val="00C35A0F"/>
    <w:rsid w:val="00C35A26"/>
    <w:rsid w:val="00C35A41"/>
    <w:rsid w:val="00C35A56"/>
    <w:rsid w:val="00C35AFF"/>
    <w:rsid w:val="00C35B14"/>
    <w:rsid w:val="00C35B42"/>
    <w:rsid w:val="00C35B9E"/>
    <w:rsid w:val="00C35C19"/>
    <w:rsid w:val="00C35C2D"/>
    <w:rsid w:val="00C35C77"/>
    <w:rsid w:val="00C35C87"/>
    <w:rsid w:val="00C35C97"/>
    <w:rsid w:val="00C35CCA"/>
    <w:rsid w:val="00C35CDB"/>
    <w:rsid w:val="00C35CE5"/>
    <w:rsid w:val="00C35D65"/>
    <w:rsid w:val="00C35D67"/>
    <w:rsid w:val="00C35DCC"/>
    <w:rsid w:val="00C35E2A"/>
    <w:rsid w:val="00C35E49"/>
    <w:rsid w:val="00C35E5E"/>
    <w:rsid w:val="00C35E81"/>
    <w:rsid w:val="00C35F12"/>
    <w:rsid w:val="00C35F4D"/>
    <w:rsid w:val="00C35F80"/>
    <w:rsid w:val="00C35F9B"/>
    <w:rsid w:val="00C35FCD"/>
    <w:rsid w:val="00C36036"/>
    <w:rsid w:val="00C36051"/>
    <w:rsid w:val="00C36071"/>
    <w:rsid w:val="00C36089"/>
    <w:rsid w:val="00C360B2"/>
    <w:rsid w:val="00C360CE"/>
    <w:rsid w:val="00C3616C"/>
    <w:rsid w:val="00C3619A"/>
    <w:rsid w:val="00C361C4"/>
    <w:rsid w:val="00C361D9"/>
    <w:rsid w:val="00C36248"/>
    <w:rsid w:val="00C3626A"/>
    <w:rsid w:val="00C36277"/>
    <w:rsid w:val="00C3628C"/>
    <w:rsid w:val="00C3634F"/>
    <w:rsid w:val="00C363CB"/>
    <w:rsid w:val="00C363E3"/>
    <w:rsid w:val="00C3640B"/>
    <w:rsid w:val="00C36416"/>
    <w:rsid w:val="00C3647F"/>
    <w:rsid w:val="00C36487"/>
    <w:rsid w:val="00C3648A"/>
    <w:rsid w:val="00C3648D"/>
    <w:rsid w:val="00C3657D"/>
    <w:rsid w:val="00C365AF"/>
    <w:rsid w:val="00C365B6"/>
    <w:rsid w:val="00C3663A"/>
    <w:rsid w:val="00C36697"/>
    <w:rsid w:val="00C3672B"/>
    <w:rsid w:val="00C3674F"/>
    <w:rsid w:val="00C36797"/>
    <w:rsid w:val="00C367B9"/>
    <w:rsid w:val="00C367E0"/>
    <w:rsid w:val="00C367EA"/>
    <w:rsid w:val="00C3681B"/>
    <w:rsid w:val="00C368AF"/>
    <w:rsid w:val="00C368CA"/>
    <w:rsid w:val="00C36979"/>
    <w:rsid w:val="00C36987"/>
    <w:rsid w:val="00C369A8"/>
    <w:rsid w:val="00C369C5"/>
    <w:rsid w:val="00C36A6E"/>
    <w:rsid w:val="00C36AA9"/>
    <w:rsid w:val="00C36AC4"/>
    <w:rsid w:val="00C36AD4"/>
    <w:rsid w:val="00C36B26"/>
    <w:rsid w:val="00C36B2D"/>
    <w:rsid w:val="00C36B73"/>
    <w:rsid w:val="00C36B86"/>
    <w:rsid w:val="00C36C06"/>
    <w:rsid w:val="00C36CAD"/>
    <w:rsid w:val="00C36CCB"/>
    <w:rsid w:val="00C36D05"/>
    <w:rsid w:val="00C36D94"/>
    <w:rsid w:val="00C36DAC"/>
    <w:rsid w:val="00C36E2D"/>
    <w:rsid w:val="00C36E42"/>
    <w:rsid w:val="00C36E64"/>
    <w:rsid w:val="00C36ECE"/>
    <w:rsid w:val="00C36EDB"/>
    <w:rsid w:val="00C36F17"/>
    <w:rsid w:val="00C36F26"/>
    <w:rsid w:val="00C36F34"/>
    <w:rsid w:val="00C36FC6"/>
    <w:rsid w:val="00C36FD8"/>
    <w:rsid w:val="00C36FDB"/>
    <w:rsid w:val="00C37022"/>
    <w:rsid w:val="00C37038"/>
    <w:rsid w:val="00C37092"/>
    <w:rsid w:val="00C370AF"/>
    <w:rsid w:val="00C370DB"/>
    <w:rsid w:val="00C3719C"/>
    <w:rsid w:val="00C371D3"/>
    <w:rsid w:val="00C37288"/>
    <w:rsid w:val="00C3728A"/>
    <w:rsid w:val="00C372D6"/>
    <w:rsid w:val="00C372F6"/>
    <w:rsid w:val="00C37307"/>
    <w:rsid w:val="00C37322"/>
    <w:rsid w:val="00C37353"/>
    <w:rsid w:val="00C3736A"/>
    <w:rsid w:val="00C37379"/>
    <w:rsid w:val="00C373B8"/>
    <w:rsid w:val="00C373C6"/>
    <w:rsid w:val="00C373E7"/>
    <w:rsid w:val="00C373EC"/>
    <w:rsid w:val="00C37412"/>
    <w:rsid w:val="00C3741D"/>
    <w:rsid w:val="00C37425"/>
    <w:rsid w:val="00C3742B"/>
    <w:rsid w:val="00C37433"/>
    <w:rsid w:val="00C3745F"/>
    <w:rsid w:val="00C37462"/>
    <w:rsid w:val="00C374A5"/>
    <w:rsid w:val="00C374AA"/>
    <w:rsid w:val="00C374BC"/>
    <w:rsid w:val="00C37530"/>
    <w:rsid w:val="00C3753A"/>
    <w:rsid w:val="00C37553"/>
    <w:rsid w:val="00C375A7"/>
    <w:rsid w:val="00C375DB"/>
    <w:rsid w:val="00C375EC"/>
    <w:rsid w:val="00C3764B"/>
    <w:rsid w:val="00C376D6"/>
    <w:rsid w:val="00C376DF"/>
    <w:rsid w:val="00C37785"/>
    <w:rsid w:val="00C3778E"/>
    <w:rsid w:val="00C377A2"/>
    <w:rsid w:val="00C37805"/>
    <w:rsid w:val="00C37831"/>
    <w:rsid w:val="00C37841"/>
    <w:rsid w:val="00C378B6"/>
    <w:rsid w:val="00C378DD"/>
    <w:rsid w:val="00C37904"/>
    <w:rsid w:val="00C3792B"/>
    <w:rsid w:val="00C3797F"/>
    <w:rsid w:val="00C379AB"/>
    <w:rsid w:val="00C379AF"/>
    <w:rsid w:val="00C379B9"/>
    <w:rsid w:val="00C379D9"/>
    <w:rsid w:val="00C37A4A"/>
    <w:rsid w:val="00C37A5F"/>
    <w:rsid w:val="00C37AB2"/>
    <w:rsid w:val="00C37AB7"/>
    <w:rsid w:val="00C37AC8"/>
    <w:rsid w:val="00C37BA0"/>
    <w:rsid w:val="00C37C7F"/>
    <w:rsid w:val="00C37D20"/>
    <w:rsid w:val="00C37D8F"/>
    <w:rsid w:val="00C37DAF"/>
    <w:rsid w:val="00C37DD8"/>
    <w:rsid w:val="00C37DF7"/>
    <w:rsid w:val="00C37E31"/>
    <w:rsid w:val="00C37E93"/>
    <w:rsid w:val="00C37F25"/>
    <w:rsid w:val="00C37F8B"/>
    <w:rsid w:val="00C37FB2"/>
    <w:rsid w:val="00C37FB6"/>
    <w:rsid w:val="00C37FDF"/>
    <w:rsid w:val="00C40005"/>
    <w:rsid w:val="00C40038"/>
    <w:rsid w:val="00C40060"/>
    <w:rsid w:val="00C40062"/>
    <w:rsid w:val="00C400CA"/>
    <w:rsid w:val="00C400CB"/>
    <w:rsid w:val="00C400E2"/>
    <w:rsid w:val="00C400E3"/>
    <w:rsid w:val="00C40114"/>
    <w:rsid w:val="00C4012A"/>
    <w:rsid w:val="00C4012B"/>
    <w:rsid w:val="00C4015D"/>
    <w:rsid w:val="00C4018E"/>
    <w:rsid w:val="00C401D7"/>
    <w:rsid w:val="00C40208"/>
    <w:rsid w:val="00C40237"/>
    <w:rsid w:val="00C4025D"/>
    <w:rsid w:val="00C4026B"/>
    <w:rsid w:val="00C40323"/>
    <w:rsid w:val="00C40361"/>
    <w:rsid w:val="00C40375"/>
    <w:rsid w:val="00C403C6"/>
    <w:rsid w:val="00C403E2"/>
    <w:rsid w:val="00C403F1"/>
    <w:rsid w:val="00C40401"/>
    <w:rsid w:val="00C4040A"/>
    <w:rsid w:val="00C40473"/>
    <w:rsid w:val="00C40483"/>
    <w:rsid w:val="00C404B2"/>
    <w:rsid w:val="00C404D7"/>
    <w:rsid w:val="00C404DB"/>
    <w:rsid w:val="00C404E8"/>
    <w:rsid w:val="00C40514"/>
    <w:rsid w:val="00C40528"/>
    <w:rsid w:val="00C40592"/>
    <w:rsid w:val="00C4059C"/>
    <w:rsid w:val="00C405A6"/>
    <w:rsid w:val="00C40600"/>
    <w:rsid w:val="00C4061F"/>
    <w:rsid w:val="00C4065D"/>
    <w:rsid w:val="00C40664"/>
    <w:rsid w:val="00C40699"/>
    <w:rsid w:val="00C406F0"/>
    <w:rsid w:val="00C406F3"/>
    <w:rsid w:val="00C4071B"/>
    <w:rsid w:val="00C40776"/>
    <w:rsid w:val="00C407AC"/>
    <w:rsid w:val="00C4085A"/>
    <w:rsid w:val="00C40891"/>
    <w:rsid w:val="00C40899"/>
    <w:rsid w:val="00C408AE"/>
    <w:rsid w:val="00C40929"/>
    <w:rsid w:val="00C409C2"/>
    <w:rsid w:val="00C409FE"/>
    <w:rsid w:val="00C40A68"/>
    <w:rsid w:val="00C40A6F"/>
    <w:rsid w:val="00C40A80"/>
    <w:rsid w:val="00C40B2C"/>
    <w:rsid w:val="00C40B9A"/>
    <w:rsid w:val="00C40BA8"/>
    <w:rsid w:val="00C40C1E"/>
    <w:rsid w:val="00C40C4F"/>
    <w:rsid w:val="00C40C73"/>
    <w:rsid w:val="00C40CAD"/>
    <w:rsid w:val="00C40CBA"/>
    <w:rsid w:val="00C40D07"/>
    <w:rsid w:val="00C40D47"/>
    <w:rsid w:val="00C40D83"/>
    <w:rsid w:val="00C40D9B"/>
    <w:rsid w:val="00C40DF6"/>
    <w:rsid w:val="00C40E20"/>
    <w:rsid w:val="00C40E3B"/>
    <w:rsid w:val="00C40E56"/>
    <w:rsid w:val="00C40E74"/>
    <w:rsid w:val="00C40E79"/>
    <w:rsid w:val="00C40E84"/>
    <w:rsid w:val="00C40E8F"/>
    <w:rsid w:val="00C40EC2"/>
    <w:rsid w:val="00C40EF6"/>
    <w:rsid w:val="00C40F1F"/>
    <w:rsid w:val="00C40F28"/>
    <w:rsid w:val="00C40F3C"/>
    <w:rsid w:val="00C40F94"/>
    <w:rsid w:val="00C40FDE"/>
    <w:rsid w:val="00C410FB"/>
    <w:rsid w:val="00C410FC"/>
    <w:rsid w:val="00C41145"/>
    <w:rsid w:val="00C41193"/>
    <w:rsid w:val="00C4119A"/>
    <w:rsid w:val="00C411AF"/>
    <w:rsid w:val="00C411D5"/>
    <w:rsid w:val="00C4123E"/>
    <w:rsid w:val="00C412BC"/>
    <w:rsid w:val="00C412C2"/>
    <w:rsid w:val="00C412F5"/>
    <w:rsid w:val="00C41307"/>
    <w:rsid w:val="00C413CD"/>
    <w:rsid w:val="00C413EE"/>
    <w:rsid w:val="00C41436"/>
    <w:rsid w:val="00C414F5"/>
    <w:rsid w:val="00C41578"/>
    <w:rsid w:val="00C4158A"/>
    <w:rsid w:val="00C415AA"/>
    <w:rsid w:val="00C4160A"/>
    <w:rsid w:val="00C41617"/>
    <w:rsid w:val="00C4163D"/>
    <w:rsid w:val="00C41666"/>
    <w:rsid w:val="00C4169F"/>
    <w:rsid w:val="00C41707"/>
    <w:rsid w:val="00C417CA"/>
    <w:rsid w:val="00C41853"/>
    <w:rsid w:val="00C41863"/>
    <w:rsid w:val="00C4189F"/>
    <w:rsid w:val="00C41938"/>
    <w:rsid w:val="00C4196C"/>
    <w:rsid w:val="00C41985"/>
    <w:rsid w:val="00C41988"/>
    <w:rsid w:val="00C419BB"/>
    <w:rsid w:val="00C419BD"/>
    <w:rsid w:val="00C419D9"/>
    <w:rsid w:val="00C419E1"/>
    <w:rsid w:val="00C41B0B"/>
    <w:rsid w:val="00C41B57"/>
    <w:rsid w:val="00C41B7C"/>
    <w:rsid w:val="00C41B97"/>
    <w:rsid w:val="00C41BB9"/>
    <w:rsid w:val="00C41C04"/>
    <w:rsid w:val="00C41C05"/>
    <w:rsid w:val="00C41C41"/>
    <w:rsid w:val="00C41C53"/>
    <w:rsid w:val="00C41C70"/>
    <w:rsid w:val="00C41CC4"/>
    <w:rsid w:val="00C41D0E"/>
    <w:rsid w:val="00C41D25"/>
    <w:rsid w:val="00C41D31"/>
    <w:rsid w:val="00C41D4A"/>
    <w:rsid w:val="00C41D6C"/>
    <w:rsid w:val="00C41D6F"/>
    <w:rsid w:val="00C41DE2"/>
    <w:rsid w:val="00C41E60"/>
    <w:rsid w:val="00C41EA3"/>
    <w:rsid w:val="00C41EAC"/>
    <w:rsid w:val="00C41F11"/>
    <w:rsid w:val="00C41FF9"/>
    <w:rsid w:val="00C42052"/>
    <w:rsid w:val="00C420D8"/>
    <w:rsid w:val="00C42127"/>
    <w:rsid w:val="00C42142"/>
    <w:rsid w:val="00C4214F"/>
    <w:rsid w:val="00C42173"/>
    <w:rsid w:val="00C42194"/>
    <w:rsid w:val="00C421C5"/>
    <w:rsid w:val="00C4225E"/>
    <w:rsid w:val="00C422DC"/>
    <w:rsid w:val="00C422E4"/>
    <w:rsid w:val="00C42359"/>
    <w:rsid w:val="00C4248F"/>
    <w:rsid w:val="00C424FC"/>
    <w:rsid w:val="00C4251E"/>
    <w:rsid w:val="00C4254C"/>
    <w:rsid w:val="00C42575"/>
    <w:rsid w:val="00C425FD"/>
    <w:rsid w:val="00C4261A"/>
    <w:rsid w:val="00C42628"/>
    <w:rsid w:val="00C4264E"/>
    <w:rsid w:val="00C42694"/>
    <w:rsid w:val="00C426B8"/>
    <w:rsid w:val="00C426E6"/>
    <w:rsid w:val="00C426FA"/>
    <w:rsid w:val="00C42702"/>
    <w:rsid w:val="00C42709"/>
    <w:rsid w:val="00C42730"/>
    <w:rsid w:val="00C4278D"/>
    <w:rsid w:val="00C427AD"/>
    <w:rsid w:val="00C427BD"/>
    <w:rsid w:val="00C427F0"/>
    <w:rsid w:val="00C42879"/>
    <w:rsid w:val="00C42912"/>
    <w:rsid w:val="00C42913"/>
    <w:rsid w:val="00C42923"/>
    <w:rsid w:val="00C42985"/>
    <w:rsid w:val="00C429C8"/>
    <w:rsid w:val="00C42A03"/>
    <w:rsid w:val="00C42A8A"/>
    <w:rsid w:val="00C42ACF"/>
    <w:rsid w:val="00C42ADC"/>
    <w:rsid w:val="00C42B92"/>
    <w:rsid w:val="00C42BAF"/>
    <w:rsid w:val="00C42C19"/>
    <w:rsid w:val="00C42C60"/>
    <w:rsid w:val="00C42CE5"/>
    <w:rsid w:val="00C42D03"/>
    <w:rsid w:val="00C42D0B"/>
    <w:rsid w:val="00C42D8C"/>
    <w:rsid w:val="00C42D98"/>
    <w:rsid w:val="00C42DA7"/>
    <w:rsid w:val="00C42E46"/>
    <w:rsid w:val="00C42E58"/>
    <w:rsid w:val="00C42ED2"/>
    <w:rsid w:val="00C42EF4"/>
    <w:rsid w:val="00C42F07"/>
    <w:rsid w:val="00C42F18"/>
    <w:rsid w:val="00C42F32"/>
    <w:rsid w:val="00C42F9C"/>
    <w:rsid w:val="00C42FA3"/>
    <w:rsid w:val="00C42FD1"/>
    <w:rsid w:val="00C4300F"/>
    <w:rsid w:val="00C4303A"/>
    <w:rsid w:val="00C43055"/>
    <w:rsid w:val="00C43071"/>
    <w:rsid w:val="00C43090"/>
    <w:rsid w:val="00C4309D"/>
    <w:rsid w:val="00C430D0"/>
    <w:rsid w:val="00C430F2"/>
    <w:rsid w:val="00C43112"/>
    <w:rsid w:val="00C4312F"/>
    <w:rsid w:val="00C43185"/>
    <w:rsid w:val="00C431B5"/>
    <w:rsid w:val="00C431D1"/>
    <w:rsid w:val="00C431E2"/>
    <w:rsid w:val="00C431F1"/>
    <w:rsid w:val="00C43228"/>
    <w:rsid w:val="00C43241"/>
    <w:rsid w:val="00C4331B"/>
    <w:rsid w:val="00C43399"/>
    <w:rsid w:val="00C43402"/>
    <w:rsid w:val="00C43413"/>
    <w:rsid w:val="00C43448"/>
    <w:rsid w:val="00C43453"/>
    <w:rsid w:val="00C43454"/>
    <w:rsid w:val="00C4347C"/>
    <w:rsid w:val="00C4347E"/>
    <w:rsid w:val="00C43484"/>
    <w:rsid w:val="00C43492"/>
    <w:rsid w:val="00C434AA"/>
    <w:rsid w:val="00C434D8"/>
    <w:rsid w:val="00C434DE"/>
    <w:rsid w:val="00C434FA"/>
    <w:rsid w:val="00C43546"/>
    <w:rsid w:val="00C43581"/>
    <w:rsid w:val="00C435AA"/>
    <w:rsid w:val="00C435B8"/>
    <w:rsid w:val="00C435E0"/>
    <w:rsid w:val="00C435E4"/>
    <w:rsid w:val="00C43646"/>
    <w:rsid w:val="00C43667"/>
    <w:rsid w:val="00C43699"/>
    <w:rsid w:val="00C43722"/>
    <w:rsid w:val="00C43753"/>
    <w:rsid w:val="00C4376F"/>
    <w:rsid w:val="00C437B9"/>
    <w:rsid w:val="00C437C2"/>
    <w:rsid w:val="00C437CF"/>
    <w:rsid w:val="00C43837"/>
    <w:rsid w:val="00C43872"/>
    <w:rsid w:val="00C4389B"/>
    <w:rsid w:val="00C438DD"/>
    <w:rsid w:val="00C438E0"/>
    <w:rsid w:val="00C43905"/>
    <w:rsid w:val="00C4392F"/>
    <w:rsid w:val="00C43954"/>
    <w:rsid w:val="00C4396A"/>
    <w:rsid w:val="00C43996"/>
    <w:rsid w:val="00C439A7"/>
    <w:rsid w:val="00C439F3"/>
    <w:rsid w:val="00C43A1C"/>
    <w:rsid w:val="00C43A29"/>
    <w:rsid w:val="00C43A2A"/>
    <w:rsid w:val="00C43A8F"/>
    <w:rsid w:val="00C43AAB"/>
    <w:rsid w:val="00C43AEB"/>
    <w:rsid w:val="00C43AFA"/>
    <w:rsid w:val="00C43B82"/>
    <w:rsid w:val="00C43BB7"/>
    <w:rsid w:val="00C43C4F"/>
    <w:rsid w:val="00C43C8C"/>
    <w:rsid w:val="00C43CC5"/>
    <w:rsid w:val="00C43CF1"/>
    <w:rsid w:val="00C43D06"/>
    <w:rsid w:val="00C43D0E"/>
    <w:rsid w:val="00C43D54"/>
    <w:rsid w:val="00C43DBF"/>
    <w:rsid w:val="00C43E69"/>
    <w:rsid w:val="00C43EF2"/>
    <w:rsid w:val="00C43F10"/>
    <w:rsid w:val="00C43F17"/>
    <w:rsid w:val="00C43F4F"/>
    <w:rsid w:val="00C43F95"/>
    <w:rsid w:val="00C43FEA"/>
    <w:rsid w:val="00C43FEE"/>
    <w:rsid w:val="00C44035"/>
    <w:rsid w:val="00C44047"/>
    <w:rsid w:val="00C44048"/>
    <w:rsid w:val="00C44064"/>
    <w:rsid w:val="00C44071"/>
    <w:rsid w:val="00C44088"/>
    <w:rsid w:val="00C4408B"/>
    <w:rsid w:val="00C440A8"/>
    <w:rsid w:val="00C44123"/>
    <w:rsid w:val="00C4414A"/>
    <w:rsid w:val="00C44152"/>
    <w:rsid w:val="00C44187"/>
    <w:rsid w:val="00C441AE"/>
    <w:rsid w:val="00C441D0"/>
    <w:rsid w:val="00C441E0"/>
    <w:rsid w:val="00C441ED"/>
    <w:rsid w:val="00C44223"/>
    <w:rsid w:val="00C4422D"/>
    <w:rsid w:val="00C4424C"/>
    <w:rsid w:val="00C4427B"/>
    <w:rsid w:val="00C4427E"/>
    <w:rsid w:val="00C4429D"/>
    <w:rsid w:val="00C442B0"/>
    <w:rsid w:val="00C442EA"/>
    <w:rsid w:val="00C442F7"/>
    <w:rsid w:val="00C44328"/>
    <w:rsid w:val="00C443D3"/>
    <w:rsid w:val="00C443DD"/>
    <w:rsid w:val="00C44408"/>
    <w:rsid w:val="00C44412"/>
    <w:rsid w:val="00C4441C"/>
    <w:rsid w:val="00C44467"/>
    <w:rsid w:val="00C44481"/>
    <w:rsid w:val="00C44497"/>
    <w:rsid w:val="00C444B9"/>
    <w:rsid w:val="00C444BF"/>
    <w:rsid w:val="00C4451D"/>
    <w:rsid w:val="00C4451F"/>
    <w:rsid w:val="00C44541"/>
    <w:rsid w:val="00C4456B"/>
    <w:rsid w:val="00C445B2"/>
    <w:rsid w:val="00C445C8"/>
    <w:rsid w:val="00C445D3"/>
    <w:rsid w:val="00C445DF"/>
    <w:rsid w:val="00C445F2"/>
    <w:rsid w:val="00C445F7"/>
    <w:rsid w:val="00C445F9"/>
    <w:rsid w:val="00C44640"/>
    <w:rsid w:val="00C446C9"/>
    <w:rsid w:val="00C446E8"/>
    <w:rsid w:val="00C44755"/>
    <w:rsid w:val="00C44782"/>
    <w:rsid w:val="00C447A5"/>
    <w:rsid w:val="00C447E6"/>
    <w:rsid w:val="00C447E8"/>
    <w:rsid w:val="00C447FB"/>
    <w:rsid w:val="00C44803"/>
    <w:rsid w:val="00C44816"/>
    <w:rsid w:val="00C4485A"/>
    <w:rsid w:val="00C44872"/>
    <w:rsid w:val="00C4487D"/>
    <w:rsid w:val="00C44889"/>
    <w:rsid w:val="00C448CF"/>
    <w:rsid w:val="00C448E4"/>
    <w:rsid w:val="00C44956"/>
    <w:rsid w:val="00C4496D"/>
    <w:rsid w:val="00C44970"/>
    <w:rsid w:val="00C44971"/>
    <w:rsid w:val="00C449AC"/>
    <w:rsid w:val="00C449CF"/>
    <w:rsid w:val="00C449D9"/>
    <w:rsid w:val="00C44A05"/>
    <w:rsid w:val="00C44A3A"/>
    <w:rsid w:val="00C44ADA"/>
    <w:rsid w:val="00C44AFE"/>
    <w:rsid w:val="00C44B31"/>
    <w:rsid w:val="00C44BC3"/>
    <w:rsid w:val="00C44BDF"/>
    <w:rsid w:val="00C44BE3"/>
    <w:rsid w:val="00C44C3B"/>
    <w:rsid w:val="00C44C78"/>
    <w:rsid w:val="00C44C84"/>
    <w:rsid w:val="00C44C93"/>
    <w:rsid w:val="00C44C99"/>
    <w:rsid w:val="00C44CBD"/>
    <w:rsid w:val="00C44D1C"/>
    <w:rsid w:val="00C44D44"/>
    <w:rsid w:val="00C44DC2"/>
    <w:rsid w:val="00C44DCD"/>
    <w:rsid w:val="00C44DEC"/>
    <w:rsid w:val="00C44DF9"/>
    <w:rsid w:val="00C44DFA"/>
    <w:rsid w:val="00C44E42"/>
    <w:rsid w:val="00C44E47"/>
    <w:rsid w:val="00C44E8D"/>
    <w:rsid w:val="00C44EDC"/>
    <w:rsid w:val="00C44EDE"/>
    <w:rsid w:val="00C44F00"/>
    <w:rsid w:val="00C44F02"/>
    <w:rsid w:val="00C44F4A"/>
    <w:rsid w:val="00C44F75"/>
    <w:rsid w:val="00C44F9D"/>
    <w:rsid w:val="00C44FF0"/>
    <w:rsid w:val="00C45014"/>
    <w:rsid w:val="00C45031"/>
    <w:rsid w:val="00C45048"/>
    <w:rsid w:val="00C45051"/>
    <w:rsid w:val="00C45082"/>
    <w:rsid w:val="00C45090"/>
    <w:rsid w:val="00C4509D"/>
    <w:rsid w:val="00C450AD"/>
    <w:rsid w:val="00C450BA"/>
    <w:rsid w:val="00C450C7"/>
    <w:rsid w:val="00C450DE"/>
    <w:rsid w:val="00C45128"/>
    <w:rsid w:val="00C45143"/>
    <w:rsid w:val="00C45162"/>
    <w:rsid w:val="00C45204"/>
    <w:rsid w:val="00C45220"/>
    <w:rsid w:val="00C45221"/>
    <w:rsid w:val="00C45226"/>
    <w:rsid w:val="00C4528C"/>
    <w:rsid w:val="00C452A7"/>
    <w:rsid w:val="00C452A8"/>
    <w:rsid w:val="00C4534A"/>
    <w:rsid w:val="00C453B9"/>
    <w:rsid w:val="00C453CB"/>
    <w:rsid w:val="00C4542C"/>
    <w:rsid w:val="00C4542D"/>
    <w:rsid w:val="00C4544B"/>
    <w:rsid w:val="00C45471"/>
    <w:rsid w:val="00C45490"/>
    <w:rsid w:val="00C4549F"/>
    <w:rsid w:val="00C454A6"/>
    <w:rsid w:val="00C4554C"/>
    <w:rsid w:val="00C4557A"/>
    <w:rsid w:val="00C4558E"/>
    <w:rsid w:val="00C4560E"/>
    <w:rsid w:val="00C4560F"/>
    <w:rsid w:val="00C4562E"/>
    <w:rsid w:val="00C45665"/>
    <w:rsid w:val="00C456A5"/>
    <w:rsid w:val="00C456E3"/>
    <w:rsid w:val="00C456EF"/>
    <w:rsid w:val="00C45700"/>
    <w:rsid w:val="00C45720"/>
    <w:rsid w:val="00C4572E"/>
    <w:rsid w:val="00C45793"/>
    <w:rsid w:val="00C45899"/>
    <w:rsid w:val="00C458C6"/>
    <w:rsid w:val="00C45908"/>
    <w:rsid w:val="00C4592A"/>
    <w:rsid w:val="00C4595A"/>
    <w:rsid w:val="00C459A5"/>
    <w:rsid w:val="00C459FD"/>
    <w:rsid w:val="00C45A58"/>
    <w:rsid w:val="00C45A89"/>
    <w:rsid w:val="00C45AD6"/>
    <w:rsid w:val="00C45AFB"/>
    <w:rsid w:val="00C45B5B"/>
    <w:rsid w:val="00C45B7C"/>
    <w:rsid w:val="00C45B90"/>
    <w:rsid w:val="00C45B98"/>
    <w:rsid w:val="00C45B9A"/>
    <w:rsid w:val="00C45BE8"/>
    <w:rsid w:val="00C45C3C"/>
    <w:rsid w:val="00C45C79"/>
    <w:rsid w:val="00C45CAA"/>
    <w:rsid w:val="00C45CC9"/>
    <w:rsid w:val="00C45D00"/>
    <w:rsid w:val="00C45D01"/>
    <w:rsid w:val="00C45D1C"/>
    <w:rsid w:val="00C45D34"/>
    <w:rsid w:val="00C45D9A"/>
    <w:rsid w:val="00C45DA7"/>
    <w:rsid w:val="00C45E15"/>
    <w:rsid w:val="00C45E9A"/>
    <w:rsid w:val="00C45EC4"/>
    <w:rsid w:val="00C45EC9"/>
    <w:rsid w:val="00C45EE7"/>
    <w:rsid w:val="00C45EF7"/>
    <w:rsid w:val="00C45F17"/>
    <w:rsid w:val="00C45F18"/>
    <w:rsid w:val="00C45FDE"/>
    <w:rsid w:val="00C45FE4"/>
    <w:rsid w:val="00C45FF9"/>
    <w:rsid w:val="00C46074"/>
    <w:rsid w:val="00C460DB"/>
    <w:rsid w:val="00C46156"/>
    <w:rsid w:val="00C46179"/>
    <w:rsid w:val="00C461A1"/>
    <w:rsid w:val="00C461AD"/>
    <w:rsid w:val="00C46274"/>
    <w:rsid w:val="00C462CF"/>
    <w:rsid w:val="00C462D7"/>
    <w:rsid w:val="00C462E1"/>
    <w:rsid w:val="00C4634C"/>
    <w:rsid w:val="00C4638B"/>
    <w:rsid w:val="00C463A1"/>
    <w:rsid w:val="00C463B8"/>
    <w:rsid w:val="00C463C1"/>
    <w:rsid w:val="00C463D6"/>
    <w:rsid w:val="00C463FA"/>
    <w:rsid w:val="00C464A6"/>
    <w:rsid w:val="00C464E3"/>
    <w:rsid w:val="00C46518"/>
    <w:rsid w:val="00C46541"/>
    <w:rsid w:val="00C46546"/>
    <w:rsid w:val="00C4655F"/>
    <w:rsid w:val="00C4662A"/>
    <w:rsid w:val="00C4662F"/>
    <w:rsid w:val="00C46693"/>
    <w:rsid w:val="00C46714"/>
    <w:rsid w:val="00C4671A"/>
    <w:rsid w:val="00C4671C"/>
    <w:rsid w:val="00C4672F"/>
    <w:rsid w:val="00C4673E"/>
    <w:rsid w:val="00C4676C"/>
    <w:rsid w:val="00C46789"/>
    <w:rsid w:val="00C4678B"/>
    <w:rsid w:val="00C467A4"/>
    <w:rsid w:val="00C46838"/>
    <w:rsid w:val="00C4685C"/>
    <w:rsid w:val="00C46886"/>
    <w:rsid w:val="00C46951"/>
    <w:rsid w:val="00C46974"/>
    <w:rsid w:val="00C46A17"/>
    <w:rsid w:val="00C46A4B"/>
    <w:rsid w:val="00C46A4D"/>
    <w:rsid w:val="00C46AD3"/>
    <w:rsid w:val="00C46AE1"/>
    <w:rsid w:val="00C46AF8"/>
    <w:rsid w:val="00C46B38"/>
    <w:rsid w:val="00C46C18"/>
    <w:rsid w:val="00C46C6F"/>
    <w:rsid w:val="00C46C72"/>
    <w:rsid w:val="00C46CB8"/>
    <w:rsid w:val="00C46D50"/>
    <w:rsid w:val="00C46D65"/>
    <w:rsid w:val="00C46D89"/>
    <w:rsid w:val="00C46DB7"/>
    <w:rsid w:val="00C46E09"/>
    <w:rsid w:val="00C46E14"/>
    <w:rsid w:val="00C46E1D"/>
    <w:rsid w:val="00C46E6E"/>
    <w:rsid w:val="00C46EC7"/>
    <w:rsid w:val="00C46EDF"/>
    <w:rsid w:val="00C46EED"/>
    <w:rsid w:val="00C46F0A"/>
    <w:rsid w:val="00C46F11"/>
    <w:rsid w:val="00C46F41"/>
    <w:rsid w:val="00C46FB7"/>
    <w:rsid w:val="00C46FF9"/>
    <w:rsid w:val="00C46FFA"/>
    <w:rsid w:val="00C4704A"/>
    <w:rsid w:val="00C47054"/>
    <w:rsid w:val="00C47060"/>
    <w:rsid w:val="00C4706C"/>
    <w:rsid w:val="00C47083"/>
    <w:rsid w:val="00C4709B"/>
    <w:rsid w:val="00C470D2"/>
    <w:rsid w:val="00C4714F"/>
    <w:rsid w:val="00C471BD"/>
    <w:rsid w:val="00C471CD"/>
    <w:rsid w:val="00C47224"/>
    <w:rsid w:val="00C47290"/>
    <w:rsid w:val="00C47298"/>
    <w:rsid w:val="00C472BA"/>
    <w:rsid w:val="00C472D2"/>
    <w:rsid w:val="00C47313"/>
    <w:rsid w:val="00C47330"/>
    <w:rsid w:val="00C473B1"/>
    <w:rsid w:val="00C47428"/>
    <w:rsid w:val="00C474B6"/>
    <w:rsid w:val="00C474E0"/>
    <w:rsid w:val="00C474FA"/>
    <w:rsid w:val="00C47560"/>
    <w:rsid w:val="00C475BE"/>
    <w:rsid w:val="00C475D5"/>
    <w:rsid w:val="00C47616"/>
    <w:rsid w:val="00C47663"/>
    <w:rsid w:val="00C47692"/>
    <w:rsid w:val="00C476BE"/>
    <w:rsid w:val="00C476C1"/>
    <w:rsid w:val="00C47768"/>
    <w:rsid w:val="00C4781D"/>
    <w:rsid w:val="00C47882"/>
    <w:rsid w:val="00C4789B"/>
    <w:rsid w:val="00C4791C"/>
    <w:rsid w:val="00C47965"/>
    <w:rsid w:val="00C47999"/>
    <w:rsid w:val="00C47A30"/>
    <w:rsid w:val="00C47A65"/>
    <w:rsid w:val="00C47A6C"/>
    <w:rsid w:val="00C47A6D"/>
    <w:rsid w:val="00C47AA8"/>
    <w:rsid w:val="00C47AF3"/>
    <w:rsid w:val="00C47B11"/>
    <w:rsid w:val="00C47B50"/>
    <w:rsid w:val="00C47B62"/>
    <w:rsid w:val="00C47BBF"/>
    <w:rsid w:val="00C47BCA"/>
    <w:rsid w:val="00C47C1A"/>
    <w:rsid w:val="00C47C92"/>
    <w:rsid w:val="00C47CA3"/>
    <w:rsid w:val="00C47CBC"/>
    <w:rsid w:val="00C47CE2"/>
    <w:rsid w:val="00C47D3A"/>
    <w:rsid w:val="00C47D62"/>
    <w:rsid w:val="00C47D85"/>
    <w:rsid w:val="00C47D94"/>
    <w:rsid w:val="00C47DE2"/>
    <w:rsid w:val="00C47DF8"/>
    <w:rsid w:val="00C47E19"/>
    <w:rsid w:val="00C47E30"/>
    <w:rsid w:val="00C47E6A"/>
    <w:rsid w:val="00C47E88"/>
    <w:rsid w:val="00C47EAE"/>
    <w:rsid w:val="00C47EC4"/>
    <w:rsid w:val="00C47EDB"/>
    <w:rsid w:val="00C47F02"/>
    <w:rsid w:val="00C47F25"/>
    <w:rsid w:val="00C47F57"/>
    <w:rsid w:val="00C50008"/>
    <w:rsid w:val="00C50035"/>
    <w:rsid w:val="00C500B8"/>
    <w:rsid w:val="00C500BE"/>
    <w:rsid w:val="00C500D4"/>
    <w:rsid w:val="00C50111"/>
    <w:rsid w:val="00C50180"/>
    <w:rsid w:val="00C50183"/>
    <w:rsid w:val="00C50185"/>
    <w:rsid w:val="00C501AE"/>
    <w:rsid w:val="00C501FC"/>
    <w:rsid w:val="00C50204"/>
    <w:rsid w:val="00C5023C"/>
    <w:rsid w:val="00C5025A"/>
    <w:rsid w:val="00C50265"/>
    <w:rsid w:val="00C5028B"/>
    <w:rsid w:val="00C502A9"/>
    <w:rsid w:val="00C502DC"/>
    <w:rsid w:val="00C502E3"/>
    <w:rsid w:val="00C502E6"/>
    <w:rsid w:val="00C50322"/>
    <w:rsid w:val="00C50396"/>
    <w:rsid w:val="00C503D2"/>
    <w:rsid w:val="00C503FF"/>
    <w:rsid w:val="00C5041A"/>
    <w:rsid w:val="00C50482"/>
    <w:rsid w:val="00C50583"/>
    <w:rsid w:val="00C505B5"/>
    <w:rsid w:val="00C505CC"/>
    <w:rsid w:val="00C505D9"/>
    <w:rsid w:val="00C505F1"/>
    <w:rsid w:val="00C5066A"/>
    <w:rsid w:val="00C506BC"/>
    <w:rsid w:val="00C50736"/>
    <w:rsid w:val="00C507FD"/>
    <w:rsid w:val="00C50891"/>
    <w:rsid w:val="00C508F0"/>
    <w:rsid w:val="00C50961"/>
    <w:rsid w:val="00C50967"/>
    <w:rsid w:val="00C509A9"/>
    <w:rsid w:val="00C509C5"/>
    <w:rsid w:val="00C509F4"/>
    <w:rsid w:val="00C50A0C"/>
    <w:rsid w:val="00C50A58"/>
    <w:rsid w:val="00C50A91"/>
    <w:rsid w:val="00C50AD3"/>
    <w:rsid w:val="00C50ADA"/>
    <w:rsid w:val="00C50AEC"/>
    <w:rsid w:val="00C50B0D"/>
    <w:rsid w:val="00C50B24"/>
    <w:rsid w:val="00C50B2A"/>
    <w:rsid w:val="00C50B42"/>
    <w:rsid w:val="00C50B57"/>
    <w:rsid w:val="00C50C2A"/>
    <w:rsid w:val="00C50CBE"/>
    <w:rsid w:val="00C50D15"/>
    <w:rsid w:val="00C50D30"/>
    <w:rsid w:val="00C50D39"/>
    <w:rsid w:val="00C50D94"/>
    <w:rsid w:val="00C50E7E"/>
    <w:rsid w:val="00C50EA0"/>
    <w:rsid w:val="00C50EA1"/>
    <w:rsid w:val="00C50EB6"/>
    <w:rsid w:val="00C50F7C"/>
    <w:rsid w:val="00C50FB4"/>
    <w:rsid w:val="00C50FC5"/>
    <w:rsid w:val="00C50FC9"/>
    <w:rsid w:val="00C50FF8"/>
    <w:rsid w:val="00C51027"/>
    <w:rsid w:val="00C51090"/>
    <w:rsid w:val="00C510B5"/>
    <w:rsid w:val="00C510C4"/>
    <w:rsid w:val="00C510D5"/>
    <w:rsid w:val="00C51114"/>
    <w:rsid w:val="00C5111E"/>
    <w:rsid w:val="00C5115A"/>
    <w:rsid w:val="00C5117A"/>
    <w:rsid w:val="00C5117C"/>
    <w:rsid w:val="00C511DD"/>
    <w:rsid w:val="00C5121F"/>
    <w:rsid w:val="00C51236"/>
    <w:rsid w:val="00C51237"/>
    <w:rsid w:val="00C51248"/>
    <w:rsid w:val="00C5125D"/>
    <w:rsid w:val="00C51270"/>
    <w:rsid w:val="00C5133C"/>
    <w:rsid w:val="00C51342"/>
    <w:rsid w:val="00C513B8"/>
    <w:rsid w:val="00C513D9"/>
    <w:rsid w:val="00C51452"/>
    <w:rsid w:val="00C51497"/>
    <w:rsid w:val="00C514AA"/>
    <w:rsid w:val="00C514D0"/>
    <w:rsid w:val="00C514F4"/>
    <w:rsid w:val="00C51500"/>
    <w:rsid w:val="00C51553"/>
    <w:rsid w:val="00C515DC"/>
    <w:rsid w:val="00C516AC"/>
    <w:rsid w:val="00C516B5"/>
    <w:rsid w:val="00C51741"/>
    <w:rsid w:val="00C51752"/>
    <w:rsid w:val="00C5175F"/>
    <w:rsid w:val="00C51771"/>
    <w:rsid w:val="00C517AE"/>
    <w:rsid w:val="00C517CA"/>
    <w:rsid w:val="00C517D3"/>
    <w:rsid w:val="00C517E2"/>
    <w:rsid w:val="00C51828"/>
    <w:rsid w:val="00C518C2"/>
    <w:rsid w:val="00C5192C"/>
    <w:rsid w:val="00C5196B"/>
    <w:rsid w:val="00C519C9"/>
    <w:rsid w:val="00C51A04"/>
    <w:rsid w:val="00C51A07"/>
    <w:rsid w:val="00C51A14"/>
    <w:rsid w:val="00C51A88"/>
    <w:rsid w:val="00C51AA3"/>
    <w:rsid w:val="00C51AAB"/>
    <w:rsid w:val="00C51AEA"/>
    <w:rsid w:val="00C51C38"/>
    <w:rsid w:val="00C51C3C"/>
    <w:rsid w:val="00C51C53"/>
    <w:rsid w:val="00C51C69"/>
    <w:rsid w:val="00C51CD2"/>
    <w:rsid w:val="00C51CDD"/>
    <w:rsid w:val="00C51CE6"/>
    <w:rsid w:val="00C51D26"/>
    <w:rsid w:val="00C51D57"/>
    <w:rsid w:val="00C51D68"/>
    <w:rsid w:val="00C51E77"/>
    <w:rsid w:val="00C51E7D"/>
    <w:rsid w:val="00C51EF7"/>
    <w:rsid w:val="00C51FCE"/>
    <w:rsid w:val="00C51FDD"/>
    <w:rsid w:val="00C51FE1"/>
    <w:rsid w:val="00C52013"/>
    <w:rsid w:val="00C5201E"/>
    <w:rsid w:val="00C52036"/>
    <w:rsid w:val="00C52046"/>
    <w:rsid w:val="00C5205F"/>
    <w:rsid w:val="00C5207B"/>
    <w:rsid w:val="00C52156"/>
    <w:rsid w:val="00C52182"/>
    <w:rsid w:val="00C52206"/>
    <w:rsid w:val="00C52216"/>
    <w:rsid w:val="00C5222A"/>
    <w:rsid w:val="00C52257"/>
    <w:rsid w:val="00C52277"/>
    <w:rsid w:val="00C5229B"/>
    <w:rsid w:val="00C522B6"/>
    <w:rsid w:val="00C522E3"/>
    <w:rsid w:val="00C522F5"/>
    <w:rsid w:val="00C52304"/>
    <w:rsid w:val="00C52338"/>
    <w:rsid w:val="00C5234A"/>
    <w:rsid w:val="00C52382"/>
    <w:rsid w:val="00C5238B"/>
    <w:rsid w:val="00C52414"/>
    <w:rsid w:val="00C5241D"/>
    <w:rsid w:val="00C5242C"/>
    <w:rsid w:val="00C52456"/>
    <w:rsid w:val="00C524AD"/>
    <w:rsid w:val="00C524C5"/>
    <w:rsid w:val="00C524D3"/>
    <w:rsid w:val="00C52524"/>
    <w:rsid w:val="00C52527"/>
    <w:rsid w:val="00C5253F"/>
    <w:rsid w:val="00C52554"/>
    <w:rsid w:val="00C525C1"/>
    <w:rsid w:val="00C5263A"/>
    <w:rsid w:val="00C5265D"/>
    <w:rsid w:val="00C52692"/>
    <w:rsid w:val="00C5269F"/>
    <w:rsid w:val="00C526C8"/>
    <w:rsid w:val="00C526DA"/>
    <w:rsid w:val="00C526FD"/>
    <w:rsid w:val="00C52792"/>
    <w:rsid w:val="00C52845"/>
    <w:rsid w:val="00C528BB"/>
    <w:rsid w:val="00C528D1"/>
    <w:rsid w:val="00C52947"/>
    <w:rsid w:val="00C5294D"/>
    <w:rsid w:val="00C52973"/>
    <w:rsid w:val="00C52990"/>
    <w:rsid w:val="00C529A1"/>
    <w:rsid w:val="00C52A1D"/>
    <w:rsid w:val="00C52A34"/>
    <w:rsid w:val="00C52ABC"/>
    <w:rsid w:val="00C52AFA"/>
    <w:rsid w:val="00C52C48"/>
    <w:rsid w:val="00C52CA4"/>
    <w:rsid w:val="00C52CA6"/>
    <w:rsid w:val="00C52CF7"/>
    <w:rsid w:val="00C52D2A"/>
    <w:rsid w:val="00C52D2E"/>
    <w:rsid w:val="00C52DFF"/>
    <w:rsid w:val="00C52E05"/>
    <w:rsid w:val="00C52E0F"/>
    <w:rsid w:val="00C52E58"/>
    <w:rsid w:val="00C52EC3"/>
    <w:rsid w:val="00C52ED0"/>
    <w:rsid w:val="00C52F18"/>
    <w:rsid w:val="00C52F48"/>
    <w:rsid w:val="00C52F50"/>
    <w:rsid w:val="00C52F53"/>
    <w:rsid w:val="00C53096"/>
    <w:rsid w:val="00C530CD"/>
    <w:rsid w:val="00C530F0"/>
    <w:rsid w:val="00C53125"/>
    <w:rsid w:val="00C53132"/>
    <w:rsid w:val="00C53160"/>
    <w:rsid w:val="00C53170"/>
    <w:rsid w:val="00C53186"/>
    <w:rsid w:val="00C5321E"/>
    <w:rsid w:val="00C53262"/>
    <w:rsid w:val="00C53275"/>
    <w:rsid w:val="00C5328E"/>
    <w:rsid w:val="00C532A9"/>
    <w:rsid w:val="00C532AC"/>
    <w:rsid w:val="00C532B6"/>
    <w:rsid w:val="00C532C2"/>
    <w:rsid w:val="00C5330C"/>
    <w:rsid w:val="00C5331C"/>
    <w:rsid w:val="00C53327"/>
    <w:rsid w:val="00C533A8"/>
    <w:rsid w:val="00C533AB"/>
    <w:rsid w:val="00C533B1"/>
    <w:rsid w:val="00C53417"/>
    <w:rsid w:val="00C53493"/>
    <w:rsid w:val="00C534A1"/>
    <w:rsid w:val="00C534DD"/>
    <w:rsid w:val="00C534EB"/>
    <w:rsid w:val="00C53500"/>
    <w:rsid w:val="00C535A2"/>
    <w:rsid w:val="00C535C9"/>
    <w:rsid w:val="00C535D7"/>
    <w:rsid w:val="00C535F5"/>
    <w:rsid w:val="00C5361A"/>
    <w:rsid w:val="00C5369A"/>
    <w:rsid w:val="00C536B5"/>
    <w:rsid w:val="00C536EE"/>
    <w:rsid w:val="00C53702"/>
    <w:rsid w:val="00C53741"/>
    <w:rsid w:val="00C53756"/>
    <w:rsid w:val="00C53779"/>
    <w:rsid w:val="00C537B8"/>
    <w:rsid w:val="00C53817"/>
    <w:rsid w:val="00C5381D"/>
    <w:rsid w:val="00C53856"/>
    <w:rsid w:val="00C5387A"/>
    <w:rsid w:val="00C53982"/>
    <w:rsid w:val="00C53989"/>
    <w:rsid w:val="00C539E3"/>
    <w:rsid w:val="00C539EE"/>
    <w:rsid w:val="00C539FB"/>
    <w:rsid w:val="00C53A0D"/>
    <w:rsid w:val="00C53A2B"/>
    <w:rsid w:val="00C53A37"/>
    <w:rsid w:val="00C53A3E"/>
    <w:rsid w:val="00C53ACA"/>
    <w:rsid w:val="00C53AF9"/>
    <w:rsid w:val="00C53B32"/>
    <w:rsid w:val="00C53B47"/>
    <w:rsid w:val="00C53B70"/>
    <w:rsid w:val="00C53BB2"/>
    <w:rsid w:val="00C53BB8"/>
    <w:rsid w:val="00C53C14"/>
    <w:rsid w:val="00C53C33"/>
    <w:rsid w:val="00C53C68"/>
    <w:rsid w:val="00C53D44"/>
    <w:rsid w:val="00C53DE7"/>
    <w:rsid w:val="00C53DF2"/>
    <w:rsid w:val="00C53DF3"/>
    <w:rsid w:val="00C53E39"/>
    <w:rsid w:val="00C53E92"/>
    <w:rsid w:val="00C53EB4"/>
    <w:rsid w:val="00C53ED8"/>
    <w:rsid w:val="00C53EE4"/>
    <w:rsid w:val="00C53F3B"/>
    <w:rsid w:val="00C53F9C"/>
    <w:rsid w:val="00C54043"/>
    <w:rsid w:val="00C54070"/>
    <w:rsid w:val="00C5409F"/>
    <w:rsid w:val="00C54109"/>
    <w:rsid w:val="00C54138"/>
    <w:rsid w:val="00C54163"/>
    <w:rsid w:val="00C54184"/>
    <w:rsid w:val="00C541CC"/>
    <w:rsid w:val="00C541F9"/>
    <w:rsid w:val="00C5421F"/>
    <w:rsid w:val="00C5429B"/>
    <w:rsid w:val="00C542CE"/>
    <w:rsid w:val="00C542D8"/>
    <w:rsid w:val="00C54322"/>
    <w:rsid w:val="00C54356"/>
    <w:rsid w:val="00C543A6"/>
    <w:rsid w:val="00C543A8"/>
    <w:rsid w:val="00C54420"/>
    <w:rsid w:val="00C54432"/>
    <w:rsid w:val="00C5444D"/>
    <w:rsid w:val="00C5446B"/>
    <w:rsid w:val="00C54488"/>
    <w:rsid w:val="00C54532"/>
    <w:rsid w:val="00C5455A"/>
    <w:rsid w:val="00C545FA"/>
    <w:rsid w:val="00C5464F"/>
    <w:rsid w:val="00C5465A"/>
    <w:rsid w:val="00C54687"/>
    <w:rsid w:val="00C5470B"/>
    <w:rsid w:val="00C5471B"/>
    <w:rsid w:val="00C54730"/>
    <w:rsid w:val="00C5475E"/>
    <w:rsid w:val="00C54777"/>
    <w:rsid w:val="00C5478A"/>
    <w:rsid w:val="00C54810"/>
    <w:rsid w:val="00C54826"/>
    <w:rsid w:val="00C54864"/>
    <w:rsid w:val="00C5487D"/>
    <w:rsid w:val="00C54884"/>
    <w:rsid w:val="00C54886"/>
    <w:rsid w:val="00C5489F"/>
    <w:rsid w:val="00C548BA"/>
    <w:rsid w:val="00C548F0"/>
    <w:rsid w:val="00C54957"/>
    <w:rsid w:val="00C54959"/>
    <w:rsid w:val="00C5498B"/>
    <w:rsid w:val="00C549B4"/>
    <w:rsid w:val="00C549BF"/>
    <w:rsid w:val="00C549D1"/>
    <w:rsid w:val="00C54A35"/>
    <w:rsid w:val="00C54B27"/>
    <w:rsid w:val="00C54B71"/>
    <w:rsid w:val="00C54B9A"/>
    <w:rsid w:val="00C54BAC"/>
    <w:rsid w:val="00C54BE7"/>
    <w:rsid w:val="00C54BF2"/>
    <w:rsid w:val="00C54C04"/>
    <w:rsid w:val="00C54C52"/>
    <w:rsid w:val="00C54C91"/>
    <w:rsid w:val="00C54C93"/>
    <w:rsid w:val="00C54CA5"/>
    <w:rsid w:val="00C54D37"/>
    <w:rsid w:val="00C54D40"/>
    <w:rsid w:val="00C54D43"/>
    <w:rsid w:val="00C54D53"/>
    <w:rsid w:val="00C54D5D"/>
    <w:rsid w:val="00C54D6E"/>
    <w:rsid w:val="00C54DA3"/>
    <w:rsid w:val="00C54DB8"/>
    <w:rsid w:val="00C54DE7"/>
    <w:rsid w:val="00C54E07"/>
    <w:rsid w:val="00C54E0B"/>
    <w:rsid w:val="00C54E15"/>
    <w:rsid w:val="00C54E16"/>
    <w:rsid w:val="00C54ED8"/>
    <w:rsid w:val="00C54F64"/>
    <w:rsid w:val="00C54F9A"/>
    <w:rsid w:val="00C54FD0"/>
    <w:rsid w:val="00C55025"/>
    <w:rsid w:val="00C5503D"/>
    <w:rsid w:val="00C5506F"/>
    <w:rsid w:val="00C550BC"/>
    <w:rsid w:val="00C55103"/>
    <w:rsid w:val="00C55137"/>
    <w:rsid w:val="00C5514C"/>
    <w:rsid w:val="00C551D1"/>
    <w:rsid w:val="00C55269"/>
    <w:rsid w:val="00C55294"/>
    <w:rsid w:val="00C552CC"/>
    <w:rsid w:val="00C552E8"/>
    <w:rsid w:val="00C55335"/>
    <w:rsid w:val="00C5536F"/>
    <w:rsid w:val="00C55379"/>
    <w:rsid w:val="00C55385"/>
    <w:rsid w:val="00C553DF"/>
    <w:rsid w:val="00C553F2"/>
    <w:rsid w:val="00C5549F"/>
    <w:rsid w:val="00C554A1"/>
    <w:rsid w:val="00C55512"/>
    <w:rsid w:val="00C5552C"/>
    <w:rsid w:val="00C5552E"/>
    <w:rsid w:val="00C5554F"/>
    <w:rsid w:val="00C55584"/>
    <w:rsid w:val="00C555E5"/>
    <w:rsid w:val="00C55625"/>
    <w:rsid w:val="00C5563C"/>
    <w:rsid w:val="00C55691"/>
    <w:rsid w:val="00C55695"/>
    <w:rsid w:val="00C556EA"/>
    <w:rsid w:val="00C556F0"/>
    <w:rsid w:val="00C5573B"/>
    <w:rsid w:val="00C55774"/>
    <w:rsid w:val="00C55792"/>
    <w:rsid w:val="00C557A9"/>
    <w:rsid w:val="00C557AB"/>
    <w:rsid w:val="00C55806"/>
    <w:rsid w:val="00C5580A"/>
    <w:rsid w:val="00C55815"/>
    <w:rsid w:val="00C5585A"/>
    <w:rsid w:val="00C558A2"/>
    <w:rsid w:val="00C558A7"/>
    <w:rsid w:val="00C558FC"/>
    <w:rsid w:val="00C55936"/>
    <w:rsid w:val="00C5593A"/>
    <w:rsid w:val="00C559C9"/>
    <w:rsid w:val="00C559FD"/>
    <w:rsid w:val="00C55A33"/>
    <w:rsid w:val="00C55A7F"/>
    <w:rsid w:val="00C55A86"/>
    <w:rsid w:val="00C55AA3"/>
    <w:rsid w:val="00C55AF2"/>
    <w:rsid w:val="00C55B1A"/>
    <w:rsid w:val="00C55B23"/>
    <w:rsid w:val="00C55B8A"/>
    <w:rsid w:val="00C55BCC"/>
    <w:rsid w:val="00C55BE9"/>
    <w:rsid w:val="00C55BF2"/>
    <w:rsid w:val="00C55C34"/>
    <w:rsid w:val="00C55C75"/>
    <w:rsid w:val="00C55D64"/>
    <w:rsid w:val="00C55D8F"/>
    <w:rsid w:val="00C55E0B"/>
    <w:rsid w:val="00C55E65"/>
    <w:rsid w:val="00C55E93"/>
    <w:rsid w:val="00C55E96"/>
    <w:rsid w:val="00C55EA9"/>
    <w:rsid w:val="00C55EDA"/>
    <w:rsid w:val="00C55F58"/>
    <w:rsid w:val="00C55F8A"/>
    <w:rsid w:val="00C55F8F"/>
    <w:rsid w:val="00C55F90"/>
    <w:rsid w:val="00C55FF8"/>
    <w:rsid w:val="00C56024"/>
    <w:rsid w:val="00C5605D"/>
    <w:rsid w:val="00C5606B"/>
    <w:rsid w:val="00C56091"/>
    <w:rsid w:val="00C560C8"/>
    <w:rsid w:val="00C560EA"/>
    <w:rsid w:val="00C56150"/>
    <w:rsid w:val="00C561AB"/>
    <w:rsid w:val="00C561F8"/>
    <w:rsid w:val="00C56222"/>
    <w:rsid w:val="00C56267"/>
    <w:rsid w:val="00C563B0"/>
    <w:rsid w:val="00C56410"/>
    <w:rsid w:val="00C564C5"/>
    <w:rsid w:val="00C564CD"/>
    <w:rsid w:val="00C564D0"/>
    <w:rsid w:val="00C56519"/>
    <w:rsid w:val="00C56560"/>
    <w:rsid w:val="00C56572"/>
    <w:rsid w:val="00C565AF"/>
    <w:rsid w:val="00C565CB"/>
    <w:rsid w:val="00C565CC"/>
    <w:rsid w:val="00C565FF"/>
    <w:rsid w:val="00C56606"/>
    <w:rsid w:val="00C5660A"/>
    <w:rsid w:val="00C56617"/>
    <w:rsid w:val="00C56648"/>
    <w:rsid w:val="00C566A2"/>
    <w:rsid w:val="00C56701"/>
    <w:rsid w:val="00C56766"/>
    <w:rsid w:val="00C56786"/>
    <w:rsid w:val="00C56794"/>
    <w:rsid w:val="00C567FD"/>
    <w:rsid w:val="00C56825"/>
    <w:rsid w:val="00C56919"/>
    <w:rsid w:val="00C56923"/>
    <w:rsid w:val="00C56931"/>
    <w:rsid w:val="00C56943"/>
    <w:rsid w:val="00C5694E"/>
    <w:rsid w:val="00C56958"/>
    <w:rsid w:val="00C56961"/>
    <w:rsid w:val="00C5697E"/>
    <w:rsid w:val="00C569D8"/>
    <w:rsid w:val="00C569EF"/>
    <w:rsid w:val="00C56A31"/>
    <w:rsid w:val="00C56A36"/>
    <w:rsid w:val="00C56A88"/>
    <w:rsid w:val="00C56A96"/>
    <w:rsid w:val="00C56B13"/>
    <w:rsid w:val="00C56B18"/>
    <w:rsid w:val="00C56B5D"/>
    <w:rsid w:val="00C56B62"/>
    <w:rsid w:val="00C56B6F"/>
    <w:rsid w:val="00C56B84"/>
    <w:rsid w:val="00C56BDE"/>
    <w:rsid w:val="00C56C7D"/>
    <w:rsid w:val="00C56CC5"/>
    <w:rsid w:val="00C56CEE"/>
    <w:rsid w:val="00C56D19"/>
    <w:rsid w:val="00C56D53"/>
    <w:rsid w:val="00C56DAA"/>
    <w:rsid w:val="00C56DED"/>
    <w:rsid w:val="00C56E0D"/>
    <w:rsid w:val="00C56EB4"/>
    <w:rsid w:val="00C56EFB"/>
    <w:rsid w:val="00C56F08"/>
    <w:rsid w:val="00C56F16"/>
    <w:rsid w:val="00C56F28"/>
    <w:rsid w:val="00C56F46"/>
    <w:rsid w:val="00C56FD2"/>
    <w:rsid w:val="00C56FF9"/>
    <w:rsid w:val="00C5701C"/>
    <w:rsid w:val="00C57028"/>
    <w:rsid w:val="00C57064"/>
    <w:rsid w:val="00C5706F"/>
    <w:rsid w:val="00C57080"/>
    <w:rsid w:val="00C57081"/>
    <w:rsid w:val="00C5708D"/>
    <w:rsid w:val="00C570FC"/>
    <w:rsid w:val="00C571D8"/>
    <w:rsid w:val="00C571DC"/>
    <w:rsid w:val="00C571E9"/>
    <w:rsid w:val="00C57206"/>
    <w:rsid w:val="00C5723C"/>
    <w:rsid w:val="00C57242"/>
    <w:rsid w:val="00C57244"/>
    <w:rsid w:val="00C5726E"/>
    <w:rsid w:val="00C57271"/>
    <w:rsid w:val="00C572A3"/>
    <w:rsid w:val="00C5731D"/>
    <w:rsid w:val="00C5732A"/>
    <w:rsid w:val="00C5737D"/>
    <w:rsid w:val="00C57392"/>
    <w:rsid w:val="00C573AB"/>
    <w:rsid w:val="00C573C2"/>
    <w:rsid w:val="00C5740A"/>
    <w:rsid w:val="00C5741D"/>
    <w:rsid w:val="00C574A2"/>
    <w:rsid w:val="00C574AE"/>
    <w:rsid w:val="00C574E2"/>
    <w:rsid w:val="00C5759A"/>
    <w:rsid w:val="00C575BE"/>
    <w:rsid w:val="00C575C5"/>
    <w:rsid w:val="00C575FC"/>
    <w:rsid w:val="00C57628"/>
    <w:rsid w:val="00C57678"/>
    <w:rsid w:val="00C576B2"/>
    <w:rsid w:val="00C576B5"/>
    <w:rsid w:val="00C576CB"/>
    <w:rsid w:val="00C576F4"/>
    <w:rsid w:val="00C5770A"/>
    <w:rsid w:val="00C57710"/>
    <w:rsid w:val="00C5775F"/>
    <w:rsid w:val="00C57763"/>
    <w:rsid w:val="00C57777"/>
    <w:rsid w:val="00C577C2"/>
    <w:rsid w:val="00C577FA"/>
    <w:rsid w:val="00C57820"/>
    <w:rsid w:val="00C5789B"/>
    <w:rsid w:val="00C57942"/>
    <w:rsid w:val="00C5795D"/>
    <w:rsid w:val="00C579D4"/>
    <w:rsid w:val="00C579E8"/>
    <w:rsid w:val="00C57A08"/>
    <w:rsid w:val="00C57ABB"/>
    <w:rsid w:val="00C57AF4"/>
    <w:rsid w:val="00C57B10"/>
    <w:rsid w:val="00C57BC8"/>
    <w:rsid w:val="00C57BDD"/>
    <w:rsid w:val="00C57C0F"/>
    <w:rsid w:val="00C57CE4"/>
    <w:rsid w:val="00C57D9D"/>
    <w:rsid w:val="00C57DC9"/>
    <w:rsid w:val="00C57DD3"/>
    <w:rsid w:val="00C57DD7"/>
    <w:rsid w:val="00C57DF0"/>
    <w:rsid w:val="00C57DFA"/>
    <w:rsid w:val="00C57E08"/>
    <w:rsid w:val="00C57E2B"/>
    <w:rsid w:val="00C57E56"/>
    <w:rsid w:val="00C57EB3"/>
    <w:rsid w:val="00C57EB4"/>
    <w:rsid w:val="00C57F67"/>
    <w:rsid w:val="00C57F84"/>
    <w:rsid w:val="00C57F8D"/>
    <w:rsid w:val="00C57F8F"/>
    <w:rsid w:val="00C57FA4"/>
    <w:rsid w:val="00C57FB3"/>
    <w:rsid w:val="00C6003F"/>
    <w:rsid w:val="00C6007D"/>
    <w:rsid w:val="00C600A6"/>
    <w:rsid w:val="00C600DF"/>
    <w:rsid w:val="00C60101"/>
    <w:rsid w:val="00C60172"/>
    <w:rsid w:val="00C60194"/>
    <w:rsid w:val="00C60250"/>
    <w:rsid w:val="00C60296"/>
    <w:rsid w:val="00C60302"/>
    <w:rsid w:val="00C60308"/>
    <w:rsid w:val="00C6030F"/>
    <w:rsid w:val="00C60321"/>
    <w:rsid w:val="00C6034C"/>
    <w:rsid w:val="00C603A1"/>
    <w:rsid w:val="00C603C3"/>
    <w:rsid w:val="00C603E8"/>
    <w:rsid w:val="00C60473"/>
    <w:rsid w:val="00C60487"/>
    <w:rsid w:val="00C604B7"/>
    <w:rsid w:val="00C60518"/>
    <w:rsid w:val="00C6051E"/>
    <w:rsid w:val="00C6058C"/>
    <w:rsid w:val="00C605C1"/>
    <w:rsid w:val="00C60646"/>
    <w:rsid w:val="00C60656"/>
    <w:rsid w:val="00C60677"/>
    <w:rsid w:val="00C60708"/>
    <w:rsid w:val="00C60717"/>
    <w:rsid w:val="00C6071E"/>
    <w:rsid w:val="00C6072A"/>
    <w:rsid w:val="00C6075B"/>
    <w:rsid w:val="00C60787"/>
    <w:rsid w:val="00C607A9"/>
    <w:rsid w:val="00C607B5"/>
    <w:rsid w:val="00C607CC"/>
    <w:rsid w:val="00C607F7"/>
    <w:rsid w:val="00C6081A"/>
    <w:rsid w:val="00C608A3"/>
    <w:rsid w:val="00C608C0"/>
    <w:rsid w:val="00C608C8"/>
    <w:rsid w:val="00C60915"/>
    <w:rsid w:val="00C60936"/>
    <w:rsid w:val="00C60974"/>
    <w:rsid w:val="00C609C3"/>
    <w:rsid w:val="00C609FC"/>
    <w:rsid w:val="00C60A9A"/>
    <w:rsid w:val="00C60AD3"/>
    <w:rsid w:val="00C60B42"/>
    <w:rsid w:val="00C60BFB"/>
    <w:rsid w:val="00C60C53"/>
    <w:rsid w:val="00C60C87"/>
    <w:rsid w:val="00C60CBB"/>
    <w:rsid w:val="00C60CC2"/>
    <w:rsid w:val="00C60CE2"/>
    <w:rsid w:val="00C60CE8"/>
    <w:rsid w:val="00C60CEF"/>
    <w:rsid w:val="00C60CF7"/>
    <w:rsid w:val="00C60D17"/>
    <w:rsid w:val="00C60D5A"/>
    <w:rsid w:val="00C60DA2"/>
    <w:rsid w:val="00C60DC3"/>
    <w:rsid w:val="00C60DC6"/>
    <w:rsid w:val="00C60DE3"/>
    <w:rsid w:val="00C60DFA"/>
    <w:rsid w:val="00C60E06"/>
    <w:rsid w:val="00C60E0F"/>
    <w:rsid w:val="00C60E1D"/>
    <w:rsid w:val="00C60E1F"/>
    <w:rsid w:val="00C60E7E"/>
    <w:rsid w:val="00C60EBD"/>
    <w:rsid w:val="00C60EBF"/>
    <w:rsid w:val="00C60EC2"/>
    <w:rsid w:val="00C60EC3"/>
    <w:rsid w:val="00C60ECC"/>
    <w:rsid w:val="00C60EF8"/>
    <w:rsid w:val="00C60F3D"/>
    <w:rsid w:val="00C60FA7"/>
    <w:rsid w:val="00C6100C"/>
    <w:rsid w:val="00C61093"/>
    <w:rsid w:val="00C610A9"/>
    <w:rsid w:val="00C610BE"/>
    <w:rsid w:val="00C610D8"/>
    <w:rsid w:val="00C61119"/>
    <w:rsid w:val="00C6111D"/>
    <w:rsid w:val="00C6112E"/>
    <w:rsid w:val="00C61142"/>
    <w:rsid w:val="00C61154"/>
    <w:rsid w:val="00C6115D"/>
    <w:rsid w:val="00C611A6"/>
    <w:rsid w:val="00C611E5"/>
    <w:rsid w:val="00C61204"/>
    <w:rsid w:val="00C612A7"/>
    <w:rsid w:val="00C612AC"/>
    <w:rsid w:val="00C612B7"/>
    <w:rsid w:val="00C6131B"/>
    <w:rsid w:val="00C6131C"/>
    <w:rsid w:val="00C6135D"/>
    <w:rsid w:val="00C613C5"/>
    <w:rsid w:val="00C6147B"/>
    <w:rsid w:val="00C61492"/>
    <w:rsid w:val="00C614C0"/>
    <w:rsid w:val="00C6152F"/>
    <w:rsid w:val="00C61543"/>
    <w:rsid w:val="00C615D0"/>
    <w:rsid w:val="00C616A5"/>
    <w:rsid w:val="00C616AC"/>
    <w:rsid w:val="00C616EA"/>
    <w:rsid w:val="00C616EF"/>
    <w:rsid w:val="00C6174F"/>
    <w:rsid w:val="00C61779"/>
    <w:rsid w:val="00C61809"/>
    <w:rsid w:val="00C6190E"/>
    <w:rsid w:val="00C6193F"/>
    <w:rsid w:val="00C6199C"/>
    <w:rsid w:val="00C619A7"/>
    <w:rsid w:val="00C619D7"/>
    <w:rsid w:val="00C619DF"/>
    <w:rsid w:val="00C61A19"/>
    <w:rsid w:val="00C61A34"/>
    <w:rsid w:val="00C61A44"/>
    <w:rsid w:val="00C61AD8"/>
    <w:rsid w:val="00C61AD9"/>
    <w:rsid w:val="00C61B42"/>
    <w:rsid w:val="00C61B50"/>
    <w:rsid w:val="00C61B6C"/>
    <w:rsid w:val="00C61B9D"/>
    <w:rsid w:val="00C61BA2"/>
    <w:rsid w:val="00C61BBF"/>
    <w:rsid w:val="00C61C16"/>
    <w:rsid w:val="00C61CA5"/>
    <w:rsid w:val="00C61DB9"/>
    <w:rsid w:val="00C61E32"/>
    <w:rsid w:val="00C61E76"/>
    <w:rsid w:val="00C61E8A"/>
    <w:rsid w:val="00C61E8C"/>
    <w:rsid w:val="00C61EA0"/>
    <w:rsid w:val="00C61ED4"/>
    <w:rsid w:val="00C61EDD"/>
    <w:rsid w:val="00C61EFE"/>
    <w:rsid w:val="00C61F15"/>
    <w:rsid w:val="00C61F28"/>
    <w:rsid w:val="00C61F42"/>
    <w:rsid w:val="00C61F91"/>
    <w:rsid w:val="00C61F92"/>
    <w:rsid w:val="00C61FD2"/>
    <w:rsid w:val="00C61FEC"/>
    <w:rsid w:val="00C62036"/>
    <w:rsid w:val="00C62063"/>
    <w:rsid w:val="00C6207D"/>
    <w:rsid w:val="00C62120"/>
    <w:rsid w:val="00C6227F"/>
    <w:rsid w:val="00C62321"/>
    <w:rsid w:val="00C62352"/>
    <w:rsid w:val="00C623BA"/>
    <w:rsid w:val="00C623C2"/>
    <w:rsid w:val="00C623C9"/>
    <w:rsid w:val="00C62415"/>
    <w:rsid w:val="00C6245E"/>
    <w:rsid w:val="00C624DD"/>
    <w:rsid w:val="00C624EF"/>
    <w:rsid w:val="00C6257C"/>
    <w:rsid w:val="00C625AD"/>
    <w:rsid w:val="00C625BA"/>
    <w:rsid w:val="00C6264F"/>
    <w:rsid w:val="00C6266A"/>
    <w:rsid w:val="00C626AD"/>
    <w:rsid w:val="00C62773"/>
    <w:rsid w:val="00C627DA"/>
    <w:rsid w:val="00C627DD"/>
    <w:rsid w:val="00C627EA"/>
    <w:rsid w:val="00C627FF"/>
    <w:rsid w:val="00C6280F"/>
    <w:rsid w:val="00C62816"/>
    <w:rsid w:val="00C62880"/>
    <w:rsid w:val="00C628DD"/>
    <w:rsid w:val="00C628FC"/>
    <w:rsid w:val="00C6290A"/>
    <w:rsid w:val="00C6296D"/>
    <w:rsid w:val="00C6296E"/>
    <w:rsid w:val="00C62A87"/>
    <w:rsid w:val="00C62AB0"/>
    <w:rsid w:val="00C62ACE"/>
    <w:rsid w:val="00C62B0E"/>
    <w:rsid w:val="00C62C0C"/>
    <w:rsid w:val="00C62C36"/>
    <w:rsid w:val="00C62C5C"/>
    <w:rsid w:val="00C62C69"/>
    <w:rsid w:val="00C62C80"/>
    <w:rsid w:val="00C62C85"/>
    <w:rsid w:val="00C62CA4"/>
    <w:rsid w:val="00C62CE1"/>
    <w:rsid w:val="00C62CE5"/>
    <w:rsid w:val="00C62D61"/>
    <w:rsid w:val="00C62D76"/>
    <w:rsid w:val="00C62DD0"/>
    <w:rsid w:val="00C62E3F"/>
    <w:rsid w:val="00C62E9B"/>
    <w:rsid w:val="00C62F84"/>
    <w:rsid w:val="00C62F9E"/>
    <w:rsid w:val="00C62FF1"/>
    <w:rsid w:val="00C6300D"/>
    <w:rsid w:val="00C6302D"/>
    <w:rsid w:val="00C63042"/>
    <w:rsid w:val="00C63046"/>
    <w:rsid w:val="00C6304E"/>
    <w:rsid w:val="00C6305D"/>
    <w:rsid w:val="00C6313E"/>
    <w:rsid w:val="00C63172"/>
    <w:rsid w:val="00C6317C"/>
    <w:rsid w:val="00C6317E"/>
    <w:rsid w:val="00C63227"/>
    <w:rsid w:val="00C63282"/>
    <w:rsid w:val="00C63299"/>
    <w:rsid w:val="00C63325"/>
    <w:rsid w:val="00C63367"/>
    <w:rsid w:val="00C63368"/>
    <w:rsid w:val="00C6337C"/>
    <w:rsid w:val="00C6344D"/>
    <w:rsid w:val="00C63478"/>
    <w:rsid w:val="00C63487"/>
    <w:rsid w:val="00C634BA"/>
    <w:rsid w:val="00C6351D"/>
    <w:rsid w:val="00C63531"/>
    <w:rsid w:val="00C635C8"/>
    <w:rsid w:val="00C635D2"/>
    <w:rsid w:val="00C63608"/>
    <w:rsid w:val="00C6361A"/>
    <w:rsid w:val="00C6361E"/>
    <w:rsid w:val="00C63689"/>
    <w:rsid w:val="00C636A7"/>
    <w:rsid w:val="00C6370E"/>
    <w:rsid w:val="00C6374F"/>
    <w:rsid w:val="00C63788"/>
    <w:rsid w:val="00C63813"/>
    <w:rsid w:val="00C6382C"/>
    <w:rsid w:val="00C63896"/>
    <w:rsid w:val="00C63899"/>
    <w:rsid w:val="00C638B4"/>
    <w:rsid w:val="00C638EF"/>
    <w:rsid w:val="00C638F8"/>
    <w:rsid w:val="00C63947"/>
    <w:rsid w:val="00C63957"/>
    <w:rsid w:val="00C63963"/>
    <w:rsid w:val="00C639C4"/>
    <w:rsid w:val="00C63A3E"/>
    <w:rsid w:val="00C63A41"/>
    <w:rsid w:val="00C63A68"/>
    <w:rsid w:val="00C63A78"/>
    <w:rsid w:val="00C63ABE"/>
    <w:rsid w:val="00C63B39"/>
    <w:rsid w:val="00C63B92"/>
    <w:rsid w:val="00C63BDA"/>
    <w:rsid w:val="00C63BE5"/>
    <w:rsid w:val="00C63C1F"/>
    <w:rsid w:val="00C63C65"/>
    <w:rsid w:val="00C63C67"/>
    <w:rsid w:val="00C63C70"/>
    <w:rsid w:val="00C63C71"/>
    <w:rsid w:val="00C63C73"/>
    <w:rsid w:val="00C63C7A"/>
    <w:rsid w:val="00C63CDD"/>
    <w:rsid w:val="00C63D1D"/>
    <w:rsid w:val="00C63D22"/>
    <w:rsid w:val="00C63D33"/>
    <w:rsid w:val="00C63D4D"/>
    <w:rsid w:val="00C63D63"/>
    <w:rsid w:val="00C63D85"/>
    <w:rsid w:val="00C63E06"/>
    <w:rsid w:val="00C63E07"/>
    <w:rsid w:val="00C63E8F"/>
    <w:rsid w:val="00C63ED5"/>
    <w:rsid w:val="00C63F1F"/>
    <w:rsid w:val="00C63F89"/>
    <w:rsid w:val="00C63FA1"/>
    <w:rsid w:val="00C64001"/>
    <w:rsid w:val="00C6407C"/>
    <w:rsid w:val="00C6408D"/>
    <w:rsid w:val="00C640E1"/>
    <w:rsid w:val="00C64105"/>
    <w:rsid w:val="00C6410D"/>
    <w:rsid w:val="00C64123"/>
    <w:rsid w:val="00C64130"/>
    <w:rsid w:val="00C64145"/>
    <w:rsid w:val="00C64149"/>
    <w:rsid w:val="00C6421F"/>
    <w:rsid w:val="00C6422B"/>
    <w:rsid w:val="00C6424B"/>
    <w:rsid w:val="00C64270"/>
    <w:rsid w:val="00C642C0"/>
    <w:rsid w:val="00C642C5"/>
    <w:rsid w:val="00C642DF"/>
    <w:rsid w:val="00C64331"/>
    <w:rsid w:val="00C6433A"/>
    <w:rsid w:val="00C64345"/>
    <w:rsid w:val="00C643D7"/>
    <w:rsid w:val="00C64486"/>
    <w:rsid w:val="00C644B8"/>
    <w:rsid w:val="00C644DE"/>
    <w:rsid w:val="00C644EA"/>
    <w:rsid w:val="00C64513"/>
    <w:rsid w:val="00C64514"/>
    <w:rsid w:val="00C6457A"/>
    <w:rsid w:val="00C64580"/>
    <w:rsid w:val="00C645C3"/>
    <w:rsid w:val="00C64641"/>
    <w:rsid w:val="00C6464A"/>
    <w:rsid w:val="00C647A1"/>
    <w:rsid w:val="00C647AE"/>
    <w:rsid w:val="00C647CC"/>
    <w:rsid w:val="00C647D6"/>
    <w:rsid w:val="00C647EC"/>
    <w:rsid w:val="00C6480F"/>
    <w:rsid w:val="00C6488F"/>
    <w:rsid w:val="00C6489E"/>
    <w:rsid w:val="00C648CC"/>
    <w:rsid w:val="00C64918"/>
    <w:rsid w:val="00C6491A"/>
    <w:rsid w:val="00C64936"/>
    <w:rsid w:val="00C64990"/>
    <w:rsid w:val="00C649D5"/>
    <w:rsid w:val="00C649EF"/>
    <w:rsid w:val="00C64A69"/>
    <w:rsid w:val="00C64AD4"/>
    <w:rsid w:val="00C64AFB"/>
    <w:rsid w:val="00C64C09"/>
    <w:rsid w:val="00C64C0C"/>
    <w:rsid w:val="00C64C6A"/>
    <w:rsid w:val="00C64CAD"/>
    <w:rsid w:val="00C64CB0"/>
    <w:rsid w:val="00C64D9E"/>
    <w:rsid w:val="00C64DB8"/>
    <w:rsid w:val="00C64E23"/>
    <w:rsid w:val="00C64E76"/>
    <w:rsid w:val="00C64ECF"/>
    <w:rsid w:val="00C64ED6"/>
    <w:rsid w:val="00C64EDB"/>
    <w:rsid w:val="00C64EEA"/>
    <w:rsid w:val="00C64EF6"/>
    <w:rsid w:val="00C64F6A"/>
    <w:rsid w:val="00C64FB0"/>
    <w:rsid w:val="00C64FCB"/>
    <w:rsid w:val="00C64FEB"/>
    <w:rsid w:val="00C64FF8"/>
    <w:rsid w:val="00C6503B"/>
    <w:rsid w:val="00C6503F"/>
    <w:rsid w:val="00C6508C"/>
    <w:rsid w:val="00C650D2"/>
    <w:rsid w:val="00C6514E"/>
    <w:rsid w:val="00C65159"/>
    <w:rsid w:val="00C6515A"/>
    <w:rsid w:val="00C6515D"/>
    <w:rsid w:val="00C6516E"/>
    <w:rsid w:val="00C65187"/>
    <w:rsid w:val="00C651A4"/>
    <w:rsid w:val="00C651DC"/>
    <w:rsid w:val="00C6520D"/>
    <w:rsid w:val="00C65298"/>
    <w:rsid w:val="00C652C3"/>
    <w:rsid w:val="00C652D7"/>
    <w:rsid w:val="00C652F0"/>
    <w:rsid w:val="00C65352"/>
    <w:rsid w:val="00C65385"/>
    <w:rsid w:val="00C653F3"/>
    <w:rsid w:val="00C65414"/>
    <w:rsid w:val="00C654A5"/>
    <w:rsid w:val="00C654EE"/>
    <w:rsid w:val="00C65538"/>
    <w:rsid w:val="00C6555E"/>
    <w:rsid w:val="00C65576"/>
    <w:rsid w:val="00C6559A"/>
    <w:rsid w:val="00C65626"/>
    <w:rsid w:val="00C65632"/>
    <w:rsid w:val="00C65671"/>
    <w:rsid w:val="00C65682"/>
    <w:rsid w:val="00C656BF"/>
    <w:rsid w:val="00C65708"/>
    <w:rsid w:val="00C6570C"/>
    <w:rsid w:val="00C65727"/>
    <w:rsid w:val="00C65757"/>
    <w:rsid w:val="00C65786"/>
    <w:rsid w:val="00C657A5"/>
    <w:rsid w:val="00C657CC"/>
    <w:rsid w:val="00C65827"/>
    <w:rsid w:val="00C65869"/>
    <w:rsid w:val="00C658B0"/>
    <w:rsid w:val="00C658BE"/>
    <w:rsid w:val="00C658FE"/>
    <w:rsid w:val="00C65907"/>
    <w:rsid w:val="00C6591E"/>
    <w:rsid w:val="00C65985"/>
    <w:rsid w:val="00C65A62"/>
    <w:rsid w:val="00C65A91"/>
    <w:rsid w:val="00C65A99"/>
    <w:rsid w:val="00C65AA7"/>
    <w:rsid w:val="00C65AB6"/>
    <w:rsid w:val="00C65ACD"/>
    <w:rsid w:val="00C65AD6"/>
    <w:rsid w:val="00C65B18"/>
    <w:rsid w:val="00C65C3B"/>
    <w:rsid w:val="00C65C5F"/>
    <w:rsid w:val="00C65CEA"/>
    <w:rsid w:val="00C65D59"/>
    <w:rsid w:val="00C65DB4"/>
    <w:rsid w:val="00C65DC0"/>
    <w:rsid w:val="00C65E1C"/>
    <w:rsid w:val="00C65E21"/>
    <w:rsid w:val="00C65E37"/>
    <w:rsid w:val="00C65E6A"/>
    <w:rsid w:val="00C65ED8"/>
    <w:rsid w:val="00C65F45"/>
    <w:rsid w:val="00C65F69"/>
    <w:rsid w:val="00C65F79"/>
    <w:rsid w:val="00C65FA1"/>
    <w:rsid w:val="00C66032"/>
    <w:rsid w:val="00C6606B"/>
    <w:rsid w:val="00C66185"/>
    <w:rsid w:val="00C66187"/>
    <w:rsid w:val="00C661E0"/>
    <w:rsid w:val="00C66237"/>
    <w:rsid w:val="00C6624C"/>
    <w:rsid w:val="00C662F7"/>
    <w:rsid w:val="00C6630D"/>
    <w:rsid w:val="00C66359"/>
    <w:rsid w:val="00C66374"/>
    <w:rsid w:val="00C663EF"/>
    <w:rsid w:val="00C663F1"/>
    <w:rsid w:val="00C66414"/>
    <w:rsid w:val="00C6645C"/>
    <w:rsid w:val="00C66479"/>
    <w:rsid w:val="00C66480"/>
    <w:rsid w:val="00C664E7"/>
    <w:rsid w:val="00C6655E"/>
    <w:rsid w:val="00C66561"/>
    <w:rsid w:val="00C66608"/>
    <w:rsid w:val="00C66625"/>
    <w:rsid w:val="00C666B5"/>
    <w:rsid w:val="00C666C1"/>
    <w:rsid w:val="00C666EE"/>
    <w:rsid w:val="00C6675E"/>
    <w:rsid w:val="00C667B9"/>
    <w:rsid w:val="00C667BB"/>
    <w:rsid w:val="00C667DF"/>
    <w:rsid w:val="00C667FF"/>
    <w:rsid w:val="00C66885"/>
    <w:rsid w:val="00C668BD"/>
    <w:rsid w:val="00C668D8"/>
    <w:rsid w:val="00C6691A"/>
    <w:rsid w:val="00C6693E"/>
    <w:rsid w:val="00C6695A"/>
    <w:rsid w:val="00C6696C"/>
    <w:rsid w:val="00C6698E"/>
    <w:rsid w:val="00C66996"/>
    <w:rsid w:val="00C66997"/>
    <w:rsid w:val="00C669B5"/>
    <w:rsid w:val="00C669FA"/>
    <w:rsid w:val="00C669FE"/>
    <w:rsid w:val="00C66A13"/>
    <w:rsid w:val="00C66A4E"/>
    <w:rsid w:val="00C66A59"/>
    <w:rsid w:val="00C66ABF"/>
    <w:rsid w:val="00C66B65"/>
    <w:rsid w:val="00C66B7F"/>
    <w:rsid w:val="00C66BA4"/>
    <w:rsid w:val="00C66C32"/>
    <w:rsid w:val="00C66C54"/>
    <w:rsid w:val="00C66C57"/>
    <w:rsid w:val="00C66CB2"/>
    <w:rsid w:val="00C66D01"/>
    <w:rsid w:val="00C66D2B"/>
    <w:rsid w:val="00C66D61"/>
    <w:rsid w:val="00C66DB8"/>
    <w:rsid w:val="00C66DBC"/>
    <w:rsid w:val="00C66DBE"/>
    <w:rsid w:val="00C66DD7"/>
    <w:rsid w:val="00C66DEC"/>
    <w:rsid w:val="00C66DFE"/>
    <w:rsid w:val="00C66E0D"/>
    <w:rsid w:val="00C66E55"/>
    <w:rsid w:val="00C66EB9"/>
    <w:rsid w:val="00C66F39"/>
    <w:rsid w:val="00C66F75"/>
    <w:rsid w:val="00C66FA8"/>
    <w:rsid w:val="00C66FCA"/>
    <w:rsid w:val="00C66FD5"/>
    <w:rsid w:val="00C66FF4"/>
    <w:rsid w:val="00C66FF7"/>
    <w:rsid w:val="00C67010"/>
    <w:rsid w:val="00C6703B"/>
    <w:rsid w:val="00C67083"/>
    <w:rsid w:val="00C67180"/>
    <w:rsid w:val="00C6722F"/>
    <w:rsid w:val="00C67297"/>
    <w:rsid w:val="00C6732F"/>
    <w:rsid w:val="00C6734F"/>
    <w:rsid w:val="00C673C5"/>
    <w:rsid w:val="00C67431"/>
    <w:rsid w:val="00C6745A"/>
    <w:rsid w:val="00C67467"/>
    <w:rsid w:val="00C674A6"/>
    <w:rsid w:val="00C674B3"/>
    <w:rsid w:val="00C674F9"/>
    <w:rsid w:val="00C67503"/>
    <w:rsid w:val="00C6755D"/>
    <w:rsid w:val="00C676C4"/>
    <w:rsid w:val="00C676DB"/>
    <w:rsid w:val="00C676E0"/>
    <w:rsid w:val="00C676E6"/>
    <w:rsid w:val="00C676EE"/>
    <w:rsid w:val="00C67775"/>
    <w:rsid w:val="00C677B6"/>
    <w:rsid w:val="00C67817"/>
    <w:rsid w:val="00C678BB"/>
    <w:rsid w:val="00C6791B"/>
    <w:rsid w:val="00C6792C"/>
    <w:rsid w:val="00C67947"/>
    <w:rsid w:val="00C67971"/>
    <w:rsid w:val="00C67991"/>
    <w:rsid w:val="00C67A3F"/>
    <w:rsid w:val="00C67A42"/>
    <w:rsid w:val="00C67A8C"/>
    <w:rsid w:val="00C67AA1"/>
    <w:rsid w:val="00C67AD7"/>
    <w:rsid w:val="00C67AF9"/>
    <w:rsid w:val="00C67B05"/>
    <w:rsid w:val="00C67B20"/>
    <w:rsid w:val="00C67B35"/>
    <w:rsid w:val="00C67BAD"/>
    <w:rsid w:val="00C67BE9"/>
    <w:rsid w:val="00C67C1F"/>
    <w:rsid w:val="00C67C2B"/>
    <w:rsid w:val="00C67CB9"/>
    <w:rsid w:val="00C67CD7"/>
    <w:rsid w:val="00C67D33"/>
    <w:rsid w:val="00C67D6E"/>
    <w:rsid w:val="00C67D92"/>
    <w:rsid w:val="00C67D99"/>
    <w:rsid w:val="00C67D9F"/>
    <w:rsid w:val="00C67DC4"/>
    <w:rsid w:val="00C67E24"/>
    <w:rsid w:val="00C67E6B"/>
    <w:rsid w:val="00C67E82"/>
    <w:rsid w:val="00C67EA4"/>
    <w:rsid w:val="00C67EAE"/>
    <w:rsid w:val="00C67F42"/>
    <w:rsid w:val="00C67F66"/>
    <w:rsid w:val="00C67FE5"/>
    <w:rsid w:val="00C70000"/>
    <w:rsid w:val="00C70072"/>
    <w:rsid w:val="00C700B1"/>
    <w:rsid w:val="00C700B4"/>
    <w:rsid w:val="00C700C6"/>
    <w:rsid w:val="00C700E4"/>
    <w:rsid w:val="00C700E7"/>
    <w:rsid w:val="00C70124"/>
    <w:rsid w:val="00C701BE"/>
    <w:rsid w:val="00C701C0"/>
    <w:rsid w:val="00C701FD"/>
    <w:rsid w:val="00C70210"/>
    <w:rsid w:val="00C70257"/>
    <w:rsid w:val="00C702C4"/>
    <w:rsid w:val="00C70309"/>
    <w:rsid w:val="00C7034A"/>
    <w:rsid w:val="00C70368"/>
    <w:rsid w:val="00C703B6"/>
    <w:rsid w:val="00C703C5"/>
    <w:rsid w:val="00C703C7"/>
    <w:rsid w:val="00C70405"/>
    <w:rsid w:val="00C70431"/>
    <w:rsid w:val="00C7055E"/>
    <w:rsid w:val="00C70589"/>
    <w:rsid w:val="00C705D4"/>
    <w:rsid w:val="00C705F1"/>
    <w:rsid w:val="00C70604"/>
    <w:rsid w:val="00C7062A"/>
    <w:rsid w:val="00C70632"/>
    <w:rsid w:val="00C70633"/>
    <w:rsid w:val="00C70656"/>
    <w:rsid w:val="00C7068A"/>
    <w:rsid w:val="00C70704"/>
    <w:rsid w:val="00C70708"/>
    <w:rsid w:val="00C70718"/>
    <w:rsid w:val="00C7073C"/>
    <w:rsid w:val="00C707B6"/>
    <w:rsid w:val="00C707D9"/>
    <w:rsid w:val="00C707E4"/>
    <w:rsid w:val="00C7081D"/>
    <w:rsid w:val="00C70873"/>
    <w:rsid w:val="00C70874"/>
    <w:rsid w:val="00C70890"/>
    <w:rsid w:val="00C708C5"/>
    <w:rsid w:val="00C708F8"/>
    <w:rsid w:val="00C709DD"/>
    <w:rsid w:val="00C70A82"/>
    <w:rsid w:val="00C70AC8"/>
    <w:rsid w:val="00C70AD6"/>
    <w:rsid w:val="00C70B08"/>
    <w:rsid w:val="00C70B1E"/>
    <w:rsid w:val="00C70B37"/>
    <w:rsid w:val="00C70B49"/>
    <w:rsid w:val="00C70B80"/>
    <w:rsid w:val="00C70B91"/>
    <w:rsid w:val="00C70BAB"/>
    <w:rsid w:val="00C70BC5"/>
    <w:rsid w:val="00C70BE6"/>
    <w:rsid w:val="00C70CA5"/>
    <w:rsid w:val="00C70CAF"/>
    <w:rsid w:val="00C70CCF"/>
    <w:rsid w:val="00C70D08"/>
    <w:rsid w:val="00C70D64"/>
    <w:rsid w:val="00C70DA4"/>
    <w:rsid w:val="00C70DD8"/>
    <w:rsid w:val="00C70E09"/>
    <w:rsid w:val="00C70E3F"/>
    <w:rsid w:val="00C70E48"/>
    <w:rsid w:val="00C70F31"/>
    <w:rsid w:val="00C70F44"/>
    <w:rsid w:val="00C70F58"/>
    <w:rsid w:val="00C70F71"/>
    <w:rsid w:val="00C70FAD"/>
    <w:rsid w:val="00C70FD9"/>
    <w:rsid w:val="00C71007"/>
    <w:rsid w:val="00C7100D"/>
    <w:rsid w:val="00C71056"/>
    <w:rsid w:val="00C710A0"/>
    <w:rsid w:val="00C710A8"/>
    <w:rsid w:val="00C710B7"/>
    <w:rsid w:val="00C710BF"/>
    <w:rsid w:val="00C710C6"/>
    <w:rsid w:val="00C71187"/>
    <w:rsid w:val="00C711EF"/>
    <w:rsid w:val="00C71244"/>
    <w:rsid w:val="00C7128E"/>
    <w:rsid w:val="00C712A8"/>
    <w:rsid w:val="00C712B7"/>
    <w:rsid w:val="00C712E7"/>
    <w:rsid w:val="00C712E9"/>
    <w:rsid w:val="00C71305"/>
    <w:rsid w:val="00C71314"/>
    <w:rsid w:val="00C7136D"/>
    <w:rsid w:val="00C71395"/>
    <w:rsid w:val="00C713A4"/>
    <w:rsid w:val="00C713D3"/>
    <w:rsid w:val="00C71450"/>
    <w:rsid w:val="00C7152D"/>
    <w:rsid w:val="00C71553"/>
    <w:rsid w:val="00C71554"/>
    <w:rsid w:val="00C7157B"/>
    <w:rsid w:val="00C71580"/>
    <w:rsid w:val="00C71581"/>
    <w:rsid w:val="00C71591"/>
    <w:rsid w:val="00C715E6"/>
    <w:rsid w:val="00C715F7"/>
    <w:rsid w:val="00C7163C"/>
    <w:rsid w:val="00C71677"/>
    <w:rsid w:val="00C716CF"/>
    <w:rsid w:val="00C71735"/>
    <w:rsid w:val="00C71759"/>
    <w:rsid w:val="00C71764"/>
    <w:rsid w:val="00C71774"/>
    <w:rsid w:val="00C71792"/>
    <w:rsid w:val="00C717E2"/>
    <w:rsid w:val="00C71812"/>
    <w:rsid w:val="00C7181C"/>
    <w:rsid w:val="00C71825"/>
    <w:rsid w:val="00C71834"/>
    <w:rsid w:val="00C7189C"/>
    <w:rsid w:val="00C7189D"/>
    <w:rsid w:val="00C718C8"/>
    <w:rsid w:val="00C718FC"/>
    <w:rsid w:val="00C71909"/>
    <w:rsid w:val="00C71997"/>
    <w:rsid w:val="00C71A2F"/>
    <w:rsid w:val="00C71A8F"/>
    <w:rsid w:val="00C71AA7"/>
    <w:rsid w:val="00C71AA9"/>
    <w:rsid w:val="00C71AB2"/>
    <w:rsid w:val="00C71AE5"/>
    <w:rsid w:val="00C71AF6"/>
    <w:rsid w:val="00C71B18"/>
    <w:rsid w:val="00C71BA7"/>
    <w:rsid w:val="00C71BC8"/>
    <w:rsid w:val="00C71C63"/>
    <w:rsid w:val="00C71C9A"/>
    <w:rsid w:val="00C71CFC"/>
    <w:rsid w:val="00C71D1E"/>
    <w:rsid w:val="00C71D5D"/>
    <w:rsid w:val="00C71D5E"/>
    <w:rsid w:val="00C71D61"/>
    <w:rsid w:val="00C71D7A"/>
    <w:rsid w:val="00C71DA6"/>
    <w:rsid w:val="00C71DB3"/>
    <w:rsid w:val="00C71DCD"/>
    <w:rsid w:val="00C71E5D"/>
    <w:rsid w:val="00C71EC0"/>
    <w:rsid w:val="00C71EE2"/>
    <w:rsid w:val="00C71F00"/>
    <w:rsid w:val="00C71F07"/>
    <w:rsid w:val="00C71F1F"/>
    <w:rsid w:val="00C71F30"/>
    <w:rsid w:val="00C71F58"/>
    <w:rsid w:val="00C71F70"/>
    <w:rsid w:val="00C71FCA"/>
    <w:rsid w:val="00C71FDF"/>
    <w:rsid w:val="00C72002"/>
    <w:rsid w:val="00C7201D"/>
    <w:rsid w:val="00C72023"/>
    <w:rsid w:val="00C7202F"/>
    <w:rsid w:val="00C72056"/>
    <w:rsid w:val="00C7209F"/>
    <w:rsid w:val="00C72114"/>
    <w:rsid w:val="00C72136"/>
    <w:rsid w:val="00C72149"/>
    <w:rsid w:val="00C7218B"/>
    <w:rsid w:val="00C7218E"/>
    <w:rsid w:val="00C72196"/>
    <w:rsid w:val="00C7219E"/>
    <w:rsid w:val="00C721AD"/>
    <w:rsid w:val="00C721C9"/>
    <w:rsid w:val="00C721DE"/>
    <w:rsid w:val="00C72242"/>
    <w:rsid w:val="00C7224B"/>
    <w:rsid w:val="00C7225E"/>
    <w:rsid w:val="00C7230D"/>
    <w:rsid w:val="00C723DF"/>
    <w:rsid w:val="00C723E6"/>
    <w:rsid w:val="00C7243E"/>
    <w:rsid w:val="00C72447"/>
    <w:rsid w:val="00C724C2"/>
    <w:rsid w:val="00C72501"/>
    <w:rsid w:val="00C7250E"/>
    <w:rsid w:val="00C72529"/>
    <w:rsid w:val="00C7257C"/>
    <w:rsid w:val="00C72598"/>
    <w:rsid w:val="00C7262B"/>
    <w:rsid w:val="00C7262C"/>
    <w:rsid w:val="00C726B3"/>
    <w:rsid w:val="00C726BC"/>
    <w:rsid w:val="00C7272E"/>
    <w:rsid w:val="00C7277E"/>
    <w:rsid w:val="00C727A9"/>
    <w:rsid w:val="00C72812"/>
    <w:rsid w:val="00C72826"/>
    <w:rsid w:val="00C7282E"/>
    <w:rsid w:val="00C728A1"/>
    <w:rsid w:val="00C728AC"/>
    <w:rsid w:val="00C728B4"/>
    <w:rsid w:val="00C728BC"/>
    <w:rsid w:val="00C728FD"/>
    <w:rsid w:val="00C72947"/>
    <w:rsid w:val="00C72955"/>
    <w:rsid w:val="00C72995"/>
    <w:rsid w:val="00C72A3B"/>
    <w:rsid w:val="00C72A5B"/>
    <w:rsid w:val="00C72A62"/>
    <w:rsid w:val="00C72AF6"/>
    <w:rsid w:val="00C72AF7"/>
    <w:rsid w:val="00C72B1A"/>
    <w:rsid w:val="00C72B57"/>
    <w:rsid w:val="00C72B7E"/>
    <w:rsid w:val="00C72B91"/>
    <w:rsid w:val="00C72B94"/>
    <w:rsid w:val="00C72BF4"/>
    <w:rsid w:val="00C72C28"/>
    <w:rsid w:val="00C72C5B"/>
    <w:rsid w:val="00C72CCD"/>
    <w:rsid w:val="00C72D1F"/>
    <w:rsid w:val="00C72D52"/>
    <w:rsid w:val="00C72D7D"/>
    <w:rsid w:val="00C72D94"/>
    <w:rsid w:val="00C72DE0"/>
    <w:rsid w:val="00C72DF4"/>
    <w:rsid w:val="00C72ED2"/>
    <w:rsid w:val="00C72EFB"/>
    <w:rsid w:val="00C72F59"/>
    <w:rsid w:val="00C72F78"/>
    <w:rsid w:val="00C72F8F"/>
    <w:rsid w:val="00C72F94"/>
    <w:rsid w:val="00C72F9E"/>
    <w:rsid w:val="00C72FD8"/>
    <w:rsid w:val="00C73011"/>
    <w:rsid w:val="00C7302E"/>
    <w:rsid w:val="00C7304D"/>
    <w:rsid w:val="00C73085"/>
    <w:rsid w:val="00C7308A"/>
    <w:rsid w:val="00C7308C"/>
    <w:rsid w:val="00C73121"/>
    <w:rsid w:val="00C73136"/>
    <w:rsid w:val="00C73158"/>
    <w:rsid w:val="00C7318C"/>
    <w:rsid w:val="00C731AC"/>
    <w:rsid w:val="00C731B5"/>
    <w:rsid w:val="00C731CD"/>
    <w:rsid w:val="00C73229"/>
    <w:rsid w:val="00C7325D"/>
    <w:rsid w:val="00C732CF"/>
    <w:rsid w:val="00C73351"/>
    <w:rsid w:val="00C73353"/>
    <w:rsid w:val="00C7336F"/>
    <w:rsid w:val="00C73388"/>
    <w:rsid w:val="00C73398"/>
    <w:rsid w:val="00C7339E"/>
    <w:rsid w:val="00C733A4"/>
    <w:rsid w:val="00C733A5"/>
    <w:rsid w:val="00C733B4"/>
    <w:rsid w:val="00C733D5"/>
    <w:rsid w:val="00C733EA"/>
    <w:rsid w:val="00C733FD"/>
    <w:rsid w:val="00C7342B"/>
    <w:rsid w:val="00C7344A"/>
    <w:rsid w:val="00C7345F"/>
    <w:rsid w:val="00C73482"/>
    <w:rsid w:val="00C73485"/>
    <w:rsid w:val="00C734D0"/>
    <w:rsid w:val="00C7354A"/>
    <w:rsid w:val="00C73601"/>
    <w:rsid w:val="00C73661"/>
    <w:rsid w:val="00C73680"/>
    <w:rsid w:val="00C73694"/>
    <w:rsid w:val="00C736A8"/>
    <w:rsid w:val="00C736AE"/>
    <w:rsid w:val="00C73740"/>
    <w:rsid w:val="00C73785"/>
    <w:rsid w:val="00C7378F"/>
    <w:rsid w:val="00C737DC"/>
    <w:rsid w:val="00C7381A"/>
    <w:rsid w:val="00C73878"/>
    <w:rsid w:val="00C738BC"/>
    <w:rsid w:val="00C738E9"/>
    <w:rsid w:val="00C738F4"/>
    <w:rsid w:val="00C73912"/>
    <w:rsid w:val="00C73917"/>
    <w:rsid w:val="00C73932"/>
    <w:rsid w:val="00C739A8"/>
    <w:rsid w:val="00C739CC"/>
    <w:rsid w:val="00C739FA"/>
    <w:rsid w:val="00C73A28"/>
    <w:rsid w:val="00C73A7E"/>
    <w:rsid w:val="00C73AC4"/>
    <w:rsid w:val="00C73AFF"/>
    <w:rsid w:val="00C73B00"/>
    <w:rsid w:val="00C73B11"/>
    <w:rsid w:val="00C73B7F"/>
    <w:rsid w:val="00C73B9F"/>
    <w:rsid w:val="00C73BA2"/>
    <w:rsid w:val="00C73BBC"/>
    <w:rsid w:val="00C73BC1"/>
    <w:rsid w:val="00C73BDC"/>
    <w:rsid w:val="00C73BF4"/>
    <w:rsid w:val="00C73BFC"/>
    <w:rsid w:val="00C73C7A"/>
    <w:rsid w:val="00C73C7D"/>
    <w:rsid w:val="00C73D03"/>
    <w:rsid w:val="00C73D19"/>
    <w:rsid w:val="00C73DC7"/>
    <w:rsid w:val="00C73DD9"/>
    <w:rsid w:val="00C73E17"/>
    <w:rsid w:val="00C73E2B"/>
    <w:rsid w:val="00C73E47"/>
    <w:rsid w:val="00C73ED4"/>
    <w:rsid w:val="00C73EED"/>
    <w:rsid w:val="00C73EF0"/>
    <w:rsid w:val="00C73EF2"/>
    <w:rsid w:val="00C73F09"/>
    <w:rsid w:val="00C73F5D"/>
    <w:rsid w:val="00C73F7C"/>
    <w:rsid w:val="00C73F8E"/>
    <w:rsid w:val="00C73F98"/>
    <w:rsid w:val="00C73FDA"/>
    <w:rsid w:val="00C7401B"/>
    <w:rsid w:val="00C74039"/>
    <w:rsid w:val="00C7403F"/>
    <w:rsid w:val="00C74046"/>
    <w:rsid w:val="00C740B5"/>
    <w:rsid w:val="00C740BE"/>
    <w:rsid w:val="00C74111"/>
    <w:rsid w:val="00C7412E"/>
    <w:rsid w:val="00C74171"/>
    <w:rsid w:val="00C7434E"/>
    <w:rsid w:val="00C74351"/>
    <w:rsid w:val="00C7435E"/>
    <w:rsid w:val="00C74370"/>
    <w:rsid w:val="00C74412"/>
    <w:rsid w:val="00C74442"/>
    <w:rsid w:val="00C7447A"/>
    <w:rsid w:val="00C74493"/>
    <w:rsid w:val="00C744BE"/>
    <w:rsid w:val="00C744E5"/>
    <w:rsid w:val="00C745A9"/>
    <w:rsid w:val="00C745BD"/>
    <w:rsid w:val="00C745F9"/>
    <w:rsid w:val="00C7466A"/>
    <w:rsid w:val="00C74680"/>
    <w:rsid w:val="00C746D5"/>
    <w:rsid w:val="00C74703"/>
    <w:rsid w:val="00C74769"/>
    <w:rsid w:val="00C74796"/>
    <w:rsid w:val="00C7484C"/>
    <w:rsid w:val="00C7487C"/>
    <w:rsid w:val="00C7487E"/>
    <w:rsid w:val="00C74890"/>
    <w:rsid w:val="00C74891"/>
    <w:rsid w:val="00C7489D"/>
    <w:rsid w:val="00C748CD"/>
    <w:rsid w:val="00C748CE"/>
    <w:rsid w:val="00C748DC"/>
    <w:rsid w:val="00C7496D"/>
    <w:rsid w:val="00C749CF"/>
    <w:rsid w:val="00C749F9"/>
    <w:rsid w:val="00C74A13"/>
    <w:rsid w:val="00C74ABC"/>
    <w:rsid w:val="00C74AF0"/>
    <w:rsid w:val="00C74B03"/>
    <w:rsid w:val="00C74B13"/>
    <w:rsid w:val="00C74B58"/>
    <w:rsid w:val="00C74B9D"/>
    <w:rsid w:val="00C74BF7"/>
    <w:rsid w:val="00C74C66"/>
    <w:rsid w:val="00C74C86"/>
    <w:rsid w:val="00C74C99"/>
    <w:rsid w:val="00C74CA7"/>
    <w:rsid w:val="00C74CAE"/>
    <w:rsid w:val="00C74CB9"/>
    <w:rsid w:val="00C74CD6"/>
    <w:rsid w:val="00C74CFB"/>
    <w:rsid w:val="00C74D30"/>
    <w:rsid w:val="00C74D87"/>
    <w:rsid w:val="00C74DF8"/>
    <w:rsid w:val="00C74E1D"/>
    <w:rsid w:val="00C74E4B"/>
    <w:rsid w:val="00C74EA9"/>
    <w:rsid w:val="00C74ED4"/>
    <w:rsid w:val="00C74ED9"/>
    <w:rsid w:val="00C74EF0"/>
    <w:rsid w:val="00C74F37"/>
    <w:rsid w:val="00C74F4A"/>
    <w:rsid w:val="00C74F6D"/>
    <w:rsid w:val="00C74F9E"/>
    <w:rsid w:val="00C74FAD"/>
    <w:rsid w:val="00C74FB3"/>
    <w:rsid w:val="00C74FD5"/>
    <w:rsid w:val="00C74FFA"/>
    <w:rsid w:val="00C7505B"/>
    <w:rsid w:val="00C750E2"/>
    <w:rsid w:val="00C750EF"/>
    <w:rsid w:val="00C750F4"/>
    <w:rsid w:val="00C75118"/>
    <w:rsid w:val="00C75134"/>
    <w:rsid w:val="00C75135"/>
    <w:rsid w:val="00C75192"/>
    <w:rsid w:val="00C751F8"/>
    <w:rsid w:val="00C7520F"/>
    <w:rsid w:val="00C75225"/>
    <w:rsid w:val="00C752CA"/>
    <w:rsid w:val="00C753DB"/>
    <w:rsid w:val="00C75405"/>
    <w:rsid w:val="00C75418"/>
    <w:rsid w:val="00C75427"/>
    <w:rsid w:val="00C7544F"/>
    <w:rsid w:val="00C75463"/>
    <w:rsid w:val="00C75476"/>
    <w:rsid w:val="00C75496"/>
    <w:rsid w:val="00C7552E"/>
    <w:rsid w:val="00C75563"/>
    <w:rsid w:val="00C755AD"/>
    <w:rsid w:val="00C755AF"/>
    <w:rsid w:val="00C755B3"/>
    <w:rsid w:val="00C755D0"/>
    <w:rsid w:val="00C7565F"/>
    <w:rsid w:val="00C7567E"/>
    <w:rsid w:val="00C75696"/>
    <w:rsid w:val="00C7572E"/>
    <w:rsid w:val="00C7573F"/>
    <w:rsid w:val="00C75794"/>
    <w:rsid w:val="00C757B8"/>
    <w:rsid w:val="00C757CA"/>
    <w:rsid w:val="00C757E7"/>
    <w:rsid w:val="00C757E8"/>
    <w:rsid w:val="00C75851"/>
    <w:rsid w:val="00C75871"/>
    <w:rsid w:val="00C758BD"/>
    <w:rsid w:val="00C75905"/>
    <w:rsid w:val="00C75917"/>
    <w:rsid w:val="00C75938"/>
    <w:rsid w:val="00C75955"/>
    <w:rsid w:val="00C75967"/>
    <w:rsid w:val="00C75A12"/>
    <w:rsid w:val="00C75A2D"/>
    <w:rsid w:val="00C75A46"/>
    <w:rsid w:val="00C75A4D"/>
    <w:rsid w:val="00C75A8B"/>
    <w:rsid w:val="00C75AA8"/>
    <w:rsid w:val="00C75AED"/>
    <w:rsid w:val="00C75B89"/>
    <w:rsid w:val="00C75B8E"/>
    <w:rsid w:val="00C75B9F"/>
    <w:rsid w:val="00C75BDD"/>
    <w:rsid w:val="00C75C1C"/>
    <w:rsid w:val="00C75C1F"/>
    <w:rsid w:val="00C75C2B"/>
    <w:rsid w:val="00C75C6F"/>
    <w:rsid w:val="00C75C70"/>
    <w:rsid w:val="00C75CA8"/>
    <w:rsid w:val="00C75D7B"/>
    <w:rsid w:val="00C75DC2"/>
    <w:rsid w:val="00C75DCB"/>
    <w:rsid w:val="00C75E3D"/>
    <w:rsid w:val="00C75E52"/>
    <w:rsid w:val="00C75E79"/>
    <w:rsid w:val="00C75EA9"/>
    <w:rsid w:val="00C75EEB"/>
    <w:rsid w:val="00C75F1E"/>
    <w:rsid w:val="00C75F58"/>
    <w:rsid w:val="00C75F76"/>
    <w:rsid w:val="00C75F78"/>
    <w:rsid w:val="00C75F83"/>
    <w:rsid w:val="00C7606B"/>
    <w:rsid w:val="00C760FA"/>
    <w:rsid w:val="00C76109"/>
    <w:rsid w:val="00C76126"/>
    <w:rsid w:val="00C761FC"/>
    <w:rsid w:val="00C7625D"/>
    <w:rsid w:val="00C76273"/>
    <w:rsid w:val="00C762E5"/>
    <w:rsid w:val="00C762F6"/>
    <w:rsid w:val="00C76353"/>
    <w:rsid w:val="00C763A1"/>
    <w:rsid w:val="00C763A5"/>
    <w:rsid w:val="00C763B1"/>
    <w:rsid w:val="00C76481"/>
    <w:rsid w:val="00C7649A"/>
    <w:rsid w:val="00C764E6"/>
    <w:rsid w:val="00C76568"/>
    <w:rsid w:val="00C76569"/>
    <w:rsid w:val="00C765B6"/>
    <w:rsid w:val="00C765C2"/>
    <w:rsid w:val="00C765E1"/>
    <w:rsid w:val="00C7660D"/>
    <w:rsid w:val="00C76685"/>
    <w:rsid w:val="00C76694"/>
    <w:rsid w:val="00C766AB"/>
    <w:rsid w:val="00C766B4"/>
    <w:rsid w:val="00C766DB"/>
    <w:rsid w:val="00C76754"/>
    <w:rsid w:val="00C767AB"/>
    <w:rsid w:val="00C767D6"/>
    <w:rsid w:val="00C767E2"/>
    <w:rsid w:val="00C76832"/>
    <w:rsid w:val="00C7683B"/>
    <w:rsid w:val="00C76842"/>
    <w:rsid w:val="00C76879"/>
    <w:rsid w:val="00C768A7"/>
    <w:rsid w:val="00C76933"/>
    <w:rsid w:val="00C76971"/>
    <w:rsid w:val="00C7698D"/>
    <w:rsid w:val="00C769A2"/>
    <w:rsid w:val="00C769D0"/>
    <w:rsid w:val="00C769EC"/>
    <w:rsid w:val="00C769F3"/>
    <w:rsid w:val="00C76A00"/>
    <w:rsid w:val="00C76A1E"/>
    <w:rsid w:val="00C76AEC"/>
    <w:rsid w:val="00C76B5C"/>
    <w:rsid w:val="00C76B9E"/>
    <w:rsid w:val="00C76BEA"/>
    <w:rsid w:val="00C76BF5"/>
    <w:rsid w:val="00C76CA7"/>
    <w:rsid w:val="00C76CDD"/>
    <w:rsid w:val="00C76D9F"/>
    <w:rsid w:val="00C76DBB"/>
    <w:rsid w:val="00C76DF6"/>
    <w:rsid w:val="00C76E1B"/>
    <w:rsid w:val="00C76E37"/>
    <w:rsid w:val="00C76E43"/>
    <w:rsid w:val="00C76F69"/>
    <w:rsid w:val="00C76FA9"/>
    <w:rsid w:val="00C76FCE"/>
    <w:rsid w:val="00C76FF7"/>
    <w:rsid w:val="00C77071"/>
    <w:rsid w:val="00C770B7"/>
    <w:rsid w:val="00C770B8"/>
    <w:rsid w:val="00C77129"/>
    <w:rsid w:val="00C77144"/>
    <w:rsid w:val="00C7726B"/>
    <w:rsid w:val="00C7727B"/>
    <w:rsid w:val="00C7727D"/>
    <w:rsid w:val="00C772FA"/>
    <w:rsid w:val="00C7730E"/>
    <w:rsid w:val="00C77375"/>
    <w:rsid w:val="00C773B6"/>
    <w:rsid w:val="00C773BC"/>
    <w:rsid w:val="00C773FB"/>
    <w:rsid w:val="00C77469"/>
    <w:rsid w:val="00C77488"/>
    <w:rsid w:val="00C774A0"/>
    <w:rsid w:val="00C774D8"/>
    <w:rsid w:val="00C774E1"/>
    <w:rsid w:val="00C774E6"/>
    <w:rsid w:val="00C77573"/>
    <w:rsid w:val="00C7758A"/>
    <w:rsid w:val="00C77673"/>
    <w:rsid w:val="00C77684"/>
    <w:rsid w:val="00C776C4"/>
    <w:rsid w:val="00C77731"/>
    <w:rsid w:val="00C77762"/>
    <w:rsid w:val="00C777BB"/>
    <w:rsid w:val="00C777C7"/>
    <w:rsid w:val="00C777CA"/>
    <w:rsid w:val="00C77806"/>
    <w:rsid w:val="00C77814"/>
    <w:rsid w:val="00C77823"/>
    <w:rsid w:val="00C77842"/>
    <w:rsid w:val="00C77863"/>
    <w:rsid w:val="00C778DC"/>
    <w:rsid w:val="00C778F3"/>
    <w:rsid w:val="00C77940"/>
    <w:rsid w:val="00C77967"/>
    <w:rsid w:val="00C77971"/>
    <w:rsid w:val="00C7797A"/>
    <w:rsid w:val="00C7799C"/>
    <w:rsid w:val="00C77A49"/>
    <w:rsid w:val="00C77A75"/>
    <w:rsid w:val="00C77A81"/>
    <w:rsid w:val="00C77A89"/>
    <w:rsid w:val="00C77A94"/>
    <w:rsid w:val="00C77A97"/>
    <w:rsid w:val="00C77B03"/>
    <w:rsid w:val="00C77B0B"/>
    <w:rsid w:val="00C77B22"/>
    <w:rsid w:val="00C77B50"/>
    <w:rsid w:val="00C77BC0"/>
    <w:rsid w:val="00C77C34"/>
    <w:rsid w:val="00C77C35"/>
    <w:rsid w:val="00C77C3E"/>
    <w:rsid w:val="00C77C6D"/>
    <w:rsid w:val="00C77C7D"/>
    <w:rsid w:val="00C77CDD"/>
    <w:rsid w:val="00C77CF4"/>
    <w:rsid w:val="00C77D04"/>
    <w:rsid w:val="00C77D1B"/>
    <w:rsid w:val="00C77D2A"/>
    <w:rsid w:val="00C77DB1"/>
    <w:rsid w:val="00C77DDA"/>
    <w:rsid w:val="00C77E2B"/>
    <w:rsid w:val="00C77E2F"/>
    <w:rsid w:val="00C77E98"/>
    <w:rsid w:val="00C77EAF"/>
    <w:rsid w:val="00C77EC0"/>
    <w:rsid w:val="00C77ECB"/>
    <w:rsid w:val="00C77EDE"/>
    <w:rsid w:val="00C77F57"/>
    <w:rsid w:val="00C77F99"/>
    <w:rsid w:val="00C8002B"/>
    <w:rsid w:val="00C8002F"/>
    <w:rsid w:val="00C8003C"/>
    <w:rsid w:val="00C8005D"/>
    <w:rsid w:val="00C8007D"/>
    <w:rsid w:val="00C800C5"/>
    <w:rsid w:val="00C80160"/>
    <w:rsid w:val="00C801A0"/>
    <w:rsid w:val="00C801BA"/>
    <w:rsid w:val="00C801CC"/>
    <w:rsid w:val="00C801D0"/>
    <w:rsid w:val="00C8022B"/>
    <w:rsid w:val="00C80267"/>
    <w:rsid w:val="00C8027A"/>
    <w:rsid w:val="00C8029B"/>
    <w:rsid w:val="00C80341"/>
    <w:rsid w:val="00C803A7"/>
    <w:rsid w:val="00C80405"/>
    <w:rsid w:val="00C80410"/>
    <w:rsid w:val="00C80412"/>
    <w:rsid w:val="00C8044D"/>
    <w:rsid w:val="00C804EE"/>
    <w:rsid w:val="00C80545"/>
    <w:rsid w:val="00C80550"/>
    <w:rsid w:val="00C80572"/>
    <w:rsid w:val="00C805AA"/>
    <w:rsid w:val="00C805CC"/>
    <w:rsid w:val="00C8061B"/>
    <w:rsid w:val="00C8061D"/>
    <w:rsid w:val="00C80625"/>
    <w:rsid w:val="00C80628"/>
    <w:rsid w:val="00C8064D"/>
    <w:rsid w:val="00C80690"/>
    <w:rsid w:val="00C806BA"/>
    <w:rsid w:val="00C806C3"/>
    <w:rsid w:val="00C806CB"/>
    <w:rsid w:val="00C806D8"/>
    <w:rsid w:val="00C806DE"/>
    <w:rsid w:val="00C80771"/>
    <w:rsid w:val="00C807CE"/>
    <w:rsid w:val="00C807DB"/>
    <w:rsid w:val="00C80800"/>
    <w:rsid w:val="00C80802"/>
    <w:rsid w:val="00C80818"/>
    <w:rsid w:val="00C8083E"/>
    <w:rsid w:val="00C80857"/>
    <w:rsid w:val="00C808DA"/>
    <w:rsid w:val="00C808DC"/>
    <w:rsid w:val="00C80916"/>
    <w:rsid w:val="00C8092B"/>
    <w:rsid w:val="00C8092F"/>
    <w:rsid w:val="00C8094F"/>
    <w:rsid w:val="00C8096E"/>
    <w:rsid w:val="00C809CD"/>
    <w:rsid w:val="00C809EC"/>
    <w:rsid w:val="00C80A0B"/>
    <w:rsid w:val="00C80A44"/>
    <w:rsid w:val="00C80AE9"/>
    <w:rsid w:val="00C80AEA"/>
    <w:rsid w:val="00C80B01"/>
    <w:rsid w:val="00C80B73"/>
    <w:rsid w:val="00C80B90"/>
    <w:rsid w:val="00C80B94"/>
    <w:rsid w:val="00C80B95"/>
    <w:rsid w:val="00C80C0F"/>
    <w:rsid w:val="00C80C7D"/>
    <w:rsid w:val="00C80CA1"/>
    <w:rsid w:val="00C80CAB"/>
    <w:rsid w:val="00C80CC6"/>
    <w:rsid w:val="00C80CF2"/>
    <w:rsid w:val="00C80D05"/>
    <w:rsid w:val="00C80D0F"/>
    <w:rsid w:val="00C80D19"/>
    <w:rsid w:val="00C80D54"/>
    <w:rsid w:val="00C80D7A"/>
    <w:rsid w:val="00C80DA9"/>
    <w:rsid w:val="00C80E04"/>
    <w:rsid w:val="00C80E28"/>
    <w:rsid w:val="00C80E3A"/>
    <w:rsid w:val="00C80E45"/>
    <w:rsid w:val="00C80EAD"/>
    <w:rsid w:val="00C80EB6"/>
    <w:rsid w:val="00C80EBC"/>
    <w:rsid w:val="00C80F10"/>
    <w:rsid w:val="00C80F26"/>
    <w:rsid w:val="00C80F91"/>
    <w:rsid w:val="00C80FB1"/>
    <w:rsid w:val="00C80FBF"/>
    <w:rsid w:val="00C80FCD"/>
    <w:rsid w:val="00C80FD2"/>
    <w:rsid w:val="00C80FEF"/>
    <w:rsid w:val="00C8102C"/>
    <w:rsid w:val="00C810A0"/>
    <w:rsid w:val="00C810AD"/>
    <w:rsid w:val="00C810B3"/>
    <w:rsid w:val="00C81113"/>
    <w:rsid w:val="00C81156"/>
    <w:rsid w:val="00C81161"/>
    <w:rsid w:val="00C811C1"/>
    <w:rsid w:val="00C81209"/>
    <w:rsid w:val="00C81221"/>
    <w:rsid w:val="00C8126F"/>
    <w:rsid w:val="00C8128A"/>
    <w:rsid w:val="00C81350"/>
    <w:rsid w:val="00C813E2"/>
    <w:rsid w:val="00C81411"/>
    <w:rsid w:val="00C8141A"/>
    <w:rsid w:val="00C8145A"/>
    <w:rsid w:val="00C81465"/>
    <w:rsid w:val="00C814A1"/>
    <w:rsid w:val="00C814F1"/>
    <w:rsid w:val="00C814FB"/>
    <w:rsid w:val="00C81506"/>
    <w:rsid w:val="00C8153E"/>
    <w:rsid w:val="00C815C3"/>
    <w:rsid w:val="00C815E5"/>
    <w:rsid w:val="00C81624"/>
    <w:rsid w:val="00C81682"/>
    <w:rsid w:val="00C816A2"/>
    <w:rsid w:val="00C816AD"/>
    <w:rsid w:val="00C81754"/>
    <w:rsid w:val="00C8175A"/>
    <w:rsid w:val="00C81771"/>
    <w:rsid w:val="00C817CC"/>
    <w:rsid w:val="00C81805"/>
    <w:rsid w:val="00C818A1"/>
    <w:rsid w:val="00C818FB"/>
    <w:rsid w:val="00C818FD"/>
    <w:rsid w:val="00C8194E"/>
    <w:rsid w:val="00C81955"/>
    <w:rsid w:val="00C81994"/>
    <w:rsid w:val="00C819F6"/>
    <w:rsid w:val="00C819FB"/>
    <w:rsid w:val="00C81A4E"/>
    <w:rsid w:val="00C81A50"/>
    <w:rsid w:val="00C81AA9"/>
    <w:rsid w:val="00C81AC5"/>
    <w:rsid w:val="00C81ACB"/>
    <w:rsid w:val="00C81B1E"/>
    <w:rsid w:val="00C81B31"/>
    <w:rsid w:val="00C81BC4"/>
    <w:rsid w:val="00C81C36"/>
    <w:rsid w:val="00C81C3E"/>
    <w:rsid w:val="00C81C49"/>
    <w:rsid w:val="00C81CA5"/>
    <w:rsid w:val="00C81CCE"/>
    <w:rsid w:val="00C81CFA"/>
    <w:rsid w:val="00C81D2F"/>
    <w:rsid w:val="00C81D8B"/>
    <w:rsid w:val="00C81D9E"/>
    <w:rsid w:val="00C81E0F"/>
    <w:rsid w:val="00C81E3B"/>
    <w:rsid w:val="00C81E93"/>
    <w:rsid w:val="00C81EBC"/>
    <w:rsid w:val="00C81EF1"/>
    <w:rsid w:val="00C81EF3"/>
    <w:rsid w:val="00C81F07"/>
    <w:rsid w:val="00C81F22"/>
    <w:rsid w:val="00C81F23"/>
    <w:rsid w:val="00C81F4A"/>
    <w:rsid w:val="00C81F4D"/>
    <w:rsid w:val="00C8209F"/>
    <w:rsid w:val="00C8214A"/>
    <w:rsid w:val="00C82165"/>
    <w:rsid w:val="00C821B8"/>
    <w:rsid w:val="00C821ED"/>
    <w:rsid w:val="00C821FB"/>
    <w:rsid w:val="00C82202"/>
    <w:rsid w:val="00C8220D"/>
    <w:rsid w:val="00C82216"/>
    <w:rsid w:val="00C8227F"/>
    <w:rsid w:val="00C82316"/>
    <w:rsid w:val="00C82343"/>
    <w:rsid w:val="00C82363"/>
    <w:rsid w:val="00C8236F"/>
    <w:rsid w:val="00C82397"/>
    <w:rsid w:val="00C823D2"/>
    <w:rsid w:val="00C823D8"/>
    <w:rsid w:val="00C8246E"/>
    <w:rsid w:val="00C82482"/>
    <w:rsid w:val="00C824D0"/>
    <w:rsid w:val="00C824DD"/>
    <w:rsid w:val="00C82542"/>
    <w:rsid w:val="00C82560"/>
    <w:rsid w:val="00C8257B"/>
    <w:rsid w:val="00C8262B"/>
    <w:rsid w:val="00C82634"/>
    <w:rsid w:val="00C8264C"/>
    <w:rsid w:val="00C826CE"/>
    <w:rsid w:val="00C826FB"/>
    <w:rsid w:val="00C8270E"/>
    <w:rsid w:val="00C82729"/>
    <w:rsid w:val="00C82742"/>
    <w:rsid w:val="00C82772"/>
    <w:rsid w:val="00C827B8"/>
    <w:rsid w:val="00C827E5"/>
    <w:rsid w:val="00C8280E"/>
    <w:rsid w:val="00C8287B"/>
    <w:rsid w:val="00C828F8"/>
    <w:rsid w:val="00C828FC"/>
    <w:rsid w:val="00C82902"/>
    <w:rsid w:val="00C82927"/>
    <w:rsid w:val="00C82934"/>
    <w:rsid w:val="00C82937"/>
    <w:rsid w:val="00C82A11"/>
    <w:rsid w:val="00C82BAB"/>
    <w:rsid w:val="00C82BC0"/>
    <w:rsid w:val="00C82BE5"/>
    <w:rsid w:val="00C82C1D"/>
    <w:rsid w:val="00C82C48"/>
    <w:rsid w:val="00C82CAD"/>
    <w:rsid w:val="00C82CCA"/>
    <w:rsid w:val="00C82CCF"/>
    <w:rsid w:val="00C82CDD"/>
    <w:rsid w:val="00C82D55"/>
    <w:rsid w:val="00C82D80"/>
    <w:rsid w:val="00C82D82"/>
    <w:rsid w:val="00C82DAA"/>
    <w:rsid w:val="00C82DC2"/>
    <w:rsid w:val="00C82DCE"/>
    <w:rsid w:val="00C82E21"/>
    <w:rsid w:val="00C82E27"/>
    <w:rsid w:val="00C82E57"/>
    <w:rsid w:val="00C82EE6"/>
    <w:rsid w:val="00C82EEF"/>
    <w:rsid w:val="00C82F35"/>
    <w:rsid w:val="00C82F43"/>
    <w:rsid w:val="00C82F4F"/>
    <w:rsid w:val="00C82F52"/>
    <w:rsid w:val="00C82F70"/>
    <w:rsid w:val="00C82F9E"/>
    <w:rsid w:val="00C83025"/>
    <w:rsid w:val="00C830BC"/>
    <w:rsid w:val="00C830FC"/>
    <w:rsid w:val="00C8310C"/>
    <w:rsid w:val="00C83121"/>
    <w:rsid w:val="00C83142"/>
    <w:rsid w:val="00C8318D"/>
    <w:rsid w:val="00C83271"/>
    <w:rsid w:val="00C8328A"/>
    <w:rsid w:val="00C832A9"/>
    <w:rsid w:val="00C832C7"/>
    <w:rsid w:val="00C83336"/>
    <w:rsid w:val="00C8338E"/>
    <w:rsid w:val="00C83390"/>
    <w:rsid w:val="00C833B8"/>
    <w:rsid w:val="00C833B9"/>
    <w:rsid w:val="00C833E2"/>
    <w:rsid w:val="00C83420"/>
    <w:rsid w:val="00C83432"/>
    <w:rsid w:val="00C8343C"/>
    <w:rsid w:val="00C8343D"/>
    <w:rsid w:val="00C8344F"/>
    <w:rsid w:val="00C83467"/>
    <w:rsid w:val="00C8346C"/>
    <w:rsid w:val="00C83491"/>
    <w:rsid w:val="00C83529"/>
    <w:rsid w:val="00C8357A"/>
    <w:rsid w:val="00C835DB"/>
    <w:rsid w:val="00C83645"/>
    <w:rsid w:val="00C83665"/>
    <w:rsid w:val="00C83671"/>
    <w:rsid w:val="00C8368E"/>
    <w:rsid w:val="00C836DB"/>
    <w:rsid w:val="00C836E1"/>
    <w:rsid w:val="00C836E4"/>
    <w:rsid w:val="00C83720"/>
    <w:rsid w:val="00C83770"/>
    <w:rsid w:val="00C83774"/>
    <w:rsid w:val="00C837A7"/>
    <w:rsid w:val="00C837DF"/>
    <w:rsid w:val="00C837E1"/>
    <w:rsid w:val="00C837FC"/>
    <w:rsid w:val="00C83818"/>
    <w:rsid w:val="00C83830"/>
    <w:rsid w:val="00C83849"/>
    <w:rsid w:val="00C838C3"/>
    <w:rsid w:val="00C838EF"/>
    <w:rsid w:val="00C83910"/>
    <w:rsid w:val="00C83916"/>
    <w:rsid w:val="00C8396C"/>
    <w:rsid w:val="00C8396F"/>
    <w:rsid w:val="00C839AA"/>
    <w:rsid w:val="00C83A41"/>
    <w:rsid w:val="00C83A88"/>
    <w:rsid w:val="00C83A93"/>
    <w:rsid w:val="00C83B34"/>
    <w:rsid w:val="00C83B59"/>
    <w:rsid w:val="00C83B5B"/>
    <w:rsid w:val="00C83B71"/>
    <w:rsid w:val="00C83B75"/>
    <w:rsid w:val="00C83B98"/>
    <w:rsid w:val="00C83BCA"/>
    <w:rsid w:val="00C83C07"/>
    <w:rsid w:val="00C83C4A"/>
    <w:rsid w:val="00C83C60"/>
    <w:rsid w:val="00C83C7E"/>
    <w:rsid w:val="00C83C86"/>
    <w:rsid w:val="00C83CCB"/>
    <w:rsid w:val="00C83CD8"/>
    <w:rsid w:val="00C83D43"/>
    <w:rsid w:val="00C83D6B"/>
    <w:rsid w:val="00C83D6C"/>
    <w:rsid w:val="00C83D7A"/>
    <w:rsid w:val="00C83D86"/>
    <w:rsid w:val="00C83DA3"/>
    <w:rsid w:val="00C83E1C"/>
    <w:rsid w:val="00C83E3F"/>
    <w:rsid w:val="00C83E44"/>
    <w:rsid w:val="00C83EAB"/>
    <w:rsid w:val="00C83EAE"/>
    <w:rsid w:val="00C83EBF"/>
    <w:rsid w:val="00C83EE4"/>
    <w:rsid w:val="00C83F52"/>
    <w:rsid w:val="00C8400B"/>
    <w:rsid w:val="00C8403D"/>
    <w:rsid w:val="00C84058"/>
    <w:rsid w:val="00C84089"/>
    <w:rsid w:val="00C840A1"/>
    <w:rsid w:val="00C8410C"/>
    <w:rsid w:val="00C84122"/>
    <w:rsid w:val="00C84192"/>
    <w:rsid w:val="00C841D8"/>
    <w:rsid w:val="00C84200"/>
    <w:rsid w:val="00C8420A"/>
    <w:rsid w:val="00C84248"/>
    <w:rsid w:val="00C84250"/>
    <w:rsid w:val="00C84287"/>
    <w:rsid w:val="00C842BD"/>
    <w:rsid w:val="00C842C4"/>
    <w:rsid w:val="00C84323"/>
    <w:rsid w:val="00C84386"/>
    <w:rsid w:val="00C843B6"/>
    <w:rsid w:val="00C84418"/>
    <w:rsid w:val="00C84445"/>
    <w:rsid w:val="00C8446D"/>
    <w:rsid w:val="00C844AD"/>
    <w:rsid w:val="00C845B1"/>
    <w:rsid w:val="00C845E1"/>
    <w:rsid w:val="00C846A6"/>
    <w:rsid w:val="00C846B5"/>
    <w:rsid w:val="00C84709"/>
    <w:rsid w:val="00C84715"/>
    <w:rsid w:val="00C8474F"/>
    <w:rsid w:val="00C847C5"/>
    <w:rsid w:val="00C847DC"/>
    <w:rsid w:val="00C84805"/>
    <w:rsid w:val="00C848B8"/>
    <w:rsid w:val="00C848F6"/>
    <w:rsid w:val="00C8491B"/>
    <w:rsid w:val="00C8493E"/>
    <w:rsid w:val="00C84949"/>
    <w:rsid w:val="00C8495F"/>
    <w:rsid w:val="00C84A7B"/>
    <w:rsid w:val="00C84A9E"/>
    <w:rsid w:val="00C84ABA"/>
    <w:rsid w:val="00C84ABB"/>
    <w:rsid w:val="00C84B1C"/>
    <w:rsid w:val="00C84B28"/>
    <w:rsid w:val="00C84B78"/>
    <w:rsid w:val="00C84BE0"/>
    <w:rsid w:val="00C84BF8"/>
    <w:rsid w:val="00C84C31"/>
    <w:rsid w:val="00C84C52"/>
    <w:rsid w:val="00C84C69"/>
    <w:rsid w:val="00C84C79"/>
    <w:rsid w:val="00C84CB1"/>
    <w:rsid w:val="00C84CB5"/>
    <w:rsid w:val="00C84D1D"/>
    <w:rsid w:val="00C84D4D"/>
    <w:rsid w:val="00C84D56"/>
    <w:rsid w:val="00C84E74"/>
    <w:rsid w:val="00C84E90"/>
    <w:rsid w:val="00C84E96"/>
    <w:rsid w:val="00C84F08"/>
    <w:rsid w:val="00C84F23"/>
    <w:rsid w:val="00C84F35"/>
    <w:rsid w:val="00C84F79"/>
    <w:rsid w:val="00C84F80"/>
    <w:rsid w:val="00C84FAF"/>
    <w:rsid w:val="00C84FC4"/>
    <w:rsid w:val="00C84FD6"/>
    <w:rsid w:val="00C84FEE"/>
    <w:rsid w:val="00C8502A"/>
    <w:rsid w:val="00C85052"/>
    <w:rsid w:val="00C8509E"/>
    <w:rsid w:val="00C85135"/>
    <w:rsid w:val="00C8513F"/>
    <w:rsid w:val="00C8515C"/>
    <w:rsid w:val="00C85161"/>
    <w:rsid w:val="00C85169"/>
    <w:rsid w:val="00C8519C"/>
    <w:rsid w:val="00C851D3"/>
    <w:rsid w:val="00C851E5"/>
    <w:rsid w:val="00C851F7"/>
    <w:rsid w:val="00C85203"/>
    <w:rsid w:val="00C8521F"/>
    <w:rsid w:val="00C8524F"/>
    <w:rsid w:val="00C85252"/>
    <w:rsid w:val="00C85276"/>
    <w:rsid w:val="00C8527B"/>
    <w:rsid w:val="00C852C8"/>
    <w:rsid w:val="00C852D1"/>
    <w:rsid w:val="00C85310"/>
    <w:rsid w:val="00C85351"/>
    <w:rsid w:val="00C8535E"/>
    <w:rsid w:val="00C85362"/>
    <w:rsid w:val="00C85390"/>
    <w:rsid w:val="00C85447"/>
    <w:rsid w:val="00C85574"/>
    <w:rsid w:val="00C855A2"/>
    <w:rsid w:val="00C855C8"/>
    <w:rsid w:val="00C85614"/>
    <w:rsid w:val="00C85615"/>
    <w:rsid w:val="00C85697"/>
    <w:rsid w:val="00C856CA"/>
    <w:rsid w:val="00C857DB"/>
    <w:rsid w:val="00C857E5"/>
    <w:rsid w:val="00C8581D"/>
    <w:rsid w:val="00C85837"/>
    <w:rsid w:val="00C8589D"/>
    <w:rsid w:val="00C858C7"/>
    <w:rsid w:val="00C858CD"/>
    <w:rsid w:val="00C85902"/>
    <w:rsid w:val="00C85909"/>
    <w:rsid w:val="00C8591B"/>
    <w:rsid w:val="00C8591C"/>
    <w:rsid w:val="00C85923"/>
    <w:rsid w:val="00C85952"/>
    <w:rsid w:val="00C8597A"/>
    <w:rsid w:val="00C8598B"/>
    <w:rsid w:val="00C85996"/>
    <w:rsid w:val="00C8599B"/>
    <w:rsid w:val="00C859C0"/>
    <w:rsid w:val="00C859F5"/>
    <w:rsid w:val="00C85ADB"/>
    <w:rsid w:val="00C85B00"/>
    <w:rsid w:val="00C85B1D"/>
    <w:rsid w:val="00C85B6A"/>
    <w:rsid w:val="00C85B7E"/>
    <w:rsid w:val="00C85C26"/>
    <w:rsid w:val="00C85C34"/>
    <w:rsid w:val="00C85CC2"/>
    <w:rsid w:val="00C85D67"/>
    <w:rsid w:val="00C85D9B"/>
    <w:rsid w:val="00C85DB8"/>
    <w:rsid w:val="00C85DE0"/>
    <w:rsid w:val="00C85E93"/>
    <w:rsid w:val="00C85EEA"/>
    <w:rsid w:val="00C85F00"/>
    <w:rsid w:val="00C85F09"/>
    <w:rsid w:val="00C85F73"/>
    <w:rsid w:val="00C85F99"/>
    <w:rsid w:val="00C85FC0"/>
    <w:rsid w:val="00C86013"/>
    <w:rsid w:val="00C86023"/>
    <w:rsid w:val="00C8602A"/>
    <w:rsid w:val="00C86053"/>
    <w:rsid w:val="00C86070"/>
    <w:rsid w:val="00C86080"/>
    <w:rsid w:val="00C860E9"/>
    <w:rsid w:val="00C8611A"/>
    <w:rsid w:val="00C8614C"/>
    <w:rsid w:val="00C861D7"/>
    <w:rsid w:val="00C862A3"/>
    <w:rsid w:val="00C862B0"/>
    <w:rsid w:val="00C862D3"/>
    <w:rsid w:val="00C862F6"/>
    <w:rsid w:val="00C8631A"/>
    <w:rsid w:val="00C8633F"/>
    <w:rsid w:val="00C8635F"/>
    <w:rsid w:val="00C86380"/>
    <w:rsid w:val="00C8639B"/>
    <w:rsid w:val="00C863B4"/>
    <w:rsid w:val="00C8641B"/>
    <w:rsid w:val="00C86447"/>
    <w:rsid w:val="00C86493"/>
    <w:rsid w:val="00C864F3"/>
    <w:rsid w:val="00C86521"/>
    <w:rsid w:val="00C8654F"/>
    <w:rsid w:val="00C86608"/>
    <w:rsid w:val="00C8661E"/>
    <w:rsid w:val="00C86658"/>
    <w:rsid w:val="00C86688"/>
    <w:rsid w:val="00C866AA"/>
    <w:rsid w:val="00C866AF"/>
    <w:rsid w:val="00C866DB"/>
    <w:rsid w:val="00C86733"/>
    <w:rsid w:val="00C86748"/>
    <w:rsid w:val="00C8683D"/>
    <w:rsid w:val="00C86890"/>
    <w:rsid w:val="00C868B3"/>
    <w:rsid w:val="00C868B7"/>
    <w:rsid w:val="00C868DD"/>
    <w:rsid w:val="00C86935"/>
    <w:rsid w:val="00C86966"/>
    <w:rsid w:val="00C86A06"/>
    <w:rsid w:val="00C86A7B"/>
    <w:rsid w:val="00C86AA9"/>
    <w:rsid w:val="00C86B01"/>
    <w:rsid w:val="00C86B53"/>
    <w:rsid w:val="00C86BEF"/>
    <w:rsid w:val="00C86C48"/>
    <w:rsid w:val="00C86CF4"/>
    <w:rsid w:val="00C86D0D"/>
    <w:rsid w:val="00C86D32"/>
    <w:rsid w:val="00C86D76"/>
    <w:rsid w:val="00C86E24"/>
    <w:rsid w:val="00C86E79"/>
    <w:rsid w:val="00C86E8C"/>
    <w:rsid w:val="00C86EDA"/>
    <w:rsid w:val="00C86F0B"/>
    <w:rsid w:val="00C86F40"/>
    <w:rsid w:val="00C86FC0"/>
    <w:rsid w:val="00C86FDA"/>
    <w:rsid w:val="00C86FE0"/>
    <w:rsid w:val="00C86FF6"/>
    <w:rsid w:val="00C87069"/>
    <w:rsid w:val="00C870D7"/>
    <w:rsid w:val="00C870DC"/>
    <w:rsid w:val="00C8718F"/>
    <w:rsid w:val="00C87194"/>
    <w:rsid w:val="00C8719F"/>
    <w:rsid w:val="00C871D1"/>
    <w:rsid w:val="00C871D8"/>
    <w:rsid w:val="00C8727C"/>
    <w:rsid w:val="00C872A4"/>
    <w:rsid w:val="00C87312"/>
    <w:rsid w:val="00C87336"/>
    <w:rsid w:val="00C87354"/>
    <w:rsid w:val="00C87365"/>
    <w:rsid w:val="00C873B7"/>
    <w:rsid w:val="00C873D9"/>
    <w:rsid w:val="00C87422"/>
    <w:rsid w:val="00C87468"/>
    <w:rsid w:val="00C874C4"/>
    <w:rsid w:val="00C874CE"/>
    <w:rsid w:val="00C87597"/>
    <w:rsid w:val="00C875EC"/>
    <w:rsid w:val="00C87627"/>
    <w:rsid w:val="00C8762E"/>
    <w:rsid w:val="00C8762F"/>
    <w:rsid w:val="00C8767D"/>
    <w:rsid w:val="00C876B5"/>
    <w:rsid w:val="00C87754"/>
    <w:rsid w:val="00C87758"/>
    <w:rsid w:val="00C87787"/>
    <w:rsid w:val="00C877B8"/>
    <w:rsid w:val="00C877D3"/>
    <w:rsid w:val="00C87848"/>
    <w:rsid w:val="00C87903"/>
    <w:rsid w:val="00C8791B"/>
    <w:rsid w:val="00C879BC"/>
    <w:rsid w:val="00C87A02"/>
    <w:rsid w:val="00C87A22"/>
    <w:rsid w:val="00C87A86"/>
    <w:rsid w:val="00C87A92"/>
    <w:rsid w:val="00C87AC9"/>
    <w:rsid w:val="00C87ACD"/>
    <w:rsid w:val="00C87AED"/>
    <w:rsid w:val="00C87B20"/>
    <w:rsid w:val="00C87B3E"/>
    <w:rsid w:val="00C87B60"/>
    <w:rsid w:val="00C87B7F"/>
    <w:rsid w:val="00C87B86"/>
    <w:rsid w:val="00C87C17"/>
    <w:rsid w:val="00C87C1B"/>
    <w:rsid w:val="00C87C2A"/>
    <w:rsid w:val="00C87CE0"/>
    <w:rsid w:val="00C87DB5"/>
    <w:rsid w:val="00C87DD0"/>
    <w:rsid w:val="00C87DFF"/>
    <w:rsid w:val="00C87E69"/>
    <w:rsid w:val="00C87E74"/>
    <w:rsid w:val="00C87E90"/>
    <w:rsid w:val="00C87ED8"/>
    <w:rsid w:val="00C87EEE"/>
    <w:rsid w:val="00C87F45"/>
    <w:rsid w:val="00C87FED"/>
    <w:rsid w:val="00C90016"/>
    <w:rsid w:val="00C90049"/>
    <w:rsid w:val="00C90069"/>
    <w:rsid w:val="00C900E4"/>
    <w:rsid w:val="00C900E7"/>
    <w:rsid w:val="00C90165"/>
    <w:rsid w:val="00C9019A"/>
    <w:rsid w:val="00C901A4"/>
    <w:rsid w:val="00C901F2"/>
    <w:rsid w:val="00C90229"/>
    <w:rsid w:val="00C90300"/>
    <w:rsid w:val="00C90321"/>
    <w:rsid w:val="00C9033E"/>
    <w:rsid w:val="00C90360"/>
    <w:rsid w:val="00C90397"/>
    <w:rsid w:val="00C903A3"/>
    <w:rsid w:val="00C903F4"/>
    <w:rsid w:val="00C90438"/>
    <w:rsid w:val="00C9046E"/>
    <w:rsid w:val="00C904A4"/>
    <w:rsid w:val="00C904BD"/>
    <w:rsid w:val="00C90507"/>
    <w:rsid w:val="00C9057C"/>
    <w:rsid w:val="00C9058B"/>
    <w:rsid w:val="00C90592"/>
    <w:rsid w:val="00C90608"/>
    <w:rsid w:val="00C9062D"/>
    <w:rsid w:val="00C90632"/>
    <w:rsid w:val="00C90668"/>
    <w:rsid w:val="00C906BC"/>
    <w:rsid w:val="00C90729"/>
    <w:rsid w:val="00C9074C"/>
    <w:rsid w:val="00C9076C"/>
    <w:rsid w:val="00C907D2"/>
    <w:rsid w:val="00C907D7"/>
    <w:rsid w:val="00C90802"/>
    <w:rsid w:val="00C90807"/>
    <w:rsid w:val="00C90829"/>
    <w:rsid w:val="00C90886"/>
    <w:rsid w:val="00C908A4"/>
    <w:rsid w:val="00C9095F"/>
    <w:rsid w:val="00C90965"/>
    <w:rsid w:val="00C90976"/>
    <w:rsid w:val="00C90999"/>
    <w:rsid w:val="00C90A37"/>
    <w:rsid w:val="00C90A7A"/>
    <w:rsid w:val="00C90A83"/>
    <w:rsid w:val="00C90AE2"/>
    <w:rsid w:val="00C90B19"/>
    <w:rsid w:val="00C90B3C"/>
    <w:rsid w:val="00C90B86"/>
    <w:rsid w:val="00C90BA8"/>
    <w:rsid w:val="00C90BA9"/>
    <w:rsid w:val="00C90C11"/>
    <w:rsid w:val="00C90C93"/>
    <w:rsid w:val="00C90CB8"/>
    <w:rsid w:val="00C90D02"/>
    <w:rsid w:val="00C90D2A"/>
    <w:rsid w:val="00C90D4A"/>
    <w:rsid w:val="00C90D54"/>
    <w:rsid w:val="00C90E45"/>
    <w:rsid w:val="00C90ECA"/>
    <w:rsid w:val="00C90EFD"/>
    <w:rsid w:val="00C90F05"/>
    <w:rsid w:val="00C90F5C"/>
    <w:rsid w:val="00C90F9E"/>
    <w:rsid w:val="00C90FA3"/>
    <w:rsid w:val="00C90FD7"/>
    <w:rsid w:val="00C90FFF"/>
    <w:rsid w:val="00C91058"/>
    <w:rsid w:val="00C91120"/>
    <w:rsid w:val="00C9115E"/>
    <w:rsid w:val="00C91188"/>
    <w:rsid w:val="00C9118F"/>
    <w:rsid w:val="00C911D5"/>
    <w:rsid w:val="00C911DE"/>
    <w:rsid w:val="00C9125F"/>
    <w:rsid w:val="00C912C8"/>
    <w:rsid w:val="00C91316"/>
    <w:rsid w:val="00C913AF"/>
    <w:rsid w:val="00C913C5"/>
    <w:rsid w:val="00C913CD"/>
    <w:rsid w:val="00C913E4"/>
    <w:rsid w:val="00C913EC"/>
    <w:rsid w:val="00C91409"/>
    <w:rsid w:val="00C9143D"/>
    <w:rsid w:val="00C9155C"/>
    <w:rsid w:val="00C9156A"/>
    <w:rsid w:val="00C91592"/>
    <w:rsid w:val="00C915F6"/>
    <w:rsid w:val="00C9162A"/>
    <w:rsid w:val="00C91667"/>
    <w:rsid w:val="00C916B3"/>
    <w:rsid w:val="00C916C4"/>
    <w:rsid w:val="00C91701"/>
    <w:rsid w:val="00C91732"/>
    <w:rsid w:val="00C91767"/>
    <w:rsid w:val="00C91775"/>
    <w:rsid w:val="00C9177D"/>
    <w:rsid w:val="00C9178C"/>
    <w:rsid w:val="00C917A9"/>
    <w:rsid w:val="00C917E3"/>
    <w:rsid w:val="00C9187E"/>
    <w:rsid w:val="00C91919"/>
    <w:rsid w:val="00C91930"/>
    <w:rsid w:val="00C91951"/>
    <w:rsid w:val="00C91982"/>
    <w:rsid w:val="00C919E5"/>
    <w:rsid w:val="00C919FA"/>
    <w:rsid w:val="00C91A0A"/>
    <w:rsid w:val="00C91A32"/>
    <w:rsid w:val="00C91AB5"/>
    <w:rsid w:val="00C91AC0"/>
    <w:rsid w:val="00C91B03"/>
    <w:rsid w:val="00C91B64"/>
    <w:rsid w:val="00C91B99"/>
    <w:rsid w:val="00C91C24"/>
    <w:rsid w:val="00C91CEE"/>
    <w:rsid w:val="00C91D44"/>
    <w:rsid w:val="00C91D7A"/>
    <w:rsid w:val="00C91D95"/>
    <w:rsid w:val="00C91DE1"/>
    <w:rsid w:val="00C91DE4"/>
    <w:rsid w:val="00C91DF7"/>
    <w:rsid w:val="00C91E0F"/>
    <w:rsid w:val="00C91E3A"/>
    <w:rsid w:val="00C91E62"/>
    <w:rsid w:val="00C91EA4"/>
    <w:rsid w:val="00C91EAC"/>
    <w:rsid w:val="00C91EFB"/>
    <w:rsid w:val="00C91F32"/>
    <w:rsid w:val="00C91F65"/>
    <w:rsid w:val="00C91F6D"/>
    <w:rsid w:val="00C91F88"/>
    <w:rsid w:val="00C91FA9"/>
    <w:rsid w:val="00C91FC8"/>
    <w:rsid w:val="00C92039"/>
    <w:rsid w:val="00C92043"/>
    <w:rsid w:val="00C9204F"/>
    <w:rsid w:val="00C920EE"/>
    <w:rsid w:val="00C92147"/>
    <w:rsid w:val="00C9214D"/>
    <w:rsid w:val="00C9219A"/>
    <w:rsid w:val="00C921CD"/>
    <w:rsid w:val="00C9220A"/>
    <w:rsid w:val="00C92214"/>
    <w:rsid w:val="00C92230"/>
    <w:rsid w:val="00C92244"/>
    <w:rsid w:val="00C92264"/>
    <w:rsid w:val="00C9227B"/>
    <w:rsid w:val="00C922E3"/>
    <w:rsid w:val="00C92352"/>
    <w:rsid w:val="00C92370"/>
    <w:rsid w:val="00C92415"/>
    <w:rsid w:val="00C9241E"/>
    <w:rsid w:val="00C92437"/>
    <w:rsid w:val="00C9243A"/>
    <w:rsid w:val="00C92469"/>
    <w:rsid w:val="00C92473"/>
    <w:rsid w:val="00C924A9"/>
    <w:rsid w:val="00C924B3"/>
    <w:rsid w:val="00C9253B"/>
    <w:rsid w:val="00C9254E"/>
    <w:rsid w:val="00C92581"/>
    <w:rsid w:val="00C92590"/>
    <w:rsid w:val="00C925D2"/>
    <w:rsid w:val="00C9260A"/>
    <w:rsid w:val="00C9260C"/>
    <w:rsid w:val="00C9268C"/>
    <w:rsid w:val="00C926AC"/>
    <w:rsid w:val="00C926D1"/>
    <w:rsid w:val="00C926D6"/>
    <w:rsid w:val="00C92775"/>
    <w:rsid w:val="00C927E3"/>
    <w:rsid w:val="00C927ED"/>
    <w:rsid w:val="00C927F8"/>
    <w:rsid w:val="00C92801"/>
    <w:rsid w:val="00C92883"/>
    <w:rsid w:val="00C928CF"/>
    <w:rsid w:val="00C9291D"/>
    <w:rsid w:val="00C9292B"/>
    <w:rsid w:val="00C9295E"/>
    <w:rsid w:val="00C92968"/>
    <w:rsid w:val="00C9298A"/>
    <w:rsid w:val="00C929BB"/>
    <w:rsid w:val="00C929C8"/>
    <w:rsid w:val="00C92A22"/>
    <w:rsid w:val="00C92AE4"/>
    <w:rsid w:val="00C92AE7"/>
    <w:rsid w:val="00C92AF4"/>
    <w:rsid w:val="00C92B37"/>
    <w:rsid w:val="00C92B3D"/>
    <w:rsid w:val="00C92B72"/>
    <w:rsid w:val="00C92BE3"/>
    <w:rsid w:val="00C92BFE"/>
    <w:rsid w:val="00C92CCB"/>
    <w:rsid w:val="00C92D0A"/>
    <w:rsid w:val="00C92D11"/>
    <w:rsid w:val="00C92D1F"/>
    <w:rsid w:val="00C92D31"/>
    <w:rsid w:val="00C92E05"/>
    <w:rsid w:val="00C92E29"/>
    <w:rsid w:val="00C92E45"/>
    <w:rsid w:val="00C92E70"/>
    <w:rsid w:val="00C92EC4"/>
    <w:rsid w:val="00C92ECD"/>
    <w:rsid w:val="00C92F21"/>
    <w:rsid w:val="00C92F7F"/>
    <w:rsid w:val="00C92FDE"/>
    <w:rsid w:val="00C93050"/>
    <w:rsid w:val="00C93065"/>
    <w:rsid w:val="00C9306B"/>
    <w:rsid w:val="00C930F1"/>
    <w:rsid w:val="00C930FA"/>
    <w:rsid w:val="00C93130"/>
    <w:rsid w:val="00C93178"/>
    <w:rsid w:val="00C93194"/>
    <w:rsid w:val="00C931E8"/>
    <w:rsid w:val="00C931F9"/>
    <w:rsid w:val="00C93220"/>
    <w:rsid w:val="00C9323B"/>
    <w:rsid w:val="00C93252"/>
    <w:rsid w:val="00C93269"/>
    <w:rsid w:val="00C93276"/>
    <w:rsid w:val="00C9327C"/>
    <w:rsid w:val="00C9330F"/>
    <w:rsid w:val="00C9331E"/>
    <w:rsid w:val="00C93333"/>
    <w:rsid w:val="00C93346"/>
    <w:rsid w:val="00C9334E"/>
    <w:rsid w:val="00C933D9"/>
    <w:rsid w:val="00C933ED"/>
    <w:rsid w:val="00C934E5"/>
    <w:rsid w:val="00C934F3"/>
    <w:rsid w:val="00C934F8"/>
    <w:rsid w:val="00C9353A"/>
    <w:rsid w:val="00C93589"/>
    <w:rsid w:val="00C9359E"/>
    <w:rsid w:val="00C935E5"/>
    <w:rsid w:val="00C935F8"/>
    <w:rsid w:val="00C935FF"/>
    <w:rsid w:val="00C9365E"/>
    <w:rsid w:val="00C9369E"/>
    <w:rsid w:val="00C936B7"/>
    <w:rsid w:val="00C936FF"/>
    <w:rsid w:val="00C93744"/>
    <w:rsid w:val="00C9378D"/>
    <w:rsid w:val="00C93829"/>
    <w:rsid w:val="00C9386C"/>
    <w:rsid w:val="00C93890"/>
    <w:rsid w:val="00C93893"/>
    <w:rsid w:val="00C938CE"/>
    <w:rsid w:val="00C93929"/>
    <w:rsid w:val="00C93969"/>
    <w:rsid w:val="00C939D0"/>
    <w:rsid w:val="00C939FA"/>
    <w:rsid w:val="00C93A76"/>
    <w:rsid w:val="00C93A97"/>
    <w:rsid w:val="00C93AF0"/>
    <w:rsid w:val="00C93B5A"/>
    <w:rsid w:val="00C93B8A"/>
    <w:rsid w:val="00C93BC6"/>
    <w:rsid w:val="00C93C16"/>
    <w:rsid w:val="00C93C2C"/>
    <w:rsid w:val="00C93C36"/>
    <w:rsid w:val="00C93C4F"/>
    <w:rsid w:val="00C93C6C"/>
    <w:rsid w:val="00C93C73"/>
    <w:rsid w:val="00C93CAB"/>
    <w:rsid w:val="00C93CDC"/>
    <w:rsid w:val="00C93CF3"/>
    <w:rsid w:val="00C93D2D"/>
    <w:rsid w:val="00C93D32"/>
    <w:rsid w:val="00C93DA2"/>
    <w:rsid w:val="00C93DD8"/>
    <w:rsid w:val="00C93DDD"/>
    <w:rsid w:val="00C93DEB"/>
    <w:rsid w:val="00C93E44"/>
    <w:rsid w:val="00C93E88"/>
    <w:rsid w:val="00C93EF5"/>
    <w:rsid w:val="00C93F2D"/>
    <w:rsid w:val="00C93F77"/>
    <w:rsid w:val="00C93FE7"/>
    <w:rsid w:val="00C9408D"/>
    <w:rsid w:val="00C940CB"/>
    <w:rsid w:val="00C941B2"/>
    <w:rsid w:val="00C941C1"/>
    <w:rsid w:val="00C941C8"/>
    <w:rsid w:val="00C941E4"/>
    <w:rsid w:val="00C94209"/>
    <w:rsid w:val="00C94262"/>
    <w:rsid w:val="00C94272"/>
    <w:rsid w:val="00C942B1"/>
    <w:rsid w:val="00C94301"/>
    <w:rsid w:val="00C94377"/>
    <w:rsid w:val="00C94386"/>
    <w:rsid w:val="00C94391"/>
    <w:rsid w:val="00C943D7"/>
    <w:rsid w:val="00C94404"/>
    <w:rsid w:val="00C9441F"/>
    <w:rsid w:val="00C9442F"/>
    <w:rsid w:val="00C94452"/>
    <w:rsid w:val="00C94456"/>
    <w:rsid w:val="00C944D0"/>
    <w:rsid w:val="00C944EB"/>
    <w:rsid w:val="00C944FA"/>
    <w:rsid w:val="00C94517"/>
    <w:rsid w:val="00C9456F"/>
    <w:rsid w:val="00C94652"/>
    <w:rsid w:val="00C946C1"/>
    <w:rsid w:val="00C94756"/>
    <w:rsid w:val="00C94774"/>
    <w:rsid w:val="00C94781"/>
    <w:rsid w:val="00C947F9"/>
    <w:rsid w:val="00C947FB"/>
    <w:rsid w:val="00C94862"/>
    <w:rsid w:val="00C948A1"/>
    <w:rsid w:val="00C948C9"/>
    <w:rsid w:val="00C948D6"/>
    <w:rsid w:val="00C948ED"/>
    <w:rsid w:val="00C94961"/>
    <w:rsid w:val="00C94984"/>
    <w:rsid w:val="00C9498C"/>
    <w:rsid w:val="00C949AB"/>
    <w:rsid w:val="00C949D4"/>
    <w:rsid w:val="00C949ED"/>
    <w:rsid w:val="00C94A1A"/>
    <w:rsid w:val="00C94A62"/>
    <w:rsid w:val="00C94A65"/>
    <w:rsid w:val="00C94A76"/>
    <w:rsid w:val="00C94A8A"/>
    <w:rsid w:val="00C94B32"/>
    <w:rsid w:val="00C94B4F"/>
    <w:rsid w:val="00C94B9C"/>
    <w:rsid w:val="00C94BB1"/>
    <w:rsid w:val="00C94C73"/>
    <w:rsid w:val="00C94C76"/>
    <w:rsid w:val="00C94C80"/>
    <w:rsid w:val="00C94C84"/>
    <w:rsid w:val="00C94C8F"/>
    <w:rsid w:val="00C94C98"/>
    <w:rsid w:val="00C94D01"/>
    <w:rsid w:val="00C94D18"/>
    <w:rsid w:val="00C94D27"/>
    <w:rsid w:val="00C94D3A"/>
    <w:rsid w:val="00C94D3F"/>
    <w:rsid w:val="00C94D6D"/>
    <w:rsid w:val="00C94E1D"/>
    <w:rsid w:val="00C94E43"/>
    <w:rsid w:val="00C94E56"/>
    <w:rsid w:val="00C94E68"/>
    <w:rsid w:val="00C94E90"/>
    <w:rsid w:val="00C94EE1"/>
    <w:rsid w:val="00C94EF3"/>
    <w:rsid w:val="00C94F0C"/>
    <w:rsid w:val="00C94F1E"/>
    <w:rsid w:val="00C94F45"/>
    <w:rsid w:val="00C94F4D"/>
    <w:rsid w:val="00C94FBD"/>
    <w:rsid w:val="00C94FC5"/>
    <w:rsid w:val="00C94FE7"/>
    <w:rsid w:val="00C95009"/>
    <w:rsid w:val="00C9500A"/>
    <w:rsid w:val="00C95011"/>
    <w:rsid w:val="00C95012"/>
    <w:rsid w:val="00C9507C"/>
    <w:rsid w:val="00C950B0"/>
    <w:rsid w:val="00C95103"/>
    <w:rsid w:val="00C95121"/>
    <w:rsid w:val="00C95127"/>
    <w:rsid w:val="00C95140"/>
    <w:rsid w:val="00C95175"/>
    <w:rsid w:val="00C951BD"/>
    <w:rsid w:val="00C951D4"/>
    <w:rsid w:val="00C95214"/>
    <w:rsid w:val="00C9526F"/>
    <w:rsid w:val="00C95273"/>
    <w:rsid w:val="00C9529E"/>
    <w:rsid w:val="00C952E4"/>
    <w:rsid w:val="00C95335"/>
    <w:rsid w:val="00C95365"/>
    <w:rsid w:val="00C953CF"/>
    <w:rsid w:val="00C95405"/>
    <w:rsid w:val="00C954AD"/>
    <w:rsid w:val="00C954BB"/>
    <w:rsid w:val="00C95564"/>
    <w:rsid w:val="00C955A1"/>
    <w:rsid w:val="00C955B8"/>
    <w:rsid w:val="00C955C5"/>
    <w:rsid w:val="00C955CB"/>
    <w:rsid w:val="00C955DB"/>
    <w:rsid w:val="00C955DF"/>
    <w:rsid w:val="00C95606"/>
    <w:rsid w:val="00C9563B"/>
    <w:rsid w:val="00C95643"/>
    <w:rsid w:val="00C956BD"/>
    <w:rsid w:val="00C956ED"/>
    <w:rsid w:val="00C95708"/>
    <w:rsid w:val="00C9572A"/>
    <w:rsid w:val="00C9573F"/>
    <w:rsid w:val="00C95776"/>
    <w:rsid w:val="00C95777"/>
    <w:rsid w:val="00C957D8"/>
    <w:rsid w:val="00C95811"/>
    <w:rsid w:val="00C9582C"/>
    <w:rsid w:val="00C9596D"/>
    <w:rsid w:val="00C95974"/>
    <w:rsid w:val="00C95995"/>
    <w:rsid w:val="00C959A7"/>
    <w:rsid w:val="00C959D6"/>
    <w:rsid w:val="00C95A2D"/>
    <w:rsid w:val="00C95A86"/>
    <w:rsid w:val="00C95A98"/>
    <w:rsid w:val="00C95A9E"/>
    <w:rsid w:val="00C95AAF"/>
    <w:rsid w:val="00C95AC2"/>
    <w:rsid w:val="00C95AC9"/>
    <w:rsid w:val="00C95ACB"/>
    <w:rsid w:val="00C95ACF"/>
    <w:rsid w:val="00C95AD7"/>
    <w:rsid w:val="00C95ADD"/>
    <w:rsid w:val="00C95B6B"/>
    <w:rsid w:val="00C95C1B"/>
    <w:rsid w:val="00C95C31"/>
    <w:rsid w:val="00C95C74"/>
    <w:rsid w:val="00C95CCE"/>
    <w:rsid w:val="00C95D0B"/>
    <w:rsid w:val="00C95D59"/>
    <w:rsid w:val="00C95D7E"/>
    <w:rsid w:val="00C95DB6"/>
    <w:rsid w:val="00C95DBB"/>
    <w:rsid w:val="00C95E13"/>
    <w:rsid w:val="00C95E26"/>
    <w:rsid w:val="00C95E6A"/>
    <w:rsid w:val="00C95EF1"/>
    <w:rsid w:val="00C95EF3"/>
    <w:rsid w:val="00C95EF8"/>
    <w:rsid w:val="00C95F0F"/>
    <w:rsid w:val="00C95F81"/>
    <w:rsid w:val="00C9604C"/>
    <w:rsid w:val="00C9605A"/>
    <w:rsid w:val="00C960CF"/>
    <w:rsid w:val="00C960D2"/>
    <w:rsid w:val="00C96123"/>
    <w:rsid w:val="00C96153"/>
    <w:rsid w:val="00C96158"/>
    <w:rsid w:val="00C9617B"/>
    <w:rsid w:val="00C96199"/>
    <w:rsid w:val="00C961AB"/>
    <w:rsid w:val="00C961C2"/>
    <w:rsid w:val="00C961CB"/>
    <w:rsid w:val="00C961DB"/>
    <w:rsid w:val="00C961E1"/>
    <w:rsid w:val="00C9621B"/>
    <w:rsid w:val="00C96240"/>
    <w:rsid w:val="00C962A6"/>
    <w:rsid w:val="00C962AB"/>
    <w:rsid w:val="00C963C0"/>
    <w:rsid w:val="00C963C3"/>
    <w:rsid w:val="00C963C7"/>
    <w:rsid w:val="00C963DF"/>
    <w:rsid w:val="00C9642F"/>
    <w:rsid w:val="00C9644E"/>
    <w:rsid w:val="00C96499"/>
    <w:rsid w:val="00C964AA"/>
    <w:rsid w:val="00C9651A"/>
    <w:rsid w:val="00C96520"/>
    <w:rsid w:val="00C96533"/>
    <w:rsid w:val="00C96576"/>
    <w:rsid w:val="00C96586"/>
    <w:rsid w:val="00C965D3"/>
    <w:rsid w:val="00C965F4"/>
    <w:rsid w:val="00C96606"/>
    <w:rsid w:val="00C96618"/>
    <w:rsid w:val="00C96667"/>
    <w:rsid w:val="00C966A5"/>
    <w:rsid w:val="00C966D2"/>
    <w:rsid w:val="00C96704"/>
    <w:rsid w:val="00C9673D"/>
    <w:rsid w:val="00C96769"/>
    <w:rsid w:val="00C9677F"/>
    <w:rsid w:val="00C967E7"/>
    <w:rsid w:val="00C9686B"/>
    <w:rsid w:val="00C9697A"/>
    <w:rsid w:val="00C969B4"/>
    <w:rsid w:val="00C96A48"/>
    <w:rsid w:val="00C96A61"/>
    <w:rsid w:val="00C96A75"/>
    <w:rsid w:val="00C96A94"/>
    <w:rsid w:val="00C96AA4"/>
    <w:rsid w:val="00C96AF0"/>
    <w:rsid w:val="00C96B38"/>
    <w:rsid w:val="00C96B4E"/>
    <w:rsid w:val="00C96B7B"/>
    <w:rsid w:val="00C96B82"/>
    <w:rsid w:val="00C96B9F"/>
    <w:rsid w:val="00C96BD6"/>
    <w:rsid w:val="00C96C39"/>
    <w:rsid w:val="00C96C64"/>
    <w:rsid w:val="00C96C70"/>
    <w:rsid w:val="00C96CE0"/>
    <w:rsid w:val="00C96CFD"/>
    <w:rsid w:val="00C96D33"/>
    <w:rsid w:val="00C96D50"/>
    <w:rsid w:val="00C96D64"/>
    <w:rsid w:val="00C96DB9"/>
    <w:rsid w:val="00C96DE4"/>
    <w:rsid w:val="00C96F03"/>
    <w:rsid w:val="00C96F15"/>
    <w:rsid w:val="00C96F2A"/>
    <w:rsid w:val="00C96F67"/>
    <w:rsid w:val="00C96FC8"/>
    <w:rsid w:val="00C9703F"/>
    <w:rsid w:val="00C97049"/>
    <w:rsid w:val="00C9705A"/>
    <w:rsid w:val="00C970A9"/>
    <w:rsid w:val="00C970DF"/>
    <w:rsid w:val="00C97106"/>
    <w:rsid w:val="00C97110"/>
    <w:rsid w:val="00C971D3"/>
    <w:rsid w:val="00C971E2"/>
    <w:rsid w:val="00C971EF"/>
    <w:rsid w:val="00C97289"/>
    <w:rsid w:val="00C9729E"/>
    <w:rsid w:val="00C972A5"/>
    <w:rsid w:val="00C972B3"/>
    <w:rsid w:val="00C972E1"/>
    <w:rsid w:val="00C972F4"/>
    <w:rsid w:val="00C972F5"/>
    <w:rsid w:val="00C973CD"/>
    <w:rsid w:val="00C973EA"/>
    <w:rsid w:val="00C97508"/>
    <w:rsid w:val="00C97541"/>
    <w:rsid w:val="00C9755E"/>
    <w:rsid w:val="00C975DF"/>
    <w:rsid w:val="00C975F2"/>
    <w:rsid w:val="00C97660"/>
    <w:rsid w:val="00C97663"/>
    <w:rsid w:val="00C97667"/>
    <w:rsid w:val="00C9767E"/>
    <w:rsid w:val="00C97692"/>
    <w:rsid w:val="00C976ED"/>
    <w:rsid w:val="00C9773B"/>
    <w:rsid w:val="00C977C3"/>
    <w:rsid w:val="00C977DE"/>
    <w:rsid w:val="00C97846"/>
    <w:rsid w:val="00C97856"/>
    <w:rsid w:val="00C97881"/>
    <w:rsid w:val="00C9788A"/>
    <w:rsid w:val="00C9789A"/>
    <w:rsid w:val="00C978B4"/>
    <w:rsid w:val="00C978E1"/>
    <w:rsid w:val="00C978FC"/>
    <w:rsid w:val="00C97928"/>
    <w:rsid w:val="00C97937"/>
    <w:rsid w:val="00C97989"/>
    <w:rsid w:val="00C979A0"/>
    <w:rsid w:val="00C979F8"/>
    <w:rsid w:val="00C97A00"/>
    <w:rsid w:val="00C97A6A"/>
    <w:rsid w:val="00C97A6B"/>
    <w:rsid w:val="00C97AB4"/>
    <w:rsid w:val="00C97ACA"/>
    <w:rsid w:val="00C97ADC"/>
    <w:rsid w:val="00C97AED"/>
    <w:rsid w:val="00C97BA1"/>
    <w:rsid w:val="00C97BBB"/>
    <w:rsid w:val="00C97BE4"/>
    <w:rsid w:val="00C97BF3"/>
    <w:rsid w:val="00C97BFC"/>
    <w:rsid w:val="00C97BFE"/>
    <w:rsid w:val="00C97C07"/>
    <w:rsid w:val="00C97C42"/>
    <w:rsid w:val="00C97C84"/>
    <w:rsid w:val="00C97CD9"/>
    <w:rsid w:val="00C97D31"/>
    <w:rsid w:val="00C97D4B"/>
    <w:rsid w:val="00C97D7E"/>
    <w:rsid w:val="00C97DAB"/>
    <w:rsid w:val="00C97DB3"/>
    <w:rsid w:val="00C97E2E"/>
    <w:rsid w:val="00C97ED9"/>
    <w:rsid w:val="00C97EDE"/>
    <w:rsid w:val="00C97F5D"/>
    <w:rsid w:val="00C97F7A"/>
    <w:rsid w:val="00C97FB7"/>
    <w:rsid w:val="00CA0027"/>
    <w:rsid w:val="00CA0074"/>
    <w:rsid w:val="00CA0080"/>
    <w:rsid w:val="00CA00C9"/>
    <w:rsid w:val="00CA00CA"/>
    <w:rsid w:val="00CA00D3"/>
    <w:rsid w:val="00CA0120"/>
    <w:rsid w:val="00CA0137"/>
    <w:rsid w:val="00CA0143"/>
    <w:rsid w:val="00CA017D"/>
    <w:rsid w:val="00CA0184"/>
    <w:rsid w:val="00CA01C6"/>
    <w:rsid w:val="00CA021F"/>
    <w:rsid w:val="00CA0257"/>
    <w:rsid w:val="00CA026E"/>
    <w:rsid w:val="00CA02EF"/>
    <w:rsid w:val="00CA0359"/>
    <w:rsid w:val="00CA0375"/>
    <w:rsid w:val="00CA039E"/>
    <w:rsid w:val="00CA03AE"/>
    <w:rsid w:val="00CA03B6"/>
    <w:rsid w:val="00CA03CB"/>
    <w:rsid w:val="00CA0487"/>
    <w:rsid w:val="00CA04A1"/>
    <w:rsid w:val="00CA04BA"/>
    <w:rsid w:val="00CA0515"/>
    <w:rsid w:val="00CA0522"/>
    <w:rsid w:val="00CA0578"/>
    <w:rsid w:val="00CA061C"/>
    <w:rsid w:val="00CA064F"/>
    <w:rsid w:val="00CA06A8"/>
    <w:rsid w:val="00CA06D5"/>
    <w:rsid w:val="00CA06E8"/>
    <w:rsid w:val="00CA06FA"/>
    <w:rsid w:val="00CA07AC"/>
    <w:rsid w:val="00CA07C6"/>
    <w:rsid w:val="00CA084D"/>
    <w:rsid w:val="00CA0852"/>
    <w:rsid w:val="00CA088F"/>
    <w:rsid w:val="00CA08C3"/>
    <w:rsid w:val="00CA08D2"/>
    <w:rsid w:val="00CA08DA"/>
    <w:rsid w:val="00CA091A"/>
    <w:rsid w:val="00CA093E"/>
    <w:rsid w:val="00CA09A8"/>
    <w:rsid w:val="00CA09B7"/>
    <w:rsid w:val="00CA09FC"/>
    <w:rsid w:val="00CA0A2F"/>
    <w:rsid w:val="00CA0A41"/>
    <w:rsid w:val="00CA0A60"/>
    <w:rsid w:val="00CA0B35"/>
    <w:rsid w:val="00CA0B61"/>
    <w:rsid w:val="00CA0B84"/>
    <w:rsid w:val="00CA0BBD"/>
    <w:rsid w:val="00CA0BCB"/>
    <w:rsid w:val="00CA0BFB"/>
    <w:rsid w:val="00CA0C30"/>
    <w:rsid w:val="00CA0D20"/>
    <w:rsid w:val="00CA0D27"/>
    <w:rsid w:val="00CA0D5E"/>
    <w:rsid w:val="00CA0D85"/>
    <w:rsid w:val="00CA0DB7"/>
    <w:rsid w:val="00CA0E0C"/>
    <w:rsid w:val="00CA0E39"/>
    <w:rsid w:val="00CA0F12"/>
    <w:rsid w:val="00CA0F16"/>
    <w:rsid w:val="00CA0F89"/>
    <w:rsid w:val="00CA0F95"/>
    <w:rsid w:val="00CA0FC9"/>
    <w:rsid w:val="00CA0FE7"/>
    <w:rsid w:val="00CA0FE9"/>
    <w:rsid w:val="00CA0FF9"/>
    <w:rsid w:val="00CA1005"/>
    <w:rsid w:val="00CA1011"/>
    <w:rsid w:val="00CA101A"/>
    <w:rsid w:val="00CA1040"/>
    <w:rsid w:val="00CA1086"/>
    <w:rsid w:val="00CA1099"/>
    <w:rsid w:val="00CA10E2"/>
    <w:rsid w:val="00CA110D"/>
    <w:rsid w:val="00CA1158"/>
    <w:rsid w:val="00CA118F"/>
    <w:rsid w:val="00CA11D0"/>
    <w:rsid w:val="00CA11E6"/>
    <w:rsid w:val="00CA1278"/>
    <w:rsid w:val="00CA128C"/>
    <w:rsid w:val="00CA12DB"/>
    <w:rsid w:val="00CA1337"/>
    <w:rsid w:val="00CA135D"/>
    <w:rsid w:val="00CA13B3"/>
    <w:rsid w:val="00CA13BB"/>
    <w:rsid w:val="00CA14BE"/>
    <w:rsid w:val="00CA14C4"/>
    <w:rsid w:val="00CA154B"/>
    <w:rsid w:val="00CA15B3"/>
    <w:rsid w:val="00CA15E6"/>
    <w:rsid w:val="00CA1603"/>
    <w:rsid w:val="00CA1652"/>
    <w:rsid w:val="00CA1665"/>
    <w:rsid w:val="00CA1674"/>
    <w:rsid w:val="00CA169F"/>
    <w:rsid w:val="00CA16D0"/>
    <w:rsid w:val="00CA16E1"/>
    <w:rsid w:val="00CA16FA"/>
    <w:rsid w:val="00CA171E"/>
    <w:rsid w:val="00CA177F"/>
    <w:rsid w:val="00CA1783"/>
    <w:rsid w:val="00CA1810"/>
    <w:rsid w:val="00CA1856"/>
    <w:rsid w:val="00CA1872"/>
    <w:rsid w:val="00CA1887"/>
    <w:rsid w:val="00CA1899"/>
    <w:rsid w:val="00CA18D3"/>
    <w:rsid w:val="00CA1900"/>
    <w:rsid w:val="00CA1903"/>
    <w:rsid w:val="00CA1908"/>
    <w:rsid w:val="00CA1934"/>
    <w:rsid w:val="00CA196C"/>
    <w:rsid w:val="00CA19DC"/>
    <w:rsid w:val="00CA1A06"/>
    <w:rsid w:val="00CA1A73"/>
    <w:rsid w:val="00CA1A9C"/>
    <w:rsid w:val="00CA1AA4"/>
    <w:rsid w:val="00CA1ACC"/>
    <w:rsid w:val="00CA1B36"/>
    <w:rsid w:val="00CA1B9F"/>
    <w:rsid w:val="00CA1BD1"/>
    <w:rsid w:val="00CA1C19"/>
    <w:rsid w:val="00CA1C45"/>
    <w:rsid w:val="00CA1C4D"/>
    <w:rsid w:val="00CA1CCA"/>
    <w:rsid w:val="00CA1CD7"/>
    <w:rsid w:val="00CA1CD8"/>
    <w:rsid w:val="00CA1DB8"/>
    <w:rsid w:val="00CA1EC0"/>
    <w:rsid w:val="00CA1EEE"/>
    <w:rsid w:val="00CA1F63"/>
    <w:rsid w:val="00CA1FB1"/>
    <w:rsid w:val="00CA200D"/>
    <w:rsid w:val="00CA2013"/>
    <w:rsid w:val="00CA2014"/>
    <w:rsid w:val="00CA2054"/>
    <w:rsid w:val="00CA20FF"/>
    <w:rsid w:val="00CA2154"/>
    <w:rsid w:val="00CA218C"/>
    <w:rsid w:val="00CA21C1"/>
    <w:rsid w:val="00CA21CC"/>
    <w:rsid w:val="00CA21F5"/>
    <w:rsid w:val="00CA2200"/>
    <w:rsid w:val="00CA2201"/>
    <w:rsid w:val="00CA2278"/>
    <w:rsid w:val="00CA227D"/>
    <w:rsid w:val="00CA22BC"/>
    <w:rsid w:val="00CA22D5"/>
    <w:rsid w:val="00CA231A"/>
    <w:rsid w:val="00CA2320"/>
    <w:rsid w:val="00CA2364"/>
    <w:rsid w:val="00CA238E"/>
    <w:rsid w:val="00CA238F"/>
    <w:rsid w:val="00CA2392"/>
    <w:rsid w:val="00CA23AD"/>
    <w:rsid w:val="00CA2455"/>
    <w:rsid w:val="00CA2470"/>
    <w:rsid w:val="00CA2485"/>
    <w:rsid w:val="00CA2489"/>
    <w:rsid w:val="00CA248A"/>
    <w:rsid w:val="00CA24AF"/>
    <w:rsid w:val="00CA24FF"/>
    <w:rsid w:val="00CA2527"/>
    <w:rsid w:val="00CA254A"/>
    <w:rsid w:val="00CA2576"/>
    <w:rsid w:val="00CA25BF"/>
    <w:rsid w:val="00CA26D2"/>
    <w:rsid w:val="00CA26ED"/>
    <w:rsid w:val="00CA2711"/>
    <w:rsid w:val="00CA2741"/>
    <w:rsid w:val="00CA2776"/>
    <w:rsid w:val="00CA2796"/>
    <w:rsid w:val="00CA27B0"/>
    <w:rsid w:val="00CA27C3"/>
    <w:rsid w:val="00CA27D8"/>
    <w:rsid w:val="00CA27DB"/>
    <w:rsid w:val="00CA2812"/>
    <w:rsid w:val="00CA2888"/>
    <w:rsid w:val="00CA28D5"/>
    <w:rsid w:val="00CA2936"/>
    <w:rsid w:val="00CA297B"/>
    <w:rsid w:val="00CA29C6"/>
    <w:rsid w:val="00CA2A0A"/>
    <w:rsid w:val="00CA2A18"/>
    <w:rsid w:val="00CA2A23"/>
    <w:rsid w:val="00CA2A6F"/>
    <w:rsid w:val="00CA2A94"/>
    <w:rsid w:val="00CA2AA7"/>
    <w:rsid w:val="00CA2B5C"/>
    <w:rsid w:val="00CA2B65"/>
    <w:rsid w:val="00CA2BC4"/>
    <w:rsid w:val="00CA2BD2"/>
    <w:rsid w:val="00CA2C28"/>
    <w:rsid w:val="00CA2C72"/>
    <w:rsid w:val="00CA2C94"/>
    <w:rsid w:val="00CA2CCA"/>
    <w:rsid w:val="00CA2CEC"/>
    <w:rsid w:val="00CA2CF5"/>
    <w:rsid w:val="00CA2D5A"/>
    <w:rsid w:val="00CA2DB8"/>
    <w:rsid w:val="00CA2DC9"/>
    <w:rsid w:val="00CA2DE4"/>
    <w:rsid w:val="00CA2E11"/>
    <w:rsid w:val="00CA2E6F"/>
    <w:rsid w:val="00CA2F1A"/>
    <w:rsid w:val="00CA2FA9"/>
    <w:rsid w:val="00CA2FD5"/>
    <w:rsid w:val="00CA3055"/>
    <w:rsid w:val="00CA3058"/>
    <w:rsid w:val="00CA3075"/>
    <w:rsid w:val="00CA3077"/>
    <w:rsid w:val="00CA30A6"/>
    <w:rsid w:val="00CA30C0"/>
    <w:rsid w:val="00CA30F0"/>
    <w:rsid w:val="00CA30F4"/>
    <w:rsid w:val="00CA30FA"/>
    <w:rsid w:val="00CA3168"/>
    <w:rsid w:val="00CA31B9"/>
    <w:rsid w:val="00CA31C5"/>
    <w:rsid w:val="00CA31CA"/>
    <w:rsid w:val="00CA31FE"/>
    <w:rsid w:val="00CA3257"/>
    <w:rsid w:val="00CA325E"/>
    <w:rsid w:val="00CA3262"/>
    <w:rsid w:val="00CA32EA"/>
    <w:rsid w:val="00CA32F0"/>
    <w:rsid w:val="00CA32F4"/>
    <w:rsid w:val="00CA32FE"/>
    <w:rsid w:val="00CA3316"/>
    <w:rsid w:val="00CA3393"/>
    <w:rsid w:val="00CA33E8"/>
    <w:rsid w:val="00CA33FE"/>
    <w:rsid w:val="00CA3434"/>
    <w:rsid w:val="00CA346C"/>
    <w:rsid w:val="00CA349E"/>
    <w:rsid w:val="00CA34C6"/>
    <w:rsid w:val="00CA34E3"/>
    <w:rsid w:val="00CA353B"/>
    <w:rsid w:val="00CA3565"/>
    <w:rsid w:val="00CA357C"/>
    <w:rsid w:val="00CA3592"/>
    <w:rsid w:val="00CA35EB"/>
    <w:rsid w:val="00CA35FE"/>
    <w:rsid w:val="00CA3632"/>
    <w:rsid w:val="00CA367C"/>
    <w:rsid w:val="00CA367F"/>
    <w:rsid w:val="00CA3693"/>
    <w:rsid w:val="00CA36A0"/>
    <w:rsid w:val="00CA36CE"/>
    <w:rsid w:val="00CA36ED"/>
    <w:rsid w:val="00CA36F4"/>
    <w:rsid w:val="00CA36F7"/>
    <w:rsid w:val="00CA373A"/>
    <w:rsid w:val="00CA37BF"/>
    <w:rsid w:val="00CA37EB"/>
    <w:rsid w:val="00CA381B"/>
    <w:rsid w:val="00CA3842"/>
    <w:rsid w:val="00CA3854"/>
    <w:rsid w:val="00CA3855"/>
    <w:rsid w:val="00CA38B7"/>
    <w:rsid w:val="00CA38F1"/>
    <w:rsid w:val="00CA3922"/>
    <w:rsid w:val="00CA399D"/>
    <w:rsid w:val="00CA39C8"/>
    <w:rsid w:val="00CA3A74"/>
    <w:rsid w:val="00CA3AD5"/>
    <w:rsid w:val="00CA3AE4"/>
    <w:rsid w:val="00CA3BA5"/>
    <w:rsid w:val="00CA3BB2"/>
    <w:rsid w:val="00CA3C3F"/>
    <w:rsid w:val="00CA3C72"/>
    <w:rsid w:val="00CA3CA9"/>
    <w:rsid w:val="00CA3D72"/>
    <w:rsid w:val="00CA3D8E"/>
    <w:rsid w:val="00CA3D98"/>
    <w:rsid w:val="00CA3DAE"/>
    <w:rsid w:val="00CA3DB6"/>
    <w:rsid w:val="00CA3DBD"/>
    <w:rsid w:val="00CA3DF3"/>
    <w:rsid w:val="00CA3E28"/>
    <w:rsid w:val="00CA3EBF"/>
    <w:rsid w:val="00CA3EE1"/>
    <w:rsid w:val="00CA3EE3"/>
    <w:rsid w:val="00CA3F6C"/>
    <w:rsid w:val="00CA4050"/>
    <w:rsid w:val="00CA406A"/>
    <w:rsid w:val="00CA40C7"/>
    <w:rsid w:val="00CA4172"/>
    <w:rsid w:val="00CA41A6"/>
    <w:rsid w:val="00CA41B8"/>
    <w:rsid w:val="00CA41D4"/>
    <w:rsid w:val="00CA41FF"/>
    <w:rsid w:val="00CA4217"/>
    <w:rsid w:val="00CA4346"/>
    <w:rsid w:val="00CA4351"/>
    <w:rsid w:val="00CA435B"/>
    <w:rsid w:val="00CA4402"/>
    <w:rsid w:val="00CA4403"/>
    <w:rsid w:val="00CA4432"/>
    <w:rsid w:val="00CA44B5"/>
    <w:rsid w:val="00CA44F4"/>
    <w:rsid w:val="00CA454F"/>
    <w:rsid w:val="00CA45A4"/>
    <w:rsid w:val="00CA4660"/>
    <w:rsid w:val="00CA4713"/>
    <w:rsid w:val="00CA4743"/>
    <w:rsid w:val="00CA477A"/>
    <w:rsid w:val="00CA479F"/>
    <w:rsid w:val="00CA47EB"/>
    <w:rsid w:val="00CA4804"/>
    <w:rsid w:val="00CA4848"/>
    <w:rsid w:val="00CA4867"/>
    <w:rsid w:val="00CA4872"/>
    <w:rsid w:val="00CA48A2"/>
    <w:rsid w:val="00CA48F9"/>
    <w:rsid w:val="00CA48FC"/>
    <w:rsid w:val="00CA4939"/>
    <w:rsid w:val="00CA493A"/>
    <w:rsid w:val="00CA4976"/>
    <w:rsid w:val="00CA49C9"/>
    <w:rsid w:val="00CA49DE"/>
    <w:rsid w:val="00CA49EE"/>
    <w:rsid w:val="00CA4B05"/>
    <w:rsid w:val="00CA4B15"/>
    <w:rsid w:val="00CA4B23"/>
    <w:rsid w:val="00CA4B81"/>
    <w:rsid w:val="00CA4BE6"/>
    <w:rsid w:val="00CA4BFE"/>
    <w:rsid w:val="00CA4C0C"/>
    <w:rsid w:val="00CA4C11"/>
    <w:rsid w:val="00CA4C91"/>
    <w:rsid w:val="00CA4CB1"/>
    <w:rsid w:val="00CA4CC2"/>
    <w:rsid w:val="00CA4D5A"/>
    <w:rsid w:val="00CA4DDA"/>
    <w:rsid w:val="00CA4E04"/>
    <w:rsid w:val="00CA4E21"/>
    <w:rsid w:val="00CA4E2E"/>
    <w:rsid w:val="00CA4E30"/>
    <w:rsid w:val="00CA4E4A"/>
    <w:rsid w:val="00CA4EBC"/>
    <w:rsid w:val="00CA4EC3"/>
    <w:rsid w:val="00CA4EDD"/>
    <w:rsid w:val="00CA4FB0"/>
    <w:rsid w:val="00CA4FB5"/>
    <w:rsid w:val="00CA4FC6"/>
    <w:rsid w:val="00CA4FC9"/>
    <w:rsid w:val="00CA5025"/>
    <w:rsid w:val="00CA508D"/>
    <w:rsid w:val="00CA50A0"/>
    <w:rsid w:val="00CA50B1"/>
    <w:rsid w:val="00CA510C"/>
    <w:rsid w:val="00CA5154"/>
    <w:rsid w:val="00CA51A0"/>
    <w:rsid w:val="00CA51F1"/>
    <w:rsid w:val="00CA5251"/>
    <w:rsid w:val="00CA52A6"/>
    <w:rsid w:val="00CA5318"/>
    <w:rsid w:val="00CA532B"/>
    <w:rsid w:val="00CA532F"/>
    <w:rsid w:val="00CA534B"/>
    <w:rsid w:val="00CA5389"/>
    <w:rsid w:val="00CA5391"/>
    <w:rsid w:val="00CA53C2"/>
    <w:rsid w:val="00CA53CD"/>
    <w:rsid w:val="00CA53E5"/>
    <w:rsid w:val="00CA5402"/>
    <w:rsid w:val="00CA543F"/>
    <w:rsid w:val="00CA546E"/>
    <w:rsid w:val="00CA546F"/>
    <w:rsid w:val="00CA54A3"/>
    <w:rsid w:val="00CA54DE"/>
    <w:rsid w:val="00CA554C"/>
    <w:rsid w:val="00CA5607"/>
    <w:rsid w:val="00CA5618"/>
    <w:rsid w:val="00CA562D"/>
    <w:rsid w:val="00CA5680"/>
    <w:rsid w:val="00CA5687"/>
    <w:rsid w:val="00CA56D0"/>
    <w:rsid w:val="00CA570B"/>
    <w:rsid w:val="00CA5762"/>
    <w:rsid w:val="00CA5767"/>
    <w:rsid w:val="00CA576C"/>
    <w:rsid w:val="00CA579E"/>
    <w:rsid w:val="00CA579F"/>
    <w:rsid w:val="00CA57BB"/>
    <w:rsid w:val="00CA5830"/>
    <w:rsid w:val="00CA5908"/>
    <w:rsid w:val="00CA59BD"/>
    <w:rsid w:val="00CA59C7"/>
    <w:rsid w:val="00CA59DA"/>
    <w:rsid w:val="00CA5A08"/>
    <w:rsid w:val="00CA5A46"/>
    <w:rsid w:val="00CA5A55"/>
    <w:rsid w:val="00CA5A80"/>
    <w:rsid w:val="00CA5A95"/>
    <w:rsid w:val="00CA5ABF"/>
    <w:rsid w:val="00CA5AD6"/>
    <w:rsid w:val="00CA5AE1"/>
    <w:rsid w:val="00CA5B1A"/>
    <w:rsid w:val="00CA5B4D"/>
    <w:rsid w:val="00CA5B5B"/>
    <w:rsid w:val="00CA5BD8"/>
    <w:rsid w:val="00CA5BFB"/>
    <w:rsid w:val="00CA5C07"/>
    <w:rsid w:val="00CA5C39"/>
    <w:rsid w:val="00CA5C64"/>
    <w:rsid w:val="00CA5CF9"/>
    <w:rsid w:val="00CA5D0C"/>
    <w:rsid w:val="00CA5DAA"/>
    <w:rsid w:val="00CA5DDA"/>
    <w:rsid w:val="00CA5E0B"/>
    <w:rsid w:val="00CA5E34"/>
    <w:rsid w:val="00CA5E5B"/>
    <w:rsid w:val="00CA5E96"/>
    <w:rsid w:val="00CA5EDC"/>
    <w:rsid w:val="00CA5EF5"/>
    <w:rsid w:val="00CA5F6B"/>
    <w:rsid w:val="00CA5F6F"/>
    <w:rsid w:val="00CA5F73"/>
    <w:rsid w:val="00CA5F7A"/>
    <w:rsid w:val="00CA5F7D"/>
    <w:rsid w:val="00CA5F97"/>
    <w:rsid w:val="00CA5FE7"/>
    <w:rsid w:val="00CA6001"/>
    <w:rsid w:val="00CA6024"/>
    <w:rsid w:val="00CA603D"/>
    <w:rsid w:val="00CA604A"/>
    <w:rsid w:val="00CA605B"/>
    <w:rsid w:val="00CA60B3"/>
    <w:rsid w:val="00CA612E"/>
    <w:rsid w:val="00CA6151"/>
    <w:rsid w:val="00CA615D"/>
    <w:rsid w:val="00CA61F0"/>
    <w:rsid w:val="00CA6204"/>
    <w:rsid w:val="00CA6214"/>
    <w:rsid w:val="00CA6252"/>
    <w:rsid w:val="00CA62A8"/>
    <w:rsid w:val="00CA62DF"/>
    <w:rsid w:val="00CA635A"/>
    <w:rsid w:val="00CA638E"/>
    <w:rsid w:val="00CA640A"/>
    <w:rsid w:val="00CA6434"/>
    <w:rsid w:val="00CA6439"/>
    <w:rsid w:val="00CA647F"/>
    <w:rsid w:val="00CA64B6"/>
    <w:rsid w:val="00CA64E7"/>
    <w:rsid w:val="00CA64F8"/>
    <w:rsid w:val="00CA64FD"/>
    <w:rsid w:val="00CA6650"/>
    <w:rsid w:val="00CA666D"/>
    <w:rsid w:val="00CA668B"/>
    <w:rsid w:val="00CA6713"/>
    <w:rsid w:val="00CA6716"/>
    <w:rsid w:val="00CA6744"/>
    <w:rsid w:val="00CA675E"/>
    <w:rsid w:val="00CA6772"/>
    <w:rsid w:val="00CA6774"/>
    <w:rsid w:val="00CA678D"/>
    <w:rsid w:val="00CA67A3"/>
    <w:rsid w:val="00CA67BF"/>
    <w:rsid w:val="00CA6807"/>
    <w:rsid w:val="00CA6825"/>
    <w:rsid w:val="00CA68AC"/>
    <w:rsid w:val="00CA68C8"/>
    <w:rsid w:val="00CA6906"/>
    <w:rsid w:val="00CA692E"/>
    <w:rsid w:val="00CA695E"/>
    <w:rsid w:val="00CA69B1"/>
    <w:rsid w:val="00CA69BC"/>
    <w:rsid w:val="00CA69DD"/>
    <w:rsid w:val="00CA6A2B"/>
    <w:rsid w:val="00CA6A31"/>
    <w:rsid w:val="00CA6A57"/>
    <w:rsid w:val="00CA6A7A"/>
    <w:rsid w:val="00CA6A83"/>
    <w:rsid w:val="00CA6ABD"/>
    <w:rsid w:val="00CA6B71"/>
    <w:rsid w:val="00CA6BC9"/>
    <w:rsid w:val="00CA6C3B"/>
    <w:rsid w:val="00CA6C83"/>
    <w:rsid w:val="00CA6D45"/>
    <w:rsid w:val="00CA6D95"/>
    <w:rsid w:val="00CA6D98"/>
    <w:rsid w:val="00CA6D99"/>
    <w:rsid w:val="00CA6D9A"/>
    <w:rsid w:val="00CA6DFA"/>
    <w:rsid w:val="00CA6E02"/>
    <w:rsid w:val="00CA6E95"/>
    <w:rsid w:val="00CA6EB6"/>
    <w:rsid w:val="00CA6EEC"/>
    <w:rsid w:val="00CA6F15"/>
    <w:rsid w:val="00CA6F3D"/>
    <w:rsid w:val="00CA6FE1"/>
    <w:rsid w:val="00CA6FE7"/>
    <w:rsid w:val="00CA702B"/>
    <w:rsid w:val="00CA703B"/>
    <w:rsid w:val="00CA705A"/>
    <w:rsid w:val="00CA7067"/>
    <w:rsid w:val="00CA709B"/>
    <w:rsid w:val="00CA70C3"/>
    <w:rsid w:val="00CA70CA"/>
    <w:rsid w:val="00CA70CE"/>
    <w:rsid w:val="00CA70CF"/>
    <w:rsid w:val="00CA7149"/>
    <w:rsid w:val="00CA7159"/>
    <w:rsid w:val="00CA7168"/>
    <w:rsid w:val="00CA71D1"/>
    <w:rsid w:val="00CA7276"/>
    <w:rsid w:val="00CA7284"/>
    <w:rsid w:val="00CA72B7"/>
    <w:rsid w:val="00CA72D9"/>
    <w:rsid w:val="00CA72FE"/>
    <w:rsid w:val="00CA730D"/>
    <w:rsid w:val="00CA731F"/>
    <w:rsid w:val="00CA73DB"/>
    <w:rsid w:val="00CA746A"/>
    <w:rsid w:val="00CA74B3"/>
    <w:rsid w:val="00CA74DF"/>
    <w:rsid w:val="00CA7525"/>
    <w:rsid w:val="00CA7549"/>
    <w:rsid w:val="00CA7551"/>
    <w:rsid w:val="00CA7559"/>
    <w:rsid w:val="00CA75DF"/>
    <w:rsid w:val="00CA75F7"/>
    <w:rsid w:val="00CA762B"/>
    <w:rsid w:val="00CA762F"/>
    <w:rsid w:val="00CA7688"/>
    <w:rsid w:val="00CA7695"/>
    <w:rsid w:val="00CA76A9"/>
    <w:rsid w:val="00CA76C6"/>
    <w:rsid w:val="00CA7742"/>
    <w:rsid w:val="00CA7761"/>
    <w:rsid w:val="00CA7768"/>
    <w:rsid w:val="00CA777C"/>
    <w:rsid w:val="00CA77DD"/>
    <w:rsid w:val="00CA788C"/>
    <w:rsid w:val="00CA78BF"/>
    <w:rsid w:val="00CA78E9"/>
    <w:rsid w:val="00CA790E"/>
    <w:rsid w:val="00CA7938"/>
    <w:rsid w:val="00CA794D"/>
    <w:rsid w:val="00CA7956"/>
    <w:rsid w:val="00CA79F7"/>
    <w:rsid w:val="00CA7A74"/>
    <w:rsid w:val="00CA7A7E"/>
    <w:rsid w:val="00CA7AF6"/>
    <w:rsid w:val="00CA7B02"/>
    <w:rsid w:val="00CA7B23"/>
    <w:rsid w:val="00CA7B58"/>
    <w:rsid w:val="00CA7C3C"/>
    <w:rsid w:val="00CA7C69"/>
    <w:rsid w:val="00CA7C80"/>
    <w:rsid w:val="00CA7C9C"/>
    <w:rsid w:val="00CA7CAB"/>
    <w:rsid w:val="00CA7D02"/>
    <w:rsid w:val="00CA7D0C"/>
    <w:rsid w:val="00CA7D36"/>
    <w:rsid w:val="00CA7D5A"/>
    <w:rsid w:val="00CA7E00"/>
    <w:rsid w:val="00CA7E17"/>
    <w:rsid w:val="00CA7E74"/>
    <w:rsid w:val="00CA7EB5"/>
    <w:rsid w:val="00CA7EC7"/>
    <w:rsid w:val="00CA7ECA"/>
    <w:rsid w:val="00CA7ECD"/>
    <w:rsid w:val="00CA7EE7"/>
    <w:rsid w:val="00CA7F31"/>
    <w:rsid w:val="00CA7F8E"/>
    <w:rsid w:val="00CA7FD5"/>
    <w:rsid w:val="00CB0080"/>
    <w:rsid w:val="00CB00B8"/>
    <w:rsid w:val="00CB00BB"/>
    <w:rsid w:val="00CB01B8"/>
    <w:rsid w:val="00CB021D"/>
    <w:rsid w:val="00CB030A"/>
    <w:rsid w:val="00CB0355"/>
    <w:rsid w:val="00CB03C5"/>
    <w:rsid w:val="00CB03DD"/>
    <w:rsid w:val="00CB03ED"/>
    <w:rsid w:val="00CB0419"/>
    <w:rsid w:val="00CB0444"/>
    <w:rsid w:val="00CB04E0"/>
    <w:rsid w:val="00CB04FA"/>
    <w:rsid w:val="00CB051D"/>
    <w:rsid w:val="00CB0525"/>
    <w:rsid w:val="00CB052F"/>
    <w:rsid w:val="00CB056C"/>
    <w:rsid w:val="00CB05CF"/>
    <w:rsid w:val="00CB0680"/>
    <w:rsid w:val="00CB0707"/>
    <w:rsid w:val="00CB0742"/>
    <w:rsid w:val="00CB0751"/>
    <w:rsid w:val="00CB0759"/>
    <w:rsid w:val="00CB07B3"/>
    <w:rsid w:val="00CB07BA"/>
    <w:rsid w:val="00CB07C4"/>
    <w:rsid w:val="00CB0865"/>
    <w:rsid w:val="00CB0867"/>
    <w:rsid w:val="00CB087A"/>
    <w:rsid w:val="00CB091B"/>
    <w:rsid w:val="00CB091F"/>
    <w:rsid w:val="00CB0939"/>
    <w:rsid w:val="00CB0961"/>
    <w:rsid w:val="00CB098A"/>
    <w:rsid w:val="00CB09FC"/>
    <w:rsid w:val="00CB0A06"/>
    <w:rsid w:val="00CB0A6D"/>
    <w:rsid w:val="00CB0B22"/>
    <w:rsid w:val="00CB0B3F"/>
    <w:rsid w:val="00CB0B48"/>
    <w:rsid w:val="00CB0B8C"/>
    <w:rsid w:val="00CB0BC2"/>
    <w:rsid w:val="00CB0BDE"/>
    <w:rsid w:val="00CB0C79"/>
    <w:rsid w:val="00CB0C91"/>
    <w:rsid w:val="00CB0CE6"/>
    <w:rsid w:val="00CB0CE8"/>
    <w:rsid w:val="00CB0CF6"/>
    <w:rsid w:val="00CB0D57"/>
    <w:rsid w:val="00CB0D88"/>
    <w:rsid w:val="00CB0D9C"/>
    <w:rsid w:val="00CB0DA2"/>
    <w:rsid w:val="00CB0DDC"/>
    <w:rsid w:val="00CB0DF7"/>
    <w:rsid w:val="00CB0E34"/>
    <w:rsid w:val="00CB0E39"/>
    <w:rsid w:val="00CB0E72"/>
    <w:rsid w:val="00CB0E9C"/>
    <w:rsid w:val="00CB0EBF"/>
    <w:rsid w:val="00CB0ED3"/>
    <w:rsid w:val="00CB0EEC"/>
    <w:rsid w:val="00CB0F97"/>
    <w:rsid w:val="00CB0FE1"/>
    <w:rsid w:val="00CB0FE3"/>
    <w:rsid w:val="00CB109C"/>
    <w:rsid w:val="00CB1182"/>
    <w:rsid w:val="00CB118C"/>
    <w:rsid w:val="00CB11AE"/>
    <w:rsid w:val="00CB11B2"/>
    <w:rsid w:val="00CB1223"/>
    <w:rsid w:val="00CB1276"/>
    <w:rsid w:val="00CB1287"/>
    <w:rsid w:val="00CB129A"/>
    <w:rsid w:val="00CB12AC"/>
    <w:rsid w:val="00CB132D"/>
    <w:rsid w:val="00CB1355"/>
    <w:rsid w:val="00CB135C"/>
    <w:rsid w:val="00CB144E"/>
    <w:rsid w:val="00CB14AF"/>
    <w:rsid w:val="00CB14D0"/>
    <w:rsid w:val="00CB14D8"/>
    <w:rsid w:val="00CB14DE"/>
    <w:rsid w:val="00CB1512"/>
    <w:rsid w:val="00CB1578"/>
    <w:rsid w:val="00CB15A4"/>
    <w:rsid w:val="00CB15B9"/>
    <w:rsid w:val="00CB15BD"/>
    <w:rsid w:val="00CB160D"/>
    <w:rsid w:val="00CB1630"/>
    <w:rsid w:val="00CB167A"/>
    <w:rsid w:val="00CB1698"/>
    <w:rsid w:val="00CB1726"/>
    <w:rsid w:val="00CB172C"/>
    <w:rsid w:val="00CB178B"/>
    <w:rsid w:val="00CB17FA"/>
    <w:rsid w:val="00CB1839"/>
    <w:rsid w:val="00CB1847"/>
    <w:rsid w:val="00CB18C5"/>
    <w:rsid w:val="00CB191F"/>
    <w:rsid w:val="00CB1941"/>
    <w:rsid w:val="00CB1951"/>
    <w:rsid w:val="00CB19BB"/>
    <w:rsid w:val="00CB19F6"/>
    <w:rsid w:val="00CB1A24"/>
    <w:rsid w:val="00CB1A47"/>
    <w:rsid w:val="00CB1A5E"/>
    <w:rsid w:val="00CB1A73"/>
    <w:rsid w:val="00CB1A91"/>
    <w:rsid w:val="00CB1AAB"/>
    <w:rsid w:val="00CB1AE6"/>
    <w:rsid w:val="00CB1B0D"/>
    <w:rsid w:val="00CB1B44"/>
    <w:rsid w:val="00CB1B8F"/>
    <w:rsid w:val="00CB1B9A"/>
    <w:rsid w:val="00CB1BBA"/>
    <w:rsid w:val="00CB1BC9"/>
    <w:rsid w:val="00CB1C53"/>
    <w:rsid w:val="00CB1C5D"/>
    <w:rsid w:val="00CB1C7B"/>
    <w:rsid w:val="00CB1C7C"/>
    <w:rsid w:val="00CB1C7E"/>
    <w:rsid w:val="00CB1CF4"/>
    <w:rsid w:val="00CB1D0B"/>
    <w:rsid w:val="00CB1D37"/>
    <w:rsid w:val="00CB1D89"/>
    <w:rsid w:val="00CB1D90"/>
    <w:rsid w:val="00CB1D93"/>
    <w:rsid w:val="00CB1DA0"/>
    <w:rsid w:val="00CB1E6F"/>
    <w:rsid w:val="00CB1ECC"/>
    <w:rsid w:val="00CB1F0A"/>
    <w:rsid w:val="00CB1F69"/>
    <w:rsid w:val="00CB1F70"/>
    <w:rsid w:val="00CB1F8C"/>
    <w:rsid w:val="00CB1FA8"/>
    <w:rsid w:val="00CB1FB3"/>
    <w:rsid w:val="00CB1FC2"/>
    <w:rsid w:val="00CB1FE4"/>
    <w:rsid w:val="00CB2003"/>
    <w:rsid w:val="00CB2013"/>
    <w:rsid w:val="00CB2028"/>
    <w:rsid w:val="00CB20A0"/>
    <w:rsid w:val="00CB213F"/>
    <w:rsid w:val="00CB2143"/>
    <w:rsid w:val="00CB2154"/>
    <w:rsid w:val="00CB2171"/>
    <w:rsid w:val="00CB2185"/>
    <w:rsid w:val="00CB2187"/>
    <w:rsid w:val="00CB220D"/>
    <w:rsid w:val="00CB221C"/>
    <w:rsid w:val="00CB2225"/>
    <w:rsid w:val="00CB2276"/>
    <w:rsid w:val="00CB237B"/>
    <w:rsid w:val="00CB23D8"/>
    <w:rsid w:val="00CB2403"/>
    <w:rsid w:val="00CB2407"/>
    <w:rsid w:val="00CB242E"/>
    <w:rsid w:val="00CB2438"/>
    <w:rsid w:val="00CB2444"/>
    <w:rsid w:val="00CB245A"/>
    <w:rsid w:val="00CB2485"/>
    <w:rsid w:val="00CB251C"/>
    <w:rsid w:val="00CB251E"/>
    <w:rsid w:val="00CB2559"/>
    <w:rsid w:val="00CB2560"/>
    <w:rsid w:val="00CB25A2"/>
    <w:rsid w:val="00CB25EA"/>
    <w:rsid w:val="00CB25F4"/>
    <w:rsid w:val="00CB2618"/>
    <w:rsid w:val="00CB2629"/>
    <w:rsid w:val="00CB26A5"/>
    <w:rsid w:val="00CB26E8"/>
    <w:rsid w:val="00CB2757"/>
    <w:rsid w:val="00CB276B"/>
    <w:rsid w:val="00CB27B7"/>
    <w:rsid w:val="00CB27E9"/>
    <w:rsid w:val="00CB2817"/>
    <w:rsid w:val="00CB2841"/>
    <w:rsid w:val="00CB2842"/>
    <w:rsid w:val="00CB2867"/>
    <w:rsid w:val="00CB286F"/>
    <w:rsid w:val="00CB28F2"/>
    <w:rsid w:val="00CB292A"/>
    <w:rsid w:val="00CB29A3"/>
    <w:rsid w:val="00CB29A4"/>
    <w:rsid w:val="00CB29BE"/>
    <w:rsid w:val="00CB29E3"/>
    <w:rsid w:val="00CB2A42"/>
    <w:rsid w:val="00CB2A55"/>
    <w:rsid w:val="00CB2A88"/>
    <w:rsid w:val="00CB2B0C"/>
    <w:rsid w:val="00CB2B20"/>
    <w:rsid w:val="00CB2B37"/>
    <w:rsid w:val="00CB2B65"/>
    <w:rsid w:val="00CB2B6F"/>
    <w:rsid w:val="00CB2B96"/>
    <w:rsid w:val="00CB2BA0"/>
    <w:rsid w:val="00CB2BBF"/>
    <w:rsid w:val="00CB2BF7"/>
    <w:rsid w:val="00CB2C83"/>
    <w:rsid w:val="00CB2C9F"/>
    <w:rsid w:val="00CB2D59"/>
    <w:rsid w:val="00CB2D91"/>
    <w:rsid w:val="00CB2DF4"/>
    <w:rsid w:val="00CB2DFA"/>
    <w:rsid w:val="00CB2E78"/>
    <w:rsid w:val="00CB2E94"/>
    <w:rsid w:val="00CB2EA1"/>
    <w:rsid w:val="00CB2F56"/>
    <w:rsid w:val="00CB2FEB"/>
    <w:rsid w:val="00CB2FF0"/>
    <w:rsid w:val="00CB2FF2"/>
    <w:rsid w:val="00CB300E"/>
    <w:rsid w:val="00CB303A"/>
    <w:rsid w:val="00CB304B"/>
    <w:rsid w:val="00CB3067"/>
    <w:rsid w:val="00CB3071"/>
    <w:rsid w:val="00CB3082"/>
    <w:rsid w:val="00CB30CE"/>
    <w:rsid w:val="00CB30D6"/>
    <w:rsid w:val="00CB3108"/>
    <w:rsid w:val="00CB31F1"/>
    <w:rsid w:val="00CB3226"/>
    <w:rsid w:val="00CB333B"/>
    <w:rsid w:val="00CB339A"/>
    <w:rsid w:val="00CB33A0"/>
    <w:rsid w:val="00CB33FC"/>
    <w:rsid w:val="00CB3417"/>
    <w:rsid w:val="00CB346B"/>
    <w:rsid w:val="00CB3472"/>
    <w:rsid w:val="00CB3498"/>
    <w:rsid w:val="00CB349A"/>
    <w:rsid w:val="00CB34E7"/>
    <w:rsid w:val="00CB3511"/>
    <w:rsid w:val="00CB3524"/>
    <w:rsid w:val="00CB3527"/>
    <w:rsid w:val="00CB3541"/>
    <w:rsid w:val="00CB354B"/>
    <w:rsid w:val="00CB3560"/>
    <w:rsid w:val="00CB35D0"/>
    <w:rsid w:val="00CB35F4"/>
    <w:rsid w:val="00CB361D"/>
    <w:rsid w:val="00CB3646"/>
    <w:rsid w:val="00CB3673"/>
    <w:rsid w:val="00CB36C3"/>
    <w:rsid w:val="00CB3706"/>
    <w:rsid w:val="00CB3712"/>
    <w:rsid w:val="00CB3784"/>
    <w:rsid w:val="00CB37B5"/>
    <w:rsid w:val="00CB37B9"/>
    <w:rsid w:val="00CB37EF"/>
    <w:rsid w:val="00CB3805"/>
    <w:rsid w:val="00CB3832"/>
    <w:rsid w:val="00CB3840"/>
    <w:rsid w:val="00CB3907"/>
    <w:rsid w:val="00CB391E"/>
    <w:rsid w:val="00CB3926"/>
    <w:rsid w:val="00CB3950"/>
    <w:rsid w:val="00CB399C"/>
    <w:rsid w:val="00CB39EA"/>
    <w:rsid w:val="00CB39FE"/>
    <w:rsid w:val="00CB3A04"/>
    <w:rsid w:val="00CB3A1B"/>
    <w:rsid w:val="00CB3A1C"/>
    <w:rsid w:val="00CB3A57"/>
    <w:rsid w:val="00CB3A9C"/>
    <w:rsid w:val="00CB3B2E"/>
    <w:rsid w:val="00CB3B57"/>
    <w:rsid w:val="00CB3B96"/>
    <w:rsid w:val="00CB3C76"/>
    <w:rsid w:val="00CB3CD7"/>
    <w:rsid w:val="00CB3CED"/>
    <w:rsid w:val="00CB3D05"/>
    <w:rsid w:val="00CB3D46"/>
    <w:rsid w:val="00CB3E8E"/>
    <w:rsid w:val="00CB3E91"/>
    <w:rsid w:val="00CB3EC9"/>
    <w:rsid w:val="00CB3F2F"/>
    <w:rsid w:val="00CB3FA7"/>
    <w:rsid w:val="00CB3FCF"/>
    <w:rsid w:val="00CB3FEE"/>
    <w:rsid w:val="00CB40AB"/>
    <w:rsid w:val="00CB40B3"/>
    <w:rsid w:val="00CB40DA"/>
    <w:rsid w:val="00CB40DD"/>
    <w:rsid w:val="00CB40E6"/>
    <w:rsid w:val="00CB40FA"/>
    <w:rsid w:val="00CB4161"/>
    <w:rsid w:val="00CB4165"/>
    <w:rsid w:val="00CB417A"/>
    <w:rsid w:val="00CB4200"/>
    <w:rsid w:val="00CB420E"/>
    <w:rsid w:val="00CB421F"/>
    <w:rsid w:val="00CB4233"/>
    <w:rsid w:val="00CB4237"/>
    <w:rsid w:val="00CB429A"/>
    <w:rsid w:val="00CB42D8"/>
    <w:rsid w:val="00CB42F4"/>
    <w:rsid w:val="00CB4308"/>
    <w:rsid w:val="00CB437C"/>
    <w:rsid w:val="00CB43F3"/>
    <w:rsid w:val="00CB4409"/>
    <w:rsid w:val="00CB4421"/>
    <w:rsid w:val="00CB4424"/>
    <w:rsid w:val="00CB4430"/>
    <w:rsid w:val="00CB4445"/>
    <w:rsid w:val="00CB446C"/>
    <w:rsid w:val="00CB446F"/>
    <w:rsid w:val="00CB4474"/>
    <w:rsid w:val="00CB4486"/>
    <w:rsid w:val="00CB44C7"/>
    <w:rsid w:val="00CB455B"/>
    <w:rsid w:val="00CB4596"/>
    <w:rsid w:val="00CB45AD"/>
    <w:rsid w:val="00CB45BD"/>
    <w:rsid w:val="00CB45D9"/>
    <w:rsid w:val="00CB45E8"/>
    <w:rsid w:val="00CB45F0"/>
    <w:rsid w:val="00CB4658"/>
    <w:rsid w:val="00CB465F"/>
    <w:rsid w:val="00CB469E"/>
    <w:rsid w:val="00CB46B3"/>
    <w:rsid w:val="00CB46CF"/>
    <w:rsid w:val="00CB46D5"/>
    <w:rsid w:val="00CB46DC"/>
    <w:rsid w:val="00CB4720"/>
    <w:rsid w:val="00CB472A"/>
    <w:rsid w:val="00CB4800"/>
    <w:rsid w:val="00CB480E"/>
    <w:rsid w:val="00CB486E"/>
    <w:rsid w:val="00CB4880"/>
    <w:rsid w:val="00CB499A"/>
    <w:rsid w:val="00CB49AC"/>
    <w:rsid w:val="00CB49CC"/>
    <w:rsid w:val="00CB4A7F"/>
    <w:rsid w:val="00CB4A93"/>
    <w:rsid w:val="00CB4AF8"/>
    <w:rsid w:val="00CB4B1F"/>
    <w:rsid w:val="00CB4B33"/>
    <w:rsid w:val="00CB4B3C"/>
    <w:rsid w:val="00CB4B92"/>
    <w:rsid w:val="00CB4BAB"/>
    <w:rsid w:val="00CB4BD5"/>
    <w:rsid w:val="00CB4BEF"/>
    <w:rsid w:val="00CB4C2B"/>
    <w:rsid w:val="00CB4C42"/>
    <w:rsid w:val="00CB4C7A"/>
    <w:rsid w:val="00CB4CE1"/>
    <w:rsid w:val="00CB4D3B"/>
    <w:rsid w:val="00CB4D49"/>
    <w:rsid w:val="00CB4E40"/>
    <w:rsid w:val="00CB4E57"/>
    <w:rsid w:val="00CB4E61"/>
    <w:rsid w:val="00CB4E7D"/>
    <w:rsid w:val="00CB4E85"/>
    <w:rsid w:val="00CB4EA0"/>
    <w:rsid w:val="00CB4F1D"/>
    <w:rsid w:val="00CB4F84"/>
    <w:rsid w:val="00CB4F96"/>
    <w:rsid w:val="00CB5036"/>
    <w:rsid w:val="00CB5086"/>
    <w:rsid w:val="00CB50CA"/>
    <w:rsid w:val="00CB50F4"/>
    <w:rsid w:val="00CB512D"/>
    <w:rsid w:val="00CB5142"/>
    <w:rsid w:val="00CB514D"/>
    <w:rsid w:val="00CB5155"/>
    <w:rsid w:val="00CB516D"/>
    <w:rsid w:val="00CB5177"/>
    <w:rsid w:val="00CB5190"/>
    <w:rsid w:val="00CB51BE"/>
    <w:rsid w:val="00CB5276"/>
    <w:rsid w:val="00CB529E"/>
    <w:rsid w:val="00CB52F8"/>
    <w:rsid w:val="00CB5307"/>
    <w:rsid w:val="00CB5313"/>
    <w:rsid w:val="00CB5320"/>
    <w:rsid w:val="00CB537B"/>
    <w:rsid w:val="00CB539D"/>
    <w:rsid w:val="00CB53C5"/>
    <w:rsid w:val="00CB53ED"/>
    <w:rsid w:val="00CB5464"/>
    <w:rsid w:val="00CB548E"/>
    <w:rsid w:val="00CB54B1"/>
    <w:rsid w:val="00CB54E5"/>
    <w:rsid w:val="00CB5580"/>
    <w:rsid w:val="00CB558A"/>
    <w:rsid w:val="00CB55C4"/>
    <w:rsid w:val="00CB55F2"/>
    <w:rsid w:val="00CB56CB"/>
    <w:rsid w:val="00CB56FC"/>
    <w:rsid w:val="00CB5709"/>
    <w:rsid w:val="00CB5719"/>
    <w:rsid w:val="00CB5723"/>
    <w:rsid w:val="00CB57F4"/>
    <w:rsid w:val="00CB584B"/>
    <w:rsid w:val="00CB5850"/>
    <w:rsid w:val="00CB5856"/>
    <w:rsid w:val="00CB58AF"/>
    <w:rsid w:val="00CB593D"/>
    <w:rsid w:val="00CB5975"/>
    <w:rsid w:val="00CB59A7"/>
    <w:rsid w:val="00CB5AF7"/>
    <w:rsid w:val="00CB5B01"/>
    <w:rsid w:val="00CB5B46"/>
    <w:rsid w:val="00CB5B73"/>
    <w:rsid w:val="00CB5B9D"/>
    <w:rsid w:val="00CB5B9E"/>
    <w:rsid w:val="00CB5C09"/>
    <w:rsid w:val="00CB5C12"/>
    <w:rsid w:val="00CB5C25"/>
    <w:rsid w:val="00CB5C41"/>
    <w:rsid w:val="00CB5CAE"/>
    <w:rsid w:val="00CB5CC3"/>
    <w:rsid w:val="00CB5CDD"/>
    <w:rsid w:val="00CB5D0A"/>
    <w:rsid w:val="00CB5D27"/>
    <w:rsid w:val="00CB5D30"/>
    <w:rsid w:val="00CB5D38"/>
    <w:rsid w:val="00CB5D3B"/>
    <w:rsid w:val="00CB5D44"/>
    <w:rsid w:val="00CB5D45"/>
    <w:rsid w:val="00CB5D7D"/>
    <w:rsid w:val="00CB5D8E"/>
    <w:rsid w:val="00CB5E46"/>
    <w:rsid w:val="00CB5EAE"/>
    <w:rsid w:val="00CB5F3B"/>
    <w:rsid w:val="00CB5F3F"/>
    <w:rsid w:val="00CB5F43"/>
    <w:rsid w:val="00CB5FF9"/>
    <w:rsid w:val="00CB602A"/>
    <w:rsid w:val="00CB6039"/>
    <w:rsid w:val="00CB6049"/>
    <w:rsid w:val="00CB604E"/>
    <w:rsid w:val="00CB60AD"/>
    <w:rsid w:val="00CB60B4"/>
    <w:rsid w:val="00CB61B3"/>
    <w:rsid w:val="00CB61DC"/>
    <w:rsid w:val="00CB61F6"/>
    <w:rsid w:val="00CB6231"/>
    <w:rsid w:val="00CB628F"/>
    <w:rsid w:val="00CB62BF"/>
    <w:rsid w:val="00CB62F5"/>
    <w:rsid w:val="00CB6303"/>
    <w:rsid w:val="00CB6309"/>
    <w:rsid w:val="00CB6310"/>
    <w:rsid w:val="00CB6324"/>
    <w:rsid w:val="00CB6329"/>
    <w:rsid w:val="00CB6340"/>
    <w:rsid w:val="00CB6389"/>
    <w:rsid w:val="00CB63AD"/>
    <w:rsid w:val="00CB63CD"/>
    <w:rsid w:val="00CB6477"/>
    <w:rsid w:val="00CB647E"/>
    <w:rsid w:val="00CB648A"/>
    <w:rsid w:val="00CB64A8"/>
    <w:rsid w:val="00CB64C1"/>
    <w:rsid w:val="00CB64EF"/>
    <w:rsid w:val="00CB6520"/>
    <w:rsid w:val="00CB6538"/>
    <w:rsid w:val="00CB6550"/>
    <w:rsid w:val="00CB65E5"/>
    <w:rsid w:val="00CB65FC"/>
    <w:rsid w:val="00CB6642"/>
    <w:rsid w:val="00CB66FF"/>
    <w:rsid w:val="00CB6715"/>
    <w:rsid w:val="00CB6721"/>
    <w:rsid w:val="00CB6735"/>
    <w:rsid w:val="00CB6797"/>
    <w:rsid w:val="00CB67C2"/>
    <w:rsid w:val="00CB67CA"/>
    <w:rsid w:val="00CB67EE"/>
    <w:rsid w:val="00CB67F0"/>
    <w:rsid w:val="00CB683A"/>
    <w:rsid w:val="00CB68CE"/>
    <w:rsid w:val="00CB68D3"/>
    <w:rsid w:val="00CB6908"/>
    <w:rsid w:val="00CB6940"/>
    <w:rsid w:val="00CB69C4"/>
    <w:rsid w:val="00CB6A10"/>
    <w:rsid w:val="00CB6A1A"/>
    <w:rsid w:val="00CB6A50"/>
    <w:rsid w:val="00CB6A63"/>
    <w:rsid w:val="00CB6AB5"/>
    <w:rsid w:val="00CB6AE2"/>
    <w:rsid w:val="00CB6B6D"/>
    <w:rsid w:val="00CB6B75"/>
    <w:rsid w:val="00CB6BA2"/>
    <w:rsid w:val="00CB6BCF"/>
    <w:rsid w:val="00CB6BF8"/>
    <w:rsid w:val="00CB6C15"/>
    <w:rsid w:val="00CB6C1C"/>
    <w:rsid w:val="00CB6C22"/>
    <w:rsid w:val="00CB6C8B"/>
    <w:rsid w:val="00CB6CAB"/>
    <w:rsid w:val="00CB6CAF"/>
    <w:rsid w:val="00CB6CD3"/>
    <w:rsid w:val="00CB6CD4"/>
    <w:rsid w:val="00CB6D21"/>
    <w:rsid w:val="00CB6E6A"/>
    <w:rsid w:val="00CB6E7B"/>
    <w:rsid w:val="00CB6EC4"/>
    <w:rsid w:val="00CB6F0F"/>
    <w:rsid w:val="00CB6F48"/>
    <w:rsid w:val="00CB6F5F"/>
    <w:rsid w:val="00CB6FAB"/>
    <w:rsid w:val="00CB6FB2"/>
    <w:rsid w:val="00CB6FCF"/>
    <w:rsid w:val="00CB6FE1"/>
    <w:rsid w:val="00CB6FFB"/>
    <w:rsid w:val="00CB7026"/>
    <w:rsid w:val="00CB7061"/>
    <w:rsid w:val="00CB7085"/>
    <w:rsid w:val="00CB70FA"/>
    <w:rsid w:val="00CB7118"/>
    <w:rsid w:val="00CB712B"/>
    <w:rsid w:val="00CB71A4"/>
    <w:rsid w:val="00CB7203"/>
    <w:rsid w:val="00CB7279"/>
    <w:rsid w:val="00CB727B"/>
    <w:rsid w:val="00CB7291"/>
    <w:rsid w:val="00CB736F"/>
    <w:rsid w:val="00CB7407"/>
    <w:rsid w:val="00CB7408"/>
    <w:rsid w:val="00CB7419"/>
    <w:rsid w:val="00CB741A"/>
    <w:rsid w:val="00CB7424"/>
    <w:rsid w:val="00CB7561"/>
    <w:rsid w:val="00CB759F"/>
    <w:rsid w:val="00CB75BA"/>
    <w:rsid w:val="00CB761E"/>
    <w:rsid w:val="00CB7657"/>
    <w:rsid w:val="00CB7665"/>
    <w:rsid w:val="00CB7675"/>
    <w:rsid w:val="00CB76BF"/>
    <w:rsid w:val="00CB76FE"/>
    <w:rsid w:val="00CB7712"/>
    <w:rsid w:val="00CB773B"/>
    <w:rsid w:val="00CB7745"/>
    <w:rsid w:val="00CB77AB"/>
    <w:rsid w:val="00CB77B8"/>
    <w:rsid w:val="00CB77D2"/>
    <w:rsid w:val="00CB781D"/>
    <w:rsid w:val="00CB7871"/>
    <w:rsid w:val="00CB7877"/>
    <w:rsid w:val="00CB7878"/>
    <w:rsid w:val="00CB78B2"/>
    <w:rsid w:val="00CB78DC"/>
    <w:rsid w:val="00CB7939"/>
    <w:rsid w:val="00CB7960"/>
    <w:rsid w:val="00CB7974"/>
    <w:rsid w:val="00CB79B7"/>
    <w:rsid w:val="00CB79BD"/>
    <w:rsid w:val="00CB79EE"/>
    <w:rsid w:val="00CB7A1D"/>
    <w:rsid w:val="00CB7A26"/>
    <w:rsid w:val="00CB7A34"/>
    <w:rsid w:val="00CB7A51"/>
    <w:rsid w:val="00CB7A74"/>
    <w:rsid w:val="00CB7A81"/>
    <w:rsid w:val="00CB7AD1"/>
    <w:rsid w:val="00CB7B27"/>
    <w:rsid w:val="00CB7B2A"/>
    <w:rsid w:val="00CB7B4A"/>
    <w:rsid w:val="00CB7B66"/>
    <w:rsid w:val="00CB7B70"/>
    <w:rsid w:val="00CB7BA9"/>
    <w:rsid w:val="00CB7BF5"/>
    <w:rsid w:val="00CB7C4F"/>
    <w:rsid w:val="00CB7CAC"/>
    <w:rsid w:val="00CB7CAE"/>
    <w:rsid w:val="00CB7CCD"/>
    <w:rsid w:val="00CB7CDA"/>
    <w:rsid w:val="00CB7CEA"/>
    <w:rsid w:val="00CB7D1C"/>
    <w:rsid w:val="00CB7D5B"/>
    <w:rsid w:val="00CB7D6E"/>
    <w:rsid w:val="00CB7DA6"/>
    <w:rsid w:val="00CB7DDD"/>
    <w:rsid w:val="00CB7E14"/>
    <w:rsid w:val="00CB7E3D"/>
    <w:rsid w:val="00CB7E62"/>
    <w:rsid w:val="00CB7E9C"/>
    <w:rsid w:val="00CB7EC0"/>
    <w:rsid w:val="00CB7EC1"/>
    <w:rsid w:val="00CB7F51"/>
    <w:rsid w:val="00CB7F76"/>
    <w:rsid w:val="00CB7F8D"/>
    <w:rsid w:val="00CB7FC4"/>
    <w:rsid w:val="00CB7FEF"/>
    <w:rsid w:val="00CC0005"/>
    <w:rsid w:val="00CC000F"/>
    <w:rsid w:val="00CC0019"/>
    <w:rsid w:val="00CC001A"/>
    <w:rsid w:val="00CC008A"/>
    <w:rsid w:val="00CC0099"/>
    <w:rsid w:val="00CC0111"/>
    <w:rsid w:val="00CC0196"/>
    <w:rsid w:val="00CC01C9"/>
    <w:rsid w:val="00CC0218"/>
    <w:rsid w:val="00CC029C"/>
    <w:rsid w:val="00CC02C0"/>
    <w:rsid w:val="00CC02D7"/>
    <w:rsid w:val="00CC0379"/>
    <w:rsid w:val="00CC037D"/>
    <w:rsid w:val="00CC03C6"/>
    <w:rsid w:val="00CC03E3"/>
    <w:rsid w:val="00CC03EC"/>
    <w:rsid w:val="00CC0414"/>
    <w:rsid w:val="00CC042B"/>
    <w:rsid w:val="00CC049C"/>
    <w:rsid w:val="00CC04B3"/>
    <w:rsid w:val="00CC04BF"/>
    <w:rsid w:val="00CC04DA"/>
    <w:rsid w:val="00CC052E"/>
    <w:rsid w:val="00CC0539"/>
    <w:rsid w:val="00CC05BB"/>
    <w:rsid w:val="00CC05BC"/>
    <w:rsid w:val="00CC05D9"/>
    <w:rsid w:val="00CC061F"/>
    <w:rsid w:val="00CC0634"/>
    <w:rsid w:val="00CC0652"/>
    <w:rsid w:val="00CC0666"/>
    <w:rsid w:val="00CC0692"/>
    <w:rsid w:val="00CC06B9"/>
    <w:rsid w:val="00CC070C"/>
    <w:rsid w:val="00CC07E7"/>
    <w:rsid w:val="00CC0806"/>
    <w:rsid w:val="00CC080E"/>
    <w:rsid w:val="00CC082B"/>
    <w:rsid w:val="00CC088F"/>
    <w:rsid w:val="00CC0894"/>
    <w:rsid w:val="00CC08B6"/>
    <w:rsid w:val="00CC08C8"/>
    <w:rsid w:val="00CC08CB"/>
    <w:rsid w:val="00CC08D8"/>
    <w:rsid w:val="00CC08DE"/>
    <w:rsid w:val="00CC0941"/>
    <w:rsid w:val="00CC0950"/>
    <w:rsid w:val="00CC0A00"/>
    <w:rsid w:val="00CC0A02"/>
    <w:rsid w:val="00CC0A6B"/>
    <w:rsid w:val="00CC0A79"/>
    <w:rsid w:val="00CC0A7F"/>
    <w:rsid w:val="00CC0AE5"/>
    <w:rsid w:val="00CC0B7E"/>
    <w:rsid w:val="00CC0B88"/>
    <w:rsid w:val="00CC0BDF"/>
    <w:rsid w:val="00CC0BF3"/>
    <w:rsid w:val="00CC0BFC"/>
    <w:rsid w:val="00CC0C56"/>
    <w:rsid w:val="00CC0CBF"/>
    <w:rsid w:val="00CC0CCF"/>
    <w:rsid w:val="00CC0D48"/>
    <w:rsid w:val="00CC0D53"/>
    <w:rsid w:val="00CC0D76"/>
    <w:rsid w:val="00CC0E36"/>
    <w:rsid w:val="00CC0E3E"/>
    <w:rsid w:val="00CC0F8C"/>
    <w:rsid w:val="00CC0FC7"/>
    <w:rsid w:val="00CC0FD1"/>
    <w:rsid w:val="00CC0FE2"/>
    <w:rsid w:val="00CC0FE4"/>
    <w:rsid w:val="00CC0FE7"/>
    <w:rsid w:val="00CC0FF4"/>
    <w:rsid w:val="00CC1002"/>
    <w:rsid w:val="00CC103E"/>
    <w:rsid w:val="00CC104B"/>
    <w:rsid w:val="00CC1075"/>
    <w:rsid w:val="00CC10CE"/>
    <w:rsid w:val="00CC1124"/>
    <w:rsid w:val="00CC1194"/>
    <w:rsid w:val="00CC11AC"/>
    <w:rsid w:val="00CC11C5"/>
    <w:rsid w:val="00CC11D1"/>
    <w:rsid w:val="00CC11E8"/>
    <w:rsid w:val="00CC1203"/>
    <w:rsid w:val="00CC121C"/>
    <w:rsid w:val="00CC1220"/>
    <w:rsid w:val="00CC1227"/>
    <w:rsid w:val="00CC1237"/>
    <w:rsid w:val="00CC1249"/>
    <w:rsid w:val="00CC1276"/>
    <w:rsid w:val="00CC1349"/>
    <w:rsid w:val="00CC138E"/>
    <w:rsid w:val="00CC13C5"/>
    <w:rsid w:val="00CC13DB"/>
    <w:rsid w:val="00CC141C"/>
    <w:rsid w:val="00CC142E"/>
    <w:rsid w:val="00CC1431"/>
    <w:rsid w:val="00CC1439"/>
    <w:rsid w:val="00CC143A"/>
    <w:rsid w:val="00CC1472"/>
    <w:rsid w:val="00CC14D5"/>
    <w:rsid w:val="00CC1502"/>
    <w:rsid w:val="00CC1503"/>
    <w:rsid w:val="00CC1509"/>
    <w:rsid w:val="00CC150E"/>
    <w:rsid w:val="00CC155D"/>
    <w:rsid w:val="00CC1579"/>
    <w:rsid w:val="00CC1699"/>
    <w:rsid w:val="00CC16AA"/>
    <w:rsid w:val="00CC16CC"/>
    <w:rsid w:val="00CC16F5"/>
    <w:rsid w:val="00CC16F6"/>
    <w:rsid w:val="00CC1773"/>
    <w:rsid w:val="00CC1799"/>
    <w:rsid w:val="00CC17E9"/>
    <w:rsid w:val="00CC17EE"/>
    <w:rsid w:val="00CC183D"/>
    <w:rsid w:val="00CC18AD"/>
    <w:rsid w:val="00CC18BB"/>
    <w:rsid w:val="00CC18CC"/>
    <w:rsid w:val="00CC1900"/>
    <w:rsid w:val="00CC190A"/>
    <w:rsid w:val="00CC1919"/>
    <w:rsid w:val="00CC193C"/>
    <w:rsid w:val="00CC193D"/>
    <w:rsid w:val="00CC195C"/>
    <w:rsid w:val="00CC1963"/>
    <w:rsid w:val="00CC199D"/>
    <w:rsid w:val="00CC19BB"/>
    <w:rsid w:val="00CC19F3"/>
    <w:rsid w:val="00CC1A04"/>
    <w:rsid w:val="00CC1B1B"/>
    <w:rsid w:val="00CC1B25"/>
    <w:rsid w:val="00CC1B48"/>
    <w:rsid w:val="00CC1B68"/>
    <w:rsid w:val="00CC1BA6"/>
    <w:rsid w:val="00CC1BCC"/>
    <w:rsid w:val="00CC1C0B"/>
    <w:rsid w:val="00CC1C4E"/>
    <w:rsid w:val="00CC1CD5"/>
    <w:rsid w:val="00CC1D2D"/>
    <w:rsid w:val="00CC1D3E"/>
    <w:rsid w:val="00CC1D5E"/>
    <w:rsid w:val="00CC1DB0"/>
    <w:rsid w:val="00CC1DDF"/>
    <w:rsid w:val="00CC1E28"/>
    <w:rsid w:val="00CC1E71"/>
    <w:rsid w:val="00CC1EBB"/>
    <w:rsid w:val="00CC1EC8"/>
    <w:rsid w:val="00CC1F6F"/>
    <w:rsid w:val="00CC1F89"/>
    <w:rsid w:val="00CC1FB1"/>
    <w:rsid w:val="00CC1FD8"/>
    <w:rsid w:val="00CC1FDC"/>
    <w:rsid w:val="00CC2031"/>
    <w:rsid w:val="00CC204D"/>
    <w:rsid w:val="00CC2072"/>
    <w:rsid w:val="00CC2089"/>
    <w:rsid w:val="00CC2097"/>
    <w:rsid w:val="00CC20DE"/>
    <w:rsid w:val="00CC2101"/>
    <w:rsid w:val="00CC214C"/>
    <w:rsid w:val="00CC216A"/>
    <w:rsid w:val="00CC2171"/>
    <w:rsid w:val="00CC2186"/>
    <w:rsid w:val="00CC21E1"/>
    <w:rsid w:val="00CC220F"/>
    <w:rsid w:val="00CC2254"/>
    <w:rsid w:val="00CC2295"/>
    <w:rsid w:val="00CC2332"/>
    <w:rsid w:val="00CC235A"/>
    <w:rsid w:val="00CC23CE"/>
    <w:rsid w:val="00CC23EB"/>
    <w:rsid w:val="00CC2444"/>
    <w:rsid w:val="00CC2476"/>
    <w:rsid w:val="00CC247A"/>
    <w:rsid w:val="00CC249C"/>
    <w:rsid w:val="00CC24A8"/>
    <w:rsid w:val="00CC258F"/>
    <w:rsid w:val="00CC25C6"/>
    <w:rsid w:val="00CC260F"/>
    <w:rsid w:val="00CC2630"/>
    <w:rsid w:val="00CC2631"/>
    <w:rsid w:val="00CC2656"/>
    <w:rsid w:val="00CC2675"/>
    <w:rsid w:val="00CC26BF"/>
    <w:rsid w:val="00CC26D8"/>
    <w:rsid w:val="00CC26F8"/>
    <w:rsid w:val="00CC270C"/>
    <w:rsid w:val="00CC2716"/>
    <w:rsid w:val="00CC2718"/>
    <w:rsid w:val="00CC2817"/>
    <w:rsid w:val="00CC2830"/>
    <w:rsid w:val="00CC283D"/>
    <w:rsid w:val="00CC28CB"/>
    <w:rsid w:val="00CC293C"/>
    <w:rsid w:val="00CC2962"/>
    <w:rsid w:val="00CC296E"/>
    <w:rsid w:val="00CC29A9"/>
    <w:rsid w:val="00CC29D4"/>
    <w:rsid w:val="00CC2A0F"/>
    <w:rsid w:val="00CC2A3F"/>
    <w:rsid w:val="00CC2AE8"/>
    <w:rsid w:val="00CC2AF0"/>
    <w:rsid w:val="00CC2B6B"/>
    <w:rsid w:val="00CC2B91"/>
    <w:rsid w:val="00CC2BA9"/>
    <w:rsid w:val="00CC2C37"/>
    <w:rsid w:val="00CC2C8E"/>
    <w:rsid w:val="00CC2CAA"/>
    <w:rsid w:val="00CC2CD0"/>
    <w:rsid w:val="00CC2CD9"/>
    <w:rsid w:val="00CC2D6F"/>
    <w:rsid w:val="00CC2DF6"/>
    <w:rsid w:val="00CC2E29"/>
    <w:rsid w:val="00CC2E5A"/>
    <w:rsid w:val="00CC2ED5"/>
    <w:rsid w:val="00CC2EED"/>
    <w:rsid w:val="00CC2F17"/>
    <w:rsid w:val="00CC2F2B"/>
    <w:rsid w:val="00CC2F2F"/>
    <w:rsid w:val="00CC2F5F"/>
    <w:rsid w:val="00CC2FA6"/>
    <w:rsid w:val="00CC3081"/>
    <w:rsid w:val="00CC30BB"/>
    <w:rsid w:val="00CC30EA"/>
    <w:rsid w:val="00CC3187"/>
    <w:rsid w:val="00CC318D"/>
    <w:rsid w:val="00CC3194"/>
    <w:rsid w:val="00CC31DF"/>
    <w:rsid w:val="00CC3253"/>
    <w:rsid w:val="00CC325B"/>
    <w:rsid w:val="00CC328D"/>
    <w:rsid w:val="00CC328E"/>
    <w:rsid w:val="00CC32A8"/>
    <w:rsid w:val="00CC32B0"/>
    <w:rsid w:val="00CC32FC"/>
    <w:rsid w:val="00CC330A"/>
    <w:rsid w:val="00CC332D"/>
    <w:rsid w:val="00CC3396"/>
    <w:rsid w:val="00CC33BB"/>
    <w:rsid w:val="00CC3400"/>
    <w:rsid w:val="00CC34B1"/>
    <w:rsid w:val="00CC34BB"/>
    <w:rsid w:val="00CC353D"/>
    <w:rsid w:val="00CC3546"/>
    <w:rsid w:val="00CC360F"/>
    <w:rsid w:val="00CC3649"/>
    <w:rsid w:val="00CC3651"/>
    <w:rsid w:val="00CC3667"/>
    <w:rsid w:val="00CC36B8"/>
    <w:rsid w:val="00CC36C1"/>
    <w:rsid w:val="00CC36CB"/>
    <w:rsid w:val="00CC36EB"/>
    <w:rsid w:val="00CC36F0"/>
    <w:rsid w:val="00CC36F6"/>
    <w:rsid w:val="00CC373E"/>
    <w:rsid w:val="00CC374A"/>
    <w:rsid w:val="00CC37C4"/>
    <w:rsid w:val="00CC383C"/>
    <w:rsid w:val="00CC388F"/>
    <w:rsid w:val="00CC38A2"/>
    <w:rsid w:val="00CC38EF"/>
    <w:rsid w:val="00CC39A0"/>
    <w:rsid w:val="00CC39C4"/>
    <w:rsid w:val="00CC3A00"/>
    <w:rsid w:val="00CC3A59"/>
    <w:rsid w:val="00CC3A69"/>
    <w:rsid w:val="00CC3A7A"/>
    <w:rsid w:val="00CC3ADD"/>
    <w:rsid w:val="00CC3B12"/>
    <w:rsid w:val="00CC3BA5"/>
    <w:rsid w:val="00CC3C00"/>
    <w:rsid w:val="00CC3C25"/>
    <w:rsid w:val="00CC3C42"/>
    <w:rsid w:val="00CC3C49"/>
    <w:rsid w:val="00CC3C53"/>
    <w:rsid w:val="00CC3C8A"/>
    <w:rsid w:val="00CC3D4F"/>
    <w:rsid w:val="00CC3DC7"/>
    <w:rsid w:val="00CC3E0F"/>
    <w:rsid w:val="00CC3E24"/>
    <w:rsid w:val="00CC3E68"/>
    <w:rsid w:val="00CC3EE5"/>
    <w:rsid w:val="00CC3F13"/>
    <w:rsid w:val="00CC3F4A"/>
    <w:rsid w:val="00CC3F58"/>
    <w:rsid w:val="00CC3F75"/>
    <w:rsid w:val="00CC3F7A"/>
    <w:rsid w:val="00CC3F89"/>
    <w:rsid w:val="00CC4067"/>
    <w:rsid w:val="00CC4078"/>
    <w:rsid w:val="00CC4088"/>
    <w:rsid w:val="00CC4159"/>
    <w:rsid w:val="00CC4163"/>
    <w:rsid w:val="00CC4169"/>
    <w:rsid w:val="00CC4187"/>
    <w:rsid w:val="00CC419A"/>
    <w:rsid w:val="00CC41C4"/>
    <w:rsid w:val="00CC4207"/>
    <w:rsid w:val="00CC4262"/>
    <w:rsid w:val="00CC4286"/>
    <w:rsid w:val="00CC42A1"/>
    <w:rsid w:val="00CC42DC"/>
    <w:rsid w:val="00CC4303"/>
    <w:rsid w:val="00CC4325"/>
    <w:rsid w:val="00CC434B"/>
    <w:rsid w:val="00CC4359"/>
    <w:rsid w:val="00CC4363"/>
    <w:rsid w:val="00CC4376"/>
    <w:rsid w:val="00CC4379"/>
    <w:rsid w:val="00CC43BC"/>
    <w:rsid w:val="00CC444B"/>
    <w:rsid w:val="00CC446A"/>
    <w:rsid w:val="00CC4485"/>
    <w:rsid w:val="00CC448C"/>
    <w:rsid w:val="00CC448F"/>
    <w:rsid w:val="00CC44BD"/>
    <w:rsid w:val="00CC44D9"/>
    <w:rsid w:val="00CC44DB"/>
    <w:rsid w:val="00CC451A"/>
    <w:rsid w:val="00CC4548"/>
    <w:rsid w:val="00CC456D"/>
    <w:rsid w:val="00CC45FC"/>
    <w:rsid w:val="00CC4682"/>
    <w:rsid w:val="00CC46C9"/>
    <w:rsid w:val="00CC4721"/>
    <w:rsid w:val="00CC4745"/>
    <w:rsid w:val="00CC4785"/>
    <w:rsid w:val="00CC4801"/>
    <w:rsid w:val="00CC481A"/>
    <w:rsid w:val="00CC484E"/>
    <w:rsid w:val="00CC4895"/>
    <w:rsid w:val="00CC48CC"/>
    <w:rsid w:val="00CC48E9"/>
    <w:rsid w:val="00CC4905"/>
    <w:rsid w:val="00CC4A99"/>
    <w:rsid w:val="00CC4ADB"/>
    <w:rsid w:val="00CC4B35"/>
    <w:rsid w:val="00CC4B68"/>
    <w:rsid w:val="00CC4B6C"/>
    <w:rsid w:val="00CC4BB9"/>
    <w:rsid w:val="00CC4C7A"/>
    <w:rsid w:val="00CC4CA7"/>
    <w:rsid w:val="00CC4CB8"/>
    <w:rsid w:val="00CC4CBB"/>
    <w:rsid w:val="00CC4CFE"/>
    <w:rsid w:val="00CC4DBE"/>
    <w:rsid w:val="00CC4DE2"/>
    <w:rsid w:val="00CC4DFF"/>
    <w:rsid w:val="00CC4E15"/>
    <w:rsid w:val="00CC4E5A"/>
    <w:rsid w:val="00CC4E9F"/>
    <w:rsid w:val="00CC4EE7"/>
    <w:rsid w:val="00CC4EF9"/>
    <w:rsid w:val="00CC4F31"/>
    <w:rsid w:val="00CC4F5E"/>
    <w:rsid w:val="00CC4F8C"/>
    <w:rsid w:val="00CC4FB0"/>
    <w:rsid w:val="00CC4FE6"/>
    <w:rsid w:val="00CC5026"/>
    <w:rsid w:val="00CC5027"/>
    <w:rsid w:val="00CC5035"/>
    <w:rsid w:val="00CC503A"/>
    <w:rsid w:val="00CC5058"/>
    <w:rsid w:val="00CC505F"/>
    <w:rsid w:val="00CC507C"/>
    <w:rsid w:val="00CC5091"/>
    <w:rsid w:val="00CC50B4"/>
    <w:rsid w:val="00CC50E9"/>
    <w:rsid w:val="00CC5123"/>
    <w:rsid w:val="00CC513E"/>
    <w:rsid w:val="00CC518D"/>
    <w:rsid w:val="00CC51AF"/>
    <w:rsid w:val="00CC5234"/>
    <w:rsid w:val="00CC5239"/>
    <w:rsid w:val="00CC5267"/>
    <w:rsid w:val="00CC5294"/>
    <w:rsid w:val="00CC52A9"/>
    <w:rsid w:val="00CC52AA"/>
    <w:rsid w:val="00CC52F1"/>
    <w:rsid w:val="00CC52F4"/>
    <w:rsid w:val="00CC53D1"/>
    <w:rsid w:val="00CC5486"/>
    <w:rsid w:val="00CC54EF"/>
    <w:rsid w:val="00CC54F5"/>
    <w:rsid w:val="00CC5545"/>
    <w:rsid w:val="00CC55A1"/>
    <w:rsid w:val="00CC562B"/>
    <w:rsid w:val="00CC56EF"/>
    <w:rsid w:val="00CC573F"/>
    <w:rsid w:val="00CC5748"/>
    <w:rsid w:val="00CC576B"/>
    <w:rsid w:val="00CC5776"/>
    <w:rsid w:val="00CC57BD"/>
    <w:rsid w:val="00CC57C4"/>
    <w:rsid w:val="00CC57F0"/>
    <w:rsid w:val="00CC5833"/>
    <w:rsid w:val="00CC5898"/>
    <w:rsid w:val="00CC58A0"/>
    <w:rsid w:val="00CC58B4"/>
    <w:rsid w:val="00CC58BD"/>
    <w:rsid w:val="00CC5944"/>
    <w:rsid w:val="00CC59A5"/>
    <w:rsid w:val="00CC59B1"/>
    <w:rsid w:val="00CC5A17"/>
    <w:rsid w:val="00CC5A46"/>
    <w:rsid w:val="00CC5A61"/>
    <w:rsid w:val="00CC5AAC"/>
    <w:rsid w:val="00CC5AC0"/>
    <w:rsid w:val="00CC5B77"/>
    <w:rsid w:val="00CC5BC3"/>
    <w:rsid w:val="00CC5BD8"/>
    <w:rsid w:val="00CC5BE5"/>
    <w:rsid w:val="00CC5BE7"/>
    <w:rsid w:val="00CC5BFC"/>
    <w:rsid w:val="00CC5C03"/>
    <w:rsid w:val="00CC5C10"/>
    <w:rsid w:val="00CC5C2F"/>
    <w:rsid w:val="00CC5CA3"/>
    <w:rsid w:val="00CC5CC7"/>
    <w:rsid w:val="00CC5D2D"/>
    <w:rsid w:val="00CC5D2F"/>
    <w:rsid w:val="00CC5D34"/>
    <w:rsid w:val="00CC5D59"/>
    <w:rsid w:val="00CC5D7F"/>
    <w:rsid w:val="00CC5DD4"/>
    <w:rsid w:val="00CC5E01"/>
    <w:rsid w:val="00CC5EC8"/>
    <w:rsid w:val="00CC5EED"/>
    <w:rsid w:val="00CC5EFB"/>
    <w:rsid w:val="00CC5F28"/>
    <w:rsid w:val="00CC5FAC"/>
    <w:rsid w:val="00CC5FF5"/>
    <w:rsid w:val="00CC6043"/>
    <w:rsid w:val="00CC60AB"/>
    <w:rsid w:val="00CC60EB"/>
    <w:rsid w:val="00CC6104"/>
    <w:rsid w:val="00CC6163"/>
    <w:rsid w:val="00CC6164"/>
    <w:rsid w:val="00CC618F"/>
    <w:rsid w:val="00CC61AE"/>
    <w:rsid w:val="00CC61D5"/>
    <w:rsid w:val="00CC620F"/>
    <w:rsid w:val="00CC6216"/>
    <w:rsid w:val="00CC622D"/>
    <w:rsid w:val="00CC6246"/>
    <w:rsid w:val="00CC6279"/>
    <w:rsid w:val="00CC62E0"/>
    <w:rsid w:val="00CC62ED"/>
    <w:rsid w:val="00CC62F9"/>
    <w:rsid w:val="00CC6317"/>
    <w:rsid w:val="00CC636A"/>
    <w:rsid w:val="00CC641A"/>
    <w:rsid w:val="00CC647A"/>
    <w:rsid w:val="00CC64E6"/>
    <w:rsid w:val="00CC652D"/>
    <w:rsid w:val="00CC6537"/>
    <w:rsid w:val="00CC6552"/>
    <w:rsid w:val="00CC6564"/>
    <w:rsid w:val="00CC6629"/>
    <w:rsid w:val="00CC6633"/>
    <w:rsid w:val="00CC666D"/>
    <w:rsid w:val="00CC6687"/>
    <w:rsid w:val="00CC66AA"/>
    <w:rsid w:val="00CC66BD"/>
    <w:rsid w:val="00CC6721"/>
    <w:rsid w:val="00CC6787"/>
    <w:rsid w:val="00CC67EE"/>
    <w:rsid w:val="00CC6829"/>
    <w:rsid w:val="00CC6830"/>
    <w:rsid w:val="00CC68D0"/>
    <w:rsid w:val="00CC68EE"/>
    <w:rsid w:val="00CC6900"/>
    <w:rsid w:val="00CC6971"/>
    <w:rsid w:val="00CC69AD"/>
    <w:rsid w:val="00CC6A13"/>
    <w:rsid w:val="00CC6A64"/>
    <w:rsid w:val="00CC6AE3"/>
    <w:rsid w:val="00CC6B0D"/>
    <w:rsid w:val="00CC6B2B"/>
    <w:rsid w:val="00CC6B40"/>
    <w:rsid w:val="00CC6BEB"/>
    <w:rsid w:val="00CC6C28"/>
    <w:rsid w:val="00CC6C72"/>
    <w:rsid w:val="00CC6C81"/>
    <w:rsid w:val="00CC6C97"/>
    <w:rsid w:val="00CC6CA4"/>
    <w:rsid w:val="00CC6CBF"/>
    <w:rsid w:val="00CC6D01"/>
    <w:rsid w:val="00CC6D2B"/>
    <w:rsid w:val="00CC6D9E"/>
    <w:rsid w:val="00CC6DB5"/>
    <w:rsid w:val="00CC6DE6"/>
    <w:rsid w:val="00CC6DFB"/>
    <w:rsid w:val="00CC6E5C"/>
    <w:rsid w:val="00CC6EE6"/>
    <w:rsid w:val="00CC6F02"/>
    <w:rsid w:val="00CC6F5B"/>
    <w:rsid w:val="00CC6FC4"/>
    <w:rsid w:val="00CC6FDC"/>
    <w:rsid w:val="00CC707C"/>
    <w:rsid w:val="00CC709B"/>
    <w:rsid w:val="00CC70CE"/>
    <w:rsid w:val="00CC7110"/>
    <w:rsid w:val="00CC7121"/>
    <w:rsid w:val="00CC712F"/>
    <w:rsid w:val="00CC716C"/>
    <w:rsid w:val="00CC71D9"/>
    <w:rsid w:val="00CC71E4"/>
    <w:rsid w:val="00CC729C"/>
    <w:rsid w:val="00CC72D6"/>
    <w:rsid w:val="00CC736B"/>
    <w:rsid w:val="00CC7407"/>
    <w:rsid w:val="00CC7422"/>
    <w:rsid w:val="00CC745E"/>
    <w:rsid w:val="00CC74A9"/>
    <w:rsid w:val="00CC7511"/>
    <w:rsid w:val="00CC7514"/>
    <w:rsid w:val="00CC7532"/>
    <w:rsid w:val="00CC7659"/>
    <w:rsid w:val="00CC768B"/>
    <w:rsid w:val="00CC76A2"/>
    <w:rsid w:val="00CC76B3"/>
    <w:rsid w:val="00CC76C8"/>
    <w:rsid w:val="00CC76EF"/>
    <w:rsid w:val="00CC76F6"/>
    <w:rsid w:val="00CC772C"/>
    <w:rsid w:val="00CC776D"/>
    <w:rsid w:val="00CC7780"/>
    <w:rsid w:val="00CC7798"/>
    <w:rsid w:val="00CC77A4"/>
    <w:rsid w:val="00CC77AA"/>
    <w:rsid w:val="00CC77E6"/>
    <w:rsid w:val="00CC77F8"/>
    <w:rsid w:val="00CC7815"/>
    <w:rsid w:val="00CC7820"/>
    <w:rsid w:val="00CC7845"/>
    <w:rsid w:val="00CC784F"/>
    <w:rsid w:val="00CC7861"/>
    <w:rsid w:val="00CC78D2"/>
    <w:rsid w:val="00CC78FC"/>
    <w:rsid w:val="00CC7914"/>
    <w:rsid w:val="00CC7992"/>
    <w:rsid w:val="00CC79F4"/>
    <w:rsid w:val="00CC7A36"/>
    <w:rsid w:val="00CC7A70"/>
    <w:rsid w:val="00CC7A9A"/>
    <w:rsid w:val="00CC7AB1"/>
    <w:rsid w:val="00CC7B36"/>
    <w:rsid w:val="00CC7B38"/>
    <w:rsid w:val="00CC7B66"/>
    <w:rsid w:val="00CC7B97"/>
    <w:rsid w:val="00CC7BF6"/>
    <w:rsid w:val="00CC7C17"/>
    <w:rsid w:val="00CC7C75"/>
    <w:rsid w:val="00CC7CAD"/>
    <w:rsid w:val="00CC7CF4"/>
    <w:rsid w:val="00CC7CFA"/>
    <w:rsid w:val="00CC7D20"/>
    <w:rsid w:val="00CC7D3A"/>
    <w:rsid w:val="00CC7D3E"/>
    <w:rsid w:val="00CC7E05"/>
    <w:rsid w:val="00CC7E3C"/>
    <w:rsid w:val="00CC7E53"/>
    <w:rsid w:val="00CC7EC0"/>
    <w:rsid w:val="00CC7ECC"/>
    <w:rsid w:val="00CC7ED7"/>
    <w:rsid w:val="00CC7F2A"/>
    <w:rsid w:val="00CC7F30"/>
    <w:rsid w:val="00CC7F78"/>
    <w:rsid w:val="00CC7F82"/>
    <w:rsid w:val="00CC7FA3"/>
    <w:rsid w:val="00CC7FA9"/>
    <w:rsid w:val="00CC7FDD"/>
    <w:rsid w:val="00CD003C"/>
    <w:rsid w:val="00CD0064"/>
    <w:rsid w:val="00CD0077"/>
    <w:rsid w:val="00CD0082"/>
    <w:rsid w:val="00CD00D9"/>
    <w:rsid w:val="00CD0124"/>
    <w:rsid w:val="00CD012B"/>
    <w:rsid w:val="00CD012C"/>
    <w:rsid w:val="00CD0144"/>
    <w:rsid w:val="00CD017E"/>
    <w:rsid w:val="00CD01E8"/>
    <w:rsid w:val="00CD01ED"/>
    <w:rsid w:val="00CD023B"/>
    <w:rsid w:val="00CD0262"/>
    <w:rsid w:val="00CD0275"/>
    <w:rsid w:val="00CD0298"/>
    <w:rsid w:val="00CD02C9"/>
    <w:rsid w:val="00CD02D8"/>
    <w:rsid w:val="00CD0306"/>
    <w:rsid w:val="00CD0351"/>
    <w:rsid w:val="00CD03A9"/>
    <w:rsid w:val="00CD03B4"/>
    <w:rsid w:val="00CD040A"/>
    <w:rsid w:val="00CD04A6"/>
    <w:rsid w:val="00CD04BD"/>
    <w:rsid w:val="00CD04E5"/>
    <w:rsid w:val="00CD0510"/>
    <w:rsid w:val="00CD053D"/>
    <w:rsid w:val="00CD053F"/>
    <w:rsid w:val="00CD0586"/>
    <w:rsid w:val="00CD0683"/>
    <w:rsid w:val="00CD06AB"/>
    <w:rsid w:val="00CD0721"/>
    <w:rsid w:val="00CD0784"/>
    <w:rsid w:val="00CD0791"/>
    <w:rsid w:val="00CD0801"/>
    <w:rsid w:val="00CD088D"/>
    <w:rsid w:val="00CD08CC"/>
    <w:rsid w:val="00CD0908"/>
    <w:rsid w:val="00CD0923"/>
    <w:rsid w:val="00CD096C"/>
    <w:rsid w:val="00CD09AE"/>
    <w:rsid w:val="00CD09CE"/>
    <w:rsid w:val="00CD09E2"/>
    <w:rsid w:val="00CD0A55"/>
    <w:rsid w:val="00CD0A9D"/>
    <w:rsid w:val="00CD0AA3"/>
    <w:rsid w:val="00CD0AC7"/>
    <w:rsid w:val="00CD0B00"/>
    <w:rsid w:val="00CD0B22"/>
    <w:rsid w:val="00CD0B59"/>
    <w:rsid w:val="00CD0B6F"/>
    <w:rsid w:val="00CD0B7D"/>
    <w:rsid w:val="00CD0C08"/>
    <w:rsid w:val="00CD0C0F"/>
    <w:rsid w:val="00CD0C4F"/>
    <w:rsid w:val="00CD0C8D"/>
    <w:rsid w:val="00CD0CA5"/>
    <w:rsid w:val="00CD0CA8"/>
    <w:rsid w:val="00CD0CB1"/>
    <w:rsid w:val="00CD0D38"/>
    <w:rsid w:val="00CD0D6B"/>
    <w:rsid w:val="00CD0E06"/>
    <w:rsid w:val="00CD0E10"/>
    <w:rsid w:val="00CD0E11"/>
    <w:rsid w:val="00CD0E2C"/>
    <w:rsid w:val="00CD0E51"/>
    <w:rsid w:val="00CD0F02"/>
    <w:rsid w:val="00CD0F34"/>
    <w:rsid w:val="00CD0F3F"/>
    <w:rsid w:val="00CD0F9B"/>
    <w:rsid w:val="00CD0FBB"/>
    <w:rsid w:val="00CD0FC6"/>
    <w:rsid w:val="00CD10EA"/>
    <w:rsid w:val="00CD10F7"/>
    <w:rsid w:val="00CD1160"/>
    <w:rsid w:val="00CD1161"/>
    <w:rsid w:val="00CD1170"/>
    <w:rsid w:val="00CD1184"/>
    <w:rsid w:val="00CD11C6"/>
    <w:rsid w:val="00CD1240"/>
    <w:rsid w:val="00CD126A"/>
    <w:rsid w:val="00CD1286"/>
    <w:rsid w:val="00CD12D4"/>
    <w:rsid w:val="00CD1347"/>
    <w:rsid w:val="00CD139D"/>
    <w:rsid w:val="00CD1452"/>
    <w:rsid w:val="00CD1469"/>
    <w:rsid w:val="00CD147C"/>
    <w:rsid w:val="00CD14B9"/>
    <w:rsid w:val="00CD14F4"/>
    <w:rsid w:val="00CD1542"/>
    <w:rsid w:val="00CD155A"/>
    <w:rsid w:val="00CD155B"/>
    <w:rsid w:val="00CD155D"/>
    <w:rsid w:val="00CD1596"/>
    <w:rsid w:val="00CD15AC"/>
    <w:rsid w:val="00CD15AD"/>
    <w:rsid w:val="00CD15D1"/>
    <w:rsid w:val="00CD15F0"/>
    <w:rsid w:val="00CD161A"/>
    <w:rsid w:val="00CD171B"/>
    <w:rsid w:val="00CD174A"/>
    <w:rsid w:val="00CD1768"/>
    <w:rsid w:val="00CD1789"/>
    <w:rsid w:val="00CD17D9"/>
    <w:rsid w:val="00CD18DB"/>
    <w:rsid w:val="00CD1944"/>
    <w:rsid w:val="00CD1967"/>
    <w:rsid w:val="00CD1977"/>
    <w:rsid w:val="00CD1994"/>
    <w:rsid w:val="00CD19CB"/>
    <w:rsid w:val="00CD19E8"/>
    <w:rsid w:val="00CD19ED"/>
    <w:rsid w:val="00CD1A14"/>
    <w:rsid w:val="00CD1A22"/>
    <w:rsid w:val="00CD1A39"/>
    <w:rsid w:val="00CD1AAA"/>
    <w:rsid w:val="00CD1AB9"/>
    <w:rsid w:val="00CD1AD0"/>
    <w:rsid w:val="00CD1B56"/>
    <w:rsid w:val="00CD1B84"/>
    <w:rsid w:val="00CD1B90"/>
    <w:rsid w:val="00CD1BB9"/>
    <w:rsid w:val="00CD1BEA"/>
    <w:rsid w:val="00CD1CAF"/>
    <w:rsid w:val="00CD1CE1"/>
    <w:rsid w:val="00CD1D3B"/>
    <w:rsid w:val="00CD1D58"/>
    <w:rsid w:val="00CD1DAA"/>
    <w:rsid w:val="00CD1E26"/>
    <w:rsid w:val="00CD1ED9"/>
    <w:rsid w:val="00CD1EEB"/>
    <w:rsid w:val="00CD1F06"/>
    <w:rsid w:val="00CD1F1B"/>
    <w:rsid w:val="00CD1F43"/>
    <w:rsid w:val="00CD1F6B"/>
    <w:rsid w:val="00CD1F7B"/>
    <w:rsid w:val="00CD1F93"/>
    <w:rsid w:val="00CD2077"/>
    <w:rsid w:val="00CD20DE"/>
    <w:rsid w:val="00CD20EE"/>
    <w:rsid w:val="00CD20F7"/>
    <w:rsid w:val="00CD2127"/>
    <w:rsid w:val="00CD2145"/>
    <w:rsid w:val="00CD21B5"/>
    <w:rsid w:val="00CD21DA"/>
    <w:rsid w:val="00CD2213"/>
    <w:rsid w:val="00CD2236"/>
    <w:rsid w:val="00CD224A"/>
    <w:rsid w:val="00CD22A4"/>
    <w:rsid w:val="00CD236B"/>
    <w:rsid w:val="00CD239D"/>
    <w:rsid w:val="00CD23BD"/>
    <w:rsid w:val="00CD23F0"/>
    <w:rsid w:val="00CD241C"/>
    <w:rsid w:val="00CD243E"/>
    <w:rsid w:val="00CD244A"/>
    <w:rsid w:val="00CD24B8"/>
    <w:rsid w:val="00CD24DA"/>
    <w:rsid w:val="00CD24DE"/>
    <w:rsid w:val="00CD2563"/>
    <w:rsid w:val="00CD2581"/>
    <w:rsid w:val="00CD25B8"/>
    <w:rsid w:val="00CD25BC"/>
    <w:rsid w:val="00CD25E9"/>
    <w:rsid w:val="00CD261E"/>
    <w:rsid w:val="00CD266D"/>
    <w:rsid w:val="00CD268E"/>
    <w:rsid w:val="00CD26C6"/>
    <w:rsid w:val="00CD26E6"/>
    <w:rsid w:val="00CD2733"/>
    <w:rsid w:val="00CD275F"/>
    <w:rsid w:val="00CD277E"/>
    <w:rsid w:val="00CD27A2"/>
    <w:rsid w:val="00CD2813"/>
    <w:rsid w:val="00CD281D"/>
    <w:rsid w:val="00CD281F"/>
    <w:rsid w:val="00CD2840"/>
    <w:rsid w:val="00CD289E"/>
    <w:rsid w:val="00CD28AD"/>
    <w:rsid w:val="00CD28F3"/>
    <w:rsid w:val="00CD2938"/>
    <w:rsid w:val="00CD2952"/>
    <w:rsid w:val="00CD2970"/>
    <w:rsid w:val="00CD297B"/>
    <w:rsid w:val="00CD29D1"/>
    <w:rsid w:val="00CD29D9"/>
    <w:rsid w:val="00CD29E3"/>
    <w:rsid w:val="00CD2AA0"/>
    <w:rsid w:val="00CD2AAF"/>
    <w:rsid w:val="00CD2AD7"/>
    <w:rsid w:val="00CD2ADC"/>
    <w:rsid w:val="00CD2BCD"/>
    <w:rsid w:val="00CD2C05"/>
    <w:rsid w:val="00CD2C0C"/>
    <w:rsid w:val="00CD2C21"/>
    <w:rsid w:val="00CD2C30"/>
    <w:rsid w:val="00CD2C4D"/>
    <w:rsid w:val="00CD2CA8"/>
    <w:rsid w:val="00CD2D0A"/>
    <w:rsid w:val="00CD2D14"/>
    <w:rsid w:val="00CD2D39"/>
    <w:rsid w:val="00CD2D57"/>
    <w:rsid w:val="00CD2DAD"/>
    <w:rsid w:val="00CD2DC5"/>
    <w:rsid w:val="00CD2DE8"/>
    <w:rsid w:val="00CD2E4E"/>
    <w:rsid w:val="00CD2E65"/>
    <w:rsid w:val="00CD2EC5"/>
    <w:rsid w:val="00CD2EFE"/>
    <w:rsid w:val="00CD2F66"/>
    <w:rsid w:val="00CD2F98"/>
    <w:rsid w:val="00CD3026"/>
    <w:rsid w:val="00CD306C"/>
    <w:rsid w:val="00CD3077"/>
    <w:rsid w:val="00CD308B"/>
    <w:rsid w:val="00CD30B1"/>
    <w:rsid w:val="00CD30F0"/>
    <w:rsid w:val="00CD3122"/>
    <w:rsid w:val="00CD3146"/>
    <w:rsid w:val="00CD31A3"/>
    <w:rsid w:val="00CD32B4"/>
    <w:rsid w:val="00CD32F1"/>
    <w:rsid w:val="00CD3317"/>
    <w:rsid w:val="00CD3363"/>
    <w:rsid w:val="00CD3377"/>
    <w:rsid w:val="00CD3389"/>
    <w:rsid w:val="00CD3397"/>
    <w:rsid w:val="00CD33A4"/>
    <w:rsid w:val="00CD33B8"/>
    <w:rsid w:val="00CD33E1"/>
    <w:rsid w:val="00CD3493"/>
    <w:rsid w:val="00CD353C"/>
    <w:rsid w:val="00CD3541"/>
    <w:rsid w:val="00CD3575"/>
    <w:rsid w:val="00CD3590"/>
    <w:rsid w:val="00CD35D2"/>
    <w:rsid w:val="00CD35E0"/>
    <w:rsid w:val="00CD35E7"/>
    <w:rsid w:val="00CD35EF"/>
    <w:rsid w:val="00CD35F0"/>
    <w:rsid w:val="00CD35FB"/>
    <w:rsid w:val="00CD363F"/>
    <w:rsid w:val="00CD3680"/>
    <w:rsid w:val="00CD3683"/>
    <w:rsid w:val="00CD36F1"/>
    <w:rsid w:val="00CD3725"/>
    <w:rsid w:val="00CD3750"/>
    <w:rsid w:val="00CD3760"/>
    <w:rsid w:val="00CD3806"/>
    <w:rsid w:val="00CD38C2"/>
    <w:rsid w:val="00CD38D8"/>
    <w:rsid w:val="00CD3908"/>
    <w:rsid w:val="00CD3920"/>
    <w:rsid w:val="00CD398D"/>
    <w:rsid w:val="00CD39E8"/>
    <w:rsid w:val="00CD39FA"/>
    <w:rsid w:val="00CD3A1A"/>
    <w:rsid w:val="00CD3A1D"/>
    <w:rsid w:val="00CD3A4D"/>
    <w:rsid w:val="00CD3A7B"/>
    <w:rsid w:val="00CD3AAD"/>
    <w:rsid w:val="00CD3AB7"/>
    <w:rsid w:val="00CD3AC7"/>
    <w:rsid w:val="00CD3AC9"/>
    <w:rsid w:val="00CD3ACF"/>
    <w:rsid w:val="00CD3AE5"/>
    <w:rsid w:val="00CD3AFB"/>
    <w:rsid w:val="00CD3B6D"/>
    <w:rsid w:val="00CD3BA3"/>
    <w:rsid w:val="00CD3BA5"/>
    <w:rsid w:val="00CD3BC8"/>
    <w:rsid w:val="00CD3BD9"/>
    <w:rsid w:val="00CD3C34"/>
    <w:rsid w:val="00CD3C9E"/>
    <w:rsid w:val="00CD3CB7"/>
    <w:rsid w:val="00CD3CF0"/>
    <w:rsid w:val="00CD3CFC"/>
    <w:rsid w:val="00CD3D0C"/>
    <w:rsid w:val="00CD3D33"/>
    <w:rsid w:val="00CD3D46"/>
    <w:rsid w:val="00CD3D70"/>
    <w:rsid w:val="00CD3D98"/>
    <w:rsid w:val="00CD3D9E"/>
    <w:rsid w:val="00CD3DCE"/>
    <w:rsid w:val="00CD3DF0"/>
    <w:rsid w:val="00CD3DFC"/>
    <w:rsid w:val="00CD3E15"/>
    <w:rsid w:val="00CD3E5A"/>
    <w:rsid w:val="00CD3E73"/>
    <w:rsid w:val="00CD3E79"/>
    <w:rsid w:val="00CD3E7E"/>
    <w:rsid w:val="00CD3E99"/>
    <w:rsid w:val="00CD3EC6"/>
    <w:rsid w:val="00CD3ECB"/>
    <w:rsid w:val="00CD3F18"/>
    <w:rsid w:val="00CD3FB5"/>
    <w:rsid w:val="00CD3FBD"/>
    <w:rsid w:val="00CD401B"/>
    <w:rsid w:val="00CD401D"/>
    <w:rsid w:val="00CD4024"/>
    <w:rsid w:val="00CD4028"/>
    <w:rsid w:val="00CD4043"/>
    <w:rsid w:val="00CD410F"/>
    <w:rsid w:val="00CD4158"/>
    <w:rsid w:val="00CD4261"/>
    <w:rsid w:val="00CD429B"/>
    <w:rsid w:val="00CD42DF"/>
    <w:rsid w:val="00CD42ED"/>
    <w:rsid w:val="00CD42FA"/>
    <w:rsid w:val="00CD4328"/>
    <w:rsid w:val="00CD4361"/>
    <w:rsid w:val="00CD4405"/>
    <w:rsid w:val="00CD4413"/>
    <w:rsid w:val="00CD444B"/>
    <w:rsid w:val="00CD44DA"/>
    <w:rsid w:val="00CD44EB"/>
    <w:rsid w:val="00CD4558"/>
    <w:rsid w:val="00CD4568"/>
    <w:rsid w:val="00CD45A4"/>
    <w:rsid w:val="00CD45D3"/>
    <w:rsid w:val="00CD4632"/>
    <w:rsid w:val="00CD4654"/>
    <w:rsid w:val="00CD4655"/>
    <w:rsid w:val="00CD465A"/>
    <w:rsid w:val="00CD46C5"/>
    <w:rsid w:val="00CD46CA"/>
    <w:rsid w:val="00CD46DB"/>
    <w:rsid w:val="00CD4733"/>
    <w:rsid w:val="00CD4796"/>
    <w:rsid w:val="00CD47E5"/>
    <w:rsid w:val="00CD48E9"/>
    <w:rsid w:val="00CD48F3"/>
    <w:rsid w:val="00CD4915"/>
    <w:rsid w:val="00CD496B"/>
    <w:rsid w:val="00CD497F"/>
    <w:rsid w:val="00CD49BF"/>
    <w:rsid w:val="00CD49E5"/>
    <w:rsid w:val="00CD49F3"/>
    <w:rsid w:val="00CD49FA"/>
    <w:rsid w:val="00CD4A27"/>
    <w:rsid w:val="00CD4AAF"/>
    <w:rsid w:val="00CD4B12"/>
    <w:rsid w:val="00CD4B44"/>
    <w:rsid w:val="00CD4BA4"/>
    <w:rsid w:val="00CD4BF7"/>
    <w:rsid w:val="00CD4BFE"/>
    <w:rsid w:val="00CD4C0E"/>
    <w:rsid w:val="00CD4C26"/>
    <w:rsid w:val="00CD4C4B"/>
    <w:rsid w:val="00CD4CF2"/>
    <w:rsid w:val="00CD4D2C"/>
    <w:rsid w:val="00CD4D3B"/>
    <w:rsid w:val="00CD4D3E"/>
    <w:rsid w:val="00CD4D84"/>
    <w:rsid w:val="00CD4DA3"/>
    <w:rsid w:val="00CD4DB8"/>
    <w:rsid w:val="00CD4DE7"/>
    <w:rsid w:val="00CD4DF1"/>
    <w:rsid w:val="00CD4DFA"/>
    <w:rsid w:val="00CD4DFC"/>
    <w:rsid w:val="00CD4E9B"/>
    <w:rsid w:val="00CD4EB9"/>
    <w:rsid w:val="00CD4EE4"/>
    <w:rsid w:val="00CD4F47"/>
    <w:rsid w:val="00CD4F4B"/>
    <w:rsid w:val="00CD4F85"/>
    <w:rsid w:val="00CD4FCE"/>
    <w:rsid w:val="00CD4FE1"/>
    <w:rsid w:val="00CD4FE3"/>
    <w:rsid w:val="00CD500A"/>
    <w:rsid w:val="00CD5042"/>
    <w:rsid w:val="00CD5087"/>
    <w:rsid w:val="00CD5097"/>
    <w:rsid w:val="00CD5149"/>
    <w:rsid w:val="00CD519E"/>
    <w:rsid w:val="00CD51A1"/>
    <w:rsid w:val="00CD51BF"/>
    <w:rsid w:val="00CD51CC"/>
    <w:rsid w:val="00CD51F5"/>
    <w:rsid w:val="00CD51FA"/>
    <w:rsid w:val="00CD521A"/>
    <w:rsid w:val="00CD522D"/>
    <w:rsid w:val="00CD5262"/>
    <w:rsid w:val="00CD52E9"/>
    <w:rsid w:val="00CD5390"/>
    <w:rsid w:val="00CD53AD"/>
    <w:rsid w:val="00CD53DF"/>
    <w:rsid w:val="00CD5407"/>
    <w:rsid w:val="00CD5477"/>
    <w:rsid w:val="00CD547A"/>
    <w:rsid w:val="00CD54A5"/>
    <w:rsid w:val="00CD54FD"/>
    <w:rsid w:val="00CD5536"/>
    <w:rsid w:val="00CD5554"/>
    <w:rsid w:val="00CD5565"/>
    <w:rsid w:val="00CD5569"/>
    <w:rsid w:val="00CD556D"/>
    <w:rsid w:val="00CD557E"/>
    <w:rsid w:val="00CD5587"/>
    <w:rsid w:val="00CD55DA"/>
    <w:rsid w:val="00CD5609"/>
    <w:rsid w:val="00CD560A"/>
    <w:rsid w:val="00CD563E"/>
    <w:rsid w:val="00CD5662"/>
    <w:rsid w:val="00CD5689"/>
    <w:rsid w:val="00CD56DD"/>
    <w:rsid w:val="00CD5706"/>
    <w:rsid w:val="00CD572A"/>
    <w:rsid w:val="00CD5788"/>
    <w:rsid w:val="00CD57F1"/>
    <w:rsid w:val="00CD5833"/>
    <w:rsid w:val="00CD5876"/>
    <w:rsid w:val="00CD594E"/>
    <w:rsid w:val="00CD59E7"/>
    <w:rsid w:val="00CD5AB6"/>
    <w:rsid w:val="00CD5B2A"/>
    <w:rsid w:val="00CD5B2B"/>
    <w:rsid w:val="00CD5B70"/>
    <w:rsid w:val="00CD5B98"/>
    <w:rsid w:val="00CD5C1E"/>
    <w:rsid w:val="00CD5C3A"/>
    <w:rsid w:val="00CD5CA2"/>
    <w:rsid w:val="00CD5CAF"/>
    <w:rsid w:val="00CD5CB7"/>
    <w:rsid w:val="00CD5CF5"/>
    <w:rsid w:val="00CD5D2C"/>
    <w:rsid w:val="00CD5D30"/>
    <w:rsid w:val="00CD5D32"/>
    <w:rsid w:val="00CD5D44"/>
    <w:rsid w:val="00CD5D4F"/>
    <w:rsid w:val="00CD5D60"/>
    <w:rsid w:val="00CD5DA1"/>
    <w:rsid w:val="00CD5DA9"/>
    <w:rsid w:val="00CD5DE6"/>
    <w:rsid w:val="00CD5E38"/>
    <w:rsid w:val="00CD5F1F"/>
    <w:rsid w:val="00CD5F26"/>
    <w:rsid w:val="00CD5F39"/>
    <w:rsid w:val="00CD5F56"/>
    <w:rsid w:val="00CD5F9D"/>
    <w:rsid w:val="00CD5FC7"/>
    <w:rsid w:val="00CD5FCF"/>
    <w:rsid w:val="00CD6004"/>
    <w:rsid w:val="00CD6047"/>
    <w:rsid w:val="00CD6052"/>
    <w:rsid w:val="00CD6091"/>
    <w:rsid w:val="00CD610F"/>
    <w:rsid w:val="00CD6142"/>
    <w:rsid w:val="00CD6198"/>
    <w:rsid w:val="00CD61B1"/>
    <w:rsid w:val="00CD61BE"/>
    <w:rsid w:val="00CD61C6"/>
    <w:rsid w:val="00CD6228"/>
    <w:rsid w:val="00CD629C"/>
    <w:rsid w:val="00CD630B"/>
    <w:rsid w:val="00CD6360"/>
    <w:rsid w:val="00CD637D"/>
    <w:rsid w:val="00CD63A4"/>
    <w:rsid w:val="00CD63D0"/>
    <w:rsid w:val="00CD640D"/>
    <w:rsid w:val="00CD642A"/>
    <w:rsid w:val="00CD6430"/>
    <w:rsid w:val="00CD643A"/>
    <w:rsid w:val="00CD644F"/>
    <w:rsid w:val="00CD647E"/>
    <w:rsid w:val="00CD6497"/>
    <w:rsid w:val="00CD649D"/>
    <w:rsid w:val="00CD64A2"/>
    <w:rsid w:val="00CD64E6"/>
    <w:rsid w:val="00CD64F6"/>
    <w:rsid w:val="00CD651D"/>
    <w:rsid w:val="00CD653F"/>
    <w:rsid w:val="00CD655F"/>
    <w:rsid w:val="00CD6636"/>
    <w:rsid w:val="00CD6717"/>
    <w:rsid w:val="00CD672B"/>
    <w:rsid w:val="00CD6751"/>
    <w:rsid w:val="00CD67CF"/>
    <w:rsid w:val="00CD683F"/>
    <w:rsid w:val="00CD68D2"/>
    <w:rsid w:val="00CD68D8"/>
    <w:rsid w:val="00CD693F"/>
    <w:rsid w:val="00CD697E"/>
    <w:rsid w:val="00CD6990"/>
    <w:rsid w:val="00CD69A1"/>
    <w:rsid w:val="00CD69D8"/>
    <w:rsid w:val="00CD6A66"/>
    <w:rsid w:val="00CD6A92"/>
    <w:rsid w:val="00CD6B09"/>
    <w:rsid w:val="00CD6B5C"/>
    <w:rsid w:val="00CD6B89"/>
    <w:rsid w:val="00CD6B98"/>
    <w:rsid w:val="00CD6BC6"/>
    <w:rsid w:val="00CD6C63"/>
    <w:rsid w:val="00CD6CFB"/>
    <w:rsid w:val="00CD6D36"/>
    <w:rsid w:val="00CD6D3C"/>
    <w:rsid w:val="00CD6DB8"/>
    <w:rsid w:val="00CD6DD8"/>
    <w:rsid w:val="00CD6DE7"/>
    <w:rsid w:val="00CD6E13"/>
    <w:rsid w:val="00CD6E16"/>
    <w:rsid w:val="00CD6E45"/>
    <w:rsid w:val="00CD6E83"/>
    <w:rsid w:val="00CD6EED"/>
    <w:rsid w:val="00CD6F3B"/>
    <w:rsid w:val="00CD6F4A"/>
    <w:rsid w:val="00CD6F57"/>
    <w:rsid w:val="00CD6F6B"/>
    <w:rsid w:val="00CD6F72"/>
    <w:rsid w:val="00CD6F7D"/>
    <w:rsid w:val="00CD6FA7"/>
    <w:rsid w:val="00CD6FE3"/>
    <w:rsid w:val="00CD7009"/>
    <w:rsid w:val="00CD7079"/>
    <w:rsid w:val="00CD708F"/>
    <w:rsid w:val="00CD70A8"/>
    <w:rsid w:val="00CD70C2"/>
    <w:rsid w:val="00CD7118"/>
    <w:rsid w:val="00CD712F"/>
    <w:rsid w:val="00CD71C3"/>
    <w:rsid w:val="00CD7211"/>
    <w:rsid w:val="00CD7431"/>
    <w:rsid w:val="00CD7481"/>
    <w:rsid w:val="00CD7489"/>
    <w:rsid w:val="00CD74E1"/>
    <w:rsid w:val="00CD74FD"/>
    <w:rsid w:val="00CD74FE"/>
    <w:rsid w:val="00CD7557"/>
    <w:rsid w:val="00CD758E"/>
    <w:rsid w:val="00CD759C"/>
    <w:rsid w:val="00CD75C4"/>
    <w:rsid w:val="00CD7691"/>
    <w:rsid w:val="00CD76AA"/>
    <w:rsid w:val="00CD76FF"/>
    <w:rsid w:val="00CD772E"/>
    <w:rsid w:val="00CD7761"/>
    <w:rsid w:val="00CD7774"/>
    <w:rsid w:val="00CD777B"/>
    <w:rsid w:val="00CD77AA"/>
    <w:rsid w:val="00CD77BE"/>
    <w:rsid w:val="00CD77EB"/>
    <w:rsid w:val="00CD77FB"/>
    <w:rsid w:val="00CD7803"/>
    <w:rsid w:val="00CD7836"/>
    <w:rsid w:val="00CD7847"/>
    <w:rsid w:val="00CD7885"/>
    <w:rsid w:val="00CD7895"/>
    <w:rsid w:val="00CD78C5"/>
    <w:rsid w:val="00CD78DA"/>
    <w:rsid w:val="00CD78EA"/>
    <w:rsid w:val="00CD7945"/>
    <w:rsid w:val="00CD7957"/>
    <w:rsid w:val="00CD799D"/>
    <w:rsid w:val="00CD79B8"/>
    <w:rsid w:val="00CD7A3E"/>
    <w:rsid w:val="00CD7A81"/>
    <w:rsid w:val="00CD7AAC"/>
    <w:rsid w:val="00CD7B46"/>
    <w:rsid w:val="00CD7B89"/>
    <w:rsid w:val="00CD7BA7"/>
    <w:rsid w:val="00CD7BAD"/>
    <w:rsid w:val="00CD7BC8"/>
    <w:rsid w:val="00CD7C04"/>
    <w:rsid w:val="00CD7C0C"/>
    <w:rsid w:val="00CD7C56"/>
    <w:rsid w:val="00CD7CA1"/>
    <w:rsid w:val="00CD7CD1"/>
    <w:rsid w:val="00CD7CDD"/>
    <w:rsid w:val="00CD7CE1"/>
    <w:rsid w:val="00CD7D64"/>
    <w:rsid w:val="00CD7D71"/>
    <w:rsid w:val="00CD7D9E"/>
    <w:rsid w:val="00CD7DB5"/>
    <w:rsid w:val="00CD7E80"/>
    <w:rsid w:val="00CD7EC0"/>
    <w:rsid w:val="00CD7ED0"/>
    <w:rsid w:val="00CD7EE9"/>
    <w:rsid w:val="00CD7F04"/>
    <w:rsid w:val="00CD7F7C"/>
    <w:rsid w:val="00CD7F94"/>
    <w:rsid w:val="00CD7F9D"/>
    <w:rsid w:val="00CD7FBD"/>
    <w:rsid w:val="00CE0025"/>
    <w:rsid w:val="00CE0096"/>
    <w:rsid w:val="00CE00AD"/>
    <w:rsid w:val="00CE00C9"/>
    <w:rsid w:val="00CE00F2"/>
    <w:rsid w:val="00CE0104"/>
    <w:rsid w:val="00CE014B"/>
    <w:rsid w:val="00CE0155"/>
    <w:rsid w:val="00CE015B"/>
    <w:rsid w:val="00CE0194"/>
    <w:rsid w:val="00CE01E3"/>
    <w:rsid w:val="00CE0218"/>
    <w:rsid w:val="00CE0251"/>
    <w:rsid w:val="00CE0276"/>
    <w:rsid w:val="00CE02A3"/>
    <w:rsid w:val="00CE02B5"/>
    <w:rsid w:val="00CE02E2"/>
    <w:rsid w:val="00CE02F6"/>
    <w:rsid w:val="00CE030A"/>
    <w:rsid w:val="00CE0325"/>
    <w:rsid w:val="00CE03DE"/>
    <w:rsid w:val="00CE03EC"/>
    <w:rsid w:val="00CE0471"/>
    <w:rsid w:val="00CE0498"/>
    <w:rsid w:val="00CE04B6"/>
    <w:rsid w:val="00CE04E3"/>
    <w:rsid w:val="00CE04EC"/>
    <w:rsid w:val="00CE04F4"/>
    <w:rsid w:val="00CE0543"/>
    <w:rsid w:val="00CE0546"/>
    <w:rsid w:val="00CE05A7"/>
    <w:rsid w:val="00CE05ED"/>
    <w:rsid w:val="00CE0610"/>
    <w:rsid w:val="00CE0614"/>
    <w:rsid w:val="00CE0623"/>
    <w:rsid w:val="00CE067E"/>
    <w:rsid w:val="00CE069C"/>
    <w:rsid w:val="00CE06EC"/>
    <w:rsid w:val="00CE0792"/>
    <w:rsid w:val="00CE07B2"/>
    <w:rsid w:val="00CE0860"/>
    <w:rsid w:val="00CE08E3"/>
    <w:rsid w:val="00CE08F4"/>
    <w:rsid w:val="00CE08F6"/>
    <w:rsid w:val="00CE0916"/>
    <w:rsid w:val="00CE091B"/>
    <w:rsid w:val="00CE0944"/>
    <w:rsid w:val="00CE0975"/>
    <w:rsid w:val="00CE09FE"/>
    <w:rsid w:val="00CE0A66"/>
    <w:rsid w:val="00CE0AC9"/>
    <w:rsid w:val="00CE0B1E"/>
    <w:rsid w:val="00CE0B44"/>
    <w:rsid w:val="00CE0B9C"/>
    <w:rsid w:val="00CE0BAE"/>
    <w:rsid w:val="00CE0BD6"/>
    <w:rsid w:val="00CE0C2C"/>
    <w:rsid w:val="00CE0C36"/>
    <w:rsid w:val="00CE0C3F"/>
    <w:rsid w:val="00CE0C5D"/>
    <w:rsid w:val="00CE0CCF"/>
    <w:rsid w:val="00CE0CD0"/>
    <w:rsid w:val="00CE0CDB"/>
    <w:rsid w:val="00CE0DA3"/>
    <w:rsid w:val="00CE0DDB"/>
    <w:rsid w:val="00CE0E4D"/>
    <w:rsid w:val="00CE0E72"/>
    <w:rsid w:val="00CE0E84"/>
    <w:rsid w:val="00CE0EC6"/>
    <w:rsid w:val="00CE0EE2"/>
    <w:rsid w:val="00CE0F03"/>
    <w:rsid w:val="00CE0F5F"/>
    <w:rsid w:val="00CE0FA7"/>
    <w:rsid w:val="00CE105D"/>
    <w:rsid w:val="00CE106E"/>
    <w:rsid w:val="00CE1095"/>
    <w:rsid w:val="00CE10A7"/>
    <w:rsid w:val="00CE10BE"/>
    <w:rsid w:val="00CE10C9"/>
    <w:rsid w:val="00CE10FF"/>
    <w:rsid w:val="00CE1102"/>
    <w:rsid w:val="00CE1118"/>
    <w:rsid w:val="00CE1168"/>
    <w:rsid w:val="00CE11AA"/>
    <w:rsid w:val="00CE11C3"/>
    <w:rsid w:val="00CE11E2"/>
    <w:rsid w:val="00CE124C"/>
    <w:rsid w:val="00CE1278"/>
    <w:rsid w:val="00CE1295"/>
    <w:rsid w:val="00CE132A"/>
    <w:rsid w:val="00CE1331"/>
    <w:rsid w:val="00CE1371"/>
    <w:rsid w:val="00CE137A"/>
    <w:rsid w:val="00CE13C4"/>
    <w:rsid w:val="00CE13D0"/>
    <w:rsid w:val="00CE13FC"/>
    <w:rsid w:val="00CE1400"/>
    <w:rsid w:val="00CE142B"/>
    <w:rsid w:val="00CE142F"/>
    <w:rsid w:val="00CE1441"/>
    <w:rsid w:val="00CE144C"/>
    <w:rsid w:val="00CE149A"/>
    <w:rsid w:val="00CE156A"/>
    <w:rsid w:val="00CE1587"/>
    <w:rsid w:val="00CE15CF"/>
    <w:rsid w:val="00CE15D0"/>
    <w:rsid w:val="00CE15E0"/>
    <w:rsid w:val="00CE15F3"/>
    <w:rsid w:val="00CE16A8"/>
    <w:rsid w:val="00CE16DA"/>
    <w:rsid w:val="00CE16E3"/>
    <w:rsid w:val="00CE1718"/>
    <w:rsid w:val="00CE1727"/>
    <w:rsid w:val="00CE17FA"/>
    <w:rsid w:val="00CE17FD"/>
    <w:rsid w:val="00CE180D"/>
    <w:rsid w:val="00CE181A"/>
    <w:rsid w:val="00CE184E"/>
    <w:rsid w:val="00CE18C0"/>
    <w:rsid w:val="00CE18C2"/>
    <w:rsid w:val="00CE18D4"/>
    <w:rsid w:val="00CE190B"/>
    <w:rsid w:val="00CE1995"/>
    <w:rsid w:val="00CE19C9"/>
    <w:rsid w:val="00CE1A1A"/>
    <w:rsid w:val="00CE1A1B"/>
    <w:rsid w:val="00CE1A72"/>
    <w:rsid w:val="00CE1AA4"/>
    <w:rsid w:val="00CE1B80"/>
    <w:rsid w:val="00CE1BE5"/>
    <w:rsid w:val="00CE1BED"/>
    <w:rsid w:val="00CE1C2D"/>
    <w:rsid w:val="00CE1C74"/>
    <w:rsid w:val="00CE1D41"/>
    <w:rsid w:val="00CE1D49"/>
    <w:rsid w:val="00CE1DDB"/>
    <w:rsid w:val="00CE1DEF"/>
    <w:rsid w:val="00CE1E00"/>
    <w:rsid w:val="00CE1E89"/>
    <w:rsid w:val="00CE1F4A"/>
    <w:rsid w:val="00CE1F5F"/>
    <w:rsid w:val="00CE1F6B"/>
    <w:rsid w:val="00CE1F7E"/>
    <w:rsid w:val="00CE1F98"/>
    <w:rsid w:val="00CE1F9F"/>
    <w:rsid w:val="00CE1FD1"/>
    <w:rsid w:val="00CE20D5"/>
    <w:rsid w:val="00CE20E8"/>
    <w:rsid w:val="00CE2137"/>
    <w:rsid w:val="00CE2190"/>
    <w:rsid w:val="00CE2237"/>
    <w:rsid w:val="00CE225F"/>
    <w:rsid w:val="00CE22BA"/>
    <w:rsid w:val="00CE22E7"/>
    <w:rsid w:val="00CE22EA"/>
    <w:rsid w:val="00CE2300"/>
    <w:rsid w:val="00CE2311"/>
    <w:rsid w:val="00CE237F"/>
    <w:rsid w:val="00CE23A5"/>
    <w:rsid w:val="00CE23AF"/>
    <w:rsid w:val="00CE247B"/>
    <w:rsid w:val="00CE2497"/>
    <w:rsid w:val="00CE24C1"/>
    <w:rsid w:val="00CE24CD"/>
    <w:rsid w:val="00CE2522"/>
    <w:rsid w:val="00CE253E"/>
    <w:rsid w:val="00CE25AA"/>
    <w:rsid w:val="00CE25CC"/>
    <w:rsid w:val="00CE25F0"/>
    <w:rsid w:val="00CE25F4"/>
    <w:rsid w:val="00CE260D"/>
    <w:rsid w:val="00CE261A"/>
    <w:rsid w:val="00CE2621"/>
    <w:rsid w:val="00CE2679"/>
    <w:rsid w:val="00CE2697"/>
    <w:rsid w:val="00CE26A1"/>
    <w:rsid w:val="00CE26AB"/>
    <w:rsid w:val="00CE26C4"/>
    <w:rsid w:val="00CE270F"/>
    <w:rsid w:val="00CE272F"/>
    <w:rsid w:val="00CE27C7"/>
    <w:rsid w:val="00CE280A"/>
    <w:rsid w:val="00CE2815"/>
    <w:rsid w:val="00CE2882"/>
    <w:rsid w:val="00CE290E"/>
    <w:rsid w:val="00CE2941"/>
    <w:rsid w:val="00CE2942"/>
    <w:rsid w:val="00CE2975"/>
    <w:rsid w:val="00CE297F"/>
    <w:rsid w:val="00CE29E0"/>
    <w:rsid w:val="00CE29E3"/>
    <w:rsid w:val="00CE2A0D"/>
    <w:rsid w:val="00CE2A1F"/>
    <w:rsid w:val="00CE2A78"/>
    <w:rsid w:val="00CE2A81"/>
    <w:rsid w:val="00CE2A8B"/>
    <w:rsid w:val="00CE2AAF"/>
    <w:rsid w:val="00CE2AF7"/>
    <w:rsid w:val="00CE2B1C"/>
    <w:rsid w:val="00CE2B22"/>
    <w:rsid w:val="00CE2B30"/>
    <w:rsid w:val="00CE2B43"/>
    <w:rsid w:val="00CE2BEA"/>
    <w:rsid w:val="00CE2C0C"/>
    <w:rsid w:val="00CE2C84"/>
    <w:rsid w:val="00CE2CAF"/>
    <w:rsid w:val="00CE2CBA"/>
    <w:rsid w:val="00CE2CBE"/>
    <w:rsid w:val="00CE2CFE"/>
    <w:rsid w:val="00CE2D1E"/>
    <w:rsid w:val="00CE2D2D"/>
    <w:rsid w:val="00CE2DA9"/>
    <w:rsid w:val="00CE2DAF"/>
    <w:rsid w:val="00CE2ECD"/>
    <w:rsid w:val="00CE2EF5"/>
    <w:rsid w:val="00CE2F0B"/>
    <w:rsid w:val="00CE2F1C"/>
    <w:rsid w:val="00CE2F37"/>
    <w:rsid w:val="00CE2F4D"/>
    <w:rsid w:val="00CE2F6A"/>
    <w:rsid w:val="00CE2F87"/>
    <w:rsid w:val="00CE2FBD"/>
    <w:rsid w:val="00CE3003"/>
    <w:rsid w:val="00CE30FD"/>
    <w:rsid w:val="00CE3193"/>
    <w:rsid w:val="00CE31FF"/>
    <w:rsid w:val="00CE3205"/>
    <w:rsid w:val="00CE324E"/>
    <w:rsid w:val="00CE325A"/>
    <w:rsid w:val="00CE3262"/>
    <w:rsid w:val="00CE32B9"/>
    <w:rsid w:val="00CE32CE"/>
    <w:rsid w:val="00CE330A"/>
    <w:rsid w:val="00CE332C"/>
    <w:rsid w:val="00CE3335"/>
    <w:rsid w:val="00CE3336"/>
    <w:rsid w:val="00CE3355"/>
    <w:rsid w:val="00CE335E"/>
    <w:rsid w:val="00CE338C"/>
    <w:rsid w:val="00CE3395"/>
    <w:rsid w:val="00CE33E1"/>
    <w:rsid w:val="00CE33F6"/>
    <w:rsid w:val="00CE3444"/>
    <w:rsid w:val="00CE34BA"/>
    <w:rsid w:val="00CE34EA"/>
    <w:rsid w:val="00CE3506"/>
    <w:rsid w:val="00CE3535"/>
    <w:rsid w:val="00CE3541"/>
    <w:rsid w:val="00CE35A4"/>
    <w:rsid w:val="00CE3625"/>
    <w:rsid w:val="00CE3663"/>
    <w:rsid w:val="00CE36C9"/>
    <w:rsid w:val="00CE36E3"/>
    <w:rsid w:val="00CE3732"/>
    <w:rsid w:val="00CE373B"/>
    <w:rsid w:val="00CE3792"/>
    <w:rsid w:val="00CE37F7"/>
    <w:rsid w:val="00CE3846"/>
    <w:rsid w:val="00CE38A6"/>
    <w:rsid w:val="00CE3919"/>
    <w:rsid w:val="00CE3926"/>
    <w:rsid w:val="00CE394F"/>
    <w:rsid w:val="00CE39AB"/>
    <w:rsid w:val="00CE39AC"/>
    <w:rsid w:val="00CE39CF"/>
    <w:rsid w:val="00CE39D7"/>
    <w:rsid w:val="00CE39D8"/>
    <w:rsid w:val="00CE39E7"/>
    <w:rsid w:val="00CE3A29"/>
    <w:rsid w:val="00CE3AB9"/>
    <w:rsid w:val="00CE3AD2"/>
    <w:rsid w:val="00CE3AE1"/>
    <w:rsid w:val="00CE3AE5"/>
    <w:rsid w:val="00CE3AE6"/>
    <w:rsid w:val="00CE3B41"/>
    <w:rsid w:val="00CE3B52"/>
    <w:rsid w:val="00CE3B89"/>
    <w:rsid w:val="00CE3BCB"/>
    <w:rsid w:val="00CE3BD4"/>
    <w:rsid w:val="00CE3BD6"/>
    <w:rsid w:val="00CE3BF1"/>
    <w:rsid w:val="00CE3C0A"/>
    <w:rsid w:val="00CE3C44"/>
    <w:rsid w:val="00CE3C48"/>
    <w:rsid w:val="00CE3CC8"/>
    <w:rsid w:val="00CE3CDA"/>
    <w:rsid w:val="00CE3CDF"/>
    <w:rsid w:val="00CE3D03"/>
    <w:rsid w:val="00CE3D15"/>
    <w:rsid w:val="00CE3D61"/>
    <w:rsid w:val="00CE3D64"/>
    <w:rsid w:val="00CE3DFD"/>
    <w:rsid w:val="00CE3E67"/>
    <w:rsid w:val="00CE3EF6"/>
    <w:rsid w:val="00CE3F31"/>
    <w:rsid w:val="00CE3F67"/>
    <w:rsid w:val="00CE40D3"/>
    <w:rsid w:val="00CE413E"/>
    <w:rsid w:val="00CE414B"/>
    <w:rsid w:val="00CE414C"/>
    <w:rsid w:val="00CE41A6"/>
    <w:rsid w:val="00CE41EF"/>
    <w:rsid w:val="00CE4253"/>
    <w:rsid w:val="00CE4276"/>
    <w:rsid w:val="00CE427D"/>
    <w:rsid w:val="00CE42CF"/>
    <w:rsid w:val="00CE4300"/>
    <w:rsid w:val="00CE4344"/>
    <w:rsid w:val="00CE4397"/>
    <w:rsid w:val="00CE43A6"/>
    <w:rsid w:val="00CE43CA"/>
    <w:rsid w:val="00CE43EB"/>
    <w:rsid w:val="00CE43EE"/>
    <w:rsid w:val="00CE4403"/>
    <w:rsid w:val="00CE4423"/>
    <w:rsid w:val="00CE4429"/>
    <w:rsid w:val="00CE442B"/>
    <w:rsid w:val="00CE4471"/>
    <w:rsid w:val="00CE448D"/>
    <w:rsid w:val="00CE44DE"/>
    <w:rsid w:val="00CE450E"/>
    <w:rsid w:val="00CE451F"/>
    <w:rsid w:val="00CE45F7"/>
    <w:rsid w:val="00CE46AB"/>
    <w:rsid w:val="00CE46B2"/>
    <w:rsid w:val="00CE46E5"/>
    <w:rsid w:val="00CE4717"/>
    <w:rsid w:val="00CE471C"/>
    <w:rsid w:val="00CE4761"/>
    <w:rsid w:val="00CE479A"/>
    <w:rsid w:val="00CE47BD"/>
    <w:rsid w:val="00CE47F8"/>
    <w:rsid w:val="00CE47F9"/>
    <w:rsid w:val="00CE4802"/>
    <w:rsid w:val="00CE4831"/>
    <w:rsid w:val="00CE487F"/>
    <w:rsid w:val="00CE48E8"/>
    <w:rsid w:val="00CE4922"/>
    <w:rsid w:val="00CE4954"/>
    <w:rsid w:val="00CE496E"/>
    <w:rsid w:val="00CE4979"/>
    <w:rsid w:val="00CE497F"/>
    <w:rsid w:val="00CE49CF"/>
    <w:rsid w:val="00CE49E8"/>
    <w:rsid w:val="00CE4AB3"/>
    <w:rsid w:val="00CE4B12"/>
    <w:rsid w:val="00CE4B64"/>
    <w:rsid w:val="00CE4BB5"/>
    <w:rsid w:val="00CE4C0F"/>
    <w:rsid w:val="00CE4C35"/>
    <w:rsid w:val="00CE4C82"/>
    <w:rsid w:val="00CE4C91"/>
    <w:rsid w:val="00CE4CFA"/>
    <w:rsid w:val="00CE4D10"/>
    <w:rsid w:val="00CE4D9B"/>
    <w:rsid w:val="00CE4DBD"/>
    <w:rsid w:val="00CE4DBF"/>
    <w:rsid w:val="00CE4DF4"/>
    <w:rsid w:val="00CE4DFA"/>
    <w:rsid w:val="00CE4E39"/>
    <w:rsid w:val="00CE4E50"/>
    <w:rsid w:val="00CE4EA2"/>
    <w:rsid w:val="00CE4EE5"/>
    <w:rsid w:val="00CE4F2E"/>
    <w:rsid w:val="00CE4F63"/>
    <w:rsid w:val="00CE4FA8"/>
    <w:rsid w:val="00CE4FAE"/>
    <w:rsid w:val="00CE4FE0"/>
    <w:rsid w:val="00CE4FFE"/>
    <w:rsid w:val="00CE5016"/>
    <w:rsid w:val="00CE5089"/>
    <w:rsid w:val="00CE5093"/>
    <w:rsid w:val="00CE5097"/>
    <w:rsid w:val="00CE5108"/>
    <w:rsid w:val="00CE514C"/>
    <w:rsid w:val="00CE51DB"/>
    <w:rsid w:val="00CE51E7"/>
    <w:rsid w:val="00CE5218"/>
    <w:rsid w:val="00CE521E"/>
    <w:rsid w:val="00CE5226"/>
    <w:rsid w:val="00CE525F"/>
    <w:rsid w:val="00CE52AD"/>
    <w:rsid w:val="00CE52C8"/>
    <w:rsid w:val="00CE52CD"/>
    <w:rsid w:val="00CE52ED"/>
    <w:rsid w:val="00CE52EF"/>
    <w:rsid w:val="00CE5329"/>
    <w:rsid w:val="00CE5364"/>
    <w:rsid w:val="00CE53C5"/>
    <w:rsid w:val="00CE5400"/>
    <w:rsid w:val="00CE5413"/>
    <w:rsid w:val="00CE5479"/>
    <w:rsid w:val="00CE547D"/>
    <w:rsid w:val="00CE548A"/>
    <w:rsid w:val="00CE548F"/>
    <w:rsid w:val="00CE54F2"/>
    <w:rsid w:val="00CE551C"/>
    <w:rsid w:val="00CE5545"/>
    <w:rsid w:val="00CE5565"/>
    <w:rsid w:val="00CE55BD"/>
    <w:rsid w:val="00CE55DA"/>
    <w:rsid w:val="00CE5602"/>
    <w:rsid w:val="00CE5603"/>
    <w:rsid w:val="00CE561A"/>
    <w:rsid w:val="00CE563F"/>
    <w:rsid w:val="00CE5702"/>
    <w:rsid w:val="00CE572D"/>
    <w:rsid w:val="00CE574D"/>
    <w:rsid w:val="00CE57C8"/>
    <w:rsid w:val="00CE57D2"/>
    <w:rsid w:val="00CE57D8"/>
    <w:rsid w:val="00CE57D9"/>
    <w:rsid w:val="00CE5874"/>
    <w:rsid w:val="00CE589E"/>
    <w:rsid w:val="00CE58D5"/>
    <w:rsid w:val="00CE58FD"/>
    <w:rsid w:val="00CE5904"/>
    <w:rsid w:val="00CE591F"/>
    <w:rsid w:val="00CE5928"/>
    <w:rsid w:val="00CE5930"/>
    <w:rsid w:val="00CE5A98"/>
    <w:rsid w:val="00CE5AAE"/>
    <w:rsid w:val="00CE5ADB"/>
    <w:rsid w:val="00CE5AF5"/>
    <w:rsid w:val="00CE5B70"/>
    <w:rsid w:val="00CE5BC4"/>
    <w:rsid w:val="00CE5BEE"/>
    <w:rsid w:val="00CE5CB2"/>
    <w:rsid w:val="00CE5CC9"/>
    <w:rsid w:val="00CE5D36"/>
    <w:rsid w:val="00CE5D65"/>
    <w:rsid w:val="00CE5D67"/>
    <w:rsid w:val="00CE5D71"/>
    <w:rsid w:val="00CE5D91"/>
    <w:rsid w:val="00CE5DCD"/>
    <w:rsid w:val="00CE5E35"/>
    <w:rsid w:val="00CE5E63"/>
    <w:rsid w:val="00CE5EC2"/>
    <w:rsid w:val="00CE5F28"/>
    <w:rsid w:val="00CE5F4C"/>
    <w:rsid w:val="00CE5F90"/>
    <w:rsid w:val="00CE5FA8"/>
    <w:rsid w:val="00CE5FF6"/>
    <w:rsid w:val="00CE6033"/>
    <w:rsid w:val="00CE610C"/>
    <w:rsid w:val="00CE610E"/>
    <w:rsid w:val="00CE6111"/>
    <w:rsid w:val="00CE6115"/>
    <w:rsid w:val="00CE611E"/>
    <w:rsid w:val="00CE6148"/>
    <w:rsid w:val="00CE615C"/>
    <w:rsid w:val="00CE6164"/>
    <w:rsid w:val="00CE617E"/>
    <w:rsid w:val="00CE6194"/>
    <w:rsid w:val="00CE61A9"/>
    <w:rsid w:val="00CE61C0"/>
    <w:rsid w:val="00CE61CF"/>
    <w:rsid w:val="00CE624B"/>
    <w:rsid w:val="00CE626B"/>
    <w:rsid w:val="00CE626C"/>
    <w:rsid w:val="00CE6282"/>
    <w:rsid w:val="00CE62BC"/>
    <w:rsid w:val="00CE62DD"/>
    <w:rsid w:val="00CE62E1"/>
    <w:rsid w:val="00CE6380"/>
    <w:rsid w:val="00CE63CF"/>
    <w:rsid w:val="00CE6413"/>
    <w:rsid w:val="00CE6455"/>
    <w:rsid w:val="00CE645B"/>
    <w:rsid w:val="00CE645E"/>
    <w:rsid w:val="00CE65E8"/>
    <w:rsid w:val="00CE6608"/>
    <w:rsid w:val="00CE6664"/>
    <w:rsid w:val="00CE6686"/>
    <w:rsid w:val="00CE66A7"/>
    <w:rsid w:val="00CE671D"/>
    <w:rsid w:val="00CE6721"/>
    <w:rsid w:val="00CE674F"/>
    <w:rsid w:val="00CE6757"/>
    <w:rsid w:val="00CE6781"/>
    <w:rsid w:val="00CE678C"/>
    <w:rsid w:val="00CE68AD"/>
    <w:rsid w:val="00CE68ED"/>
    <w:rsid w:val="00CE6914"/>
    <w:rsid w:val="00CE6930"/>
    <w:rsid w:val="00CE6971"/>
    <w:rsid w:val="00CE697D"/>
    <w:rsid w:val="00CE6998"/>
    <w:rsid w:val="00CE699E"/>
    <w:rsid w:val="00CE69B3"/>
    <w:rsid w:val="00CE69CE"/>
    <w:rsid w:val="00CE6A3F"/>
    <w:rsid w:val="00CE6AF7"/>
    <w:rsid w:val="00CE6B37"/>
    <w:rsid w:val="00CE6B67"/>
    <w:rsid w:val="00CE6BA7"/>
    <w:rsid w:val="00CE6BDA"/>
    <w:rsid w:val="00CE6BF7"/>
    <w:rsid w:val="00CE6CA0"/>
    <w:rsid w:val="00CE6D36"/>
    <w:rsid w:val="00CE6D58"/>
    <w:rsid w:val="00CE6D5C"/>
    <w:rsid w:val="00CE6D6F"/>
    <w:rsid w:val="00CE6D8D"/>
    <w:rsid w:val="00CE6DA8"/>
    <w:rsid w:val="00CE6DBB"/>
    <w:rsid w:val="00CE6DCB"/>
    <w:rsid w:val="00CE6DE5"/>
    <w:rsid w:val="00CE6E14"/>
    <w:rsid w:val="00CE6E27"/>
    <w:rsid w:val="00CE6E80"/>
    <w:rsid w:val="00CE6EA3"/>
    <w:rsid w:val="00CE6EE3"/>
    <w:rsid w:val="00CE6F32"/>
    <w:rsid w:val="00CE6F8A"/>
    <w:rsid w:val="00CE6F93"/>
    <w:rsid w:val="00CE6F99"/>
    <w:rsid w:val="00CE6FEF"/>
    <w:rsid w:val="00CE7073"/>
    <w:rsid w:val="00CE70D1"/>
    <w:rsid w:val="00CE70E4"/>
    <w:rsid w:val="00CE70EF"/>
    <w:rsid w:val="00CE70F5"/>
    <w:rsid w:val="00CE7113"/>
    <w:rsid w:val="00CE7148"/>
    <w:rsid w:val="00CE7160"/>
    <w:rsid w:val="00CE71D9"/>
    <w:rsid w:val="00CE71FB"/>
    <w:rsid w:val="00CE7221"/>
    <w:rsid w:val="00CE725D"/>
    <w:rsid w:val="00CE7294"/>
    <w:rsid w:val="00CE72B8"/>
    <w:rsid w:val="00CE72C9"/>
    <w:rsid w:val="00CE72E5"/>
    <w:rsid w:val="00CE72F5"/>
    <w:rsid w:val="00CE7309"/>
    <w:rsid w:val="00CE7337"/>
    <w:rsid w:val="00CE7376"/>
    <w:rsid w:val="00CE7382"/>
    <w:rsid w:val="00CE7385"/>
    <w:rsid w:val="00CE73BD"/>
    <w:rsid w:val="00CE73CD"/>
    <w:rsid w:val="00CE73F1"/>
    <w:rsid w:val="00CE7401"/>
    <w:rsid w:val="00CE7467"/>
    <w:rsid w:val="00CE74BB"/>
    <w:rsid w:val="00CE74BF"/>
    <w:rsid w:val="00CE75C8"/>
    <w:rsid w:val="00CE75CF"/>
    <w:rsid w:val="00CE75D7"/>
    <w:rsid w:val="00CE7601"/>
    <w:rsid w:val="00CE762B"/>
    <w:rsid w:val="00CE763A"/>
    <w:rsid w:val="00CE767C"/>
    <w:rsid w:val="00CE76B6"/>
    <w:rsid w:val="00CE7702"/>
    <w:rsid w:val="00CE775B"/>
    <w:rsid w:val="00CE77C3"/>
    <w:rsid w:val="00CE77D8"/>
    <w:rsid w:val="00CE7813"/>
    <w:rsid w:val="00CE7844"/>
    <w:rsid w:val="00CE784A"/>
    <w:rsid w:val="00CE7871"/>
    <w:rsid w:val="00CE78B8"/>
    <w:rsid w:val="00CE78DF"/>
    <w:rsid w:val="00CE7902"/>
    <w:rsid w:val="00CE791B"/>
    <w:rsid w:val="00CE7928"/>
    <w:rsid w:val="00CE795A"/>
    <w:rsid w:val="00CE7974"/>
    <w:rsid w:val="00CE79C2"/>
    <w:rsid w:val="00CE7A0F"/>
    <w:rsid w:val="00CE7A3F"/>
    <w:rsid w:val="00CE7A78"/>
    <w:rsid w:val="00CE7B03"/>
    <w:rsid w:val="00CE7B55"/>
    <w:rsid w:val="00CE7BC6"/>
    <w:rsid w:val="00CE7C02"/>
    <w:rsid w:val="00CE7C44"/>
    <w:rsid w:val="00CE7C7D"/>
    <w:rsid w:val="00CE7C83"/>
    <w:rsid w:val="00CE7CAD"/>
    <w:rsid w:val="00CE7CC6"/>
    <w:rsid w:val="00CE7D1B"/>
    <w:rsid w:val="00CE7D5E"/>
    <w:rsid w:val="00CE7DA4"/>
    <w:rsid w:val="00CE7DB7"/>
    <w:rsid w:val="00CE7DBE"/>
    <w:rsid w:val="00CE7DCC"/>
    <w:rsid w:val="00CE7DD4"/>
    <w:rsid w:val="00CE7DD6"/>
    <w:rsid w:val="00CE7DD9"/>
    <w:rsid w:val="00CE7E02"/>
    <w:rsid w:val="00CE7E72"/>
    <w:rsid w:val="00CE7EBF"/>
    <w:rsid w:val="00CE7F25"/>
    <w:rsid w:val="00CE7F56"/>
    <w:rsid w:val="00CE7F5A"/>
    <w:rsid w:val="00CE7F5D"/>
    <w:rsid w:val="00CE7FAF"/>
    <w:rsid w:val="00CE7FB7"/>
    <w:rsid w:val="00CF0003"/>
    <w:rsid w:val="00CF0035"/>
    <w:rsid w:val="00CF010B"/>
    <w:rsid w:val="00CF014E"/>
    <w:rsid w:val="00CF015B"/>
    <w:rsid w:val="00CF018C"/>
    <w:rsid w:val="00CF0198"/>
    <w:rsid w:val="00CF019D"/>
    <w:rsid w:val="00CF01FA"/>
    <w:rsid w:val="00CF021C"/>
    <w:rsid w:val="00CF0233"/>
    <w:rsid w:val="00CF0248"/>
    <w:rsid w:val="00CF0262"/>
    <w:rsid w:val="00CF0268"/>
    <w:rsid w:val="00CF02BC"/>
    <w:rsid w:val="00CF02D8"/>
    <w:rsid w:val="00CF02E5"/>
    <w:rsid w:val="00CF033D"/>
    <w:rsid w:val="00CF035E"/>
    <w:rsid w:val="00CF037E"/>
    <w:rsid w:val="00CF0393"/>
    <w:rsid w:val="00CF03E8"/>
    <w:rsid w:val="00CF0437"/>
    <w:rsid w:val="00CF0477"/>
    <w:rsid w:val="00CF04B1"/>
    <w:rsid w:val="00CF04CA"/>
    <w:rsid w:val="00CF050C"/>
    <w:rsid w:val="00CF05A4"/>
    <w:rsid w:val="00CF05EF"/>
    <w:rsid w:val="00CF0630"/>
    <w:rsid w:val="00CF0633"/>
    <w:rsid w:val="00CF065F"/>
    <w:rsid w:val="00CF06A1"/>
    <w:rsid w:val="00CF06EC"/>
    <w:rsid w:val="00CF073C"/>
    <w:rsid w:val="00CF0753"/>
    <w:rsid w:val="00CF075E"/>
    <w:rsid w:val="00CF07A1"/>
    <w:rsid w:val="00CF083C"/>
    <w:rsid w:val="00CF0902"/>
    <w:rsid w:val="00CF0907"/>
    <w:rsid w:val="00CF0A6C"/>
    <w:rsid w:val="00CF0AB1"/>
    <w:rsid w:val="00CF0AB9"/>
    <w:rsid w:val="00CF0AF9"/>
    <w:rsid w:val="00CF0B9F"/>
    <w:rsid w:val="00CF0C3B"/>
    <w:rsid w:val="00CF0C81"/>
    <w:rsid w:val="00CF0CA8"/>
    <w:rsid w:val="00CF0CE6"/>
    <w:rsid w:val="00CF0D12"/>
    <w:rsid w:val="00CF0D34"/>
    <w:rsid w:val="00CF0E1A"/>
    <w:rsid w:val="00CF0E51"/>
    <w:rsid w:val="00CF0E84"/>
    <w:rsid w:val="00CF0E8B"/>
    <w:rsid w:val="00CF0E9F"/>
    <w:rsid w:val="00CF0EB3"/>
    <w:rsid w:val="00CF0EC9"/>
    <w:rsid w:val="00CF0ED5"/>
    <w:rsid w:val="00CF0F01"/>
    <w:rsid w:val="00CF0F05"/>
    <w:rsid w:val="00CF0F31"/>
    <w:rsid w:val="00CF0F36"/>
    <w:rsid w:val="00CF0F8B"/>
    <w:rsid w:val="00CF0F92"/>
    <w:rsid w:val="00CF0F9C"/>
    <w:rsid w:val="00CF0FB6"/>
    <w:rsid w:val="00CF0FC1"/>
    <w:rsid w:val="00CF1030"/>
    <w:rsid w:val="00CF1070"/>
    <w:rsid w:val="00CF10AD"/>
    <w:rsid w:val="00CF10CD"/>
    <w:rsid w:val="00CF1124"/>
    <w:rsid w:val="00CF1164"/>
    <w:rsid w:val="00CF116C"/>
    <w:rsid w:val="00CF11B0"/>
    <w:rsid w:val="00CF11D5"/>
    <w:rsid w:val="00CF1205"/>
    <w:rsid w:val="00CF1207"/>
    <w:rsid w:val="00CF1240"/>
    <w:rsid w:val="00CF1252"/>
    <w:rsid w:val="00CF125A"/>
    <w:rsid w:val="00CF133F"/>
    <w:rsid w:val="00CF13C1"/>
    <w:rsid w:val="00CF13D4"/>
    <w:rsid w:val="00CF14D4"/>
    <w:rsid w:val="00CF14F2"/>
    <w:rsid w:val="00CF1582"/>
    <w:rsid w:val="00CF158D"/>
    <w:rsid w:val="00CF1637"/>
    <w:rsid w:val="00CF164D"/>
    <w:rsid w:val="00CF164E"/>
    <w:rsid w:val="00CF16A6"/>
    <w:rsid w:val="00CF16BE"/>
    <w:rsid w:val="00CF16CC"/>
    <w:rsid w:val="00CF1759"/>
    <w:rsid w:val="00CF179C"/>
    <w:rsid w:val="00CF17BB"/>
    <w:rsid w:val="00CF18AB"/>
    <w:rsid w:val="00CF18EC"/>
    <w:rsid w:val="00CF1915"/>
    <w:rsid w:val="00CF191B"/>
    <w:rsid w:val="00CF1930"/>
    <w:rsid w:val="00CF193B"/>
    <w:rsid w:val="00CF1966"/>
    <w:rsid w:val="00CF1A2A"/>
    <w:rsid w:val="00CF1A31"/>
    <w:rsid w:val="00CF1A67"/>
    <w:rsid w:val="00CF1A90"/>
    <w:rsid w:val="00CF1ACC"/>
    <w:rsid w:val="00CF1ADB"/>
    <w:rsid w:val="00CF1AF5"/>
    <w:rsid w:val="00CF1B18"/>
    <w:rsid w:val="00CF1B6D"/>
    <w:rsid w:val="00CF1B9B"/>
    <w:rsid w:val="00CF1BA1"/>
    <w:rsid w:val="00CF1BDF"/>
    <w:rsid w:val="00CF1C12"/>
    <w:rsid w:val="00CF1C16"/>
    <w:rsid w:val="00CF1C1A"/>
    <w:rsid w:val="00CF1C26"/>
    <w:rsid w:val="00CF1C28"/>
    <w:rsid w:val="00CF1C2A"/>
    <w:rsid w:val="00CF1C31"/>
    <w:rsid w:val="00CF1C4D"/>
    <w:rsid w:val="00CF1C58"/>
    <w:rsid w:val="00CF1D34"/>
    <w:rsid w:val="00CF1D74"/>
    <w:rsid w:val="00CF1D7A"/>
    <w:rsid w:val="00CF1D88"/>
    <w:rsid w:val="00CF1DAA"/>
    <w:rsid w:val="00CF1DED"/>
    <w:rsid w:val="00CF1E4F"/>
    <w:rsid w:val="00CF1E6B"/>
    <w:rsid w:val="00CF1E98"/>
    <w:rsid w:val="00CF1EDE"/>
    <w:rsid w:val="00CF1F43"/>
    <w:rsid w:val="00CF1F50"/>
    <w:rsid w:val="00CF1F57"/>
    <w:rsid w:val="00CF1F72"/>
    <w:rsid w:val="00CF1F7A"/>
    <w:rsid w:val="00CF1F7C"/>
    <w:rsid w:val="00CF1F8A"/>
    <w:rsid w:val="00CF1F9B"/>
    <w:rsid w:val="00CF1F9E"/>
    <w:rsid w:val="00CF1FB9"/>
    <w:rsid w:val="00CF1FC4"/>
    <w:rsid w:val="00CF1FF1"/>
    <w:rsid w:val="00CF1FF4"/>
    <w:rsid w:val="00CF2000"/>
    <w:rsid w:val="00CF2022"/>
    <w:rsid w:val="00CF209E"/>
    <w:rsid w:val="00CF20F0"/>
    <w:rsid w:val="00CF2151"/>
    <w:rsid w:val="00CF21AA"/>
    <w:rsid w:val="00CF21B1"/>
    <w:rsid w:val="00CF2210"/>
    <w:rsid w:val="00CF229D"/>
    <w:rsid w:val="00CF22B0"/>
    <w:rsid w:val="00CF2378"/>
    <w:rsid w:val="00CF23A1"/>
    <w:rsid w:val="00CF23A2"/>
    <w:rsid w:val="00CF23B0"/>
    <w:rsid w:val="00CF23B7"/>
    <w:rsid w:val="00CF23BC"/>
    <w:rsid w:val="00CF23FD"/>
    <w:rsid w:val="00CF24AF"/>
    <w:rsid w:val="00CF24B5"/>
    <w:rsid w:val="00CF24B6"/>
    <w:rsid w:val="00CF24C9"/>
    <w:rsid w:val="00CF2516"/>
    <w:rsid w:val="00CF2518"/>
    <w:rsid w:val="00CF25AD"/>
    <w:rsid w:val="00CF25F6"/>
    <w:rsid w:val="00CF2613"/>
    <w:rsid w:val="00CF26AF"/>
    <w:rsid w:val="00CF26DC"/>
    <w:rsid w:val="00CF2748"/>
    <w:rsid w:val="00CF277C"/>
    <w:rsid w:val="00CF27E3"/>
    <w:rsid w:val="00CF27E5"/>
    <w:rsid w:val="00CF2837"/>
    <w:rsid w:val="00CF2860"/>
    <w:rsid w:val="00CF289D"/>
    <w:rsid w:val="00CF28A4"/>
    <w:rsid w:val="00CF28E9"/>
    <w:rsid w:val="00CF2903"/>
    <w:rsid w:val="00CF2907"/>
    <w:rsid w:val="00CF2908"/>
    <w:rsid w:val="00CF2930"/>
    <w:rsid w:val="00CF2937"/>
    <w:rsid w:val="00CF294F"/>
    <w:rsid w:val="00CF29AE"/>
    <w:rsid w:val="00CF29B5"/>
    <w:rsid w:val="00CF29EC"/>
    <w:rsid w:val="00CF29F8"/>
    <w:rsid w:val="00CF29FC"/>
    <w:rsid w:val="00CF2A0E"/>
    <w:rsid w:val="00CF2A22"/>
    <w:rsid w:val="00CF2AAD"/>
    <w:rsid w:val="00CF2AB1"/>
    <w:rsid w:val="00CF2AFB"/>
    <w:rsid w:val="00CF2B0F"/>
    <w:rsid w:val="00CF2B14"/>
    <w:rsid w:val="00CF2B32"/>
    <w:rsid w:val="00CF2B51"/>
    <w:rsid w:val="00CF2B63"/>
    <w:rsid w:val="00CF2B6A"/>
    <w:rsid w:val="00CF2B71"/>
    <w:rsid w:val="00CF2B93"/>
    <w:rsid w:val="00CF2BE3"/>
    <w:rsid w:val="00CF2C1A"/>
    <w:rsid w:val="00CF2C2A"/>
    <w:rsid w:val="00CF2C35"/>
    <w:rsid w:val="00CF2C52"/>
    <w:rsid w:val="00CF2C7D"/>
    <w:rsid w:val="00CF2C85"/>
    <w:rsid w:val="00CF2CA8"/>
    <w:rsid w:val="00CF2D52"/>
    <w:rsid w:val="00CF2D6C"/>
    <w:rsid w:val="00CF2D79"/>
    <w:rsid w:val="00CF2D7C"/>
    <w:rsid w:val="00CF2DB4"/>
    <w:rsid w:val="00CF2E26"/>
    <w:rsid w:val="00CF2E45"/>
    <w:rsid w:val="00CF2E4C"/>
    <w:rsid w:val="00CF2E52"/>
    <w:rsid w:val="00CF2EA8"/>
    <w:rsid w:val="00CF2EC2"/>
    <w:rsid w:val="00CF2EE1"/>
    <w:rsid w:val="00CF2EE3"/>
    <w:rsid w:val="00CF2EE9"/>
    <w:rsid w:val="00CF2FAE"/>
    <w:rsid w:val="00CF2FE8"/>
    <w:rsid w:val="00CF300E"/>
    <w:rsid w:val="00CF302E"/>
    <w:rsid w:val="00CF3084"/>
    <w:rsid w:val="00CF30B1"/>
    <w:rsid w:val="00CF30DC"/>
    <w:rsid w:val="00CF30EC"/>
    <w:rsid w:val="00CF3130"/>
    <w:rsid w:val="00CF313B"/>
    <w:rsid w:val="00CF315B"/>
    <w:rsid w:val="00CF31C4"/>
    <w:rsid w:val="00CF3216"/>
    <w:rsid w:val="00CF3229"/>
    <w:rsid w:val="00CF32E1"/>
    <w:rsid w:val="00CF32FF"/>
    <w:rsid w:val="00CF3327"/>
    <w:rsid w:val="00CF338A"/>
    <w:rsid w:val="00CF33B3"/>
    <w:rsid w:val="00CF33C9"/>
    <w:rsid w:val="00CF3442"/>
    <w:rsid w:val="00CF3488"/>
    <w:rsid w:val="00CF3494"/>
    <w:rsid w:val="00CF3512"/>
    <w:rsid w:val="00CF3519"/>
    <w:rsid w:val="00CF35B8"/>
    <w:rsid w:val="00CF3659"/>
    <w:rsid w:val="00CF3660"/>
    <w:rsid w:val="00CF3723"/>
    <w:rsid w:val="00CF3742"/>
    <w:rsid w:val="00CF375C"/>
    <w:rsid w:val="00CF37C8"/>
    <w:rsid w:val="00CF37EA"/>
    <w:rsid w:val="00CF3801"/>
    <w:rsid w:val="00CF381C"/>
    <w:rsid w:val="00CF388B"/>
    <w:rsid w:val="00CF38FF"/>
    <w:rsid w:val="00CF3980"/>
    <w:rsid w:val="00CF39A5"/>
    <w:rsid w:val="00CF39C5"/>
    <w:rsid w:val="00CF3A00"/>
    <w:rsid w:val="00CF3A08"/>
    <w:rsid w:val="00CF3A1A"/>
    <w:rsid w:val="00CF3A5F"/>
    <w:rsid w:val="00CF3B19"/>
    <w:rsid w:val="00CF3B23"/>
    <w:rsid w:val="00CF3B39"/>
    <w:rsid w:val="00CF3B7A"/>
    <w:rsid w:val="00CF3B9A"/>
    <w:rsid w:val="00CF3BEE"/>
    <w:rsid w:val="00CF3C24"/>
    <w:rsid w:val="00CF3C8E"/>
    <w:rsid w:val="00CF3CB4"/>
    <w:rsid w:val="00CF3D06"/>
    <w:rsid w:val="00CF3D0E"/>
    <w:rsid w:val="00CF3D28"/>
    <w:rsid w:val="00CF3D4A"/>
    <w:rsid w:val="00CF3D81"/>
    <w:rsid w:val="00CF3D82"/>
    <w:rsid w:val="00CF3DD7"/>
    <w:rsid w:val="00CF3E3F"/>
    <w:rsid w:val="00CF3EC8"/>
    <w:rsid w:val="00CF3F11"/>
    <w:rsid w:val="00CF3F19"/>
    <w:rsid w:val="00CF3F33"/>
    <w:rsid w:val="00CF3FB3"/>
    <w:rsid w:val="00CF3FEE"/>
    <w:rsid w:val="00CF4017"/>
    <w:rsid w:val="00CF4020"/>
    <w:rsid w:val="00CF4094"/>
    <w:rsid w:val="00CF40F2"/>
    <w:rsid w:val="00CF40FB"/>
    <w:rsid w:val="00CF4149"/>
    <w:rsid w:val="00CF415B"/>
    <w:rsid w:val="00CF4183"/>
    <w:rsid w:val="00CF41BB"/>
    <w:rsid w:val="00CF41FC"/>
    <w:rsid w:val="00CF4223"/>
    <w:rsid w:val="00CF4269"/>
    <w:rsid w:val="00CF4276"/>
    <w:rsid w:val="00CF4279"/>
    <w:rsid w:val="00CF4340"/>
    <w:rsid w:val="00CF437A"/>
    <w:rsid w:val="00CF43E8"/>
    <w:rsid w:val="00CF4493"/>
    <w:rsid w:val="00CF44F0"/>
    <w:rsid w:val="00CF44FA"/>
    <w:rsid w:val="00CF4565"/>
    <w:rsid w:val="00CF457D"/>
    <w:rsid w:val="00CF45A4"/>
    <w:rsid w:val="00CF45DE"/>
    <w:rsid w:val="00CF4664"/>
    <w:rsid w:val="00CF4674"/>
    <w:rsid w:val="00CF469C"/>
    <w:rsid w:val="00CF46A8"/>
    <w:rsid w:val="00CF46DA"/>
    <w:rsid w:val="00CF4716"/>
    <w:rsid w:val="00CF473E"/>
    <w:rsid w:val="00CF4761"/>
    <w:rsid w:val="00CF4776"/>
    <w:rsid w:val="00CF479C"/>
    <w:rsid w:val="00CF47AE"/>
    <w:rsid w:val="00CF47FC"/>
    <w:rsid w:val="00CF483B"/>
    <w:rsid w:val="00CF4856"/>
    <w:rsid w:val="00CF48E4"/>
    <w:rsid w:val="00CF492B"/>
    <w:rsid w:val="00CF4993"/>
    <w:rsid w:val="00CF49A2"/>
    <w:rsid w:val="00CF49EF"/>
    <w:rsid w:val="00CF4A03"/>
    <w:rsid w:val="00CF4A37"/>
    <w:rsid w:val="00CF4A39"/>
    <w:rsid w:val="00CF4A5F"/>
    <w:rsid w:val="00CF4A68"/>
    <w:rsid w:val="00CF4ACA"/>
    <w:rsid w:val="00CF4ACD"/>
    <w:rsid w:val="00CF4ADF"/>
    <w:rsid w:val="00CF4AEE"/>
    <w:rsid w:val="00CF4AFD"/>
    <w:rsid w:val="00CF4AFF"/>
    <w:rsid w:val="00CF4B2F"/>
    <w:rsid w:val="00CF4B37"/>
    <w:rsid w:val="00CF4B3B"/>
    <w:rsid w:val="00CF4B50"/>
    <w:rsid w:val="00CF4B5B"/>
    <w:rsid w:val="00CF4B60"/>
    <w:rsid w:val="00CF4B71"/>
    <w:rsid w:val="00CF4BB5"/>
    <w:rsid w:val="00CF4BD0"/>
    <w:rsid w:val="00CF4BD4"/>
    <w:rsid w:val="00CF4C58"/>
    <w:rsid w:val="00CF4C6F"/>
    <w:rsid w:val="00CF4C75"/>
    <w:rsid w:val="00CF4CAB"/>
    <w:rsid w:val="00CF4D70"/>
    <w:rsid w:val="00CF4DC9"/>
    <w:rsid w:val="00CF4DDD"/>
    <w:rsid w:val="00CF4E16"/>
    <w:rsid w:val="00CF4E2B"/>
    <w:rsid w:val="00CF4E36"/>
    <w:rsid w:val="00CF4EA8"/>
    <w:rsid w:val="00CF4EAA"/>
    <w:rsid w:val="00CF4ED3"/>
    <w:rsid w:val="00CF4EF0"/>
    <w:rsid w:val="00CF4F51"/>
    <w:rsid w:val="00CF4F52"/>
    <w:rsid w:val="00CF4F72"/>
    <w:rsid w:val="00CF4F79"/>
    <w:rsid w:val="00CF4F91"/>
    <w:rsid w:val="00CF5040"/>
    <w:rsid w:val="00CF5046"/>
    <w:rsid w:val="00CF504E"/>
    <w:rsid w:val="00CF5059"/>
    <w:rsid w:val="00CF5087"/>
    <w:rsid w:val="00CF50E2"/>
    <w:rsid w:val="00CF511E"/>
    <w:rsid w:val="00CF5133"/>
    <w:rsid w:val="00CF5138"/>
    <w:rsid w:val="00CF5142"/>
    <w:rsid w:val="00CF514A"/>
    <w:rsid w:val="00CF5294"/>
    <w:rsid w:val="00CF52D1"/>
    <w:rsid w:val="00CF52E4"/>
    <w:rsid w:val="00CF52F8"/>
    <w:rsid w:val="00CF536C"/>
    <w:rsid w:val="00CF53AA"/>
    <w:rsid w:val="00CF53E5"/>
    <w:rsid w:val="00CF5415"/>
    <w:rsid w:val="00CF5438"/>
    <w:rsid w:val="00CF5450"/>
    <w:rsid w:val="00CF5452"/>
    <w:rsid w:val="00CF54B4"/>
    <w:rsid w:val="00CF54BE"/>
    <w:rsid w:val="00CF54F8"/>
    <w:rsid w:val="00CF5533"/>
    <w:rsid w:val="00CF554F"/>
    <w:rsid w:val="00CF556E"/>
    <w:rsid w:val="00CF5592"/>
    <w:rsid w:val="00CF55A0"/>
    <w:rsid w:val="00CF56E1"/>
    <w:rsid w:val="00CF56E8"/>
    <w:rsid w:val="00CF56F5"/>
    <w:rsid w:val="00CF57BB"/>
    <w:rsid w:val="00CF57E4"/>
    <w:rsid w:val="00CF582D"/>
    <w:rsid w:val="00CF582F"/>
    <w:rsid w:val="00CF58B7"/>
    <w:rsid w:val="00CF59D9"/>
    <w:rsid w:val="00CF59DE"/>
    <w:rsid w:val="00CF5A2D"/>
    <w:rsid w:val="00CF5A9B"/>
    <w:rsid w:val="00CF5B05"/>
    <w:rsid w:val="00CF5B3D"/>
    <w:rsid w:val="00CF5B48"/>
    <w:rsid w:val="00CF5B53"/>
    <w:rsid w:val="00CF5BA1"/>
    <w:rsid w:val="00CF5C62"/>
    <w:rsid w:val="00CF5C8E"/>
    <w:rsid w:val="00CF5C9B"/>
    <w:rsid w:val="00CF5CCE"/>
    <w:rsid w:val="00CF5CF9"/>
    <w:rsid w:val="00CF5D5D"/>
    <w:rsid w:val="00CF5D6F"/>
    <w:rsid w:val="00CF5DD0"/>
    <w:rsid w:val="00CF5ED2"/>
    <w:rsid w:val="00CF5EF5"/>
    <w:rsid w:val="00CF5EFD"/>
    <w:rsid w:val="00CF5F06"/>
    <w:rsid w:val="00CF5F27"/>
    <w:rsid w:val="00CF5FA4"/>
    <w:rsid w:val="00CF5FAA"/>
    <w:rsid w:val="00CF5FC4"/>
    <w:rsid w:val="00CF5FD7"/>
    <w:rsid w:val="00CF5FEF"/>
    <w:rsid w:val="00CF5FF1"/>
    <w:rsid w:val="00CF601E"/>
    <w:rsid w:val="00CF6058"/>
    <w:rsid w:val="00CF6083"/>
    <w:rsid w:val="00CF60B9"/>
    <w:rsid w:val="00CF60C6"/>
    <w:rsid w:val="00CF60F0"/>
    <w:rsid w:val="00CF60FE"/>
    <w:rsid w:val="00CF6115"/>
    <w:rsid w:val="00CF612F"/>
    <w:rsid w:val="00CF6165"/>
    <w:rsid w:val="00CF6169"/>
    <w:rsid w:val="00CF619B"/>
    <w:rsid w:val="00CF6254"/>
    <w:rsid w:val="00CF6267"/>
    <w:rsid w:val="00CF6286"/>
    <w:rsid w:val="00CF62A5"/>
    <w:rsid w:val="00CF62D7"/>
    <w:rsid w:val="00CF6382"/>
    <w:rsid w:val="00CF639E"/>
    <w:rsid w:val="00CF63E2"/>
    <w:rsid w:val="00CF63F8"/>
    <w:rsid w:val="00CF6417"/>
    <w:rsid w:val="00CF6425"/>
    <w:rsid w:val="00CF6431"/>
    <w:rsid w:val="00CF649E"/>
    <w:rsid w:val="00CF64CF"/>
    <w:rsid w:val="00CF64F3"/>
    <w:rsid w:val="00CF6524"/>
    <w:rsid w:val="00CF6537"/>
    <w:rsid w:val="00CF6543"/>
    <w:rsid w:val="00CF6575"/>
    <w:rsid w:val="00CF65C6"/>
    <w:rsid w:val="00CF65EB"/>
    <w:rsid w:val="00CF65FC"/>
    <w:rsid w:val="00CF669E"/>
    <w:rsid w:val="00CF66A1"/>
    <w:rsid w:val="00CF66B2"/>
    <w:rsid w:val="00CF6702"/>
    <w:rsid w:val="00CF6729"/>
    <w:rsid w:val="00CF674A"/>
    <w:rsid w:val="00CF6765"/>
    <w:rsid w:val="00CF67B9"/>
    <w:rsid w:val="00CF6858"/>
    <w:rsid w:val="00CF685F"/>
    <w:rsid w:val="00CF68B5"/>
    <w:rsid w:val="00CF68DE"/>
    <w:rsid w:val="00CF6907"/>
    <w:rsid w:val="00CF6987"/>
    <w:rsid w:val="00CF6991"/>
    <w:rsid w:val="00CF69E2"/>
    <w:rsid w:val="00CF69F5"/>
    <w:rsid w:val="00CF6A08"/>
    <w:rsid w:val="00CF6A3D"/>
    <w:rsid w:val="00CF6B33"/>
    <w:rsid w:val="00CF6B40"/>
    <w:rsid w:val="00CF6B87"/>
    <w:rsid w:val="00CF6BC7"/>
    <w:rsid w:val="00CF6BCF"/>
    <w:rsid w:val="00CF6BD4"/>
    <w:rsid w:val="00CF6C3A"/>
    <w:rsid w:val="00CF6C67"/>
    <w:rsid w:val="00CF6C81"/>
    <w:rsid w:val="00CF6CC3"/>
    <w:rsid w:val="00CF6CEE"/>
    <w:rsid w:val="00CF6D13"/>
    <w:rsid w:val="00CF6D17"/>
    <w:rsid w:val="00CF6DD2"/>
    <w:rsid w:val="00CF6E35"/>
    <w:rsid w:val="00CF6E38"/>
    <w:rsid w:val="00CF6E77"/>
    <w:rsid w:val="00CF6EB3"/>
    <w:rsid w:val="00CF6F2C"/>
    <w:rsid w:val="00CF6FA2"/>
    <w:rsid w:val="00CF6FEA"/>
    <w:rsid w:val="00CF7010"/>
    <w:rsid w:val="00CF702F"/>
    <w:rsid w:val="00CF705D"/>
    <w:rsid w:val="00CF708A"/>
    <w:rsid w:val="00CF7123"/>
    <w:rsid w:val="00CF7134"/>
    <w:rsid w:val="00CF7142"/>
    <w:rsid w:val="00CF714E"/>
    <w:rsid w:val="00CF718E"/>
    <w:rsid w:val="00CF71BD"/>
    <w:rsid w:val="00CF71E6"/>
    <w:rsid w:val="00CF71FA"/>
    <w:rsid w:val="00CF7213"/>
    <w:rsid w:val="00CF7250"/>
    <w:rsid w:val="00CF725E"/>
    <w:rsid w:val="00CF7293"/>
    <w:rsid w:val="00CF72E3"/>
    <w:rsid w:val="00CF7302"/>
    <w:rsid w:val="00CF7310"/>
    <w:rsid w:val="00CF7321"/>
    <w:rsid w:val="00CF7326"/>
    <w:rsid w:val="00CF7369"/>
    <w:rsid w:val="00CF736C"/>
    <w:rsid w:val="00CF738F"/>
    <w:rsid w:val="00CF73FA"/>
    <w:rsid w:val="00CF7400"/>
    <w:rsid w:val="00CF7418"/>
    <w:rsid w:val="00CF744C"/>
    <w:rsid w:val="00CF7470"/>
    <w:rsid w:val="00CF747E"/>
    <w:rsid w:val="00CF74F5"/>
    <w:rsid w:val="00CF752C"/>
    <w:rsid w:val="00CF7531"/>
    <w:rsid w:val="00CF75A9"/>
    <w:rsid w:val="00CF75FD"/>
    <w:rsid w:val="00CF764D"/>
    <w:rsid w:val="00CF76C0"/>
    <w:rsid w:val="00CF76CA"/>
    <w:rsid w:val="00CF76E2"/>
    <w:rsid w:val="00CF76EF"/>
    <w:rsid w:val="00CF7708"/>
    <w:rsid w:val="00CF771D"/>
    <w:rsid w:val="00CF773C"/>
    <w:rsid w:val="00CF7741"/>
    <w:rsid w:val="00CF7761"/>
    <w:rsid w:val="00CF778D"/>
    <w:rsid w:val="00CF77A6"/>
    <w:rsid w:val="00CF77C6"/>
    <w:rsid w:val="00CF7845"/>
    <w:rsid w:val="00CF785F"/>
    <w:rsid w:val="00CF7873"/>
    <w:rsid w:val="00CF78B3"/>
    <w:rsid w:val="00CF78BD"/>
    <w:rsid w:val="00CF791D"/>
    <w:rsid w:val="00CF79B5"/>
    <w:rsid w:val="00CF79E2"/>
    <w:rsid w:val="00CF79EF"/>
    <w:rsid w:val="00CF7A76"/>
    <w:rsid w:val="00CF7A7D"/>
    <w:rsid w:val="00CF7A9C"/>
    <w:rsid w:val="00CF7AAC"/>
    <w:rsid w:val="00CF7ADC"/>
    <w:rsid w:val="00CF7B84"/>
    <w:rsid w:val="00CF7B9F"/>
    <w:rsid w:val="00CF7BDC"/>
    <w:rsid w:val="00CF7BFF"/>
    <w:rsid w:val="00CF7C21"/>
    <w:rsid w:val="00CF7C33"/>
    <w:rsid w:val="00CF7C3C"/>
    <w:rsid w:val="00CF7CAE"/>
    <w:rsid w:val="00CF7D37"/>
    <w:rsid w:val="00CF7D4B"/>
    <w:rsid w:val="00CF7D8D"/>
    <w:rsid w:val="00CF7DC3"/>
    <w:rsid w:val="00CF7DFD"/>
    <w:rsid w:val="00CF7E6D"/>
    <w:rsid w:val="00CF7EC4"/>
    <w:rsid w:val="00CF7F08"/>
    <w:rsid w:val="00CF7F18"/>
    <w:rsid w:val="00CF7F47"/>
    <w:rsid w:val="00CF7FBC"/>
    <w:rsid w:val="00D00011"/>
    <w:rsid w:val="00D00085"/>
    <w:rsid w:val="00D00110"/>
    <w:rsid w:val="00D00157"/>
    <w:rsid w:val="00D0015A"/>
    <w:rsid w:val="00D0015F"/>
    <w:rsid w:val="00D0016A"/>
    <w:rsid w:val="00D0019E"/>
    <w:rsid w:val="00D001D9"/>
    <w:rsid w:val="00D001E5"/>
    <w:rsid w:val="00D001E7"/>
    <w:rsid w:val="00D00209"/>
    <w:rsid w:val="00D0020D"/>
    <w:rsid w:val="00D0023D"/>
    <w:rsid w:val="00D00284"/>
    <w:rsid w:val="00D002C4"/>
    <w:rsid w:val="00D002CA"/>
    <w:rsid w:val="00D002E0"/>
    <w:rsid w:val="00D002EA"/>
    <w:rsid w:val="00D0030C"/>
    <w:rsid w:val="00D00349"/>
    <w:rsid w:val="00D0035A"/>
    <w:rsid w:val="00D003D4"/>
    <w:rsid w:val="00D00408"/>
    <w:rsid w:val="00D00449"/>
    <w:rsid w:val="00D0046C"/>
    <w:rsid w:val="00D004C1"/>
    <w:rsid w:val="00D0052E"/>
    <w:rsid w:val="00D00555"/>
    <w:rsid w:val="00D00557"/>
    <w:rsid w:val="00D0055B"/>
    <w:rsid w:val="00D0055F"/>
    <w:rsid w:val="00D0063D"/>
    <w:rsid w:val="00D00681"/>
    <w:rsid w:val="00D0069F"/>
    <w:rsid w:val="00D006AE"/>
    <w:rsid w:val="00D00778"/>
    <w:rsid w:val="00D007A5"/>
    <w:rsid w:val="00D007D6"/>
    <w:rsid w:val="00D007FF"/>
    <w:rsid w:val="00D008A9"/>
    <w:rsid w:val="00D008AB"/>
    <w:rsid w:val="00D008C4"/>
    <w:rsid w:val="00D00901"/>
    <w:rsid w:val="00D00904"/>
    <w:rsid w:val="00D00911"/>
    <w:rsid w:val="00D00937"/>
    <w:rsid w:val="00D0094B"/>
    <w:rsid w:val="00D00985"/>
    <w:rsid w:val="00D009BD"/>
    <w:rsid w:val="00D009E8"/>
    <w:rsid w:val="00D009EE"/>
    <w:rsid w:val="00D00A50"/>
    <w:rsid w:val="00D00A96"/>
    <w:rsid w:val="00D00B5B"/>
    <w:rsid w:val="00D00B91"/>
    <w:rsid w:val="00D00BC4"/>
    <w:rsid w:val="00D00C32"/>
    <w:rsid w:val="00D00C4B"/>
    <w:rsid w:val="00D00D06"/>
    <w:rsid w:val="00D00D3A"/>
    <w:rsid w:val="00D00D5C"/>
    <w:rsid w:val="00D00DD5"/>
    <w:rsid w:val="00D00DE5"/>
    <w:rsid w:val="00D00E3A"/>
    <w:rsid w:val="00D00E8C"/>
    <w:rsid w:val="00D00EA7"/>
    <w:rsid w:val="00D00EE9"/>
    <w:rsid w:val="00D00EF6"/>
    <w:rsid w:val="00D00F34"/>
    <w:rsid w:val="00D00FB3"/>
    <w:rsid w:val="00D0107A"/>
    <w:rsid w:val="00D01084"/>
    <w:rsid w:val="00D01093"/>
    <w:rsid w:val="00D010A2"/>
    <w:rsid w:val="00D010C7"/>
    <w:rsid w:val="00D010E7"/>
    <w:rsid w:val="00D01163"/>
    <w:rsid w:val="00D0117B"/>
    <w:rsid w:val="00D01188"/>
    <w:rsid w:val="00D011A8"/>
    <w:rsid w:val="00D011B5"/>
    <w:rsid w:val="00D011EB"/>
    <w:rsid w:val="00D01237"/>
    <w:rsid w:val="00D01258"/>
    <w:rsid w:val="00D01284"/>
    <w:rsid w:val="00D0128A"/>
    <w:rsid w:val="00D01321"/>
    <w:rsid w:val="00D01326"/>
    <w:rsid w:val="00D0136F"/>
    <w:rsid w:val="00D0138F"/>
    <w:rsid w:val="00D013EB"/>
    <w:rsid w:val="00D01403"/>
    <w:rsid w:val="00D0143F"/>
    <w:rsid w:val="00D01450"/>
    <w:rsid w:val="00D014B8"/>
    <w:rsid w:val="00D015C7"/>
    <w:rsid w:val="00D01655"/>
    <w:rsid w:val="00D01690"/>
    <w:rsid w:val="00D016A8"/>
    <w:rsid w:val="00D016E9"/>
    <w:rsid w:val="00D017B9"/>
    <w:rsid w:val="00D017C4"/>
    <w:rsid w:val="00D01841"/>
    <w:rsid w:val="00D018A5"/>
    <w:rsid w:val="00D018B3"/>
    <w:rsid w:val="00D018FA"/>
    <w:rsid w:val="00D01937"/>
    <w:rsid w:val="00D01951"/>
    <w:rsid w:val="00D01964"/>
    <w:rsid w:val="00D01976"/>
    <w:rsid w:val="00D019B6"/>
    <w:rsid w:val="00D019E3"/>
    <w:rsid w:val="00D019F3"/>
    <w:rsid w:val="00D01A66"/>
    <w:rsid w:val="00D01A71"/>
    <w:rsid w:val="00D01A85"/>
    <w:rsid w:val="00D01AD8"/>
    <w:rsid w:val="00D01B49"/>
    <w:rsid w:val="00D01B5C"/>
    <w:rsid w:val="00D01BA4"/>
    <w:rsid w:val="00D01BBC"/>
    <w:rsid w:val="00D01C39"/>
    <w:rsid w:val="00D01D14"/>
    <w:rsid w:val="00D01D23"/>
    <w:rsid w:val="00D01D27"/>
    <w:rsid w:val="00D01DA0"/>
    <w:rsid w:val="00D01DB9"/>
    <w:rsid w:val="00D01E34"/>
    <w:rsid w:val="00D01E88"/>
    <w:rsid w:val="00D01F4B"/>
    <w:rsid w:val="00D01F70"/>
    <w:rsid w:val="00D01FAF"/>
    <w:rsid w:val="00D0200E"/>
    <w:rsid w:val="00D02062"/>
    <w:rsid w:val="00D020B3"/>
    <w:rsid w:val="00D020E9"/>
    <w:rsid w:val="00D02119"/>
    <w:rsid w:val="00D0211E"/>
    <w:rsid w:val="00D02142"/>
    <w:rsid w:val="00D02144"/>
    <w:rsid w:val="00D02177"/>
    <w:rsid w:val="00D021C4"/>
    <w:rsid w:val="00D021E0"/>
    <w:rsid w:val="00D021FD"/>
    <w:rsid w:val="00D02291"/>
    <w:rsid w:val="00D02298"/>
    <w:rsid w:val="00D022C0"/>
    <w:rsid w:val="00D02331"/>
    <w:rsid w:val="00D02346"/>
    <w:rsid w:val="00D02349"/>
    <w:rsid w:val="00D023CC"/>
    <w:rsid w:val="00D023EA"/>
    <w:rsid w:val="00D024B4"/>
    <w:rsid w:val="00D024F6"/>
    <w:rsid w:val="00D024FE"/>
    <w:rsid w:val="00D0251C"/>
    <w:rsid w:val="00D0251F"/>
    <w:rsid w:val="00D02563"/>
    <w:rsid w:val="00D02599"/>
    <w:rsid w:val="00D025AA"/>
    <w:rsid w:val="00D025CF"/>
    <w:rsid w:val="00D025DA"/>
    <w:rsid w:val="00D025EC"/>
    <w:rsid w:val="00D02612"/>
    <w:rsid w:val="00D02628"/>
    <w:rsid w:val="00D0263B"/>
    <w:rsid w:val="00D02684"/>
    <w:rsid w:val="00D026CB"/>
    <w:rsid w:val="00D026F3"/>
    <w:rsid w:val="00D026FB"/>
    <w:rsid w:val="00D02716"/>
    <w:rsid w:val="00D0273B"/>
    <w:rsid w:val="00D02744"/>
    <w:rsid w:val="00D0277A"/>
    <w:rsid w:val="00D0277F"/>
    <w:rsid w:val="00D0278D"/>
    <w:rsid w:val="00D027D5"/>
    <w:rsid w:val="00D02897"/>
    <w:rsid w:val="00D02919"/>
    <w:rsid w:val="00D02930"/>
    <w:rsid w:val="00D0297B"/>
    <w:rsid w:val="00D02991"/>
    <w:rsid w:val="00D029A7"/>
    <w:rsid w:val="00D029B9"/>
    <w:rsid w:val="00D02A1F"/>
    <w:rsid w:val="00D02A60"/>
    <w:rsid w:val="00D02A93"/>
    <w:rsid w:val="00D02A9F"/>
    <w:rsid w:val="00D02B1F"/>
    <w:rsid w:val="00D02B2D"/>
    <w:rsid w:val="00D02B33"/>
    <w:rsid w:val="00D02B3B"/>
    <w:rsid w:val="00D02B92"/>
    <w:rsid w:val="00D02BFA"/>
    <w:rsid w:val="00D02C07"/>
    <w:rsid w:val="00D02C2E"/>
    <w:rsid w:val="00D02C48"/>
    <w:rsid w:val="00D02C4D"/>
    <w:rsid w:val="00D02C98"/>
    <w:rsid w:val="00D02CB5"/>
    <w:rsid w:val="00D02D0E"/>
    <w:rsid w:val="00D02D21"/>
    <w:rsid w:val="00D02D8D"/>
    <w:rsid w:val="00D02DE1"/>
    <w:rsid w:val="00D02E19"/>
    <w:rsid w:val="00D02E27"/>
    <w:rsid w:val="00D02E68"/>
    <w:rsid w:val="00D02EA4"/>
    <w:rsid w:val="00D02EBD"/>
    <w:rsid w:val="00D02EE3"/>
    <w:rsid w:val="00D02FCB"/>
    <w:rsid w:val="00D02FFF"/>
    <w:rsid w:val="00D03041"/>
    <w:rsid w:val="00D03075"/>
    <w:rsid w:val="00D030A5"/>
    <w:rsid w:val="00D030C9"/>
    <w:rsid w:val="00D03123"/>
    <w:rsid w:val="00D03150"/>
    <w:rsid w:val="00D0315C"/>
    <w:rsid w:val="00D03171"/>
    <w:rsid w:val="00D03178"/>
    <w:rsid w:val="00D03248"/>
    <w:rsid w:val="00D03261"/>
    <w:rsid w:val="00D033F6"/>
    <w:rsid w:val="00D03402"/>
    <w:rsid w:val="00D0340E"/>
    <w:rsid w:val="00D03450"/>
    <w:rsid w:val="00D03477"/>
    <w:rsid w:val="00D034D3"/>
    <w:rsid w:val="00D034E9"/>
    <w:rsid w:val="00D0352B"/>
    <w:rsid w:val="00D03537"/>
    <w:rsid w:val="00D035C6"/>
    <w:rsid w:val="00D035C7"/>
    <w:rsid w:val="00D03637"/>
    <w:rsid w:val="00D03671"/>
    <w:rsid w:val="00D03693"/>
    <w:rsid w:val="00D0369F"/>
    <w:rsid w:val="00D036FB"/>
    <w:rsid w:val="00D03707"/>
    <w:rsid w:val="00D03715"/>
    <w:rsid w:val="00D03720"/>
    <w:rsid w:val="00D0375B"/>
    <w:rsid w:val="00D03792"/>
    <w:rsid w:val="00D03838"/>
    <w:rsid w:val="00D0384B"/>
    <w:rsid w:val="00D038F0"/>
    <w:rsid w:val="00D038FF"/>
    <w:rsid w:val="00D03979"/>
    <w:rsid w:val="00D0397F"/>
    <w:rsid w:val="00D039FE"/>
    <w:rsid w:val="00D03AF4"/>
    <w:rsid w:val="00D03AF5"/>
    <w:rsid w:val="00D03B2C"/>
    <w:rsid w:val="00D03B5C"/>
    <w:rsid w:val="00D03B93"/>
    <w:rsid w:val="00D03BBC"/>
    <w:rsid w:val="00D03BD9"/>
    <w:rsid w:val="00D03C1D"/>
    <w:rsid w:val="00D03C59"/>
    <w:rsid w:val="00D03C6F"/>
    <w:rsid w:val="00D03CC0"/>
    <w:rsid w:val="00D03CCF"/>
    <w:rsid w:val="00D03CEF"/>
    <w:rsid w:val="00D03CFB"/>
    <w:rsid w:val="00D03D06"/>
    <w:rsid w:val="00D03D33"/>
    <w:rsid w:val="00D03D55"/>
    <w:rsid w:val="00D03D68"/>
    <w:rsid w:val="00D03DA8"/>
    <w:rsid w:val="00D03DCB"/>
    <w:rsid w:val="00D03DF9"/>
    <w:rsid w:val="00D03DFE"/>
    <w:rsid w:val="00D03E15"/>
    <w:rsid w:val="00D03E33"/>
    <w:rsid w:val="00D03E36"/>
    <w:rsid w:val="00D03E43"/>
    <w:rsid w:val="00D03E46"/>
    <w:rsid w:val="00D03E69"/>
    <w:rsid w:val="00D03E78"/>
    <w:rsid w:val="00D03F20"/>
    <w:rsid w:val="00D03F5B"/>
    <w:rsid w:val="00D03F6F"/>
    <w:rsid w:val="00D04004"/>
    <w:rsid w:val="00D0400C"/>
    <w:rsid w:val="00D04010"/>
    <w:rsid w:val="00D04052"/>
    <w:rsid w:val="00D04071"/>
    <w:rsid w:val="00D040B2"/>
    <w:rsid w:val="00D040E4"/>
    <w:rsid w:val="00D0411F"/>
    <w:rsid w:val="00D0414A"/>
    <w:rsid w:val="00D04153"/>
    <w:rsid w:val="00D04162"/>
    <w:rsid w:val="00D041D9"/>
    <w:rsid w:val="00D0420A"/>
    <w:rsid w:val="00D0437D"/>
    <w:rsid w:val="00D043B6"/>
    <w:rsid w:val="00D043C1"/>
    <w:rsid w:val="00D043C8"/>
    <w:rsid w:val="00D043E7"/>
    <w:rsid w:val="00D043F1"/>
    <w:rsid w:val="00D04454"/>
    <w:rsid w:val="00D04465"/>
    <w:rsid w:val="00D0448F"/>
    <w:rsid w:val="00D044C3"/>
    <w:rsid w:val="00D04507"/>
    <w:rsid w:val="00D04509"/>
    <w:rsid w:val="00D045B8"/>
    <w:rsid w:val="00D0461F"/>
    <w:rsid w:val="00D0468B"/>
    <w:rsid w:val="00D046BA"/>
    <w:rsid w:val="00D04760"/>
    <w:rsid w:val="00D04775"/>
    <w:rsid w:val="00D0477D"/>
    <w:rsid w:val="00D047A6"/>
    <w:rsid w:val="00D0480D"/>
    <w:rsid w:val="00D0481C"/>
    <w:rsid w:val="00D0488B"/>
    <w:rsid w:val="00D048C8"/>
    <w:rsid w:val="00D048E2"/>
    <w:rsid w:val="00D048EA"/>
    <w:rsid w:val="00D04900"/>
    <w:rsid w:val="00D049D0"/>
    <w:rsid w:val="00D04A04"/>
    <w:rsid w:val="00D04A0B"/>
    <w:rsid w:val="00D04A1F"/>
    <w:rsid w:val="00D04A71"/>
    <w:rsid w:val="00D04A88"/>
    <w:rsid w:val="00D04AE6"/>
    <w:rsid w:val="00D04AF0"/>
    <w:rsid w:val="00D04B2A"/>
    <w:rsid w:val="00D04B81"/>
    <w:rsid w:val="00D04B83"/>
    <w:rsid w:val="00D04BF0"/>
    <w:rsid w:val="00D04BF9"/>
    <w:rsid w:val="00D04C18"/>
    <w:rsid w:val="00D04D22"/>
    <w:rsid w:val="00D04D61"/>
    <w:rsid w:val="00D04D66"/>
    <w:rsid w:val="00D04D68"/>
    <w:rsid w:val="00D04D95"/>
    <w:rsid w:val="00D04DCF"/>
    <w:rsid w:val="00D04DFC"/>
    <w:rsid w:val="00D04E0E"/>
    <w:rsid w:val="00D04E7B"/>
    <w:rsid w:val="00D04E81"/>
    <w:rsid w:val="00D04E92"/>
    <w:rsid w:val="00D04F5A"/>
    <w:rsid w:val="00D04F67"/>
    <w:rsid w:val="00D04F7B"/>
    <w:rsid w:val="00D04F89"/>
    <w:rsid w:val="00D04F9C"/>
    <w:rsid w:val="00D04FC3"/>
    <w:rsid w:val="00D04FC5"/>
    <w:rsid w:val="00D05008"/>
    <w:rsid w:val="00D05061"/>
    <w:rsid w:val="00D0509C"/>
    <w:rsid w:val="00D050CA"/>
    <w:rsid w:val="00D050E9"/>
    <w:rsid w:val="00D050FF"/>
    <w:rsid w:val="00D0515C"/>
    <w:rsid w:val="00D05166"/>
    <w:rsid w:val="00D0516B"/>
    <w:rsid w:val="00D051AB"/>
    <w:rsid w:val="00D051B7"/>
    <w:rsid w:val="00D051C7"/>
    <w:rsid w:val="00D051E2"/>
    <w:rsid w:val="00D0524A"/>
    <w:rsid w:val="00D05257"/>
    <w:rsid w:val="00D05264"/>
    <w:rsid w:val="00D0526E"/>
    <w:rsid w:val="00D0527E"/>
    <w:rsid w:val="00D0533E"/>
    <w:rsid w:val="00D05371"/>
    <w:rsid w:val="00D05399"/>
    <w:rsid w:val="00D053A8"/>
    <w:rsid w:val="00D053C0"/>
    <w:rsid w:val="00D05407"/>
    <w:rsid w:val="00D05446"/>
    <w:rsid w:val="00D05449"/>
    <w:rsid w:val="00D05469"/>
    <w:rsid w:val="00D05479"/>
    <w:rsid w:val="00D054D0"/>
    <w:rsid w:val="00D05503"/>
    <w:rsid w:val="00D05519"/>
    <w:rsid w:val="00D0551B"/>
    <w:rsid w:val="00D05526"/>
    <w:rsid w:val="00D05532"/>
    <w:rsid w:val="00D0553D"/>
    <w:rsid w:val="00D0556B"/>
    <w:rsid w:val="00D05578"/>
    <w:rsid w:val="00D055D3"/>
    <w:rsid w:val="00D055DE"/>
    <w:rsid w:val="00D055EA"/>
    <w:rsid w:val="00D0565E"/>
    <w:rsid w:val="00D05739"/>
    <w:rsid w:val="00D05747"/>
    <w:rsid w:val="00D0576B"/>
    <w:rsid w:val="00D057BA"/>
    <w:rsid w:val="00D057CC"/>
    <w:rsid w:val="00D057F9"/>
    <w:rsid w:val="00D0587F"/>
    <w:rsid w:val="00D05884"/>
    <w:rsid w:val="00D058C4"/>
    <w:rsid w:val="00D058DE"/>
    <w:rsid w:val="00D05956"/>
    <w:rsid w:val="00D0598F"/>
    <w:rsid w:val="00D059B5"/>
    <w:rsid w:val="00D059C7"/>
    <w:rsid w:val="00D059CA"/>
    <w:rsid w:val="00D05A08"/>
    <w:rsid w:val="00D05A2B"/>
    <w:rsid w:val="00D05A34"/>
    <w:rsid w:val="00D05AA9"/>
    <w:rsid w:val="00D05AD7"/>
    <w:rsid w:val="00D05AE4"/>
    <w:rsid w:val="00D05B07"/>
    <w:rsid w:val="00D05BA9"/>
    <w:rsid w:val="00D05BB8"/>
    <w:rsid w:val="00D05C21"/>
    <w:rsid w:val="00D05C82"/>
    <w:rsid w:val="00D05C9E"/>
    <w:rsid w:val="00D05CC0"/>
    <w:rsid w:val="00D05CF2"/>
    <w:rsid w:val="00D05DBE"/>
    <w:rsid w:val="00D05EF6"/>
    <w:rsid w:val="00D05F17"/>
    <w:rsid w:val="00D05FB5"/>
    <w:rsid w:val="00D05FC7"/>
    <w:rsid w:val="00D0602A"/>
    <w:rsid w:val="00D0607B"/>
    <w:rsid w:val="00D06112"/>
    <w:rsid w:val="00D06114"/>
    <w:rsid w:val="00D06132"/>
    <w:rsid w:val="00D06166"/>
    <w:rsid w:val="00D0616F"/>
    <w:rsid w:val="00D0618C"/>
    <w:rsid w:val="00D061BB"/>
    <w:rsid w:val="00D061FA"/>
    <w:rsid w:val="00D0621B"/>
    <w:rsid w:val="00D0625A"/>
    <w:rsid w:val="00D06296"/>
    <w:rsid w:val="00D062BD"/>
    <w:rsid w:val="00D062FE"/>
    <w:rsid w:val="00D06305"/>
    <w:rsid w:val="00D06360"/>
    <w:rsid w:val="00D0638B"/>
    <w:rsid w:val="00D0638C"/>
    <w:rsid w:val="00D063F2"/>
    <w:rsid w:val="00D063F5"/>
    <w:rsid w:val="00D06426"/>
    <w:rsid w:val="00D0648C"/>
    <w:rsid w:val="00D064DF"/>
    <w:rsid w:val="00D06530"/>
    <w:rsid w:val="00D0654E"/>
    <w:rsid w:val="00D0656C"/>
    <w:rsid w:val="00D0657A"/>
    <w:rsid w:val="00D065A1"/>
    <w:rsid w:val="00D065D1"/>
    <w:rsid w:val="00D065E5"/>
    <w:rsid w:val="00D065EF"/>
    <w:rsid w:val="00D06647"/>
    <w:rsid w:val="00D06652"/>
    <w:rsid w:val="00D06698"/>
    <w:rsid w:val="00D066A7"/>
    <w:rsid w:val="00D06700"/>
    <w:rsid w:val="00D0672A"/>
    <w:rsid w:val="00D06790"/>
    <w:rsid w:val="00D067A6"/>
    <w:rsid w:val="00D067C0"/>
    <w:rsid w:val="00D067F5"/>
    <w:rsid w:val="00D0680E"/>
    <w:rsid w:val="00D06856"/>
    <w:rsid w:val="00D06941"/>
    <w:rsid w:val="00D069A7"/>
    <w:rsid w:val="00D069ED"/>
    <w:rsid w:val="00D069FC"/>
    <w:rsid w:val="00D06A01"/>
    <w:rsid w:val="00D06AF8"/>
    <w:rsid w:val="00D06B17"/>
    <w:rsid w:val="00D06B43"/>
    <w:rsid w:val="00D06B4D"/>
    <w:rsid w:val="00D06B58"/>
    <w:rsid w:val="00D06BEC"/>
    <w:rsid w:val="00D06BFD"/>
    <w:rsid w:val="00D06C7C"/>
    <w:rsid w:val="00D06C82"/>
    <w:rsid w:val="00D06C8B"/>
    <w:rsid w:val="00D06C99"/>
    <w:rsid w:val="00D06CBA"/>
    <w:rsid w:val="00D06CD2"/>
    <w:rsid w:val="00D06CF5"/>
    <w:rsid w:val="00D06D0A"/>
    <w:rsid w:val="00D06D21"/>
    <w:rsid w:val="00D06D2E"/>
    <w:rsid w:val="00D06D45"/>
    <w:rsid w:val="00D06D5E"/>
    <w:rsid w:val="00D06D79"/>
    <w:rsid w:val="00D06DFC"/>
    <w:rsid w:val="00D06E21"/>
    <w:rsid w:val="00D06E34"/>
    <w:rsid w:val="00D06E61"/>
    <w:rsid w:val="00D06E7B"/>
    <w:rsid w:val="00D06EFA"/>
    <w:rsid w:val="00D06F02"/>
    <w:rsid w:val="00D07022"/>
    <w:rsid w:val="00D07089"/>
    <w:rsid w:val="00D070A4"/>
    <w:rsid w:val="00D070A8"/>
    <w:rsid w:val="00D07111"/>
    <w:rsid w:val="00D0714E"/>
    <w:rsid w:val="00D07197"/>
    <w:rsid w:val="00D07205"/>
    <w:rsid w:val="00D07259"/>
    <w:rsid w:val="00D0728A"/>
    <w:rsid w:val="00D072DE"/>
    <w:rsid w:val="00D072E1"/>
    <w:rsid w:val="00D07306"/>
    <w:rsid w:val="00D0730D"/>
    <w:rsid w:val="00D07379"/>
    <w:rsid w:val="00D073A4"/>
    <w:rsid w:val="00D073BE"/>
    <w:rsid w:val="00D07401"/>
    <w:rsid w:val="00D074BE"/>
    <w:rsid w:val="00D07526"/>
    <w:rsid w:val="00D07565"/>
    <w:rsid w:val="00D07572"/>
    <w:rsid w:val="00D075FC"/>
    <w:rsid w:val="00D076AB"/>
    <w:rsid w:val="00D076B7"/>
    <w:rsid w:val="00D0778D"/>
    <w:rsid w:val="00D07818"/>
    <w:rsid w:val="00D07829"/>
    <w:rsid w:val="00D07851"/>
    <w:rsid w:val="00D07872"/>
    <w:rsid w:val="00D07891"/>
    <w:rsid w:val="00D078B7"/>
    <w:rsid w:val="00D078C9"/>
    <w:rsid w:val="00D0791F"/>
    <w:rsid w:val="00D079C5"/>
    <w:rsid w:val="00D079DE"/>
    <w:rsid w:val="00D079EC"/>
    <w:rsid w:val="00D07A0E"/>
    <w:rsid w:val="00D07A6B"/>
    <w:rsid w:val="00D07AF2"/>
    <w:rsid w:val="00D07B1A"/>
    <w:rsid w:val="00D07B78"/>
    <w:rsid w:val="00D07B85"/>
    <w:rsid w:val="00D07B8A"/>
    <w:rsid w:val="00D07B9D"/>
    <w:rsid w:val="00D07BB0"/>
    <w:rsid w:val="00D07BCC"/>
    <w:rsid w:val="00D07BE2"/>
    <w:rsid w:val="00D07BE6"/>
    <w:rsid w:val="00D07C23"/>
    <w:rsid w:val="00D07C47"/>
    <w:rsid w:val="00D07CAE"/>
    <w:rsid w:val="00D07D8F"/>
    <w:rsid w:val="00D07DD4"/>
    <w:rsid w:val="00D07E07"/>
    <w:rsid w:val="00D07E2D"/>
    <w:rsid w:val="00D07E9E"/>
    <w:rsid w:val="00D07ECA"/>
    <w:rsid w:val="00D07F40"/>
    <w:rsid w:val="00D07F49"/>
    <w:rsid w:val="00D07F67"/>
    <w:rsid w:val="00D07F8D"/>
    <w:rsid w:val="00D07FBF"/>
    <w:rsid w:val="00D07FDB"/>
    <w:rsid w:val="00D100A6"/>
    <w:rsid w:val="00D1011C"/>
    <w:rsid w:val="00D1012E"/>
    <w:rsid w:val="00D1013B"/>
    <w:rsid w:val="00D10163"/>
    <w:rsid w:val="00D1017A"/>
    <w:rsid w:val="00D1022A"/>
    <w:rsid w:val="00D1029C"/>
    <w:rsid w:val="00D10304"/>
    <w:rsid w:val="00D103E5"/>
    <w:rsid w:val="00D103ED"/>
    <w:rsid w:val="00D104AC"/>
    <w:rsid w:val="00D104EE"/>
    <w:rsid w:val="00D1050C"/>
    <w:rsid w:val="00D1050F"/>
    <w:rsid w:val="00D1053C"/>
    <w:rsid w:val="00D10584"/>
    <w:rsid w:val="00D105F1"/>
    <w:rsid w:val="00D10655"/>
    <w:rsid w:val="00D10662"/>
    <w:rsid w:val="00D10668"/>
    <w:rsid w:val="00D106F7"/>
    <w:rsid w:val="00D1070E"/>
    <w:rsid w:val="00D1071F"/>
    <w:rsid w:val="00D1075D"/>
    <w:rsid w:val="00D10774"/>
    <w:rsid w:val="00D10798"/>
    <w:rsid w:val="00D107B3"/>
    <w:rsid w:val="00D10826"/>
    <w:rsid w:val="00D10889"/>
    <w:rsid w:val="00D108A1"/>
    <w:rsid w:val="00D108AC"/>
    <w:rsid w:val="00D108EF"/>
    <w:rsid w:val="00D108F5"/>
    <w:rsid w:val="00D108FC"/>
    <w:rsid w:val="00D1090F"/>
    <w:rsid w:val="00D10912"/>
    <w:rsid w:val="00D10915"/>
    <w:rsid w:val="00D10926"/>
    <w:rsid w:val="00D10929"/>
    <w:rsid w:val="00D1095B"/>
    <w:rsid w:val="00D109B3"/>
    <w:rsid w:val="00D109D7"/>
    <w:rsid w:val="00D109FA"/>
    <w:rsid w:val="00D10A2D"/>
    <w:rsid w:val="00D10A4E"/>
    <w:rsid w:val="00D10A6D"/>
    <w:rsid w:val="00D10A7E"/>
    <w:rsid w:val="00D10A95"/>
    <w:rsid w:val="00D10AE3"/>
    <w:rsid w:val="00D10B0A"/>
    <w:rsid w:val="00D10B0C"/>
    <w:rsid w:val="00D10B2A"/>
    <w:rsid w:val="00D10B6E"/>
    <w:rsid w:val="00D10B87"/>
    <w:rsid w:val="00D10BA5"/>
    <w:rsid w:val="00D10BD8"/>
    <w:rsid w:val="00D10C15"/>
    <w:rsid w:val="00D10C7A"/>
    <w:rsid w:val="00D10CAE"/>
    <w:rsid w:val="00D10D45"/>
    <w:rsid w:val="00D10D51"/>
    <w:rsid w:val="00D10D8D"/>
    <w:rsid w:val="00D10E42"/>
    <w:rsid w:val="00D10E4D"/>
    <w:rsid w:val="00D10E68"/>
    <w:rsid w:val="00D10EEB"/>
    <w:rsid w:val="00D10EEE"/>
    <w:rsid w:val="00D10F04"/>
    <w:rsid w:val="00D10F0F"/>
    <w:rsid w:val="00D10F4B"/>
    <w:rsid w:val="00D10F82"/>
    <w:rsid w:val="00D10F89"/>
    <w:rsid w:val="00D10FD9"/>
    <w:rsid w:val="00D10FF8"/>
    <w:rsid w:val="00D1101C"/>
    <w:rsid w:val="00D1108F"/>
    <w:rsid w:val="00D110AC"/>
    <w:rsid w:val="00D110D7"/>
    <w:rsid w:val="00D110DD"/>
    <w:rsid w:val="00D110E5"/>
    <w:rsid w:val="00D1110A"/>
    <w:rsid w:val="00D11112"/>
    <w:rsid w:val="00D11118"/>
    <w:rsid w:val="00D1112B"/>
    <w:rsid w:val="00D1115B"/>
    <w:rsid w:val="00D111C1"/>
    <w:rsid w:val="00D11242"/>
    <w:rsid w:val="00D1126D"/>
    <w:rsid w:val="00D11271"/>
    <w:rsid w:val="00D112C0"/>
    <w:rsid w:val="00D11302"/>
    <w:rsid w:val="00D1130E"/>
    <w:rsid w:val="00D113BD"/>
    <w:rsid w:val="00D113C7"/>
    <w:rsid w:val="00D11422"/>
    <w:rsid w:val="00D11498"/>
    <w:rsid w:val="00D1149C"/>
    <w:rsid w:val="00D114EA"/>
    <w:rsid w:val="00D1159C"/>
    <w:rsid w:val="00D115A8"/>
    <w:rsid w:val="00D115C9"/>
    <w:rsid w:val="00D11602"/>
    <w:rsid w:val="00D11658"/>
    <w:rsid w:val="00D11666"/>
    <w:rsid w:val="00D116C2"/>
    <w:rsid w:val="00D116DC"/>
    <w:rsid w:val="00D11755"/>
    <w:rsid w:val="00D1175F"/>
    <w:rsid w:val="00D11764"/>
    <w:rsid w:val="00D11775"/>
    <w:rsid w:val="00D117A1"/>
    <w:rsid w:val="00D117A7"/>
    <w:rsid w:val="00D117A8"/>
    <w:rsid w:val="00D117F6"/>
    <w:rsid w:val="00D11802"/>
    <w:rsid w:val="00D1180C"/>
    <w:rsid w:val="00D1180D"/>
    <w:rsid w:val="00D1181C"/>
    <w:rsid w:val="00D11865"/>
    <w:rsid w:val="00D11899"/>
    <w:rsid w:val="00D118A8"/>
    <w:rsid w:val="00D118DC"/>
    <w:rsid w:val="00D119B5"/>
    <w:rsid w:val="00D119CC"/>
    <w:rsid w:val="00D119DA"/>
    <w:rsid w:val="00D11A04"/>
    <w:rsid w:val="00D11A49"/>
    <w:rsid w:val="00D11A6C"/>
    <w:rsid w:val="00D11AD5"/>
    <w:rsid w:val="00D11AF6"/>
    <w:rsid w:val="00D11B18"/>
    <w:rsid w:val="00D11B7F"/>
    <w:rsid w:val="00D11BA8"/>
    <w:rsid w:val="00D11BF5"/>
    <w:rsid w:val="00D11C23"/>
    <w:rsid w:val="00D11C6B"/>
    <w:rsid w:val="00D11C8E"/>
    <w:rsid w:val="00D11CB4"/>
    <w:rsid w:val="00D11CC6"/>
    <w:rsid w:val="00D11D00"/>
    <w:rsid w:val="00D11D20"/>
    <w:rsid w:val="00D11DB8"/>
    <w:rsid w:val="00D11DBA"/>
    <w:rsid w:val="00D11DE4"/>
    <w:rsid w:val="00D11E48"/>
    <w:rsid w:val="00D11E59"/>
    <w:rsid w:val="00D11F0A"/>
    <w:rsid w:val="00D11F61"/>
    <w:rsid w:val="00D11F9F"/>
    <w:rsid w:val="00D1200B"/>
    <w:rsid w:val="00D12020"/>
    <w:rsid w:val="00D12050"/>
    <w:rsid w:val="00D120C7"/>
    <w:rsid w:val="00D12100"/>
    <w:rsid w:val="00D12129"/>
    <w:rsid w:val="00D121DF"/>
    <w:rsid w:val="00D1226F"/>
    <w:rsid w:val="00D12286"/>
    <w:rsid w:val="00D12288"/>
    <w:rsid w:val="00D122C9"/>
    <w:rsid w:val="00D122D8"/>
    <w:rsid w:val="00D1231E"/>
    <w:rsid w:val="00D12389"/>
    <w:rsid w:val="00D123BA"/>
    <w:rsid w:val="00D123C0"/>
    <w:rsid w:val="00D12417"/>
    <w:rsid w:val="00D12473"/>
    <w:rsid w:val="00D12486"/>
    <w:rsid w:val="00D12498"/>
    <w:rsid w:val="00D124BB"/>
    <w:rsid w:val="00D12571"/>
    <w:rsid w:val="00D1261E"/>
    <w:rsid w:val="00D12652"/>
    <w:rsid w:val="00D12672"/>
    <w:rsid w:val="00D12689"/>
    <w:rsid w:val="00D1268D"/>
    <w:rsid w:val="00D12693"/>
    <w:rsid w:val="00D126E3"/>
    <w:rsid w:val="00D1271E"/>
    <w:rsid w:val="00D12729"/>
    <w:rsid w:val="00D1277A"/>
    <w:rsid w:val="00D127CF"/>
    <w:rsid w:val="00D12821"/>
    <w:rsid w:val="00D1284A"/>
    <w:rsid w:val="00D12877"/>
    <w:rsid w:val="00D1289F"/>
    <w:rsid w:val="00D128B4"/>
    <w:rsid w:val="00D128CF"/>
    <w:rsid w:val="00D128DF"/>
    <w:rsid w:val="00D12937"/>
    <w:rsid w:val="00D12979"/>
    <w:rsid w:val="00D129B2"/>
    <w:rsid w:val="00D129CA"/>
    <w:rsid w:val="00D12A7D"/>
    <w:rsid w:val="00D12B2C"/>
    <w:rsid w:val="00D12B39"/>
    <w:rsid w:val="00D12B78"/>
    <w:rsid w:val="00D12B7A"/>
    <w:rsid w:val="00D12BB0"/>
    <w:rsid w:val="00D12C08"/>
    <w:rsid w:val="00D12C24"/>
    <w:rsid w:val="00D12CDB"/>
    <w:rsid w:val="00D12CE8"/>
    <w:rsid w:val="00D12CEA"/>
    <w:rsid w:val="00D12D02"/>
    <w:rsid w:val="00D12D58"/>
    <w:rsid w:val="00D12DCD"/>
    <w:rsid w:val="00D12E19"/>
    <w:rsid w:val="00D12E9A"/>
    <w:rsid w:val="00D12EB3"/>
    <w:rsid w:val="00D12EFA"/>
    <w:rsid w:val="00D12F11"/>
    <w:rsid w:val="00D12F20"/>
    <w:rsid w:val="00D12F9B"/>
    <w:rsid w:val="00D12FDE"/>
    <w:rsid w:val="00D1302A"/>
    <w:rsid w:val="00D13038"/>
    <w:rsid w:val="00D1304D"/>
    <w:rsid w:val="00D13067"/>
    <w:rsid w:val="00D13085"/>
    <w:rsid w:val="00D130AF"/>
    <w:rsid w:val="00D13130"/>
    <w:rsid w:val="00D1313A"/>
    <w:rsid w:val="00D1323F"/>
    <w:rsid w:val="00D13253"/>
    <w:rsid w:val="00D132E0"/>
    <w:rsid w:val="00D132EE"/>
    <w:rsid w:val="00D13352"/>
    <w:rsid w:val="00D13376"/>
    <w:rsid w:val="00D13397"/>
    <w:rsid w:val="00D133B1"/>
    <w:rsid w:val="00D133BD"/>
    <w:rsid w:val="00D13461"/>
    <w:rsid w:val="00D13462"/>
    <w:rsid w:val="00D1346F"/>
    <w:rsid w:val="00D134C9"/>
    <w:rsid w:val="00D134D6"/>
    <w:rsid w:val="00D134F0"/>
    <w:rsid w:val="00D1354A"/>
    <w:rsid w:val="00D1357D"/>
    <w:rsid w:val="00D1358E"/>
    <w:rsid w:val="00D13593"/>
    <w:rsid w:val="00D135DE"/>
    <w:rsid w:val="00D135E4"/>
    <w:rsid w:val="00D13622"/>
    <w:rsid w:val="00D13636"/>
    <w:rsid w:val="00D13647"/>
    <w:rsid w:val="00D1367F"/>
    <w:rsid w:val="00D13680"/>
    <w:rsid w:val="00D136A5"/>
    <w:rsid w:val="00D136D8"/>
    <w:rsid w:val="00D136EE"/>
    <w:rsid w:val="00D13711"/>
    <w:rsid w:val="00D13725"/>
    <w:rsid w:val="00D1372D"/>
    <w:rsid w:val="00D13743"/>
    <w:rsid w:val="00D13791"/>
    <w:rsid w:val="00D137BF"/>
    <w:rsid w:val="00D137E7"/>
    <w:rsid w:val="00D13841"/>
    <w:rsid w:val="00D13853"/>
    <w:rsid w:val="00D13862"/>
    <w:rsid w:val="00D13872"/>
    <w:rsid w:val="00D138A4"/>
    <w:rsid w:val="00D138AE"/>
    <w:rsid w:val="00D138E4"/>
    <w:rsid w:val="00D1394B"/>
    <w:rsid w:val="00D139BE"/>
    <w:rsid w:val="00D13A1A"/>
    <w:rsid w:val="00D13A25"/>
    <w:rsid w:val="00D13AA0"/>
    <w:rsid w:val="00D13ADF"/>
    <w:rsid w:val="00D13B1F"/>
    <w:rsid w:val="00D13B31"/>
    <w:rsid w:val="00D13B37"/>
    <w:rsid w:val="00D13B3A"/>
    <w:rsid w:val="00D13B7B"/>
    <w:rsid w:val="00D13BCF"/>
    <w:rsid w:val="00D13BEC"/>
    <w:rsid w:val="00D13C15"/>
    <w:rsid w:val="00D13C39"/>
    <w:rsid w:val="00D13C4D"/>
    <w:rsid w:val="00D13C7A"/>
    <w:rsid w:val="00D13CC4"/>
    <w:rsid w:val="00D13CCE"/>
    <w:rsid w:val="00D13D0F"/>
    <w:rsid w:val="00D13D41"/>
    <w:rsid w:val="00D13D83"/>
    <w:rsid w:val="00D13D95"/>
    <w:rsid w:val="00D13DD8"/>
    <w:rsid w:val="00D13EB1"/>
    <w:rsid w:val="00D13EDC"/>
    <w:rsid w:val="00D13EF1"/>
    <w:rsid w:val="00D13F29"/>
    <w:rsid w:val="00D13F59"/>
    <w:rsid w:val="00D13F5C"/>
    <w:rsid w:val="00D13FAC"/>
    <w:rsid w:val="00D13FF0"/>
    <w:rsid w:val="00D14009"/>
    <w:rsid w:val="00D14012"/>
    <w:rsid w:val="00D14025"/>
    <w:rsid w:val="00D14045"/>
    <w:rsid w:val="00D14076"/>
    <w:rsid w:val="00D1407E"/>
    <w:rsid w:val="00D140F1"/>
    <w:rsid w:val="00D141B2"/>
    <w:rsid w:val="00D141F2"/>
    <w:rsid w:val="00D141FB"/>
    <w:rsid w:val="00D1420B"/>
    <w:rsid w:val="00D1424F"/>
    <w:rsid w:val="00D14259"/>
    <w:rsid w:val="00D14294"/>
    <w:rsid w:val="00D142DB"/>
    <w:rsid w:val="00D14341"/>
    <w:rsid w:val="00D14366"/>
    <w:rsid w:val="00D143DF"/>
    <w:rsid w:val="00D14415"/>
    <w:rsid w:val="00D14456"/>
    <w:rsid w:val="00D14465"/>
    <w:rsid w:val="00D1446D"/>
    <w:rsid w:val="00D14470"/>
    <w:rsid w:val="00D14483"/>
    <w:rsid w:val="00D144EB"/>
    <w:rsid w:val="00D14527"/>
    <w:rsid w:val="00D14536"/>
    <w:rsid w:val="00D145C7"/>
    <w:rsid w:val="00D145F9"/>
    <w:rsid w:val="00D14645"/>
    <w:rsid w:val="00D1468C"/>
    <w:rsid w:val="00D1471F"/>
    <w:rsid w:val="00D14745"/>
    <w:rsid w:val="00D14829"/>
    <w:rsid w:val="00D148AA"/>
    <w:rsid w:val="00D148F3"/>
    <w:rsid w:val="00D14985"/>
    <w:rsid w:val="00D149D8"/>
    <w:rsid w:val="00D149DA"/>
    <w:rsid w:val="00D14A41"/>
    <w:rsid w:val="00D14A93"/>
    <w:rsid w:val="00D14A9A"/>
    <w:rsid w:val="00D14AD1"/>
    <w:rsid w:val="00D14AFB"/>
    <w:rsid w:val="00D14B02"/>
    <w:rsid w:val="00D14B51"/>
    <w:rsid w:val="00D14B64"/>
    <w:rsid w:val="00D14B92"/>
    <w:rsid w:val="00D14B9B"/>
    <w:rsid w:val="00D14BAB"/>
    <w:rsid w:val="00D14BDB"/>
    <w:rsid w:val="00D14BE2"/>
    <w:rsid w:val="00D14C20"/>
    <w:rsid w:val="00D14C6A"/>
    <w:rsid w:val="00D14CCB"/>
    <w:rsid w:val="00D14CD9"/>
    <w:rsid w:val="00D14CE1"/>
    <w:rsid w:val="00D14DF1"/>
    <w:rsid w:val="00D14E12"/>
    <w:rsid w:val="00D14E38"/>
    <w:rsid w:val="00D14E40"/>
    <w:rsid w:val="00D14E7C"/>
    <w:rsid w:val="00D14ECB"/>
    <w:rsid w:val="00D14EE0"/>
    <w:rsid w:val="00D14EE2"/>
    <w:rsid w:val="00D14EEA"/>
    <w:rsid w:val="00D14F19"/>
    <w:rsid w:val="00D14F27"/>
    <w:rsid w:val="00D14F88"/>
    <w:rsid w:val="00D14FA2"/>
    <w:rsid w:val="00D14FB9"/>
    <w:rsid w:val="00D14FF5"/>
    <w:rsid w:val="00D15066"/>
    <w:rsid w:val="00D1509D"/>
    <w:rsid w:val="00D150BC"/>
    <w:rsid w:val="00D151B5"/>
    <w:rsid w:val="00D151F7"/>
    <w:rsid w:val="00D1525E"/>
    <w:rsid w:val="00D15262"/>
    <w:rsid w:val="00D15298"/>
    <w:rsid w:val="00D152A3"/>
    <w:rsid w:val="00D152C4"/>
    <w:rsid w:val="00D152F0"/>
    <w:rsid w:val="00D15302"/>
    <w:rsid w:val="00D15358"/>
    <w:rsid w:val="00D153A7"/>
    <w:rsid w:val="00D153B3"/>
    <w:rsid w:val="00D153BE"/>
    <w:rsid w:val="00D153D0"/>
    <w:rsid w:val="00D153E9"/>
    <w:rsid w:val="00D153EA"/>
    <w:rsid w:val="00D1547C"/>
    <w:rsid w:val="00D15481"/>
    <w:rsid w:val="00D154C8"/>
    <w:rsid w:val="00D154F8"/>
    <w:rsid w:val="00D154FB"/>
    <w:rsid w:val="00D1550E"/>
    <w:rsid w:val="00D15543"/>
    <w:rsid w:val="00D15556"/>
    <w:rsid w:val="00D15560"/>
    <w:rsid w:val="00D1556F"/>
    <w:rsid w:val="00D1558C"/>
    <w:rsid w:val="00D15591"/>
    <w:rsid w:val="00D155A9"/>
    <w:rsid w:val="00D155C5"/>
    <w:rsid w:val="00D15622"/>
    <w:rsid w:val="00D15623"/>
    <w:rsid w:val="00D1562C"/>
    <w:rsid w:val="00D1565E"/>
    <w:rsid w:val="00D156A9"/>
    <w:rsid w:val="00D156AD"/>
    <w:rsid w:val="00D156AF"/>
    <w:rsid w:val="00D156EE"/>
    <w:rsid w:val="00D15728"/>
    <w:rsid w:val="00D15773"/>
    <w:rsid w:val="00D157BD"/>
    <w:rsid w:val="00D1588A"/>
    <w:rsid w:val="00D15896"/>
    <w:rsid w:val="00D158C3"/>
    <w:rsid w:val="00D158EC"/>
    <w:rsid w:val="00D15906"/>
    <w:rsid w:val="00D15939"/>
    <w:rsid w:val="00D1599A"/>
    <w:rsid w:val="00D159C9"/>
    <w:rsid w:val="00D15A06"/>
    <w:rsid w:val="00D15A1F"/>
    <w:rsid w:val="00D15A30"/>
    <w:rsid w:val="00D15A48"/>
    <w:rsid w:val="00D15A7F"/>
    <w:rsid w:val="00D15A81"/>
    <w:rsid w:val="00D15A9C"/>
    <w:rsid w:val="00D15AED"/>
    <w:rsid w:val="00D15AFA"/>
    <w:rsid w:val="00D15B1F"/>
    <w:rsid w:val="00D15B26"/>
    <w:rsid w:val="00D15B29"/>
    <w:rsid w:val="00D15B9B"/>
    <w:rsid w:val="00D15BD9"/>
    <w:rsid w:val="00D15BE1"/>
    <w:rsid w:val="00D15BE9"/>
    <w:rsid w:val="00D15C3A"/>
    <w:rsid w:val="00D15C8F"/>
    <w:rsid w:val="00D15C9D"/>
    <w:rsid w:val="00D15CAD"/>
    <w:rsid w:val="00D15CB9"/>
    <w:rsid w:val="00D15CCD"/>
    <w:rsid w:val="00D15CD0"/>
    <w:rsid w:val="00D15D4D"/>
    <w:rsid w:val="00D15D52"/>
    <w:rsid w:val="00D15D94"/>
    <w:rsid w:val="00D15DBE"/>
    <w:rsid w:val="00D15DD8"/>
    <w:rsid w:val="00D15E0C"/>
    <w:rsid w:val="00D15E3C"/>
    <w:rsid w:val="00D15E79"/>
    <w:rsid w:val="00D15EDA"/>
    <w:rsid w:val="00D15EDD"/>
    <w:rsid w:val="00D15EEA"/>
    <w:rsid w:val="00D15F6E"/>
    <w:rsid w:val="00D15FE1"/>
    <w:rsid w:val="00D16056"/>
    <w:rsid w:val="00D1612A"/>
    <w:rsid w:val="00D16171"/>
    <w:rsid w:val="00D161BA"/>
    <w:rsid w:val="00D161DA"/>
    <w:rsid w:val="00D161E5"/>
    <w:rsid w:val="00D16211"/>
    <w:rsid w:val="00D1624D"/>
    <w:rsid w:val="00D16299"/>
    <w:rsid w:val="00D162DA"/>
    <w:rsid w:val="00D162EF"/>
    <w:rsid w:val="00D16301"/>
    <w:rsid w:val="00D1633B"/>
    <w:rsid w:val="00D1634A"/>
    <w:rsid w:val="00D163C0"/>
    <w:rsid w:val="00D163E5"/>
    <w:rsid w:val="00D163EA"/>
    <w:rsid w:val="00D163ED"/>
    <w:rsid w:val="00D16424"/>
    <w:rsid w:val="00D16466"/>
    <w:rsid w:val="00D1646F"/>
    <w:rsid w:val="00D164A9"/>
    <w:rsid w:val="00D1650D"/>
    <w:rsid w:val="00D16551"/>
    <w:rsid w:val="00D1659D"/>
    <w:rsid w:val="00D165B9"/>
    <w:rsid w:val="00D16605"/>
    <w:rsid w:val="00D1660D"/>
    <w:rsid w:val="00D16613"/>
    <w:rsid w:val="00D16673"/>
    <w:rsid w:val="00D166E2"/>
    <w:rsid w:val="00D167EC"/>
    <w:rsid w:val="00D1680E"/>
    <w:rsid w:val="00D16855"/>
    <w:rsid w:val="00D168A4"/>
    <w:rsid w:val="00D168D8"/>
    <w:rsid w:val="00D1690B"/>
    <w:rsid w:val="00D1691A"/>
    <w:rsid w:val="00D16971"/>
    <w:rsid w:val="00D16980"/>
    <w:rsid w:val="00D169A7"/>
    <w:rsid w:val="00D169D0"/>
    <w:rsid w:val="00D169E4"/>
    <w:rsid w:val="00D169F9"/>
    <w:rsid w:val="00D16A2D"/>
    <w:rsid w:val="00D16A37"/>
    <w:rsid w:val="00D16A3B"/>
    <w:rsid w:val="00D16A97"/>
    <w:rsid w:val="00D16AB3"/>
    <w:rsid w:val="00D16AF1"/>
    <w:rsid w:val="00D16B1B"/>
    <w:rsid w:val="00D16B46"/>
    <w:rsid w:val="00D16B65"/>
    <w:rsid w:val="00D16BB0"/>
    <w:rsid w:val="00D16BB7"/>
    <w:rsid w:val="00D16C49"/>
    <w:rsid w:val="00D16C9D"/>
    <w:rsid w:val="00D16D7F"/>
    <w:rsid w:val="00D16D84"/>
    <w:rsid w:val="00D16DAB"/>
    <w:rsid w:val="00D16DB6"/>
    <w:rsid w:val="00D16DD3"/>
    <w:rsid w:val="00D16DE7"/>
    <w:rsid w:val="00D16E03"/>
    <w:rsid w:val="00D16EB9"/>
    <w:rsid w:val="00D16EDC"/>
    <w:rsid w:val="00D16EF3"/>
    <w:rsid w:val="00D16F8A"/>
    <w:rsid w:val="00D16FC8"/>
    <w:rsid w:val="00D16FD6"/>
    <w:rsid w:val="00D1701B"/>
    <w:rsid w:val="00D17089"/>
    <w:rsid w:val="00D1709F"/>
    <w:rsid w:val="00D170BB"/>
    <w:rsid w:val="00D17129"/>
    <w:rsid w:val="00D17133"/>
    <w:rsid w:val="00D171FC"/>
    <w:rsid w:val="00D17203"/>
    <w:rsid w:val="00D1722D"/>
    <w:rsid w:val="00D1726B"/>
    <w:rsid w:val="00D1729F"/>
    <w:rsid w:val="00D17323"/>
    <w:rsid w:val="00D1736E"/>
    <w:rsid w:val="00D1737A"/>
    <w:rsid w:val="00D173AC"/>
    <w:rsid w:val="00D173B2"/>
    <w:rsid w:val="00D173BB"/>
    <w:rsid w:val="00D173BF"/>
    <w:rsid w:val="00D17461"/>
    <w:rsid w:val="00D1749F"/>
    <w:rsid w:val="00D17543"/>
    <w:rsid w:val="00D17569"/>
    <w:rsid w:val="00D1756B"/>
    <w:rsid w:val="00D176DB"/>
    <w:rsid w:val="00D176E4"/>
    <w:rsid w:val="00D1774C"/>
    <w:rsid w:val="00D17778"/>
    <w:rsid w:val="00D177D4"/>
    <w:rsid w:val="00D17823"/>
    <w:rsid w:val="00D17830"/>
    <w:rsid w:val="00D178A4"/>
    <w:rsid w:val="00D17926"/>
    <w:rsid w:val="00D1792E"/>
    <w:rsid w:val="00D179B0"/>
    <w:rsid w:val="00D179D5"/>
    <w:rsid w:val="00D17A22"/>
    <w:rsid w:val="00D17A6E"/>
    <w:rsid w:val="00D17AB1"/>
    <w:rsid w:val="00D17AD4"/>
    <w:rsid w:val="00D17AF0"/>
    <w:rsid w:val="00D17B26"/>
    <w:rsid w:val="00D17C0B"/>
    <w:rsid w:val="00D17C8A"/>
    <w:rsid w:val="00D17CAC"/>
    <w:rsid w:val="00D17CB6"/>
    <w:rsid w:val="00D17CD8"/>
    <w:rsid w:val="00D17CDD"/>
    <w:rsid w:val="00D17D25"/>
    <w:rsid w:val="00D17D6E"/>
    <w:rsid w:val="00D17D7D"/>
    <w:rsid w:val="00D17DA2"/>
    <w:rsid w:val="00D17DC5"/>
    <w:rsid w:val="00D17DC9"/>
    <w:rsid w:val="00D17DE1"/>
    <w:rsid w:val="00D17E0D"/>
    <w:rsid w:val="00D17E60"/>
    <w:rsid w:val="00D17EDF"/>
    <w:rsid w:val="00D17EEF"/>
    <w:rsid w:val="00D17F2F"/>
    <w:rsid w:val="00D17F85"/>
    <w:rsid w:val="00D17F90"/>
    <w:rsid w:val="00D17FAD"/>
    <w:rsid w:val="00D20047"/>
    <w:rsid w:val="00D2008E"/>
    <w:rsid w:val="00D200D0"/>
    <w:rsid w:val="00D20126"/>
    <w:rsid w:val="00D20148"/>
    <w:rsid w:val="00D2018C"/>
    <w:rsid w:val="00D20198"/>
    <w:rsid w:val="00D20254"/>
    <w:rsid w:val="00D2025B"/>
    <w:rsid w:val="00D20279"/>
    <w:rsid w:val="00D2029A"/>
    <w:rsid w:val="00D2030E"/>
    <w:rsid w:val="00D20328"/>
    <w:rsid w:val="00D20330"/>
    <w:rsid w:val="00D20387"/>
    <w:rsid w:val="00D203EC"/>
    <w:rsid w:val="00D203F1"/>
    <w:rsid w:val="00D204BF"/>
    <w:rsid w:val="00D20534"/>
    <w:rsid w:val="00D20537"/>
    <w:rsid w:val="00D20542"/>
    <w:rsid w:val="00D205D7"/>
    <w:rsid w:val="00D20633"/>
    <w:rsid w:val="00D20650"/>
    <w:rsid w:val="00D20674"/>
    <w:rsid w:val="00D206A2"/>
    <w:rsid w:val="00D206F1"/>
    <w:rsid w:val="00D20782"/>
    <w:rsid w:val="00D20801"/>
    <w:rsid w:val="00D208E1"/>
    <w:rsid w:val="00D20981"/>
    <w:rsid w:val="00D2099D"/>
    <w:rsid w:val="00D209A3"/>
    <w:rsid w:val="00D20A98"/>
    <w:rsid w:val="00D20AA1"/>
    <w:rsid w:val="00D20AC7"/>
    <w:rsid w:val="00D20B1D"/>
    <w:rsid w:val="00D20B21"/>
    <w:rsid w:val="00D20B49"/>
    <w:rsid w:val="00D20B65"/>
    <w:rsid w:val="00D20B93"/>
    <w:rsid w:val="00D20BF7"/>
    <w:rsid w:val="00D20C3B"/>
    <w:rsid w:val="00D20C6A"/>
    <w:rsid w:val="00D20C94"/>
    <w:rsid w:val="00D20CCA"/>
    <w:rsid w:val="00D20D35"/>
    <w:rsid w:val="00D20D5B"/>
    <w:rsid w:val="00D20D83"/>
    <w:rsid w:val="00D20D97"/>
    <w:rsid w:val="00D20DA8"/>
    <w:rsid w:val="00D20DC5"/>
    <w:rsid w:val="00D20DCC"/>
    <w:rsid w:val="00D20E0C"/>
    <w:rsid w:val="00D20E8F"/>
    <w:rsid w:val="00D20E95"/>
    <w:rsid w:val="00D20EC2"/>
    <w:rsid w:val="00D20F78"/>
    <w:rsid w:val="00D20FC0"/>
    <w:rsid w:val="00D20FCA"/>
    <w:rsid w:val="00D20FEE"/>
    <w:rsid w:val="00D21084"/>
    <w:rsid w:val="00D21095"/>
    <w:rsid w:val="00D210E7"/>
    <w:rsid w:val="00D21180"/>
    <w:rsid w:val="00D21226"/>
    <w:rsid w:val="00D21231"/>
    <w:rsid w:val="00D21245"/>
    <w:rsid w:val="00D212AB"/>
    <w:rsid w:val="00D212BE"/>
    <w:rsid w:val="00D212EA"/>
    <w:rsid w:val="00D212F1"/>
    <w:rsid w:val="00D212F2"/>
    <w:rsid w:val="00D21312"/>
    <w:rsid w:val="00D2135A"/>
    <w:rsid w:val="00D21372"/>
    <w:rsid w:val="00D213BB"/>
    <w:rsid w:val="00D2145D"/>
    <w:rsid w:val="00D21483"/>
    <w:rsid w:val="00D214C3"/>
    <w:rsid w:val="00D2157E"/>
    <w:rsid w:val="00D215A9"/>
    <w:rsid w:val="00D215BF"/>
    <w:rsid w:val="00D215F5"/>
    <w:rsid w:val="00D21603"/>
    <w:rsid w:val="00D2162A"/>
    <w:rsid w:val="00D2164B"/>
    <w:rsid w:val="00D21690"/>
    <w:rsid w:val="00D21703"/>
    <w:rsid w:val="00D21728"/>
    <w:rsid w:val="00D21733"/>
    <w:rsid w:val="00D2177C"/>
    <w:rsid w:val="00D2178B"/>
    <w:rsid w:val="00D217AC"/>
    <w:rsid w:val="00D217EC"/>
    <w:rsid w:val="00D217EF"/>
    <w:rsid w:val="00D2188B"/>
    <w:rsid w:val="00D2189B"/>
    <w:rsid w:val="00D218A8"/>
    <w:rsid w:val="00D218C4"/>
    <w:rsid w:val="00D21902"/>
    <w:rsid w:val="00D21916"/>
    <w:rsid w:val="00D21962"/>
    <w:rsid w:val="00D2197A"/>
    <w:rsid w:val="00D21A29"/>
    <w:rsid w:val="00D21A40"/>
    <w:rsid w:val="00D21A4A"/>
    <w:rsid w:val="00D21A83"/>
    <w:rsid w:val="00D21AB6"/>
    <w:rsid w:val="00D21AD5"/>
    <w:rsid w:val="00D21AFB"/>
    <w:rsid w:val="00D21B60"/>
    <w:rsid w:val="00D21BC0"/>
    <w:rsid w:val="00D21C97"/>
    <w:rsid w:val="00D21CB4"/>
    <w:rsid w:val="00D21CE4"/>
    <w:rsid w:val="00D21D4A"/>
    <w:rsid w:val="00D21D73"/>
    <w:rsid w:val="00D21D76"/>
    <w:rsid w:val="00D21D89"/>
    <w:rsid w:val="00D21DE3"/>
    <w:rsid w:val="00D21E18"/>
    <w:rsid w:val="00D21E6E"/>
    <w:rsid w:val="00D21ED9"/>
    <w:rsid w:val="00D21EED"/>
    <w:rsid w:val="00D21F14"/>
    <w:rsid w:val="00D21F44"/>
    <w:rsid w:val="00D21F79"/>
    <w:rsid w:val="00D21FE0"/>
    <w:rsid w:val="00D21FE4"/>
    <w:rsid w:val="00D22057"/>
    <w:rsid w:val="00D220C1"/>
    <w:rsid w:val="00D220F7"/>
    <w:rsid w:val="00D22136"/>
    <w:rsid w:val="00D22189"/>
    <w:rsid w:val="00D22199"/>
    <w:rsid w:val="00D2222E"/>
    <w:rsid w:val="00D222B8"/>
    <w:rsid w:val="00D222EE"/>
    <w:rsid w:val="00D22328"/>
    <w:rsid w:val="00D22340"/>
    <w:rsid w:val="00D22347"/>
    <w:rsid w:val="00D2237D"/>
    <w:rsid w:val="00D2238D"/>
    <w:rsid w:val="00D22395"/>
    <w:rsid w:val="00D223CA"/>
    <w:rsid w:val="00D223CB"/>
    <w:rsid w:val="00D2240F"/>
    <w:rsid w:val="00D22411"/>
    <w:rsid w:val="00D2242F"/>
    <w:rsid w:val="00D22445"/>
    <w:rsid w:val="00D22457"/>
    <w:rsid w:val="00D22477"/>
    <w:rsid w:val="00D22485"/>
    <w:rsid w:val="00D224CD"/>
    <w:rsid w:val="00D224EB"/>
    <w:rsid w:val="00D22521"/>
    <w:rsid w:val="00D225C6"/>
    <w:rsid w:val="00D22608"/>
    <w:rsid w:val="00D22619"/>
    <w:rsid w:val="00D2262E"/>
    <w:rsid w:val="00D2266A"/>
    <w:rsid w:val="00D226C8"/>
    <w:rsid w:val="00D2270F"/>
    <w:rsid w:val="00D2275A"/>
    <w:rsid w:val="00D22781"/>
    <w:rsid w:val="00D2282C"/>
    <w:rsid w:val="00D228C1"/>
    <w:rsid w:val="00D228EA"/>
    <w:rsid w:val="00D228F4"/>
    <w:rsid w:val="00D22916"/>
    <w:rsid w:val="00D22959"/>
    <w:rsid w:val="00D22963"/>
    <w:rsid w:val="00D2299D"/>
    <w:rsid w:val="00D22A1B"/>
    <w:rsid w:val="00D22A4F"/>
    <w:rsid w:val="00D22AB3"/>
    <w:rsid w:val="00D22AD3"/>
    <w:rsid w:val="00D22B97"/>
    <w:rsid w:val="00D22BDA"/>
    <w:rsid w:val="00D22BDB"/>
    <w:rsid w:val="00D22BEE"/>
    <w:rsid w:val="00D22C5B"/>
    <w:rsid w:val="00D22C8B"/>
    <w:rsid w:val="00D22CA6"/>
    <w:rsid w:val="00D22CC2"/>
    <w:rsid w:val="00D22CCB"/>
    <w:rsid w:val="00D22CE9"/>
    <w:rsid w:val="00D22CEB"/>
    <w:rsid w:val="00D22D21"/>
    <w:rsid w:val="00D22D6C"/>
    <w:rsid w:val="00D22D83"/>
    <w:rsid w:val="00D22DBC"/>
    <w:rsid w:val="00D22DEE"/>
    <w:rsid w:val="00D22E0A"/>
    <w:rsid w:val="00D22E27"/>
    <w:rsid w:val="00D22E8B"/>
    <w:rsid w:val="00D22ED9"/>
    <w:rsid w:val="00D22EDA"/>
    <w:rsid w:val="00D22EDD"/>
    <w:rsid w:val="00D22EFF"/>
    <w:rsid w:val="00D22F78"/>
    <w:rsid w:val="00D22FBF"/>
    <w:rsid w:val="00D22FEC"/>
    <w:rsid w:val="00D2301A"/>
    <w:rsid w:val="00D2304E"/>
    <w:rsid w:val="00D23089"/>
    <w:rsid w:val="00D230CF"/>
    <w:rsid w:val="00D231D5"/>
    <w:rsid w:val="00D231F6"/>
    <w:rsid w:val="00D231FC"/>
    <w:rsid w:val="00D231FF"/>
    <w:rsid w:val="00D232C4"/>
    <w:rsid w:val="00D2334E"/>
    <w:rsid w:val="00D23359"/>
    <w:rsid w:val="00D2338D"/>
    <w:rsid w:val="00D233DC"/>
    <w:rsid w:val="00D233F8"/>
    <w:rsid w:val="00D23425"/>
    <w:rsid w:val="00D2342E"/>
    <w:rsid w:val="00D23482"/>
    <w:rsid w:val="00D234BC"/>
    <w:rsid w:val="00D2354E"/>
    <w:rsid w:val="00D23551"/>
    <w:rsid w:val="00D2357D"/>
    <w:rsid w:val="00D235C7"/>
    <w:rsid w:val="00D2360D"/>
    <w:rsid w:val="00D2364E"/>
    <w:rsid w:val="00D23663"/>
    <w:rsid w:val="00D2366F"/>
    <w:rsid w:val="00D23675"/>
    <w:rsid w:val="00D236C9"/>
    <w:rsid w:val="00D236E9"/>
    <w:rsid w:val="00D2375E"/>
    <w:rsid w:val="00D2378C"/>
    <w:rsid w:val="00D2381D"/>
    <w:rsid w:val="00D23823"/>
    <w:rsid w:val="00D2384E"/>
    <w:rsid w:val="00D238D0"/>
    <w:rsid w:val="00D238E0"/>
    <w:rsid w:val="00D238E8"/>
    <w:rsid w:val="00D23950"/>
    <w:rsid w:val="00D239B1"/>
    <w:rsid w:val="00D23A0D"/>
    <w:rsid w:val="00D23A3C"/>
    <w:rsid w:val="00D23A55"/>
    <w:rsid w:val="00D23A8A"/>
    <w:rsid w:val="00D23A8D"/>
    <w:rsid w:val="00D23A9B"/>
    <w:rsid w:val="00D23A9C"/>
    <w:rsid w:val="00D23AF8"/>
    <w:rsid w:val="00D23B4C"/>
    <w:rsid w:val="00D23B73"/>
    <w:rsid w:val="00D23B8C"/>
    <w:rsid w:val="00D23BBC"/>
    <w:rsid w:val="00D23BD9"/>
    <w:rsid w:val="00D23C11"/>
    <w:rsid w:val="00D23C1F"/>
    <w:rsid w:val="00D23D30"/>
    <w:rsid w:val="00D23D53"/>
    <w:rsid w:val="00D23D7E"/>
    <w:rsid w:val="00D23DC4"/>
    <w:rsid w:val="00D23DF9"/>
    <w:rsid w:val="00D23E62"/>
    <w:rsid w:val="00D23E79"/>
    <w:rsid w:val="00D23E7C"/>
    <w:rsid w:val="00D23EC8"/>
    <w:rsid w:val="00D23EF7"/>
    <w:rsid w:val="00D23F3B"/>
    <w:rsid w:val="00D23F77"/>
    <w:rsid w:val="00D23F7C"/>
    <w:rsid w:val="00D23FB1"/>
    <w:rsid w:val="00D23FDD"/>
    <w:rsid w:val="00D240AB"/>
    <w:rsid w:val="00D240F2"/>
    <w:rsid w:val="00D2410A"/>
    <w:rsid w:val="00D24114"/>
    <w:rsid w:val="00D24137"/>
    <w:rsid w:val="00D2414F"/>
    <w:rsid w:val="00D24176"/>
    <w:rsid w:val="00D24185"/>
    <w:rsid w:val="00D241CE"/>
    <w:rsid w:val="00D24335"/>
    <w:rsid w:val="00D2434F"/>
    <w:rsid w:val="00D24352"/>
    <w:rsid w:val="00D2437D"/>
    <w:rsid w:val="00D243A2"/>
    <w:rsid w:val="00D243C6"/>
    <w:rsid w:val="00D243EB"/>
    <w:rsid w:val="00D2445B"/>
    <w:rsid w:val="00D244D9"/>
    <w:rsid w:val="00D244E7"/>
    <w:rsid w:val="00D2451C"/>
    <w:rsid w:val="00D245B5"/>
    <w:rsid w:val="00D245BB"/>
    <w:rsid w:val="00D2463E"/>
    <w:rsid w:val="00D24695"/>
    <w:rsid w:val="00D246AA"/>
    <w:rsid w:val="00D246B1"/>
    <w:rsid w:val="00D246C2"/>
    <w:rsid w:val="00D2471D"/>
    <w:rsid w:val="00D24747"/>
    <w:rsid w:val="00D24749"/>
    <w:rsid w:val="00D2479D"/>
    <w:rsid w:val="00D247E4"/>
    <w:rsid w:val="00D247F5"/>
    <w:rsid w:val="00D2483F"/>
    <w:rsid w:val="00D248AB"/>
    <w:rsid w:val="00D248AF"/>
    <w:rsid w:val="00D248E5"/>
    <w:rsid w:val="00D248EB"/>
    <w:rsid w:val="00D24900"/>
    <w:rsid w:val="00D24917"/>
    <w:rsid w:val="00D2491C"/>
    <w:rsid w:val="00D24954"/>
    <w:rsid w:val="00D2496D"/>
    <w:rsid w:val="00D249A3"/>
    <w:rsid w:val="00D249C8"/>
    <w:rsid w:val="00D24A12"/>
    <w:rsid w:val="00D24A6C"/>
    <w:rsid w:val="00D24A73"/>
    <w:rsid w:val="00D24AC4"/>
    <w:rsid w:val="00D24B0B"/>
    <w:rsid w:val="00D24B0F"/>
    <w:rsid w:val="00D24B2E"/>
    <w:rsid w:val="00D24B8B"/>
    <w:rsid w:val="00D24B98"/>
    <w:rsid w:val="00D24B99"/>
    <w:rsid w:val="00D24B9A"/>
    <w:rsid w:val="00D24BB2"/>
    <w:rsid w:val="00D24BE2"/>
    <w:rsid w:val="00D24C12"/>
    <w:rsid w:val="00D24C67"/>
    <w:rsid w:val="00D24C7E"/>
    <w:rsid w:val="00D24C8C"/>
    <w:rsid w:val="00D24CD3"/>
    <w:rsid w:val="00D24CF5"/>
    <w:rsid w:val="00D24D71"/>
    <w:rsid w:val="00D24E06"/>
    <w:rsid w:val="00D24E32"/>
    <w:rsid w:val="00D24ED7"/>
    <w:rsid w:val="00D24F1A"/>
    <w:rsid w:val="00D24F57"/>
    <w:rsid w:val="00D24F79"/>
    <w:rsid w:val="00D24FDA"/>
    <w:rsid w:val="00D2501B"/>
    <w:rsid w:val="00D2503D"/>
    <w:rsid w:val="00D2505B"/>
    <w:rsid w:val="00D2505D"/>
    <w:rsid w:val="00D25181"/>
    <w:rsid w:val="00D25191"/>
    <w:rsid w:val="00D2519D"/>
    <w:rsid w:val="00D251B1"/>
    <w:rsid w:val="00D251EE"/>
    <w:rsid w:val="00D251F1"/>
    <w:rsid w:val="00D2520A"/>
    <w:rsid w:val="00D2520C"/>
    <w:rsid w:val="00D25215"/>
    <w:rsid w:val="00D2526B"/>
    <w:rsid w:val="00D25273"/>
    <w:rsid w:val="00D2527C"/>
    <w:rsid w:val="00D2527F"/>
    <w:rsid w:val="00D252AE"/>
    <w:rsid w:val="00D252D9"/>
    <w:rsid w:val="00D25326"/>
    <w:rsid w:val="00D2535A"/>
    <w:rsid w:val="00D253CE"/>
    <w:rsid w:val="00D253E7"/>
    <w:rsid w:val="00D253E9"/>
    <w:rsid w:val="00D253ED"/>
    <w:rsid w:val="00D25420"/>
    <w:rsid w:val="00D25492"/>
    <w:rsid w:val="00D25493"/>
    <w:rsid w:val="00D255A4"/>
    <w:rsid w:val="00D255EA"/>
    <w:rsid w:val="00D25606"/>
    <w:rsid w:val="00D25609"/>
    <w:rsid w:val="00D25633"/>
    <w:rsid w:val="00D25639"/>
    <w:rsid w:val="00D2563B"/>
    <w:rsid w:val="00D2568D"/>
    <w:rsid w:val="00D2568F"/>
    <w:rsid w:val="00D256B7"/>
    <w:rsid w:val="00D256DF"/>
    <w:rsid w:val="00D25710"/>
    <w:rsid w:val="00D257F4"/>
    <w:rsid w:val="00D2580D"/>
    <w:rsid w:val="00D2582B"/>
    <w:rsid w:val="00D25833"/>
    <w:rsid w:val="00D2583E"/>
    <w:rsid w:val="00D25876"/>
    <w:rsid w:val="00D2596B"/>
    <w:rsid w:val="00D25987"/>
    <w:rsid w:val="00D259DE"/>
    <w:rsid w:val="00D259EF"/>
    <w:rsid w:val="00D25A0D"/>
    <w:rsid w:val="00D25A15"/>
    <w:rsid w:val="00D25A5F"/>
    <w:rsid w:val="00D25A83"/>
    <w:rsid w:val="00D25ABA"/>
    <w:rsid w:val="00D25AF2"/>
    <w:rsid w:val="00D25B6D"/>
    <w:rsid w:val="00D25C00"/>
    <w:rsid w:val="00D25C5B"/>
    <w:rsid w:val="00D25C66"/>
    <w:rsid w:val="00D25C81"/>
    <w:rsid w:val="00D25C89"/>
    <w:rsid w:val="00D25CB3"/>
    <w:rsid w:val="00D25D51"/>
    <w:rsid w:val="00D25D68"/>
    <w:rsid w:val="00D25DBA"/>
    <w:rsid w:val="00D25E05"/>
    <w:rsid w:val="00D25E0A"/>
    <w:rsid w:val="00D25E11"/>
    <w:rsid w:val="00D25E28"/>
    <w:rsid w:val="00D25E4F"/>
    <w:rsid w:val="00D25E51"/>
    <w:rsid w:val="00D25E9C"/>
    <w:rsid w:val="00D25EEE"/>
    <w:rsid w:val="00D25F27"/>
    <w:rsid w:val="00D25F38"/>
    <w:rsid w:val="00D25F4F"/>
    <w:rsid w:val="00D25F8F"/>
    <w:rsid w:val="00D25FCE"/>
    <w:rsid w:val="00D26012"/>
    <w:rsid w:val="00D26052"/>
    <w:rsid w:val="00D260BA"/>
    <w:rsid w:val="00D260FD"/>
    <w:rsid w:val="00D2613E"/>
    <w:rsid w:val="00D26172"/>
    <w:rsid w:val="00D261FA"/>
    <w:rsid w:val="00D2624C"/>
    <w:rsid w:val="00D262BB"/>
    <w:rsid w:val="00D26361"/>
    <w:rsid w:val="00D26371"/>
    <w:rsid w:val="00D26383"/>
    <w:rsid w:val="00D2639D"/>
    <w:rsid w:val="00D2640B"/>
    <w:rsid w:val="00D26422"/>
    <w:rsid w:val="00D2643A"/>
    <w:rsid w:val="00D26463"/>
    <w:rsid w:val="00D26482"/>
    <w:rsid w:val="00D26490"/>
    <w:rsid w:val="00D264C2"/>
    <w:rsid w:val="00D264C5"/>
    <w:rsid w:val="00D264E1"/>
    <w:rsid w:val="00D26533"/>
    <w:rsid w:val="00D265C2"/>
    <w:rsid w:val="00D265FB"/>
    <w:rsid w:val="00D26613"/>
    <w:rsid w:val="00D2662C"/>
    <w:rsid w:val="00D266C0"/>
    <w:rsid w:val="00D26701"/>
    <w:rsid w:val="00D26719"/>
    <w:rsid w:val="00D26751"/>
    <w:rsid w:val="00D2679F"/>
    <w:rsid w:val="00D267D6"/>
    <w:rsid w:val="00D26810"/>
    <w:rsid w:val="00D2681C"/>
    <w:rsid w:val="00D2681F"/>
    <w:rsid w:val="00D26880"/>
    <w:rsid w:val="00D268A8"/>
    <w:rsid w:val="00D268E7"/>
    <w:rsid w:val="00D268F4"/>
    <w:rsid w:val="00D26921"/>
    <w:rsid w:val="00D2696F"/>
    <w:rsid w:val="00D2697C"/>
    <w:rsid w:val="00D26A76"/>
    <w:rsid w:val="00D26B05"/>
    <w:rsid w:val="00D26B17"/>
    <w:rsid w:val="00D26B3A"/>
    <w:rsid w:val="00D26B41"/>
    <w:rsid w:val="00D26B69"/>
    <w:rsid w:val="00D26B6D"/>
    <w:rsid w:val="00D26BCF"/>
    <w:rsid w:val="00D26C1C"/>
    <w:rsid w:val="00D26CEE"/>
    <w:rsid w:val="00D26CFA"/>
    <w:rsid w:val="00D26D05"/>
    <w:rsid w:val="00D26D19"/>
    <w:rsid w:val="00D26D4F"/>
    <w:rsid w:val="00D26D7C"/>
    <w:rsid w:val="00D26D82"/>
    <w:rsid w:val="00D26E3E"/>
    <w:rsid w:val="00D26E4C"/>
    <w:rsid w:val="00D26EE7"/>
    <w:rsid w:val="00D26F21"/>
    <w:rsid w:val="00D26F27"/>
    <w:rsid w:val="00D26F43"/>
    <w:rsid w:val="00D26F69"/>
    <w:rsid w:val="00D26F83"/>
    <w:rsid w:val="00D27002"/>
    <w:rsid w:val="00D27018"/>
    <w:rsid w:val="00D2706C"/>
    <w:rsid w:val="00D27077"/>
    <w:rsid w:val="00D2709E"/>
    <w:rsid w:val="00D27122"/>
    <w:rsid w:val="00D27218"/>
    <w:rsid w:val="00D2721B"/>
    <w:rsid w:val="00D2725D"/>
    <w:rsid w:val="00D27275"/>
    <w:rsid w:val="00D2727C"/>
    <w:rsid w:val="00D273CA"/>
    <w:rsid w:val="00D27459"/>
    <w:rsid w:val="00D27470"/>
    <w:rsid w:val="00D274C5"/>
    <w:rsid w:val="00D2751D"/>
    <w:rsid w:val="00D2753A"/>
    <w:rsid w:val="00D27558"/>
    <w:rsid w:val="00D27571"/>
    <w:rsid w:val="00D27585"/>
    <w:rsid w:val="00D275A8"/>
    <w:rsid w:val="00D275B1"/>
    <w:rsid w:val="00D275B9"/>
    <w:rsid w:val="00D275C0"/>
    <w:rsid w:val="00D275F4"/>
    <w:rsid w:val="00D275F9"/>
    <w:rsid w:val="00D2763F"/>
    <w:rsid w:val="00D2765D"/>
    <w:rsid w:val="00D27698"/>
    <w:rsid w:val="00D2769D"/>
    <w:rsid w:val="00D276C2"/>
    <w:rsid w:val="00D276DA"/>
    <w:rsid w:val="00D27787"/>
    <w:rsid w:val="00D2778A"/>
    <w:rsid w:val="00D277EE"/>
    <w:rsid w:val="00D2783A"/>
    <w:rsid w:val="00D27915"/>
    <w:rsid w:val="00D27A11"/>
    <w:rsid w:val="00D27A2B"/>
    <w:rsid w:val="00D27A5D"/>
    <w:rsid w:val="00D27A8A"/>
    <w:rsid w:val="00D27AA0"/>
    <w:rsid w:val="00D27AC4"/>
    <w:rsid w:val="00D27ACF"/>
    <w:rsid w:val="00D27B29"/>
    <w:rsid w:val="00D27B3C"/>
    <w:rsid w:val="00D27B4C"/>
    <w:rsid w:val="00D27B51"/>
    <w:rsid w:val="00D27B77"/>
    <w:rsid w:val="00D27BA3"/>
    <w:rsid w:val="00D27C08"/>
    <w:rsid w:val="00D27C0D"/>
    <w:rsid w:val="00D27C19"/>
    <w:rsid w:val="00D27C29"/>
    <w:rsid w:val="00D27C3D"/>
    <w:rsid w:val="00D27C4A"/>
    <w:rsid w:val="00D27C6C"/>
    <w:rsid w:val="00D27C87"/>
    <w:rsid w:val="00D27CE0"/>
    <w:rsid w:val="00D27CF2"/>
    <w:rsid w:val="00D27CFB"/>
    <w:rsid w:val="00D27D0F"/>
    <w:rsid w:val="00D27D1E"/>
    <w:rsid w:val="00D27DC8"/>
    <w:rsid w:val="00D27DCB"/>
    <w:rsid w:val="00D27E35"/>
    <w:rsid w:val="00D27EB0"/>
    <w:rsid w:val="00D27F06"/>
    <w:rsid w:val="00D27F26"/>
    <w:rsid w:val="00D27F4C"/>
    <w:rsid w:val="00D27FA4"/>
    <w:rsid w:val="00D27FD9"/>
    <w:rsid w:val="00D27FE3"/>
    <w:rsid w:val="00D30031"/>
    <w:rsid w:val="00D3007E"/>
    <w:rsid w:val="00D300BB"/>
    <w:rsid w:val="00D300C0"/>
    <w:rsid w:val="00D300C5"/>
    <w:rsid w:val="00D300E9"/>
    <w:rsid w:val="00D3014D"/>
    <w:rsid w:val="00D30161"/>
    <w:rsid w:val="00D30171"/>
    <w:rsid w:val="00D30191"/>
    <w:rsid w:val="00D301DE"/>
    <w:rsid w:val="00D301E8"/>
    <w:rsid w:val="00D301F7"/>
    <w:rsid w:val="00D301FB"/>
    <w:rsid w:val="00D301FD"/>
    <w:rsid w:val="00D3021B"/>
    <w:rsid w:val="00D3023B"/>
    <w:rsid w:val="00D30271"/>
    <w:rsid w:val="00D302EE"/>
    <w:rsid w:val="00D3031A"/>
    <w:rsid w:val="00D30347"/>
    <w:rsid w:val="00D3039C"/>
    <w:rsid w:val="00D303B7"/>
    <w:rsid w:val="00D303F4"/>
    <w:rsid w:val="00D30408"/>
    <w:rsid w:val="00D30414"/>
    <w:rsid w:val="00D30449"/>
    <w:rsid w:val="00D3046D"/>
    <w:rsid w:val="00D3049F"/>
    <w:rsid w:val="00D304EF"/>
    <w:rsid w:val="00D30515"/>
    <w:rsid w:val="00D305C2"/>
    <w:rsid w:val="00D305D3"/>
    <w:rsid w:val="00D30638"/>
    <w:rsid w:val="00D3068A"/>
    <w:rsid w:val="00D306CB"/>
    <w:rsid w:val="00D306ED"/>
    <w:rsid w:val="00D30760"/>
    <w:rsid w:val="00D30766"/>
    <w:rsid w:val="00D307AD"/>
    <w:rsid w:val="00D307E9"/>
    <w:rsid w:val="00D30883"/>
    <w:rsid w:val="00D30888"/>
    <w:rsid w:val="00D30924"/>
    <w:rsid w:val="00D3094E"/>
    <w:rsid w:val="00D30A2A"/>
    <w:rsid w:val="00D30A6C"/>
    <w:rsid w:val="00D30A7D"/>
    <w:rsid w:val="00D30A94"/>
    <w:rsid w:val="00D30AB3"/>
    <w:rsid w:val="00D30AE6"/>
    <w:rsid w:val="00D30AEA"/>
    <w:rsid w:val="00D30AEE"/>
    <w:rsid w:val="00D30B67"/>
    <w:rsid w:val="00D30B96"/>
    <w:rsid w:val="00D30B97"/>
    <w:rsid w:val="00D30B99"/>
    <w:rsid w:val="00D30BA3"/>
    <w:rsid w:val="00D30BAF"/>
    <w:rsid w:val="00D30BCB"/>
    <w:rsid w:val="00D30BF5"/>
    <w:rsid w:val="00D30BF9"/>
    <w:rsid w:val="00D30BFB"/>
    <w:rsid w:val="00D30C39"/>
    <w:rsid w:val="00D30C41"/>
    <w:rsid w:val="00D30C83"/>
    <w:rsid w:val="00D30CCD"/>
    <w:rsid w:val="00D30D01"/>
    <w:rsid w:val="00D30D14"/>
    <w:rsid w:val="00D30D29"/>
    <w:rsid w:val="00D30D47"/>
    <w:rsid w:val="00D30E5B"/>
    <w:rsid w:val="00D30EAF"/>
    <w:rsid w:val="00D30EB5"/>
    <w:rsid w:val="00D30EDB"/>
    <w:rsid w:val="00D30EEE"/>
    <w:rsid w:val="00D30F0F"/>
    <w:rsid w:val="00D30F1C"/>
    <w:rsid w:val="00D30F60"/>
    <w:rsid w:val="00D30F7D"/>
    <w:rsid w:val="00D30FAB"/>
    <w:rsid w:val="00D30FDD"/>
    <w:rsid w:val="00D30FEB"/>
    <w:rsid w:val="00D3101F"/>
    <w:rsid w:val="00D31077"/>
    <w:rsid w:val="00D31087"/>
    <w:rsid w:val="00D311B0"/>
    <w:rsid w:val="00D311E7"/>
    <w:rsid w:val="00D3128D"/>
    <w:rsid w:val="00D312EE"/>
    <w:rsid w:val="00D3133C"/>
    <w:rsid w:val="00D3137B"/>
    <w:rsid w:val="00D3147C"/>
    <w:rsid w:val="00D314A1"/>
    <w:rsid w:val="00D314DE"/>
    <w:rsid w:val="00D314F2"/>
    <w:rsid w:val="00D31508"/>
    <w:rsid w:val="00D31573"/>
    <w:rsid w:val="00D315A7"/>
    <w:rsid w:val="00D315B6"/>
    <w:rsid w:val="00D315BE"/>
    <w:rsid w:val="00D31609"/>
    <w:rsid w:val="00D3166A"/>
    <w:rsid w:val="00D3167C"/>
    <w:rsid w:val="00D3170C"/>
    <w:rsid w:val="00D31714"/>
    <w:rsid w:val="00D31725"/>
    <w:rsid w:val="00D3174D"/>
    <w:rsid w:val="00D317BD"/>
    <w:rsid w:val="00D317CE"/>
    <w:rsid w:val="00D317DA"/>
    <w:rsid w:val="00D317FA"/>
    <w:rsid w:val="00D31817"/>
    <w:rsid w:val="00D31830"/>
    <w:rsid w:val="00D31838"/>
    <w:rsid w:val="00D3189F"/>
    <w:rsid w:val="00D318C7"/>
    <w:rsid w:val="00D31944"/>
    <w:rsid w:val="00D31991"/>
    <w:rsid w:val="00D319B6"/>
    <w:rsid w:val="00D319E6"/>
    <w:rsid w:val="00D31A53"/>
    <w:rsid w:val="00D31ACE"/>
    <w:rsid w:val="00D31B09"/>
    <w:rsid w:val="00D31B44"/>
    <w:rsid w:val="00D31BAF"/>
    <w:rsid w:val="00D31C2F"/>
    <w:rsid w:val="00D31C81"/>
    <w:rsid w:val="00D31CA6"/>
    <w:rsid w:val="00D31D05"/>
    <w:rsid w:val="00D31D19"/>
    <w:rsid w:val="00D31D97"/>
    <w:rsid w:val="00D31DAE"/>
    <w:rsid w:val="00D31E3A"/>
    <w:rsid w:val="00D31E8F"/>
    <w:rsid w:val="00D31E92"/>
    <w:rsid w:val="00D31F0A"/>
    <w:rsid w:val="00D31F2C"/>
    <w:rsid w:val="00D31F58"/>
    <w:rsid w:val="00D31FC8"/>
    <w:rsid w:val="00D32092"/>
    <w:rsid w:val="00D320BF"/>
    <w:rsid w:val="00D32124"/>
    <w:rsid w:val="00D32127"/>
    <w:rsid w:val="00D3214B"/>
    <w:rsid w:val="00D3215F"/>
    <w:rsid w:val="00D32180"/>
    <w:rsid w:val="00D321B6"/>
    <w:rsid w:val="00D321F8"/>
    <w:rsid w:val="00D3227C"/>
    <w:rsid w:val="00D322C4"/>
    <w:rsid w:val="00D322DA"/>
    <w:rsid w:val="00D322E7"/>
    <w:rsid w:val="00D32312"/>
    <w:rsid w:val="00D32322"/>
    <w:rsid w:val="00D32389"/>
    <w:rsid w:val="00D323B6"/>
    <w:rsid w:val="00D323D4"/>
    <w:rsid w:val="00D323EB"/>
    <w:rsid w:val="00D3246F"/>
    <w:rsid w:val="00D32473"/>
    <w:rsid w:val="00D32496"/>
    <w:rsid w:val="00D324BF"/>
    <w:rsid w:val="00D324DB"/>
    <w:rsid w:val="00D324E4"/>
    <w:rsid w:val="00D32546"/>
    <w:rsid w:val="00D32553"/>
    <w:rsid w:val="00D32557"/>
    <w:rsid w:val="00D32598"/>
    <w:rsid w:val="00D325A1"/>
    <w:rsid w:val="00D325B2"/>
    <w:rsid w:val="00D32646"/>
    <w:rsid w:val="00D32666"/>
    <w:rsid w:val="00D3267B"/>
    <w:rsid w:val="00D3269B"/>
    <w:rsid w:val="00D326B9"/>
    <w:rsid w:val="00D326F6"/>
    <w:rsid w:val="00D32742"/>
    <w:rsid w:val="00D3274D"/>
    <w:rsid w:val="00D3279A"/>
    <w:rsid w:val="00D327B7"/>
    <w:rsid w:val="00D327D0"/>
    <w:rsid w:val="00D327EA"/>
    <w:rsid w:val="00D32844"/>
    <w:rsid w:val="00D32885"/>
    <w:rsid w:val="00D3288B"/>
    <w:rsid w:val="00D328C1"/>
    <w:rsid w:val="00D328C4"/>
    <w:rsid w:val="00D3290C"/>
    <w:rsid w:val="00D32920"/>
    <w:rsid w:val="00D3292F"/>
    <w:rsid w:val="00D32931"/>
    <w:rsid w:val="00D3299C"/>
    <w:rsid w:val="00D329B1"/>
    <w:rsid w:val="00D329EB"/>
    <w:rsid w:val="00D329F1"/>
    <w:rsid w:val="00D32A36"/>
    <w:rsid w:val="00D32A5A"/>
    <w:rsid w:val="00D32ACE"/>
    <w:rsid w:val="00D32AFB"/>
    <w:rsid w:val="00D32B11"/>
    <w:rsid w:val="00D32B51"/>
    <w:rsid w:val="00D32BB4"/>
    <w:rsid w:val="00D32C59"/>
    <w:rsid w:val="00D32C85"/>
    <w:rsid w:val="00D32C8E"/>
    <w:rsid w:val="00D32CCC"/>
    <w:rsid w:val="00D32CF4"/>
    <w:rsid w:val="00D32CFB"/>
    <w:rsid w:val="00D32D10"/>
    <w:rsid w:val="00D32DA5"/>
    <w:rsid w:val="00D32DD1"/>
    <w:rsid w:val="00D32E00"/>
    <w:rsid w:val="00D32E5F"/>
    <w:rsid w:val="00D32E83"/>
    <w:rsid w:val="00D32EB9"/>
    <w:rsid w:val="00D32EC3"/>
    <w:rsid w:val="00D32ED6"/>
    <w:rsid w:val="00D32F41"/>
    <w:rsid w:val="00D32F54"/>
    <w:rsid w:val="00D32F80"/>
    <w:rsid w:val="00D32FA1"/>
    <w:rsid w:val="00D33026"/>
    <w:rsid w:val="00D33059"/>
    <w:rsid w:val="00D3305B"/>
    <w:rsid w:val="00D33070"/>
    <w:rsid w:val="00D33098"/>
    <w:rsid w:val="00D330E3"/>
    <w:rsid w:val="00D3315C"/>
    <w:rsid w:val="00D33165"/>
    <w:rsid w:val="00D3319D"/>
    <w:rsid w:val="00D33201"/>
    <w:rsid w:val="00D33281"/>
    <w:rsid w:val="00D332D9"/>
    <w:rsid w:val="00D33325"/>
    <w:rsid w:val="00D3334A"/>
    <w:rsid w:val="00D3336E"/>
    <w:rsid w:val="00D33378"/>
    <w:rsid w:val="00D333E3"/>
    <w:rsid w:val="00D3340C"/>
    <w:rsid w:val="00D33414"/>
    <w:rsid w:val="00D33452"/>
    <w:rsid w:val="00D33499"/>
    <w:rsid w:val="00D334F7"/>
    <w:rsid w:val="00D33534"/>
    <w:rsid w:val="00D3354E"/>
    <w:rsid w:val="00D335EE"/>
    <w:rsid w:val="00D335F8"/>
    <w:rsid w:val="00D33651"/>
    <w:rsid w:val="00D33663"/>
    <w:rsid w:val="00D336CE"/>
    <w:rsid w:val="00D33705"/>
    <w:rsid w:val="00D33731"/>
    <w:rsid w:val="00D33733"/>
    <w:rsid w:val="00D33788"/>
    <w:rsid w:val="00D337BC"/>
    <w:rsid w:val="00D337E5"/>
    <w:rsid w:val="00D33882"/>
    <w:rsid w:val="00D338A2"/>
    <w:rsid w:val="00D338B5"/>
    <w:rsid w:val="00D33943"/>
    <w:rsid w:val="00D3397C"/>
    <w:rsid w:val="00D339F0"/>
    <w:rsid w:val="00D33A20"/>
    <w:rsid w:val="00D33A36"/>
    <w:rsid w:val="00D33AAE"/>
    <w:rsid w:val="00D33AF0"/>
    <w:rsid w:val="00D33B24"/>
    <w:rsid w:val="00D33B63"/>
    <w:rsid w:val="00D33BB4"/>
    <w:rsid w:val="00D33BD1"/>
    <w:rsid w:val="00D33C97"/>
    <w:rsid w:val="00D33CEE"/>
    <w:rsid w:val="00D33D2A"/>
    <w:rsid w:val="00D33D74"/>
    <w:rsid w:val="00D33D75"/>
    <w:rsid w:val="00D33DB1"/>
    <w:rsid w:val="00D33DC6"/>
    <w:rsid w:val="00D33DD3"/>
    <w:rsid w:val="00D33DE0"/>
    <w:rsid w:val="00D33DF8"/>
    <w:rsid w:val="00D33E00"/>
    <w:rsid w:val="00D33E54"/>
    <w:rsid w:val="00D33E7F"/>
    <w:rsid w:val="00D33F1F"/>
    <w:rsid w:val="00D33F21"/>
    <w:rsid w:val="00D33F42"/>
    <w:rsid w:val="00D33F9F"/>
    <w:rsid w:val="00D33FB7"/>
    <w:rsid w:val="00D33FDF"/>
    <w:rsid w:val="00D34051"/>
    <w:rsid w:val="00D3405C"/>
    <w:rsid w:val="00D3407D"/>
    <w:rsid w:val="00D34087"/>
    <w:rsid w:val="00D340D9"/>
    <w:rsid w:val="00D34100"/>
    <w:rsid w:val="00D34101"/>
    <w:rsid w:val="00D3411F"/>
    <w:rsid w:val="00D34120"/>
    <w:rsid w:val="00D3412E"/>
    <w:rsid w:val="00D34130"/>
    <w:rsid w:val="00D3414C"/>
    <w:rsid w:val="00D3414F"/>
    <w:rsid w:val="00D34186"/>
    <w:rsid w:val="00D341B8"/>
    <w:rsid w:val="00D341D8"/>
    <w:rsid w:val="00D34234"/>
    <w:rsid w:val="00D3429C"/>
    <w:rsid w:val="00D342C5"/>
    <w:rsid w:val="00D3435B"/>
    <w:rsid w:val="00D34387"/>
    <w:rsid w:val="00D34397"/>
    <w:rsid w:val="00D34409"/>
    <w:rsid w:val="00D344CB"/>
    <w:rsid w:val="00D3451E"/>
    <w:rsid w:val="00D34523"/>
    <w:rsid w:val="00D34529"/>
    <w:rsid w:val="00D34561"/>
    <w:rsid w:val="00D3456F"/>
    <w:rsid w:val="00D34574"/>
    <w:rsid w:val="00D34582"/>
    <w:rsid w:val="00D34587"/>
    <w:rsid w:val="00D345B0"/>
    <w:rsid w:val="00D345B4"/>
    <w:rsid w:val="00D345EE"/>
    <w:rsid w:val="00D345F8"/>
    <w:rsid w:val="00D3461E"/>
    <w:rsid w:val="00D3471E"/>
    <w:rsid w:val="00D34742"/>
    <w:rsid w:val="00D3481D"/>
    <w:rsid w:val="00D34839"/>
    <w:rsid w:val="00D348BF"/>
    <w:rsid w:val="00D348D3"/>
    <w:rsid w:val="00D348EF"/>
    <w:rsid w:val="00D34934"/>
    <w:rsid w:val="00D3496D"/>
    <w:rsid w:val="00D3499F"/>
    <w:rsid w:val="00D34A01"/>
    <w:rsid w:val="00D34A0D"/>
    <w:rsid w:val="00D34A1B"/>
    <w:rsid w:val="00D34A66"/>
    <w:rsid w:val="00D34A82"/>
    <w:rsid w:val="00D34B08"/>
    <w:rsid w:val="00D34B71"/>
    <w:rsid w:val="00D34BA5"/>
    <w:rsid w:val="00D34BBA"/>
    <w:rsid w:val="00D34BED"/>
    <w:rsid w:val="00D34C10"/>
    <w:rsid w:val="00D34C1D"/>
    <w:rsid w:val="00D34C33"/>
    <w:rsid w:val="00D34C88"/>
    <w:rsid w:val="00D34D18"/>
    <w:rsid w:val="00D34DCA"/>
    <w:rsid w:val="00D34DDC"/>
    <w:rsid w:val="00D34E34"/>
    <w:rsid w:val="00D34E63"/>
    <w:rsid w:val="00D34EAD"/>
    <w:rsid w:val="00D34EC1"/>
    <w:rsid w:val="00D34ECF"/>
    <w:rsid w:val="00D34ED0"/>
    <w:rsid w:val="00D34F00"/>
    <w:rsid w:val="00D34F8A"/>
    <w:rsid w:val="00D34FA3"/>
    <w:rsid w:val="00D34FC8"/>
    <w:rsid w:val="00D3500E"/>
    <w:rsid w:val="00D350AA"/>
    <w:rsid w:val="00D350EE"/>
    <w:rsid w:val="00D3510E"/>
    <w:rsid w:val="00D3512D"/>
    <w:rsid w:val="00D35135"/>
    <w:rsid w:val="00D35166"/>
    <w:rsid w:val="00D35180"/>
    <w:rsid w:val="00D351A7"/>
    <w:rsid w:val="00D351AE"/>
    <w:rsid w:val="00D351DD"/>
    <w:rsid w:val="00D3529B"/>
    <w:rsid w:val="00D3529C"/>
    <w:rsid w:val="00D352E1"/>
    <w:rsid w:val="00D3530F"/>
    <w:rsid w:val="00D3535E"/>
    <w:rsid w:val="00D35420"/>
    <w:rsid w:val="00D35448"/>
    <w:rsid w:val="00D3544D"/>
    <w:rsid w:val="00D35456"/>
    <w:rsid w:val="00D3547D"/>
    <w:rsid w:val="00D354C1"/>
    <w:rsid w:val="00D3550B"/>
    <w:rsid w:val="00D3550C"/>
    <w:rsid w:val="00D35524"/>
    <w:rsid w:val="00D35549"/>
    <w:rsid w:val="00D3559B"/>
    <w:rsid w:val="00D355FD"/>
    <w:rsid w:val="00D35606"/>
    <w:rsid w:val="00D3560C"/>
    <w:rsid w:val="00D3567F"/>
    <w:rsid w:val="00D356A4"/>
    <w:rsid w:val="00D356AA"/>
    <w:rsid w:val="00D356B3"/>
    <w:rsid w:val="00D356F0"/>
    <w:rsid w:val="00D3572E"/>
    <w:rsid w:val="00D35745"/>
    <w:rsid w:val="00D35806"/>
    <w:rsid w:val="00D35809"/>
    <w:rsid w:val="00D35858"/>
    <w:rsid w:val="00D358B6"/>
    <w:rsid w:val="00D35905"/>
    <w:rsid w:val="00D35936"/>
    <w:rsid w:val="00D3596C"/>
    <w:rsid w:val="00D35A18"/>
    <w:rsid w:val="00D35AA5"/>
    <w:rsid w:val="00D35AF1"/>
    <w:rsid w:val="00D35B14"/>
    <w:rsid w:val="00D35B61"/>
    <w:rsid w:val="00D35B69"/>
    <w:rsid w:val="00D35BC3"/>
    <w:rsid w:val="00D35C06"/>
    <w:rsid w:val="00D35C11"/>
    <w:rsid w:val="00D35C16"/>
    <w:rsid w:val="00D35C1C"/>
    <w:rsid w:val="00D35C3A"/>
    <w:rsid w:val="00D35C5A"/>
    <w:rsid w:val="00D35C65"/>
    <w:rsid w:val="00D35C74"/>
    <w:rsid w:val="00D35C83"/>
    <w:rsid w:val="00D35CFE"/>
    <w:rsid w:val="00D35D37"/>
    <w:rsid w:val="00D35D73"/>
    <w:rsid w:val="00D35D90"/>
    <w:rsid w:val="00D35D93"/>
    <w:rsid w:val="00D35DC9"/>
    <w:rsid w:val="00D35E1F"/>
    <w:rsid w:val="00D35E6C"/>
    <w:rsid w:val="00D35E89"/>
    <w:rsid w:val="00D35EAD"/>
    <w:rsid w:val="00D35EFB"/>
    <w:rsid w:val="00D35F0C"/>
    <w:rsid w:val="00D35F59"/>
    <w:rsid w:val="00D36036"/>
    <w:rsid w:val="00D36074"/>
    <w:rsid w:val="00D36077"/>
    <w:rsid w:val="00D360B0"/>
    <w:rsid w:val="00D360BE"/>
    <w:rsid w:val="00D3615F"/>
    <w:rsid w:val="00D36172"/>
    <w:rsid w:val="00D361A2"/>
    <w:rsid w:val="00D361B2"/>
    <w:rsid w:val="00D36228"/>
    <w:rsid w:val="00D36245"/>
    <w:rsid w:val="00D3624C"/>
    <w:rsid w:val="00D36254"/>
    <w:rsid w:val="00D36271"/>
    <w:rsid w:val="00D362DE"/>
    <w:rsid w:val="00D36315"/>
    <w:rsid w:val="00D36376"/>
    <w:rsid w:val="00D3641C"/>
    <w:rsid w:val="00D3643A"/>
    <w:rsid w:val="00D36473"/>
    <w:rsid w:val="00D3649A"/>
    <w:rsid w:val="00D364A0"/>
    <w:rsid w:val="00D364AC"/>
    <w:rsid w:val="00D36511"/>
    <w:rsid w:val="00D36525"/>
    <w:rsid w:val="00D36574"/>
    <w:rsid w:val="00D36577"/>
    <w:rsid w:val="00D3659A"/>
    <w:rsid w:val="00D3660F"/>
    <w:rsid w:val="00D36651"/>
    <w:rsid w:val="00D366F0"/>
    <w:rsid w:val="00D3671A"/>
    <w:rsid w:val="00D3672A"/>
    <w:rsid w:val="00D3676C"/>
    <w:rsid w:val="00D3677E"/>
    <w:rsid w:val="00D367BF"/>
    <w:rsid w:val="00D367F6"/>
    <w:rsid w:val="00D36813"/>
    <w:rsid w:val="00D368EC"/>
    <w:rsid w:val="00D36903"/>
    <w:rsid w:val="00D3691C"/>
    <w:rsid w:val="00D3698A"/>
    <w:rsid w:val="00D369E5"/>
    <w:rsid w:val="00D369EB"/>
    <w:rsid w:val="00D369F7"/>
    <w:rsid w:val="00D36A33"/>
    <w:rsid w:val="00D36A54"/>
    <w:rsid w:val="00D36A72"/>
    <w:rsid w:val="00D36AAA"/>
    <w:rsid w:val="00D36ACF"/>
    <w:rsid w:val="00D36B11"/>
    <w:rsid w:val="00D36B12"/>
    <w:rsid w:val="00D36B13"/>
    <w:rsid w:val="00D36B8D"/>
    <w:rsid w:val="00D36BD3"/>
    <w:rsid w:val="00D36BE5"/>
    <w:rsid w:val="00D36C0B"/>
    <w:rsid w:val="00D36C46"/>
    <w:rsid w:val="00D36C49"/>
    <w:rsid w:val="00D36C70"/>
    <w:rsid w:val="00D36CA4"/>
    <w:rsid w:val="00D36CD1"/>
    <w:rsid w:val="00D36D0B"/>
    <w:rsid w:val="00D36D21"/>
    <w:rsid w:val="00D36D66"/>
    <w:rsid w:val="00D36D89"/>
    <w:rsid w:val="00D36D8E"/>
    <w:rsid w:val="00D36DAF"/>
    <w:rsid w:val="00D36DC2"/>
    <w:rsid w:val="00D36DEF"/>
    <w:rsid w:val="00D36DF0"/>
    <w:rsid w:val="00D36EF0"/>
    <w:rsid w:val="00D36EFC"/>
    <w:rsid w:val="00D36F51"/>
    <w:rsid w:val="00D36F64"/>
    <w:rsid w:val="00D36FB8"/>
    <w:rsid w:val="00D36FD7"/>
    <w:rsid w:val="00D36FDC"/>
    <w:rsid w:val="00D36FE4"/>
    <w:rsid w:val="00D36FF9"/>
    <w:rsid w:val="00D37005"/>
    <w:rsid w:val="00D37021"/>
    <w:rsid w:val="00D3704B"/>
    <w:rsid w:val="00D37062"/>
    <w:rsid w:val="00D370A5"/>
    <w:rsid w:val="00D370A7"/>
    <w:rsid w:val="00D370B8"/>
    <w:rsid w:val="00D370E0"/>
    <w:rsid w:val="00D37101"/>
    <w:rsid w:val="00D37156"/>
    <w:rsid w:val="00D37189"/>
    <w:rsid w:val="00D371D2"/>
    <w:rsid w:val="00D3720B"/>
    <w:rsid w:val="00D3725D"/>
    <w:rsid w:val="00D372B6"/>
    <w:rsid w:val="00D372C2"/>
    <w:rsid w:val="00D372D2"/>
    <w:rsid w:val="00D372E7"/>
    <w:rsid w:val="00D3732D"/>
    <w:rsid w:val="00D3733E"/>
    <w:rsid w:val="00D37370"/>
    <w:rsid w:val="00D3738D"/>
    <w:rsid w:val="00D373AF"/>
    <w:rsid w:val="00D373B5"/>
    <w:rsid w:val="00D37438"/>
    <w:rsid w:val="00D37474"/>
    <w:rsid w:val="00D3747D"/>
    <w:rsid w:val="00D375BF"/>
    <w:rsid w:val="00D375C5"/>
    <w:rsid w:val="00D375DE"/>
    <w:rsid w:val="00D3763E"/>
    <w:rsid w:val="00D37731"/>
    <w:rsid w:val="00D37768"/>
    <w:rsid w:val="00D3776F"/>
    <w:rsid w:val="00D3779A"/>
    <w:rsid w:val="00D377A5"/>
    <w:rsid w:val="00D377EF"/>
    <w:rsid w:val="00D3780F"/>
    <w:rsid w:val="00D3782B"/>
    <w:rsid w:val="00D3791E"/>
    <w:rsid w:val="00D37943"/>
    <w:rsid w:val="00D3795C"/>
    <w:rsid w:val="00D37998"/>
    <w:rsid w:val="00D379CE"/>
    <w:rsid w:val="00D379DA"/>
    <w:rsid w:val="00D37A0F"/>
    <w:rsid w:val="00D37A3B"/>
    <w:rsid w:val="00D37A62"/>
    <w:rsid w:val="00D37A8D"/>
    <w:rsid w:val="00D37A9B"/>
    <w:rsid w:val="00D37A9E"/>
    <w:rsid w:val="00D37AA0"/>
    <w:rsid w:val="00D37AA4"/>
    <w:rsid w:val="00D37AE8"/>
    <w:rsid w:val="00D37B3B"/>
    <w:rsid w:val="00D37B72"/>
    <w:rsid w:val="00D37B78"/>
    <w:rsid w:val="00D37B8A"/>
    <w:rsid w:val="00D37BBF"/>
    <w:rsid w:val="00D37BD6"/>
    <w:rsid w:val="00D37C20"/>
    <w:rsid w:val="00D37CA7"/>
    <w:rsid w:val="00D37CF8"/>
    <w:rsid w:val="00D37D0B"/>
    <w:rsid w:val="00D37D16"/>
    <w:rsid w:val="00D37D31"/>
    <w:rsid w:val="00D37D85"/>
    <w:rsid w:val="00D37E00"/>
    <w:rsid w:val="00D37E0B"/>
    <w:rsid w:val="00D37E5C"/>
    <w:rsid w:val="00D37F13"/>
    <w:rsid w:val="00D37F20"/>
    <w:rsid w:val="00D37F91"/>
    <w:rsid w:val="00D37FAD"/>
    <w:rsid w:val="00D40039"/>
    <w:rsid w:val="00D40053"/>
    <w:rsid w:val="00D40084"/>
    <w:rsid w:val="00D4010C"/>
    <w:rsid w:val="00D40125"/>
    <w:rsid w:val="00D4012A"/>
    <w:rsid w:val="00D40178"/>
    <w:rsid w:val="00D4018B"/>
    <w:rsid w:val="00D401A3"/>
    <w:rsid w:val="00D401AD"/>
    <w:rsid w:val="00D401C3"/>
    <w:rsid w:val="00D401FA"/>
    <w:rsid w:val="00D40228"/>
    <w:rsid w:val="00D40229"/>
    <w:rsid w:val="00D40236"/>
    <w:rsid w:val="00D40241"/>
    <w:rsid w:val="00D4029C"/>
    <w:rsid w:val="00D402DB"/>
    <w:rsid w:val="00D40309"/>
    <w:rsid w:val="00D40310"/>
    <w:rsid w:val="00D40351"/>
    <w:rsid w:val="00D40353"/>
    <w:rsid w:val="00D40388"/>
    <w:rsid w:val="00D403E6"/>
    <w:rsid w:val="00D40429"/>
    <w:rsid w:val="00D40447"/>
    <w:rsid w:val="00D40449"/>
    <w:rsid w:val="00D404A4"/>
    <w:rsid w:val="00D404E5"/>
    <w:rsid w:val="00D40590"/>
    <w:rsid w:val="00D405A1"/>
    <w:rsid w:val="00D405AE"/>
    <w:rsid w:val="00D405C3"/>
    <w:rsid w:val="00D405E9"/>
    <w:rsid w:val="00D40641"/>
    <w:rsid w:val="00D40693"/>
    <w:rsid w:val="00D4069A"/>
    <w:rsid w:val="00D406A6"/>
    <w:rsid w:val="00D406AC"/>
    <w:rsid w:val="00D40741"/>
    <w:rsid w:val="00D40758"/>
    <w:rsid w:val="00D407BB"/>
    <w:rsid w:val="00D40823"/>
    <w:rsid w:val="00D4084B"/>
    <w:rsid w:val="00D40864"/>
    <w:rsid w:val="00D4089A"/>
    <w:rsid w:val="00D40930"/>
    <w:rsid w:val="00D40954"/>
    <w:rsid w:val="00D40967"/>
    <w:rsid w:val="00D4097F"/>
    <w:rsid w:val="00D40989"/>
    <w:rsid w:val="00D409EB"/>
    <w:rsid w:val="00D40A25"/>
    <w:rsid w:val="00D40A30"/>
    <w:rsid w:val="00D40A32"/>
    <w:rsid w:val="00D40A48"/>
    <w:rsid w:val="00D40A54"/>
    <w:rsid w:val="00D40A5C"/>
    <w:rsid w:val="00D40AD7"/>
    <w:rsid w:val="00D40AFF"/>
    <w:rsid w:val="00D40B3A"/>
    <w:rsid w:val="00D40B5B"/>
    <w:rsid w:val="00D40B7A"/>
    <w:rsid w:val="00D40BBF"/>
    <w:rsid w:val="00D40C3E"/>
    <w:rsid w:val="00D40C66"/>
    <w:rsid w:val="00D40CB3"/>
    <w:rsid w:val="00D40CBC"/>
    <w:rsid w:val="00D40CC2"/>
    <w:rsid w:val="00D40CD2"/>
    <w:rsid w:val="00D40D1E"/>
    <w:rsid w:val="00D40D5B"/>
    <w:rsid w:val="00D40D92"/>
    <w:rsid w:val="00D40DCD"/>
    <w:rsid w:val="00D40DDB"/>
    <w:rsid w:val="00D40DE1"/>
    <w:rsid w:val="00D40DF7"/>
    <w:rsid w:val="00D40E52"/>
    <w:rsid w:val="00D40E73"/>
    <w:rsid w:val="00D40E83"/>
    <w:rsid w:val="00D40EDD"/>
    <w:rsid w:val="00D40EEA"/>
    <w:rsid w:val="00D40F1B"/>
    <w:rsid w:val="00D40F42"/>
    <w:rsid w:val="00D40F6A"/>
    <w:rsid w:val="00D40FAE"/>
    <w:rsid w:val="00D4101A"/>
    <w:rsid w:val="00D41050"/>
    <w:rsid w:val="00D4105A"/>
    <w:rsid w:val="00D410FC"/>
    <w:rsid w:val="00D4110E"/>
    <w:rsid w:val="00D4111A"/>
    <w:rsid w:val="00D41125"/>
    <w:rsid w:val="00D41147"/>
    <w:rsid w:val="00D4117D"/>
    <w:rsid w:val="00D411B1"/>
    <w:rsid w:val="00D411E8"/>
    <w:rsid w:val="00D41218"/>
    <w:rsid w:val="00D41237"/>
    <w:rsid w:val="00D4125B"/>
    <w:rsid w:val="00D41268"/>
    <w:rsid w:val="00D4126D"/>
    <w:rsid w:val="00D41274"/>
    <w:rsid w:val="00D41298"/>
    <w:rsid w:val="00D412E8"/>
    <w:rsid w:val="00D412EB"/>
    <w:rsid w:val="00D412F8"/>
    <w:rsid w:val="00D4134D"/>
    <w:rsid w:val="00D41351"/>
    <w:rsid w:val="00D413B2"/>
    <w:rsid w:val="00D413B9"/>
    <w:rsid w:val="00D413E8"/>
    <w:rsid w:val="00D41434"/>
    <w:rsid w:val="00D41440"/>
    <w:rsid w:val="00D41478"/>
    <w:rsid w:val="00D4148A"/>
    <w:rsid w:val="00D4151B"/>
    <w:rsid w:val="00D4160F"/>
    <w:rsid w:val="00D4161A"/>
    <w:rsid w:val="00D41646"/>
    <w:rsid w:val="00D416BB"/>
    <w:rsid w:val="00D416D2"/>
    <w:rsid w:val="00D4171A"/>
    <w:rsid w:val="00D4174E"/>
    <w:rsid w:val="00D4180C"/>
    <w:rsid w:val="00D41820"/>
    <w:rsid w:val="00D41928"/>
    <w:rsid w:val="00D419C2"/>
    <w:rsid w:val="00D419E6"/>
    <w:rsid w:val="00D41A2F"/>
    <w:rsid w:val="00D41A9B"/>
    <w:rsid w:val="00D41AAD"/>
    <w:rsid w:val="00D41AB2"/>
    <w:rsid w:val="00D41AF6"/>
    <w:rsid w:val="00D41B10"/>
    <w:rsid w:val="00D41B6A"/>
    <w:rsid w:val="00D41B7D"/>
    <w:rsid w:val="00D41B90"/>
    <w:rsid w:val="00D41B92"/>
    <w:rsid w:val="00D41B9A"/>
    <w:rsid w:val="00D41C10"/>
    <w:rsid w:val="00D41C38"/>
    <w:rsid w:val="00D41C41"/>
    <w:rsid w:val="00D41D15"/>
    <w:rsid w:val="00D41D52"/>
    <w:rsid w:val="00D41E15"/>
    <w:rsid w:val="00D41E30"/>
    <w:rsid w:val="00D41E7E"/>
    <w:rsid w:val="00D41E9B"/>
    <w:rsid w:val="00D41EB4"/>
    <w:rsid w:val="00D41EC8"/>
    <w:rsid w:val="00D41EDF"/>
    <w:rsid w:val="00D41F48"/>
    <w:rsid w:val="00D41F97"/>
    <w:rsid w:val="00D41FA1"/>
    <w:rsid w:val="00D41FF3"/>
    <w:rsid w:val="00D42019"/>
    <w:rsid w:val="00D42073"/>
    <w:rsid w:val="00D4207D"/>
    <w:rsid w:val="00D42088"/>
    <w:rsid w:val="00D4208C"/>
    <w:rsid w:val="00D420A0"/>
    <w:rsid w:val="00D4211C"/>
    <w:rsid w:val="00D4214C"/>
    <w:rsid w:val="00D421F1"/>
    <w:rsid w:val="00D42239"/>
    <w:rsid w:val="00D42349"/>
    <w:rsid w:val="00D423B5"/>
    <w:rsid w:val="00D423B8"/>
    <w:rsid w:val="00D423DC"/>
    <w:rsid w:val="00D42429"/>
    <w:rsid w:val="00D4247F"/>
    <w:rsid w:val="00D4249A"/>
    <w:rsid w:val="00D424B2"/>
    <w:rsid w:val="00D424B5"/>
    <w:rsid w:val="00D424DB"/>
    <w:rsid w:val="00D42530"/>
    <w:rsid w:val="00D4260A"/>
    <w:rsid w:val="00D42652"/>
    <w:rsid w:val="00D42689"/>
    <w:rsid w:val="00D426C7"/>
    <w:rsid w:val="00D426E0"/>
    <w:rsid w:val="00D42737"/>
    <w:rsid w:val="00D42785"/>
    <w:rsid w:val="00D42803"/>
    <w:rsid w:val="00D428EF"/>
    <w:rsid w:val="00D4292E"/>
    <w:rsid w:val="00D42983"/>
    <w:rsid w:val="00D42996"/>
    <w:rsid w:val="00D4299D"/>
    <w:rsid w:val="00D429F3"/>
    <w:rsid w:val="00D42A1B"/>
    <w:rsid w:val="00D42A60"/>
    <w:rsid w:val="00D42AAE"/>
    <w:rsid w:val="00D42B14"/>
    <w:rsid w:val="00D42B3D"/>
    <w:rsid w:val="00D42B40"/>
    <w:rsid w:val="00D42B71"/>
    <w:rsid w:val="00D42BFF"/>
    <w:rsid w:val="00D42CEB"/>
    <w:rsid w:val="00D42D2D"/>
    <w:rsid w:val="00D42E11"/>
    <w:rsid w:val="00D42E54"/>
    <w:rsid w:val="00D42E60"/>
    <w:rsid w:val="00D42EB7"/>
    <w:rsid w:val="00D42EBA"/>
    <w:rsid w:val="00D42EC2"/>
    <w:rsid w:val="00D42EC7"/>
    <w:rsid w:val="00D42F83"/>
    <w:rsid w:val="00D42FA9"/>
    <w:rsid w:val="00D43020"/>
    <w:rsid w:val="00D4302A"/>
    <w:rsid w:val="00D430D3"/>
    <w:rsid w:val="00D430E0"/>
    <w:rsid w:val="00D43100"/>
    <w:rsid w:val="00D43101"/>
    <w:rsid w:val="00D43139"/>
    <w:rsid w:val="00D4318F"/>
    <w:rsid w:val="00D431B7"/>
    <w:rsid w:val="00D43255"/>
    <w:rsid w:val="00D4328C"/>
    <w:rsid w:val="00D432D5"/>
    <w:rsid w:val="00D4331F"/>
    <w:rsid w:val="00D43322"/>
    <w:rsid w:val="00D43343"/>
    <w:rsid w:val="00D433F1"/>
    <w:rsid w:val="00D43401"/>
    <w:rsid w:val="00D4341C"/>
    <w:rsid w:val="00D4343F"/>
    <w:rsid w:val="00D434AC"/>
    <w:rsid w:val="00D434AE"/>
    <w:rsid w:val="00D434C1"/>
    <w:rsid w:val="00D43501"/>
    <w:rsid w:val="00D4354A"/>
    <w:rsid w:val="00D4354F"/>
    <w:rsid w:val="00D43551"/>
    <w:rsid w:val="00D43582"/>
    <w:rsid w:val="00D43594"/>
    <w:rsid w:val="00D435B5"/>
    <w:rsid w:val="00D435C4"/>
    <w:rsid w:val="00D435CC"/>
    <w:rsid w:val="00D435D8"/>
    <w:rsid w:val="00D435EB"/>
    <w:rsid w:val="00D435FB"/>
    <w:rsid w:val="00D43619"/>
    <w:rsid w:val="00D4361E"/>
    <w:rsid w:val="00D4364F"/>
    <w:rsid w:val="00D436E2"/>
    <w:rsid w:val="00D43707"/>
    <w:rsid w:val="00D4376D"/>
    <w:rsid w:val="00D437CA"/>
    <w:rsid w:val="00D437EC"/>
    <w:rsid w:val="00D43802"/>
    <w:rsid w:val="00D43805"/>
    <w:rsid w:val="00D4380C"/>
    <w:rsid w:val="00D43841"/>
    <w:rsid w:val="00D43850"/>
    <w:rsid w:val="00D43853"/>
    <w:rsid w:val="00D43857"/>
    <w:rsid w:val="00D43865"/>
    <w:rsid w:val="00D43873"/>
    <w:rsid w:val="00D438B5"/>
    <w:rsid w:val="00D438F9"/>
    <w:rsid w:val="00D43901"/>
    <w:rsid w:val="00D43919"/>
    <w:rsid w:val="00D4393D"/>
    <w:rsid w:val="00D439AF"/>
    <w:rsid w:val="00D439B1"/>
    <w:rsid w:val="00D439B6"/>
    <w:rsid w:val="00D439CE"/>
    <w:rsid w:val="00D43A2E"/>
    <w:rsid w:val="00D43A4B"/>
    <w:rsid w:val="00D43A6B"/>
    <w:rsid w:val="00D43AA7"/>
    <w:rsid w:val="00D43AED"/>
    <w:rsid w:val="00D43B52"/>
    <w:rsid w:val="00D43B57"/>
    <w:rsid w:val="00D43B8C"/>
    <w:rsid w:val="00D43B9C"/>
    <w:rsid w:val="00D43BFA"/>
    <w:rsid w:val="00D43C2E"/>
    <w:rsid w:val="00D43C55"/>
    <w:rsid w:val="00D43C6D"/>
    <w:rsid w:val="00D43C78"/>
    <w:rsid w:val="00D43C9E"/>
    <w:rsid w:val="00D43CB2"/>
    <w:rsid w:val="00D43D0A"/>
    <w:rsid w:val="00D43D3D"/>
    <w:rsid w:val="00D43D9A"/>
    <w:rsid w:val="00D43D9C"/>
    <w:rsid w:val="00D43DAF"/>
    <w:rsid w:val="00D43E10"/>
    <w:rsid w:val="00D43E21"/>
    <w:rsid w:val="00D43E31"/>
    <w:rsid w:val="00D43E45"/>
    <w:rsid w:val="00D43EFC"/>
    <w:rsid w:val="00D43F99"/>
    <w:rsid w:val="00D43FFF"/>
    <w:rsid w:val="00D4404D"/>
    <w:rsid w:val="00D440CC"/>
    <w:rsid w:val="00D44101"/>
    <w:rsid w:val="00D44120"/>
    <w:rsid w:val="00D44147"/>
    <w:rsid w:val="00D441C9"/>
    <w:rsid w:val="00D441CD"/>
    <w:rsid w:val="00D441CE"/>
    <w:rsid w:val="00D441D8"/>
    <w:rsid w:val="00D441E5"/>
    <w:rsid w:val="00D44209"/>
    <w:rsid w:val="00D4423F"/>
    <w:rsid w:val="00D44242"/>
    <w:rsid w:val="00D44290"/>
    <w:rsid w:val="00D442EF"/>
    <w:rsid w:val="00D44318"/>
    <w:rsid w:val="00D44372"/>
    <w:rsid w:val="00D443A8"/>
    <w:rsid w:val="00D4440C"/>
    <w:rsid w:val="00D44436"/>
    <w:rsid w:val="00D44462"/>
    <w:rsid w:val="00D444EE"/>
    <w:rsid w:val="00D44528"/>
    <w:rsid w:val="00D4456B"/>
    <w:rsid w:val="00D445A1"/>
    <w:rsid w:val="00D445D6"/>
    <w:rsid w:val="00D445DF"/>
    <w:rsid w:val="00D44605"/>
    <w:rsid w:val="00D44686"/>
    <w:rsid w:val="00D446E5"/>
    <w:rsid w:val="00D44700"/>
    <w:rsid w:val="00D4471E"/>
    <w:rsid w:val="00D44725"/>
    <w:rsid w:val="00D44759"/>
    <w:rsid w:val="00D44795"/>
    <w:rsid w:val="00D447D4"/>
    <w:rsid w:val="00D447DA"/>
    <w:rsid w:val="00D4482E"/>
    <w:rsid w:val="00D44863"/>
    <w:rsid w:val="00D4486A"/>
    <w:rsid w:val="00D448FE"/>
    <w:rsid w:val="00D44946"/>
    <w:rsid w:val="00D44957"/>
    <w:rsid w:val="00D449A1"/>
    <w:rsid w:val="00D44A2E"/>
    <w:rsid w:val="00D44A8E"/>
    <w:rsid w:val="00D44AC7"/>
    <w:rsid w:val="00D44B43"/>
    <w:rsid w:val="00D44C1D"/>
    <w:rsid w:val="00D44C50"/>
    <w:rsid w:val="00D44C90"/>
    <w:rsid w:val="00D44CCB"/>
    <w:rsid w:val="00D44D21"/>
    <w:rsid w:val="00D44D33"/>
    <w:rsid w:val="00D44D40"/>
    <w:rsid w:val="00D44D96"/>
    <w:rsid w:val="00D44DB1"/>
    <w:rsid w:val="00D44DB9"/>
    <w:rsid w:val="00D44DC6"/>
    <w:rsid w:val="00D44E39"/>
    <w:rsid w:val="00D44E3B"/>
    <w:rsid w:val="00D44E4D"/>
    <w:rsid w:val="00D44E67"/>
    <w:rsid w:val="00D44E72"/>
    <w:rsid w:val="00D44E94"/>
    <w:rsid w:val="00D44EDD"/>
    <w:rsid w:val="00D44EE6"/>
    <w:rsid w:val="00D44F94"/>
    <w:rsid w:val="00D44FAA"/>
    <w:rsid w:val="00D44FC7"/>
    <w:rsid w:val="00D45007"/>
    <w:rsid w:val="00D450D4"/>
    <w:rsid w:val="00D4510D"/>
    <w:rsid w:val="00D4511D"/>
    <w:rsid w:val="00D45179"/>
    <w:rsid w:val="00D451C7"/>
    <w:rsid w:val="00D451D4"/>
    <w:rsid w:val="00D45224"/>
    <w:rsid w:val="00D45313"/>
    <w:rsid w:val="00D45335"/>
    <w:rsid w:val="00D4533D"/>
    <w:rsid w:val="00D453A2"/>
    <w:rsid w:val="00D45457"/>
    <w:rsid w:val="00D45481"/>
    <w:rsid w:val="00D454AB"/>
    <w:rsid w:val="00D454BE"/>
    <w:rsid w:val="00D454C0"/>
    <w:rsid w:val="00D45506"/>
    <w:rsid w:val="00D45511"/>
    <w:rsid w:val="00D4552C"/>
    <w:rsid w:val="00D45586"/>
    <w:rsid w:val="00D45599"/>
    <w:rsid w:val="00D455FB"/>
    <w:rsid w:val="00D4560C"/>
    <w:rsid w:val="00D4561F"/>
    <w:rsid w:val="00D45699"/>
    <w:rsid w:val="00D45710"/>
    <w:rsid w:val="00D45720"/>
    <w:rsid w:val="00D4573A"/>
    <w:rsid w:val="00D457EB"/>
    <w:rsid w:val="00D457F5"/>
    <w:rsid w:val="00D45842"/>
    <w:rsid w:val="00D458EA"/>
    <w:rsid w:val="00D4596A"/>
    <w:rsid w:val="00D459BE"/>
    <w:rsid w:val="00D459DB"/>
    <w:rsid w:val="00D459E6"/>
    <w:rsid w:val="00D45A19"/>
    <w:rsid w:val="00D45A41"/>
    <w:rsid w:val="00D45A53"/>
    <w:rsid w:val="00D45A63"/>
    <w:rsid w:val="00D45A6F"/>
    <w:rsid w:val="00D45A8E"/>
    <w:rsid w:val="00D45A9A"/>
    <w:rsid w:val="00D45AF6"/>
    <w:rsid w:val="00D45B04"/>
    <w:rsid w:val="00D45B4D"/>
    <w:rsid w:val="00D45BC2"/>
    <w:rsid w:val="00D45BD9"/>
    <w:rsid w:val="00D45BFD"/>
    <w:rsid w:val="00D45C06"/>
    <w:rsid w:val="00D45C59"/>
    <w:rsid w:val="00D45C5F"/>
    <w:rsid w:val="00D45C62"/>
    <w:rsid w:val="00D45C9E"/>
    <w:rsid w:val="00D45CE9"/>
    <w:rsid w:val="00D45D55"/>
    <w:rsid w:val="00D45D70"/>
    <w:rsid w:val="00D45D71"/>
    <w:rsid w:val="00D45D79"/>
    <w:rsid w:val="00D45D7E"/>
    <w:rsid w:val="00D45DFD"/>
    <w:rsid w:val="00D45E19"/>
    <w:rsid w:val="00D45E41"/>
    <w:rsid w:val="00D45E4D"/>
    <w:rsid w:val="00D45E5C"/>
    <w:rsid w:val="00D45E79"/>
    <w:rsid w:val="00D45EBB"/>
    <w:rsid w:val="00D45F05"/>
    <w:rsid w:val="00D45F7C"/>
    <w:rsid w:val="00D45F9F"/>
    <w:rsid w:val="00D45FAD"/>
    <w:rsid w:val="00D4600E"/>
    <w:rsid w:val="00D4605F"/>
    <w:rsid w:val="00D46082"/>
    <w:rsid w:val="00D460B3"/>
    <w:rsid w:val="00D461C2"/>
    <w:rsid w:val="00D4620B"/>
    <w:rsid w:val="00D4620D"/>
    <w:rsid w:val="00D46267"/>
    <w:rsid w:val="00D46268"/>
    <w:rsid w:val="00D4627B"/>
    <w:rsid w:val="00D462F0"/>
    <w:rsid w:val="00D4630A"/>
    <w:rsid w:val="00D4632A"/>
    <w:rsid w:val="00D4634D"/>
    <w:rsid w:val="00D46371"/>
    <w:rsid w:val="00D463D3"/>
    <w:rsid w:val="00D46430"/>
    <w:rsid w:val="00D4646B"/>
    <w:rsid w:val="00D4648F"/>
    <w:rsid w:val="00D464BC"/>
    <w:rsid w:val="00D464C4"/>
    <w:rsid w:val="00D464D8"/>
    <w:rsid w:val="00D4651F"/>
    <w:rsid w:val="00D46548"/>
    <w:rsid w:val="00D46563"/>
    <w:rsid w:val="00D4656A"/>
    <w:rsid w:val="00D465A8"/>
    <w:rsid w:val="00D465AF"/>
    <w:rsid w:val="00D465C2"/>
    <w:rsid w:val="00D46673"/>
    <w:rsid w:val="00D466B0"/>
    <w:rsid w:val="00D4675E"/>
    <w:rsid w:val="00D46775"/>
    <w:rsid w:val="00D4678C"/>
    <w:rsid w:val="00D46795"/>
    <w:rsid w:val="00D46797"/>
    <w:rsid w:val="00D4681D"/>
    <w:rsid w:val="00D4681F"/>
    <w:rsid w:val="00D4682D"/>
    <w:rsid w:val="00D46859"/>
    <w:rsid w:val="00D46873"/>
    <w:rsid w:val="00D46896"/>
    <w:rsid w:val="00D468EF"/>
    <w:rsid w:val="00D468FA"/>
    <w:rsid w:val="00D4693C"/>
    <w:rsid w:val="00D46A12"/>
    <w:rsid w:val="00D46A64"/>
    <w:rsid w:val="00D46A69"/>
    <w:rsid w:val="00D46A76"/>
    <w:rsid w:val="00D46AB6"/>
    <w:rsid w:val="00D46ADE"/>
    <w:rsid w:val="00D46ADF"/>
    <w:rsid w:val="00D46B2D"/>
    <w:rsid w:val="00D46B65"/>
    <w:rsid w:val="00D46BAC"/>
    <w:rsid w:val="00D46BBC"/>
    <w:rsid w:val="00D46C16"/>
    <w:rsid w:val="00D46C20"/>
    <w:rsid w:val="00D46C2F"/>
    <w:rsid w:val="00D46C50"/>
    <w:rsid w:val="00D46C78"/>
    <w:rsid w:val="00D46C85"/>
    <w:rsid w:val="00D46CDD"/>
    <w:rsid w:val="00D46D14"/>
    <w:rsid w:val="00D46D5C"/>
    <w:rsid w:val="00D46EAB"/>
    <w:rsid w:val="00D46F3D"/>
    <w:rsid w:val="00D46FAD"/>
    <w:rsid w:val="00D46FE1"/>
    <w:rsid w:val="00D46FF3"/>
    <w:rsid w:val="00D46FF6"/>
    <w:rsid w:val="00D47013"/>
    <w:rsid w:val="00D47053"/>
    <w:rsid w:val="00D4706E"/>
    <w:rsid w:val="00D470A4"/>
    <w:rsid w:val="00D470B7"/>
    <w:rsid w:val="00D47102"/>
    <w:rsid w:val="00D47103"/>
    <w:rsid w:val="00D47147"/>
    <w:rsid w:val="00D4717B"/>
    <w:rsid w:val="00D4717E"/>
    <w:rsid w:val="00D471D6"/>
    <w:rsid w:val="00D47207"/>
    <w:rsid w:val="00D4720F"/>
    <w:rsid w:val="00D47226"/>
    <w:rsid w:val="00D47250"/>
    <w:rsid w:val="00D47253"/>
    <w:rsid w:val="00D47263"/>
    <w:rsid w:val="00D47269"/>
    <w:rsid w:val="00D472E9"/>
    <w:rsid w:val="00D47367"/>
    <w:rsid w:val="00D4736A"/>
    <w:rsid w:val="00D473B6"/>
    <w:rsid w:val="00D47449"/>
    <w:rsid w:val="00D47453"/>
    <w:rsid w:val="00D4745D"/>
    <w:rsid w:val="00D47488"/>
    <w:rsid w:val="00D474BD"/>
    <w:rsid w:val="00D47503"/>
    <w:rsid w:val="00D4752C"/>
    <w:rsid w:val="00D4757B"/>
    <w:rsid w:val="00D475C2"/>
    <w:rsid w:val="00D47620"/>
    <w:rsid w:val="00D4763F"/>
    <w:rsid w:val="00D476F9"/>
    <w:rsid w:val="00D476FD"/>
    <w:rsid w:val="00D4770C"/>
    <w:rsid w:val="00D47711"/>
    <w:rsid w:val="00D4771E"/>
    <w:rsid w:val="00D47748"/>
    <w:rsid w:val="00D4775F"/>
    <w:rsid w:val="00D477A4"/>
    <w:rsid w:val="00D4782C"/>
    <w:rsid w:val="00D47848"/>
    <w:rsid w:val="00D4784F"/>
    <w:rsid w:val="00D47883"/>
    <w:rsid w:val="00D47893"/>
    <w:rsid w:val="00D47896"/>
    <w:rsid w:val="00D478AE"/>
    <w:rsid w:val="00D478EE"/>
    <w:rsid w:val="00D47907"/>
    <w:rsid w:val="00D47918"/>
    <w:rsid w:val="00D47928"/>
    <w:rsid w:val="00D47931"/>
    <w:rsid w:val="00D47976"/>
    <w:rsid w:val="00D4798C"/>
    <w:rsid w:val="00D479B5"/>
    <w:rsid w:val="00D479D5"/>
    <w:rsid w:val="00D479D7"/>
    <w:rsid w:val="00D479E6"/>
    <w:rsid w:val="00D47A1C"/>
    <w:rsid w:val="00D47AA0"/>
    <w:rsid w:val="00D47AF8"/>
    <w:rsid w:val="00D47B01"/>
    <w:rsid w:val="00D47B7F"/>
    <w:rsid w:val="00D47B95"/>
    <w:rsid w:val="00D47C21"/>
    <w:rsid w:val="00D47C63"/>
    <w:rsid w:val="00D47C64"/>
    <w:rsid w:val="00D47C86"/>
    <w:rsid w:val="00D47C97"/>
    <w:rsid w:val="00D47C9A"/>
    <w:rsid w:val="00D47CD2"/>
    <w:rsid w:val="00D47CD9"/>
    <w:rsid w:val="00D47D13"/>
    <w:rsid w:val="00D47D31"/>
    <w:rsid w:val="00D47D3A"/>
    <w:rsid w:val="00D47D93"/>
    <w:rsid w:val="00D47E26"/>
    <w:rsid w:val="00D47EA2"/>
    <w:rsid w:val="00D47EAF"/>
    <w:rsid w:val="00D47EF1"/>
    <w:rsid w:val="00D47F4E"/>
    <w:rsid w:val="00D47F5D"/>
    <w:rsid w:val="00D47F9B"/>
    <w:rsid w:val="00D5000D"/>
    <w:rsid w:val="00D5004B"/>
    <w:rsid w:val="00D500AA"/>
    <w:rsid w:val="00D500D1"/>
    <w:rsid w:val="00D500E8"/>
    <w:rsid w:val="00D50119"/>
    <w:rsid w:val="00D50131"/>
    <w:rsid w:val="00D50138"/>
    <w:rsid w:val="00D5014A"/>
    <w:rsid w:val="00D5016A"/>
    <w:rsid w:val="00D50265"/>
    <w:rsid w:val="00D50272"/>
    <w:rsid w:val="00D50293"/>
    <w:rsid w:val="00D502AC"/>
    <w:rsid w:val="00D502B7"/>
    <w:rsid w:val="00D50305"/>
    <w:rsid w:val="00D50357"/>
    <w:rsid w:val="00D50364"/>
    <w:rsid w:val="00D5038A"/>
    <w:rsid w:val="00D50416"/>
    <w:rsid w:val="00D5042E"/>
    <w:rsid w:val="00D50446"/>
    <w:rsid w:val="00D50454"/>
    <w:rsid w:val="00D5045A"/>
    <w:rsid w:val="00D50475"/>
    <w:rsid w:val="00D50484"/>
    <w:rsid w:val="00D504B9"/>
    <w:rsid w:val="00D50516"/>
    <w:rsid w:val="00D50529"/>
    <w:rsid w:val="00D5053D"/>
    <w:rsid w:val="00D5058E"/>
    <w:rsid w:val="00D5063D"/>
    <w:rsid w:val="00D50641"/>
    <w:rsid w:val="00D50649"/>
    <w:rsid w:val="00D50654"/>
    <w:rsid w:val="00D5066A"/>
    <w:rsid w:val="00D50672"/>
    <w:rsid w:val="00D506E1"/>
    <w:rsid w:val="00D5077D"/>
    <w:rsid w:val="00D507AA"/>
    <w:rsid w:val="00D507D9"/>
    <w:rsid w:val="00D507F6"/>
    <w:rsid w:val="00D5088A"/>
    <w:rsid w:val="00D50921"/>
    <w:rsid w:val="00D50960"/>
    <w:rsid w:val="00D509C7"/>
    <w:rsid w:val="00D509D5"/>
    <w:rsid w:val="00D50A67"/>
    <w:rsid w:val="00D50A73"/>
    <w:rsid w:val="00D50A7B"/>
    <w:rsid w:val="00D50AAB"/>
    <w:rsid w:val="00D50ABB"/>
    <w:rsid w:val="00D50AF6"/>
    <w:rsid w:val="00D50B27"/>
    <w:rsid w:val="00D50B3A"/>
    <w:rsid w:val="00D50B57"/>
    <w:rsid w:val="00D50B99"/>
    <w:rsid w:val="00D50BBD"/>
    <w:rsid w:val="00D50BEB"/>
    <w:rsid w:val="00D50C04"/>
    <w:rsid w:val="00D50C3B"/>
    <w:rsid w:val="00D50CA9"/>
    <w:rsid w:val="00D50CD1"/>
    <w:rsid w:val="00D50D2B"/>
    <w:rsid w:val="00D50D5D"/>
    <w:rsid w:val="00D50D69"/>
    <w:rsid w:val="00D50D71"/>
    <w:rsid w:val="00D50D89"/>
    <w:rsid w:val="00D50DEB"/>
    <w:rsid w:val="00D50E63"/>
    <w:rsid w:val="00D50E6A"/>
    <w:rsid w:val="00D50E83"/>
    <w:rsid w:val="00D50EA5"/>
    <w:rsid w:val="00D50EB1"/>
    <w:rsid w:val="00D50EC4"/>
    <w:rsid w:val="00D50EEF"/>
    <w:rsid w:val="00D50F37"/>
    <w:rsid w:val="00D50F6F"/>
    <w:rsid w:val="00D50F84"/>
    <w:rsid w:val="00D50FD3"/>
    <w:rsid w:val="00D50FF8"/>
    <w:rsid w:val="00D50FFA"/>
    <w:rsid w:val="00D5101C"/>
    <w:rsid w:val="00D51026"/>
    <w:rsid w:val="00D5107E"/>
    <w:rsid w:val="00D51143"/>
    <w:rsid w:val="00D51153"/>
    <w:rsid w:val="00D51209"/>
    <w:rsid w:val="00D5120E"/>
    <w:rsid w:val="00D5128E"/>
    <w:rsid w:val="00D512CC"/>
    <w:rsid w:val="00D51343"/>
    <w:rsid w:val="00D51369"/>
    <w:rsid w:val="00D5136F"/>
    <w:rsid w:val="00D51378"/>
    <w:rsid w:val="00D5138C"/>
    <w:rsid w:val="00D51392"/>
    <w:rsid w:val="00D513F8"/>
    <w:rsid w:val="00D51462"/>
    <w:rsid w:val="00D514DA"/>
    <w:rsid w:val="00D5151C"/>
    <w:rsid w:val="00D515A6"/>
    <w:rsid w:val="00D515B2"/>
    <w:rsid w:val="00D51679"/>
    <w:rsid w:val="00D516E1"/>
    <w:rsid w:val="00D5175F"/>
    <w:rsid w:val="00D51761"/>
    <w:rsid w:val="00D5176D"/>
    <w:rsid w:val="00D51784"/>
    <w:rsid w:val="00D517B1"/>
    <w:rsid w:val="00D51810"/>
    <w:rsid w:val="00D51816"/>
    <w:rsid w:val="00D5188B"/>
    <w:rsid w:val="00D518E1"/>
    <w:rsid w:val="00D518EC"/>
    <w:rsid w:val="00D51969"/>
    <w:rsid w:val="00D51972"/>
    <w:rsid w:val="00D519AB"/>
    <w:rsid w:val="00D51A40"/>
    <w:rsid w:val="00D51A6A"/>
    <w:rsid w:val="00D51AB2"/>
    <w:rsid w:val="00D51AB6"/>
    <w:rsid w:val="00D51B0D"/>
    <w:rsid w:val="00D51B6A"/>
    <w:rsid w:val="00D51BB4"/>
    <w:rsid w:val="00D51BE8"/>
    <w:rsid w:val="00D51BEB"/>
    <w:rsid w:val="00D51C10"/>
    <w:rsid w:val="00D51C5B"/>
    <w:rsid w:val="00D51C75"/>
    <w:rsid w:val="00D51CA3"/>
    <w:rsid w:val="00D51CC9"/>
    <w:rsid w:val="00D51CE9"/>
    <w:rsid w:val="00D51CEC"/>
    <w:rsid w:val="00D51CFF"/>
    <w:rsid w:val="00D51D86"/>
    <w:rsid w:val="00D51DAF"/>
    <w:rsid w:val="00D51DD0"/>
    <w:rsid w:val="00D51DE8"/>
    <w:rsid w:val="00D51DFD"/>
    <w:rsid w:val="00D51E16"/>
    <w:rsid w:val="00D51E74"/>
    <w:rsid w:val="00D51E7A"/>
    <w:rsid w:val="00D51FE7"/>
    <w:rsid w:val="00D52007"/>
    <w:rsid w:val="00D52035"/>
    <w:rsid w:val="00D5205A"/>
    <w:rsid w:val="00D5205B"/>
    <w:rsid w:val="00D5207F"/>
    <w:rsid w:val="00D52090"/>
    <w:rsid w:val="00D5209D"/>
    <w:rsid w:val="00D520CC"/>
    <w:rsid w:val="00D5213B"/>
    <w:rsid w:val="00D52144"/>
    <w:rsid w:val="00D52192"/>
    <w:rsid w:val="00D521C9"/>
    <w:rsid w:val="00D521D8"/>
    <w:rsid w:val="00D521E4"/>
    <w:rsid w:val="00D52219"/>
    <w:rsid w:val="00D52232"/>
    <w:rsid w:val="00D52288"/>
    <w:rsid w:val="00D522A7"/>
    <w:rsid w:val="00D522BB"/>
    <w:rsid w:val="00D52313"/>
    <w:rsid w:val="00D52334"/>
    <w:rsid w:val="00D5236C"/>
    <w:rsid w:val="00D52416"/>
    <w:rsid w:val="00D5247D"/>
    <w:rsid w:val="00D524BE"/>
    <w:rsid w:val="00D524F0"/>
    <w:rsid w:val="00D525A8"/>
    <w:rsid w:val="00D525F0"/>
    <w:rsid w:val="00D525FE"/>
    <w:rsid w:val="00D5262B"/>
    <w:rsid w:val="00D5267E"/>
    <w:rsid w:val="00D5268A"/>
    <w:rsid w:val="00D526E4"/>
    <w:rsid w:val="00D52712"/>
    <w:rsid w:val="00D52741"/>
    <w:rsid w:val="00D5274D"/>
    <w:rsid w:val="00D527A7"/>
    <w:rsid w:val="00D5281C"/>
    <w:rsid w:val="00D52856"/>
    <w:rsid w:val="00D528CF"/>
    <w:rsid w:val="00D52921"/>
    <w:rsid w:val="00D5294A"/>
    <w:rsid w:val="00D5295F"/>
    <w:rsid w:val="00D5298B"/>
    <w:rsid w:val="00D52A1E"/>
    <w:rsid w:val="00D52A86"/>
    <w:rsid w:val="00D52AAF"/>
    <w:rsid w:val="00D52ABC"/>
    <w:rsid w:val="00D52AF9"/>
    <w:rsid w:val="00D52B2B"/>
    <w:rsid w:val="00D52B32"/>
    <w:rsid w:val="00D52B7B"/>
    <w:rsid w:val="00D52B7D"/>
    <w:rsid w:val="00D52BAE"/>
    <w:rsid w:val="00D52BBB"/>
    <w:rsid w:val="00D52BED"/>
    <w:rsid w:val="00D52C2F"/>
    <w:rsid w:val="00D52C36"/>
    <w:rsid w:val="00D52C4E"/>
    <w:rsid w:val="00D52C4F"/>
    <w:rsid w:val="00D52C54"/>
    <w:rsid w:val="00D52D21"/>
    <w:rsid w:val="00D52D6E"/>
    <w:rsid w:val="00D52D9D"/>
    <w:rsid w:val="00D52DF0"/>
    <w:rsid w:val="00D52E3D"/>
    <w:rsid w:val="00D52E96"/>
    <w:rsid w:val="00D52EC1"/>
    <w:rsid w:val="00D52F00"/>
    <w:rsid w:val="00D52F2C"/>
    <w:rsid w:val="00D52F54"/>
    <w:rsid w:val="00D52F66"/>
    <w:rsid w:val="00D52F89"/>
    <w:rsid w:val="00D5300F"/>
    <w:rsid w:val="00D5303E"/>
    <w:rsid w:val="00D5303F"/>
    <w:rsid w:val="00D5307E"/>
    <w:rsid w:val="00D530A7"/>
    <w:rsid w:val="00D530CF"/>
    <w:rsid w:val="00D53105"/>
    <w:rsid w:val="00D53114"/>
    <w:rsid w:val="00D53121"/>
    <w:rsid w:val="00D5312A"/>
    <w:rsid w:val="00D5316C"/>
    <w:rsid w:val="00D531C8"/>
    <w:rsid w:val="00D53226"/>
    <w:rsid w:val="00D53231"/>
    <w:rsid w:val="00D532E2"/>
    <w:rsid w:val="00D5332E"/>
    <w:rsid w:val="00D53374"/>
    <w:rsid w:val="00D5340B"/>
    <w:rsid w:val="00D53478"/>
    <w:rsid w:val="00D53510"/>
    <w:rsid w:val="00D5354F"/>
    <w:rsid w:val="00D53569"/>
    <w:rsid w:val="00D5356F"/>
    <w:rsid w:val="00D535B3"/>
    <w:rsid w:val="00D535F3"/>
    <w:rsid w:val="00D5364F"/>
    <w:rsid w:val="00D53683"/>
    <w:rsid w:val="00D536D3"/>
    <w:rsid w:val="00D536E2"/>
    <w:rsid w:val="00D5370C"/>
    <w:rsid w:val="00D53766"/>
    <w:rsid w:val="00D5377F"/>
    <w:rsid w:val="00D537F6"/>
    <w:rsid w:val="00D53802"/>
    <w:rsid w:val="00D53828"/>
    <w:rsid w:val="00D5385E"/>
    <w:rsid w:val="00D53861"/>
    <w:rsid w:val="00D53883"/>
    <w:rsid w:val="00D538BC"/>
    <w:rsid w:val="00D538EE"/>
    <w:rsid w:val="00D538F1"/>
    <w:rsid w:val="00D53933"/>
    <w:rsid w:val="00D53946"/>
    <w:rsid w:val="00D53972"/>
    <w:rsid w:val="00D539A0"/>
    <w:rsid w:val="00D539B5"/>
    <w:rsid w:val="00D539BF"/>
    <w:rsid w:val="00D539C2"/>
    <w:rsid w:val="00D539C9"/>
    <w:rsid w:val="00D539E7"/>
    <w:rsid w:val="00D53B06"/>
    <w:rsid w:val="00D53B09"/>
    <w:rsid w:val="00D53B28"/>
    <w:rsid w:val="00D53B40"/>
    <w:rsid w:val="00D53B71"/>
    <w:rsid w:val="00D53B76"/>
    <w:rsid w:val="00D53B92"/>
    <w:rsid w:val="00D53B93"/>
    <w:rsid w:val="00D53BC0"/>
    <w:rsid w:val="00D53C07"/>
    <w:rsid w:val="00D53C1B"/>
    <w:rsid w:val="00D53C51"/>
    <w:rsid w:val="00D53C5F"/>
    <w:rsid w:val="00D53C9F"/>
    <w:rsid w:val="00D53CA5"/>
    <w:rsid w:val="00D53CE3"/>
    <w:rsid w:val="00D53D01"/>
    <w:rsid w:val="00D53D5B"/>
    <w:rsid w:val="00D53E0C"/>
    <w:rsid w:val="00D53E37"/>
    <w:rsid w:val="00D53E60"/>
    <w:rsid w:val="00D53E64"/>
    <w:rsid w:val="00D53E6F"/>
    <w:rsid w:val="00D53E74"/>
    <w:rsid w:val="00D53E75"/>
    <w:rsid w:val="00D53EB8"/>
    <w:rsid w:val="00D53ED6"/>
    <w:rsid w:val="00D53F31"/>
    <w:rsid w:val="00D53F6A"/>
    <w:rsid w:val="00D53FCA"/>
    <w:rsid w:val="00D5409E"/>
    <w:rsid w:val="00D54157"/>
    <w:rsid w:val="00D54165"/>
    <w:rsid w:val="00D5416D"/>
    <w:rsid w:val="00D5418B"/>
    <w:rsid w:val="00D54196"/>
    <w:rsid w:val="00D541E4"/>
    <w:rsid w:val="00D54210"/>
    <w:rsid w:val="00D542C1"/>
    <w:rsid w:val="00D5430A"/>
    <w:rsid w:val="00D5432F"/>
    <w:rsid w:val="00D54335"/>
    <w:rsid w:val="00D54389"/>
    <w:rsid w:val="00D543A7"/>
    <w:rsid w:val="00D5441F"/>
    <w:rsid w:val="00D5442A"/>
    <w:rsid w:val="00D5442D"/>
    <w:rsid w:val="00D54496"/>
    <w:rsid w:val="00D544A4"/>
    <w:rsid w:val="00D544A6"/>
    <w:rsid w:val="00D544D5"/>
    <w:rsid w:val="00D54515"/>
    <w:rsid w:val="00D54575"/>
    <w:rsid w:val="00D5459E"/>
    <w:rsid w:val="00D54623"/>
    <w:rsid w:val="00D54693"/>
    <w:rsid w:val="00D5469C"/>
    <w:rsid w:val="00D546EA"/>
    <w:rsid w:val="00D546F5"/>
    <w:rsid w:val="00D5472A"/>
    <w:rsid w:val="00D54773"/>
    <w:rsid w:val="00D54788"/>
    <w:rsid w:val="00D547AB"/>
    <w:rsid w:val="00D547D3"/>
    <w:rsid w:val="00D5482A"/>
    <w:rsid w:val="00D54831"/>
    <w:rsid w:val="00D548C0"/>
    <w:rsid w:val="00D548D1"/>
    <w:rsid w:val="00D548D9"/>
    <w:rsid w:val="00D54938"/>
    <w:rsid w:val="00D54A42"/>
    <w:rsid w:val="00D54A45"/>
    <w:rsid w:val="00D54A4F"/>
    <w:rsid w:val="00D54A93"/>
    <w:rsid w:val="00D54AA5"/>
    <w:rsid w:val="00D54AAA"/>
    <w:rsid w:val="00D54AD1"/>
    <w:rsid w:val="00D54B47"/>
    <w:rsid w:val="00D54B4A"/>
    <w:rsid w:val="00D54B82"/>
    <w:rsid w:val="00D54C08"/>
    <w:rsid w:val="00D54C15"/>
    <w:rsid w:val="00D54C54"/>
    <w:rsid w:val="00D54C65"/>
    <w:rsid w:val="00D54C75"/>
    <w:rsid w:val="00D54C8D"/>
    <w:rsid w:val="00D54C9E"/>
    <w:rsid w:val="00D54CB6"/>
    <w:rsid w:val="00D54CB8"/>
    <w:rsid w:val="00D54CF2"/>
    <w:rsid w:val="00D54D37"/>
    <w:rsid w:val="00D54D39"/>
    <w:rsid w:val="00D54D81"/>
    <w:rsid w:val="00D54D9D"/>
    <w:rsid w:val="00D54DB6"/>
    <w:rsid w:val="00D54E3C"/>
    <w:rsid w:val="00D54E56"/>
    <w:rsid w:val="00D54E61"/>
    <w:rsid w:val="00D54E72"/>
    <w:rsid w:val="00D54EBD"/>
    <w:rsid w:val="00D54ED1"/>
    <w:rsid w:val="00D54F75"/>
    <w:rsid w:val="00D54F85"/>
    <w:rsid w:val="00D54FB1"/>
    <w:rsid w:val="00D55054"/>
    <w:rsid w:val="00D550F5"/>
    <w:rsid w:val="00D5510C"/>
    <w:rsid w:val="00D55110"/>
    <w:rsid w:val="00D5511C"/>
    <w:rsid w:val="00D55142"/>
    <w:rsid w:val="00D55151"/>
    <w:rsid w:val="00D55168"/>
    <w:rsid w:val="00D55192"/>
    <w:rsid w:val="00D551BC"/>
    <w:rsid w:val="00D55236"/>
    <w:rsid w:val="00D55264"/>
    <w:rsid w:val="00D55292"/>
    <w:rsid w:val="00D552EC"/>
    <w:rsid w:val="00D552F9"/>
    <w:rsid w:val="00D552FC"/>
    <w:rsid w:val="00D55307"/>
    <w:rsid w:val="00D55343"/>
    <w:rsid w:val="00D553A5"/>
    <w:rsid w:val="00D5540D"/>
    <w:rsid w:val="00D55433"/>
    <w:rsid w:val="00D554D5"/>
    <w:rsid w:val="00D5550E"/>
    <w:rsid w:val="00D55563"/>
    <w:rsid w:val="00D55596"/>
    <w:rsid w:val="00D555B3"/>
    <w:rsid w:val="00D555C8"/>
    <w:rsid w:val="00D555F0"/>
    <w:rsid w:val="00D555F8"/>
    <w:rsid w:val="00D55698"/>
    <w:rsid w:val="00D556A5"/>
    <w:rsid w:val="00D556ED"/>
    <w:rsid w:val="00D55790"/>
    <w:rsid w:val="00D55795"/>
    <w:rsid w:val="00D557A9"/>
    <w:rsid w:val="00D557D7"/>
    <w:rsid w:val="00D557EA"/>
    <w:rsid w:val="00D557F2"/>
    <w:rsid w:val="00D557F4"/>
    <w:rsid w:val="00D55804"/>
    <w:rsid w:val="00D5580C"/>
    <w:rsid w:val="00D5582B"/>
    <w:rsid w:val="00D5584F"/>
    <w:rsid w:val="00D558AE"/>
    <w:rsid w:val="00D558E9"/>
    <w:rsid w:val="00D55910"/>
    <w:rsid w:val="00D55939"/>
    <w:rsid w:val="00D559AD"/>
    <w:rsid w:val="00D559DF"/>
    <w:rsid w:val="00D55A3F"/>
    <w:rsid w:val="00D55A6F"/>
    <w:rsid w:val="00D55B3D"/>
    <w:rsid w:val="00D55B6E"/>
    <w:rsid w:val="00D55C23"/>
    <w:rsid w:val="00D55CC9"/>
    <w:rsid w:val="00D55CD3"/>
    <w:rsid w:val="00D55D64"/>
    <w:rsid w:val="00D55D79"/>
    <w:rsid w:val="00D55DBB"/>
    <w:rsid w:val="00D55E26"/>
    <w:rsid w:val="00D55E46"/>
    <w:rsid w:val="00D55E8A"/>
    <w:rsid w:val="00D55EF8"/>
    <w:rsid w:val="00D55F06"/>
    <w:rsid w:val="00D55F26"/>
    <w:rsid w:val="00D55F2D"/>
    <w:rsid w:val="00D55F55"/>
    <w:rsid w:val="00D55F78"/>
    <w:rsid w:val="00D560F9"/>
    <w:rsid w:val="00D56103"/>
    <w:rsid w:val="00D5614E"/>
    <w:rsid w:val="00D5614F"/>
    <w:rsid w:val="00D561B7"/>
    <w:rsid w:val="00D561FC"/>
    <w:rsid w:val="00D5623C"/>
    <w:rsid w:val="00D5625A"/>
    <w:rsid w:val="00D56272"/>
    <w:rsid w:val="00D562A5"/>
    <w:rsid w:val="00D562D7"/>
    <w:rsid w:val="00D562F6"/>
    <w:rsid w:val="00D56389"/>
    <w:rsid w:val="00D563C5"/>
    <w:rsid w:val="00D563D4"/>
    <w:rsid w:val="00D563E4"/>
    <w:rsid w:val="00D563F9"/>
    <w:rsid w:val="00D563FF"/>
    <w:rsid w:val="00D56415"/>
    <w:rsid w:val="00D56421"/>
    <w:rsid w:val="00D56436"/>
    <w:rsid w:val="00D564A5"/>
    <w:rsid w:val="00D564D7"/>
    <w:rsid w:val="00D564FC"/>
    <w:rsid w:val="00D5651F"/>
    <w:rsid w:val="00D56522"/>
    <w:rsid w:val="00D5653E"/>
    <w:rsid w:val="00D56542"/>
    <w:rsid w:val="00D56549"/>
    <w:rsid w:val="00D56565"/>
    <w:rsid w:val="00D56571"/>
    <w:rsid w:val="00D565C4"/>
    <w:rsid w:val="00D56613"/>
    <w:rsid w:val="00D56632"/>
    <w:rsid w:val="00D56638"/>
    <w:rsid w:val="00D5664E"/>
    <w:rsid w:val="00D5666C"/>
    <w:rsid w:val="00D566A7"/>
    <w:rsid w:val="00D566C7"/>
    <w:rsid w:val="00D5670F"/>
    <w:rsid w:val="00D56727"/>
    <w:rsid w:val="00D5672D"/>
    <w:rsid w:val="00D5675E"/>
    <w:rsid w:val="00D56760"/>
    <w:rsid w:val="00D56784"/>
    <w:rsid w:val="00D5678A"/>
    <w:rsid w:val="00D567B3"/>
    <w:rsid w:val="00D567C7"/>
    <w:rsid w:val="00D56802"/>
    <w:rsid w:val="00D56814"/>
    <w:rsid w:val="00D5682D"/>
    <w:rsid w:val="00D56871"/>
    <w:rsid w:val="00D5689C"/>
    <w:rsid w:val="00D568A1"/>
    <w:rsid w:val="00D56958"/>
    <w:rsid w:val="00D569AD"/>
    <w:rsid w:val="00D569C8"/>
    <w:rsid w:val="00D56A03"/>
    <w:rsid w:val="00D56A18"/>
    <w:rsid w:val="00D56A4E"/>
    <w:rsid w:val="00D56AC8"/>
    <w:rsid w:val="00D56B03"/>
    <w:rsid w:val="00D56B0A"/>
    <w:rsid w:val="00D56B32"/>
    <w:rsid w:val="00D56BB9"/>
    <w:rsid w:val="00D56C0E"/>
    <w:rsid w:val="00D56C4A"/>
    <w:rsid w:val="00D56DDD"/>
    <w:rsid w:val="00D56E15"/>
    <w:rsid w:val="00D56E27"/>
    <w:rsid w:val="00D56E6C"/>
    <w:rsid w:val="00D56EB0"/>
    <w:rsid w:val="00D56EB6"/>
    <w:rsid w:val="00D56EC1"/>
    <w:rsid w:val="00D56F57"/>
    <w:rsid w:val="00D56F9A"/>
    <w:rsid w:val="00D56FF3"/>
    <w:rsid w:val="00D57089"/>
    <w:rsid w:val="00D570F0"/>
    <w:rsid w:val="00D57130"/>
    <w:rsid w:val="00D57162"/>
    <w:rsid w:val="00D57166"/>
    <w:rsid w:val="00D571D6"/>
    <w:rsid w:val="00D571D9"/>
    <w:rsid w:val="00D571E9"/>
    <w:rsid w:val="00D5720E"/>
    <w:rsid w:val="00D5721B"/>
    <w:rsid w:val="00D5729D"/>
    <w:rsid w:val="00D572A7"/>
    <w:rsid w:val="00D572AC"/>
    <w:rsid w:val="00D572ED"/>
    <w:rsid w:val="00D5732F"/>
    <w:rsid w:val="00D573A3"/>
    <w:rsid w:val="00D573EB"/>
    <w:rsid w:val="00D57402"/>
    <w:rsid w:val="00D5741F"/>
    <w:rsid w:val="00D5742A"/>
    <w:rsid w:val="00D57467"/>
    <w:rsid w:val="00D574DF"/>
    <w:rsid w:val="00D574ED"/>
    <w:rsid w:val="00D57516"/>
    <w:rsid w:val="00D5755B"/>
    <w:rsid w:val="00D57582"/>
    <w:rsid w:val="00D57618"/>
    <w:rsid w:val="00D5763A"/>
    <w:rsid w:val="00D57742"/>
    <w:rsid w:val="00D57759"/>
    <w:rsid w:val="00D5780B"/>
    <w:rsid w:val="00D57813"/>
    <w:rsid w:val="00D57841"/>
    <w:rsid w:val="00D5784E"/>
    <w:rsid w:val="00D57895"/>
    <w:rsid w:val="00D57926"/>
    <w:rsid w:val="00D5796F"/>
    <w:rsid w:val="00D579A9"/>
    <w:rsid w:val="00D579CF"/>
    <w:rsid w:val="00D579F9"/>
    <w:rsid w:val="00D57A06"/>
    <w:rsid w:val="00D57A35"/>
    <w:rsid w:val="00D57AB2"/>
    <w:rsid w:val="00D57ACB"/>
    <w:rsid w:val="00D57AE2"/>
    <w:rsid w:val="00D57B5D"/>
    <w:rsid w:val="00D57B85"/>
    <w:rsid w:val="00D57BEF"/>
    <w:rsid w:val="00D57C02"/>
    <w:rsid w:val="00D57C1A"/>
    <w:rsid w:val="00D57C1C"/>
    <w:rsid w:val="00D57C62"/>
    <w:rsid w:val="00D57C9F"/>
    <w:rsid w:val="00D57CA9"/>
    <w:rsid w:val="00D57D07"/>
    <w:rsid w:val="00D57D26"/>
    <w:rsid w:val="00D57D81"/>
    <w:rsid w:val="00D57DB5"/>
    <w:rsid w:val="00D57E0F"/>
    <w:rsid w:val="00D57E78"/>
    <w:rsid w:val="00D57EA1"/>
    <w:rsid w:val="00D57EE2"/>
    <w:rsid w:val="00D57F05"/>
    <w:rsid w:val="00D57F14"/>
    <w:rsid w:val="00D57F30"/>
    <w:rsid w:val="00D57F4A"/>
    <w:rsid w:val="00D57F5A"/>
    <w:rsid w:val="00D57F79"/>
    <w:rsid w:val="00D57F82"/>
    <w:rsid w:val="00D57F8D"/>
    <w:rsid w:val="00D57F94"/>
    <w:rsid w:val="00D57FEB"/>
    <w:rsid w:val="00D60001"/>
    <w:rsid w:val="00D60114"/>
    <w:rsid w:val="00D60143"/>
    <w:rsid w:val="00D60156"/>
    <w:rsid w:val="00D60159"/>
    <w:rsid w:val="00D60250"/>
    <w:rsid w:val="00D60282"/>
    <w:rsid w:val="00D602D2"/>
    <w:rsid w:val="00D603BC"/>
    <w:rsid w:val="00D60464"/>
    <w:rsid w:val="00D60467"/>
    <w:rsid w:val="00D60493"/>
    <w:rsid w:val="00D604F8"/>
    <w:rsid w:val="00D605F7"/>
    <w:rsid w:val="00D6068C"/>
    <w:rsid w:val="00D606D6"/>
    <w:rsid w:val="00D60700"/>
    <w:rsid w:val="00D60707"/>
    <w:rsid w:val="00D60742"/>
    <w:rsid w:val="00D6077A"/>
    <w:rsid w:val="00D607DD"/>
    <w:rsid w:val="00D607F1"/>
    <w:rsid w:val="00D60822"/>
    <w:rsid w:val="00D60853"/>
    <w:rsid w:val="00D608A4"/>
    <w:rsid w:val="00D608ED"/>
    <w:rsid w:val="00D608F0"/>
    <w:rsid w:val="00D60906"/>
    <w:rsid w:val="00D60986"/>
    <w:rsid w:val="00D60A20"/>
    <w:rsid w:val="00D60A39"/>
    <w:rsid w:val="00D60A99"/>
    <w:rsid w:val="00D60AC1"/>
    <w:rsid w:val="00D60AC4"/>
    <w:rsid w:val="00D60B63"/>
    <w:rsid w:val="00D60B85"/>
    <w:rsid w:val="00D60B97"/>
    <w:rsid w:val="00D60BA3"/>
    <w:rsid w:val="00D60C2A"/>
    <w:rsid w:val="00D60C49"/>
    <w:rsid w:val="00D60CAC"/>
    <w:rsid w:val="00D60CD1"/>
    <w:rsid w:val="00D60D09"/>
    <w:rsid w:val="00D60D61"/>
    <w:rsid w:val="00D60D8F"/>
    <w:rsid w:val="00D60DBE"/>
    <w:rsid w:val="00D60DF5"/>
    <w:rsid w:val="00D60E1B"/>
    <w:rsid w:val="00D60E8F"/>
    <w:rsid w:val="00D60E9E"/>
    <w:rsid w:val="00D60EBF"/>
    <w:rsid w:val="00D60EE4"/>
    <w:rsid w:val="00D60F0D"/>
    <w:rsid w:val="00D60FEB"/>
    <w:rsid w:val="00D61001"/>
    <w:rsid w:val="00D61061"/>
    <w:rsid w:val="00D610B8"/>
    <w:rsid w:val="00D610BC"/>
    <w:rsid w:val="00D610CB"/>
    <w:rsid w:val="00D610F9"/>
    <w:rsid w:val="00D610FD"/>
    <w:rsid w:val="00D6110B"/>
    <w:rsid w:val="00D61202"/>
    <w:rsid w:val="00D6122E"/>
    <w:rsid w:val="00D612C2"/>
    <w:rsid w:val="00D61312"/>
    <w:rsid w:val="00D61343"/>
    <w:rsid w:val="00D6140C"/>
    <w:rsid w:val="00D61497"/>
    <w:rsid w:val="00D6149B"/>
    <w:rsid w:val="00D614E2"/>
    <w:rsid w:val="00D614F2"/>
    <w:rsid w:val="00D61515"/>
    <w:rsid w:val="00D61523"/>
    <w:rsid w:val="00D61542"/>
    <w:rsid w:val="00D61592"/>
    <w:rsid w:val="00D6161F"/>
    <w:rsid w:val="00D61639"/>
    <w:rsid w:val="00D61656"/>
    <w:rsid w:val="00D6165D"/>
    <w:rsid w:val="00D6169D"/>
    <w:rsid w:val="00D616A7"/>
    <w:rsid w:val="00D616D3"/>
    <w:rsid w:val="00D616D4"/>
    <w:rsid w:val="00D6172A"/>
    <w:rsid w:val="00D6175A"/>
    <w:rsid w:val="00D61776"/>
    <w:rsid w:val="00D617B4"/>
    <w:rsid w:val="00D617E3"/>
    <w:rsid w:val="00D61816"/>
    <w:rsid w:val="00D6183F"/>
    <w:rsid w:val="00D6184A"/>
    <w:rsid w:val="00D618C7"/>
    <w:rsid w:val="00D618E5"/>
    <w:rsid w:val="00D61946"/>
    <w:rsid w:val="00D6194D"/>
    <w:rsid w:val="00D619A6"/>
    <w:rsid w:val="00D619CC"/>
    <w:rsid w:val="00D619D4"/>
    <w:rsid w:val="00D619ED"/>
    <w:rsid w:val="00D619FD"/>
    <w:rsid w:val="00D61A03"/>
    <w:rsid w:val="00D61A0B"/>
    <w:rsid w:val="00D61AB5"/>
    <w:rsid w:val="00D61ABC"/>
    <w:rsid w:val="00D61B18"/>
    <w:rsid w:val="00D61B36"/>
    <w:rsid w:val="00D61B6B"/>
    <w:rsid w:val="00D61BDB"/>
    <w:rsid w:val="00D61BED"/>
    <w:rsid w:val="00D61BFE"/>
    <w:rsid w:val="00D61C0C"/>
    <w:rsid w:val="00D61C3A"/>
    <w:rsid w:val="00D61C93"/>
    <w:rsid w:val="00D61CAF"/>
    <w:rsid w:val="00D61CB5"/>
    <w:rsid w:val="00D61D09"/>
    <w:rsid w:val="00D61D66"/>
    <w:rsid w:val="00D61D77"/>
    <w:rsid w:val="00D61D93"/>
    <w:rsid w:val="00D61EBA"/>
    <w:rsid w:val="00D61EBE"/>
    <w:rsid w:val="00D61F48"/>
    <w:rsid w:val="00D61F6C"/>
    <w:rsid w:val="00D61F91"/>
    <w:rsid w:val="00D620BE"/>
    <w:rsid w:val="00D6212B"/>
    <w:rsid w:val="00D6215E"/>
    <w:rsid w:val="00D6215F"/>
    <w:rsid w:val="00D621B7"/>
    <w:rsid w:val="00D621FB"/>
    <w:rsid w:val="00D622A5"/>
    <w:rsid w:val="00D62309"/>
    <w:rsid w:val="00D62313"/>
    <w:rsid w:val="00D62314"/>
    <w:rsid w:val="00D623D5"/>
    <w:rsid w:val="00D62417"/>
    <w:rsid w:val="00D62437"/>
    <w:rsid w:val="00D624B0"/>
    <w:rsid w:val="00D624CF"/>
    <w:rsid w:val="00D6255F"/>
    <w:rsid w:val="00D625C2"/>
    <w:rsid w:val="00D625FD"/>
    <w:rsid w:val="00D62600"/>
    <w:rsid w:val="00D6263F"/>
    <w:rsid w:val="00D6264C"/>
    <w:rsid w:val="00D62651"/>
    <w:rsid w:val="00D62652"/>
    <w:rsid w:val="00D626D8"/>
    <w:rsid w:val="00D62731"/>
    <w:rsid w:val="00D6273F"/>
    <w:rsid w:val="00D6276A"/>
    <w:rsid w:val="00D62776"/>
    <w:rsid w:val="00D62777"/>
    <w:rsid w:val="00D6277C"/>
    <w:rsid w:val="00D627B0"/>
    <w:rsid w:val="00D627E0"/>
    <w:rsid w:val="00D62802"/>
    <w:rsid w:val="00D6289E"/>
    <w:rsid w:val="00D628D5"/>
    <w:rsid w:val="00D628ED"/>
    <w:rsid w:val="00D62A37"/>
    <w:rsid w:val="00D62A85"/>
    <w:rsid w:val="00D62A86"/>
    <w:rsid w:val="00D62AA8"/>
    <w:rsid w:val="00D62AB6"/>
    <w:rsid w:val="00D62AB9"/>
    <w:rsid w:val="00D62AF8"/>
    <w:rsid w:val="00D62B05"/>
    <w:rsid w:val="00D62B09"/>
    <w:rsid w:val="00D62B36"/>
    <w:rsid w:val="00D62B4E"/>
    <w:rsid w:val="00D62B5C"/>
    <w:rsid w:val="00D62B7C"/>
    <w:rsid w:val="00D62BE6"/>
    <w:rsid w:val="00D62BE9"/>
    <w:rsid w:val="00D62C1E"/>
    <w:rsid w:val="00D62C45"/>
    <w:rsid w:val="00D62C8C"/>
    <w:rsid w:val="00D62CC8"/>
    <w:rsid w:val="00D62CEF"/>
    <w:rsid w:val="00D62CFF"/>
    <w:rsid w:val="00D62D35"/>
    <w:rsid w:val="00D62D41"/>
    <w:rsid w:val="00D62D53"/>
    <w:rsid w:val="00D62D61"/>
    <w:rsid w:val="00D62D86"/>
    <w:rsid w:val="00D62DA6"/>
    <w:rsid w:val="00D62DCC"/>
    <w:rsid w:val="00D62E3F"/>
    <w:rsid w:val="00D62F0B"/>
    <w:rsid w:val="00D62F19"/>
    <w:rsid w:val="00D62FAF"/>
    <w:rsid w:val="00D63018"/>
    <w:rsid w:val="00D6306C"/>
    <w:rsid w:val="00D63084"/>
    <w:rsid w:val="00D63192"/>
    <w:rsid w:val="00D63198"/>
    <w:rsid w:val="00D631E9"/>
    <w:rsid w:val="00D6320C"/>
    <w:rsid w:val="00D63230"/>
    <w:rsid w:val="00D63286"/>
    <w:rsid w:val="00D63293"/>
    <w:rsid w:val="00D632B8"/>
    <w:rsid w:val="00D632D0"/>
    <w:rsid w:val="00D632F3"/>
    <w:rsid w:val="00D63344"/>
    <w:rsid w:val="00D6338C"/>
    <w:rsid w:val="00D633A7"/>
    <w:rsid w:val="00D633BE"/>
    <w:rsid w:val="00D633F7"/>
    <w:rsid w:val="00D6341A"/>
    <w:rsid w:val="00D63433"/>
    <w:rsid w:val="00D63437"/>
    <w:rsid w:val="00D63499"/>
    <w:rsid w:val="00D634D1"/>
    <w:rsid w:val="00D6354C"/>
    <w:rsid w:val="00D63553"/>
    <w:rsid w:val="00D63555"/>
    <w:rsid w:val="00D63586"/>
    <w:rsid w:val="00D635C9"/>
    <w:rsid w:val="00D6363D"/>
    <w:rsid w:val="00D636CC"/>
    <w:rsid w:val="00D63744"/>
    <w:rsid w:val="00D63772"/>
    <w:rsid w:val="00D637B2"/>
    <w:rsid w:val="00D637CD"/>
    <w:rsid w:val="00D637D0"/>
    <w:rsid w:val="00D6381A"/>
    <w:rsid w:val="00D6381B"/>
    <w:rsid w:val="00D6382C"/>
    <w:rsid w:val="00D6383C"/>
    <w:rsid w:val="00D6388F"/>
    <w:rsid w:val="00D638E7"/>
    <w:rsid w:val="00D6390D"/>
    <w:rsid w:val="00D63947"/>
    <w:rsid w:val="00D639E6"/>
    <w:rsid w:val="00D639F5"/>
    <w:rsid w:val="00D63A2E"/>
    <w:rsid w:val="00D63A73"/>
    <w:rsid w:val="00D63A7C"/>
    <w:rsid w:val="00D63AD0"/>
    <w:rsid w:val="00D63B60"/>
    <w:rsid w:val="00D63BA1"/>
    <w:rsid w:val="00D63BA7"/>
    <w:rsid w:val="00D63BE8"/>
    <w:rsid w:val="00D63BF7"/>
    <w:rsid w:val="00D63C0C"/>
    <w:rsid w:val="00D63C75"/>
    <w:rsid w:val="00D63C7F"/>
    <w:rsid w:val="00D63C80"/>
    <w:rsid w:val="00D63CEC"/>
    <w:rsid w:val="00D63D21"/>
    <w:rsid w:val="00D63D5B"/>
    <w:rsid w:val="00D63DF1"/>
    <w:rsid w:val="00D63DFF"/>
    <w:rsid w:val="00D63E33"/>
    <w:rsid w:val="00D63E34"/>
    <w:rsid w:val="00D63E70"/>
    <w:rsid w:val="00D63EAC"/>
    <w:rsid w:val="00D63EB3"/>
    <w:rsid w:val="00D63EB4"/>
    <w:rsid w:val="00D63F1A"/>
    <w:rsid w:val="00D63F3A"/>
    <w:rsid w:val="00D63FAB"/>
    <w:rsid w:val="00D63FD1"/>
    <w:rsid w:val="00D64043"/>
    <w:rsid w:val="00D640B7"/>
    <w:rsid w:val="00D640FA"/>
    <w:rsid w:val="00D64126"/>
    <w:rsid w:val="00D64164"/>
    <w:rsid w:val="00D64170"/>
    <w:rsid w:val="00D641B5"/>
    <w:rsid w:val="00D641CC"/>
    <w:rsid w:val="00D641FB"/>
    <w:rsid w:val="00D64201"/>
    <w:rsid w:val="00D64222"/>
    <w:rsid w:val="00D6423C"/>
    <w:rsid w:val="00D64258"/>
    <w:rsid w:val="00D6425A"/>
    <w:rsid w:val="00D64266"/>
    <w:rsid w:val="00D64279"/>
    <w:rsid w:val="00D642CC"/>
    <w:rsid w:val="00D6432D"/>
    <w:rsid w:val="00D6432F"/>
    <w:rsid w:val="00D64361"/>
    <w:rsid w:val="00D643DA"/>
    <w:rsid w:val="00D64431"/>
    <w:rsid w:val="00D6444D"/>
    <w:rsid w:val="00D64481"/>
    <w:rsid w:val="00D644BE"/>
    <w:rsid w:val="00D64567"/>
    <w:rsid w:val="00D64597"/>
    <w:rsid w:val="00D6459F"/>
    <w:rsid w:val="00D645BF"/>
    <w:rsid w:val="00D64604"/>
    <w:rsid w:val="00D64606"/>
    <w:rsid w:val="00D64671"/>
    <w:rsid w:val="00D64672"/>
    <w:rsid w:val="00D646B9"/>
    <w:rsid w:val="00D646F2"/>
    <w:rsid w:val="00D647ED"/>
    <w:rsid w:val="00D6487C"/>
    <w:rsid w:val="00D648A8"/>
    <w:rsid w:val="00D648BC"/>
    <w:rsid w:val="00D648F9"/>
    <w:rsid w:val="00D648FA"/>
    <w:rsid w:val="00D6490D"/>
    <w:rsid w:val="00D64913"/>
    <w:rsid w:val="00D6491C"/>
    <w:rsid w:val="00D6497E"/>
    <w:rsid w:val="00D649E2"/>
    <w:rsid w:val="00D649F2"/>
    <w:rsid w:val="00D64A71"/>
    <w:rsid w:val="00D64ADF"/>
    <w:rsid w:val="00D64AF8"/>
    <w:rsid w:val="00D64B01"/>
    <w:rsid w:val="00D64B1B"/>
    <w:rsid w:val="00D64B61"/>
    <w:rsid w:val="00D64B9A"/>
    <w:rsid w:val="00D64BB1"/>
    <w:rsid w:val="00D64BB5"/>
    <w:rsid w:val="00D64BB9"/>
    <w:rsid w:val="00D64BCE"/>
    <w:rsid w:val="00D64C75"/>
    <w:rsid w:val="00D64C7D"/>
    <w:rsid w:val="00D64CA7"/>
    <w:rsid w:val="00D64D0C"/>
    <w:rsid w:val="00D64D2A"/>
    <w:rsid w:val="00D64DDC"/>
    <w:rsid w:val="00D64DF4"/>
    <w:rsid w:val="00D64E0D"/>
    <w:rsid w:val="00D64E7C"/>
    <w:rsid w:val="00D64E9A"/>
    <w:rsid w:val="00D64ED9"/>
    <w:rsid w:val="00D64EDA"/>
    <w:rsid w:val="00D64F8E"/>
    <w:rsid w:val="00D64FA7"/>
    <w:rsid w:val="00D64FC5"/>
    <w:rsid w:val="00D65005"/>
    <w:rsid w:val="00D65074"/>
    <w:rsid w:val="00D650F9"/>
    <w:rsid w:val="00D6510C"/>
    <w:rsid w:val="00D65159"/>
    <w:rsid w:val="00D65161"/>
    <w:rsid w:val="00D6517A"/>
    <w:rsid w:val="00D65195"/>
    <w:rsid w:val="00D651AC"/>
    <w:rsid w:val="00D651AF"/>
    <w:rsid w:val="00D65215"/>
    <w:rsid w:val="00D65219"/>
    <w:rsid w:val="00D6521D"/>
    <w:rsid w:val="00D652A8"/>
    <w:rsid w:val="00D65302"/>
    <w:rsid w:val="00D65318"/>
    <w:rsid w:val="00D653BF"/>
    <w:rsid w:val="00D653C3"/>
    <w:rsid w:val="00D653E4"/>
    <w:rsid w:val="00D653EB"/>
    <w:rsid w:val="00D6543B"/>
    <w:rsid w:val="00D6544F"/>
    <w:rsid w:val="00D65451"/>
    <w:rsid w:val="00D65484"/>
    <w:rsid w:val="00D654A6"/>
    <w:rsid w:val="00D654AF"/>
    <w:rsid w:val="00D654C1"/>
    <w:rsid w:val="00D654D0"/>
    <w:rsid w:val="00D65520"/>
    <w:rsid w:val="00D6552D"/>
    <w:rsid w:val="00D65537"/>
    <w:rsid w:val="00D65540"/>
    <w:rsid w:val="00D655F8"/>
    <w:rsid w:val="00D65608"/>
    <w:rsid w:val="00D65675"/>
    <w:rsid w:val="00D65695"/>
    <w:rsid w:val="00D656BF"/>
    <w:rsid w:val="00D656DA"/>
    <w:rsid w:val="00D65713"/>
    <w:rsid w:val="00D6571C"/>
    <w:rsid w:val="00D65761"/>
    <w:rsid w:val="00D65771"/>
    <w:rsid w:val="00D65793"/>
    <w:rsid w:val="00D657B9"/>
    <w:rsid w:val="00D657DA"/>
    <w:rsid w:val="00D6581B"/>
    <w:rsid w:val="00D65849"/>
    <w:rsid w:val="00D658C7"/>
    <w:rsid w:val="00D6592E"/>
    <w:rsid w:val="00D6595D"/>
    <w:rsid w:val="00D6596F"/>
    <w:rsid w:val="00D65991"/>
    <w:rsid w:val="00D659B9"/>
    <w:rsid w:val="00D659BF"/>
    <w:rsid w:val="00D65A45"/>
    <w:rsid w:val="00D65AD8"/>
    <w:rsid w:val="00D65B16"/>
    <w:rsid w:val="00D65B35"/>
    <w:rsid w:val="00D65B99"/>
    <w:rsid w:val="00D65BC1"/>
    <w:rsid w:val="00D65BC8"/>
    <w:rsid w:val="00D65BCE"/>
    <w:rsid w:val="00D65C10"/>
    <w:rsid w:val="00D65C78"/>
    <w:rsid w:val="00D65C86"/>
    <w:rsid w:val="00D65C8A"/>
    <w:rsid w:val="00D65C9E"/>
    <w:rsid w:val="00D65CCF"/>
    <w:rsid w:val="00D65CE5"/>
    <w:rsid w:val="00D65D32"/>
    <w:rsid w:val="00D65D37"/>
    <w:rsid w:val="00D65DAF"/>
    <w:rsid w:val="00D65E31"/>
    <w:rsid w:val="00D65E3A"/>
    <w:rsid w:val="00D65E8D"/>
    <w:rsid w:val="00D65EC8"/>
    <w:rsid w:val="00D65ECA"/>
    <w:rsid w:val="00D65F51"/>
    <w:rsid w:val="00D65FDE"/>
    <w:rsid w:val="00D65FE3"/>
    <w:rsid w:val="00D66034"/>
    <w:rsid w:val="00D66041"/>
    <w:rsid w:val="00D660EC"/>
    <w:rsid w:val="00D660F7"/>
    <w:rsid w:val="00D661AE"/>
    <w:rsid w:val="00D661E6"/>
    <w:rsid w:val="00D6620F"/>
    <w:rsid w:val="00D66267"/>
    <w:rsid w:val="00D66281"/>
    <w:rsid w:val="00D66285"/>
    <w:rsid w:val="00D6631E"/>
    <w:rsid w:val="00D66326"/>
    <w:rsid w:val="00D6637F"/>
    <w:rsid w:val="00D66413"/>
    <w:rsid w:val="00D66438"/>
    <w:rsid w:val="00D66487"/>
    <w:rsid w:val="00D664CC"/>
    <w:rsid w:val="00D66518"/>
    <w:rsid w:val="00D66524"/>
    <w:rsid w:val="00D66562"/>
    <w:rsid w:val="00D66580"/>
    <w:rsid w:val="00D665E0"/>
    <w:rsid w:val="00D6662A"/>
    <w:rsid w:val="00D6663F"/>
    <w:rsid w:val="00D666C4"/>
    <w:rsid w:val="00D66752"/>
    <w:rsid w:val="00D66766"/>
    <w:rsid w:val="00D66775"/>
    <w:rsid w:val="00D66777"/>
    <w:rsid w:val="00D667DB"/>
    <w:rsid w:val="00D667DD"/>
    <w:rsid w:val="00D66803"/>
    <w:rsid w:val="00D66831"/>
    <w:rsid w:val="00D66846"/>
    <w:rsid w:val="00D6686D"/>
    <w:rsid w:val="00D6691E"/>
    <w:rsid w:val="00D66928"/>
    <w:rsid w:val="00D6692B"/>
    <w:rsid w:val="00D6692D"/>
    <w:rsid w:val="00D6694E"/>
    <w:rsid w:val="00D66969"/>
    <w:rsid w:val="00D66977"/>
    <w:rsid w:val="00D669AD"/>
    <w:rsid w:val="00D669DE"/>
    <w:rsid w:val="00D66A42"/>
    <w:rsid w:val="00D66B38"/>
    <w:rsid w:val="00D66B4B"/>
    <w:rsid w:val="00D66B54"/>
    <w:rsid w:val="00D66B5F"/>
    <w:rsid w:val="00D66BD1"/>
    <w:rsid w:val="00D66BFD"/>
    <w:rsid w:val="00D66C54"/>
    <w:rsid w:val="00D66C64"/>
    <w:rsid w:val="00D66C8C"/>
    <w:rsid w:val="00D66CBE"/>
    <w:rsid w:val="00D66CF0"/>
    <w:rsid w:val="00D66CFA"/>
    <w:rsid w:val="00D66D1A"/>
    <w:rsid w:val="00D66D2F"/>
    <w:rsid w:val="00D66D7E"/>
    <w:rsid w:val="00D66DEC"/>
    <w:rsid w:val="00D66E65"/>
    <w:rsid w:val="00D66E94"/>
    <w:rsid w:val="00D66ECE"/>
    <w:rsid w:val="00D66F3F"/>
    <w:rsid w:val="00D66F44"/>
    <w:rsid w:val="00D66F63"/>
    <w:rsid w:val="00D66F69"/>
    <w:rsid w:val="00D6703B"/>
    <w:rsid w:val="00D6703F"/>
    <w:rsid w:val="00D67070"/>
    <w:rsid w:val="00D670B0"/>
    <w:rsid w:val="00D670C9"/>
    <w:rsid w:val="00D67104"/>
    <w:rsid w:val="00D67169"/>
    <w:rsid w:val="00D67230"/>
    <w:rsid w:val="00D6729A"/>
    <w:rsid w:val="00D672E5"/>
    <w:rsid w:val="00D67304"/>
    <w:rsid w:val="00D673BC"/>
    <w:rsid w:val="00D673F0"/>
    <w:rsid w:val="00D67406"/>
    <w:rsid w:val="00D6743E"/>
    <w:rsid w:val="00D674A1"/>
    <w:rsid w:val="00D674B6"/>
    <w:rsid w:val="00D67531"/>
    <w:rsid w:val="00D67563"/>
    <w:rsid w:val="00D6756D"/>
    <w:rsid w:val="00D676AE"/>
    <w:rsid w:val="00D676B6"/>
    <w:rsid w:val="00D676D2"/>
    <w:rsid w:val="00D67719"/>
    <w:rsid w:val="00D67724"/>
    <w:rsid w:val="00D67739"/>
    <w:rsid w:val="00D67740"/>
    <w:rsid w:val="00D677CC"/>
    <w:rsid w:val="00D677EF"/>
    <w:rsid w:val="00D6782D"/>
    <w:rsid w:val="00D67896"/>
    <w:rsid w:val="00D6790B"/>
    <w:rsid w:val="00D67932"/>
    <w:rsid w:val="00D67937"/>
    <w:rsid w:val="00D6793C"/>
    <w:rsid w:val="00D6794F"/>
    <w:rsid w:val="00D67970"/>
    <w:rsid w:val="00D679FA"/>
    <w:rsid w:val="00D67AA4"/>
    <w:rsid w:val="00D67ACF"/>
    <w:rsid w:val="00D67AF4"/>
    <w:rsid w:val="00D67B00"/>
    <w:rsid w:val="00D67B5C"/>
    <w:rsid w:val="00D67B72"/>
    <w:rsid w:val="00D67BAE"/>
    <w:rsid w:val="00D67BBB"/>
    <w:rsid w:val="00D67BC0"/>
    <w:rsid w:val="00D67BDB"/>
    <w:rsid w:val="00D67C3F"/>
    <w:rsid w:val="00D67C4E"/>
    <w:rsid w:val="00D67C6A"/>
    <w:rsid w:val="00D67C6D"/>
    <w:rsid w:val="00D67C83"/>
    <w:rsid w:val="00D67CB8"/>
    <w:rsid w:val="00D67CC8"/>
    <w:rsid w:val="00D67CEA"/>
    <w:rsid w:val="00D67D57"/>
    <w:rsid w:val="00D67D67"/>
    <w:rsid w:val="00D67D85"/>
    <w:rsid w:val="00D67DA8"/>
    <w:rsid w:val="00D67DAA"/>
    <w:rsid w:val="00D67E04"/>
    <w:rsid w:val="00D67E1F"/>
    <w:rsid w:val="00D67E37"/>
    <w:rsid w:val="00D67E46"/>
    <w:rsid w:val="00D67EA1"/>
    <w:rsid w:val="00D67EF5"/>
    <w:rsid w:val="00D67F19"/>
    <w:rsid w:val="00D700B5"/>
    <w:rsid w:val="00D700F4"/>
    <w:rsid w:val="00D70102"/>
    <w:rsid w:val="00D70159"/>
    <w:rsid w:val="00D701A2"/>
    <w:rsid w:val="00D701B1"/>
    <w:rsid w:val="00D701D5"/>
    <w:rsid w:val="00D702B8"/>
    <w:rsid w:val="00D70319"/>
    <w:rsid w:val="00D70343"/>
    <w:rsid w:val="00D7034C"/>
    <w:rsid w:val="00D7036B"/>
    <w:rsid w:val="00D7045E"/>
    <w:rsid w:val="00D70494"/>
    <w:rsid w:val="00D70499"/>
    <w:rsid w:val="00D704FA"/>
    <w:rsid w:val="00D7050D"/>
    <w:rsid w:val="00D70531"/>
    <w:rsid w:val="00D70581"/>
    <w:rsid w:val="00D70588"/>
    <w:rsid w:val="00D705A6"/>
    <w:rsid w:val="00D705AA"/>
    <w:rsid w:val="00D705D8"/>
    <w:rsid w:val="00D705EE"/>
    <w:rsid w:val="00D7060B"/>
    <w:rsid w:val="00D70616"/>
    <w:rsid w:val="00D7066F"/>
    <w:rsid w:val="00D706A3"/>
    <w:rsid w:val="00D706CE"/>
    <w:rsid w:val="00D706DA"/>
    <w:rsid w:val="00D706DB"/>
    <w:rsid w:val="00D706E1"/>
    <w:rsid w:val="00D70741"/>
    <w:rsid w:val="00D70787"/>
    <w:rsid w:val="00D707B7"/>
    <w:rsid w:val="00D707B8"/>
    <w:rsid w:val="00D707CB"/>
    <w:rsid w:val="00D7083B"/>
    <w:rsid w:val="00D7086C"/>
    <w:rsid w:val="00D7087E"/>
    <w:rsid w:val="00D7088A"/>
    <w:rsid w:val="00D7089A"/>
    <w:rsid w:val="00D708A4"/>
    <w:rsid w:val="00D708B6"/>
    <w:rsid w:val="00D708D9"/>
    <w:rsid w:val="00D708DB"/>
    <w:rsid w:val="00D708DE"/>
    <w:rsid w:val="00D708E3"/>
    <w:rsid w:val="00D709BE"/>
    <w:rsid w:val="00D709DA"/>
    <w:rsid w:val="00D709DC"/>
    <w:rsid w:val="00D70A9F"/>
    <w:rsid w:val="00D70AD5"/>
    <w:rsid w:val="00D70AEF"/>
    <w:rsid w:val="00D70B1E"/>
    <w:rsid w:val="00D70B3D"/>
    <w:rsid w:val="00D70B9C"/>
    <w:rsid w:val="00D70BEC"/>
    <w:rsid w:val="00D70C77"/>
    <w:rsid w:val="00D70C8A"/>
    <w:rsid w:val="00D70CB0"/>
    <w:rsid w:val="00D70CB5"/>
    <w:rsid w:val="00D70CDD"/>
    <w:rsid w:val="00D70D3E"/>
    <w:rsid w:val="00D70D6F"/>
    <w:rsid w:val="00D70DA4"/>
    <w:rsid w:val="00D70E1A"/>
    <w:rsid w:val="00D70EA4"/>
    <w:rsid w:val="00D70ECA"/>
    <w:rsid w:val="00D70ECF"/>
    <w:rsid w:val="00D70EE0"/>
    <w:rsid w:val="00D70EF1"/>
    <w:rsid w:val="00D70F42"/>
    <w:rsid w:val="00D70FC7"/>
    <w:rsid w:val="00D70FD5"/>
    <w:rsid w:val="00D70FDD"/>
    <w:rsid w:val="00D71053"/>
    <w:rsid w:val="00D71056"/>
    <w:rsid w:val="00D710E3"/>
    <w:rsid w:val="00D7114E"/>
    <w:rsid w:val="00D7115C"/>
    <w:rsid w:val="00D71238"/>
    <w:rsid w:val="00D71288"/>
    <w:rsid w:val="00D7129D"/>
    <w:rsid w:val="00D712AB"/>
    <w:rsid w:val="00D712E1"/>
    <w:rsid w:val="00D71320"/>
    <w:rsid w:val="00D7134A"/>
    <w:rsid w:val="00D71367"/>
    <w:rsid w:val="00D7138A"/>
    <w:rsid w:val="00D713EE"/>
    <w:rsid w:val="00D7143C"/>
    <w:rsid w:val="00D71466"/>
    <w:rsid w:val="00D714A3"/>
    <w:rsid w:val="00D7150D"/>
    <w:rsid w:val="00D71643"/>
    <w:rsid w:val="00D7166A"/>
    <w:rsid w:val="00D7167B"/>
    <w:rsid w:val="00D71691"/>
    <w:rsid w:val="00D716C0"/>
    <w:rsid w:val="00D7173A"/>
    <w:rsid w:val="00D71766"/>
    <w:rsid w:val="00D717A2"/>
    <w:rsid w:val="00D717CB"/>
    <w:rsid w:val="00D71814"/>
    <w:rsid w:val="00D719C1"/>
    <w:rsid w:val="00D719C6"/>
    <w:rsid w:val="00D719E4"/>
    <w:rsid w:val="00D71A23"/>
    <w:rsid w:val="00D71A35"/>
    <w:rsid w:val="00D71AE6"/>
    <w:rsid w:val="00D71B07"/>
    <w:rsid w:val="00D71B28"/>
    <w:rsid w:val="00D71BC6"/>
    <w:rsid w:val="00D71BF7"/>
    <w:rsid w:val="00D71C37"/>
    <w:rsid w:val="00D71C53"/>
    <w:rsid w:val="00D71C68"/>
    <w:rsid w:val="00D71C94"/>
    <w:rsid w:val="00D71CEF"/>
    <w:rsid w:val="00D71D6C"/>
    <w:rsid w:val="00D71D7A"/>
    <w:rsid w:val="00D71DA8"/>
    <w:rsid w:val="00D71E49"/>
    <w:rsid w:val="00D71E53"/>
    <w:rsid w:val="00D71EA2"/>
    <w:rsid w:val="00D71EAF"/>
    <w:rsid w:val="00D71F0C"/>
    <w:rsid w:val="00D71F44"/>
    <w:rsid w:val="00D71F5D"/>
    <w:rsid w:val="00D71FB3"/>
    <w:rsid w:val="00D71FD1"/>
    <w:rsid w:val="00D71FF3"/>
    <w:rsid w:val="00D72055"/>
    <w:rsid w:val="00D72057"/>
    <w:rsid w:val="00D720A9"/>
    <w:rsid w:val="00D72116"/>
    <w:rsid w:val="00D7212C"/>
    <w:rsid w:val="00D72138"/>
    <w:rsid w:val="00D72141"/>
    <w:rsid w:val="00D72152"/>
    <w:rsid w:val="00D7215C"/>
    <w:rsid w:val="00D72165"/>
    <w:rsid w:val="00D7218C"/>
    <w:rsid w:val="00D721EE"/>
    <w:rsid w:val="00D721F0"/>
    <w:rsid w:val="00D72201"/>
    <w:rsid w:val="00D7220C"/>
    <w:rsid w:val="00D72278"/>
    <w:rsid w:val="00D7235C"/>
    <w:rsid w:val="00D723DE"/>
    <w:rsid w:val="00D72408"/>
    <w:rsid w:val="00D72412"/>
    <w:rsid w:val="00D72434"/>
    <w:rsid w:val="00D72462"/>
    <w:rsid w:val="00D72491"/>
    <w:rsid w:val="00D72492"/>
    <w:rsid w:val="00D724EA"/>
    <w:rsid w:val="00D7252A"/>
    <w:rsid w:val="00D72562"/>
    <w:rsid w:val="00D7257D"/>
    <w:rsid w:val="00D7258E"/>
    <w:rsid w:val="00D725B4"/>
    <w:rsid w:val="00D725CF"/>
    <w:rsid w:val="00D725FF"/>
    <w:rsid w:val="00D7263E"/>
    <w:rsid w:val="00D72652"/>
    <w:rsid w:val="00D72659"/>
    <w:rsid w:val="00D726E0"/>
    <w:rsid w:val="00D726EE"/>
    <w:rsid w:val="00D7272A"/>
    <w:rsid w:val="00D7276B"/>
    <w:rsid w:val="00D72792"/>
    <w:rsid w:val="00D7279D"/>
    <w:rsid w:val="00D727A1"/>
    <w:rsid w:val="00D72804"/>
    <w:rsid w:val="00D72808"/>
    <w:rsid w:val="00D7282A"/>
    <w:rsid w:val="00D7286B"/>
    <w:rsid w:val="00D72882"/>
    <w:rsid w:val="00D728CB"/>
    <w:rsid w:val="00D7290F"/>
    <w:rsid w:val="00D7291A"/>
    <w:rsid w:val="00D72943"/>
    <w:rsid w:val="00D7297B"/>
    <w:rsid w:val="00D729BF"/>
    <w:rsid w:val="00D729F2"/>
    <w:rsid w:val="00D72A72"/>
    <w:rsid w:val="00D72B11"/>
    <w:rsid w:val="00D72B16"/>
    <w:rsid w:val="00D72B1F"/>
    <w:rsid w:val="00D72B40"/>
    <w:rsid w:val="00D72B70"/>
    <w:rsid w:val="00D72B72"/>
    <w:rsid w:val="00D72BF6"/>
    <w:rsid w:val="00D72C0C"/>
    <w:rsid w:val="00D72C40"/>
    <w:rsid w:val="00D72C7E"/>
    <w:rsid w:val="00D72CAF"/>
    <w:rsid w:val="00D72CB0"/>
    <w:rsid w:val="00D72D20"/>
    <w:rsid w:val="00D72D91"/>
    <w:rsid w:val="00D72D9B"/>
    <w:rsid w:val="00D72DA0"/>
    <w:rsid w:val="00D72E3F"/>
    <w:rsid w:val="00D72E48"/>
    <w:rsid w:val="00D72E6F"/>
    <w:rsid w:val="00D72E82"/>
    <w:rsid w:val="00D72ED7"/>
    <w:rsid w:val="00D72EDD"/>
    <w:rsid w:val="00D72F52"/>
    <w:rsid w:val="00D7300C"/>
    <w:rsid w:val="00D73012"/>
    <w:rsid w:val="00D73017"/>
    <w:rsid w:val="00D73050"/>
    <w:rsid w:val="00D7307E"/>
    <w:rsid w:val="00D73099"/>
    <w:rsid w:val="00D730BA"/>
    <w:rsid w:val="00D73126"/>
    <w:rsid w:val="00D7315F"/>
    <w:rsid w:val="00D731E7"/>
    <w:rsid w:val="00D731E8"/>
    <w:rsid w:val="00D73202"/>
    <w:rsid w:val="00D73290"/>
    <w:rsid w:val="00D73294"/>
    <w:rsid w:val="00D732A3"/>
    <w:rsid w:val="00D73322"/>
    <w:rsid w:val="00D73354"/>
    <w:rsid w:val="00D7339E"/>
    <w:rsid w:val="00D733A1"/>
    <w:rsid w:val="00D733C5"/>
    <w:rsid w:val="00D733DB"/>
    <w:rsid w:val="00D733EC"/>
    <w:rsid w:val="00D73442"/>
    <w:rsid w:val="00D73443"/>
    <w:rsid w:val="00D73472"/>
    <w:rsid w:val="00D734B6"/>
    <w:rsid w:val="00D734C0"/>
    <w:rsid w:val="00D734CC"/>
    <w:rsid w:val="00D734D2"/>
    <w:rsid w:val="00D734D5"/>
    <w:rsid w:val="00D734F2"/>
    <w:rsid w:val="00D73572"/>
    <w:rsid w:val="00D735A4"/>
    <w:rsid w:val="00D735A8"/>
    <w:rsid w:val="00D735E3"/>
    <w:rsid w:val="00D735EE"/>
    <w:rsid w:val="00D7362E"/>
    <w:rsid w:val="00D7366E"/>
    <w:rsid w:val="00D736AC"/>
    <w:rsid w:val="00D736DC"/>
    <w:rsid w:val="00D73726"/>
    <w:rsid w:val="00D73733"/>
    <w:rsid w:val="00D73747"/>
    <w:rsid w:val="00D73799"/>
    <w:rsid w:val="00D7383F"/>
    <w:rsid w:val="00D73874"/>
    <w:rsid w:val="00D738C1"/>
    <w:rsid w:val="00D7391A"/>
    <w:rsid w:val="00D73939"/>
    <w:rsid w:val="00D73967"/>
    <w:rsid w:val="00D73A32"/>
    <w:rsid w:val="00D73A33"/>
    <w:rsid w:val="00D73ABD"/>
    <w:rsid w:val="00D73B1D"/>
    <w:rsid w:val="00D73B82"/>
    <w:rsid w:val="00D73B98"/>
    <w:rsid w:val="00D73CAE"/>
    <w:rsid w:val="00D73CE1"/>
    <w:rsid w:val="00D73CED"/>
    <w:rsid w:val="00D73D05"/>
    <w:rsid w:val="00D73D08"/>
    <w:rsid w:val="00D73D09"/>
    <w:rsid w:val="00D73D0A"/>
    <w:rsid w:val="00D73D1A"/>
    <w:rsid w:val="00D73D39"/>
    <w:rsid w:val="00D73DBE"/>
    <w:rsid w:val="00D73DC6"/>
    <w:rsid w:val="00D73E21"/>
    <w:rsid w:val="00D73E40"/>
    <w:rsid w:val="00D73EA4"/>
    <w:rsid w:val="00D73F18"/>
    <w:rsid w:val="00D73F73"/>
    <w:rsid w:val="00D73F88"/>
    <w:rsid w:val="00D73F8C"/>
    <w:rsid w:val="00D7402A"/>
    <w:rsid w:val="00D74056"/>
    <w:rsid w:val="00D740A6"/>
    <w:rsid w:val="00D740B6"/>
    <w:rsid w:val="00D740D6"/>
    <w:rsid w:val="00D740F0"/>
    <w:rsid w:val="00D7410D"/>
    <w:rsid w:val="00D74130"/>
    <w:rsid w:val="00D74149"/>
    <w:rsid w:val="00D7418C"/>
    <w:rsid w:val="00D741E4"/>
    <w:rsid w:val="00D741FC"/>
    <w:rsid w:val="00D7424B"/>
    <w:rsid w:val="00D74269"/>
    <w:rsid w:val="00D74276"/>
    <w:rsid w:val="00D7428E"/>
    <w:rsid w:val="00D742A5"/>
    <w:rsid w:val="00D742CC"/>
    <w:rsid w:val="00D7430A"/>
    <w:rsid w:val="00D7431B"/>
    <w:rsid w:val="00D74337"/>
    <w:rsid w:val="00D743E9"/>
    <w:rsid w:val="00D74469"/>
    <w:rsid w:val="00D7446C"/>
    <w:rsid w:val="00D7449E"/>
    <w:rsid w:val="00D744B4"/>
    <w:rsid w:val="00D7450C"/>
    <w:rsid w:val="00D74577"/>
    <w:rsid w:val="00D7458D"/>
    <w:rsid w:val="00D74600"/>
    <w:rsid w:val="00D74645"/>
    <w:rsid w:val="00D746DA"/>
    <w:rsid w:val="00D746F4"/>
    <w:rsid w:val="00D74701"/>
    <w:rsid w:val="00D74756"/>
    <w:rsid w:val="00D74794"/>
    <w:rsid w:val="00D747FC"/>
    <w:rsid w:val="00D74820"/>
    <w:rsid w:val="00D74847"/>
    <w:rsid w:val="00D7486F"/>
    <w:rsid w:val="00D748E8"/>
    <w:rsid w:val="00D748FD"/>
    <w:rsid w:val="00D74939"/>
    <w:rsid w:val="00D74947"/>
    <w:rsid w:val="00D7495E"/>
    <w:rsid w:val="00D74972"/>
    <w:rsid w:val="00D7497F"/>
    <w:rsid w:val="00D74992"/>
    <w:rsid w:val="00D7499C"/>
    <w:rsid w:val="00D749BE"/>
    <w:rsid w:val="00D749F5"/>
    <w:rsid w:val="00D74A50"/>
    <w:rsid w:val="00D74A60"/>
    <w:rsid w:val="00D74A99"/>
    <w:rsid w:val="00D74AB8"/>
    <w:rsid w:val="00D74ACE"/>
    <w:rsid w:val="00D74B16"/>
    <w:rsid w:val="00D74B6F"/>
    <w:rsid w:val="00D74B81"/>
    <w:rsid w:val="00D74BA6"/>
    <w:rsid w:val="00D74BAB"/>
    <w:rsid w:val="00D74C15"/>
    <w:rsid w:val="00D74C45"/>
    <w:rsid w:val="00D74C5F"/>
    <w:rsid w:val="00D74C66"/>
    <w:rsid w:val="00D74C72"/>
    <w:rsid w:val="00D74CB9"/>
    <w:rsid w:val="00D74CD8"/>
    <w:rsid w:val="00D74CDC"/>
    <w:rsid w:val="00D74CE5"/>
    <w:rsid w:val="00D74DF0"/>
    <w:rsid w:val="00D74E10"/>
    <w:rsid w:val="00D74E1F"/>
    <w:rsid w:val="00D74E7A"/>
    <w:rsid w:val="00D74EAC"/>
    <w:rsid w:val="00D74F3D"/>
    <w:rsid w:val="00D74F58"/>
    <w:rsid w:val="00D74F96"/>
    <w:rsid w:val="00D74FD5"/>
    <w:rsid w:val="00D74FD9"/>
    <w:rsid w:val="00D74FDB"/>
    <w:rsid w:val="00D750C8"/>
    <w:rsid w:val="00D75167"/>
    <w:rsid w:val="00D75183"/>
    <w:rsid w:val="00D751ED"/>
    <w:rsid w:val="00D75275"/>
    <w:rsid w:val="00D752F8"/>
    <w:rsid w:val="00D7534A"/>
    <w:rsid w:val="00D753EE"/>
    <w:rsid w:val="00D75478"/>
    <w:rsid w:val="00D754D1"/>
    <w:rsid w:val="00D75509"/>
    <w:rsid w:val="00D7554F"/>
    <w:rsid w:val="00D7556F"/>
    <w:rsid w:val="00D75593"/>
    <w:rsid w:val="00D755A9"/>
    <w:rsid w:val="00D755C5"/>
    <w:rsid w:val="00D755E3"/>
    <w:rsid w:val="00D755E8"/>
    <w:rsid w:val="00D7561D"/>
    <w:rsid w:val="00D756B9"/>
    <w:rsid w:val="00D75726"/>
    <w:rsid w:val="00D757C1"/>
    <w:rsid w:val="00D757CD"/>
    <w:rsid w:val="00D75899"/>
    <w:rsid w:val="00D758A9"/>
    <w:rsid w:val="00D758DF"/>
    <w:rsid w:val="00D75915"/>
    <w:rsid w:val="00D759A0"/>
    <w:rsid w:val="00D759D6"/>
    <w:rsid w:val="00D75A08"/>
    <w:rsid w:val="00D75A2C"/>
    <w:rsid w:val="00D75A56"/>
    <w:rsid w:val="00D75A6B"/>
    <w:rsid w:val="00D75AA5"/>
    <w:rsid w:val="00D75AFF"/>
    <w:rsid w:val="00D75B01"/>
    <w:rsid w:val="00D75B51"/>
    <w:rsid w:val="00D75B7A"/>
    <w:rsid w:val="00D75B94"/>
    <w:rsid w:val="00D75B9B"/>
    <w:rsid w:val="00D75BCA"/>
    <w:rsid w:val="00D75C14"/>
    <w:rsid w:val="00D75C20"/>
    <w:rsid w:val="00D75C3E"/>
    <w:rsid w:val="00D75C47"/>
    <w:rsid w:val="00D75C52"/>
    <w:rsid w:val="00D75C57"/>
    <w:rsid w:val="00D75C64"/>
    <w:rsid w:val="00D75CD9"/>
    <w:rsid w:val="00D75CDF"/>
    <w:rsid w:val="00D75D5E"/>
    <w:rsid w:val="00D75DA0"/>
    <w:rsid w:val="00D75DF5"/>
    <w:rsid w:val="00D75DF6"/>
    <w:rsid w:val="00D75E18"/>
    <w:rsid w:val="00D75E60"/>
    <w:rsid w:val="00D75F16"/>
    <w:rsid w:val="00D75F35"/>
    <w:rsid w:val="00D75F41"/>
    <w:rsid w:val="00D75F68"/>
    <w:rsid w:val="00D75F85"/>
    <w:rsid w:val="00D75FA9"/>
    <w:rsid w:val="00D75FD0"/>
    <w:rsid w:val="00D75FF7"/>
    <w:rsid w:val="00D7608A"/>
    <w:rsid w:val="00D76097"/>
    <w:rsid w:val="00D760EB"/>
    <w:rsid w:val="00D7613E"/>
    <w:rsid w:val="00D7615D"/>
    <w:rsid w:val="00D7618E"/>
    <w:rsid w:val="00D7618F"/>
    <w:rsid w:val="00D761B7"/>
    <w:rsid w:val="00D761BA"/>
    <w:rsid w:val="00D761C7"/>
    <w:rsid w:val="00D7622F"/>
    <w:rsid w:val="00D76232"/>
    <w:rsid w:val="00D76278"/>
    <w:rsid w:val="00D762B8"/>
    <w:rsid w:val="00D762E2"/>
    <w:rsid w:val="00D76321"/>
    <w:rsid w:val="00D7636C"/>
    <w:rsid w:val="00D76386"/>
    <w:rsid w:val="00D763BE"/>
    <w:rsid w:val="00D76410"/>
    <w:rsid w:val="00D76457"/>
    <w:rsid w:val="00D7646F"/>
    <w:rsid w:val="00D7648D"/>
    <w:rsid w:val="00D76496"/>
    <w:rsid w:val="00D764EC"/>
    <w:rsid w:val="00D764F3"/>
    <w:rsid w:val="00D76541"/>
    <w:rsid w:val="00D76581"/>
    <w:rsid w:val="00D76584"/>
    <w:rsid w:val="00D765F5"/>
    <w:rsid w:val="00D76611"/>
    <w:rsid w:val="00D7661A"/>
    <w:rsid w:val="00D7665B"/>
    <w:rsid w:val="00D7667A"/>
    <w:rsid w:val="00D7668F"/>
    <w:rsid w:val="00D766A6"/>
    <w:rsid w:val="00D766E4"/>
    <w:rsid w:val="00D76734"/>
    <w:rsid w:val="00D7678B"/>
    <w:rsid w:val="00D76798"/>
    <w:rsid w:val="00D767D6"/>
    <w:rsid w:val="00D76901"/>
    <w:rsid w:val="00D76906"/>
    <w:rsid w:val="00D76936"/>
    <w:rsid w:val="00D76971"/>
    <w:rsid w:val="00D76A1E"/>
    <w:rsid w:val="00D76A70"/>
    <w:rsid w:val="00D76A99"/>
    <w:rsid w:val="00D76B13"/>
    <w:rsid w:val="00D76B46"/>
    <w:rsid w:val="00D76BBD"/>
    <w:rsid w:val="00D76BFD"/>
    <w:rsid w:val="00D76CD1"/>
    <w:rsid w:val="00D76CD9"/>
    <w:rsid w:val="00D76CFC"/>
    <w:rsid w:val="00D76D14"/>
    <w:rsid w:val="00D76D75"/>
    <w:rsid w:val="00D76DB8"/>
    <w:rsid w:val="00D76DDB"/>
    <w:rsid w:val="00D76E04"/>
    <w:rsid w:val="00D76E50"/>
    <w:rsid w:val="00D76E78"/>
    <w:rsid w:val="00D76E94"/>
    <w:rsid w:val="00D76ECF"/>
    <w:rsid w:val="00D76EE1"/>
    <w:rsid w:val="00D76F00"/>
    <w:rsid w:val="00D76F3C"/>
    <w:rsid w:val="00D76F56"/>
    <w:rsid w:val="00D76F86"/>
    <w:rsid w:val="00D76FAE"/>
    <w:rsid w:val="00D76FDD"/>
    <w:rsid w:val="00D77004"/>
    <w:rsid w:val="00D77032"/>
    <w:rsid w:val="00D770AC"/>
    <w:rsid w:val="00D770C5"/>
    <w:rsid w:val="00D770E9"/>
    <w:rsid w:val="00D77180"/>
    <w:rsid w:val="00D7719C"/>
    <w:rsid w:val="00D771AA"/>
    <w:rsid w:val="00D771D0"/>
    <w:rsid w:val="00D7726A"/>
    <w:rsid w:val="00D772A5"/>
    <w:rsid w:val="00D772B3"/>
    <w:rsid w:val="00D772DB"/>
    <w:rsid w:val="00D77323"/>
    <w:rsid w:val="00D7733C"/>
    <w:rsid w:val="00D7733F"/>
    <w:rsid w:val="00D7736A"/>
    <w:rsid w:val="00D773B6"/>
    <w:rsid w:val="00D773DD"/>
    <w:rsid w:val="00D773F4"/>
    <w:rsid w:val="00D7741E"/>
    <w:rsid w:val="00D7745E"/>
    <w:rsid w:val="00D7747D"/>
    <w:rsid w:val="00D774AC"/>
    <w:rsid w:val="00D774E6"/>
    <w:rsid w:val="00D774EA"/>
    <w:rsid w:val="00D774F8"/>
    <w:rsid w:val="00D7751F"/>
    <w:rsid w:val="00D7762B"/>
    <w:rsid w:val="00D77678"/>
    <w:rsid w:val="00D776AD"/>
    <w:rsid w:val="00D776D0"/>
    <w:rsid w:val="00D776D4"/>
    <w:rsid w:val="00D7773D"/>
    <w:rsid w:val="00D7774B"/>
    <w:rsid w:val="00D7776A"/>
    <w:rsid w:val="00D77789"/>
    <w:rsid w:val="00D777D2"/>
    <w:rsid w:val="00D77813"/>
    <w:rsid w:val="00D77828"/>
    <w:rsid w:val="00D77849"/>
    <w:rsid w:val="00D7789D"/>
    <w:rsid w:val="00D778F9"/>
    <w:rsid w:val="00D77950"/>
    <w:rsid w:val="00D779EE"/>
    <w:rsid w:val="00D77A4E"/>
    <w:rsid w:val="00D77ABC"/>
    <w:rsid w:val="00D77B1B"/>
    <w:rsid w:val="00D77B40"/>
    <w:rsid w:val="00D77B41"/>
    <w:rsid w:val="00D77B7A"/>
    <w:rsid w:val="00D77B9D"/>
    <w:rsid w:val="00D77BF5"/>
    <w:rsid w:val="00D77BFA"/>
    <w:rsid w:val="00D77D30"/>
    <w:rsid w:val="00D77D62"/>
    <w:rsid w:val="00D77D68"/>
    <w:rsid w:val="00D77DA2"/>
    <w:rsid w:val="00D77DBF"/>
    <w:rsid w:val="00D77DD5"/>
    <w:rsid w:val="00D77DDF"/>
    <w:rsid w:val="00D77E45"/>
    <w:rsid w:val="00D77E4D"/>
    <w:rsid w:val="00D77E4F"/>
    <w:rsid w:val="00D77E6B"/>
    <w:rsid w:val="00D77E6F"/>
    <w:rsid w:val="00D77E79"/>
    <w:rsid w:val="00D77F25"/>
    <w:rsid w:val="00D77F9F"/>
    <w:rsid w:val="00D77FE9"/>
    <w:rsid w:val="00D80011"/>
    <w:rsid w:val="00D800C9"/>
    <w:rsid w:val="00D800EC"/>
    <w:rsid w:val="00D80116"/>
    <w:rsid w:val="00D80142"/>
    <w:rsid w:val="00D80158"/>
    <w:rsid w:val="00D80164"/>
    <w:rsid w:val="00D801B5"/>
    <w:rsid w:val="00D801CA"/>
    <w:rsid w:val="00D801CE"/>
    <w:rsid w:val="00D801E2"/>
    <w:rsid w:val="00D8022C"/>
    <w:rsid w:val="00D8032C"/>
    <w:rsid w:val="00D8034E"/>
    <w:rsid w:val="00D803A1"/>
    <w:rsid w:val="00D803E4"/>
    <w:rsid w:val="00D80402"/>
    <w:rsid w:val="00D8042B"/>
    <w:rsid w:val="00D80458"/>
    <w:rsid w:val="00D8045B"/>
    <w:rsid w:val="00D80484"/>
    <w:rsid w:val="00D804C3"/>
    <w:rsid w:val="00D804D1"/>
    <w:rsid w:val="00D80501"/>
    <w:rsid w:val="00D80504"/>
    <w:rsid w:val="00D8051B"/>
    <w:rsid w:val="00D8053D"/>
    <w:rsid w:val="00D80558"/>
    <w:rsid w:val="00D8059E"/>
    <w:rsid w:val="00D805DA"/>
    <w:rsid w:val="00D80626"/>
    <w:rsid w:val="00D80633"/>
    <w:rsid w:val="00D806FA"/>
    <w:rsid w:val="00D80741"/>
    <w:rsid w:val="00D8074F"/>
    <w:rsid w:val="00D80750"/>
    <w:rsid w:val="00D8075B"/>
    <w:rsid w:val="00D807A0"/>
    <w:rsid w:val="00D807BD"/>
    <w:rsid w:val="00D807E1"/>
    <w:rsid w:val="00D807E3"/>
    <w:rsid w:val="00D8080D"/>
    <w:rsid w:val="00D80814"/>
    <w:rsid w:val="00D80858"/>
    <w:rsid w:val="00D8085C"/>
    <w:rsid w:val="00D808DC"/>
    <w:rsid w:val="00D80945"/>
    <w:rsid w:val="00D809A8"/>
    <w:rsid w:val="00D809FE"/>
    <w:rsid w:val="00D809FF"/>
    <w:rsid w:val="00D80A5D"/>
    <w:rsid w:val="00D80AC9"/>
    <w:rsid w:val="00D80AF1"/>
    <w:rsid w:val="00D80B17"/>
    <w:rsid w:val="00D80B5A"/>
    <w:rsid w:val="00D80BEA"/>
    <w:rsid w:val="00D80C0A"/>
    <w:rsid w:val="00D80C0E"/>
    <w:rsid w:val="00D80C4C"/>
    <w:rsid w:val="00D80C4E"/>
    <w:rsid w:val="00D80C61"/>
    <w:rsid w:val="00D80C64"/>
    <w:rsid w:val="00D80D11"/>
    <w:rsid w:val="00D80D16"/>
    <w:rsid w:val="00D80D59"/>
    <w:rsid w:val="00D80DCC"/>
    <w:rsid w:val="00D80DF2"/>
    <w:rsid w:val="00D80E43"/>
    <w:rsid w:val="00D80E4B"/>
    <w:rsid w:val="00D80E5F"/>
    <w:rsid w:val="00D80E77"/>
    <w:rsid w:val="00D80ED6"/>
    <w:rsid w:val="00D80EEC"/>
    <w:rsid w:val="00D80EF1"/>
    <w:rsid w:val="00D80F45"/>
    <w:rsid w:val="00D80F5D"/>
    <w:rsid w:val="00D80F5F"/>
    <w:rsid w:val="00D80F7B"/>
    <w:rsid w:val="00D80FC9"/>
    <w:rsid w:val="00D80FF6"/>
    <w:rsid w:val="00D81024"/>
    <w:rsid w:val="00D81044"/>
    <w:rsid w:val="00D81049"/>
    <w:rsid w:val="00D81079"/>
    <w:rsid w:val="00D810AC"/>
    <w:rsid w:val="00D810F6"/>
    <w:rsid w:val="00D81123"/>
    <w:rsid w:val="00D8114A"/>
    <w:rsid w:val="00D811D6"/>
    <w:rsid w:val="00D81211"/>
    <w:rsid w:val="00D81237"/>
    <w:rsid w:val="00D81270"/>
    <w:rsid w:val="00D81275"/>
    <w:rsid w:val="00D812A1"/>
    <w:rsid w:val="00D812A2"/>
    <w:rsid w:val="00D8131A"/>
    <w:rsid w:val="00D81387"/>
    <w:rsid w:val="00D813BA"/>
    <w:rsid w:val="00D813C0"/>
    <w:rsid w:val="00D813D1"/>
    <w:rsid w:val="00D8141F"/>
    <w:rsid w:val="00D8143E"/>
    <w:rsid w:val="00D81454"/>
    <w:rsid w:val="00D81464"/>
    <w:rsid w:val="00D81487"/>
    <w:rsid w:val="00D814CF"/>
    <w:rsid w:val="00D8151A"/>
    <w:rsid w:val="00D81520"/>
    <w:rsid w:val="00D81533"/>
    <w:rsid w:val="00D81582"/>
    <w:rsid w:val="00D8158E"/>
    <w:rsid w:val="00D81599"/>
    <w:rsid w:val="00D81640"/>
    <w:rsid w:val="00D8165F"/>
    <w:rsid w:val="00D81684"/>
    <w:rsid w:val="00D8169D"/>
    <w:rsid w:val="00D816BD"/>
    <w:rsid w:val="00D816E1"/>
    <w:rsid w:val="00D81759"/>
    <w:rsid w:val="00D81777"/>
    <w:rsid w:val="00D81778"/>
    <w:rsid w:val="00D8180F"/>
    <w:rsid w:val="00D8181D"/>
    <w:rsid w:val="00D81898"/>
    <w:rsid w:val="00D818CA"/>
    <w:rsid w:val="00D818E7"/>
    <w:rsid w:val="00D818E9"/>
    <w:rsid w:val="00D8195A"/>
    <w:rsid w:val="00D81961"/>
    <w:rsid w:val="00D819A0"/>
    <w:rsid w:val="00D819E1"/>
    <w:rsid w:val="00D819E4"/>
    <w:rsid w:val="00D81A50"/>
    <w:rsid w:val="00D81A65"/>
    <w:rsid w:val="00D81A70"/>
    <w:rsid w:val="00D81ABB"/>
    <w:rsid w:val="00D81AE2"/>
    <w:rsid w:val="00D81AF7"/>
    <w:rsid w:val="00D81B22"/>
    <w:rsid w:val="00D81BA0"/>
    <w:rsid w:val="00D81BAF"/>
    <w:rsid w:val="00D81BCA"/>
    <w:rsid w:val="00D81C3F"/>
    <w:rsid w:val="00D81C7D"/>
    <w:rsid w:val="00D81C90"/>
    <w:rsid w:val="00D81C9D"/>
    <w:rsid w:val="00D81CDD"/>
    <w:rsid w:val="00D81CE1"/>
    <w:rsid w:val="00D81D02"/>
    <w:rsid w:val="00D81D38"/>
    <w:rsid w:val="00D81D41"/>
    <w:rsid w:val="00D81DA5"/>
    <w:rsid w:val="00D81DD1"/>
    <w:rsid w:val="00D81DDE"/>
    <w:rsid w:val="00D81E1D"/>
    <w:rsid w:val="00D81E22"/>
    <w:rsid w:val="00D81E55"/>
    <w:rsid w:val="00D81E97"/>
    <w:rsid w:val="00D81ED9"/>
    <w:rsid w:val="00D81F1D"/>
    <w:rsid w:val="00D81F2B"/>
    <w:rsid w:val="00D81F59"/>
    <w:rsid w:val="00D81F66"/>
    <w:rsid w:val="00D81FBA"/>
    <w:rsid w:val="00D81FDF"/>
    <w:rsid w:val="00D8206F"/>
    <w:rsid w:val="00D82095"/>
    <w:rsid w:val="00D82099"/>
    <w:rsid w:val="00D82106"/>
    <w:rsid w:val="00D8211B"/>
    <w:rsid w:val="00D82132"/>
    <w:rsid w:val="00D82171"/>
    <w:rsid w:val="00D8219B"/>
    <w:rsid w:val="00D821B5"/>
    <w:rsid w:val="00D821F2"/>
    <w:rsid w:val="00D821F9"/>
    <w:rsid w:val="00D82267"/>
    <w:rsid w:val="00D822AD"/>
    <w:rsid w:val="00D822BD"/>
    <w:rsid w:val="00D822F2"/>
    <w:rsid w:val="00D8231A"/>
    <w:rsid w:val="00D8234D"/>
    <w:rsid w:val="00D82396"/>
    <w:rsid w:val="00D8239B"/>
    <w:rsid w:val="00D823E2"/>
    <w:rsid w:val="00D82474"/>
    <w:rsid w:val="00D824A5"/>
    <w:rsid w:val="00D8252C"/>
    <w:rsid w:val="00D82534"/>
    <w:rsid w:val="00D82548"/>
    <w:rsid w:val="00D825AC"/>
    <w:rsid w:val="00D82613"/>
    <w:rsid w:val="00D82637"/>
    <w:rsid w:val="00D826AC"/>
    <w:rsid w:val="00D826BC"/>
    <w:rsid w:val="00D826C2"/>
    <w:rsid w:val="00D82713"/>
    <w:rsid w:val="00D82739"/>
    <w:rsid w:val="00D8276E"/>
    <w:rsid w:val="00D8287B"/>
    <w:rsid w:val="00D828A1"/>
    <w:rsid w:val="00D828BF"/>
    <w:rsid w:val="00D828D8"/>
    <w:rsid w:val="00D828ED"/>
    <w:rsid w:val="00D828F5"/>
    <w:rsid w:val="00D82915"/>
    <w:rsid w:val="00D829C5"/>
    <w:rsid w:val="00D829DA"/>
    <w:rsid w:val="00D829F8"/>
    <w:rsid w:val="00D82A03"/>
    <w:rsid w:val="00D82AB1"/>
    <w:rsid w:val="00D82B08"/>
    <w:rsid w:val="00D82B31"/>
    <w:rsid w:val="00D82B3C"/>
    <w:rsid w:val="00D82B4B"/>
    <w:rsid w:val="00D82B90"/>
    <w:rsid w:val="00D82B98"/>
    <w:rsid w:val="00D82C20"/>
    <w:rsid w:val="00D82C3D"/>
    <w:rsid w:val="00D82C41"/>
    <w:rsid w:val="00D82C57"/>
    <w:rsid w:val="00D82C8A"/>
    <w:rsid w:val="00D82C9A"/>
    <w:rsid w:val="00D82CF7"/>
    <w:rsid w:val="00D82D01"/>
    <w:rsid w:val="00D82D1D"/>
    <w:rsid w:val="00D82D34"/>
    <w:rsid w:val="00D82D49"/>
    <w:rsid w:val="00D82D9B"/>
    <w:rsid w:val="00D82E47"/>
    <w:rsid w:val="00D82E98"/>
    <w:rsid w:val="00D82F15"/>
    <w:rsid w:val="00D82F52"/>
    <w:rsid w:val="00D82F57"/>
    <w:rsid w:val="00D82F74"/>
    <w:rsid w:val="00D82F8A"/>
    <w:rsid w:val="00D82FD7"/>
    <w:rsid w:val="00D82FD9"/>
    <w:rsid w:val="00D830C6"/>
    <w:rsid w:val="00D830CC"/>
    <w:rsid w:val="00D8312A"/>
    <w:rsid w:val="00D831AF"/>
    <w:rsid w:val="00D8320A"/>
    <w:rsid w:val="00D83223"/>
    <w:rsid w:val="00D8325F"/>
    <w:rsid w:val="00D8328B"/>
    <w:rsid w:val="00D832B8"/>
    <w:rsid w:val="00D832BF"/>
    <w:rsid w:val="00D832C9"/>
    <w:rsid w:val="00D83317"/>
    <w:rsid w:val="00D833A2"/>
    <w:rsid w:val="00D8341D"/>
    <w:rsid w:val="00D83499"/>
    <w:rsid w:val="00D834B1"/>
    <w:rsid w:val="00D834D2"/>
    <w:rsid w:val="00D834F4"/>
    <w:rsid w:val="00D834F7"/>
    <w:rsid w:val="00D83515"/>
    <w:rsid w:val="00D8352D"/>
    <w:rsid w:val="00D83562"/>
    <w:rsid w:val="00D835DD"/>
    <w:rsid w:val="00D83640"/>
    <w:rsid w:val="00D83663"/>
    <w:rsid w:val="00D83670"/>
    <w:rsid w:val="00D836A2"/>
    <w:rsid w:val="00D836AE"/>
    <w:rsid w:val="00D836D2"/>
    <w:rsid w:val="00D83707"/>
    <w:rsid w:val="00D83738"/>
    <w:rsid w:val="00D83743"/>
    <w:rsid w:val="00D83776"/>
    <w:rsid w:val="00D8378D"/>
    <w:rsid w:val="00D83887"/>
    <w:rsid w:val="00D838B5"/>
    <w:rsid w:val="00D838C0"/>
    <w:rsid w:val="00D838EE"/>
    <w:rsid w:val="00D83907"/>
    <w:rsid w:val="00D83923"/>
    <w:rsid w:val="00D83966"/>
    <w:rsid w:val="00D83975"/>
    <w:rsid w:val="00D8397A"/>
    <w:rsid w:val="00D8397C"/>
    <w:rsid w:val="00D83989"/>
    <w:rsid w:val="00D839A4"/>
    <w:rsid w:val="00D83A5A"/>
    <w:rsid w:val="00D83AAB"/>
    <w:rsid w:val="00D83AAC"/>
    <w:rsid w:val="00D83AC4"/>
    <w:rsid w:val="00D83AC6"/>
    <w:rsid w:val="00D83B20"/>
    <w:rsid w:val="00D83B29"/>
    <w:rsid w:val="00D83B55"/>
    <w:rsid w:val="00D83B79"/>
    <w:rsid w:val="00D83B9B"/>
    <w:rsid w:val="00D83BB2"/>
    <w:rsid w:val="00D83BBF"/>
    <w:rsid w:val="00D83BEC"/>
    <w:rsid w:val="00D83C40"/>
    <w:rsid w:val="00D83C9A"/>
    <w:rsid w:val="00D83CAE"/>
    <w:rsid w:val="00D83CC2"/>
    <w:rsid w:val="00D83CDD"/>
    <w:rsid w:val="00D83D24"/>
    <w:rsid w:val="00D83D58"/>
    <w:rsid w:val="00D83D5D"/>
    <w:rsid w:val="00D83E18"/>
    <w:rsid w:val="00D83E97"/>
    <w:rsid w:val="00D83EA5"/>
    <w:rsid w:val="00D83EC5"/>
    <w:rsid w:val="00D83EE5"/>
    <w:rsid w:val="00D83F39"/>
    <w:rsid w:val="00D83F45"/>
    <w:rsid w:val="00D83F5A"/>
    <w:rsid w:val="00D83F83"/>
    <w:rsid w:val="00D83FB2"/>
    <w:rsid w:val="00D84001"/>
    <w:rsid w:val="00D84061"/>
    <w:rsid w:val="00D840AB"/>
    <w:rsid w:val="00D84132"/>
    <w:rsid w:val="00D8413D"/>
    <w:rsid w:val="00D8418B"/>
    <w:rsid w:val="00D84197"/>
    <w:rsid w:val="00D84261"/>
    <w:rsid w:val="00D84275"/>
    <w:rsid w:val="00D84287"/>
    <w:rsid w:val="00D842B8"/>
    <w:rsid w:val="00D842F1"/>
    <w:rsid w:val="00D842F9"/>
    <w:rsid w:val="00D8432D"/>
    <w:rsid w:val="00D84383"/>
    <w:rsid w:val="00D843E2"/>
    <w:rsid w:val="00D843E5"/>
    <w:rsid w:val="00D84403"/>
    <w:rsid w:val="00D8441C"/>
    <w:rsid w:val="00D8446B"/>
    <w:rsid w:val="00D84486"/>
    <w:rsid w:val="00D844C0"/>
    <w:rsid w:val="00D844C9"/>
    <w:rsid w:val="00D844EA"/>
    <w:rsid w:val="00D8450B"/>
    <w:rsid w:val="00D8456F"/>
    <w:rsid w:val="00D84570"/>
    <w:rsid w:val="00D8458B"/>
    <w:rsid w:val="00D84596"/>
    <w:rsid w:val="00D8460D"/>
    <w:rsid w:val="00D84615"/>
    <w:rsid w:val="00D84629"/>
    <w:rsid w:val="00D84639"/>
    <w:rsid w:val="00D84687"/>
    <w:rsid w:val="00D846A4"/>
    <w:rsid w:val="00D846BF"/>
    <w:rsid w:val="00D84705"/>
    <w:rsid w:val="00D84793"/>
    <w:rsid w:val="00D84794"/>
    <w:rsid w:val="00D84824"/>
    <w:rsid w:val="00D84826"/>
    <w:rsid w:val="00D84829"/>
    <w:rsid w:val="00D848FC"/>
    <w:rsid w:val="00D84901"/>
    <w:rsid w:val="00D84907"/>
    <w:rsid w:val="00D84924"/>
    <w:rsid w:val="00D8492B"/>
    <w:rsid w:val="00D849B3"/>
    <w:rsid w:val="00D84A76"/>
    <w:rsid w:val="00D84A9B"/>
    <w:rsid w:val="00D84B02"/>
    <w:rsid w:val="00D84B5E"/>
    <w:rsid w:val="00D84C72"/>
    <w:rsid w:val="00D84CB9"/>
    <w:rsid w:val="00D84D26"/>
    <w:rsid w:val="00D84D52"/>
    <w:rsid w:val="00D84E09"/>
    <w:rsid w:val="00D84E41"/>
    <w:rsid w:val="00D84E61"/>
    <w:rsid w:val="00D84E6A"/>
    <w:rsid w:val="00D84ED1"/>
    <w:rsid w:val="00D84F03"/>
    <w:rsid w:val="00D84F0C"/>
    <w:rsid w:val="00D84F53"/>
    <w:rsid w:val="00D84F57"/>
    <w:rsid w:val="00D84F7F"/>
    <w:rsid w:val="00D84FEE"/>
    <w:rsid w:val="00D85005"/>
    <w:rsid w:val="00D85082"/>
    <w:rsid w:val="00D850EA"/>
    <w:rsid w:val="00D851E1"/>
    <w:rsid w:val="00D852D0"/>
    <w:rsid w:val="00D852ED"/>
    <w:rsid w:val="00D8532F"/>
    <w:rsid w:val="00D85384"/>
    <w:rsid w:val="00D8541E"/>
    <w:rsid w:val="00D854AB"/>
    <w:rsid w:val="00D854CC"/>
    <w:rsid w:val="00D854EC"/>
    <w:rsid w:val="00D85525"/>
    <w:rsid w:val="00D85603"/>
    <w:rsid w:val="00D85695"/>
    <w:rsid w:val="00D8573A"/>
    <w:rsid w:val="00D8573B"/>
    <w:rsid w:val="00D85778"/>
    <w:rsid w:val="00D857EB"/>
    <w:rsid w:val="00D85847"/>
    <w:rsid w:val="00D858A2"/>
    <w:rsid w:val="00D8594D"/>
    <w:rsid w:val="00D85965"/>
    <w:rsid w:val="00D85966"/>
    <w:rsid w:val="00D8596F"/>
    <w:rsid w:val="00D8597D"/>
    <w:rsid w:val="00D859CD"/>
    <w:rsid w:val="00D859CF"/>
    <w:rsid w:val="00D859D1"/>
    <w:rsid w:val="00D85A22"/>
    <w:rsid w:val="00D85AA7"/>
    <w:rsid w:val="00D85AB8"/>
    <w:rsid w:val="00D85AD4"/>
    <w:rsid w:val="00D85AED"/>
    <w:rsid w:val="00D85B24"/>
    <w:rsid w:val="00D85B58"/>
    <w:rsid w:val="00D85B6D"/>
    <w:rsid w:val="00D85B6E"/>
    <w:rsid w:val="00D85B74"/>
    <w:rsid w:val="00D85B8A"/>
    <w:rsid w:val="00D85B9D"/>
    <w:rsid w:val="00D85BD5"/>
    <w:rsid w:val="00D85BF3"/>
    <w:rsid w:val="00D85BF6"/>
    <w:rsid w:val="00D85BF7"/>
    <w:rsid w:val="00D85C31"/>
    <w:rsid w:val="00D85C47"/>
    <w:rsid w:val="00D85C65"/>
    <w:rsid w:val="00D85C98"/>
    <w:rsid w:val="00D85CA8"/>
    <w:rsid w:val="00D85CAC"/>
    <w:rsid w:val="00D85CAD"/>
    <w:rsid w:val="00D85CDE"/>
    <w:rsid w:val="00D85CE0"/>
    <w:rsid w:val="00D85CE4"/>
    <w:rsid w:val="00D85CE7"/>
    <w:rsid w:val="00D85D1D"/>
    <w:rsid w:val="00D85D57"/>
    <w:rsid w:val="00D85D8A"/>
    <w:rsid w:val="00D85D9C"/>
    <w:rsid w:val="00D85E14"/>
    <w:rsid w:val="00D85E3B"/>
    <w:rsid w:val="00D85E46"/>
    <w:rsid w:val="00D85E49"/>
    <w:rsid w:val="00D85E54"/>
    <w:rsid w:val="00D85E61"/>
    <w:rsid w:val="00D85E7C"/>
    <w:rsid w:val="00D85E9D"/>
    <w:rsid w:val="00D85F0D"/>
    <w:rsid w:val="00D85F22"/>
    <w:rsid w:val="00D85F3D"/>
    <w:rsid w:val="00D85F74"/>
    <w:rsid w:val="00D85F99"/>
    <w:rsid w:val="00D85FA4"/>
    <w:rsid w:val="00D85FAB"/>
    <w:rsid w:val="00D85FBD"/>
    <w:rsid w:val="00D85FF4"/>
    <w:rsid w:val="00D86017"/>
    <w:rsid w:val="00D8601C"/>
    <w:rsid w:val="00D8606A"/>
    <w:rsid w:val="00D86082"/>
    <w:rsid w:val="00D860A6"/>
    <w:rsid w:val="00D860BE"/>
    <w:rsid w:val="00D860CD"/>
    <w:rsid w:val="00D86118"/>
    <w:rsid w:val="00D8619C"/>
    <w:rsid w:val="00D86263"/>
    <w:rsid w:val="00D86267"/>
    <w:rsid w:val="00D86282"/>
    <w:rsid w:val="00D86290"/>
    <w:rsid w:val="00D862A7"/>
    <w:rsid w:val="00D862B6"/>
    <w:rsid w:val="00D862BC"/>
    <w:rsid w:val="00D862C5"/>
    <w:rsid w:val="00D862DB"/>
    <w:rsid w:val="00D8638A"/>
    <w:rsid w:val="00D863A2"/>
    <w:rsid w:val="00D863EB"/>
    <w:rsid w:val="00D86401"/>
    <w:rsid w:val="00D8654D"/>
    <w:rsid w:val="00D865D9"/>
    <w:rsid w:val="00D866F1"/>
    <w:rsid w:val="00D8678B"/>
    <w:rsid w:val="00D867B4"/>
    <w:rsid w:val="00D867CD"/>
    <w:rsid w:val="00D867DB"/>
    <w:rsid w:val="00D8681C"/>
    <w:rsid w:val="00D8681D"/>
    <w:rsid w:val="00D86860"/>
    <w:rsid w:val="00D8686F"/>
    <w:rsid w:val="00D8689A"/>
    <w:rsid w:val="00D868A9"/>
    <w:rsid w:val="00D86919"/>
    <w:rsid w:val="00D86929"/>
    <w:rsid w:val="00D8699E"/>
    <w:rsid w:val="00D869FA"/>
    <w:rsid w:val="00D86A2A"/>
    <w:rsid w:val="00D86A36"/>
    <w:rsid w:val="00D86A7F"/>
    <w:rsid w:val="00D86AB3"/>
    <w:rsid w:val="00D86B02"/>
    <w:rsid w:val="00D86B4A"/>
    <w:rsid w:val="00D86B5C"/>
    <w:rsid w:val="00D86BBE"/>
    <w:rsid w:val="00D86BC7"/>
    <w:rsid w:val="00D86BE9"/>
    <w:rsid w:val="00D86BF6"/>
    <w:rsid w:val="00D86C15"/>
    <w:rsid w:val="00D86C5E"/>
    <w:rsid w:val="00D86C85"/>
    <w:rsid w:val="00D86CDE"/>
    <w:rsid w:val="00D86CE2"/>
    <w:rsid w:val="00D86CE5"/>
    <w:rsid w:val="00D86CF4"/>
    <w:rsid w:val="00D86D82"/>
    <w:rsid w:val="00D86D85"/>
    <w:rsid w:val="00D86DBE"/>
    <w:rsid w:val="00D86DFA"/>
    <w:rsid w:val="00D86E0E"/>
    <w:rsid w:val="00D86E28"/>
    <w:rsid w:val="00D86E6C"/>
    <w:rsid w:val="00D86E74"/>
    <w:rsid w:val="00D86E83"/>
    <w:rsid w:val="00D86E95"/>
    <w:rsid w:val="00D86E99"/>
    <w:rsid w:val="00D86EF6"/>
    <w:rsid w:val="00D86F2A"/>
    <w:rsid w:val="00D86F4A"/>
    <w:rsid w:val="00D86F8B"/>
    <w:rsid w:val="00D86F93"/>
    <w:rsid w:val="00D87026"/>
    <w:rsid w:val="00D8702C"/>
    <w:rsid w:val="00D87082"/>
    <w:rsid w:val="00D870A0"/>
    <w:rsid w:val="00D870EA"/>
    <w:rsid w:val="00D87142"/>
    <w:rsid w:val="00D87156"/>
    <w:rsid w:val="00D87159"/>
    <w:rsid w:val="00D87170"/>
    <w:rsid w:val="00D87187"/>
    <w:rsid w:val="00D871A7"/>
    <w:rsid w:val="00D87264"/>
    <w:rsid w:val="00D8731B"/>
    <w:rsid w:val="00D87326"/>
    <w:rsid w:val="00D87345"/>
    <w:rsid w:val="00D8738A"/>
    <w:rsid w:val="00D87394"/>
    <w:rsid w:val="00D873C9"/>
    <w:rsid w:val="00D8741D"/>
    <w:rsid w:val="00D87441"/>
    <w:rsid w:val="00D874C8"/>
    <w:rsid w:val="00D874E8"/>
    <w:rsid w:val="00D8759C"/>
    <w:rsid w:val="00D8759D"/>
    <w:rsid w:val="00D875D0"/>
    <w:rsid w:val="00D875DE"/>
    <w:rsid w:val="00D8761E"/>
    <w:rsid w:val="00D87656"/>
    <w:rsid w:val="00D876B9"/>
    <w:rsid w:val="00D87734"/>
    <w:rsid w:val="00D87744"/>
    <w:rsid w:val="00D87773"/>
    <w:rsid w:val="00D877B4"/>
    <w:rsid w:val="00D87810"/>
    <w:rsid w:val="00D87839"/>
    <w:rsid w:val="00D87899"/>
    <w:rsid w:val="00D878E0"/>
    <w:rsid w:val="00D87909"/>
    <w:rsid w:val="00D87A2B"/>
    <w:rsid w:val="00D87A5A"/>
    <w:rsid w:val="00D87B16"/>
    <w:rsid w:val="00D87B1A"/>
    <w:rsid w:val="00D87B47"/>
    <w:rsid w:val="00D87B80"/>
    <w:rsid w:val="00D87B94"/>
    <w:rsid w:val="00D87C75"/>
    <w:rsid w:val="00D87C7C"/>
    <w:rsid w:val="00D87CBE"/>
    <w:rsid w:val="00D87CEF"/>
    <w:rsid w:val="00D87CF1"/>
    <w:rsid w:val="00D87D03"/>
    <w:rsid w:val="00D87D23"/>
    <w:rsid w:val="00D87D50"/>
    <w:rsid w:val="00D87D91"/>
    <w:rsid w:val="00D87DD7"/>
    <w:rsid w:val="00D87DD9"/>
    <w:rsid w:val="00D87E5A"/>
    <w:rsid w:val="00D87E7C"/>
    <w:rsid w:val="00D87E98"/>
    <w:rsid w:val="00D87ED1"/>
    <w:rsid w:val="00D87F27"/>
    <w:rsid w:val="00D87F3B"/>
    <w:rsid w:val="00D87F47"/>
    <w:rsid w:val="00D87F50"/>
    <w:rsid w:val="00D87F69"/>
    <w:rsid w:val="00D87F70"/>
    <w:rsid w:val="00D87F8D"/>
    <w:rsid w:val="00D87F9B"/>
    <w:rsid w:val="00D87FDA"/>
    <w:rsid w:val="00D87FE5"/>
    <w:rsid w:val="00D87FE8"/>
    <w:rsid w:val="00D87FF1"/>
    <w:rsid w:val="00D90012"/>
    <w:rsid w:val="00D90027"/>
    <w:rsid w:val="00D9003C"/>
    <w:rsid w:val="00D9004D"/>
    <w:rsid w:val="00D900A3"/>
    <w:rsid w:val="00D900B5"/>
    <w:rsid w:val="00D900FC"/>
    <w:rsid w:val="00D90123"/>
    <w:rsid w:val="00D90127"/>
    <w:rsid w:val="00D90139"/>
    <w:rsid w:val="00D9016F"/>
    <w:rsid w:val="00D90186"/>
    <w:rsid w:val="00D901BB"/>
    <w:rsid w:val="00D901CD"/>
    <w:rsid w:val="00D901EA"/>
    <w:rsid w:val="00D901ED"/>
    <w:rsid w:val="00D9020D"/>
    <w:rsid w:val="00D90268"/>
    <w:rsid w:val="00D902B1"/>
    <w:rsid w:val="00D9031B"/>
    <w:rsid w:val="00D90325"/>
    <w:rsid w:val="00D90343"/>
    <w:rsid w:val="00D903CA"/>
    <w:rsid w:val="00D903D3"/>
    <w:rsid w:val="00D903E3"/>
    <w:rsid w:val="00D903E4"/>
    <w:rsid w:val="00D903EE"/>
    <w:rsid w:val="00D90410"/>
    <w:rsid w:val="00D90477"/>
    <w:rsid w:val="00D904D6"/>
    <w:rsid w:val="00D904F9"/>
    <w:rsid w:val="00D90576"/>
    <w:rsid w:val="00D90582"/>
    <w:rsid w:val="00D905AB"/>
    <w:rsid w:val="00D905BD"/>
    <w:rsid w:val="00D90618"/>
    <w:rsid w:val="00D9066D"/>
    <w:rsid w:val="00D9066F"/>
    <w:rsid w:val="00D90685"/>
    <w:rsid w:val="00D906C3"/>
    <w:rsid w:val="00D9072E"/>
    <w:rsid w:val="00D90762"/>
    <w:rsid w:val="00D907F7"/>
    <w:rsid w:val="00D907F9"/>
    <w:rsid w:val="00D90810"/>
    <w:rsid w:val="00D90840"/>
    <w:rsid w:val="00D9089E"/>
    <w:rsid w:val="00D908DF"/>
    <w:rsid w:val="00D9097D"/>
    <w:rsid w:val="00D9098C"/>
    <w:rsid w:val="00D90A10"/>
    <w:rsid w:val="00D90A4B"/>
    <w:rsid w:val="00D90A6D"/>
    <w:rsid w:val="00D90A7F"/>
    <w:rsid w:val="00D90ACF"/>
    <w:rsid w:val="00D90B37"/>
    <w:rsid w:val="00D90B42"/>
    <w:rsid w:val="00D90B4D"/>
    <w:rsid w:val="00D90B7F"/>
    <w:rsid w:val="00D90B8A"/>
    <w:rsid w:val="00D90C00"/>
    <w:rsid w:val="00D90C16"/>
    <w:rsid w:val="00D90C72"/>
    <w:rsid w:val="00D90CD0"/>
    <w:rsid w:val="00D90CF4"/>
    <w:rsid w:val="00D90D60"/>
    <w:rsid w:val="00D90DB8"/>
    <w:rsid w:val="00D90E5A"/>
    <w:rsid w:val="00D90E7F"/>
    <w:rsid w:val="00D90ECA"/>
    <w:rsid w:val="00D90EDC"/>
    <w:rsid w:val="00D90EE2"/>
    <w:rsid w:val="00D90F0C"/>
    <w:rsid w:val="00D90F0F"/>
    <w:rsid w:val="00D90F54"/>
    <w:rsid w:val="00D90F6D"/>
    <w:rsid w:val="00D90F74"/>
    <w:rsid w:val="00D90F8F"/>
    <w:rsid w:val="00D90FA9"/>
    <w:rsid w:val="00D90FBD"/>
    <w:rsid w:val="00D90FD1"/>
    <w:rsid w:val="00D91008"/>
    <w:rsid w:val="00D91049"/>
    <w:rsid w:val="00D9116D"/>
    <w:rsid w:val="00D91190"/>
    <w:rsid w:val="00D911B5"/>
    <w:rsid w:val="00D911B7"/>
    <w:rsid w:val="00D911F7"/>
    <w:rsid w:val="00D9120E"/>
    <w:rsid w:val="00D91227"/>
    <w:rsid w:val="00D9123C"/>
    <w:rsid w:val="00D912D4"/>
    <w:rsid w:val="00D912DA"/>
    <w:rsid w:val="00D912E0"/>
    <w:rsid w:val="00D91302"/>
    <w:rsid w:val="00D913E1"/>
    <w:rsid w:val="00D913F5"/>
    <w:rsid w:val="00D9141D"/>
    <w:rsid w:val="00D9142E"/>
    <w:rsid w:val="00D91431"/>
    <w:rsid w:val="00D91434"/>
    <w:rsid w:val="00D91437"/>
    <w:rsid w:val="00D91468"/>
    <w:rsid w:val="00D9148F"/>
    <w:rsid w:val="00D914B5"/>
    <w:rsid w:val="00D914C2"/>
    <w:rsid w:val="00D914D0"/>
    <w:rsid w:val="00D9150B"/>
    <w:rsid w:val="00D9151C"/>
    <w:rsid w:val="00D91533"/>
    <w:rsid w:val="00D9155B"/>
    <w:rsid w:val="00D91575"/>
    <w:rsid w:val="00D91640"/>
    <w:rsid w:val="00D91694"/>
    <w:rsid w:val="00D916DB"/>
    <w:rsid w:val="00D916F3"/>
    <w:rsid w:val="00D91703"/>
    <w:rsid w:val="00D9172A"/>
    <w:rsid w:val="00D91748"/>
    <w:rsid w:val="00D917B9"/>
    <w:rsid w:val="00D917CF"/>
    <w:rsid w:val="00D917D0"/>
    <w:rsid w:val="00D917EF"/>
    <w:rsid w:val="00D917F1"/>
    <w:rsid w:val="00D918EE"/>
    <w:rsid w:val="00D91942"/>
    <w:rsid w:val="00D9195B"/>
    <w:rsid w:val="00D9195E"/>
    <w:rsid w:val="00D91990"/>
    <w:rsid w:val="00D919CD"/>
    <w:rsid w:val="00D91A20"/>
    <w:rsid w:val="00D91A23"/>
    <w:rsid w:val="00D91AA0"/>
    <w:rsid w:val="00D91AB4"/>
    <w:rsid w:val="00D91ABC"/>
    <w:rsid w:val="00D91ADD"/>
    <w:rsid w:val="00D91B11"/>
    <w:rsid w:val="00D91B80"/>
    <w:rsid w:val="00D91B91"/>
    <w:rsid w:val="00D91BAF"/>
    <w:rsid w:val="00D91BEE"/>
    <w:rsid w:val="00D91C0B"/>
    <w:rsid w:val="00D91C17"/>
    <w:rsid w:val="00D91C47"/>
    <w:rsid w:val="00D91D06"/>
    <w:rsid w:val="00D91D1C"/>
    <w:rsid w:val="00D91D1E"/>
    <w:rsid w:val="00D91D51"/>
    <w:rsid w:val="00D91D84"/>
    <w:rsid w:val="00D91DB8"/>
    <w:rsid w:val="00D91E67"/>
    <w:rsid w:val="00D91E6C"/>
    <w:rsid w:val="00D91EAB"/>
    <w:rsid w:val="00D91ED3"/>
    <w:rsid w:val="00D91EED"/>
    <w:rsid w:val="00D91EF1"/>
    <w:rsid w:val="00D91EF6"/>
    <w:rsid w:val="00D91F2D"/>
    <w:rsid w:val="00D91F79"/>
    <w:rsid w:val="00D91FE0"/>
    <w:rsid w:val="00D91FF7"/>
    <w:rsid w:val="00D92013"/>
    <w:rsid w:val="00D9201A"/>
    <w:rsid w:val="00D9203A"/>
    <w:rsid w:val="00D92088"/>
    <w:rsid w:val="00D920E4"/>
    <w:rsid w:val="00D920E5"/>
    <w:rsid w:val="00D92116"/>
    <w:rsid w:val="00D921D3"/>
    <w:rsid w:val="00D921ED"/>
    <w:rsid w:val="00D92288"/>
    <w:rsid w:val="00D92383"/>
    <w:rsid w:val="00D923AA"/>
    <w:rsid w:val="00D92428"/>
    <w:rsid w:val="00D9245D"/>
    <w:rsid w:val="00D92483"/>
    <w:rsid w:val="00D9249B"/>
    <w:rsid w:val="00D924C7"/>
    <w:rsid w:val="00D924D1"/>
    <w:rsid w:val="00D924EB"/>
    <w:rsid w:val="00D924FB"/>
    <w:rsid w:val="00D9250A"/>
    <w:rsid w:val="00D92563"/>
    <w:rsid w:val="00D925B0"/>
    <w:rsid w:val="00D925E8"/>
    <w:rsid w:val="00D925F1"/>
    <w:rsid w:val="00D925F6"/>
    <w:rsid w:val="00D92654"/>
    <w:rsid w:val="00D9265E"/>
    <w:rsid w:val="00D9266A"/>
    <w:rsid w:val="00D92683"/>
    <w:rsid w:val="00D9269A"/>
    <w:rsid w:val="00D92799"/>
    <w:rsid w:val="00D92836"/>
    <w:rsid w:val="00D9284C"/>
    <w:rsid w:val="00D92880"/>
    <w:rsid w:val="00D92921"/>
    <w:rsid w:val="00D92943"/>
    <w:rsid w:val="00D9296A"/>
    <w:rsid w:val="00D9299F"/>
    <w:rsid w:val="00D929D0"/>
    <w:rsid w:val="00D92A0B"/>
    <w:rsid w:val="00D92A6A"/>
    <w:rsid w:val="00D92A95"/>
    <w:rsid w:val="00D92AB7"/>
    <w:rsid w:val="00D92AF4"/>
    <w:rsid w:val="00D92B64"/>
    <w:rsid w:val="00D92B74"/>
    <w:rsid w:val="00D92BBB"/>
    <w:rsid w:val="00D92BDE"/>
    <w:rsid w:val="00D92BF3"/>
    <w:rsid w:val="00D92C4B"/>
    <w:rsid w:val="00D92C7A"/>
    <w:rsid w:val="00D92CA5"/>
    <w:rsid w:val="00D92CDA"/>
    <w:rsid w:val="00D92CDC"/>
    <w:rsid w:val="00D92D32"/>
    <w:rsid w:val="00D92D67"/>
    <w:rsid w:val="00D92DAD"/>
    <w:rsid w:val="00D92E24"/>
    <w:rsid w:val="00D92E2C"/>
    <w:rsid w:val="00D92E51"/>
    <w:rsid w:val="00D92F79"/>
    <w:rsid w:val="00D92FC5"/>
    <w:rsid w:val="00D92FF4"/>
    <w:rsid w:val="00D9302D"/>
    <w:rsid w:val="00D9306C"/>
    <w:rsid w:val="00D93072"/>
    <w:rsid w:val="00D93086"/>
    <w:rsid w:val="00D9311F"/>
    <w:rsid w:val="00D93184"/>
    <w:rsid w:val="00D931B4"/>
    <w:rsid w:val="00D9321A"/>
    <w:rsid w:val="00D93264"/>
    <w:rsid w:val="00D9329B"/>
    <w:rsid w:val="00D932CA"/>
    <w:rsid w:val="00D9336B"/>
    <w:rsid w:val="00D933DC"/>
    <w:rsid w:val="00D933FE"/>
    <w:rsid w:val="00D93422"/>
    <w:rsid w:val="00D93428"/>
    <w:rsid w:val="00D93497"/>
    <w:rsid w:val="00D934EC"/>
    <w:rsid w:val="00D934F1"/>
    <w:rsid w:val="00D9353D"/>
    <w:rsid w:val="00D93567"/>
    <w:rsid w:val="00D93576"/>
    <w:rsid w:val="00D93579"/>
    <w:rsid w:val="00D93605"/>
    <w:rsid w:val="00D93624"/>
    <w:rsid w:val="00D9367B"/>
    <w:rsid w:val="00D936D5"/>
    <w:rsid w:val="00D93720"/>
    <w:rsid w:val="00D93781"/>
    <w:rsid w:val="00D93785"/>
    <w:rsid w:val="00D937D3"/>
    <w:rsid w:val="00D937E2"/>
    <w:rsid w:val="00D93848"/>
    <w:rsid w:val="00D9384D"/>
    <w:rsid w:val="00D9384E"/>
    <w:rsid w:val="00D9385E"/>
    <w:rsid w:val="00D93885"/>
    <w:rsid w:val="00D9388A"/>
    <w:rsid w:val="00D938A3"/>
    <w:rsid w:val="00D938ED"/>
    <w:rsid w:val="00D9392F"/>
    <w:rsid w:val="00D93942"/>
    <w:rsid w:val="00D93952"/>
    <w:rsid w:val="00D9395F"/>
    <w:rsid w:val="00D9396A"/>
    <w:rsid w:val="00D939A3"/>
    <w:rsid w:val="00D939BB"/>
    <w:rsid w:val="00D939F2"/>
    <w:rsid w:val="00D939FB"/>
    <w:rsid w:val="00D93A26"/>
    <w:rsid w:val="00D93A46"/>
    <w:rsid w:val="00D93A6C"/>
    <w:rsid w:val="00D93A8E"/>
    <w:rsid w:val="00D93AAA"/>
    <w:rsid w:val="00D93B0D"/>
    <w:rsid w:val="00D93B20"/>
    <w:rsid w:val="00D93B38"/>
    <w:rsid w:val="00D93B7F"/>
    <w:rsid w:val="00D93B80"/>
    <w:rsid w:val="00D93B87"/>
    <w:rsid w:val="00D93C60"/>
    <w:rsid w:val="00D93C7A"/>
    <w:rsid w:val="00D93C87"/>
    <w:rsid w:val="00D93CC3"/>
    <w:rsid w:val="00D93D11"/>
    <w:rsid w:val="00D93D3B"/>
    <w:rsid w:val="00D93D63"/>
    <w:rsid w:val="00D93D8C"/>
    <w:rsid w:val="00D93D97"/>
    <w:rsid w:val="00D93DC7"/>
    <w:rsid w:val="00D93E01"/>
    <w:rsid w:val="00D93E54"/>
    <w:rsid w:val="00D93E8B"/>
    <w:rsid w:val="00D93ED6"/>
    <w:rsid w:val="00D93EF3"/>
    <w:rsid w:val="00D93EFB"/>
    <w:rsid w:val="00D93F30"/>
    <w:rsid w:val="00D93F7D"/>
    <w:rsid w:val="00D93FDD"/>
    <w:rsid w:val="00D94070"/>
    <w:rsid w:val="00D94086"/>
    <w:rsid w:val="00D94093"/>
    <w:rsid w:val="00D940AA"/>
    <w:rsid w:val="00D940E9"/>
    <w:rsid w:val="00D940F9"/>
    <w:rsid w:val="00D9412F"/>
    <w:rsid w:val="00D941EA"/>
    <w:rsid w:val="00D941FF"/>
    <w:rsid w:val="00D94237"/>
    <w:rsid w:val="00D9423F"/>
    <w:rsid w:val="00D9426E"/>
    <w:rsid w:val="00D94308"/>
    <w:rsid w:val="00D9432F"/>
    <w:rsid w:val="00D94343"/>
    <w:rsid w:val="00D9436E"/>
    <w:rsid w:val="00D94384"/>
    <w:rsid w:val="00D943B9"/>
    <w:rsid w:val="00D943BF"/>
    <w:rsid w:val="00D943F0"/>
    <w:rsid w:val="00D94415"/>
    <w:rsid w:val="00D94438"/>
    <w:rsid w:val="00D94474"/>
    <w:rsid w:val="00D944B6"/>
    <w:rsid w:val="00D9454A"/>
    <w:rsid w:val="00D94576"/>
    <w:rsid w:val="00D945FA"/>
    <w:rsid w:val="00D94624"/>
    <w:rsid w:val="00D94645"/>
    <w:rsid w:val="00D9464C"/>
    <w:rsid w:val="00D94653"/>
    <w:rsid w:val="00D946AD"/>
    <w:rsid w:val="00D946CB"/>
    <w:rsid w:val="00D946F4"/>
    <w:rsid w:val="00D946FE"/>
    <w:rsid w:val="00D94704"/>
    <w:rsid w:val="00D9470D"/>
    <w:rsid w:val="00D9473D"/>
    <w:rsid w:val="00D94759"/>
    <w:rsid w:val="00D94779"/>
    <w:rsid w:val="00D9482D"/>
    <w:rsid w:val="00D9486E"/>
    <w:rsid w:val="00D948B3"/>
    <w:rsid w:val="00D948B4"/>
    <w:rsid w:val="00D948FC"/>
    <w:rsid w:val="00D949C1"/>
    <w:rsid w:val="00D94A2F"/>
    <w:rsid w:val="00D94A44"/>
    <w:rsid w:val="00D94AC6"/>
    <w:rsid w:val="00D94B20"/>
    <w:rsid w:val="00D94BC7"/>
    <w:rsid w:val="00D94BE1"/>
    <w:rsid w:val="00D94C7C"/>
    <w:rsid w:val="00D94C87"/>
    <w:rsid w:val="00D94C8E"/>
    <w:rsid w:val="00D94CD6"/>
    <w:rsid w:val="00D94D04"/>
    <w:rsid w:val="00D94D1A"/>
    <w:rsid w:val="00D94D22"/>
    <w:rsid w:val="00D94D47"/>
    <w:rsid w:val="00D94D66"/>
    <w:rsid w:val="00D94DC4"/>
    <w:rsid w:val="00D94DC9"/>
    <w:rsid w:val="00D94DDE"/>
    <w:rsid w:val="00D94E1A"/>
    <w:rsid w:val="00D94E20"/>
    <w:rsid w:val="00D94E28"/>
    <w:rsid w:val="00D94E64"/>
    <w:rsid w:val="00D94EAB"/>
    <w:rsid w:val="00D94EF2"/>
    <w:rsid w:val="00D94EF5"/>
    <w:rsid w:val="00D94EFB"/>
    <w:rsid w:val="00D94F6D"/>
    <w:rsid w:val="00D94F73"/>
    <w:rsid w:val="00D94F85"/>
    <w:rsid w:val="00D94FA8"/>
    <w:rsid w:val="00D94FB7"/>
    <w:rsid w:val="00D94FC7"/>
    <w:rsid w:val="00D94FE2"/>
    <w:rsid w:val="00D9501B"/>
    <w:rsid w:val="00D9502E"/>
    <w:rsid w:val="00D9504D"/>
    <w:rsid w:val="00D95064"/>
    <w:rsid w:val="00D9506A"/>
    <w:rsid w:val="00D950F1"/>
    <w:rsid w:val="00D95147"/>
    <w:rsid w:val="00D9518C"/>
    <w:rsid w:val="00D951AF"/>
    <w:rsid w:val="00D95203"/>
    <w:rsid w:val="00D9520D"/>
    <w:rsid w:val="00D9521A"/>
    <w:rsid w:val="00D9524F"/>
    <w:rsid w:val="00D952A0"/>
    <w:rsid w:val="00D952EB"/>
    <w:rsid w:val="00D9532B"/>
    <w:rsid w:val="00D95356"/>
    <w:rsid w:val="00D95385"/>
    <w:rsid w:val="00D95388"/>
    <w:rsid w:val="00D95399"/>
    <w:rsid w:val="00D953C4"/>
    <w:rsid w:val="00D9546C"/>
    <w:rsid w:val="00D9554C"/>
    <w:rsid w:val="00D95618"/>
    <w:rsid w:val="00D95650"/>
    <w:rsid w:val="00D956E8"/>
    <w:rsid w:val="00D95714"/>
    <w:rsid w:val="00D9572E"/>
    <w:rsid w:val="00D957CC"/>
    <w:rsid w:val="00D9585E"/>
    <w:rsid w:val="00D95862"/>
    <w:rsid w:val="00D958E1"/>
    <w:rsid w:val="00D958FE"/>
    <w:rsid w:val="00D95966"/>
    <w:rsid w:val="00D95975"/>
    <w:rsid w:val="00D95A0D"/>
    <w:rsid w:val="00D95A1D"/>
    <w:rsid w:val="00D95A27"/>
    <w:rsid w:val="00D95A3A"/>
    <w:rsid w:val="00D95A63"/>
    <w:rsid w:val="00D95A72"/>
    <w:rsid w:val="00D95AA4"/>
    <w:rsid w:val="00D95ACE"/>
    <w:rsid w:val="00D95AD2"/>
    <w:rsid w:val="00D95AF6"/>
    <w:rsid w:val="00D95AFD"/>
    <w:rsid w:val="00D95B3F"/>
    <w:rsid w:val="00D95B6C"/>
    <w:rsid w:val="00D95B78"/>
    <w:rsid w:val="00D95B9B"/>
    <w:rsid w:val="00D95BAA"/>
    <w:rsid w:val="00D95BAE"/>
    <w:rsid w:val="00D95BBD"/>
    <w:rsid w:val="00D95BEA"/>
    <w:rsid w:val="00D95BFE"/>
    <w:rsid w:val="00D95C24"/>
    <w:rsid w:val="00D95C7A"/>
    <w:rsid w:val="00D95C83"/>
    <w:rsid w:val="00D95CB6"/>
    <w:rsid w:val="00D95CD1"/>
    <w:rsid w:val="00D95CD5"/>
    <w:rsid w:val="00D95D26"/>
    <w:rsid w:val="00D95DE7"/>
    <w:rsid w:val="00D95E4E"/>
    <w:rsid w:val="00D95E68"/>
    <w:rsid w:val="00D95E79"/>
    <w:rsid w:val="00D95E84"/>
    <w:rsid w:val="00D95EB0"/>
    <w:rsid w:val="00D95EE7"/>
    <w:rsid w:val="00D95F0E"/>
    <w:rsid w:val="00D95F25"/>
    <w:rsid w:val="00D95F8C"/>
    <w:rsid w:val="00D95F8E"/>
    <w:rsid w:val="00D96057"/>
    <w:rsid w:val="00D960E7"/>
    <w:rsid w:val="00D96113"/>
    <w:rsid w:val="00D96115"/>
    <w:rsid w:val="00D96173"/>
    <w:rsid w:val="00D961B3"/>
    <w:rsid w:val="00D961E5"/>
    <w:rsid w:val="00D961F9"/>
    <w:rsid w:val="00D961FF"/>
    <w:rsid w:val="00D9625A"/>
    <w:rsid w:val="00D96291"/>
    <w:rsid w:val="00D962A5"/>
    <w:rsid w:val="00D962C7"/>
    <w:rsid w:val="00D96329"/>
    <w:rsid w:val="00D9636E"/>
    <w:rsid w:val="00D9636F"/>
    <w:rsid w:val="00D9637C"/>
    <w:rsid w:val="00D963DD"/>
    <w:rsid w:val="00D96420"/>
    <w:rsid w:val="00D9643C"/>
    <w:rsid w:val="00D96491"/>
    <w:rsid w:val="00D964C0"/>
    <w:rsid w:val="00D964C1"/>
    <w:rsid w:val="00D96523"/>
    <w:rsid w:val="00D9652B"/>
    <w:rsid w:val="00D9652D"/>
    <w:rsid w:val="00D96598"/>
    <w:rsid w:val="00D965C1"/>
    <w:rsid w:val="00D965F7"/>
    <w:rsid w:val="00D9665C"/>
    <w:rsid w:val="00D96662"/>
    <w:rsid w:val="00D9667E"/>
    <w:rsid w:val="00D9676B"/>
    <w:rsid w:val="00D96835"/>
    <w:rsid w:val="00D9685D"/>
    <w:rsid w:val="00D96864"/>
    <w:rsid w:val="00D9687C"/>
    <w:rsid w:val="00D96968"/>
    <w:rsid w:val="00D969A3"/>
    <w:rsid w:val="00D96A42"/>
    <w:rsid w:val="00D96A46"/>
    <w:rsid w:val="00D96AA4"/>
    <w:rsid w:val="00D96ABE"/>
    <w:rsid w:val="00D96AFD"/>
    <w:rsid w:val="00D96B5F"/>
    <w:rsid w:val="00D96B65"/>
    <w:rsid w:val="00D96C2F"/>
    <w:rsid w:val="00D96C45"/>
    <w:rsid w:val="00D96C59"/>
    <w:rsid w:val="00D96C79"/>
    <w:rsid w:val="00D96C99"/>
    <w:rsid w:val="00D96CAD"/>
    <w:rsid w:val="00D96CD8"/>
    <w:rsid w:val="00D96D7C"/>
    <w:rsid w:val="00D96DDC"/>
    <w:rsid w:val="00D96E71"/>
    <w:rsid w:val="00D96E72"/>
    <w:rsid w:val="00D96E79"/>
    <w:rsid w:val="00D96E7E"/>
    <w:rsid w:val="00D96EA9"/>
    <w:rsid w:val="00D96EC2"/>
    <w:rsid w:val="00D96F05"/>
    <w:rsid w:val="00D96FC6"/>
    <w:rsid w:val="00D97006"/>
    <w:rsid w:val="00D97007"/>
    <w:rsid w:val="00D9700B"/>
    <w:rsid w:val="00D97014"/>
    <w:rsid w:val="00D970B8"/>
    <w:rsid w:val="00D9710B"/>
    <w:rsid w:val="00D97127"/>
    <w:rsid w:val="00D9718D"/>
    <w:rsid w:val="00D971CF"/>
    <w:rsid w:val="00D971D6"/>
    <w:rsid w:val="00D97237"/>
    <w:rsid w:val="00D97242"/>
    <w:rsid w:val="00D9724A"/>
    <w:rsid w:val="00D9724F"/>
    <w:rsid w:val="00D97266"/>
    <w:rsid w:val="00D9728B"/>
    <w:rsid w:val="00D97320"/>
    <w:rsid w:val="00D9733A"/>
    <w:rsid w:val="00D9736A"/>
    <w:rsid w:val="00D9738C"/>
    <w:rsid w:val="00D97391"/>
    <w:rsid w:val="00D973B5"/>
    <w:rsid w:val="00D973BD"/>
    <w:rsid w:val="00D973C9"/>
    <w:rsid w:val="00D973CC"/>
    <w:rsid w:val="00D973D3"/>
    <w:rsid w:val="00D973E8"/>
    <w:rsid w:val="00D973ED"/>
    <w:rsid w:val="00D97403"/>
    <w:rsid w:val="00D97418"/>
    <w:rsid w:val="00D97479"/>
    <w:rsid w:val="00D97481"/>
    <w:rsid w:val="00D974C5"/>
    <w:rsid w:val="00D9752E"/>
    <w:rsid w:val="00D9755C"/>
    <w:rsid w:val="00D97587"/>
    <w:rsid w:val="00D975B3"/>
    <w:rsid w:val="00D975F2"/>
    <w:rsid w:val="00D97609"/>
    <w:rsid w:val="00D97685"/>
    <w:rsid w:val="00D9768B"/>
    <w:rsid w:val="00D97697"/>
    <w:rsid w:val="00D976BA"/>
    <w:rsid w:val="00D976E8"/>
    <w:rsid w:val="00D9770F"/>
    <w:rsid w:val="00D97758"/>
    <w:rsid w:val="00D97783"/>
    <w:rsid w:val="00D977B0"/>
    <w:rsid w:val="00D977C6"/>
    <w:rsid w:val="00D977D0"/>
    <w:rsid w:val="00D977FF"/>
    <w:rsid w:val="00D97805"/>
    <w:rsid w:val="00D97813"/>
    <w:rsid w:val="00D97825"/>
    <w:rsid w:val="00D97833"/>
    <w:rsid w:val="00D9787A"/>
    <w:rsid w:val="00D97940"/>
    <w:rsid w:val="00D97962"/>
    <w:rsid w:val="00D97978"/>
    <w:rsid w:val="00D9798E"/>
    <w:rsid w:val="00D979F4"/>
    <w:rsid w:val="00D979FE"/>
    <w:rsid w:val="00D97A52"/>
    <w:rsid w:val="00D97A9E"/>
    <w:rsid w:val="00D97AAC"/>
    <w:rsid w:val="00D97ACF"/>
    <w:rsid w:val="00D97B01"/>
    <w:rsid w:val="00D97B28"/>
    <w:rsid w:val="00D97B59"/>
    <w:rsid w:val="00D97B7B"/>
    <w:rsid w:val="00D97BB7"/>
    <w:rsid w:val="00D97BF6"/>
    <w:rsid w:val="00D97C42"/>
    <w:rsid w:val="00D97C62"/>
    <w:rsid w:val="00D97C74"/>
    <w:rsid w:val="00D97C78"/>
    <w:rsid w:val="00D97C98"/>
    <w:rsid w:val="00D97CCC"/>
    <w:rsid w:val="00D97D2C"/>
    <w:rsid w:val="00D97D53"/>
    <w:rsid w:val="00D97D95"/>
    <w:rsid w:val="00D97E08"/>
    <w:rsid w:val="00D97E18"/>
    <w:rsid w:val="00D97E71"/>
    <w:rsid w:val="00D97ED1"/>
    <w:rsid w:val="00D97EDD"/>
    <w:rsid w:val="00D97F1B"/>
    <w:rsid w:val="00D97F6E"/>
    <w:rsid w:val="00D97F8B"/>
    <w:rsid w:val="00D97FD3"/>
    <w:rsid w:val="00DA0024"/>
    <w:rsid w:val="00DA0046"/>
    <w:rsid w:val="00DA00B4"/>
    <w:rsid w:val="00DA012F"/>
    <w:rsid w:val="00DA0246"/>
    <w:rsid w:val="00DA024E"/>
    <w:rsid w:val="00DA026A"/>
    <w:rsid w:val="00DA0271"/>
    <w:rsid w:val="00DA0279"/>
    <w:rsid w:val="00DA027F"/>
    <w:rsid w:val="00DA0287"/>
    <w:rsid w:val="00DA02C7"/>
    <w:rsid w:val="00DA02D3"/>
    <w:rsid w:val="00DA02E8"/>
    <w:rsid w:val="00DA0314"/>
    <w:rsid w:val="00DA032E"/>
    <w:rsid w:val="00DA0380"/>
    <w:rsid w:val="00DA0385"/>
    <w:rsid w:val="00DA03B7"/>
    <w:rsid w:val="00DA03D9"/>
    <w:rsid w:val="00DA040A"/>
    <w:rsid w:val="00DA0492"/>
    <w:rsid w:val="00DA04A2"/>
    <w:rsid w:val="00DA04EB"/>
    <w:rsid w:val="00DA0505"/>
    <w:rsid w:val="00DA050E"/>
    <w:rsid w:val="00DA0517"/>
    <w:rsid w:val="00DA053A"/>
    <w:rsid w:val="00DA0592"/>
    <w:rsid w:val="00DA05A5"/>
    <w:rsid w:val="00DA05C4"/>
    <w:rsid w:val="00DA0670"/>
    <w:rsid w:val="00DA0681"/>
    <w:rsid w:val="00DA06D7"/>
    <w:rsid w:val="00DA07C8"/>
    <w:rsid w:val="00DA07E2"/>
    <w:rsid w:val="00DA0845"/>
    <w:rsid w:val="00DA0876"/>
    <w:rsid w:val="00DA08A3"/>
    <w:rsid w:val="00DA08A4"/>
    <w:rsid w:val="00DA08B8"/>
    <w:rsid w:val="00DA095F"/>
    <w:rsid w:val="00DA0971"/>
    <w:rsid w:val="00DA098A"/>
    <w:rsid w:val="00DA098D"/>
    <w:rsid w:val="00DA099E"/>
    <w:rsid w:val="00DA0A09"/>
    <w:rsid w:val="00DA0A0B"/>
    <w:rsid w:val="00DA0A9A"/>
    <w:rsid w:val="00DA0AE7"/>
    <w:rsid w:val="00DA0B00"/>
    <w:rsid w:val="00DA0B37"/>
    <w:rsid w:val="00DA0B53"/>
    <w:rsid w:val="00DA0B56"/>
    <w:rsid w:val="00DA0C2B"/>
    <w:rsid w:val="00DA0C65"/>
    <w:rsid w:val="00DA0C70"/>
    <w:rsid w:val="00DA0CC8"/>
    <w:rsid w:val="00DA0CF0"/>
    <w:rsid w:val="00DA0D05"/>
    <w:rsid w:val="00DA0D29"/>
    <w:rsid w:val="00DA0D31"/>
    <w:rsid w:val="00DA0D53"/>
    <w:rsid w:val="00DA0D5F"/>
    <w:rsid w:val="00DA0DAD"/>
    <w:rsid w:val="00DA0DF7"/>
    <w:rsid w:val="00DA0DFF"/>
    <w:rsid w:val="00DA0E00"/>
    <w:rsid w:val="00DA0E32"/>
    <w:rsid w:val="00DA0E86"/>
    <w:rsid w:val="00DA0E99"/>
    <w:rsid w:val="00DA0EAC"/>
    <w:rsid w:val="00DA0EDF"/>
    <w:rsid w:val="00DA0EE4"/>
    <w:rsid w:val="00DA0EEB"/>
    <w:rsid w:val="00DA0F59"/>
    <w:rsid w:val="00DA0F99"/>
    <w:rsid w:val="00DA1015"/>
    <w:rsid w:val="00DA103D"/>
    <w:rsid w:val="00DA104B"/>
    <w:rsid w:val="00DA10ED"/>
    <w:rsid w:val="00DA10EE"/>
    <w:rsid w:val="00DA1100"/>
    <w:rsid w:val="00DA1125"/>
    <w:rsid w:val="00DA1137"/>
    <w:rsid w:val="00DA113F"/>
    <w:rsid w:val="00DA1155"/>
    <w:rsid w:val="00DA1185"/>
    <w:rsid w:val="00DA11E2"/>
    <w:rsid w:val="00DA1218"/>
    <w:rsid w:val="00DA1259"/>
    <w:rsid w:val="00DA1278"/>
    <w:rsid w:val="00DA1293"/>
    <w:rsid w:val="00DA12F1"/>
    <w:rsid w:val="00DA133D"/>
    <w:rsid w:val="00DA1342"/>
    <w:rsid w:val="00DA13BC"/>
    <w:rsid w:val="00DA1436"/>
    <w:rsid w:val="00DA1449"/>
    <w:rsid w:val="00DA14D2"/>
    <w:rsid w:val="00DA1503"/>
    <w:rsid w:val="00DA151D"/>
    <w:rsid w:val="00DA158A"/>
    <w:rsid w:val="00DA15A2"/>
    <w:rsid w:val="00DA15A8"/>
    <w:rsid w:val="00DA162E"/>
    <w:rsid w:val="00DA16A5"/>
    <w:rsid w:val="00DA16FB"/>
    <w:rsid w:val="00DA171E"/>
    <w:rsid w:val="00DA1725"/>
    <w:rsid w:val="00DA1753"/>
    <w:rsid w:val="00DA1762"/>
    <w:rsid w:val="00DA1794"/>
    <w:rsid w:val="00DA17D4"/>
    <w:rsid w:val="00DA1826"/>
    <w:rsid w:val="00DA183C"/>
    <w:rsid w:val="00DA18AB"/>
    <w:rsid w:val="00DA18B5"/>
    <w:rsid w:val="00DA18DA"/>
    <w:rsid w:val="00DA18DE"/>
    <w:rsid w:val="00DA1905"/>
    <w:rsid w:val="00DA1906"/>
    <w:rsid w:val="00DA193F"/>
    <w:rsid w:val="00DA1949"/>
    <w:rsid w:val="00DA1951"/>
    <w:rsid w:val="00DA1955"/>
    <w:rsid w:val="00DA1965"/>
    <w:rsid w:val="00DA1997"/>
    <w:rsid w:val="00DA19D4"/>
    <w:rsid w:val="00DA1A16"/>
    <w:rsid w:val="00DA1A19"/>
    <w:rsid w:val="00DA1A1A"/>
    <w:rsid w:val="00DA1A32"/>
    <w:rsid w:val="00DA1A5B"/>
    <w:rsid w:val="00DA1A7E"/>
    <w:rsid w:val="00DA1B26"/>
    <w:rsid w:val="00DA1B41"/>
    <w:rsid w:val="00DA1B46"/>
    <w:rsid w:val="00DA1C16"/>
    <w:rsid w:val="00DA1C6E"/>
    <w:rsid w:val="00DA1C8A"/>
    <w:rsid w:val="00DA1CE7"/>
    <w:rsid w:val="00DA1D0B"/>
    <w:rsid w:val="00DA1D3C"/>
    <w:rsid w:val="00DA1D3E"/>
    <w:rsid w:val="00DA1D4F"/>
    <w:rsid w:val="00DA1D52"/>
    <w:rsid w:val="00DA1D75"/>
    <w:rsid w:val="00DA1DBE"/>
    <w:rsid w:val="00DA1DF1"/>
    <w:rsid w:val="00DA1E39"/>
    <w:rsid w:val="00DA1E5C"/>
    <w:rsid w:val="00DA1E5E"/>
    <w:rsid w:val="00DA1EB2"/>
    <w:rsid w:val="00DA1EF4"/>
    <w:rsid w:val="00DA1F13"/>
    <w:rsid w:val="00DA1F6C"/>
    <w:rsid w:val="00DA1FE9"/>
    <w:rsid w:val="00DA2034"/>
    <w:rsid w:val="00DA20B6"/>
    <w:rsid w:val="00DA210F"/>
    <w:rsid w:val="00DA212F"/>
    <w:rsid w:val="00DA216D"/>
    <w:rsid w:val="00DA216F"/>
    <w:rsid w:val="00DA2181"/>
    <w:rsid w:val="00DA2197"/>
    <w:rsid w:val="00DA2234"/>
    <w:rsid w:val="00DA224F"/>
    <w:rsid w:val="00DA2300"/>
    <w:rsid w:val="00DA2332"/>
    <w:rsid w:val="00DA233E"/>
    <w:rsid w:val="00DA23BF"/>
    <w:rsid w:val="00DA23CC"/>
    <w:rsid w:val="00DA23DD"/>
    <w:rsid w:val="00DA23E2"/>
    <w:rsid w:val="00DA2421"/>
    <w:rsid w:val="00DA2427"/>
    <w:rsid w:val="00DA245F"/>
    <w:rsid w:val="00DA2474"/>
    <w:rsid w:val="00DA24C0"/>
    <w:rsid w:val="00DA24EA"/>
    <w:rsid w:val="00DA24F2"/>
    <w:rsid w:val="00DA251C"/>
    <w:rsid w:val="00DA2522"/>
    <w:rsid w:val="00DA2539"/>
    <w:rsid w:val="00DA255E"/>
    <w:rsid w:val="00DA25A0"/>
    <w:rsid w:val="00DA25A8"/>
    <w:rsid w:val="00DA25D0"/>
    <w:rsid w:val="00DA2636"/>
    <w:rsid w:val="00DA26A5"/>
    <w:rsid w:val="00DA2740"/>
    <w:rsid w:val="00DA274F"/>
    <w:rsid w:val="00DA2762"/>
    <w:rsid w:val="00DA2769"/>
    <w:rsid w:val="00DA27DB"/>
    <w:rsid w:val="00DA27DE"/>
    <w:rsid w:val="00DA27E1"/>
    <w:rsid w:val="00DA27EB"/>
    <w:rsid w:val="00DA2850"/>
    <w:rsid w:val="00DA28E7"/>
    <w:rsid w:val="00DA292D"/>
    <w:rsid w:val="00DA2954"/>
    <w:rsid w:val="00DA2964"/>
    <w:rsid w:val="00DA2985"/>
    <w:rsid w:val="00DA29AE"/>
    <w:rsid w:val="00DA2A19"/>
    <w:rsid w:val="00DA2A27"/>
    <w:rsid w:val="00DA2A3D"/>
    <w:rsid w:val="00DA2A45"/>
    <w:rsid w:val="00DA2B4E"/>
    <w:rsid w:val="00DA2B6B"/>
    <w:rsid w:val="00DA2B80"/>
    <w:rsid w:val="00DA2B94"/>
    <w:rsid w:val="00DA2BB7"/>
    <w:rsid w:val="00DA2CAD"/>
    <w:rsid w:val="00DA2CAE"/>
    <w:rsid w:val="00DA2D1B"/>
    <w:rsid w:val="00DA2D49"/>
    <w:rsid w:val="00DA2D7C"/>
    <w:rsid w:val="00DA2D90"/>
    <w:rsid w:val="00DA2D91"/>
    <w:rsid w:val="00DA2DA1"/>
    <w:rsid w:val="00DA2E14"/>
    <w:rsid w:val="00DA2E7E"/>
    <w:rsid w:val="00DA2E84"/>
    <w:rsid w:val="00DA2F01"/>
    <w:rsid w:val="00DA2F1C"/>
    <w:rsid w:val="00DA2F6B"/>
    <w:rsid w:val="00DA2FCC"/>
    <w:rsid w:val="00DA2FCD"/>
    <w:rsid w:val="00DA3002"/>
    <w:rsid w:val="00DA3015"/>
    <w:rsid w:val="00DA30AF"/>
    <w:rsid w:val="00DA30B4"/>
    <w:rsid w:val="00DA312E"/>
    <w:rsid w:val="00DA315A"/>
    <w:rsid w:val="00DA31B3"/>
    <w:rsid w:val="00DA3203"/>
    <w:rsid w:val="00DA323F"/>
    <w:rsid w:val="00DA3265"/>
    <w:rsid w:val="00DA327B"/>
    <w:rsid w:val="00DA329B"/>
    <w:rsid w:val="00DA333F"/>
    <w:rsid w:val="00DA3342"/>
    <w:rsid w:val="00DA33C4"/>
    <w:rsid w:val="00DA33DF"/>
    <w:rsid w:val="00DA345C"/>
    <w:rsid w:val="00DA345F"/>
    <w:rsid w:val="00DA34B3"/>
    <w:rsid w:val="00DA34B8"/>
    <w:rsid w:val="00DA34BF"/>
    <w:rsid w:val="00DA3563"/>
    <w:rsid w:val="00DA3624"/>
    <w:rsid w:val="00DA3659"/>
    <w:rsid w:val="00DA3692"/>
    <w:rsid w:val="00DA36CA"/>
    <w:rsid w:val="00DA3724"/>
    <w:rsid w:val="00DA3751"/>
    <w:rsid w:val="00DA376E"/>
    <w:rsid w:val="00DA379C"/>
    <w:rsid w:val="00DA3824"/>
    <w:rsid w:val="00DA384D"/>
    <w:rsid w:val="00DA3852"/>
    <w:rsid w:val="00DA3858"/>
    <w:rsid w:val="00DA3864"/>
    <w:rsid w:val="00DA387A"/>
    <w:rsid w:val="00DA387C"/>
    <w:rsid w:val="00DA38E1"/>
    <w:rsid w:val="00DA38EC"/>
    <w:rsid w:val="00DA3925"/>
    <w:rsid w:val="00DA3943"/>
    <w:rsid w:val="00DA39D0"/>
    <w:rsid w:val="00DA39E4"/>
    <w:rsid w:val="00DA39FF"/>
    <w:rsid w:val="00DA3A68"/>
    <w:rsid w:val="00DA3A6A"/>
    <w:rsid w:val="00DA3A7C"/>
    <w:rsid w:val="00DA3AAE"/>
    <w:rsid w:val="00DA3BA3"/>
    <w:rsid w:val="00DA3C21"/>
    <w:rsid w:val="00DA3CBD"/>
    <w:rsid w:val="00DA3D37"/>
    <w:rsid w:val="00DA3D48"/>
    <w:rsid w:val="00DA3DFF"/>
    <w:rsid w:val="00DA3E18"/>
    <w:rsid w:val="00DA3E4E"/>
    <w:rsid w:val="00DA3E5A"/>
    <w:rsid w:val="00DA3F4E"/>
    <w:rsid w:val="00DA3F50"/>
    <w:rsid w:val="00DA3F5D"/>
    <w:rsid w:val="00DA3FA0"/>
    <w:rsid w:val="00DA3FA8"/>
    <w:rsid w:val="00DA3FBE"/>
    <w:rsid w:val="00DA3FED"/>
    <w:rsid w:val="00DA4003"/>
    <w:rsid w:val="00DA403C"/>
    <w:rsid w:val="00DA4049"/>
    <w:rsid w:val="00DA40C1"/>
    <w:rsid w:val="00DA40F6"/>
    <w:rsid w:val="00DA418B"/>
    <w:rsid w:val="00DA41C4"/>
    <w:rsid w:val="00DA41EE"/>
    <w:rsid w:val="00DA4280"/>
    <w:rsid w:val="00DA4307"/>
    <w:rsid w:val="00DA4333"/>
    <w:rsid w:val="00DA434B"/>
    <w:rsid w:val="00DA444F"/>
    <w:rsid w:val="00DA4469"/>
    <w:rsid w:val="00DA4495"/>
    <w:rsid w:val="00DA44CE"/>
    <w:rsid w:val="00DA4504"/>
    <w:rsid w:val="00DA4524"/>
    <w:rsid w:val="00DA452B"/>
    <w:rsid w:val="00DA45C1"/>
    <w:rsid w:val="00DA45E9"/>
    <w:rsid w:val="00DA45EC"/>
    <w:rsid w:val="00DA4609"/>
    <w:rsid w:val="00DA46FB"/>
    <w:rsid w:val="00DA4749"/>
    <w:rsid w:val="00DA4776"/>
    <w:rsid w:val="00DA47B4"/>
    <w:rsid w:val="00DA47F8"/>
    <w:rsid w:val="00DA47FE"/>
    <w:rsid w:val="00DA480C"/>
    <w:rsid w:val="00DA4866"/>
    <w:rsid w:val="00DA4893"/>
    <w:rsid w:val="00DA490C"/>
    <w:rsid w:val="00DA4941"/>
    <w:rsid w:val="00DA495D"/>
    <w:rsid w:val="00DA4967"/>
    <w:rsid w:val="00DA49D4"/>
    <w:rsid w:val="00DA4A78"/>
    <w:rsid w:val="00DA4A7F"/>
    <w:rsid w:val="00DA4A90"/>
    <w:rsid w:val="00DA4A91"/>
    <w:rsid w:val="00DA4A95"/>
    <w:rsid w:val="00DA4AB5"/>
    <w:rsid w:val="00DA4AD0"/>
    <w:rsid w:val="00DA4AF3"/>
    <w:rsid w:val="00DA4AF7"/>
    <w:rsid w:val="00DA4B0F"/>
    <w:rsid w:val="00DA4B3A"/>
    <w:rsid w:val="00DA4B46"/>
    <w:rsid w:val="00DA4B53"/>
    <w:rsid w:val="00DA4B87"/>
    <w:rsid w:val="00DA4BD4"/>
    <w:rsid w:val="00DA4BF9"/>
    <w:rsid w:val="00DA4C20"/>
    <w:rsid w:val="00DA4C58"/>
    <w:rsid w:val="00DA4C8A"/>
    <w:rsid w:val="00DA4CA7"/>
    <w:rsid w:val="00DA4CE7"/>
    <w:rsid w:val="00DA4D3E"/>
    <w:rsid w:val="00DA4D80"/>
    <w:rsid w:val="00DA4E91"/>
    <w:rsid w:val="00DA4ED6"/>
    <w:rsid w:val="00DA4EE6"/>
    <w:rsid w:val="00DA4F1C"/>
    <w:rsid w:val="00DA4F45"/>
    <w:rsid w:val="00DA4F4A"/>
    <w:rsid w:val="00DA4FA1"/>
    <w:rsid w:val="00DA4FCF"/>
    <w:rsid w:val="00DA5077"/>
    <w:rsid w:val="00DA507F"/>
    <w:rsid w:val="00DA509B"/>
    <w:rsid w:val="00DA50AC"/>
    <w:rsid w:val="00DA50AD"/>
    <w:rsid w:val="00DA50B7"/>
    <w:rsid w:val="00DA50E2"/>
    <w:rsid w:val="00DA5126"/>
    <w:rsid w:val="00DA5144"/>
    <w:rsid w:val="00DA5153"/>
    <w:rsid w:val="00DA5167"/>
    <w:rsid w:val="00DA5199"/>
    <w:rsid w:val="00DA51BC"/>
    <w:rsid w:val="00DA51F7"/>
    <w:rsid w:val="00DA51FB"/>
    <w:rsid w:val="00DA524C"/>
    <w:rsid w:val="00DA5265"/>
    <w:rsid w:val="00DA529A"/>
    <w:rsid w:val="00DA52AE"/>
    <w:rsid w:val="00DA52B1"/>
    <w:rsid w:val="00DA52B5"/>
    <w:rsid w:val="00DA52F7"/>
    <w:rsid w:val="00DA5334"/>
    <w:rsid w:val="00DA5370"/>
    <w:rsid w:val="00DA53DA"/>
    <w:rsid w:val="00DA53E1"/>
    <w:rsid w:val="00DA546B"/>
    <w:rsid w:val="00DA5482"/>
    <w:rsid w:val="00DA54D4"/>
    <w:rsid w:val="00DA54DF"/>
    <w:rsid w:val="00DA5524"/>
    <w:rsid w:val="00DA5578"/>
    <w:rsid w:val="00DA5583"/>
    <w:rsid w:val="00DA55B6"/>
    <w:rsid w:val="00DA561C"/>
    <w:rsid w:val="00DA5664"/>
    <w:rsid w:val="00DA566B"/>
    <w:rsid w:val="00DA5686"/>
    <w:rsid w:val="00DA56BD"/>
    <w:rsid w:val="00DA56CC"/>
    <w:rsid w:val="00DA56D8"/>
    <w:rsid w:val="00DA56ED"/>
    <w:rsid w:val="00DA5704"/>
    <w:rsid w:val="00DA570A"/>
    <w:rsid w:val="00DA5757"/>
    <w:rsid w:val="00DA575F"/>
    <w:rsid w:val="00DA57C0"/>
    <w:rsid w:val="00DA583D"/>
    <w:rsid w:val="00DA5885"/>
    <w:rsid w:val="00DA58A2"/>
    <w:rsid w:val="00DA58AA"/>
    <w:rsid w:val="00DA58BA"/>
    <w:rsid w:val="00DA58DF"/>
    <w:rsid w:val="00DA5976"/>
    <w:rsid w:val="00DA59EC"/>
    <w:rsid w:val="00DA5A0B"/>
    <w:rsid w:val="00DA5A4B"/>
    <w:rsid w:val="00DA5A88"/>
    <w:rsid w:val="00DA5AA2"/>
    <w:rsid w:val="00DA5AA8"/>
    <w:rsid w:val="00DA5ACB"/>
    <w:rsid w:val="00DA5B2A"/>
    <w:rsid w:val="00DA5B42"/>
    <w:rsid w:val="00DA5B9F"/>
    <w:rsid w:val="00DA5BB2"/>
    <w:rsid w:val="00DA5BCD"/>
    <w:rsid w:val="00DA5BFB"/>
    <w:rsid w:val="00DA5C00"/>
    <w:rsid w:val="00DA5C5A"/>
    <w:rsid w:val="00DA5CB9"/>
    <w:rsid w:val="00DA5CF1"/>
    <w:rsid w:val="00DA5D0D"/>
    <w:rsid w:val="00DA5D1B"/>
    <w:rsid w:val="00DA5D74"/>
    <w:rsid w:val="00DA5D84"/>
    <w:rsid w:val="00DA5DC9"/>
    <w:rsid w:val="00DA5DCC"/>
    <w:rsid w:val="00DA5DF6"/>
    <w:rsid w:val="00DA5E97"/>
    <w:rsid w:val="00DA5EA5"/>
    <w:rsid w:val="00DA5EC4"/>
    <w:rsid w:val="00DA5ED5"/>
    <w:rsid w:val="00DA5EDE"/>
    <w:rsid w:val="00DA5F05"/>
    <w:rsid w:val="00DA5F0E"/>
    <w:rsid w:val="00DA5F18"/>
    <w:rsid w:val="00DA5F1A"/>
    <w:rsid w:val="00DA5F21"/>
    <w:rsid w:val="00DA5F78"/>
    <w:rsid w:val="00DA5F97"/>
    <w:rsid w:val="00DA5FA5"/>
    <w:rsid w:val="00DA5FDF"/>
    <w:rsid w:val="00DA6034"/>
    <w:rsid w:val="00DA6043"/>
    <w:rsid w:val="00DA605D"/>
    <w:rsid w:val="00DA605E"/>
    <w:rsid w:val="00DA6082"/>
    <w:rsid w:val="00DA608F"/>
    <w:rsid w:val="00DA60D0"/>
    <w:rsid w:val="00DA60E7"/>
    <w:rsid w:val="00DA60E8"/>
    <w:rsid w:val="00DA60FA"/>
    <w:rsid w:val="00DA6149"/>
    <w:rsid w:val="00DA616E"/>
    <w:rsid w:val="00DA61E6"/>
    <w:rsid w:val="00DA61EF"/>
    <w:rsid w:val="00DA624F"/>
    <w:rsid w:val="00DA6252"/>
    <w:rsid w:val="00DA626F"/>
    <w:rsid w:val="00DA6295"/>
    <w:rsid w:val="00DA62B5"/>
    <w:rsid w:val="00DA62C6"/>
    <w:rsid w:val="00DA6314"/>
    <w:rsid w:val="00DA6328"/>
    <w:rsid w:val="00DA6384"/>
    <w:rsid w:val="00DA639F"/>
    <w:rsid w:val="00DA63EA"/>
    <w:rsid w:val="00DA6422"/>
    <w:rsid w:val="00DA6455"/>
    <w:rsid w:val="00DA64A3"/>
    <w:rsid w:val="00DA64B4"/>
    <w:rsid w:val="00DA64C4"/>
    <w:rsid w:val="00DA6540"/>
    <w:rsid w:val="00DA6541"/>
    <w:rsid w:val="00DA661B"/>
    <w:rsid w:val="00DA6648"/>
    <w:rsid w:val="00DA664C"/>
    <w:rsid w:val="00DA664E"/>
    <w:rsid w:val="00DA6683"/>
    <w:rsid w:val="00DA66E5"/>
    <w:rsid w:val="00DA670B"/>
    <w:rsid w:val="00DA6735"/>
    <w:rsid w:val="00DA681E"/>
    <w:rsid w:val="00DA6827"/>
    <w:rsid w:val="00DA685C"/>
    <w:rsid w:val="00DA68AF"/>
    <w:rsid w:val="00DA69D2"/>
    <w:rsid w:val="00DA6A21"/>
    <w:rsid w:val="00DA6A30"/>
    <w:rsid w:val="00DA6A37"/>
    <w:rsid w:val="00DA6A3D"/>
    <w:rsid w:val="00DA6A9D"/>
    <w:rsid w:val="00DA6AE5"/>
    <w:rsid w:val="00DA6AEB"/>
    <w:rsid w:val="00DA6AF3"/>
    <w:rsid w:val="00DA6B5A"/>
    <w:rsid w:val="00DA6C1D"/>
    <w:rsid w:val="00DA6C31"/>
    <w:rsid w:val="00DA6C89"/>
    <w:rsid w:val="00DA6CBF"/>
    <w:rsid w:val="00DA6CD6"/>
    <w:rsid w:val="00DA6D08"/>
    <w:rsid w:val="00DA6D9A"/>
    <w:rsid w:val="00DA6DE3"/>
    <w:rsid w:val="00DA6E0E"/>
    <w:rsid w:val="00DA6E21"/>
    <w:rsid w:val="00DA6E32"/>
    <w:rsid w:val="00DA6E45"/>
    <w:rsid w:val="00DA6E5B"/>
    <w:rsid w:val="00DA6E7E"/>
    <w:rsid w:val="00DA6E9E"/>
    <w:rsid w:val="00DA6EA8"/>
    <w:rsid w:val="00DA6F4D"/>
    <w:rsid w:val="00DA7081"/>
    <w:rsid w:val="00DA70BE"/>
    <w:rsid w:val="00DA70ED"/>
    <w:rsid w:val="00DA70F8"/>
    <w:rsid w:val="00DA7120"/>
    <w:rsid w:val="00DA7151"/>
    <w:rsid w:val="00DA7152"/>
    <w:rsid w:val="00DA71EA"/>
    <w:rsid w:val="00DA7299"/>
    <w:rsid w:val="00DA72A5"/>
    <w:rsid w:val="00DA72F2"/>
    <w:rsid w:val="00DA7312"/>
    <w:rsid w:val="00DA73B1"/>
    <w:rsid w:val="00DA73B3"/>
    <w:rsid w:val="00DA7412"/>
    <w:rsid w:val="00DA7430"/>
    <w:rsid w:val="00DA7447"/>
    <w:rsid w:val="00DA7460"/>
    <w:rsid w:val="00DA7497"/>
    <w:rsid w:val="00DA7538"/>
    <w:rsid w:val="00DA754F"/>
    <w:rsid w:val="00DA75B9"/>
    <w:rsid w:val="00DA75CE"/>
    <w:rsid w:val="00DA75EE"/>
    <w:rsid w:val="00DA75F9"/>
    <w:rsid w:val="00DA766E"/>
    <w:rsid w:val="00DA7694"/>
    <w:rsid w:val="00DA76D5"/>
    <w:rsid w:val="00DA76EF"/>
    <w:rsid w:val="00DA775C"/>
    <w:rsid w:val="00DA778F"/>
    <w:rsid w:val="00DA7794"/>
    <w:rsid w:val="00DA7795"/>
    <w:rsid w:val="00DA779B"/>
    <w:rsid w:val="00DA77BC"/>
    <w:rsid w:val="00DA781F"/>
    <w:rsid w:val="00DA7852"/>
    <w:rsid w:val="00DA7879"/>
    <w:rsid w:val="00DA78B2"/>
    <w:rsid w:val="00DA78DA"/>
    <w:rsid w:val="00DA790F"/>
    <w:rsid w:val="00DA79D1"/>
    <w:rsid w:val="00DA79F0"/>
    <w:rsid w:val="00DA7A7D"/>
    <w:rsid w:val="00DA7A85"/>
    <w:rsid w:val="00DA7B4F"/>
    <w:rsid w:val="00DA7B56"/>
    <w:rsid w:val="00DA7B77"/>
    <w:rsid w:val="00DA7B7A"/>
    <w:rsid w:val="00DA7B88"/>
    <w:rsid w:val="00DA7B99"/>
    <w:rsid w:val="00DA7BAA"/>
    <w:rsid w:val="00DA7BDC"/>
    <w:rsid w:val="00DA7BE7"/>
    <w:rsid w:val="00DA7C02"/>
    <w:rsid w:val="00DA7C17"/>
    <w:rsid w:val="00DA7C20"/>
    <w:rsid w:val="00DA7C40"/>
    <w:rsid w:val="00DA7D4C"/>
    <w:rsid w:val="00DA7D75"/>
    <w:rsid w:val="00DA7D8E"/>
    <w:rsid w:val="00DA7E48"/>
    <w:rsid w:val="00DA7E4A"/>
    <w:rsid w:val="00DA7E72"/>
    <w:rsid w:val="00DA7F09"/>
    <w:rsid w:val="00DA7F0B"/>
    <w:rsid w:val="00DA7F50"/>
    <w:rsid w:val="00DA7FB4"/>
    <w:rsid w:val="00DA7FDF"/>
    <w:rsid w:val="00DB0056"/>
    <w:rsid w:val="00DB00D6"/>
    <w:rsid w:val="00DB0133"/>
    <w:rsid w:val="00DB0157"/>
    <w:rsid w:val="00DB0159"/>
    <w:rsid w:val="00DB01BC"/>
    <w:rsid w:val="00DB01D3"/>
    <w:rsid w:val="00DB0220"/>
    <w:rsid w:val="00DB02B3"/>
    <w:rsid w:val="00DB02B8"/>
    <w:rsid w:val="00DB02EE"/>
    <w:rsid w:val="00DB030F"/>
    <w:rsid w:val="00DB0379"/>
    <w:rsid w:val="00DB0381"/>
    <w:rsid w:val="00DB044A"/>
    <w:rsid w:val="00DB044F"/>
    <w:rsid w:val="00DB0530"/>
    <w:rsid w:val="00DB0547"/>
    <w:rsid w:val="00DB0579"/>
    <w:rsid w:val="00DB0618"/>
    <w:rsid w:val="00DB0641"/>
    <w:rsid w:val="00DB0690"/>
    <w:rsid w:val="00DB06DB"/>
    <w:rsid w:val="00DB06F8"/>
    <w:rsid w:val="00DB0701"/>
    <w:rsid w:val="00DB0730"/>
    <w:rsid w:val="00DB0767"/>
    <w:rsid w:val="00DB07AD"/>
    <w:rsid w:val="00DB07CB"/>
    <w:rsid w:val="00DB07E8"/>
    <w:rsid w:val="00DB0809"/>
    <w:rsid w:val="00DB0841"/>
    <w:rsid w:val="00DB0869"/>
    <w:rsid w:val="00DB086F"/>
    <w:rsid w:val="00DB087E"/>
    <w:rsid w:val="00DB0890"/>
    <w:rsid w:val="00DB08A6"/>
    <w:rsid w:val="00DB08B7"/>
    <w:rsid w:val="00DB08BC"/>
    <w:rsid w:val="00DB08CB"/>
    <w:rsid w:val="00DB08D9"/>
    <w:rsid w:val="00DB090A"/>
    <w:rsid w:val="00DB0931"/>
    <w:rsid w:val="00DB0952"/>
    <w:rsid w:val="00DB0A11"/>
    <w:rsid w:val="00DB0A23"/>
    <w:rsid w:val="00DB0A88"/>
    <w:rsid w:val="00DB0ADA"/>
    <w:rsid w:val="00DB0AE8"/>
    <w:rsid w:val="00DB0AF4"/>
    <w:rsid w:val="00DB0AFD"/>
    <w:rsid w:val="00DB0B27"/>
    <w:rsid w:val="00DB0B33"/>
    <w:rsid w:val="00DB0B50"/>
    <w:rsid w:val="00DB0B80"/>
    <w:rsid w:val="00DB0BA5"/>
    <w:rsid w:val="00DB0BC9"/>
    <w:rsid w:val="00DB0C29"/>
    <w:rsid w:val="00DB0C3C"/>
    <w:rsid w:val="00DB0CA7"/>
    <w:rsid w:val="00DB0CAC"/>
    <w:rsid w:val="00DB0D59"/>
    <w:rsid w:val="00DB0DA7"/>
    <w:rsid w:val="00DB0DE7"/>
    <w:rsid w:val="00DB0DF7"/>
    <w:rsid w:val="00DB0DFC"/>
    <w:rsid w:val="00DB0E75"/>
    <w:rsid w:val="00DB0ED1"/>
    <w:rsid w:val="00DB0F0A"/>
    <w:rsid w:val="00DB0F40"/>
    <w:rsid w:val="00DB0F41"/>
    <w:rsid w:val="00DB0F4E"/>
    <w:rsid w:val="00DB0F5E"/>
    <w:rsid w:val="00DB0F79"/>
    <w:rsid w:val="00DB0FC3"/>
    <w:rsid w:val="00DB1004"/>
    <w:rsid w:val="00DB1005"/>
    <w:rsid w:val="00DB108F"/>
    <w:rsid w:val="00DB1102"/>
    <w:rsid w:val="00DB112C"/>
    <w:rsid w:val="00DB1188"/>
    <w:rsid w:val="00DB11B8"/>
    <w:rsid w:val="00DB1224"/>
    <w:rsid w:val="00DB12C6"/>
    <w:rsid w:val="00DB12D8"/>
    <w:rsid w:val="00DB1315"/>
    <w:rsid w:val="00DB135E"/>
    <w:rsid w:val="00DB13AF"/>
    <w:rsid w:val="00DB13D7"/>
    <w:rsid w:val="00DB13FE"/>
    <w:rsid w:val="00DB140E"/>
    <w:rsid w:val="00DB1410"/>
    <w:rsid w:val="00DB145B"/>
    <w:rsid w:val="00DB1483"/>
    <w:rsid w:val="00DB14BF"/>
    <w:rsid w:val="00DB15D2"/>
    <w:rsid w:val="00DB15D8"/>
    <w:rsid w:val="00DB1608"/>
    <w:rsid w:val="00DB165F"/>
    <w:rsid w:val="00DB168A"/>
    <w:rsid w:val="00DB16B8"/>
    <w:rsid w:val="00DB16C5"/>
    <w:rsid w:val="00DB1707"/>
    <w:rsid w:val="00DB171D"/>
    <w:rsid w:val="00DB172E"/>
    <w:rsid w:val="00DB1753"/>
    <w:rsid w:val="00DB1760"/>
    <w:rsid w:val="00DB1780"/>
    <w:rsid w:val="00DB17ED"/>
    <w:rsid w:val="00DB1800"/>
    <w:rsid w:val="00DB1803"/>
    <w:rsid w:val="00DB181D"/>
    <w:rsid w:val="00DB18BB"/>
    <w:rsid w:val="00DB18CD"/>
    <w:rsid w:val="00DB18E7"/>
    <w:rsid w:val="00DB18F1"/>
    <w:rsid w:val="00DB1943"/>
    <w:rsid w:val="00DB1977"/>
    <w:rsid w:val="00DB1997"/>
    <w:rsid w:val="00DB19C1"/>
    <w:rsid w:val="00DB19F6"/>
    <w:rsid w:val="00DB1A17"/>
    <w:rsid w:val="00DB1A93"/>
    <w:rsid w:val="00DB1A96"/>
    <w:rsid w:val="00DB1A9C"/>
    <w:rsid w:val="00DB1AAC"/>
    <w:rsid w:val="00DB1AAE"/>
    <w:rsid w:val="00DB1B11"/>
    <w:rsid w:val="00DB1B73"/>
    <w:rsid w:val="00DB1C00"/>
    <w:rsid w:val="00DB1C43"/>
    <w:rsid w:val="00DB1C69"/>
    <w:rsid w:val="00DB1CB2"/>
    <w:rsid w:val="00DB1CE1"/>
    <w:rsid w:val="00DB1D1D"/>
    <w:rsid w:val="00DB1D38"/>
    <w:rsid w:val="00DB1D78"/>
    <w:rsid w:val="00DB1DB0"/>
    <w:rsid w:val="00DB1DCD"/>
    <w:rsid w:val="00DB1E26"/>
    <w:rsid w:val="00DB1E3C"/>
    <w:rsid w:val="00DB1EB5"/>
    <w:rsid w:val="00DB1EE7"/>
    <w:rsid w:val="00DB1EEE"/>
    <w:rsid w:val="00DB1EFC"/>
    <w:rsid w:val="00DB1F29"/>
    <w:rsid w:val="00DB1F31"/>
    <w:rsid w:val="00DB1F60"/>
    <w:rsid w:val="00DB1F67"/>
    <w:rsid w:val="00DB1F7B"/>
    <w:rsid w:val="00DB1FBB"/>
    <w:rsid w:val="00DB1FBE"/>
    <w:rsid w:val="00DB203C"/>
    <w:rsid w:val="00DB2040"/>
    <w:rsid w:val="00DB2048"/>
    <w:rsid w:val="00DB2052"/>
    <w:rsid w:val="00DB208C"/>
    <w:rsid w:val="00DB20B5"/>
    <w:rsid w:val="00DB20C6"/>
    <w:rsid w:val="00DB20CD"/>
    <w:rsid w:val="00DB20E7"/>
    <w:rsid w:val="00DB2116"/>
    <w:rsid w:val="00DB213B"/>
    <w:rsid w:val="00DB216C"/>
    <w:rsid w:val="00DB21C1"/>
    <w:rsid w:val="00DB22F6"/>
    <w:rsid w:val="00DB22FF"/>
    <w:rsid w:val="00DB2384"/>
    <w:rsid w:val="00DB2385"/>
    <w:rsid w:val="00DB23C0"/>
    <w:rsid w:val="00DB2434"/>
    <w:rsid w:val="00DB248B"/>
    <w:rsid w:val="00DB24AF"/>
    <w:rsid w:val="00DB2574"/>
    <w:rsid w:val="00DB2613"/>
    <w:rsid w:val="00DB2626"/>
    <w:rsid w:val="00DB2636"/>
    <w:rsid w:val="00DB265D"/>
    <w:rsid w:val="00DB2685"/>
    <w:rsid w:val="00DB2691"/>
    <w:rsid w:val="00DB26E2"/>
    <w:rsid w:val="00DB270C"/>
    <w:rsid w:val="00DB2736"/>
    <w:rsid w:val="00DB2775"/>
    <w:rsid w:val="00DB278B"/>
    <w:rsid w:val="00DB2791"/>
    <w:rsid w:val="00DB27AB"/>
    <w:rsid w:val="00DB27CA"/>
    <w:rsid w:val="00DB280F"/>
    <w:rsid w:val="00DB2828"/>
    <w:rsid w:val="00DB282B"/>
    <w:rsid w:val="00DB282C"/>
    <w:rsid w:val="00DB283D"/>
    <w:rsid w:val="00DB28D3"/>
    <w:rsid w:val="00DB28FA"/>
    <w:rsid w:val="00DB28FF"/>
    <w:rsid w:val="00DB2931"/>
    <w:rsid w:val="00DB29C2"/>
    <w:rsid w:val="00DB29CC"/>
    <w:rsid w:val="00DB29E3"/>
    <w:rsid w:val="00DB2A12"/>
    <w:rsid w:val="00DB2A17"/>
    <w:rsid w:val="00DB2A28"/>
    <w:rsid w:val="00DB2AAB"/>
    <w:rsid w:val="00DB2AEA"/>
    <w:rsid w:val="00DB2B2A"/>
    <w:rsid w:val="00DB2B47"/>
    <w:rsid w:val="00DB2B83"/>
    <w:rsid w:val="00DB2B8B"/>
    <w:rsid w:val="00DB2BA7"/>
    <w:rsid w:val="00DB2C22"/>
    <w:rsid w:val="00DB2C34"/>
    <w:rsid w:val="00DB2C54"/>
    <w:rsid w:val="00DB2C57"/>
    <w:rsid w:val="00DB2C74"/>
    <w:rsid w:val="00DB2CBF"/>
    <w:rsid w:val="00DB2CC2"/>
    <w:rsid w:val="00DB2CDA"/>
    <w:rsid w:val="00DB2D1D"/>
    <w:rsid w:val="00DB2D47"/>
    <w:rsid w:val="00DB2D4B"/>
    <w:rsid w:val="00DB2D6B"/>
    <w:rsid w:val="00DB2D8F"/>
    <w:rsid w:val="00DB2DAD"/>
    <w:rsid w:val="00DB2DCB"/>
    <w:rsid w:val="00DB2DE2"/>
    <w:rsid w:val="00DB2DFF"/>
    <w:rsid w:val="00DB2E33"/>
    <w:rsid w:val="00DB2EDE"/>
    <w:rsid w:val="00DB2EF7"/>
    <w:rsid w:val="00DB2F03"/>
    <w:rsid w:val="00DB2F08"/>
    <w:rsid w:val="00DB2F14"/>
    <w:rsid w:val="00DB2F28"/>
    <w:rsid w:val="00DB2F29"/>
    <w:rsid w:val="00DB2F2A"/>
    <w:rsid w:val="00DB2FF2"/>
    <w:rsid w:val="00DB2FF3"/>
    <w:rsid w:val="00DB2FFE"/>
    <w:rsid w:val="00DB3003"/>
    <w:rsid w:val="00DB30FB"/>
    <w:rsid w:val="00DB311D"/>
    <w:rsid w:val="00DB3153"/>
    <w:rsid w:val="00DB3155"/>
    <w:rsid w:val="00DB3295"/>
    <w:rsid w:val="00DB32AD"/>
    <w:rsid w:val="00DB3310"/>
    <w:rsid w:val="00DB3361"/>
    <w:rsid w:val="00DB338B"/>
    <w:rsid w:val="00DB33BE"/>
    <w:rsid w:val="00DB348F"/>
    <w:rsid w:val="00DB34A9"/>
    <w:rsid w:val="00DB34E9"/>
    <w:rsid w:val="00DB34F9"/>
    <w:rsid w:val="00DB3506"/>
    <w:rsid w:val="00DB3510"/>
    <w:rsid w:val="00DB358A"/>
    <w:rsid w:val="00DB35FE"/>
    <w:rsid w:val="00DB365B"/>
    <w:rsid w:val="00DB366B"/>
    <w:rsid w:val="00DB3688"/>
    <w:rsid w:val="00DB36C4"/>
    <w:rsid w:val="00DB36CA"/>
    <w:rsid w:val="00DB371F"/>
    <w:rsid w:val="00DB3721"/>
    <w:rsid w:val="00DB378D"/>
    <w:rsid w:val="00DB37C4"/>
    <w:rsid w:val="00DB37EB"/>
    <w:rsid w:val="00DB3809"/>
    <w:rsid w:val="00DB3868"/>
    <w:rsid w:val="00DB388C"/>
    <w:rsid w:val="00DB388F"/>
    <w:rsid w:val="00DB38B2"/>
    <w:rsid w:val="00DB38CA"/>
    <w:rsid w:val="00DB3940"/>
    <w:rsid w:val="00DB3975"/>
    <w:rsid w:val="00DB399F"/>
    <w:rsid w:val="00DB39D8"/>
    <w:rsid w:val="00DB39D9"/>
    <w:rsid w:val="00DB39ED"/>
    <w:rsid w:val="00DB3A06"/>
    <w:rsid w:val="00DB3A28"/>
    <w:rsid w:val="00DB3A5D"/>
    <w:rsid w:val="00DB3A6D"/>
    <w:rsid w:val="00DB3A96"/>
    <w:rsid w:val="00DB3AC3"/>
    <w:rsid w:val="00DB3AD6"/>
    <w:rsid w:val="00DB3B16"/>
    <w:rsid w:val="00DB3B27"/>
    <w:rsid w:val="00DB3B82"/>
    <w:rsid w:val="00DB3C11"/>
    <w:rsid w:val="00DB3CFB"/>
    <w:rsid w:val="00DB3D44"/>
    <w:rsid w:val="00DB3D92"/>
    <w:rsid w:val="00DB3DA0"/>
    <w:rsid w:val="00DB3DFD"/>
    <w:rsid w:val="00DB3E7F"/>
    <w:rsid w:val="00DB3E89"/>
    <w:rsid w:val="00DB3EB8"/>
    <w:rsid w:val="00DB3EC1"/>
    <w:rsid w:val="00DB3EC3"/>
    <w:rsid w:val="00DB3EEA"/>
    <w:rsid w:val="00DB3EFC"/>
    <w:rsid w:val="00DB3F21"/>
    <w:rsid w:val="00DB3F4C"/>
    <w:rsid w:val="00DB3FE6"/>
    <w:rsid w:val="00DB4124"/>
    <w:rsid w:val="00DB4143"/>
    <w:rsid w:val="00DB42E5"/>
    <w:rsid w:val="00DB431A"/>
    <w:rsid w:val="00DB4359"/>
    <w:rsid w:val="00DB435D"/>
    <w:rsid w:val="00DB4367"/>
    <w:rsid w:val="00DB4386"/>
    <w:rsid w:val="00DB438A"/>
    <w:rsid w:val="00DB43E2"/>
    <w:rsid w:val="00DB4418"/>
    <w:rsid w:val="00DB445B"/>
    <w:rsid w:val="00DB4463"/>
    <w:rsid w:val="00DB44BA"/>
    <w:rsid w:val="00DB4528"/>
    <w:rsid w:val="00DB452B"/>
    <w:rsid w:val="00DB453B"/>
    <w:rsid w:val="00DB4548"/>
    <w:rsid w:val="00DB45C1"/>
    <w:rsid w:val="00DB45E1"/>
    <w:rsid w:val="00DB4637"/>
    <w:rsid w:val="00DB4641"/>
    <w:rsid w:val="00DB467B"/>
    <w:rsid w:val="00DB46DD"/>
    <w:rsid w:val="00DB46EA"/>
    <w:rsid w:val="00DB4716"/>
    <w:rsid w:val="00DB4759"/>
    <w:rsid w:val="00DB475F"/>
    <w:rsid w:val="00DB4761"/>
    <w:rsid w:val="00DB4772"/>
    <w:rsid w:val="00DB47A8"/>
    <w:rsid w:val="00DB480C"/>
    <w:rsid w:val="00DB481C"/>
    <w:rsid w:val="00DB4821"/>
    <w:rsid w:val="00DB4854"/>
    <w:rsid w:val="00DB485C"/>
    <w:rsid w:val="00DB48B0"/>
    <w:rsid w:val="00DB48C4"/>
    <w:rsid w:val="00DB48E0"/>
    <w:rsid w:val="00DB48E6"/>
    <w:rsid w:val="00DB48F2"/>
    <w:rsid w:val="00DB48F3"/>
    <w:rsid w:val="00DB4907"/>
    <w:rsid w:val="00DB492D"/>
    <w:rsid w:val="00DB49A8"/>
    <w:rsid w:val="00DB49BA"/>
    <w:rsid w:val="00DB4A0F"/>
    <w:rsid w:val="00DB4A54"/>
    <w:rsid w:val="00DB4A61"/>
    <w:rsid w:val="00DB4A8A"/>
    <w:rsid w:val="00DB4B97"/>
    <w:rsid w:val="00DB4BA3"/>
    <w:rsid w:val="00DB4BB1"/>
    <w:rsid w:val="00DB4BC4"/>
    <w:rsid w:val="00DB4BEF"/>
    <w:rsid w:val="00DB4BF4"/>
    <w:rsid w:val="00DB4BFD"/>
    <w:rsid w:val="00DB4C30"/>
    <w:rsid w:val="00DB4C33"/>
    <w:rsid w:val="00DB4C5F"/>
    <w:rsid w:val="00DB4C9F"/>
    <w:rsid w:val="00DB4D0F"/>
    <w:rsid w:val="00DB4D17"/>
    <w:rsid w:val="00DB4D22"/>
    <w:rsid w:val="00DB4D52"/>
    <w:rsid w:val="00DB4D6A"/>
    <w:rsid w:val="00DB4D6D"/>
    <w:rsid w:val="00DB4D77"/>
    <w:rsid w:val="00DB4DCE"/>
    <w:rsid w:val="00DB4E03"/>
    <w:rsid w:val="00DB4E46"/>
    <w:rsid w:val="00DB4E4B"/>
    <w:rsid w:val="00DB4EC0"/>
    <w:rsid w:val="00DB4EC2"/>
    <w:rsid w:val="00DB4F65"/>
    <w:rsid w:val="00DB4F86"/>
    <w:rsid w:val="00DB4FDC"/>
    <w:rsid w:val="00DB5063"/>
    <w:rsid w:val="00DB5137"/>
    <w:rsid w:val="00DB5183"/>
    <w:rsid w:val="00DB51D3"/>
    <w:rsid w:val="00DB51D4"/>
    <w:rsid w:val="00DB51E7"/>
    <w:rsid w:val="00DB5222"/>
    <w:rsid w:val="00DB524C"/>
    <w:rsid w:val="00DB526D"/>
    <w:rsid w:val="00DB52A2"/>
    <w:rsid w:val="00DB52B2"/>
    <w:rsid w:val="00DB531A"/>
    <w:rsid w:val="00DB5351"/>
    <w:rsid w:val="00DB535E"/>
    <w:rsid w:val="00DB53D8"/>
    <w:rsid w:val="00DB5416"/>
    <w:rsid w:val="00DB541F"/>
    <w:rsid w:val="00DB5421"/>
    <w:rsid w:val="00DB5426"/>
    <w:rsid w:val="00DB542F"/>
    <w:rsid w:val="00DB5452"/>
    <w:rsid w:val="00DB5470"/>
    <w:rsid w:val="00DB5475"/>
    <w:rsid w:val="00DB5497"/>
    <w:rsid w:val="00DB54D5"/>
    <w:rsid w:val="00DB55A6"/>
    <w:rsid w:val="00DB55D9"/>
    <w:rsid w:val="00DB5625"/>
    <w:rsid w:val="00DB5649"/>
    <w:rsid w:val="00DB566B"/>
    <w:rsid w:val="00DB56A0"/>
    <w:rsid w:val="00DB5755"/>
    <w:rsid w:val="00DB575A"/>
    <w:rsid w:val="00DB5761"/>
    <w:rsid w:val="00DB5772"/>
    <w:rsid w:val="00DB57CB"/>
    <w:rsid w:val="00DB57D9"/>
    <w:rsid w:val="00DB57E7"/>
    <w:rsid w:val="00DB5817"/>
    <w:rsid w:val="00DB5824"/>
    <w:rsid w:val="00DB582A"/>
    <w:rsid w:val="00DB5848"/>
    <w:rsid w:val="00DB588B"/>
    <w:rsid w:val="00DB58BB"/>
    <w:rsid w:val="00DB58CE"/>
    <w:rsid w:val="00DB58EA"/>
    <w:rsid w:val="00DB58FA"/>
    <w:rsid w:val="00DB5934"/>
    <w:rsid w:val="00DB5953"/>
    <w:rsid w:val="00DB5954"/>
    <w:rsid w:val="00DB59C4"/>
    <w:rsid w:val="00DB59E2"/>
    <w:rsid w:val="00DB5A18"/>
    <w:rsid w:val="00DB5A3E"/>
    <w:rsid w:val="00DB5A3F"/>
    <w:rsid w:val="00DB5A59"/>
    <w:rsid w:val="00DB5A6D"/>
    <w:rsid w:val="00DB5A8C"/>
    <w:rsid w:val="00DB5ADB"/>
    <w:rsid w:val="00DB5AE5"/>
    <w:rsid w:val="00DB5B01"/>
    <w:rsid w:val="00DB5B76"/>
    <w:rsid w:val="00DB5B90"/>
    <w:rsid w:val="00DB5BB8"/>
    <w:rsid w:val="00DB5BF8"/>
    <w:rsid w:val="00DB5C0A"/>
    <w:rsid w:val="00DB5C0D"/>
    <w:rsid w:val="00DB5C5D"/>
    <w:rsid w:val="00DB5C60"/>
    <w:rsid w:val="00DB5C86"/>
    <w:rsid w:val="00DB5D39"/>
    <w:rsid w:val="00DB5D61"/>
    <w:rsid w:val="00DB5D6E"/>
    <w:rsid w:val="00DB5E4C"/>
    <w:rsid w:val="00DB5E83"/>
    <w:rsid w:val="00DB5EC3"/>
    <w:rsid w:val="00DB5ED5"/>
    <w:rsid w:val="00DB5F29"/>
    <w:rsid w:val="00DB5F2C"/>
    <w:rsid w:val="00DB5F97"/>
    <w:rsid w:val="00DB5FAB"/>
    <w:rsid w:val="00DB6007"/>
    <w:rsid w:val="00DB601B"/>
    <w:rsid w:val="00DB6039"/>
    <w:rsid w:val="00DB6075"/>
    <w:rsid w:val="00DB609E"/>
    <w:rsid w:val="00DB60D9"/>
    <w:rsid w:val="00DB60E4"/>
    <w:rsid w:val="00DB6177"/>
    <w:rsid w:val="00DB617C"/>
    <w:rsid w:val="00DB61DD"/>
    <w:rsid w:val="00DB621F"/>
    <w:rsid w:val="00DB6264"/>
    <w:rsid w:val="00DB6269"/>
    <w:rsid w:val="00DB6288"/>
    <w:rsid w:val="00DB62B0"/>
    <w:rsid w:val="00DB62D8"/>
    <w:rsid w:val="00DB6321"/>
    <w:rsid w:val="00DB6405"/>
    <w:rsid w:val="00DB6470"/>
    <w:rsid w:val="00DB6490"/>
    <w:rsid w:val="00DB64AB"/>
    <w:rsid w:val="00DB64C4"/>
    <w:rsid w:val="00DB64CC"/>
    <w:rsid w:val="00DB650A"/>
    <w:rsid w:val="00DB651F"/>
    <w:rsid w:val="00DB6575"/>
    <w:rsid w:val="00DB65C8"/>
    <w:rsid w:val="00DB65E2"/>
    <w:rsid w:val="00DB6646"/>
    <w:rsid w:val="00DB6655"/>
    <w:rsid w:val="00DB6715"/>
    <w:rsid w:val="00DB671D"/>
    <w:rsid w:val="00DB673E"/>
    <w:rsid w:val="00DB6752"/>
    <w:rsid w:val="00DB681E"/>
    <w:rsid w:val="00DB6840"/>
    <w:rsid w:val="00DB6854"/>
    <w:rsid w:val="00DB6872"/>
    <w:rsid w:val="00DB687C"/>
    <w:rsid w:val="00DB68A4"/>
    <w:rsid w:val="00DB6950"/>
    <w:rsid w:val="00DB697D"/>
    <w:rsid w:val="00DB6987"/>
    <w:rsid w:val="00DB698C"/>
    <w:rsid w:val="00DB69A6"/>
    <w:rsid w:val="00DB69AD"/>
    <w:rsid w:val="00DB69B6"/>
    <w:rsid w:val="00DB69FF"/>
    <w:rsid w:val="00DB6A4B"/>
    <w:rsid w:val="00DB6AAD"/>
    <w:rsid w:val="00DB6AB4"/>
    <w:rsid w:val="00DB6AB8"/>
    <w:rsid w:val="00DB6AE0"/>
    <w:rsid w:val="00DB6B18"/>
    <w:rsid w:val="00DB6B24"/>
    <w:rsid w:val="00DB6B37"/>
    <w:rsid w:val="00DB6B62"/>
    <w:rsid w:val="00DB6BEB"/>
    <w:rsid w:val="00DB6BF7"/>
    <w:rsid w:val="00DB6C0A"/>
    <w:rsid w:val="00DB6C8E"/>
    <w:rsid w:val="00DB6C9B"/>
    <w:rsid w:val="00DB6D25"/>
    <w:rsid w:val="00DB6D38"/>
    <w:rsid w:val="00DB6D54"/>
    <w:rsid w:val="00DB6DC3"/>
    <w:rsid w:val="00DB6E2F"/>
    <w:rsid w:val="00DB6EA3"/>
    <w:rsid w:val="00DB6F36"/>
    <w:rsid w:val="00DB6FB3"/>
    <w:rsid w:val="00DB6FD1"/>
    <w:rsid w:val="00DB6FEF"/>
    <w:rsid w:val="00DB6FFC"/>
    <w:rsid w:val="00DB7007"/>
    <w:rsid w:val="00DB7008"/>
    <w:rsid w:val="00DB7086"/>
    <w:rsid w:val="00DB70AE"/>
    <w:rsid w:val="00DB712E"/>
    <w:rsid w:val="00DB714C"/>
    <w:rsid w:val="00DB71A2"/>
    <w:rsid w:val="00DB71F6"/>
    <w:rsid w:val="00DB721F"/>
    <w:rsid w:val="00DB7226"/>
    <w:rsid w:val="00DB7274"/>
    <w:rsid w:val="00DB7298"/>
    <w:rsid w:val="00DB729B"/>
    <w:rsid w:val="00DB72FF"/>
    <w:rsid w:val="00DB73A3"/>
    <w:rsid w:val="00DB73D7"/>
    <w:rsid w:val="00DB73EB"/>
    <w:rsid w:val="00DB7418"/>
    <w:rsid w:val="00DB7458"/>
    <w:rsid w:val="00DB7465"/>
    <w:rsid w:val="00DB7491"/>
    <w:rsid w:val="00DB7497"/>
    <w:rsid w:val="00DB74A1"/>
    <w:rsid w:val="00DB74F3"/>
    <w:rsid w:val="00DB7532"/>
    <w:rsid w:val="00DB7540"/>
    <w:rsid w:val="00DB754D"/>
    <w:rsid w:val="00DB75B5"/>
    <w:rsid w:val="00DB75CD"/>
    <w:rsid w:val="00DB75F2"/>
    <w:rsid w:val="00DB7601"/>
    <w:rsid w:val="00DB76FC"/>
    <w:rsid w:val="00DB7702"/>
    <w:rsid w:val="00DB7790"/>
    <w:rsid w:val="00DB77AF"/>
    <w:rsid w:val="00DB77D2"/>
    <w:rsid w:val="00DB77FE"/>
    <w:rsid w:val="00DB7884"/>
    <w:rsid w:val="00DB789A"/>
    <w:rsid w:val="00DB78B9"/>
    <w:rsid w:val="00DB78EA"/>
    <w:rsid w:val="00DB795C"/>
    <w:rsid w:val="00DB79B0"/>
    <w:rsid w:val="00DB79CB"/>
    <w:rsid w:val="00DB79F4"/>
    <w:rsid w:val="00DB7A01"/>
    <w:rsid w:val="00DB7A13"/>
    <w:rsid w:val="00DB7A19"/>
    <w:rsid w:val="00DB7A2B"/>
    <w:rsid w:val="00DB7A44"/>
    <w:rsid w:val="00DB7A5A"/>
    <w:rsid w:val="00DB7AB3"/>
    <w:rsid w:val="00DB7B32"/>
    <w:rsid w:val="00DB7B3A"/>
    <w:rsid w:val="00DB7B4B"/>
    <w:rsid w:val="00DB7B89"/>
    <w:rsid w:val="00DB7BB4"/>
    <w:rsid w:val="00DB7C04"/>
    <w:rsid w:val="00DB7C16"/>
    <w:rsid w:val="00DB7C36"/>
    <w:rsid w:val="00DB7C3D"/>
    <w:rsid w:val="00DB7C4C"/>
    <w:rsid w:val="00DB7C59"/>
    <w:rsid w:val="00DB7C89"/>
    <w:rsid w:val="00DB7D31"/>
    <w:rsid w:val="00DB7D6D"/>
    <w:rsid w:val="00DB7D77"/>
    <w:rsid w:val="00DB7D90"/>
    <w:rsid w:val="00DB7DA8"/>
    <w:rsid w:val="00DB7DF3"/>
    <w:rsid w:val="00DB7E1A"/>
    <w:rsid w:val="00DB7E56"/>
    <w:rsid w:val="00DB7E71"/>
    <w:rsid w:val="00DB7E8E"/>
    <w:rsid w:val="00DB7EF4"/>
    <w:rsid w:val="00DB7F26"/>
    <w:rsid w:val="00DB7F6C"/>
    <w:rsid w:val="00DB7F9B"/>
    <w:rsid w:val="00DC0013"/>
    <w:rsid w:val="00DC004E"/>
    <w:rsid w:val="00DC00A4"/>
    <w:rsid w:val="00DC00F9"/>
    <w:rsid w:val="00DC010D"/>
    <w:rsid w:val="00DC010F"/>
    <w:rsid w:val="00DC0112"/>
    <w:rsid w:val="00DC0119"/>
    <w:rsid w:val="00DC013B"/>
    <w:rsid w:val="00DC0174"/>
    <w:rsid w:val="00DC0234"/>
    <w:rsid w:val="00DC027F"/>
    <w:rsid w:val="00DC02BA"/>
    <w:rsid w:val="00DC02D2"/>
    <w:rsid w:val="00DC030B"/>
    <w:rsid w:val="00DC0397"/>
    <w:rsid w:val="00DC03C3"/>
    <w:rsid w:val="00DC041C"/>
    <w:rsid w:val="00DC0427"/>
    <w:rsid w:val="00DC0430"/>
    <w:rsid w:val="00DC0508"/>
    <w:rsid w:val="00DC0533"/>
    <w:rsid w:val="00DC054D"/>
    <w:rsid w:val="00DC05D6"/>
    <w:rsid w:val="00DC05DA"/>
    <w:rsid w:val="00DC0685"/>
    <w:rsid w:val="00DC06D4"/>
    <w:rsid w:val="00DC06DE"/>
    <w:rsid w:val="00DC0704"/>
    <w:rsid w:val="00DC073F"/>
    <w:rsid w:val="00DC0743"/>
    <w:rsid w:val="00DC0758"/>
    <w:rsid w:val="00DC079B"/>
    <w:rsid w:val="00DC07B0"/>
    <w:rsid w:val="00DC0810"/>
    <w:rsid w:val="00DC0871"/>
    <w:rsid w:val="00DC087A"/>
    <w:rsid w:val="00DC08A5"/>
    <w:rsid w:val="00DC08AB"/>
    <w:rsid w:val="00DC08AD"/>
    <w:rsid w:val="00DC08EA"/>
    <w:rsid w:val="00DC0944"/>
    <w:rsid w:val="00DC09DB"/>
    <w:rsid w:val="00DC0A4F"/>
    <w:rsid w:val="00DC0A51"/>
    <w:rsid w:val="00DC0A69"/>
    <w:rsid w:val="00DC0A6A"/>
    <w:rsid w:val="00DC0A90"/>
    <w:rsid w:val="00DC0A93"/>
    <w:rsid w:val="00DC0AB1"/>
    <w:rsid w:val="00DC0AC4"/>
    <w:rsid w:val="00DC0AC5"/>
    <w:rsid w:val="00DC0ADA"/>
    <w:rsid w:val="00DC0AE1"/>
    <w:rsid w:val="00DC0AFE"/>
    <w:rsid w:val="00DC0B24"/>
    <w:rsid w:val="00DC0B7C"/>
    <w:rsid w:val="00DC0B8D"/>
    <w:rsid w:val="00DC0B9D"/>
    <w:rsid w:val="00DC0BB8"/>
    <w:rsid w:val="00DC0C22"/>
    <w:rsid w:val="00DC0C2E"/>
    <w:rsid w:val="00DC0C7D"/>
    <w:rsid w:val="00DC0C91"/>
    <w:rsid w:val="00DC0CA5"/>
    <w:rsid w:val="00DC0CA9"/>
    <w:rsid w:val="00DC0CAE"/>
    <w:rsid w:val="00DC0CDF"/>
    <w:rsid w:val="00DC0D7C"/>
    <w:rsid w:val="00DC0E36"/>
    <w:rsid w:val="00DC0E60"/>
    <w:rsid w:val="00DC0E77"/>
    <w:rsid w:val="00DC0E94"/>
    <w:rsid w:val="00DC0EAC"/>
    <w:rsid w:val="00DC0F24"/>
    <w:rsid w:val="00DC0F2A"/>
    <w:rsid w:val="00DC0F60"/>
    <w:rsid w:val="00DC103E"/>
    <w:rsid w:val="00DC1053"/>
    <w:rsid w:val="00DC107A"/>
    <w:rsid w:val="00DC10B6"/>
    <w:rsid w:val="00DC10C9"/>
    <w:rsid w:val="00DC10D6"/>
    <w:rsid w:val="00DC10DA"/>
    <w:rsid w:val="00DC10FE"/>
    <w:rsid w:val="00DC114F"/>
    <w:rsid w:val="00DC1188"/>
    <w:rsid w:val="00DC11B0"/>
    <w:rsid w:val="00DC11E4"/>
    <w:rsid w:val="00DC11EB"/>
    <w:rsid w:val="00DC121C"/>
    <w:rsid w:val="00DC123F"/>
    <w:rsid w:val="00DC1248"/>
    <w:rsid w:val="00DC12AF"/>
    <w:rsid w:val="00DC12BD"/>
    <w:rsid w:val="00DC12CA"/>
    <w:rsid w:val="00DC12F9"/>
    <w:rsid w:val="00DC135F"/>
    <w:rsid w:val="00DC1368"/>
    <w:rsid w:val="00DC13B5"/>
    <w:rsid w:val="00DC1400"/>
    <w:rsid w:val="00DC144D"/>
    <w:rsid w:val="00DC145E"/>
    <w:rsid w:val="00DC148E"/>
    <w:rsid w:val="00DC14DE"/>
    <w:rsid w:val="00DC1502"/>
    <w:rsid w:val="00DC151B"/>
    <w:rsid w:val="00DC1587"/>
    <w:rsid w:val="00DC15C8"/>
    <w:rsid w:val="00DC15F2"/>
    <w:rsid w:val="00DC161D"/>
    <w:rsid w:val="00DC1690"/>
    <w:rsid w:val="00DC16A5"/>
    <w:rsid w:val="00DC171E"/>
    <w:rsid w:val="00DC173E"/>
    <w:rsid w:val="00DC174F"/>
    <w:rsid w:val="00DC1750"/>
    <w:rsid w:val="00DC1772"/>
    <w:rsid w:val="00DC178D"/>
    <w:rsid w:val="00DC178E"/>
    <w:rsid w:val="00DC17DB"/>
    <w:rsid w:val="00DC1803"/>
    <w:rsid w:val="00DC183D"/>
    <w:rsid w:val="00DC184B"/>
    <w:rsid w:val="00DC1883"/>
    <w:rsid w:val="00DC1886"/>
    <w:rsid w:val="00DC189B"/>
    <w:rsid w:val="00DC1940"/>
    <w:rsid w:val="00DC194B"/>
    <w:rsid w:val="00DC1991"/>
    <w:rsid w:val="00DC19C1"/>
    <w:rsid w:val="00DC19E4"/>
    <w:rsid w:val="00DC1A11"/>
    <w:rsid w:val="00DC1A2A"/>
    <w:rsid w:val="00DC1A75"/>
    <w:rsid w:val="00DC1AAB"/>
    <w:rsid w:val="00DC1AC2"/>
    <w:rsid w:val="00DC1ADE"/>
    <w:rsid w:val="00DC1AF7"/>
    <w:rsid w:val="00DC1B12"/>
    <w:rsid w:val="00DC1B20"/>
    <w:rsid w:val="00DC1BD9"/>
    <w:rsid w:val="00DC1BE6"/>
    <w:rsid w:val="00DC1BEA"/>
    <w:rsid w:val="00DC1BED"/>
    <w:rsid w:val="00DC1C06"/>
    <w:rsid w:val="00DC1C67"/>
    <w:rsid w:val="00DC1CC5"/>
    <w:rsid w:val="00DC1D05"/>
    <w:rsid w:val="00DC1D3F"/>
    <w:rsid w:val="00DC1D7E"/>
    <w:rsid w:val="00DC1DA6"/>
    <w:rsid w:val="00DC1E17"/>
    <w:rsid w:val="00DC1E20"/>
    <w:rsid w:val="00DC1E45"/>
    <w:rsid w:val="00DC1E5D"/>
    <w:rsid w:val="00DC1F41"/>
    <w:rsid w:val="00DC1FA5"/>
    <w:rsid w:val="00DC1FBD"/>
    <w:rsid w:val="00DC1FD2"/>
    <w:rsid w:val="00DC1FEB"/>
    <w:rsid w:val="00DC1FF7"/>
    <w:rsid w:val="00DC2067"/>
    <w:rsid w:val="00DC2082"/>
    <w:rsid w:val="00DC20AB"/>
    <w:rsid w:val="00DC213C"/>
    <w:rsid w:val="00DC2192"/>
    <w:rsid w:val="00DC219E"/>
    <w:rsid w:val="00DC21B4"/>
    <w:rsid w:val="00DC225D"/>
    <w:rsid w:val="00DC22E6"/>
    <w:rsid w:val="00DC2304"/>
    <w:rsid w:val="00DC2318"/>
    <w:rsid w:val="00DC23F5"/>
    <w:rsid w:val="00DC2420"/>
    <w:rsid w:val="00DC242E"/>
    <w:rsid w:val="00DC247E"/>
    <w:rsid w:val="00DC2489"/>
    <w:rsid w:val="00DC24AB"/>
    <w:rsid w:val="00DC24C5"/>
    <w:rsid w:val="00DC2635"/>
    <w:rsid w:val="00DC2637"/>
    <w:rsid w:val="00DC2671"/>
    <w:rsid w:val="00DC26AE"/>
    <w:rsid w:val="00DC26F2"/>
    <w:rsid w:val="00DC26F7"/>
    <w:rsid w:val="00DC2716"/>
    <w:rsid w:val="00DC2725"/>
    <w:rsid w:val="00DC2750"/>
    <w:rsid w:val="00DC277F"/>
    <w:rsid w:val="00DC2787"/>
    <w:rsid w:val="00DC2827"/>
    <w:rsid w:val="00DC288E"/>
    <w:rsid w:val="00DC28AA"/>
    <w:rsid w:val="00DC28B7"/>
    <w:rsid w:val="00DC28FF"/>
    <w:rsid w:val="00DC2997"/>
    <w:rsid w:val="00DC2A12"/>
    <w:rsid w:val="00DC2A31"/>
    <w:rsid w:val="00DC2A6B"/>
    <w:rsid w:val="00DC2A79"/>
    <w:rsid w:val="00DC2AE1"/>
    <w:rsid w:val="00DC2B53"/>
    <w:rsid w:val="00DC2BAD"/>
    <w:rsid w:val="00DC2C05"/>
    <w:rsid w:val="00DC2C07"/>
    <w:rsid w:val="00DC2C0C"/>
    <w:rsid w:val="00DC2C11"/>
    <w:rsid w:val="00DC2C46"/>
    <w:rsid w:val="00DC2C72"/>
    <w:rsid w:val="00DC2C90"/>
    <w:rsid w:val="00DC2D21"/>
    <w:rsid w:val="00DC2D3A"/>
    <w:rsid w:val="00DC2E3F"/>
    <w:rsid w:val="00DC2E4A"/>
    <w:rsid w:val="00DC2E51"/>
    <w:rsid w:val="00DC2E9D"/>
    <w:rsid w:val="00DC2EAB"/>
    <w:rsid w:val="00DC2EEA"/>
    <w:rsid w:val="00DC2FC6"/>
    <w:rsid w:val="00DC2FCE"/>
    <w:rsid w:val="00DC2FDF"/>
    <w:rsid w:val="00DC3009"/>
    <w:rsid w:val="00DC3057"/>
    <w:rsid w:val="00DC305A"/>
    <w:rsid w:val="00DC3090"/>
    <w:rsid w:val="00DC30DC"/>
    <w:rsid w:val="00DC3135"/>
    <w:rsid w:val="00DC3176"/>
    <w:rsid w:val="00DC317D"/>
    <w:rsid w:val="00DC31A1"/>
    <w:rsid w:val="00DC31B9"/>
    <w:rsid w:val="00DC31BA"/>
    <w:rsid w:val="00DC3209"/>
    <w:rsid w:val="00DC325A"/>
    <w:rsid w:val="00DC3267"/>
    <w:rsid w:val="00DC327C"/>
    <w:rsid w:val="00DC332F"/>
    <w:rsid w:val="00DC33A1"/>
    <w:rsid w:val="00DC33A9"/>
    <w:rsid w:val="00DC33D2"/>
    <w:rsid w:val="00DC33F0"/>
    <w:rsid w:val="00DC33F4"/>
    <w:rsid w:val="00DC3403"/>
    <w:rsid w:val="00DC343D"/>
    <w:rsid w:val="00DC3465"/>
    <w:rsid w:val="00DC34A5"/>
    <w:rsid w:val="00DC34C9"/>
    <w:rsid w:val="00DC351B"/>
    <w:rsid w:val="00DC352F"/>
    <w:rsid w:val="00DC3531"/>
    <w:rsid w:val="00DC3533"/>
    <w:rsid w:val="00DC35F8"/>
    <w:rsid w:val="00DC3628"/>
    <w:rsid w:val="00DC363E"/>
    <w:rsid w:val="00DC3645"/>
    <w:rsid w:val="00DC3661"/>
    <w:rsid w:val="00DC3682"/>
    <w:rsid w:val="00DC36DB"/>
    <w:rsid w:val="00DC37B2"/>
    <w:rsid w:val="00DC3801"/>
    <w:rsid w:val="00DC3829"/>
    <w:rsid w:val="00DC3878"/>
    <w:rsid w:val="00DC3883"/>
    <w:rsid w:val="00DC38EA"/>
    <w:rsid w:val="00DC393D"/>
    <w:rsid w:val="00DC3946"/>
    <w:rsid w:val="00DC3959"/>
    <w:rsid w:val="00DC3997"/>
    <w:rsid w:val="00DC39F7"/>
    <w:rsid w:val="00DC3A13"/>
    <w:rsid w:val="00DC3AA8"/>
    <w:rsid w:val="00DC3ABB"/>
    <w:rsid w:val="00DC3AD5"/>
    <w:rsid w:val="00DC3AF6"/>
    <w:rsid w:val="00DC3AFC"/>
    <w:rsid w:val="00DC3AFE"/>
    <w:rsid w:val="00DC3B0E"/>
    <w:rsid w:val="00DC3B28"/>
    <w:rsid w:val="00DC3B4E"/>
    <w:rsid w:val="00DC3B5F"/>
    <w:rsid w:val="00DC3BEF"/>
    <w:rsid w:val="00DC3C44"/>
    <w:rsid w:val="00DC3C60"/>
    <w:rsid w:val="00DC3C6E"/>
    <w:rsid w:val="00DC3C98"/>
    <w:rsid w:val="00DC3C9B"/>
    <w:rsid w:val="00DC3CBC"/>
    <w:rsid w:val="00DC3D5F"/>
    <w:rsid w:val="00DC3D67"/>
    <w:rsid w:val="00DC3D79"/>
    <w:rsid w:val="00DC3D96"/>
    <w:rsid w:val="00DC3E03"/>
    <w:rsid w:val="00DC3E2A"/>
    <w:rsid w:val="00DC3EF3"/>
    <w:rsid w:val="00DC3F13"/>
    <w:rsid w:val="00DC3F43"/>
    <w:rsid w:val="00DC3FC7"/>
    <w:rsid w:val="00DC3FD2"/>
    <w:rsid w:val="00DC3FD9"/>
    <w:rsid w:val="00DC4039"/>
    <w:rsid w:val="00DC403D"/>
    <w:rsid w:val="00DC407D"/>
    <w:rsid w:val="00DC40A0"/>
    <w:rsid w:val="00DC40D1"/>
    <w:rsid w:val="00DC40D2"/>
    <w:rsid w:val="00DC4185"/>
    <w:rsid w:val="00DC4236"/>
    <w:rsid w:val="00DC4263"/>
    <w:rsid w:val="00DC42A8"/>
    <w:rsid w:val="00DC42BF"/>
    <w:rsid w:val="00DC42E8"/>
    <w:rsid w:val="00DC42EF"/>
    <w:rsid w:val="00DC43DE"/>
    <w:rsid w:val="00DC43DF"/>
    <w:rsid w:val="00DC4431"/>
    <w:rsid w:val="00DC4514"/>
    <w:rsid w:val="00DC4529"/>
    <w:rsid w:val="00DC455C"/>
    <w:rsid w:val="00DC45A6"/>
    <w:rsid w:val="00DC45C5"/>
    <w:rsid w:val="00DC46A9"/>
    <w:rsid w:val="00DC46B4"/>
    <w:rsid w:val="00DC46BF"/>
    <w:rsid w:val="00DC46FF"/>
    <w:rsid w:val="00DC4724"/>
    <w:rsid w:val="00DC4725"/>
    <w:rsid w:val="00DC4734"/>
    <w:rsid w:val="00DC4809"/>
    <w:rsid w:val="00DC484D"/>
    <w:rsid w:val="00DC4914"/>
    <w:rsid w:val="00DC4936"/>
    <w:rsid w:val="00DC4949"/>
    <w:rsid w:val="00DC4957"/>
    <w:rsid w:val="00DC4988"/>
    <w:rsid w:val="00DC4994"/>
    <w:rsid w:val="00DC499C"/>
    <w:rsid w:val="00DC49D6"/>
    <w:rsid w:val="00DC49EF"/>
    <w:rsid w:val="00DC4A95"/>
    <w:rsid w:val="00DC4ABD"/>
    <w:rsid w:val="00DC4B17"/>
    <w:rsid w:val="00DC4B18"/>
    <w:rsid w:val="00DC4B87"/>
    <w:rsid w:val="00DC4B8E"/>
    <w:rsid w:val="00DC4BE8"/>
    <w:rsid w:val="00DC4C02"/>
    <w:rsid w:val="00DC4C74"/>
    <w:rsid w:val="00DC4CF6"/>
    <w:rsid w:val="00DC4D2C"/>
    <w:rsid w:val="00DC4D44"/>
    <w:rsid w:val="00DC4D4D"/>
    <w:rsid w:val="00DC4D74"/>
    <w:rsid w:val="00DC4DCF"/>
    <w:rsid w:val="00DC4DD2"/>
    <w:rsid w:val="00DC4E0B"/>
    <w:rsid w:val="00DC4E24"/>
    <w:rsid w:val="00DC4E6D"/>
    <w:rsid w:val="00DC4EA9"/>
    <w:rsid w:val="00DC4F0E"/>
    <w:rsid w:val="00DC4F91"/>
    <w:rsid w:val="00DC4F93"/>
    <w:rsid w:val="00DC4FC0"/>
    <w:rsid w:val="00DC500D"/>
    <w:rsid w:val="00DC5029"/>
    <w:rsid w:val="00DC5061"/>
    <w:rsid w:val="00DC50A1"/>
    <w:rsid w:val="00DC50C8"/>
    <w:rsid w:val="00DC50D5"/>
    <w:rsid w:val="00DC50ED"/>
    <w:rsid w:val="00DC50FE"/>
    <w:rsid w:val="00DC511E"/>
    <w:rsid w:val="00DC518F"/>
    <w:rsid w:val="00DC520F"/>
    <w:rsid w:val="00DC5237"/>
    <w:rsid w:val="00DC5271"/>
    <w:rsid w:val="00DC5287"/>
    <w:rsid w:val="00DC5299"/>
    <w:rsid w:val="00DC52B9"/>
    <w:rsid w:val="00DC52DB"/>
    <w:rsid w:val="00DC531E"/>
    <w:rsid w:val="00DC5352"/>
    <w:rsid w:val="00DC53B3"/>
    <w:rsid w:val="00DC53BD"/>
    <w:rsid w:val="00DC53C0"/>
    <w:rsid w:val="00DC53EF"/>
    <w:rsid w:val="00DC53FC"/>
    <w:rsid w:val="00DC540D"/>
    <w:rsid w:val="00DC543A"/>
    <w:rsid w:val="00DC5486"/>
    <w:rsid w:val="00DC54B1"/>
    <w:rsid w:val="00DC5509"/>
    <w:rsid w:val="00DC558C"/>
    <w:rsid w:val="00DC55A2"/>
    <w:rsid w:val="00DC566D"/>
    <w:rsid w:val="00DC568C"/>
    <w:rsid w:val="00DC569D"/>
    <w:rsid w:val="00DC56FF"/>
    <w:rsid w:val="00DC574D"/>
    <w:rsid w:val="00DC57C2"/>
    <w:rsid w:val="00DC5826"/>
    <w:rsid w:val="00DC5872"/>
    <w:rsid w:val="00DC5888"/>
    <w:rsid w:val="00DC58F7"/>
    <w:rsid w:val="00DC5905"/>
    <w:rsid w:val="00DC5973"/>
    <w:rsid w:val="00DC59F8"/>
    <w:rsid w:val="00DC5AAD"/>
    <w:rsid w:val="00DC5ACA"/>
    <w:rsid w:val="00DC5AD5"/>
    <w:rsid w:val="00DC5B81"/>
    <w:rsid w:val="00DC5B8A"/>
    <w:rsid w:val="00DC5B8B"/>
    <w:rsid w:val="00DC5BA1"/>
    <w:rsid w:val="00DC5BA9"/>
    <w:rsid w:val="00DC5C03"/>
    <w:rsid w:val="00DC5C15"/>
    <w:rsid w:val="00DC5C2F"/>
    <w:rsid w:val="00DC5D4E"/>
    <w:rsid w:val="00DC5E15"/>
    <w:rsid w:val="00DC5E79"/>
    <w:rsid w:val="00DC5F2D"/>
    <w:rsid w:val="00DC5F2E"/>
    <w:rsid w:val="00DC5F43"/>
    <w:rsid w:val="00DC5F7B"/>
    <w:rsid w:val="00DC5FB5"/>
    <w:rsid w:val="00DC5FD3"/>
    <w:rsid w:val="00DC5FE5"/>
    <w:rsid w:val="00DC5FEA"/>
    <w:rsid w:val="00DC603A"/>
    <w:rsid w:val="00DC60CB"/>
    <w:rsid w:val="00DC60FC"/>
    <w:rsid w:val="00DC611D"/>
    <w:rsid w:val="00DC6147"/>
    <w:rsid w:val="00DC6150"/>
    <w:rsid w:val="00DC615B"/>
    <w:rsid w:val="00DC61C1"/>
    <w:rsid w:val="00DC61FB"/>
    <w:rsid w:val="00DC621F"/>
    <w:rsid w:val="00DC6269"/>
    <w:rsid w:val="00DC6295"/>
    <w:rsid w:val="00DC62B2"/>
    <w:rsid w:val="00DC62BC"/>
    <w:rsid w:val="00DC62C2"/>
    <w:rsid w:val="00DC62DB"/>
    <w:rsid w:val="00DC62FF"/>
    <w:rsid w:val="00DC6382"/>
    <w:rsid w:val="00DC63E6"/>
    <w:rsid w:val="00DC6448"/>
    <w:rsid w:val="00DC64AF"/>
    <w:rsid w:val="00DC64C8"/>
    <w:rsid w:val="00DC652B"/>
    <w:rsid w:val="00DC6571"/>
    <w:rsid w:val="00DC659D"/>
    <w:rsid w:val="00DC662E"/>
    <w:rsid w:val="00DC663D"/>
    <w:rsid w:val="00DC6757"/>
    <w:rsid w:val="00DC678A"/>
    <w:rsid w:val="00DC68B0"/>
    <w:rsid w:val="00DC6969"/>
    <w:rsid w:val="00DC69E4"/>
    <w:rsid w:val="00DC69F4"/>
    <w:rsid w:val="00DC6A67"/>
    <w:rsid w:val="00DC6B03"/>
    <w:rsid w:val="00DC6B0C"/>
    <w:rsid w:val="00DC6B3E"/>
    <w:rsid w:val="00DC6B42"/>
    <w:rsid w:val="00DC6B7A"/>
    <w:rsid w:val="00DC6BC9"/>
    <w:rsid w:val="00DC6BF9"/>
    <w:rsid w:val="00DC6C0F"/>
    <w:rsid w:val="00DC6C19"/>
    <w:rsid w:val="00DC6C3B"/>
    <w:rsid w:val="00DC6C77"/>
    <w:rsid w:val="00DC6CC7"/>
    <w:rsid w:val="00DC6CC9"/>
    <w:rsid w:val="00DC6CDA"/>
    <w:rsid w:val="00DC6D64"/>
    <w:rsid w:val="00DC6DF3"/>
    <w:rsid w:val="00DC6E28"/>
    <w:rsid w:val="00DC6E3E"/>
    <w:rsid w:val="00DC6E88"/>
    <w:rsid w:val="00DC6EAE"/>
    <w:rsid w:val="00DC6EDE"/>
    <w:rsid w:val="00DC6EE0"/>
    <w:rsid w:val="00DC6F03"/>
    <w:rsid w:val="00DC6F28"/>
    <w:rsid w:val="00DC6F33"/>
    <w:rsid w:val="00DC6F64"/>
    <w:rsid w:val="00DC6FD4"/>
    <w:rsid w:val="00DC6FEB"/>
    <w:rsid w:val="00DC6FF4"/>
    <w:rsid w:val="00DC6FF8"/>
    <w:rsid w:val="00DC700A"/>
    <w:rsid w:val="00DC7020"/>
    <w:rsid w:val="00DC7037"/>
    <w:rsid w:val="00DC70BC"/>
    <w:rsid w:val="00DC70D7"/>
    <w:rsid w:val="00DC70E0"/>
    <w:rsid w:val="00DC70ED"/>
    <w:rsid w:val="00DC711B"/>
    <w:rsid w:val="00DC71E3"/>
    <w:rsid w:val="00DC71FC"/>
    <w:rsid w:val="00DC7201"/>
    <w:rsid w:val="00DC7268"/>
    <w:rsid w:val="00DC726A"/>
    <w:rsid w:val="00DC72A2"/>
    <w:rsid w:val="00DC7364"/>
    <w:rsid w:val="00DC738A"/>
    <w:rsid w:val="00DC73A1"/>
    <w:rsid w:val="00DC73A4"/>
    <w:rsid w:val="00DC73B3"/>
    <w:rsid w:val="00DC73E0"/>
    <w:rsid w:val="00DC744D"/>
    <w:rsid w:val="00DC7483"/>
    <w:rsid w:val="00DC74C9"/>
    <w:rsid w:val="00DC754D"/>
    <w:rsid w:val="00DC75E6"/>
    <w:rsid w:val="00DC7603"/>
    <w:rsid w:val="00DC765A"/>
    <w:rsid w:val="00DC7671"/>
    <w:rsid w:val="00DC7674"/>
    <w:rsid w:val="00DC768D"/>
    <w:rsid w:val="00DC7704"/>
    <w:rsid w:val="00DC773B"/>
    <w:rsid w:val="00DC77C5"/>
    <w:rsid w:val="00DC77F3"/>
    <w:rsid w:val="00DC7823"/>
    <w:rsid w:val="00DC783B"/>
    <w:rsid w:val="00DC785F"/>
    <w:rsid w:val="00DC787A"/>
    <w:rsid w:val="00DC789D"/>
    <w:rsid w:val="00DC78D0"/>
    <w:rsid w:val="00DC78F3"/>
    <w:rsid w:val="00DC78F5"/>
    <w:rsid w:val="00DC7923"/>
    <w:rsid w:val="00DC792B"/>
    <w:rsid w:val="00DC7960"/>
    <w:rsid w:val="00DC7A2B"/>
    <w:rsid w:val="00DC7A4D"/>
    <w:rsid w:val="00DC7A8E"/>
    <w:rsid w:val="00DC7A97"/>
    <w:rsid w:val="00DC7AAD"/>
    <w:rsid w:val="00DC7AE9"/>
    <w:rsid w:val="00DC7AFC"/>
    <w:rsid w:val="00DC7B0E"/>
    <w:rsid w:val="00DC7B2E"/>
    <w:rsid w:val="00DC7B30"/>
    <w:rsid w:val="00DC7B62"/>
    <w:rsid w:val="00DC7BC8"/>
    <w:rsid w:val="00DC7BED"/>
    <w:rsid w:val="00DC7C17"/>
    <w:rsid w:val="00DC7C54"/>
    <w:rsid w:val="00DC7C64"/>
    <w:rsid w:val="00DC7CAB"/>
    <w:rsid w:val="00DC7CB3"/>
    <w:rsid w:val="00DC7CD6"/>
    <w:rsid w:val="00DC7CD7"/>
    <w:rsid w:val="00DC7CE4"/>
    <w:rsid w:val="00DC7D21"/>
    <w:rsid w:val="00DC7D46"/>
    <w:rsid w:val="00DC7D4E"/>
    <w:rsid w:val="00DC7D81"/>
    <w:rsid w:val="00DC7D9A"/>
    <w:rsid w:val="00DC7DFE"/>
    <w:rsid w:val="00DC7E20"/>
    <w:rsid w:val="00DC7E39"/>
    <w:rsid w:val="00DC7E6A"/>
    <w:rsid w:val="00DC7EA9"/>
    <w:rsid w:val="00DC7EFD"/>
    <w:rsid w:val="00DC7F81"/>
    <w:rsid w:val="00DC7FDA"/>
    <w:rsid w:val="00DD0066"/>
    <w:rsid w:val="00DD0079"/>
    <w:rsid w:val="00DD0087"/>
    <w:rsid w:val="00DD0096"/>
    <w:rsid w:val="00DD00BF"/>
    <w:rsid w:val="00DD00D7"/>
    <w:rsid w:val="00DD0128"/>
    <w:rsid w:val="00DD0140"/>
    <w:rsid w:val="00DD0168"/>
    <w:rsid w:val="00DD0178"/>
    <w:rsid w:val="00DD018B"/>
    <w:rsid w:val="00DD01AD"/>
    <w:rsid w:val="00DD01E8"/>
    <w:rsid w:val="00DD01F6"/>
    <w:rsid w:val="00DD0215"/>
    <w:rsid w:val="00DD022D"/>
    <w:rsid w:val="00DD025C"/>
    <w:rsid w:val="00DD0276"/>
    <w:rsid w:val="00DD02A7"/>
    <w:rsid w:val="00DD02A9"/>
    <w:rsid w:val="00DD02B0"/>
    <w:rsid w:val="00DD02EC"/>
    <w:rsid w:val="00DD02F3"/>
    <w:rsid w:val="00DD0310"/>
    <w:rsid w:val="00DD0323"/>
    <w:rsid w:val="00DD0358"/>
    <w:rsid w:val="00DD038F"/>
    <w:rsid w:val="00DD03F6"/>
    <w:rsid w:val="00DD0428"/>
    <w:rsid w:val="00DD0443"/>
    <w:rsid w:val="00DD045D"/>
    <w:rsid w:val="00DD0495"/>
    <w:rsid w:val="00DD04B1"/>
    <w:rsid w:val="00DD0501"/>
    <w:rsid w:val="00DD058D"/>
    <w:rsid w:val="00DD059D"/>
    <w:rsid w:val="00DD05EF"/>
    <w:rsid w:val="00DD0653"/>
    <w:rsid w:val="00DD0685"/>
    <w:rsid w:val="00DD06F4"/>
    <w:rsid w:val="00DD074C"/>
    <w:rsid w:val="00DD0772"/>
    <w:rsid w:val="00DD0774"/>
    <w:rsid w:val="00DD07CD"/>
    <w:rsid w:val="00DD07CE"/>
    <w:rsid w:val="00DD07D1"/>
    <w:rsid w:val="00DD0810"/>
    <w:rsid w:val="00DD083D"/>
    <w:rsid w:val="00DD08B3"/>
    <w:rsid w:val="00DD08B4"/>
    <w:rsid w:val="00DD08E7"/>
    <w:rsid w:val="00DD08F2"/>
    <w:rsid w:val="00DD096F"/>
    <w:rsid w:val="00DD0972"/>
    <w:rsid w:val="00DD0982"/>
    <w:rsid w:val="00DD0994"/>
    <w:rsid w:val="00DD09E1"/>
    <w:rsid w:val="00DD09EA"/>
    <w:rsid w:val="00DD0A33"/>
    <w:rsid w:val="00DD0A55"/>
    <w:rsid w:val="00DD0A92"/>
    <w:rsid w:val="00DD0ADB"/>
    <w:rsid w:val="00DD0B07"/>
    <w:rsid w:val="00DD0BC3"/>
    <w:rsid w:val="00DD0BDE"/>
    <w:rsid w:val="00DD0BDF"/>
    <w:rsid w:val="00DD0CD8"/>
    <w:rsid w:val="00DD0D15"/>
    <w:rsid w:val="00DD0D2B"/>
    <w:rsid w:val="00DD0D41"/>
    <w:rsid w:val="00DD0D58"/>
    <w:rsid w:val="00DD0E0A"/>
    <w:rsid w:val="00DD0E97"/>
    <w:rsid w:val="00DD0EB6"/>
    <w:rsid w:val="00DD0EFE"/>
    <w:rsid w:val="00DD0F1D"/>
    <w:rsid w:val="00DD0F5D"/>
    <w:rsid w:val="00DD0F62"/>
    <w:rsid w:val="00DD0FA3"/>
    <w:rsid w:val="00DD1050"/>
    <w:rsid w:val="00DD105D"/>
    <w:rsid w:val="00DD1076"/>
    <w:rsid w:val="00DD107C"/>
    <w:rsid w:val="00DD109F"/>
    <w:rsid w:val="00DD10A3"/>
    <w:rsid w:val="00DD10C0"/>
    <w:rsid w:val="00DD1100"/>
    <w:rsid w:val="00DD1105"/>
    <w:rsid w:val="00DD112D"/>
    <w:rsid w:val="00DD1162"/>
    <w:rsid w:val="00DD1186"/>
    <w:rsid w:val="00DD11AF"/>
    <w:rsid w:val="00DD11E4"/>
    <w:rsid w:val="00DD121E"/>
    <w:rsid w:val="00DD12C8"/>
    <w:rsid w:val="00DD12CB"/>
    <w:rsid w:val="00DD131A"/>
    <w:rsid w:val="00DD132D"/>
    <w:rsid w:val="00DD1398"/>
    <w:rsid w:val="00DD13DB"/>
    <w:rsid w:val="00DD1468"/>
    <w:rsid w:val="00DD1478"/>
    <w:rsid w:val="00DD14C3"/>
    <w:rsid w:val="00DD14C7"/>
    <w:rsid w:val="00DD14DD"/>
    <w:rsid w:val="00DD14EF"/>
    <w:rsid w:val="00DD1509"/>
    <w:rsid w:val="00DD150E"/>
    <w:rsid w:val="00DD1514"/>
    <w:rsid w:val="00DD1527"/>
    <w:rsid w:val="00DD152C"/>
    <w:rsid w:val="00DD1541"/>
    <w:rsid w:val="00DD157F"/>
    <w:rsid w:val="00DD159C"/>
    <w:rsid w:val="00DD16B4"/>
    <w:rsid w:val="00DD16BE"/>
    <w:rsid w:val="00DD16CD"/>
    <w:rsid w:val="00DD16E8"/>
    <w:rsid w:val="00DD16EE"/>
    <w:rsid w:val="00DD1728"/>
    <w:rsid w:val="00DD1750"/>
    <w:rsid w:val="00DD17A3"/>
    <w:rsid w:val="00DD17A5"/>
    <w:rsid w:val="00DD181C"/>
    <w:rsid w:val="00DD186D"/>
    <w:rsid w:val="00DD1874"/>
    <w:rsid w:val="00DD18DD"/>
    <w:rsid w:val="00DD18EB"/>
    <w:rsid w:val="00DD18EC"/>
    <w:rsid w:val="00DD1907"/>
    <w:rsid w:val="00DD191A"/>
    <w:rsid w:val="00DD1992"/>
    <w:rsid w:val="00DD19D4"/>
    <w:rsid w:val="00DD19F2"/>
    <w:rsid w:val="00DD1A12"/>
    <w:rsid w:val="00DD1A38"/>
    <w:rsid w:val="00DD1A6D"/>
    <w:rsid w:val="00DD1AA1"/>
    <w:rsid w:val="00DD1B56"/>
    <w:rsid w:val="00DD1B99"/>
    <w:rsid w:val="00DD1BDA"/>
    <w:rsid w:val="00DD1C12"/>
    <w:rsid w:val="00DD1C33"/>
    <w:rsid w:val="00DD1C47"/>
    <w:rsid w:val="00DD1CFD"/>
    <w:rsid w:val="00DD1D45"/>
    <w:rsid w:val="00DD1D86"/>
    <w:rsid w:val="00DD1DAE"/>
    <w:rsid w:val="00DD1DC7"/>
    <w:rsid w:val="00DD1E49"/>
    <w:rsid w:val="00DD1ED8"/>
    <w:rsid w:val="00DD1EDA"/>
    <w:rsid w:val="00DD1F16"/>
    <w:rsid w:val="00DD1F31"/>
    <w:rsid w:val="00DD1F66"/>
    <w:rsid w:val="00DD1F82"/>
    <w:rsid w:val="00DD1F87"/>
    <w:rsid w:val="00DD1FAE"/>
    <w:rsid w:val="00DD1FD3"/>
    <w:rsid w:val="00DD1FF2"/>
    <w:rsid w:val="00DD2022"/>
    <w:rsid w:val="00DD203B"/>
    <w:rsid w:val="00DD203E"/>
    <w:rsid w:val="00DD2090"/>
    <w:rsid w:val="00DD20AE"/>
    <w:rsid w:val="00DD20DC"/>
    <w:rsid w:val="00DD2118"/>
    <w:rsid w:val="00DD21B7"/>
    <w:rsid w:val="00DD21CC"/>
    <w:rsid w:val="00DD21D6"/>
    <w:rsid w:val="00DD21E0"/>
    <w:rsid w:val="00DD2224"/>
    <w:rsid w:val="00DD222D"/>
    <w:rsid w:val="00DD2247"/>
    <w:rsid w:val="00DD226B"/>
    <w:rsid w:val="00DD22AD"/>
    <w:rsid w:val="00DD22AF"/>
    <w:rsid w:val="00DD22E1"/>
    <w:rsid w:val="00DD22F7"/>
    <w:rsid w:val="00DD2368"/>
    <w:rsid w:val="00DD2394"/>
    <w:rsid w:val="00DD23E2"/>
    <w:rsid w:val="00DD2415"/>
    <w:rsid w:val="00DD2585"/>
    <w:rsid w:val="00DD262E"/>
    <w:rsid w:val="00DD265E"/>
    <w:rsid w:val="00DD2676"/>
    <w:rsid w:val="00DD267B"/>
    <w:rsid w:val="00DD26C4"/>
    <w:rsid w:val="00DD26C8"/>
    <w:rsid w:val="00DD26CB"/>
    <w:rsid w:val="00DD270F"/>
    <w:rsid w:val="00DD2778"/>
    <w:rsid w:val="00DD2797"/>
    <w:rsid w:val="00DD27B2"/>
    <w:rsid w:val="00DD280C"/>
    <w:rsid w:val="00DD28A3"/>
    <w:rsid w:val="00DD28AD"/>
    <w:rsid w:val="00DD290C"/>
    <w:rsid w:val="00DD2922"/>
    <w:rsid w:val="00DD2956"/>
    <w:rsid w:val="00DD297D"/>
    <w:rsid w:val="00DD299F"/>
    <w:rsid w:val="00DD29A7"/>
    <w:rsid w:val="00DD29AD"/>
    <w:rsid w:val="00DD29CF"/>
    <w:rsid w:val="00DD2A42"/>
    <w:rsid w:val="00DD2A45"/>
    <w:rsid w:val="00DD2A50"/>
    <w:rsid w:val="00DD2A5E"/>
    <w:rsid w:val="00DD2A9F"/>
    <w:rsid w:val="00DD2AA7"/>
    <w:rsid w:val="00DD2AC2"/>
    <w:rsid w:val="00DD2B36"/>
    <w:rsid w:val="00DD2BD5"/>
    <w:rsid w:val="00DD2BDE"/>
    <w:rsid w:val="00DD2C12"/>
    <w:rsid w:val="00DD2C66"/>
    <w:rsid w:val="00DD2C7F"/>
    <w:rsid w:val="00DD2CD6"/>
    <w:rsid w:val="00DD2CE1"/>
    <w:rsid w:val="00DD2D07"/>
    <w:rsid w:val="00DD2D24"/>
    <w:rsid w:val="00DD2D8B"/>
    <w:rsid w:val="00DD2D8E"/>
    <w:rsid w:val="00DD2E1A"/>
    <w:rsid w:val="00DD2E4B"/>
    <w:rsid w:val="00DD2ECA"/>
    <w:rsid w:val="00DD2EFC"/>
    <w:rsid w:val="00DD2F41"/>
    <w:rsid w:val="00DD2F49"/>
    <w:rsid w:val="00DD2F71"/>
    <w:rsid w:val="00DD2F7C"/>
    <w:rsid w:val="00DD3060"/>
    <w:rsid w:val="00DD3067"/>
    <w:rsid w:val="00DD3073"/>
    <w:rsid w:val="00DD308A"/>
    <w:rsid w:val="00DD308C"/>
    <w:rsid w:val="00DD3106"/>
    <w:rsid w:val="00DD318A"/>
    <w:rsid w:val="00DD31A0"/>
    <w:rsid w:val="00DD320E"/>
    <w:rsid w:val="00DD3212"/>
    <w:rsid w:val="00DD3251"/>
    <w:rsid w:val="00DD327F"/>
    <w:rsid w:val="00DD328A"/>
    <w:rsid w:val="00DD32F6"/>
    <w:rsid w:val="00DD334C"/>
    <w:rsid w:val="00DD336F"/>
    <w:rsid w:val="00DD33BF"/>
    <w:rsid w:val="00DD344A"/>
    <w:rsid w:val="00DD347D"/>
    <w:rsid w:val="00DD34CE"/>
    <w:rsid w:val="00DD34E2"/>
    <w:rsid w:val="00DD350F"/>
    <w:rsid w:val="00DD3527"/>
    <w:rsid w:val="00DD3584"/>
    <w:rsid w:val="00DD35B4"/>
    <w:rsid w:val="00DD35E5"/>
    <w:rsid w:val="00DD3604"/>
    <w:rsid w:val="00DD3631"/>
    <w:rsid w:val="00DD3679"/>
    <w:rsid w:val="00DD367D"/>
    <w:rsid w:val="00DD36AC"/>
    <w:rsid w:val="00DD36BF"/>
    <w:rsid w:val="00DD36F6"/>
    <w:rsid w:val="00DD37F4"/>
    <w:rsid w:val="00DD383C"/>
    <w:rsid w:val="00DD387F"/>
    <w:rsid w:val="00DD389C"/>
    <w:rsid w:val="00DD38CD"/>
    <w:rsid w:val="00DD3902"/>
    <w:rsid w:val="00DD3929"/>
    <w:rsid w:val="00DD3931"/>
    <w:rsid w:val="00DD3947"/>
    <w:rsid w:val="00DD3949"/>
    <w:rsid w:val="00DD3988"/>
    <w:rsid w:val="00DD3994"/>
    <w:rsid w:val="00DD399B"/>
    <w:rsid w:val="00DD39EC"/>
    <w:rsid w:val="00DD39F0"/>
    <w:rsid w:val="00DD39FF"/>
    <w:rsid w:val="00DD3A71"/>
    <w:rsid w:val="00DD3ABC"/>
    <w:rsid w:val="00DD3AEE"/>
    <w:rsid w:val="00DD3B3B"/>
    <w:rsid w:val="00DD3BBA"/>
    <w:rsid w:val="00DD3BC3"/>
    <w:rsid w:val="00DD3BD5"/>
    <w:rsid w:val="00DD3C12"/>
    <w:rsid w:val="00DD3C17"/>
    <w:rsid w:val="00DD3C26"/>
    <w:rsid w:val="00DD3C27"/>
    <w:rsid w:val="00DD3C7E"/>
    <w:rsid w:val="00DD3CF6"/>
    <w:rsid w:val="00DD3CFF"/>
    <w:rsid w:val="00DD3D1C"/>
    <w:rsid w:val="00DD3D3B"/>
    <w:rsid w:val="00DD3D8A"/>
    <w:rsid w:val="00DD3DBC"/>
    <w:rsid w:val="00DD3DCF"/>
    <w:rsid w:val="00DD3ECB"/>
    <w:rsid w:val="00DD3ED0"/>
    <w:rsid w:val="00DD3F5E"/>
    <w:rsid w:val="00DD3F6D"/>
    <w:rsid w:val="00DD400A"/>
    <w:rsid w:val="00DD401A"/>
    <w:rsid w:val="00DD40FB"/>
    <w:rsid w:val="00DD416E"/>
    <w:rsid w:val="00DD41AC"/>
    <w:rsid w:val="00DD41B7"/>
    <w:rsid w:val="00DD41C0"/>
    <w:rsid w:val="00DD41D7"/>
    <w:rsid w:val="00DD41E7"/>
    <w:rsid w:val="00DD4325"/>
    <w:rsid w:val="00DD4369"/>
    <w:rsid w:val="00DD436F"/>
    <w:rsid w:val="00DD43B7"/>
    <w:rsid w:val="00DD4453"/>
    <w:rsid w:val="00DD4497"/>
    <w:rsid w:val="00DD44BE"/>
    <w:rsid w:val="00DD4516"/>
    <w:rsid w:val="00DD457F"/>
    <w:rsid w:val="00DD45D3"/>
    <w:rsid w:val="00DD466A"/>
    <w:rsid w:val="00DD4676"/>
    <w:rsid w:val="00DD4695"/>
    <w:rsid w:val="00DD471A"/>
    <w:rsid w:val="00DD4721"/>
    <w:rsid w:val="00DD4750"/>
    <w:rsid w:val="00DD4760"/>
    <w:rsid w:val="00DD476D"/>
    <w:rsid w:val="00DD4772"/>
    <w:rsid w:val="00DD4808"/>
    <w:rsid w:val="00DD480D"/>
    <w:rsid w:val="00DD481A"/>
    <w:rsid w:val="00DD4860"/>
    <w:rsid w:val="00DD4861"/>
    <w:rsid w:val="00DD4865"/>
    <w:rsid w:val="00DD4895"/>
    <w:rsid w:val="00DD496F"/>
    <w:rsid w:val="00DD498D"/>
    <w:rsid w:val="00DD4999"/>
    <w:rsid w:val="00DD49FD"/>
    <w:rsid w:val="00DD4A43"/>
    <w:rsid w:val="00DD4AD1"/>
    <w:rsid w:val="00DD4AE1"/>
    <w:rsid w:val="00DD4B40"/>
    <w:rsid w:val="00DD4B7E"/>
    <w:rsid w:val="00DD4BBF"/>
    <w:rsid w:val="00DD4BFE"/>
    <w:rsid w:val="00DD4C5C"/>
    <w:rsid w:val="00DD4C74"/>
    <w:rsid w:val="00DD4CBE"/>
    <w:rsid w:val="00DD4D3F"/>
    <w:rsid w:val="00DD4D82"/>
    <w:rsid w:val="00DD4ED9"/>
    <w:rsid w:val="00DD4EDB"/>
    <w:rsid w:val="00DD4EEE"/>
    <w:rsid w:val="00DD4EF8"/>
    <w:rsid w:val="00DD4F07"/>
    <w:rsid w:val="00DD4F0A"/>
    <w:rsid w:val="00DD4FAA"/>
    <w:rsid w:val="00DD4FD4"/>
    <w:rsid w:val="00DD4FDB"/>
    <w:rsid w:val="00DD5010"/>
    <w:rsid w:val="00DD502E"/>
    <w:rsid w:val="00DD504F"/>
    <w:rsid w:val="00DD507F"/>
    <w:rsid w:val="00DD50AB"/>
    <w:rsid w:val="00DD50CE"/>
    <w:rsid w:val="00DD50F6"/>
    <w:rsid w:val="00DD5115"/>
    <w:rsid w:val="00DD52CB"/>
    <w:rsid w:val="00DD52EA"/>
    <w:rsid w:val="00DD52EC"/>
    <w:rsid w:val="00DD538E"/>
    <w:rsid w:val="00DD53BD"/>
    <w:rsid w:val="00DD53CF"/>
    <w:rsid w:val="00DD53D6"/>
    <w:rsid w:val="00DD53F1"/>
    <w:rsid w:val="00DD53F2"/>
    <w:rsid w:val="00DD5419"/>
    <w:rsid w:val="00DD54CF"/>
    <w:rsid w:val="00DD54FD"/>
    <w:rsid w:val="00DD555E"/>
    <w:rsid w:val="00DD557A"/>
    <w:rsid w:val="00DD55A6"/>
    <w:rsid w:val="00DD55DE"/>
    <w:rsid w:val="00DD5623"/>
    <w:rsid w:val="00DD564B"/>
    <w:rsid w:val="00DD56EE"/>
    <w:rsid w:val="00DD56FC"/>
    <w:rsid w:val="00DD5737"/>
    <w:rsid w:val="00DD5864"/>
    <w:rsid w:val="00DD588B"/>
    <w:rsid w:val="00DD58D1"/>
    <w:rsid w:val="00DD5915"/>
    <w:rsid w:val="00DD5920"/>
    <w:rsid w:val="00DD596B"/>
    <w:rsid w:val="00DD598F"/>
    <w:rsid w:val="00DD59CD"/>
    <w:rsid w:val="00DD59D6"/>
    <w:rsid w:val="00DD59D9"/>
    <w:rsid w:val="00DD5A16"/>
    <w:rsid w:val="00DD5A22"/>
    <w:rsid w:val="00DD5A6C"/>
    <w:rsid w:val="00DD5A86"/>
    <w:rsid w:val="00DD5A95"/>
    <w:rsid w:val="00DD5AAA"/>
    <w:rsid w:val="00DD5AB5"/>
    <w:rsid w:val="00DD5ABD"/>
    <w:rsid w:val="00DD5AC8"/>
    <w:rsid w:val="00DD5B03"/>
    <w:rsid w:val="00DD5BBB"/>
    <w:rsid w:val="00DD5BF7"/>
    <w:rsid w:val="00DD5C51"/>
    <w:rsid w:val="00DD5C5B"/>
    <w:rsid w:val="00DD5C96"/>
    <w:rsid w:val="00DD5CB0"/>
    <w:rsid w:val="00DD5D2F"/>
    <w:rsid w:val="00DD5D85"/>
    <w:rsid w:val="00DD5DBB"/>
    <w:rsid w:val="00DD5DD0"/>
    <w:rsid w:val="00DD5DEB"/>
    <w:rsid w:val="00DD5DF8"/>
    <w:rsid w:val="00DD5E7E"/>
    <w:rsid w:val="00DD5EC8"/>
    <w:rsid w:val="00DD5F32"/>
    <w:rsid w:val="00DD5F73"/>
    <w:rsid w:val="00DD5F82"/>
    <w:rsid w:val="00DD5FCC"/>
    <w:rsid w:val="00DD5FCF"/>
    <w:rsid w:val="00DD5FE8"/>
    <w:rsid w:val="00DD6021"/>
    <w:rsid w:val="00DD6027"/>
    <w:rsid w:val="00DD6107"/>
    <w:rsid w:val="00DD617F"/>
    <w:rsid w:val="00DD6198"/>
    <w:rsid w:val="00DD61CE"/>
    <w:rsid w:val="00DD61EB"/>
    <w:rsid w:val="00DD622B"/>
    <w:rsid w:val="00DD625D"/>
    <w:rsid w:val="00DD6278"/>
    <w:rsid w:val="00DD62B4"/>
    <w:rsid w:val="00DD62E0"/>
    <w:rsid w:val="00DD62E3"/>
    <w:rsid w:val="00DD62ED"/>
    <w:rsid w:val="00DD62FA"/>
    <w:rsid w:val="00DD633E"/>
    <w:rsid w:val="00DD6357"/>
    <w:rsid w:val="00DD635C"/>
    <w:rsid w:val="00DD642C"/>
    <w:rsid w:val="00DD6439"/>
    <w:rsid w:val="00DD643D"/>
    <w:rsid w:val="00DD6479"/>
    <w:rsid w:val="00DD64AA"/>
    <w:rsid w:val="00DD6521"/>
    <w:rsid w:val="00DD655C"/>
    <w:rsid w:val="00DD65F3"/>
    <w:rsid w:val="00DD661F"/>
    <w:rsid w:val="00DD6636"/>
    <w:rsid w:val="00DD6699"/>
    <w:rsid w:val="00DD66A7"/>
    <w:rsid w:val="00DD66B4"/>
    <w:rsid w:val="00DD66DD"/>
    <w:rsid w:val="00DD6705"/>
    <w:rsid w:val="00DD6788"/>
    <w:rsid w:val="00DD67A2"/>
    <w:rsid w:val="00DD6813"/>
    <w:rsid w:val="00DD6855"/>
    <w:rsid w:val="00DD689C"/>
    <w:rsid w:val="00DD68F7"/>
    <w:rsid w:val="00DD690D"/>
    <w:rsid w:val="00DD6954"/>
    <w:rsid w:val="00DD6958"/>
    <w:rsid w:val="00DD699D"/>
    <w:rsid w:val="00DD69AD"/>
    <w:rsid w:val="00DD69C4"/>
    <w:rsid w:val="00DD6A10"/>
    <w:rsid w:val="00DD6A17"/>
    <w:rsid w:val="00DD6A26"/>
    <w:rsid w:val="00DD6A30"/>
    <w:rsid w:val="00DD6A4B"/>
    <w:rsid w:val="00DD6A4E"/>
    <w:rsid w:val="00DD6A60"/>
    <w:rsid w:val="00DD6AD7"/>
    <w:rsid w:val="00DD6AF9"/>
    <w:rsid w:val="00DD6B09"/>
    <w:rsid w:val="00DD6B17"/>
    <w:rsid w:val="00DD6B60"/>
    <w:rsid w:val="00DD6B74"/>
    <w:rsid w:val="00DD6B9A"/>
    <w:rsid w:val="00DD6BA8"/>
    <w:rsid w:val="00DD6C0C"/>
    <w:rsid w:val="00DD6C2E"/>
    <w:rsid w:val="00DD6C61"/>
    <w:rsid w:val="00DD6C88"/>
    <w:rsid w:val="00DD6CBC"/>
    <w:rsid w:val="00DD6CCB"/>
    <w:rsid w:val="00DD6CDC"/>
    <w:rsid w:val="00DD6D09"/>
    <w:rsid w:val="00DD6D15"/>
    <w:rsid w:val="00DD6D91"/>
    <w:rsid w:val="00DD6DCF"/>
    <w:rsid w:val="00DD6E6C"/>
    <w:rsid w:val="00DD6EDE"/>
    <w:rsid w:val="00DD6F65"/>
    <w:rsid w:val="00DD6F9E"/>
    <w:rsid w:val="00DD6FD1"/>
    <w:rsid w:val="00DD6FF9"/>
    <w:rsid w:val="00DD6FFD"/>
    <w:rsid w:val="00DD701D"/>
    <w:rsid w:val="00DD7036"/>
    <w:rsid w:val="00DD70D8"/>
    <w:rsid w:val="00DD7137"/>
    <w:rsid w:val="00DD7188"/>
    <w:rsid w:val="00DD71D4"/>
    <w:rsid w:val="00DD71DE"/>
    <w:rsid w:val="00DD71FD"/>
    <w:rsid w:val="00DD723E"/>
    <w:rsid w:val="00DD7269"/>
    <w:rsid w:val="00DD72FB"/>
    <w:rsid w:val="00DD7381"/>
    <w:rsid w:val="00DD7420"/>
    <w:rsid w:val="00DD7422"/>
    <w:rsid w:val="00DD7495"/>
    <w:rsid w:val="00DD74A6"/>
    <w:rsid w:val="00DD74EA"/>
    <w:rsid w:val="00DD7553"/>
    <w:rsid w:val="00DD7585"/>
    <w:rsid w:val="00DD75E8"/>
    <w:rsid w:val="00DD763E"/>
    <w:rsid w:val="00DD7641"/>
    <w:rsid w:val="00DD7672"/>
    <w:rsid w:val="00DD7678"/>
    <w:rsid w:val="00DD7698"/>
    <w:rsid w:val="00DD76E9"/>
    <w:rsid w:val="00DD7741"/>
    <w:rsid w:val="00DD7742"/>
    <w:rsid w:val="00DD774B"/>
    <w:rsid w:val="00DD776D"/>
    <w:rsid w:val="00DD77AB"/>
    <w:rsid w:val="00DD77C5"/>
    <w:rsid w:val="00DD7834"/>
    <w:rsid w:val="00DD7889"/>
    <w:rsid w:val="00DD796F"/>
    <w:rsid w:val="00DD79DD"/>
    <w:rsid w:val="00DD79DE"/>
    <w:rsid w:val="00DD7A23"/>
    <w:rsid w:val="00DD7A7A"/>
    <w:rsid w:val="00DD7AA2"/>
    <w:rsid w:val="00DD7ACD"/>
    <w:rsid w:val="00DD7AD7"/>
    <w:rsid w:val="00DD7AF3"/>
    <w:rsid w:val="00DD7B1F"/>
    <w:rsid w:val="00DD7B27"/>
    <w:rsid w:val="00DD7BAD"/>
    <w:rsid w:val="00DD7CB1"/>
    <w:rsid w:val="00DD7D09"/>
    <w:rsid w:val="00DD7D2E"/>
    <w:rsid w:val="00DD7D9B"/>
    <w:rsid w:val="00DD7DD2"/>
    <w:rsid w:val="00DD7E43"/>
    <w:rsid w:val="00DD7EBF"/>
    <w:rsid w:val="00DD7EF7"/>
    <w:rsid w:val="00DD7F07"/>
    <w:rsid w:val="00DD7F12"/>
    <w:rsid w:val="00DD7F29"/>
    <w:rsid w:val="00DD7FD6"/>
    <w:rsid w:val="00DE00C3"/>
    <w:rsid w:val="00DE0106"/>
    <w:rsid w:val="00DE0122"/>
    <w:rsid w:val="00DE0181"/>
    <w:rsid w:val="00DE01AF"/>
    <w:rsid w:val="00DE023D"/>
    <w:rsid w:val="00DE0253"/>
    <w:rsid w:val="00DE0270"/>
    <w:rsid w:val="00DE02B8"/>
    <w:rsid w:val="00DE02C4"/>
    <w:rsid w:val="00DE02DA"/>
    <w:rsid w:val="00DE02DB"/>
    <w:rsid w:val="00DE02E1"/>
    <w:rsid w:val="00DE034E"/>
    <w:rsid w:val="00DE036D"/>
    <w:rsid w:val="00DE03AE"/>
    <w:rsid w:val="00DE03C7"/>
    <w:rsid w:val="00DE03F9"/>
    <w:rsid w:val="00DE041C"/>
    <w:rsid w:val="00DE0480"/>
    <w:rsid w:val="00DE04C7"/>
    <w:rsid w:val="00DE04E0"/>
    <w:rsid w:val="00DE04E5"/>
    <w:rsid w:val="00DE04FA"/>
    <w:rsid w:val="00DE04FD"/>
    <w:rsid w:val="00DE050A"/>
    <w:rsid w:val="00DE05BC"/>
    <w:rsid w:val="00DE05EF"/>
    <w:rsid w:val="00DE063C"/>
    <w:rsid w:val="00DE06A4"/>
    <w:rsid w:val="00DE06DA"/>
    <w:rsid w:val="00DE0706"/>
    <w:rsid w:val="00DE0718"/>
    <w:rsid w:val="00DE07F5"/>
    <w:rsid w:val="00DE07F9"/>
    <w:rsid w:val="00DE086B"/>
    <w:rsid w:val="00DE08AB"/>
    <w:rsid w:val="00DE08F3"/>
    <w:rsid w:val="00DE09BD"/>
    <w:rsid w:val="00DE09D3"/>
    <w:rsid w:val="00DE09EE"/>
    <w:rsid w:val="00DE0A0F"/>
    <w:rsid w:val="00DE0A69"/>
    <w:rsid w:val="00DE0AD5"/>
    <w:rsid w:val="00DE0B2C"/>
    <w:rsid w:val="00DE0B5C"/>
    <w:rsid w:val="00DE0BBD"/>
    <w:rsid w:val="00DE0BDB"/>
    <w:rsid w:val="00DE0C06"/>
    <w:rsid w:val="00DE0C0F"/>
    <w:rsid w:val="00DE0C6F"/>
    <w:rsid w:val="00DE0CB8"/>
    <w:rsid w:val="00DE0CE0"/>
    <w:rsid w:val="00DE0D89"/>
    <w:rsid w:val="00DE0DF8"/>
    <w:rsid w:val="00DE0E91"/>
    <w:rsid w:val="00DE0ECC"/>
    <w:rsid w:val="00DE0EDD"/>
    <w:rsid w:val="00DE0F28"/>
    <w:rsid w:val="00DE0F35"/>
    <w:rsid w:val="00DE0F65"/>
    <w:rsid w:val="00DE0F7D"/>
    <w:rsid w:val="00DE0F8D"/>
    <w:rsid w:val="00DE0F9E"/>
    <w:rsid w:val="00DE0FA5"/>
    <w:rsid w:val="00DE0FE2"/>
    <w:rsid w:val="00DE1010"/>
    <w:rsid w:val="00DE105A"/>
    <w:rsid w:val="00DE1076"/>
    <w:rsid w:val="00DE110D"/>
    <w:rsid w:val="00DE110F"/>
    <w:rsid w:val="00DE1145"/>
    <w:rsid w:val="00DE126D"/>
    <w:rsid w:val="00DE12C3"/>
    <w:rsid w:val="00DE12D6"/>
    <w:rsid w:val="00DE12E6"/>
    <w:rsid w:val="00DE1331"/>
    <w:rsid w:val="00DE1335"/>
    <w:rsid w:val="00DE134E"/>
    <w:rsid w:val="00DE1384"/>
    <w:rsid w:val="00DE13D8"/>
    <w:rsid w:val="00DE13EA"/>
    <w:rsid w:val="00DE13EF"/>
    <w:rsid w:val="00DE1401"/>
    <w:rsid w:val="00DE1428"/>
    <w:rsid w:val="00DE143E"/>
    <w:rsid w:val="00DE144B"/>
    <w:rsid w:val="00DE14F1"/>
    <w:rsid w:val="00DE15A7"/>
    <w:rsid w:val="00DE1610"/>
    <w:rsid w:val="00DE1635"/>
    <w:rsid w:val="00DE16A8"/>
    <w:rsid w:val="00DE16D5"/>
    <w:rsid w:val="00DE1711"/>
    <w:rsid w:val="00DE1729"/>
    <w:rsid w:val="00DE175C"/>
    <w:rsid w:val="00DE17A0"/>
    <w:rsid w:val="00DE17AC"/>
    <w:rsid w:val="00DE17BD"/>
    <w:rsid w:val="00DE1828"/>
    <w:rsid w:val="00DE1842"/>
    <w:rsid w:val="00DE185D"/>
    <w:rsid w:val="00DE187D"/>
    <w:rsid w:val="00DE187F"/>
    <w:rsid w:val="00DE18CC"/>
    <w:rsid w:val="00DE195D"/>
    <w:rsid w:val="00DE19B6"/>
    <w:rsid w:val="00DE19D4"/>
    <w:rsid w:val="00DE19DB"/>
    <w:rsid w:val="00DE1A31"/>
    <w:rsid w:val="00DE1A38"/>
    <w:rsid w:val="00DE1A43"/>
    <w:rsid w:val="00DE1A56"/>
    <w:rsid w:val="00DE1A8D"/>
    <w:rsid w:val="00DE1A96"/>
    <w:rsid w:val="00DE1B26"/>
    <w:rsid w:val="00DE1B37"/>
    <w:rsid w:val="00DE1BA9"/>
    <w:rsid w:val="00DE1BB2"/>
    <w:rsid w:val="00DE1BE8"/>
    <w:rsid w:val="00DE1C1D"/>
    <w:rsid w:val="00DE1C31"/>
    <w:rsid w:val="00DE1CA1"/>
    <w:rsid w:val="00DE1D0D"/>
    <w:rsid w:val="00DE1D36"/>
    <w:rsid w:val="00DE1D5B"/>
    <w:rsid w:val="00DE1DC2"/>
    <w:rsid w:val="00DE1DC4"/>
    <w:rsid w:val="00DE1DF7"/>
    <w:rsid w:val="00DE1E02"/>
    <w:rsid w:val="00DE1E2B"/>
    <w:rsid w:val="00DE1ED2"/>
    <w:rsid w:val="00DE1ED7"/>
    <w:rsid w:val="00DE1F32"/>
    <w:rsid w:val="00DE1FCC"/>
    <w:rsid w:val="00DE1FF6"/>
    <w:rsid w:val="00DE2004"/>
    <w:rsid w:val="00DE200B"/>
    <w:rsid w:val="00DE201F"/>
    <w:rsid w:val="00DE203D"/>
    <w:rsid w:val="00DE209B"/>
    <w:rsid w:val="00DE213B"/>
    <w:rsid w:val="00DE21B0"/>
    <w:rsid w:val="00DE21B6"/>
    <w:rsid w:val="00DE223D"/>
    <w:rsid w:val="00DE2270"/>
    <w:rsid w:val="00DE22A6"/>
    <w:rsid w:val="00DE22AD"/>
    <w:rsid w:val="00DE22EB"/>
    <w:rsid w:val="00DE22FF"/>
    <w:rsid w:val="00DE233D"/>
    <w:rsid w:val="00DE2381"/>
    <w:rsid w:val="00DE23E1"/>
    <w:rsid w:val="00DE240B"/>
    <w:rsid w:val="00DE2440"/>
    <w:rsid w:val="00DE2462"/>
    <w:rsid w:val="00DE2482"/>
    <w:rsid w:val="00DE249A"/>
    <w:rsid w:val="00DE24A1"/>
    <w:rsid w:val="00DE24C6"/>
    <w:rsid w:val="00DE24E1"/>
    <w:rsid w:val="00DE2516"/>
    <w:rsid w:val="00DE2584"/>
    <w:rsid w:val="00DE25AC"/>
    <w:rsid w:val="00DE25B9"/>
    <w:rsid w:val="00DE25C7"/>
    <w:rsid w:val="00DE26B9"/>
    <w:rsid w:val="00DE26C1"/>
    <w:rsid w:val="00DE26C3"/>
    <w:rsid w:val="00DE26DE"/>
    <w:rsid w:val="00DE2712"/>
    <w:rsid w:val="00DE2733"/>
    <w:rsid w:val="00DE273B"/>
    <w:rsid w:val="00DE2743"/>
    <w:rsid w:val="00DE2768"/>
    <w:rsid w:val="00DE276C"/>
    <w:rsid w:val="00DE277B"/>
    <w:rsid w:val="00DE277D"/>
    <w:rsid w:val="00DE2787"/>
    <w:rsid w:val="00DE27A6"/>
    <w:rsid w:val="00DE27CC"/>
    <w:rsid w:val="00DE2851"/>
    <w:rsid w:val="00DE2854"/>
    <w:rsid w:val="00DE2966"/>
    <w:rsid w:val="00DE2970"/>
    <w:rsid w:val="00DE2979"/>
    <w:rsid w:val="00DE2980"/>
    <w:rsid w:val="00DE2991"/>
    <w:rsid w:val="00DE29F6"/>
    <w:rsid w:val="00DE29F7"/>
    <w:rsid w:val="00DE2AA2"/>
    <w:rsid w:val="00DE2AE9"/>
    <w:rsid w:val="00DE2B63"/>
    <w:rsid w:val="00DE2B74"/>
    <w:rsid w:val="00DE2B8C"/>
    <w:rsid w:val="00DE2B90"/>
    <w:rsid w:val="00DE2C59"/>
    <w:rsid w:val="00DE2C8D"/>
    <w:rsid w:val="00DE2C8F"/>
    <w:rsid w:val="00DE2CB9"/>
    <w:rsid w:val="00DE2CDA"/>
    <w:rsid w:val="00DE2D14"/>
    <w:rsid w:val="00DE2D34"/>
    <w:rsid w:val="00DE2D53"/>
    <w:rsid w:val="00DE2DD7"/>
    <w:rsid w:val="00DE2DDA"/>
    <w:rsid w:val="00DE2E18"/>
    <w:rsid w:val="00DE2E26"/>
    <w:rsid w:val="00DE2E4E"/>
    <w:rsid w:val="00DE2F4C"/>
    <w:rsid w:val="00DE2FAF"/>
    <w:rsid w:val="00DE2FE2"/>
    <w:rsid w:val="00DE2FF2"/>
    <w:rsid w:val="00DE305A"/>
    <w:rsid w:val="00DE307B"/>
    <w:rsid w:val="00DE30AD"/>
    <w:rsid w:val="00DE30FF"/>
    <w:rsid w:val="00DE3101"/>
    <w:rsid w:val="00DE310A"/>
    <w:rsid w:val="00DE310E"/>
    <w:rsid w:val="00DE3117"/>
    <w:rsid w:val="00DE3148"/>
    <w:rsid w:val="00DE317D"/>
    <w:rsid w:val="00DE31A9"/>
    <w:rsid w:val="00DE31B8"/>
    <w:rsid w:val="00DE31D8"/>
    <w:rsid w:val="00DE321E"/>
    <w:rsid w:val="00DE3222"/>
    <w:rsid w:val="00DE3226"/>
    <w:rsid w:val="00DE324C"/>
    <w:rsid w:val="00DE3281"/>
    <w:rsid w:val="00DE32A8"/>
    <w:rsid w:val="00DE32AF"/>
    <w:rsid w:val="00DE3335"/>
    <w:rsid w:val="00DE3338"/>
    <w:rsid w:val="00DE3365"/>
    <w:rsid w:val="00DE3390"/>
    <w:rsid w:val="00DE33B8"/>
    <w:rsid w:val="00DE33F2"/>
    <w:rsid w:val="00DE33F6"/>
    <w:rsid w:val="00DE33F8"/>
    <w:rsid w:val="00DE3433"/>
    <w:rsid w:val="00DE343E"/>
    <w:rsid w:val="00DE3460"/>
    <w:rsid w:val="00DE3470"/>
    <w:rsid w:val="00DE3472"/>
    <w:rsid w:val="00DE3494"/>
    <w:rsid w:val="00DE34C4"/>
    <w:rsid w:val="00DE34F2"/>
    <w:rsid w:val="00DE360C"/>
    <w:rsid w:val="00DE3614"/>
    <w:rsid w:val="00DE361D"/>
    <w:rsid w:val="00DE3644"/>
    <w:rsid w:val="00DE3662"/>
    <w:rsid w:val="00DE368D"/>
    <w:rsid w:val="00DE3691"/>
    <w:rsid w:val="00DE369F"/>
    <w:rsid w:val="00DE372C"/>
    <w:rsid w:val="00DE3781"/>
    <w:rsid w:val="00DE37B8"/>
    <w:rsid w:val="00DE37D5"/>
    <w:rsid w:val="00DE381E"/>
    <w:rsid w:val="00DE382D"/>
    <w:rsid w:val="00DE3851"/>
    <w:rsid w:val="00DE3865"/>
    <w:rsid w:val="00DE388F"/>
    <w:rsid w:val="00DE38AA"/>
    <w:rsid w:val="00DE38C5"/>
    <w:rsid w:val="00DE38F3"/>
    <w:rsid w:val="00DE3978"/>
    <w:rsid w:val="00DE398B"/>
    <w:rsid w:val="00DE39AF"/>
    <w:rsid w:val="00DE39B5"/>
    <w:rsid w:val="00DE3A20"/>
    <w:rsid w:val="00DE3A26"/>
    <w:rsid w:val="00DE3A3D"/>
    <w:rsid w:val="00DE3A62"/>
    <w:rsid w:val="00DE3B29"/>
    <w:rsid w:val="00DE3B37"/>
    <w:rsid w:val="00DE3BB3"/>
    <w:rsid w:val="00DE3BCB"/>
    <w:rsid w:val="00DE3BDD"/>
    <w:rsid w:val="00DE3CB3"/>
    <w:rsid w:val="00DE3CCD"/>
    <w:rsid w:val="00DE3D01"/>
    <w:rsid w:val="00DE3D84"/>
    <w:rsid w:val="00DE3DAA"/>
    <w:rsid w:val="00DE3DCF"/>
    <w:rsid w:val="00DE3E03"/>
    <w:rsid w:val="00DE3E46"/>
    <w:rsid w:val="00DE3E9A"/>
    <w:rsid w:val="00DE3EF9"/>
    <w:rsid w:val="00DE3F13"/>
    <w:rsid w:val="00DE3F16"/>
    <w:rsid w:val="00DE3F4E"/>
    <w:rsid w:val="00DE3FC6"/>
    <w:rsid w:val="00DE402A"/>
    <w:rsid w:val="00DE4084"/>
    <w:rsid w:val="00DE4094"/>
    <w:rsid w:val="00DE41B9"/>
    <w:rsid w:val="00DE41BA"/>
    <w:rsid w:val="00DE421D"/>
    <w:rsid w:val="00DE4275"/>
    <w:rsid w:val="00DE42AF"/>
    <w:rsid w:val="00DE42C1"/>
    <w:rsid w:val="00DE42ED"/>
    <w:rsid w:val="00DE431F"/>
    <w:rsid w:val="00DE4338"/>
    <w:rsid w:val="00DE433F"/>
    <w:rsid w:val="00DE4362"/>
    <w:rsid w:val="00DE4372"/>
    <w:rsid w:val="00DE4382"/>
    <w:rsid w:val="00DE440A"/>
    <w:rsid w:val="00DE4456"/>
    <w:rsid w:val="00DE447B"/>
    <w:rsid w:val="00DE4486"/>
    <w:rsid w:val="00DE448F"/>
    <w:rsid w:val="00DE4491"/>
    <w:rsid w:val="00DE44BD"/>
    <w:rsid w:val="00DE456C"/>
    <w:rsid w:val="00DE45CC"/>
    <w:rsid w:val="00DE45D1"/>
    <w:rsid w:val="00DE45DB"/>
    <w:rsid w:val="00DE45F5"/>
    <w:rsid w:val="00DE4619"/>
    <w:rsid w:val="00DE4624"/>
    <w:rsid w:val="00DE4666"/>
    <w:rsid w:val="00DE46BD"/>
    <w:rsid w:val="00DE46CB"/>
    <w:rsid w:val="00DE473F"/>
    <w:rsid w:val="00DE4795"/>
    <w:rsid w:val="00DE479A"/>
    <w:rsid w:val="00DE47B7"/>
    <w:rsid w:val="00DE47EA"/>
    <w:rsid w:val="00DE4884"/>
    <w:rsid w:val="00DE48D6"/>
    <w:rsid w:val="00DE4902"/>
    <w:rsid w:val="00DE491D"/>
    <w:rsid w:val="00DE4921"/>
    <w:rsid w:val="00DE4995"/>
    <w:rsid w:val="00DE49AF"/>
    <w:rsid w:val="00DE49B8"/>
    <w:rsid w:val="00DE4A1F"/>
    <w:rsid w:val="00DE4A46"/>
    <w:rsid w:val="00DE4A5F"/>
    <w:rsid w:val="00DE4A66"/>
    <w:rsid w:val="00DE4A81"/>
    <w:rsid w:val="00DE4AB3"/>
    <w:rsid w:val="00DE4AB5"/>
    <w:rsid w:val="00DE4B50"/>
    <w:rsid w:val="00DE4B65"/>
    <w:rsid w:val="00DE4B9D"/>
    <w:rsid w:val="00DE4BAB"/>
    <w:rsid w:val="00DE4BCF"/>
    <w:rsid w:val="00DE4BD4"/>
    <w:rsid w:val="00DE4C18"/>
    <w:rsid w:val="00DE4C48"/>
    <w:rsid w:val="00DE4CB2"/>
    <w:rsid w:val="00DE4CC6"/>
    <w:rsid w:val="00DE4CEA"/>
    <w:rsid w:val="00DE4CEE"/>
    <w:rsid w:val="00DE4D03"/>
    <w:rsid w:val="00DE4D1F"/>
    <w:rsid w:val="00DE4DC3"/>
    <w:rsid w:val="00DE4DF3"/>
    <w:rsid w:val="00DE4DF9"/>
    <w:rsid w:val="00DE4E4F"/>
    <w:rsid w:val="00DE4E55"/>
    <w:rsid w:val="00DE4E92"/>
    <w:rsid w:val="00DE4EA6"/>
    <w:rsid w:val="00DE4EA8"/>
    <w:rsid w:val="00DE4ECC"/>
    <w:rsid w:val="00DE4ED6"/>
    <w:rsid w:val="00DE4EDE"/>
    <w:rsid w:val="00DE4F11"/>
    <w:rsid w:val="00DE4FF1"/>
    <w:rsid w:val="00DE5040"/>
    <w:rsid w:val="00DE5077"/>
    <w:rsid w:val="00DE50A0"/>
    <w:rsid w:val="00DE5139"/>
    <w:rsid w:val="00DE5151"/>
    <w:rsid w:val="00DE5187"/>
    <w:rsid w:val="00DE5196"/>
    <w:rsid w:val="00DE519B"/>
    <w:rsid w:val="00DE51BD"/>
    <w:rsid w:val="00DE51C8"/>
    <w:rsid w:val="00DE51D0"/>
    <w:rsid w:val="00DE51F4"/>
    <w:rsid w:val="00DE51FF"/>
    <w:rsid w:val="00DE5215"/>
    <w:rsid w:val="00DE5219"/>
    <w:rsid w:val="00DE5281"/>
    <w:rsid w:val="00DE52B0"/>
    <w:rsid w:val="00DE52CC"/>
    <w:rsid w:val="00DE52EB"/>
    <w:rsid w:val="00DE5360"/>
    <w:rsid w:val="00DE53A5"/>
    <w:rsid w:val="00DE5435"/>
    <w:rsid w:val="00DE546F"/>
    <w:rsid w:val="00DE5491"/>
    <w:rsid w:val="00DE54A0"/>
    <w:rsid w:val="00DE54B2"/>
    <w:rsid w:val="00DE54BC"/>
    <w:rsid w:val="00DE54E2"/>
    <w:rsid w:val="00DE556A"/>
    <w:rsid w:val="00DE5578"/>
    <w:rsid w:val="00DE558D"/>
    <w:rsid w:val="00DE55B4"/>
    <w:rsid w:val="00DE55EB"/>
    <w:rsid w:val="00DE561C"/>
    <w:rsid w:val="00DE563B"/>
    <w:rsid w:val="00DE5656"/>
    <w:rsid w:val="00DE5677"/>
    <w:rsid w:val="00DE567F"/>
    <w:rsid w:val="00DE5714"/>
    <w:rsid w:val="00DE571A"/>
    <w:rsid w:val="00DE574C"/>
    <w:rsid w:val="00DE576F"/>
    <w:rsid w:val="00DE5774"/>
    <w:rsid w:val="00DE57AB"/>
    <w:rsid w:val="00DE587F"/>
    <w:rsid w:val="00DE58A9"/>
    <w:rsid w:val="00DE5935"/>
    <w:rsid w:val="00DE5938"/>
    <w:rsid w:val="00DE5945"/>
    <w:rsid w:val="00DE59C5"/>
    <w:rsid w:val="00DE59D9"/>
    <w:rsid w:val="00DE5A00"/>
    <w:rsid w:val="00DE5A7C"/>
    <w:rsid w:val="00DE5AF6"/>
    <w:rsid w:val="00DE5B1B"/>
    <w:rsid w:val="00DE5B37"/>
    <w:rsid w:val="00DE5B48"/>
    <w:rsid w:val="00DE5B4C"/>
    <w:rsid w:val="00DE5B5D"/>
    <w:rsid w:val="00DE5B83"/>
    <w:rsid w:val="00DE5BBB"/>
    <w:rsid w:val="00DE5BC2"/>
    <w:rsid w:val="00DE5BE8"/>
    <w:rsid w:val="00DE5C53"/>
    <w:rsid w:val="00DE5D87"/>
    <w:rsid w:val="00DE5DD1"/>
    <w:rsid w:val="00DE5E09"/>
    <w:rsid w:val="00DE5E44"/>
    <w:rsid w:val="00DE5E88"/>
    <w:rsid w:val="00DE5EAC"/>
    <w:rsid w:val="00DE5F20"/>
    <w:rsid w:val="00DE5F27"/>
    <w:rsid w:val="00DE5F6A"/>
    <w:rsid w:val="00DE5F81"/>
    <w:rsid w:val="00DE5FAD"/>
    <w:rsid w:val="00DE6037"/>
    <w:rsid w:val="00DE6078"/>
    <w:rsid w:val="00DE60C9"/>
    <w:rsid w:val="00DE60CF"/>
    <w:rsid w:val="00DE6132"/>
    <w:rsid w:val="00DE613A"/>
    <w:rsid w:val="00DE629F"/>
    <w:rsid w:val="00DE62F0"/>
    <w:rsid w:val="00DE6301"/>
    <w:rsid w:val="00DE632A"/>
    <w:rsid w:val="00DE632D"/>
    <w:rsid w:val="00DE634B"/>
    <w:rsid w:val="00DE6388"/>
    <w:rsid w:val="00DE638A"/>
    <w:rsid w:val="00DE6422"/>
    <w:rsid w:val="00DE6470"/>
    <w:rsid w:val="00DE647B"/>
    <w:rsid w:val="00DE6480"/>
    <w:rsid w:val="00DE64D1"/>
    <w:rsid w:val="00DE655A"/>
    <w:rsid w:val="00DE657C"/>
    <w:rsid w:val="00DE6591"/>
    <w:rsid w:val="00DE65B8"/>
    <w:rsid w:val="00DE662D"/>
    <w:rsid w:val="00DE6633"/>
    <w:rsid w:val="00DE6657"/>
    <w:rsid w:val="00DE6661"/>
    <w:rsid w:val="00DE66A7"/>
    <w:rsid w:val="00DE66BF"/>
    <w:rsid w:val="00DE66CB"/>
    <w:rsid w:val="00DE66F4"/>
    <w:rsid w:val="00DE673D"/>
    <w:rsid w:val="00DE6746"/>
    <w:rsid w:val="00DE67A0"/>
    <w:rsid w:val="00DE67C3"/>
    <w:rsid w:val="00DE67D1"/>
    <w:rsid w:val="00DE67FD"/>
    <w:rsid w:val="00DE6837"/>
    <w:rsid w:val="00DE6893"/>
    <w:rsid w:val="00DE68B2"/>
    <w:rsid w:val="00DE68E3"/>
    <w:rsid w:val="00DE68E5"/>
    <w:rsid w:val="00DE691C"/>
    <w:rsid w:val="00DE69BB"/>
    <w:rsid w:val="00DE6A38"/>
    <w:rsid w:val="00DE6A4A"/>
    <w:rsid w:val="00DE6A81"/>
    <w:rsid w:val="00DE6A8A"/>
    <w:rsid w:val="00DE6A8F"/>
    <w:rsid w:val="00DE6AD5"/>
    <w:rsid w:val="00DE6AEB"/>
    <w:rsid w:val="00DE6B55"/>
    <w:rsid w:val="00DE6B65"/>
    <w:rsid w:val="00DE6BC1"/>
    <w:rsid w:val="00DE6BC4"/>
    <w:rsid w:val="00DE6BCE"/>
    <w:rsid w:val="00DE6C1C"/>
    <w:rsid w:val="00DE6CFD"/>
    <w:rsid w:val="00DE6D2E"/>
    <w:rsid w:val="00DE6E53"/>
    <w:rsid w:val="00DE6E78"/>
    <w:rsid w:val="00DE6E7E"/>
    <w:rsid w:val="00DE6F06"/>
    <w:rsid w:val="00DE6F22"/>
    <w:rsid w:val="00DE6F48"/>
    <w:rsid w:val="00DE6F52"/>
    <w:rsid w:val="00DE6F71"/>
    <w:rsid w:val="00DE6F74"/>
    <w:rsid w:val="00DE6FCC"/>
    <w:rsid w:val="00DE7024"/>
    <w:rsid w:val="00DE7067"/>
    <w:rsid w:val="00DE70C2"/>
    <w:rsid w:val="00DE70CD"/>
    <w:rsid w:val="00DE70D6"/>
    <w:rsid w:val="00DE70E1"/>
    <w:rsid w:val="00DE70FA"/>
    <w:rsid w:val="00DE7128"/>
    <w:rsid w:val="00DE7153"/>
    <w:rsid w:val="00DE716B"/>
    <w:rsid w:val="00DE71D2"/>
    <w:rsid w:val="00DE722A"/>
    <w:rsid w:val="00DE725A"/>
    <w:rsid w:val="00DE7268"/>
    <w:rsid w:val="00DE728B"/>
    <w:rsid w:val="00DE7342"/>
    <w:rsid w:val="00DE7344"/>
    <w:rsid w:val="00DE734B"/>
    <w:rsid w:val="00DE734C"/>
    <w:rsid w:val="00DE73AA"/>
    <w:rsid w:val="00DE73EE"/>
    <w:rsid w:val="00DE73F7"/>
    <w:rsid w:val="00DE7421"/>
    <w:rsid w:val="00DE7433"/>
    <w:rsid w:val="00DE7497"/>
    <w:rsid w:val="00DE74B0"/>
    <w:rsid w:val="00DE74B2"/>
    <w:rsid w:val="00DE74BE"/>
    <w:rsid w:val="00DE74CF"/>
    <w:rsid w:val="00DE7518"/>
    <w:rsid w:val="00DE753D"/>
    <w:rsid w:val="00DE753F"/>
    <w:rsid w:val="00DE7551"/>
    <w:rsid w:val="00DE757D"/>
    <w:rsid w:val="00DE7606"/>
    <w:rsid w:val="00DE7639"/>
    <w:rsid w:val="00DE76AA"/>
    <w:rsid w:val="00DE7715"/>
    <w:rsid w:val="00DE7731"/>
    <w:rsid w:val="00DE774D"/>
    <w:rsid w:val="00DE7752"/>
    <w:rsid w:val="00DE7771"/>
    <w:rsid w:val="00DE77E6"/>
    <w:rsid w:val="00DE780A"/>
    <w:rsid w:val="00DE7822"/>
    <w:rsid w:val="00DE7854"/>
    <w:rsid w:val="00DE78AB"/>
    <w:rsid w:val="00DE78E4"/>
    <w:rsid w:val="00DE7903"/>
    <w:rsid w:val="00DE7955"/>
    <w:rsid w:val="00DE7963"/>
    <w:rsid w:val="00DE79B1"/>
    <w:rsid w:val="00DE79D1"/>
    <w:rsid w:val="00DE7A06"/>
    <w:rsid w:val="00DE7A2B"/>
    <w:rsid w:val="00DE7A30"/>
    <w:rsid w:val="00DE7A47"/>
    <w:rsid w:val="00DE7A6F"/>
    <w:rsid w:val="00DE7AD6"/>
    <w:rsid w:val="00DE7AF3"/>
    <w:rsid w:val="00DE7B91"/>
    <w:rsid w:val="00DE7B9A"/>
    <w:rsid w:val="00DE7BA7"/>
    <w:rsid w:val="00DE7BCC"/>
    <w:rsid w:val="00DE7C32"/>
    <w:rsid w:val="00DE7C63"/>
    <w:rsid w:val="00DE7CF0"/>
    <w:rsid w:val="00DE7CF4"/>
    <w:rsid w:val="00DE7D07"/>
    <w:rsid w:val="00DE7D91"/>
    <w:rsid w:val="00DE7DE7"/>
    <w:rsid w:val="00DE7DF8"/>
    <w:rsid w:val="00DE7E0F"/>
    <w:rsid w:val="00DE7F1F"/>
    <w:rsid w:val="00DE7F24"/>
    <w:rsid w:val="00DE7F42"/>
    <w:rsid w:val="00DE7FB3"/>
    <w:rsid w:val="00DE7FD0"/>
    <w:rsid w:val="00DF0050"/>
    <w:rsid w:val="00DF006E"/>
    <w:rsid w:val="00DF00C7"/>
    <w:rsid w:val="00DF00CA"/>
    <w:rsid w:val="00DF00DE"/>
    <w:rsid w:val="00DF00F9"/>
    <w:rsid w:val="00DF0126"/>
    <w:rsid w:val="00DF01E4"/>
    <w:rsid w:val="00DF0202"/>
    <w:rsid w:val="00DF025A"/>
    <w:rsid w:val="00DF0272"/>
    <w:rsid w:val="00DF02C8"/>
    <w:rsid w:val="00DF02EB"/>
    <w:rsid w:val="00DF0331"/>
    <w:rsid w:val="00DF0381"/>
    <w:rsid w:val="00DF0386"/>
    <w:rsid w:val="00DF03A2"/>
    <w:rsid w:val="00DF03AC"/>
    <w:rsid w:val="00DF03B6"/>
    <w:rsid w:val="00DF03C8"/>
    <w:rsid w:val="00DF03C9"/>
    <w:rsid w:val="00DF0426"/>
    <w:rsid w:val="00DF0468"/>
    <w:rsid w:val="00DF048A"/>
    <w:rsid w:val="00DF049C"/>
    <w:rsid w:val="00DF04EC"/>
    <w:rsid w:val="00DF04F3"/>
    <w:rsid w:val="00DF04F7"/>
    <w:rsid w:val="00DF0509"/>
    <w:rsid w:val="00DF0560"/>
    <w:rsid w:val="00DF0573"/>
    <w:rsid w:val="00DF0576"/>
    <w:rsid w:val="00DF05B3"/>
    <w:rsid w:val="00DF05E5"/>
    <w:rsid w:val="00DF05EB"/>
    <w:rsid w:val="00DF05FD"/>
    <w:rsid w:val="00DF063A"/>
    <w:rsid w:val="00DF0669"/>
    <w:rsid w:val="00DF073F"/>
    <w:rsid w:val="00DF0747"/>
    <w:rsid w:val="00DF077B"/>
    <w:rsid w:val="00DF07B2"/>
    <w:rsid w:val="00DF07CB"/>
    <w:rsid w:val="00DF0801"/>
    <w:rsid w:val="00DF0842"/>
    <w:rsid w:val="00DF088F"/>
    <w:rsid w:val="00DF08EF"/>
    <w:rsid w:val="00DF0974"/>
    <w:rsid w:val="00DF098D"/>
    <w:rsid w:val="00DF098E"/>
    <w:rsid w:val="00DF09E9"/>
    <w:rsid w:val="00DF0A21"/>
    <w:rsid w:val="00DF0A2B"/>
    <w:rsid w:val="00DF0A6F"/>
    <w:rsid w:val="00DF0A7C"/>
    <w:rsid w:val="00DF0A8C"/>
    <w:rsid w:val="00DF0B22"/>
    <w:rsid w:val="00DF0C13"/>
    <w:rsid w:val="00DF0C71"/>
    <w:rsid w:val="00DF0C79"/>
    <w:rsid w:val="00DF0C83"/>
    <w:rsid w:val="00DF0C9B"/>
    <w:rsid w:val="00DF0C9C"/>
    <w:rsid w:val="00DF0CB4"/>
    <w:rsid w:val="00DF0CDD"/>
    <w:rsid w:val="00DF0CDF"/>
    <w:rsid w:val="00DF0D0A"/>
    <w:rsid w:val="00DF0D12"/>
    <w:rsid w:val="00DF0D21"/>
    <w:rsid w:val="00DF0D24"/>
    <w:rsid w:val="00DF0D94"/>
    <w:rsid w:val="00DF0D9F"/>
    <w:rsid w:val="00DF0DCE"/>
    <w:rsid w:val="00DF0DF8"/>
    <w:rsid w:val="00DF0E4C"/>
    <w:rsid w:val="00DF0E8A"/>
    <w:rsid w:val="00DF0EA4"/>
    <w:rsid w:val="00DF0EC1"/>
    <w:rsid w:val="00DF0EE5"/>
    <w:rsid w:val="00DF0EEB"/>
    <w:rsid w:val="00DF0F2A"/>
    <w:rsid w:val="00DF0F79"/>
    <w:rsid w:val="00DF0FA9"/>
    <w:rsid w:val="00DF0FB2"/>
    <w:rsid w:val="00DF0FD4"/>
    <w:rsid w:val="00DF0FDA"/>
    <w:rsid w:val="00DF0FF1"/>
    <w:rsid w:val="00DF1044"/>
    <w:rsid w:val="00DF104D"/>
    <w:rsid w:val="00DF105D"/>
    <w:rsid w:val="00DF1096"/>
    <w:rsid w:val="00DF10DC"/>
    <w:rsid w:val="00DF1127"/>
    <w:rsid w:val="00DF112C"/>
    <w:rsid w:val="00DF1155"/>
    <w:rsid w:val="00DF1208"/>
    <w:rsid w:val="00DF120F"/>
    <w:rsid w:val="00DF121D"/>
    <w:rsid w:val="00DF1245"/>
    <w:rsid w:val="00DF1299"/>
    <w:rsid w:val="00DF129D"/>
    <w:rsid w:val="00DF12F9"/>
    <w:rsid w:val="00DF1340"/>
    <w:rsid w:val="00DF135F"/>
    <w:rsid w:val="00DF13BE"/>
    <w:rsid w:val="00DF13E0"/>
    <w:rsid w:val="00DF143F"/>
    <w:rsid w:val="00DF14B6"/>
    <w:rsid w:val="00DF14C4"/>
    <w:rsid w:val="00DF14D1"/>
    <w:rsid w:val="00DF1528"/>
    <w:rsid w:val="00DF1537"/>
    <w:rsid w:val="00DF155D"/>
    <w:rsid w:val="00DF1592"/>
    <w:rsid w:val="00DF15CD"/>
    <w:rsid w:val="00DF15DF"/>
    <w:rsid w:val="00DF1628"/>
    <w:rsid w:val="00DF1641"/>
    <w:rsid w:val="00DF1655"/>
    <w:rsid w:val="00DF16AC"/>
    <w:rsid w:val="00DF16AD"/>
    <w:rsid w:val="00DF170D"/>
    <w:rsid w:val="00DF1718"/>
    <w:rsid w:val="00DF171A"/>
    <w:rsid w:val="00DF1721"/>
    <w:rsid w:val="00DF1770"/>
    <w:rsid w:val="00DF17CB"/>
    <w:rsid w:val="00DF17F0"/>
    <w:rsid w:val="00DF183E"/>
    <w:rsid w:val="00DF1843"/>
    <w:rsid w:val="00DF185D"/>
    <w:rsid w:val="00DF1894"/>
    <w:rsid w:val="00DF189C"/>
    <w:rsid w:val="00DF1901"/>
    <w:rsid w:val="00DF1933"/>
    <w:rsid w:val="00DF194D"/>
    <w:rsid w:val="00DF1973"/>
    <w:rsid w:val="00DF1983"/>
    <w:rsid w:val="00DF198A"/>
    <w:rsid w:val="00DF19A3"/>
    <w:rsid w:val="00DF19B2"/>
    <w:rsid w:val="00DF1A46"/>
    <w:rsid w:val="00DF1A52"/>
    <w:rsid w:val="00DF1B13"/>
    <w:rsid w:val="00DF1B31"/>
    <w:rsid w:val="00DF1B39"/>
    <w:rsid w:val="00DF1B44"/>
    <w:rsid w:val="00DF1B4A"/>
    <w:rsid w:val="00DF1B6B"/>
    <w:rsid w:val="00DF1BDC"/>
    <w:rsid w:val="00DF1C70"/>
    <w:rsid w:val="00DF1C8F"/>
    <w:rsid w:val="00DF1CA6"/>
    <w:rsid w:val="00DF1CB0"/>
    <w:rsid w:val="00DF1CC3"/>
    <w:rsid w:val="00DF1CF7"/>
    <w:rsid w:val="00DF1D33"/>
    <w:rsid w:val="00DF1D7F"/>
    <w:rsid w:val="00DF1D95"/>
    <w:rsid w:val="00DF1E02"/>
    <w:rsid w:val="00DF1E18"/>
    <w:rsid w:val="00DF1E3A"/>
    <w:rsid w:val="00DF1E3F"/>
    <w:rsid w:val="00DF1E4F"/>
    <w:rsid w:val="00DF1E57"/>
    <w:rsid w:val="00DF1E5F"/>
    <w:rsid w:val="00DF1E65"/>
    <w:rsid w:val="00DF1E91"/>
    <w:rsid w:val="00DF1EA0"/>
    <w:rsid w:val="00DF1EC3"/>
    <w:rsid w:val="00DF1EC4"/>
    <w:rsid w:val="00DF1F0F"/>
    <w:rsid w:val="00DF1F3B"/>
    <w:rsid w:val="00DF2028"/>
    <w:rsid w:val="00DF2033"/>
    <w:rsid w:val="00DF2055"/>
    <w:rsid w:val="00DF207B"/>
    <w:rsid w:val="00DF20BB"/>
    <w:rsid w:val="00DF2123"/>
    <w:rsid w:val="00DF21A9"/>
    <w:rsid w:val="00DF21AC"/>
    <w:rsid w:val="00DF21B6"/>
    <w:rsid w:val="00DF21DD"/>
    <w:rsid w:val="00DF2212"/>
    <w:rsid w:val="00DF221D"/>
    <w:rsid w:val="00DF226D"/>
    <w:rsid w:val="00DF22AE"/>
    <w:rsid w:val="00DF22FC"/>
    <w:rsid w:val="00DF238C"/>
    <w:rsid w:val="00DF23F3"/>
    <w:rsid w:val="00DF2401"/>
    <w:rsid w:val="00DF2431"/>
    <w:rsid w:val="00DF24A2"/>
    <w:rsid w:val="00DF24B7"/>
    <w:rsid w:val="00DF24D1"/>
    <w:rsid w:val="00DF24FB"/>
    <w:rsid w:val="00DF255D"/>
    <w:rsid w:val="00DF2569"/>
    <w:rsid w:val="00DF256E"/>
    <w:rsid w:val="00DF2617"/>
    <w:rsid w:val="00DF261A"/>
    <w:rsid w:val="00DF2629"/>
    <w:rsid w:val="00DF2656"/>
    <w:rsid w:val="00DF2665"/>
    <w:rsid w:val="00DF26AF"/>
    <w:rsid w:val="00DF26E4"/>
    <w:rsid w:val="00DF26E7"/>
    <w:rsid w:val="00DF2721"/>
    <w:rsid w:val="00DF2741"/>
    <w:rsid w:val="00DF274E"/>
    <w:rsid w:val="00DF276D"/>
    <w:rsid w:val="00DF276F"/>
    <w:rsid w:val="00DF27B2"/>
    <w:rsid w:val="00DF27EC"/>
    <w:rsid w:val="00DF282A"/>
    <w:rsid w:val="00DF28F1"/>
    <w:rsid w:val="00DF2920"/>
    <w:rsid w:val="00DF2950"/>
    <w:rsid w:val="00DF2958"/>
    <w:rsid w:val="00DF295F"/>
    <w:rsid w:val="00DF2964"/>
    <w:rsid w:val="00DF296A"/>
    <w:rsid w:val="00DF2984"/>
    <w:rsid w:val="00DF29A5"/>
    <w:rsid w:val="00DF29CF"/>
    <w:rsid w:val="00DF29DF"/>
    <w:rsid w:val="00DF2A56"/>
    <w:rsid w:val="00DF2AC8"/>
    <w:rsid w:val="00DF2AFD"/>
    <w:rsid w:val="00DF2B01"/>
    <w:rsid w:val="00DF2B24"/>
    <w:rsid w:val="00DF2B71"/>
    <w:rsid w:val="00DF2B7A"/>
    <w:rsid w:val="00DF2B8E"/>
    <w:rsid w:val="00DF2BAF"/>
    <w:rsid w:val="00DF2C05"/>
    <w:rsid w:val="00DF2C22"/>
    <w:rsid w:val="00DF2C2F"/>
    <w:rsid w:val="00DF2C64"/>
    <w:rsid w:val="00DF2C69"/>
    <w:rsid w:val="00DF2C75"/>
    <w:rsid w:val="00DF2CBE"/>
    <w:rsid w:val="00DF2CD0"/>
    <w:rsid w:val="00DF2D30"/>
    <w:rsid w:val="00DF2DD3"/>
    <w:rsid w:val="00DF2E0F"/>
    <w:rsid w:val="00DF2E41"/>
    <w:rsid w:val="00DF2E4C"/>
    <w:rsid w:val="00DF2E52"/>
    <w:rsid w:val="00DF2E9F"/>
    <w:rsid w:val="00DF2EC2"/>
    <w:rsid w:val="00DF2ED2"/>
    <w:rsid w:val="00DF2F1D"/>
    <w:rsid w:val="00DF2FBC"/>
    <w:rsid w:val="00DF2FFA"/>
    <w:rsid w:val="00DF301C"/>
    <w:rsid w:val="00DF304C"/>
    <w:rsid w:val="00DF306D"/>
    <w:rsid w:val="00DF30CB"/>
    <w:rsid w:val="00DF3114"/>
    <w:rsid w:val="00DF31B3"/>
    <w:rsid w:val="00DF31FA"/>
    <w:rsid w:val="00DF31FC"/>
    <w:rsid w:val="00DF3208"/>
    <w:rsid w:val="00DF325C"/>
    <w:rsid w:val="00DF32BD"/>
    <w:rsid w:val="00DF3302"/>
    <w:rsid w:val="00DF331A"/>
    <w:rsid w:val="00DF3327"/>
    <w:rsid w:val="00DF3369"/>
    <w:rsid w:val="00DF33D0"/>
    <w:rsid w:val="00DF33EF"/>
    <w:rsid w:val="00DF3424"/>
    <w:rsid w:val="00DF343F"/>
    <w:rsid w:val="00DF344C"/>
    <w:rsid w:val="00DF355F"/>
    <w:rsid w:val="00DF3562"/>
    <w:rsid w:val="00DF358F"/>
    <w:rsid w:val="00DF35C7"/>
    <w:rsid w:val="00DF35E3"/>
    <w:rsid w:val="00DF365E"/>
    <w:rsid w:val="00DF3670"/>
    <w:rsid w:val="00DF368E"/>
    <w:rsid w:val="00DF36AF"/>
    <w:rsid w:val="00DF36B0"/>
    <w:rsid w:val="00DF36CB"/>
    <w:rsid w:val="00DF36CF"/>
    <w:rsid w:val="00DF36D7"/>
    <w:rsid w:val="00DF376B"/>
    <w:rsid w:val="00DF378D"/>
    <w:rsid w:val="00DF379C"/>
    <w:rsid w:val="00DF37D2"/>
    <w:rsid w:val="00DF37ED"/>
    <w:rsid w:val="00DF37FA"/>
    <w:rsid w:val="00DF3813"/>
    <w:rsid w:val="00DF386D"/>
    <w:rsid w:val="00DF389B"/>
    <w:rsid w:val="00DF38D5"/>
    <w:rsid w:val="00DF3941"/>
    <w:rsid w:val="00DF3952"/>
    <w:rsid w:val="00DF3967"/>
    <w:rsid w:val="00DF3985"/>
    <w:rsid w:val="00DF3A00"/>
    <w:rsid w:val="00DF3A52"/>
    <w:rsid w:val="00DF3ADA"/>
    <w:rsid w:val="00DF3AE5"/>
    <w:rsid w:val="00DF3AF5"/>
    <w:rsid w:val="00DF3B11"/>
    <w:rsid w:val="00DF3B8C"/>
    <w:rsid w:val="00DF3BBE"/>
    <w:rsid w:val="00DF3C09"/>
    <w:rsid w:val="00DF3C22"/>
    <w:rsid w:val="00DF3C29"/>
    <w:rsid w:val="00DF3C58"/>
    <w:rsid w:val="00DF3C60"/>
    <w:rsid w:val="00DF3C84"/>
    <w:rsid w:val="00DF3DA3"/>
    <w:rsid w:val="00DF3DA9"/>
    <w:rsid w:val="00DF3DBE"/>
    <w:rsid w:val="00DF3DCE"/>
    <w:rsid w:val="00DF3DFE"/>
    <w:rsid w:val="00DF3E26"/>
    <w:rsid w:val="00DF3F8B"/>
    <w:rsid w:val="00DF3FD0"/>
    <w:rsid w:val="00DF4009"/>
    <w:rsid w:val="00DF4031"/>
    <w:rsid w:val="00DF4087"/>
    <w:rsid w:val="00DF409E"/>
    <w:rsid w:val="00DF40D4"/>
    <w:rsid w:val="00DF40DC"/>
    <w:rsid w:val="00DF411E"/>
    <w:rsid w:val="00DF4231"/>
    <w:rsid w:val="00DF42B0"/>
    <w:rsid w:val="00DF42C6"/>
    <w:rsid w:val="00DF42D3"/>
    <w:rsid w:val="00DF42EA"/>
    <w:rsid w:val="00DF431C"/>
    <w:rsid w:val="00DF437B"/>
    <w:rsid w:val="00DF439C"/>
    <w:rsid w:val="00DF43BC"/>
    <w:rsid w:val="00DF43E5"/>
    <w:rsid w:val="00DF44AD"/>
    <w:rsid w:val="00DF45D1"/>
    <w:rsid w:val="00DF45D6"/>
    <w:rsid w:val="00DF45F9"/>
    <w:rsid w:val="00DF4674"/>
    <w:rsid w:val="00DF470F"/>
    <w:rsid w:val="00DF4776"/>
    <w:rsid w:val="00DF48E3"/>
    <w:rsid w:val="00DF48E7"/>
    <w:rsid w:val="00DF48E9"/>
    <w:rsid w:val="00DF492F"/>
    <w:rsid w:val="00DF496F"/>
    <w:rsid w:val="00DF49F3"/>
    <w:rsid w:val="00DF49F8"/>
    <w:rsid w:val="00DF4A00"/>
    <w:rsid w:val="00DF4A9E"/>
    <w:rsid w:val="00DF4AB4"/>
    <w:rsid w:val="00DF4B1F"/>
    <w:rsid w:val="00DF4B2A"/>
    <w:rsid w:val="00DF4B58"/>
    <w:rsid w:val="00DF4BB4"/>
    <w:rsid w:val="00DF4BCE"/>
    <w:rsid w:val="00DF4C17"/>
    <w:rsid w:val="00DF4C52"/>
    <w:rsid w:val="00DF4C87"/>
    <w:rsid w:val="00DF4CF2"/>
    <w:rsid w:val="00DF4D00"/>
    <w:rsid w:val="00DF4D68"/>
    <w:rsid w:val="00DF4DCD"/>
    <w:rsid w:val="00DF4DCE"/>
    <w:rsid w:val="00DF4E43"/>
    <w:rsid w:val="00DF4E8E"/>
    <w:rsid w:val="00DF4E8F"/>
    <w:rsid w:val="00DF4F3C"/>
    <w:rsid w:val="00DF4F90"/>
    <w:rsid w:val="00DF4FA0"/>
    <w:rsid w:val="00DF4FA4"/>
    <w:rsid w:val="00DF4FDD"/>
    <w:rsid w:val="00DF5077"/>
    <w:rsid w:val="00DF5086"/>
    <w:rsid w:val="00DF50B2"/>
    <w:rsid w:val="00DF50C3"/>
    <w:rsid w:val="00DF50FD"/>
    <w:rsid w:val="00DF518D"/>
    <w:rsid w:val="00DF51D1"/>
    <w:rsid w:val="00DF51D5"/>
    <w:rsid w:val="00DF51E1"/>
    <w:rsid w:val="00DF522D"/>
    <w:rsid w:val="00DF523B"/>
    <w:rsid w:val="00DF5261"/>
    <w:rsid w:val="00DF5268"/>
    <w:rsid w:val="00DF5280"/>
    <w:rsid w:val="00DF52B5"/>
    <w:rsid w:val="00DF52B7"/>
    <w:rsid w:val="00DF52BB"/>
    <w:rsid w:val="00DF5301"/>
    <w:rsid w:val="00DF5370"/>
    <w:rsid w:val="00DF538B"/>
    <w:rsid w:val="00DF53B2"/>
    <w:rsid w:val="00DF53EE"/>
    <w:rsid w:val="00DF5408"/>
    <w:rsid w:val="00DF5409"/>
    <w:rsid w:val="00DF5492"/>
    <w:rsid w:val="00DF5495"/>
    <w:rsid w:val="00DF54C0"/>
    <w:rsid w:val="00DF54FE"/>
    <w:rsid w:val="00DF55D6"/>
    <w:rsid w:val="00DF55F4"/>
    <w:rsid w:val="00DF5608"/>
    <w:rsid w:val="00DF560E"/>
    <w:rsid w:val="00DF56D6"/>
    <w:rsid w:val="00DF5708"/>
    <w:rsid w:val="00DF5718"/>
    <w:rsid w:val="00DF571C"/>
    <w:rsid w:val="00DF577D"/>
    <w:rsid w:val="00DF578F"/>
    <w:rsid w:val="00DF5816"/>
    <w:rsid w:val="00DF585E"/>
    <w:rsid w:val="00DF5896"/>
    <w:rsid w:val="00DF58A4"/>
    <w:rsid w:val="00DF590B"/>
    <w:rsid w:val="00DF594A"/>
    <w:rsid w:val="00DF59C5"/>
    <w:rsid w:val="00DF59E0"/>
    <w:rsid w:val="00DF5AAA"/>
    <w:rsid w:val="00DF5B2C"/>
    <w:rsid w:val="00DF5B34"/>
    <w:rsid w:val="00DF5B42"/>
    <w:rsid w:val="00DF5BEB"/>
    <w:rsid w:val="00DF5BEF"/>
    <w:rsid w:val="00DF5C30"/>
    <w:rsid w:val="00DF5C58"/>
    <w:rsid w:val="00DF5C6D"/>
    <w:rsid w:val="00DF5C73"/>
    <w:rsid w:val="00DF5CA4"/>
    <w:rsid w:val="00DF5D07"/>
    <w:rsid w:val="00DF5D59"/>
    <w:rsid w:val="00DF5D76"/>
    <w:rsid w:val="00DF5DC3"/>
    <w:rsid w:val="00DF5DEB"/>
    <w:rsid w:val="00DF5DF8"/>
    <w:rsid w:val="00DF5EB4"/>
    <w:rsid w:val="00DF5EEE"/>
    <w:rsid w:val="00DF5F07"/>
    <w:rsid w:val="00DF5F11"/>
    <w:rsid w:val="00DF5F20"/>
    <w:rsid w:val="00DF5F81"/>
    <w:rsid w:val="00DF5F86"/>
    <w:rsid w:val="00DF5F8E"/>
    <w:rsid w:val="00DF5FA8"/>
    <w:rsid w:val="00DF5FAC"/>
    <w:rsid w:val="00DF601E"/>
    <w:rsid w:val="00DF604C"/>
    <w:rsid w:val="00DF605F"/>
    <w:rsid w:val="00DF6069"/>
    <w:rsid w:val="00DF60B5"/>
    <w:rsid w:val="00DF60D0"/>
    <w:rsid w:val="00DF6141"/>
    <w:rsid w:val="00DF6144"/>
    <w:rsid w:val="00DF6158"/>
    <w:rsid w:val="00DF61A1"/>
    <w:rsid w:val="00DF61F5"/>
    <w:rsid w:val="00DF620C"/>
    <w:rsid w:val="00DF621E"/>
    <w:rsid w:val="00DF6231"/>
    <w:rsid w:val="00DF624E"/>
    <w:rsid w:val="00DF6354"/>
    <w:rsid w:val="00DF6360"/>
    <w:rsid w:val="00DF6367"/>
    <w:rsid w:val="00DF6376"/>
    <w:rsid w:val="00DF6389"/>
    <w:rsid w:val="00DF6398"/>
    <w:rsid w:val="00DF63D6"/>
    <w:rsid w:val="00DF64F9"/>
    <w:rsid w:val="00DF6523"/>
    <w:rsid w:val="00DF658F"/>
    <w:rsid w:val="00DF6594"/>
    <w:rsid w:val="00DF65AD"/>
    <w:rsid w:val="00DF65B0"/>
    <w:rsid w:val="00DF65F0"/>
    <w:rsid w:val="00DF6644"/>
    <w:rsid w:val="00DF665A"/>
    <w:rsid w:val="00DF6695"/>
    <w:rsid w:val="00DF66D6"/>
    <w:rsid w:val="00DF66DE"/>
    <w:rsid w:val="00DF6787"/>
    <w:rsid w:val="00DF67F9"/>
    <w:rsid w:val="00DF6832"/>
    <w:rsid w:val="00DF687B"/>
    <w:rsid w:val="00DF68BE"/>
    <w:rsid w:val="00DF68CD"/>
    <w:rsid w:val="00DF68D3"/>
    <w:rsid w:val="00DF68F2"/>
    <w:rsid w:val="00DF6952"/>
    <w:rsid w:val="00DF69BB"/>
    <w:rsid w:val="00DF6A1E"/>
    <w:rsid w:val="00DF6A28"/>
    <w:rsid w:val="00DF6A3D"/>
    <w:rsid w:val="00DF6A6A"/>
    <w:rsid w:val="00DF6AB0"/>
    <w:rsid w:val="00DF6AC1"/>
    <w:rsid w:val="00DF6AEC"/>
    <w:rsid w:val="00DF6AF3"/>
    <w:rsid w:val="00DF6B15"/>
    <w:rsid w:val="00DF6B3F"/>
    <w:rsid w:val="00DF6B89"/>
    <w:rsid w:val="00DF6BB2"/>
    <w:rsid w:val="00DF6BF6"/>
    <w:rsid w:val="00DF6C59"/>
    <w:rsid w:val="00DF6C7F"/>
    <w:rsid w:val="00DF6CF7"/>
    <w:rsid w:val="00DF6D06"/>
    <w:rsid w:val="00DF6DAA"/>
    <w:rsid w:val="00DF6E23"/>
    <w:rsid w:val="00DF6E6A"/>
    <w:rsid w:val="00DF6E8B"/>
    <w:rsid w:val="00DF6ECC"/>
    <w:rsid w:val="00DF6ECD"/>
    <w:rsid w:val="00DF6EEA"/>
    <w:rsid w:val="00DF6F1E"/>
    <w:rsid w:val="00DF6F2A"/>
    <w:rsid w:val="00DF6F34"/>
    <w:rsid w:val="00DF6F56"/>
    <w:rsid w:val="00DF6F60"/>
    <w:rsid w:val="00DF6F79"/>
    <w:rsid w:val="00DF6F9B"/>
    <w:rsid w:val="00DF6FBA"/>
    <w:rsid w:val="00DF6FBD"/>
    <w:rsid w:val="00DF7005"/>
    <w:rsid w:val="00DF7056"/>
    <w:rsid w:val="00DF7059"/>
    <w:rsid w:val="00DF70C8"/>
    <w:rsid w:val="00DF70FF"/>
    <w:rsid w:val="00DF7100"/>
    <w:rsid w:val="00DF7129"/>
    <w:rsid w:val="00DF714C"/>
    <w:rsid w:val="00DF71D9"/>
    <w:rsid w:val="00DF71EF"/>
    <w:rsid w:val="00DF7256"/>
    <w:rsid w:val="00DF7272"/>
    <w:rsid w:val="00DF728D"/>
    <w:rsid w:val="00DF72A9"/>
    <w:rsid w:val="00DF72EA"/>
    <w:rsid w:val="00DF72FA"/>
    <w:rsid w:val="00DF7333"/>
    <w:rsid w:val="00DF742C"/>
    <w:rsid w:val="00DF745D"/>
    <w:rsid w:val="00DF74A6"/>
    <w:rsid w:val="00DF74C1"/>
    <w:rsid w:val="00DF74DD"/>
    <w:rsid w:val="00DF7576"/>
    <w:rsid w:val="00DF7580"/>
    <w:rsid w:val="00DF7590"/>
    <w:rsid w:val="00DF75A7"/>
    <w:rsid w:val="00DF75A9"/>
    <w:rsid w:val="00DF75BB"/>
    <w:rsid w:val="00DF75DA"/>
    <w:rsid w:val="00DF75DB"/>
    <w:rsid w:val="00DF75FF"/>
    <w:rsid w:val="00DF7639"/>
    <w:rsid w:val="00DF766F"/>
    <w:rsid w:val="00DF769E"/>
    <w:rsid w:val="00DF769F"/>
    <w:rsid w:val="00DF76A9"/>
    <w:rsid w:val="00DF76F5"/>
    <w:rsid w:val="00DF7759"/>
    <w:rsid w:val="00DF7760"/>
    <w:rsid w:val="00DF77C5"/>
    <w:rsid w:val="00DF783A"/>
    <w:rsid w:val="00DF785B"/>
    <w:rsid w:val="00DF7865"/>
    <w:rsid w:val="00DF78A9"/>
    <w:rsid w:val="00DF78BF"/>
    <w:rsid w:val="00DF790C"/>
    <w:rsid w:val="00DF79F4"/>
    <w:rsid w:val="00DF7A33"/>
    <w:rsid w:val="00DF7A68"/>
    <w:rsid w:val="00DF7A88"/>
    <w:rsid w:val="00DF7A8E"/>
    <w:rsid w:val="00DF7A92"/>
    <w:rsid w:val="00DF7B16"/>
    <w:rsid w:val="00DF7B27"/>
    <w:rsid w:val="00DF7B34"/>
    <w:rsid w:val="00DF7B56"/>
    <w:rsid w:val="00DF7B5A"/>
    <w:rsid w:val="00DF7B65"/>
    <w:rsid w:val="00DF7B99"/>
    <w:rsid w:val="00DF7B9D"/>
    <w:rsid w:val="00DF7BA3"/>
    <w:rsid w:val="00DF7BB2"/>
    <w:rsid w:val="00DF7BB4"/>
    <w:rsid w:val="00DF7BD3"/>
    <w:rsid w:val="00DF7C0F"/>
    <w:rsid w:val="00DF7C4A"/>
    <w:rsid w:val="00DF7C5B"/>
    <w:rsid w:val="00DF7C5F"/>
    <w:rsid w:val="00DF7C6B"/>
    <w:rsid w:val="00DF7C9B"/>
    <w:rsid w:val="00DF7CA6"/>
    <w:rsid w:val="00DF7CC7"/>
    <w:rsid w:val="00DF7CD2"/>
    <w:rsid w:val="00DF7CF9"/>
    <w:rsid w:val="00DF7CFC"/>
    <w:rsid w:val="00DF7D6D"/>
    <w:rsid w:val="00DF7D86"/>
    <w:rsid w:val="00DF7D9B"/>
    <w:rsid w:val="00DF7DBC"/>
    <w:rsid w:val="00DF7DDB"/>
    <w:rsid w:val="00DF7DE8"/>
    <w:rsid w:val="00DF7E78"/>
    <w:rsid w:val="00DF7E7F"/>
    <w:rsid w:val="00DF7EC1"/>
    <w:rsid w:val="00DF7F5E"/>
    <w:rsid w:val="00DF7F62"/>
    <w:rsid w:val="00DF7FAA"/>
    <w:rsid w:val="00DF7FBB"/>
    <w:rsid w:val="00DF7FCF"/>
    <w:rsid w:val="00E00057"/>
    <w:rsid w:val="00E0012E"/>
    <w:rsid w:val="00E0014A"/>
    <w:rsid w:val="00E0014B"/>
    <w:rsid w:val="00E00161"/>
    <w:rsid w:val="00E00192"/>
    <w:rsid w:val="00E001B6"/>
    <w:rsid w:val="00E001CB"/>
    <w:rsid w:val="00E001EE"/>
    <w:rsid w:val="00E0024F"/>
    <w:rsid w:val="00E00264"/>
    <w:rsid w:val="00E0027C"/>
    <w:rsid w:val="00E002B9"/>
    <w:rsid w:val="00E00336"/>
    <w:rsid w:val="00E00386"/>
    <w:rsid w:val="00E0038B"/>
    <w:rsid w:val="00E003B7"/>
    <w:rsid w:val="00E00416"/>
    <w:rsid w:val="00E00471"/>
    <w:rsid w:val="00E00486"/>
    <w:rsid w:val="00E0049D"/>
    <w:rsid w:val="00E004A4"/>
    <w:rsid w:val="00E004B2"/>
    <w:rsid w:val="00E004BA"/>
    <w:rsid w:val="00E004DA"/>
    <w:rsid w:val="00E0052B"/>
    <w:rsid w:val="00E0057C"/>
    <w:rsid w:val="00E00587"/>
    <w:rsid w:val="00E00597"/>
    <w:rsid w:val="00E0059C"/>
    <w:rsid w:val="00E005B8"/>
    <w:rsid w:val="00E005B9"/>
    <w:rsid w:val="00E00616"/>
    <w:rsid w:val="00E00644"/>
    <w:rsid w:val="00E0066E"/>
    <w:rsid w:val="00E0068F"/>
    <w:rsid w:val="00E0077E"/>
    <w:rsid w:val="00E007B4"/>
    <w:rsid w:val="00E007C5"/>
    <w:rsid w:val="00E007E2"/>
    <w:rsid w:val="00E007F1"/>
    <w:rsid w:val="00E008AD"/>
    <w:rsid w:val="00E008C8"/>
    <w:rsid w:val="00E008D4"/>
    <w:rsid w:val="00E0094A"/>
    <w:rsid w:val="00E0094B"/>
    <w:rsid w:val="00E0095B"/>
    <w:rsid w:val="00E00A67"/>
    <w:rsid w:val="00E00A86"/>
    <w:rsid w:val="00E00A8B"/>
    <w:rsid w:val="00E00A96"/>
    <w:rsid w:val="00E00AD4"/>
    <w:rsid w:val="00E00AEF"/>
    <w:rsid w:val="00E00AF4"/>
    <w:rsid w:val="00E00B3C"/>
    <w:rsid w:val="00E00BA0"/>
    <w:rsid w:val="00E00C0E"/>
    <w:rsid w:val="00E00C10"/>
    <w:rsid w:val="00E00C15"/>
    <w:rsid w:val="00E00C40"/>
    <w:rsid w:val="00E00CBD"/>
    <w:rsid w:val="00E00D1B"/>
    <w:rsid w:val="00E00D59"/>
    <w:rsid w:val="00E00D5D"/>
    <w:rsid w:val="00E00D76"/>
    <w:rsid w:val="00E00D87"/>
    <w:rsid w:val="00E00DC9"/>
    <w:rsid w:val="00E00DE0"/>
    <w:rsid w:val="00E00E49"/>
    <w:rsid w:val="00E00E8B"/>
    <w:rsid w:val="00E00EDC"/>
    <w:rsid w:val="00E00F0A"/>
    <w:rsid w:val="00E00F0F"/>
    <w:rsid w:val="00E00F31"/>
    <w:rsid w:val="00E00F7A"/>
    <w:rsid w:val="00E00F80"/>
    <w:rsid w:val="00E00FE9"/>
    <w:rsid w:val="00E01017"/>
    <w:rsid w:val="00E0103D"/>
    <w:rsid w:val="00E0106C"/>
    <w:rsid w:val="00E0108A"/>
    <w:rsid w:val="00E01096"/>
    <w:rsid w:val="00E010C1"/>
    <w:rsid w:val="00E01126"/>
    <w:rsid w:val="00E01186"/>
    <w:rsid w:val="00E011B5"/>
    <w:rsid w:val="00E011CB"/>
    <w:rsid w:val="00E0123B"/>
    <w:rsid w:val="00E012C3"/>
    <w:rsid w:val="00E01302"/>
    <w:rsid w:val="00E0134B"/>
    <w:rsid w:val="00E01372"/>
    <w:rsid w:val="00E01377"/>
    <w:rsid w:val="00E013E4"/>
    <w:rsid w:val="00E01402"/>
    <w:rsid w:val="00E01448"/>
    <w:rsid w:val="00E014B5"/>
    <w:rsid w:val="00E0151B"/>
    <w:rsid w:val="00E0154D"/>
    <w:rsid w:val="00E0156A"/>
    <w:rsid w:val="00E01595"/>
    <w:rsid w:val="00E015AA"/>
    <w:rsid w:val="00E015B0"/>
    <w:rsid w:val="00E015DC"/>
    <w:rsid w:val="00E0160D"/>
    <w:rsid w:val="00E016D4"/>
    <w:rsid w:val="00E016FB"/>
    <w:rsid w:val="00E0170F"/>
    <w:rsid w:val="00E01777"/>
    <w:rsid w:val="00E017C8"/>
    <w:rsid w:val="00E0182F"/>
    <w:rsid w:val="00E01856"/>
    <w:rsid w:val="00E01896"/>
    <w:rsid w:val="00E018CC"/>
    <w:rsid w:val="00E0193C"/>
    <w:rsid w:val="00E0194C"/>
    <w:rsid w:val="00E019AB"/>
    <w:rsid w:val="00E019FC"/>
    <w:rsid w:val="00E01A2A"/>
    <w:rsid w:val="00E01A39"/>
    <w:rsid w:val="00E01A40"/>
    <w:rsid w:val="00E01A4F"/>
    <w:rsid w:val="00E01AB9"/>
    <w:rsid w:val="00E01AEA"/>
    <w:rsid w:val="00E01B1F"/>
    <w:rsid w:val="00E01B3D"/>
    <w:rsid w:val="00E01B94"/>
    <w:rsid w:val="00E01BA8"/>
    <w:rsid w:val="00E01BB5"/>
    <w:rsid w:val="00E01C09"/>
    <w:rsid w:val="00E01D07"/>
    <w:rsid w:val="00E01D34"/>
    <w:rsid w:val="00E01D40"/>
    <w:rsid w:val="00E01DB9"/>
    <w:rsid w:val="00E01DBC"/>
    <w:rsid w:val="00E01DE6"/>
    <w:rsid w:val="00E01E04"/>
    <w:rsid w:val="00E01E23"/>
    <w:rsid w:val="00E01EA2"/>
    <w:rsid w:val="00E01EEB"/>
    <w:rsid w:val="00E01F16"/>
    <w:rsid w:val="00E01F8D"/>
    <w:rsid w:val="00E02007"/>
    <w:rsid w:val="00E02028"/>
    <w:rsid w:val="00E0203C"/>
    <w:rsid w:val="00E0205B"/>
    <w:rsid w:val="00E020D9"/>
    <w:rsid w:val="00E02140"/>
    <w:rsid w:val="00E021B4"/>
    <w:rsid w:val="00E021F9"/>
    <w:rsid w:val="00E022EB"/>
    <w:rsid w:val="00E022ED"/>
    <w:rsid w:val="00E02307"/>
    <w:rsid w:val="00E0230D"/>
    <w:rsid w:val="00E02311"/>
    <w:rsid w:val="00E02326"/>
    <w:rsid w:val="00E023BA"/>
    <w:rsid w:val="00E024AD"/>
    <w:rsid w:val="00E0252C"/>
    <w:rsid w:val="00E0256C"/>
    <w:rsid w:val="00E02595"/>
    <w:rsid w:val="00E025AE"/>
    <w:rsid w:val="00E02602"/>
    <w:rsid w:val="00E0260E"/>
    <w:rsid w:val="00E02637"/>
    <w:rsid w:val="00E0263E"/>
    <w:rsid w:val="00E0267B"/>
    <w:rsid w:val="00E026A9"/>
    <w:rsid w:val="00E02704"/>
    <w:rsid w:val="00E0270E"/>
    <w:rsid w:val="00E0271A"/>
    <w:rsid w:val="00E02752"/>
    <w:rsid w:val="00E02754"/>
    <w:rsid w:val="00E027A6"/>
    <w:rsid w:val="00E027F3"/>
    <w:rsid w:val="00E028B3"/>
    <w:rsid w:val="00E028BA"/>
    <w:rsid w:val="00E028F5"/>
    <w:rsid w:val="00E029AB"/>
    <w:rsid w:val="00E029D1"/>
    <w:rsid w:val="00E029F7"/>
    <w:rsid w:val="00E02A84"/>
    <w:rsid w:val="00E02A8C"/>
    <w:rsid w:val="00E02AA4"/>
    <w:rsid w:val="00E02AA8"/>
    <w:rsid w:val="00E02ABD"/>
    <w:rsid w:val="00E02B27"/>
    <w:rsid w:val="00E02B33"/>
    <w:rsid w:val="00E02BBC"/>
    <w:rsid w:val="00E02BD3"/>
    <w:rsid w:val="00E02BDB"/>
    <w:rsid w:val="00E02C3F"/>
    <w:rsid w:val="00E02C40"/>
    <w:rsid w:val="00E02C48"/>
    <w:rsid w:val="00E02C62"/>
    <w:rsid w:val="00E02C79"/>
    <w:rsid w:val="00E02C82"/>
    <w:rsid w:val="00E02C88"/>
    <w:rsid w:val="00E02D4E"/>
    <w:rsid w:val="00E02D6F"/>
    <w:rsid w:val="00E02D7C"/>
    <w:rsid w:val="00E02DEB"/>
    <w:rsid w:val="00E02E2D"/>
    <w:rsid w:val="00E02E4F"/>
    <w:rsid w:val="00E02E74"/>
    <w:rsid w:val="00E02ECC"/>
    <w:rsid w:val="00E02F0E"/>
    <w:rsid w:val="00E02F1A"/>
    <w:rsid w:val="00E02F49"/>
    <w:rsid w:val="00E02F4A"/>
    <w:rsid w:val="00E02F66"/>
    <w:rsid w:val="00E02F7D"/>
    <w:rsid w:val="00E02F91"/>
    <w:rsid w:val="00E02FAB"/>
    <w:rsid w:val="00E02FC2"/>
    <w:rsid w:val="00E03006"/>
    <w:rsid w:val="00E03080"/>
    <w:rsid w:val="00E030A9"/>
    <w:rsid w:val="00E030C7"/>
    <w:rsid w:val="00E030E2"/>
    <w:rsid w:val="00E030EA"/>
    <w:rsid w:val="00E03116"/>
    <w:rsid w:val="00E0314F"/>
    <w:rsid w:val="00E031DB"/>
    <w:rsid w:val="00E031DC"/>
    <w:rsid w:val="00E0320E"/>
    <w:rsid w:val="00E03275"/>
    <w:rsid w:val="00E03282"/>
    <w:rsid w:val="00E032E7"/>
    <w:rsid w:val="00E03315"/>
    <w:rsid w:val="00E03380"/>
    <w:rsid w:val="00E033A6"/>
    <w:rsid w:val="00E03426"/>
    <w:rsid w:val="00E0344B"/>
    <w:rsid w:val="00E03512"/>
    <w:rsid w:val="00E0356E"/>
    <w:rsid w:val="00E0358C"/>
    <w:rsid w:val="00E035E4"/>
    <w:rsid w:val="00E03604"/>
    <w:rsid w:val="00E03606"/>
    <w:rsid w:val="00E0367D"/>
    <w:rsid w:val="00E036E8"/>
    <w:rsid w:val="00E03824"/>
    <w:rsid w:val="00E03840"/>
    <w:rsid w:val="00E03862"/>
    <w:rsid w:val="00E0388A"/>
    <w:rsid w:val="00E038A8"/>
    <w:rsid w:val="00E038AB"/>
    <w:rsid w:val="00E038D1"/>
    <w:rsid w:val="00E03901"/>
    <w:rsid w:val="00E03905"/>
    <w:rsid w:val="00E03906"/>
    <w:rsid w:val="00E0394D"/>
    <w:rsid w:val="00E03992"/>
    <w:rsid w:val="00E039B1"/>
    <w:rsid w:val="00E039C9"/>
    <w:rsid w:val="00E03A2B"/>
    <w:rsid w:val="00E03A36"/>
    <w:rsid w:val="00E03A55"/>
    <w:rsid w:val="00E03A7E"/>
    <w:rsid w:val="00E03AA8"/>
    <w:rsid w:val="00E03ADE"/>
    <w:rsid w:val="00E03AEE"/>
    <w:rsid w:val="00E03B01"/>
    <w:rsid w:val="00E03B40"/>
    <w:rsid w:val="00E03B51"/>
    <w:rsid w:val="00E03BF8"/>
    <w:rsid w:val="00E03C30"/>
    <w:rsid w:val="00E03C55"/>
    <w:rsid w:val="00E03C5A"/>
    <w:rsid w:val="00E03C90"/>
    <w:rsid w:val="00E03CD6"/>
    <w:rsid w:val="00E03D42"/>
    <w:rsid w:val="00E03DB4"/>
    <w:rsid w:val="00E03DC6"/>
    <w:rsid w:val="00E03DE1"/>
    <w:rsid w:val="00E03DE3"/>
    <w:rsid w:val="00E03E11"/>
    <w:rsid w:val="00E03E21"/>
    <w:rsid w:val="00E03E51"/>
    <w:rsid w:val="00E03E6D"/>
    <w:rsid w:val="00E03E9F"/>
    <w:rsid w:val="00E03EAD"/>
    <w:rsid w:val="00E03EBD"/>
    <w:rsid w:val="00E03EC6"/>
    <w:rsid w:val="00E03EFB"/>
    <w:rsid w:val="00E03F1C"/>
    <w:rsid w:val="00E03F90"/>
    <w:rsid w:val="00E03FAA"/>
    <w:rsid w:val="00E03FC9"/>
    <w:rsid w:val="00E03FF0"/>
    <w:rsid w:val="00E0401A"/>
    <w:rsid w:val="00E0404C"/>
    <w:rsid w:val="00E04067"/>
    <w:rsid w:val="00E0406A"/>
    <w:rsid w:val="00E040C3"/>
    <w:rsid w:val="00E040EA"/>
    <w:rsid w:val="00E0416C"/>
    <w:rsid w:val="00E0416E"/>
    <w:rsid w:val="00E04176"/>
    <w:rsid w:val="00E04180"/>
    <w:rsid w:val="00E041A1"/>
    <w:rsid w:val="00E041AF"/>
    <w:rsid w:val="00E041D7"/>
    <w:rsid w:val="00E041F0"/>
    <w:rsid w:val="00E0421F"/>
    <w:rsid w:val="00E04284"/>
    <w:rsid w:val="00E04294"/>
    <w:rsid w:val="00E042CC"/>
    <w:rsid w:val="00E04357"/>
    <w:rsid w:val="00E04451"/>
    <w:rsid w:val="00E04474"/>
    <w:rsid w:val="00E0449B"/>
    <w:rsid w:val="00E04534"/>
    <w:rsid w:val="00E04537"/>
    <w:rsid w:val="00E0453F"/>
    <w:rsid w:val="00E04563"/>
    <w:rsid w:val="00E045CD"/>
    <w:rsid w:val="00E045F6"/>
    <w:rsid w:val="00E045FF"/>
    <w:rsid w:val="00E0463C"/>
    <w:rsid w:val="00E04699"/>
    <w:rsid w:val="00E046CD"/>
    <w:rsid w:val="00E04785"/>
    <w:rsid w:val="00E047C0"/>
    <w:rsid w:val="00E047D2"/>
    <w:rsid w:val="00E047E2"/>
    <w:rsid w:val="00E04812"/>
    <w:rsid w:val="00E0483A"/>
    <w:rsid w:val="00E048BE"/>
    <w:rsid w:val="00E048C5"/>
    <w:rsid w:val="00E048E7"/>
    <w:rsid w:val="00E049C4"/>
    <w:rsid w:val="00E04A11"/>
    <w:rsid w:val="00E04A1F"/>
    <w:rsid w:val="00E04A55"/>
    <w:rsid w:val="00E04A76"/>
    <w:rsid w:val="00E04AB3"/>
    <w:rsid w:val="00E04AD4"/>
    <w:rsid w:val="00E04AD8"/>
    <w:rsid w:val="00E04B06"/>
    <w:rsid w:val="00E04B10"/>
    <w:rsid w:val="00E04B42"/>
    <w:rsid w:val="00E04B4F"/>
    <w:rsid w:val="00E04B66"/>
    <w:rsid w:val="00E04B8F"/>
    <w:rsid w:val="00E04BAF"/>
    <w:rsid w:val="00E04BBB"/>
    <w:rsid w:val="00E04C14"/>
    <w:rsid w:val="00E04C1F"/>
    <w:rsid w:val="00E04CA4"/>
    <w:rsid w:val="00E04CC9"/>
    <w:rsid w:val="00E04CCA"/>
    <w:rsid w:val="00E04CD1"/>
    <w:rsid w:val="00E04D1E"/>
    <w:rsid w:val="00E04D6D"/>
    <w:rsid w:val="00E04D83"/>
    <w:rsid w:val="00E04D8A"/>
    <w:rsid w:val="00E04DA1"/>
    <w:rsid w:val="00E04DA8"/>
    <w:rsid w:val="00E04DD1"/>
    <w:rsid w:val="00E04E0C"/>
    <w:rsid w:val="00E04E3D"/>
    <w:rsid w:val="00E04E94"/>
    <w:rsid w:val="00E04E9F"/>
    <w:rsid w:val="00E04EDD"/>
    <w:rsid w:val="00E04F82"/>
    <w:rsid w:val="00E04FB2"/>
    <w:rsid w:val="00E04FD5"/>
    <w:rsid w:val="00E04FDD"/>
    <w:rsid w:val="00E05021"/>
    <w:rsid w:val="00E0505E"/>
    <w:rsid w:val="00E05072"/>
    <w:rsid w:val="00E0507E"/>
    <w:rsid w:val="00E05091"/>
    <w:rsid w:val="00E050C9"/>
    <w:rsid w:val="00E0510E"/>
    <w:rsid w:val="00E051C7"/>
    <w:rsid w:val="00E051CC"/>
    <w:rsid w:val="00E051F2"/>
    <w:rsid w:val="00E05218"/>
    <w:rsid w:val="00E0522C"/>
    <w:rsid w:val="00E05235"/>
    <w:rsid w:val="00E05242"/>
    <w:rsid w:val="00E05246"/>
    <w:rsid w:val="00E052A0"/>
    <w:rsid w:val="00E052E3"/>
    <w:rsid w:val="00E053B8"/>
    <w:rsid w:val="00E053CE"/>
    <w:rsid w:val="00E05437"/>
    <w:rsid w:val="00E054AA"/>
    <w:rsid w:val="00E055B9"/>
    <w:rsid w:val="00E0561B"/>
    <w:rsid w:val="00E0568E"/>
    <w:rsid w:val="00E056C8"/>
    <w:rsid w:val="00E05890"/>
    <w:rsid w:val="00E058D7"/>
    <w:rsid w:val="00E05948"/>
    <w:rsid w:val="00E059BC"/>
    <w:rsid w:val="00E059DE"/>
    <w:rsid w:val="00E059E7"/>
    <w:rsid w:val="00E05A31"/>
    <w:rsid w:val="00E05A93"/>
    <w:rsid w:val="00E05AA0"/>
    <w:rsid w:val="00E05AB1"/>
    <w:rsid w:val="00E05B0D"/>
    <w:rsid w:val="00E05B66"/>
    <w:rsid w:val="00E05B8F"/>
    <w:rsid w:val="00E05B9E"/>
    <w:rsid w:val="00E05C03"/>
    <w:rsid w:val="00E05C91"/>
    <w:rsid w:val="00E05C92"/>
    <w:rsid w:val="00E05CA2"/>
    <w:rsid w:val="00E05D2F"/>
    <w:rsid w:val="00E05D43"/>
    <w:rsid w:val="00E05DD4"/>
    <w:rsid w:val="00E05DF5"/>
    <w:rsid w:val="00E05E4D"/>
    <w:rsid w:val="00E05EF7"/>
    <w:rsid w:val="00E05FCE"/>
    <w:rsid w:val="00E06075"/>
    <w:rsid w:val="00E06079"/>
    <w:rsid w:val="00E060D6"/>
    <w:rsid w:val="00E06192"/>
    <w:rsid w:val="00E06217"/>
    <w:rsid w:val="00E0621B"/>
    <w:rsid w:val="00E0627C"/>
    <w:rsid w:val="00E06296"/>
    <w:rsid w:val="00E0629B"/>
    <w:rsid w:val="00E06301"/>
    <w:rsid w:val="00E06304"/>
    <w:rsid w:val="00E06305"/>
    <w:rsid w:val="00E06334"/>
    <w:rsid w:val="00E0633A"/>
    <w:rsid w:val="00E0634C"/>
    <w:rsid w:val="00E06363"/>
    <w:rsid w:val="00E063A6"/>
    <w:rsid w:val="00E06403"/>
    <w:rsid w:val="00E06414"/>
    <w:rsid w:val="00E0641F"/>
    <w:rsid w:val="00E0649E"/>
    <w:rsid w:val="00E064AA"/>
    <w:rsid w:val="00E064BF"/>
    <w:rsid w:val="00E064CE"/>
    <w:rsid w:val="00E0658D"/>
    <w:rsid w:val="00E0659B"/>
    <w:rsid w:val="00E0659C"/>
    <w:rsid w:val="00E065B2"/>
    <w:rsid w:val="00E06661"/>
    <w:rsid w:val="00E0668A"/>
    <w:rsid w:val="00E066E4"/>
    <w:rsid w:val="00E06721"/>
    <w:rsid w:val="00E06779"/>
    <w:rsid w:val="00E0677A"/>
    <w:rsid w:val="00E06844"/>
    <w:rsid w:val="00E06867"/>
    <w:rsid w:val="00E06870"/>
    <w:rsid w:val="00E0687F"/>
    <w:rsid w:val="00E0688A"/>
    <w:rsid w:val="00E068B4"/>
    <w:rsid w:val="00E068BC"/>
    <w:rsid w:val="00E068E2"/>
    <w:rsid w:val="00E068F3"/>
    <w:rsid w:val="00E0693B"/>
    <w:rsid w:val="00E0693E"/>
    <w:rsid w:val="00E06A02"/>
    <w:rsid w:val="00E06A1C"/>
    <w:rsid w:val="00E06A36"/>
    <w:rsid w:val="00E06A67"/>
    <w:rsid w:val="00E06AB9"/>
    <w:rsid w:val="00E06AC2"/>
    <w:rsid w:val="00E06AF3"/>
    <w:rsid w:val="00E06B47"/>
    <w:rsid w:val="00E06B53"/>
    <w:rsid w:val="00E06C1F"/>
    <w:rsid w:val="00E06C8D"/>
    <w:rsid w:val="00E06C9C"/>
    <w:rsid w:val="00E06CC4"/>
    <w:rsid w:val="00E06D22"/>
    <w:rsid w:val="00E06D38"/>
    <w:rsid w:val="00E06D42"/>
    <w:rsid w:val="00E06D47"/>
    <w:rsid w:val="00E06D50"/>
    <w:rsid w:val="00E06D81"/>
    <w:rsid w:val="00E06D83"/>
    <w:rsid w:val="00E06DA1"/>
    <w:rsid w:val="00E06E40"/>
    <w:rsid w:val="00E06E81"/>
    <w:rsid w:val="00E06E95"/>
    <w:rsid w:val="00E06EAF"/>
    <w:rsid w:val="00E06EDF"/>
    <w:rsid w:val="00E06F00"/>
    <w:rsid w:val="00E06F14"/>
    <w:rsid w:val="00E06F29"/>
    <w:rsid w:val="00E06F6C"/>
    <w:rsid w:val="00E06FC6"/>
    <w:rsid w:val="00E06FF1"/>
    <w:rsid w:val="00E070AA"/>
    <w:rsid w:val="00E070C5"/>
    <w:rsid w:val="00E07130"/>
    <w:rsid w:val="00E07150"/>
    <w:rsid w:val="00E07177"/>
    <w:rsid w:val="00E071B7"/>
    <w:rsid w:val="00E0726E"/>
    <w:rsid w:val="00E072A2"/>
    <w:rsid w:val="00E072B3"/>
    <w:rsid w:val="00E072EC"/>
    <w:rsid w:val="00E072F5"/>
    <w:rsid w:val="00E072FC"/>
    <w:rsid w:val="00E07380"/>
    <w:rsid w:val="00E073B2"/>
    <w:rsid w:val="00E073D5"/>
    <w:rsid w:val="00E07402"/>
    <w:rsid w:val="00E0742A"/>
    <w:rsid w:val="00E07434"/>
    <w:rsid w:val="00E074E7"/>
    <w:rsid w:val="00E07508"/>
    <w:rsid w:val="00E07512"/>
    <w:rsid w:val="00E07604"/>
    <w:rsid w:val="00E07610"/>
    <w:rsid w:val="00E0763F"/>
    <w:rsid w:val="00E0765D"/>
    <w:rsid w:val="00E076E9"/>
    <w:rsid w:val="00E07703"/>
    <w:rsid w:val="00E07706"/>
    <w:rsid w:val="00E07708"/>
    <w:rsid w:val="00E07740"/>
    <w:rsid w:val="00E0774C"/>
    <w:rsid w:val="00E077CD"/>
    <w:rsid w:val="00E07802"/>
    <w:rsid w:val="00E07889"/>
    <w:rsid w:val="00E0789B"/>
    <w:rsid w:val="00E078B2"/>
    <w:rsid w:val="00E078D9"/>
    <w:rsid w:val="00E07903"/>
    <w:rsid w:val="00E0792B"/>
    <w:rsid w:val="00E079A8"/>
    <w:rsid w:val="00E079D0"/>
    <w:rsid w:val="00E079DF"/>
    <w:rsid w:val="00E079E2"/>
    <w:rsid w:val="00E079F1"/>
    <w:rsid w:val="00E07A2F"/>
    <w:rsid w:val="00E07A7D"/>
    <w:rsid w:val="00E07A8B"/>
    <w:rsid w:val="00E07A9D"/>
    <w:rsid w:val="00E07AD0"/>
    <w:rsid w:val="00E07AFD"/>
    <w:rsid w:val="00E07B08"/>
    <w:rsid w:val="00E07B16"/>
    <w:rsid w:val="00E07B3C"/>
    <w:rsid w:val="00E07BAD"/>
    <w:rsid w:val="00E07CA2"/>
    <w:rsid w:val="00E07CA8"/>
    <w:rsid w:val="00E07CD8"/>
    <w:rsid w:val="00E07D10"/>
    <w:rsid w:val="00E07D26"/>
    <w:rsid w:val="00E07D46"/>
    <w:rsid w:val="00E07DA6"/>
    <w:rsid w:val="00E07DEE"/>
    <w:rsid w:val="00E07DFE"/>
    <w:rsid w:val="00E07E03"/>
    <w:rsid w:val="00E07E31"/>
    <w:rsid w:val="00E07E74"/>
    <w:rsid w:val="00E07EA9"/>
    <w:rsid w:val="00E07F42"/>
    <w:rsid w:val="00E07FA3"/>
    <w:rsid w:val="00E07FF8"/>
    <w:rsid w:val="00E10037"/>
    <w:rsid w:val="00E10124"/>
    <w:rsid w:val="00E1012F"/>
    <w:rsid w:val="00E1016B"/>
    <w:rsid w:val="00E10176"/>
    <w:rsid w:val="00E101C5"/>
    <w:rsid w:val="00E101C8"/>
    <w:rsid w:val="00E1029B"/>
    <w:rsid w:val="00E102D4"/>
    <w:rsid w:val="00E10304"/>
    <w:rsid w:val="00E10342"/>
    <w:rsid w:val="00E10354"/>
    <w:rsid w:val="00E10372"/>
    <w:rsid w:val="00E103E8"/>
    <w:rsid w:val="00E1040F"/>
    <w:rsid w:val="00E10451"/>
    <w:rsid w:val="00E10463"/>
    <w:rsid w:val="00E10492"/>
    <w:rsid w:val="00E104B4"/>
    <w:rsid w:val="00E104C0"/>
    <w:rsid w:val="00E104C4"/>
    <w:rsid w:val="00E104CA"/>
    <w:rsid w:val="00E10531"/>
    <w:rsid w:val="00E1057E"/>
    <w:rsid w:val="00E10584"/>
    <w:rsid w:val="00E105DE"/>
    <w:rsid w:val="00E105EC"/>
    <w:rsid w:val="00E105F8"/>
    <w:rsid w:val="00E1060F"/>
    <w:rsid w:val="00E10650"/>
    <w:rsid w:val="00E1066F"/>
    <w:rsid w:val="00E1067C"/>
    <w:rsid w:val="00E10690"/>
    <w:rsid w:val="00E106B7"/>
    <w:rsid w:val="00E10741"/>
    <w:rsid w:val="00E107E5"/>
    <w:rsid w:val="00E1082B"/>
    <w:rsid w:val="00E10875"/>
    <w:rsid w:val="00E108B5"/>
    <w:rsid w:val="00E10956"/>
    <w:rsid w:val="00E10982"/>
    <w:rsid w:val="00E109A9"/>
    <w:rsid w:val="00E109D4"/>
    <w:rsid w:val="00E109F5"/>
    <w:rsid w:val="00E10A33"/>
    <w:rsid w:val="00E10A4B"/>
    <w:rsid w:val="00E10AE7"/>
    <w:rsid w:val="00E10B04"/>
    <w:rsid w:val="00E10B1A"/>
    <w:rsid w:val="00E10B24"/>
    <w:rsid w:val="00E10B69"/>
    <w:rsid w:val="00E10BB9"/>
    <w:rsid w:val="00E10BEF"/>
    <w:rsid w:val="00E10BF4"/>
    <w:rsid w:val="00E10C04"/>
    <w:rsid w:val="00E10C16"/>
    <w:rsid w:val="00E10C22"/>
    <w:rsid w:val="00E10C29"/>
    <w:rsid w:val="00E10CAB"/>
    <w:rsid w:val="00E10CDA"/>
    <w:rsid w:val="00E10CE7"/>
    <w:rsid w:val="00E10D51"/>
    <w:rsid w:val="00E10DAC"/>
    <w:rsid w:val="00E10DB0"/>
    <w:rsid w:val="00E10DEE"/>
    <w:rsid w:val="00E10E24"/>
    <w:rsid w:val="00E10E29"/>
    <w:rsid w:val="00E10E33"/>
    <w:rsid w:val="00E10E4E"/>
    <w:rsid w:val="00E10E51"/>
    <w:rsid w:val="00E10E56"/>
    <w:rsid w:val="00E10E8B"/>
    <w:rsid w:val="00E10EC3"/>
    <w:rsid w:val="00E10F53"/>
    <w:rsid w:val="00E11089"/>
    <w:rsid w:val="00E110AA"/>
    <w:rsid w:val="00E110B9"/>
    <w:rsid w:val="00E110C3"/>
    <w:rsid w:val="00E11103"/>
    <w:rsid w:val="00E11116"/>
    <w:rsid w:val="00E1111B"/>
    <w:rsid w:val="00E11145"/>
    <w:rsid w:val="00E111A2"/>
    <w:rsid w:val="00E111CB"/>
    <w:rsid w:val="00E111E0"/>
    <w:rsid w:val="00E111E1"/>
    <w:rsid w:val="00E1125A"/>
    <w:rsid w:val="00E11294"/>
    <w:rsid w:val="00E112BC"/>
    <w:rsid w:val="00E112C8"/>
    <w:rsid w:val="00E113D1"/>
    <w:rsid w:val="00E1147C"/>
    <w:rsid w:val="00E11493"/>
    <w:rsid w:val="00E114CB"/>
    <w:rsid w:val="00E11552"/>
    <w:rsid w:val="00E1157E"/>
    <w:rsid w:val="00E115A2"/>
    <w:rsid w:val="00E11663"/>
    <w:rsid w:val="00E116A3"/>
    <w:rsid w:val="00E116EF"/>
    <w:rsid w:val="00E1171D"/>
    <w:rsid w:val="00E11728"/>
    <w:rsid w:val="00E11758"/>
    <w:rsid w:val="00E117EB"/>
    <w:rsid w:val="00E11831"/>
    <w:rsid w:val="00E11847"/>
    <w:rsid w:val="00E1184D"/>
    <w:rsid w:val="00E1185D"/>
    <w:rsid w:val="00E11872"/>
    <w:rsid w:val="00E11883"/>
    <w:rsid w:val="00E11896"/>
    <w:rsid w:val="00E118B2"/>
    <w:rsid w:val="00E118E9"/>
    <w:rsid w:val="00E1195D"/>
    <w:rsid w:val="00E11987"/>
    <w:rsid w:val="00E119A1"/>
    <w:rsid w:val="00E119D8"/>
    <w:rsid w:val="00E119F4"/>
    <w:rsid w:val="00E119F9"/>
    <w:rsid w:val="00E11A3D"/>
    <w:rsid w:val="00E11A40"/>
    <w:rsid w:val="00E11A93"/>
    <w:rsid w:val="00E11A9F"/>
    <w:rsid w:val="00E11AA4"/>
    <w:rsid w:val="00E11B34"/>
    <w:rsid w:val="00E11BD6"/>
    <w:rsid w:val="00E11CC4"/>
    <w:rsid w:val="00E11CE9"/>
    <w:rsid w:val="00E11CF8"/>
    <w:rsid w:val="00E11D01"/>
    <w:rsid w:val="00E11D04"/>
    <w:rsid w:val="00E11D0E"/>
    <w:rsid w:val="00E11D1B"/>
    <w:rsid w:val="00E11D4D"/>
    <w:rsid w:val="00E11D61"/>
    <w:rsid w:val="00E11D7E"/>
    <w:rsid w:val="00E11DF6"/>
    <w:rsid w:val="00E11E0C"/>
    <w:rsid w:val="00E11E22"/>
    <w:rsid w:val="00E11E42"/>
    <w:rsid w:val="00E11E5D"/>
    <w:rsid w:val="00E11E94"/>
    <w:rsid w:val="00E11EDD"/>
    <w:rsid w:val="00E11F6A"/>
    <w:rsid w:val="00E11FBF"/>
    <w:rsid w:val="00E11FD5"/>
    <w:rsid w:val="00E1202B"/>
    <w:rsid w:val="00E12037"/>
    <w:rsid w:val="00E12038"/>
    <w:rsid w:val="00E12078"/>
    <w:rsid w:val="00E1207F"/>
    <w:rsid w:val="00E12118"/>
    <w:rsid w:val="00E1212F"/>
    <w:rsid w:val="00E12141"/>
    <w:rsid w:val="00E12151"/>
    <w:rsid w:val="00E1216D"/>
    <w:rsid w:val="00E12182"/>
    <w:rsid w:val="00E121A6"/>
    <w:rsid w:val="00E121D4"/>
    <w:rsid w:val="00E121EE"/>
    <w:rsid w:val="00E1223C"/>
    <w:rsid w:val="00E12277"/>
    <w:rsid w:val="00E12287"/>
    <w:rsid w:val="00E12294"/>
    <w:rsid w:val="00E122EF"/>
    <w:rsid w:val="00E1234D"/>
    <w:rsid w:val="00E12364"/>
    <w:rsid w:val="00E1238C"/>
    <w:rsid w:val="00E123AB"/>
    <w:rsid w:val="00E123BE"/>
    <w:rsid w:val="00E123D0"/>
    <w:rsid w:val="00E123DB"/>
    <w:rsid w:val="00E12443"/>
    <w:rsid w:val="00E12476"/>
    <w:rsid w:val="00E1247C"/>
    <w:rsid w:val="00E12488"/>
    <w:rsid w:val="00E12500"/>
    <w:rsid w:val="00E12507"/>
    <w:rsid w:val="00E12545"/>
    <w:rsid w:val="00E125AA"/>
    <w:rsid w:val="00E125AB"/>
    <w:rsid w:val="00E125B7"/>
    <w:rsid w:val="00E125EC"/>
    <w:rsid w:val="00E12630"/>
    <w:rsid w:val="00E12731"/>
    <w:rsid w:val="00E1273C"/>
    <w:rsid w:val="00E12749"/>
    <w:rsid w:val="00E1274B"/>
    <w:rsid w:val="00E12778"/>
    <w:rsid w:val="00E12903"/>
    <w:rsid w:val="00E12917"/>
    <w:rsid w:val="00E1295D"/>
    <w:rsid w:val="00E1296C"/>
    <w:rsid w:val="00E1296E"/>
    <w:rsid w:val="00E1298B"/>
    <w:rsid w:val="00E129BE"/>
    <w:rsid w:val="00E129DD"/>
    <w:rsid w:val="00E129FE"/>
    <w:rsid w:val="00E12A39"/>
    <w:rsid w:val="00E12A4F"/>
    <w:rsid w:val="00E12A73"/>
    <w:rsid w:val="00E12AAC"/>
    <w:rsid w:val="00E12AB3"/>
    <w:rsid w:val="00E12B46"/>
    <w:rsid w:val="00E12B5C"/>
    <w:rsid w:val="00E12B8C"/>
    <w:rsid w:val="00E12B8E"/>
    <w:rsid w:val="00E12B9B"/>
    <w:rsid w:val="00E12BBE"/>
    <w:rsid w:val="00E12C04"/>
    <w:rsid w:val="00E12C9E"/>
    <w:rsid w:val="00E12CB2"/>
    <w:rsid w:val="00E12CC0"/>
    <w:rsid w:val="00E12CF3"/>
    <w:rsid w:val="00E12D1B"/>
    <w:rsid w:val="00E12D23"/>
    <w:rsid w:val="00E12D77"/>
    <w:rsid w:val="00E12D92"/>
    <w:rsid w:val="00E12D9F"/>
    <w:rsid w:val="00E12DD8"/>
    <w:rsid w:val="00E12DE6"/>
    <w:rsid w:val="00E12DF6"/>
    <w:rsid w:val="00E12E2A"/>
    <w:rsid w:val="00E12E4B"/>
    <w:rsid w:val="00E12E9F"/>
    <w:rsid w:val="00E12EBA"/>
    <w:rsid w:val="00E12EDF"/>
    <w:rsid w:val="00E12F00"/>
    <w:rsid w:val="00E12F74"/>
    <w:rsid w:val="00E12F75"/>
    <w:rsid w:val="00E12F7F"/>
    <w:rsid w:val="00E12FA2"/>
    <w:rsid w:val="00E1309D"/>
    <w:rsid w:val="00E130C7"/>
    <w:rsid w:val="00E13129"/>
    <w:rsid w:val="00E13287"/>
    <w:rsid w:val="00E13299"/>
    <w:rsid w:val="00E13302"/>
    <w:rsid w:val="00E1332A"/>
    <w:rsid w:val="00E1337C"/>
    <w:rsid w:val="00E1338B"/>
    <w:rsid w:val="00E13413"/>
    <w:rsid w:val="00E13419"/>
    <w:rsid w:val="00E13422"/>
    <w:rsid w:val="00E13448"/>
    <w:rsid w:val="00E13469"/>
    <w:rsid w:val="00E1349D"/>
    <w:rsid w:val="00E134B9"/>
    <w:rsid w:val="00E134BA"/>
    <w:rsid w:val="00E134E7"/>
    <w:rsid w:val="00E134F8"/>
    <w:rsid w:val="00E134FF"/>
    <w:rsid w:val="00E13549"/>
    <w:rsid w:val="00E1356F"/>
    <w:rsid w:val="00E135D4"/>
    <w:rsid w:val="00E135F4"/>
    <w:rsid w:val="00E13691"/>
    <w:rsid w:val="00E136AA"/>
    <w:rsid w:val="00E136C1"/>
    <w:rsid w:val="00E136EE"/>
    <w:rsid w:val="00E13745"/>
    <w:rsid w:val="00E1376D"/>
    <w:rsid w:val="00E13774"/>
    <w:rsid w:val="00E137D9"/>
    <w:rsid w:val="00E13852"/>
    <w:rsid w:val="00E138B3"/>
    <w:rsid w:val="00E138BA"/>
    <w:rsid w:val="00E138F9"/>
    <w:rsid w:val="00E1390B"/>
    <w:rsid w:val="00E13940"/>
    <w:rsid w:val="00E1394A"/>
    <w:rsid w:val="00E1397D"/>
    <w:rsid w:val="00E139AC"/>
    <w:rsid w:val="00E13A5A"/>
    <w:rsid w:val="00E13AC1"/>
    <w:rsid w:val="00E13AD1"/>
    <w:rsid w:val="00E13BF9"/>
    <w:rsid w:val="00E13BFC"/>
    <w:rsid w:val="00E13C1D"/>
    <w:rsid w:val="00E13C50"/>
    <w:rsid w:val="00E13C81"/>
    <w:rsid w:val="00E13CBC"/>
    <w:rsid w:val="00E13D0A"/>
    <w:rsid w:val="00E13D1A"/>
    <w:rsid w:val="00E13D33"/>
    <w:rsid w:val="00E13D37"/>
    <w:rsid w:val="00E13D62"/>
    <w:rsid w:val="00E13D79"/>
    <w:rsid w:val="00E13DC1"/>
    <w:rsid w:val="00E13DC8"/>
    <w:rsid w:val="00E13DCC"/>
    <w:rsid w:val="00E13E13"/>
    <w:rsid w:val="00E13E7E"/>
    <w:rsid w:val="00E13E9E"/>
    <w:rsid w:val="00E13F01"/>
    <w:rsid w:val="00E13F3F"/>
    <w:rsid w:val="00E13F9E"/>
    <w:rsid w:val="00E13FC9"/>
    <w:rsid w:val="00E13FE1"/>
    <w:rsid w:val="00E14025"/>
    <w:rsid w:val="00E1408A"/>
    <w:rsid w:val="00E14096"/>
    <w:rsid w:val="00E140E3"/>
    <w:rsid w:val="00E140F7"/>
    <w:rsid w:val="00E14106"/>
    <w:rsid w:val="00E141CE"/>
    <w:rsid w:val="00E1422D"/>
    <w:rsid w:val="00E14296"/>
    <w:rsid w:val="00E1429F"/>
    <w:rsid w:val="00E142A3"/>
    <w:rsid w:val="00E142ED"/>
    <w:rsid w:val="00E142F2"/>
    <w:rsid w:val="00E14317"/>
    <w:rsid w:val="00E14341"/>
    <w:rsid w:val="00E1434D"/>
    <w:rsid w:val="00E14370"/>
    <w:rsid w:val="00E14374"/>
    <w:rsid w:val="00E143A6"/>
    <w:rsid w:val="00E143CA"/>
    <w:rsid w:val="00E143EC"/>
    <w:rsid w:val="00E1440D"/>
    <w:rsid w:val="00E1442C"/>
    <w:rsid w:val="00E1443C"/>
    <w:rsid w:val="00E14443"/>
    <w:rsid w:val="00E14493"/>
    <w:rsid w:val="00E14516"/>
    <w:rsid w:val="00E1451E"/>
    <w:rsid w:val="00E14565"/>
    <w:rsid w:val="00E1458B"/>
    <w:rsid w:val="00E14618"/>
    <w:rsid w:val="00E14628"/>
    <w:rsid w:val="00E1462D"/>
    <w:rsid w:val="00E146A7"/>
    <w:rsid w:val="00E14740"/>
    <w:rsid w:val="00E147A7"/>
    <w:rsid w:val="00E147AD"/>
    <w:rsid w:val="00E147C8"/>
    <w:rsid w:val="00E14806"/>
    <w:rsid w:val="00E14911"/>
    <w:rsid w:val="00E14924"/>
    <w:rsid w:val="00E14963"/>
    <w:rsid w:val="00E14971"/>
    <w:rsid w:val="00E14987"/>
    <w:rsid w:val="00E149A2"/>
    <w:rsid w:val="00E149D3"/>
    <w:rsid w:val="00E14A05"/>
    <w:rsid w:val="00E14A74"/>
    <w:rsid w:val="00E14ABF"/>
    <w:rsid w:val="00E14AD1"/>
    <w:rsid w:val="00E14AE5"/>
    <w:rsid w:val="00E14B07"/>
    <w:rsid w:val="00E14B10"/>
    <w:rsid w:val="00E14B62"/>
    <w:rsid w:val="00E14B69"/>
    <w:rsid w:val="00E14B99"/>
    <w:rsid w:val="00E14BA0"/>
    <w:rsid w:val="00E14BE4"/>
    <w:rsid w:val="00E14BE9"/>
    <w:rsid w:val="00E14C0A"/>
    <w:rsid w:val="00E14C25"/>
    <w:rsid w:val="00E14C47"/>
    <w:rsid w:val="00E14C8B"/>
    <w:rsid w:val="00E14C94"/>
    <w:rsid w:val="00E14CA3"/>
    <w:rsid w:val="00E14CF4"/>
    <w:rsid w:val="00E14D4A"/>
    <w:rsid w:val="00E14D80"/>
    <w:rsid w:val="00E14DB6"/>
    <w:rsid w:val="00E14DD9"/>
    <w:rsid w:val="00E14E7F"/>
    <w:rsid w:val="00E14E83"/>
    <w:rsid w:val="00E14EE2"/>
    <w:rsid w:val="00E14F47"/>
    <w:rsid w:val="00E14F57"/>
    <w:rsid w:val="00E14FD7"/>
    <w:rsid w:val="00E14FD8"/>
    <w:rsid w:val="00E14FE1"/>
    <w:rsid w:val="00E15008"/>
    <w:rsid w:val="00E15018"/>
    <w:rsid w:val="00E15022"/>
    <w:rsid w:val="00E15024"/>
    <w:rsid w:val="00E150C3"/>
    <w:rsid w:val="00E1513A"/>
    <w:rsid w:val="00E1513B"/>
    <w:rsid w:val="00E1516B"/>
    <w:rsid w:val="00E151E1"/>
    <w:rsid w:val="00E151F1"/>
    <w:rsid w:val="00E15206"/>
    <w:rsid w:val="00E15265"/>
    <w:rsid w:val="00E1526B"/>
    <w:rsid w:val="00E1527C"/>
    <w:rsid w:val="00E152B0"/>
    <w:rsid w:val="00E152ED"/>
    <w:rsid w:val="00E15313"/>
    <w:rsid w:val="00E1537B"/>
    <w:rsid w:val="00E15398"/>
    <w:rsid w:val="00E15425"/>
    <w:rsid w:val="00E1542B"/>
    <w:rsid w:val="00E15454"/>
    <w:rsid w:val="00E15461"/>
    <w:rsid w:val="00E15468"/>
    <w:rsid w:val="00E15479"/>
    <w:rsid w:val="00E154B6"/>
    <w:rsid w:val="00E154FF"/>
    <w:rsid w:val="00E15514"/>
    <w:rsid w:val="00E15542"/>
    <w:rsid w:val="00E1555E"/>
    <w:rsid w:val="00E15574"/>
    <w:rsid w:val="00E1558E"/>
    <w:rsid w:val="00E155C7"/>
    <w:rsid w:val="00E155D0"/>
    <w:rsid w:val="00E155D4"/>
    <w:rsid w:val="00E155FB"/>
    <w:rsid w:val="00E15623"/>
    <w:rsid w:val="00E1564B"/>
    <w:rsid w:val="00E15675"/>
    <w:rsid w:val="00E156BB"/>
    <w:rsid w:val="00E15752"/>
    <w:rsid w:val="00E1575C"/>
    <w:rsid w:val="00E1575E"/>
    <w:rsid w:val="00E1578A"/>
    <w:rsid w:val="00E157DD"/>
    <w:rsid w:val="00E157E5"/>
    <w:rsid w:val="00E1587B"/>
    <w:rsid w:val="00E158A9"/>
    <w:rsid w:val="00E158AA"/>
    <w:rsid w:val="00E158CA"/>
    <w:rsid w:val="00E15926"/>
    <w:rsid w:val="00E1595B"/>
    <w:rsid w:val="00E15968"/>
    <w:rsid w:val="00E1596D"/>
    <w:rsid w:val="00E159B1"/>
    <w:rsid w:val="00E159C9"/>
    <w:rsid w:val="00E159D2"/>
    <w:rsid w:val="00E159D6"/>
    <w:rsid w:val="00E159FB"/>
    <w:rsid w:val="00E159FC"/>
    <w:rsid w:val="00E15A11"/>
    <w:rsid w:val="00E15A1D"/>
    <w:rsid w:val="00E15A2B"/>
    <w:rsid w:val="00E15A51"/>
    <w:rsid w:val="00E15AEF"/>
    <w:rsid w:val="00E15B11"/>
    <w:rsid w:val="00E15B1A"/>
    <w:rsid w:val="00E15B75"/>
    <w:rsid w:val="00E15B92"/>
    <w:rsid w:val="00E15B99"/>
    <w:rsid w:val="00E15BFA"/>
    <w:rsid w:val="00E15C5A"/>
    <w:rsid w:val="00E15C6C"/>
    <w:rsid w:val="00E15C9B"/>
    <w:rsid w:val="00E15C9E"/>
    <w:rsid w:val="00E15CBC"/>
    <w:rsid w:val="00E15CCA"/>
    <w:rsid w:val="00E15CD6"/>
    <w:rsid w:val="00E15CEB"/>
    <w:rsid w:val="00E15D3E"/>
    <w:rsid w:val="00E15D8B"/>
    <w:rsid w:val="00E15D9D"/>
    <w:rsid w:val="00E15E27"/>
    <w:rsid w:val="00E15EFA"/>
    <w:rsid w:val="00E15F70"/>
    <w:rsid w:val="00E15FEE"/>
    <w:rsid w:val="00E16023"/>
    <w:rsid w:val="00E16115"/>
    <w:rsid w:val="00E16140"/>
    <w:rsid w:val="00E16200"/>
    <w:rsid w:val="00E1621D"/>
    <w:rsid w:val="00E16235"/>
    <w:rsid w:val="00E1627B"/>
    <w:rsid w:val="00E1636F"/>
    <w:rsid w:val="00E1639D"/>
    <w:rsid w:val="00E163BE"/>
    <w:rsid w:val="00E163DD"/>
    <w:rsid w:val="00E163E6"/>
    <w:rsid w:val="00E163FD"/>
    <w:rsid w:val="00E164A1"/>
    <w:rsid w:val="00E164D2"/>
    <w:rsid w:val="00E16518"/>
    <w:rsid w:val="00E16580"/>
    <w:rsid w:val="00E16598"/>
    <w:rsid w:val="00E165E2"/>
    <w:rsid w:val="00E16614"/>
    <w:rsid w:val="00E1661B"/>
    <w:rsid w:val="00E1662D"/>
    <w:rsid w:val="00E1668B"/>
    <w:rsid w:val="00E16739"/>
    <w:rsid w:val="00E1676D"/>
    <w:rsid w:val="00E1679C"/>
    <w:rsid w:val="00E167A0"/>
    <w:rsid w:val="00E16842"/>
    <w:rsid w:val="00E16848"/>
    <w:rsid w:val="00E16856"/>
    <w:rsid w:val="00E1688E"/>
    <w:rsid w:val="00E1689A"/>
    <w:rsid w:val="00E168A2"/>
    <w:rsid w:val="00E168BE"/>
    <w:rsid w:val="00E168F6"/>
    <w:rsid w:val="00E168FC"/>
    <w:rsid w:val="00E16901"/>
    <w:rsid w:val="00E16919"/>
    <w:rsid w:val="00E1691C"/>
    <w:rsid w:val="00E1698D"/>
    <w:rsid w:val="00E169C2"/>
    <w:rsid w:val="00E169CC"/>
    <w:rsid w:val="00E16A76"/>
    <w:rsid w:val="00E16AA5"/>
    <w:rsid w:val="00E16AAD"/>
    <w:rsid w:val="00E16B28"/>
    <w:rsid w:val="00E16BAE"/>
    <w:rsid w:val="00E16C11"/>
    <w:rsid w:val="00E16CEB"/>
    <w:rsid w:val="00E16CFC"/>
    <w:rsid w:val="00E16D37"/>
    <w:rsid w:val="00E16D57"/>
    <w:rsid w:val="00E16D5E"/>
    <w:rsid w:val="00E16D67"/>
    <w:rsid w:val="00E16DBF"/>
    <w:rsid w:val="00E16E7A"/>
    <w:rsid w:val="00E16ECD"/>
    <w:rsid w:val="00E16F0D"/>
    <w:rsid w:val="00E16F28"/>
    <w:rsid w:val="00E16F2E"/>
    <w:rsid w:val="00E16F76"/>
    <w:rsid w:val="00E16F94"/>
    <w:rsid w:val="00E16FE1"/>
    <w:rsid w:val="00E17029"/>
    <w:rsid w:val="00E170AA"/>
    <w:rsid w:val="00E170B6"/>
    <w:rsid w:val="00E17108"/>
    <w:rsid w:val="00E17123"/>
    <w:rsid w:val="00E17222"/>
    <w:rsid w:val="00E17232"/>
    <w:rsid w:val="00E172B9"/>
    <w:rsid w:val="00E17331"/>
    <w:rsid w:val="00E1738C"/>
    <w:rsid w:val="00E173BC"/>
    <w:rsid w:val="00E173C4"/>
    <w:rsid w:val="00E17405"/>
    <w:rsid w:val="00E17434"/>
    <w:rsid w:val="00E174C1"/>
    <w:rsid w:val="00E174F0"/>
    <w:rsid w:val="00E17500"/>
    <w:rsid w:val="00E1751C"/>
    <w:rsid w:val="00E17537"/>
    <w:rsid w:val="00E17562"/>
    <w:rsid w:val="00E17568"/>
    <w:rsid w:val="00E17579"/>
    <w:rsid w:val="00E17582"/>
    <w:rsid w:val="00E17588"/>
    <w:rsid w:val="00E1759C"/>
    <w:rsid w:val="00E17630"/>
    <w:rsid w:val="00E1763C"/>
    <w:rsid w:val="00E17676"/>
    <w:rsid w:val="00E1768B"/>
    <w:rsid w:val="00E1769F"/>
    <w:rsid w:val="00E176A3"/>
    <w:rsid w:val="00E1774A"/>
    <w:rsid w:val="00E1776E"/>
    <w:rsid w:val="00E177A2"/>
    <w:rsid w:val="00E17810"/>
    <w:rsid w:val="00E1786F"/>
    <w:rsid w:val="00E1787D"/>
    <w:rsid w:val="00E17880"/>
    <w:rsid w:val="00E178AB"/>
    <w:rsid w:val="00E178C7"/>
    <w:rsid w:val="00E178EF"/>
    <w:rsid w:val="00E1791C"/>
    <w:rsid w:val="00E17956"/>
    <w:rsid w:val="00E17959"/>
    <w:rsid w:val="00E17982"/>
    <w:rsid w:val="00E179D5"/>
    <w:rsid w:val="00E17A0C"/>
    <w:rsid w:val="00E17A23"/>
    <w:rsid w:val="00E17A36"/>
    <w:rsid w:val="00E17AC0"/>
    <w:rsid w:val="00E17BC1"/>
    <w:rsid w:val="00E17BCE"/>
    <w:rsid w:val="00E17BE2"/>
    <w:rsid w:val="00E17BE4"/>
    <w:rsid w:val="00E17BEF"/>
    <w:rsid w:val="00E17C24"/>
    <w:rsid w:val="00E17C25"/>
    <w:rsid w:val="00E17C4C"/>
    <w:rsid w:val="00E17CBC"/>
    <w:rsid w:val="00E17D16"/>
    <w:rsid w:val="00E17D2B"/>
    <w:rsid w:val="00E17D82"/>
    <w:rsid w:val="00E17DFC"/>
    <w:rsid w:val="00E17E47"/>
    <w:rsid w:val="00E17E6A"/>
    <w:rsid w:val="00E17E89"/>
    <w:rsid w:val="00E17EB5"/>
    <w:rsid w:val="00E17F7A"/>
    <w:rsid w:val="00E17F7B"/>
    <w:rsid w:val="00E17F7C"/>
    <w:rsid w:val="00E17F91"/>
    <w:rsid w:val="00E17FA1"/>
    <w:rsid w:val="00E17FF0"/>
    <w:rsid w:val="00E20041"/>
    <w:rsid w:val="00E20053"/>
    <w:rsid w:val="00E20094"/>
    <w:rsid w:val="00E200B3"/>
    <w:rsid w:val="00E20144"/>
    <w:rsid w:val="00E2017B"/>
    <w:rsid w:val="00E201A4"/>
    <w:rsid w:val="00E201C0"/>
    <w:rsid w:val="00E201FC"/>
    <w:rsid w:val="00E20202"/>
    <w:rsid w:val="00E20219"/>
    <w:rsid w:val="00E20284"/>
    <w:rsid w:val="00E202A3"/>
    <w:rsid w:val="00E202E3"/>
    <w:rsid w:val="00E2031A"/>
    <w:rsid w:val="00E2043A"/>
    <w:rsid w:val="00E20454"/>
    <w:rsid w:val="00E204FB"/>
    <w:rsid w:val="00E20510"/>
    <w:rsid w:val="00E20592"/>
    <w:rsid w:val="00E205A8"/>
    <w:rsid w:val="00E205B3"/>
    <w:rsid w:val="00E205D3"/>
    <w:rsid w:val="00E20636"/>
    <w:rsid w:val="00E20648"/>
    <w:rsid w:val="00E20658"/>
    <w:rsid w:val="00E20671"/>
    <w:rsid w:val="00E20699"/>
    <w:rsid w:val="00E206FB"/>
    <w:rsid w:val="00E20761"/>
    <w:rsid w:val="00E207E6"/>
    <w:rsid w:val="00E2084B"/>
    <w:rsid w:val="00E2085B"/>
    <w:rsid w:val="00E208C2"/>
    <w:rsid w:val="00E208D9"/>
    <w:rsid w:val="00E20900"/>
    <w:rsid w:val="00E20942"/>
    <w:rsid w:val="00E2094F"/>
    <w:rsid w:val="00E20994"/>
    <w:rsid w:val="00E209FC"/>
    <w:rsid w:val="00E20A0E"/>
    <w:rsid w:val="00E20A15"/>
    <w:rsid w:val="00E20A2F"/>
    <w:rsid w:val="00E20A55"/>
    <w:rsid w:val="00E20A61"/>
    <w:rsid w:val="00E20A9F"/>
    <w:rsid w:val="00E20AA6"/>
    <w:rsid w:val="00E20B25"/>
    <w:rsid w:val="00E20B93"/>
    <w:rsid w:val="00E20B97"/>
    <w:rsid w:val="00E20BED"/>
    <w:rsid w:val="00E20C6A"/>
    <w:rsid w:val="00E20C8A"/>
    <w:rsid w:val="00E20C8B"/>
    <w:rsid w:val="00E20CA5"/>
    <w:rsid w:val="00E20CA7"/>
    <w:rsid w:val="00E20CE9"/>
    <w:rsid w:val="00E20D18"/>
    <w:rsid w:val="00E20D1B"/>
    <w:rsid w:val="00E20D2B"/>
    <w:rsid w:val="00E20D41"/>
    <w:rsid w:val="00E20D4B"/>
    <w:rsid w:val="00E20D60"/>
    <w:rsid w:val="00E20D65"/>
    <w:rsid w:val="00E20D92"/>
    <w:rsid w:val="00E20DAD"/>
    <w:rsid w:val="00E20E6A"/>
    <w:rsid w:val="00E20E9E"/>
    <w:rsid w:val="00E20EC2"/>
    <w:rsid w:val="00E20EE4"/>
    <w:rsid w:val="00E20F4D"/>
    <w:rsid w:val="00E20FCE"/>
    <w:rsid w:val="00E20FFA"/>
    <w:rsid w:val="00E2106F"/>
    <w:rsid w:val="00E210AE"/>
    <w:rsid w:val="00E21102"/>
    <w:rsid w:val="00E2110F"/>
    <w:rsid w:val="00E21170"/>
    <w:rsid w:val="00E2119E"/>
    <w:rsid w:val="00E211AC"/>
    <w:rsid w:val="00E211F8"/>
    <w:rsid w:val="00E21228"/>
    <w:rsid w:val="00E2125C"/>
    <w:rsid w:val="00E212AA"/>
    <w:rsid w:val="00E212AD"/>
    <w:rsid w:val="00E212F8"/>
    <w:rsid w:val="00E212FE"/>
    <w:rsid w:val="00E21306"/>
    <w:rsid w:val="00E21348"/>
    <w:rsid w:val="00E21368"/>
    <w:rsid w:val="00E21384"/>
    <w:rsid w:val="00E213C0"/>
    <w:rsid w:val="00E213DE"/>
    <w:rsid w:val="00E2142F"/>
    <w:rsid w:val="00E21434"/>
    <w:rsid w:val="00E21448"/>
    <w:rsid w:val="00E21457"/>
    <w:rsid w:val="00E21495"/>
    <w:rsid w:val="00E21597"/>
    <w:rsid w:val="00E215AE"/>
    <w:rsid w:val="00E21653"/>
    <w:rsid w:val="00E216AD"/>
    <w:rsid w:val="00E216CD"/>
    <w:rsid w:val="00E216DB"/>
    <w:rsid w:val="00E2170C"/>
    <w:rsid w:val="00E21714"/>
    <w:rsid w:val="00E2172E"/>
    <w:rsid w:val="00E21755"/>
    <w:rsid w:val="00E21783"/>
    <w:rsid w:val="00E21795"/>
    <w:rsid w:val="00E217E3"/>
    <w:rsid w:val="00E21825"/>
    <w:rsid w:val="00E2182F"/>
    <w:rsid w:val="00E2185B"/>
    <w:rsid w:val="00E21878"/>
    <w:rsid w:val="00E218BD"/>
    <w:rsid w:val="00E21900"/>
    <w:rsid w:val="00E21925"/>
    <w:rsid w:val="00E2194E"/>
    <w:rsid w:val="00E21972"/>
    <w:rsid w:val="00E219DF"/>
    <w:rsid w:val="00E219FF"/>
    <w:rsid w:val="00E21A16"/>
    <w:rsid w:val="00E21A5D"/>
    <w:rsid w:val="00E21AD3"/>
    <w:rsid w:val="00E21ADB"/>
    <w:rsid w:val="00E21B6A"/>
    <w:rsid w:val="00E21C5B"/>
    <w:rsid w:val="00E21C89"/>
    <w:rsid w:val="00E21C90"/>
    <w:rsid w:val="00E21C95"/>
    <w:rsid w:val="00E21CF1"/>
    <w:rsid w:val="00E21D19"/>
    <w:rsid w:val="00E21D22"/>
    <w:rsid w:val="00E21D37"/>
    <w:rsid w:val="00E21DD1"/>
    <w:rsid w:val="00E21E57"/>
    <w:rsid w:val="00E21F43"/>
    <w:rsid w:val="00E21FAB"/>
    <w:rsid w:val="00E22024"/>
    <w:rsid w:val="00E220D2"/>
    <w:rsid w:val="00E220E6"/>
    <w:rsid w:val="00E220EC"/>
    <w:rsid w:val="00E220F8"/>
    <w:rsid w:val="00E22187"/>
    <w:rsid w:val="00E22197"/>
    <w:rsid w:val="00E2219C"/>
    <w:rsid w:val="00E221A9"/>
    <w:rsid w:val="00E221D3"/>
    <w:rsid w:val="00E221E3"/>
    <w:rsid w:val="00E22200"/>
    <w:rsid w:val="00E22224"/>
    <w:rsid w:val="00E222A3"/>
    <w:rsid w:val="00E222A8"/>
    <w:rsid w:val="00E222BC"/>
    <w:rsid w:val="00E222CF"/>
    <w:rsid w:val="00E22343"/>
    <w:rsid w:val="00E22358"/>
    <w:rsid w:val="00E2243A"/>
    <w:rsid w:val="00E22482"/>
    <w:rsid w:val="00E22522"/>
    <w:rsid w:val="00E225E8"/>
    <w:rsid w:val="00E225EC"/>
    <w:rsid w:val="00E226C8"/>
    <w:rsid w:val="00E226FB"/>
    <w:rsid w:val="00E22826"/>
    <w:rsid w:val="00E22844"/>
    <w:rsid w:val="00E22955"/>
    <w:rsid w:val="00E229B6"/>
    <w:rsid w:val="00E229E2"/>
    <w:rsid w:val="00E22A1D"/>
    <w:rsid w:val="00E22A3A"/>
    <w:rsid w:val="00E22A7D"/>
    <w:rsid w:val="00E22AD5"/>
    <w:rsid w:val="00E22AF0"/>
    <w:rsid w:val="00E22B04"/>
    <w:rsid w:val="00E22B19"/>
    <w:rsid w:val="00E22B2E"/>
    <w:rsid w:val="00E22B45"/>
    <w:rsid w:val="00E22B49"/>
    <w:rsid w:val="00E22C0C"/>
    <w:rsid w:val="00E22C44"/>
    <w:rsid w:val="00E22C51"/>
    <w:rsid w:val="00E22DAD"/>
    <w:rsid w:val="00E22DF6"/>
    <w:rsid w:val="00E22E0B"/>
    <w:rsid w:val="00E22E28"/>
    <w:rsid w:val="00E22E46"/>
    <w:rsid w:val="00E22E47"/>
    <w:rsid w:val="00E22EE3"/>
    <w:rsid w:val="00E22F1B"/>
    <w:rsid w:val="00E22F74"/>
    <w:rsid w:val="00E22F94"/>
    <w:rsid w:val="00E22FBC"/>
    <w:rsid w:val="00E22FF9"/>
    <w:rsid w:val="00E2300F"/>
    <w:rsid w:val="00E23093"/>
    <w:rsid w:val="00E2309C"/>
    <w:rsid w:val="00E2314D"/>
    <w:rsid w:val="00E23153"/>
    <w:rsid w:val="00E231F8"/>
    <w:rsid w:val="00E23205"/>
    <w:rsid w:val="00E2321F"/>
    <w:rsid w:val="00E23237"/>
    <w:rsid w:val="00E232A0"/>
    <w:rsid w:val="00E232C0"/>
    <w:rsid w:val="00E232D6"/>
    <w:rsid w:val="00E2334D"/>
    <w:rsid w:val="00E2335B"/>
    <w:rsid w:val="00E233DA"/>
    <w:rsid w:val="00E2343F"/>
    <w:rsid w:val="00E23455"/>
    <w:rsid w:val="00E234BB"/>
    <w:rsid w:val="00E23506"/>
    <w:rsid w:val="00E23591"/>
    <w:rsid w:val="00E23594"/>
    <w:rsid w:val="00E23647"/>
    <w:rsid w:val="00E23708"/>
    <w:rsid w:val="00E2370C"/>
    <w:rsid w:val="00E2372B"/>
    <w:rsid w:val="00E23773"/>
    <w:rsid w:val="00E237AA"/>
    <w:rsid w:val="00E237F8"/>
    <w:rsid w:val="00E2383D"/>
    <w:rsid w:val="00E2388D"/>
    <w:rsid w:val="00E23895"/>
    <w:rsid w:val="00E238FB"/>
    <w:rsid w:val="00E23911"/>
    <w:rsid w:val="00E23929"/>
    <w:rsid w:val="00E2393C"/>
    <w:rsid w:val="00E2395B"/>
    <w:rsid w:val="00E23A23"/>
    <w:rsid w:val="00E23A38"/>
    <w:rsid w:val="00E23A41"/>
    <w:rsid w:val="00E23A97"/>
    <w:rsid w:val="00E23A98"/>
    <w:rsid w:val="00E23ACF"/>
    <w:rsid w:val="00E23AD5"/>
    <w:rsid w:val="00E23BDA"/>
    <w:rsid w:val="00E23C03"/>
    <w:rsid w:val="00E23C24"/>
    <w:rsid w:val="00E23C40"/>
    <w:rsid w:val="00E23C44"/>
    <w:rsid w:val="00E23CFF"/>
    <w:rsid w:val="00E23D10"/>
    <w:rsid w:val="00E23D5A"/>
    <w:rsid w:val="00E23D6E"/>
    <w:rsid w:val="00E23D88"/>
    <w:rsid w:val="00E23D91"/>
    <w:rsid w:val="00E23D9D"/>
    <w:rsid w:val="00E23E0B"/>
    <w:rsid w:val="00E23E43"/>
    <w:rsid w:val="00E23E73"/>
    <w:rsid w:val="00E23E83"/>
    <w:rsid w:val="00E23F0E"/>
    <w:rsid w:val="00E23F3C"/>
    <w:rsid w:val="00E23FA4"/>
    <w:rsid w:val="00E23FAD"/>
    <w:rsid w:val="00E23FC9"/>
    <w:rsid w:val="00E24072"/>
    <w:rsid w:val="00E24102"/>
    <w:rsid w:val="00E2414A"/>
    <w:rsid w:val="00E2417A"/>
    <w:rsid w:val="00E241D7"/>
    <w:rsid w:val="00E24232"/>
    <w:rsid w:val="00E24235"/>
    <w:rsid w:val="00E24249"/>
    <w:rsid w:val="00E242B6"/>
    <w:rsid w:val="00E2431C"/>
    <w:rsid w:val="00E2432D"/>
    <w:rsid w:val="00E24339"/>
    <w:rsid w:val="00E24365"/>
    <w:rsid w:val="00E24395"/>
    <w:rsid w:val="00E243CB"/>
    <w:rsid w:val="00E24432"/>
    <w:rsid w:val="00E2443F"/>
    <w:rsid w:val="00E244DA"/>
    <w:rsid w:val="00E244FA"/>
    <w:rsid w:val="00E2450D"/>
    <w:rsid w:val="00E24551"/>
    <w:rsid w:val="00E24565"/>
    <w:rsid w:val="00E24586"/>
    <w:rsid w:val="00E245BC"/>
    <w:rsid w:val="00E245BF"/>
    <w:rsid w:val="00E245EC"/>
    <w:rsid w:val="00E245FC"/>
    <w:rsid w:val="00E24606"/>
    <w:rsid w:val="00E2463D"/>
    <w:rsid w:val="00E24675"/>
    <w:rsid w:val="00E246A7"/>
    <w:rsid w:val="00E246F3"/>
    <w:rsid w:val="00E24700"/>
    <w:rsid w:val="00E24744"/>
    <w:rsid w:val="00E2479F"/>
    <w:rsid w:val="00E247B0"/>
    <w:rsid w:val="00E247DA"/>
    <w:rsid w:val="00E24835"/>
    <w:rsid w:val="00E2484D"/>
    <w:rsid w:val="00E24863"/>
    <w:rsid w:val="00E24885"/>
    <w:rsid w:val="00E248D0"/>
    <w:rsid w:val="00E248ED"/>
    <w:rsid w:val="00E24902"/>
    <w:rsid w:val="00E2490D"/>
    <w:rsid w:val="00E2495F"/>
    <w:rsid w:val="00E24963"/>
    <w:rsid w:val="00E24969"/>
    <w:rsid w:val="00E24978"/>
    <w:rsid w:val="00E24989"/>
    <w:rsid w:val="00E2498B"/>
    <w:rsid w:val="00E249B3"/>
    <w:rsid w:val="00E249B4"/>
    <w:rsid w:val="00E249D0"/>
    <w:rsid w:val="00E249F9"/>
    <w:rsid w:val="00E24A02"/>
    <w:rsid w:val="00E24A25"/>
    <w:rsid w:val="00E24A46"/>
    <w:rsid w:val="00E24A59"/>
    <w:rsid w:val="00E24AAD"/>
    <w:rsid w:val="00E24AED"/>
    <w:rsid w:val="00E24B31"/>
    <w:rsid w:val="00E24B7D"/>
    <w:rsid w:val="00E24C09"/>
    <w:rsid w:val="00E24C31"/>
    <w:rsid w:val="00E24C5F"/>
    <w:rsid w:val="00E24CB5"/>
    <w:rsid w:val="00E24CEF"/>
    <w:rsid w:val="00E24D16"/>
    <w:rsid w:val="00E24D2E"/>
    <w:rsid w:val="00E24D60"/>
    <w:rsid w:val="00E24D96"/>
    <w:rsid w:val="00E24D9C"/>
    <w:rsid w:val="00E24DD9"/>
    <w:rsid w:val="00E24DFC"/>
    <w:rsid w:val="00E24E3D"/>
    <w:rsid w:val="00E24E5A"/>
    <w:rsid w:val="00E24E9D"/>
    <w:rsid w:val="00E24EED"/>
    <w:rsid w:val="00E24EF5"/>
    <w:rsid w:val="00E24F49"/>
    <w:rsid w:val="00E24F95"/>
    <w:rsid w:val="00E24FFD"/>
    <w:rsid w:val="00E25051"/>
    <w:rsid w:val="00E251F1"/>
    <w:rsid w:val="00E25200"/>
    <w:rsid w:val="00E25239"/>
    <w:rsid w:val="00E252E3"/>
    <w:rsid w:val="00E252F5"/>
    <w:rsid w:val="00E25314"/>
    <w:rsid w:val="00E25344"/>
    <w:rsid w:val="00E25358"/>
    <w:rsid w:val="00E25363"/>
    <w:rsid w:val="00E2536A"/>
    <w:rsid w:val="00E25370"/>
    <w:rsid w:val="00E25383"/>
    <w:rsid w:val="00E253A0"/>
    <w:rsid w:val="00E253B5"/>
    <w:rsid w:val="00E253E0"/>
    <w:rsid w:val="00E253E1"/>
    <w:rsid w:val="00E253FA"/>
    <w:rsid w:val="00E25407"/>
    <w:rsid w:val="00E25418"/>
    <w:rsid w:val="00E25438"/>
    <w:rsid w:val="00E25498"/>
    <w:rsid w:val="00E254DA"/>
    <w:rsid w:val="00E25503"/>
    <w:rsid w:val="00E25523"/>
    <w:rsid w:val="00E25568"/>
    <w:rsid w:val="00E25572"/>
    <w:rsid w:val="00E25581"/>
    <w:rsid w:val="00E255A3"/>
    <w:rsid w:val="00E25607"/>
    <w:rsid w:val="00E2566E"/>
    <w:rsid w:val="00E2572F"/>
    <w:rsid w:val="00E257B5"/>
    <w:rsid w:val="00E257C0"/>
    <w:rsid w:val="00E257F2"/>
    <w:rsid w:val="00E2582A"/>
    <w:rsid w:val="00E25853"/>
    <w:rsid w:val="00E25907"/>
    <w:rsid w:val="00E2590F"/>
    <w:rsid w:val="00E2591F"/>
    <w:rsid w:val="00E259D2"/>
    <w:rsid w:val="00E259DD"/>
    <w:rsid w:val="00E259F9"/>
    <w:rsid w:val="00E25A02"/>
    <w:rsid w:val="00E25A0D"/>
    <w:rsid w:val="00E25A21"/>
    <w:rsid w:val="00E25A4A"/>
    <w:rsid w:val="00E25A6C"/>
    <w:rsid w:val="00E25ABA"/>
    <w:rsid w:val="00E25AFD"/>
    <w:rsid w:val="00E25B30"/>
    <w:rsid w:val="00E25B57"/>
    <w:rsid w:val="00E25B85"/>
    <w:rsid w:val="00E25B88"/>
    <w:rsid w:val="00E25BA6"/>
    <w:rsid w:val="00E25C4B"/>
    <w:rsid w:val="00E25C50"/>
    <w:rsid w:val="00E25C5A"/>
    <w:rsid w:val="00E25C7B"/>
    <w:rsid w:val="00E25C8C"/>
    <w:rsid w:val="00E25D19"/>
    <w:rsid w:val="00E25D66"/>
    <w:rsid w:val="00E25DDA"/>
    <w:rsid w:val="00E25DDD"/>
    <w:rsid w:val="00E25E23"/>
    <w:rsid w:val="00E25E47"/>
    <w:rsid w:val="00E25E70"/>
    <w:rsid w:val="00E25E89"/>
    <w:rsid w:val="00E25EBF"/>
    <w:rsid w:val="00E25F03"/>
    <w:rsid w:val="00E25F28"/>
    <w:rsid w:val="00E25F70"/>
    <w:rsid w:val="00E25F85"/>
    <w:rsid w:val="00E25FDE"/>
    <w:rsid w:val="00E25FED"/>
    <w:rsid w:val="00E25FFC"/>
    <w:rsid w:val="00E25FFE"/>
    <w:rsid w:val="00E26008"/>
    <w:rsid w:val="00E26010"/>
    <w:rsid w:val="00E26011"/>
    <w:rsid w:val="00E26064"/>
    <w:rsid w:val="00E26074"/>
    <w:rsid w:val="00E2607F"/>
    <w:rsid w:val="00E2608D"/>
    <w:rsid w:val="00E26096"/>
    <w:rsid w:val="00E26097"/>
    <w:rsid w:val="00E260B4"/>
    <w:rsid w:val="00E2614E"/>
    <w:rsid w:val="00E2615F"/>
    <w:rsid w:val="00E26214"/>
    <w:rsid w:val="00E26218"/>
    <w:rsid w:val="00E26221"/>
    <w:rsid w:val="00E26255"/>
    <w:rsid w:val="00E26256"/>
    <w:rsid w:val="00E26296"/>
    <w:rsid w:val="00E262D3"/>
    <w:rsid w:val="00E262DE"/>
    <w:rsid w:val="00E262FB"/>
    <w:rsid w:val="00E2631B"/>
    <w:rsid w:val="00E263AB"/>
    <w:rsid w:val="00E263CE"/>
    <w:rsid w:val="00E2647D"/>
    <w:rsid w:val="00E26483"/>
    <w:rsid w:val="00E264EC"/>
    <w:rsid w:val="00E264F4"/>
    <w:rsid w:val="00E26503"/>
    <w:rsid w:val="00E26541"/>
    <w:rsid w:val="00E2654F"/>
    <w:rsid w:val="00E265A7"/>
    <w:rsid w:val="00E265BD"/>
    <w:rsid w:val="00E26605"/>
    <w:rsid w:val="00E26637"/>
    <w:rsid w:val="00E26671"/>
    <w:rsid w:val="00E266A3"/>
    <w:rsid w:val="00E266BC"/>
    <w:rsid w:val="00E266C3"/>
    <w:rsid w:val="00E26720"/>
    <w:rsid w:val="00E26734"/>
    <w:rsid w:val="00E26750"/>
    <w:rsid w:val="00E26774"/>
    <w:rsid w:val="00E267B2"/>
    <w:rsid w:val="00E267E7"/>
    <w:rsid w:val="00E26850"/>
    <w:rsid w:val="00E26852"/>
    <w:rsid w:val="00E2685C"/>
    <w:rsid w:val="00E268B8"/>
    <w:rsid w:val="00E2693C"/>
    <w:rsid w:val="00E2695D"/>
    <w:rsid w:val="00E26973"/>
    <w:rsid w:val="00E2698E"/>
    <w:rsid w:val="00E269F8"/>
    <w:rsid w:val="00E26A2C"/>
    <w:rsid w:val="00E26A73"/>
    <w:rsid w:val="00E26AD5"/>
    <w:rsid w:val="00E26ADA"/>
    <w:rsid w:val="00E26B32"/>
    <w:rsid w:val="00E26BE3"/>
    <w:rsid w:val="00E26C1D"/>
    <w:rsid w:val="00E26C52"/>
    <w:rsid w:val="00E26C58"/>
    <w:rsid w:val="00E26C8B"/>
    <w:rsid w:val="00E26D00"/>
    <w:rsid w:val="00E26D5F"/>
    <w:rsid w:val="00E26DA4"/>
    <w:rsid w:val="00E26DF3"/>
    <w:rsid w:val="00E26DF6"/>
    <w:rsid w:val="00E26E1A"/>
    <w:rsid w:val="00E26E7F"/>
    <w:rsid w:val="00E26E83"/>
    <w:rsid w:val="00E26E8D"/>
    <w:rsid w:val="00E26E93"/>
    <w:rsid w:val="00E26EB7"/>
    <w:rsid w:val="00E26EC5"/>
    <w:rsid w:val="00E26F5A"/>
    <w:rsid w:val="00E26F5C"/>
    <w:rsid w:val="00E26F5F"/>
    <w:rsid w:val="00E26F84"/>
    <w:rsid w:val="00E26FAF"/>
    <w:rsid w:val="00E26FF1"/>
    <w:rsid w:val="00E26FF3"/>
    <w:rsid w:val="00E27007"/>
    <w:rsid w:val="00E2700B"/>
    <w:rsid w:val="00E27044"/>
    <w:rsid w:val="00E2704C"/>
    <w:rsid w:val="00E27070"/>
    <w:rsid w:val="00E2708C"/>
    <w:rsid w:val="00E270AA"/>
    <w:rsid w:val="00E270D0"/>
    <w:rsid w:val="00E270E5"/>
    <w:rsid w:val="00E27116"/>
    <w:rsid w:val="00E27177"/>
    <w:rsid w:val="00E271FE"/>
    <w:rsid w:val="00E2723F"/>
    <w:rsid w:val="00E272D6"/>
    <w:rsid w:val="00E2730C"/>
    <w:rsid w:val="00E273D6"/>
    <w:rsid w:val="00E27478"/>
    <w:rsid w:val="00E27481"/>
    <w:rsid w:val="00E27511"/>
    <w:rsid w:val="00E27514"/>
    <w:rsid w:val="00E27578"/>
    <w:rsid w:val="00E275B7"/>
    <w:rsid w:val="00E2764D"/>
    <w:rsid w:val="00E2767A"/>
    <w:rsid w:val="00E27680"/>
    <w:rsid w:val="00E276C4"/>
    <w:rsid w:val="00E276CD"/>
    <w:rsid w:val="00E276E7"/>
    <w:rsid w:val="00E27723"/>
    <w:rsid w:val="00E27725"/>
    <w:rsid w:val="00E2772A"/>
    <w:rsid w:val="00E277B4"/>
    <w:rsid w:val="00E277F2"/>
    <w:rsid w:val="00E27802"/>
    <w:rsid w:val="00E27831"/>
    <w:rsid w:val="00E27843"/>
    <w:rsid w:val="00E27852"/>
    <w:rsid w:val="00E27893"/>
    <w:rsid w:val="00E278D9"/>
    <w:rsid w:val="00E2792D"/>
    <w:rsid w:val="00E2797B"/>
    <w:rsid w:val="00E279D9"/>
    <w:rsid w:val="00E27A42"/>
    <w:rsid w:val="00E27AB7"/>
    <w:rsid w:val="00E27ABC"/>
    <w:rsid w:val="00E27AFD"/>
    <w:rsid w:val="00E27B46"/>
    <w:rsid w:val="00E27B74"/>
    <w:rsid w:val="00E27B86"/>
    <w:rsid w:val="00E27BAC"/>
    <w:rsid w:val="00E27BE5"/>
    <w:rsid w:val="00E27C76"/>
    <w:rsid w:val="00E27CBF"/>
    <w:rsid w:val="00E27CCA"/>
    <w:rsid w:val="00E27CEF"/>
    <w:rsid w:val="00E27D89"/>
    <w:rsid w:val="00E27DC1"/>
    <w:rsid w:val="00E27DCE"/>
    <w:rsid w:val="00E27DF9"/>
    <w:rsid w:val="00E27E2B"/>
    <w:rsid w:val="00E27F38"/>
    <w:rsid w:val="00E27F3A"/>
    <w:rsid w:val="00E27FCA"/>
    <w:rsid w:val="00E27FFD"/>
    <w:rsid w:val="00E3000B"/>
    <w:rsid w:val="00E3001C"/>
    <w:rsid w:val="00E3001F"/>
    <w:rsid w:val="00E30031"/>
    <w:rsid w:val="00E3005E"/>
    <w:rsid w:val="00E30067"/>
    <w:rsid w:val="00E3009A"/>
    <w:rsid w:val="00E3010F"/>
    <w:rsid w:val="00E30128"/>
    <w:rsid w:val="00E30187"/>
    <w:rsid w:val="00E30188"/>
    <w:rsid w:val="00E3018C"/>
    <w:rsid w:val="00E3019D"/>
    <w:rsid w:val="00E301A9"/>
    <w:rsid w:val="00E301CD"/>
    <w:rsid w:val="00E301FC"/>
    <w:rsid w:val="00E30229"/>
    <w:rsid w:val="00E30234"/>
    <w:rsid w:val="00E3024A"/>
    <w:rsid w:val="00E30265"/>
    <w:rsid w:val="00E30301"/>
    <w:rsid w:val="00E3035C"/>
    <w:rsid w:val="00E3036A"/>
    <w:rsid w:val="00E30392"/>
    <w:rsid w:val="00E303C7"/>
    <w:rsid w:val="00E303F4"/>
    <w:rsid w:val="00E303F6"/>
    <w:rsid w:val="00E30438"/>
    <w:rsid w:val="00E30442"/>
    <w:rsid w:val="00E3046E"/>
    <w:rsid w:val="00E304B9"/>
    <w:rsid w:val="00E30523"/>
    <w:rsid w:val="00E30536"/>
    <w:rsid w:val="00E3056F"/>
    <w:rsid w:val="00E305B0"/>
    <w:rsid w:val="00E30600"/>
    <w:rsid w:val="00E30613"/>
    <w:rsid w:val="00E3065E"/>
    <w:rsid w:val="00E30666"/>
    <w:rsid w:val="00E3068B"/>
    <w:rsid w:val="00E3070B"/>
    <w:rsid w:val="00E30717"/>
    <w:rsid w:val="00E30761"/>
    <w:rsid w:val="00E3078E"/>
    <w:rsid w:val="00E307A4"/>
    <w:rsid w:val="00E307D6"/>
    <w:rsid w:val="00E307D9"/>
    <w:rsid w:val="00E30811"/>
    <w:rsid w:val="00E30837"/>
    <w:rsid w:val="00E3084C"/>
    <w:rsid w:val="00E30857"/>
    <w:rsid w:val="00E30946"/>
    <w:rsid w:val="00E3097C"/>
    <w:rsid w:val="00E309EF"/>
    <w:rsid w:val="00E30A1C"/>
    <w:rsid w:val="00E30A2B"/>
    <w:rsid w:val="00E30A6E"/>
    <w:rsid w:val="00E30A76"/>
    <w:rsid w:val="00E30A95"/>
    <w:rsid w:val="00E30ABF"/>
    <w:rsid w:val="00E30AD1"/>
    <w:rsid w:val="00E30BBF"/>
    <w:rsid w:val="00E30C38"/>
    <w:rsid w:val="00E30C45"/>
    <w:rsid w:val="00E30C59"/>
    <w:rsid w:val="00E30C89"/>
    <w:rsid w:val="00E30C92"/>
    <w:rsid w:val="00E30CAD"/>
    <w:rsid w:val="00E30CE7"/>
    <w:rsid w:val="00E30CF6"/>
    <w:rsid w:val="00E30D32"/>
    <w:rsid w:val="00E30D4C"/>
    <w:rsid w:val="00E30D59"/>
    <w:rsid w:val="00E30DE7"/>
    <w:rsid w:val="00E30DFF"/>
    <w:rsid w:val="00E30E01"/>
    <w:rsid w:val="00E30E11"/>
    <w:rsid w:val="00E30EE6"/>
    <w:rsid w:val="00E30F07"/>
    <w:rsid w:val="00E30F5D"/>
    <w:rsid w:val="00E30F84"/>
    <w:rsid w:val="00E30FB2"/>
    <w:rsid w:val="00E30FCF"/>
    <w:rsid w:val="00E31027"/>
    <w:rsid w:val="00E31047"/>
    <w:rsid w:val="00E31074"/>
    <w:rsid w:val="00E310E4"/>
    <w:rsid w:val="00E3110C"/>
    <w:rsid w:val="00E3111D"/>
    <w:rsid w:val="00E3111F"/>
    <w:rsid w:val="00E311AA"/>
    <w:rsid w:val="00E311C4"/>
    <w:rsid w:val="00E311DD"/>
    <w:rsid w:val="00E3123A"/>
    <w:rsid w:val="00E31267"/>
    <w:rsid w:val="00E312D3"/>
    <w:rsid w:val="00E312DD"/>
    <w:rsid w:val="00E31301"/>
    <w:rsid w:val="00E31322"/>
    <w:rsid w:val="00E3134E"/>
    <w:rsid w:val="00E3135D"/>
    <w:rsid w:val="00E313C4"/>
    <w:rsid w:val="00E313CA"/>
    <w:rsid w:val="00E313CC"/>
    <w:rsid w:val="00E31478"/>
    <w:rsid w:val="00E314E0"/>
    <w:rsid w:val="00E314E7"/>
    <w:rsid w:val="00E314F2"/>
    <w:rsid w:val="00E31517"/>
    <w:rsid w:val="00E3153E"/>
    <w:rsid w:val="00E3154E"/>
    <w:rsid w:val="00E3159C"/>
    <w:rsid w:val="00E315C6"/>
    <w:rsid w:val="00E315C8"/>
    <w:rsid w:val="00E315D9"/>
    <w:rsid w:val="00E3160E"/>
    <w:rsid w:val="00E31653"/>
    <w:rsid w:val="00E316A8"/>
    <w:rsid w:val="00E316E5"/>
    <w:rsid w:val="00E3170D"/>
    <w:rsid w:val="00E31775"/>
    <w:rsid w:val="00E317C9"/>
    <w:rsid w:val="00E317FC"/>
    <w:rsid w:val="00E3180A"/>
    <w:rsid w:val="00E31830"/>
    <w:rsid w:val="00E31891"/>
    <w:rsid w:val="00E318C9"/>
    <w:rsid w:val="00E318CD"/>
    <w:rsid w:val="00E318D6"/>
    <w:rsid w:val="00E318ED"/>
    <w:rsid w:val="00E318F9"/>
    <w:rsid w:val="00E31955"/>
    <w:rsid w:val="00E31961"/>
    <w:rsid w:val="00E319FC"/>
    <w:rsid w:val="00E31A3D"/>
    <w:rsid w:val="00E31A5A"/>
    <w:rsid w:val="00E31A5E"/>
    <w:rsid w:val="00E31A6B"/>
    <w:rsid w:val="00E31A8F"/>
    <w:rsid w:val="00E31AC6"/>
    <w:rsid w:val="00E31AD9"/>
    <w:rsid w:val="00E31B0B"/>
    <w:rsid w:val="00E31B36"/>
    <w:rsid w:val="00E31B57"/>
    <w:rsid w:val="00E31B5D"/>
    <w:rsid w:val="00E31BFB"/>
    <w:rsid w:val="00E31C25"/>
    <w:rsid w:val="00E31C36"/>
    <w:rsid w:val="00E31C3E"/>
    <w:rsid w:val="00E31CDF"/>
    <w:rsid w:val="00E31D08"/>
    <w:rsid w:val="00E31D30"/>
    <w:rsid w:val="00E31D47"/>
    <w:rsid w:val="00E31D8B"/>
    <w:rsid w:val="00E31D9C"/>
    <w:rsid w:val="00E31DC0"/>
    <w:rsid w:val="00E31E0B"/>
    <w:rsid w:val="00E31E42"/>
    <w:rsid w:val="00E31EA5"/>
    <w:rsid w:val="00E31EAC"/>
    <w:rsid w:val="00E31EC7"/>
    <w:rsid w:val="00E31EEA"/>
    <w:rsid w:val="00E31F33"/>
    <w:rsid w:val="00E31F3E"/>
    <w:rsid w:val="00E31F45"/>
    <w:rsid w:val="00E31F49"/>
    <w:rsid w:val="00E31F57"/>
    <w:rsid w:val="00E31FA4"/>
    <w:rsid w:val="00E31FB5"/>
    <w:rsid w:val="00E3204E"/>
    <w:rsid w:val="00E32063"/>
    <w:rsid w:val="00E3206E"/>
    <w:rsid w:val="00E3208C"/>
    <w:rsid w:val="00E320A3"/>
    <w:rsid w:val="00E320CE"/>
    <w:rsid w:val="00E320E5"/>
    <w:rsid w:val="00E32131"/>
    <w:rsid w:val="00E321A6"/>
    <w:rsid w:val="00E321C0"/>
    <w:rsid w:val="00E321F1"/>
    <w:rsid w:val="00E321FC"/>
    <w:rsid w:val="00E32224"/>
    <w:rsid w:val="00E32253"/>
    <w:rsid w:val="00E322A0"/>
    <w:rsid w:val="00E322EE"/>
    <w:rsid w:val="00E32325"/>
    <w:rsid w:val="00E32342"/>
    <w:rsid w:val="00E3235A"/>
    <w:rsid w:val="00E3238A"/>
    <w:rsid w:val="00E323DC"/>
    <w:rsid w:val="00E323F3"/>
    <w:rsid w:val="00E32409"/>
    <w:rsid w:val="00E32491"/>
    <w:rsid w:val="00E324CB"/>
    <w:rsid w:val="00E32622"/>
    <w:rsid w:val="00E326E5"/>
    <w:rsid w:val="00E326FA"/>
    <w:rsid w:val="00E32720"/>
    <w:rsid w:val="00E3275D"/>
    <w:rsid w:val="00E327AD"/>
    <w:rsid w:val="00E327E7"/>
    <w:rsid w:val="00E327F2"/>
    <w:rsid w:val="00E3284E"/>
    <w:rsid w:val="00E32852"/>
    <w:rsid w:val="00E32869"/>
    <w:rsid w:val="00E328D8"/>
    <w:rsid w:val="00E32920"/>
    <w:rsid w:val="00E3292E"/>
    <w:rsid w:val="00E3294D"/>
    <w:rsid w:val="00E3297D"/>
    <w:rsid w:val="00E329E6"/>
    <w:rsid w:val="00E32AB1"/>
    <w:rsid w:val="00E32B1D"/>
    <w:rsid w:val="00E32B59"/>
    <w:rsid w:val="00E32B7E"/>
    <w:rsid w:val="00E32B96"/>
    <w:rsid w:val="00E32BE0"/>
    <w:rsid w:val="00E32C0C"/>
    <w:rsid w:val="00E32C3A"/>
    <w:rsid w:val="00E32C5F"/>
    <w:rsid w:val="00E32C68"/>
    <w:rsid w:val="00E32C78"/>
    <w:rsid w:val="00E32C9D"/>
    <w:rsid w:val="00E32CC8"/>
    <w:rsid w:val="00E32CDD"/>
    <w:rsid w:val="00E32D1C"/>
    <w:rsid w:val="00E32D62"/>
    <w:rsid w:val="00E32D8A"/>
    <w:rsid w:val="00E32E7E"/>
    <w:rsid w:val="00E32EAC"/>
    <w:rsid w:val="00E32EE1"/>
    <w:rsid w:val="00E32F05"/>
    <w:rsid w:val="00E32F10"/>
    <w:rsid w:val="00E32F26"/>
    <w:rsid w:val="00E32F6A"/>
    <w:rsid w:val="00E32F88"/>
    <w:rsid w:val="00E32FAB"/>
    <w:rsid w:val="00E33017"/>
    <w:rsid w:val="00E33022"/>
    <w:rsid w:val="00E33029"/>
    <w:rsid w:val="00E33031"/>
    <w:rsid w:val="00E330AB"/>
    <w:rsid w:val="00E330D1"/>
    <w:rsid w:val="00E330E4"/>
    <w:rsid w:val="00E33124"/>
    <w:rsid w:val="00E3312E"/>
    <w:rsid w:val="00E33147"/>
    <w:rsid w:val="00E3314D"/>
    <w:rsid w:val="00E33152"/>
    <w:rsid w:val="00E33169"/>
    <w:rsid w:val="00E331A4"/>
    <w:rsid w:val="00E331AC"/>
    <w:rsid w:val="00E331C5"/>
    <w:rsid w:val="00E33220"/>
    <w:rsid w:val="00E3325C"/>
    <w:rsid w:val="00E33277"/>
    <w:rsid w:val="00E332E4"/>
    <w:rsid w:val="00E332F2"/>
    <w:rsid w:val="00E33343"/>
    <w:rsid w:val="00E333D4"/>
    <w:rsid w:val="00E333DD"/>
    <w:rsid w:val="00E3347C"/>
    <w:rsid w:val="00E334AB"/>
    <w:rsid w:val="00E334B6"/>
    <w:rsid w:val="00E3352B"/>
    <w:rsid w:val="00E33586"/>
    <w:rsid w:val="00E33589"/>
    <w:rsid w:val="00E3359D"/>
    <w:rsid w:val="00E335D4"/>
    <w:rsid w:val="00E335DD"/>
    <w:rsid w:val="00E335E0"/>
    <w:rsid w:val="00E335EF"/>
    <w:rsid w:val="00E33609"/>
    <w:rsid w:val="00E3360F"/>
    <w:rsid w:val="00E33649"/>
    <w:rsid w:val="00E336A5"/>
    <w:rsid w:val="00E336B5"/>
    <w:rsid w:val="00E336C2"/>
    <w:rsid w:val="00E336C7"/>
    <w:rsid w:val="00E336CB"/>
    <w:rsid w:val="00E336E4"/>
    <w:rsid w:val="00E336FF"/>
    <w:rsid w:val="00E33714"/>
    <w:rsid w:val="00E33742"/>
    <w:rsid w:val="00E3379B"/>
    <w:rsid w:val="00E3379E"/>
    <w:rsid w:val="00E337D4"/>
    <w:rsid w:val="00E337F7"/>
    <w:rsid w:val="00E33833"/>
    <w:rsid w:val="00E3384E"/>
    <w:rsid w:val="00E338E4"/>
    <w:rsid w:val="00E338EB"/>
    <w:rsid w:val="00E3390F"/>
    <w:rsid w:val="00E33A21"/>
    <w:rsid w:val="00E33A5A"/>
    <w:rsid w:val="00E33A80"/>
    <w:rsid w:val="00E33B02"/>
    <w:rsid w:val="00E33BA3"/>
    <w:rsid w:val="00E33BA5"/>
    <w:rsid w:val="00E33C4B"/>
    <w:rsid w:val="00E33C84"/>
    <w:rsid w:val="00E33CBF"/>
    <w:rsid w:val="00E33CCC"/>
    <w:rsid w:val="00E33CDA"/>
    <w:rsid w:val="00E33D46"/>
    <w:rsid w:val="00E33D47"/>
    <w:rsid w:val="00E33D56"/>
    <w:rsid w:val="00E33D82"/>
    <w:rsid w:val="00E33E5C"/>
    <w:rsid w:val="00E33EC7"/>
    <w:rsid w:val="00E33ED5"/>
    <w:rsid w:val="00E33EE5"/>
    <w:rsid w:val="00E33EF9"/>
    <w:rsid w:val="00E33F12"/>
    <w:rsid w:val="00E33F35"/>
    <w:rsid w:val="00E33FF0"/>
    <w:rsid w:val="00E34063"/>
    <w:rsid w:val="00E34081"/>
    <w:rsid w:val="00E34086"/>
    <w:rsid w:val="00E3409E"/>
    <w:rsid w:val="00E340AD"/>
    <w:rsid w:val="00E340E6"/>
    <w:rsid w:val="00E34131"/>
    <w:rsid w:val="00E3419B"/>
    <w:rsid w:val="00E34250"/>
    <w:rsid w:val="00E3425C"/>
    <w:rsid w:val="00E3426C"/>
    <w:rsid w:val="00E342AD"/>
    <w:rsid w:val="00E342F3"/>
    <w:rsid w:val="00E34305"/>
    <w:rsid w:val="00E34335"/>
    <w:rsid w:val="00E3436D"/>
    <w:rsid w:val="00E34385"/>
    <w:rsid w:val="00E343E2"/>
    <w:rsid w:val="00E34425"/>
    <w:rsid w:val="00E344A8"/>
    <w:rsid w:val="00E34518"/>
    <w:rsid w:val="00E34524"/>
    <w:rsid w:val="00E34588"/>
    <w:rsid w:val="00E3458E"/>
    <w:rsid w:val="00E345C1"/>
    <w:rsid w:val="00E345C2"/>
    <w:rsid w:val="00E345E5"/>
    <w:rsid w:val="00E346AF"/>
    <w:rsid w:val="00E346B2"/>
    <w:rsid w:val="00E346D3"/>
    <w:rsid w:val="00E346D4"/>
    <w:rsid w:val="00E346DD"/>
    <w:rsid w:val="00E3476A"/>
    <w:rsid w:val="00E3476C"/>
    <w:rsid w:val="00E34777"/>
    <w:rsid w:val="00E347B8"/>
    <w:rsid w:val="00E347D0"/>
    <w:rsid w:val="00E34821"/>
    <w:rsid w:val="00E3483B"/>
    <w:rsid w:val="00E34848"/>
    <w:rsid w:val="00E348E2"/>
    <w:rsid w:val="00E348EF"/>
    <w:rsid w:val="00E34924"/>
    <w:rsid w:val="00E34927"/>
    <w:rsid w:val="00E34950"/>
    <w:rsid w:val="00E349BC"/>
    <w:rsid w:val="00E34A09"/>
    <w:rsid w:val="00E34A3F"/>
    <w:rsid w:val="00E34A68"/>
    <w:rsid w:val="00E34A90"/>
    <w:rsid w:val="00E34ADF"/>
    <w:rsid w:val="00E34BC7"/>
    <w:rsid w:val="00E34CB2"/>
    <w:rsid w:val="00E34CF2"/>
    <w:rsid w:val="00E34D6A"/>
    <w:rsid w:val="00E34D9B"/>
    <w:rsid w:val="00E34E1E"/>
    <w:rsid w:val="00E34E71"/>
    <w:rsid w:val="00E34EF9"/>
    <w:rsid w:val="00E34F0E"/>
    <w:rsid w:val="00E34F5C"/>
    <w:rsid w:val="00E34F5F"/>
    <w:rsid w:val="00E34F78"/>
    <w:rsid w:val="00E34F90"/>
    <w:rsid w:val="00E34F9A"/>
    <w:rsid w:val="00E34FBA"/>
    <w:rsid w:val="00E34FD2"/>
    <w:rsid w:val="00E35014"/>
    <w:rsid w:val="00E3504C"/>
    <w:rsid w:val="00E35082"/>
    <w:rsid w:val="00E350CC"/>
    <w:rsid w:val="00E350DA"/>
    <w:rsid w:val="00E350F8"/>
    <w:rsid w:val="00E35105"/>
    <w:rsid w:val="00E35108"/>
    <w:rsid w:val="00E351BB"/>
    <w:rsid w:val="00E3524B"/>
    <w:rsid w:val="00E3525A"/>
    <w:rsid w:val="00E352B1"/>
    <w:rsid w:val="00E352BA"/>
    <w:rsid w:val="00E352D3"/>
    <w:rsid w:val="00E353FB"/>
    <w:rsid w:val="00E35401"/>
    <w:rsid w:val="00E3540A"/>
    <w:rsid w:val="00E35415"/>
    <w:rsid w:val="00E354CA"/>
    <w:rsid w:val="00E35513"/>
    <w:rsid w:val="00E35524"/>
    <w:rsid w:val="00E3554D"/>
    <w:rsid w:val="00E35581"/>
    <w:rsid w:val="00E355E5"/>
    <w:rsid w:val="00E35602"/>
    <w:rsid w:val="00E35635"/>
    <w:rsid w:val="00E35637"/>
    <w:rsid w:val="00E35651"/>
    <w:rsid w:val="00E35655"/>
    <w:rsid w:val="00E35695"/>
    <w:rsid w:val="00E356B1"/>
    <w:rsid w:val="00E356C4"/>
    <w:rsid w:val="00E356F0"/>
    <w:rsid w:val="00E35729"/>
    <w:rsid w:val="00E3578A"/>
    <w:rsid w:val="00E357F5"/>
    <w:rsid w:val="00E358C1"/>
    <w:rsid w:val="00E358EE"/>
    <w:rsid w:val="00E359DA"/>
    <w:rsid w:val="00E35B07"/>
    <w:rsid w:val="00E35B0F"/>
    <w:rsid w:val="00E35B36"/>
    <w:rsid w:val="00E35B97"/>
    <w:rsid w:val="00E35BB7"/>
    <w:rsid w:val="00E35BB9"/>
    <w:rsid w:val="00E35BDC"/>
    <w:rsid w:val="00E35BE0"/>
    <w:rsid w:val="00E35C49"/>
    <w:rsid w:val="00E35C59"/>
    <w:rsid w:val="00E35C7D"/>
    <w:rsid w:val="00E35D0A"/>
    <w:rsid w:val="00E35D0C"/>
    <w:rsid w:val="00E35D39"/>
    <w:rsid w:val="00E35D3E"/>
    <w:rsid w:val="00E35D4E"/>
    <w:rsid w:val="00E35D7E"/>
    <w:rsid w:val="00E35D97"/>
    <w:rsid w:val="00E35DC2"/>
    <w:rsid w:val="00E35DCF"/>
    <w:rsid w:val="00E35DEA"/>
    <w:rsid w:val="00E35E09"/>
    <w:rsid w:val="00E35E6C"/>
    <w:rsid w:val="00E35E9D"/>
    <w:rsid w:val="00E35ECB"/>
    <w:rsid w:val="00E35ED5"/>
    <w:rsid w:val="00E35EFA"/>
    <w:rsid w:val="00E35F00"/>
    <w:rsid w:val="00E35F16"/>
    <w:rsid w:val="00E35FE3"/>
    <w:rsid w:val="00E3600B"/>
    <w:rsid w:val="00E3601C"/>
    <w:rsid w:val="00E3606C"/>
    <w:rsid w:val="00E3609E"/>
    <w:rsid w:val="00E360FC"/>
    <w:rsid w:val="00E36154"/>
    <w:rsid w:val="00E361B1"/>
    <w:rsid w:val="00E361BC"/>
    <w:rsid w:val="00E361CD"/>
    <w:rsid w:val="00E361F6"/>
    <w:rsid w:val="00E361FF"/>
    <w:rsid w:val="00E3621C"/>
    <w:rsid w:val="00E36298"/>
    <w:rsid w:val="00E362BA"/>
    <w:rsid w:val="00E362D7"/>
    <w:rsid w:val="00E362F8"/>
    <w:rsid w:val="00E3630D"/>
    <w:rsid w:val="00E3630F"/>
    <w:rsid w:val="00E36327"/>
    <w:rsid w:val="00E3636E"/>
    <w:rsid w:val="00E363E4"/>
    <w:rsid w:val="00E363EF"/>
    <w:rsid w:val="00E364B5"/>
    <w:rsid w:val="00E364BB"/>
    <w:rsid w:val="00E364CB"/>
    <w:rsid w:val="00E36509"/>
    <w:rsid w:val="00E36579"/>
    <w:rsid w:val="00E36586"/>
    <w:rsid w:val="00E365BE"/>
    <w:rsid w:val="00E365D3"/>
    <w:rsid w:val="00E365F8"/>
    <w:rsid w:val="00E36620"/>
    <w:rsid w:val="00E36684"/>
    <w:rsid w:val="00E366C7"/>
    <w:rsid w:val="00E366CC"/>
    <w:rsid w:val="00E36723"/>
    <w:rsid w:val="00E3678B"/>
    <w:rsid w:val="00E36869"/>
    <w:rsid w:val="00E368B2"/>
    <w:rsid w:val="00E368D7"/>
    <w:rsid w:val="00E3692D"/>
    <w:rsid w:val="00E36951"/>
    <w:rsid w:val="00E36970"/>
    <w:rsid w:val="00E36A0F"/>
    <w:rsid w:val="00E36A70"/>
    <w:rsid w:val="00E36AB0"/>
    <w:rsid w:val="00E36B11"/>
    <w:rsid w:val="00E36BED"/>
    <w:rsid w:val="00E36C12"/>
    <w:rsid w:val="00E36C22"/>
    <w:rsid w:val="00E36C2F"/>
    <w:rsid w:val="00E36C3A"/>
    <w:rsid w:val="00E36C58"/>
    <w:rsid w:val="00E36C7F"/>
    <w:rsid w:val="00E36C91"/>
    <w:rsid w:val="00E36CB7"/>
    <w:rsid w:val="00E36CD0"/>
    <w:rsid w:val="00E36D2A"/>
    <w:rsid w:val="00E36D31"/>
    <w:rsid w:val="00E36D6A"/>
    <w:rsid w:val="00E36E6D"/>
    <w:rsid w:val="00E36E87"/>
    <w:rsid w:val="00E36E8F"/>
    <w:rsid w:val="00E36E98"/>
    <w:rsid w:val="00E36EC8"/>
    <w:rsid w:val="00E36EDE"/>
    <w:rsid w:val="00E36F2B"/>
    <w:rsid w:val="00E37030"/>
    <w:rsid w:val="00E37038"/>
    <w:rsid w:val="00E3703C"/>
    <w:rsid w:val="00E3706A"/>
    <w:rsid w:val="00E370B6"/>
    <w:rsid w:val="00E370BA"/>
    <w:rsid w:val="00E370C0"/>
    <w:rsid w:val="00E370FE"/>
    <w:rsid w:val="00E3710E"/>
    <w:rsid w:val="00E3711D"/>
    <w:rsid w:val="00E3715A"/>
    <w:rsid w:val="00E371CA"/>
    <w:rsid w:val="00E371E5"/>
    <w:rsid w:val="00E371E8"/>
    <w:rsid w:val="00E37204"/>
    <w:rsid w:val="00E3721A"/>
    <w:rsid w:val="00E372A0"/>
    <w:rsid w:val="00E37349"/>
    <w:rsid w:val="00E37359"/>
    <w:rsid w:val="00E3736C"/>
    <w:rsid w:val="00E373A6"/>
    <w:rsid w:val="00E373B8"/>
    <w:rsid w:val="00E373E7"/>
    <w:rsid w:val="00E373F9"/>
    <w:rsid w:val="00E37412"/>
    <w:rsid w:val="00E3744F"/>
    <w:rsid w:val="00E37465"/>
    <w:rsid w:val="00E374CC"/>
    <w:rsid w:val="00E374D4"/>
    <w:rsid w:val="00E374D5"/>
    <w:rsid w:val="00E374F8"/>
    <w:rsid w:val="00E3752F"/>
    <w:rsid w:val="00E375BE"/>
    <w:rsid w:val="00E375D5"/>
    <w:rsid w:val="00E375EC"/>
    <w:rsid w:val="00E375F3"/>
    <w:rsid w:val="00E37658"/>
    <w:rsid w:val="00E3765E"/>
    <w:rsid w:val="00E37694"/>
    <w:rsid w:val="00E376C9"/>
    <w:rsid w:val="00E3772B"/>
    <w:rsid w:val="00E37739"/>
    <w:rsid w:val="00E3775F"/>
    <w:rsid w:val="00E37763"/>
    <w:rsid w:val="00E37793"/>
    <w:rsid w:val="00E377B4"/>
    <w:rsid w:val="00E377CA"/>
    <w:rsid w:val="00E3784B"/>
    <w:rsid w:val="00E378C9"/>
    <w:rsid w:val="00E3790D"/>
    <w:rsid w:val="00E37924"/>
    <w:rsid w:val="00E3793B"/>
    <w:rsid w:val="00E3795C"/>
    <w:rsid w:val="00E37966"/>
    <w:rsid w:val="00E3797B"/>
    <w:rsid w:val="00E3798B"/>
    <w:rsid w:val="00E379A1"/>
    <w:rsid w:val="00E379C8"/>
    <w:rsid w:val="00E37A15"/>
    <w:rsid w:val="00E37A5F"/>
    <w:rsid w:val="00E37A87"/>
    <w:rsid w:val="00E37AA4"/>
    <w:rsid w:val="00E37AC8"/>
    <w:rsid w:val="00E37AFF"/>
    <w:rsid w:val="00E37B0E"/>
    <w:rsid w:val="00E37B19"/>
    <w:rsid w:val="00E37B6C"/>
    <w:rsid w:val="00E37BA4"/>
    <w:rsid w:val="00E37C7B"/>
    <w:rsid w:val="00E37CCA"/>
    <w:rsid w:val="00E37CCF"/>
    <w:rsid w:val="00E37D42"/>
    <w:rsid w:val="00E37D45"/>
    <w:rsid w:val="00E37D70"/>
    <w:rsid w:val="00E37D88"/>
    <w:rsid w:val="00E37D95"/>
    <w:rsid w:val="00E37DD5"/>
    <w:rsid w:val="00E37E36"/>
    <w:rsid w:val="00E37E40"/>
    <w:rsid w:val="00E37E7F"/>
    <w:rsid w:val="00E37F52"/>
    <w:rsid w:val="00E37F97"/>
    <w:rsid w:val="00E37FA2"/>
    <w:rsid w:val="00E37FBF"/>
    <w:rsid w:val="00E37FC0"/>
    <w:rsid w:val="00E37FE6"/>
    <w:rsid w:val="00E4002D"/>
    <w:rsid w:val="00E40051"/>
    <w:rsid w:val="00E40069"/>
    <w:rsid w:val="00E40094"/>
    <w:rsid w:val="00E400BE"/>
    <w:rsid w:val="00E40117"/>
    <w:rsid w:val="00E4013B"/>
    <w:rsid w:val="00E4017E"/>
    <w:rsid w:val="00E401EF"/>
    <w:rsid w:val="00E40225"/>
    <w:rsid w:val="00E4024D"/>
    <w:rsid w:val="00E402B7"/>
    <w:rsid w:val="00E40339"/>
    <w:rsid w:val="00E40387"/>
    <w:rsid w:val="00E403CE"/>
    <w:rsid w:val="00E403D9"/>
    <w:rsid w:val="00E40414"/>
    <w:rsid w:val="00E4041C"/>
    <w:rsid w:val="00E404A6"/>
    <w:rsid w:val="00E404B0"/>
    <w:rsid w:val="00E404C2"/>
    <w:rsid w:val="00E404CE"/>
    <w:rsid w:val="00E404D4"/>
    <w:rsid w:val="00E404D5"/>
    <w:rsid w:val="00E404DC"/>
    <w:rsid w:val="00E40573"/>
    <w:rsid w:val="00E40596"/>
    <w:rsid w:val="00E405DC"/>
    <w:rsid w:val="00E405E0"/>
    <w:rsid w:val="00E405EC"/>
    <w:rsid w:val="00E4060F"/>
    <w:rsid w:val="00E40619"/>
    <w:rsid w:val="00E4068A"/>
    <w:rsid w:val="00E40703"/>
    <w:rsid w:val="00E40713"/>
    <w:rsid w:val="00E40733"/>
    <w:rsid w:val="00E4075B"/>
    <w:rsid w:val="00E40775"/>
    <w:rsid w:val="00E40785"/>
    <w:rsid w:val="00E407D2"/>
    <w:rsid w:val="00E407DC"/>
    <w:rsid w:val="00E40860"/>
    <w:rsid w:val="00E40872"/>
    <w:rsid w:val="00E40922"/>
    <w:rsid w:val="00E40923"/>
    <w:rsid w:val="00E40948"/>
    <w:rsid w:val="00E409EC"/>
    <w:rsid w:val="00E40A6C"/>
    <w:rsid w:val="00E40A73"/>
    <w:rsid w:val="00E40A90"/>
    <w:rsid w:val="00E40AC2"/>
    <w:rsid w:val="00E40B64"/>
    <w:rsid w:val="00E40BC8"/>
    <w:rsid w:val="00E40C04"/>
    <w:rsid w:val="00E40C18"/>
    <w:rsid w:val="00E40C5A"/>
    <w:rsid w:val="00E40C9C"/>
    <w:rsid w:val="00E40CF6"/>
    <w:rsid w:val="00E40CF7"/>
    <w:rsid w:val="00E40D02"/>
    <w:rsid w:val="00E40D1C"/>
    <w:rsid w:val="00E40D25"/>
    <w:rsid w:val="00E40D4C"/>
    <w:rsid w:val="00E40D75"/>
    <w:rsid w:val="00E40DC3"/>
    <w:rsid w:val="00E40DE6"/>
    <w:rsid w:val="00E40DF1"/>
    <w:rsid w:val="00E40E00"/>
    <w:rsid w:val="00E40E68"/>
    <w:rsid w:val="00E40E8D"/>
    <w:rsid w:val="00E40EE8"/>
    <w:rsid w:val="00E40EED"/>
    <w:rsid w:val="00E40F3F"/>
    <w:rsid w:val="00E40F40"/>
    <w:rsid w:val="00E40F4B"/>
    <w:rsid w:val="00E40F69"/>
    <w:rsid w:val="00E40FC4"/>
    <w:rsid w:val="00E40FD2"/>
    <w:rsid w:val="00E4103D"/>
    <w:rsid w:val="00E41071"/>
    <w:rsid w:val="00E41084"/>
    <w:rsid w:val="00E4109D"/>
    <w:rsid w:val="00E4110E"/>
    <w:rsid w:val="00E4111C"/>
    <w:rsid w:val="00E41189"/>
    <w:rsid w:val="00E4124C"/>
    <w:rsid w:val="00E4128C"/>
    <w:rsid w:val="00E412D5"/>
    <w:rsid w:val="00E412E7"/>
    <w:rsid w:val="00E412FF"/>
    <w:rsid w:val="00E41310"/>
    <w:rsid w:val="00E41316"/>
    <w:rsid w:val="00E41351"/>
    <w:rsid w:val="00E41358"/>
    <w:rsid w:val="00E41396"/>
    <w:rsid w:val="00E413EB"/>
    <w:rsid w:val="00E413FE"/>
    <w:rsid w:val="00E41491"/>
    <w:rsid w:val="00E41499"/>
    <w:rsid w:val="00E41509"/>
    <w:rsid w:val="00E41519"/>
    <w:rsid w:val="00E41549"/>
    <w:rsid w:val="00E41607"/>
    <w:rsid w:val="00E41640"/>
    <w:rsid w:val="00E41692"/>
    <w:rsid w:val="00E416A4"/>
    <w:rsid w:val="00E416FB"/>
    <w:rsid w:val="00E41715"/>
    <w:rsid w:val="00E41773"/>
    <w:rsid w:val="00E41780"/>
    <w:rsid w:val="00E4182C"/>
    <w:rsid w:val="00E41875"/>
    <w:rsid w:val="00E418B2"/>
    <w:rsid w:val="00E418B4"/>
    <w:rsid w:val="00E418DB"/>
    <w:rsid w:val="00E41934"/>
    <w:rsid w:val="00E41942"/>
    <w:rsid w:val="00E41976"/>
    <w:rsid w:val="00E419BE"/>
    <w:rsid w:val="00E419E4"/>
    <w:rsid w:val="00E419FB"/>
    <w:rsid w:val="00E41A1E"/>
    <w:rsid w:val="00E41A22"/>
    <w:rsid w:val="00E41A7D"/>
    <w:rsid w:val="00E41A85"/>
    <w:rsid w:val="00E41A98"/>
    <w:rsid w:val="00E41AE9"/>
    <w:rsid w:val="00E41AF2"/>
    <w:rsid w:val="00E41B1F"/>
    <w:rsid w:val="00E41B82"/>
    <w:rsid w:val="00E41B9D"/>
    <w:rsid w:val="00E41BD8"/>
    <w:rsid w:val="00E41C04"/>
    <w:rsid w:val="00E41C0D"/>
    <w:rsid w:val="00E41C63"/>
    <w:rsid w:val="00E41C68"/>
    <w:rsid w:val="00E41C6E"/>
    <w:rsid w:val="00E41CAB"/>
    <w:rsid w:val="00E41D61"/>
    <w:rsid w:val="00E41DCE"/>
    <w:rsid w:val="00E41DD8"/>
    <w:rsid w:val="00E41DE1"/>
    <w:rsid w:val="00E41E06"/>
    <w:rsid w:val="00E41E24"/>
    <w:rsid w:val="00E41E65"/>
    <w:rsid w:val="00E41E79"/>
    <w:rsid w:val="00E41EBA"/>
    <w:rsid w:val="00E41ECC"/>
    <w:rsid w:val="00E41F42"/>
    <w:rsid w:val="00E41F89"/>
    <w:rsid w:val="00E41F9C"/>
    <w:rsid w:val="00E41FC4"/>
    <w:rsid w:val="00E4201C"/>
    <w:rsid w:val="00E4203D"/>
    <w:rsid w:val="00E420A9"/>
    <w:rsid w:val="00E420EC"/>
    <w:rsid w:val="00E420F5"/>
    <w:rsid w:val="00E42111"/>
    <w:rsid w:val="00E42197"/>
    <w:rsid w:val="00E421B5"/>
    <w:rsid w:val="00E421C8"/>
    <w:rsid w:val="00E421D2"/>
    <w:rsid w:val="00E421DA"/>
    <w:rsid w:val="00E421F1"/>
    <w:rsid w:val="00E42203"/>
    <w:rsid w:val="00E42214"/>
    <w:rsid w:val="00E4221B"/>
    <w:rsid w:val="00E42226"/>
    <w:rsid w:val="00E4226E"/>
    <w:rsid w:val="00E422A8"/>
    <w:rsid w:val="00E422D7"/>
    <w:rsid w:val="00E42314"/>
    <w:rsid w:val="00E42373"/>
    <w:rsid w:val="00E42384"/>
    <w:rsid w:val="00E4239F"/>
    <w:rsid w:val="00E423C2"/>
    <w:rsid w:val="00E423E3"/>
    <w:rsid w:val="00E4242E"/>
    <w:rsid w:val="00E424AA"/>
    <w:rsid w:val="00E424C2"/>
    <w:rsid w:val="00E424D9"/>
    <w:rsid w:val="00E42544"/>
    <w:rsid w:val="00E42561"/>
    <w:rsid w:val="00E42568"/>
    <w:rsid w:val="00E42574"/>
    <w:rsid w:val="00E42594"/>
    <w:rsid w:val="00E4261C"/>
    <w:rsid w:val="00E42623"/>
    <w:rsid w:val="00E4263B"/>
    <w:rsid w:val="00E42644"/>
    <w:rsid w:val="00E42673"/>
    <w:rsid w:val="00E426B0"/>
    <w:rsid w:val="00E42741"/>
    <w:rsid w:val="00E42759"/>
    <w:rsid w:val="00E427B1"/>
    <w:rsid w:val="00E427FC"/>
    <w:rsid w:val="00E4280D"/>
    <w:rsid w:val="00E42883"/>
    <w:rsid w:val="00E4288A"/>
    <w:rsid w:val="00E428B1"/>
    <w:rsid w:val="00E428FC"/>
    <w:rsid w:val="00E42912"/>
    <w:rsid w:val="00E42963"/>
    <w:rsid w:val="00E42978"/>
    <w:rsid w:val="00E4297D"/>
    <w:rsid w:val="00E42985"/>
    <w:rsid w:val="00E429C0"/>
    <w:rsid w:val="00E42A26"/>
    <w:rsid w:val="00E42A38"/>
    <w:rsid w:val="00E42A4A"/>
    <w:rsid w:val="00E42ABE"/>
    <w:rsid w:val="00E42B03"/>
    <w:rsid w:val="00E42B18"/>
    <w:rsid w:val="00E42B35"/>
    <w:rsid w:val="00E42B6C"/>
    <w:rsid w:val="00E42B6F"/>
    <w:rsid w:val="00E42B85"/>
    <w:rsid w:val="00E42B94"/>
    <w:rsid w:val="00E42C04"/>
    <w:rsid w:val="00E42C0A"/>
    <w:rsid w:val="00E42C28"/>
    <w:rsid w:val="00E42C4D"/>
    <w:rsid w:val="00E42C56"/>
    <w:rsid w:val="00E42C73"/>
    <w:rsid w:val="00E42D28"/>
    <w:rsid w:val="00E42D65"/>
    <w:rsid w:val="00E42D74"/>
    <w:rsid w:val="00E42D7B"/>
    <w:rsid w:val="00E42D81"/>
    <w:rsid w:val="00E42DCB"/>
    <w:rsid w:val="00E42E01"/>
    <w:rsid w:val="00E42E3F"/>
    <w:rsid w:val="00E42E97"/>
    <w:rsid w:val="00E42EAE"/>
    <w:rsid w:val="00E42EFC"/>
    <w:rsid w:val="00E42F2A"/>
    <w:rsid w:val="00E42F40"/>
    <w:rsid w:val="00E42F8F"/>
    <w:rsid w:val="00E42FB1"/>
    <w:rsid w:val="00E43055"/>
    <w:rsid w:val="00E43072"/>
    <w:rsid w:val="00E43086"/>
    <w:rsid w:val="00E43099"/>
    <w:rsid w:val="00E430C3"/>
    <w:rsid w:val="00E430CB"/>
    <w:rsid w:val="00E4313E"/>
    <w:rsid w:val="00E43143"/>
    <w:rsid w:val="00E43166"/>
    <w:rsid w:val="00E4316A"/>
    <w:rsid w:val="00E4319F"/>
    <w:rsid w:val="00E43203"/>
    <w:rsid w:val="00E4324E"/>
    <w:rsid w:val="00E4326D"/>
    <w:rsid w:val="00E432ED"/>
    <w:rsid w:val="00E43323"/>
    <w:rsid w:val="00E43329"/>
    <w:rsid w:val="00E43330"/>
    <w:rsid w:val="00E43398"/>
    <w:rsid w:val="00E43399"/>
    <w:rsid w:val="00E433A9"/>
    <w:rsid w:val="00E433D3"/>
    <w:rsid w:val="00E4343B"/>
    <w:rsid w:val="00E4346D"/>
    <w:rsid w:val="00E43482"/>
    <w:rsid w:val="00E434AF"/>
    <w:rsid w:val="00E434D9"/>
    <w:rsid w:val="00E43557"/>
    <w:rsid w:val="00E4355F"/>
    <w:rsid w:val="00E43561"/>
    <w:rsid w:val="00E43564"/>
    <w:rsid w:val="00E435D2"/>
    <w:rsid w:val="00E43645"/>
    <w:rsid w:val="00E4364D"/>
    <w:rsid w:val="00E43657"/>
    <w:rsid w:val="00E43658"/>
    <w:rsid w:val="00E43755"/>
    <w:rsid w:val="00E43768"/>
    <w:rsid w:val="00E4376B"/>
    <w:rsid w:val="00E437F5"/>
    <w:rsid w:val="00E43814"/>
    <w:rsid w:val="00E4381A"/>
    <w:rsid w:val="00E4387F"/>
    <w:rsid w:val="00E43888"/>
    <w:rsid w:val="00E4388F"/>
    <w:rsid w:val="00E438AE"/>
    <w:rsid w:val="00E438BA"/>
    <w:rsid w:val="00E43984"/>
    <w:rsid w:val="00E43A62"/>
    <w:rsid w:val="00E43B1D"/>
    <w:rsid w:val="00E43B35"/>
    <w:rsid w:val="00E43B80"/>
    <w:rsid w:val="00E43BCA"/>
    <w:rsid w:val="00E43BF0"/>
    <w:rsid w:val="00E43C14"/>
    <w:rsid w:val="00E43C1E"/>
    <w:rsid w:val="00E43C68"/>
    <w:rsid w:val="00E43C7C"/>
    <w:rsid w:val="00E43D7D"/>
    <w:rsid w:val="00E43D93"/>
    <w:rsid w:val="00E43DD2"/>
    <w:rsid w:val="00E43DEB"/>
    <w:rsid w:val="00E43E00"/>
    <w:rsid w:val="00E43EB0"/>
    <w:rsid w:val="00E43F03"/>
    <w:rsid w:val="00E43F93"/>
    <w:rsid w:val="00E43FA9"/>
    <w:rsid w:val="00E43FAD"/>
    <w:rsid w:val="00E44049"/>
    <w:rsid w:val="00E44075"/>
    <w:rsid w:val="00E440A7"/>
    <w:rsid w:val="00E440D5"/>
    <w:rsid w:val="00E440DE"/>
    <w:rsid w:val="00E440F5"/>
    <w:rsid w:val="00E4415D"/>
    <w:rsid w:val="00E44164"/>
    <w:rsid w:val="00E441D2"/>
    <w:rsid w:val="00E441D5"/>
    <w:rsid w:val="00E441FB"/>
    <w:rsid w:val="00E44200"/>
    <w:rsid w:val="00E44238"/>
    <w:rsid w:val="00E44286"/>
    <w:rsid w:val="00E442F5"/>
    <w:rsid w:val="00E442FE"/>
    <w:rsid w:val="00E44369"/>
    <w:rsid w:val="00E443BB"/>
    <w:rsid w:val="00E443D5"/>
    <w:rsid w:val="00E4449C"/>
    <w:rsid w:val="00E44527"/>
    <w:rsid w:val="00E44531"/>
    <w:rsid w:val="00E44546"/>
    <w:rsid w:val="00E44557"/>
    <w:rsid w:val="00E445A0"/>
    <w:rsid w:val="00E445A3"/>
    <w:rsid w:val="00E445B4"/>
    <w:rsid w:val="00E44628"/>
    <w:rsid w:val="00E44666"/>
    <w:rsid w:val="00E4469D"/>
    <w:rsid w:val="00E446A4"/>
    <w:rsid w:val="00E446BB"/>
    <w:rsid w:val="00E44767"/>
    <w:rsid w:val="00E44784"/>
    <w:rsid w:val="00E44789"/>
    <w:rsid w:val="00E447FF"/>
    <w:rsid w:val="00E44806"/>
    <w:rsid w:val="00E4484D"/>
    <w:rsid w:val="00E4486F"/>
    <w:rsid w:val="00E448A9"/>
    <w:rsid w:val="00E448AC"/>
    <w:rsid w:val="00E448B6"/>
    <w:rsid w:val="00E4492B"/>
    <w:rsid w:val="00E4492C"/>
    <w:rsid w:val="00E4493C"/>
    <w:rsid w:val="00E44983"/>
    <w:rsid w:val="00E449A5"/>
    <w:rsid w:val="00E449AF"/>
    <w:rsid w:val="00E44A00"/>
    <w:rsid w:val="00E44A0D"/>
    <w:rsid w:val="00E44A1A"/>
    <w:rsid w:val="00E44A5D"/>
    <w:rsid w:val="00E44A7C"/>
    <w:rsid w:val="00E44AEC"/>
    <w:rsid w:val="00E44B17"/>
    <w:rsid w:val="00E44B1B"/>
    <w:rsid w:val="00E44B1C"/>
    <w:rsid w:val="00E44B4B"/>
    <w:rsid w:val="00E44B75"/>
    <w:rsid w:val="00E44C00"/>
    <w:rsid w:val="00E44C44"/>
    <w:rsid w:val="00E44C6B"/>
    <w:rsid w:val="00E44C98"/>
    <w:rsid w:val="00E44CBC"/>
    <w:rsid w:val="00E44CCB"/>
    <w:rsid w:val="00E44D2B"/>
    <w:rsid w:val="00E44D68"/>
    <w:rsid w:val="00E44D8E"/>
    <w:rsid w:val="00E44DB1"/>
    <w:rsid w:val="00E44DCA"/>
    <w:rsid w:val="00E44DE5"/>
    <w:rsid w:val="00E44E41"/>
    <w:rsid w:val="00E44E48"/>
    <w:rsid w:val="00E44E54"/>
    <w:rsid w:val="00E44F19"/>
    <w:rsid w:val="00E44F74"/>
    <w:rsid w:val="00E44F86"/>
    <w:rsid w:val="00E44F95"/>
    <w:rsid w:val="00E44FF2"/>
    <w:rsid w:val="00E45015"/>
    <w:rsid w:val="00E45039"/>
    <w:rsid w:val="00E45059"/>
    <w:rsid w:val="00E4506C"/>
    <w:rsid w:val="00E45077"/>
    <w:rsid w:val="00E45144"/>
    <w:rsid w:val="00E45148"/>
    <w:rsid w:val="00E4515A"/>
    <w:rsid w:val="00E451B1"/>
    <w:rsid w:val="00E451C0"/>
    <w:rsid w:val="00E45238"/>
    <w:rsid w:val="00E45248"/>
    <w:rsid w:val="00E45311"/>
    <w:rsid w:val="00E45324"/>
    <w:rsid w:val="00E4533B"/>
    <w:rsid w:val="00E45340"/>
    <w:rsid w:val="00E45380"/>
    <w:rsid w:val="00E453BA"/>
    <w:rsid w:val="00E453C6"/>
    <w:rsid w:val="00E453DF"/>
    <w:rsid w:val="00E453E2"/>
    <w:rsid w:val="00E4541F"/>
    <w:rsid w:val="00E45479"/>
    <w:rsid w:val="00E4547C"/>
    <w:rsid w:val="00E4549A"/>
    <w:rsid w:val="00E454BE"/>
    <w:rsid w:val="00E454C6"/>
    <w:rsid w:val="00E45509"/>
    <w:rsid w:val="00E45537"/>
    <w:rsid w:val="00E45551"/>
    <w:rsid w:val="00E45572"/>
    <w:rsid w:val="00E45589"/>
    <w:rsid w:val="00E455DC"/>
    <w:rsid w:val="00E455F2"/>
    <w:rsid w:val="00E45693"/>
    <w:rsid w:val="00E45694"/>
    <w:rsid w:val="00E4569E"/>
    <w:rsid w:val="00E456E1"/>
    <w:rsid w:val="00E45761"/>
    <w:rsid w:val="00E4576A"/>
    <w:rsid w:val="00E4579C"/>
    <w:rsid w:val="00E457B7"/>
    <w:rsid w:val="00E457F6"/>
    <w:rsid w:val="00E458EC"/>
    <w:rsid w:val="00E4594B"/>
    <w:rsid w:val="00E45955"/>
    <w:rsid w:val="00E4595D"/>
    <w:rsid w:val="00E45991"/>
    <w:rsid w:val="00E459A8"/>
    <w:rsid w:val="00E459DD"/>
    <w:rsid w:val="00E45A2B"/>
    <w:rsid w:val="00E45A3B"/>
    <w:rsid w:val="00E45A50"/>
    <w:rsid w:val="00E45AC0"/>
    <w:rsid w:val="00E45B01"/>
    <w:rsid w:val="00E45B0B"/>
    <w:rsid w:val="00E45B13"/>
    <w:rsid w:val="00E45B5A"/>
    <w:rsid w:val="00E45C1C"/>
    <w:rsid w:val="00E45C29"/>
    <w:rsid w:val="00E45C4D"/>
    <w:rsid w:val="00E45C99"/>
    <w:rsid w:val="00E45DD6"/>
    <w:rsid w:val="00E45DE7"/>
    <w:rsid w:val="00E45E00"/>
    <w:rsid w:val="00E45E0A"/>
    <w:rsid w:val="00E45E13"/>
    <w:rsid w:val="00E45E2A"/>
    <w:rsid w:val="00E45E59"/>
    <w:rsid w:val="00E45EB1"/>
    <w:rsid w:val="00E45EF0"/>
    <w:rsid w:val="00E45F0B"/>
    <w:rsid w:val="00E45F17"/>
    <w:rsid w:val="00E45F1A"/>
    <w:rsid w:val="00E45F1C"/>
    <w:rsid w:val="00E45F1F"/>
    <w:rsid w:val="00E45F3D"/>
    <w:rsid w:val="00E45F40"/>
    <w:rsid w:val="00E45F73"/>
    <w:rsid w:val="00E45F85"/>
    <w:rsid w:val="00E45F9B"/>
    <w:rsid w:val="00E45FA6"/>
    <w:rsid w:val="00E45FC4"/>
    <w:rsid w:val="00E45FE9"/>
    <w:rsid w:val="00E46011"/>
    <w:rsid w:val="00E46019"/>
    <w:rsid w:val="00E46030"/>
    <w:rsid w:val="00E46059"/>
    <w:rsid w:val="00E4606B"/>
    <w:rsid w:val="00E460D2"/>
    <w:rsid w:val="00E460FD"/>
    <w:rsid w:val="00E46133"/>
    <w:rsid w:val="00E46143"/>
    <w:rsid w:val="00E46147"/>
    <w:rsid w:val="00E4618E"/>
    <w:rsid w:val="00E461AD"/>
    <w:rsid w:val="00E461D3"/>
    <w:rsid w:val="00E461E0"/>
    <w:rsid w:val="00E46223"/>
    <w:rsid w:val="00E46234"/>
    <w:rsid w:val="00E4626C"/>
    <w:rsid w:val="00E4631E"/>
    <w:rsid w:val="00E46324"/>
    <w:rsid w:val="00E46395"/>
    <w:rsid w:val="00E463BA"/>
    <w:rsid w:val="00E463C9"/>
    <w:rsid w:val="00E463EA"/>
    <w:rsid w:val="00E4641E"/>
    <w:rsid w:val="00E46441"/>
    <w:rsid w:val="00E46470"/>
    <w:rsid w:val="00E46490"/>
    <w:rsid w:val="00E464A4"/>
    <w:rsid w:val="00E464A7"/>
    <w:rsid w:val="00E464BD"/>
    <w:rsid w:val="00E464F5"/>
    <w:rsid w:val="00E46535"/>
    <w:rsid w:val="00E4653E"/>
    <w:rsid w:val="00E46541"/>
    <w:rsid w:val="00E46556"/>
    <w:rsid w:val="00E4655A"/>
    <w:rsid w:val="00E46566"/>
    <w:rsid w:val="00E465DD"/>
    <w:rsid w:val="00E465E9"/>
    <w:rsid w:val="00E46635"/>
    <w:rsid w:val="00E46667"/>
    <w:rsid w:val="00E4668E"/>
    <w:rsid w:val="00E466A3"/>
    <w:rsid w:val="00E466BE"/>
    <w:rsid w:val="00E46731"/>
    <w:rsid w:val="00E4675C"/>
    <w:rsid w:val="00E4678E"/>
    <w:rsid w:val="00E467AB"/>
    <w:rsid w:val="00E467BE"/>
    <w:rsid w:val="00E46829"/>
    <w:rsid w:val="00E46876"/>
    <w:rsid w:val="00E468B5"/>
    <w:rsid w:val="00E468E0"/>
    <w:rsid w:val="00E468FD"/>
    <w:rsid w:val="00E46919"/>
    <w:rsid w:val="00E469C2"/>
    <w:rsid w:val="00E46A15"/>
    <w:rsid w:val="00E46A23"/>
    <w:rsid w:val="00E46B10"/>
    <w:rsid w:val="00E46B6A"/>
    <w:rsid w:val="00E46B7A"/>
    <w:rsid w:val="00E46B7D"/>
    <w:rsid w:val="00E46B86"/>
    <w:rsid w:val="00E46B8E"/>
    <w:rsid w:val="00E46C06"/>
    <w:rsid w:val="00E46C12"/>
    <w:rsid w:val="00E46C62"/>
    <w:rsid w:val="00E46CB4"/>
    <w:rsid w:val="00E46CCC"/>
    <w:rsid w:val="00E46CDE"/>
    <w:rsid w:val="00E46D13"/>
    <w:rsid w:val="00E46D30"/>
    <w:rsid w:val="00E46D37"/>
    <w:rsid w:val="00E46D54"/>
    <w:rsid w:val="00E46D91"/>
    <w:rsid w:val="00E46DB8"/>
    <w:rsid w:val="00E46E10"/>
    <w:rsid w:val="00E46E94"/>
    <w:rsid w:val="00E46ED7"/>
    <w:rsid w:val="00E46F24"/>
    <w:rsid w:val="00E46F3C"/>
    <w:rsid w:val="00E46F51"/>
    <w:rsid w:val="00E47024"/>
    <w:rsid w:val="00E47060"/>
    <w:rsid w:val="00E47098"/>
    <w:rsid w:val="00E4712E"/>
    <w:rsid w:val="00E47130"/>
    <w:rsid w:val="00E47131"/>
    <w:rsid w:val="00E47133"/>
    <w:rsid w:val="00E4714C"/>
    <w:rsid w:val="00E47189"/>
    <w:rsid w:val="00E47200"/>
    <w:rsid w:val="00E4720C"/>
    <w:rsid w:val="00E4730D"/>
    <w:rsid w:val="00E47338"/>
    <w:rsid w:val="00E4738B"/>
    <w:rsid w:val="00E473DF"/>
    <w:rsid w:val="00E473F8"/>
    <w:rsid w:val="00E47434"/>
    <w:rsid w:val="00E474B0"/>
    <w:rsid w:val="00E474C7"/>
    <w:rsid w:val="00E47521"/>
    <w:rsid w:val="00E47549"/>
    <w:rsid w:val="00E4757B"/>
    <w:rsid w:val="00E475A4"/>
    <w:rsid w:val="00E47651"/>
    <w:rsid w:val="00E4766E"/>
    <w:rsid w:val="00E476B9"/>
    <w:rsid w:val="00E476BB"/>
    <w:rsid w:val="00E476E5"/>
    <w:rsid w:val="00E47704"/>
    <w:rsid w:val="00E477A2"/>
    <w:rsid w:val="00E477AA"/>
    <w:rsid w:val="00E477B2"/>
    <w:rsid w:val="00E477FC"/>
    <w:rsid w:val="00E4785B"/>
    <w:rsid w:val="00E47882"/>
    <w:rsid w:val="00E478E7"/>
    <w:rsid w:val="00E47998"/>
    <w:rsid w:val="00E4799B"/>
    <w:rsid w:val="00E47A7A"/>
    <w:rsid w:val="00E47A88"/>
    <w:rsid w:val="00E47AAC"/>
    <w:rsid w:val="00E47B47"/>
    <w:rsid w:val="00E47B55"/>
    <w:rsid w:val="00E47BA8"/>
    <w:rsid w:val="00E47BA9"/>
    <w:rsid w:val="00E47C35"/>
    <w:rsid w:val="00E47C49"/>
    <w:rsid w:val="00E47C50"/>
    <w:rsid w:val="00E47C75"/>
    <w:rsid w:val="00E47CA2"/>
    <w:rsid w:val="00E47CE7"/>
    <w:rsid w:val="00E47D0E"/>
    <w:rsid w:val="00E47D7D"/>
    <w:rsid w:val="00E47D83"/>
    <w:rsid w:val="00E47D9D"/>
    <w:rsid w:val="00E47DB8"/>
    <w:rsid w:val="00E47E2E"/>
    <w:rsid w:val="00E47E83"/>
    <w:rsid w:val="00E47ECD"/>
    <w:rsid w:val="00E47ED8"/>
    <w:rsid w:val="00E47F31"/>
    <w:rsid w:val="00E47F39"/>
    <w:rsid w:val="00E47F6C"/>
    <w:rsid w:val="00E50062"/>
    <w:rsid w:val="00E50064"/>
    <w:rsid w:val="00E50098"/>
    <w:rsid w:val="00E50099"/>
    <w:rsid w:val="00E500A1"/>
    <w:rsid w:val="00E5013D"/>
    <w:rsid w:val="00E50179"/>
    <w:rsid w:val="00E5020F"/>
    <w:rsid w:val="00E50250"/>
    <w:rsid w:val="00E50294"/>
    <w:rsid w:val="00E50320"/>
    <w:rsid w:val="00E5042C"/>
    <w:rsid w:val="00E5042D"/>
    <w:rsid w:val="00E50449"/>
    <w:rsid w:val="00E504B8"/>
    <w:rsid w:val="00E504BA"/>
    <w:rsid w:val="00E50500"/>
    <w:rsid w:val="00E5050E"/>
    <w:rsid w:val="00E50588"/>
    <w:rsid w:val="00E505CB"/>
    <w:rsid w:val="00E505E5"/>
    <w:rsid w:val="00E5068A"/>
    <w:rsid w:val="00E506E9"/>
    <w:rsid w:val="00E506EC"/>
    <w:rsid w:val="00E50717"/>
    <w:rsid w:val="00E5075B"/>
    <w:rsid w:val="00E5075E"/>
    <w:rsid w:val="00E507A0"/>
    <w:rsid w:val="00E5082B"/>
    <w:rsid w:val="00E50838"/>
    <w:rsid w:val="00E50852"/>
    <w:rsid w:val="00E50877"/>
    <w:rsid w:val="00E5089D"/>
    <w:rsid w:val="00E508BC"/>
    <w:rsid w:val="00E508EC"/>
    <w:rsid w:val="00E508FD"/>
    <w:rsid w:val="00E50920"/>
    <w:rsid w:val="00E50A1D"/>
    <w:rsid w:val="00E50A9F"/>
    <w:rsid w:val="00E50AFD"/>
    <w:rsid w:val="00E50B10"/>
    <w:rsid w:val="00E50B39"/>
    <w:rsid w:val="00E50B74"/>
    <w:rsid w:val="00E50B8C"/>
    <w:rsid w:val="00E50BA6"/>
    <w:rsid w:val="00E50C09"/>
    <w:rsid w:val="00E50C13"/>
    <w:rsid w:val="00E50C2C"/>
    <w:rsid w:val="00E50C58"/>
    <w:rsid w:val="00E50C78"/>
    <w:rsid w:val="00E50C81"/>
    <w:rsid w:val="00E50C83"/>
    <w:rsid w:val="00E50C99"/>
    <w:rsid w:val="00E50CB9"/>
    <w:rsid w:val="00E50D6D"/>
    <w:rsid w:val="00E50DD7"/>
    <w:rsid w:val="00E50DDC"/>
    <w:rsid w:val="00E50E59"/>
    <w:rsid w:val="00E50E76"/>
    <w:rsid w:val="00E50EF4"/>
    <w:rsid w:val="00E50F04"/>
    <w:rsid w:val="00E50F15"/>
    <w:rsid w:val="00E50F1B"/>
    <w:rsid w:val="00E50F1D"/>
    <w:rsid w:val="00E50F4F"/>
    <w:rsid w:val="00E50FB5"/>
    <w:rsid w:val="00E50FD8"/>
    <w:rsid w:val="00E51060"/>
    <w:rsid w:val="00E510FE"/>
    <w:rsid w:val="00E51128"/>
    <w:rsid w:val="00E51172"/>
    <w:rsid w:val="00E511A9"/>
    <w:rsid w:val="00E511B2"/>
    <w:rsid w:val="00E51228"/>
    <w:rsid w:val="00E5124D"/>
    <w:rsid w:val="00E5128B"/>
    <w:rsid w:val="00E51345"/>
    <w:rsid w:val="00E513F4"/>
    <w:rsid w:val="00E514A5"/>
    <w:rsid w:val="00E514E4"/>
    <w:rsid w:val="00E514E7"/>
    <w:rsid w:val="00E514FC"/>
    <w:rsid w:val="00E5151C"/>
    <w:rsid w:val="00E5151E"/>
    <w:rsid w:val="00E5157F"/>
    <w:rsid w:val="00E515B0"/>
    <w:rsid w:val="00E515C1"/>
    <w:rsid w:val="00E515E9"/>
    <w:rsid w:val="00E51623"/>
    <w:rsid w:val="00E51638"/>
    <w:rsid w:val="00E516AE"/>
    <w:rsid w:val="00E516CB"/>
    <w:rsid w:val="00E5172D"/>
    <w:rsid w:val="00E51752"/>
    <w:rsid w:val="00E51766"/>
    <w:rsid w:val="00E51780"/>
    <w:rsid w:val="00E517E7"/>
    <w:rsid w:val="00E517EC"/>
    <w:rsid w:val="00E51806"/>
    <w:rsid w:val="00E51812"/>
    <w:rsid w:val="00E5181A"/>
    <w:rsid w:val="00E5184F"/>
    <w:rsid w:val="00E5185D"/>
    <w:rsid w:val="00E518DD"/>
    <w:rsid w:val="00E518EA"/>
    <w:rsid w:val="00E518F3"/>
    <w:rsid w:val="00E518F9"/>
    <w:rsid w:val="00E5192A"/>
    <w:rsid w:val="00E5193A"/>
    <w:rsid w:val="00E51942"/>
    <w:rsid w:val="00E51974"/>
    <w:rsid w:val="00E519DF"/>
    <w:rsid w:val="00E519E1"/>
    <w:rsid w:val="00E51A29"/>
    <w:rsid w:val="00E51A50"/>
    <w:rsid w:val="00E51AFC"/>
    <w:rsid w:val="00E51B13"/>
    <w:rsid w:val="00E51B66"/>
    <w:rsid w:val="00E51B67"/>
    <w:rsid w:val="00E51BA4"/>
    <w:rsid w:val="00E51BF0"/>
    <w:rsid w:val="00E51C62"/>
    <w:rsid w:val="00E51C70"/>
    <w:rsid w:val="00E51C95"/>
    <w:rsid w:val="00E51CB7"/>
    <w:rsid w:val="00E51CD7"/>
    <w:rsid w:val="00E51D01"/>
    <w:rsid w:val="00E51D39"/>
    <w:rsid w:val="00E51D75"/>
    <w:rsid w:val="00E51E56"/>
    <w:rsid w:val="00E51E82"/>
    <w:rsid w:val="00E51E87"/>
    <w:rsid w:val="00E51EAB"/>
    <w:rsid w:val="00E51EB6"/>
    <w:rsid w:val="00E51ED5"/>
    <w:rsid w:val="00E51F09"/>
    <w:rsid w:val="00E51F59"/>
    <w:rsid w:val="00E51FBF"/>
    <w:rsid w:val="00E52025"/>
    <w:rsid w:val="00E520F1"/>
    <w:rsid w:val="00E52120"/>
    <w:rsid w:val="00E52163"/>
    <w:rsid w:val="00E5216D"/>
    <w:rsid w:val="00E52181"/>
    <w:rsid w:val="00E521B3"/>
    <w:rsid w:val="00E521CC"/>
    <w:rsid w:val="00E521D2"/>
    <w:rsid w:val="00E521DA"/>
    <w:rsid w:val="00E521F3"/>
    <w:rsid w:val="00E521FB"/>
    <w:rsid w:val="00E5220B"/>
    <w:rsid w:val="00E52220"/>
    <w:rsid w:val="00E5224E"/>
    <w:rsid w:val="00E52309"/>
    <w:rsid w:val="00E52350"/>
    <w:rsid w:val="00E52376"/>
    <w:rsid w:val="00E52394"/>
    <w:rsid w:val="00E523FD"/>
    <w:rsid w:val="00E524EE"/>
    <w:rsid w:val="00E52555"/>
    <w:rsid w:val="00E52558"/>
    <w:rsid w:val="00E52574"/>
    <w:rsid w:val="00E52588"/>
    <w:rsid w:val="00E5259E"/>
    <w:rsid w:val="00E525B3"/>
    <w:rsid w:val="00E525DC"/>
    <w:rsid w:val="00E5261A"/>
    <w:rsid w:val="00E52701"/>
    <w:rsid w:val="00E52747"/>
    <w:rsid w:val="00E52774"/>
    <w:rsid w:val="00E5277F"/>
    <w:rsid w:val="00E52788"/>
    <w:rsid w:val="00E527D2"/>
    <w:rsid w:val="00E52880"/>
    <w:rsid w:val="00E528C9"/>
    <w:rsid w:val="00E52904"/>
    <w:rsid w:val="00E52961"/>
    <w:rsid w:val="00E5297A"/>
    <w:rsid w:val="00E5297F"/>
    <w:rsid w:val="00E52A03"/>
    <w:rsid w:val="00E52A6B"/>
    <w:rsid w:val="00E52A85"/>
    <w:rsid w:val="00E52AA4"/>
    <w:rsid w:val="00E52AB5"/>
    <w:rsid w:val="00E52ABD"/>
    <w:rsid w:val="00E52B02"/>
    <w:rsid w:val="00E52B0C"/>
    <w:rsid w:val="00E52B12"/>
    <w:rsid w:val="00E52B18"/>
    <w:rsid w:val="00E52B56"/>
    <w:rsid w:val="00E52B94"/>
    <w:rsid w:val="00E52BAE"/>
    <w:rsid w:val="00E52BC4"/>
    <w:rsid w:val="00E52BDE"/>
    <w:rsid w:val="00E52BEF"/>
    <w:rsid w:val="00E52BF7"/>
    <w:rsid w:val="00E52C13"/>
    <w:rsid w:val="00E52C95"/>
    <w:rsid w:val="00E52CAF"/>
    <w:rsid w:val="00E52CBD"/>
    <w:rsid w:val="00E52D66"/>
    <w:rsid w:val="00E52D6A"/>
    <w:rsid w:val="00E52E2B"/>
    <w:rsid w:val="00E52F06"/>
    <w:rsid w:val="00E52F29"/>
    <w:rsid w:val="00E52F59"/>
    <w:rsid w:val="00E52F9B"/>
    <w:rsid w:val="00E52F9E"/>
    <w:rsid w:val="00E53007"/>
    <w:rsid w:val="00E530F7"/>
    <w:rsid w:val="00E53114"/>
    <w:rsid w:val="00E53130"/>
    <w:rsid w:val="00E5313B"/>
    <w:rsid w:val="00E531AF"/>
    <w:rsid w:val="00E531BB"/>
    <w:rsid w:val="00E5329A"/>
    <w:rsid w:val="00E532B7"/>
    <w:rsid w:val="00E53303"/>
    <w:rsid w:val="00E53335"/>
    <w:rsid w:val="00E53348"/>
    <w:rsid w:val="00E53434"/>
    <w:rsid w:val="00E53474"/>
    <w:rsid w:val="00E5352F"/>
    <w:rsid w:val="00E53571"/>
    <w:rsid w:val="00E535B3"/>
    <w:rsid w:val="00E535DF"/>
    <w:rsid w:val="00E53600"/>
    <w:rsid w:val="00E5361E"/>
    <w:rsid w:val="00E53690"/>
    <w:rsid w:val="00E536E1"/>
    <w:rsid w:val="00E53720"/>
    <w:rsid w:val="00E53758"/>
    <w:rsid w:val="00E5378F"/>
    <w:rsid w:val="00E537C8"/>
    <w:rsid w:val="00E5382B"/>
    <w:rsid w:val="00E5382D"/>
    <w:rsid w:val="00E53896"/>
    <w:rsid w:val="00E538D4"/>
    <w:rsid w:val="00E538EC"/>
    <w:rsid w:val="00E5391F"/>
    <w:rsid w:val="00E53936"/>
    <w:rsid w:val="00E53938"/>
    <w:rsid w:val="00E5394C"/>
    <w:rsid w:val="00E53950"/>
    <w:rsid w:val="00E53965"/>
    <w:rsid w:val="00E53980"/>
    <w:rsid w:val="00E5398D"/>
    <w:rsid w:val="00E53998"/>
    <w:rsid w:val="00E539B2"/>
    <w:rsid w:val="00E539CE"/>
    <w:rsid w:val="00E539F1"/>
    <w:rsid w:val="00E53A28"/>
    <w:rsid w:val="00E53A31"/>
    <w:rsid w:val="00E53A5D"/>
    <w:rsid w:val="00E53ADD"/>
    <w:rsid w:val="00E53AE0"/>
    <w:rsid w:val="00E53B3E"/>
    <w:rsid w:val="00E53B66"/>
    <w:rsid w:val="00E53B6D"/>
    <w:rsid w:val="00E53BA8"/>
    <w:rsid w:val="00E53BBF"/>
    <w:rsid w:val="00E53BD6"/>
    <w:rsid w:val="00E53C32"/>
    <w:rsid w:val="00E53C9A"/>
    <w:rsid w:val="00E53CFE"/>
    <w:rsid w:val="00E53D6D"/>
    <w:rsid w:val="00E53DB7"/>
    <w:rsid w:val="00E53DF9"/>
    <w:rsid w:val="00E53E25"/>
    <w:rsid w:val="00E53E27"/>
    <w:rsid w:val="00E53E43"/>
    <w:rsid w:val="00E53E60"/>
    <w:rsid w:val="00E53EB9"/>
    <w:rsid w:val="00E53ED6"/>
    <w:rsid w:val="00E53F58"/>
    <w:rsid w:val="00E53F6B"/>
    <w:rsid w:val="00E53F78"/>
    <w:rsid w:val="00E53F7B"/>
    <w:rsid w:val="00E53F84"/>
    <w:rsid w:val="00E53F8D"/>
    <w:rsid w:val="00E53FCB"/>
    <w:rsid w:val="00E5402E"/>
    <w:rsid w:val="00E54033"/>
    <w:rsid w:val="00E5403E"/>
    <w:rsid w:val="00E54080"/>
    <w:rsid w:val="00E540B8"/>
    <w:rsid w:val="00E540BF"/>
    <w:rsid w:val="00E5412F"/>
    <w:rsid w:val="00E54144"/>
    <w:rsid w:val="00E54173"/>
    <w:rsid w:val="00E541A1"/>
    <w:rsid w:val="00E541B2"/>
    <w:rsid w:val="00E54220"/>
    <w:rsid w:val="00E54228"/>
    <w:rsid w:val="00E54263"/>
    <w:rsid w:val="00E542A2"/>
    <w:rsid w:val="00E542C0"/>
    <w:rsid w:val="00E542D6"/>
    <w:rsid w:val="00E54313"/>
    <w:rsid w:val="00E54320"/>
    <w:rsid w:val="00E54360"/>
    <w:rsid w:val="00E54384"/>
    <w:rsid w:val="00E5438A"/>
    <w:rsid w:val="00E54394"/>
    <w:rsid w:val="00E543BD"/>
    <w:rsid w:val="00E544AE"/>
    <w:rsid w:val="00E544CB"/>
    <w:rsid w:val="00E544D2"/>
    <w:rsid w:val="00E544D6"/>
    <w:rsid w:val="00E54532"/>
    <w:rsid w:val="00E54534"/>
    <w:rsid w:val="00E5453C"/>
    <w:rsid w:val="00E5454B"/>
    <w:rsid w:val="00E54570"/>
    <w:rsid w:val="00E54578"/>
    <w:rsid w:val="00E545EA"/>
    <w:rsid w:val="00E545F4"/>
    <w:rsid w:val="00E54652"/>
    <w:rsid w:val="00E54668"/>
    <w:rsid w:val="00E546F9"/>
    <w:rsid w:val="00E5472B"/>
    <w:rsid w:val="00E5474E"/>
    <w:rsid w:val="00E547A8"/>
    <w:rsid w:val="00E547B3"/>
    <w:rsid w:val="00E547C2"/>
    <w:rsid w:val="00E547CB"/>
    <w:rsid w:val="00E54878"/>
    <w:rsid w:val="00E548A6"/>
    <w:rsid w:val="00E548C3"/>
    <w:rsid w:val="00E548E6"/>
    <w:rsid w:val="00E54943"/>
    <w:rsid w:val="00E5496E"/>
    <w:rsid w:val="00E5496F"/>
    <w:rsid w:val="00E54975"/>
    <w:rsid w:val="00E54994"/>
    <w:rsid w:val="00E54A88"/>
    <w:rsid w:val="00E54A96"/>
    <w:rsid w:val="00E54AF8"/>
    <w:rsid w:val="00E54B0D"/>
    <w:rsid w:val="00E54B10"/>
    <w:rsid w:val="00E54B31"/>
    <w:rsid w:val="00E54B4B"/>
    <w:rsid w:val="00E54B98"/>
    <w:rsid w:val="00E54BCA"/>
    <w:rsid w:val="00E54C3E"/>
    <w:rsid w:val="00E54C40"/>
    <w:rsid w:val="00E54C95"/>
    <w:rsid w:val="00E54CFC"/>
    <w:rsid w:val="00E54D67"/>
    <w:rsid w:val="00E54D97"/>
    <w:rsid w:val="00E54E8B"/>
    <w:rsid w:val="00E54ED7"/>
    <w:rsid w:val="00E54EE0"/>
    <w:rsid w:val="00E54EEF"/>
    <w:rsid w:val="00E54F13"/>
    <w:rsid w:val="00E54F74"/>
    <w:rsid w:val="00E54F7D"/>
    <w:rsid w:val="00E54FB1"/>
    <w:rsid w:val="00E54FB4"/>
    <w:rsid w:val="00E54FC5"/>
    <w:rsid w:val="00E54FFC"/>
    <w:rsid w:val="00E55014"/>
    <w:rsid w:val="00E550A8"/>
    <w:rsid w:val="00E550B8"/>
    <w:rsid w:val="00E550D8"/>
    <w:rsid w:val="00E550DB"/>
    <w:rsid w:val="00E550E0"/>
    <w:rsid w:val="00E550FC"/>
    <w:rsid w:val="00E55180"/>
    <w:rsid w:val="00E5523A"/>
    <w:rsid w:val="00E5523F"/>
    <w:rsid w:val="00E55243"/>
    <w:rsid w:val="00E55249"/>
    <w:rsid w:val="00E55264"/>
    <w:rsid w:val="00E55291"/>
    <w:rsid w:val="00E552DD"/>
    <w:rsid w:val="00E55307"/>
    <w:rsid w:val="00E55324"/>
    <w:rsid w:val="00E55329"/>
    <w:rsid w:val="00E5533D"/>
    <w:rsid w:val="00E5533E"/>
    <w:rsid w:val="00E553F5"/>
    <w:rsid w:val="00E55440"/>
    <w:rsid w:val="00E55441"/>
    <w:rsid w:val="00E554BD"/>
    <w:rsid w:val="00E554DD"/>
    <w:rsid w:val="00E554E7"/>
    <w:rsid w:val="00E55514"/>
    <w:rsid w:val="00E5553E"/>
    <w:rsid w:val="00E55543"/>
    <w:rsid w:val="00E5555A"/>
    <w:rsid w:val="00E5556F"/>
    <w:rsid w:val="00E55574"/>
    <w:rsid w:val="00E555C7"/>
    <w:rsid w:val="00E5561C"/>
    <w:rsid w:val="00E55675"/>
    <w:rsid w:val="00E55693"/>
    <w:rsid w:val="00E55697"/>
    <w:rsid w:val="00E55717"/>
    <w:rsid w:val="00E5572F"/>
    <w:rsid w:val="00E5574E"/>
    <w:rsid w:val="00E55791"/>
    <w:rsid w:val="00E557EE"/>
    <w:rsid w:val="00E55810"/>
    <w:rsid w:val="00E5583C"/>
    <w:rsid w:val="00E558A8"/>
    <w:rsid w:val="00E558B9"/>
    <w:rsid w:val="00E558DE"/>
    <w:rsid w:val="00E55927"/>
    <w:rsid w:val="00E55941"/>
    <w:rsid w:val="00E55948"/>
    <w:rsid w:val="00E559D2"/>
    <w:rsid w:val="00E55A0A"/>
    <w:rsid w:val="00E55A0E"/>
    <w:rsid w:val="00E55A1B"/>
    <w:rsid w:val="00E55A21"/>
    <w:rsid w:val="00E55A4A"/>
    <w:rsid w:val="00E55A9C"/>
    <w:rsid w:val="00E55AE7"/>
    <w:rsid w:val="00E55B3A"/>
    <w:rsid w:val="00E55B8A"/>
    <w:rsid w:val="00E55BC8"/>
    <w:rsid w:val="00E55C31"/>
    <w:rsid w:val="00E55C85"/>
    <w:rsid w:val="00E55D19"/>
    <w:rsid w:val="00E55D9A"/>
    <w:rsid w:val="00E55DB1"/>
    <w:rsid w:val="00E55DD7"/>
    <w:rsid w:val="00E55E32"/>
    <w:rsid w:val="00E55E3F"/>
    <w:rsid w:val="00E55EC5"/>
    <w:rsid w:val="00E55ED2"/>
    <w:rsid w:val="00E55F19"/>
    <w:rsid w:val="00E55F79"/>
    <w:rsid w:val="00E55F89"/>
    <w:rsid w:val="00E55F9D"/>
    <w:rsid w:val="00E55FAC"/>
    <w:rsid w:val="00E55FB0"/>
    <w:rsid w:val="00E56030"/>
    <w:rsid w:val="00E560B0"/>
    <w:rsid w:val="00E560C1"/>
    <w:rsid w:val="00E56140"/>
    <w:rsid w:val="00E5616E"/>
    <w:rsid w:val="00E56188"/>
    <w:rsid w:val="00E561B9"/>
    <w:rsid w:val="00E561CE"/>
    <w:rsid w:val="00E56212"/>
    <w:rsid w:val="00E5621C"/>
    <w:rsid w:val="00E56294"/>
    <w:rsid w:val="00E562B6"/>
    <w:rsid w:val="00E562BA"/>
    <w:rsid w:val="00E56336"/>
    <w:rsid w:val="00E5636B"/>
    <w:rsid w:val="00E56378"/>
    <w:rsid w:val="00E5637A"/>
    <w:rsid w:val="00E563B0"/>
    <w:rsid w:val="00E563CC"/>
    <w:rsid w:val="00E5642C"/>
    <w:rsid w:val="00E56438"/>
    <w:rsid w:val="00E56446"/>
    <w:rsid w:val="00E56452"/>
    <w:rsid w:val="00E5645B"/>
    <w:rsid w:val="00E564C4"/>
    <w:rsid w:val="00E564D0"/>
    <w:rsid w:val="00E564F9"/>
    <w:rsid w:val="00E5650E"/>
    <w:rsid w:val="00E5655C"/>
    <w:rsid w:val="00E56569"/>
    <w:rsid w:val="00E56578"/>
    <w:rsid w:val="00E565B6"/>
    <w:rsid w:val="00E565C8"/>
    <w:rsid w:val="00E565FB"/>
    <w:rsid w:val="00E56641"/>
    <w:rsid w:val="00E5665A"/>
    <w:rsid w:val="00E56660"/>
    <w:rsid w:val="00E566DF"/>
    <w:rsid w:val="00E56899"/>
    <w:rsid w:val="00E568DE"/>
    <w:rsid w:val="00E56923"/>
    <w:rsid w:val="00E5696A"/>
    <w:rsid w:val="00E56971"/>
    <w:rsid w:val="00E56973"/>
    <w:rsid w:val="00E569BF"/>
    <w:rsid w:val="00E569C2"/>
    <w:rsid w:val="00E569D5"/>
    <w:rsid w:val="00E56A03"/>
    <w:rsid w:val="00E56A07"/>
    <w:rsid w:val="00E56A0E"/>
    <w:rsid w:val="00E56A13"/>
    <w:rsid w:val="00E56A75"/>
    <w:rsid w:val="00E56AA0"/>
    <w:rsid w:val="00E56AA1"/>
    <w:rsid w:val="00E56ABA"/>
    <w:rsid w:val="00E56ABB"/>
    <w:rsid w:val="00E56AC2"/>
    <w:rsid w:val="00E56ACC"/>
    <w:rsid w:val="00E56AD0"/>
    <w:rsid w:val="00E56AE0"/>
    <w:rsid w:val="00E56B07"/>
    <w:rsid w:val="00E56B1A"/>
    <w:rsid w:val="00E56B50"/>
    <w:rsid w:val="00E56B5C"/>
    <w:rsid w:val="00E56B6C"/>
    <w:rsid w:val="00E56B8A"/>
    <w:rsid w:val="00E56BE3"/>
    <w:rsid w:val="00E56CAF"/>
    <w:rsid w:val="00E56CC1"/>
    <w:rsid w:val="00E56D0E"/>
    <w:rsid w:val="00E56D6B"/>
    <w:rsid w:val="00E56D70"/>
    <w:rsid w:val="00E56D83"/>
    <w:rsid w:val="00E56D9D"/>
    <w:rsid w:val="00E56DBD"/>
    <w:rsid w:val="00E56DC8"/>
    <w:rsid w:val="00E56DF5"/>
    <w:rsid w:val="00E56E5C"/>
    <w:rsid w:val="00E56EAB"/>
    <w:rsid w:val="00E56EC0"/>
    <w:rsid w:val="00E56EF8"/>
    <w:rsid w:val="00E56F27"/>
    <w:rsid w:val="00E56F75"/>
    <w:rsid w:val="00E57022"/>
    <w:rsid w:val="00E57047"/>
    <w:rsid w:val="00E5705F"/>
    <w:rsid w:val="00E57063"/>
    <w:rsid w:val="00E57120"/>
    <w:rsid w:val="00E57121"/>
    <w:rsid w:val="00E5712B"/>
    <w:rsid w:val="00E57162"/>
    <w:rsid w:val="00E571D0"/>
    <w:rsid w:val="00E571E5"/>
    <w:rsid w:val="00E57286"/>
    <w:rsid w:val="00E572C4"/>
    <w:rsid w:val="00E572F1"/>
    <w:rsid w:val="00E5730C"/>
    <w:rsid w:val="00E57333"/>
    <w:rsid w:val="00E5733E"/>
    <w:rsid w:val="00E5735B"/>
    <w:rsid w:val="00E57381"/>
    <w:rsid w:val="00E573E3"/>
    <w:rsid w:val="00E57408"/>
    <w:rsid w:val="00E5740B"/>
    <w:rsid w:val="00E5744F"/>
    <w:rsid w:val="00E57493"/>
    <w:rsid w:val="00E574AF"/>
    <w:rsid w:val="00E574DA"/>
    <w:rsid w:val="00E5750A"/>
    <w:rsid w:val="00E57511"/>
    <w:rsid w:val="00E57548"/>
    <w:rsid w:val="00E575C4"/>
    <w:rsid w:val="00E57603"/>
    <w:rsid w:val="00E57605"/>
    <w:rsid w:val="00E5761A"/>
    <w:rsid w:val="00E57674"/>
    <w:rsid w:val="00E576EE"/>
    <w:rsid w:val="00E5770F"/>
    <w:rsid w:val="00E57754"/>
    <w:rsid w:val="00E577A6"/>
    <w:rsid w:val="00E577D1"/>
    <w:rsid w:val="00E577DB"/>
    <w:rsid w:val="00E57807"/>
    <w:rsid w:val="00E57817"/>
    <w:rsid w:val="00E5787D"/>
    <w:rsid w:val="00E578D7"/>
    <w:rsid w:val="00E57906"/>
    <w:rsid w:val="00E5790B"/>
    <w:rsid w:val="00E57929"/>
    <w:rsid w:val="00E5795B"/>
    <w:rsid w:val="00E5798D"/>
    <w:rsid w:val="00E579C3"/>
    <w:rsid w:val="00E57A61"/>
    <w:rsid w:val="00E57A78"/>
    <w:rsid w:val="00E57AC8"/>
    <w:rsid w:val="00E57ACA"/>
    <w:rsid w:val="00E57AD3"/>
    <w:rsid w:val="00E57AE1"/>
    <w:rsid w:val="00E57AF6"/>
    <w:rsid w:val="00E57B01"/>
    <w:rsid w:val="00E57B40"/>
    <w:rsid w:val="00E57B5D"/>
    <w:rsid w:val="00E57B75"/>
    <w:rsid w:val="00E57B96"/>
    <w:rsid w:val="00E57BC4"/>
    <w:rsid w:val="00E57BFA"/>
    <w:rsid w:val="00E57C27"/>
    <w:rsid w:val="00E57C2E"/>
    <w:rsid w:val="00E57C4C"/>
    <w:rsid w:val="00E57CD0"/>
    <w:rsid w:val="00E57D66"/>
    <w:rsid w:val="00E57DB2"/>
    <w:rsid w:val="00E57E0F"/>
    <w:rsid w:val="00E57E2B"/>
    <w:rsid w:val="00E57E45"/>
    <w:rsid w:val="00E57E7B"/>
    <w:rsid w:val="00E57FC0"/>
    <w:rsid w:val="00E60022"/>
    <w:rsid w:val="00E6004D"/>
    <w:rsid w:val="00E6005F"/>
    <w:rsid w:val="00E60087"/>
    <w:rsid w:val="00E6008F"/>
    <w:rsid w:val="00E60091"/>
    <w:rsid w:val="00E60095"/>
    <w:rsid w:val="00E600B2"/>
    <w:rsid w:val="00E60150"/>
    <w:rsid w:val="00E601A5"/>
    <w:rsid w:val="00E601B6"/>
    <w:rsid w:val="00E60260"/>
    <w:rsid w:val="00E60291"/>
    <w:rsid w:val="00E602A4"/>
    <w:rsid w:val="00E602AC"/>
    <w:rsid w:val="00E602C4"/>
    <w:rsid w:val="00E60321"/>
    <w:rsid w:val="00E60388"/>
    <w:rsid w:val="00E6039B"/>
    <w:rsid w:val="00E60452"/>
    <w:rsid w:val="00E6047F"/>
    <w:rsid w:val="00E60485"/>
    <w:rsid w:val="00E6051F"/>
    <w:rsid w:val="00E60543"/>
    <w:rsid w:val="00E6054E"/>
    <w:rsid w:val="00E605AC"/>
    <w:rsid w:val="00E605EB"/>
    <w:rsid w:val="00E605F4"/>
    <w:rsid w:val="00E6066E"/>
    <w:rsid w:val="00E606F6"/>
    <w:rsid w:val="00E606FD"/>
    <w:rsid w:val="00E60707"/>
    <w:rsid w:val="00E60742"/>
    <w:rsid w:val="00E6074D"/>
    <w:rsid w:val="00E60755"/>
    <w:rsid w:val="00E607F3"/>
    <w:rsid w:val="00E608B8"/>
    <w:rsid w:val="00E608E2"/>
    <w:rsid w:val="00E608F8"/>
    <w:rsid w:val="00E60952"/>
    <w:rsid w:val="00E6098C"/>
    <w:rsid w:val="00E60A2B"/>
    <w:rsid w:val="00E60A8D"/>
    <w:rsid w:val="00E60AC7"/>
    <w:rsid w:val="00E60AF4"/>
    <w:rsid w:val="00E60B0C"/>
    <w:rsid w:val="00E60B2E"/>
    <w:rsid w:val="00E60B63"/>
    <w:rsid w:val="00E60B8A"/>
    <w:rsid w:val="00E60BA3"/>
    <w:rsid w:val="00E60C0D"/>
    <w:rsid w:val="00E60C67"/>
    <w:rsid w:val="00E60C69"/>
    <w:rsid w:val="00E60CA2"/>
    <w:rsid w:val="00E60CAC"/>
    <w:rsid w:val="00E60CB2"/>
    <w:rsid w:val="00E60CFE"/>
    <w:rsid w:val="00E60D2A"/>
    <w:rsid w:val="00E60D65"/>
    <w:rsid w:val="00E60D83"/>
    <w:rsid w:val="00E60DBC"/>
    <w:rsid w:val="00E60E08"/>
    <w:rsid w:val="00E60E14"/>
    <w:rsid w:val="00E60E36"/>
    <w:rsid w:val="00E60E38"/>
    <w:rsid w:val="00E60EA5"/>
    <w:rsid w:val="00E60EB2"/>
    <w:rsid w:val="00E60ECF"/>
    <w:rsid w:val="00E60ED5"/>
    <w:rsid w:val="00E60F3F"/>
    <w:rsid w:val="00E60FF5"/>
    <w:rsid w:val="00E60FFA"/>
    <w:rsid w:val="00E61020"/>
    <w:rsid w:val="00E6106D"/>
    <w:rsid w:val="00E610A2"/>
    <w:rsid w:val="00E61105"/>
    <w:rsid w:val="00E6111D"/>
    <w:rsid w:val="00E6118A"/>
    <w:rsid w:val="00E6118F"/>
    <w:rsid w:val="00E611DF"/>
    <w:rsid w:val="00E6122F"/>
    <w:rsid w:val="00E61258"/>
    <w:rsid w:val="00E612BB"/>
    <w:rsid w:val="00E612C9"/>
    <w:rsid w:val="00E6134C"/>
    <w:rsid w:val="00E61354"/>
    <w:rsid w:val="00E61379"/>
    <w:rsid w:val="00E61395"/>
    <w:rsid w:val="00E61397"/>
    <w:rsid w:val="00E613A6"/>
    <w:rsid w:val="00E613C0"/>
    <w:rsid w:val="00E613EF"/>
    <w:rsid w:val="00E613F0"/>
    <w:rsid w:val="00E613FE"/>
    <w:rsid w:val="00E61417"/>
    <w:rsid w:val="00E61429"/>
    <w:rsid w:val="00E614ED"/>
    <w:rsid w:val="00E61525"/>
    <w:rsid w:val="00E6153A"/>
    <w:rsid w:val="00E6153D"/>
    <w:rsid w:val="00E61542"/>
    <w:rsid w:val="00E61586"/>
    <w:rsid w:val="00E6159A"/>
    <w:rsid w:val="00E615AE"/>
    <w:rsid w:val="00E615D6"/>
    <w:rsid w:val="00E61604"/>
    <w:rsid w:val="00E6170F"/>
    <w:rsid w:val="00E6176A"/>
    <w:rsid w:val="00E61784"/>
    <w:rsid w:val="00E61788"/>
    <w:rsid w:val="00E61796"/>
    <w:rsid w:val="00E617AC"/>
    <w:rsid w:val="00E617B6"/>
    <w:rsid w:val="00E617D1"/>
    <w:rsid w:val="00E617F3"/>
    <w:rsid w:val="00E617F7"/>
    <w:rsid w:val="00E61806"/>
    <w:rsid w:val="00E61809"/>
    <w:rsid w:val="00E61820"/>
    <w:rsid w:val="00E61883"/>
    <w:rsid w:val="00E6189E"/>
    <w:rsid w:val="00E618D1"/>
    <w:rsid w:val="00E618F4"/>
    <w:rsid w:val="00E61911"/>
    <w:rsid w:val="00E6195A"/>
    <w:rsid w:val="00E61988"/>
    <w:rsid w:val="00E619DA"/>
    <w:rsid w:val="00E619E7"/>
    <w:rsid w:val="00E619F0"/>
    <w:rsid w:val="00E61A19"/>
    <w:rsid w:val="00E61A62"/>
    <w:rsid w:val="00E61A82"/>
    <w:rsid w:val="00E61A90"/>
    <w:rsid w:val="00E61AD6"/>
    <w:rsid w:val="00E61B70"/>
    <w:rsid w:val="00E61BC3"/>
    <w:rsid w:val="00E61BCB"/>
    <w:rsid w:val="00E61BF4"/>
    <w:rsid w:val="00E61C45"/>
    <w:rsid w:val="00E61C56"/>
    <w:rsid w:val="00E61C8A"/>
    <w:rsid w:val="00E61C91"/>
    <w:rsid w:val="00E61C97"/>
    <w:rsid w:val="00E61D7D"/>
    <w:rsid w:val="00E61D99"/>
    <w:rsid w:val="00E61DA9"/>
    <w:rsid w:val="00E61DCE"/>
    <w:rsid w:val="00E61E43"/>
    <w:rsid w:val="00E61E4D"/>
    <w:rsid w:val="00E61E52"/>
    <w:rsid w:val="00E61E57"/>
    <w:rsid w:val="00E61E76"/>
    <w:rsid w:val="00E61E88"/>
    <w:rsid w:val="00E61EA5"/>
    <w:rsid w:val="00E61EAD"/>
    <w:rsid w:val="00E61EB3"/>
    <w:rsid w:val="00E61EB7"/>
    <w:rsid w:val="00E61F30"/>
    <w:rsid w:val="00E61F31"/>
    <w:rsid w:val="00E6200A"/>
    <w:rsid w:val="00E62012"/>
    <w:rsid w:val="00E62015"/>
    <w:rsid w:val="00E6203A"/>
    <w:rsid w:val="00E62052"/>
    <w:rsid w:val="00E620A5"/>
    <w:rsid w:val="00E620C2"/>
    <w:rsid w:val="00E620E5"/>
    <w:rsid w:val="00E6210C"/>
    <w:rsid w:val="00E62110"/>
    <w:rsid w:val="00E62147"/>
    <w:rsid w:val="00E621AA"/>
    <w:rsid w:val="00E621C7"/>
    <w:rsid w:val="00E62234"/>
    <w:rsid w:val="00E622A4"/>
    <w:rsid w:val="00E6230D"/>
    <w:rsid w:val="00E6237C"/>
    <w:rsid w:val="00E623C0"/>
    <w:rsid w:val="00E623C5"/>
    <w:rsid w:val="00E623D2"/>
    <w:rsid w:val="00E62404"/>
    <w:rsid w:val="00E6240A"/>
    <w:rsid w:val="00E62503"/>
    <w:rsid w:val="00E62525"/>
    <w:rsid w:val="00E62654"/>
    <w:rsid w:val="00E6268F"/>
    <w:rsid w:val="00E62697"/>
    <w:rsid w:val="00E626E2"/>
    <w:rsid w:val="00E62720"/>
    <w:rsid w:val="00E62740"/>
    <w:rsid w:val="00E6275D"/>
    <w:rsid w:val="00E627AC"/>
    <w:rsid w:val="00E627BD"/>
    <w:rsid w:val="00E627DA"/>
    <w:rsid w:val="00E628FF"/>
    <w:rsid w:val="00E62933"/>
    <w:rsid w:val="00E62944"/>
    <w:rsid w:val="00E6297A"/>
    <w:rsid w:val="00E62995"/>
    <w:rsid w:val="00E629B6"/>
    <w:rsid w:val="00E629DE"/>
    <w:rsid w:val="00E62A06"/>
    <w:rsid w:val="00E62A27"/>
    <w:rsid w:val="00E62A38"/>
    <w:rsid w:val="00E62A71"/>
    <w:rsid w:val="00E62A9F"/>
    <w:rsid w:val="00E62AAD"/>
    <w:rsid w:val="00E62ADA"/>
    <w:rsid w:val="00E62B33"/>
    <w:rsid w:val="00E62B7A"/>
    <w:rsid w:val="00E62B90"/>
    <w:rsid w:val="00E62BE7"/>
    <w:rsid w:val="00E62CD6"/>
    <w:rsid w:val="00E62D35"/>
    <w:rsid w:val="00E62D3F"/>
    <w:rsid w:val="00E62D72"/>
    <w:rsid w:val="00E62DB1"/>
    <w:rsid w:val="00E62DBE"/>
    <w:rsid w:val="00E62DEB"/>
    <w:rsid w:val="00E62DF3"/>
    <w:rsid w:val="00E62E48"/>
    <w:rsid w:val="00E62E54"/>
    <w:rsid w:val="00E62EA2"/>
    <w:rsid w:val="00E62EFA"/>
    <w:rsid w:val="00E62F10"/>
    <w:rsid w:val="00E62F59"/>
    <w:rsid w:val="00E62F6A"/>
    <w:rsid w:val="00E62FCF"/>
    <w:rsid w:val="00E62FD2"/>
    <w:rsid w:val="00E62FE3"/>
    <w:rsid w:val="00E6301D"/>
    <w:rsid w:val="00E63023"/>
    <w:rsid w:val="00E6305B"/>
    <w:rsid w:val="00E63064"/>
    <w:rsid w:val="00E6306C"/>
    <w:rsid w:val="00E63085"/>
    <w:rsid w:val="00E63158"/>
    <w:rsid w:val="00E6315C"/>
    <w:rsid w:val="00E63167"/>
    <w:rsid w:val="00E63177"/>
    <w:rsid w:val="00E63195"/>
    <w:rsid w:val="00E631A5"/>
    <w:rsid w:val="00E63267"/>
    <w:rsid w:val="00E6326E"/>
    <w:rsid w:val="00E63271"/>
    <w:rsid w:val="00E632C5"/>
    <w:rsid w:val="00E63326"/>
    <w:rsid w:val="00E63361"/>
    <w:rsid w:val="00E63365"/>
    <w:rsid w:val="00E63370"/>
    <w:rsid w:val="00E6337F"/>
    <w:rsid w:val="00E6338D"/>
    <w:rsid w:val="00E633BE"/>
    <w:rsid w:val="00E63418"/>
    <w:rsid w:val="00E63435"/>
    <w:rsid w:val="00E6345C"/>
    <w:rsid w:val="00E63469"/>
    <w:rsid w:val="00E634C3"/>
    <w:rsid w:val="00E634E8"/>
    <w:rsid w:val="00E634F4"/>
    <w:rsid w:val="00E63527"/>
    <w:rsid w:val="00E63545"/>
    <w:rsid w:val="00E63547"/>
    <w:rsid w:val="00E635D5"/>
    <w:rsid w:val="00E63653"/>
    <w:rsid w:val="00E63660"/>
    <w:rsid w:val="00E6366A"/>
    <w:rsid w:val="00E63677"/>
    <w:rsid w:val="00E6367E"/>
    <w:rsid w:val="00E63685"/>
    <w:rsid w:val="00E636AE"/>
    <w:rsid w:val="00E636C9"/>
    <w:rsid w:val="00E63753"/>
    <w:rsid w:val="00E6378E"/>
    <w:rsid w:val="00E63794"/>
    <w:rsid w:val="00E6379F"/>
    <w:rsid w:val="00E637A0"/>
    <w:rsid w:val="00E637FB"/>
    <w:rsid w:val="00E63892"/>
    <w:rsid w:val="00E638BE"/>
    <w:rsid w:val="00E638EE"/>
    <w:rsid w:val="00E6395E"/>
    <w:rsid w:val="00E63977"/>
    <w:rsid w:val="00E639BC"/>
    <w:rsid w:val="00E639CE"/>
    <w:rsid w:val="00E63A96"/>
    <w:rsid w:val="00E63AB4"/>
    <w:rsid w:val="00E63AEF"/>
    <w:rsid w:val="00E63B21"/>
    <w:rsid w:val="00E63B2D"/>
    <w:rsid w:val="00E63B33"/>
    <w:rsid w:val="00E63B38"/>
    <w:rsid w:val="00E63BB6"/>
    <w:rsid w:val="00E63BD6"/>
    <w:rsid w:val="00E63BF1"/>
    <w:rsid w:val="00E63BF4"/>
    <w:rsid w:val="00E63C21"/>
    <w:rsid w:val="00E63C44"/>
    <w:rsid w:val="00E63C58"/>
    <w:rsid w:val="00E63C6D"/>
    <w:rsid w:val="00E63C85"/>
    <w:rsid w:val="00E63CE6"/>
    <w:rsid w:val="00E63D11"/>
    <w:rsid w:val="00E63D1C"/>
    <w:rsid w:val="00E63D23"/>
    <w:rsid w:val="00E63D3A"/>
    <w:rsid w:val="00E63D53"/>
    <w:rsid w:val="00E63D78"/>
    <w:rsid w:val="00E63D84"/>
    <w:rsid w:val="00E63DCD"/>
    <w:rsid w:val="00E63E49"/>
    <w:rsid w:val="00E63E53"/>
    <w:rsid w:val="00E63E54"/>
    <w:rsid w:val="00E63F12"/>
    <w:rsid w:val="00E63F17"/>
    <w:rsid w:val="00E63FD0"/>
    <w:rsid w:val="00E63FD1"/>
    <w:rsid w:val="00E6402E"/>
    <w:rsid w:val="00E64036"/>
    <w:rsid w:val="00E64147"/>
    <w:rsid w:val="00E64165"/>
    <w:rsid w:val="00E6416A"/>
    <w:rsid w:val="00E641AF"/>
    <w:rsid w:val="00E64204"/>
    <w:rsid w:val="00E6423D"/>
    <w:rsid w:val="00E64256"/>
    <w:rsid w:val="00E64269"/>
    <w:rsid w:val="00E64282"/>
    <w:rsid w:val="00E64285"/>
    <w:rsid w:val="00E642D0"/>
    <w:rsid w:val="00E64329"/>
    <w:rsid w:val="00E643F9"/>
    <w:rsid w:val="00E64444"/>
    <w:rsid w:val="00E64453"/>
    <w:rsid w:val="00E64497"/>
    <w:rsid w:val="00E644BF"/>
    <w:rsid w:val="00E644DD"/>
    <w:rsid w:val="00E644E0"/>
    <w:rsid w:val="00E6451E"/>
    <w:rsid w:val="00E6454B"/>
    <w:rsid w:val="00E6458C"/>
    <w:rsid w:val="00E645B6"/>
    <w:rsid w:val="00E64603"/>
    <w:rsid w:val="00E6460B"/>
    <w:rsid w:val="00E6462B"/>
    <w:rsid w:val="00E6462D"/>
    <w:rsid w:val="00E6463B"/>
    <w:rsid w:val="00E64696"/>
    <w:rsid w:val="00E64759"/>
    <w:rsid w:val="00E6475C"/>
    <w:rsid w:val="00E647E2"/>
    <w:rsid w:val="00E647F3"/>
    <w:rsid w:val="00E64819"/>
    <w:rsid w:val="00E6481E"/>
    <w:rsid w:val="00E648D1"/>
    <w:rsid w:val="00E648F1"/>
    <w:rsid w:val="00E6492E"/>
    <w:rsid w:val="00E64957"/>
    <w:rsid w:val="00E64964"/>
    <w:rsid w:val="00E649C0"/>
    <w:rsid w:val="00E64A5C"/>
    <w:rsid w:val="00E64AA0"/>
    <w:rsid w:val="00E64ADA"/>
    <w:rsid w:val="00E64B08"/>
    <w:rsid w:val="00E64B34"/>
    <w:rsid w:val="00E64B35"/>
    <w:rsid w:val="00E64BA0"/>
    <w:rsid w:val="00E64C37"/>
    <w:rsid w:val="00E64C45"/>
    <w:rsid w:val="00E64CD4"/>
    <w:rsid w:val="00E64CF8"/>
    <w:rsid w:val="00E64D20"/>
    <w:rsid w:val="00E64DBC"/>
    <w:rsid w:val="00E64DC1"/>
    <w:rsid w:val="00E64E1A"/>
    <w:rsid w:val="00E64E26"/>
    <w:rsid w:val="00E64E3F"/>
    <w:rsid w:val="00E64E41"/>
    <w:rsid w:val="00E64E99"/>
    <w:rsid w:val="00E64EAE"/>
    <w:rsid w:val="00E64EB6"/>
    <w:rsid w:val="00E64EEA"/>
    <w:rsid w:val="00E64EF7"/>
    <w:rsid w:val="00E64F05"/>
    <w:rsid w:val="00E64F5D"/>
    <w:rsid w:val="00E64F79"/>
    <w:rsid w:val="00E64F8C"/>
    <w:rsid w:val="00E64FA3"/>
    <w:rsid w:val="00E64FA6"/>
    <w:rsid w:val="00E64FFD"/>
    <w:rsid w:val="00E65029"/>
    <w:rsid w:val="00E6502D"/>
    <w:rsid w:val="00E65050"/>
    <w:rsid w:val="00E65062"/>
    <w:rsid w:val="00E65079"/>
    <w:rsid w:val="00E6508E"/>
    <w:rsid w:val="00E650A9"/>
    <w:rsid w:val="00E65121"/>
    <w:rsid w:val="00E65143"/>
    <w:rsid w:val="00E6514B"/>
    <w:rsid w:val="00E65178"/>
    <w:rsid w:val="00E651D4"/>
    <w:rsid w:val="00E651DC"/>
    <w:rsid w:val="00E651F0"/>
    <w:rsid w:val="00E65248"/>
    <w:rsid w:val="00E6524D"/>
    <w:rsid w:val="00E65261"/>
    <w:rsid w:val="00E65297"/>
    <w:rsid w:val="00E6529A"/>
    <w:rsid w:val="00E652DA"/>
    <w:rsid w:val="00E652DD"/>
    <w:rsid w:val="00E65336"/>
    <w:rsid w:val="00E65365"/>
    <w:rsid w:val="00E653BA"/>
    <w:rsid w:val="00E65408"/>
    <w:rsid w:val="00E65412"/>
    <w:rsid w:val="00E6542A"/>
    <w:rsid w:val="00E654F5"/>
    <w:rsid w:val="00E6550A"/>
    <w:rsid w:val="00E65520"/>
    <w:rsid w:val="00E655DA"/>
    <w:rsid w:val="00E656C8"/>
    <w:rsid w:val="00E656D4"/>
    <w:rsid w:val="00E656E8"/>
    <w:rsid w:val="00E6576D"/>
    <w:rsid w:val="00E65775"/>
    <w:rsid w:val="00E65783"/>
    <w:rsid w:val="00E65806"/>
    <w:rsid w:val="00E6580D"/>
    <w:rsid w:val="00E65881"/>
    <w:rsid w:val="00E6588C"/>
    <w:rsid w:val="00E658A0"/>
    <w:rsid w:val="00E658B2"/>
    <w:rsid w:val="00E6592A"/>
    <w:rsid w:val="00E659D5"/>
    <w:rsid w:val="00E659D6"/>
    <w:rsid w:val="00E65A12"/>
    <w:rsid w:val="00E65A43"/>
    <w:rsid w:val="00E65ADA"/>
    <w:rsid w:val="00E65B67"/>
    <w:rsid w:val="00E65B8E"/>
    <w:rsid w:val="00E65B9B"/>
    <w:rsid w:val="00E65BE0"/>
    <w:rsid w:val="00E65BE3"/>
    <w:rsid w:val="00E65C55"/>
    <w:rsid w:val="00E65C75"/>
    <w:rsid w:val="00E65CD1"/>
    <w:rsid w:val="00E65D0C"/>
    <w:rsid w:val="00E65D1B"/>
    <w:rsid w:val="00E65D7B"/>
    <w:rsid w:val="00E65DDB"/>
    <w:rsid w:val="00E65DE2"/>
    <w:rsid w:val="00E65DF2"/>
    <w:rsid w:val="00E65DFC"/>
    <w:rsid w:val="00E65E0B"/>
    <w:rsid w:val="00E65E15"/>
    <w:rsid w:val="00E65E43"/>
    <w:rsid w:val="00E65E48"/>
    <w:rsid w:val="00E65E59"/>
    <w:rsid w:val="00E65ED5"/>
    <w:rsid w:val="00E65F29"/>
    <w:rsid w:val="00E65FA1"/>
    <w:rsid w:val="00E65FCF"/>
    <w:rsid w:val="00E65FE7"/>
    <w:rsid w:val="00E6601C"/>
    <w:rsid w:val="00E66040"/>
    <w:rsid w:val="00E66081"/>
    <w:rsid w:val="00E66099"/>
    <w:rsid w:val="00E660C6"/>
    <w:rsid w:val="00E660D6"/>
    <w:rsid w:val="00E66197"/>
    <w:rsid w:val="00E661B2"/>
    <w:rsid w:val="00E661CE"/>
    <w:rsid w:val="00E66200"/>
    <w:rsid w:val="00E66233"/>
    <w:rsid w:val="00E66275"/>
    <w:rsid w:val="00E66281"/>
    <w:rsid w:val="00E66287"/>
    <w:rsid w:val="00E66289"/>
    <w:rsid w:val="00E662A4"/>
    <w:rsid w:val="00E66373"/>
    <w:rsid w:val="00E66399"/>
    <w:rsid w:val="00E6639B"/>
    <w:rsid w:val="00E663A0"/>
    <w:rsid w:val="00E663D8"/>
    <w:rsid w:val="00E663F2"/>
    <w:rsid w:val="00E6644D"/>
    <w:rsid w:val="00E664AC"/>
    <w:rsid w:val="00E664D9"/>
    <w:rsid w:val="00E664DB"/>
    <w:rsid w:val="00E6658C"/>
    <w:rsid w:val="00E66595"/>
    <w:rsid w:val="00E665F4"/>
    <w:rsid w:val="00E6660E"/>
    <w:rsid w:val="00E6668E"/>
    <w:rsid w:val="00E666F7"/>
    <w:rsid w:val="00E66756"/>
    <w:rsid w:val="00E667C5"/>
    <w:rsid w:val="00E667DB"/>
    <w:rsid w:val="00E66803"/>
    <w:rsid w:val="00E66826"/>
    <w:rsid w:val="00E6685C"/>
    <w:rsid w:val="00E66867"/>
    <w:rsid w:val="00E66884"/>
    <w:rsid w:val="00E66897"/>
    <w:rsid w:val="00E668CA"/>
    <w:rsid w:val="00E668E9"/>
    <w:rsid w:val="00E668EF"/>
    <w:rsid w:val="00E66944"/>
    <w:rsid w:val="00E669DE"/>
    <w:rsid w:val="00E669DF"/>
    <w:rsid w:val="00E669E2"/>
    <w:rsid w:val="00E669F3"/>
    <w:rsid w:val="00E66A31"/>
    <w:rsid w:val="00E66A3F"/>
    <w:rsid w:val="00E66AC2"/>
    <w:rsid w:val="00E66AD0"/>
    <w:rsid w:val="00E66ADC"/>
    <w:rsid w:val="00E66AEC"/>
    <w:rsid w:val="00E66AFA"/>
    <w:rsid w:val="00E66B3A"/>
    <w:rsid w:val="00E66B7D"/>
    <w:rsid w:val="00E66B93"/>
    <w:rsid w:val="00E66BAA"/>
    <w:rsid w:val="00E66BB8"/>
    <w:rsid w:val="00E66BE7"/>
    <w:rsid w:val="00E66C31"/>
    <w:rsid w:val="00E66C39"/>
    <w:rsid w:val="00E66C4E"/>
    <w:rsid w:val="00E66C81"/>
    <w:rsid w:val="00E66C9E"/>
    <w:rsid w:val="00E66CB7"/>
    <w:rsid w:val="00E66D0A"/>
    <w:rsid w:val="00E66D6D"/>
    <w:rsid w:val="00E66DC2"/>
    <w:rsid w:val="00E66E21"/>
    <w:rsid w:val="00E66E9B"/>
    <w:rsid w:val="00E66EDF"/>
    <w:rsid w:val="00E66EE6"/>
    <w:rsid w:val="00E66EF5"/>
    <w:rsid w:val="00E66EF7"/>
    <w:rsid w:val="00E66F39"/>
    <w:rsid w:val="00E66F63"/>
    <w:rsid w:val="00E66FBB"/>
    <w:rsid w:val="00E66FBE"/>
    <w:rsid w:val="00E67008"/>
    <w:rsid w:val="00E6705A"/>
    <w:rsid w:val="00E67098"/>
    <w:rsid w:val="00E6709B"/>
    <w:rsid w:val="00E670A5"/>
    <w:rsid w:val="00E670CE"/>
    <w:rsid w:val="00E6714A"/>
    <w:rsid w:val="00E6719C"/>
    <w:rsid w:val="00E671A3"/>
    <w:rsid w:val="00E671C3"/>
    <w:rsid w:val="00E671F0"/>
    <w:rsid w:val="00E67214"/>
    <w:rsid w:val="00E672B0"/>
    <w:rsid w:val="00E672D2"/>
    <w:rsid w:val="00E67341"/>
    <w:rsid w:val="00E673E3"/>
    <w:rsid w:val="00E67408"/>
    <w:rsid w:val="00E6740E"/>
    <w:rsid w:val="00E67440"/>
    <w:rsid w:val="00E67466"/>
    <w:rsid w:val="00E6746F"/>
    <w:rsid w:val="00E674C8"/>
    <w:rsid w:val="00E67525"/>
    <w:rsid w:val="00E67554"/>
    <w:rsid w:val="00E67558"/>
    <w:rsid w:val="00E675B1"/>
    <w:rsid w:val="00E67688"/>
    <w:rsid w:val="00E6777D"/>
    <w:rsid w:val="00E677DF"/>
    <w:rsid w:val="00E67821"/>
    <w:rsid w:val="00E6785A"/>
    <w:rsid w:val="00E67865"/>
    <w:rsid w:val="00E6786D"/>
    <w:rsid w:val="00E678C3"/>
    <w:rsid w:val="00E67907"/>
    <w:rsid w:val="00E67912"/>
    <w:rsid w:val="00E67977"/>
    <w:rsid w:val="00E67978"/>
    <w:rsid w:val="00E67997"/>
    <w:rsid w:val="00E67A2B"/>
    <w:rsid w:val="00E67A63"/>
    <w:rsid w:val="00E67A87"/>
    <w:rsid w:val="00E67A88"/>
    <w:rsid w:val="00E67B31"/>
    <w:rsid w:val="00E67B60"/>
    <w:rsid w:val="00E67BC1"/>
    <w:rsid w:val="00E67C42"/>
    <w:rsid w:val="00E67C57"/>
    <w:rsid w:val="00E67CA3"/>
    <w:rsid w:val="00E67CC3"/>
    <w:rsid w:val="00E67D2D"/>
    <w:rsid w:val="00E67D4E"/>
    <w:rsid w:val="00E67DDD"/>
    <w:rsid w:val="00E67DDF"/>
    <w:rsid w:val="00E67DEE"/>
    <w:rsid w:val="00E67E08"/>
    <w:rsid w:val="00E67EA9"/>
    <w:rsid w:val="00E67EC2"/>
    <w:rsid w:val="00E67ED3"/>
    <w:rsid w:val="00E67EFA"/>
    <w:rsid w:val="00E67F37"/>
    <w:rsid w:val="00E67F62"/>
    <w:rsid w:val="00E67F6E"/>
    <w:rsid w:val="00E67F98"/>
    <w:rsid w:val="00E67FDD"/>
    <w:rsid w:val="00E7001D"/>
    <w:rsid w:val="00E70089"/>
    <w:rsid w:val="00E7009D"/>
    <w:rsid w:val="00E700F5"/>
    <w:rsid w:val="00E700F7"/>
    <w:rsid w:val="00E70119"/>
    <w:rsid w:val="00E70121"/>
    <w:rsid w:val="00E70148"/>
    <w:rsid w:val="00E70155"/>
    <w:rsid w:val="00E70194"/>
    <w:rsid w:val="00E701E7"/>
    <w:rsid w:val="00E70239"/>
    <w:rsid w:val="00E70243"/>
    <w:rsid w:val="00E70287"/>
    <w:rsid w:val="00E7029A"/>
    <w:rsid w:val="00E702A0"/>
    <w:rsid w:val="00E702A7"/>
    <w:rsid w:val="00E702FF"/>
    <w:rsid w:val="00E7033A"/>
    <w:rsid w:val="00E7037A"/>
    <w:rsid w:val="00E7038A"/>
    <w:rsid w:val="00E703C4"/>
    <w:rsid w:val="00E703D9"/>
    <w:rsid w:val="00E70406"/>
    <w:rsid w:val="00E70448"/>
    <w:rsid w:val="00E70453"/>
    <w:rsid w:val="00E704F5"/>
    <w:rsid w:val="00E70516"/>
    <w:rsid w:val="00E70588"/>
    <w:rsid w:val="00E705C9"/>
    <w:rsid w:val="00E705E0"/>
    <w:rsid w:val="00E70619"/>
    <w:rsid w:val="00E70622"/>
    <w:rsid w:val="00E70651"/>
    <w:rsid w:val="00E70766"/>
    <w:rsid w:val="00E7077C"/>
    <w:rsid w:val="00E70793"/>
    <w:rsid w:val="00E707FA"/>
    <w:rsid w:val="00E70830"/>
    <w:rsid w:val="00E7084C"/>
    <w:rsid w:val="00E70861"/>
    <w:rsid w:val="00E70866"/>
    <w:rsid w:val="00E70870"/>
    <w:rsid w:val="00E708BE"/>
    <w:rsid w:val="00E70901"/>
    <w:rsid w:val="00E70904"/>
    <w:rsid w:val="00E70905"/>
    <w:rsid w:val="00E70909"/>
    <w:rsid w:val="00E70920"/>
    <w:rsid w:val="00E7092E"/>
    <w:rsid w:val="00E7093D"/>
    <w:rsid w:val="00E7095C"/>
    <w:rsid w:val="00E709AB"/>
    <w:rsid w:val="00E709EF"/>
    <w:rsid w:val="00E70A62"/>
    <w:rsid w:val="00E70A78"/>
    <w:rsid w:val="00E70B12"/>
    <w:rsid w:val="00E70B41"/>
    <w:rsid w:val="00E70B7D"/>
    <w:rsid w:val="00E70BAC"/>
    <w:rsid w:val="00E70C17"/>
    <w:rsid w:val="00E70C83"/>
    <w:rsid w:val="00E70C87"/>
    <w:rsid w:val="00E70CA3"/>
    <w:rsid w:val="00E70D3A"/>
    <w:rsid w:val="00E70D4F"/>
    <w:rsid w:val="00E70D82"/>
    <w:rsid w:val="00E70DE0"/>
    <w:rsid w:val="00E70EC8"/>
    <w:rsid w:val="00E70F24"/>
    <w:rsid w:val="00E70F4F"/>
    <w:rsid w:val="00E70F6C"/>
    <w:rsid w:val="00E70F94"/>
    <w:rsid w:val="00E70FDC"/>
    <w:rsid w:val="00E70FEB"/>
    <w:rsid w:val="00E71001"/>
    <w:rsid w:val="00E71062"/>
    <w:rsid w:val="00E7106D"/>
    <w:rsid w:val="00E71072"/>
    <w:rsid w:val="00E71073"/>
    <w:rsid w:val="00E71098"/>
    <w:rsid w:val="00E710D4"/>
    <w:rsid w:val="00E710D7"/>
    <w:rsid w:val="00E71139"/>
    <w:rsid w:val="00E7118C"/>
    <w:rsid w:val="00E711B5"/>
    <w:rsid w:val="00E711BA"/>
    <w:rsid w:val="00E711C6"/>
    <w:rsid w:val="00E71239"/>
    <w:rsid w:val="00E71250"/>
    <w:rsid w:val="00E7129F"/>
    <w:rsid w:val="00E712B1"/>
    <w:rsid w:val="00E712DB"/>
    <w:rsid w:val="00E71331"/>
    <w:rsid w:val="00E7139B"/>
    <w:rsid w:val="00E713B5"/>
    <w:rsid w:val="00E71470"/>
    <w:rsid w:val="00E71490"/>
    <w:rsid w:val="00E714AD"/>
    <w:rsid w:val="00E714B7"/>
    <w:rsid w:val="00E71537"/>
    <w:rsid w:val="00E7153E"/>
    <w:rsid w:val="00E71543"/>
    <w:rsid w:val="00E715B5"/>
    <w:rsid w:val="00E715C0"/>
    <w:rsid w:val="00E71610"/>
    <w:rsid w:val="00E71623"/>
    <w:rsid w:val="00E71642"/>
    <w:rsid w:val="00E71713"/>
    <w:rsid w:val="00E7172C"/>
    <w:rsid w:val="00E71734"/>
    <w:rsid w:val="00E7173A"/>
    <w:rsid w:val="00E71755"/>
    <w:rsid w:val="00E71774"/>
    <w:rsid w:val="00E71791"/>
    <w:rsid w:val="00E717DB"/>
    <w:rsid w:val="00E71800"/>
    <w:rsid w:val="00E71819"/>
    <w:rsid w:val="00E7183E"/>
    <w:rsid w:val="00E71845"/>
    <w:rsid w:val="00E7188D"/>
    <w:rsid w:val="00E7188F"/>
    <w:rsid w:val="00E718A5"/>
    <w:rsid w:val="00E718AF"/>
    <w:rsid w:val="00E718D0"/>
    <w:rsid w:val="00E71900"/>
    <w:rsid w:val="00E7196F"/>
    <w:rsid w:val="00E71979"/>
    <w:rsid w:val="00E7198D"/>
    <w:rsid w:val="00E719A9"/>
    <w:rsid w:val="00E719E0"/>
    <w:rsid w:val="00E719E2"/>
    <w:rsid w:val="00E719E7"/>
    <w:rsid w:val="00E719E8"/>
    <w:rsid w:val="00E71AF1"/>
    <w:rsid w:val="00E71B0E"/>
    <w:rsid w:val="00E71B2A"/>
    <w:rsid w:val="00E71B8A"/>
    <w:rsid w:val="00E71BF9"/>
    <w:rsid w:val="00E71C0F"/>
    <w:rsid w:val="00E71C23"/>
    <w:rsid w:val="00E71C28"/>
    <w:rsid w:val="00E71C57"/>
    <w:rsid w:val="00E71D11"/>
    <w:rsid w:val="00E71D5C"/>
    <w:rsid w:val="00E71D7C"/>
    <w:rsid w:val="00E71DAC"/>
    <w:rsid w:val="00E71DB4"/>
    <w:rsid w:val="00E71DE5"/>
    <w:rsid w:val="00E71E2F"/>
    <w:rsid w:val="00E71E53"/>
    <w:rsid w:val="00E71E5B"/>
    <w:rsid w:val="00E71E71"/>
    <w:rsid w:val="00E71E72"/>
    <w:rsid w:val="00E71ED8"/>
    <w:rsid w:val="00E71EE7"/>
    <w:rsid w:val="00E71EF4"/>
    <w:rsid w:val="00E71EFC"/>
    <w:rsid w:val="00E71F19"/>
    <w:rsid w:val="00E71FEF"/>
    <w:rsid w:val="00E71FF4"/>
    <w:rsid w:val="00E7201B"/>
    <w:rsid w:val="00E72041"/>
    <w:rsid w:val="00E72048"/>
    <w:rsid w:val="00E72052"/>
    <w:rsid w:val="00E72076"/>
    <w:rsid w:val="00E72091"/>
    <w:rsid w:val="00E720A1"/>
    <w:rsid w:val="00E720C9"/>
    <w:rsid w:val="00E720FD"/>
    <w:rsid w:val="00E7210A"/>
    <w:rsid w:val="00E72148"/>
    <w:rsid w:val="00E72173"/>
    <w:rsid w:val="00E7221F"/>
    <w:rsid w:val="00E7227F"/>
    <w:rsid w:val="00E722F4"/>
    <w:rsid w:val="00E72326"/>
    <w:rsid w:val="00E72375"/>
    <w:rsid w:val="00E7242E"/>
    <w:rsid w:val="00E72475"/>
    <w:rsid w:val="00E72496"/>
    <w:rsid w:val="00E724A9"/>
    <w:rsid w:val="00E7250A"/>
    <w:rsid w:val="00E7252F"/>
    <w:rsid w:val="00E72533"/>
    <w:rsid w:val="00E7254C"/>
    <w:rsid w:val="00E725A3"/>
    <w:rsid w:val="00E725B6"/>
    <w:rsid w:val="00E725C2"/>
    <w:rsid w:val="00E725CF"/>
    <w:rsid w:val="00E725FE"/>
    <w:rsid w:val="00E7263D"/>
    <w:rsid w:val="00E72644"/>
    <w:rsid w:val="00E7269A"/>
    <w:rsid w:val="00E726D9"/>
    <w:rsid w:val="00E7270A"/>
    <w:rsid w:val="00E7272C"/>
    <w:rsid w:val="00E72793"/>
    <w:rsid w:val="00E72795"/>
    <w:rsid w:val="00E728E5"/>
    <w:rsid w:val="00E7292B"/>
    <w:rsid w:val="00E7299D"/>
    <w:rsid w:val="00E7299E"/>
    <w:rsid w:val="00E7299F"/>
    <w:rsid w:val="00E729BE"/>
    <w:rsid w:val="00E729D9"/>
    <w:rsid w:val="00E729E2"/>
    <w:rsid w:val="00E729EF"/>
    <w:rsid w:val="00E72A21"/>
    <w:rsid w:val="00E72A24"/>
    <w:rsid w:val="00E72A49"/>
    <w:rsid w:val="00E72A59"/>
    <w:rsid w:val="00E72A76"/>
    <w:rsid w:val="00E72ACE"/>
    <w:rsid w:val="00E72B1B"/>
    <w:rsid w:val="00E72B2D"/>
    <w:rsid w:val="00E72B66"/>
    <w:rsid w:val="00E72BA0"/>
    <w:rsid w:val="00E72BA1"/>
    <w:rsid w:val="00E72BA2"/>
    <w:rsid w:val="00E72BB9"/>
    <w:rsid w:val="00E72BDD"/>
    <w:rsid w:val="00E72C9E"/>
    <w:rsid w:val="00E72D3C"/>
    <w:rsid w:val="00E72D4C"/>
    <w:rsid w:val="00E72DD3"/>
    <w:rsid w:val="00E72E48"/>
    <w:rsid w:val="00E72E4D"/>
    <w:rsid w:val="00E72E75"/>
    <w:rsid w:val="00E72E83"/>
    <w:rsid w:val="00E72EA6"/>
    <w:rsid w:val="00E72EC3"/>
    <w:rsid w:val="00E72EC4"/>
    <w:rsid w:val="00E72EE9"/>
    <w:rsid w:val="00E72F29"/>
    <w:rsid w:val="00E72F57"/>
    <w:rsid w:val="00E72F6D"/>
    <w:rsid w:val="00E72FCE"/>
    <w:rsid w:val="00E73093"/>
    <w:rsid w:val="00E730BB"/>
    <w:rsid w:val="00E730C1"/>
    <w:rsid w:val="00E730DE"/>
    <w:rsid w:val="00E730FD"/>
    <w:rsid w:val="00E73116"/>
    <w:rsid w:val="00E7313A"/>
    <w:rsid w:val="00E7315A"/>
    <w:rsid w:val="00E731A8"/>
    <w:rsid w:val="00E731C5"/>
    <w:rsid w:val="00E73200"/>
    <w:rsid w:val="00E73263"/>
    <w:rsid w:val="00E73265"/>
    <w:rsid w:val="00E7326A"/>
    <w:rsid w:val="00E732AA"/>
    <w:rsid w:val="00E732E1"/>
    <w:rsid w:val="00E73325"/>
    <w:rsid w:val="00E73356"/>
    <w:rsid w:val="00E73383"/>
    <w:rsid w:val="00E733F0"/>
    <w:rsid w:val="00E7343A"/>
    <w:rsid w:val="00E7348E"/>
    <w:rsid w:val="00E734EF"/>
    <w:rsid w:val="00E734F0"/>
    <w:rsid w:val="00E734F3"/>
    <w:rsid w:val="00E73505"/>
    <w:rsid w:val="00E73534"/>
    <w:rsid w:val="00E73552"/>
    <w:rsid w:val="00E73574"/>
    <w:rsid w:val="00E735BD"/>
    <w:rsid w:val="00E735C5"/>
    <w:rsid w:val="00E73601"/>
    <w:rsid w:val="00E73606"/>
    <w:rsid w:val="00E7369E"/>
    <w:rsid w:val="00E736AE"/>
    <w:rsid w:val="00E736DC"/>
    <w:rsid w:val="00E7371B"/>
    <w:rsid w:val="00E73730"/>
    <w:rsid w:val="00E7376E"/>
    <w:rsid w:val="00E7379E"/>
    <w:rsid w:val="00E737F1"/>
    <w:rsid w:val="00E73809"/>
    <w:rsid w:val="00E73851"/>
    <w:rsid w:val="00E73875"/>
    <w:rsid w:val="00E73877"/>
    <w:rsid w:val="00E73895"/>
    <w:rsid w:val="00E73947"/>
    <w:rsid w:val="00E7399B"/>
    <w:rsid w:val="00E739A8"/>
    <w:rsid w:val="00E73A08"/>
    <w:rsid w:val="00E73A28"/>
    <w:rsid w:val="00E73A30"/>
    <w:rsid w:val="00E73AC4"/>
    <w:rsid w:val="00E73AF0"/>
    <w:rsid w:val="00E73B29"/>
    <w:rsid w:val="00E73B39"/>
    <w:rsid w:val="00E73B99"/>
    <w:rsid w:val="00E73C03"/>
    <w:rsid w:val="00E73C19"/>
    <w:rsid w:val="00E73C25"/>
    <w:rsid w:val="00E73C43"/>
    <w:rsid w:val="00E73C6D"/>
    <w:rsid w:val="00E73CAC"/>
    <w:rsid w:val="00E73CCB"/>
    <w:rsid w:val="00E73D65"/>
    <w:rsid w:val="00E73D82"/>
    <w:rsid w:val="00E73D86"/>
    <w:rsid w:val="00E73E21"/>
    <w:rsid w:val="00E73EA1"/>
    <w:rsid w:val="00E73EF6"/>
    <w:rsid w:val="00E73F13"/>
    <w:rsid w:val="00E73F14"/>
    <w:rsid w:val="00E73F73"/>
    <w:rsid w:val="00E73FA5"/>
    <w:rsid w:val="00E73FAE"/>
    <w:rsid w:val="00E73FB4"/>
    <w:rsid w:val="00E73FD8"/>
    <w:rsid w:val="00E74023"/>
    <w:rsid w:val="00E74028"/>
    <w:rsid w:val="00E7409B"/>
    <w:rsid w:val="00E740C2"/>
    <w:rsid w:val="00E7414B"/>
    <w:rsid w:val="00E741C3"/>
    <w:rsid w:val="00E74210"/>
    <w:rsid w:val="00E7426E"/>
    <w:rsid w:val="00E742D2"/>
    <w:rsid w:val="00E74321"/>
    <w:rsid w:val="00E74385"/>
    <w:rsid w:val="00E743B0"/>
    <w:rsid w:val="00E743B2"/>
    <w:rsid w:val="00E743CC"/>
    <w:rsid w:val="00E743CF"/>
    <w:rsid w:val="00E743E0"/>
    <w:rsid w:val="00E74417"/>
    <w:rsid w:val="00E744AF"/>
    <w:rsid w:val="00E7450A"/>
    <w:rsid w:val="00E74543"/>
    <w:rsid w:val="00E745B6"/>
    <w:rsid w:val="00E745F2"/>
    <w:rsid w:val="00E74654"/>
    <w:rsid w:val="00E746D7"/>
    <w:rsid w:val="00E746EC"/>
    <w:rsid w:val="00E74700"/>
    <w:rsid w:val="00E74734"/>
    <w:rsid w:val="00E74743"/>
    <w:rsid w:val="00E747B5"/>
    <w:rsid w:val="00E74809"/>
    <w:rsid w:val="00E7483D"/>
    <w:rsid w:val="00E74860"/>
    <w:rsid w:val="00E74911"/>
    <w:rsid w:val="00E7492F"/>
    <w:rsid w:val="00E74932"/>
    <w:rsid w:val="00E74940"/>
    <w:rsid w:val="00E74981"/>
    <w:rsid w:val="00E749CA"/>
    <w:rsid w:val="00E74A46"/>
    <w:rsid w:val="00E74A4A"/>
    <w:rsid w:val="00E74AC6"/>
    <w:rsid w:val="00E74AD5"/>
    <w:rsid w:val="00E74AE9"/>
    <w:rsid w:val="00E74B0B"/>
    <w:rsid w:val="00E74B0E"/>
    <w:rsid w:val="00E74B58"/>
    <w:rsid w:val="00E74B78"/>
    <w:rsid w:val="00E74BA2"/>
    <w:rsid w:val="00E74BF1"/>
    <w:rsid w:val="00E74C87"/>
    <w:rsid w:val="00E74CC2"/>
    <w:rsid w:val="00E74CC7"/>
    <w:rsid w:val="00E74CD1"/>
    <w:rsid w:val="00E74D2C"/>
    <w:rsid w:val="00E74D2E"/>
    <w:rsid w:val="00E74D32"/>
    <w:rsid w:val="00E74D69"/>
    <w:rsid w:val="00E74DE7"/>
    <w:rsid w:val="00E74DED"/>
    <w:rsid w:val="00E74E32"/>
    <w:rsid w:val="00E74E39"/>
    <w:rsid w:val="00E74E3B"/>
    <w:rsid w:val="00E74E5C"/>
    <w:rsid w:val="00E74E5F"/>
    <w:rsid w:val="00E74E68"/>
    <w:rsid w:val="00E74E6D"/>
    <w:rsid w:val="00E74EFE"/>
    <w:rsid w:val="00E74F9A"/>
    <w:rsid w:val="00E74FA3"/>
    <w:rsid w:val="00E74FAE"/>
    <w:rsid w:val="00E75018"/>
    <w:rsid w:val="00E75037"/>
    <w:rsid w:val="00E7505A"/>
    <w:rsid w:val="00E75087"/>
    <w:rsid w:val="00E7509B"/>
    <w:rsid w:val="00E750E3"/>
    <w:rsid w:val="00E750EB"/>
    <w:rsid w:val="00E75103"/>
    <w:rsid w:val="00E7510F"/>
    <w:rsid w:val="00E75144"/>
    <w:rsid w:val="00E751A3"/>
    <w:rsid w:val="00E751B0"/>
    <w:rsid w:val="00E7521B"/>
    <w:rsid w:val="00E7523A"/>
    <w:rsid w:val="00E75256"/>
    <w:rsid w:val="00E7528E"/>
    <w:rsid w:val="00E752B2"/>
    <w:rsid w:val="00E752C6"/>
    <w:rsid w:val="00E752E0"/>
    <w:rsid w:val="00E752E8"/>
    <w:rsid w:val="00E75317"/>
    <w:rsid w:val="00E75376"/>
    <w:rsid w:val="00E7541C"/>
    <w:rsid w:val="00E7547E"/>
    <w:rsid w:val="00E7548D"/>
    <w:rsid w:val="00E7548F"/>
    <w:rsid w:val="00E754D2"/>
    <w:rsid w:val="00E754D8"/>
    <w:rsid w:val="00E754E2"/>
    <w:rsid w:val="00E75505"/>
    <w:rsid w:val="00E75522"/>
    <w:rsid w:val="00E75556"/>
    <w:rsid w:val="00E75582"/>
    <w:rsid w:val="00E755BE"/>
    <w:rsid w:val="00E755C9"/>
    <w:rsid w:val="00E75601"/>
    <w:rsid w:val="00E75619"/>
    <w:rsid w:val="00E756DF"/>
    <w:rsid w:val="00E75716"/>
    <w:rsid w:val="00E757A1"/>
    <w:rsid w:val="00E7581E"/>
    <w:rsid w:val="00E75842"/>
    <w:rsid w:val="00E75862"/>
    <w:rsid w:val="00E75897"/>
    <w:rsid w:val="00E758B4"/>
    <w:rsid w:val="00E75926"/>
    <w:rsid w:val="00E75993"/>
    <w:rsid w:val="00E75996"/>
    <w:rsid w:val="00E759A5"/>
    <w:rsid w:val="00E759AA"/>
    <w:rsid w:val="00E75A23"/>
    <w:rsid w:val="00E75A77"/>
    <w:rsid w:val="00E75AB3"/>
    <w:rsid w:val="00E75AD0"/>
    <w:rsid w:val="00E75AF6"/>
    <w:rsid w:val="00E75B24"/>
    <w:rsid w:val="00E75B72"/>
    <w:rsid w:val="00E75BA0"/>
    <w:rsid w:val="00E75BCC"/>
    <w:rsid w:val="00E75C44"/>
    <w:rsid w:val="00E75C59"/>
    <w:rsid w:val="00E75C5D"/>
    <w:rsid w:val="00E75C6E"/>
    <w:rsid w:val="00E75C77"/>
    <w:rsid w:val="00E75C97"/>
    <w:rsid w:val="00E75CC5"/>
    <w:rsid w:val="00E75CD6"/>
    <w:rsid w:val="00E75D57"/>
    <w:rsid w:val="00E75E4A"/>
    <w:rsid w:val="00E75E7A"/>
    <w:rsid w:val="00E75EDA"/>
    <w:rsid w:val="00E75EF5"/>
    <w:rsid w:val="00E75EF6"/>
    <w:rsid w:val="00E75F34"/>
    <w:rsid w:val="00E76004"/>
    <w:rsid w:val="00E7603D"/>
    <w:rsid w:val="00E76043"/>
    <w:rsid w:val="00E7606C"/>
    <w:rsid w:val="00E7609D"/>
    <w:rsid w:val="00E760FE"/>
    <w:rsid w:val="00E76139"/>
    <w:rsid w:val="00E76140"/>
    <w:rsid w:val="00E761BC"/>
    <w:rsid w:val="00E761C5"/>
    <w:rsid w:val="00E761CA"/>
    <w:rsid w:val="00E76223"/>
    <w:rsid w:val="00E76238"/>
    <w:rsid w:val="00E76245"/>
    <w:rsid w:val="00E76272"/>
    <w:rsid w:val="00E7634C"/>
    <w:rsid w:val="00E76372"/>
    <w:rsid w:val="00E763C7"/>
    <w:rsid w:val="00E763EA"/>
    <w:rsid w:val="00E76429"/>
    <w:rsid w:val="00E7646F"/>
    <w:rsid w:val="00E7648C"/>
    <w:rsid w:val="00E764BE"/>
    <w:rsid w:val="00E764C0"/>
    <w:rsid w:val="00E764C4"/>
    <w:rsid w:val="00E764ED"/>
    <w:rsid w:val="00E76569"/>
    <w:rsid w:val="00E765F5"/>
    <w:rsid w:val="00E765F9"/>
    <w:rsid w:val="00E7661F"/>
    <w:rsid w:val="00E7662D"/>
    <w:rsid w:val="00E7668B"/>
    <w:rsid w:val="00E766AB"/>
    <w:rsid w:val="00E766F4"/>
    <w:rsid w:val="00E7671F"/>
    <w:rsid w:val="00E767CB"/>
    <w:rsid w:val="00E767D7"/>
    <w:rsid w:val="00E768D2"/>
    <w:rsid w:val="00E768F1"/>
    <w:rsid w:val="00E768FD"/>
    <w:rsid w:val="00E7693B"/>
    <w:rsid w:val="00E76941"/>
    <w:rsid w:val="00E769E7"/>
    <w:rsid w:val="00E76A02"/>
    <w:rsid w:val="00E76A39"/>
    <w:rsid w:val="00E76A3A"/>
    <w:rsid w:val="00E76A50"/>
    <w:rsid w:val="00E76A7D"/>
    <w:rsid w:val="00E76A87"/>
    <w:rsid w:val="00E76AA1"/>
    <w:rsid w:val="00E76AAC"/>
    <w:rsid w:val="00E76AB4"/>
    <w:rsid w:val="00E76B24"/>
    <w:rsid w:val="00E76BBB"/>
    <w:rsid w:val="00E76BCD"/>
    <w:rsid w:val="00E76C0E"/>
    <w:rsid w:val="00E76C32"/>
    <w:rsid w:val="00E76C37"/>
    <w:rsid w:val="00E76C3B"/>
    <w:rsid w:val="00E76C57"/>
    <w:rsid w:val="00E76CA1"/>
    <w:rsid w:val="00E76CD7"/>
    <w:rsid w:val="00E76CE3"/>
    <w:rsid w:val="00E76CFC"/>
    <w:rsid w:val="00E76CFF"/>
    <w:rsid w:val="00E76D07"/>
    <w:rsid w:val="00E76D35"/>
    <w:rsid w:val="00E76D67"/>
    <w:rsid w:val="00E76DBB"/>
    <w:rsid w:val="00E76E06"/>
    <w:rsid w:val="00E76E18"/>
    <w:rsid w:val="00E76E1B"/>
    <w:rsid w:val="00E76E71"/>
    <w:rsid w:val="00E76F16"/>
    <w:rsid w:val="00E76F64"/>
    <w:rsid w:val="00E76FC4"/>
    <w:rsid w:val="00E76FCF"/>
    <w:rsid w:val="00E77012"/>
    <w:rsid w:val="00E770A6"/>
    <w:rsid w:val="00E770A9"/>
    <w:rsid w:val="00E77165"/>
    <w:rsid w:val="00E771C6"/>
    <w:rsid w:val="00E7724B"/>
    <w:rsid w:val="00E7724F"/>
    <w:rsid w:val="00E772BD"/>
    <w:rsid w:val="00E772F3"/>
    <w:rsid w:val="00E77305"/>
    <w:rsid w:val="00E77330"/>
    <w:rsid w:val="00E7746C"/>
    <w:rsid w:val="00E7749A"/>
    <w:rsid w:val="00E7749E"/>
    <w:rsid w:val="00E774FC"/>
    <w:rsid w:val="00E77503"/>
    <w:rsid w:val="00E7751E"/>
    <w:rsid w:val="00E7755C"/>
    <w:rsid w:val="00E77566"/>
    <w:rsid w:val="00E77620"/>
    <w:rsid w:val="00E77630"/>
    <w:rsid w:val="00E77664"/>
    <w:rsid w:val="00E77669"/>
    <w:rsid w:val="00E776A7"/>
    <w:rsid w:val="00E776D8"/>
    <w:rsid w:val="00E776F7"/>
    <w:rsid w:val="00E7770F"/>
    <w:rsid w:val="00E7776A"/>
    <w:rsid w:val="00E777D3"/>
    <w:rsid w:val="00E777E4"/>
    <w:rsid w:val="00E777E9"/>
    <w:rsid w:val="00E77800"/>
    <w:rsid w:val="00E77886"/>
    <w:rsid w:val="00E779C2"/>
    <w:rsid w:val="00E779EA"/>
    <w:rsid w:val="00E779FC"/>
    <w:rsid w:val="00E77ACB"/>
    <w:rsid w:val="00E77ADA"/>
    <w:rsid w:val="00E77B67"/>
    <w:rsid w:val="00E77B69"/>
    <w:rsid w:val="00E77B9F"/>
    <w:rsid w:val="00E77BB2"/>
    <w:rsid w:val="00E77C47"/>
    <w:rsid w:val="00E77C4A"/>
    <w:rsid w:val="00E77D4F"/>
    <w:rsid w:val="00E77D5E"/>
    <w:rsid w:val="00E77D68"/>
    <w:rsid w:val="00E77DCB"/>
    <w:rsid w:val="00E77DD0"/>
    <w:rsid w:val="00E77DE9"/>
    <w:rsid w:val="00E77E17"/>
    <w:rsid w:val="00E77E44"/>
    <w:rsid w:val="00E77F49"/>
    <w:rsid w:val="00E77FB2"/>
    <w:rsid w:val="00E77FDA"/>
    <w:rsid w:val="00E80054"/>
    <w:rsid w:val="00E80085"/>
    <w:rsid w:val="00E800D4"/>
    <w:rsid w:val="00E800DE"/>
    <w:rsid w:val="00E800DF"/>
    <w:rsid w:val="00E800F7"/>
    <w:rsid w:val="00E8011A"/>
    <w:rsid w:val="00E801AA"/>
    <w:rsid w:val="00E801F2"/>
    <w:rsid w:val="00E8020D"/>
    <w:rsid w:val="00E8025F"/>
    <w:rsid w:val="00E802B0"/>
    <w:rsid w:val="00E802BE"/>
    <w:rsid w:val="00E802CC"/>
    <w:rsid w:val="00E80311"/>
    <w:rsid w:val="00E8032A"/>
    <w:rsid w:val="00E803E3"/>
    <w:rsid w:val="00E80412"/>
    <w:rsid w:val="00E80456"/>
    <w:rsid w:val="00E80470"/>
    <w:rsid w:val="00E804D0"/>
    <w:rsid w:val="00E804E7"/>
    <w:rsid w:val="00E8050E"/>
    <w:rsid w:val="00E80541"/>
    <w:rsid w:val="00E8054D"/>
    <w:rsid w:val="00E805AD"/>
    <w:rsid w:val="00E80612"/>
    <w:rsid w:val="00E8062E"/>
    <w:rsid w:val="00E80669"/>
    <w:rsid w:val="00E80670"/>
    <w:rsid w:val="00E806B2"/>
    <w:rsid w:val="00E80701"/>
    <w:rsid w:val="00E80708"/>
    <w:rsid w:val="00E80789"/>
    <w:rsid w:val="00E807B8"/>
    <w:rsid w:val="00E80802"/>
    <w:rsid w:val="00E80804"/>
    <w:rsid w:val="00E808C2"/>
    <w:rsid w:val="00E808E9"/>
    <w:rsid w:val="00E808FE"/>
    <w:rsid w:val="00E8096B"/>
    <w:rsid w:val="00E80975"/>
    <w:rsid w:val="00E809AF"/>
    <w:rsid w:val="00E80AB5"/>
    <w:rsid w:val="00E80ADE"/>
    <w:rsid w:val="00E80AF2"/>
    <w:rsid w:val="00E80B02"/>
    <w:rsid w:val="00E80BA8"/>
    <w:rsid w:val="00E80BD8"/>
    <w:rsid w:val="00E80C0A"/>
    <w:rsid w:val="00E80C8C"/>
    <w:rsid w:val="00E80C9D"/>
    <w:rsid w:val="00E80CD7"/>
    <w:rsid w:val="00E80CF5"/>
    <w:rsid w:val="00E80D3B"/>
    <w:rsid w:val="00E80D95"/>
    <w:rsid w:val="00E80D9A"/>
    <w:rsid w:val="00E80DA1"/>
    <w:rsid w:val="00E80DBF"/>
    <w:rsid w:val="00E80DFF"/>
    <w:rsid w:val="00E80E8F"/>
    <w:rsid w:val="00E80EA0"/>
    <w:rsid w:val="00E80F05"/>
    <w:rsid w:val="00E80FD5"/>
    <w:rsid w:val="00E80FDF"/>
    <w:rsid w:val="00E81031"/>
    <w:rsid w:val="00E81037"/>
    <w:rsid w:val="00E81057"/>
    <w:rsid w:val="00E810BF"/>
    <w:rsid w:val="00E81126"/>
    <w:rsid w:val="00E81146"/>
    <w:rsid w:val="00E811C4"/>
    <w:rsid w:val="00E811C9"/>
    <w:rsid w:val="00E811DF"/>
    <w:rsid w:val="00E8120D"/>
    <w:rsid w:val="00E8124F"/>
    <w:rsid w:val="00E81292"/>
    <w:rsid w:val="00E812C7"/>
    <w:rsid w:val="00E81330"/>
    <w:rsid w:val="00E813C8"/>
    <w:rsid w:val="00E813CA"/>
    <w:rsid w:val="00E81420"/>
    <w:rsid w:val="00E8142C"/>
    <w:rsid w:val="00E8143E"/>
    <w:rsid w:val="00E81447"/>
    <w:rsid w:val="00E8144D"/>
    <w:rsid w:val="00E81456"/>
    <w:rsid w:val="00E81498"/>
    <w:rsid w:val="00E814FA"/>
    <w:rsid w:val="00E814FD"/>
    <w:rsid w:val="00E81562"/>
    <w:rsid w:val="00E81568"/>
    <w:rsid w:val="00E815AF"/>
    <w:rsid w:val="00E815D0"/>
    <w:rsid w:val="00E8164A"/>
    <w:rsid w:val="00E81660"/>
    <w:rsid w:val="00E81669"/>
    <w:rsid w:val="00E81692"/>
    <w:rsid w:val="00E816EC"/>
    <w:rsid w:val="00E81737"/>
    <w:rsid w:val="00E8175F"/>
    <w:rsid w:val="00E81772"/>
    <w:rsid w:val="00E817EA"/>
    <w:rsid w:val="00E81816"/>
    <w:rsid w:val="00E8181A"/>
    <w:rsid w:val="00E81880"/>
    <w:rsid w:val="00E81899"/>
    <w:rsid w:val="00E8190E"/>
    <w:rsid w:val="00E81956"/>
    <w:rsid w:val="00E81964"/>
    <w:rsid w:val="00E8196F"/>
    <w:rsid w:val="00E81A28"/>
    <w:rsid w:val="00E81A55"/>
    <w:rsid w:val="00E81A99"/>
    <w:rsid w:val="00E81A9A"/>
    <w:rsid w:val="00E81AA3"/>
    <w:rsid w:val="00E81AA8"/>
    <w:rsid w:val="00E81B07"/>
    <w:rsid w:val="00E81B0B"/>
    <w:rsid w:val="00E81B40"/>
    <w:rsid w:val="00E81B4D"/>
    <w:rsid w:val="00E81C23"/>
    <w:rsid w:val="00E81C58"/>
    <w:rsid w:val="00E81CA8"/>
    <w:rsid w:val="00E81CF1"/>
    <w:rsid w:val="00E81DB6"/>
    <w:rsid w:val="00E81DBC"/>
    <w:rsid w:val="00E81E18"/>
    <w:rsid w:val="00E81E22"/>
    <w:rsid w:val="00E81E4F"/>
    <w:rsid w:val="00E81E8D"/>
    <w:rsid w:val="00E81EE2"/>
    <w:rsid w:val="00E81F3A"/>
    <w:rsid w:val="00E81F87"/>
    <w:rsid w:val="00E81FA6"/>
    <w:rsid w:val="00E82000"/>
    <w:rsid w:val="00E8216F"/>
    <w:rsid w:val="00E82184"/>
    <w:rsid w:val="00E8219F"/>
    <w:rsid w:val="00E821B5"/>
    <w:rsid w:val="00E82205"/>
    <w:rsid w:val="00E82220"/>
    <w:rsid w:val="00E82277"/>
    <w:rsid w:val="00E8230B"/>
    <w:rsid w:val="00E82316"/>
    <w:rsid w:val="00E82364"/>
    <w:rsid w:val="00E82397"/>
    <w:rsid w:val="00E82417"/>
    <w:rsid w:val="00E82447"/>
    <w:rsid w:val="00E82452"/>
    <w:rsid w:val="00E824BF"/>
    <w:rsid w:val="00E824DF"/>
    <w:rsid w:val="00E82529"/>
    <w:rsid w:val="00E82569"/>
    <w:rsid w:val="00E82577"/>
    <w:rsid w:val="00E82580"/>
    <w:rsid w:val="00E825EC"/>
    <w:rsid w:val="00E82629"/>
    <w:rsid w:val="00E82634"/>
    <w:rsid w:val="00E82652"/>
    <w:rsid w:val="00E8265B"/>
    <w:rsid w:val="00E82664"/>
    <w:rsid w:val="00E8267F"/>
    <w:rsid w:val="00E8268E"/>
    <w:rsid w:val="00E82692"/>
    <w:rsid w:val="00E8275A"/>
    <w:rsid w:val="00E82763"/>
    <w:rsid w:val="00E82769"/>
    <w:rsid w:val="00E827D4"/>
    <w:rsid w:val="00E82815"/>
    <w:rsid w:val="00E82830"/>
    <w:rsid w:val="00E8283A"/>
    <w:rsid w:val="00E82879"/>
    <w:rsid w:val="00E828B5"/>
    <w:rsid w:val="00E828D3"/>
    <w:rsid w:val="00E828DA"/>
    <w:rsid w:val="00E82919"/>
    <w:rsid w:val="00E82930"/>
    <w:rsid w:val="00E82961"/>
    <w:rsid w:val="00E82992"/>
    <w:rsid w:val="00E829BD"/>
    <w:rsid w:val="00E829E4"/>
    <w:rsid w:val="00E829E8"/>
    <w:rsid w:val="00E82A39"/>
    <w:rsid w:val="00E82A6B"/>
    <w:rsid w:val="00E82A82"/>
    <w:rsid w:val="00E82B6A"/>
    <w:rsid w:val="00E82C5A"/>
    <w:rsid w:val="00E82C7E"/>
    <w:rsid w:val="00E82C99"/>
    <w:rsid w:val="00E82CA0"/>
    <w:rsid w:val="00E82D0D"/>
    <w:rsid w:val="00E82D80"/>
    <w:rsid w:val="00E82D81"/>
    <w:rsid w:val="00E82DA0"/>
    <w:rsid w:val="00E82DBE"/>
    <w:rsid w:val="00E82DDC"/>
    <w:rsid w:val="00E82DED"/>
    <w:rsid w:val="00E82E14"/>
    <w:rsid w:val="00E82EB9"/>
    <w:rsid w:val="00E82ED7"/>
    <w:rsid w:val="00E82EDE"/>
    <w:rsid w:val="00E82EE4"/>
    <w:rsid w:val="00E82EE7"/>
    <w:rsid w:val="00E82F5F"/>
    <w:rsid w:val="00E82F67"/>
    <w:rsid w:val="00E82F8D"/>
    <w:rsid w:val="00E82FAD"/>
    <w:rsid w:val="00E82FB3"/>
    <w:rsid w:val="00E82FB9"/>
    <w:rsid w:val="00E82FC4"/>
    <w:rsid w:val="00E82FE0"/>
    <w:rsid w:val="00E82FFF"/>
    <w:rsid w:val="00E8300A"/>
    <w:rsid w:val="00E830CF"/>
    <w:rsid w:val="00E830FF"/>
    <w:rsid w:val="00E8310E"/>
    <w:rsid w:val="00E83131"/>
    <w:rsid w:val="00E8313A"/>
    <w:rsid w:val="00E8314D"/>
    <w:rsid w:val="00E83185"/>
    <w:rsid w:val="00E8319C"/>
    <w:rsid w:val="00E831F9"/>
    <w:rsid w:val="00E8321D"/>
    <w:rsid w:val="00E83291"/>
    <w:rsid w:val="00E832C9"/>
    <w:rsid w:val="00E832FF"/>
    <w:rsid w:val="00E83312"/>
    <w:rsid w:val="00E83354"/>
    <w:rsid w:val="00E8343D"/>
    <w:rsid w:val="00E8343E"/>
    <w:rsid w:val="00E83453"/>
    <w:rsid w:val="00E834D4"/>
    <w:rsid w:val="00E83524"/>
    <w:rsid w:val="00E83538"/>
    <w:rsid w:val="00E8354C"/>
    <w:rsid w:val="00E8357F"/>
    <w:rsid w:val="00E83580"/>
    <w:rsid w:val="00E835A4"/>
    <w:rsid w:val="00E835A8"/>
    <w:rsid w:val="00E835D9"/>
    <w:rsid w:val="00E83719"/>
    <w:rsid w:val="00E83737"/>
    <w:rsid w:val="00E837FE"/>
    <w:rsid w:val="00E83813"/>
    <w:rsid w:val="00E8381E"/>
    <w:rsid w:val="00E838EA"/>
    <w:rsid w:val="00E83906"/>
    <w:rsid w:val="00E83957"/>
    <w:rsid w:val="00E83965"/>
    <w:rsid w:val="00E8397D"/>
    <w:rsid w:val="00E839C9"/>
    <w:rsid w:val="00E839DF"/>
    <w:rsid w:val="00E839E1"/>
    <w:rsid w:val="00E83A39"/>
    <w:rsid w:val="00E83A81"/>
    <w:rsid w:val="00E83AAA"/>
    <w:rsid w:val="00E83AB6"/>
    <w:rsid w:val="00E83AF9"/>
    <w:rsid w:val="00E83B12"/>
    <w:rsid w:val="00E83B8C"/>
    <w:rsid w:val="00E83BBB"/>
    <w:rsid w:val="00E83BBF"/>
    <w:rsid w:val="00E83BFF"/>
    <w:rsid w:val="00E83C1E"/>
    <w:rsid w:val="00E83C4C"/>
    <w:rsid w:val="00E83C62"/>
    <w:rsid w:val="00E83C8E"/>
    <w:rsid w:val="00E83C8F"/>
    <w:rsid w:val="00E83CC1"/>
    <w:rsid w:val="00E83CDD"/>
    <w:rsid w:val="00E83CFB"/>
    <w:rsid w:val="00E83D23"/>
    <w:rsid w:val="00E83D5F"/>
    <w:rsid w:val="00E83D7B"/>
    <w:rsid w:val="00E83E2F"/>
    <w:rsid w:val="00E83E49"/>
    <w:rsid w:val="00E83E56"/>
    <w:rsid w:val="00E83EB0"/>
    <w:rsid w:val="00E83EBB"/>
    <w:rsid w:val="00E83ECE"/>
    <w:rsid w:val="00E83F05"/>
    <w:rsid w:val="00E83F40"/>
    <w:rsid w:val="00E83FA3"/>
    <w:rsid w:val="00E83FC7"/>
    <w:rsid w:val="00E83FCA"/>
    <w:rsid w:val="00E83FDC"/>
    <w:rsid w:val="00E84018"/>
    <w:rsid w:val="00E8404C"/>
    <w:rsid w:val="00E84065"/>
    <w:rsid w:val="00E84093"/>
    <w:rsid w:val="00E840FF"/>
    <w:rsid w:val="00E84130"/>
    <w:rsid w:val="00E84171"/>
    <w:rsid w:val="00E84187"/>
    <w:rsid w:val="00E841BC"/>
    <w:rsid w:val="00E841C0"/>
    <w:rsid w:val="00E84213"/>
    <w:rsid w:val="00E8422C"/>
    <w:rsid w:val="00E8427C"/>
    <w:rsid w:val="00E84291"/>
    <w:rsid w:val="00E842A7"/>
    <w:rsid w:val="00E842B7"/>
    <w:rsid w:val="00E842C2"/>
    <w:rsid w:val="00E842C4"/>
    <w:rsid w:val="00E842E0"/>
    <w:rsid w:val="00E842E6"/>
    <w:rsid w:val="00E84329"/>
    <w:rsid w:val="00E843D3"/>
    <w:rsid w:val="00E84483"/>
    <w:rsid w:val="00E8448D"/>
    <w:rsid w:val="00E844C1"/>
    <w:rsid w:val="00E84500"/>
    <w:rsid w:val="00E8459D"/>
    <w:rsid w:val="00E84654"/>
    <w:rsid w:val="00E846B7"/>
    <w:rsid w:val="00E8475A"/>
    <w:rsid w:val="00E8478C"/>
    <w:rsid w:val="00E847CE"/>
    <w:rsid w:val="00E84834"/>
    <w:rsid w:val="00E8485A"/>
    <w:rsid w:val="00E848F8"/>
    <w:rsid w:val="00E848FD"/>
    <w:rsid w:val="00E84933"/>
    <w:rsid w:val="00E8494D"/>
    <w:rsid w:val="00E84998"/>
    <w:rsid w:val="00E849F9"/>
    <w:rsid w:val="00E84A11"/>
    <w:rsid w:val="00E84A41"/>
    <w:rsid w:val="00E84A8D"/>
    <w:rsid w:val="00E84A9C"/>
    <w:rsid w:val="00E84AA1"/>
    <w:rsid w:val="00E84AB6"/>
    <w:rsid w:val="00E84B17"/>
    <w:rsid w:val="00E84B18"/>
    <w:rsid w:val="00E84BB0"/>
    <w:rsid w:val="00E84BCE"/>
    <w:rsid w:val="00E84BD5"/>
    <w:rsid w:val="00E84CF6"/>
    <w:rsid w:val="00E84D23"/>
    <w:rsid w:val="00E84D51"/>
    <w:rsid w:val="00E84DD8"/>
    <w:rsid w:val="00E84E15"/>
    <w:rsid w:val="00E84E44"/>
    <w:rsid w:val="00E84F2D"/>
    <w:rsid w:val="00E84F51"/>
    <w:rsid w:val="00E84F52"/>
    <w:rsid w:val="00E85061"/>
    <w:rsid w:val="00E85086"/>
    <w:rsid w:val="00E85088"/>
    <w:rsid w:val="00E8510B"/>
    <w:rsid w:val="00E85161"/>
    <w:rsid w:val="00E85190"/>
    <w:rsid w:val="00E851D0"/>
    <w:rsid w:val="00E85288"/>
    <w:rsid w:val="00E852D4"/>
    <w:rsid w:val="00E852D6"/>
    <w:rsid w:val="00E85337"/>
    <w:rsid w:val="00E8538F"/>
    <w:rsid w:val="00E853C5"/>
    <w:rsid w:val="00E853FD"/>
    <w:rsid w:val="00E85476"/>
    <w:rsid w:val="00E854AC"/>
    <w:rsid w:val="00E854CA"/>
    <w:rsid w:val="00E855DF"/>
    <w:rsid w:val="00E85627"/>
    <w:rsid w:val="00E85659"/>
    <w:rsid w:val="00E85679"/>
    <w:rsid w:val="00E856A3"/>
    <w:rsid w:val="00E8575B"/>
    <w:rsid w:val="00E8577A"/>
    <w:rsid w:val="00E857CD"/>
    <w:rsid w:val="00E857FF"/>
    <w:rsid w:val="00E85823"/>
    <w:rsid w:val="00E85828"/>
    <w:rsid w:val="00E85838"/>
    <w:rsid w:val="00E85843"/>
    <w:rsid w:val="00E85890"/>
    <w:rsid w:val="00E858B6"/>
    <w:rsid w:val="00E858B7"/>
    <w:rsid w:val="00E858C4"/>
    <w:rsid w:val="00E858E9"/>
    <w:rsid w:val="00E8592D"/>
    <w:rsid w:val="00E85961"/>
    <w:rsid w:val="00E859AD"/>
    <w:rsid w:val="00E859BA"/>
    <w:rsid w:val="00E85A01"/>
    <w:rsid w:val="00E85A3B"/>
    <w:rsid w:val="00E85A62"/>
    <w:rsid w:val="00E85A68"/>
    <w:rsid w:val="00E85A6A"/>
    <w:rsid w:val="00E85A9A"/>
    <w:rsid w:val="00E85A9C"/>
    <w:rsid w:val="00E85AB3"/>
    <w:rsid w:val="00E85AC2"/>
    <w:rsid w:val="00E85AD6"/>
    <w:rsid w:val="00E85ADA"/>
    <w:rsid w:val="00E85B16"/>
    <w:rsid w:val="00E85B3E"/>
    <w:rsid w:val="00E85B6A"/>
    <w:rsid w:val="00E85B7F"/>
    <w:rsid w:val="00E85B9C"/>
    <w:rsid w:val="00E85C20"/>
    <w:rsid w:val="00E85C65"/>
    <w:rsid w:val="00E85C89"/>
    <w:rsid w:val="00E85C9A"/>
    <w:rsid w:val="00E85CD4"/>
    <w:rsid w:val="00E85CF1"/>
    <w:rsid w:val="00E85D0E"/>
    <w:rsid w:val="00E85D55"/>
    <w:rsid w:val="00E85D9E"/>
    <w:rsid w:val="00E85DB4"/>
    <w:rsid w:val="00E85DEB"/>
    <w:rsid w:val="00E85DF6"/>
    <w:rsid w:val="00E85E22"/>
    <w:rsid w:val="00E85E49"/>
    <w:rsid w:val="00E85E6B"/>
    <w:rsid w:val="00E85EB5"/>
    <w:rsid w:val="00E85EBF"/>
    <w:rsid w:val="00E85F13"/>
    <w:rsid w:val="00E85F19"/>
    <w:rsid w:val="00E85F28"/>
    <w:rsid w:val="00E85F67"/>
    <w:rsid w:val="00E85F89"/>
    <w:rsid w:val="00E85FD0"/>
    <w:rsid w:val="00E85FE7"/>
    <w:rsid w:val="00E8600A"/>
    <w:rsid w:val="00E86062"/>
    <w:rsid w:val="00E86064"/>
    <w:rsid w:val="00E860D0"/>
    <w:rsid w:val="00E860F7"/>
    <w:rsid w:val="00E860FF"/>
    <w:rsid w:val="00E86115"/>
    <w:rsid w:val="00E86146"/>
    <w:rsid w:val="00E86160"/>
    <w:rsid w:val="00E86184"/>
    <w:rsid w:val="00E8625B"/>
    <w:rsid w:val="00E862FE"/>
    <w:rsid w:val="00E86320"/>
    <w:rsid w:val="00E86336"/>
    <w:rsid w:val="00E8636F"/>
    <w:rsid w:val="00E863D3"/>
    <w:rsid w:val="00E86492"/>
    <w:rsid w:val="00E8649E"/>
    <w:rsid w:val="00E864C4"/>
    <w:rsid w:val="00E864D2"/>
    <w:rsid w:val="00E8650C"/>
    <w:rsid w:val="00E86517"/>
    <w:rsid w:val="00E86552"/>
    <w:rsid w:val="00E865B0"/>
    <w:rsid w:val="00E865F0"/>
    <w:rsid w:val="00E865F1"/>
    <w:rsid w:val="00E86602"/>
    <w:rsid w:val="00E86620"/>
    <w:rsid w:val="00E86697"/>
    <w:rsid w:val="00E8669D"/>
    <w:rsid w:val="00E866AC"/>
    <w:rsid w:val="00E866DD"/>
    <w:rsid w:val="00E866E1"/>
    <w:rsid w:val="00E866EA"/>
    <w:rsid w:val="00E86741"/>
    <w:rsid w:val="00E867B9"/>
    <w:rsid w:val="00E867D5"/>
    <w:rsid w:val="00E867EF"/>
    <w:rsid w:val="00E86815"/>
    <w:rsid w:val="00E8681E"/>
    <w:rsid w:val="00E8684A"/>
    <w:rsid w:val="00E86888"/>
    <w:rsid w:val="00E868A7"/>
    <w:rsid w:val="00E868B6"/>
    <w:rsid w:val="00E8690E"/>
    <w:rsid w:val="00E86933"/>
    <w:rsid w:val="00E86977"/>
    <w:rsid w:val="00E869D5"/>
    <w:rsid w:val="00E869EC"/>
    <w:rsid w:val="00E86A7D"/>
    <w:rsid w:val="00E86AF2"/>
    <w:rsid w:val="00E86B62"/>
    <w:rsid w:val="00E86BC5"/>
    <w:rsid w:val="00E86BDA"/>
    <w:rsid w:val="00E86BF5"/>
    <w:rsid w:val="00E86C3D"/>
    <w:rsid w:val="00E86C75"/>
    <w:rsid w:val="00E86C9A"/>
    <w:rsid w:val="00E86CC4"/>
    <w:rsid w:val="00E86D7E"/>
    <w:rsid w:val="00E86DD3"/>
    <w:rsid w:val="00E86E17"/>
    <w:rsid w:val="00E86E77"/>
    <w:rsid w:val="00E86E96"/>
    <w:rsid w:val="00E86EAA"/>
    <w:rsid w:val="00E86EB6"/>
    <w:rsid w:val="00E86F18"/>
    <w:rsid w:val="00E86F28"/>
    <w:rsid w:val="00E86F64"/>
    <w:rsid w:val="00E86F8D"/>
    <w:rsid w:val="00E86F97"/>
    <w:rsid w:val="00E86FA7"/>
    <w:rsid w:val="00E86FBE"/>
    <w:rsid w:val="00E8704D"/>
    <w:rsid w:val="00E870A3"/>
    <w:rsid w:val="00E870DE"/>
    <w:rsid w:val="00E870E1"/>
    <w:rsid w:val="00E87129"/>
    <w:rsid w:val="00E87176"/>
    <w:rsid w:val="00E871B3"/>
    <w:rsid w:val="00E871E9"/>
    <w:rsid w:val="00E87212"/>
    <w:rsid w:val="00E8722F"/>
    <w:rsid w:val="00E87253"/>
    <w:rsid w:val="00E8726E"/>
    <w:rsid w:val="00E8728D"/>
    <w:rsid w:val="00E87292"/>
    <w:rsid w:val="00E8729E"/>
    <w:rsid w:val="00E872C6"/>
    <w:rsid w:val="00E87321"/>
    <w:rsid w:val="00E87361"/>
    <w:rsid w:val="00E87365"/>
    <w:rsid w:val="00E873EE"/>
    <w:rsid w:val="00E87439"/>
    <w:rsid w:val="00E87457"/>
    <w:rsid w:val="00E874B2"/>
    <w:rsid w:val="00E874C7"/>
    <w:rsid w:val="00E87525"/>
    <w:rsid w:val="00E87568"/>
    <w:rsid w:val="00E8758A"/>
    <w:rsid w:val="00E875D8"/>
    <w:rsid w:val="00E8766C"/>
    <w:rsid w:val="00E8766D"/>
    <w:rsid w:val="00E87677"/>
    <w:rsid w:val="00E876E1"/>
    <w:rsid w:val="00E876F7"/>
    <w:rsid w:val="00E87718"/>
    <w:rsid w:val="00E87758"/>
    <w:rsid w:val="00E87799"/>
    <w:rsid w:val="00E877A1"/>
    <w:rsid w:val="00E877B2"/>
    <w:rsid w:val="00E877C6"/>
    <w:rsid w:val="00E877D7"/>
    <w:rsid w:val="00E87873"/>
    <w:rsid w:val="00E8792B"/>
    <w:rsid w:val="00E87996"/>
    <w:rsid w:val="00E879BA"/>
    <w:rsid w:val="00E879C1"/>
    <w:rsid w:val="00E87A88"/>
    <w:rsid w:val="00E87B6E"/>
    <w:rsid w:val="00E87BEC"/>
    <w:rsid w:val="00E87C1B"/>
    <w:rsid w:val="00E87D3B"/>
    <w:rsid w:val="00E87DAE"/>
    <w:rsid w:val="00E87DB7"/>
    <w:rsid w:val="00E87DC5"/>
    <w:rsid w:val="00E87DE3"/>
    <w:rsid w:val="00E87E14"/>
    <w:rsid w:val="00E87E7C"/>
    <w:rsid w:val="00E87EED"/>
    <w:rsid w:val="00E87F1B"/>
    <w:rsid w:val="00E87F5F"/>
    <w:rsid w:val="00E90001"/>
    <w:rsid w:val="00E9000B"/>
    <w:rsid w:val="00E9002C"/>
    <w:rsid w:val="00E90053"/>
    <w:rsid w:val="00E9006C"/>
    <w:rsid w:val="00E90077"/>
    <w:rsid w:val="00E90099"/>
    <w:rsid w:val="00E900B2"/>
    <w:rsid w:val="00E90171"/>
    <w:rsid w:val="00E901BF"/>
    <w:rsid w:val="00E9021F"/>
    <w:rsid w:val="00E90235"/>
    <w:rsid w:val="00E9023C"/>
    <w:rsid w:val="00E90260"/>
    <w:rsid w:val="00E90289"/>
    <w:rsid w:val="00E90298"/>
    <w:rsid w:val="00E902CF"/>
    <w:rsid w:val="00E902F5"/>
    <w:rsid w:val="00E90303"/>
    <w:rsid w:val="00E90308"/>
    <w:rsid w:val="00E9034D"/>
    <w:rsid w:val="00E90358"/>
    <w:rsid w:val="00E9037C"/>
    <w:rsid w:val="00E903FE"/>
    <w:rsid w:val="00E90455"/>
    <w:rsid w:val="00E904BD"/>
    <w:rsid w:val="00E9050D"/>
    <w:rsid w:val="00E90543"/>
    <w:rsid w:val="00E9056D"/>
    <w:rsid w:val="00E90593"/>
    <w:rsid w:val="00E90601"/>
    <w:rsid w:val="00E906D0"/>
    <w:rsid w:val="00E906E0"/>
    <w:rsid w:val="00E90703"/>
    <w:rsid w:val="00E90737"/>
    <w:rsid w:val="00E90741"/>
    <w:rsid w:val="00E90777"/>
    <w:rsid w:val="00E9078B"/>
    <w:rsid w:val="00E90803"/>
    <w:rsid w:val="00E90839"/>
    <w:rsid w:val="00E9084E"/>
    <w:rsid w:val="00E90884"/>
    <w:rsid w:val="00E9097B"/>
    <w:rsid w:val="00E909BE"/>
    <w:rsid w:val="00E909C8"/>
    <w:rsid w:val="00E909CD"/>
    <w:rsid w:val="00E909FE"/>
    <w:rsid w:val="00E90A50"/>
    <w:rsid w:val="00E90A5F"/>
    <w:rsid w:val="00E90AAA"/>
    <w:rsid w:val="00E90ABC"/>
    <w:rsid w:val="00E90AF6"/>
    <w:rsid w:val="00E90B13"/>
    <w:rsid w:val="00E90B19"/>
    <w:rsid w:val="00E90B88"/>
    <w:rsid w:val="00E90B9E"/>
    <w:rsid w:val="00E90BC9"/>
    <w:rsid w:val="00E90BE1"/>
    <w:rsid w:val="00E90C0B"/>
    <w:rsid w:val="00E90C14"/>
    <w:rsid w:val="00E90C4B"/>
    <w:rsid w:val="00E90C84"/>
    <w:rsid w:val="00E90C8F"/>
    <w:rsid w:val="00E90CA6"/>
    <w:rsid w:val="00E90CB7"/>
    <w:rsid w:val="00E90CC3"/>
    <w:rsid w:val="00E90CC8"/>
    <w:rsid w:val="00E90CDF"/>
    <w:rsid w:val="00E90D12"/>
    <w:rsid w:val="00E90DC2"/>
    <w:rsid w:val="00E90E0B"/>
    <w:rsid w:val="00E90E32"/>
    <w:rsid w:val="00E90EE4"/>
    <w:rsid w:val="00E90F5C"/>
    <w:rsid w:val="00E90F89"/>
    <w:rsid w:val="00E91026"/>
    <w:rsid w:val="00E91076"/>
    <w:rsid w:val="00E910C0"/>
    <w:rsid w:val="00E9111A"/>
    <w:rsid w:val="00E91120"/>
    <w:rsid w:val="00E9113D"/>
    <w:rsid w:val="00E9114B"/>
    <w:rsid w:val="00E9115D"/>
    <w:rsid w:val="00E911C2"/>
    <w:rsid w:val="00E91248"/>
    <w:rsid w:val="00E912E4"/>
    <w:rsid w:val="00E91301"/>
    <w:rsid w:val="00E9134E"/>
    <w:rsid w:val="00E91376"/>
    <w:rsid w:val="00E91415"/>
    <w:rsid w:val="00E91421"/>
    <w:rsid w:val="00E91433"/>
    <w:rsid w:val="00E91452"/>
    <w:rsid w:val="00E9146F"/>
    <w:rsid w:val="00E9148D"/>
    <w:rsid w:val="00E914FE"/>
    <w:rsid w:val="00E91500"/>
    <w:rsid w:val="00E9152C"/>
    <w:rsid w:val="00E9153F"/>
    <w:rsid w:val="00E91553"/>
    <w:rsid w:val="00E91590"/>
    <w:rsid w:val="00E915AB"/>
    <w:rsid w:val="00E915CD"/>
    <w:rsid w:val="00E91601"/>
    <w:rsid w:val="00E91614"/>
    <w:rsid w:val="00E9163C"/>
    <w:rsid w:val="00E9164E"/>
    <w:rsid w:val="00E9168B"/>
    <w:rsid w:val="00E9168D"/>
    <w:rsid w:val="00E916D2"/>
    <w:rsid w:val="00E916D9"/>
    <w:rsid w:val="00E91703"/>
    <w:rsid w:val="00E91716"/>
    <w:rsid w:val="00E91812"/>
    <w:rsid w:val="00E91816"/>
    <w:rsid w:val="00E9181B"/>
    <w:rsid w:val="00E918A8"/>
    <w:rsid w:val="00E918BE"/>
    <w:rsid w:val="00E918D0"/>
    <w:rsid w:val="00E918E2"/>
    <w:rsid w:val="00E9196F"/>
    <w:rsid w:val="00E91972"/>
    <w:rsid w:val="00E91985"/>
    <w:rsid w:val="00E91A10"/>
    <w:rsid w:val="00E91A2E"/>
    <w:rsid w:val="00E91A6B"/>
    <w:rsid w:val="00E91A8E"/>
    <w:rsid w:val="00E91A92"/>
    <w:rsid w:val="00E91B22"/>
    <w:rsid w:val="00E91B2E"/>
    <w:rsid w:val="00E91B42"/>
    <w:rsid w:val="00E91BB1"/>
    <w:rsid w:val="00E91BCC"/>
    <w:rsid w:val="00E91BD4"/>
    <w:rsid w:val="00E91BD7"/>
    <w:rsid w:val="00E91C54"/>
    <w:rsid w:val="00E91C69"/>
    <w:rsid w:val="00E91CA1"/>
    <w:rsid w:val="00E91E13"/>
    <w:rsid w:val="00E91E14"/>
    <w:rsid w:val="00E91E23"/>
    <w:rsid w:val="00E91E2C"/>
    <w:rsid w:val="00E91E76"/>
    <w:rsid w:val="00E91E8F"/>
    <w:rsid w:val="00E91E94"/>
    <w:rsid w:val="00E91ED8"/>
    <w:rsid w:val="00E91F0A"/>
    <w:rsid w:val="00E91F1A"/>
    <w:rsid w:val="00E91F72"/>
    <w:rsid w:val="00E91F76"/>
    <w:rsid w:val="00E91F7A"/>
    <w:rsid w:val="00E91FCB"/>
    <w:rsid w:val="00E91FE1"/>
    <w:rsid w:val="00E91FFA"/>
    <w:rsid w:val="00E92012"/>
    <w:rsid w:val="00E920E5"/>
    <w:rsid w:val="00E92112"/>
    <w:rsid w:val="00E9215F"/>
    <w:rsid w:val="00E92164"/>
    <w:rsid w:val="00E921BD"/>
    <w:rsid w:val="00E921EE"/>
    <w:rsid w:val="00E9220D"/>
    <w:rsid w:val="00E9226F"/>
    <w:rsid w:val="00E922AD"/>
    <w:rsid w:val="00E922C1"/>
    <w:rsid w:val="00E92310"/>
    <w:rsid w:val="00E92315"/>
    <w:rsid w:val="00E92368"/>
    <w:rsid w:val="00E92492"/>
    <w:rsid w:val="00E92518"/>
    <w:rsid w:val="00E9251A"/>
    <w:rsid w:val="00E9267E"/>
    <w:rsid w:val="00E926C9"/>
    <w:rsid w:val="00E9271A"/>
    <w:rsid w:val="00E92751"/>
    <w:rsid w:val="00E92752"/>
    <w:rsid w:val="00E9276F"/>
    <w:rsid w:val="00E92797"/>
    <w:rsid w:val="00E927AE"/>
    <w:rsid w:val="00E927B0"/>
    <w:rsid w:val="00E927EA"/>
    <w:rsid w:val="00E9281D"/>
    <w:rsid w:val="00E92852"/>
    <w:rsid w:val="00E9288F"/>
    <w:rsid w:val="00E928A0"/>
    <w:rsid w:val="00E928FC"/>
    <w:rsid w:val="00E92933"/>
    <w:rsid w:val="00E9299C"/>
    <w:rsid w:val="00E929D1"/>
    <w:rsid w:val="00E92A35"/>
    <w:rsid w:val="00E92A37"/>
    <w:rsid w:val="00E92A63"/>
    <w:rsid w:val="00E92A77"/>
    <w:rsid w:val="00E92A99"/>
    <w:rsid w:val="00E92B18"/>
    <w:rsid w:val="00E92BEA"/>
    <w:rsid w:val="00E92C0B"/>
    <w:rsid w:val="00E92C5A"/>
    <w:rsid w:val="00E92C5C"/>
    <w:rsid w:val="00E92CAB"/>
    <w:rsid w:val="00E92D1F"/>
    <w:rsid w:val="00E92D58"/>
    <w:rsid w:val="00E92D74"/>
    <w:rsid w:val="00E92DC0"/>
    <w:rsid w:val="00E92DC2"/>
    <w:rsid w:val="00E92F44"/>
    <w:rsid w:val="00E92F9D"/>
    <w:rsid w:val="00E92FDF"/>
    <w:rsid w:val="00E9301B"/>
    <w:rsid w:val="00E930A8"/>
    <w:rsid w:val="00E930CA"/>
    <w:rsid w:val="00E93291"/>
    <w:rsid w:val="00E9335D"/>
    <w:rsid w:val="00E93365"/>
    <w:rsid w:val="00E933B1"/>
    <w:rsid w:val="00E933ED"/>
    <w:rsid w:val="00E934B4"/>
    <w:rsid w:val="00E93538"/>
    <w:rsid w:val="00E93596"/>
    <w:rsid w:val="00E935A4"/>
    <w:rsid w:val="00E935B5"/>
    <w:rsid w:val="00E935BA"/>
    <w:rsid w:val="00E935C1"/>
    <w:rsid w:val="00E9370A"/>
    <w:rsid w:val="00E93765"/>
    <w:rsid w:val="00E93800"/>
    <w:rsid w:val="00E93837"/>
    <w:rsid w:val="00E9386C"/>
    <w:rsid w:val="00E9390E"/>
    <w:rsid w:val="00E9394F"/>
    <w:rsid w:val="00E93976"/>
    <w:rsid w:val="00E9398A"/>
    <w:rsid w:val="00E939BB"/>
    <w:rsid w:val="00E93A06"/>
    <w:rsid w:val="00E93A33"/>
    <w:rsid w:val="00E93A51"/>
    <w:rsid w:val="00E93A7B"/>
    <w:rsid w:val="00E93A8A"/>
    <w:rsid w:val="00E93B39"/>
    <w:rsid w:val="00E93BB1"/>
    <w:rsid w:val="00E93BF9"/>
    <w:rsid w:val="00E93C01"/>
    <w:rsid w:val="00E93C2E"/>
    <w:rsid w:val="00E93C4B"/>
    <w:rsid w:val="00E93C5E"/>
    <w:rsid w:val="00E93CD1"/>
    <w:rsid w:val="00E93D07"/>
    <w:rsid w:val="00E93D18"/>
    <w:rsid w:val="00E93D1A"/>
    <w:rsid w:val="00E93D2D"/>
    <w:rsid w:val="00E93DB8"/>
    <w:rsid w:val="00E93DC6"/>
    <w:rsid w:val="00E93DF5"/>
    <w:rsid w:val="00E93E7C"/>
    <w:rsid w:val="00E93ED3"/>
    <w:rsid w:val="00E93EE5"/>
    <w:rsid w:val="00E93F0E"/>
    <w:rsid w:val="00E93F5C"/>
    <w:rsid w:val="00E93F87"/>
    <w:rsid w:val="00E93FD4"/>
    <w:rsid w:val="00E94012"/>
    <w:rsid w:val="00E94054"/>
    <w:rsid w:val="00E94056"/>
    <w:rsid w:val="00E94063"/>
    <w:rsid w:val="00E9407B"/>
    <w:rsid w:val="00E94089"/>
    <w:rsid w:val="00E940F1"/>
    <w:rsid w:val="00E940FD"/>
    <w:rsid w:val="00E941BA"/>
    <w:rsid w:val="00E941C5"/>
    <w:rsid w:val="00E941DD"/>
    <w:rsid w:val="00E94202"/>
    <w:rsid w:val="00E94258"/>
    <w:rsid w:val="00E9429D"/>
    <w:rsid w:val="00E942A2"/>
    <w:rsid w:val="00E942AA"/>
    <w:rsid w:val="00E942AE"/>
    <w:rsid w:val="00E942C8"/>
    <w:rsid w:val="00E942D5"/>
    <w:rsid w:val="00E9432D"/>
    <w:rsid w:val="00E94359"/>
    <w:rsid w:val="00E9437B"/>
    <w:rsid w:val="00E943A7"/>
    <w:rsid w:val="00E94424"/>
    <w:rsid w:val="00E94440"/>
    <w:rsid w:val="00E94445"/>
    <w:rsid w:val="00E9449F"/>
    <w:rsid w:val="00E944BF"/>
    <w:rsid w:val="00E944E0"/>
    <w:rsid w:val="00E94516"/>
    <w:rsid w:val="00E9457C"/>
    <w:rsid w:val="00E945D1"/>
    <w:rsid w:val="00E945E6"/>
    <w:rsid w:val="00E9461F"/>
    <w:rsid w:val="00E94635"/>
    <w:rsid w:val="00E94675"/>
    <w:rsid w:val="00E946A1"/>
    <w:rsid w:val="00E946A4"/>
    <w:rsid w:val="00E946CF"/>
    <w:rsid w:val="00E946F4"/>
    <w:rsid w:val="00E94708"/>
    <w:rsid w:val="00E94724"/>
    <w:rsid w:val="00E94741"/>
    <w:rsid w:val="00E94745"/>
    <w:rsid w:val="00E94749"/>
    <w:rsid w:val="00E947A3"/>
    <w:rsid w:val="00E947C6"/>
    <w:rsid w:val="00E947DD"/>
    <w:rsid w:val="00E94811"/>
    <w:rsid w:val="00E9483C"/>
    <w:rsid w:val="00E94843"/>
    <w:rsid w:val="00E94870"/>
    <w:rsid w:val="00E9490D"/>
    <w:rsid w:val="00E94915"/>
    <w:rsid w:val="00E94964"/>
    <w:rsid w:val="00E94987"/>
    <w:rsid w:val="00E949EC"/>
    <w:rsid w:val="00E94A0A"/>
    <w:rsid w:val="00E94A12"/>
    <w:rsid w:val="00E94A1F"/>
    <w:rsid w:val="00E94A41"/>
    <w:rsid w:val="00E94A59"/>
    <w:rsid w:val="00E94AF3"/>
    <w:rsid w:val="00E94B37"/>
    <w:rsid w:val="00E94B53"/>
    <w:rsid w:val="00E94BD6"/>
    <w:rsid w:val="00E94BEF"/>
    <w:rsid w:val="00E94C2D"/>
    <w:rsid w:val="00E94C32"/>
    <w:rsid w:val="00E94C54"/>
    <w:rsid w:val="00E94C68"/>
    <w:rsid w:val="00E94C87"/>
    <w:rsid w:val="00E94CD6"/>
    <w:rsid w:val="00E94D21"/>
    <w:rsid w:val="00E94D2B"/>
    <w:rsid w:val="00E94D86"/>
    <w:rsid w:val="00E94DBD"/>
    <w:rsid w:val="00E94DE2"/>
    <w:rsid w:val="00E94DF9"/>
    <w:rsid w:val="00E94E5D"/>
    <w:rsid w:val="00E94EA7"/>
    <w:rsid w:val="00E94EAF"/>
    <w:rsid w:val="00E94F14"/>
    <w:rsid w:val="00E94F83"/>
    <w:rsid w:val="00E9501E"/>
    <w:rsid w:val="00E95027"/>
    <w:rsid w:val="00E9503F"/>
    <w:rsid w:val="00E95074"/>
    <w:rsid w:val="00E950A4"/>
    <w:rsid w:val="00E950D5"/>
    <w:rsid w:val="00E950FF"/>
    <w:rsid w:val="00E95110"/>
    <w:rsid w:val="00E9516B"/>
    <w:rsid w:val="00E95177"/>
    <w:rsid w:val="00E95194"/>
    <w:rsid w:val="00E95195"/>
    <w:rsid w:val="00E951F2"/>
    <w:rsid w:val="00E951FB"/>
    <w:rsid w:val="00E952D3"/>
    <w:rsid w:val="00E952DA"/>
    <w:rsid w:val="00E9531D"/>
    <w:rsid w:val="00E9533A"/>
    <w:rsid w:val="00E95379"/>
    <w:rsid w:val="00E9539C"/>
    <w:rsid w:val="00E953B3"/>
    <w:rsid w:val="00E953D6"/>
    <w:rsid w:val="00E953DD"/>
    <w:rsid w:val="00E953EF"/>
    <w:rsid w:val="00E95408"/>
    <w:rsid w:val="00E9547D"/>
    <w:rsid w:val="00E954C1"/>
    <w:rsid w:val="00E954F5"/>
    <w:rsid w:val="00E95537"/>
    <w:rsid w:val="00E955A3"/>
    <w:rsid w:val="00E955EA"/>
    <w:rsid w:val="00E95630"/>
    <w:rsid w:val="00E9564F"/>
    <w:rsid w:val="00E95658"/>
    <w:rsid w:val="00E9578B"/>
    <w:rsid w:val="00E957C7"/>
    <w:rsid w:val="00E957EB"/>
    <w:rsid w:val="00E9585F"/>
    <w:rsid w:val="00E958AB"/>
    <w:rsid w:val="00E95908"/>
    <w:rsid w:val="00E9591A"/>
    <w:rsid w:val="00E9594C"/>
    <w:rsid w:val="00E959A9"/>
    <w:rsid w:val="00E959AF"/>
    <w:rsid w:val="00E95A27"/>
    <w:rsid w:val="00E95A29"/>
    <w:rsid w:val="00E95AC3"/>
    <w:rsid w:val="00E95B08"/>
    <w:rsid w:val="00E95B14"/>
    <w:rsid w:val="00E95B76"/>
    <w:rsid w:val="00E95B80"/>
    <w:rsid w:val="00E95B9F"/>
    <w:rsid w:val="00E95BA7"/>
    <w:rsid w:val="00E95BCE"/>
    <w:rsid w:val="00E95C69"/>
    <w:rsid w:val="00E95CE0"/>
    <w:rsid w:val="00E95CE7"/>
    <w:rsid w:val="00E95CF0"/>
    <w:rsid w:val="00E95D0E"/>
    <w:rsid w:val="00E95D28"/>
    <w:rsid w:val="00E95D98"/>
    <w:rsid w:val="00E95DD2"/>
    <w:rsid w:val="00E95E22"/>
    <w:rsid w:val="00E95EB8"/>
    <w:rsid w:val="00E95F0E"/>
    <w:rsid w:val="00E95F29"/>
    <w:rsid w:val="00E95F2E"/>
    <w:rsid w:val="00E95F44"/>
    <w:rsid w:val="00E95F4E"/>
    <w:rsid w:val="00E95F7B"/>
    <w:rsid w:val="00E95F84"/>
    <w:rsid w:val="00E95FAE"/>
    <w:rsid w:val="00E95FEA"/>
    <w:rsid w:val="00E960AE"/>
    <w:rsid w:val="00E9613C"/>
    <w:rsid w:val="00E96192"/>
    <w:rsid w:val="00E961CD"/>
    <w:rsid w:val="00E961D0"/>
    <w:rsid w:val="00E961DA"/>
    <w:rsid w:val="00E9620B"/>
    <w:rsid w:val="00E9625E"/>
    <w:rsid w:val="00E9626C"/>
    <w:rsid w:val="00E96277"/>
    <w:rsid w:val="00E96282"/>
    <w:rsid w:val="00E962BE"/>
    <w:rsid w:val="00E962D0"/>
    <w:rsid w:val="00E96329"/>
    <w:rsid w:val="00E9633B"/>
    <w:rsid w:val="00E9635A"/>
    <w:rsid w:val="00E9636B"/>
    <w:rsid w:val="00E96372"/>
    <w:rsid w:val="00E96410"/>
    <w:rsid w:val="00E9644D"/>
    <w:rsid w:val="00E9648A"/>
    <w:rsid w:val="00E964AE"/>
    <w:rsid w:val="00E9658E"/>
    <w:rsid w:val="00E9659A"/>
    <w:rsid w:val="00E96623"/>
    <w:rsid w:val="00E9666B"/>
    <w:rsid w:val="00E966B4"/>
    <w:rsid w:val="00E966D2"/>
    <w:rsid w:val="00E966D3"/>
    <w:rsid w:val="00E966D7"/>
    <w:rsid w:val="00E966FE"/>
    <w:rsid w:val="00E96700"/>
    <w:rsid w:val="00E96710"/>
    <w:rsid w:val="00E96781"/>
    <w:rsid w:val="00E967AC"/>
    <w:rsid w:val="00E96841"/>
    <w:rsid w:val="00E96893"/>
    <w:rsid w:val="00E968A1"/>
    <w:rsid w:val="00E968B9"/>
    <w:rsid w:val="00E9690F"/>
    <w:rsid w:val="00E96918"/>
    <w:rsid w:val="00E96929"/>
    <w:rsid w:val="00E9693E"/>
    <w:rsid w:val="00E9696C"/>
    <w:rsid w:val="00E96981"/>
    <w:rsid w:val="00E969AE"/>
    <w:rsid w:val="00E96ADF"/>
    <w:rsid w:val="00E96B38"/>
    <w:rsid w:val="00E96B76"/>
    <w:rsid w:val="00E96B9C"/>
    <w:rsid w:val="00E96BA7"/>
    <w:rsid w:val="00E96BAE"/>
    <w:rsid w:val="00E96C05"/>
    <w:rsid w:val="00E96C81"/>
    <w:rsid w:val="00E96C97"/>
    <w:rsid w:val="00E96D09"/>
    <w:rsid w:val="00E96D70"/>
    <w:rsid w:val="00E96D82"/>
    <w:rsid w:val="00E96DF2"/>
    <w:rsid w:val="00E96DF8"/>
    <w:rsid w:val="00E96E01"/>
    <w:rsid w:val="00E96E0B"/>
    <w:rsid w:val="00E96E15"/>
    <w:rsid w:val="00E96E1C"/>
    <w:rsid w:val="00E96E43"/>
    <w:rsid w:val="00E96E4E"/>
    <w:rsid w:val="00E96E58"/>
    <w:rsid w:val="00E96E99"/>
    <w:rsid w:val="00E96F46"/>
    <w:rsid w:val="00E96F6B"/>
    <w:rsid w:val="00E96F85"/>
    <w:rsid w:val="00E96FC5"/>
    <w:rsid w:val="00E96FCD"/>
    <w:rsid w:val="00E96FED"/>
    <w:rsid w:val="00E97020"/>
    <w:rsid w:val="00E97028"/>
    <w:rsid w:val="00E9702A"/>
    <w:rsid w:val="00E97053"/>
    <w:rsid w:val="00E97092"/>
    <w:rsid w:val="00E970B2"/>
    <w:rsid w:val="00E97101"/>
    <w:rsid w:val="00E97140"/>
    <w:rsid w:val="00E971EE"/>
    <w:rsid w:val="00E9727A"/>
    <w:rsid w:val="00E9729B"/>
    <w:rsid w:val="00E972AB"/>
    <w:rsid w:val="00E972C6"/>
    <w:rsid w:val="00E9733B"/>
    <w:rsid w:val="00E973E2"/>
    <w:rsid w:val="00E97469"/>
    <w:rsid w:val="00E974D5"/>
    <w:rsid w:val="00E974FC"/>
    <w:rsid w:val="00E97511"/>
    <w:rsid w:val="00E97546"/>
    <w:rsid w:val="00E9756D"/>
    <w:rsid w:val="00E975A0"/>
    <w:rsid w:val="00E975CE"/>
    <w:rsid w:val="00E975DC"/>
    <w:rsid w:val="00E9763B"/>
    <w:rsid w:val="00E9768D"/>
    <w:rsid w:val="00E976B8"/>
    <w:rsid w:val="00E976FA"/>
    <w:rsid w:val="00E97744"/>
    <w:rsid w:val="00E97782"/>
    <w:rsid w:val="00E977BE"/>
    <w:rsid w:val="00E977CA"/>
    <w:rsid w:val="00E977CD"/>
    <w:rsid w:val="00E977DF"/>
    <w:rsid w:val="00E977E3"/>
    <w:rsid w:val="00E97858"/>
    <w:rsid w:val="00E9786A"/>
    <w:rsid w:val="00E97887"/>
    <w:rsid w:val="00E9789E"/>
    <w:rsid w:val="00E9798C"/>
    <w:rsid w:val="00E979A2"/>
    <w:rsid w:val="00E979C2"/>
    <w:rsid w:val="00E97A33"/>
    <w:rsid w:val="00E97A5E"/>
    <w:rsid w:val="00E97A8A"/>
    <w:rsid w:val="00E97AA3"/>
    <w:rsid w:val="00E97ADE"/>
    <w:rsid w:val="00E97B05"/>
    <w:rsid w:val="00E97B37"/>
    <w:rsid w:val="00E97B8E"/>
    <w:rsid w:val="00E97B8F"/>
    <w:rsid w:val="00E97BE3"/>
    <w:rsid w:val="00E97BE8"/>
    <w:rsid w:val="00E97C32"/>
    <w:rsid w:val="00E97C36"/>
    <w:rsid w:val="00E97C38"/>
    <w:rsid w:val="00E97C3C"/>
    <w:rsid w:val="00E97C8D"/>
    <w:rsid w:val="00E97C95"/>
    <w:rsid w:val="00E97CAA"/>
    <w:rsid w:val="00E97D48"/>
    <w:rsid w:val="00E97D64"/>
    <w:rsid w:val="00E97D98"/>
    <w:rsid w:val="00E97DD2"/>
    <w:rsid w:val="00E97DE2"/>
    <w:rsid w:val="00E97DE3"/>
    <w:rsid w:val="00E97E0E"/>
    <w:rsid w:val="00E97E7C"/>
    <w:rsid w:val="00E97E95"/>
    <w:rsid w:val="00E97F3D"/>
    <w:rsid w:val="00E97F9D"/>
    <w:rsid w:val="00E97FA5"/>
    <w:rsid w:val="00E97FCE"/>
    <w:rsid w:val="00E97FF1"/>
    <w:rsid w:val="00E97FFB"/>
    <w:rsid w:val="00EA001B"/>
    <w:rsid w:val="00EA004C"/>
    <w:rsid w:val="00EA006C"/>
    <w:rsid w:val="00EA0079"/>
    <w:rsid w:val="00EA009B"/>
    <w:rsid w:val="00EA00E0"/>
    <w:rsid w:val="00EA00F0"/>
    <w:rsid w:val="00EA0131"/>
    <w:rsid w:val="00EA0147"/>
    <w:rsid w:val="00EA018E"/>
    <w:rsid w:val="00EA0220"/>
    <w:rsid w:val="00EA0269"/>
    <w:rsid w:val="00EA0274"/>
    <w:rsid w:val="00EA0299"/>
    <w:rsid w:val="00EA02E3"/>
    <w:rsid w:val="00EA02FB"/>
    <w:rsid w:val="00EA0312"/>
    <w:rsid w:val="00EA0333"/>
    <w:rsid w:val="00EA033D"/>
    <w:rsid w:val="00EA038A"/>
    <w:rsid w:val="00EA03AA"/>
    <w:rsid w:val="00EA03D0"/>
    <w:rsid w:val="00EA03D2"/>
    <w:rsid w:val="00EA0444"/>
    <w:rsid w:val="00EA044A"/>
    <w:rsid w:val="00EA0454"/>
    <w:rsid w:val="00EA0492"/>
    <w:rsid w:val="00EA04A1"/>
    <w:rsid w:val="00EA04BA"/>
    <w:rsid w:val="00EA04BB"/>
    <w:rsid w:val="00EA050F"/>
    <w:rsid w:val="00EA056C"/>
    <w:rsid w:val="00EA05AC"/>
    <w:rsid w:val="00EA05D2"/>
    <w:rsid w:val="00EA05EF"/>
    <w:rsid w:val="00EA0609"/>
    <w:rsid w:val="00EA0624"/>
    <w:rsid w:val="00EA0646"/>
    <w:rsid w:val="00EA066D"/>
    <w:rsid w:val="00EA06A5"/>
    <w:rsid w:val="00EA06C1"/>
    <w:rsid w:val="00EA06D8"/>
    <w:rsid w:val="00EA06F2"/>
    <w:rsid w:val="00EA073C"/>
    <w:rsid w:val="00EA074B"/>
    <w:rsid w:val="00EA0776"/>
    <w:rsid w:val="00EA07A3"/>
    <w:rsid w:val="00EA07B2"/>
    <w:rsid w:val="00EA07E9"/>
    <w:rsid w:val="00EA0813"/>
    <w:rsid w:val="00EA082B"/>
    <w:rsid w:val="00EA0879"/>
    <w:rsid w:val="00EA08A8"/>
    <w:rsid w:val="00EA08AD"/>
    <w:rsid w:val="00EA08BE"/>
    <w:rsid w:val="00EA08C7"/>
    <w:rsid w:val="00EA08E0"/>
    <w:rsid w:val="00EA0919"/>
    <w:rsid w:val="00EA0942"/>
    <w:rsid w:val="00EA09C0"/>
    <w:rsid w:val="00EA09F5"/>
    <w:rsid w:val="00EA09F9"/>
    <w:rsid w:val="00EA0A1E"/>
    <w:rsid w:val="00EA0A4F"/>
    <w:rsid w:val="00EA0A52"/>
    <w:rsid w:val="00EA0A62"/>
    <w:rsid w:val="00EA0A6B"/>
    <w:rsid w:val="00EA0AD3"/>
    <w:rsid w:val="00EA0B0B"/>
    <w:rsid w:val="00EA0B52"/>
    <w:rsid w:val="00EA0B81"/>
    <w:rsid w:val="00EA0B82"/>
    <w:rsid w:val="00EA0B8E"/>
    <w:rsid w:val="00EA0BCA"/>
    <w:rsid w:val="00EA0BFB"/>
    <w:rsid w:val="00EA0C00"/>
    <w:rsid w:val="00EA0CC3"/>
    <w:rsid w:val="00EA0CC6"/>
    <w:rsid w:val="00EA0E1F"/>
    <w:rsid w:val="00EA0E37"/>
    <w:rsid w:val="00EA0E8D"/>
    <w:rsid w:val="00EA0E94"/>
    <w:rsid w:val="00EA0EA9"/>
    <w:rsid w:val="00EA0EBB"/>
    <w:rsid w:val="00EA0F06"/>
    <w:rsid w:val="00EA1063"/>
    <w:rsid w:val="00EA107E"/>
    <w:rsid w:val="00EA10A6"/>
    <w:rsid w:val="00EA1112"/>
    <w:rsid w:val="00EA1139"/>
    <w:rsid w:val="00EA1177"/>
    <w:rsid w:val="00EA1197"/>
    <w:rsid w:val="00EA11E3"/>
    <w:rsid w:val="00EA1218"/>
    <w:rsid w:val="00EA1230"/>
    <w:rsid w:val="00EA1243"/>
    <w:rsid w:val="00EA125D"/>
    <w:rsid w:val="00EA12FC"/>
    <w:rsid w:val="00EA12FD"/>
    <w:rsid w:val="00EA1310"/>
    <w:rsid w:val="00EA1346"/>
    <w:rsid w:val="00EA139E"/>
    <w:rsid w:val="00EA13A5"/>
    <w:rsid w:val="00EA13D1"/>
    <w:rsid w:val="00EA13F0"/>
    <w:rsid w:val="00EA1458"/>
    <w:rsid w:val="00EA14AD"/>
    <w:rsid w:val="00EA14E4"/>
    <w:rsid w:val="00EA150C"/>
    <w:rsid w:val="00EA1524"/>
    <w:rsid w:val="00EA1536"/>
    <w:rsid w:val="00EA156B"/>
    <w:rsid w:val="00EA1582"/>
    <w:rsid w:val="00EA15AD"/>
    <w:rsid w:val="00EA15E0"/>
    <w:rsid w:val="00EA1639"/>
    <w:rsid w:val="00EA171D"/>
    <w:rsid w:val="00EA1798"/>
    <w:rsid w:val="00EA17D5"/>
    <w:rsid w:val="00EA1811"/>
    <w:rsid w:val="00EA182D"/>
    <w:rsid w:val="00EA1870"/>
    <w:rsid w:val="00EA18E6"/>
    <w:rsid w:val="00EA1986"/>
    <w:rsid w:val="00EA199E"/>
    <w:rsid w:val="00EA19F3"/>
    <w:rsid w:val="00EA1A16"/>
    <w:rsid w:val="00EA1A59"/>
    <w:rsid w:val="00EA1AA0"/>
    <w:rsid w:val="00EA1ABC"/>
    <w:rsid w:val="00EA1AE3"/>
    <w:rsid w:val="00EA1B5E"/>
    <w:rsid w:val="00EA1BA1"/>
    <w:rsid w:val="00EA1BD5"/>
    <w:rsid w:val="00EA1C68"/>
    <w:rsid w:val="00EA1CA2"/>
    <w:rsid w:val="00EA1CA3"/>
    <w:rsid w:val="00EA1CA6"/>
    <w:rsid w:val="00EA1CAD"/>
    <w:rsid w:val="00EA1D8F"/>
    <w:rsid w:val="00EA1DE1"/>
    <w:rsid w:val="00EA1DF6"/>
    <w:rsid w:val="00EA1E0C"/>
    <w:rsid w:val="00EA1E59"/>
    <w:rsid w:val="00EA1E8D"/>
    <w:rsid w:val="00EA1FC5"/>
    <w:rsid w:val="00EA1FD4"/>
    <w:rsid w:val="00EA1FDD"/>
    <w:rsid w:val="00EA1FE3"/>
    <w:rsid w:val="00EA1FF5"/>
    <w:rsid w:val="00EA2055"/>
    <w:rsid w:val="00EA2070"/>
    <w:rsid w:val="00EA20BA"/>
    <w:rsid w:val="00EA210B"/>
    <w:rsid w:val="00EA2173"/>
    <w:rsid w:val="00EA2222"/>
    <w:rsid w:val="00EA222F"/>
    <w:rsid w:val="00EA2271"/>
    <w:rsid w:val="00EA22E3"/>
    <w:rsid w:val="00EA22F3"/>
    <w:rsid w:val="00EA22FC"/>
    <w:rsid w:val="00EA2325"/>
    <w:rsid w:val="00EA236B"/>
    <w:rsid w:val="00EA2373"/>
    <w:rsid w:val="00EA23F1"/>
    <w:rsid w:val="00EA2433"/>
    <w:rsid w:val="00EA24C2"/>
    <w:rsid w:val="00EA24FF"/>
    <w:rsid w:val="00EA2510"/>
    <w:rsid w:val="00EA2524"/>
    <w:rsid w:val="00EA2527"/>
    <w:rsid w:val="00EA252A"/>
    <w:rsid w:val="00EA256B"/>
    <w:rsid w:val="00EA2586"/>
    <w:rsid w:val="00EA258A"/>
    <w:rsid w:val="00EA2603"/>
    <w:rsid w:val="00EA2604"/>
    <w:rsid w:val="00EA2660"/>
    <w:rsid w:val="00EA2676"/>
    <w:rsid w:val="00EA2692"/>
    <w:rsid w:val="00EA26A1"/>
    <w:rsid w:val="00EA26BC"/>
    <w:rsid w:val="00EA26ED"/>
    <w:rsid w:val="00EA2711"/>
    <w:rsid w:val="00EA2719"/>
    <w:rsid w:val="00EA2730"/>
    <w:rsid w:val="00EA274C"/>
    <w:rsid w:val="00EA2751"/>
    <w:rsid w:val="00EA275D"/>
    <w:rsid w:val="00EA276E"/>
    <w:rsid w:val="00EA2775"/>
    <w:rsid w:val="00EA287D"/>
    <w:rsid w:val="00EA28C0"/>
    <w:rsid w:val="00EA28DB"/>
    <w:rsid w:val="00EA292B"/>
    <w:rsid w:val="00EA2994"/>
    <w:rsid w:val="00EA2A29"/>
    <w:rsid w:val="00EA2A92"/>
    <w:rsid w:val="00EA2B52"/>
    <w:rsid w:val="00EA2BE5"/>
    <w:rsid w:val="00EA2C0B"/>
    <w:rsid w:val="00EA2C57"/>
    <w:rsid w:val="00EA2C70"/>
    <w:rsid w:val="00EA2C7B"/>
    <w:rsid w:val="00EA2C8E"/>
    <w:rsid w:val="00EA2D50"/>
    <w:rsid w:val="00EA2D5D"/>
    <w:rsid w:val="00EA2DC3"/>
    <w:rsid w:val="00EA2DFC"/>
    <w:rsid w:val="00EA2E85"/>
    <w:rsid w:val="00EA2E96"/>
    <w:rsid w:val="00EA2FD7"/>
    <w:rsid w:val="00EA3011"/>
    <w:rsid w:val="00EA3070"/>
    <w:rsid w:val="00EA30B2"/>
    <w:rsid w:val="00EA30E4"/>
    <w:rsid w:val="00EA30FE"/>
    <w:rsid w:val="00EA311D"/>
    <w:rsid w:val="00EA3195"/>
    <w:rsid w:val="00EA320E"/>
    <w:rsid w:val="00EA3215"/>
    <w:rsid w:val="00EA3242"/>
    <w:rsid w:val="00EA324B"/>
    <w:rsid w:val="00EA327B"/>
    <w:rsid w:val="00EA3291"/>
    <w:rsid w:val="00EA3349"/>
    <w:rsid w:val="00EA334A"/>
    <w:rsid w:val="00EA339F"/>
    <w:rsid w:val="00EA3465"/>
    <w:rsid w:val="00EA346A"/>
    <w:rsid w:val="00EA349B"/>
    <w:rsid w:val="00EA34AA"/>
    <w:rsid w:val="00EA34BA"/>
    <w:rsid w:val="00EA352A"/>
    <w:rsid w:val="00EA3540"/>
    <w:rsid w:val="00EA3573"/>
    <w:rsid w:val="00EA3624"/>
    <w:rsid w:val="00EA36BA"/>
    <w:rsid w:val="00EA36E1"/>
    <w:rsid w:val="00EA36EC"/>
    <w:rsid w:val="00EA36ED"/>
    <w:rsid w:val="00EA3790"/>
    <w:rsid w:val="00EA37DE"/>
    <w:rsid w:val="00EA37F5"/>
    <w:rsid w:val="00EA3861"/>
    <w:rsid w:val="00EA38BE"/>
    <w:rsid w:val="00EA38DD"/>
    <w:rsid w:val="00EA3956"/>
    <w:rsid w:val="00EA39EC"/>
    <w:rsid w:val="00EA39F6"/>
    <w:rsid w:val="00EA3A08"/>
    <w:rsid w:val="00EA3A53"/>
    <w:rsid w:val="00EA3A66"/>
    <w:rsid w:val="00EA3A82"/>
    <w:rsid w:val="00EA3A8E"/>
    <w:rsid w:val="00EA3AB4"/>
    <w:rsid w:val="00EA3AFB"/>
    <w:rsid w:val="00EA3B42"/>
    <w:rsid w:val="00EA3B6E"/>
    <w:rsid w:val="00EA3BB4"/>
    <w:rsid w:val="00EA3BC0"/>
    <w:rsid w:val="00EA3CA2"/>
    <w:rsid w:val="00EA3CF2"/>
    <w:rsid w:val="00EA3D1E"/>
    <w:rsid w:val="00EA3D2A"/>
    <w:rsid w:val="00EA3D2B"/>
    <w:rsid w:val="00EA3D81"/>
    <w:rsid w:val="00EA3DC7"/>
    <w:rsid w:val="00EA3DDE"/>
    <w:rsid w:val="00EA3E20"/>
    <w:rsid w:val="00EA3E45"/>
    <w:rsid w:val="00EA3E4A"/>
    <w:rsid w:val="00EA3E90"/>
    <w:rsid w:val="00EA3EB4"/>
    <w:rsid w:val="00EA3ECB"/>
    <w:rsid w:val="00EA3F48"/>
    <w:rsid w:val="00EA3FA2"/>
    <w:rsid w:val="00EA3FC0"/>
    <w:rsid w:val="00EA3FE0"/>
    <w:rsid w:val="00EA4034"/>
    <w:rsid w:val="00EA4096"/>
    <w:rsid w:val="00EA409E"/>
    <w:rsid w:val="00EA40B9"/>
    <w:rsid w:val="00EA40BD"/>
    <w:rsid w:val="00EA4165"/>
    <w:rsid w:val="00EA4169"/>
    <w:rsid w:val="00EA41AD"/>
    <w:rsid w:val="00EA41D2"/>
    <w:rsid w:val="00EA4200"/>
    <w:rsid w:val="00EA4277"/>
    <w:rsid w:val="00EA42DC"/>
    <w:rsid w:val="00EA4305"/>
    <w:rsid w:val="00EA430E"/>
    <w:rsid w:val="00EA43C7"/>
    <w:rsid w:val="00EA43D8"/>
    <w:rsid w:val="00EA4404"/>
    <w:rsid w:val="00EA4434"/>
    <w:rsid w:val="00EA450E"/>
    <w:rsid w:val="00EA4529"/>
    <w:rsid w:val="00EA4558"/>
    <w:rsid w:val="00EA456D"/>
    <w:rsid w:val="00EA45BA"/>
    <w:rsid w:val="00EA45C5"/>
    <w:rsid w:val="00EA4628"/>
    <w:rsid w:val="00EA464B"/>
    <w:rsid w:val="00EA4657"/>
    <w:rsid w:val="00EA46A7"/>
    <w:rsid w:val="00EA46AE"/>
    <w:rsid w:val="00EA46F0"/>
    <w:rsid w:val="00EA46FF"/>
    <w:rsid w:val="00EA470B"/>
    <w:rsid w:val="00EA4714"/>
    <w:rsid w:val="00EA4730"/>
    <w:rsid w:val="00EA4764"/>
    <w:rsid w:val="00EA476D"/>
    <w:rsid w:val="00EA47A7"/>
    <w:rsid w:val="00EA47C3"/>
    <w:rsid w:val="00EA47C7"/>
    <w:rsid w:val="00EA47D6"/>
    <w:rsid w:val="00EA47DC"/>
    <w:rsid w:val="00EA47E0"/>
    <w:rsid w:val="00EA47F8"/>
    <w:rsid w:val="00EA488F"/>
    <w:rsid w:val="00EA48E7"/>
    <w:rsid w:val="00EA48F6"/>
    <w:rsid w:val="00EA492B"/>
    <w:rsid w:val="00EA496D"/>
    <w:rsid w:val="00EA4976"/>
    <w:rsid w:val="00EA49C1"/>
    <w:rsid w:val="00EA4A51"/>
    <w:rsid w:val="00EA4A87"/>
    <w:rsid w:val="00EA4A8C"/>
    <w:rsid w:val="00EA4B01"/>
    <w:rsid w:val="00EA4B44"/>
    <w:rsid w:val="00EA4B59"/>
    <w:rsid w:val="00EA4B70"/>
    <w:rsid w:val="00EA4B88"/>
    <w:rsid w:val="00EA4BCC"/>
    <w:rsid w:val="00EA4C12"/>
    <w:rsid w:val="00EA4C16"/>
    <w:rsid w:val="00EA4C1C"/>
    <w:rsid w:val="00EA4C5B"/>
    <w:rsid w:val="00EA4CB4"/>
    <w:rsid w:val="00EA4D1F"/>
    <w:rsid w:val="00EA4D98"/>
    <w:rsid w:val="00EA4E53"/>
    <w:rsid w:val="00EA4E80"/>
    <w:rsid w:val="00EA4E81"/>
    <w:rsid w:val="00EA4EC5"/>
    <w:rsid w:val="00EA4EEC"/>
    <w:rsid w:val="00EA4EF2"/>
    <w:rsid w:val="00EA4F0B"/>
    <w:rsid w:val="00EA4F17"/>
    <w:rsid w:val="00EA4F1A"/>
    <w:rsid w:val="00EA4F1B"/>
    <w:rsid w:val="00EA500D"/>
    <w:rsid w:val="00EA5035"/>
    <w:rsid w:val="00EA5052"/>
    <w:rsid w:val="00EA5056"/>
    <w:rsid w:val="00EA5069"/>
    <w:rsid w:val="00EA510A"/>
    <w:rsid w:val="00EA510F"/>
    <w:rsid w:val="00EA5115"/>
    <w:rsid w:val="00EA5121"/>
    <w:rsid w:val="00EA516D"/>
    <w:rsid w:val="00EA5188"/>
    <w:rsid w:val="00EA51F7"/>
    <w:rsid w:val="00EA5200"/>
    <w:rsid w:val="00EA5233"/>
    <w:rsid w:val="00EA5255"/>
    <w:rsid w:val="00EA52CB"/>
    <w:rsid w:val="00EA52D7"/>
    <w:rsid w:val="00EA5353"/>
    <w:rsid w:val="00EA5383"/>
    <w:rsid w:val="00EA53A9"/>
    <w:rsid w:val="00EA53F7"/>
    <w:rsid w:val="00EA5424"/>
    <w:rsid w:val="00EA5450"/>
    <w:rsid w:val="00EA546A"/>
    <w:rsid w:val="00EA547A"/>
    <w:rsid w:val="00EA5496"/>
    <w:rsid w:val="00EA549D"/>
    <w:rsid w:val="00EA54F4"/>
    <w:rsid w:val="00EA5513"/>
    <w:rsid w:val="00EA555A"/>
    <w:rsid w:val="00EA5601"/>
    <w:rsid w:val="00EA560E"/>
    <w:rsid w:val="00EA5612"/>
    <w:rsid w:val="00EA5674"/>
    <w:rsid w:val="00EA56A7"/>
    <w:rsid w:val="00EA5708"/>
    <w:rsid w:val="00EA570C"/>
    <w:rsid w:val="00EA572F"/>
    <w:rsid w:val="00EA5757"/>
    <w:rsid w:val="00EA57C1"/>
    <w:rsid w:val="00EA57D2"/>
    <w:rsid w:val="00EA57DF"/>
    <w:rsid w:val="00EA5804"/>
    <w:rsid w:val="00EA585C"/>
    <w:rsid w:val="00EA586C"/>
    <w:rsid w:val="00EA58EF"/>
    <w:rsid w:val="00EA5959"/>
    <w:rsid w:val="00EA59CD"/>
    <w:rsid w:val="00EA5A1A"/>
    <w:rsid w:val="00EA5A20"/>
    <w:rsid w:val="00EA5A4A"/>
    <w:rsid w:val="00EA5A72"/>
    <w:rsid w:val="00EA5A9C"/>
    <w:rsid w:val="00EA5AA5"/>
    <w:rsid w:val="00EA5ABA"/>
    <w:rsid w:val="00EA5BCE"/>
    <w:rsid w:val="00EA5BD9"/>
    <w:rsid w:val="00EA5BDF"/>
    <w:rsid w:val="00EA5BEA"/>
    <w:rsid w:val="00EA5C1E"/>
    <w:rsid w:val="00EA5C71"/>
    <w:rsid w:val="00EA5C97"/>
    <w:rsid w:val="00EA5D15"/>
    <w:rsid w:val="00EA5D25"/>
    <w:rsid w:val="00EA5D67"/>
    <w:rsid w:val="00EA5D81"/>
    <w:rsid w:val="00EA5D85"/>
    <w:rsid w:val="00EA5DB7"/>
    <w:rsid w:val="00EA5DD0"/>
    <w:rsid w:val="00EA5DD7"/>
    <w:rsid w:val="00EA5E0D"/>
    <w:rsid w:val="00EA5E2C"/>
    <w:rsid w:val="00EA5E2D"/>
    <w:rsid w:val="00EA5E51"/>
    <w:rsid w:val="00EA5E77"/>
    <w:rsid w:val="00EA5EEE"/>
    <w:rsid w:val="00EA5EF6"/>
    <w:rsid w:val="00EA5F44"/>
    <w:rsid w:val="00EA5F73"/>
    <w:rsid w:val="00EA6030"/>
    <w:rsid w:val="00EA6068"/>
    <w:rsid w:val="00EA60C1"/>
    <w:rsid w:val="00EA60D5"/>
    <w:rsid w:val="00EA60EB"/>
    <w:rsid w:val="00EA6176"/>
    <w:rsid w:val="00EA61A9"/>
    <w:rsid w:val="00EA6213"/>
    <w:rsid w:val="00EA626F"/>
    <w:rsid w:val="00EA62E3"/>
    <w:rsid w:val="00EA6325"/>
    <w:rsid w:val="00EA632F"/>
    <w:rsid w:val="00EA634B"/>
    <w:rsid w:val="00EA6395"/>
    <w:rsid w:val="00EA63B8"/>
    <w:rsid w:val="00EA63D6"/>
    <w:rsid w:val="00EA640C"/>
    <w:rsid w:val="00EA64C6"/>
    <w:rsid w:val="00EA6516"/>
    <w:rsid w:val="00EA656C"/>
    <w:rsid w:val="00EA65D8"/>
    <w:rsid w:val="00EA65EC"/>
    <w:rsid w:val="00EA661B"/>
    <w:rsid w:val="00EA661D"/>
    <w:rsid w:val="00EA665F"/>
    <w:rsid w:val="00EA66E7"/>
    <w:rsid w:val="00EA6744"/>
    <w:rsid w:val="00EA677A"/>
    <w:rsid w:val="00EA6781"/>
    <w:rsid w:val="00EA6787"/>
    <w:rsid w:val="00EA67A9"/>
    <w:rsid w:val="00EA67AC"/>
    <w:rsid w:val="00EA6802"/>
    <w:rsid w:val="00EA680C"/>
    <w:rsid w:val="00EA682A"/>
    <w:rsid w:val="00EA6836"/>
    <w:rsid w:val="00EA687A"/>
    <w:rsid w:val="00EA68B2"/>
    <w:rsid w:val="00EA68F9"/>
    <w:rsid w:val="00EA691B"/>
    <w:rsid w:val="00EA6968"/>
    <w:rsid w:val="00EA6995"/>
    <w:rsid w:val="00EA69B5"/>
    <w:rsid w:val="00EA69E4"/>
    <w:rsid w:val="00EA6A83"/>
    <w:rsid w:val="00EA6A87"/>
    <w:rsid w:val="00EA6A92"/>
    <w:rsid w:val="00EA6AB2"/>
    <w:rsid w:val="00EA6AF1"/>
    <w:rsid w:val="00EA6B34"/>
    <w:rsid w:val="00EA6B4A"/>
    <w:rsid w:val="00EA6BDD"/>
    <w:rsid w:val="00EA6BFA"/>
    <w:rsid w:val="00EA6C31"/>
    <w:rsid w:val="00EA6C97"/>
    <w:rsid w:val="00EA6CE5"/>
    <w:rsid w:val="00EA6D2F"/>
    <w:rsid w:val="00EA6D8F"/>
    <w:rsid w:val="00EA6D97"/>
    <w:rsid w:val="00EA6DB3"/>
    <w:rsid w:val="00EA6DBF"/>
    <w:rsid w:val="00EA6E72"/>
    <w:rsid w:val="00EA6E9B"/>
    <w:rsid w:val="00EA6EAF"/>
    <w:rsid w:val="00EA6EB3"/>
    <w:rsid w:val="00EA6ED5"/>
    <w:rsid w:val="00EA6F0E"/>
    <w:rsid w:val="00EA6F39"/>
    <w:rsid w:val="00EA6F5F"/>
    <w:rsid w:val="00EA6F99"/>
    <w:rsid w:val="00EA6FAA"/>
    <w:rsid w:val="00EA701C"/>
    <w:rsid w:val="00EA7081"/>
    <w:rsid w:val="00EA70C1"/>
    <w:rsid w:val="00EA70C9"/>
    <w:rsid w:val="00EA7133"/>
    <w:rsid w:val="00EA7151"/>
    <w:rsid w:val="00EA716C"/>
    <w:rsid w:val="00EA717B"/>
    <w:rsid w:val="00EA717D"/>
    <w:rsid w:val="00EA717E"/>
    <w:rsid w:val="00EA7181"/>
    <w:rsid w:val="00EA7188"/>
    <w:rsid w:val="00EA71E0"/>
    <w:rsid w:val="00EA71FE"/>
    <w:rsid w:val="00EA7263"/>
    <w:rsid w:val="00EA7279"/>
    <w:rsid w:val="00EA7298"/>
    <w:rsid w:val="00EA72A7"/>
    <w:rsid w:val="00EA72BD"/>
    <w:rsid w:val="00EA72D3"/>
    <w:rsid w:val="00EA731A"/>
    <w:rsid w:val="00EA73EB"/>
    <w:rsid w:val="00EA7466"/>
    <w:rsid w:val="00EA74A8"/>
    <w:rsid w:val="00EA74EE"/>
    <w:rsid w:val="00EA7538"/>
    <w:rsid w:val="00EA7570"/>
    <w:rsid w:val="00EA7583"/>
    <w:rsid w:val="00EA7598"/>
    <w:rsid w:val="00EA75DA"/>
    <w:rsid w:val="00EA75E2"/>
    <w:rsid w:val="00EA7602"/>
    <w:rsid w:val="00EA765A"/>
    <w:rsid w:val="00EA767D"/>
    <w:rsid w:val="00EA76BD"/>
    <w:rsid w:val="00EA76C5"/>
    <w:rsid w:val="00EA76EB"/>
    <w:rsid w:val="00EA773A"/>
    <w:rsid w:val="00EA773E"/>
    <w:rsid w:val="00EA7758"/>
    <w:rsid w:val="00EA776A"/>
    <w:rsid w:val="00EA776E"/>
    <w:rsid w:val="00EA7778"/>
    <w:rsid w:val="00EA778C"/>
    <w:rsid w:val="00EA781E"/>
    <w:rsid w:val="00EA799B"/>
    <w:rsid w:val="00EA79A1"/>
    <w:rsid w:val="00EA7A59"/>
    <w:rsid w:val="00EA7A79"/>
    <w:rsid w:val="00EA7AAB"/>
    <w:rsid w:val="00EA7AD0"/>
    <w:rsid w:val="00EA7ADD"/>
    <w:rsid w:val="00EA7B6A"/>
    <w:rsid w:val="00EA7B76"/>
    <w:rsid w:val="00EA7BC1"/>
    <w:rsid w:val="00EA7BD9"/>
    <w:rsid w:val="00EA7C04"/>
    <w:rsid w:val="00EA7C2D"/>
    <w:rsid w:val="00EA7C47"/>
    <w:rsid w:val="00EA7C6B"/>
    <w:rsid w:val="00EA7CB1"/>
    <w:rsid w:val="00EA7CC4"/>
    <w:rsid w:val="00EA7CEE"/>
    <w:rsid w:val="00EA7D22"/>
    <w:rsid w:val="00EA7D54"/>
    <w:rsid w:val="00EA7DA2"/>
    <w:rsid w:val="00EA7DB7"/>
    <w:rsid w:val="00EA7E07"/>
    <w:rsid w:val="00EA7EE5"/>
    <w:rsid w:val="00EA7EF7"/>
    <w:rsid w:val="00EA7F54"/>
    <w:rsid w:val="00EA7F5C"/>
    <w:rsid w:val="00EA7F61"/>
    <w:rsid w:val="00EA7F70"/>
    <w:rsid w:val="00EA7F91"/>
    <w:rsid w:val="00EA7FD0"/>
    <w:rsid w:val="00EA7FDC"/>
    <w:rsid w:val="00EB001B"/>
    <w:rsid w:val="00EB0029"/>
    <w:rsid w:val="00EB0030"/>
    <w:rsid w:val="00EB005C"/>
    <w:rsid w:val="00EB00A2"/>
    <w:rsid w:val="00EB0118"/>
    <w:rsid w:val="00EB011E"/>
    <w:rsid w:val="00EB0129"/>
    <w:rsid w:val="00EB01F5"/>
    <w:rsid w:val="00EB027F"/>
    <w:rsid w:val="00EB02C5"/>
    <w:rsid w:val="00EB02E4"/>
    <w:rsid w:val="00EB02F4"/>
    <w:rsid w:val="00EB02FB"/>
    <w:rsid w:val="00EB0369"/>
    <w:rsid w:val="00EB03C4"/>
    <w:rsid w:val="00EB0442"/>
    <w:rsid w:val="00EB0447"/>
    <w:rsid w:val="00EB0454"/>
    <w:rsid w:val="00EB046D"/>
    <w:rsid w:val="00EB0491"/>
    <w:rsid w:val="00EB0498"/>
    <w:rsid w:val="00EB04AC"/>
    <w:rsid w:val="00EB04E7"/>
    <w:rsid w:val="00EB0502"/>
    <w:rsid w:val="00EB0503"/>
    <w:rsid w:val="00EB0525"/>
    <w:rsid w:val="00EB0535"/>
    <w:rsid w:val="00EB0552"/>
    <w:rsid w:val="00EB057B"/>
    <w:rsid w:val="00EB05B5"/>
    <w:rsid w:val="00EB068A"/>
    <w:rsid w:val="00EB06B9"/>
    <w:rsid w:val="00EB06E2"/>
    <w:rsid w:val="00EB0753"/>
    <w:rsid w:val="00EB075A"/>
    <w:rsid w:val="00EB077D"/>
    <w:rsid w:val="00EB07E5"/>
    <w:rsid w:val="00EB0804"/>
    <w:rsid w:val="00EB0829"/>
    <w:rsid w:val="00EB0847"/>
    <w:rsid w:val="00EB0899"/>
    <w:rsid w:val="00EB08A1"/>
    <w:rsid w:val="00EB08A6"/>
    <w:rsid w:val="00EB090A"/>
    <w:rsid w:val="00EB091A"/>
    <w:rsid w:val="00EB0920"/>
    <w:rsid w:val="00EB0953"/>
    <w:rsid w:val="00EB0980"/>
    <w:rsid w:val="00EB09F5"/>
    <w:rsid w:val="00EB0A3F"/>
    <w:rsid w:val="00EB0A42"/>
    <w:rsid w:val="00EB0A81"/>
    <w:rsid w:val="00EB0A88"/>
    <w:rsid w:val="00EB0A97"/>
    <w:rsid w:val="00EB0AB0"/>
    <w:rsid w:val="00EB0AB8"/>
    <w:rsid w:val="00EB0ADE"/>
    <w:rsid w:val="00EB0AFE"/>
    <w:rsid w:val="00EB0B17"/>
    <w:rsid w:val="00EB0B5F"/>
    <w:rsid w:val="00EB0BEC"/>
    <w:rsid w:val="00EB0C59"/>
    <w:rsid w:val="00EB0C6A"/>
    <w:rsid w:val="00EB0D38"/>
    <w:rsid w:val="00EB0DE7"/>
    <w:rsid w:val="00EB0E75"/>
    <w:rsid w:val="00EB0E90"/>
    <w:rsid w:val="00EB0E97"/>
    <w:rsid w:val="00EB0EE2"/>
    <w:rsid w:val="00EB0F47"/>
    <w:rsid w:val="00EB0F63"/>
    <w:rsid w:val="00EB0F64"/>
    <w:rsid w:val="00EB0F8E"/>
    <w:rsid w:val="00EB0FBC"/>
    <w:rsid w:val="00EB1010"/>
    <w:rsid w:val="00EB102C"/>
    <w:rsid w:val="00EB1030"/>
    <w:rsid w:val="00EB1087"/>
    <w:rsid w:val="00EB10E4"/>
    <w:rsid w:val="00EB10F9"/>
    <w:rsid w:val="00EB111E"/>
    <w:rsid w:val="00EB1130"/>
    <w:rsid w:val="00EB1259"/>
    <w:rsid w:val="00EB127A"/>
    <w:rsid w:val="00EB1295"/>
    <w:rsid w:val="00EB1297"/>
    <w:rsid w:val="00EB12BF"/>
    <w:rsid w:val="00EB12E8"/>
    <w:rsid w:val="00EB1307"/>
    <w:rsid w:val="00EB1320"/>
    <w:rsid w:val="00EB13A7"/>
    <w:rsid w:val="00EB13B2"/>
    <w:rsid w:val="00EB13CA"/>
    <w:rsid w:val="00EB13D0"/>
    <w:rsid w:val="00EB13E6"/>
    <w:rsid w:val="00EB13F7"/>
    <w:rsid w:val="00EB14A7"/>
    <w:rsid w:val="00EB14A9"/>
    <w:rsid w:val="00EB14B0"/>
    <w:rsid w:val="00EB1547"/>
    <w:rsid w:val="00EB1567"/>
    <w:rsid w:val="00EB1583"/>
    <w:rsid w:val="00EB15D0"/>
    <w:rsid w:val="00EB15F5"/>
    <w:rsid w:val="00EB1609"/>
    <w:rsid w:val="00EB1627"/>
    <w:rsid w:val="00EB1640"/>
    <w:rsid w:val="00EB16B2"/>
    <w:rsid w:val="00EB1712"/>
    <w:rsid w:val="00EB1718"/>
    <w:rsid w:val="00EB1796"/>
    <w:rsid w:val="00EB17AE"/>
    <w:rsid w:val="00EB17DF"/>
    <w:rsid w:val="00EB1817"/>
    <w:rsid w:val="00EB182D"/>
    <w:rsid w:val="00EB185E"/>
    <w:rsid w:val="00EB1865"/>
    <w:rsid w:val="00EB1898"/>
    <w:rsid w:val="00EB18F1"/>
    <w:rsid w:val="00EB18F7"/>
    <w:rsid w:val="00EB191A"/>
    <w:rsid w:val="00EB191B"/>
    <w:rsid w:val="00EB1937"/>
    <w:rsid w:val="00EB197F"/>
    <w:rsid w:val="00EB19CF"/>
    <w:rsid w:val="00EB19E8"/>
    <w:rsid w:val="00EB1A1A"/>
    <w:rsid w:val="00EB1A1F"/>
    <w:rsid w:val="00EB1A40"/>
    <w:rsid w:val="00EB1A76"/>
    <w:rsid w:val="00EB1B15"/>
    <w:rsid w:val="00EB1B42"/>
    <w:rsid w:val="00EB1B87"/>
    <w:rsid w:val="00EB1C41"/>
    <w:rsid w:val="00EB1D1F"/>
    <w:rsid w:val="00EB1D3F"/>
    <w:rsid w:val="00EB1D51"/>
    <w:rsid w:val="00EB1D6D"/>
    <w:rsid w:val="00EB1D8C"/>
    <w:rsid w:val="00EB1DCD"/>
    <w:rsid w:val="00EB1DE8"/>
    <w:rsid w:val="00EB1E1C"/>
    <w:rsid w:val="00EB1E4A"/>
    <w:rsid w:val="00EB1E74"/>
    <w:rsid w:val="00EB1E93"/>
    <w:rsid w:val="00EB1E94"/>
    <w:rsid w:val="00EB1F14"/>
    <w:rsid w:val="00EB1F1A"/>
    <w:rsid w:val="00EB1F7B"/>
    <w:rsid w:val="00EB1FF3"/>
    <w:rsid w:val="00EB203D"/>
    <w:rsid w:val="00EB2042"/>
    <w:rsid w:val="00EB209F"/>
    <w:rsid w:val="00EB20D4"/>
    <w:rsid w:val="00EB20FC"/>
    <w:rsid w:val="00EB214F"/>
    <w:rsid w:val="00EB21B1"/>
    <w:rsid w:val="00EB21D4"/>
    <w:rsid w:val="00EB228B"/>
    <w:rsid w:val="00EB22AE"/>
    <w:rsid w:val="00EB22B3"/>
    <w:rsid w:val="00EB22B8"/>
    <w:rsid w:val="00EB22DF"/>
    <w:rsid w:val="00EB22ED"/>
    <w:rsid w:val="00EB2315"/>
    <w:rsid w:val="00EB2316"/>
    <w:rsid w:val="00EB2320"/>
    <w:rsid w:val="00EB232C"/>
    <w:rsid w:val="00EB2374"/>
    <w:rsid w:val="00EB238E"/>
    <w:rsid w:val="00EB2403"/>
    <w:rsid w:val="00EB2439"/>
    <w:rsid w:val="00EB243D"/>
    <w:rsid w:val="00EB243F"/>
    <w:rsid w:val="00EB24A6"/>
    <w:rsid w:val="00EB258F"/>
    <w:rsid w:val="00EB2595"/>
    <w:rsid w:val="00EB2612"/>
    <w:rsid w:val="00EB2672"/>
    <w:rsid w:val="00EB2685"/>
    <w:rsid w:val="00EB26AC"/>
    <w:rsid w:val="00EB26DA"/>
    <w:rsid w:val="00EB26EA"/>
    <w:rsid w:val="00EB26FF"/>
    <w:rsid w:val="00EB272E"/>
    <w:rsid w:val="00EB2731"/>
    <w:rsid w:val="00EB2732"/>
    <w:rsid w:val="00EB27AF"/>
    <w:rsid w:val="00EB2802"/>
    <w:rsid w:val="00EB286F"/>
    <w:rsid w:val="00EB28B0"/>
    <w:rsid w:val="00EB28B9"/>
    <w:rsid w:val="00EB28C0"/>
    <w:rsid w:val="00EB28DB"/>
    <w:rsid w:val="00EB28FB"/>
    <w:rsid w:val="00EB2921"/>
    <w:rsid w:val="00EB2928"/>
    <w:rsid w:val="00EB2943"/>
    <w:rsid w:val="00EB29CD"/>
    <w:rsid w:val="00EB2A18"/>
    <w:rsid w:val="00EB2A46"/>
    <w:rsid w:val="00EB2A4D"/>
    <w:rsid w:val="00EB2AA6"/>
    <w:rsid w:val="00EB2AB2"/>
    <w:rsid w:val="00EB2AB6"/>
    <w:rsid w:val="00EB2B10"/>
    <w:rsid w:val="00EB2BC2"/>
    <w:rsid w:val="00EB2C0C"/>
    <w:rsid w:val="00EB2C5B"/>
    <w:rsid w:val="00EB2C5E"/>
    <w:rsid w:val="00EB2C5F"/>
    <w:rsid w:val="00EB2CAF"/>
    <w:rsid w:val="00EB2D00"/>
    <w:rsid w:val="00EB2D08"/>
    <w:rsid w:val="00EB2D50"/>
    <w:rsid w:val="00EB2DD9"/>
    <w:rsid w:val="00EB2DE3"/>
    <w:rsid w:val="00EB2DEE"/>
    <w:rsid w:val="00EB2E56"/>
    <w:rsid w:val="00EB2E63"/>
    <w:rsid w:val="00EB2E6D"/>
    <w:rsid w:val="00EB2EAF"/>
    <w:rsid w:val="00EB2EB1"/>
    <w:rsid w:val="00EB2F02"/>
    <w:rsid w:val="00EB2F03"/>
    <w:rsid w:val="00EB2F4B"/>
    <w:rsid w:val="00EB2F87"/>
    <w:rsid w:val="00EB2FA6"/>
    <w:rsid w:val="00EB3008"/>
    <w:rsid w:val="00EB3038"/>
    <w:rsid w:val="00EB305D"/>
    <w:rsid w:val="00EB307C"/>
    <w:rsid w:val="00EB30AF"/>
    <w:rsid w:val="00EB3124"/>
    <w:rsid w:val="00EB3141"/>
    <w:rsid w:val="00EB316C"/>
    <w:rsid w:val="00EB31A9"/>
    <w:rsid w:val="00EB31C0"/>
    <w:rsid w:val="00EB3239"/>
    <w:rsid w:val="00EB3292"/>
    <w:rsid w:val="00EB3299"/>
    <w:rsid w:val="00EB32EF"/>
    <w:rsid w:val="00EB333F"/>
    <w:rsid w:val="00EB3340"/>
    <w:rsid w:val="00EB33DA"/>
    <w:rsid w:val="00EB33FB"/>
    <w:rsid w:val="00EB340F"/>
    <w:rsid w:val="00EB3417"/>
    <w:rsid w:val="00EB3457"/>
    <w:rsid w:val="00EB34DF"/>
    <w:rsid w:val="00EB359E"/>
    <w:rsid w:val="00EB35D7"/>
    <w:rsid w:val="00EB3605"/>
    <w:rsid w:val="00EB3665"/>
    <w:rsid w:val="00EB3679"/>
    <w:rsid w:val="00EB3685"/>
    <w:rsid w:val="00EB3686"/>
    <w:rsid w:val="00EB368B"/>
    <w:rsid w:val="00EB36B4"/>
    <w:rsid w:val="00EB36BD"/>
    <w:rsid w:val="00EB36BF"/>
    <w:rsid w:val="00EB36DC"/>
    <w:rsid w:val="00EB375E"/>
    <w:rsid w:val="00EB3765"/>
    <w:rsid w:val="00EB377B"/>
    <w:rsid w:val="00EB3795"/>
    <w:rsid w:val="00EB37B6"/>
    <w:rsid w:val="00EB38AF"/>
    <w:rsid w:val="00EB38BA"/>
    <w:rsid w:val="00EB38DD"/>
    <w:rsid w:val="00EB38E1"/>
    <w:rsid w:val="00EB38F3"/>
    <w:rsid w:val="00EB3951"/>
    <w:rsid w:val="00EB396E"/>
    <w:rsid w:val="00EB3975"/>
    <w:rsid w:val="00EB3986"/>
    <w:rsid w:val="00EB39AF"/>
    <w:rsid w:val="00EB39C1"/>
    <w:rsid w:val="00EB3AAA"/>
    <w:rsid w:val="00EB3AE2"/>
    <w:rsid w:val="00EB3C00"/>
    <w:rsid w:val="00EB3CBC"/>
    <w:rsid w:val="00EB3CF6"/>
    <w:rsid w:val="00EB3D9B"/>
    <w:rsid w:val="00EB3DC9"/>
    <w:rsid w:val="00EB3DFA"/>
    <w:rsid w:val="00EB3E2C"/>
    <w:rsid w:val="00EB3E59"/>
    <w:rsid w:val="00EB3E90"/>
    <w:rsid w:val="00EB3EB0"/>
    <w:rsid w:val="00EB3F62"/>
    <w:rsid w:val="00EB3F67"/>
    <w:rsid w:val="00EB3F86"/>
    <w:rsid w:val="00EB3FE0"/>
    <w:rsid w:val="00EB3FE5"/>
    <w:rsid w:val="00EB400E"/>
    <w:rsid w:val="00EB4023"/>
    <w:rsid w:val="00EB4045"/>
    <w:rsid w:val="00EB4050"/>
    <w:rsid w:val="00EB4057"/>
    <w:rsid w:val="00EB40A4"/>
    <w:rsid w:val="00EB4110"/>
    <w:rsid w:val="00EB4150"/>
    <w:rsid w:val="00EB41C9"/>
    <w:rsid w:val="00EB4274"/>
    <w:rsid w:val="00EB42A6"/>
    <w:rsid w:val="00EB42B2"/>
    <w:rsid w:val="00EB42CA"/>
    <w:rsid w:val="00EB4306"/>
    <w:rsid w:val="00EB4339"/>
    <w:rsid w:val="00EB433E"/>
    <w:rsid w:val="00EB4372"/>
    <w:rsid w:val="00EB4396"/>
    <w:rsid w:val="00EB43E1"/>
    <w:rsid w:val="00EB4428"/>
    <w:rsid w:val="00EB4447"/>
    <w:rsid w:val="00EB4495"/>
    <w:rsid w:val="00EB44B1"/>
    <w:rsid w:val="00EB44EB"/>
    <w:rsid w:val="00EB4563"/>
    <w:rsid w:val="00EB4603"/>
    <w:rsid w:val="00EB46A7"/>
    <w:rsid w:val="00EB46AB"/>
    <w:rsid w:val="00EB46BE"/>
    <w:rsid w:val="00EB4774"/>
    <w:rsid w:val="00EB4778"/>
    <w:rsid w:val="00EB479A"/>
    <w:rsid w:val="00EB47B1"/>
    <w:rsid w:val="00EB47E4"/>
    <w:rsid w:val="00EB47EA"/>
    <w:rsid w:val="00EB47F3"/>
    <w:rsid w:val="00EB480D"/>
    <w:rsid w:val="00EB485C"/>
    <w:rsid w:val="00EB486B"/>
    <w:rsid w:val="00EB4873"/>
    <w:rsid w:val="00EB4903"/>
    <w:rsid w:val="00EB4933"/>
    <w:rsid w:val="00EB4976"/>
    <w:rsid w:val="00EB4A17"/>
    <w:rsid w:val="00EB4ADA"/>
    <w:rsid w:val="00EB4ADC"/>
    <w:rsid w:val="00EB4AE9"/>
    <w:rsid w:val="00EB4B59"/>
    <w:rsid w:val="00EB4C03"/>
    <w:rsid w:val="00EB4C0D"/>
    <w:rsid w:val="00EB4C61"/>
    <w:rsid w:val="00EB4C6D"/>
    <w:rsid w:val="00EB4C7A"/>
    <w:rsid w:val="00EB4CBA"/>
    <w:rsid w:val="00EB4CE8"/>
    <w:rsid w:val="00EB4D8C"/>
    <w:rsid w:val="00EB4D91"/>
    <w:rsid w:val="00EB4DB4"/>
    <w:rsid w:val="00EB4DC2"/>
    <w:rsid w:val="00EB4E18"/>
    <w:rsid w:val="00EB4EF5"/>
    <w:rsid w:val="00EB4EFD"/>
    <w:rsid w:val="00EB4F06"/>
    <w:rsid w:val="00EB4F78"/>
    <w:rsid w:val="00EB4F81"/>
    <w:rsid w:val="00EB4FC9"/>
    <w:rsid w:val="00EB5018"/>
    <w:rsid w:val="00EB5073"/>
    <w:rsid w:val="00EB5087"/>
    <w:rsid w:val="00EB508A"/>
    <w:rsid w:val="00EB50E2"/>
    <w:rsid w:val="00EB5137"/>
    <w:rsid w:val="00EB514C"/>
    <w:rsid w:val="00EB51B5"/>
    <w:rsid w:val="00EB51EF"/>
    <w:rsid w:val="00EB526D"/>
    <w:rsid w:val="00EB5287"/>
    <w:rsid w:val="00EB52C0"/>
    <w:rsid w:val="00EB52FD"/>
    <w:rsid w:val="00EB5308"/>
    <w:rsid w:val="00EB5335"/>
    <w:rsid w:val="00EB5346"/>
    <w:rsid w:val="00EB537F"/>
    <w:rsid w:val="00EB53F5"/>
    <w:rsid w:val="00EB5474"/>
    <w:rsid w:val="00EB54BA"/>
    <w:rsid w:val="00EB558A"/>
    <w:rsid w:val="00EB5637"/>
    <w:rsid w:val="00EB564E"/>
    <w:rsid w:val="00EB5677"/>
    <w:rsid w:val="00EB568C"/>
    <w:rsid w:val="00EB56C2"/>
    <w:rsid w:val="00EB56D1"/>
    <w:rsid w:val="00EB56DF"/>
    <w:rsid w:val="00EB573B"/>
    <w:rsid w:val="00EB5742"/>
    <w:rsid w:val="00EB5786"/>
    <w:rsid w:val="00EB57D3"/>
    <w:rsid w:val="00EB57FF"/>
    <w:rsid w:val="00EB58D4"/>
    <w:rsid w:val="00EB590A"/>
    <w:rsid w:val="00EB599C"/>
    <w:rsid w:val="00EB59D4"/>
    <w:rsid w:val="00EB59E0"/>
    <w:rsid w:val="00EB59E8"/>
    <w:rsid w:val="00EB5A2C"/>
    <w:rsid w:val="00EB5A2D"/>
    <w:rsid w:val="00EB5A52"/>
    <w:rsid w:val="00EB5AD5"/>
    <w:rsid w:val="00EB5B29"/>
    <w:rsid w:val="00EB5B2B"/>
    <w:rsid w:val="00EB5B7F"/>
    <w:rsid w:val="00EB5B87"/>
    <w:rsid w:val="00EB5B96"/>
    <w:rsid w:val="00EB5C0D"/>
    <w:rsid w:val="00EB5C4A"/>
    <w:rsid w:val="00EB5CA1"/>
    <w:rsid w:val="00EB5CA5"/>
    <w:rsid w:val="00EB5CBD"/>
    <w:rsid w:val="00EB5CBF"/>
    <w:rsid w:val="00EB5CEB"/>
    <w:rsid w:val="00EB5D43"/>
    <w:rsid w:val="00EB5DFC"/>
    <w:rsid w:val="00EB5E08"/>
    <w:rsid w:val="00EB5E40"/>
    <w:rsid w:val="00EB5E52"/>
    <w:rsid w:val="00EB5F14"/>
    <w:rsid w:val="00EB5F44"/>
    <w:rsid w:val="00EB5F58"/>
    <w:rsid w:val="00EB5FAF"/>
    <w:rsid w:val="00EB5FB9"/>
    <w:rsid w:val="00EB5FC8"/>
    <w:rsid w:val="00EB5FE4"/>
    <w:rsid w:val="00EB6045"/>
    <w:rsid w:val="00EB6051"/>
    <w:rsid w:val="00EB6085"/>
    <w:rsid w:val="00EB60F9"/>
    <w:rsid w:val="00EB610E"/>
    <w:rsid w:val="00EB618A"/>
    <w:rsid w:val="00EB61FF"/>
    <w:rsid w:val="00EB6267"/>
    <w:rsid w:val="00EB627E"/>
    <w:rsid w:val="00EB629C"/>
    <w:rsid w:val="00EB62B0"/>
    <w:rsid w:val="00EB6412"/>
    <w:rsid w:val="00EB643A"/>
    <w:rsid w:val="00EB6476"/>
    <w:rsid w:val="00EB64A2"/>
    <w:rsid w:val="00EB64E4"/>
    <w:rsid w:val="00EB65F3"/>
    <w:rsid w:val="00EB6610"/>
    <w:rsid w:val="00EB668C"/>
    <w:rsid w:val="00EB66FE"/>
    <w:rsid w:val="00EB6718"/>
    <w:rsid w:val="00EB673A"/>
    <w:rsid w:val="00EB6759"/>
    <w:rsid w:val="00EB67C8"/>
    <w:rsid w:val="00EB67DC"/>
    <w:rsid w:val="00EB6820"/>
    <w:rsid w:val="00EB68E4"/>
    <w:rsid w:val="00EB68F2"/>
    <w:rsid w:val="00EB6926"/>
    <w:rsid w:val="00EB698C"/>
    <w:rsid w:val="00EB6994"/>
    <w:rsid w:val="00EB6995"/>
    <w:rsid w:val="00EB69A4"/>
    <w:rsid w:val="00EB6A02"/>
    <w:rsid w:val="00EB6A1E"/>
    <w:rsid w:val="00EB6A7B"/>
    <w:rsid w:val="00EB6A7F"/>
    <w:rsid w:val="00EB6AD2"/>
    <w:rsid w:val="00EB6B04"/>
    <w:rsid w:val="00EB6B8C"/>
    <w:rsid w:val="00EB6BF9"/>
    <w:rsid w:val="00EB6C0A"/>
    <w:rsid w:val="00EB6C21"/>
    <w:rsid w:val="00EB6C2A"/>
    <w:rsid w:val="00EB6C51"/>
    <w:rsid w:val="00EB6C84"/>
    <w:rsid w:val="00EB6CA9"/>
    <w:rsid w:val="00EB6D02"/>
    <w:rsid w:val="00EB6D22"/>
    <w:rsid w:val="00EB6D34"/>
    <w:rsid w:val="00EB6D36"/>
    <w:rsid w:val="00EB6E3C"/>
    <w:rsid w:val="00EB6EA5"/>
    <w:rsid w:val="00EB6EA8"/>
    <w:rsid w:val="00EB6EB7"/>
    <w:rsid w:val="00EB6ECF"/>
    <w:rsid w:val="00EB6EDC"/>
    <w:rsid w:val="00EB6EFF"/>
    <w:rsid w:val="00EB6F44"/>
    <w:rsid w:val="00EB6F57"/>
    <w:rsid w:val="00EB6F7F"/>
    <w:rsid w:val="00EB6F8B"/>
    <w:rsid w:val="00EB6FAF"/>
    <w:rsid w:val="00EB6FCD"/>
    <w:rsid w:val="00EB701B"/>
    <w:rsid w:val="00EB7043"/>
    <w:rsid w:val="00EB7085"/>
    <w:rsid w:val="00EB70A5"/>
    <w:rsid w:val="00EB70C7"/>
    <w:rsid w:val="00EB70F2"/>
    <w:rsid w:val="00EB7113"/>
    <w:rsid w:val="00EB71AF"/>
    <w:rsid w:val="00EB71B3"/>
    <w:rsid w:val="00EB71C0"/>
    <w:rsid w:val="00EB7207"/>
    <w:rsid w:val="00EB7210"/>
    <w:rsid w:val="00EB730C"/>
    <w:rsid w:val="00EB730F"/>
    <w:rsid w:val="00EB7341"/>
    <w:rsid w:val="00EB7375"/>
    <w:rsid w:val="00EB73FF"/>
    <w:rsid w:val="00EB7428"/>
    <w:rsid w:val="00EB7434"/>
    <w:rsid w:val="00EB7456"/>
    <w:rsid w:val="00EB7460"/>
    <w:rsid w:val="00EB746B"/>
    <w:rsid w:val="00EB750B"/>
    <w:rsid w:val="00EB7536"/>
    <w:rsid w:val="00EB7555"/>
    <w:rsid w:val="00EB75BB"/>
    <w:rsid w:val="00EB75E4"/>
    <w:rsid w:val="00EB75FF"/>
    <w:rsid w:val="00EB7644"/>
    <w:rsid w:val="00EB765B"/>
    <w:rsid w:val="00EB769D"/>
    <w:rsid w:val="00EB76AB"/>
    <w:rsid w:val="00EB76C2"/>
    <w:rsid w:val="00EB76FD"/>
    <w:rsid w:val="00EB76FE"/>
    <w:rsid w:val="00EB7718"/>
    <w:rsid w:val="00EB7735"/>
    <w:rsid w:val="00EB7746"/>
    <w:rsid w:val="00EB7780"/>
    <w:rsid w:val="00EB7796"/>
    <w:rsid w:val="00EB7799"/>
    <w:rsid w:val="00EB77B7"/>
    <w:rsid w:val="00EB783D"/>
    <w:rsid w:val="00EB78C8"/>
    <w:rsid w:val="00EB78CE"/>
    <w:rsid w:val="00EB78E5"/>
    <w:rsid w:val="00EB7947"/>
    <w:rsid w:val="00EB798A"/>
    <w:rsid w:val="00EB79F4"/>
    <w:rsid w:val="00EB7A7E"/>
    <w:rsid w:val="00EB7AD6"/>
    <w:rsid w:val="00EB7ADD"/>
    <w:rsid w:val="00EB7B10"/>
    <w:rsid w:val="00EB7B24"/>
    <w:rsid w:val="00EB7B8D"/>
    <w:rsid w:val="00EB7BF0"/>
    <w:rsid w:val="00EB7BFD"/>
    <w:rsid w:val="00EB7C2D"/>
    <w:rsid w:val="00EB7C32"/>
    <w:rsid w:val="00EB7C59"/>
    <w:rsid w:val="00EB7C7E"/>
    <w:rsid w:val="00EB7CA7"/>
    <w:rsid w:val="00EB7CB1"/>
    <w:rsid w:val="00EB7CD5"/>
    <w:rsid w:val="00EB7CD8"/>
    <w:rsid w:val="00EB7D37"/>
    <w:rsid w:val="00EB7D6E"/>
    <w:rsid w:val="00EB7D78"/>
    <w:rsid w:val="00EB7DA3"/>
    <w:rsid w:val="00EB7DAA"/>
    <w:rsid w:val="00EB7DB1"/>
    <w:rsid w:val="00EB7DC7"/>
    <w:rsid w:val="00EB7E00"/>
    <w:rsid w:val="00EB7E51"/>
    <w:rsid w:val="00EB7E5A"/>
    <w:rsid w:val="00EB7E79"/>
    <w:rsid w:val="00EB7EA9"/>
    <w:rsid w:val="00EB7EB5"/>
    <w:rsid w:val="00EB7EBE"/>
    <w:rsid w:val="00EB7EDF"/>
    <w:rsid w:val="00EB7F1F"/>
    <w:rsid w:val="00EB7F3B"/>
    <w:rsid w:val="00EB7F6B"/>
    <w:rsid w:val="00EB7F80"/>
    <w:rsid w:val="00EB7F84"/>
    <w:rsid w:val="00EB7FB0"/>
    <w:rsid w:val="00EC0039"/>
    <w:rsid w:val="00EC0080"/>
    <w:rsid w:val="00EC00AF"/>
    <w:rsid w:val="00EC00C0"/>
    <w:rsid w:val="00EC00E3"/>
    <w:rsid w:val="00EC00F0"/>
    <w:rsid w:val="00EC012E"/>
    <w:rsid w:val="00EC0134"/>
    <w:rsid w:val="00EC013B"/>
    <w:rsid w:val="00EC0163"/>
    <w:rsid w:val="00EC016C"/>
    <w:rsid w:val="00EC0179"/>
    <w:rsid w:val="00EC024F"/>
    <w:rsid w:val="00EC027C"/>
    <w:rsid w:val="00EC0298"/>
    <w:rsid w:val="00EC02AD"/>
    <w:rsid w:val="00EC02CD"/>
    <w:rsid w:val="00EC032C"/>
    <w:rsid w:val="00EC03B4"/>
    <w:rsid w:val="00EC03CB"/>
    <w:rsid w:val="00EC0430"/>
    <w:rsid w:val="00EC049C"/>
    <w:rsid w:val="00EC04E4"/>
    <w:rsid w:val="00EC04EA"/>
    <w:rsid w:val="00EC0536"/>
    <w:rsid w:val="00EC053A"/>
    <w:rsid w:val="00EC054D"/>
    <w:rsid w:val="00EC0563"/>
    <w:rsid w:val="00EC0564"/>
    <w:rsid w:val="00EC0571"/>
    <w:rsid w:val="00EC0588"/>
    <w:rsid w:val="00EC05A6"/>
    <w:rsid w:val="00EC05D7"/>
    <w:rsid w:val="00EC0668"/>
    <w:rsid w:val="00EC06B7"/>
    <w:rsid w:val="00EC07B5"/>
    <w:rsid w:val="00EC07DC"/>
    <w:rsid w:val="00EC07F3"/>
    <w:rsid w:val="00EC0837"/>
    <w:rsid w:val="00EC0909"/>
    <w:rsid w:val="00EC090B"/>
    <w:rsid w:val="00EC091F"/>
    <w:rsid w:val="00EC094B"/>
    <w:rsid w:val="00EC0975"/>
    <w:rsid w:val="00EC09AA"/>
    <w:rsid w:val="00EC09C4"/>
    <w:rsid w:val="00EC09F8"/>
    <w:rsid w:val="00EC0A34"/>
    <w:rsid w:val="00EC0AB0"/>
    <w:rsid w:val="00EC0B73"/>
    <w:rsid w:val="00EC0BDC"/>
    <w:rsid w:val="00EC0BE1"/>
    <w:rsid w:val="00EC0BFF"/>
    <w:rsid w:val="00EC0C26"/>
    <w:rsid w:val="00EC0C30"/>
    <w:rsid w:val="00EC0CA9"/>
    <w:rsid w:val="00EC0CC9"/>
    <w:rsid w:val="00EC0D13"/>
    <w:rsid w:val="00EC0D84"/>
    <w:rsid w:val="00EC0DB8"/>
    <w:rsid w:val="00EC0DEC"/>
    <w:rsid w:val="00EC0E0C"/>
    <w:rsid w:val="00EC0E18"/>
    <w:rsid w:val="00EC0E29"/>
    <w:rsid w:val="00EC0E3C"/>
    <w:rsid w:val="00EC0E5D"/>
    <w:rsid w:val="00EC0E7D"/>
    <w:rsid w:val="00EC0E92"/>
    <w:rsid w:val="00EC0EA2"/>
    <w:rsid w:val="00EC0EA4"/>
    <w:rsid w:val="00EC0EB5"/>
    <w:rsid w:val="00EC0EFC"/>
    <w:rsid w:val="00EC0F16"/>
    <w:rsid w:val="00EC0FC2"/>
    <w:rsid w:val="00EC0FFB"/>
    <w:rsid w:val="00EC101E"/>
    <w:rsid w:val="00EC1043"/>
    <w:rsid w:val="00EC104D"/>
    <w:rsid w:val="00EC1074"/>
    <w:rsid w:val="00EC1096"/>
    <w:rsid w:val="00EC10A8"/>
    <w:rsid w:val="00EC10D5"/>
    <w:rsid w:val="00EC1195"/>
    <w:rsid w:val="00EC1199"/>
    <w:rsid w:val="00EC11EF"/>
    <w:rsid w:val="00EC11F0"/>
    <w:rsid w:val="00EC1287"/>
    <w:rsid w:val="00EC1317"/>
    <w:rsid w:val="00EC137C"/>
    <w:rsid w:val="00EC13A4"/>
    <w:rsid w:val="00EC13AE"/>
    <w:rsid w:val="00EC13BA"/>
    <w:rsid w:val="00EC143F"/>
    <w:rsid w:val="00EC144D"/>
    <w:rsid w:val="00EC1453"/>
    <w:rsid w:val="00EC1464"/>
    <w:rsid w:val="00EC14A5"/>
    <w:rsid w:val="00EC14CD"/>
    <w:rsid w:val="00EC14E1"/>
    <w:rsid w:val="00EC14EA"/>
    <w:rsid w:val="00EC1541"/>
    <w:rsid w:val="00EC154F"/>
    <w:rsid w:val="00EC1581"/>
    <w:rsid w:val="00EC1587"/>
    <w:rsid w:val="00EC15CA"/>
    <w:rsid w:val="00EC164A"/>
    <w:rsid w:val="00EC1705"/>
    <w:rsid w:val="00EC174D"/>
    <w:rsid w:val="00EC1816"/>
    <w:rsid w:val="00EC1831"/>
    <w:rsid w:val="00EC18E9"/>
    <w:rsid w:val="00EC18EC"/>
    <w:rsid w:val="00EC18F3"/>
    <w:rsid w:val="00EC18FD"/>
    <w:rsid w:val="00EC1952"/>
    <w:rsid w:val="00EC195F"/>
    <w:rsid w:val="00EC1965"/>
    <w:rsid w:val="00EC19C2"/>
    <w:rsid w:val="00EC1A28"/>
    <w:rsid w:val="00EC1A87"/>
    <w:rsid w:val="00EC1AB9"/>
    <w:rsid w:val="00EC1ACC"/>
    <w:rsid w:val="00EC1AFD"/>
    <w:rsid w:val="00EC1B0F"/>
    <w:rsid w:val="00EC1B23"/>
    <w:rsid w:val="00EC1B79"/>
    <w:rsid w:val="00EC1BAB"/>
    <w:rsid w:val="00EC1BBD"/>
    <w:rsid w:val="00EC1C0B"/>
    <w:rsid w:val="00EC1C26"/>
    <w:rsid w:val="00EC1C72"/>
    <w:rsid w:val="00EC1C98"/>
    <w:rsid w:val="00EC1CC3"/>
    <w:rsid w:val="00EC1D28"/>
    <w:rsid w:val="00EC1D4F"/>
    <w:rsid w:val="00EC1D76"/>
    <w:rsid w:val="00EC1DA8"/>
    <w:rsid w:val="00EC1E52"/>
    <w:rsid w:val="00EC1EA4"/>
    <w:rsid w:val="00EC1EA9"/>
    <w:rsid w:val="00EC1ECA"/>
    <w:rsid w:val="00EC1EFD"/>
    <w:rsid w:val="00EC1F20"/>
    <w:rsid w:val="00EC1F3E"/>
    <w:rsid w:val="00EC1F41"/>
    <w:rsid w:val="00EC1F5F"/>
    <w:rsid w:val="00EC1F60"/>
    <w:rsid w:val="00EC1F7B"/>
    <w:rsid w:val="00EC1FE8"/>
    <w:rsid w:val="00EC2014"/>
    <w:rsid w:val="00EC20F4"/>
    <w:rsid w:val="00EC20F6"/>
    <w:rsid w:val="00EC20FC"/>
    <w:rsid w:val="00EC211A"/>
    <w:rsid w:val="00EC211D"/>
    <w:rsid w:val="00EC214C"/>
    <w:rsid w:val="00EC2161"/>
    <w:rsid w:val="00EC216C"/>
    <w:rsid w:val="00EC2181"/>
    <w:rsid w:val="00EC2199"/>
    <w:rsid w:val="00EC21DB"/>
    <w:rsid w:val="00EC2209"/>
    <w:rsid w:val="00EC223B"/>
    <w:rsid w:val="00EC2250"/>
    <w:rsid w:val="00EC22B3"/>
    <w:rsid w:val="00EC230B"/>
    <w:rsid w:val="00EC2312"/>
    <w:rsid w:val="00EC232D"/>
    <w:rsid w:val="00EC237D"/>
    <w:rsid w:val="00EC23B0"/>
    <w:rsid w:val="00EC2400"/>
    <w:rsid w:val="00EC244E"/>
    <w:rsid w:val="00EC2481"/>
    <w:rsid w:val="00EC2492"/>
    <w:rsid w:val="00EC24A7"/>
    <w:rsid w:val="00EC24D0"/>
    <w:rsid w:val="00EC2506"/>
    <w:rsid w:val="00EC2510"/>
    <w:rsid w:val="00EC2517"/>
    <w:rsid w:val="00EC251E"/>
    <w:rsid w:val="00EC2568"/>
    <w:rsid w:val="00EC256F"/>
    <w:rsid w:val="00EC2570"/>
    <w:rsid w:val="00EC2574"/>
    <w:rsid w:val="00EC25DC"/>
    <w:rsid w:val="00EC25E4"/>
    <w:rsid w:val="00EC2624"/>
    <w:rsid w:val="00EC2645"/>
    <w:rsid w:val="00EC2682"/>
    <w:rsid w:val="00EC269F"/>
    <w:rsid w:val="00EC26AB"/>
    <w:rsid w:val="00EC273F"/>
    <w:rsid w:val="00EC278A"/>
    <w:rsid w:val="00EC27F1"/>
    <w:rsid w:val="00EC27FE"/>
    <w:rsid w:val="00EC2862"/>
    <w:rsid w:val="00EC286F"/>
    <w:rsid w:val="00EC2898"/>
    <w:rsid w:val="00EC28AC"/>
    <w:rsid w:val="00EC28B3"/>
    <w:rsid w:val="00EC28B8"/>
    <w:rsid w:val="00EC28D7"/>
    <w:rsid w:val="00EC290E"/>
    <w:rsid w:val="00EC2929"/>
    <w:rsid w:val="00EC296E"/>
    <w:rsid w:val="00EC299D"/>
    <w:rsid w:val="00EC2A45"/>
    <w:rsid w:val="00EC2ACA"/>
    <w:rsid w:val="00EC2AEA"/>
    <w:rsid w:val="00EC2B05"/>
    <w:rsid w:val="00EC2B27"/>
    <w:rsid w:val="00EC2B59"/>
    <w:rsid w:val="00EC2B8D"/>
    <w:rsid w:val="00EC2BA8"/>
    <w:rsid w:val="00EC2C7B"/>
    <w:rsid w:val="00EC2D75"/>
    <w:rsid w:val="00EC2D98"/>
    <w:rsid w:val="00EC2DE7"/>
    <w:rsid w:val="00EC2DF3"/>
    <w:rsid w:val="00EC2EB1"/>
    <w:rsid w:val="00EC2EB8"/>
    <w:rsid w:val="00EC2EFA"/>
    <w:rsid w:val="00EC2FA9"/>
    <w:rsid w:val="00EC2FCB"/>
    <w:rsid w:val="00EC3000"/>
    <w:rsid w:val="00EC3083"/>
    <w:rsid w:val="00EC3088"/>
    <w:rsid w:val="00EC309C"/>
    <w:rsid w:val="00EC30DC"/>
    <w:rsid w:val="00EC3118"/>
    <w:rsid w:val="00EC316C"/>
    <w:rsid w:val="00EC317B"/>
    <w:rsid w:val="00EC31F0"/>
    <w:rsid w:val="00EC32B5"/>
    <w:rsid w:val="00EC32C9"/>
    <w:rsid w:val="00EC32D6"/>
    <w:rsid w:val="00EC333F"/>
    <w:rsid w:val="00EC33AC"/>
    <w:rsid w:val="00EC33B3"/>
    <w:rsid w:val="00EC33E7"/>
    <w:rsid w:val="00EC33EF"/>
    <w:rsid w:val="00EC340F"/>
    <w:rsid w:val="00EC3458"/>
    <w:rsid w:val="00EC3522"/>
    <w:rsid w:val="00EC3545"/>
    <w:rsid w:val="00EC355A"/>
    <w:rsid w:val="00EC356F"/>
    <w:rsid w:val="00EC35CD"/>
    <w:rsid w:val="00EC3603"/>
    <w:rsid w:val="00EC3676"/>
    <w:rsid w:val="00EC3722"/>
    <w:rsid w:val="00EC3739"/>
    <w:rsid w:val="00EC3764"/>
    <w:rsid w:val="00EC376B"/>
    <w:rsid w:val="00EC376D"/>
    <w:rsid w:val="00EC3783"/>
    <w:rsid w:val="00EC379F"/>
    <w:rsid w:val="00EC37CA"/>
    <w:rsid w:val="00EC37D8"/>
    <w:rsid w:val="00EC3834"/>
    <w:rsid w:val="00EC389A"/>
    <w:rsid w:val="00EC38B9"/>
    <w:rsid w:val="00EC38C7"/>
    <w:rsid w:val="00EC38D2"/>
    <w:rsid w:val="00EC38D7"/>
    <w:rsid w:val="00EC394C"/>
    <w:rsid w:val="00EC39CA"/>
    <w:rsid w:val="00EC39D6"/>
    <w:rsid w:val="00EC3A7E"/>
    <w:rsid w:val="00EC3A97"/>
    <w:rsid w:val="00EC3AAF"/>
    <w:rsid w:val="00EC3B12"/>
    <w:rsid w:val="00EC3B28"/>
    <w:rsid w:val="00EC3B35"/>
    <w:rsid w:val="00EC3B47"/>
    <w:rsid w:val="00EC3B82"/>
    <w:rsid w:val="00EC3B8C"/>
    <w:rsid w:val="00EC3BE3"/>
    <w:rsid w:val="00EC3C1E"/>
    <w:rsid w:val="00EC3C2F"/>
    <w:rsid w:val="00EC3C34"/>
    <w:rsid w:val="00EC3C50"/>
    <w:rsid w:val="00EC3CF4"/>
    <w:rsid w:val="00EC3D12"/>
    <w:rsid w:val="00EC3D22"/>
    <w:rsid w:val="00EC3D4F"/>
    <w:rsid w:val="00EC3D8A"/>
    <w:rsid w:val="00EC3DA6"/>
    <w:rsid w:val="00EC3DAC"/>
    <w:rsid w:val="00EC3DFC"/>
    <w:rsid w:val="00EC3E08"/>
    <w:rsid w:val="00EC3E36"/>
    <w:rsid w:val="00EC3E4F"/>
    <w:rsid w:val="00EC3E56"/>
    <w:rsid w:val="00EC3E6E"/>
    <w:rsid w:val="00EC3ECD"/>
    <w:rsid w:val="00EC3F4D"/>
    <w:rsid w:val="00EC3F5E"/>
    <w:rsid w:val="00EC3F81"/>
    <w:rsid w:val="00EC3F89"/>
    <w:rsid w:val="00EC3FB0"/>
    <w:rsid w:val="00EC401D"/>
    <w:rsid w:val="00EC4098"/>
    <w:rsid w:val="00EC40A9"/>
    <w:rsid w:val="00EC40FB"/>
    <w:rsid w:val="00EC4110"/>
    <w:rsid w:val="00EC416F"/>
    <w:rsid w:val="00EC426F"/>
    <w:rsid w:val="00EC4296"/>
    <w:rsid w:val="00EC42AB"/>
    <w:rsid w:val="00EC42D0"/>
    <w:rsid w:val="00EC42E3"/>
    <w:rsid w:val="00EC42F8"/>
    <w:rsid w:val="00EC4319"/>
    <w:rsid w:val="00EC432F"/>
    <w:rsid w:val="00EC4398"/>
    <w:rsid w:val="00EC43C0"/>
    <w:rsid w:val="00EC43D6"/>
    <w:rsid w:val="00EC44BA"/>
    <w:rsid w:val="00EC44CA"/>
    <w:rsid w:val="00EC4529"/>
    <w:rsid w:val="00EC4579"/>
    <w:rsid w:val="00EC45A7"/>
    <w:rsid w:val="00EC45F1"/>
    <w:rsid w:val="00EC4602"/>
    <w:rsid w:val="00EC464C"/>
    <w:rsid w:val="00EC4675"/>
    <w:rsid w:val="00EC468E"/>
    <w:rsid w:val="00EC4732"/>
    <w:rsid w:val="00EC47AA"/>
    <w:rsid w:val="00EC4802"/>
    <w:rsid w:val="00EC4865"/>
    <w:rsid w:val="00EC4893"/>
    <w:rsid w:val="00EC4902"/>
    <w:rsid w:val="00EC491A"/>
    <w:rsid w:val="00EC49C1"/>
    <w:rsid w:val="00EC49CA"/>
    <w:rsid w:val="00EC49ED"/>
    <w:rsid w:val="00EC49F0"/>
    <w:rsid w:val="00EC4A81"/>
    <w:rsid w:val="00EC4A9B"/>
    <w:rsid w:val="00EC4ABE"/>
    <w:rsid w:val="00EC4ACC"/>
    <w:rsid w:val="00EC4B25"/>
    <w:rsid w:val="00EC4B3A"/>
    <w:rsid w:val="00EC4BA5"/>
    <w:rsid w:val="00EC4C02"/>
    <w:rsid w:val="00EC4C16"/>
    <w:rsid w:val="00EC4C4C"/>
    <w:rsid w:val="00EC4CF4"/>
    <w:rsid w:val="00EC4DD1"/>
    <w:rsid w:val="00EC4E3D"/>
    <w:rsid w:val="00EC4E42"/>
    <w:rsid w:val="00EC4E67"/>
    <w:rsid w:val="00EC4E70"/>
    <w:rsid w:val="00EC4E7C"/>
    <w:rsid w:val="00EC4EBE"/>
    <w:rsid w:val="00EC4EDC"/>
    <w:rsid w:val="00EC4F66"/>
    <w:rsid w:val="00EC4F6B"/>
    <w:rsid w:val="00EC4F76"/>
    <w:rsid w:val="00EC4FAC"/>
    <w:rsid w:val="00EC4FDC"/>
    <w:rsid w:val="00EC4FE5"/>
    <w:rsid w:val="00EC5048"/>
    <w:rsid w:val="00EC5050"/>
    <w:rsid w:val="00EC5065"/>
    <w:rsid w:val="00EC50BF"/>
    <w:rsid w:val="00EC5107"/>
    <w:rsid w:val="00EC510E"/>
    <w:rsid w:val="00EC5120"/>
    <w:rsid w:val="00EC5123"/>
    <w:rsid w:val="00EC5130"/>
    <w:rsid w:val="00EC519D"/>
    <w:rsid w:val="00EC51EE"/>
    <w:rsid w:val="00EC5242"/>
    <w:rsid w:val="00EC5268"/>
    <w:rsid w:val="00EC52B3"/>
    <w:rsid w:val="00EC5304"/>
    <w:rsid w:val="00EC5327"/>
    <w:rsid w:val="00EC533A"/>
    <w:rsid w:val="00EC5357"/>
    <w:rsid w:val="00EC5368"/>
    <w:rsid w:val="00EC53E6"/>
    <w:rsid w:val="00EC5404"/>
    <w:rsid w:val="00EC5405"/>
    <w:rsid w:val="00EC540E"/>
    <w:rsid w:val="00EC5413"/>
    <w:rsid w:val="00EC541B"/>
    <w:rsid w:val="00EC54B8"/>
    <w:rsid w:val="00EC54C3"/>
    <w:rsid w:val="00EC54C9"/>
    <w:rsid w:val="00EC54CB"/>
    <w:rsid w:val="00EC5516"/>
    <w:rsid w:val="00EC5531"/>
    <w:rsid w:val="00EC5537"/>
    <w:rsid w:val="00EC5569"/>
    <w:rsid w:val="00EC5580"/>
    <w:rsid w:val="00EC55E1"/>
    <w:rsid w:val="00EC5636"/>
    <w:rsid w:val="00EC5664"/>
    <w:rsid w:val="00EC56A0"/>
    <w:rsid w:val="00EC5745"/>
    <w:rsid w:val="00EC5751"/>
    <w:rsid w:val="00EC5755"/>
    <w:rsid w:val="00EC5769"/>
    <w:rsid w:val="00EC5820"/>
    <w:rsid w:val="00EC582E"/>
    <w:rsid w:val="00EC58C8"/>
    <w:rsid w:val="00EC58DF"/>
    <w:rsid w:val="00EC5973"/>
    <w:rsid w:val="00EC59AB"/>
    <w:rsid w:val="00EC59CA"/>
    <w:rsid w:val="00EC59DB"/>
    <w:rsid w:val="00EC5A43"/>
    <w:rsid w:val="00EC5AE9"/>
    <w:rsid w:val="00EC5AF7"/>
    <w:rsid w:val="00EC5B9D"/>
    <w:rsid w:val="00EC5C20"/>
    <w:rsid w:val="00EC5C2C"/>
    <w:rsid w:val="00EC5C47"/>
    <w:rsid w:val="00EC5C88"/>
    <w:rsid w:val="00EC5D3D"/>
    <w:rsid w:val="00EC5D56"/>
    <w:rsid w:val="00EC5DC8"/>
    <w:rsid w:val="00EC5E1B"/>
    <w:rsid w:val="00EC5E5A"/>
    <w:rsid w:val="00EC5EB0"/>
    <w:rsid w:val="00EC5EB9"/>
    <w:rsid w:val="00EC5F05"/>
    <w:rsid w:val="00EC5F6F"/>
    <w:rsid w:val="00EC5F8D"/>
    <w:rsid w:val="00EC5FA5"/>
    <w:rsid w:val="00EC5FF3"/>
    <w:rsid w:val="00EC6053"/>
    <w:rsid w:val="00EC606A"/>
    <w:rsid w:val="00EC607B"/>
    <w:rsid w:val="00EC6087"/>
    <w:rsid w:val="00EC6091"/>
    <w:rsid w:val="00EC60D5"/>
    <w:rsid w:val="00EC6101"/>
    <w:rsid w:val="00EC613F"/>
    <w:rsid w:val="00EC6144"/>
    <w:rsid w:val="00EC6156"/>
    <w:rsid w:val="00EC6165"/>
    <w:rsid w:val="00EC6178"/>
    <w:rsid w:val="00EC617B"/>
    <w:rsid w:val="00EC61A9"/>
    <w:rsid w:val="00EC61DE"/>
    <w:rsid w:val="00EC6206"/>
    <w:rsid w:val="00EC6249"/>
    <w:rsid w:val="00EC6288"/>
    <w:rsid w:val="00EC62C0"/>
    <w:rsid w:val="00EC62E0"/>
    <w:rsid w:val="00EC6324"/>
    <w:rsid w:val="00EC635F"/>
    <w:rsid w:val="00EC638D"/>
    <w:rsid w:val="00EC63A6"/>
    <w:rsid w:val="00EC63BA"/>
    <w:rsid w:val="00EC6426"/>
    <w:rsid w:val="00EC6474"/>
    <w:rsid w:val="00EC648F"/>
    <w:rsid w:val="00EC649F"/>
    <w:rsid w:val="00EC64B0"/>
    <w:rsid w:val="00EC64B1"/>
    <w:rsid w:val="00EC6577"/>
    <w:rsid w:val="00EC6580"/>
    <w:rsid w:val="00EC65C1"/>
    <w:rsid w:val="00EC65C8"/>
    <w:rsid w:val="00EC65DF"/>
    <w:rsid w:val="00EC65F3"/>
    <w:rsid w:val="00EC6638"/>
    <w:rsid w:val="00EC6751"/>
    <w:rsid w:val="00EC67C8"/>
    <w:rsid w:val="00EC68DD"/>
    <w:rsid w:val="00EC6925"/>
    <w:rsid w:val="00EC6926"/>
    <w:rsid w:val="00EC695D"/>
    <w:rsid w:val="00EC696C"/>
    <w:rsid w:val="00EC69E3"/>
    <w:rsid w:val="00EC69EC"/>
    <w:rsid w:val="00EC6A1B"/>
    <w:rsid w:val="00EC6A1D"/>
    <w:rsid w:val="00EC6A7F"/>
    <w:rsid w:val="00EC6AA1"/>
    <w:rsid w:val="00EC6AAE"/>
    <w:rsid w:val="00EC6AFC"/>
    <w:rsid w:val="00EC6B30"/>
    <w:rsid w:val="00EC6B86"/>
    <w:rsid w:val="00EC6BE1"/>
    <w:rsid w:val="00EC6C45"/>
    <w:rsid w:val="00EC6C5F"/>
    <w:rsid w:val="00EC6CD6"/>
    <w:rsid w:val="00EC6D97"/>
    <w:rsid w:val="00EC6DBA"/>
    <w:rsid w:val="00EC6DE6"/>
    <w:rsid w:val="00EC6E0E"/>
    <w:rsid w:val="00EC6E6A"/>
    <w:rsid w:val="00EC6E7A"/>
    <w:rsid w:val="00EC6EA6"/>
    <w:rsid w:val="00EC6EB5"/>
    <w:rsid w:val="00EC6F22"/>
    <w:rsid w:val="00EC6F24"/>
    <w:rsid w:val="00EC6F29"/>
    <w:rsid w:val="00EC6F49"/>
    <w:rsid w:val="00EC6FF6"/>
    <w:rsid w:val="00EC7001"/>
    <w:rsid w:val="00EC703B"/>
    <w:rsid w:val="00EC7077"/>
    <w:rsid w:val="00EC70F1"/>
    <w:rsid w:val="00EC7103"/>
    <w:rsid w:val="00EC7108"/>
    <w:rsid w:val="00EC7151"/>
    <w:rsid w:val="00EC7191"/>
    <w:rsid w:val="00EC71C2"/>
    <w:rsid w:val="00EC71DE"/>
    <w:rsid w:val="00EC71F6"/>
    <w:rsid w:val="00EC722B"/>
    <w:rsid w:val="00EC7230"/>
    <w:rsid w:val="00EC7234"/>
    <w:rsid w:val="00EC7270"/>
    <w:rsid w:val="00EC72C1"/>
    <w:rsid w:val="00EC72E6"/>
    <w:rsid w:val="00EC736A"/>
    <w:rsid w:val="00EC7390"/>
    <w:rsid w:val="00EC7393"/>
    <w:rsid w:val="00EC73F3"/>
    <w:rsid w:val="00EC73F9"/>
    <w:rsid w:val="00EC741E"/>
    <w:rsid w:val="00EC744A"/>
    <w:rsid w:val="00EC7464"/>
    <w:rsid w:val="00EC7468"/>
    <w:rsid w:val="00EC746E"/>
    <w:rsid w:val="00EC748A"/>
    <w:rsid w:val="00EC74CD"/>
    <w:rsid w:val="00EC7538"/>
    <w:rsid w:val="00EC7540"/>
    <w:rsid w:val="00EC7578"/>
    <w:rsid w:val="00EC75D2"/>
    <w:rsid w:val="00EC75EE"/>
    <w:rsid w:val="00EC75EF"/>
    <w:rsid w:val="00EC75FD"/>
    <w:rsid w:val="00EC7610"/>
    <w:rsid w:val="00EC763A"/>
    <w:rsid w:val="00EC766A"/>
    <w:rsid w:val="00EC76A6"/>
    <w:rsid w:val="00EC76AD"/>
    <w:rsid w:val="00EC76B3"/>
    <w:rsid w:val="00EC76BC"/>
    <w:rsid w:val="00EC76C3"/>
    <w:rsid w:val="00EC76EB"/>
    <w:rsid w:val="00EC76EF"/>
    <w:rsid w:val="00EC7747"/>
    <w:rsid w:val="00EC7780"/>
    <w:rsid w:val="00EC7783"/>
    <w:rsid w:val="00EC77B0"/>
    <w:rsid w:val="00EC77B4"/>
    <w:rsid w:val="00EC7820"/>
    <w:rsid w:val="00EC7830"/>
    <w:rsid w:val="00EC7859"/>
    <w:rsid w:val="00EC7929"/>
    <w:rsid w:val="00EC792E"/>
    <w:rsid w:val="00EC793E"/>
    <w:rsid w:val="00EC794E"/>
    <w:rsid w:val="00EC795D"/>
    <w:rsid w:val="00EC798A"/>
    <w:rsid w:val="00EC79D7"/>
    <w:rsid w:val="00EC79E0"/>
    <w:rsid w:val="00EC79F1"/>
    <w:rsid w:val="00EC7A17"/>
    <w:rsid w:val="00EC7A50"/>
    <w:rsid w:val="00EC7A8A"/>
    <w:rsid w:val="00EC7AC9"/>
    <w:rsid w:val="00EC7AED"/>
    <w:rsid w:val="00EC7AF5"/>
    <w:rsid w:val="00EC7B0D"/>
    <w:rsid w:val="00EC7B30"/>
    <w:rsid w:val="00EC7B48"/>
    <w:rsid w:val="00EC7B97"/>
    <w:rsid w:val="00EC7BE0"/>
    <w:rsid w:val="00EC7BF7"/>
    <w:rsid w:val="00EC7C1B"/>
    <w:rsid w:val="00EC7C32"/>
    <w:rsid w:val="00EC7C8F"/>
    <w:rsid w:val="00EC7CD0"/>
    <w:rsid w:val="00EC7CD6"/>
    <w:rsid w:val="00EC7CFE"/>
    <w:rsid w:val="00EC7D11"/>
    <w:rsid w:val="00EC7D14"/>
    <w:rsid w:val="00EC7D5F"/>
    <w:rsid w:val="00EC7D6B"/>
    <w:rsid w:val="00EC7DD5"/>
    <w:rsid w:val="00EC7DE6"/>
    <w:rsid w:val="00EC7E56"/>
    <w:rsid w:val="00EC7E87"/>
    <w:rsid w:val="00EC7E90"/>
    <w:rsid w:val="00EC7E97"/>
    <w:rsid w:val="00EC7E98"/>
    <w:rsid w:val="00EC7ED8"/>
    <w:rsid w:val="00EC7EDC"/>
    <w:rsid w:val="00EC7EE6"/>
    <w:rsid w:val="00EC7EF0"/>
    <w:rsid w:val="00EC7F10"/>
    <w:rsid w:val="00EC7FE5"/>
    <w:rsid w:val="00EC7FF7"/>
    <w:rsid w:val="00EC7FFA"/>
    <w:rsid w:val="00ED0004"/>
    <w:rsid w:val="00ED001F"/>
    <w:rsid w:val="00ED004F"/>
    <w:rsid w:val="00ED00A9"/>
    <w:rsid w:val="00ED00C4"/>
    <w:rsid w:val="00ED00D7"/>
    <w:rsid w:val="00ED00F5"/>
    <w:rsid w:val="00ED00FA"/>
    <w:rsid w:val="00ED016C"/>
    <w:rsid w:val="00ED016D"/>
    <w:rsid w:val="00ED01AA"/>
    <w:rsid w:val="00ED027C"/>
    <w:rsid w:val="00ED03C9"/>
    <w:rsid w:val="00ED0458"/>
    <w:rsid w:val="00ED046F"/>
    <w:rsid w:val="00ED0473"/>
    <w:rsid w:val="00ED048A"/>
    <w:rsid w:val="00ED04DA"/>
    <w:rsid w:val="00ED04F3"/>
    <w:rsid w:val="00ED055C"/>
    <w:rsid w:val="00ED05D1"/>
    <w:rsid w:val="00ED0642"/>
    <w:rsid w:val="00ED066E"/>
    <w:rsid w:val="00ED0673"/>
    <w:rsid w:val="00ED0699"/>
    <w:rsid w:val="00ED069E"/>
    <w:rsid w:val="00ED06BC"/>
    <w:rsid w:val="00ED06BF"/>
    <w:rsid w:val="00ED06D0"/>
    <w:rsid w:val="00ED06E7"/>
    <w:rsid w:val="00ED0720"/>
    <w:rsid w:val="00ED073A"/>
    <w:rsid w:val="00ED077B"/>
    <w:rsid w:val="00ED078E"/>
    <w:rsid w:val="00ED07A3"/>
    <w:rsid w:val="00ED07B0"/>
    <w:rsid w:val="00ED07E1"/>
    <w:rsid w:val="00ED0805"/>
    <w:rsid w:val="00ED0839"/>
    <w:rsid w:val="00ED085B"/>
    <w:rsid w:val="00ED08F5"/>
    <w:rsid w:val="00ED08F9"/>
    <w:rsid w:val="00ED0921"/>
    <w:rsid w:val="00ED0942"/>
    <w:rsid w:val="00ED0988"/>
    <w:rsid w:val="00ED099B"/>
    <w:rsid w:val="00ED09BD"/>
    <w:rsid w:val="00ED0A1F"/>
    <w:rsid w:val="00ED0A37"/>
    <w:rsid w:val="00ED0A3D"/>
    <w:rsid w:val="00ED0AAA"/>
    <w:rsid w:val="00ED0AC2"/>
    <w:rsid w:val="00ED0B22"/>
    <w:rsid w:val="00ED0B86"/>
    <w:rsid w:val="00ED0BA3"/>
    <w:rsid w:val="00ED0BB3"/>
    <w:rsid w:val="00ED0BE3"/>
    <w:rsid w:val="00ED0C06"/>
    <w:rsid w:val="00ED0CA4"/>
    <w:rsid w:val="00ED0D2C"/>
    <w:rsid w:val="00ED0D8A"/>
    <w:rsid w:val="00ED0DEE"/>
    <w:rsid w:val="00ED0DF3"/>
    <w:rsid w:val="00ED0E3A"/>
    <w:rsid w:val="00ED0E73"/>
    <w:rsid w:val="00ED0EC0"/>
    <w:rsid w:val="00ED0F0B"/>
    <w:rsid w:val="00ED0F26"/>
    <w:rsid w:val="00ED0F49"/>
    <w:rsid w:val="00ED0FBE"/>
    <w:rsid w:val="00ED100A"/>
    <w:rsid w:val="00ED1099"/>
    <w:rsid w:val="00ED10B1"/>
    <w:rsid w:val="00ED10E1"/>
    <w:rsid w:val="00ED10F1"/>
    <w:rsid w:val="00ED1116"/>
    <w:rsid w:val="00ED1128"/>
    <w:rsid w:val="00ED1162"/>
    <w:rsid w:val="00ED1192"/>
    <w:rsid w:val="00ED11CF"/>
    <w:rsid w:val="00ED1273"/>
    <w:rsid w:val="00ED12A2"/>
    <w:rsid w:val="00ED12CD"/>
    <w:rsid w:val="00ED1316"/>
    <w:rsid w:val="00ED1331"/>
    <w:rsid w:val="00ED1367"/>
    <w:rsid w:val="00ED1424"/>
    <w:rsid w:val="00ED149B"/>
    <w:rsid w:val="00ED14DF"/>
    <w:rsid w:val="00ED1503"/>
    <w:rsid w:val="00ED1534"/>
    <w:rsid w:val="00ED1545"/>
    <w:rsid w:val="00ED159A"/>
    <w:rsid w:val="00ED15A6"/>
    <w:rsid w:val="00ED15B4"/>
    <w:rsid w:val="00ED15F2"/>
    <w:rsid w:val="00ED160C"/>
    <w:rsid w:val="00ED1610"/>
    <w:rsid w:val="00ED1645"/>
    <w:rsid w:val="00ED164D"/>
    <w:rsid w:val="00ED1655"/>
    <w:rsid w:val="00ED1674"/>
    <w:rsid w:val="00ED167B"/>
    <w:rsid w:val="00ED16C5"/>
    <w:rsid w:val="00ED16D7"/>
    <w:rsid w:val="00ED16F7"/>
    <w:rsid w:val="00ED16FA"/>
    <w:rsid w:val="00ED173B"/>
    <w:rsid w:val="00ED17DD"/>
    <w:rsid w:val="00ED1845"/>
    <w:rsid w:val="00ED1852"/>
    <w:rsid w:val="00ED1874"/>
    <w:rsid w:val="00ED1898"/>
    <w:rsid w:val="00ED18CD"/>
    <w:rsid w:val="00ED1901"/>
    <w:rsid w:val="00ED196E"/>
    <w:rsid w:val="00ED1972"/>
    <w:rsid w:val="00ED1A4E"/>
    <w:rsid w:val="00ED1A5E"/>
    <w:rsid w:val="00ED1A89"/>
    <w:rsid w:val="00ED1ABD"/>
    <w:rsid w:val="00ED1AE0"/>
    <w:rsid w:val="00ED1AF3"/>
    <w:rsid w:val="00ED1AFB"/>
    <w:rsid w:val="00ED1AFD"/>
    <w:rsid w:val="00ED1B15"/>
    <w:rsid w:val="00ED1B52"/>
    <w:rsid w:val="00ED1B62"/>
    <w:rsid w:val="00ED1BAB"/>
    <w:rsid w:val="00ED1BEF"/>
    <w:rsid w:val="00ED1BF9"/>
    <w:rsid w:val="00ED1C6F"/>
    <w:rsid w:val="00ED1CF4"/>
    <w:rsid w:val="00ED1D18"/>
    <w:rsid w:val="00ED1D67"/>
    <w:rsid w:val="00ED1DA1"/>
    <w:rsid w:val="00ED1DBA"/>
    <w:rsid w:val="00ED1DD1"/>
    <w:rsid w:val="00ED1DEC"/>
    <w:rsid w:val="00ED1E39"/>
    <w:rsid w:val="00ED1E6F"/>
    <w:rsid w:val="00ED1EA7"/>
    <w:rsid w:val="00ED1EAF"/>
    <w:rsid w:val="00ED1EFF"/>
    <w:rsid w:val="00ED1F5C"/>
    <w:rsid w:val="00ED1FAE"/>
    <w:rsid w:val="00ED1FD7"/>
    <w:rsid w:val="00ED2000"/>
    <w:rsid w:val="00ED203B"/>
    <w:rsid w:val="00ED2051"/>
    <w:rsid w:val="00ED20B5"/>
    <w:rsid w:val="00ED2106"/>
    <w:rsid w:val="00ED2151"/>
    <w:rsid w:val="00ED2213"/>
    <w:rsid w:val="00ED2237"/>
    <w:rsid w:val="00ED2288"/>
    <w:rsid w:val="00ED230A"/>
    <w:rsid w:val="00ED2336"/>
    <w:rsid w:val="00ED234C"/>
    <w:rsid w:val="00ED2399"/>
    <w:rsid w:val="00ED23DC"/>
    <w:rsid w:val="00ED244D"/>
    <w:rsid w:val="00ED2469"/>
    <w:rsid w:val="00ED24AA"/>
    <w:rsid w:val="00ED24C4"/>
    <w:rsid w:val="00ED2540"/>
    <w:rsid w:val="00ED25CB"/>
    <w:rsid w:val="00ED25D2"/>
    <w:rsid w:val="00ED25E1"/>
    <w:rsid w:val="00ED2614"/>
    <w:rsid w:val="00ED2630"/>
    <w:rsid w:val="00ED264B"/>
    <w:rsid w:val="00ED264F"/>
    <w:rsid w:val="00ED2682"/>
    <w:rsid w:val="00ED26A8"/>
    <w:rsid w:val="00ED26E0"/>
    <w:rsid w:val="00ED273C"/>
    <w:rsid w:val="00ED2769"/>
    <w:rsid w:val="00ED276E"/>
    <w:rsid w:val="00ED27A4"/>
    <w:rsid w:val="00ED27DF"/>
    <w:rsid w:val="00ED27E6"/>
    <w:rsid w:val="00ED286A"/>
    <w:rsid w:val="00ED28A4"/>
    <w:rsid w:val="00ED28EB"/>
    <w:rsid w:val="00ED2907"/>
    <w:rsid w:val="00ED2914"/>
    <w:rsid w:val="00ED291F"/>
    <w:rsid w:val="00ED295C"/>
    <w:rsid w:val="00ED2966"/>
    <w:rsid w:val="00ED29FA"/>
    <w:rsid w:val="00ED2A03"/>
    <w:rsid w:val="00ED2A21"/>
    <w:rsid w:val="00ED2A5E"/>
    <w:rsid w:val="00ED2A7F"/>
    <w:rsid w:val="00ED2AB6"/>
    <w:rsid w:val="00ED2B1F"/>
    <w:rsid w:val="00ED2B60"/>
    <w:rsid w:val="00ED2BAE"/>
    <w:rsid w:val="00ED2BFA"/>
    <w:rsid w:val="00ED2C27"/>
    <w:rsid w:val="00ED2C30"/>
    <w:rsid w:val="00ED2C95"/>
    <w:rsid w:val="00ED2C9A"/>
    <w:rsid w:val="00ED2CCB"/>
    <w:rsid w:val="00ED2CDD"/>
    <w:rsid w:val="00ED2CFB"/>
    <w:rsid w:val="00ED2D4C"/>
    <w:rsid w:val="00ED2D57"/>
    <w:rsid w:val="00ED2D80"/>
    <w:rsid w:val="00ED2DC7"/>
    <w:rsid w:val="00ED2E10"/>
    <w:rsid w:val="00ED2E28"/>
    <w:rsid w:val="00ED2E8C"/>
    <w:rsid w:val="00ED2ED4"/>
    <w:rsid w:val="00ED2ED6"/>
    <w:rsid w:val="00ED2EE8"/>
    <w:rsid w:val="00ED2EEE"/>
    <w:rsid w:val="00ED2EFB"/>
    <w:rsid w:val="00ED2F43"/>
    <w:rsid w:val="00ED2F66"/>
    <w:rsid w:val="00ED2F73"/>
    <w:rsid w:val="00ED2F83"/>
    <w:rsid w:val="00ED2F8F"/>
    <w:rsid w:val="00ED2FA9"/>
    <w:rsid w:val="00ED2FFE"/>
    <w:rsid w:val="00ED3005"/>
    <w:rsid w:val="00ED300B"/>
    <w:rsid w:val="00ED3027"/>
    <w:rsid w:val="00ED303F"/>
    <w:rsid w:val="00ED3054"/>
    <w:rsid w:val="00ED30C7"/>
    <w:rsid w:val="00ED30E0"/>
    <w:rsid w:val="00ED311D"/>
    <w:rsid w:val="00ED3180"/>
    <w:rsid w:val="00ED31AC"/>
    <w:rsid w:val="00ED31B3"/>
    <w:rsid w:val="00ED31B9"/>
    <w:rsid w:val="00ED31CE"/>
    <w:rsid w:val="00ED31F2"/>
    <w:rsid w:val="00ED3240"/>
    <w:rsid w:val="00ED3300"/>
    <w:rsid w:val="00ED3309"/>
    <w:rsid w:val="00ED3322"/>
    <w:rsid w:val="00ED33BE"/>
    <w:rsid w:val="00ED33C9"/>
    <w:rsid w:val="00ED33E1"/>
    <w:rsid w:val="00ED33FC"/>
    <w:rsid w:val="00ED340A"/>
    <w:rsid w:val="00ED345C"/>
    <w:rsid w:val="00ED345F"/>
    <w:rsid w:val="00ED34D3"/>
    <w:rsid w:val="00ED34F8"/>
    <w:rsid w:val="00ED3516"/>
    <w:rsid w:val="00ED352B"/>
    <w:rsid w:val="00ED353E"/>
    <w:rsid w:val="00ED35CD"/>
    <w:rsid w:val="00ED35EB"/>
    <w:rsid w:val="00ED3666"/>
    <w:rsid w:val="00ED3671"/>
    <w:rsid w:val="00ED36A7"/>
    <w:rsid w:val="00ED36A9"/>
    <w:rsid w:val="00ED36AB"/>
    <w:rsid w:val="00ED36BE"/>
    <w:rsid w:val="00ED3754"/>
    <w:rsid w:val="00ED3770"/>
    <w:rsid w:val="00ED3772"/>
    <w:rsid w:val="00ED379E"/>
    <w:rsid w:val="00ED37AE"/>
    <w:rsid w:val="00ED37E5"/>
    <w:rsid w:val="00ED3801"/>
    <w:rsid w:val="00ED38A7"/>
    <w:rsid w:val="00ED38B6"/>
    <w:rsid w:val="00ED38D2"/>
    <w:rsid w:val="00ED38EF"/>
    <w:rsid w:val="00ED3954"/>
    <w:rsid w:val="00ED3955"/>
    <w:rsid w:val="00ED398A"/>
    <w:rsid w:val="00ED39BC"/>
    <w:rsid w:val="00ED39D0"/>
    <w:rsid w:val="00ED39F6"/>
    <w:rsid w:val="00ED3A04"/>
    <w:rsid w:val="00ED3A76"/>
    <w:rsid w:val="00ED3A8C"/>
    <w:rsid w:val="00ED3A8E"/>
    <w:rsid w:val="00ED3AFF"/>
    <w:rsid w:val="00ED3B12"/>
    <w:rsid w:val="00ED3B98"/>
    <w:rsid w:val="00ED3BC9"/>
    <w:rsid w:val="00ED3BE4"/>
    <w:rsid w:val="00ED3C4F"/>
    <w:rsid w:val="00ED3CB2"/>
    <w:rsid w:val="00ED3DCA"/>
    <w:rsid w:val="00ED3E40"/>
    <w:rsid w:val="00ED3EAA"/>
    <w:rsid w:val="00ED3ED1"/>
    <w:rsid w:val="00ED3F13"/>
    <w:rsid w:val="00ED4005"/>
    <w:rsid w:val="00ED4077"/>
    <w:rsid w:val="00ED40A9"/>
    <w:rsid w:val="00ED4127"/>
    <w:rsid w:val="00ED41D2"/>
    <w:rsid w:val="00ED4229"/>
    <w:rsid w:val="00ED4242"/>
    <w:rsid w:val="00ED4250"/>
    <w:rsid w:val="00ED42E2"/>
    <w:rsid w:val="00ED4335"/>
    <w:rsid w:val="00ED4371"/>
    <w:rsid w:val="00ED4427"/>
    <w:rsid w:val="00ED4449"/>
    <w:rsid w:val="00ED447B"/>
    <w:rsid w:val="00ED44A5"/>
    <w:rsid w:val="00ED44ED"/>
    <w:rsid w:val="00ED4523"/>
    <w:rsid w:val="00ED4580"/>
    <w:rsid w:val="00ED4582"/>
    <w:rsid w:val="00ED45EE"/>
    <w:rsid w:val="00ED4612"/>
    <w:rsid w:val="00ED461E"/>
    <w:rsid w:val="00ED4642"/>
    <w:rsid w:val="00ED4670"/>
    <w:rsid w:val="00ED4690"/>
    <w:rsid w:val="00ED46D7"/>
    <w:rsid w:val="00ED47AA"/>
    <w:rsid w:val="00ED47AD"/>
    <w:rsid w:val="00ED47DA"/>
    <w:rsid w:val="00ED4871"/>
    <w:rsid w:val="00ED488F"/>
    <w:rsid w:val="00ED4893"/>
    <w:rsid w:val="00ED48A1"/>
    <w:rsid w:val="00ED48E4"/>
    <w:rsid w:val="00ED4954"/>
    <w:rsid w:val="00ED496C"/>
    <w:rsid w:val="00ED497C"/>
    <w:rsid w:val="00ED4984"/>
    <w:rsid w:val="00ED4A17"/>
    <w:rsid w:val="00ED4A25"/>
    <w:rsid w:val="00ED4A55"/>
    <w:rsid w:val="00ED4A56"/>
    <w:rsid w:val="00ED4A65"/>
    <w:rsid w:val="00ED4A97"/>
    <w:rsid w:val="00ED4B23"/>
    <w:rsid w:val="00ED4B39"/>
    <w:rsid w:val="00ED4B43"/>
    <w:rsid w:val="00ED4B96"/>
    <w:rsid w:val="00ED4CC3"/>
    <w:rsid w:val="00ED4D05"/>
    <w:rsid w:val="00ED4D09"/>
    <w:rsid w:val="00ED4D6C"/>
    <w:rsid w:val="00ED4D7D"/>
    <w:rsid w:val="00ED4D85"/>
    <w:rsid w:val="00ED4DAC"/>
    <w:rsid w:val="00ED4DAE"/>
    <w:rsid w:val="00ED4DBB"/>
    <w:rsid w:val="00ED4DE2"/>
    <w:rsid w:val="00ED4DE9"/>
    <w:rsid w:val="00ED4E16"/>
    <w:rsid w:val="00ED4E45"/>
    <w:rsid w:val="00ED4EC3"/>
    <w:rsid w:val="00ED4F21"/>
    <w:rsid w:val="00ED4F57"/>
    <w:rsid w:val="00ED4F65"/>
    <w:rsid w:val="00ED4F8E"/>
    <w:rsid w:val="00ED5018"/>
    <w:rsid w:val="00ED5034"/>
    <w:rsid w:val="00ED5088"/>
    <w:rsid w:val="00ED50C2"/>
    <w:rsid w:val="00ED50D5"/>
    <w:rsid w:val="00ED50E7"/>
    <w:rsid w:val="00ED513D"/>
    <w:rsid w:val="00ED514B"/>
    <w:rsid w:val="00ED516D"/>
    <w:rsid w:val="00ED5182"/>
    <w:rsid w:val="00ED51B3"/>
    <w:rsid w:val="00ED51C3"/>
    <w:rsid w:val="00ED521A"/>
    <w:rsid w:val="00ED52B0"/>
    <w:rsid w:val="00ED535D"/>
    <w:rsid w:val="00ED5379"/>
    <w:rsid w:val="00ED5386"/>
    <w:rsid w:val="00ED538B"/>
    <w:rsid w:val="00ED5423"/>
    <w:rsid w:val="00ED54B1"/>
    <w:rsid w:val="00ED54D5"/>
    <w:rsid w:val="00ED54F4"/>
    <w:rsid w:val="00ED558A"/>
    <w:rsid w:val="00ED55AC"/>
    <w:rsid w:val="00ED55AF"/>
    <w:rsid w:val="00ED55D2"/>
    <w:rsid w:val="00ED5604"/>
    <w:rsid w:val="00ED561D"/>
    <w:rsid w:val="00ED5637"/>
    <w:rsid w:val="00ED563E"/>
    <w:rsid w:val="00ED5664"/>
    <w:rsid w:val="00ED56BB"/>
    <w:rsid w:val="00ED5700"/>
    <w:rsid w:val="00ED570E"/>
    <w:rsid w:val="00ED5724"/>
    <w:rsid w:val="00ED5789"/>
    <w:rsid w:val="00ED5795"/>
    <w:rsid w:val="00ED57C4"/>
    <w:rsid w:val="00ED5802"/>
    <w:rsid w:val="00ED583E"/>
    <w:rsid w:val="00ED5863"/>
    <w:rsid w:val="00ED5898"/>
    <w:rsid w:val="00ED58A8"/>
    <w:rsid w:val="00ED5939"/>
    <w:rsid w:val="00ED5941"/>
    <w:rsid w:val="00ED59E7"/>
    <w:rsid w:val="00ED59EE"/>
    <w:rsid w:val="00ED5A06"/>
    <w:rsid w:val="00ED5A6C"/>
    <w:rsid w:val="00ED5AAC"/>
    <w:rsid w:val="00ED5ACE"/>
    <w:rsid w:val="00ED5AF4"/>
    <w:rsid w:val="00ED5B1E"/>
    <w:rsid w:val="00ED5B78"/>
    <w:rsid w:val="00ED5BC3"/>
    <w:rsid w:val="00ED5BE6"/>
    <w:rsid w:val="00ED5C53"/>
    <w:rsid w:val="00ED5C9F"/>
    <w:rsid w:val="00ED5CC9"/>
    <w:rsid w:val="00ED5D37"/>
    <w:rsid w:val="00ED5D52"/>
    <w:rsid w:val="00ED5D5A"/>
    <w:rsid w:val="00ED5DC6"/>
    <w:rsid w:val="00ED5E10"/>
    <w:rsid w:val="00ED5E16"/>
    <w:rsid w:val="00ED5E81"/>
    <w:rsid w:val="00ED5ECB"/>
    <w:rsid w:val="00ED6056"/>
    <w:rsid w:val="00ED605B"/>
    <w:rsid w:val="00ED6077"/>
    <w:rsid w:val="00ED6091"/>
    <w:rsid w:val="00ED60BE"/>
    <w:rsid w:val="00ED60DE"/>
    <w:rsid w:val="00ED60DF"/>
    <w:rsid w:val="00ED61B9"/>
    <w:rsid w:val="00ED61DD"/>
    <w:rsid w:val="00ED61F8"/>
    <w:rsid w:val="00ED6245"/>
    <w:rsid w:val="00ED6249"/>
    <w:rsid w:val="00ED62A7"/>
    <w:rsid w:val="00ED62AA"/>
    <w:rsid w:val="00ED633A"/>
    <w:rsid w:val="00ED63A3"/>
    <w:rsid w:val="00ED63B2"/>
    <w:rsid w:val="00ED63D7"/>
    <w:rsid w:val="00ED6413"/>
    <w:rsid w:val="00ED6498"/>
    <w:rsid w:val="00ED6537"/>
    <w:rsid w:val="00ED656A"/>
    <w:rsid w:val="00ED66EF"/>
    <w:rsid w:val="00ED673F"/>
    <w:rsid w:val="00ED677E"/>
    <w:rsid w:val="00ED67CA"/>
    <w:rsid w:val="00ED67D1"/>
    <w:rsid w:val="00ED6817"/>
    <w:rsid w:val="00ED6895"/>
    <w:rsid w:val="00ED68C6"/>
    <w:rsid w:val="00ED6912"/>
    <w:rsid w:val="00ED692C"/>
    <w:rsid w:val="00ED694F"/>
    <w:rsid w:val="00ED6981"/>
    <w:rsid w:val="00ED69FC"/>
    <w:rsid w:val="00ED6A07"/>
    <w:rsid w:val="00ED6A2D"/>
    <w:rsid w:val="00ED6A62"/>
    <w:rsid w:val="00ED6A6D"/>
    <w:rsid w:val="00ED6AAE"/>
    <w:rsid w:val="00ED6B14"/>
    <w:rsid w:val="00ED6B86"/>
    <w:rsid w:val="00ED6BC7"/>
    <w:rsid w:val="00ED6BEB"/>
    <w:rsid w:val="00ED6C04"/>
    <w:rsid w:val="00ED6CCD"/>
    <w:rsid w:val="00ED6D03"/>
    <w:rsid w:val="00ED6D2B"/>
    <w:rsid w:val="00ED6D4F"/>
    <w:rsid w:val="00ED6D50"/>
    <w:rsid w:val="00ED6D84"/>
    <w:rsid w:val="00ED6DCC"/>
    <w:rsid w:val="00ED6E0D"/>
    <w:rsid w:val="00ED6E2A"/>
    <w:rsid w:val="00ED6E42"/>
    <w:rsid w:val="00ED6EAB"/>
    <w:rsid w:val="00ED6EC7"/>
    <w:rsid w:val="00ED6F22"/>
    <w:rsid w:val="00ED6F51"/>
    <w:rsid w:val="00ED6FCE"/>
    <w:rsid w:val="00ED6FD8"/>
    <w:rsid w:val="00ED70B5"/>
    <w:rsid w:val="00ED70FB"/>
    <w:rsid w:val="00ED716E"/>
    <w:rsid w:val="00ED71A6"/>
    <w:rsid w:val="00ED71DB"/>
    <w:rsid w:val="00ED7207"/>
    <w:rsid w:val="00ED7220"/>
    <w:rsid w:val="00ED7223"/>
    <w:rsid w:val="00ED724B"/>
    <w:rsid w:val="00ED725B"/>
    <w:rsid w:val="00ED7263"/>
    <w:rsid w:val="00ED72CE"/>
    <w:rsid w:val="00ED72FA"/>
    <w:rsid w:val="00ED7319"/>
    <w:rsid w:val="00ED732E"/>
    <w:rsid w:val="00ED7355"/>
    <w:rsid w:val="00ED736A"/>
    <w:rsid w:val="00ED736E"/>
    <w:rsid w:val="00ED7371"/>
    <w:rsid w:val="00ED739F"/>
    <w:rsid w:val="00ED73DF"/>
    <w:rsid w:val="00ED73EC"/>
    <w:rsid w:val="00ED7402"/>
    <w:rsid w:val="00ED7495"/>
    <w:rsid w:val="00ED74A0"/>
    <w:rsid w:val="00ED74C5"/>
    <w:rsid w:val="00ED74EE"/>
    <w:rsid w:val="00ED7529"/>
    <w:rsid w:val="00ED752A"/>
    <w:rsid w:val="00ED7530"/>
    <w:rsid w:val="00ED755B"/>
    <w:rsid w:val="00ED75AE"/>
    <w:rsid w:val="00ED75CB"/>
    <w:rsid w:val="00ED764B"/>
    <w:rsid w:val="00ED767B"/>
    <w:rsid w:val="00ED76EA"/>
    <w:rsid w:val="00ED770D"/>
    <w:rsid w:val="00ED7723"/>
    <w:rsid w:val="00ED7745"/>
    <w:rsid w:val="00ED77E0"/>
    <w:rsid w:val="00ED77E7"/>
    <w:rsid w:val="00ED7813"/>
    <w:rsid w:val="00ED782D"/>
    <w:rsid w:val="00ED7830"/>
    <w:rsid w:val="00ED7861"/>
    <w:rsid w:val="00ED7905"/>
    <w:rsid w:val="00ED798F"/>
    <w:rsid w:val="00ED7999"/>
    <w:rsid w:val="00ED79AA"/>
    <w:rsid w:val="00ED79D2"/>
    <w:rsid w:val="00ED7A28"/>
    <w:rsid w:val="00ED7A83"/>
    <w:rsid w:val="00ED7AC7"/>
    <w:rsid w:val="00ED7B0B"/>
    <w:rsid w:val="00ED7B67"/>
    <w:rsid w:val="00ED7B87"/>
    <w:rsid w:val="00ED7BDA"/>
    <w:rsid w:val="00ED7C00"/>
    <w:rsid w:val="00ED7C1D"/>
    <w:rsid w:val="00ED7C2C"/>
    <w:rsid w:val="00ED7C3E"/>
    <w:rsid w:val="00ED7C44"/>
    <w:rsid w:val="00ED7C58"/>
    <w:rsid w:val="00ED7C7F"/>
    <w:rsid w:val="00ED7CA0"/>
    <w:rsid w:val="00ED7D19"/>
    <w:rsid w:val="00ED7D3E"/>
    <w:rsid w:val="00ED7D4F"/>
    <w:rsid w:val="00ED7DBB"/>
    <w:rsid w:val="00ED7DCD"/>
    <w:rsid w:val="00ED7DF2"/>
    <w:rsid w:val="00ED7E1F"/>
    <w:rsid w:val="00ED7E71"/>
    <w:rsid w:val="00ED7E7B"/>
    <w:rsid w:val="00ED7ED9"/>
    <w:rsid w:val="00ED7F7B"/>
    <w:rsid w:val="00ED7FA0"/>
    <w:rsid w:val="00ED7FFA"/>
    <w:rsid w:val="00EE006A"/>
    <w:rsid w:val="00EE0091"/>
    <w:rsid w:val="00EE0123"/>
    <w:rsid w:val="00EE013A"/>
    <w:rsid w:val="00EE022F"/>
    <w:rsid w:val="00EE0253"/>
    <w:rsid w:val="00EE026C"/>
    <w:rsid w:val="00EE02CC"/>
    <w:rsid w:val="00EE02FE"/>
    <w:rsid w:val="00EE032D"/>
    <w:rsid w:val="00EE0372"/>
    <w:rsid w:val="00EE0381"/>
    <w:rsid w:val="00EE03A2"/>
    <w:rsid w:val="00EE03AA"/>
    <w:rsid w:val="00EE03B5"/>
    <w:rsid w:val="00EE03BD"/>
    <w:rsid w:val="00EE03BE"/>
    <w:rsid w:val="00EE03EB"/>
    <w:rsid w:val="00EE0400"/>
    <w:rsid w:val="00EE042F"/>
    <w:rsid w:val="00EE04D1"/>
    <w:rsid w:val="00EE04EB"/>
    <w:rsid w:val="00EE0547"/>
    <w:rsid w:val="00EE056A"/>
    <w:rsid w:val="00EE056B"/>
    <w:rsid w:val="00EE0583"/>
    <w:rsid w:val="00EE0681"/>
    <w:rsid w:val="00EE068E"/>
    <w:rsid w:val="00EE0692"/>
    <w:rsid w:val="00EE0699"/>
    <w:rsid w:val="00EE069F"/>
    <w:rsid w:val="00EE06A8"/>
    <w:rsid w:val="00EE06F3"/>
    <w:rsid w:val="00EE070B"/>
    <w:rsid w:val="00EE071C"/>
    <w:rsid w:val="00EE073E"/>
    <w:rsid w:val="00EE0768"/>
    <w:rsid w:val="00EE07AE"/>
    <w:rsid w:val="00EE07FD"/>
    <w:rsid w:val="00EE0851"/>
    <w:rsid w:val="00EE087E"/>
    <w:rsid w:val="00EE09BE"/>
    <w:rsid w:val="00EE0A03"/>
    <w:rsid w:val="00EE0A27"/>
    <w:rsid w:val="00EE0A88"/>
    <w:rsid w:val="00EE0A9C"/>
    <w:rsid w:val="00EE0B07"/>
    <w:rsid w:val="00EE0B0B"/>
    <w:rsid w:val="00EE0B29"/>
    <w:rsid w:val="00EE0B4F"/>
    <w:rsid w:val="00EE0B7F"/>
    <w:rsid w:val="00EE0B80"/>
    <w:rsid w:val="00EE0B8A"/>
    <w:rsid w:val="00EE0B8F"/>
    <w:rsid w:val="00EE0C16"/>
    <w:rsid w:val="00EE0C86"/>
    <w:rsid w:val="00EE0CA3"/>
    <w:rsid w:val="00EE0CB1"/>
    <w:rsid w:val="00EE0CFB"/>
    <w:rsid w:val="00EE0CFE"/>
    <w:rsid w:val="00EE0D1B"/>
    <w:rsid w:val="00EE0D2E"/>
    <w:rsid w:val="00EE0D53"/>
    <w:rsid w:val="00EE0D7A"/>
    <w:rsid w:val="00EE0DC1"/>
    <w:rsid w:val="00EE0DD0"/>
    <w:rsid w:val="00EE0DE7"/>
    <w:rsid w:val="00EE0E00"/>
    <w:rsid w:val="00EE0E4F"/>
    <w:rsid w:val="00EE0EB6"/>
    <w:rsid w:val="00EE0EDD"/>
    <w:rsid w:val="00EE0F48"/>
    <w:rsid w:val="00EE0F61"/>
    <w:rsid w:val="00EE0F87"/>
    <w:rsid w:val="00EE0FC8"/>
    <w:rsid w:val="00EE0FF2"/>
    <w:rsid w:val="00EE0FFD"/>
    <w:rsid w:val="00EE1049"/>
    <w:rsid w:val="00EE10BB"/>
    <w:rsid w:val="00EE1183"/>
    <w:rsid w:val="00EE11BB"/>
    <w:rsid w:val="00EE11D1"/>
    <w:rsid w:val="00EE1219"/>
    <w:rsid w:val="00EE1336"/>
    <w:rsid w:val="00EE1341"/>
    <w:rsid w:val="00EE13C5"/>
    <w:rsid w:val="00EE13D8"/>
    <w:rsid w:val="00EE13EC"/>
    <w:rsid w:val="00EE1403"/>
    <w:rsid w:val="00EE146B"/>
    <w:rsid w:val="00EE1470"/>
    <w:rsid w:val="00EE151B"/>
    <w:rsid w:val="00EE154C"/>
    <w:rsid w:val="00EE1553"/>
    <w:rsid w:val="00EE15EB"/>
    <w:rsid w:val="00EE161E"/>
    <w:rsid w:val="00EE1629"/>
    <w:rsid w:val="00EE1641"/>
    <w:rsid w:val="00EE16A9"/>
    <w:rsid w:val="00EE16AE"/>
    <w:rsid w:val="00EE16DD"/>
    <w:rsid w:val="00EE1726"/>
    <w:rsid w:val="00EE1741"/>
    <w:rsid w:val="00EE175C"/>
    <w:rsid w:val="00EE1765"/>
    <w:rsid w:val="00EE17B8"/>
    <w:rsid w:val="00EE17DA"/>
    <w:rsid w:val="00EE17EF"/>
    <w:rsid w:val="00EE1843"/>
    <w:rsid w:val="00EE184A"/>
    <w:rsid w:val="00EE18AA"/>
    <w:rsid w:val="00EE18AC"/>
    <w:rsid w:val="00EE18EC"/>
    <w:rsid w:val="00EE18ED"/>
    <w:rsid w:val="00EE1936"/>
    <w:rsid w:val="00EE1986"/>
    <w:rsid w:val="00EE19A4"/>
    <w:rsid w:val="00EE19A5"/>
    <w:rsid w:val="00EE19B3"/>
    <w:rsid w:val="00EE19B5"/>
    <w:rsid w:val="00EE1A0E"/>
    <w:rsid w:val="00EE1A29"/>
    <w:rsid w:val="00EE1A38"/>
    <w:rsid w:val="00EE1A9D"/>
    <w:rsid w:val="00EE1AA8"/>
    <w:rsid w:val="00EE1B28"/>
    <w:rsid w:val="00EE1B2D"/>
    <w:rsid w:val="00EE1B71"/>
    <w:rsid w:val="00EE1BA0"/>
    <w:rsid w:val="00EE1BA2"/>
    <w:rsid w:val="00EE1BE1"/>
    <w:rsid w:val="00EE1BFD"/>
    <w:rsid w:val="00EE1C4C"/>
    <w:rsid w:val="00EE1D00"/>
    <w:rsid w:val="00EE1D12"/>
    <w:rsid w:val="00EE1D48"/>
    <w:rsid w:val="00EE1DC6"/>
    <w:rsid w:val="00EE1DCF"/>
    <w:rsid w:val="00EE1E30"/>
    <w:rsid w:val="00EE1E3E"/>
    <w:rsid w:val="00EE1E5B"/>
    <w:rsid w:val="00EE1E84"/>
    <w:rsid w:val="00EE1F50"/>
    <w:rsid w:val="00EE1F98"/>
    <w:rsid w:val="00EE1FB9"/>
    <w:rsid w:val="00EE1FBC"/>
    <w:rsid w:val="00EE1FBD"/>
    <w:rsid w:val="00EE1FC0"/>
    <w:rsid w:val="00EE1FC2"/>
    <w:rsid w:val="00EE1FF2"/>
    <w:rsid w:val="00EE204E"/>
    <w:rsid w:val="00EE2063"/>
    <w:rsid w:val="00EE21EE"/>
    <w:rsid w:val="00EE2213"/>
    <w:rsid w:val="00EE2216"/>
    <w:rsid w:val="00EE2247"/>
    <w:rsid w:val="00EE224B"/>
    <w:rsid w:val="00EE2283"/>
    <w:rsid w:val="00EE2297"/>
    <w:rsid w:val="00EE22E5"/>
    <w:rsid w:val="00EE22FB"/>
    <w:rsid w:val="00EE2321"/>
    <w:rsid w:val="00EE2330"/>
    <w:rsid w:val="00EE235F"/>
    <w:rsid w:val="00EE236D"/>
    <w:rsid w:val="00EE243C"/>
    <w:rsid w:val="00EE2450"/>
    <w:rsid w:val="00EE2494"/>
    <w:rsid w:val="00EE24C5"/>
    <w:rsid w:val="00EE24CA"/>
    <w:rsid w:val="00EE24F3"/>
    <w:rsid w:val="00EE2521"/>
    <w:rsid w:val="00EE2531"/>
    <w:rsid w:val="00EE2547"/>
    <w:rsid w:val="00EE2573"/>
    <w:rsid w:val="00EE257F"/>
    <w:rsid w:val="00EE261A"/>
    <w:rsid w:val="00EE2626"/>
    <w:rsid w:val="00EE264B"/>
    <w:rsid w:val="00EE2669"/>
    <w:rsid w:val="00EE2687"/>
    <w:rsid w:val="00EE26B4"/>
    <w:rsid w:val="00EE26FE"/>
    <w:rsid w:val="00EE273C"/>
    <w:rsid w:val="00EE2749"/>
    <w:rsid w:val="00EE279E"/>
    <w:rsid w:val="00EE27A8"/>
    <w:rsid w:val="00EE27B1"/>
    <w:rsid w:val="00EE27B4"/>
    <w:rsid w:val="00EE27FE"/>
    <w:rsid w:val="00EE280D"/>
    <w:rsid w:val="00EE2817"/>
    <w:rsid w:val="00EE2873"/>
    <w:rsid w:val="00EE287B"/>
    <w:rsid w:val="00EE28E5"/>
    <w:rsid w:val="00EE28F6"/>
    <w:rsid w:val="00EE2930"/>
    <w:rsid w:val="00EE2953"/>
    <w:rsid w:val="00EE2954"/>
    <w:rsid w:val="00EE2956"/>
    <w:rsid w:val="00EE2961"/>
    <w:rsid w:val="00EE2990"/>
    <w:rsid w:val="00EE29D0"/>
    <w:rsid w:val="00EE29D2"/>
    <w:rsid w:val="00EE29D9"/>
    <w:rsid w:val="00EE29E8"/>
    <w:rsid w:val="00EE2A51"/>
    <w:rsid w:val="00EE2A6D"/>
    <w:rsid w:val="00EE2A6E"/>
    <w:rsid w:val="00EE2A88"/>
    <w:rsid w:val="00EE2AA0"/>
    <w:rsid w:val="00EE2AE1"/>
    <w:rsid w:val="00EE2AF1"/>
    <w:rsid w:val="00EE2AF2"/>
    <w:rsid w:val="00EE2AFF"/>
    <w:rsid w:val="00EE2B13"/>
    <w:rsid w:val="00EE2B62"/>
    <w:rsid w:val="00EE2B6D"/>
    <w:rsid w:val="00EE2B72"/>
    <w:rsid w:val="00EE2BAA"/>
    <w:rsid w:val="00EE2BD6"/>
    <w:rsid w:val="00EE2BE1"/>
    <w:rsid w:val="00EE2C4C"/>
    <w:rsid w:val="00EE2C52"/>
    <w:rsid w:val="00EE2C83"/>
    <w:rsid w:val="00EE2CE5"/>
    <w:rsid w:val="00EE2D28"/>
    <w:rsid w:val="00EE2D59"/>
    <w:rsid w:val="00EE2D72"/>
    <w:rsid w:val="00EE2D76"/>
    <w:rsid w:val="00EE2D8E"/>
    <w:rsid w:val="00EE2D9F"/>
    <w:rsid w:val="00EE2E03"/>
    <w:rsid w:val="00EE2E1C"/>
    <w:rsid w:val="00EE2E48"/>
    <w:rsid w:val="00EE2EC3"/>
    <w:rsid w:val="00EE2FDD"/>
    <w:rsid w:val="00EE3006"/>
    <w:rsid w:val="00EE3017"/>
    <w:rsid w:val="00EE3030"/>
    <w:rsid w:val="00EE3065"/>
    <w:rsid w:val="00EE3098"/>
    <w:rsid w:val="00EE30E7"/>
    <w:rsid w:val="00EE30F2"/>
    <w:rsid w:val="00EE3105"/>
    <w:rsid w:val="00EE3107"/>
    <w:rsid w:val="00EE311B"/>
    <w:rsid w:val="00EE3133"/>
    <w:rsid w:val="00EE31A3"/>
    <w:rsid w:val="00EE31A4"/>
    <w:rsid w:val="00EE326E"/>
    <w:rsid w:val="00EE3274"/>
    <w:rsid w:val="00EE327F"/>
    <w:rsid w:val="00EE3297"/>
    <w:rsid w:val="00EE32BE"/>
    <w:rsid w:val="00EE32C2"/>
    <w:rsid w:val="00EE32FE"/>
    <w:rsid w:val="00EE3320"/>
    <w:rsid w:val="00EE332B"/>
    <w:rsid w:val="00EE3330"/>
    <w:rsid w:val="00EE333E"/>
    <w:rsid w:val="00EE3350"/>
    <w:rsid w:val="00EE3385"/>
    <w:rsid w:val="00EE3401"/>
    <w:rsid w:val="00EE342D"/>
    <w:rsid w:val="00EE343C"/>
    <w:rsid w:val="00EE3468"/>
    <w:rsid w:val="00EE34DF"/>
    <w:rsid w:val="00EE34E4"/>
    <w:rsid w:val="00EE3506"/>
    <w:rsid w:val="00EE3515"/>
    <w:rsid w:val="00EE358A"/>
    <w:rsid w:val="00EE35A0"/>
    <w:rsid w:val="00EE35C0"/>
    <w:rsid w:val="00EE35FF"/>
    <w:rsid w:val="00EE365C"/>
    <w:rsid w:val="00EE36C8"/>
    <w:rsid w:val="00EE374C"/>
    <w:rsid w:val="00EE3760"/>
    <w:rsid w:val="00EE377A"/>
    <w:rsid w:val="00EE377B"/>
    <w:rsid w:val="00EE37A6"/>
    <w:rsid w:val="00EE37A9"/>
    <w:rsid w:val="00EE37BB"/>
    <w:rsid w:val="00EE37C3"/>
    <w:rsid w:val="00EE38B3"/>
    <w:rsid w:val="00EE38E2"/>
    <w:rsid w:val="00EE3930"/>
    <w:rsid w:val="00EE3967"/>
    <w:rsid w:val="00EE3974"/>
    <w:rsid w:val="00EE397D"/>
    <w:rsid w:val="00EE39CF"/>
    <w:rsid w:val="00EE39D0"/>
    <w:rsid w:val="00EE39DD"/>
    <w:rsid w:val="00EE3A03"/>
    <w:rsid w:val="00EE3A11"/>
    <w:rsid w:val="00EE3A9D"/>
    <w:rsid w:val="00EE3AA4"/>
    <w:rsid w:val="00EE3AD3"/>
    <w:rsid w:val="00EE3AE7"/>
    <w:rsid w:val="00EE3B2B"/>
    <w:rsid w:val="00EE3BE5"/>
    <w:rsid w:val="00EE3C93"/>
    <w:rsid w:val="00EE3CA3"/>
    <w:rsid w:val="00EE3CC1"/>
    <w:rsid w:val="00EE3CCA"/>
    <w:rsid w:val="00EE3CD3"/>
    <w:rsid w:val="00EE3D58"/>
    <w:rsid w:val="00EE3D5B"/>
    <w:rsid w:val="00EE3D5C"/>
    <w:rsid w:val="00EE3D93"/>
    <w:rsid w:val="00EE3DA5"/>
    <w:rsid w:val="00EE3DFB"/>
    <w:rsid w:val="00EE3E34"/>
    <w:rsid w:val="00EE3E3C"/>
    <w:rsid w:val="00EE3E4A"/>
    <w:rsid w:val="00EE3E81"/>
    <w:rsid w:val="00EE3EBD"/>
    <w:rsid w:val="00EE3EC6"/>
    <w:rsid w:val="00EE3EFD"/>
    <w:rsid w:val="00EE3F1D"/>
    <w:rsid w:val="00EE3F51"/>
    <w:rsid w:val="00EE3F77"/>
    <w:rsid w:val="00EE401E"/>
    <w:rsid w:val="00EE40C7"/>
    <w:rsid w:val="00EE4108"/>
    <w:rsid w:val="00EE4118"/>
    <w:rsid w:val="00EE411B"/>
    <w:rsid w:val="00EE4137"/>
    <w:rsid w:val="00EE4162"/>
    <w:rsid w:val="00EE419F"/>
    <w:rsid w:val="00EE41A6"/>
    <w:rsid w:val="00EE41E6"/>
    <w:rsid w:val="00EE4216"/>
    <w:rsid w:val="00EE4248"/>
    <w:rsid w:val="00EE4298"/>
    <w:rsid w:val="00EE42A0"/>
    <w:rsid w:val="00EE42A6"/>
    <w:rsid w:val="00EE42D0"/>
    <w:rsid w:val="00EE42D4"/>
    <w:rsid w:val="00EE4336"/>
    <w:rsid w:val="00EE4355"/>
    <w:rsid w:val="00EE4356"/>
    <w:rsid w:val="00EE4391"/>
    <w:rsid w:val="00EE43A3"/>
    <w:rsid w:val="00EE43E7"/>
    <w:rsid w:val="00EE441C"/>
    <w:rsid w:val="00EE4423"/>
    <w:rsid w:val="00EE4457"/>
    <w:rsid w:val="00EE4462"/>
    <w:rsid w:val="00EE44F2"/>
    <w:rsid w:val="00EE4531"/>
    <w:rsid w:val="00EE456E"/>
    <w:rsid w:val="00EE4599"/>
    <w:rsid w:val="00EE45B5"/>
    <w:rsid w:val="00EE45F8"/>
    <w:rsid w:val="00EE4608"/>
    <w:rsid w:val="00EE4624"/>
    <w:rsid w:val="00EE463C"/>
    <w:rsid w:val="00EE463F"/>
    <w:rsid w:val="00EE4646"/>
    <w:rsid w:val="00EE4655"/>
    <w:rsid w:val="00EE4682"/>
    <w:rsid w:val="00EE469A"/>
    <w:rsid w:val="00EE469F"/>
    <w:rsid w:val="00EE46A4"/>
    <w:rsid w:val="00EE4712"/>
    <w:rsid w:val="00EE471B"/>
    <w:rsid w:val="00EE472A"/>
    <w:rsid w:val="00EE4732"/>
    <w:rsid w:val="00EE4747"/>
    <w:rsid w:val="00EE4767"/>
    <w:rsid w:val="00EE478C"/>
    <w:rsid w:val="00EE47DD"/>
    <w:rsid w:val="00EE4807"/>
    <w:rsid w:val="00EE482D"/>
    <w:rsid w:val="00EE484F"/>
    <w:rsid w:val="00EE488D"/>
    <w:rsid w:val="00EE489D"/>
    <w:rsid w:val="00EE48E3"/>
    <w:rsid w:val="00EE496F"/>
    <w:rsid w:val="00EE49A8"/>
    <w:rsid w:val="00EE49AB"/>
    <w:rsid w:val="00EE49AF"/>
    <w:rsid w:val="00EE49B6"/>
    <w:rsid w:val="00EE49DA"/>
    <w:rsid w:val="00EE49E2"/>
    <w:rsid w:val="00EE4A3C"/>
    <w:rsid w:val="00EE4A7F"/>
    <w:rsid w:val="00EE4AC4"/>
    <w:rsid w:val="00EE4AC5"/>
    <w:rsid w:val="00EE4AD8"/>
    <w:rsid w:val="00EE4AFE"/>
    <w:rsid w:val="00EE4B02"/>
    <w:rsid w:val="00EE4B17"/>
    <w:rsid w:val="00EE4B37"/>
    <w:rsid w:val="00EE4B50"/>
    <w:rsid w:val="00EE4BB1"/>
    <w:rsid w:val="00EE4C06"/>
    <w:rsid w:val="00EE4C35"/>
    <w:rsid w:val="00EE4C59"/>
    <w:rsid w:val="00EE4CFC"/>
    <w:rsid w:val="00EE4D2B"/>
    <w:rsid w:val="00EE4D36"/>
    <w:rsid w:val="00EE4D39"/>
    <w:rsid w:val="00EE4D40"/>
    <w:rsid w:val="00EE4DCD"/>
    <w:rsid w:val="00EE4E0E"/>
    <w:rsid w:val="00EE4E1B"/>
    <w:rsid w:val="00EE4EAF"/>
    <w:rsid w:val="00EE4F25"/>
    <w:rsid w:val="00EE4F35"/>
    <w:rsid w:val="00EE4F37"/>
    <w:rsid w:val="00EE4F75"/>
    <w:rsid w:val="00EE5049"/>
    <w:rsid w:val="00EE5085"/>
    <w:rsid w:val="00EE509C"/>
    <w:rsid w:val="00EE5106"/>
    <w:rsid w:val="00EE5162"/>
    <w:rsid w:val="00EE5172"/>
    <w:rsid w:val="00EE51A7"/>
    <w:rsid w:val="00EE51B0"/>
    <w:rsid w:val="00EE51EB"/>
    <w:rsid w:val="00EE521F"/>
    <w:rsid w:val="00EE5240"/>
    <w:rsid w:val="00EE5285"/>
    <w:rsid w:val="00EE52BF"/>
    <w:rsid w:val="00EE52C7"/>
    <w:rsid w:val="00EE536C"/>
    <w:rsid w:val="00EE5377"/>
    <w:rsid w:val="00EE537D"/>
    <w:rsid w:val="00EE5399"/>
    <w:rsid w:val="00EE53E8"/>
    <w:rsid w:val="00EE53ED"/>
    <w:rsid w:val="00EE5439"/>
    <w:rsid w:val="00EE545C"/>
    <w:rsid w:val="00EE548A"/>
    <w:rsid w:val="00EE5537"/>
    <w:rsid w:val="00EE5548"/>
    <w:rsid w:val="00EE5560"/>
    <w:rsid w:val="00EE5582"/>
    <w:rsid w:val="00EE55D4"/>
    <w:rsid w:val="00EE560A"/>
    <w:rsid w:val="00EE5629"/>
    <w:rsid w:val="00EE56A8"/>
    <w:rsid w:val="00EE56AE"/>
    <w:rsid w:val="00EE56E0"/>
    <w:rsid w:val="00EE5705"/>
    <w:rsid w:val="00EE572C"/>
    <w:rsid w:val="00EE5744"/>
    <w:rsid w:val="00EE5747"/>
    <w:rsid w:val="00EE575A"/>
    <w:rsid w:val="00EE576E"/>
    <w:rsid w:val="00EE579B"/>
    <w:rsid w:val="00EE57B0"/>
    <w:rsid w:val="00EE580A"/>
    <w:rsid w:val="00EE58EB"/>
    <w:rsid w:val="00EE591A"/>
    <w:rsid w:val="00EE5938"/>
    <w:rsid w:val="00EE5946"/>
    <w:rsid w:val="00EE5993"/>
    <w:rsid w:val="00EE5994"/>
    <w:rsid w:val="00EE59F8"/>
    <w:rsid w:val="00EE5A34"/>
    <w:rsid w:val="00EE5A38"/>
    <w:rsid w:val="00EE5A5A"/>
    <w:rsid w:val="00EE5A9C"/>
    <w:rsid w:val="00EE5AF1"/>
    <w:rsid w:val="00EE5AF5"/>
    <w:rsid w:val="00EE5B48"/>
    <w:rsid w:val="00EE5B70"/>
    <w:rsid w:val="00EE5B7A"/>
    <w:rsid w:val="00EE5B7E"/>
    <w:rsid w:val="00EE5BED"/>
    <w:rsid w:val="00EE5C1B"/>
    <w:rsid w:val="00EE5C32"/>
    <w:rsid w:val="00EE5C6D"/>
    <w:rsid w:val="00EE5C7F"/>
    <w:rsid w:val="00EE5CAE"/>
    <w:rsid w:val="00EE5CD6"/>
    <w:rsid w:val="00EE5CE4"/>
    <w:rsid w:val="00EE5D00"/>
    <w:rsid w:val="00EE5D13"/>
    <w:rsid w:val="00EE5D8E"/>
    <w:rsid w:val="00EE5DB5"/>
    <w:rsid w:val="00EE5DCC"/>
    <w:rsid w:val="00EE5E34"/>
    <w:rsid w:val="00EE5E51"/>
    <w:rsid w:val="00EE5E54"/>
    <w:rsid w:val="00EE5F01"/>
    <w:rsid w:val="00EE5F4F"/>
    <w:rsid w:val="00EE5F5B"/>
    <w:rsid w:val="00EE5FAC"/>
    <w:rsid w:val="00EE5FCE"/>
    <w:rsid w:val="00EE5FD0"/>
    <w:rsid w:val="00EE602A"/>
    <w:rsid w:val="00EE6060"/>
    <w:rsid w:val="00EE6084"/>
    <w:rsid w:val="00EE60B2"/>
    <w:rsid w:val="00EE60DD"/>
    <w:rsid w:val="00EE6142"/>
    <w:rsid w:val="00EE614D"/>
    <w:rsid w:val="00EE6187"/>
    <w:rsid w:val="00EE6218"/>
    <w:rsid w:val="00EE625D"/>
    <w:rsid w:val="00EE6333"/>
    <w:rsid w:val="00EE6388"/>
    <w:rsid w:val="00EE6392"/>
    <w:rsid w:val="00EE63A4"/>
    <w:rsid w:val="00EE63B3"/>
    <w:rsid w:val="00EE63F7"/>
    <w:rsid w:val="00EE64A3"/>
    <w:rsid w:val="00EE64B8"/>
    <w:rsid w:val="00EE64B9"/>
    <w:rsid w:val="00EE64BC"/>
    <w:rsid w:val="00EE64F4"/>
    <w:rsid w:val="00EE6540"/>
    <w:rsid w:val="00EE656E"/>
    <w:rsid w:val="00EE659F"/>
    <w:rsid w:val="00EE65B8"/>
    <w:rsid w:val="00EE6695"/>
    <w:rsid w:val="00EE66E5"/>
    <w:rsid w:val="00EE670A"/>
    <w:rsid w:val="00EE6715"/>
    <w:rsid w:val="00EE6768"/>
    <w:rsid w:val="00EE677D"/>
    <w:rsid w:val="00EE6786"/>
    <w:rsid w:val="00EE678F"/>
    <w:rsid w:val="00EE67AC"/>
    <w:rsid w:val="00EE67C7"/>
    <w:rsid w:val="00EE680E"/>
    <w:rsid w:val="00EE6873"/>
    <w:rsid w:val="00EE68AD"/>
    <w:rsid w:val="00EE68CF"/>
    <w:rsid w:val="00EE6905"/>
    <w:rsid w:val="00EE690C"/>
    <w:rsid w:val="00EE691B"/>
    <w:rsid w:val="00EE691C"/>
    <w:rsid w:val="00EE6984"/>
    <w:rsid w:val="00EE6999"/>
    <w:rsid w:val="00EE69EB"/>
    <w:rsid w:val="00EE69F3"/>
    <w:rsid w:val="00EE6A0F"/>
    <w:rsid w:val="00EE6A36"/>
    <w:rsid w:val="00EE6AA1"/>
    <w:rsid w:val="00EE6AD5"/>
    <w:rsid w:val="00EE6AEF"/>
    <w:rsid w:val="00EE6AFB"/>
    <w:rsid w:val="00EE6B1E"/>
    <w:rsid w:val="00EE6B29"/>
    <w:rsid w:val="00EE6B51"/>
    <w:rsid w:val="00EE6B6E"/>
    <w:rsid w:val="00EE6B7B"/>
    <w:rsid w:val="00EE6BB4"/>
    <w:rsid w:val="00EE6C2D"/>
    <w:rsid w:val="00EE6C57"/>
    <w:rsid w:val="00EE6CEC"/>
    <w:rsid w:val="00EE6D36"/>
    <w:rsid w:val="00EE6D56"/>
    <w:rsid w:val="00EE6DF1"/>
    <w:rsid w:val="00EE6E24"/>
    <w:rsid w:val="00EE6E2D"/>
    <w:rsid w:val="00EE6E8D"/>
    <w:rsid w:val="00EE6F8B"/>
    <w:rsid w:val="00EE6FB5"/>
    <w:rsid w:val="00EE7012"/>
    <w:rsid w:val="00EE7076"/>
    <w:rsid w:val="00EE70F3"/>
    <w:rsid w:val="00EE71AE"/>
    <w:rsid w:val="00EE7285"/>
    <w:rsid w:val="00EE7288"/>
    <w:rsid w:val="00EE7294"/>
    <w:rsid w:val="00EE72D9"/>
    <w:rsid w:val="00EE72F7"/>
    <w:rsid w:val="00EE7300"/>
    <w:rsid w:val="00EE730E"/>
    <w:rsid w:val="00EE735E"/>
    <w:rsid w:val="00EE7368"/>
    <w:rsid w:val="00EE7384"/>
    <w:rsid w:val="00EE7385"/>
    <w:rsid w:val="00EE73CB"/>
    <w:rsid w:val="00EE73EF"/>
    <w:rsid w:val="00EE740A"/>
    <w:rsid w:val="00EE741C"/>
    <w:rsid w:val="00EE7429"/>
    <w:rsid w:val="00EE743E"/>
    <w:rsid w:val="00EE7483"/>
    <w:rsid w:val="00EE759E"/>
    <w:rsid w:val="00EE75B4"/>
    <w:rsid w:val="00EE75CB"/>
    <w:rsid w:val="00EE75F8"/>
    <w:rsid w:val="00EE75FD"/>
    <w:rsid w:val="00EE761D"/>
    <w:rsid w:val="00EE7642"/>
    <w:rsid w:val="00EE7668"/>
    <w:rsid w:val="00EE769C"/>
    <w:rsid w:val="00EE7709"/>
    <w:rsid w:val="00EE7748"/>
    <w:rsid w:val="00EE775C"/>
    <w:rsid w:val="00EE776A"/>
    <w:rsid w:val="00EE779D"/>
    <w:rsid w:val="00EE77F9"/>
    <w:rsid w:val="00EE7832"/>
    <w:rsid w:val="00EE785B"/>
    <w:rsid w:val="00EE7876"/>
    <w:rsid w:val="00EE7897"/>
    <w:rsid w:val="00EE78B8"/>
    <w:rsid w:val="00EE7900"/>
    <w:rsid w:val="00EE7935"/>
    <w:rsid w:val="00EE7A53"/>
    <w:rsid w:val="00EE7A81"/>
    <w:rsid w:val="00EE7A82"/>
    <w:rsid w:val="00EE7ACD"/>
    <w:rsid w:val="00EE7AF0"/>
    <w:rsid w:val="00EE7B0B"/>
    <w:rsid w:val="00EE7B4B"/>
    <w:rsid w:val="00EE7B73"/>
    <w:rsid w:val="00EE7BCA"/>
    <w:rsid w:val="00EE7BEA"/>
    <w:rsid w:val="00EE7BFD"/>
    <w:rsid w:val="00EE7C12"/>
    <w:rsid w:val="00EE7C23"/>
    <w:rsid w:val="00EE7C58"/>
    <w:rsid w:val="00EE7CAD"/>
    <w:rsid w:val="00EE7CB7"/>
    <w:rsid w:val="00EE7CF2"/>
    <w:rsid w:val="00EE7CF5"/>
    <w:rsid w:val="00EE7D24"/>
    <w:rsid w:val="00EE7D3C"/>
    <w:rsid w:val="00EE7D61"/>
    <w:rsid w:val="00EE7DBE"/>
    <w:rsid w:val="00EE7DC6"/>
    <w:rsid w:val="00EE7DF8"/>
    <w:rsid w:val="00EE7E41"/>
    <w:rsid w:val="00EE7E60"/>
    <w:rsid w:val="00EE7E70"/>
    <w:rsid w:val="00EE7EBC"/>
    <w:rsid w:val="00EE7F37"/>
    <w:rsid w:val="00EE7F6C"/>
    <w:rsid w:val="00EE7F85"/>
    <w:rsid w:val="00EF00BE"/>
    <w:rsid w:val="00EF00C1"/>
    <w:rsid w:val="00EF0232"/>
    <w:rsid w:val="00EF025F"/>
    <w:rsid w:val="00EF0275"/>
    <w:rsid w:val="00EF027C"/>
    <w:rsid w:val="00EF0361"/>
    <w:rsid w:val="00EF039F"/>
    <w:rsid w:val="00EF03C7"/>
    <w:rsid w:val="00EF0416"/>
    <w:rsid w:val="00EF0454"/>
    <w:rsid w:val="00EF04EC"/>
    <w:rsid w:val="00EF0539"/>
    <w:rsid w:val="00EF05C8"/>
    <w:rsid w:val="00EF0602"/>
    <w:rsid w:val="00EF062F"/>
    <w:rsid w:val="00EF065F"/>
    <w:rsid w:val="00EF067A"/>
    <w:rsid w:val="00EF06DC"/>
    <w:rsid w:val="00EF06E3"/>
    <w:rsid w:val="00EF06FC"/>
    <w:rsid w:val="00EF0701"/>
    <w:rsid w:val="00EF0724"/>
    <w:rsid w:val="00EF0767"/>
    <w:rsid w:val="00EF07A2"/>
    <w:rsid w:val="00EF0857"/>
    <w:rsid w:val="00EF08AB"/>
    <w:rsid w:val="00EF0918"/>
    <w:rsid w:val="00EF0A53"/>
    <w:rsid w:val="00EF0B16"/>
    <w:rsid w:val="00EF0B76"/>
    <w:rsid w:val="00EF0B88"/>
    <w:rsid w:val="00EF0BA2"/>
    <w:rsid w:val="00EF0BB7"/>
    <w:rsid w:val="00EF0BE9"/>
    <w:rsid w:val="00EF0BED"/>
    <w:rsid w:val="00EF0BF6"/>
    <w:rsid w:val="00EF0C37"/>
    <w:rsid w:val="00EF0C38"/>
    <w:rsid w:val="00EF0C5D"/>
    <w:rsid w:val="00EF0CA1"/>
    <w:rsid w:val="00EF0CBA"/>
    <w:rsid w:val="00EF0CBE"/>
    <w:rsid w:val="00EF0CEC"/>
    <w:rsid w:val="00EF0D2B"/>
    <w:rsid w:val="00EF0D55"/>
    <w:rsid w:val="00EF0D79"/>
    <w:rsid w:val="00EF0E3F"/>
    <w:rsid w:val="00EF0E57"/>
    <w:rsid w:val="00EF0E65"/>
    <w:rsid w:val="00EF0E77"/>
    <w:rsid w:val="00EF0E98"/>
    <w:rsid w:val="00EF0EA4"/>
    <w:rsid w:val="00EF0ED1"/>
    <w:rsid w:val="00EF0EE2"/>
    <w:rsid w:val="00EF0F48"/>
    <w:rsid w:val="00EF0F83"/>
    <w:rsid w:val="00EF0FA7"/>
    <w:rsid w:val="00EF0FFC"/>
    <w:rsid w:val="00EF101F"/>
    <w:rsid w:val="00EF1049"/>
    <w:rsid w:val="00EF10AC"/>
    <w:rsid w:val="00EF110F"/>
    <w:rsid w:val="00EF1187"/>
    <w:rsid w:val="00EF1193"/>
    <w:rsid w:val="00EF11A7"/>
    <w:rsid w:val="00EF11FC"/>
    <w:rsid w:val="00EF1223"/>
    <w:rsid w:val="00EF1274"/>
    <w:rsid w:val="00EF12EE"/>
    <w:rsid w:val="00EF12F4"/>
    <w:rsid w:val="00EF1337"/>
    <w:rsid w:val="00EF13E0"/>
    <w:rsid w:val="00EF142C"/>
    <w:rsid w:val="00EF1450"/>
    <w:rsid w:val="00EF149E"/>
    <w:rsid w:val="00EF14BE"/>
    <w:rsid w:val="00EF14C8"/>
    <w:rsid w:val="00EF14D2"/>
    <w:rsid w:val="00EF1513"/>
    <w:rsid w:val="00EF155D"/>
    <w:rsid w:val="00EF15F1"/>
    <w:rsid w:val="00EF15FE"/>
    <w:rsid w:val="00EF1657"/>
    <w:rsid w:val="00EF166C"/>
    <w:rsid w:val="00EF16DB"/>
    <w:rsid w:val="00EF171E"/>
    <w:rsid w:val="00EF172A"/>
    <w:rsid w:val="00EF1732"/>
    <w:rsid w:val="00EF179A"/>
    <w:rsid w:val="00EF185F"/>
    <w:rsid w:val="00EF18C2"/>
    <w:rsid w:val="00EF195B"/>
    <w:rsid w:val="00EF1999"/>
    <w:rsid w:val="00EF199B"/>
    <w:rsid w:val="00EF19AA"/>
    <w:rsid w:val="00EF19AD"/>
    <w:rsid w:val="00EF19C7"/>
    <w:rsid w:val="00EF1A0C"/>
    <w:rsid w:val="00EF1A1E"/>
    <w:rsid w:val="00EF1A5D"/>
    <w:rsid w:val="00EF1A71"/>
    <w:rsid w:val="00EF1A77"/>
    <w:rsid w:val="00EF1C32"/>
    <w:rsid w:val="00EF1C3D"/>
    <w:rsid w:val="00EF1C40"/>
    <w:rsid w:val="00EF1C49"/>
    <w:rsid w:val="00EF1CBB"/>
    <w:rsid w:val="00EF1CBD"/>
    <w:rsid w:val="00EF1CEC"/>
    <w:rsid w:val="00EF1CF6"/>
    <w:rsid w:val="00EF1CFC"/>
    <w:rsid w:val="00EF1D1F"/>
    <w:rsid w:val="00EF1D4E"/>
    <w:rsid w:val="00EF1D54"/>
    <w:rsid w:val="00EF1D5A"/>
    <w:rsid w:val="00EF1D8A"/>
    <w:rsid w:val="00EF1DB6"/>
    <w:rsid w:val="00EF1DD1"/>
    <w:rsid w:val="00EF1DD9"/>
    <w:rsid w:val="00EF1DDF"/>
    <w:rsid w:val="00EF1DEF"/>
    <w:rsid w:val="00EF1E01"/>
    <w:rsid w:val="00EF1E04"/>
    <w:rsid w:val="00EF1E14"/>
    <w:rsid w:val="00EF1E7E"/>
    <w:rsid w:val="00EF1E8D"/>
    <w:rsid w:val="00EF1EA2"/>
    <w:rsid w:val="00EF1EBB"/>
    <w:rsid w:val="00EF1ECA"/>
    <w:rsid w:val="00EF1F04"/>
    <w:rsid w:val="00EF1F71"/>
    <w:rsid w:val="00EF1F88"/>
    <w:rsid w:val="00EF1FD6"/>
    <w:rsid w:val="00EF1FFF"/>
    <w:rsid w:val="00EF2002"/>
    <w:rsid w:val="00EF203A"/>
    <w:rsid w:val="00EF2083"/>
    <w:rsid w:val="00EF2092"/>
    <w:rsid w:val="00EF209B"/>
    <w:rsid w:val="00EF20BD"/>
    <w:rsid w:val="00EF20DC"/>
    <w:rsid w:val="00EF2131"/>
    <w:rsid w:val="00EF2158"/>
    <w:rsid w:val="00EF2161"/>
    <w:rsid w:val="00EF2188"/>
    <w:rsid w:val="00EF21AD"/>
    <w:rsid w:val="00EF21ED"/>
    <w:rsid w:val="00EF229A"/>
    <w:rsid w:val="00EF22B9"/>
    <w:rsid w:val="00EF22BF"/>
    <w:rsid w:val="00EF22F0"/>
    <w:rsid w:val="00EF232F"/>
    <w:rsid w:val="00EF2354"/>
    <w:rsid w:val="00EF23B1"/>
    <w:rsid w:val="00EF23FB"/>
    <w:rsid w:val="00EF2470"/>
    <w:rsid w:val="00EF2597"/>
    <w:rsid w:val="00EF25A2"/>
    <w:rsid w:val="00EF25D4"/>
    <w:rsid w:val="00EF2619"/>
    <w:rsid w:val="00EF262E"/>
    <w:rsid w:val="00EF266B"/>
    <w:rsid w:val="00EF267A"/>
    <w:rsid w:val="00EF26D0"/>
    <w:rsid w:val="00EF2714"/>
    <w:rsid w:val="00EF282E"/>
    <w:rsid w:val="00EF2845"/>
    <w:rsid w:val="00EF2859"/>
    <w:rsid w:val="00EF2865"/>
    <w:rsid w:val="00EF286D"/>
    <w:rsid w:val="00EF28CF"/>
    <w:rsid w:val="00EF28F3"/>
    <w:rsid w:val="00EF29B2"/>
    <w:rsid w:val="00EF29FA"/>
    <w:rsid w:val="00EF2A0D"/>
    <w:rsid w:val="00EF2A61"/>
    <w:rsid w:val="00EF2A7D"/>
    <w:rsid w:val="00EF2AC0"/>
    <w:rsid w:val="00EF2B1D"/>
    <w:rsid w:val="00EF2B36"/>
    <w:rsid w:val="00EF2B66"/>
    <w:rsid w:val="00EF2B74"/>
    <w:rsid w:val="00EF2B97"/>
    <w:rsid w:val="00EF2BAC"/>
    <w:rsid w:val="00EF2C42"/>
    <w:rsid w:val="00EF2C43"/>
    <w:rsid w:val="00EF2CE1"/>
    <w:rsid w:val="00EF2CF4"/>
    <w:rsid w:val="00EF2CFD"/>
    <w:rsid w:val="00EF2CFE"/>
    <w:rsid w:val="00EF2D4F"/>
    <w:rsid w:val="00EF2D8D"/>
    <w:rsid w:val="00EF2E13"/>
    <w:rsid w:val="00EF2E25"/>
    <w:rsid w:val="00EF2E58"/>
    <w:rsid w:val="00EF2E7D"/>
    <w:rsid w:val="00EF2F3D"/>
    <w:rsid w:val="00EF2FA0"/>
    <w:rsid w:val="00EF2FAB"/>
    <w:rsid w:val="00EF2FC9"/>
    <w:rsid w:val="00EF2FFF"/>
    <w:rsid w:val="00EF3005"/>
    <w:rsid w:val="00EF3070"/>
    <w:rsid w:val="00EF307D"/>
    <w:rsid w:val="00EF30BC"/>
    <w:rsid w:val="00EF30C8"/>
    <w:rsid w:val="00EF30D4"/>
    <w:rsid w:val="00EF3103"/>
    <w:rsid w:val="00EF3185"/>
    <w:rsid w:val="00EF318A"/>
    <w:rsid w:val="00EF3199"/>
    <w:rsid w:val="00EF31D7"/>
    <w:rsid w:val="00EF31F9"/>
    <w:rsid w:val="00EF3204"/>
    <w:rsid w:val="00EF324D"/>
    <w:rsid w:val="00EF3289"/>
    <w:rsid w:val="00EF3298"/>
    <w:rsid w:val="00EF329F"/>
    <w:rsid w:val="00EF32C7"/>
    <w:rsid w:val="00EF330D"/>
    <w:rsid w:val="00EF331B"/>
    <w:rsid w:val="00EF346D"/>
    <w:rsid w:val="00EF34FE"/>
    <w:rsid w:val="00EF352E"/>
    <w:rsid w:val="00EF353C"/>
    <w:rsid w:val="00EF35B0"/>
    <w:rsid w:val="00EF35DC"/>
    <w:rsid w:val="00EF360A"/>
    <w:rsid w:val="00EF3610"/>
    <w:rsid w:val="00EF362E"/>
    <w:rsid w:val="00EF369B"/>
    <w:rsid w:val="00EF36F4"/>
    <w:rsid w:val="00EF373D"/>
    <w:rsid w:val="00EF3746"/>
    <w:rsid w:val="00EF3748"/>
    <w:rsid w:val="00EF375C"/>
    <w:rsid w:val="00EF3775"/>
    <w:rsid w:val="00EF37D9"/>
    <w:rsid w:val="00EF37F8"/>
    <w:rsid w:val="00EF3839"/>
    <w:rsid w:val="00EF386E"/>
    <w:rsid w:val="00EF3899"/>
    <w:rsid w:val="00EF38A1"/>
    <w:rsid w:val="00EF3939"/>
    <w:rsid w:val="00EF393F"/>
    <w:rsid w:val="00EF3942"/>
    <w:rsid w:val="00EF39B2"/>
    <w:rsid w:val="00EF39F6"/>
    <w:rsid w:val="00EF3A2A"/>
    <w:rsid w:val="00EF3A4A"/>
    <w:rsid w:val="00EF3ADC"/>
    <w:rsid w:val="00EF3B7E"/>
    <w:rsid w:val="00EF3BE5"/>
    <w:rsid w:val="00EF3BFB"/>
    <w:rsid w:val="00EF3C35"/>
    <w:rsid w:val="00EF3C45"/>
    <w:rsid w:val="00EF3CDF"/>
    <w:rsid w:val="00EF3CF1"/>
    <w:rsid w:val="00EF3D9A"/>
    <w:rsid w:val="00EF3E44"/>
    <w:rsid w:val="00EF3E61"/>
    <w:rsid w:val="00EF3ED1"/>
    <w:rsid w:val="00EF3F53"/>
    <w:rsid w:val="00EF3F72"/>
    <w:rsid w:val="00EF3FF1"/>
    <w:rsid w:val="00EF4020"/>
    <w:rsid w:val="00EF402C"/>
    <w:rsid w:val="00EF4078"/>
    <w:rsid w:val="00EF4094"/>
    <w:rsid w:val="00EF40E9"/>
    <w:rsid w:val="00EF40F6"/>
    <w:rsid w:val="00EF4104"/>
    <w:rsid w:val="00EF4146"/>
    <w:rsid w:val="00EF41F1"/>
    <w:rsid w:val="00EF421A"/>
    <w:rsid w:val="00EF4224"/>
    <w:rsid w:val="00EF422B"/>
    <w:rsid w:val="00EF428A"/>
    <w:rsid w:val="00EF4304"/>
    <w:rsid w:val="00EF43B5"/>
    <w:rsid w:val="00EF43E8"/>
    <w:rsid w:val="00EF442C"/>
    <w:rsid w:val="00EF4449"/>
    <w:rsid w:val="00EF4466"/>
    <w:rsid w:val="00EF450F"/>
    <w:rsid w:val="00EF4560"/>
    <w:rsid w:val="00EF45FF"/>
    <w:rsid w:val="00EF4663"/>
    <w:rsid w:val="00EF466A"/>
    <w:rsid w:val="00EF468B"/>
    <w:rsid w:val="00EF46FF"/>
    <w:rsid w:val="00EF4724"/>
    <w:rsid w:val="00EF473A"/>
    <w:rsid w:val="00EF47AE"/>
    <w:rsid w:val="00EF47BA"/>
    <w:rsid w:val="00EF4825"/>
    <w:rsid w:val="00EF4861"/>
    <w:rsid w:val="00EF488A"/>
    <w:rsid w:val="00EF48DE"/>
    <w:rsid w:val="00EF4930"/>
    <w:rsid w:val="00EF493D"/>
    <w:rsid w:val="00EF4963"/>
    <w:rsid w:val="00EF49CC"/>
    <w:rsid w:val="00EF49D2"/>
    <w:rsid w:val="00EF4A86"/>
    <w:rsid w:val="00EF4AFC"/>
    <w:rsid w:val="00EF4B2A"/>
    <w:rsid w:val="00EF4B6D"/>
    <w:rsid w:val="00EF4BBE"/>
    <w:rsid w:val="00EF4BD3"/>
    <w:rsid w:val="00EF4BDF"/>
    <w:rsid w:val="00EF4BFB"/>
    <w:rsid w:val="00EF4C13"/>
    <w:rsid w:val="00EF4C90"/>
    <w:rsid w:val="00EF4CB8"/>
    <w:rsid w:val="00EF4CC9"/>
    <w:rsid w:val="00EF4CCA"/>
    <w:rsid w:val="00EF4CE5"/>
    <w:rsid w:val="00EF4CF6"/>
    <w:rsid w:val="00EF4D29"/>
    <w:rsid w:val="00EF4D32"/>
    <w:rsid w:val="00EF4DAF"/>
    <w:rsid w:val="00EF4DE6"/>
    <w:rsid w:val="00EF4DEC"/>
    <w:rsid w:val="00EF4DEE"/>
    <w:rsid w:val="00EF4E58"/>
    <w:rsid w:val="00EF4EB8"/>
    <w:rsid w:val="00EF4EB9"/>
    <w:rsid w:val="00EF4EBD"/>
    <w:rsid w:val="00EF4ECB"/>
    <w:rsid w:val="00EF4F1A"/>
    <w:rsid w:val="00EF4F28"/>
    <w:rsid w:val="00EF5028"/>
    <w:rsid w:val="00EF5046"/>
    <w:rsid w:val="00EF50A3"/>
    <w:rsid w:val="00EF50C8"/>
    <w:rsid w:val="00EF5108"/>
    <w:rsid w:val="00EF5159"/>
    <w:rsid w:val="00EF51B8"/>
    <w:rsid w:val="00EF5271"/>
    <w:rsid w:val="00EF5283"/>
    <w:rsid w:val="00EF530E"/>
    <w:rsid w:val="00EF5322"/>
    <w:rsid w:val="00EF5361"/>
    <w:rsid w:val="00EF53D7"/>
    <w:rsid w:val="00EF5443"/>
    <w:rsid w:val="00EF5474"/>
    <w:rsid w:val="00EF54A7"/>
    <w:rsid w:val="00EF54A8"/>
    <w:rsid w:val="00EF54DE"/>
    <w:rsid w:val="00EF54F7"/>
    <w:rsid w:val="00EF54F8"/>
    <w:rsid w:val="00EF5528"/>
    <w:rsid w:val="00EF5556"/>
    <w:rsid w:val="00EF555B"/>
    <w:rsid w:val="00EF55AB"/>
    <w:rsid w:val="00EF55BE"/>
    <w:rsid w:val="00EF55C3"/>
    <w:rsid w:val="00EF5607"/>
    <w:rsid w:val="00EF564A"/>
    <w:rsid w:val="00EF564D"/>
    <w:rsid w:val="00EF5655"/>
    <w:rsid w:val="00EF569A"/>
    <w:rsid w:val="00EF56E9"/>
    <w:rsid w:val="00EF5702"/>
    <w:rsid w:val="00EF5723"/>
    <w:rsid w:val="00EF573F"/>
    <w:rsid w:val="00EF5779"/>
    <w:rsid w:val="00EF57A6"/>
    <w:rsid w:val="00EF5831"/>
    <w:rsid w:val="00EF58FE"/>
    <w:rsid w:val="00EF599D"/>
    <w:rsid w:val="00EF59AB"/>
    <w:rsid w:val="00EF59B7"/>
    <w:rsid w:val="00EF59CE"/>
    <w:rsid w:val="00EF59E5"/>
    <w:rsid w:val="00EF59E9"/>
    <w:rsid w:val="00EF5A4A"/>
    <w:rsid w:val="00EF5A59"/>
    <w:rsid w:val="00EF5AC2"/>
    <w:rsid w:val="00EF5B0C"/>
    <w:rsid w:val="00EF5B1E"/>
    <w:rsid w:val="00EF5B73"/>
    <w:rsid w:val="00EF5B8A"/>
    <w:rsid w:val="00EF5BD1"/>
    <w:rsid w:val="00EF5BF5"/>
    <w:rsid w:val="00EF5C63"/>
    <w:rsid w:val="00EF5C91"/>
    <w:rsid w:val="00EF5CAB"/>
    <w:rsid w:val="00EF5D91"/>
    <w:rsid w:val="00EF5DBA"/>
    <w:rsid w:val="00EF5DD4"/>
    <w:rsid w:val="00EF5DF0"/>
    <w:rsid w:val="00EF5E0C"/>
    <w:rsid w:val="00EF5E1E"/>
    <w:rsid w:val="00EF5E20"/>
    <w:rsid w:val="00EF5E66"/>
    <w:rsid w:val="00EF5E7E"/>
    <w:rsid w:val="00EF5F6B"/>
    <w:rsid w:val="00EF5F78"/>
    <w:rsid w:val="00EF5FDE"/>
    <w:rsid w:val="00EF6051"/>
    <w:rsid w:val="00EF6079"/>
    <w:rsid w:val="00EF608A"/>
    <w:rsid w:val="00EF6097"/>
    <w:rsid w:val="00EF6166"/>
    <w:rsid w:val="00EF6174"/>
    <w:rsid w:val="00EF617C"/>
    <w:rsid w:val="00EF6195"/>
    <w:rsid w:val="00EF6196"/>
    <w:rsid w:val="00EF61E3"/>
    <w:rsid w:val="00EF61E9"/>
    <w:rsid w:val="00EF6253"/>
    <w:rsid w:val="00EF6254"/>
    <w:rsid w:val="00EF6281"/>
    <w:rsid w:val="00EF6309"/>
    <w:rsid w:val="00EF6340"/>
    <w:rsid w:val="00EF6361"/>
    <w:rsid w:val="00EF6391"/>
    <w:rsid w:val="00EF63E8"/>
    <w:rsid w:val="00EF63F1"/>
    <w:rsid w:val="00EF63F3"/>
    <w:rsid w:val="00EF6400"/>
    <w:rsid w:val="00EF6490"/>
    <w:rsid w:val="00EF649C"/>
    <w:rsid w:val="00EF6513"/>
    <w:rsid w:val="00EF6531"/>
    <w:rsid w:val="00EF65A6"/>
    <w:rsid w:val="00EF6623"/>
    <w:rsid w:val="00EF662C"/>
    <w:rsid w:val="00EF6698"/>
    <w:rsid w:val="00EF669E"/>
    <w:rsid w:val="00EF66D8"/>
    <w:rsid w:val="00EF672F"/>
    <w:rsid w:val="00EF673F"/>
    <w:rsid w:val="00EF678E"/>
    <w:rsid w:val="00EF679B"/>
    <w:rsid w:val="00EF67B7"/>
    <w:rsid w:val="00EF67F3"/>
    <w:rsid w:val="00EF6820"/>
    <w:rsid w:val="00EF6822"/>
    <w:rsid w:val="00EF68F7"/>
    <w:rsid w:val="00EF6917"/>
    <w:rsid w:val="00EF696D"/>
    <w:rsid w:val="00EF6A20"/>
    <w:rsid w:val="00EF6A6A"/>
    <w:rsid w:val="00EF6A84"/>
    <w:rsid w:val="00EF6AF6"/>
    <w:rsid w:val="00EF6B00"/>
    <w:rsid w:val="00EF6B24"/>
    <w:rsid w:val="00EF6B36"/>
    <w:rsid w:val="00EF6B73"/>
    <w:rsid w:val="00EF6BD5"/>
    <w:rsid w:val="00EF6BE5"/>
    <w:rsid w:val="00EF6BEB"/>
    <w:rsid w:val="00EF6BF3"/>
    <w:rsid w:val="00EF6C23"/>
    <w:rsid w:val="00EF6C28"/>
    <w:rsid w:val="00EF6C51"/>
    <w:rsid w:val="00EF6C82"/>
    <w:rsid w:val="00EF6C8F"/>
    <w:rsid w:val="00EF6CC5"/>
    <w:rsid w:val="00EF6CC8"/>
    <w:rsid w:val="00EF6D35"/>
    <w:rsid w:val="00EF6D80"/>
    <w:rsid w:val="00EF6D83"/>
    <w:rsid w:val="00EF6DB5"/>
    <w:rsid w:val="00EF6E5E"/>
    <w:rsid w:val="00EF6E86"/>
    <w:rsid w:val="00EF6E8B"/>
    <w:rsid w:val="00EF6EAB"/>
    <w:rsid w:val="00EF6EB4"/>
    <w:rsid w:val="00EF6EC0"/>
    <w:rsid w:val="00EF6EDA"/>
    <w:rsid w:val="00EF6EF7"/>
    <w:rsid w:val="00EF6F6D"/>
    <w:rsid w:val="00EF6F9A"/>
    <w:rsid w:val="00EF6FB8"/>
    <w:rsid w:val="00EF6FEC"/>
    <w:rsid w:val="00EF7012"/>
    <w:rsid w:val="00EF705D"/>
    <w:rsid w:val="00EF705F"/>
    <w:rsid w:val="00EF7072"/>
    <w:rsid w:val="00EF709B"/>
    <w:rsid w:val="00EF70A2"/>
    <w:rsid w:val="00EF70EF"/>
    <w:rsid w:val="00EF70F9"/>
    <w:rsid w:val="00EF710A"/>
    <w:rsid w:val="00EF716D"/>
    <w:rsid w:val="00EF71A5"/>
    <w:rsid w:val="00EF71CB"/>
    <w:rsid w:val="00EF71EA"/>
    <w:rsid w:val="00EF7241"/>
    <w:rsid w:val="00EF7277"/>
    <w:rsid w:val="00EF72AE"/>
    <w:rsid w:val="00EF72C7"/>
    <w:rsid w:val="00EF7300"/>
    <w:rsid w:val="00EF7307"/>
    <w:rsid w:val="00EF732D"/>
    <w:rsid w:val="00EF73A1"/>
    <w:rsid w:val="00EF73A9"/>
    <w:rsid w:val="00EF73BD"/>
    <w:rsid w:val="00EF7421"/>
    <w:rsid w:val="00EF7426"/>
    <w:rsid w:val="00EF746B"/>
    <w:rsid w:val="00EF748A"/>
    <w:rsid w:val="00EF748B"/>
    <w:rsid w:val="00EF74B2"/>
    <w:rsid w:val="00EF74BF"/>
    <w:rsid w:val="00EF74CB"/>
    <w:rsid w:val="00EF7515"/>
    <w:rsid w:val="00EF752F"/>
    <w:rsid w:val="00EF754D"/>
    <w:rsid w:val="00EF755B"/>
    <w:rsid w:val="00EF7587"/>
    <w:rsid w:val="00EF7590"/>
    <w:rsid w:val="00EF7598"/>
    <w:rsid w:val="00EF75AC"/>
    <w:rsid w:val="00EF75B7"/>
    <w:rsid w:val="00EF75C0"/>
    <w:rsid w:val="00EF7647"/>
    <w:rsid w:val="00EF766C"/>
    <w:rsid w:val="00EF7670"/>
    <w:rsid w:val="00EF7734"/>
    <w:rsid w:val="00EF774F"/>
    <w:rsid w:val="00EF7763"/>
    <w:rsid w:val="00EF777C"/>
    <w:rsid w:val="00EF77A0"/>
    <w:rsid w:val="00EF77C4"/>
    <w:rsid w:val="00EF77D1"/>
    <w:rsid w:val="00EF786E"/>
    <w:rsid w:val="00EF78A2"/>
    <w:rsid w:val="00EF78B9"/>
    <w:rsid w:val="00EF7909"/>
    <w:rsid w:val="00EF7915"/>
    <w:rsid w:val="00EF7942"/>
    <w:rsid w:val="00EF797A"/>
    <w:rsid w:val="00EF797F"/>
    <w:rsid w:val="00EF79C1"/>
    <w:rsid w:val="00EF79D8"/>
    <w:rsid w:val="00EF79E7"/>
    <w:rsid w:val="00EF7A36"/>
    <w:rsid w:val="00EF7A65"/>
    <w:rsid w:val="00EF7A69"/>
    <w:rsid w:val="00EF7A76"/>
    <w:rsid w:val="00EF7A85"/>
    <w:rsid w:val="00EF7B10"/>
    <w:rsid w:val="00EF7B25"/>
    <w:rsid w:val="00EF7B33"/>
    <w:rsid w:val="00EF7B43"/>
    <w:rsid w:val="00EF7B60"/>
    <w:rsid w:val="00EF7B63"/>
    <w:rsid w:val="00EF7BBB"/>
    <w:rsid w:val="00EF7BEF"/>
    <w:rsid w:val="00EF7C0A"/>
    <w:rsid w:val="00EF7C54"/>
    <w:rsid w:val="00EF7C56"/>
    <w:rsid w:val="00EF7CAE"/>
    <w:rsid w:val="00EF7CC4"/>
    <w:rsid w:val="00EF7CE3"/>
    <w:rsid w:val="00EF7D12"/>
    <w:rsid w:val="00EF7D5A"/>
    <w:rsid w:val="00EF7DC0"/>
    <w:rsid w:val="00EF7DF6"/>
    <w:rsid w:val="00EF7E06"/>
    <w:rsid w:val="00EF7E15"/>
    <w:rsid w:val="00EF7E3F"/>
    <w:rsid w:val="00EF7EB1"/>
    <w:rsid w:val="00EF7F70"/>
    <w:rsid w:val="00EF7F9D"/>
    <w:rsid w:val="00EF7FA6"/>
    <w:rsid w:val="00EF7FF4"/>
    <w:rsid w:val="00F00002"/>
    <w:rsid w:val="00F0003B"/>
    <w:rsid w:val="00F00093"/>
    <w:rsid w:val="00F000B5"/>
    <w:rsid w:val="00F001D2"/>
    <w:rsid w:val="00F001D4"/>
    <w:rsid w:val="00F00216"/>
    <w:rsid w:val="00F0023E"/>
    <w:rsid w:val="00F0029F"/>
    <w:rsid w:val="00F002BB"/>
    <w:rsid w:val="00F002E5"/>
    <w:rsid w:val="00F00358"/>
    <w:rsid w:val="00F0040B"/>
    <w:rsid w:val="00F00423"/>
    <w:rsid w:val="00F00434"/>
    <w:rsid w:val="00F00450"/>
    <w:rsid w:val="00F0045D"/>
    <w:rsid w:val="00F00463"/>
    <w:rsid w:val="00F00491"/>
    <w:rsid w:val="00F00499"/>
    <w:rsid w:val="00F0049D"/>
    <w:rsid w:val="00F0056A"/>
    <w:rsid w:val="00F00585"/>
    <w:rsid w:val="00F005C6"/>
    <w:rsid w:val="00F005E3"/>
    <w:rsid w:val="00F00602"/>
    <w:rsid w:val="00F0063E"/>
    <w:rsid w:val="00F00677"/>
    <w:rsid w:val="00F006C2"/>
    <w:rsid w:val="00F006C7"/>
    <w:rsid w:val="00F006F8"/>
    <w:rsid w:val="00F006FE"/>
    <w:rsid w:val="00F00700"/>
    <w:rsid w:val="00F00743"/>
    <w:rsid w:val="00F00749"/>
    <w:rsid w:val="00F007A1"/>
    <w:rsid w:val="00F00805"/>
    <w:rsid w:val="00F0081F"/>
    <w:rsid w:val="00F00821"/>
    <w:rsid w:val="00F00833"/>
    <w:rsid w:val="00F00847"/>
    <w:rsid w:val="00F00859"/>
    <w:rsid w:val="00F0086E"/>
    <w:rsid w:val="00F0088E"/>
    <w:rsid w:val="00F00919"/>
    <w:rsid w:val="00F009A2"/>
    <w:rsid w:val="00F009C7"/>
    <w:rsid w:val="00F009E0"/>
    <w:rsid w:val="00F00A0E"/>
    <w:rsid w:val="00F00A4A"/>
    <w:rsid w:val="00F00A6B"/>
    <w:rsid w:val="00F00A8B"/>
    <w:rsid w:val="00F00B5F"/>
    <w:rsid w:val="00F00B68"/>
    <w:rsid w:val="00F00B76"/>
    <w:rsid w:val="00F00B8C"/>
    <w:rsid w:val="00F00BA6"/>
    <w:rsid w:val="00F00BE1"/>
    <w:rsid w:val="00F00BE4"/>
    <w:rsid w:val="00F00BF0"/>
    <w:rsid w:val="00F00BFC"/>
    <w:rsid w:val="00F00C02"/>
    <w:rsid w:val="00F00C55"/>
    <w:rsid w:val="00F00CBF"/>
    <w:rsid w:val="00F00D1F"/>
    <w:rsid w:val="00F00DBA"/>
    <w:rsid w:val="00F00DC6"/>
    <w:rsid w:val="00F00E9D"/>
    <w:rsid w:val="00F00EAE"/>
    <w:rsid w:val="00F00F31"/>
    <w:rsid w:val="00F00F73"/>
    <w:rsid w:val="00F00F77"/>
    <w:rsid w:val="00F00F81"/>
    <w:rsid w:val="00F00FBD"/>
    <w:rsid w:val="00F00FFB"/>
    <w:rsid w:val="00F0100A"/>
    <w:rsid w:val="00F01023"/>
    <w:rsid w:val="00F0102D"/>
    <w:rsid w:val="00F0114A"/>
    <w:rsid w:val="00F011D8"/>
    <w:rsid w:val="00F01237"/>
    <w:rsid w:val="00F01248"/>
    <w:rsid w:val="00F0124B"/>
    <w:rsid w:val="00F0126C"/>
    <w:rsid w:val="00F012AF"/>
    <w:rsid w:val="00F012CF"/>
    <w:rsid w:val="00F01306"/>
    <w:rsid w:val="00F01351"/>
    <w:rsid w:val="00F01368"/>
    <w:rsid w:val="00F013A4"/>
    <w:rsid w:val="00F013C2"/>
    <w:rsid w:val="00F013CE"/>
    <w:rsid w:val="00F013E9"/>
    <w:rsid w:val="00F013F1"/>
    <w:rsid w:val="00F0142A"/>
    <w:rsid w:val="00F0146B"/>
    <w:rsid w:val="00F014B2"/>
    <w:rsid w:val="00F014D3"/>
    <w:rsid w:val="00F01548"/>
    <w:rsid w:val="00F01599"/>
    <w:rsid w:val="00F015AF"/>
    <w:rsid w:val="00F015F0"/>
    <w:rsid w:val="00F0161D"/>
    <w:rsid w:val="00F01640"/>
    <w:rsid w:val="00F0169C"/>
    <w:rsid w:val="00F016BD"/>
    <w:rsid w:val="00F016C3"/>
    <w:rsid w:val="00F016C7"/>
    <w:rsid w:val="00F016C9"/>
    <w:rsid w:val="00F016D7"/>
    <w:rsid w:val="00F01704"/>
    <w:rsid w:val="00F0170B"/>
    <w:rsid w:val="00F01737"/>
    <w:rsid w:val="00F0177F"/>
    <w:rsid w:val="00F0178D"/>
    <w:rsid w:val="00F017A8"/>
    <w:rsid w:val="00F0183F"/>
    <w:rsid w:val="00F01856"/>
    <w:rsid w:val="00F0185F"/>
    <w:rsid w:val="00F01881"/>
    <w:rsid w:val="00F018CA"/>
    <w:rsid w:val="00F01963"/>
    <w:rsid w:val="00F019E2"/>
    <w:rsid w:val="00F01A21"/>
    <w:rsid w:val="00F01A54"/>
    <w:rsid w:val="00F01A9F"/>
    <w:rsid w:val="00F01AAC"/>
    <w:rsid w:val="00F01B29"/>
    <w:rsid w:val="00F01B34"/>
    <w:rsid w:val="00F01B65"/>
    <w:rsid w:val="00F01B68"/>
    <w:rsid w:val="00F01B90"/>
    <w:rsid w:val="00F01BD7"/>
    <w:rsid w:val="00F01BE9"/>
    <w:rsid w:val="00F01C38"/>
    <w:rsid w:val="00F01C48"/>
    <w:rsid w:val="00F01CA6"/>
    <w:rsid w:val="00F01CAF"/>
    <w:rsid w:val="00F01CEA"/>
    <w:rsid w:val="00F01CF1"/>
    <w:rsid w:val="00F01CFC"/>
    <w:rsid w:val="00F01D40"/>
    <w:rsid w:val="00F01D61"/>
    <w:rsid w:val="00F01D80"/>
    <w:rsid w:val="00F01D92"/>
    <w:rsid w:val="00F01DA4"/>
    <w:rsid w:val="00F01DC2"/>
    <w:rsid w:val="00F01E7B"/>
    <w:rsid w:val="00F01EC2"/>
    <w:rsid w:val="00F01F0C"/>
    <w:rsid w:val="00F01F12"/>
    <w:rsid w:val="00F01FAB"/>
    <w:rsid w:val="00F01FC0"/>
    <w:rsid w:val="00F01FEE"/>
    <w:rsid w:val="00F020BC"/>
    <w:rsid w:val="00F02101"/>
    <w:rsid w:val="00F0218F"/>
    <w:rsid w:val="00F021AF"/>
    <w:rsid w:val="00F021C7"/>
    <w:rsid w:val="00F0220C"/>
    <w:rsid w:val="00F02213"/>
    <w:rsid w:val="00F022D8"/>
    <w:rsid w:val="00F022E4"/>
    <w:rsid w:val="00F02335"/>
    <w:rsid w:val="00F0234E"/>
    <w:rsid w:val="00F023E9"/>
    <w:rsid w:val="00F02497"/>
    <w:rsid w:val="00F024BF"/>
    <w:rsid w:val="00F024FB"/>
    <w:rsid w:val="00F02506"/>
    <w:rsid w:val="00F02532"/>
    <w:rsid w:val="00F02563"/>
    <w:rsid w:val="00F0256C"/>
    <w:rsid w:val="00F02580"/>
    <w:rsid w:val="00F0259E"/>
    <w:rsid w:val="00F025C8"/>
    <w:rsid w:val="00F025CA"/>
    <w:rsid w:val="00F025DF"/>
    <w:rsid w:val="00F025E6"/>
    <w:rsid w:val="00F025F7"/>
    <w:rsid w:val="00F02600"/>
    <w:rsid w:val="00F02642"/>
    <w:rsid w:val="00F02677"/>
    <w:rsid w:val="00F026B4"/>
    <w:rsid w:val="00F026E3"/>
    <w:rsid w:val="00F02718"/>
    <w:rsid w:val="00F02766"/>
    <w:rsid w:val="00F027A2"/>
    <w:rsid w:val="00F027E5"/>
    <w:rsid w:val="00F02821"/>
    <w:rsid w:val="00F028D3"/>
    <w:rsid w:val="00F0297A"/>
    <w:rsid w:val="00F02987"/>
    <w:rsid w:val="00F0298A"/>
    <w:rsid w:val="00F029B6"/>
    <w:rsid w:val="00F029E5"/>
    <w:rsid w:val="00F029ED"/>
    <w:rsid w:val="00F029EF"/>
    <w:rsid w:val="00F02A31"/>
    <w:rsid w:val="00F02A78"/>
    <w:rsid w:val="00F02A82"/>
    <w:rsid w:val="00F02A96"/>
    <w:rsid w:val="00F02AA6"/>
    <w:rsid w:val="00F02B18"/>
    <w:rsid w:val="00F02C10"/>
    <w:rsid w:val="00F02C1D"/>
    <w:rsid w:val="00F02C43"/>
    <w:rsid w:val="00F02C61"/>
    <w:rsid w:val="00F02C69"/>
    <w:rsid w:val="00F02C92"/>
    <w:rsid w:val="00F02CAE"/>
    <w:rsid w:val="00F02D0F"/>
    <w:rsid w:val="00F02D5B"/>
    <w:rsid w:val="00F02D70"/>
    <w:rsid w:val="00F02DCA"/>
    <w:rsid w:val="00F02DFC"/>
    <w:rsid w:val="00F02E7B"/>
    <w:rsid w:val="00F02E7E"/>
    <w:rsid w:val="00F02EB4"/>
    <w:rsid w:val="00F02F7D"/>
    <w:rsid w:val="00F02F8D"/>
    <w:rsid w:val="00F02FD9"/>
    <w:rsid w:val="00F02FEB"/>
    <w:rsid w:val="00F02FF2"/>
    <w:rsid w:val="00F02FF9"/>
    <w:rsid w:val="00F03002"/>
    <w:rsid w:val="00F03019"/>
    <w:rsid w:val="00F0302A"/>
    <w:rsid w:val="00F03060"/>
    <w:rsid w:val="00F03077"/>
    <w:rsid w:val="00F030E7"/>
    <w:rsid w:val="00F030FF"/>
    <w:rsid w:val="00F03188"/>
    <w:rsid w:val="00F031A1"/>
    <w:rsid w:val="00F031CA"/>
    <w:rsid w:val="00F03258"/>
    <w:rsid w:val="00F032BE"/>
    <w:rsid w:val="00F033BB"/>
    <w:rsid w:val="00F0344F"/>
    <w:rsid w:val="00F03465"/>
    <w:rsid w:val="00F0348A"/>
    <w:rsid w:val="00F034AF"/>
    <w:rsid w:val="00F034B7"/>
    <w:rsid w:val="00F034BA"/>
    <w:rsid w:val="00F034CD"/>
    <w:rsid w:val="00F0358C"/>
    <w:rsid w:val="00F035AF"/>
    <w:rsid w:val="00F035BF"/>
    <w:rsid w:val="00F035FC"/>
    <w:rsid w:val="00F03626"/>
    <w:rsid w:val="00F036BA"/>
    <w:rsid w:val="00F036DC"/>
    <w:rsid w:val="00F036F6"/>
    <w:rsid w:val="00F03713"/>
    <w:rsid w:val="00F03726"/>
    <w:rsid w:val="00F03816"/>
    <w:rsid w:val="00F03838"/>
    <w:rsid w:val="00F038FF"/>
    <w:rsid w:val="00F0391F"/>
    <w:rsid w:val="00F03953"/>
    <w:rsid w:val="00F03960"/>
    <w:rsid w:val="00F03A12"/>
    <w:rsid w:val="00F03A64"/>
    <w:rsid w:val="00F03A74"/>
    <w:rsid w:val="00F03ADA"/>
    <w:rsid w:val="00F03B1B"/>
    <w:rsid w:val="00F03B1F"/>
    <w:rsid w:val="00F03B23"/>
    <w:rsid w:val="00F03B55"/>
    <w:rsid w:val="00F03BDF"/>
    <w:rsid w:val="00F03C1F"/>
    <w:rsid w:val="00F03C28"/>
    <w:rsid w:val="00F03DA8"/>
    <w:rsid w:val="00F03DC0"/>
    <w:rsid w:val="00F03E79"/>
    <w:rsid w:val="00F03E90"/>
    <w:rsid w:val="00F03EAA"/>
    <w:rsid w:val="00F03EB6"/>
    <w:rsid w:val="00F03F56"/>
    <w:rsid w:val="00F03F59"/>
    <w:rsid w:val="00F04002"/>
    <w:rsid w:val="00F04019"/>
    <w:rsid w:val="00F04042"/>
    <w:rsid w:val="00F0408A"/>
    <w:rsid w:val="00F040B1"/>
    <w:rsid w:val="00F040BF"/>
    <w:rsid w:val="00F040E0"/>
    <w:rsid w:val="00F040F8"/>
    <w:rsid w:val="00F04178"/>
    <w:rsid w:val="00F041A9"/>
    <w:rsid w:val="00F041FB"/>
    <w:rsid w:val="00F0421A"/>
    <w:rsid w:val="00F0422E"/>
    <w:rsid w:val="00F04249"/>
    <w:rsid w:val="00F04274"/>
    <w:rsid w:val="00F042AE"/>
    <w:rsid w:val="00F042B3"/>
    <w:rsid w:val="00F042B9"/>
    <w:rsid w:val="00F042D8"/>
    <w:rsid w:val="00F042D9"/>
    <w:rsid w:val="00F04311"/>
    <w:rsid w:val="00F0431E"/>
    <w:rsid w:val="00F0432D"/>
    <w:rsid w:val="00F04345"/>
    <w:rsid w:val="00F04371"/>
    <w:rsid w:val="00F043C3"/>
    <w:rsid w:val="00F043C7"/>
    <w:rsid w:val="00F043D4"/>
    <w:rsid w:val="00F043E3"/>
    <w:rsid w:val="00F043EB"/>
    <w:rsid w:val="00F043F5"/>
    <w:rsid w:val="00F0443F"/>
    <w:rsid w:val="00F0447C"/>
    <w:rsid w:val="00F044AC"/>
    <w:rsid w:val="00F044BB"/>
    <w:rsid w:val="00F044D5"/>
    <w:rsid w:val="00F04514"/>
    <w:rsid w:val="00F0451D"/>
    <w:rsid w:val="00F04538"/>
    <w:rsid w:val="00F04546"/>
    <w:rsid w:val="00F0458E"/>
    <w:rsid w:val="00F045B8"/>
    <w:rsid w:val="00F045DF"/>
    <w:rsid w:val="00F045EB"/>
    <w:rsid w:val="00F0462E"/>
    <w:rsid w:val="00F04630"/>
    <w:rsid w:val="00F04680"/>
    <w:rsid w:val="00F046BA"/>
    <w:rsid w:val="00F04765"/>
    <w:rsid w:val="00F04791"/>
    <w:rsid w:val="00F047A5"/>
    <w:rsid w:val="00F047E4"/>
    <w:rsid w:val="00F04824"/>
    <w:rsid w:val="00F048CA"/>
    <w:rsid w:val="00F048E9"/>
    <w:rsid w:val="00F04918"/>
    <w:rsid w:val="00F0493B"/>
    <w:rsid w:val="00F04A1B"/>
    <w:rsid w:val="00F04A68"/>
    <w:rsid w:val="00F04ADE"/>
    <w:rsid w:val="00F04AF8"/>
    <w:rsid w:val="00F04B07"/>
    <w:rsid w:val="00F04BB9"/>
    <w:rsid w:val="00F04BD3"/>
    <w:rsid w:val="00F04BEB"/>
    <w:rsid w:val="00F04C6B"/>
    <w:rsid w:val="00F04CB5"/>
    <w:rsid w:val="00F04D5E"/>
    <w:rsid w:val="00F04E3D"/>
    <w:rsid w:val="00F04E42"/>
    <w:rsid w:val="00F04E84"/>
    <w:rsid w:val="00F04F11"/>
    <w:rsid w:val="00F04F18"/>
    <w:rsid w:val="00F04F80"/>
    <w:rsid w:val="00F04FC0"/>
    <w:rsid w:val="00F0502E"/>
    <w:rsid w:val="00F05058"/>
    <w:rsid w:val="00F050B5"/>
    <w:rsid w:val="00F050C5"/>
    <w:rsid w:val="00F050D2"/>
    <w:rsid w:val="00F05184"/>
    <w:rsid w:val="00F051A1"/>
    <w:rsid w:val="00F051A2"/>
    <w:rsid w:val="00F051D1"/>
    <w:rsid w:val="00F051FE"/>
    <w:rsid w:val="00F05249"/>
    <w:rsid w:val="00F052BB"/>
    <w:rsid w:val="00F052C6"/>
    <w:rsid w:val="00F05308"/>
    <w:rsid w:val="00F05410"/>
    <w:rsid w:val="00F05438"/>
    <w:rsid w:val="00F05441"/>
    <w:rsid w:val="00F0544C"/>
    <w:rsid w:val="00F0545B"/>
    <w:rsid w:val="00F054FF"/>
    <w:rsid w:val="00F05510"/>
    <w:rsid w:val="00F0557D"/>
    <w:rsid w:val="00F05585"/>
    <w:rsid w:val="00F055D4"/>
    <w:rsid w:val="00F055DF"/>
    <w:rsid w:val="00F055E2"/>
    <w:rsid w:val="00F055EC"/>
    <w:rsid w:val="00F055FB"/>
    <w:rsid w:val="00F0561D"/>
    <w:rsid w:val="00F05622"/>
    <w:rsid w:val="00F05632"/>
    <w:rsid w:val="00F05640"/>
    <w:rsid w:val="00F056C1"/>
    <w:rsid w:val="00F056F1"/>
    <w:rsid w:val="00F056F2"/>
    <w:rsid w:val="00F05720"/>
    <w:rsid w:val="00F05737"/>
    <w:rsid w:val="00F0573E"/>
    <w:rsid w:val="00F05745"/>
    <w:rsid w:val="00F0574C"/>
    <w:rsid w:val="00F05774"/>
    <w:rsid w:val="00F057D3"/>
    <w:rsid w:val="00F0582D"/>
    <w:rsid w:val="00F05842"/>
    <w:rsid w:val="00F05865"/>
    <w:rsid w:val="00F05927"/>
    <w:rsid w:val="00F05928"/>
    <w:rsid w:val="00F0592E"/>
    <w:rsid w:val="00F05970"/>
    <w:rsid w:val="00F059B3"/>
    <w:rsid w:val="00F059CD"/>
    <w:rsid w:val="00F059FB"/>
    <w:rsid w:val="00F05A38"/>
    <w:rsid w:val="00F05A3D"/>
    <w:rsid w:val="00F05A97"/>
    <w:rsid w:val="00F05AEA"/>
    <w:rsid w:val="00F05BAD"/>
    <w:rsid w:val="00F05BBF"/>
    <w:rsid w:val="00F05BC1"/>
    <w:rsid w:val="00F05BFB"/>
    <w:rsid w:val="00F05C48"/>
    <w:rsid w:val="00F05C49"/>
    <w:rsid w:val="00F05C95"/>
    <w:rsid w:val="00F05C9B"/>
    <w:rsid w:val="00F05CB9"/>
    <w:rsid w:val="00F05CEE"/>
    <w:rsid w:val="00F05CF2"/>
    <w:rsid w:val="00F05D30"/>
    <w:rsid w:val="00F05D71"/>
    <w:rsid w:val="00F05D7F"/>
    <w:rsid w:val="00F05D80"/>
    <w:rsid w:val="00F05DAD"/>
    <w:rsid w:val="00F05DC3"/>
    <w:rsid w:val="00F05E8A"/>
    <w:rsid w:val="00F05EC2"/>
    <w:rsid w:val="00F05EEA"/>
    <w:rsid w:val="00F05F07"/>
    <w:rsid w:val="00F05F15"/>
    <w:rsid w:val="00F05F9F"/>
    <w:rsid w:val="00F05FF6"/>
    <w:rsid w:val="00F06121"/>
    <w:rsid w:val="00F0612F"/>
    <w:rsid w:val="00F06159"/>
    <w:rsid w:val="00F0615A"/>
    <w:rsid w:val="00F0616C"/>
    <w:rsid w:val="00F0617D"/>
    <w:rsid w:val="00F06191"/>
    <w:rsid w:val="00F061BA"/>
    <w:rsid w:val="00F06219"/>
    <w:rsid w:val="00F06250"/>
    <w:rsid w:val="00F062B7"/>
    <w:rsid w:val="00F062C2"/>
    <w:rsid w:val="00F0630C"/>
    <w:rsid w:val="00F06314"/>
    <w:rsid w:val="00F06316"/>
    <w:rsid w:val="00F0631F"/>
    <w:rsid w:val="00F063AA"/>
    <w:rsid w:val="00F063DF"/>
    <w:rsid w:val="00F06401"/>
    <w:rsid w:val="00F06419"/>
    <w:rsid w:val="00F06459"/>
    <w:rsid w:val="00F06485"/>
    <w:rsid w:val="00F064F4"/>
    <w:rsid w:val="00F06504"/>
    <w:rsid w:val="00F0651F"/>
    <w:rsid w:val="00F06596"/>
    <w:rsid w:val="00F065D0"/>
    <w:rsid w:val="00F065D5"/>
    <w:rsid w:val="00F065DA"/>
    <w:rsid w:val="00F06600"/>
    <w:rsid w:val="00F0667D"/>
    <w:rsid w:val="00F066D9"/>
    <w:rsid w:val="00F0670B"/>
    <w:rsid w:val="00F06715"/>
    <w:rsid w:val="00F06752"/>
    <w:rsid w:val="00F06754"/>
    <w:rsid w:val="00F0675D"/>
    <w:rsid w:val="00F06777"/>
    <w:rsid w:val="00F0677A"/>
    <w:rsid w:val="00F06799"/>
    <w:rsid w:val="00F067C7"/>
    <w:rsid w:val="00F067EA"/>
    <w:rsid w:val="00F06839"/>
    <w:rsid w:val="00F0687D"/>
    <w:rsid w:val="00F068F6"/>
    <w:rsid w:val="00F0692F"/>
    <w:rsid w:val="00F06930"/>
    <w:rsid w:val="00F06974"/>
    <w:rsid w:val="00F069B6"/>
    <w:rsid w:val="00F069E8"/>
    <w:rsid w:val="00F069F6"/>
    <w:rsid w:val="00F069F8"/>
    <w:rsid w:val="00F06A02"/>
    <w:rsid w:val="00F06A1C"/>
    <w:rsid w:val="00F06B04"/>
    <w:rsid w:val="00F06B11"/>
    <w:rsid w:val="00F06B1E"/>
    <w:rsid w:val="00F06B58"/>
    <w:rsid w:val="00F06B69"/>
    <w:rsid w:val="00F06B78"/>
    <w:rsid w:val="00F06B97"/>
    <w:rsid w:val="00F06BAF"/>
    <w:rsid w:val="00F06C0B"/>
    <w:rsid w:val="00F06C24"/>
    <w:rsid w:val="00F06C3C"/>
    <w:rsid w:val="00F06C79"/>
    <w:rsid w:val="00F06CC3"/>
    <w:rsid w:val="00F06D4B"/>
    <w:rsid w:val="00F06D98"/>
    <w:rsid w:val="00F06DBB"/>
    <w:rsid w:val="00F06DFC"/>
    <w:rsid w:val="00F06E4B"/>
    <w:rsid w:val="00F06E4E"/>
    <w:rsid w:val="00F06ED7"/>
    <w:rsid w:val="00F06EDA"/>
    <w:rsid w:val="00F06EDF"/>
    <w:rsid w:val="00F06EE9"/>
    <w:rsid w:val="00F06F25"/>
    <w:rsid w:val="00F06F94"/>
    <w:rsid w:val="00F06FC6"/>
    <w:rsid w:val="00F06FE8"/>
    <w:rsid w:val="00F07020"/>
    <w:rsid w:val="00F07024"/>
    <w:rsid w:val="00F07069"/>
    <w:rsid w:val="00F07105"/>
    <w:rsid w:val="00F07123"/>
    <w:rsid w:val="00F0713E"/>
    <w:rsid w:val="00F0715E"/>
    <w:rsid w:val="00F0719C"/>
    <w:rsid w:val="00F071E9"/>
    <w:rsid w:val="00F07262"/>
    <w:rsid w:val="00F0729F"/>
    <w:rsid w:val="00F0732B"/>
    <w:rsid w:val="00F07371"/>
    <w:rsid w:val="00F0737F"/>
    <w:rsid w:val="00F07395"/>
    <w:rsid w:val="00F073C7"/>
    <w:rsid w:val="00F073FB"/>
    <w:rsid w:val="00F073FE"/>
    <w:rsid w:val="00F07444"/>
    <w:rsid w:val="00F074C4"/>
    <w:rsid w:val="00F07541"/>
    <w:rsid w:val="00F0754D"/>
    <w:rsid w:val="00F075B5"/>
    <w:rsid w:val="00F075CB"/>
    <w:rsid w:val="00F07611"/>
    <w:rsid w:val="00F0761F"/>
    <w:rsid w:val="00F076AC"/>
    <w:rsid w:val="00F076CD"/>
    <w:rsid w:val="00F0777F"/>
    <w:rsid w:val="00F07800"/>
    <w:rsid w:val="00F07836"/>
    <w:rsid w:val="00F0783D"/>
    <w:rsid w:val="00F07871"/>
    <w:rsid w:val="00F07891"/>
    <w:rsid w:val="00F078C1"/>
    <w:rsid w:val="00F079FE"/>
    <w:rsid w:val="00F07A43"/>
    <w:rsid w:val="00F07A4B"/>
    <w:rsid w:val="00F07A4F"/>
    <w:rsid w:val="00F07AC1"/>
    <w:rsid w:val="00F07B97"/>
    <w:rsid w:val="00F07BB0"/>
    <w:rsid w:val="00F07BB5"/>
    <w:rsid w:val="00F07BBE"/>
    <w:rsid w:val="00F07BF4"/>
    <w:rsid w:val="00F07C57"/>
    <w:rsid w:val="00F07C60"/>
    <w:rsid w:val="00F07CAB"/>
    <w:rsid w:val="00F07CFF"/>
    <w:rsid w:val="00F07D84"/>
    <w:rsid w:val="00F07E3C"/>
    <w:rsid w:val="00F07E54"/>
    <w:rsid w:val="00F07E56"/>
    <w:rsid w:val="00F07E67"/>
    <w:rsid w:val="00F07E96"/>
    <w:rsid w:val="00F07EA9"/>
    <w:rsid w:val="00F07F21"/>
    <w:rsid w:val="00F07F32"/>
    <w:rsid w:val="00F07F75"/>
    <w:rsid w:val="00F07FAB"/>
    <w:rsid w:val="00F07FF7"/>
    <w:rsid w:val="00F10012"/>
    <w:rsid w:val="00F10027"/>
    <w:rsid w:val="00F10072"/>
    <w:rsid w:val="00F10163"/>
    <w:rsid w:val="00F10184"/>
    <w:rsid w:val="00F10189"/>
    <w:rsid w:val="00F101A7"/>
    <w:rsid w:val="00F101BA"/>
    <w:rsid w:val="00F10245"/>
    <w:rsid w:val="00F1024A"/>
    <w:rsid w:val="00F1026E"/>
    <w:rsid w:val="00F102E3"/>
    <w:rsid w:val="00F1032F"/>
    <w:rsid w:val="00F10346"/>
    <w:rsid w:val="00F10357"/>
    <w:rsid w:val="00F10379"/>
    <w:rsid w:val="00F1037B"/>
    <w:rsid w:val="00F1038A"/>
    <w:rsid w:val="00F103D6"/>
    <w:rsid w:val="00F103F3"/>
    <w:rsid w:val="00F1041C"/>
    <w:rsid w:val="00F10433"/>
    <w:rsid w:val="00F10465"/>
    <w:rsid w:val="00F10467"/>
    <w:rsid w:val="00F1047A"/>
    <w:rsid w:val="00F10496"/>
    <w:rsid w:val="00F104C0"/>
    <w:rsid w:val="00F104C8"/>
    <w:rsid w:val="00F104D2"/>
    <w:rsid w:val="00F104E0"/>
    <w:rsid w:val="00F104FD"/>
    <w:rsid w:val="00F10527"/>
    <w:rsid w:val="00F10577"/>
    <w:rsid w:val="00F105EB"/>
    <w:rsid w:val="00F105F9"/>
    <w:rsid w:val="00F10610"/>
    <w:rsid w:val="00F10612"/>
    <w:rsid w:val="00F1062E"/>
    <w:rsid w:val="00F10657"/>
    <w:rsid w:val="00F10666"/>
    <w:rsid w:val="00F10682"/>
    <w:rsid w:val="00F106BB"/>
    <w:rsid w:val="00F106FA"/>
    <w:rsid w:val="00F10713"/>
    <w:rsid w:val="00F1075E"/>
    <w:rsid w:val="00F107A9"/>
    <w:rsid w:val="00F10825"/>
    <w:rsid w:val="00F10827"/>
    <w:rsid w:val="00F10867"/>
    <w:rsid w:val="00F108A7"/>
    <w:rsid w:val="00F10912"/>
    <w:rsid w:val="00F1091F"/>
    <w:rsid w:val="00F10927"/>
    <w:rsid w:val="00F10942"/>
    <w:rsid w:val="00F1096C"/>
    <w:rsid w:val="00F10A3F"/>
    <w:rsid w:val="00F10AA9"/>
    <w:rsid w:val="00F10ADE"/>
    <w:rsid w:val="00F10AF1"/>
    <w:rsid w:val="00F10AFA"/>
    <w:rsid w:val="00F10B20"/>
    <w:rsid w:val="00F10B3B"/>
    <w:rsid w:val="00F10B59"/>
    <w:rsid w:val="00F10B69"/>
    <w:rsid w:val="00F10BC6"/>
    <w:rsid w:val="00F10BF2"/>
    <w:rsid w:val="00F10C0E"/>
    <w:rsid w:val="00F10C11"/>
    <w:rsid w:val="00F10C1C"/>
    <w:rsid w:val="00F10C56"/>
    <w:rsid w:val="00F10C71"/>
    <w:rsid w:val="00F10C7E"/>
    <w:rsid w:val="00F10C8F"/>
    <w:rsid w:val="00F10CCE"/>
    <w:rsid w:val="00F10D07"/>
    <w:rsid w:val="00F10D21"/>
    <w:rsid w:val="00F10D2F"/>
    <w:rsid w:val="00F10DA5"/>
    <w:rsid w:val="00F10DBC"/>
    <w:rsid w:val="00F10DC5"/>
    <w:rsid w:val="00F10E03"/>
    <w:rsid w:val="00F10E18"/>
    <w:rsid w:val="00F10E95"/>
    <w:rsid w:val="00F10EEE"/>
    <w:rsid w:val="00F10F0D"/>
    <w:rsid w:val="00F10F11"/>
    <w:rsid w:val="00F10F37"/>
    <w:rsid w:val="00F10FDF"/>
    <w:rsid w:val="00F10FF3"/>
    <w:rsid w:val="00F11016"/>
    <w:rsid w:val="00F11047"/>
    <w:rsid w:val="00F11084"/>
    <w:rsid w:val="00F110D8"/>
    <w:rsid w:val="00F110F9"/>
    <w:rsid w:val="00F11101"/>
    <w:rsid w:val="00F11105"/>
    <w:rsid w:val="00F11137"/>
    <w:rsid w:val="00F1114E"/>
    <w:rsid w:val="00F111B8"/>
    <w:rsid w:val="00F111D5"/>
    <w:rsid w:val="00F11212"/>
    <w:rsid w:val="00F11293"/>
    <w:rsid w:val="00F11303"/>
    <w:rsid w:val="00F113BD"/>
    <w:rsid w:val="00F113C4"/>
    <w:rsid w:val="00F113CF"/>
    <w:rsid w:val="00F113D6"/>
    <w:rsid w:val="00F113DE"/>
    <w:rsid w:val="00F1144D"/>
    <w:rsid w:val="00F114BC"/>
    <w:rsid w:val="00F1154F"/>
    <w:rsid w:val="00F11565"/>
    <w:rsid w:val="00F115D0"/>
    <w:rsid w:val="00F115E5"/>
    <w:rsid w:val="00F1162B"/>
    <w:rsid w:val="00F116A1"/>
    <w:rsid w:val="00F11752"/>
    <w:rsid w:val="00F11865"/>
    <w:rsid w:val="00F1187C"/>
    <w:rsid w:val="00F1189B"/>
    <w:rsid w:val="00F11915"/>
    <w:rsid w:val="00F1196C"/>
    <w:rsid w:val="00F1199C"/>
    <w:rsid w:val="00F119AE"/>
    <w:rsid w:val="00F11A09"/>
    <w:rsid w:val="00F11A57"/>
    <w:rsid w:val="00F11ABC"/>
    <w:rsid w:val="00F11B29"/>
    <w:rsid w:val="00F11B7C"/>
    <w:rsid w:val="00F11B8D"/>
    <w:rsid w:val="00F11C3F"/>
    <w:rsid w:val="00F11C42"/>
    <w:rsid w:val="00F11C69"/>
    <w:rsid w:val="00F11D2A"/>
    <w:rsid w:val="00F11D39"/>
    <w:rsid w:val="00F11D6D"/>
    <w:rsid w:val="00F11D7A"/>
    <w:rsid w:val="00F11DA6"/>
    <w:rsid w:val="00F11DC3"/>
    <w:rsid w:val="00F11DCD"/>
    <w:rsid w:val="00F11DD9"/>
    <w:rsid w:val="00F11DE5"/>
    <w:rsid w:val="00F11DEC"/>
    <w:rsid w:val="00F11E08"/>
    <w:rsid w:val="00F11E3A"/>
    <w:rsid w:val="00F11E3B"/>
    <w:rsid w:val="00F11E71"/>
    <w:rsid w:val="00F11E7C"/>
    <w:rsid w:val="00F11E81"/>
    <w:rsid w:val="00F11EA7"/>
    <w:rsid w:val="00F11EC9"/>
    <w:rsid w:val="00F11F47"/>
    <w:rsid w:val="00F11FC5"/>
    <w:rsid w:val="00F11FEE"/>
    <w:rsid w:val="00F1203C"/>
    <w:rsid w:val="00F1204C"/>
    <w:rsid w:val="00F12081"/>
    <w:rsid w:val="00F12110"/>
    <w:rsid w:val="00F12111"/>
    <w:rsid w:val="00F12132"/>
    <w:rsid w:val="00F121D4"/>
    <w:rsid w:val="00F121DF"/>
    <w:rsid w:val="00F12213"/>
    <w:rsid w:val="00F12236"/>
    <w:rsid w:val="00F1223A"/>
    <w:rsid w:val="00F12260"/>
    <w:rsid w:val="00F12284"/>
    <w:rsid w:val="00F12294"/>
    <w:rsid w:val="00F122D9"/>
    <w:rsid w:val="00F12392"/>
    <w:rsid w:val="00F12397"/>
    <w:rsid w:val="00F1239D"/>
    <w:rsid w:val="00F123AC"/>
    <w:rsid w:val="00F123B0"/>
    <w:rsid w:val="00F123DF"/>
    <w:rsid w:val="00F123ED"/>
    <w:rsid w:val="00F123F4"/>
    <w:rsid w:val="00F1244B"/>
    <w:rsid w:val="00F12457"/>
    <w:rsid w:val="00F12470"/>
    <w:rsid w:val="00F12497"/>
    <w:rsid w:val="00F1249A"/>
    <w:rsid w:val="00F124CF"/>
    <w:rsid w:val="00F124E9"/>
    <w:rsid w:val="00F12538"/>
    <w:rsid w:val="00F1257A"/>
    <w:rsid w:val="00F125C3"/>
    <w:rsid w:val="00F12629"/>
    <w:rsid w:val="00F12673"/>
    <w:rsid w:val="00F126A2"/>
    <w:rsid w:val="00F126F4"/>
    <w:rsid w:val="00F12706"/>
    <w:rsid w:val="00F1279C"/>
    <w:rsid w:val="00F127A9"/>
    <w:rsid w:val="00F127B8"/>
    <w:rsid w:val="00F127B9"/>
    <w:rsid w:val="00F12864"/>
    <w:rsid w:val="00F1288D"/>
    <w:rsid w:val="00F128A8"/>
    <w:rsid w:val="00F128BC"/>
    <w:rsid w:val="00F128C4"/>
    <w:rsid w:val="00F128FF"/>
    <w:rsid w:val="00F1299B"/>
    <w:rsid w:val="00F129F7"/>
    <w:rsid w:val="00F12A45"/>
    <w:rsid w:val="00F12ACE"/>
    <w:rsid w:val="00F12AEF"/>
    <w:rsid w:val="00F12B15"/>
    <w:rsid w:val="00F12B34"/>
    <w:rsid w:val="00F12B78"/>
    <w:rsid w:val="00F12B91"/>
    <w:rsid w:val="00F12BC7"/>
    <w:rsid w:val="00F12BD2"/>
    <w:rsid w:val="00F12BE7"/>
    <w:rsid w:val="00F12C1B"/>
    <w:rsid w:val="00F12C76"/>
    <w:rsid w:val="00F12CA3"/>
    <w:rsid w:val="00F12CC0"/>
    <w:rsid w:val="00F12CCE"/>
    <w:rsid w:val="00F12D2F"/>
    <w:rsid w:val="00F12E88"/>
    <w:rsid w:val="00F12E9D"/>
    <w:rsid w:val="00F12F0A"/>
    <w:rsid w:val="00F12F37"/>
    <w:rsid w:val="00F12FD9"/>
    <w:rsid w:val="00F13007"/>
    <w:rsid w:val="00F1300B"/>
    <w:rsid w:val="00F13012"/>
    <w:rsid w:val="00F13061"/>
    <w:rsid w:val="00F1308F"/>
    <w:rsid w:val="00F130FA"/>
    <w:rsid w:val="00F130FD"/>
    <w:rsid w:val="00F13122"/>
    <w:rsid w:val="00F131A7"/>
    <w:rsid w:val="00F131ED"/>
    <w:rsid w:val="00F13211"/>
    <w:rsid w:val="00F132AA"/>
    <w:rsid w:val="00F132D3"/>
    <w:rsid w:val="00F132E7"/>
    <w:rsid w:val="00F13305"/>
    <w:rsid w:val="00F13318"/>
    <w:rsid w:val="00F1332A"/>
    <w:rsid w:val="00F13350"/>
    <w:rsid w:val="00F13351"/>
    <w:rsid w:val="00F1339F"/>
    <w:rsid w:val="00F133CF"/>
    <w:rsid w:val="00F13449"/>
    <w:rsid w:val="00F13498"/>
    <w:rsid w:val="00F134A6"/>
    <w:rsid w:val="00F134BA"/>
    <w:rsid w:val="00F134BD"/>
    <w:rsid w:val="00F13517"/>
    <w:rsid w:val="00F1352B"/>
    <w:rsid w:val="00F1352E"/>
    <w:rsid w:val="00F13559"/>
    <w:rsid w:val="00F1356A"/>
    <w:rsid w:val="00F13585"/>
    <w:rsid w:val="00F135B9"/>
    <w:rsid w:val="00F135D4"/>
    <w:rsid w:val="00F135DB"/>
    <w:rsid w:val="00F135F1"/>
    <w:rsid w:val="00F1364E"/>
    <w:rsid w:val="00F13696"/>
    <w:rsid w:val="00F136CB"/>
    <w:rsid w:val="00F136F2"/>
    <w:rsid w:val="00F13767"/>
    <w:rsid w:val="00F13781"/>
    <w:rsid w:val="00F137BF"/>
    <w:rsid w:val="00F13831"/>
    <w:rsid w:val="00F1383C"/>
    <w:rsid w:val="00F1386A"/>
    <w:rsid w:val="00F138BD"/>
    <w:rsid w:val="00F138C8"/>
    <w:rsid w:val="00F1396B"/>
    <w:rsid w:val="00F13A14"/>
    <w:rsid w:val="00F13AD8"/>
    <w:rsid w:val="00F13B97"/>
    <w:rsid w:val="00F13BE5"/>
    <w:rsid w:val="00F13C78"/>
    <w:rsid w:val="00F13D0E"/>
    <w:rsid w:val="00F13D44"/>
    <w:rsid w:val="00F13D84"/>
    <w:rsid w:val="00F13D8D"/>
    <w:rsid w:val="00F13D9E"/>
    <w:rsid w:val="00F13DA5"/>
    <w:rsid w:val="00F13E35"/>
    <w:rsid w:val="00F13E88"/>
    <w:rsid w:val="00F13EF4"/>
    <w:rsid w:val="00F13F55"/>
    <w:rsid w:val="00F13F7D"/>
    <w:rsid w:val="00F13F9A"/>
    <w:rsid w:val="00F13FE1"/>
    <w:rsid w:val="00F1402C"/>
    <w:rsid w:val="00F14036"/>
    <w:rsid w:val="00F1406D"/>
    <w:rsid w:val="00F14077"/>
    <w:rsid w:val="00F140A4"/>
    <w:rsid w:val="00F140D2"/>
    <w:rsid w:val="00F140E2"/>
    <w:rsid w:val="00F140E9"/>
    <w:rsid w:val="00F14102"/>
    <w:rsid w:val="00F1419B"/>
    <w:rsid w:val="00F141E1"/>
    <w:rsid w:val="00F141FE"/>
    <w:rsid w:val="00F14267"/>
    <w:rsid w:val="00F14277"/>
    <w:rsid w:val="00F14280"/>
    <w:rsid w:val="00F14287"/>
    <w:rsid w:val="00F142D4"/>
    <w:rsid w:val="00F14378"/>
    <w:rsid w:val="00F14379"/>
    <w:rsid w:val="00F143B6"/>
    <w:rsid w:val="00F14444"/>
    <w:rsid w:val="00F1444D"/>
    <w:rsid w:val="00F14454"/>
    <w:rsid w:val="00F14492"/>
    <w:rsid w:val="00F144AA"/>
    <w:rsid w:val="00F1453F"/>
    <w:rsid w:val="00F1458B"/>
    <w:rsid w:val="00F14641"/>
    <w:rsid w:val="00F14642"/>
    <w:rsid w:val="00F14650"/>
    <w:rsid w:val="00F14651"/>
    <w:rsid w:val="00F14679"/>
    <w:rsid w:val="00F146A5"/>
    <w:rsid w:val="00F146AD"/>
    <w:rsid w:val="00F146D9"/>
    <w:rsid w:val="00F14738"/>
    <w:rsid w:val="00F14754"/>
    <w:rsid w:val="00F147C0"/>
    <w:rsid w:val="00F147DB"/>
    <w:rsid w:val="00F14876"/>
    <w:rsid w:val="00F1489D"/>
    <w:rsid w:val="00F148AA"/>
    <w:rsid w:val="00F148CC"/>
    <w:rsid w:val="00F14977"/>
    <w:rsid w:val="00F149C5"/>
    <w:rsid w:val="00F149D0"/>
    <w:rsid w:val="00F149F1"/>
    <w:rsid w:val="00F14A56"/>
    <w:rsid w:val="00F14A58"/>
    <w:rsid w:val="00F14B54"/>
    <w:rsid w:val="00F14B6D"/>
    <w:rsid w:val="00F14BCE"/>
    <w:rsid w:val="00F14BED"/>
    <w:rsid w:val="00F14BF0"/>
    <w:rsid w:val="00F14C28"/>
    <w:rsid w:val="00F14C3B"/>
    <w:rsid w:val="00F14C6C"/>
    <w:rsid w:val="00F14C84"/>
    <w:rsid w:val="00F14CA4"/>
    <w:rsid w:val="00F14CEF"/>
    <w:rsid w:val="00F14D76"/>
    <w:rsid w:val="00F14DA1"/>
    <w:rsid w:val="00F14DCF"/>
    <w:rsid w:val="00F14E3F"/>
    <w:rsid w:val="00F14E5A"/>
    <w:rsid w:val="00F14EA0"/>
    <w:rsid w:val="00F14EAC"/>
    <w:rsid w:val="00F14EC3"/>
    <w:rsid w:val="00F14F62"/>
    <w:rsid w:val="00F14FA8"/>
    <w:rsid w:val="00F15013"/>
    <w:rsid w:val="00F1501C"/>
    <w:rsid w:val="00F15032"/>
    <w:rsid w:val="00F1506E"/>
    <w:rsid w:val="00F1507C"/>
    <w:rsid w:val="00F1509E"/>
    <w:rsid w:val="00F1510C"/>
    <w:rsid w:val="00F1511A"/>
    <w:rsid w:val="00F15189"/>
    <w:rsid w:val="00F151C9"/>
    <w:rsid w:val="00F15234"/>
    <w:rsid w:val="00F15238"/>
    <w:rsid w:val="00F1523D"/>
    <w:rsid w:val="00F1527D"/>
    <w:rsid w:val="00F1529F"/>
    <w:rsid w:val="00F152E1"/>
    <w:rsid w:val="00F152E5"/>
    <w:rsid w:val="00F15318"/>
    <w:rsid w:val="00F1533D"/>
    <w:rsid w:val="00F1536E"/>
    <w:rsid w:val="00F1538F"/>
    <w:rsid w:val="00F153AE"/>
    <w:rsid w:val="00F153D8"/>
    <w:rsid w:val="00F15403"/>
    <w:rsid w:val="00F15434"/>
    <w:rsid w:val="00F15490"/>
    <w:rsid w:val="00F154EE"/>
    <w:rsid w:val="00F15506"/>
    <w:rsid w:val="00F15517"/>
    <w:rsid w:val="00F1552C"/>
    <w:rsid w:val="00F15536"/>
    <w:rsid w:val="00F1555B"/>
    <w:rsid w:val="00F1556A"/>
    <w:rsid w:val="00F15580"/>
    <w:rsid w:val="00F1559E"/>
    <w:rsid w:val="00F155BD"/>
    <w:rsid w:val="00F155DB"/>
    <w:rsid w:val="00F15602"/>
    <w:rsid w:val="00F1560C"/>
    <w:rsid w:val="00F15626"/>
    <w:rsid w:val="00F15640"/>
    <w:rsid w:val="00F1569D"/>
    <w:rsid w:val="00F156BD"/>
    <w:rsid w:val="00F156FD"/>
    <w:rsid w:val="00F1570B"/>
    <w:rsid w:val="00F15721"/>
    <w:rsid w:val="00F15731"/>
    <w:rsid w:val="00F1575C"/>
    <w:rsid w:val="00F1578B"/>
    <w:rsid w:val="00F1579E"/>
    <w:rsid w:val="00F157A3"/>
    <w:rsid w:val="00F157D8"/>
    <w:rsid w:val="00F157EC"/>
    <w:rsid w:val="00F157ED"/>
    <w:rsid w:val="00F157F6"/>
    <w:rsid w:val="00F1585A"/>
    <w:rsid w:val="00F15860"/>
    <w:rsid w:val="00F15878"/>
    <w:rsid w:val="00F158B2"/>
    <w:rsid w:val="00F15998"/>
    <w:rsid w:val="00F1599F"/>
    <w:rsid w:val="00F159AA"/>
    <w:rsid w:val="00F159C0"/>
    <w:rsid w:val="00F159C2"/>
    <w:rsid w:val="00F15A0A"/>
    <w:rsid w:val="00F15A73"/>
    <w:rsid w:val="00F15AAF"/>
    <w:rsid w:val="00F15AB3"/>
    <w:rsid w:val="00F15AD9"/>
    <w:rsid w:val="00F15B0B"/>
    <w:rsid w:val="00F15BA1"/>
    <w:rsid w:val="00F15BEC"/>
    <w:rsid w:val="00F15BF6"/>
    <w:rsid w:val="00F15C2C"/>
    <w:rsid w:val="00F15C65"/>
    <w:rsid w:val="00F15CA7"/>
    <w:rsid w:val="00F15CC1"/>
    <w:rsid w:val="00F15D79"/>
    <w:rsid w:val="00F15DA8"/>
    <w:rsid w:val="00F15E4C"/>
    <w:rsid w:val="00F15E51"/>
    <w:rsid w:val="00F15E7F"/>
    <w:rsid w:val="00F15EC6"/>
    <w:rsid w:val="00F16020"/>
    <w:rsid w:val="00F1603E"/>
    <w:rsid w:val="00F1605E"/>
    <w:rsid w:val="00F16076"/>
    <w:rsid w:val="00F160AE"/>
    <w:rsid w:val="00F160E5"/>
    <w:rsid w:val="00F16112"/>
    <w:rsid w:val="00F16148"/>
    <w:rsid w:val="00F16155"/>
    <w:rsid w:val="00F16165"/>
    <w:rsid w:val="00F16185"/>
    <w:rsid w:val="00F161A8"/>
    <w:rsid w:val="00F161B0"/>
    <w:rsid w:val="00F16236"/>
    <w:rsid w:val="00F16256"/>
    <w:rsid w:val="00F16267"/>
    <w:rsid w:val="00F1628C"/>
    <w:rsid w:val="00F16298"/>
    <w:rsid w:val="00F16337"/>
    <w:rsid w:val="00F16346"/>
    <w:rsid w:val="00F1636F"/>
    <w:rsid w:val="00F16373"/>
    <w:rsid w:val="00F163A7"/>
    <w:rsid w:val="00F16423"/>
    <w:rsid w:val="00F1642D"/>
    <w:rsid w:val="00F16481"/>
    <w:rsid w:val="00F164AF"/>
    <w:rsid w:val="00F164E9"/>
    <w:rsid w:val="00F16509"/>
    <w:rsid w:val="00F16518"/>
    <w:rsid w:val="00F16534"/>
    <w:rsid w:val="00F1658B"/>
    <w:rsid w:val="00F165A2"/>
    <w:rsid w:val="00F165CF"/>
    <w:rsid w:val="00F165EB"/>
    <w:rsid w:val="00F165F7"/>
    <w:rsid w:val="00F16629"/>
    <w:rsid w:val="00F1663A"/>
    <w:rsid w:val="00F1663E"/>
    <w:rsid w:val="00F166BA"/>
    <w:rsid w:val="00F166BB"/>
    <w:rsid w:val="00F166D5"/>
    <w:rsid w:val="00F166D9"/>
    <w:rsid w:val="00F16702"/>
    <w:rsid w:val="00F16766"/>
    <w:rsid w:val="00F167A3"/>
    <w:rsid w:val="00F167E3"/>
    <w:rsid w:val="00F16814"/>
    <w:rsid w:val="00F168A6"/>
    <w:rsid w:val="00F16934"/>
    <w:rsid w:val="00F1693B"/>
    <w:rsid w:val="00F16970"/>
    <w:rsid w:val="00F169AF"/>
    <w:rsid w:val="00F16A44"/>
    <w:rsid w:val="00F16A5A"/>
    <w:rsid w:val="00F16A69"/>
    <w:rsid w:val="00F16A8F"/>
    <w:rsid w:val="00F16A96"/>
    <w:rsid w:val="00F16B51"/>
    <w:rsid w:val="00F16B56"/>
    <w:rsid w:val="00F16B58"/>
    <w:rsid w:val="00F16B77"/>
    <w:rsid w:val="00F16B95"/>
    <w:rsid w:val="00F16BC5"/>
    <w:rsid w:val="00F16BDB"/>
    <w:rsid w:val="00F16C26"/>
    <w:rsid w:val="00F16C29"/>
    <w:rsid w:val="00F16C86"/>
    <w:rsid w:val="00F16C99"/>
    <w:rsid w:val="00F16CF5"/>
    <w:rsid w:val="00F16D00"/>
    <w:rsid w:val="00F16D0D"/>
    <w:rsid w:val="00F16D28"/>
    <w:rsid w:val="00F16D9E"/>
    <w:rsid w:val="00F16DC5"/>
    <w:rsid w:val="00F16DF2"/>
    <w:rsid w:val="00F16DF7"/>
    <w:rsid w:val="00F16E36"/>
    <w:rsid w:val="00F16ECB"/>
    <w:rsid w:val="00F16EE9"/>
    <w:rsid w:val="00F16F29"/>
    <w:rsid w:val="00F16F38"/>
    <w:rsid w:val="00F16F42"/>
    <w:rsid w:val="00F16F9E"/>
    <w:rsid w:val="00F16FA4"/>
    <w:rsid w:val="00F16FB1"/>
    <w:rsid w:val="00F16FF1"/>
    <w:rsid w:val="00F17011"/>
    <w:rsid w:val="00F17044"/>
    <w:rsid w:val="00F170AA"/>
    <w:rsid w:val="00F170EF"/>
    <w:rsid w:val="00F170F3"/>
    <w:rsid w:val="00F17123"/>
    <w:rsid w:val="00F1713B"/>
    <w:rsid w:val="00F1718D"/>
    <w:rsid w:val="00F17190"/>
    <w:rsid w:val="00F1720A"/>
    <w:rsid w:val="00F17290"/>
    <w:rsid w:val="00F1731B"/>
    <w:rsid w:val="00F1734C"/>
    <w:rsid w:val="00F1736F"/>
    <w:rsid w:val="00F1737D"/>
    <w:rsid w:val="00F17413"/>
    <w:rsid w:val="00F17457"/>
    <w:rsid w:val="00F1745B"/>
    <w:rsid w:val="00F174D1"/>
    <w:rsid w:val="00F174E5"/>
    <w:rsid w:val="00F174E8"/>
    <w:rsid w:val="00F17506"/>
    <w:rsid w:val="00F17553"/>
    <w:rsid w:val="00F1756F"/>
    <w:rsid w:val="00F17583"/>
    <w:rsid w:val="00F17586"/>
    <w:rsid w:val="00F17599"/>
    <w:rsid w:val="00F1759F"/>
    <w:rsid w:val="00F175BE"/>
    <w:rsid w:val="00F17616"/>
    <w:rsid w:val="00F1771E"/>
    <w:rsid w:val="00F17734"/>
    <w:rsid w:val="00F1773A"/>
    <w:rsid w:val="00F17757"/>
    <w:rsid w:val="00F17764"/>
    <w:rsid w:val="00F177B8"/>
    <w:rsid w:val="00F177C2"/>
    <w:rsid w:val="00F177E7"/>
    <w:rsid w:val="00F17800"/>
    <w:rsid w:val="00F17801"/>
    <w:rsid w:val="00F17843"/>
    <w:rsid w:val="00F1786A"/>
    <w:rsid w:val="00F1788C"/>
    <w:rsid w:val="00F1792F"/>
    <w:rsid w:val="00F1796E"/>
    <w:rsid w:val="00F17993"/>
    <w:rsid w:val="00F17A19"/>
    <w:rsid w:val="00F17A1A"/>
    <w:rsid w:val="00F17A1D"/>
    <w:rsid w:val="00F17A2A"/>
    <w:rsid w:val="00F17A4B"/>
    <w:rsid w:val="00F17A5E"/>
    <w:rsid w:val="00F17AC5"/>
    <w:rsid w:val="00F17ACA"/>
    <w:rsid w:val="00F17AE4"/>
    <w:rsid w:val="00F17B0F"/>
    <w:rsid w:val="00F17BA5"/>
    <w:rsid w:val="00F17BBE"/>
    <w:rsid w:val="00F17BCC"/>
    <w:rsid w:val="00F17C5D"/>
    <w:rsid w:val="00F17C72"/>
    <w:rsid w:val="00F17CBB"/>
    <w:rsid w:val="00F17CCF"/>
    <w:rsid w:val="00F17CD1"/>
    <w:rsid w:val="00F17D0C"/>
    <w:rsid w:val="00F17D32"/>
    <w:rsid w:val="00F17D69"/>
    <w:rsid w:val="00F17D89"/>
    <w:rsid w:val="00F17DF3"/>
    <w:rsid w:val="00F17E1F"/>
    <w:rsid w:val="00F17E82"/>
    <w:rsid w:val="00F17EFC"/>
    <w:rsid w:val="00F17F0D"/>
    <w:rsid w:val="00F17F35"/>
    <w:rsid w:val="00F17F43"/>
    <w:rsid w:val="00F17F63"/>
    <w:rsid w:val="00F17F6E"/>
    <w:rsid w:val="00F2002E"/>
    <w:rsid w:val="00F2005C"/>
    <w:rsid w:val="00F200FD"/>
    <w:rsid w:val="00F20110"/>
    <w:rsid w:val="00F20117"/>
    <w:rsid w:val="00F20131"/>
    <w:rsid w:val="00F20187"/>
    <w:rsid w:val="00F201C7"/>
    <w:rsid w:val="00F201D9"/>
    <w:rsid w:val="00F20201"/>
    <w:rsid w:val="00F2023E"/>
    <w:rsid w:val="00F20277"/>
    <w:rsid w:val="00F202C2"/>
    <w:rsid w:val="00F202FD"/>
    <w:rsid w:val="00F20328"/>
    <w:rsid w:val="00F2035B"/>
    <w:rsid w:val="00F203C0"/>
    <w:rsid w:val="00F203CD"/>
    <w:rsid w:val="00F2041D"/>
    <w:rsid w:val="00F20442"/>
    <w:rsid w:val="00F20451"/>
    <w:rsid w:val="00F20488"/>
    <w:rsid w:val="00F204AD"/>
    <w:rsid w:val="00F204AF"/>
    <w:rsid w:val="00F204BF"/>
    <w:rsid w:val="00F204F3"/>
    <w:rsid w:val="00F2051F"/>
    <w:rsid w:val="00F2054D"/>
    <w:rsid w:val="00F20557"/>
    <w:rsid w:val="00F20583"/>
    <w:rsid w:val="00F205A0"/>
    <w:rsid w:val="00F205A6"/>
    <w:rsid w:val="00F205EB"/>
    <w:rsid w:val="00F20611"/>
    <w:rsid w:val="00F20641"/>
    <w:rsid w:val="00F20643"/>
    <w:rsid w:val="00F206C8"/>
    <w:rsid w:val="00F206EE"/>
    <w:rsid w:val="00F206F6"/>
    <w:rsid w:val="00F20738"/>
    <w:rsid w:val="00F20746"/>
    <w:rsid w:val="00F207D0"/>
    <w:rsid w:val="00F207F2"/>
    <w:rsid w:val="00F2088A"/>
    <w:rsid w:val="00F208B6"/>
    <w:rsid w:val="00F20913"/>
    <w:rsid w:val="00F20944"/>
    <w:rsid w:val="00F2096E"/>
    <w:rsid w:val="00F20A48"/>
    <w:rsid w:val="00F20A61"/>
    <w:rsid w:val="00F20B16"/>
    <w:rsid w:val="00F20B26"/>
    <w:rsid w:val="00F20B69"/>
    <w:rsid w:val="00F20B72"/>
    <w:rsid w:val="00F20BA6"/>
    <w:rsid w:val="00F20BB0"/>
    <w:rsid w:val="00F20BBA"/>
    <w:rsid w:val="00F20BFF"/>
    <w:rsid w:val="00F20C46"/>
    <w:rsid w:val="00F20CF5"/>
    <w:rsid w:val="00F20D24"/>
    <w:rsid w:val="00F20D57"/>
    <w:rsid w:val="00F20D69"/>
    <w:rsid w:val="00F20DBC"/>
    <w:rsid w:val="00F20DBD"/>
    <w:rsid w:val="00F20DE5"/>
    <w:rsid w:val="00F20E1A"/>
    <w:rsid w:val="00F20E81"/>
    <w:rsid w:val="00F20ED8"/>
    <w:rsid w:val="00F20EDF"/>
    <w:rsid w:val="00F20F05"/>
    <w:rsid w:val="00F20F0C"/>
    <w:rsid w:val="00F20F77"/>
    <w:rsid w:val="00F20FB6"/>
    <w:rsid w:val="00F21000"/>
    <w:rsid w:val="00F2105C"/>
    <w:rsid w:val="00F21071"/>
    <w:rsid w:val="00F21081"/>
    <w:rsid w:val="00F2109E"/>
    <w:rsid w:val="00F210F1"/>
    <w:rsid w:val="00F21134"/>
    <w:rsid w:val="00F21137"/>
    <w:rsid w:val="00F21167"/>
    <w:rsid w:val="00F211A5"/>
    <w:rsid w:val="00F211B8"/>
    <w:rsid w:val="00F211CE"/>
    <w:rsid w:val="00F211DF"/>
    <w:rsid w:val="00F21249"/>
    <w:rsid w:val="00F2124D"/>
    <w:rsid w:val="00F2129A"/>
    <w:rsid w:val="00F212A2"/>
    <w:rsid w:val="00F21355"/>
    <w:rsid w:val="00F2138F"/>
    <w:rsid w:val="00F21391"/>
    <w:rsid w:val="00F21396"/>
    <w:rsid w:val="00F213B2"/>
    <w:rsid w:val="00F213C9"/>
    <w:rsid w:val="00F213EC"/>
    <w:rsid w:val="00F21449"/>
    <w:rsid w:val="00F21454"/>
    <w:rsid w:val="00F214C5"/>
    <w:rsid w:val="00F214F6"/>
    <w:rsid w:val="00F21509"/>
    <w:rsid w:val="00F2154F"/>
    <w:rsid w:val="00F215A4"/>
    <w:rsid w:val="00F215B3"/>
    <w:rsid w:val="00F21702"/>
    <w:rsid w:val="00F21728"/>
    <w:rsid w:val="00F21730"/>
    <w:rsid w:val="00F2173D"/>
    <w:rsid w:val="00F218CE"/>
    <w:rsid w:val="00F21913"/>
    <w:rsid w:val="00F2192D"/>
    <w:rsid w:val="00F2198F"/>
    <w:rsid w:val="00F2199B"/>
    <w:rsid w:val="00F219AC"/>
    <w:rsid w:val="00F219AD"/>
    <w:rsid w:val="00F219E7"/>
    <w:rsid w:val="00F219F5"/>
    <w:rsid w:val="00F21A19"/>
    <w:rsid w:val="00F21A2A"/>
    <w:rsid w:val="00F21A39"/>
    <w:rsid w:val="00F21A64"/>
    <w:rsid w:val="00F21A83"/>
    <w:rsid w:val="00F21AD5"/>
    <w:rsid w:val="00F21AF0"/>
    <w:rsid w:val="00F21B0E"/>
    <w:rsid w:val="00F21B1F"/>
    <w:rsid w:val="00F21B23"/>
    <w:rsid w:val="00F21B30"/>
    <w:rsid w:val="00F21B85"/>
    <w:rsid w:val="00F21BF1"/>
    <w:rsid w:val="00F21C1F"/>
    <w:rsid w:val="00F21C2B"/>
    <w:rsid w:val="00F21CB9"/>
    <w:rsid w:val="00F21CFD"/>
    <w:rsid w:val="00F21D18"/>
    <w:rsid w:val="00F21D4A"/>
    <w:rsid w:val="00F21D73"/>
    <w:rsid w:val="00F21DCF"/>
    <w:rsid w:val="00F21DFB"/>
    <w:rsid w:val="00F21E33"/>
    <w:rsid w:val="00F21E4A"/>
    <w:rsid w:val="00F21E84"/>
    <w:rsid w:val="00F21EE4"/>
    <w:rsid w:val="00F21F5C"/>
    <w:rsid w:val="00F21F70"/>
    <w:rsid w:val="00F21FDF"/>
    <w:rsid w:val="00F22009"/>
    <w:rsid w:val="00F22032"/>
    <w:rsid w:val="00F22045"/>
    <w:rsid w:val="00F220E8"/>
    <w:rsid w:val="00F22120"/>
    <w:rsid w:val="00F2213D"/>
    <w:rsid w:val="00F22145"/>
    <w:rsid w:val="00F22166"/>
    <w:rsid w:val="00F221D1"/>
    <w:rsid w:val="00F22233"/>
    <w:rsid w:val="00F22288"/>
    <w:rsid w:val="00F222D3"/>
    <w:rsid w:val="00F2234B"/>
    <w:rsid w:val="00F22356"/>
    <w:rsid w:val="00F223E4"/>
    <w:rsid w:val="00F22405"/>
    <w:rsid w:val="00F22418"/>
    <w:rsid w:val="00F22460"/>
    <w:rsid w:val="00F2247B"/>
    <w:rsid w:val="00F225AB"/>
    <w:rsid w:val="00F225B8"/>
    <w:rsid w:val="00F225C5"/>
    <w:rsid w:val="00F2260F"/>
    <w:rsid w:val="00F2264B"/>
    <w:rsid w:val="00F2266F"/>
    <w:rsid w:val="00F22679"/>
    <w:rsid w:val="00F2268D"/>
    <w:rsid w:val="00F226C9"/>
    <w:rsid w:val="00F226E3"/>
    <w:rsid w:val="00F22702"/>
    <w:rsid w:val="00F2274E"/>
    <w:rsid w:val="00F2277A"/>
    <w:rsid w:val="00F227AE"/>
    <w:rsid w:val="00F22823"/>
    <w:rsid w:val="00F228A8"/>
    <w:rsid w:val="00F228BE"/>
    <w:rsid w:val="00F228D7"/>
    <w:rsid w:val="00F228FC"/>
    <w:rsid w:val="00F229B5"/>
    <w:rsid w:val="00F22A54"/>
    <w:rsid w:val="00F22A5A"/>
    <w:rsid w:val="00F22A79"/>
    <w:rsid w:val="00F22A7F"/>
    <w:rsid w:val="00F22AFB"/>
    <w:rsid w:val="00F22B21"/>
    <w:rsid w:val="00F22B46"/>
    <w:rsid w:val="00F22B6B"/>
    <w:rsid w:val="00F22B73"/>
    <w:rsid w:val="00F22B94"/>
    <w:rsid w:val="00F22BF9"/>
    <w:rsid w:val="00F22C0E"/>
    <w:rsid w:val="00F22C38"/>
    <w:rsid w:val="00F22C64"/>
    <w:rsid w:val="00F22CA2"/>
    <w:rsid w:val="00F22CEF"/>
    <w:rsid w:val="00F22D14"/>
    <w:rsid w:val="00F22D1D"/>
    <w:rsid w:val="00F22D2F"/>
    <w:rsid w:val="00F22D32"/>
    <w:rsid w:val="00F22D47"/>
    <w:rsid w:val="00F22D9D"/>
    <w:rsid w:val="00F22E0C"/>
    <w:rsid w:val="00F22E13"/>
    <w:rsid w:val="00F22E40"/>
    <w:rsid w:val="00F22E96"/>
    <w:rsid w:val="00F22F6A"/>
    <w:rsid w:val="00F22F6D"/>
    <w:rsid w:val="00F22F74"/>
    <w:rsid w:val="00F22FAB"/>
    <w:rsid w:val="00F22FBD"/>
    <w:rsid w:val="00F22FCC"/>
    <w:rsid w:val="00F22FE8"/>
    <w:rsid w:val="00F23017"/>
    <w:rsid w:val="00F2303B"/>
    <w:rsid w:val="00F2306A"/>
    <w:rsid w:val="00F230C4"/>
    <w:rsid w:val="00F23122"/>
    <w:rsid w:val="00F23136"/>
    <w:rsid w:val="00F23146"/>
    <w:rsid w:val="00F2314A"/>
    <w:rsid w:val="00F23157"/>
    <w:rsid w:val="00F231DB"/>
    <w:rsid w:val="00F2323A"/>
    <w:rsid w:val="00F2324C"/>
    <w:rsid w:val="00F232C1"/>
    <w:rsid w:val="00F232D0"/>
    <w:rsid w:val="00F232F2"/>
    <w:rsid w:val="00F23346"/>
    <w:rsid w:val="00F2334F"/>
    <w:rsid w:val="00F2336A"/>
    <w:rsid w:val="00F23391"/>
    <w:rsid w:val="00F233E1"/>
    <w:rsid w:val="00F23408"/>
    <w:rsid w:val="00F2341A"/>
    <w:rsid w:val="00F2349E"/>
    <w:rsid w:val="00F234F8"/>
    <w:rsid w:val="00F23533"/>
    <w:rsid w:val="00F23547"/>
    <w:rsid w:val="00F23553"/>
    <w:rsid w:val="00F235B2"/>
    <w:rsid w:val="00F235E4"/>
    <w:rsid w:val="00F2362F"/>
    <w:rsid w:val="00F2365D"/>
    <w:rsid w:val="00F2366E"/>
    <w:rsid w:val="00F236BC"/>
    <w:rsid w:val="00F236C4"/>
    <w:rsid w:val="00F236F5"/>
    <w:rsid w:val="00F23720"/>
    <w:rsid w:val="00F2379E"/>
    <w:rsid w:val="00F237EA"/>
    <w:rsid w:val="00F23819"/>
    <w:rsid w:val="00F2381C"/>
    <w:rsid w:val="00F23833"/>
    <w:rsid w:val="00F23903"/>
    <w:rsid w:val="00F23978"/>
    <w:rsid w:val="00F23A34"/>
    <w:rsid w:val="00F23A3C"/>
    <w:rsid w:val="00F23A8E"/>
    <w:rsid w:val="00F23ABD"/>
    <w:rsid w:val="00F23ACC"/>
    <w:rsid w:val="00F23AF8"/>
    <w:rsid w:val="00F23B19"/>
    <w:rsid w:val="00F23B1F"/>
    <w:rsid w:val="00F23B5C"/>
    <w:rsid w:val="00F23B77"/>
    <w:rsid w:val="00F23BB6"/>
    <w:rsid w:val="00F23BFC"/>
    <w:rsid w:val="00F23C72"/>
    <w:rsid w:val="00F23C74"/>
    <w:rsid w:val="00F23C97"/>
    <w:rsid w:val="00F23CE6"/>
    <w:rsid w:val="00F23CFC"/>
    <w:rsid w:val="00F23D27"/>
    <w:rsid w:val="00F23D46"/>
    <w:rsid w:val="00F23D54"/>
    <w:rsid w:val="00F23D55"/>
    <w:rsid w:val="00F23DC8"/>
    <w:rsid w:val="00F23E61"/>
    <w:rsid w:val="00F23E95"/>
    <w:rsid w:val="00F23ED3"/>
    <w:rsid w:val="00F23EFA"/>
    <w:rsid w:val="00F23F1A"/>
    <w:rsid w:val="00F23F6E"/>
    <w:rsid w:val="00F23F7A"/>
    <w:rsid w:val="00F23F96"/>
    <w:rsid w:val="00F23FA3"/>
    <w:rsid w:val="00F23FD9"/>
    <w:rsid w:val="00F24018"/>
    <w:rsid w:val="00F2401C"/>
    <w:rsid w:val="00F24084"/>
    <w:rsid w:val="00F2408F"/>
    <w:rsid w:val="00F24152"/>
    <w:rsid w:val="00F24156"/>
    <w:rsid w:val="00F2415C"/>
    <w:rsid w:val="00F24185"/>
    <w:rsid w:val="00F24204"/>
    <w:rsid w:val="00F24227"/>
    <w:rsid w:val="00F24234"/>
    <w:rsid w:val="00F2424C"/>
    <w:rsid w:val="00F2425D"/>
    <w:rsid w:val="00F24274"/>
    <w:rsid w:val="00F242A6"/>
    <w:rsid w:val="00F242BB"/>
    <w:rsid w:val="00F242C1"/>
    <w:rsid w:val="00F242D6"/>
    <w:rsid w:val="00F242E0"/>
    <w:rsid w:val="00F242EE"/>
    <w:rsid w:val="00F242F0"/>
    <w:rsid w:val="00F243E3"/>
    <w:rsid w:val="00F2441C"/>
    <w:rsid w:val="00F24427"/>
    <w:rsid w:val="00F24432"/>
    <w:rsid w:val="00F2445C"/>
    <w:rsid w:val="00F24465"/>
    <w:rsid w:val="00F2449D"/>
    <w:rsid w:val="00F244A9"/>
    <w:rsid w:val="00F244D7"/>
    <w:rsid w:val="00F244EC"/>
    <w:rsid w:val="00F244ED"/>
    <w:rsid w:val="00F2453D"/>
    <w:rsid w:val="00F2455C"/>
    <w:rsid w:val="00F2457F"/>
    <w:rsid w:val="00F24650"/>
    <w:rsid w:val="00F246A1"/>
    <w:rsid w:val="00F24723"/>
    <w:rsid w:val="00F2475F"/>
    <w:rsid w:val="00F247EA"/>
    <w:rsid w:val="00F247EE"/>
    <w:rsid w:val="00F24825"/>
    <w:rsid w:val="00F24849"/>
    <w:rsid w:val="00F2486C"/>
    <w:rsid w:val="00F2487A"/>
    <w:rsid w:val="00F248B8"/>
    <w:rsid w:val="00F248D5"/>
    <w:rsid w:val="00F248E3"/>
    <w:rsid w:val="00F24961"/>
    <w:rsid w:val="00F2499A"/>
    <w:rsid w:val="00F24A05"/>
    <w:rsid w:val="00F24A20"/>
    <w:rsid w:val="00F24A3B"/>
    <w:rsid w:val="00F24A53"/>
    <w:rsid w:val="00F24AEF"/>
    <w:rsid w:val="00F24AF1"/>
    <w:rsid w:val="00F24B56"/>
    <w:rsid w:val="00F24B77"/>
    <w:rsid w:val="00F24BA6"/>
    <w:rsid w:val="00F24BFD"/>
    <w:rsid w:val="00F24C0D"/>
    <w:rsid w:val="00F24C27"/>
    <w:rsid w:val="00F24C4A"/>
    <w:rsid w:val="00F24CBC"/>
    <w:rsid w:val="00F24D24"/>
    <w:rsid w:val="00F24D72"/>
    <w:rsid w:val="00F24DBD"/>
    <w:rsid w:val="00F24DE1"/>
    <w:rsid w:val="00F24DFE"/>
    <w:rsid w:val="00F24E49"/>
    <w:rsid w:val="00F24EB4"/>
    <w:rsid w:val="00F24EB8"/>
    <w:rsid w:val="00F24F6D"/>
    <w:rsid w:val="00F24F98"/>
    <w:rsid w:val="00F24FC5"/>
    <w:rsid w:val="00F250CD"/>
    <w:rsid w:val="00F250FF"/>
    <w:rsid w:val="00F251AF"/>
    <w:rsid w:val="00F251E4"/>
    <w:rsid w:val="00F251EA"/>
    <w:rsid w:val="00F25221"/>
    <w:rsid w:val="00F25231"/>
    <w:rsid w:val="00F25255"/>
    <w:rsid w:val="00F2525C"/>
    <w:rsid w:val="00F25263"/>
    <w:rsid w:val="00F25266"/>
    <w:rsid w:val="00F252AA"/>
    <w:rsid w:val="00F252D7"/>
    <w:rsid w:val="00F25341"/>
    <w:rsid w:val="00F25351"/>
    <w:rsid w:val="00F253BA"/>
    <w:rsid w:val="00F2548B"/>
    <w:rsid w:val="00F254A6"/>
    <w:rsid w:val="00F254FC"/>
    <w:rsid w:val="00F2551E"/>
    <w:rsid w:val="00F2559F"/>
    <w:rsid w:val="00F255A3"/>
    <w:rsid w:val="00F25638"/>
    <w:rsid w:val="00F25661"/>
    <w:rsid w:val="00F25684"/>
    <w:rsid w:val="00F2569F"/>
    <w:rsid w:val="00F256AA"/>
    <w:rsid w:val="00F256AC"/>
    <w:rsid w:val="00F256E7"/>
    <w:rsid w:val="00F25745"/>
    <w:rsid w:val="00F257B5"/>
    <w:rsid w:val="00F25821"/>
    <w:rsid w:val="00F25879"/>
    <w:rsid w:val="00F2587A"/>
    <w:rsid w:val="00F2588B"/>
    <w:rsid w:val="00F258DB"/>
    <w:rsid w:val="00F2595C"/>
    <w:rsid w:val="00F2595E"/>
    <w:rsid w:val="00F259D6"/>
    <w:rsid w:val="00F25A50"/>
    <w:rsid w:val="00F25A58"/>
    <w:rsid w:val="00F25AF0"/>
    <w:rsid w:val="00F25AFD"/>
    <w:rsid w:val="00F25B50"/>
    <w:rsid w:val="00F25B78"/>
    <w:rsid w:val="00F25B95"/>
    <w:rsid w:val="00F25BA1"/>
    <w:rsid w:val="00F25BAB"/>
    <w:rsid w:val="00F25BF9"/>
    <w:rsid w:val="00F25C49"/>
    <w:rsid w:val="00F25C6C"/>
    <w:rsid w:val="00F25C73"/>
    <w:rsid w:val="00F25C74"/>
    <w:rsid w:val="00F25C83"/>
    <w:rsid w:val="00F25CA5"/>
    <w:rsid w:val="00F25D14"/>
    <w:rsid w:val="00F25D62"/>
    <w:rsid w:val="00F25D76"/>
    <w:rsid w:val="00F25D7D"/>
    <w:rsid w:val="00F25D91"/>
    <w:rsid w:val="00F25D96"/>
    <w:rsid w:val="00F25DAA"/>
    <w:rsid w:val="00F25DB0"/>
    <w:rsid w:val="00F25DCB"/>
    <w:rsid w:val="00F25DCC"/>
    <w:rsid w:val="00F25DE7"/>
    <w:rsid w:val="00F25DE8"/>
    <w:rsid w:val="00F25DF9"/>
    <w:rsid w:val="00F25E2D"/>
    <w:rsid w:val="00F25E67"/>
    <w:rsid w:val="00F25EA3"/>
    <w:rsid w:val="00F25EF7"/>
    <w:rsid w:val="00F25EFA"/>
    <w:rsid w:val="00F25EFC"/>
    <w:rsid w:val="00F25F06"/>
    <w:rsid w:val="00F25F26"/>
    <w:rsid w:val="00F25F34"/>
    <w:rsid w:val="00F25F60"/>
    <w:rsid w:val="00F25F71"/>
    <w:rsid w:val="00F25FD0"/>
    <w:rsid w:val="00F25FED"/>
    <w:rsid w:val="00F26074"/>
    <w:rsid w:val="00F260E8"/>
    <w:rsid w:val="00F2613B"/>
    <w:rsid w:val="00F2618B"/>
    <w:rsid w:val="00F2618D"/>
    <w:rsid w:val="00F261FA"/>
    <w:rsid w:val="00F2620D"/>
    <w:rsid w:val="00F26262"/>
    <w:rsid w:val="00F26284"/>
    <w:rsid w:val="00F2628E"/>
    <w:rsid w:val="00F262BA"/>
    <w:rsid w:val="00F262C3"/>
    <w:rsid w:val="00F262F8"/>
    <w:rsid w:val="00F262FD"/>
    <w:rsid w:val="00F26305"/>
    <w:rsid w:val="00F2633B"/>
    <w:rsid w:val="00F2635E"/>
    <w:rsid w:val="00F2637A"/>
    <w:rsid w:val="00F26380"/>
    <w:rsid w:val="00F263D6"/>
    <w:rsid w:val="00F2642D"/>
    <w:rsid w:val="00F26435"/>
    <w:rsid w:val="00F2643A"/>
    <w:rsid w:val="00F2647F"/>
    <w:rsid w:val="00F26489"/>
    <w:rsid w:val="00F264BB"/>
    <w:rsid w:val="00F264D5"/>
    <w:rsid w:val="00F264FD"/>
    <w:rsid w:val="00F26534"/>
    <w:rsid w:val="00F26571"/>
    <w:rsid w:val="00F265C6"/>
    <w:rsid w:val="00F26604"/>
    <w:rsid w:val="00F2662D"/>
    <w:rsid w:val="00F26681"/>
    <w:rsid w:val="00F26689"/>
    <w:rsid w:val="00F26732"/>
    <w:rsid w:val="00F26766"/>
    <w:rsid w:val="00F267BE"/>
    <w:rsid w:val="00F267C2"/>
    <w:rsid w:val="00F26808"/>
    <w:rsid w:val="00F26836"/>
    <w:rsid w:val="00F26846"/>
    <w:rsid w:val="00F268A8"/>
    <w:rsid w:val="00F26909"/>
    <w:rsid w:val="00F26947"/>
    <w:rsid w:val="00F2695A"/>
    <w:rsid w:val="00F269B7"/>
    <w:rsid w:val="00F269CF"/>
    <w:rsid w:val="00F26A77"/>
    <w:rsid w:val="00F26AC0"/>
    <w:rsid w:val="00F26ADB"/>
    <w:rsid w:val="00F26AF4"/>
    <w:rsid w:val="00F26B32"/>
    <w:rsid w:val="00F26B44"/>
    <w:rsid w:val="00F26B49"/>
    <w:rsid w:val="00F26B7A"/>
    <w:rsid w:val="00F26B9D"/>
    <w:rsid w:val="00F26BBE"/>
    <w:rsid w:val="00F26BD6"/>
    <w:rsid w:val="00F26BE8"/>
    <w:rsid w:val="00F26C08"/>
    <w:rsid w:val="00F26C5A"/>
    <w:rsid w:val="00F26C89"/>
    <w:rsid w:val="00F26C8A"/>
    <w:rsid w:val="00F26C8F"/>
    <w:rsid w:val="00F26D0F"/>
    <w:rsid w:val="00F26D82"/>
    <w:rsid w:val="00F26DE0"/>
    <w:rsid w:val="00F26DF6"/>
    <w:rsid w:val="00F26DFC"/>
    <w:rsid w:val="00F26DFF"/>
    <w:rsid w:val="00F26EA8"/>
    <w:rsid w:val="00F26F2C"/>
    <w:rsid w:val="00F26F66"/>
    <w:rsid w:val="00F26FA8"/>
    <w:rsid w:val="00F26FEE"/>
    <w:rsid w:val="00F2703F"/>
    <w:rsid w:val="00F27048"/>
    <w:rsid w:val="00F270ED"/>
    <w:rsid w:val="00F270F8"/>
    <w:rsid w:val="00F27114"/>
    <w:rsid w:val="00F2713F"/>
    <w:rsid w:val="00F27162"/>
    <w:rsid w:val="00F27185"/>
    <w:rsid w:val="00F271A1"/>
    <w:rsid w:val="00F271A4"/>
    <w:rsid w:val="00F271B6"/>
    <w:rsid w:val="00F2730D"/>
    <w:rsid w:val="00F27331"/>
    <w:rsid w:val="00F27397"/>
    <w:rsid w:val="00F273EC"/>
    <w:rsid w:val="00F2742A"/>
    <w:rsid w:val="00F27461"/>
    <w:rsid w:val="00F274BC"/>
    <w:rsid w:val="00F274C6"/>
    <w:rsid w:val="00F2753A"/>
    <w:rsid w:val="00F2757B"/>
    <w:rsid w:val="00F2758A"/>
    <w:rsid w:val="00F27591"/>
    <w:rsid w:val="00F27593"/>
    <w:rsid w:val="00F275BB"/>
    <w:rsid w:val="00F275D5"/>
    <w:rsid w:val="00F2760C"/>
    <w:rsid w:val="00F27636"/>
    <w:rsid w:val="00F27651"/>
    <w:rsid w:val="00F27722"/>
    <w:rsid w:val="00F27763"/>
    <w:rsid w:val="00F2778D"/>
    <w:rsid w:val="00F27798"/>
    <w:rsid w:val="00F277A0"/>
    <w:rsid w:val="00F277E3"/>
    <w:rsid w:val="00F277FF"/>
    <w:rsid w:val="00F27813"/>
    <w:rsid w:val="00F278A4"/>
    <w:rsid w:val="00F278B4"/>
    <w:rsid w:val="00F278B6"/>
    <w:rsid w:val="00F2790E"/>
    <w:rsid w:val="00F27927"/>
    <w:rsid w:val="00F27987"/>
    <w:rsid w:val="00F2798A"/>
    <w:rsid w:val="00F27998"/>
    <w:rsid w:val="00F279FA"/>
    <w:rsid w:val="00F27A3D"/>
    <w:rsid w:val="00F27AD8"/>
    <w:rsid w:val="00F27AF9"/>
    <w:rsid w:val="00F27B07"/>
    <w:rsid w:val="00F27C62"/>
    <w:rsid w:val="00F27CD0"/>
    <w:rsid w:val="00F27D1A"/>
    <w:rsid w:val="00F27D25"/>
    <w:rsid w:val="00F27D33"/>
    <w:rsid w:val="00F27D37"/>
    <w:rsid w:val="00F27D55"/>
    <w:rsid w:val="00F27DBF"/>
    <w:rsid w:val="00F27DC3"/>
    <w:rsid w:val="00F27E43"/>
    <w:rsid w:val="00F27E53"/>
    <w:rsid w:val="00F27E97"/>
    <w:rsid w:val="00F27ED9"/>
    <w:rsid w:val="00F27F34"/>
    <w:rsid w:val="00F27F6E"/>
    <w:rsid w:val="00F27F9E"/>
    <w:rsid w:val="00F27FFB"/>
    <w:rsid w:val="00F3000D"/>
    <w:rsid w:val="00F3001B"/>
    <w:rsid w:val="00F30081"/>
    <w:rsid w:val="00F30157"/>
    <w:rsid w:val="00F3016F"/>
    <w:rsid w:val="00F301B5"/>
    <w:rsid w:val="00F301BF"/>
    <w:rsid w:val="00F301D4"/>
    <w:rsid w:val="00F301E6"/>
    <w:rsid w:val="00F301F8"/>
    <w:rsid w:val="00F3029E"/>
    <w:rsid w:val="00F302DF"/>
    <w:rsid w:val="00F302E8"/>
    <w:rsid w:val="00F302F7"/>
    <w:rsid w:val="00F302FB"/>
    <w:rsid w:val="00F30375"/>
    <w:rsid w:val="00F303B4"/>
    <w:rsid w:val="00F303B9"/>
    <w:rsid w:val="00F30426"/>
    <w:rsid w:val="00F30458"/>
    <w:rsid w:val="00F3047C"/>
    <w:rsid w:val="00F304A4"/>
    <w:rsid w:val="00F30546"/>
    <w:rsid w:val="00F30581"/>
    <w:rsid w:val="00F30604"/>
    <w:rsid w:val="00F30631"/>
    <w:rsid w:val="00F3063A"/>
    <w:rsid w:val="00F3067F"/>
    <w:rsid w:val="00F30684"/>
    <w:rsid w:val="00F30690"/>
    <w:rsid w:val="00F306DE"/>
    <w:rsid w:val="00F306E4"/>
    <w:rsid w:val="00F3073D"/>
    <w:rsid w:val="00F30758"/>
    <w:rsid w:val="00F30771"/>
    <w:rsid w:val="00F30782"/>
    <w:rsid w:val="00F3079B"/>
    <w:rsid w:val="00F307DA"/>
    <w:rsid w:val="00F3084E"/>
    <w:rsid w:val="00F30853"/>
    <w:rsid w:val="00F30872"/>
    <w:rsid w:val="00F3087C"/>
    <w:rsid w:val="00F308B6"/>
    <w:rsid w:val="00F308CB"/>
    <w:rsid w:val="00F30908"/>
    <w:rsid w:val="00F3091B"/>
    <w:rsid w:val="00F30949"/>
    <w:rsid w:val="00F3094D"/>
    <w:rsid w:val="00F30952"/>
    <w:rsid w:val="00F30961"/>
    <w:rsid w:val="00F3098F"/>
    <w:rsid w:val="00F309B7"/>
    <w:rsid w:val="00F309ED"/>
    <w:rsid w:val="00F30A0F"/>
    <w:rsid w:val="00F30A57"/>
    <w:rsid w:val="00F30ABA"/>
    <w:rsid w:val="00F30AE7"/>
    <w:rsid w:val="00F30B19"/>
    <w:rsid w:val="00F30B3A"/>
    <w:rsid w:val="00F30C16"/>
    <w:rsid w:val="00F30C30"/>
    <w:rsid w:val="00F30CD9"/>
    <w:rsid w:val="00F30D73"/>
    <w:rsid w:val="00F30D83"/>
    <w:rsid w:val="00F30D89"/>
    <w:rsid w:val="00F30DD6"/>
    <w:rsid w:val="00F30EA5"/>
    <w:rsid w:val="00F30EBE"/>
    <w:rsid w:val="00F30ED0"/>
    <w:rsid w:val="00F30F70"/>
    <w:rsid w:val="00F30F85"/>
    <w:rsid w:val="00F31014"/>
    <w:rsid w:val="00F31046"/>
    <w:rsid w:val="00F310BF"/>
    <w:rsid w:val="00F310C2"/>
    <w:rsid w:val="00F310CA"/>
    <w:rsid w:val="00F311A0"/>
    <w:rsid w:val="00F311C7"/>
    <w:rsid w:val="00F311D7"/>
    <w:rsid w:val="00F311E8"/>
    <w:rsid w:val="00F31286"/>
    <w:rsid w:val="00F3128D"/>
    <w:rsid w:val="00F312EC"/>
    <w:rsid w:val="00F31322"/>
    <w:rsid w:val="00F31335"/>
    <w:rsid w:val="00F3135D"/>
    <w:rsid w:val="00F31379"/>
    <w:rsid w:val="00F31388"/>
    <w:rsid w:val="00F313B5"/>
    <w:rsid w:val="00F313B9"/>
    <w:rsid w:val="00F3141F"/>
    <w:rsid w:val="00F31462"/>
    <w:rsid w:val="00F31494"/>
    <w:rsid w:val="00F314E2"/>
    <w:rsid w:val="00F31504"/>
    <w:rsid w:val="00F31510"/>
    <w:rsid w:val="00F315A2"/>
    <w:rsid w:val="00F315BB"/>
    <w:rsid w:val="00F3162E"/>
    <w:rsid w:val="00F316BF"/>
    <w:rsid w:val="00F31717"/>
    <w:rsid w:val="00F31792"/>
    <w:rsid w:val="00F31868"/>
    <w:rsid w:val="00F3188A"/>
    <w:rsid w:val="00F318CC"/>
    <w:rsid w:val="00F318F7"/>
    <w:rsid w:val="00F31974"/>
    <w:rsid w:val="00F319A0"/>
    <w:rsid w:val="00F319EC"/>
    <w:rsid w:val="00F31A57"/>
    <w:rsid w:val="00F31AB8"/>
    <w:rsid w:val="00F31B16"/>
    <w:rsid w:val="00F31B17"/>
    <w:rsid w:val="00F31B34"/>
    <w:rsid w:val="00F31B82"/>
    <w:rsid w:val="00F31BE3"/>
    <w:rsid w:val="00F31BFC"/>
    <w:rsid w:val="00F31C3E"/>
    <w:rsid w:val="00F31C51"/>
    <w:rsid w:val="00F31CD7"/>
    <w:rsid w:val="00F31CDC"/>
    <w:rsid w:val="00F31CF1"/>
    <w:rsid w:val="00F31D0A"/>
    <w:rsid w:val="00F31D0C"/>
    <w:rsid w:val="00F31D8F"/>
    <w:rsid w:val="00F31D96"/>
    <w:rsid w:val="00F31DBE"/>
    <w:rsid w:val="00F31DC4"/>
    <w:rsid w:val="00F31DC8"/>
    <w:rsid w:val="00F31DCB"/>
    <w:rsid w:val="00F31DDD"/>
    <w:rsid w:val="00F31E33"/>
    <w:rsid w:val="00F31EA8"/>
    <w:rsid w:val="00F31EEE"/>
    <w:rsid w:val="00F31F17"/>
    <w:rsid w:val="00F31F59"/>
    <w:rsid w:val="00F31F78"/>
    <w:rsid w:val="00F31F97"/>
    <w:rsid w:val="00F31FBA"/>
    <w:rsid w:val="00F31FFE"/>
    <w:rsid w:val="00F3203A"/>
    <w:rsid w:val="00F3206B"/>
    <w:rsid w:val="00F3208A"/>
    <w:rsid w:val="00F320A6"/>
    <w:rsid w:val="00F320B2"/>
    <w:rsid w:val="00F3214B"/>
    <w:rsid w:val="00F32181"/>
    <w:rsid w:val="00F32186"/>
    <w:rsid w:val="00F321B2"/>
    <w:rsid w:val="00F321DB"/>
    <w:rsid w:val="00F32238"/>
    <w:rsid w:val="00F32359"/>
    <w:rsid w:val="00F323B0"/>
    <w:rsid w:val="00F323CE"/>
    <w:rsid w:val="00F323DF"/>
    <w:rsid w:val="00F3241D"/>
    <w:rsid w:val="00F3242D"/>
    <w:rsid w:val="00F32431"/>
    <w:rsid w:val="00F32460"/>
    <w:rsid w:val="00F3246F"/>
    <w:rsid w:val="00F32479"/>
    <w:rsid w:val="00F32480"/>
    <w:rsid w:val="00F32494"/>
    <w:rsid w:val="00F32496"/>
    <w:rsid w:val="00F324A8"/>
    <w:rsid w:val="00F324AB"/>
    <w:rsid w:val="00F324D0"/>
    <w:rsid w:val="00F324DE"/>
    <w:rsid w:val="00F3251A"/>
    <w:rsid w:val="00F3251D"/>
    <w:rsid w:val="00F3254D"/>
    <w:rsid w:val="00F32567"/>
    <w:rsid w:val="00F325B0"/>
    <w:rsid w:val="00F325E2"/>
    <w:rsid w:val="00F32614"/>
    <w:rsid w:val="00F32630"/>
    <w:rsid w:val="00F32651"/>
    <w:rsid w:val="00F3267E"/>
    <w:rsid w:val="00F3269B"/>
    <w:rsid w:val="00F326B1"/>
    <w:rsid w:val="00F326F0"/>
    <w:rsid w:val="00F32751"/>
    <w:rsid w:val="00F32781"/>
    <w:rsid w:val="00F3279B"/>
    <w:rsid w:val="00F327F7"/>
    <w:rsid w:val="00F32816"/>
    <w:rsid w:val="00F3281E"/>
    <w:rsid w:val="00F32861"/>
    <w:rsid w:val="00F32890"/>
    <w:rsid w:val="00F328AC"/>
    <w:rsid w:val="00F328C3"/>
    <w:rsid w:val="00F328C9"/>
    <w:rsid w:val="00F3295E"/>
    <w:rsid w:val="00F329BF"/>
    <w:rsid w:val="00F329C0"/>
    <w:rsid w:val="00F32A03"/>
    <w:rsid w:val="00F32A1C"/>
    <w:rsid w:val="00F32A2C"/>
    <w:rsid w:val="00F32A90"/>
    <w:rsid w:val="00F32B03"/>
    <w:rsid w:val="00F32BAB"/>
    <w:rsid w:val="00F32BB1"/>
    <w:rsid w:val="00F32BDA"/>
    <w:rsid w:val="00F32C42"/>
    <w:rsid w:val="00F32C4D"/>
    <w:rsid w:val="00F32D45"/>
    <w:rsid w:val="00F32D52"/>
    <w:rsid w:val="00F32D88"/>
    <w:rsid w:val="00F32DC7"/>
    <w:rsid w:val="00F32DD9"/>
    <w:rsid w:val="00F32DF0"/>
    <w:rsid w:val="00F32E18"/>
    <w:rsid w:val="00F32E53"/>
    <w:rsid w:val="00F32E9A"/>
    <w:rsid w:val="00F32EA0"/>
    <w:rsid w:val="00F32F3D"/>
    <w:rsid w:val="00F32F47"/>
    <w:rsid w:val="00F32F83"/>
    <w:rsid w:val="00F32F86"/>
    <w:rsid w:val="00F32FA3"/>
    <w:rsid w:val="00F33035"/>
    <w:rsid w:val="00F3304F"/>
    <w:rsid w:val="00F3305B"/>
    <w:rsid w:val="00F3305D"/>
    <w:rsid w:val="00F33081"/>
    <w:rsid w:val="00F33084"/>
    <w:rsid w:val="00F330DE"/>
    <w:rsid w:val="00F330FF"/>
    <w:rsid w:val="00F33124"/>
    <w:rsid w:val="00F33168"/>
    <w:rsid w:val="00F33194"/>
    <w:rsid w:val="00F3319A"/>
    <w:rsid w:val="00F3325C"/>
    <w:rsid w:val="00F3326B"/>
    <w:rsid w:val="00F3328D"/>
    <w:rsid w:val="00F33303"/>
    <w:rsid w:val="00F33309"/>
    <w:rsid w:val="00F3337E"/>
    <w:rsid w:val="00F33392"/>
    <w:rsid w:val="00F333C9"/>
    <w:rsid w:val="00F333DD"/>
    <w:rsid w:val="00F3340B"/>
    <w:rsid w:val="00F334A6"/>
    <w:rsid w:val="00F334AE"/>
    <w:rsid w:val="00F3352C"/>
    <w:rsid w:val="00F33541"/>
    <w:rsid w:val="00F335DC"/>
    <w:rsid w:val="00F335F4"/>
    <w:rsid w:val="00F3362B"/>
    <w:rsid w:val="00F3368B"/>
    <w:rsid w:val="00F33798"/>
    <w:rsid w:val="00F337E5"/>
    <w:rsid w:val="00F33806"/>
    <w:rsid w:val="00F3381E"/>
    <w:rsid w:val="00F3386F"/>
    <w:rsid w:val="00F33890"/>
    <w:rsid w:val="00F338DC"/>
    <w:rsid w:val="00F3390A"/>
    <w:rsid w:val="00F33915"/>
    <w:rsid w:val="00F33946"/>
    <w:rsid w:val="00F3398F"/>
    <w:rsid w:val="00F339C2"/>
    <w:rsid w:val="00F33A1A"/>
    <w:rsid w:val="00F33A3F"/>
    <w:rsid w:val="00F33A49"/>
    <w:rsid w:val="00F33A81"/>
    <w:rsid w:val="00F33A84"/>
    <w:rsid w:val="00F33AB5"/>
    <w:rsid w:val="00F33AD4"/>
    <w:rsid w:val="00F33B05"/>
    <w:rsid w:val="00F33B94"/>
    <w:rsid w:val="00F33BD6"/>
    <w:rsid w:val="00F33C23"/>
    <w:rsid w:val="00F33CC8"/>
    <w:rsid w:val="00F33CE6"/>
    <w:rsid w:val="00F33D40"/>
    <w:rsid w:val="00F33D74"/>
    <w:rsid w:val="00F33D96"/>
    <w:rsid w:val="00F33DC4"/>
    <w:rsid w:val="00F33E13"/>
    <w:rsid w:val="00F33E97"/>
    <w:rsid w:val="00F33EC0"/>
    <w:rsid w:val="00F33EE0"/>
    <w:rsid w:val="00F33F21"/>
    <w:rsid w:val="00F33F4E"/>
    <w:rsid w:val="00F33F86"/>
    <w:rsid w:val="00F3401A"/>
    <w:rsid w:val="00F34027"/>
    <w:rsid w:val="00F3405B"/>
    <w:rsid w:val="00F34076"/>
    <w:rsid w:val="00F340F3"/>
    <w:rsid w:val="00F34146"/>
    <w:rsid w:val="00F34162"/>
    <w:rsid w:val="00F341A2"/>
    <w:rsid w:val="00F341E5"/>
    <w:rsid w:val="00F34281"/>
    <w:rsid w:val="00F34287"/>
    <w:rsid w:val="00F343B2"/>
    <w:rsid w:val="00F343E1"/>
    <w:rsid w:val="00F3440F"/>
    <w:rsid w:val="00F34429"/>
    <w:rsid w:val="00F34431"/>
    <w:rsid w:val="00F34480"/>
    <w:rsid w:val="00F344B9"/>
    <w:rsid w:val="00F344D7"/>
    <w:rsid w:val="00F344E1"/>
    <w:rsid w:val="00F34528"/>
    <w:rsid w:val="00F3456A"/>
    <w:rsid w:val="00F3457C"/>
    <w:rsid w:val="00F34583"/>
    <w:rsid w:val="00F34588"/>
    <w:rsid w:val="00F34599"/>
    <w:rsid w:val="00F345CE"/>
    <w:rsid w:val="00F345D4"/>
    <w:rsid w:val="00F3460D"/>
    <w:rsid w:val="00F34643"/>
    <w:rsid w:val="00F34682"/>
    <w:rsid w:val="00F3468D"/>
    <w:rsid w:val="00F346C0"/>
    <w:rsid w:val="00F346E6"/>
    <w:rsid w:val="00F346F1"/>
    <w:rsid w:val="00F3479F"/>
    <w:rsid w:val="00F347C6"/>
    <w:rsid w:val="00F347D8"/>
    <w:rsid w:val="00F348B7"/>
    <w:rsid w:val="00F348C2"/>
    <w:rsid w:val="00F348D5"/>
    <w:rsid w:val="00F3499A"/>
    <w:rsid w:val="00F349CD"/>
    <w:rsid w:val="00F349EB"/>
    <w:rsid w:val="00F34A33"/>
    <w:rsid w:val="00F34A41"/>
    <w:rsid w:val="00F34A55"/>
    <w:rsid w:val="00F34A59"/>
    <w:rsid w:val="00F34A68"/>
    <w:rsid w:val="00F34A98"/>
    <w:rsid w:val="00F34A9B"/>
    <w:rsid w:val="00F34AB9"/>
    <w:rsid w:val="00F34B06"/>
    <w:rsid w:val="00F34B25"/>
    <w:rsid w:val="00F34BC0"/>
    <w:rsid w:val="00F34C23"/>
    <w:rsid w:val="00F34C33"/>
    <w:rsid w:val="00F34C42"/>
    <w:rsid w:val="00F34C7C"/>
    <w:rsid w:val="00F34C97"/>
    <w:rsid w:val="00F34CA3"/>
    <w:rsid w:val="00F34CE8"/>
    <w:rsid w:val="00F34D46"/>
    <w:rsid w:val="00F34D8B"/>
    <w:rsid w:val="00F34D8C"/>
    <w:rsid w:val="00F34D9E"/>
    <w:rsid w:val="00F34DCD"/>
    <w:rsid w:val="00F34DF4"/>
    <w:rsid w:val="00F34DF6"/>
    <w:rsid w:val="00F34E1B"/>
    <w:rsid w:val="00F34E28"/>
    <w:rsid w:val="00F34E33"/>
    <w:rsid w:val="00F34E69"/>
    <w:rsid w:val="00F34EAC"/>
    <w:rsid w:val="00F34F26"/>
    <w:rsid w:val="00F34F32"/>
    <w:rsid w:val="00F34F47"/>
    <w:rsid w:val="00F34F55"/>
    <w:rsid w:val="00F34FC8"/>
    <w:rsid w:val="00F34FE8"/>
    <w:rsid w:val="00F35056"/>
    <w:rsid w:val="00F3508C"/>
    <w:rsid w:val="00F350A3"/>
    <w:rsid w:val="00F350D3"/>
    <w:rsid w:val="00F350E2"/>
    <w:rsid w:val="00F35104"/>
    <w:rsid w:val="00F35115"/>
    <w:rsid w:val="00F35126"/>
    <w:rsid w:val="00F35172"/>
    <w:rsid w:val="00F3517F"/>
    <w:rsid w:val="00F35183"/>
    <w:rsid w:val="00F35186"/>
    <w:rsid w:val="00F35206"/>
    <w:rsid w:val="00F35260"/>
    <w:rsid w:val="00F35286"/>
    <w:rsid w:val="00F3529F"/>
    <w:rsid w:val="00F352B0"/>
    <w:rsid w:val="00F352CE"/>
    <w:rsid w:val="00F352D4"/>
    <w:rsid w:val="00F352D7"/>
    <w:rsid w:val="00F352DD"/>
    <w:rsid w:val="00F352F7"/>
    <w:rsid w:val="00F35359"/>
    <w:rsid w:val="00F35388"/>
    <w:rsid w:val="00F35389"/>
    <w:rsid w:val="00F3539B"/>
    <w:rsid w:val="00F353C2"/>
    <w:rsid w:val="00F35427"/>
    <w:rsid w:val="00F35446"/>
    <w:rsid w:val="00F354CE"/>
    <w:rsid w:val="00F35519"/>
    <w:rsid w:val="00F3552B"/>
    <w:rsid w:val="00F3552F"/>
    <w:rsid w:val="00F35543"/>
    <w:rsid w:val="00F355AF"/>
    <w:rsid w:val="00F35639"/>
    <w:rsid w:val="00F35646"/>
    <w:rsid w:val="00F35693"/>
    <w:rsid w:val="00F356D7"/>
    <w:rsid w:val="00F356EA"/>
    <w:rsid w:val="00F35714"/>
    <w:rsid w:val="00F35715"/>
    <w:rsid w:val="00F3575F"/>
    <w:rsid w:val="00F357A8"/>
    <w:rsid w:val="00F35802"/>
    <w:rsid w:val="00F35810"/>
    <w:rsid w:val="00F3581C"/>
    <w:rsid w:val="00F35843"/>
    <w:rsid w:val="00F3587E"/>
    <w:rsid w:val="00F358B9"/>
    <w:rsid w:val="00F358EF"/>
    <w:rsid w:val="00F35995"/>
    <w:rsid w:val="00F359F9"/>
    <w:rsid w:val="00F35A72"/>
    <w:rsid w:val="00F35AF1"/>
    <w:rsid w:val="00F35BBC"/>
    <w:rsid w:val="00F35BD9"/>
    <w:rsid w:val="00F35BF8"/>
    <w:rsid w:val="00F35C05"/>
    <w:rsid w:val="00F35C19"/>
    <w:rsid w:val="00F35C23"/>
    <w:rsid w:val="00F35C33"/>
    <w:rsid w:val="00F35C4D"/>
    <w:rsid w:val="00F35C87"/>
    <w:rsid w:val="00F35CA0"/>
    <w:rsid w:val="00F35CB7"/>
    <w:rsid w:val="00F35CDC"/>
    <w:rsid w:val="00F35D05"/>
    <w:rsid w:val="00F35D3F"/>
    <w:rsid w:val="00F35DB2"/>
    <w:rsid w:val="00F35ECE"/>
    <w:rsid w:val="00F35F33"/>
    <w:rsid w:val="00F35FBF"/>
    <w:rsid w:val="00F35FD9"/>
    <w:rsid w:val="00F36012"/>
    <w:rsid w:val="00F3609C"/>
    <w:rsid w:val="00F360AE"/>
    <w:rsid w:val="00F3612B"/>
    <w:rsid w:val="00F36206"/>
    <w:rsid w:val="00F36220"/>
    <w:rsid w:val="00F36234"/>
    <w:rsid w:val="00F3626D"/>
    <w:rsid w:val="00F36272"/>
    <w:rsid w:val="00F3627B"/>
    <w:rsid w:val="00F362B5"/>
    <w:rsid w:val="00F3636D"/>
    <w:rsid w:val="00F363A5"/>
    <w:rsid w:val="00F363C8"/>
    <w:rsid w:val="00F363F6"/>
    <w:rsid w:val="00F36410"/>
    <w:rsid w:val="00F3641A"/>
    <w:rsid w:val="00F3643A"/>
    <w:rsid w:val="00F3646C"/>
    <w:rsid w:val="00F36498"/>
    <w:rsid w:val="00F3649F"/>
    <w:rsid w:val="00F364C6"/>
    <w:rsid w:val="00F364C9"/>
    <w:rsid w:val="00F364CB"/>
    <w:rsid w:val="00F364E0"/>
    <w:rsid w:val="00F364E4"/>
    <w:rsid w:val="00F364FA"/>
    <w:rsid w:val="00F364FF"/>
    <w:rsid w:val="00F36511"/>
    <w:rsid w:val="00F36578"/>
    <w:rsid w:val="00F365C6"/>
    <w:rsid w:val="00F365E4"/>
    <w:rsid w:val="00F365F1"/>
    <w:rsid w:val="00F3660D"/>
    <w:rsid w:val="00F3670D"/>
    <w:rsid w:val="00F3676B"/>
    <w:rsid w:val="00F36784"/>
    <w:rsid w:val="00F367BE"/>
    <w:rsid w:val="00F367E7"/>
    <w:rsid w:val="00F367FD"/>
    <w:rsid w:val="00F3682E"/>
    <w:rsid w:val="00F36850"/>
    <w:rsid w:val="00F3685F"/>
    <w:rsid w:val="00F36861"/>
    <w:rsid w:val="00F368A4"/>
    <w:rsid w:val="00F36903"/>
    <w:rsid w:val="00F36913"/>
    <w:rsid w:val="00F369B1"/>
    <w:rsid w:val="00F369C3"/>
    <w:rsid w:val="00F369D4"/>
    <w:rsid w:val="00F369F3"/>
    <w:rsid w:val="00F36A24"/>
    <w:rsid w:val="00F36A2E"/>
    <w:rsid w:val="00F36A44"/>
    <w:rsid w:val="00F36ACD"/>
    <w:rsid w:val="00F36AE0"/>
    <w:rsid w:val="00F36BB3"/>
    <w:rsid w:val="00F36C58"/>
    <w:rsid w:val="00F36C6C"/>
    <w:rsid w:val="00F36C6D"/>
    <w:rsid w:val="00F36C8B"/>
    <w:rsid w:val="00F36C93"/>
    <w:rsid w:val="00F36CB9"/>
    <w:rsid w:val="00F36CBC"/>
    <w:rsid w:val="00F36CDE"/>
    <w:rsid w:val="00F36D80"/>
    <w:rsid w:val="00F36DA9"/>
    <w:rsid w:val="00F36E6C"/>
    <w:rsid w:val="00F36EA1"/>
    <w:rsid w:val="00F36EE3"/>
    <w:rsid w:val="00F36EE5"/>
    <w:rsid w:val="00F36EED"/>
    <w:rsid w:val="00F36F81"/>
    <w:rsid w:val="00F36FC0"/>
    <w:rsid w:val="00F36FD9"/>
    <w:rsid w:val="00F36FE5"/>
    <w:rsid w:val="00F36FE8"/>
    <w:rsid w:val="00F37055"/>
    <w:rsid w:val="00F3706E"/>
    <w:rsid w:val="00F37125"/>
    <w:rsid w:val="00F3712D"/>
    <w:rsid w:val="00F3714A"/>
    <w:rsid w:val="00F371C3"/>
    <w:rsid w:val="00F371C6"/>
    <w:rsid w:val="00F3725C"/>
    <w:rsid w:val="00F37283"/>
    <w:rsid w:val="00F3729A"/>
    <w:rsid w:val="00F3729B"/>
    <w:rsid w:val="00F372DD"/>
    <w:rsid w:val="00F37309"/>
    <w:rsid w:val="00F37322"/>
    <w:rsid w:val="00F3735E"/>
    <w:rsid w:val="00F3737F"/>
    <w:rsid w:val="00F37430"/>
    <w:rsid w:val="00F37434"/>
    <w:rsid w:val="00F37456"/>
    <w:rsid w:val="00F37464"/>
    <w:rsid w:val="00F3747F"/>
    <w:rsid w:val="00F374B5"/>
    <w:rsid w:val="00F374DD"/>
    <w:rsid w:val="00F374DF"/>
    <w:rsid w:val="00F374EF"/>
    <w:rsid w:val="00F374FE"/>
    <w:rsid w:val="00F37500"/>
    <w:rsid w:val="00F3753F"/>
    <w:rsid w:val="00F3755D"/>
    <w:rsid w:val="00F37565"/>
    <w:rsid w:val="00F37591"/>
    <w:rsid w:val="00F37596"/>
    <w:rsid w:val="00F375B9"/>
    <w:rsid w:val="00F3761B"/>
    <w:rsid w:val="00F37663"/>
    <w:rsid w:val="00F3769E"/>
    <w:rsid w:val="00F376A6"/>
    <w:rsid w:val="00F376EB"/>
    <w:rsid w:val="00F37701"/>
    <w:rsid w:val="00F377BB"/>
    <w:rsid w:val="00F37831"/>
    <w:rsid w:val="00F3784E"/>
    <w:rsid w:val="00F3784F"/>
    <w:rsid w:val="00F37852"/>
    <w:rsid w:val="00F37890"/>
    <w:rsid w:val="00F37898"/>
    <w:rsid w:val="00F378AB"/>
    <w:rsid w:val="00F378B6"/>
    <w:rsid w:val="00F378BC"/>
    <w:rsid w:val="00F37952"/>
    <w:rsid w:val="00F37989"/>
    <w:rsid w:val="00F3798F"/>
    <w:rsid w:val="00F379BE"/>
    <w:rsid w:val="00F37A16"/>
    <w:rsid w:val="00F37A39"/>
    <w:rsid w:val="00F37A47"/>
    <w:rsid w:val="00F37A59"/>
    <w:rsid w:val="00F37AD3"/>
    <w:rsid w:val="00F37B8A"/>
    <w:rsid w:val="00F37BA3"/>
    <w:rsid w:val="00F37BB1"/>
    <w:rsid w:val="00F37BBE"/>
    <w:rsid w:val="00F37C3A"/>
    <w:rsid w:val="00F37C6E"/>
    <w:rsid w:val="00F37CD7"/>
    <w:rsid w:val="00F37E79"/>
    <w:rsid w:val="00F37EF9"/>
    <w:rsid w:val="00F37F1D"/>
    <w:rsid w:val="00F37F24"/>
    <w:rsid w:val="00F37F48"/>
    <w:rsid w:val="00F37F84"/>
    <w:rsid w:val="00F37FEA"/>
    <w:rsid w:val="00F4000A"/>
    <w:rsid w:val="00F4001C"/>
    <w:rsid w:val="00F40078"/>
    <w:rsid w:val="00F40096"/>
    <w:rsid w:val="00F400C5"/>
    <w:rsid w:val="00F400EA"/>
    <w:rsid w:val="00F40136"/>
    <w:rsid w:val="00F40138"/>
    <w:rsid w:val="00F40187"/>
    <w:rsid w:val="00F4019B"/>
    <w:rsid w:val="00F401AF"/>
    <w:rsid w:val="00F401C0"/>
    <w:rsid w:val="00F4020A"/>
    <w:rsid w:val="00F40216"/>
    <w:rsid w:val="00F4027E"/>
    <w:rsid w:val="00F4029B"/>
    <w:rsid w:val="00F402EC"/>
    <w:rsid w:val="00F402F5"/>
    <w:rsid w:val="00F4030F"/>
    <w:rsid w:val="00F4031D"/>
    <w:rsid w:val="00F40349"/>
    <w:rsid w:val="00F40358"/>
    <w:rsid w:val="00F40371"/>
    <w:rsid w:val="00F403AD"/>
    <w:rsid w:val="00F403AF"/>
    <w:rsid w:val="00F403B7"/>
    <w:rsid w:val="00F403DB"/>
    <w:rsid w:val="00F403E7"/>
    <w:rsid w:val="00F403FA"/>
    <w:rsid w:val="00F40474"/>
    <w:rsid w:val="00F404E2"/>
    <w:rsid w:val="00F4057C"/>
    <w:rsid w:val="00F405DF"/>
    <w:rsid w:val="00F40659"/>
    <w:rsid w:val="00F40673"/>
    <w:rsid w:val="00F40751"/>
    <w:rsid w:val="00F40757"/>
    <w:rsid w:val="00F4075E"/>
    <w:rsid w:val="00F40809"/>
    <w:rsid w:val="00F4082E"/>
    <w:rsid w:val="00F4083A"/>
    <w:rsid w:val="00F40864"/>
    <w:rsid w:val="00F408B3"/>
    <w:rsid w:val="00F40913"/>
    <w:rsid w:val="00F4099C"/>
    <w:rsid w:val="00F409D9"/>
    <w:rsid w:val="00F409DE"/>
    <w:rsid w:val="00F40A01"/>
    <w:rsid w:val="00F40A02"/>
    <w:rsid w:val="00F40A22"/>
    <w:rsid w:val="00F40A23"/>
    <w:rsid w:val="00F40A57"/>
    <w:rsid w:val="00F40A7D"/>
    <w:rsid w:val="00F40A8C"/>
    <w:rsid w:val="00F40AED"/>
    <w:rsid w:val="00F40B1B"/>
    <w:rsid w:val="00F40B7D"/>
    <w:rsid w:val="00F40B89"/>
    <w:rsid w:val="00F40BB4"/>
    <w:rsid w:val="00F40BD0"/>
    <w:rsid w:val="00F40BEF"/>
    <w:rsid w:val="00F40C10"/>
    <w:rsid w:val="00F40C24"/>
    <w:rsid w:val="00F40C6F"/>
    <w:rsid w:val="00F40CB2"/>
    <w:rsid w:val="00F40CCC"/>
    <w:rsid w:val="00F40CD6"/>
    <w:rsid w:val="00F40CFE"/>
    <w:rsid w:val="00F40D30"/>
    <w:rsid w:val="00F40D4B"/>
    <w:rsid w:val="00F40D6B"/>
    <w:rsid w:val="00F40D95"/>
    <w:rsid w:val="00F40E3A"/>
    <w:rsid w:val="00F40E6C"/>
    <w:rsid w:val="00F40E90"/>
    <w:rsid w:val="00F40EAF"/>
    <w:rsid w:val="00F40EBD"/>
    <w:rsid w:val="00F40F01"/>
    <w:rsid w:val="00F40F04"/>
    <w:rsid w:val="00F40F8A"/>
    <w:rsid w:val="00F40F92"/>
    <w:rsid w:val="00F40FCB"/>
    <w:rsid w:val="00F40FCE"/>
    <w:rsid w:val="00F40FE5"/>
    <w:rsid w:val="00F41083"/>
    <w:rsid w:val="00F41087"/>
    <w:rsid w:val="00F4108B"/>
    <w:rsid w:val="00F410AF"/>
    <w:rsid w:val="00F410C2"/>
    <w:rsid w:val="00F410DD"/>
    <w:rsid w:val="00F410E8"/>
    <w:rsid w:val="00F4116C"/>
    <w:rsid w:val="00F41175"/>
    <w:rsid w:val="00F41178"/>
    <w:rsid w:val="00F411A2"/>
    <w:rsid w:val="00F411A8"/>
    <w:rsid w:val="00F411C0"/>
    <w:rsid w:val="00F411EA"/>
    <w:rsid w:val="00F4120E"/>
    <w:rsid w:val="00F4122C"/>
    <w:rsid w:val="00F4123E"/>
    <w:rsid w:val="00F4125D"/>
    <w:rsid w:val="00F4128F"/>
    <w:rsid w:val="00F41458"/>
    <w:rsid w:val="00F41459"/>
    <w:rsid w:val="00F414E5"/>
    <w:rsid w:val="00F41583"/>
    <w:rsid w:val="00F415EE"/>
    <w:rsid w:val="00F4164F"/>
    <w:rsid w:val="00F41699"/>
    <w:rsid w:val="00F416CF"/>
    <w:rsid w:val="00F416D3"/>
    <w:rsid w:val="00F416F0"/>
    <w:rsid w:val="00F4179B"/>
    <w:rsid w:val="00F417B4"/>
    <w:rsid w:val="00F417B8"/>
    <w:rsid w:val="00F41801"/>
    <w:rsid w:val="00F41828"/>
    <w:rsid w:val="00F418F2"/>
    <w:rsid w:val="00F418F6"/>
    <w:rsid w:val="00F41905"/>
    <w:rsid w:val="00F4199B"/>
    <w:rsid w:val="00F419AF"/>
    <w:rsid w:val="00F419E8"/>
    <w:rsid w:val="00F419F2"/>
    <w:rsid w:val="00F41A98"/>
    <w:rsid w:val="00F41AA7"/>
    <w:rsid w:val="00F41AC1"/>
    <w:rsid w:val="00F41AF8"/>
    <w:rsid w:val="00F41B2A"/>
    <w:rsid w:val="00F41BB5"/>
    <w:rsid w:val="00F41BDD"/>
    <w:rsid w:val="00F41BE8"/>
    <w:rsid w:val="00F41C01"/>
    <w:rsid w:val="00F41C23"/>
    <w:rsid w:val="00F41C38"/>
    <w:rsid w:val="00F41C6B"/>
    <w:rsid w:val="00F41C92"/>
    <w:rsid w:val="00F41C9D"/>
    <w:rsid w:val="00F41CA2"/>
    <w:rsid w:val="00F41CA7"/>
    <w:rsid w:val="00F41CB6"/>
    <w:rsid w:val="00F41CB9"/>
    <w:rsid w:val="00F41CD7"/>
    <w:rsid w:val="00F41D03"/>
    <w:rsid w:val="00F41D10"/>
    <w:rsid w:val="00F41D14"/>
    <w:rsid w:val="00F41D55"/>
    <w:rsid w:val="00F41D56"/>
    <w:rsid w:val="00F41DAE"/>
    <w:rsid w:val="00F41DC0"/>
    <w:rsid w:val="00F41DDB"/>
    <w:rsid w:val="00F41DF9"/>
    <w:rsid w:val="00F41DFA"/>
    <w:rsid w:val="00F41E27"/>
    <w:rsid w:val="00F41E46"/>
    <w:rsid w:val="00F41E8E"/>
    <w:rsid w:val="00F41EB0"/>
    <w:rsid w:val="00F41F8B"/>
    <w:rsid w:val="00F41F9E"/>
    <w:rsid w:val="00F41FC6"/>
    <w:rsid w:val="00F41FD3"/>
    <w:rsid w:val="00F41FFB"/>
    <w:rsid w:val="00F4200B"/>
    <w:rsid w:val="00F42097"/>
    <w:rsid w:val="00F420E9"/>
    <w:rsid w:val="00F420F5"/>
    <w:rsid w:val="00F4211E"/>
    <w:rsid w:val="00F42131"/>
    <w:rsid w:val="00F42166"/>
    <w:rsid w:val="00F4217C"/>
    <w:rsid w:val="00F421C8"/>
    <w:rsid w:val="00F42203"/>
    <w:rsid w:val="00F42215"/>
    <w:rsid w:val="00F42241"/>
    <w:rsid w:val="00F422A7"/>
    <w:rsid w:val="00F422B8"/>
    <w:rsid w:val="00F42314"/>
    <w:rsid w:val="00F4233B"/>
    <w:rsid w:val="00F4233E"/>
    <w:rsid w:val="00F4238E"/>
    <w:rsid w:val="00F423A2"/>
    <w:rsid w:val="00F423F8"/>
    <w:rsid w:val="00F423FD"/>
    <w:rsid w:val="00F4240B"/>
    <w:rsid w:val="00F4241C"/>
    <w:rsid w:val="00F4243B"/>
    <w:rsid w:val="00F42442"/>
    <w:rsid w:val="00F42470"/>
    <w:rsid w:val="00F42488"/>
    <w:rsid w:val="00F424C3"/>
    <w:rsid w:val="00F424C5"/>
    <w:rsid w:val="00F424FF"/>
    <w:rsid w:val="00F42506"/>
    <w:rsid w:val="00F425C9"/>
    <w:rsid w:val="00F4263F"/>
    <w:rsid w:val="00F42643"/>
    <w:rsid w:val="00F4267F"/>
    <w:rsid w:val="00F42695"/>
    <w:rsid w:val="00F426E6"/>
    <w:rsid w:val="00F426EA"/>
    <w:rsid w:val="00F42704"/>
    <w:rsid w:val="00F42755"/>
    <w:rsid w:val="00F42759"/>
    <w:rsid w:val="00F4275A"/>
    <w:rsid w:val="00F4278B"/>
    <w:rsid w:val="00F4278E"/>
    <w:rsid w:val="00F427B8"/>
    <w:rsid w:val="00F42833"/>
    <w:rsid w:val="00F42840"/>
    <w:rsid w:val="00F42874"/>
    <w:rsid w:val="00F42880"/>
    <w:rsid w:val="00F428A6"/>
    <w:rsid w:val="00F42935"/>
    <w:rsid w:val="00F4295A"/>
    <w:rsid w:val="00F4295C"/>
    <w:rsid w:val="00F42969"/>
    <w:rsid w:val="00F42981"/>
    <w:rsid w:val="00F4298C"/>
    <w:rsid w:val="00F42A51"/>
    <w:rsid w:val="00F42A66"/>
    <w:rsid w:val="00F42A7A"/>
    <w:rsid w:val="00F42AC5"/>
    <w:rsid w:val="00F42AF2"/>
    <w:rsid w:val="00F42AF9"/>
    <w:rsid w:val="00F42B43"/>
    <w:rsid w:val="00F42C77"/>
    <w:rsid w:val="00F42CA6"/>
    <w:rsid w:val="00F42CA7"/>
    <w:rsid w:val="00F42CEC"/>
    <w:rsid w:val="00F42D1F"/>
    <w:rsid w:val="00F42D4E"/>
    <w:rsid w:val="00F42D5B"/>
    <w:rsid w:val="00F42D71"/>
    <w:rsid w:val="00F42DA2"/>
    <w:rsid w:val="00F42DAB"/>
    <w:rsid w:val="00F42DB2"/>
    <w:rsid w:val="00F42DBB"/>
    <w:rsid w:val="00F42DCA"/>
    <w:rsid w:val="00F42E47"/>
    <w:rsid w:val="00F42E79"/>
    <w:rsid w:val="00F42EBE"/>
    <w:rsid w:val="00F42EC1"/>
    <w:rsid w:val="00F42EC4"/>
    <w:rsid w:val="00F42ED4"/>
    <w:rsid w:val="00F42F0B"/>
    <w:rsid w:val="00F42F36"/>
    <w:rsid w:val="00F42F5C"/>
    <w:rsid w:val="00F42FBE"/>
    <w:rsid w:val="00F42FE1"/>
    <w:rsid w:val="00F42FE5"/>
    <w:rsid w:val="00F43021"/>
    <w:rsid w:val="00F43068"/>
    <w:rsid w:val="00F430A5"/>
    <w:rsid w:val="00F430BD"/>
    <w:rsid w:val="00F430ED"/>
    <w:rsid w:val="00F430F2"/>
    <w:rsid w:val="00F430F9"/>
    <w:rsid w:val="00F43119"/>
    <w:rsid w:val="00F4313F"/>
    <w:rsid w:val="00F4318A"/>
    <w:rsid w:val="00F43198"/>
    <w:rsid w:val="00F431D8"/>
    <w:rsid w:val="00F43201"/>
    <w:rsid w:val="00F43263"/>
    <w:rsid w:val="00F43269"/>
    <w:rsid w:val="00F432CB"/>
    <w:rsid w:val="00F4337F"/>
    <w:rsid w:val="00F4340A"/>
    <w:rsid w:val="00F43440"/>
    <w:rsid w:val="00F43469"/>
    <w:rsid w:val="00F43483"/>
    <w:rsid w:val="00F4349A"/>
    <w:rsid w:val="00F43502"/>
    <w:rsid w:val="00F435D6"/>
    <w:rsid w:val="00F4365A"/>
    <w:rsid w:val="00F436D7"/>
    <w:rsid w:val="00F436FC"/>
    <w:rsid w:val="00F4370A"/>
    <w:rsid w:val="00F4371D"/>
    <w:rsid w:val="00F4382E"/>
    <w:rsid w:val="00F43848"/>
    <w:rsid w:val="00F43878"/>
    <w:rsid w:val="00F4387D"/>
    <w:rsid w:val="00F438C6"/>
    <w:rsid w:val="00F438CE"/>
    <w:rsid w:val="00F438D4"/>
    <w:rsid w:val="00F438EE"/>
    <w:rsid w:val="00F438F4"/>
    <w:rsid w:val="00F43925"/>
    <w:rsid w:val="00F43972"/>
    <w:rsid w:val="00F439A5"/>
    <w:rsid w:val="00F439B1"/>
    <w:rsid w:val="00F43A70"/>
    <w:rsid w:val="00F43A88"/>
    <w:rsid w:val="00F43B22"/>
    <w:rsid w:val="00F43B35"/>
    <w:rsid w:val="00F43B76"/>
    <w:rsid w:val="00F43B8F"/>
    <w:rsid w:val="00F43C2F"/>
    <w:rsid w:val="00F43C67"/>
    <w:rsid w:val="00F43D0A"/>
    <w:rsid w:val="00F43D1F"/>
    <w:rsid w:val="00F43DAD"/>
    <w:rsid w:val="00F43DD2"/>
    <w:rsid w:val="00F43DFC"/>
    <w:rsid w:val="00F43E2B"/>
    <w:rsid w:val="00F43E35"/>
    <w:rsid w:val="00F43E83"/>
    <w:rsid w:val="00F43E95"/>
    <w:rsid w:val="00F43E9B"/>
    <w:rsid w:val="00F43EDC"/>
    <w:rsid w:val="00F43EEF"/>
    <w:rsid w:val="00F43F6C"/>
    <w:rsid w:val="00F43F6D"/>
    <w:rsid w:val="00F43F77"/>
    <w:rsid w:val="00F43FB6"/>
    <w:rsid w:val="00F440C1"/>
    <w:rsid w:val="00F4412B"/>
    <w:rsid w:val="00F4412D"/>
    <w:rsid w:val="00F4417E"/>
    <w:rsid w:val="00F441A9"/>
    <w:rsid w:val="00F441E4"/>
    <w:rsid w:val="00F441FB"/>
    <w:rsid w:val="00F4422A"/>
    <w:rsid w:val="00F442A6"/>
    <w:rsid w:val="00F442B5"/>
    <w:rsid w:val="00F442CC"/>
    <w:rsid w:val="00F4430B"/>
    <w:rsid w:val="00F44358"/>
    <w:rsid w:val="00F4435B"/>
    <w:rsid w:val="00F443C1"/>
    <w:rsid w:val="00F444A7"/>
    <w:rsid w:val="00F444C1"/>
    <w:rsid w:val="00F444CB"/>
    <w:rsid w:val="00F4453D"/>
    <w:rsid w:val="00F4457A"/>
    <w:rsid w:val="00F44584"/>
    <w:rsid w:val="00F4458D"/>
    <w:rsid w:val="00F44590"/>
    <w:rsid w:val="00F44596"/>
    <w:rsid w:val="00F445B8"/>
    <w:rsid w:val="00F44601"/>
    <w:rsid w:val="00F44624"/>
    <w:rsid w:val="00F44626"/>
    <w:rsid w:val="00F4465F"/>
    <w:rsid w:val="00F446B3"/>
    <w:rsid w:val="00F446F3"/>
    <w:rsid w:val="00F4474D"/>
    <w:rsid w:val="00F44752"/>
    <w:rsid w:val="00F44785"/>
    <w:rsid w:val="00F447C9"/>
    <w:rsid w:val="00F4498E"/>
    <w:rsid w:val="00F4499A"/>
    <w:rsid w:val="00F449B5"/>
    <w:rsid w:val="00F449E8"/>
    <w:rsid w:val="00F449F0"/>
    <w:rsid w:val="00F44A3A"/>
    <w:rsid w:val="00F44A54"/>
    <w:rsid w:val="00F44A67"/>
    <w:rsid w:val="00F44AAD"/>
    <w:rsid w:val="00F44AF0"/>
    <w:rsid w:val="00F44AF5"/>
    <w:rsid w:val="00F44B6D"/>
    <w:rsid w:val="00F44BE0"/>
    <w:rsid w:val="00F44BE5"/>
    <w:rsid w:val="00F44C29"/>
    <w:rsid w:val="00F44C70"/>
    <w:rsid w:val="00F44C98"/>
    <w:rsid w:val="00F44CAD"/>
    <w:rsid w:val="00F44CF9"/>
    <w:rsid w:val="00F44D36"/>
    <w:rsid w:val="00F44D56"/>
    <w:rsid w:val="00F44D65"/>
    <w:rsid w:val="00F44DD6"/>
    <w:rsid w:val="00F44E0F"/>
    <w:rsid w:val="00F44E3B"/>
    <w:rsid w:val="00F44E68"/>
    <w:rsid w:val="00F44ED2"/>
    <w:rsid w:val="00F44F05"/>
    <w:rsid w:val="00F44F09"/>
    <w:rsid w:val="00F44F3B"/>
    <w:rsid w:val="00F44F6C"/>
    <w:rsid w:val="00F44FE8"/>
    <w:rsid w:val="00F44FF7"/>
    <w:rsid w:val="00F44FFB"/>
    <w:rsid w:val="00F45009"/>
    <w:rsid w:val="00F4500C"/>
    <w:rsid w:val="00F45048"/>
    <w:rsid w:val="00F4507A"/>
    <w:rsid w:val="00F450C6"/>
    <w:rsid w:val="00F45105"/>
    <w:rsid w:val="00F4511C"/>
    <w:rsid w:val="00F45122"/>
    <w:rsid w:val="00F45150"/>
    <w:rsid w:val="00F45158"/>
    <w:rsid w:val="00F45199"/>
    <w:rsid w:val="00F45239"/>
    <w:rsid w:val="00F4527F"/>
    <w:rsid w:val="00F4529C"/>
    <w:rsid w:val="00F452A3"/>
    <w:rsid w:val="00F452B1"/>
    <w:rsid w:val="00F4534F"/>
    <w:rsid w:val="00F45436"/>
    <w:rsid w:val="00F4544D"/>
    <w:rsid w:val="00F45489"/>
    <w:rsid w:val="00F4549C"/>
    <w:rsid w:val="00F454D8"/>
    <w:rsid w:val="00F454E8"/>
    <w:rsid w:val="00F454FD"/>
    <w:rsid w:val="00F4554D"/>
    <w:rsid w:val="00F45561"/>
    <w:rsid w:val="00F45573"/>
    <w:rsid w:val="00F45594"/>
    <w:rsid w:val="00F45597"/>
    <w:rsid w:val="00F45699"/>
    <w:rsid w:val="00F4569B"/>
    <w:rsid w:val="00F456A6"/>
    <w:rsid w:val="00F456C9"/>
    <w:rsid w:val="00F4572E"/>
    <w:rsid w:val="00F4576C"/>
    <w:rsid w:val="00F457BC"/>
    <w:rsid w:val="00F457C1"/>
    <w:rsid w:val="00F45895"/>
    <w:rsid w:val="00F458BF"/>
    <w:rsid w:val="00F458F6"/>
    <w:rsid w:val="00F458FD"/>
    <w:rsid w:val="00F45924"/>
    <w:rsid w:val="00F45952"/>
    <w:rsid w:val="00F45958"/>
    <w:rsid w:val="00F4597E"/>
    <w:rsid w:val="00F459A9"/>
    <w:rsid w:val="00F459DF"/>
    <w:rsid w:val="00F459E6"/>
    <w:rsid w:val="00F45A03"/>
    <w:rsid w:val="00F45A08"/>
    <w:rsid w:val="00F45AD8"/>
    <w:rsid w:val="00F45B1D"/>
    <w:rsid w:val="00F45B46"/>
    <w:rsid w:val="00F45B6B"/>
    <w:rsid w:val="00F45B73"/>
    <w:rsid w:val="00F45BBE"/>
    <w:rsid w:val="00F45BEB"/>
    <w:rsid w:val="00F45BFA"/>
    <w:rsid w:val="00F45C0B"/>
    <w:rsid w:val="00F45C18"/>
    <w:rsid w:val="00F45C2D"/>
    <w:rsid w:val="00F45C2E"/>
    <w:rsid w:val="00F45C8F"/>
    <w:rsid w:val="00F45C9F"/>
    <w:rsid w:val="00F45CE4"/>
    <w:rsid w:val="00F45D28"/>
    <w:rsid w:val="00F45D41"/>
    <w:rsid w:val="00F45D4C"/>
    <w:rsid w:val="00F45DBA"/>
    <w:rsid w:val="00F45E34"/>
    <w:rsid w:val="00F45E41"/>
    <w:rsid w:val="00F45E50"/>
    <w:rsid w:val="00F45E65"/>
    <w:rsid w:val="00F45F30"/>
    <w:rsid w:val="00F45F84"/>
    <w:rsid w:val="00F45F97"/>
    <w:rsid w:val="00F46010"/>
    <w:rsid w:val="00F46022"/>
    <w:rsid w:val="00F4607E"/>
    <w:rsid w:val="00F460C5"/>
    <w:rsid w:val="00F46147"/>
    <w:rsid w:val="00F4615B"/>
    <w:rsid w:val="00F4617A"/>
    <w:rsid w:val="00F461A6"/>
    <w:rsid w:val="00F461E1"/>
    <w:rsid w:val="00F46204"/>
    <w:rsid w:val="00F4620F"/>
    <w:rsid w:val="00F46210"/>
    <w:rsid w:val="00F46234"/>
    <w:rsid w:val="00F46241"/>
    <w:rsid w:val="00F4625D"/>
    <w:rsid w:val="00F462F4"/>
    <w:rsid w:val="00F462FC"/>
    <w:rsid w:val="00F46361"/>
    <w:rsid w:val="00F4638A"/>
    <w:rsid w:val="00F463F3"/>
    <w:rsid w:val="00F463FD"/>
    <w:rsid w:val="00F46435"/>
    <w:rsid w:val="00F46445"/>
    <w:rsid w:val="00F4645F"/>
    <w:rsid w:val="00F46476"/>
    <w:rsid w:val="00F464B5"/>
    <w:rsid w:val="00F464B6"/>
    <w:rsid w:val="00F46525"/>
    <w:rsid w:val="00F46591"/>
    <w:rsid w:val="00F465DF"/>
    <w:rsid w:val="00F46633"/>
    <w:rsid w:val="00F46649"/>
    <w:rsid w:val="00F46673"/>
    <w:rsid w:val="00F46697"/>
    <w:rsid w:val="00F466F4"/>
    <w:rsid w:val="00F4670B"/>
    <w:rsid w:val="00F46733"/>
    <w:rsid w:val="00F46747"/>
    <w:rsid w:val="00F4676A"/>
    <w:rsid w:val="00F46779"/>
    <w:rsid w:val="00F467A5"/>
    <w:rsid w:val="00F467B2"/>
    <w:rsid w:val="00F467B6"/>
    <w:rsid w:val="00F467FB"/>
    <w:rsid w:val="00F4680E"/>
    <w:rsid w:val="00F46896"/>
    <w:rsid w:val="00F46917"/>
    <w:rsid w:val="00F46925"/>
    <w:rsid w:val="00F4692C"/>
    <w:rsid w:val="00F46940"/>
    <w:rsid w:val="00F469BB"/>
    <w:rsid w:val="00F46A44"/>
    <w:rsid w:val="00F46AD6"/>
    <w:rsid w:val="00F46B49"/>
    <w:rsid w:val="00F46B57"/>
    <w:rsid w:val="00F46BE6"/>
    <w:rsid w:val="00F46C81"/>
    <w:rsid w:val="00F46C88"/>
    <w:rsid w:val="00F46CEE"/>
    <w:rsid w:val="00F46D5E"/>
    <w:rsid w:val="00F46D8E"/>
    <w:rsid w:val="00F46D9B"/>
    <w:rsid w:val="00F46DAD"/>
    <w:rsid w:val="00F46E05"/>
    <w:rsid w:val="00F46E10"/>
    <w:rsid w:val="00F46EFD"/>
    <w:rsid w:val="00F46F17"/>
    <w:rsid w:val="00F46F33"/>
    <w:rsid w:val="00F46F57"/>
    <w:rsid w:val="00F46FAE"/>
    <w:rsid w:val="00F46FB7"/>
    <w:rsid w:val="00F46FED"/>
    <w:rsid w:val="00F47022"/>
    <w:rsid w:val="00F47089"/>
    <w:rsid w:val="00F470AD"/>
    <w:rsid w:val="00F470BB"/>
    <w:rsid w:val="00F470BE"/>
    <w:rsid w:val="00F47131"/>
    <w:rsid w:val="00F4716B"/>
    <w:rsid w:val="00F4722C"/>
    <w:rsid w:val="00F47231"/>
    <w:rsid w:val="00F47286"/>
    <w:rsid w:val="00F47290"/>
    <w:rsid w:val="00F472A1"/>
    <w:rsid w:val="00F472AD"/>
    <w:rsid w:val="00F472BB"/>
    <w:rsid w:val="00F47303"/>
    <w:rsid w:val="00F4734B"/>
    <w:rsid w:val="00F47354"/>
    <w:rsid w:val="00F4737E"/>
    <w:rsid w:val="00F473DA"/>
    <w:rsid w:val="00F473EE"/>
    <w:rsid w:val="00F47425"/>
    <w:rsid w:val="00F47484"/>
    <w:rsid w:val="00F474B3"/>
    <w:rsid w:val="00F47511"/>
    <w:rsid w:val="00F4753C"/>
    <w:rsid w:val="00F47540"/>
    <w:rsid w:val="00F47568"/>
    <w:rsid w:val="00F4756D"/>
    <w:rsid w:val="00F47591"/>
    <w:rsid w:val="00F476A6"/>
    <w:rsid w:val="00F476E7"/>
    <w:rsid w:val="00F476FE"/>
    <w:rsid w:val="00F47707"/>
    <w:rsid w:val="00F47730"/>
    <w:rsid w:val="00F47738"/>
    <w:rsid w:val="00F4779B"/>
    <w:rsid w:val="00F477C7"/>
    <w:rsid w:val="00F4782D"/>
    <w:rsid w:val="00F47830"/>
    <w:rsid w:val="00F4785B"/>
    <w:rsid w:val="00F47868"/>
    <w:rsid w:val="00F47897"/>
    <w:rsid w:val="00F478B2"/>
    <w:rsid w:val="00F47915"/>
    <w:rsid w:val="00F4793C"/>
    <w:rsid w:val="00F47961"/>
    <w:rsid w:val="00F47979"/>
    <w:rsid w:val="00F47981"/>
    <w:rsid w:val="00F47984"/>
    <w:rsid w:val="00F479F4"/>
    <w:rsid w:val="00F47A41"/>
    <w:rsid w:val="00F47A5C"/>
    <w:rsid w:val="00F47A62"/>
    <w:rsid w:val="00F47A70"/>
    <w:rsid w:val="00F47A85"/>
    <w:rsid w:val="00F47A9E"/>
    <w:rsid w:val="00F47AB4"/>
    <w:rsid w:val="00F47ABB"/>
    <w:rsid w:val="00F47AC9"/>
    <w:rsid w:val="00F47ACB"/>
    <w:rsid w:val="00F47B76"/>
    <w:rsid w:val="00F47BB3"/>
    <w:rsid w:val="00F47BC1"/>
    <w:rsid w:val="00F47C28"/>
    <w:rsid w:val="00F47C48"/>
    <w:rsid w:val="00F47CE3"/>
    <w:rsid w:val="00F47D19"/>
    <w:rsid w:val="00F47D22"/>
    <w:rsid w:val="00F47D4C"/>
    <w:rsid w:val="00F47D85"/>
    <w:rsid w:val="00F47DDC"/>
    <w:rsid w:val="00F47DF3"/>
    <w:rsid w:val="00F47DF7"/>
    <w:rsid w:val="00F47E30"/>
    <w:rsid w:val="00F47E5D"/>
    <w:rsid w:val="00F47E77"/>
    <w:rsid w:val="00F47EE5"/>
    <w:rsid w:val="00F47F22"/>
    <w:rsid w:val="00F47F3C"/>
    <w:rsid w:val="00F47FCF"/>
    <w:rsid w:val="00F47FD8"/>
    <w:rsid w:val="00F5003A"/>
    <w:rsid w:val="00F50080"/>
    <w:rsid w:val="00F5009F"/>
    <w:rsid w:val="00F500C0"/>
    <w:rsid w:val="00F500DC"/>
    <w:rsid w:val="00F500FD"/>
    <w:rsid w:val="00F50144"/>
    <w:rsid w:val="00F501A3"/>
    <w:rsid w:val="00F501FC"/>
    <w:rsid w:val="00F5020B"/>
    <w:rsid w:val="00F50298"/>
    <w:rsid w:val="00F5030D"/>
    <w:rsid w:val="00F50348"/>
    <w:rsid w:val="00F50351"/>
    <w:rsid w:val="00F5036F"/>
    <w:rsid w:val="00F5037E"/>
    <w:rsid w:val="00F503CF"/>
    <w:rsid w:val="00F50411"/>
    <w:rsid w:val="00F50434"/>
    <w:rsid w:val="00F50442"/>
    <w:rsid w:val="00F5044E"/>
    <w:rsid w:val="00F5045F"/>
    <w:rsid w:val="00F50496"/>
    <w:rsid w:val="00F5053C"/>
    <w:rsid w:val="00F50552"/>
    <w:rsid w:val="00F505CD"/>
    <w:rsid w:val="00F50606"/>
    <w:rsid w:val="00F50629"/>
    <w:rsid w:val="00F50661"/>
    <w:rsid w:val="00F506CD"/>
    <w:rsid w:val="00F506D6"/>
    <w:rsid w:val="00F506DC"/>
    <w:rsid w:val="00F506F0"/>
    <w:rsid w:val="00F50746"/>
    <w:rsid w:val="00F5074A"/>
    <w:rsid w:val="00F50771"/>
    <w:rsid w:val="00F507C0"/>
    <w:rsid w:val="00F507E4"/>
    <w:rsid w:val="00F50811"/>
    <w:rsid w:val="00F50822"/>
    <w:rsid w:val="00F50847"/>
    <w:rsid w:val="00F50916"/>
    <w:rsid w:val="00F50949"/>
    <w:rsid w:val="00F5096A"/>
    <w:rsid w:val="00F50A31"/>
    <w:rsid w:val="00F50A64"/>
    <w:rsid w:val="00F50A7D"/>
    <w:rsid w:val="00F50B00"/>
    <w:rsid w:val="00F50B79"/>
    <w:rsid w:val="00F50BA9"/>
    <w:rsid w:val="00F50C91"/>
    <w:rsid w:val="00F50CAC"/>
    <w:rsid w:val="00F50CEF"/>
    <w:rsid w:val="00F50CF9"/>
    <w:rsid w:val="00F50CFF"/>
    <w:rsid w:val="00F50D0C"/>
    <w:rsid w:val="00F50DBC"/>
    <w:rsid w:val="00F50DE0"/>
    <w:rsid w:val="00F50DFD"/>
    <w:rsid w:val="00F50E40"/>
    <w:rsid w:val="00F50E42"/>
    <w:rsid w:val="00F50E64"/>
    <w:rsid w:val="00F50E6F"/>
    <w:rsid w:val="00F50E8F"/>
    <w:rsid w:val="00F50EAA"/>
    <w:rsid w:val="00F50F34"/>
    <w:rsid w:val="00F50F38"/>
    <w:rsid w:val="00F50F5A"/>
    <w:rsid w:val="00F50F6C"/>
    <w:rsid w:val="00F50FB3"/>
    <w:rsid w:val="00F50FD9"/>
    <w:rsid w:val="00F50FF3"/>
    <w:rsid w:val="00F51009"/>
    <w:rsid w:val="00F51187"/>
    <w:rsid w:val="00F5119D"/>
    <w:rsid w:val="00F511FB"/>
    <w:rsid w:val="00F51258"/>
    <w:rsid w:val="00F5126F"/>
    <w:rsid w:val="00F51273"/>
    <w:rsid w:val="00F512D9"/>
    <w:rsid w:val="00F512F0"/>
    <w:rsid w:val="00F512FC"/>
    <w:rsid w:val="00F51326"/>
    <w:rsid w:val="00F51396"/>
    <w:rsid w:val="00F513B6"/>
    <w:rsid w:val="00F513BC"/>
    <w:rsid w:val="00F51483"/>
    <w:rsid w:val="00F5148F"/>
    <w:rsid w:val="00F5150C"/>
    <w:rsid w:val="00F5154D"/>
    <w:rsid w:val="00F5156C"/>
    <w:rsid w:val="00F515A3"/>
    <w:rsid w:val="00F515E3"/>
    <w:rsid w:val="00F51660"/>
    <w:rsid w:val="00F51734"/>
    <w:rsid w:val="00F5175D"/>
    <w:rsid w:val="00F5179D"/>
    <w:rsid w:val="00F5179F"/>
    <w:rsid w:val="00F517A3"/>
    <w:rsid w:val="00F51807"/>
    <w:rsid w:val="00F5180B"/>
    <w:rsid w:val="00F5185B"/>
    <w:rsid w:val="00F51876"/>
    <w:rsid w:val="00F51884"/>
    <w:rsid w:val="00F518C2"/>
    <w:rsid w:val="00F518F7"/>
    <w:rsid w:val="00F518F9"/>
    <w:rsid w:val="00F5193B"/>
    <w:rsid w:val="00F51954"/>
    <w:rsid w:val="00F51956"/>
    <w:rsid w:val="00F519EB"/>
    <w:rsid w:val="00F51A1B"/>
    <w:rsid w:val="00F51A7A"/>
    <w:rsid w:val="00F51B10"/>
    <w:rsid w:val="00F51B36"/>
    <w:rsid w:val="00F51B5A"/>
    <w:rsid w:val="00F51BB9"/>
    <w:rsid w:val="00F51C0E"/>
    <w:rsid w:val="00F51C97"/>
    <w:rsid w:val="00F51CD3"/>
    <w:rsid w:val="00F51CD6"/>
    <w:rsid w:val="00F51CDF"/>
    <w:rsid w:val="00F51CF1"/>
    <w:rsid w:val="00F51CF2"/>
    <w:rsid w:val="00F51CF7"/>
    <w:rsid w:val="00F51CF9"/>
    <w:rsid w:val="00F51D17"/>
    <w:rsid w:val="00F51D6D"/>
    <w:rsid w:val="00F51D98"/>
    <w:rsid w:val="00F51DD3"/>
    <w:rsid w:val="00F51E2E"/>
    <w:rsid w:val="00F51E83"/>
    <w:rsid w:val="00F51EB6"/>
    <w:rsid w:val="00F51EC1"/>
    <w:rsid w:val="00F51ECE"/>
    <w:rsid w:val="00F51EE3"/>
    <w:rsid w:val="00F51F3D"/>
    <w:rsid w:val="00F51F8F"/>
    <w:rsid w:val="00F51F98"/>
    <w:rsid w:val="00F51FC5"/>
    <w:rsid w:val="00F5204F"/>
    <w:rsid w:val="00F5208E"/>
    <w:rsid w:val="00F520D6"/>
    <w:rsid w:val="00F520ED"/>
    <w:rsid w:val="00F52129"/>
    <w:rsid w:val="00F52137"/>
    <w:rsid w:val="00F5217E"/>
    <w:rsid w:val="00F521A3"/>
    <w:rsid w:val="00F5220E"/>
    <w:rsid w:val="00F5226F"/>
    <w:rsid w:val="00F52271"/>
    <w:rsid w:val="00F52277"/>
    <w:rsid w:val="00F522B5"/>
    <w:rsid w:val="00F5234C"/>
    <w:rsid w:val="00F52352"/>
    <w:rsid w:val="00F52354"/>
    <w:rsid w:val="00F5237C"/>
    <w:rsid w:val="00F523C1"/>
    <w:rsid w:val="00F523E9"/>
    <w:rsid w:val="00F5252A"/>
    <w:rsid w:val="00F52559"/>
    <w:rsid w:val="00F52561"/>
    <w:rsid w:val="00F525C9"/>
    <w:rsid w:val="00F52629"/>
    <w:rsid w:val="00F52674"/>
    <w:rsid w:val="00F5267A"/>
    <w:rsid w:val="00F526F6"/>
    <w:rsid w:val="00F5274B"/>
    <w:rsid w:val="00F52783"/>
    <w:rsid w:val="00F527CB"/>
    <w:rsid w:val="00F527F5"/>
    <w:rsid w:val="00F52807"/>
    <w:rsid w:val="00F528A9"/>
    <w:rsid w:val="00F528C9"/>
    <w:rsid w:val="00F528D5"/>
    <w:rsid w:val="00F528F4"/>
    <w:rsid w:val="00F52949"/>
    <w:rsid w:val="00F52972"/>
    <w:rsid w:val="00F52990"/>
    <w:rsid w:val="00F529CC"/>
    <w:rsid w:val="00F529D0"/>
    <w:rsid w:val="00F52A6C"/>
    <w:rsid w:val="00F52AA5"/>
    <w:rsid w:val="00F52AA6"/>
    <w:rsid w:val="00F52AB4"/>
    <w:rsid w:val="00F52AF5"/>
    <w:rsid w:val="00F52B66"/>
    <w:rsid w:val="00F52C4B"/>
    <w:rsid w:val="00F52CBC"/>
    <w:rsid w:val="00F52D22"/>
    <w:rsid w:val="00F52D56"/>
    <w:rsid w:val="00F52D93"/>
    <w:rsid w:val="00F52DBD"/>
    <w:rsid w:val="00F52E26"/>
    <w:rsid w:val="00F52E8A"/>
    <w:rsid w:val="00F52EEA"/>
    <w:rsid w:val="00F52EFB"/>
    <w:rsid w:val="00F52F04"/>
    <w:rsid w:val="00F52FAE"/>
    <w:rsid w:val="00F53012"/>
    <w:rsid w:val="00F53015"/>
    <w:rsid w:val="00F53044"/>
    <w:rsid w:val="00F53049"/>
    <w:rsid w:val="00F53053"/>
    <w:rsid w:val="00F53071"/>
    <w:rsid w:val="00F5308E"/>
    <w:rsid w:val="00F530BA"/>
    <w:rsid w:val="00F5310D"/>
    <w:rsid w:val="00F5317C"/>
    <w:rsid w:val="00F5319A"/>
    <w:rsid w:val="00F531BB"/>
    <w:rsid w:val="00F531DC"/>
    <w:rsid w:val="00F531E4"/>
    <w:rsid w:val="00F53247"/>
    <w:rsid w:val="00F53293"/>
    <w:rsid w:val="00F532A9"/>
    <w:rsid w:val="00F532AE"/>
    <w:rsid w:val="00F532D3"/>
    <w:rsid w:val="00F532DA"/>
    <w:rsid w:val="00F532F5"/>
    <w:rsid w:val="00F5331D"/>
    <w:rsid w:val="00F53336"/>
    <w:rsid w:val="00F5338C"/>
    <w:rsid w:val="00F5339A"/>
    <w:rsid w:val="00F533B0"/>
    <w:rsid w:val="00F533D7"/>
    <w:rsid w:val="00F53423"/>
    <w:rsid w:val="00F53472"/>
    <w:rsid w:val="00F534B2"/>
    <w:rsid w:val="00F534CB"/>
    <w:rsid w:val="00F5353A"/>
    <w:rsid w:val="00F53576"/>
    <w:rsid w:val="00F535C0"/>
    <w:rsid w:val="00F535D2"/>
    <w:rsid w:val="00F535FD"/>
    <w:rsid w:val="00F53602"/>
    <w:rsid w:val="00F5363E"/>
    <w:rsid w:val="00F536A1"/>
    <w:rsid w:val="00F536A5"/>
    <w:rsid w:val="00F536D5"/>
    <w:rsid w:val="00F536D6"/>
    <w:rsid w:val="00F536E2"/>
    <w:rsid w:val="00F5372F"/>
    <w:rsid w:val="00F53744"/>
    <w:rsid w:val="00F5374F"/>
    <w:rsid w:val="00F5375B"/>
    <w:rsid w:val="00F53817"/>
    <w:rsid w:val="00F53832"/>
    <w:rsid w:val="00F538D6"/>
    <w:rsid w:val="00F5392C"/>
    <w:rsid w:val="00F53941"/>
    <w:rsid w:val="00F53949"/>
    <w:rsid w:val="00F53982"/>
    <w:rsid w:val="00F539D6"/>
    <w:rsid w:val="00F539F0"/>
    <w:rsid w:val="00F53A19"/>
    <w:rsid w:val="00F53A52"/>
    <w:rsid w:val="00F53AA0"/>
    <w:rsid w:val="00F53AB4"/>
    <w:rsid w:val="00F53AB7"/>
    <w:rsid w:val="00F53ACD"/>
    <w:rsid w:val="00F53B6C"/>
    <w:rsid w:val="00F53B8E"/>
    <w:rsid w:val="00F53B96"/>
    <w:rsid w:val="00F53BB0"/>
    <w:rsid w:val="00F53C2B"/>
    <w:rsid w:val="00F53C2C"/>
    <w:rsid w:val="00F53C7F"/>
    <w:rsid w:val="00F53C88"/>
    <w:rsid w:val="00F53C93"/>
    <w:rsid w:val="00F53CB4"/>
    <w:rsid w:val="00F53D11"/>
    <w:rsid w:val="00F53D15"/>
    <w:rsid w:val="00F53D56"/>
    <w:rsid w:val="00F53D67"/>
    <w:rsid w:val="00F53D85"/>
    <w:rsid w:val="00F53D88"/>
    <w:rsid w:val="00F53DA8"/>
    <w:rsid w:val="00F53DC3"/>
    <w:rsid w:val="00F53E2D"/>
    <w:rsid w:val="00F53E63"/>
    <w:rsid w:val="00F53ED2"/>
    <w:rsid w:val="00F53EF4"/>
    <w:rsid w:val="00F53F2C"/>
    <w:rsid w:val="00F53F2F"/>
    <w:rsid w:val="00F53F6E"/>
    <w:rsid w:val="00F53F79"/>
    <w:rsid w:val="00F53FEC"/>
    <w:rsid w:val="00F5401B"/>
    <w:rsid w:val="00F54057"/>
    <w:rsid w:val="00F54076"/>
    <w:rsid w:val="00F5409C"/>
    <w:rsid w:val="00F540E8"/>
    <w:rsid w:val="00F540EA"/>
    <w:rsid w:val="00F540EB"/>
    <w:rsid w:val="00F54134"/>
    <w:rsid w:val="00F5428D"/>
    <w:rsid w:val="00F542A9"/>
    <w:rsid w:val="00F54309"/>
    <w:rsid w:val="00F5430B"/>
    <w:rsid w:val="00F54314"/>
    <w:rsid w:val="00F54393"/>
    <w:rsid w:val="00F543A6"/>
    <w:rsid w:val="00F543B7"/>
    <w:rsid w:val="00F543FA"/>
    <w:rsid w:val="00F54400"/>
    <w:rsid w:val="00F54421"/>
    <w:rsid w:val="00F544C0"/>
    <w:rsid w:val="00F54510"/>
    <w:rsid w:val="00F545BE"/>
    <w:rsid w:val="00F545F2"/>
    <w:rsid w:val="00F5463E"/>
    <w:rsid w:val="00F54697"/>
    <w:rsid w:val="00F546FB"/>
    <w:rsid w:val="00F5470F"/>
    <w:rsid w:val="00F5471E"/>
    <w:rsid w:val="00F5472E"/>
    <w:rsid w:val="00F54754"/>
    <w:rsid w:val="00F54759"/>
    <w:rsid w:val="00F547AE"/>
    <w:rsid w:val="00F547C1"/>
    <w:rsid w:val="00F547CD"/>
    <w:rsid w:val="00F547D9"/>
    <w:rsid w:val="00F5481F"/>
    <w:rsid w:val="00F54877"/>
    <w:rsid w:val="00F54916"/>
    <w:rsid w:val="00F54946"/>
    <w:rsid w:val="00F54951"/>
    <w:rsid w:val="00F54953"/>
    <w:rsid w:val="00F549BE"/>
    <w:rsid w:val="00F54A63"/>
    <w:rsid w:val="00F54A6E"/>
    <w:rsid w:val="00F54A85"/>
    <w:rsid w:val="00F54A8A"/>
    <w:rsid w:val="00F54B7E"/>
    <w:rsid w:val="00F54B92"/>
    <w:rsid w:val="00F54BEC"/>
    <w:rsid w:val="00F54C49"/>
    <w:rsid w:val="00F54C6E"/>
    <w:rsid w:val="00F54C8D"/>
    <w:rsid w:val="00F54C93"/>
    <w:rsid w:val="00F54CA1"/>
    <w:rsid w:val="00F54CD3"/>
    <w:rsid w:val="00F54CF9"/>
    <w:rsid w:val="00F54D24"/>
    <w:rsid w:val="00F54D87"/>
    <w:rsid w:val="00F54DA0"/>
    <w:rsid w:val="00F54E51"/>
    <w:rsid w:val="00F54E5B"/>
    <w:rsid w:val="00F54E6B"/>
    <w:rsid w:val="00F54F01"/>
    <w:rsid w:val="00F54F98"/>
    <w:rsid w:val="00F54FA5"/>
    <w:rsid w:val="00F54FD3"/>
    <w:rsid w:val="00F54FE3"/>
    <w:rsid w:val="00F54FEA"/>
    <w:rsid w:val="00F5504A"/>
    <w:rsid w:val="00F55061"/>
    <w:rsid w:val="00F55074"/>
    <w:rsid w:val="00F550F1"/>
    <w:rsid w:val="00F550F8"/>
    <w:rsid w:val="00F55135"/>
    <w:rsid w:val="00F55166"/>
    <w:rsid w:val="00F55183"/>
    <w:rsid w:val="00F55194"/>
    <w:rsid w:val="00F551CC"/>
    <w:rsid w:val="00F551EF"/>
    <w:rsid w:val="00F551F0"/>
    <w:rsid w:val="00F551FC"/>
    <w:rsid w:val="00F5523A"/>
    <w:rsid w:val="00F55284"/>
    <w:rsid w:val="00F5529B"/>
    <w:rsid w:val="00F552BA"/>
    <w:rsid w:val="00F552BB"/>
    <w:rsid w:val="00F552F8"/>
    <w:rsid w:val="00F55320"/>
    <w:rsid w:val="00F5532E"/>
    <w:rsid w:val="00F55336"/>
    <w:rsid w:val="00F5533F"/>
    <w:rsid w:val="00F55363"/>
    <w:rsid w:val="00F55366"/>
    <w:rsid w:val="00F5537E"/>
    <w:rsid w:val="00F553C6"/>
    <w:rsid w:val="00F553FE"/>
    <w:rsid w:val="00F55402"/>
    <w:rsid w:val="00F5541A"/>
    <w:rsid w:val="00F554CA"/>
    <w:rsid w:val="00F55502"/>
    <w:rsid w:val="00F5553E"/>
    <w:rsid w:val="00F55549"/>
    <w:rsid w:val="00F55551"/>
    <w:rsid w:val="00F55566"/>
    <w:rsid w:val="00F5558B"/>
    <w:rsid w:val="00F55599"/>
    <w:rsid w:val="00F5559A"/>
    <w:rsid w:val="00F555FA"/>
    <w:rsid w:val="00F55641"/>
    <w:rsid w:val="00F5568B"/>
    <w:rsid w:val="00F556D6"/>
    <w:rsid w:val="00F556F6"/>
    <w:rsid w:val="00F55740"/>
    <w:rsid w:val="00F5577E"/>
    <w:rsid w:val="00F557A6"/>
    <w:rsid w:val="00F557C7"/>
    <w:rsid w:val="00F5580A"/>
    <w:rsid w:val="00F55835"/>
    <w:rsid w:val="00F558C5"/>
    <w:rsid w:val="00F558E1"/>
    <w:rsid w:val="00F558E9"/>
    <w:rsid w:val="00F55993"/>
    <w:rsid w:val="00F5599C"/>
    <w:rsid w:val="00F559D8"/>
    <w:rsid w:val="00F55A05"/>
    <w:rsid w:val="00F55A32"/>
    <w:rsid w:val="00F55A86"/>
    <w:rsid w:val="00F55A9C"/>
    <w:rsid w:val="00F55B0C"/>
    <w:rsid w:val="00F55B1F"/>
    <w:rsid w:val="00F55B2A"/>
    <w:rsid w:val="00F55B3B"/>
    <w:rsid w:val="00F55BAF"/>
    <w:rsid w:val="00F55BD7"/>
    <w:rsid w:val="00F55C2F"/>
    <w:rsid w:val="00F55C3E"/>
    <w:rsid w:val="00F55C59"/>
    <w:rsid w:val="00F55C6E"/>
    <w:rsid w:val="00F55CC0"/>
    <w:rsid w:val="00F55CC7"/>
    <w:rsid w:val="00F55CD3"/>
    <w:rsid w:val="00F55CE7"/>
    <w:rsid w:val="00F55D34"/>
    <w:rsid w:val="00F55D49"/>
    <w:rsid w:val="00F55D73"/>
    <w:rsid w:val="00F55D77"/>
    <w:rsid w:val="00F55D87"/>
    <w:rsid w:val="00F55D8F"/>
    <w:rsid w:val="00F55DA1"/>
    <w:rsid w:val="00F55E0C"/>
    <w:rsid w:val="00F55E1D"/>
    <w:rsid w:val="00F55E3F"/>
    <w:rsid w:val="00F55E7F"/>
    <w:rsid w:val="00F55EAF"/>
    <w:rsid w:val="00F55ED4"/>
    <w:rsid w:val="00F55FAA"/>
    <w:rsid w:val="00F5602C"/>
    <w:rsid w:val="00F56047"/>
    <w:rsid w:val="00F56068"/>
    <w:rsid w:val="00F560AB"/>
    <w:rsid w:val="00F560B4"/>
    <w:rsid w:val="00F560C6"/>
    <w:rsid w:val="00F56106"/>
    <w:rsid w:val="00F5611E"/>
    <w:rsid w:val="00F561AF"/>
    <w:rsid w:val="00F561D2"/>
    <w:rsid w:val="00F561FE"/>
    <w:rsid w:val="00F56242"/>
    <w:rsid w:val="00F56375"/>
    <w:rsid w:val="00F5638D"/>
    <w:rsid w:val="00F563D7"/>
    <w:rsid w:val="00F563D8"/>
    <w:rsid w:val="00F563ED"/>
    <w:rsid w:val="00F5641D"/>
    <w:rsid w:val="00F56467"/>
    <w:rsid w:val="00F564CB"/>
    <w:rsid w:val="00F564D7"/>
    <w:rsid w:val="00F564F7"/>
    <w:rsid w:val="00F5652C"/>
    <w:rsid w:val="00F56577"/>
    <w:rsid w:val="00F56587"/>
    <w:rsid w:val="00F565DE"/>
    <w:rsid w:val="00F56648"/>
    <w:rsid w:val="00F5669E"/>
    <w:rsid w:val="00F566AB"/>
    <w:rsid w:val="00F566CF"/>
    <w:rsid w:val="00F566D5"/>
    <w:rsid w:val="00F566F2"/>
    <w:rsid w:val="00F566F5"/>
    <w:rsid w:val="00F56757"/>
    <w:rsid w:val="00F567D4"/>
    <w:rsid w:val="00F56817"/>
    <w:rsid w:val="00F5687C"/>
    <w:rsid w:val="00F56906"/>
    <w:rsid w:val="00F5691A"/>
    <w:rsid w:val="00F56958"/>
    <w:rsid w:val="00F56981"/>
    <w:rsid w:val="00F5699D"/>
    <w:rsid w:val="00F569E4"/>
    <w:rsid w:val="00F56A10"/>
    <w:rsid w:val="00F56A60"/>
    <w:rsid w:val="00F56A6B"/>
    <w:rsid w:val="00F56AB0"/>
    <w:rsid w:val="00F56AB6"/>
    <w:rsid w:val="00F56B0D"/>
    <w:rsid w:val="00F56BAA"/>
    <w:rsid w:val="00F56BBD"/>
    <w:rsid w:val="00F56C75"/>
    <w:rsid w:val="00F56C81"/>
    <w:rsid w:val="00F56C8B"/>
    <w:rsid w:val="00F56CA5"/>
    <w:rsid w:val="00F56CD9"/>
    <w:rsid w:val="00F56D59"/>
    <w:rsid w:val="00F56DFA"/>
    <w:rsid w:val="00F56E00"/>
    <w:rsid w:val="00F56E04"/>
    <w:rsid w:val="00F56E21"/>
    <w:rsid w:val="00F56E98"/>
    <w:rsid w:val="00F56F36"/>
    <w:rsid w:val="00F56F38"/>
    <w:rsid w:val="00F56F3A"/>
    <w:rsid w:val="00F56F7B"/>
    <w:rsid w:val="00F56F9A"/>
    <w:rsid w:val="00F56FEA"/>
    <w:rsid w:val="00F57041"/>
    <w:rsid w:val="00F57093"/>
    <w:rsid w:val="00F57100"/>
    <w:rsid w:val="00F5710B"/>
    <w:rsid w:val="00F57157"/>
    <w:rsid w:val="00F5719A"/>
    <w:rsid w:val="00F571B1"/>
    <w:rsid w:val="00F57240"/>
    <w:rsid w:val="00F57241"/>
    <w:rsid w:val="00F57262"/>
    <w:rsid w:val="00F5729F"/>
    <w:rsid w:val="00F572A1"/>
    <w:rsid w:val="00F572A9"/>
    <w:rsid w:val="00F572EC"/>
    <w:rsid w:val="00F572F3"/>
    <w:rsid w:val="00F572F9"/>
    <w:rsid w:val="00F57380"/>
    <w:rsid w:val="00F5739C"/>
    <w:rsid w:val="00F573B6"/>
    <w:rsid w:val="00F573EE"/>
    <w:rsid w:val="00F57407"/>
    <w:rsid w:val="00F574CF"/>
    <w:rsid w:val="00F57512"/>
    <w:rsid w:val="00F57561"/>
    <w:rsid w:val="00F57563"/>
    <w:rsid w:val="00F57567"/>
    <w:rsid w:val="00F575AA"/>
    <w:rsid w:val="00F575B2"/>
    <w:rsid w:val="00F575CD"/>
    <w:rsid w:val="00F575DC"/>
    <w:rsid w:val="00F575E8"/>
    <w:rsid w:val="00F57655"/>
    <w:rsid w:val="00F57659"/>
    <w:rsid w:val="00F57677"/>
    <w:rsid w:val="00F576AA"/>
    <w:rsid w:val="00F576B2"/>
    <w:rsid w:val="00F576B9"/>
    <w:rsid w:val="00F576C3"/>
    <w:rsid w:val="00F57708"/>
    <w:rsid w:val="00F57712"/>
    <w:rsid w:val="00F5771A"/>
    <w:rsid w:val="00F57740"/>
    <w:rsid w:val="00F5774B"/>
    <w:rsid w:val="00F57785"/>
    <w:rsid w:val="00F577E2"/>
    <w:rsid w:val="00F57855"/>
    <w:rsid w:val="00F57929"/>
    <w:rsid w:val="00F57995"/>
    <w:rsid w:val="00F579E4"/>
    <w:rsid w:val="00F57A33"/>
    <w:rsid w:val="00F57A41"/>
    <w:rsid w:val="00F57AA8"/>
    <w:rsid w:val="00F57AA9"/>
    <w:rsid w:val="00F57B7E"/>
    <w:rsid w:val="00F57B98"/>
    <w:rsid w:val="00F57C0A"/>
    <w:rsid w:val="00F57CEB"/>
    <w:rsid w:val="00F57D2E"/>
    <w:rsid w:val="00F57D3A"/>
    <w:rsid w:val="00F57D58"/>
    <w:rsid w:val="00F57D76"/>
    <w:rsid w:val="00F57DA2"/>
    <w:rsid w:val="00F57DAE"/>
    <w:rsid w:val="00F57E39"/>
    <w:rsid w:val="00F57E4E"/>
    <w:rsid w:val="00F57ED6"/>
    <w:rsid w:val="00F57EE7"/>
    <w:rsid w:val="00F57F44"/>
    <w:rsid w:val="00F57F52"/>
    <w:rsid w:val="00F57F63"/>
    <w:rsid w:val="00F57F8F"/>
    <w:rsid w:val="00F57F92"/>
    <w:rsid w:val="00F57FB3"/>
    <w:rsid w:val="00F57FCC"/>
    <w:rsid w:val="00F57FCF"/>
    <w:rsid w:val="00F57FD5"/>
    <w:rsid w:val="00F60044"/>
    <w:rsid w:val="00F60070"/>
    <w:rsid w:val="00F60078"/>
    <w:rsid w:val="00F60084"/>
    <w:rsid w:val="00F600E4"/>
    <w:rsid w:val="00F60142"/>
    <w:rsid w:val="00F6017D"/>
    <w:rsid w:val="00F601D1"/>
    <w:rsid w:val="00F601F4"/>
    <w:rsid w:val="00F6023C"/>
    <w:rsid w:val="00F602F8"/>
    <w:rsid w:val="00F60326"/>
    <w:rsid w:val="00F603F0"/>
    <w:rsid w:val="00F603F6"/>
    <w:rsid w:val="00F60452"/>
    <w:rsid w:val="00F6055E"/>
    <w:rsid w:val="00F60592"/>
    <w:rsid w:val="00F605AD"/>
    <w:rsid w:val="00F605E4"/>
    <w:rsid w:val="00F605F3"/>
    <w:rsid w:val="00F60671"/>
    <w:rsid w:val="00F60693"/>
    <w:rsid w:val="00F606A6"/>
    <w:rsid w:val="00F606B6"/>
    <w:rsid w:val="00F606F7"/>
    <w:rsid w:val="00F6078C"/>
    <w:rsid w:val="00F607AE"/>
    <w:rsid w:val="00F607AF"/>
    <w:rsid w:val="00F6082F"/>
    <w:rsid w:val="00F60846"/>
    <w:rsid w:val="00F60891"/>
    <w:rsid w:val="00F608C3"/>
    <w:rsid w:val="00F608FD"/>
    <w:rsid w:val="00F608FE"/>
    <w:rsid w:val="00F60901"/>
    <w:rsid w:val="00F60995"/>
    <w:rsid w:val="00F609A4"/>
    <w:rsid w:val="00F60A29"/>
    <w:rsid w:val="00F60A91"/>
    <w:rsid w:val="00F60AA3"/>
    <w:rsid w:val="00F60AC3"/>
    <w:rsid w:val="00F60B0D"/>
    <w:rsid w:val="00F60B15"/>
    <w:rsid w:val="00F60B4F"/>
    <w:rsid w:val="00F60B77"/>
    <w:rsid w:val="00F60B8B"/>
    <w:rsid w:val="00F60B95"/>
    <w:rsid w:val="00F60BEF"/>
    <w:rsid w:val="00F60BFB"/>
    <w:rsid w:val="00F60C3E"/>
    <w:rsid w:val="00F60CF5"/>
    <w:rsid w:val="00F60D1C"/>
    <w:rsid w:val="00F60DFE"/>
    <w:rsid w:val="00F60E04"/>
    <w:rsid w:val="00F60E5F"/>
    <w:rsid w:val="00F60E82"/>
    <w:rsid w:val="00F60ED9"/>
    <w:rsid w:val="00F60EEB"/>
    <w:rsid w:val="00F60F2E"/>
    <w:rsid w:val="00F60F87"/>
    <w:rsid w:val="00F60FA8"/>
    <w:rsid w:val="00F60FE6"/>
    <w:rsid w:val="00F6100F"/>
    <w:rsid w:val="00F61030"/>
    <w:rsid w:val="00F610A9"/>
    <w:rsid w:val="00F610B7"/>
    <w:rsid w:val="00F610D2"/>
    <w:rsid w:val="00F610D3"/>
    <w:rsid w:val="00F610F0"/>
    <w:rsid w:val="00F61108"/>
    <w:rsid w:val="00F61183"/>
    <w:rsid w:val="00F611A2"/>
    <w:rsid w:val="00F611CA"/>
    <w:rsid w:val="00F611CE"/>
    <w:rsid w:val="00F61239"/>
    <w:rsid w:val="00F61289"/>
    <w:rsid w:val="00F612C6"/>
    <w:rsid w:val="00F612E8"/>
    <w:rsid w:val="00F612ED"/>
    <w:rsid w:val="00F612F8"/>
    <w:rsid w:val="00F61311"/>
    <w:rsid w:val="00F6133D"/>
    <w:rsid w:val="00F61382"/>
    <w:rsid w:val="00F61402"/>
    <w:rsid w:val="00F61407"/>
    <w:rsid w:val="00F61477"/>
    <w:rsid w:val="00F61488"/>
    <w:rsid w:val="00F61499"/>
    <w:rsid w:val="00F614A6"/>
    <w:rsid w:val="00F614EF"/>
    <w:rsid w:val="00F61504"/>
    <w:rsid w:val="00F6151E"/>
    <w:rsid w:val="00F6153A"/>
    <w:rsid w:val="00F61544"/>
    <w:rsid w:val="00F61546"/>
    <w:rsid w:val="00F615A6"/>
    <w:rsid w:val="00F61645"/>
    <w:rsid w:val="00F6167F"/>
    <w:rsid w:val="00F616DA"/>
    <w:rsid w:val="00F617C8"/>
    <w:rsid w:val="00F617CE"/>
    <w:rsid w:val="00F61844"/>
    <w:rsid w:val="00F61867"/>
    <w:rsid w:val="00F6186B"/>
    <w:rsid w:val="00F618BC"/>
    <w:rsid w:val="00F618BD"/>
    <w:rsid w:val="00F61913"/>
    <w:rsid w:val="00F61968"/>
    <w:rsid w:val="00F61994"/>
    <w:rsid w:val="00F619D7"/>
    <w:rsid w:val="00F61A30"/>
    <w:rsid w:val="00F61A3D"/>
    <w:rsid w:val="00F61AB0"/>
    <w:rsid w:val="00F61ABD"/>
    <w:rsid w:val="00F61AC6"/>
    <w:rsid w:val="00F61AF0"/>
    <w:rsid w:val="00F61B6A"/>
    <w:rsid w:val="00F61C08"/>
    <w:rsid w:val="00F61C32"/>
    <w:rsid w:val="00F61C6B"/>
    <w:rsid w:val="00F61CE4"/>
    <w:rsid w:val="00F61CF2"/>
    <w:rsid w:val="00F61D03"/>
    <w:rsid w:val="00F61D3E"/>
    <w:rsid w:val="00F61D75"/>
    <w:rsid w:val="00F61DC6"/>
    <w:rsid w:val="00F61DD2"/>
    <w:rsid w:val="00F61DD5"/>
    <w:rsid w:val="00F61DDE"/>
    <w:rsid w:val="00F61DEB"/>
    <w:rsid w:val="00F61E00"/>
    <w:rsid w:val="00F61E40"/>
    <w:rsid w:val="00F61E74"/>
    <w:rsid w:val="00F61EA4"/>
    <w:rsid w:val="00F61EA7"/>
    <w:rsid w:val="00F61F09"/>
    <w:rsid w:val="00F61F1F"/>
    <w:rsid w:val="00F61F47"/>
    <w:rsid w:val="00F61F89"/>
    <w:rsid w:val="00F61FA4"/>
    <w:rsid w:val="00F61FE2"/>
    <w:rsid w:val="00F6202A"/>
    <w:rsid w:val="00F6203B"/>
    <w:rsid w:val="00F62049"/>
    <w:rsid w:val="00F6205A"/>
    <w:rsid w:val="00F620CF"/>
    <w:rsid w:val="00F620F8"/>
    <w:rsid w:val="00F62120"/>
    <w:rsid w:val="00F62125"/>
    <w:rsid w:val="00F621D3"/>
    <w:rsid w:val="00F621FA"/>
    <w:rsid w:val="00F62258"/>
    <w:rsid w:val="00F62259"/>
    <w:rsid w:val="00F62284"/>
    <w:rsid w:val="00F622CA"/>
    <w:rsid w:val="00F62351"/>
    <w:rsid w:val="00F623B9"/>
    <w:rsid w:val="00F62439"/>
    <w:rsid w:val="00F6243E"/>
    <w:rsid w:val="00F6248B"/>
    <w:rsid w:val="00F624A8"/>
    <w:rsid w:val="00F624D1"/>
    <w:rsid w:val="00F624D8"/>
    <w:rsid w:val="00F624DB"/>
    <w:rsid w:val="00F62533"/>
    <w:rsid w:val="00F62546"/>
    <w:rsid w:val="00F62548"/>
    <w:rsid w:val="00F6255E"/>
    <w:rsid w:val="00F62562"/>
    <w:rsid w:val="00F62565"/>
    <w:rsid w:val="00F625DF"/>
    <w:rsid w:val="00F625EA"/>
    <w:rsid w:val="00F62629"/>
    <w:rsid w:val="00F62650"/>
    <w:rsid w:val="00F626A9"/>
    <w:rsid w:val="00F626D8"/>
    <w:rsid w:val="00F6273F"/>
    <w:rsid w:val="00F62744"/>
    <w:rsid w:val="00F62754"/>
    <w:rsid w:val="00F6275E"/>
    <w:rsid w:val="00F62768"/>
    <w:rsid w:val="00F627A2"/>
    <w:rsid w:val="00F627AB"/>
    <w:rsid w:val="00F62860"/>
    <w:rsid w:val="00F62862"/>
    <w:rsid w:val="00F62888"/>
    <w:rsid w:val="00F6288B"/>
    <w:rsid w:val="00F628B3"/>
    <w:rsid w:val="00F628FC"/>
    <w:rsid w:val="00F62939"/>
    <w:rsid w:val="00F6295E"/>
    <w:rsid w:val="00F62962"/>
    <w:rsid w:val="00F62971"/>
    <w:rsid w:val="00F62972"/>
    <w:rsid w:val="00F629B6"/>
    <w:rsid w:val="00F629C4"/>
    <w:rsid w:val="00F629CC"/>
    <w:rsid w:val="00F629E0"/>
    <w:rsid w:val="00F62A0D"/>
    <w:rsid w:val="00F62A6B"/>
    <w:rsid w:val="00F62AA0"/>
    <w:rsid w:val="00F62AA8"/>
    <w:rsid w:val="00F62AB9"/>
    <w:rsid w:val="00F62B17"/>
    <w:rsid w:val="00F62B29"/>
    <w:rsid w:val="00F62BAE"/>
    <w:rsid w:val="00F62BDC"/>
    <w:rsid w:val="00F62BF3"/>
    <w:rsid w:val="00F62C05"/>
    <w:rsid w:val="00F62C3E"/>
    <w:rsid w:val="00F62C43"/>
    <w:rsid w:val="00F62D05"/>
    <w:rsid w:val="00F62D35"/>
    <w:rsid w:val="00F62DE1"/>
    <w:rsid w:val="00F62DF5"/>
    <w:rsid w:val="00F62E3D"/>
    <w:rsid w:val="00F62E4F"/>
    <w:rsid w:val="00F62E90"/>
    <w:rsid w:val="00F62EEA"/>
    <w:rsid w:val="00F62F30"/>
    <w:rsid w:val="00F62FC6"/>
    <w:rsid w:val="00F63035"/>
    <w:rsid w:val="00F6305A"/>
    <w:rsid w:val="00F63070"/>
    <w:rsid w:val="00F6308A"/>
    <w:rsid w:val="00F6311E"/>
    <w:rsid w:val="00F6312B"/>
    <w:rsid w:val="00F631F7"/>
    <w:rsid w:val="00F63202"/>
    <w:rsid w:val="00F6328D"/>
    <w:rsid w:val="00F6329B"/>
    <w:rsid w:val="00F632A0"/>
    <w:rsid w:val="00F63311"/>
    <w:rsid w:val="00F6331A"/>
    <w:rsid w:val="00F63346"/>
    <w:rsid w:val="00F633C6"/>
    <w:rsid w:val="00F63407"/>
    <w:rsid w:val="00F63455"/>
    <w:rsid w:val="00F63462"/>
    <w:rsid w:val="00F63488"/>
    <w:rsid w:val="00F634A8"/>
    <w:rsid w:val="00F6352A"/>
    <w:rsid w:val="00F6358F"/>
    <w:rsid w:val="00F63592"/>
    <w:rsid w:val="00F635EA"/>
    <w:rsid w:val="00F635F3"/>
    <w:rsid w:val="00F63677"/>
    <w:rsid w:val="00F636A3"/>
    <w:rsid w:val="00F636B0"/>
    <w:rsid w:val="00F636DD"/>
    <w:rsid w:val="00F636F5"/>
    <w:rsid w:val="00F63731"/>
    <w:rsid w:val="00F63758"/>
    <w:rsid w:val="00F63778"/>
    <w:rsid w:val="00F637BF"/>
    <w:rsid w:val="00F637D7"/>
    <w:rsid w:val="00F637D9"/>
    <w:rsid w:val="00F6387F"/>
    <w:rsid w:val="00F638B2"/>
    <w:rsid w:val="00F638CF"/>
    <w:rsid w:val="00F6393B"/>
    <w:rsid w:val="00F63996"/>
    <w:rsid w:val="00F63A1A"/>
    <w:rsid w:val="00F63A23"/>
    <w:rsid w:val="00F63A88"/>
    <w:rsid w:val="00F63A96"/>
    <w:rsid w:val="00F63AAB"/>
    <w:rsid w:val="00F63AF9"/>
    <w:rsid w:val="00F63B37"/>
    <w:rsid w:val="00F63B86"/>
    <w:rsid w:val="00F63B93"/>
    <w:rsid w:val="00F63BCE"/>
    <w:rsid w:val="00F63BE7"/>
    <w:rsid w:val="00F63C26"/>
    <w:rsid w:val="00F63C27"/>
    <w:rsid w:val="00F63C7A"/>
    <w:rsid w:val="00F63CAF"/>
    <w:rsid w:val="00F63CB5"/>
    <w:rsid w:val="00F63D6C"/>
    <w:rsid w:val="00F63D79"/>
    <w:rsid w:val="00F63DB4"/>
    <w:rsid w:val="00F63E41"/>
    <w:rsid w:val="00F63E5C"/>
    <w:rsid w:val="00F63E60"/>
    <w:rsid w:val="00F63E85"/>
    <w:rsid w:val="00F63EC4"/>
    <w:rsid w:val="00F63EFB"/>
    <w:rsid w:val="00F63F11"/>
    <w:rsid w:val="00F63F21"/>
    <w:rsid w:val="00F63F28"/>
    <w:rsid w:val="00F63F39"/>
    <w:rsid w:val="00F63F46"/>
    <w:rsid w:val="00F63F4D"/>
    <w:rsid w:val="00F63F6D"/>
    <w:rsid w:val="00F63FBE"/>
    <w:rsid w:val="00F63FF2"/>
    <w:rsid w:val="00F6402D"/>
    <w:rsid w:val="00F64054"/>
    <w:rsid w:val="00F6405B"/>
    <w:rsid w:val="00F6406C"/>
    <w:rsid w:val="00F6407F"/>
    <w:rsid w:val="00F640AC"/>
    <w:rsid w:val="00F64108"/>
    <w:rsid w:val="00F64132"/>
    <w:rsid w:val="00F64169"/>
    <w:rsid w:val="00F6421E"/>
    <w:rsid w:val="00F64224"/>
    <w:rsid w:val="00F64252"/>
    <w:rsid w:val="00F64257"/>
    <w:rsid w:val="00F64261"/>
    <w:rsid w:val="00F642C4"/>
    <w:rsid w:val="00F6431D"/>
    <w:rsid w:val="00F6432C"/>
    <w:rsid w:val="00F64397"/>
    <w:rsid w:val="00F64400"/>
    <w:rsid w:val="00F6442A"/>
    <w:rsid w:val="00F644B2"/>
    <w:rsid w:val="00F644BA"/>
    <w:rsid w:val="00F6454A"/>
    <w:rsid w:val="00F64572"/>
    <w:rsid w:val="00F64658"/>
    <w:rsid w:val="00F646D4"/>
    <w:rsid w:val="00F64763"/>
    <w:rsid w:val="00F64767"/>
    <w:rsid w:val="00F64784"/>
    <w:rsid w:val="00F647AE"/>
    <w:rsid w:val="00F647D6"/>
    <w:rsid w:val="00F647DB"/>
    <w:rsid w:val="00F647DC"/>
    <w:rsid w:val="00F647DF"/>
    <w:rsid w:val="00F64812"/>
    <w:rsid w:val="00F64847"/>
    <w:rsid w:val="00F648B1"/>
    <w:rsid w:val="00F648FF"/>
    <w:rsid w:val="00F64930"/>
    <w:rsid w:val="00F64953"/>
    <w:rsid w:val="00F64956"/>
    <w:rsid w:val="00F6496C"/>
    <w:rsid w:val="00F649EE"/>
    <w:rsid w:val="00F64A05"/>
    <w:rsid w:val="00F64A72"/>
    <w:rsid w:val="00F64AA7"/>
    <w:rsid w:val="00F64ADF"/>
    <w:rsid w:val="00F64AF6"/>
    <w:rsid w:val="00F64AFD"/>
    <w:rsid w:val="00F64B25"/>
    <w:rsid w:val="00F64B58"/>
    <w:rsid w:val="00F64B8D"/>
    <w:rsid w:val="00F64C8A"/>
    <w:rsid w:val="00F64CE5"/>
    <w:rsid w:val="00F64D18"/>
    <w:rsid w:val="00F64D1C"/>
    <w:rsid w:val="00F64D88"/>
    <w:rsid w:val="00F64D90"/>
    <w:rsid w:val="00F64DCB"/>
    <w:rsid w:val="00F64DEF"/>
    <w:rsid w:val="00F64DF4"/>
    <w:rsid w:val="00F64E45"/>
    <w:rsid w:val="00F64E7A"/>
    <w:rsid w:val="00F64EAF"/>
    <w:rsid w:val="00F64EE8"/>
    <w:rsid w:val="00F64F78"/>
    <w:rsid w:val="00F64FD1"/>
    <w:rsid w:val="00F64FE0"/>
    <w:rsid w:val="00F65016"/>
    <w:rsid w:val="00F65070"/>
    <w:rsid w:val="00F6507D"/>
    <w:rsid w:val="00F6509A"/>
    <w:rsid w:val="00F650A0"/>
    <w:rsid w:val="00F650A2"/>
    <w:rsid w:val="00F650ED"/>
    <w:rsid w:val="00F650FE"/>
    <w:rsid w:val="00F65114"/>
    <w:rsid w:val="00F6512C"/>
    <w:rsid w:val="00F65132"/>
    <w:rsid w:val="00F65158"/>
    <w:rsid w:val="00F6515E"/>
    <w:rsid w:val="00F651BA"/>
    <w:rsid w:val="00F651BB"/>
    <w:rsid w:val="00F651F2"/>
    <w:rsid w:val="00F652AF"/>
    <w:rsid w:val="00F6532C"/>
    <w:rsid w:val="00F65333"/>
    <w:rsid w:val="00F65370"/>
    <w:rsid w:val="00F653C0"/>
    <w:rsid w:val="00F65443"/>
    <w:rsid w:val="00F65470"/>
    <w:rsid w:val="00F6547E"/>
    <w:rsid w:val="00F654E5"/>
    <w:rsid w:val="00F65525"/>
    <w:rsid w:val="00F65561"/>
    <w:rsid w:val="00F655B0"/>
    <w:rsid w:val="00F6567C"/>
    <w:rsid w:val="00F656CE"/>
    <w:rsid w:val="00F656E9"/>
    <w:rsid w:val="00F65759"/>
    <w:rsid w:val="00F65780"/>
    <w:rsid w:val="00F65799"/>
    <w:rsid w:val="00F657A5"/>
    <w:rsid w:val="00F65917"/>
    <w:rsid w:val="00F65981"/>
    <w:rsid w:val="00F6599B"/>
    <w:rsid w:val="00F65AC8"/>
    <w:rsid w:val="00F65AD8"/>
    <w:rsid w:val="00F65B22"/>
    <w:rsid w:val="00F65B33"/>
    <w:rsid w:val="00F65B58"/>
    <w:rsid w:val="00F65B65"/>
    <w:rsid w:val="00F65BFF"/>
    <w:rsid w:val="00F65C41"/>
    <w:rsid w:val="00F65CA4"/>
    <w:rsid w:val="00F65D19"/>
    <w:rsid w:val="00F65D46"/>
    <w:rsid w:val="00F65D55"/>
    <w:rsid w:val="00F65D7A"/>
    <w:rsid w:val="00F65DC9"/>
    <w:rsid w:val="00F65DF0"/>
    <w:rsid w:val="00F65E0B"/>
    <w:rsid w:val="00F65E22"/>
    <w:rsid w:val="00F65E6E"/>
    <w:rsid w:val="00F65F0C"/>
    <w:rsid w:val="00F65FCA"/>
    <w:rsid w:val="00F66003"/>
    <w:rsid w:val="00F6607B"/>
    <w:rsid w:val="00F660CB"/>
    <w:rsid w:val="00F661A0"/>
    <w:rsid w:val="00F661ED"/>
    <w:rsid w:val="00F66297"/>
    <w:rsid w:val="00F662B5"/>
    <w:rsid w:val="00F662F3"/>
    <w:rsid w:val="00F66448"/>
    <w:rsid w:val="00F66482"/>
    <w:rsid w:val="00F6648D"/>
    <w:rsid w:val="00F66492"/>
    <w:rsid w:val="00F6649A"/>
    <w:rsid w:val="00F6649F"/>
    <w:rsid w:val="00F664C8"/>
    <w:rsid w:val="00F6655E"/>
    <w:rsid w:val="00F6656B"/>
    <w:rsid w:val="00F6656D"/>
    <w:rsid w:val="00F665B3"/>
    <w:rsid w:val="00F6663A"/>
    <w:rsid w:val="00F6664B"/>
    <w:rsid w:val="00F66654"/>
    <w:rsid w:val="00F66657"/>
    <w:rsid w:val="00F6665E"/>
    <w:rsid w:val="00F66666"/>
    <w:rsid w:val="00F666EF"/>
    <w:rsid w:val="00F6671C"/>
    <w:rsid w:val="00F6675A"/>
    <w:rsid w:val="00F66768"/>
    <w:rsid w:val="00F66838"/>
    <w:rsid w:val="00F66843"/>
    <w:rsid w:val="00F668B0"/>
    <w:rsid w:val="00F668C0"/>
    <w:rsid w:val="00F668E7"/>
    <w:rsid w:val="00F668F3"/>
    <w:rsid w:val="00F66924"/>
    <w:rsid w:val="00F669BF"/>
    <w:rsid w:val="00F669C5"/>
    <w:rsid w:val="00F66A46"/>
    <w:rsid w:val="00F66A6D"/>
    <w:rsid w:val="00F66A76"/>
    <w:rsid w:val="00F66A7D"/>
    <w:rsid w:val="00F66B26"/>
    <w:rsid w:val="00F66BD2"/>
    <w:rsid w:val="00F66BE0"/>
    <w:rsid w:val="00F66C55"/>
    <w:rsid w:val="00F66C57"/>
    <w:rsid w:val="00F66CB8"/>
    <w:rsid w:val="00F66CC7"/>
    <w:rsid w:val="00F66D64"/>
    <w:rsid w:val="00F66DA7"/>
    <w:rsid w:val="00F66DB9"/>
    <w:rsid w:val="00F66E3A"/>
    <w:rsid w:val="00F66E3B"/>
    <w:rsid w:val="00F66E53"/>
    <w:rsid w:val="00F66EA0"/>
    <w:rsid w:val="00F66ED2"/>
    <w:rsid w:val="00F66EF3"/>
    <w:rsid w:val="00F66F2B"/>
    <w:rsid w:val="00F66FC8"/>
    <w:rsid w:val="00F67041"/>
    <w:rsid w:val="00F67055"/>
    <w:rsid w:val="00F670BB"/>
    <w:rsid w:val="00F670C9"/>
    <w:rsid w:val="00F671F0"/>
    <w:rsid w:val="00F67208"/>
    <w:rsid w:val="00F6722D"/>
    <w:rsid w:val="00F6729A"/>
    <w:rsid w:val="00F672EC"/>
    <w:rsid w:val="00F67305"/>
    <w:rsid w:val="00F67311"/>
    <w:rsid w:val="00F67329"/>
    <w:rsid w:val="00F67330"/>
    <w:rsid w:val="00F67342"/>
    <w:rsid w:val="00F67357"/>
    <w:rsid w:val="00F6739E"/>
    <w:rsid w:val="00F673C6"/>
    <w:rsid w:val="00F673C9"/>
    <w:rsid w:val="00F6742E"/>
    <w:rsid w:val="00F67430"/>
    <w:rsid w:val="00F67437"/>
    <w:rsid w:val="00F67458"/>
    <w:rsid w:val="00F6746A"/>
    <w:rsid w:val="00F6748F"/>
    <w:rsid w:val="00F6749F"/>
    <w:rsid w:val="00F674B2"/>
    <w:rsid w:val="00F674BB"/>
    <w:rsid w:val="00F67502"/>
    <w:rsid w:val="00F67533"/>
    <w:rsid w:val="00F67564"/>
    <w:rsid w:val="00F6756C"/>
    <w:rsid w:val="00F6756F"/>
    <w:rsid w:val="00F6757E"/>
    <w:rsid w:val="00F67594"/>
    <w:rsid w:val="00F675AE"/>
    <w:rsid w:val="00F675E0"/>
    <w:rsid w:val="00F675FB"/>
    <w:rsid w:val="00F67601"/>
    <w:rsid w:val="00F67680"/>
    <w:rsid w:val="00F676E8"/>
    <w:rsid w:val="00F67722"/>
    <w:rsid w:val="00F6772B"/>
    <w:rsid w:val="00F67730"/>
    <w:rsid w:val="00F67765"/>
    <w:rsid w:val="00F677E3"/>
    <w:rsid w:val="00F6783B"/>
    <w:rsid w:val="00F67895"/>
    <w:rsid w:val="00F678B8"/>
    <w:rsid w:val="00F678D9"/>
    <w:rsid w:val="00F679B6"/>
    <w:rsid w:val="00F679BB"/>
    <w:rsid w:val="00F679E1"/>
    <w:rsid w:val="00F679E7"/>
    <w:rsid w:val="00F67A01"/>
    <w:rsid w:val="00F67A24"/>
    <w:rsid w:val="00F67A25"/>
    <w:rsid w:val="00F67A30"/>
    <w:rsid w:val="00F67A95"/>
    <w:rsid w:val="00F67AD3"/>
    <w:rsid w:val="00F67AEB"/>
    <w:rsid w:val="00F67B1B"/>
    <w:rsid w:val="00F67B2E"/>
    <w:rsid w:val="00F67B87"/>
    <w:rsid w:val="00F67BA6"/>
    <w:rsid w:val="00F67BAF"/>
    <w:rsid w:val="00F67BC0"/>
    <w:rsid w:val="00F67BF3"/>
    <w:rsid w:val="00F67C10"/>
    <w:rsid w:val="00F67C14"/>
    <w:rsid w:val="00F67C56"/>
    <w:rsid w:val="00F67CD8"/>
    <w:rsid w:val="00F67CDF"/>
    <w:rsid w:val="00F67D24"/>
    <w:rsid w:val="00F67E29"/>
    <w:rsid w:val="00F67E38"/>
    <w:rsid w:val="00F67E69"/>
    <w:rsid w:val="00F67E8E"/>
    <w:rsid w:val="00F67EB3"/>
    <w:rsid w:val="00F67EB5"/>
    <w:rsid w:val="00F67EB6"/>
    <w:rsid w:val="00F67ED8"/>
    <w:rsid w:val="00F67EF0"/>
    <w:rsid w:val="00F67F77"/>
    <w:rsid w:val="00F67F8C"/>
    <w:rsid w:val="00F67FBC"/>
    <w:rsid w:val="00F67FCE"/>
    <w:rsid w:val="00F70046"/>
    <w:rsid w:val="00F7006C"/>
    <w:rsid w:val="00F700AB"/>
    <w:rsid w:val="00F70143"/>
    <w:rsid w:val="00F7018A"/>
    <w:rsid w:val="00F701C9"/>
    <w:rsid w:val="00F701EF"/>
    <w:rsid w:val="00F70210"/>
    <w:rsid w:val="00F70267"/>
    <w:rsid w:val="00F7027E"/>
    <w:rsid w:val="00F70296"/>
    <w:rsid w:val="00F702AE"/>
    <w:rsid w:val="00F70322"/>
    <w:rsid w:val="00F70351"/>
    <w:rsid w:val="00F70396"/>
    <w:rsid w:val="00F703C4"/>
    <w:rsid w:val="00F703F3"/>
    <w:rsid w:val="00F703F5"/>
    <w:rsid w:val="00F704B7"/>
    <w:rsid w:val="00F704E3"/>
    <w:rsid w:val="00F70541"/>
    <w:rsid w:val="00F70555"/>
    <w:rsid w:val="00F7057B"/>
    <w:rsid w:val="00F705BC"/>
    <w:rsid w:val="00F705FC"/>
    <w:rsid w:val="00F70677"/>
    <w:rsid w:val="00F7068E"/>
    <w:rsid w:val="00F706F7"/>
    <w:rsid w:val="00F70704"/>
    <w:rsid w:val="00F70714"/>
    <w:rsid w:val="00F707A0"/>
    <w:rsid w:val="00F707A4"/>
    <w:rsid w:val="00F707B3"/>
    <w:rsid w:val="00F707D1"/>
    <w:rsid w:val="00F707DE"/>
    <w:rsid w:val="00F70898"/>
    <w:rsid w:val="00F708CC"/>
    <w:rsid w:val="00F708CD"/>
    <w:rsid w:val="00F70922"/>
    <w:rsid w:val="00F70935"/>
    <w:rsid w:val="00F70939"/>
    <w:rsid w:val="00F7093B"/>
    <w:rsid w:val="00F709B4"/>
    <w:rsid w:val="00F709E3"/>
    <w:rsid w:val="00F70A0E"/>
    <w:rsid w:val="00F70A15"/>
    <w:rsid w:val="00F70AE0"/>
    <w:rsid w:val="00F70AFB"/>
    <w:rsid w:val="00F70B03"/>
    <w:rsid w:val="00F70BD5"/>
    <w:rsid w:val="00F70BED"/>
    <w:rsid w:val="00F70C1E"/>
    <w:rsid w:val="00F70C24"/>
    <w:rsid w:val="00F70C64"/>
    <w:rsid w:val="00F70D96"/>
    <w:rsid w:val="00F70DEB"/>
    <w:rsid w:val="00F70DFD"/>
    <w:rsid w:val="00F70EC3"/>
    <w:rsid w:val="00F70ECA"/>
    <w:rsid w:val="00F70EE7"/>
    <w:rsid w:val="00F70F49"/>
    <w:rsid w:val="00F70F51"/>
    <w:rsid w:val="00F70FA2"/>
    <w:rsid w:val="00F70FD2"/>
    <w:rsid w:val="00F70FFA"/>
    <w:rsid w:val="00F7106A"/>
    <w:rsid w:val="00F7107F"/>
    <w:rsid w:val="00F71087"/>
    <w:rsid w:val="00F71101"/>
    <w:rsid w:val="00F7110A"/>
    <w:rsid w:val="00F7116E"/>
    <w:rsid w:val="00F711F3"/>
    <w:rsid w:val="00F71226"/>
    <w:rsid w:val="00F71261"/>
    <w:rsid w:val="00F71272"/>
    <w:rsid w:val="00F7127C"/>
    <w:rsid w:val="00F7127E"/>
    <w:rsid w:val="00F7129C"/>
    <w:rsid w:val="00F71326"/>
    <w:rsid w:val="00F71389"/>
    <w:rsid w:val="00F71393"/>
    <w:rsid w:val="00F713B0"/>
    <w:rsid w:val="00F713C2"/>
    <w:rsid w:val="00F71424"/>
    <w:rsid w:val="00F71527"/>
    <w:rsid w:val="00F7157F"/>
    <w:rsid w:val="00F715ED"/>
    <w:rsid w:val="00F715F3"/>
    <w:rsid w:val="00F715FB"/>
    <w:rsid w:val="00F71613"/>
    <w:rsid w:val="00F71639"/>
    <w:rsid w:val="00F71645"/>
    <w:rsid w:val="00F716AE"/>
    <w:rsid w:val="00F716C3"/>
    <w:rsid w:val="00F716F8"/>
    <w:rsid w:val="00F7173B"/>
    <w:rsid w:val="00F7173C"/>
    <w:rsid w:val="00F7176A"/>
    <w:rsid w:val="00F7176D"/>
    <w:rsid w:val="00F71794"/>
    <w:rsid w:val="00F717E2"/>
    <w:rsid w:val="00F717FB"/>
    <w:rsid w:val="00F71834"/>
    <w:rsid w:val="00F71866"/>
    <w:rsid w:val="00F7186F"/>
    <w:rsid w:val="00F718DB"/>
    <w:rsid w:val="00F71945"/>
    <w:rsid w:val="00F71965"/>
    <w:rsid w:val="00F71A5B"/>
    <w:rsid w:val="00F71A74"/>
    <w:rsid w:val="00F71A8C"/>
    <w:rsid w:val="00F71A9E"/>
    <w:rsid w:val="00F71AFD"/>
    <w:rsid w:val="00F71B17"/>
    <w:rsid w:val="00F71B4E"/>
    <w:rsid w:val="00F71B52"/>
    <w:rsid w:val="00F71B55"/>
    <w:rsid w:val="00F71B66"/>
    <w:rsid w:val="00F71BF2"/>
    <w:rsid w:val="00F71C18"/>
    <w:rsid w:val="00F71C42"/>
    <w:rsid w:val="00F71D4E"/>
    <w:rsid w:val="00F71D5A"/>
    <w:rsid w:val="00F71D66"/>
    <w:rsid w:val="00F71D70"/>
    <w:rsid w:val="00F71D87"/>
    <w:rsid w:val="00F71D93"/>
    <w:rsid w:val="00F71E11"/>
    <w:rsid w:val="00F71E63"/>
    <w:rsid w:val="00F71E6A"/>
    <w:rsid w:val="00F71F10"/>
    <w:rsid w:val="00F71F1E"/>
    <w:rsid w:val="00F71F6D"/>
    <w:rsid w:val="00F71F78"/>
    <w:rsid w:val="00F7205F"/>
    <w:rsid w:val="00F720C2"/>
    <w:rsid w:val="00F720F4"/>
    <w:rsid w:val="00F72152"/>
    <w:rsid w:val="00F72181"/>
    <w:rsid w:val="00F721C6"/>
    <w:rsid w:val="00F721E3"/>
    <w:rsid w:val="00F721F6"/>
    <w:rsid w:val="00F721F7"/>
    <w:rsid w:val="00F72234"/>
    <w:rsid w:val="00F7224F"/>
    <w:rsid w:val="00F72257"/>
    <w:rsid w:val="00F722A8"/>
    <w:rsid w:val="00F722B0"/>
    <w:rsid w:val="00F722F2"/>
    <w:rsid w:val="00F72337"/>
    <w:rsid w:val="00F7233B"/>
    <w:rsid w:val="00F72355"/>
    <w:rsid w:val="00F723D7"/>
    <w:rsid w:val="00F723FA"/>
    <w:rsid w:val="00F72409"/>
    <w:rsid w:val="00F724B3"/>
    <w:rsid w:val="00F724EE"/>
    <w:rsid w:val="00F72517"/>
    <w:rsid w:val="00F7254A"/>
    <w:rsid w:val="00F72562"/>
    <w:rsid w:val="00F72568"/>
    <w:rsid w:val="00F725A2"/>
    <w:rsid w:val="00F725AF"/>
    <w:rsid w:val="00F725B6"/>
    <w:rsid w:val="00F725BA"/>
    <w:rsid w:val="00F725DE"/>
    <w:rsid w:val="00F725E5"/>
    <w:rsid w:val="00F72633"/>
    <w:rsid w:val="00F72645"/>
    <w:rsid w:val="00F72685"/>
    <w:rsid w:val="00F7269F"/>
    <w:rsid w:val="00F726EB"/>
    <w:rsid w:val="00F72742"/>
    <w:rsid w:val="00F727F2"/>
    <w:rsid w:val="00F72835"/>
    <w:rsid w:val="00F72865"/>
    <w:rsid w:val="00F728A5"/>
    <w:rsid w:val="00F728B6"/>
    <w:rsid w:val="00F728E0"/>
    <w:rsid w:val="00F728ED"/>
    <w:rsid w:val="00F728FF"/>
    <w:rsid w:val="00F7292C"/>
    <w:rsid w:val="00F7293D"/>
    <w:rsid w:val="00F72952"/>
    <w:rsid w:val="00F729FF"/>
    <w:rsid w:val="00F72A07"/>
    <w:rsid w:val="00F72A1C"/>
    <w:rsid w:val="00F72A25"/>
    <w:rsid w:val="00F72A40"/>
    <w:rsid w:val="00F72A63"/>
    <w:rsid w:val="00F72A99"/>
    <w:rsid w:val="00F72AA6"/>
    <w:rsid w:val="00F72AAE"/>
    <w:rsid w:val="00F72AD2"/>
    <w:rsid w:val="00F72ADE"/>
    <w:rsid w:val="00F72B37"/>
    <w:rsid w:val="00F72B4F"/>
    <w:rsid w:val="00F72B75"/>
    <w:rsid w:val="00F72BC2"/>
    <w:rsid w:val="00F72BDE"/>
    <w:rsid w:val="00F72C25"/>
    <w:rsid w:val="00F72C66"/>
    <w:rsid w:val="00F72C7D"/>
    <w:rsid w:val="00F72C9E"/>
    <w:rsid w:val="00F72D43"/>
    <w:rsid w:val="00F72D61"/>
    <w:rsid w:val="00F72D94"/>
    <w:rsid w:val="00F72E07"/>
    <w:rsid w:val="00F72E15"/>
    <w:rsid w:val="00F72E63"/>
    <w:rsid w:val="00F72E6F"/>
    <w:rsid w:val="00F72E99"/>
    <w:rsid w:val="00F72EB2"/>
    <w:rsid w:val="00F72F18"/>
    <w:rsid w:val="00F72F5F"/>
    <w:rsid w:val="00F72F71"/>
    <w:rsid w:val="00F72F8E"/>
    <w:rsid w:val="00F73014"/>
    <w:rsid w:val="00F73020"/>
    <w:rsid w:val="00F73046"/>
    <w:rsid w:val="00F73137"/>
    <w:rsid w:val="00F73154"/>
    <w:rsid w:val="00F7317F"/>
    <w:rsid w:val="00F73188"/>
    <w:rsid w:val="00F731AF"/>
    <w:rsid w:val="00F731D4"/>
    <w:rsid w:val="00F731EF"/>
    <w:rsid w:val="00F7320C"/>
    <w:rsid w:val="00F73241"/>
    <w:rsid w:val="00F73265"/>
    <w:rsid w:val="00F73268"/>
    <w:rsid w:val="00F732EB"/>
    <w:rsid w:val="00F732ED"/>
    <w:rsid w:val="00F732EF"/>
    <w:rsid w:val="00F73362"/>
    <w:rsid w:val="00F73366"/>
    <w:rsid w:val="00F73391"/>
    <w:rsid w:val="00F733A8"/>
    <w:rsid w:val="00F733D0"/>
    <w:rsid w:val="00F73451"/>
    <w:rsid w:val="00F73486"/>
    <w:rsid w:val="00F734C9"/>
    <w:rsid w:val="00F734D1"/>
    <w:rsid w:val="00F734E9"/>
    <w:rsid w:val="00F73537"/>
    <w:rsid w:val="00F7359B"/>
    <w:rsid w:val="00F7363C"/>
    <w:rsid w:val="00F736A4"/>
    <w:rsid w:val="00F736AC"/>
    <w:rsid w:val="00F73744"/>
    <w:rsid w:val="00F7376C"/>
    <w:rsid w:val="00F73782"/>
    <w:rsid w:val="00F737DA"/>
    <w:rsid w:val="00F73848"/>
    <w:rsid w:val="00F7384D"/>
    <w:rsid w:val="00F73894"/>
    <w:rsid w:val="00F7391C"/>
    <w:rsid w:val="00F73978"/>
    <w:rsid w:val="00F7397F"/>
    <w:rsid w:val="00F7399C"/>
    <w:rsid w:val="00F739DC"/>
    <w:rsid w:val="00F739E5"/>
    <w:rsid w:val="00F73A2F"/>
    <w:rsid w:val="00F73A3C"/>
    <w:rsid w:val="00F73A55"/>
    <w:rsid w:val="00F73A7E"/>
    <w:rsid w:val="00F73A7F"/>
    <w:rsid w:val="00F73A93"/>
    <w:rsid w:val="00F73AB0"/>
    <w:rsid w:val="00F73B04"/>
    <w:rsid w:val="00F73B4A"/>
    <w:rsid w:val="00F73B4E"/>
    <w:rsid w:val="00F73BF5"/>
    <w:rsid w:val="00F73C01"/>
    <w:rsid w:val="00F73C06"/>
    <w:rsid w:val="00F73C2B"/>
    <w:rsid w:val="00F73C36"/>
    <w:rsid w:val="00F73C3D"/>
    <w:rsid w:val="00F73C53"/>
    <w:rsid w:val="00F73D0A"/>
    <w:rsid w:val="00F73D7C"/>
    <w:rsid w:val="00F73D9C"/>
    <w:rsid w:val="00F73DAA"/>
    <w:rsid w:val="00F73E5B"/>
    <w:rsid w:val="00F73E65"/>
    <w:rsid w:val="00F73E6A"/>
    <w:rsid w:val="00F73E9B"/>
    <w:rsid w:val="00F73F10"/>
    <w:rsid w:val="00F73F16"/>
    <w:rsid w:val="00F73F1E"/>
    <w:rsid w:val="00F73F3F"/>
    <w:rsid w:val="00F73F63"/>
    <w:rsid w:val="00F7401A"/>
    <w:rsid w:val="00F74035"/>
    <w:rsid w:val="00F74097"/>
    <w:rsid w:val="00F740A6"/>
    <w:rsid w:val="00F740D0"/>
    <w:rsid w:val="00F7410C"/>
    <w:rsid w:val="00F7411E"/>
    <w:rsid w:val="00F74133"/>
    <w:rsid w:val="00F74198"/>
    <w:rsid w:val="00F74238"/>
    <w:rsid w:val="00F74239"/>
    <w:rsid w:val="00F74240"/>
    <w:rsid w:val="00F74267"/>
    <w:rsid w:val="00F74278"/>
    <w:rsid w:val="00F74281"/>
    <w:rsid w:val="00F742ED"/>
    <w:rsid w:val="00F74306"/>
    <w:rsid w:val="00F7430D"/>
    <w:rsid w:val="00F7431B"/>
    <w:rsid w:val="00F74329"/>
    <w:rsid w:val="00F743B4"/>
    <w:rsid w:val="00F743FF"/>
    <w:rsid w:val="00F74474"/>
    <w:rsid w:val="00F744AF"/>
    <w:rsid w:val="00F744D2"/>
    <w:rsid w:val="00F74520"/>
    <w:rsid w:val="00F7458A"/>
    <w:rsid w:val="00F745B6"/>
    <w:rsid w:val="00F746B9"/>
    <w:rsid w:val="00F74722"/>
    <w:rsid w:val="00F7472F"/>
    <w:rsid w:val="00F74754"/>
    <w:rsid w:val="00F74757"/>
    <w:rsid w:val="00F747DE"/>
    <w:rsid w:val="00F74805"/>
    <w:rsid w:val="00F7481A"/>
    <w:rsid w:val="00F7485A"/>
    <w:rsid w:val="00F7486A"/>
    <w:rsid w:val="00F748E6"/>
    <w:rsid w:val="00F74910"/>
    <w:rsid w:val="00F74941"/>
    <w:rsid w:val="00F74972"/>
    <w:rsid w:val="00F74982"/>
    <w:rsid w:val="00F749B9"/>
    <w:rsid w:val="00F749F1"/>
    <w:rsid w:val="00F74A0B"/>
    <w:rsid w:val="00F74A45"/>
    <w:rsid w:val="00F74A55"/>
    <w:rsid w:val="00F74B3F"/>
    <w:rsid w:val="00F74B52"/>
    <w:rsid w:val="00F74B58"/>
    <w:rsid w:val="00F74B7A"/>
    <w:rsid w:val="00F74BA6"/>
    <w:rsid w:val="00F74BBF"/>
    <w:rsid w:val="00F74BFB"/>
    <w:rsid w:val="00F74C05"/>
    <w:rsid w:val="00F74C11"/>
    <w:rsid w:val="00F74C21"/>
    <w:rsid w:val="00F74C41"/>
    <w:rsid w:val="00F74C67"/>
    <w:rsid w:val="00F74CAC"/>
    <w:rsid w:val="00F74D4A"/>
    <w:rsid w:val="00F74D5A"/>
    <w:rsid w:val="00F74D83"/>
    <w:rsid w:val="00F74D84"/>
    <w:rsid w:val="00F74DB5"/>
    <w:rsid w:val="00F74DC0"/>
    <w:rsid w:val="00F74DE8"/>
    <w:rsid w:val="00F74DF5"/>
    <w:rsid w:val="00F74E62"/>
    <w:rsid w:val="00F74EC5"/>
    <w:rsid w:val="00F74F61"/>
    <w:rsid w:val="00F74F85"/>
    <w:rsid w:val="00F74F99"/>
    <w:rsid w:val="00F7502F"/>
    <w:rsid w:val="00F75037"/>
    <w:rsid w:val="00F7503A"/>
    <w:rsid w:val="00F75044"/>
    <w:rsid w:val="00F75080"/>
    <w:rsid w:val="00F750AD"/>
    <w:rsid w:val="00F750BF"/>
    <w:rsid w:val="00F750C3"/>
    <w:rsid w:val="00F75180"/>
    <w:rsid w:val="00F751AC"/>
    <w:rsid w:val="00F751C4"/>
    <w:rsid w:val="00F751D8"/>
    <w:rsid w:val="00F751F8"/>
    <w:rsid w:val="00F75211"/>
    <w:rsid w:val="00F7522B"/>
    <w:rsid w:val="00F7522D"/>
    <w:rsid w:val="00F75256"/>
    <w:rsid w:val="00F75283"/>
    <w:rsid w:val="00F7529A"/>
    <w:rsid w:val="00F752CE"/>
    <w:rsid w:val="00F752F6"/>
    <w:rsid w:val="00F75332"/>
    <w:rsid w:val="00F75333"/>
    <w:rsid w:val="00F753AE"/>
    <w:rsid w:val="00F753B4"/>
    <w:rsid w:val="00F753B6"/>
    <w:rsid w:val="00F7540E"/>
    <w:rsid w:val="00F75432"/>
    <w:rsid w:val="00F7546B"/>
    <w:rsid w:val="00F754A7"/>
    <w:rsid w:val="00F754AA"/>
    <w:rsid w:val="00F754BF"/>
    <w:rsid w:val="00F754C8"/>
    <w:rsid w:val="00F75524"/>
    <w:rsid w:val="00F75582"/>
    <w:rsid w:val="00F7563F"/>
    <w:rsid w:val="00F7564C"/>
    <w:rsid w:val="00F756B4"/>
    <w:rsid w:val="00F756C1"/>
    <w:rsid w:val="00F7570F"/>
    <w:rsid w:val="00F7572A"/>
    <w:rsid w:val="00F75756"/>
    <w:rsid w:val="00F7575A"/>
    <w:rsid w:val="00F75763"/>
    <w:rsid w:val="00F7577B"/>
    <w:rsid w:val="00F7578B"/>
    <w:rsid w:val="00F757CA"/>
    <w:rsid w:val="00F757EA"/>
    <w:rsid w:val="00F757FB"/>
    <w:rsid w:val="00F75846"/>
    <w:rsid w:val="00F75855"/>
    <w:rsid w:val="00F7586B"/>
    <w:rsid w:val="00F758B8"/>
    <w:rsid w:val="00F758C2"/>
    <w:rsid w:val="00F75901"/>
    <w:rsid w:val="00F759C6"/>
    <w:rsid w:val="00F759CC"/>
    <w:rsid w:val="00F759FD"/>
    <w:rsid w:val="00F75A01"/>
    <w:rsid w:val="00F75A8C"/>
    <w:rsid w:val="00F75B09"/>
    <w:rsid w:val="00F75B0B"/>
    <w:rsid w:val="00F75B14"/>
    <w:rsid w:val="00F75B1A"/>
    <w:rsid w:val="00F75B51"/>
    <w:rsid w:val="00F75BBE"/>
    <w:rsid w:val="00F75BCC"/>
    <w:rsid w:val="00F75BE7"/>
    <w:rsid w:val="00F75BEF"/>
    <w:rsid w:val="00F75C5E"/>
    <w:rsid w:val="00F75C62"/>
    <w:rsid w:val="00F75CD7"/>
    <w:rsid w:val="00F75CEC"/>
    <w:rsid w:val="00F75D15"/>
    <w:rsid w:val="00F75D1C"/>
    <w:rsid w:val="00F75DAE"/>
    <w:rsid w:val="00F75DDA"/>
    <w:rsid w:val="00F75E94"/>
    <w:rsid w:val="00F75EA7"/>
    <w:rsid w:val="00F75EAD"/>
    <w:rsid w:val="00F75EC3"/>
    <w:rsid w:val="00F75F2F"/>
    <w:rsid w:val="00F75F3D"/>
    <w:rsid w:val="00F75F4F"/>
    <w:rsid w:val="00F75F5B"/>
    <w:rsid w:val="00F75FF0"/>
    <w:rsid w:val="00F75FFB"/>
    <w:rsid w:val="00F7602A"/>
    <w:rsid w:val="00F7607E"/>
    <w:rsid w:val="00F76087"/>
    <w:rsid w:val="00F76089"/>
    <w:rsid w:val="00F7609E"/>
    <w:rsid w:val="00F760FE"/>
    <w:rsid w:val="00F76107"/>
    <w:rsid w:val="00F7610F"/>
    <w:rsid w:val="00F7614D"/>
    <w:rsid w:val="00F76179"/>
    <w:rsid w:val="00F76180"/>
    <w:rsid w:val="00F76195"/>
    <w:rsid w:val="00F76197"/>
    <w:rsid w:val="00F761F0"/>
    <w:rsid w:val="00F761F2"/>
    <w:rsid w:val="00F761FF"/>
    <w:rsid w:val="00F76228"/>
    <w:rsid w:val="00F76238"/>
    <w:rsid w:val="00F76258"/>
    <w:rsid w:val="00F76287"/>
    <w:rsid w:val="00F7629B"/>
    <w:rsid w:val="00F762FD"/>
    <w:rsid w:val="00F76384"/>
    <w:rsid w:val="00F76398"/>
    <w:rsid w:val="00F763B9"/>
    <w:rsid w:val="00F763DA"/>
    <w:rsid w:val="00F764AD"/>
    <w:rsid w:val="00F764AF"/>
    <w:rsid w:val="00F764D9"/>
    <w:rsid w:val="00F7651B"/>
    <w:rsid w:val="00F7653A"/>
    <w:rsid w:val="00F76564"/>
    <w:rsid w:val="00F76569"/>
    <w:rsid w:val="00F7656B"/>
    <w:rsid w:val="00F76570"/>
    <w:rsid w:val="00F76595"/>
    <w:rsid w:val="00F765A3"/>
    <w:rsid w:val="00F765B2"/>
    <w:rsid w:val="00F765B4"/>
    <w:rsid w:val="00F765FE"/>
    <w:rsid w:val="00F7662C"/>
    <w:rsid w:val="00F76632"/>
    <w:rsid w:val="00F76636"/>
    <w:rsid w:val="00F76659"/>
    <w:rsid w:val="00F7667F"/>
    <w:rsid w:val="00F76683"/>
    <w:rsid w:val="00F76685"/>
    <w:rsid w:val="00F76720"/>
    <w:rsid w:val="00F7673D"/>
    <w:rsid w:val="00F767BE"/>
    <w:rsid w:val="00F767D8"/>
    <w:rsid w:val="00F767E4"/>
    <w:rsid w:val="00F767F0"/>
    <w:rsid w:val="00F76858"/>
    <w:rsid w:val="00F768AF"/>
    <w:rsid w:val="00F768D3"/>
    <w:rsid w:val="00F76906"/>
    <w:rsid w:val="00F7694F"/>
    <w:rsid w:val="00F76987"/>
    <w:rsid w:val="00F769BD"/>
    <w:rsid w:val="00F769C3"/>
    <w:rsid w:val="00F76A8A"/>
    <w:rsid w:val="00F76AF8"/>
    <w:rsid w:val="00F76B06"/>
    <w:rsid w:val="00F76B11"/>
    <w:rsid w:val="00F76B38"/>
    <w:rsid w:val="00F76B5E"/>
    <w:rsid w:val="00F76BB4"/>
    <w:rsid w:val="00F76BC5"/>
    <w:rsid w:val="00F76BE0"/>
    <w:rsid w:val="00F76C3D"/>
    <w:rsid w:val="00F76C59"/>
    <w:rsid w:val="00F76C5F"/>
    <w:rsid w:val="00F76CA5"/>
    <w:rsid w:val="00F76CB2"/>
    <w:rsid w:val="00F76CD3"/>
    <w:rsid w:val="00F76D38"/>
    <w:rsid w:val="00F76D9B"/>
    <w:rsid w:val="00F76DE3"/>
    <w:rsid w:val="00F76E41"/>
    <w:rsid w:val="00F76E6B"/>
    <w:rsid w:val="00F76E95"/>
    <w:rsid w:val="00F76EB7"/>
    <w:rsid w:val="00F76EED"/>
    <w:rsid w:val="00F76F0D"/>
    <w:rsid w:val="00F76F1A"/>
    <w:rsid w:val="00F76F24"/>
    <w:rsid w:val="00F76F38"/>
    <w:rsid w:val="00F76F46"/>
    <w:rsid w:val="00F76F7F"/>
    <w:rsid w:val="00F76FA6"/>
    <w:rsid w:val="00F76FCE"/>
    <w:rsid w:val="00F76FDA"/>
    <w:rsid w:val="00F7702D"/>
    <w:rsid w:val="00F77047"/>
    <w:rsid w:val="00F77049"/>
    <w:rsid w:val="00F77086"/>
    <w:rsid w:val="00F770AD"/>
    <w:rsid w:val="00F770D7"/>
    <w:rsid w:val="00F770E4"/>
    <w:rsid w:val="00F770F1"/>
    <w:rsid w:val="00F7711A"/>
    <w:rsid w:val="00F77135"/>
    <w:rsid w:val="00F771B3"/>
    <w:rsid w:val="00F771C5"/>
    <w:rsid w:val="00F771F5"/>
    <w:rsid w:val="00F77236"/>
    <w:rsid w:val="00F77354"/>
    <w:rsid w:val="00F77360"/>
    <w:rsid w:val="00F77377"/>
    <w:rsid w:val="00F773F6"/>
    <w:rsid w:val="00F77403"/>
    <w:rsid w:val="00F7748A"/>
    <w:rsid w:val="00F774BC"/>
    <w:rsid w:val="00F77511"/>
    <w:rsid w:val="00F7753E"/>
    <w:rsid w:val="00F775BA"/>
    <w:rsid w:val="00F775BF"/>
    <w:rsid w:val="00F77657"/>
    <w:rsid w:val="00F776B8"/>
    <w:rsid w:val="00F7773A"/>
    <w:rsid w:val="00F777D3"/>
    <w:rsid w:val="00F77812"/>
    <w:rsid w:val="00F77844"/>
    <w:rsid w:val="00F7785C"/>
    <w:rsid w:val="00F778B9"/>
    <w:rsid w:val="00F778F7"/>
    <w:rsid w:val="00F7791F"/>
    <w:rsid w:val="00F7795C"/>
    <w:rsid w:val="00F779B3"/>
    <w:rsid w:val="00F779D5"/>
    <w:rsid w:val="00F779ED"/>
    <w:rsid w:val="00F779F5"/>
    <w:rsid w:val="00F77A25"/>
    <w:rsid w:val="00F77A58"/>
    <w:rsid w:val="00F77A83"/>
    <w:rsid w:val="00F77AA4"/>
    <w:rsid w:val="00F77AD9"/>
    <w:rsid w:val="00F77B17"/>
    <w:rsid w:val="00F77BBE"/>
    <w:rsid w:val="00F77C22"/>
    <w:rsid w:val="00F77C47"/>
    <w:rsid w:val="00F77C5C"/>
    <w:rsid w:val="00F77C66"/>
    <w:rsid w:val="00F77C9B"/>
    <w:rsid w:val="00F77CD6"/>
    <w:rsid w:val="00F77CDF"/>
    <w:rsid w:val="00F77D21"/>
    <w:rsid w:val="00F77DC4"/>
    <w:rsid w:val="00F77DC7"/>
    <w:rsid w:val="00F77E7E"/>
    <w:rsid w:val="00F77E82"/>
    <w:rsid w:val="00F77ECA"/>
    <w:rsid w:val="00F77EF7"/>
    <w:rsid w:val="00F77F29"/>
    <w:rsid w:val="00F77F8D"/>
    <w:rsid w:val="00F77FE2"/>
    <w:rsid w:val="00F8002C"/>
    <w:rsid w:val="00F80095"/>
    <w:rsid w:val="00F800B5"/>
    <w:rsid w:val="00F800E6"/>
    <w:rsid w:val="00F800E9"/>
    <w:rsid w:val="00F800F1"/>
    <w:rsid w:val="00F800F5"/>
    <w:rsid w:val="00F800FC"/>
    <w:rsid w:val="00F80132"/>
    <w:rsid w:val="00F8014E"/>
    <w:rsid w:val="00F8016E"/>
    <w:rsid w:val="00F8019A"/>
    <w:rsid w:val="00F801C6"/>
    <w:rsid w:val="00F801FF"/>
    <w:rsid w:val="00F8020F"/>
    <w:rsid w:val="00F80225"/>
    <w:rsid w:val="00F802C8"/>
    <w:rsid w:val="00F802DB"/>
    <w:rsid w:val="00F802E4"/>
    <w:rsid w:val="00F80311"/>
    <w:rsid w:val="00F8033B"/>
    <w:rsid w:val="00F803B5"/>
    <w:rsid w:val="00F803E2"/>
    <w:rsid w:val="00F803FE"/>
    <w:rsid w:val="00F8043D"/>
    <w:rsid w:val="00F8045F"/>
    <w:rsid w:val="00F80492"/>
    <w:rsid w:val="00F804CB"/>
    <w:rsid w:val="00F80500"/>
    <w:rsid w:val="00F80531"/>
    <w:rsid w:val="00F80546"/>
    <w:rsid w:val="00F805C4"/>
    <w:rsid w:val="00F805EC"/>
    <w:rsid w:val="00F80610"/>
    <w:rsid w:val="00F80626"/>
    <w:rsid w:val="00F80664"/>
    <w:rsid w:val="00F80681"/>
    <w:rsid w:val="00F8074D"/>
    <w:rsid w:val="00F8075C"/>
    <w:rsid w:val="00F80813"/>
    <w:rsid w:val="00F80857"/>
    <w:rsid w:val="00F8087E"/>
    <w:rsid w:val="00F8089B"/>
    <w:rsid w:val="00F808BA"/>
    <w:rsid w:val="00F808E8"/>
    <w:rsid w:val="00F80906"/>
    <w:rsid w:val="00F8090B"/>
    <w:rsid w:val="00F80918"/>
    <w:rsid w:val="00F80922"/>
    <w:rsid w:val="00F8092F"/>
    <w:rsid w:val="00F809AA"/>
    <w:rsid w:val="00F809CB"/>
    <w:rsid w:val="00F809E3"/>
    <w:rsid w:val="00F80A33"/>
    <w:rsid w:val="00F80A48"/>
    <w:rsid w:val="00F80A54"/>
    <w:rsid w:val="00F80A55"/>
    <w:rsid w:val="00F80AD2"/>
    <w:rsid w:val="00F80B60"/>
    <w:rsid w:val="00F80B63"/>
    <w:rsid w:val="00F80B6E"/>
    <w:rsid w:val="00F80B7C"/>
    <w:rsid w:val="00F80BCB"/>
    <w:rsid w:val="00F80C01"/>
    <w:rsid w:val="00F80C4E"/>
    <w:rsid w:val="00F80C74"/>
    <w:rsid w:val="00F80CB0"/>
    <w:rsid w:val="00F80CF0"/>
    <w:rsid w:val="00F80D08"/>
    <w:rsid w:val="00F80D42"/>
    <w:rsid w:val="00F80D58"/>
    <w:rsid w:val="00F80D68"/>
    <w:rsid w:val="00F80D91"/>
    <w:rsid w:val="00F80DA2"/>
    <w:rsid w:val="00F80DB1"/>
    <w:rsid w:val="00F80DC5"/>
    <w:rsid w:val="00F80E45"/>
    <w:rsid w:val="00F80EAE"/>
    <w:rsid w:val="00F80EEE"/>
    <w:rsid w:val="00F80F4C"/>
    <w:rsid w:val="00F80F8F"/>
    <w:rsid w:val="00F80FA4"/>
    <w:rsid w:val="00F81042"/>
    <w:rsid w:val="00F8104A"/>
    <w:rsid w:val="00F810B8"/>
    <w:rsid w:val="00F810D3"/>
    <w:rsid w:val="00F81104"/>
    <w:rsid w:val="00F81118"/>
    <w:rsid w:val="00F8115C"/>
    <w:rsid w:val="00F81188"/>
    <w:rsid w:val="00F811DA"/>
    <w:rsid w:val="00F811F4"/>
    <w:rsid w:val="00F811F8"/>
    <w:rsid w:val="00F81206"/>
    <w:rsid w:val="00F8120D"/>
    <w:rsid w:val="00F81213"/>
    <w:rsid w:val="00F81215"/>
    <w:rsid w:val="00F8126C"/>
    <w:rsid w:val="00F8129A"/>
    <w:rsid w:val="00F812C4"/>
    <w:rsid w:val="00F812FB"/>
    <w:rsid w:val="00F812FC"/>
    <w:rsid w:val="00F8133D"/>
    <w:rsid w:val="00F81391"/>
    <w:rsid w:val="00F813A5"/>
    <w:rsid w:val="00F813C9"/>
    <w:rsid w:val="00F813EE"/>
    <w:rsid w:val="00F8142F"/>
    <w:rsid w:val="00F81480"/>
    <w:rsid w:val="00F81488"/>
    <w:rsid w:val="00F8149A"/>
    <w:rsid w:val="00F814B5"/>
    <w:rsid w:val="00F81504"/>
    <w:rsid w:val="00F81524"/>
    <w:rsid w:val="00F81560"/>
    <w:rsid w:val="00F8156B"/>
    <w:rsid w:val="00F81572"/>
    <w:rsid w:val="00F8157B"/>
    <w:rsid w:val="00F81622"/>
    <w:rsid w:val="00F81646"/>
    <w:rsid w:val="00F81669"/>
    <w:rsid w:val="00F81694"/>
    <w:rsid w:val="00F816F7"/>
    <w:rsid w:val="00F81750"/>
    <w:rsid w:val="00F817F6"/>
    <w:rsid w:val="00F81855"/>
    <w:rsid w:val="00F81874"/>
    <w:rsid w:val="00F8187E"/>
    <w:rsid w:val="00F818EB"/>
    <w:rsid w:val="00F81934"/>
    <w:rsid w:val="00F8193A"/>
    <w:rsid w:val="00F8193F"/>
    <w:rsid w:val="00F819D3"/>
    <w:rsid w:val="00F81A19"/>
    <w:rsid w:val="00F81A31"/>
    <w:rsid w:val="00F81A66"/>
    <w:rsid w:val="00F81ABD"/>
    <w:rsid w:val="00F81AE3"/>
    <w:rsid w:val="00F81BD7"/>
    <w:rsid w:val="00F81C50"/>
    <w:rsid w:val="00F81C5C"/>
    <w:rsid w:val="00F81C64"/>
    <w:rsid w:val="00F81C84"/>
    <w:rsid w:val="00F81C8F"/>
    <w:rsid w:val="00F81D3E"/>
    <w:rsid w:val="00F81D43"/>
    <w:rsid w:val="00F81D53"/>
    <w:rsid w:val="00F81DB1"/>
    <w:rsid w:val="00F81E1E"/>
    <w:rsid w:val="00F81E2A"/>
    <w:rsid w:val="00F81E2C"/>
    <w:rsid w:val="00F81E49"/>
    <w:rsid w:val="00F81E64"/>
    <w:rsid w:val="00F81E8F"/>
    <w:rsid w:val="00F81EC6"/>
    <w:rsid w:val="00F81F4E"/>
    <w:rsid w:val="00F81F66"/>
    <w:rsid w:val="00F81F6C"/>
    <w:rsid w:val="00F81F72"/>
    <w:rsid w:val="00F81F8A"/>
    <w:rsid w:val="00F81FEB"/>
    <w:rsid w:val="00F82032"/>
    <w:rsid w:val="00F82045"/>
    <w:rsid w:val="00F8206F"/>
    <w:rsid w:val="00F8209E"/>
    <w:rsid w:val="00F820DF"/>
    <w:rsid w:val="00F821AD"/>
    <w:rsid w:val="00F821AE"/>
    <w:rsid w:val="00F821B2"/>
    <w:rsid w:val="00F821FC"/>
    <w:rsid w:val="00F82295"/>
    <w:rsid w:val="00F82297"/>
    <w:rsid w:val="00F822CD"/>
    <w:rsid w:val="00F822DC"/>
    <w:rsid w:val="00F822F8"/>
    <w:rsid w:val="00F82319"/>
    <w:rsid w:val="00F82327"/>
    <w:rsid w:val="00F82336"/>
    <w:rsid w:val="00F82343"/>
    <w:rsid w:val="00F8234A"/>
    <w:rsid w:val="00F82356"/>
    <w:rsid w:val="00F823B9"/>
    <w:rsid w:val="00F823D4"/>
    <w:rsid w:val="00F82401"/>
    <w:rsid w:val="00F82409"/>
    <w:rsid w:val="00F82433"/>
    <w:rsid w:val="00F82498"/>
    <w:rsid w:val="00F824BB"/>
    <w:rsid w:val="00F824D4"/>
    <w:rsid w:val="00F824F7"/>
    <w:rsid w:val="00F82528"/>
    <w:rsid w:val="00F825AB"/>
    <w:rsid w:val="00F825E2"/>
    <w:rsid w:val="00F8263A"/>
    <w:rsid w:val="00F82689"/>
    <w:rsid w:val="00F82691"/>
    <w:rsid w:val="00F826D1"/>
    <w:rsid w:val="00F82763"/>
    <w:rsid w:val="00F82766"/>
    <w:rsid w:val="00F82786"/>
    <w:rsid w:val="00F82870"/>
    <w:rsid w:val="00F8288C"/>
    <w:rsid w:val="00F8291A"/>
    <w:rsid w:val="00F82980"/>
    <w:rsid w:val="00F829AF"/>
    <w:rsid w:val="00F829C1"/>
    <w:rsid w:val="00F829D1"/>
    <w:rsid w:val="00F82A17"/>
    <w:rsid w:val="00F82A1C"/>
    <w:rsid w:val="00F82B55"/>
    <w:rsid w:val="00F82C29"/>
    <w:rsid w:val="00F82C44"/>
    <w:rsid w:val="00F82C98"/>
    <w:rsid w:val="00F82CA0"/>
    <w:rsid w:val="00F82CDE"/>
    <w:rsid w:val="00F82CF2"/>
    <w:rsid w:val="00F82D21"/>
    <w:rsid w:val="00F82D2A"/>
    <w:rsid w:val="00F82D73"/>
    <w:rsid w:val="00F82DDC"/>
    <w:rsid w:val="00F82DE2"/>
    <w:rsid w:val="00F82E25"/>
    <w:rsid w:val="00F82E32"/>
    <w:rsid w:val="00F82EA9"/>
    <w:rsid w:val="00F82EC2"/>
    <w:rsid w:val="00F82ECF"/>
    <w:rsid w:val="00F82F04"/>
    <w:rsid w:val="00F82F1F"/>
    <w:rsid w:val="00F82F37"/>
    <w:rsid w:val="00F82F53"/>
    <w:rsid w:val="00F82F63"/>
    <w:rsid w:val="00F82FDE"/>
    <w:rsid w:val="00F82FF0"/>
    <w:rsid w:val="00F82FF8"/>
    <w:rsid w:val="00F83016"/>
    <w:rsid w:val="00F8302E"/>
    <w:rsid w:val="00F83045"/>
    <w:rsid w:val="00F8309E"/>
    <w:rsid w:val="00F830FB"/>
    <w:rsid w:val="00F83129"/>
    <w:rsid w:val="00F83138"/>
    <w:rsid w:val="00F831BF"/>
    <w:rsid w:val="00F83225"/>
    <w:rsid w:val="00F8328A"/>
    <w:rsid w:val="00F832DF"/>
    <w:rsid w:val="00F83320"/>
    <w:rsid w:val="00F83326"/>
    <w:rsid w:val="00F8332E"/>
    <w:rsid w:val="00F83396"/>
    <w:rsid w:val="00F8339D"/>
    <w:rsid w:val="00F833A5"/>
    <w:rsid w:val="00F833EB"/>
    <w:rsid w:val="00F83400"/>
    <w:rsid w:val="00F83428"/>
    <w:rsid w:val="00F83452"/>
    <w:rsid w:val="00F8346E"/>
    <w:rsid w:val="00F834EE"/>
    <w:rsid w:val="00F83532"/>
    <w:rsid w:val="00F8356D"/>
    <w:rsid w:val="00F8357B"/>
    <w:rsid w:val="00F83580"/>
    <w:rsid w:val="00F835B6"/>
    <w:rsid w:val="00F835F0"/>
    <w:rsid w:val="00F83640"/>
    <w:rsid w:val="00F8364D"/>
    <w:rsid w:val="00F836CA"/>
    <w:rsid w:val="00F836D8"/>
    <w:rsid w:val="00F836E4"/>
    <w:rsid w:val="00F836EA"/>
    <w:rsid w:val="00F836EC"/>
    <w:rsid w:val="00F836F9"/>
    <w:rsid w:val="00F8370B"/>
    <w:rsid w:val="00F83741"/>
    <w:rsid w:val="00F837B1"/>
    <w:rsid w:val="00F837BA"/>
    <w:rsid w:val="00F837C1"/>
    <w:rsid w:val="00F837EE"/>
    <w:rsid w:val="00F8385A"/>
    <w:rsid w:val="00F838F0"/>
    <w:rsid w:val="00F838FC"/>
    <w:rsid w:val="00F839B8"/>
    <w:rsid w:val="00F839C6"/>
    <w:rsid w:val="00F839D0"/>
    <w:rsid w:val="00F839D9"/>
    <w:rsid w:val="00F839DE"/>
    <w:rsid w:val="00F83A1C"/>
    <w:rsid w:val="00F83A67"/>
    <w:rsid w:val="00F83A79"/>
    <w:rsid w:val="00F83A81"/>
    <w:rsid w:val="00F83AE4"/>
    <w:rsid w:val="00F83B97"/>
    <w:rsid w:val="00F83B9A"/>
    <w:rsid w:val="00F83CBA"/>
    <w:rsid w:val="00F83CF1"/>
    <w:rsid w:val="00F83D33"/>
    <w:rsid w:val="00F83D93"/>
    <w:rsid w:val="00F83D9B"/>
    <w:rsid w:val="00F83E66"/>
    <w:rsid w:val="00F83EAD"/>
    <w:rsid w:val="00F83ED1"/>
    <w:rsid w:val="00F83FCF"/>
    <w:rsid w:val="00F83FD5"/>
    <w:rsid w:val="00F83FEA"/>
    <w:rsid w:val="00F84065"/>
    <w:rsid w:val="00F84081"/>
    <w:rsid w:val="00F84092"/>
    <w:rsid w:val="00F840A9"/>
    <w:rsid w:val="00F840E3"/>
    <w:rsid w:val="00F840F1"/>
    <w:rsid w:val="00F840FB"/>
    <w:rsid w:val="00F841DA"/>
    <w:rsid w:val="00F84231"/>
    <w:rsid w:val="00F8424E"/>
    <w:rsid w:val="00F84268"/>
    <w:rsid w:val="00F84270"/>
    <w:rsid w:val="00F842C4"/>
    <w:rsid w:val="00F842D5"/>
    <w:rsid w:val="00F842E0"/>
    <w:rsid w:val="00F842E3"/>
    <w:rsid w:val="00F842F2"/>
    <w:rsid w:val="00F8431F"/>
    <w:rsid w:val="00F84322"/>
    <w:rsid w:val="00F8434F"/>
    <w:rsid w:val="00F84377"/>
    <w:rsid w:val="00F843EE"/>
    <w:rsid w:val="00F8442C"/>
    <w:rsid w:val="00F844D9"/>
    <w:rsid w:val="00F844DB"/>
    <w:rsid w:val="00F84574"/>
    <w:rsid w:val="00F8457E"/>
    <w:rsid w:val="00F8458F"/>
    <w:rsid w:val="00F8461A"/>
    <w:rsid w:val="00F8461F"/>
    <w:rsid w:val="00F8467F"/>
    <w:rsid w:val="00F846D6"/>
    <w:rsid w:val="00F846DF"/>
    <w:rsid w:val="00F84839"/>
    <w:rsid w:val="00F849B0"/>
    <w:rsid w:val="00F849B4"/>
    <w:rsid w:val="00F849DE"/>
    <w:rsid w:val="00F84A2F"/>
    <w:rsid w:val="00F84A3F"/>
    <w:rsid w:val="00F84A54"/>
    <w:rsid w:val="00F84A7A"/>
    <w:rsid w:val="00F84A95"/>
    <w:rsid w:val="00F84A99"/>
    <w:rsid w:val="00F84AB3"/>
    <w:rsid w:val="00F84AE2"/>
    <w:rsid w:val="00F84B69"/>
    <w:rsid w:val="00F84B6D"/>
    <w:rsid w:val="00F84BBC"/>
    <w:rsid w:val="00F84C18"/>
    <w:rsid w:val="00F84C30"/>
    <w:rsid w:val="00F84C45"/>
    <w:rsid w:val="00F84C7F"/>
    <w:rsid w:val="00F84CCE"/>
    <w:rsid w:val="00F84CD9"/>
    <w:rsid w:val="00F84CDB"/>
    <w:rsid w:val="00F84D53"/>
    <w:rsid w:val="00F84D5E"/>
    <w:rsid w:val="00F84D9B"/>
    <w:rsid w:val="00F84DB5"/>
    <w:rsid w:val="00F84DC0"/>
    <w:rsid w:val="00F84DE3"/>
    <w:rsid w:val="00F84E5E"/>
    <w:rsid w:val="00F84EC2"/>
    <w:rsid w:val="00F84EC9"/>
    <w:rsid w:val="00F84EFB"/>
    <w:rsid w:val="00F84FA2"/>
    <w:rsid w:val="00F84FAB"/>
    <w:rsid w:val="00F85033"/>
    <w:rsid w:val="00F85059"/>
    <w:rsid w:val="00F85066"/>
    <w:rsid w:val="00F85087"/>
    <w:rsid w:val="00F8509D"/>
    <w:rsid w:val="00F850A7"/>
    <w:rsid w:val="00F850CC"/>
    <w:rsid w:val="00F8510D"/>
    <w:rsid w:val="00F85138"/>
    <w:rsid w:val="00F85171"/>
    <w:rsid w:val="00F8517A"/>
    <w:rsid w:val="00F851A5"/>
    <w:rsid w:val="00F851B5"/>
    <w:rsid w:val="00F851E4"/>
    <w:rsid w:val="00F851FE"/>
    <w:rsid w:val="00F852D4"/>
    <w:rsid w:val="00F85319"/>
    <w:rsid w:val="00F8531E"/>
    <w:rsid w:val="00F85398"/>
    <w:rsid w:val="00F853D5"/>
    <w:rsid w:val="00F85436"/>
    <w:rsid w:val="00F85466"/>
    <w:rsid w:val="00F85468"/>
    <w:rsid w:val="00F8546E"/>
    <w:rsid w:val="00F85490"/>
    <w:rsid w:val="00F8549C"/>
    <w:rsid w:val="00F854D8"/>
    <w:rsid w:val="00F854EA"/>
    <w:rsid w:val="00F8554E"/>
    <w:rsid w:val="00F85575"/>
    <w:rsid w:val="00F8558D"/>
    <w:rsid w:val="00F8559D"/>
    <w:rsid w:val="00F855F1"/>
    <w:rsid w:val="00F855FE"/>
    <w:rsid w:val="00F85723"/>
    <w:rsid w:val="00F85753"/>
    <w:rsid w:val="00F8576A"/>
    <w:rsid w:val="00F85789"/>
    <w:rsid w:val="00F85792"/>
    <w:rsid w:val="00F8579A"/>
    <w:rsid w:val="00F85818"/>
    <w:rsid w:val="00F85828"/>
    <w:rsid w:val="00F85838"/>
    <w:rsid w:val="00F858AE"/>
    <w:rsid w:val="00F85915"/>
    <w:rsid w:val="00F8591C"/>
    <w:rsid w:val="00F8594A"/>
    <w:rsid w:val="00F859A4"/>
    <w:rsid w:val="00F85A0A"/>
    <w:rsid w:val="00F85A46"/>
    <w:rsid w:val="00F85A57"/>
    <w:rsid w:val="00F85A5B"/>
    <w:rsid w:val="00F85A7B"/>
    <w:rsid w:val="00F85B22"/>
    <w:rsid w:val="00F85BA5"/>
    <w:rsid w:val="00F85BA8"/>
    <w:rsid w:val="00F85BD7"/>
    <w:rsid w:val="00F85BE5"/>
    <w:rsid w:val="00F85C30"/>
    <w:rsid w:val="00F85C6B"/>
    <w:rsid w:val="00F85C6F"/>
    <w:rsid w:val="00F85C78"/>
    <w:rsid w:val="00F85CB9"/>
    <w:rsid w:val="00F85CD7"/>
    <w:rsid w:val="00F85CFD"/>
    <w:rsid w:val="00F85D31"/>
    <w:rsid w:val="00F85DB6"/>
    <w:rsid w:val="00F85DEF"/>
    <w:rsid w:val="00F85DFE"/>
    <w:rsid w:val="00F85E13"/>
    <w:rsid w:val="00F85E2A"/>
    <w:rsid w:val="00F85E47"/>
    <w:rsid w:val="00F85E82"/>
    <w:rsid w:val="00F85EE1"/>
    <w:rsid w:val="00F85F55"/>
    <w:rsid w:val="00F85F5F"/>
    <w:rsid w:val="00F85F86"/>
    <w:rsid w:val="00F85F8C"/>
    <w:rsid w:val="00F85F8E"/>
    <w:rsid w:val="00F85FA4"/>
    <w:rsid w:val="00F85FAF"/>
    <w:rsid w:val="00F85FD9"/>
    <w:rsid w:val="00F85FEB"/>
    <w:rsid w:val="00F85FF4"/>
    <w:rsid w:val="00F86007"/>
    <w:rsid w:val="00F8601D"/>
    <w:rsid w:val="00F86044"/>
    <w:rsid w:val="00F8604C"/>
    <w:rsid w:val="00F8608E"/>
    <w:rsid w:val="00F860AE"/>
    <w:rsid w:val="00F860BB"/>
    <w:rsid w:val="00F860EF"/>
    <w:rsid w:val="00F860FE"/>
    <w:rsid w:val="00F86117"/>
    <w:rsid w:val="00F8611C"/>
    <w:rsid w:val="00F86128"/>
    <w:rsid w:val="00F86131"/>
    <w:rsid w:val="00F86134"/>
    <w:rsid w:val="00F86137"/>
    <w:rsid w:val="00F861AB"/>
    <w:rsid w:val="00F861E0"/>
    <w:rsid w:val="00F8620D"/>
    <w:rsid w:val="00F86211"/>
    <w:rsid w:val="00F862B3"/>
    <w:rsid w:val="00F862CB"/>
    <w:rsid w:val="00F862EC"/>
    <w:rsid w:val="00F8630F"/>
    <w:rsid w:val="00F86373"/>
    <w:rsid w:val="00F863DF"/>
    <w:rsid w:val="00F86402"/>
    <w:rsid w:val="00F86431"/>
    <w:rsid w:val="00F8643E"/>
    <w:rsid w:val="00F864A8"/>
    <w:rsid w:val="00F864BA"/>
    <w:rsid w:val="00F86513"/>
    <w:rsid w:val="00F86550"/>
    <w:rsid w:val="00F8655A"/>
    <w:rsid w:val="00F86581"/>
    <w:rsid w:val="00F86583"/>
    <w:rsid w:val="00F8658F"/>
    <w:rsid w:val="00F865E1"/>
    <w:rsid w:val="00F8661C"/>
    <w:rsid w:val="00F86625"/>
    <w:rsid w:val="00F8666B"/>
    <w:rsid w:val="00F86691"/>
    <w:rsid w:val="00F866FB"/>
    <w:rsid w:val="00F8676D"/>
    <w:rsid w:val="00F8678B"/>
    <w:rsid w:val="00F867B5"/>
    <w:rsid w:val="00F867C7"/>
    <w:rsid w:val="00F8680A"/>
    <w:rsid w:val="00F8680E"/>
    <w:rsid w:val="00F8685F"/>
    <w:rsid w:val="00F8686C"/>
    <w:rsid w:val="00F86871"/>
    <w:rsid w:val="00F86877"/>
    <w:rsid w:val="00F8687D"/>
    <w:rsid w:val="00F86889"/>
    <w:rsid w:val="00F868D9"/>
    <w:rsid w:val="00F868DB"/>
    <w:rsid w:val="00F86907"/>
    <w:rsid w:val="00F86987"/>
    <w:rsid w:val="00F869EC"/>
    <w:rsid w:val="00F86A69"/>
    <w:rsid w:val="00F86A7E"/>
    <w:rsid w:val="00F86AE3"/>
    <w:rsid w:val="00F86AEA"/>
    <w:rsid w:val="00F86B35"/>
    <w:rsid w:val="00F86B74"/>
    <w:rsid w:val="00F86BC0"/>
    <w:rsid w:val="00F86C15"/>
    <w:rsid w:val="00F86C5D"/>
    <w:rsid w:val="00F86CD9"/>
    <w:rsid w:val="00F86CDC"/>
    <w:rsid w:val="00F86CF8"/>
    <w:rsid w:val="00F86D45"/>
    <w:rsid w:val="00F86D68"/>
    <w:rsid w:val="00F86E6A"/>
    <w:rsid w:val="00F86EDD"/>
    <w:rsid w:val="00F86EF6"/>
    <w:rsid w:val="00F86F37"/>
    <w:rsid w:val="00F86F57"/>
    <w:rsid w:val="00F86F9F"/>
    <w:rsid w:val="00F86FA6"/>
    <w:rsid w:val="00F86FB0"/>
    <w:rsid w:val="00F86FE0"/>
    <w:rsid w:val="00F86FFC"/>
    <w:rsid w:val="00F87010"/>
    <w:rsid w:val="00F870BF"/>
    <w:rsid w:val="00F87164"/>
    <w:rsid w:val="00F87166"/>
    <w:rsid w:val="00F8718C"/>
    <w:rsid w:val="00F871C3"/>
    <w:rsid w:val="00F87273"/>
    <w:rsid w:val="00F8729B"/>
    <w:rsid w:val="00F87355"/>
    <w:rsid w:val="00F8735E"/>
    <w:rsid w:val="00F87363"/>
    <w:rsid w:val="00F873D4"/>
    <w:rsid w:val="00F87423"/>
    <w:rsid w:val="00F8748D"/>
    <w:rsid w:val="00F87589"/>
    <w:rsid w:val="00F875A6"/>
    <w:rsid w:val="00F875CA"/>
    <w:rsid w:val="00F8761A"/>
    <w:rsid w:val="00F87646"/>
    <w:rsid w:val="00F8767A"/>
    <w:rsid w:val="00F876DA"/>
    <w:rsid w:val="00F876FD"/>
    <w:rsid w:val="00F8771B"/>
    <w:rsid w:val="00F87734"/>
    <w:rsid w:val="00F87761"/>
    <w:rsid w:val="00F877DC"/>
    <w:rsid w:val="00F8781A"/>
    <w:rsid w:val="00F87870"/>
    <w:rsid w:val="00F87880"/>
    <w:rsid w:val="00F8798C"/>
    <w:rsid w:val="00F879C7"/>
    <w:rsid w:val="00F879CF"/>
    <w:rsid w:val="00F87A44"/>
    <w:rsid w:val="00F87A84"/>
    <w:rsid w:val="00F87AE5"/>
    <w:rsid w:val="00F87B3B"/>
    <w:rsid w:val="00F87BD4"/>
    <w:rsid w:val="00F87BFB"/>
    <w:rsid w:val="00F87C11"/>
    <w:rsid w:val="00F87C75"/>
    <w:rsid w:val="00F87CE7"/>
    <w:rsid w:val="00F87CE9"/>
    <w:rsid w:val="00F87CED"/>
    <w:rsid w:val="00F87D04"/>
    <w:rsid w:val="00F87D0E"/>
    <w:rsid w:val="00F87D19"/>
    <w:rsid w:val="00F87D1B"/>
    <w:rsid w:val="00F87D33"/>
    <w:rsid w:val="00F87D83"/>
    <w:rsid w:val="00F87DBA"/>
    <w:rsid w:val="00F87DCD"/>
    <w:rsid w:val="00F87DEA"/>
    <w:rsid w:val="00F87E73"/>
    <w:rsid w:val="00F87ECF"/>
    <w:rsid w:val="00F87EFE"/>
    <w:rsid w:val="00F87F04"/>
    <w:rsid w:val="00F87F6B"/>
    <w:rsid w:val="00F87F79"/>
    <w:rsid w:val="00F87FAD"/>
    <w:rsid w:val="00F87FDE"/>
    <w:rsid w:val="00F87FE2"/>
    <w:rsid w:val="00F90020"/>
    <w:rsid w:val="00F9004E"/>
    <w:rsid w:val="00F900CB"/>
    <w:rsid w:val="00F900F7"/>
    <w:rsid w:val="00F90171"/>
    <w:rsid w:val="00F9017B"/>
    <w:rsid w:val="00F901BF"/>
    <w:rsid w:val="00F901CE"/>
    <w:rsid w:val="00F9022E"/>
    <w:rsid w:val="00F9025B"/>
    <w:rsid w:val="00F90284"/>
    <w:rsid w:val="00F90428"/>
    <w:rsid w:val="00F9043D"/>
    <w:rsid w:val="00F9049B"/>
    <w:rsid w:val="00F904B2"/>
    <w:rsid w:val="00F904D5"/>
    <w:rsid w:val="00F904F6"/>
    <w:rsid w:val="00F904FB"/>
    <w:rsid w:val="00F90506"/>
    <w:rsid w:val="00F9051A"/>
    <w:rsid w:val="00F90548"/>
    <w:rsid w:val="00F90559"/>
    <w:rsid w:val="00F9055F"/>
    <w:rsid w:val="00F9057C"/>
    <w:rsid w:val="00F9057D"/>
    <w:rsid w:val="00F90591"/>
    <w:rsid w:val="00F905A0"/>
    <w:rsid w:val="00F905B7"/>
    <w:rsid w:val="00F905E1"/>
    <w:rsid w:val="00F90764"/>
    <w:rsid w:val="00F9076F"/>
    <w:rsid w:val="00F9077D"/>
    <w:rsid w:val="00F907A6"/>
    <w:rsid w:val="00F907DC"/>
    <w:rsid w:val="00F907F9"/>
    <w:rsid w:val="00F90823"/>
    <w:rsid w:val="00F9085B"/>
    <w:rsid w:val="00F90867"/>
    <w:rsid w:val="00F908B4"/>
    <w:rsid w:val="00F908B5"/>
    <w:rsid w:val="00F908F4"/>
    <w:rsid w:val="00F908FB"/>
    <w:rsid w:val="00F9095E"/>
    <w:rsid w:val="00F9097F"/>
    <w:rsid w:val="00F90986"/>
    <w:rsid w:val="00F9099F"/>
    <w:rsid w:val="00F909F0"/>
    <w:rsid w:val="00F90A02"/>
    <w:rsid w:val="00F90AA3"/>
    <w:rsid w:val="00F90B39"/>
    <w:rsid w:val="00F90B41"/>
    <w:rsid w:val="00F90B64"/>
    <w:rsid w:val="00F90BB6"/>
    <w:rsid w:val="00F90BC4"/>
    <w:rsid w:val="00F90BFB"/>
    <w:rsid w:val="00F90C67"/>
    <w:rsid w:val="00F90C6A"/>
    <w:rsid w:val="00F90CBB"/>
    <w:rsid w:val="00F90CCC"/>
    <w:rsid w:val="00F90D1A"/>
    <w:rsid w:val="00F90D49"/>
    <w:rsid w:val="00F90D6D"/>
    <w:rsid w:val="00F90DA7"/>
    <w:rsid w:val="00F90E1D"/>
    <w:rsid w:val="00F90E21"/>
    <w:rsid w:val="00F90E4B"/>
    <w:rsid w:val="00F90E71"/>
    <w:rsid w:val="00F90E80"/>
    <w:rsid w:val="00F90EBC"/>
    <w:rsid w:val="00F90EDA"/>
    <w:rsid w:val="00F90F36"/>
    <w:rsid w:val="00F90FB4"/>
    <w:rsid w:val="00F91009"/>
    <w:rsid w:val="00F91025"/>
    <w:rsid w:val="00F91048"/>
    <w:rsid w:val="00F910A8"/>
    <w:rsid w:val="00F91104"/>
    <w:rsid w:val="00F9112C"/>
    <w:rsid w:val="00F91171"/>
    <w:rsid w:val="00F911BD"/>
    <w:rsid w:val="00F911FF"/>
    <w:rsid w:val="00F91211"/>
    <w:rsid w:val="00F9123B"/>
    <w:rsid w:val="00F91292"/>
    <w:rsid w:val="00F912A1"/>
    <w:rsid w:val="00F912BC"/>
    <w:rsid w:val="00F91310"/>
    <w:rsid w:val="00F91362"/>
    <w:rsid w:val="00F913B7"/>
    <w:rsid w:val="00F913E5"/>
    <w:rsid w:val="00F91450"/>
    <w:rsid w:val="00F91470"/>
    <w:rsid w:val="00F91478"/>
    <w:rsid w:val="00F914A2"/>
    <w:rsid w:val="00F914D5"/>
    <w:rsid w:val="00F91509"/>
    <w:rsid w:val="00F91527"/>
    <w:rsid w:val="00F9152D"/>
    <w:rsid w:val="00F91531"/>
    <w:rsid w:val="00F9154F"/>
    <w:rsid w:val="00F91551"/>
    <w:rsid w:val="00F91577"/>
    <w:rsid w:val="00F915DC"/>
    <w:rsid w:val="00F916B4"/>
    <w:rsid w:val="00F916ED"/>
    <w:rsid w:val="00F91723"/>
    <w:rsid w:val="00F9177B"/>
    <w:rsid w:val="00F9178D"/>
    <w:rsid w:val="00F917CC"/>
    <w:rsid w:val="00F917DD"/>
    <w:rsid w:val="00F9181B"/>
    <w:rsid w:val="00F91822"/>
    <w:rsid w:val="00F91832"/>
    <w:rsid w:val="00F91875"/>
    <w:rsid w:val="00F91897"/>
    <w:rsid w:val="00F9189C"/>
    <w:rsid w:val="00F91906"/>
    <w:rsid w:val="00F9192F"/>
    <w:rsid w:val="00F91942"/>
    <w:rsid w:val="00F919E9"/>
    <w:rsid w:val="00F91A52"/>
    <w:rsid w:val="00F91A94"/>
    <w:rsid w:val="00F91AAE"/>
    <w:rsid w:val="00F91ADB"/>
    <w:rsid w:val="00F91B04"/>
    <w:rsid w:val="00F91B54"/>
    <w:rsid w:val="00F91B99"/>
    <w:rsid w:val="00F91BAF"/>
    <w:rsid w:val="00F91BC4"/>
    <w:rsid w:val="00F91C3B"/>
    <w:rsid w:val="00F91C49"/>
    <w:rsid w:val="00F91C6F"/>
    <w:rsid w:val="00F91C9D"/>
    <w:rsid w:val="00F91CC5"/>
    <w:rsid w:val="00F91CE9"/>
    <w:rsid w:val="00F91D26"/>
    <w:rsid w:val="00F91D5D"/>
    <w:rsid w:val="00F91D5F"/>
    <w:rsid w:val="00F91D82"/>
    <w:rsid w:val="00F91D8F"/>
    <w:rsid w:val="00F91DA7"/>
    <w:rsid w:val="00F91DFF"/>
    <w:rsid w:val="00F91E12"/>
    <w:rsid w:val="00F91E21"/>
    <w:rsid w:val="00F91E5D"/>
    <w:rsid w:val="00F91F0D"/>
    <w:rsid w:val="00F91F67"/>
    <w:rsid w:val="00F91F91"/>
    <w:rsid w:val="00F91FB9"/>
    <w:rsid w:val="00F92015"/>
    <w:rsid w:val="00F92023"/>
    <w:rsid w:val="00F92031"/>
    <w:rsid w:val="00F920BE"/>
    <w:rsid w:val="00F920CC"/>
    <w:rsid w:val="00F92132"/>
    <w:rsid w:val="00F9213E"/>
    <w:rsid w:val="00F921C2"/>
    <w:rsid w:val="00F9224A"/>
    <w:rsid w:val="00F922C7"/>
    <w:rsid w:val="00F922D9"/>
    <w:rsid w:val="00F922E9"/>
    <w:rsid w:val="00F922F9"/>
    <w:rsid w:val="00F9233B"/>
    <w:rsid w:val="00F92384"/>
    <w:rsid w:val="00F923A7"/>
    <w:rsid w:val="00F923A8"/>
    <w:rsid w:val="00F923B5"/>
    <w:rsid w:val="00F923CC"/>
    <w:rsid w:val="00F92455"/>
    <w:rsid w:val="00F92457"/>
    <w:rsid w:val="00F9257B"/>
    <w:rsid w:val="00F925C1"/>
    <w:rsid w:val="00F92617"/>
    <w:rsid w:val="00F92690"/>
    <w:rsid w:val="00F926D1"/>
    <w:rsid w:val="00F926E2"/>
    <w:rsid w:val="00F9274F"/>
    <w:rsid w:val="00F927F6"/>
    <w:rsid w:val="00F92820"/>
    <w:rsid w:val="00F92852"/>
    <w:rsid w:val="00F92855"/>
    <w:rsid w:val="00F9288E"/>
    <w:rsid w:val="00F928A0"/>
    <w:rsid w:val="00F928A2"/>
    <w:rsid w:val="00F92961"/>
    <w:rsid w:val="00F929B8"/>
    <w:rsid w:val="00F929C4"/>
    <w:rsid w:val="00F929F3"/>
    <w:rsid w:val="00F92A04"/>
    <w:rsid w:val="00F92A53"/>
    <w:rsid w:val="00F92A93"/>
    <w:rsid w:val="00F92BCF"/>
    <w:rsid w:val="00F92C54"/>
    <w:rsid w:val="00F92C76"/>
    <w:rsid w:val="00F92D1C"/>
    <w:rsid w:val="00F92D66"/>
    <w:rsid w:val="00F92D67"/>
    <w:rsid w:val="00F92D7E"/>
    <w:rsid w:val="00F92D81"/>
    <w:rsid w:val="00F92D8C"/>
    <w:rsid w:val="00F92D9A"/>
    <w:rsid w:val="00F92D9C"/>
    <w:rsid w:val="00F92DCF"/>
    <w:rsid w:val="00F92DD1"/>
    <w:rsid w:val="00F92DE5"/>
    <w:rsid w:val="00F92DEE"/>
    <w:rsid w:val="00F92DF9"/>
    <w:rsid w:val="00F92E8B"/>
    <w:rsid w:val="00F92EA1"/>
    <w:rsid w:val="00F92EF8"/>
    <w:rsid w:val="00F92F02"/>
    <w:rsid w:val="00F92F08"/>
    <w:rsid w:val="00F92F59"/>
    <w:rsid w:val="00F92FA2"/>
    <w:rsid w:val="00F92FB7"/>
    <w:rsid w:val="00F92FFE"/>
    <w:rsid w:val="00F9300C"/>
    <w:rsid w:val="00F9300D"/>
    <w:rsid w:val="00F93078"/>
    <w:rsid w:val="00F93096"/>
    <w:rsid w:val="00F9309C"/>
    <w:rsid w:val="00F930FB"/>
    <w:rsid w:val="00F9312C"/>
    <w:rsid w:val="00F9313E"/>
    <w:rsid w:val="00F9317B"/>
    <w:rsid w:val="00F93180"/>
    <w:rsid w:val="00F93187"/>
    <w:rsid w:val="00F931A3"/>
    <w:rsid w:val="00F931AA"/>
    <w:rsid w:val="00F931B4"/>
    <w:rsid w:val="00F931DD"/>
    <w:rsid w:val="00F9322D"/>
    <w:rsid w:val="00F93231"/>
    <w:rsid w:val="00F93273"/>
    <w:rsid w:val="00F9328C"/>
    <w:rsid w:val="00F932DC"/>
    <w:rsid w:val="00F93305"/>
    <w:rsid w:val="00F9332C"/>
    <w:rsid w:val="00F93330"/>
    <w:rsid w:val="00F93342"/>
    <w:rsid w:val="00F93343"/>
    <w:rsid w:val="00F93392"/>
    <w:rsid w:val="00F933B8"/>
    <w:rsid w:val="00F933EB"/>
    <w:rsid w:val="00F93428"/>
    <w:rsid w:val="00F93431"/>
    <w:rsid w:val="00F93480"/>
    <w:rsid w:val="00F934C6"/>
    <w:rsid w:val="00F934E7"/>
    <w:rsid w:val="00F934FA"/>
    <w:rsid w:val="00F9353B"/>
    <w:rsid w:val="00F9358D"/>
    <w:rsid w:val="00F935A7"/>
    <w:rsid w:val="00F9360A"/>
    <w:rsid w:val="00F93615"/>
    <w:rsid w:val="00F9363D"/>
    <w:rsid w:val="00F93640"/>
    <w:rsid w:val="00F9366F"/>
    <w:rsid w:val="00F93681"/>
    <w:rsid w:val="00F936B7"/>
    <w:rsid w:val="00F936D6"/>
    <w:rsid w:val="00F936DA"/>
    <w:rsid w:val="00F936DC"/>
    <w:rsid w:val="00F93748"/>
    <w:rsid w:val="00F93750"/>
    <w:rsid w:val="00F93786"/>
    <w:rsid w:val="00F9379D"/>
    <w:rsid w:val="00F937D4"/>
    <w:rsid w:val="00F93811"/>
    <w:rsid w:val="00F938A0"/>
    <w:rsid w:val="00F938FB"/>
    <w:rsid w:val="00F93901"/>
    <w:rsid w:val="00F93905"/>
    <w:rsid w:val="00F9391F"/>
    <w:rsid w:val="00F9393E"/>
    <w:rsid w:val="00F939A5"/>
    <w:rsid w:val="00F939A9"/>
    <w:rsid w:val="00F939DC"/>
    <w:rsid w:val="00F939E6"/>
    <w:rsid w:val="00F93A31"/>
    <w:rsid w:val="00F93A32"/>
    <w:rsid w:val="00F93A36"/>
    <w:rsid w:val="00F93A3C"/>
    <w:rsid w:val="00F93A53"/>
    <w:rsid w:val="00F93A7B"/>
    <w:rsid w:val="00F93AB7"/>
    <w:rsid w:val="00F93ADF"/>
    <w:rsid w:val="00F93B2E"/>
    <w:rsid w:val="00F93C3B"/>
    <w:rsid w:val="00F93C76"/>
    <w:rsid w:val="00F93CDC"/>
    <w:rsid w:val="00F93D7D"/>
    <w:rsid w:val="00F93E26"/>
    <w:rsid w:val="00F93EE9"/>
    <w:rsid w:val="00F93EED"/>
    <w:rsid w:val="00F93F3E"/>
    <w:rsid w:val="00F93F66"/>
    <w:rsid w:val="00F93F96"/>
    <w:rsid w:val="00F9403B"/>
    <w:rsid w:val="00F9405A"/>
    <w:rsid w:val="00F9407D"/>
    <w:rsid w:val="00F94094"/>
    <w:rsid w:val="00F940A5"/>
    <w:rsid w:val="00F940C8"/>
    <w:rsid w:val="00F940DF"/>
    <w:rsid w:val="00F940EB"/>
    <w:rsid w:val="00F940F9"/>
    <w:rsid w:val="00F94117"/>
    <w:rsid w:val="00F94132"/>
    <w:rsid w:val="00F94175"/>
    <w:rsid w:val="00F94185"/>
    <w:rsid w:val="00F941A9"/>
    <w:rsid w:val="00F941CD"/>
    <w:rsid w:val="00F941D0"/>
    <w:rsid w:val="00F941F8"/>
    <w:rsid w:val="00F94208"/>
    <w:rsid w:val="00F9423E"/>
    <w:rsid w:val="00F94259"/>
    <w:rsid w:val="00F9426D"/>
    <w:rsid w:val="00F9427F"/>
    <w:rsid w:val="00F942A2"/>
    <w:rsid w:val="00F94302"/>
    <w:rsid w:val="00F94334"/>
    <w:rsid w:val="00F9434D"/>
    <w:rsid w:val="00F9439F"/>
    <w:rsid w:val="00F9453C"/>
    <w:rsid w:val="00F94575"/>
    <w:rsid w:val="00F94597"/>
    <w:rsid w:val="00F945E2"/>
    <w:rsid w:val="00F945F5"/>
    <w:rsid w:val="00F94611"/>
    <w:rsid w:val="00F94627"/>
    <w:rsid w:val="00F94644"/>
    <w:rsid w:val="00F94649"/>
    <w:rsid w:val="00F94683"/>
    <w:rsid w:val="00F946C1"/>
    <w:rsid w:val="00F946DE"/>
    <w:rsid w:val="00F946EF"/>
    <w:rsid w:val="00F94761"/>
    <w:rsid w:val="00F9476F"/>
    <w:rsid w:val="00F947D7"/>
    <w:rsid w:val="00F947DB"/>
    <w:rsid w:val="00F947E8"/>
    <w:rsid w:val="00F94867"/>
    <w:rsid w:val="00F94888"/>
    <w:rsid w:val="00F948B6"/>
    <w:rsid w:val="00F94900"/>
    <w:rsid w:val="00F9495B"/>
    <w:rsid w:val="00F94968"/>
    <w:rsid w:val="00F9499C"/>
    <w:rsid w:val="00F94A1E"/>
    <w:rsid w:val="00F94A3F"/>
    <w:rsid w:val="00F94A64"/>
    <w:rsid w:val="00F94AA1"/>
    <w:rsid w:val="00F94AB8"/>
    <w:rsid w:val="00F94AC7"/>
    <w:rsid w:val="00F94AF7"/>
    <w:rsid w:val="00F94BBA"/>
    <w:rsid w:val="00F94BBC"/>
    <w:rsid w:val="00F94BE3"/>
    <w:rsid w:val="00F94BE9"/>
    <w:rsid w:val="00F94C14"/>
    <w:rsid w:val="00F94C3D"/>
    <w:rsid w:val="00F94C77"/>
    <w:rsid w:val="00F94CAE"/>
    <w:rsid w:val="00F94CC8"/>
    <w:rsid w:val="00F94CCF"/>
    <w:rsid w:val="00F94D19"/>
    <w:rsid w:val="00F94D4E"/>
    <w:rsid w:val="00F94D4F"/>
    <w:rsid w:val="00F94D6E"/>
    <w:rsid w:val="00F94D7E"/>
    <w:rsid w:val="00F94E1E"/>
    <w:rsid w:val="00F94E27"/>
    <w:rsid w:val="00F94E32"/>
    <w:rsid w:val="00F94E59"/>
    <w:rsid w:val="00F94E69"/>
    <w:rsid w:val="00F94F07"/>
    <w:rsid w:val="00F94FA9"/>
    <w:rsid w:val="00F94FF4"/>
    <w:rsid w:val="00F94FF7"/>
    <w:rsid w:val="00F9505C"/>
    <w:rsid w:val="00F95063"/>
    <w:rsid w:val="00F9507F"/>
    <w:rsid w:val="00F95180"/>
    <w:rsid w:val="00F95204"/>
    <w:rsid w:val="00F95221"/>
    <w:rsid w:val="00F9525D"/>
    <w:rsid w:val="00F9527D"/>
    <w:rsid w:val="00F952E2"/>
    <w:rsid w:val="00F95303"/>
    <w:rsid w:val="00F95332"/>
    <w:rsid w:val="00F95352"/>
    <w:rsid w:val="00F95362"/>
    <w:rsid w:val="00F95384"/>
    <w:rsid w:val="00F953A8"/>
    <w:rsid w:val="00F95436"/>
    <w:rsid w:val="00F9544C"/>
    <w:rsid w:val="00F95495"/>
    <w:rsid w:val="00F9552C"/>
    <w:rsid w:val="00F9557B"/>
    <w:rsid w:val="00F95589"/>
    <w:rsid w:val="00F955BF"/>
    <w:rsid w:val="00F9561E"/>
    <w:rsid w:val="00F956B3"/>
    <w:rsid w:val="00F956D0"/>
    <w:rsid w:val="00F9572D"/>
    <w:rsid w:val="00F95799"/>
    <w:rsid w:val="00F957BC"/>
    <w:rsid w:val="00F95802"/>
    <w:rsid w:val="00F95884"/>
    <w:rsid w:val="00F958CF"/>
    <w:rsid w:val="00F958F1"/>
    <w:rsid w:val="00F95918"/>
    <w:rsid w:val="00F95922"/>
    <w:rsid w:val="00F95993"/>
    <w:rsid w:val="00F95A44"/>
    <w:rsid w:val="00F95A49"/>
    <w:rsid w:val="00F95A8A"/>
    <w:rsid w:val="00F95ACC"/>
    <w:rsid w:val="00F95AFA"/>
    <w:rsid w:val="00F95B1E"/>
    <w:rsid w:val="00F95B47"/>
    <w:rsid w:val="00F95B4E"/>
    <w:rsid w:val="00F95B7E"/>
    <w:rsid w:val="00F95C22"/>
    <w:rsid w:val="00F95C2B"/>
    <w:rsid w:val="00F95C77"/>
    <w:rsid w:val="00F95C92"/>
    <w:rsid w:val="00F95CF8"/>
    <w:rsid w:val="00F95D32"/>
    <w:rsid w:val="00F95D33"/>
    <w:rsid w:val="00F95D35"/>
    <w:rsid w:val="00F95D58"/>
    <w:rsid w:val="00F95E2A"/>
    <w:rsid w:val="00F95ED6"/>
    <w:rsid w:val="00F95F27"/>
    <w:rsid w:val="00F95F3C"/>
    <w:rsid w:val="00F95F49"/>
    <w:rsid w:val="00F95F72"/>
    <w:rsid w:val="00F95FA8"/>
    <w:rsid w:val="00F95FB7"/>
    <w:rsid w:val="00F95FBE"/>
    <w:rsid w:val="00F95FFD"/>
    <w:rsid w:val="00F96017"/>
    <w:rsid w:val="00F96019"/>
    <w:rsid w:val="00F96063"/>
    <w:rsid w:val="00F960DE"/>
    <w:rsid w:val="00F9613F"/>
    <w:rsid w:val="00F96192"/>
    <w:rsid w:val="00F961A6"/>
    <w:rsid w:val="00F961BD"/>
    <w:rsid w:val="00F96201"/>
    <w:rsid w:val="00F96214"/>
    <w:rsid w:val="00F96277"/>
    <w:rsid w:val="00F9627B"/>
    <w:rsid w:val="00F962C8"/>
    <w:rsid w:val="00F962EE"/>
    <w:rsid w:val="00F962F1"/>
    <w:rsid w:val="00F96300"/>
    <w:rsid w:val="00F9630D"/>
    <w:rsid w:val="00F9636A"/>
    <w:rsid w:val="00F9639B"/>
    <w:rsid w:val="00F963DA"/>
    <w:rsid w:val="00F963E1"/>
    <w:rsid w:val="00F96429"/>
    <w:rsid w:val="00F96464"/>
    <w:rsid w:val="00F964B5"/>
    <w:rsid w:val="00F96529"/>
    <w:rsid w:val="00F96546"/>
    <w:rsid w:val="00F96597"/>
    <w:rsid w:val="00F96694"/>
    <w:rsid w:val="00F966B8"/>
    <w:rsid w:val="00F966D0"/>
    <w:rsid w:val="00F966DF"/>
    <w:rsid w:val="00F96712"/>
    <w:rsid w:val="00F96757"/>
    <w:rsid w:val="00F9676C"/>
    <w:rsid w:val="00F967D3"/>
    <w:rsid w:val="00F96841"/>
    <w:rsid w:val="00F9687F"/>
    <w:rsid w:val="00F9690E"/>
    <w:rsid w:val="00F9697E"/>
    <w:rsid w:val="00F9699A"/>
    <w:rsid w:val="00F969B1"/>
    <w:rsid w:val="00F969FE"/>
    <w:rsid w:val="00F96A10"/>
    <w:rsid w:val="00F96A1D"/>
    <w:rsid w:val="00F96AAD"/>
    <w:rsid w:val="00F96B31"/>
    <w:rsid w:val="00F96B58"/>
    <w:rsid w:val="00F96B8F"/>
    <w:rsid w:val="00F96B97"/>
    <w:rsid w:val="00F96C1E"/>
    <w:rsid w:val="00F96C4B"/>
    <w:rsid w:val="00F96CA6"/>
    <w:rsid w:val="00F96CAA"/>
    <w:rsid w:val="00F96CD8"/>
    <w:rsid w:val="00F96CD9"/>
    <w:rsid w:val="00F96CDF"/>
    <w:rsid w:val="00F96CE3"/>
    <w:rsid w:val="00F96D05"/>
    <w:rsid w:val="00F96D08"/>
    <w:rsid w:val="00F96D2B"/>
    <w:rsid w:val="00F96D46"/>
    <w:rsid w:val="00F96D63"/>
    <w:rsid w:val="00F96D87"/>
    <w:rsid w:val="00F96DBF"/>
    <w:rsid w:val="00F96DFC"/>
    <w:rsid w:val="00F96E2F"/>
    <w:rsid w:val="00F96E42"/>
    <w:rsid w:val="00F96ECD"/>
    <w:rsid w:val="00F96EE9"/>
    <w:rsid w:val="00F96F0D"/>
    <w:rsid w:val="00F96F2D"/>
    <w:rsid w:val="00F96F52"/>
    <w:rsid w:val="00F96F65"/>
    <w:rsid w:val="00F96F9D"/>
    <w:rsid w:val="00F96FC5"/>
    <w:rsid w:val="00F96FD0"/>
    <w:rsid w:val="00F96FEC"/>
    <w:rsid w:val="00F96FFE"/>
    <w:rsid w:val="00F9705F"/>
    <w:rsid w:val="00F970CF"/>
    <w:rsid w:val="00F970DA"/>
    <w:rsid w:val="00F9711C"/>
    <w:rsid w:val="00F97123"/>
    <w:rsid w:val="00F9718B"/>
    <w:rsid w:val="00F971AA"/>
    <w:rsid w:val="00F971C4"/>
    <w:rsid w:val="00F971CF"/>
    <w:rsid w:val="00F971F9"/>
    <w:rsid w:val="00F9726A"/>
    <w:rsid w:val="00F9726D"/>
    <w:rsid w:val="00F9726F"/>
    <w:rsid w:val="00F97275"/>
    <w:rsid w:val="00F972A4"/>
    <w:rsid w:val="00F972D2"/>
    <w:rsid w:val="00F972DA"/>
    <w:rsid w:val="00F972EE"/>
    <w:rsid w:val="00F973A6"/>
    <w:rsid w:val="00F973E6"/>
    <w:rsid w:val="00F974C3"/>
    <w:rsid w:val="00F97502"/>
    <w:rsid w:val="00F97532"/>
    <w:rsid w:val="00F97622"/>
    <w:rsid w:val="00F97628"/>
    <w:rsid w:val="00F97635"/>
    <w:rsid w:val="00F9768C"/>
    <w:rsid w:val="00F976AA"/>
    <w:rsid w:val="00F976AF"/>
    <w:rsid w:val="00F976B8"/>
    <w:rsid w:val="00F976C0"/>
    <w:rsid w:val="00F976FF"/>
    <w:rsid w:val="00F97703"/>
    <w:rsid w:val="00F97723"/>
    <w:rsid w:val="00F9773D"/>
    <w:rsid w:val="00F97742"/>
    <w:rsid w:val="00F9774C"/>
    <w:rsid w:val="00F9776F"/>
    <w:rsid w:val="00F97867"/>
    <w:rsid w:val="00F978D5"/>
    <w:rsid w:val="00F978F2"/>
    <w:rsid w:val="00F97918"/>
    <w:rsid w:val="00F97919"/>
    <w:rsid w:val="00F9792F"/>
    <w:rsid w:val="00F97951"/>
    <w:rsid w:val="00F9795D"/>
    <w:rsid w:val="00F97960"/>
    <w:rsid w:val="00F97970"/>
    <w:rsid w:val="00F9797A"/>
    <w:rsid w:val="00F979DF"/>
    <w:rsid w:val="00F97A2A"/>
    <w:rsid w:val="00F97A3C"/>
    <w:rsid w:val="00F97A52"/>
    <w:rsid w:val="00F97A56"/>
    <w:rsid w:val="00F97A57"/>
    <w:rsid w:val="00F97A88"/>
    <w:rsid w:val="00F97AC0"/>
    <w:rsid w:val="00F97B2A"/>
    <w:rsid w:val="00F97B53"/>
    <w:rsid w:val="00F97C1F"/>
    <w:rsid w:val="00F97C3E"/>
    <w:rsid w:val="00F97C51"/>
    <w:rsid w:val="00F97C8B"/>
    <w:rsid w:val="00F97CFE"/>
    <w:rsid w:val="00F97D37"/>
    <w:rsid w:val="00F97D65"/>
    <w:rsid w:val="00F97D73"/>
    <w:rsid w:val="00F97D8F"/>
    <w:rsid w:val="00F97DD0"/>
    <w:rsid w:val="00F97E10"/>
    <w:rsid w:val="00F97E58"/>
    <w:rsid w:val="00F97E60"/>
    <w:rsid w:val="00F97E98"/>
    <w:rsid w:val="00F97F14"/>
    <w:rsid w:val="00F97F3D"/>
    <w:rsid w:val="00F97F47"/>
    <w:rsid w:val="00F97FD7"/>
    <w:rsid w:val="00FA005A"/>
    <w:rsid w:val="00FA00BF"/>
    <w:rsid w:val="00FA00C6"/>
    <w:rsid w:val="00FA00CA"/>
    <w:rsid w:val="00FA00E6"/>
    <w:rsid w:val="00FA00F1"/>
    <w:rsid w:val="00FA0101"/>
    <w:rsid w:val="00FA0104"/>
    <w:rsid w:val="00FA01F3"/>
    <w:rsid w:val="00FA01FB"/>
    <w:rsid w:val="00FA021E"/>
    <w:rsid w:val="00FA0263"/>
    <w:rsid w:val="00FA0287"/>
    <w:rsid w:val="00FA0299"/>
    <w:rsid w:val="00FA02A5"/>
    <w:rsid w:val="00FA02CD"/>
    <w:rsid w:val="00FA0347"/>
    <w:rsid w:val="00FA034D"/>
    <w:rsid w:val="00FA0392"/>
    <w:rsid w:val="00FA0399"/>
    <w:rsid w:val="00FA03FF"/>
    <w:rsid w:val="00FA0409"/>
    <w:rsid w:val="00FA042D"/>
    <w:rsid w:val="00FA046B"/>
    <w:rsid w:val="00FA0496"/>
    <w:rsid w:val="00FA0530"/>
    <w:rsid w:val="00FA05E6"/>
    <w:rsid w:val="00FA0640"/>
    <w:rsid w:val="00FA0682"/>
    <w:rsid w:val="00FA06C9"/>
    <w:rsid w:val="00FA0712"/>
    <w:rsid w:val="00FA0833"/>
    <w:rsid w:val="00FA0852"/>
    <w:rsid w:val="00FA0860"/>
    <w:rsid w:val="00FA0880"/>
    <w:rsid w:val="00FA0882"/>
    <w:rsid w:val="00FA088C"/>
    <w:rsid w:val="00FA089E"/>
    <w:rsid w:val="00FA08B3"/>
    <w:rsid w:val="00FA08C2"/>
    <w:rsid w:val="00FA0957"/>
    <w:rsid w:val="00FA0967"/>
    <w:rsid w:val="00FA096B"/>
    <w:rsid w:val="00FA097F"/>
    <w:rsid w:val="00FA09A0"/>
    <w:rsid w:val="00FA0A56"/>
    <w:rsid w:val="00FA0AC5"/>
    <w:rsid w:val="00FA0AD4"/>
    <w:rsid w:val="00FA0AD9"/>
    <w:rsid w:val="00FA0AE4"/>
    <w:rsid w:val="00FA0B16"/>
    <w:rsid w:val="00FA0B57"/>
    <w:rsid w:val="00FA0C5B"/>
    <w:rsid w:val="00FA0CB0"/>
    <w:rsid w:val="00FA0CD4"/>
    <w:rsid w:val="00FA0CF1"/>
    <w:rsid w:val="00FA0CFF"/>
    <w:rsid w:val="00FA0D09"/>
    <w:rsid w:val="00FA0D4C"/>
    <w:rsid w:val="00FA0D61"/>
    <w:rsid w:val="00FA0DE2"/>
    <w:rsid w:val="00FA0DF2"/>
    <w:rsid w:val="00FA0DF4"/>
    <w:rsid w:val="00FA0E42"/>
    <w:rsid w:val="00FA0EDE"/>
    <w:rsid w:val="00FA0F65"/>
    <w:rsid w:val="00FA0F6F"/>
    <w:rsid w:val="00FA0F71"/>
    <w:rsid w:val="00FA0F99"/>
    <w:rsid w:val="00FA0FCB"/>
    <w:rsid w:val="00FA1068"/>
    <w:rsid w:val="00FA1084"/>
    <w:rsid w:val="00FA114A"/>
    <w:rsid w:val="00FA1173"/>
    <w:rsid w:val="00FA1189"/>
    <w:rsid w:val="00FA11A5"/>
    <w:rsid w:val="00FA11AC"/>
    <w:rsid w:val="00FA11B0"/>
    <w:rsid w:val="00FA11F2"/>
    <w:rsid w:val="00FA127A"/>
    <w:rsid w:val="00FA1283"/>
    <w:rsid w:val="00FA1298"/>
    <w:rsid w:val="00FA12B3"/>
    <w:rsid w:val="00FA1313"/>
    <w:rsid w:val="00FA13B7"/>
    <w:rsid w:val="00FA13C4"/>
    <w:rsid w:val="00FA13CA"/>
    <w:rsid w:val="00FA13E2"/>
    <w:rsid w:val="00FA13F4"/>
    <w:rsid w:val="00FA1458"/>
    <w:rsid w:val="00FA1468"/>
    <w:rsid w:val="00FA1492"/>
    <w:rsid w:val="00FA14CD"/>
    <w:rsid w:val="00FA14F6"/>
    <w:rsid w:val="00FA1540"/>
    <w:rsid w:val="00FA1578"/>
    <w:rsid w:val="00FA15A3"/>
    <w:rsid w:val="00FA15D0"/>
    <w:rsid w:val="00FA15D4"/>
    <w:rsid w:val="00FA160E"/>
    <w:rsid w:val="00FA161E"/>
    <w:rsid w:val="00FA167E"/>
    <w:rsid w:val="00FA1725"/>
    <w:rsid w:val="00FA1731"/>
    <w:rsid w:val="00FA175A"/>
    <w:rsid w:val="00FA1778"/>
    <w:rsid w:val="00FA17E9"/>
    <w:rsid w:val="00FA17EF"/>
    <w:rsid w:val="00FA180E"/>
    <w:rsid w:val="00FA1823"/>
    <w:rsid w:val="00FA1833"/>
    <w:rsid w:val="00FA1874"/>
    <w:rsid w:val="00FA1911"/>
    <w:rsid w:val="00FA1989"/>
    <w:rsid w:val="00FA198A"/>
    <w:rsid w:val="00FA19EA"/>
    <w:rsid w:val="00FA19EC"/>
    <w:rsid w:val="00FA1A08"/>
    <w:rsid w:val="00FA1AE0"/>
    <w:rsid w:val="00FA1B36"/>
    <w:rsid w:val="00FA1B4F"/>
    <w:rsid w:val="00FA1B7E"/>
    <w:rsid w:val="00FA1B83"/>
    <w:rsid w:val="00FA1BA4"/>
    <w:rsid w:val="00FA1BE4"/>
    <w:rsid w:val="00FA1C1A"/>
    <w:rsid w:val="00FA1C29"/>
    <w:rsid w:val="00FA1C3A"/>
    <w:rsid w:val="00FA1C87"/>
    <w:rsid w:val="00FA1CB8"/>
    <w:rsid w:val="00FA1CCB"/>
    <w:rsid w:val="00FA1CF5"/>
    <w:rsid w:val="00FA1D1D"/>
    <w:rsid w:val="00FA1D2E"/>
    <w:rsid w:val="00FA1DEA"/>
    <w:rsid w:val="00FA1DF8"/>
    <w:rsid w:val="00FA1E14"/>
    <w:rsid w:val="00FA1E62"/>
    <w:rsid w:val="00FA1EBA"/>
    <w:rsid w:val="00FA1F04"/>
    <w:rsid w:val="00FA1F6C"/>
    <w:rsid w:val="00FA1F82"/>
    <w:rsid w:val="00FA1FE2"/>
    <w:rsid w:val="00FA1FE5"/>
    <w:rsid w:val="00FA2018"/>
    <w:rsid w:val="00FA2078"/>
    <w:rsid w:val="00FA208C"/>
    <w:rsid w:val="00FA20AC"/>
    <w:rsid w:val="00FA21B8"/>
    <w:rsid w:val="00FA21C8"/>
    <w:rsid w:val="00FA220F"/>
    <w:rsid w:val="00FA2224"/>
    <w:rsid w:val="00FA2254"/>
    <w:rsid w:val="00FA226E"/>
    <w:rsid w:val="00FA228C"/>
    <w:rsid w:val="00FA2302"/>
    <w:rsid w:val="00FA2325"/>
    <w:rsid w:val="00FA2330"/>
    <w:rsid w:val="00FA2365"/>
    <w:rsid w:val="00FA237D"/>
    <w:rsid w:val="00FA2387"/>
    <w:rsid w:val="00FA23DD"/>
    <w:rsid w:val="00FA23DF"/>
    <w:rsid w:val="00FA2426"/>
    <w:rsid w:val="00FA2484"/>
    <w:rsid w:val="00FA24A6"/>
    <w:rsid w:val="00FA2547"/>
    <w:rsid w:val="00FA254A"/>
    <w:rsid w:val="00FA25AB"/>
    <w:rsid w:val="00FA25B8"/>
    <w:rsid w:val="00FA25DA"/>
    <w:rsid w:val="00FA25FD"/>
    <w:rsid w:val="00FA268F"/>
    <w:rsid w:val="00FA26F3"/>
    <w:rsid w:val="00FA271E"/>
    <w:rsid w:val="00FA2721"/>
    <w:rsid w:val="00FA272C"/>
    <w:rsid w:val="00FA273C"/>
    <w:rsid w:val="00FA27E9"/>
    <w:rsid w:val="00FA2808"/>
    <w:rsid w:val="00FA280F"/>
    <w:rsid w:val="00FA28FD"/>
    <w:rsid w:val="00FA291D"/>
    <w:rsid w:val="00FA294B"/>
    <w:rsid w:val="00FA2975"/>
    <w:rsid w:val="00FA298A"/>
    <w:rsid w:val="00FA29E2"/>
    <w:rsid w:val="00FA2A05"/>
    <w:rsid w:val="00FA2A2C"/>
    <w:rsid w:val="00FA2AA6"/>
    <w:rsid w:val="00FA2AC2"/>
    <w:rsid w:val="00FA2ACD"/>
    <w:rsid w:val="00FA2AEE"/>
    <w:rsid w:val="00FA2B71"/>
    <w:rsid w:val="00FA2BAA"/>
    <w:rsid w:val="00FA2C71"/>
    <w:rsid w:val="00FA2C9E"/>
    <w:rsid w:val="00FA2D10"/>
    <w:rsid w:val="00FA2D49"/>
    <w:rsid w:val="00FA2D9F"/>
    <w:rsid w:val="00FA2E01"/>
    <w:rsid w:val="00FA2E0B"/>
    <w:rsid w:val="00FA2E78"/>
    <w:rsid w:val="00FA2E7A"/>
    <w:rsid w:val="00FA2F08"/>
    <w:rsid w:val="00FA2F20"/>
    <w:rsid w:val="00FA2FB3"/>
    <w:rsid w:val="00FA2FEC"/>
    <w:rsid w:val="00FA3082"/>
    <w:rsid w:val="00FA30D8"/>
    <w:rsid w:val="00FA311E"/>
    <w:rsid w:val="00FA312D"/>
    <w:rsid w:val="00FA3152"/>
    <w:rsid w:val="00FA318E"/>
    <w:rsid w:val="00FA3232"/>
    <w:rsid w:val="00FA323A"/>
    <w:rsid w:val="00FA323E"/>
    <w:rsid w:val="00FA325B"/>
    <w:rsid w:val="00FA3283"/>
    <w:rsid w:val="00FA32F3"/>
    <w:rsid w:val="00FA32F7"/>
    <w:rsid w:val="00FA3307"/>
    <w:rsid w:val="00FA333C"/>
    <w:rsid w:val="00FA336B"/>
    <w:rsid w:val="00FA3395"/>
    <w:rsid w:val="00FA33C7"/>
    <w:rsid w:val="00FA348F"/>
    <w:rsid w:val="00FA34CA"/>
    <w:rsid w:val="00FA34D6"/>
    <w:rsid w:val="00FA34E0"/>
    <w:rsid w:val="00FA34F5"/>
    <w:rsid w:val="00FA3534"/>
    <w:rsid w:val="00FA353A"/>
    <w:rsid w:val="00FA3559"/>
    <w:rsid w:val="00FA3576"/>
    <w:rsid w:val="00FA358A"/>
    <w:rsid w:val="00FA3599"/>
    <w:rsid w:val="00FA35A8"/>
    <w:rsid w:val="00FA35BC"/>
    <w:rsid w:val="00FA35E1"/>
    <w:rsid w:val="00FA3646"/>
    <w:rsid w:val="00FA36A0"/>
    <w:rsid w:val="00FA3791"/>
    <w:rsid w:val="00FA3795"/>
    <w:rsid w:val="00FA3815"/>
    <w:rsid w:val="00FA3854"/>
    <w:rsid w:val="00FA3898"/>
    <w:rsid w:val="00FA38C5"/>
    <w:rsid w:val="00FA38F8"/>
    <w:rsid w:val="00FA3900"/>
    <w:rsid w:val="00FA3927"/>
    <w:rsid w:val="00FA392B"/>
    <w:rsid w:val="00FA392F"/>
    <w:rsid w:val="00FA3973"/>
    <w:rsid w:val="00FA39A1"/>
    <w:rsid w:val="00FA39E2"/>
    <w:rsid w:val="00FA3A05"/>
    <w:rsid w:val="00FA3AAE"/>
    <w:rsid w:val="00FA3AB6"/>
    <w:rsid w:val="00FA3AC6"/>
    <w:rsid w:val="00FA3B0B"/>
    <w:rsid w:val="00FA3B0C"/>
    <w:rsid w:val="00FA3B51"/>
    <w:rsid w:val="00FA3BB4"/>
    <w:rsid w:val="00FA3C00"/>
    <w:rsid w:val="00FA3C0E"/>
    <w:rsid w:val="00FA3C3E"/>
    <w:rsid w:val="00FA3C58"/>
    <w:rsid w:val="00FA3C61"/>
    <w:rsid w:val="00FA3C62"/>
    <w:rsid w:val="00FA3C6B"/>
    <w:rsid w:val="00FA3C6F"/>
    <w:rsid w:val="00FA3CAE"/>
    <w:rsid w:val="00FA3CAF"/>
    <w:rsid w:val="00FA3CB1"/>
    <w:rsid w:val="00FA3CEC"/>
    <w:rsid w:val="00FA3D25"/>
    <w:rsid w:val="00FA3D2E"/>
    <w:rsid w:val="00FA3D44"/>
    <w:rsid w:val="00FA3D4E"/>
    <w:rsid w:val="00FA3D52"/>
    <w:rsid w:val="00FA3DCC"/>
    <w:rsid w:val="00FA3DF2"/>
    <w:rsid w:val="00FA3E09"/>
    <w:rsid w:val="00FA3E0E"/>
    <w:rsid w:val="00FA3E65"/>
    <w:rsid w:val="00FA3EBE"/>
    <w:rsid w:val="00FA3F5B"/>
    <w:rsid w:val="00FA3FC7"/>
    <w:rsid w:val="00FA3FDE"/>
    <w:rsid w:val="00FA3FE8"/>
    <w:rsid w:val="00FA3FF4"/>
    <w:rsid w:val="00FA4025"/>
    <w:rsid w:val="00FA402E"/>
    <w:rsid w:val="00FA407B"/>
    <w:rsid w:val="00FA40E2"/>
    <w:rsid w:val="00FA4127"/>
    <w:rsid w:val="00FA4144"/>
    <w:rsid w:val="00FA4169"/>
    <w:rsid w:val="00FA4187"/>
    <w:rsid w:val="00FA418B"/>
    <w:rsid w:val="00FA41B3"/>
    <w:rsid w:val="00FA41FF"/>
    <w:rsid w:val="00FA420B"/>
    <w:rsid w:val="00FA4210"/>
    <w:rsid w:val="00FA426A"/>
    <w:rsid w:val="00FA4271"/>
    <w:rsid w:val="00FA427A"/>
    <w:rsid w:val="00FA42DF"/>
    <w:rsid w:val="00FA42F3"/>
    <w:rsid w:val="00FA4343"/>
    <w:rsid w:val="00FA4394"/>
    <w:rsid w:val="00FA43BD"/>
    <w:rsid w:val="00FA43DE"/>
    <w:rsid w:val="00FA43FD"/>
    <w:rsid w:val="00FA4465"/>
    <w:rsid w:val="00FA447B"/>
    <w:rsid w:val="00FA44A0"/>
    <w:rsid w:val="00FA44FC"/>
    <w:rsid w:val="00FA44FF"/>
    <w:rsid w:val="00FA4557"/>
    <w:rsid w:val="00FA4599"/>
    <w:rsid w:val="00FA45BC"/>
    <w:rsid w:val="00FA461C"/>
    <w:rsid w:val="00FA4637"/>
    <w:rsid w:val="00FA471B"/>
    <w:rsid w:val="00FA4730"/>
    <w:rsid w:val="00FA4766"/>
    <w:rsid w:val="00FA4769"/>
    <w:rsid w:val="00FA476A"/>
    <w:rsid w:val="00FA4794"/>
    <w:rsid w:val="00FA480A"/>
    <w:rsid w:val="00FA4811"/>
    <w:rsid w:val="00FA487F"/>
    <w:rsid w:val="00FA4892"/>
    <w:rsid w:val="00FA48AA"/>
    <w:rsid w:val="00FA49BC"/>
    <w:rsid w:val="00FA4A58"/>
    <w:rsid w:val="00FA4A7B"/>
    <w:rsid w:val="00FA4A80"/>
    <w:rsid w:val="00FA4AC2"/>
    <w:rsid w:val="00FA4AFB"/>
    <w:rsid w:val="00FA4B0E"/>
    <w:rsid w:val="00FA4B18"/>
    <w:rsid w:val="00FA4B29"/>
    <w:rsid w:val="00FA4B2D"/>
    <w:rsid w:val="00FA4B3A"/>
    <w:rsid w:val="00FA4B6E"/>
    <w:rsid w:val="00FA4B79"/>
    <w:rsid w:val="00FA4B9C"/>
    <w:rsid w:val="00FA4BD0"/>
    <w:rsid w:val="00FA4C0C"/>
    <w:rsid w:val="00FA4C17"/>
    <w:rsid w:val="00FA4C19"/>
    <w:rsid w:val="00FA4C1E"/>
    <w:rsid w:val="00FA4C30"/>
    <w:rsid w:val="00FA4C50"/>
    <w:rsid w:val="00FA4CBC"/>
    <w:rsid w:val="00FA4D66"/>
    <w:rsid w:val="00FA4E95"/>
    <w:rsid w:val="00FA4E9D"/>
    <w:rsid w:val="00FA4ECA"/>
    <w:rsid w:val="00FA4ED8"/>
    <w:rsid w:val="00FA4F04"/>
    <w:rsid w:val="00FA5032"/>
    <w:rsid w:val="00FA5097"/>
    <w:rsid w:val="00FA50AB"/>
    <w:rsid w:val="00FA519F"/>
    <w:rsid w:val="00FA51AA"/>
    <w:rsid w:val="00FA51B9"/>
    <w:rsid w:val="00FA51C4"/>
    <w:rsid w:val="00FA51E6"/>
    <w:rsid w:val="00FA51E9"/>
    <w:rsid w:val="00FA5204"/>
    <w:rsid w:val="00FA5209"/>
    <w:rsid w:val="00FA528F"/>
    <w:rsid w:val="00FA52C8"/>
    <w:rsid w:val="00FA52F4"/>
    <w:rsid w:val="00FA5319"/>
    <w:rsid w:val="00FA5358"/>
    <w:rsid w:val="00FA53BE"/>
    <w:rsid w:val="00FA5434"/>
    <w:rsid w:val="00FA546C"/>
    <w:rsid w:val="00FA553C"/>
    <w:rsid w:val="00FA555D"/>
    <w:rsid w:val="00FA5561"/>
    <w:rsid w:val="00FA55D3"/>
    <w:rsid w:val="00FA55FB"/>
    <w:rsid w:val="00FA560A"/>
    <w:rsid w:val="00FA5639"/>
    <w:rsid w:val="00FA5653"/>
    <w:rsid w:val="00FA5680"/>
    <w:rsid w:val="00FA5687"/>
    <w:rsid w:val="00FA568E"/>
    <w:rsid w:val="00FA56C0"/>
    <w:rsid w:val="00FA5764"/>
    <w:rsid w:val="00FA57B0"/>
    <w:rsid w:val="00FA57BD"/>
    <w:rsid w:val="00FA580D"/>
    <w:rsid w:val="00FA5861"/>
    <w:rsid w:val="00FA587F"/>
    <w:rsid w:val="00FA58DE"/>
    <w:rsid w:val="00FA58DF"/>
    <w:rsid w:val="00FA5988"/>
    <w:rsid w:val="00FA599D"/>
    <w:rsid w:val="00FA59A2"/>
    <w:rsid w:val="00FA59C0"/>
    <w:rsid w:val="00FA59FC"/>
    <w:rsid w:val="00FA5A04"/>
    <w:rsid w:val="00FA5ABE"/>
    <w:rsid w:val="00FA5AC4"/>
    <w:rsid w:val="00FA5ADD"/>
    <w:rsid w:val="00FA5AE5"/>
    <w:rsid w:val="00FA5B19"/>
    <w:rsid w:val="00FA5B35"/>
    <w:rsid w:val="00FA5B67"/>
    <w:rsid w:val="00FA5BA3"/>
    <w:rsid w:val="00FA5BAE"/>
    <w:rsid w:val="00FA5BDC"/>
    <w:rsid w:val="00FA5BFD"/>
    <w:rsid w:val="00FA5C35"/>
    <w:rsid w:val="00FA5C38"/>
    <w:rsid w:val="00FA5C66"/>
    <w:rsid w:val="00FA5CA2"/>
    <w:rsid w:val="00FA5CC9"/>
    <w:rsid w:val="00FA5CD3"/>
    <w:rsid w:val="00FA5D46"/>
    <w:rsid w:val="00FA5D62"/>
    <w:rsid w:val="00FA5E1A"/>
    <w:rsid w:val="00FA5E48"/>
    <w:rsid w:val="00FA5E5D"/>
    <w:rsid w:val="00FA5F03"/>
    <w:rsid w:val="00FA5F24"/>
    <w:rsid w:val="00FA5F69"/>
    <w:rsid w:val="00FA5FE1"/>
    <w:rsid w:val="00FA5FEE"/>
    <w:rsid w:val="00FA6036"/>
    <w:rsid w:val="00FA60CA"/>
    <w:rsid w:val="00FA60D3"/>
    <w:rsid w:val="00FA60D9"/>
    <w:rsid w:val="00FA614A"/>
    <w:rsid w:val="00FA617E"/>
    <w:rsid w:val="00FA6194"/>
    <w:rsid w:val="00FA61DF"/>
    <w:rsid w:val="00FA61EE"/>
    <w:rsid w:val="00FA63C6"/>
    <w:rsid w:val="00FA6412"/>
    <w:rsid w:val="00FA6422"/>
    <w:rsid w:val="00FA649E"/>
    <w:rsid w:val="00FA64EE"/>
    <w:rsid w:val="00FA64F0"/>
    <w:rsid w:val="00FA651A"/>
    <w:rsid w:val="00FA6556"/>
    <w:rsid w:val="00FA6557"/>
    <w:rsid w:val="00FA6574"/>
    <w:rsid w:val="00FA65AF"/>
    <w:rsid w:val="00FA65FD"/>
    <w:rsid w:val="00FA6619"/>
    <w:rsid w:val="00FA6642"/>
    <w:rsid w:val="00FA664E"/>
    <w:rsid w:val="00FA66DA"/>
    <w:rsid w:val="00FA670B"/>
    <w:rsid w:val="00FA6721"/>
    <w:rsid w:val="00FA678E"/>
    <w:rsid w:val="00FA67AA"/>
    <w:rsid w:val="00FA67FC"/>
    <w:rsid w:val="00FA6809"/>
    <w:rsid w:val="00FA6863"/>
    <w:rsid w:val="00FA696B"/>
    <w:rsid w:val="00FA6971"/>
    <w:rsid w:val="00FA6977"/>
    <w:rsid w:val="00FA6A16"/>
    <w:rsid w:val="00FA6AB0"/>
    <w:rsid w:val="00FA6AFF"/>
    <w:rsid w:val="00FA6B6A"/>
    <w:rsid w:val="00FA6C19"/>
    <w:rsid w:val="00FA6C43"/>
    <w:rsid w:val="00FA6C5F"/>
    <w:rsid w:val="00FA6C84"/>
    <w:rsid w:val="00FA6C85"/>
    <w:rsid w:val="00FA6CBF"/>
    <w:rsid w:val="00FA6CDB"/>
    <w:rsid w:val="00FA6CFF"/>
    <w:rsid w:val="00FA6D30"/>
    <w:rsid w:val="00FA6D8C"/>
    <w:rsid w:val="00FA6DB3"/>
    <w:rsid w:val="00FA6DB8"/>
    <w:rsid w:val="00FA6DD5"/>
    <w:rsid w:val="00FA6E87"/>
    <w:rsid w:val="00FA6E9C"/>
    <w:rsid w:val="00FA6EDE"/>
    <w:rsid w:val="00FA6EFF"/>
    <w:rsid w:val="00FA6F48"/>
    <w:rsid w:val="00FA6F54"/>
    <w:rsid w:val="00FA6FC1"/>
    <w:rsid w:val="00FA7006"/>
    <w:rsid w:val="00FA7036"/>
    <w:rsid w:val="00FA7076"/>
    <w:rsid w:val="00FA70AF"/>
    <w:rsid w:val="00FA70DD"/>
    <w:rsid w:val="00FA70E0"/>
    <w:rsid w:val="00FA7124"/>
    <w:rsid w:val="00FA71ED"/>
    <w:rsid w:val="00FA7220"/>
    <w:rsid w:val="00FA7222"/>
    <w:rsid w:val="00FA725D"/>
    <w:rsid w:val="00FA7287"/>
    <w:rsid w:val="00FA72B9"/>
    <w:rsid w:val="00FA72E3"/>
    <w:rsid w:val="00FA736E"/>
    <w:rsid w:val="00FA738E"/>
    <w:rsid w:val="00FA739F"/>
    <w:rsid w:val="00FA742E"/>
    <w:rsid w:val="00FA7443"/>
    <w:rsid w:val="00FA744C"/>
    <w:rsid w:val="00FA7451"/>
    <w:rsid w:val="00FA7468"/>
    <w:rsid w:val="00FA7549"/>
    <w:rsid w:val="00FA7550"/>
    <w:rsid w:val="00FA7572"/>
    <w:rsid w:val="00FA757B"/>
    <w:rsid w:val="00FA7590"/>
    <w:rsid w:val="00FA762B"/>
    <w:rsid w:val="00FA765B"/>
    <w:rsid w:val="00FA76B8"/>
    <w:rsid w:val="00FA76BD"/>
    <w:rsid w:val="00FA76CA"/>
    <w:rsid w:val="00FA76F2"/>
    <w:rsid w:val="00FA7702"/>
    <w:rsid w:val="00FA7715"/>
    <w:rsid w:val="00FA7716"/>
    <w:rsid w:val="00FA774C"/>
    <w:rsid w:val="00FA777C"/>
    <w:rsid w:val="00FA7901"/>
    <w:rsid w:val="00FA795D"/>
    <w:rsid w:val="00FA7960"/>
    <w:rsid w:val="00FA7987"/>
    <w:rsid w:val="00FA798A"/>
    <w:rsid w:val="00FA79CD"/>
    <w:rsid w:val="00FA79D4"/>
    <w:rsid w:val="00FA79DA"/>
    <w:rsid w:val="00FA7A21"/>
    <w:rsid w:val="00FA7AB6"/>
    <w:rsid w:val="00FA7B1F"/>
    <w:rsid w:val="00FA7B7E"/>
    <w:rsid w:val="00FA7B8C"/>
    <w:rsid w:val="00FA7C87"/>
    <w:rsid w:val="00FA7C93"/>
    <w:rsid w:val="00FA7C9A"/>
    <w:rsid w:val="00FA7CFD"/>
    <w:rsid w:val="00FA7D01"/>
    <w:rsid w:val="00FA7D2B"/>
    <w:rsid w:val="00FA7D87"/>
    <w:rsid w:val="00FA7DA0"/>
    <w:rsid w:val="00FA7E0D"/>
    <w:rsid w:val="00FA7E44"/>
    <w:rsid w:val="00FA7E56"/>
    <w:rsid w:val="00FA7E90"/>
    <w:rsid w:val="00FA7EA4"/>
    <w:rsid w:val="00FA7EB9"/>
    <w:rsid w:val="00FA7F72"/>
    <w:rsid w:val="00FA7F96"/>
    <w:rsid w:val="00FB0034"/>
    <w:rsid w:val="00FB0047"/>
    <w:rsid w:val="00FB0084"/>
    <w:rsid w:val="00FB0089"/>
    <w:rsid w:val="00FB00C7"/>
    <w:rsid w:val="00FB00F3"/>
    <w:rsid w:val="00FB021A"/>
    <w:rsid w:val="00FB0228"/>
    <w:rsid w:val="00FB0269"/>
    <w:rsid w:val="00FB02E1"/>
    <w:rsid w:val="00FB02EB"/>
    <w:rsid w:val="00FB043C"/>
    <w:rsid w:val="00FB0448"/>
    <w:rsid w:val="00FB0491"/>
    <w:rsid w:val="00FB04AD"/>
    <w:rsid w:val="00FB04C6"/>
    <w:rsid w:val="00FB0569"/>
    <w:rsid w:val="00FB05BE"/>
    <w:rsid w:val="00FB05DC"/>
    <w:rsid w:val="00FB061F"/>
    <w:rsid w:val="00FB064E"/>
    <w:rsid w:val="00FB06A5"/>
    <w:rsid w:val="00FB070E"/>
    <w:rsid w:val="00FB0780"/>
    <w:rsid w:val="00FB07A7"/>
    <w:rsid w:val="00FB07B7"/>
    <w:rsid w:val="00FB07BB"/>
    <w:rsid w:val="00FB0811"/>
    <w:rsid w:val="00FB0879"/>
    <w:rsid w:val="00FB0898"/>
    <w:rsid w:val="00FB08AA"/>
    <w:rsid w:val="00FB08B4"/>
    <w:rsid w:val="00FB08D7"/>
    <w:rsid w:val="00FB0964"/>
    <w:rsid w:val="00FB099D"/>
    <w:rsid w:val="00FB09BB"/>
    <w:rsid w:val="00FB0A27"/>
    <w:rsid w:val="00FB0A34"/>
    <w:rsid w:val="00FB0ADA"/>
    <w:rsid w:val="00FB0AE0"/>
    <w:rsid w:val="00FB0AFC"/>
    <w:rsid w:val="00FB0B2B"/>
    <w:rsid w:val="00FB0B8F"/>
    <w:rsid w:val="00FB0BC8"/>
    <w:rsid w:val="00FB0BDF"/>
    <w:rsid w:val="00FB0BFB"/>
    <w:rsid w:val="00FB0C72"/>
    <w:rsid w:val="00FB0C79"/>
    <w:rsid w:val="00FB0D11"/>
    <w:rsid w:val="00FB0D38"/>
    <w:rsid w:val="00FB0D44"/>
    <w:rsid w:val="00FB0D45"/>
    <w:rsid w:val="00FB0D76"/>
    <w:rsid w:val="00FB0DDE"/>
    <w:rsid w:val="00FB0E63"/>
    <w:rsid w:val="00FB0E66"/>
    <w:rsid w:val="00FB0E7D"/>
    <w:rsid w:val="00FB0EA0"/>
    <w:rsid w:val="00FB0ECD"/>
    <w:rsid w:val="00FB0EEE"/>
    <w:rsid w:val="00FB0F98"/>
    <w:rsid w:val="00FB0FF4"/>
    <w:rsid w:val="00FB1037"/>
    <w:rsid w:val="00FB1040"/>
    <w:rsid w:val="00FB1073"/>
    <w:rsid w:val="00FB118D"/>
    <w:rsid w:val="00FB11C3"/>
    <w:rsid w:val="00FB11C4"/>
    <w:rsid w:val="00FB121E"/>
    <w:rsid w:val="00FB1237"/>
    <w:rsid w:val="00FB1278"/>
    <w:rsid w:val="00FB127D"/>
    <w:rsid w:val="00FB128F"/>
    <w:rsid w:val="00FB12AB"/>
    <w:rsid w:val="00FB12E0"/>
    <w:rsid w:val="00FB1337"/>
    <w:rsid w:val="00FB13BF"/>
    <w:rsid w:val="00FB13D1"/>
    <w:rsid w:val="00FB13E0"/>
    <w:rsid w:val="00FB1401"/>
    <w:rsid w:val="00FB1437"/>
    <w:rsid w:val="00FB1446"/>
    <w:rsid w:val="00FB146D"/>
    <w:rsid w:val="00FB147D"/>
    <w:rsid w:val="00FB15A7"/>
    <w:rsid w:val="00FB15A8"/>
    <w:rsid w:val="00FB1635"/>
    <w:rsid w:val="00FB164D"/>
    <w:rsid w:val="00FB1685"/>
    <w:rsid w:val="00FB16BF"/>
    <w:rsid w:val="00FB16CC"/>
    <w:rsid w:val="00FB16F1"/>
    <w:rsid w:val="00FB1700"/>
    <w:rsid w:val="00FB1738"/>
    <w:rsid w:val="00FB1752"/>
    <w:rsid w:val="00FB1767"/>
    <w:rsid w:val="00FB1791"/>
    <w:rsid w:val="00FB179E"/>
    <w:rsid w:val="00FB17F4"/>
    <w:rsid w:val="00FB1805"/>
    <w:rsid w:val="00FB1878"/>
    <w:rsid w:val="00FB1890"/>
    <w:rsid w:val="00FB18A8"/>
    <w:rsid w:val="00FB18C2"/>
    <w:rsid w:val="00FB18CE"/>
    <w:rsid w:val="00FB1902"/>
    <w:rsid w:val="00FB191A"/>
    <w:rsid w:val="00FB1980"/>
    <w:rsid w:val="00FB198B"/>
    <w:rsid w:val="00FB19D4"/>
    <w:rsid w:val="00FB1A3B"/>
    <w:rsid w:val="00FB1A83"/>
    <w:rsid w:val="00FB1AD5"/>
    <w:rsid w:val="00FB1B05"/>
    <w:rsid w:val="00FB1B0C"/>
    <w:rsid w:val="00FB1B0D"/>
    <w:rsid w:val="00FB1B3A"/>
    <w:rsid w:val="00FB1B52"/>
    <w:rsid w:val="00FB1B7F"/>
    <w:rsid w:val="00FB1BAA"/>
    <w:rsid w:val="00FB1BD2"/>
    <w:rsid w:val="00FB1C8E"/>
    <w:rsid w:val="00FB1CC7"/>
    <w:rsid w:val="00FB1CF3"/>
    <w:rsid w:val="00FB1D3F"/>
    <w:rsid w:val="00FB1D5F"/>
    <w:rsid w:val="00FB1E01"/>
    <w:rsid w:val="00FB1E09"/>
    <w:rsid w:val="00FB1E8A"/>
    <w:rsid w:val="00FB1E90"/>
    <w:rsid w:val="00FB1E9C"/>
    <w:rsid w:val="00FB1EAF"/>
    <w:rsid w:val="00FB1F85"/>
    <w:rsid w:val="00FB1FB5"/>
    <w:rsid w:val="00FB1FBE"/>
    <w:rsid w:val="00FB1FCE"/>
    <w:rsid w:val="00FB1FD7"/>
    <w:rsid w:val="00FB2024"/>
    <w:rsid w:val="00FB2038"/>
    <w:rsid w:val="00FB205A"/>
    <w:rsid w:val="00FB208A"/>
    <w:rsid w:val="00FB20C4"/>
    <w:rsid w:val="00FB20CD"/>
    <w:rsid w:val="00FB20E4"/>
    <w:rsid w:val="00FB218D"/>
    <w:rsid w:val="00FB2195"/>
    <w:rsid w:val="00FB21AA"/>
    <w:rsid w:val="00FB21AD"/>
    <w:rsid w:val="00FB21E2"/>
    <w:rsid w:val="00FB2203"/>
    <w:rsid w:val="00FB224F"/>
    <w:rsid w:val="00FB2265"/>
    <w:rsid w:val="00FB22BE"/>
    <w:rsid w:val="00FB2337"/>
    <w:rsid w:val="00FB233B"/>
    <w:rsid w:val="00FB23CF"/>
    <w:rsid w:val="00FB23F0"/>
    <w:rsid w:val="00FB246C"/>
    <w:rsid w:val="00FB2486"/>
    <w:rsid w:val="00FB248F"/>
    <w:rsid w:val="00FB24D4"/>
    <w:rsid w:val="00FB24D8"/>
    <w:rsid w:val="00FB24D9"/>
    <w:rsid w:val="00FB24F3"/>
    <w:rsid w:val="00FB252D"/>
    <w:rsid w:val="00FB2543"/>
    <w:rsid w:val="00FB2563"/>
    <w:rsid w:val="00FB25A3"/>
    <w:rsid w:val="00FB25AF"/>
    <w:rsid w:val="00FB25D2"/>
    <w:rsid w:val="00FB25FA"/>
    <w:rsid w:val="00FB265C"/>
    <w:rsid w:val="00FB2661"/>
    <w:rsid w:val="00FB270D"/>
    <w:rsid w:val="00FB270E"/>
    <w:rsid w:val="00FB2729"/>
    <w:rsid w:val="00FB278E"/>
    <w:rsid w:val="00FB27B3"/>
    <w:rsid w:val="00FB2812"/>
    <w:rsid w:val="00FB28AD"/>
    <w:rsid w:val="00FB28E8"/>
    <w:rsid w:val="00FB292C"/>
    <w:rsid w:val="00FB2990"/>
    <w:rsid w:val="00FB2A4F"/>
    <w:rsid w:val="00FB2A72"/>
    <w:rsid w:val="00FB2A9B"/>
    <w:rsid w:val="00FB2B19"/>
    <w:rsid w:val="00FB2B3E"/>
    <w:rsid w:val="00FB2C4A"/>
    <w:rsid w:val="00FB2CE7"/>
    <w:rsid w:val="00FB2CED"/>
    <w:rsid w:val="00FB2D0E"/>
    <w:rsid w:val="00FB2D41"/>
    <w:rsid w:val="00FB2D6F"/>
    <w:rsid w:val="00FB2D86"/>
    <w:rsid w:val="00FB2D9C"/>
    <w:rsid w:val="00FB2DAF"/>
    <w:rsid w:val="00FB2DB8"/>
    <w:rsid w:val="00FB2E38"/>
    <w:rsid w:val="00FB2E6F"/>
    <w:rsid w:val="00FB2EBB"/>
    <w:rsid w:val="00FB2ECB"/>
    <w:rsid w:val="00FB2EE5"/>
    <w:rsid w:val="00FB2EF3"/>
    <w:rsid w:val="00FB2F22"/>
    <w:rsid w:val="00FB2F37"/>
    <w:rsid w:val="00FB2F54"/>
    <w:rsid w:val="00FB3028"/>
    <w:rsid w:val="00FB3037"/>
    <w:rsid w:val="00FB3050"/>
    <w:rsid w:val="00FB3068"/>
    <w:rsid w:val="00FB307C"/>
    <w:rsid w:val="00FB30A1"/>
    <w:rsid w:val="00FB30CF"/>
    <w:rsid w:val="00FB30D6"/>
    <w:rsid w:val="00FB30DA"/>
    <w:rsid w:val="00FB312E"/>
    <w:rsid w:val="00FB314B"/>
    <w:rsid w:val="00FB317C"/>
    <w:rsid w:val="00FB31A9"/>
    <w:rsid w:val="00FB31DF"/>
    <w:rsid w:val="00FB31E8"/>
    <w:rsid w:val="00FB3207"/>
    <w:rsid w:val="00FB32C7"/>
    <w:rsid w:val="00FB32F1"/>
    <w:rsid w:val="00FB332B"/>
    <w:rsid w:val="00FB3335"/>
    <w:rsid w:val="00FB3351"/>
    <w:rsid w:val="00FB335B"/>
    <w:rsid w:val="00FB33A5"/>
    <w:rsid w:val="00FB33C3"/>
    <w:rsid w:val="00FB33E3"/>
    <w:rsid w:val="00FB3419"/>
    <w:rsid w:val="00FB3430"/>
    <w:rsid w:val="00FB3491"/>
    <w:rsid w:val="00FB34A9"/>
    <w:rsid w:val="00FB34B5"/>
    <w:rsid w:val="00FB34FB"/>
    <w:rsid w:val="00FB350E"/>
    <w:rsid w:val="00FB3574"/>
    <w:rsid w:val="00FB359D"/>
    <w:rsid w:val="00FB35A6"/>
    <w:rsid w:val="00FB35A8"/>
    <w:rsid w:val="00FB35B6"/>
    <w:rsid w:val="00FB35BE"/>
    <w:rsid w:val="00FB368B"/>
    <w:rsid w:val="00FB36D0"/>
    <w:rsid w:val="00FB371F"/>
    <w:rsid w:val="00FB3724"/>
    <w:rsid w:val="00FB3765"/>
    <w:rsid w:val="00FB376C"/>
    <w:rsid w:val="00FB37EC"/>
    <w:rsid w:val="00FB37F6"/>
    <w:rsid w:val="00FB385F"/>
    <w:rsid w:val="00FB3898"/>
    <w:rsid w:val="00FB38C5"/>
    <w:rsid w:val="00FB38F4"/>
    <w:rsid w:val="00FB38F7"/>
    <w:rsid w:val="00FB38FA"/>
    <w:rsid w:val="00FB3951"/>
    <w:rsid w:val="00FB39A4"/>
    <w:rsid w:val="00FB3A41"/>
    <w:rsid w:val="00FB3A7C"/>
    <w:rsid w:val="00FB3B32"/>
    <w:rsid w:val="00FB3B76"/>
    <w:rsid w:val="00FB3BB3"/>
    <w:rsid w:val="00FB3C3D"/>
    <w:rsid w:val="00FB3C6A"/>
    <w:rsid w:val="00FB3C7B"/>
    <w:rsid w:val="00FB3CAF"/>
    <w:rsid w:val="00FB3CB9"/>
    <w:rsid w:val="00FB3CC1"/>
    <w:rsid w:val="00FB3CDE"/>
    <w:rsid w:val="00FB3CE1"/>
    <w:rsid w:val="00FB3CF1"/>
    <w:rsid w:val="00FB3D18"/>
    <w:rsid w:val="00FB3D1F"/>
    <w:rsid w:val="00FB3D2B"/>
    <w:rsid w:val="00FB3D39"/>
    <w:rsid w:val="00FB3D44"/>
    <w:rsid w:val="00FB3D91"/>
    <w:rsid w:val="00FB3DA0"/>
    <w:rsid w:val="00FB3DA6"/>
    <w:rsid w:val="00FB3DB0"/>
    <w:rsid w:val="00FB3DFA"/>
    <w:rsid w:val="00FB3DFE"/>
    <w:rsid w:val="00FB3E47"/>
    <w:rsid w:val="00FB3E70"/>
    <w:rsid w:val="00FB3EBF"/>
    <w:rsid w:val="00FB3EF4"/>
    <w:rsid w:val="00FB3FF7"/>
    <w:rsid w:val="00FB4023"/>
    <w:rsid w:val="00FB4032"/>
    <w:rsid w:val="00FB40EB"/>
    <w:rsid w:val="00FB40F0"/>
    <w:rsid w:val="00FB4121"/>
    <w:rsid w:val="00FB413E"/>
    <w:rsid w:val="00FB4166"/>
    <w:rsid w:val="00FB4175"/>
    <w:rsid w:val="00FB41A7"/>
    <w:rsid w:val="00FB41DB"/>
    <w:rsid w:val="00FB41FB"/>
    <w:rsid w:val="00FB420C"/>
    <w:rsid w:val="00FB423F"/>
    <w:rsid w:val="00FB4261"/>
    <w:rsid w:val="00FB426C"/>
    <w:rsid w:val="00FB4317"/>
    <w:rsid w:val="00FB431A"/>
    <w:rsid w:val="00FB43D3"/>
    <w:rsid w:val="00FB43F9"/>
    <w:rsid w:val="00FB441F"/>
    <w:rsid w:val="00FB445B"/>
    <w:rsid w:val="00FB446D"/>
    <w:rsid w:val="00FB44BA"/>
    <w:rsid w:val="00FB44FC"/>
    <w:rsid w:val="00FB44FD"/>
    <w:rsid w:val="00FB458D"/>
    <w:rsid w:val="00FB45A2"/>
    <w:rsid w:val="00FB45AC"/>
    <w:rsid w:val="00FB45C6"/>
    <w:rsid w:val="00FB45F1"/>
    <w:rsid w:val="00FB4622"/>
    <w:rsid w:val="00FB4648"/>
    <w:rsid w:val="00FB46E5"/>
    <w:rsid w:val="00FB46F2"/>
    <w:rsid w:val="00FB46FB"/>
    <w:rsid w:val="00FB473D"/>
    <w:rsid w:val="00FB474E"/>
    <w:rsid w:val="00FB47F7"/>
    <w:rsid w:val="00FB4800"/>
    <w:rsid w:val="00FB4801"/>
    <w:rsid w:val="00FB4804"/>
    <w:rsid w:val="00FB4827"/>
    <w:rsid w:val="00FB483F"/>
    <w:rsid w:val="00FB486E"/>
    <w:rsid w:val="00FB488E"/>
    <w:rsid w:val="00FB48CC"/>
    <w:rsid w:val="00FB48EE"/>
    <w:rsid w:val="00FB48F9"/>
    <w:rsid w:val="00FB494B"/>
    <w:rsid w:val="00FB4961"/>
    <w:rsid w:val="00FB49E5"/>
    <w:rsid w:val="00FB49EE"/>
    <w:rsid w:val="00FB4A36"/>
    <w:rsid w:val="00FB4A76"/>
    <w:rsid w:val="00FB4A8B"/>
    <w:rsid w:val="00FB4AA5"/>
    <w:rsid w:val="00FB4AAE"/>
    <w:rsid w:val="00FB4B18"/>
    <w:rsid w:val="00FB4B4F"/>
    <w:rsid w:val="00FB4B54"/>
    <w:rsid w:val="00FB4B7C"/>
    <w:rsid w:val="00FB4BC4"/>
    <w:rsid w:val="00FB4BF2"/>
    <w:rsid w:val="00FB4C26"/>
    <w:rsid w:val="00FB4C61"/>
    <w:rsid w:val="00FB4C85"/>
    <w:rsid w:val="00FB4C96"/>
    <w:rsid w:val="00FB4CE6"/>
    <w:rsid w:val="00FB4D10"/>
    <w:rsid w:val="00FB4D6F"/>
    <w:rsid w:val="00FB4DEE"/>
    <w:rsid w:val="00FB4E65"/>
    <w:rsid w:val="00FB4EDC"/>
    <w:rsid w:val="00FB4F5E"/>
    <w:rsid w:val="00FB4FD8"/>
    <w:rsid w:val="00FB5058"/>
    <w:rsid w:val="00FB50B7"/>
    <w:rsid w:val="00FB50F1"/>
    <w:rsid w:val="00FB5104"/>
    <w:rsid w:val="00FB518F"/>
    <w:rsid w:val="00FB51B2"/>
    <w:rsid w:val="00FB51C6"/>
    <w:rsid w:val="00FB5237"/>
    <w:rsid w:val="00FB52D5"/>
    <w:rsid w:val="00FB5300"/>
    <w:rsid w:val="00FB535D"/>
    <w:rsid w:val="00FB5394"/>
    <w:rsid w:val="00FB542E"/>
    <w:rsid w:val="00FB5450"/>
    <w:rsid w:val="00FB5463"/>
    <w:rsid w:val="00FB5484"/>
    <w:rsid w:val="00FB548D"/>
    <w:rsid w:val="00FB54EB"/>
    <w:rsid w:val="00FB550A"/>
    <w:rsid w:val="00FB550B"/>
    <w:rsid w:val="00FB5519"/>
    <w:rsid w:val="00FB551B"/>
    <w:rsid w:val="00FB555B"/>
    <w:rsid w:val="00FB5562"/>
    <w:rsid w:val="00FB5572"/>
    <w:rsid w:val="00FB5597"/>
    <w:rsid w:val="00FB55E3"/>
    <w:rsid w:val="00FB5604"/>
    <w:rsid w:val="00FB56BB"/>
    <w:rsid w:val="00FB5723"/>
    <w:rsid w:val="00FB5743"/>
    <w:rsid w:val="00FB57C3"/>
    <w:rsid w:val="00FB57E2"/>
    <w:rsid w:val="00FB57E5"/>
    <w:rsid w:val="00FB57E6"/>
    <w:rsid w:val="00FB5859"/>
    <w:rsid w:val="00FB58D3"/>
    <w:rsid w:val="00FB59C6"/>
    <w:rsid w:val="00FB59EF"/>
    <w:rsid w:val="00FB5AB4"/>
    <w:rsid w:val="00FB5ADF"/>
    <w:rsid w:val="00FB5AED"/>
    <w:rsid w:val="00FB5B34"/>
    <w:rsid w:val="00FB5B63"/>
    <w:rsid w:val="00FB5B70"/>
    <w:rsid w:val="00FB5BBC"/>
    <w:rsid w:val="00FB5BBD"/>
    <w:rsid w:val="00FB5BC2"/>
    <w:rsid w:val="00FB5CAC"/>
    <w:rsid w:val="00FB5CCF"/>
    <w:rsid w:val="00FB5CD5"/>
    <w:rsid w:val="00FB5CDF"/>
    <w:rsid w:val="00FB5D47"/>
    <w:rsid w:val="00FB5E53"/>
    <w:rsid w:val="00FB5E8E"/>
    <w:rsid w:val="00FB5E94"/>
    <w:rsid w:val="00FB5EE2"/>
    <w:rsid w:val="00FB5F70"/>
    <w:rsid w:val="00FB5F83"/>
    <w:rsid w:val="00FB5F9F"/>
    <w:rsid w:val="00FB5FA0"/>
    <w:rsid w:val="00FB5FBA"/>
    <w:rsid w:val="00FB5FD2"/>
    <w:rsid w:val="00FB5FFF"/>
    <w:rsid w:val="00FB601F"/>
    <w:rsid w:val="00FB6027"/>
    <w:rsid w:val="00FB6094"/>
    <w:rsid w:val="00FB60DC"/>
    <w:rsid w:val="00FB6104"/>
    <w:rsid w:val="00FB610B"/>
    <w:rsid w:val="00FB6112"/>
    <w:rsid w:val="00FB614E"/>
    <w:rsid w:val="00FB617C"/>
    <w:rsid w:val="00FB6180"/>
    <w:rsid w:val="00FB61F2"/>
    <w:rsid w:val="00FB61F5"/>
    <w:rsid w:val="00FB6218"/>
    <w:rsid w:val="00FB6237"/>
    <w:rsid w:val="00FB6267"/>
    <w:rsid w:val="00FB627E"/>
    <w:rsid w:val="00FB62B1"/>
    <w:rsid w:val="00FB62B6"/>
    <w:rsid w:val="00FB62B8"/>
    <w:rsid w:val="00FB62FD"/>
    <w:rsid w:val="00FB631A"/>
    <w:rsid w:val="00FB632A"/>
    <w:rsid w:val="00FB6399"/>
    <w:rsid w:val="00FB64D7"/>
    <w:rsid w:val="00FB6513"/>
    <w:rsid w:val="00FB6576"/>
    <w:rsid w:val="00FB65CE"/>
    <w:rsid w:val="00FB665D"/>
    <w:rsid w:val="00FB6694"/>
    <w:rsid w:val="00FB673B"/>
    <w:rsid w:val="00FB6748"/>
    <w:rsid w:val="00FB6778"/>
    <w:rsid w:val="00FB6796"/>
    <w:rsid w:val="00FB67FC"/>
    <w:rsid w:val="00FB6826"/>
    <w:rsid w:val="00FB685D"/>
    <w:rsid w:val="00FB6886"/>
    <w:rsid w:val="00FB68C8"/>
    <w:rsid w:val="00FB68E5"/>
    <w:rsid w:val="00FB6907"/>
    <w:rsid w:val="00FB6944"/>
    <w:rsid w:val="00FB6960"/>
    <w:rsid w:val="00FB69E9"/>
    <w:rsid w:val="00FB69F3"/>
    <w:rsid w:val="00FB6ADD"/>
    <w:rsid w:val="00FB6B0A"/>
    <w:rsid w:val="00FB6B62"/>
    <w:rsid w:val="00FB6B67"/>
    <w:rsid w:val="00FB6B72"/>
    <w:rsid w:val="00FB6BD3"/>
    <w:rsid w:val="00FB6BE2"/>
    <w:rsid w:val="00FB6BFE"/>
    <w:rsid w:val="00FB6C19"/>
    <w:rsid w:val="00FB6C75"/>
    <w:rsid w:val="00FB6C84"/>
    <w:rsid w:val="00FB6C9D"/>
    <w:rsid w:val="00FB6CE2"/>
    <w:rsid w:val="00FB6CEB"/>
    <w:rsid w:val="00FB6D00"/>
    <w:rsid w:val="00FB6D44"/>
    <w:rsid w:val="00FB6DA7"/>
    <w:rsid w:val="00FB6DFB"/>
    <w:rsid w:val="00FB6E33"/>
    <w:rsid w:val="00FB6EF9"/>
    <w:rsid w:val="00FB6F37"/>
    <w:rsid w:val="00FB6F76"/>
    <w:rsid w:val="00FB6F87"/>
    <w:rsid w:val="00FB6F91"/>
    <w:rsid w:val="00FB6FAD"/>
    <w:rsid w:val="00FB6FDE"/>
    <w:rsid w:val="00FB6FFE"/>
    <w:rsid w:val="00FB702F"/>
    <w:rsid w:val="00FB7059"/>
    <w:rsid w:val="00FB7099"/>
    <w:rsid w:val="00FB70BF"/>
    <w:rsid w:val="00FB7122"/>
    <w:rsid w:val="00FB713D"/>
    <w:rsid w:val="00FB7189"/>
    <w:rsid w:val="00FB719E"/>
    <w:rsid w:val="00FB71A7"/>
    <w:rsid w:val="00FB7207"/>
    <w:rsid w:val="00FB7290"/>
    <w:rsid w:val="00FB7298"/>
    <w:rsid w:val="00FB72B1"/>
    <w:rsid w:val="00FB7320"/>
    <w:rsid w:val="00FB7361"/>
    <w:rsid w:val="00FB736C"/>
    <w:rsid w:val="00FB73CB"/>
    <w:rsid w:val="00FB73E3"/>
    <w:rsid w:val="00FB7421"/>
    <w:rsid w:val="00FB7426"/>
    <w:rsid w:val="00FB742D"/>
    <w:rsid w:val="00FB745D"/>
    <w:rsid w:val="00FB7485"/>
    <w:rsid w:val="00FB7487"/>
    <w:rsid w:val="00FB74D0"/>
    <w:rsid w:val="00FB7534"/>
    <w:rsid w:val="00FB7539"/>
    <w:rsid w:val="00FB753A"/>
    <w:rsid w:val="00FB759E"/>
    <w:rsid w:val="00FB75A3"/>
    <w:rsid w:val="00FB75C8"/>
    <w:rsid w:val="00FB75E4"/>
    <w:rsid w:val="00FB7625"/>
    <w:rsid w:val="00FB7663"/>
    <w:rsid w:val="00FB767E"/>
    <w:rsid w:val="00FB76B0"/>
    <w:rsid w:val="00FB76BD"/>
    <w:rsid w:val="00FB771C"/>
    <w:rsid w:val="00FB7779"/>
    <w:rsid w:val="00FB7784"/>
    <w:rsid w:val="00FB7790"/>
    <w:rsid w:val="00FB77A6"/>
    <w:rsid w:val="00FB77AF"/>
    <w:rsid w:val="00FB77DC"/>
    <w:rsid w:val="00FB7813"/>
    <w:rsid w:val="00FB7818"/>
    <w:rsid w:val="00FB781C"/>
    <w:rsid w:val="00FB78D5"/>
    <w:rsid w:val="00FB78DF"/>
    <w:rsid w:val="00FB78E7"/>
    <w:rsid w:val="00FB78F6"/>
    <w:rsid w:val="00FB790D"/>
    <w:rsid w:val="00FB791B"/>
    <w:rsid w:val="00FB7940"/>
    <w:rsid w:val="00FB7A1C"/>
    <w:rsid w:val="00FB7A38"/>
    <w:rsid w:val="00FB7A73"/>
    <w:rsid w:val="00FB7AA4"/>
    <w:rsid w:val="00FB7AFE"/>
    <w:rsid w:val="00FB7B2E"/>
    <w:rsid w:val="00FB7BB6"/>
    <w:rsid w:val="00FB7BE9"/>
    <w:rsid w:val="00FB7BF3"/>
    <w:rsid w:val="00FB7BFC"/>
    <w:rsid w:val="00FB7C03"/>
    <w:rsid w:val="00FB7C12"/>
    <w:rsid w:val="00FB7C30"/>
    <w:rsid w:val="00FB7C67"/>
    <w:rsid w:val="00FB7D27"/>
    <w:rsid w:val="00FB7D2F"/>
    <w:rsid w:val="00FB7D54"/>
    <w:rsid w:val="00FB7D63"/>
    <w:rsid w:val="00FB7D6A"/>
    <w:rsid w:val="00FB7D6F"/>
    <w:rsid w:val="00FB7DAD"/>
    <w:rsid w:val="00FB7DD1"/>
    <w:rsid w:val="00FB7DD9"/>
    <w:rsid w:val="00FB7EAD"/>
    <w:rsid w:val="00FB7EB1"/>
    <w:rsid w:val="00FB7EB3"/>
    <w:rsid w:val="00FB7EF5"/>
    <w:rsid w:val="00FB7F08"/>
    <w:rsid w:val="00FB7F1F"/>
    <w:rsid w:val="00FB7F34"/>
    <w:rsid w:val="00FB7F5E"/>
    <w:rsid w:val="00FB7F60"/>
    <w:rsid w:val="00FB7F65"/>
    <w:rsid w:val="00FB7F85"/>
    <w:rsid w:val="00FB7F97"/>
    <w:rsid w:val="00FB7FBE"/>
    <w:rsid w:val="00FB7FFE"/>
    <w:rsid w:val="00FC0016"/>
    <w:rsid w:val="00FC0045"/>
    <w:rsid w:val="00FC00BA"/>
    <w:rsid w:val="00FC00BC"/>
    <w:rsid w:val="00FC00E1"/>
    <w:rsid w:val="00FC0105"/>
    <w:rsid w:val="00FC0115"/>
    <w:rsid w:val="00FC0163"/>
    <w:rsid w:val="00FC01F9"/>
    <w:rsid w:val="00FC0264"/>
    <w:rsid w:val="00FC02AD"/>
    <w:rsid w:val="00FC02D5"/>
    <w:rsid w:val="00FC0344"/>
    <w:rsid w:val="00FC038F"/>
    <w:rsid w:val="00FC03C2"/>
    <w:rsid w:val="00FC03D9"/>
    <w:rsid w:val="00FC03FD"/>
    <w:rsid w:val="00FC0400"/>
    <w:rsid w:val="00FC041F"/>
    <w:rsid w:val="00FC043E"/>
    <w:rsid w:val="00FC0481"/>
    <w:rsid w:val="00FC0510"/>
    <w:rsid w:val="00FC05A3"/>
    <w:rsid w:val="00FC05AB"/>
    <w:rsid w:val="00FC05B3"/>
    <w:rsid w:val="00FC05C2"/>
    <w:rsid w:val="00FC0649"/>
    <w:rsid w:val="00FC064E"/>
    <w:rsid w:val="00FC0651"/>
    <w:rsid w:val="00FC066F"/>
    <w:rsid w:val="00FC06D0"/>
    <w:rsid w:val="00FC06D5"/>
    <w:rsid w:val="00FC06D6"/>
    <w:rsid w:val="00FC06E2"/>
    <w:rsid w:val="00FC06EF"/>
    <w:rsid w:val="00FC06FF"/>
    <w:rsid w:val="00FC07BB"/>
    <w:rsid w:val="00FC07E1"/>
    <w:rsid w:val="00FC0824"/>
    <w:rsid w:val="00FC085F"/>
    <w:rsid w:val="00FC0893"/>
    <w:rsid w:val="00FC0937"/>
    <w:rsid w:val="00FC094C"/>
    <w:rsid w:val="00FC099E"/>
    <w:rsid w:val="00FC09ED"/>
    <w:rsid w:val="00FC09EF"/>
    <w:rsid w:val="00FC0A20"/>
    <w:rsid w:val="00FC0A38"/>
    <w:rsid w:val="00FC0A3A"/>
    <w:rsid w:val="00FC0A83"/>
    <w:rsid w:val="00FC0A95"/>
    <w:rsid w:val="00FC0AE3"/>
    <w:rsid w:val="00FC0B7C"/>
    <w:rsid w:val="00FC0C10"/>
    <w:rsid w:val="00FC0C21"/>
    <w:rsid w:val="00FC0C4B"/>
    <w:rsid w:val="00FC0C75"/>
    <w:rsid w:val="00FC0D2D"/>
    <w:rsid w:val="00FC0D69"/>
    <w:rsid w:val="00FC0D74"/>
    <w:rsid w:val="00FC0DF3"/>
    <w:rsid w:val="00FC0EA9"/>
    <w:rsid w:val="00FC0EAC"/>
    <w:rsid w:val="00FC0EB4"/>
    <w:rsid w:val="00FC0EE8"/>
    <w:rsid w:val="00FC0F5B"/>
    <w:rsid w:val="00FC0FB1"/>
    <w:rsid w:val="00FC0FC6"/>
    <w:rsid w:val="00FC0FE3"/>
    <w:rsid w:val="00FC0FF1"/>
    <w:rsid w:val="00FC0FFD"/>
    <w:rsid w:val="00FC104B"/>
    <w:rsid w:val="00FC108C"/>
    <w:rsid w:val="00FC10A0"/>
    <w:rsid w:val="00FC10F2"/>
    <w:rsid w:val="00FC1150"/>
    <w:rsid w:val="00FC11DA"/>
    <w:rsid w:val="00FC121E"/>
    <w:rsid w:val="00FC123F"/>
    <w:rsid w:val="00FC1256"/>
    <w:rsid w:val="00FC1301"/>
    <w:rsid w:val="00FC1315"/>
    <w:rsid w:val="00FC1363"/>
    <w:rsid w:val="00FC1370"/>
    <w:rsid w:val="00FC139F"/>
    <w:rsid w:val="00FC13B8"/>
    <w:rsid w:val="00FC13C6"/>
    <w:rsid w:val="00FC142C"/>
    <w:rsid w:val="00FC1444"/>
    <w:rsid w:val="00FC145B"/>
    <w:rsid w:val="00FC14D6"/>
    <w:rsid w:val="00FC154C"/>
    <w:rsid w:val="00FC15A4"/>
    <w:rsid w:val="00FC1617"/>
    <w:rsid w:val="00FC164B"/>
    <w:rsid w:val="00FC164C"/>
    <w:rsid w:val="00FC1653"/>
    <w:rsid w:val="00FC1682"/>
    <w:rsid w:val="00FC16B4"/>
    <w:rsid w:val="00FC16B7"/>
    <w:rsid w:val="00FC16BB"/>
    <w:rsid w:val="00FC16F5"/>
    <w:rsid w:val="00FC16FD"/>
    <w:rsid w:val="00FC1749"/>
    <w:rsid w:val="00FC1809"/>
    <w:rsid w:val="00FC1814"/>
    <w:rsid w:val="00FC183E"/>
    <w:rsid w:val="00FC184B"/>
    <w:rsid w:val="00FC184E"/>
    <w:rsid w:val="00FC18DC"/>
    <w:rsid w:val="00FC194B"/>
    <w:rsid w:val="00FC197B"/>
    <w:rsid w:val="00FC1989"/>
    <w:rsid w:val="00FC198E"/>
    <w:rsid w:val="00FC19EC"/>
    <w:rsid w:val="00FC19F0"/>
    <w:rsid w:val="00FC1A70"/>
    <w:rsid w:val="00FC1A71"/>
    <w:rsid w:val="00FC1A94"/>
    <w:rsid w:val="00FC1ACF"/>
    <w:rsid w:val="00FC1ADE"/>
    <w:rsid w:val="00FC1B05"/>
    <w:rsid w:val="00FC1B16"/>
    <w:rsid w:val="00FC1B44"/>
    <w:rsid w:val="00FC1B46"/>
    <w:rsid w:val="00FC1B96"/>
    <w:rsid w:val="00FC1BF6"/>
    <w:rsid w:val="00FC1BFE"/>
    <w:rsid w:val="00FC1C0F"/>
    <w:rsid w:val="00FC1C25"/>
    <w:rsid w:val="00FC1C33"/>
    <w:rsid w:val="00FC1C3F"/>
    <w:rsid w:val="00FC1CCB"/>
    <w:rsid w:val="00FC1D7B"/>
    <w:rsid w:val="00FC1E04"/>
    <w:rsid w:val="00FC1E1B"/>
    <w:rsid w:val="00FC1E72"/>
    <w:rsid w:val="00FC1E78"/>
    <w:rsid w:val="00FC1EA9"/>
    <w:rsid w:val="00FC1EB3"/>
    <w:rsid w:val="00FC1F51"/>
    <w:rsid w:val="00FC1F87"/>
    <w:rsid w:val="00FC2058"/>
    <w:rsid w:val="00FC2068"/>
    <w:rsid w:val="00FC206E"/>
    <w:rsid w:val="00FC207C"/>
    <w:rsid w:val="00FC20D4"/>
    <w:rsid w:val="00FC20E9"/>
    <w:rsid w:val="00FC20F9"/>
    <w:rsid w:val="00FC20FC"/>
    <w:rsid w:val="00FC2135"/>
    <w:rsid w:val="00FC2141"/>
    <w:rsid w:val="00FC2169"/>
    <w:rsid w:val="00FC2197"/>
    <w:rsid w:val="00FC21BC"/>
    <w:rsid w:val="00FC2201"/>
    <w:rsid w:val="00FC2204"/>
    <w:rsid w:val="00FC2208"/>
    <w:rsid w:val="00FC222B"/>
    <w:rsid w:val="00FC2290"/>
    <w:rsid w:val="00FC2305"/>
    <w:rsid w:val="00FC235D"/>
    <w:rsid w:val="00FC2362"/>
    <w:rsid w:val="00FC2374"/>
    <w:rsid w:val="00FC2395"/>
    <w:rsid w:val="00FC2399"/>
    <w:rsid w:val="00FC23B7"/>
    <w:rsid w:val="00FC23BD"/>
    <w:rsid w:val="00FC2429"/>
    <w:rsid w:val="00FC242C"/>
    <w:rsid w:val="00FC242E"/>
    <w:rsid w:val="00FC2449"/>
    <w:rsid w:val="00FC244C"/>
    <w:rsid w:val="00FC24C8"/>
    <w:rsid w:val="00FC2513"/>
    <w:rsid w:val="00FC2539"/>
    <w:rsid w:val="00FC253D"/>
    <w:rsid w:val="00FC2545"/>
    <w:rsid w:val="00FC2594"/>
    <w:rsid w:val="00FC25F3"/>
    <w:rsid w:val="00FC25F8"/>
    <w:rsid w:val="00FC2647"/>
    <w:rsid w:val="00FC2648"/>
    <w:rsid w:val="00FC264D"/>
    <w:rsid w:val="00FC2663"/>
    <w:rsid w:val="00FC266F"/>
    <w:rsid w:val="00FC26C5"/>
    <w:rsid w:val="00FC26CD"/>
    <w:rsid w:val="00FC26DB"/>
    <w:rsid w:val="00FC2713"/>
    <w:rsid w:val="00FC271B"/>
    <w:rsid w:val="00FC274A"/>
    <w:rsid w:val="00FC2794"/>
    <w:rsid w:val="00FC27B5"/>
    <w:rsid w:val="00FC27F7"/>
    <w:rsid w:val="00FC2812"/>
    <w:rsid w:val="00FC2816"/>
    <w:rsid w:val="00FC2837"/>
    <w:rsid w:val="00FC285D"/>
    <w:rsid w:val="00FC28A5"/>
    <w:rsid w:val="00FC28AE"/>
    <w:rsid w:val="00FC28FD"/>
    <w:rsid w:val="00FC294C"/>
    <w:rsid w:val="00FC29C3"/>
    <w:rsid w:val="00FC2A2F"/>
    <w:rsid w:val="00FC2A3B"/>
    <w:rsid w:val="00FC2A96"/>
    <w:rsid w:val="00FC2AA9"/>
    <w:rsid w:val="00FC2AC5"/>
    <w:rsid w:val="00FC2B02"/>
    <w:rsid w:val="00FC2B09"/>
    <w:rsid w:val="00FC2B4C"/>
    <w:rsid w:val="00FC2B60"/>
    <w:rsid w:val="00FC2BAC"/>
    <w:rsid w:val="00FC2BD0"/>
    <w:rsid w:val="00FC2BD9"/>
    <w:rsid w:val="00FC2BDE"/>
    <w:rsid w:val="00FC2C49"/>
    <w:rsid w:val="00FC2C62"/>
    <w:rsid w:val="00FC2C85"/>
    <w:rsid w:val="00FC2C9F"/>
    <w:rsid w:val="00FC2CFC"/>
    <w:rsid w:val="00FC2D0D"/>
    <w:rsid w:val="00FC2D0E"/>
    <w:rsid w:val="00FC2D32"/>
    <w:rsid w:val="00FC2D48"/>
    <w:rsid w:val="00FC2D57"/>
    <w:rsid w:val="00FC2D73"/>
    <w:rsid w:val="00FC2DB8"/>
    <w:rsid w:val="00FC2E16"/>
    <w:rsid w:val="00FC2E56"/>
    <w:rsid w:val="00FC2E5F"/>
    <w:rsid w:val="00FC2E69"/>
    <w:rsid w:val="00FC2E9B"/>
    <w:rsid w:val="00FC2EEF"/>
    <w:rsid w:val="00FC2F02"/>
    <w:rsid w:val="00FC2F44"/>
    <w:rsid w:val="00FC2F4A"/>
    <w:rsid w:val="00FC2F99"/>
    <w:rsid w:val="00FC2FDA"/>
    <w:rsid w:val="00FC3062"/>
    <w:rsid w:val="00FC3085"/>
    <w:rsid w:val="00FC3093"/>
    <w:rsid w:val="00FC30A0"/>
    <w:rsid w:val="00FC30BF"/>
    <w:rsid w:val="00FC30CA"/>
    <w:rsid w:val="00FC313E"/>
    <w:rsid w:val="00FC3161"/>
    <w:rsid w:val="00FC3171"/>
    <w:rsid w:val="00FC31C0"/>
    <w:rsid w:val="00FC31C3"/>
    <w:rsid w:val="00FC31C6"/>
    <w:rsid w:val="00FC3208"/>
    <w:rsid w:val="00FC3250"/>
    <w:rsid w:val="00FC3258"/>
    <w:rsid w:val="00FC326D"/>
    <w:rsid w:val="00FC3298"/>
    <w:rsid w:val="00FC32E6"/>
    <w:rsid w:val="00FC32FA"/>
    <w:rsid w:val="00FC3311"/>
    <w:rsid w:val="00FC33B0"/>
    <w:rsid w:val="00FC33B4"/>
    <w:rsid w:val="00FC33B7"/>
    <w:rsid w:val="00FC3441"/>
    <w:rsid w:val="00FC3467"/>
    <w:rsid w:val="00FC3491"/>
    <w:rsid w:val="00FC34B2"/>
    <w:rsid w:val="00FC3502"/>
    <w:rsid w:val="00FC3520"/>
    <w:rsid w:val="00FC3525"/>
    <w:rsid w:val="00FC3584"/>
    <w:rsid w:val="00FC35CD"/>
    <w:rsid w:val="00FC3634"/>
    <w:rsid w:val="00FC3653"/>
    <w:rsid w:val="00FC36B4"/>
    <w:rsid w:val="00FC36C9"/>
    <w:rsid w:val="00FC36E2"/>
    <w:rsid w:val="00FC3730"/>
    <w:rsid w:val="00FC3747"/>
    <w:rsid w:val="00FC378D"/>
    <w:rsid w:val="00FC37A9"/>
    <w:rsid w:val="00FC37B3"/>
    <w:rsid w:val="00FC37C7"/>
    <w:rsid w:val="00FC3846"/>
    <w:rsid w:val="00FC3878"/>
    <w:rsid w:val="00FC3898"/>
    <w:rsid w:val="00FC38B1"/>
    <w:rsid w:val="00FC38B9"/>
    <w:rsid w:val="00FC38F3"/>
    <w:rsid w:val="00FC393D"/>
    <w:rsid w:val="00FC3972"/>
    <w:rsid w:val="00FC39A5"/>
    <w:rsid w:val="00FC3A27"/>
    <w:rsid w:val="00FC3A5E"/>
    <w:rsid w:val="00FC3B1F"/>
    <w:rsid w:val="00FC3B4E"/>
    <w:rsid w:val="00FC3B61"/>
    <w:rsid w:val="00FC3B71"/>
    <w:rsid w:val="00FC3B83"/>
    <w:rsid w:val="00FC3BB7"/>
    <w:rsid w:val="00FC3BD3"/>
    <w:rsid w:val="00FC3C04"/>
    <w:rsid w:val="00FC3C28"/>
    <w:rsid w:val="00FC3CA9"/>
    <w:rsid w:val="00FC3D13"/>
    <w:rsid w:val="00FC3D18"/>
    <w:rsid w:val="00FC3D1D"/>
    <w:rsid w:val="00FC3D32"/>
    <w:rsid w:val="00FC3D47"/>
    <w:rsid w:val="00FC3D5D"/>
    <w:rsid w:val="00FC3DBC"/>
    <w:rsid w:val="00FC3DCF"/>
    <w:rsid w:val="00FC3E2F"/>
    <w:rsid w:val="00FC3E55"/>
    <w:rsid w:val="00FC3F0A"/>
    <w:rsid w:val="00FC3F19"/>
    <w:rsid w:val="00FC3F21"/>
    <w:rsid w:val="00FC3F6A"/>
    <w:rsid w:val="00FC3FB0"/>
    <w:rsid w:val="00FC3FD2"/>
    <w:rsid w:val="00FC3FD9"/>
    <w:rsid w:val="00FC4002"/>
    <w:rsid w:val="00FC402C"/>
    <w:rsid w:val="00FC4036"/>
    <w:rsid w:val="00FC4090"/>
    <w:rsid w:val="00FC418C"/>
    <w:rsid w:val="00FC41BF"/>
    <w:rsid w:val="00FC42B6"/>
    <w:rsid w:val="00FC42DC"/>
    <w:rsid w:val="00FC42E1"/>
    <w:rsid w:val="00FC4305"/>
    <w:rsid w:val="00FC4342"/>
    <w:rsid w:val="00FC4365"/>
    <w:rsid w:val="00FC437E"/>
    <w:rsid w:val="00FC43B1"/>
    <w:rsid w:val="00FC43B8"/>
    <w:rsid w:val="00FC43D3"/>
    <w:rsid w:val="00FC43E8"/>
    <w:rsid w:val="00FC43F9"/>
    <w:rsid w:val="00FC4404"/>
    <w:rsid w:val="00FC4429"/>
    <w:rsid w:val="00FC4495"/>
    <w:rsid w:val="00FC44E6"/>
    <w:rsid w:val="00FC44E9"/>
    <w:rsid w:val="00FC450B"/>
    <w:rsid w:val="00FC4516"/>
    <w:rsid w:val="00FC4551"/>
    <w:rsid w:val="00FC45BC"/>
    <w:rsid w:val="00FC45C2"/>
    <w:rsid w:val="00FC45CB"/>
    <w:rsid w:val="00FC4683"/>
    <w:rsid w:val="00FC4685"/>
    <w:rsid w:val="00FC46A9"/>
    <w:rsid w:val="00FC47A2"/>
    <w:rsid w:val="00FC47C7"/>
    <w:rsid w:val="00FC481C"/>
    <w:rsid w:val="00FC482C"/>
    <w:rsid w:val="00FC4863"/>
    <w:rsid w:val="00FC4944"/>
    <w:rsid w:val="00FC4983"/>
    <w:rsid w:val="00FC49CC"/>
    <w:rsid w:val="00FC49E3"/>
    <w:rsid w:val="00FC49FD"/>
    <w:rsid w:val="00FC4A09"/>
    <w:rsid w:val="00FC4A11"/>
    <w:rsid w:val="00FC4A50"/>
    <w:rsid w:val="00FC4A53"/>
    <w:rsid w:val="00FC4AA9"/>
    <w:rsid w:val="00FC4AC7"/>
    <w:rsid w:val="00FC4ADA"/>
    <w:rsid w:val="00FC4AFB"/>
    <w:rsid w:val="00FC4B2E"/>
    <w:rsid w:val="00FC4B30"/>
    <w:rsid w:val="00FC4B6C"/>
    <w:rsid w:val="00FC4C4C"/>
    <w:rsid w:val="00FC4C51"/>
    <w:rsid w:val="00FC4C79"/>
    <w:rsid w:val="00FC4C83"/>
    <w:rsid w:val="00FC4CAA"/>
    <w:rsid w:val="00FC4CAD"/>
    <w:rsid w:val="00FC4CD8"/>
    <w:rsid w:val="00FC4D47"/>
    <w:rsid w:val="00FC4D4C"/>
    <w:rsid w:val="00FC4DD1"/>
    <w:rsid w:val="00FC4DDC"/>
    <w:rsid w:val="00FC4E1C"/>
    <w:rsid w:val="00FC4E7F"/>
    <w:rsid w:val="00FC4EA0"/>
    <w:rsid w:val="00FC4F14"/>
    <w:rsid w:val="00FC4F4E"/>
    <w:rsid w:val="00FC4F7A"/>
    <w:rsid w:val="00FC4F81"/>
    <w:rsid w:val="00FC4F9C"/>
    <w:rsid w:val="00FC4FBC"/>
    <w:rsid w:val="00FC4FCC"/>
    <w:rsid w:val="00FC4FDD"/>
    <w:rsid w:val="00FC503E"/>
    <w:rsid w:val="00FC5044"/>
    <w:rsid w:val="00FC5058"/>
    <w:rsid w:val="00FC507F"/>
    <w:rsid w:val="00FC50B7"/>
    <w:rsid w:val="00FC50E6"/>
    <w:rsid w:val="00FC50FB"/>
    <w:rsid w:val="00FC5110"/>
    <w:rsid w:val="00FC5155"/>
    <w:rsid w:val="00FC517C"/>
    <w:rsid w:val="00FC5183"/>
    <w:rsid w:val="00FC5193"/>
    <w:rsid w:val="00FC520C"/>
    <w:rsid w:val="00FC523C"/>
    <w:rsid w:val="00FC52BB"/>
    <w:rsid w:val="00FC52CF"/>
    <w:rsid w:val="00FC5379"/>
    <w:rsid w:val="00FC547C"/>
    <w:rsid w:val="00FC5493"/>
    <w:rsid w:val="00FC5496"/>
    <w:rsid w:val="00FC54A7"/>
    <w:rsid w:val="00FC5526"/>
    <w:rsid w:val="00FC5547"/>
    <w:rsid w:val="00FC559D"/>
    <w:rsid w:val="00FC55A3"/>
    <w:rsid w:val="00FC55CB"/>
    <w:rsid w:val="00FC5614"/>
    <w:rsid w:val="00FC5663"/>
    <w:rsid w:val="00FC5676"/>
    <w:rsid w:val="00FC568F"/>
    <w:rsid w:val="00FC5715"/>
    <w:rsid w:val="00FC571F"/>
    <w:rsid w:val="00FC5762"/>
    <w:rsid w:val="00FC579A"/>
    <w:rsid w:val="00FC5827"/>
    <w:rsid w:val="00FC5851"/>
    <w:rsid w:val="00FC5880"/>
    <w:rsid w:val="00FC58CE"/>
    <w:rsid w:val="00FC5942"/>
    <w:rsid w:val="00FC59FF"/>
    <w:rsid w:val="00FC5A26"/>
    <w:rsid w:val="00FC5A87"/>
    <w:rsid w:val="00FC5AA2"/>
    <w:rsid w:val="00FC5B2D"/>
    <w:rsid w:val="00FC5B30"/>
    <w:rsid w:val="00FC5B3D"/>
    <w:rsid w:val="00FC5B96"/>
    <w:rsid w:val="00FC5BDE"/>
    <w:rsid w:val="00FC5BFB"/>
    <w:rsid w:val="00FC5C45"/>
    <w:rsid w:val="00FC5C77"/>
    <w:rsid w:val="00FC5CC5"/>
    <w:rsid w:val="00FC5CCB"/>
    <w:rsid w:val="00FC5CE7"/>
    <w:rsid w:val="00FC5CFF"/>
    <w:rsid w:val="00FC5D31"/>
    <w:rsid w:val="00FC5D67"/>
    <w:rsid w:val="00FC5E03"/>
    <w:rsid w:val="00FC5E07"/>
    <w:rsid w:val="00FC5E20"/>
    <w:rsid w:val="00FC5E3A"/>
    <w:rsid w:val="00FC5E41"/>
    <w:rsid w:val="00FC5E80"/>
    <w:rsid w:val="00FC5F28"/>
    <w:rsid w:val="00FC5F2F"/>
    <w:rsid w:val="00FC5F7E"/>
    <w:rsid w:val="00FC5F90"/>
    <w:rsid w:val="00FC5F93"/>
    <w:rsid w:val="00FC6044"/>
    <w:rsid w:val="00FC608B"/>
    <w:rsid w:val="00FC617D"/>
    <w:rsid w:val="00FC619A"/>
    <w:rsid w:val="00FC61D6"/>
    <w:rsid w:val="00FC61DC"/>
    <w:rsid w:val="00FC62C7"/>
    <w:rsid w:val="00FC62CF"/>
    <w:rsid w:val="00FC62E9"/>
    <w:rsid w:val="00FC6308"/>
    <w:rsid w:val="00FC6339"/>
    <w:rsid w:val="00FC63C6"/>
    <w:rsid w:val="00FC640C"/>
    <w:rsid w:val="00FC6456"/>
    <w:rsid w:val="00FC645E"/>
    <w:rsid w:val="00FC6469"/>
    <w:rsid w:val="00FC648F"/>
    <w:rsid w:val="00FC64A9"/>
    <w:rsid w:val="00FC64EB"/>
    <w:rsid w:val="00FC6548"/>
    <w:rsid w:val="00FC6570"/>
    <w:rsid w:val="00FC65C7"/>
    <w:rsid w:val="00FC668D"/>
    <w:rsid w:val="00FC66A6"/>
    <w:rsid w:val="00FC66C6"/>
    <w:rsid w:val="00FC66E4"/>
    <w:rsid w:val="00FC66FD"/>
    <w:rsid w:val="00FC670F"/>
    <w:rsid w:val="00FC67F9"/>
    <w:rsid w:val="00FC6815"/>
    <w:rsid w:val="00FC6855"/>
    <w:rsid w:val="00FC6866"/>
    <w:rsid w:val="00FC68C5"/>
    <w:rsid w:val="00FC6907"/>
    <w:rsid w:val="00FC6915"/>
    <w:rsid w:val="00FC6936"/>
    <w:rsid w:val="00FC6938"/>
    <w:rsid w:val="00FC6967"/>
    <w:rsid w:val="00FC69AC"/>
    <w:rsid w:val="00FC69F3"/>
    <w:rsid w:val="00FC6AC0"/>
    <w:rsid w:val="00FC6AFD"/>
    <w:rsid w:val="00FC6B37"/>
    <w:rsid w:val="00FC6C62"/>
    <w:rsid w:val="00FC6C9A"/>
    <w:rsid w:val="00FC6CAB"/>
    <w:rsid w:val="00FC6CB9"/>
    <w:rsid w:val="00FC6CD3"/>
    <w:rsid w:val="00FC6CF7"/>
    <w:rsid w:val="00FC6CF8"/>
    <w:rsid w:val="00FC6D02"/>
    <w:rsid w:val="00FC6D0B"/>
    <w:rsid w:val="00FC6D44"/>
    <w:rsid w:val="00FC6DA5"/>
    <w:rsid w:val="00FC6DA6"/>
    <w:rsid w:val="00FC6DD9"/>
    <w:rsid w:val="00FC6E4B"/>
    <w:rsid w:val="00FC6E91"/>
    <w:rsid w:val="00FC6F8B"/>
    <w:rsid w:val="00FC7001"/>
    <w:rsid w:val="00FC7010"/>
    <w:rsid w:val="00FC703F"/>
    <w:rsid w:val="00FC7071"/>
    <w:rsid w:val="00FC708C"/>
    <w:rsid w:val="00FC70AD"/>
    <w:rsid w:val="00FC713C"/>
    <w:rsid w:val="00FC7148"/>
    <w:rsid w:val="00FC719E"/>
    <w:rsid w:val="00FC71A3"/>
    <w:rsid w:val="00FC71CF"/>
    <w:rsid w:val="00FC71F6"/>
    <w:rsid w:val="00FC71F8"/>
    <w:rsid w:val="00FC7229"/>
    <w:rsid w:val="00FC7237"/>
    <w:rsid w:val="00FC7266"/>
    <w:rsid w:val="00FC728B"/>
    <w:rsid w:val="00FC72E3"/>
    <w:rsid w:val="00FC7358"/>
    <w:rsid w:val="00FC7381"/>
    <w:rsid w:val="00FC7382"/>
    <w:rsid w:val="00FC738C"/>
    <w:rsid w:val="00FC73A7"/>
    <w:rsid w:val="00FC73C6"/>
    <w:rsid w:val="00FC73F8"/>
    <w:rsid w:val="00FC742F"/>
    <w:rsid w:val="00FC746A"/>
    <w:rsid w:val="00FC747E"/>
    <w:rsid w:val="00FC7491"/>
    <w:rsid w:val="00FC74EB"/>
    <w:rsid w:val="00FC7540"/>
    <w:rsid w:val="00FC7589"/>
    <w:rsid w:val="00FC75C4"/>
    <w:rsid w:val="00FC75CF"/>
    <w:rsid w:val="00FC7620"/>
    <w:rsid w:val="00FC767A"/>
    <w:rsid w:val="00FC769C"/>
    <w:rsid w:val="00FC76A6"/>
    <w:rsid w:val="00FC76C4"/>
    <w:rsid w:val="00FC76DB"/>
    <w:rsid w:val="00FC7702"/>
    <w:rsid w:val="00FC7745"/>
    <w:rsid w:val="00FC774E"/>
    <w:rsid w:val="00FC77BA"/>
    <w:rsid w:val="00FC77F4"/>
    <w:rsid w:val="00FC77FB"/>
    <w:rsid w:val="00FC7846"/>
    <w:rsid w:val="00FC7870"/>
    <w:rsid w:val="00FC7888"/>
    <w:rsid w:val="00FC788C"/>
    <w:rsid w:val="00FC78D1"/>
    <w:rsid w:val="00FC78DD"/>
    <w:rsid w:val="00FC78E3"/>
    <w:rsid w:val="00FC7908"/>
    <w:rsid w:val="00FC7927"/>
    <w:rsid w:val="00FC7974"/>
    <w:rsid w:val="00FC798B"/>
    <w:rsid w:val="00FC79BA"/>
    <w:rsid w:val="00FC79C7"/>
    <w:rsid w:val="00FC79EC"/>
    <w:rsid w:val="00FC79EE"/>
    <w:rsid w:val="00FC7A10"/>
    <w:rsid w:val="00FC7A7F"/>
    <w:rsid w:val="00FC7AB8"/>
    <w:rsid w:val="00FC7AEE"/>
    <w:rsid w:val="00FC7AF8"/>
    <w:rsid w:val="00FC7B0C"/>
    <w:rsid w:val="00FC7B45"/>
    <w:rsid w:val="00FC7B54"/>
    <w:rsid w:val="00FC7B5B"/>
    <w:rsid w:val="00FC7B74"/>
    <w:rsid w:val="00FC7BA4"/>
    <w:rsid w:val="00FC7BDE"/>
    <w:rsid w:val="00FC7C4A"/>
    <w:rsid w:val="00FC7C6B"/>
    <w:rsid w:val="00FC7CD8"/>
    <w:rsid w:val="00FC7CEC"/>
    <w:rsid w:val="00FC7D39"/>
    <w:rsid w:val="00FC7D64"/>
    <w:rsid w:val="00FC7D82"/>
    <w:rsid w:val="00FC7DC8"/>
    <w:rsid w:val="00FC7E5B"/>
    <w:rsid w:val="00FC7E6F"/>
    <w:rsid w:val="00FC7E78"/>
    <w:rsid w:val="00FC7EA5"/>
    <w:rsid w:val="00FC7EBB"/>
    <w:rsid w:val="00FC7EEB"/>
    <w:rsid w:val="00FC7F9E"/>
    <w:rsid w:val="00FD00AA"/>
    <w:rsid w:val="00FD00D1"/>
    <w:rsid w:val="00FD00F9"/>
    <w:rsid w:val="00FD0112"/>
    <w:rsid w:val="00FD0130"/>
    <w:rsid w:val="00FD0146"/>
    <w:rsid w:val="00FD015C"/>
    <w:rsid w:val="00FD01B1"/>
    <w:rsid w:val="00FD01E5"/>
    <w:rsid w:val="00FD0238"/>
    <w:rsid w:val="00FD023B"/>
    <w:rsid w:val="00FD0241"/>
    <w:rsid w:val="00FD0311"/>
    <w:rsid w:val="00FD033C"/>
    <w:rsid w:val="00FD033E"/>
    <w:rsid w:val="00FD0388"/>
    <w:rsid w:val="00FD03B4"/>
    <w:rsid w:val="00FD0452"/>
    <w:rsid w:val="00FD0471"/>
    <w:rsid w:val="00FD04A3"/>
    <w:rsid w:val="00FD04A4"/>
    <w:rsid w:val="00FD04B8"/>
    <w:rsid w:val="00FD054D"/>
    <w:rsid w:val="00FD060F"/>
    <w:rsid w:val="00FD0668"/>
    <w:rsid w:val="00FD06A1"/>
    <w:rsid w:val="00FD06A2"/>
    <w:rsid w:val="00FD06B3"/>
    <w:rsid w:val="00FD06BA"/>
    <w:rsid w:val="00FD06DF"/>
    <w:rsid w:val="00FD0714"/>
    <w:rsid w:val="00FD07B4"/>
    <w:rsid w:val="00FD07CA"/>
    <w:rsid w:val="00FD07D4"/>
    <w:rsid w:val="00FD085D"/>
    <w:rsid w:val="00FD08CF"/>
    <w:rsid w:val="00FD08EC"/>
    <w:rsid w:val="00FD08EF"/>
    <w:rsid w:val="00FD091B"/>
    <w:rsid w:val="00FD0921"/>
    <w:rsid w:val="00FD0939"/>
    <w:rsid w:val="00FD094D"/>
    <w:rsid w:val="00FD0951"/>
    <w:rsid w:val="00FD0975"/>
    <w:rsid w:val="00FD09DD"/>
    <w:rsid w:val="00FD09F2"/>
    <w:rsid w:val="00FD0A3B"/>
    <w:rsid w:val="00FD0A81"/>
    <w:rsid w:val="00FD0AC0"/>
    <w:rsid w:val="00FD0B13"/>
    <w:rsid w:val="00FD0B1A"/>
    <w:rsid w:val="00FD0B30"/>
    <w:rsid w:val="00FD0B36"/>
    <w:rsid w:val="00FD0BD8"/>
    <w:rsid w:val="00FD0CEB"/>
    <w:rsid w:val="00FD0CF4"/>
    <w:rsid w:val="00FD0D3F"/>
    <w:rsid w:val="00FD0D44"/>
    <w:rsid w:val="00FD0D7B"/>
    <w:rsid w:val="00FD0E07"/>
    <w:rsid w:val="00FD0E3B"/>
    <w:rsid w:val="00FD0E59"/>
    <w:rsid w:val="00FD0E63"/>
    <w:rsid w:val="00FD0E71"/>
    <w:rsid w:val="00FD0E7B"/>
    <w:rsid w:val="00FD0E9C"/>
    <w:rsid w:val="00FD0EBB"/>
    <w:rsid w:val="00FD0F7E"/>
    <w:rsid w:val="00FD0F81"/>
    <w:rsid w:val="00FD0F8E"/>
    <w:rsid w:val="00FD0FA4"/>
    <w:rsid w:val="00FD0FD1"/>
    <w:rsid w:val="00FD1016"/>
    <w:rsid w:val="00FD1024"/>
    <w:rsid w:val="00FD1046"/>
    <w:rsid w:val="00FD1057"/>
    <w:rsid w:val="00FD10C2"/>
    <w:rsid w:val="00FD10CB"/>
    <w:rsid w:val="00FD10E4"/>
    <w:rsid w:val="00FD11A0"/>
    <w:rsid w:val="00FD11F6"/>
    <w:rsid w:val="00FD1232"/>
    <w:rsid w:val="00FD1247"/>
    <w:rsid w:val="00FD12C4"/>
    <w:rsid w:val="00FD12FD"/>
    <w:rsid w:val="00FD1305"/>
    <w:rsid w:val="00FD131B"/>
    <w:rsid w:val="00FD133A"/>
    <w:rsid w:val="00FD1343"/>
    <w:rsid w:val="00FD134E"/>
    <w:rsid w:val="00FD1363"/>
    <w:rsid w:val="00FD13F6"/>
    <w:rsid w:val="00FD1454"/>
    <w:rsid w:val="00FD14E4"/>
    <w:rsid w:val="00FD151D"/>
    <w:rsid w:val="00FD1529"/>
    <w:rsid w:val="00FD155D"/>
    <w:rsid w:val="00FD15B1"/>
    <w:rsid w:val="00FD15CA"/>
    <w:rsid w:val="00FD160E"/>
    <w:rsid w:val="00FD163B"/>
    <w:rsid w:val="00FD1653"/>
    <w:rsid w:val="00FD168E"/>
    <w:rsid w:val="00FD16CE"/>
    <w:rsid w:val="00FD172F"/>
    <w:rsid w:val="00FD1731"/>
    <w:rsid w:val="00FD1750"/>
    <w:rsid w:val="00FD1759"/>
    <w:rsid w:val="00FD1790"/>
    <w:rsid w:val="00FD17AC"/>
    <w:rsid w:val="00FD17FF"/>
    <w:rsid w:val="00FD180B"/>
    <w:rsid w:val="00FD1819"/>
    <w:rsid w:val="00FD1829"/>
    <w:rsid w:val="00FD184D"/>
    <w:rsid w:val="00FD185B"/>
    <w:rsid w:val="00FD18B3"/>
    <w:rsid w:val="00FD18B9"/>
    <w:rsid w:val="00FD18DF"/>
    <w:rsid w:val="00FD1916"/>
    <w:rsid w:val="00FD1920"/>
    <w:rsid w:val="00FD1928"/>
    <w:rsid w:val="00FD198C"/>
    <w:rsid w:val="00FD1995"/>
    <w:rsid w:val="00FD19B5"/>
    <w:rsid w:val="00FD19F0"/>
    <w:rsid w:val="00FD1A38"/>
    <w:rsid w:val="00FD1A7B"/>
    <w:rsid w:val="00FD1AA7"/>
    <w:rsid w:val="00FD1ADE"/>
    <w:rsid w:val="00FD1AF4"/>
    <w:rsid w:val="00FD1B2E"/>
    <w:rsid w:val="00FD1B60"/>
    <w:rsid w:val="00FD1B70"/>
    <w:rsid w:val="00FD1B83"/>
    <w:rsid w:val="00FD1BA7"/>
    <w:rsid w:val="00FD1BC9"/>
    <w:rsid w:val="00FD1C01"/>
    <w:rsid w:val="00FD1C55"/>
    <w:rsid w:val="00FD1C73"/>
    <w:rsid w:val="00FD1D1D"/>
    <w:rsid w:val="00FD1D4D"/>
    <w:rsid w:val="00FD1D87"/>
    <w:rsid w:val="00FD1D8D"/>
    <w:rsid w:val="00FD1DA9"/>
    <w:rsid w:val="00FD1DD3"/>
    <w:rsid w:val="00FD1E3D"/>
    <w:rsid w:val="00FD1E50"/>
    <w:rsid w:val="00FD1E79"/>
    <w:rsid w:val="00FD1E93"/>
    <w:rsid w:val="00FD1E9C"/>
    <w:rsid w:val="00FD1EA1"/>
    <w:rsid w:val="00FD1F00"/>
    <w:rsid w:val="00FD1F19"/>
    <w:rsid w:val="00FD1F28"/>
    <w:rsid w:val="00FD1F41"/>
    <w:rsid w:val="00FD1FAF"/>
    <w:rsid w:val="00FD1FD1"/>
    <w:rsid w:val="00FD1FD5"/>
    <w:rsid w:val="00FD202D"/>
    <w:rsid w:val="00FD20AA"/>
    <w:rsid w:val="00FD20AB"/>
    <w:rsid w:val="00FD20BD"/>
    <w:rsid w:val="00FD20DC"/>
    <w:rsid w:val="00FD2130"/>
    <w:rsid w:val="00FD2136"/>
    <w:rsid w:val="00FD2138"/>
    <w:rsid w:val="00FD21C5"/>
    <w:rsid w:val="00FD2220"/>
    <w:rsid w:val="00FD2250"/>
    <w:rsid w:val="00FD225B"/>
    <w:rsid w:val="00FD22A8"/>
    <w:rsid w:val="00FD22B2"/>
    <w:rsid w:val="00FD22B4"/>
    <w:rsid w:val="00FD22E6"/>
    <w:rsid w:val="00FD2331"/>
    <w:rsid w:val="00FD2368"/>
    <w:rsid w:val="00FD2369"/>
    <w:rsid w:val="00FD2420"/>
    <w:rsid w:val="00FD2424"/>
    <w:rsid w:val="00FD248B"/>
    <w:rsid w:val="00FD24B7"/>
    <w:rsid w:val="00FD24F7"/>
    <w:rsid w:val="00FD250A"/>
    <w:rsid w:val="00FD2517"/>
    <w:rsid w:val="00FD2549"/>
    <w:rsid w:val="00FD257C"/>
    <w:rsid w:val="00FD25FF"/>
    <w:rsid w:val="00FD2649"/>
    <w:rsid w:val="00FD2763"/>
    <w:rsid w:val="00FD27B9"/>
    <w:rsid w:val="00FD2801"/>
    <w:rsid w:val="00FD2840"/>
    <w:rsid w:val="00FD2856"/>
    <w:rsid w:val="00FD2869"/>
    <w:rsid w:val="00FD2880"/>
    <w:rsid w:val="00FD28BA"/>
    <w:rsid w:val="00FD28D8"/>
    <w:rsid w:val="00FD28D9"/>
    <w:rsid w:val="00FD2942"/>
    <w:rsid w:val="00FD2974"/>
    <w:rsid w:val="00FD298B"/>
    <w:rsid w:val="00FD29AF"/>
    <w:rsid w:val="00FD29D2"/>
    <w:rsid w:val="00FD2A24"/>
    <w:rsid w:val="00FD2A5A"/>
    <w:rsid w:val="00FD2A69"/>
    <w:rsid w:val="00FD2A9B"/>
    <w:rsid w:val="00FD2AB0"/>
    <w:rsid w:val="00FD2AB5"/>
    <w:rsid w:val="00FD2B35"/>
    <w:rsid w:val="00FD2B68"/>
    <w:rsid w:val="00FD2BD5"/>
    <w:rsid w:val="00FD2BEE"/>
    <w:rsid w:val="00FD2C04"/>
    <w:rsid w:val="00FD2C3C"/>
    <w:rsid w:val="00FD2CFE"/>
    <w:rsid w:val="00FD2D2D"/>
    <w:rsid w:val="00FD2D41"/>
    <w:rsid w:val="00FD2D46"/>
    <w:rsid w:val="00FD2D6F"/>
    <w:rsid w:val="00FD2DE1"/>
    <w:rsid w:val="00FD2DE3"/>
    <w:rsid w:val="00FD2E4E"/>
    <w:rsid w:val="00FD2E82"/>
    <w:rsid w:val="00FD2E98"/>
    <w:rsid w:val="00FD2EAF"/>
    <w:rsid w:val="00FD2EF0"/>
    <w:rsid w:val="00FD2F38"/>
    <w:rsid w:val="00FD2F6F"/>
    <w:rsid w:val="00FD2F8D"/>
    <w:rsid w:val="00FD2FA2"/>
    <w:rsid w:val="00FD2FBC"/>
    <w:rsid w:val="00FD3002"/>
    <w:rsid w:val="00FD305F"/>
    <w:rsid w:val="00FD306B"/>
    <w:rsid w:val="00FD309F"/>
    <w:rsid w:val="00FD30B4"/>
    <w:rsid w:val="00FD31AD"/>
    <w:rsid w:val="00FD31BA"/>
    <w:rsid w:val="00FD31C3"/>
    <w:rsid w:val="00FD3226"/>
    <w:rsid w:val="00FD3231"/>
    <w:rsid w:val="00FD32E1"/>
    <w:rsid w:val="00FD3311"/>
    <w:rsid w:val="00FD336D"/>
    <w:rsid w:val="00FD33B2"/>
    <w:rsid w:val="00FD33C9"/>
    <w:rsid w:val="00FD33FF"/>
    <w:rsid w:val="00FD3401"/>
    <w:rsid w:val="00FD3449"/>
    <w:rsid w:val="00FD3454"/>
    <w:rsid w:val="00FD346B"/>
    <w:rsid w:val="00FD348C"/>
    <w:rsid w:val="00FD34AE"/>
    <w:rsid w:val="00FD34BE"/>
    <w:rsid w:val="00FD34E6"/>
    <w:rsid w:val="00FD350E"/>
    <w:rsid w:val="00FD3558"/>
    <w:rsid w:val="00FD35D9"/>
    <w:rsid w:val="00FD363C"/>
    <w:rsid w:val="00FD3655"/>
    <w:rsid w:val="00FD3673"/>
    <w:rsid w:val="00FD3727"/>
    <w:rsid w:val="00FD3739"/>
    <w:rsid w:val="00FD3781"/>
    <w:rsid w:val="00FD3792"/>
    <w:rsid w:val="00FD37C4"/>
    <w:rsid w:val="00FD37D6"/>
    <w:rsid w:val="00FD37E3"/>
    <w:rsid w:val="00FD3864"/>
    <w:rsid w:val="00FD3881"/>
    <w:rsid w:val="00FD38D4"/>
    <w:rsid w:val="00FD38E2"/>
    <w:rsid w:val="00FD38FC"/>
    <w:rsid w:val="00FD3926"/>
    <w:rsid w:val="00FD3937"/>
    <w:rsid w:val="00FD399A"/>
    <w:rsid w:val="00FD39E4"/>
    <w:rsid w:val="00FD39E8"/>
    <w:rsid w:val="00FD39F6"/>
    <w:rsid w:val="00FD3A03"/>
    <w:rsid w:val="00FD3A08"/>
    <w:rsid w:val="00FD3A48"/>
    <w:rsid w:val="00FD3AAD"/>
    <w:rsid w:val="00FD3B07"/>
    <w:rsid w:val="00FD3B14"/>
    <w:rsid w:val="00FD3B22"/>
    <w:rsid w:val="00FD3B23"/>
    <w:rsid w:val="00FD3B2F"/>
    <w:rsid w:val="00FD3B4F"/>
    <w:rsid w:val="00FD3B53"/>
    <w:rsid w:val="00FD3B58"/>
    <w:rsid w:val="00FD3C04"/>
    <w:rsid w:val="00FD3C1C"/>
    <w:rsid w:val="00FD3C26"/>
    <w:rsid w:val="00FD3C40"/>
    <w:rsid w:val="00FD3D06"/>
    <w:rsid w:val="00FD3D3F"/>
    <w:rsid w:val="00FD3D43"/>
    <w:rsid w:val="00FD3D44"/>
    <w:rsid w:val="00FD3D51"/>
    <w:rsid w:val="00FD3D62"/>
    <w:rsid w:val="00FD3D96"/>
    <w:rsid w:val="00FD3DB4"/>
    <w:rsid w:val="00FD3E44"/>
    <w:rsid w:val="00FD3EC5"/>
    <w:rsid w:val="00FD3ECE"/>
    <w:rsid w:val="00FD3EDE"/>
    <w:rsid w:val="00FD3F26"/>
    <w:rsid w:val="00FD3F36"/>
    <w:rsid w:val="00FD3F53"/>
    <w:rsid w:val="00FD3F56"/>
    <w:rsid w:val="00FD3F8F"/>
    <w:rsid w:val="00FD3F97"/>
    <w:rsid w:val="00FD3F98"/>
    <w:rsid w:val="00FD3FD8"/>
    <w:rsid w:val="00FD3FED"/>
    <w:rsid w:val="00FD3FFD"/>
    <w:rsid w:val="00FD406A"/>
    <w:rsid w:val="00FD40A0"/>
    <w:rsid w:val="00FD4145"/>
    <w:rsid w:val="00FD416B"/>
    <w:rsid w:val="00FD416C"/>
    <w:rsid w:val="00FD417A"/>
    <w:rsid w:val="00FD4190"/>
    <w:rsid w:val="00FD419B"/>
    <w:rsid w:val="00FD41AA"/>
    <w:rsid w:val="00FD4211"/>
    <w:rsid w:val="00FD4241"/>
    <w:rsid w:val="00FD426C"/>
    <w:rsid w:val="00FD429E"/>
    <w:rsid w:val="00FD42B0"/>
    <w:rsid w:val="00FD42B4"/>
    <w:rsid w:val="00FD4312"/>
    <w:rsid w:val="00FD431C"/>
    <w:rsid w:val="00FD4335"/>
    <w:rsid w:val="00FD433E"/>
    <w:rsid w:val="00FD436B"/>
    <w:rsid w:val="00FD4384"/>
    <w:rsid w:val="00FD43B7"/>
    <w:rsid w:val="00FD43CE"/>
    <w:rsid w:val="00FD43F2"/>
    <w:rsid w:val="00FD4441"/>
    <w:rsid w:val="00FD44BE"/>
    <w:rsid w:val="00FD44D9"/>
    <w:rsid w:val="00FD44ED"/>
    <w:rsid w:val="00FD452A"/>
    <w:rsid w:val="00FD4550"/>
    <w:rsid w:val="00FD4566"/>
    <w:rsid w:val="00FD4654"/>
    <w:rsid w:val="00FD4660"/>
    <w:rsid w:val="00FD4667"/>
    <w:rsid w:val="00FD4669"/>
    <w:rsid w:val="00FD466D"/>
    <w:rsid w:val="00FD46BF"/>
    <w:rsid w:val="00FD46CE"/>
    <w:rsid w:val="00FD4701"/>
    <w:rsid w:val="00FD470C"/>
    <w:rsid w:val="00FD4747"/>
    <w:rsid w:val="00FD4769"/>
    <w:rsid w:val="00FD477D"/>
    <w:rsid w:val="00FD47F1"/>
    <w:rsid w:val="00FD47F2"/>
    <w:rsid w:val="00FD4879"/>
    <w:rsid w:val="00FD491F"/>
    <w:rsid w:val="00FD492E"/>
    <w:rsid w:val="00FD4935"/>
    <w:rsid w:val="00FD4948"/>
    <w:rsid w:val="00FD4975"/>
    <w:rsid w:val="00FD49C1"/>
    <w:rsid w:val="00FD4A5A"/>
    <w:rsid w:val="00FD4A8A"/>
    <w:rsid w:val="00FD4A8D"/>
    <w:rsid w:val="00FD4AED"/>
    <w:rsid w:val="00FD4B08"/>
    <w:rsid w:val="00FD4B66"/>
    <w:rsid w:val="00FD4B6C"/>
    <w:rsid w:val="00FD4C52"/>
    <w:rsid w:val="00FD4C64"/>
    <w:rsid w:val="00FD4CCB"/>
    <w:rsid w:val="00FD4CE2"/>
    <w:rsid w:val="00FD4D3F"/>
    <w:rsid w:val="00FD4D68"/>
    <w:rsid w:val="00FD4D6E"/>
    <w:rsid w:val="00FD4DB0"/>
    <w:rsid w:val="00FD4E03"/>
    <w:rsid w:val="00FD4E55"/>
    <w:rsid w:val="00FD4E8A"/>
    <w:rsid w:val="00FD4E8D"/>
    <w:rsid w:val="00FD4EF4"/>
    <w:rsid w:val="00FD4F3A"/>
    <w:rsid w:val="00FD4F98"/>
    <w:rsid w:val="00FD4FD6"/>
    <w:rsid w:val="00FD509C"/>
    <w:rsid w:val="00FD50A6"/>
    <w:rsid w:val="00FD50B0"/>
    <w:rsid w:val="00FD50C8"/>
    <w:rsid w:val="00FD5153"/>
    <w:rsid w:val="00FD51E0"/>
    <w:rsid w:val="00FD520C"/>
    <w:rsid w:val="00FD521A"/>
    <w:rsid w:val="00FD5239"/>
    <w:rsid w:val="00FD5247"/>
    <w:rsid w:val="00FD52ED"/>
    <w:rsid w:val="00FD5300"/>
    <w:rsid w:val="00FD5310"/>
    <w:rsid w:val="00FD536A"/>
    <w:rsid w:val="00FD5379"/>
    <w:rsid w:val="00FD538C"/>
    <w:rsid w:val="00FD5398"/>
    <w:rsid w:val="00FD53DA"/>
    <w:rsid w:val="00FD5426"/>
    <w:rsid w:val="00FD5438"/>
    <w:rsid w:val="00FD5473"/>
    <w:rsid w:val="00FD54AF"/>
    <w:rsid w:val="00FD54C4"/>
    <w:rsid w:val="00FD54D8"/>
    <w:rsid w:val="00FD54E9"/>
    <w:rsid w:val="00FD54F9"/>
    <w:rsid w:val="00FD553D"/>
    <w:rsid w:val="00FD5577"/>
    <w:rsid w:val="00FD55A4"/>
    <w:rsid w:val="00FD55F7"/>
    <w:rsid w:val="00FD560A"/>
    <w:rsid w:val="00FD56E4"/>
    <w:rsid w:val="00FD5771"/>
    <w:rsid w:val="00FD5791"/>
    <w:rsid w:val="00FD57C9"/>
    <w:rsid w:val="00FD580C"/>
    <w:rsid w:val="00FD5829"/>
    <w:rsid w:val="00FD58B7"/>
    <w:rsid w:val="00FD58B9"/>
    <w:rsid w:val="00FD58D4"/>
    <w:rsid w:val="00FD5931"/>
    <w:rsid w:val="00FD593D"/>
    <w:rsid w:val="00FD59D6"/>
    <w:rsid w:val="00FD5A7A"/>
    <w:rsid w:val="00FD5A8B"/>
    <w:rsid w:val="00FD5AC5"/>
    <w:rsid w:val="00FD5AF9"/>
    <w:rsid w:val="00FD5B12"/>
    <w:rsid w:val="00FD5B19"/>
    <w:rsid w:val="00FD5B6B"/>
    <w:rsid w:val="00FD5B94"/>
    <w:rsid w:val="00FD5BAD"/>
    <w:rsid w:val="00FD5BEE"/>
    <w:rsid w:val="00FD5BF4"/>
    <w:rsid w:val="00FD5CEE"/>
    <w:rsid w:val="00FD5D43"/>
    <w:rsid w:val="00FD5D74"/>
    <w:rsid w:val="00FD5DD8"/>
    <w:rsid w:val="00FD5DEC"/>
    <w:rsid w:val="00FD5E54"/>
    <w:rsid w:val="00FD5EEC"/>
    <w:rsid w:val="00FD5F3C"/>
    <w:rsid w:val="00FD5F75"/>
    <w:rsid w:val="00FD5F90"/>
    <w:rsid w:val="00FD5FD6"/>
    <w:rsid w:val="00FD6024"/>
    <w:rsid w:val="00FD608E"/>
    <w:rsid w:val="00FD609C"/>
    <w:rsid w:val="00FD60A6"/>
    <w:rsid w:val="00FD60B7"/>
    <w:rsid w:val="00FD60F9"/>
    <w:rsid w:val="00FD613A"/>
    <w:rsid w:val="00FD617E"/>
    <w:rsid w:val="00FD61E6"/>
    <w:rsid w:val="00FD61E7"/>
    <w:rsid w:val="00FD61EE"/>
    <w:rsid w:val="00FD622C"/>
    <w:rsid w:val="00FD6230"/>
    <w:rsid w:val="00FD6257"/>
    <w:rsid w:val="00FD62CA"/>
    <w:rsid w:val="00FD62EB"/>
    <w:rsid w:val="00FD62F8"/>
    <w:rsid w:val="00FD632D"/>
    <w:rsid w:val="00FD6387"/>
    <w:rsid w:val="00FD6394"/>
    <w:rsid w:val="00FD63D9"/>
    <w:rsid w:val="00FD6402"/>
    <w:rsid w:val="00FD6407"/>
    <w:rsid w:val="00FD6466"/>
    <w:rsid w:val="00FD646D"/>
    <w:rsid w:val="00FD648E"/>
    <w:rsid w:val="00FD658E"/>
    <w:rsid w:val="00FD6608"/>
    <w:rsid w:val="00FD660C"/>
    <w:rsid w:val="00FD664C"/>
    <w:rsid w:val="00FD6654"/>
    <w:rsid w:val="00FD667D"/>
    <w:rsid w:val="00FD671D"/>
    <w:rsid w:val="00FD680F"/>
    <w:rsid w:val="00FD68AD"/>
    <w:rsid w:val="00FD68BC"/>
    <w:rsid w:val="00FD68DB"/>
    <w:rsid w:val="00FD6901"/>
    <w:rsid w:val="00FD690D"/>
    <w:rsid w:val="00FD691C"/>
    <w:rsid w:val="00FD694B"/>
    <w:rsid w:val="00FD694D"/>
    <w:rsid w:val="00FD69CE"/>
    <w:rsid w:val="00FD6A2B"/>
    <w:rsid w:val="00FD6A30"/>
    <w:rsid w:val="00FD6AA9"/>
    <w:rsid w:val="00FD6AD8"/>
    <w:rsid w:val="00FD6B08"/>
    <w:rsid w:val="00FD6B27"/>
    <w:rsid w:val="00FD6B6C"/>
    <w:rsid w:val="00FD6BCA"/>
    <w:rsid w:val="00FD6BE9"/>
    <w:rsid w:val="00FD6CA0"/>
    <w:rsid w:val="00FD6D17"/>
    <w:rsid w:val="00FD6D1F"/>
    <w:rsid w:val="00FD6D78"/>
    <w:rsid w:val="00FD6D8F"/>
    <w:rsid w:val="00FD6DC2"/>
    <w:rsid w:val="00FD6E1C"/>
    <w:rsid w:val="00FD6E88"/>
    <w:rsid w:val="00FD6E8A"/>
    <w:rsid w:val="00FD6F24"/>
    <w:rsid w:val="00FD6F2C"/>
    <w:rsid w:val="00FD6F84"/>
    <w:rsid w:val="00FD6F9A"/>
    <w:rsid w:val="00FD6FA5"/>
    <w:rsid w:val="00FD6FAA"/>
    <w:rsid w:val="00FD6FBA"/>
    <w:rsid w:val="00FD7001"/>
    <w:rsid w:val="00FD709C"/>
    <w:rsid w:val="00FD70C2"/>
    <w:rsid w:val="00FD70D8"/>
    <w:rsid w:val="00FD713C"/>
    <w:rsid w:val="00FD7169"/>
    <w:rsid w:val="00FD7181"/>
    <w:rsid w:val="00FD7195"/>
    <w:rsid w:val="00FD71BD"/>
    <w:rsid w:val="00FD71CE"/>
    <w:rsid w:val="00FD7207"/>
    <w:rsid w:val="00FD7236"/>
    <w:rsid w:val="00FD724B"/>
    <w:rsid w:val="00FD736F"/>
    <w:rsid w:val="00FD73F5"/>
    <w:rsid w:val="00FD7478"/>
    <w:rsid w:val="00FD749E"/>
    <w:rsid w:val="00FD74D7"/>
    <w:rsid w:val="00FD74E4"/>
    <w:rsid w:val="00FD7502"/>
    <w:rsid w:val="00FD7524"/>
    <w:rsid w:val="00FD7531"/>
    <w:rsid w:val="00FD7568"/>
    <w:rsid w:val="00FD75BF"/>
    <w:rsid w:val="00FD75CC"/>
    <w:rsid w:val="00FD75EE"/>
    <w:rsid w:val="00FD75F7"/>
    <w:rsid w:val="00FD7644"/>
    <w:rsid w:val="00FD7656"/>
    <w:rsid w:val="00FD76B8"/>
    <w:rsid w:val="00FD7763"/>
    <w:rsid w:val="00FD77AE"/>
    <w:rsid w:val="00FD781E"/>
    <w:rsid w:val="00FD783A"/>
    <w:rsid w:val="00FD7853"/>
    <w:rsid w:val="00FD78DF"/>
    <w:rsid w:val="00FD792E"/>
    <w:rsid w:val="00FD793D"/>
    <w:rsid w:val="00FD794D"/>
    <w:rsid w:val="00FD7961"/>
    <w:rsid w:val="00FD7987"/>
    <w:rsid w:val="00FD79AD"/>
    <w:rsid w:val="00FD79B1"/>
    <w:rsid w:val="00FD79C3"/>
    <w:rsid w:val="00FD7A26"/>
    <w:rsid w:val="00FD7A31"/>
    <w:rsid w:val="00FD7A60"/>
    <w:rsid w:val="00FD7A8C"/>
    <w:rsid w:val="00FD7B03"/>
    <w:rsid w:val="00FD7B21"/>
    <w:rsid w:val="00FD7B4B"/>
    <w:rsid w:val="00FD7B53"/>
    <w:rsid w:val="00FD7B5D"/>
    <w:rsid w:val="00FD7B8B"/>
    <w:rsid w:val="00FD7BB4"/>
    <w:rsid w:val="00FD7BDD"/>
    <w:rsid w:val="00FD7BFA"/>
    <w:rsid w:val="00FD7C3A"/>
    <w:rsid w:val="00FD7C48"/>
    <w:rsid w:val="00FD7C76"/>
    <w:rsid w:val="00FD7C8C"/>
    <w:rsid w:val="00FD7D1E"/>
    <w:rsid w:val="00FD7D4C"/>
    <w:rsid w:val="00FD7D65"/>
    <w:rsid w:val="00FD7E0E"/>
    <w:rsid w:val="00FD7E11"/>
    <w:rsid w:val="00FD7E25"/>
    <w:rsid w:val="00FD7E32"/>
    <w:rsid w:val="00FD7E5A"/>
    <w:rsid w:val="00FD7E98"/>
    <w:rsid w:val="00FD7F35"/>
    <w:rsid w:val="00FD7F37"/>
    <w:rsid w:val="00FD7F63"/>
    <w:rsid w:val="00FD7F6B"/>
    <w:rsid w:val="00FD7F6E"/>
    <w:rsid w:val="00FE0011"/>
    <w:rsid w:val="00FE0079"/>
    <w:rsid w:val="00FE0088"/>
    <w:rsid w:val="00FE008A"/>
    <w:rsid w:val="00FE0091"/>
    <w:rsid w:val="00FE00E6"/>
    <w:rsid w:val="00FE00FB"/>
    <w:rsid w:val="00FE0121"/>
    <w:rsid w:val="00FE01C2"/>
    <w:rsid w:val="00FE01C3"/>
    <w:rsid w:val="00FE025B"/>
    <w:rsid w:val="00FE0280"/>
    <w:rsid w:val="00FE0288"/>
    <w:rsid w:val="00FE028B"/>
    <w:rsid w:val="00FE02A7"/>
    <w:rsid w:val="00FE0349"/>
    <w:rsid w:val="00FE0352"/>
    <w:rsid w:val="00FE0386"/>
    <w:rsid w:val="00FE03B8"/>
    <w:rsid w:val="00FE03E9"/>
    <w:rsid w:val="00FE0417"/>
    <w:rsid w:val="00FE0418"/>
    <w:rsid w:val="00FE0469"/>
    <w:rsid w:val="00FE0498"/>
    <w:rsid w:val="00FE04B9"/>
    <w:rsid w:val="00FE0537"/>
    <w:rsid w:val="00FE058C"/>
    <w:rsid w:val="00FE05C2"/>
    <w:rsid w:val="00FE060D"/>
    <w:rsid w:val="00FE0615"/>
    <w:rsid w:val="00FE061E"/>
    <w:rsid w:val="00FE06B9"/>
    <w:rsid w:val="00FE076D"/>
    <w:rsid w:val="00FE07AC"/>
    <w:rsid w:val="00FE07AD"/>
    <w:rsid w:val="00FE07BE"/>
    <w:rsid w:val="00FE07E5"/>
    <w:rsid w:val="00FE08DE"/>
    <w:rsid w:val="00FE08ED"/>
    <w:rsid w:val="00FE0903"/>
    <w:rsid w:val="00FE097D"/>
    <w:rsid w:val="00FE0A39"/>
    <w:rsid w:val="00FE0A6B"/>
    <w:rsid w:val="00FE0AA8"/>
    <w:rsid w:val="00FE0BD6"/>
    <w:rsid w:val="00FE0BE5"/>
    <w:rsid w:val="00FE0C05"/>
    <w:rsid w:val="00FE0C09"/>
    <w:rsid w:val="00FE0C0C"/>
    <w:rsid w:val="00FE0C47"/>
    <w:rsid w:val="00FE0C59"/>
    <w:rsid w:val="00FE0CF5"/>
    <w:rsid w:val="00FE0D61"/>
    <w:rsid w:val="00FE0DC7"/>
    <w:rsid w:val="00FE0DCA"/>
    <w:rsid w:val="00FE0E09"/>
    <w:rsid w:val="00FE0E0A"/>
    <w:rsid w:val="00FE0E4E"/>
    <w:rsid w:val="00FE0EA4"/>
    <w:rsid w:val="00FE0EB6"/>
    <w:rsid w:val="00FE0EEC"/>
    <w:rsid w:val="00FE0F1F"/>
    <w:rsid w:val="00FE0F20"/>
    <w:rsid w:val="00FE0F70"/>
    <w:rsid w:val="00FE0F79"/>
    <w:rsid w:val="00FE0F7F"/>
    <w:rsid w:val="00FE0F9E"/>
    <w:rsid w:val="00FE0FE8"/>
    <w:rsid w:val="00FE0FEB"/>
    <w:rsid w:val="00FE0FF3"/>
    <w:rsid w:val="00FE1012"/>
    <w:rsid w:val="00FE1014"/>
    <w:rsid w:val="00FE102C"/>
    <w:rsid w:val="00FE105E"/>
    <w:rsid w:val="00FE106E"/>
    <w:rsid w:val="00FE1075"/>
    <w:rsid w:val="00FE107D"/>
    <w:rsid w:val="00FE10AB"/>
    <w:rsid w:val="00FE1120"/>
    <w:rsid w:val="00FE1168"/>
    <w:rsid w:val="00FE1182"/>
    <w:rsid w:val="00FE1188"/>
    <w:rsid w:val="00FE1296"/>
    <w:rsid w:val="00FE130F"/>
    <w:rsid w:val="00FE1388"/>
    <w:rsid w:val="00FE13F7"/>
    <w:rsid w:val="00FE14FE"/>
    <w:rsid w:val="00FE154F"/>
    <w:rsid w:val="00FE162A"/>
    <w:rsid w:val="00FE1634"/>
    <w:rsid w:val="00FE1649"/>
    <w:rsid w:val="00FE1697"/>
    <w:rsid w:val="00FE16B4"/>
    <w:rsid w:val="00FE16E5"/>
    <w:rsid w:val="00FE16F7"/>
    <w:rsid w:val="00FE171E"/>
    <w:rsid w:val="00FE173B"/>
    <w:rsid w:val="00FE173F"/>
    <w:rsid w:val="00FE1747"/>
    <w:rsid w:val="00FE1793"/>
    <w:rsid w:val="00FE17B0"/>
    <w:rsid w:val="00FE17D0"/>
    <w:rsid w:val="00FE17DC"/>
    <w:rsid w:val="00FE17ED"/>
    <w:rsid w:val="00FE1822"/>
    <w:rsid w:val="00FE1842"/>
    <w:rsid w:val="00FE185D"/>
    <w:rsid w:val="00FE189D"/>
    <w:rsid w:val="00FE18E7"/>
    <w:rsid w:val="00FE18EF"/>
    <w:rsid w:val="00FE191D"/>
    <w:rsid w:val="00FE1936"/>
    <w:rsid w:val="00FE1941"/>
    <w:rsid w:val="00FE19F6"/>
    <w:rsid w:val="00FE1A65"/>
    <w:rsid w:val="00FE1A9C"/>
    <w:rsid w:val="00FE1AB0"/>
    <w:rsid w:val="00FE1AB6"/>
    <w:rsid w:val="00FE1ACC"/>
    <w:rsid w:val="00FE1AF8"/>
    <w:rsid w:val="00FE1B1C"/>
    <w:rsid w:val="00FE1B41"/>
    <w:rsid w:val="00FE1B5A"/>
    <w:rsid w:val="00FE1B80"/>
    <w:rsid w:val="00FE1C06"/>
    <w:rsid w:val="00FE1C21"/>
    <w:rsid w:val="00FE1C4F"/>
    <w:rsid w:val="00FE1C58"/>
    <w:rsid w:val="00FE1C76"/>
    <w:rsid w:val="00FE1C93"/>
    <w:rsid w:val="00FE1D0A"/>
    <w:rsid w:val="00FE1D15"/>
    <w:rsid w:val="00FE1D32"/>
    <w:rsid w:val="00FE1D42"/>
    <w:rsid w:val="00FE1D94"/>
    <w:rsid w:val="00FE1D9B"/>
    <w:rsid w:val="00FE1E37"/>
    <w:rsid w:val="00FE1E38"/>
    <w:rsid w:val="00FE1E5C"/>
    <w:rsid w:val="00FE1E9F"/>
    <w:rsid w:val="00FE1EF6"/>
    <w:rsid w:val="00FE1F50"/>
    <w:rsid w:val="00FE1FD0"/>
    <w:rsid w:val="00FE1FF1"/>
    <w:rsid w:val="00FE201E"/>
    <w:rsid w:val="00FE20AC"/>
    <w:rsid w:val="00FE20EB"/>
    <w:rsid w:val="00FE20FD"/>
    <w:rsid w:val="00FE21CA"/>
    <w:rsid w:val="00FE2216"/>
    <w:rsid w:val="00FE2260"/>
    <w:rsid w:val="00FE2296"/>
    <w:rsid w:val="00FE22D9"/>
    <w:rsid w:val="00FE22DD"/>
    <w:rsid w:val="00FE230E"/>
    <w:rsid w:val="00FE2319"/>
    <w:rsid w:val="00FE2338"/>
    <w:rsid w:val="00FE2411"/>
    <w:rsid w:val="00FE2451"/>
    <w:rsid w:val="00FE24B5"/>
    <w:rsid w:val="00FE24F3"/>
    <w:rsid w:val="00FE252E"/>
    <w:rsid w:val="00FE254E"/>
    <w:rsid w:val="00FE2567"/>
    <w:rsid w:val="00FE2574"/>
    <w:rsid w:val="00FE257E"/>
    <w:rsid w:val="00FE25C5"/>
    <w:rsid w:val="00FE25E0"/>
    <w:rsid w:val="00FE2606"/>
    <w:rsid w:val="00FE2625"/>
    <w:rsid w:val="00FE265E"/>
    <w:rsid w:val="00FE26FB"/>
    <w:rsid w:val="00FE271F"/>
    <w:rsid w:val="00FE272A"/>
    <w:rsid w:val="00FE273C"/>
    <w:rsid w:val="00FE2769"/>
    <w:rsid w:val="00FE2790"/>
    <w:rsid w:val="00FE27B5"/>
    <w:rsid w:val="00FE27F1"/>
    <w:rsid w:val="00FE2848"/>
    <w:rsid w:val="00FE289A"/>
    <w:rsid w:val="00FE28D8"/>
    <w:rsid w:val="00FE28F5"/>
    <w:rsid w:val="00FE2907"/>
    <w:rsid w:val="00FE29B7"/>
    <w:rsid w:val="00FE2A67"/>
    <w:rsid w:val="00FE2A69"/>
    <w:rsid w:val="00FE2A81"/>
    <w:rsid w:val="00FE2AC8"/>
    <w:rsid w:val="00FE2AE7"/>
    <w:rsid w:val="00FE2AFE"/>
    <w:rsid w:val="00FE2B06"/>
    <w:rsid w:val="00FE2B14"/>
    <w:rsid w:val="00FE2B3A"/>
    <w:rsid w:val="00FE2BE6"/>
    <w:rsid w:val="00FE2BFB"/>
    <w:rsid w:val="00FE2C45"/>
    <w:rsid w:val="00FE2C72"/>
    <w:rsid w:val="00FE2C76"/>
    <w:rsid w:val="00FE2C7E"/>
    <w:rsid w:val="00FE2CB4"/>
    <w:rsid w:val="00FE2CBD"/>
    <w:rsid w:val="00FE2D20"/>
    <w:rsid w:val="00FE2D27"/>
    <w:rsid w:val="00FE2E14"/>
    <w:rsid w:val="00FE2E2E"/>
    <w:rsid w:val="00FE2E5A"/>
    <w:rsid w:val="00FE2E6C"/>
    <w:rsid w:val="00FE2E89"/>
    <w:rsid w:val="00FE2EB1"/>
    <w:rsid w:val="00FE2F22"/>
    <w:rsid w:val="00FE2F41"/>
    <w:rsid w:val="00FE2F56"/>
    <w:rsid w:val="00FE2F5A"/>
    <w:rsid w:val="00FE2F61"/>
    <w:rsid w:val="00FE2FCC"/>
    <w:rsid w:val="00FE2FCE"/>
    <w:rsid w:val="00FE2FDF"/>
    <w:rsid w:val="00FE2FFF"/>
    <w:rsid w:val="00FE3084"/>
    <w:rsid w:val="00FE3086"/>
    <w:rsid w:val="00FE308A"/>
    <w:rsid w:val="00FE30CE"/>
    <w:rsid w:val="00FE30D0"/>
    <w:rsid w:val="00FE3101"/>
    <w:rsid w:val="00FE313A"/>
    <w:rsid w:val="00FE3178"/>
    <w:rsid w:val="00FE31A7"/>
    <w:rsid w:val="00FE31D2"/>
    <w:rsid w:val="00FE31E6"/>
    <w:rsid w:val="00FE31F5"/>
    <w:rsid w:val="00FE3232"/>
    <w:rsid w:val="00FE3283"/>
    <w:rsid w:val="00FE329A"/>
    <w:rsid w:val="00FE32C5"/>
    <w:rsid w:val="00FE333D"/>
    <w:rsid w:val="00FE3346"/>
    <w:rsid w:val="00FE33B6"/>
    <w:rsid w:val="00FE33D1"/>
    <w:rsid w:val="00FE344B"/>
    <w:rsid w:val="00FE3505"/>
    <w:rsid w:val="00FE354F"/>
    <w:rsid w:val="00FE363D"/>
    <w:rsid w:val="00FE364D"/>
    <w:rsid w:val="00FE364F"/>
    <w:rsid w:val="00FE3661"/>
    <w:rsid w:val="00FE3673"/>
    <w:rsid w:val="00FE36AE"/>
    <w:rsid w:val="00FE36BC"/>
    <w:rsid w:val="00FE36CB"/>
    <w:rsid w:val="00FE36E4"/>
    <w:rsid w:val="00FE3703"/>
    <w:rsid w:val="00FE371F"/>
    <w:rsid w:val="00FE3768"/>
    <w:rsid w:val="00FE378E"/>
    <w:rsid w:val="00FE37E8"/>
    <w:rsid w:val="00FE3856"/>
    <w:rsid w:val="00FE387E"/>
    <w:rsid w:val="00FE38A5"/>
    <w:rsid w:val="00FE38A6"/>
    <w:rsid w:val="00FE38E2"/>
    <w:rsid w:val="00FE3920"/>
    <w:rsid w:val="00FE3938"/>
    <w:rsid w:val="00FE3946"/>
    <w:rsid w:val="00FE396D"/>
    <w:rsid w:val="00FE3978"/>
    <w:rsid w:val="00FE39AF"/>
    <w:rsid w:val="00FE39F9"/>
    <w:rsid w:val="00FE3A67"/>
    <w:rsid w:val="00FE3A7B"/>
    <w:rsid w:val="00FE3A8F"/>
    <w:rsid w:val="00FE3ABD"/>
    <w:rsid w:val="00FE3AEA"/>
    <w:rsid w:val="00FE3B23"/>
    <w:rsid w:val="00FE3B3C"/>
    <w:rsid w:val="00FE3B4B"/>
    <w:rsid w:val="00FE3B60"/>
    <w:rsid w:val="00FE3B81"/>
    <w:rsid w:val="00FE3BD4"/>
    <w:rsid w:val="00FE3BEA"/>
    <w:rsid w:val="00FE3CD5"/>
    <w:rsid w:val="00FE3D0A"/>
    <w:rsid w:val="00FE3D0C"/>
    <w:rsid w:val="00FE3D1A"/>
    <w:rsid w:val="00FE3D66"/>
    <w:rsid w:val="00FE3DAF"/>
    <w:rsid w:val="00FE3DBB"/>
    <w:rsid w:val="00FE3DEF"/>
    <w:rsid w:val="00FE3E4E"/>
    <w:rsid w:val="00FE3E96"/>
    <w:rsid w:val="00FE3EF9"/>
    <w:rsid w:val="00FE3EFC"/>
    <w:rsid w:val="00FE3F6A"/>
    <w:rsid w:val="00FE3F93"/>
    <w:rsid w:val="00FE3FE4"/>
    <w:rsid w:val="00FE4038"/>
    <w:rsid w:val="00FE407B"/>
    <w:rsid w:val="00FE4093"/>
    <w:rsid w:val="00FE409E"/>
    <w:rsid w:val="00FE40B1"/>
    <w:rsid w:val="00FE417B"/>
    <w:rsid w:val="00FE4183"/>
    <w:rsid w:val="00FE4185"/>
    <w:rsid w:val="00FE41BF"/>
    <w:rsid w:val="00FE41EC"/>
    <w:rsid w:val="00FE4205"/>
    <w:rsid w:val="00FE4208"/>
    <w:rsid w:val="00FE4220"/>
    <w:rsid w:val="00FE42EA"/>
    <w:rsid w:val="00FE4325"/>
    <w:rsid w:val="00FE4336"/>
    <w:rsid w:val="00FE4350"/>
    <w:rsid w:val="00FE4378"/>
    <w:rsid w:val="00FE4388"/>
    <w:rsid w:val="00FE43C4"/>
    <w:rsid w:val="00FE43FE"/>
    <w:rsid w:val="00FE440E"/>
    <w:rsid w:val="00FE4440"/>
    <w:rsid w:val="00FE4466"/>
    <w:rsid w:val="00FE4469"/>
    <w:rsid w:val="00FE44AD"/>
    <w:rsid w:val="00FE44CE"/>
    <w:rsid w:val="00FE44ED"/>
    <w:rsid w:val="00FE4515"/>
    <w:rsid w:val="00FE453B"/>
    <w:rsid w:val="00FE4555"/>
    <w:rsid w:val="00FE455D"/>
    <w:rsid w:val="00FE4578"/>
    <w:rsid w:val="00FE458B"/>
    <w:rsid w:val="00FE45BA"/>
    <w:rsid w:val="00FE45F5"/>
    <w:rsid w:val="00FE460B"/>
    <w:rsid w:val="00FE4633"/>
    <w:rsid w:val="00FE464C"/>
    <w:rsid w:val="00FE46AB"/>
    <w:rsid w:val="00FE46E7"/>
    <w:rsid w:val="00FE46FF"/>
    <w:rsid w:val="00FE4732"/>
    <w:rsid w:val="00FE473B"/>
    <w:rsid w:val="00FE475C"/>
    <w:rsid w:val="00FE47D6"/>
    <w:rsid w:val="00FE4856"/>
    <w:rsid w:val="00FE4872"/>
    <w:rsid w:val="00FE4882"/>
    <w:rsid w:val="00FE48DE"/>
    <w:rsid w:val="00FE48EC"/>
    <w:rsid w:val="00FE4917"/>
    <w:rsid w:val="00FE492E"/>
    <w:rsid w:val="00FE495E"/>
    <w:rsid w:val="00FE499A"/>
    <w:rsid w:val="00FE4A6A"/>
    <w:rsid w:val="00FE4A90"/>
    <w:rsid w:val="00FE4B63"/>
    <w:rsid w:val="00FE4B72"/>
    <w:rsid w:val="00FE4B7E"/>
    <w:rsid w:val="00FE4B9B"/>
    <w:rsid w:val="00FE4BB3"/>
    <w:rsid w:val="00FE4C5A"/>
    <w:rsid w:val="00FE4C82"/>
    <w:rsid w:val="00FE4D15"/>
    <w:rsid w:val="00FE4DBD"/>
    <w:rsid w:val="00FE4DEE"/>
    <w:rsid w:val="00FE4DFF"/>
    <w:rsid w:val="00FE4E00"/>
    <w:rsid w:val="00FE4E10"/>
    <w:rsid w:val="00FE4E27"/>
    <w:rsid w:val="00FE4F11"/>
    <w:rsid w:val="00FE4F6D"/>
    <w:rsid w:val="00FE5043"/>
    <w:rsid w:val="00FE5045"/>
    <w:rsid w:val="00FE5066"/>
    <w:rsid w:val="00FE5082"/>
    <w:rsid w:val="00FE50C0"/>
    <w:rsid w:val="00FE5112"/>
    <w:rsid w:val="00FE516D"/>
    <w:rsid w:val="00FE517A"/>
    <w:rsid w:val="00FE517C"/>
    <w:rsid w:val="00FE5198"/>
    <w:rsid w:val="00FE51CD"/>
    <w:rsid w:val="00FE51E4"/>
    <w:rsid w:val="00FE524F"/>
    <w:rsid w:val="00FE52B9"/>
    <w:rsid w:val="00FE52F5"/>
    <w:rsid w:val="00FE5346"/>
    <w:rsid w:val="00FE5355"/>
    <w:rsid w:val="00FE53B1"/>
    <w:rsid w:val="00FE53DF"/>
    <w:rsid w:val="00FE5406"/>
    <w:rsid w:val="00FE5434"/>
    <w:rsid w:val="00FE549D"/>
    <w:rsid w:val="00FE54AF"/>
    <w:rsid w:val="00FE54F9"/>
    <w:rsid w:val="00FE557A"/>
    <w:rsid w:val="00FE55DC"/>
    <w:rsid w:val="00FE55FA"/>
    <w:rsid w:val="00FE5604"/>
    <w:rsid w:val="00FE5610"/>
    <w:rsid w:val="00FE5617"/>
    <w:rsid w:val="00FE56CC"/>
    <w:rsid w:val="00FE56F4"/>
    <w:rsid w:val="00FE5746"/>
    <w:rsid w:val="00FE5757"/>
    <w:rsid w:val="00FE5792"/>
    <w:rsid w:val="00FE57CF"/>
    <w:rsid w:val="00FE57D0"/>
    <w:rsid w:val="00FE57DD"/>
    <w:rsid w:val="00FE57ED"/>
    <w:rsid w:val="00FE588A"/>
    <w:rsid w:val="00FE5895"/>
    <w:rsid w:val="00FE58A9"/>
    <w:rsid w:val="00FE590F"/>
    <w:rsid w:val="00FE592F"/>
    <w:rsid w:val="00FE593A"/>
    <w:rsid w:val="00FE5948"/>
    <w:rsid w:val="00FE5959"/>
    <w:rsid w:val="00FE598A"/>
    <w:rsid w:val="00FE5A2C"/>
    <w:rsid w:val="00FE5A58"/>
    <w:rsid w:val="00FE5A65"/>
    <w:rsid w:val="00FE5A75"/>
    <w:rsid w:val="00FE5ACB"/>
    <w:rsid w:val="00FE5AD3"/>
    <w:rsid w:val="00FE5B12"/>
    <w:rsid w:val="00FE5B30"/>
    <w:rsid w:val="00FE5B3B"/>
    <w:rsid w:val="00FE5B48"/>
    <w:rsid w:val="00FE5B88"/>
    <w:rsid w:val="00FE5C25"/>
    <w:rsid w:val="00FE5C48"/>
    <w:rsid w:val="00FE5CA7"/>
    <w:rsid w:val="00FE5CAB"/>
    <w:rsid w:val="00FE5CFD"/>
    <w:rsid w:val="00FE5D0A"/>
    <w:rsid w:val="00FE5D0D"/>
    <w:rsid w:val="00FE5DD6"/>
    <w:rsid w:val="00FE5DE6"/>
    <w:rsid w:val="00FE5E88"/>
    <w:rsid w:val="00FE5ECF"/>
    <w:rsid w:val="00FE5EDD"/>
    <w:rsid w:val="00FE5F53"/>
    <w:rsid w:val="00FE5FC5"/>
    <w:rsid w:val="00FE5FDF"/>
    <w:rsid w:val="00FE6015"/>
    <w:rsid w:val="00FE6059"/>
    <w:rsid w:val="00FE6065"/>
    <w:rsid w:val="00FE6081"/>
    <w:rsid w:val="00FE60A7"/>
    <w:rsid w:val="00FE60C0"/>
    <w:rsid w:val="00FE60CD"/>
    <w:rsid w:val="00FE60EE"/>
    <w:rsid w:val="00FE6105"/>
    <w:rsid w:val="00FE6226"/>
    <w:rsid w:val="00FE625B"/>
    <w:rsid w:val="00FE626A"/>
    <w:rsid w:val="00FE6282"/>
    <w:rsid w:val="00FE6338"/>
    <w:rsid w:val="00FE633C"/>
    <w:rsid w:val="00FE64BC"/>
    <w:rsid w:val="00FE6597"/>
    <w:rsid w:val="00FE6637"/>
    <w:rsid w:val="00FE6689"/>
    <w:rsid w:val="00FE66C6"/>
    <w:rsid w:val="00FE66E2"/>
    <w:rsid w:val="00FE66FF"/>
    <w:rsid w:val="00FE6745"/>
    <w:rsid w:val="00FE676A"/>
    <w:rsid w:val="00FE67DA"/>
    <w:rsid w:val="00FE6880"/>
    <w:rsid w:val="00FE6889"/>
    <w:rsid w:val="00FE6899"/>
    <w:rsid w:val="00FE68E7"/>
    <w:rsid w:val="00FE69E1"/>
    <w:rsid w:val="00FE69F0"/>
    <w:rsid w:val="00FE6A9B"/>
    <w:rsid w:val="00FE6AA4"/>
    <w:rsid w:val="00FE6AC2"/>
    <w:rsid w:val="00FE6ACF"/>
    <w:rsid w:val="00FE6AD3"/>
    <w:rsid w:val="00FE6B1C"/>
    <w:rsid w:val="00FE6B92"/>
    <w:rsid w:val="00FE6B9A"/>
    <w:rsid w:val="00FE6CC6"/>
    <w:rsid w:val="00FE6CC8"/>
    <w:rsid w:val="00FE6D51"/>
    <w:rsid w:val="00FE6D6A"/>
    <w:rsid w:val="00FE6DA4"/>
    <w:rsid w:val="00FE6DAE"/>
    <w:rsid w:val="00FE6DEE"/>
    <w:rsid w:val="00FE6DEF"/>
    <w:rsid w:val="00FE6DF2"/>
    <w:rsid w:val="00FE6E50"/>
    <w:rsid w:val="00FE6E83"/>
    <w:rsid w:val="00FE6E9E"/>
    <w:rsid w:val="00FE6EB7"/>
    <w:rsid w:val="00FE6EE9"/>
    <w:rsid w:val="00FE6EFD"/>
    <w:rsid w:val="00FE6F13"/>
    <w:rsid w:val="00FE6F93"/>
    <w:rsid w:val="00FE6FB6"/>
    <w:rsid w:val="00FE6FE3"/>
    <w:rsid w:val="00FE708D"/>
    <w:rsid w:val="00FE70D5"/>
    <w:rsid w:val="00FE7165"/>
    <w:rsid w:val="00FE728C"/>
    <w:rsid w:val="00FE7317"/>
    <w:rsid w:val="00FE7320"/>
    <w:rsid w:val="00FE732C"/>
    <w:rsid w:val="00FE736A"/>
    <w:rsid w:val="00FE73DD"/>
    <w:rsid w:val="00FE73E3"/>
    <w:rsid w:val="00FE740C"/>
    <w:rsid w:val="00FE748A"/>
    <w:rsid w:val="00FE7495"/>
    <w:rsid w:val="00FE74C7"/>
    <w:rsid w:val="00FE74CB"/>
    <w:rsid w:val="00FE74E9"/>
    <w:rsid w:val="00FE7575"/>
    <w:rsid w:val="00FE75BB"/>
    <w:rsid w:val="00FE75C3"/>
    <w:rsid w:val="00FE75D8"/>
    <w:rsid w:val="00FE7606"/>
    <w:rsid w:val="00FE764E"/>
    <w:rsid w:val="00FE7689"/>
    <w:rsid w:val="00FE768E"/>
    <w:rsid w:val="00FE76CC"/>
    <w:rsid w:val="00FE7720"/>
    <w:rsid w:val="00FE7723"/>
    <w:rsid w:val="00FE7749"/>
    <w:rsid w:val="00FE7790"/>
    <w:rsid w:val="00FE77A3"/>
    <w:rsid w:val="00FE77B7"/>
    <w:rsid w:val="00FE77FA"/>
    <w:rsid w:val="00FE77FF"/>
    <w:rsid w:val="00FE7812"/>
    <w:rsid w:val="00FE7837"/>
    <w:rsid w:val="00FE7839"/>
    <w:rsid w:val="00FE78CE"/>
    <w:rsid w:val="00FE7908"/>
    <w:rsid w:val="00FE7966"/>
    <w:rsid w:val="00FE7985"/>
    <w:rsid w:val="00FE79A2"/>
    <w:rsid w:val="00FE79AF"/>
    <w:rsid w:val="00FE79C5"/>
    <w:rsid w:val="00FE7A05"/>
    <w:rsid w:val="00FE7A90"/>
    <w:rsid w:val="00FE7AC6"/>
    <w:rsid w:val="00FE7B21"/>
    <w:rsid w:val="00FE7B29"/>
    <w:rsid w:val="00FE7B35"/>
    <w:rsid w:val="00FE7B42"/>
    <w:rsid w:val="00FE7B9D"/>
    <w:rsid w:val="00FE7BD7"/>
    <w:rsid w:val="00FE7BE1"/>
    <w:rsid w:val="00FE7C2B"/>
    <w:rsid w:val="00FE7C69"/>
    <w:rsid w:val="00FE7C95"/>
    <w:rsid w:val="00FE7C96"/>
    <w:rsid w:val="00FE7D14"/>
    <w:rsid w:val="00FE7D51"/>
    <w:rsid w:val="00FE7D85"/>
    <w:rsid w:val="00FE7DCE"/>
    <w:rsid w:val="00FE7DEF"/>
    <w:rsid w:val="00FE7E2F"/>
    <w:rsid w:val="00FE7E3C"/>
    <w:rsid w:val="00FE7E70"/>
    <w:rsid w:val="00FE7E83"/>
    <w:rsid w:val="00FE7ED7"/>
    <w:rsid w:val="00FE7EEC"/>
    <w:rsid w:val="00FE7F1B"/>
    <w:rsid w:val="00FE7F1F"/>
    <w:rsid w:val="00FE7F22"/>
    <w:rsid w:val="00FE7F46"/>
    <w:rsid w:val="00FE7F47"/>
    <w:rsid w:val="00FE7F4E"/>
    <w:rsid w:val="00FE7FD5"/>
    <w:rsid w:val="00FE7FDB"/>
    <w:rsid w:val="00FF003A"/>
    <w:rsid w:val="00FF0043"/>
    <w:rsid w:val="00FF009E"/>
    <w:rsid w:val="00FF00E8"/>
    <w:rsid w:val="00FF0113"/>
    <w:rsid w:val="00FF0118"/>
    <w:rsid w:val="00FF012D"/>
    <w:rsid w:val="00FF0195"/>
    <w:rsid w:val="00FF01FF"/>
    <w:rsid w:val="00FF025B"/>
    <w:rsid w:val="00FF02A1"/>
    <w:rsid w:val="00FF0346"/>
    <w:rsid w:val="00FF034C"/>
    <w:rsid w:val="00FF0369"/>
    <w:rsid w:val="00FF0373"/>
    <w:rsid w:val="00FF03E9"/>
    <w:rsid w:val="00FF040F"/>
    <w:rsid w:val="00FF0424"/>
    <w:rsid w:val="00FF042E"/>
    <w:rsid w:val="00FF044D"/>
    <w:rsid w:val="00FF0467"/>
    <w:rsid w:val="00FF04AD"/>
    <w:rsid w:val="00FF04B6"/>
    <w:rsid w:val="00FF04DD"/>
    <w:rsid w:val="00FF0569"/>
    <w:rsid w:val="00FF056B"/>
    <w:rsid w:val="00FF057C"/>
    <w:rsid w:val="00FF05B0"/>
    <w:rsid w:val="00FF05BE"/>
    <w:rsid w:val="00FF05DC"/>
    <w:rsid w:val="00FF05FA"/>
    <w:rsid w:val="00FF062C"/>
    <w:rsid w:val="00FF065F"/>
    <w:rsid w:val="00FF06CE"/>
    <w:rsid w:val="00FF06F2"/>
    <w:rsid w:val="00FF0720"/>
    <w:rsid w:val="00FF0770"/>
    <w:rsid w:val="00FF0775"/>
    <w:rsid w:val="00FF07C7"/>
    <w:rsid w:val="00FF082B"/>
    <w:rsid w:val="00FF0846"/>
    <w:rsid w:val="00FF089C"/>
    <w:rsid w:val="00FF08B5"/>
    <w:rsid w:val="00FF08E9"/>
    <w:rsid w:val="00FF0979"/>
    <w:rsid w:val="00FF097A"/>
    <w:rsid w:val="00FF097F"/>
    <w:rsid w:val="00FF099B"/>
    <w:rsid w:val="00FF099D"/>
    <w:rsid w:val="00FF09D2"/>
    <w:rsid w:val="00FF09D5"/>
    <w:rsid w:val="00FF0A21"/>
    <w:rsid w:val="00FF0A80"/>
    <w:rsid w:val="00FF0AB2"/>
    <w:rsid w:val="00FF0AE1"/>
    <w:rsid w:val="00FF0B59"/>
    <w:rsid w:val="00FF0B87"/>
    <w:rsid w:val="00FF0BC7"/>
    <w:rsid w:val="00FF0BD9"/>
    <w:rsid w:val="00FF0BE4"/>
    <w:rsid w:val="00FF0C04"/>
    <w:rsid w:val="00FF0C06"/>
    <w:rsid w:val="00FF0C14"/>
    <w:rsid w:val="00FF0C79"/>
    <w:rsid w:val="00FF0CB1"/>
    <w:rsid w:val="00FF0CBD"/>
    <w:rsid w:val="00FF0CC0"/>
    <w:rsid w:val="00FF0CCE"/>
    <w:rsid w:val="00FF0CEC"/>
    <w:rsid w:val="00FF0D01"/>
    <w:rsid w:val="00FF0D36"/>
    <w:rsid w:val="00FF0D4F"/>
    <w:rsid w:val="00FF0D9E"/>
    <w:rsid w:val="00FF0DA4"/>
    <w:rsid w:val="00FF0DA8"/>
    <w:rsid w:val="00FF0DC9"/>
    <w:rsid w:val="00FF0DF9"/>
    <w:rsid w:val="00FF0E06"/>
    <w:rsid w:val="00FF0E0D"/>
    <w:rsid w:val="00FF0E61"/>
    <w:rsid w:val="00FF0E91"/>
    <w:rsid w:val="00FF0EFD"/>
    <w:rsid w:val="00FF0F4E"/>
    <w:rsid w:val="00FF0F7E"/>
    <w:rsid w:val="00FF0F91"/>
    <w:rsid w:val="00FF0FA1"/>
    <w:rsid w:val="00FF106A"/>
    <w:rsid w:val="00FF10DF"/>
    <w:rsid w:val="00FF11C5"/>
    <w:rsid w:val="00FF11ED"/>
    <w:rsid w:val="00FF11FF"/>
    <w:rsid w:val="00FF1243"/>
    <w:rsid w:val="00FF1268"/>
    <w:rsid w:val="00FF12B2"/>
    <w:rsid w:val="00FF1301"/>
    <w:rsid w:val="00FF1311"/>
    <w:rsid w:val="00FF1315"/>
    <w:rsid w:val="00FF139C"/>
    <w:rsid w:val="00FF13D7"/>
    <w:rsid w:val="00FF13EE"/>
    <w:rsid w:val="00FF144B"/>
    <w:rsid w:val="00FF1478"/>
    <w:rsid w:val="00FF1491"/>
    <w:rsid w:val="00FF14C7"/>
    <w:rsid w:val="00FF14F2"/>
    <w:rsid w:val="00FF1581"/>
    <w:rsid w:val="00FF15CA"/>
    <w:rsid w:val="00FF15DA"/>
    <w:rsid w:val="00FF1654"/>
    <w:rsid w:val="00FF1678"/>
    <w:rsid w:val="00FF16A1"/>
    <w:rsid w:val="00FF16AD"/>
    <w:rsid w:val="00FF16D9"/>
    <w:rsid w:val="00FF1729"/>
    <w:rsid w:val="00FF176D"/>
    <w:rsid w:val="00FF176E"/>
    <w:rsid w:val="00FF17AF"/>
    <w:rsid w:val="00FF17C2"/>
    <w:rsid w:val="00FF180C"/>
    <w:rsid w:val="00FF182D"/>
    <w:rsid w:val="00FF1863"/>
    <w:rsid w:val="00FF186E"/>
    <w:rsid w:val="00FF18D8"/>
    <w:rsid w:val="00FF18F3"/>
    <w:rsid w:val="00FF19B6"/>
    <w:rsid w:val="00FF19BB"/>
    <w:rsid w:val="00FF19E8"/>
    <w:rsid w:val="00FF1A57"/>
    <w:rsid w:val="00FF1A8C"/>
    <w:rsid w:val="00FF1AD3"/>
    <w:rsid w:val="00FF1AFF"/>
    <w:rsid w:val="00FF1B2D"/>
    <w:rsid w:val="00FF1B38"/>
    <w:rsid w:val="00FF1B56"/>
    <w:rsid w:val="00FF1B7F"/>
    <w:rsid w:val="00FF1BAB"/>
    <w:rsid w:val="00FF1BC8"/>
    <w:rsid w:val="00FF1C2C"/>
    <w:rsid w:val="00FF1C47"/>
    <w:rsid w:val="00FF1D09"/>
    <w:rsid w:val="00FF1D0D"/>
    <w:rsid w:val="00FF1D37"/>
    <w:rsid w:val="00FF1D5A"/>
    <w:rsid w:val="00FF1D61"/>
    <w:rsid w:val="00FF1D91"/>
    <w:rsid w:val="00FF1D93"/>
    <w:rsid w:val="00FF1DC9"/>
    <w:rsid w:val="00FF1E0F"/>
    <w:rsid w:val="00FF1E44"/>
    <w:rsid w:val="00FF1E49"/>
    <w:rsid w:val="00FF1E4A"/>
    <w:rsid w:val="00FF1E8C"/>
    <w:rsid w:val="00FF1EB8"/>
    <w:rsid w:val="00FF1EFF"/>
    <w:rsid w:val="00FF1F45"/>
    <w:rsid w:val="00FF1F8E"/>
    <w:rsid w:val="00FF205C"/>
    <w:rsid w:val="00FF20A6"/>
    <w:rsid w:val="00FF20C3"/>
    <w:rsid w:val="00FF20D8"/>
    <w:rsid w:val="00FF2120"/>
    <w:rsid w:val="00FF2135"/>
    <w:rsid w:val="00FF2186"/>
    <w:rsid w:val="00FF22BA"/>
    <w:rsid w:val="00FF22D4"/>
    <w:rsid w:val="00FF22DD"/>
    <w:rsid w:val="00FF22EC"/>
    <w:rsid w:val="00FF2325"/>
    <w:rsid w:val="00FF2350"/>
    <w:rsid w:val="00FF2383"/>
    <w:rsid w:val="00FF23B5"/>
    <w:rsid w:val="00FF23C8"/>
    <w:rsid w:val="00FF2436"/>
    <w:rsid w:val="00FF2445"/>
    <w:rsid w:val="00FF2467"/>
    <w:rsid w:val="00FF246E"/>
    <w:rsid w:val="00FF2488"/>
    <w:rsid w:val="00FF24C1"/>
    <w:rsid w:val="00FF24D2"/>
    <w:rsid w:val="00FF251F"/>
    <w:rsid w:val="00FF26A4"/>
    <w:rsid w:val="00FF26C9"/>
    <w:rsid w:val="00FF2743"/>
    <w:rsid w:val="00FF274E"/>
    <w:rsid w:val="00FF2753"/>
    <w:rsid w:val="00FF27A7"/>
    <w:rsid w:val="00FF27CD"/>
    <w:rsid w:val="00FF27D7"/>
    <w:rsid w:val="00FF2822"/>
    <w:rsid w:val="00FF282A"/>
    <w:rsid w:val="00FF2835"/>
    <w:rsid w:val="00FF2844"/>
    <w:rsid w:val="00FF285A"/>
    <w:rsid w:val="00FF286F"/>
    <w:rsid w:val="00FF2884"/>
    <w:rsid w:val="00FF2889"/>
    <w:rsid w:val="00FF28CB"/>
    <w:rsid w:val="00FF2955"/>
    <w:rsid w:val="00FF296B"/>
    <w:rsid w:val="00FF296E"/>
    <w:rsid w:val="00FF29FE"/>
    <w:rsid w:val="00FF2A1F"/>
    <w:rsid w:val="00FF2A66"/>
    <w:rsid w:val="00FF2A77"/>
    <w:rsid w:val="00FF2A79"/>
    <w:rsid w:val="00FF2AAB"/>
    <w:rsid w:val="00FF2ACC"/>
    <w:rsid w:val="00FF2ACF"/>
    <w:rsid w:val="00FF2ADB"/>
    <w:rsid w:val="00FF2AE6"/>
    <w:rsid w:val="00FF2B0D"/>
    <w:rsid w:val="00FF2B68"/>
    <w:rsid w:val="00FF2B6A"/>
    <w:rsid w:val="00FF2B80"/>
    <w:rsid w:val="00FF2BD9"/>
    <w:rsid w:val="00FF2C06"/>
    <w:rsid w:val="00FF2C25"/>
    <w:rsid w:val="00FF2C72"/>
    <w:rsid w:val="00FF2C97"/>
    <w:rsid w:val="00FF2CC3"/>
    <w:rsid w:val="00FF2D04"/>
    <w:rsid w:val="00FF2D05"/>
    <w:rsid w:val="00FF2D3B"/>
    <w:rsid w:val="00FF2D51"/>
    <w:rsid w:val="00FF2D5C"/>
    <w:rsid w:val="00FF2DDD"/>
    <w:rsid w:val="00FF2DE2"/>
    <w:rsid w:val="00FF2E05"/>
    <w:rsid w:val="00FF2E1C"/>
    <w:rsid w:val="00FF2E51"/>
    <w:rsid w:val="00FF2E62"/>
    <w:rsid w:val="00FF2E6C"/>
    <w:rsid w:val="00FF2E6F"/>
    <w:rsid w:val="00FF2E83"/>
    <w:rsid w:val="00FF2E98"/>
    <w:rsid w:val="00FF2EAA"/>
    <w:rsid w:val="00FF2EBD"/>
    <w:rsid w:val="00FF2F4D"/>
    <w:rsid w:val="00FF2FBD"/>
    <w:rsid w:val="00FF2FD1"/>
    <w:rsid w:val="00FF2FDF"/>
    <w:rsid w:val="00FF3022"/>
    <w:rsid w:val="00FF302E"/>
    <w:rsid w:val="00FF3078"/>
    <w:rsid w:val="00FF30A3"/>
    <w:rsid w:val="00FF30F6"/>
    <w:rsid w:val="00FF3160"/>
    <w:rsid w:val="00FF31B8"/>
    <w:rsid w:val="00FF31FD"/>
    <w:rsid w:val="00FF31FE"/>
    <w:rsid w:val="00FF321B"/>
    <w:rsid w:val="00FF32F8"/>
    <w:rsid w:val="00FF3315"/>
    <w:rsid w:val="00FF3324"/>
    <w:rsid w:val="00FF3332"/>
    <w:rsid w:val="00FF3345"/>
    <w:rsid w:val="00FF3351"/>
    <w:rsid w:val="00FF338A"/>
    <w:rsid w:val="00FF33D5"/>
    <w:rsid w:val="00FF33F3"/>
    <w:rsid w:val="00FF3466"/>
    <w:rsid w:val="00FF349A"/>
    <w:rsid w:val="00FF349B"/>
    <w:rsid w:val="00FF34D6"/>
    <w:rsid w:val="00FF3511"/>
    <w:rsid w:val="00FF3541"/>
    <w:rsid w:val="00FF3555"/>
    <w:rsid w:val="00FF3565"/>
    <w:rsid w:val="00FF356B"/>
    <w:rsid w:val="00FF35EF"/>
    <w:rsid w:val="00FF35FA"/>
    <w:rsid w:val="00FF361E"/>
    <w:rsid w:val="00FF3622"/>
    <w:rsid w:val="00FF3645"/>
    <w:rsid w:val="00FF3676"/>
    <w:rsid w:val="00FF3695"/>
    <w:rsid w:val="00FF369B"/>
    <w:rsid w:val="00FF373D"/>
    <w:rsid w:val="00FF3770"/>
    <w:rsid w:val="00FF379B"/>
    <w:rsid w:val="00FF37EA"/>
    <w:rsid w:val="00FF3801"/>
    <w:rsid w:val="00FF3818"/>
    <w:rsid w:val="00FF385A"/>
    <w:rsid w:val="00FF3869"/>
    <w:rsid w:val="00FF3898"/>
    <w:rsid w:val="00FF38D7"/>
    <w:rsid w:val="00FF3912"/>
    <w:rsid w:val="00FF3945"/>
    <w:rsid w:val="00FF3955"/>
    <w:rsid w:val="00FF3959"/>
    <w:rsid w:val="00FF39C4"/>
    <w:rsid w:val="00FF39C8"/>
    <w:rsid w:val="00FF39C9"/>
    <w:rsid w:val="00FF3A4E"/>
    <w:rsid w:val="00FF3A79"/>
    <w:rsid w:val="00FF3A93"/>
    <w:rsid w:val="00FF3B54"/>
    <w:rsid w:val="00FF3B5F"/>
    <w:rsid w:val="00FF3B70"/>
    <w:rsid w:val="00FF3B9E"/>
    <w:rsid w:val="00FF3BA8"/>
    <w:rsid w:val="00FF3BB7"/>
    <w:rsid w:val="00FF3BBE"/>
    <w:rsid w:val="00FF3C04"/>
    <w:rsid w:val="00FF3C21"/>
    <w:rsid w:val="00FF3C7E"/>
    <w:rsid w:val="00FF3C8D"/>
    <w:rsid w:val="00FF3CB3"/>
    <w:rsid w:val="00FF3CCE"/>
    <w:rsid w:val="00FF3CD2"/>
    <w:rsid w:val="00FF3DCB"/>
    <w:rsid w:val="00FF3E0D"/>
    <w:rsid w:val="00FF3E65"/>
    <w:rsid w:val="00FF3E74"/>
    <w:rsid w:val="00FF3E86"/>
    <w:rsid w:val="00FF3EA4"/>
    <w:rsid w:val="00FF3EC9"/>
    <w:rsid w:val="00FF3EF7"/>
    <w:rsid w:val="00FF3F18"/>
    <w:rsid w:val="00FF3F3C"/>
    <w:rsid w:val="00FF3F83"/>
    <w:rsid w:val="00FF3FAE"/>
    <w:rsid w:val="00FF4026"/>
    <w:rsid w:val="00FF4058"/>
    <w:rsid w:val="00FF405D"/>
    <w:rsid w:val="00FF409B"/>
    <w:rsid w:val="00FF40AB"/>
    <w:rsid w:val="00FF4131"/>
    <w:rsid w:val="00FF4137"/>
    <w:rsid w:val="00FF4188"/>
    <w:rsid w:val="00FF41A0"/>
    <w:rsid w:val="00FF41AE"/>
    <w:rsid w:val="00FF4245"/>
    <w:rsid w:val="00FF425D"/>
    <w:rsid w:val="00FF4271"/>
    <w:rsid w:val="00FF4279"/>
    <w:rsid w:val="00FF42A3"/>
    <w:rsid w:val="00FF42FD"/>
    <w:rsid w:val="00FF4303"/>
    <w:rsid w:val="00FF4305"/>
    <w:rsid w:val="00FF431F"/>
    <w:rsid w:val="00FF4327"/>
    <w:rsid w:val="00FF437F"/>
    <w:rsid w:val="00FF43B3"/>
    <w:rsid w:val="00FF43D6"/>
    <w:rsid w:val="00FF43F4"/>
    <w:rsid w:val="00FF4416"/>
    <w:rsid w:val="00FF444C"/>
    <w:rsid w:val="00FF444F"/>
    <w:rsid w:val="00FF4462"/>
    <w:rsid w:val="00FF4476"/>
    <w:rsid w:val="00FF44AB"/>
    <w:rsid w:val="00FF44AE"/>
    <w:rsid w:val="00FF44EB"/>
    <w:rsid w:val="00FF4510"/>
    <w:rsid w:val="00FF45C4"/>
    <w:rsid w:val="00FF4615"/>
    <w:rsid w:val="00FF4633"/>
    <w:rsid w:val="00FF4664"/>
    <w:rsid w:val="00FF46B8"/>
    <w:rsid w:val="00FF46C9"/>
    <w:rsid w:val="00FF4759"/>
    <w:rsid w:val="00FF47A3"/>
    <w:rsid w:val="00FF47F6"/>
    <w:rsid w:val="00FF4801"/>
    <w:rsid w:val="00FF481C"/>
    <w:rsid w:val="00FF481E"/>
    <w:rsid w:val="00FF4856"/>
    <w:rsid w:val="00FF4934"/>
    <w:rsid w:val="00FF495C"/>
    <w:rsid w:val="00FF4983"/>
    <w:rsid w:val="00FF49BF"/>
    <w:rsid w:val="00FF49DB"/>
    <w:rsid w:val="00FF49FD"/>
    <w:rsid w:val="00FF4A1F"/>
    <w:rsid w:val="00FF4A75"/>
    <w:rsid w:val="00FF4ACF"/>
    <w:rsid w:val="00FF4AE9"/>
    <w:rsid w:val="00FF4AFB"/>
    <w:rsid w:val="00FF4B1D"/>
    <w:rsid w:val="00FF4B59"/>
    <w:rsid w:val="00FF4B8E"/>
    <w:rsid w:val="00FF4BBF"/>
    <w:rsid w:val="00FF4BD9"/>
    <w:rsid w:val="00FF4BF5"/>
    <w:rsid w:val="00FF4C7D"/>
    <w:rsid w:val="00FF4C7E"/>
    <w:rsid w:val="00FF4CC7"/>
    <w:rsid w:val="00FF4D61"/>
    <w:rsid w:val="00FF4DA6"/>
    <w:rsid w:val="00FF4E17"/>
    <w:rsid w:val="00FF4E33"/>
    <w:rsid w:val="00FF4E36"/>
    <w:rsid w:val="00FF4E51"/>
    <w:rsid w:val="00FF4E56"/>
    <w:rsid w:val="00FF4E59"/>
    <w:rsid w:val="00FF4E5C"/>
    <w:rsid w:val="00FF4EC1"/>
    <w:rsid w:val="00FF4EE9"/>
    <w:rsid w:val="00FF4EED"/>
    <w:rsid w:val="00FF4F05"/>
    <w:rsid w:val="00FF4F38"/>
    <w:rsid w:val="00FF4F52"/>
    <w:rsid w:val="00FF4F70"/>
    <w:rsid w:val="00FF4F7F"/>
    <w:rsid w:val="00FF4F8A"/>
    <w:rsid w:val="00FF5007"/>
    <w:rsid w:val="00FF5036"/>
    <w:rsid w:val="00FF5044"/>
    <w:rsid w:val="00FF5074"/>
    <w:rsid w:val="00FF50C5"/>
    <w:rsid w:val="00FF50EE"/>
    <w:rsid w:val="00FF5128"/>
    <w:rsid w:val="00FF518F"/>
    <w:rsid w:val="00FF51D9"/>
    <w:rsid w:val="00FF5202"/>
    <w:rsid w:val="00FF5245"/>
    <w:rsid w:val="00FF526D"/>
    <w:rsid w:val="00FF528A"/>
    <w:rsid w:val="00FF52D0"/>
    <w:rsid w:val="00FF5303"/>
    <w:rsid w:val="00FF530F"/>
    <w:rsid w:val="00FF5339"/>
    <w:rsid w:val="00FF534C"/>
    <w:rsid w:val="00FF5356"/>
    <w:rsid w:val="00FF53D7"/>
    <w:rsid w:val="00FF53E1"/>
    <w:rsid w:val="00FF5422"/>
    <w:rsid w:val="00FF544E"/>
    <w:rsid w:val="00FF5451"/>
    <w:rsid w:val="00FF546E"/>
    <w:rsid w:val="00FF54D1"/>
    <w:rsid w:val="00FF54E1"/>
    <w:rsid w:val="00FF5542"/>
    <w:rsid w:val="00FF5567"/>
    <w:rsid w:val="00FF558A"/>
    <w:rsid w:val="00FF55CC"/>
    <w:rsid w:val="00FF56AF"/>
    <w:rsid w:val="00FF56C9"/>
    <w:rsid w:val="00FF56D5"/>
    <w:rsid w:val="00FF5725"/>
    <w:rsid w:val="00FF5737"/>
    <w:rsid w:val="00FF5758"/>
    <w:rsid w:val="00FF576D"/>
    <w:rsid w:val="00FF583F"/>
    <w:rsid w:val="00FF585F"/>
    <w:rsid w:val="00FF5879"/>
    <w:rsid w:val="00FF58BA"/>
    <w:rsid w:val="00FF590F"/>
    <w:rsid w:val="00FF5922"/>
    <w:rsid w:val="00FF596E"/>
    <w:rsid w:val="00FF599B"/>
    <w:rsid w:val="00FF5A05"/>
    <w:rsid w:val="00FF5A07"/>
    <w:rsid w:val="00FF5A0C"/>
    <w:rsid w:val="00FF5A0E"/>
    <w:rsid w:val="00FF5A22"/>
    <w:rsid w:val="00FF5A37"/>
    <w:rsid w:val="00FF5A54"/>
    <w:rsid w:val="00FF5A8F"/>
    <w:rsid w:val="00FF5A9B"/>
    <w:rsid w:val="00FF5AC4"/>
    <w:rsid w:val="00FF5AF8"/>
    <w:rsid w:val="00FF5B58"/>
    <w:rsid w:val="00FF5B91"/>
    <w:rsid w:val="00FF5BAA"/>
    <w:rsid w:val="00FF5BF0"/>
    <w:rsid w:val="00FF5C19"/>
    <w:rsid w:val="00FF5C23"/>
    <w:rsid w:val="00FF5C26"/>
    <w:rsid w:val="00FF5C33"/>
    <w:rsid w:val="00FF5C58"/>
    <w:rsid w:val="00FF5C6E"/>
    <w:rsid w:val="00FF5CB9"/>
    <w:rsid w:val="00FF5CE1"/>
    <w:rsid w:val="00FF5CFF"/>
    <w:rsid w:val="00FF5DE2"/>
    <w:rsid w:val="00FF5DEE"/>
    <w:rsid w:val="00FF5DEF"/>
    <w:rsid w:val="00FF5E0C"/>
    <w:rsid w:val="00FF5E32"/>
    <w:rsid w:val="00FF5E4F"/>
    <w:rsid w:val="00FF5E57"/>
    <w:rsid w:val="00FF5E7E"/>
    <w:rsid w:val="00FF5EC2"/>
    <w:rsid w:val="00FF5EC4"/>
    <w:rsid w:val="00FF5ECB"/>
    <w:rsid w:val="00FF5EDA"/>
    <w:rsid w:val="00FF5F1E"/>
    <w:rsid w:val="00FF5F35"/>
    <w:rsid w:val="00FF5F3A"/>
    <w:rsid w:val="00FF5F45"/>
    <w:rsid w:val="00FF5F61"/>
    <w:rsid w:val="00FF5F7F"/>
    <w:rsid w:val="00FF5F89"/>
    <w:rsid w:val="00FF5F8D"/>
    <w:rsid w:val="00FF5FBE"/>
    <w:rsid w:val="00FF5FE8"/>
    <w:rsid w:val="00FF6027"/>
    <w:rsid w:val="00FF6043"/>
    <w:rsid w:val="00FF609D"/>
    <w:rsid w:val="00FF60AB"/>
    <w:rsid w:val="00FF6111"/>
    <w:rsid w:val="00FF612B"/>
    <w:rsid w:val="00FF6189"/>
    <w:rsid w:val="00FF61AC"/>
    <w:rsid w:val="00FF61AF"/>
    <w:rsid w:val="00FF6224"/>
    <w:rsid w:val="00FF6265"/>
    <w:rsid w:val="00FF6292"/>
    <w:rsid w:val="00FF6298"/>
    <w:rsid w:val="00FF62A4"/>
    <w:rsid w:val="00FF62B2"/>
    <w:rsid w:val="00FF62CF"/>
    <w:rsid w:val="00FF62DD"/>
    <w:rsid w:val="00FF636E"/>
    <w:rsid w:val="00FF63A8"/>
    <w:rsid w:val="00FF63F0"/>
    <w:rsid w:val="00FF642A"/>
    <w:rsid w:val="00FF6444"/>
    <w:rsid w:val="00FF6491"/>
    <w:rsid w:val="00FF6497"/>
    <w:rsid w:val="00FF64A6"/>
    <w:rsid w:val="00FF64BC"/>
    <w:rsid w:val="00FF6516"/>
    <w:rsid w:val="00FF6519"/>
    <w:rsid w:val="00FF6622"/>
    <w:rsid w:val="00FF6625"/>
    <w:rsid w:val="00FF6632"/>
    <w:rsid w:val="00FF6665"/>
    <w:rsid w:val="00FF6682"/>
    <w:rsid w:val="00FF6698"/>
    <w:rsid w:val="00FF66A5"/>
    <w:rsid w:val="00FF66E6"/>
    <w:rsid w:val="00FF66EA"/>
    <w:rsid w:val="00FF66F9"/>
    <w:rsid w:val="00FF6700"/>
    <w:rsid w:val="00FF6744"/>
    <w:rsid w:val="00FF677B"/>
    <w:rsid w:val="00FF67C6"/>
    <w:rsid w:val="00FF67CA"/>
    <w:rsid w:val="00FF67E3"/>
    <w:rsid w:val="00FF6897"/>
    <w:rsid w:val="00FF68CD"/>
    <w:rsid w:val="00FF68EF"/>
    <w:rsid w:val="00FF6903"/>
    <w:rsid w:val="00FF6980"/>
    <w:rsid w:val="00FF6991"/>
    <w:rsid w:val="00FF69AC"/>
    <w:rsid w:val="00FF69C1"/>
    <w:rsid w:val="00FF6A26"/>
    <w:rsid w:val="00FF6AE4"/>
    <w:rsid w:val="00FF6AF0"/>
    <w:rsid w:val="00FF6B27"/>
    <w:rsid w:val="00FF6B42"/>
    <w:rsid w:val="00FF6B65"/>
    <w:rsid w:val="00FF6BEA"/>
    <w:rsid w:val="00FF6BF0"/>
    <w:rsid w:val="00FF6BF8"/>
    <w:rsid w:val="00FF6C0E"/>
    <w:rsid w:val="00FF6C2B"/>
    <w:rsid w:val="00FF6C74"/>
    <w:rsid w:val="00FF6C9C"/>
    <w:rsid w:val="00FF6CD7"/>
    <w:rsid w:val="00FF6D22"/>
    <w:rsid w:val="00FF6D34"/>
    <w:rsid w:val="00FF6D57"/>
    <w:rsid w:val="00FF6E31"/>
    <w:rsid w:val="00FF6E42"/>
    <w:rsid w:val="00FF6E77"/>
    <w:rsid w:val="00FF6ECC"/>
    <w:rsid w:val="00FF6F0D"/>
    <w:rsid w:val="00FF6F6A"/>
    <w:rsid w:val="00FF6F70"/>
    <w:rsid w:val="00FF6F78"/>
    <w:rsid w:val="00FF6F7F"/>
    <w:rsid w:val="00FF6F83"/>
    <w:rsid w:val="00FF7019"/>
    <w:rsid w:val="00FF7030"/>
    <w:rsid w:val="00FF7067"/>
    <w:rsid w:val="00FF7105"/>
    <w:rsid w:val="00FF710B"/>
    <w:rsid w:val="00FF711B"/>
    <w:rsid w:val="00FF7127"/>
    <w:rsid w:val="00FF7131"/>
    <w:rsid w:val="00FF7168"/>
    <w:rsid w:val="00FF717D"/>
    <w:rsid w:val="00FF71CF"/>
    <w:rsid w:val="00FF71DB"/>
    <w:rsid w:val="00FF71F7"/>
    <w:rsid w:val="00FF721C"/>
    <w:rsid w:val="00FF725C"/>
    <w:rsid w:val="00FF7268"/>
    <w:rsid w:val="00FF726C"/>
    <w:rsid w:val="00FF72CE"/>
    <w:rsid w:val="00FF7344"/>
    <w:rsid w:val="00FF737F"/>
    <w:rsid w:val="00FF73C5"/>
    <w:rsid w:val="00FF7437"/>
    <w:rsid w:val="00FF7483"/>
    <w:rsid w:val="00FF7499"/>
    <w:rsid w:val="00FF74C2"/>
    <w:rsid w:val="00FF74CA"/>
    <w:rsid w:val="00FF74D8"/>
    <w:rsid w:val="00FF74FD"/>
    <w:rsid w:val="00FF7554"/>
    <w:rsid w:val="00FF757C"/>
    <w:rsid w:val="00FF757F"/>
    <w:rsid w:val="00FF75AC"/>
    <w:rsid w:val="00FF75DC"/>
    <w:rsid w:val="00FF75DF"/>
    <w:rsid w:val="00FF7690"/>
    <w:rsid w:val="00FF76BA"/>
    <w:rsid w:val="00FF7719"/>
    <w:rsid w:val="00FF778F"/>
    <w:rsid w:val="00FF7795"/>
    <w:rsid w:val="00FF77C5"/>
    <w:rsid w:val="00FF77C9"/>
    <w:rsid w:val="00FF77D3"/>
    <w:rsid w:val="00FF7809"/>
    <w:rsid w:val="00FF780B"/>
    <w:rsid w:val="00FF784C"/>
    <w:rsid w:val="00FF7879"/>
    <w:rsid w:val="00FF78BA"/>
    <w:rsid w:val="00FF790D"/>
    <w:rsid w:val="00FF7984"/>
    <w:rsid w:val="00FF7988"/>
    <w:rsid w:val="00FF79AC"/>
    <w:rsid w:val="00FF79F6"/>
    <w:rsid w:val="00FF79FE"/>
    <w:rsid w:val="00FF7A28"/>
    <w:rsid w:val="00FF7A2C"/>
    <w:rsid w:val="00FF7A5E"/>
    <w:rsid w:val="00FF7A74"/>
    <w:rsid w:val="00FF7AA4"/>
    <w:rsid w:val="00FF7B0E"/>
    <w:rsid w:val="00FF7B27"/>
    <w:rsid w:val="00FF7B29"/>
    <w:rsid w:val="00FF7B59"/>
    <w:rsid w:val="00FF7B5C"/>
    <w:rsid w:val="00FF7C30"/>
    <w:rsid w:val="00FF7C6C"/>
    <w:rsid w:val="00FF7CC2"/>
    <w:rsid w:val="00FF7CCD"/>
    <w:rsid w:val="00FF7D2D"/>
    <w:rsid w:val="00FF7D7D"/>
    <w:rsid w:val="00FF7DD8"/>
    <w:rsid w:val="00FF7DE9"/>
    <w:rsid w:val="00FF7DEB"/>
    <w:rsid w:val="00FF7E04"/>
    <w:rsid w:val="00FF7E11"/>
    <w:rsid w:val="00FF7E70"/>
    <w:rsid w:val="00FF7E8C"/>
    <w:rsid w:val="00FF7EAA"/>
    <w:rsid w:val="00FF7F20"/>
    <w:rsid w:val="00FF7F8C"/>
    <w:rsid w:val="00FF7FA3"/>
    <w:rsid w:val="00FF7FA7"/>
    <w:rsid w:val="00FF7FAC"/>
    <w:rsid w:val="00FF7FFD"/>
    <w:rsid w:val="08000028"/>
    <w:rsid w:val="080000EA"/>
    <w:rsid w:val="080000F1"/>
    <w:rsid w:val="0800011E"/>
    <w:rsid w:val="08000184"/>
    <w:rsid w:val="080001F2"/>
    <w:rsid w:val="08000280"/>
    <w:rsid w:val="080002AA"/>
    <w:rsid w:val="080002FB"/>
    <w:rsid w:val="08000300"/>
    <w:rsid w:val="0800031F"/>
    <w:rsid w:val="080003A2"/>
    <w:rsid w:val="08000411"/>
    <w:rsid w:val="08000412"/>
    <w:rsid w:val="0800049A"/>
    <w:rsid w:val="080004AB"/>
    <w:rsid w:val="08000500"/>
    <w:rsid w:val="0800053C"/>
    <w:rsid w:val="080005BC"/>
    <w:rsid w:val="0800067F"/>
    <w:rsid w:val="08000691"/>
    <w:rsid w:val="08000737"/>
    <w:rsid w:val="08000840"/>
    <w:rsid w:val="0800093B"/>
    <w:rsid w:val="08000997"/>
    <w:rsid w:val="080009F5"/>
    <w:rsid w:val="08000A1F"/>
    <w:rsid w:val="08000A5E"/>
    <w:rsid w:val="08000BC7"/>
    <w:rsid w:val="08000D02"/>
    <w:rsid w:val="08000D1C"/>
    <w:rsid w:val="08000D49"/>
    <w:rsid w:val="08000D5B"/>
    <w:rsid w:val="08000E07"/>
    <w:rsid w:val="08000E12"/>
    <w:rsid w:val="08000E31"/>
    <w:rsid w:val="08000E58"/>
    <w:rsid w:val="08000EA7"/>
    <w:rsid w:val="08000F08"/>
    <w:rsid w:val="08000F48"/>
    <w:rsid w:val="08000F4A"/>
    <w:rsid w:val="08001043"/>
    <w:rsid w:val="0800105E"/>
    <w:rsid w:val="08001108"/>
    <w:rsid w:val="08001189"/>
    <w:rsid w:val="08001196"/>
    <w:rsid w:val="080011C5"/>
    <w:rsid w:val="0800120A"/>
    <w:rsid w:val="0800127F"/>
    <w:rsid w:val="080012EB"/>
    <w:rsid w:val="0800130F"/>
    <w:rsid w:val="0800132F"/>
    <w:rsid w:val="0800138A"/>
    <w:rsid w:val="0800139A"/>
    <w:rsid w:val="080013D4"/>
    <w:rsid w:val="080013F2"/>
    <w:rsid w:val="080013FC"/>
    <w:rsid w:val="0800144D"/>
    <w:rsid w:val="08001459"/>
    <w:rsid w:val="080014A9"/>
    <w:rsid w:val="080014BE"/>
    <w:rsid w:val="08001517"/>
    <w:rsid w:val="080015AB"/>
    <w:rsid w:val="080015F3"/>
    <w:rsid w:val="08001621"/>
    <w:rsid w:val="0800162C"/>
    <w:rsid w:val="0800166C"/>
    <w:rsid w:val="080016AE"/>
    <w:rsid w:val="08001765"/>
    <w:rsid w:val="08001829"/>
    <w:rsid w:val="080018A8"/>
    <w:rsid w:val="080018CB"/>
    <w:rsid w:val="0800190F"/>
    <w:rsid w:val="08001949"/>
    <w:rsid w:val="0800195D"/>
    <w:rsid w:val="080019D5"/>
    <w:rsid w:val="08001A70"/>
    <w:rsid w:val="08001AA3"/>
    <w:rsid w:val="08001B21"/>
    <w:rsid w:val="08001BA6"/>
    <w:rsid w:val="08001C8B"/>
    <w:rsid w:val="08001D01"/>
    <w:rsid w:val="08001E14"/>
    <w:rsid w:val="08001E2B"/>
    <w:rsid w:val="08001E83"/>
    <w:rsid w:val="08001ED4"/>
    <w:rsid w:val="08001F5B"/>
    <w:rsid w:val="08001FAF"/>
    <w:rsid w:val="0800204A"/>
    <w:rsid w:val="0800204F"/>
    <w:rsid w:val="08002091"/>
    <w:rsid w:val="080020E8"/>
    <w:rsid w:val="080020F4"/>
    <w:rsid w:val="08002115"/>
    <w:rsid w:val="08002120"/>
    <w:rsid w:val="0800216F"/>
    <w:rsid w:val="080021C8"/>
    <w:rsid w:val="080022E2"/>
    <w:rsid w:val="080022E3"/>
    <w:rsid w:val="08002308"/>
    <w:rsid w:val="0800234A"/>
    <w:rsid w:val="080023CE"/>
    <w:rsid w:val="08002517"/>
    <w:rsid w:val="0800257A"/>
    <w:rsid w:val="08002592"/>
    <w:rsid w:val="08002700"/>
    <w:rsid w:val="0800288C"/>
    <w:rsid w:val="080028A1"/>
    <w:rsid w:val="080028DB"/>
    <w:rsid w:val="080028DF"/>
    <w:rsid w:val="0800292C"/>
    <w:rsid w:val="08002943"/>
    <w:rsid w:val="08002A48"/>
    <w:rsid w:val="08002AE5"/>
    <w:rsid w:val="08002AF7"/>
    <w:rsid w:val="08002B71"/>
    <w:rsid w:val="08002B99"/>
    <w:rsid w:val="08002D58"/>
    <w:rsid w:val="08002E2D"/>
    <w:rsid w:val="08002EF8"/>
    <w:rsid w:val="08002F1D"/>
    <w:rsid w:val="08002F2D"/>
    <w:rsid w:val="08002F73"/>
    <w:rsid w:val="08002FA1"/>
    <w:rsid w:val="08002FAD"/>
    <w:rsid w:val="08003036"/>
    <w:rsid w:val="08003047"/>
    <w:rsid w:val="080030EB"/>
    <w:rsid w:val="0800323A"/>
    <w:rsid w:val="08003364"/>
    <w:rsid w:val="08003367"/>
    <w:rsid w:val="0800336D"/>
    <w:rsid w:val="0800337A"/>
    <w:rsid w:val="0800341D"/>
    <w:rsid w:val="080034F7"/>
    <w:rsid w:val="080035E0"/>
    <w:rsid w:val="08003635"/>
    <w:rsid w:val="08003649"/>
    <w:rsid w:val="080037A0"/>
    <w:rsid w:val="080037CF"/>
    <w:rsid w:val="08003859"/>
    <w:rsid w:val="080038A3"/>
    <w:rsid w:val="08003940"/>
    <w:rsid w:val="08003A09"/>
    <w:rsid w:val="08003A20"/>
    <w:rsid w:val="08003AAC"/>
    <w:rsid w:val="08003AE2"/>
    <w:rsid w:val="08003CAE"/>
    <w:rsid w:val="08003D24"/>
    <w:rsid w:val="08003D3F"/>
    <w:rsid w:val="08003D4D"/>
    <w:rsid w:val="08003DFA"/>
    <w:rsid w:val="08003E12"/>
    <w:rsid w:val="08003E2D"/>
    <w:rsid w:val="08003E38"/>
    <w:rsid w:val="08003E3C"/>
    <w:rsid w:val="08003F15"/>
    <w:rsid w:val="08003F66"/>
    <w:rsid w:val="08003FB0"/>
    <w:rsid w:val="0800404B"/>
    <w:rsid w:val="08004142"/>
    <w:rsid w:val="0800424F"/>
    <w:rsid w:val="0800429F"/>
    <w:rsid w:val="0800437E"/>
    <w:rsid w:val="080043BE"/>
    <w:rsid w:val="0800447D"/>
    <w:rsid w:val="08004484"/>
    <w:rsid w:val="0800460D"/>
    <w:rsid w:val="0800462E"/>
    <w:rsid w:val="08004653"/>
    <w:rsid w:val="08004664"/>
    <w:rsid w:val="08004716"/>
    <w:rsid w:val="08004767"/>
    <w:rsid w:val="080047C3"/>
    <w:rsid w:val="080048B9"/>
    <w:rsid w:val="080049B2"/>
    <w:rsid w:val="080049ED"/>
    <w:rsid w:val="080049F7"/>
    <w:rsid w:val="08004A06"/>
    <w:rsid w:val="08004A29"/>
    <w:rsid w:val="08004B3D"/>
    <w:rsid w:val="08004B3E"/>
    <w:rsid w:val="08004B6B"/>
    <w:rsid w:val="08004BBA"/>
    <w:rsid w:val="08004CAC"/>
    <w:rsid w:val="08004CC4"/>
    <w:rsid w:val="08004D06"/>
    <w:rsid w:val="08004D52"/>
    <w:rsid w:val="08004D70"/>
    <w:rsid w:val="08004E15"/>
    <w:rsid w:val="08004E26"/>
    <w:rsid w:val="08005051"/>
    <w:rsid w:val="0800509F"/>
    <w:rsid w:val="08005203"/>
    <w:rsid w:val="080052A7"/>
    <w:rsid w:val="08005393"/>
    <w:rsid w:val="080053DA"/>
    <w:rsid w:val="08005428"/>
    <w:rsid w:val="080056BF"/>
    <w:rsid w:val="080056FB"/>
    <w:rsid w:val="08005713"/>
    <w:rsid w:val="08005824"/>
    <w:rsid w:val="0800585C"/>
    <w:rsid w:val="0800590F"/>
    <w:rsid w:val="08005925"/>
    <w:rsid w:val="080059A2"/>
    <w:rsid w:val="08005A10"/>
    <w:rsid w:val="08005A4A"/>
    <w:rsid w:val="08005AE1"/>
    <w:rsid w:val="08005BD3"/>
    <w:rsid w:val="08005C84"/>
    <w:rsid w:val="08005C94"/>
    <w:rsid w:val="08005D14"/>
    <w:rsid w:val="08005D48"/>
    <w:rsid w:val="08005D99"/>
    <w:rsid w:val="08005E17"/>
    <w:rsid w:val="08005E4F"/>
    <w:rsid w:val="08005E6A"/>
    <w:rsid w:val="08005F59"/>
    <w:rsid w:val="0800607B"/>
    <w:rsid w:val="080061A8"/>
    <w:rsid w:val="080061FA"/>
    <w:rsid w:val="080063E4"/>
    <w:rsid w:val="080063F9"/>
    <w:rsid w:val="08006606"/>
    <w:rsid w:val="0800660B"/>
    <w:rsid w:val="08006629"/>
    <w:rsid w:val="08006644"/>
    <w:rsid w:val="08006678"/>
    <w:rsid w:val="080066A8"/>
    <w:rsid w:val="08006818"/>
    <w:rsid w:val="080068AF"/>
    <w:rsid w:val="08006904"/>
    <w:rsid w:val="0800692F"/>
    <w:rsid w:val="080069A2"/>
    <w:rsid w:val="080069CE"/>
    <w:rsid w:val="080069E6"/>
    <w:rsid w:val="080069F5"/>
    <w:rsid w:val="08006A6E"/>
    <w:rsid w:val="08006A88"/>
    <w:rsid w:val="08006CB2"/>
    <w:rsid w:val="08006CC8"/>
    <w:rsid w:val="08006DC9"/>
    <w:rsid w:val="08006EAA"/>
    <w:rsid w:val="08006EF8"/>
    <w:rsid w:val="08006EF9"/>
    <w:rsid w:val="08006F25"/>
    <w:rsid w:val="08006F7A"/>
    <w:rsid w:val="08006F90"/>
    <w:rsid w:val="08006F9E"/>
    <w:rsid w:val="08006FF9"/>
    <w:rsid w:val="08007034"/>
    <w:rsid w:val="0800715C"/>
    <w:rsid w:val="080071F4"/>
    <w:rsid w:val="08007212"/>
    <w:rsid w:val="0800724C"/>
    <w:rsid w:val="0800727B"/>
    <w:rsid w:val="0800727F"/>
    <w:rsid w:val="08007291"/>
    <w:rsid w:val="080072D5"/>
    <w:rsid w:val="08007307"/>
    <w:rsid w:val="08007310"/>
    <w:rsid w:val="08007391"/>
    <w:rsid w:val="080073B3"/>
    <w:rsid w:val="08007420"/>
    <w:rsid w:val="0800746D"/>
    <w:rsid w:val="08007475"/>
    <w:rsid w:val="08007495"/>
    <w:rsid w:val="080074FD"/>
    <w:rsid w:val="0800753C"/>
    <w:rsid w:val="080075B2"/>
    <w:rsid w:val="080075D2"/>
    <w:rsid w:val="080076F5"/>
    <w:rsid w:val="08007774"/>
    <w:rsid w:val="08007841"/>
    <w:rsid w:val="080079BB"/>
    <w:rsid w:val="08007A38"/>
    <w:rsid w:val="08007ACF"/>
    <w:rsid w:val="08007B02"/>
    <w:rsid w:val="08007C91"/>
    <w:rsid w:val="08007CB4"/>
    <w:rsid w:val="08007DDF"/>
    <w:rsid w:val="08007E6D"/>
    <w:rsid w:val="08007E95"/>
    <w:rsid w:val="08007F46"/>
    <w:rsid w:val="08007F58"/>
    <w:rsid w:val="08007F78"/>
    <w:rsid w:val="08007FA6"/>
    <w:rsid w:val="08007FA9"/>
    <w:rsid w:val="08010022"/>
    <w:rsid w:val="0801002C"/>
    <w:rsid w:val="0801006B"/>
    <w:rsid w:val="080101C5"/>
    <w:rsid w:val="080101E3"/>
    <w:rsid w:val="0801021C"/>
    <w:rsid w:val="08010230"/>
    <w:rsid w:val="08010241"/>
    <w:rsid w:val="08010253"/>
    <w:rsid w:val="080102CC"/>
    <w:rsid w:val="080103C5"/>
    <w:rsid w:val="0801043E"/>
    <w:rsid w:val="080104BE"/>
    <w:rsid w:val="08010591"/>
    <w:rsid w:val="08010656"/>
    <w:rsid w:val="080106A2"/>
    <w:rsid w:val="080106CA"/>
    <w:rsid w:val="080106E1"/>
    <w:rsid w:val="080106F1"/>
    <w:rsid w:val="080106FD"/>
    <w:rsid w:val="0801071E"/>
    <w:rsid w:val="080107D5"/>
    <w:rsid w:val="08010894"/>
    <w:rsid w:val="0801092C"/>
    <w:rsid w:val="0801093B"/>
    <w:rsid w:val="080109CF"/>
    <w:rsid w:val="08010A4A"/>
    <w:rsid w:val="08010A87"/>
    <w:rsid w:val="08010B5B"/>
    <w:rsid w:val="08010BBA"/>
    <w:rsid w:val="08010CA9"/>
    <w:rsid w:val="08010CD9"/>
    <w:rsid w:val="08010CFD"/>
    <w:rsid w:val="08010E23"/>
    <w:rsid w:val="08010E7E"/>
    <w:rsid w:val="08010FE4"/>
    <w:rsid w:val="0801100E"/>
    <w:rsid w:val="08011080"/>
    <w:rsid w:val="08011087"/>
    <w:rsid w:val="080110AE"/>
    <w:rsid w:val="080110FB"/>
    <w:rsid w:val="08011129"/>
    <w:rsid w:val="08011157"/>
    <w:rsid w:val="08011171"/>
    <w:rsid w:val="0801125F"/>
    <w:rsid w:val="0801127C"/>
    <w:rsid w:val="080112F4"/>
    <w:rsid w:val="0801132A"/>
    <w:rsid w:val="0801139E"/>
    <w:rsid w:val="08011461"/>
    <w:rsid w:val="080116D4"/>
    <w:rsid w:val="08011705"/>
    <w:rsid w:val="0801173F"/>
    <w:rsid w:val="08011768"/>
    <w:rsid w:val="080117BB"/>
    <w:rsid w:val="08011803"/>
    <w:rsid w:val="080118AF"/>
    <w:rsid w:val="080118FA"/>
    <w:rsid w:val="0801195C"/>
    <w:rsid w:val="080119E4"/>
    <w:rsid w:val="08011A31"/>
    <w:rsid w:val="08011A41"/>
    <w:rsid w:val="08011A50"/>
    <w:rsid w:val="08011A76"/>
    <w:rsid w:val="08011A8C"/>
    <w:rsid w:val="08011B15"/>
    <w:rsid w:val="08011B7D"/>
    <w:rsid w:val="08011C08"/>
    <w:rsid w:val="08011C15"/>
    <w:rsid w:val="08011CA7"/>
    <w:rsid w:val="08011CF2"/>
    <w:rsid w:val="08011D45"/>
    <w:rsid w:val="08011D7A"/>
    <w:rsid w:val="08011E41"/>
    <w:rsid w:val="08011E5A"/>
    <w:rsid w:val="08011F2E"/>
    <w:rsid w:val="08011F68"/>
    <w:rsid w:val="08011F75"/>
    <w:rsid w:val="08011F78"/>
    <w:rsid w:val="0801201C"/>
    <w:rsid w:val="08012085"/>
    <w:rsid w:val="080120A6"/>
    <w:rsid w:val="08012117"/>
    <w:rsid w:val="0801212A"/>
    <w:rsid w:val="08012137"/>
    <w:rsid w:val="08012308"/>
    <w:rsid w:val="080124FF"/>
    <w:rsid w:val="08012501"/>
    <w:rsid w:val="08012653"/>
    <w:rsid w:val="080126C1"/>
    <w:rsid w:val="080126CD"/>
    <w:rsid w:val="080126EE"/>
    <w:rsid w:val="080127C3"/>
    <w:rsid w:val="0801285B"/>
    <w:rsid w:val="0801288C"/>
    <w:rsid w:val="08012897"/>
    <w:rsid w:val="080128AA"/>
    <w:rsid w:val="08012946"/>
    <w:rsid w:val="08012952"/>
    <w:rsid w:val="080129A1"/>
    <w:rsid w:val="08012A36"/>
    <w:rsid w:val="08012A7B"/>
    <w:rsid w:val="08012AE4"/>
    <w:rsid w:val="08012B61"/>
    <w:rsid w:val="08012B96"/>
    <w:rsid w:val="08012BD6"/>
    <w:rsid w:val="08012BF6"/>
    <w:rsid w:val="08012BFF"/>
    <w:rsid w:val="08012C6D"/>
    <w:rsid w:val="08012D02"/>
    <w:rsid w:val="08012D30"/>
    <w:rsid w:val="08012D9F"/>
    <w:rsid w:val="08012DC9"/>
    <w:rsid w:val="08012DF5"/>
    <w:rsid w:val="08012DFE"/>
    <w:rsid w:val="08012E22"/>
    <w:rsid w:val="08012F2A"/>
    <w:rsid w:val="08012FFD"/>
    <w:rsid w:val="08013028"/>
    <w:rsid w:val="0801304D"/>
    <w:rsid w:val="0801305D"/>
    <w:rsid w:val="08013069"/>
    <w:rsid w:val="08013070"/>
    <w:rsid w:val="080130CD"/>
    <w:rsid w:val="080130F9"/>
    <w:rsid w:val="08013123"/>
    <w:rsid w:val="08013131"/>
    <w:rsid w:val="0801318C"/>
    <w:rsid w:val="0801324E"/>
    <w:rsid w:val="08013266"/>
    <w:rsid w:val="0801329C"/>
    <w:rsid w:val="080132EB"/>
    <w:rsid w:val="08013346"/>
    <w:rsid w:val="08013354"/>
    <w:rsid w:val="080134ED"/>
    <w:rsid w:val="080134FB"/>
    <w:rsid w:val="080135DC"/>
    <w:rsid w:val="08013627"/>
    <w:rsid w:val="080136F8"/>
    <w:rsid w:val="08013721"/>
    <w:rsid w:val="080138E1"/>
    <w:rsid w:val="08013906"/>
    <w:rsid w:val="0801390C"/>
    <w:rsid w:val="08013960"/>
    <w:rsid w:val="08013A5C"/>
    <w:rsid w:val="08013AA3"/>
    <w:rsid w:val="08013AAC"/>
    <w:rsid w:val="08013D02"/>
    <w:rsid w:val="08013DD5"/>
    <w:rsid w:val="08013E2B"/>
    <w:rsid w:val="08013E54"/>
    <w:rsid w:val="08013E83"/>
    <w:rsid w:val="08013FF8"/>
    <w:rsid w:val="080140E9"/>
    <w:rsid w:val="08014155"/>
    <w:rsid w:val="08014236"/>
    <w:rsid w:val="08014248"/>
    <w:rsid w:val="080142C1"/>
    <w:rsid w:val="08014393"/>
    <w:rsid w:val="08014458"/>
    <w:rsid w:val="0801448B"/>
    <w:rsid w:val="080144C1"/>
    <w:rsid w:val="080145AA"/>
    <w:rsid w:val="080145FE"/>
    <w:rsid w:val="08014767"/>
    <w:rsid w:val="08014842"/>
    <w:rsid w:val="08014969"/>
    <w:rsid w:val="080149EB"/>
    <w:rsid w:val="08014A0C"/>
    <w:rsid w:val="08014A42"/>
    <w:rsid w:val="08014A5A"/>
    <w:rsid w:val="08014BA5"/>
    <w:rsid w:val="08014BBF"/>
    <w:rsid w:val="08014C48"/>
    <w:rsid w:val="08014C69"/>
    <w:rsid w:val="08014C8A"/>
    <w:rsid w:val="08014CC8"/>
    <w:rsid w:val="08014D00"/>
    <w:rsid w:val="08014D55"/>
    <w:rsid w:val="08014D80"/>
    <w:rsid w:val="08014DDA"/>
    <w:rsid w:val="08014DDF"/>
    <w:rsid w:val="08014F77"/>
    <w:rsid w:val="08015045"/>
    <w:rsid w:val="0801508A"/>
    <w:rsid w:val="080150C6"/>
    <w:rsid w:val="08015154"/>
    <w:rsid w:val="080151B7"/>
    <w:rsid w:val="080151B8"/>
    <w:rsid w:val="080151C8"/>
    <w:rsid w:val="080151D4"/>
    <w:rsid w:val="0801522B"/>
    <w:rsid w:val="0801522E"/>
    <w:rsid w:val="0801523E"/>
    <w:rsid w:val="08015251"/>
    <w:rsid w:val="08015286"/>
    <w:rsid w:val="080152B5"/>
    <w:rsid w:val="08015371"/>
    <w:rsid w:val="08015383"/>
    <w:rsid w:val="08015385"/>
    <w:rsid w:val="0801543C"/>
    <w:rsid w:val="0801544E"/>
    <w:rsid w:val="08015564"/>
    <w:rsid w:val="08015640"/>
    <w:rsid w:val="080156B8"/>
    <w:rsid w:val="08015733"/>
    <w:rsid w:val="08015755"/>
    <w:rsid w:val="080157A2"/>
    <w:rsid w:val="08015800"/>
    <w:rsid w:val="08015829"/>
    <w:rsid w:val="08015929"/>
    <w:rsid w:val="08015A10"/>
    <w:rsid w:val="08015A40"/>
    <w:rsid w:val="08015A6D"/>
    <w:rsid w:val="08015B03"/>
    <w:rsid w:val="08015B1C"/>
    <w:rsid w:val="08015B4F"/>
    <w:rsid w:val="08015BF2"/>
    <w:rsid w:val="08015D84"/>
    <w:rsid w:val="08015D94"/>
    <w:rsid w:val="08015DB3"/>
    <w:rsid w:val="08015E61"/>
    <w:rsid w:val="08015EE4"/>
    <w:rsid w:val="08015F7C"/>
    <w:rsid w:val="08015FB6"/>
    <w:rsid w:val="08015FD9"/>
    <w:rsid w:val="08015FE6"/>
    <w:rsid w:val="08016071"/>
    <w:rsid w:val="08016191"/>
    <w:rsid w:val="0801619A"/>
    <w:rsid w:val="080161F1"/>
    <w:rsid w:val="08016457"/>
    <w:rsid w:val="08016563"/>
    <w:rsid w:val="080165AD"/>
    <w:rsid w:val="080165C8"/>
    <w:rsid w:val="080165E0"/>
    <w:rsid w:val="0801672B"/>
    <w:rsid w:val="0801675F"/>
    <w:rsid w:val="08016787"/>
    <w:rsid w:val="080167CC"/>
    <w:rsid w:val="080168FD"/>
    <w:rsid w:val="08016B79"/>
    <w:rsid w:val="08016BA4"/>
    <w:rsid w:val="08016C31"/>
    <w:rsid w:val="08016C58"/>
    <w:rsid w:val="08016CBA"/>
    <w:rsid w:val="08016CF0"/>
    <w:rsid w:val="08016D38"/>
    <w:rsid w:val="08016DB6"/>
    <w:rsid w:val="08016E2B"/>
    <w:rsid w:val="08016E6B"/>
    <w:rsid w:val="08016EAD"/>
    <w:rsid w:val="08016EEE"/>
    <w:rsid w:val="08016F47"/>
    <w:rsid w:val="08016F7B"/>
    <w:rsid w:val="08017141"/>
    <w:rsid w:val="08017214"/>
    <w:rsid w:val="0801725C"/>
    <w:rsid w:val="08017289"/>
    <w:rsid w:val="080172D4"/>
    <w:rsid w:val="080173C4"/>
    <w:rsid w:val="080174AD"/>
    <w:rsid w:val="0801762E"/>
    <w:rsid w:val="0801774F"/>
    <w:rsid w:val="08017797"/>
    <w:rsid w:val="080177A0"/>
    <w:rsid w:val="0801786C"/>
    <w:rsid w:val="08017897"/>
    <w:rsid w:val="080178AB"/>
    <w:rsid w:val="080178F4"/>
    <w:rsid w:val="0801790F"/>
    <w:rsid w:val="08017960"/>
    <w:rsid w:val="08017A55"/>
    <w:rsid w:val="08017B72"/>
    <w:rsid w:val="08017BE7"/>
    <w:rsid w:val="08017C89"/>
    <w:rsid w:val="08017CC9"/>
    <w:rsid w:val="08017D77"/>
    <w:rsid w:val="08017E3B"/>
    <w:rsid w:val="08017E89"/>
    <w:rsid w:val="08017E9E"/>
    <w:rsid w:val="08017ECD"/>
    <w:rsid w:val="08017F4B"/>
    <w:rsid w:val="08017FAC"/>
    <w:rsid w:val="08017FC5"/>
    <w:rsid w:val="08017FD9"/>
    <w:rsid w:val="08020026"/>
    <w:rsid w:val="0802005A"/>
    <w:rsid w:val="080200E2"/>
    <w:rsid w:val="0802010B"/>
    <w:rsid w:val="08020161"/>
    <w:rsid w:val="08020188"/>
    <w:rsid w:val="080201BA"/>
    <w:rsid w:val="080201DC"/>
    <w:rsid w:val="08020213"/>
    <w:rsid w:val="0802029C"/>
    <w:rsid w:val="080202DA"/>
    <w:rsid w:val="08020334"/>
    <w:rsid w:val="0802036B"/>
    <w:rsid w:val="0802038A"/>
    <w:rsid w:val="080203EA"/>
    <w:rsid w:val="08020493"/>
    <w:rsid w:val="08020505"/>
    <w:rsid w:val="08020528"/>
    <w:rsid w:val="0802054B"/>
    <w:rsid w:val="0802054E"/>
    <w:rsid w:val="0802058B"/>
    <w:rsid w:val="08020595"/>
    <w:rsid w:val="0802061E"/>
    <w:rsid w:val="0802062C"/>
    <w:rsid w:val="0802071A"/>
    <w:rsid w:val="0802072A"/>
    <w:rsid w:val="080207D9"/>
    <w:rsid w:val="080207DA"/>
    <w:rsid w:val="0802082C"/>
    <w:rsid w:val="08020844"/>
    <w:rsid w:val="0802084A"/>
    <w:rsid w:val="0802084C"/>
    <w:rsid w:val="080208D6"/>
    <w:rsid w:val="080208F4"/>
    <w:rsid w:val="08020926"/>
    <w:rsid w:val="08020994"/>
    <w:rsid w:val="080209E9"/>
    <w:rsid w:val="08020A67"/>
    <w:rsid w:val="08020B7C"/>
    <w:rsid w:val="08020CDA"/>
    <w:rsid w:val="08020D16"/>
    <w:rsid w:val="08020D6D"/>
    <w:rsid w:val="08020DC4"/>
    <w:rsid w:val="08020E03"/>
    <w:rsid w:val="08020E78"/>
    <w:rsid w:val="08020E7D"/>
    <w:rsid w:val="08020EC9"/>
    <w:rsid w:val="08021059"/>
    <w:rsid w:val="08021121"/>
    <w:rsid w:val="080212A9"/>
    <w:rsid w:val="080212BD"/>
    <w:rsid w:val="0802137D"/>
    <w:rsid w:val="080215E8"/>
    <w:rsid w:val="080215FF"/>
    <w:rsid w:val="08021755"/>
    <w:rsid w:val="08021783"/>
    <w:rsid w:val="08021868"/>
    <w:rsid w:val="080218A3"/>
    <w:rsid w:val="080218AD"/>
    <w:rsid w:val="080218D7"/>
    <w:rsid w:val="0802193D"/>
    <w:rsid w:val="08021946"/>
    <w:rsid w:val="08021A49"/>
    <w:rsid w:val="08021A68"/>
    <w:rsid w:val="08021A8D"/>
    <w:rsid w:val="08021B25"/>
    <w:rsid w:val="08021B68"/>
    <w:rsid w:val="08021CD1"/>
    <w:rsid w:val="08021DC4"/>
    <w:rsid w:val="08021DDF"/>
    <w:rsid w:val="08021E1F"/>
    <w:rsid w:val="08021E42"/>
    <w:rsid w:val="08021E88"/>
    <w:rsid w:val="08021EB9"/>
    <w:rsid w:val="08021F75"/>
    <w:rsid w:val="08022172"/>
    <w:rsid w:val="08022213"/>
    <w:rsid w:val="08022272"/>
    <w:rsid w:val="08022286"/>
    <w:rsid w:val="080223E9"/>
    <w:rsid w:val="080224F4"/>
    <w:rsid w:val="08022507"/>
    <w:rsid w:val="08022519"/>
    <w:rsid w:val="0802255D"/>
    <w:rsid w:val="080225C7"/>
    <w:rsid w:val="08022618"/>
    <w:rsid w:val="08022646"/>
    <w:rsid w:val="08022679"/>
    <w:rsid w:val="080226AF"/>
    <w:rsid w:val="0802271C"/>
    <w:rsid w:val="080227E0"/>
    <w:rsid w:val="080227EF"/>
    <w:rsid w:val="080228A9"/>
    <w:rsid w:val="080228CD"/>
    <w:rsid w:val="080228DC"/>
    <w:rsid w:val="08022974"/>
    <w:rsid w:val="08022975"/>
    <w:rsid w:val="08022992"/>
    <w:rsid w:val="08022996"/>
    <w:rsid w:val="08022A3D"/>
    <w:rsid w:val="08022BAB"/>
    <w:rsid w:val="08022BC9"/>
    <w:rsid w:val="08022C72"/>
    <w:rsid w:val="08022CAE"/>
    <w:rsid w:val="08022D37"/>
    <w:rsid w:val="08022E18"/>
    <w:rsid w:val="08022EA1"/>
    <w:rsid w:val="08022FC6"/>
    <w:rsid w:val="08022FF6"/>
    <w:rsid w:val="0802300C"/>
    <w:rsid w:val="0802300E"/>
    <w:rsid w:val="0802307D"/>
    <w:rsid w:val="08023084"/>
    <w:rsid w:val="0802326B"/>
    <w:rsid w:val="08023307"/>
    <w:rsid w:val="0802336F"/>
    <w:rsid w:val="0802339B"/>
    <w:rsid w:val="08023416"/>
    <w:rsid w:val="080234CC"/>
    <w:rsid w:val="08023596"/>
    <w:rsid w:val="0802359D"/>
    <w:rsid w:val="080236D4"/>
    <w:rsid w:val="0802374B"/>
    <w:rsid w:val="0802380F"/>
    <w:rsid w:val="080238A4"/>
    <w:rsid w:val="080238CF"/>
    <w:rsid w:val="080239A3"/>
    <w:rsid w:val="08023A86"/>
    <w:rsid w:val="08023A9D"/>
    <w:rsid w:val="08023AA1"/>
    <w:rsid w:val="08023AF3"/>
    <w:rsid w:val="08023AFB"/>
    <w:rsid w:val="08023BD1"/>
    <w:rsid w:val="08023CE2"/>
    <w:rsid w:val="08023D2C"/>
    <w:rsid w:val="08023D43"/>
    <w:rsid w:val="08023D9D"/>
    <w:rsid w:val="08023E61"/>
    <w:rsid w:val="08023E63"/>
    <w:rsid w:val="08023F1C"/>
    <w:rsid w:val="08023F3B"/>
    <w:rsid w:val="08023F97"/>
    <w:rsid w:val="08023FB7"/>
    <w:rsid w:val="08023FC0"/>
    <w:rsid w:val="08023FC7"/>
    <w:rsid w:val="0802400B"/>
    <w:rsid w:val="08024029"/>
    <w:rsid w:val="0802414F"/>
    <w:rsid w:val="0802415A"/>
    <w:rsid w:val="080241F7"/>
    <w:rsid w:val="0802426F"/>
    <w:rsid w:val="080242A3"/>
    <w:rsid w:val="08024330"/>
    <w:rsid w:val="08024431"/>
    <w:rsid w:val="080244DB"/>
    <w:rsid w:val="0802450E"/>
    <w:rsid w:val="080245BA"/>
    <w:rsid w:val="08024626"/>
    <w:rsid w:val="080246EF"/>
    <w:rsid w:val="0802470A"/>
    <w:rsid w:val="08024746"/>
    <w:rsid w:val="0802480C"/>
    <w:rsid w:val="080248B7"/>
    <w:rsid w:val="08024925"/>
    <w:rsid w:val="0802492C"/>
    <w:rsid w:val="08024995"/>
    <w:rsid w:val="08024AEA"/>
    <w:rsid w:val="08024AEB"/>
    <w:rsid w:val="08024B7A"/>
    <w:rsid w:val="08024BE9"/>
    <w:rsid w:val="08024BFD"/>
    <w:rsid w:val="08024C8F"/>
    <w:rsid w:val="08024D31"/>
    <w:rsid w:val="08024D9A"/>
    <w:rsid w:val="08024DC4"/>
    <w:rsid w:val="08024F0A"/>
    <w:rsid w:val="08024F2C"/>
    <w:rsid w:val="08025027"/>
    <w:rsid w:val="080250F6"/>
    <w:rsid w:val="0802512F"/>
    <w:rsid w:val="08025133"/>
    <w:rsid w:val="080251BE"/>
    <w:rsid w:val="08025281"/>
    <w:rsid w:val="08025382"/>
    <w:rsid w:val="080253EB"/>
    <w:rsid w:val="080253ED"/>
    <w:rsid w:val="0802550E"/>
    <w:rsid w:val="08025594"/>
    <w:rsid w:val="080255B0"/>
    <w:rsid w:val="08025629"/>
    <w:rsid w:val="08025673"/>
    <w:rsid w:val="08025703"/>
    <w:rsid w:val="080257C3"/>
    <w:rsid w:val="08025865"/>
    <w:rsid w:val="08025885"/>
    <w:rsid w:val="080258A3"/>
    <w:rsid w:val="08025936"/>
    <w:rsid w:val="08025969"/>
    <w:rsid w:val="08025990"/>
    <w:rsid w:val="08025A7B"/>
    <w:rsid w:val="08025AA9"/>
    <w:rsid w:val="08025B51"/>
    <w:rsid w:val="08025BB4"/>
    <w:rsid w:val="08025BDF"/>
    <w:rsid w:val="08025C31"/>
    <w:rsid w:val="08025CA6"/>
    <w:rsid w:val="08025D07"/>
    <w:rsid w:val="08025DA3"/>
    <w:rsid w:val="08025DCB"/>
    <w:rsid w:val="08026051"/>
    <w:rsid w:val="080260E2"/>
    <w:rsid w:val="08026126"/>
    <w:rsid w:val="0802617A"/>
    <w:rsid w:val="08026182"/>
    <w:rsid w:val="080261D5"/>
    <w:rsid w:val="080261F3"/>
    <w:rsid w:val="08026256"/>
    <w:rsid w:val="080262A2"/>
    <w:rsid w:val="080262E7"/>
    <w:rsid w:val="08026300"/>
    <w:rsid w:val="080263A4"/>
    <w:rsid w:val="08026403"/>
    <w:rsid w:val="08026429"/>
    <w:rsid w:val="0802651C"/>
    <w:rsid w:val="08026712"/>
    <w:rsid w:val="08026891"/>
    <w:rsid w:val="08026914"/>
    <w:rsid w:val="08026924"/>
    <w:rsid w:val="080269AE"/>
    <w:rsid w:val="080269DF"/>
    <w:rsid w:val="08026A22"/>
    <w:rsid w:val="08026A86"/>
    <w:rsid w:val="08026AB2"/>
    <w:rsid w:val="08026AB5"/>
    <w:rsid w:val="08026AC8"/>
    <w:rsid w:val="08026AF9"/>
    <w:rsid w:val="08026C55"/>
    <w:rsid w:val="08026C75"/>
    <w:rsid w:val="08026D39"/>
    <w:rsid w:val="08026E02"/>
    <w:rsid w:val="08026E11"/>
    <w:rsid w:val="08026E35"/>
    <w:rsid w:val="08027049"/>
    <w:rsid w:val="080272A5"/>
    <w:rsid w:val="08027352"/>
    <w:rsid w:val="0802740C"/>
    <w:rsid w:val="08027452"/>
    <w:rsid w:val="0802746B"/>
    <w:rsid w:val="08027481"/>
    <w:rsid w:val="080274D0"/>
    <w:rsid w:val="08027520"/>
    <w:rsid w:val="08027529"/>
    <w:rsid w:val="08027551"/>
    <w:rsid w:val="0802760C"/>
    <w:rsid w:val="0802771E"/>
    <w:rsid w:val="0802773D"/>
    <w:rsid w:val="08027750"/>
    <w:rsid w:val="080277A0"/>
    <w:rsid w:val="080277F3"/>
    <w:rsid w:val="0802780C"/>
    <w:rsid w:val="08027903"/>
    <w:rsid w:val="08027973"/>
    <w:rsid w:val="08027977"/>
    <w:rsid w:val="080279A5"/>
    <w:rsid w:val="080279CC"/>
    <w:rsid w:val="080279F3"/>
    <w:rsid w:val="08027A03"/>
    <w:rsid w:val="08027A54"/>
    <w:rsid w:val="08027AB5"/>
    <w:rsid w:val="08027BEC"/>
    <w:rsid w:val="08027BF2"/>
    <w:rsid w:val="08027C14"/>
    <w:rsid w:val="08027C69"/>
    <w:rsid w:val="08027C8D"/>
    <w:rsid w:val="08027D53"/>
    <w:rsid w:val="08027D85"/>
    <w:rsid w:val="08027DC5"/>
    <w:rsid w:val="08027DE1"/>
    <w:rsid w:val="08027E4F"/>
    <w:rsid w:val="08027ECB"/>
    <w:rsid w:val="08027ED5"/>
    <w:rsid w:val="08027EE9"/>
    <w:rsid w:val="08027EF2"/>
    <w:rsid w:val="08027F1A"/>
    <w:rsid w:val="08027F20"/>
    <w:rsid w:val="08027F5E"/>
    <w:rsid w:val="08027F84"/>
    <w:rsid w:val="08027FDA"/>
    <w:rsid w:val="08030152"/>
    <w:rsid w:val="080301FF"/>
    <w:rsid w:val="08030214"/>
    <w:rsid w:val="080302C9"/>
    <w:rsid w:val="080302DD"/>
    <w:rsid w:val="08030353"/>
    <w:rsid w:val="080303AF"/>
    <w:rsid w:val="08030478"/>
    <w:rsid w:val="0803051C"/>
    <w:rsid w:val="08030694"/>
    <w:rsid w:val="08030700"/>
    <w:rsid w:val="08030781"/>
    <w:rsid w:val="0803078C"/>
    <w:rsid w:val="0803087D"/>
    <w:rsid w:val="08030912"/>
    <w:rsid w:val="08030939"/>
    <w:rsid w:val="0803097A"/>
    <w:rsid w:val="080309F4"/>
    <w:rsid w:val="08030AC5"/>
    <w:rsid w:val="08030AE9"/>
    <w:rsid w:val="08030B3A"/>
    <w:rsid w:val="08030DAD"/>
    <w:rsid w:val="08030E53"/>
    <w:rsid w:val="0803100E"/>
    <w:rsid w:val="08031212"/>
    <w:rsid w:val="08031228"/>
    <w:rsid w:val="0803125D"/>
    <w:rsid w:val="080312F5"/>
    <w:rsid w:val="0803135C"/>
    <w:rsid w:val="080313D2"/>
    <w:rsid w:val="080313F0"/>
    <w:rsid w:val="080314F7"/>
    <w:rsid w:val="08031554"/>
    <w:rsid w:val="080317A6"/>
    <w:rsid w:val="0803187B"/>
    <w:rsid w:val="080318DE"/>
    <w:rsid w:val="08031965"/>
    <w:rsid w:val="080319A1"/>
    <w:rsid w:val="080319F1"/>
    <w:rsid w:val="08031AF8"/>
    <w:rsid w:val="08031B24"/>
    <w:rsid w:val="08031CB9"/>
    <w:rsid w:val="08031DC7"/>
    <w:rsid w:val="08031E76"/>
    <w:rsid w:val="08031EEA"/>
    <w:rsid w:val="08031F27"/>
    <w:rsid w:val="08031FBF"/>
    <w:rsid w:val="08031FEE"/>
    <w:rsid w:val="08031FFA"/>
    <w:rsid w:val="080320C1"/>
    <w:rsid w:val="080320F7"/>
    <w:rsid w:val="0803212C"/>
    <w:rsid w:val="08032277"/>
    <w:rsid w:val="08032301"/>
    <w:rsid w:val="08032395"/>
    <w:rsid w:val="080323E8"/>
    <w:rsid w:val="0803243C"/>
    <w:rsid w:val="08032468"/>
    <w:rsid w:val="080324C4"/>
    <w:rsid w:val="08032544"/>
    <w:rsid w:val="0803257E"/>
    <w:rsid w:val="080325E7"/>
    <w:rsid w:val="080325FA"/>
    <w:rsid w:val="080326B9"/>
    <w:rsid w:val="08032704"/>
    <w:rsid w:val="08032756"/>
    <w:rsid w:val="08032971"/>
    <w:rsid w:val="08032A03"/>
    <w:rsid w:val="08032A0E"/>
    <w:rsid w:val="08032A69"/>
    <w:rsid w:val="08032AFE"/>
    <w:rsid w:val="08032BEB"/>
    <w:rsid w:val="08032D40"/>
    <w:rsid w:val="08032D6A"/>
    <w:rsid w:val="08032D6B"/>
    <w:rsid w:val="08032ED7"/>
    <w:rsid w:val="08032F09"/>
    <w:rsid w:val="08032FAC"/>
    <w:rsid w:val="08033109"/>
    <w:rsid w:val="0803312C"/>
    <w:rsid w:val="080331C9"/>
    <w:rsid w:val="080331D8"/>
    <w:rsid w:val="08033263"/>
    <w:rsid w:val="08033287"/>
    <w:rsid w:val="080332BE"/>
    <w:rsid w:val="0803330E"/>
    <w:rsid w:val="0803339A"/>
    <w:rsid w:val="080333FD"/>
    <w:rsid w:val="08033494"/>
    <w:rsid w:val="08033523"/>
    <w:rsid w:val="0803358D"/>
    <w:rsid w:val="080335A6"/>
    <w:rsid w:val="08033619"/>
    <w:rsid w:val="0803361F"/>
    <w:rsid w:val="0803364E"/>
    <w:rsid w:val="080336A2"/>
    <w:rsid w:val="080336A3"/>
    <w:rsid w:val="080336BE"/>
    <w:rsid w:val="080336EB"/>
    <w:rsid w:val="080337DE"/>
    <w:rsid w:val="0803389C"/>
    <w:rsid w:val="08033A29"/>
    <w:rsid w:val="08033B0E"/>
    <w:rsid w:val="08033B67"/>
    <w:rsid w:val="08033B89"/>
    <w:rsid w:val="08033BB3"/>
    <w:rsid w:val="08033C81"/>
    <w:rsid w:val="08033CAD"/>
    <w:rsid w:val="08033E38"/>
    <w:rsid w:val="08033E59"/>
    <w:rsid w:val="08033EBC"/>
    <w:rsid w:val="08033EC2"/>
    <w:rsid w:val="08033F01"/>
    <w:rsid w:val="08033F38"/>
    <w:rsid w:val="08033F3D"/>
    <w:rsid w:val="08033F82"/>
    <w:rsid w:val="08033FC2"/>
    <w:rsid w:val="08034140"/>
    <w:rsid w:val="08034177"/>
    <w:rsid w:val="080341BE"/>
    <w:rsid w:val="0803420A"/>
    <w:rsid w:val="08034289"/>
    <w:rsid w:val="080343CA"/>
    <w:rsid w:val="08034438"/>
    <w:rsid w:val="0803446A"/>
    <w:rsid w:val="08034485"/>
    <w:rsid w:val="08034517"/>
    <w:rsid w:val="0803452D"/>
    <w:rsid w:val="08034553"/>
    <w:rsid w:val="080345FA"/>
    <w:rsid w:val="0803469A"/>
    <w:rsid w:val="0803485B"/>
    <w:rsid w:val="08034877"/>
    <w:rsid w:val="080349E0"/>
    <w:rsid w:val="080349FF"/>
    <w:rsid w:val="08034A30"/>
    <w:rsid w:val="08034B6A"/>
    <w:rsid w:val="08034C1C"/>
    <w:rsid w:val="08034C72"/>
    <w:rsid w:val="08034CD8"/>
    <w:rsid w:val="08034DCD"/>
    <w:rsid w:val="08034E2B"/>
    <w:rsid w:val="08034E30"/>
    <w:rsid w:val="08034E33"/>
    <w:rsid w:val="08034EAA"/>
    <w:rsid w:val="08034F12"/>
    <w:rsid w:val="08034FC9"/>
    <w:rsid w:val="08035005"/>
    <w:rsid w:val="0803500E"/>
    <w:rsid w:val="08035065"/>
    <w:rsid w:val="080350A5"/>
    <w:rsid w:val="080351CB"/>
    <w:rsid w:val="080351F3"/>
    <w:rsid w:val="0803522A"/>
    <w:rsid w:val="0803522F"/>
    <w:rsid w:val="08035241"/>
    <w:rsid w:val="08035324"/>
    <w:rsid w:val="0803551E"/>
    <w:rsid w:val="0803554E"/>
    <w:rsid w:val="08035638"/>
    <w:rsid w:val="0803567B"/>
    <w:rsid w:val="080356F4"/>
    <w:rsid w:val="08035775"/>
    <w:rsid w:val="0803577A"/>
    <w:rsid w:val="080357D5"/>
    <w:rsid w:val="080357DE"/>
    <w:rsid w:val="08035868"/>
    <w:rsid w:val="080358C5"/>
    <w:rsid w:val="0803590D"/>
    <w:rsid w:val="08035AF6"/>
    <w:rsid w:val="08035B13"/>
    <w:rsid w:val="08035B20"/>
    <w:rsid w:val="08035B36"/>
    <w:rsid w:val="08035B59"/>
    <w:rsid w:val="08035B9E"/>
    <w:rsid w:val="08035C1C"/>
    <w:rsid w:val="08035C24"/>
    <w:rsid w:val="08035CBB"/>
    <w:rsid w:val="08035CEE"/>
    <w:rsid w:val="08035D2C"/>
    <w:rsid w:val="08035D3D"/>
    <w:rsid w:val="08035D7A"/>
    <w:rsid w:val="08035E06"/>
    <w:rsid w:val="08035EDF"/>
    <w:rsid w:val="08035F07"/>
    <w:rsid w:val="08035F7F"/>
    <w:rsid w:val="08035FF8"/>
    <w:rsid w:val="080360A6"/>
    <w:rsid w:val="08036116"/>
    <w:rsid w:val="080361AA"/>
    <w:rsid w:val="080361B4"/>
    <w:rsid w:val="080361D0"/>
    <w:rsid w:val="08036215"/>
    <w:rsid w:val="0803626B"/>
    <w:rsid w:val="080362F1"/>
    <w:rsid w:val="0803632F"/>
    <w:rsid w:val="0803636E"/>
    <w:rsid w:val="080363EA"/>
    <w:rsid w:val="080364A4"/>
    <w:rsid w:val="080364C2"/>
    <w:rsid w:val="080364CC"/>
    <w:rsid w:val="0803653C"/>
    <w:rsid w:val="0803661D"/>
    <w:rsid w:val="0803663D"/>
    <w:rsid w:val="080367A4"/>
    <w:rsid w:val="08036807"/>
    <w:rsid w:val="08036832"/>
    <w:rsid w:val="080368B8"/>
    <w:rsid w:val="080368FF"/>
    <w:rsid w:val="08036931"/>
    <w:rsid w:val="080369DE"/>
    <w:rsid w:val="08036A9F"/>
    <w:rsid w:val="08036BCD"/>
    <w:rsid w:val="08036BD1"/>
    <w:rsid w:val="08036C06"/>
    <w:rsid w:val="08036C3C"/>
    <w:rsid w:val="08036C5F"/>
    <w:rsid w:val="08036EA2"/>
    <w:rsid w:val="08036EF9"/>
    <w:rsid w:val="08036F34"/>
    <w:rsid w:val="08036F63"/>
    <w:rsid w:val="08036F83"/>
    <w:rsid w:val="08036F9A"/>
    <w:rsid w:val="08036FA4"/>
    <w:rsid w:val="08036FC2"/>
    <w:rsid w:val="08036FDB"/>
    <w:rsid w:val="08037036"/>
    <w:rsid w:val="080370FC"/>
    <w:rsid w:val="08037126"/>
    <w:rsid w:val="080371CA"/>
    <w:rsid w:val="08037212"/>
    <w:rsid w:val="08037222"/>
    <w:rsid w:val="08037229"/>
    <w:rsid w:val="0803724E"/>
    <w:rsid w:val="08037269"/>
    <w:rsid w:val="080372C4"/>
    <w:rsid w:val="080372CF"/>
    <w:rsid w:val="08037457"/>
    <w:rsid w:val="0803746B"/>
    <w:rsid w:val="08037513"/>
    <w:rsid w:val="0803752C"/>
    <w:rsid w:val="08037567"/>
    <w:rsid w:val="080375BC"/>
    <w:rsid w:val="080375D2"/>
    <w:rsid w:val="080377C1"/>
    <w:rsid w:val="080377C2"/>
    <w:rsid w:val="0803783A"/>
    <w:rsid w:val="08037961"/>
    <w:rsid w:val="080379AB"/>
    <w:rsid w:val="08037A08"/>
    <w:rsid w:val="08037A75"/>
    <w:rsid w:val="08037B0A"/>
    <w:rsid w:val="08037B7D"/>
    <w:rsid w:val="08037B97"/>
    <w:rsid w:val="08037BAC"/>
    <w:rsid w:val="08037C3B"/>
    <w:rsid w:val="08037C47"/>
    <w:rsid w:val="08037D53"/>
    <w:rsid w:val="08037D63"/>
    <w:rsid w:val="08037DA3"/>
    <w:rsid w:val="08037DF3"/>
    <w:rsid w:val="08037E89"/>
    <w:rsid w:val="08037EA3"/>
    <w:rsid w:val="08037EAE"/>
    <w:rsid w:val="08037F9D"/>
    <w:rsid w:val="08037FAE"/>
    <w:rsid w:val="08040068"/>
    <w:rsid w:val="0804012E"/>
    <w:rsid w:val="08040130"/>
    <w:rsid w:val="08040160"/>
    <w:rsid w:val="08040166"/>
    <w:rsid w:val="0804016E"/>
    <w:rsid w:val="080401F6"/>
    <w:rsid w:val="08040289"/>
    <w:rsid w:val="0804029B"/>
    <w:rsid w:val="08040308"/>
    <w:rsid w:val="08040366"/>
    <w:rsid w:val="080403AD"/>
    <w:rsid w:val="080403CA"/>
    <w:rsid w:val="080403CC"/>
    <w:rsid w:val="0804040F"/>
    <w:rsid w:val="08040446"/>
    <w:rsid w:val="080404A3"/>
    <w:rsid w:val="080404F6"/>
    <w:rsid w:val="08040508"/>
    <w:rsid w:val="0804052D"/>
    <w:rsid w:val="0804054B"/>
    <w:rsid w:val="08040590"/>
    <w:rsid w:val="080407FF"/>
    <w:rsid w:val="0804081B"/>
    <w:rsid w:val="080409C0"/>
    <w:rsid w:val="08040A37"/>
    <w:rsid w:val="08040ABC"/>
    <w:rsid w:val="08040AD9"/>
    <w:rsid w:val="08040B9D"/>
    <w:rsid w:val="08040BDA"/>
    <w:rsid w:val="08040C0F"/>
    <w:rsid w:val="08040C7E"/>
    <w:rsid w:val="08040CED"/>
    <w:rsid w:val="08040D64"/>
    <w:rsid w:val="08040DDA"/>
    <w:rsid w:val="08040E9F"/>
    <w:rsid w:val="08040FB5"/>
    <w:rsid w:val="0804114F"/>
    <w:rsid w:val="08041203"/>
    <w:rsid w:val="08041369"/>
    <w:rsid w:val="08041395"/>
    <w:rsid w:val="080413EF"/>
    <w:rsid w:val="08041578"/>
    <w:rsid w:val="080415A4"/>
    <w:rsid w:val="0804164A"/>
    <w:rsid w:val="080417BF"/>
    <w:rsid w:val="080417DE"/>
    <w:rsid w:val="080417E8"/>
    <w:rsid w:val="080417E9"/>
    <w:rsid w:val="0804188A"/>
    <w:rsid w:val="08041898"/>
    <w:rsid w:val="080418F7"/>
    <w:rsid w:val="08041A6F"/>
    <w:rsid w:val="08041ACC"/>
    <w:rsid w:val="08041B47"/>
    <w:rsid w:val="08041B49"/>
    <w:rsid w:val="08041B9A"/>
    <w:rsid w:val="08041C16"/>
    <w:rsid w:val="08041C7F"/>
    <w:rsid w:val="08041CDE"/>
    <w:rsid w:val="08041D09"/>
    <w:rsid w:val="08041DA4"/>
    <w:rsid w:val="08041DCF"/>
    <w:rsid w:val="08041F60"/>
    <w:rsid w:val="08041F76"/>
    <w:rsid w:val="08041F84"/>
    <w:rsid w:val="0804204F"/>
    <w:rsid w:val="08042093"/>
    <w:rsid w:val="080421C0"/>
    <w:rsid w:val="08042223"/>
    <w:rsid w:val="08042277"/>
    <w:rsid w:val="0804227E"/>
    <w:rsid w:val="080422B8"/>
    <w:rsid w:val="080422DE"/>
    <w:rsid w:val="08042307"/>
    <w:rsid w:val="080423BC"/>
    <w:rsid w:val="0804241B"/>
    <w:rsid w:val="08042553"/>
    <w:rsid w:val="08042638"/>
    <w:rsid w:val="0804272F"/>
    <w:rsid w:val="0804279C"/>
    <w:rsid w:val="080427D2"/>
    <w:rsid w:val="080427D6"/>
    <w:rsid w:val="080428B2"/>
    <w:rsid w:val="080428C9"/>
    <w:rsid w:val="0804297C"/>
    <w:rsid w:val="080429F5"/>
    <w:rsid w:val="08042A29"/>
    <w:rsid w:val="08042B43"/>
    <w:rsid w:val="08042C98"/>
    <w:rsid w:val="08042CA9"/>
    <w:rsid w:val="08042D19"/>
    <w:rsid w:val="08042D7B"/>
    <w:rsid w:val="08042DC2"/>
    <w:rsid w:val="08042DE9"/>
    <w:rsid w:val="0804300A"/>
    <w:rsid w:val="080430C3"/>
    <w:rsid w:val="080430CE"/>
    <w:rsid w:val="080431E2"/>
    <w:rsid w:val="08043220"/>
    <w:rsid w:val="080432D7"/>
    <w:rsid w:val="0804334E"/>
    <w:rsid w:val="080433D4"/>
    <w:rsid w:val="0804357E"/>
    <w:rsid w:val="080435A9"/>
    <w:rsid w:val="0804361C"/>
    <w:rsid w:val="08043646"/>
    <w:rsid w:val="08043649"/>
    <w:rsid w:val="08043752"/>
    <w:rsid w:val="08043769"/>
    <w:rsid w:val="080437C8"/>
    <w:rsid w:val="08043823"/>
    <w:rsid w:val="080438AB"/>
    <w:rsid w:val="080438C0"/>
    <w:rsid w:val="08043925"/>
    <w:rsid w:val="0804394E"/>
    <w:rsid w:val="080439BE"/>
    <w:rsid w:val="08043A23"/>
    <w:rsid w:val="08043A81"/>
    <w:rsid w:val="08043AAA"/>
    <w:rsid w:val="08043AEC"/>
    <w:rsid w:val="08043B33"/>
    <w:rsid w:val="08043BFC"/>
    <w:rsid w:val="08043CAD"/>
    <w:rsid w:val="08043DD8"/>
    <w:rsid w:val="08043E14"/>
    <w:rsid w:val="08043E1E"/>
    <w:rsid w:val="08043F7C"/>
    <w:rsid w:val="08043FAA"/>
    <w:rsid w:val="08043FC6"/>
    <w:rsid w:val="0804400E"/>
    <w:rsid w:val="0804411D"/>
    <w:rsid w:val="0804412D"/>
    <w:rsid w:val="080442C2"/>
    <w:rsid w:val="0804431B"/>
    <w:rsid w:val="080443B0"/>
    <w:rsid w:val="0804450A"/>
    <w:rsid w:val="0804454F"/>
    <w:rsid w:val="0804457D"/>
    <w:rsid w:val="0804457F"/>
    <w:rsid w:val="080445F7"/>
    <w:rsid w:val="080445F9"/>
    <w:rsid w:val="0804467C"/>
    <w:rsid w:val="08044686"/>
    <w:rsid w:val="0804469C"/>
    <w:rsid w:val="08044703"/>
    <w:rsid w:val="08044768"/>
    <w:rsid w:val="0804477E"/>
    <w:rsid w:val="08044782"/>
    <w:rsid w:val="0804479D"/>
    <w:rsid w:val="080447A3"/>
    <w:rsid w:val="080447C4"/>
    <w:rsid w:val="080447F4"/>
    <w:rsid w:val="08044809"/>
    <w:rsid w:val="08044918"/>
    <w:rsid w:val="08044935"/>
    <w:rsid w:val="080449F6"/>
    <w:rsid w:val="08044AA1"/>
    <w:rsid w:val="08044AC0"/>
    <w:rsid w:val="08044B14"/>
    <w:rsid w:val="08044B7A"/>
    <w:rsid w:val="08044B8C"/>
    <w:rsid w:val="08044B93"/>
    <w:rsid w:val="08044BBD"/>
    <w:rsid w:val="08044BFD"/>
    <w:rsid w:val="08044C26"/>
    <w:rsid w:val="08044CF5"/>
    <w:rsid w:val="08044DFD"/>
    <w:rsid w:val="08044FD2"/>
    <w:rsid w:val="0804502D"/>
    <w:rsid w:val="080450A2"/>
    <w:rsid w:val="080450B9"/>
    <w:rsid w:val="080450E2"/>
    <w:rsid w:val="0804513A"/>
    <w:rsid w:val="0804515B"/>
    <w:rsid w:val="080451FC"/>
    <w:rsid w:val="080452BB"/>
    <w:rsid w:val="08045472"/>
    <w:rsid w:val="080454AE"/>
    <w:rsid w:val="08045504"/>
    <w:rsid w:val="08045520"/>
    <w:rsid w:val="0804553C"/>
    <w:rsid w:val="08045555"/>
    <w:rsid w:val="08045558"/>
    <w:rsid w:val="08045567"/>
    <w:rsid w:val="0804561A"/>
    <w:rsid w:val="0804565A"/>
    <w:rsid w:val="0804566A"/>
    <w:rsid w:val="080456BA"/>
    <w:rsid w:val="080456C6"/>
    <w:rsid w:val="080457A3"/>
    <w:rsid w:val="08045851"/>
    <w:rsid w:val="0804595E"/>
    <w:rsid w:val="080459BB"/>
    <w:rsid w:val="08045A61"/>
    <w:rsid w:val="08045A62"/>
    <w:rsid w:val="08045B02"/>
    <w:rsid w:val="08045BF2"/>
    <w:rsid w:val="08045C57"/>
    <w:rsid w:val="08045D50"/>
    <w:rsid w:val="08045DB3"/>
    <w:rsid w:val="08045E8E"/>
    <w:rsid w:val="08045EA8"/>
    <w:rsid w:val="08045F7D"/>
    <w:rsid w:val="08045FC2"/>
    <w:rsid w:val="080460B4"/>
    <w:rsid w:val="080460FC"/>
    <w:rsid w:val="080461C4"/>
    <w:rsid w:val="080461F0"/>
    <w:rsid w:val="08046206"/>
    <w:rsid w:val="08046209"/>
    <w:rsid w:val="08046210"/>
    <w:rsid w:val="08046213"/>
    <w:rsid w:val="08046214"/>
    <w:rsid w:val="08046262"/>
    <w:rsid w:val="08046275"/>
    <w:rsid w:val="080462B5"/>
    <w:rsid w:val="080462B6"/>
    <w:rsid w:val="080462E6"/>
    <w:rsid w:val="0804631A"/>
    <w:rsid w:val="080463B6"/>
    <w:rsid w:val="08046421"/>
    <w:rsid w:val="0804646C"/>
    <w:rsid w:val="080464FE"/>
    <w:rsid w:val="08046532"/>
    <w:rsid w:val="0804653A"/>
    <w:rsid w:val="08046599"/>
    <w:rsid w:val="080465DC"/>
    <w:rsid w:val="08046666"/>
    <w:rsid w:val="0804677B"/>
    <w:rsid w:val="08046789"/>
    <w:rsid w:val="080467ED"/>
    <w:rsid w:val="08046882"/>
    <w:rsid w:val="080468DA"/>
    <w:rsid w:val="080468EF"/>
    <w:rsid w:val="08046976"/>
    <w:rsid w:val="080469A3"/>
    <w:rsid w:val="080469C2"/>
    <w:rsid w:val="080469D6"/>
    <w:rsid w:val="08046A37"/>
    <w:rsid w:val="08046A81"/>
    <w:rsid w:val="08046B24"/>
    <w:rsid w:val="08046B56"/>
    <w:rsid w:val="08046BAB"/>
    <w:rsid w:val="08046C59"/>
    <w:rsid w:val="08046C5D"/>
    <w:rsid w:val="08046C6E"/>
    <w:rsid w:val="08046C89"/>
    <w:rsid w:val="08046CBC"/>
    <w:rsid w:val="08046CDF"/>
    <w:rsid w:val="08046DF4"/>
    <w:rsid w:val="08046F26"/>
    <w:rsid w:val="0804708E"/>
    <w:rsid w:val="080470A2"/>
    <w:rsid w:val="080470F4"/>
    <w:rsid w:val="08047197"/>
    <w:rsid w:val="080471DB"/>
    <w:rsid w:val="08047260"/>
    <w:rsid w:val="08047279"/>
    <w:rsid w:val="0804728C"/>
    <w:rsid w:val="0804728D"/>
    <w:rsid w:val="080472CD"/>
    <w:rsid w:val="080472D2"/>
    <w:rsid w:val="080472F0"/>
    <w:rsid w:val="08047320"/>
    <w:rsid w:val="08047479"/>
    <w:rsid w:val="0804750C"/>
    <w:rsid w:val="08047568"/>
    <w:rsid w:val="080475D2"/>
    <w:rsid w:val="0804760F"/>
    <w:rsid w:val="080476A5"/>
    <w:rsid w:val="080476D8"/>
    <w:rsid w:val="08047907"/>
    <w:rsid w:val="08047916"/>
    <w:rsid w:val="0804791D"/>
    <w:rsid w:val="0804799E"/>
    <w:rsid w:val="08047A13"/>
    <w:rsid w:val="08047A3E"/>
    <w:rsid w:val="08047A69"/>
    <w:rsid w:val="08047AF5"/>
    <w:rsid w:val="08047AFE"/>
    <w:rsid w:val="08047B78"/>
    <w:rsid w:val="08047B9C"/>
    <w:rsid w:val="08047C29"/>
    <w:rsid w:val="08047C35"/>
    <w:rsid w:val="08047C78"/>
    <w:rsid w:val="08047CC3"/>
    <w:rsid w:val="08047D0B"/>
    <w:rsid w:val="08047D32"/>
    <w:rsid w:val="08047D66"/>
    <w:rsid w:val="08047D88"/>
    <w:rsid w:val="08047DC5"/>
    <w:rsid w:val="08047E21"/>
    <w:rsid w:val="08047EC5"/>
    <w:rsid w:val="08047ECF"/>
    <w:rsid w:val="08047F09"/>
    <w:rsid w:val="08047F3A"/>
    <w:rsid w:val="08047F8B"/>
    <w:rsid w:val="08050014"/>
    <w:rsid w:val="08050059"/>
    <w:rsid w:val="0805010D"/>
    <w:rsid w:val="08050124"/>
    <w:rsid w:val="08050170"/>
    <w:rsid w:val="08050174"/>
    <w:rsid w:val="0805019D"/>
    <w:rsid w:val="08050232"/>
    <w:rsid w:val="0805028C"/>
    <w:rsid w:val="080502A1"/>
    <w:rsid w:val="080502D5"/>
    <w:rsid w:val="080502EF"/>
    <w:rsid w:val="080502F3"/>
    <w:rsid w:val="08050330"/>
    <w:rsid w:val="0805036A"/>
    <w:rsid w:val="08050482"/>
    <w:rsid w:val="080504BB"/>
    <w:rsid w:val="08050575"/>
    <w:rsid w:val="080505CB"/>
    <w:rsid w:val="08050683"/>
    <w:rsid w:val="08050684"/>
    <w:rsid w:val="080506BB"/>
    <w:rsid w:val="08050803"/>
    <w:rsid w:val="080508FB"/>
    <w:rsid w:val="08050907"/>
    <w:rsid w:val="08050929"/>
    <w:rsid w:val="0805093F"/>
    <w:rsid w:val="080509DB"/>
    <w:rsid w:val="08050AC6"/>
    <w:rsid w:val="08050B0C"/>
    <w:rsid w:val="08050B53"/>
    <w:rsid w:val="08050C0E"/>
    <w:rsid w:val="08050C56"/>
    <w:rsid w:val="08050C8F"/>
    <w:rsid w:val="08050D31"/>
    <w:rsid w:val="08050DF6"/>
    <w:rsid w:val="08050E2F"/>
    <w:rsid w:val="08050E30"/>
    <w:rsid w:val="08050E31"/>
    <w:rsid w:val="08050E40"/>
    <w:rsid w:val="08050E42"/>
    <w:rsid w:val="08050EB0"/>
    <w:rsid w:val="08050EE7"/>
    <w:rsid w:val="08050F14"/>
    <w:rsid w:val="08050FBE"/>
    <w:rsid w:val="08050FE0"/>
    <w:rsid w:val="08051005"/>
    <w:rsid w:val="0805108C"/>
    <w:rsid w:val="080510E1"/>
    <w:rsid w:val="08051188"/>
    <w:rsid w:val="080512E2"/>
    <w:rsid w:val="080513B0"/>
    <w:rsid w:val="080513D0"/>
    <w:rsid w:val="08051448"/>
    <w:rsid w:val="08051472"/>
    <w:rsid w:val="080514F1"/>
    <w:rsid w:val="0805152F"/>
    <w:rsid w:val="08051546"/>
    <w:rsid w:val="0805154A"/>
    <w:rsid w:val="080515C9"/>
    <w:rsid w:val="080516AB"/>
    <w:rsid w:val="0805173D"/>
    <w:rsid w:val="08051762"/>
    <w:rsid w:val="08051796"/>
    <w:rsid w:val="08051854"/>
    <w:rsid w:val="08051941"/>
    <w:rsid w:val="08051B7F"/>
    <w:rsid w:val="08051B84"/>
    <w:rsid w:val="08051C26"/>
    <w:rsid w:val="08051C5C"/>
    <w:rsid w:val="08051D41"/>
    <w:rsid w:val="08051E0D"/>
    <w:rsid w:val="08051E43"/>
    <w:rsid w:val="08051F61"/>
    <w:rsid w:val="08051F72"/>
    <w:rsid w:val="08051F95"/>
    <w:rsid w:val="080520C1"/>
    <w:rsid w:val="08052132"/>
    <w:rsid w:val="08052231"/>
    <w:rsid w:val="0805224C"/>
    <w:rsid w:val="080522D1"/>
    <w:rsid w:val="080523BB"/>
    <w:rsid w:val="08052402"/>
    <w:rsid w:val="08052412"/>
    <w:rsid w:val="080524A6"/>
    <w:rsid w:val="08052547"/>
    <w:rsid w:val="080525E0"/>
    <w:rsid w:val="080527DA"/>
    <w:rsid w:val="080527DF"/>
    <w:rsid w:val="080527E5"/>
    <w:rsid w:val="08052824"/>
    <w:rsid w:val="0805286D"/>
    <w:rsid w:val="0805287F"/>
    <w:rsid w:val="080528EA"/>
    <w:rsid w:val="080529D3"/>
    <w:rsid w:val="080529E3"/>
    <w:rsid w:val="08052A2E"/>
    <w:rsid w:val="08052A49"/>
    <w:rsid w:val="08052A50"/>
    <w:rsid w:val="08052AB5"/>
    <w:rsid w:val="08052B2E"/>
    <w:rsid w:val="08052B85"/>
    <w:rsid w:val="08052C30"/>
    <w:rsid w:val="08052C4E"/>
    <w:rsid w:val="08052C9D"/>
    <w:rsid w:val="08052CEF"/>
    <w:rsid w:val="08052DA2"/>
    <w:rsid w:val="08052DFC"/>
    <w:rsid w:val="08052E9C"/>
    <w:rsid w:val="08052F03"/>
    <w:rsid w:val="08052F39"/>
    <w:rsid w:val="08052FAC"/>
    <w:rsid w:val="08052FD5"/>
    <w:rsid w:val="08053026"/>
    <w:rsid w:val="080530C5"/>
    <w:rsid w:val="08053113"/>
    <w:rsid w:val="08053180"/>
    <w:rsid w:val="080531B2"/>
    <w:rsid w:val="0805326F"/>
    <w:rsid w:val="080532F3"/>
    <w:rsid w:val="080533AE"/>
    <w:rsid w:val="08053485"/>
    <w:rsid w:val="080534AA"/>
    <w:rsid w:val="080535DD"/>
    <w:rsid w:val="0805366A"/>
    <w:rsid w:val="08053677"/>
    <w:rsid w:val="080536BC"/>
    <w:rsid w:val="080536F7"/>
    <w:rsid w:val="08053739"/>
    <w:rsid w:val="08053775"/>
    <w:rsid w:val="080537CA"/>
    <w:rsid w:val="0805382C"/>
    <w:rsid w:val="0805382E"/>
    <w:rsid w:val="080539B6"/>
    <w:rsid w:val="080539C3"/>
    <w:rsid w:val="080539E2"/>
    <w:rsid w:val="08053A30"/>
    <w:rsid w:val="08053AC6"/>
    <w:rsid w:val="08053C5D"/>
    <w:rsid w:val="08053CCB"/>
    <w:rsid w:val="08053D3F"/>
    <w:rsid w:val="08053DA0"/>
    <w:rsid w:val="08053DCD"/>
    <w:rsid w:val="08053E31"/>
    <w:rsid w:val="08053E59"/>
    <w:rsid w:val="08053E7E"/>
    <w:rsid w:val="08053F99"/>
    <w:rsid w:val="08053FAE"/>
    <w:rsid w:val="080541B9"/>
    <w:rsid w:val="080542EC"/>
    <w:rsid w:val="080542F4"/>
    <w:rsid w:val="080543DE"/>
    <w:rsid w:val="08054488"/>
    <w:rsid w:val="080544F2"/>
    <w:rsid w:val="08054565"/>
    <w:rsid w:val="080545A4"/>
    <w:rsid w:val="080545DE"/>
    <w:rsid w:val="08054607"/>
    <w:rsid w:val="0805467F"/>
    <w:rsid w:val="08054763"/>
    <w:rsid w:val="08054876"/>
    <w:rsid w:val="080548B0"/>
    <w:rsid w:val="08054BCA"/>
    <w:rsid w:val="08054BDB"/>
    <w:rsid w:val="08054C38"/>
    <w:rsid w:val="08054C6F"/>
    <w:rsid w:val="08054D28"/>
    <w:rsid w:val="08054E54"/>
    <w:rsid w:val="08054ED4"/>
    <w:rsid w:val="08054F69"/>
    <w:rsid w:val="08054F7D"/>
    <w:rsid w:val="08054F84"/>
    <w:rsid w:val="08054FD8"/>
    <w:rsid w:val="08054FDD"/>
    <w:rsid w:val="08055029"/>
    <w:rsid w:val="080550CD"/>
    <w:rsid w:val="080550F6"/>
    <w:rsid w:val="08055143"/>
    <w:rsid w:val="0805515C"/>
    <w:rsid w:val="0805518B"/>
    <w:rsid w:val="080551BB"/>
    <w:rsid w:val="08055239"/>
    <w:rsid w:val="080552AE"/>
    <w:rsid w:val="08055302"/>
    <w:rsid w:val="0805533F"/>
    <w:rsid w:val="080553CA"/>
    <w:rsid w:val="08055438"/>
    <w:rsid w:val="08055442"/>
    <w:rsid w:val="080554FF"/>
    <w:rsid w:val="08055540"/>
    <w:rsid w:val="08055689"/>
    <w:rsid w:val="080556B0"/>
    <w:rsid w:val="08055714"/>
    <w:rsid w:val="0805572B"/>
    <w:rsid w:val="08055870"/>
    <w:rsid w:val="0805592C"/>
    <w:rsid w:val="08055971"/>
    <w:rsid w:val="08055988"/>
    <w:rsid w:val="08055ADE"/>
    <w:rsid w:val="08055AE0"/>
    <w:rsid w:val="08055B2F"/>
    <w:rsid w:val="08055BC7"/>
    <w:rsid w:val="08055C1E"/>
    <w:rsid w:val="08055C58"/>
    <w:rsid w:val="08055C6E"/>
    <w:rsid w:val="08055CAA"/>
    <w:rsid w:val="08055CDF"/>
    <w:rsid w:val="08055DE5"/>
    <w:rsid w:val="08055E23"/>
    <w:rsid w:val="08055EC2"/>
    <w:rsid w:val="08055F0D"/>
    <w:rsid w:val="08055F49"/>
    <w:rsid w:val="08055FB1"/>
    <w:rsid w:val="0805610F"/>
    <w:rsid w:val="0805613E"/>
    <w:rsid w:val="080561C2"/>
    <w:rsid w:val="08056279"/>
    <w:rsid w:val="08056295"/>
    <w:rsid w:val="08056298"/>
    <w:rsid w:val="08056332"/>
    <w:rsid w:val="0805645C"/>
    <w:rsid w:val="08056532"/>
    <w:rsid w:val="080565CD"/>
    <w:rsid w:val="080566F9"/>
    <w:rsid w:val="0805673B"/>
    <w:rsid w:val="0805675B"/>
    <w:rsid w:val="080567C1"/>
    <w:rsid w:val="08056898"/>
    <w:rsid w:val="080569BF"/>
    <w:rsid w:val="08056A4D"/>
    <w:rsid w:val="08056A61"/>
    <w:rsid w:val="08056A75"/>
    <w:rsid w:val="08056A76"/>
    <w:rsid w:val="08056B14"/>
    <w:rsid w:val="08056B3F"/>
    <w:rsid w:val="08056CC3"/>
    <w:rsid w:val="08056CC4"/>
    <w:rsid w:val="08056D57"/>
    <w:rsid w:val="08056D7C"/>
    <w:rsid w:val="08056D97"/>
    <w:rsid w:val="08056F02"/>
    <w:rsid w:val="08056F41"/>
    <w:rsid w:val="08056F43"/>
    <w:rsid w:val="08056F4B"/>
    <w:rsid w:val="08056FB4"/>
    <w:rsid w:val="08056FF4"/>
    <w:rsid w:val="0805708C"/>
    <w:rsid w:val="080570DD"/>
    <w:rsid w:val="08057300"/>
    <w:rsid w:val="08057365"/>
    <w:rsid w:val="080573C9"/>
    <w:rsid w:val="0805748F"/>
    <w:rsid w:val="080575F2"/>
    <w:rsid w:val="08057640"/>
    <w:rsid w:val="08057675"/>
    <w:rsid w:val="080576EB"/>
    <w:rsid w:val="080576EC"/>
    <w:rsid w:val="080577C7"/>
    <w:rsid w:val="080577D3"/>
    <w:rsid w:val="08057819"/>
    <w:rsid w:val="08057919"/>
    <w:rsid w:val="0805797C"/>
    <w:rsid w:val="08057983"/>
    <w:rsid w:val="08057AD9"/>
    <w:rsid w:val="08057B21"/>
    <w:rsid w:val="08057B6E"/>
    <w:rsid w:val="08057B8B"/>
    <w:rsid w:val="08057C60"/>
    <w:rsid w:val="08057CE6"/>
    <w:rsid w:val="08057CF8"/>
    <w:rsid w:val="08057D12"/>
    <w:rsid w:val="08057D8C"/>
    <w:rsid w:val="08057DAE"/>
    <w:rsid w:val="08057DBF"/>
    <w:rsid w:val="08057E17"/>
    <w:rsid w:val="08057E71"/>
    <w:rsid w:val="08057F00"/>
    <w:rsid w:val="08057F05"/>
    <w:rsid w:val="08057F0E"/>
    <w:rsid w:val="08057FD9"/>
    <w:rsid w:val="08060049"/>
    <w:rsid w:val="0806008D"/>
    <w:rsid w:val="080600CE"/>
    <w:rsid w:val="080600FC"/>
    <w:rsid w:val="0806017D"/>
    <w:rsid w:val="0806018B"/>
    <w:rsid w:val="08060197"/>
    <w:rsid w:val="080602A9"/>
    <w:rsid w:val="08060302"/>
    <w:rsid w:val="0806031C"/>
    <w:rsid w:val="08060331"/>
    <w:rsid w:val="0806034F"/>
    <w:rsid w:val="0806039B"/>
    <w:rsid w:val="080603C0"/>
    <w:rsid w:val="08060427"/>
    <w:rsid w:val="080604DE"/>
    <w:rsid w:val="080604F0"/>
    <w:rsid w:val="0806052F"/>
    <w:rsid w:val="08060608"/>
    <w:rsid w:val="080606CC"/>
    <w:rsid w:val="08060717"/>
    <w:rsid w:val="08060784"/>
    <w:rsid w:val="080607B0"/>
    <w:rsid w:val="080607FC"/>
    <w:rsid w:val="08060825"/>
    <w:rsid w:val="0806082F"/>
    <w:rsid w:val="08060841"/>
    <w:rsid w:val="080608AE"/>
    <w:rsid w:val="08060980"/>
    <w:rsid w:val="08060A1F"/>
    <w:rsid w:val="08060A93"/>
    <w:rsid w:val="08060C6C"/>
    <w:rsid w:val="08060C9F"/>
    <w:rsid w:val="08060D12"/>
    <w:rsid w:val="08060D2E"/>
    <w:rsid w:val="08060DF3"/>
    <w:rsid w:val="08060E9B"/>
    <w:rsid w:val="08060EC9"/>
    <w:rsid w:val="08060FB9"/>
    <w:rsid w:val="0806101C"/>
    <w:rsid w:val="08061037"/>
    <w:rsid w:val="0806106F"/>
    <w:rsid w:val="0806108C"/>
    <w:rsid w:val="0806113C"/>
    <w:rsid w:val="08061164"/>
    <w:rsid w:val="08061280"/>
    <w:rsid w:val="080612D1"/>
    <w:rsid w:val="0806134C"/>
    <w:rsid w:val="08061355"/>
    <w:rsid w:val="08061429"/>
    <w:rsid w:val="08061437"/>
    <w:rsid w:val="08061477"/>
    <w:rsid w:val="080614D8"/>
    <w:rsid w:val="0806157D"/>
    <w:rsid w:val="0806162E"/>
    <w:rsid w:val="08061647"/>
    <w:rsid w:val="080616BA"/>
    <w:rsid w:val="080617BB"/>
    <w:rsid w:val="080617C2"/>
    <w:rsid w:val="080617C7"/>
    <w:rsid w:val="0806184A"/>
    <w:rsid w:val="08061928"/>
    <w:rsid w:val="080619BB"/>
    <w:rsid w:val="08061A00"/>
    <w:rsid w:val="08061A3F"/>
    <w:rsid w:val="08061A5E"/>
    <w:rsid w:val="08061AC8"/>
    <w:rsid w:val="08061B0A"/>
    <w:rsid w:val="08061B3D"/>
    <w:rsid w:val="08061BB2"/>
    <w:rsid w:val="08061C46"/>
    <w:rsid w:val="08061CD0"/>
    <w:rsid w:val="08061D55"/>
    <w:rsid w:val="08061D66"/>
    <w:rsid w:val="08061DB0"/>
    <w:rsid w:val="08061E3A"/>
    <w:rsid w:val="08061EA6"/>
    <w:rsid w:val="08061F51"/>
    <w:rsid w:val="08061F67"/>
    <w:rsid w:val="0806211D"/>
    <w:rsid w:val="080621EB"/>
    <w:rsid w:val="08062211"/>
    <w:rsid w:val="08062215"/>
    <w:rsid w:val="08062261"/>
    <w:rsid w:val="0806227A"/>
    <w:rsid w:val="08062311"/>
    <w:rsid w:val="0806236A"/>
    <w:rsid w:val="0806238B"/>
    <w:rsid w:val="080623CF"/>
    <w:rsid w:val="080623DC"/>
    <w:rsid w:val="08062462"/>
    <w:rsid w:val="080624F3"/>
    <w:rsid w:val="08062607"/>
    <w:rsid w:val="0806268C"/>
    <w:rsid w:val="080627BE"/>
    <w:rsid w:val="08062934"/>
    <w:rsid w:val="0806297D"/>
    <w:rsid w:val="08062997"/>
    <w:rsid w:val="08062B0F"/>
    <w:rsid w:val="08062B6F"/>
    <w:rsid w:val="08062B89"/>
    <w:rsid w:val="08062B8B"/>
    <w:rsid w:val="08062C63"/>
    <w:rsid w:val="08062D2A"/>
    <w:rsid w:val="08062D47"/>
    <w:rsid w:val="08062D6F"/>
    <w:rsid w:val="08062D83"/>
    <w:rsid w:val="08062DF2"/>
    <w:rsid w:val="08062E51"/>
    <w:rsid w:val="08062FA1"/>
    <w:rsid w:val="080630A4"/>
    <w:rsid w:val="0806312E"/>
    <w:rsid w:val="08063171"/>
    <w:rsid w:val="08063218"/>
    <w:rsid w:val="080633F2"/>
    <w:rsid w:val="08063436"/>
    <w:rsid w:val="08063493"/>
    <w:rsid w:val="080634EF"/>
    <w:rsid w:val="0806351C"/>
    <w:rsid w:val="08063548"/>
    <w:rsid w:val="080635E0"/>
    <w:rsid w:val="08063673"/>
    <w:rsid w:val="080636A9"/>
    <w:rsid w:val="080637AC"/>
    <w:rsid w:val="080637C4"/>
    <w:rsid w:val="08063812"/>
    <w:rsid w:val="08063845"/>
    <w:rsid w:val="0806385B"/>
    <w:rsid w:val="080638B0"/>
    <w:rsid w:val="08063949"/>
    <w:rsid w:val="08063987"/>
    <w:rsid w:val="080639F9"/>
    <w:rsid w:val="08063A92"/>
    <w:rsid w:val="08063B36"/>
    <w:rsid w:val="08063BEF"/>
    <w:rsid w:val="08063CD3"/>
    <w:rsid w:val="08063D16"/>
    <w:rsid w:val="08063D1C"/>
    <w:rsid w:val="08063D6E"/>
    <w:rsid w:val="08063F7E"/>
    <w:rsid w:val="08063FD4"/>
    <w:rsid w:val="08064101"/>
    <w:rsid w:val="08064176"/>
    <w:rsid w:val="0806417C"/>
    <w:rsid w:val="08064199"/>
    <w:rsid w:val="080641C1"/>
    <w:rsid w:val="08064269"/>
    <w:rsid w:val="08064393"/>
    <w:rsid w:val="080643F6"/>
    <w:rsid w:val="080644F6"/>
    <w:rsid w:val="08064524"/>
    <w:rsid w:val="08064546"/>
    <w:rsid w:val="0806459A"/>
    <w:rsid w:val="080645E9"/>
    <w:rsid w:val="080645EB"/>
    <w:rsid w:val="08064649"/>
    <w:rsid w:val="08064697"/>
    <w:rsid w:val="080646D9"/>
    <w:rsid w:val="0806470E"/>
    <w:rsid w:val="08064729"/>
    <w:rsid w:val="080647D8"/>
    <w:rsid w:val="08064858"/>
    <w:rsid w:val="0806488E"/>
    <w:rsid w:val="08064897"/>
    <w:rsid w:val="080648B5"/>
    <w:rsid w:val="080648FD"/>
    <w:rsid w:val="08064A4C"/>
    <w:rsid w:val="08064A6B"/>
    <w:rsid w:val="08064AB3"/>
    <w:rsid w:val="08064AC3"/>
    <w:rsid w:val="08064AFD"/>
    <w:rsid w:val="08064B4B"/>
    <w:rsid w:val="08064BAA"/>
    <w:rsid w:val="08064CBC"/>
    <w:rsid w:val="08064D07"/>
    <w:rsid w:val="08064E98"/>
    <w:rsid w:val="08064ED9"/>
    <w:rsid w:val="08064EFA"/>
    <w:rsid w:val="08064F73"/>
    <w:rsid w:val="08064F9D"/>
    <w:rsid w:val="08065044"/>
    <w:rsid w:val="080650A6"/>
    <w:rsid w:val="0806523E"/>
    <w:rsid w:val="080652DC"/>
    <w:rsid w:val="0806532E"/>
    <w:rsid w:val="0806532F"/>
    <w:rsid w:val="0806537D"/>
    <w:rsid w:val="08065486"/>
    <w:rsid w:val="08065548"/>
    <w:rsid w:val="080655B9"/>
    <w:rsid w:val="08065602"/>
    <w:rsid w:val="0806566A"/>
    <w:rsid w:val="080656EB"/>
    <w:rsid w:val="08065823"/>
    <w:rsid w:val="0806586D"/>
    <w:rsid w:val="080658A0"/>
    <w:rsid w:val="080658E7"/>
    <w:rsid w:val="08065A2E"/>
    <w:rsid w:val="08065A37"/>
    <w:rsid w:val="08065A54"/>
    <w:rsid w:val="08065A8A"/>
    <w:rsid w:val="08065A94"/>
    <w:rsid w:val="08065B1E"/>
    <w:rsid w:val="08065B70"/>
    <w:rsid w:val="08065BBB"/>
    <w:rsid w:val="08065BC1"/>
    <w:rsid w:val="08065BCC"/>
    <w:rsid w:val="08065BDD"/>
    <w:rsid w:val="08065C91"/>
    <w:rsid w:val="08065CB9"/>
    <w:rsid w:val="08065D82"/>
    <w:rsid w:val="08065E15"/>
    <w:rsid w:val="08065F01"/>
    <w:rsid w:val="08065FD1"/>
    <w:rsid w:val="0806604C"/>
    <w:rsid w:val="08066061"/>
    <w:rsid w:val="080660C0"/>
    <w:rsid w:val="08066167"/>
    <w:rsid w:val="080662A6"/>
    <w:rsid w:val="08066396"/>
    <w:rsid w:val="08066402"/>
    <w:rsid w:val="08066425"/>
    <w:rsid w:val="08066525"/>
    <w:rsid w:val="0806653C"/>
    <w:rsid w:val="08066581"/>
    <w:rsid w:val="080665EC"/>
    <w:rsid w:val="0806663D"/>
    <w:rsid w:val="08066751"/>
    <w:rsid w:val="08066789"/>
    <w:rsid w:val="0806679E"/>
    <w:rsid w:val="080667CF"/>
    <w:rsid w:val="08066882"/>
    <w:rsid w:val="08066895"/>
    <w:rsid w:val="080668F5"/>
    <w:rsid w:val="08066958"/>
    <w:rsid w:val="08066976"/>
    <w:rsid w:val="0806697D"/>
    <w:rsid w:val="080669DE"/>
    <w:rsid w:val="08066A05"/>
    <w:rsid w:val="08066B36"/>
    <w:rsid w:val="08066B39"/>
    <w:rsid w:val="08066B54"/>
    <w:rsid w:val="08066CE6"/>
    <w:rsid w:val="08066CFE"/>
    <w:rsid w:val="08066DEE"/>
    <w:rsid w:val="08066E1A"/>
    <w:rsid w:val="08066E1D"/>
    <w:rsid w:val="08066EEA"/>
    <w:rsid w:val="08066EEF"/>
    <w:rsid w:val="08066F3D"/>
    <w:rsid w:val="08066F96"/>
    <w:rsid w:val="08066FD4"/>
    <w:rsid w:val="0806703C"/>
    <w:rsid w:val="0806714C"/>
    <w:rsid w:val="08067152"/>
    <w:rsid w:val="080671A7"/>
    <w:rsid w:val="08067207"/>
    <w:rsid w:val="08067310"/>
    <w:rsid w:val="08067348"/>
    <w:rsid w:val="08067455"/>
    <w:rsid w:val="080674F7"/>
    <w:rsid w:val="0806757B"/>
    <w:rsid w:val="0806764E"/>
    <w:rsid w:val="080676E0"/>
    <w:rsid w:val="08067717"/>
    <w:rsid w:val="080677D5"/>
    <w:rsid w:val="080677EB"/>
    <w:rsid w:val="0806788F"/>
    <w:rsid w:val="08067983"/>
    <w:rsid w:val="080679C0"/>
    <w:rsid w:val="080679C4"/>
    <w:rsid w:val="08067A45"/>
    <w:rsid w:val="08067AB7"/>
    <w:rsid w:val="08067ACF"/>
    <w:rsid w:val="08067ADB"/>
    <w:rsid w:val="08067AFF"/>
    <w:rsid w:val="08067B3E"/>
    <w:rsid w:val="08067B62"/>
    <w:rsid w:val="08067BD1"/>
    <w:rsid w:val="08067C0C"/>
    <w:rsid w:val="08067C57"/>
    <w:rsid w:val="08067C9B"/>
    <w:rsid w:val="08067CFC"/>
    <w:rsid w:val="08067D57"/>
    <w:rsid w:val="08067DBC"/>
    <w:rsid w:val="08067EAA"/>
    <w:rsid w:val="08067EC2"/>
    <w:rsid w:val="08067F11"/>
    <w:rsid w:val="08067F36"/>
    <w:rsid w:val="08067F47"/>
    <w:rsid w:val="08067F71"/>
    <w:rsid w:val="08067FD9"/>
    <w:rsid w:val="0807006C"/>
    <w:rsid w:val="080700D2"/>
    <w:rsid w:val="0807013F"/>
    <w:rsid w:val="0807017E"/>
    <w:rsid w:val="08070202"/>
    <w:rsid w:val="08070209"/>
    <w:rsid w:val="08070340"/>
    <w:rsid w:val="08070363"/>
    <w:rsid w:val="0807043D"/>
    <w:rsid w:val="08070456"/>
    <w:rsid w:val="08070509"/>
    <w:rsid w:val="0807055B"/>
    <w:rsid w:val="080705A5"/>
    <w:rsid w:val="08070628"/>
    <w:rsid w:val="0807074C"/>
    <w:rsid w:val="08070850"/>
    <w:rsid w:val="080708D1"/>
    <w:rsid w:val="0807097E"/>
    <w:rsid w:val="080709D4"/>
    <w:rsid w:val="080709E0"/>
    <w:rsid w:val="08070A27"/>
    <w:rsid w:val="08070A9E"/>
    <w:rsid w:val="08070B61"/>
    <w:rsid w:val="08070B81"/>
    <w:rsid w:val="08070BAE"/>
    <w:rsid w:val="08070BF3"/>
    <w:rsid w:val="08070BFE"/>
    <w:rsid w:val="08070C52"/>
    <w:rsid w:val="08070CF0"/>
    <w:rsid w:val="08070D1E"/>
    <w:rsid w:val="08070D68"/>
    <w:rsid w:val="08070E48"/>
    <w:rsid w:val="08070E57"/>
    <w:rsid w:val="08070E66"/>
    <w:rsid w:val="08070F1F"/>
    <w:rsid w:val="08071025"/>
    <w:rsid w:val="08071043"/>
    <w:rsid w:val="080711A4"/>
    <w:rsid w:val="080711EC"/>
    <w:rsid w:val="08071353"/>
    <w:rsid w:val="08071369"/>
    <w:rsid w:val="08071441"/>
    <w:rsid w:val="08071477"/>
    <w:rsid w:val="080715F6"/>
    <w:rsid w:val="08071642"/>
    <w:rsid w:val="08071673"/>
    <w:rsid w:val="08071689"/>
    <w:rsid w:val="08071700"/>
    <w:rsid w:val="08071789"/>
    <w:rsid w:val="08071790"/>
    <w:rsid w:val="080718AD"/>
    <w:rsid w:val="080718F4"/>
    <w:rsid w:val="080718F8"/>
    <w:rsid w:val="08071941"/>
    <w:rsid w:val="08071944"/>
    <w:rsid w:val="08071972"/>
    <w:rsid w:val="08071975"/>
    <w:rsid w:val="080719D7"/>
    <w:rsid w:val="080719FD"/>
    <w:rsid w:val="08071A0F"/>
    <w:rsid w:val="08071A41"/>
    <w:rsid w:val="08071AF3"/>
    <w:rsid w:val="08071B5F"/>
    <w:rsid w:val="08071BB7"/>
    <w:rsid w:val="08071C18"/>
    <w:rsid w:val="08071C64"/>
    <w:rsid w:val="08071D56"/>
    <w:rsid w:val="08071D73"/>
    <w:rsid w:val="08071DC6"/>
    <w:rsid w:val="08071E51"/>
    <w:rsid w:val="08071E89"/>
    <w:rsid w:val="08071EEE"/>
    <w:rsid w:val="08071F0F"/>
    <w:rsid w:val="08071F14"/>
    <w:rsid w:val="08071F99"/>
    <w:rsid w:val="08071FF8"/>
    <w:rsid w:val="0807201E"/>
    <w:rsid w:val="08072030"/>
    <w:rsid w:val="08072114"/>
    <w:rsid w:val="08072125"/>
    <w:rsid w:val="080721B0"/>
    <w:rsid w:val="080721C8"/>
    <w:rsid w:val="08072205"/>
    <w:rsid w:val="08072299"/>
    <w:rsid w:val="0807231D"/>
    <w:rsid w:val="080723BF"/>
    <w:rsid w:val="080724D8"/>
    <w:rsid w:val="080724FF"/>
    <w:rsid w:val="08072501"/>
    <w:rsid w:val="0807252D"/>
    <w:rsid w:val="08072538"/>
    <w:rsid w:val="08072542"/>
    <w:rsid w:val="0807257B"/>
    <w:rsid w:val="080725B0"/>
    <w:rsid w:val="08072649"/>
    <w:rsid w:val="08072668"/>
    <w:rsid w:val="0807271E"/>
    <w:rsid w:val="080727C5"/>
    <w:rsid w:val="080727D0"/>
    <w:rsid w:val="08072876"/>
    <w:rsid w:val="08072878"/>
    <w:rsid w:val="08072A19"/>
    <w:rsid w:val="08072A3A"/>
    <w:rsid w:val="08072B40"/>
    <w:rsid w:val="08072B50"/>
    <w:rsid w:val="08072BB0"/>
    <w:rsid w:val="08072C35"/>
    <w:rsid w:val="08072C80"/>
    <w:rsid w:val="08072C8D"/>
    <w:rsid w:val="08072D21"/>
    <w:rsid w:val="08072D45"/>
    <w:rsid w:val="08072D4C"/>
    <w:rsid w:val="08072D68"/>
    <w:rsid w:val="08072D6B"/>
    <w:rsid w:val="08072E6B"/>
    <w:rsid w:val="08072F57"/>
    <w:rsid w:val="08072FAC"/>
    <w:rsid w:val="08073159"/>
    <w:rsid w:val="080732DA"/>
    <w:rsid w:val="0807340C"/>
    <w:rsid w:val="080734B7"/>
    <w:rsid w:val="080735ED"/>
    <w:rsid w:val="08073609"/>
    <w:rsid w:val="08073643"/>
    <w:rsid w:val="080737DE"/>
    <w:rsid w:val="080737E2"/>
    <w:rsid w:val="08073830"/>
    <w:rsid w:val="0807386F"/>
    <w:rsid w:val="080738A4"/>
    <w:rsid w:val="08073962"/>
    <w:rsid w:val="08073987"/>
    <w:rsid w:val="080739E3"/>
    <w:rsid w:val="08073A0E"/>
    <w:rsid w:val="08073A36"/>
    <w:rsid w:val="08073ABD"/>
    <w:rsid w:val="08073B4A"/>
    <w:rsid w:val="08073B66"/>
    <w:rsid w:val="08073B8A"/>
    <w:rsid w:val="08073C8F"/>
    <w:rsid w:val="08073D16"/>
    <w:rsid w:val="08073D2C"/>
    <w:rsid w:val="08073DA8"/>
    <w:rsid w:val="08073DFF"/>
    <w:rsid w:val="08073E38"/>
    <w:rsid w:val="08073E58"/>
    <w:rsid w:val="08073E8D"/>
    <w:rsid w:val="08073F78"/>
    <w:rsid w:val="08073F87"/>
    <w:rsid w:val="08074078"/>
    <w:rsid w:val="08074088"/>
    <w:rsid w:val="08074149"/>
    <w:rsid w:val="08074214"/>
    <w:rsid w:val="080742D4"/>
    <w:rsid w:val="0807434F"/>
    <w:rsid w:val="08074352"/>
    <w:rsid w:val="08074433"/>
    <w:rsid w:val="08074437"/>
    <w:rsid w:val="080744C3"/>
    <w:rsid w:val="080744D0"/>
    <w:rsid w:val="0807461E"/>
    <w:rsid w:val="080746D2"/>
    <w:rsid w:val="08074726"/>
    <w:rsid w:val="08074730"/>
    <w:rsid w:val="08074737"/>
    <w:rsid w:val="08074835"/>
    <w:rsid w:val="080748B5"/>
    <w:rsid w:val="080748E8"/>
    <w:rsid w:val="080748EA"/>
    <w:rsid w:val="08074938"/>
    <w:rsid w:val="0807496D"/>
    <w:rsid w:val="08074992"/>
    <w:rsid w:val="08074A03"/>
    <w:rsid w:val="08074A10"/>
    <w:rsid w:val="08074A21"/>
    <w:rsid w:val="08074BC1"/>
    <w:rsid w:val="08074C7E"/>
    <w:rsid w:val="08074CD1"/>
    <w:rsid w:val="08074CFA"/>
    <w:rsid w:val="08074D4E"/>
    <w:rsid w:val="08075002"/>
    <w:rsid w:val="080750E1"/>
    <w:rsid w:val="080750F5"/>
    <w:rsid w:val="08075120"/>
    <w:rsid w:val="0807525B"/>
    <w:rsid w:val="08075274"/>
    <w:rsid w:val="08075342"/>
    <w:rsid w:val="080753B0"/>
    <w:rsid w:val="08075422"/>
    <w:rsid w:val="080755C8"/>
    <w:rsid w:val="080755ED"/>
    <w:rsid w:val="080755F6"/>
    <w:rsid w:val="08075605"/>
    <w:rsid w:val="08075766"/>
    <w:rsid w:val="080757BB"/>
    <w:rsid w:val="080757F5"/>
    <w:rsid w:val="0807587D"/>
    <w:rsid w:val="080758BD"/>
    <w:rsid w:val="080758F9"/>
    <w:rsid w:val="080759C3"/>
    <w:rsid w:val="08075A74"/>
    <w:rsid w:val="08075AFB"/>
    <w:rsid w:val="08075C02"/>
    <w:rsid w:val="08075C2E"/>
    <w:rsid w:val="08075C7B"/>
    <w:rsid w:val="08075CE2"/>
    <w:rsid w:val="08075DD2"/>
    <w:rsid w:val="08075EC4"/>
    <w:rsid w:val="08075F53"/>
    <w:rsid w:val="08075F61"/>
    <w:rsid w:val="08075FA0"/>
    <w:rsid w:val="0807601F"/>
    <w:rsid w:val="0807602F"/>
    <w:rsid w:val="08076076"/>
    <w:rsid w:val="08076137"/>
    <w:rsid w:val="08076252"/>
    <w:rsid w:val="08076296"/>
    <w:rsid w:val="08076313"/>
    <w:rsid w:val="08076386"/>
    <w:rsid w:val="080764FC"/>
    <w:rsid w:val="080765C7"/>
    <w:rsid w:val="080765E5"/>
    <w:rsid w:val="0807661F"/>
    <w:rsid w:val="0807664C"/>
    <w:rsid w:val="0807667B"/>
    <w:rsid w:val="080766B8"/>
    <w:rsid w:val="0807671F"/>
    <w:rsid w:val="08076740"/>
    <w:rsid w:val="080767DD"/>
    <w:rsid w:val="080768AB"/>
    <w:rsid w:val="08076924"/>
    <w:rsid w:val="08076964"/>
    <w:rsid w:val="08076992"/>
    <w:rsid w:val="080769BB"/>
    <w:rsid w:val="08076A11"/>
    <w:rsid w:val="08076A1E"/>
    <w:rsid w:val="08076AB4"/>
    <w:rsid w:val="08076AFF"/>
    <w:rsid w:val="08076B3B"/>
    <w:rsid w:val="08076B95"/>
    <w:rsid w:val="08076BC6"/>
    <w:rsid w:val="08076CD8"/>
    <w:rsid w:val="08076CD9"/>
    <w:rsid w:val="08076E54"/>
    <w:rsid w:val="080770CE"/>
    <w:rsid w:val="0807715A"/>
    <w:rsid w:val="080772E6"/>
    <w:rsid w:val="080773B9"/>
    <w:rsid w:val="080773D2"/>
    <w:rsid w:val="080773EB"/>
    <w:rsid w:val="080773F0"/>
    <w:rsid w:val="08077400"/>
    <w:rsid w:val="08077431"/>
    <w:rsid w:val="08077456"/>
    <w:rsid w:val="08077500"/>
    <w:rsid w:val="0807751E"/>
    <w:rsid w:val="0807773D"/>
    <w:rsid w:val="080777E9"/>
    <w:rsid w:val="0807781E"/>
    <w:rsid w:val="08077833"/>
    <w:rsid w:val="0807785A"/>
    <w:rsid w:val="0807787B"/>
    <w:rsid w:val="0807790C"/>
    <w:rsid w:val="08077912"/>
    <w:rsid w:val="080779C9"/>
    <w:rsid w:val="08077AC0"/>
    <w:rsid w:val="08077B14"/>
    <w:rsid w:val="08077B2D"/>
    <w:rsid w:val="08077BB5"/>
    <w:rsid w:val="08077C23"/>
    <w:rsid w:val="08077C79"/>
    <w:rsid w:val="08077C91"/>
    <w:rsid w:val="08077C9D"/>
    <w:rsid w:val="08077CD9"/>
    <w:rsid w:val="08077CDE"/>
    <w:rsid w:val="08077DAC"/>
    <w:rsid w:val="08077DCF"/>
    <w:rsid w:val="08077E79"/>
    <w:rsid w:val="08077F01"/>
    <w:rsid w:val="080800CA"/>
    <w:rsid w:val="08080132"/>
    <w:rsid w:val="080801C1"/>
    <w:rsid w:val="0808034C"/>
    <w:rsid w:val="080803E0"/>
    <w:rsid w:val="080803EB"/>
    <w:rsid w:val="080803FB"/>
    <w:rsid w:val="08080443"/>
    <w:rsid w:val="08080469"/>
    <w:rsid w:val="0808056B"/>
    <w:rsid w:val="08080698"/>
    <w:rsid w:val="08080703"/>
    <w:rsid w:val="08080769"/>
    <w:rsid w:val="080807A6"/>
    <w:rsid w:val="080807EE"/>
    <w:rsid w:val="08080913"/>
    <w:rsid w:val="08080948"/>
    <w:rsid w:val="08080952"/>
    <w:rsid w:val="080809A0"/>
    <w:rsid w:val="08080A0C"/>
    <w:rsid w:val="08080A58"/>
    <w:rsid w:val="08080A6D"/>
    <w:rsid w:val="08080A91"/>
    <w:rsid w:val="08080AA3"/>
    <w:rsid w:val="08080D4C"/>
    <w:rsid w:val="08080D6F"/>
    <w:rsid w:val="08080E45"/>
    <w:rsid w:val="08080E5A"/>
    <w:rsid w:val="08080E80"/>
    <w:rsid w:val="08080EAF"/>
    <w:rsid w:val="08080EC6"/>
    <w:rsid w:val="0808115F"/>
    <w:rsid w:val="08081198"/>
    <w:rsid w:val="08081245"/>
    <w:rsid w:val="080812A1"/>
    <w:rsid w:val="080813C0"/>
    <w:rsid w:val="080814B4"/>
    <w:rsid w:val="080814D9"/>
    <w:rsid w:val="0808152B"/>
    <w:rsid w:val="08081548"/>
    <w:rsid w:val="080815AF"/>
    <w:rsid w:val="0808168A"/>
    <w:rsid w:val="0808169B"/>
    <w:rsid w:val="080816AD"/>
    <w:rsid w:val="0808170D"/>
    <w:rsid w:val="0808172F"/>
    <w:rsid w:val="08081730"/>
    <w:rsid w:val="0808178C"/>
    <w:rsid w:val="080818C2"/>
    <w:rsid w:val="080818FD"/>
    <w:rsid w:val="08081A6C"/>
    <w:rsid w:val="08081A9B"/>
    <w:rsid w:val="08081AA4"/>
    <w:rsid w:val="08081C7E"/>
    <w:rsid w:val="08081C9D"/>
    <w:rsid w:val="08081CA5"/>
    <w:rsid w:val="08081CF7"/>
    <w:rsid w:val="08081DA9"/>
    <w:rsid w:val="08081F1F"/>
    <w:rsid w:val="08081F26"/>
    <w:rsid w:val="08081FA0"/>
    <w:rsid w:val="08082089"/>
    <w:rsid w:val="08082128"/>
    <w:rsid w:val="08082129"/>
    <w:rsid w:val="08082169"/>
    <w:rsid w:val="08082212"/>
    <w:rsid w:val="08082238"/>
    <w:rsid w:val="080822A3"/>
    <w:rsid w:val="080822DD"/>
    <w:rsid w:val="0808231A"/>
    <w:rsid w:val="0808231E"/>
    <w:rsid w:val="08082340"/>
    <w:rsid w:val="08082351"/>
    <w:rsid w:val="08082380"/>
    <w:rsid w:val="0808239D"/>
    <w:rsid w:val="08082460"/>
    <w:rsid w:val="080824F9"/>
    <w:rsid w:val="08082554"/>
    <w:rsid w:val="0808255E"/>
    <w:rsid w:val="08082563"/>
    <w:rsid w:val="0808257D"/>
    <w:rsid w:val="080825B8"/>
    <w:rsid w:val="080826C8"/>
    <w:rsid w:val="0808276C"/>
    <w:rsid w:val="080827B5"/>
    <w:rsid w:val="080827CB"/>
    <w:rsid w:val="080827EE"/>
    <w:rsid w:val="080827F2"/>
    <w:rsid w:val="080827FE"/>
    <w:rsid w:val="08082AA4"/>
    <w:rsid w:val="08082AC4"/>
    <w:rsid w:val="08082BB0"/>
    <w:rsid w:val="08082D56"/>
    <w:rsid w:val="08082D94"/>
    <w:rsid w:val="08082D9D"/>
    <w:rsid w:val="08082E2D"/>
    <w:rsid w:val="08083079"/>
    <w:rsid w:val="080833D2"/>
    <w:rsid w:val="080833FE"/>
    <w:rsid w:val="08083433"/>
    <w:rsid w:val="080834A4"/>
    <w:rsid w:val="080834B5"/>
    <w:rsid w:val="0808359C"/>
    <w:rsid w:val="080835BE"/>
    <w:rsid w:val="0808361B"/>
    <w:rsid w:val="08083666"/>
    <w:rsid w:val="08083672"/>
    <w:rsid w:val="08083751"/>
    <w:rsid w:val="08083775"/>
    <w:rsid w:val="08083783"/>
    <w:rsid w:val="080837D2"/>
    <w:rsid w:val="0808381D"/>
    <w:rsid w:val="0808387D"/>
    <w:rsid w:val="08083892"/>
    <w:rsid w:val="08083981"/>
    <w:rsid w:val="0808399D"/>
    <w:rsid w:val="080839DB"/>
    <w:rsid w:val="080839E2"/>
    <w:rsid w:val="08083AB3"/>
    <w:rsid w:val="08083AF4"/>
    <w:rsid w:val="08083B66"/>
    <w:rsid w:val="08083B6D"/>
    <w:rsid w:val="08083C01"/>
    <w:rsid w:val="08083CCB"/>
    <w:rsid w:val="08083CEA"/>
    <w:rsid w:val="08083D00"/>
    <w:rsid w:val="08083D2F"/>
    <w:rsid w:val="08083E57"/>
    <w:rsid w:val="08083E5E"/>
    <w:rsid w:val="08083E90"/>
    <w:rsid w:val="08083EE3"/>
    <w:rsid w:val="08083FA0"/>
    <w:rsid w:val="080840E7"/>
    <w:rsid w:val="080840E9"/>
    <w:rsid w:val="080841C2"/>
    <w:rsid w:val="08084432"/>
    <w:rsid w:val="080844D0"/>
    <w:rsid w:val="0808472C"/>
    <w:rsid w:val="08084756"/>
    <w:rsid w:val="080847C2"/>
    <w:rsid w:val="0808480E"/>
    <w:rsid w:val="08084829"/>
    <w:rsid w:val="080848D6"/>
    <w:rsid w:val="08084950"/>
    <w:rsid w:val="080849C4"/>
    <w:rsid w:val="08084A72"/>
    <w:rsid w:val="08084AA8"/>
    <w:rsid w:val="08084AEB"/>
    <w:rsid w:val="08084B37"/>
    <w:rsid w:val="08084B8B"/>
    <w:rsid w:val="08084BF7"/>
    <w:rsid w:val="08084C2D"/>
    <w:rsid w:val="08084C95"/>
    <w:rsid w:val="08084CC2"/>
    <w:rsid w:val="08084CDC"/>
    <w:rsid w:val="08084CDF"/>
    <w:rsid w:val="08084CEF"/>
    <w:rsid w:val="08084CF8"/>
    <w:rsid w:val="08084D2B"/>
    <w:rsid w:val="08084D70"/>
    <w:rsid w:val="08084D8C"/>
    <w:rsid w:val="08084DA1"/>
    <w:rsid w:val="08084DB6"/>
    <w:rsid w:val="08084E28"/>
    <w:rsid w:val="08084E64"/>
    <w:rsid w:val="08084EAC"/>
    <w:rsid w:val="08084F75"/>
    <w:rsid w:val="08084FA3"/>
    <w:rsid w:val="08085067"/>
    <w:rsid w:val="080850DC"/>
    <w:rsid w:val="080850EE"/>
    <w:rsid w:val="080850F2"/>
    <w:rsid w:val="080850FF"/>
    <w:rsid w:val="08085152"/>
    <w:rsid w:val="08085197"/>
    <w:rsid w:val="080851CF"/>
    <w:rsid w:val="08085242"/>
    <w:rsid w:val="08085256"/>
    <w:rsid w:val="080852CD"/>
    <w:rsid w:val="08085343"/>
    <w:rsid w:val="08085465"/>
    <w:rsid w:val="080854EF"/>
    <w:rsid w:val="0808550F"/>
    <w:rsid w:val="0808553D"/>
    <w:rsid w:val="0808558F"/>
    <w:rsid w:val="080855E0"/>
    <w:rsid w:val="08085649"/>
    <w:rsid w:val="080856B6"/>
    <w:rsid w:val="080856D6"/>
    <w:rsid w:val="08085722"/>
    <w:rsid w:val="0808577F"/>
    <w:rsid w:val="08085793"/>
    <w:rsid w:val="08085802"/>
    <w:rsid w:val="0808584F"/>
    <w:rsid w:val="08085875"/>
    <w:rsid w:val="080858A3"/>
    <w:rsid w:val="0808590E"/>
    <w:rsid w:val="08085944"/>
    <w:rsid w:val="0808598B"/>
    <w:rsid w:val="080859B5"/>
    <w:rsid w:val="080859CB"/>
    <w:rsid w:val="08085A59"/>
    <w:rsid w:val="08085A70"/>
    <w:rsid w:val="08085AD2"/>
    <w:rsid w:val="08085B08"/>
    <w:rsid w:val="08085BF4"/>
    <w:rsid w:val="08085D6C"/>
    <w:rsid w:val="08085DB1"/>
    <w:rsid w:val="08085DEC"/>
    <w:rsid w:val="08085E50"/>
    <w:rsid w:val="08085EBE"/>
    <w:rsid w:val="08085ECD"/>
    <w:rsid w:val="08085F46"/>
    <w:rsid w:val="08085F6C"/>
    <w:rsid w:val="08085F6F"/>
    <w:rsid w:val="08085FD1"/>
    <w:rsid w:val="08085FE3"/>
    <w:rsid w:val="08086093"/>
    <w:rsid w:val="08086122"/>
    <w:rsid w:val="08086132"/>
    <w:rsid w:val="08086158"/>
    <w:rsid w:val="0808615C"/>
    <w:rsid w:val="08086256"/>
    <w:rsid w:val="08086279"/>
    <w:rsid w:val="080862CB"/>
    <w:rsid w:val="080862EA"/>
    <w:rsid w:val="080865DC"/>
    <w:rsid w:val="080865F9"/>
    <w:rsid w:val="08086649"/>
    <w:rsid w:val="080866B9"/>
    <w:rsid w:val="08086729"/>
    <w:rsid w:val="0808675A"/>
    <w:rsid w:val="08086770"/>
    <w:rsid w:val="08086808"/>
    <w:rsid w:val="08086853"/>
    <w:rsid w:val="080868DE"/>
    <w:rsid w:val="08086946"/>
    <w:rsid w:val="0808699E"/>
    <w:rsid w:val="080869A0"/>
    <w:rsid w:val="080869FD"/>
    <w:rsid w:val="08086A1D"/>
    <w:rsid w:val="08086B10"/>
    <w:rsid w:val="08086B65"/>
    <w:rsid w:val="08086BB1"/>
    <w:rsid w:val="08086BDD"/>
    <w:rsid w:val="08086CA4"/>
    <w:rsid w:val="08086D55"/>
    <w:rsid w:val="08086D57"/>
    <w:rsid w:val="08086DD8"/>
    <w:rsid w:val="08086E13"/>
    <w:rsid w:val="08086E30"/>
    <w:rsid w:val="08086E9A"/>
    <w:rsid w:val="08086E9D"/>
    <w:rsid w:val="08086E9F"/>
    <w:rsid w:val="0808708B"/>
    <w:rsid w:val="080871DC"/>
    <w:rsid w:val="080872E8"/>
    <w:rsid w:val="0808747A"/>
    <w:rsid w:val="080874E9"/>
    <w:rsid w:val="080874F7"/>
    <w:rsid w:val="080874FC"/>
    <w:rsid w:val="0808756F"/>
    <w:rsid w:val="08087578"/>
    <w:rsid w:val="080875A2"/>
    <w:rsid w:val="080875DA"/>
    <w:rsid w:val="08087643"/>
    <w:rsid w:val="08087649"/>
    <w:rsid w:val="08087654"/>
    <w:rsid w:val="08087655"/>
    <w:rsid w:val="08087689"/>
    <w:rsid w:val="08087694"/>
    <w:rsid w:val="080876C8"/>
    <w:rsid w:val="08087723"/>
    <w:rsid w:val="0808780D"/>
    <w:rsid w:val="08087911"/>
    <w:rsid w:val="08087B05"/>
    <w:rsid w:val="08087B3C"/>
    <w:rsid w:val="08087BBF"/>
    <w:rsid w:val="08087CEB"/>
    <w:rsid w:val="08087D70"/>
    <w:rsid w:val="08087D8F"/>
    <w:rsid w:val="08087DAB"/>
    <w:rsid w:val="08087E1D"/>
    <w:rsid w:val="08087E6E"/>
    <w:rsid w:val="08087E8D"/>
    <w:rsid w:val="08087EA5"/>
    <w:rsid w:val="08087F48"/>
    <w:rsid w:val="08087F4E"/>
    <w:rsid w:val="08087F9B"/>
    <w:rsid w:val="08087FC6"/>
    <w:rsid w:val="08087FE4"/>
    <w:rsid w:val="080900E1"/>
    <w:rsid w:val="080901B2"/>
    <w:rsid w:val="0809024C"/>
    <w:rsid w:val="080902CE"/>
    <w:rsid w:val="080903A9"/>
    <w:rsid w:val="08090411"/>
    <w:rsid w:val="08090412"/>
    <w:rsid w:val="08090467"/>
    <w:rsid w:val="080904FA"/>
    <w:rsid w:val="08090532"/>
    <w:rsid w:val="0809055B"/>
    <w:rsid w:val="080905AF"/>
    <w:rsid w:val="080905DE"/>
    <w:rsid w:val="080906B3"/>
    <w:rsid w:val="080906B9"/>
    <w:rsid w:val="080906C7"/>
    <w:rsid w:val="0809072D"/>
    <w:rsid w:val="08090784"/>
    <w:rsid w:val="080907DE"/>
    <w:rsid w:val="0809080A"/>
    <w:rsid w:val="08090815"/>
    <w:rsid w:val="08090835"/>
    <w:rsid w:val="08090A62"/>
    <w:rsid w:val="08090A85"/>
    <w:rsid w:val="08090AC8"/>
    <w:rsid w:val="08090B38"/>
    <w:rsid w:val="08090BC5"/>
    <w:rsid w:val="08090BE7"/>
    <w:rsid w:val="08090C06"/>
    <w:rsid w:val="08090C12"/>
    <w:rsid w:val="08090C14"/>
    <w:rsid w:val="08090D1A"/>
    <w:rsid w:val="08090D1B"/>
    <w:rsid w:val="08090E8A"/>
    <w:rsid w:val="08090EB9"/>
    <w:rsid w:val="08090F21"/>
    <w:rsid w:val="08090F33"/>
    <w:rsid w:val="08090F6F"/>
    <w:rsid w:val="08090F7F"/>
    <w:rsid w:val="08090FBD"/>
    <w:rsid w:val="08090FDB"/>
    <w:rsid w:val="08090FFD"/>
    <w:rsid w:val="08091030"/>
    <w:rsid w:val="08091035"/>
    <w:rsid w:val="080910AA"/>
    <w:rsid w:val="080910D9"/>
    <w:rsid w:val="08091116"/>
    <w:rsid w:val="08091180"/>
    <w:rsid w:val="08091199"/>
    <w:rsid w:val="08091257"/>
    <w:rsid w:val="080912FC"/>
    <w:rsid w:val="08091306"/>
    <w:rsid w:val="08091388"/>
    <w:rsid w:val="080913B7"/>
    <w:rsid w:val="080913DF"/>
    <w:rsid w:val="080913ED"/>
    <w:rsid w:val="080913FA"/>
    <w:rsid w:val="080914AA"/>
    <w:rsid w:val="08091547"/>
    <w:rsid w:val="08091571"/>
    <w:rsid w:val="080915CE"/>
    <w:rsid w:val="080916CD"/>
    <w:rsid w:val="08091746"/>
    <w:rsid w:val="0809175F"/>
    <w:rsid w:val="0809176E"/>
    <w:rsid w:val="080917C5"/>
    <w:rsid w:val="080917E9"/>
    <w:rsid w:val="0809181A"/>
    <w:rsid w:val="08091928"/>
    <w:rsid w:val="08091964"/>
    <w:rsid w:val="0809196F"/>
    <w:rsid w:val="080919C4"/>
    <w:rsid w:val="080919DD"/>
    <w:rsid w:val="08091A71"/>
    <w:rsid w:val="08091B62"/>
    <w:rsid w:val="08091B73"/>
    <w:rsid w:val="08091BBC"/>
    <w:rsid w:val="08091C18"/>
    <w:rsid w:val="08091C42"/>
    <w:rsid w:val="08091CD3"/>
    <w:rsid w:val="08091CE1"/>
    <w:rsid w:val="08091CF2"/>
    <w:rsid w:val="08091DBC"/>
    <w:rsid w:val="08091DE4"/>
    <w:rsid w:val="08091DFD"/>
    <w:rsid w:val="08091E2A"/>
    <w:rsid w:val="0809207E"/>
    <w:rsid w:val="080920C3"/>
    <w:rsid w:val="08092148"/>
    <w:rsid w:val="08092163"/>
    <w:rsid w:val="08092175"/>
    <w:rsid w:val="080921DA"/>
    <w:rsid w:val="0809222D"/>
    <w:rsid w:val="08092278"/>
    <w:rsid w:val="080922E9"/>
    <w:rsid w:val="080923DC"/>
    <w:rsid w:val="080923FE"/>
    <w:rsid w:val="08092462"/>
    <w:rsid w:val="0809249A"/>
    <w:rsid w:val="080924ED"/>
    <w:rsid w:val="08092589"/>
    <w:rsid w:val="080925B8"/>
    <w:rsid w:val="0809276D"/>
    <w:rsid w:val="08092810"/>
    <w:rsid w:val="08092892"/>
    <w:rsid w:val="0809289B"/>
    <w:rsid w:val="08092938"/>
    <w:rsid w:val="080929B9"/>
    <w:rsid w:val="080929C4"/>
    <w:rsid w:val="08092ABF"/>
    <w:rsid w:val="08092B19"/>
    <w:rsid w:val="08092BB3"/>
    <w:rsid w:val="08092BCC"/>
    <w:rsid w:val="08092C0F"/>
    <w:rsid w:val="08092C1B"/>
    <w:rsid w:val="08092C99"/>
    <w:rsid w:val="08092DA6"/>
    <w:rsid w:val="08092DB3"/>
    <w:rsid w:val="08092ED2"/>
    <w:rsid w:val="08092F71"/>
    <w:rsid w:val="08092FDB"/>
    <w:rsid w:val="08092FE5"/>
    <w:rsid w:val="0809300E"/>
    <w:rsid w:val="080930A1"/>
    <w:rsid w:val="0809312A"/>
    <w:rsid w:val="08093180"/>
    <w:rsid w:val="080931B2"/>
    <w:rsid w:val="0809322E"/>
    <w:rsid w:val="08093294"/>
    <w:rsid w:val="080932ED"/>
    <w:rsid w:val="08093339"/>
    <w:rsid w:val="08093341"/>
    <w:rsid w:val="08093381"/>
    <w:rsid w:val="080933F9"/>
    <w:rsid w:val="080933FB"/>
    <w:rsid w:val="080933FD"/>
    <w:rsid w:val="08093429"/>
    <w:rsid w:val="08093451"/>
    <w:rsid w:val="08093453"/>
    <w:rsid w:val="080934A4"/>
    <w:rsid w:val="080934B7"/>
    <w:rsid w:val="0809357C"/>
    <w:rsid w:val="080935C0"/>
    <w:rsid w:val="080935D7"/>
    <w:rsid w:val="08093681"/>
    <w:rsid w:val="080936A2"/>
    <w:rsid w:val="080936BF"/>
    <w:rsid w:val="08093720"/>
    <w:rsid w:val="08093797"/>
    <w:rsid w:val="080938C0"/>
    <w:rsid w:val="080938C8"/>
    <w:rsid w:val="0809391E"/>
    <w:rsid w:val="08093969"/>
    <w:rsid w:val="08093A3E"/>
    <w:rsid w:val="08093A4A"/>
    <w:rsid w:val="08093ABB"/>
    <w:rsid w:val="08093B41"/>
    <w:rsid w:val="08093B65"/>
    <w:rsid w:val="08093C0A"/>
    <w:rsid w:val="08093C37"/>
    <w:rsid w:val="08093C50"/>
    <w:rsid w:val="08093C88"/>
    <w:rsid w:val="08093E53"/>
    <w:rsid w:val="08093E73"/>
    <w:rsid w:val="08093ED2"/>
    <w:rsid w:val="08094043"/>
    <w:rsid w:val="08094142"/>
    <w:rsid w:val="08094212"/>
    <w:rsid w:val="080942CB"/>
    <w:rsid w:val="0809437A"/>
    <w:rsid w:val="080943B0"/>
    <w:rsid w:val="08094467"/>
    <w:rsid w:val="0809455A"/>
    <w:rsid w:val="080945AA"/>
    <w:rsid w:val="0809464F"/>
    <w:rsid w:val="08094651"/>
    <w:rsid w:val="08094677"/>
    <w:rsid w:val="0809467B"/>
    <w:rsid w:val="0809477C"/>
    <w:rsid w:val="08094780"/>
    <w:rsid w:val="080947A4"/>
    <w:rsid w:val="08094843"/>
    <w:rsid w:val="08094894"/>
    <w:rsid w:val="080948BD"/>
    <w:rsid w:val="080948C8"/>
    <w:rsid w:val="08094946"/>
    <w:rsid w:val="080949E4"/>
    <w:rsid w:val="08094A1B"/>
    <w:rsid w:val="08094B0E"/>
    <w:rsid w:val="08094D69"/>
    <w:rsid w:val="08094DC8"/>
    <w:rsid w:val="08094DCA"/>
    <w:rsid w:val="08094DE7"/>
    <w:rsid w:val="08094F11"/>
    <w:rsid w:val="08094F20"/>
    <w:rsid w:val="08094F93"/>
    <w:rsid w:val="0809508A"/>
    <w:rsid w:val="08095095"/>
    <w:rsid w:val="0809514B"/>
    <w:rsid w:val="080951BF"/>
    <w:rsid w:val="08095224"/>
    <w:rsid w:val="08095231"/>
    <w:rsid w:val="08095373"/>
    <w:rsid w:val="080954FF"/>
    <w:rsid w:val="080955E0"/>
    <w:rsid w:val="0809560E"/>
    <w:rsid w:val="0809583A"/>
    <w:rsid w:val="080958A7"/>
    <w:rsid w:val="080958AE"/>
    <w:rsid w:val="080958D0"/>
    <w:rsid w:val="080958D5"/>
    <w:rsid w:val="0809597A"/>
    <w:rsid w:val="08095AB0"/>
    <w:rsid w:val="08095C4F"/>
    <w:rsid w:val="08095CC8"/>
    <w:rsid w:val="08095CFF"/>
    <w:rsid w:val="08095DC0"/>
    <w:rsid w:val="08095E51"/>
    <w:rsid w:val="08095EB7"/>
    <w:rsid w:val="08095F1A"/>
    <w:rsid w:val="08095F1D"/>
    <w:rsid w:val="08095F1F"/>
    <w:rsid w:val="08095F24"/>
    <w:rsid w:val="08095F30"/>
    <w:rsid w:val="08095F31"/>
    <w:rsid w:val="08095F85"/>
    <w:rsid w:val="08096065"/>
    <w:rsid w:val="080960C4"/>
    <w:rsid w:val="0809610E"/>
    <w:rsid w:val="0809622C"/>
    <w:rsid w:val="08096236"/>
    <w:rsid w:val="0809626C"/>
    <w:rsid w:val="0809627B"/>
    <w:rsid w:val="08096280"/>
    <w:rsid w:val="080963BF"/>
    <w:rsid w:val="08096426"/>
    <w:rsid w:val="080964BD"/>
    <w:rsid w:val="080964DE"/>
    <w:rsid w:val="080966A5"/>
    <w:rsid w:val="080966C0"/>
    <w:rsid w:val="080966E5"/>
    <w:rsid w:val="080966F0"/>
    <w:rsid w:val="08096779"/>
    <w:rsid w:val="08096797"/>
    <w:rsid w:val="0809689F"/>
    <w:rsid w:val="080968C7"/>
    <w:rsid w:val="080969A9"/>
    <w:rsid w:val="08096A3B"/>
    <w:rsid w:val="08096AA2"/>
    <w:rsid w:val="08096B57"/>
    <w:rsid w:val="08096BFB"/>
    <w:rsid w:val="08096CB1"/>
    <w:rsid w:val="08096CC7"/>
    <w:rsid w:val="08096CF9"/>
    <w:rsid w:val="08096E63"/>
    <w:rsid w:val="08096EEB"/>
    <w:rsid w:val="08096FE7"/>
    <w:rsid w:val="08096FEC"/>
    <w:rsid w:val="080970DC"/>
    <w:rsid w:val="08097154"/>
    <w:rsid w:val="080972F6"/>
    <w:rsid w:val="08097352"/>
    <w:rsid w:val="08097390"/>
    <w:rsid w:val="080973BB"/>
    <w:rsid w:val="0809747D"/>
    <w:rsid w:val="08097494"/>
    <w:rsid w:val="08097599"/>
    <w:rsid w:val="08097736"/>
    <w:rsid w:val="08097767"/>
    <w:rsid w:val="080977A6"/>
    <w:rsid w:val="08097911"/>
    <w:rsid w:val="080979E4"/>
    <w:rsid w:val="08097A0B"/>
    <w:rsid w:val="08097AC5"/>
    <w:rsid w:val="08097C28"/>
    <w:rsid w:val="08097C4B"/>
    <w:rsid w:val="08097CAC"/>
    <w:rsid w:val="08097CD9"/>
    <w:rsid w:val="08097D28"/>
    <w:rsid w:val="08097DF5"/>
    <w:rsid w:val="08097E6F"/>
    <w:rsid w:val="08097EBB"/>
    <w:rsid w:val="08097F08"/>
    <w:rsid w:val="08097FC4"/>
    <w:rsid w:val="080A0045"/>
    <w:rsid w:val="080A00E4"/>
    <w:rsid w:val="080A0108"/>
    <w:rsid w:val="080A01CB"/>
    <w:rsid w:val="080A02BA"/>
    <w:rsid w:val="080A033F"/>
    <w:rsid w:val="080A034D"/>
    <w:rsid w:val="080A034E"/>
    <w:rsid w:val="080A0398"/>
    <w:rsid w:val="080A0412"/>
    <w:rsid w:val="080A04B4"/>
    <w:rsid w:val="080A0502"/>
    <w:rsid w:val="080A0588"/>
    <w:rsid w:val="080A076C"/>
    <w:rsid w:val="080A0794"/>
    <w:rsid w:val="080A0878"/>
    <w:rsid w:val="080A0AFA"/>
    <w:rsid w:val="080A0B1D"/>
    <w:rsid w:val="080A0B23"/>
    <w:rsid w:val="080A0B36"/>
    <w:rsid w:val="080A0BF8"/>
    <w:rsid w:val="080A0C73"/>
    <w:rsid w:val="080A0DF1"/>
    <w:rsid w:val="080A0E39"/>
    <w:rsid w:val="080A0E51"/>
    <w:rsid w:val="080A0E80"/>
    <w:rsid w:val="080A0EF3"/>
    <w:rsid w:val="080A0FBE"/>
    <w:rsid w:val="080A10AF"/>
    <w:rsid w:val="080A1135"/>
    <w:rsid w:val="080A1195"/>
    <w:rsid w:val="080A11AB"/>
    <w:rsid w:val="080A12FB"/>
    <w:rsid w:val="080A1310"/>
    <w:rsid w:val="080A13AB"/>
    <w:rsid w:val="080A13CD"/>
    <w:rsid w:val="080A14AE"/>
    <w:rsid w:val="080A14DD"/>
    <w:rsid w:val="080A1579"/>
    <w:rsid w:val="080A15AB"/>
    <w:rsid w:val="080A15D3"/>
    <w:rsid w:val="080A1642"/>
    <w:rsid w:val="080A173B"/>
    <w:rsid w:val="080A1762"/>
    <w:rsid w:val="080A1770"/>
    <w:rsid w:val="080A1802"/>
    <w:rsid w:val="080A1844"/>
    <w:rsid w:val="080A189A"/>
    <w:rsid w:val="080A18DE"/>
    <w:rsid w:val="080A191E"/>
    <w:rsid w:val="080A192E"/>
    <w:rsid w:val="080A1932"/>
    <w:rsid w:val="080A19F4"/>
    <w:rsid w:val="080A1A57"/>
    <w:rsid w:val="080A1ADB"/>
    <w:rsid w:val="080A1B1B"/>
    <w:rsid w:val="080A1BE7"/>
    <w:rsid w:val="080A1C1B"/>
    <w:rsid w:val="080A1C70"/>
    <w:rsid w:val="080A1D70"/>
    <w:rsid w:val="080A1D88"/>
    <w:rsid w:val="080A1DD0"/>
    <w:rsid w:val="080A1DE3"/>
    <w:rsid w:val="080A1E4C"/>
    <w:rsid w:val="080A1EA8"/>
    <w:rsid w:val="080A1EEC"/>
    <w:rsid w:val="080A1EFF"/>
    <w:rsid w:val="080A1F7A"/>
    <w:rsid w:val="080A1F87"/>
    <w:rsid w:val="080A20BB"/>
    <w:rsid w:val="080A2140"/>
    <w:rsid w:val="080A216E"/>
    <w:rsid w:val="080A217F"/>
    <w:rsid w:val="080A224D"/>
    <w:rsid w:val="080A2287"/>
    <w:rsid w:val="080A22CE"/>
    <w:rsid w:val="080A23D4"/>
    <w:rsid w:val="080A2565"/>
    <w:rsid w:val="080A26CD"/>
    <w:rsid w:val="080A26FF"/>
    <w:rsid w:val="080A2701"/>
    <w:rsid w:val="080A2790"/>
    <w:rsid w:val="080A27BE"/>
    <w:rsid w:val="080A2841"/>
    <w:rsid w:val="080A2889"/>
    <w:rsid w:val="080A2A2A"/>
    <w:rsid w:val="080A2A4A"/>
    <w:rsid w:val="080A2B46"/>
    <w:rsid w:val="080A2B5D"/>
    <w:rsid w:val="080A2BDD"/>
    <w:rsid w:val="080A2C2E"/>
    <w:rsid w:val="080A2C6F"/>
    <w:rsid w:val="080A2D22"/>
    <w:rsid w:val="080A2DE6"/>
    <w:rsid w:val="080A2EE2"/>
    <w:rsid w:val="080A3071"/>
    <w:rsid w:val="080A309A"/>
    <w:rsid w:val="080A30B2"/>
    <w:rsid w:val="080A30D5"/>
    <w:rsid w:val="080A30EF"/>
    <w:rsid w:val="080A31C7"/>
    <w:rsid w:val="080A3231"/>
    <w:rsid w:val="080A3275"/>
    <w:rsid w:val="080A3292"/>
    <w:rsid w:val="080A32A3"/>
    <w:rsid w:val="080A32E0"/>
    <w:rsid w:val="080A32F3"/>
    <w:rsid w:val="080A3346"/>
    <w:rsid w:val="080A3384"/>
    <w:rsid w:val="080A339F"/>
    <w:rsid w:val="080A33A3"/>
    <w:rsid w:val="080A33DB"/>
    <w:rsid w:val="080A3436"/>
    <w:rsid w:val="080A3497"/>
    <w:rsid w:val="080A3563"/>
    <w:rsid w:val="080A3580"/>
    <w:rsid w:val="080A359B"/>
    <w:rsid w:val="080A35A4"/>
    <w:rsid w:val="080A3612"/>
    <w:rsid w:val="080A364F"/>
    <w:rsid w:val="080A3665"/>
    <w:rsid w:val="080A3679"/>
    <w:rsid w:val="080A36B1"/>
    <w:rsid w:val="080A3753"/>
    <w:rsid w:val="080A378E"/>
    <w:rsid w:val="080A3842"/>
    <w:rsid w:val="080A3872"/>
    <w:rsid w:val="080A3960"/>
    <w:rsid w:val="080A3B0A"/>
    <w:rsid w:val="080A3B77"/>
    <w:rsid w:val="080A3CCC"/>
    <w:rsid w:val="080A3CE4"/>
    <w:rsid w:val="080A3CFD"/>
    <w:rsid w:val="080A3D2C"/>
    <w:rsid w:val="080A3DCB"/>
    <w:rsid w:val="080A3DEA"/>
    <w:rsid w:val="080A3E3C"/>
    <w:rsid w:val="080A3E52"/>
    <w:rsid w:val="080A3FF3"/>
    <w:rsid w:val="080A4061"/>
    <w:rsid w:val="080A40A2"/>
    <w:rsid w:val="080A4130"/>
    <w:rsid w:val="080A4132"/>
    <w:rsid w:val="080A4136"/>
    <w:rsid w:val="080A4150"/>
    <w:rsid w:val="080A41B3"/>
    <w:rsid w:val="080A41EE"/>
    <w:rsid w:val="080A427E"/>
    <w:rsid w:val="080A42A6"/>
    <w:rsid w:val="080A42E1"/>
    <w:rsid w:val="080A43FB"/>
    <w:rsid w:val="080A449C"/>
    <w:rsid w:val="080A44AC"/>
    <w:rsid w:val="080A4594"/>
    <w:rsid w:val="080A45E6"/>
    <w:rsid w:val="080A45EC"/>
    <w:rsid w:val="080A4600"/>
    <w:rsid w:val="080A460C"/>
    <w:rsid w:val="080A4639"/>
    <w:rsid w:val="080A4726"/>
    <w:rsid w:val="080A4794"/>
    <w:rsid w:val="080A48A2"/>
    <w:rsid w:val="080A48F1"/>
    <w:rsid w:val="080A4907"/>
    <w:rsid w:val="080A4986"/>
    <w:rsid w:val="080A49CA"/>
    <w:rsid w:val="080A4B9D"/>
    <w:rsid w:val="080A4BC6"/>
    <w:rsid w:val="080A4D03"/>
    <w:rsid w:val="080A4D32"/>
    <w:rsid w:val="080A4D9D"/>
    <w:rsid w:val="080A4DF5"/>
    <w:rsid w:val="080A4E7C"/>
    <w:rsid w:val="080A4F36"/>
    <w:rsid w:val="080A4F4C"/>
    <w:rsid w:val="080A505C"/>
    <w:rsid w:val="080A50AA"/>
    <w:rsid w:val="080A5338"/>
    <w:rsid w:val="080A5343"/>
    <w:rsid w:val="080A538E"/>
    <w:rsid w:val="080A540C"/>
    <w:rsid w:val="080A549F"/>
    <w:rsid w:val="080A54C1"/>
    <w:rsid w:val="080A560D"/>
    <w:rsid w:val="080A5630"/>
    <w:rsid w:val="080A56B2"/>
    <w:rsid w:val="080A581E"/>
    <w:rsid w:val="080A583C"/>
    <w:rsid w:val="080A58AF"/>
    <w:rsid w:val="080A5951"/>
    <w:rsid w:val="080A5A31"/>
    <w:rsid w:val="080A5BED"/>
    <w:rsid w:val="080A5C19"/>
    <w:rsid w:val="080A5C52"/>
    <w:rsid w:val="080A5DCD"/>
    <w:rsid w:val="080A5E55"/>
    <w:rsid w:val="080A5F6C"/>
    <w:rsid w:val="080A5F6D"/>
    <w:rsid w:val="080A5FAE"/>
    <w:rsid w:val="080A6104"/>
    <w:rsid w:val="080A6133"/>
    <w:rsid w:val="080A614F"/>
    <w:rsid w:val="080A617D"/>
    <w:rsid w:val="080A620F"/>
    <w:rsid w:val="080A622F"/>
    <w:rsid w:val="080A628A"/>
    <w:rsid w:val="080A636C"/>
    <w:rsid w:val="080A6465"/>
    <w:rsid w:val="080A64AC"/>
    <w:rsid w:val="080A64EC"/>
    <w:rsid w:val="080A64F7"/>
    <w:rsid w:val="080A652C"/>
    <w:rsid w:val="080A6534"/>
    <w:rsid w:val="080A6574"/>
    <w:rsid w:val="080A66D0"/>
    <w:rsid w:val="080A6775"/>
    <w:rsid w:val="080A67C4"/>
    <w:rsid w:val="080A695D"/>
    <w:rsid w:val="080A6971"/>
    <w:rsid w:val="080A697F"/>
    <w:rsid w:val="080A6A15"/>
    <w:rsid w:val="080A6B0A"/>
    <w:rsid w:val="080A6B5B"/>
    <w:rsid w:val="080A6BC4"/>
    <w:rsid w:val="080A6C9B"/>
    <w:rsid w:val="080A6EDD"/>
    <w:rsid w:val="080A7150"/>
    <w:rsid w:val="080A71D8"/>
    <w:rsid w:val="080A7250"/>
    <w:rsid w:val="080A7283"/>
    <w:rsid w:val="080A7285"/>
    <w:rsid w:val="080A72BB"/>
    <w:rsid w:val="080A7314"/>
    <w:rsid w:val="080A7381"/>
    <w:rsid w:val="080A7522"/>
    <w:rsid w:val="080A752E"/>
    <w:rsid w:val="080A758F"/>
    <w:rsid w:val="080A7790"/>
    <w:rsid w:val="080A77C8"/>
    <w:rsid w:val="080A77C9"/>
    <w:rsid w:val="080A7816"/>
    <w:rsid w:val="080A7883"/>
    <w:rsid w:val="080A7909"/>
    <w:rsid w:val="080A7941"/>
    <w:rsid w:val="080A797F"/>
    <w:rsid w:val="080A79C6"/>
    <w:rsid w:val="080A7A3C"/>
    <w:rsid w:val="080A7C0C"/>
    <w:rsid w:val="080A7C22"/>
    <w:rsid w:val="080A7C9E"/>
    <w:rsid w:val="080A7C9F"/>
    <w:rsid w:val="080A7CAF"/>
    <w:rsid w:val="080A7CFF"/>
    <w:rsid w:val="080A7D49"/>
    <w:rsid w:val="080A7D62"/>
    <w:rsid w:val="080A7DBC"/>
    <w:rsid w:val="080A7E60"/>
    <w:rsid w:val="080A7F65"/>
    <w:rsid w:val="080A7F66"/>
    <w:rsid w:val="080A7F9F"/>
    <w:rsid w:val="080B0190"/>
    <w:rsid w:val="080B01C8"/>
    <w:rsid w:val="080B0266"/>
    <w:rsid w:val="080B0294"/>
    <w:rsid w:val="080B0328"/>
    <w:rsid w:val="080B0364"/>
    <w:rsid w:val="080B0407"/>
    <w:rsid w:val="080B05FE"/>
    <w:rsid w:val="080B0837"/>
    <w:rsid w:val="080B088A"/>
    <w:rsid w:val="080B08DB"/>
    <w:rsid w:val="080B094B"/>
    <w:rsid w:val="080B09B3"/>
    <w:rsid w:val="080B0A3C"/>
    <w:rsid w:val="080B0A67"/>
    <w:rsid w:val="080B0A9F"/>
    <w:rsid w:val="080B0B07"/>
    <w:rsid w:val="080B0B41"/>
    <w:rsid w:val="080B0BB5"/>
    <w:rsid w:val="080B0C0C"/>
    <w:rsid w:val="080B0C47"/>
    <w:rsid w:val="080B0C5D"/>
    <w:rsid w:val="080B0CD0"/>
    <w:rsid w:val="080B0CFF"/>
    <w:rsid w:val="080B0D01"/>
    <w:rsid w:val="080B0D21"/>
    <w:rsid w:val="080B0E94"/>
    <w:rsid w:val="080B0EB7"/>
    <w:rsid w:val="080B0F71"/>
    <w:rsid w:val="080B10DF"/>
    <w:rsid w:val="080B10E2"/>
    <w:rsid w:val="080B11D9"/>
    <w:rsid w:val="080B1270"/>
    <w:rsid w:val="080B13B1"/>
    <w:rsid w:val="080B13E7"/>
    <w:rsid w:val="080B1512"/>
    <w:rsid w:val="080B1515"/>
    <w:rsid w:val="080B1522"/>
    <w:rsid w:val="080B166B"/>
    <w:rsid w:val="080B175D"/>
    <w:rsid w:val="080B17ED"/>
    <w:rsid w:val="080B17FF"/>
    <w:rsid w:val="080B1820"/>
    <w:rsid w:val="080B18A5"/>
    <w:rsid w:val="080B18E8"/>
    <w:rsid w:val="080B1947"/>
    <w:rsid w:val="080B19E4"/>
    <w:rsid w:val="080B1A2F"/>
    <w:rsid w:val="080B1BBF"/>
    <w:rsid w:val="080B1CAC"/>
    <w:rsid w:val="080B1D06"/>
    <w:rsid w:val="080B1D07"/>
    <w:rsid w:val="080B1D17"/>
    <w:rsid w:val="080B1E09"/>
    <w:rsid w:val="080B1E4C"/>
    <w:rsid w:val="080B1EBA"/>
    <w:rsid w:val="080B1FAD"/>
    <w:rsid w:val="080B208B"/>
    <w:rsid w:val="080B21AE"/>
    <w:rsid w:val="080B21E0"/>
    <w:rsid w:val="080B2216"/>
    <w:rsid w:val="080B2371"/>
    <w:rsid w:val="080B2392"/>
    <w:rsid w:val="080B2431"/>
    <w:rsid w:val="080B24EA"/>
    <w:rsid w:val="080B2500"/>
    <w:rsid w:val="080B2512"/>
    <w:rsid w:val="080B2531"/>
    <w:rsid w:val="080B263D"/>
    <w:rsid w:val="080B26F8"/>
    <w:rsid w:val="080B2717"/>
    <w:rsid w:val="080B2746"/>
    <w:rsid w:val="080B27D1"/>
    <w:rsid w:val="080B2824"/>
    <w:rsid w:val="080B2968"/>
    <w:rsid w:val="080B2AAB"/>
    <w:rsid w:val="080B2B64"/>
    <w:rsid w:val="080B2B7A"/>
    <w:rsid w:val="080B2BC8"/>
    <w:rsid w:val="080B2CC7"/>
    <w:rsid w:val="080B2D71"/>
    <w:rsid w:val="080B2DB3"/>
    <w:rsid w:val="080B2E64"/>
    <w:rsid w:val="080B2EBC"/>
    <w:rsid w:val="080B2F19"/>
    <w:rsid w:val="080B2F30"/>
    <w:rsid w:val="080B2FA1"/>
    <w:rsid w:val="080B2FB2"/>
    <w:rsid w:val="080B3032"/>
    <w:rsid w:val="080B3067"/>
    <w:rsid w:val="080B3175"/>
    <w:rsid w:val="080B3226"/>
    <w:rsid w:val="080B3393"/>
    <w:rsid w:val="080B3436"/>
    <w:rsid w:val="080B3446"/>
    <w:rsid w:val="080B34A0"/>
    <w:rsid w:val="080B3500"/>
    <w:rsid w:val="080B3546"/>
    <w:rsid w:val="080B35FC"/>
    <w:rsid w:val="080B376B"/>
    <w:rsid w:val="080B3789"/>
    <w:rsid w:val="080B3798"/>
    <w:rsid w:val="080B3827"/>
    <w:rsid w:val="080B396B"/>
    <w:rsid w:val="080B3991"/>
    <w:rsid w:val="080B3A57"/>
    <w:rsid w:val="080B3A77"/>
    <w:rsid w:val="080B3A84"/>
    <w:rsid w:val="080B3AA1"/>
    <w:rsid w:val="080B3B8C"/>
    <w:rsid w:val="080B3BB8"/>
    <w:rsid w:val="080B3BD2"/>
    <w:rsid w:val="080B3C79"/>
    <w:rsid w:val="080B3D65"/>
    <w:rsid w:val="080B3E33"/>
    <w:rsid w:val="080B3E79"/>
    <w:rsid w:val="080B3E7E"/>
    <w:rsid w:val="080B4022"/>
    <w:rsid w:val="080B403A"/>
    <w:rsid w:val="080B406D"/>
    <w:rsid w:val="080B40BE"/>
    <w:rsid w:val="080B40CE"/>
    <w:rsid w:val="080B4135"/>
    <w:rsid w:val="080B4226"/>
    <w:rsid w:val="080B422F"/>
    <w:rsid w:val="080B4339"/>
    <w:rsid w:val="080B43B6"/>
    <w:rsid w:val="080B43C5"/>
    <w:rsid w:val="080B4502"/>
    <w:rsid w:val="080B4521"/>
    <w:rsid w:val="080B4523"/>
    <w:rsid w:val="080B452E"/>
    <w:rsid w:val="080B4682"/>
    <w:rsid w:val="080B47FB"/>
    <w:rsid w:val="080B4838"/>
    <w:rsid w:val="080B4899"/>
    <w:rsid w:val="080B48B4"/>
    <w:rsid w:val="080B48CC"/>
    <w:rsid w:val="080B4900"/>
    <w:rsid w:val="080B49A0"/>
    <w:rsid w:val="080B49BC"/>
    <w:rsid w:val="080B49C7"/>
    <w:rsid w:val="080B4A08"/>
    <w:rsid w:val="080B4A32"/>
    <w:rsid w:val="080B4A65"/>
    <w:rsid w:val="080B4B0C"/>
    <w:rsid w:val="080B4B16"/>
    <w:rsid w:val="080B4B4D"/>
    <w:rsid w:val="080B4BFE"/>
    <w:rsid w:val="080B4CB8"/>
    <w:rsid w:val="080B4EC9"/>
    <w:rsid w:val="080B4F80"/>
    <w:rsid w:val="080B4F96"/>
    <w:rsid w:val="080B4FAC"/>
    <w:rsid w:val="080B4FD4"/>
    <w:rsid w:val="080B5039"/>
    <w:rsid w:val="080B50F6"/>
    <w:rsid w:val="080B5185"/>
    <w:rsid w:val="080B51D7"/>
    <w:rsid w:val="080B5218"/>
    <w:rsid w:val="080B521D"/>
    <w:rsid w:val="080B524A"/>
    <w:rsid w:val="080B532F"/>
    <w:rsid w:val="080B53A8"/>
    <w:rsid w:val="080B5490"/>
    <w:rsid w:val="080B5507"/>
    <w:rsid w:val="080B5524"/>
    <w:rsid w:val="080B55CE"/>
    <w:rsid w:val="080B5623"/>
    <w:rsid w:val="080B5671"/>
    <w:rsid w:val="080B5676"/>
    <w:rsid w:val="080B5716"/>
    <w:rsid w:val="080B5744"/>
    <w:rsid w:val="080B5769"/>
    <w:rsid w:val="080B579B"/>
    <w:rsid w:val="080B57B3"/>
    <w:rsid w:val="080B57F1"/>
    <w:rsid w:val="080B587E"/>
    <w:rsid w:val="080B5880"/>
    <w:rsid w:val="080B5886"/>
    <w:rsid w:val="080B5905"/>
    <w:rsid w:val="080B59AC"/>
    <w:rsid w:val="080B5A8A"/>
    <w:rsid w:val="080B5A92"/>
    <w:rsid w:val="080B5A9E"/>
    <w:rsid w:val="080B5AC5"/>
    <w:rsid w:val="080B5ADA"/>
    <w:rsid w:val="080B5B05"/>
    <w:rsid w:val="080B5B72"/>
    <w:rsid w:val="080B5BA9"/>
    <w:rsid w:val="080B5BBF"/>
    <w:rsid w:val="080B5D98"/>
    <w:rsid w:val="080B5DA6"/>
    <w:rsid w:val="080B5DC1"/>
    <w:rsid w:val="080B5F09"/>
    <w:rsid w:val="080B60DC"/>
    <w:rsid w:val="080B61F9"/>
    <w:rsid w:val="080B62D2"/>
    <w:rsid w:val="080B6322"/>
    <w:rsid w:val="080B6373"/>
    <w:rsid w:val="080B63C6"/>
    <w:rsid w:val="080B6433"/>
    <w:rsid w:val="080B64B6"/>
    <w:rsid w:val="080B6666"/>
    <w:rsid w:val="080B67BD"/>
    <w:rsid w:val="080B67BF"/>
    <w:rsid w:val="080B6846"/>
    <w:rsid w:val="080B6879"/>
    <w:rsid w:val="080B6892"/>
    <w:rsid w:val="080B693F"/>
    <w:rsid w:val="080B6958"/>
    <w:rsid w:val="080B6A93"/>
    <w:rsid w:val="080B6AEF"/>
    <w:rsid w:val="080B6AF3"/>
    <w:rsid w:val="080B6D19"/>
    <w:rsid w:val="080B6D23"/>
    <w:rsid w:val="080B6DBB"/>
    <w:rsid w:val="080B6E77"/>
    <w:rsid w:val="080B6F2A"/>
    <w:rsid w:val="080B6FDC"/>
    <w:rsid w:val="080B704A"/>
    <w:rsid w:val="080B7110"/>
    <w:rsid w:val="080B7119"/>
    <w:rsid w:val="080B7148"/>
    <w:rsid w:val="080B71E0"/>
    <w:rsid w:val="080B72BA"/>
    <w:rsid w:val="080B72BE"/>
    <w:rsid w:val="080B72F3"/>
    <w:rsid w:val="080B7341"/>
    <w:rsid w:val="080B7362"/>
    <w:rsid w:val="080B738B"/>
    <w:rsid w:val="080B73F6"/>
    <w:rsid w:val="080B753E"/>
    <w:rsid w:val="080B754C"/>
    <w:rsid w:val="080B7758"/>
    <w:rsid w:val="080B78E0"/>
    <w:rsid w:val="080B79A6"/>
    <w:rsid w:val="080B7A02"/>
    <w:rsid w:val="080B7A08"/>
    <w:rsid w:val="080B7A26"/>
    <w:rsid w:val="080B7A89"/>
    <w:rsid w:val="080B7BDB"/>
    <w:rsid w:val="080B7D04"/>
    <w:rsid w:val="080B7DA1"/>
    <w:rsid w:val="080B7E7C"/>
    <w:rsid w:val="080B7E8E"/>
    <w:rsid w:val="080B7F5C"/>
    <w:rsid w:val="080B7FFB"/>
    <w:rsid w:val="080C000D"/>
    <w:rsid w:val="080C004F"/>
    <w:rsid w:val="080C00C5"/>
    <w:rsid w:val="080C0105"/>
    <w:rsid w:val="080C01E3"/>
    <w:rsid w:val="080C025B"/>
    <w:rsid w:val="080C026C"/>
    <w:rsid w:val="080C02DB"/>
    <w:rsid w:val="080C03A0"/>
    <w:rsid w:val="080C03EE"/>
    <w:rsid w:val="080C044F"/>
    <w:rsid w:val="080C054F"/>
    <w:rsid w:val="080C06ED"/>
    <w:rsid w:val="080C071A"/>
    <w:rsid w:val="080C07F0"/>
    <w:rsid w:val="080C0835"/>
    <w:rsid w:val="080C08AA"/>
    <w:rsid w:val="080C0A26"/>
    <w:rsid w:val="080C0B65"/>
    <w:rsid w:val="080C0BC0"/>
    <w:rsid w:val="080C0BE0"/>
    <w:rsid w:val="080C0CBC"/>
    <w:rsid w:val="080C0D38"/>
    <w:rsid w:val="080C0D42"/>
    <w:rsid w:val="080C0D4C"/>
    <w:rsid w:val="080C0D59"/>
    <w:rsid w:val="080C0D7F"/>
    <w:rsid w:val="080C0E00"/>
    <w:rsid w:val="080C0EB2"/>
    <w:rsid w:val="080C0F7A"/>
    <w:rsid w:val="080C0FA6"/>
    <w:rsid w:val="080C102B"/>
    <w:rsid w:val="080C1076"/>
    <w:rsid w:val="080C1138"/>
    <w:rsid w:val="080C1141"/>
    <w:rsid w:val="080C1152"/>
    <w:rsid w:val="080C1161"/>
    <w:rsid w:val="080C1189"/>
    <w:rsid w:val="080C119B"/>
    <w:rsid w:val="080C11E2"/>
    <w:rsid w:val="080C137B"/>
    <w:rsid w:val="080C13BA"/>
    <w:rsid w:val="080C14CF"/>
    <w:rsid w:val="080C1597"/>
    <w:rsid w:val="080C15C2"/>
    <w:rsid w:val="080C1649"/>
    <w:rsid w:val="080C165D"/>
    <w:rsid w:val="080C176B"/>
    <w:rsid w:val="080C17E6"/>
    <w:rsid w:val="080C1879"/>
    <w:rsid w:val="080C190A"/>
    <w:rsid w:val="080C1B95"/>
    <w:rsid w:val="080C1BB5"/>
    <w:rsid w:val="080C1D27"/>
    <w:rsid w:val="080C1D2A"/>
    <w:rsid w:val="080C1D56"/>
    <w:rsid w:val="080C1F3B"/>
    <w:rsid w:val="080C2199"/>
    <w:rsid w:val="080C21CD"/>
    <w:rsid w:val="080C221D"/>
    <w:rsid w:val="080C2359"/>
    <w:rsid w:val="080C236B"/>
    <w:rsid w:val="080C2401"/>
    <w:rsid w:val="080C243A"/>
    <w:rsid w:val="080C243C"/>
    <w:rsid w:val="080C2559"/>
    <w:rsid w:val="080C2678"/>
    <w:rsid w:val="080C2691"/>
    <w:rsid w:val="080C26B0"/>
    <w:rsid w:val="080C26C6"/>
    <w:rsid w:val="080C26D2"/>
    <w:rsid w:val="080C274F"/>
    <w:rsid w:val="080C28B7"/>
    <w:rsid w:val="080C2970"/>
    <w:rsid w:val="080C29B8"/>
    <w:rsid w:val="080C2A43"/>
    <w:rsid w:val="080C2A46"/>
    <w:rsid w:val="080C2A8C"/>
    <w:rsid w:val="080C2A96"/>
    <w:rsid w:val="080C2B37"/>
    <w:rsid w:val="080C2DF9"/>
    <w:rsid w:val="080C2E3C"/>
    <w:rsid w:val="080C2E83"/>
    <w:rsid w:val="080C2F29"/>
    <w:rsid w:val="080C3030"/>
    <w:rsid w:val="080C3055"/>
    <w:rsid w:val="080C308E"/>
    <w:rsid w:val="080C30A3"/>
    <w:rsid w:val="080C3154"/>
    <w:rsid w:val="080C324A"/>
    <w:rsid w:val="080C324E"/>
    <w:rsid w:val="080C330E"/>
    <w:rsid w:val="080C3375"/>
    <w:rsid w:val="080C3411"/>
    <w:rsid w:val="080C3449"/>
    <w:rsid w:val="080C34D4"/>
    <w:rsid w:val="080C3512"/>
    <w:rsid w:val="080C3592"/>
    <w:rsid w:val="080C35A3"/>
    <w:rsid w:val="080C35C1"/>
    <w:rsid w:val="080C3664"/>
    <w:rsid w:val="080C3756"/>
    <w:rsid w:val="080C37B0"/>
    <w:rsid w:val="080C3812"/>
    <w:rsid w:val="080C3819"/>
    <w:rsid w:val="080C3911"/>
    <w:rsid w:val="080C3978"/>
    <w:rsid w:val="080C397F"/>
    <w:rsid w:val="080C39D9"/>
    <w:rsid w:val="080C3A2E"/>
    <w:rsid w:val="080C3A8F"/>
    <w:rsid w:val="080C3A9F"/>
    <w:rsid w:val="080C3B1B"/>
    <w:rsid w:val="080C3B4D"/>
    <w:rsid w:val="080C3BA1"/>
    <w:rsid w:val="080C3BA6"/>
    <w:rsid w:val="080C3BAE"/>
    <w:rsid w:val="080C3C84"/>
    <w:rsid w:val="080C3D51"/>
    <w:rsid w:val="080C3DB4"/>
    <w:rsid w:val="080C3E02"/>
    <w:rsid w:val="080C3E31"/>
    <w:rsid w:val="080C3E65"/>
    <w:rsid w:val="080C3F29"/>
    <w:rsid w:val="080C3F63"/>
    <w:rsid w:val="080C3F80"/>
    <w:rsid w:val="080C3FF7"/>
    <w:rsid w:val="080C40A3"/>
    <w:rsid w:val="080C40EA"/>
    <w:rsid w:val="080C41D8"/>
    <w:rsid w:val="080C41F1"/>
    <w:rsid w:val="080C425C"/>
    <w:rsid w:val="080C426D"/>
    <w:rsid w:val="080C428F"/>
    <w:rsid w:val="080C4307"/>
    <w:rsid w:val="080C431B"/>
    <w:rsid w:val="080C4385"/>
    <w:rsid w:val="080C43B6"/>
    <w:rsid w:val="080C4450"/>
    <w:rsid w:val="080C4457"/>
    <w:rsid w:val="080C44BB"/>
    <w:rsid w:val="080C44E8"/>
    <w:rsid w:val="080C4504"/>
    <w:rsid w:val="080C4508"/>
    <w:rsid w:val="080C4616"/>
    <w:rsid w:val="080C46CA"/>
    <w:rsid w:val="080C479C"/>
    <w:rsid w:val="080C4886"/>
    <w:rsid w:val="080C493A"/>
    <w:rsid w:val="080C49DC"/>
    <w:rsid w:val="080C49E4"/>
    <w:rsid w:val="080C4A0A"/>
    <w:rsid w:val="080C4A43"/>
    <w:rsid w:val="080C4B09"/>
    <w:rsid w:val="080C4D6F"/>
    <w:rsid w:val="080C4D9F"/>
    <w:rsid w:val="080C4E7E"/>
    <w:rsid w:val="080C4F9F"/>
    <w:rsid w:val="080C5002"/>
    <w:rsid w:val="080C500F"/>
    <w:rsid w:val="080C502B"/>
    <w:rsid w:val="080C50A7"/>
    <w:rsid w:val="080C50F6"/>
    <w:rsid w:val="080C5121"/>
    <w:rsid w:val="080C517E"/>
    <w:rsid w:val="080C51D0"/>
    <w:rsid w:val="080C5210"/>
    <w:rsid w:val="080C5240"/>
    <w:rsid w:val="080C531C"/>
    <w:rsid w:val="080C532A"/>
    <w:rsid w:val="080C5383"/>
    <w:rsid w:val="080C53B7"/>
    <w:rsid w:val="080C54B3"/>
    <w:rsid w:val="080C54B5"/>
    <w:rsid w:val="080C5561"/>
    <w:rsid w:val="080C55DF"/>
    <w:rsid w:val="080C5721"/>
    <w:rsid w:val="080C5736"/>
    <w:rsid w:val="080C57C5"/>
    <w:rsid w:val="080C5963"/>
    <w:rsid w:val="080C59C9"/>
    <w:rsid w:val="080C59E9"/>
    <w:rsid w:val="080C59F6"/>
    <w:rsid w:val="080C5A81"/>
    <w:rsid w:val="080C5AF5"/>
    <w:rsid w:val="080C5B0D"/>
    <w:rsid w:val="080C5B98"/>
    <w:rsid w:val="080C5C30"/>
    <w:rsid w:val="080C5D90"/>
    <w:rsid w:val="080C5DBC"/>
    <w:rsid w:val="080C5E15"/>
    <w:rsid w:val="080C5E64"/>
    <w:rsid w:val="080C5EBF"/>
    <w:rsid w:val="080C5F2A"/>
    <w:rsid w:val="080C5F7D"/>
    <w:rsid w:val="080C5FA4"/>
    <w:rsid w:val="080C5FF5"/>
    <w:rsid w:val="080C6113"/>
    <w:rsid w:val="080C618D"/>
    <w:rsid w:val="080C61CC"/>
    <w:rsid w:val="080C6329"/>
    <w:rsid w:val="080C6417"/>
    <w:rsid w:val="080C6476"/>
    <w:rsid w:val="080C647A"/>
    <w:rsid w:val="080C65AA"/>
    <w:rsid w:val="080C6623"/>
    <w:rsid w:val="080C67EC"/>
    <w:rsid w:val="080C6825"/>
    <w:rsid w:val="080C6A27"/>
    <w:rsid w:val="080C6A2A"/>
    <w:rsid w:val="080C6A35"/>
    <w:rsid w:val="080C6A7B"/>
    <w:rsid w:val="080C6AA7"/>
    <w:rsid w:val="080C6AC1"/>
    <w:rsid w:val="080C6B79"/>
    <w:rsid w:val="080C6C39"/>
    <w:rsid w:val="080C6CBF"/>
    <w:rsid w:val="080C6DB7"/>
    <w:rsid w:val="080C6E01"/>
    <w:rsid w:val="080C6EA3"/>
    <w:rsid w:val="080C6EE8"/>
    <w:rsid w:val="080C6EF7"/>
    <w:rsid w:val="080C6F18"/>
    <w:rsid w:val="080C6F79"/>
    <w:rsid w:val="080C6FB8"/>
    <w:rsid w:val="080C7042"/>
    <w:rsid w:val="080C7074"/>
    <w:rsid w:val="080C70BA"/>
    <w:rsid w:val="080C71AC"/>
    <w:rsid w:val="080C71DD"/>
    <w:rsid w:val="080C724E"/>
    <w:rsid w:val="080C7258"/>
    <w:rsid w:val="080C7281"/>
    <w:rsid w:val="080C72B1"/>
    <w:rsid w:val="080C755C"/>
    <w:rsid w:val="080C75A1"/>
    <w:rsid w:val="080C762C"/>
    <w:rsid w:val="080C765C"/>
    <w:rsid w:val="080C7738"/>
    <w:rsid w:val="080C774A"/>
    <w:rsid w:val="080C78E4"/>
    <w:rsid w:val="080C78EB"/>
    <w:rsid w:val="080C7978"/>
    <w:rsid w:val="080C799D"/>
    <w:rsid w:val="080C79CD"/>
    <w:rsid w:val="080C79E9"/>
    <w:rsid w:val="080C7A28"/>
    <w:rsid w:val="080C7A37"/>
    <w:rsid w:val="080C7A9E"/>
    <w:rsid w:val="080C7B9B"/>
    <w:rsid w:val="080C7CBC"/>
    <w:rsid w:val="080C7DC2"/>
    <w:rsid w:val="080C7DE6"/>
    <w:rsid w:val="080C7E26"/>
    <w:rsid w:val="080C7F29"/>
    <w:rsid w:val="080C7F83"/>
    <w:rsid w:val="080C7FA0"/>
    <w:rsid w:val="080C7FDB"/>
    <w:rsid w:val="080D0030"/>
    <w:rsid w:val="080D007F"/>
    <w:rsid w:val="080D00E0"/>
    <w:rsid w:val="080D02AC"/>
    <w:rsid w:val="080D02C6"/>
    <w:rsid w:val="080D031A"/>
    <w:rsid w:val="080D04CD"/>
    <w:rsid w:val="080D053C"/>
    <w:rsid w:val="080D0546"/>
    <w:rsid w:val="080D05DD"/>
    <w:rsid w:val="080D0643"/>
    <w:rsid w:val="080D0681"/>
    <w:rsid w:val="080D0813"/>
    <w:rsid w:val="080D08C7"/>
    <w:rsid w:val="080D09FB"/>
    <w:rsid w:val="080D0A64"/>
    <w:rsid w:val="080D0AA8"/>
    <w:rsid w:val="080D0B0C"/>
    <w:rsid w:val="080D0B7D"/>
    <w:rsid w:val="080D0BB8"/>
    <w:rsid w:val="080D0CFD"/>
    <w:rsid w:val="080D0F24"/>
    <w:rsid w:val="080D0F6A"/>
    <w:rsid w:val="080D0F8C"/>
    <w:rsid w:val="080D0FD2"/>
    <w:rsid w:val="080D10B0"/>
    <w:rsid w:val="080D11F7"/>
    <w:rsid w:val="080D1235"/>
    <w:rsid w:val="080D124B"/>
    <w:rsid w:val="080D124F"/>
    <w:rsid w:val="080D125E"/>
    <w:rsid w:val="080D12D7"/>
    <w:rsid w:val="080D130E"/>
    <w:rsid w:val="080D13EF"/>
    <w:rsid w:val="080D14F4"/>
    <w:rsid w:val="080D1557"/>
    <w:rsid w:val="080D15D7"/>
    <w:rsid w:val="080D15EA"/>
    <w:rsid w:val="080D1766"/>
    <w:rsid w:val="080D179E"/>
    <w:rsid w:val="080D17DA"/>
    <w:rsid w:val="080D1823"/>
    <w:rsid w:val="080D186B"/>
    <w:rsid w:val="080D18E2"/>
    <w:rsid w:val="080D1911"/>
    <w:rsid w:val="080D196F"/>
    <w:rsid w:val="080D19BC"/>
    <w:rsid w:val="080D1AAA"/>
    <w:rsid w:val="080D1AE7"/>
    <w:rsid w:val="080D1E40"/>
    <w:rsid w:val="080D1EFB"/>
    <w:rsid w:val="080D1F02"/>
    <w:rsid w:val="080D1F1C"/>
    <w:rsid w:val="080D1F67"/>
    <w:rsid w:val="080D1FC0"/>
    <w:rsid w:val="080D203A"/>
    <w:rsid w:val="080D20E2"/>
    <w:rsid w:val="080D212F"/>
    <w:rsid w:val="080D213A"/>
    <w:rsid w:val="080D2157"/>
    <w:rsid w:val="080D2158"/>
    <w:rsid w:val="080D2193"/>
    <w:rsid w:val="080D219B"/>
    <w:rsid w:val="080D222D"/>
    <w:rsid w:val="080D233A"/>
    <w:rsid w:val="080D2431"/>
    <w:rsid w:val="080D24AE"/>
    <w:rsid w:val="080D24E2"/>
    <w:rsid w:val="080D24FC"/>
    <w:rsid w:val="080D24FE"/>
    <w:rsid w:val="080D25BE"/>
    <w:rsid w:val="080D264B"/>
    <w:rsid w:val="080D2657"/>
    <w:rsid w:val="080D26AF"/>
    <w:rsid w:val="080D273C"/>
    <w:rsid w:val="080D277D"/>
    <w:rsid w:val="080D27A4"/>
    <w:rsid w:val="080D2813"/>
    <w:rsid w:val="080D2855"/>
    <w:rsid w:val="080D2AA9"/>
    <w:rsid w:val="080D2AD2"/>
    <w:rsid w:val="080D2B45"/>
    <w:rsid w:val="080D2BA1"/>
    <w:rsid w:val="080D2BD1"/>
    <w:rsid w:val="080D2C6C"/>
    <w:rsid w:val="080D2C7C"/>
    <w:rsid w:val="080D2CE0"/>
    <w:rsid w:val="080D2ECB"/>
    <w:rsid w:val="080D2F35"/>
    <w:rsid w:val="080D2F53"/>
    <w:rsid w:val="080D3019"/>
    <w:rsid w:val="080D313E"/>
    <w:rsid w:val="080D31A0"/>
    <w:rsid w:val="080D31F0"/>
    <w:rsid w:val="080D3203"/>
    <w:rsid w:val="080D3230"/>
    <w:rsid w:val="080D32EC"/>
    <w:rsid w:val="080D32FC"/>
    <w:rsid w:val="080D352C"/>
    <w:rsid w:val="080D359F"/>
    <w:rsid w:val="080D3653"/>
    <w:rsid w:val="080D374F"/>
    <w:rsid w:val="080D376B"/>
    <w:rsid w:val="080D377B"/>
    <w:rsid w:val="080D39ED"/>
    <w:rsid w:val="080D3C22"/>
    <w:rsid w:val="080D3CCE"/>
    <w:rsid w:val="080D3D92"/>
    <w:rsid w:val="080D3DE8"/>
    <w:rsid w:val="080D3DFF"/>
    <w:rsid w:val="080D3E2A"/>
    <w:rsid w:val="080D3E5A"/>
    <w:rsid w:val="080D3F0F"/>
    <w:rsid w:val="080D3F6D"/>
    <w:rsid w:val="080D402D"/>
    <w:rsid w:val="080D40B7"/>
    <w:rsid w:val="080D4272"/>
    <w:rsid w:val="080D42B4"/>
    <w:rsid w:val="080D42BE"/>
    <w:rsid w:val="080D4334"/>
    <w:rsid w:val="080D43B2"/>
    <w:rsid w:val="080D4479"/>
    <w:rsid w:val="080D448F"/>
    <w:rsid w:val="080D44A2"/>
    <w:rsid w:val="080D45F7"/>
    <w:rsid w:val="080D467B"/>
    <w:rsid w:val="080D467E"/>
    <w:rsid w:val="080D46B0"/>
    <w:rsid w:val="080D46BA"/>
    <w:rsid w:val="080D46DB"/>
    <w:rsid w:val="080D46EA"/>
    <w:rsid w:val="080D4748"/>
    <w:rsid w:val="080D4760"/>
    <w:rsid w:val="080D477D"/>
    <w:rsid w:val="080D479E"/>
    <w:rsid w:val="080D47FB"/>
    <w:rsid w:val="080D4819"/>
    <w:rsid w:val="080D491C"/>
    <w:rsid w:val="080D4A74"/>
    <w:rsid w:val="080D4A79"/>
    <w:rsid w:val="080D4AF8"/>
    <w:rsid w:val="080D4BB3"/>
    <w:rsid w:val="080D4C61"/>
    <w:rsid w:val="080D4CA3"/>
    <w:rsid w:val="080D4CFE"/>
    <w:rsid w:val="080D4D09"/>
    <w:rsid w:val="080D4F49"/>
    <w:rsid w:val="080D4F8D"/>
    <w:rsid w:val="080D4FB2"/>
    <w:rsid w:val="080D4FEC"/>
    <w:rsid w:val="080D500D"/>
    <w:rsid w:val="080D51F3"/>
    <w:rsid w:val="080D5269"/>
    <w:rsid w:val="080D5369"/>
    <w:rsid w:val="080D5463"/>
    <w:rsid w:val="080D54C1"/>
    <w:rsid w:val="080D5530"/>
    <w:rsid w:val="080D555B"/>
    <w:rsid w:val="080D55AA"/>
    <w:rsid w:val="080D55C9"/>
    <w:rsid w:val="080D565E"/>
    <w:rsid w:val="080D56DD"/>
    <w:rsid w:val="080D5712"/>
    <w:rsid w:val="080D577A"/>
    <w:rsid w:val="080D57AE"/>
    <w:rsid w:val="080D57EA"/>
    <w:rsid w:val="080D57EE"/>
    <w:rsid w:val="080D57F5"/>
    <w:rsid w:val="080D5803"/>
    <w:rsid w:val="080D5804"/>
    <w:rsid w:val="080D580C"/>
    <w:rsid w:val="080D588D"/>
    <w:rsid w:val="080D58DA"/>
    <w:rsid w:val="080D5A15"/>
    <w:rsid w:val="080D5A5A"/>
    <w:rsid w:val="080D5A98"/>
    <w:rsid w:val="080D5AC6"/>
    <w:rsid w:val="080D5B39"/>
    <w:rsid w:val="080D5B63"/>
    <w:rsid w:val="080D5B9E"/>
    <w:rsid w:val="080D5C1D"/>
    <w:rsid w:val="080D5C1E"/>
    <w:rsid w:val="080D5C54"/>
    <w:rsid w:val="080D5C55"/>
    <w:rsid w:val="080D5C97"/>
    <w:rsid w:val="080D5D46"/>
    <w:rsid w:val="080D5D5B"/>
    <w:rsid w:val="080D5EB2"/>
    <w:rsid w:val="080D5EBD"/>
    <w:rsid w:val="080D5EF4"/>
    <w:rsid w:val="080D5FDC"/>
    <w:rsid w:val="080D5FEB"/>
    <w:rsid w:val="080D600B"/>
    <w:rsid w:val="080D6146"/>
    <w:rsid w:val="080D6148"/>
    <w:rsid w:val="080D61CF"/>
    <w:rsid w:val="080D625C"/>
    <w:rsid w:val="080D625E"/>
    <w:rsid w:val="080D6289"/>
    <w:rsid w:val="080D629E"/>
    <w:rsid w:val="080D62CC"/>
    <w:rsid w:val="080D6313"/>
    <w:rsid w:val="080D63DE"/>
    <w:rsid w:val="080D63F5"/>
    <w:rsid w:val="080D648A"/>
    <w:rsid w:val="080D64F5"/>
    <w:rsid w:val="080D6519"/>
    <w:rsid w:val="080D653C"/>
    <w:rsid w:val="080D6664"/>
    <w:rsid w:val="080D6770"/>
    <w:rsid w:val="080D6794"/>
    <w:rsid w:val="080D6846"/>
    <w:rsid w:val="080D6849"/>
    <w:rsid w:val="080D68BE"/>
    <w:rsid w:val="080D68ED"/>
    <w:rsid w:val="080D68F9"/>
    <w:rsid w:val="080D69A6"/>
    <w:rsid w:val="080D6A29"/>
    <w:rsid w:val="080D6A3E"/>
    <w:rsid w:val="080D6A74"/>
    <w:rsid w:val="080D6B37"/>
    <w:rsid w:val="080D6B53"/>
    <w:rsid w:val="080D6BA0"/>
    <w:rsid w:val="080D6BEC"/>
    <w:rsid w:val="080D6C3D"/>
    <w:rsid w:val="080D6C51"/>
    <w:rsid w:val="080D6C7A"/>
    <w:rsid w:val="080D6CDF"/>
    <w:rsid w:val="080D6D2B"/>
    <w:rsid w:val="080D6DC1"/>
    <w:rsid w:val="080D6DCE"/>
    <w:rsid w:val="080D6DD6"/>
    <w:rsid w:val="080D6DE9"/>
    <w:rsid w:val="080D6DEF"/>
    <w:rsid w:val="080D6E14"/>
    <w:rsid w:val="080D6E1F"/>
    <w:rsid w:val="080D6E3D"/>
    <w:rsid w:val="080D6EB1"/>
    <w:rsid w:val="080D6F72"/>
    <w:rsid w:val="080D6F74"/>
    <w:rsid w:val="080D6F76"/>
    <w:rsid w:val="080D6FBE"/>
    <w:rsid w:val="080D6FF9"/>
    <w:rsid w:val="080D700E"/>
    <w:rsid w:val="080D7032"/>
    <w:rsid w:val="080D7198"/>
    <w:rsid w:val="080D729A"/>
    <w:rsid w:val="080D72A6"/>
    <w:rsid w:val="080D72D3"/>
    <w:rsid w:val="080D7318"/>
    <w:rsid w:val="080D7343"/>
    <w:rsid w:val="080D7368"/>
    <w:rsid w:val="080D736E"/>
    <w:rsid w:val="080D73F4"/>
    <w:rsid w:val="080D7461"/>
    <w:rsid w:val="080D753B"/>
    <w:rsid w:val="080D753F"/>
    <w:rsid w:val="080D754A"/>
    <w:rsid w:val="080D7599"/>
    <w:rsid w:val="080D7617"/>
    <w:rsid w:val="080D7634"/>
    <w:rsid w:val="080D7667"/>
    <w:rsid w:val="080D7681"/>
    <w:rsid w:val="080D7773"/>
    <w:rsid w:val="080D77BE"/>
    <w:rsid w:val="080D77E1"/>
    <w:rsid w:val="080D785E"/>
    <w:rsid w:val="080D78FF"/>
    <w:rsid w:val="080D7916"/>
    <w:rsid w:val="080D794B"/>
    <w:rsid w:val="080D795A"/>
    <w:rsid w:val="080D798C"/>
    <w:rsid w:val="080D7A27"/>
    <w:rsid w:val="080D7A32"/>
    <w:rsid w:val="080D7A57"/>
    <w:rsid w:val="080D7A5E"/>
    <w:rsid w:val="080D7B7F"/>
    <w:rsid w:val="080D7BA4"/>
    <w:rsid w:val="080D7C7D"/>
    <w:rsid w:val="080D7D22"/>
    <w:rsid w:val="080D7D88"/>
    <w:rsid w:val="080D7DC6"/>
    <w:rsid w:val="080D7DFD"/>
    <w:rsid w:val="080D7F76"/>
    <w:rsid w:val="080E015F"/>
    <w:rsid w:val="080E01FC"/>
    <w:rsid w:val="080E0241"/>
    <w:rsid w:val="080E0257"/>
    <w:rsid w:val="080E035B"/>
    <w:rsid w:val="080E03C8"/>
    <w:rsid w:val="080E040B"/>
    <w:rsid w:val="080E0527"/>
    <w:rsid w:val="080E053D"/>
    <w:rsid w:val="080E0663"/>
    <w:rsid w:val="080E06E5"/>
    <w:rsid w:val="080E075B"/>
    <w:rsid w:val="080E07D4"/>
    <w:rsid w:val="080E0802"/>
    <w:rsid w:val="080E0916"/>
    <w:rsid w:val="080E091A"/>
    <w:rsid w:val="080E0965"/>
    <w:rsid w:val="080E0AA9"/>
    <w:rsid w:val="080E0ACE"/>
    <w:rsid w:val="080E0B39"/>
    <w:rsid w:val="080E0B5C"/>
    <w:rsid w:val="080E0B8D"/>
    <w:rsid w:val="080E0BBF"/>
    <w:rsid w:val="080E0BF5"/>
    <w:rsid w:val="080E0C34"/>
    <w:rsid w:val="080E0C36"/>
    <w:rsid w:val="080E0D14"/>
    <w:rsid w:val="080E0D41"/>
    <w:rsid w:val="080E0D70"/>
    <w:rsid w:val="080E0E72"/>
    <w:rsid w:val="080E0EE2"/>
    <w:rsid w:val="080E0F3C"/>
    <w:rsid w:val="080E1036"/>
    <w:rsid w:val="080E10B1"/>
    <w:rsid w:val="080E10DA"/>
    <w:rsid w:val="080E1147"/>
    <w:rsid w:val="080E11C8"/>
    <w:rsid w:val="080E11D0"/>
    <w:rsid w:val="080E11DC"/>
    <w:rsid w:val="080E1226"/>
    <w:rsid w:val="080E13A3"/>
    <w:rsid w:val="080E141C"/>
    <w:rsid w:val="080E1470"/>
    <w:rsid w:val="080E14EA"/>
    <w:rsid w:val="080E15B8"/>
    <w:rsid w:val="080E161D"/>
    <w:rsid w:val="080E1649"/>
    <w:rsid w:val="080E17A8"/>
    <w:rsid w:val="080E17CB"/>
    <w:rsid w:val="080E1834"/>
    <w:rsid w:val="080E184C"/>
    <w:rsid w:val="080E187C"/>
    <w:rsid w:val="080E18B3"/>
    <w:rsid w:val="080E18D1"/>
    <w:rsid w:val="080E18E4"/>
    <w:rsid w:val="080E19BE"/>
    <w:rsid w:val="080E1A67"/>
    <w:rsid w:val="080E1A86"/>
    <w:rsid w:val="080E1AD8"/>
    <w:rsid w:val="080E1AFE"/>
    <w:rsid w:val="080E1C87"/>
    <w:rsid w:val="080E1D02"/>
    <w:rsid w:val="080E1E0F"/>
    <w:rsid w:val="080E1E3A"/>
    <w:rsid w:val="080E1E92"/>
    <w:rsid w:val="080E1EFC"/>
    <w:rsid w:val="080E1F95"/>
    <w:rsid w:val="080E2090"/>
    <w:rsid w:val="080E20B0"/>
    <w:rsid w:val="080E20CC"/>
    <w:rsid w:val="080E20D1"/>
    <w:rsid w:val="080E2180"/>
    <w:rsid w:val="080E21FB"/>
    <w:rsid w:val="080E229C"/>
    <w:rsid w:val="080E22AC"/>
    <w:rsid w:val="080E2381"/>
    <w:rsid w:val="080E24F8"/>
    <w:rsid w:val="080E2568"/>
    <w:rsid w:val="080E25BD"/>
    <w:rsid w:val="080E25EB"/>
    <w:rsid w:val="080E268C"/>
    <w:rsid w:val="080E27A9"/>
    <w:rsid w:val="080E27D3"/>
    <w:rsid w:val="080E2970"/>
    <w:rsid w:val="080E2989"/>
    <w:rsid w:val="080E29F4"/>
    <w:rsid w:val="080E2A41"/>
    <w:rsid w:val="080E2A8C"/>
    <w:rsid w:val="080E2BA3"/>
    <w:rsid w:val="080E2CC1"/>
    <w:rsid w:val="080E2DBF"/>
    <w:rsid w:val="080E2E62"/>
    <w:rsid w:val="080E2E6D"/>
    <w:rsid w:val="080E2EAF"/>
    <w:rsid w:val="080E2EE9"/>
    <w:rsid w:val="080E2EF2"/>
    <w:rsid w:val="080E302E"/>
    <w:rsid w:val="080E3096"/>
    <w:rsid w:val="080E31D8"/>
    <w:rsid w:val="080E3229"/>
    <w:rsid w:val="080E3272"/>
    <w:rsid w:val="080E329B"/>
    <w:rsid w:val="080E32A7"/>
    <w:rsid w:val="080E3387"/>
    <w:rsid w:val="080E338E"/>
    <w:rsid w:val="080E33EB"/>
    <w:rsid w:val="080E343C"/>
    <w:rsid w:val="080E3473"/>
    <w:rsid w:val="080E34DC"/>
    <w:rsid w:val="080E3687"/>
    <w:rsid w:val="080E36A5"/>
    <w:rsid w:val="080E373A"/>
    <w:rsid w:val="080E375B"/>
    <w:rsid w:val="080E3800"/>
    <w:rsid w:val="080E396D"/>
    <w:rsid w:val="080E3A40"/>
    <w:rsid w:val="080E3AA8"/>
    <w:rsid w:val="080E3AD9"/>
    <w:rsid w:val="080E3B0A"/>
    <w:rsid w:val="080E3B48"/>
    <w:rsid w:val="080E3B4F"/>
    <w:rsid w:val="080E3B56"/>
    <w:rsid w:val="080E3BB5"/>
    <w:rsid w:val="080E3BD1"/>
    <w:rsid w:val="080E3BEA"/>
    <w:rsid w:val="080E3CF6"/>
    <w:rsid w:val="080E3D66"/>
    <w:rsid w:val="080E3DB7"/>
    <w:rsid w:val="080E3DF6"/>
    <w:rsid w:val="080E3F44"/>
    <w:rsid w:val="080E3F9A"/>
    <w:rsid w:val="080E400A"/>
    <w:rsid w:val="080E400C"/>
    <w:rsid w:val="080E4023"/>
    <w:rsid w:val="080E4151"/>
    <w:rsid w:val="080E4156"/>
    <w:rsid w:val="080E416C"/>
    <w:rsid w:val="080E4240"/>
    <w:rsid w:val="080E451A"/>
    <w:rsid w:val="080E4565"/>
    <w:rsid w:val="080E4567"/>
    <w:rsid w:val="080E4570"/>
    <w:rsid w:val="080E45F5"/>
    <w:rsid w:val="080E460F"/>
    <w:rsid w:val="080E4620"/>
    <w:rsid w:val="080E4728"/>
    <w:rsid w:val="080E481D"/>
    <w:rsid w:val="080E482F"/>
    <w:rsid w:val="080E48EA"/>
    <w:rsid w:val="080E4948"/>
    <w:rsid w:val="080E497B"/>
    <w:rsid w:val="080E49C1"/>
    <w:rsid w:val="080E4B11"/>
    <w:rsid w:val="080E4B5C"/>
    <w:rsid w:val="080E4B98"/>
    <w:rsid w:val="080E4BB0"/>
    <w:rsid w:val="080E4BFF"/>
    <w:rsid w:val="080E4C72"/>
    <w:rsid w:val="080E4CB6"/>
    <w:rsid w:val="080E4D67"/>
    <w:rsid w:val="080E4DEA"/>
    <w:rsid w:val="080E4E45"/>
    <w:rsid w:val="080E4E5F"/>
    <w:rsid w:val="080E4E8A"/>
    <w:rsid w:val="080E502E"/>
    <w:rsid w:val="080E50AE"/>
    <w:rsid w:val="080E511E"/>
    <w:rsid w:val="080E5230"/>
    <w:rsid w:val="080E523D"/>
    <w:rsid w:val="080E5270"/>
    <w:rsid w:val="080E52EA"/>
    <w:rsid w:val="080E5306"/>
    <w:rsid w:val="080E533E"/>
    <w:rsid w:val="080E537B"/>
    <w:rsid w:val="080E53A8"/>
    <w:rsid w:val="080E53CB"/>
    <w:rsid w:val="080E53FE"/>
    <w:rsid w:val="080E54B4"/>
    <w:rsid w:val="080E54C7"/>
    <w:rsid w:val="080E5533"/>
    <w:rsid w:val="080E560A"/>
    <w:rsid w:val="080E5675"/>
    <w:rsid w:val="080E5681"/>
    <w:rsid w:val="080E57C9"/>
    <w:rsid w:val="080E57D1"/>
    <w:rsid w:val="080E57FD"/>
    <w:rsid w:val="080E598C"/>
    <w:rsid w:val="080E599D"/>
    <w:rsid w:val="080E5B08"/>
    <w:rsid w:val="080E5B11"/>
    <w:rsid w:val="080E5B37"/>
    <w:rsid w:val="080E5C00"/>
    <w:rsid w:val="080E5CF5"/>
    <w:rsid w:val="080E5D2B"/>
    <w:rsid w:val="080E5D8B"/>
    <w:rsid w:val="080E5DCF"/>
    <w:rsid w:val="080E5EE8"/>
    <w:rsid w:val="080E5F09"/>
    <w:rsid w:val="080E5F3B"/>
    <w:rsid w:val="080E5FE3"/>
    <w:rsid w:val="080E6010"/>
    <w:rsid w:val="080E60EC"/>
    <w:rsid w:val="080E613C"/>
    <w:rsid w:val="080E6181"/>
    <w:rsid w:val="080E620F"/>
    <w:rsid w:val="080E6307"/>
    <w:rsid w:val="080E6323"/>
    <w:rsid w:val="080E6364"/>
    <w:rsid w:val="080E63A6"/>
    <w:rsid w:val="080E6428"/>
    <w:rsid w:val="080E667A"/>
    <w:rsid w:val="080E669C"/>
    <w:rsid w:val="080E66F9"/>
    <w:rsid w:val="080E6711"/>
    <w:rsid w:val="080E6740"/>
    <w:rsid w:val="080E6742"/>
    <w:rsid w:val="080E6890"/>
    <w:rsid w:val="080E68B0"/>
    <w:rsid w:val="080E68B9"/>
    <w:rsid w:val="080E68C1"/>
    <w:rsid w:val="080E6915"/>
    <w:rsid w:val="080E694F"/>
    <w:rsid w:val="080E69E9"/>
    <w:rsid w:val="080E69FA"/>
    <w:rsid w:val="080E6A02"/>
    <w:rsid w:val="080E6A23"/>
    <w:rsid w:val="080E6ABC"/>
    <w:rsid w:val="080E6B09"/>
    <w:rsid w:val="080E6B0D"/>
    <w:rsid w:val="080E6BA7"/>
    <w:rsid w:val="080E6BBE"/>
    <w:rsid w:val="080E6C16"/>
    <w:rsid w:val="080E6CFD"/>
    <w:rsid w:val="080E6D69"/>
    <w:rsid w:val="080E6DB8"/>
    <w:rsid w:val="080E6DCA"/>
    <w:rsid w:val="080E6E5C"/>
    <w:rsid w:val="080E6E70"/>
    <w:rsid w:val="080E6EEF"/>
    <w:rsid w:val="080E6F8E"/>
    <w:rsid w:val="080E6FC0"/>
    <w:rsid w:val="080E7089"/>
    <w:rsid w:val="080E709F"/>
    <w:rsid w:val="080E7107"/>
    <w:rsid w:val="080E710E"/>
    <w:rsid w:val="080E71C6"/>
    <w:rsid w:val="080E7367"/>
    <w:rsid w:val="080E73DA"/>
    <w:rsid w:val="080E7416"/>
    <w:rsid w:val="080E7452"/>
    <w:rsid w:val="080E747F"/>
    <w:rsid w:val="080E74E4"/>
    <w:rsid w:val="080E74F5"/>
    <w:rsid w:val="080E7508"/>
    <w:rsid w:val="080E754A"/>
    <w:rsid w:val="080E7551"/>
    <w:rsid w:val="080E7691"/>
    <w:rsid w:val="080E77F6"/>
    <w:rsid w:val="080E780B"/>
    <w:rsid w:val="080E7846"/>
    <w:rsid w:val="080E793B"/>
    <w:rsid w:val="080E793E"/>
    <w:rsid w:val="080E797B"/>
    <w:rsid w:val="080E79C0"/>
    <w:rsid w:val="080E79EC"/>
    <w:rsid w:val="080E7A16"/>
    <w:rsid w:val="080E7A44"/>
    <w:rsid w:val="080E7A68"/>
    <w:rsid w:val="080E7B07"/>
    <w:rsid w:val="080E7B0D"/>
    <w:rsid w:val="080E7B96"/>
    <w:rsid w:val="080E7BC8"/>
    <w:rsid w:val="080E7C4B"/>
    <w:rsid w:val="080E7C60"/>
    <w:rsid w:val="080E7DE6"/>
    <w:rsid w:val="080E7E2D"/>
    <w:rsid w:val="080E7E67"/>
    <w:rsid w:val="080E7EC3"/>
    <w:rsid w:val="080E7F28"/>
    <w:rsid w:val="080E7F4F"/>
    <w:rsid w:val="080E7FE7"/>
    <w:rsid w:val="080F009B"/>
    <w:rsid w:val="080F01AF"/>
    <w:rsid w:val="080F026F"/>
    <w:rsid w:val="080F029C"/>
    <w:rsid w:val="080F02A5"/>
    <w:rsid w:val="080F02C4"/>
    <w:rsid w:val="080F0321"/>
    <w:rsid w:val="080F040F"/>
    <w:rsid w:val="080F0447"/>
    <w:rsid w:val="080F04CD"/>
    <w:rsid w:val="080F05AB"/>
    <w:rsid w:val="080F05C4"/>
    <w:rsid w:val="080F05CE"/>
    <w:rsid w:val="080F061B"/>
    <w:rsid w:val="080F06DB"/>
    <w:rsid w:val="080F0701"/>
    <w:rsid w:val="080F07B6"/>
    <w:rsid w:val="080F0835"/>
    <w:rsid w:val="080F083A"/>
    <w:rsid w:val="080F0881"/>
    <w:rsid w:val="080F097B"/>
    <w:rsid w:val="080F0994"/>
    <w:rsid w:val="080F09EB"/>
    <w:rsid w:val="080F0A40"/>
    <w:rsid w:val="080F0A5C"/>
    <w:rsid w:val="080F0B88"/>
    <w:rsid w:val="080F0B89"/>
    <w:rsid w:val="080F0D2B"/>
    <w:rsid w:val="080F0DD2"/>
    <w:rsid w:val="080F0DE2"/>
    <w:rsid w:val="080F0E2B"/>
    <w:rsid w:val="080F0EB7"/>
    <w:rsid w:val="080F0F48"/>
    <w:rsid w:val="080F1023"/>
    <w:rsid w:val="080F11B2"/>
    <w:rsid w:val="080F11B6"/>
    <w:rsid w:val="080F11DA"/>
    <w:rsid w:val="080F11E6"/>
    <w:rsid w:val="080F11F2"/>
    <w:rsid w:val="080F1215"/>
    <w:rsid w:val="080F1326"/>
    <w:rsid w:val="080F143B"/>
    <w:rsid w:val="080F1493"/>
    <w:rsid w:val="080F14BD"/>
    <w:rsid w:val="080F1523"/>
    <w:rsid w:val="080F15E3"/>
    <w:rsid w:val="080F1607"/>
    <w:rsid w:val="080F1685"/>
    <w:rsid w:val="080F168C"/>
    <w:rsid w:val="080F1704"/>
    <w:rsid w:val="080F170E"/>
    <w:rsid w:val="080F175F"/>
    <w:rsid w:val="080F178A"/>
    <w:rsid w:val="080F18E8"/>
    <w:rsid w:val="080F19FA"/>
    <w:rsid w:val="080F1A00"/>
    <w:rsid w:val="080F1A97"/>
    <w:rsid w:val="080F1B5A"/>
    <w:rsid w:val="080F1B89"/>
    <w:rsid w:val="080F1BD7"/>
    <w:rsid w:val="080F1DDD"/>
    <w:rsid w:val="080F1E83"/>
    <w:rsid w:val="080F1E85"/>
    <w:rsid w:val="080F1F03"/>
    <w:rsid w:val="080F2093"/>
    <w:rsid w:val="080F20BD"/>
    <w:rsid w:val="080F219B"/>
    <w:rsid w:val="080F21C1"/>
    <w:rsid w:val="080F228D"/>
    <w:rsid w:val="080F230C"/>
    <w:rsid w:val="080F239B"/>
    <w:rsid w:val="080F2408"/>
    <w:rsid w:val="080F243C"/>
    <w:rsid w:val="080F2443"/>
    <w:rsid w:val="080F2485"/>
    <w:rsid w:val="080F2497"/>
    <w:rsid w:val="080F24BD"/>
    <w:rsid w:val="080F24DE"/>
    <w:rsid w:val="080F250D"/>
    <w:rsid w:val="080F25B3"/>
    <w:rsid w:val="080F2687"/>
    <w:rsid w:val="080F2696"/>
    <w:rsid w:val="080F26A1"/>
    <w:rsid w:val="080F26A3"/>
    <w:rsid w:val="080F2712"/>
    <w:rsid w:val="080F2756"/>
    <w:rsid w:val="080F27AE"/>
    <w:rsid w:val="080F2868"/>
    <w:rsid w:val="080F28D5"/>
    <w:rsid w:val="080F2921"/>
    <w:rsid w:val="080F293F"/>
    <w:rsid w:val="080F2964"/>
    <w:rsid w:val="080F29A0"/>
    <w:rsid w:val="080F2A5F"/>
    <w:rsid w:val="080F2B1C"/>
    <w:rsid w:val="080F2C84"/>
    <w:rsid w:val="080F2C85"/>
    <w:rsid w:val="080F2CCA"/>
    <w:rsid w:val="080F2DAE"/>
    <w:rsid w:val="080F2E5B"/>
    <w:rsid w:val="080F2EAD"/>
    <w:rsid w:val="080F2EDB"/>
    <w:rsid w:val="080F2F27"/>
    <w:rsid w:val="080F307D"/>
    <w:rsid w:val="080F31DA"/>
    <w:rsid w:val="080F320B"/>
    <w:rsid w:val="080F3374"/>
    <w:rsid w:val="080F3404"/>
    <w:rsid w:val="080F345A"/>
    <w:rsid w:val="080F3488"/>
    <w:rsid w:val="080F348A"/>
    <w:rsid w:val="080F34B7"/>
    <w:rsid w:val="080F3601"/>
    <w:rsid w:val="080F360F"/>
    <w:rsid w:val="080F363E"/>
    <w:rsid w:val="080F3642"/>
    <w:rsid w:val="080F3674"/>
    <w:rsid w:val="080F3719"/>
    <w:rsid w:val="080F37C4"/>
    <w:rsid w:val="080F3802"/>
    <w:rsid w:val="080F383F"/>
    <w:rsid w:val="080F386C"/>
    <w:rsid w:val="080F3872"/>
    <w:rsid w:val="080F38EF"/>
    <w:rsid w:val="080F395C"/>
    <w:rsid w:val="080F39CD"/>
    <w:rsid w:val="080F3A15"/>
    <w:rsid w:val="080F3A4F"/>
    <w:rsid w:val="080F3A8B"/>
    <w:rsid w:val="080F3AB5"/>
    <w:rsid w:val="080F3ADF"/>
    <w:rsid w:val="080F3BC3"/>
    <w:rsid w:val="080F3C2D"/>
    <w:rsid w:val="080F3C67"/>
    <w:rsid w:val="080F3CF6"/>
    <w:rsid w:val="080F3DF5"/>
    <w:rsid w:val="080F3E78"/>
    <w:rsid w:val="080F3F36"/>
    <w:rsid w:val="080F3F87"/>
    <w:rsid w:val="080F3F8E"/>
    <w:rsid w:val="080F40E6"/>
    <w:rsid w:val="080F4160"/>
    <w:rsid w:val="080F4174"/>
    <w:rsid w:val="080F41AF"/>
    <w:rsid w:val="080F41D9"/>
    <w:rsid w:val="080F42A2"/>
    <w:rsid w:val="080F43F1"/>
    <w:rsid w:val="080F4508"/>
    <w:rsid w:val="080F4565"/>
    <w:rsid w:val="080F45E2"/>
    <w:rsid w:val="080F4627"/>
    <w:rsid w:val="080F468E"/>
    <w:rsid w:val="080F47B5"/>
    <w:rsid w:val="080F47EA"/>
    <w:rsid w:val="080F4816"/>
    <w:rsid w:val="080F482B"/>
    <w:rsid w:val="080F4837"/>
    <w:rsid w:val="080F485D"/>
    <w:rsid w:val="080F4872"/>
    <w:rsid w:val="080F48BF"/>
    <w:rsid w:val="080F493B"/>
    <w:rsid w:val="080F4A8D"/>
    <w:rsid w:val="080F4AFB"/>
    <w:rsid w:val="080F4B08"/>
    <w:rsid w:val="080F4BB8"/>
    <w:rsid w:val="080F4BF4"/>
    <w:rsid w:val="080F4DAD"/>
    <w:rsid w:val="080F4DF1"/>
    <w:rsid w:val="080F4E19"/>
    <w:rsid w:val="080F4E84"/>
    <w:rsid w:val="080F5168"/>
    <w:rsid w:val="080F5175"/>
    <w:rsid w:val="080F520C"/>
    <w:rsid w:val="080F5233"/>
    <w:rsid w:val="080F53EF"/>
    <w:rsid w:val="080F5490"/>
    <w:rsid w:val="080F54B2"/>
    <w:rsid w:val="080F55AC"/>
    <w:rsid w:val="080F55DF"/>
    <w:rsid w:val="080F57A8"/>
    <w:rsid w:val="080F57CC"/>
    <w:rsid w:val="080F580E"/>
    <w:rsid w:val="080F5930"/>
    <w:rsid w:val="080F5968"/>
    <w:rsid w:val="080F5A05"/>
    <w:rsid w:val="080F5AF2"/>
    <w:rsid w:val="080F5B91"/>
    <w:rsid w:val="080F5BE4"/>
    <w:rsid w:val="080F5C88"/>
    <w:rsid w:val="080F5D14"/>
    <w:rsid w:val="080F5DD5"/>
    <w:rsid w:val="080F5EA1"/>
    <w:rsid w:val="080F5EEC"/>
    <w:rsid w:val="080F5FC4"/>
    <w:rsid w:val="080F6023"/>
    <w:rsid w:val="080F6075"/>
    <w:rsid w:val="080F60FC"/>
    <w:rsid w:val="080F610A"/>
    <w:rsid w:val="080F6144"/>
    <w:rsid w:val="080F6154"/>
    <w:rsid w:val="080F6171"/>
    <w:rsid w:val="080F61D5"/>
    <w:rsid w:val="080F624E"/>
    <w:rsid w:val="080F62D1"/>
    <w:rsid w:val="080F63B0"/>
    <w:rsid w:val="080F642E"/>
    <w:rsid w:val="080F6500"/>
    <w:rsid w:val="080F654A"/>
    <w:rsid w:val="080F6581"/>
    <w:rsid w:val="080F6651"/>
    <w:rsid w:val="080F6706"/>
    <w:rsid w:val="080F6726"/>
    <w:rsid w:val="080F6738"/>
    <w:rsid w:val="080F6791"/>
    <w:rsid w:val="080F67BB"/>
    <w:rsid w:val="080F67E5"/>
    <w:rsid w:val="080F684D"/>
    <w:rsid w:val="080F68D9"/>
    <w:rsid w:val="080F6939"/>
    <w:rsid w:val="080F694F"/>
    <w:rsid w:val="080F6A6C"/>
    <w:rsid w:val="080F6AF4"/>
    <w:rsid w:val="080F6AF9"/>
    <w:rsid w:val="080F6B21"/>
    <w:rsid w:val="080F6C53"/>
    <w:rsid w:val="080F6CF5"/>
    <w:rsid w:val="080F6DBA"/>
    <w:rsid w:val="080F6E45"/>
    <w:rsid w:val="080F6E54"/>
    <w:rsid w:val="080F6E59"/>
    <w:rsid w:val="080F6E72"/>
    <w:rsid w:val="080F6F38"/>
    <w:rsid w:val="080F6F98"/>
    <w:rsid w:val="080F701C"/>
    <w:rsid w:val="080F725F"/>
    <w:rsid w:val="080F72DA"/>
    <w:rsid w:val="080F7339"/>
    <w:rsid w:val="080F73D7"/>
    <w:rsid w:val="080F746A"/>
    <w:rsid w:val="080F7601"/>
    <w:rsid w:val="080F7671"/>
    <w:rsid w:val="080F7692"/>
    <w:rsid w:val="080F7700"/>
    <w:rsid w:val="080F7710"/>
    <w:rsid w:val="080F7727"/>
    <w:rsid w:val="080F7729"/>
    <w:rsid w:val="080F780E"/>
    <w:rsid w:val="080F783A"/>
    <w:rsid w:val="080F78FF"/>
    <w:rsid w:val="080F79DF"/>
    <w:rsid w:val="080F79E3"/>
    <w:rsid w:val="080F79E5"/>
    <w:rsid w:val="080F7A0A"/>
    <w:rsid w:val="080F7A6D"/>
    <w:rsid w:val="080F7B78"/>
    <w:rsid w:val="080F7BDB"/>
    <w:rsid w:val="080F7C4F"/>
    <w:rsid w:val="080F7D3F"/>
    <w:rsid w:val="080F7D9E"/>
    <w:rsid w:val="080F7DE4"/>
    <w:rsid w:val="080F7E68"/>
    <w:rsid w:val="080F7E6E"/>
    <w:rsid w:val="080F7F3C"/>
    <w:rsid w:val="08100021"/>
    <w:rsid w:val="08100065"/>
    <w:rsid w:val="081000A3"/>
    <w:rsid w:val="081001AF"/>
    <w:rsid w:val="081001BC"/>
    <w:rsid w:val="08100239"/>
    <w:rsid w:val="0810037F"/>
    <w:rsid w:val="081004C4"/>
    <w:rsid w:val="081004F6"/>
    <w:rsid w:val="08100524"/>
    <w:rsid w:val="08100570"/>
    <w:rsid w:val="081006B9"/>
    <w:rsid w:val="081006E0"/>
    <w:rsid w:val="081006E5"/>
    <w:rsid w:val="08100702"/>
    <w:rsid w:val="08100825"/>
    <w:rsid w:val="08100834"/>
    <w:rsid w:val="08100863"/>
    <w:rsid w:val="081008E4"/>
    <w:rsid w:val="08100933"/>
    <w:rsid w:val="08100937"/>
    <w:rsid w:val="0810094F"/>
    <w:rsid w:val="0810095E"/>
    <w:rsid w:val="08100967"/>
    <w:rsid w:val="08100971"/>
    <w:rsid w:val="08100A1F"/>
    <w:rsid w:val="08100A30"/>
    <w:rsid w:val="08100C0C"/>
    <w:rsid w:val="08100C3B"/>
    <w:rsid w:val="08100CCB"/>
    <w:rsid w:val="08100CED"/>
    <w:rsid w:val="08100CEF"/>
    <w:rsid w:val="08100D3B"/>
    <w:rsid w:val="08100DC3"/>
    <w:rsid w:val="08100DEE"/>
    <w:rsid w:val="08100E72"/>
    <w:rsid w:val="08100EA7"/>
    <w:rsid w:val="08100FA5"/>
    <w:rsid w:val="08100FC5"/>
    <w:rsid w:val="08100FDC"/>
    <w:rsid w:val="0810104B"/>
    <w:rsid w:val="08101132"/>
    <w:rsid w:val="08101151"/>
    <w:rsid w:val="081011B5"/>
    <w:rsid w:val="0810128A"/>
    <w:rsid w:val="081012E3"/>
    <w:rsid w:val="08101366"/>
    <w:rsid w:val="08101420"/>
    <w:rsid w:val="08101488"/>
    <w:rsid w:val="08101496"/>
    <w:rsid w:val="0810149F"/>
    <w:rsid w:val="08101509"/>
    <w:rsid w:val="0810153C"/>
    <w:rsid w:val="081015D5"/>
    <w:rsid w:val="08101673"/>
    <w:rsid w:val="081016F1"/>
    <w:rsid w:val="08101737"/>
    <w:rsid w:val="08101746"/>
    <w:rsid w:val="08101898"/>
    <w:rsid w:val="081018C3"/>
    <w:rsid w:val="08101948"/>
    <w:rsid w:val="081019FE"/>
    <w:rsid w:val="08101AEA"/>
    <w:rsid w:val="08101B3E"/>
    <w:rsid w:val="08101B77"/>
    <w:rsid w:val="08101BAE"/>
    <w:rsid w:val="08101D30"/>
    <w:rsid w:val="08101D7B"/>
    <w:rsid w:val="08101D7D"/>
    <w:rsid w:val="08101F7A"/>
    <w:rsid w:val="0810205E"/>
    <w:rsid w:val="081021BF"/>
    <w:rsid w:val="08102297"/>
    <w:rsid w:val="081022A2"/>
    <w:rsid w:val="08102302"/>
    <w:rsid w:val="08102492"/>
    <w:rsid w:val="081024A0"/>
    <w:rsid w:val="08102549"/>
    <w:rsid w:val="08102664"/>
    <w:rsid w:val="08102670"/>
    <w:rsid w:val="08102859"/>
    <w:rsid w:val="081028C3"/>
    <w:rsid w:val="081028F5"/>
    <w:rsid w:val="0810290F"/>
    <w:rsid w:val="08102914"/>
    <w:rsid w:val="08102927"/>
    <w:rsid w:val="081029FD"/>
    <w:rsid w:val="08102ADA"/>
    <w:rsid w:val="08102B19"/>
    <w:rsid w:val="08102CEE"/>
    <w:rsid w:val="08102DAD"/>
    <w:rsid w:val="08102E12"/>
    <w:rsid w:val="08102E36"/>
    <w:rsid w:val="08102EC9"/>
    <w:rsid w:val="08102F01"/>
    <w:rsid w:val="08102F2F"/>
    <w:rsid w:val="08102F92"/>
    <w:rsid w:val="08103046"/>
    <w:rsid w:val="08103060"/>
    <w:rsid w:val="0810316F"/>
    <w:rsid w:val="081031BF"/>
    <w:rsid w:val="081031C3"/>
    <w:rsid w:val="08103243"/>
    <w:rsid w:val="08103249"/>
    <w:rsid w:val="08103279"/>
    <w:rsid w:val="0810327A"/>
    <w:rsid w:val="08103289"/>
    <w:rsid w:val="081033BE"/>
    <w:rsid w:val="081033E5"/>
    <w:rsid w:val="0810345C"/>
    <w:rsid w:val="081034FD"/>
    <w:rsid w:val="0810358B"/>
    <w:rsid w:val="081035C5"/>
    <w:rsid w:val="081035F9"/>
    <w:rsid w:val="081036CC"/>
    <w:rsid w:val="081036FC"/>
    <w:rsid w:val="0810378C"/>
    <w:rsid w:val="081037D7"/>
    <w:rsid w:val="08103815"/>
    <w:rsid w:val="0810386B"/>
    <w:rsid w:val="08103877"/>
    <w:rsid w:val="08103882"/>
    <w:rsid w:val="081038A5"/>
    <w:rsid w:val="08103909"/>
    <w:rsid w:val="08103917"/>
    <w:rsid w:val="08103A66"/>
    <w:rsid w:val="08103AEA"/>
    <w:rsid w:val="08103AEB"/>
    <w:rsid w:val="08103B5E"/>
    <w:rsid w:val="08103B71"/>
    <w:rsid w:val="08103BFB"/>
    <w:rsid w:val="08103C74"/>
    <w:rsid w:val="08103CE3"/>
    <w:rsid w:val="08103DB0"/>
    <w:rsid w:val="08103DEF"/>
    <w:rsid w:val="08103DF3"/>
    <w:rsid w:val="08103DF8"/>
    <w:rsid w:val="08103E0D"/>
    <w:rsid w:val="08103E52"/>
    <w:rsid w:val="08103FAC"/>
    <w:rsid w:val="08103FB8"/>
    <w:rsid w:val="08104008"/>
    <w:rsid w:val="0810407A"/>
    <w:rsid w:val="081040D5"/>
    <w:rsid w:val="0810414F"/>
    <w:rsid w:val="08104182"/>
    <w:rsid w:val="0810420C"/>
    <w:rsid w:val="08104213"/>
    <w:rsid w:val="08104280"/>
    <w:rsid w:val="08104295"/>
    <w:rsid w:val="0810431D"/>
    <w:rsid w:val="08104383"/>
    <w:rsid w:val="081043F0"/>
    <w:rsid w:val="0810442E"/>
    <w:rsid w:val="081045A8"/>
    <w:rsid w:val="08104656"/>
    <w:rsid w:val="081047EE"/>
    <w:rsid w:val="0810487D"/>
    <w:rsid w:val="08104958"/>
    <w:rsid w:val="08104A5C"/>
    <w:rsid w:val="08104AEC"/>
    <w:rsid w:val="08104B6D"/>
    <w:rsid w:val="08104BC6"/>
    <w:rsid w:val="08104C02"/>
    <w:rsid w:val="08104C1F"/>
    <w:rsid w:val="08104C3A"/>
    <w:rsid w:val="08104CE8"/>
    <w:rsid w:val="08104ECD"/>
    <w:rsid w:val="08105036"/>
    <w:rsid w:val="0810510D"/>
    <w:rsid w:val="08105157"/>
    <w:rsid w:val="081051B4"/>
    <w:rsid w:val="081051D0"/>
    <w:rsid w:val="081052DA"/>
    <w:rsid w:val="081053D7"/>
    <w:rsid w:val="08105429"/>
    <w:rsid w:val="0810546B"/>
    <w:rsid w:val="0810549B"/>
    <w:rsid w:val="081054E8"/>
    <w:rsid w:val="08105506"/>
    <w:rsid w:val="08105525"/>
    <w:rsid w:val="08105530"/>
    <w:rsid w:val="08105565"/>
    <w:rsid w:val="081056FE"/>
    <w:rsid w:val="081057B5"/>
    <w:rsid w:val="081057E4"/>
    <w:rsid w:val="081058A2"/>
    <w:rsid w:val="081058B6"/>
    <w:rsid w:val="081058C6"/>
    <w:rsid w:val="08105905"/>
    <w:rsid w:val="08105915"/>
    <w:rsid w:val="08105919"/>
    <w:rsid w:val="081059AC"/>
    <w:rsid w:val="08105A74"/>
    <w:rsid w:val="08105AE2"/>
    <w:rsid w:val="08105B02"/>
    <w:rsid w:val="08105B49"/>
    <w:rsid w:val="08105B76"/>
    <w:rsid w:val="08105C6A"/>
    <w:rsid w:val="08105CF4"/>
    <w:rsid w:val="08105D0E"/>
    <w:rsid w:val="08105D1B"/>
    <w:rsid w:val="08105D1F"/>
    <w:rsid w:val="08105D2B"/>
    <w:rsid w:val="08105D2D"/>
    <w:rsid w:val="08105E05"/>
    <w:rsid w:val="08105F2F"/>
    <w:rsid w:val="08105F41"/>
    <w:rsid w:val="08105F77"/>
    <w:rsid w:val="08105FD6"/>
    <w:rsid w:val="08105FE0"/>
    <w:rsid w:val="08106074"/>
    <w:rsid w:val="08106084"/>
    <w:rsid w:val="081060F7"/>
    <w:rsid w:val="081061D8"/>
    <w:rsid w:val="081062AE"/>
    <w:rsid w:val="08106380"/>
    <w:rsid w:val="081063A4"/>
    <w:rsid w:val="081063F6"/>
    <w:rsid w:val="0810647E"/>
    <w:rsid w:val="081064E9"/>
    <w:rsid w:val="08106524"/>
    <w:rsid w:val="081065C2"/>
    <w:rsid w:val="081065C4"/>
    <w:rsid w:val="081066D2"/>
    <w:rsid w:val="081066F7"/>
    <w:rsid w:val="081067AB"/>
    <w:rsid w:val="08106832"/>
    <w:rsid w:val="081068CC"/>
    <w:rsid w:val="081068CD"/>
    <w:rsid w:val="081068F0"/>
    <w:rsid w:val="08106917"/>
    <w:rsid w:val="0810691D"/>
    <w:rsid w:val="0810694D"/>
    <w:rsid w:val="08106957"/>
    <w:rsid w:val="08106AB5"/>
    <w:rsid w:val="08106BA5"/>
    <w:rsid w:val="08106BB6"/>
    <w:rsid w:val="08106BBC"/>
    <w:rsid w:val="08106C52"/>
    <w:rsid w:val="08106C79"/>
    <w:rsid w:val="08106CE5"/>
    <w:rsid w:val="08106D03"/>
    <w:rsid w:val="08106D9E"/>
    <w:rsid w:val="08106DB4"/>
    <w:rsid w:val="08106DC9"/>
    <w:rsid w:val="08106DFA"/>
    <w:rsid w:val="08106E33"/>
    <w:rsid w:val="08106E75"/>
    <w:rsid w:val="08106E82"/>
    <w:rsid w:val="08106EC0"/>
    <w:rsid w:val="08106F34"/>
    <w:rsid w:val="08106FC0"/>
    <w:rsid w:val="08107108"/>
    <w:rsid w:val="0810715C"/>
    <w:rsid w:val="081072A1"/>
    <w:rsid w:val="08107318"/>
    <w:rsid w:val="081073D9"/>
    <w:rsid w:val="081073E6"/>
    <w:rsid w:val="08107414"/>
    <w:rsid w:val="0810744C"/>
    <w:rsid w:val="0810751B"/>
    <w:rsid w:val="08107550"/>
    <w:rsid w:val="08107556"/>
    <w:rsid w:val="0810756F"/>
    <w:rsid w:val="081075BD"/>
    <w:rsid w:val="081075C8"/>
    <w:rsid w:val="081075D5"/>
    <w:rsid w:val="08107627"/>
    <w:rsid w:val="08107671"/>
    <w:rsid w:val="081076B0"/>
    <w:rsid w:val="081076E5"/>
    <w:rsid w:val="0810785A"/>
    <w:rsid w:val="081078D7"/>
    <w:rsid w:val="081079BD"/>
    <w:rsid w:val="081079C5"/>
    <w:rsid w:val="08107AE1"/>
    <w:rsid w:val="08107AFE"/>
    <w:rsid w:val="08107B6F"/>
    <w:rsid w:val="08107C1F"/>
    <w:rsid w:val="08107CA7"/>
    <w:rsid w:val="08107E0B"/>
    <w:rsid w:val="08107E7E"/>
    <w:rsid w:val="08107E92"/>
    <w:rsid w:val="08107EA9"/>
    <w:rsid w:val="08107ED2"/>
    <w:rsid w:val="08107F0B"/>
    <w:rsid w:val="08107FA6"/>
    <w:rsid w:val="08107FDD"/>
    <w:rsid w:val="0811006C"/>
    <w:rsid w:val="08110079"/>
    <w:rsid w:val="081100F9"/>
    <w:rsid w:val="08110124"/>
    <w:rsid w:val="0811014E"/>
    <w:rsid w:val="08110262"/>
    <w:rsid w:val="08110281"/>
    <w:rsid w:val="08110285"/>
    <w:rsid w:val="08110399"/>
    <w:rsid w:val="081103C3"/>
    <w:rsid w:val="081103E1"/>
    <w:rsid w:val="0811042B"/>
    <w:rsid w:val="08110434"/>
    <w:rsid w:val="0811048A"/>
    <w:rsid w:val="08110558"/>
    <w:rsid w:val="081105C9"/>
    <w:rsid w:val="08110687"/>
    <w:rsid w:val="081106B0"/>
    <w:rsid w:val="081106BC"/>
    <w:rsid w:val="08110795"/>
    <w:rsid w:val="081107D6"/>
    <w:rsid w:val="081107E3"/>
    <w:rsid w:val="081107F7"/>
    <w:rsid w:val="081108F8"/>
    <w:rsid w:val="08110932"/>
    <w:rsid w:val="081109A7"/>
    <w:rsid w:val="081109AA"/>
    <w:rsid w:val="08110B43"/>
    <w:rsid w:val="08110C56"/>
    <w:rsid w:val="08110C60"/>
    <w:rsid w:val="08110C95"/>
    <w:rsid w:val="08110CA6"/>
    <w:rsid w:val="08110D01"/>
    <w:rsid w:val="08110D79"/>
    <w:rsid w:val="08110DB8"/>
    <w:rsid w:val="08110E7D"/>
    <w:rsid w:val="08110EC7"/>
    <w:rsid w:val="08110F53"/>
    <w:rsid w:val="08110FB3"/>
    <w:rsid w:val="08110FBD"/>
    <w:rsid w:val="08111219"/>
    <w:rsid w:val="08111240"/>
    <w:rsid w:val="0811124D"/>
    <w:rsid w:val="08111301"/>
    <w:rsid w:val="0811136D"/>
    <w:rsid w:val="08111438"/>
    <w:rsid w:val="08111439"/>
    <w:rsid w:val="0811154B"/>
    <w:rsid w:val="08111618"/>
    <w:rsid w:val="0811163E"/>
    <w:rsid w:val="0811164D"/>
    <w:rsid w:val="081116C8"/>
    <w:rsid w:val="0811171A"/>
    <w:rsid w:val="0811172F"/>
    <w:rsid w:val="081117BA"/>
    <w:rsid w:val="081118A4"/>
    <w:rsid w:val="081118C7"/>
    <w:rsid w:val="08111952"/>
    <w:rsid w:val="081119EC"/>
    <w:rsid w:val="08111A3B"/>
    <w:rsid w:val="08111A52"/>
    <w:rsid w:val="08111B4B"/>
    <w:rsid w:val="08111B6F"/>
    <w:rsid w:val="08111C62"/>
    <w:rsid w:val="08111C81"/>
    <w:rsid w:val="08111C89"/>
    <w:rsid w:val="08111C95"/>
    <w:rsid w:val="08111D10"/>
    <w:rsid w:val="08111D72"/>
    <w:rsid w:val="08111D7E"/>
    <w:rsid w:val="08111E61"/>
    <w:rsid w:val="08111EA6"/>
    <w:rsid w:val="08111EA7"/>
    <w:rsid w:val="08111EB5"/>
    <w:rsid w:val="08111F73"/>
    <w:rsid w:val="08111F8A"/>
    <w:rsid w:val="08112104"/>
    <w:rsid w:val="08112113"/>
    <w:rsid w:val="08112139"/>
    <w:rsid w:val="08112267"/>
    <w:rsid w:val="081122B4"/>
    <w:rsid w:val="081122FF"/>
    <w:rsid w:val="0811247A"/>
    <w:rsid w:val="08112491"/>
    <w:rsid w:val="081124B3"/>
    <w:rsid w:val="081126AC"/>
    <w:rsid w:val="08112745"/>
    <w:rsid w:val="08112754"/>
    <w:rsid w:val="08112776"/>
    <w:rsid w:val="0811278B"/>
    <w:rsid w:val="081128DC"/>
    <w:rsid w:val="0811290A"/>
    <w:rsid w:val="0811295E"/>
    <w:rsid w:val="08112976"/>
    <w:rsid w:val="08112977"/>
    <w:rsid w:val="08112A53"/>
    <w:rsid w:val="08112A54"/>
    <w:rsid w:val="08112AE9"/>
    <w:rsid w:val="08112BA9"/>
    <w:rsid w:val="08112BBF"/>
    <w:rsid w:val="08112BCB"/>
    <w:rsid w:val="08112C24"/>
    <w:rsid w:val="08112C30"/>
    <w:rsid w:val="08112D9D"/>
    <w:rsid w:val="08112DB2"/>
    <w:rsid w:val="08112E37"/>
    <w:rsid w:val="08112E83"/>
    <w:rsid w:val="08112EA6"/>
    <w:rsid w:val="08112F22"/>
    <w:rsid w:val="08112F6E"/>
    <w:rsid w:val="08112FD6"/>
    <w:rsid w:val="08112FF3"/>
    <w:rsid w:val="081130B9"/>
    <w:rsid w:val="08113247"/>
    <w:rsid w:val="081132E2"/>
    <w:rsid w:val="081133E7"/>
    <w:rsid w:val="081134D8"/>
    <w:rsid w:val="08113622"/>
    <w:rsid w:val="0811378D"/>
    <w:rsid w:val="081137B4"/>
    <w:rsid w:val="081138C2"/>
    <w:rsid w:val="08113903"/>
    <w:rsid w:val="08113941"/>
    <w:rsid w:val="08113A75"/>
    <w:rsid w:val="08113A9D"/>
    <w:rsid w:val="08113B5A"/>
    <w:rsid w:val="08113B81"/>
    <w:rsid w:val="08113BAC"/>
    <w:rsid w:val="08113C56"/>
    <w:rsid w:val="08113C8C"/>
    <w:rsid w:val="08113CE3"/>
    <w:rsid w:val="08113CFC"/>
    <w:rsid w:val="08113D52"/>
    <w:rsid w:val="08113EBD"/>
    <w:rsid w:val="08113EFA"/>
    <w:rsid w:val="08113F57"/>
    <w:rsid w:val="0811400B"/>
    <w:rsid w:val="0811400C"/>
    <w:rsid w:val="08114041"/>
    <w:rsid w:val="081140FC"/>
    <w:rsid w:val="081141B7"/>
    <w:rsid w:val="0811427F"/>
    <w:rsid w:val="08114281"/>
    <w:rsid w:val="0811428E"/>
    <w:rsid w:val="08114312"/>
    <w:rsid w:val="08114320"/>
    <w:rsid w:val="08114325"/>
    <w:rsid w:val="081143A4"/>
    <w:rsid w:val="081143CA"/>
    <w:rsid w:val="0811446B"/>
    <w:rsid w:val="081144CB"/>
    <w:rsid w:val="08114538"/>
    <w:rsid w:val="08114549"/>
    <w:rsid w:val="08114573"/>
    <w:rsid w:val="0811465F"/>
    <w:rsid w:val="081146CC"/>
    <w:rsid w:val="081146DA"/>
    <w:rsid w:val="08114759"/>
    <w:rsid w:val="0811477C"/>
    <w:rsid w:val="081147A6"/>
    <w:rsid w:val="0811489C"/>
    <w:rsid w:val="08114A27"/>
    <w:rsid w:val="08114A74"/>
    <w:rsid w:val="08114B84"/>
    <w:rsid w:val="08114B9F"/>
    <w:rsid w:val="08114C45"/>
    <w:rsid w:val="08114D27"/>
    <w:rsid w:val="08114F98"/>
    <w:rsid w:val="08114F99"/>
    <w:rsid w:val="081150CD"/>
    <w:rsid w:val="081150F3"/>
    <w:rsid w:val="08115149"/>
    <w:rsid w:val="0811516C"/>
    <w:rsid w:val="0811517C"/>
    <w:rsid w:val="0811519D"/>
    <w:rsid w:val="0811519E"/>
    <w:rsid w:val="081151A5"/>
    <w:rsid w:val="081152DB"/>
    <w:rsid w:val="08115312"/>
    <w:rsid w:val="08115320"/>
    <w:rsid w:val="0811533C"/>
    <w:rsid w:val="0811536D"/>
    <w:rsid w:val="081153D3"/>
    <w:rsid w:val="0811540B"/>
    <w:rsid w:val="08115422"/>
    <w:rsid w:val="0811552D"/>
    <w:rsid w:val="08115562"/>
    <w:rsid w:val="081155A5"/>
    <w:rsid w:val="0811563E"/>
    <w:rsid w:val="0811565B"/>
    <w:rsid w:val="0811566E"/>
    <w:rsid w:val="08115684"/>
    <w:rsid w:val="08115687"/>
    <w:rsid w:val="081156AD"/>
    <w:rsid w:val="08115768"/>
    <w:rsid w:val="0811579C"/>
    <w:rsid w:val="08115840"/>
    <w:rsid w:val="08115868"/>
    <w:rsid w:val="081159F8"/>
    <w:rsid w:val="08115A7A"/>
    <w:rsid w:val="08115B3B"/>
    <w:rsid w:val="08115B57"/>
    <w:rsid w:val="08115BE7"/>
    <w:rsid w:val="08115C8B"/>
    <w:rsid w:val="08115D08"/>
    <w:rsid w:val="08115D7E"/>
    <w:rsid w:val="08115DD4"/>
    <w:rsid w:val="08115E2D"/>
    <w:rsid w:val="08115EB7"/>
    <w:rsid w:val="08115EE6"/>
    <w:rsid w:val="081160D5"/>
    <w:rsid w:val="0811610C"/>
    <w:rsid w:val="08116139"/>
    <w:rsid w:val="081161A3"/>
    <w:rsid w:val="081161B3"/>
    <w:rsid w:val="081161B5"/>
    <w:rsid w:val="08116209"/>
    <w:rsid w:val="08116214"/>
    <w:rsid w:val="081162A2"/>
    <w:rsid w:val="081162D9"/>
    <w:rsid w:val="081162E4"/>
    <w:rsid w:val="081164D4"/>
    <w:rsid w:val="08116589"/>
    <w:rsid w:val="081165C3"/>
    <w:rsid w:val="0811666E"/>
    <w:rsid w:val="081166BB"/>
    <w:rsid w:val="081166D5"/>
    <w:rsid w:val="0811670E"/>
    <w:rsid w:val="0811675B"/>
    <w:rsid w:val="08116762"/>
    <w:rsid w:val="08116898"/>
    <w:rsid w:val="081168F0"/>
    <w:rsid w:val="081168FD"/>
    <w:rsid w:val="08116983"/>
    <w:rsid w:val="0811698C"/>
    <w:rsid w:val="081169B4"/>
    <w:rsid w:val="08116A09"/>
    <w:rsid w:val="08116A1F"/>
    <w:rsid w:val="08116A44"/>
    <w:rsid w:val="08116A9C"/>
    <w:rsid w:val="08116AB3"/>
    <w:rsid w:val="08116B43"/>
    <w:rsid w:val="08116B51"/>
    <w:rsid w:val="08116BF5"/>
    <w:rsid w:val="08116C29"/>
    <w:rsid w:val="08116CAA"/>
    <w:rsid w:val="08116CFE"/>
    <w:rsid w:val="08116D8C"/>
    <w:rsid w:val="08116D99"/>
    <w:rsid w:val="08116E00"/>
    <w:rsid w:val="08116E1E"/>
    <w:rsid w:val="08116E5D"/>
    <w:rsid w:val="08116F82"/>
    <w:rsid w:val="08116FA2"/>
    <w:rsid w:val="08117030"/>
    <w:rsid w:val="0811707B"/>
    <w:rsid w:val="08117095"/>
    <w:rsid w:val="08117107"/>
    <w:rsid w:val="0811719F"/>
    <w:rsid w:val="081171A4"/>
    <w:rsid w:val="081171DE"/>
    <w:rsid w:val="081172C9"/>
    <w:rsid w:val="08117322"/>
    <w:rsid w:val="0811734A"/>
    <w:rsid w:val="0811735E"/>
    <w:rsid w:val="08117498"/>
    <w:rsid w:val="08117547"/>
    <w:rsid w:val="081176E2"/>
    <w:rsid w:val="08117796"/>
    <w:rsid w:val="081177EE"/>
    <w:rsid w:val="08117818"/>
    <w:rsid w:val="08117AF4"/>
    <w:rsid w:val="08117BF8"/>
    <w:rsid w:val="08117C1A"/>
    <w:rsid w:val="08117C6E"/>
    <w:rsid w:val="08117D8A"/>
    <w:rsid w:val="08117DE4"/>
    <w:rsid w:val="08117E07"/>
    <w:rsid w:val="08117E45"/>
    <w:rsid w:val="08117EEC"/>
    <w:rsid w:val="08117F79"/>
    <w:rsid w:val="08117F8D"/>
    <w:rsid w:val="08117FA1"/>
    <w:rsid w:val="08117FEC"/>
    <w:rsid w:val="08120001"/>
    <w:rsid w:val="08120039"/>
    <w:rsid w:val="0812007B"/>
    <w:rsid w:val="081200D1"/>
    <w:rsid w:val="081200EF"/>
    <w:rsid w:val="0812029E"/>
    <w:rsid w:val="08120322"/>
    <w:rsid w:val="08120348"/>
    <w:rsid w:val="0812038F"/>
    <w:rsid w:val="081203F5"/>
    <w:rsid w:val="081204B0"/>
    <w:rsid w:val="08120533"/>
    <w:rsid w:val="08120570"/>
    <w:rsid w:val="08120620"/>
    <w:rsid w:val="081206F7"/>
    <w:rsid w:val="0812075C"/>
    <w:rsid w:val="08120817"/>
    <w:rsid w:val="08120962"/>
    <w:rsid w:val="08120997"/>
    <w:rsid w:val="08120AA1"/>
    <w:rsid w:val="08120AC1"/>
    <w:rsid w:val="08120B43"/>
    <w:rsid w:val="08120C26"/>
    <w:rsid w:val="08120C85"/>
    <w:rsid w:val="08120CC7"/>
    <w:rsid w:val="08120CC8"/>
    <w:rsid w:val="08120CCC"/>
    <w:rsid w:val="08120E9C"/>
    <w:rsid w:val="08120E9F"/>
    <w:rsid w:val="08120EA2"/>
    <w:rsid w:val="08120F04"/>
    <w:rsid w:val="08120F53"/>
    <w:rsid w:val="08120F73"/>
    <w:rsid w:val="08120F77"/>
    <w:rsid w:val="08121001"/>
    <w:rsid w:val="08121025"/>
    <w:rsid w:val="08121039"/>
    <w:rsid w:val="08121050"/>
    <w:rsid w:val="08121060"/>
    <w:rsid w:val="08121142"/>
    <w:rsid w:val="08121158"/>
    <w:rsid w:val="0812119C"/>
    <w:rsid w:val="081211FF"/>
    <w:rsid w:val="0812122D"/>
    <w:rsid w:val="0812140B"/>
    <w:rsid w:val="08121454"/>
    <w:rsid w:val="08121543"/>
    <w:rsid w:val="081216D9"/>
    <w:rsid w:val="081217FD"/>
    <w:rsid w:val="08121861"/>
    <w:rsid w:val="08121884"/>
    <w:rsid w:val="0812190B"/>
    <w:rsid w:val="08121947"/>
    <w:rsid w:val="08121A30"/>
    <w:rsid w:val="08121A8E"/>
    <w:rsid w:val="08121B7D"/>
    <w:rsid w:val="08121BCD"/>
    <w:rsid w:val="08121C48"/>
    <w:rsid w:val="08121D81"/>
    <w:rsid w:val="08121DA3"/>
    <w:rsid w:val="08121E1D"/>
    <w:rsid w:val="08121EF1"/>
    <w:rsid w:val="08121F47"/>
    <w:rsid w:val="08121F51"/>
    <w:rsid w:val="08121F7A"/>
    <w:rsid w:val="08121FAA"/>
    <w:rsid w:val="08121FC6"/>
    <w:rsid w:val="08121FDA"/>
    <w:rsid w:val="081220F8"/>
    <w:rsid w:val="0812215A"/>
    <w:rsid w:val="08122178"/>
    <w:rsid w:val="081221AB"/>
    <w:rsid w:val="081221AF"/>
    <w:rsid w:val="08122244"/>
    <w:rsid w:val="0812231F"/>
    <w:rsid w:val="08122325"/>
    <w:rsid w:val="081223B0"/>
    <w:rsid w:val="08122444"/>
    <w:rsid w:val="0812254A"/>
    <w:rsid w:val="08122563"/>
    <w:rsid w:val="081225F6"/>
    <w:rsid w:val="081227A4"/>
    <w:rsid w:val="081227E0"/>
    <w:rsid w:val="081227EB"/>
    <w:rsid w:val="081228A7"/>
    <w:rsid w:val="081228C8"/>
    <w:rsid w:val="08122940"/>
    <w:rsid w:val="0812294A"/>
    <w:rsid w:val="08122A90"/>
    <w:rsid w:val="08122ADB"/>
    <w:rsid w:val="08122B41"/>
    <w:rsid w:val="08122B80"/>
    <w:rsid w:val="08122B9F"/>
    <w:rsid w:val="08122BA2"/>
    <w:rsid w:val="08122BBF"/>
    <w:rsid w:val="08122BFB"/>
    <w:rsid w:val="08122C04"/>
    <w:rsid w:val="08122C2B"/>
    <w:rsid w:val="08122CC8"/>
    <w:rsid w:val="08122D15"/>
    <w:rsid w:val="08122D8A"/>
    <w:rsid w:val="08122E08"/>
    <w:rsid w:val="08122F51"/>
    <w:rsid w:val="08122FF9"/>
    <w:rsid w:val="0812305C"/>
    <w:rsid w:val="081230A4"/>
    <w:rsid w:val="081230E1"/>
    <w:rsid w:val="0812311F"/>
    <w:rsid w:val="08123198"/>
    <w:rsid w:val="081231C5"/>
    <w:rsid w:val="0812321D"/>
    <w:rsid w:val="081232B8"/>
    <w:rsid w:val="081232F4"/>
    <w:rsid w:val="08123409"/>
    <w:rsid w:val="0812349F"/>
    <w:rsid w:val="081234DE"/>
    <w:rsid w:val="081235EF"/>
    <w:rsid w:val="08123607"/>
    <w:rsid w:val="081237CF"/>
    <w:rsid w:val="08123806"/>
    <w:rsid w:val="08123819"/>
    <w:rsid w:val="08123835"/>
    <w:rsid w:val="08123AB1"/>
    <w:rsid w:val="08123AFF"/>
    <w:rsid w:val="08123CCB"/>
    <w:rsid w:val="08123E27"/>
    <w:rsid w:val="08123E6E"/>
    <w:rsid w:val="08123ECA"/>
    <w:rsid w:val="08123ED1"/>
    <w:rsid w:val="08123F06"/>
    <w:rsid w:val="08123FFB"/>
    <w:rsid w:val="08124009"/>
    <w:rsid w:val="081240BD"/>
    <w:rsid w:val="081240F8"/>
    <w:rsid w:val="0812410F"/>
    <w:rsid w:val="08124133"/>
    <w:rsid w:val="0812418C"/>
    <w:rsid w:val="08124270"/>
    <w:rsid w:val="081242FC"/>
    <w:rsid w:val="08124315"/>
    <w:rsid w:val="0812441F"/>
    <w:rsid w:val="08124528"/>
    <w:rsid w:val="08124549"/>
    <w:rsid w:val="081245AF"/>
    <w:rsid w:val="0812460D"/>
    <w:rsid w:val="08124622"/>
    <w:rsid w:val="0812463C"/>
    <w:rsid w:val="081246C0"/>
    <w:rsid w:val="08124806"/>
    <w:rsid w:val="08124875"/>
    <w:rsid w:val="081248B7"/>
    <w:rsid w:val="081248DE"/>
    <w:rsid w:val="081249A8"/>
    <w:rsid w:val="08124A54"/>
    <w:rsid w:val="08124ADF"/>
    <w:rsid w:val="08124B92"/>
    <w:rsid w:val="08124C16"/>
    <w:rsid w:val="08124C82"/>
    <w:rsid w:val="08124D0F"/>
    <w:rsid w:val="08124D5A"/>
    <w:rsid w:val="08124D78"/>
    <w:rsid w:val="08124DE8"/>
    <w:rsid w:val="08124E0B"/>
    <w:rsid w:val="08124EB1"/>
    <w:rsid w:val="08124F03"/>
    <w:rsid w:val="08124FB0"/>
    <w:rsid w:val="08124FD1"/>
    <w:rsid w:val="08125000"/>
    <w:rsid w:val="0812507F"/>
    <w:rsid w:val="081250BA"/>
    <w:rsid w:val="081251C7"/>
    <w:rsid w:val="081251CA"/>
    <w:rsid w:val="08125243"/>
    <w:rsid w:val="08125373"/>
    <w:rsid w:val="08125392"/>
    <w:rsid w:val="081253F2"/>
    <w:rsid w:val="081254F5"/>
    <w:rsid w:val="08125760"/>
    <w:rsid w:val="08125845"/>
    <w:rsid w:val="08125856"/>
    <w:rsid w:val="08125874"/>
    <w:rsid w:val="081258C0"/>
    <w:rsid w:val="081258E6"/>
    <w:rsid w:val="08125988"/>
    <w:rsid w:val="08125A59"/>
    <w:rsid w:val="08125A77"/>
    <w:rsid w:val="08125B47"/>
    <w:rsid w:val="08125BE4"/>
    <w:rsid w:val="08125BE5"/>
    <w:rsid w:val="08125BEC"/>
    <w:rsid w:val="08125DB1"/>
    <w:rsid w:val="08125DED"/>
    <w:rsid w:val="08125E4F"/>
    <w:rsid w:val="08125E86"/>
    <w:rsid w:val="08125EC9"/>
    <w:rsid w:val="08125ED7"/>
    <w:rsid w:val="08125EFA"/>
    <w:rsid w:val="08125F6D"/>
    <w:rsid w:val="08126003"/>
    <w:rsid w:val="08126043"/>
    <w:rsid w:val="0812604F"/>
    <w:rsid w:val="08126066"/>
    <w:rsid w:val="08126099"/>
    <w:rsid w:val="081260A7"/>
    <w:rsid w:val="081262B3"/>
    <w:rsid w:val="081262F3"/>
    <w:rsid w:val="08126398"/>
    <w:rsid w:val="081263A3"/>
    <w:rsid w:val="081263E8"/>
    <w:rsid w:val="0812641F"/>
    <w:rsid w:val="08126466"/>
    <w:rsid w:val="0812655B"/>
    <w:rsid w:val="08126674"/>
    <w:rsid w:val="0812667F"/>
    <w:rsid w:val="08126751"/>
    <w:rsid w:val="0812678F"/>
    <w:rsid w:val="0812679D"/>
    <w:rsid w:val="08126884"/>
    <w:rsid w:val="08126955"/>
    <w:rsid w:val="08126999"/>
    <w:rsid w:val="081269E6"/>
    <w:rsid w:val="08126A94"/>
    <w:rsid w:val="08126B37"/>
    <w:rsid w:val="08126BDD"/>
    <w:rsid w:val="08126BE1"/>
    <w:rsid w:val="08126C15"/>
    <w:rsid w:val="08126CAD"/>
    <w:rsid w:val="08126D0A"/>
    <w:rsid w:val="08126D14"/>
    <w:rsid w:val="08126D2A"/>
    <w:rsid w:val="08126D2B"/>
    <w:rsid w:val="08126DC2"/>
    <w:rsid w:val="08126E18"/>
    <w:rsid w:val="08126E95"/>
    <w:rsid w:val="08126EB4"/>
    <w:rsid w:val="08126F17"/>
    <w:rsid w:val="08126F20"/>
    <w:rsid w:val="08126F98"/>
    <w:rsid w:val="08126FB5"/>
    <w:rsid w:val="0812706E"/>
    <w:rsid w:val="08127096"/>
    <w:rsid w:val="08127154"/>
    <w:rsid w:val="081271A3"/>
    <w:rsid w:val="0812744A"/>
    <w:rsid w:val="08127570"/>
    <w:rsid w:val="08127582"/>
    <w:rsid w:val="081275A2"/>
    <w:rsid w:val="081275A7"/>
    <w:rsid w:val="081275E3"/>
    <w:rsid w:val="08127711"/>
    <w:rsid w:val="08127794"/>
    <w:rsid w:val="081277A2"/>
    <w:rsid w:val="0812783F"/>
    <w:rsid w:val="08127887"/>
    <w:rsid w:val="0812790D"/>
    <w:rsid w:val="081279EC"/>
    <w:rsid w:val="081279F1"/>
    <w:rsid w:val="08127A59"/>
    <w:rsid w:val="08127ABB"/>
    <w:rsid w:val="08127B3E"/>
    <w:rsid w:val="08127B59"/>
    <w:rsid w:val="08127C82"/>
    <w:rsid w:val="08127D39"/>
    <w:rsid w:val="08127D52"/>
    <w:rsid w:val="08127DBA"/>
    <w:rsid w:val="08127F13"/>
    <w:rsid w:val="08130063"/>
    <w:rsid w:val="08130109"/>
    <w:rsid w:val="08130179"/>
    <w:rsid w:val="0813020B"/>
    <w:rsid w:val="08130267"/>
    <w:rsid w:val="08130286"/>
    <w:rsid w:val="0813036C"/>
    <w:rsid w:val="081303E4"/>
    <w:rsid w:val="08130444"/>
    <w:rsid w:val="081304DA"/>
    <w:rsid w:val="081304EB"/>
    <w:rsid w:val="08130522"/>
    <w:rsid w:val="0813053A"/>
    <w:rsid w:val="081305F1"/>
    <w:rsid w:val="08130670"/>
    <w:rsid w:val="0813068E"/>
    <w:rsid w:val="081306BB"/>
    <w:rsid w:val="081306C4"/>
    <w:rsid w:val="081306C6"/>
    <w:rsid w:val="081306D1"/>
    <w:rsid w:val="0813079A"/>
    <w:rsid w:val="081307C0"/>
    <w:rsid w:val="08130955"/>
    <w:rsid w:val="0813097B"/>
    <w:rsid w:val="081309E4"/>
    <w:rsid w:val="08130B22"/>
    <w:rsid w:val="08130BCF"/>
    <w:rsid w:val="08130C31"/>
    <w:rsid w:val="08130C4E"/>
    <w:rsid w:val="08130D35"/>
    <w:rsid w:val="08130D8A"/>
    <w:rsid w:val="08130DA4"/>
    <w:rsid w:val="08130DF6"/>
    <w:rsid w:val="08130E18"/>
    <w:rsid w:val="08130F0E"/>
    <w:rsid w:val="08130F54"/>
    <w:rsid w:val="08130F63"/>
    <w:rsid w:val="0813102B"/>
    <w:rsid w:val="0813103C"/>
    <w:rsid w:val="08131041"/>
    <w:rsid w:val="081310A4"/>
    <w:rsid w:val="081310EC"/>
    <w:rsid w:val="081311EE"/>
    <w:rsid w:val="08131208"/>
    <w:rsid w:val="0813124F"/>
    <w:rsid w:val="08131346"/>
    <w:rsid w:val="08131347"/>
    <w:rsid w:val="0813138D"/>
    <w:rsid w:val="08131404"/>
    <w:rsid w:val="0813142C"/>
    <w:rsid w:val="0813142D"/>
    <w:rsid w:val="08131437"/>
    <w:rsid w:val="08131450"/>
    <w:rsid w:val="08131487"/>
    <w:rsid w:val="0813151F"/>
    <w:rsid w:val="08131595"/>
    <w:rsid w:val="08131622"/>
    <w:rsid w:val="08131661"/>
    <w:rsid w:val="081316F6"/>
    <w:rsid w:val="08131721"/>
    <w:rsid w:val="08131741"/>
    <w:rsid w:val="08131774"/>
    <w:rsid w:val="08131790"/>
    <w:rsid w:val="0813179E"/>
    <w:rsid w:val="0813182D"/>
    <w:rsid w:val="08131855"/>
    <w:rsid w:val="08131902"/>
    <w:rsid w:val="0813193C"/>
    <w:rsid w:val="08131A93"/>
    <w:rsid w:val="08131AAC"/>
    <w:rsid w:val="08131BCC"/>
    <w:rsid w:val="08131C41"/>
    <w:rsid w:val="08131C7E"/>
    <w:rsid w:val="08131CA3"/>
    <w:rsid w:val="08131CF5"/>
    <w:rsid w:val="08131E1D"/>
    <w:rsid w:val="08131E27"/>
    <w:rsid w:val="08131E70"/>
    <w:rsid w:val="08131F57"/>
    <w:rsid w:val="081320AB"/>
    <w:rsid w:val="081321F8"/>
    <w:rsid w:val="081322C1"/>
    <w:rsid w:val="0813231A"/>
    <w:rsid w:val="0813238A"/>
    <w:rsid w:val="0813239E"/>
    <w:rsid w:val="0813250E"/>
    <w:rsid w:val="08132510"/>
    <w:rsid w:val="08132525"/>
    <w:rsid w:val="08132594"/>
    <w:rsid w:val="081325C3"/>
    <w:rsid w:val="081325D5"/>
    <w:rsid w:val="081325FA"/>
    <w:rsid w:val="08132720"/>
    <w:rsid w:val="08132722"/>
    <w:rsid w:val="08132724"/>
    <w:rsid w:val="0813273F"/>
    <w:rsid w:val="0813275D"/>
    <w:rsid w:val="081327BC"/>
    <w:rsid w:val="0813298B"/>
    <w:rsid w:val="081329EF"/>
    <w:rsid w:val="08132A0F"/>
    <w:rsid w:val="08132A35"/>
    <w:rsid w:val="08132AB7"/>
    <w:rsid w:val="08132ACB"/>
    <w:rsid w:val="08132B4C"/>
    <w:rsid w:val="08132C76"/>
    <w:rsid w:val="08132CAB"/>
    <w:rsid w:val="08132CB5"/>
    <w:rsid w:val="08132CD2"/>
    <w:rsid w:val="08132DB4"/>
    <w:rsid w:val="08132E0B"/>
    <w:rsid w:val="08132EEF"/>
    <w:rsid w:val="08132FDB"/>
    <w:rsid w:val="08132FF1"/>
    <w:rsid w:val="08133216"/>
    <w:rsid w:val="081332F3"/>
    <w:rsid w:val="081333E7"/>
    <w:rsid w:val="0813340B"/>
    <w:rsid w:val="0813347F"/>
    <w:rsid w:val="08133483"/>
    <w:rsid w:val="08133486"/>
    <w:rsid w:val="081334AD"/>
    <w:rsid w:val="08133569"/>
    <w:rsid w:val="0813358E"/>
    <w:rsid w:val="081335E5"/>
    <w:rsid w:val="08133610"/>
    <w:rsid w:val="081336A4"/>
    <w:rsid w:val="0813375A"/>
    <w:rsid w:val="08133760"/>
    <w:rsid w:val="081337A7"/>
    <w:rsid w:val="081337D5"/>
    <w:rsid w:val="081338B2"/>
    <w:rsid w:val="081338D4"/>
    <w:rsid w:val="081338E3"/>
    <w:rsid w:val="08133908"/>
    <w:rsid w:val="08133924"/>
    <w:rsid w:val="081339CD"/>
    <w:rsid w:val="08133A07"/>
    <w:rsid w:val="08133AC8"/>
    <w:rsid w:val="08133B86"/>
    <w:rsid w:val="08133C02"/>
    <w:rsid w:val="08133C2B"/>
    <w:rsid w:val="08133CDC"/>
    <w:rsid w:val="08133E33"/>
    <w:rsid w:val="08133E99"/>
    <w:rsid w:val="08133EB9"/>
    <w:rsid w:val="08133FA0"/>
    <w:rsid w:val="08134075"/>
    <w:rsid w:val="0813411A"/>
    <w:rsid w:val="081341A9"/>
    <w:rsid w:val="08134255"/>
    <w:rsid w:val="0813429D"/>
    <w:rsid w:val="081342BA"/>
    <w:rsid w:val="081342CD"/>
    <w:rsid w:val="081342E4"/>
    <w:rsid w:val="081342FD"/>
    <w:rsid w:val="081343A0"/>
    <w:rsid w:val="081343D4"/>
    <w:rsid w:val="08134471"/>
    <w:rsid w:val="0813449D"/>
    <w:rsid w:val="08134511"/>
    <w:rsid w:val="0813478B"/>
    <w:rsid w:val="081347F7"/>
    <w:rsid w:val="08134882"/>
    <w:rsid w:val="081348C2"/>
    <w:rsid w:val="081348F9"/>
    <w:rsid w:val="081349B9"/>
    <w:rsid w:val="081349D4"/>
    <w:rsid w:val="08134A1D"/>
    <w:rsid w:val="08134B08"/>
    <w:rsid w:val="08134B0A"/>
    <w:rsid w:val="08134B4B"/>
    <w:rsid w:val="08134B85"/>
    <w:rsid w:val="08134C05"/>
    <w:rsid w:val="08134DE5"/>
    <w:rsid w:val="08134DE6"/>
    <w:rsid w:val="08134E7C"/>
    <w:rsid w:val="08134F5A"/>
    <w:rsid w:val="08134FFC"/>
    <w:rsid w:val="081350B8"/>
    <w:rsid w:val="0813536C"/>
    <w:rsid w:val="081353A1"/>
    <w:rsid w:val="08135517"/>
    <w:rsid w:val="0813554F"/>
    <w:rsid w:val="0813558C"/>
    <w:rsid w:val="081355BE"/>
    <w:rsid w:val="0813567A"/>
    <w:rsid w:val="081356AE"/>
    <w:rsid w:val="081356DE"/>
    <w:rsid w:val="08135707"/>
    <w:rsid w:val="0813575E"/>
    <w:rsid w:val="08135763"/>
    <w:rsid w:val="081357A2"/>
    <w:rsid w:val="08135808"/>
    <w:rsid w:val="08135839"/>
    <w:rsid w:val="0813588C"/>
    <w:rsid w:val="081359B3"/>
    <w:rsid w:val="08135A67"/>
    <w:rsid w:val="08135C8A"/>
    <w:rsid w:val="08135CD4"/>
    <w:rsid w:val="08135D9D"/>
    <w:rsid w:val="08135DAF"/>
    <w:rsid w:val="08135E18"/>
    <w:rsid w:val="08135E62"/>
    <w:rsid w:val="08135E7A"/>
    <w:rsid w:val="08135E7F"/>
    <w:rsid w:val="08135FC9"/>
    <w:rsid w:val="08136078"/>
    <w:rsid w:val="081360BE"/>
    <w:rsid w:val="08136111"/>
    <w:rsid w:val="081361CD"/>
    <w:rsid w:val="08136264"/>
    <w:rsid w:val="08136333"/>
    <w:rsid w:val="0813636D"/>
    <w:rsid w:val="08136379"/>
    <w:rsid w:val="081363BA"/>
    <w:rsid w:val="081363C4"/>
    <w:rsid w:val="0813644F"/>
    <w:rsid w:val="08136464"/>
    <w:rsid w:val="08136476"/>
    <w:rsid w:val="08136496"/>
    <w:rsid w:val="081366E4"/>
    <w:rsid w:val="08136762"/>
    <w:rsid w:val="08136785"/>
    <w:rsid w:val="08136800"/>
    <w:rsid w:val="0813683B"/>
    <w:rsid w:val="08136865"/>
    <w:rsid w:val="0813689D"/>
    <w:rsid w:val="081368BD"/>
    <w:rsid w:val="08136A45"/>
    <w:rsid w:val="08136A9D"/>
    <w:rsid w:val="08136AFA"/>
    <w:rsid w:val="08136AFC"/>
    <w:rsid w:val="08136C7D"/>
    <w:rsid w:val="08136CA3"/>
    <w:rsid w:val="08136CD0"/>
    <w:rsid w:val="08136D48"/>
    <w:rsid w:val="08136DE7"/>
    <w:rsid w:val="08136E43"/>
    <w:rsid w:val="08136E60"/>
    <w:rsid w:val="08136E74"/>
    <w:rsid w:val="08136F30"/>
    <w:rsid w:val="08136FA9"/>
    <w:rsid w:val="08136FAC"/>
    <w:rsid w:val="08137093"/>
    <w:rsid w:val="081370D5"/>
    <w:rsid w:val="081370E0"/>
    <w:rsid w:val="08137247"/>
    <w:rsid w:val="081372AD"/>
    <w:rsid w:val="0813743D"/>
    <w:rsid w:val="08137463"/>
    <w:rsid w:val="08137512"/>
    <w:rsid w:val="0813752F"/>
    <w:rsid w:val="081375A4"/>
    <w:rsid w:val="081375B8"/>
    <w:rsid w:val="081376A9"/>
    <w:rsid w:val="0813771C"/>
    <w:rsid w:val="08137740"/>
    <w:rsid w:val="081378BE"/>
    <w:rsid w:val="0813794F"/>
    <w:rsid w:val="081379BD"/>
    <w:rsid w:val="08137A06"/>
    <w:rsid w:val="08137A17"/>
    <w:rsid w:val="08137ADD"/>
    <w:rsid w:val="08137B20"/>
    <w:rsid w:val="08137B7C"/>
    <w:rsid w:val="08137B92"/>
    <w:rsid w:val="08137C13"/>
    <w:rsid w:val="08137E6F"/>
    <w:rsid w:val="08137EC7"/>
    <w:rsid w:val="0814002E"/>
    <w:rsid w:val="0814003F"/>
    <w:rsid w:val="0814012A"/>
    <w:rsid w:val="08140136"/>
    <w:rsid w:val="0814028A"/>
    <w:rsid w:val="081402A8"/>
    <w:rsid w:val="081402DD"/>
    <w:rsid w:val="0814039D"/>
    <w:rsid w:val="081403FA"/>
    <w:rsid w:val="0814050C"/>
    <w:rsid w:val="08140544"/>
    <w:rsid w:val="081405A4"/>
    <w:rsid w:val="0814060D"/>
    <w:rsid w:val="0814060E"/>
    <w:rsid w:val="0814067B"/>
    <w:rsid w:val="081406C4"/>
    <w:rsid w:val="08140703"/>
    <w:rsid w:val="0814076E"/>
    <w:rsid w:val="08140775"/>
    <w:rsid w:val="0814087E"/>
    <w:rsid w:val="081408A3"/>
    <w:rsid w:val="081408E6"/>
    <w:rsid w:val="081409AB"/>
    <w:rsid w:val="081409DB"/>
    <w:rsid w:val="081409DF"/>
    <w:rsid w:val="081409EE"/>
    <w:rsid w:val="08140AE2"/>
    <w:rsid w:val="08140AFC"/>
    <w:rsid w:val="08140B22"/>
    <w:rsid w:val="08140B7C"/>
    <w:rsid w:val="08140BCA"/>
    <w:rsid w:val="08140D4F"/>
    <w:rsid w:val="08140D7B"/>
    <w:rsid w:val="08140DB6"/>
    <w:rsid w:val="08140DEB"/>
    <w:rsid w:val="08140E46"/>
    <w:rsid w:val="08140EC1"/>
    <w:rsid w:val="08141016"/>
    <w:rsid w:val="0814110A"/>
    <w:rsid w:val="08141275"/>
    <w:rsid w:val="081412F5"/>
    <w:rsid w:val="081413BE"/>
    <w:rsid w:val="081413C1"/>
    <w:rsid w:val="0814143B"/>
    <w:rsid w:val="08141481"/>
    <w:rsid w:val="08141484"/>
    <w:rsid w:val="081414AE"/>
    <w:rsid w:val="081414FC"/>
    <w:rsid w:val="08141529"/>
    <w:rsid w:val="08141574"/>
    <w:rsid w:val="08141585"/>
    <w:rsid w:val="08141691"/>
    <w:rsid w:val="081416A3"/>
    <w:rsid w:val="0814176F"/>
    <w:rsid w:val="081417C5"/>
    <w:rsid w:val="08141855"/>
    <w:rsid w:val="081418A2"/>
    <w:rsid w:val="081418B8"/>
    <w:rsid w:val="08141967"/>
    <w:rsid w:val="08141A64"/>
    <w:rsid w:val="08141ABF"/>
    <w:rsid w:val="08141ADD"/>
    <w:rsid w:val="08141B17"/>
    <w:rsid w:val="08141B8F"/>
    <w:rsid w:val="08141B9D"/>
    <w:rsid w:val="08141C36"/>
    <w:rsid w:val="08141CB1"/>
    <w:rsid w:val="08141D66"/>
    <w:rsid w:val="08141E7E"/>
    <w:rsid w:val="08141F8E"/>
    <w:rsid w:val="08141FED"/>
    <w:rsid w:val="08142079"/>
    <w:rsid w:val="081420AD"/>
    <w:rsid w:val="08142102"/>
    <w:rsid w:val="08142173"/>
    <w:rsid w:val="081421F8"/>
    <w:rsid w:val="08142257"/>
    <w:rsid w:val="0814229A"/>
    <w:rsid w:val="0814230A"/>
    <w:rsid w:val="08142328"/>
    <w:rsid w:val="08142411"/>
    <w:rsid w:val="081424BF"/>
    <w:rsid w:val="081425A1"/>
    <w:rsid w:val="081425F2"/>
    <w:rsid w:val="08142640"/>
    <w:rsid w:val="08142668"/>
    <w:rsid w:val="081426D2"/>
    <w:rsid w:val="081426E3"/>
    <w:rsid w:val="081427DB"/>
    <w:rsid w:val="081427DC"/>
    <w:rsid w:val="08142831"/>
    <w:rsid w:val="081428EA"/>
    <w:rsid w:val="08142941"/>
    <w:rsid w:val="08142948"/>
    <w:rsid w:val="0814299E"/>
    <w:rsid w:val="081429B2"/>
    <w:rsid w:val="08142A01"/>
    <w:rsid w:val="08142A0D"/>
    <w:rsid w:val="08142A68"/>
    <w:rsid w:val="08142BA1"/>
    <w:rsid w:val="08142D1B"/>
    <w:rsid w:val="08142D6C"/>
    <w:rsid w:val="08142EAF"/>
    <w:rsid w:val="08142EC9"/>
    <w:rsid w:val="08142EE4"/>
    <w:rsid w:val="08142F19"/>
    <w:rsid w:val="08142F62"/>
    <w:rsid w:val="08142FA6"/>
    <w:rsid w:val="08142FDA"/>
    <w:rsid w:val="0814301E"/>
    <w:rsid w:val="08143029"/>
    <w:rsid w:val="08143058"/>
    <w:rsid w:val="081430BF"/>
    <w:rsid w:val="081430E1"/>
    <w:rsid w:val="0814314A"/>
    <w:rsid w:val="0814317D"/>
    <w:rsid w:val="081431B0"/>
    <w:rsid w:val="08143319"/>
    <w:rsid w:val="08143427"/>
    <w:rsid w:val="0814350F"/>
    <w:rsid w:val="08143575"/>
    <w:rsid w:val="081435DD"/>
    <w:rsid w:val="081435E9"/>
    <w:rsid w:val="08143631"/>
    <w:rsid w:val="08143651"/>
    <w:rsid w:val="081436A3"/>
    <w:rsid w:val="081436DD"/>
    <w:rsid w:val="081436E7"/>
    <w:rsid w:val="081438D5"/>
    <w:rsid w:val="08143994"/>
    <w:rsid w:val="081439A2"/>
    <w:rsid w:val="081439A7"/>
    <w:rsid w:val="081439B2"/>
    <w:rsid w:val="08143A0A"/>
    <w:rsid w:val="08143A2E"/>
    <w:rsid w:val="08143AB3"/>
    <w:rsid w:val="08143BB1"/>
    <w:rsid w:val="08143BFE"/>
    <w:rsid w:val="08143C5A"/>
    <w:rsid w:val="08143CF8"/>
    <w:rsid w:val="08143D0C"/>
    <w:rsid w:val="08143DBF"/>
    <w:rsid w:val="08143DD7"/>
    <w:rsid w:val="08143E1D"/>
    <w:rsid w:val="08143E60"/>
    <w:rsid w:val="08143F29"/>
    <w:rsid w:val="0814403C"/>
    <w:rsid w:val="08144119"/>
    <w:rsid w:val="0814421B"/>
    <w:rsid w:val="081442AD"/>
    <w:rsid w:val="081442B5"/>
    <w:rsid w:val="081442E9"/>
    <w:rsid w:val="08144318"/>
    <w:rsid w:val="081443C2"/>
    <w:rsid w:val="081443C9"/>
    <w:rsid w:val="081444D2"/>
    <w:rsid w:val="081445FE"/>
    <w:rsid w:val="0814463A"/>
    <w:rsid w:val="08144685"/>
    <w:rsid w:val="081446AF"/>
    <w:rsid w:val="081446D8"/>
    <w:rsid w:val="08144740"/>
    <w:rsid w:val="08144807"/>
    <w:rsid w:val="081448AA"/>
    <w:rsid w:val="0814496E"/>
    <w:rsid w:val="081449E3"/>
    <w:rsid w:val="081449F0"/>
    <w:rsid w:val="08144AC6"/>
    <w:rsid w:val="08144BC5"/>
    <w:rsid w:val="08144C35"/>
    <w:rsid w:val="08144C58"/>
    <w:rsid w:val="08144CCE"/>
    <w:rsid w:val="08144CD8"/>
    <w:rsid w:val="08144CF7"/>
    <w:rsid w:val="08144DB3"/>
    <w:rsid w:val="08144DC5"/>
    <w:rsid w:val="08144DC8"/>
    <w:rsid w:val="08144DCA"/>
    <w:rsid w:val="08144E51"/>
    <w:rsid w:val="08144E76"/>
    <w:rsid w:val="08144EDC"/>
    <w:rsid w:val="08144F07"/>
    <w:rsid w:val="08144F63"/>
    <w:rsid w:val="08145000"/>
    <w:rsid w:val="08145019"/>
    <w:rsid w:val="0814506D"/>
    <w:rsid w:val="0814519C"/>
    <w:rsid w:val="081451CA"/>
    <w:rsid w:val="081451E9"/>
    <w:rsid w:val="08145220"/>
    <w:rsid w:val="081452AF"/>
    <w:rsid w:val="081452F4"/>
    <w:rsid w:val="081453E2"/>
    <w:rsid w:val="081453EA"/>
    <w:rsid w:val="08145440"/>
    <w:rsid w:val="08145481"/>
    <w:rsid w:val="0814550F"/>
    <w:rsid w:val="0814551C"/>
    <w:rsid w:val="0814559A"/>
    <w:rsid w:val="081455EE"/>
    <w:rsid w:val="08145682"/>
    <w:rsid w:val="081456E5"/>
    <w:rsid w:val="0814574B"/>
    <w:rsid w:val="0814577A"/>
    <w:rsid w:val="081457C6"/>
    <w:rsid w:val="081457E6"/>
    <w:rsid w:val="08145858"/>
    <w:rsid w:val="081458CC"/>
    <w:rsid w:val="0814594B"/>
    <w:rsid w:val="08145969"/>
    <w:rsid w:val="081459F2"/>
    <w:rsid w:val="08145A75"/>
    <w:rsid w:val="08145A9A"/>
    <w:rsid w:val="08145B28"/>
    <w:rsid w:val="08145BB4"/>
    <w:rsid w:val="08145C53"/>
    <w:rsid w:val="08145C82"/>
    <w:rsid w:val="08145CB7"/>
    <w:rsid w:val="08145D26"/>
    <w:rsid w:val="08145DC3"/>
    <w:rsid w:val="08145DD7"/>
    <w:rsid w:val="08145E75"/>
    <w:rsid w:val="08145E9C"/>
    <w:rsid w:val="08146010"/>
    <w:rsid w:val="08146160"/>
    <w:rsid w:val="0814616E"/>
    <w:rsid w:val="08146179"/>
    <w:rsid w:val="0814619D"/>
    <w:rsid w:val="081461E8"/>
    <w:rsid w:val="081462B1"/>
    <w:rsid w:val="08146357"/>
    <w:rsid w:val="081463AF"/>
    <w:rsid w:val="08146406"/>
    <w:rsid w:val="08146503"/>
    <w:rsid w:val="08146520"/>
    <w:rsid w:val="081465BF"/>
    <w:rsid w:val="081465D9"/>
    <w:rsid w:val="0814663E"/>
    <w:rsid w:val="081466D1"/>
    <w:rsid w:val="0814675E"/>
    <w:rsid w:val="08146849"/>
    <w:rsid w:val="08146945"/>
    <w:rsid w:val="0814694F"/>
    <w:rsid w:val="08146A8B"/>
    <w:rsid w:val="08146B9E"/>
    <w:rsid w:val="08146DAD"/>
    <w:rsid w:val="08146E1E"/>
    <w:rsid w:val="08146E88"/>
    <w:rsid w:val="0814702D"/>
    <w:rsid w:val="0814710F"/>
    <w:rsid w:val="08147112"/>
    <w:rsid w:val="08147160"/>
    <w:rsid w:val="081471D9"/>
    <w:rsid w:val="08147235"/>
    <w:rsid w:val="08147267"/>
    <w:rsid w:val="0814744B"/>
    <w:rsid w:val="081474ED"/>
    <w:rsid w:val="08147530"/>
    <w:rsid w:val="0814753A"/>
    <w:rsid w:val="081476C9"/>
    <w:rsid w:val="08147886"/>
    <w:rsid w:val="0814788D"/>
    <w:rsid w:val="081479A8"/>
    <w:rsid w:val="08147B4B"/>
    <w:rsid w:val="08147BAC"/>
    <w:rsid w:val="08147BF2"/>
    <w:rsid w:val="08147C47"/>
    <w:rsid w:val="08147CE1"/>
    <w:rsid w:val="08147DC4"/>
    <w:rsid w:val="08147E1A"/>
    <w:rsid w:val="08147E2E"/>
    <w:rsid w:val="08147E44"/>
    <w:rsid w:val="08147E51"/>
    <w:rsid w:val="08147E8E"/>
    <w:rsid w:val="08147EE3"/>
    <w:rsid w:val="08147F09"/>
    <w:rsid w:val="08150035"/>
    <w:rsid w:val="08150051"/>
    <w:rsid w:val="08150244"/>
    <w:rsid w:val="0815032C"/>
    <w:rsid w:val="081503FE"/>
    <w:rsid w:val="0815044A"/>
    <w:rsid w:val="08150454"/>
    <w:rsid w:val="0815046A"/>
    <w:rsid w:val="08150488"/>
    <w:rsid w:val="081504A1"/>
    <w:rsid w:val="081504C2"/>
    <w:rsid w:val="081504E4"/>
    <w:rsid w:val="08150613"/>
    <w:rsid w:val="0815063F"/>
    <w:rsid w:val="081506AA"/>
    <w:rsid w:val="0815071E"/>
    <w:rsid w:val="08150757"/>
    <w:rsid w:val="081507E7"/>
    <w:rsid w:val="0815094F"/>
    <w:rsid w:val="0815099C"/>
    <w:rsid w:val="081509A4"/>
    <w:rsid w:val="08150B16"/>
    <w:rsid w:val="08150B3D"/>
    <w:rsid w:val="08150B94"/>
    <w:rsid w:val="08150CA9"/>
    <w:rsid w:val="08150D6F"/>
    <w:rsid w:val="08150D7A"/>
    <w:rsid w:val="08150E46"/>
    <w:rsid w:val="08150EAC"/>
    <w:rsid w:val="08150EC1"/>
    <w:rsid w:val="08150EDA"/>
    <w:rsid w:val="08150F22"/>
    <w:rsid w:val="08150F2E"/>
    <w:rsid w:val="08150F3E"/>
    <w:rsid w:val="0815104B"/>
    <w:rsid w:val="0815109D"/>
    <w:rsid w:val="08151193"/>
    <w:rsid w:val="08151194"/>
    <w:rsid w:val="08151280"/>
    <w:rsid w:val="0815129C"/>
    <w:rsid w:val="081512B6"/>
    <w:rsid w:val="0815141D"/>
    <w:rsid w:val="081515A4"/>
    <w:rsid w:val="08151624"/>
    <w:rsid w:val="08151674"/>
    <w:rsid w:val="08151693"/>
    <w:rsid w:val="081516EE"/>
    <w:rsid w:val="0815171D"/>
    <w:rsid w:val="08151758"/>
    <w:rsid w:val="081517F3"/>
    <w:rsid w:val="0815180A"/>
    <w:rsid w:val="08151992"/>
    <w:rsid w:val="08151998"/>
    <w:rsid w:val="08151A55"/>
    <w:rsid w:val="08151ADB"/>
    <w:rsid w:val="08151B73"/>
    <w:rsid w:val="08151C1A"/>
    <w:rsid w:val="08151CB0"/>
    <w:rsid w:val="08151CCA"/>
    <w:rsid w:val="08151D06"/>
    <w:rsid w:val="08151D67"/>
    <w:rsid w:val="08151E6B"/>
    <w:rsid w:val="08151EA5"/>
    <w:rsid w:val="08151EEE"/>
    <w:rsid w:val="08151F22"/>
    <w:rsid w:val="08151F34"/>
    <w:rsid w:val="08151F69"/>
    <w:rsid w:val="08152012"/>
    <w:rsid w:val="08152134"/>
    <w:rsid w:val="08152141"/>
    <w:rsid w:val="0815216E"/>
    <w:rsid w:val="0815217B"/>
    <w:rsid w:val="08152300"/>
    <w:rsid w:val="081523C7"/>
    <w:rsid w:val="0815244E"/>
    <w:rsid w:val="08152520"/>
    <w:rsid w:val="0815253B"/>
    <w:rsid w:val="08152568"/>
    <w:rsid w:val="081525A0"/>
    <w:rsid w:val="081525A7"/>
    <w:rsid w:val="081525C9"/>
    <w:rsid w:val="081526B9"/>
    <w:rsid w:val="08152795"/>
    <w:rsid w:val="081527EE"/>
    <w:rsid w:val="0815289E"/>
    <w:rsid w:val="081528B7"/>
    <w:rsid w:val="081529ED"/>
    <w:rsid w:val="08152A0F"/>
    <w:rsid w:val="08152A31"/>
    <w:rsid w:val="08152A69"/>
    <w:rsid w:val="08152DD9"/>
    <w:rsid w:val="08152E13"/>
    <w:rsid w:val="08152EEE"/>
    <w:rsid w:val="081530A1"/>
    <w:rsid w:val="081530B0"/>
    <w:rsid w:val="081530F7"/>
    <w:rsid w:val="08153144"/>
    <w:rsid w:val="08153182"/>
    <w:rsid w:val="08153293"/>
    <w:rsid w:val="08153339"/>
    <w:rsid w:val="081534FE"/>
    <w:rsid w:val="0815358D"/>
    <w:rsid w:val="08153620"/>
    <w:rsid w:val="081536AF"/>
    <w:rsid w:val="081537F6"/>
    <w:rsid w:val="08153842"/>
    <w:rsid w:val="08153914"/>
    <w:rsid w:val="08153A59"/>
    <w:rsid w:val="08153B7C"/>
    <w:rsid w:val="08153BDA"/>
    <w:rsid w:val="08153CFC"/>
    <w:rsid w:val="08153D9F"/>
    <w:rsid w:val="08153DF0"/>
    <w:rsid w:val="08153E32"/>
    <w:rsid w:val="08153ECA"/>
    <w:rsid w:val="08153F3C"/>
    <w:rsid w:val="08153FBD"/>
    <w:rsid w:val="08153FD1"/>
    <w:rsid w:val="08154024"/>
    <w:rsid w:val="0815402C"/>
    <w:rsid w:val="08154163"/>
    <w:rsid w:val="08154168"/>
    <w:rsid w:val="08154197"/>
    <w:rsid w:val="081541A1"/>
    <w:rsid w:val="081541DA"/>
    <w:rsid w:val="08154226"/>
    <w:rsid w:val="081542E6"/>
    <w:rsid w:val="0815433A"/>
    <w:rsid w:val="08154353"/>
    <w:rsid w:val="081543F5"/>
    <w:rsid w:val="0815443F"/>
    <w:rsid w:val="08154447"/>
    <w:rsid w:val="0815465B"/>
    <w:rsid w:val="081546FE"/>
    <w:rsid w:val="0815472C"/>
    <w:rsid w:val="0815473E"/>
    <w:rsid w:val="08154766"/>
    <w:rsid w:val="08154798"/>
    <w:rsid w:val="08154814"/>
    <w:rsid w:val="08154819"/>
    <w:rsid w:val="08154917"/>
    <w:rsid w:val="08154962"/>
    <w:rsid w:val="08154B3D"/>
    <w:rsid w:val="08154B7C"/>
    <w:rsid w:val="08154B98"/>
    <w:rsid w:val="08154BED"/>
    <w:rsid w:val="08154CF4"/>
    <w:rsid w:val="08154D56"/>
    <w:rsid w:val="08154D63"/>
    <w:rsid w:val="08154D6E"/>
    <w:rsid w:val="08154DD1"/>
    <w:rsid w:val="08154DE0"/>
    <w:rsid w:val="08154E75"/>
    <w:rsid w:val="08154F2A"/>
    <w:rsid w:val="08154F47"/>
    <w:rsid w:val="08154F94"/>
    <w:rsid w:val="08154FB4"/>
    <w:rsid w:val="08155056"/>
    <w:rsid w:val="08155089"/>
    <w:rsid w:val="081551AF"/>
    <w:rsid w:val="081551F2"/>
    <w:rsid w:val="0815521D"/>
    <w:rsid w:val="08155243"/>
    <w:rsid w:val="081553D3"/>
    <w:rsid w:val="0815549C"/>
    <w:rsid w:val="08155647"/>
    <w:rsid w:val="08155660"/>
    <w:rsid w:val="081556E6"/>
    <w:rsid w:val="08155725"/>
    <w:rsid w:val="0815593E"/>
    <w:rsid w:val="08155B17"/>
    <w:rsid w:val="08155B1F"/>
    <w:rsid w:val="08155B97"/>
    <w:rsid w:val="08155BAD"/>
    <w:rsid w:val="08155BDF"/>
    <w:rsid w:val="08155C3A"/>
    <w:rsid w:val="08155C51"/>
    <w:rsid w:val="08155C71"/>
    <w:rsid w:val="08155D58"/>
    <w:rsid w:val="08155D79"/>
    <w:rsid w:val="08155E10"/>
    <w:rsid w:val="08155E66"/>
    <w:rsid w:val="08155E83"/>
    <w:rsid w:val="08155E89"/>
    <w:rsid w:val="08155EE8"/>
    <w:rsid w:val="0815606F"/>
    <w:rsid w:val="08156078"/>
    <w:rsid w:val="08156137"/>
    <w:rsid w:val="08156210"/>
    <w:rsid w:val="08156311"/>
    <w:rsid w:val="08156364"/>
    <w:rsid w:val="0815637F"/>
    <w:rsid w:val="0815645E"/>
    <w:rsid w:val="0815646A"/>
    <w:rsid w:val="081564B3"/>
    <w:rsid w:val="081564D4"/>
    <w:rsid w:val="0815658D"/>
    <w:rsid w:val="081566A4"/>
    <w:rsid w:val="08156731"/>
    <w:rsid w:val="0815674C"/>
    <w:rsid w:val="0815677D"/>
    <w:rsid w:val="0815679A"/>
    <w:rsid w:val="081567C3"/>
    <w:rsid w:val="08156838"/>
    <w:rsid w:val="08156879"/>
    <w:rsid w:val="081568F0"/>
    <w:rsid w:val="0815697C"/>
    <w:rsid w:val="081569CA"/>
    <w:rsid w:val="08156B82"/>
    <w:rsid w:val="08156BF0"/>
    <w:rsid w:val="08156CF2"/>
    <w:rsid w:val="08156E67"/>
    <w:rsid w:val="08156E79"/>
    <w:rsid w:val="08156EC9"/>
    <w:rsid w:val="08156F9B"/>
    <w:rsid w:val="08156FD5"/>
    <w:rsid w:val="08156FE5"/>
    <w:rsid w:val="0815703A"/>
    <w:rsid w:val="0815708A"/>
    <w:rsid w:val="081570AD"/>
    <w:rsid w:val="081570C6"/>
    <w:rsid w:val="081571EA"/>
    <w:rsid w:val="08157222"/>
    <w:rsid w:val="08157275"/>
    <w:rsid w:val="081572A9"/>
    <w:rsid w:val="0815738E"/>
    <w:rsid w:val="081573CA"/>
    <w:rsid w:val="081573FB"/>
    <w:rsid w:val="0815743A"/>
    <w:rsid w:val="0815748B"/>
    <w:rsid w:val="081574ED"/>
    <w:rsid w:val="08157561"/>
    <w:rsid w:val="081575E9"/>
    <w:rsid w:val="08157602"/>
    <w:rsid w:val="08157677"/>
    <w:rsid w:val="08157689"/>
    <w:rsid w:val="0815768F"/>
    <w:rsid w:val="081576D8"/>
    <w:rsid w:val="0815778C"/>
    <w:rsid w:val="08157795"/>
    <w:rsid w:val="0815787B"/>
    <w:rsid w:val="08157964"/>
    <w:rsid w:val="08157992"/>
    <w:rsid w:val="081579E6"/>
    <w:rsid w:val="08157A04"/>
    <w:rsid w:val="08157A0D"/>
    <w:rsid w:val="08157AD3"/>
    <w:rsid w:val="08157AD5"/>
    <w:rsid w:val="08157B21"/>
    <w:rsid w:val="08157BC0"/>
    <w:rsid w:val="08157BC1"/>
    <w:rsid w:val="08157C17"/>
    <w:rsid w:val="08157D19"/>
    <w:rsid w:val="08157DFE"/>
    <w:rsid w:val="08157FF7"/>
    <w:rsid w:val="081600F7"/>
    <w:rsid w:val="08160138"/>
    <w:rsid w:val="0816026D"/>
    <w:rsid w:val="081602CB"/>
    <w:rsid w:val="08160338"/>
    <w:rsid w:val="081604A6"/>
    <w:rsid w:val="081604E7"/>
    <w:rsid w:val="08160516"/>
    <w:rsid w:val="08160522"/>
    <w:rsid w:val="081605EA"/>
    <w:rsid w:val="081605FB"/>
    <w:rsid w:val="08160609"/>
    <w:rsid w:val="081606AD"/>
    <w:rsid w:val="081606B9"/>
    <w:rsid w:val="08160782"/>
    <w:rsid w:val="08160786"/>
    <w:rsid w:val="081608A4"/>
    <w:rsid w:val="08160955"/>
    <w:rsid w:val="08160A96"/>
    <w:rsid w:val="08160AD6"/>
    <w:rsid w:val="08160B53"/>
    <w:rsid w:val="08160B63"/>
    <w:rsid w:val="08160C1E"/>
    <w:rsid w:val="08160C67"/>
    <w:rsid w:val="08160DC4"/>
    <w:rsid w:val="08160E18"/>
    <w:rsid w:val="08160E4C"/>
    <w:rsid w:val="0816103A"/>
    <w:rsid w:val="08161054"/>
    <w:rsid w:val="08161082"/>
    <w:rsid w:val="081610B4"/>
    <w:rsid w:val="08161106"/>
    <w:rsid w:val="08161215"/>
    <w:rsid w:val="08161251"/>
    <w:rsid w:val="08161257"/>
    <w:rsid w:val="081612E5"/>
    <w:rsid w:val="08161306"/>
    <w:rsid w:val="08161325"/>
    <w:rsid w:val="0816137B"/>
    <w:rsid w:val="081614D6"/>
    <w:rsid w:val="081614E5"/>
    <w:rsid w:val="0816150A"/>
    <w:rsid w:val="08161525"/>
    <w:rsid w:val="08161568"/>
    <w:rsid w:val="08161630"/>
    <w:rsid w:val="08161668"/>
    <w:rsid w:val="08161672"/>
    <w:rsid w:val="081616E2"/>
    <w:rsid w:val="08161715"/>
    <w:rsid w:val="08161783"/>
    <w:rsid w:val="08161813"/>
    <w:rsid w:val="0816188E"/>
    <w:rsid w:val="0816189B"/>
    <w:rsid w:val="081618B1"/>
    <w:rsid w:val="08161911"/>
    <w:rsid w:val="0816191A"/>
    <w:rsid w:val="08161923"/>
    <w:rsid w:val="0816195F"/>
    <w:rsid w:val="081619A9"/>
    <w:rsid w:val="08161A1C"/>
    <w:rsid w:val="08161A6D"/>
    <w:rsid w:val="08161A95"/>
    <w:rsid w:val="08161ADD"/>
    <w:rsid w:val="08161BF5"/>
    <w:rsid w:val="08161C40"/>
    <w:rsid w:val="08161C73"/>
    <w:rsid w:val="08161CA7"/>
    <w:rsid w:val="08161D19"/>
    <w:rsid w:val="08161FF9"/>
    <w:rsid w:val="081621D3"/>
    <w:rsid w:val="08162278"/>
    <w:rsid w:val="081622BB"/>
    <w:rsid w:val="08162356"/>
    <w:rsid w:val="08162376"/>
    <w:rsid w:val="081623D1"/>
    <w:rsid w:val="081623EC"/>
    <w:rsid w:val="0816240D"/>
    <w:rsid w:val="08162442"/>
    <w:rsid w:val="0816245D"/>
    <w:rsid w:val="08162494"/>
    <w:rsid w:val="081624ED"/>
    <w:rsid w:val="08162529"/>
    <w:rsid w:val="081625A0"/>
    <w:rsid w:val="08162695"/>
    <w:rsid w:val="0816272F"/>
    <w:rsid w:val="0816277A"/>
    <w:rsid w:val="08162958"/>
    <w:rsid w:val="08162965"/>
    <w:rsid w:val="081629CF"/>
    <w:rsid w:val="08162A36"/>
    <w:rsid w:val="08162A51"/>
    <w:rsid w:val="08162AE3"/>
    <w:rsid w:val="08162AF5"/>
    <w:rsid w:val="08162B03"/>
    <w:rsid w:val="08162B0F"/>
    <w:rsid w:val="08162B12"/>
    <w:rsid w:val="08162B94"/>
    <w:rsid w:val="08162B98"/>
    <w:rsid w:val="08162C61"/>
    <w:rsid w:val="08162D23"/>
    <w:rsid w:val="08162D43"/>
    <w:rsid w:val="08162D61"/>
    <w:rsid w:val="08162DE1"/>
    <w:rsid w:val="08162DE3"/>
    <w:rsid w:val="08162DE9"/>
    <w:rsid w:val="08162E80"/>
    <w:rsid w:val="08162F9C"/>
    <w:rsid w:val="08162FD6"/>
    <w:rsid w:val="0816307F"/>
    <w:rsid w:val="081630D8"/>
    <w:rsid w:val="081630E4"/>
    <w:rsid w:val="081630ED"/>
    <w:rsid w:val="081632CE"/>
    <w:rsid w:val="08163321"/>
    <w:rsid w:val="08163474"/>
    <w:rsid w:val="0816351E"/>
    <w:rsid w:val="08163526"/>
    <w:rsid w:val="081635AD"/>
    <w:rsid w:val="081635F6"/>
    <w:rsid w:val="08163748"/>
    <w:rsid w:val="081637CB"/>
    <w:rsid w:val="081638C3"/>
    <w:rsid w:val="081639CC"/>
    <w:rsid w:val="08163A6D"/>
    <w:rsid w:val="08163B27"/>
    <w:rsid w:val="08163B2B"/>
    <w:rsid w:val="08163B34"/>
    <w:rsid w:val="08163B89"/>
    <w:rsid w:val="08163BA5"/>
    <w:rsid w:val="08163BC8"/>
    <w:rsid w:val="08163C0C"/>
    <w:rsid w:val="08163D28"/>
    <w:rsid w:val="08163D67"/>
    <w:rsid w:val="08163D7D"/>
    <w:rsid w:val="08163DA0"/>
    <w:rsid w:val="08163DDC"/>
    <w:rsid w:val="08163FD7"/>
    <w:rsid w:val="08164060"/>
    <w:rsid w:val="08164081"/>
    <w:rsid w:val="081640B3"/>
    <w:rsid w:val="08164105"/>
    <w:rsid w:val="0816414B"/>
    <w:rsid w:val="081641B0"/>
    <w:rsid w:val="081641FC"/>
    <w:rsid w:val="08164205"/>
    <w:rsid w:val="08164254"/>
    <w:rsid w:val="08164265"/>
    <w:rsid w:val="081642C1"/>
    <w:rsid w:val="081642E7"/>
    <w:rsid w:val="081642E9"/>
    <w:rsid w:val="08164388"/>
    <w:rsid w:val="081643F0"/>
    <w:rsid w:val="081644ED"/>
    <w:rsid w:val="0816457E"/>
    <w:rsid w:val="081645C2"/>
    <w:rsid w:val="0816463B"/>
    <w:rsid w:val="081646A6"/>
    <w:rsid w:val="081646C4"/>
    <w:rsid w:val="0816470A"/>
    <w:rsid w:val="081647A1"/>
    <w:rsid w:val="081647B9"/>
    <w:rsid w:val="081647BC"/>
    <w:rsid w:val="08164926"/>
    <w:rsid w:val="08164942"/>
    <w:rsid w:val="08164975"/>
    <w:rsid w:val="081649AF"/>
    <w:rsid w:val="08164A64"/>
    <w:rsid w:val="08164A72"/>
    <w:rsid w:val="08164B01"/>
    <w:rsid w:val="08164BAA"/>
    <w:rsid w:val="08164C01"/>
    <w:rsid w:val="08164CE2"/>
    <w:rsid w:val="08164D30"/>
    <w:rsid w:val="08164D76"/>
    <w:rsid w:val="08164EFC"/>
    <w:rsid w:val="08164F45"/>
    <w:rsid w:val="08164FB2"/>
    <w:rsid w:val="08164FEE"/>
    <w:rsid w:val="08165026"/>
    <w:rsid w:val="081650AF"/>
    <w:rsid w:val="08165126"/>
    <w:rsid w:val="081651B9"/>
    <w:rsid w:val="08165557"/>
    <w:rsid w:val="081655D8"/>
    <w:rsid w:val="08165660"/>
    <w:rsid w:val="081657D4"/>
    <w:rsid w:val="0816580A"/>
    <w:rsid w:val="08165940"/>
    <w:rsid w:val="081659CC"/>
    <w:rsid w:val="081659D3"/>
    <w:rsid w:val="08165A7F"/>
    <w:rsid w:val="08165BD4"/>
    <w:rsid w:val="08165C81"/>
    <w:rsid w:val="08165CA2"/>
    <w:rsid w:val="08165CB3"/>
    <w:rsid w:val="08165CF5"/>
    <w:rsid w:val="08165D3B"/>
    <w:rsid w:val="08165E41"/>
    <w:rsid w:val="08165E43"/>
    <w:rsid w:val="08165EA1"/>
    <w:rsid w:val="08165EF3"/>
    <w:rsid w:val="08165EFE"/>
    <w:rsid w:val="08165F1E"/>
    <w:rsid w:val="08165F40"/>
    <w:rsid w:val="08166085"/>
    <w:rsid w:val="08166123"/>
    <w:rsid w:val="08166281"/>
    <w:rsid w:val="0816628C"/>
    <w:rsid w:val="081662C4"/>
    <w:rsid w:val="0816632B"/>
    <w:rsid w:val="0816632C"/>
    <w:rsid w:val="081663AC"/>
    <w:rsid w:val="08166420"/>
    <w:rsid w:val="08166481"/>
    <w:rsid w:val="081664A2"/>
    <w:rsid w:val="081664DD"/>
    <w:rsid w:val="0816658A"/>
    <w:rsid w:val="081665AB"/>
    <w:rsid w:val="081665E8"/>
    <w:rsid w:val="0816665A"/>
    <w:rsid w:val="081666CA"/>
    <w:rsid w:val="08166845"/>
    <w:rsid w:val="0816685F"/>
    <w:rsid w:val="081668D5"/>
    <w:rsid w:val="08166C36"/>
    <w:rsid w:val="08166CB5"/>
    <w:rsid w:val="08166D13"/>
    <w:rsid w:val="08166D27"/>
    <w:rsid w:val="08166D3A"/>
    <w:rsid w:val="08166D5F"/>
    <w:rsid w:val="08166DF8"/>
    <w:rsid w:val="08166E37"/>
    <w:rsid w:val="08166EA4"/>
    <w:rsid w:val="08166ECF"/>
    <w:rsid w:val="08166ED6"/>
    <w:rsid w:val="08167072"/>
    <w:rsid w:val="08167088"/>
    <w:rsid w:val="081670EF"/>
    <w:rsid w:val="0816714F"/>
    <w:rsid w:val="08167167"/>
    <w:rsid w:val="081671FD"/>
    <w:rsid w:val="0816726D"/>
    <w:rsid w:val="08167271"/>
    <w:rsid w:val="081674D5"/>
    <w:rsid w:val="081674E3"/>
    <w:rsid w:val="08167514"/>
    <w:rsid w:val="08167546"/>
    <w:rsid w:val="08167576"/>
    <w:rsid w:val="08167701"/>
    <w:rsid w:val="0816770C"/>
    <w:rsid w:val="08167726"/>
    <w:rsid w:val="081677FD"/>
    <w:rsid w:val="081678AB"/>
    <w:rsid w:val="08167960"/>
    <w:rsid w:val="081679EF"/>
    <w:rsid w:val="08167A0A"/>
    <w:rsid w:val="08167A98"/>
    <w:rsid w:val="08167AC6"/>
    <w:rsid w:val="08167AE1"/>
    <w:rsid w:val="08167B3E"/>
    <w:rsid w:val="08167B73"/>
    <w:rsid w:val="08167BEC"/>
    <w:rsid w:val="08167C37"/>
    <w:rsid w:val="08167C59"/>
    <w:rsid w:val="08167CC5"/>
    <w:rsid w:val="08167CFD"/>
    <w:rsid w:val="08167D23"/>
    <w:rsid w:val="08167D87"/>
    <w:rsid w:val="08167D9D"/>
    <w:rsid w:val="08167E44"/>
    <w:rsid w:val="08167E5C"/>
    <w:rsid w:val="08167E60"/>
    <w:rsid w:val="08167E91"/>
    <w:rsid w:val="08167E9D"/>
    <w:rsid w:val="08167EC2"/>
    <w:rsid w:val="08167F43"/>
    <w:rsid w:val="08167FF8"/>
    <w:rsid w:val="081700BF"/>
    <w:rsid w:val="081700F0"/>
    <w:rsid w:val="081700F1"/>
    <w:rsid w:val="08170161"/>
    <w:rsid w:val="081701B4"/>
    <w:rsid w:val="08170288"/>
    <w:rsid w:val="081703B9"/>
    <w:rsid w:val="081703ED"/>
    <w:rsid w:val="08170472"/>
    <w:rsid w:val="081704A3"/>
    <w:rsid w:val="08170629"/>
    <w:rsid w:val="08170631"/>
    <w:rsid w:val="08170670"/>
    <w:rsid w:val="081706BE"/>
    <w:rsid w:val="08170794"/>
    <w:rsid w:val="0817096E"/>
    <w:rsid w:val="08170984"/>
    <w:rsid w:val="08170A18"/>
    <w:rsid w:val="08170A3E"/>
    <w:rsid w:val="08170AB8"/>
    <w:rsid w:val="08170B30"/>
    <w:rsid w:val="08170BB5"/>
    <w:rsid w:val="08170BE4"/>
    <w:rsid w:val="08170CA7"/>
    <w:rsid w:val="08170CBA"/>
    <w:rsid w:val="08170CD0"/>
    <w:rsid w:val="08170E61"/>
    <w:rsid w:val="08170E8A"/>
    <w:rsid w:val="08170F0C"/>
    <w:rsid w:val="08170F77"/>
    <w:rsid w:val="08170F84"/>
    <w:rsid w:val="08170FE4"/>
    <w:rsid w:val="08171050"/>
    <w:rsid w:val="08171116"/>
    <w:rsid w:val="08171145"/>
    <w:rsid w:val="0817114A"/>
    <w:rsid w:val="08171214"/>
    <w:rsid w:val="08171369"/>
    <w:rsid w:val="0817138B"/>
    <w:rsid w:val="081713B2"/>
    <w:rsid w:val="081713F8"/>
    <w:rsid w:val="0817146C"/>
    <w:rsid w:val="081714C7"/>
    <w:rsid w:val="081714FD"/>
    <w:rsid w:val="0817157B"/>
    <w:rsid w:val="081715DA"/>
    <w:rsid w:val="08171691"/>
    <w:rsid w:val="081716BF"/>
    <w:rsid w:val="08171708"/>
    <w:rsid w:val="0817190F"/>
    <w:rsid w:val="08171958"/>
    <w:rsid w:val="081719C3"/>
    <w:rsid w:val="08171A4C"/>
    <w:rsid w:val="08171AA4"/>
    <w:rsid w:val="08171AB0"/>
    <w:rsid w:val="08171B10"/>
    <w:rsid w:val="08171B4D"/>
    <w:rsid w:val="08171B5D"/>
    <w:rsid w:val="08171B77"/>
    <w:rsid w:val="08171C60"/>
    <w:rsid w:val="08171C6F"/>
    <w:rsid w:val="08171CCA"/>
    <w:rsid w:val="08171D02"/>
    <w:rsid w:val="08171D42"/>
    <w:rsid w:val="08171D92"/>
    <w:rsid w:val="08171DCB"/>
    <w:rsid w:val="08171DE0"/>
    <w:rsid w:val="08171E5A"/>
    <w:rsid w:val="08171F7D"/>
    <w:rsid w:val="08171FE1"/>
    <w:rsid w:val="08172019"/>
    <w:rsid w:val="0817206D"/>
    <w:rsid w:val="081720BE"/>
    <w:rsid w:val="08172118"/>
    <w:rsid w:val="08172139"/>
    <w:rsid w:val="081721E3"/>
    <w:rsid w:val="0817220B"/>
    <w:rsid w:val="081723AB"/>
    <w:rsid w:val="081723CA"/>
    <w:rsid w:val="08172457"/>
    <w:rsid w:val="08172553"/>
    <w:rsid w:val="081725AF"/>
    <w:rsid w:val="08172619"/>
    <w:rsid w:val="08172627"/>
    <w:rsid w:val="08172650"/>
    <w:rsid w:val="081726B4"/>
    <w:rsid w:val="08172750"/>
    <w:rsid w:val="0817278F"/>
    <w:rsid w:val="081727F9"/>
    <w:rsid w:val="08172832"/>
    <w:rsid w:val="08172883"/>
    <w:rsid w:val="081728E1"/>
    <w:rsid w:val="081729FB"/>
    <w:rsid w:val="08172A15"/>
    <w:rsid w:val="08172A26"/>
    <w:rsid w:val="08172AE7"/>
    <w:rsid w:val="08172B03"/>
    <w:rsid w:val="08172B13"/>
    <w:rsid w:val="08172BC0"/>
    <w:rsid w:val="08172BCF"/>
    <w:rsid w:val="08172CC4"/>
    <w:rsid w:val="08172CEB"/>
    <w:rsid w:val="08172D4B"/>
    <w:rsid w:val="08172E56"/>
    <w:rsid w:val="08172EC0"/>
    <w:rsid w:val="08172EDD"/>
    <w:rsid w:val="08172EEF"/>
    <w:rsid w:val="08172FB0"/>
    <w:rsid w:val="08173014"/>
    <w:rsid w:val="0817307D"/>
    <w:rsid w:val="081730C6"/>
    <w:rsid w:val="08173298"/>
    <w:rsid w:val="081733AB"/>
    <w:rsid w:val="08173485"/>
    <w:rsid w:val="081734B6"/>
    <w:rsid w:val="081734BB"/>
    <w:rsid w:val="081735C7"/>
    <w:rsid w:val="081735CB"/>
    <w:rsid w:val="081735D8"/>
    <w:rsid w:val="081735ED"/>
    <w:rsid w:val="08173763"/>
    <w:rsid w:val="08173798"/>
    <w:rsid w:val="081737FB"/>
    <w:rsid w:val="081738A8"/>
    <w:rsid w:val="0817394A"/>
    <w:rsid w:val="0817394F"/>
    <w:rsid w:val="081739B4"/>
    <w:rsid w:val="08173A0D"/>
    <w:rsid w:val="08173A58"/>
    <w:rsid w:val="08173A9B"/>
    <w:rsid w:val="08173B0E"/>
    <w:rsid w:val="08173B89"/>
    <w:rsid w:val="08173BD6"/>
    <w:rsid w:val="08173C1D"/>
    <w:rsid w:val="08173CB8"/>
    <w:rsid w:val="08173D4D"/>
    <w:rsid w:val="08173E87"/>
    <w:rsid w:val="08173F03"/>
    <w:rsid w:val="08173F2B"/>
    <w:rsid w:val="08173F77"/>
    <w:rsid w:val="08174011"/>
    <w:rsid w:val="08174044"/>
    <w:rsid w:val="08174158"/>
    <w:rsid w:val="08174170"/>
    <w:rsid w:val="081741A0"/>
    <w:rsid w:val="081742BA"/>
    <w:rsid w:val="081742CF"/>
    <w:rsid w:val="08174446"/>
    <w:rsid w:val="081744B5"/>
    <w:rsid w:val="081745C0"/>
    <w:rsid w:val="081745E8"/>
    <w:rsid w:val="0817466D"/>
    <w:rsid w:val="081746D4"/>
    <w:rsid w:val="081746DF"/>
    <w:rsid w:val="0817479E"/>
    <w:rsid w:val="08174811"/>
    <w:rsid w:val="0817483A"/>
    <w:rsid w:val="081748B0"/>
    <w:rsid w:val="08174940"/>
    <w:rsid w:val="0817496F"/>
    <w:rsid w:val="08174A72"/>
    <w:rsid w:val="08174A87"/>
    <w:rsid w:val="08174A8A"/>
    <w:rsid w:val="08174A8D"/>
    <w:rsid w:val="08174B0E"/>
    <w:rsid w:val="08174CC1"/>
    <w:rsid w:val="08174D2A"/>
    <w:rsid w:val="08174DA9"/>
    <w:rsid w:val="08174E31"/>
    <w:rsid w:val="08174E8A"/>
    <w:rsid w:val="08174F10"/>
    <w:rsid w:val="08174FFE"/>
    <w:rsid w:val="08175028"/>
    <w:rsid w:val="0817510B"/>
    <w:rsid w:val="081751AF"/>
    <w:rsid w:val="08175265"/>
    <w:rsid w:val="081752D9"/>
    <w:rsid w:val="081752E6"/>
    <w:rsid w:val="08175349"/>
    <w:rsid w:val="0817537C"/>
    <w:rsid w:val="08175386"/>
    <w:rsid w:val="081754BE"/>
    <w:rsid w:val="081754FE"/>
    <w:rsid w:val="08175714"/>
    <w:rsid w:val="081757E4"/>
    <w:rsid w:val="08175811"/>
    <w:rsid w:val="0817581B"/>
    <w:rsid w:val="08175849"/>
    <w:rsid w:val="08175890"/>
    <w:rsid w:val="081758B2"/>
    <w:rsid w:val="08175995"/>
    <w:rsid w:val="081759DA"/>
    <w:rsid w:val="08175A19"/>
    <w:rsid w:val="08175A4D"/>
    <w:rsid w:val="08175A57"/>
    <w:rsid w:val="08175B22"/>
    <w:rsid w:val="08175B2D"/>
    <w:rsid w:val="08175B3E"/>
    <w:rsid w:val="08175B9C"/>
    <w:rsid w:val="08175BBB"/>
    <w:rsid w:val="08175C73"/>
    <w:rsid w:val="08175C77"/>
    <w:rsid w:val="08175D6D"/>
    <w:rsid w:val="08175DA8"/>
    <w:rsid w:val="08175E30"/>
    <w:rsid w:val="08175ED7"/>
    <w:rsid w:val="08175F94"/>
    <w:rsid w:val="081762E1"/>
    <w:rsid w:val="08176317"/>
    <w:rsid w:val="0817636D"/>
    <w:rsid w:val="081763AA"/>
    <w:rsid w:val="081763FC"/>
    <w:rsid w:val="0817647C"/>
    <w:rsid w:val="08176596"/>
    <w:rsid w:val="0817659B"/>
    <w:rsid w:val="0817665E"/>
    <w:rsid w:val="0817666E"/>
    <w:rsid w:val="081766C5"/>
    <w:rsid w:val="08176798"/>
    <w:rsid w:val="081767FD"/>
    <w:rsid w:val="081768AB"/>
    <w:rsid w:val="08176930"/>
    <w:rsid w:val="0817697F"/>
    <w:rsid w:val="08176A46"/>
    <w:rsid w:val="08176A4C"/>
    <w:rsid w:val="08176AC5"/>
    <w:rsid w:val="08176B17"/>
    <w:rsid w:val="08176B37"/>
    <w:rsid w:val="08176BDD"/>
    <w:rsid w:val="08176C5B"/>
    <w:rsid w:val="08176CC0"/>
    <w:rsid w:val="08176D54"/>
    <w:rsid w:val="08176D6B"/>
    <w:rsid w:val="08176D85"/>
    <w:rsid w:val="08176DA6"/>
    <w:rsid w:val="08176E4A"/>
    <w:rsid w:val="08176E70"/>
    <w:rsid w:val="08176FC6"/>
    <w:rsid w:val="08176FC8"/>
    <w:rsid w:val="081770DF"/>
    <w:rsid w:val="08177265"/>
    <w:rsid w:val="081772D0"/>
    <w:rsid w:val="081773AB"/>
    <w:rsid w:val="081773EE"/>
    <w:rsid w:val="08177412"/>
    <w:rsid w:val="0817743D"/>
    <w:rsid w:val="0817760B"/>
    <w:rsid w:val="0817764C"/>
    <w:rsid w:val="081776A2"/>
    <w:rsid w:val="081777C0"/>
    <w:rsid w:val="08177825"/>
    <w:rsid w:val="081778D5"/>
    <w:rsid w:val="0817799C"/>
    <w:rsid w:val="081779EC"/>
    <w:rsid w:val="08177A80"/>
    <w:rsid w:val="08177A8C"/>
    <w:rsid w:val="08177AE4"/>
    <w:rsid w:val="08177B21"/>
    <w:rsid w:val="08177B56"/>
    <w:rsid w:val="08177B6D"/>
    <w:rsid w:val="08177BBA"/>
    <w:rsid w:val="08177BC6"/>
    <w:rsid w:val="08177DA4"/>
    <w:rsid w:val="08177DC8"/>
    <w:rsid w:val="08177DF6"/>
    <w:rsid w:val="08177E59"/>
    <w:rsid w:val="08177E7B"/>
    <w:rsid w:val="08177F9D"/>
    <w:rsid w:val="08177FBE"/>
    <w:rsid w:val="08177FE2"/>
    <w:rsid w:val="08177FF6"/>
    <w:rsid w:val="081800E9"/>
    <w:rsid w:val="08180220"/>
    <w:rsid w:val="0818023B"/>
    <w:rsid w:val="0818024B"/>
    <w:rsid w:val="0818029D"/>
    <w:rsid w:val="081802E0"/>
    <w:rsid w:val="081802E1"/>
    <w:rsid w:val="0818030B"/>
    <w:rsid w:val="081803C7"/>
    <w:rsid w:val="0818048C"/>
    <w:rsid w:val="0818049E"/>
    <w:rsid w:val="081804AA"/>
    <w:rsid w:val="081804EA"/>
    <w:rsid w:val="0818058B"/>
    <w:rsid w:val="081805BC"/>
    <w:rsid w:val="08180647"/>
    <w:rsid w:val="0818064F"/>
    <w:rsid w:val="0818065B"/>
    <w:rsid w:val="08180695"/>
    <w:rsid w:val="08180752"/>
    <w:rsid w:val="08180841"/>
    <w:rsid w:val="0818089F"/>
    <w:rsid w:val="081808AA"/>
    <w:rsid w:val="08180A8A"/>
    <w:rsid w:val="08180AA1"/>
    <w:rsid w:val="08180AE5"/>
    <w:rsid w:val="08180C25"/>
    <w:rsid w:val="08180C6B"/>
    <w:rsid w:val="08180E19"/>
    <w:rsid w:val="08180EB7"/>
    <w:rsid w:val="08180EBE"/>
    <w:rsid w:val="08180F8C"/>
    <w:rsid w:val="08180FA8"/>
    <w:rsid w:val="08180FAC"/>
    <w:rsid w:val="08181025"/>
    <w:rsid w:val="08181097"/>
    <w:rsid w:val="08181132"/>
    <w:rsid w:val="08181169"/>
    <w:rsid w:val="081811C0"/>
    <w:rsid w:val="0818126C"/>
    <w:rsid w:val="08181279"/>
    <w:rsid w:val="081813DA"/>
    <w:rsid w:val="08181410"/>
    <w:rsid w:val="081815A1"/>
    <w:rsid w:val="081815D3"/>
    <w:rsid w:val="081815E0"/>
    <w:rsid w:val="0818173B"/>
    <w:rsid w:val="08181747"/>
    <w:rsid w:val="081817BB"/>
    <w:rsid w:val="081817CE"/>
    <w:rsid w:val="0818185A"/>
    <w:rsid w:val="0818185F"/>
    <w:rsid w:val="081818B3"/>
    <w:rsid w:val="08181950"/>
    <w:rsid w:val="08181977"/>
    <w:rsid w:val="081819A0"/>
    <w:rsid w:val="081819F5"/>
    <w:rsid w:val="08181A50"/>
    <w:rsid w:val="08181AC7"/>
    <w:rsid w:val="08181D19"/>
    <w:rsid w:val="08181D32"/>
    <w:rsid w:val="08181DF9"/>
    <w:rsid w:val="08181E1A"/>
    <w:rsid w:val="08181E76"/>
    <w:rsid w:val="08181F42"/>
    <w:rsid w:val="08181F46"/>
    <w:rsid w:val="08181FFA"/>
    <w:rsid w:val="081820B4"/>
    <w:rsid w:val="0818211C"/>
    <w:rsid w:val="08182140"/>
    <w:rsid w:val="08182195"/>
    <w:rsid w:val="0818219B"/>
    <w:rsid w:val="0818226D"/>
    <w:rsid w:val="081822F1"/>
    <w:rsid w:val="0818230B"/>
    <w:rsid w:val="0818234B"/>
    <w:rsid w:val="081823D1"/>
    <w:rsid w:val="081823E2"/>
    <w:rsid w:val="08182484"/>
    <w:rsid w:val="081824B9"/>
    <w:rsid w:val="08182540"/>
    <w:rsid w:val="08182541"/>
    <w:rsid w:val="0818256C"/>
    <w:rsid w:val="08182636"/>
    <w:rsid w:val="08182869"/>
    <w:rsid w:val="08182993"/>
    <w:rsid w:val="081829A7"/>
    <w:rsid w:val="08182A3C"/>
    <w:rsid w:val="08182A80"/>
    <w:rsid w:val="08182A94"/>
    <w:rsid w:val="08182AB1"/>
    <w:rsid w:val="08182B9C"/>
    <w:rsid w:val="08182C22"/>
    <w:rsid w:val="08182C8A"/>
    <w:rsid w:val="08182C8B"/>
    <w:rsid w:val="08182D14"/>
    <w:rsid w:val="08182D40"/>
    <w:rsid w:val="08182DB9"/>
    <w:rsid w:val="08182DCC"/>
    <w:rsid w:val="08182F11"/>
    <w:rsid w:val="08183082"/>
    <w:rsid w:val="081830AF"/>
    <w:rsid w:val="081830FE"/>
    <w:rsid w:val="0818310C"/>
    <w:rsid w:val="0818317A"/>
    <w:rsid w:val="081831C9"/>
    <w:rsid w:val="0818322D"/>
    <w:rsid w:val="0818328A"/>
    <w:rsid w:val="081832FE"/>
    <w:rsid w:val="08183336"/>
    <w:rsid w:val="0818333A"/>
    <w:rsid w:val="0818337D"/>
    <w:rsid w:val="0818337F"/>
    <w:rsid w:val="08183393"/>
    <w:rsid w:val="081833CE"/>
    <w:rsid w:val="08183494"/>
    <w:rsid w:val="0818353C"/>
    <w:rsid w:val="081835C5"/>
    <w:rsid w:val="0818365A"/>
    <w:rsid w:val="0818367B"/>
    <w:rsid w:val="08183867"/>
    <w:rsid w:val="081838A0"/>
    <w:rsid w:val="081838B6"/>
    <w:rsid w:val="0818390F"/>
    <w:rsid w:val="08183939"/>
    <w:rsid w:val="08183A0C"/>
    <w:rsid w:val="08183A44"/>
    <w:rsid w:val="08183A4B"/>
    <w:rsid w:val="08183B9C"/>
    <w:rsid w:val="08183D02"/>
    <w:rsid w:val="08183E00"/>
    <w:rsid w:val="08183E72"/>
    <w:rsid w:val="08183EDF"/>
    <w:rsid w:val="0818401F"/>
    <w:rsid w:val="08184051"/>
    <w:rsid w:val="0818408E"/>
    <w:rsid w:val="081840B5"/>
    <w:rsid w:val="081840F1"/>
    <w:rsid w:val="08184115"/>
    <w:rsid w:val="081841B8"/>
    <w:rsid w:val="08184366"/>
    <w:rsid w:val="08184408"/>
    <w:rsid w:val="081844D9"/>
    <w:rsid w:val="08184511"/>
    <w:rsid w:val="0818465A"/>
    <w:rsid w:val="081846D4"/>
    <w:rsid w:val="081846F3"/>
    <w:rsid w:val="081847A2"/>
    <w:rsid w:val="0818480E"/>
    <w:rsid w:val="08184837"/>
    <w:rsid w:val="0818490F"/>
    <w:rsid w:val="081849D9"/>
    <w:rsid w:val="081849EB"/>
    <w:rsid w:val="08184A1B"/>
    <w:rsid w:val="08184A75"/>
    <w:rsid w:val="08184A78"/>
    <w:rsid w:val="08184AD9"/>
    <w:rsid w:val="08184C25"/>
    <w:rsid w:val="08184C37"/>
    <w:rsid w:val="08184C50"/>
    <w:rsid w:val="08184E65"/>
    <w:rsid w:val="08184EF7"/>
    <w:rsid w:val="08184FE2"/>
    <w:rsid w:val="08184FFB"/>
    <w:rsid w:val="08185069"/>
    <w:rsid w:val="081850AF"/>
    <w:rsid w:val="0818514C"/>
    <w:rsid w:val="081851A7"/>
    <w:rsid w:val="0818521E"/>
    <w:rsid w:val="0818528A"/>
    <w:rsid w:val="0818536D"/>
    <w:rsid w:val="08185379"/>
    <w:rsid w:val="0818537B"/>
    <w:rsid w:val="08185383"/>
    <w:rsid w:val="08185445"/>
    <w:rsid w:val="0818553D"/>
    <w:rsid w:val="0818553F"/>
    <w:rsid w:val="081855F7"/>
    <w:rsid w:val="08185616"/>
    <w:rsid w:val="081856ED"/>
    <w:rsid w:val="081856F7"/>
    <w:rsid w:val="08185840"/>
    <w:rsid w:val="0818585C"/>
    <w:rsid w:val="08185877"/>
    <w:rsid w:val="08185891"/>
    <w:rsid w:val="081858BD"/>
    <w:rsid w:val="081858BE"/>
    <w:rsid w:val="081859B1"/>
    <w:rsid w:val="08185A67"/>
    <w:rsid w:val="08185B0C"/>
    <w:rsid w:val="08185B2B"/>
    <w:rsid w:val="08185BA0"/>
    <w:rsid w:val="08185BA2"/>
    <w:rsid w:val="08185C4B"/>
    <w:rsid w:val="08185C8D"/>
    <w:rsid w:val="08185CD9"/>
    <w:rsid w:val="08185EBD"/>
    <w:rsid w:val="08185F50"/>
    <w:rsid w:val="08185F54"/>
    <w:rsid w:val="08185F6A"/>
    <w:rsid w:val="08185FE7"/>
    <w:rsid w:val="0818602F"/>
    <w:rsid w:val="081860EB"/>
    <w:rsid w:val="0818613D"/>
    <w:rsid w:val="08186178"/>
    <w:rsid w:val="08186371"/>
    <w:rsid w:val="081863C4"/>
    <w:rsid w:val="081863E8"/>
    <w:rsid w:val="0818645C"/>
    <w:rsid w:val="08186473"/>
    <w:rsid w:val="081864EA"/>
    <w:rsid w:val="081865D0"/>
    <w:rsid w:val="081865FB"/>
    <w:rsid w:val="0818689D"/>
    <w:rsid w:val="0818692E"/>
    <w:rsid w:val="0818696D"/>
    <w:rsid w:val="08186A8B"/>
    <w:rsid w:val="08186BB1"/>
    <w:rsid w:val="08186BB7"/>
    <w:rsid w:val="08186CCF"/>
    <w:rsid w:val="08186D37"/>
    <w:rsid w:val="08186DE2"/>
    <w:rsid w:val="08186DED"/>
    <w:rsid w:val="08186E95"/>
    <w:rsid w:val="08186F59"/>
    <w:rsid w:val="08186F92"/>
    <w:rsid w:val="0818712C"/>
    <w:rsid w:val="081871DA"/>
    <w:rsid w:val="08187211"/>
    <w:rsid w:val="081872AB"/>
    <w:rsid w:val="08187372"/>
    <w:rsid w:val="0818738D"/>
    <w:rsid w:val="081873B0"/>
    <w:rsid w:val="081873ED"/>
    <w:rsid w:val="08187407"/>
    <w:rsid w:val="0818740D"/>
    <w:rsid w:val="08187437"/>
    <w:rsid w:val="0818746F"/>
    <w:rsid w:val="08187685"/>
    <w:rsid w:val="0818768F"/>
    <w:rsid w:val="08187691"/>
    <w:rsid w:val="08187771"/>
    <w:rsid w:val="08187A2D"/>
    <w:rsid w:val="08187A54"/>
    <w:rsid w:val="08187A7F"/>
    <w:rsid w:val="08187B5D"/>
    <w:rsid w:val="08187B9F"/>
    <w:rsid w:val="08187E18"/>
    <w:rsid w:val="08187E50"/>
    <w:rsid w:val="08187E54"/>
    <w:rsid w:val="08187E82"/>
    <w:rsid w:val="08187E9D"/>
    <w:rsid w:val="08187EA8"/>
    <w:rsid w:val="08187EAD"/>
    <w:rsid w:val="08187EFC"/>
    <w:rsid w:val="08187F14"/>
    <w:rsid w:val="08187F5A"/>
    <w:rsid w:val="08187FC2"/>
    <w:rsid w:val="08187FE9"/>
    <w:rsid w:val="08190066"/>
    <w:rsid w:val="0819011E"/>
    <w:rsid w:val="08190124"/>
    <w:rsid w:val="081901A3"/>
    <w:rsid w:val="08190227"/>
    <w:rsid w:val="08190261"/>
    <w:rsid w:val="08190353"/>
    <w:rsid w:val="081903A2"/>
    <w:rsid w:val="08190441"/>
    <w:rsid w:val="08190571"/>
    <w:rsid w:val="08190661"/>
    <w:rsid w:val="0819067F"/>
    <w:rsid w:val="0819072E"/>
    <w:rsid w:val="08190732"/>
    <w:rsid w:val="0819078F"/>
    <w:rsid w:val="08190793"/>
    <w:rsid w:val="081907AF"/>
    <w:rsid w:val="081908C5"/>
    <w:rsid w:val="08190999"/>
    <w:rsid w:val="08190AD6"/>
    <w:rsid w:val="08190C13"/>
    <w:rsid w:val="08190C40"/>
    <w:rsid w:val="08190C64"/>
    <w:rsid w:val="08190C65"/>
    <w:rsid w:val="08190C8F"/>
    <w:rsid w:val="08190CBA"/>
    <w:rsid w:val="08190D12"/>
    <w:rsid w:val="08190F52"/>
    <w:rsid w:val="08190F8D"/>
    <w:rsid w:val="08190FA7"/>
    <w:rsid w:val="0819100B"/>
    <w:rsid w:val="08191037"/>
    <w:rsid w:val="081910C9"/>
    <w:rsid w:val="08191175"/>
    <w:rsid w:val="081911CF"/>
    <w:rsid w:val="08191314"/>
    <w:rsid w:val="0819131D"/>
    <w:rsid w:val="081913FC"/>
    <w:rsid w:val="081914D1"/>
    <w:rsid w:val="08191582"/>
    <w:rsid w:val="08191585"/>
    <w:rsid w:val="0819169C"/>
    <w:rsid w:val="08191716"/>
    <w:rsid w:val="081917B0"/>
    <w:rsid w:val="08191821"/>
    <w:rsid w:val="0819185C"/>
    <w:rsid w:val="0819195D"/>
    <w:rsid w:val="0819195F"/>
    <w:rsid w:val="0819197A"/>
    <w:rsid w:val="08191A2D"/>
    <w:rsid w:val="08191A77"/>
    <w:rsid w:val="08191ACA"/>
    <w:rsid w:val="08191B6B"/>
    <w:rsid w:val="08191B8C"/>
    <w:rsid w:val="08191BE5"/>
    <w:rsid w:val="08191CD5"/>
    <w:rsid w:val="08191D15"/>
    <w:rsid w:val="08191F2F"/>
    <w:rsid w:val="08191F7A"/>
    <w:rsid w:val="08191F9A"/>
    <w:rsid w:val="0819201F"/>
    <w:rsid w:val="08192035"/>
    <w:rsid w:val="081920B6"/>
    <w:rsid w:val="08192221"/>
    <w:rsid w:val="0819229A"/>
    <w:rsid w:val="08192404"/>
    <w:rsid w:val="08192504"/>
    <w:rsid w:val="08192527"/>
    <w:rsid w:val="081925B2"/>
    <w:rsid w:val="081926AE"/>
    <w:rsid w:val="081926C4"/>
    <w:rsid w:val="0819277C"/>
    <w:rsid w:val="081927D6"/>
    <w:rsid w:val="08192843"/>
    <w:rsid w:val="08192853"/>
    <w:rsid w:val="08192871"/>
    <w:rsid w:val="0819289C"/>
    <w:rsid w:val="081929DA"/>
    <w:rsid w:val="08192A13"/>
    <w:rsid w:val="08192A30"/>
    <w:rsid w:val="08192A6B"/>
    <w:rsid w:val="08192AB5"/>
    <w:rsid w:val="08192B1D"/>
    <w:rsid w:val="08192B56"/>
    <w:rsid w:val="08192C1D"/>
    <w:rsid w:val="08192CD9"/>
    <w:rsid w:val="08192D45"/>
    <w:rsid w:val="08192DC4"/>
    <w:rsid w:val="08192E21"/>
    <w:rsid w:val="08192E9F"/>
    <w:rsid w:val="08192EC8"/>
    <w:rsid w:val="08192F13"/>
    <w:rsid w:val="08192F3D"/>
    <w:rsid w:val="08192F99"/>
    <w:rsid w:val="08192FC7"/>
    <w:rsid w:val="08192FE6"/>
    <w:rsid w:val="08193017"/>
    <w:rsid w:val="0819308A"/>
    <w:rsid w:val="081930E1"/>
    <w:rsid w:val="08193152"/>
    <w:rsid w:val="081931EE"/>
    <w:rsid w:val="0819322B"/>
    <w:rsid w:val="0819341F"/>
    <w:rsid w:val="08193453"/>
    <w:rsid w:val="0819348B"/>
    <w:rsid w:val="0819358E"/>
    <w:rsid w:val="081935A6"/>
    <w:rsid w:val="081935FE"/>
    <w:rsid w:val="08193632"/>
    <w:rsid w:val="08193643"/>
    <w:rsid w:val="0819364F"/>
    <w:rsid w:val="08193655"/>
    <w:rsid w:val="0819367C"/>
    <w:rsid w:val="081936C8"/>
    <w:rsid w:val="0819372C"/>
    <w:rsid w:val="08193762"/>
    <w:rsid w:val="0819383C"/>
    <w:rsid w:val="081938DD"/>
    <w:rsid w:val="08193900"/>
    <w:rsid w:val="08193913"/>
    <w:rsid w:val="081939B3"/>
    <w:rsid w:val="081939C8"/>
    <w:rsid w:val="08193A0D"/>
    <w:rsid w:val="08193AE6"/>
    <w:rsid w:val="08193B25"/>
    <w:rsid w:val="08193B4A"/>
    <w:rsid w:val="08193BA6"/>
    <w:rsid w:val="08193BF8"/>
    <w:rsid w:val="08193C1B"/>
    <w:rsid w:val="08193C34"/>
    <w:rsid w:val="08193C69"/>
    <w:rsid w:val="08193D3D"/>
    <w:rsid w:val="08193DF4"/>
    <w:rsid w:val="08193E62"/>
    <w:rsid w:val="08193F26"/>
    <w:rsid w:val="08193F6B"/>
    <w:rsid w:val="08193F95"/>
    <w:rsid w:val="08194020"/>
    <w:rsid w:val="0819415B"/>
    <w:rsid w:val="08194198"/>
    <w:rsid w:val="081941CE"/>
    <w:rsid w:val="08194393"/>
    <w:rsid w:val="081943CF"/>
    <w:rsid w:val="0819446B"/>
    <w:rsid w:val="081944DE"/>
    <w:rsid w:val="08194569"/>
    <w:rsid w:val="081945A4"/>
    <w:rsid w:val="08194622"/>
    <w:rsid w:val="081946A5"/>
    <w:rsid w:val="081946E6"/>
    <w:rsid w:val="08194722"/>
    <w:rsid w:val="081947BC"/>
    <w:rsid w:val="08194850"/>
    <w:rsid w:val="0819485B"/>
    <w:rsid w:val="0819498B"/>
    <w:rsid w:val="081949BB"/>
    <w:rsid w:val="08194A73"/>
    <w:rsid w:val="08194AF8"/>
    <w:rsid w:val="08194BAB"/>
    <w:rsid w:val="08194BFD"/>
    <w:rsid w:val="08194C53"/>
    <w:rsid w:val="08194CB5"/>
    <w:rsid w:val="08194CBA"/>
    <w:rsid w:val="08194CD6"/>
    <w:rsid w:val="08194D7D"/>
    <w:rsid w:val="08194E22"/>
    <w:rsid w:val="08194E8E"/>
    <w:rsid w:val="08194FD7"/>
    <w:rsid w:val="08194FEC"/>
    <w:rsid w:val="081950FF"/>
    <w:rsid w:val="08195137"/>
    <w:rsid w:val="08195148"/>
    <w:rsid w:val="08195222"/>
    <w:rsid w:val="081952AB"/>
    <w:rsid w:val="081952D5"/>
    <w:rsid w:val="08195361"/>
    <w:rsid w:val="08195399"/>
    <w:rsid w:val="081953AB"/>
    <w:rsid w:val="081953D7"/>
    <w:rsid w:val="08195442"/>
    <w:rsid w:val="08195486"/>
    <w:rsid w:val="081954CC"/>
    <w:rsid w:val="0819558A"/>
    <w:rsid w:val="081955A7"/>
    <w:rsid w:val="081956AD"/>
    <w:rsid w:val="081956E4"/>
    <w:rsid w:val="081957ED"/>
    <w:rsid w:val="08195852"/>
    <w:rsid w:val="08195A08"/>
    <w:rsid w:val="08195A15"/>
    <w:rsid w:val="08195A51"/>
    <w:rsid w:val="08195A8A"/>
    <w:rsid w:val="08195ADA"/>
    <w:rsid w:val="08195B5A"/>
    <w:rsid w:val="08195BB4"/>
    <w:rsid w:val="08195C41"/>
    <w:rsid w:val="08195D6C"/>
    <w:rsid w:val="08195DBC"/>
    <w:rsid w:val="08195E8C"/>
    <w:rsid w:val="08195EA0"/>
    <w:rsid w:val="08195EB3"/>
    <w:rsid w:val="08195F8E"/>
    <w:rsid w:val="08196050"/>
    <w:rsid w:val="081960AF"/>
    <w:rsid w:val="081961D1"/>
    <w:rsid w:val="08196243"/>
    <w:rsid w:val="0819636B"/>
    <w:rsid w:val="08196490"/>
    <w:rsid w:val="08196651"/>
    <w:rsid w:val="08196685"/>
    <w:rsid w:val="081966C8"/>
    <w:rsid w:val="08196800"/>
    <w:rsid w:val="081968A0"/>
    <w:rsid w:val="081968B9"/>
    <w:rsid w:val="081968F6"/>
    <w:rsid w:val="08196955"/>
    <w:rsid w:val="08196971"/>
    <w:rsid w:val="08196AC8"/>
    <w:rsid w:val="08196BA9"/>
    <w:rsid w:val="08196BB5"/>
    <w:rsid w:val="08196BC0"/>
    <w:rsid w:val="08196C1A"/>
    <w:rsid w:val="08196C56"/>
    <w:rsid w:val="08196E77"/>
    <w:rsid w:val="08196E9F"/>
    <w:rsid w:val="08196F87"/>
    <w:rsid w:val="08196FB3"/>
    <w:rsid w:val="08197025"/>
    <w:rsid w:val="0819706C"/>
    <w:rsid w:val="081970B7"/>
    <w:rsid w:val="081970FF"/>
    <w:rsid w:val="0819710B"/>
    <w:rsid w:val="08197143"/>
    <w:rsid w:val="081972E4"/>
    <w:rsid w:val="08197392"/>
    <w:rsid w:val="081974D3"/>
    <w:rsid w:val="081974E3"/>
    <w:rsid w:val="081974F2"/>
    <w:rsid w:val="081974FC"/>
    <w:rsid w:val="08197564"/>
    <w:rsid w:val="0819756D"/>
    <w:rsid w:val="081975D5"/>
    <w:rsid w:val="081976A2"/>
    <w:rsid w:val="081976E5"/>
    <w:rsid w:val="0819774B"/>
    <w:rsid w:val="08197782"/>
    <w:rsid w:val="0819779D"/>
    <w:rsid w:val="081977A2"/>
    <w:rsid w:val="081977D8"/>
    <w:rsid w:val="081978C8"/>
    <w:rsid w:val="08197931"/>
    <w:rsid w:val="081979D6"/>
    <w:rsid w:val="081979E8"/>
    <w:rsid w:val="08197A0A"/>
    <w:rsid w:val="08197A50"/>
    <w:rsid w:val="08197A94"/>
    <w:rsid w:val="08197AB1"/>
    <w:rsid w:val="08197B29"/>
    <w:rsid w:val="08197CC9"/>
    <w:rsid w:val="08197D79"/>
    <w:rsid w:val="08197D96"/>
    <w:rsid w:val="08197D99"/>
    <w:rsid w:val="08197EBC"/>
    <w:rsid w:val="08197F1B"/>
    <w:rsid w:val="08197F52"/>
    <w:rsid w:val="08197F89"/>
    <w:rsid w:val="08197FD0"/>
    <w:rsid w:val="081A0045"/>
    <w:rsid w:val="081A007E"/>
    <w:rsid w:val="081A011C"/>
    <w:rsid w:val="081A0187"/>
    <w:rsid w:val="081A0269"/>
    <w:rsid w:val="081A02C0"/>
    <w:rsid w:val="081A02FF"/>
    <w:rsid w:val="081A0423"/>
    <w:rsid w:val="081A0428"/>
    <w:rsid w:val="081A04CB"/>
    <w:rsid w:val="081A050A"/>
    <w:rsid w:val="081A0555"/>
    <w:rsid w:val="081A05DC"/>
    <w:rsid w:val="081A062A"/>
    <w:rsid w:val="081A0645"/>
    <w:rsid w:val="081A06C7"/>
    <w:rsid w:val="081A06E1"/>
    <w:rsid w:val="081A0755"/>
    <w:rsid w:val="081A08D0"/>
    <w:rsid w:val="081A08F5"/>
    <w:rsid w:val="081A0954"/>
    <w:rsid w:val="081A0A52"/>
    <w:rsid w:val="081A0AC2"/>
    <w:rsid w:val="081A0B6D"/>
    <w:rsid w:val="081A0B7F"/>
    <w:rsid w:val="081A0C92"/>
    <w:rsid w:val="081A0CE2"/>
    <w:rsid w:val="081A0CEA"/>
    <w:rsid w:val="081A0CF3"/>
    <w:rsid w:val="081A0D51"/>
    <w:rsid w:val="081A0E01"/>
    <w:rsid w:val="081A0E62"/>
    <w:rsid w:val="081A0EB2"/>
    <w:rsid w:val="081A0EFE"/>
    <w:rsid w:val="081A1106"/>
    <w:rsid w:val="081A1108"/>
    <w:rsid w:val="081A1245"/>
    <w:rsid w:val="081A1334"/>
    <w:rsid w:val="081A133B"/>
    <w:rsid w:val="081A1357"/>
    <w:rsid w:val="081A13B0"/>
    <w:rsid w:val="081A13D8"/>
    <w:rsid w:val="081A150E"/>
    <w:rsid w:val="081A1535"/>
    <w:rsid w:val="081A15D8"/>
    <w:rsid w:val="081A167F"/>
    <w:rsid w:val="081A16CE"/>
    <w:rsid w:val="081A16D3"/>
    <w:rsid w:val="081A17D5"/>
    <w:rsid w:val="081A1958"/>
    <w:rsid w:val="081A197A"/>
    <w:rsid w:val="081A1B14"/>
    <w:rsid w:val="081A1BA4"/>
    <w:rsid w:val="081A1D24"/>
    <w:rsid w:val="081A1DE3"/>
    <w:rsid w:val="081A1EFA"/>
    <w:rsid w:val="081A1F02"/>
    <w:rsid w:val="081A1F98"/>
    <w:rsid w:val="081A1FB6"/>
    <w:rsid w:val="081A2102"/>
    <w:rsid w:val="081A21F2"/>
    <w:rsid w:val="081A21F9"/>
    <w:rsid w:val="081A235E"/>
    <w:rsid w:val="081A2367"/>
    <w:rsid w:val="081A2397"/>
    <w:rsid w:val="081A246B"/>
    <w:rsid w:val="081A24E9"/>
    <w:rsid w:val="081A2531"/>
    <w:rsid w:val="081A2551"/>
    <w:rsid w:val="081A2555"/>
    <w:rsid w:val="081A2564"/>
    <w:rsid w:val="081A259B"/>
    <w:rsid w:val="081A2638"/>
    <w:rsid w:val="081A2641"/>
    <w:rsid w:val="081A26FB"/>
    <w:rsid w:val="081A2727"/>
    <w:rsid w:val="081A27FB"/>
    <w:rsid w:val="081A2849"/>
    <w:rsid w:val="081A2886"/>
    <w:rsid w:val="081A290A"/>
    <w:rsid w:val="081A2954"/>
    <w:rsid w:val="081A29BF"/>
    <w:rsid w:val="081A2B1C"/>
    <w:rsid w:val="081A2B66"/>
    <w:rsid w:val="081A2C28"/>
    <w:rsid w:val="081A2C51"/>
    <w:rsid w:val="081A2C7D"/>
    <w:rsid w:val="081A2D71"/>
    <w:rsid w:val="081A2DCC"/>
    <w:rsid w:val="081A2DD3"/>
    <w:rsid w:val="081A2DDF"/>
    <w:rsid w:val="081A2E9E"/>
    <w:rsid w:val="081A2F0B"/>
    <w:rsid w:val="081A3027"/>
    <w:rsid w:val="081A3040"/>
    <w:rsid w:val="081A3074"/>
    <w:rsid w:val="081A31BD"/>
    <w:rsid w:val="081A31EE"/>
    <w:rsid w:val="081A3254"/>
    <w:rsid w:val="081A325B"/>
    <w:rsid w:val="081A32D8"/>
    <w:rsid w:val="081A32DA"/>
    <w:rsid w:val="081A32F9"/>
    <w:rsid w:val="081A33BA"/>
    <w:rsid w:val="081A33C3"/>
    <w:rsid w:val="081A340C"/>
    <w:rsid w:val="081A34BD"/>
    <w:rsid w:val="081A34D4"/>
    <w:rsid w:val="081A3507"/>
    <w:rsid w:val="081A354E"/>
    <w:rsid w:val="081A3568"/>
    <w:rsid w:val="081A35B0"/>
    <w:rsid w:val="081A36BA"/>
    <w:rsid w:val="081A3724"/>
    <w:rsid w:val="081A374D"/>
    <w:rsid w:val="081A374E"/>
    <w:rsid w:val="081A3806"/>
    <w:rsid w:val="081A38A0"/>
    <w:rsid w:val="081A39E3"/>
    <w:rsid w:val="081A39EC"/>
    <w:rsid w:val="081A39F9"/>
    <w:rsid w:val="081A3AEA"/>
    <w:rsid w:val="081A3B5F"/>
    <w:rsid w:val="081A3CD2"/>
    <w:rsid w:val="081A3D70"/>
    <w:rsid w:val="081A3E4E"/>
    <w:rsid w:val="081A3EAC"/>
    <w:rsid w:val="081A413C"/>
    <w:rsid w:val="081A42F4"/>
    <w:rsid w:val="081A42F5"/>
    <w:rsid w:val="081A43AA"/>
    <w:rsid w:val="081A443C"/>
    <w:rsid w:val="081A453B"/>
    <w:rsid w:val="081A453D"/>
    <w:rsid w:val="081A45CD"/>
    <w:rsid w:val="081A45DF"/>
    <w:rsid w:val="081A467E"/>
    <w:rsid w:val="081A471D"/>
    <w:rsid w:val="081A4740"/>
    <w:rsid w:val="081A4764"/>
    <w:rsid w:val="081A47A3"/>
    <w:rsid w:val="081A47B0"/>
    <w:rsid w:val="081A47B5"/>
    <w:rsid w:val="081A47D5"/>
    <w:rsid w:val="081A4801"/>
    <w:rsid w:val="081A4811"/>
    <w:rsid w:val="081A48CE"/>
    <w:rsid w:val="081A49B7"/>
    <w:rsid w:val="081A49D3"/>
    <w:rsid w:val="081A4A31"/>
    <w:rsid w:val="081A4A34"/>
    <w:rsid w:val="081A4A62"/>
    <w:rsid w:val="081A4AE3"/>
    <w:rsid w:val="081A4B3F"/>
    <w:rsid w:val="081A4B89"/>
    <w:rsid w:val="081A4C5A"/>
    <w:rsid w:val="081A4C85"/>
    <w:rsid w:val="081A4CDE"/>
    <w:rsid w:val="081A4D3A"/>
    <w:rsid w:val="081A4D6A"/>
    <w:rsid w:val="081A4D92"/>
    <w:rsid w:val="081A4D98"/>
    <w:rsid w:val="081A501E"/>
    <w:rsid w:val="081A502C"/>
    <w:rsid w:val="081A50CF"/>
    <w:rsid w:val="081A525A"/>
    <w:rsid w:val="081A53B5"/>
    <w:rsid w:val="081A5510"/>
    <w:rsid w:val="081A551B"/>
    <w:rsid w:val="081A561D"/>
    <w:rsid w:val="081A5698"/>
    <w:rsid w:val="081A572C"/>
    <w:rsid w:val="081A5772"/>
    <w:rsid w:val="081A577D"/>
    <w:rsid w:val="081A57C5"/>
    <w:rsid w:val="081A58A0"/>
    <w:rsid w:val="081A58B0"/>
    <w:rsid w:val="081A599C"/>
    <w:rsid w:val="081A5A0A"/>
    <w:rsid w:val="081A5A1D"/>
    <w:rsid w:val="081A5A79"/>
    <w:rsid w:val="081A5B37"/>
    <w:rsid w:val="081A5C1A"/>
    <w:rsid w:val="081A5C61"/>
    <w:rsid w:val="081A5E56"/>
    <w:rsid w:val="081A5F13"/>
    <w:rsid w:val="081A5FC7"/>
    <w:rsid w:val="081A601E"/>
    <w:rsid w:val="081A606A"/>
    <w:rsid w:val="081A606B"/>
    <w:rsid w:val="081A61E7"/>
    <w:rsid w:val="081A6321"/>
    <w:rsid w:val="081A63A2"/>
    <w:rsid w:val="081A63CA"/>
    <w:rsid w:val="081A63CC"/>
    <w:rsid w:val="081A63F4"/>
    <w:rsid w:val="081A6428"/>
    <w:rsid w:val="081A6451"/>
    <w:rsid w:val="081A64AA"/>
    <w:rsid w:val="081A64E7"/>
    <w:rsid w:val="081A6520"/>
    <w:rsid w:val="081A6533"/>
    <w:rsid w:val="081A659D"/>
    <w:rsid w:val="081A65D0"/>
    <w:rsid w:val="081A6696"/>
    <w:rsid w:val="081A66DE"/>
    <w:rsid w:val="081A675A"/>
    <w:rsid w:val="081A676F"/>
    <w:rsid w:val="081A6859"/>
    <w:rsid w:val="081A6865"/>
    <w:rsid w:val="081A6878"/>
    <w:rsid w:val="081A68D1"/>
    <w:rsid w:val="081A699A"/>
    <w:rsid w:val="081A6A80"/>
    <w:rsid w:val="081A6AD8"/>
    <w:rsid w:val="081A6AE6"/>
    <w:rsid w:val="081A6B8E"/>
    <w:rsid w:val="081A6C65"/>
    <w:rsid w:val="081A6D00"/>
    <w:rsid w:val="081A6D1B"/>
    <w:rsid w:val="081A6DE6"/>
    <w:rsid w:val="081A6E1F"/>
    <w:rsid w:val="081A6E25"/>
    <w:rsid w:val="081A6E59"/>
    <w:rsid w:val="081A70FE"/>
    <w:rsid w:val="081A71AF"/>
    <w:rsid w:val="081A71D2"/>
    <w:rsid w:val="081A7362"/>
    <w:rsid w:val="081A736A"/>
    <w:rsid w:val="081A7572"/>
    <w:rsid w:val="081A75C0"/>
    <w:rsid w:val="081A75F6"/>
    <w:rsid w:val="081A7634"/>
    <w:rsid w:val="081A7674"/>
    <w:rsid w:val="081A767E"/>
    <w:rsid w:val="081A76C6"/>
    <w:rsid w:val="081A76EC"/>
    <w:rsid w:val="081A7703"/>
    <w:rsid w:val="081A772C"/>
    <w:rsid w:val="081A778C"/>
    <w:rsid w:val="081A782B"/>
    <w:rsid w:val="081A7868"/>
    <w:rsid w:val="081A7896"/>
    <w:rsid w:val="081A789E"/>
    <w:rsid w:val="081A792D"/>
    <w:rsid w:val="081A793C"/>
    <w:rsid w:val="081A796F"/>
    <w:rsid w:val="081A79FD"/>
    <w:rsid w:val="081A7A58"/>
    <w:rsid w:val="081A7AB1"/>
    <w:rsid w:val="081A7B99"/>
    <w:rsid w:val="081A7BFC"/>
    <w:rsid w:val="081A7CAD"/>
    <w:rsid w:val="081A7CB2"/>
    <w:rsid w:val="081A7D2D"/>
    <w:rsid w:val="081A7F2A"/>
    <w:rsid w:val="081B011B"/>
    <w:rsid w:val="081B017A"/>
    <w:rsid w:val="081B0224"/>
    <w:rsid w:val="081B030C"/>
    <w:rsid w:val="081B038B"/>
    <w:rsid w:val="081B05D1"/>
    <w:rsid w:val="081B0648"/>
    <w:rsid w:val="081B0675"/>
    <w:rsid w:val="081B06BE"/>
    <w:rsid w:val="081B078D"/>
    <w:rsid w:val="081B088D"/>
    <w:rsid w:val="081B08AC"/>
    <w:rsid w:val="081B08B0"/>
    <w:rsid w:val="081B0925"/>
    <w:rsid w:val="081B0989"/>
    <w:rsid w:val="081B0AD3"/>
    <w:rsid w:val="081B0B15"/>
    <w:rsid w:val="081B0B97"/>
    <w:rsid w:val="081B0C35"/>
    <w:rsid w:val="081B0C79"/>
    <w:rsid w:val="081B0EB5"/>
    <w:rsid w:val="081B0EDB"/>
    <w:rsid w:val="081B0F2D"/>
    <w:rsid w:val="081B1030"/>
    <w:rsid w:val="081B1042"/>
    <w:rsid w:val="081B107E"/>
    <w:rsid w:val="081B10B0"/>
    <w:rsid w:val="081B10B3"/>
    <w:rsid w:val="081B110B"/>
    <w:rsid w:val="081B1131"/>
    <w:rsid w:val="081B1147"/>
    <w:rsid w:val="081B11DF"/>
    <w:rsid w:val="081B11F8"/>
    <w:rsid w:val="081B1202"/>
    <w:rsid w:val="081B121C"/>
    <w:rsid w:val="081B1287"/>
    <w:rsid w:val="081B12FC"/>
    <w:rsid w:val="081B1425"/>
    <w:rsid w:val="081B144A"/>
    <w:rsid w:val="081B14B2"/>
    <w:rsid w:val="081B1595"/>
    <w:rsid w:val="081B15C9"/>
    <w:rsid w:val="081B15D8"/>
    <w:rsid w:val="081B1646"/>
    <w:rsid w:val="081B1654"/>
    <w:rsid w:val="081B1681"/>
    <w:rsid w:val="081B1731"/>
    <w:rsid w:val="081B1750"/>
    <w:rsid w:val="081B1770"/>
    <w:rsid w:val="081B1995"/>
    <w:rsid w:val="081B19B5"/>
    <w:rsid w:val="081B19BE"/>
    <w:rsid w:val="081B19DF"/>
    <w:rsid w:val="081B1A10"/>
    <w:rsid w:val="081B1AAE"/>
    <w:rsid w:val="081B1B41"/>
    <w:rsid w:val="081B1B68"/>
    <w:rsid w:val="081B1B71"/>
    <w:rsid w:val="081B1C0D"/>
    <w:rsid w:val="081B1C63"/>
    <w:rsid w:val="081B1C6F"/>
    <w:rsid w:val="081B1CE8"/>
    <w:rsid w:val="081B1D98"/>
    <w:rsid w:val="081B1E27"/>
    <w:rsid w:val="081B1EF1"/>
    <w:rsid w:val="081B1F35"/>
    <w:rsid w:val="081B2063"/>
    <w:rsid w:val="081B20A8"/>
    <w:rsid w:val="081B20C0"/>
    <w:rsid w:val="081B20CE"/>
    <w:rsid w:val="081B2116"/>
    <w:rsid w:val="081B2132"/>
    <w:rsid w:val="081B228D"/>
    <w:rsid w:val="081B22C4"/>
    <w:rsid w:val="081B238A"/>
    <w:rsid w:val="081B23C3"/>
    <w:rsid w:val="081B23C6"/>
    <w:rsid w:val="081B23C9"/>
    <w:rsid w:val="081B240D"/>
    <w:rsid w:val="081B2431"/>
    <w:rsid w:val="081B24E8"/>
    <w:rsid w:val="081B24F0"/>
    <w:rsid w:val="081B256D"/>
    <w:rsid w:val="081B25A3"/>
    <w:rsid w:val="081B25BF"/>
    <w:rsid w:val="081B25C4"/>
    <w:rsid w:val="081B2633"/>
    <w:rsid w:val="081B273B"/>
    <w:rsid w:val="081B2745"/>
    <w:rsid w:val="081B2779"/>
    <w:rsid w:val="081B27AE"/>
    <w:rsid w:val="081B2848"/>
    <w:rsid w:val="081B2875"/>
    <w:rsid w:val="081B28EE"/>
    <w:rsid w:val="081B2929"/>
    <w:rsid w:val="081B29E6"/>
    <w:rsid w:val="081B2A35"/>
    <w:rsid w:val="081B2A54"/>
    <w:rsid w:val="081B2A85"/>
    <w:rsid w:val="081B2BA4"/>
    <w:rsid w:val="081B2BD5"/>
    <w:rsid w:val="081B2BDC"/>
    <w:rsid w:val="081B2C18"/>
    <w:rsid w:val="081B2C33"/>
    <w:rsid w:val="081B2CCF"/>
    <w:rsid w:val="081B2D55"/>
    <w:rsid w:val="081B2DBF"/>
    <w:rsid w:val="081B2EAA"/>
    <w:rsid w:val="081B2EBA"/>
    <w:rsid w:val="081B2EC7"/>
    <w:rsid w:val="081B2F47"/>
    <w:rsid w:val="081B2F66"/>
    <w:rsid w:val="081B2FA8"/>
    <w:rsid w:val="081B2FB7"/>
    <w:rsid w:val="081B2FD7"/>
    <w:rsid w:val="081B3040"/>
    <w:rsid w:val="081B3091"/>
    <w:rsid w:val="081B3132"/>
    <w:rsid w:val="081B3146"/>
    <w:rsid w:val="081B3173"/>
    <w:rsid w:val="081B31A4"/>
    <w:rsid w:val="081B3236"/>
    <w:rsid w:val="081B324E"/>
    <w:rsid w:val="081B3261"/>
    <w:rsid w:val="081B326A"/>
    <w:rsid w:val="081B32C8"/>
    <w:rsid w:val="081B338B"/>
    <w:rsid w:val="081B33AF"/>
    <w:rsid w:val="081B3400"/>
    <w:rsid w:val="081B3401"/>
    <w:rsid w:val="081B341F"/>
    <w:rsid w:val="081B3427"/>
    <w:rsid w:val="081B34A4"/>
    <w:rsid w:val="081B3526"/>
    <w:rsid w:val="081B3529"/>
    <w:rsid w:val="081B3554"/>
    <w:rsid w:val="081B367A"/>
    <w:rsid w:val="081B36AC"/>
    <w:rsid w:val="081B3711"/>
    <w:rsid w:val="081B3818"/>
    <w:rsid w:val="081B38C8"/>
    <w:rsid w:val="081B38D0"/>
    <w:rsid w:val="081B3959"/>
    <w:rsid w:val="081B3AF8"/>
    <w:rsid w:val="081B3B2C"/>
    <w:rsid w:val="081B3BA0"/>
    <w:rsid w:val="081B3BA9"/>
    <w:rsid w:val="081B3BB0"/>
    <w:rsid w:val="081B3C7A"/>
    <w:rsid w:val="081B3C99"/>
    <w:rsid w:val="081B3CB3"/>
    <w:rsid w:val="081B3CD5"/>
    <w:rsid w:val="081B3DDF"/>
    <w:rsid w:val="081B3FB1"/>
    <w:rsid w:val="081B3FDA"/>
    <w:rsid w:val="081B4051"/>
    <w:rsid w:val="081B4088"/>
    <w:rsid w:val="081B4094"/>
    <w:rsid w:val="081B4120"/>
    <w:rsid w:val="081B4125"/>
    <w:rsid w:val="081B416D"/>
    <w:rsid w:val="081B41C9"/>
    <w:rsid w:val="081B41F0"/>
    <w:rsid w:val="081B4229"/>
    <w:rsid w:val="081B44DE"/>
    <w:rsid w:val="081B4568"/>
    <w:rsid w:val="081B45AB"/>
    <w:rsid w:val="081B45BE"/>
    <w:rsid w:val="081B4660"/>
    <w:rsid w:val="081B47D2"/>
    <w:rsid w:val="081B4804"/>
    <w:rsid w:val="081B485C"/>
    <w:rsid w:val="081B488B"/>
    <w:rsid w:val="081B488D"/>
    <w:rsid w:val="081B48A8"/>
    <w:rsid w:val="081B48B7"/>
    <w:rsid w:val="081B4A06"/>
    <w:rsid w:val="081B4A3F"/>
    <w:rsid w:val="081B4AB9"/>
    <w:rsid w:val="081B4B2B"/>
    <w:rsid w:val="081B4C21"/>
    <w:rsid w:val="081B4C23"/>
    <w:rsid w:val="081B4CB8"/>
    <w:rsid w:val="081B4D80"/>
    <w:rsid w:val="081B4D83"/>
    <w:rsid w:val="081B4E50"/>
    <w:rsid w:val="081B4E96"/>
    <w:rsid w:val="081B4EA5"/>
    <w:rsid w:val="081B4EBC"/>
    <w:rsid w:val="081B4EFD"/>
    <w:rsid w:val="081B4F22"/>
    <w:rsid w:val="081B5008"/>
    <w:rsid w:val="081B501E"/>
    <w:rsid w:val="081B5069"/>
    <w:rsid w:val="081B5101"/>
    <w:rsid w:val="081B522B"/>
    <w:rsid w:val="081B5260"/>
    <w:rsid w:val="081B528A"/>
    <w:rsid w:val="081B52B2"/>
    <w:rsid w:val="081B531E"/>
    <w:rsid w:val="081B5349"/>
    <w:rsid w:val="081B5393"/>
    <w:rsid w:val="081B53AF"/>
    <w:rsid w:val="081B53B5"/>
    <w:rsid w:val="081B53C1"/>
    <w:rsid w:val="081B5468"/>
    <w:rsid w:val="081B55FF"/>
    <w:rsid w:val="081B56E3"/>
    <w:rsid w:val="081B56EE"/>
    <w:rsid w:val="081B57BA"/>
    <w:rsid w:val="081B5832"/>
    <w:rsid w:val="081B5938"/>
    <w:rsid w:val="081B595A"/>
    <w:rsid w:val="081B5963"/>
    <w:rsid w:val="081B597B"/>
    <w:rsid w:val="081B59FD"/>
    <w:rsid w:val="081B5A57"/>
    <w:rsid w:val="081B5AF4"/>
    <w:rsid w:val="081B5B9D"/>
    <w:rsid w:val="081B5BE6"/>
    <w:rsid w:val="081B5BED"/>
    <w:rsid w:val="081B5C13"/>
    <w:rsid w:val="081B5C18"/>
    <w:rsid w:val="081B5C30"/>
    <w:rsid w:val="081B5CC6"/>
    <w:rsid w:val="081B5D35"/>
    <w:rsid w:val="081B5D4C"/>
    <w:rsid w:val="081B5DA4"/>
    <w:rsid w:val="081B5DBF"/>
    <w:rsid w:val="081B5F7D"/>
    <w:rsid w:val="081B5FC2"/>
    <w:rsid w:val="081B6137"/>
    <w:rsid w:val="081B61DB"/>
    <w:rsid w:val="081B6246"/>
    <w:rsid w:val="081B6357"/>
    <w:rsid w:val="081B6476"/>
    <w:rsid w:val="081B6494"/>
    <w:rsid w:val="081B64CD"/>
    <w:rsid w:val="081B6521"/>
    <w:rsid w:val="081B6557"/>
    <w:rsid w:val="081B6605"/>
    <w:rsid w:val="081B66F6"/>
    <w:rsid w:val="081B681A"/>
    <w:rsid w:val="081B68E0"/>
    <w:rsid w:val="081B6902"/>
    <w:rsid w:val="081B6962"/>
    <w:rsid w:val="081B6990"/>
    <w:rsid w:val="081B69D1"/>
    <w:rsid w:val="081B6A31"/>
    <w:rsid w:val="081B6A5D"/>
    <w:rsid w:val="081B6B2B"/>
    <w:rsid w:val="081B6B52"/>
    <w:rsid w:val="081B6B6E"/>
    <w:rsid w:val="081B6BC9"/>
    <w:rsid w:val="081B6C74"/>
    <w:rsid w:val="081B6CFB"/>
    <w:rsid w:val="081B6D15"/>
    <w:rsid w:val="081B6E3A"/>
    <w:rsid w:val="081B6E63"/>
    <w:rsid w:val="081B6F55"/>
    <w:rsid w:val="081B6F69"/>
    <w:rsid w:val="081B6FC1"/>
    <w:rsid w:val="081B712D"/>
    <w:rsid w:val="081B7158"/>
    <w:rsid w:val="081B71C4"/>
    <w:rsid w:val="081B72AF"/>
    <w:rsid w:val="081B72D5"/>
    <w:rsid w:val="081B72F6"/>
    <w:rsid w:val="081B73C7"/>
    <w:rsid w:val="081B73F6"/>
    <w:rsid w:val="081B7421"/>
    <w:rsid w:val="081B7556"/>
    <w:rsid w:val="081B7677"/>
    <w:rsid w:val="081B7767"/>
    <w:rsid w:val="081B77F0"/>
    <w:rsid w:val="081B7840"/>
    <w:rsid w:val="081B785B"/>
    <w:rsid w:val="081B7907"/>
    <w:rsid w:val="081B794B"/>
    <w:rsid w:val="081B7952"/>
    <w:rsid w:val="081B7998"/>
    <w:rsid w:val="081B7A1F"/>
    <w:rsid w:val="081B7A45"/>
    <w:rsid w:val="081B7A7D"/>
    <w:rsid w:val="081B7B16"/>
    <w:rsid w:val="081B7B95"/>
    <w:rsid w:val="081B7BDB"/>
    <w:rsid w:val="081B7BE9"/>
    <w:rsid w:val="081B7BF4"/>
    <w:rsid w:val="081B7D19"/>
    <w:rsid w:val="081B7E09"/>
    <w:rsid w:val="081B7F51"/>
    <w:rsid w:val="081B7F7C"/>
    <w:rsid w:val="081B7FAB"/>
    <w:rsid w:val="081B7FBA"/>
    <w:rsid w:val="081B7FF9"/>
    <w:rsid w:val="081C00BB"/>
    <w:rsid w:val="081C00EE"/>
    <w:rsid w:val="081C00F1"/>
    <w:rsid w:val="081C010E"/>
    <w:rsid w:val="081C0146"/>
    <w:rsid w:val="081C014D"/>
    <w:rsid w:val="081C0154"/>
    <w:rsid w:val="081C0190"/>
    <w:rsid w:val="081C0199"/>
    <w:rsid w:val="081C0233"/>
    <w:rsid w:val="081C0248"/>
    <w:rsid w:val="081C030B"/>
    <w:rsid w:val="081C0371"/>
    <w:rsid w:val="081C05BB"/>
    <w:rsid w:val="081C07F3"/>
    <w:rsid w:val="081C0813"/>
    <w:rsid w:val="081C082B"/>
    <w:rsid w:val="081C083B"/>
    <w:rsid w:val="081C08AF"/>
    <w:rsid w:val="081C09AE"/>
    <w:rsid w:val="081C0A12"/>
    <w:rsid w:val="081C0A68"/>
    <w:rsid w:val="081C0AB8"/>
    <w:rsid w:val="081C0B6B"/>
    <w:rsid w:val="081C0BB6"/>
    <w:rsid w:val="081C0D08"/>
    <w:rsid w:val="081C0D86"/>
    <w:rsid w:val="081C0D8F"/>
    <w:rsid w:val="081C0DF5"/>
    <w:rsid w:val="081C0E01"/>
    <w:rsid w:val="081C0E53"/>
    <w:rsid w:val="081C0E89"/>
    <w:rsid w:val="081C0F05"/>
    <w:rsid w:val="081C0F14"/>
    <w:rsid w:val="081C0F5B"/>
    <w:rsid w:val="081C0FAE"/>
    <w:rsid w:val="081C104D"/>
    <w:rsid w:val="081C1052"/>
    <w:rsid w:val="081C10CB"/>
    <w:rsid w:val="081C11B3"/>
    <w:rsid w:val="081C1216"/>
    <w:rsid w:val="081C1236"/>
    <w:rsid w:val="081C124F"/>
    <w:rsid w:val="081C12AF"/>
    <w:rsid w:val="081C12BA"/>
    <w:rsid w:val="081C133D"/>
    <w:rsid w:val="081C13E9"/>
    <w:rsid w:val="081C15B0"/>
    <w:rsid w:val="081C15FD"/>
    <w:rsid w:val="081C16CC"/>
    <w:rsid w:val="081C1742"/>
    <w:rsid w:val="081C174A"/>
    <w:rsid w:val="081C1763"/>
    <w:rsid w:val="081C1771"/>
    <w:rsid w:val="081C17C2"/>
    <w:rsid w:val="081C17CE"/>
    <w:rsid w:val="081C1823"/>
    <w:rsid w:val="081C1832"/>
    <w:rsid w:val="081C187B"/>
    <w:rsid w:val="081C19FE"/>
    <w:rsid w:val="081C1A6B"/>
    <w:rsid w:val="081C1A80"/>
    <w:rsid w:val="081C1A82"/>
    <w:rsid w:val="081C1AE8"/>
    <w:rsid w:val="081C1B2B"/>
    <w:rsid w:val="081C1B69"/>
    <w:rsid w:val="081C1BC0"/>
    <w:rsid w:val="081C1BD8"/>
    <w:rsid w:val="081C1BF8"/>
    <w:rsid w:val="081C1C2B"/>
    <w:rsid w:val="081C1CDE"/>
    <w:rsid w:val="081C1DB6"/>
    <w:rsid w:val="081C1E4E"/>
    <w:rsid w:val="081C1E62"/>
    <w:rsid w:val="081C1EEA"/>
    <w:rsid w:val="081C1F19"/>
    <w:rsid w:val="081C1F9D"/>
    <w:rsid w:val="081C2107"/>
    <w:rsid w:val="081C222B"/>
    <w:rsid w:val="081C2406"/>
    <w:rsid w:val="081C2409"/>
    <w:rsid w:val="081C2565"/>
    <w:rsid w:val="081C25DE"/>
    <w:rsid w:val="081C261B"/>
    <w:rsid w:val="081C2657"/>
    <w:rsid w:val="081C26D4"/>
    <w:rsid w:val="081C2728"/>
    <w:rsid w:val="081C273D"/>
    <w:rsid w:val="081C282A"/>
    <w:rsid w:val="081C28C2"/>
    <w:rsid w:val="081C2906"/>
    <w:rsid w:val="081C293C"/>
    <w:rsid w:val="081C295C"/>
    <w:rsid w:val="081C2961"/>
    <w:rsid w:val="081C29A4"/>
    <w:rsid w:val="081C2B0D"/>
    <w:rsid w:val="081C2C53"/>
    <w:rsid w:val="081C2C88"/>
    <w:rsid w:val="081C2D68"/>
    <w:rsid w:val="081C2EA4"/>
    <w:rsid w:val="081C2EDA"/>
    <w:rsid w:val="081C2F02"/>
    <w:rsid w:val="081C2F84"/>
    <w:rsid w:val="081C3046"/>
    <w:rsid w:val="081C30BB"/>
    <w:rsid w:val="081C3110"/>
    <w:rsid w:val="081C3135"/>
    <w:rsid w:val="081C313E"/>
    <w:rsid w:val="081C3144"/>
    <w:rsid w:val="081C315A"/>
    <w:rsid w:val="081C3179"/>
    <w:rsid w:val="081C3226"/>
    <w:rsid w:val="081C3348"/>
    <w:rsid w:val="081C3373"/>
    <w:rsid w:val="081C3390"/>
    <w:rsid w:val="081C340C"/>
    <w:rsid w:val="081C3607"/>
    <w:rsid w:val="081C3683"/>
    <w:rsid w:val="081C3694"/>
    <w:rsid w:val="081C37F5"/>
    <w:rsid w:val="081C38AE"/>
    <w:rsid w:val="081C38CB"/>
    <w:rsid w:val="081C3954"/>
    <w:rsid w:val="081C3A5D"/>
    <w:rsid w:val="081C3A84"/>
    <w:rsid w:val="081C3AB6"/>
    <w:rsid w:val="081C3ABE"/>
    <w:rsid w:val="081C3B4F"/>
    <w:rsid w:val="081C3BE1"/>
    <w:rsid w:val="081C3C46"/>
    <w:rsid w:val="081C3CAB"/>
    <w:rsid w:val="081C3CC8"/>
    <w:rsid w:val="081C3CC9"/>
    <w:rsid w:val="081C3E01"/>
    <w:rsid w:val="081C3E25"/>
    <w:rsid w:val="081C3F1C"/>
    <w:rsid w:val="081C3FD4"/>
    <w:rsid w:val="081C4012"/>
    <w:rsid w:val="081C404D"/>
    <w:rsid w:val="081C408F"/>
    <w:rsid w:val="081C40CB"/>
    <w:rsid w:val="081C40F8"/>
    <w:rsid w:val="081C4195"/>
    <w:rsid w:val="081C41C6"/>
    <w:rsid w:val="081C41E8"/>
    <w:rsid w:val="081C4289"/>
    <w:rsid w:val="081C43BB"/>
    <w:rsid w:val="081C43CE"/>
    <w:rsid w:val="081C4473"/>
    <w:rsid w:val="081C4553"/>
    <w:rsid w:val="081C4606"/>
    <w:rsid w:val="081C47B5"/>
    <w:rsid w:val="081C47B8"/>
    <w:rsid w:val="081C47DB"/>
    <w:rsid w:val="081C47F1"/>
    <w:rsid w:val="081C48E0"/>
    <w:rsid w:val="081C4AB9"/>
    <w:rsid w:val="081C4B4F"/>
    <w:rsid w:val="081C4BFF"/>
    <w:rsid w:val="081C4D3C"/>
    <w:rsid w:val="081C4F27"/>
    <w:rsid w:val="081C4F76"/>
    <w:rsid w:val="081C4FF0"/>
    <w:rsid w:val="081C5213"/>
    <w:rsid w:val="081C523D"/>
    <w:rsid w:val="081C52DF"/>
    <w:rsid w:val="081C5373"/>
    <w:rsid w:val="081C53A4"/>
    <w:rsid w:val="081C5425"/>
    <w:rsid w:val="081C544C"/>
    <w:rsid w:val="081C54E6"/>
    <w:rsid w:val="081C5520"/>
    <w:rsid w:val="081C5573"/>
    <w:rsid w:val="081C5592"/>
    <w:rsid w:val="081C5615"/>
    <w:rsid w:val="081C56D0"/>
    <w:rsid w:val="081C5725"/>
    <w:rsid w:val="081C5AA0"/>
    <w:rsid w:val="081C5AC9"/>
    <w:rsid w:val="081C5C03"/>
    <w:rsid w:val="081C5CC0"/>
    <w:rsid w:val="081C5CC6"/>
    <w:rsid w:val="081C5D43"/>
    <w:rsid w:val="081C5D6E"/>
    <w:rsid w:val="081C5D7C"/>
    <w:rsid w:val="081C5E92"/>
    <w:rsid w:val="081C5FC1"/>
    <w:rsid w:val="081C5FE1"/>
    <w:rsid w:val="081C5FF9"/>
    <w:rsid w:val="081C6084"/>
    <w:rsid w:val="081C611F"/>
    <w:rsid w:val="081C6151"/>
    <w:rsid w:val="081C61A2"/>
    <w:rsid w:val="081C61E2"/>
    <w:rsid w:val="081C622C"/>
    <w:rsid w:val="081C6260"/>
    <w:rsid w:val="081C6290"/>
    <w:rsid w:val="081C633F"/>
    <w:rsid w:val="081C634E"/>
    <w:rsid w:val="081C63C5"/>
    <w:rsid w:val="081C63F9"/>
    <w:rsid w:val="081C6443"/>
    <w:rsid w:val="081C6458"/>
    <w:rsid w:val="081C6643"/>
    <w:rsid w:val="081C6850"/>
    <w:rsid w:val="081C6907"/>
    <w:rsid w:val="081C6973"/>
    <w:rsid w:val="081C698D"/>
    <w:rsid w:val="081C6A36"/>
    <w:rsid w:val="081C6A7F"/>
    <w:rsid w:val="081C6AA1"/>
    <w:rsid w:val="081C6B05"/>
    <w:rsid w:val="081C6B57"/>
    <w:rsid w:val="081C6B75"/>
    <w:rsid w:val="081C6BF2"/>
    <w:rsid w:val="081C6C26"/>
    <w:rsid w:val="081C6D0E"/>
    <w:rsid w:val="081C6D98"/>
    <w:rsid w:val="081C6E1C"/>
    <w:rsid w:val="081C6F51"/>
    <w:rsid w:val="081C6F8D"/>
    <w:rsid w:val="081C6FAF"/>
    <w:rsid w:val="081C6FC9"/>
    <w:rsid w:val="081C7001"/>
    <w:rsid w:val="081C7050"/>
    <w:rsid w:val="081C706E"/>
    <w:rsid w:val="081C70DA"/>
    <w:rsid w:val="081C7120"/>
    <w:rsid w:val="081C71E8"/>
    <w:rsid w:val="081C7245"/>
    <w:rsid w:val="081C7285"/>
    <w:rsid w:val="081C728D"/>
    <w:rsid w:val="081C72B3"/>
    <w:rsid w:val="081C72ED"/>
    <w:rsid w:val="081C730B"/>
    <w:rsid w:val="081C7324"/>
    <w:rsid w:val="081C736E"/>
    <w:rsid w:val="081C737E"/>
    <w:rsid w:val="081C745D"/>
    <w:rsid w:val="081C755D"/>
    <w:rsid w:val="081C7573"/>
    <w:rsid w:val="081C75EE"/>
    <w:rsid w:val="081C7687"/>
    <w:rsid w:val="081C771F"/>
    <w:rsid w:val="081C77F2"/>
    <w:rsid w:val="081C7801"/>
    <w:rsid w:val="081C780D"/>
    <w:rsid w:val="081C7876"/>
    <w:rsid w:val="081C7946"/>
    <w:rsid w:val="081C79D1"/>
    <w:rsid w:val="081C79EA"/>
    <w:rsid w:val="081C7A59"/>
    <w:rsid w:val="081C7B48"/>
    <w:rsid w:val="081C7BDF"/>
    <w:rsid w:val="081C7C08"/>
    <w:rsid w:val="081C7C80"/>
    <w:rsid w:val="081C7C99"/>
    <w:rsid w:val="081C7CDA"/>
    <w:rsid w:val="081C7DCF"/>
    <w:rsid w:val="081C7DF2"/>
    <w:rsid w:val="081C7ECB"/>
    <w:rsid w:val="081C7EE4"/>
    <w:rsid w:val="081C7F43"/>
    <w:rsid w:val="081D0029"/>
    <w:rsid w:val="081D018C"/>
    <w:rsid w:val="081D0228"/>
    <w:rsid w:val="081D0375"/>
    <w:rsid w:val="081D0394"/>
    <w:rsid w:val="081D0402"/>
    <w:rsid w:val="081D0451"/>
    <w:rsid w:val="081D0483"/>
    <w:rsid w:val="081D04A1"/>
    <w:rsid w:val="081D0536"/>
    <w:rsid w:val="081D0584"/>
    <w:rsid w:val="081D05A6"/>
    <w:rsid w:val="081D05B3"/>
    <w:rsid w:val="081D061C"/>
    <w:rsid w:val="081D07F8"/>
    <w:rsid w:val="081D09B3"/>
    <w:rsid w:val="081D0A1A"/>
    <w:rsid w:val="081D0A90"/>
    <w:rsid w:val="081D0AAF"/>
    <w:rsid w:val="081D0B46"/>
    <w:rsid w:val="081D0B51"/>
    <w:rsid w:val="081D0B76"/>
    <w:rsid w:val="081D0BD7"/>
    <w:rsid w:val="081D0C6F"/>
    <w:rsid w:val="081D0CB5"/>
    <w:rsid w:val="081D0D10"/>
    <w:rsid w:val="081D0DA1"/>
    <w:rsid w:val="081D0DA3"/>
    <w:rsid w:val="081D0DFB"/>
    <w:rsid w:val="081D0E44"/>
    <w:rsid w:val="081D0F03"/>
    <w:rsid w:val="081D0F76"/>
    <w:rsid w:val="081D0F79"/>
    <w:rsid w:val="081D0FA4"/>
    <w:rsid w:val="081D10CC"/>
    <w:rsid w:val="081D110E"/>
    <w:rsid w:val="081D125F"/>
    <w:rsid w:val="081D130D"/>
    <w:rsid w:val="081D1315"/>
    <w:rsid w:val="081D131D"/>
    <w:rsid w:val="081D1418"/>
    <w:rsid w:val="081D1467"/>
    <w:rsid w:val="081D14F0"/>
    <w:rsid w:val="081D151F"/>
    <w:rsid w:val="081D165B"/>
    <w:rsid w:val="081D16A8"/>
    <w:rsid w:val="081D1752"/>
    <w:rsid w:val="081D178F"/>
    <w:rsid w:val="081D17F0"/>
    <w:rsid w:val="081D1823"/>
    <w:rsid w:val="081D188F"/>
    <w:rsid w:val="081D18C8"/>
    <w:rsid w:val="081D1985"/>
    <w:rsid w:val="081D19F5"/>
    <w:rsid w:val="081D1A62"/>
    <w:rsid w:val="081D1A7C"/>
    <w:rsid w:val="081D1AB3"/>
    <w:rsid w:val="081D1C3D"/>
    <w:rsid w:val="081D1C40"/>
    <w:rsid w:val="081D1CD5"/>
    <w:rsid w:val="081D1D0F"/>
    <w:rsid w:val="081D1DC7"/>
    <w:rsid w:val="081D1ECD"/>
    <w:rsid w:val="081D1F22"/>
    <w:rsid w:val="081D1FEA"/>
    <w:rsid w:val="081D200A"/>
    <w:rsid w:val="081D20D6"/>
    <w:rsid w:val="081D2202"/>
    <w:rsid w:val="081D223F"/>
    <w:rsid w:val="081D2264"/>
    <w:rsid w:val="081D2295"/>
    <w:rsid w:val="081D234C"/>
    <w:rsid w:val="081D2401"/>
    <w:rsid w:val="081D2430"/>
    <w:rsid w:val="081D245E"/>
    <w:rsid w:val="081D2485"/>
    <w:rsid w:val="081D24DF"/>
    <w:rsid w:val="081D24F4"/>
    <w:rsid w:val="081D25A6"/>
    <w:rsid w:val="081D25DC"/>
    <w:rsid w:val="081D262E"/>
    <w:rsid w:val="081D268D"/>
    <w:rsid w:val="081D26B1"/>
    <w:rsid w:val="081D26F2"/>
    <w:rsid w:val="081D2742"/>
    <w:rsid w:val="081D277C"/>
    <w:rsid w:val="081D2814"/>
    <w:rsid w:val="081D2880"/>
    <w:rsid w:val="081D2894"/>
    <w:rsid w:val="081D28A4"/>
    <w:rsid w:val="081D28CE"/>
    <w:rsid w:val="081D2910"/>
    <w:rsid w:val="081D2A04"/>
    <w:rsid w:val="081D2AD8"/>
    <w:rsid w:val="081D2AF1"/>
    <w:rsid w:val="081D2AF3"/>
    <w:rsid w:val="081D2B05"/>
    <w:rsid w:val="081D2B68"/>
    <w:rsid w:val="081D2B7F"/>
    <w:rsid w:val="081D2B8F"/>
    <w:rsid w:val="081D2BAD"/>
    <w:rsid w:val="081D2C39"/>
    <w:rsid w:val="081D2D02"/>
    <w:rsid w:val="081D2D98"/>
    <w:rsid w:val="081D2DB4"/>
    <w:rsid w:val="081D2DFF"/>
    <w:rsid w:val="081D2E00"/>
    <w:rsid w:val="081D2E08"/>
    <w:rsid w:val="081D2E80"/>
    <w:rsid w:val="081D2F1F"/>
    <w:rsid w:val="081D2F78"/>
    <w:rsid w:val="081D2FA8"/>
    <w:rsid w:val="081D300B"/>
    <w:rsid w:val="081D3116"/>
    <w:rsid w:val="081D3138"/>
    <w:rsid w:val="081D3147"/>
    <w:rsid w:val="081D3182"/>
    <w:rsid w:val="081D3185"/>
    <w:rsid w:val="081D31F8"/>
    <w:rsid w:val="081D3304"/>
    <w:rsid w:val="081D3343"/>
    <w:rsid w:val="081D3366"/>
    <w:rsid w:val="081D34BE"/>
    <w:rsid w:val="081D351D"/>
    <w:rsid w:val="081D37A6"/>
    <w:rsid w:val="081D37D5"/>
    <w:rsid w:val="081D3808"/>
    <w:rsid w:val="081D382A"/>
    <w:rsid w:val="081D3912"/>
    <w:rsid w:val="081D3926"/>
    <w:rsid w:val="081D39B6"/>
    <w:rsid w:val="081D39E2"/>
    <w:rsid w:val="081D3B09"/>
    <w:rsid w:val="081D3B1D"/>
    <w:rsid w:val="081D3B31"/>
    <w:rsid w:val="081D3B60"/>
    <w:rsid w:val="081D3DEB"/>
    <w:rsid w:val="081D3E49"/>
    <w:rsid w:val="081D3E4E"/>
    <w:rsid w:val="081D3EC8"/>
    <w:rsid w:val="081D3F0B"/>
    <w:rsid w:val="081D3FA0"/>
    <w:rsid w:val="081D403C"/>
    <w:rsid w:val="081D4078"/>
    <w:rsid w:val="081D418F"/>
    <w:rsid w:val="081D41BC"/>
    <w:rsid w:val="081D427A"/>
    <w:rsid w:val="081D4460"/>
    <w:rsid w:val="081D4517"/>
    <w:rsid w:val="081D456A"/>
    <w:rsid w:val="081D45B6"/>
    <w:rsid w:val="081D461D"/>
    <w:rsid w:val="081D464D"/>
    <w:rsid w:val="081D46A6"/>
    <w:rsid w:val="081D46FD"/>
    <w:rsid w:val="081D4708"/>
    <w:rsid w:val="081D4745"/>
    <w:rsid w:val="081D4790"/>
    <w:rsid w:val="081D4793"/>
    <w:rsid w:val="081D486B"/>
    <w:rsid w:val="081D498A"/>
    <w:rsid w:val="081D49BA"/>
    <w:rsid w:val="081D4A0E"/>
    <w:rsid w:val="081D4ABB"/>
    <w:rsid w:val="081D4ADE"/>
    <w:rsid w:val="081D4B33"/>
    <w:rsid w:val="081D4DF3"/>
    <w:rsid w:val="081D4EA0"/>
    <w:rsid w:val="081D4EB3"/>
    <w:rsid w:val="081D4F19"/>
    <w:rsid w:val="081D4F1F"/>
    <w:rsid w:val="081D4F87"/>
    <w:rsid w:val="081D4FEA"/>
    <w:rsid w:val="081D5075"/>
    <w:rsid w:val="081D50DC"/>
    <w:rsid w:val="081D51A3"/>
    <w:rsid w:val="081D51B3"/>
    <w:rsid w:val="081D5258"/>
    <w:rsid w:val="081D529F"/>
    <w:rsid w:val="081D52A1"/>
    <w:rsid w:val="081D52B1"/>
    <w:rsid w:val="081D52C8"/>
    <w:rsid w:val="081D54C6"/>
    <w:rsid w:val="081D54FD"/>
    <w:rsid w:val="081D5564"/>
    <w:rsid w:val="081D5645"/>
    <w:rsid w:val="081D56A2"/>
    <w:rsid w:val="081D5734"/>
    <w:rsid w:val="081D58B6"/>
    <w:rsid w:val="081D58F2"/>
    <w:rsid w:val="081D5963"/>
    <w:rsid w:val="081D596C"/>
    <w:rsid w:val="081D5AA7"/>
    <w:rsid w:val="081D5BD7"/>
    <w:rsid w:val="081D5C38"/>
    <w:rsid w:val="081D5C6E"/>
    <w:rsid w:val="081D5CBB"/>
    <w:rsid w:val="081D5D0B"/>
    <w:rsid w:val="081D5EB9"/>
    <w:rsid w:val="081D5FA4"/>
    <w:rsid w:val="081D6112"/>
    <w:rsid w:val="081D6171"/>
    <w:rsid w:val="081D6200"/>
    <w:rsid w:val="081D6250"/>
    <w:rsid w:val="081D627C"/>
    <w:rsid w:val="081D629C"/>
    <w:rsid w:val="081D6322"/>
    <w:rsid w:val="081D63E5"/>
    <w:rsid w:val="081D6507"/>
    <w:rsid w:val="081D6645"/>
    <w:rsid w:val="081D66FC"/>
    <w:rsid w:val="081D675F"/>
    <w:rsid w:val="081D67C5"/>
    <w:rsid w:val="081D6802"/>
    <w:rsid w:val="081D68BD"/>
    <w:rsid w:val="081D68DE"/>
    <w:rsid w:val="081D6A57"/>
    <w:rsid w:val="081D6AAD"/>
    <w:rsid w:val="081D6AFA"/>
    <w:rsid w:val="081D6B01"/>
    <w:rsid w:val="081D6BAB"/>
    <w:rsid w:val="081D6C04"/>
    <w:rsid w:val="081D6C74"/>
    <w:rsid w:val="081D6C9D"/>
    <w:rsid w:val="081D6CE6"/>
    <w:rsid w:val="081D6CE8"/>
    <w:rsid w:val="081D6D2F"/>
    <w:rsid w:val="081D6D35"/>
    <w:rsid w:val="081D6D49"/>
    <w:rsid w:val="081D6D5F"/>
    <w:rsid w:val="081D6F29"/>
    <w:rsid w:val="081D7025"/>
    <w:rsid w:val="081D7207"/>
    <w:rsid w:val="081D7258"/>
    <w:rsid w:val="081D72D9"/>
    <w:rsid w:val="081D7301"/>
    <w:rsid w:val="081D7369"/>
    <w:rsid w:val="081D73F0"/>
    <w:rsid w:val="081D745E"/>
    <w:rsid w:val="081D7488"/>
    <w:rsid w:val="081D758B"/>
    <w:rsid w:val="081D75BD"/>
    <w:rsid w:val="081D75FB"/>
    <w:rsid w:val="081D7650"/>
    <w:rsid w:val="081D7672"/>
    <w:rsid w:val="081D769B"/>
    <w:rsid w:val="081D7714"/>
    <w:rsid w:val="081D771E"/>
    <w:rsid w:val="081D776F"/>
    <w:rsid w:val="081D77CF"/>
    <w:rsid w:val="081D77E0"/>
    <w:rsid w:val="081D7836"/>
    <w:rsid w:val="081D78F7"/>
    <w:rsid w:val="081D7954"/>
    <w:rsid w:val="081D7997"/>
    <w:rsid w:val="081D7A15"/>
    <w:rsid w:val="081D7BD9"/>
    <w:rsid w:val="081D7C0C"/>
    <w:rsid w:val="081D7C57"/>
    <w:rsid w:val="081D7CA9"/>
    <w:rsid w:val="081D7D85"/>
    <w:rsid w:val="081D7E69"/>
    <w:rsid w:val="081D7E73"/>
    <w:rsid w:val="081D7ED1"/>
    <w:rsid w:val="081D7F2A"/>
    <w:rsid w:val="081D7F55"/>
    <w:rsid w:val="081D7F92"/>
    <w:rsid w:val="081D7FC5"/>
    <w:rsid w:val="081D7FEC"/>
    <w:rsid w:val="081D7FF4"/>
    <w:rsid w:val="081E01B3"/>
    <w:rsid w:val="081E0248"/>
    <w:rsid w:val="081E026F"/>
    <w:rsid w:val="081E02D9"/>
    <w:rsid w:val="081E031D"/>
    <w:rsid w:val="081E0341"/>
    <w:rsid w:val="081E038B"/>
    <w:rsid w:val="081E039D"/>
    <w:rsid w:val="081E0451"/>
    <w:rsid w:val="081E0555"/>
    <w:rsid w:val="081E06E6"/>
    <w:rsid w:val="081E0737"/>
    <w:rsid w:val="081E07EB"/>
    <w:rsid w:val="081E080B"/>
    <w:rsid w:val="081E0812"/>
    <w:rsid w:val="081E0819"/>
    <w:rsid w:val="081E084D"/>
    <w:rsid w:val="081E0852"/>
    <w:rsid w:val="081E0900"/>
    <w:rsid w:val="081E0919"/>
    <w:rsid w:val="081E0A86"/>
    <w:rsid w:val="081E0A9A"/>
    <w:rsid w:val="081E0AF0"/>
    <w:rsid w:val="081E0B1A"/>
    <w:rsid w:val="081E0B94"/>
    <w:rsid w:val="081E0BDC"/>
    <w:rsid w:val="081E0BF7"/>
    <w:rsid w:val="081E0C97"/>
    <w:rsid w:val="081E0C9C"/>
    <w:rsid w:val="081E0E0A"/>
    <w:rsid w:val="081E0E3A"/>
    <w:rsid w:val="081E0EE5"/>
    <w:rsid w:val="081E0F6C"/>
    <w:rsid w:val="081E0F6E"/>
    <w:rsid w:val="081E0FCC"/>
    <w:rsid w:val="081E0FD6"/>
    <w:rsid w:val="081E1002"/>
    <w:rsid w:val="081E10C5"/>
    <w:rsid w:val="081E10E0"/>
    <w:rsid w:val="081E11B7"/>
    <w:rsid w:val="081E11C5"/>
    <w:rsid w:val="081E11E1"/>
    <w:rsid w:val="081E1250"/>
    <w:rsid w:val="081E1264"/>
    <w:rsid w:val="081E1274"/>
    <w:rsid w:val="081E12AB"/>
    <w:rsid w:val="081E1347"/>
    <w:rsid w:val="081E1429"/>
    <w:rsid w:val="081E143D"/>
    <w:rsid w:val="081E1495"/>
    <w:rsid w:val="081E14A9"/>
    <w:rsid w:val="081E154B"/>
    <w:rsid w:val="081E1565"/>
    <w:rsid w:val="081E15BD"/>
    <w:rsid w:val="081E15DF"/>
    <w:rsid w:val="081E1618"/>
    <w:rsid w:val="081E16B2"/>
    <w:rsid w:val="081E16E6"/>
    <w:rsid w:val="081E16EF"/>
    <w:rsid w:val="081E17FD"/>
    <w:rsid w:val="081E1823"/>
    <w:rsid w:val="081E18B4"/>
    <w:rsid w:val="081E191C"/>
    <w:rsid w:val="081E19C6"/>
    <w:rsid w:val="081E19E9"/>
    <w:rsid w:val="081E1A18"/>
    <w:rsid w:val="081E1A2A"/>
    <w:rsid w:val="081E1A4C"/>
    <w:rsid w:val="081E1A56"/>
    <w:rsid w:val="081E1B11"/>
    <w:rsid w:val="081E1C37"/>
    <w:rsid w:val="081E1C52"/>
    <w:rsid w:val="081E1C6D"/>
    <w:rsid w:val="081E1D85"/>
    <w:rsid w:val="081E1E6F"/>
    <w:rsid w:val="081E1E81"/>
    <w:rsid w:val="081E1E82"/>
    <w:rsid w:val="081E1F1C"/>
    <w:rsid w:val="081E1F39"/>
    <w:rsid w:val="081E1FEC"/>
    <w:rsid w:val="081E2039"/>
    <w:rsid w:val="081E214A"/>
    <w:rsid w:val="081E21EE"/>
    <w:rsid w:val="081E2224"/>
    <w:rsid w:val="081E223A"/>
    <w:rsid w:val="081E229B"/>
    <w:rsid w:val="081E230B"/>
    <w:rsid w:val="081E237B"/>
    <w:rsid w:val="081E258C"/>
    <w:rsid w:val="081E265C"/>
    <w:rsid w:val="081E2677"/>
    <w:rsid w:val="081E27CC"/>
    <w:rsid w:val="081E2823"/>
    <w:rsid w:val="081E289D"/>
    <w:rsid w:val="081E28B7"/>
    <w:rsid w:val="081E29CF"/>
    <w:rsid w:val="081E2AA1"/>
    <w:rsid w:val="081E2B5A"/>
    <w:rsid w:val="081E2C82"/>
    <w:rsid w:val="081E2D2B"/>
    <w:rsid w:val="081E2D74"/>
    <w:rsid w:val="081E2D8A"/>
    <w:rsid w:val="081E2E15"/>
    <w:rsid w:val="081E2EAF"/>
    <w:rsid w:val="081E2ED7"/>
    <w:rsid w:val="081E2F88"/>
    <w:rsid w:val="081E2FE1"/>
    <w:rsid w:val="081E3063"/>
    <w:rsid w:val="081E319F"/>
    <w:rsid w:val="081E31AE"/>
    <w:rsid w:val="081E32E8"/>
    <w:rsid w:val="081E3377"/>
    <w:rsid w:val="081E343A"/>
    <w:rsid w:val="081E3459"/>
    <w:rsid w:val="081E34E8"/>
    <w:rsid w:val="081E356B"/>
    <w:rsid w:val="081E3611"/>
    <w:rsid w:val="081E363A"/>
    <w:rsid w:val="081E367B"/>
    <w:rsid w:val="081E3701"/>
    <w:rsid w:val="081E3703"/>
    <w:rsid w:val="081E3715"/>
    <w:rsid w:val="081E377D"/>
    <w:rsid w:val="081E3883"/>
    <w:rsid w:val="081E38E9"/>
    <w:rsid w:val="081E3A45"/>
    <w:rsid w:val="081E3ADD"/>
    <w:rsid w:val="081E3AEE"/>
    <w:rsid w:val="081E3B2C"/>
    <w:rsid w:val="081E3B65"/>
    <w:rsid w:val="081E3B67"/>
    <w:rsid w:val="081E3C49"/>
    <w:rsid w:val="081E3C74"/>
    <w:rsid w:val="081E3CD6"/>
    <w:rsid w:val="081E3D33"/>
    <w:rsid w:val="081E3DEC"/>
    <w:rsid w:val="081E3E3E"/>
    <w:rsid w:val="081E3FB0"/>
    <w:rsid w:val="081E402D"/>
    <w:rsid w:val="081E40B0"/>
    <w:rsid w:val="081E40D1"/>
    <w:rsid w:val="081E41A5"/>
    <w:rsid w:val="081E41BA"/>
    <w:rsid w:val="081E4211"/>
    <w:rsid w:val="081E4307"/>
    <w:rsid w:val="081E43CC"/>
    <w:rsid w:val="081E44EF"/>
    <w:rsid w:val="081E4501"/>
    <w:rsid w:val="081E450A"/>
    <w:rsid w:val="081E458F"/>
    <w:rsid w:val="081E45A4"/>
    <w:rsid w:val="081E469B"/>
    <w:rsid w:val="081E47F3"/>
    <w:rsid w:val="081E4812"/>
    <w:rsid w:val="081E4844"/>
    <w:rsid w:val="081E486B"/>
    <w:rsid w:val="081E48BA"/>
    <w:rsid w:val="081E48E1"/>
    <w:rsid w:val="081E490B"/>
    <w:rsid w:val="081E4953"/>
    <w:rsid w:val="081E4AFA"/>
    <w:rsid w:val="081E4B26"/>
    <w:rsid w:val="081E4B70"/>
    <w:rsid w:val="081E4B74"/>
    <w:rsid w:val="081E4C05"/>
    <w:rsid w:val="081E4C17"/>
    <w:rsid w:val="081E4D47"/>
    <w:rsid w:val="081E4D55"/>
    <w:rsid w:val="081E4D91"/>
    <w:rsid w:val="081E4D95"/>
    <w:rsid w:val="081E4E11"/>
    <w:rsid w:val="081E4E8E"/>
    <w:rsid w:val="081E5009"/>
    <w:rsid w:val="081E5028"/>
    <w:rsid w:val="081E5044"/>
    <w:rsid w:val="081E5221"/>
    <w:rsid w:val="081E523F"/>
    <w:rsid w:val="081E5253"/>
    <w:rsid w:val="081E5277"/>
    <w:rsid w:val="081E5382"/>
    <w:rsid w:val="081E53ED"/>
    <w:rsid w:val="081E5416"/>
    <w:rsid w:val="081E552D"/>
    <w:rsid w:val="081E5689"/>
    <w:rsid w:val="081E56C3"/>
    <w:rsid w:val="081E56DA"/>
    <w:rsid w:val="081E5711"/>
    <w:rsid w:val="081E5742"/>
    <w:rsid w:val="081E5793"/>
    <w:rsid w:val="081E57D9"/>
    <w:rsid w:val="081E5903"/>
    <w:rsid w:val="081E598A"/>
    <w:rsid w:val="081E5A24"/>
    <w:rsid w:val="081E5A73"/>
    <w:rsid w:val="081E5A8B"/>
    <w:rsid w:val="081E5ACF"/>
    <w:rsid w:val="081E5AD1"/>
    <w:rsid w:val="081E5BD2"/>
    <w:rsid w:val="081E5C9D"/>
    <w:rsid w:val="081E5CC9"/>
    <w:rsid w:val="081E5CD5"/>
    <w:rsid w:val="081E5FEB"/>
    <w:rsid w:val="081E60BC"/>
    <w:rsid w:val="081E61EE"/>
    <w:rsid w:val="081E631F"/>
    <w:rsid w:val="081E6377"/>
    <w:rsid w:val="081E6557"/>
    <w:rsid w:val="081E656C"/>
    <w:rsid w:val="081E6571"/>
    <w:rsid w:val="081E65A2"/>
    <w:rsid w:val="081E6741"/>
    <w:rsid w:val="081E674D"/>
    <w:rsid w:val="081E67A9"/>
    <w:rsid w:val="081E68A1"/>
    <w:rsid w:val="081E6942"/>
    <w:rsid w:val="081E699E"/>
    <w:rsid w:val="081E69A9"/>
    <w:rsid w:val="081E6A5F"/>
    <w:rsid w:val="081E6AEB"/>
    <w:rsid w:val="081E6BB3"/>
    <w:rsid w:val="081E6BB4"/>
    <w:rsid w:val="081E6C16"/>
    <w:rsid w:val="081E6DBC"/>
    <w:rsid w:val="081E6DC2"/>
    <w:rsid w:val="081E6E0E"/>
    <w:rsid w:val="081E6E14"/>
    <w:rsid w:val="081E6FD0"/>
    <w:rsid w:val="081E703E"/>
    <w:rsid w:val="081E7113"/>
    <w:rsid w:val="081E7132"/>
    <w:rsid w:val="081E7242"/>
    <w:rsid w:val="081E724D"/>
    <w:rsid w:val="081E7286"/>
    <w:rsid w:val="081E7297"/>
    <w:rsid w:val="081E72BD"/>
    <w:rsid w:val="081E732D"/>
    <w:rsid w:val="081E7333"/>
    <w:rsid w:val="081E74D6"/>
    <w:rsid w:val="081E74D9"/>
    <w:rsid w:val="081E7559"/>
    <w:rsid w:val="081E75E8"/>
    <w:rsid w:val="081E7634"/>
    <w:rsid w:val="081E76FB"/>
    <w:rsid w:val="081E777A"/>
    <w:rsid w:val="081E77A0"/>
    <w:rsid w:val="081E787B"/>
    <w:rsid w:val="081E7950"/>
    <w:rsid w:val="081E7A21"/>
    <w:rsid w:val="081E7A26"/>
    <w:rsid w:val="081E7A8A"/>
    <w:rsid w:val="081E7ABF"/>
    <w:rsid w:val="081E7B65"/>
    <w:rsid w:val="081E7B7A"/>
    <w:rsid w:val="081E7BD6"/>
    <w:rsid w:val="081E7CC0"/>
    <w:rsid w:val="081E7D2B"/>
    <w:rsid w:val="081E7DC0"/>
    <w:rsid w:val="081E7DE7"/>
    <w:rsid w:val="081E7E09"/>
    <w:rsid w:val="081E7E54"/>
    <w:rsid w:val="081E7E67"/>
    <w:rsid w:val="081E7ECE"/>
    <w:rsid w:val="081E7F78"/>
    <w:rsid w:val="081F001F"/>
    <w:rsid w:val="081F0085"/>
    <w:rsid w:val="081F00EA"/>
    <w:rsid w:val="081F00F5"/>
    <w:rsid w:val="081F0151"/>
    <w:rsid w:val="081F0344"/>
    <w:rsid w:val="081F03CC"/>
    <w:rsid w:val="081F0473"/>
    <w:rsid w:val="081F0491"/>
    <w:rsid w:val="081F0519"/>
    <w:rsid w:val="081F052D"/>
    <w:rsid w:val="081F0589"/>
    <w:rsid w:val="081F059E"/>
    <w:rsid w:val="081F05DC"/>
    <w:rsid w:val="081F063D"/>
    <w:rsid w:val="081F0656"/>
    <w:rsid w:val="081F068E"/>
    <w:rsid w:val="081F07A6"/>
    <w:rsid w:val="081F07BE"/>
    <w:rsid w:val="081F082C"/>
    <w:rsid w:val="081F088D"/>
    <w:rsid w:val="081F089B"/>
    <w:rsid w:val="081F08A0"/>
    <w:rsid w:val="081F08C0"/>
    <w:rsid w:val="081F0965"/>
    <w:rsid w:val="081F0A7B"/>
    <w:rsid w:val="081F0C30"/>
    <w:rsid w:val="081F0C37"/>
    <w:rsid w:val="081F0D36"/>
    <w:rsid w:val="081F0E0A"/>
    <w:rsid w:val="081F0E54"/>
    <w:rsid w:val="081F0E80"/>
    <w:rsid w:val="081F0F40"/>
    <w:rsid w:val="081F0FED"/>
    <w:rsid w:val="081F10B0"/>
    <w:rsid w:val="081F10CE"/>
    <w:rsid w:val="081F1134"/>
    <w:rsid w:val="081F1159"/>
    <w:rsid w:val="081F1161"/>
    <w:rsid w:val="081F1179"/>
    <w:rsid w:val="081F11DC"/>
    <w:rsid w:val="081F1209"/>
    <w:rsid w:val="081F123D"/>
    <w:rsid w:val="081F1274"/>
    <w:rsid w:val="081F1289"/>
    <w:rsid w:val="081F128D"/>
    <w:rsid w:val="081F12CD"/>
    <w:rsid w:val="081F12D3"/>
    <w:rsid w:val="081F1303"/>
    <w:rsid w:val="081F130E"/>
    <w:rsid w:val="081F1317"/>
    <w:rsid w:val="081F138F"/>
    <w:rsid w:val="081F1408"/>
    <w:rsid w:val="081F1486"/>
    <w:rsid w:val="081F1491"/>
    <w:rsid w:val="081F1514"/>
    <w:rsid w:val="081F164A"/>
    <w:rsid w:val="081F1682"/>
    <w:rsid w:val="081F171F"/>
    <w:rsid w:val="081F1738"/>
    <w:rsid w:val="081F1800"/>
    <w:rsid w:val="081F1869"/>
    <w:rsid w:val="081F18B2"/>
    <w:rsid w:val="081F1A04"/>
    <w:rsid w:val="081F1A97"/>
    <w:rsid w:val="081F1AA1"/>
    <w:rsid w:val="081F1C64"/>
    <w:rsid w:val="081F1CBD"/>
    <w:rsid w:val="081F1DA1"/>
    <w:rsid w:val="081F1DB7"/>
    <w:rsid w:val="081F1DD0"/>
    <w:rsid w:val="081F1EF7"/>
    <w:rsid w:val="081F1F5E"/>
    <w:rsid w:val="081F1FA0"/>
    <w:rsid w:val="081F2069"/>
    <w:rsid w:val="081F20D0"/>
    <w:rsid w:val="081F2103"/>
    <w:rsid w:val="081F212C"/>
    <w:rsid w:val="081F2184"/>
    <w:rsid w:val="081F21FC"/>
    <w:rsid w:val="081F2228"/>
    <w:rsid w:val="081F22E8"/>
    <w:rsid w:val="081F22F2"/>
    <w:rsid w:val="081F251B"/>
    <w:rsid w:val="081F253B"/>
    <w:rsid w:val="081F2581"/>
    <w:rsid w:val="081F25B7"/>
    <w:rsid w:val="081F2884"/>
    <w:rsid w:val="081F2892"/>
    <w:rsid w:val="081F28B9"/>
    <w:rsid w:val="081F2980"/>
    <w:rsid w:val="081F2A0D"/>
    <w:rsid w:val="081F2A26"/>
    <w:rsid w:val="081F2A3D"/>
    <w:rsid w:val="081F2B86"/>
    <w:rsid w:val="081F2BD3"/>
    <w:rsid w:val="081F2C09"/>
    <w:rsid w:val="081F2C1A"/>
    <w:rsid w:val="081F2C35"/>
    <w:rsid w:val="081F2C5B"/>
    <w:rsid w:val="081F2C7E"/>
    <w:rsid w:val="081F2CA7"/>
    <w:rsid w:val="081F2DBB"/>
    <w:rsid w:val="081F2DCF"/>
    <w:rsid w:val="081F2DEB"/>
    <w:rsid w:val="081F2EB4"/>
    <w:rsid w:val="081F2F9D"/>
    <w:rsid w:val="081F304A"/>
    <w:rsid w:val="081F307F"/>
    <w:rsid w:val="081F30B0"/>
    <w:rsid w:val="081F30F7"/>
    <w:rsid w:val="081F313A"/>
    <w:rsid w:val="081F324C"/>
    <w:rsid w:val="081F32A3"/>
    <w:rsid w:val="081F32E0"/>
    <w:rsid w:val="081F3383"/>
    <w:rsid w:val="081F339C"/>
    <w:rsid w:val="081F339D"/>
    <w:rsid w:val="081F33DF"/>
    <w:rsid w:val="081F350B"/>
    <w:rsid w:val="081F355A"/>
    <w:rsid w:val="081F3688"/>
    <w:rsid w:val="081F36BF"/>
    <w:rsid w:val="081F36D3"/>
    <w:rsid w:val="081F370B"/>
    <w:rsid w:val="081F3835"/>
    <w:rsid w:val="081F3836"/>
    <w:rsid w:val="081F3837"/>
    <w:rsid w:val="081F3932"/>
    <w:rsid w:val="081F3A3E"/>
    <w:rsid w:val="081F3AB2"/>
    <w:rsid w:val="081F3B68"/>
    <w:rsid w:val="081F3BF9"/>
    <w:rsid w:val="081F3C52"/>
    <w:rsid w:val="081F3CD1"/>
    <w:rsid w:val="081F3D16"/>
    <w:rsid w:val="081F3DA6"/>
    <w:rsid w:val="081F3E5C"/>
    <w:rsid w:val="081F3EAF"/>
    <w:rsid w:val="081F3EC5"/>
    <w:rsid w:val="081F3F5A"/>
    <w:rsid w:val="081F3F6E"/>
    <w:rsid w:val="081F3F80"/>
    <w:rsid w:val="081F3F9F"/>
    <w:rsid w:val="081F3FBC"/>
    <w:rsid w:val="081F3FD5"/>
    <w:rsid w:val="081F4085"/>
    <w:rsid w:val="081F4095"/>
    <w:rsid w:val="081F40AC"/>
    <w:rsid w:val="081F410A"/>
    <w:rsid w:val="081F4175"/>
    <w:rsid w:val="081F424E"/>
    <w:rsid w:val="081F43DD"/>
    <w:rsid w:val="081F43E1"/>
    <w:rsid w:val="081F43F4"/>
    <w:rsid w:val="081F441A"/>
    <w:rsid w:val="081F4516"/>
    <w:rsid w:val="081F45B0"/>
    <w:rsid w:val="081F45DD"/>
    <w:rsid w:val="081F45EE"/>
    <w:rsid w:val="081F460D"/>
    <w:rsid w:val="081F4658"/>
    <w:rsid w:val="081F4714"/>
    <w:rsid w:val="081F4801"/>
    <w:rsid w:val="081F4892"/>
    <w:rsid w:val="081F48CB"/>
    <w:rsid w:val="081F4997"/>
    <w:rsid w:val="081F4AAC"/>
    <w:rsid w:val="081F4AF0"/>
    <w:rsid w:val="081F4B66"/>
    <w:rsid w:val="081F4C0F"/>
    <w:rsid w:val="081F4CC8"/>
    <w:rsid w:val="081F4D35"/>
    <w:rsid w:val="081F4E1F"/>
    <w:rsid w:val="081F4E6A"/>
    <w:rsid w:val="081F4E9E"/>
    <w:rsid w:val="081F4F04"/>
    <w:rsid w:val="081F4F13"/>
    <w:rsid w:val="081F4F1A"/>
    <w:rsid w:val="081F4FF2"/>
    <w:rsid w:val="081F5061"/>
    <w:rsid w:val="081F5384"/>
    <w:rsid w:val="081F5425"/>
    <w:rsid w:val="081F560F"/>
    <w:rsid w:val="081F561C"/>
    <w:rsid w:val="081F566E"/>
    <w:rsid w:val="081F5786"/>
    <w:rsid w:val="081F578D"/>
    <w:rsid w:val="081F57AF"/>
    <w:rsid w:val="081F5804"/>
    <w:rsid w:val="081F5909"/>
    <w:rsid w:val="081F5949"/>
    <w:rsid w:val="081F5A02"/>
    <w:rsid w:val="081F5A34"/>
    <w:rsid w:val="081F5AE0"/>
    <w:rsid w:val="081F5B4D"/>
    <w:rsid w:val="081F5B6A"/>
    <w:rsid w:val="081F5C5C"/>
    <w:rsid w:val="081F5D23"/>
    <w:rsid w:val="081F5E2F"/>
    <w:rsid w:val="081F5E7C"/>
    <w:rsid w:val="081F5EEE"/>
    <w:rsid w:val="081F602D"/>
    <w:rsid w:val="081F61CD"/>
    <w:rsid w:val="081F621A"/>
    <w:rsid w:val="081F64BA"/>
    <w:rsid w:val="081F6730"/>
    <w:rsid w:val="081F680F"/>
    <w:rsid w:val="081F6820"/>
    <w:rsid w:val="081F6849"/>
    <w:rsid w:val="081F68EE"/>
    <w:rsid w:val="081F6A32"/>
    <w:rsid w:val="081F6A96"/>
    <w:rsid w:val="081F6AB4"/>
    <w:rsid w:val="081F6AFA"/>
    <w:rsid w:val="081F6B14"/>
    <w:rsid w:val="081F6B25"/>
    <w:rsid w:val="081F6B2B"/>
    <w:rsid w:val="081F6BEA"/>
    <w:rsid w:val="081F6C0D"/>
    <w:rsid w:val="081F6C46"/>
    <w:rsid w:val="081F6CA6"/>
    <w:rsid w:val="081F6CBF"/>
    <w:rsid w:val="081F6D59"/>
    <w:rsid w:val="081F6D78"/>
    <w:rsid w:val="081F6E7A"/>
    <w:rsid w:val="081F6E81"/>
    <w:rsid w:val="081F6ECB"/>
    <w:rsid w:val="081F6F86"/>
    <w:rsid w:val="081F7208"/>
    <w:rsid w:val="081F721C"/>
    <w:rsid w:val="081F724E"/>
    <w:rsid w:val="081F74FA"/>
    <w:rsid w:val="081F75D2"/>
    <w:rsid w:val="081F7603"/>
    <w:rsid w:val="081F76D3"/>
    <w:rsid w:val="081F76D6"/>
    <w:rsid w:val="081F76EB"/>
    <w:rsid w:val="081F76F6"/>
    <w:rsid w:val="081F7841"/>
    <w:rsid w:val="081F789B"/>
    <w:rsid w:val="081F790F"/>
    <w:rsid w:val="081F7A90"/>
    <w:rsid w:val="081F7AAD"/>
    <w:rsid w:val="081F7AB1"/>
    <w:rsid w:val="081F7B21"/>
    <w:rsid w:val="081F7D0F"/>
    <w:rsid w:val="081F7D26"/>
    <w:rsid w:val="081F7D40"/>
    <w:rsid w:val="081F7D45"/>
    <w:rsid w:val="081F7D6B"/>
    <w:rsid w:val="081F7DA6"/>
    <w:rsid w:val="081F7E44"/>
    <w:rsid w:val="081F7E59"/>
    <w:rsid w:val="081F7E90"/>
    <w:rsid w:val="081F7F33"/>
    <w:rsid w:val="081F7F45"/>
    <w:rsid w:val="081F7F76"/>
    <w:rsid w:val="081F7F8F"/>
    <w:rsid w:val="081F7FB2"/>
    <w:rsid w:val="08200019"/>
    <w:rsid w:val="08200020"/>
    <w:rsid w:val="082000D8"/>
    <w:rsid w:val="082000E1"/>
    <w:rsid w:val="08200136"/>
    <w:rsid w:val="08200150"/>
    <w:rsid w:val="082001C3"/>
    <w:rsid w:val="08200249"/>
    <w:rsid w:val="08200264"/>
    <w:rsid w:val="0820027D"/>
    <w:rsid w:val="082002DB"/>
    <w:rsid w:val="0820039D"/>
    <w:rsid w:val="082003DB"/>
    <w:rsid w:val="0820045F"/>
    <w:rsid w:val="0820047D"/>
    <w:rsid w:val="082004B5"/>
    <w:rsid w:val="082004CB"/>
    <w:rsid w:val="08200669"/>
    <w:rsid w:val="0820066D"/>
    <w:rsid w:val="082006FA"/>
    <w:rsid w:val="082007BE"/>
    <w:rsid w:val="082007FC"/>
    <w:rsid w:val="08200842"/>
    <w:rsid w:val="082008C0"/>
    <w:rsid w:val="082008D8"/>
    <w:rsid w:val="082009FD"/>
    <w:rsid w:val="08200A0A"/>
    <w:rsid w:val="08200B9D"/>
    <w:rsid w:val="08200BF2"/>
    <w:rsid w:val="08200BFD"/>
    <w:rsid w:val="08200C13"/>
    <w:rsid w:val="08200C36"/>
    <w:rsid w:val="08200D52"/>
    <w:rsid w:val="08200D57"/>
    <w:rsid w:val="08200D81"/>
    <w:rsid w:val="08200E1E"/>
    <w:rsid w:val="08200E91"/>
    <w:rsid w:val="08200ED2"/>
    <w:rsid w:val="08200EF5"/>
    <w:rsid w:val="08200F55"/>
    <w:rsid w:val="08201048"/>
    <w:rsid w:val="08201093"/>
    <w:rsid w:val="082010FE"/>
    <w:rsid w:val="08201139"/>
    <w:rsid w:val="08201167"/>
    <w:rsid w:val="082011B4"/>
    <w:rsid w:val="08201281"/>
    <w:rsid w:val="082012D2"/>
    <w:rsid w:val="0820133E"/>
    <w:rsid w:val="0820139E"/>
    <w:rsid w:val="082013DC"/>
    <w:rsid w:val="08201607"/>
    <w:rsid w:val="08201653"/>
    <w:rsid w:val="08201698"/>
    <w:rsid w:val="082016C1"/>
    <w:rsid w:val="082016CF"/>
    <w:rsid w:val="08201723"/>
    <w:rsid w:val="0820175B"/>
    <w:rsid w:val="082018B8"/>
    <w:rsid w:val="082018D0"/>
    <w:rsid w:val="08201910"/>
    <w:rsid w:val="08201994"/>
    <w:rsid w:val="082019A6"/>
    <w:rsid w:val="082019BF"/>
    <w:rsid w:val="08201A6A"/>
    <w:rsid w:val="08201AF0"/>
    <w:rsid w:val="08201CFE"/>
    <w:rsid w:val="08201E42"/>
    <w:rsid w:val="08201E4C"/>
    <w:rsid w:val="08201F0A"/>
    <w:rsid w:val="08201F17"/>
    <w:rsid w:val="08201F52"/>
    <w:rsid w:val="08201FA3"/>
    <w:rsid w:val="082020D1"/>
    <w:rsid w:val="08202126"/>
    <w:rsid w:val="082021B3"/>
    <w:rsid w:val="082021F8"/>
    <w:rsid w:val="08202211"/>
    <w:rsid w:val="0820224D"/>
    <w:rsid w:val="08202300"/>
    <w:rsid w:val="08202353"/>
    <w:rsid w:val="082023B5"/>
    <w:rsid w:val="082023E2"/>
    <w:rsid w:val="08202482"/>
    <w:rsid w:val="082024DD"/>
    <w:rsid w:val="0820251A"/>
    <w:rsid w:val="082025B5"/>
    <w:rsid w:val="082025DF"/>
    <w:rsid w:val="082025E9"/>
    <w:rsid w:val="08202610"/>
    <w:rsid w:val="08202626"/>
    <w:rsid w:val="0820265B"/>
    <w:rsid w:val="0820268A"/>
    <w:rsid w:val="0820270D"/>
    <w:rsid w:val="08202720"/>
    <w:rsid w:val="08202723"/>
    <w:rsid w:val="08202765"/>
    <w:rsid w:val="082027A0"/>
    <w:rsid w:val="082027BA"/>
    <w:rsid w:val="082027D0"/>
    <w:rsid w:val="0820282E"/>
    <w:rsid w:val="082028BF"/>
    <w:rsid w:val="082028C9"/>
    <w:rsid w:val="0820296E"/>
    <w:rsid w:val="082029B1"/>
    <w:rsid w:val="08202AE6"/>
    <w:rsid w:val="08202AF7"/>
    <w:rsid w:val="08202B04"/>
    <w:rsid w:val="08202C04"/>
    <w:rsid w:val="08202C4C"/>
    <w:rsid w:val="08202C8F"/>
    <w:rsid w:val="08202C97"/>
    <w:rsid w:val="08202D45"/>
    <w:rsid w:val="08202E0C"/>
    <w:rsid w:val="08202ECE"/>
    <w:rsid w:val="082030EA"/>
    <w:rsid w:val="08203166"/>
    <w:rsid w:val="082031A5"/>
    <w:rsid w:val="082031CB"/>
    <w:rsid w:val="08203240"/>
    <w:rsid w:val="082032DE"/>
    <w:rsid w:val="082033B2"/>
    <w:rsid w:val="082033B9"/>
    <w:rsid w:val="082033C6"/>
    <w:rsid w:val="08203449"/>
    <w:rsid w:val="08203480"/>
    <w:rsid w:val="082034C9"/>
    <w:rsid w:val="082035B2"/>
    <w:rsid w:val="082036AD"/>
    <w:rsid w:val="0820370A"/>
    <w:rsid w:val="0820372C"/>
    <w:rsid w:val="08203740"/>
    <w:rsid w:val="08203875"/>
    <w:rsid w:val="0820387E"/>
    <w:rsid w:val="08203915"/>
    <w:rsid w:val="08203929"/>
    <w:rsid w:val="08203A23"/>
    <w:rsid w:val="08203A2B"/>
    <w:rsid w:val="08203AE2"/>
    <w:rsid w:val="08203AE8"/>
    <w:rsid w:val="08203AF3"/>
    <w:rsid w:val="08203B4B"/>
    <w:rsid w:val="08203B78"/>
    <w:rsid w:val="08203CB8"/>
    <w:rsid w:val="08203D08"/>
    <w:rsid w:val="08203D0F"/>
    <w:rsid w:val="08203E95"/>
    <w:rsid w:val="08203EBB"/>
    <w:rsid w:val="08203ECA"/>
    <w:rsid w:val="08203ED1"/>
    <w:rsid w:val="08203F49"/>
    <w:rsid w:val="08203F7A"/>
    <w:rsid w:val="08203FC0"/>
    <w:rsid w:val="08203FC4"/>
    <w:rsid w:val="08204036"/>
    <w:rsid w:val="0820408E"/>
    <w:rsid w:val="08204153"/>
    <w:rsid w:val="08204164"/>
    <w:rsid w:val="082041A0"/>
    <w:rsid w:val="082041B6"/>
    <w:rsid w:val="0820421C"/>
    <w:rsid w:val="082042C8"/>
    <w:rsid w:val="082042FB"/>
    <w:rsid w:val="08204338"/>
    <w:rsid w:val="08204380"/>
    <w:rsid w:val="082043B3"/>
    <w:rsid w:val="08204569"/>
    <w:rsid w:val="0820472C"/>
    <w:rsid w:val="08204799"/>
    <w:rsid w:val="082047BE"/>
    <w:rsid w:val="0820483D"/>
    <w:rsid w:val="08204894"/>
    <w:rsid w:val="0820496C"/>
    <w:rsid w:val="082049B2"/>
    <w:rsid w:val="082049B4"/>
    <w:rsid w:val="08204A26"/>
    <w:rsid w:val="08204A5C"/>
    <w:rsid w:val="08204A71"/>
    <w:rsid w:val="08204ACC"/>
    <w:rsid w:val="08204B57"/>
    <w:rsid w:val="08204BA8"/>
    <w:rsid w:val="08204BB4"/>
    <w:rsid w:val="08204C0D"/>
    <w:rsid w:val="08204C7A"/>
    <w:rsid w:val="08204CFA"/>
    <w:rsid w:val="08204D8A"/>
    <w:rsid w:val="08204E82"/>
    <w:rsid w:val="08204E90"/>
    <w:rsid w:val="08205017"/>
    <w:rsid w:val="08205027"/>
    <w:rsid w:val="0820504B"/>
    <w:rsid w:val="08205088"/>
    <w:rsid w:val="08205097"/>
    <w:rsid w:val="08205099"/>
    <w:rsid w:val="082050D2"/>
    <w:rsid w:val="0820512A"/>
    <w:rsid w:val="08205176"/>
    <w:rsid w:val="0820523F"/>
    <w:rsid w:val="08205295"/>
    <w:rsid w:val="082052B1"/>
    <w:rsid w:val="082052E9"/>
    <w:rsid w:val="08205314"/>
    <w:rsid w:val="0820538B"/>
    <w:rsid w:val="082053FF"/>
    <w:rsid w:val="08205405"/>
    <w:rsid w:val="08205466"/>
    <w:rsid w:val="08205524"/>
    <w:rsid w:val="08205530"/>
    <w:rsid w:val="0820555A"/>
    <w:rsid w:val="082055FD"/>
    <w:rsid w:val="08205649"/>
    <w:rsid w:val="082057D2"/>
    <w:rsid w:val="082057FA"/>
    <w:rsid w:val="0820587D"/>
    <w:rsid w:val="0820596E"/>
    <w:rsid w:val="082059A7"/>
    <w:rsid w:val="08205AAE"/>
    <w:rsid w:val="08205AE5"/>
    <w:rsid w:val="08205B26"/>
    <w:rsid w:val="08205B9C"/>
    <w:rsid w:val="08205BBE"/>
    <w:rsid w:val="08205BE8"/>
    <w:rsid w:val="08205C12"/>
    <w:rsid w:val="08205C61"/>
    <w:rsid w:val="08205C67"/>
    <w:rsid w:val="08205F41"/>
    <w:rsid w:val="08205F92"/>
    <w:rsid w:val="0820602F"/>
    <w:rsid w:val="08206034"/>
    <w:rsid w:val="08206060"/>
    <w:rsid w:val="08206094"/>
    <w:rsid w:val="0820609F"/>
    <w:rsid w:val="082061B7"/>
    <w:rsid w:val="08206383"/>
    <w:rsid w:val="082064BE"/>
    <w:rsid w:val="08206546"/>
    <w:rsid w:val="08206554"/>
    <w:rsid w:val="08206628"/>
    <w:rsid w:val="08206631"/>
    <w:rsid w:val="08206637"/>
    <w:rsid w:val="0820663A"/>
    <w:rsid w:val="0820668E"/>
    <w:rsid w:val="0820671E"/>
    <w:rsid w:val="082067D3"/>
    <w:rsid w:val="082067F7"/>
    <w:rsid w:val="0820680D"/>
    <w:rsid w:val="08206902"/>
    <w:rsid w:val="0820691F"/>
    <w:rsid w:val="0820693E"/>
    <w:rsid w:val="082069B4"/>
    <w:rsid w:val="08206A15"/>
    <w:rsid w:val="08206A34"/>
    <w:rsid w:val="08206A52"/>
    <w:rsid w:val="08206A98"/>
    <w:rsid w:val="08206AA7"/>
    <w:rsid w:val="08206ADC"/>
    <w:rsid w:val="08206B04"/>
    <w:rsid w:val="08206B74"/>
    <w:rsid w:val="08206BBE"/>
    <w:rsid w:val="08206BE2"/>
    <w:rsid w:val="08206C29"/>
    <w:rsid w:val="08206C87"/>
    <w:rsid w:val="08206CCE"/>
    <w:rsid w:val="08206E3D"/>
    <w:rsid w:val="08206E48"/>
    <w:rsid w:val="08206F2A"/>
    <w:rsid w:val="08206FCD"/>
    <w:rsid w:val="0820700E"/>
    <w:rsid w:val="08207043"/>
    <w:rsid w:val="0820706E"/>
    <w:rsid w:val="082070CE"/>
    <w:rsid w:val="08207150"/>
    <w:rsid w:val="08207182"/>
    <w:rsid w:val="08207290"/>
    <w:rsid w:val="082072F9"/>
    <w:rsid w:val="08207355"/>
    <w:rsid w:val="082073F0"/>
    <w:rsid w:val="08207467"/>
    <w:rsid w:val="082074FD"/>
    <w:rsid w:val="082075EF"/>
    <w:rsid w:val="08207611"/>
    <w:rsid w:val="08207616"/>
    <w:rsid w:val="0820777D"/>
    <w:rsid w:val="082077AC"/>
    <w:rsid w:val="08207802"/>
    <w:rsid w:val="0820786F"/>
    <w:rsid w:val="08207981"/>
    <w:rsid w:val="0820798F"/>
    <w:rsid w:val="08207A6A"/>
    <w:rsid w:val="08207B48"/>
    <w:rsid w:val="08207CA3"/>
    <w:rsid w:val="08207CC1"/>
    <w:rsid w:val="08207CEA"/>
    <w:rsid w:val="08207D30"/>
    <w:rsid w:val="08207F57"/>
    <w:rsid w:val="08207F6B"/>
    <w:rsid w:val="08207FEE"/>
    <w:rsid w:val="0821001A"/>
    <w:rsid w:val="08210078"/>
    <w:rsid w:val="082100FD"/>
    <w:rsid w:val="08210154"/>
    <w:rsid w:val="08210156"/>
    <w:rsid w:val="08210201"/>
    <w:rsid w:val="0821020B"/>
    <w:rsid w:val="0821027A"/>
    <w:rsid w:val="0821028C"/>
    <w:rsid w:val="0821030C"/>
    <w:rsid w:val="08210464"/>
    <w:rsid w:val="08210490"/>
    <w:rsid w:val="082105B2"/>
    <w:rsid w:val="08210670"/>
    <w:rsid w:val="08210674"/>
    <w:rsid w:val="08210682"/>
    <w:rsid w:val="0821075E"/>
    <w:rsid w:val="08210827"/>
    <w:rsid w:val="082108DD"/>
    <w:rsid w:val="0821092A"/>
    <w:rsid w:val="08210969"/>
    <w:rsid w:val="082109AA"/>
    <w:rsid w:val="082109B5"/>
    <w:rsid w:val="082109C8"/>
    <w:rsid w:val="082109DB"/>
    <w:rsid w:val="08210A23"/>
    <w:rsid w:val="08210AF1"/>
    <w:rsid w:val="08210B04"/>
    <w:rsid w:val="08210B89"/>
    <w:rsid w:val="08210BFB"/>
    <w:rsid w:val="08210C99"/>
    <w:rsid w:val="08210CCA"/>
    <w:rsid w:val="08210CDD"/>
    <w:rsid w:val="08210DBC"/>
    <w:rsid w:val="08210DCF"/>
    <w:rsid w:val="08210DD5"/>
    <w:rsid w:val="08210E77"/>
    <w:rsid w:val="08210FF1"/>
    <w:rsid w:val="08211014"/>
    <w:rsid w:val="0821113D"/>
    <w:rsid w:val="08211204"/>
    <w:rsid w:val="08211362"/>
    <w:rsid w:val="082113A5"/>
    <w:rsid w:val="082113FD"/>
    <w:rsid w:val="0821141A"/>
    <w:rsid w:val="0821142A"/>
    <w:rsid w:val="0821142C"/>
    <w:rsid w:val="082114BD"/>
    <w:rsid w:val="0821155B"/>
    <w:rsid w:val="082115AC"/>
    <w:rsid w:val="08211603"/>
    <w:rsid w:val="0821161C"/>
    <w:rsid w:val="0821162A"/>
    <w:rsid w:val="082116A6"/>
    <w:rsid w:val="082116CA"/>
    <w:rsid w:val="08211786"/>
    <w:rsid w:val="0821179B"/>
    <w:rsid w:val="0821179D"/>
    <w:rsid w:val="082117B5"/>
    <w:rsid w:val="082117B6"/>
    <w:rsid w:val="0821180B"/>
    <w:rsid w:val="08211834"/>
    <w:rsid w:val="082118F3"/>
    <w:rsid w:val="08211964"/>
    <w:rsid w:val="082119A9"/>
    <w:rsid w:val="08211A3F"/>
    <w:rsid w:val="08211A44"/>
    <w:rsid w:val="08211A97"/>
    <w:rsid w:val="08211BDC"/>
    <w:rsid w:val="08211D00"/>
    <w:rsid w:val="08211D30"/>
    <w:rsid w:val="08211D51"/>
    <w:rsid w:val="08211D95"/>
    <w:rsid w:val="08211DE3"/>
    <w:rsid w:val="08211E0A"/>
    <w:rsid w:val="08211E39"/>
    <w:rsid w:val="08211E61"/>
    <w:rsid w:val="08211EFE"/>
    <w:rsid w:val="08211F7B"/>
    <w:rsid w:val="08211FE0"/>
    <w:rsid w:val="08212002"/>
    <w:rsid w:val="08212106"/>
    <w:rsid w:val="082121C9"/>
    <w:rsid w:val="08212215"/>
    <w:rsid w:val="082122CE"/>
    <w:rsid w:val="08212395"/>
    <w:rsid w:val="0821239A"/>
    <w:rsid w:val="0821247E"/>
    <w:rsid w:val="08212502"/>
    <w:rsid w:val="08212519"/>
    <w:rsid w:val="0821258F"/>
    <w:rsid w:val="0821261B"/>
    <w:rsid w:val="08212673"/>
    <w:rsid w:val="08212677"/>
    <w:rsid w:val="0821269C"/>
    <w:rsid w:val="082126EA"/>
    <w:rsid w:val="082126F3"/>
    <w:rsid w:val="08212774"/>
    <w:rsid w:val="082127C4"/>
    <w:rsid w:val="082128D4"/>
    <w:rsid w:val="0821290B"/>
    <w:rsid w:val="082129C0"/>
    <w:rsid w:val="082129F2"/>
    <w:rsid w:val="08212B0B"/>
    <w:rsid w:val="08212B23"/>
    <w:rsid w:val="08212B48"/>
    <w:rsid w:val="08212C43"/>
    <w:rsid w:val="08212C7F"/>
    <w:rsid w:val="08212CB6"/>
    <w:rsid w:val="08212CF7"/>
    <w:rsid w:val="08212D28"/>
    <w:rsid w:val="08212D9E"/>
    <w:rsid w:val="08212DA5"/>
    <w:rsid w:val="08212DD1"/>
    <w:rsid w:val="08212E6A"/>
    <w:rsid w:val="08212FFC"/>
    <w:rsid w:val="08213033"/>
    <w:rsid w:val="08213044"/>
    <w:rsid w:val="082130DD"/>
    <w:rsid w:val="0821311B"/>
    <w:rsid w:val="08213147"/>
    <w:rsid w:val="0821317D"/>
    <w:rsid w:val="08213248"/>
    <w:rsid w:val="08213283"/>
    <w:rsid w:val="0821332F"/>
    <w:rsid w:val="0821349B"/>
    <w:rsid w:val="082134D7"/>
    <w:rsid w:val="08213501"/>
    <w:rsid w:val="082135B6"/>
    <w:rsid w:val="082135B9"/>
    <w:rsid w:val="0821361D"/>
    <w:rsid w:val="08213626"/>
    <w:rsid w:val="0821365C"/>
    <w:rsid w:val="082136FB"/>
    <w:rsid w:val="08213709"/>
    <w:rsid w:val="08213A2B"/>
    <w:rsid w:val="08213AEF"/>
    <w:rsid w:val="08213B3E"/>
    <w:rsid w:val="08213B59"/>
    <w:rsid w:val="08213D00"/>
    <w:rsid w:val="08213E0A"/>
    <w:rsid w:val="08213E24"/>
    <w:rsid w:val="08213F0F"/>
    <w:rsid w:val="08213F40"/>
    <w:rsid w:val="08213F5E"/>
    <w:rsid w:val="08213FE5"/>
    <w:rsid w:val="08214057"/>
    <w:rsid w:val="0821411E"/>
    <w:rsid w:val="082141D4"/>
    <w:rsid w:val="082141EA"/>
    <w:rsid w:val="0821422A"/>
    <w:rsid w:val="0821429C"/>
    <w:rsid w:val="08214395"/>
    <w:rsid w:val="08214408"/>
    <w:rsid w:val="08214472"/>
    <w:rsid w:val="082144A0"/>
    <w:rsid w:val="082144D4"/>
    <w:rsid w:val="08214513"/>
    <w:rsid w:val="082146BC"/>
    <w:rsid w:val="082146F4"/>
    <w:rsid w:val="08214746"/>
    <w:rsid w:val="08214771"/>
    <w:rsid w:val="08214775"/>
    <w:rsid w:val="08214800"/>
    <w:rsid w:val="082148D8"/>
    <w:rsid w:val="082148E1"/>
    <w:rsid w:val="082148FA"/>
    <w:rsid w:val="0821490D"/>
    <w:rsid w:val="08214933"/>
    <w:rsid w:val="082149E7"/>
    <w:rsid w:val="08214A98"/>
    <w:rsid w:val="08214ABA"/>
    <w:rsid w:val="08214BA5"/>
    <w:rsid w:val="08214BDE"/>
    <w:rsid w:val="08214BF4"/>
    <w:rsid w:val="08214C05"/>
    <w:rsid w:val="08214C0E"/>
    <w:rsid w:val="08214C51"/>
    <w:rsid w:val="08214D6B"/>
    <w:rsid w:val="08214D79"/>
    <w:rsid w:val="08214DB4"/>
    <w:rsid w:val="08214DE3"/>
    <w:rsid w:val="08214FC5"/>
    <w:rsid w:val="08215027"/>
    <w:rsid w:val="082150E9"/>
    <w:rsid w:val="082151C4"/>
    <w:rsid w:val="082151D8"/>
    <w:rsid w:val="08215220"/>
    <w:rsid w:val="0821526F"/>
    <w:rsid w:val="082152A3"/>
    <w:rsid w:val="082152B8"/>
    <w:rsid w:val="082152D8"/>
    <w:rsid w:val="0821531B"/>
    <w:rsid w:val="082153A3"/>
    <w:rsid w:val="08215437"/>
    <w:rsid w:val="08215465"/>
    <w:rsid w:val="082154C1"/>
    <w:rsid w:val="082154FC"/>
    <w:rsid w:val="08215554"/>
    <w:rsid w:val="08215590"/>
    <w:rsid w:val="082155D4"/>
    <w:rsid w:val="08215600"/>
    <w:rsid w:val="08215619"/>
    <w:rsid w:val="082156AD"/>
    <w:rsid w:val="082156B7"/>
    <w:rsid w:val="08215775"/>
    <w:rsid w:val="08215782"/>
    <w:rsid w:val="0821578E"/>
    <w:rsid w:val="082157B8"/>
    <w:rsid w:val="082157C9"/>
    <w:rsid w:val="082157F5"/>
    <w:rsid w:val="08215800"/>
    <w:rsid w:val="0821580A"/>
    <w:rsid w:val="08215824"/>
    <w:rsid w:val="08215884"/>
    <w:rsid w:val="082158B4"/>
    <w:rsid w:val="08215938"/>
    <w:rsid w:val="0821596C"/>
    <w:rsid w:val="08215A4D"/>
    <w:rsid w:val="08215A9C"/>
    <w:rsid w:val="08215AAF"/>
    <w:rsid w:val="08215B8A"/>
    <w:rsid w:val="08215BC1"/>
    <w:rsid w:val="08215C99"/>
    <w:rsid w:val="08215D45"/>
    <w:rsid w:val="08215ECE"/>
    <w:rsid w:val="08215F3B"/>
    <w:rsid w:val="08215FA7"/>
    <w:rsid w:val="08215FCB"/>
    <w:rsid w:val="08215FCF"/>
    <w:rsid w:val="0821601C"/>
    <w:rsid w:val="0821625B"/>
    <w:rsid w:val="08216276"/>
    <w:rsid w:val="08216325"/>
    <w:rsid w:val="0821635A"/>
    <w:rsid w:val="082163A1"/>
    <w:rsid w:val="082163D8"/>
    <w:rsid w:val="08216423"/>
    <w:rsid w:val="0821658D"/>
    <w:rsid w:val="082166EA"/>
    <w:rsid w:val="082167F1"/>
    <w:rsid w:val="08216824"/>
    <w:rsid w:val="08216900"/>
    <w:rsid w:val="08216933"/>
    <w:rsid w:val="08216941"/>
    <w:rsid w:val="08216976"/>
    <w:rsid w:val="082169E3"/>
    <w:rsid w:val="08216A19"/>
    <w:rsid w:val="08216A5C"/>
    <w:rsid w:val="08216AF0"/>
    <w:rsid w:val="08216B4C"/>
    <w:rsid w:val="08216B5C"/>
    <w:rsid w:val="08216B81"/>
    <w:rsid w:val="08216BEB"/>
    <w:rsid w:val="08216C04"/>
    <w:rsid w:val="08216C36"/>
    <w:rsid w:val="08216CA2"/>
    <w:rsid w:val="08216D69"/>
    <w:rsid w:val="08216D89"/>
    <w:rsid w:val="08216DAB"/>
    <w:rsid w:val="08216DD6"/>
    <w:rsid w:val="08216F22"/>
    <w:rsid w:val="08216F81"/>
    <w:rsid w:val="08216FDF"/>
    <w:rsid w:val="082170E7"/>
    <w:rsid w:val="0821712D"/>
    <w:rsid w:val="082171C7"/>
    <w:rsid w:val="0821721E"/>
    <w:rsid w:val="08217221"/>
    <w:rsid w:val="082172DD"/>
    <w:rsid w:val="082172FF"/>
    <w:rsid w:val="08217382"/>
    <w:rsid w:val="08217457"/>
    <w:rsid w:val="082175EF"/>
    <w:rsid w:val="08217794"/>
    <w:rsid w:val="08217804"/>
    <w:rsid w:val="08217910"/>
    <w:rsid w:val="082179AE"/>
    <w:rsid w:val="082179F9"/>
    <w:rsid w:val="08217B47"/>
    <w:rsid w:val="08217C09"/>
    <w:rsid w:val="08217C94"/>
    <w:rsid w:val="08217CCD"/>
    <w:rsid w:val="08217DA8"/>
    <w:rsid w:val="08217E18"/>
    <w:rsid w:val="08217E56"/>
    <w:rsid w:val="08217EE9"/>
    <w:rsid w:val="08217F0C"/>
    <w:rsid w:val="08217F57"/>
    <w:rsid w:val="0822001F"/>
    <w:rsid w:val="08220061"/>
    <w:rsid w:val="08220069"/>
    <w:rsid w:val="0822010A"/>
    <w:rsid w:val="0822011A"/>
    <w:rsid w:val="08220130"/>
    <w:rsid w:val="0822019F"/>
    <w:rsid w:val="082201D5"/>
    <w:rsid w:val="0822022E"/>
    <w:rsid w:val="08220266"/>
    <w:rsid w:val="08220285"/>
    <w:rsid w:val="082202A8"/>
    <w:rsid w:val="082202FB"/>
    <w:rsid w:val="0822040C"/>
    <w:rsid w:val="0822040E"/>
    <w:rsid w:val="082204D3"/>
    <w:rsid w:val="0822054B"/>
    <w:rsid w:val="08220590"/>
    <w:rsid w:val="0822071E"/>
    <w:rsid w:val="082207DE"/>
    <w:rsid w:val="0822081D"/>
    <w:rsid w:val="08220840"/>
    <w:rsid w:val="08220864"/>
    <w:rsid w:val="082208DA"/>
    <w:rsid w:val="08220961"/>
    <w:rsid w:val="08220A98"/>
    <w:rsid w:val="08220B1C"/>
    <w:rsid w:val="08220D0F"/>
    <w:rsid w:val="08220D78"/>
    <w:rsid w:val="08220DED"/>
    <w:rsid w:val="08220EFD"/>
    <w:rsid w:val="08220F22"/>
    <w:rsid w:val="08220F2B"/>
    <w:rsid w:val="08220F3C"/>
    <w:rsid w:val="08220F59"/>
    <w:rsid w:val="08220FCF"/>
    <w:rsid w:val="0822109B"/>
    <w:rsid w:val="082210A4"/>
    <w:rsid w:val="082210D7"/>
    <w:rsid w:val="082211D1"/>
    <w:rsid w:val="08221243"/>
    <w:rsid w:val="08221275"/>
    <w:rsid w:val="082212AF"/>
    <w:rsid w:val="08221437"/>
    <w:rsid w:val="08221489"/>
    <w:rsid w:val="0822149B"/>
    <w:rsid w:val="082214EB"/>
    <w:rsid w:val="08221616"/>
    <w:rsid w:val="0822162E"/>
    <w:rsid w:val="08221660"/>
    <w:rsid w:val="082216DB"/>
    <w:rsid w:val="082217ED"/>
    <w:rsid w:val="08221913"/>
    <w:rsid w:val="0822193F"/>
    <w:rsid w:val="08221B6A"/>
    <w:rsid w:val="08221C81"/>
    <w:rsid w:val="08221CCA"/>
    <w:rsid w:val="08221CDA"/>
    <w:rsid w:val="08221DD7"/>
    <w:rsid w:val="08221E3A"/>
    <w:rsid w:val="08221E40"/>
    <w:rsid w:val="08221EA0"/>
    <w:rsid w:val="08221FC7"/>
    <w:rsid w:val="08222000"/>
    <w:rsid w:val="082220B5"/>
    <w:rsid w:val="082220F2"/>
    <w:rsid w:val="08222146"/>
    <w:rsid w:val="0822223C"/>
    <w:rsid w:val="082222FD"/>
    <w:rsid w:val="08222403"/>
    <w:rsid w:val="0822242A"/>
    <w:rsid w:val="0822248E"/>
    <w:rsid w:val="082224B3"/>
    <w:rsid w:val="082224CD"/>
    <w:rsid w:val="082224F2"/>
    <w:rsid w:val="082225C0"/>
    <w:rsid w:val="082225DD"/>
    <w:rsid w:val="082225EB"/>
    <w:rsid w:val="0822263E"/>
    <w:rsid w:val="08222646"/>
    <w:rsid w:val="08222785"/>
    <w:rsid w:val="082227A4"/>
    <w:rsid w:val="082227FF"/>
    <w:rsid w:val="08222884"/>
    <w:rsid w:val="08222904"/>
    <w:rsid w:val="08222950"/>
    <w:rsid w:val="08222997"/>
    <w:rsid w:val="082229D7"/>
    <w:rsid w:val="08222AD6"/>
    <w:rsid w:val="08222B65"/>
    <w:rsid w:val="08222BB2"/>
    <w:rsid w:val="08222D05"/>
    <w:rsid w:val="08222E6D"/>
    <w:rsid w:val="08222EFA"/>
    <w:rsid w:val="08223093"/>
    <w:rsid w:val="08223117"/>
    <w:rsid w:val="0822311B"/>
    <w:rsid w:val="0822312D"/>
    <w:rsid w:val="0822317F"/>
    <w:rsid w:val="08223244"/>
    <w:rsid w:val="08223270"/>
    <w:rsid w:val="08223286"/>
    <w:rsid w:val="08223352"/>
    <w:rsid w:val="082233DA"/>
    <w:rsid w:val="0822344A"/>
    <w:rsid w:val="082234F2"/>
    <w:rsid w:val="08223553"/>
    <w:rsid w:val="08223732"/>
    <w:rsid w:val="0822375E"/>
    <w:rsid w:val="08223764"/>
    <w:rsid w:val="08223900"/>
    <w:rsid w:val="08223927"/>
    <w:rsid w:val="0822392B"/>
    <w:rsid w:val="082239B9"/>
    <w:rsid w:val="082239D3"/>
    <w:rsid w:val="082239EB"/>
    <w:rsid w:val="08223B0C"/>
    <w:rsid w:val="08223B3B"/>
    <w:rsid w:val="08223B6D"/>
    <w:rsid w:val="08223B95"/>
    <w:rsid w:val="08223BBF"/>
    <w:rsid w:val="08223C17"/>
    <w:rsid w:val="08223C25"/>
    <w:rsid w:val="08223CC7"/>
    <w:rsid w:val="08223CD4"/>
    <w:rsid w:val="08223E99"/>
    <w:rsid w:val="08223EE6"/>
    <w:rsid w:val="08223F0F"/>
    <w:rsid w:val="08223F4E"/>
    <w:rsid w:val="08223FB4"/>
    <w:rsid w:val="08224033"/>
    <w:rsid w:val="0822403E"/>
    <w:rsid w:val="08224058"/>
    <w:rsid w:val="082240D3"/>
    <w:rsid w:val="08224113"/>
    <w:rsid w:val="0822413F"/>
    <w:rsid w:val="08224173"/>
    <w:rsid w:val="08224265"/>
    <w:rsid w:val="0822427A"/>
    <w:rsid w:val="08224373"/>
    <w:rsid w:val="082243C2"/>
    <w:rsid w:val="082243F1"/>
    <w:rsid w:val="08224405"/>
    <w:rsid w:val="08224449"/>
    <w:rsid w:val="08224625"/>
    <w:rsid w:val="08224681"/>
    <w:rsid w:val="082246F9"/>
    <w:rsid w:val="08224784"/>
    <w:rsid w:val="08224788"/>
    <w:rsid w:val="0822490A"/>
    <w:rsid w:val="08224936"/>
    <w:rsid w:val="08224958"/>
    <w:rsid w:val="0822496A"/>
    <w:rsid w:val="08224AA9"/>
    <w:rsid w:val="08224ABE"/>
    <w:rsid w:val="08224B0E"/>
    <w:rsid w:val="08224B1C"/>
    <w:rsid w:val="08224B55"/>
    <w:rsid w:val="08224C28"/>
    <w:rsid w:val="08224C6A"/>
    <w:rsid w:val="08224D60"/>
    <w:rsid w:val="08224DA3"/>
    <w:rsid w:val="08224DC7"/>
    <w:rsid w:val="08224DDE"/>
    <w:rsid w:val="08224E4B"/>
    <w:rsid w:val="08224E62"/>
    <w:rsid w:val="08224F7F"/>
    <w:rsid w:val="08224FE9"/>
    <w:rsid w:val="08224FEB"/>
    <w:rsid w:val="08225032"/>
    <w:rsid w:val="082250B8"/>
    <w:rsid w:val="082250CA"/>
    <w:rsid w:val="0822511D"/>
    <w:rsid w:val="0822514C"/>
    <w:rsid w:val="08225171"/>
    <w:rsid w:val="0822523E"/>
    <w:rsid w:val="08225286"/>
    <w:rsid w:val="082252A0"/>
    <w:rsid w:val="0822530B"/>
    <w:rsid w:val="08225332"/>
    <w:rsid w:val="082253BA"/>
    <w:rsid w:val="08225419"/>
    <w:rsid w:val="0822543A"/>
    <w:rsid w:val="082254D6"/>
    <w:rsid w:val="082254F6"/>
    <w:rsid w:val="082255DB"/>
    <w:rsid w:val="08225664"/>
    <w:rsid w:val="082256A2"/>
    <w:rsid w:val="082256AB"/>
    <w:rsid w:val="082256D1"/>
    <w:rsid w:val="08225735"/>
    <w:rsid w:val="082257AF"/>
    <w:rsid w:val="082257D9"/>
    <w:rsid w:val="082257EA"/>
    <w:rsid w:val="082258D9"/>
    <w:rsid w:val="08225922"/>
    <w:rsid w:val="08225987"/>
    <w:rsid w:val="0822599E"/>
    <w:rsid w:val="082259F3"/>
    <w:rsid w:val="08225A49"/>
    <w:rsid w:val="08225A9B"/>
    <w:rsid w:val="08225AD0"/>
    <w:rsid w:val="08225B08"/>
    <w:rsid w:val="08225BCA"/>
    <w:rsid w:val="08225BDD"/>
    <w:rsid w:val="08225C0A"/>
    <w:rsid w:val="08225C44"/>
    <w:rsid w:val="08225C9A"/>
    <w:rsid w:val="08225D20"/>
    <w:rsid w:val="08225D57"/>
    <w:rsid w:val="08225D91"/>
    <w:rsid w:val="08225DCF"/>
    <w:rsid w:val="08225DE9"/>
    <w:rsid w:val="08225DFA"/>
    <w:rsid w:val="08225E28"/>
    <w:rsid w:val="08225E8F"/>
    <w:rsid w:val="08225E96"/>
    <w:rsid w:val="08225ECF"/>
    <w:rsid w:val="08225F54"/>
    <w:rsid w:val="08225FDA"/>
    <w:rsid w:val="08225FDE"/>
    <w:rsid w:val="08225FE7"/>
    <w:rsid w:val="082260D4"/>
    <w:rsid w:val="082261A2"/>
    <w:rsid w:val="082261D4"/>
    <w:rsid w:val="08226268"/>
    <w:rsid w:val="082262CC"/>
    <w:rsid w:val="082262CE"/>
    <w:rsid w:val="082262D5"/>
    <w:rsid w:val="082263CA"/>
    <w:rsid w:val="082263F0"/>
    <w:rsid w:val="0822642F"/>
    <w:rsid w:val="08226458"/>
    <w:rsid w:val="082264C8"/>
    <w:rsid w:val="082264CE"/>
    <w:rsid w:val="082264FD"/>
    <w:rsid w:val="08226565"/>
    <w:rsid w:val="082266E3"/>
    <w:rsid w:val="08226731"/>
    <w:rsid w:val="08226779"/>
    <w:rsid w:val="08226886"/>
    <w:rsid w:val="08226889"/>
    <w:rsid w:val="08226929"/>
    <w:rsid w:val="082269E5"/>
    <w:rsid w:val="08226A0D"/>
    <w:rsid w:val="08226A5F"/>
    <w:rsid w:val="08226A82"/>
    <w:rsid w:val="08226B1E"/>
    <w:rsid w:val="08226B1F"/>
    <w:rsid w:val="08226B54"/>
    <w:rsid w:val="08226B6B"/>
    <w:rsid w:val="08226B8F"/>
    <w:rsid w:val="08226CB9"/>
    <w:rsid w:val="08226D21"/>
    <w:rsid w:val="08226D2D"/>
    <w:rsid w:val="08226D4F"/>
    <w:rsid w:val="08226D5C"/>
    <w:rsid w:val="08226D68"/>
    <w:rsid w:val="08226D6D"/>
    <w:rsid w:val="08226D71"/>
    <w:rsid w:val="08226D7B"/>
    <w:rsid w:val="08226DB6"/>
    <w:rsid w:val="08226DC2"/>
    <w:rsid w:val="08226E05"/>
    <w:rsid w:val="08226E29"/>
    <w:rsid w:val="08226E50"/>
    <w:rsid w:val="08226EAA"/>
    <w:rsid w:val="08226EB5"/>
    <w:rsid w:val="08226F39"/>
    <w:rsid w:val="08226F7D"/>
    <w:rsid w:val="0822702A"/>
    <w:rsid w:val="0822707A"/>
    <w:rsid w:val="082270C4"/>
    <w:rsid w:val="082271B0"/>
    <w:rsid w:val="0822722A"/>
    <w:rsid w:val="08227247"/>
    <w:rsid w:val="082272D1"/>
    <w:rsid w:val="08227349"/>
    <w:rsid w:val="08227394"/>
    <w:rsid w:val="082273D0"/>
    <w:rsid w:val="082273D2"/>
    <w:rsid w:val="0822745A"/>
    <w:rsid w:val="0822747D"/>
    <w:rsid w:val="0822748C"/>
    <w:rsid w:val="082274A1"/>
    <w:rsid w:val="082274CF"/>
    <w:rsid w:val="0822757C"/>
    <w:rsid w:val="08227627"/>
    <w:rsid w:val="0822775D"/>
    <w:rsid w:val="08227840"/>
    <w:rsid w:val="08227924"/>
    <w:rsid w:val="082279DC"/>
    <w:rsid w:val="082279DE"/>
    <w:rsid w:val="08227A22"/>
    <w:rsid w:val="08227A38"/>
    <w:rsid w:val="08227B50"/>
    <w:rsid w:val="08227B8C"/>
    <w:rsid w:val="08227BAD"/>
    <w:rsid w:val="08227BAF"/>
    <w:rsid w:val="08227D0B"/>
    <w:rsid w:val="08227E0A"/>
    <w:rsid w:val="08227E29"/>
    <w:rsid w:val="08227E48"/>
    <w:rsid w:val="08227E6D"/>
    <w:rsid w:val="08227E82"/>
    <w:rsid w:val="08227EE6"/>
    <w:rsid w:val="08227EF7"/>
    <w:rsid w:val="08227F31"/>
    <w:rsid w:val="08227F35"/>
    <w:rsid w:val="08227F3E"/>
    <w:rsid w:val="08227FA7"/>
    <w:rsid w:val="08230066"/>
    <w:rsid w:val="08230092"/>
    <w:rsid w:val="082300B8"/>
    <w:rsid w:val="082300D9"/>
    <w:rsid w:val="08230333"/>
    <w:rsid w:val="0823037D"/>
    <w:rsid w:val="08230383"/>
    <w:rsid w:val="0823043C"/>
    <w:rsid w:val="08230452"/>
    <w:rsid w:val="0823047B"/>
    <w:rsid w:val="082304C6"/>
    <w:rsid w:val="082306F1"/>
    <w:rsid w:val="0823078C"/>
    <w:rsid w:val="08230790"/>
    <w:rsid w:val="0823079A"/>
    <w:rsid w:val="082307FA"/>
    <w:rsid w:val="08230860"/>
    <w:rsid w:val="08230878"/>
    <w:rsid w:val="0823087F"/>
    <w:rsid w:val="0823098E"/>
    <w:rsid w:val="08230996"/>
    <w:rsid w:val="08230AA9"/>
    <w:rsid w:val="08230AAB"/>
    <w:rsid w:val="08230AC6"/>
    <w:rsid w:val="08230B6E"/>
    <w:rsid w:val="08230C53"/>
    <w:rsid w:val="08230D54"/>
    <w:rsid w:val="08230D98"/>
    <w:rsid w:val="08230E1B"/>
    <w:rsid w:val="08230E51"/>
    <w:rsid w:val="08230E55"/>
    <w:rsid w:val="08230F44"/>
    <w:rsid w:val="08230F81"/>
    <w:rsid w:val="08230F8F"/>
    <w:rsid w:val="08230FC4"/>
    <w:rsid w:val="08230FF6"/>
    <w:rsid w:val="08231114"/>
    <w:rsid w:val="08231166"/>
    <w:rsid w:val="082311D4"/>
    <w:rsid w:val="08231258"/>
    <w:rsid w:val="082312BD"/>
    <w:rsid w:val="082314C7"/>
    <w:rsid w:val="0823151E"/>
    <w:rsid w:val="08231530"/>
    <w:rsid w:val="082315BE"/>
    <w:rsid w:val="082315DE"/>
    <w:rsid w:val="082317C2"/>
    <w:rsid w:val="08231864"/>
    <w:rsid w:val="082318B6"/>
    <w:rsid w:val="082319A3"/>
    <w:rsid w:val="082319DF"/>
    <w:rsid w:val="08231A2B"/>
    <w:rsid w:val="08231B21"/>
    <w:rsid w:val="08231B58"/>
    <w:rsid w:val="08231BFE"/>
    <w:rsid w:val="08231C4B"/>
    <w:rsid w:val="08231D2C"/>
    <w:rsid w:val="08231D40"/>
    <w:rsid w:val="08231D48"/>
    <w:rsid w:val="08231D4E"/>
    <w:rsid w:val="08231E4D"/>
    <w:rsid w:val="08231E68"/>
    <w:rsid w:val="08231E9A"/>
    <w:rsid w:val="08231EB4"/>
    <w:rsid w:val="08232061"/>
    <w:rsid w:val="0823206C"/>
    <w:rsid w:val="0823217C"/>
    <w:rsid w:val="082321CC"/>
    <w:rsid w:val="082322E9"/>
    <w:rsid w:val="0823234C"/>
    <w:rsid w:val="082323E2"/>
    <w:rsid w:val="08232582"/>
    <w:rsid w:val="08232599"/>
    <w:rsid w:val="082325AD"/>
    <w:rsid w:val="082325C6"/>
    <w:rsid w:val="08232620"/>
    <w:rsid w:val="08232638"/>
    <w:rsid w:val="082326E4"/>
    <w:rsid w:val="08232799"/>
    <w:rsid w:val="0823279B"/>
    <w:rsid w:val="082327DF"/>
    <w:rsid w:val="082328CE"/>
    <w:rsid w:val="08232A27"/>
    <w:rsid w:val="08232B51"/>
    <w:rsid w:val="08232C15"/>
    <w:rsid w:val="08232C53"/>
    <w:rsid w:val="08232D9B"/>
    <w:rsid w:val="08232DB9"/>
    <w:rsid w:val="08232DF8"/>
    <w:rsid w:val="08232EA8"/>
    <w:rsid w:val="08232F7C"/>
    <w:rsid w:val="08232F85"/>
    <w:rsid w:val="08233110"/>
    <w:rsid w:val="0823312F"/>
    <w:rsid w:val="08233148"/>
    <w:rsid w:val="08233183"/>
    <w:rsid w:val="08233222"/>
    <w:rsid w:val="08233228"/>
    <w:rsid w:val="0823325C"/>
    <w:rsid w:val="0823328E"/>
    <w:rsid w:val="082332BC"/>
    <w:rsid w:val="082332EB"/>
    <w:rsid w:val="0823335B"/>
    <w:rsid w:val="08233381"/>
    <w:rsid w:val="08233400"/>
    <w:rsid w:val="08233417"/>
    <w:rsid w:val="08233468"/>
    <w:rsid w:val="08233547"/>
    <w:rsid w:val="0823354C"/>
    <w:rsid w:val="082335EC"/>
    <w:rsid w:val="08233607"/>
    <w:rsid w:val="0823360D"/>
    <w:rsid w:val="0823360F"/>
    <w:rsid w:val="08233685"/>
    <w:rsid w:val="082337A6"/>
    <w:rsid w:val="082337D6"/>
    <w:rsid w:val="082337F9"/>
    <w:rsid w:val="08233808"/>
    <w:rsid w:val="0823384E"/>
    <w:rsid w:val="082338F6"/>
    <w:rsid w:val="082338FC"/>
    <w:rsid w:val="08233903"/>
    <w:rsid w:val="0823394F"/>
    <w:rsid w:val="08233986"/>
    <w:rsid w:val="082339A1"/>
    <w:rsid w:val="082339E2"/>
    <w:rsid w:val="08233B7B"/>
    <w:rsid w:val="08233C6D"/>
    <w:rsid w:val="08233CCE"/>
    <w:rsid w:val="08233D82"/>
    <w:rsid w:val="08233DBE"/>
    <w:rsid w:val="08233E4D"/>
    <w:rsid w:val="08233FC9"/>
    <w:rsid w:val="08234020"/>
    <w:rsid w:val="08234069"/>
    <w:rsid w:val="082341A1"/>
    <w:rsid w:val="082341FE"/>
    <w:rsid w:val="08234276"/>
    <w:rsid w:val="0823431E"/>
    <w:rsid w:val="082343BB"/>
    <w:rsid w:val="082343FE"/>
    <w:rsid w:val="0823440C"/>
    <w:rsid w:val="08234488"/>
    <w:rsid w:val="082344AC"/>
    <w:rsid w:val="082344C0"/>
    <w:rsid w:val="082344ED"/>
    <w:rsid w:val="0823451B"/>
    <w:rsid w:val="08234601"/>
    <w:rsid w:val="0823463C"/>
    <w:rsid w:val="082347C4"/>
    <w:rsid w:val="082347D7"/>
    <w:rsid w:val="082347EA"/>
    <w:rsid w:val="08234813"/>
    <w:rsid w:val="08234843"/>
    <w:rsid w:val="0823485A"/>
    <w:rsid w:val="0823488D"/>
    <w:rsid w:val="082348BB"/>
    <w:rsid w:val="082348F5"/>
    <w:rsid w:val="08234948"/>
    <w:rsid w:val="0823496D"/>
    <w:rsid w:val="0823498D"/>
    <w:rsid w:val="082349C1"/>
    <w:rsid w:val="08234AEF"/>
    <w:rsid w:val="08234B7E"/>
    <w:rsid w:val="08234C6D"/>
    <w:rsid w:val="08234CA3"/>
    <w:rsid w:val="08234D9F"/>
    <w:rsid w:val="08234DF5"/>
    <w:rsid w:val="08234FE8"/>
    <w:rsid w:val="08235018"/>
    <w:rsid w:val="08235019"/>
    <w:rsid w:val="0823513B"/>
    <w:rsid w:val="0823516A"/>
    <w:rsid w:val="082352C9"/>
    <w:rsid w:val="08235333"/>
    <w:rsid w:val="0823538D"/>
    <w:rsid w:val="082353D6"/>
    <w:rsid w:val="08235405"/>
    <w:rsid w:val="082354FD"/>
    <w:rsid w:val="0823552C"/>
    <w:rsid w:val="08235589"/>
    <w:rsid w:val="08235628"/>
    <w:rsid w:val="08235642"/>
    <w:rsid w:val="0823566E"/>
    <w:rsid w:val="0823576C"/>
    <w:rsid w:val="082357CD"/>
    <w:rsid w:val="08235820"/>
    <w:rsid w:val="082358D6"/>
    <w:rsid w:val="082358DE"/>
    <w:rsid w:val="082358E5"/>
    <w:rsid w:val="08235905"/>
    <w:rsid w:val="0823596F"/>
    <w:rsid w:val="08235976"/>
    <w:rsid w:val="0823599E"/>
    <w:rsid w:val="082359B9"/>
    <w:rsid w:val="082359BD"/>
    <w:rsid w:val="08235AC6"/>
    <w:rsid w:val="08235B0A"/>
    <w:rsid w:val="08235B58"/>
    <w:rsid w:val="08235B70"/>
    <w:rsid w:val="08235B9F"/>
    <w:rsid w:val="08235C5F"/>
    <w:rsid w:val="08235C89"/>
    <w:rsid w:val="08235D31"/>
    <w:rsid w:val="08235E05"/>
    <w:rsid w:val="08235E1B"/>
    <w:rsid w:val="08235EDE"/>
    <w:rsid w:val="08235F8C"/>
    <w:rsid w:val="0823601B"/>
    <w:rsid w:val="0823609E"/>
    <w:rsid w:val="08236133"/>
    <w:rsid w:val="0823615B"/>
    <w:rsid w:val="082361A1"/>
    <w:rsid w:val="082361A3"/>
    <w:rsid w:val="082361A5"/>
    <w:rsid w:val="082361BA"/>
    <w:rsid w:val="082361E9"/>
    <w:rsid w:val="08236286"/>
    <w:rsid w:val="08236403"/>
    <w:rsid w:val="08236405"/>
    <w:rsid w:val="0823646E"/>
    <w:rsid w:val="082364D2"/>
    <w:rsid w:val="08236506"/>
    <w:rsid w:val="08236532"/>
    <w:rsid w:val="082365A0"/>
    <w:rsid w:val="082366C5"/>
    <w:rsid w:val="082366DD"/>
    <w:rsid w:val="082366EF"/>
    <w:rsid w:val="082369B3"/>
    <w:rsid w:val="08236A27"/>
    <w:rsid w:val="08236A76"/>
    <w:rsid w:val="08236AAC"/>
    <w:rsid w:val="08236AC9"/>
    <w:rsid w:val="08236B0A"/>
    <w:rsid w:val="08236B8A"/>
    <w:rsid w:val="08236BDB"/>
    <w:rsid w:val="08236C26"/>
    <w:rsid w:val="08236C2B"/>
    <w:rsid w:val="08236E04"/>
    <w:rsid w:val="08236E84"/>
    <w:rsid w:val="08236F4F"/>
    <w:rsid w:val="08236F8F"/>
    <w:rsid w:val="08236FA1"/>
    <w:rsid w:val="08237035"/>
    <w:rsid w:val="0823704E"/>
    <w:rsid w:val="082370D6"/>
    <w:rsid w:val="082370F1"/>
    <w:rsid w:val="08237270"/>
    <w:rsid w:val="082372E9"/>
    <w:rsid w:val="08237389"/>
    <w:rsid w:val="082373A4"/>
    <w:rsid w:val="08237406"/>
    <w:rsid w:val="0823745D"/>
    <w:rsid w:val="08237479"/>
    <w:rsid w:val="082374A9"/>
    <w:rsid w:val="08237528"/>
    <w:rsid w:val="08237574"/>
    <w:rsid w:val="08237648"/>
    <w:rsid w:val="08237779"/>
    <w:rsid w:val="082377E4"/>
    <w:rsid w:val="0823781F"/>
    <w:rsid w:val="082379A9"/>
    <w:rsid w:val="082379DD"/>
    <w:rsid w:val="08237A9B"/>
    <w:rsid w:val="08237AE3"/>
    <w:rsid w:val="08237B4C"/>
    <w:rsid w:val="08237B50"/>
    <w:rsid w:val="08237B7E"/>
    <w:rsid w:val="08237C14"/>
    <w:rsid w:val="08237C2C"/>
    <w:rsid w:val="08237D3F"/>
    <w:rsid w:val="08237D68"/>
    <w:rsid w:val="08237EA7"/>
    <w:rsid w:val="08237EF1"/>
    <w:rsid w:val="08237F2F"/>
    <w:rsid w:val="08237F65"/>
    <w:rsid w:val="0824002A"/>
    <w:rsid w:val="08240062"/>
    <w:rsid w:val="08240078"/>
    <w:rsid w:val="082400CB"/>
    <w:rsid w:val="08240141"/>
    <w:rsid w:val="0824024A"/>
    <w:rsid w:val="08240343"/>
    <w:rsid w:val="082403EF"/>
    <w:rsid w:val="0824046E"/>
    <w:rsid w:val="08240494"/>
    <w:rsid w:val="082404AF"/>
    <w:rsid w:val="082404B7"/>
    <w:rsid w:val="082404BE"/>
    <w:rsid w:val="08240503"/>
    <w:rsid w:val="0824067B"/>
    <w:rsid w:val="08240682"/>
    <w:rsid w:val="08240816"/>
    <w:rsid w:val="08240838"/>
    <w:rsid w:val="0824085A"/>
    <w:rsid w:val="08240879"/>
    <w:rsid w:val="082408B7"/>
    <w:rsid w:val="0824091F"/>
    <w:rsid w:val="082409BE"/>
    <w:rsid w:val="082409DB"/>
    <w:rsid w:val="08240B20"/>
    <w:rsid w:val="08240B5E"/>
    <w:rsid w:val="08240BE6"/>
    <w:rsid w:val="08240C34"/>
    <w:rsid w:val="08240C3C"/>
    <w:rsid w:val="08240D26"/>
    <w:rsid w:val="08240D3E"/>
    <w:rsid w:val="08240DAF"/>
    <w:rsid w:val="08240DD3"/>
    <w:rsid w:val="08240E1C"/>
    <w:rsid w:val="08240E78"/>
    <w:rsid w:val="08240ED3"/>
    <w:rsid w:val="08240F21"/>
    <w:rsid w:val="08240F25"/>
    <w:rsid w:val="08240F49"/>
    <w:rsid w:val="0824100C"/>
    <w:rsid w:val="08241015"/>
    <w:rsid w:val="08241091"/>
    <w:rsid w:val="0824113D"/>
    <w:rsid w:val="0824116F"/>
    <w:rsid w:val="082411CB"/>
    <w:rsid w:val="082411DB"/>
    <w:rsid w:val="082412EF"/>
    <w:rsid w:val="08241327"/>
    <w:rsid w:val="0824140D"/>
    <w:rsid w:val="082414AC"/>
    <w:rsid w:val="08241526"/>
    <w:rsid w:val="08241581"/>
    <w:rsid w:val="0824161C"/>
    <w:rsid w:val="08241645"/>
    <w:rsid w:val="08241671"/>
    <w:rsid w:val="0824167D"/>
    <w:rsid w:val="082416F0"/>
    <w:rsid w:val="08241798"/>
    <w:rsid w:val="0824189F"/>
    <w:rsid w:val="082418D2"/>
    <w:rsid w:val="08241925"/>
    <w:rsid w:val="082419BB"/>
    <w:rsid w:val="082419C5"/>
    <w:rsid w:val="082419E6"/>
    <w:rsid w:val="08241A4C"/>
    <w:rsid w:val="08241AC7"/>
    <w:rsid w:val="08241AE2"/>
    <w:rsid w:val="08241B85"/>
    <w:rsid w:val="08241BAC"/>
    <w:rsid w:val="08241BAE"/>
    <w:rsid w:val="08241BDD"/>
    <w:rsid w:val="08241BF7"/>
    <w:rsid w:val="08241C11"/>
    <w:rsid w:val="08241CD2"/>
    <w:rsid w:val="08241DF4"/>
    <w:rsid w:val="08241F3C"/>
    <w:rsid w:val="08241F3E"/>
    <w:rsid w:val="08241FE0"/>
    <w:rsid w:val="08242061"/>
    <w:rsid w:val="08242091"/>
    <w:rsid w:val="082420FE"/>
    <w:rsid w:val="0824219D"/>
    <w:rsid w:val="082421C6"/>
    <w:rsid w:val="082421F7"/>
    <w:rsid w:val="08242223"/>
    <w:rsid w:val="08242247"/>
    <w:rsid w:val="082422A6"/>
    <w:rsid w:val="082422FC"/>
    <w:rsid w:val="082423B6"/>
    <w:rsid w:val="082423C3"/>
    <w:rsid w:val="082423EE"/>
    <w:rsid w:val="08242550"/>
    <w:rsid w:val="08242575"/>
    <w:rsid w:val="082425A1"/>
    <w:rsid w:val="08242606"/>
    <w:rsid w:val="08242694"/>
    <w:rsid w:val="082426C4"/>
    <w:rsid w:val="08242703"/>
    <w:rsid w:val="08242733"/>
    <w:rsid w:val="0824276B"/>
    <w:rsid w:val="08242770"/>
    <w:rsid w:val="08242779"/>
    <w:rsid w:val="0824280D"/>
    <w:rsid w:val="082428B5"/>
    <w:rsid w:val="0824290E"/>
    <w:rsid w:val="0824291C"/>
    <w:rsid w:val="0824295F"/>
    <w:rsid w:val="0824296E"/>
    <w:rsid w:val="082429E7"/>
    <w:rsid w:val="08242A41"/>
    <w:rsid w:val="08242AF1"/>
    <w:rsid w:val="08242B31"/>
    <w:rsid w:val="08242C3C"/>
    <w:rsid w:val="08242C82"/>
    <w:rsid w:val="08242CA3"/>
    <w:rsid w:val="08242D16"/>
    <w:rsid w:val="08242D50"/>
    <w:rsid w:val="08242DD5"/>
    <w:rsid w:val="08242E63"/>
    <w:rsid w:val="08242EF2"/>
    <w:rsid w:val="08242EF4"/>
    <w:rsid w:val="08242F19"/>
    <w:rsid w:val="08242F27"/>
    <w:rsid w:val="08242F7F"/>
    <w:rsid w:val="0824305C"/>
    <w:rsid w:val="082430AE"/>
    <w:rsid w:val="082431BF"/>
    <w:rsid w:val="082431D8"/>
    <w:rsid w:val="08243221"/>
    <w:rsid w:val="08243242"/>
    <w:rsid w:val="082432D2"/>
    <w:rsid w:val="082433F1"/>
    <w:rsid w:val="08243429"/>
    <w:rsid w:val="082434B7"/>
    <w:rsid w:val="082434BC"/>
    <w:rsid w:val="0824359A"/>
    <w:rsid w:val="082435D0"/>
    <w:rsid w:val="082435E5"/>
    <w:rsid w:val="082437C8"/>
    <w:rsid w:val="082437F9"/>
    <w:rsid w:val="0824387D"/>
    <w:rsid w:val="082439CB"/>
    <w:rsid w:val="082439D5"/>
    <w:rsid w:val="08243A13"/>
    <w:rsid w:val="08243A9D"/>
    <w:rsid w:val="08243ACC"/>
    <w:rsid w:val="08243B27"/>
    <w:rsid w:val="08243C9F"/>
    <w:rsid w:val="08243CA7"/>
    <w:rsid w:val="08243CC8"/>
    <w:rsid w:val="08243CDE"/>
    <w:rsid w:val="08243D75"/>
    <w:rsid w:val="08243D89"/>
    <w:rsid w:val="08243FF2"/>
    <w:rsid w:val="08244060"/>
    <w:rsid w:val="08244078"/>
    <w:rsid w:val="08244080"/>
    <w:rsid w:val="08244129"/>
    <w:rsid w:val="0824419C"/>
    <w:rsid w:val="082441A1"/>
    <w:rsid w:val="082442C8"/>
    <w:rsid w:val="082442DF"/>
    <w:rsid w:val="082442F6"/>
    <w:rsid w:val="08244326"/>
    <w:rsid w:val="08244336"/>
    <w:rsid w:val="0824435E"/>
    <w:rsid w:val="0824441A"/>
    <w:rsid w:val="08244592"/>
    <w:rsid w:val="082445DE"/>
    <w:rsid w:val="0824468B"/>
    <w:rsid w:val="082446E6"/>
    <w:rsid w:val="082446F8"/>
    <w:rsid w:val="082446FC"/>
    <w:rsid w:val="082447CD"/>
    <w:rsid w:val="082447DE"/>
    <w:rsid w:val="082447EC"/>
    <w:rsid w:val="08244967"/>
    <w:rsid w:val="082449F9"/>
    <w:rsid w:val="08244A00"/>
    <w:rsid w:val="08244C24"/>
    <w:rsid w:val="08244E0E"/>
    <w:rsid w:val="08244E2E"/>
    <w:rsid w:val="08244E57"/>
    <w:rsid w:val="08244F03"/>
    <w:rsid w:val="08244F0C"/>
    <w:rsid w:val="08244FAB"/>
    <w:rsid w:val="08245017"/>
    <w:rsid w:val="0824519D"/>
    <w:rsid w:val="082451C4"/>
    <w:rsid w:val="0824520E"/>
    <w:rsid w:val="08245248"/>
    <w:rsid w:val="082452BA"/>
    <w:rsid w:val="082452EB"/>
    <w:rsid w:val="082454F3"/>
    <w:rsid w:val="08245534"/>
    <w:rsid w:val="08245576"/>
    <w:rsid w:val="08245699"/>
    <w:rsid w:val="082456DC"/>
    <w:rsid w:val="0824572D"/>
    <w:rsid w:val="08245775"/>
    <w:rsid w:val="0824582A"/>
    <w:rsid w:val="082458DB"/>
    <w:rsid w:val="082458F8"/>
    <w:rsid w:val="08245914"/>
    <w:rsid w:val="08245956"/>
    <w:rsid w:val="082459FA"/>
    <w:rsid w:val="08245A11"/>
    <w:rsid w:val="08245B60"/>
    <w:rsid w:val="08245B62"/>
    <w:rsid w:val="08245B8D"/>
    <w:rsid w:val="08245B9C"/>
    <w:rsid w:val="08245BBA"/>
    <w:rsid w:val="08245BFD"/>
    <w:rsid w:val="08245C5E"/>
    <w:rsid w:val="08245E28"/>
    <w:rsid w:val="08245FFB"/>
    <w:rsid w:val="082460E8"/>
    <w:rsid w:val="0824610E"/>
    <w:rsid w:val="08246210"/>
    <w:rsid w:val="08246239"/>
    <w:rsid w:val="082463D9"/>
    <w:rsid w:val="082463FA"/>
    <w:rsid w:val="08246441"/>
    <w:rsid w:val="082464DD"/>
    <w:rsid w:val="082464FD"/>
    <w:rsid w:val="08246575"/>
    <w:rsid w:val="0824657B"/>
    <w:rsid w:val="08246596"/>
    <w:rsid w:val="0824666A"/>
    <w:rsid w:val="082466F4"/>
    <w:rsid w:val="08246808"/>
    <w:rsid w:val="082468AF"/>
    <w:rsid w:val="08246933"/>
    <w:rsid w:val="0824697A"/>
    <w:rsid w:val="08246A22"/>
    <w:rsid w:val="08246A4A"/>
    <w:rsid w:val="08246AE3"/>
    <w:rsid w:val="08246AF9"/>
    <w:rsid w:val="08246B47"/>
    <w:rsid w:val="08246B73"/>
    <w:rsid w:val="08246BCA"/>
    <w:rsid w:val="08246C1B"/>
    <w:rsid w:val="08246CCE"/>
    <w:rsid w:val="08246CEC"/>
    <w:rsid w:val="08246CED"/>
    <w:rsid w:val="08246D24"/>
    <w:rsid w:val="08246D48"/>
    <w:rsid w:val="08246DA3"/>
    <w:rsid w:val="08246F9D"/>
    <w:rsid w:val="08247028"/>
    <w:rsid w:val="08247085"/>
    <w:rsid w:val="08247206"/>
    <w:rsid w:val="08247344"/>
    <w:rsid w:val="08247359"/>
    <w:rsid w:val="08247447"/>
    <w:rsid w:val="0824747E"/>
    <w:rsid w:val="08247480"/>
    <w:rsid w:val="082474EB"/>
    <w:rsid w:val="082476D7"/>
    <w:rsid w:val="08247737"/>
    <w:rsid w:val="0824784C"/>
    <w:rsid w:val="0824785F"/>
    <w:rsid w:val="08247890"/>
    <w:rsid w:val="0824791F"/>
    <w:rsid w:val="08247968"/>
    <w:rsid w:val="08247B05"/>
    <w:rsid w:val="08247B96"/>
    <w:rsid w:val="08247BD2"/>
    <w:rsid w:val="08247C92"/>
    <w:rsid w:val="08247DEA"/>
    <w:rsid w:val="08247E3E"/>
    <w:rsid w:val="08247E73"/>
    <w:rsid w:val="08247EA1"/>
    <w:rsid w:val="08247F64"/>
    <w:rsid w:val="08247F69"/>
    <w:rsid w:val="08247F7A"/>
    <w:rsid w:val="08247F7E"/>
    <w:rsid w:val="08247FFC"/>
    <w:rsid w:val="08247FFE"/>
    <w:rsid w:val="08250133"/>
    <w:rsid w:val="0825013C"/>
    <w:rsid w:val="082501C4"/>
    <w:rsid w:val="082501F5"/>
    <w:rsid w:val="08250232"/>
    <w:rsid w:val="08250255"/>
    <w:rsid w:val="082502D3"/>
    <w:rsid w:val="08250354"/>
    <w:rsid w:val="08250362"/>
    <w:rsid w:val="082506E5"/>
    <w:rsid w:val="082507DD"/>
    <w:rsid w:val="082507EB"/>
    <w:rsid w:val="082507FA"/>
    <w:rsid w:val="08250804"/>
    <w:rsid w:val="08250A6B"/>
    <w:rsid w:val="08250B18"/>
    <w:rsid w:val="08250B83"/>
    <w:rsid w:val="08250BE7"/>
    <w:rsid w:val="08250D1D"/>
    <w:rsid w:val="08250E65"/>
    <w:rsid w:val="08250F40"/>
    <w:rsid w:val="0825106C"/>
    <w:rsid w:val="082511E9"/>
    <w:rsid w:val="08251211"/>
    <w:rsid w:val="0825125A"/>
    <w:rsid w:val="0825128D"/>
    <w:rsid w:val="082512DD"/>
    <w:rsid w:val="082512F9"/>
    <w:rsid w:val="082513DB"/>
    <w:rsid w:val="082513E1"/>
    <w:rsid w:val="08251473"/>
    <w:rsid w:val="08251499"/>
    <w:rsid w:val="08251559"/>
    <w:rsid w:val="082515AA"/>
    <w:rsid w:val="082515D2"/>
    <w:rsid w:val="08251602"/>
    <w:rsid w:val="08251614"/>
    <w:rsid w:val="08251644"/>
    <w:rsid w:val="082516CD"/>
    <w:rsid w:val="082516FA"/>
    <w:rsid w:val="082517FA"/>
    <w:rsid w:val="08251836"/>
    <w:rsid w:val="08251A66"/>
    <w:rsid w:val="08251A70"/>
    <w:rsid w:val="08251A88"/>
    <w:rsid w:val="08251AB8"/>
    <w:rsid w:val="08251C06"/>
    <w:rsid w:val="08251C16"/>
    <w:rsid w:val="08251CAE"/>
    <w:rsid w:val="08251CFF"/>
    <w:rsid w:val="08251D25"/>
    <w:rsid w:val="08251D47"/>
    <w:rsid w:val="08251D90"/>
    <w:rsid w:val="08251E27"/>
    <w:rsid w:val="08251E6E"/>
    <w:rsid w:val="08251EE1"/>
    <w:rsid w:val="08251F09"/>
    <w:rsid w:val="08251F29"/>
    <w:rsid w:val="08251FB9"/>
    <w:rsid w:val="08252023"/>
    <w:rsid w:val="08252105"/>
    <w:rsid w:val="08252161"/>
    <w:rsid w:val="08252178"/>
    <w:rsid w:val="08252195"/>
    <w:rsid w:val="082521C5"/>
    <w:rsid w:val="08252219"/>
    <w:rsid w:val="08252249"/>
    <w:rsid w:val="082522A3"/>
    <w:rsid w:val="082522BD"/>
    <w:rsid w:val="082522D7"/>
    <w:rsid w:val="082522E8"/>
    <w:rsid w:val="082523F1"/>
    <w:rsid w:val="082524F3"/>
    <w:rsid w:val="08252592"/>
    <w:rsid w:val="0825262C"/>
    <w:rsid w:val="082526E0"/>
    <w:rsid w:val="08252756"/>
    <w:rsid w:val="0825279E"/>
    <w:rsid w:val="082527A7"/>
    <w:rsid w:val="08252841"/>
    <w:rsid w:val="08252886"/>
    <w:rsid w:val="08252925"/>
    <w:rsid w:val="0825297E"/>
    <w:rsid w:val="08252A93"/>
    <w:rsid w:val="08252ADC"/>
    <w:rsid w:val="08252B10"/>
    <w:rsid w:val="08252B27"/>
    <w:rsid w:val="08252C14"/>
    <w:rsid w:val="08252C88"/>
    <w:rsid w:val="08252CB2"/>
    <w:rsid w:val="08252D4B"/>
    <w:rsid w:val="08252DA7"/>
    <w:rsid w:val="08252EE6"/>
    <w:rsid w:val="08252F5D"/>
    <w:rsid w:val="08252FB3"/>
    <w:rsid w:val="082530AD"/>
    <w:rsid w:val="082530D8"/>
    <w:rsid w:val="082530EC"/>
    <w:rsid w:val="0825311F"/>
    <w:rsid w:val="082531F7"/>
    <w:rsid w:val="08253222"/>
    <w:rsid w:val="08253240"/>
    <w:rsid w:val="08253338"/>
    <w:rsid w:val="082533A9"/>
    <w:rsid w:val="082533AA"/>
    <w:rsid w:val="082533E4"/>
    <w:rsid w:val="0825343B"/>
    <w:rsid w:val="082534A1"/>
    <w:rsid w:val="082534EB"/>
    <w:rsid w:val="08253613"/>
    <w:rsid w:val="08253616"/>
    <w:rsid w:val="0825366B"/>
    <w:rsid w:val="0825369D"/>
    <w:rsid w:val="0825370D"/>
    <w:rsid w:val="08253735"/>
    <w:rsid w:val="08253767"/>
    <w:rsid w:val="082537D9"/>
    <w:rsid w:val="0825382F"/>
    <w:rsid w:val="08253951"/>
    <w:rsid w:val="0825396F"/>
    <w:rsid w:val="08253A79"/>
    <w:rsid w:val="08253B01"/>
    <w:rsid w:val="08253B97"/>
    <w:rsid w:val="08253C50"/>
    <w:rsid w:val="08253CB8"/>
    <w:rsid w:val="08253D84"/>
    <w:rsid w:val="08253D9F"/>
    <w:rsid w:val="08253ECA"/>
    <w:rsid w:val="08253F87"/>
    <w:rsid w:val="08253FA6"/>
    <w:rsid w:val="08253FB9"/>
    <w:rsid w:val="08253FDB"/>
    <w:rsid w:val="08253FFD"/>
    <w:rsid w:val="0825403E"/>
    <w:rsid w:val="08254150"/>
    <w:rsid w:val="08254244"/>
    <w:rsid w:val="08254277"/>
    <w:rsid w:val="0825435A"/>
    <w:rsid w:val="082543A8"/>
    <w:rsid w:val="0825447A"/>
    <w:rsid w:val="08254495"/>
    <w:rsid w:val="082544FF"/>
    <w:rsid w:val="08254509"/>
    <w:rsid w:val="0825455F"/>
    <w:rsid w:val="0825467F"/>
    <w:rsid w:val="082546C8"/>
    <w:rsid w:val="082546EC"/>
    <w:rsid w:val="0825474D"/>
    <w:rsid w:val="082547F3"/>
    <w:rsid w:val="08254815"/>
    <w:rsid w:val="0825482C"/>
    <w:rsid w:val="082548B0"/>
    <w:rsid w:val="082548B6"/>
    <w:rsid w:val="082548CC"/>
    <w:rsid w:val="082549BD"/>
    <w:rsid w:val="08254A05"/>
    <w:rsid w:val="08254A34"/>
    <w:rsid w:val="08254AB1"/>
    <w:rsid w:val="08254AC5"/>
    <w:rsid w:val="08254B18"/>
    <w:rsid w:val="08254BEA"/>
    <w:rsid w:val="08254C19"/>
    <w:rsid w:val="08254F0B"/>
    <w:rsid w:val="0825513B"/>
    <w:rsid w:val="082552C7"/>
    <w:rsid w:val="082552D2"/>
    <w:rsid w:val="082552EE"/>
    <w:rsid w:val="082552F5"/>
    <w:rsid w:val="0825530A"/>
    <w:rsid w:val="08255339"/>
    <w:rsid w:val="08255363"/>
    <w:rsid w:val="082553CD"/>
    <w:rsid w:val="082553DB"/>
    <w:rsid w:val="08255511"/>
    <w:rsid w:val="0825552E"/>
    <w:rsid w:val="08255531"/>
    <w:rsid w:val="0825555D"/>
    <w:rsid w:val="0825561D"/>
    <w:rsid w:val="08255682"/>
    <w:rsid w:val="08255685"/>
    <w:rsid w:val="082557B1"/>
    <w:rsid w:val="08255827"/>
    <w:rsid w:val="08255844"/>
    <w:rsid w:val="08255890"/>
    <w:rsid w:val="08255892"/>
    <w:rsid w:val="08255922"/>
    <w:rsid w:val="0825592C"/>
    <w:rsid w:val="08255AB6"/>
    <w:rsid w:val="08255BAE"/>
    <w:rsid w:val="08255BE7"/>
    <w:rsid w:val="08255BFD"/>
    <w:rsid w:val="08255C34"/>
    <w:rsid w:val="08255CF0"/>
    <w:rsid w:val="08255D5E"/>
    <w:rsid w:val="08255EE6"/>
    <w:rsid w:val="08255FC9"/>
    <w:rsid w:val="082560FA"/>
    <w:rsid w:val="08256185"/>
    <w:rsid w:val="0825619B"/>
    <w:rsid w:val="082562C3"/>
    <w:rsid w:val="082562EF"/>
    <w:rsid w:val="0825637D"/>
    <w:rsid w:val="082563E0"/>
    <w:rsid w:val="082564B1"/>
    <w:rsid w:val="08256505"/>
    <w:rsid w:val="08256560"/>
    <w:rsid w:val="082565C6"/>
    <w:rsid w:val="08256656"/>
    <w:rsid w:val="082566A3"/>
    <w:rsid w:val="08256774"/>
    <w:rsid w:val="082568DE"/>
    <w:rsid w:val="08256900"/>
    <w:rsid w:val="0825694B"/>
    <w:rsid w:val="082569D7"/>
    <w:rsid w:val="08256A3C"/>
    <w:rsid w:val="08256A66"/>
    <w:rsid w:val="08256AFF"/>
    <w:rsid w:val="08256B25"/>
    <w:rsid w:val="08256D74"/>
    <w:rsid w:val="08256D99"/>
    <w:rsid w:val="08256DBF"/>
    <w:rsid w:val="08256DE0"/>
    <w:rsid w:val="08256EC1"/>
    <w:rsid w:val="08256F4A"/>
    <w:rsid w:val="08256FA5"/>
    <w:rsid w:val="08256FAE"/>
    <w:rsid w:val="08256FB1"/>
    <w:rsid w:val="08257034"/>
    <w:rsid w:val="0825710F"/>
    <w:rsid w:val="082571A5"/>
    <w:rsid w:val="0825731F"/>
    <w:rsid w:val="08257321"/>
    <w:rsid w:val="0825743E"/>
    <w:rsid w:val="08257492"/>
    <w:rsid w:val="082574C1"/>
    <w:rsid w:val="082575A4"/>
    <w:rsid w:val="082575AD"/>
    <w:rsid w:val="082575D3"/>
    <w:rsid w:val="08257639"/>
    <w:rsid w:val="082576E8"/>
    <w:rsid w:val="0825770B"/>
    <w:rsid w:val="0825775E"/>
    <w:rsid w:val="08257770"/>
    <w:rsid w:val="08257868"/>
    <w:rsid w:val="082578D2"/>
    <w:rsid w:val="082578FE"/>
    <w:rsid w:val="0825790B"/>
    <w:rsid w:val="0825795E"/>
    <w:rsid w:val="082579E0"/>
    <w:rsid w:val="082579FF"/>
    <w:rsid w:val="08257A5F"/>
    <w:rsid w:val="08257A80"/>
    <w:rsid w:val="08257A90"/>
    <w:rsid w:val="08257AA8"/>
    <w:rsid w:val="08257AB6"/>
    <w:rsid w:val="08257B61"/>
    <w:rsid w:val="08257BF5"/>
    <w:rsid w:val="08257BF7"/>
    <w:rsid w:val="08257CBC"/>
    <w:rsid w:val="08257D4B"/>
    <w:rsid w:val="08257DDF"/>
    <w:rsid w:val="08257E26"/>
    <w:rsid w:val="08257E62"/>
    <w:rsid w:val="08257E65"/>
    <w:rsid w:val="08257E6A"/>
    <w:rsid w:val="08257F74"/>
    <w:rsid w:val="08257FC3"/>
    <w:rsid w:val="0826004D"/>
    <w:rsid w:val="0826007A"/>
    <w:rsid w:val="082600DE"/>
    <w:rsid w:val="08260129"/>
    <w:rsid w:val="08260149"/>
    <w:rsid w:val="0826020E"/>
    <w:rsid w:val="0826036B"/>
    <w:rsid w:val="082603C7"/>
    <w:rsid w:val="0826047C"/>
    <w:rsid w:val="082604BC"/>
    <w:rsid w:val="08260545"/>
    <w:rsid w:val="08260679"/>
    <w:rsid w:val="0826067B"/>
    <w:rsid w:val="082606A6"/>
    <w:rsid w:val="0826072F"/>
    <w:rsid w:val="0826081C"/>
    <w:rsid w:val="08260A67"/>
    <w:rsid w:val="08260AC2"/>
    <w:rsid w:val="08260ADB"/>
    <w:rsid w:val="08260B7F"/>
    <w:rsid w:val="08260C39"/>
    <w:rsid w:val="08260CC2"/>
    <w:rsid w:val="08260CC9"/>
    <w:rsid w:val="08260F26"/>
    <w:rsid w:val="08260F6E"/>
    <w:rsid w:val="08260F70"/>
    <w:rsid w:val="08260FAE"/>
    <w:rsid w:val="08260FBD"/>
    <w:rsid w:val="08261016"/>
    <w:rsid w:val="08261074"/>
    <w:rsid w:val="0826110A"/>
    <w:rsid w:val="08261144"/>
    <w:rsid w:val="0826116B"/>
    <w:rsid w:val="082611CC"/>
    <w:rsid w:val="082612BE"/>
    <w:rsid w:val="08261369"/>
    <w:rsid w:val="08261431"/>
    <w:rsid w:val="0826146B"/>
    <w:rsid w:val="08261538"/>
    <w:rsid w:val="08261583"/>
    <w:rsid w:val="0826158A"/>
    <w:rsid w:val="082615DE"/>
    <w:rsid w:val="08261640"/>
    <w:rsid w:val="082616A7"/>
    <w:rsid w:val="082617EE"/>
    <w:rsid w:val="08261839"/>
    <w:rsid w:val="08261A0A"/>
    <w:rsid w:val="08261A22"/>
    <w:rsid w:val="08261B47"/>
    <w:rsid w:val="08261C5A"/>
    <w:rsid w:val="08261CB1"/>
    <w:rsid w:val="08261DE9"/>
    <w:rsid w:val="08261E11"/>
    <w:rsid w:val="08261EBE"/>
    <w:rsid w:val="08261EDB"/>
    <w:rsid w:val="08261FB8"/>
    <w:rsid w:val="0826205D"/>
    <w:rsid w:val="08262109"/>
    <w:rsid w:val="0826213A"/>
    <w:rsid w:val="082621E0"/>
    <w:rsid w:val="082621FB"/>
    <w:rsid w:val="08262204"/>
    <w:rsid w:val="08262275"/>
    <w:rsid w:val="082623BE"/>
    <w:rsid w:val="08262467"/>
    <w:rsid w:val="0826257B"/>
    <w:rsid w:val="0826261D"/>
    <w:rsid w:val="08262689"/>
    <w:rsid w:val="082626D9"/>
    <w:rsid w:val="08262703"/>
    <w:rsid w:val="0826275C"/>
    <w:rsid w:val="082627B1"/>
    <w:rsid w:val="08262810"/>
    <w:rsid w:val="082629A8"/>
    <w:rsid w:val="08262A13"/>
    <w:rsid w:val="08262A5C"/>
    <w:rsid w:val="08262A6D"/>
    <w:rsid w:val="08262BA8"/>
    <w:rsid w:val="08262BE5"/>
    <w:rsid w:val="08262C45"/>
    <w:rsid w:val="08262CA2"/>
    <w:rsid w:val="08262D2C"/>
    <w:rsid w:val="08262D48"/>
    <w:rsid w:val="08262E79"/>
    <w:rsid w:val="08262F22"/>
    <w:rsid w:val="08262F28"/>
    <w:rsid w:val="08263164"/>
    <w:rsid w:val="0826324D"/>
    <w:rsid w:val="082632A6"/>
    <w:rsid w:val="08263321"/>
    <w:rsid w:val="08263402"/>
    <w:rsid w:val="08263478"/>
    <w:rsid w:val="082634C5"/>
    <w:rsid w:val="082634F8"/>
    <w:rsid w:val="082635B4"/>
    <w:rsid w:val="082635BB"/>
    <w:rsid w:val="082636DA"/>
    <w:rsid w:val="082636DC"/>
    <w:rsid w:val="08263725"/>
    <w:rsid w:val="0826374D"/>
    <w:rsid w:val="0826375C"/>
    <w:rsid w:val="082637BA"/>
    <w:rsid w:val="082637D8"/>
    <w:rsid w:val="0826381B"/>
    <w:rsid w:val="0826386B"/>
    <w:rsid w:val="08263892"/>
    <w:rsid w:val="082638AD"/>
    <w:rsid w:val="0826390B"/>
    <w:rsid w:val="08263AEF"/>
    <w:rsid w:val="08263B7B"/>
    <w:rsid w:val="08263BD8"/>
    <w:rsid w:val="08263BFE"/>
    <w:rsid w:val="08263CCF"/>
    <w:rsid w:val="08263CD4"/>
    <w:rsid w:val="08263D0F"/>
    <w:rsid w:val="08263D7D"/>
    <w:rsid w:val="08263E42"/>
    <w:rsid w:val="08263E74"/>
    <w:rsid w:val="082640D7"/>
    <w:rsid w:val="082640E4"/>
    <w:rsid w:val="08264119"/>
    <w:rsid w:val="082641D5"/>
    <w:rsid w:val="08264207"/>
    <w:rsid w:val="082642D5"/>
    <w:rsid w:val="082642DF"/>
    <w:rsid w:val="0826430B"/>
    <w:rsid w:val="0826435B"/>
    <w:rsid w:val="082643AE"/>
    <w:rsid w:val="08264468"/>
    <w:rsid w:val="08264488"/>
    <w:rsid w:val="08264586"/>
    <w:rsid w:val="082645D0"/>
    <w:rsid w:val="082646A3"/>
    <w:rsid w:val="082646E9"/>
    <w:rsid w:val="0826484A"/>
    <w:rsid w:val="0826487B"/>
    <w:rsid w:val="082648C3"/>
    <w:rsid w:val="0826492E"/>
    <w:rsid w:val="0826494E"/>
    <w:rsid w:val="082649AE"/>
    <w:rsid w:val="082649B8"/>
    <w:rsid w:val="082649C8"/>
    <w:rsid w:val="08264A43"/>
    <w:rsid w:val="08264AA1"/>
    <w:rsid w:val="08264AC5"/>
    <w:rsid w:val="08264AFF"/>
    <w:rsid w:val="08264B2B"/>
    <w:rsid w:val="08264B2D"/>
    <w:rsid w:val="08264BD8"/>
    <w:rsid w:val="08264C6C"/>
    <w:rsid w:val="08264C8A"/>
    <w:rsid w:val="08264D29"/>
    <w:rsid w:val="08264DDC"/>
    <w:rsid w:val="08264DE9"/>
    <w:rsid w:val="08264E19"/>
    <w:rsid w:val="08264E60"/>
    <w:rsid w:val="08264FF0"/>
    <w:rsid w:val="082650AA"/>
    <w:rsid w:val="08265113"/>
    <w:rsid w:val="08265121"/>
    <w:rsid w:val="082651B8"/>
    <w:rsid w:val="082652B4"/>
    <w:rsid w:val="082652FD"/>
    <w:rsid w:val="082653B7"/>
    <w:rsid w:val="082653F7"/>
    <w:rsid w:val="0826547D"/>
    <w:rsid w:val="08265552"/>
    <w:rsid w:val="082655A1"/>
    <w:rsid w:val="0826571B"/>
    <w:rsid w:val="08265781"/>
    <w:rsid w:val="082657FA"/>
    <w:rsid w:val="0826588D"/>
    <w:rsid w:val="0826589B"/>
    <w:rsid w:val="08265932"/>
    <w:rsid w:val="08265953"/>
    <w:rsid w:val="082659E7"/>
    <w:rsid w:val="08265AAB"/>
    <w:rsid w:val="08265AC5"/>
    <w:rsid w:val="08265AD8"/>
    <w:rsid w:val="08265B01"/>
    <w:rsid w:val="08265B60"/>
    <w:rsid w:val="08265BEB"/>
    <w:rsid w:val="08265C0C"/>
    <w:rsid w:val="08265C46"/>
    <w:rsid w:val="08265CE7"/>
    <w:rsid w:val="08265CEC"/>
    <w:rsid w:val="08265D0E"/>
    <w:rsid w:val="08265D77"/>
    <w:rsid w:val="08265DF9"/>
    <w:rsid w:val="08265E24"/>
    <w:rsid w:val="08265EC8"/>
    <w:rsid w:val="08265F41"/>
    <w:rsid w:val="08265F48"/>
    <w:rsid w:val="08265F54"/>
    <w:rsid w:val="08265F62"/>
    <w:rsid w:val="08265F88"/>
    <w:rsid w:val="08265FE5"/>
    <w:rsid w:val="082661D3"/>
    <w:rsid w:val="082661E5"/>
    <w:rsid w:val="082661FD"/>
    <w:rsid w:val="08266208"/>
    <w:rsid w:val="0826622B"/>
    <w:rsid w:val="082662CE"/>
    <w:rsid w:val="0826637A"/>
    <w:rsid w:val="0826646C"/>
    <w:rsid w:val="082664A5"/>
    <w:rsid w:val="082664D0"/>
    <w:rsid w:val="082664EC"/>
    <w:rsid w:val="0826661B"/>
    <w:rsid w:val="0826662B"/>
    <w:rsid w:val="0826662E"/>
    <w:rsid w:val="082666DE"/>
    <w:rsid w:val="08266702"/>
    <w:rsid w:val="08266799"/>
    <w:rsid w:val="082667DC"/>
    <w:rsid w:val="08266889"/>
    <w:rsid w:val="082669C6"/>
    <w:rsid w:val="082669F0"/>
    <w:rsid w:val="08266A41"/>
    <w:rsid w:val="08266AD4"/>
    <w:rsid w:val="08266ADA"/>
    <w:rsid w:val="08266B3A"/>
    <w:rsid w:val="08266C13"/>
    <w:rsid w:val="08266CA8"/>
    <w:rsid w:val="08266CC2"/>
    <w:rsid w:val="08266D44"/>
    <w:rsid w:val="08266D7A"/>
    <w:rsid w:val="08266DB2"/>
    <w:rsid w:val="08266DC3"/>
    <w:rsid w:val="08266FC9"/>
    <w:rsid w:val="08266FCC"/>
    <w:rsid w:val="08267174"/>
    <w:rsid w:val="0826722B"/>
    <w:rsid w:val="08267338"/>
    <w:rsid w:val="0826734D"/>
    <w:rsid w:val="0826738E"/>
    <w:rsid w:val="082673A9"/>
    <w:rsid w:val="082673BC"/>
    <w:rsid w:val="08267495"/>
    <w:rsid w:val="082674D6"/>
    <w:rsid w:val="08267507"/>
    <w:rsid w:val="08267535"/>
    <w:rsid w:val="0826754E"/>
    <w:rsid w:val="08267558"/>
    <w:rsid w:val="082675C0"/>
    <w:rsid w:val="08267643"/>
    <w:rsid w:val="082676C9"/>
    <w:rsid w:val="08267707"/>
    <w:rsid w:val="08267795"/>
    <w:rsid w:val="0826782E"/>
    <w:rsid w:val="08267838"/>
    <w:rsid w:val="0826783F"/>
    <w:rsid w:val="0826785A"/>
    <w:rsid w:val="08267864"/>
    <w:rsid w:val="08267915"/>
    <w:rsid w:val="0826792C"/>
    <w:rsid w:val="08267A07"/>
    <w:rsid w:val="08267A94"/>
    <w:rsid w:val="08267AAB"/>
    <w:rsid w:val="08267AEC"/>
    <w:rsid w:val="08267C25"/>
    <w:rsid w:val="08267C30"/>
    <w:rsid w:val="08267C4F"/>
    <w:rsid w:val="08267CA2"/>
    <w:rsid w:val="08267CA6"/>
    <w:rsid w:val="08267CCC"/>
    <w:rsid w:val="08267D4E"/>
    <w:rsid w:val="08267D70"/>
    <w:rsid w:val="08267D90"/>
    <w:rsid w:val="08267D9B"/>
    <w:rsid w:val="08267E7A"/>
    <w:rsid w:val="08267EB9"/>
    <w:rsid w:val="08267F09"/>
    <w:rsid w:val="08267F46"/>
    <w:rsid w:val="08267F69"/>
    <w:rsid w:val="08267F9C"/>
    <w:rsid w:val="08270028"/>
    <w:rsid w:val="08270070"/>
    <w:rsid w:val="082700AB"/>
    <w:rsid w:val="082700B1"/>
    <w:rsid w:val="0827014D"/>
    <w:rsid w:val="08270197"/>
    <w:rsid w:val="082701E5"/>
    <w:rsid w:val="0827028C"/>
    <w:rsid w:val="08270345"/>
    <w:rsid w:val="082703A2"/>
    <w:rsid w:val="082703BD"/>
    <w:rsid w:val="082703D0"/>
    <w:rsid w:val="08270548"/>
    <w:rsid w:val="0827058E"/>
    <w:rsid w:val="082705AB"/>
    <w:rsid w:val="082705B3"/>
    <w:rsid w:val="082705CA"/>
    <w:rsid w:val="082705DA"/>
    <w:rsid w:val="082705F9"/>
    <w:rsid w:val="08270675"/>
    <w:rsid w:val="0827067E"/>
    <w:rsid w:val="082706BA"/>
    <w:rsid w:val="08270785"/>
    <w:rsid w:val="0827088B"/>
    <w:rsid w:val="08270A98"/>
    <w:rsid w:val="08270AD0"/>
    <w:rsid w:val="08270C0B"/>
    <w:rsid w:val="08270C29"/>
    <w:rsid w:val="08270C77"/>
    <w:rsid w:val="08270C92"/>
    <w:rsid w:val="08270CD1"/>
    <w:rsid w:val="08270D6E"/>
    <w:rsid w:val="08270D98"/>
    <w:rsid w:val="08270E90"/>
    <w:rsid w:val="08270EA4"/>
    <w:rsid w:val="08270F71"/>
    <w:rsid w:val="08270FA9"/>
    <w:rsid w:val="08270FC4"/>
    <w:rsid w:val="08270FC6"/>
    <w:rsid w:val="0827100A"/>
    <w:rsid w:val="08271021"/>
    <w:rsid w:val="08271070"/>
    <w:rsid w:val="082710A0"/>
    <w:rsid w:val="0827114F"/>
    <w:rsid w:val="08271514"/>
    <w:rsid w:val="08271583"/>
    <w:rsid w:val="0827159E"/>
    <w:rsid w:val="082715B7"/>
    <w:rsid w:val="08271718"/>
    <w:rsid w:val="082717D0"/>
    <w:rsid w:val="082717DD"/>
    <w:rsid w:val="08271817"/>
    <w:rsid w:val="08271839"/>
    <w:rsid w:val="08271888"/>
    <w:rsid w:val="082718E4"/>
    <w:rsid w:val="08271945"/>
    <w:rsid w:val="082719C9"/>
    <w:rsid w:val="08271A6B"/>
    <w:rsid w:val="08271B13"/>
    <w:rsid w:val="08271BE6"/>
    <w:rsid w:val="08271C7F"/>
    <w:rsid w:val="08271CE1"/>
    <w:rsid w:val="08271E4E"/>
    <w:rsid w:val="08271E85"/>
    <w:rsid w:val="08271EE4"/>
    <w:rsid w:val="08272043"/>
    <w:rsid w:val="08272108"/>
    <w:rsid w:val="08272231"/>
    <w:rsid w:val="08272266"/>
    <w:rsid w:val="08272388"/>
    <w:rsid w:val="082723C8"/>
    <w:rsid w:val="08272430"/>
    <w:rsid w:val="08272459"/>
    <w:rsid w:val="082724C8"/>
    <w:rsid w:val="08272519"/>
    <w:rsid w:val="0827253E"/>
    <w:rsid w:val="082725E4"/>
    <w:rsid w:val="082725FD"/>
    <w:rsid w:val="082727C7"/>
    <w:rsid w:val="082727D3"/>
    <w:rsid w:val="0827280E"/>
    <w:rsid w:val="08272816"/>
    <w:rsid w:val="0827289D"/>
    <w:rsid w:val="082728A5"/>
    <w:rsid w:val="08272970"/>
    <w:rsid w:val="08272B51"/>
    <w:rsid w:val="08272BA5"/>
    <w:rsid w:val="08272C2D"/>
    <w:rsid w:val="08272C39"/>
    <w:rsid w:val="08272CDF"/>
    <w:rsid w:val="08272DB4"/>
    <w:rsid w:val="08272DD7"/>
    <w:rsid w:val="08272EF2"/>
    <w:rsid w:val="08272F18"/>
    <w:rsid w:val="0827307A"/>
    <w:rsid w:val="082730D4"/>
    <w:rsid w:val="082731AB"/>
    <w:rsid w:val="0827321D"/>
    <w:rsid w:val="08273234"/>
    <w:rsid w:val="0827326A"/>
    <w:rsid w:val="082732A1"/>
    <w:rsid w:val="082732E2"/>
    <w:rsid w:val="08273318"/>
    <w:rsid w:val="082734C7"/>
    <w:rsid w:val="08273681"/>
    <w:rsid w:val="082736E3"/>
    <w:rsid w:val="08273717"/>
    <w:rsid w:val="0827372F"/>
    <w:rsid w:val="0827378C"/>
    <w:rsid w:val="082737F1"/>
    <w:rsid w:val="08273837"/>
    <w:rsid w:val="082738CC"/>
    <w:rsid w:val="0827394E"/>
    <w:rsid w:val="08273ABB"/>
    <w:rsid w:val="08273C53"/>
    <w:rsid w:val="08273C8D"/>
    <w:rsid w:val="08273CCC"/>
    <w:rsid w:val="08273D36"/>
    <w:rsid w:val="08273DC2"/>
    <w:rsid w:val="08273DFB"/>
    <w:rsid w:val="08273EA7"/>
    <w:rsid w:val="08273EE3"/>
    <w:rsid w:val="08273F1A"/>
    <w:rsid w:val="08273F7C"/>
    <w:rsid w:val="08273FF7"/>
    <w:rsid w:val="0827407F"/>
    <w:rsid w:val="08274152"/>
    <w:rsid w:val="0827419F"/>
    <w:rsid w:val="08274204"/>
    <w:rsid w:val="0827423A"/>
    <w:rsid w:val="08274264"/>
    <w:rsid w:val="082742D5"/>
    <w:rsid w:val="0827433E"/>
    <w:rsid w:val="082743B0"/>
    <w:rsid w:val="08274410"/>
    <w:rsid w:val="0827441A"/>
    <w:rsid w:val="08274517"/>
    <w:rsid w:val="08274622"/>
    <w:rsid w:val="082746D1"/>
    <w:rsid w:val="0827473D"/>
    <w:rsid w:val="082747E0"/>
    <w:rsid w:val="0827480F"/>
    <w:rsid w:val="0827487A"/>
    <w:rsid w:val="082748CC"/>
    <w:rsid w:val="08274928"/>
    <w:rsid w:val="082749F2"/>
    <w:rsid w:val="08274AD1"/>
    <w:rsid w:val="08274B21"/>
    <w:rsid w:val="08274B95"/>
    <w:rsid w:val="08274BB1"/>
    <w:rsid w:val="08274CA7"/>
    <w:rsid w:val="08274D61"/>
    <w:rsid w:val="08274D72"/>
    <w:rsid w:val="08274DD8"/>
    <w:rsid w:val="08274E63"/>
    <w:rsid w:val="08274F65"/>
    <w:rsid w:val="08274F98"/>
    <w:rsid w:val="08274FA5"/>
    <w:rsid w:val="0827511E"/>
    <w:rsid w:val="0827520C"/>
    <w:rsid w:val="0827522E"/>
    <w:rsid w:val="082752BF"/>
    <w:rsid w:val="08275322"/>
    <w:rsid w:val="08275333"/>
    <w:rsid w:val="082754FE"/>
    <w:rsid w:val="082756A0"/>
    <w:rsid w:val="082756BE"/>
    <w:rsid w:val="08275787"/>
    <w:rsid w:val="082757AD"/>
    <w:rsid w:val="082757D9"/>
    <w:rsid w:val="082757E7"/>
    <w:rsid w:val="082758C4"/>
    <w:rsid w:val="082759F7"/>
    <w:rsid w:val="08275ABC"/>
    <w:rsid w:val="08275B65"/>
    <w:rsid w:val="08275C04"/>
    <w:rsid w:val="08275D08"/>
    <w:rsid w:val="08275D2F"/>
    <w:rsid w:val="08275D81"/>
    <w:rsid w:val="08275DE8"/>
    <w:rsid w:val="08275DF6"/>
    <w:rsid w:val="08275E84"/>
    <w:rsid w:val="08275F10"/>
    <w:rsid w:val="08275F4B"/>
    <w:rsid w:val="08275FCB"/>
    <w:rsid w:val="0827603B"/>
    <w:rsid w:val="08276046"/>
    <w:rsid w:val="082760EC"/>
    <w:rsid w:val="08276100"/>
    <w:rsid w:val="08276190"/>
    <w:rsid w:val="082762FD"/>
    <w:rsid w:val="0827630C"/>
    <w:rsid w:val="08276351"/>
    <w:rsid w:val="082763F3"/>
    <w:rsid w:val="0827643E"/>
    <w:rsid w:val="082764AD"/>
    <w:rsid w:val="082765C2"/>
    <w:rsid w:val="082766DE"/>
    <w:rsid w:val="0827672E"/>
    <w:rsid w:val="08276739"/>
    <w:rsid w:val="0827680A"/>
    <w:rsid w:val="0827686E"/>
    <w:rsid w:val="0827692A"/>
    <w:rsid w:val="082769A7"/>
    <w:rsid w:val="082769F9"/>
    <w:rsid w:val="08276ADB"/>
    <w:rsid w:val="08276B38"/>
    <w:rsid w:val="08276BBF"/>
    <w:rsid w:val="08276D1C"/>
    <w:rsid w:val="08276D3D"/>
    <w:rsid w:val="08276D53"/>
    <w:rsid w:val="08276D78"/>
    <w:rsid w:val="08276E11"/>
    <w:rsid w:val="08276E6C"/>
    <w:rsid w:val="08276E89"/>
    <w:rsid w:val="08276F20"/>
    <w:rsid w:val="08277056"/>
    <w:rsid w:val="08277147"/>
    <w:rsid w:val="08277155"/>
    <w:rsid w:val="08277301"/>
    <w:rsid w:val="08277325"/>
    <w:rsid w:val="08277394"/>
    <w:rsid w:val="082773AB"/>
    <w:rsid w:val="08277446"/>
    <w:rsid w:val="08277470"/>
    <w:rsid w:val="08277475"/>
    <w:rsid w:val="08277521"/>
    <w:rsid w:val="0827762C"/>
    <w:rsid w:val="0827774C"/>
    <w:rsid w:val="0827781F"/>
    <w:rsid w:val="08277826"/>
    <w:rsid w:val="08277968"/>
    <w:rsid w:val="082779A2"/>
    <w:rsid w:val="082779CF"/>
    <w:rsid w:val="08277A94"/>
    <w:rsid w:val="08277AC8"/>
    <w:rsid w:val="08277D0E"/>
    <w:rsid w:val="08277D12"/>
    <w:rsid w:val="08277E34"/>
    <w:rsid w:val="08277F55"/>
    <w:rsid w:val="08277F75"/>
    <w:rsid w:val="08277FE0"/>
    <w:rsid w:val="08280034"/>
    <w:rsid w:val="082800D3"/>
    <w:rsid w:val="08280198"/>
    <w:rsid w:val="0828019A"/>
    <w:rsid w:val="082801EF"/>
    <w:rsid w:val="08280201"/>
    <w:rsid w:val="08280323"/>
    <w:rsid w:val="0828033A"/>
    <w:rsid w:val="0828036B"/>
    <w:rsid w:val="082803AB"/>
    <w:rsid w:val="08280482"/>
    <w:rsid w:val="082804B8"/>
    <w:rsid w:val="082804E5"/>
    <w:rsid w:val="08280504"/>
    <w:rsid w:val="08280541"/>
    <w:rsid w:val="082805A9"/>
    <w:rsid w:val="0828069F"/>
    <w:rsid w:val="082806AD"/>
    <w:rsid w:val="08280749"/>
    <w:rsid w:val="082807D8"/>
    <w:rsid w:val="08280937"/>
    <w:rsid w:val="0828099F"/>
    <w:rsid w:val="08280A16"/>
    <w:rsid w:val="08280A84"/>
    <w:rsid w:val="08280BF8"/>
    <w:rsid w:val="08280CBF"/>
    <w:rsid w:val="08280CF7"/>
    <w:rsid w:val="08280D64"/>
    <w:rsid w:val="08280E44"/>
    <w:rsid w:val="08280F5A"/>
    <w:rsid w:val="08280FD9"/>
    <w:rsid w:val="08280FFD"/>
    <w:rsid w:val="08281015"/>
    <w:rsid w:val="08281032"/>
    <w:rsid w:val="0828104C"/>
    <w:rsid w:val="082810B4"/>
    <w:rsid w:val="082810CB"/>
    <w:rsid w:val="082810FD"/>
    <w:rsid w:val="08281105"/>
    <w:rsid w:val="0828111A"/>
    <w:rsid w:val="082811E1"/>
    <w:rsid w:val="08281322"/>
    <w:rsid w:val="0828132C"/>
    <w:rsid w:val="0828135F"/>
    <w:rsid w:val="082813BD"/>
    <w:rsid w:val="082813DB"/>
    <w:rsid w:val="082814D8"/>
    <w:rsid w:val="08281526"/>
    <w:rsid w:val="08281587"/>
    <w:rsid w:val="0828159C"/>
    <w:rsid w:val="08281603"/>
    <w:rsid w:val="082816BF"/>
    <w:rsid w:val="082816D2"/>
    <w:rsid w:val="08281709"/>
    <w:rsid w:val="082817E5"/>
    <w:rsid w:val="08281857"/>
    <w:rsid w:val="08281864"/>
    <w:rsid w:val="08281873"/>
    <w:rsid w:val="082818CF"/>
    <w:rsid w:val="0828198C"/>
    <w:rsid w:val="082819B9"/>
    <w:rsid w:val="08281A46"/>
    <w:rsid w:val="08281BD8"/>
    <w:rsid w:val="08281C2B"/>
    <w:rsid w:val="08281C31"/>
    <w:rsid w:val="08281CA1"/>
    <w:rsid w:val="08281CB9"/>
    <w:rsid w:val="08281D24"/>
    <w:rsid w:val="08281DF8"/>
    <w:rsid w:val="08281E3E"/>
    <w:rsid w:val="08281E5E"/>
    <w:rsid w:val="08281F03"/>
    <w:rsid w:val="08281F1F"/>
    <w:rsid w:val="08281F41"/>
    <w:rsid w:val="08281F94"/>
    <w:rsid w:val="08281FC7"/>
    <w:rsid w:val="08282038"/>
    <w:rsid w:val="0828206E"/>
    <w:rsid w:val="08282190"/>
    <w:rsid w:val="0828219B"/>
    <w:rsid w:val="0828219C"/>
    <w:rsid w:val="082821CB"/>
    <w:rsid w:val="08282200"/>
    <w:rsid w:val="08282204"/>
    <w:rsid w:val="0828222B"/>
    <w:rsid w:val="08282236"/>
    <w:rsid w:val="08282249"/>
    <w:rsid w:val="0828228D"/>
    <w:rsid w:val="0828231A"/>
    <w:rsid w:val="08282353"/>
    <w:rsid w:val="08282454"/>
    <w:rsid w:val="082824C7"/>
    <w:rsid w:val="08282570"/>
    <w:rsid w:val="0828258E"/>
    <w:rsid w:val="08282688"/>
    <w:rsid w:val="082826EA"/>
    <w:rsid w:val="082826EC"/>
    <w:rsid w:val="0828284D"/>
    <w:rsid w:val="0828287F"/>
    <w:rsid w:val="0828292E"/>
    <w:rsid w:val="08282945"/>
    <w:rsid w:val="08282962"/>
    <w:rsid w:val="08282A1E"/>
    <w:rsid w:val="08282B6E"/>
    <w:rsid w:val="08282BBE"/>
    <w:rsid w:val="08282BF8"/>
    <w:rsid w:val="08282CCA"/>
    <w:rsid w:val="08282DAE"/>
    <w:rsid w:val="08282E89"/>
    <w:rsid w:val="08282E92"/>
    <w:rsid w:val="08282ED8"/>
    <w:rsid w:val="08283022"/>
    <w:rsid w:val="08283030"/>
    <w:rsid w:val="08283092"/>
    <w:rsid w:val="0828310F"/>
    <w:rsid w:val="0828315B"/>
    <w:rsid w:val="08283211"/>
    <w:rsid w:val="0828324C"/>
    <w:rsid w:val="08283307"/>
    <w:rsid w:val="08283356"/>
    <w:rsid w:val="08283432"/>
    <w:rsid w:val="0828344C"/>
    <w:rsid w:val="0828344D"/>
    <w:rsid w:val="08283535"/>
    <w:rsid w:val="0828353C"/>
    <w:rsid w:val="0828354E"/>
    <w:rsid w:val="08283577"/>
    <w:rsid w:val="082835BD"/>
    <w:rsid w:val="082835E4"/>
    <w:rsid w:val="08283609"/>
    <w:rsid w:val="08283698"/>
    <w:rsid w:val="0828373D"/>
    <w:rsid w:val="0828381C"/>
    <w:rsid w:val="08283859"/>
    <w:rsid w:val="08283879"/>
    <w:rsid w:val="082838B8"/>
    <w:rsid w:val="08283919"/>
    <w:rsid w:val="08283929"/>
    <w:rsid w:val="08283976"/>
    <w:rsid w:val="08283A2F"/>
    <w:rsid w:val="08283A4F"/>
    <w:rsid w:val="08283B07"/>
    <w:rsid w:val="08283B57"/>
    <w:rsid w:val="08283B6B"/>
    <w:rsid w:val="08283B76"/>
    <w:rsid w:val="08283BC6"/>
    <w:rsid w:val="08283C61"/>
    <w:rsid w:val="08283C95"/>
    <w:rsid w:val="08283D5D"/>
    <w:rsid w:val="08283D73"/>
    <w:rsid w:val="08283DF9"/>
    <w:rsid w:val="08283F54"/>
    <w:rsid w:val="08283F8D"/>
    <w:rsid w:val="08283FB7"/>
    <w:rsid w:val="082841E7"/>
    <w:rsid w:val="082842E1"/>
    <w:rsid w:val="082842E3"/>
    <w:rsid w:val="08284451"/>
    <w:rsid w:val="082845C6"/>
    <w:rsid w:val="082846D5"/>
    <w:rsid w:val="082846DF"/>
    <w:rsid w:val="08284741"/>
    <w:rsid w:val="082847D5"/>
    <w:rsid w:val="0828488D"/>
    <w:rsid w:val="0828489A"/>
    <w:rsid w:val="08284975"/>
    <w:rsid w:val="082849AD"/>
    <w:rsid w:val="08284AE5"/>
    <w:rsid w:val="08284B01"/>
    <w:rsid w:val="08284BA7"/>
    <w:rsid w:val="08284D51"/>
    <w:rsid w:val="08284D8B"/>
    <w:rsid w:val="08284E24"/>
    <w:rsid w:val="08284E51"/>
    <w:rsid w:val="08284F0B"/>
    <w:rsid w:val="08284F81"/>
    <w:rsid w:val="08284F83"/>
    <w:rsid w:val="08284FED"/>
    <w:rsid w:val="082850A8"/>
    <w:rsid w:val="082850E2"/>
    <w:rsid w:val="08285143"/>
    <w:rsid w:val="082852C6"/>
    <w:rsid w:val="082853A6"/>
    <w:rsid w:val="082853B2"/>
    <w:rsid w:val="08285446"/>
    <w:rsid w:val="0828544D"/>
    <w:rsid w:val="08285524"/>
    <w:rsid w:val="08285565"/>
    <w:rsid w:val="0828558D"/>
    <w:rsid w:val="08285606"/>
    <w:rsid w:val="0828562A"/>
    <w:rsid w:val="0828569A"/>
    <w:rsid w:val="082856A4"/>
    <w:rsid w:val="082856E9"/>
    <w:rsid w:val="0828570A"/>
    <w:rsid w:val="0828576B"/>
    <w:rsid w:val="08285784"/>
    <w:rsid w:val="082857BA"/>
    <w:rsid w:val="082857D8"/>
    <w:rsid w:val="0828590D"/>
    <w:rsid w:val="08285A38"/>
    <w:rsid w:val="08285B57"/>
    <w:rsid w:val="08285BA7"/>
    <w:rsid w:val="08285D93"/>
    <w:rsid w:val="08285D99"/>
    <w:rsid w:val="08285DB7"/>
    <w:rsid w:val="08285DBA"/>
    <w:rsid w:val="08285E0A"/>
    <w:rsid w:val="08285E26"/>
    <w:rsid w:val="08285E3D"/>
    <w:rsid w:val="08285E41"/>
    <w:rsid w:val="08285EEA"/>
    <w:rsid w:val="08286037"/>
    <w:rsid w:val="08286066"/>
    <w:rsid w:val="08286080"/>
    <w:rsid w:val="082860D9"/>
    <w:rsid w:val="08286160"/>
    <w:rsid w:val="082861EF"/>
    <w:rsid w:val="0828620C"/>
    <w:rsid w:val="0828629B"/>
    <w:rsid w:val="08286324"/>
    <w:rsid w:val="08286356"/>
    <w:rsid w:val="0828637D"/>
    <w:rsid w:val="08286572"/>
    <w:rsid w:val="0828660D"/>
    <w:rsid w:val="08286615"/>
    <w:rsid w:val="08286649"/>
    <w:rsid w:val="0828664C"/>
    <w:rsid w:val="082866BF"/>
    <w:rsid w:val="08286718"/>
    <w:rsid w:val="0828679A"/>
    <w:rsid w:val="082868F3"/>
    <w:rsid w:val="082869C3"/>
    <w:rsid w:val="08286A1B"/>
    <w:rsid w:val="08286A22"/>
    <w:rsid w:val="08286A9E"/>
    <w:rsid w:val="08286AD5"/>
    <w:rsid w:val="08286AFE"/>
    <w:rsid w:val="08286B43"/>
    <w:rsid w:val="08286B49"/>
    <w:rsid w:val="08286B90"/>
    <w:rsid w:val="08286C02"/>
    <w:rsid w:val="08286C63"/>
    <w:rsid w:val="08286C8C"/>
    <w:rsid w:val="08286CB1"/>
    <w:rsid w:val="08286CD8"/>
    <w:rsid w:val="08286F62"/>
    <w:rsid w:val="08286F72"/>
    <w:rsid w:val="0828705D"/>
    <w:rsid w:val="082870DE"/>
    <w:rsid w:val="08287122"/>
    <w:rsid w:val="082871C6"/>
    <w:rsid w:val="082871FD"/>
    <w:rsid w:val="0828723B"/>
    <w:rsid w:val="08287274"/>
    <w:rsid w:val="08287290"/>
    <w:rsid w:val="08287291"/>
    <w:rsid w:val="08287351"/>
    <w:rsid w:val="08287373"/>
    <w:rsid w:val="08287378"/>
    <w:rsid w:val="082873D2"/>
    <w:rsid w:val="08287470"/>
    <w:rsid w:val="08287500"/>
    <w:rsid w:val="0828756C"/>
    <w:rsid w:val="08287638"/>
    <w:rsid w:val="08287701"/>
    <w:rsid w:val="0828785B"/>
    <w:rsid w:val="08287A17"/>
    <w:rsid w:val="08287A58"/>
    <w:rsid w:val="08287B41"/>
    <w:rsid w:val="08287B63"/>
    <w:rsid w:val="08287BE7"/>
    <w:rsid w:val="08287C41"/>
    <w:rsid w:val="08287DAE"/>
    <w:rsid w:val="08287DEA"/>
    <w:rsid w:val="08287E62"/>
    <w:rsid w:val="08287F42"/>
    <w:rsid w:val="08287F93"/>
    <w:rsid w:val="08290077"/>
    <w:rsid w:val="08290118"/>
    <w:rsid w:val="082901E0"/>
    <w:rsid w:val="082901F8"/>
    <w:rsid w:val="08290288"/>
    <w:rsid w:val="08290310"/>
    <w:rsid w:val="0829037A"/>
    <w:rsid w:val="082904F5"/>
    <w:rsid w:val="08290585"/>
    <w:rsid w:val="082905BA"/>
    <w:rsid w:val="08290637"/>
    <w:rsid w:val="08290722"/>
    <w:rsid w:val="08290747"/>
    <w:rsid w:val="0829081C"/>
    <w:rsid w:val="082908CC"/>
    <w:rsid w:val="08290926"/>
    <w:rsid w:val="0829095E"/>
    <w:rsid w:val="08290984"/>
    <w:rsid w:val="0829099B"/>
    <w:rsid w:val="082909E6"/>
    <w:rsid w:val="082909FC"/>
    <w:rsid w:val="08290A0D"/>
    <w:rsid w:val="08290A27"/>
    <w:rsid w:val="08290AE3"/>
    <w:rsid w:val="08290AE5"/>
    <w:rsid w:val="08290CA7"/>
    <w:rsid w:val="08290CE4"/>
    <w:rsid w:val="08290DEF"/>
    <w:rsid w:val="08290E02"/>
    <w:rsid w:val="08290E6C"/>
    <w:rsid w:val="08290E84"/>
    <w:rsid w:val="08290EE9"/>
    <w:rsid w:val="08290F12"/>
    <w:rsid w:val="08290FA8"/>
    <w:rsid w:val="082910FA"/>
    <w:rsid w:val="082910FD"/>
    <w:rsid w:val="08291102"/>
    <w:rsid w:val="082911CC"/>
    <w:rsid w:val="082911FE"/>
    <w:rsid w:val="08291201"/>
    <w:rsid w:val="08291278"/>
    <w:rsid w:val="08291286"/>
    <w:rsid w:val="08291289"/>
    <w:rsid w:val="082912AE"/>
    <w:rsid w:val="08291503"/>
    <w:rsid w:val="082915D3"/>
    <w:rsid w:val="0829161A"/>
    <w:rsid w:val="08291684"/>
    <w:rsid w:val="082916B6"/>
    <w:rsid w:val="0829180D"/>
    <w:rsid w:val="08291814"/>
    <w:rsid w:val="08291815"/>
    <w:rsid w:val="0829182C"/>
    <w:rsid w:val="08291838"/>
    <w:rsid w:val="082918BD"/>
    <w:rsid w:val="082918DE"/>
    <w:rsid w:val="08291978"/>
    <w:rsid w:val="082919DB"/>
    <w:rsid w:val="08291A76"/>
    <w:rsid w:val="08291AA6"/>
    <w:rsid w:val="08291AEB"/>
    <w:rsid w:val="08291B18"/>
    <w:rsid w:val="08291B2E"/>
    <w:rsid w:val="08291B49"/>
    <w:rsid w:val="08291B4E"/>
    <w:rsid w:val="08291BB1"/>
    <w:rsid w:val="08291CBF"/>
    <w:rsid w:val="08291CD0"/>
    <w:rsid w:val="08291D46"/>
    <w:rsid w:val="08291DE3"/>
    <w:rsid w:val="08291E9D"/>
    <w:rsid w:val="08291F2A"/>
    <w:rsid w:val="08291FC6"/>
    <w:rsid w:val="082921A8"/>
    <w:rsid w:val="082921B3"/>
    <w:rsid w:val="08292258"/>
    <w:rsid w:val="08292264"/>
    <w:rsid w:val="082923E9"/>
    <w:rsid w:val="082923F2"/>
    <w:rsid w:val="0829241C"/>
    <w:rsid w:val="0829245F"/>
    <w:rsid w:val="082924A2"/>
    <w:rsid w:val="082924CB"/>
    <w:rsid w:val="082924DD"/>
    <w:rsid w:val="0829265C"/>
    <w:rsid w:val="082926B4"/>
    <w:rsid w:val="082926EB"/>
    <w:rsid w:val="0829271C"/>
    <w:rsid w:val="08292755"/>
    <w:rsid w:val="08292756"/>
    <w:rsid w:val="0829295D"/>
    <w:rsid w:val="082929B4"/>
    <w:rsid w:val="082929F5"/>
    <w:rsid w:val="08292A30"/>
    <w:rsid w:val="08292A3F"/>
    <w:rsid w:val="08292B7D"/>
    <w:rsid w:val="08292BC4"/>
    <w:rsid w:val="08292BDD"/>
    <w:rsid w:val="08292C03"/>
    <w:rsid w:val="08292C58"/>
    <w:rsid w:val="08292C65"/>
    <w:rsid w:val="08292E19"/>
    <w:rsid w:val="08292ECF"/>
    <w:rsid w:val="08292EF0"/>
    <w:rsid w:val="08292F38"/>
    <w:rsid w:val="08292F5E"/>
    <w:rsid w:val="08292FF6"/>
    <w:rsid w:val="0829305A"/>
    <w:rsid w:val="08293089"/>
    <w:rsid w:val="08293108"/>
    <w:rsid w:val="0829315B"/>
    <w:rsid w:val="0829316F"/>
    <w:rsid w:val="08293230"/>
    <w:rsid w:val="0829323B"/>
    <w:rsid w:val="0829324A"/>
    <w:rsid w:val="0829331A"/>
    <w:rsid w:val="08293359"/>
    <w:rsid w:val="0829349B"/>
    <w:rsid w:val="082934EC"/>
    <w:rsid w:val="08293506"/>
    <w:rsid w:val="08293519"/>
    <w:rsid w:val="0829351D"/>
    <w:rsid w:val="082935C4"/>
    <w:rsid w:val="082936AE"/>
    <w:rsid w:val="082936B2"/>
    <w:rsid w:val="082936FC"/>
    <w:rsid w:val="08293762"/>
    <w:rsid w:val="08293778"/>
    <w:rsid w:val="08293834"/>
    <w:rsid w:val="082938A0"/>
    <w:rsid w:val="082938AC"/>
    <w:rsid w:val="082939E3"/>
    <w:rsid w:val="08293A1B"/>
    <w:rsid w:val="08293A74"/>
    <w:rsid w:val="08293B30"/>
    <w:rsid w:val="08293B4C"/>
    <w:rsid w:val="08293B67"/>
    <w:rsid w:val="08293C61"/>
    <w:rsid w:val="08293C6C"/>
    <w:rsid w:val="08293D67"/>
    <w:rsid w:val="08293D6A"/>
    <w:rsid w:val="08293E32"/>
    <w:rsid w:val="08293E35"/>
    <w:rsid w:val="08293FFA"/>
    <w:rsid w:val="08294015"/>
    <w:rsid w:val="082941C3"/>
    <w:rsid w:val="082941F3"/>
    <w:rsid w:val="0829422D"/>
    <w:rsid w:val="08294296"/>
    <w:rsid w:val="08294465"/>
    <w:rsid w:val="08294485"/>
    <w:rsid w:val="08294527"/>
    <w:rsid w:val="0829452E"/>
    <w:rsid w:val="08294541"/>
    <w:rsid w:val="08294544"/>
    <w:rsid w:val="08294572"/>
    <w:rsid w:val="0829460C"/>
    <w:rsid w:val="08294663"/>
    <w:rsid w:val="08294666"/>
    <w:rsid w:val="08294669"/>
    <w:rsid w:val="08294741"/>
    <w:rsid w:val="082947D7"/>
    <w:rsid w:val="08294835"/>
    <w:rsid w:val="082949BB"/>
    <w:rsid w:val="08294A1F"/>
    <w:rsid w:val="08294AF7"/>
    <w:rsid w:val="08294B16"/>
    <w:rsid w:val="08294C70"/>
    <w:rsid w:val="08294D10"/>
    <w:rsid w:val="08294D26"/>
    <w:rsid w:val="08294DB5"/>
    <w:rsid w:val="08294DB8"/>
    <w:rsid w:val="08294DD4"/>
    <w:rsid w:val="08294E20"/>
    <w:rsid w:val="08294E3F"/>
    <w:rsid w:val="08294F42"/>
    <w:rsid w:val="08294F57"/>
    <w:rsid w:val="08294F88"/>
    <w:rsid w:val="082950F8"/>
    <w:rsid w:val="082951DF"/>
    <w:rsid w:val="08295227"/>
    <w:rsid w:val="08295265"/>
    <w:rsid w:val="0829530D"/>
    <w:rsid w:val="0829546E"/>
    <w:rsid w:val="08295481"/>
    <w:rsid w:val="08295666"/>
    <w:rsid w:val="082956CE"/>
    <w:rsid w:val="0829581E"/>
    <w:rsid w:val="0829591D"/>
    <w:rsid w:val="08295924"/>
    <w:rsid w:val="0829592A"/>
    <w:rsid w:val="08295AE8"/>
    <w:rsid w:val="08295AFB"/>
    <w:rsid w:val="08295B3E"/>
    <w:rsid w:val="08295B40"/>
    <w:rsid w:val="08295C12"/>
    <w:rsid w:val="08295C48"/>
    <w:rsid w:val="08295D23"/>
    <w:rsid w:val="08295D4D"/>
    <w:rsid w:val="08295DCE"/>
    <w:rsid w:val="08295DD5"/>
    <w:rsid w:val="08295EAE"/>
    <w:rsid w:val="08295EBC"/>
    <w:rsid w:val="08295F5D"/>
    <w:rsid w:val="08295F70"/>
    <w:rsid w:val="08295FBA"/>
    <w:rsid w:val="08296052"/>
    <w:rsid w:val="082960AC"/>
    <w:rsid w:val="082960C6"/>
    <w:rsid w:val="08296129"/>
    <w:rsid w:val="082961F8"/>
    <w:rsid w:val="08296232"/>
    <w:rsid w:val="0829631B"/>
    <w:rsid w:val="0829635E"/>
    <w:rsid w:val="082963B6"/>
    <w:rsid w:val="082963D5"/>
    <w:rsid w:val="082963F1"/>
    <w:rsid w:val="0829643E"/>
    <w:rsid w:val="08296498"/>
    <w:rsid w:val="082964C3"/>
    <w:rsid w:val="082964E5"/>
    <w:rsid w:val="08296515"/>
    <w:rsid w:val="082965BD"/>
    <w:rsid w:val="08296628"/>
    <w:rsid w:val="0829663A"/>
    <w:rsid w:val="082966DA"/>
    <w:rsid w:val="082966DE"/>
    <w:rsid w:val="0829672A"/>
    <w:rsid w:val="0829675C"/>
    <w:rsid w:val="08296882"/>
    <w:rsid w:val="08296890"/>
    <w:rsid w:val="082968C0"/>
    <w:rsid w:val="082968CE"/>
    <w:rsid w:val="08296992"/>
    <w:rsid w:val="082969BD"/>
    <w:rsid w:val="082969F4"/>
    <w:rsid w:val="08296B20"/>
    <w:rsid w:val="08296B64"/>
    <w:rsid w:val="08296B7D"/>
    <w:rsid w:val="08296BB3"/>
    <w:rsid w:val="08296BCE"/>
    <w:rsid w:val="08296C67"/>
    <w:rsid w:val="08296C7E"/>
    <w:rsid w:val="08296CA7"/>
    <w:rsid w:val="08296CAF"/>
    <w:rsid w:val="08296CDD"/>
    <w:rsid w:val="08296DDE"/>
    <w:rsid w:val="08296FEA"/>
    <w:rsid w:val="0829708E"/>
    <w:rsid w:val="08297134"/>
    <w:rsid w:val="08297283"/>
    <w:rsid w:val="082972CE"/>
    <w:rsid w:val="0829744E"/>
    <w:rsid w:val="0829751B"/>
    <w:rsid w:val="0829752D"/>
    <w:rsid w:val="082975AC"/>
    <w:rsid w:val="0829764F"/>
    <w:rsid w:val="08297655"/>
    <w:rsid w:val="0829769D"/>
    <w:rsid w:val="082976F7"/>
    <w:rsid w:val="082977B5"/>
    <w:rsid w:val="08297867"/>
    <w:rsid w:val="08297874"/>
    <w:rsid w:val="08297893"/>
    <w:rsid w:val="082978CA"/>
    <w:rsid w:val="082979E4"/>
    <w:rsid w:val="08297AA3"/>
    <w:rsid w:val="08297B2B"/>
    <w:rsid w:val="08297B52"/>
    <w:rsid w:val="08297B63"/>
    <w:rsid w:val="08297C6C"/>
    <w:rsid w:val="08297CC9"/>
    <w:rsid w:val="08297DFE"/>
    <w:rsid w:val="08297E35"/>
    <w:rsid w:val="08297EE0"/>
    <w:rsid w:val="08297EE8"/>
    <w:rsid w:val="08297F0D"/>
    <w:rsid w:val="08297F4D"/>
    <w:rsid w:val="08297F4F"/>
    <w:rsid w:val="08297F9F"/>
    <w:rsid w:val="082A00C2"/>
    <w:rsid w:val="082A017E"/>
    <w:rsid w:val="082A01D2"/>
    <w:rsid w:val="082A01E4"/>
    <w:rsid w:val="082A01E9"/>
    <w:rsid w:val="082A026E"/>
    <w:rsid w:val="082A02C4"/>
    <w:rsid w:val="082A02E0"/>
    <w:rsid w:val="082A0355"/>
    <w:rsid w:val="082A03B6"/>
    <w:rsid w:val="082A03F8"/>
    <w:rsid w:val="082A0403"/>
    <w:rsid w:val="082A04B9"/>
    <w:rsid w:val="082A04D1"/>
    <w:rsid w:val="082A04ED"/>
    <w:rsid w:val="082A0509"/>
    <w:rsid w:val="082A0578"/>
    <w:rsid w:val="082A05CE"/>
    <w:rsid w:val="082A080F"/>
    <w:rsid w:val="082A0816"/>
    <w:rsid w:val="082A0872"/>
    <w:rsid w:val="082A0888"/>
    <w:rsid w:val="082A096F"/>
    <w:rsid w:val="082A0A08"/>
    <w:rsid w:val="082A0A3E"/>
    <w:rsid w:val="082A0A57"/>
    <w:rsid w:val="082A0AAC"/>
    <w:rsid w:val="082A0ABA"/>
    <w:rsid w:val="082A0B7A"/>
    <w:rsid w:val="082A0BCA"/>
    <w:rsid w:val="082A0BFB"/>
    <w:rsid w:val="082A0C27"/>
    <w:rsid w:val="082A0C2D"/>
    <w:rsid w:val="082A0D06"/>
    <w:rsid w:val="082A0D3C"/>
    <w:rsid w:val="082A0ECF"/>
    <w:rsid w:val="082A0EFB"/>
    <w:rsid w:val="082A102D"/>
    <w:rsid w:val="082A103C"/>
    <w:rsid w:val="082A1049"/>
    <w:rsid w:val="082A1128"/>
    <w:rsid w:val="082A113C"/>
    <w:rsid w:val="082A1245"/>
    <w:rsid w:val="082A1277"/>
    <w:rsid w:val="082A12D5"/>
    <w:rsid w:val="082A12DD"/>
    <w:rsid w:val="082A1336"/>
    <w:rsid w:val="082A14A4"/>
    <w:rsid w:val="082A14C0"/>
    <w:rsid w:val="082A1553"/>
    <w:rsid w:val="082A157C"/>
    <w:rsid w:val="082A1641"/>
    <w:rsid w:val="082A1693"/>
    <w:rsid w:val="082A17C3"/>
    <w:rsid w:val="082A18AE"/>
    <w:rsid w:val="082A190D"/>
    <w:rsid w:val="082A193F"/>
    <w:rsid w:val="082A19AE"/>
    <w:rsid w:val="082A19D6"/>
    <w:rsid w:val="082A1A46"/>
    <w:rsid w:val="082A1A9C"/>
    <w:rsid w:val="082A1C1D"/>
    <w:rsid w:val="082A1CAB"/>
    <w:rsid w:val="082A1CBB"/>
    <w:rsid w:val="082A1CD2"/>
    <w:rsid w:val="082A1D2C"/>
    <w:rsid w:val="082A1E17"/>
    <w:rsid w:val="082A1EC1"/>
    <w:rsid w:val="082A1F5D"/>
    <w:rsid w:val="082A1F81"/>
    <w:rsid w:val="082A1F83"/>
    <w:rsid w:val="082A2011"/>
    <w:rsid w:val="082A206B"/>
    <w:rsid w:val="082A20C3"/>
    <w:rsid w:val="082A214F"/>
    <w:rsid w:val="082A2153"/>
    <w:rsid w:val="082A2238"/>
    <w:rsid w:val="082A22A6"/>
    <w:rsid w:val="082A2385"/>
    <w:rsid w:val="082A2544"/>
    <w:rsid w:val="082A25F4"/>
    <w:rsid w:val="082A25FE"/>
    <w:rsid w:val="082A26FD"/>
    <w:rsid w:val="082A27A7"/>
    <w:rsid w:val="082A28BF"/>
    <w:rsid w:val="082A2913"/>
    <w:rsid w:val="082A2A1B"/>
    <w:rsid w:val="082A2AFE"/>
    <w:rsid w:val="082A2B88"/>
    <w:rsid w:val="082A2B97"/>
    <w:rsid w:val="082A2BB8"/>
    <w:rsid w:val="082A2C38"/>
    <w:rsid w:val="082A2CF2"/>
    <w:rsid w:val="082A2D51"/>
    <w:rsid w:val="082A2D63"/>
    <w:rsid w:val="082A2D70"/>
    <w:rsid w:val="082A2E16"/>
    <w:rsid w:val="082A2E4A"/>
    <w:rsid w:val="082A2E6F"/>
    <w:rsid w:val="082A2F7E"/>
    <w:rsid w:val="082A2F90"/>
    <w:rsid w:val="082A2FB4"/>
    <w:rsid w:val="082A2FB8"/>
    <w:rsid w:val="082A2FE7"/>
    <w:rsid w:val="082A3020"/>
    <w:rsid w:val="082A305C"/>
    <w:rsid w:val="082A3089"/>
    <w:rsid w:val="082A30FF"/>
    <w:rsid w:val="082A3109"/>
    <w:rsid w:val="082A3114"/>
    <w:rsid w:val="082A3177"/>
    <w:rsid w:val="082A31E2"/>
    <w:rsid w:val="082A320E"/>
    <w:rsid w:val="082A3397"/>
    <w:rsid w:val="082A33D9"/>
    <w:rsid w:val="082A346D"/>
    <w:rsid w:val="082A34DA"/>
    <w:rsid w:val="082A3553"/>
    <w:rsid w:val="082A3556"/>
    <w:rsid w:val="082A35A1"/>
    <w:rsid w:val="082A35D2"/>
    <w:rsid w:val="082A35F8"/>
    <w:rsid w:val="082A3625"/>
    <w:rsid w:val="082A3696"/>
    <w:rsid w:val="082A37C1"/>
    <w:rsid w:val="082A37E9"/>
    <w:rsid w:val="082A37ED"/>
    <w:rsid w:val="082A385F"/>
    <w:rsid w:val="082A3861"/>
    <w:rsid w:val="082A3915"/>
    <w:rsid w:val="082A398B"/>
    <w:rsid w:val="082A39B7"/>
    <w:rsid w:val="082A39CB"/>
    <w:rsid w:val="082A3A6D"/>
    <w:rsid w:val="082A3AF5"/>
    <w:rsid w:val="082A3B3D"/>
    <w:rsid w:val="082A3B48"/>
    <w:rsid w:val="082A3C60"/>
    <w:rsid w:val="082A3DCA"/>
    <w:rsid w:val="082A3DDC"/>
    <w:rsid w:val="082A3E14"/>
    <w:rsid w:val="082A3E42"/>
    <w:rsid w:val="082A3EC0"/>
    <w:rsid w:val="082A3F01"/>
    <w:rsid w:val="082A3F61"/>
    <w:rsid w:val="082A3F66"/>
    <w:rsid w:val="082A3F77"/>
    <w:rsid w:val="082A3FF1"/>
    <w:rsid w:val="082A406A"/>
    <w:rsid w:val="082A4089"/>
    <w:rsid w:val="082A40D4"/>
    <w:rsid w:val="082A40E5"/>
    <w:rsid w:val="082A41F2"/>
    <w:rsid w:val="082A420E"/>
    <w:rsid w:val="082A423C"/>
    <w:rsid w:val="082A4263"/>
    <w:rsid w:val="082A4272"/>
    <w:rsid w:val="082A42EF"/>
    <w:rsid w:val="082A432C"/>
    <w:rsid w:val="082A4375"/>
    <w:rsid w:val="082A43D6"/>
    <w:rsid w:val="082A4529"/>
    <w:rsid w:val="082A4580"/>
    <w:rsid w:val="082A4614"/>
    <w:rsid w:val="082A47EC"/>
    <w:rsid w:val="082A4837"/>
    <w:rsid w:val="082A4932"/>
    <w:rsid w:val="082A4943"/>
    <w:rsid w:val="082A4A4B"/>
    <w:rsid w:val="082A4B7C"/>
    <w:rsid w:val="082A4B9D"/>
    <w:rsid w:val="082A4BBD"/>
    <w:rsid w:val="082A4D57"/>
    <w:rsid w:val="082A4DD8"/>
    <w:rsid w:val="082A4DFC"/>
    <w:rsid w:val="082A4E67"/>
    <w:rsid w:val="082A4E81"/>
    <w:rsid w:val="082A4F1C"/>
    <w:rsid w:val="082A5052"/>
    <w:rsid w:val="082A5134"/>
    <w:rsid w:val="082A5153"/>
    <w:rsid w:val="082A519F"/>
    <w:rsid w:val="082A51C2"/>
    <w:rsid w:val="082A51E9"/>
    <w:rsid w:val="082A5218"/>
    <w:rsid w:val="082A527D"/>
    <w:rsid w:val="082A52ED"/>
    <w:rsid w:val="082A5329"/>
    <w:rsid w:val="082A54A5"/>
    <w:rsid w:val="082A54D8"/>
    <w:rsid w:val="082A5549"/>
    <w:rsid w:val="082A5580"/>
    <w:rsid w:val="082A5581"/>
    <w:rsid w:val="082A55BE"/>
    <w:rsid w:val="082A55C5"/>
    <w:rsid w:val="082A57C8"/>
    <w:rsid w:val="082A57D2"/>
    <w:rsid w:val="082A57D3"/>
    <w:rsid w:val="082A5805"/>
    <w:rsid w:val="082A583B"/>
    <w:rsid w:val="082A5883"/>
    <w:rsid w:val="082A593D"/>
    <w:rsid w:val="082A599B"/>
    <w:rsid w:val="082A59D5"/>
    <w:rsid w:val="082A59F2"/>
    <w:rsid w:val="082A5A7A"/>
    <w:rsid w:val="082A5B5A"/>
    <w:rsid w:val="082A5D61"/>
    <w:rsid w:val="082A5DFC"/>
    <w:rsid w:val="082A5E2A"/>
    <w:rsid w:val="082A5E45"/>
    <w:rsid w:val="082A5E52"/>
    <w:rsid w:val="082A5EE1"/>
    <w:rsid w:val="082A5FA9"/>
    <w:rsid w:val="082A5FD4"/>
    <w:rsid w:val="082A5FD9"/>
    <w:rsid w:val="082A6187"/>
    <w:rsid w:val="082A6196"/>
    <w:rsid w:val="082A628A"/>
    <w:rsid w:val="082A62C0"/>
    <w:rsid w:val="082A62D6"/>
    <w:rsid w:val="082A63D2"/>
    <w:rsid w:val="082A640D"/>
    <w:rsid w:val="082A64C8"/>
    <w:rsid w:val="082A6568"/>
    <w:rsid w:val="082A6582"/>
    <w:rsid w:val="082A6591"/>
    <w:rsid w:val="082A65C9"/>
    <w:rsid w:val="082A676D"/>
    <w:rsid w:val="082A697A"/>
    <w:rsid w:val="082A6A2A"/>
    <w:rsid w:val="082A6A30"/>
    <w:rsid w:val="082A6BFE"/>
    <w:rsid w:val="082A6CD1"/>
    <w:rsid w:val="082A6D24"/>
    <w:rsid w:val="082A6D6C"/>
    <w:rsid w:val="082A6D7D"/>
    <w:rsid w:val="082A6DE4"/>
    <w:rsid w:val="082A6E37"/>
    <w:rsid w:val="082A6E53"/>
    <w:rsid w:val="082A6F80"/>
    <w:rsid w:val="082A705E"/>
    <w:rsid w:val="082A70B4"/>
    <w:rsid w:val="082A70E1"/>
    <w:rsid w:val="082A715B"/>
    <w:rsid w:val="082A71AD"/>
    <w:rsid w:val="082A71D9"/>
    <w:rsid w:val="082A71DD"/>
    <w:rsid w:val="082A7222"/>
    <w:rsid w:val="082A735C"/>
    <w:rsid w:val="082A7365"/>
    <w:rsid w:val="082A73A8"/>
    <w:rsid w:val="082A73C2"/>
    <w:rsid w:val="082A741E"/>
    <w:rsid w:val="082A7494"/>
    <w:rsid w:val="082A7528"/>
    <w:rsid w:val="082A755E"/>
    <w:rsid w:val="082A7644"/>
    <w:rsid w:val="082A7691"/>
    <w:rsid w:val="082A769D"/>
    <w:rsid w:val="082A76E3"/>
    <w:rsid w:val="082A76F0"/>
    <w:rsid w:val="082A770C"/>
    <w:rsid w:val="082A77D2"/>
    <w:rsid w:val="082A7830"/>
    <w:rsid w:val="082A788D"/>
    <w:rsid w:val="082A795B"/>
    <w:rsid w:val="082A7985"/>
    <w:rsid w:val="082A79EC"/>
    <w:rsid w:val="082A7AAB"/>
    <w:rsid w:val="082A7AC0"/>
    <w:rsid w:val="082A7B05"/>
    <w:rsid w:val="082A7BF6"/>
    <w:rsid w:val="082A7D82"/>
    <w:rsid w:val="082A7DC3"/>
    <w:rsid w:val="082A7DEE"/>
    <w:rsid w:val="082A7EEF"/>
    <w:rsid w:val="082B0034"/>
    <w:rsid w:val="082B00EB"/>
    <w:rsid w:val="082B0117"/>
    <w:rsid w:val="082B0125"/>
    <w:rsid w:val="082B0126"/>
    <w:rsid w:val="082B0193"/>
    <w:rsid w:val="082B0268"/>
    <w:rsid w:val="082B02B4"/>
    <w:rsid w:val="082B02FF"/>
    <w:rsid w:val="082B0316"/>
    <w:rsid w:val="082B0380"/>
    <w:rsid w:val="082B039E"/>
    <w:rsid w:val="082B0404"/>
    <w:rsid w:val="082B0497"/>
    <w:rsid w:val="082B053F"/>
    <w:rsid w:val="082B056D"/>
    <w:rsid w:val="082B05FD"/>
    <w:rsid w:val="082B0691"/>
    <w:rsid w:val="082B0720"/>
    <w:rsid w:val="082B075A"/>
    <w:rsid w:val="082B0777"/>
    <w:rsid w:val="082B07C7"/>
    <w:rsid w:val="082B0828"/>
    <w:rsid w:val="082B0839"/>
    <w:rsid w:val="082B089F"/>
    <w:rsid w:val="082B08F7"/>
    <w:rsid w:val="082B0933"/>
    <w:rsid w:val="082B0935"/>
    <w:rsid w:val="082B0B76"/>
    <w:rsid w:val="082B0BBF"/>
    <w:rsid w:val="082B0C51"/>
    <w:rsid w:val="082B0C91"/>
    <w:rsid w:val="082B0D3A"/>
    <w:rsid w:val="082B0E0D"/>
    <w:rsid w:val="082B0E1F"/>
    <w:rsid w:val="082B0E65"/>
    <w:rsid w:val="082B0E86"/>
    <w:rsid w:val="082B0FFA"/>
    <w:rsid w:val="082B0FFD"/>
    <w:rsid w:val="082B107B"/>
    <w:rsid w:val="082B1090"/>
    <w:rsid w:val="082B10B2"/>
    <w:rsid w:val="082B10BD"/>
    <w:rsid w:val="082B10ED"/>
    <w:rsid w:val="082B1103"/>
    <w:rsid w:val="082B118E"/>
    <w:rsid w:val="082B11E7"/>
    <w:rsid w:val="082B1244"/>
    <w:rsid w:val="082B125D"/>
    <w:rsid w:val="082B1358"/>
    <w:rsid w:val="082B136B"/>
    <w:rsid w:val="082B149D"/>
    <w:rsid w:val="082B15D1"/>
    <w:rsid w:val="082B162E"/>
    <w:rsid w:val="082B1648"/>
    <w:rsid w:val="082B16BC"/>
    <w:rsid w:val="082B16D8"/>
    <w:rsid w:val="082B16E0"/>
    <w:rsid w:val="082B1785"/>
    <w:rsid w:val="082B184E"/>
    <w:rsid w:val="082B1876"/>
    <w:rsid w:val="082B19C8"/>
    <w:rsid w:val="082B1A3F"/>
    <w:rsid w:val="082B1AB7"/>
    <w:rsid w:val="082B1B59"/>
    <w:rsid w:val="082B1C32"/>
    <w:rsid w:val="082B1C4B"/>
    <w:rsid w:val="082B1CD0"/>
    <w:rsid w:val="082B1CE1"/>
    <w:rsid w:val="082B1D23"/>
    <w:rsid w:val="082B1D67"/>
    <w:rsid w:val="082B1E55"/>
    <w:rsid w:val="082B1E67"/>
    <w:rsid w:val="082B1E9F"/>
    <w:rsid w:val="082B1EDD"/>
    <w:rsid w:val="082B1EE9"/>
    <w:rsid w:val="082B1EEF"/>
    <w:rsid w:val="082B1F57"/>
    <w:rsid w:val="082B1FE5"/>
    <w:rsid w:val="082B2162"/>
    <w:rsid w:val="082B21CD"/>
    <w:rsid w:val="082B21FE"/>
    <w:rsid w:val="082B22C9"/>
    <w:rsid w:val="082B234E"/>
    <w:rsid w:val="082B24F3"/>
    <w:rsid w:val="082B2511"/>
    <w:rsid w:val="082B25D6"/>
    <w:rsid w:val="082B260A"/>
    <w:rsid w:val="082B2640"/>
    <w:rsid w:val="082B266E"/>
    <w:rsid w:val="082B26FF"/>
    <w:rsid w:val="082B2785"/>
    <w:rsid w:val="082B278D"/>
    <w:rsid w:val="082B2809"/>
    <w:rsid w:val="082B282F"/>
    <w:rsid w:val="082B286F"/>
    <w:rsid w:val="082B28BB"/>
    <w:rsid w:val="082B2960"/>
    <w:rsid w:val="082B298B"/>
    <w:rsid w:val="082B2A0A"/>
    <w:rsid w:val="082B2A42"/>
    <w:rsid w:val="082B2B24"/>
    <w:rsid w:val="082B2D6F"/>
    <w:rsid w:val="082B2DCD"/>
    <w:rsid w:val="082B2DCE"/>
    <w:rsid w:val="082B2DDB"/>
    <w:rsid w:val="082B2DE9"/>
    <w:rsid w:val="082B2E07"/>
    <w:rsid w:val="082B2E29"/>
    <w:rsid w:val="082B2E47"/>
    <w:rsid w:val="082B2E7D"/>
    <w:rsid w:val="082B2ED8"/>
    <w:rsid w:val="082B2F4D"/>
    <w:rsid w:val="082B30DD"/>
    <w:rsid w:val="082B319A"/>
    <w:rsid w:val="082B31D5"/>
    <w:rsid w:val="082B31F1"/>
    <w:rsid w:val="082B33F2"/>
    <w:rsid w:val="082B33FE"/>
    <w:rsid w:val="082B3408"/>
    <w:rsid w:val="082B3497"/>
    <w:rsid w:val="082B34D2"/>
    <w:rsid w:val="082B3504"/>
    <w:rsid w:val="082B351A"/>
    <w:rsid w:val="082B3544"/>
    <w:rsid w:val="082B35E9"/>
    <w:rsid w:val="082B361D"/>
    <w:rsid w:val="082B3673"/>
    <w:rsid w:val="082B37A7"/>
    <w:rsid w:val="082B3805"/>
    <w:rsid w:val="082B38B5"/>
    <w:rsid w:val="082B391A"/>
    <w:rsid w:val="082B39CC"/>
    <w:rsid w:val="082B3B05"/>
    <w:rsid w:val="082B3B6C"/>
    <w:rsid w:val="082B3CF6"/>
    <w:rsid w:val="082B3D3F"/>
    <w:rsid w:val="082B3D70"/>
    <w:rsid w:val="082B3DF2"/>
    <w:rsid w:val="082B3E1A"/>
    <w:rsid w:val="082B401F"/>
    <w:rsid w:val="082B40A2"/>
    <w:rsid w:val="082B4168"/>
    <w:rsid w:val="082B42EC"/>
    <w:rsid w:val="082B434F"/>
    <w:rsid w:val="082B439F"/>
    <w:rsid w:val="082B43CA"/>
    <w:rsid w:val="082B44C3"/>
    <w:rsid w:val="082B4528"/>
    <w:rsid w:val="082B45F8"/>
    <w:rsid w:val="082B463C"/>
    <w:rsid w:val="082B46E5"/>
    <w:rsid w:val="082B46EC"/>
    <w:rsid w:val="082B4793"/>
    <w:rsid w:val="082B489A"/>
    <w:rsid w:val="082B48A7"/>
    <w:rsid w:val="082B4929"/>
    <w:rsid w:val="082B4A4A"/>
    <w:rsid w:val="082B4B1F"/>
    <w:rsid w:val="082B4B31"/>
    <w:rsid w:val="082B4B7D"/>
    <w:rsid w:val="082B4BFA"/>
    <w:rsid w:val="082B4E1C"/>
    <w:rsid w:val="082B5066"/>
    <w:rsid w:val="082B50F9"/>
    <w:rsid w:val="082B50FB"/>
    <w:rsid w:val="082B516D"/>
    <w:rsid w:val="082B51C5"/>
    <w:rsid w:val="082B51FC"/>
    <w:rsid w:val="082B5243"/>
    <w:rsid w:val="082B52B7"/>
    <w:rsid w:val="082B52E2"/>
    <w:rsid w:val="082B5305"/>
    <w:rsid w:val="082B540A"/>
    <w:rsid w:val="082B5461"/>
    <w:rsid w:val="082B5480"/>
    <w:rsid w:val="082B54A1"/>
    <w:rsid w:val="082B54F0"/>
    <w:rsid w:val="082B54F9"/>
    <w:rsid w:val="082B567F"/>
    <w:rsid w:val="082B56AC"/>
    <w:rsid w:val="082B577F"/>
    <w:rsid w:val="082B57E5"/>
    <w:rsid w:val="082B5816"/>
    <w:rsid w:val="082B58AB"/>
    <w:rsid w:val="082B58F3"/>
    <w:rsid w:val="082B58FC"/>
    <w:rsid w:val="082B597D"/>
    <w:rsid w:val="082B5986"/>
    <w:rsid w:val="082B5A00"/>
    <w:rsid w:val="082B5A0C"/>
    <w:rsid w:val="082B5A56"/>
    <w:rsid w:val="082B5AE2"/>
    <w:rsid w:val="082B5B08"/>
    <w:rsid w:val="082B5B9D"/>
    <w:rsid w:val="082B5C98"/>
    <w:rsid w:val="082B5D19"/>
    <w:rsid w:val="082B5D20"/>
    <w:rsid w:val="082B5DC7"/>
    <w:rsid w:val="082B5E20"/>
    <w:rsid w:val="082B5EB2"/>
    <w:rsid w:val="082B5EE0"/>
    <w:rsid w:val="082B5F1D"/>
    <w:rsid w:val="082B5F82"/>
    <w:rsid w:val="082B6110"/>
    <w:rsid w:val="082B6180"/>
    <w:rsid w:val="082B6235"/>
    <w:rsid w:val="082B6254"/>
    <w:rsid w:val="082B627E"/>
    <w:rsid w:val="082B629A"/>
    <w:rsid w:val="082B62C8"/>
    <w:rsid w:val="082B62F9"/>
    <w:rsid w:val="082B6370"/>
    <w:rsid w:val="082B63B3"/>
    <w:rsid w:val="082B63B6"/>
    <w:rsid w:val="082B63B8"/>
    <w:rsid w:val="082B6457"/>
    <w:rsid w:val="082B64A7"/>
    <w:rsid w:val="082B6590"/>
    <w:rsid w:val="082B65AB"/>
    <w:rsid w:val="082B65C4"/>
    <w:rsid w:val="082B65F1"/>
    <w:rsid w:val="082B6648"/>
    <w:rsid w:val="082B66DB"/>
    <w:rsid w:val="082B6706"/>
    <w:rsid w:val="082B67A4"/>
    <w:rsid w:val="082B67B4"/>
    <w:rsid w:val="082B67C4"/>
    <w:rsid w:val="082B67EC"/>
    <w:rsid w:val="082B689D"/>
    <w:rsid w:val="082B6914"/>
    <w:rsid w:val="082B6975"/>
    <w:rsid w:val="082B69E9"/>
    <w:rsid w:val="082B6A05"/>
    <w:rsid w:val="082B6ADD"/>
    <w:rsid w:val="082B6AF7"/>
    <w:rsid w:val="082B6B8F"/>
    <w:rsid w:val="082B6B9C"/>
    <w:rsid w:val="082B6C5A"/>
    <w:rsid w:val="082B6D1E"/>
    <w:rsid w:val="082B6D7C"/>
    <w:rsid w:val="082B6EC4"/>
    <w:rsid w:val="082B6F18"/>
    <w:rsid w:val="082B6F76"/>
    <w:rsid w:val="082B7009"/>
    <w:rsid w:val="082B70E3"/>
    <w:rsid w:val="082B710B"/>
    <w:rsid w:val="082B716D"/>
    <w:rsid w:val="082B7173"/>
    <w:rsid w:val="082B71D1"/>
    <w:rsid w:val="082B7215"/>
    <w:rsid w:val="082B72C9"/>
    <w:rsid w:val="082B7333"/>
    <w:rsid w:val="082B741E"/>
    <w:rsid w:val="082B742F"/>
    <w:rsid w:val="082B755C"/>
    <w:rsid w:val="082B7688"/>
    <w:rsid w:val="082B772E"/>
    <w:rsid w:val="082B7822"/>
    <w:rsid w:val="082B78FA"/>
    <w:rsid w:val="082B79CC"/>
    <w:rsid w:val="082B79FA"/>
    <w:rsid w:val="082B7A68"/>
    <w:rsid w:val="082B7A8C"/>
    <w:rsid w:val="082B7A90"/>
    <w:rsid w:val="082B7ACA"/>
    <w:rsid w:val="082B7B2A"/>
    <w:rsid w:val="082B7B70"/>
    <w:rsid w:val="082B7BD7"/>
    <w:rsid w:val="082B7C10"/>
    <w:rsid w:val="082B7C11"/>
    <w:rsid w:val="082B7C14"/>
    <w:rsid w:val="082B7C3C"/>
    <w:rsid w:val="082B7CB2"/>
    <w:rsid w:val="082B7CFE"/>
    <w:rsid w:val="082B7D5E"/>
    <w:rsid w:val="082B7E1C"/>
    <w:rsid w:val="082B7E73"/>
    <w:rsid w:val="082B7E98"/>
    <w:rsid w:val="082B7F40"/>
    <w:rsid w:val="082B7F57"/>
    <w:rsid w:val="082B7FCF"/>
    <w:rsid w:val="082C006A"/>
    <w:rsid w:val="082C00AF"/>
    <w:rsid w:val="082C01B0"/>
    <w:rsid w:val="082C01FB"/>
    <w:rsid w:val="082C01FC"/>
    <w:rsid w:val="082C027F"/>
    <w:rsid w:val="082C029A"/>
    <w:rsid w:val="082C0318"/>
    <w:rsid w:val="082C0350"/>
    <w:rsid w:val="082C045C"/>
    <w:rsid w:val="082C0512"/>
    <w:rsid w:val="082C05D1"/>
    <w:rsid w:val="082C0746"/>
    <w:rsid w:val="082C0754"/>
    <w:rsid w:val="082C0849"/>
    <w:rsid w:val="082C0850"/>
    <w:rsid w:val="082C0863"/>
    <w:rsid w:val="082C08F0"/>
    <w:rsid w:val="082C0964"/>
    <w:rsid w:val="082C0AF7"/>
    <w:rsid w:val="082C0B7A"/>
    <w:rsid w:val="082C0C17"/>
    <w:rsid w:val="082C0C57"/>
    <w:rsid w:val="082C0C62"/>
    <w:rsid w:val="082C0C8E"/>
    <w:rsid w:val="082C0C90"/>
    <w:rsid w:val="082C0D22"/>
    <w:rsid w:val="082C0F54"/>
    <w:rsid w:val="082C10FB"/>
    <w:rsid w:val="082C1136"/>
    <w:rsid w:val="082C117D"/>
    <w:rsid w:val="082C11BE"/>
    <w:rsid w:val="082C1306"/>
    <w:rsid w:val="082C146D"/>
    <w:rsid w:val="082C1477"/>
    <w:rsid w:val="082C149C"/>
    <w:rsid w:val="082C14C7"/>
    <w:rsid w:val="082C14E4"/>
    <w:rsid w:val="082C1557"/>
    <w:rsid w:val="082C15D3"/>
    <w:rsid w:val="082C15E0"/>
    <w:rsid w:val="082C161A"/>
    <w:rsid w:val="082C173C"/>
    <w:rsid w:val="082C17EF"/>
    <w:rsid w:val="082C1980"/>
    <w:rsid w:val="082C1998"/>
    <w:rsid w:val="082C19B1"/>
    <w:rsid w:val="082C1A74"/>
    <w:rsid w:val="082C1B3E"/>
    <w:rsid w:val="082C1D0B"/>
    <w:rsid w:val="082C1D3D"/>
    <w:rsid w:val="082C1D7C"/>
    <w:rsid w:val="082C1D8B"/>
    <w:rsid w:val="082C1DDD"/>
    <w:rsid w:val="082C1E6A"/>
    <w:rsid w:val="082C1EE6"/>
    <w:rsid w:val="082C1F15"/>
    <w:rsid w:val="082C1FB3"/>
    <w:rsid w:val="082C20AB"/>
    <w:rsid w:val="082C211E"/>
    <w:rsid w:val="082C21A1"/>
    <w:rsid w:val="082C2218"/>
    <w:rsid w:val="082C2297"/>
    <w:rsid w:val="082C22F6"/>
    <w:rsid w:val="082C2305"/>
    <w:rsid w:val="082C2407"/>
    <w:rsid w:val="082C2437"/>
    <w:rsid w:val="082C2445"/>
    <w:rsid w:val="082C25CC"/>
    <w:rsid w:val="082C266C"/>
    <w:rsid w:val="082C2832"/>
    <w:rsid w:val="082C284A"/>
    <w:rsid w:val="082C2980"/>
    <w:rsid w:val="082C2995"/>
    <w:rsid w:val="082C2A43"/>
    <w:rsid w:val="082C2A6C"/>
    <w:rsid w:val="082C2AAD"/>
    <w:rsid w:val="082C2ABC"/>
    <w:rsid w:val="082C2AE2"/>
    <w:rsid w:val="082C2BD6"/>
    <w:rsid w:val="082C2BEC"/>
    <w:rsid w:val="082C2C10"/>
    <w:rsid w:val="082C2C2E"/>
    <w:rsid w:val="082C2CDF"/>
    <w:rsid w:val="082C2E2A"/>
    <w:rsid w:val="082C2E44"/>
    <w:rsid w:val="082C2E91"/>
    <w:rsid w:val="082C2F47"/>
    <w:rsid w:val="082C30BD"/>
    <w:rsid w:val="082C31CE"/>
    <w:rsid w:val="082C31D0"/>
    <w:rsid w:val="082C32E4"/>
    <w:rsid w:val="082C3325"/>
    <w:rsid w:val="082C33EC"/>
    <w:rsid w:val="082C33FE"/>
    <w:rsid w:val="082C3477"/>
    <w:rsid w:val="082C348B"/>
    <w:rsid w:val="082C349F"/>
    <w:rsid w:val="082C3541"/>
    <w:rsid w:val="082C35A0"/>
    <w:rsid w:val="082C36C7"/>
    <w:rsid w:val="082C371A"/>
    <w:rsid w:val="082C3748"/>
    <w:rsid w:val="082C3809"/>
    <w:rsid w:val="082C3946"/>
    <w:rsid w:val="082C39FB"/>
    <w:rsid w:val="082C3A3F"/>
    <w:rsid w:val="082C3A57"/>
    <w:rsid w:val="082C3AAA"/>
    <w:rsid w:val="082C3ADE"/>
    <w:rsid w:val="082C3B39"/>
    <w:rsid w:val="082C3BB4"/>
    <w:rsid w:val="082C3BC9"/>
    <w:rsid w:val="082C3CB7"/>
    <w:rsid w:val="082C3CDB"/>
    <w:rsid w:val="082C3CDD"/>
    <w:rsid w:val="082C3CF4"/>
    <w:rsid w:val="082C3DA4"/>
    <w:rsid w:val="082C3DFC"/>
    <w:rsid w:val="082C3EDA"/>
    <w:rsid w:val="082C3F12"/>
    <w:rsid w:val="082C3F2B"/>
    <w:rsid w:val="082C3F90"/>
    <w:rsid w:val="082C3FC5"/>
    <w:rsid w:val="082C4005"/>
    <w:rsid w:val="082C405B"/>
    <w:rsid w:val="082C40C4"/>
    <w:rsid w:val="082C40F7"/>
    <w:rsid w:val="082C412E"/>
    <w:rsid w:val="082C41EB"/>
    <w:rsid w:val="082C4217"/>
    <w:rsid w:val="082C4274"/>
    <w:rsid w:val="082C4306"/>
    <w:rsid w:val="082C43B7"/>
    <w:rsid w:val="082C44B1"/>
    <w:rsid w:val="082C44C3"/>
    <w:rsid w:val="082C4521"/>
    <w:rsid w:val="082C4590"/>
    <w:rsid w:val="082C463A"/>
    <w:rsid w:val="082C4643"/>
    <w:rsid w:val="082C464E"/>
    <w:rsid w:val="082C46C2"/>
    <w:rsid w:val="082C46E5"/>
    <w:rsid w:val="082C4726"/>
    <w:rsid w:val="082C47E8"/>
    <w:rsid w:val="082C489C"/>
    <w:rsid w:val="082C4946"/>
    <w:rsid w:val="082C4A18"/>
    <w:rsid w:val="082C4B51"/>
    <w:rsid w:val="082C4D98"/>
    <w:rsid w:val="082C4E21"/>
    <w:rsid w:val="082C4E46"/>
    <w:rsid w:val="082C4E4A"/>
    <w:rsid w:val="082C4E4F"/>
    <w:rsid w:val="082C4E86"/>
    <w:rsid w:val="082C4EAB"/>
    <w:rsid w:val="082C4F27"/>
    <w:rsid w:val="082C4FFA"/>
    <w:rsid w:val="082C502F"/>
    <w:rsid w:val="082C5209"/>
    <w:rsid w:val="082C5220"/>
    <w:rsid w:val="082C522F"/>
    <w:rsid w:val="082C52A8"/>
    <w:rsid w:val="082C52AF"/>
    <w:rsid w:val="082C52C6"/>
    <w:rsid w:val="082C536C"/>
    <w:rsid w:val="082C5383"/>
    <w:rsid w:val="082C53BE"/>
    <w:rsid w:val="082C53CA"/>
    <w:rsid w:val="082C53E8"/>
    <w:rsid w:val="082C5477"/>
    <w:rsid w:val="082C54B1"/>
    <w:rsid w:val="082C550D"/>
    <w:rsid w:val="082C55D6"/>
    <w:rsid w:val="082C5665"/>
    <w:rsid w:val="082C573B"/>
    <w:rsid w:val="082C57F2"/>
    <w:rsid w:val="082C57FB"/>
    <w:rsid w:val="082C5859"/>
    <w:rsid w:val="082C5894"/>
    <w:rsid w:val="082C58CD"/>
    <w:rsid w:val="082C58D5"/>
    <w:rsid w:val="082C5990"/>
    <w:rsid w:val="082C599A"/>
    <w:rsid w:val="082C5BB7"/>
    <w:rsid w:val="082C5C7C"/>
    <w:rsid w:val="082C5CD2"/>
    <w:rsid w:val="082C5E30"/>
    <w:rsid w:val="082C5E3B"/>
    <w:rsid w:val="082C5E87"/>
    <w:rsid w:val="082C5E8B"/>
    <w:rsid w:val="082C5FC3"/>
    <w:rsid w:val="082C601E"/>
    <w:rsid w:val="082C605F"/>
    <w:rsid w:val="082C60E3"/>
    <w:rsid w:val="082C6184"/>
    <w:rsid w:val="082C61D9"/>
    <w:rsid w:val="082C61F7"/>
    <w:rsid w:val="082C62F3"/>
    <w:rsid w:val="082C6387"/>
    <w:rsid w:val="082C6412"/>
    <w:rsid w:val="082C644A"/>
    <w:rsid w:val="082C650E"/>
    <w:rsid w:val="082C6557"/>
    <w:rsid w:val="082C6579"/>
    <w:rsid w:val="082C65E9"/>
    <w:rsid w:val="082C66C4"/>
    <w:rsid w:val="082C66F0"/>
    <w:rsid w:val="082C6735"/>
    <w:rsid w:val="082C6750"/>
    <w:rsid w:val="082C67B5"/>
    <w:rsid w:val="082C67E6"/>
    <w:rsid w:val="082C6889"/>
    <w:rsid w:val="082C68B5"/>
    <w:rsid w:val="082C69BC"/>
    <w:rsid w:val="082C6AC6"/>
    <w:rsid w:val="082C6B4D"/>
    <w:rsid w:val="082C6BD6"/>
    <w:rsid w:val="082C6D1D"/>
    <w:rsid w:val="082C6DC0"/>
    <w:rsid w:val="082C6E57"/>
    <w:rsid w:val="082C6EB7"/>
    <w:rsid w:val="082C6F6B"/>
    <w:rsid w:val="082C6F9F"/>
    <w:rsid w:val="082C70FC"/>
    <w:rsid w:val="082C70FF"/>
    <w:rsid w:val="082C7128"/>
    <w:rsid w:val="082C7154"/>
    <w:rsid w:val="082C71F0"/>
    <w:rsid w:val="082C72BE"/>
    <w:rsid w:val="082C72C6"/>
    <w:rsid w:val="082C72F7"/>
    <w:rsid w:val="082C730A"/>
    <w:rsid w:val="082C7394"/>
    <w:rsid w:val="082C7407"/>
    <w:rsid w:val="082C757B"/>
    <w:rsid w:val="082C76ED"/>
    <w:rsid w:val="082C773C"/>
    <w:rsid w:val="082C7817"/>
    <w:rsid w:val="082C7845"/>
    <w:rsid w:val="082C7854"/>
    <w:rsid w:val="082C7947"/>
    <w:rsid w:val="082C7996"/>
    <w:rsid w:val="082C79BD"/>
    <w:rsid w:val="082C79C9"/>
    <w:rsid w:val="082C7AEA"/>
    <w:rsid w:val="082C7B26"/>
    <w:rsid w:val="082C7B4C"/>
    <w:rsid w:val="082C7BE6"/>
    <w:rsid w:val="082C7C41"/>
    <w:rsid w:val="082C7C6F"/>
    <w:rsid w:val="082C7CCD"/>
    <w:rsid w:val="082C7D7B"/>
    <w:rsid w:val="082C7DBD"/>
    <w:rsid w:val="082C7E48"/>
    <w:rsid w:val="082C7EE8"/>
    <w:rsid w:val="082C7F15"/>
    <w:rsid w:val="082C7FA5"/>
    <w:rsid w:val="082D0042"/>
    <w:rsid w:val="082D01BD"/>
    <w:rsid w:val="082D01C2"/>
    <w:rsid w:val="082D01DA"/>
    <w:rsid w:val="082D022D"/>
    <w:rsid w:val="082D02F8"/>
    <w:rsid w:val="082D0340"/>
    <w:rsid w:val="082D0501"/>
    <w:rsid w:val="082D066B"/>
    <w:rsid w:val="082D0730"/>
    <w:rsid w:val="082D07B5"/>
    <w:rsid w:val="082D07CF"/>
    <w:rsid w:val="082D080E"/>
    <w:rsid w:val="082D0834"/>
    <w:rsid w:val="082D0856"/>
    <w:rsid w:val="082D0884"/>
    <w:rsid w:val="082D0889"/>
    <w:rsid w:val="082D08B4"/>
    <w:rsid w:val="082D08FE"/>
    <w:rsid w:val="082D0A65"/>
    <w:rsid w:val="082D0AC1"/>
    <w:rsid w:val="082D0B91"/>
    <w:rsid w:val="082D0BC7"/>
    <w:rsid w:val="082D0BD3"/>
    <w:rsid w:val="082D0BE7"/>
    <w:rsid w:val="082D0DF2"/>
    <w:rsid w:val="082D0E55"/>
    <w:rsid w:val="082D0E8E"/>
    <w:rsid w:val="082D0E9E"/>
    <w:rsid w:val="082D0F15"/>
    <w:rsid w:val="082D0F4E"/>
    <w:rsid w:val="082D0F5F"/>
    <w:rsid w:val="082D0F7C"/>
    <w:rsid w:val="082D100C"/>
    <w:rsid w:val="082D1073"/>
    <w:rsid w:val="082D117C"/>
    <w:rsid w:val="082D1212"/>
    <w:rsid w:val="082D127C"/>
    <w:rsid w:val="082D12B9"/>
    <w:rsid w:val="082D12ED"/>
    <w:rsid w:val="082D133B"/>
    <w:rsid w:val="082D139D"/>
    <w:rsid w:val="082D13A9"/>
    <w:rsid w:val="082D1409"/>
    <w:rsid w:val="082D14BB"/>
    <w:rsid w:val="082D14C7"/>
    <w:rsid w:val="082D14CB"/>
    <w:rsid w:val="082D1513"/>
    <w:rsid w:val="082D159E"/>
    <w:rsid w:val="082D15CD"/>
    <w:rsid w:val="082D16A6"/>
    <w:rsid w:val="082D17CC"/>
    <w:rsid w:val="082D1829"/>
    <w:rsid w:val="082D186A"/>
    <w:rsid w:val="082D18AF"/>
    <w:rsid w:val="082D1902"/>
    <w:rsid w:val="082D1A36"/>
    <w:rsid w:val="082D1B57"/>
    <w:rsid w:val="082D1C48"/>
    <w:rsid w:val="082D1DD9"/>
    <w:rsid w:val="082D1E09"/>
    <w:rsid w:val="082D1E70"/>
    <w:rsid w:val="082D1EE2"/>
    <w:rsid w:val="082D1F51"/>
    <w:rsid w:val="082D1F56"/>
    <w:rsid w:val="082D1F82"/>
    <w:rsid w:val="082D1FBC"/>
    <w:rsid w:val="082D1FC3"/>
    <w:rsid w:val="082D2029"/>
    <w:rsid w:val="082D2031"/>
    <w:rsid w:val="082D2064"/>
    <w:rsid w:val="082D2066"/>
    <w:rsid w:val="082D2089"/>
    <w:rsid w:val="082D20A6"/>
    <w:rsid w:val="082D2193"/>
    <w:rsid w:val="082D21A0"/>
    <w:rsid w:val="082D21BA"/>
    <w:rsid w:val="082D221D"/>
    <w:rsid w:val="082D226A"/>
    <w:rsid w:val="082D234A"/>
    <w:rsid w:val="082D23FB"/>
    <w:rsid w:val="082D2488"/>
    <w:rsid w:val="082D24C4"/>
    <w:rsid w:val="082D24E4"/>
    <w:rsid w:val="082D251F"/>
    <w:rsid w:val="082D2547"/>
    <w:rsid w:val="082D255B"/>
    <w:rsid w:val="082D2578"/>
    <w:rsid w:val="082D2598"/>
    <w:rsid w:val="082D25B7"/>
    <w:rsid w:val="082D25BF"/>
    <w:rsid w:val="082D2675"/>
    <w:rsid w:val="082D269F"/>
    <w:rsid w:val="082D2700"/>
    <w:rsid w:val="082D2753"/>
    <w:rsid w:val="082D27B5"/>
    <w:rsid w:val="082D27D1"/>
    <w:rsid w:val="082D289B"/>
    <w:rsid w:val="082D2A1A"/>
    <w:rsid w:val="082D2A9F"/>
    <w:rsid w:val="082D2B73"/>
    <w:rsid w:val="082D2B7A"/>
    <w:rsid w:val="082D2BAF"/>
    <w:rsid w:val="082D2BDB"/>
    <w:rsid w:val="082D2DC3"/>
    <w:rsid w:val="082D2E26"/>
    <w:rsid w:val="082D2E6A"/>
    <w:rsid w:val="082D2E7F"/>
    <w:rsid w:val="082D2EF4"/>
    <w:rsid w:val="082D2FA6"/>
    <w:rsid w:val="082D31D4"/>
    <w:rsid w:val="082D3224"/>
    <w:rsid w:val="082D33CF"/>
    <w:rsid w:val="082D3434"/>
    <w:rsid w:val="082D34BA"/>
    <w:rsid w:val="082D3557"/>
    <w:rsid w:val="082D372E"/>
    <w:rsid w:val="082D375B"/>
    <w:rsid w:val="082D376A"/>
    <w:rsid w:val="082D37BD"/>
    <w:rsid w:val="082D38CA"/>
    <w:rsid w:val="082D39F6"/>
    <w:rsid w:val="082D39F8"/>
    <w:rsid w:val="082D3AA8"/>
    <w:rsid w:val="082D3BF6"/>
    <w:rsid w:val="082D3CA3"/>
    <w:rsid w:val="082D3D09"/>
    <w:rsid w:val="082D3D6A"/>
    <w:rsid w:val="082D3DF6"/>
    <w:rsid w:val="082D3E35"/>
    <w:rsid w:val="082D3E86"/>
    <w:rsid w:val="082D3EA2"/>
    <w:rsid w:val="082D3EFF"/>
    <w:rsid w:val="082D3F01"/>
    <w:rsid w:val="082D3F26"/>
    <w:rsid w:val="082D3F38"/>
    <w:rsid w:val="082D3FE1"/>
    <w:rsid w:val="082D407D"/>
    <w:rsid w:val="082D40AD"/>
    <w:rsid w:val="082D414F"/>
    <w:rsid w:val="082D4151"/>
    <w:rsid w:val="082D4211"/>
    <w:rsid w:val="082D42FF"/>
    <w:rsid w:val="082D435F"/>
    <w:rsid w:val="082D4369"/>
    <w:rsid w:val="082D43A3"/>
    <w:rsid w:val="082D43A9"/>
    <w:rsid w:val="082D441B"/>
    <w:rsid w:val="082D44BD"/>
    <w:rsid w:val="082D457F"/>
    <w:rsid w:val="082D45B8"/>
    <w:rsid w:val="082D45C3"/>
    <w:rsid w:val="082D45CA"/>
    <w:rsid w:val="082D45E3"/>
    <w:rsid w:val="082D45FA"/>
    <w:rsid w:val="082D46E5"/>
    <w:rsid w:val="082D489A"/>
    <w:rsid w:val="082D491C"/>
    <w:rsid w:val="082D4929"/>
    <w:rsid w:val="082D4942"/>
    <w:rsid w:val="082D4A66"/>
    <w:rsid w:val="082D4A8D"/>
    <w:rsid w:val="082D4ACD"/>
    <w:rsid w:val="082D4B01"/>
    <w:rsid w:val="082D4BD7"/>
    <w:rsid w:val="082D4D8E"/>
    <w:rsid w:val="082D4E6F"/>
    <w:rsid w:val="082D4E78"/>
    <w:rsid w:val="082D4EAB"/>
    <w:rsid w:val="082D4EB5"/>
    <w:rsid w:val="082D5011"/>
    <w:rsid w:val="082D509B"/>
    <w:rsid w:val="082D50E7"/>
    <w:rsid w:val="082D521F"/>
    <w:rsid w:val="082D522F"/>
    <w:rsid w:val="082D52F4"/>
    <w:rsid w:val="082D5381"/>
    <w:rsid w:val="082D53C8"/>
    <w:rsid w:val="082D54E5"/>
    <w:rsid w:val="082D55D9"/>
    <w:rsid w:val="082D55F8"/>
    <w:rsid w:val="082D569E"/>
    <w:rsid w:val="082D56A4"/>
    <w:rsid w:val="082D56B0"/>
    <w:rsid w:val="082D5745"/>
    <w:rsid w:val="082D577D"/>
    <w:rsid w:val="082D580D"/>
    <w:rsid w:val="082D5846"/>
    <w:rsid w:val="082D58C8"/>
    <w:rsid w:val="082D58FB"/>
    <w:rsid w:val="082D5907"/>
    <w:rsid w:val="082D596B"/>
    <w:rsid w:val="082D597F"/>
    <w:rsid w:val="082D5A1F"/>
    <w:rsid w:val="082D5A91"/>
    <w:rsid w:val="082D5ACE"/>
    <w:rsid w:val="082D5BD4"/>
    <w:rsid w:val="082D5BD6"/>
    <w:rsid w:val="082D5BDF"/>
    <w:rsid w:val="082D5C0A"/>
    <w:rsid w:val="082D5D57"/>
    <w:rsid w:val="082D5D5A"/>
    <w:rsid w:val="082D5D98"/>
    <w:rsid w:val="082D5E46"/>
    <w:rsid w:val="082D5EB4"/>
    <w:rsid w:val="082D5F4F"/>
    <w:rsid w:val="082D6079"/>
    <w:rsid w:val="082D60C7"/>
    <w:rsid w:val="082D6143"/>
    <w:rsid w:val="082D61B2"/>
    <w:rsid w:val="082D6282"/>
    <w:rsid w:val="082D62C6"/>
    <w:rsid w:val="082D640D"/>
    <w:rsid w:val="082D64DA"/>
    <w:rsid w:val="082D663B"/>
    <w:rsid w:val="082D6643"/>
    <w:rsid w:val="082D669B"/>
    <w:rsid w:val="082D66E6"/>
    <w:rsid w:val="082D6702"/>
    <w:rsid w:val="082D684E"/>
    <w:rsid w:val="082D6873"/>
    <w:rsid w:val="082D68C6"/>
    <w:rsid w:val="082D6973"/>
    <w:rsid w:val="082D6A22"/>
    <w:rsid w:val="082D6A84"/>
    <w:rsid w:val="082D6AC8"/>
    <w:rsid w:val="082D6AD2"/>
    <w:rsid w:val="082D6B06"/>
    <w:rsid w:val="082D6B86"/>
    <w:rsid w:val="082D6C66"/>
    <w:rsid w:val="082D6CB5"/>
    <w:rsid w:val="082D6D3B"/>
    <w:rsid w:val="082D6D6C"/>
    <w:rsid w:val="082D6EAC"/>
    <w:rsid w:val="082D6ED7"/>
    <w:rsid w:val="082D6F4F"/>
    <w:rsid w:val="082D6FBB"/>
    <w:rsid w:val="082D702C"/>
    <w:rsid w:val="082D7038"/>
    <w:rsid w:val="082D70CC"/>
    <w:rsid w:val="082D72C4"/>
    <w:rsid w:val="082D7325"/>
    <w:rsid w:val="082D7368"/>
    <w:rsid w:val="082D738E"/>
    <w:rsid w:val="082D73D9"/>
    <w:rsid w:val="082D74B5"/>
    <w:rsid w:val="082D7564"/>
    <w:rsid w:val="082D756A"/>
    <w:rsid w:val="082D7638"/>
    <w:rsid w:val="082D76C9"/>
    <w:rsid w:val="082D7791"/>
    <w:rsid w:val="082D77E4"/>
    <w:rsid w:val="082D78E7"/>
    <w:rsid w:val="082D796B"/>
    <w:rsid w:val="082D7979"/>
    <w:rsid w:val="082D797F"/>
    <w:rsid w:val="082D79BB"/>
    <w:rsid w:val="082D79DE"/>
    <w:rsid w:val="082D79F0"/>
    <w:rsid w:val="082D7AEF"/>
    <w:rsid w:val="082D7B3B"/>
    <w:rsid w:val="082D7C11"/>
    <w:rsid w:val="082D7CA7"/>
    <w:rsid w:val="082D7CD5"/>
    <w:rsid w:val="082D7DF0"/>
    <w:rsid w:val="082D7E29"/>
    <w:rsid w:val="082D7E70"/>
    <w:rsid w:val="082D7EB7"/>
    <w:rsid w:val="082D7EEF"/>
    <w:rsid w:val="082D7F4D"/>
    <w:rsid w:val="082D7F53"/>
    <w:rsid w:val="082D7FFA"/>
    <w:rsid w:val="082E0060"/>
    <w:rsid w:val="082E0080"/>
    <w:rsid w:val="082E0094"/>
    <w:rsid w:val="082E014B"/>
    <w:rsid w:val="082E017B"/>
    <w:rsid w:val="082E0235"/>
    <w:rsid w:val="082E024B"/>
    <w:rsid w:val="082E026A"/>
    <w:rsid w:val="082E02DA"/>
    <w:rsid w:val="082E0308"/>
    <w:rsid w:val="082E0379"/>
    <w:rsid w:val="082E0386"/>
    <w:rsid w:val="082E0694"/>
    <w:rsid w:val="082E08D5"/>
    <w:rsid w:val="082E0979"/>
    <w:rsid w:val="082E09EF"/>
    <w:rsid w:val="082E0A43"/>
    <w:rsid w:val="082E0A75"/>
    <w:rsid w:val="082E0A83"/>
    <w:rsid w:val="082E0BE1"/>
    <w:rsid w:val="082E0C0A"/>
    <w:rsid w:val="082E0D37"/>
    <w:rsid w:val="082E0D44"/>
    <w:rsid w:val="082E0DEF"/>
    <w:rsid w:val="082E0E41"/>
    <w:rsid w:val="082E0EB4"/>
    <w:rsid w:val="082E0ED0"/>
    <w:rsid w:val="082E0F09"/>
    <w:rsid w:val="082E0F62"/>
    <w:rsid w:val="082E0FEC"/>
    <w:rsid w:val="082E0FFC"/>
    <w:rsid w:val="082E10E6"/>
    <w:rsid w:val="082E113B"/>
    <w:rsid w:val="082E1147"/>
    <w:rsid w:val="082E1165"/>
    <w:rsid w:val="082E11A5"/>
    <w:rsid w:val="082E13B4"/>
    <w:rsid w:val="082E13B6"/>
    <w:rsid w:val="082E13BF"/>
    <w:rsid w:val="082E13FD"/>
    <w:rsid w:val="082E143E"/>
    <w:rsid w:val="082E14B1"/>
    <w:rsid w:val="082E151F"/>
    <w:rsid w:val="082E1653"/>
    <w:rsid w:val="082E16E4"/>
    <w:rsid w:val="082E16E7"/>
    <w:rsid w:val="082E1714"/>
    <w:rsid w:val="082E17CE"/>
    <w:rsid w:val="082E1904"/>
    <w:rsid w:val="082E1946"/>
    <w:rsid w:val="082E1A51"/>
    <w:rsid w:val="082E1A7B"/>
    <w:rsid w:val="082E1CB5"/>
    <w:rsid w:val="082E1DF6"/>
    <w:rsid w:val="082E1E73"/>
    <w:rsid w:val="082E1FD0"/>
    <w:rsid w:val="082E2080"/>
    <w:rsid w:val="082E20EC"/>
    <w:rsid w:val="082E20F7"/>
    <w:rsid w:val="082E2119"/>
    <w:rsid w:val="082E2139"/>
    <w:rsid w:val="082E2261"/>
    <w:rsid w:val="082E2434"/>
    <w:rsid w:val="082E2452"/>
    <w:rsid w:val="082E255D"/>
    <w:rsid w:val="082E25E4"/>
    <w:rsid w:val="082E2627"/>
    <w:rsid w:val="082E2768"/>
    <w:rsid w:val="082E27A5"/>
    <w:rsid w:val="082E2811"/>
    <w:rsid w:val="082E2874"/>
    <w:rsid w:val="082E2905"/>
    <w:rsid w:val="082E2931"/>
    <w:rsid w:val="082E2B1A"/>
    <w:rsid w:val="082E2B3A"/>
    <w:rsid w:val="082E2C14"/>
    <w:rsid w:val="082E2C20"/>
    <w:rsid w:val="082E2CC3"/>
    <w:rsid w:val="082E2D0E"/>
    <w:rsid w:val="082E2D7A"/>
    <w:rsid w:val="082E2E6A"/>
    <w:rsid w:val="082E2E9C"/>
    <w:rsid w:val="082E2EB3"/>
    <w:rsid w:val="082E2EC3"/>
    <w:rsid w:val="082E2ED2"/>
    <w:rsid w:val="082E2FEF"/>
    <w:rsid w:val="082E2FF1"/>
    <w:rsid w:val="082E3011"/>
    <w:rsid w:val="082E306B"/>
    <w:rsid w:val="082E3117"/>
    <w:rsid w:val="082E3138"/>
    <w:rsid w:val="082E3262"/>
    <w:rsid w:val="082E3288"/>
    <w:rsid w:val="082E32D4"/>
    <w:rsid w:val="082E335E"/>
    <w:rsid w:val="082E3450"/>
    <w:rsid w:val="082E34A3"/>
    <w:rsid w:val="082E356F"/>
    <w:rsid w:val="082E363B"/>
    <w:rsid w:val="082E3640"/>
    <w:rsid w:val="082E36E8"/>
    <w:rsid w:val="082E36EA"/>
    <w:rsid w:val="082E3739"/>
    <w:rsid w:val="082E3793"/>
    <w:rsid w:val="082E38B4"/>
    <w:rsid w:val="082E38BD"/>
    <w:rsid w:val="082E3901"/>
    <w:rsid w:val="082E39CD"/>
    <w:rsid w:val="082E39F1"/>
    <w:rsid w:val="082E3A22"/>
    <w:rsid w:val="082E3AFC"/>
    <w:rsid w:val="082E3B56"/>
    <w:rsid w:val="082E3B58"/>
    <w:rsid w:val="082E3B5B"/>
    <w:rsid w:val="082E3B71"/>
    <w:rsid w:val="082E3B79"/>
    <w:rsid w:val="082E3B83"/>
    <w:rsid w:val="082E3B9C"/>
    <w:rsid w:val="082E3C56"/>
    <w:rsid w:val="082E3D67"/>
    <w:rsid w:val="082E3D8F"/>
    <w:rsid w:val="082E3FA2"/>
    <w:rsid w:val="082E3FD3"/>
    <w:rsid w:val="082E4010"/>
    <w:rsid w:val="082E407C"/>
    <w:rsid w:val="082E40FB"/>
    <w:rsid w:val="082E4178"/>
    <w:rsid w:val="082E418E"/>
    <w:rsid w:val="082E4233"/>
    <w:rsid w:val="082E423D"/>
    <w:rsid w:val="082E4441"/>
    <w:rsid w:val="082E44C6"/>
    <w:rsid w:val="082E454E"/>
    <w:rsid w:val="082E47F7"/>
    <w:rsid w:val="082E4849"/>
    <w:rsid w:val="082E4854"/>
    <w:rsid w:val="082E486D"/>
    <w:rsid w:val="082E4992"/>
    <w:rsid w:val="082E499A"/>
    <w:rsid w:val="082E4A38"/>
    <w:rsid w:val="082E4A82"/>
    <w:rsid w:val="082E4CA4"/>
    <w:rsid w:val="082E4DFA"/>
    <w:rsid w:val="082E4E3D"/>
    <w:rsid w:val="082E4F45"/>
    <w:rsid w:val="082E4F46"/>
    <w:rsid w:val="082E4F89"/>
    <w:rsid w:val="082E5029"/>
    <w:rsid w:val="082E5062"/>
    <w:rsid w:val="082E513E"/>
    <w:rsid w:val="082E51A3"/>
    <w:rsid w:val="082E51F8"/>
    <w:rsid w:val="082E5263"/>
    <w:rsid w:val="082E52C6"/>
    <w:rsid w:val="082E52D1"/>
    <w:rsid w:val="082E539A"/>
    <w:rsid w:val="082E5474"/>
    <w:rsid w:val="082E554B"/>
    <w:rsid w:val="082E5554"/>
    <w:rsid w:val="082E5569"/>
    <w:rsid w:val="082E55ED"/>
    <w:rsid w:val="082E563C"/>
    <w:rsid w:val="082E576A"/>
    <w:rsid w:val="082E584D"/>
    <w:rsid w:val="082E5989"/>
    <w:rsid w:val="082E5AD2"/>
    <w:rsid w:val="082E5BEC"/>
    <w:rsid w:val="082E5C5F"/>
    <w:rsid w:val="082E5CCF"/>
    <w:rsid w:val="082E5DB2"/>
    <w:rsid w:val="082E5DC4"/>
    <w:rsid w:val="082E5E19"/>
    <w:rsid w:val="082E5E5B"/>
    <w:rsid w:val="082E5E8E"/>
    <w:rsid w:val="082E5EBC"/>
    <w:rsid w:val="082E5F40"/>
    <w:rsid w:val="082E5FAB"/>
    <w:rsid w:val="082E5FF4"/>
    <w:rsid w:val="082E600F"/>
    <w:rsid w:val="082E6012"/>
    <w:rsid w:val="082E6065"/>
    <w:rsid w:val="082E60FA"/>
    <w:rsid w:val="082E6199"/>
    <w:rsid w:val="082E6236"/>
    <w:rsid w:val="082E625B"/>
    <w:rsid w:val="082E6264"/>
    <w:rsid w:val="082E6286"/>
    <w:rsid w:val="082E642B"/>
    <w:rsid w:val="082E6439"/>
    <w:rsid w:val="082E648F"/>
    <w:rsid w:val="082E64CD"/>
    <w:rsid w:val="082E6571"/>
    <w:rsid w:val="082E6581"/>
    <w:rsid w:val="082E65A4"/>
    <w:rsid w:val="082E6632"/>
    <w:rsid w:val="082E6644"/>
    <w:rsid w:val="082E66B6"/>
    <w:rsid w:val="082E66EE"/>
    <w:rsid w:val="082E6706"/>
    <w:rsid w:val="082E6807"/>
    <w:rsid w:val="082E68A3"/>
    <w:rsid w:val="082E6926"/>
    <w:rsid w:val="082E696A"/>
    <w:rsid w:val="082E69BF"/>
    <w:rsid w:val="082E6B0C"/>
    <w:rsid w:val="082E6B2F"/>
    <w:rsid w:val="082E6BAF"/>
    <w:rsid w:val="082E6BFB"/>
    <w:rsid w:val="082E6C84"/>
    <w:rsid w:val="082E6CB7"/>
    <w:rsid w:val="082E6CB8"/>
    <w:rsid w:val="082E6D13"/>
    <w:rsid w:val="082E6D48"/>
    <w:rsid w:val="082E6D66"/>
    <w:rsid w:val="082E6EEB"/>
    <w:rsid w:val="082E6F0E"/>
    <w:rsid w:val="082E6FAD"/>
    <w:rsid w:val="082E7153"/>
    <w:rsid w:val="082E7221"/>
    <w:rsid w:val="082E7302"/>
    <w:rsid w:val="082E7330"/>
    <w:rsid w:val="082E73A6"/>
    <w:rsid w:val="082E73D7"/>
    <w:rsid w:val="082E7402"/>
    <w:rsid w:val="082E743F"/>
    <w:rsid w:val="082E7541"/>
    <w:rsid w:val="082E7542"/>
    <w:rsid w:val="082E7548"/>
    <w:rsid w:val="082E7590"/>
    <w:rsid w:val="082E764E"/>
    <w:rsid w:val="082E768B"/>
    <w:rsid w:val="082E7712"/>
    <w:rsid w:val="082E7758"/>
    <w:rsid w:val="082E7853"/>
    <w:rsid w:val="082E787A"/>
    <w:rsid w:val="082E7A83"/>
    <w:rsid w:val="082E7B30"/>
    <w:rsid w:val="082E7C7A"/>
    <w:rsid w:val="082E7C93"/>
    <w:rsid w:val="082E7C9F"/>
    <w:rsid w:val="082E7D4B"/>
    <w:rsid w:val="082E7D5D"/>
    <w:rsid w:val="082E7E8D"/>
    <w:rsid w:val="082E7EC3"/>
    <w:rsid w:val="082E7F1D"/>
    <w:rsid w:val="082E7F74"/>
    <w:rsid w:val="082F002B"/>
    <w:rsid w:val="082F0108"/>
    <w:rsid w:val="082F01DA"/>
    <w:rsid w:val="082F0202"/>
    <w:rsid w:val="082F024B"/>
    <w:rsid w:val="082F0252"/>
    <w:rsid w:val="082F02A7"/>
    <w:rsid w:val="082F02D9"/>
    <w:rsid w:val="082F0341"/>
    <w:rsid w:val="082F03E1"/>
    <w:rsid w:val="082F03FB"/>
    <w:rsid w:val="082F0430"/>
    <w:rsid w:val="082F0474"/>
    <w:rsid w:val="082F049D"/>
    <w:rsid w:val="082F050A"/>
    <w:rsid w:val="082F0548"/>
    <w:rsid w:val="082F0618"/>
    <w:rsid w:val="082F0668"/>
    <w:rsid w:val="082F06D2"/>
    <w:rsid w:val="082F0743"/>
    <w:rsid w:val="082F07EA"/>
    <w:rsid w:val="082F08C9"/>
    <w:rsid w:val="082F0980"/>
    <w:rsid w:val="082F098C"/>
    <w:rsid w:val="082F0A01"/>
    <w:rsid w:val="082F0A44"/>
    <w:rsid w:val="082F0C17"/>
    <w:rsid w:val="082F0D22"/>
    <w:rsid w:val="082F0DD8"/>
    <w:rsid w:val="082F0E13"/>
    <w:rsid w:val="082F0EAD"/>
    <w:rsid w:val="082F0FB0"/>
    <w:rsid w:val="082F1044"/>
    <w:rsid w:val="082F107E"/>
    <w:rsid w:val="082F10D0"/>
    <w:rsid w:val="082F10DD"/>
    <w:rsid w:val="082F11D1"/>
    <w:rsid w:val="082F126B"/>
    <w:rsid w:val="082F13E7"/>
    <w:rsid w:val="082F140A"/>
    <w:rsid w:val="082F141F"/>
    <w:rsid w:val="082F145E"/>
    <w:rsid w:val="082F14B3"/>
    <w:rsid w:val="082F14F0"/>
    <w:rsid w:val="082F1515"/>
    <w:rsid w:val="082F1534"/>
    <w:rsid w:val="082F165B"/>
    <w:rsid w:val="082F168C"/>
    <w:rsid w:val="082F16AB"/>
    <w:rsid w:val="082F171B"/>
    <w:rsid w:val="082F172B"/>
    <w:rsid w:val="082F17B6"/>
    <w:rsid w:val="082F17F2"/>
    <w:rsid w:val="082F183A"/>
    <w:rsid w:val="082F1927"/>
    <w:rsid w:val="082F1978"/>
    <w:rsid w:val="082F19B9"/>
    <w:rsid w:val="082F19E8"/>
    <w:rsid w:val="082F1A1B"/>
    <w:rsid w:val="082F1B21"/>
    <w:rsid w:val="082F1B49"/>
    <w:rsid w:val="082F1B5F"/>
    <w:rsid w:val="082F1BD1"/>
    <w:rsid w:val="082F1BDD"/>
    <w:rsid w:val="082F1D1D"/>
    <w:rsid w:val="082F1D3C"/>
    <w:rsid w:val="082F1D63"/>
    <w:rsid w:val="082F1F28"/>
    <w:rsid w:val="082F1F34"/>
    <w:rsid w:val="082F1FA0"/>
    <w:rsid w:val="082F208A"/>
    <w:rsid w:val="082F2163"/>
    <w:rsid w:val="082F2180"/>
    <w:rsid w:val="082F222D"/>
    <w:rsid w:val="082F22B9"/>
    <w:rsid w:val="082F22C5"/>
    <w:rsid w:val="082F2344"/>
    <w:rsid w:val="082F2475"/>
    <w:rsid w:val="082F247C"/>
    <w:rsid w:val="082F24E9"/>
    <w:rsid w:val="082F2508"/>
    <w:rsid w:val="082F2526"/>
    <w:rsid w:val="082F2694"/>
    <w:rsid w:val="082F27A0"/>
    <w:rsid w:val="082F27BA"/>
    <w:rsid w:val="082F27F8"/>
    <w:rsid w:val="082F286A"/>
    <w:rsid w:val="082F2895"/>
    <w:rsid w:val="082F2952"/>
    <w:rsid w:val="082F29AA"/>
    <w:rsid w:val="082F2A37"/>
    <w:rsid w:val="082F2AC0"/>
    <w:rsid w:val="082F2B00"/>
    <w:rsid w:val="082F2BFB"/>
    <w:rsid w:val="082F2C20"/>
    <w:rsid w:val="082F2CB9"/>
    <w:rsid w:val="082F2CBF"/>
    <w:rsid w:val="082F2D63"/>
    <w:rsid w:val="082F2F48"/>
    <w:rsid w:val="082F30A1"/>
    <w:rsid w:val="082F3232"/>
    <w:rsid w:val="082F33C1"/>
    <w:rsid w:val="082F33D9"/>
    <w:rsid w:val="082F3410"/>
    <w:rsid w:val="082F3462"/>
    <w:rsid w:val="082F3476"/>
    <w:rsid w:val="082F35AB"/>
    <w:rsid w:val="082F35CA"/>
    <w:rsid w:val="082F360F"/>
    <w:rsid w:val="082F3646"/>
    <w:rsid w:val="082F3685"/>
    <w:rsid w:val="082F36A9"/>
    <w:rsid w:val="082F3769"/>
    <w:rsid w:val="082F37B8"/>
    <w:rsid w:val="082F3823"/>
    <w:rsid w:val="082F39F0"/>
    <w:rsid w:val="082F3BD9"/>
    <w:rsid w:val="082F3C46"/>
    <w:rsid w:val="082F3DA2"/>
    <w:rsid w:val="082F3DBF"/>
    <w:rsid w:val="082F3DE8"/>
    <w:rsid w:val="082F3E5B"/>
    <w:rsid w:val="082F3ED1"/>
    <w:rsid w:val="082F407E"/>
    <w:rsid w:val="082F4103"/>
    <w:rsid w:val="082F4156"/>
    <w:rsid w:val="082F415D"/>
    <w:rsid w:val="082F41B8"/>
    <w:rsid w:val="082F4206"/>
    <w:rsid w:val="082F4229"/>
    <w:rsid w:val="082F4349"/>
    <w:rsid w:val="082F4396"/>
    <w:rsid w:val="082F43F6"/>
    <w:rsid w:val="082F4417"/>
    <w:rsid w:val="082F444A"/>
    <w:rsid w:val="082F4474"/>
    <w:rsid w:val="082F4515"/>
    <w:rsid w:val="082F4547"/>
    <w:rsid w:val="082F460D"/>
    <w:rsid w:val="082F46A0"/>
    <w:rsid w:val="082F46E6"/>
    <w:rsid w:val="082F46FC"/>
    <w:rsid w:val="082F47F6"/>
    <w:rsid w:val="082F481A"/>
    <w:rsid w:val="082F48B6"/>
    <w:rsid w:val="082F48BB"/>
    <w:rsid w:val="082F48DC"/>
    <w:rsid w:val="082F4B35"/>
    <w:rsid w:val="082F4B45"/>
    <w:rsid w:val="082F4D15"/>
    <w:rsid w:val="082F4E25"/>
    <w:rsid w:val="082F4E2C"/>
    <w:rsid w:val="082F4EB3"/>
    <w:rsid w:val="082F4ECF"/>
    <w:rsid w:val="082F4F35"/>
    <w:rsid w:val="082F4F99"/>
    <w:rsid w:val="082F506F"/>
    <w:rsid w:val="082F508B"/>
    <w:rsid w:val="082F5175"/>
    <w:rsid w:val="082F52D8"/>
    <w:rsid w:val="082F537A"/>
    <w:rsid w:val="082F5479"/>
    <w:rsid w:val="082F5560"/>
    <w:rsid w:val="082F5658"/>
    <w:rsid w:val="082F565E"/>
    <w:rsid w:val="082F5873"/>
    <w:rsid w:val="082F5879"/>
    <w:rsid w:val="082F58AB"/>
    <w:rsid w:val="082F58C3"/>
    <w:rsid w:val="082F5984"/>
    <w:rsid w:val="082F59B3"/>
    <w:rsid w:val="082F59BA"/>
    <w:rsid w:val="082F5A00"/>
    <w:rsid w:val="082F5A01"/>
    <w:rsid w:val="082F5A7E"/>
    <w:rsid w:val="082F5AE6"/>
    <w:rsid w:val="082F5BCE"/>
    <w:rsid w:val="082F5C1D"/>
    <w:rsid w:val="082F5C5D"/>
    <w:rsid w:val="082F5C8D"/>
    <w:rsid w:val="082F5D28"/>
    <w:rsid w:val="082F5D4C"/>
    <w:rsid w:val="082F5D61"/>
    <w:rsid w:val="082F5DE7"/>
    <w:rsid w:val="082F5E50"/>
    <w:rsid w:val="082F5F2A"/>
    <w:rsid w:val="082F5FA5"/>
    <w:rsid w:val="082F602A"/>
    <w:rsid w:val="082F6032"/>
    <w:rsid w:val="082F61D7"/>
    <w:rsid w:val="082F61F5"/>
    <w:rsid w:val="082F6259"/>
    <w:rsid w:val="082F631D"/>
    <w:rsid w:val="082F641F"/>
    <w:rsid w:val="082F6553"/>
    <w:rsid w:val="082F65A8"/>
    <w:rsid w:val="082F65E6"/>
    <w:rsid w:val="082F65FA"/>
    <w:rsid w:val="082F6685"/>
    <w:rsid w:val="082F66A8"/>
    <w:rsid w:val="082F678C"/>
    <w:rsid w:val="082F6846"/>
    <w:rsid w:val="082F68A3"/>
    <w:rsid w:val="082F68C7"/>
    <w:rsid w:val="082F6935"/>
    <w:rsid w:val="082F6968"/>
    <w:rsid w:val="082F6990"/>
    <w:rsid w:val="082F6993"/>
    <w:rsid w:val="082F6A0A"/>
    <w:rsid w:val="082F6B6D"/>
    <w:rsid w:val="082F6B8B"/>
    <w:rsid w:val="082F6BB3"/>
    <w:rsid w:val="082F6BCF"/>
    <w:rsid w:val="082F6C39"/>
    <w:rsid w:val="082F6C82"/>
    <w:rsid w:val="082F6CBA"/>
    <w:rsid w:val="082F6D0F"/>
    <w:rsid w:val="082F6F22"/>
    <w:rsid w:val="082F6FAA"/>
    <w:rsid w:val="082F6FD4"/>
    <w:rsid w:val="082F7084"/>
    <w:rsid w:val="082F70D0"/>
    <w:rsid w:val="082F7108"/>
    <w:rsid w:val="082F71AC"/>
    <w:rsid w:val="082F72C7"/>
    <w:rsid w:val="082F7318"/>
    <w:rsid w:val="082F7328"/>
    <w:rsid w:val="082F73BB"/>
    <w:rsid w:val="082F7480"/>
    <w:rsid w:val="082F74B0"/>
    <w:rsid w:val="082F74E9"/>
    <w:rsid w:val="082F7535"/>
    <w:rsid w:val="082F755B"/>
    <w:rsid w:val="082F75F3"/>
    <w:rsid w:val="082F765A"/>
    <w:rsid w:val="082F76AE"/>
    <w:rsid w:val="082F76FB"/>
    <w:rsid w:val="082F771F"/>
    <w:rsid w:val="082F779E"/>
    <w:rsid w:val="082F77B2"/>
    <w:rsid w:val="082F77B5"/>
    <w:rsid w:val="082F77BF"/>
    <w:rsid w:val="082F7834"/>
    <w:rsid w:val="082F78B9"/>
    <w:rsid w:val="082F78D1"/>
    <w:rsid w:val="082F78EC"/>
    <w:rsid w:val="082F79B0"/>
    <w:rsid w:val="082F79D5"/>
    <w:rsid w:val="082F79D8"/>
    <w:rsid w:val="082F79E3"/>
    <w:rsid w:val="082F7A82"/>
    <w:rsid w:val="082F7B59"/>
    <w:rsid w:val="082F7B7D"/>
    <w:rsid w:val="082F7BCD"/>
    <w:rsid w:val="082F7BD7"/>
    <w:rsid w:val="082F7BFE"/>
    <w:rsid w:val="082F7C00"/>
    <w:rsid w:val="082F7C1F"/>
    <w:rsid w:val="082F7C77"/>
    <w:rsid w:val="082F7CE6"/>
    <w:rsid w:val="082F7D18"/>
    <w:rsid w:val="082F7D6C"/>
    <w:rsid w:val="082F7E0D"/>
    <w:rsid w:val="082F7E60"/>
    <w:rsid w:val="082F7F42"/>
    <w:rsid w:val="082F7F8B"/>
    <w:rsid w:val="082F7FD8"/>
    <w:rsid w:val="0830010C"/>
    <w:rsid w:val="08300140"/>
    <w:rsid w:val="083001F4"/>
    <w:rsid w:val="0830028E"/>
    <w:rsid w:val="083002CF"/>
    <w:rsid w:val="083002DC"/>
    <w:rsid w:val="08300303"/>
    <w:rsid w:val="083003B7"/>
    <w:rsid w:val="083003CA"/>
    <w:rsid w:val="083003DA"/>
    <w:rsid w:val="083003EA"/>
    <w:rsid w:val="083003ED"/>
    <w:rsid w:val="08300581"/>
    <w:rsid w:val="083005CF"/>
    <w:rsid w:val="0830063D"/>
    <w:rsid w:val="083006AD"/>
    <w:rsid w:val="083006E3"/>
    <w:rsid w:val="08300772"/>
    <w:rsid w:val="08300785"/>
    <w:rsid w:val="083007D9"/>
    <w:rsid w:val="08300883"/>
    <w:rsid w:val="083008A0"/>
    <w:rsid w:val="08300927"/>
    <w:rsid w:val="08300964"/>
    <w:rsid w:val="083009E7"/>
    <w:rsid w:val="08300A43"/>
    <w:rsid w:val="08300BB9"/>
    <w:rsid w:val="08300D1C"/>
    <w:rsid w:val="08300D64"/>
    <w:rsid w:val="08300E43"/>
    <w:rsid w:val="08300E8B"/>
    <w:rsid w:val="08300FBA"/>
    <w:rsid w:val="08300FD5"/>
    <w:rsid w:val="08300FE1"/>
    <w:rsid w:val="08301148"/>
    <w:rsid w:val="0830122C"/>
    <w:rsid w:val="08301231"/>
    <w:rsid w:val="08301237"/>
    <w:rsid w:val="08301242"/>
    <w:rsid w:val="08301377"/>
    <w:rsid w:val="08301438"/>
    <w:rsid w:val="083014EE"/>
    <w:rsid w:val="0830150B"/>
    <w:rsid w:val="08301534"/>
    <w:rsid w:val="083015C3"/>
    <w:rsid w:val="083015E7"/>
    <w:rsid w:val="083015F4"/>
    <w:rsid w:val="083015F5"/>
    <w:rsid w:val="0830165F"/>
    <w:rsid w:val="083016BD"/>
    <w:rsid w:val="083017A5"/>
    <w:rsid w:val="083017AE"/>
    <w:rsid w:val="0830180B"/>
    <w:rsid w:val="083018EC"/>
    <w:rsid w:val="08301ADE"/>
    <w:rsid w:val="08301B1B"/>
    <w:rsid w:val="08301BB8"/>
    <w:rsid w:val="08301BDE"/>
    <w:rsid w:val="08301C7F"/>
    <w:rsid w:val="08301CB9"/>
    <w:rsid w:val="08301CCC"/>
    <w:rsid w:val="08301D0E"/>
    <w:rsid w:val="08301DE7"/>
    <w:rsid w:val="08301EDF"/>
    <w:rsid w:val="08301F3D"/>
    <w:rsid w:val="0830201A"/>
    <w:rsid w:val="08302039"/>
    <w:rsid w:val="083020A7"/>
    <w:rsid w:val="083020F6"/>
    <w:rsid w:val="08302106"/>
    <w:rsid w:val="08302161"/>
    <w:rsid w:val="083021C8"/>
    <w:rsid w:val="08302204"/>
    <w:rsid w:val="0830226D"/>
    <w:rsid w:val="08302420"/>
    <w:rsid w:val="08302439"/>
    <w:rsid w:val="08302511"/>
    <w:rsid w:val="08302532"/>
    <w:rsid w:val="08302563"/>
    <w:rsid w:val="083025BA"/>
    <w:rsid w:val="083025DC"/>
    <w:rsid w:val="0830268E"/>
    <w:rsid w:val="08302705"/>
    <w:rsid w:val="083029FF"/>
    <w:rsid w:val="08302B49"/>
    <w:rsid w:val="08302B97"/>
    <w:rsid w:val="08302BE9"/>
    <w:rsid w:val="08302C31"/>
    <w:rsid w:val="08302C33"/>
    <w:rsid w:val="08302C4E"/>
    <w:rsid w:val="08302C57"/>
    <w:rsid w:val="08302D3A"/>
    <w:rsid w:val="08302DAF"/>
    <w:rsid w:val="08302F3C"/>
    <w:rsid w:val="08302F81"/>
    <w:rsid w:val="08302FAB"/>
    <w:rsid w:val="083031C3"/>
    <w:rsid w:val="08303217"/>
    <w:rsid w:val="0830323D"/>
    <w:rsid w:val="08303295"/>
    <w:rsid w:val="083032B1"/>
    <w:rsid w:val="083033BA"/>
    <w:rsid w:val="08303469"/>
    <w:rsid w:val="08303486"/>
    <w:rsid w:val="08303493"/>
    <w:rsid w:val="0830367B"/>
    <w:rsid w:val="08303692"/>
    <w:rsid w:val="083036B0"/>
    <w:rsid w:val="083037A7"/>
    <w:rsid w:val="08303878"/>
    <w:rsid w:val="08303895"/>
    <w:rsid w:val="083038B5"/>
    <w:rsid w:val="083038C1"/>
    <w:rsid w:val="08303976"/>
    <w:rsid w:val="08303A15"/>
    <w:rsid w:val="08303A52"/>
    <w:rsid w:val="08303A56"/>
    <w:rsid w:val="08303A71"/>
    <w:rsid w:val="08303B93"/>
    <w:rsid w:val="08303BA3"/>
    <w:rsid w:val="08303BC5"/>
    <w:rsid w:val="08303BC8"/>
    <w:rsid w:val="08303BDC"/>
    <w:rsid w:val="08303C61"/>
    <w:rsid w:val="08303D0F"/>
    <w:rsid w:val="08303D78"/>
    <w:rsid w:val="08303D82"/>
    <w:rsid w:val="08303D92"/>
    <w:rsid w:val="08303E6F"/>
    <w:rsid w:val="08303ECB"/>
    <w:rsid w:val="08303F60"/>
    <w:rsid w:val="08303F6A"/>
    <w:rsid w:val="08304060"/>
    <w:rsid w:val="08304109"/>
    <w:rsid w:val="08304184"/>
    <w:rsid w:val="083041B1"/>
    <w:rsid w:val="08304206"/>
    <w:rsid w:val="08304301"/>
    <w:rsid w:val="0830432F"/>
    <w:rsid w:val="0830439A"/>
    <w:rsid w:val="083043EA"/>
    <w:rsid w:val="08304449"/>
    <w:rsid w:val="0830449B"/>
    <w:rsid w:val="08304527"/>
    <w:rsid w:val="0830457C"/>
    <w:rsid w:val="0830458C"/>
    <w:rsid w:val="083045AD"/>
    <w:rsid w:val="083045B2"/>
    <w:rsid w:val="0830460A"/>
    <w:rsid w:val="08304635"/>
    <w:rsid w:val="083046AA"/>
    <w:rsid w:val="08304793"/>
    <w:rsid w:val="0830484A"/>
    <w:rsid w:val="083048C0"/>
    <w:rsid w:val="0830497A"/>
    <w:rsid w:val="08304A66"/>
    <w:rsid w:val="08304C6B"/>
    <w:rsid w:val="08304C70"/>
    <w:rsid w:val="08304D3D"/>
    <w:rsid w:val="08304DB2"/>
    <w:rsid w:val="08304FB6"/>
    <w:rsid w:val="08304FC6"/>
    <w:rsid w:val="08304FE0"/>
    <w:rsid w:val="0830501E"/>
    <w:rsid w:val="08305089"/>
    <w:rsid w:val="083050B3"/>
    <w:rsid w:val="08305173"/>
    <w:rsid w:val="0830523D"/>
    <w:rsid w:val="08305252"/>
    <w:rsid w:val="0830532A"/>
    <w:rsid w:val="08305361"/>
    <w:rsid w:val="083053D7"/>
    <w:rsid w:val="08305536"/>
    <w:rsid w:val="0830554D"/>
    <w:rsid w:val="0830559E"/>
    <w:rsid w:val="0830564B"/>
    <w:rsid w:val="083057C7"/>
    <w:rsid w:val="083057CD"/>
    <w:rsid w:val="083058F8"/>
    <w:rsid w:val="08305903"/>
    <w:rsid w:val="0830591E"/>
    <w:rsid w:val="083059A8"/>
    <w:rsid w:val="08305B49"/>
    <w:rsid w:val="08305BBE"/>
    <w:rsid w:val="08305BE7"/>
    <w:rsid w:val="08305D2E"/>
    <w:rsid w:val="08305DBC"/>
    <w:rsid w:val="08305DC0"/>
    <w:rsid w:val="08305E26"/>
    <w:rsid w:val="08305E9C"/>
    <w:rsid w:val="08305F04"/>
    <w:rsid w:val="08305F12"/>
    <w:rsid w:val="08306018"/>
    <w:rsid w:val="0830609A"/>
    <w:rsid w:val="083060BA"/>
    <w:rsid w:val="083060E7"/>
    <w:rsid w:val="08306107"/>
    <w:rsid w:val="0830621D"/>
    <w:rsid w:val="08306230"/>
    <w:rsid w:val="0830624E"/>
    <w:rsid w:val="0830639E"/>
    <w:rsid w:val="083063F2"/>
    <w:rsid w:val="08306409"/>
    <w:rsid w:val="083064C8"/>
    <w:rsid w:val="08306570"/>
    <w:rsid w:val="083065CC"/>
    <w:rsid w:val="083066D0"/>
    <w:rsid w:val="08306956"/>
    <w:rsid w:val="0830697D"/>
    <w:rsid w:val="0830697E"/>
    <w:rsid w:val="083069AC"/>
    <w:rsid w:val="08306B06"/>
    <w:rsid w:val="08306B64"/>
    <w:rsid w:val="08306B9C"/>
    <w:rsid w:val="08306C29"/>
    <w:rsid w:val="08306C75"/>
    <w:rsid w:val="08306D99"/>
    <w:rsid w:val="08306DD6"/>
    <w:rsid w:val="08306F55"/>
    <w:rsid w:val="08306F9A"/>
    <w:rsid w:val="08306FA5"/>
    <w:rsid w:val="08306FC8"/>
    <w:rsid w:val="08306FEE"/>
    <w:rsid w:val="08306FFD"/>
    <w:rsid w:val="0830702B"/>
    <w:rsid w:val="08307174"/>
    <w:rsid w:val="08307324"/>
    <w:rsid w:val="0830735A"/>
    <w:rsid w:val="0830749D"/>
    <w:rsid w:val="083074DE"/>
    <w:rsid w:val="08307517"/>
    <w:rsid w:val="0830786C"/>
    <w:rsid w:val="083079D1"/>
    <w:rsid w:val="083079DF"/>
    <w:rsid w:val="08307A24"/>
    <w:rsid w:val="08307A76"/>
    <w:rsid w:val="08307AA6"/>
    <w:rsid w:val="08307B0A"/>
    <w:rsid w:val="08307B35"/>
    <w:rsid w:val="08307B49"/>
    <w:rsid w:val="08307CBE"/>
    <w:rsid w:val="08307D6F"/>
    <w:rsid w:val="08307DB7"/>
    <w:rsid w:val="08307E06"/>
    <w:rsid w:val="08307E61"/>
    <w:rsid w:val="08307F5F"/>
    <w:rsid w:val="08307F66"/>
    <w:rsid w:val="08307F8C"/>
    <w:rsid w:val="0831007D"/>
    <w:rsid w:val="08310108"/>
    <w:rsid w:val="08310135"/>
    <w:rsid w:val="0831014D"/>
    <w:rsid w:val="08310153"/>
    <w:rsid w:val="08310195"/>
    <w:rsid w:val="083101C1"/>
    <w:rsid w:val="08310255"/>
    <w:rsid w:val="0831026E"/>
    <w:rsid w:val="0831029D"/>
    <w:rsid w:val="08310353"/>
    <w:rsid w:val="0831040C"/>
    <w:rsid w:val="08310497"/>
    <w:rsid w:val="083104FB"/>
    <w:rsid w:val="083105D8"/>
    <w:rsid w:val="08310640"/>
    <w:rsid w:val="083106AF"/>
    <w:rsid w:val="08310AAF"/>
    <w:rsid w:val="08310B41"/>
    <w:rsid w:val="08310BD7"/>
    <w:rsid w:val="08310DED"/>
    <w:rsid w:val="08310E70"/>
    <w:rsid w:val="08310E90"/>
    <w:rsid w:val="08310E9C"/>
    <w:rsid w:val="08310EA2"/>
    <w:rsid w:val="08310F05"/>
    <w:rsid w:val="08310F0C"/>
    <w:rsid w:val="08310F56"/>
    <w:rsid w:val="08310FFC"/>
    <w:rsid w:val="083110D2"/>
    <w:rsid w:val="083110E7"/>
    <w:rsid w:val="0831118C"/>
    <w:rsid w:val="08311196"/>
    <w:rsid w:val="083111A2"/>
    <w:rsid w:val="083112B6"/>
    <w:rsid w:val="083112D2"/>
    <w:rsid w:val="0831138F"/>
    <w:rsid w:val="083113DB"/>
    <w:rsid w:val="083113E5"/>
    <w:rsid w:val="08311432"/>
    <w:rsid w:val="0831145A"/>
    <w:rsid w:val="08311550"/>
    <w:rsid w:val="08311574"/>
    <w:rsid w:val="083115D5"/>
    <w:rsid w:val="083115DF"/>
    <w:rsid w:val="0831162D"/>
    <w:rsid w:val="08311632"/>
    <w:rsid w:val="08311652"/>
    <w:rsid w:val="08311654"/>
    <w:rsid w:val="0831166D"/>
    <w:rsid w:val="083118A3"/>
    <w:rsid w:val="083119BE"/>
    <w:rsid w:val="08311A2C"/>
    <w:rsid w:val="08311B8D"/>
    <w:rsid w:val="08311B8E"/>
    <w:rsid w:val="08311BA0"/>
    <w:rsid w:val="08311C4E"/>
    <w:rsid w:val="08311C74"/>
    <w:rsid w:val="08311CD8"/>
    <w:rsid w:val="08311D08"/>
    <w:rsid w:val="08311D24"/>
    <w:rsid w:val="08311E76"/>
    <w:rsid w:val="08311FAF"/>
    <w:rsid w:val="08311FD9"/>
    <w:rsid w:val="08312004"/>
    <w:rsid w:val="083120BB"/>
    <w:rsid w:val="083120DD"/>
    <w:rsid w:val="083120FC"/>
    <w:rsid w:val="08312106"/>
    <w:rsid w:val="08312195"/>
    <w:rsid w:val="0831219A"/>
    <w:rsid w:val="0831219C"/>
    <w:rsid w:val="083121AE"/>
    <w:rsid w:val="083122DB"/>
    <w:rsid w:val="083122ED"/>
    <w:rsid w:val="08312375"/>
    <w:rsid w:val="08312390"/>
    <w:rsid w:val="08312450"/>
    <w:rsid w:val="08312467"/>
    <w:rsid w:val="08312561"/>
    <w:rsid w:val="083125E4"/>
    <w:rsid w:val="083126CF"/>
    <w:rsid w:val="0831274E"/>
    <w:rsid w:val="08312A8B"/>
    <w:rsid w:val="08312A9D"/>
    <w:rsid w:val="08312AE2"/>
    <w:rsid w:val="08312B34"/>
    <w:rsid w:val="08312B8F"/>
    <w:rsid w:val="08312BFB"/>
    <w:rsid w:val="08312C92"/>
    <w:rsid w:val="08312CFC"/>
    <w:rsid w:val="08312DE5"/>
    <w:rsid w:val="08312DE6"/>
    <w:rsid w:val="08312E06"/>
    <w:rsid w:val="08312ED9"/>
    <w:rsid w:val="08313021"/>
    <w:rsid w:val="08313044"/>
    <w:rsid w:val="0831313B"/>
    <w:rsid w:val="0831319B"/>
    <w:rsid w:val="08313231"/>
    <w:rsid w:val="0831323A"/>
    <w:rsid w:val="083132B3"/>
    <w:rsid w:val="08313304"/>
    <w:rsid w:val="08313305"/>
    <w:rsid w:val="08313366"/>
    <w:rsid w:val="083133DA"/>
    <w:rsid w:val="08313417"/>
    <w:rsid w:val="08313474"/>
    <w:rsid w:val="083134BF"/>
    <w:rsid w:val="083134E4"/>
    <w:rsid w:val="08313670"/>
    <w:rsid w:val="08313676"/>
    <w:rsid w:val="08313688"/>
    <w:rsid w:val="083136BB"/>
    <w:rsid w:val="083136CE"/>
    <w:rsid w:val="083136DF"/>
    <w:rsid w:val="083136E4"/>
    <w:rsid w:val="08313841"/>
    <w:rsid w:val="083138A0"/>
    <w:rsid w:val="083138AE"/>
    <w:rsid w:val="08313944"/>
    <w:rsid w:val="08313B74"/>
    <w:rsid w:val="08313BCB"/>
    <w:rsid w:val="08313BF4"/>
    <w:rsid w:val="08313C2A"/>
    <w:rsid w:val="08313D55"/>
    <w:rsid w:val="08313DCA"/>
    <w:rsid w:val="08313DE1"/>
    <w:rsid w:val="08313F4F"/>
    <w:rsid w:val="08313F5C"/>
    <w:rsid w:val="08313FAC"/>
    <w:rsid w:val="0831405C"/>
    <w:rsid w:val="08314081"/>
    <w:rsid w:val="0831429F"/>
    <w:rsid w:val="083142D3"/>
    <w:rsid w:val="083143E0"/>
    <w:rsid w:val="08314410"/>
    <w:rsid w:val="0831442E"/>
    <w:rsid w:val="08314441"/>
    <w:rsid w:val="0831445E"/>
    <w:rsid w:val="08314467"/>
    <w:rsid w:val="0831464D"/>
    <w:rsid w:val="083146B4"/>
    <w:rsid w:val="083147DD"/>
    <w:rsid w:val="083148D9"/>
    <w:rsid w:val="0831492F"/>
    <w:rsid w:val="08314957"/>
    <w:rsid w:val="08314AF8"/>
    <w:rsid w:val="08314B09"/>
    <w:rsid w:val="08314B16"/>
    <w:rsid w:val="08314B38"/>
    <w:rsid w:val="08314BAD"/>
    <w:rsid w:val="08314C03"/>
    <w:rsid w:val="08314C5F"/>
    <w:rsid w:val="08314C60"/>
    <w:rsid w:val="08314CB4"/>
    <w:rsid w:val="08314CC7"/>
    <w:rsid w:val="08314D4B"/>
    <w:rsid w:val="08314D6B"/>
    <w:rsid w:val="08314DEC"/>
    <w:rsid w:val="08314E1F"/>
    <w:rsid w:val="08314E59"/>
    <w:rsid w:val="08314EA7"/>
    <w:rsid w:val="08314EDE"/>
    <w:rsid w:val="08314F16"/>
    <w:rsid w:val="08314FA7"/>
    <w:rsid w:val="08314FBF"/>
    <w:rsid w:val="08314FDD"/>
    <w:rsid w:val="083151DD"/>
    <w:rsid w:val="083151F8"/>
    <w:rsid w:val="083152B9"/>
    <w:rsid w:val="08315334"/>
    <w:rsid w:val="08315383"/>
    <w:rsid w:val="083153B3"/>
    <w:rsid w:val="08315494"/>
    <w:rsid w:val="083154A7"/>
    <w:rsid w:val="083155AE"/>
    <w:rsid w:val="08315723"/>
    <w:rsid w:val="08315734"/>
    <w:rsid w:val="0831583D"/>
    <w:rsid w:val="08315842"/>
    <w:rsid w:val="08315861"/>
    <w:rsid w:val="08315921"/>
    <w:rsid w:val="0831592B"/>
    <w:rsid w:val="08315A8D"/>
    <w:rsid w:val="08315C11"/>
    <w:rsid w:val="08315CA8"/>
    <w:rsid w:val="08315D3E"/>
    <w:rsid w:val="08315DB1"/>
    <w:rsid w:val="08315FB7"/>
    <w:rsid w:val="0831603B"/>
    <w:rsid w:val="08316049"/>
    <w:rsid w:val="0831605B"/>
    <w:rsid w:val="0831612B"/>
    <w:rsid w:val="0831617A"/>
    <w:rsid w:val="083161F5"/>
    <w:rsid w:val="08316201"/>
    <w:rsid w:val="08316227"/>
    <w:rsid w:val="08316228"/>
    <w:rsid w:val="08316287"/>
    <w:rsid w:val="0831629F"/>
    <w:rsid w:val="083162C3"/>
    <w:rsid w:val="083162E9"/>
    <w:rsid w:val="08316497"/>
    <w:rsid w:val="0831649D"/>
    <w:rsid w:val="083164EB"/>
    <w:rsid w:val="08316547"/>
    <w:rsid w:val="083165A6"/>
    <w:rsid w:val="08316614"/>
    <w:rsid w:val="08316624"/>
    <w:rsid w:val="08316655"/>
    <w:rsid w:val="0831669C"/>
    <w:rsid w:val="083166C6"/>
    <w:rsid w:val="083167EE"/>
    <w:rsid w:val="083169E7"/>
    <w:rsid w:val="08316A1A"/>
    <w:rsid w:val="08316A91"/>
    <w:rsid w:val="08316AA9"/>
    <w:rsid w:val="08316B4D"/>
    <w:rsid w:val="08316C72"/>
    <w:rsid w:val="08316D88"/>
    <w:rsid w:val="08316E10"/>
    <w:rsid w:val="08316E1B"/>
    <w:rsid w:val="08316E21"/>
    <w:rsid w:val="08316F21"/>
    <w:rsid w:val="08316F75"/>
    <w:rsid w:val="08316F90"/>
    <w:rsid w:val="08316FCC"/>
    <w:rsid w:val="0831705D"/>
    <w:rsid w:val="083170B4"/>
    <w:rsid w:val="083170FA"/>
    <w:rsid w:val="0831714A"/>
    <w:rsid w:val="0831719C"/>
    <w:rsid w:val="083171DD"/>
    <w:rsid w:val="083173BD"/>
    <w:rsid w:val="0831747D"/>
    <w:rsid w:val="08317682"/>
    <w:rsid w:val="083176BB"/>
    <w:rsid w:val="083176E8"/>
    <w:rsid w:val="0831773A"/>
    <w:rsid w:val="08317772"/>
    <w:rsid w:val="0831779F"/>
    <w:rsid w:val="0831782F"/>
    <w:rsid w:val="08317850"/>
    <w:rsid w:val="083178C4"/>
    <w:rsid w:val="08317A4C"/>
    <w:rsid w:val="08317A64"/>
    <w:rsid w:val="08317B03"/>
    <w:rsid w:val="08317D08"/>
    <w:rsid w:val="08317D62"/>
    <w:rsid w:val="08317E4B"/>
    <w:rsid w:val="08317EAF"/>
    <w:rsid w:val="08317F3D"/>
    <w:rsid w:val="08317FED"/>
    <w:rsid w:val="08320074"/>
    <w:rsid w:val="0832014A"/>
    <w:rsid w:val="0832027F"/>
    <w:rsid w:val="08320300"/>
    <w:rsid w:val="08320354"/>
    <w:rsid w:val="0832035A"/>
    <w:rsid w:val="08320385"/>
    <w:rsid w:val="0832039C"/>
    <w:rsid w:val="0832041E"/>
    <w:rsid w:val="0832049B"/>
    <w:rsid w:val="0832057E"/>
    <w:rsid w:val="0832058F"/>
    <w:rsid w:val="08320628"/>
    <w:rsid w:val="08320704"/>
    <w:rsid w:val="083207FB"/>
    <w:rsid w:val="08320849"/>
    <w:rsid w:val="083208F3"/>
    <w:rsid w:val="08320918"/>
    <w:rsid w:val="0832092C"/>
    <w:rsid w:val="08320AFA"/>
    <w:rsid w:val="08320C21"/>
    <w:rsid w:val="08320C4B"/>
    <w:rsid w:val="08320D11"/>
    <w:rsid w:val="08320D52"/>
    <w:rsid w:val="08320DE2"/>
    <w:rsid w:val="08320E18"/>
    <w:rsid w:val="08320E3C"/>
    <w:rsid w:val="08320E91"/>
    <w:rsid w:val="08320E94"/>
    <w:rsid w:val="08320F6A"/>
    <w:rsid w:val="08320FB4"/>
    <w:rsid w:val="08321005"/>
    <w:rsid w:val="08321060"/>
    <w:rsid w:val="083210FD"/>
    <w:rsid w:val="08321158"/>
    <w:rsid w:val="083211A9"/>
    <w:rsid w:val="08321224"/>
    <w:rsid w:val="08321281"/>
    <w:rsid w:val="08321291"/>
    <w:rsid w:val="0832135C"/>
    <w:rsid w:val="083213EB"/>
    <w:rsid w:val="08321489"/>
    <w:rsid w:val="08321520"/>
    <w:rsid w:val="08321660"/>
    <w:rsid w:val="08321690"/>
    <w:rsid w:val="083216DD"/>
    <w:rsid w:val="083217BA"/>
    <w:rsid w:val="0832183E"/>
    <w:rsid w:val="08321868"/>
    <w:rsid w:val="083218E0"/>
    <w:rsid w:val="08321915"/>
    <w:rsid w:val="08321AEA"/>
    <w:rsid w:val="08321B01"/>
    <w:rsid w:val="08321B2B"/>
    <w:rsid w:val="08321B35"/>
    <w:rsid w:val="08321B53"/>
    <w:rsid w:val="08321B67"/>
    <w:rsid w:val="08321B8B"/>
    <w:rsid w:val="08321BA1"/>
    <w:rsid w:val="08321C9A"/>
    <w:rsid w:val="08321CA6"/>
    <w:rsid w:val="08321D6D"/>
    <w:rsid w:val="08321F6B"/>
    <w:rsid w:val="08321F6E"/>
    <w:rsid w:val="08321FDC"/>
    <w:rsid w:val="08321FF4"/>
    <w:rsid w:val="083220AA"/>
    <w:rsid w:val="0832214A"/>
    <w:rsid w:val="0832214C"/>
    <w:rsid w:val="0832217A"/>
    <w:rsid w:val="083221B4"/>
    <w:rsid w:val="083221EF"/>
    <w:rsid w:val="08322277"/>
    <w:rsid w:val="083222D5"/>
    <w:rsid w:val="083223F8"/>
    <w:rsid w:val="08322443"/>
    <w:rsid w:val="08322461"/>
    <w:rsid w:val="08322470"/>
    <w:rsid w:val="08322484"/>
    <w:rsid w:val="083224B7"/>
    <w:rsid w:val="083225C3"/>
    <w:rsid w:val="0832266E"/>
    <w:rsid w:val="0832269B"/>
    <w:rsid w:val="083226F1"/>
    <w:rsid w:val="08322734"/>
    <w:rsid w:val="08322750"/>
    <w:rsid w:val="08322753"/>
    <w:rsid w:val="0832276D"/>
    <w:rsid w:val="0832278E"/>
    <w:rsid w:val="083227CF"/>
    <w:rsid w:val="08322868"/>
    <w:rsid w:val="083229A1"/>
    <w:rsid w:val="08322A9E"/>
    <w:rsid w:val="08322AD4"/>
    <w:rsid w:val="08322AEB"/>
    <w:rsid w:val="08322AFF"/>
    <w:rsid w:val="08322B05"/>
    <w:rsid w:val="08322C06"/>
    <w:rsid w:val="08322C15"/>
    <w:rsid w:val="08322DA1"/>
    <w:rsid w:val="08322DD7"/>
    <w:rsid w:val="08322DE7"/>
    <w:rsid w:val="08322E2F"/>
    <w:rsid w:val="08322E8C"/>
    <w:rsid w:val="08322EB9"/>
    <w:rsid w:val="08322EDE"/>
    <w:rsid w:val="08322F46"/>
    <w:rsid w:val="08322F55"/>
    <w:rsid w:val="08322F5F"/>
    <w:rsid w:val="08322FA8"/>
    <w:rsid w:val="083230B0"/>
    <w:rsid w:val="08323137"/>
    <w:rsid w:val="0832313E"/>
    <w:rsid w:val="08323142"/>
    <w:rsid w:val="083231E3"/>
    <w:rsid w:val="08323201"/>
    <w:rsid w:val="08323231"/>
    <w:rsid w:val="083232B8"/>
    <w:rsid w:val="08323397"/>
    <w:rsid w:val="083233B5"/>
    <w:rsid w:val="0832341C"/>
    <w:rsid w:val="08323452"/>
    <w:rsid w:val="083234CD"/>
    <w:rsid w:val="083235AC"/>
    <w:rsid w:val="083235C0"/>
    <w:rsid w:val="0832366E"/>
    <w:rsid w:val="08323889"/>
    <w:rsid w:val="08323A0E"/>
    <w:rsid w:val="08323A4A"/>
    <w:rsid w:val="08323AD1"/>
    <w:rsid w:val="08323AF8"/>
    <w:rsid w:val="08323B21"/>
    <w:rsid w:val="08323CA8"/>
    <w:rsid w:val="08323D19"/>
    <w:rsid w:val="08323D7F"/>
    <w:rsid w:val="08323DDA"/>
    <w:rsid w:val="08323ECF"/>
    <w:rsid w:val="08323ED7"/>
    <w:rsid w:val="08323F78"/>
    <w:rsid w:val="08324112"/>
    <w:rsid w:val="0832426C"/>
    <w:rsid w:val="083242A4"/>
    <w:rsid w:val="0832430A"/>
    <w:rsid w:val="0832430B"/>
    <w:rsid w:val="08324334"/>
    <w:rsid w:val="08324378"/>
    <w:rsid w:val="0832437E"/>
    <w:rsid w:val="083243D6"/>
    <w:rsid w:val="0832440E"/>
    <w:rsid w:val="08324463"/>
    <w:rsid w:val="08324469"/>
    <w:rsid w:val="083244C6"/>
    <w:rsid w:val="083245A4"/>
    <w:rsid w:val="08324611"/>
    <w:rsid w:val="0832461F"/>
    <w:rsid w:val="08324723"/>
    <w:rsid w:val="0832472A"/>
    <w:rsid w:val="08324794"/>
    <w:rsid w:val="083247A4"/>
    <w:rsid w:val="083247B6"/>
    <w:rsid w:val="083248DD"/>
    <w:rsid w:val="08324905"/>
    <w:rsid w:val="0832496C"/>
    <w:rsid w:val="083249D7"/>
    <w:rsid w:val="08324A6B"/>
    <w:rsid w:val="08324A9A"/>
    <w:rsid w:val="08324B00"/>
    <w:rsid w:val="08324BB1"/>
    <w:rsid w:val="08324BC7"/>
    <w:rsid w:val="08324C2A"/>
    <w:rsid w:val="08324C5D"/>
    <w:rsid w:val="08324D23"/>
    <w:rsid w:val="08324D3B"/>
    <w:rsid w:val="08324E4A"/>
    <w:rsid w:val="08324EF3"/>
    <w:rsid w:val="08324F26"/>
    <w:rsid w:val="08324F36"/>
    <w:rsid w:val="08324F68"/>
    <w:rsid w:val="08324FD2"/>
    <w:rsid w:val="08324FE7"/>
    <w:rsid w:val="0832504D"/>
    <w:rsid w:val="08325059"/>
    <w:rsid w:val="083250E0"/>
    <w:rsid w:val="083250F5"/>
    <w:rsid w:val="08325129"/>
    <w:rsid w:val="083251AC"/>
    <w:rsid w:val="083251CA"/>
    <w:rsid w:val="083251DB"/>
    <w:rsid w:val="08325241"/>
    <w:rsid w:val="08325274"/>
    <w:rsid w:val="0832528B"/>
    <w:rsid w:val="0832529D"/>
    <w:rsid w:val="08325539"/>
    <w:rsid w:val="0832553C"/>
    <w:rsid w:val="0832558B"/>
    <w:rsid w:val="08325598"/>
    <w:rsid w:val="0832560B"/>
    <w:rsid w:val="08325671"/>
    <w:rsid w:val="0832567B"/>
    <w:rsid w:val="0832567D"/>
    <w:rsid w:val="083256B9"/>
    <w:rsid w:val="08325745"/>
    <w:rsid w:val="0832575B"/>
    <w:rsid w:val="083257FA"/>
    <w:rsid w:val="083258A6"/>
    <w:rsid w:val="083258E2"/>
    <w:rsid w:val="083259CA"/>
    <w:rsid w:val="08325A66"/>
    <w:rsid w:val="08325AE0"/>
    <w:rsid w:val="08325B0B"/>
    <w:rsid w:val="08325B17"/>
    <w:rsid w:val="08325B3E"/>
    <w:rsid w:val="08325BE5"/>
    <w:rsid w:val="08325CDA"/>
    <w:rsid w:val="08325D10"/>
    <w:rsid w:val="08325DAF"/>
    <w:rsid w:val="08325DCD"/>
    <w:rsid w:val="08326078"/>
    <w:rsid w:val="083260D6"/>
    <w:rsid w:val="08326148"/>
    <w:rsid w:val="083261C1"/>
    <w:rsid w:val="083262BC"/>
    <w:rsid w:val="083262C1"/>
    <w:rsid w:val="08326357"/>
    <w:rsid w:val="083263C2"/>
    <w:rsid w:val="0832641A"/>
    <w:rsid w:val="0832646B"/>
    <w:rsid w:val="08326498"/>
    <w:rsid w:val="083264C6"/>
    <w:rsid w:val="08326533"/>
    <w:rsid w:val="08326542"/>
    <w:rsid w:val="08326596"/>
    <w:rsid w:val="083265B8"/>
    <w:rsid w:val="083267AB"/>
    <w:rsid w:val="083267D2"/>
    <w:rsid w:val="083268FD"/>
    <w:rsid w:val="083269A3"/>
    <w:rsid w:val="083269B3"/>
    <w:rsid w:val="083269E7"/>
    <w:rsid w:val="08326A3F"/>
    <w:rsid w:val="08326A4B"/>
    <w:rsid w:val="08326B0B"/>
    <w:rsid w:val="08326B46"/>
    <w:rsid w:val="08326B49"/>
    <w:rsid w:val="08326BC6"/>
    <w:rsid w:val="08326C8D"/>
    <w:rsid w:val="08326E68"/>
    <w:rsid w:val="08326EC3"/>
    <w:rsid w:val="08326F1A"/>
    <w:rsid w:val="08326F31"/>
    <w:rsid w:val="08326F50"/>
    <w:rsid w:val="0832713C"/>
    <w:rsid w:val="08327288"/>
    <w:rsid w:val="08327294"/>
    <w:rsid w:val="083272AE"/>
    <w:rsid w:val="08327453"/>
    <w:rsid w:val="083274BB"/>
    <w:rsid w:val="08327532"/>
    <w:rsid w:val="083276A0"/>
    <w:rsid w:val="0832771A"/>
    <w:rsid w:val="0832775D"/>
    <w:rsid w:val="0832782E"/>
    <w:rsid w:val="08327880"/>
    <w:rsid w:val="083278E4"/>
    <w:rsid w:val="08327969"/>
    <w:rsid w:val="083279AD"/>
    <w:rsid w:val="083279DC"/>
    <w:rsid w:val="083279F8"/>
    <w:rsid w:val="08327A7A"/>
    <w:rsid w:val="08327B47"/>
    <w:rsid w:val="08327BAA"/>
    <w:rsid w:val="08327CC3"/>
    <w:rsid w:val="08327CCD"/>
    <w:rsid w:val="08327CF0"/>
    <w:rsid w:val="08327D0B"/>
    <w:rsid w:val="08327D0D"/>
    <w:rsid w:val="08327D62"/>
    <w:rsid w:val="08327E7D"/>
    <w:rsid w:val="08327E94"/>
    <w:rsid w:val="08327ECB"/>
    <w:rsid w:val="08327FAD"/>
    <w:rsid w:val="083300A5"/>
    <w:rsid w:val="083301A2"/>
    <w:rsid w:val="08330232"/>
    <w:rsid w:val="0833024D"/>
    <w:rsid w:val="08330286"/>
    <w:rsid w:val="08330299"/>
    <w:rsid w:val="083302A1"/>
    <w:rsid w:val="08330329"/>
    <w:rsid w:val="08330498"/>
    <w:rsid w:val="08330503"/>
    <w:rsid w:val="0833059D"/>
    <w:rsid w:val="083305B1"/>
    <w:rsid w:val="083306D8"/>
    <w:rsid w:val="0833080F"/>
    <w:rsid w:val="0833082F"/>
    <w:rsid w:val="0833083F"/>
    <w:rsid w:val="0833085D"/>
    <w:rsid w:val="08330908"/>
    <w:rsid w:val="0833092B"/>
    <w:rsid w:val="083309BA"/>
    <w:rsid w:val="083309F7"/>
    <w:rsid w:val="08330A7A"/>
    <w:rsid w:val="08330ACB"/>
    <w:rsid w:val="08330AD0"/>
    <w:rsid w:val="08330ADE"/>
    <w:rsid w:val="08330B08"/>
    <w:rsid w:val="08330B1D"/>
    <w:rsid w:val="08330B37"/>
    <w:rsid w:val="08330B8C"/>
    <w:rsid w:val="08330C12"/>
    <w:rsid w:val="08330C69"/>
    <w:rsid w:val="08330CAD"/>
    <w:rsid w:val="08330CC2"/>
    <w:rsid w:val="08330E99"/>
    <w:rsid w:val="08330EB4"/>
    <w:rsid w:val="08330ED9"/>
    <w:rsid w:val="08330EDF"/>
    <w:rsid w:val="08330F15"/>
    <w:rsid w:val="08330F66"/>
    <w:rsid w:val="08330F70"/>
    <w:rsid w:val="08331002"/>
    <w:rsid w:val="08331022"/>
    <w:rsid w:val="08331052"/>
    <w:rsid w:val="08331064"/>
    <w:rsid w:val="083310D4"/>
    <w:rsid w:val="083310E7"/>
    <w:rsid w:val="0833112B"/>
    <w:rsid w:val="083311EC"/>
    <w:rsid w:val="08331285"/>
    <w:rsid w:val="08331359"/>
    <w:rsid w:val="0833135F"/>
    <w:rsid w:val="08331461"/>
    <w:rsid w:val="0833149F"/>
    <w:rsid w:val="083314BE"/>
    <w:rsid w:val="083314F5"/>
    <w:rsid w:val="083316D1"/>
    <w:rsid w:val="083317B7"/>
    <w:rsid w:val="08331834"/>
    <w:rsid w:val="08331849"/>
    <w:rsid w:val="083318A3"/>
    <w:rsid w:val="0833190D"/>
    <w:rsid w:val="0833195E"/>
    <w:rsid w:val="083319B8"/>
    <w:rsid w:val="08331A24"/>
    <w:rsid w:val="08331AC0"/>
    <w:rsid w:val="08331B18"/>
    <w:rsid w:val="08331BFC"/>
    <w:rsid w:val="08331C1D"/>
    <w:rsid w:val="08331C22"/>
    <w:rsid w:val="08331C8F"/>
    <w:rsid w:val="08331CA8"/>
    <w:rsid w:val="08331CF6"/>
    <w:rsid w:val="08331D38"/>
    <w:rsid w:val="08331D9D"/>
    <w:rsid w:val="08331E47"/>
    <w:rsid w:val="08331E73"/>
    <w:rsid w:val="08331ED7"/>
    <w:rsid w:val="08331F4E"/>
    <w:rsid w:val="08331F8D"/>
    <w:rsid w:val="08331F9F"/>
    <w:rsid w:val="08331FE2"/>
    <w:rsid w:val="08332002"/>
    <w:rsid w:val="08332126"/>
    <w:rsid w:val="08332170"/>
    <w:rsid w:val="083321B4"/>
    <w:rsid w:val="083321F7"/>
    <w:rsid w:val="08332255"/>
    <w:rsid w:val="08332258"/>
    <w:rsid w:val="08332266"/>
    <w:rsid w:val="083322D7"/>
    <w:rsid w:val="083322E9"/>
    <w:rsid w:val="083322EA"/>
    <w:rsid w:val="08332324"/>
    <w:rsid w:val="08332362"/>
    <w:rsid w:val="083323D4"/>
    <w:rsid w:val="083323D8"/>
    <w:rsid w:val="08332439"/>
    <w:rsid w:val="083324B5"/>
    <w:rsid w:val="083324FB"/>
    <w:rsid w:val="083325E6"/>
    <w:rsid w:val="083326B3"/>
    <w:rsid w:val="083326CA"/>
    <w:rsid w:val="083326E0"/>
    <w:rsid w:val="0833271B"/>
    <w:rsid w:val="08332917"/>
    <w:rsid w:val="0833291C"/>
    <w:rsid w:val="08332981"/>
    <w:rsid w:val="08332A08"/>
    <w:rsid w:val="08332A80"/>
    <w:rsid w:val="08332AF8"/>
    <w:rsid w:val="08332B36"/>
    <w:rsid w:val="08332C72"/>
    <w:rsid w:val="08332D0E"/>
    <w:rsid w:val="08332DCC"/>
    <w:rsid w:val="08332DEC"/>
    <w:rsid w:val="08332E25"/>
    <w:rsid w:val="08333067"/>
    <w:rsid w:val="083330F8"/>
    <w:rsid w:val="0833314B"/>
    <w:rsid w:val="08333160"/>
    <w:rsid w:val="08333162"/>
    <w:rsid w:val="0833336E"/>
    <w:rsid w:val="08333380"/>
    <w:rsid w:val="083333A2"/>
    <w:rsid w:val="083333D9"/>
    <w:rsid w:val="0833349D"/>
    <w:rsid w:val="08333630"/>
    <w:rsid w:val="083336D4"/>
    <w:rsid w:val="083336F2"/>
    <w:rsid w:val="0833372A"/>
    <w:rsid w:val="0833377A"/>
    <w:rsid w:val="08333794"/>
    <w:rsid w:val="083337B3"/>
    <w:rsid w:val="083337D5"/>
    <w:rsid w:val="08333812"/>
    <w:rsid w:val="083338E9"/>
    <w:rsid w:val="08333915"/>
    <w:rsid w:val="08333932"/>
    <w:rsid w:val="0833395D"/>
    <w:rsid w:val="0833395F"/>
    <w:rsid w:val="08333A03"/>
    <w:rsid w:val="08333A0A"/>
    <w:rsid w:val="08333AC8"/>
    <w:rsid w:val="08333B04"/>
    <w:rsid w:val="08333BA5"/>
    <w:rsid w:val="08333BDC"/>
    <w:rsid w:val="08333BE2"/>
    <w:rsid w:val="08333CC4"/>
    <w:rsid w:val="08333D1D"/>
    <w:rsid w:val="08333D63"/>
    <w:rsid w:val="08333ECE"/>
    <w:rsid w:val="08333ED7"/>
    <w:rsid w:val="08333F09"/>
    <w:rsid w:val="08333F0E"/>
    <w:rsid w:val="08334013"/>
    <w:rsid w:val="08334065"/>
    <w:rsid w:val="0833406F"/>
    <w:rsid w:val="083340AA"/>
    <w:rsid w:val="083340AD"/>
    <w:rsid w:val="083340E0"/>
    <w:rsid w:val="0833415C"/>
    <w:rsid w:val="08334171"/>
    <w:rsid w:val="0833418E"/>
    <w:rsid w:val="083341E3"/>
    <w:rsid w:val="083341E9"/>
    <w:rsid w:val="0833424E"/>
    <w:rsid w:val="083342C3"/>
    <w:rsid w:val="0833432E"/>
    <w:rsid w:val="083344F0"/>
    <w:rsid w:val="08334512"/>
    <w:rsid w:val="08334586"/>
    <w:rsid w:val="083347B8"/>
    <w:rsid w:val="083347C9"/>
    <w:rsid w:val="083347E3"/>
    <w:rsid w:val="0833487C"/>
    <w:rsid w:val="0833494F"/>
    <w:rsid w:val="0833496F"/>
    <w:rsid w:val="0833499F"/>
    <w:rsid w:val="08334A12"/>
    <w:rsid w:val="08334A70"/>
    <w:rsid w:val="08334B16"/>
    <w:rsid w:val="08334B40"/>
    <w:rsid w:val="08334B71"/>
    <w:rsid w:val="08334BEC"/>
    <w:rsid w:val="08334C9E"/>
    <w:rsid w:val="08334CCB"/>
    <w:rsid w:val="08334D26"/>
    <w:rsid w:val="08334D44"/>
    <w:rsid w:val="08334D71"/>
    <w:rsid w:val="08334F4E"/>
    <w:rsid w:val="08334F64"/>
    <w:rsid w:val="08334F6D"/>
    <w:rsid w:val="08334FF0"/>
    <w:rsid w:val="08335031"/>
    <w:rsid w:val="08335050"/>
    <w:rsid w:val="0833507B"/>
    <w:rsid w:val="0833513F"/>
    <w:rsid w:val="08335261"/>
    <w:rsid w:val="08335397"/>
    <w:rsid w:val="0833546D"/>
    <w:rsid w:val="0833547F"/>
    <w:rsid w:val="08335501"/>
    <w:rsid w:val="0833555E"/>
    <w:rsid w:val="083356A7"/>
    <w:rsid w:val="0833572D"/>
    <w:rsid w:val="08335760"/>
    <w:rsid w:val="08335790"/>
    <w:rsid w:val="083357CF"/>
    <w:rsid w:val="083357D3"/>
    <w:rsid w:val="083357E7"/>
    <w:rsid w:val="0833583A"/>
    <w:rsid w:val="083358A7"/>
    <w:rsid w:val="08335912"/>
    <w:rsid w:val="08335916"/>
    <w:rsid w:val="08335945"/>
    <w:rsid w:val="083359CD"/>
    <w:rsid w:val="08335AC5"/>
    <w:rsid w:val="08335B2C"/>
    <w:rsid w:val="08335D09"/>
    <w:rsid w:val="08335DEA"/>
    <w:rsid w:val="08335E07"/>
    <w:rsid w:val="08335EE6"/>
    <w:rsid w:val="08335F23"/>
    <w:rsid w:val="08335FCB"/>
    <w:rsid w:val="08335FF9"/>
    <w:rsid w:val="08336033"/>
    <w:rsid w:val="08336119"/>
    <w:rsid w:val="0833614E"/>
    <w:rsid w:val="08336197"/>
    <w:rsid w:val="08336201"/>
    <w:rsid w:val="083362B4"/>
    <w:rsid w:val="0833636A"/>
    <w:rsid w:val="08336390"/>
    <w:rsid w:val="0833639E"/>
    <w:rsid w:val="08336437"/>
    <w:rsid w:val="08336486"/>
    <w:rsid w:val="083364C5"/>
    <w:rsid w:val="083364F9"/>
    <w:rsid w:val="0833650D"/>
    <w:rsid w:val="08336608"/>
    <w:rsid w:val="083366F7"/>
    <w:rsid w:val="08336838"/>
    <w:rsid w:val="08336894"/>
    <w:rsid w:val="083368F4"/>
    <w:rsid w:val="083368F6"/>
    <w:rsid w:val="08336A7F"/>
    <w:rsid w:val="08336B1D"/>
    <w:rsid w:val="08336B87"/>
    <w:rsid w:val="08336C20"/>
    <w:rsid w:val="08336C9D"/>
    <w:rsid w:val="08336CFF"/>
    <w:rsid w:val="08336D6D"/>
    <w:rsid w:val="08336DDC"/>
    <w:rsid w:val="08336DDD"/>
    <w:rsid w:val="08336F3C"/>
    <w:rsid w:val="08336F78"/>
    <w:rsid w:val="083371EC"/>
    <w:rsid w:val="0833721D"/>
    <w:rsid w:val="0833723D"/>
    <w:rsid w:val="0833724D"/>
    <w:rsid w:val="083372D4"/>
    <w:rsid w:val="08337362"/>
    <w:rsid w:val="0833747F"/>
    <w:rsid w:val="08337491"/>
    <w:rsid w:val="083374C2"/>
    <w:rsid w:val="08337507"/>
    <w:rsid w:val="0833753B"/>
    <w:rsid w:val="08337592"/>
    <w:rsid w:val="083375DE"/>
    <w:rsid w:val="0833766F"/>
    <w:rsid w:val="08337742"/>
    <w:rsid w:val="08337959"/>
    <w:rsid w:val="083379C1"/>
    <w:rsid w:val="083379E5"/>
    <w:rsid w:val="083379F6"/>
    <w:rsid w:val="08337A22"/>
    <w:rsid w:val="08337AB2"/>
    <w:rsid w:val="08337B35"/>
    <w:rsid w:val="08337B80"/>
    <w:rsid w:val="08337B97"/>
    <w:rsid w:val="08337C62"/>
    <w:rsid w:val="08337D38"/>
    <w:rsid w:val="08337DDD"/>
    <w:rsid w:val="08337E09"/>
    <w:rsid w:val="08337E26"/>
    <w:rsid w:val="08337ECD"/>
    <w:rsid w:val="08337F1E"/>
    <w:rsid w:val="08337F75"/>
    <w:rsid w:val="08337FF9"/>
    <w:rsid w:val="0834001E"/>
    <w:rsid w:val="083400C2"/>
    <w:rsid w:val="083401CF"/>
    <w:rsid w:val="083403DF"/>
    <w:rsid w:val="083403F3"/>
    <w:rsid w:val="0834040C"/>
    <w:rsid w:val="08340456"/>
    <w:rsid w:val="08340457"/>
    <w:rsid w:val="08340547"/>
    <w:rsid w:val="08340580"/>
    <w:rsid w:val="08340638"/>
    <w:rsid w:val="0834068C"/>
    <w:rsid w:val="0834069C"/>
    <w:rsid w:val="083406BE"/>
    <w:rsid w:val="0834077A"/>
    <w:rsid w:val="0834078C"/>
    <w:rsid w:val="083407CC"/>
    <w:rsid w:val="0834081A"/>
    <w:rsid w:val="08340851"/>
    <w:rsid w:val="083409C7"/>
    <w:rsid w:val="08340A13"/>
    <w:rsid w:val="08340AF3"/>
    <w:rsid w:val="08340B06"/>
    <w:rsid w:val="08340B2F"/>
    <w:rsid w:val="08340BEE"/>
    <w:rsid w:val="08340CCE"/>
    <w:rsid w:val="08340CF8"/>
    <w:rsid w:val="08340D27"/>
    <w:rsid w:val="08340D59"/>
    <w:rsid w:val="08340DEB"/>
    <w:rsid w:val="08340E2B"/>
    <w:rsid w:val="08340E61"/>
    <w:rsid w:val="08340EAD"/>
    <w:rsid w:val="08340F06"/>
    <w:rsid w:val="08341035"/>
    <w:rsid w:val="0834106E"/>
    <w:rsid w:val="083410B5"/>
    <w:rsid w:val="08341130"/>
    <w:rsid w:val="08341132"/>
    <w:rsid w:val="083411D1"/>
    <w:rsid w:val="0834121B"/>
    <w:rsid w:val="08341313"/>
    <w:rsid w:val="08341524"/>
    <w:rsid w:val="08341550"/>
    <w:rsid w:val="0834167A"/>
    <w:rsid w:val="0834167B"/>
    <w:rsid w:val="08341684"/>
    <w:rsid w:val="08341730"/>
    <w:rsid w:val="08341772"/>
    <w:rsid w:val="083417E5"/>
    <w:rsid w:val="08341887"/>
    <w:rsid w:val="083418B3"/>
    <w:rsid w:val="083419DA"/>
    <w:rsid w:val="08341A1F"/>
    <w:rsid w:val="08341AF3"/>
    <w:rsid w:val="08341B2D"/>
    <w:rsid w:val="08341B45"/>
    <w:rsid w:val="08341BB0"/>
    <w:rsid w:val="08341C5C"/>
    <w:rsid w:val="08341C6C"/>
    <w:rsid w:val="08341C76"/>
    <w:rsid w:val="08341CBD"/>
    <w:rsid w:val="08341D46"/>
    <w:rsid w:val="08341D4A"/>
    <w:rsid w:val="08341D52"/>
    <w:rsid w:val="08341D6A"/>
    <w:rsid w:val="08341E4E"/>
    <w:rsid w:val="08341F74"/>
    <w:rsid w:val="08341FA4"/>
    <w:rsid w:val="08341FEA"/>
    <w:rsid w:val="08342011"/>
    <w:rsid w:val="08342048"/>
    <w:rsid w:val="08342084"/>
    <w:rsid w:val="08342099"/>
    <w:rsid w:val="083420DC"/>
    <w:rsid w:val="083420E4"/>
    <w:rsid w:val="08342168"/>
    <w:rsid w:val="08342218"/>
    <w:rsid w:val="0834229E"/>
    <w:rsid w:val="083422BE"/>
    <w:rsid w:val="083422FA"/>
    <w:rsid w:val="08342304"/>
    <w:rsid w:val="0834239E"/>
    <w:rsid w:val="0834244F"/>
    <w:rsid w:val="08342546"/>
    <w:rsid w:val="0834256C"/>
    <w:rsid w:val="0834256F"/>
    <w:rsid w:val="0834257E"/>
    <w:rsid w:val="08342580"/>
    <w:rsid w:val="08342733"/>
    <w:rsid w:val="083427B2"/>
    <w:rsid w:val="08342827"/>
    <w:rsid w:val="08342837"/>
    <w:rsid w:val="083428A9"/>
    <w:rsid w:val="083428E0"/>
    <w:rsid w:val="083429BA"/>
    <w:rsid w:val="08342A3A"/>
    <w:rsid w:val="08342BB5"/>
    <w:rsid w:val="08342BDC"/>
    <w:rsid w:val="08342C42"/>
    <w:rsid w:val="08342C60"/>
    <w:rsid w:val="08342CD2"/>
    <w:rsid w:val="08342D28"/>
    <w:rsid w:val="08342D3C"/>
    <w:rsid w:val="08342D44"/>
    <w:rsid w:val="08342D6B"/>
    <w:rsid w:val="08342D8B"/>
    <w:rsid w:val="08342DA6"/>
    <w:rsid w:val="08342DEC"/>
    <w:rsid w:val="08342EF6"/>
    <w:rsid w:val="08342FC8"/>
    <w:rsid w:val="0834309C"/>
    <w:rsid w:val="0834312D"/>
    <w:rsid w:val="08343152"/>
    <w:rsid w:val="08343171"/>
    <w:rsid w:val="0834318B"/>
    <w:rsid w:val="083431B0"/>
    <w:rsid w:val="083431C5"/>
    <w:rsid w:val="0834321A"/>
    <w:rsid w:val="0834322A"/>
    <w:rsid w:val="083432CC"/>
    <w:rsid w:val="08343313"/>
    <w:rsid w:val="0834336C"/>
    <w:rsid w:val="08343382"/>
    <w:rsid w:val="0834344A"/>
    <w:rsid w:val="08343455"/>
    <w:rsid w:val="0834349C"/>
    <w:rsid w:val="083434E7"/>
    <w:rsid w:val="08343607"/>
    <w:rsid w:val="0834366A"/>
    <w:rsid w:val="0834370F"/>
    <w:rsid w:val="083437D4"/>
    <w:rsid w:val="083438BC"/>
    <w:rsid w:val="083438D7"/>
    <w:rsid w:val="083438DB"/>
    <w:rsid w:val="08343901"/>
    <w:rsid w:val="08343905"/>
    <w:rsid w:val="08343932"/>
    <w:rsid w:val="0834393B"/>
    <w:rsid w:val="08343A22"/>
    <w:rsid w:val="08343A8D"/>
    <w:rsid w:val="08343AB3"/>
    <w:rsid w:val="08343BDD"/>
    <w:rsid w:val="08343CC6"/>
    <w:rsid w:val="08343D39"/>
    <w:rsid w:val="08343DA3"/>
    <w:rsid w:val="08343E2C"/>
    <w:rsid w:val="08343F9C"/>
    <w:rsid w:val="08344089"/>
    <w:rsid w:val="083440FA"/>
    <w:rsid w:val="08344199"/>
    <w:rsid w:val="0834419B"/>
    <w:rsid w:val="083441A5"/>
    <w:rsid w:val="083441CA"/>
    <w:rsid w:val="08344236"/>
    <w:rsid w:val="083442E8"/>
    <w:rsid w:val="083442FE"/>
    <w:rsid w:val="08344407"/>
    <w:rsid w:val="0834446F"/>
    <w:rsid w:val="083445C3"/>
    <w:rsid w:val="083445FF"/>
    <w:rsid w:val="08344635"/>
    <w:rsid w:val="08344690"/>
    <w:rsid w:val="08344783"/>
    <w:rsid w:val="08344798"/>
    <w:rsid w:val="08344856"/>
    <w:rsid w:val="08344876"/>
    <w:rsid w:val="083448A3"/>
    <w:rsid w:val="083448FC"/>
    <w:rsid w:val="08344924"/>
    <w:rsid w:val="08344A64"/>
    <w:rsid w:val="08344A72"/>
    <w:rsid w:val="08344AF1"/>
    <w:rsid w:val="08344C34"/>
    <w:rsid w:val="08344CB1"/>
    <w:rsid w:val="08344CCA"/>
    <w:rsid w:val="08344D03"/>
    <w:rsid w:val="08344D37"/>
    <w:rsid w:val="08344D3C"/>
    <w:rsid w:val="08344E26"/>
    <w:rsid w:val="08344E2C"/>
    <w:rsid w:val="08344F61"/>
    <w:rsid w:val="08344F65"/>
    <w:rsid w:val="08344F72"/>
    <w:rsid w:val="08344FB8"/>
    <w:rsid w:val="08345039"/>
    <w:rsid w:val="08345054"/>
    <w:rsid w:val="08345119"/>
    <w:rsid w:val="083451BF"/>
    <w:rsid w:val="08345228"/>
    <w:rsid w:val="08345312"/>
    <w:rsid w:val="08345329"/>
    <w:rsid w:val="08345338"/>
    <w:rsid w:val="08345389"/>
    <w:rsid w:val="0834542E"/>
    <w:rsid w:val="0834544F"/>
    <w:rsid w:val="0834548F"/>
    <w:rsid w:val="083454C8"/>
    <w:rsid w:val="083454EC"/>
    <w:rsid w:val="083454F6"/>
    <w:rsid w:val="083454FB"/>
    <w:rsid w:val="08345634"/>
    <w:rsid w:val="08345665"/>
    <w:rsid w:val="08345676"/>
    <w:rsid w:val="08345718"/>
    <w:rsid w:val="083458B0"/>
    <w:rsid w:val="083458D6"/>
    <w:rsid w:val="08345907"/>
    <w:rsid w:val="0834596E"/>
    <w:rsid w:val="0834599F"/>
    <w:rsid w:val="083459C7"/>
    <w:rsid w:val="08345A06"/>
    <w:rsid w:val="08345A29"/>
    <w:rsid w:val="08345AA0"/>
    <w:rsid w:val="08345AE6"/>
    <w:rsid w:val="08345B33"/>
    <w:rsid w:val="08345CD4"/>
    <w:rsid w:val="08345D74"/>
    <w:rsid w:val="08345E47"/>
    <w:rsid w:val="08345F03"/>
    <w:rsid w:val="08345FCC"/>
    <w:rsid w:val="083460F4"/>
    <w:rsid w:val="08346103"/>
    <w:rsid w:val="0834611C"/>
    <w:rsid w:val="08346125"/>
    <w:rsid w:val="083461E4"/>
    <w:rsid w:val="0834620B"/>
    <w:rsid w:val="08346258"/>
    <w:rsid w:val="08346265"/>
    <w:rsid w:val="083462E1"/>
    <w:rsid w:val="0834632D"/>
    <w:rsid w:val="08346347"/>
    <w:rsid w:val="08346354"/>
    <w:rsid w:val="083463CA"/>
    <w:rsid w:val="083463F3"/>
    <w:rsid w:val="083463FB"/>
    <w:rsid w:val="08346494"/>
    <w:rsid w:val="083464F1"/>
    <w:rsid w:val="08346506"/>
    <w:rsid w:val="0834657C"/>
    <w:rsid w:val="0834659B"/>
    <w:rsid w:val="083466C2"/>
    <w:rsid w:val="08346803"/>
    <w:rsid w:val="083468CB"/>
    <w:rsid w:val="083468DF"/>
    <w:rsid w:val="0834690B"/>
    <w:rsid w:val="08346984"/>
    <w:rsid w:val="08346992"/>
    <w:rsid w:val="083469CD"/>
    <w:rsid w:val="08346ACF"/>
    <w:rsid w:val="08346B1B"/>
    <w:rsid w:val="08346B9B"/>
    <w:rsid w:val="08346C08"/>
    <w:rsid w:val="08346C2E"/>
    <w:rsid w:val="08346C9D"/>
    <w:rsid w:val="08346DD1"/>
    <w:rsid w:val="08346E67"/>
    <w:rsid w:val="08346E7A"/>
    <w:rsid w:val="08346E83"/>
    <w:rsid w:val="08346FDF"/>
    <w:rsid w:val="08347036"/>
    <w:rsid w:val="08347077"/>
    <w:rsid w:val="083470BF"/>
    <w:rsid w:val="083470C1"/>
    <w:rsid w:val="0834711A"/>
    <w:rsid w:val="0834717F"/>
    <w:rsid w:val="083471B3"/>
    <w:rsid w:val="083472B9"/>
    <w:rsid w:val="08347319"/>
    <w:rsid w:val="08347379"/>
    <w:rsid w:val="0834744B"/>
    <w:rsid w:val="083474C0"/>
    <w:rsid w:val="083474D2"/>
    <w:rsid w:val="083474E1"/>
    <w:rsid w:val="08347607"/>
    <w:rsid w:val="08347614"/>
    <w:rsid w:val="0834761A"/>
    <w:rsid w:val="08347662"/>
    <w:rsid w:val="08347712"/>
    <w:rsid w:val="08347766"/>
    <w:rsid w:val="08347768"/>
    <w:rsid w:val="083477AA"/>
    <w:rsid w:val="0834787D"/>
    <w:rsid w:val="083478C3"/>
    <w:rsid w:val="08347903"/>
    <w:rsid w:val="0834792F"/>
    <w:rsid w:val="08347937"/>
    <w:rsid w:val="08347A8D"/>
    <w:rsid w:val="08347AF8"/>
    <w:rsid w:val="08347B0B"/>
    <w:rsid w:val="08347B14"/>
    <w:rsid w:val="08347BAC"/>
    <w:rsid w:val="08347C47"/>
    <w:rsid w:val="08347C7E"/>
    <w:rsid w:val="08347CFA"/>
    <w:rsid w:val="08347D40"/>
    <w:rsid w:val="08347D83"/>
    <w:rsid w:val="08347E70"/>
    <w:rsid w:val="08347EAE"/>
    <w:rsid w:val="08347F13"/>
    <w:rsid w:val="08347FDA"/>
    <w:rsid w:val="08350016"/>
    <w:rsid w:val="0835003E"/>
    <w:rsid w:val="0835004A"/>
    <w:rsid w:val="08350088"/>
    <w:rsid w:val="083500A0"/>
    <w:rsid w:val="083500CE"/>
    <w:rsid w:val="0835014F"/>
    <w:rsid w:val="083501BB"/>
    <w:rsid w:val="0835028B"/>
    <w:rsid w:val="083503C0"/>
    <w:rsid w:val="083503CE"/>
    <w:rsid w:val="08350452"/>
    <w:rsid w:val="0835048A"/>
    <w:rsid w:val="083504D2"/>
    <w:rsid w:val="083504ED"/>
    <w:rsid w:val="083505BA"/>
    <w:rsid w:val="08350649"/>
    <w:rsid w:val="08350663"/>
    <w:rsid w:val="083507E9"/>
    <w:rsid w:val="08350869"/>
    <w:rsid w:val="08350877"/>
    <w:rsid w:val="083508A5"/>
    <w:rsid w:val="08350930"/>
    <w:rsid w:val="0835093B"/>
    <w:rsid w:val="083509D4"/>
    <w:rsid w:val="083509FD"/>
    <w:rsid w:val="08350A1A"/>
    <w:rsid w:val="08350AB1"/>
    <w:rsid w:val="08350AFC"/>
    <w:rsid w:val="08350B14"/>
    <w:rsid w:val="08350B5B"/>
    <w:rsid w:val="08350B80"/>
    <w:rsid w:val="08350B9C"/>
    <w:rsid w:val="08350DE6"/>
    <w:rsid w:val="08350DE8"/>
    <w:rsid w:val="08350E19"/>
    <w:rsid w:val="08350E63"/>
    <w:rsid w:val="08350F8F"/>
    <w:rsid w:val="08351054"/>
    <w:rsid w:val="083511EE"/>
    <w:rsid w:val="0835122A"/>
    <w:rsid w:val="083512C0"/>
    <w:rsid w:val="083512FC"/>
    <w:rsid w:val="08351300"/>
    <w:rsid w:val="08351409"/>
    <w:rsid w:val="08351468"/>
    <w:rsid w:val="083514D7"/>
    <w:rsid w:val="08351539"/>
    <w:rsid w:val="0835156E"/>
    <w:rsid w:val="08351680"/>
    <w:rsid w:val="083517C5"/>
    <w:rsid w:val="083517C6"/>
    <w:rsid w:val="083517CD"/>
    <w:rsid w:val="08351856"/>
    <w:rsid w:val="08351900"/>
    <w:rsid w:val="0835194A"/>
    <w:rsid w:val="08351996"/>
    <w:rsid w:val="083519C7"/>
    <w:rsid w:val="08351AE2"/>
    <w:rsid w:val="08351AEB"/>
    <w:rsid w:val="08351AED"/>
    <w:rsid w:val="08351B17"/>
    <w:rsid w:val="08351B49"/>
    <w:rsid w:val="08351BEC"/>
    <w:rsid w:val="08351C84"/>
    <w:rsid w:val="08351CAD"/>
    <w:rsid w:val="08351CD5"/>
    <w:rsid w:val="08351CEC"/>
    <w:rsid w:val="08351D22"/>
    <w:rsid w:val="08351D2C"/>
    <w:rsid w:val="08351D3E"/>
    <w:rsid w:val="08351E00"/>
    <w:rsid w:val="08351ED9"/>
    <w:rsid w:val="08351EDC"/>
    <w:rsid w:val="08351F7A"/>
    <w:rsid w:val="083521EB"/>
    <w:rsid w:val="0835227F"/>
    <w:rsid w:val="0835229F"/>
    <w:rsid w:val="083522D4"/>
    <w:rsid w:val="08352354"/>
    <w:rsid w:val="083523B7"/>
    <w:rsid w:val="08352416"/>
    <w:rsid w:val="08352432"/>
    <w:rsid w:val="083524DE"/>
    <w:rsid w:val="083525A1"/>
    <w:rsid w:val="083525C7"/>
    <w:rsid w:val="083527C4"/>
    <w:rsid w:val="083528B5"/>
    <w:rsid w:val="08352995"/>
    <w:rsid w:val="083529A4"/>
    <w:rsid w:val="083529DF"/>
    <w:rsid w:val="083529FF"/>
    <w:rsid w:val="08352A46"/>
    <w:rsid w:val="08352A4A"/>
    <w:rsid w:val="08352A71"/>
    <w:rsid w:val="08352A74"/>
    <w:rsid w:val="08352A7D"/>
    <w:rsid w:val="08352A85"/>
    <w:rsid w:val="08352AA7"/>
    <w:rsid w:val="08352ACB"/>
    <w:rsid w:val="08352AD1"/>
    <w:rsid w:val="08352B10"/>
    <w:rsid w:val="08352B36"/>
    <w:rsid w:val="08352B84"/>
    <w:rsid w:val="08352CB2"/>
    <w:rsid w:val="08352D28"/>
    <w:rsid w:val="08352D42"/>
    <w:rsid w:val="08352E49"/>
    <w:rsid w:val="08352F3D"/>
    <w:rsid w:val="08352F41"/>
    <w:rsid w:val="0835300E"/>
    <w:rsid w:val="08353029"/>
    <w:rsid w:val="083530B8"/>
    <w:rsid w:val="08353165"/>
    <w:rsid w:val="0835319D"/>
    <w:rsid w:val="0835333D"/>
    <w:rsid w:val="08353504"/>
    <w:rsid w:val="08353536"/>
    <w:rsid w:val="08353565"/>
    <w:rsid w:val="0835364E"/>
    <w:rsid w:val="08353680"/>
    <w:rsid w:val="08353692"/>
    <w:rsid w:val="083536E1"/>
    <w:rsid w:val="083536F0"/>
    <w:rsid w:val="08353705"/>
    <w:rsid w:val="0835375D"/>
    <w:rsid w:val="083537A0"/>
    <w:rsid w:val="083538F4"/>
    <w:rsid w:val="0835390F"/>
    <w:rsid w:val="08353949"/>
    <w:rsid w:val="08353954"/>
    <w:rsid w:val="08353970"/>
    <w:rsid w:val="08353A5E"/>
    <w:rsid w:val="08353B22"/>
    <w:rsid w:val="08353BD3"/>
    <w:rsid w:val="08353E1B"/>
    <w:rsid w:val="08353F6E"/>
    <w:rsid w:val="08353FC3"/>
    <w:rsid w:val="08353FF1"/>
    <w:rsid w:val="08354009"/>
    <w:rsid w:val="0835415C"/>
    <w:rsid w:val="0835415E"/>
    <w:rsid w:val="0835415F"/>
    <w:rsid w:val="08354221"/>
    <w:rsid w:val="0835423C"/>
    <w:rsid w:val="08354284"/>
    <w:rsid w:val="08354498"/>
    <w:rsid w:val="0835455B"/>
    <w:rsid w:val="0835458B"/>
    <w:rsid w:val="083545D4"/>
    <w:rsid w:val="083546A9"/>
    <w:rsid w:val="0835470E"/>
    <w:rsid w:val="083547BC"/>
    <w:rsid w:val="083547DF"/>
    <w:rsid w:val="0835480C"/>
    <w:rsid w:val="08354898"/>
    <w:rsid w:val="083548DE"/>
    <w:rsid w:val="083548EF"/>
    <w:rsid w:val="083549D9"/>
    <w:rsid w:val="083549DD"/>
    <w:rsid w:val="08354AC6"/>
    <w:rsid w:val="08354BC0"/>
    <w:rsid w:val="08354D1B"/>
    <w:rsid w:val="08354D42"/>
    <w:rsid w:val="08354D90"/>
    <w:rsid w:val="08354E59"/>
    <w:rsid w:val="08354E77"/>
    <w:rsid w:val="08354EB1"/>
    <w:rsid w:val="08354EC8"/>
    <w:rsid w:val="08354ED9"/>
    <w:rsid w:val="08354FAD"/>
    <w:rsid w:val="08354FF8"/>
    <w:rsid w:val="08355019"/>
    <w:rsid w:val="083550E4"/>
    <w:rsid w:val="08355106"/>
    <w:rsid w:val="08355162"/>
    <w:rsid w:val="083552CD"/>
    <w:rsid w:val="08355313"/>
    <w:rsid w:val="08355332"/>
    <w:rsid w:val="08355348"/>
    <w:rsid w:val="08355355"/>
    <w:rsid w:val="08355398"/>
    <w:rsid w:val="083555A8"/>
    <w:rsid w:val="083555CF"/>
    <w:rsid w:val="083556B2"/>
    <w:rsid w:val="083556F8"/>
    <w:rsid w:val="08355723"/>
    <w:rsid w:val="0835572C"/>
    <w:rsid w:val="083557DB"/>
    <w:rsid w:val="083558B8"/>
    <w:rsid w:val="083559B3"/>
    <w:rsid w:val="08355ADD"/>
    <w:rsid w:val="08355BEC"/>
    <w:rsid w:val="08355BF1"/>
    <w:rsid w:val="08355C1F"/>
    <w:rsid w:val="08355C49"/>
    <w:rsid w:val="08355C59"/>
    <w:rsid w:val="08355C6A"/>
    <w:rsid w:val="08355C81"/>
    <w:rsid w:val="08355CFA"/>
    <w:rsid w:val="08355DE2"/>
    <w:rsid w:val="08355E76"/>
    <w:rsid w:val="08355FB3"/>
    <w:rsid w:val="08356028"/>
    <w:rsid w:val="08356117"/>
    <w:rsid w:val="08356188"/>
    <w:rsid w:val="08356195"/>
    <w:rsid w:val="0835621A"/>
    <w:rsid w:val="083562CC"/>
    <w:rsid w:val="0835630F"/>
    <w:rsid w:val="08356324"/>
    <w:rsid w:val="08356424"/>
    <w:rsid w:val="0835655E"/>
    <w:rsid w:val="083565F7"/>
    <w:rsid w:val="08356636"/>
    <w:rsid w:val="08356776"/>
    <w:rsid w:val="08356879"/>
    <w:rsid w:val="0835688A"/>
    <w:rsid w:val="083568C9"/>
    <w:rsid w:val="0835691A"/>
    <w:rsid w:val="08356935"/>
    <w:rsid w:val="08356A29"/>
    <w:rsid w:val="08356A35"/>
    <w:rsid w:val="08356AAA"/>
    <w:rsid w:val="08356B02"/>
    <w:rsid w:val="08356CA4"/>
    <w:rsid w:val="08356CFB"/>
    <w:rsid w:val="08356DC1"/>
    <w:rsid w:val="08356DDF"/>
    <w:rsid w:val="08356E37"/>
    <w:rsid w:val="08356E51"/>
    <w:rsid w:val="08356F98"/>
    <w:rsid w:val="08356FAA"/>
    <w:rsid w:val="08357158"/>
    <w:rsid w:val="08357178"/>
    <w:rsid w:val="0835717B"/>
    <w:rsid w:val="08357245"/>
    <w:rsid w:val="08357390"/>
    <w:rsid w:val="08357405"/>
    <w:rsid w:val="0835742B"/>
    <w:rsid w:val="0835745E"/>
    <w:rsid w:val="08357488"/>
    <w:rsid w:val="08357555"/>
    <w:rsid w:val="08357604"/>
    <w:rsid w:val="0835761C"/>
    <w:rsid w:val="08357624"/>
    <w:rsid w:val="08357686"/>
    <w:rsid w:val="083577A4"/>
    <w:rsid w:val="083577D4"/>
    <w:rsid w:val="083577FF"/>
    <w:rsid w:val="0835787C"/>
    <w:rsid w:val="083578FC"/>
    <w:rsid w:val="08357994"/>
    <w:rsid w:val="08357999"/>
    <w:rsid w:val="083579A3"/>
    <w:rsid w:val="083579E0"/>
    <w:rsid w:val="08357A13"/>
    <w:rsid w:val="08357A4E"/>
    <w:rsid w:val="08357A8F"/>
    <w:rsid w:val="08357AE3"/>
    <w:rsid w:val="08357B2F"/>
    <w:rsid w:val="08357B94"/>
    <w:rsid w:val="08357BC3"/>
    <w:rsid w:val="08357C5A"/>
    <w:rsid w:val="08357CB1"/>
    <w:rsid w:val="08357CE6"/>
    <w:rsid w:val="08357DB1"/>
    <w:rsid w:val="08357E66"/>
    <w:rsid w:val="08357EF3"/>
    <w:rsid w:val="08357F44"/>
    <w:rsid w:val="08357F4D"/>
    <w:rsid w:val="08357FC5"/>
    <w:rsid w:val="08360316"/>
    <w:rsid w:val="08360383"/>
    <w:rsid w:val="08360385"/>
    <w:rsid w:val="083603FA"/>
    <w:rsid w:val="08360507"/>
    <w:rsid w:val="083605F4"/>
    <w:rsid w:val="083605FA"/>
    <w:rsid w:val="0836060D"/>
    <w:rsid w:val="08360659"/>
    <w:rsid w:val="083606BC"/>
    <w:rsid w:val="08360715"/>
    <w:rsid w:val="08360798"/>
    <w:rsid w:val="08360808"/>
    <w:rsid w:val="0836083B"/>
    <w:rsid w:val="08360952"/>
    <w:rsid w:val="083609EF"/>
    <w:rsid w:val="08360A23"/>
    <w:rsid w:val="08360A58"/>
    <w:rsid w:val="08360A70"/>
    <w:rsid w:val="08360A98"/>
    <w:rsid w:val="08360AF1"/>
    <w:rsid w:val="08360C99"/>
    <w:rsid w:val="08360DC7"/>
    <w:rsid w:val="08360DCC"/>
    <w:rsid w:val="08360EF7"/>
    <w:rsid w:val="08360FC0"/>
    <w:rsid w:val="08360FC5"/>
    <w:rsid w:val="083610D8"/>
    <w:rsid w:val="083610FE"/>
    <w:rsid w:val="08361157"/>
    <w:rsid w:val="083611E5"/>
    <w:rsid w:val="08361258"/>
    <w:rsid w:val="0836125D"/>
    <w:rsid w:val="08361288"/>
    <w:rsid w:val="0836141C"/>
    <w:rsid w:val="083615B0"/>
    <w:rsid w:val="083615DD"/>
    <w:rsid w:val="083615FA"/>
    <w:rsid w:val="08361640"/>
    <w:rsid w:val="08361692"/>
    <w:rsid w:val="08361693"/>
    <w:rsid w:val="083616C7"/>
    <w:rsid w:val="08361730"/>
    <w:rsid w:val="083617DD"/>
    <w:rsid w:val="08361839"/>
    <w:rsid w:val="083618B8"/>
    <w:rsid w:val="083619B5"/>
    <w:rsid w:val="08361A0C"/>
    <w:rsid w:val="08361A51"/>
    <w:rsid w:val="08361B38"/>
    <w:rsid w:val="08361BC3"/>
    <w:rsid w:val="08361BD7"/>
    <w:rsid w:val="08361C1C"/>
    <w:rsid w:val="08361C60"/>
    <w:rsid w:val="08361D0F"/>
    <w:rsid w:val="08361E49"/>
    <w:rsid w:val="08361E66"/>
    <w:rsid w:val="08361F7E"/>
    <w:rsid w:val="08362188"/>
    <w:rsid w:val="083621DA"/>
    <w:rsid w:val="08362265"/>
    <w:rsid w:val="08362392"/>
    <w:rsid w:val="083623E9"/>
    <w:rsid w:val="083623EC"/>
    <w:rsid w:val="08362404"/>
    <w:rsid w:val="0836242E"/>
    <w:rsid w:val="08362486"/>
    <w:rsid w:val="083624E8"/>
    <w:rsid w:val="08362569"/>
    <w:rsid w:val="083625E4"/>
    <w:rsid w:val="083625EB"/>
    <w:rsid w:val="08362629"/>
    <w:rsid w:val="0836265F"/>
    <w:rsid w:val="083626D0"/>
    <w:rsid w:val="0836279C"/>
    <w:rsid w:val="083627F1"/>
    <w:rsid w:val="0836280B"/>
    <w:rsid w:val="08362838"/>
    <w:rsid w:val="08362849"/>
    <w:rsid w:val="08362886"/>
    <w:rsid w:val="083628B6"/>
    <w:rsid w:val="083628DC"/>
    <w:rsid w:val="08362976"/>
    <w:rsid w:val="08362996"/>
    <w:rsid w:val="0836299B"/>
    <w:rsid w:val="083629C1"/>
    <w:rsid w:val="08362A22"/>
    <w:rsid w:val="08362A26"/>
    <w:rsid w:val="08362A97"/>
    <w:rsid w:val="08362AC4"/>
    <w:rsid w:val="08362AE3"/>
    <w:rsid w:val="08362AEE"/>
    <w:rsid w:val="08362BB6"/>
    <w:rsid w:val="08362C1B"/>
    <w:rsid w:val="08362C22"/>
    <w:rsid w:val="08362C8C"/>
    <w:rsid w:val="08362C9F"/>
    <w:rsid w:val="08362D86"/>
    <w:rsid w:val="08362D94"/>
    <w:rsid w:val="08362EBE"/>
    <w:rsid w:val="08362F5A"/>
    <w:rsid w:val="08362F62"/>
    <w:rsid w:val="083630D7"/>
    <w:rsid w:val="08363127"/>
    <w:rsid w:val="08363198"/>
    <w:rsid w:val="0836322D"/>
    <w:rsid w:val="08363301"/>
    <w:rsid w:val="0836333B"/>
    <w:rsid w:val="0836341A"/>
    <w:rsid w:val="08363444"/>
    <w:rsid w:val="0836344D"/>
    <w:rsid w:val="08363488"/>
    <w:rsid w:val="0836348F"/>
    <w:rsid w:val="083634B8"/>
    <w:rsid w:val="0836350D"/>
    <w:rsid w:val="08363570"/>
    <w:rsid w:val="08363574"/>
    <w:rsid w:val="08363612"/>
    <w:rsid w:val="0836364C"/>
    <w:rsid w:val="0836366F"/>
    <w:rsid w:val="083636AE"/>
    <w:rsid w:val="083636FE"/>
    <w:rsid w:val="08363718"/>
    <w:rsid w:val="08363728"/>
    <w:rsid w:val="0836373B"/>
    <w:rsid w:val="0836374C"/>
    <w:rsid w:val="083637A3"/>
    <w:rsid w:val="08363837"/>
    <w:rsid w:val="083638BF"/>
    <w:rsid w:val="0836390F"/>
    <w:rsid w:val="08363960"/>
    <w:rsid w:val="083639CF"/>
    <w:rsid w:val="08363BAB"/>
    <w:rsid w:val="08363BD0"/>
    <w:rsid w:val="08363BF2"/>
    <w:rsid w:val="08363CF5"/>
    <w:rsid w:val="08363D1A"/>
    <w:rsid w:val="08363E0C"/>
    <w:rsid w:val="08363E11"/>
    <w:rsid w:val="08363E71"/>
    <w:rsid w:val="08363E73"/>
    <w:rsid w:val="08363E8A"/>
    <w:rsid w:val="08363F08"/>
    <w:rsid w:val="08363F17"/>
    <w:rsid w:val="08363FE6"/>
    <w:rsid w:val="083640A7"/>
    <w:rsid w:val="08364107"/>
    <w:rsid w:val="083641BD"/>
    <w:rsid w:val="083642FC"/>
    <w:rsid w:val="08364300"/>
    <w:rsid w:val="08364349"/>
    <w:rsid w:val="08364355"/>
    <w:rsid w:val="0836442C"/>
    <w:rsid w:val="08364504"/>
    <w:rsid w:val="08364511"/>
    <w:rsid w:val="083645F6"/>
    <w:rsid w:val="083646D3"/>
    <w:rsid w:val="08364737"/>
    <w:rsid w:val="0836479D"/>
    <w:rsid w:val="083647E4"/>
    <w:rsid w:val="083647FD"/>
    <w:rsid w:val="08364866"/>
    <w:rsid w:val="083649A3"/>
    <w:rsid w:val="08364A47"/>
    <w:rsid w:val="08364B40"/>
    <w:rsid w:val="08364B47"/>
    <w:rsid w:val="08364B4D"/>
    <w:rsid w:val="08364B87"/>
    <w:rsid w:val="08364C9A"/>
    <w:rsid w:val="08364D7A"/>
    <w:rsid w:val="08364DA3"/>
    <w:rsid w:val="08364E07"/>
    <w:rsid w:val="08364E3B"/>
    <w:rsid w:val="08364E6A"/>
    <w:rsid w:val="08364EAE"/>
    <w:rsid w:val="08364ED9"/>
    <w:rsid w:val="08364F97"/>
    <w:rsid w:val="08364FF7"/>
    <w:rsid w:val="0836500A"/>
    <w:rsid w:val="08365068"/>
    <w:rsid w:val="0836508E"/>
    <w:rsid w:val="08365100"/>
    <w:rsid w:val="083651F4"/>
    <w:rsid w:val="08365200"/>
    <w:rsid w:val="0836520A"/>
    <w:rsid w:val="08365210"/>
    <w:rsid w:val="0836526A"/>
    <w:rsid w:val="08365287"/>
    <w:rsid w:val="0836529B"/>
    <w:rsid w:val="083652A0"/>
    <w:rsid w:val="0836534D"/>
    <w:rsid w:val="0836535A"/>
    <w:rsid w:val="08365393"/>
    <w:rsid w:val="083653EA"/>
    <w:rsid w:val="08365604"/>
    <w:rsid w:val="08365750"/>
    <w:rsid w:val="08365764"/>
    <w:rsid w:val="083657DB"/>
    <w:rsid w:val="08365829"/>
    <w:rsid w:val="08365878"/>
    <w:rsid w:val="083658C3"/>
    <w:rsid w:val="0836592A"/>
    <w:rsid w:val="08365950"/>
    <w:rsid w:val="08365959"/>
    <w:rsid w:val="083659CC"/>
    <w:rsid w:val="083659DF"/>
    <w:rsid w:val="08365A81"/>
    <w:rsid w:val="08365AAC"/>
    <w:rsid w:val="08365B36"/>
    <w:rsid w:val="08365B3D"/>
    <w:rsid w:val="08365B67"/>
    <w:rsid w:val="08365BC5"/>
    <w:rsid w:val="08365C2D"/>
    <w:rsid w:val="08365CD5"/>
    <w:rsid w:val="08365CFA"/>
    <w:rsid w:val="08365DCB"/>
    <w:rsid w:val="08365DDE"/>
    <w:rsid w:val="08365F9E"/>
    <w:rsid w:val="08365F9F"/>
    <w:rsid w:val="08365FAA"/>
    <w:rsid w:val="08365FC5"/>
    <w:rsid w:val="08365FED"/>
    <w:rsid w:val="083660D0"/>
    <w:rsid w:val="08366103"/>
    <w:rsid w:val="08366149"/>
    <w:rsid w:val="083661A1"/>
    <w:rsid w:val="083662CC"/>
    <w:rsid w:val="0836632D"/>
    <w:rsid w:val="08366429"/>
    <w:rsid w:val="0836646C"/>
    <w:rsid w:val="08366472"/>
    <w:rsid w:val="0836648B"/>
    <w:rsid w:val="0836655A"/>
    <w:rsid w:val="0836656B"/>
    <w:rsid w:val="0836657B"/>
    <w:rsid w:val="083665AE"/>
    <w:rsid w:val="0836665F"/>
    <w:rsid w:val="08366688"/>
    <w:rsid w:val="083667C1"/>
    <w:rsid w:val="083667ED"/>
    <w:rsid w:val="0836682E"/>
    <w:rsid w:val="0836689D"/>
    <w:rsid w:val="083668CA"/>
    <w:rsid w:val="083668E5"/>
    <w:rsid w:val="083669D9"/>
    <w:rsid w:val="08366A28"/>
    <w:rsid w:val="08366A2A"/>
    <w:rsid w:val="08366A34"/>
    <w:rsid w:val="08366A51"/>
    <w:rsid w:val="08366A6B"/>
    <w:rsid w:val="08366AF7"/>
    <w:rsid w:val="08366B46"/>
    <w:rsid w:val="08366B89"/>
    <w:rsid w:val="08366D00"/>
    <w:rsid w:val="08366DD2"/>
    <w:rsid w:val="08366DF3"/>
    <w:rsid w:val="08366E32"/>
    <w:rsid w:val="08366E5E"/>
    <w:rsid w:val="08366EB7"/>
    <w:rsid w:val="08366F8E"/>
    <w:rsid w:val="08366FB0"/>
    <w:rsid w:val="0836708B"/>
    <w:rsid w:val="08367141"/>
    <w:rsid w:val="0836722D"/>
    <w:rsid w:val="0836734B"/>
    <w:rsid w:val="08367372"/>
    <w:rsid w:val="083673B9"/>
    <w:rsid w:val="083674DD"/>
    <w:rsid w:val="08367529"/>
    <w:rsid w:val="08367548"/>
    <w:rsid w:val="0836757B"/>
    <w:rsid w:val="08367691"/>
    <w:rsid w:val="083676AF"/>
    <w:rsid w:val="083676B8"/>
    <w:rsid w:val="08367702"/>
    <w:rsid w:val="08367779"/>
    <w:rsid w:val="083677BF"/>
    <w:rsid w:val="083678D2"/>
    <w:rsid w:val="083678E0"/>
    <w:rsid w:val="0836794F"/>
    <w:rsid w:val="08367992"/>
    <w:rsid w:val="0836799C"/>
    <w:rsid w:val="08367A08"/>
    <w:rsid w:val="08367AB2"/>
    <w:rsid w:val="08367B0F"/>
    <w:rsid w:val="08367B53"/>
    <w:rsid w:val="08367B7A"/>
    <w:rsid w:val="08367C08"/>
    <w:rsid w:val="08367CE6"/>
    <w:rsid w:val="08367D37"/>
    <w:rsid w:val="08367E14"/>
    <w:rsid w:val="08367F26"/>
    <w:rsid w:val="08367F38"/>
    <w:rsid w:val="08367F90"/>
    <w:rsid w:val="08367FE3"/>
    <w:rsid w:val="08370018"/>
    <w:rsid w:val="0837015A"/>
    <w:rsid w:val="083701A6"/>
    <w:rsid w:val="08370220"/>
    <w:rsid w:val="0837027D"/>
    <w:rsid w:val="083702CA"/>
    <w:rsid w:val="083703F4"/>
    <w:rsid w:val="083704FF"/>
    <w:rsid w:val="0837063E"/>
    <w:rsid w:val="0837073F"/>
    <w:rsid w:val="08370812"/>
    <w:rsid w:val="0837083D"/>
    <w:rsid w:val="08370853"/>
    <w:rsid w:val="0837088D"/>
    <w:rsid w:val="08370A73"/>
    <w:rsid w:val="08370AA9"/>
    <w:rsid w:val="08370AF8"/>
    <w:rsid w:val="08370BAE"/>
    <w:rsid w:val="08370BB0"/>
    <w:rsid w:val="08370C62"/>
    <w:rsid w:val="08370C85"/>
    <w:rsid w:val="08370C90"/>
    <w:rsid w:val="08370CA0"/>
    <w:rsid w:val="08370E1F"/>
    <w:rsid w:val="08370EF5"/>
    <w:rsid w:val="08370FDB"/>
    <w:rsid w:val="083710CB"/>
    <w:rsid w:val="083711BF"/>
    <w:rsid w:val="08371203"/>
    <w:rsid w:val="08371265"/>
    <w:rsid w:val="083712D5"/>
    <w:rsid w:val="083712E6"/>
    <w:rsid w:val="083712EF"/>
    <w:rsid w:val="083712FC"/>
    <w:rsid w:val="08371319"/>
    <w:rsid w:val="0837134D"/>
    <w:rsid w:val="0837135B"/>
    <w:rsid w:val="0837138F"/>
    <w:rsid w:val="083713D8"/>
    <w:rsid w:val="083713E1"/>
    <w:rsid w:val="083713F4"/>
    <w:rsid w:val="08371413"/>
    <w:rsid w:val="083714B5"/>
    <w:rsid w:val="0837155B"/>
    <w:rsid w:val="08371567"/>
    <w:rsid w:val="08371615"/>
    <w:rsid w:val="08371693"/>
    <w:rsid w:val="083716C5"/>
    <w:rsid w:val="083716D2"/>
    <w:rsid w:val="083716EE"/>
    <w:rsid w:val="0837171C"/>
    <w:rsid w:val="08371767"/>
    <w:rsid w:val="0837177D"/>
    <w:rsid w:val="0837179A"/>
    <w:rsid w:val="083718EB"/>
    <w:rsid w:val="083719B2"/>
    <w:rsid w:val="083719C0"/>
    <w:rsid w:val="08371A39"/>
    <w:rsid w:val="08371A3A"/>
    <w:rsid w:val="08371A40"/>
    <w:rsid w:val="08371B03"/>
    <w:rsid w:val="08371BCD"/>
    <w:rsid w:val="08371BCF"/>
    <w:rsid w:val="08371C2B"/>
    <w:rsid w:val="08371DB0"/>
    <w:rsid w:val="08371E26"/>
    <w:rsid w:val="08371EAA"/>
    <w:rsid w:val="08371FB8"/>
    <w:rsid w:val="08372003"/>
    <w:rsid w:val="08372145"/>
    <w:rsid w:val="083721B0"/>
    <w:rsid w:val="083721CE"/>
    <w:rsid w:val="08372322"/>
    <w:rsid w:val="08372368"/>
    <w:rsid w:val="083723FB"/>
    <w:rsid w:val="08372415"/>
    <w:rsid w:val="0837243E"/>
    <w:rsid w:val="083724AA"/>
    <w:rsid w:val="083724D2"/>
    <w:rsid w:val="0837257F"/>
    <w:rsid w:val="083725F2"/>
    <w:rsid w:val="0837264E"/>
    <w:rsid w:val="0837269F"/>
    <w:rsid w:val="0837278D"/>
    <w:rsid w:val="083727E8"/>
    <w:rsid w:val="083728C1"/>
    <w:rsid w:val="083729B9"/>
    <w:rsid w:val="083729D6"/>
    <w:rsid w:val="08372ADD"/>
    <w:rsid w:val="08372AE8"/>
    <w:rsid w:val="08372B49"/>
    <w:rsid w:val="08372BE7"/>
    <w:rsid w:val="08372D20"/>
    <w:rsid w:val="08372E21"/>
    <w:rsid w:val="08372E39"/>
    <w:rsid w:val="08372E3C"/>
    <w:rsid w:val="08372ECD"/>
    <w:rsid w:val="08372F30"/>
    <w:rsid w:val="08372F5A"/>
    <w:rsid w:val="08372FD9"/>
    <w:rsid w:val="08373070"/>
    <w:rsid w:val="083731A3"/>
    <w:rsid w:val="08373312"/>
    <w:rsid w:val="08373346"/>
    <w:rsid w:val="083733FC"/>
    <w:rsid w:val="0837360D"/>
    <w:rsid w:val="08373619"/>
    <w:rsid w:val="08373675"/>
    <w:rsid w:val="083736A4"/>
    <w:rsid w:val="083736B2"/>
    <w:rsid w:val="083736C7"/>
    <w:rsid w:val="0837389A"/>
    <w:rsid w:val="08373962"/>
    <w:rsid w:val="08373969"/>
    <w:rsid w:val="08373A0E"/>
    <w:rsid w:val="08373A0F"/>
    <w:rsid w:val="08373A75"/>
    <w:rsid w:val="08373ACC"/>
    <w:rsid w:val="08373B6D"/>
    <w:rsid w:val="08373B9F"/>
    <w:rsid w:val="08373C3D"/>
    <w:rsid w:val="08373D7A"/>
    <w:rsid w:val="08373DC4"/>
    <w:rsid w:val="08373DD4"/>
    <w:rsid w:val="08373E1C"/>
    <w:rsid w:val="08373EF4"/>
    <w:rsid w:val="08373F09"/>
    <w:rsid w:val="08373F61"/>
    <w:rsid w:val="08373F85"/>
    <w:rsid w:val="08373FE9"/>
    <w:rsid w:val="083740FB"/>
    <w:rsid w:val="0837415F"/>
    <w:rsid w:val="0837424B"/>
    <w:rsid w:val="0837429F"/>
    <w:rsid w:val="083742BE"/>
    <w:rsid w:val="08374305"/>
    <w:rsid w:val="08374425"/>
    <w:rsid w:val="083744BA"/>
    <w:rsid w:val="083744FE"/>
    <w:rsid w:val="08374512"/>
    <w:rsid w:val="083745B1"/>
    <w:rsid w:val="083745C3"/>
    <w:rsid w:val="083745C6"/>
    <w:rsid w:val="083745FE"/>
    <w:rsid w:val="08374673"/>
    <w:rsid w:val="083746DF"/>
    <w:rsid w:val="083746E3"/>
    <w:rsid w:val="08374707"/>
    <w:rsid w:val="08374749"/>
    <w:rsid w:val="083747F7"/>
    <w:rsid w:val="0837482B"/>
    <w:rsid w:val="08374939"/>
    <w:rsid w:val="0837495B"/>
    <w:rsid w:val="083749FE"/>
    <w:rsid w:val="08374A49"/>
    <w:rsid w:val="08374A52"/>
    <w:rsid w:val="08374AB1"/>
    <w:rsid w:val="08374B36"/>
    <w:rsid w:val="08374B47"/>
    <w:rsid w:val="08374BDE"/>
    <w:rsid w:val="08374C7F"/>
    <w:rsid w:val="08374D47"/>
    <w:rsid w:val="08374DD3"/>
    <w:rsid w:val="08374E9D"/>
    <w:rsid w:val="08375000"/>
    <w:rsid w:val="083750DA"/>
    <w:rsid w:val="083751E5"/>
    <w:rsid w:val="083751EF"/>
    <w:rsid w:val="083752C9"/>
    <w:rsid w:val="0837534D"/>
    <w:rsid w:val="083753CF"/>
    <w:rsid w:val="08375416"/>
    <w:rsid w:val="0837543D"/>
    <w:rsid w:val="0837546B"/>
    <w:rsid w:val="083754DD"/>
    <w:rsid w:val="083754DF"/>
    <w:rsid w:val="083755A7"/>
    <w:rsid w:val="0837566C"/>
    <w:rsid w:val="083756D8"/>
    <w:rsid w:val="0837572D"/>
    <w:rsid w:val="08375953"/>
    <w:rsid w:val="08375A95"/>
    <w:rsid w:val="08375ADE"/>
    <w:rsid w:val="08375B59"/>
    <w:rsid w:val="08375C8D"/>
    <w:rsid w:val="08375CAD"/>
    <w:rsid w:val="08375D39"/>
    <w:rsid w:val="08375D80"/>
    <w:rsid w:val="08375DBE"/>
    <w:rsid w:val="08375E58"/>
    <w:rsid w:val="08375E91"/>
    <w:rsid w:val="08375EB5"/>
    <w:rsid w:val="08375EB6"/>
    <w:rsid w:val="08376113"/>
    <w:rsid w:val="083761C5"/>
    <w:rsid w:val="08376238"/>
    <w:rsid w:val="08376283"/>
    <w:rsid w:val="083762ED"/>
    <w:rsid w:val="08376348"/>
    <w:rsid w:val="08376371"/>
    <w:rsid w:val="083763E1"/>
    <w:rsid w:val="0837653E"/>
    <w:rsid w:val="08376622"/>
    <w:rsid w:val="08376624"/>
    <w:rsid w:val="08376639"/>
    <w:rsid w:val="08376641"/>
    <w:rsid w:val="083766B9"/>
    <w:rsid w:val="083766EF"/>
    <w:rsid w:val="0837677E"/>
    <w:rsid w:val="083767B2"/>
    <w:rsid w:val="083767C3"/>
    <w:rsid w:val="0837682A"/>
    <w:rsid w:val="08376896"/>
    <w:rsid w:val="083768AB"/>
    <w:rsid w:val="08376A04"/>
    <w:rsid w:val="08376A15"/>
    <w:rsid w:val="08376A28"/>
    <w:rsid w:val="08376A93"/>
    <w:rsid w:val="08376B83"/>
    <w:rsid w:val="08376CA8"/>
    <w:rsid w:val="08376D0D"/>
    <w:rsid w:val="08376D6C"/>
    <w:rsid w:val="08376DAE"/>
    <w:rsid w:val="08376DC6"/>
    <w:rsid w:val="08376E55"/>
    <w:rsid w:val="08376FF7"/>
    <w:rsid w:val="08377012"/>
    <w:rsid w:val="0837705A"/>
    <w:rsid w:val="083770B4"/>
    <w:rsid w:val="0837714B"/>
    <w:rsid w:val="083771D4"/>
    <w:rsid w:val="08377210"/>
    <w:rsid w:val="08377250"/>
    <w:rsid w:val="08377284"/>
    <w:rsid w:val="083773AF"/>
    <w:rsid w:val="083773B1"/>
    <w:rsid w:val="08377404"/>
    <w:rsid w:val="0837742D"/>
    <w:rsid w:val="08377465"/>
    <w:rsid w:val="0837746C"/>
    <w:rsid w:val="08377488"/>
    <w:rsid w:val="0837755F"/>
    <w:rsid w:val="08377582"/>
    <w:rsid w:val="083775C1"/>
    <w:rsid w:val="083776C1"/>
    <w:rsid w:val="0837786F"/>
    <w:rsid w:val="08377876"/>
    <w:rsid w:val="083778B3"/>
    <w:rsid w:val="083778DD"/>
    <w:rsid w:val="08377916"/>
    <w:rsid w:val="0837799A"/>
    <w:rsid w:val="08377A31"/>
    <w:rsid w:val="08377A42"/>
    <w:rsid w:val="08377A71"/>
    <w:rsid w:val="08377ADF"/>
    <w:rsid w:val="08377DA0"/>
    <w:rsid w:val="08377DA4"/>
    <w:rsid w:val="08377E15"/>
    <w:rsid w:val="08377E1B"/>
    <w:rsid w:val="08377E28"/>
    <w:rsid w:val="08377E43"/>
    <w:rsid w:val="08377E56"/>
    <w:rsid w:val="08377E5D"/>
    <w:rsid w:val="08377EC0"/>
    <w:rsid w:val="08377F27"/>
    <w:rsid w:val="08377FDC"/>
    <w:rsid w:val="08380006"/>
    <w:rsid w:val="08380029"/>
    <w:rsid w:val="08380050"/>
    <w:rsid w:val="0838005E"/>
    <w:rsid w:val="08380229"/>
    <w:rsid w:val="0838031F"/>
    <w:rsid w:val="08380404"/>
    <w:rsid w:val="0838043A"/>
    <w:rsid w:val="08380449"/>
    <w:rsid w:val="083804D4"/>
    <w:rsid w:val="08380585"/>
    <w:rsid w:val="0838060D"/>
    <w:rsid w:val="0838073B"/>
    <w:rsid w:val="0838078C"/>
    <w:rsid w:val="0838081B"/>
    <w:rsid w:val="08380820"/>
    <w:rsid w:val="08380853"/>
    <w:rsid w:val="083808CD"/>
    <w:rsid w:val="08380926"/>
    <w:rsid w:val="08380938"/>
    <w:rsid w:val="08380A5B"/>
    <w:rsid w:val="08380A85"/>
    <w:rsid w:val="08380A89"/>
    <w:rsid w:val="08380BB9"/>
    <w:rsid w:val="08380C15"/>
    <w:rsid w:val="08380D1C"/>
    <w:rsid w:val="08380D3F"/>
    <w:rsid w:val="08380D56"/>
    <w:rsid w:val="08380D6B"/>
    <w:rsid w:val="08380F40"/>
    <w:rsid w:val="08380F68"/>
    <w:rsid w:val="08380F9E"/>
    <w:rsid w:val="08380FC6"/>
    <w:rsid w:val="08381093"/>
    <w:rsid w:val="08381105"/>
    <w:rsid w:val="08381163"/>
    <w:rsid w:val="08381184"/>
    <w:rsid w:val="08381208"/>
    <w:rsid w:val="08381241"/>
    <w:rsid w:val="083812CE"/>
    <w:rsid w:val="083813EE"/>
    <w:rsid w:val="08381446"/>
    <w:rsid w:val="08381492"/>
    <w:rsid w:val="08381571"/>
    <w:rsid w:val="083815CA"/>
    <w:rsid w:val="08381662"/>
    <w:rsid w:val="08381760"/>
    <w:rsid w:val="083818AF"/>
    <w:rsid w:val="083818C4"/>
    <w:rsid w:val="083819DE"/>
    <w:rsid w:val="08381ABC"/>
    <w:rsid w:val="08381C1B"/>
    <w:rsid w:val="08381C60"/>
    <w:rsid w:val="08381CFF"/>
    <w:rsid w:val="08381D2D"/>
    <w:rsid w:val="08381D7A"/>
    <w:rsid w:val="08381DB6"/>
    <w:rsid w:val="08381DDA"/>
    <w:rsid w:val="08381E22"/>
    <w:rsid w:val="08381F05"/>
    <w:rsid w:val="08381F1F"/>
    <w:rsid w:val="08381F3B"/>
    <w:rsid w:val="08381F4A"/>
    <w:rsid w:val="08381F82"/>
    <w:rsid w:val="08381FF4"/>
    <w:rsid w:val="08382146"/>
    <w:rsid w:val="083822E6"/>
    <w:rsid w:val="083822EF"/>
    <w:rsid w:val="0838237B"/>
    <w:rsid w:val="083823F2"/>
    <w:rsid w:val="083823FA"/>
    <w:rsid w:val="0838241D"/>
    <w:rsid w:val="08382463"/>
    <w:rsid w:val="08382482"/>
    <w:rsid w:val="08382550"/>
    <w:rsid w:val="08382591"/>
    <w:rsid w:val="0838260F"/>
    <w:rsid w:val="0838266A"/>
    <w:rsid w:val="083826CC"/>
    <w:rsid w:val="08382732"/>
    <w:rsid w:val="08382857"/>
    <w:rsid w:val="0838286E"/>
    <w:rsid w:val="08382873"/>
    <w:rsid w:val="083828EA"/>
    <w:rsid w:val="08382917"/>
    <w:rsid w:val="083829D5"/>
    <w:rsid w:val="083829F0"/>
    <w:rsid w:val="08382B93"/>
    <w:rsid w:val="08382BD1"/>
    <w:rsid w:val="08382BE5"/>
    <w:rsid w:val="08382C48"/>
    <w:rsid w:val="08382C51"/>
    <w:rsid w:val="08382CCD"/>
    <w:rsid w:val="08382D15"/>
    <w:rsid w:val="08382E4F"/>
    <w:rsid w:val="08382E54"/>
    <w:rsid w:val="08382E8B"/>
    <w:rsid w:val="08382EB8"/>
    <w:rsid w:val="0838302A"/>
    <w:rsid w:val="0838302E"/>
    <w:rsid w:val="083830D3"/>
    <w:rsid w:val="08383126"/>
    <w:rsid w:val="08383133"/>
    <w:rsid w:val="08383153"/>
    <w:rsid w:val="08383180"/>
    <w:rsid w:val="083831BB"/>
    <w:rsid w:val="08383224"/>
    <w:rsid w:val="08383268"/>
    <w:rsid w:val="083832A3"/>
    <w:rsid w:val="083832D7"/>
    <w:rsid w:val="0838330A"/>
    <w:rsid w:val="0838339D"/>
    <w:rsid w:val="083834BB"/>
    <w:rsid w:val="083835D9"/>
    <w:rsid w:val="083835F7"/>
    <w:rsid w:val="08383669"/>
    <w:rsid w:val="0838367C"/>
    <w:rsid w:val="08383746"/>
    <w:rsid w:val="0838376A"/>
    <w:rsid w:val="0838382B"/>
    <w:rsid w:val="0838382E"/>
    <w:rsid w:val="08383859"/>
    <w:rsid w:val="0838388C"/>
    <w:rsid w:val="083838A7"/>
    <w:rsid w:val="083838F9"/>
    <w:rsid w:val="08383B76"/>
    <w:rsid w:val="08383BD3"/>
    <w:rsid w:val="08383CB2"/>
    <w:rsid w:val="08383D76"/>
    <w:rsid w:val="08383DFE"/>
    <w:rsid w:val="08383ED1"/>
    <w:rsid w:val="08383F4C"/>
    <w:rsid w:val="08383FEF"/>
    <w:rsid w:val="0838404E"/>
    <w:rsid w:val="083840D5"/>
    <w:rsid w:val="083840E0"/>
    <w:rsid w:val="083840EE"/>
    <w:rsid w:val="0838411B"/>
    <w:rsid w:val="08384173"/>
    <w:rsid w:val="083841A7"/>
    <w:rsid w:val="083841C9"/>
    <w:rsid w:val="083841E0"/>
    <w:rsid w:val="08384283"/>
    <w:rsid w:val="083842E3"/>
    <w:rsid w:val="08384362"/>
    <w:rsid w:val="08384372"/>
    <w:rsid w:val="0838441A"/>
    <w:rsid w:val="0838443C"/>
    <w:rsid w:val="083845DF"/>
    <w:rsid w:val="083846BB"/>
    <w:rsid w:val="083847A8"/>
    <w:rsid w:val="083847F8"/>
    <w:rsid w:val="08384875"/>
    <w:rsid w:val="083848B8"/>
    <w:rsid w:val="08384906"/>
    <w:rsid w:val="08384979"/>
    <w:rsid w:val="08384A8B"/>
    <w:rsid w:val="08384B4A"/>
    <w:rsid w:val="08384B54"/>
    <w:rsid w:val="08384B73"/>
    <w:rsid w:val="08384B77"/>
    <w:rsid w:val="08384C03"/>
    <w:rsid w:val="08384CDC"/>
    <w:rsid w:val="08384D05"/>
    <w:rsid w:val="08384D36"/>
    <w:rsid w:val="08384DF1"/>
    <w:rsid w:val="08384E0C"/>
    <w:rsid w:val="08384E74"/>
    <w:rsid w:val="08384EC5"/>
    <w:rsid w:val="08384ED5"/>
    <w:rsid w:val="08384EEA"/>
    <w:rsid w:val="08384FCD"/>
    <w:rsid w:val="08384FD7"/>
    <w:rsid w:val="083851D5"/>
    <w:rsid w:val="0838527F"/>
    <w:rsid w:val="0838538E"/>
    <w:rsid w:val="083853B2"/>
    <w:rsid w:val="083853C2"/>
    <w:rsid w:val="083854A2"/>
    <w:rsid w:val="083854F5"/>
    <w:rsid w:val="083855E4"/>
    <w:rsid w:val="083856C9"/>
    <w:rsid w:val="083856CA"/>
    <w:rsid w:val="0838570C"/>
    <w:rsid w:val="08385737"/>
    <w:rsid w:val="08385741"/>
    <w:rsid w:val="08385762"/>
    <w:rsid w:val="08385770"/>
    <w:rsid w:val="083857E4"/>
    <w:rsid w:val="08385901"/>
    <w:rsid w:val="08385ABC"/>
    <w:rsid w:val="08385AC4"/>
    <w:rsid w:val="08385B4C"/>
    <w:rsid w:val="08385B6E"/>
    <w:rsid w:val="08385B73"/>
    <w:rsid w:val="08385BF0"/>
    <w:rsid w:val="08385C38"/>
    <w:rsid w:val="08385C5B"/>
    <w:rsid w:val="08385CA5"/>
    <w:rsid w:val="08385D07"/>
    <w:rsid w:val="08385E16"/>
    <w:rsid w:val="08385EA5"/>
    <w:rsid w:val="08385EC8"/>
    <w:rsid w:val="08385F02"/>
    <w:rsid w:val="08385F4B"/>
    <w:rsid w:val="08386009"/>
    <w:rsid w:val="0838601B"/>
    <w:rsid w:val="0838606C"/>
    <w:rsid w:val="083860BE"/>
    <w:rsid w:val="083860DE"/>
    <w:rsid w:val="0838610A"/>
    <w:rsid w:val="08386153"/>
    <w:rsid w:val="08386174"/>
    <w:rsid w:val="083861C2"/>
    <w:rsid w:val="083861E1"/>
    <w:rsid w:val="083861F3"/>
    <w:rsid w:val="083862AA"/>
    <w:rsid w:val="08386334"/>
    <w:rsid w:val="083863AA"/>
    <w:rsid w:val="083863C9"/>
    <w:rsid w:val="083863F5"/>
    <w:rsid w:val="0838649D"/>
    <w:rsid w:val="083864B5"/>
    <w:rsid w:val="083864EB"/>
    <w:rsid w:val="08386548"/>
    <w:rsid w:val="0838669D"/>
    <w:rsid w:val="083866DA"/>
    <w:rsid w:val="0838673E"/>
    <w:rsid w:val="08386756"/>
    <w:rsid w:val="08386790"/>
    <w:rsid w:val="083867C7"/>
    <w:rsid w:val="08386811"/>
    <w:rsid w:val="08386898"/>
    <w:rsid w:val="083868F3"/>
    <w:rsid w:val="08386982"/>
    <w:rsid w:val="0838699B"/>
    <w:rsid w:val="08386A86"/>
    <w:rsid w:val="08386AFD"/>
    <w:rsid w:val="08386BAC"/>
    <w:rsid w:val="08386BCD"/>
    <w:rsid w:val="08386C5C"/>
    <w:rsid w:val="08386EDF"/>
    <w:rsid w:val="08386EE0"/>
    <w:rsid w:val="08387055"/>
    <w:rsid w:val="0838718B"/>
    <w:rsid w:val="083871DD"/>
    <w:rsid w:val="083871E5"/>
    <w:rsid w:val="08387215"/>
    <w:rsid w:val="08387259"/>
    <w:rsid w:val="083872CA"/>
    <w:rsid w:val="083872E4"/>
    <w:rsid w:val="083873D8"/>
    <w:rsid w:val="083873DB"/>
    <w:rsid w:val="083873EE"/>
    <w:rsid w:val="08387494"/>
    <w:rsid w:val="0838749B"/>
    <w:rsid w:val="08387554"/>
    <w:rsid w:val="08387677"/>
    <w:rsid w:val="083876C4"/>
    <w:rsid w:val="083877C8"/>
    <w:rsid w:val="08387822"/>
    <w:rsid w:val="08387856"/>
    <w:rsid w:val="08387887"/>
    <w:rsid w:val="0838788D"/>
    <w:rsid w:val="083878B0"/>
    <w:rsid w:val="08387985"/>
    <w:rsid w:val="083879E5"/>
    <w:rsid w:val="08387A4F"/>
    <w:rsid w:val="08387A76"/>
    <w:rsid w:val="08387AAF"/>
    <w:rsid w:val="08387B15"/>
    <w:rsid w:val="08387B18"/>
    <w:rsid w:val="08387C22"/>
    <w:rsid w:val="08387C7D"/>
    <w:rsid w:val="08387EFE"/>
    <w:rsid w:val="08387F20"/>
    <w:rsid w:val="08387F35"/>
    <w:rsid w:val="08387FB3"/>
    <w:rsid w:val="08387FC7"/>
    <w:rsid w:val="08390070"/>
    <w:rsid w:val="08390134"/>
    <w:rsid w:val="08390147"/>
    <w:rsid w:val="08390195"/>
    <w:rsid w:val="083901B3"/>
    <w:rsid w:val="08390233"/>
    <w:rsid w:val="08390418"/>
    <w:rsid w:val="08390478"/>
    <w:rsid w:val="083904D1"/>
    <w:rsid w:val="083904ED"/>
    <w:rsid w:val="083904F1"/>
    <w:rsid w:val="08390543"/>
    <w:rsid w:val="08390699"/>
    <w:rsid w:val="083906F1"/>
    <w:rsid w:val="083908F5"/>
    <w:rsid w:val="08390AED"/>
    <w:rsid w:val="08390AF7"/>
    <w:rsid w:val="08390B04"/>
    <w:rsid w:val="08390B41"/>
    <w:rsid w:val="08390BB2"/>
    <w:rsid w:val="08390BFC"/>
    <w:rsid w:val="08390C01"/>
    <w:rsid w:val="08390C14"/>
    <w:rsid w:val="08390CFB"/>
    <w:rsid w:val="08390D04"/>
    <w:rsid w:val="08390D72"/>
    <w:rsid w:val="08390E5C"/>
    <w:rsid w:val="08390FC4"/>
    <w:rsid w:val="083910B7"/>
    <w:rsid w:val="083910F7"/>
    <w:rsid w:val="083910F8"/>
    <w:rsid w:val="083911CE"/>
    <w:rsid w:val="08391305"/>
    <w:rsid w:val="083913C0"/>
    <w:rsid w:val="083915AD"/>
    <w:rsid w:val="08391661"/>
    <w:rsid w:val="08391671"/>
    <w:rsid w:val="083916C6"/>
    <w:rsid w:val="08391741"/>
    <w:rsid w:val="083917BC"/>
    <w:rsid w:val="0839180C"/>
    <w:rsid w:val="0839186C"/>
    <w:rsid w:val="08391904"/>
    <w:rsid w:val="0839195C"/>
    <w:rsid w:val="0839199E"/>
    <w:rsid w:val="083919AF"/>
    <w:rsid w:val="083919E5"/>
    <w:rsid w:val="083919FC"/>
    <w:rsid w:val="08391A7A"/>
    <w:rsid w:val="08391AB6"/>
    <w:rsid w:val="08391ACC"/>
    <w:rsid w:val="08391ADE"/>
    <w:rsid w:val="08391AEB"/>
    <w:rsid w:val="08391AF3"/>
    <w:rsid w:val="08391D21"/>
    <w:rsid w:val="08391D3A"/>
    <w:rsid w:val="08391E56"/>
    <w:rsid w:val="08391F1E"/>
    <w:rsid w:val="08391F6A"/>
    <w:rsid w:val="08391F70"/>
    <w:rsid w:val="08391FA0"/>
    <w:rsid w:val="0839201A"/>
    <w:rsid w:val="0839209F"/>
    <w:rsid w:val="083921BF"/>
    <w:rsid w:val="0839223F"/>
    <w:rsid w:val="083922AF"/>
    <w:rsid w:val="08392360"/>
    <w:rsid w:val="083923FD"/>
    <w:rsid w:val="08392483"/>
    <w:rsid w:val="083924D9"/>
    <w:rsid w:val="08392791"/>
    <w:rsid w:val="08392874"/>
    <w:rsid w:val="08392934"/>
    <w:rsid w:val="08392947"/>
    <w:rsid w:val="083929A9"/>
    <w:rsid w:val="083929E9"/>
    <w:rsid w:val="08392A0B"/>
    <w:rsid w:val="08392A27"/>
    <w:rsid w:val="08392A7C"/>
    <w:rsid w:val="08392B5A"/>
    <w:rsid w:val="08392BFA"/>
    <w:rsid w:val="08392C85"/>
    <w:rsid w:val="08392CEF"/>
    <w:rsid w:val="08392D8A"/>
    <w:rsid w:val="08392EAA"/>
    <w:rsid w:val="08392EDC"/>
    <w:rsid w:val="08392F63"/>
    <w:rsid w:val="08392FDB"/>
    <w:rsid w:val="08393001"/>
    <w:rsid w:val="08393026"/>
    <w:rsid w:val="08393039"/>
    <w:rsid w:val="08393155"/>
    <w:rsid w:val="08393264"/>
    <w:rsid w:val="08393282"/>
    <w:rsid w:val="08393328"/>
    <w:rsid w:val="08393464"/>
    <w:rsid w:val="083934A5"/>
    <w:rsid w:val="083934D9"/>
    <w:rsid w:val="08393519"/>
    <w:rsid w:val="08393525"/>
    <w:rsid w:val="083935D5"/>
    <w:rsid w:val="083935EB"/>
    <w:rsid w:val="0839370A"/>
    <w:rsid w:val="08393763"/>
    <w:rsid w:val="08393773"/>
    <w:rsid w:val="08393804"/>
    <w:rsid w:val="08393822"/>
    <w:rsid w:val="0839388F"/>
    <w:rsid w:val="083938F5"/>
    <w:rsid w:val="083939A6"/>
    <w:rsid w:val="083939AE"/>
    <w:rsid w:val="083939EE"/>
    <w:rsid w:val="08393A8D"/>
    <w:rsid w:val="08393A9F"/>
    <w:rsid w:val="08393AB6"/>
    <w:rsid w:val="08393BC6"/>
    <w:rsid w:val="08393C1D"/>
    <w:rsid w:val="08393C6F"/>
    <w:rsid w:val="08393D66"/>
    <w:rsid w:val="08393D93"/>
    <w:rsid w:val="08393E33"/>
    <w:rsid w:val="08393E43"/>
    <w:rsid w:val="08393F85"/>
    <w:rsid w:val="08393F87"/>
    <w:rsid w:val="08393F89"/>
    <w:rsid w:val="08394052"/>
    <w:rsid w:val="083940B1"/>
    <w:rsid w:val="08394126"/>
    <w:rsid w:val="08394138"/>
    <w:rsid w:val="08394149"/>
    <w:rsid w:val="0839417A"/>
    <w:rsid w:val="0839417B"/>
    <w:rsid w:val="08394185"/>
    <w:rsid w:val="083941D3"/>
    <w:rsid w:val="0839421A"/>
    <w:rsid w:val="0839425C"/>
    <w:rsid w:val="0839435D"/>
    <w:rsid w:val="0839444E"/>
    <w:rsid w:val="083944A8"/>
    <w:rsid w:val="0839451C"/>
    <w:rsid w:val="08394594"/>
    <w:rsid w:val="083945B4"/>
    <w:rsid w:val="083945D2"/>
    <w:rsid w:val="083945F2"/>
    <w:rsid w:val="083945FC"/>
    <w:rsid w:val="08394732"/>
    <w:rsid w:val="08394776"/>
    <w:rsid w:val="083947E2"/>
    <w:rsid w:val="08394827"/>
    <w:rsid w:val="0839484A"/>
    <w:rsid w:val="0839485A"/>
    <w:rsid w:val="083948DC"/>
    <w:rsid w:val="0839494C"/>
    <w:rsid w:val="08394ADF"/>
    <w:rsid w:val="08394AFE"/>
    <w:rsid w:val="08394B4B"/>
    <w:rsid w:val="08394B98"/>
    <w:rsid w:val="08394D23"/>
    <w:rsid w:val="08394E10"/>
    <w:rsid w:val="08395053"/>
    <w:rsid w:val="0839510A"/>
    <w:rsid w:val="08395171"/>
    <w:rsid w:val="083951AF"/>
    <w:rsid w:val="083951D1"/>
    <w:rsid w:val="08395262"/>
    <w:rsid w:val="08395283"/>
    <w:rsid w:val="08395293"/>
    <w:rsid w:val="083952C1"/>
    <w:rsid w:val="08395308"/>
    <w:rsid w:val="08395518"/>
    <w:rsid w:val="08395542"/>
    <w:rsid w:val="08395543"/>
    <w:rsid w:val="083955CA"/>
    <w:rsid w:val="083955D5"/>
    <w:rsid w:val="083955D8"/>
    <w:rsid w:val="08395612"/>
    <w:rsid w:val="083956D0"/>
    <w:rsid w:val="0839584C"/>
    <w:rsid w:val="083958AA"/>
    <w:rsid w:val="08395969"/>
    <w:rsid w:val="08395A6F"/>
    <w:rsid w:val="08395AA5"/>
    <w:rsid w:val="08395B1C"/>
    <w:rsid w:val="08395BD0"/>
    <w:rsid w:val="08395BDA"/>
    <w:rsid w:val="08395C3A"/>
    <w:rsid w:val="08395C5F"/>
    <w:rsid w:val="08395D0A"/>
    <w:rsid w:val="08395D92"/>
    <w:rsid w:val="08395E29"/>
    <w:rsid w:val="08395E6D"/>
    <w:rsid w:val="08395E7B"/>
    <w:rsid w:val="08395EB4"/>
    <w:rsid w:val="08395EC5"/>
    <w:rsid w:val="08395EDF"/>
    <w:rsid w:val="08395EFE"/>
    <w:rsid w:val="0839602C"/>
    <w:rsid w:val="0839606D"/>
    <w:rsid w:val="08396080"/>
    <w:rsid w:val="08396106"/>
    <w:rsid w:val="083961A0"/>
    <w:rsid w:val="08396242"/>
    <w:rsid w:val="08396369"/>
    <w:rsid w:val="083963AA"/>
    <w:rsid w:val="08396456"/>
    <w:rsid w:val="083964B0"/>
    <w:rsid w:val="083964B2"/>
    <w:rsid w:val="083964B8"/>
    <w:rsid w:val="0839664A"/>
    <w:rsid w:val="08396655"/>
    <w:rsid w:val="083966B4"/>
    <w:rsid w:val="0839676D"/>
    <w:rsid w:val="0839677E"/>
    <w:rsid w:val="083967C0"/>
    <w:rsid w:val="083967FC"/>
    <w:rsid w:val="08396803"/>
    <w:rsid w:val="08396846"/>
    <w:rsid w:val="08396856"/>
    <w:rsid w:val="083968C3"/>
    <w:rsid w:val="083968FF"/>
    <w:rsid w:val="08396908"/>
    <w:rsid w:val="083969FC"/>
    <w:rsid w:val="08396A39"/>
    <w:rsid w:val="08396A94"/>
    <w:rsid w:val="08396AF3"/>
    <w:rsid w:val="08396B23"/>
    <w:rsid w:val="08396B2A"/>
    <w:rsid w:val="08396B67"/>
    <w:rsid w:val="08396BA3"/>
    <w:rsid w:val="08396C1E"/>
    <w:rsid w:val="08396C73"/>
    <w:rsid w:val="08396C8B"/>
    <w:rsid w:val="08396D11"/>
    <w:rsid w:val="08396D57"/>
    <w:rsid w:val="08396DE6"/>
    <w:rsid w:val="08396E43"/>
    <w:rsid w:val="08396E88"/>
    <w:rsid w:val="08396F2F"/>
    <w:rsid w:val="08396FB5"/>
    <w:rsid w:val="08396FE3"/>
    <w:rsid w:val="08396FEF"/>
    <w:rsid w:val="08397049"/>
    <w:rsid w:val="083971D7"/>
    <w:rsid w:val="08397207"/>
    <w:rsid w:val="0839734F"/>
    <w:rsid w:val="083975A1"/>
    <w:rsid w:val="08397602"/>
    <w:rsid w:val="08397822"/>
    <w:rsid w:val="08397880"/>
    <w:rsid w:val="08397921"/>
    <w:rsid w:val="08397936"/>
    <w:rsid w:val="0839794B"/>
    <w:rsid w:val="0839795D"/>
    <w:rsid w:val="08397998"/>
    <w:rsid w:val="08397A39"/>
    <w:rsid w:val="08397A4F"/>
    <w:rsid w:val="08397AF5"/>
    <w:rsid w:val="08397B0A"/>
    <w:rsid w:val="08397B4C"/>
    <w:rsid w:val="08397B89"/>
    <w:rsid w:val="08397D0A"/>
    <w:rsid w:val="08397D14"/>
    <w:rsid w:val="08397D3B"/>
    <w:rsid w:val="08397DA5"/>
    <w:rsid w:val="08397E21"/>
    <w:rsid w:val="08397EC3"/>
    <w:rsid w:val="08397ED1"/>
    <w:rsid w:val="08397F15"/>
    <w:rsid w:val="08397F22"/>
    <w:rsid w:val="08397F7D"/>
    <w:rsid w:val="083A00A5"/>
    <w:rsid w:val="083A00F5"/>
    <w:rsid w:val="083A0147"/>
    <w:rsid w:val="083A018C"/>
    <w:rsid w:val="083A01F2"/>
    <w:rsid w:val="083A02B8"/>
    <w:rsid w:val="083A0341"/>
    <w:rsid w:val="083A038E"/>
    <w:rsid w:val="083A0390"/>
    <w:rsid w:val="083A03C4"/>
    <w:rsid w:val="083A0501"/>
    <w:rsid w:val="083A0623"/>
    <w:rsid w:val="083A06B6"/>
    <w:rsid w:val="083A079F"/>
    <w:rsid w:val="083A07F2"/>
    <w:rsid w:val="083A0836"/>
    <w:rsid w:val="083A0840"/>
    <w:rsid w:val="083A0905"/>
    <w:rsid w:val="083A0AA8"/>
    <w:rsid w:val="083A0AEA"/>
    <w:rsid w:val="083A0B12"/>
    <w:rsid w:val="083A0B51"/>
    <w:rsid w:val="083A0B5E"/>
    <w:rsid w:val="083A0B70"/>
    <w:rsid w:val="083A0B74"/>
    <w:rsid w:val="083A0B8B"/>
    <w:rsid w:val="083A0C02"/>
    <w:rsid w:val="083A0CEF"/>
    <w:rsid w:val="083A0D1D"/>
    <w:rsid w:val="083A0E8E"/>
    <w:rsid w:val="083A0F7E"/>
    <w:rsid w:val="083A0F8C"/>
    <w:rsid w:val="083A0FDC"/>
    <w:rsid w:val="083A101D"/>
    <w:rsid w:val="083A12BA"/>
    <w:rsid w:val="083A1335"/>
    <w:rsid w:val="083A1342"/>
    <w:rsid w:val="083A13EE"/>
    <w:rsid w:val="083A1553"/>
    <w:rsid w:val="083A160C"/>
    <w:rsid w:val="083A169F"/>
    <w:rsid w:val="083A1793"/>
    <w:rsid w:val="083A181E"/>
    <w:rsid w:val="083A183E"/>
    <w:rsid w:val="083A1890"/>
    <w:rsid w:val="083A18BF"/>
    <w:rsid w:val="083A199B"/>
    <w:rsid w:val="083A19B8"/>
    <w:rsid w:val="083A19F2"/>
    <w:rsid w:val="083A1A30"/>
    <w:rsid w:val="083A1A4B"/>
    <w:rsid w:val="083A1AC0"/>
    <w:rsid w:val="083A1B24"/>
    <w:rsid w:val="083A1B7F"/>
    <w:rsid w:val="083A1B9A"/>
    <w:rsid w:val="083A1BE6"/>
    <w:rsid w:val="083A1C34"/>
    <w:rsid w:val="083A1CC6"/>
    <w:rsid w:val="083A1D13"/>
    <w:rsid w:val="083A1D82"/>
    <w:rsid w:val="083A1E36"/>
    <w:rsid w:val="083A1E55"/>
    <w:rsid w:val="083A1EE9"/>
    <w:rsid w:val="083A1F0B"/>
    <w:rsid w:val="083A1F63"/>
    <w:rsid w:val="083A20FC"/>
    <w:rsid w:val="083A210A"/>
    <w:rsid w:val="083A21DA"/>
    <w:rsid w:val="083A21FE"/>
    <w:rsid w:val="083A221B"/>
    <w:rsid w:val="083A22BD"/>
    <w:rsid w:val="083A236D"/>
    <w:rsid w:val="083A23A8"/>
    <w:rsid w:val="083A23BE"/>
    <w:rsid w:val="083A2403"/>
    <w:rsid w:val="083A241F"/>
    <w:rsid w:val="083A24B0"/>
    <w:rsid w:val="083A24F3"/>
    <w:rsid w:val="083A251B"/>
    <w:rsid w:val="083A2560"/>
    <w:rsid w:val="083A2598"/>
    <w:rsid w:val="083A25C8"/>
    <w:rsid w:val="083A26AA"/>
    <w:rsid w:val="083A26F1"/>
    <w:rsid w:val="083A279E"/>
    <w:rsid w:val="083A28F7"/>
    <w:rsid w:val="083A292E"/>
    <w:rsid w:val="083A29E1"/>
    <w:rsid w:val="083A2A38"/>
    <w:rsid w:val="083A2AC0"/>
    <w:rsid w:val="083A2B92"/>
    <w:rsid w:val="083A2CFA"/>
    <w:rsid w:val="083A2D11"/>
    <w:rsid w:val="083A2D2A"/>
    <w:rsid w:val="083A2D45"/>
    <w:rsid w:val="083A2F57"/>
    <w:rsid w:val="083A3012"/>
    <w:rsid w:val="083A3016"/>
    <w:rsid w:val="083A3187"/>
    <w:rsid w:val="083A31CC"/>
    <w:rsid w:val="083A3348"/>
    <w:rsid w:val="083A34AF"/>
    <w:rsid w:val="083A34F5"/>
    <w:rsid w:val="083A3582"/>
    <w:rsid w:val="083A3682"/>
    <w:rsid w:val="083A3786"/>
    <w:rsid w:val="083A37FC"/>
    <w:rsid w:val="083A3812"/>
    <w:rsid w:val="083A3825"/>
    <w:rsid w:val="083A382C"/>
    <w:rsid w:val="083A3878"/>
    <w:rsid w:val="083A390D"/>
    <w:rsid w:val="083A392C"/>
    <w:rsid w:val="083A39CF"/>
    <w:rsid w:val="083A3A65"/>
    <w:rsid w:val="083A3A8E"/>
    <w:rsid w:val="083A3ABF"/>
    <w:rsid w:val="083A3AFC"/>
    <w:rsid w:val="083A3C26"/>
    <w:rsid w:val="083A3C5D"/>
    <w:rsid w:val="083A3D0E"/>
    <w:rsid w:val="083A3D92"/>
    <w:rsid w:val="083A3DAF"/>
    <w:rsid w:val="083A3DBB"/>
    <w:rsid w:val="083A3E00"/>
    <w:rsid w:val="083A3E72"/>
    <w:rsid w:val="083A3F80"/>
    <w:rsid w:val="083A3F86"/>
    <w:rsid w:val="083A402D"/>
    <w:rsid w:val="083A4108"/>
    <w:rsid w:val="083A41BD"/>
    <w:rsid w:val="083A4249"/>
    <w:rsid w:val="083A424D"/>
    <w:rsid w:val="083A4265"/>
    <w:rsid w:val="083A42F3"/>
    <w:rsid w:val="083A441A"/>
    <w:rsid w:val="083A444D"/>
    <w:rsid w:val="083A4456"/>
    <w:rsid w:val="083A4501"/>
    <w:rsid w:val="083A461B"/>
    <w:rsid w:val="083A4623"/>
    <w:rsid w:val="083A4629"/>
    <w:rsid w:val="083A468E"/>
    <w:rsid w:val="083A46E0"/>
    <w:rsid w:val="083A4726"/>
    <w:rsid w:val="083A4832"/>
    <w:rsid w:val="083A491C"/>
    <w:rsid w:val="083A4954"/>
    <w:rsid w:val="083A4985"/>
    <w:rsid w:val="083A4A07"/>
    <w:rsid w:val="083A4A13"/>
    <w:rsid w:val="083A4A16"/>
    <w:rsid w:val="083A4A61"/>
    <w:rsid w:val="083A4A88"/>
    <w:rsid w:val="083A4B61"/>
    <w:rsid w:val="083A4CF6"/>
    <w:rsid w:val="083A4D0B"/>
    <w:rsid w:val="083A4D85"/>
    <w:rsid w:val="083A4E10"/>
    <w:rsid w:val="083A4E57"/>
    <w:rsid w:val="083A4E74"/>
    <w:rsid w:val="083A4EBB"/>
    <w:rsid w:val="083A4F29"/>
    <w:rsid w:val="083A4F71"/>
    <w:rsid w:val="083A4FAF"/>
    <w:rsid w:val="083A4FFC"/>
    <w:rsid w:val="083A5015"/>
    <w:rsid w:val="083A5100"/>
    <w:rsid w:val="083A5132"/>
    <w:rsid w:val="083A51BC"/>
    <w:rsid w:val="083A521A"/>
    <w:rsid w:val="083A5232"/>
    <w:rsid w:val="083A5234"/>
    <w:rsid w:val="083A525D"/>
    <w:rsid w:val="083A52B0"/>
    <w:rsid w:val="083A533F"/>
    <w:rsid w:val="083A5388"/>
    <w:rsid w:val="083A53C7"/>
    <w:rsid w:val="083A5421"/>
    <w:rsid w:val="083A5469"/>
    <w:rsid w:val="083A5479"/>
    <w:rsid w:val="083A54BA"/>
    <w:rsid w:val="083A5533"/>
    <w:rsid w:val="083A5589"/>
    <w:rsid w:val="083A55FF"/>
    <w:rsid w:val="083A5646"/>
    <w:rsid w:val="083A5760"/>
    <w:rsid w:val="083A5808"/>
    <w:rsid w:val="083A59F0"/>
    <w:rsid w:val="083A5AAC"/>
    <w:rsid w:val="083A5ADD"/>
    <w:rsid w:val="083A5B59"/>
    <w:rsid w:val="083A5B7B"/>
    <w:rsid w:val="083A5BDD"/>
    <w:rsid w:val="083A5CC5"/>
    <w:rsid w:val="083A5CC8"/>
    <w:rsid w:val="083A5CCC"/>
    <w:rsid w:val="083A5CF2"/>
    <w:rsid w:val="083A5CFD"/>
    <w:rsid w:val="083A5D20"/>
    <w:rsid w:val="083A5D28"/>
    <w:rsid w:val="083A5D3F"/>
    <w:rsid w:val="083A5D8E"/>
    <w:rsid w:val="083A5D96"/>
    <w:rsid w:val="083A5EE0"/>
    <w:rsid w:val="083A5F75"/>
    <w:rsid w:val="083A5FA3"/>
    <w:rsid w:val="083A5FB8"/>
    <w:rsid w:val="083A6067"/>
    <w:rsid w:val="083A6087"/>
    <w:rsid w:val="083A60B3"/>
    <w:rsid w:val="083A60C6"/>
    <w:rsid w:val="083A6166"/>
    <w:rsid w:val="083A61D3"/>
    <w:rsid w:val="083A6228"/>
    <w:rsid w:val="083A6279"/>
    <w:rsid w:val="083A633D"/>
    <w:rsid w:val="083A63F8"/>
    <w:rsid w:val="083A64EA"/>
    <w:rsid w:val="083A654D"/>
    <w:rsid w:val="083A6575"/>
    <w:rsid w:val="083A6591"/>
    <w:rsid w:val="083A65A5"/>
    <w:rsid w:val="083A6681"/>
    <w:rsid w:val="083A6700"/>
    <w:rsid w:val="083A671D"/>
    <w:rsid w:val="083A67E2"/>
    <w:rsid w:val="083A680F"/>
    <w:rsid w:val="083A692F"/>
    <w:rsid w:val="083A6971"/>
    <w:rsid w:val="083A6AD0"/>
    <w:rsid w:val="083A6B4A"/>
    <w:rsid w:val="083A6B51"/>
    <w:rsid w:val="083A6CF2"/>
    <w:rsid w:val="083A6CF6"/>
    <w:rsid w:val="083A6E50"/>
    <w:rsid w:val="083A6EB9"/>
    <w:rsid w:val="083A6EEB"/>
    <w:rsid w:val="083A6EFF"/>
    <w:rsid w:val="083A6F9B"/>
    <w:rsid w:val="083A7072"/>
    <w:rsid w:val="083A70A0"/>
    <w:rsid w:val="083A7127"/>
    <w:rsid w:val="083A7204"/>
    <w:rsid w:val="083A720F"/>
    <w:rsid w:val="083A724E"/>
    <w:rsid w:val="083A7271"/>
    <w:rsid w:val="083A727D"/>
    <w:rsid w:val="083A72E1"/>
    <w:rsid w:val="083A7304"/>
    <w:rsid w:val="083A73A5"/>
    <w:rsid w:val="083A73D0"/>
    <w:rsid w:val="083A74D1"/>
    <w:rsid w:val="083A7612"/>
    <w:rsid w:val="083A7640"/>
    <w:rsid w:val="083A7692"/>
    <w:rsid w:val="083A76C7"/>
    <w:rsid w:val="083A76DF"/>
    <w:rsid w:val="083A76E9"/>
    <w:rsid w:val="083A76F4"/>
    <w:rsid w:val="083A77AD"/>
    <w:rsid w:val="083A7801"/>
    <w:rsid w:val="083A78FD"/>
    <w:rsid w:val="083A797A"/>
    <w:rsid w:val="083A79E1"/>
    <w:rsid w:val="083A79E8"/>
    <w:rsid w:val="083A7A0A"/>
    <w:rsid w:val="083A7A73"/>
    <w:rsid w:val="083A7A9C"/>
    <w:rsid w:val="083A7BD3"/>
    <w:rsid w:val="083A7BDF"/>
    <w:rsid w:val="083A7C24"/>
    <w:rsid w:val="083A7C5D"/>
    <w:rsid w:val="083A7C61"/>
    <w:rsid w:val="083A7D58"/>
    <w:rsid w:val="083A7E4F"/>
    <w:rsid w:val="083A7E6C"/>
    <w:rsid w:val="083A7E76"/>
    <w:rsid w:val="083A7ED9"/>
    <w:rsid w:val="083A7EF1"/>
    <w:rsid w:val="083A7F16"/>
    <w:rsid w:val="083A7FD2"/>
    <w:rsid w:val="083A7FD3"/>
    <w:rsid w:val="083B002D"/>
    <w:rsid w:val="083B003A"/>
    <w:rsid w:val="083B0120"/>
    <w:rsid w:val="083B0333"/>
    <w:rsid w:val="083B03D7"/>
    <w:rsid w:val="083B03DF"/>
    <w:rsid w:val="083B051E"/>
    <w:rsid w:val="083B059A"/>
    <w:rsid w:val="083B05AC"/>
    <w:rsid w:val="083B05E6"/>
    <w:rsid w:val="083B0648"/>
    <w:rsid w:val="083B0665"/>
    <w:rsid w:val="083B069E"/>
    <w:rsid w:val="083B0739"/>
    <w:rsid w:val="083B07F0"/>
    <w:rsid w:val="083B082A"/>
    <w:rsid w:val="083B088E"/>
    <w:rsid w:val="083B0933"/>
    <w:rsid w:val="083B095D"/>
    <w:rsid w:val="083B099E"/>
    <w:rsid w:val="083B0B25"/>
    <w:rsid w:val="083B0BBE"/>
    <w:rsid w:val="083B0C3C"/>
    <w:rsid w:val="083B0CBA"/>
    <w:rsid w:val="083B0D1A"/>
    <w:rsid w:val="083B0D8F"/>
    <w:rsid w:val="083B0DD9"/>
    <w:rsid w:val="083B0E6D"/>
    <w:rsid w:val="083B0E86"/>
    <w:rsid w:val="083B0EA4"/>
    <w:rsid w:val="083B0F4E"/>
    <w:rsid w:val="083B0FBE"/>
    <w:rsid w:val="083B1034"/>
    <w:rsid w:val="083B112F"/>
    <w:rsid w:val="083B11B7"/>
    <w:rsid w:val="083B11EB"/>
    <w:rsid w:val="083B12D1"/>
    <w:rsid w:val="083B1327"/>
    <w:rsid w:val="083B13A9"/>
    <w:rsid w:val="083B148C"/>
    <w:rsid w:val="083B14F9"/>
    <w:rsid w:val="083B15E7"/>
    <w:rsid w:val="083B1693"/>
    <w:rsid w:val="083B1708"/>
    <w:rsid w:val="083B1842"/>
    <w:rsid w:val="083B18E3"/>
    <w:rsid w:val="083B1949"/>
    <w:rsid w:val="083B1979"/>
    <w:rsid w:val="083B197C"/>
    <w:rsid w:val="083B1993"/>
    <w:rsid w:val="083B1A90"/>
    <w:rsid w:val="083B1A9A"/>
    <w:rsid w:val="083B1B6B"/>
    <w:rsid w:val="083B1B6D"/>
    <w:rsid w:val="083B1C42"/>
    <w:rsid w:val="083B1C73"/>
    <w:rsid w:val="083B1D18"/>
    <w:rsid w:val="083B1DCA"/>
    <w:rsid w:val="083B1DCE"/>
    <w:rsid w:val="083B1E0A"/>
    <w:rsid w:val="083B1EF7"/>
    <w:rsid w:val="083B1F80"/>
    <w:rsid w:val="083B2064"/>
    <w:rsid w:val="083B2076"/>
    <w:rsid w:val="083B21B0"/>
    <w:rsid w:val="083B21BD"/>
    <w:rsid w:val="083B22A6"/>
    <w:rsid w:val="083B22E7"/>
    <w:rsid w:val="083B22F9"/>
    <w:rsid w:val="083B2332"/>
    <w:rsid w:val="083B2366"/>
    <w:rsid w:val="083B2382"/>
    <w:rsid w:val="083B238F"/>
    <w:rsid w:val="083B244F"/>
    <w:rsid w:val="083B24A6"/>
    <w:rsid w:val="083B24FA"/>
    <w:rsid w:val="083B2524"/>
    <w:rsid w:val="083B25A1"/>
    <w:rsid w:val="083B25AD"/>
    <w:rsid w:val="083B2704"/>
    <w:rsid w:val="083B27E9"/>
    <w:rsid w:val="083B27EA"/>
    <w:rsid w:val="083B27FA"/>
    <w:rsid w:val="083B296D"/>
    <w:rsid w:val="083B299A"/>
    <w:rsid w:val="083B29A9"/>
    <w:rsid w:val="083B2A89"/>
    <w:rsid w:val="083B2AFC"/>
    <w:rsid w:val="083B2B09"/>
    <w:rsid w:val="083B2B3F"/>
    <w:rsid w:val="083B2BA2"/>
    <w:rsid w:val="083B2BF8"/>
    <w:rsid w:val="083B2CE0"/>
    <w:rsid w:val="083B2DD4"/>
    <w:rsid w:val="083B2E7B"/>
    <w:rsid w:val="083B2EE3"/>
    <w:rsid w:val="083B2F44"/>
    <w:rsid w:val="083B2F9E"/>
    <w:rsid w:val="083B2FAF"/>
    <w:rsid w:val="083B2FE7"/>
    <w:rsid w:val="083B3023"/>
    <w:rsid w:val="083B3034"/>
    <w:rsid w:val="083B3056"/>
    <w:rsid w:val="083B30CB"/>
    <w:rsid w:val="083B3151"/>
    <w:rsid w:val="083B32C1"/>
    <w:rsid w:val="083B3318"/>
    <w:rsid w:val="083B338D"/>
    <w:rsid w:val="083B33DA"/>
    <w:rsid w:val="083B342F"/>
    <w:rsid w:val="083B3469"/>
    <w:rsid w:val="083B3470"/>
    <w:rsid w:val="083B3536"/>
    <w:rsid w:val="083B3633"/>
    <w:rsid w:val="083B39C7"/>
    <w:rsid w:val="083B3B56"/>
    <w:rsid w:val="083B3C64"/>
    <w:rsid w:val="083B3C81"/>
    <w:rsid w:val="083B3CA9"/>
    <w:rsid w:val="083B3D06"/>
    <w:rsid w:val="083B3EF4"/>
    <w:rsid w:val="083B3F96"/>
    <w:rsid w:val="083B4048"/>
    <w:rsid w:val="083B406F"/>
    <w:rsid w:val="083B40AE"/>
    <w:rsid w:val="083B420C"/>
    <w:rsid w:val="083B421B"/>
    <w:rsid w:val="083B421C"/>
    <w:rsid w:val="083B423D"/>
    <w:rsid w:val="083B42BB"/>
    <w:rsid w:val="083B43A4"/>
    <w:rsid w:val="083B43B5"/>
    <w:rsid w:val="083B4412"/>
    <w:rsid w:val="083B4451"/>
    <w:rsid w:val="083B448A"/>
    <w:rsid w:val="083B44A1"/>
    <w:rsid w:val="083B45DC"/>
    <w:rsid w:val="083B45EC"/>
    <w:rsid w:val="083B4602"/>
    <w:rsid w:val="083B4637"/>
    <w:rsid w:val="083B464B"/>
    <w:rsid w:val="083B4696"/>
    <w:rsid w:val="083B46FD"/>
    <w:rsid w:val="083B470F"/>
    <w:rsid w:val="083B4752"/>
    <w:rsid w:val="083B47EA"/>
    <w:rsid w:val="083B4854"/>
    <w:rsid w:val="083B48C5"/>
    <w:rsid w:val="083B4940"/>
    <w:rsid w:val="083B494C"/>
    <w:rsid w:val="083B494E"/>
    <w:rsid w:val="083B4996"/>
    <w:rsid w:val="083B49E6"/>
    <w:rsid w:val="083B4B23"/>
    <w:rsid w:val="083B4C0A"/>
    <w:rsid w:val="083B4CCF"/>
    <w:rsid w:val="083B4D5A"/>
    <w:rsid w:val="083B4D80"/>
    <w:rsid w:val="083B4EC9"/>
    <w:rsid w:val="083B4EFA"/>
    <w:rsid w:val="083B4F54"/>
    <w:rsid w:val="083B4FE1"/>
    <w:rsid w:val="083B5003"/>
    <w:rsid w:val="083B5021"/>
    <w:rsid w:val="083B5093"/>
    <w:rsid w:val="083B5158"/>
    <w:rsid w:val="083B516A"/>
    <w:rsid w:val="083B516D"/>
    <w:rsid w:val="083B51FE"/>
    <w:rsid w:val="083B524F"/>
    <w:rsid w:val="083B52C6"/>
    <w:rsid w:val="083B54F8"/>
    <w:rsid w:val="083B5664"/>
    <w:rsid w:val="083B5667"/>
    <w:rsid w:val="083B5862"/>
    <w:rsid w:val="083B58C4"/>
    <w:rsid w:val="083B59B9"/>
    <w:rsid w:val="083B5AF2"/>
    <w:rsid w:val="083B5B6E"/>
    <w:rsid w:val="083B5BDE"/>
    <w:rsid w:val="083B5CA9"/>
    <w:rsid w:val="083B5CB8"/>
    <w:rsid w:val="083B5D01"/>
    <w:rsid w:val="083B5D54"/>
    <w:rsid w:val="083B5D68"/>
    <w:rsid w:val="083B5EEA"/>
    <w:rsid w:val="083B5F59"/>
    <w:rsid w:val="083B5F5F"/>
    <w:rsid w:val="083B5F85"/>
    <w:rsid w:val="083B5FE6"/>
    <w:rsid w:val="083B608E"/>
    <w:rsid w:val="083B6187"/>
    <w:rsid w:val="083B619B"/>
    <w:rsid w:val="083B62F0"/>
    <w:rsid w:val="083B6310"/>
    <w:rsid w:val="083B6371"/>
    <w:rsid w:val="083B6405"/>
    <w:rsid w:val="083B6416"/>
    <w:rsid w:val="083B656B"/>
    <w:rsid w:val="083B6598"/>
    <w:rsid w:val="083B662A"/>
    <w:rsid w:val="083B66B2"/>
    <w:rsid w:val="083B6724"/>
    <w:rsid w:val="083B67EB"/>
    <w:rsid w:val="083B6887"/>
    <w:rsid w:val="083B68AE"/>
    <w:rsid w:val="083B68FC"/>
    <w:rsid w:val="083B6955"/>
    <w:rsid w:val="083B6998"/>
    <w:rsid w:val="083B6A0A"/>
    <w:rsid w:val="083B6A80"/>
    <w:rsid w:val="083B6AF4"/>
    <w:rsid w:val="083B6B0A"/>
    <w:rsid w:val="083B6B24"/>
    <w:rsid w:val="083B6B69"/>
    <w:rsid w:val="083B6BD3"/>
    <w:rsid w:val="083B6DC8"/>
    <w:rsid w:val="083B6E7F"/>
    <w:rsid w:val="083B6EB2"/>
    <w:rsid w:val="083B6F1C"/>
    <w:rsid w:val="083B6F53"/>
    <w:rsid w:val="083B6F5E"/>
    <w:rsid w:val="083B6F86"/>
    <w:rsid w:val="083B701A"/>
    <w:rsid w:val="083B70A8"/>
    <w:rsid w:val="083B70AD"/>
    <w:rsid w:val="083B70F1"/>
    <w:rsid w:val="083B7189"/>
    <w:rsid w:val="083B718F"/>
    <w:rsid w:val="083B72BE"/>
    <w:rsid w:val="083B732C"/>
    <w:rsid w:val="083B73DE"/>
    <w:rsid w:val="083B7414"/>
    <w:rsid w:val="083B7421"/>
    <w:rsid w:val="083B74CD"/>
    <w:rsid w:val="083B74E5"/>
    <w:rsid w:val="083B7588"/>
    <w:rsid w:val="083B75F3"/>
    <w:rsid w:val="083B7618"/>
    <w:rsid w:val="083B76E5"/>
    <w:rsid w:val="083B7703"/>
    <w:rsid w:val="083B77A0"/>
    <w:rsid w:val="083B77E6"/>
    <w:rsid w:val="083B780F"/>
    <w:rsid w:val="083B783C"/>
    <w:rsid w:val="083B7849"/>
    <w:rsid w:val="083B785E"/>
    <w:rsid w:val="083B78D1"/>
    <w:rsid w:val="083B796C"/>
    <w:rsid w:val="083B79D4"/>
    <w:rsid w:val="083B7A02"/>
    <w:rsid w:val="083B7B23"/>
    <w:rsid w:val="083B7B49"/>
    <w:rsid w:val="083B7BDC"/>
    <w:rsid w:val="083B7BE5"/>
    <w:rsid w:val="083B7C30"/>
    <w:rsid w:val="083B7D43"/>
    <w:rsid w:val="083B7DB9"/>
    <w:rsid w:val="083B7DEA"/>
    <w:rsid w:val="083B7E28"/>
    <w:rsid w:val="083B7E2D"/>
    <w:rsid w:val="083B7E80"/>
    <w:rsid w:val="083B7E9E"/>
    <w:rsid w:val="083B7EBE"/>
    <w:rsid w:val="083B7FF8"/>
    <w:rsid w:val="083C0035"/>
    <w:rsid w:val="083C0074"/>
    <w:rsid w:val="083C0200"/>
    <w:rsid w:val="083C022D"/>
    <w:rsid w:val="083C0246"/>
    <w:rsid w:val="083C0248"/>
    <w:rsid w:val="083C0266"/>
    <w:rsid w:val="083C02B6"/>
    <w:rsid w:val="083C0389"/>
    <w:rsid w:val="083C0395"/>
    <w:rsid w:val="083C03EB"/>
    <w:rsid w:val="083C040F"/>
    <w:rsid w:val="083C04E1"/>
    <w:rsid w:val="083C04EB"/>
    <w:rsid w:val="083C0569"/>
    <w:rsid w:val="083C0573"/>
    <w:rsid w:val="083C05D4"/>
    <w:rsid w:val="083C060E"/>
    <w:rsid w:val="083C064A"/>
    <w:rsid w:val="083C064E"/>
    <w:rsid w:val="083C069D"/>
    <w:rsid w:val="083C0736"/>
    <w:rsid w:val="083C0817"/>
    <w:rsid w:val="083C0B57"/>
    <w:rsid w:val="083C0BC7"/>
    <w:rsid w:val="083C0BFA"/>
    <w:rsid w:val="083C0C65"/>
    <w:rsid w:val="083C0C78"/>
    <w:rsid w:val="083C0CA5"/>
    <w:rsid w:val="083C0CC7"/>
    <w:rsid w:val="083C0DDD"/>
    <w:rsid w:val="083C0E2C"/>
    <w:rsid w:val="083C0E4D"/>
    <w:rsid w:val="083C0E53"/>
    <w:rsid w:val="083C0EA0"/>
    <w:rsid w:val="083C0ED8"/>
    <w:rsid w:val="083C101E"/>
    <w:rsid w:val="083C1231"/>
    <w:rsid w:val="083C1242"/>
    <w:rsid w:val="083C124F"/>
    <w:rsid w:val="083C1287"/>
    <w:rsid w:val="083C12D2"/>
    <w:rsid w:val="083C143B"/>
    <w:rsid w:val="083C14DA"/>
    <w:rsid w:val="083C1534"/>
    <w:rsid w:val="083C15F6"/>
    <w:rsid w:val="083C1709"/>
    <w:rsid w:val="083C17BB"/>
    <w:rsid w:val="083C17D3"/>
    <w:rsid w:val="083C17D7"/>
    <w:rsid w:val="083C1966"/>
    <w:rsid w:val="083C19D7"/>
    <w:rsid w:val="083C1A4E"/>
    <w:rsid w:val="083C1A92"/>
    <w:rsid w:val="083C1AA1"/>
    <w:rsid w:val="083C1AA6"/>
    <w:rsid w:val="083C1AAB"/>
    <w:rsid w:val="083C1C2B"/>
    <w:rsid w:val="083C1C6B"/>
    <w:rsid w:val="083C1D10"/>
    <w:rsid w:val="083C1D3C"/>
    <w:rsid w:val="083C1DEC"/>
    <w:rsid w:val="083C1EC2"/>
    <w:rsid w:val="083C1EE2"/>
    <w:rsid w:val="083C1EF9"/>
    <w:rsid w:val="083C1F12"/>
    <w:rsid w:val="083C1F69"/>
    <w:rsid w:val="083C1F7B"/>
    <w:rsid w:val="083C1FD6"/>
    <w:rsid w:val="083C2035"/>
    <w:rsid w:val="083C2130"/>
    <w:rsid w:val="083C21BD"/>
    <w:rsid w:val="083C222A"/>
    <w:rsid w:val="083C22D9"/>
    <w:rsid w:val="083C2317"/>
    <w:rsid w:val="083C23A2"/>
    <w:rsid w:val="083C23CD"/>
    <w:rsid w:val="083C2405"/>
    <w:rsid w:val="083C2408"/>
    <w:rsid w:val="083C25F8"/>
    <w:rsid w:val="083C2621"/>
    <w:rsid w:val="083C2622"/>
    <w:rsid w:val="083C2635"/>
    <w:rsid w:val="083C265A"/>
    <w:rsid w:val="083C2700"/>
    <w:rsid w:val="083C275C"/>
    <w:rsid w:val="083C27D1"/>
    <w:rsid w:val="083C2884"/>
    <w:rsid w:val="083C28B2"/>
    <w:rsid w:val="083C28BF"/>
    <w:rsid w:val="083C2994"/>
    <w:rsid w:val="083C2A02"/>
    <w:rsid w:val="083C2A20"/>
    <w:rsid w:val="083C2A66"/>
    <w:rsid w:val="083C2ADB"/>
    <w:rsid w:val="083C2B31"/>
    <w:rsid w:val="083C2B4A"/>
    <w:rsid w:val="083C2BAE"/>
    <w:rsid w:val="083C2C27"/>
    <w:rsid w:val="083C2F05"/>
    <w:rsid w:val="083C2F68"/>
    <w:rsid w:val="083C2F79"/>
    <w:rsid w:val="083C3000"/>
    <w:rsid w:val="083C300A"/>
    <w:rsid w:val="083C3073"/>
    <w:rsid w:val="083C3107"/>
    <w:rsid w:val="083C315D"/>
    <w:rsid w:val="083C315F"/>
    <w:rsid w:val="083C318C"/>
    <w:rsid w:val="083C31AE"/>
    <w:rsid w:val="083C31BB"/>
    <w:rsid w:val="083C3283"/>
    <w:rsid w:val="083C3292"/>
    <w:rsid w:val="083C32BC"/>
    <w:rsid w:val="083C3300"/>
    <w:rsid w:val="083C33DA"/>
    <w:rsid w:val="083C344B"/>
    <w:rsid w:val="083C348D"/>
    <w:rsid w:val="083C34A6"/>
    <w:rsid w:val="083C34D3"/>
    <w:rsid w:val="083C34D6"/>
    <w:rsid w:val="083C3514"/>
    <w:rsid w:val="083C35FC"/>
    <w:rsid w:val="083C3619"/>
    <w:rsid w:val="083C366D"/>
    <w:rsid w:val="083C367B"/>
    <w:rsid w:val="083C375A"/>
    <w:rsid w:val="083C3847"/>
    <w:rsid w:val="083C3943"/>
    <w:rsid w:val="083C39B8"/>
    <w:rsid w:val="083C39DD"/>
    <w:rsid w:val="083C3A44"/>
    <w:rsid w:val="083C3AB9"/>
    <w:rsid w:val="083C3AE6"/>
    <w:rsid w:val="083C3B23"/>
    <w:rsid w:val="083C3B57"/>
    <w:rsid w:val="083C3B6E"/>
    <w:rsid w:val="083C3BA9"/>
    <w:rsid w:val="083C3C23"/>
    <w:rsid w:val="083C3C59"/>
    <w:rsid w:val="083C3D0D"/>
    <w:rsid w:val="083C3D0F"/>
    <w:rsid w:val="083C3D31"/>
    <w:rsid w:val="083C3D3B"/>
    <w:rsid w:val="083C3E97"/>
    <w:rsid w:val="083C3F60"/>
    <w:rsid w:val="083C3F66"/>
    <w:rsid w:val="083C3F79"/>
    <w:rsid w:val="083C412B"/>
    <w:rsid w:val="083C417D"/>
    <w:rsid w:val="083C4239"/>
    <w:rsid w:val="083C43FF"/>
    <w:rsid w:val="083C44A7"/>
    <w:rsid w:val="083C454F"/>
    <w:rsid w:val="083C4553"/>
    <w:rsid w:val="083C45D1"/>
    <w:rsid w:val="083C46E2"/>
    <w:rsid w:val="083C4712"/>
    <w:rsid w:val="083C476D"/>
    <w:rsid w:val="083C478F"/>
    <w:rsid w:val="083C48DB"/>
    <w:rsid w:val="083C499C"/>
    <w:rsid w:val="083C49C1"/>
    <w:rsid w:val="083C49D1"/>
    <w:rsid w:val="083C4A5E"/>
    <w:rsid w:val="083C4B19"/>
    <w:rsid w:val="083C4B5B"/>
    <w:rsid w:val="083C4B68"/>
    <w:rsid w:val="083C4B83"/>
    <w:rsid w:val="083C4BFC"/>
    <w:rsid w:val="083C4ED5"/>
    <w:rsid w:val="083C4F62"/>
    <w:rsid w:val="083C4FB9"/>
    <w:rsid w:val="083C4FC7"/>
    <w:rsid w:val="083C5055"/>
    <w:rsid w:val="083C50FA"/>
    <w:rsid w:val="083C5175"/>
    <w:rsid w:val="083C51BE"/>
    <w:rsid w:val="083C51FF"/>
    <w:rsid w:val="083C5230"/>
    <w:rsid w:val="083C52D8"/>
    <w:rsid w:val="083C52E9"/>
    <w:rsid w:val="083C5308"/>
    <w:rsid w:val="083C544F"/>
    <w:rsid w:val="083C5473"/>
    <w:rsid w:val="083C5475"/>
    <w:rsid w:val="083C54FE"/>
    <w:rsid w:val="083C55F5"/>
    <w:rsid w:val="083C571B"/>
    <w:rsid w:val="083C572F"/>
    <w:rsid w:val="083C582C"/>
    <w:rsid w:val="083C5916"/>
    <w:rsid w:val="083C5AD5"/>
    <w:rsid w:val="083C5AEF"/>
    <w:rsid w:val="083C5BCA"/>
    <w:rsid w:val="083C5C08"/>
    <w:rsid w:val="083C5CC5"/>
    <w:rsid w:val="083C5DCA"/>
    <w:rsid w:val="083C5EC1"/>
    <w:rsid w:val="083C5F7D"/>
    <w:rsid w:val="083C5FAE"/>
    <w:rsid w:val="083C60AD"/>
    <w:rsid w:val="083C60FC"/>
    <w:rsid w:val="083C6171"/>
    <w:rsid w:val="083C61F2"/>
    <w:rsid w:val="083C6275"/>
    <w:rsid w:val="083C62E5"/>
    <w:rsid w:val="083C62F2"/>
    <w:rsid w:val="083C63B1"/>
    <w:rsid w:val="083C6473"/>
    <w:rsid w:val="083C655F"/>
    <w:rsid w:val="083C6577"/>
    <w:rsid w:val="083C65BB"/>
    <w:rsid w:val="083C66DE"/>
    <w:rsid w:val="083C670F"/>
    <w:rsid w:val="083C672E"/>
    <w:rsid w:val="083C67A2"/>
    <w:rsid w:val="083C67CD"/>
    <w:rsid w:val="083C6838"/>
    <w:rsid w:val="083C6846"/>
    <w:rsid w:val="083C6895"/>
    <w:rsid w:val="083C6910"/>
    <w:rsid w:val="083C6933"/>
    <w:rsid w:val="083C6991"/>
    <w:rsid w:val="083C6A4E"/>
    <w:rsid w:val="083C6A82"/>
    <w:rsid w:val="083C6D1C"/>
    <w:rsid w:val="083C6D40"/>
    <w:rsid w:val="083C6D60"/>
    <w:rsid w:val="083C6E7D"/>
    <w:rsid w:val="083C6E91"/>
    <w:rsid w:val="083C6F4F"/>
    <w:rsid w:val="083C70CD"/>
    <w:rsid w:val="083C7162"/>
    <w:rsid w:val="083C7285"/>
    <w:rsid w:val="083C73D6"/>
    <w:rsid w:val="083C73D9"/>
    <w:rsid w:val="083C7417"/>
    <w:rsid w:val="083C741C"/>
    <w:rsid w:val="083C74B6"/>
    <w:rsid w:val="083C74BC"/>
    <w:rsid w:val="083C74CF"/>
    <w:rsid w:val="083C7582"/>
    <w:rsid w:val="083C75B3"/>
    <w:rsid w:val="083C7615"/>
    <w:rsid w:val="083C761E"/>
    <w:rsid w:val="083C7667"/>
    <w:rsid w:val="083C766E"/>
    <w:rsid w:val="083C7704"/>
    <w:rsid w:val="083C778C"/>
    <w:rsid w:val="083C7831"/>
    <w:rsid w:val="083C7887"/>
    <w:rsid w:val="083C78D6"/>
    <w:rsid w:val="083C795E"/>
    <w:rsid w:val="083C796B"/>
    <w:rsid w:val="083C7AD0"/>
    <w:rsid w:val="083C7AEC"/>
    <w:rsid w:val="083C7B15"/>
    <w:rsid w:val="083C7C26"/>
    <w:rsid w:val="083C7C53"/>
    <w:rsid w:val="083C7D43"/>
    <w:rsid w:val="083C7D79"/>
    <w:rsid w:val="083C7D8D"/>
    <w:rsid w:val="083C7EAC"/>
    <w:rsid w:val="083C7F88"/>
    <w:rsid w:val="083C7FAA"/>
    <w:rsid w:val="083D0011"/>
    <w:rsid w:val="083D0014"/>
    <w:rsid w:val="083D0045"/>
    <w:rsid w:val="083D009C"/>
    <w:rsid w:val="083D0115"/>
    <w:rsid w:val="083D01EB"/>
    <w:rsid w:val="083D02E3"/>
    <w:rsid w:val="083D0488"/>
    <w:rsid w:val="083D04DF"/>
    <w:rsid w:val="083D055C"/>
    <w:rsid w:val="083D0595"/>
    <w:rsid w:val="083D05C6"/>
    <w:rsid w:val="083D0684"/>
    <w:rsid w:val="083D0686"/>
    <w:rsid w:val="083D06CD"/>
    <w:rsid w:val="083D071F"/>
    <w:rsid w:val="083D0755"/>
    <w:rsid w:val="083D0764"/>
    <w:rsid w:val="083D07C3"/>
    <w:rsid w:val="083D086C"/>
    <w:rsid w:val="083D09EE"/>
    <w:rsid w:val="083D0AA7"/>
    <w:rsid w:val="083D0AD1"/>
    <w:rsid w:val="083D0B24"/>
    <w:rsid w:val="083D0C36"/>
    <w:rsid w:val="083D0C5D"/>
    <w:rsid w:val="083D0C85"/>
    <w:rsid w:val="083D0D84"/>
    <w:rsid w:val="083D0DB3"/>
    <w:rsid w:val="083D0E36"/>
    <w:rsid w:val="083D0EB6"/>
    <w:rsid w:val="083D104C"/>
    <w:rsid w:val="083D1103"/>
    <w:rsid w:val="083D1202"/>
    <w:rsid w:val="083D1264"/>
    <w:rsid w:val="083D131F"/>
    <w:rsid w:val="083D13C0"/>
    <w:rsid w:val="083D13EF"/>
    <w:rsid w:val="083D146B"/>
    <w:rsid w:val="083D1523"/>
    <w:rsid w:val="083D1525"/>
    <w:rsid w:val="083D1549"/>
    <w:rsid w:val="083D1560"/>
    <w:rsid w:val="083D1598"/>
    <w:rsid w:val="083D15E6"/>
    <w:rsid w:val="083D1602"/>
    <w:rsid w:val="083D1609"/>
    <w:rsid w:val="083D1752"/>
    <w:rsid w:val="083D17C9"/>
    <w:rsid w:val="083D17E3"/>
    <w:rsid w:val="083D1876"/>
    <w:rsid w:val="083D18F5"/>
    <w:rsid w:val="083D1910"/>
    <w:rsid w:val="083D1911"/>
    <w:rsid w:val="083D19B6"/>
    <w:rsid w:val="083D1A7E"/>
    <w:rsid w:val="083D1B4E"/>
    <w:rsid w:val="083D1C9D"/>
    <w:rsid w:val="083D1CBE"/>
    <w:rsid w:val="083D1CFF"/>
    <w:rsid w:val="083D1D77"/>
    <w:rsid w:val="083D1EEC"/>
    <w:rsid w:val="083D1F38"/>
    <w:rsid w:val="083D1F79"/>
    <w:rsid w:val="083D2012"/>
    <w:rsid w:val="083D207D"/>
    <w:rsid w:val="083D20E9"/>
    <w:rsid w:val="083D20EE"/>
    <w:rsid w:val="083D2142"/>
    <w:rsid w:val="083D2157"/>
    <w:rsid w:val="083D21B3"/>
    <w:rsid w:val="083D2217"/>
    <w:rsid w:val="083D2265"/>
    <w:rsid w:val="083D2306"/>
    <w:rsid w:val="083D24A7"/>
    <w:rsid w:val="083D24F0"/>
    <w:rsid w:val="083D2581"/>
    <w:rsid w:val="083D258D"/>
    <w:rsid w:val="083D27C0"/>
    <w:rsid w:val="083D287E"/>
    <w:rsid w:val="083D28A7"/>
    <w:rsid w:val="083D29A2"/>
    <w:rsid w:val="083D29DB"/>
    <w:rsid w:val="083D2A23"/>
    <w:rsid w:val="083D2B88"/>
    <w:rsid w:val="083D2DE7"/>
    <w:rsid w:val="083D2E2A"/>
    <w:rsid w:val="083D2EA9"/>
    <w:rsid w:val="083D2EFC"/>
    <w:rsid w:val="083D2F31"/>
    <w:rsid w:val="083D2FED"/>
    <w:rsid w:val="083D3015"/>
    <w:rsid w:val="083D308C"/>
    <w:rsid w:val="083D30DF"/>
    <w:rsid w:val="083D3200"/>
    <w:rsid w:val="083D3216"/>
    <w:rsid w:val="083D3224"/>
    <w:rsid w:val="083D324F"/>
    <w:rsid w:val="083D328B"/>
    <w:rsid w:val="083D32AE"/>
    <w:rsid w:val="083D3302"/>
    <w:rsid w:val="083D3318"/>
    <w:rsid w:val="083D3401"/>
    <w:rsid w:val="083D3411"/>
    <w:rsid w:val="083D3416"/>
    <w:rsid w:val="083D3419"/>
    <w:rsid w:val="083D3446"/>
    <w:rsid w:val="083D3749"/>
    <w:rsid w:val="083D3760"/>
    <w:rsid w:val="083D38F9"/>
    <w:rsid w:val="083D3961"/>
    <w:rsid w:val="083D3979"/>
    <w:rsid w:val="083D3A75"/>
    <w:rsid w:val="083D3A7A"/>
    <w:rsid w:val="083D3A9B"/>
    <w:rsid w:val="083D3AF1"/>
    <w:rsid w:val="083D3BD7"/>
    <w:rsid w:val="083D3BDD"/>
    <w:rsid w:val="083D3C85"/>
    <w:rsid w:val="083D3C8D"/>
    <w:rsid w:val="083D3CCB"/>
    <w:rsid w:val="083D3CE6"/>
    <w:rsid w:val="083D3DB4"/>
    <w:rsid w:val="083D3DBA"/>
    <w:rsid w:val="083D3E22"/>
    <w:rsid w:val="083D3E58"/>
    <w:rsid w:val="083D3E6C"/>
    <w:rsid w:val="083D3E73"/>
    <w:rsid w:val="083D3EA0"/>
    <w:rsid w:val="083D3F61"/>
    <w:rsid w:val="083D3F64"/>
    <w:rsid w:val="083D3F65"/>
    <w:rsid w:val="083D3FE1"/>
    <w:rsid w:val="083D3FEA"/>
    <w:rsid w:val="083D3FEE"/>
    <w:rsid w:val="083D4147"/>
    <w:rsid w:val="083D414B"/>
    <w:rsid w:val="083D422C"/>
    <w:rsid w:val="083D4232"/>
    <w:rsid w:val="083D423D"/>
    <w:rsid w:val="083D42A3"/>
    <w:rsid w:val="083D4360"/>
    <w:rsid w:val="083D43FC"/>
    <w:rsid w:val="083D4405"/>
    <w:rsid w:val="083D442F"/>
    <w:rsid w:val="083D45A2"/>
    <w:rsid w:val="083D461C"/>
    <w:rsid w:val="083D46B1"/>
    <w:rsid w:val="083D4749"/>
    <w:rsid w:val="083D47B5"/>
    <w:rsid w:val="083D480E"/>
    <w:rsid w:val="083D48D0"/>
    <w:rsid w:val="083D498D"/>
    <w:rsid w:val="083D4A29"/>
    <w:rsid w:val="083D4AAE"/>
    <w:rsid w:val="083D4BDF"/>
    <w:rsid w:val="083D4C5D"/>
    <w:rsid w:val="083D4CBD"/>
    <w:rsid w:val="083D4CC0"/>
    <w:rsid w:val="083D4D98"/>
    <w:rsid w:val="083D4EC9"/>
    <w:rsid w:val="083D4EEE"/>
    <w:rsid w:val="083D4F15"/>
    <w:rsid w:val="083D4F4C"/>
    <w:rsid w:val="083D502A"/>
    <w:rsid w:val="083D5050"/>
    <w:rsid w:val="083D509B"/>
    <w:rsid w:val="083D509C"/>
    <w:rsid w:val="083D50BE"/>
    <w:rsid w:val="083D5145"/>
    <w:rsid w:val="083D514B"/>
    <w:rsid w:val="083D5164"/>
    <w:rsid w:val="083D5165"/>
    <w:rsid w:val="083D5237"/>
    <w:rsid w:val="083D52B4"/>
    <w:rsid w:val="083D52F4"/>
    <w:rsid w:val="083D5300"/>
    <w:rsid w:val="083D5448"/>
    <w:rsid w:val="083D54E2"/>
    <w:rsid w:val="083D54FA"/>
    <w:rsid w:val="083D556D"/>
    <w:rsid w:val="083D55AC"/>
    <w:rsid w:val="083D569B"/>
    <w:rsid w:val="083D5790"/>
    <w:rsid w:val="083D58AA"/>
    <w:rsid w:val="083D58AB"/>
    <w:rsid w:val="083D58FE"/>
    <w:rsid w:val="083D592D"/>
    <w:rsid w:val="083D597D"/>
    <w:rsid w:val="083D5994"/>
    <w:rsid w:val="083D59AD"/>
    <w:rsid w:val="083D59DB"/>
    <w:rsid w:val="083D5A29"/>
    <w:rsid w:val="083D5AD8"/>
    <w:rsid w:val="083D5BD1"/>
    <w:rsid w:val="083D5E45"/>
    <w:rsid w:val="083D5E7C"/>
    <w:rsid w:val="083D5F69"/>
    <w:rsid w:val="083D5FCD"/>
    <w:rsid w:val="083D6022"/>
    <w:rsid w:val="083D60D2"/>
    <w:rsid w:val="083D61A3"/>
    <w:rsid w:val="083D6272"/>
    <w:rsid w:val="083D630F"/>
    <w:rsid w:val="083D6324"/>
    <w:rsid w:val="083D639C"/>
    <w:rsid w:val="083D63F9"/>
    <w:rsid w:val="083D6413"/>
    <w:rsid w:val="083D647B"/>
    <w:rsid w:val="083D64F6"/>
    <w:rsid w:val="083D6561"/>
    <w:rsid w:val="083D65D7"/>
    <w:rsid w:val="083D6608"/>
    <w:rsid w:val="083D681D"/>
    <w:rsid w:val="083D6B3C"/>
    <w:rsid w:val="083D6BD9"/>
    <w:rsid w:val="083D6BDA"/>
    <w:rsid w:val="083D6BFD"/>
    <w:rsid w:val="083D6CD3"/>
    <w:rsid w:val="083D6D3C"/>
    <w:rsid w:val="083D6D64"/>
    <w:rsid w:val="083D6E0E"/>
    <w:rsid w:val="083D6E1A"/>
    <w:rsid w:val="083D6E5C"/>
    <w:rsid w:val="083D6E80"/>
    <w:rsid w:val="083D6FF9"/>
    <w:rsid w:val="083D70D5"/>
    <w:rsid w:val="083D710B"/>
    <w:rsid w:val="083D718D"/>
    <w:rsid w:val="083D7195"/>
    <w:rsid w:val="083D72ED"/>
    <w:rsid w:val="083D7430"/>
    <w:rsid w:val="083D7451"/>
    <w:rsid w:val="083D7492"/>
    <w:rsid w:val="083D74B7"/>
    <w:rsid w:val="083D7598"/>
    <w:rsid w:val="083D75B1"/>
    <w:rsid w:val="083D7678"/>
    <w:rsid w:val="083D77AF"/>
    <w:rsid w:val="083D77E8"/>
    <w:rsid w:val="083D7831"/>
    <w:rsid w:val="083D78BE"/>
    <w:rsid w:val="083D78FE"/>
    <w:rsid w:val="083D7953"/>
    <w:rsid w:val="083D7A23"/>
    <w:rsid w:val="083D7BA6"/>
    <w:rsid w:val="083D7D42"/>
    <w:rsid w:val="083D7D54"/>
    <w:rsid w:val="083D7DA9"/>
    <w:rsid w:val="083D7E16"/>
    <w:rsid w:val="083D7E3A"/>
    <w:rsid w:val="083D7E73"/>
    <w:rsid w:val="083D7F4B"/>
    <w:rsid w:val="083D7F7A"/>
    <w:rsid w:val="083D7FC4"/>
    <w:rsid w:val="083E008A"/>
    <w:rsid w:val="083E0158"/>
    <w:rsid w:val="083E0177"/>
    <w:rsid w:val="083E0258"/>
    <w:rsid w:val="083E0261"/>
    <w:rsid w:val="083E028B"/>
    <w:rsid w:val="083E035E"/>
    <w:rsid w:val="083E04AD"/>
    <w:rsid w:val="083E04BB"/>
    <w:rsid w:val="083E0694"/>
    <w:rsid w:val="083E073D"/>
    <w:rsid w:val="083E0744"/>
    <w:rsid w:val="083E0767"/>
    <w:rsid w:val="083E07EC"/>
    <w:rsid w:val="083E0803"/>
    <w:rsid w:val="083E084E"/>
    <w:rsid w:val="083E0A2F"/>
    <w:rsid w:val="083E0A5A"/>
    <w:rsid w:val="083E0A66"/>
    <w:rsid w:val="083E0A89"/>
    <w:rsid w:val="083E0A94"/>
    <w:rsid w:val="083E0B7D"/>
    <w:rsid w:val="083E0BF8"/>
    <w:rsid w:val="083E0D2C"/>
    <w:rsid w:val="083E0D3A"/>
    <w:rsid w:val="083E0E2E"/>
    <w:rsid w:val="083E0EBC"/>
    <w:rsid w:val="083E0ED3"/>
    <w:rsid w:val="083E0F1B"/>
    <w:rsid w:val="083E0F8C"/>
    <w:rsid w:val="083E0FA8"/>
    <w:rsid w:val="083E106C"/>
    <w:rsid w:val="083E10F9"/>
    <w:rsid w:val="083E1164"/>
    <w:rsid w:val="083E1246"/>
    <w:rsid w:val="083E12BC"/>
    <w:rsid w:val="083E134E"/>
    <w:rsid w:val="083E1357"/>
    <w:rsid w:val="083E13B2"/>
    <w:rsid w:val="083E14F7"/>
    <w:rsid w:val="083E1532"/>
    <w:rsid w:val="083E15AE"/>
    <w:rsid w:val="083E15C8"/>
    <w:rsid w:val="083E15EF"/>
    <w:rsid w:val="083E15F2"/>
    <w:rsid w:val="083E165B"/>
    <w:rsid w:val="083E18BC"/>
    <w:rsid w:val="083E1932"/>
    <w:rsid w:val="083E196B"/>
    <w:rsid w:val="083E1BD0"/>
    <w:rsid w:val="083E1BE0"/>
    <w:rsid w:val="083E1C07"/>
    <w:rsid w:val="083E1C0F"/>
    <w:rsid w:val="083E1CCC"/>
    <w:rsid w:val="083E1D0B"/>
    <w:rsid w:val="083E1E74"/>
    <w:rsid w:val="083E1E7F"/>
    <w:rsid w:val="083E1EFB"/>
    <w:rsid w:val="083E1F56"/>
    <w:rsid w:val="083E1F80"/>
    <w:rsid w:val="083E2201"/>
    <w:rsid w:val="083E242A"/>
    <w:rsid w:val="083E2530"/>
    <w:rsid w:val="083E2545"/>
    <w:rsid w:val="083E266C"/>
    <w:rsid w:val="083E2698"/>
    <w:rsid w:val="083E274B"/>
    <w:rsid w:val="083E2781"/>
    <w:rsid w:val="083E2810"/>
    <w:rsid w:val="083E28C6"/>
    <w:rsid w:val="083E2997"/>
    <w:rsid w:val="083E29AE"/>
    <w:rsid w:val="083E2A11"/>
    <w:rsid w:val="083E2A82"/>
    <w:rsid w:val="083E2B4B"/>
    <w:rsid w:val="083E2C27"/>
    <w:rsid w:val="083E2C6B"/>
    <w:rsid w:val="083E2C80"/>
    <w:rsid w:val="083E2CD5"/>
    <w:rsid w:val="083E2CFF"/>
    <w:rsid w:val="083E2D6B"/>
    <w:rsid w:val="083E2D70"/>
    <w:rsid w:val="083E2E7B"/>
    <w:rsid w:val="083E2E9E"/>
    <w:rsid w:val="083E2FEF"/>
    <w:rsid w:val="083E302C"/>
    <w:rsid w:val="083E3074"/>
    <w:rsid w:val="083E308C"/>
    <w:rsid w:val="083E30C5"/>
    <w:rsid w:val="083E30D1"/>
    <w:rsid w:val="083E30DB"/>
    <w:rsid w:val="083E31EC"/>
    <w:rsid w:val="083E326E"/>
    <w:rsid w:val="083E3327"/>
    <w:rsid w:val="083E337B"/>
    <w:rsid w:val="083E3407"/>
    <w:rsid w:val="083E3444"/>
    <w:rsid w:val="083E3487"/>
    <w:rsid w:val="083E34A2"/>
    <w:rsid w:val="083E3510"/>
    <w:rsid w:val="083E356B"/>
    <w:rsid w:val="083E359B"/>
    <w:rsid w:val="083E365E"/>
    <w:rsid w:val="083E367D"/>
    <w:rsid w:val="083E36A1"/>
    <w:rsid w:val="083E36DB"/>
    <w:rsid w:val="083E36F9"/>
    <w:rsid w:val="083E37A0"/>
    <w:rsid w:val="083E380B"/>
    <w:rsid w:val="083E382F"/>
    <w:rsid w:val="083E39C9"/>
    <w:rsid w:val="083E3A4B"/>
    <w:rsid w:val="083E3A71"/>
    <w:rsid w:val="083E3AAA"/>
    <w:rsid w:val="083E3AAF"/>
    <w:rsid w:val="083E3B14"/>
    <w:rsid w:val="083E3B19"/>
    <w:rsid w:val="083E3C41"/>
    <w:rsid w:val="083E3D31"/>
    <w:rsid w:val="083E3EBF"/>
    <w:rsid w:val="083E3ECA"/>
    <w:rsid w:val="083E3FB0"/>
    <w:rsid w:val="083E4014"/>
    <w:rsid w:val="083E40A5"/>
    <w:rsid w:val="083E4111"/>
    <w:rsid w:val="083E4133"/>
    <w:rsid w:val="083E41F7"/>
    <w:rsid w:val="083E41FA"/>
    <w:rsid w:val="083E4291"/>
    <w:rsid w:val="083E429E"/>
    <w:rsid w:val="083E43FB"/>
    <w:rsid w:val="083E4426"/>
    <w:rsid w:val="083E44DE"/>
    <w:rsid w:val="083E4516"/>
    <w:rsid w:val="083E4531"/>
    <w:rsid w:val="083E454B"/>
    <w:rsid w:val="083E4589"/>
    <w:rsid w:val="083E45DF"/>
    <w:rsid w:val="083E4609"/>
    <w:rsid w:val="083E4633"/>
    <w:rsid w:val="083E4653"/>
    <w:rsid w:val="083E46AB"/>
    <w:rsid w:val="083E4712"/>
    <w:rsid w:val="083E4790"/>
    <w:rsid w:val="083E4847"/>
    <w:rsid w:val="083E4870"/>
    <w:rsid w:val="083E488C"/>
    <w:rsid w:val="083E4934"/>
    <w:rsid w:val="083E4A82"/>
    <w:rsid w:val="083E4ACA"/>
    <w:rsid w:val="083E4B20"/>
    <w:rsid w:val="083E4C8A"/>
    <w:rsid w:val="083E4D30"/>
    <w:rsid w:val="083E4D58"/>
    <w:rsid w:val="083E4D8D"/>
    <w:rsid w:val="083E4DD5"/>
    <w:rsid w:val="083E500F"/>
    <w:rsid w:val="083E5071"/>
    <w:rsid w:val="083E5288"/>
    <w:rsid w:val="083E538F"/>
    <w:rsid w:val="083E53EB"/>
    <w:rsid w:val="083E5403"/>
    <w:rsid w:val="083E5404"/>
    <w:rsid w:val="083E5589"/>
    <w:rsid w:val="083E5624"/>
    <w:rsid w:val="083E566E"/>
    <w:rsid w:val="083E580A"/>
    <w:rsid w:val="083E585A"/>
    <w:rsid w:val="083E58C7"/>
    <w:rsid w:val="083E598E"/>
    <w:rsid w:val="083E59D3"/>
    <w:rsid w:val="083E5A52"/>
    <w:rsid w:val="083E5AF6"/>
    <w:rsid w:val="083E5B53"/>
    <w:rsid w:val="083E5D7A"/>
    <w:rsid w:val="083E5D8C"/>
    <w:rsid w:val="083E5DDC"/>
    <w:rsid w:val="083E5E35"/>
    <w:rsid w:val="083E5E67"/>
    <w:rsid w:val="083E5F35"/>
    <w:rsid w:val="083E5F7E"/>
    <w:rsid w:val="083E5FA7"/>
    <w:rsid w:val="083E6000"/>
    <w:rsid w:val="083E60D3"/>
    <w:rsid w:val="083E617B"/>
    <w:rsid w:val="083E61E2"/>
    <w:rsid w:val="083E620D"/>
    <w:rsid w:val="083E6214"/>
    <w:rsid w:val="083E6232"/>
    <w:rsid w:val="083E623D"/>
    <w:rsid w:val="083E624F"/>
    <w:rsid w:val="083E632F"/>
    <w:rsid w:val="083E63D0"/>
    <w:rsid w:val="083E64C6"/>
    <w:rsid w:val="083E64DE"/>
    <w:rsid w:val="083E6616"/>
    <w:rsid w:val="083E667C"/>
    <w:rsid w:val="083E6728"/>
    <w:rsid w:val="083E6789"/>
    <w:rsid w:val="083E67EA"/>
    <w:rsid w:val="083E6941"/>
    <w:rsid w:val="083E6971"/>
    <w:rsid w:val="083E6A13"/>
    <w:rsid w:val="083E6BDF"/>
    <w:rsid w:val="083E6C37"/>
    <w:rsid w:val="083E6D63"/>
    <w:rsid w:val="083E6D8B"/>
    <w:rsid w:val="083E6E10"/>
    <w:rsid w:val="083E6E6C"/>
    <w:rsid w:val="083E6ED9"/>
    <w:rsid w:val="083E6F2D"/>
    <w:rsid w:val="083E707C"/>
    <w:rsid w:val="083E70B2"/>
    <w:rsid w:val="083E70E3"/>
    <w:rsid w:val="083E7117"/>
    <w:rsid w:val="083E7225"/>
    <w:rsid w:val="083E7338"/>
    <w:rsid w:val="083E7410"/>
    <w:rsid w:val="083E745B"/>
    <w:rsid w:val="083E74CE"/>
    <w:rsid w:val="083E74E3"/>
    <w:rsid w:val="083E75E0"/>
    <w:rsid w:val="083E7648"/>
    <w:rsid w:val="083E7674"/>
    <w:rsid w:val="083E770E"/>
    <w:rsid w:val="083E7782"/>
    <w:rsid w:val="083E782F"/>
    <w:rsid w:val="083E7912"/>
    <w:rsid w:val="083E7985"/>
    <w:rsid w:val="083E79D7"/>
    <w:rsid w:val="083E79E5"/>
    <w:rsid w:val="083E7A5C"/>
    <w:rsid w:val="083E7A8F"/>
    <w:rsid w:val="083E7A95"/>
    <w:rsid w:val="083E7B1E"/>
    <w:rsid w:val="083E7B20"/>
    <w:rsid w:val="083E7B5F"/>
    <w:rsid w:val="083E7B6C"/>
    <w:rsid w:val="083E7B7A"/>
    <w:rsid w:val="083E7B82"/>
    <w:rsid w:val="083E7BA2"/>
    <w:rsid w:val="083E7D2A"/>
    <w:rsid w:val="083E7E6C"/>
    <w:rsid w:val="083E7ED2"/>
    <w:rsid w:val="083E7F23"/>
    <w:rsid w:val="083E7F27"/>
    <w:rsid w:val="083E7F2F"/>
    <w:rsid w:val="083E7F39"/>
    <w:rsid w:val="083E7F73"/>
    <w:rsid w:val="083F0052"/>
    <w:rsid w:val="083F007B"/>
    <w:rsid w:val="083F00AE"/>
    <w:rsid w:val="083F00C5"/>
    <w:rsid w:val="083F0111"/>
    <w:rsid w:val="083F0189"/>
    <w:rsid w:val="083F018E"/>
    <w:rsid w:val="083F0263"/>
    <w:rsid w:val="083F028F"/>
    <w:rsid w:val="083F029B"/>
    <w:rsid w:val="083F030B"/>
    <w:rsid w:val="083F0413"/>
    <w:rsid w:val="083F043A"/>
    <w:rsid w:val="083F04A6"/>
    <w:rsid w:val="083F04F0"/>
    <w:rsid w:val="083F0513"/>
    <w:rsid w:val="083F05A0"/>
    <w:rsid w:val="083F05E0"/>
    <w:rsid w:val="083F0633"/>
    <w:rsid w:val="083F0644"/>
    <w:rsid w:val="083F06A9"/>
    <w:rsid w:val="083F06D3"/>
    <w:rsid w:val="083F0704"/>
    <w:rsid w:val="083F0769"/>
    <w:rsid w:val="083F07B1"/>
    <w:rsid w:val="083F07D8"/>
    <w:rsid w:val="083F0868"/>
    <w:rsid w:val="083F096E"/>
    <w:rsid w:val="083F0AC3"/>
    <w:rsid w:val="083F0B35"/>
    <w:rsid w:val="083F0B6E"/>
    <w:rsid w:val="083F0B72"/>
    <w:rsid w:val="083F0B8B"/>
    <w:rsid w:val="083F0C26"/>
    <w:rsid w:val="083F0C47"/>
    <w:rsid w:val="083F0C90"/>
    <w:rsid w:val="083F0D3A"/>
    <w:rsid w:val="083F0DED"/>
    <w:rsid w:val="083F0E24"/>
    <w:rsid w:val="083F0E9C"/>
    <w:rsid w:val="083F0F47"/>
    <w:rsid w:val="083F0F69"/>
    <w:rsid w:val="083F0F91"/>
    <w:rsid w:val="083F0FA7"/>
    <w:rsid w:val="083F0FC3"/>
    <w:rsid w:val="083F0FC4"/>
    <w:rsid w:val="083F1032"/>
    <w:rsid w:val="083F103E"/>
    <w:rsid w:val="083F1079"/>
    <w:rsid w:val="083F111F"/>
    <w:rsid w:val="083F112D"/>
    <w:rsid w:val="083F1179"/>
    <w:rsid w:val="083F11E0"/>
    <w:rsid w:val="083F128E"/>
    <w:rsid w:val="083F12E7"/>
    <w:rsid w:val="083F13DF"/>
    <w:rsid w:val="083F141E"/>
    <w:rsid w:val="083F145C"/>
    <w:rsid w:val="083F153D"/>
    <w:rsid w:val="083F1620"/>
    <w:rsid w:val="083F1736"/>
    <w:rsid w:val="083F178B"/>
    <w:rsid w:val="083F17CC"/>
    <w:rsid w:val="083F17D9"/>
    <w:rsid w:val="083F1877"/>
    <w:rsid w:val="083F18A6"/>
    <w:rsid w:val="083F18F9"/>
    <w:rsid w:val="083F199F"/>
    <w:rsid w:val="083F19B8"/>
    <w:rsid w:val="083F1A78"/>
    <w:rsid w:val="083F1ADB"/>
    <w:rsid w:val="083F1ADC"/>
    <w:rsid w:val="083F1B51"/>
    <w:rsid w:val="083F1C09"/>
    <w:rsid w:val="083F1CD8"/>
    <w:rsid w:val="083F1D48"/>
    <w:rsid w:val="083F1EC5"/>
    <w:rsid w:val="083F1F4A"/>
    <w:rsid w:val="083F2008"/>
    <w:rsid w:val="083F202D"/>
    <w:rsid w:val="083F20D3"/>
    <w:rsid w:val="083F20E4"/>
    <w:rsid w:val="083F2108"/>
    <w:rsid w:val="083F218C"/>
    <w:rsid w:val="083F218D"/>
    <w:rsid w:val="083F2289"/>
    <w:rsid w:val="083F2298"/>
    <w:rsid w:val="083F2340"/>
    <w:rsid w:val="083F237D"/>
    <w:rsid w:val="083F243E"/>
    <w:rsid w:val="083F2564"/>
    <w:rsid w:val="083F256B"/>
    <w:rsid w:val="083F25A6"/>
    <w:rsid w:val="083F2671"/>
    <w:rsid w:val="083F26C2"/>
    <w:rsid w:val="083F2795"/>
    <w:rsid w:val="083F27BA"/>
    <w:rsid w:val="083F27D4"/>
    <w:rsid w:val="083F27E5"/>
    <w:rsid w:val="083F283C"/>
    <w:rsid w:val="083F2849"/>
    <w:rsid w:val="083F2873"/>
    <w:rsid w:val="083F28CB"/>
    <w:rsid w:val="083F29C1"/>
    <w:rsid w:val="083F2BB7"/>
    <w:rsid w:val="083F2BE4"/>
    <w:rsid w:val="083F2C4A"/>
    <w:rsid w:val="083F2C8C"/>
    <w:rsid w:val="083F2C9D"/>
    <w:rsid w:val="083F2CF3"/>
    <w:rsid w:val="083F2D40"/>
    <w:rsid w:val="083F2D8A"/>
    <w:rsid w:val="083F2E92"/>
    <w:rsid w:val="083F2E98"/>
    <w:rsid w:val="083F2EF3"/>
    <w:rsid w:val="083F2F2D"/>
    <w:rsid w:val="083F2FD8"/>
    <w:rsid w:val="083F3023"/>
    <w:rsid w:val="083F3036"/>
    <w:rsid w:val="083F3103"/>
    <w:rsid w:val="083F3107"/>
    <w:rsid w:val="083F3170"/>
    <w:rsid w:val="083F3205"/>
    <w:rsid w:val="083F3220"/>
    <w:rsid w:val="083F329B"/>
    <w:rsid w:val="083F3388"/>
    <w:rsid w:val="083F33D5"/>
    <w:rsid w:val="083F343B"/>
    <w:rsid w:val="083F3476"/>
    <w:rsid w:val="083F34D8"/>
    <w:rsid w:val="083F34E6"/>
    <w:rsid w:val="083F3524"/>
    <w:rsid w:val="083F3545"/>
    <w:rsid w:val="083F3561"/>
    <w:rsid w:val="083F35BA"/>
    <w:rsid w:val="083F35FE"/>
    <w:rsid w:val="083F362D"/>
    <w:rsid w:val="083F368A"/>
    <w:rsid w:val="083F3696"/>
    <w:rsid w:val="083F36E4"/>
    <w:rsid w:val="083F36F6"/>
    <w:rsid w:val="083F3710"/>
    <w:rsid w:val="083F38FD"/>
    <w:rsid w:val="083F3906"/>
    <w:rsid w:val="083F3950"/>
    <w:rsid w:val="083F3A9C"/>
    <w:rsid w:val="083F3AEB"/>
    <w:rsid w:val="083F3AED"/>
    <w:rsid w:val="083F3BAB"/>
    <w:rsid w:val="083F3C19"/>
    <w:rsid w:val="083F3CA3"/>
    <w:rsid w:val="083F3CBE"/>
    <w:rsid w:val="083F3D14"/>
    <w:rsid w:val="083F3D46"/>
    <w:rsid w:val="083F3DE1"/>
    <w:rsid w:val="083F3E20"/>
    <w:rsid w:val="083F3E55"/>
    <w:rsid w:val="083F3EA8"/>
    <w:rsid w:val="083F3ECA"/>
    <w:rsid w:val="083F3EF7"/>
    <w:rsid w:val="083F3FCA"/>
    <w:rsid w:val="083F3FCC"/>
    <w:rsid w:val="083F4027"/>
    <w:rsid w:val="083F4038"/>
    <w:rsid w:val="083F4062"/>
    <w:rsid w:val="083F413B"/>
    <w:rsid w:val="083F41AE"/>
    <w:rsid w:val="083F4226"/>
    <w:rsid w:val="083F4266"/>
    <w:rsid w:val="083F4433"/>
    <w:rsid w:val="083F4459"/>
    <w:rsid w:val="083F44A2"/>
    <w:rsid w:val="083F45A7"/>
    <w:rsid w:val="083F45AD"/>
    <w:rsid w:val="083F4685"/>
    <w:rsid w:val="083F483A"/>
    <w:rsid w:val="083F489B"/>
    <w:rsid w:val="083F48D4"/>
    <w:rsid w:val="083F493D"/>
    <w:rsid w:val="083F494B"/>
    <w:rsid w:val="083F4953"/>
    <w:rsid w:val="083F4960"/>
    <w:rsid w:val="083F4AC9"/>
    <w:rsid w:val="083F4C13"/>
    <w:rsid w:val="083F4C9A"/>
    <w:rsid w:val="083F4CAF"/>
    <w:rsid w:val="083F4CB3"/>
    <w:rsid w:val="083F4D15"/>
    <w:rsid w:val="083F4D85"/>
    <w:rsid w:val="083F4DAB"/>
    <w:rsid w:val="083F4EA3"/>
    <w:rsid w:val="083F4EC2"/>
    <w:rsid w:val="083F4EF3"/>
    <w:rsid w:val="083F4F06"/>
    <w:rsid w:val="083F4F4E"/>
    <w:rsid w:val="083F4F58"/>
    <w:rsid w:val="083F4F6B"/>
    <w:rsid w:val="083F5019"/>
    <w:rsid w:val="083F50A0"/>
    <w:rsid w:val="083F51F1"/>
    <w:rsid w:val="083F52EB"/>
    <w:rsid w:val="083F534A"/>
    <w:rsid w:val="083F547F"/>
    <w:rsid w:val="083F5527"/>
    <w:rsid w:val="083F554C"/>
    <w:rsid w:val="083F5570"/>
    <w:rsid w:val="083F55B4"/>
    <w:rsid w:val="083F55DD"/>
    <w:rsid w:val="083F566C"/>
    <w:rsid w:val="083F567E"/>
    <w:rsid w:val="083F571E"/>
    <w:rsid w:val="083F584F"/>
    <w:rsid w:val="083F587A"/>
    <w:rsid w:val="083F588E"/>
    <w:rsid w:val="083F592F"/>
    <w:rsid w:val="083F59C0"/>
    <w:rsid w:val="083F5B59"/>
    <w:rsid w:val="083F5BAE"/>
    <w:rsid w:val="083F5C3C"/>
    <w:rsid w:val="083F5D81"/>
    <w:rsid w:val="083F5DDF"/>
    <w:rsid w:val="083F5ECE"/>
    <w:rsid w:val="083F5F64"/>
    <w:rsid w:val="083F6010"/>
    <w:rsid w:val="083F6093"/>
    <w:rsid w:val="083F60A6"/>
    <w:rsid w:val="083F613C"/>
    <w:rsid w:val="083F6189"/>
    <w:rsid w:val="083F61A9"/>
    <w:rsid w:val="083F624D"/>
    <w:rsid w:val="083F627C"/>
    <w:rsid w:val="083F62D4"/>
    <w:rsid w:val="083F631F"/>
    <w:rsid w:val="083F6368"/>
    <w:rsid w:val="083F63E7"/>
    <w:rsid w:val="083F643C"/>
    <w:rsid w:val="083F6474"/>
    <w:rsid w:val="083F64F3"/>
    <w:rsid w:val="083F64F6"/>
    <w:rsid w:val="083F655F"/>
    <w:rsid w:val="083F65BF"/>
    <w:rsid w:val="083F6616"/>
    <w:rsid w:val="083F6623"/>
    <w:rsid w:val="083F6697"/>
    <w:rsid w:val="083F66E4"/>
    <w:rsid w:val="083F66E9"/>
    <w:rsid w:val="083F6712"/>
    <w:rsid w:val="083F671C"/>
    <w:rsid w:val="083F6754"/>
    <w:rsid w:val="083F6802"/>
    <w:rsid w:val="083F6991"/>
    <w:rsid w:val="083F6994"/>
    <w:rsid w:val="083F6A1C"/>
    <w:rsid w:val="083F6ABB"/>
    <w:rsid w:val="083F6ACF"/>
    <w:rsid w:val="083F6AE0"/>
    <w:rsid w:val="083F6B50"/>
    <w:rsid w:val="083F6B7A"/>
    <w:rsid w:val="083F6BA9"/>
    <w:rsid w:val="083F6BB7"/>
    <w:rsid w:val="083F6BE9"/>
    <w:rsid w:val="083F6CA2"/>
    <w:rsid w:val="083F6D8D"/>
    <w:rsid w:val="083F6DA2"/>
    <w:rsid w:val="083F6DD9"/>
    <w:rsid w:val="083F6DF3"/>
    <w:rsid w:val="083F6E58"/>
    <w:rsid w:val="083F6EDE"/>
    <w:rsid w:val="083F6F58"/>
    <w:rsid w:val="083F6F59"/>
    <w:rsid w:val="083F6FAB"/>
    <w:rsid w:val="083F702C"/>
    <w:rsid w:val="083F702D"/>
    <w:rsid w:val="083F70E3"/>
    <w:rsid w:val="083F713F"/>
    <w:rsid w:val="083F71A5"/>
    <w:rsid w:val="083F7273"/>
    <w:rsid w:val="083F7320"/>
    <w:rsid w:val="083F738E"/>
    <w:rsid w:val="083F73D7"/>
    <w:rsid w:val="083F743F"/>
    <w:rsid w:val="083F748C"/>
    <w:rsid w:val="083F74AA"/>
    <w:rsid w:val="083F74C8"/>
    <w:rsid w:val="083F7516"/>
    <w:rsid w:val="083F760F"/>
    <w:rsid w:val="083F7648"/>
    <w:rsid w:val="083F766D"/>
    <w:rsid w:val="083F7859"/>
    <w:rsid w:val="083F78E5"/>
    <w:rsid w:val="083F790A"/>
    <w:rsid w:val="083F79DF"/>
    <w:rsid w:val="083F7A6B"/>
    <w:rsid w:val="083F7B08"/>
    <w:rsid w:val="083F7B21"/>
    <w:rsid w:val="083F7C16"/>
    <w:rsid w:val="083F7D3C"/>
    <w:rsid w:val="083F7D8B"/>
    <w:rsid w:val="083F7DBD"/>
    <w:rsid w:val="083F7E00"/>
    <w:rsid w:val="083F7F30"/>
    <w:rsid w:val="083F7F34"/>
    <w:rsid w:val="083F7F43"/>
    <w:rsid w:val="083F7F73"/>
    <w:rsid w:val="083F7F7B"/>
    <w:rsid w:val="083F7F96"/>
    <w:rsid w:val="083F7FAA"/>
    <w:rsid w:val="0840000C"/>
    <w:rsid w:val="08400038"/>
    <w:rsid w:val="0840006B"/>
    <w:rsid w:val="084000A3"/>
    <w:rsid w:val="084000FB"/>
    <w:rsid w:val="08400157"/>
    <w:rsid w:val="08400180"/>
    <w:rsid w:val="084001E4"/>
    <w:rsid w:val="08400329"/>
    <w:rsid w:val="0840032B"/>
    <w:rsid w:val="084003CC"/>
    <w:rsid w:val="0840043A"/>
    <w:rsid w:val="084004C7"/>
    <w:rsid w:val="08400522"/>
    <w:rsid w:val="084005C2"/>
    <w:rsid w:val="08400612"/>
    <w:rsid w:val="0840063C"/>
    <w:rsid w:val="08400736"/>
    <w:rsid w:val="0840079F"/>
    <w:rsid w:val="08400800"/>
    <w:rsid w:val="0840081E"/>
    <w:rsid w:val="084008EB"/>
    <w:rsid w:val="08400979"/>
    <w:rsid w:val="08400A1F"/>
    <w:rsid w:val="08400A65"/>
    <w:rsid w:val="08400A92"/>
    <w:rsid w:val="08400B08"/>
    <w:rsid w:val="08400B37"/>
    <w:rsid w:val="08400BF1"/>
    <w:rsid w:val="08400C37"/>
    <w:rsid w:val="08400CAE"/>
    <w:rsid w:val="08400D36"/>
    <w:rsid w:val="08400D54"/>
    <w:rsid w:val="08401069"/>
    <w:rsid w:val="084010FC"/>
    <w:rsid w:val="084010FD"/>
    <w:rsid w:val="08401140"/>
    <w:rsid w:val="084011A0"/>
    <w:rsid w:val="084011CF"/>
    <w:rsid w:val="08401210"/>
    <w:rsid w:val="084012CC"/>
    <w:rsid w:val="084012E8"/>
    <w:rsid w:val="08401443"/>
    <w:rsid w:val="0840146F"/>
    <w:rsid w:val="08401539"/>
    <w:rsid w:val="0840154F"/>
    <w:rsid w:val="08401585"/>
    <w:rsid w:val="084015D8"/>
    <w:rsid w:val="084015F5"/>
    <w:rsid w:val="08401619"/>
    <w:rsid w:val="08401643"/>
    <w:rsid w:val="08401678"/>
    <w:rsid w:val="084016D6"/>
    <w:rsid w:val="084018CA"/>
    <w:rsid w:val="08401A8A"/>
    <w:rsid w:val="08401B16"/>
    <w:rsid w:val="08401B67"/>
    <w:rsid w:val="08401C3E"/>
    <w:rsid w:val="08401CE2"/>
    <w:rsid w:val="08401D62"/>
    <w:rsid w:val="08401DD0"/>
    <w:rsid w:val="08401DE2"/>
    <w:rsid w:val="08401DED"/>
    <w:rsid w:val="08401E97"/>
    <w:rsid w:val="08401E9B"/>
    <w:rsid w:val="08401E9D"/>
    <w:rsid w:val="08401EA2"/>
    <w:rsid w:val="08401EC7"/>
    <w:rsid w:val="08401F71"/>
    <w:rsid w:val="08402040"/>
    <w:rsid w:val="08402094"/>
    <w:rsid w:val="08402129"/>
    <w:rsid w:val="08402132"/>
    <w:rsid w:val="0840213C"/>
    <w:rsid w:val="0840224C"/>
    <w:rsid w:val="084022E8"/>
    <w:rsid w:val="0840231F"/>
    <w:rsid w:val="08402353"/>
    <w:rsid w:val="084023B2"/>
    <w:rsid w:val="0840240B"/>
    <w:rsid w:val="08402434"/>
    <w:rsid w:val="08402437"/>
    <w:rsid w:val="08402502"/>
    <w:rsid w:val="08402576"/>
    <w:rsid w:val="084025D0"/>
    <w:rsid w:val="0840264F"/>
    <w:rsid w:val="084027B5"/>
    <w:rsid w:val="084027C9"/>
    <w:rsid w:val="08402841"/>
    <w:rsid w:val="08402904"/>
    <w:rsid w:val="084029A1"/>
    <w:rsid w:val="08402A24"/>
    <w:rsid w:val="08402A27"/>
    <w:rsid w:val="08402B1B"/>
    <w:rsid w:val="08402B75"/>
    <w:rsid w:val="08402B9C"/>
    <w:rsid w:val="08402CD2"/>
    <w:rsid w:val="08402CF9"/>
    <w:rsid w:val="08402D01"/>
    <w:rsid w:val="08402D23"/>
    <w:rsid w:val="08402D65"/>
    <w:rsid w:val="08402DA6"/>
    <w:rsid w:val="08402E60"/>
    <w:rsid w:val="08402E77"/>
    <w:rsid w:val="08402EF8"/>
    <w:rsid w:val="08402F80"/>
    <w:rsid w:val="08402F9F"/>
    <w:rsid w:val="08403045"/>
    <w:rsid w:val="08403111"/>
    <w:rsid w:val="08403122"/>
    <w:rsid w:val="0840330B"/>
    <w:rsid w:val="08403374"/>
    <w:rsid w:val="0840339E"/>
    <w:rsid w:val="084033CD"/>
    <w:rsid w:val="08403484"/>
    <w:rsid w:val="084034C0"/>
    <w:rsid w:val="084034C9"/>
    <w:rsid w:val="08403519"/>
    <w:rsid w:val="08403520"/>
    <w:rsid w:val="0840354A"/>
    <w:rsid w:val="084035B6"/>
    <w:rsid w:val="084035D4"/>
    <w:rsid w:val="08403600"/>
    <w:rsid w:val="08403613"/>
    <w:rsid w:val="08403688"/>
    <w:rsid w:val="084036BD"/>
    <w:rsid w:val="0840370F"/>
    <w:rsid w:val="08403786"/>
    <w:rsid w:val="0840396D"/>
    <w:rsid w:val="08403AE5"/>
    <w:rsid w:val="08403B2D"/>
    <w:rsid w:val="08403C74"/>
    <w:rsid w:val="08403C8B"/>
    <w:rsid w:val="08403CD1"/>
    <w:rsid w:val="08403CD8"/>
    <w:rsid w:val="08403D2E"/>
    <w:rsid w:val="08403DA8"/>
    <w:rsid w:val="08403E01"/>
    <w:rsid w:val="08403EFA"/>
    <w:rsid w:val="08403FA6"/>
    <w:rsid w:val="08403FAB"/>
    <w:rsid w:val="0840404A"/>
    <w:rsid w:val="0840417F"/>
    <w:rsid w:val="0840418F"/>
    <w:rsid w:val="0840422D"/>
    <w:rsid w:val="08404286"/>
    <w:rsid w:val="084042B7"/>
    <w:rsid w:val="084042F6"/>
    <w:rsid w:val="0840430D"/>
    <w:rsid w:val="0840436E"/>
    <w:rsid w:val="084043C1"/>
    <w:rsid w:val="084044B2"/>
    <w:rsid w:val="08404548"/>
    <w:rsid w:val="08404587"/>
    <w:rsid w:val="08404595"/>
    <w:rsid w:val="084045AD"/>
    <w:rsid w:val="084046B3"/>
    <w:rsid w:val="084046DE"/>
    <w:rsid w:val="084047C0"/>
    <w:rsid w:val="08404804"/>
    <w:rsid w:val="0840483C"/>
    <w:rsid w:val="08404878"/>
    <w:rsid w:val="0840489D"/>
    <w:rsid w:val="0840490E"/>
    <w:rsid w:val="0840493A"/>
    <w:rsid w:val="08404990"/>
    <w:rsid w:val="08404A04"/>
    <w:rsid w:val="08404A1D"/>
    <w:rsid w:val="08404AA4"/>
    <w:rsid w:val="08404B03"/>
    <w:rsid w:val="08404B10"/>
    <w:rsid w:val="08404F2E"/>
    <w:rsid w:val="08404F72"/>
    <w:rsid w:val="08404F7B"/>
    <w:rsid w:val="08404FB9"/>
    <w:rsid w:val="08405090"/>
    <w:rsid w:val="08405092"/>
    <w:rsid w:val="08405102"/>
    <w:rsid w:val="08405135"/>
    <w:rsid w:val="0840514B"/>
    <w:rsid w:val="08405151"/>
    <w:rsid w:val="084051DF"/>
    <w:rsid w:val="0840525C"/>
    <w:rsid w:val="08405278"/>
    <w:rsid w:val="08405404"/>
    <w:rsid w:val="0840541C"/>
    <w:rsid w:val="0840548F"/>
    <w:rsid w:val="08405531"/>
    <w:rsid w:val="08405535"/>
    <w:rsid w:val="0840557D"/>
    <w:rsid w:val="084055A2"/>
    <w:rsid w:val="0840560D"/>
    <w:rsid w:val="08405715"/>
    <w:rsid w:val="08405720"/>
    <w:rsid w:val="084057BE"/>
    <w:rsid w:val="08405818"/>
    <w:rsid w:val="08405888"/>
    <w:rsid w:val="084058D7"/>
    <w:rsid w:val="08405906"/>
    <w:rsid w:val="08405A06"/>
    <w:rsid w:val="08405AEE"/>
    <w:rsid w:val="08405B2B"/>
    <w:rsid w:val="08405B8F"/>
    <w:rsid w:val="08405CAA"/>
    <w:rsid w:val="08405D39"/>
    <w:rsid w:val="08405E29"/>
    <w:rsid w:val="08405E4F"/>
    <w:rsid w:val="08405E86"/>
    <w:rsid w:val="08405ED2"/>
    <w:rsid w:val="08405FDA"/>
    <w:rsid w:val="08406021"/>
    <w:rsid w:val="084060A0"/>
    <w:rsid w:val="08406131"/>
    <w:rsid w:val="08406395"/>
    <w:rsid w:val="0840639B"/>
    <w:rsid w:val="084063CE"/>
    <w:rsid w:val="084063DC"/>
    <w:rsid w:val="0840642E"/>
    <w:rsid w:val="084064CE"/>
    <w:rsid w:val="0840653A"/>
    <w:rsid w:val="084065CF"/>
    <w:rsid w:val="08406674"/>
    <w:rsid w:val="0840669C"/>
    <w:rsid w:val="084066A9"/>
    <w:rsid w:val="084067BE"/>
    <w:rsid w:val="084068B6"/>
    <w:rsid w:val="084068D5"/>
    <w:rsid w:val="08406903"/>
    <w:rsid w:val="08406914"/>
    <w:rsid w:val="084069CA"/>
    <w:rsid w:val="08406A62"/>
    <w:rsid w:val="08406A68"/>
    <w:rsid w:val="08406A9D"/>
    <w:rsid w:val="08406CE0"/>
    <w:rsid w:val="08406D63"/>
    <w:rsid w:val="08406DAE"/>
    <w:rsid w:val="08406EBA"/>
    <w:rsid w:val="08406EF2"/>
    <w:rsid w:val="08406F27"/>
    <w:rsid w:val="08406FA2"/>
    <w:rsid w:val="084070B1"/>
    <w:rsid w:val="084070CF"/>
    <w:rsid w:val="08407187"/>
    <w:rsid w:val="084072F3"/>
    <w:rsid w:val="08407419"/>
    <w:rsid w:val="0840751A"/>
    <w:rsid w:val="08407543"/>
    <w:rsid w:val="08407609"/>
    <w:rsid w:val="08407655"/>
    <w:rsid w:val="084076EC"/>
    <w:rsid w:val="084077D1"/>
    <w:rsid w:val="0840788F"/>
    <w:rsid w:val="08407967"/>
    <w:rsid w:val="08407994"/>
    <w:rsid w:val="08407998"/>
    <w:rsid w:val="084079BB"/>
    <w:rsid w:val="084079C2"/>
    <w:rsid w:val="08407A30"/>
    <w:rsid w:val="08407B0F"/>
    <w:rsid w:val="08407BB3"/>
    <w:rsid w:val="08407BB4"/>
    <w:rsid w:val="08407C18"/>
    <w:rsid w:val="08407CD2"/>
    <w:rsid w:val="08407D45"/>
    <w:rsid w:val="08407D7A"/>
    <w:rsid w:val="08407E2D"/>
    <w:rsid w:val="08407E48"/>
    <w:rsid w:val="08407EF2"/>
    <w:rsid w:val="08407F76"/>
    <w:rsid w:val="08407FAF"/>
    <w:rsid w:val="084100BA"/>
    <w:rsid w:val="08410124"/>
    <w:rsid w:val="0841012B"/>
    <w:rsid w:val="0841019F"/>
    <w:rsid w:val="0841020D"/>
    <w:rsid w:val="0841025A"/>
    <w:rsid w:val="08410307"/>
    <w:rsid w:val="08410318"/>
    <w:rsid w:val="08410352"/>
    <w:rsid w:val="084103BA"/>
    <w:rsid w:val="084103F5"/>
    <w:rsid w:val="084104B8"/>
    <w:rsid w:val="084105A9"/>
    <w:rsid w:val="08410632"/>
    <w:rsid w:val="08410761"/>
    <w:rsid w:val="0841080D"/>
    <w:rsid w:val="084108AF"/>
    <w:rsid w:val="084108B2"/>
    <w:rsid w:val="084108C9"/>
    <w:rsid w:val="08410952"/>
    <w:rsid w:val="08410A55"/>
    <w:rsid w:val="08410A84"/>
    <w:rsid w:val="08410A9D"/>
    <w:rsid w:val="08410B1F"/>
    <w:rsid w:val="08410E30"/>
    <w:rsid w:val="08410E49"/>
    <w:rsid w:val="08410EBA"/>
    <w:rsid w:val="08411127"/>
    <w:rsid w:val="08411134"/>
    <w:rsid w:val="084111B5"/>
    <w:rsid w:val="084111C9"/>
    <w:rsid w:val="084111F6"/>
    <w:rsid w:val="08411231"/>
    <w:rsid w:val="0841126D"/>
    <w:rsid w:val="08411370"/>
    <w:rsid w:val="0841140E"/>
    <w:rsid w:val="0841141C"/>
    <w:rsid w:val="084114B8"/>
    <w:rsid w:val="084114F0"/>
    <w:rsid w:val="08411540"/>
    <w:rsid w:val="084115D8"/>
    <w:rsid w:val="0841172C"/>
    <w:rsid w:val="084117A9"/>
    <w:rsid w:val="084117B9"/>
    <w:rsid w:val="084117BD"/>
    <w:rsid w:val="084117E5"/>
    <w:rsid w:val="08411840"/>
    <w:rsid w:val="084118D8"/>
    <w:rsid w:val="084118DB"/>
    <w:rsid w:val="0841198D"/>
    <w:rsid w:val="084119ED"/>
    <w:rsid w:val="08411B1D"/>
    <w:rsid w:val="08411B84"/>
    <w:rsid w:val="08411C1F"/>
    <w:rsid w:val="08411CA2"/>
    <w:rsid w:val="08411DB4"/>
    <w:rsid w:val="08411DFD"/>
    <w:rsid w:val="08411E6F"/>
    <w:rsid w:val="08411ED2"/>
    <w:rsid w:val="08411F56"/>
    <w:rsid w:val="08411F5D"/>
    <w:rsid w:val="08411F7F"/>
    <w:rsid w:val="08411FC8"/>
    <w:rsid w:val="084120C7"/>
    <w:rsid w:val="084120EB"/>
    <w:rsid w:val="08412130"/>
    <w:rsid w:val="08412170"/>
    <w:rsid w:val="08412205"/>
    <w:rsid w:val="0841226C"/>
    <w:rsid w:val="08412293"/>
    <w:rsid w:val="0841229C"/>
    <w:rsid w:val="08412377"/>
    <w:rsid w:val="08412381"/>
    <w:rsid w:val="084123CD"/>
    <w:rsid w:val="084123D2"/>
    <w:rsid w:val="0841243B"/>
    <w:rsid w:val="08412472"/>
    <w:rsid w:val="0841249F"/>
    <w:rsid w:val="08412543"/>
    <w:rsid w:val="08412596"/>
    <w:rsid w:val="084125B4"/>
    <w:rsid w:val="0841261D"/>
    <w:rsid w:val="084126D1"/>
    <w:rsid w:val="084126F5"/>
    <w:rsid w:val="084127D2"/>
    <w:rsid w:val="08412830"/>
    <w:rsid w:val="08412884"/>
    <w:rsid w:val="08412909"/>
    <w:rsid w:val="08412988"/>
    <w:rsid w:val="084129ED"/>
    <w:rsid w:val="08412A53"/>
    <w:rsid w:val="08412A99"/>
    <w:rsid w:val="08412A9B"/>
    <w:rsid w:val="08412AD1"/>
    <w:rsid w:val="08412B28"/>
    <w:rsid w:val="08412BF0"/>
    <w:rsid w:val="08412CAF"/>
    <w:rsid w:val="08412E48"/>
    <w:rsid w:val="08412F75"/>
    <w:rsid w:val="08412FC3"/>
    <w:rsid w:val="08413025"/>
    <w:rsid w:val="08413036"/>
    <w:rsid w:val="08413155"/>
    <w:rsid w:val="0841324A"/>
    <w:rsid w:val="0841328A"/>
    <w:rsid w:val="084132C1"/>
    <w:rsid w:val="084133C2"/>
    <w:rsid w:val="08413413"/>
    <w:rsid w:val="0841344D"/>
    <w:rsid w:val="084134C2"/>
    <w:rsid w:val="0841363D"/>
    <w:rsid w:val="08413648"/>
    <w:rsid w:val="0841364C"/>
    <w:rsid w:val="084136A1"/>
    <w:rsid w:val="084138A4"/>
    <w:rsid w:val="084139C3"/>
    <w:rsid w:val="08413A3A"/>
    <w:rsid w:val="08413A66"/>
    <w:rsid w:val="08413A6A"/>
    <w:rsid w:val="08413AD8"/>
    <w:rsid w:val="08413B45"/>
    <w:rsid w:val="08413C41"/>
    <w:rsid w:val="08413C6A"/>
    <w:rsid w:val="08413CAC"/>
    <w:rsid w:val="08413D0D"/>
    <w:rsid w:val="08413D27"/>
    <w:rsid w:val="08413D2A"/>
    <w:rsid w:val="08413DC2"/>
    <w:rsid w:val="08413E06"/>
    <w:rsid w:val="08413E69"/>
    <w:rsid w:val="08413F32"/>
    <w:rsid w:val="08413FCF"/>
    <w:rsid w:val="084140B3"/>
    <w:rsid w:val="084140F9"/>
    <w:rsid w:val="084140FF"/>
    <w:rsid w:val="084141F6"/>
    <w:rsid w:val="08414227"/>
    <w:rsid w:val="084142A8"/>
    <w:rsid w:val="084143A7"/>
    <w:rsid w:val="084143C6"/>
    <w:rsid w:val="084143D0"/>
    <w:rsid w:val="084143D7"/>
    <w:rsid w:val="08414423"/>
    <w:rsid w:val="0841446C"/>
    <w:rsid w:val="084144DE"/>
    <w:rsid w:val="084145B3"/>
    <w:rsid w:val="084145F5"/>
    <w:rsid w:val="084145FE"/>
    <w:rsid w:val="0841471F"/>
    <w:rsid w:val="084147D6"/>
    <w:rsid w:val="08414839"/>
    <w:rsid w:val="0841485E"/>
    <w:rsid w:val="08414899"/>
    <w:rsid w:val="08414931"/>
    <w:rsid w:val="08414967"/>
    <w:rsid w:val="084149A9"/>
    <w:rsid w:val="084149F7"/>
    <w:rsid w:val="08414AB1"/>
    <w:rsid w:val="08414B61"/>
    <w:rsid w:val="08414C48"/>
    <w:rsid w:val="08414C69"/>
    <w:rsid w:val="08414D0C"/>
    <w:rsid w:val="08414D40"/>
    <w:rsid w:val="08414D64"/>
    <w:rsid w:val="08414DA3"/>
    <w:rsid w:val="08414DC9"/>
    <w:rsid w:val="08414EB7"/>
    <w:rsid w:val="08414F8D"/>
    <w:rsid w:val="08414FEC"/>
    <w:rsid w:val="084151D2"/>
    <w:rsid w:val="084151DB"/>
    <w:rsid w:val="0841528D"/>
    <w:rsid w:val="08415290"/>
    <w:rsid w:val="08415298"/>
    <w:rsid w:val="084152A3"/>
    <w:rsid w:val="084152EB"/>
    <w:rsid w:val="0841535D"/>
    <w:rsid w:val="08415361"/>
    <w:rsid w:val="08415426"/>
    <w:rsid w:val="0841551D"/>
    <w:rsid w:val="0841555E"/>
    <w:rsid w:val="084155CA"/>
    <w:rsid w:val="08415681"/>
    <w:rsid w:val="08415694"/>
    <w:rsid w:val="0841579A"/>
    <w:rsid w:val="08415888"/>
    <w:rsid w:val="08415896"/>
    <w:rsid w:val="0841599D"/>
    <w:rsid w:val="08415A94"/>
    <w:rsid w:val="08415AF3"/>
    <w:rsid w:val="08415BCD"/>
    <w:rsid w:val="08415BF7"/>
    <w:rsid w:val="08415C9B"/>
    <w:rsid w:val="08415CFE"/>
    <w:rsid w:val="08415D28"/>
    <w:rsid w:val="08415EE5"/>
    <w:rsid w:val="08416004"/>
    <w:rsid w:val="0841603D"/>
    <w:rsid w:val="08416096"/>
    <w:rsid w:val="0841611C"/>
    <w:rsid w:val="08416193"/>
    <w:rsid w:val="084161FD"/>
    <w:rsid w:val="08416205"/>
    <w:rsid w:val="08416238"/>
    <w:rsid w:val="08416247"/>
    <w:rsid w:val="084162B4"/>
    <w:rsid w:val="084162BB"/>
    <w:rsid w:val="08416328"/>
    <w:rsid w:val="0841637E"/>
    <w:rsid w:val="0841639F"/>
    <w:rsid w:val="084163A3"/>
    <w:rsid w:val="084163E7"/>
    <w:rsid w:val="08416449"/>
    <w:rsid w:val="084164F3"/>
    <w:rsid w:val="08416573"/>
    <w:rsid w:val="084165C9"/>
    <w:rsid w:val="084165F8"/>
    <w:rsid w:val="08416611"/>
    <w:rsid w:val="08416695"/>
    <w:rsid w:val="084166A4"/>
    <w:rsid w:val="0841674B"/>
    <w:rsid w:val="08416762"/>
    <w:rsid w:val="08416780"/>
    <w:rsid w:val="08416782"/>
    <w:rsid w:val="084167D9"/>
    <w:rsid w:val="0841680A"/>
    <w:rsid w:val="084168B2"/>
    <w:rsid w:val="08416930"/>
    <w:rsid w:val="08416990"/>
    <w:rsid w:val="084169B3"/>
    <w:rsid w:val="08416A38"/>
    <w:rsid w:val="08416A9B"/>
    <w:rsid w:val="08416B49"/>
    <w:rsid w:val="08416BEB"/>
    <w:rsid w:val="08416CFD"/>
    <w:rsid w:val="08416D0F"/>
    <w:rsid w:val="08416D2D"/>
    <w:rsid w:val="08416D68"/>
    <w:rsid w:val="08416DD5"/>
    <w:rsid w:val="08416E61"/>
    <w:rsid w:val="08416E98"/>
    <w:rsid w:val="08416FB5"/>
    <w:rsid w:val="08416FC6"/>
    <w:rsid w:val="08416FE4"/>
    <w:rsid w:val="08416FEC"/>
    <w:rsid w:val="0841700C"/>
    <w:rsid w:val="08417129"/>
    <w:rsid w:val="0841715F"/>
    <w:rsid w:val="0841720B"/>
    <w:rsid w:val="084173C5"/>
    <w:rsid w:val="084173D2"/>
    <w:rsid w:val="08417445"/>
    <w:rsid w:val="0841759B"/>
    <w:rsid w:val="084176B5"/>
    <w:rsid w:val="0841772A"/>
    <w:rsid w:val="08417849"/>
    <w:rsid w:val="084178D0"/>
    <w:rsid w:val="08417A01"/>
    <w:rsid w:val="08417A6D"/>
    <w:rsid w:val="08417A80"/>
    <w:rsid w:val="08417C6A"/>
    <w:rsid w:val="08417C6C"/>
    <w:rsid w:val="08417CBE"/>
    <w:rsid w:val="08417D8E"/>
    <w:rsid w:val="08417D97"/>
    <w:rsid w:val="08417E55"/>
    <w:rsid w:val="08417F15"/>
    <w:rsid w:val="08417F71"/>
    <w:rsid w:val="08417FA0"/>
    <w:rsid w:val="084200AB"/>
    <w:rsid w:val="084200C2"/>
    <w:rsid w:val="08420197"/>
    <w:rsid w:val="084201F5"/>
    <w:rsid w:val="0842027E"/>
    <w:rsid w:val="08420287"/>
    <w:rsid w:val="0842039A"/>
    <w:rsid w:val="084203DA"/>
    <w:rsid w:val="0842041C"/>
    <w:rsid w:val="0842043B"/>
    <w:rsid w:val="084204B6"/>
    <w:rsid w:val="084204F3"/>
    <w:rsid w:val="0842058A"/>
    <w:rsid w:val="0842065E"/>
    <w:rsid w:val="08420684"/>
    <w:rsid w:val="08420696"/>
    <w:rsid w:val="084206EC"/>
    <w:rsid w:val="0842088D"/>
    <w:rsid w:val="0842088E"/>
    <w:rsid w:val="084208D9"/>
    <w:rsid w:val="0842094C"/>
    <w:rsid w:val="08420AE4"/>
    <w:rsid w:val="08420BB7"/>
    <w:rsid w:val="08420D48"/>
    <w:rsid w:val="08420D4E"/>
    <w:rsid w:val="08420DD6"/>
    <w:rsid w:val="08420E58"/>
    <w:rsid w:val="08420F0D"/>
    <w:rsid w:val="08420F2B"/>
    <w:rsid w:val="08420F45"/>
    <w:rsid w:val="08420FD1"/>
    <w:rsid w:val="08421024"/>
    <w:rsid w:val="0842105C"/>
    <w:rsid w:val="084210CB"/>
    <w:rsid w:val="08421103"/>
    <w:rsid w:val="08421153"/>
    <w:rsid w:val="084211E7"/>
    <w:rsid w:val="084212A3"/>
    <w:rsid w:val="084212EA"/>
    <w:rsid w:val="08421396"/>
    <w:rsid w:val="084213E4"/>
    <w:rsid w:val="084215A9"/>
    <w:rsid w:val="084215DC"/>
    <w:rsid w:val="084216EB"/>
    <w:rsid w:val="0842171B"/>
    <w:rsid w:val="0842178D"/>
    <w:rsid w:val="084217B2"/>
    <w:rsid w:val="084217CE"/>
    <w:rsid w:val="08421855"/>
    <w:rsid w:val="08421866"/>
    <w:rsid w:val="0842188B"/>
    <w:rsid w:val="084218DC"/>
    <w:rsid w:val="08421A0C"/>
    <w:rsid w:val="08421A2E"/>
    <w:rsid w:val="08421AA4"/>
    <w:rsid w:val="08421AC0"/>
    <w:rsid w:val="08421B1E"/>
    <w:rsid w:val="08421B4F"/>
    <w:rsid w:val="08421B50"/>
    <w:rsid w:val="08421B65"/>
    <w:rsid w:val="08421C18"/>
    <w:rsid w:val="08421C1B"/>
    <w:rsid w:val="08421CC3"/>
    <w:rsid w:val="08421D30"/>
    <w:rsid w:val="08421DD6"/>
    <w:rsid w:val="08421E63"/>
    <w:rsid w:val="08421ECD"/>
    <w:rsid w:val="08421F11"/>
    <w:rsid w:val="08421F48"/>
    <w:rsid w:val="08421F53"/>
    <w:rsid w:val="08421FE8"/>
    <w:rsid w:val="0842206E"/>
    <w:rsid w:val="0842208D"/>
    <w:rsid w:val="084220B0"/>
    <w:rsid w:val="084220C4"/>
    <w:rsid w:val="084220F9"/>
    <w:rsid w:val="0842227F"/>
    <w:rsid w:val="08422293"/>
    <w:rsid w:val="084222E9"/>
    <w:rsid w:val="084223A5"/>
    <w:rsid w:val="084223AF"/>
    <w:rsid w:val="084223D4"/>
    <w:rsid w:val="08422408"/>
    <w:rsid w:val="08422438"/>
    <w:rsid w:val="08422493"/>
    <w:rsid w:val="084224FD"/>
    <w:rsid w:val="084225FE"/>
    <w:rsid w:val="08422612"/>
    <w:rsid w:val="0842262A"/>
    <w:rsid w:val="084226CC"/>
    <w:rsid w:val="084226E6"/>
    <w:rsid w:val="08422779"/>
    <w:rsid w:val="08422895"/>
    <w:rsid w:val="084228E1"/>
    <w:rsid w:val="08422BF7"/>
    <w:rsid w:val="08422C85"/>
    <w:rsid w:val="08422CE9"/>
    <w:rsid w:val="08422D8A"/>
    <w:rsid w:val="08422E27"/>
    <w:rsid w:val="08422E4C"/>
    <w:rsid w:val="08422F53"/>
    <w:rsid w:val="0842306C"/>
    <w:rsid w:val="08423095"/>
    <w:rsid w:val="08423135"/>
    <w:rsid w:val="084231CF"/>
    <w:rsid w:val="0842324D"/>
    <w:rsid w:val="08423254"/>
    <w:rsid w:val="08423334"/>
    <w:rsid w:val="08423348"/>
    <w:rsid w:val="0842339D"/>
    <w:rsid w:val="08423411"/>
    <w:rsid w:val="08423462"/>
    <w:rsid w:val="08423483"/>
    <w:rsid w:val="0842356D"/>
    <w:rsid w:val="08423620"/>
    <w:rsid w:val="08423693"/>
    <w:rsid w:val="084236B4"/>
    <w:rsid w:val="08423712"/>
    <w:rsid w:val="084237D6"/>
    <w:rsid w:val="08423915"/>
    <w:rsid w:val="08423916"/>
    <w:rsid w:val="0842393B"/>
    <w:rsid w:val="08423948"/>
    <w:rsid w:val="084239EE"/>
    <w:rsid w:val="08423AC8"/>
    <w:rsid w:val="08423B2C"/>
    <w:rsid w:val="08423BF8"/>
    <w:rsid w:val="08423C30"/>
    <w:rsid w:val="08423CD5"/>
    <w:rsid w:val="08423CED"/>
    <w:rsid w:val="08423D72"/>
    <w:rsid w:val="08423DF4"/>
    <w:rsid w:val="08423E28"/>
    <w:rsid w:val="08423E4A"/>
    <w:rsid w:val="08423E91"/>
    <w:rsid w:val="08424053"/>
    <w:rsid w:val="084240B6"/>
    <w:rsid w:val="084240FA"/>
    <w:rsid w:val="08424158"/>
    <w:rsid w:val="0842422E"/>
    <w:rsid w:val="08424300"/>
    <w:rsid w:val="08424362"/>
    <w:rsid w:val="0842436F"/>
    <w:rsid w:val="084243E7"/>
    <w:rsid w:val="08424518"/>
    <w:rsid w:val="08424546"/>
    <w:rsid w:val="084245A4"/>
    <w:rsid w:val="084245DC"/>
    <w:rsid w:val="08424661"/>
    <w:rsid w:val="08424688"/>
    <w:rsid w:val="08424697"/>
    <w:rsid w:val="084246B8"/>
    <w:rsid w:val="084246EF"/>
    <w:rsid w:val="08424700"/>
    <w:rsid w:val="0842482D"/>
    <w:rsid w:val="0842494E"/>
    <w:rsid w:val="084249D3"/>
    <w:rsid w:val="08424ADC"/>
    <w:rsid w:val="08424B32"/>
    <w:rsid w:val="08424D16"/>
    <w:rsid w:val="08424D29"/>
    <w:rsid w:val="08424DDD"/>
    <w:rsid w:val="08424E5E"/>
    <w:rsid w:val="08424F39"/>
    <w:rsid w:val="08424F62"/>
    <w:rsid w:val="08424FAF"/>
    <w:rsid w:val="08424FD0"/>
    <w:rsid w:val="0842509C"/>
    <w:rsid w:val="084250C4"/>
    <w:rsid w:val="084250C6"/>
    <w:rsid w:val="0842512A"/>
    <w:rsid w:val="08425203"/>
    <w:rsid w:val="08425257"/>
    <w:rsid w:val="08425295"/>
    <w:rsid w:val="084252DC"/>
    <w:rsid w:val="084253E8"/>
    <w:rsid w:val="084254D1"/>
    <w:rsid w:val="08425524"/>
    <w:rsid w:val="08425542"/>
    <w:rsid w:val="084255A8"/>
    <w:rsid w:val="084255D8"/>
    <w:rsid w:val="084255FB"/>
    <w:rsid w:val="08425613"/>
    <w:rsid w:val="08425629"/>
    <w:rsid w:val="0842562B"/>
    <w:rsid w:val="08425730"/>
    <w:rsid w:val="084257CD"/>
    <w:rsid w:val="084258E8"/>
    <w:rsid w:val="084259D9"/>
    <w:rsid w:val="08425A00"/>
    <w:rsid w:val="08425A3B"/>
    <w:rsid w:val="08425AEB"/>
    <w:rsid w:val="08425B50"/>
    <w:rsid w:val="08425C62"/>
    <w:rsid w:val="08425C8C"/>
    <w:rsid w:val="08425CFC"/>
    <w:rsid w:val="08425D65"/>
    <w:rsid w:val="08425D96"/>
    <w:rsid w:val="08425E0F"/>
    <w:rsid w:val="08425E6E"/>
    <w:rsid w:val="08425F1E"/>
    <w:rsid w:val="08425F56"/>
    <w:rsid w:val="08425F78"/>
    <w:rsid w:val="0842616A"/>
    <w:rsid w:val="084261B1"/>
    <w:rsid w:val="084261F6"/>
    <w:rsid w:val="084262B3"/>
    <w:rsid w:val="08426346"/>
    <w:rsid w:val="084263C7"/>
    <w:rsid w:val="08426453"/>
    <w:rsid w:val="084264A6"/>
    <w:rsid w:val="08426513"/>
    <w:rsid w:val="08426532"/>
    <w:rsid w:val="08426544"/>
    <w:rsid w:val="08426569"/>
    <w:rsid w:val="08426575"/>
    <w:rsid w:val="08426629"/>
    <w:rsid w:val="084266A7"/>
    <w:rsid w:val="084266AD"/>
    <w:rsid w:val="084266EC"/>
    <w:rsid w:val="0842674A"/>
    <w:rsid w:val="0842679C"/>
    <w:rsid w:val="08426832"/>
    <w:rsid w:val="084268CA"/>
    <w:rsid w:val="0842693D"/>
    <w:rsid w:val="08426950"/>
    <w:rsid w:val="084269AD"/>
    <w:rsid w:val="084269E4"/>
    <w:rsid w:val="08426A46"/>
    <w:rsid w:val="08426AE7"/>
    <w:rsid w:val="08426B4B"/>
    <w:rsid w:val="08426B66"/>
    <w:rsid w:val="08426BD8"/>
    <w:rsid w:val="08426BFC"/>
    <w:rsid w:val="08426C04"/>
    <w:rsid w:val="08426C6F"/>
    <w:rsid w:val="08426D48"/>
    <w:rsid w:val="08426DB4"/>
    <w:rsid w:val="08426F23"/>
    <w:rsid w:val="08426F7F"/>
    <w:rsid w:val="08426F89"/>
    <w:rsid w:val="08426FDF"/>
    <w:rsid w:val="08426FE1"/>
    <w:rsid w:val="084270F4"/>
    <w:rsid w:val="0842711A"/>
    <w:rsid w:val="08427192"/>
    <w:rsid w:val="084271A2"/>
    <w:rsid w:val="08427234"/>
    <w:rsid w:val="0842723C"/>
    <w:rsid w:val="08427280"/>
    <w:rsid w:val="0842737B"/>
    <w:rsid w:val="0842738C"/>
    <w:rsid w:val="084273D3"/>
    <w:rsid w:val="08427457"/>
    <w:rsid w:val="084274AF"/>
    <w:rsid w:val="08427529"/>
    <w:rsid w:val="0842758D"/>
    <w:rsid w:val="08427613"/>
    <w:rsid w:val="084276C2"/>
    <w:rsid w:val="084276E3"/>
    <w:rsid w:val="084277B9"/>
    <w:rsid w:val="0842787A"/>
    <w:rsid w:val="084278B3"/>
    <w:rsid w:val="084278FA"/>
    <w:rsid w:val="0842796F"/>
    <w:rsid w:val="0842797B"/>
    <w:rsid w:val="08427980"/>
    <w:rsid w:val="08427987"/>
    <w:rsid w:val="08427ABF"/>
    <w:rsid w:val="08427AF7"/>
    <w:rsid w:val="08427AFF"/>
    <w:rsid w:val="08427B70"/>
    <w:rsid w:val="08427B72"/>
    <w:rsid w:val="08427BC2"/>
    <w:rsid w:val="08427D1F"/>
    <w:rsid w:val="08427D83"/>
    <w:rsid w:val="08427DE2"/>
    <w:rsid w:val="08427E79"/>
    <w:rsid w:val="08427F7C"/>
    <w:rsid w:val="084300BA"/>
    <w:rsid w:val="084300C7"/>
    <w:rsid w:val="084301E0"/>
    <w:rsid w:val="084301E4"/>
    <w:rsid w:val="0843033A"/>
    <w:rsid w:val="084304B5"/>
    <w:rsid w:val="0843052F"/>
    <w:rsid w:val="08430576"/>
    <w:rsid w:val="08430598"/>
    <w:rsid w:val="084306F2"/>
    <w:rsid w:val="084308FC"/>
    <w:rsid w:val="08430965"/>
    <w:rsid w:val="084309F3"/>
    <w:rsid w:val="08430BEE"/>
    <w:rsid w:val="08430BEF"/>
    <w:rsid w:val="08430CA6"/>
    <w:rsid w:val="08430CB1"/>
    <w:rsid w:val="08430CB4"/>
    <w:rsid w:val="08430CE9"/>
    <w:rsid w:val="08430D21"/>
    <w:rsid w:val="08430E29"/>
    <w:rsid w:val="08430E4F"/>
    <w:rsid w:val="08430E99"/>
    <w:rsid w:val="08430EA1"/>
    <w:rsid w:val="08430F70"/>
    <w:rsid w:val="08430F87"/>
    <w:rsid w:val="08431081"/>
    <w:rsid w:val="084310C1"/>
    <w:rsid w:val="08431100"/>
    <w:rsid w:val="084311CE"/>
    <w:rsid w:val="084311E3"/>
    <w:rsid w:val="084311FB"/>
    <w:rsid w:val="08431202"/>
    <w:rsid w:val="0843128F"/>
    <w:rsid w:val="084312B2"/>
    <w:rsid w:val="08431379"/>
    <w:rsid w:val="084313B5"/>
    <w:rsid w:val="084314AA"/>
    <w:rsid w:val="08431532"/>
    <w:rsid w:val="0843160A"/>
    <w:rsid w:val="08431611"/>
    <w:rsid w:val="08431659"/>
    <w:rsid w:val="0843170B"/>
    <w:rsid w:val="08431742"/>
    <w:rsid w:val="0843177F"/>
    <w:rsid w:val="084317B0"/>
    <w:rsid w:val="084317BA"/>
    <w:rsid w:val="08431830"/>
    <w:rsid w:val="0843185D"/>
    <w:rsid w:val="08431992"/>
    <w:rsid w:val="08431AD2"/>
    <w:rsid w:val="08431B13"/>
    <w:rsid w:val="08431B1F"/>
    <w:rsid w:val="08431B2D"/>
    <w:rsid w:val="08431C33"/>
    <w:rsid w:val="08431C60"/>
    <w:rsid w:val="08431C96"/>
    <w:rsid w:val="08431CDD"/>
    <w:rsid w:val="08431D14"/>
    <w:rsid w:val="08431E68"/>
    <w:rsid w:val="08431E76"/>
    <w:rsid w:val="08431E82"/>
    <w:rsid w:val="08431F2F"/>
    <w:rsid w:val="0843202D"/>
    <w:rsid w:val="08432044"/>
    <w:rsid w:val="084320A5"/>
    <w:rsid w:val="08432119"/>
    <w:rsid w:val="0843211A"/>
    <w:rsid w:val="0843213E"/>
    <w:rsid w:val="08432172"/>
    <w:rsid w:val="084321BF"/>
    <w:rsid w:val="08432386"/>
    <w:rsid w:val="084323E3"/>
    <w:rsid w:val="0843241F"/>
    <w:rsid w:val="0843242C"/>
    <w:rsid w:val="0843248A"/>
    <w:rsid w:val="0843249E"/>
    <w:rsid w:val="084324BA"/>
    <w:rsid w:val="084324BB"/>
    <w:rsid w:val="084324FF"/>
    <w:rsid w:val="08432550"/>
    <w:rsid w:val="0843259E"/>
    <w:rsid w:val="0843266A"/>
    <w:rsid w:val="08432728"/>
    <w:rsid w:val="08432751"/>
    <w:rsid w:val="0843279E"/>
    <w:rsid w:val="08432862"/>
    <w:rsid w:val="08432885"/>
    <w:rsid w:val="0843295E"/>
    <w:rsid w:val="0843299A"/>
    <w:rsid w:val="08432AEB"/>
    <w:rsid w:val="08432B15"/>
    <w:rsid w:val="08432B7E"/>
    <w:rsid w:val="08432BCC"/>
    <w:rsid w:val="08432D04"/>
    <w:rsid w:val="08432D79"/>
    <w:rsid w:val="08432E2B"/>
    <w:rsid w:val="08432E5F"/>
    <w:rsid w:val="08432ECD"/>
    <w:rsid w:val="08432EF4"/>
    <w:rsid w:val="08432FAD"/>
    <w:rsid w:val="08433018"/>
    <w:rsid w:val="08433099"/>
    <w:rsid w:val="084330BB"/>
    <w:rsid w:val="08433103"/>
    <w:rsid w:val="0843316B"/>
    <w:rsid w:val="084332C6"/>
    <w:rsid w:val="08433370"/>
    <w:rsid w:val="084333CF"/>
    <w:rsid w:val="08433571"/>
    <w:rsid w:val="08433581"/>
    <w:rsid w:val="084335DE"/>
    <w:rsid w:val="084335E4"/>
    <w:rsid w:val="08433632"/>
    <w:rsid w:val="08433757"/>
    <w:rsid w:val="084337BD"/>
    <w:rsid w:val="084337D7"/>
    <w:rsid w:val="084338B2"/>
    <w:rsid w:val="0843390F"/>
    <w:rsid w:val="08433973"/>
    <w:rsid w:val="08433A4A"/>
    <w:rsid w:val="08433B4E"/>
    <w:rsid w:val="08433BDA"/>
    <w:rsid w:val="08433BDB"/>
    <w:rsid w:val="08433BFE"/>
    <w:rsid w:val="08433CE4"/>
    <w:rsid w:val="08433EC6"/>
    <w:rsid w:val="08433F5A"/>
    <w:rsid w:val="08433FF0"/>
    <w:rsid w:val="0843407A"/>
    <w:rsid w:val="0843407E"/>
    <w:rsid w:val="084340F3"/>
    <w:rsid w:val="084340FC"/>
    <w:rsid w:val="0843415A"/>
    <w:rsid w:val="0843418A"/>
    <w:rsid w:val="08434228"/>
    <w:rsid w:val="084342AA"/>
    <w:rsid w:val="084342B4"/>
    <w:rsid w:val="084342E7"/>
    <w:rsid w:val="08434382"/>
    <w:rsid w:val="08434453"/>
    <w:rsid w:val="08434581"/>
    <w:rsid w:val="08434597"/>
    <w:rsid w:val="084346E9"/>
    <w:rsid w:val="08434703"/>
    <w:rsid w:val="08434749"/>
    <w:rsid w:val="084347F3"/>
    <w:rsid w:val="08434811"/>
    <w:rsid w:val="0843484E"/>
    <w:rsid w:val="08434892"/>
    <w:rsid w:val="084348DB"/>
    <w:rsid w:val="084349C5"/>
    <w:rsid w:val="084349FF"/>
    <w:rsid w:val="08434B59"/>
    <w:rsid w:val="08434BB9"/>
    <w:rsid w:val="08434BDF"/>
    <w:rsid w:val="08434C62"/>
    <w:rsid w:val="08434CD9"/>
    <w:rsid w:val="08434CE5"/>
    <w:rsid w:val="08434CF1"/>
    <w:rsid w:val="08434D37"/>
    <w:rsid w:val="08434D91"/>
    <w:rsid w:val="08434E11"/>
    <w:rsid w:val="08434E1D"/>
    <w:rsid w:val="08434E20"/>
    <w:rsid w:val="08434E40"/>
    <w:rsid w:val="08434E45"/>
    <w:rsid w:val="08434E48"/>
    <w:rsid w:val="08434EC2"/>
    <w:rsid w:val="08434F4C"/>
    <w:rsid w:val="084350BD"/>
    <w:rsid w:val="084350CC"/>
    <w:rsid w:val="08435108"/>
    <w:rsid w:val="0843515E"/>
    <w:rsid w:val="08435165"/>
    <w:rsid w:val="08435226"/>
    <w:rsid w:val="0843529F"/>
    <w:rsid w:val="084353E2"/>
    <w:rsid w:val="0843549B"/>
    <w:rsid w:val="084354FD"/>
    <w:rsid w:val="08435543"/>
    <w:rsid w:val="0843558C"/>
    <w:rsid w:val="084355EC"/>
    <w:rsid w:val="0843566F"/>
    <w:rsid w:val="08435701"/>
    <w:rsid w:val="08435717"/>
    <w:rsid w:val="08435773"/>
    <w:rsid w:val="08435804"/>
    <w:rsid w:val="084358A8"/>
    <w:rsid w:val="084358DE"/>
    <w:rsid w:val="08435990"/>
    <w:rsid w:val="084359AF"/>
    <w:rsid w:val="08435ADB"/>
    <w:rsid w:val="08435B05"/>
    <w:rsid w:val="08435BE5"/>
    <w:rsid w:val="08435BE6"/>
    <w:rsid w:val="08435CBE"/>
    <w:rsid w:val="08435D61"/>
    <w:rsid w:val="08435DA0"/>
    <w:rsid w:val="08435E05"/>
    <w:rsid w:val="08435E22"/>
    <w:rsid w:val="08435E3B"/>
    <w:rsid w:val="08435ECA"/>
    <w:rsid w:val="08436009"/>
    <w:rsid w:val="0843602B"/>
    <w:rsid w:val="08436089"/>
    <w:rsid w:val="08436091"/>
    <w:rsid w:val="084360C5"/>
    <w:rsid w:val="0843623F"/>
    <w:rsid w:val="08436257"/>
    <w:rsid w:val="08436582"/>
    <w:rsid w:val="0843660B"/>
    <w:rsid w:val="08436641"/>
    <w:rsid w:val="08436681"/>
    <w:rsid w:val="08436683"/>
    <w:rsid w:val="084366A8"/>
    <w:rsid w:val="0843670A"/>
    <w:rsid w:val="08436727"/>
    <w:rsid w:val="084367EE"/>
    <w:rsid w:val="0843686B"/>
    <w:rsid w:val="084368F4"/>
    <w:rsid w:val="0843699A"/>
    <w:rsid w:val="08436A06"/>
    <w:rsid w:val="08436B04"/>
    <w:rsid w:val="08436BEC"/>
    <w:rsid w:val="08436C02"/>
    <w:rsid w:val="08436C19"/>
    <w:rsid w:val="08436C73"/>
    <w:rsid w:val="08436C7B"/>
    <w:rsid w:val="08436DBD"/>
    <w:rsid w:val="08436F7A"/>
    <w:rsid w:val="08436F93"/>
    <w:rsid w:val="0843703C"/>
    <w:rsid w:val="08437084"/>
    <w:rsid w:val="08437253"/>
    <w:rsid w:val="084372BB"/>
    <w:rsid w:val="084372CB"/>
    <w:rsid w:val="08437353"/>
    <w:rsid w:val="084373A9"/>
    <w:rsid w:val="08437491"/>
    <w:rsid w:val="084374DF"/>
    <w:rsid w:val="084375EA"/>
    <w:rsid w:val="084375F5"/>
    <w:rsid w:val="0843767B"/>
    <w:rsid w:val="08437685"/>
    <w:rsid w:val="08437700"/>
    <w:rsid w:val="0843771A"/>
    <w:rsid w:val="0843773D"/>
    <w:rsid w:val="08437741"/>
    <w:rsid w:val="08437778"/>
    <w:rsid w:val="08437797"/>
    <w:rsid w:val="08437826"/>
    <w:rsid w:val="08437835"/>
    <w:rsid w:val="08437950"/>
    <w:rsid w:val="084379A9"/>
    <w:rsid w:val="08437A01"/>
    <w:rsid w:val="08437A5E"/>
    <w:rsid w:val="08437A79"/>
    <w:rsid w:val="08437C2B"/>
    <w:rsid w:val="08437C5F"/>
    <w:rsid w:val="08437CD0"/>
    <w:rsid w:val="08437D0C"/>
    <w:rsid w:val="08437D24"/>
    <w:rsid w:val="08437D29"/>
    <w:rsid w:val="08437D77"/>
    <w:rsid w:val="08437D94"/>
    <w:rsid w:val="08437DA2"/>
    <w:rsid w:val="08437DE4"/>
    <w:rsid w:val="08437DFE"/>
    <w:rsid w:val="08437E00"/>
    <w:rsid w:val="08437E91"/>
    <w:rsid w:val="08437E94"/>
    <w:rsid w:val="08437F67"/>
    <w:rsid w:val="08437FAB"/>
    <w:rsid w:val="08437FF1"/>
    <w:rsid w:val="08440005"/>
    <w:rsid w:val="08440081"/>
    <w:rsid w:val="08440196"/>
    <w:rsid w:val="084401A5"/>
    <w:rsid w:val="084401CD"/>
    <w:rsid w:val="08440200"/>
    <w:rsid w:val="0844027A"/>
    <w:rsid w:val="084402DD"/>
    <w:rsid w:val="08440401"/>
    <w:rsid w:val="0844046A"/>
    <w:rsid w:val="084404A1"/>
    <w:rsid w:val="084404D0"/>
    <w:rsid w:val="084405C7"/>
    <w:rsid w:val="08440842"/>
    <w:rsid w:val="0844084A"/>
    <w:rsid w:val="0844084E"/>
    <w:rsid w:val="08440917"/>
    <w:rsid w:val="08440926"/>
    <w:rsid w:val="084409F8"/>
    <w:rsid w:val="08440C82"/>
    <w:rsid w:val="08440D04"/>
    <w:rsid w:val="08440D69"/>
    <w:rsid w:val="08440DFE"/>
    <w:rsid w:val="08440E35"/>
    <w:rsid w:val="08440E3E"/>
    <w:rsid w:val="08440EC6"/>
    <w:rsid w:val="08440F2E"/>
    <w:rsid w:val="08440F68"/>
    <w:rsid w:val="08440F80"/>
    <w:rsid w:val="08440FA1"/>
    <w:rsid w:val="0844101D"/>
    <w:rsid w:val="08441071"/>
    <w:rsid w:val="0844108E"/>
    <w:rsid w:val="08441105"/>
    <w:rsid w:val="0844114F"/>
    <w:rsid w:val="08441280"/>
    <w:rsid w:val="08441355"/>
    <w:rsid w:val="0844139A"/>
    <w:rsid w:val="084413AD"/>
    <w:rsid w:val="084414CC"/>
    <w:rsid w:val="0844154C"/>
    <w:rsid w:val="08441754"/>
    <w:rsid w:val="08441792"/>
    <w:rsid w:val="084417BB"/>
    <w:rsid w:val="0844185D"/>
    <w:rsid w:val="0844188F"/>
    <w:rsid w:val="08441914"/>
    <w:rsid w:val="0844193F"/>
    <w:rsid w:val="08441950"/>
    <w:rsid w:val="08441960"/>
    <w:rsid w:val="08441979"/>
    <w:rsid w:val="084419A4"/>
    <w:rsid w:val="084419C0"/>
    <w:rsid w:val="08441A87"/>
    <w:rsid w:val="08441AD0"/>
    <w:rsid w:val="08441B40"/>
    <w:rsid w:val="08441B44"/>
    <w:rsid w:val="08441B5E"/>
    <w:rsid w:val="08441B6E"/>
    <w:rsid w:val="08441BC5"/>
    <w:rsid w:val="08441CA7"/>
    <w:rsid w:val="08441CC2"/>
    <w:rsid w:val="08441E2D"/>
    <w:rsid w:val="08441F58"/>
    <w:rsid w:val="08441FE2"/>
    <w:rsid w:val="08441FF9"/>
    <w:rsid w:val="0844200E"/>
    <w:rsid w:val="0844206E"/>
    <w:rsid w:val="084420A4"/>
    <w:rsid w:val="0844216A"/>
    <w:rsid w:val="084421F2"/>
    <w:rsid w:val="0844223E"/>
    <w:rsid w:val="0844229D"/>
    <w:rsid w:val="08442546"/>
    <w:rsid w:val="08442590"/>
    <w:rsid w:val="08442600"/>
    <w:rsid w:val="08442629"/>
    <w:rsid w:val="08442661"/>
    <w:rsid w:val="0844267F"/>
    <w:rsid w:val="084426D1"/>
    <w:rsid w:val="08442716"/>
    <w:rsid w:val="0844287E"/>
    <w:rsid w:val="08442914"/>
    <w:rsid w:val="0844292E"/>
    <w:rsid w:val="08442947"/>
    <w:rsid w:val="08442A2A"/>
    <w:rsid w:val="08442B00"/>
    <w:rsid w:val="08442E2C"/>
    <w:rsid w:val="08442EEA"/>
    <w:rsid w:val="08442EEC"/>
    <w:rsid w:val="08442F44"/>
    <w:rsid w:val="08443087"/>
    <w:rsid w:val="084430C7"/>
    <w:rsid w:val="0844312C"/>
    <w:rsid w:val="084431EA"/>
    <w:rsid w:val="08443213"/>
    <w:rsid w:val="08443257"/>
    <w:rsid w:val="08443294"/>
    <w:rsid w:val="084432D5"/>
    <w:rsid w:val="084432DC"/>
    <w:rsid w:val="084433D2"/>
    <w:rsid w:val="08443471"/>
    <w:rsid w:val="08443489"/>
    <w:rsid w:val="08443525"/>
    <w:rsid w:val="08443559"/>
    <w:rsid w:val="08443649"/>
    <w:rsid w:val="08443657"/>
    <w:rsid w:val="084436A0"/>
    <w:rsid w:val="084436CB"/>
    <w:rsid w:val="084436ED"/>
    <w:rsid w:val="0844376C"/>
    <w:rsid w:val="084437C2"/>
    <w:rsid w:val="084437F7"/>
    <w:rsid w:val="08443813"/>
    <w:rsid w:val="08443920"/>
    <w:rsid w:val="08443934"/>
    <w:rsid w:val="084439C0"/>
    <w:rsid w:val="084439F7"/>
    <w:rsid w:val="08443B54"/>
    <w:rsid w:val="08443BD5"/>
    <w:rsid w:val="08443BF9"/>
    <w:rsid w:val="08443C28"/>
    <w:rsid w:val="08443C48"/>
    <w:rsid w:val="08443D0D"/>
    <w:rsid w:val="08443D23"/>
    <w:rsid w:val="08443D5E"/>
    <w:rsid w:val="08443DED"/>
    <w:rsid w:val="08443E37"/>
    <w:rsid w:val="08443EC6"/>
    <w:rsid w:val="08443F34"/>
    <w:rsid w:val="08443F5D"/>
    <w:rsid w:val="08443F91"/>
    <w:rsid w:val="08443F97"/>
    <w:rsid w:val="08444018"/>
    <w:rsid w:val="0844401C"/>
    <w:rsid w:val="0844409F"/>
    <w:rsid w:val="084440B4"/>
    <w:rsid w:val="08444195"/>
    <w:rsid w:val="08444261"/>
    <w:rsid w:val="08444277"/>
    <w:rsid w:val="08444299"/>
    <w:rsid w:val="084442AA"/>
    <w:rsid w:val="084442ED"/>
    <w:rsid w:val="08444338"/>
    <w:rsid w:val="084443FE"/>
    <w:rsid w:val="08444401"/>
    <w:rsid w:val="08444420"/>
    <w:rsid w:val="08444441"/>
    <w:rsid w:val="0844449D"/>
    <w:rsid w:val="08444517"/>
    <w:rsid w:val="08444538"/>
    <w:rsid w:val="0844453B"/>
    <w:rsid w:val="0844457D"/>
    <w:rsid w:val="084445C3"/>
    <w:rsid w:val="084446FD"/>
    <w:rsid w:val="0844471E"/>
    <w:rsid w:val="0844474E"/>
    <w:rsid w:val="08444836"/>
    <w:rsid w:val="08444892"/>
    <w:rsid w:val="084448AE"/>
    <w:rsid w:val="084448C5"/>
    <w:rsid w:val="084448E3"/>
    <w:rsid w:val="08444934"/>
    <w:rsid w:val="08444AD3"/>
    <w:rsid w:val="08444B1B"/>
    <w:rsid w:val="08444B77"/>
    <w:rsid w:val="08444BD1"/>
    <w:rsid w:val="08444BFB"/>
    <w:rsid w:val="08444C04"/>
    <w:rsid w:val="08444EDC"/>
    <w:rsid w:val="08444EE7"/>
    <w:rsid w:val="08444F63"/>
    <w:rsid w:val="08444F73"/>
    <w:rsid w:val="08444FC8"/>
    <w:rsid w:val="084450A5"/>
    <w:rsid w:val="084450B5"/>
    <w:rsid w:val="084450C9"/>
    <w:rsid w:val="084450CF"/>
    <w:rsid w:val="084450DD"/>
    <w:rsid w:val="08445103"/>
    <w:rsid w:val="0844512B"/>
    <w:rsid w:val="08445137"/>
    <w:rsid w:val="08445306"/>
    <w:rsid w:val="0844539E"/>
    <w:rsid w:val="08445487"/>
    <w:rsid w:val="084454B5"/>
    <w:rsid w:val="084454F8"/>
    <w:rsid w:val="08445508"/>
    <w:rsid w:val="084455AF"/>
    <w:rsid w:val="08445707"/>
    <w:rsid w:val="0844572C"/>
    <w:rsid w:val="0844576B"/>
    <w:rsid w:val="08445795"/>
    <w:rsid w:val="084457B0"/>
    <w:rsid w:val="084457DE"/>
    <w:rsid w:val="08445892"/>
    <w:rsid w:val="084459C9"/>
    <w:rsid w:val="084459ED"/>
    <w:rsid w:val="08445A20"/>
    <w:rsid w:val="08445A4E"/>
    <w:rsid w:val="08445B31"/>
    <w:rsid w:val="08445BC9"/>
    <w:rsid w:val="08445C5C"/>
    <w:rsid w:val="08445D45"/>
    <w:rsid w:val="08445DDD"/>
    <w:rsid w:val="08445E77"/>
    <w:rsid w:val="08445E79"/>
    <w:rsid w:val="08445EBA"/>
    <w:rsid w:val="08445F9C"/>
    <w:rsid w:val="08445FEB"/>
    <w:rsid w:val="08446049"/>
    <w:rsid w:val="08446068"/>
    <w:rsid w:val="0844612B"/>
    <w:rsid w:val="08446138"/>
    <w:rsid w:val="0844625C"/>
    <w:rsid w:val="08446260"/>
    <w:rsid w:val="084462C5"/>
    <w:rsid w:val="084463A6"/>
    <w:rsid w:val="084463F7"/>
    <w:rsid w:val="0844643F"/>
    <w:rsid w:val="0844644A"/>
    <w:rsid w:val="084464B0"/>
    <w:rsid w:val="08446551"/>
    <w:rsid w:val="08446556"/>
    <w:rsid w:val="08446574"/>
    <w:rsid w:val="08446580"/>
    <w:rsid w:val="084466EE"/>
    <w:rsid w:val="084466F1"/>
    <w:rsid w:val="08446718"/>
    <w:rsid w:val="084467BB"/>
    <w:rsid w:val="084467CC"/>
    <w:rsid w:val="084467D8"/>
    <w:rsid w:val="08446844"/>
    <w:rsid w:val="0844690A"/>
    <w:rsid w:val="08446923"/>
    <w:rsid w:val="0844697A"/>
    <w:rsid w:val="08446A02"/>
    <w:rsid w:val="08446AC3"/>
    <w:rsid w:val="08446D09"/>
    <w:rsid w:val="08446ED7"/>
    <w:rsid w:val="08446F40"/>
    <w:rsid w:val="08446FA3"/>
    <w:rsid w:val="08447086"/>
    <w:rsid w:val="084470BE"/>
    <w:rsid w:val="08447129"/>
    <w:rsid w:val="08447130"/>
    <w:rsid w:val="084471D8"/>
    <w:rsid w:val="08447239"/>
    <w:rsid w:val="084472A1"/>
    <w:rsid w:val="084472C4"/>
    <w:rsid w:val="08447332"/>
    <w:rsid w:val="0844737F"/>
    <w:rsid w:val="0844749A"/>
    <w:rsid w:val="08447599"/>
    <w:rsid w:val="084475E0"/>
    <w:rsid w:val="084476DD"/>
    <w:rsid w:val="08447774"/>
    <w:rsid w:val="08447BE8"/>
    <w:rsid w:val="08447BF2"/>
    <w:rsid w:val="08447C61"/>
    <w:rsid w:val="08447CE1"/>
    <w:rsid w:val="08447D4F"/>
    <w:rsid w:val="08447D89"/>
    <w:rsid w:val="08447DE4"/>
    <w:rsid w:val="08447E9A"/>
    <w:rsid w:val="08447EDB"/>
    <w:rsid w:val="08447EE0"/>
    <w:rsid w:val="08447F59"/>
    <w:rsid w:val="08447F97"/>
    <w:rsid w:val="08447FC1"/>
    <w:rsid w:val="08447FD5"/>
    <w:rsid w:val="08450065"/>
    <w:rsid w:val="084501A4"/>
    <w:rsid w:val="0845026F"/>
    <w:rsid w:val="08450286"/>
    <w:rsid w:val="08450300"/>
    <w:rsid w:val="084503B0"/>
    <w:rsid w:val="08450491"/>
    <w:rsid w:val="084504E0"/>
    <w:rsid w:val="08450578"/>
    <w:rsid w:val="08450583"/>
    <w:rsid w:val="084505AB"/>
    <w:rsid w:val="0845067C"/>
    <w:rsid w:val="084506C8"/>
    <w:rsid w:val="084506E0"/>
    <w:rsid w:val="084507B1"/>
    <w:rsid w:val="08450825"/>
    <w:rsid w:val="084508A7"/>
    <w:rsid w:val="08450946"/>
    <w:rsid w:val="08450A18"/>
    <w:rsid w:val="08450A53"/>
    <w:rsid w:val="08450AC6"/>
    <w:rsid w:val="08450AD4"/>
    <w:rsid w:val="08450AE5"/>
    <w:rsid w:val="08450B41"/>
    <w:rsid w:val="08450B5D"/>
    <w:rsid w:val="08450B92"/>
    <w:rsid w:val="08450C31"/>
    <w:rsid w:val="08450C71"/>
    <w:rsid w:val="08450CA5"/>
    <w:rsid w:val="08450D3D"/>
    <w:rsid w:val="08450D6D"/>
    <w:rsid w:val="08450DA6"/>
    <w:rsid w:val="08450E30"/>
    <w:rsid w:val="08450E6E"/>
    <w:rsid w:val="08450EF8"/>
    <w:rsid w:val="08450F58"/>
    <w:rsid w:val="08450F8B"/>
    <w:rsid w:val="08450FA0"/>
    <w:rsid w:val="0845106C"/>
    <w:rsid w:val="08451090"/>
    <w:rsid w:val="084510C1"/>
    <w:rsid w:val="08451252"/>
    <w:rsid w:val="08451360"/>
    <w:rsid w:val="084513B9"/>
    <w:rsid w:val="084513DC"/>
    <w:rsid w:val="08451411"/>
    <w:rsid w:val="084514BC"/>
    <w:rsid w:val="08451500"/>
    <w:rsid w:val="08451506"/>
    <w:rsid w:val="08451513"/>
    <w:rsid w:val="08451515"/>
    <w:rsid w:val="08451542"/>
    <w:rsid w:val="084516AB"/>
    <w:rsid w:val="0845177E"/>
    <w:rsid w:val="08451789"/>
    <w:rsid w:val="084517D1"/>
    <w:rsid w:val="084517EA"/>
    <w:rsid w:val="0845182A"/>
    <w:rsid w:val="08451882"/>
    <w:rsid w:val="084518EE"/>
    <w:rsid w:val="0845193A"/>
    <w:rsid w:val="08451950"/>
    <w:rsid w:val="08451B28"/>
    <w:rsid w:val="08451BB7"/>
    <w:rsid w:val="08451C1B"/>
    <w:rsid w:val="08451C56"/>
    <w:rsid w:val="08451CCB"/>
    <w:rsid w:val="08451CE1"/>
    <w:rsid w:val="08451D96"/>
    <w:rsid w:val="08451DA0"/>
    <w:rsid w:val="08451DC9"/>
    <w:rsid w:val="08451F0E"/>
    <w:rsid w:val="08451F8A"/>
    <w:rsid w:val="08451F9B"/>
    <w:rsid w:val="0845207A"/>
    <w:rsid w:val="084520DE"/>
    <w:rsid w:val="084520FF"/>
    <w:rsid w:val="08452187"/>
    <w:rsid w:val="08452315"/>
    <w:rsid w:val="08452369"/>
    <w:rsid w:val="084523AD"/>
    <w:rsid w:val="08452495"/>
    <w:rsid w:val="084524A6"/>
    <w:rsid w:val="0845261D"/>
    <w:rsid w:val="084526C5"/>
    <w:rsid w:val="084527CB"/>
    <w:rsid w:val="08452808"/>
    <w:rsid w:val="0845283F"/>
    <w:rsid w:val="0845289C"/>
    <w:rsid w:val="08452992"/>
    <w:rsid w:val="084529B6"/>
    <w:rsid w:val="084529BF"/>
    <w:rsid w:val="08452A0C"/>
    <w:rsid w:val="08452A4A"/>
    <w:rsid w:val="08452A87"/>
    <w:rsid w:val="08452B5B"/>
    <w:rsid w:val="08452C96"/>
    <w:rsid w:val="08452D0A"/>
    <w:rsid w:val="08452DA2"/>
    <w:rsid w:val="08452DFB"/>
    <w:rsid w:val="08452E24"/>
    <w:rsid w:val="08452E8B"/>
    <w:rsid w:val="08452EC2"/>
    <w:rsid w:val="08452F4D"/>
    <w:rsid w:val="08452F52"/>
    <w:rsid w:val="08452F55"/>
    <w:rsid w:val="0845303E"/>
    <w:rsid w:val="084530AB"/>
    <w:rsid w:val="084530CE"/>
    <w:rsid w:val="08453199"/>
    <w:rsid w:val="08453209"/>
    <w:rsid w:val="084532D6"/>
    <w:rsid w:val="084533DF"/>
    <w:rsid w:val="08453432"/>
    <w:rsid w:val="08453467"/>
    <w:rsid w:val="084534A1"/>
    <w:rsid w:val="08453506"/>
    <w:rsid w:val="08453549"/>
    <w:rsid w:val="08453558"/>
    <w:rsid w:val="08453583"/>
    <w:rsid w:val="084535A8"/>
    <w:rsid w:val="084535C1"/>
    <w:rsid w:val="084535ED"/>
    <w:rsid w:val="084536A9"/>
    <w:rsid w:val="0845376E"/>
    <w:rsid w:val="084537C4"/>
    <w:rsid w:val="08453889"/>
    <w:rsid w:val="0845388D"/>
    <w:rsid w:val="084538E3"/>
    <w:rsid w:val="084539A6"/>
    <w:rsid w:val="084539D4"/>
    <w:rsid w:val="08453A33"/>
    <w:rsid w:val="08453ADB"/>
    <w:rsid w:val="08453B7D"/>
    <w:rsid w:val="08453B7E"/>
    <w:rsid w:val="08453CEC"/>
    <w:rsid w:val="08453D43"/>
    <w:rsid w:val="08453DDB"/>
    <w:rsid w:val="08453E3A"/>
    <w:rsid w:val="08453E77"/>
    <w:rsid w:val="08453EAE"/>
    <w:rsid w:val="08453EE7"/>
    <w:rsid w:val="084540C6"/>
    <w:rsid w:val="0845414C"/>
    <w:rsid w:val="084541EC"/>
    <w:rsid w:val="08454292"/>
    <w:rsid w:val="084542B6"/>
    <w:rsid w:val="084542E5"/>
    <w:rsid w:val="084543FE"/>
    <w:rsid w:val="0845443A"/>
    <w:rsid w:val="08454523"/>
    <w:rsid w:val="08454615"/>
    <w:rsid w:val="0845461D"/>
    <w:rsid w:val="0845465D"/>
    <w:rsid w:val="084546A9"/>
    <w:rsid w:val="084546CF"/>
    <w:rsid w:val="084547D6"/>
    <w:rsid w:val="08454870"/>
    <w:rsid w:val="08454888"/>
    <w:rsid w:val="0845489A"/>
    <w:rsid w:val="08454986"/>
    <w:rsid w:val="084549D0"/>
    <w:rsid w:val="08454A17"/>
    <w:rsid w:val="08454A1D"/>
    <w:rsid w:val="08454A20"/>
    <w:rsid w:val="08454A24"/>
    <w:rsid w:val="08454AD5"/>
    <w:rsid w:val="08454B55"/>
    <w:rsid w:val="08454D0B"/>
    <w:rsid w:val="08454DF8"/>
    <w:rsid w:val="08454E08"/>
    <w:rsid w:val="08454E85"/>
    <w:rsid w:val="08454ECC"/>
    <w:rsid w:val="08454EE0"/>
    <w:rsid w:val="08454F3D"/>
    <w:rsid w:val="08454FBD"/>
    <w:rsid w:val="08455017"/>
    <w:rsid w:val="084550A9"/>
    <w:rsid w:val="08455119"/>
    <w:rsid w:val="0845513B"/>
    <w:rsid w:val="08455171"/>
    <w:rsid w:val="084551F0"/>
    <w:rsid w:val="08455268"/>
    <w:rsid w:val="084552F5"/>
    <w:rsid w:val="08455305"/>
    <w:rsid w:val="084553B3"/>
    <w:rsid w:val="0845544C"/>
    <w:rsid w:val="084555B6"/>
    <w:rsid w:val="08455627"/>
    <w:rsid w:val="08455662"/>
    <w:rsid w:val="08455695"/>
    <w:rsid w:val="0845569E"/>
    <w:rsid w:val="084556B7"/>
    <w:rsid w:val="0845573B"/>
    <w:rsid w:val="08455796"/>
    <w:rsid w:val="084557AD"/>
    <w:rsid w:val="084558C2"/>
    <w:rsid w:val="084558D7"/>
    <w:rsid w:val="08455B12"/>
    <w:rsid w:val="08455B1A"/>
    <w:rsid w:val="08455C15"/>
    <w:rsid w:val="08455CD4"/>
    <w:rsid w:val="08455D6B"/>
    <w:rsid w:val="08455D9A"/>
    <w:rsid w:val="08455DAE"/>
    <w:rsid w:val="08455E0E"/>
    <w:rsid w:val="08455F41"/>
    <w:rsid w:val="08455F91"/>
    <w:rsid w:val="08455FDF"/>
    <w:rsid w:val="0845602D"/>
    <w:rsid w:val="0845604D"/>
    <w:rsid w:val="084560A4"/>
    <w:rsid w:val="084560FD"/>
    <w:rsid w:val="08456108"/>
    <w:rsid w:val="08456113"/>
    <w:rsid w:val="08456163"/>
    <w:rsid w:val="08456169"/>
    <w:rsid w:val="0845617E"/>
    <w:rsid w:val="084561EB"/>
    <w:rsid w:val="0845620C"/>
    <w:rsid w:val="08456260"/>
    <w:rsid w:val="0845640D"/>
    <w:rsid w:val="08456456"/>
    <w:rsid w:val="084564B4"/>
    <w:rsid w:val="084564E7"/>
    <w:rsid w:val="084564F3"/>
    <w:rsid w:val="08456554"/>
    <w:rsid w:val="08456557"/>
    <w:rsid w:val="0845658A"/>
    <w:rsid w:val="084565E9"/>
    <w:rsid w:val="08456603"/>
    <w:rsid w:val="084566C4"/>
    <w:rsid w:val="084566CD"/>
    <w:rsid w:val="08456706"/>
    <w:rsid w:val="08456745"/>
    <w:rsid w:val="084567C1"/>
    <w:rsid w:val="0845680A"/>
    <w:rsid w:val="0845685B"/>
    <w:rsid w:val="084568B4"/>
    <w:rsid w:val="0845691C"/>
    <w:rsid w:val="08456A65"/>
    <w:rsid w:val="08456A80"/>
    <w:rsid w:val="08456AB4"/>
    <w:rsid w:val="08456B9E"/>
    <w:rsid w:val="08456BD7"/>
    <w:rsid w:val="08456C57"/>
    <w:rsid w:val="08456D66"/>
    <w:rsid w:val="08456D6C"/>
    <w:rsid w:val="08456DCE"/>
    <w:rsid w:val="08456E76"/>
    <w:rsid w:val="08456EDD"/>
    <w:rsid w:val="08456EDE"/>
    <w:rsid w:val="08457012"/>
    <w:rsid w:val="08457117"/>
    <w:rsid w:val="08457145"/>
    <w:rsid w:val="0845721E"/>
    <w:rsid w:val="08457236"/>
    <w:rsid w:val="0845725F"/>
    <w:rsid w:val="084572D6"/>
    <w:rsid w:val="08457380"/>
    <w:rsid w:val="084573DA"/>
    <w:rsid w:val="084573E9"/>
    <w:rsid w:val="08457403"/>
    <w:rsid w:val="0845741C"/>
    <w:rsid w:val="0845743B"/>
    <w:rsid w:val="0845746B"/>
    <w:rsid w:val="084574A6"/>
    <w:rsid w:val="084574A8"/>
    <w:rsid w:val="084574EF"/>
    <w:rsid w:val="084575C1"/>
    <w:rsid w:val="084575EF"/>
    <w:rsid w:val="08457718"/>
    <w:rsid w:val="08457719"/>
    <w:rsid w:val="08457758"/>
    <w:rsid w:val="084577E4"/>
    <w:rsid w:val="08457887"/>
    <w:rsid w:val="0845788A"/>
    <w:rsid w:val="08457996"/>
    <w:rsid w:val="08457997"/>
    <w:rsid w:val="08457B43"/>
    <w:rsid w:val="08457B69"/>
    <w:rsid w:val="08457C34"/>
    <w:rsid w:val="08457C53"/>
    <w:rsid w:val="08457E0C"/>
    <w:rsid w:val="08457FB1"/>
    <w:rsid w:val="08457FCC"/>
    <w:rsid w:val="08460002"/>
    <w:rsid w:val="084600E6"/>
    <w:rsid w:val="08460122"/>
    <w:rsid w:val="084601AF"/>
    <w:rsid w:val="084601F7"/>
    <w:rsid w:val="084602B7"/>
    <w:rsid w:val="084602D6"/>
    <w:rsid w:val="08460384"/>
    <w:rsid w:val="08460436"/>
    <w:rsid w:val="084604FA"/>
    <w:rsid w:val="08460589"/>
    <w:rsid w:val="08460591"/>
    <w:rsid w:val="08460594"/>
    <w:rsid w:val="084605C6"/>
    <w:rsid w:val="084606A1"/>
    <w:rsid w:val="084606F7"/>
    <w:rsid w:val="084608F4"/>
    <w:rsid w:val="08460966"/>
    <w:rsid w:val="084609B8"/>
    <w:rsid w:val="08460A6C"/>
    <w:rsid w:val="08460BFC"/>
    <w:rsid w:val="08460CCD"/>
    <w:rsid w:val="08460CD0"/>
    <w:rsid w:val="08460D5C"/>
    <w:rsid w:val="08460E20"/>
    <w:rsid w:val="08460E57"/>
    <w:rsid w:val="08460F32"/>
    <w:rsid w:val="08460F8E"/>
    <w:rsid w:val="08460FA6"/>
    <w:rsid w:val="0846101F"/>
    <w:rsid w:val="0846103F"/>
    <w:rsid w:val="0846107B"/>
    <w:rsid w:val="084610A1"/>
    <w:rsid w:val="0846110C"/>
    <w:rsid w:val="0846113E"/>
    <w:rsid w:val="084611AE"/>
    <w:rsid w:val="0846127D"/>
    <w:rsid w:val="084612C0"/>
    <w:rsid w:val="084612D7"/>
    <w:rsid w:val="08461303"/>
    <w:rsid w:val="0846131E"/>
    <w:rsid w:val="08461322"/>
    <w:rsid w:val="084614D8"/>
    <w:rsid w:val="0846150B"/>
    <w:rsid w:val="084615A9"/>
    <w:rsid w:val="0846170D"/>
    <w:rsid w:val="0846174A"/>
    <w:rsid w:val="084617EC"/>
    <w:rsid w:val="084618E6"/>
    <w:rsid w:val="0846194F"/>
    <w:rsid w:val="08461A90"/>
    <w:rsid w:val="08461ABC"/>
    <w:rsid w:val="08461C0B"/>
    <w:rsid w:val="08461CC0"/>
    <w:rsid w:val="08461CCC"/>
    <w:rsid w:val="08461E52"/>
    <w:rsid w:val="08461E6C"/>
    <w:rsid w:val="08461EAC"/>
    <w:rsid w:val="08461ED8"/>
    <w:rsid w:val="08461EDE"/>
    <w:rsid w:val="08461F5B"/>
    <w:rsid w:val="08461F95"/>
    <w:rsid w:val="0846203A"/>
    <w:rsid w:val="08462075"/>
    <w:rsid w:val="08462101"/>
    <w:rsid w:val="084622B8"/>
    <w:rsid w:val="08462341"/>
    <w:rsid w:val="084623AA"/>
    <w:rsid w:val="084624CC"/>
    <w:rsid w:val="084624F8"/>
    <w:rsid w:val="08462666"/>
    <w:rsid w:val="08462670"/>
    <w:rsid w:val="084626A0"/>
    <w:rsid w:val="084626BC"/>
    <w:rsid w:val="0846275E"/>
    <w:rsid w:val="08462799"/>
    <w:rsid w:val="0846286C"/>
    <w:rsid w:val="084628B5"/>
    <w:rsid w:val="084628E6"/>
    <w:rsid w:val="08462949"/>
    <w:rsid w:val="08462AE4"/>
    <w:rsid w:val="08462AF2"/>
    <w:rsid w:val="08462B49"/>
    <w:rsid w:val="08462BF1"/>
    <w:rsid w:val="08462C43"/>
    <w:rsid w:val="08462C4B"/>
    <w:rsid w:val="08462D84"/>
    <w:rsid w:val="08462D85"/>
    <w:rsid w:val="08462D91"/>
    <w:rsid w:val="08462DF1"/>
    <w:rsid w:val="08462EB2"/>
    <w:rsid w:val="08462F12"/>
    <w:rsid w:val="08463061"/>
    <w:rsid w:val="08463074"/>
    <w:rsid w:val="084631A0"/>
    <w:rsid w:val="08463247"/>
    <w:rsid w:val="084633C9"/>
    <w:rsid w:val="084633DD"/>
    <w:rsid w:val="084633DF"/>
    <w:rsid w:val="0846341A"/>
    <w:rsid w:val="0846348C"/>
    <w:rsid w:val="084634B4"/>
    <w:rsid w:val="084634B9"/>
    <w:rsid w:val="084634E3"/>
    <w:rsid w:val="084634E7"/>
    <w:rsid w:val="0846350D"/>
    <w:rsid w:val="08463563"/>
    <w:rsid w:val="08463583"/>
    <w:rsid w:val="084635A6"/>
    <w:rsid w:val="08463641"/>
    <w:rsid w:val="08463646"/>
    <w:rsid w:val="08463667"/>
    <w:rsid w:val="084636EB"/>
    <w:rsid w:val="08463832"/>
    <w:rsid w:val="08463A26"/>
    <w:rsid w:val="08463A8F"/>
    <w:rsid w:val="08463AC9"/>
    <w:rsid w:val="08463AE9"/>
    <w:rsid w:val="08463AEC"/>
    <w:rsid w:val="08463B8D"/>
    <w:rsid w:val="08463BDC"/>
    <w:rsid w:val="08463BE6"/>
    <w:rsid w:val="08463D0F"/>
    <w:rsid w:val="08463D25"/>
    <w:rsid w:val="08463D2F"/>
    <w:rsid w:val="08463D30"/>
    <w:rsid w:val="08463D44"/>
    <w:rsid w:val="08463D5D"/>
    <w:rsid w:val="08463D9F"/>
    <w:rsid w:val="08463EE4"/>
    <w:rsid w:val="08463EFB"/>
    <w:rsid w:val="08463EFD"/>
    <w:rsid w:val="08463F42"/>
    <w:rsid w:val="0846409E"/>
    <w:rsid w:val="08464154"/>
    <w:rsid w:val="084641B9"/>
    <w:rsid w:val="0846430A"/>
    <w:rsid w:val="08464314"/>
    <w:rsid w:val="08464336"/>
    <w:rsid w:val="084643E2"/>
    <w:rsid w:val="084643E4"/>
    <w:rsid w:val="0846442E"/>
    <w:rsid w:val="0846447E"/>
    <w:rsid w:val="08464489"/>
    <w:rsid w:val="084644A8"/>
    <w:rsid w:val="08464527"/>
    <w:rsid w:val="08464598"/>
    <w:rsid w:val="084645DB"/>
    <w:rsid w:val="08464633"/>
    <w:rsid w:val="08464702"/>
    <w:rsid w:val="0846479A"/>
    <w:rsid w:val="084647EF"/>
    <w:rsid w:val="08464939"/>
    <w:rsid w:val="08464949"/>
    <w:rsid w:val="084649C6"/>
    <w:rsid w:val="084649C8"/>
    <w:rsid w:val="08464A47"/>
    <w:rsid w:val="08464B60"/>
    <w:rsid w:val="08464B81"/>
    <w:rsid w:val="08464BCC"/>
    <w:rsid w:val="08464C16"/>
    <w:rsid w:val="08464C57"/>
    <w:rsid w:val="08464C5D"/>
    <w:rsid w:val="08464CE4"/>
    <w:rsid w:val="08464DF7"/>
    <w:rsid w:val="08464E0B"/>
    <w:rsid w:val="08464E22"/>
    <w:rsid w:val="08464E86"/>
    <w:rsid w:val="08464FA3"/>
    <w:rsid w:val="08465015"/>
    <w:rsid w:val="08465079"/>
    <w:rsid w:val="084650C3"/>
    <w:rsid w:val="08465136"/>
    <w:rsid w:val="08465138"/>
    <w:rsid w:val="0846520C"/>
    <w:rsid w:val="08465211"/>
    <w:rsid w:val="08465223"/>
    <w:rsid w:val="0846528E"/>
    <w:rsid w:val="084653AA"/>
    <w:rsid w:val="0846546E"/>
    <w:rsid w:val="08465572"/>
    <w:rsid w:val="084656DB"/>
    <w:rsid w:val="084656F8"/>
    <w:rsid w:val="08465710"/>
    <w:rsid w:val="0846572E"/>
    <w:rsid w:val="084657AC"/>
    <w:rsid w:val="084657B2"/>
    <w:rsid w:val="08465958"/>
    <w:rsid w:val="08465967"/>
    <w:rsid w:val="084659D3"/>
    <w:rsid w:val="084659F3"/>
    <w:rsid w:val="08465B29"/>
    <w:rsid w:val="08465C70"/>
    <w:rsid w:val="08465CFF"/>
    <w:rsid w:val="08465D89"/>
    <w:rsid w:val="08465E4B"/>
    <w:rsid w:val="08465E6E"/>
    <w:rsid w:val="08465E7A"/>
    <w:rsid w:val="08465FA7"/>
    <w:rsid w:val="08465FC3"/>
    <w:rsid w:val="08466051"/>
    <w:rsid w:val="0846613D"/>
    <w:rsid w:val="08466202"/>
    <w:rsid w:val="084662B3"/>
    <w:rsid w:val="08466305"/>
    <w:rsid w:val="0846631A"/>
    <w:rsid w:val="08466379"/>
    <w:rsid w:val="084663E1"/>
    <w:rsid w:val="08466453"/>
    <w:rsid w:val="084664E8"/>
    <w:rsid w:val="08466569"/>
    <w:rsid w:val="084665BE"/>
    <w:rsid w:val="084665C8"/>
    <w:rsid w:val="084666FC"/>
    <w:rsid w:val="084667A6"/>
    <w:rsid w:val="084667ED"/>
    <w:rsid w:val="084667F2"/>
    <w:rsid w:val="0846690F"/>
    <w:rsid w:val="08466918"/>
    <w:rsid w:val="0846698F"/>
    <w:rsid w:val="084669A9"/>
    <w:rsid w:val="08466A0A"/>
    <w:rsid w:val="08466A26"/>
    <w:rsid w:val="08466B14"/>
    <w:rsid w:val="08466B5E"/>
    <w:rsid w:val="08466BED"/>
    <w:rsid w:val="08466C4D"/>
    <w:rsid w:val="08466CB8"/>
    <w:rsid w:val="08466CC4"/>
    <w:rsid w:val="08466E9C"/>
    <w:rsid w:val="08467008"/>
    <w:rsid w:val="08467017"/>
    <w:rsid w:val="0846703C"/>
    <w:rsid w:val="0846704E"/>
    <w:rsid w:val="08467052"/>
    <w:rsid w:val="0846707F"/>
    <w:rsid w:val="084671BA"/>
    <w:rsid w:val="08467398"/>
    <w:rsid w:val="08467498"/>
    <w:rsid w:val="08467605"/>
    <w:rsid w:val="08467616"/>
    <w:rsid w:val="08467632"/>
    <w:rsid w:val="084676C6"/>
    <w:rsid w:val="084676CB"/>
    <w:rsid w:val="08467713"/>
    <w:rsid w:val="08467772"/>
    <w:rsid w:val="084678A0"/>
    <w:rsid w:val="084678C6"/>
    <w:rsid w:val="08467902"/>
    <w:rsid w:val="08467B53"/>
    <w:rsid w:val="08467C07"/>
    <w:rsid w:val="08467C55"/>
    <w:rsid w:val="08467CFF"/>
    <w:rsid w:val="08467D50"/>
    <w:rsid w:val="08467DA3"/>
    <w:rsid w:val="08467DCD"/>
    <w:rsid w:val="08467F09"/>
    <w:rsid w:val="0847005E"/>
    <w:rsid w:val="0847010F"/>
    <w:rsid w:val="08470114"/>
    <w:rsid w:val="08470121"/>
    <w:rsid w:val="08470152"/>
    <w:rsid w:val="08470204"/>
    <w:rsid w:val="08470254"/>
    <w:rsid w:val="08470267"/>
    <w:rsid w:val="0847026B"/>
    <w:rsid w:val="08470304"/>
    <w:rsid w:val="0847039B"/>
    <w:rsid w:val="0847054F"/>
    <w:rsid w:val="0847064F"/>
    <w:rsid w:val="084706A3"/>
    <w:rsid w:val="084707B3"/>
    <w:rsid w:val="08470856"/>
    <w:rsid w:val="0847085D"/>
    <w:rsid w:val="08470880"/>
    <w:rsid w:val="084708E8"/>
    <w:rsid w:val="08470927"/>
    <w:rsid w:val="08470A28"/>
    <w:rsid w:val="08470A77"/>
    <w:rsid w:val="08470A92"/>
    <w:rsid w:val="08470AF1"/>
    <w:rsid w:val="08470B2D"/>
    <w:rsid w:val="08470B44"/>
    <w:rsid w:val="08470B5A"/>
    <w:rsid w:val="08470BB6"/>
    <w:rsid w:val="08470C07"/>
    <w:rsid w:val="08470CD6"/>
    <w:rsid w:val="08470D59"/>
    <w:rsid w:val="08470FA9"/>
    <w:rsid w:val="08471000"/>
    <w:rsid w:val="08471181"/>
    <w:rsid w:val="08471187"/>
    <w:rsid w:val="08471269"/>
    <w:rsid w:val="084712CB"/>
    <w:rsid w:val="08471319"/>
    <w:rsid w:val="0847133A"/>
    <w:rsid w:val="08471378"/>
    <w:rsid w:val="08471457"/>
    <w:rsid w:val="08471470"/>
    <w:rsid w:val="084714C1"/>
    <w:rsid w:val="08471565"/>
    <w:rsid w:val="084715DD"/>
    <w:rsid w:val="08471606"/>
    <w:rsid w:val="0847161D"/>
    <w:rsid w:val="0847162D"/>
    <w:rsid w:val="08471683"/>
    <w:rsid w:val="08471785"/>
    <w:rsid w:val="084717B8"/>
    <w:rsid w:val="084717D2"/>
    <w:rsid w:val="08471817"/>
    <w:rsid w:val="08471855"/>
    <w:rsid w:val="0847185D"/>
    <w:rsid w:val="08471870"/>
    <w:rsid w:val="084718C0"/>
    <w:rsid w:val="08471943"/>
    <w:rsid w:val="08471A30"/>
    <w:rsid w:val="08471AC8"/>
    <w:rsid w:val="08471B45"/>
    <w:rsid w:val="08471B5F"/>
    <w:rsid w:val="08471B63"/>
    <w:rsid w:val="08471B73"/>
    <w:rsid w:val="08471C72"/>
    <w:rsid w:val="08471C96"/>
    <w:rsid w:val="08471CCD"/>
    <w:rsid w:val="08471D1E"/>
    <w:rsid w:val="08471E48"/>
    <w:rsid w:val="08471E86"/>
    <w:rsid w:val="08471EA7"/>
    <w:rsid w:val="08471EEA"/>
    <w:rsid w:val="08471F32"/>
    <w:rsid w:val="08471F3D"/>
    <w:rsid w:val="08471F41"/>
    <w:rsid w:val="08471F4A"/>
    <w:rsid w:val="08471F6F"/>
    <w:rsid w:val="08471F70"/>
    <w:rsid w:val="08471F77"/>
    <w:rsid w:val="0847205B"/>
    <w:rsid w:val="08472093"/>
    <w:rsid w:val="0847213C"/>
    <w:rsid w:val="084721EB"/>
    <w:rsid w:val="08472299"/>
    <w:rsid w:val="08472339"/>
    <w:rsid w:val="08472372"/>
    <w:rsid w:val="084723C8"/>
    <w:rsid w:val="084723D9"/>
    <w:rsid w:val="08472407"/>
    <w:rsid w:val="0847240C"/>
    <w:rsid w:val="08472451"/>
    <w:rsid w:val="0847245A"/>
    <w:rsid w:val="084724FF"/>
    <w:rsid w:val="0847254D"/>
    <w:rsid w:val="08472558"/>
    <w:rsid w:val="08472608"/>
    <w:rsid w:val="084726E1"/>
    <w:rsid w:val="084726E6"/>
    <w:rsid w:val="084726E7"/>
    <w:rsid w:val="0847279B"/>
    <w:rsid w:val="0847280E"/>
    <w:rsid w:val="084729EB"/>
    <w:rsid w:val="08472A50"/>
    <w:rsid w:val="08472AB2"/>
    <w:rsid w:val="08472AD7"/>
    <w:rsid w:val="08472B20"/>
    <w:rsid w:val="08472BA3"/>
    <w:rsid w:val="08472BCE"/>
    <w:rsid w:val="08472BF6"/>
    <w:rsid w:val="08472C1D"/>
    <w:rsid w:val="08472C62"/>
    <w:rsid w:val="08472C6A"/>
    <w:rsid w:val="08472CE0"/>
    <w:rsid w:val="08472CF9"/>
    <w:rsid w:val="08472D11"/>
    <w:rsid w:val="08472DBB"/>
    <w:rsid w:val="08472E54"/>
    <w:rsid w:val="08472EA0"/>
    <w:rsid w:val="08472F14"/>
    <w:rsid w:val="08472FFC"/>
    <w:rsid w:val="08473110"/>
    <w:rsid w:val="0847312B"/>
    <w:rsid w:val="084731D3"/>
    <w:rsid w:val="084731E6"/>
    <w:rsid w:val="0847323A"/>
    <w:rsid w:val="08473279"/>
    <w:rsid w:val="084732AF"/>
    <w:rsid w:val="08473303"/>
    <w:rsid w:val="0847335E"/>
    <w:rsid w:val="0847337A"/>
    <w:rsid w:val="0847337E"/>
    <w:rsid w:val="084733B4"/>
    <w:rsid w:val="084733CD"/>
    <w:rsid w:val="084733CE"/>
    <w:rsid w:val="08473468"/>
    <w:rsid w:val="084734DF"/>
    <w:rsid w:val="08473551"/>
    <w:rsid w:val="084735B1"/>
    <w:rsid w:val="084735EE"/>
    <w:rsid w:val="08473612"/>
    <w:rsid w:val="08473618"/>
    <w:rsid w:val="0847364C"/>
    <w:rsid w:val="0847365F"/>
    <w:rsid w:val="084736CF"/>
    <w:rsid w:val="0847370C"/>
    <w:rsid w:val="08473749"/>
    <w:rsid w:val="08473787"/>
    <w:rsid w:val="08473801"/>
    <w:rsid w:val="08473908"/>
    <w:rsid w:val="08473A99"/>
    <w:rsid w:val="08473B11"/>
    <w:rsid w:val="08473C4B"/>
    <w:rsid w:val="08473D69"/>
    <w:rsid w:val="08473D7F"/>
    <w:rsid w:val="08473D8D"/>
    <w:rsid w:val="08473E8F"/>
    <w:rsid w:val="08473FEA"/>
    <w:rsid w:val="084740E1"/>
    <w:rsid w:val="08474173"/>
    <w:rsid w:val="08474175"/>
    <w:rsid w:val="0847424E"/>
    <w:rsid w:val="08474286"/>
    <w:rsid w:val="08474321"/>
    <w:rsid w:val="0847437B"/>
    <w:rsid w:val="084744B3"/>
    <w:rsid w:val="0847456B"/>
    <w:rsid w:val="08474576"/>
    <w:rsid w:val="084745A9"/>
    <w:rsid w:val="084745FE"/>
    <w:rsid w:val="0847464A"/>
    <w:rsid w:val="084746E5"/>
    <w:rsid w:val="0847481D"/>
    <w:rsid w:val="08474820"/>
    <w:rsid w:val="0847482C"/>
    <w:rsid w:val="08474832"/>
    <w:rsid w:val="084749CF"/>
    <w:rsid w:val="084749D4"/>
    <w:rsid w:val="08474A41"/>
    <w:rsid w:val="08474ACC"/>
    <w:rsid w:val="08474B99"/>
    <w:rsid w:val="08474BB1"/>
    <w:rsid w:val="08474CA6"/>
    <w:rsid w:val="08474CA9"/>
    <w:rsid w:val="08474CFB"/>
    <w:rsid w:val="08474D32"/>
    <w:rsid w:val="08474DAF"/>
    <w:rsid w:val="08474DB9"/>
    <w:rsid w:val="08474DD0"/>
    <w:rsid w:val="08474E0A"/>
    <w:rsid w:val="08474E9B"/>
    <w:rsid w:val="08474EA9"/>
    <w:rsid w:val="08474EE7"/>
    <w:rsid w:val="08474F07"/>
    <w:rsid w:val="08474FDD"/>
    <w:rsid w:val="08474FE1"/>
    <w:rsid w:val="08475010"/>
    <w:rsid w:val="08475041"/>
    <w:rsid w:val="0847516A"/>
    <w:rsid w:val="084751E4"/>
    <w:rsid w:val="08475204"/>
    <w:rsid w:val="0847520A"/>
    <w:rsid w:val="084752B8"/>
    <w:rsid w:val="08475444"/>
    <w:rsid w:val="084754A2"/>
    <w:rsid w:val="084754C2"/>
    <w:rsid w:val="084754C5"/>
    <w:rsid w:val="08475537"/>
    <w:rsid w:val="08475538"/>
    <w:rsid w:val="0847553F"/>
    <w:rsid w:val="08475562"/>
    <w:rsid w:val="08475575"/>
    <w:rsid w:val="08475659"/>
    <w:rsid w:val="0847570D"/>
    <w:rsid w:val="08475786"/>
    <w:rsid w:val="0847579D"/>
    <w:rsid w:val="084757C9"/>
    <w:rsid w:val="084759EC"/>
    <w:rsid w:val="08475B52"/>
    <w:rsid w:val="08475BE4"/>
    <w:rsid w:val="08475C07"/>
    <w:rsid w:val="08475C1F"/>
    <w:rsid w:val="08475C5A"/>
    <w:rsid w:val="08475CF7"/>
    <w:rsid w:val="08475D42"/>
    <w:rsid w:val="08475D80"/>
    <w:rsid w:val="08475E2A"/>
    <w:rsid w:val="08475F62"/>
    <w:rsid w:val="08475FCB"/>
    <w:rsid w:val="0847601D"/>
    <w:rsid w:val="0847601F"/>
    <w:rsid w:val="084760BC"/>
    <w:rsid w:val="08476117"/>
    <w:rsid w:val="08476137"/>
    <w:rsid w:val="084761FE"/>
    <w:rsid w:val="084762F1"/>
    <w:rsid w:val="0847632F"/>
    <w:rsid w:val="08476438"/>
    <w:rsid w:val="084764DA"/>
    <w:rsid w:val="084764EC"/>
    <w:rsid w:val="0847651D"/>
    <w:rsid w:val="0847652A"/>
    <w:rsid w:val="08476545"/>
    <w:rsid w:val="084766BF"/>
    <w:rsid w:val="084766DB"/>
    <w:rsid w:val="08476726"/>
    <w:rsid w:val="08476788"/>
    <w:rsid w:val="084767B5"/>
    <w:rsid w:val="08476832"/>
    <w:rsid w:val="08476836"/>
    <w:rsid w:val="084768E5"/>
    <w:rsid w:val="084768EE"/>
    <w:rsid w:val="08476906"/>
    <w:rsid w:val="084769CC"/>
    <w:rsid w:val="08476B34"/>
    <w:rsid w:val="08476B56"/>
    <w:rsid w:val="08476BB5"/>
    <w:rsid w:val="08476BF5"/>
    <w:rsid w:val="08476CD9"/>
    <w:rsid w:val="08476D1F"/>
    <w:rsid w:val="08476E7D"/>
    <w:rsid w:val="08476F6A"/>
    <w:rsid w:val="08476FDF"/>
    <w:rsid w:val="08476FEE"/>
    <w:rsid w:val="08477048"/>
    <w:rsid w:val="0847706E"/>
    <w:rsid w:val="0847707E"/>
    <w:rsid w:val="084770C2"/>
    <w:rsid w:val="08477107"/>
    <w:rsid w:val="08477128"/>
    <w:rsid w:val="084771B2"/>
    <w:rsid w:val="08477205"/>
    <w:rsid w:val="08477266"/>
    <w:rsid w:val="084772B9"/>
    <w:rsid w:val="084772C7"/>
    <w:rsid w:val="0847734A"/>
    <w:rsid w:val="08477402"/>
    <w:rsid w:val="08477405"/>
    <w:rsid w:val="08477437"/>
    <w:rsid w:val="084774DC"/>
    <w:rsid w:val="08477500"/>
    <w:rsid w:val="08477634"/>
    <w:rsid w:val="084777B9"/>
    <w:rsid w:val="084778B9"/>
    <w:rsid w:val="08477956"/>
    <w:rsid w:val="0847795D"/>
    <w:rsid w:val="0847797F"/>
    <w:rsid w:val="08477A2E"/>
    <w:rsid w:val="08477A2F"/>
    <w:rsid w:val="08477B26"/>
    <w:rsid w:val="08477C02"/>
    <w:rsid w:val="08477D43"/>
    <w:rsid w:val="08477DCE"/>
    <w:rsid w:val="08477E65"/>
    <w:rsid w:val="08477E81"/>
    <w:rsid w:val="08477F10"/>
    <w:rsid w:val="08477F58"/>
    <w:rsid w:val="08477F74"/>
    <w:rsid w:val="08477FB2"/>
    <w:rsid w:val="08477FF5"/>
    <w:rsid w:val="08480022"/>
    <w:rsid w:val="08480042"/>
    <w:rsid w:val="0848007C"/>
    <w:rsid w:val="084800AB"/>
    <w:rsid w:val="08480145"/>
    <w:rsid w:val="084801A3"/>
    <w:rsid w:val="08480280"/>
    <w:rsid w:val="0848037A"/>
    <w:rsid w:val="0848043E"/>
    <w:rsid w:val="08480579"/>
    <w:rsid w:val="084805C7"/>
    <w:rsid w:val="08480696"/>
    <w:rsid w:val="0848072C"/>
    <w:rsid w:val="0848075D"/>
    <w:rsid w:val="08480775"/>
    <w:rsid w:val="084807F4"/>
    <w:rsid w:val="08480819"/>
    <w:rsid w:val="0848092A"/>
    <w:rsid w:val="0848097C"/>
    <w:rsid w:val="08480987"/>
    <w:rsid w:val="084809A2"/>
    <w:rsid w:val="08480A1D"/>
    <w:rsid w:val="08480A37"/>
    <w:rsid w:val="08480A6C"/>
    <w:rsid w:val="08480AFD"/>
    <w:rsid w:val="08480B38"/>
    <w:rsid w:val="08480BAC"/>
    <w:rsid w:val="08480C89"/>
    <w:rsid w:val="08480CA5"/>
    <w:rsid w:val="08480D5A"/>
    <w:rsid w:val="08480DCA"/>
    <w:rsid w:val="08480DFB"/>
    <w:rsid w:val="08480E03"/>
    <w:rsid w:val="08480E3E"/>
    <w:rsid w:val="08480E45"/>
    <w:rsid w:val="08480E93"/>
    <w:rsid w:val="08480EB7"/>
    <w:rsid w:val="08480F19"/>
    <w:rsid w:val="08480F6F"/>
    <w:rsid w:val="08481044"/>
    <w:rsid w:val="08481095"/>
    <w:rsid w:val="084810CF"/>
    <w:rsid w:val="08481151"/>
    <w:rsid w:val="0848118F"/>
    <w:rsid w:val="084811DD"/>
    <w:rsid w:val="0848122C"/>
    <w:rsid w:val="0848127D"/>
    <w:rsid w:val="08481282"/>
    <w:rsid w:val="08481391"/>
    <w:rsid w:val="084813DC"/>
    <w:rsid w:val="084813DD"/>
    <w:rsid w:val="0848144A"/>
    <w:rsid w:val="084814C3"/>
    <w:rsid w:val="084814E4"/>
    <w:rsid w:val="084814ED"/>
    <w:rsid w:val="0848158B"/>
    <w:rsid w:val="0848163D"/>
    <w:rsid w:val="08481662"/>
    <w:rsid w:val="084816FD"/>
    <w:rsid w:val="08481709"/>
    <w:rsid w:val="0848171D"/>
    <w:rsid w:val="08481793"/>
    <w:rsid w:val="084818A0"/>
    <w:rsid w:val="084818AB"/>
    <w:rsid w:val="084818E9"/>
    <w:rsid w:val="084819F6"/>
    <w:rsid w:val="08481B71"/>
    <w:rsid w:val="08481BBF"/>
    <w:rsid w:val="08481C38"/>
    <w:rsid w:val="08481C9C"/>
    <w:rsid w:val="08481CA2"/>
    <w:rsid w:val="08481D75"/>
    <w:rsid w:val="08481E16"/>
    <w:rsid w:val="08481FEC"/>
    <w:rsid w:val="0848201D"/>
    <w:rsid w:val="0848206A"/>
    <w:rsid w:val="08482098"/>
    <w:rsid w:val="08482124"/>
    <w:rsid w:val="08482193"/>
    <w:rsid w:val="08482225"/>
    <w:rsid w:val="0848233E"/>
    <w:rsid w:val="0848234E"/>
    <w:rsid w:val="0848262C"/>
    <w:rsid w:val="08482693"/>
    <w:rsid w:val="084826A3"/>
    <w:rsid w:val="084826E5"/>
    <w:rsid w:val="084827BA"/>
    <w:rsid w:val="0848282D"/>
    <w:rsid w:val="0848295C"/>
    <w:rsid w:val="0848297B"/>
    <w:rsid w:val="084829A7"/>
    <w:rsid w:val="084829B9"/>
    <w:rsid w:val="084829BD"/>
    <w:rsid w:val="084829D2"/>
    <w:rsid w:val="084829D4"/>
    <w:rsid w:val="08482A3A"/>
    <w:rsid w:val="08482A66"/>
    <w:rsid w:val="08482AA8"/>
    <w:rsid w:val="08482AE6"/>
    <w:rsid w:val="08482B5F"/>
    <w:rsid w:val="08482BA1"/>
    <w:rsid w:val="08482C15"/>
    <w:rsid w:val="08482DA7"/>
    <w:rsid w:val="08482DE6"/>
    <w:rsid w:val="08482DE8"/>
    <w:rsid w:val="08482E2C"/>
    <w:rsid w:val="08482E36"/>
    <w:rsid w:val="08482E76"/>
    <w:rsid w:val="08482EBE"/>
    <w:rsid w:val="08482EDE"/>
    <w:rsid w:val="08482FDE"/>
    <w:rsid w:val="084830BC"/>
    <w:rsid w:val="084830E3"/>
    <w:rsid w:val="08483239"/>
    <w:rsid w:val="084832C0"/>
    <w:rsid w:val="08483333"/>
    <w:rsid w:val="08483422"/>
    <w:rsid w:val="08483436"/>
    <w:rsid w:val="08483449"/>
    <w:rsid w:val="084835BD"/>
    <w:rsid w:val="084835F6"/>
    <w:rsid w:val="0848369E"/>
    <w:rsid w:val="0848370B"/>
    <w:rsid w:val="08483714"/>
    <w:rsid w:val="084837AB"/>
    <w:rsid w:val="084837EE"/>
    <w:rsid w:val="0848382F"/>
    <w:rsid w:val="08483999"/>
    <w:rsid w:val="08483A3D"/>
    <w:rsid w:val="08483ACE"/>
    <w:rsid w:val="08483AFD"/>
    <w:rsid w:val="08483BBC"/>
    <w:rsid w:val="08483C2A"/>
    <w:rsid w:val="08483C4A"/>
    <w:rsid w:val="08483C8F"/>
    <w:rsid w:val="08483D2E"/>
    <w:rsid w:val="08483D58"/>
    <w:rsid w:val="08483D6C"/>
    <w:rsid w:val="08483D98"/>
    <w:rsid w:val="08483DB0"/>
    <w:rsid w:val="08483DD7"/>
    <w:rsid w:val="08483E6D"/>
    <w:rsid w:val="08483EDB"/>
    <w:rsid w:val="08483F08"/>
    <w:rsid w:val="0848409D"/>
    <w:rsid w:val="084840F1"/>
    <w:rsid w:val="0848417C"/>
    <w:rsid w:val="084842BC"/>
    <w:rsid w:val="0848433C"/>
    <w:rsid w:val="08484393"/>
    <w:rsid w:val="0848446C"/>
    <w:rsid w:val="0848447E"/>
    <w:rsid w:val="08484526"/>
    <w:rsid w:val="08484544"/>
    <w:rsid w:val="08484581"/>
    <w:rsid w:val="08484680"/>
    <w:rsid w:val="084846E6"/>
    <w:rsid w:val="08484888"/>
    <w:rsid w:val="08484893"/>
    <w:rsid w:val="08484899"/>
    <w:rsid w:val="0848491F"/>
    <w:rsid w:val="08484929"/>
    <w:rsid w:val="08484961"/>
    <w:rsid w:val="084849AD"/>
    <w:rsid w:val="08484ACE"/>
    <w:rsid w:val="08484B11"/>
    <w:rsid w:val="08484B6C"/>
    <w:rsid w:val="08484BF2"/>
    <w:rsid w:val="08484C14"/>
    <w:rsid w:val="08484C90"/>
    <w:rsid w:val="08484E17"/>
    <w:rsid w:val="08484EAB"/>
    <w:rsid w:val="08484F0F"/>
    <w:rsid w:val="08484F4E"/>
    <w:rsid w:val="08484F9F"/>
    <w:rsid w:val="08484FB4"/>
    <w:rsid w:val="08484FD0"/>
    <w:rsid w:val="08485033"/>
    <w:rsid w:val="08485067"/>
    <w:rsid w:val="084850BD"/>
    <w:rsid w:val="0848516E"/>
    <w:rsid w:val="084851C6"/>
    <w:rsid w:val="084851DE"/>
    <w:rsid w:val="08485224"/>
    <w:rsid w:val="0848538F"/>
    <w:rsid w:val="08485390"/>
    <w:rsid w:val="084853BC"/>
    <w:rsid w:val="084853D1"/>
    <w:rsid w:val="08485460"/>
    <w:rsid w:val="084854FF"/>
    <w:rsid w:val="08485665"/>
    <w:rsid w:val="08485825"/>
    <w:rsid w:val="08485873"/>
    <w:rsid w:val="08485885"/>
    <w:rsid w:val="084858AF"/>
    <w:rsid w:val="08485969"/>
    <w:rsid w:val="0848596D"/>
    <w:rsid w:val="08485988"/>
    <w:rsid w:val="084859B9"/>
    <w:rsid w:val="084859D2"/>
    <w:rsid w:val="08485A7A"/>
    <w:rsid w:val="08485A8C"/>
    <w:rsid w:val="08485A93"/>
    <w:rsid w:val="08485B51"/>
    <w:rsid w:val="08485B88"/>
    <w:rsid w:val="08485BAE"/>
    <w:rsid w:val="08485CE7"/>
    <w:rsid w:val="08485CFB"/>
    <w:rsid w:val="08485D17"/>
    <w:rsid w:val="08485D41"/>
    <w:rsid w:val="08485D68"/>
    <w:rsid w:val="08485DC0"/>
    <w:rsid w:val="08485DDD"/>
    <w:rsid w:val="08485E2A"/>
    <w:rsid w:val="08485E89"/>
    <w:rsid w:val="08485EAB"/>
    <w:rsid w:val="08485ED6"/>
    <w:rsid w:val="08485F48"/>
    <w:rsid w:val="08486001"/>
    <w:rsid w:val="08486011"/>
    <w:rsid w:val="08486018"/>
    <w:rsid w:val="0848608D"/>
    <w:rsid w:val="08486120"/>
    <w:rsid w:val="08486132"/>
    <w:rsid w:val="08486296"/>
    <w:rsid w:val="084862D1"/>
    <w:rsid w:val="08486331"/>
    <w:rsid w:val="08486379"/>
    <w:rsid w:val="08486459"/>
    <w:rsid w:val="084864A1"/>
    <w:rsid w:val="084864A8"/>
    <w:rsid w:val="08486572"/>
    <w:rsid w:val="084865BE"/>
    <w:rsid w:val="08486632"/>
    <w:rsid w:val="084866F3"/>
    <w:rsid w:val="084866F9"/>
    <w:rsid w:val="08486740"/>
    <w:rsid w:val="08486883"/>
    <w:rsid w:val="084868CC"/>
    <w:rsid w:val="08486963"/>
    <w:rsid w:val="08486A80"/>
    <w:rsid w:val="08486A85"/>
    <w:rsid w:val="08486B87"/>
    <w:rsid w:val="08486BB9"/>
    <w:rsid w:val="08486BC3"/>
    <w:rsid w:val="08486BF9"/>
    <w:rsid w:val="08486C78"/>
    <w:rsid w:val="08486D4D"/>
    <w:rsid w:val="08486E69"/>
    <w:rsid w:val="08486E87"/>
    <w:rsid w:val="08486EB0"/>
    <w:rsid w:val="08486EE7"/>
    <w:rsid w:val="0848706B"/>
    <w:rsid w:val="0848707B"/>
    <w:rsid w:val="084870E6"/>
    <w:rsid w:val="08487104"/>
    <w:rsid w:val="08487130"/>
    <w:rsid w:val="08487134"/>
    <w:rsid w:val="08487185"/>
    <w:rsid w:val="084871B5"/>
    <w:rsid w:val="084871D2"/>
    <w:rsid w:val="08487202"/>
    <w:rsid w:val="084872BF"/>
    <w:rsid w:val="08487334"/>
    <w:rsid w:val="08487364"/>
    <w:rsid w:val="084873CC"/>
    <w:rsid w:val="08487427"/>
    <w:rsid w:val="08487435"/>
    <w:rsid w:val="084874A5"/>
    <w:rsid w:val="084874AE"/>
    <w:rsid w:val="084874C0"/>
    <w:rsid w:val="084875E4"/>
    <w:rsid w:val="0848772E"/>
    <w:rsid w:val="0848782C"/>
    <w:rsid w:val="08487830"/>
    <w:rsid w:val="084878B3"/>
    <w:rsid w:val="08487915"/>
    <w:rsid w:val="08487984"/>
    <w:rsid w:val="08487A30"/>
    <w:rsid w:val="08487B19"/>
    <w:rsid w:val="08487B2C"/>
    <w:rsid w:val="08487C64"/>
    <w:rsid w:val="08487C97"/>
    <w:rsid w:val="08487CE2"/>
    <w:rsid w:val="08487D51"/>
    <w:rsid w:val="08487D66"/>
    <w:rsid w:val="08487D84"/>
    <w:rsid w:val="08487D88"/>
    <w:rsid w:val="08487E1E"/>
    <w:rsid w:val="08487E34"/>
    <w:rsid w:val="08487E66"/>
    <w:rsid w:val="08487EF4"/>
    <w:rsid w:val="08487F9C"/>
    <w:rsid w:val="08487FB0"/>
    <w:rsid w:val="0849000C"/>
    <w:rsid w:val="0849007D"/>
    <w:rsid w:val="0849012F"/>
    <w:rsid w:val="08490159"/>
    <w:rsid w:val="084901A7"/>
    <w:rsid w:val="08490442"/>
    <w:rsid w:val="084904D6"/>
    <w:rsid w:val="08490555"/>
    <w:rsid w:val="0849056D"/>
    <w:rsid w:val="0849057F"/>
    <w:rsid w:val="08490599"/>
    <w:rsid w:val="0849064C"/>
    <w:rsid w:val="0849068E"/>
    <w:rsid w:val="084906C9"/>
    <w:rsid w:val="08490715"/>
    <w:rsid w:val="084907D5"/>
    <w:rsid w:val="084908D6"/>
    <w:rsid w:val="084908D8"/>
    <w:rsid w:val="0849090E"/>
    <w:rsid w:val="08490914"/>
    <w:rsid w:val="0849094A"/>
    <w:rsid w:val="084909E0"/>
    <w:rsid w:val="08490A0D"/>
    <w:rsid w:val="08490A1E"/>
    <w:rsid w:val="08490AB0"/>
    <w:rsid w:val="08490C4B"/>
    <w:rsid w:val="08490C5F"/>
    <w:rsid w:val="08490CD9"/>
    <w:rsid w:val="08490D1E"/>
    <w:rsid w:val="08490D66"/>
    <w:rsid w:val="08490DE6"/>
    <w:rsid w:val="08490EF2"/>
    <w:rsid w:val="08490F06"/>
    <w:rsid w:val="08490F76"/>
    <w:rsid w:val="08490F77"/>
    <w:rsid w:val="08490FD9"/>
    <w:rsid w:val="08491085"/>
    <w:rsid w:val="084910A4"/>
    <w:rsid w:val="084911C8"/>
    <w:rsid w:val="0849120B"/>
    <w:rsid w:val="08491324"/>
    <w:rsid w:val="08491325"/>
    <w:rsid w:val="08491348"/>
    <w:rsid w:val="08491368"/>
    <w:rsid w:val="084913A3"/>
    <w:rsid w:val="084913D0"/>
    <w:rsid w:val="08491406"/>
    <w:rsid w:val="084914A2"/>
    <w:rsid w:val="084914D2"/>
    <w:rsid w:val="0849153E"/>
    <w:rsid w:val="08491558"/>
    <w:rsid w:val="08491660"/>
    <w:rsid w:val="084916E1"/>
    <w:rsid w:val="08491715"/>
    <w:rsid w:val="0849175E"/>
    <w:rsid w:val="08491796"/>
    <w:rsid w:val="084917DC"/>
    <w:rsid w:val="08491800"/>
    <w:rsid w:val="0849180F"/>
    <w:rsid w:val="08491828"/>
    <w:rsid w:val="08491872"/>
    <w:rsid w:val="08491957"/>
    <w:rsid w:val="084919C4"/>
    <w:rsid w:val="084919E8"/>
    <w:rsid w:val="084919FD"/>
    <w:rsid w:val="08491B07"/>
    <w:rsid w:val="08491B22"/>
    <w:rsid w:val="08491BE0"/>
    <w:rsid w:val="08491BFA"/>
    <w:rsid w:val="08491BFB"/>
    <w:rsid w:val="08491C43"/>
    <w:rsid w:val="08491C68"/>
    <w:rsid w:val="08491C82"/>
    <w:rsid w:val="08491CE3"/>
    <w:rsid w:val="08491CFC"/>
    <w:rsid w:val="08491D1F"/>
    <w:rsid w:val="08491D75"/>
    <w:rsid w:val="08491E26"/>
    <w:rsid w:val="08491E35"/>
    <w:rsid w:val="08491E8B"/>
    <w:rsid w:val="08491EB6"/>
    <w:rsid w:val="08491F60"/>
    <w:rsid w:val="08492060"/>
    <w:rsid w:val="084920A4"/>
    <w:rsid w:val="08492181"/>
    <w:rsid w:val="084922F7"/>
    <w:rsid w:val="0849231E"/>
    <w:rsid w:val="084923AA"/>
    <w:rsid w:val="084923C4"/>
    <w:rsid w:val="084924B9"/>
    <w:rsid w:val="084924CC"/>
    <w:rsid w:val="084924F7"/>
    <w:rsid w:val="084925A9"/>
    <w:rsid w:val="084925C0"/>
    <w:rsid w:val="08492690"/>
    <w:rsid w:val="08492698"/>
    <w:rsid w:val="0849270E"/>
    <w:rsid w:val="084927C7"/>
    <w:rsid w:val="084927EB"/>
    <w:rsid w:val="0849280F"/>
    <w:rsid w:val="0849281B"/>
    <w:rsid w:val="08492944"/>
    <w:rsid w:val="084929B4"/>
    <w:rsid w:val="084929BA"/>
    <w:rsid w:val="08492A38"/>
    <w:rsid w:val="08492B24"/>
    <w:rsid w:val="08492BCC"/>
    <w:rsid w:val="08492BFA"/>
    <w:rsid w:val="08492E47"/>
    <w:rsid w:val="08492ECB"/>
    <w:rsid w:val="08493057"/>
    <w:rsid w:val="08493083"/>
    <w:rsid w:val="084930B2"/>
    <w:rsid w:val="0849316C"/>
    <w:rsid w:val="08493187"/>
    <w:rsid w:val="084931ED"/>
    <w:rsid w:val="084932BC"/>
    <w:rsid w:val="08493388"/>
    <w:rsid w:val="08493436"/>
    <w:rsid w:val="0849349A"/>
    <w:rsid w:val="08493588"/>
    <w:rsid w:val="0849369F"/>
    <w:rsid w:val="084937B5"/>
    <w:rsid w:val="08493843"/>
    <w:rsid w:val="084938DB"/>
    <w:rsid w:val="08493A87"/>
    <w:rsid w:val="08493ADD"/>
    <w:rsid w:val="08493AFE"/>
    <w:rsid w:val="08493B2A"/>
    <w:rsid w:val="08493C90"/>
    <w:rsid w:val="08493CF2"/>
    <w:rsid w:val="08493D95"/>
    <w:rsid w:val="08493E85"/>
    <w:rsid w:val="08493E87"/>
    <w:rsid w:val="08493E93"/>
    <w:rsid w:val="08493E96"/>
    <w:rsid w:val="08493ECF"/>
    <w:rsid w:val="0849407E"/>
    <w:rsid w:val="084940F9"/>
    <w:rsid w:val="084941B7"/>
    <w:rsid w:val="084941D2"/>
    <w:rsid w:val="084941F0"/>
    <w:rsid w:val="08494260"/>
    <w:rsid w:val="08494287"/>
    <w:rsid w:val="0849439D"/>
    <w:rsid w:val="084943CE"/>
    <w:rsid w:val="0849442F"/>
    <w:rsid w:val="084944C1"/>
    <w:rsid w:val="08494528"/>
    <w:rsid w:val="084945C0"/>
    <w:rsid w:val="08494725"/>
    <w:rsid w:val="08494762"/>
    <w:rsid w:val="084947EC"/>
    <w:rsid w:val="08494808"/>
    <w:rsid w:val="08494881"/>
    <w:rsid w:val="08494887"/>
    <w:rsid w:val="0849497F"/>
    <w:rsid w:val="084949DF"/>
    <w:rsid w:val="08494B56"/>
    <w:rsid w:val="08494BF0"/>
    <w:rsid w:val="08494CD3"/>
    <w:rsid w:val="08494CF7"/>
    <w:rsid w:val="08494DAF"/>
    <w:rsid w:val="08494DB0"/>
    <w:rsid w:val="08494DD9"/>
    <w:rsid w:val="08494DE8"/>
    <w:rsid w:val="08494DF0"/>
    <w:rsid w:val="08494E33"/>
    <w:rsid w:val="08494EC3"/>
    <w:rsid w:val="08494F2A"/>
    <w:rsid w:val="08494F9E"/>
    <w:rsid w:val="08494FA8"/>
    <w:rsid w:val="08494FF0"/>
    <w:rsid w:val="084950BD"/>
    <w:rsid w:val="08495124"/>
    <w:rsid w:val="08495148"/>
    <w:rsid w:val="084952D3"/>
    <w:rsid w:val="08495307"/>
    <w:rsid w:val="0849539C"/>
    <w:rsid w:val="084953AC"/>
    <w:rsid w:val="0849552B"/>
    <w:rsid w:val="08495607"/>
    <w:rsid w:val="084956B5"/>
    <w:rsid w:val="084956F1"/>
    <w:rsid w:val="0849571E"/>
    <w:rsid w:val="08495792"/>
    <w:rsid w:val="0849583E"/>
    <w:rsid w:val="08495857"/>
    <w:rsid w:val="084958B6"/>
    <w:rsid w:val="084959C9"/>
    <w:rsid w:val="084959F6"/>
    <w:rsid w:val="08495A27"/>
    <w:rsid w:val="08495A73"/>
    <w:rsid w:val="08495A9D"/>
    <w:rsid w:val="08495AE4"/>
    <w:rsid w:val="08495C7D"/>
    <w:rsid w:val="08495D5C"/>
    <w:rsid w:val="08495E35"/>
    <w:rsid w:val="08495F3B"/>
    <w:rsid w:val="08495F44"/>
    <w:rsid w:val="08495F78"/>
    <w:rsid w:val="08495FCE"/>
    <w:rsid w:val="0849600E"/>
    <w:rsid w:val="08496064"/>
    <w:rsid w:val="0849607D"/>
    <w:rsid w:val="0849610A"/>
    <w:rsid w:val="08496120"/>
    <w:rsid w:val="084961E7"/>
    <w:rsid w:val="0849620D"/>
    <w:rsid w:val="08496233"/>
    <w:rsid w:val="0849626D"/>
    <w:rsid w:val="084962CE"/>
    <w:rsid w:val="084962E6"/>
    <w:rsid w:val="08496322"/>
    <w:rsid w:val="08496385"/>
    <w:rsid w:val="084963C8"/>
    <w:rsid w:val="084963E4"/>
    <w:rsid w:val="0849640B"/>
    <w:rsid w:val="0849643A"/>
    <w:rsid w:val="084964C3"/>
    <w:rsid w:val="084964D0"/>
    <w:rsid w:val="08496526"/>
    <w:rsid w:val="08496531"/>
    <w:rsid w:val="084965E3"/>
    <w:rsid w:val="084966CE"/>
    <w:rsid w:val="084966FC"/>
    <w:rsid w:val="0849674B"/>
    <w:rsid w:val="0849674E"/>
    <w:rsid w:val="0849689E"/>
    <w:rsid w:val="084968B1"/>
    <w:rsid w:val="084968BD"/>
    <w:rsid w:val="0849696E"/>
    <w:rsid w:val="08496A35"/>
    <w:rsid w:val="08496A61"/>
    <w:rsid w:val="08496AC9"/>
    <w:rsid w:val="08496B16"/>
    <w:rsid w:val="08496B6A"/>
    <w:rsid w:val="08496BAE"/>
    <w:rsid w:val="08496C36"/>
    <w:rsid w:val="08496CA6"/>
    <w:rsid w:val="08496CE2"/>
    <w:rsid w:val="08496D03"/>
    <w:rsid w:val="08496D1F"/>
    <w:rsid w:val="08496DA6"/>
    <w:rsid w:val="08496E1B"/>
    <w:rsid w:val="084970E3"/>
    <w:rsid w:val="084970F5"/>
    <w:rsid w:val="08497178"/>
    <w:rsid w:val="08497200"/>
    <w:rsid w:val="0849726C"/>
    <w:rsid w:val="084972D1"/>
    <w:rsid w:val="084972EE"/>
    <w:rsid w:val="0849730E"/>
    <w:rsid w:val="084974A9"/>
    <w:rsid w:val="084974BB"/>
    <w:rsid w:val="084974E4"/>
    <w:rsid w:val="0849752C"/>
    <w:rsid w:val="08497536"/>
    <w:rsid w:val="084975E2"/>
    <w:rsid w:val="0849767C"/>
    <w:rsid w:val="08497694"/>
    <w:rsid w:val="0849769F"/>
    <w:rsid w:val="084977AE"/>
    <w:rsid w:val="084977C1"/>
    <w:rsid w:val="08497866"/>
    <w:rsid w:val="08497930"/>
    <w:rsid w:val="08497A0D"/>
    <w:rsid w:val="08497A6C"/>
    <w:rsid w:val="08497B25"/>
    <w:rsid w:val="08497B5E"/>
    <w:rsid w:val="08497D4E"/>
    <w:rsid w:val="08497DBA"/>
    <w:rsid w:val="08497DDB"/>
    <w:rsid w:val="08497E0F"/>
    <w:rsid w:val="08497E52"/>
    <w:rsid w:val="08497EA2"/>
    <w:rsid w:val="08497ED7"/>
    <w:rsid w:val="084A00A3"/>
    <w:rsid w:val="084A0167"/>
    <w:rsid w:val="084A0177"/>
    <w:rsid w:val="084A01D3"/>
    <w:rsid w:val="084A01DC"/>
    <w:rsid w:val="084A0262"/>
    <w:rsid w:val="084A02A6"/>
    <w:rsid w:val="084A0363"/>
    <w:rsid w:val="084A0385"/>
    <w:rsid w:val="084A04A3"/>
    <w:rsid w:val="084A04F2"/>
    <w:rsid w:val="084A0642"/>
    <w:rsid w:val="084A0669"/>
    <w:rsid w:val="084A078D"/>
    <w:rsid w:val="084A07CC"/>
    <w:rsid w:val="084A08CC"/>
    <w:rsid w:val="084A090B"/>
    <w:rsid w:val="084A0939"/>
    <w:rsid w:val="084A094D"/>
    <w:rsid w:val="084A0B29"/>
    <w:rsid w:val="084A0BA5"/>
    <w:rsid w:val="084A0BBE"/>
    <w:rsid w:val="084A0C28"/>
    <w:rsid w:val="084A0D26"/>
    <w:rsid w:val="084A0D56"/>
    <w:rsid w:val="084A0D6C"/>
    <w:rsid w:val="084A0D75"/>
    <w:rsid w:val="084A0DAB"/>
    <w:rsid w:val="084A0DD0"/>
    <w:rsid w:val="084A0DF3"/>
    <w:rsid w:val="084A0E5D"/>
    <w:rsid w:val="084A0F6B"/>
    <w:rsid w:val="084A1076"/>
    <w:rsid w:val="084A10E3"/>
    <w:rsid w:val="084A11AF"/>
    <w:rsid w:val="084A11C0"/>
    <w:rsid w:val="084A11C7"/>
    <w:rsid w:val="084A11C9"/>
    <w:rsid w:val="084A11DC"/>
    <w:rsid w:val="084A129A"/>
    <w:rsid w:val="084A1332"/>
    <w:rsid w:val="084A1419"/>
    <w:rsid w:val="084A14A3"/>
    <w:rsid w:val="084A154C"/>
    <w:rsid w:val="084A15A2"/>
    <w:rsid w:val="084A15A4"/>
    <w:rsid w:val="084A168E"/>
    <w:rsid w:val="084A1751"/>
    <w:rsid w:val="084A1753"/>
    <w:rsid w:val="084A179F"/>
    <w:rsid w:val="084A1824"/>
    <w:rsid w:val="084A1877"/>
    <w:rsid w:val="084A18FF"/>
    <w:rsid w:val="084A1996"/>
    <w:rsid w:val="084A19EE"/>
    <w:rsid w:val="084A1A73"/>
    <w:rsid w:val="084A1ABE"/>
    <w:rsid w:val="084A1B16"/>
    <w:rsid w:val="084A1B59"/>
    <w:rsid w:val="084A1B66"/>
    <w:rsid w:val="084A1B6E"/>
    <w:rsid w:val="084A1BC5"/>
    <w:rsid w:val="084A1BED"/>
    <w:rsid w:val="084A1C4A"/>
    <w:rsid w:val="084A1CC1"/>
    <w:rsid w:val="084A1CD2"/>
    <w:rsid w:val="084A1F28"/>
    <w:rsid w:val="084A1F61"/>
    <w:rsid w:val="084A1FEC"/>
    <w:rsid w:val="084A2041"/>
    <w:rsid w:val="084A208B"/>
    <w:rsid w:val="084A20C6"/>
    <w:rsid w:val="084A20DA"/>
    <w:rsid w:val="084A233F"/>
    <w:rsid w:val="084A242F"/>
    <w:rsid w:val="084A24A5"/>
    <w:rsid w:val="084A24D2"/>
    <w:rsid w:val="084A2583"/>
    <w:rsid w:val="084A25C3"/>
    <w:rsid w:val="084A26D2"/>
    <w:rsid w:val="084A2720"/>
    <w:rsid w:val="084A2745"/>
    <w:rsid w:val="084A2793"/>
    <w:rsid w:val="084A27C7"/>
    <w:rsid w:val="084A282D"/>
    <w:rsid w:val="084A283A"/>
    <w:rsid w:val="084A28B4"/>
    <w:rsid w:val="084A28B6"/>
    <w:rsid w:val="084A28D1"/>
    <w:rsid w:val="084A292D"/>
    <w:rsid w:val="084A2981"/>
    <w:rsid w:val="084A298E"/>
    <w:rsid w:val="084A2A27"/>
    <w:rsid w:val="084A2B1C"/>
    <w:rsid w:val="084A2B67"/>
    <w:rsid w:val="084A2B97"/>
    <w:rsid w:val="084A2BF7"/>
    <w:rsid w:val="084A2BF8"/>
    <w:rsid w:val="084A2C4D"/>
    <w:rsid w:val="084A2C94"/>
    <w:rsid w:val="084A2D3F"/>
    <w:rsid w:val="084A2D80"/>
    <w:rsid w:val="084A2DAB"/>
    <w:rsid w:val="084A2E4C"/>
    <w:rsid w:val="084A2EA5"/>
    <w:rsid w:val="084A2F88"/>
    <w:rsid w:val="084A2F89"/>
    <w:rsid w:val="084A2FE1"/>
    <w:rsid w:val="084A3036"/>
    <w:rsid w:val="084A3080"/>
    <w:rsid w:val="084A30BC"/>
    <w:rsid w:val="084A319E"/>
    <w:rsid w:val="084A31D7"/>
    <w:rsid w:val="084A331E"/>
    <w:rsid w:val="084A331F"/>
    <w:rsid w:val="084A3327"/>
    <w:rsid w:val="084A3353"/>
    <w:rsid w:val="084A342F"/>
    <w:rsid w:val="084A3464"/>
    <w:rsid w:val="084A346B"/>
    <w:rsid w:val="084A34AC"/>
    <w:rsid w:val="084A35A4"/>
    <w:rsid w:val="084A378B"/>
    <w:rsid w:val="084A37F2"/>
    <w:rsid w:val="084A38E4"/>
    <w:rsid w:val="084A38F6"/>
    <w:rsid w:val="084A392A"/>
    <w:rsid w:val="084A393C"/>
    <w:rsid w:val="084A3977"/>
    <w:rsid w:val="084A398D"/>
    <w:rsid w:val="084A3999"/>
    <w:rsid w:val="084A39F0"/>
    <w:rsid w:val="084A3B14"/>
    <w:rsid w:val="084A3C26"/>
    <w:rsid w:val="084A3C82"/>
    <w:rsid w:val="084A3D40"/>
    <w:rsid w:val="084A3D52"/>
    <w:rsid w:val="084A3D9F"/>
    <w:rsid w:val="084A3DCE"/>
    <w:rsid w:val="084A3E1B"/>
    <w:rsid w:val="084A3E8F"/>
    <w:rsid w:val="084A3EB4"/>
    <w:rsid w:val="084A3EB5"/>
    <w:rsid w:val="084A3F2E"/>
    <w:rsid w:val="084A406A"/>
    <w:rsid w:val="084A40AD"/>
    <w:rsid w:val="084A414C"/>
    <w:rsid w:val="084A428D"/>
    <w:rsid w:val="084A42B1"/>
    <w:rsid w:val="084A42E0"/>
    <w:rsid w:val="084A4387"/>
    <w:rsid w:val="084A43A1"/>
    <w:rsid w:val="084A43A4"/>
    <w:rsid w:val="084A43A8"/>
    <w:rsid w:val="084A444D"/>
    <w:rsid w:val="084A4533"/>
    <w:rsid w:val="084A4626"/>
    <w:rsid w:val="084A46BC"/>
    <w:rsid w:val="084A472A"/>
    <w:rsid w:val="084A48AF"/>
    <w:rsid w:val="084A4994"/>
    <w:rsid w:val="084A49D0"/>
    <w:rsid w:val="084A4A26"/>
    <w:rsid w:val="084A4A50"/>
    <w:rsid w:val="084A4A61"/>
    <w:rsid w:val="084A4A6C"/>
    <w:rsid w:val="084A4A80"/>
    <w:rsid w:val="084A4C0C"/>
    <w:rsid w:val="084A4C58"/>
    <w:rsid w:val="084A4CD3"/>
    <w:rsid w:val="084A4D83"/>
    <w:rsid w:val="084A4F0D"/>
    <w:rsid w:val="084A4F93"/>
    <w:rsid w:val="084A4FF3"/>
    <w:rsid w:val="084A501F"/>
    <w:rsid w:val="084A50D0"/>
    <w:rsid w:val="084A514D"/>
    <w:rsid w:val="084A5161"/>
    <w:rsid w:val="084A51A3"/>
    <w:rsid w:val="084A51CA"/>
    <w:rsid w:val="084A51E2"/>
    <w:rsid w:val="084A5241"/>
    <w:rsid w:val="084A52E7"/>
    <w:rsid w:val="084A532F"/>
    <w:rsid w:val="084A54B8"/>
    <w:rsid w:val="084A5501"/>
    <w:rsid w:val="084A55A7"/>
    <w:rsid w:val="084A5667"/>
    <w:rsid w:val="084A56ED"/>
    <w:rsid w:val="084A5731"/>
    <w:rsid w:val="084A574D"/>
    <w:rsid w:val="084A578C"/>
    <w:rsid w:val="084A579D"/>
    <w:rsid w:val="084A57E3"/>
    <w:rsid w:val="084A580B"/>
    <w:rsid w:val="084A5B0E"/>
    <w:rsid w:val="084A5BCB"/>
    <w:rsid w:val="084A5C57"/>
    <w:rsid w:val="084A5CE0"/>
    <w:rsid w:val="084A5CF6"/>
    <w:rsid w:val="084A5D15"/>
    <w:rsid w:val="084A5D72"/>
    <w:rsid w:val="084A5D81"/>
    <w:rsid w:val="084A5E54"/>
    <w:rsid w:val="084A5F8E"/>
    <w:rsid w:val="084A5FDD"/>
    <w:rsid w:val="084A600D"/>
    <w:rsid w:val="084A602B"/>
    <w:rsid w:val="084A6068"/>
    <w:rsid w:val="084A60D1"/>
    <w:rsid w:val="084A60DB"/>
    <w:rsid w:val="084A6150"/>
    <w:rsid w:val="084A6273"/>
    <w:rsid w:val="084A62C0"/>
    <w:rsid w:val="084A62F1"/>
    <w:rsid w:val="084A6379"/>
    <w:rsid w:val="084A639C"/>
    <w:rsid w:val="084A63D7"/>
    <w:rsid w:val="084A64A6"/>
    <w:rsid w:val="084A64C5"/>
    <w:rsid w:val="084A652B"/>
    <w:rsid w:val="084A655F"/>
    <w:rsid w:val="084A65A0"/>
    <w:rsid w:val="084A65E2"/>
    <w:rsid w:val="084A65EA"/>
    <w:rsid w:val="084A6617"/>
    <w:rsid w:val="084A66BC"/>
    <w:rsid w:val="084A66CF"/>
    <w:rsid w:val="084A66F5"/>
    <w:rsid w:val="084A6703"/>
    <w:rsid w:val="084A6816"/>
    <w:rsid w:val="084A6858"/>
    <w:rsid w:val="084A68F3"/>
    <w:rsid w:val="084A6A09"/>
    <w:rsid w:val="084A6A0A"/>
    <w:rsid w:val="084A6A23"/>
    <w:rsid w:val="084A6BC3"/>
    <w:rsid w:val="084A6C1D"/>
    <w:rsid w:val="084A6FC6"/>
    <w:rsid w:val="084A71B6"/>
    <w:rsid w:val="084A7233"/>
    <w:rsid w:val="084A72C0"/>
    <w:rsid w:val="084A73F1"/>
    <w:rsid w:val="084A7437"/>
    <w:rsid w:val="084A74BB"/>
    <w:rsid w:val="084A74E6"/>
    <w:rsid w:val="084A7500"/>
    <w:rsid w:val="084A75A5"/>
    <w:rsid w:val="084A75E2"/>
    <w:rsid w:val="084A762F"/>
    <w:rsid w:val="084A7709"/>
    <w:rsid w:val="084A7732"/>
    <w:rsid w:val="084A775E"/>
    <w:rsid w:val="084A779A"/>
    <w:rsid w:val="084A78AE"/>
    <w:rsid w:val="084A78E6"/>
    <w:rsid w:val="084A7A09"/>
    <w:rsid w:val="084A7AB6"/>
    <w:rsid w:val="084A7C9A"/>
    <w:rsid w:val="084A7CBC"/>
    <w:rsid w:val="084A7CF2"/>
    <w:rsid w:val="084A7E1D"/>
    <w:rsid w:val="084A7E6D"/>
    <w:rsid w:val="084A7EA4"/>
    <w:rsid w:val="084A7ED3"/>
    <w:rsid w:val="084A7F15"/>
    <w:rsid w:val="084A7F90"/>
    <w:rsid w:val="084A7FD7"/>
    <w:rsid w:val="084B0028"/>
    <w:rsid w:val="084B00AF"/>
    <w:rsid w:val="084B0102"/>
    <w:rsid w:val="084B01C3"/>
    <w:rsid w:val="084B033C"/>
    <w:rsid w:val="084B038A"/>
    <w:rsid w:val="084B0447"/>
    <w:rsid w:val="084B050B"/>
    <w:rsid w:val="084B0691"/>
    <w:rsid w:val="084B072D"/>
    <w:rsid w:val="084B076E"/>
    <w:rsid w:val="084B0911"/>
    <w:rsid w:val="084B0AD8"/>
    <w:rsid w:val="084B0ADC"/>
    <w:rsid w:val="084B0B16"/>
    <w:rsid w:val="084B0BA0"/>
    <w:rsid w:val="084B0BA3"/>
    <w:rsid w:val="084B0C95"/>
    <w:rsid w:val="084B0D4F"/>
    <w:rsid w:val="084B0DF7"/>
    <w:rsid w:val="084B0E8A"/>
    <w:rsid w:val="084B0F6D"/>
    <w:rsid w:val="084B1040"/>
    <w:rsid w:val="084B109A"/>
    <w:rsid w:val="084B10AC"/>
    <w:rsid w:val="084B116D"/>
    <w:rsid w:val="084B11B9"/>
    <w:rsid w:val="084B129E"/>
    <w:rsid w:val="084B1325"/>
    <w:rsid w:val="084B137F"/>
    <w:rsid w:val="084B1432"/>
    <w:rsid w:val="084B1456"/>
    <w:rsid w:val="084B14CB"/>
    <w:rsid w:val="084B15EF"/>
    <w:rsid w:val="084B16A8"/>
    <w:rsid w:val="084B16EF"/>
    <w:rsid w:val="084B17CC"/>
    <w:rsid w:val="084B186A"/>
    <w:rsid w:val="084B18DD"/>
    <w:rsid w:val="084B18F2"/>
    <w:rsid w:val="084B1944"/>
    <w:rsid w:val="084B1983"/>
    <w:rsid w:val="084B1A03"/>
    <w:rsid w:val="084B1A1F"/>
    <w:rsid w:val="084B1A9A"/>
    <w:rsid w:val="084B1AAD"/>
    <w:rsid w:val="084B1ABB"/>
    <w:rsid w:val="084B1BCD"/>
    <w:rsid w:val="084B1BF5"/>
    <w:rsid w:val="084B1D44"/>
    <w:rsid w:val="084B1D48"/>
    <w:rsid w:val="084B1E07"/>
    <w:rsid w:val="084B1EBC"/>
    <w:rsid w:val="084B1EFF"/>
    <w:rsid w:val="084B1F05"/>
    <w:rsid w:val="084B1FD3"/>
    <w:rsid w:val="084B1FE3"/>
    <w:rsid w:val="084B2081"/>
    <w:rsid w:val="084B2091"/>
    <w:rsid w:val="084B20DC"/>
    <w:rsid w:val="084B2195"/>
    <w:rsid w:val="084B227F"/>
    <w:rsid w:val="084B2296"/>
    <w:rsid w:val="084B23F1"/>
    <w:rsid w:val="084B2406"/>
    <w:rsid w:val="084B242F"/>
    <w:rsid w:val="084B245B"/>
    <w:rsid w:val="084B2493"/>
    <w:rsid w:val="084B24CD"/>
    <w:rsid w:val="084B256F"/>
    <w:rsid w:val="084B25B9"/>
    <w:rsid w:val="084B25C6"/>
    <w:rsid w:val="084B25F7"/>
    <w:rsid w:val="084B26C6"/>
    <w:rsid w:val="084B26D2"/>
    <w:rsid w:val="084B27F9"/>
    <w:rsid w:val="084B28B1"/>
    <w:rsid w:val="084B2931"/>
    <w:rsid w:val="084B296C"/>
    <w:rsid w:val="084B2997"/>
    <w:rsid w:val="084B29E4"/>
    <w:rsid w:val="084B2A75"/>
    <w:rsid w:val="084B2A94"/>
    <w:rsid w:val="084B2AA1"/>
    <w:rsid w:val="084B2BB3"/>
    <w:rsid w:val="084B2BEB"/>
    <w:rsid w:val="084B2C11"/>
    <w:rsid w:val="084B2C36"/>
    <w:rsid w:val="084B2C42"/>
    <w:rsid w:val="084B2CCA"/>
    <w:rsid w:val="084B2D30"/>
    <w:rsid w:val="084B2D72"/>
    <w:rsid w:val="084B2D93"/>
    <w:rsid w:val="084B2DD1"/>
    <w:rsid w:val="084B2E52"/>
    <w:rsid w:val="084B2E6A"/>
    <w:rsid w:val="084B2EAF"/>
    <w:rsid w:val="084B2FC6"/>
    <w:rsid w:val="084B3021"/>
    <w:rsid w:val="084B306B"/>
    <w:rsid w:val="084B30BD"/>
    <w:rsid w:val="084B30BE"/>
    <w:rsid w:val="084B30D6"/>
    <w:rsid w:val="084B30E4"/>
    <w:rsid w:val="084B31E3"/>
    <w:rsid w:val="084B3201"/>
    <w:rsid w:val="084B3266"/>
    <w:rsid w:val="084B32A8"/>
    <w:rsid w:val="084B32F7"/>
    <w:rsid w:val="084B3345"/>
    <w:rsid w:val="084B336D"/>
    <w:rsid w:val="084B3430"/>
    <w:rsid w:val="084B3493"/>
    <w:rsid w:val="084B3525"/>
    <w:rsid w:val="084B357D"/>
    <w:rsid w:val="084B362D"/>
    <w:rsid w:val="084B3631"/>
    <w:rsid w:val="084B3639"/>
    <w:rsid w:val="084B3674"/>
    <w:rsid w:val="084B36DE"/>
    <w:rsid w:val="084B3710"/>
    <w:rsid w:val="084B37FB"/>
    <w:rsid w:val="084B3830"/>
    <w:rsid w:val="084B38B6"/>
    <w:rsid w:val="084B397A"/>
    <w:rsid w:val="084B3A1E"/>
    <w:rsid w:val="084B3A84"/>
    <w:rsid w:val="084B3B26"/>
    <w:rsid w:val="084B3B30"/>
    <w:rsid w:val="084B3B54"/>
    <w:rsid w:val="084B3B8A"/>
    <w:rsid w:val="084B3BCE"/>
    <w:rsid w:val="084B3C6A"/>
    <w:rsid w:val="084B3CDF"/>
    <w:rsid w:val="084B3D86"/>
    <w:rsid w:val="084B3DA8"/>
    <w:rsid w:val="084B3DF5"/>
    <w:rsid w:val="084B3E83"/>
    <w:rsid w:val="084B3FF1"/>
    <w:rsid w:val="084B403B"/>
    <w:rsid w:val="084B40BF"/>
    <w:rsid w:val="084B411B"/>
    <w:rsid w:val="084B414C"/>
    <w:rsid w:val="084B41D3"/>
    <w:rsid w:val="084B41FE"/>
    <w:rsid w:val="084B4217"/>
    <w:rsid w:val="084B42AD"/>
    <w:rsid w:val="084B4314"/>
    <w:rsid w:val="084B4327"/>
    <w:rsid w:val="084B4333"/>
    <w:rsid w:val="084B436D"/>
    <w:rsid w:val="084B43B6"/>
    <w:rsid w:val="084B4455"/>
    <w:rsid w:val="084B459F"/>
    <w:rsid w:val="084B45A6"/>
    <w:rsid w:val="084B45A9"/>
    <w:rsid w:val="084B45CC"/>
    <w:rsid w:val="084B4629"/>
    <w:rsid w:val="084B46D8"/>
    <w:rsid w:val="084B4701"/>
    <w:rsid w:val="084B4712"/>
    <w:rsid w:val="084B4741"/>
    <w:rsid w:val="084B4801"/>
    <w:rsid w:val="084B482B"/>
    <w:rsid w:val="084B482F"/>
    <w:rsid w:val="084B4865"/>
    <w:rsid w:val="084B48BC"/>
    <w:rsid w:val="084B48D0"/>
    <w:rsid w:val="084B4987"/>
    <w:rsid w:val="084B49CC"/>
    <w:rsid w:val="084B49F0"/>
    <w:rsid w:val="084B4A0A"/>
    <w:rsid w:val="084B4AC3"/>
    <w:rsid w:val="084B4AC6"/>
    <w:rsid w:val="084B4B53"/>
    <w:rsid w:val="084B4B73"/>
    <w:rsid w:val="084B4BF9"/>
    <w:rsid w:val="084B4C30"/>
    <w:rsid w:val="084B4D6E"/>
    <w:rsid w:val="084B4DA6"/>
    <w:rsid w:val="084B4DE0"/>
    <w:rsid w:val="084B4E36"/>
    <w:rsid w:val="084B4E79"/>
    <w:rsid w:val="084B4FA7"/>
    <w:rsid w:val="084B508F"/>
    <w:rsid w:val="084B513A"/>
    <w:rsid w:val="084B51AA"/>
    <w:rsid w:val="084B51B6"/>
    <w:rsid w:val="084B51E8"/>
    <w:rsid w:val="084B521D"/>
    <w:rsid w:val="084B527F"/>
    <w:rsid w:val="084B52BC"/>
    <w:rsid w:val="084B5398"/>
    <w:rsid w:val="084B5418"/>
    <w:rsid w:val="084B542F"/>
    <w:rsid w:val="084B549C"/>
    <w:rsid w:val="084B5513"/>
    <w:rsid w:val="084B5597"/>
    <w:rsid w:val="084B563C"/>
    <w:rsid w:val="084B5653"/>
    <w:rsid w:val="084B56AC"/>
    <w:rsid w:val="084B5717"/>
    <w:rsid w:val="084B574C"/>
    <w:rsid w:val="084B5808"/>
    <w:rsid w:val="084B5815"/>
    <w:rsid w:val="084B581A"/>
    <w:rsid w:val="084B58C6"/>
    <w:rsid w:val="084B599A"/>
    <w:rsid w:val="084B59AB"/>
    <w:rsid w:val="084B59F1"/>
    <w:rsid w:val="084B5A02"/>
    <w:rsid w:val="084B5A05"/>
    <w:rsid w:val="084B5A39"/>
    <w:rsid w:val="084B5B54"/>
    <w:rsid w:val="084B5C26"/>
    <w:rsid w:val="084B5CD4"/>
    <w:rsid w:val="084B5DEC"/>
    <w:rsid w:val="084B5E2B"/>
    <w:rsid w:val="084B5F04"/>
    <w:rsid w:val="084B5F49"/>
    <w:rsid w:val="084B5F4D"/>
    <w:rsid w:val="084B5F7C"/>
    <w:rsid w:val="084B6164"/>
    <w:rsid w:val="084B6397"/>
    <w:rsid w:val="084B63EC"/>
    <w:rsid w:val="084B63FC"/>
    <w:rsid w:val="084B64FB"/>
    <w:rsid w:val="084B65BD"/>
    <w:rsid w:val="084B664A"/>
    <w:rsid w:val="084B67D8"/>
    <w:rsid w:val="084B67ED"/>
    <w:rsid w:val="084B67F2"/>
    <w:rsid w:val="084B69CB"/>
    <w:rsid w:val="084B6A61"/>
    <w:rsid w:val="084B6C0E"/>
    <w:rsid w:val="084B6CA4"/>
    <w:rsid w:val="084B6CC9"/>
    <w:rsid w:val="084B6D60"/>
    <w:rsid w:val="084B6DC5"/>
    <w:rsid w:val="084B6DE0"/>
    <w:rsid w:val="084B6E24"/>
    <w:rsid w:val="084B6E50"/>
    <w:rsid w:val="084B7050"/>
    <w:rsid w:val="084B707B"/>
    <w:rsid w:val="084B7087"/>
    <w:rsid w:val="084B70C8"/>
    <w:rsid w:val="084B712F"/>
    <w:rsid w:val="084B71A7"/>
    <w:rsid w:val="084B7216"/>
    <w:rsid w:val="084B72F9"/>
    <w:rsid w:val="084B737A"/>
    <w:rsid w:val="084B73C2"/>
    <w:rsid w:val="084B73DF"/>
    <w:rsid w:val="084B7408"/>
    <w:rsid w:val="084B748F"/>
    <w:rsid w:val="084B74FB"/>
    <w:rsid w:val="084B7611"/>
    <w:rsid w:val="084B7645"/>
    <w:rsid w:val="084B7651"/>
    <w:rsid w:val="084B7691"/>
    <w:rsid w:val="084B76A8"/>
    <w:rsid w:val="084B76B0"/>
    <w:rsid w:val="084B7708"/>
    <w:rsid w:val="084B771B"/>
    <w:rsid w:val="084B77A4"/>
    <w:rsid w:val="084B77CB"/>
    <w:rsid w:val="084B7885"/>
    <w:rsid w:val="084B7905"/>
    <w:rsid w:val="084B79C0"/>
    <w:rsid w:val="084B7AF8"/>
    <w:rsid w:val="084B7BCF"/>
    <w:rsid w:val="084B7BF3"/>
    <w:rsid w:val="084B7C97"/>
    <w:rsid w:val="084B7E2E"/>
    <w:rsid w:val="084B7E42"/>
    <w:rsid w:val="084B7EA1"/>
    <w:rsid w:val="084B7EDC"/>
    <w:rsid w:val="084B7F82"/>
    <w:rsid w:val="084C011B"/>
    <w:rsid w:val="084C016D"/>
    <w:rsid w:val="084C0192"/>
    <w:rsid w:val="084C019E"/>
    <w:rsid w:val="084C01A8"/>
    <w:rsid w:val="084C01B8"/>
    <w:rsid w:val="084C0257"/>
    <w:rsid w:val="084C0265"/>
    <w:rsid w:val="084C02A1"/>
    <w:rsid w:val="084C031A"/>
    <w:rsid w:val="084C04F5"/>
    <w:rsid w:val="084C04FF"/>
    <w:rsid w:val="084C06D3"/>
    <w:rsid w:val="084C0762"/>
    <w:rsid w:val="084C07F7"/>
    <w:rsid w:val="084C080F"/>
    <w:rsid w:val="084C0828"/>
    <w:rsid w:val="084C0834"/>
    <w:rsid w:val="084C0847"/>
    <w:rsid w:val="084C09A3"/>
    <w:rsid w:val="084C09E4"/>
    <w:rsid w:val="084C0A9D"/>
    <w:rsid w:val="084C0AD1"/>
    <w:rsid w:val="084C0AFA"/>
    <w:rsid w:val="084C0B15"/>
    <w:rsid w:val="084C0B16"/>
    <w:rsid w:val="084C0B6E"/>
    <w:rsid w:val="084C0C1C"/>
    <w:rsid w:val="084C0D36"/>
    <w:rsid w:val="084C0DA1"/>
    <w:rsid w:val="084C0DAC"/>
    <w:rsid w:val="084C0DCB"/>
    <w:rsid w:val="084C0EF1"/>
    <w:rsid w:val="084C0F2E"/>
    <w:rsid w:val="084C0F62"/>
    <w:rsid w:val="084C1096"/>
    <w:rsid w:val="084C1177"/>
    <w:rsid w:val="084C11AA"/>
    <w:rsid w:val="084C1217"/>
    <w:rsid w:val="084C12E3"/>
    <w:rsid w:val="084C1376"/>
    <w:rsid w:val="084C1387"/>
    <w:rsid w:val="084C13F9"/>
    <w:rsid w:val="084C15A1"/>
    <w:rsid w:val="084C15BD"/>
    <w:rsid w:val="084C16D7"/>
    <w:rsid w:val="084C16F3"/>
    <w:rsid w:val="084C1730"/>
    <w:rsid w:val="084C1747"/>
    <w:rsid w:val="084C179F"/>
    <w:rsid w:val="084C17BF"/>
    <w:rsid w:val="084C17EA"/>
    <w:rsid w:val="084C181F"/>
    <w:rsid w:val="084C1821"/>
    <w:rsid w:val="084C19E1"/>
    <w:rsid w:val="084C1B1B"/>
    <w:rsid w:val="084C1B25"/>
    <w:rsid w:val="084C1C3C"/>
    <w:rsid w:val="084C1C99"/>
    <w:rsid w:val="084C1CC8"/>
    <w:rsid w:val="084C1CEF"/>
    <w:rsid w:val="084C1E0A"/>
    <w:rsid w:val="084C1E5E"/>
    <w:rsid w:val="084C1E63"/>
    <w:rsid w:val="084C1EF1"/>
    <w:rsid w:val="084C1EF7"/>
    <w:rsid w:val="084C2020"/>
    <w:rsid w:val="084C216D"/>
    <w:rsid w:val="084C217E"/>
    <w:rsid w:val="084C2225"/>
    <w:rsid w:val="084C22E5"/>
    <w:rsid w:val="084C22EB"/>
    <w:rsid w:val="084C23C7"/>
    <w:rsid w:val="084C2491"/>
    <w:rsid w:val="084C2740"/>
    <w:rsid w:val="084C27F3"/>
    <w:rsid w:val="084C281A"/>
    <w:rsid w:val="084C2894"/>
    <w:rsid w:val="084C28A7"/>
    <w:rsid w:val="084C28E4"/>
    <w:rsid w:val="084C296D"/>
    <w:rsid w:val="084C29AE"/>
    <w:rsid w:val="084C29E7"/>
    <w:rsid w:val="084C2A42"/>
    <w:rsid w:val="084C2AAE"/>
    <w:rsid w:val="084C2AD0"/>
    <w:rsid w:val="084C2AF9"/>
    <w:rsid w:val="084C2B6D"/>
    <w:rsid w:val="084C2B7F"/>
    <w:rsid w:val="084C2B9C"/>
    <w:rsid w:val="084C2BA6"/>
    <w:rsid w:val="084C2BAD"/>
    <w:rsid w:val="084C2C1F"/>
    <w:rsid w:val="084C2D01"/>
    <w:rsid w:val="084C2DAF"/>
    <w:rsid w:val="084C2E63"/>
    <w:rsid w:val="084C2F00"/>
    <w:rsid w:val="084C2F11"/>
    <w:rsid w:val="084C2F48"/>
    <w:rsid w:val="084C2F68"/>
    <w:rsid w:val="084C2F6D"/>
    <w:rsid w:val="084C2FF8"/>
    <w:rsid w:val="084C3042"/>
    <w:rsid w:val="084C30E8"/>
    <w:rsid w:val="084C31B6"/>
    <w:rsid w:val="084C31BF"/>
    <w:rsid w:val="084C3255"/>
    <w:rsid w:val="084C3263"/>
    <w:rsid w:val="084C32B2"/>
    <w:rsid w:val="084C3306"/>
    <w:rsid w:val="084C333D"/>
    <w:rsid w:val="084C3345"/>
    <w:rsid w:val="084C335F"/>
    <w:rsid w:val="084C3399"/>
    <w:rsid w:val="084C3440"/>
    <w:rsid w:val="084C34CC"/>
    <w:rsid w:val="084C35BA"/>
    <w:rsid w:val="084C35F2"/>
    <w:rsid w:val="084C362F"/>
    <w:rsid w:val="084C3682"/>
    <w:rsid w:val="084C3701"/>
    <w:rsid w:val="084C380E"/>
    <w:rsid w:val="084C3838"/>
    <w:rsid w:val="084C3884"/>
    <w:rsid w:val="084C3A24"/>
    <w:rsid w:val="084C3AA6"/>
    <w:rsid w:val="084C3AED"/>
    <w:rsid w:val="084C3B09"/>
    <w:rsid w:val="084C3B58"/>
    <w:rsid w:val="084C3C88"/>
    <w:rsid w:val="084C3E19"/>
    <w:rsid w:val="084C3E24"/>
    <w:rsid w:val="084C3E33"/>
    <w:rsid w:val="084C3FD1"/>
    <w:rsid w:val="084C3FEC"/>
    <w:rsid w:val="084C4025"/>
    <w:rsid w:val="084C403E"/>
    <w:rsid w:val="084C4041"/>
    <w:rsid w:val="084C4143"/>
    <w:rsid w:val="084C41BF"/>
    <w:rsid w:val="084C41FB"/>
    <w:rsid w:val="084C4259"/>
    <w:rsid w:val="084C42B1"/>
    <w:rsid w:val="084C42C7"/>
    <w:rsid w:val="084C42D4"/>
    <w:rsid w:val="084C4322"/>
    <w:rsid w:val="084C433F"/>
    <w:rsid w:val="084C4386"/>
    <w:rsid w:val="084C4393"/>
    <w:rsid w:val="084C43EB"/>
    <w:rsid w:val="084C4480"/>
    <w:rsid w:val="084C44A5"/>
    <w:rsid w:val="084C44A6"/>
    <w:rsid w:val="084C454B"/>
    <w:rsid w:val="084C4599"/>
    <w:rsid w:val="084C45C1"/>
    <w:rsid w:val="084C4643"/>
    <w:rsid w:val="084C472C"/>
    <w:rsid w:val="084C476F"/>
    <w:rsid w:val="084C4830"/>
    <w:rsid w:val="084C4848"/>
    <w:rsid w:val="084C4A17"/>
    <w:rsid w:val="084C4A23"/>
    <w:rsid w:val="084C4A2A"/>
    <w:rsid w:val="084C4AC6"/>
    <w:rsid w:val="084C4B30"/>
    <w:rsid w:val="084C4B74"/>
    <w:rsid w:val="084C4BA6"/>
    <w:rsid w:val="084C4BC7"/>
    <w:rsid w:val="084C4BFF"/>
    <w:rsid w:val="084C4C26"/>
    <w:rsid w:val="084C4C5B"/>
    <w:rsid w:val="084C4CB7"/>
    <w:rsid w:val="084C4CD9"/>
    <w:rsid w:val="084C4CF2"/>
    <w:rsid w:val="084C4D43"/>
    <w:rsid w:val="084C4E0E"/>
    <w:rsid w:val="084C4EF4"/>
    <w:rsid w:val="084C4F5D"/>
    <w:rsid w:val="084C4FD0"/>
    <w:rsid w:val="084C502D"/>
    <w:rsid w:val="084C51F9"/>
    <w:rsid w:val="084C5207"/>
    <w:rsid w:val="084C5250"/>
    <w:rsid w:val="084C525D"/>
    <w:rsid w:val="084C52E3"/>
    <w:rsid w:val="084C53C6"/>
    <w:rsid w:val="084C5400"/>
    <w:rsid w:val="084C540F"/>
    <w:rsid w:val="084C543D"/>
    <w:rsid w:val="084C5497"/>
    <w:rsid w:val="084C5686"/>
    <w:rsid w:val="084C56F7"/>
    <w:rsid w:val="084C5708"/>
    <w:rsid w:val="084C5772"/>
    <w:rsid w:val="084C585D"/>
    <w:rsid w:val="084C5873"/>
    <w:rsid w:val="084C5912"/>
    <w:rsid w:val="084C592C"/>
    <w:rsid w:val="084C5942"/>
    <w:rsid w:val="084C5946"/>
    <w:rsid w:val="084C5A62"/>
    <w:rsid w:val="084C5AED"/>
    <w:rsid w:val="084C5B25"/>
    <w:rsid w:val="084C5B47"/>
    <w:rsid w:val="084C5B5F"/>
    <w:rsid w:val="084C5B95"/>
    <w:rsid w:val="084C5B9B"/>
    <w:rsid w:val="084C5CF4"/>
    <w:rsid w:val="084C5D91"/>
    <w:rsid w:val="084C5DAF"/>
    <w:rsid w:val="084C5DF5"/>
    <w:rsid w:val="084C5E27"/>
    <w:rsid w:val="084C5E58"/>
    <w:rsid w:val="084C5E71"/>
    <w:rsid w:val="084C5EAF"/>
    <w:rsid w:val="084C5F0A"/>
    <w:rsid w:val="084C5F17"/>
    <w:rsid w:val="084C5F21"/>
    <w:rsid w:val="084C6045"/>
    <w:rsid w:val="084C6081"/>
    <w:rsid w:val="084C610D"/>
    <w:rsid w:val="084C61D6"/>
    <w:rsid w:val="084C6247"/>
    <w:rsid w:val="084C63C1"/>
    <w:rsid w:val="084C63C9"/>
    <w:rsid w:val="084C6520"/>
    <w:rsid w:val="084C6626"/>
    <w:rsid w:val="084C666D"/>
    <w:rsid w:val="084C6727"/>
    <w:rsid w:val="084C6894"/>
    <w:rsid w:val="084C68D4"/>
    <w:rsid w:val="084C6914"/>
    <w:rsid w:val="084C69BC"/>
    <w:rsid w:val="084C69D9"/>
    <w:rsid w:val="084C6B66"/>
    <w:rsid w:val="084C6BCB"/>
    <w:rsid w:val="084C6BE2"/>
    <w:rsid w:val="084C6BF0"/>
    <w:rsid w:val="084C6C34"/>
    <w:rsid w:val="084C6C4C"/>
    <w:rsid w:val="084C6CF0"/>
    <w:rsid w:val="084C6DAD"/>
    <w:rsid w:val="084C6E03"/>
    <w:rsid w:val="084C6E39"/>
    <w:rsid w:val="084C6EF8"/>
    <w:rsid w:val="084C7057"/>
    <w:rsid w:val="084C7135"/>
    <w:rsid w:val="084C716B"/>
    <w:rsid w:val="084C719F"/>
    <w:rsid w:val="084C71A2"/>
    <w:rsid w:val="084C71E9"/>
    <w:rsid w:val="084C729A"/>
    <w:rsid w:val="084C72BB"/>
    <w:rsid w:val="084C730F"/>
    <w:rsid w:val="084C736A"/>
    <w:rsid w:val="084C73E5"/>
    <w:rsid w:val="084C73EB"/>
    <w:rsid w:val="084C7409"/>
    <w:rsid w:val="084C7412"/>
    <w:rsid w:val="084C74DA"/>
    <w:rsid w:val="084C74DD"/>
    <w:rsid w:val="084C755B"/>
    <w:rsid w:val="084C75DC"/>
    <w:rsid w:val="084C75EC"/>
    <w:rsid w:val="084C7634"/>
    <w:rsid w:val="084C766B"/>
    <w:rsid w:val="084C76A6"/>
    <w:rsid w:val="084C76BD"/>
    <w:rsid w:val="084C7720"/>
    <w:rsid w:val="084C7A88"/>
    <w:rsid w:val="084C7AB7"/>
    <w:rsid w:val="084C7B03"/>
    <w:rsid w:val="084C7B55"/>
    <w:rsid w:val="084C7B86"/>
    <w:rsid w:val="084C7BBD"/>
    <w:rsid w:val="084C7BCE"/>
    <w:rsid w:val="084C7D11"/>
    <w:rsid w:val="084C7D62"/>
    <w:rsid w:val="084C7E06"/>
    <w:rsid w:val="084C7E0F"/>
    <w:rsid w:val="084C7EF6"/>
    <w:rsid w:val="084C7F64"/>
    <w:rsid w:val="084C7F92"/>
    <w:rsid w:val="084C7FE5"/>
    <w:rsid w:val="084D0020"/>
    <w:rsid w:val="084D004B"/>
    <w:rsid w:val="084D00BB"/>
    <w:rsid w:val="084D0127"/>
    <w:rsid w:val="084D014F"/>
    <w:rsid w:val="084D02F7"/>
    <w:rsid w:val="084D0344"/>
    <w:rsid w:val="084D03D9"/>
    <w:rsid w:val="084D03FD"/>
    <w:rsid w:val="084D040D"/>
    <w:rsid w:val="084D040E"/>
    <w:rsid w:val="084D04DC"/>
    <w:rsid w:val="084D0508"/>
    <w:rsid w:val="084D052E"/>
    <w:rsid w:val="084D055A"/>
    <w:rsid w:val="084D0592"/>
    <w:rsid w:val="084D0620"/>
    <w:rsid w:val="084D066E"/>
    <w:rsid w:val="084D075C"/>
    <w:rsid w:val="084D07E5"/>
    <w:rsid w:val="084D08B2"/>
    <w:rsid w:val="084D09EF"/>
    <w:rsid w:val="084D0ABB"/>
    <w:rsid w:val="084D0B12"/>
    <w:rsid w:val="084D0B1F"/>
    <w:rsid w:val="084D0D96"/>
    <w:rsid w:val="084D0DA2"/>
    <w:rsid w:val="084D0EB6"/>
    <w:rsid w:val="084D0EE4"/>
    <w:rsid w:val="084D0F24"/>
    <w:rsid w:val="084D0F27"/>
    <w:rsid w:val="084D0F36"/>
    <w:rsid w:val="084D106E"/>
    <w:rsid w:val="084D1200"/>
    <w:rsid w:val="084D1201"/>
    <w:rsid w:val="084D120B"/>
    <w:rsid w:val="084D12F5"/>
    <w:rsid w:val="084D1415"/>
    <w:rsid w:val="084D1426"/>
    <w:rsid w:val="084D1473"/>
    <w:rsid w:val="084D1494"/>
    <w:rsid w:val="084D14EB"/>
    <w:rsid w:val="084D1526"/>
    <w:rsid w:val="084D15A4"/>
    <w:rsid w:val="084D15EB"/>
    <w:rsid w:val="084D1687"/>
    <w:rsid w:val="084D16FA"/>
    <w:rsid w:val="084D171C"/>
    <w:rsid w:val="084D172F"/>
    <w:rsid w:val="084D17AF"/>
    <w:rsid w:val="084D18E8"/>
    <w:rsid w:val="084D192D"/>
    <w:rsid w:val="084D1931"/>
    <w:rsid w:val="084D199D"/>
    <w:rsid w:val="084D19ED"/>
    <w:rsid w:val="084D1A19"/>
    <w:rsid w:val="084D1A28"/>
    <w:rsid w:val="084D1A7A"/>
    <w:rsid w:val="084D1A9A"/>
    <w:rsid w:val="084D1AC3"/>
    <w:rsid w:val="084D1B2C"/>
    <w:rsid w:val="084D1BEC"/>
    <w:rsid w:val="084D1C73"/>
    <w:rsid w:val="084D1CAA"/>
    <w:rsid w:val="084D1CBD"/>
    <w:rsid w:val="084D1D9B"/>
    <w:rsid w:val="084D1DF6"/>
    <w:rsid w:val="084D1E56"/>
    <w:rsid w:val="084D1EAC"/>
    <w:rsid w:val="084D1EEA"/>
    <w:rsid w:val="084D1EF1"/>
    <w:rsid w:val="084D1F6B"/>
    <w:rsid w:val="084D203E"/>
    <w:rsid w:val="084D20AE"/>
    <w:rsid w:val="084D2140"/>
    <w:rsid w:val="084D2329"/>
    <w:rsid w:val="084D24B6"/>
    <w:rsid w:val="084D25EB"/>
    <w:rsid w:val="084D265C"/>
    <w:rsid w:val="084D2920"/>
    <w:rsid w:val="084D2924"/>
    <w:rsid w:val="084D299E"/>
    <w:rsid w:val="084D29C2"/>
    <w:rsid w:val="084D2A7C"/>
    <w:rsid w:val="084D2B92"/>
    <w:rsid w:val="084D2C5E"/>
    <w:rsid w:val="084D2C65"/>
    <w:rsid w:val="084D2C7F"/>
    <w:rsid w:val="084D2D1D"/>
    <w:rsid w:val="084D2DCD"/>
    <w:rsid w:val="084D2DE7"/>
    <w:rsid w:val="084D2EA6"/>
    <w:rsid w:val="084D2EE5"/>
    <w:rsid w:val="084D2F2C"/>
    <w:rsid w:val="084D2FC6"/>
    <w:rsid w:val="084D303B"/>
    <w:rsid w:val="084D3150"/>
    <w:rsid w:val="084D321F"/>
    <w:rsid w:val="084D3229"/>
    <w:rsid w:val="084D331C"/>
    <w:rsid w:val="084D335A"/>
    <w:rsid w:val="084D3367"/>
    <w:rsid w:val="084D33F7"/>
    <w:rsid w:val="084D3402"/>
    <w:rsid w:val="084D34A2"/>
    <w:rsid w:val="084D34AD"/>
    <w:rsid w:val="084D3549"/>
    <w:rsid w:val="084D358C"/>
    <w:rsid w:val="084D3626"/>
    <w:rsid w:val="084D3673"/>
    <w:rsid w:val="084D3788"/>
    <w:rsid w:val="084D37B4"/>
    <w:rsid w:val="084D37B6"/>
    <w:rsid w:val="084D38C0"/>
    <w:rsid w:val="084D38E2"/>
    <w:rsid w:val="084D38ED"/>
    <w:rsid w:val="084D3938"/>
    <w:rsid w:val="084D39A3"/>
    <w:rsid w:val="084D39C9"/>
    <w:rsid w:val="084D3A8B"/>
    <w:rsid w:val="084D3B4B"/>
    <w:rsid w:val="084D3C92"/>
    <w:rsid w:val="084D3D1F"/>
    <w:rsid w:val="084D3D2A"/>
    <w:rsid w:val="084D3E5B"/>
    <w:rsid w:val="084D3EA8"/>
    <w:rsid w:val="084D3F19"/>
    <w:rsid w:val="084D4085"/>
    <w:rsid w:val="084D40FA"/>
    <w:rsid w:val="084D416B"/>
    <w:rsid w:val="084D4177"/>
    <w:rsid w:val="084D41FB"/>
    <w:rsid w:val="084D4341"/>
    <w:rsid w:val="084D4347"/>
    <w:rsid w:val="084D437A"/>
    <w:rsid w:val="084D4419"/>
    <w:rsid w:val="084D45F8"/>
    <w:rsid w:val="084D461E"/>
    <w:rsid w:val="084D4649"/>
    <w:rsid w:val="084D46A0"/>
    <w:rsid w:val="084D470C"/>
    <w:rsid w:val="084D47FF"/>
    <w:rsid w:val="084D4922"/>
    <w:rsid w:val="084D4943"/>
    <w:rsid w:val="084D49A8"/>
    <w:rsid w:val="084D4A23"/>
    <w:rsid w:val="084D4A49"/>
    <w:rsid w:val="084D4ADF"/>
    <w:rsid w:val="084D4B0B"/>
    <w:rsid w:val="084D4B2C"/>
    <w:rsid w:val="084D4B67"/>
    <w:rsid w:val="084D4BF5"/>
    <w:rsid w:val="084D4C08"/>
    <w:rsid w:val="084D4C2A"/>
    <w:rsid w:val="084D4C97"/>
    <w:rsid w:val="084D4CCF"/>
    <w:rsid w:val="084D4D14"/>
    <w:rsid w:val="084D4E26"/>
    <w:rsid w:val="084D4E34"/>
    <w:rsid w:val="084D4F58"/>
    <w:rsid w:val="084D4F73"/>
    <w:rsid w:val="084D4FA3"/>
    <w:rsid w:val="084D4FB2"/>
    <w:rsid w:val="084D4FED"/>
    <w:rsid w:val="084D5005"/>
    <w:rsid w:val="084D5039"/>
    <w:rsid w:val="084D5044"/>
    <w:rsid w:val="084D5059"/>
    <w:rsid w:val="084D509B"/>
    <w:rsid w:val="084D50AC"/>
    <w:rsid w:val="084D50F5"/>
    <w:rsid w:val="084D51B8"/>
    <w:rsid w:val="084D5268"/>
    <w:rsid w:val="084D5319"/>
    <w:rsid w:val="084D5543"/>
    <w:rsid w:val="084D560A"/>
    <w:rsid w:val="084D5647"/>
    <w:rsid w:val="084D568A"/>
    <w:rsid w:val="084D5695"/>
    <w:rsid w:val="084D57A1"/>
    <w:rsid w:val="084D58B8"/>
    <w:rsid w:val="084D5918"/>
    <w:rsid w:val="084D5947"/>
    <w:rsid w:val="084D5957"/>
    <w:rsid w:val="084D59CC"/>
    <w:rsid w:val="084D5A75"/>
    <w:rsid w:val="084D5B59"/>
    <w:rsid w:val="084D5BB9"/>
    <w:rsid w:val="084D5CDE"/>
    <w:rsid w:val="084D5D2A"/>
    <w:rsid w:val="084D5DBD"/>
    <w:rsid w:val="084D5ED1"/>
    <w:rsid w:val="084D5F1E"/>
    <w:rsid w:val="084D5F73"/>
    <w:rsid w:val="084D5FD8"/>
    <w:rsid w:val="084D612E"/>
    <w:rsid w:val="084D6250"/>
    <w:rsid w:val="084D6251"/>
    <w:rsid w:val="084D63AF"/>
    <w:rsid w:val="084D6487"/>
    <w:rsid w:val="084D652E"/>
    <w:rsid w:val="084D6556"/>
    <w:rsid w:val="084D655F"/>
    <w:rsid w:val="084D65C5"/>
    <w:rsid w:val="084D6747"/>
    <w:rsid w:val="084D6767"/>
    <w:rsid w:val="084D67F2"/>
    <w:rsid w:val="084D6804"/>
    <w:rsid w:val="084D6916"/>
    <w:rsid w:val="084D6978"/>
    <w:rsid w:val="084D69DA"/>
    <w:rsid w:val="084D6A54"/>
    <w:rsid w:val="084D6A79"/>
    <w:rsid w:val="084D6B09"/>
    <w:rsid w:val="084D6B8E"/>
    <w:rsid w:val="084D6BCA"/>
    <w:rsid w:val="084D6C07"/>
    <w:rsid w:val="084D6C72"/>
    <w:rsid w:val="084D6C84"/>
    <w:rsid w:val="084D6C8F"/>
    <w:rsid w:val="084D6CFC"/>
    <w:rsid w:val="084D6D0D"/>
    <w:rsid w:val="084D6D55"/>
    <w:rsid w:val="084D6D6B"/>
    <w:rsid w:val="084D6E02"/>
    <w:rsid w:val="084D6EA5"/>
    <w:rsid w:val="084D6ED2"/>
    <w:rsid w:val="084D6F23"/>
    <w:rsid w:val="084D6FFA"/>
    <w:rsid w:val="084D7033"/>
    <w:rsid w:val="084D7072"/>
    <w:rsid w:val="084D70C1"/>
    <w:rsid w:val="084D70E8"/>
    <w:rsid w:val="084D7119"/>
    <w:rsid w:val="084D7122"/>
    <w:rsid w:val="084D7123"/>
    <w:rsid w:val="084D715C"/>
    <w:rsid w:val="084D7184"/>
    <w:rsid w:val="084D71E7"/>
    <w:rsid w:val="084D71E8"/>
    <w:rsid w:val="084D7236"/>
    <w:rsid w:val="084D726A"/>
    <w:rsid w:val="084D745F"/>
    <w:rsid w:val="084D7491"/>
    <w:rsid w:val="084D74C3"/>
    <w:rsid w:val="084D74D6"/>
    <w:rsid w:val="084D751F"/>
    <w:rsid w:val="084D752E"/>
    <w:rsid w:val="084D7587"/>
    <w:rsid w:val="084D75A4"/>
    <w:rsid w:val="084D75A6"/>
    <w:rsid w:val="084D75B2"/>
    <w:rsid w:val="084D75D9"/>
    <w:rsid w:val="084D75FB"/>
    <w:rsid w:val="084D7651"/>
    <w:rsid w:val="084D7732"/>
    <w:rsid w:val="084D7741"/>
    <w:rsid w:val="084D777E"/>
    <w:rsid w:val="084D77F2"/>
    <w:rsid w:val="084D7876"/>
    <w:rsid w:val="084D78EC"/>
    <w:rsid w:val="084D791F"/>
    <w:rsid w:val="084D7958"/>
    <w:rsid w:val="084D7969"/>
    <w:rsid w:val="084D79CB"/>
    <w:rsid w:val="084D7A2A"/>
    <w:rsid w:val="084D7A92"/>
    <w:rsid w:val="084D7BA6"/>
    <w:rsid w:val="084D7BBA"/>
    <w:rsid w:val="084D7C02"/>
    <w:rsid w:val="084D7CA1"/>
    <w:rsid w:val="084D7CFB"/>
    <w:rsid w:val="084D7D5D"/>
    <w:rsid w:val="084D7E2B"/>
    <w:rsid w:val="084D7E48"/>
    <w:rsid w:val="084D7E4B"/>
    <w:rsid w:val="084D7EF8"/>
    <w:rsid w:val="084D7FB1"/>
    <w:rsid w:val="084E0036"/>
    <w:rsid w:val="084E0099"/>
    <w:rsid w:val="084E00C1"/>
    <w:rsid w:val="084E00CC"/>
    <w:rsid w:val="084E0103"/>
    <w:rsid w:val="084E010A"/>
    <w:rsid w:val="084E017B"/>
    <w:rsid w:val="084E01CB"/>
    <w:rsid w:val="084E01E1"/>
    <w:rsid w:val="084E0204"/>
    <w:rsid w:val="084E0206"/>
    <w:rsid w:val="084E0268"/>
    <w:rsid w:val="084E026F"/>
    <w:rsid w:val="084E0273"/>
    <w:rsid w:val="084E02B1"/>
    <w:rsid w:val="084E02D9"/>
    <w:rsid w:val="084E0404"/>
    <w:rsid w:val="084E042C"/>
    <w:rsid w:val="084E045F"/>
    <w:rsid w:val="084E04C2"/>
    <w:rsid w:val="084E0512"/>
    <w:rsid w:val="084E056D"/>
    <w:rsid w:val="084E05C9"/>
    <w:rsid w:val="084E0613"/>
    <w:rsid w:val="084E0812"/>
    <w:rsid w:val="084E0824"/>
    <w:rsid w:val="084E0842"/>
    <w:rsid w:val="084E085D"/>
    <w:rsid w:val="084E08F2"/>
    <w:rsid w:val="084E092F"/>
    <w:rsid w:val="084E0952"/>
    <w:rsid w:val="084E098C"/>
    <w:rsid w:val="084E0A2A"/>
    <w:rsid w:val="084E0A69"/>
    <w:rsid w:val="084E0AF5"/>
    <w:rsid w:val="084E0B56"/>
    <w:rsid w:val="084E0B8A"/>
    <w:rsid w:val="084E0BCA"/>
    <w:rsid w:val="084E0C76"/>
    <w:rsid w:val="084E0CB1"/>
    <w:rsid w:val="084E0CD5"/>
    <w:rsid w:val="084E0E91"/>
    <w:rsid w:val="084E0E99"/>
    <w:rsid w:val="084E0F1D"/>
    <w:rsid w:val="084E0F1F"/>
    <w:rsid w:val="084E0F5F"/>
    <w:rsid w:val="084E104D"/>
    <w:rsid w:val="084E120E"/>
    <w:rsid w:val="084E12E6"/>
    <w:rsid w:val="084E130E"/>
    <w:rsid w:val="084E137D"/>
    <w:rsid w:val="084E14B7"/>
    <w:rsid w:val="084E14D0"/>
    <w:rsid w:val="084E1626"/>
    <w:rsid w:val="084E1680"/>
    <w:rsid w:val="084E1709"/>
    <w:rsid w:val="084E178A"/>
    <w:rsid w:val="084E17A6"/>
    <w:rsid w:val="084E1888"/>
    <w:rsid w:val="084E19AC"/>
    <w:rsid w:val="084E19D3"/>
    <w:rsid w:val="084E1A1F"/>
    <w:rsid w:val="084E1B2F"/>
    <w:rsid w:val="084E1B43"/>
    <w:rsid w:val="084E1BB0"/>
    <w:rsid w:val="084E1C98"/>
    <w:rsid w:val="084E1D46"/>
    <w:rsid w:val="084E1E0D"/>
    <w:rsid w:val="084E1E48"/>
    <w:rsid w:val="084E1F70"/>
    <w:rsid w:val="084E2073"/>
    <w:rsid w:val="084E212F"/>
    <w:rsid w:val="084E2234"/>
    <w:rsid w:val="084E22D7"/>
    <w:rsid w:val="084E2441"/>
    <w:rsid w:val="084E24C5"/>
    <w:rsid w:val="084E252A"/>
    <w:rsid w:val="084E252E"/>
    <w:rsid w:val="084E2641"/>
    <w:rsid w:val="084E270D"/>
    <w:rsid w:val="084E27A9"/>
    <w:rsid w:val="084E2877"/>
    <w:rsid w:val="084E28E5"/>
    <w:rsid w:val="084E291D"/>
    <w:rsid w:val="084E2960"/>
    <w:rsid w:val="084E2989"/>
    <w:rsid w:val="084E2B02"/>
    <w:rsid w:val="084E2BAF"/>
    <w:rsid w:val="084E2BB4"/>
    <w:rsid w:val="084E2BC9"/>
    <w:rsid w:val="084E2C1E"/>
    <w:rsid w:val="084E2CF9"/>
    <w:rsid w:val="084E2D27"/>
    <w:rsid w:val="084E2D46"/>
    <w:rsid w:val="084E2D5C"/>
    <w:rsid w:val="084E2D9A"/>
    <w:rsid w:val="084E2DAC"/>
    <w:rsid w:val="084E2DAE"/>
    <w:rsid w:val="084E2E02"/>
    <w:rsid w:val="084E2F00"/>
    <w:rsid w:val="084E2F01"/>
    <w:rsid w:val="084E2F08"/>
    <w:rsid w:val="084E2F0B"/>
    <w:rsid w:val="084E30CC"/>
    <w:rsid w:val="084E316D"/>
    <w:rsid w:val="084E31D5"/>
    <w:rsid w:val="084E32DC"/>
    <w:rsid w:val="084E3367"/>
    <w:rsid w:val="084E33A0"/>
    <w:rsid w:val="084E3544"/>
    <w:rsid w:val="084E3582"/>
    <w:rsid w:val="084E35BA"/>
    <w:rsid w:val="084E3645"/>
    <w:rsid w:val="084E3648"/>
    <w:rsid w:val="084E36B0"/>
    <w:rsid w:val="084E3A80"/>
    <w:rsid w:val="084E3A84"/>
    <w:rsid w:val="084E3ACB"/>
    <w:rsid w:val="084E3AD4"/>
    <w:rsid w:val="084E3B0A"/>
    <w:rsid w:val="084E3B70"/>
    <w:rsid w:val="084E3B7A"/>
    <w:rsid w:val="084E3C05"/>
    <w:rsid w:val="084E3C0E"/>
    <w:rsid w:val="084E3CCB"/>
    <w:rsid w:val="084E3CF4"/>
    <w:rsid w:val="084E3CFC"/>
    <w:rsid w:val="084E3D05"/>
    <w:rsid w:val="084E3DEC"/>
    <w:rsid w:val="084E3E49"/>
    <w:rsid w:val="084E3E90"/>
    <w:rsid w:val="084E3FB4"/>
    <w:rsid w:val="084E3FD0"/>
    <w:rsid w:val="084E40B9"/>
    <w:rsid w:val="084E40BD"/>
    <w:rsid w:val="084E40EA"/>
    <w:rsid w:val="084E4120"/>
    <w:rsid w:val="084E4227"/>
    <w:rsid w:val="084E430B"/>
    <w:rsid w:val="084E434D"/>
    <w:rsid w:val="084E4359"/>
    <w:rsid w:val="084E4442"/>
    <w:rsid w:val="084E4454"/>
    <w:rsid w:val="084E4455"/>
    <w:rsid w:val="084E447B"/>
    <w:rsid w:val="084E4547"/>
    <w:rsid w:val="084E4652"/>
    <w:rsid w:val="084E46B9"/>
    <w:rsid w:val="084E46F3"/>
    <w:rsid w:val="084E475E"/>
    <w:rsid w:val="084E4769"/>
    <w:rsid w:val="084E47D3"/>
    <w:rsid w:val="084E4838"/>
    <w:rsid w:val="084E4840"/>
    <w:rsid w:val="084E48B5"/>
    <w:rsid w:val="084E4910"/>
    <w:rsid w:val="084E495D"/>
    <w:rsid w:val="084E4984"/>
    <w:rsid w:val="084E49C1"/>
    <w:rsid w:val="084E49F9"/>
    <w:rsid w:val="084E4A65"/>
    <w:rsid w:val="084E4AAB"/>
    <w:rsid w:val="084E4AE9"/>
    <w:rsid w:val="084E4AFD"/>
    <w:rsid w:val="084E4B59"/>
    <w:rsid w:val="084E4D5B"/>
    <w:rsid w:val="084E4D93"/>
    <w:rsid w:val="084E4F76"/>
    <w:rsid w:val="084E4FE4"/>
    <w:rsid w:val="084E5030"/>
    <w:rsid w:val="084E5051"/>
    <w:rsid w:val="084E507F"/>
    <w:rsid w:val="084E5102"/>
    <w:rsid w:val="084E513A"/>
    <w:rsid w:val="084E53E8"/>
    <w:rsid w:val="084E542E"/>
    <w:rsid w:val="084E54D8"/>
    <w:rsid w:val="084E54DF"/>
    <w:rsid w:val="084E55DF"/>
    <w:rsid w:val="084E55FA"/>
    <w:rsid w:val="084E5641"/>
    <w:rsid w:val="084E5659"/>
    <w:rsid w:val="084E56F9"/>
    <w:rsid w:val="084E573E"/>
    <w:rsid w:val="084E5889"/>
    <w:rsid w:val="084E58E0"/>
    <w:rsid w:val="084E59C7"/>
    <w:rsid w:val="084E59FB"/>
    <w:rsid w:val="084E5A4F"/>
    <w:rsid w:val="084E5A5C"/>
    <w:rsid w:val="084E5B82"/>
    <w:rsid w:val="084E5BD3"/>
    <w:rsid w:val="084E5BE7"/>
    <w:rsid w:val="084E5C13"/>
    <w:rsid w:val="084E5C28"/>
    <w:rsid w:val="084E5C6F"/>
    <w:rsid w:val="084E5D51"/>
    <w:rsid w:val="084E5D57"/>
    <w:rsid w:val="084E5DC5"/>
    <w:rsid w:val="084E5DE8"/>
    <w:rsid w:val="084E5DF5"/>
    <w:rsid w:val="084E5E74"/>
    <w:rsid w:val="084E5E89"/>
    <w:rsid w:val="084E5E8D"/>
    <w:rsid w:val="084E5F38"/>
    <w:rsid w:val="084E5F39"/>
    <w:rsid w:val="084E6090"/>
    <w:rsid w:val="084E620D"/>
    <w:rsid w:val="084E63D2"/>
    <w:rsid w:val="084E645C"/>
    <w:rsid w:val="084E647B"/>
    <w:rsid w:val="084E6495"/>
    <w:rsid w:val="084E651B"/>
    <w:rsid w:val="084E6523"/>
    <w:rsid w:val="084E6536"/>
    <w:rsid w:val="084E6592"/>
    <w:rsid w:val="084E663F"/>
    <w:rsid w:val="084E6769"/>
    <w:rsid w:val="084E677C"/>
    <w:rsid w:val="084E67DD"/>
    <w:rsid w:val="084E67E2"/>
    <w:rsid w:val="084E68E9"/>
    <w:rsid w:val="084E68F4"/>
    <w:rsid w:val="084E6943"/>
    <w:rsid w:val="084E69F0"/>
    <w:rsid w:val="084E6A40"/>
    <w:rsid w:val="084E6A6F"/>
    <w:rsid w:val="084E6AEA"/>
    <w:rsid w:val="084E6B1E"/>
    <w:rsid w:val="084E6B64"/>
    <w:rsid w:val="084E6B94"/>
    <w:rsid w:val="084E6C0E"/>
    <w:rsid w:val="084E6C71"/>
    <w:rsid w:val="084E6CC6"/>
    <w:rsid w:val="084E6DA0"/>
    <w:rsid w:val="084E6DE0"/>
    <w:rsid w:val="084E6E71"/>
    <w:rsid w:val="084E6F7D"/>
    <w:rsid w:val="084E6F96"/>
    <w:rsid w:val="084E6FDE"/>
    <w:rsid w:val="084E7057"/>
    <w:rsid w:val="084E707B"/>
    <w:rsid w:val="084E70AD"/>
    <w:rsid w:val="084E7108"/>
    <w:rsid w:val="084E716F"/>
    <w:rsid w:val="084E720C"/>
    <w:rsid w:val="084E72A6"/>
    <w:rsid w:val="084E73E4"/>
    <w:rsid w:val="084E7456"/>
    <w:rsid w:val="084E7483"/>
    <w:rsid w:val="084E7496"/>
    <w:rsid w:val="084E7558"/>
    <w:rsid w:val="084E75C3"/>
    <w:rsid w:val="084E75C6"/>
    <w:rsid w:val="084E765E"/>
    <w:rsid w:val="084E76CD"/>
    <w:rsid w:val="084E77F2"/>
    <w:rsid w:val="084E7883"/>
    <w:rsid w:val="084E7903"/>
    <w:rsid w:val="084E791B"/>
    <w:rsid w:val="084E7952"/>
    <w:rsid w:val="084E798E"/>
    <w:rsid w:val="084E79D7"/>
    <w:rsid w:val="084E79FE"/>
    <w:rsid w:val="084E7A15"/>
    <w:rsid w:val="084E7A78"/>
    <w:rsid w:val="084E7B98"/>
    <w:rsid w:val="084E7BFA"/>
    <w:rsid w:val="084E7D15"/>
    <w:rsid w:val="084E7E44"/>
    <w:rsid w:val="084E7E68"/>
    <w:rsid w:val="084E7EC6"/>
    <w:rsid w:val="084E7EEB"/>
    <w:rsid w:val="084E7F31"/>
    <w:rsid w:val="084F0060"/>
    <w:rsid w:val="084F0171"/>
    <w:rsid w:val="084F01C4"/>
    <w:rsid w:val="084F01FA"/>
    <w:rsid w:val="084F0296"/>
    <w:rsid w:val="084F02A5"/>
    <w:rsid w:val="084F02B7"/>
    <w:rsid w:val="084F03AF"/>
    <w:rsid w:val="084F03C2"/>
    <w:rsid w:val="084F03CE"/>
    <w:rsid w:val="084F041B"/>
    <w:rsid w:val="084F0485"/>
    <w:rsid w:val="084F0530"/>
    <w:rsid w:val="084F0565"/>
    <w:rsid w:val="084F05EC"/>
    <w:rsid w:val="084F0623"/>
    <w:rsid w:val="084F066A"/>
    <w:rsid w:val="084F06C5"/>
    <w:rsid w:val="084F08EC"/>
    <w:rsid w:val="084F08F2"/>
    <w:rsid w:val="084F0A47"/>
    <w:rsid w:val="084F0A9A"/>
    <w:rsid w:val="084F0AD6"/>
    <w:rsid w:val="084F0AF1"/>
    <w:rsid w:val="084F0B20"/>
    <w:rsid w:val="084F0B5B"/>
    <w:rsid w:val="084F0B90"/>
    <w:rsid w:val="084F0C09"/>
    <w:rsid w:val="084F0C1D"/>
    <w:rsid w:val="084F0C41"/>
    <w:rsid w:val="084F0C7B"/>
    <w:rsid w:val="084F0CF9"/>
    <w:rsid w:val="084F0DC2"/>
    <w:rsid w:val="084F0DC6"/>
    <w:rsid w:val="084F0E83"/>
    <w:rsid w:val="084F0EAB"/>
    <w:rsid w:val="084F0ED8"/>
    <w:rsid w:val="084F0EFA"/>
    <w:rsid w:val="084F0F15"/>
    <w:rsid w:val="084F0F2E"/>
    <w:rsid w:val="084F0F69"/>
    <w:rsid w:val="084F0F76"/>
    <w:rsid w:val="084F0FD8"/>
    <w:rsid w:val="084F0FE8"/>
    <w:rsid w:val="084F0FEE"/>
    <w:rsid w:val="084F1022"/>
    <w:rsid w:val="084F116A"/>
    <w:rsid w:val="084F1183"/>
    <w:rsid w:val="084F129E"/>
    <w:rsid w:val="084F12D0"/>
    <w:rsid w:val="084F131B"/>
    <w:rsid w:val="084F1351"/>
    <w:rsid w:val="084F1445"/>
    <w:rsid w:val="084F1449"/>
    <w:rsid w:val="084F14A5"/>
    <w:rsid w:val="084F154F"/>
    <w:rsid w:val="084F169C"/>
    <w:rsid w:val="084F16A6"/>
    <w:rsid w:val="084F173D"/>
    <w:rsid w:val="084F17BD"/>
    <w:rsid w:val="084F1882"/>
    <w:rsid w:val="084F18B8"/>
    <w:rsid w:val="084F18E8"/>
    <w:rsid w:val="084F1978"/>
    <w:rsid w:val="084F1A5C"/>
    <w:rsid w:val="084F1AAB"/>
    <w:rsid w:val="084F1AC6"/>
    <w:rsid w:val="084F1B20"/>
    <w:rsid w:val="084F1B5B"/>
    <w:rsid w:val="084F1BBA"/>
    <w:rsid w:val="084F1CC4"/>
    <w:rsid w:val="084F1FF7"/>
    <w:rsid w:val="084F209B"/>
    <w:rsid w:val="084F20D6"/>
    <w:rsid w:val="084F20E9"/>
    <w:rsid w:val="084F21CC"/>
    <w:rsid w:val="084F2281"/>
    <w:rsid w:val="084F2353"/>
    <w:rsid w:val="084F2458"/>
    <w:rsid w:val="084F253A"/>
    <w:rsid w:val="084F2561"/>
    <w:rsid w:val="084F2583"/>
    <w:rsid w:val="084F2678"/>
    <w:rsid w:val="084F268D"/>
    <w:rsid w:val="084F26F3"/>
    <w:rsid w:val="084F27B5"/>
    <w:rsid w:val="084F2867"/>
    <w:rsid w:val="084F2914"/>
    <w:rsid w:val="084F2988"/>
    <w:rsid w:val="084F2993"/>
    <w:rsid w:val="084F299D"/>
    <w:rsid w:val="084F2A56"/>
    <w:rsid w:val="084F2A97"/>
    <w:rsid w:val="084F2BF0"/>
    <w:rsid w:val="084F2BF2"/>
    <w:rsid w:val="084F2C09"/>
    <w:rsid w:val="084F2C40"/>
    <w:rsid w:val="084F2C4A"/>
    <w:rsid w:val="084F2D4E"/>
    <w:rsid w:val="084F2D63"/>
    <w:rsid w:val="084F2D66"/>
    <w:rsid w:val="084F2D8D"/>
    <w:rsid w:val="084F2E30"/>
    <w:rsid w:val="084F2E6C"/>
    <w:rsid w:val="084F2EA3"/>
    <w:rsid w:val="084F2EAE"/>
    <w:rsid w:val="084F2EF6"/>
    <w:rsid w:val="084F2F56"/>
    <w:rsid w:val="084F2FBC"/>
    <w:rsid w:val="084F2FE1"/>
    <w:rsid w:val="084F2FFD"/>
    <w:rsid w:val="084F3004"/>
    <w:rsid w:val="084F3080"/>
    <w:rsid w:val="084F30EF"/>
    <w:rsid w:val="084F312D"/>
    <w:rsid w:val="084F31C2"/>
    <w:rsid w:val="084F3204"/>
    <w:rsid w:val="084F3240"/>
    <w:rsid w:val="084F331A"/>
    <w:rsid w:val="084F3321"/>
    <w:rsid w:val="084F33B9"/>
    <w:rsid w:val="084F342E"/>
    <w:rsid w:val="084F345E"/>
    <w:rsid w:val="084F34D1"/>
    <w:rsid w:val="084F34DA"/>
    <w:rsid w:val="084F3626"/>
    <w:rsid w:val="084F369F"/>
    <w:rsid w:val="084F36F5"/>
    <w:rsid w:val="084F371F"/>
    <w:rsid w:val="084F380C"/>
    <w:rsid w:val="084F3887"/>
    <w:rsid w:val="084F38E1"/>
    <w:rsid w:val="084F390D"/>
    <w:rsid w:val="084F3AA0"/>
    <w:rsid w:val="084F3BC3"/>
    <w:rsid w:val="084F3C52"/>
    <w:rsid w:val="084F3CAF"/>
    <w:rsid w:val="084F3D0C"/>
    <w:rsid w:val="084F3D4B"/>
    <w:rsid w:val="084F3D7F"/>
    <w:rsid w:val="084F3DDF"/>
    <w:rsid w:val="084F3F65"/>
    <w:rsid w:val="084F3FDE"/>
    <w:rsid w:val="084F3FEC"/>
    <w:rsid w:val="084F4028"/>
    <w:rsid w:val="084F415C"/>
    <w:rsid w:val="084F41CC"/>
    <w:rsid w:val="084F41D3"/>
    <w:rsid w:val="084F41ED"/>
    <w:rsid w:val="084F425D"/>
    <w:rsid w:val="084F42C6"/>
    <w:rsid w:val="084F4322"/>
    <w:rsid w:val="084F434A"/>
    <w:rsid w:val="084F434B"/>
    <w:rsid w:val="084F43D4"/>
    <w:rsid w:val="084F4434"/>
    <w:rsid w:val="084F4593"/>
    <w:rsid w:val="084F4596"/>
    <w:rsid w:val="084F462B"/>
    <w:rsid w:val="084F4696"/>
    <w:rsid w:val="084F46BB"/>
    <w:rsid w:val="084F46E3"/>
    <w:rsid w:val="084F4718"/>
    <w:rsid w:val="084F47A2"/>
    <w:rsid w:val="084F47E9"/>
    <w:rsid w:val="084F4816"/>
    <w:rsid w:val="084F48AC"/>
    <w:rsid w:val="084F494E"/>
    <w:rsid w:val="084F496F"/>
    <w:rsid w:val="084F499D"/>
    <w:rsid w:val="084F49A8"/>
    <w:rsid w:val="084F49DC"/>
    <w:rsid w:val="084F4AD5"/>
    <w:rsid w:val="084F4B45"/>
    <w:rsid w:val="084F4B93"/>
    <w:rsid w:val="084F4C0F"/>
    <w:rsid w:val="084F4C93"/>
    <w:rsid w:val="084F4D0F"/>
    <w:rsid w:val="084F4D3C"/>
    <w:rsid w:val="084F4E73"/>
    <w:rsid w:val="084F4E7A"/>
    <w:rsid w:val="084F4EA0"/>
    <w:rsid w:val="084F4EB7"/>
    <w:rsid w:val="084F4EC0"/>
    <w:rsid w:val="084F4F97"/>
    <w:rsid w:val="084F4FAA"/>
    <w:rsid w:val="084F513E"/>
    <w:rsid w:val="084F52E7"/>
    <w:rsid w:val="084F5498"/>
    <w:rsid w:val="084F54A1"/>
    <w:rsid w:val="084F54CF"/>
    <w:rsid w:val="084F550E"/>
    <w:rsid w:val="084F551C"/>
    <w:rsid w:val="084F553E"/>
    <w:rsid w:val="084F5635"/>
    <w:rsid w:val="084F574A"/>
    <w:rsid w:val="084F587A"/>
    <w:rsid w:val="084F58AA"/>
    <w:rsid w:val="084F5925"/>
    <w:rsid w:val="084F5942"/>
    <w:rsid w:val="084F5A43"/>
    <w:rsid w:val="084F5AB0"/>
    <w:rsid w:val="084F5B5A"/>
    <w:rsid w:val="084F5BAE"/>
    <w:rsid w:val="084F5BF5"/>
    <w:rsid w:val="084F5BFE"/>
    <w:rsid w:val="084F5C19"/>
    <w:rsid w:val="084F5D70"/>
    <w:rsid w:val="084F5DAA"/>
    <w:rsid w:val="084F5DE6"/>
    <w:rsid w:val="084F5EDA"/>
    <w:rsid w:val="084F5F89"/>
    <w:rsid w:val="084F6015"/>
    <w:rsid w:val="084F60E7"/>
    <w:rsid w:val="084F6177"/>
    <w:rsid w:val="084F618C"/>
    <w:rsid w:val="084F6197"/>
    <w:rsid w:val="084F619F"/>
    <w:rsid w:val="084F61B5"/>
    <w:rsid w:val="084F61C3"/>
    <w:rsid w:val="084F629E"/>
    <w:rsid w:val="084F62B8"/>
    <w:rsid w:val="084F633F"/>
    <w:rsid w:val="084F6443"/>
    <w:rsid w:val="084F6456"/>
    <w:rsid w:val="084F64CD"/>
    <w:rsid w:val="084F64F6"/>
    <w:rsid w:val="084F6595"/>
    <w:rsid w:val="084F675C"/>
    <w:rsid w:val="084F6778"/>
    <w:rsid w:val="084F6783"/>
    <w:rsid w:val="084F67AC"/>
    <w:rsid w:val="084F6851"/>
    <w:rsid w:val="084F6883"/>
    <w:rsid w:val="084F68E3"/>
    <w:rsid w:val="084F6929"/>
    <w:rsid w:val="084F6A02"/>
    <w:rsid w:val="084F6A21"/>
    <w:rsid w:val="084F6B3C"/>
    <w:rsid w:val="084F6B8E"/>
    <w:rsid w:val="084F6BD7"/>
    <w:rsid w:val="084F6C78"/>
    <w:rsid w:val="084F6CAD"/>
    <w:rsid w:val="084F6CC3"/>
    <w:rsid w:val="084F6CE8"/>
    <w:rsid w:val="084F6D06"/>
    <w:rsid w:val="084F6D36"/>
    <w:rsid w:val="084F6E2E"/>
    <w:rsid w:val="084F6FAE"/>
    <w:rsid w:val="084F7118"/>
    <w:rsid w:val="084F7134"/>
    <w:rsid w:val="084F7203"/>
    <w:rsid w:val="084F721B"/>
    <w:rsid w:val="084F72A9"/>
    <w:rsid w:val="084F72E1"/>
    <w:rsid w:val="084F7494"/>
    <w:rsid w:val="084F74CF"/>
    <w:rsid w:val="084F74DD"/>
    <w:rsid w:val="084F756A"/>
    <w:rsid w:val="084F7621"/>
    <w:rsid w:val="084F76F5"/>
    <w:rsid w:val="084F77DA"/>
    <w:rsid w:val="084F780E"/>
    <w:rsid w:val="084F78DF"/>
    <w:rsid w:val="084F7956"/>
    <w:rsid w:val="084F7960"/>
    <w:rsid w:val="084F79E9"/>
    <w:rsid w:val="084F79EA"/>
    <w:rsid w:val="084F7A8C"/>
    <w:rsid w:val="084F7AC6"/>
    <w:rsid w:val="084F7AD5"/>
    <w:rsid w:val="084F7AEB"/>
    <w:rsid w:val="084F7C78"/>
    <w:rsid w:val="084F7D72"/>
    <w:rsid w:val="084F7F75"/>
    <w:rsid w:val="084F7F94"/>
    <w:rsid w:val="085000CE"/>
    <w:rsid w:val="085000E8"/>
    <w:rsid w:val="08500131"/>
    <w:rsid w:val="08500132"/>
    <w:rsid w:val="0850017D"/>
    <w:rsid w:val="085001C3"/>
    <w:rsid w:val="0850021E"/>
    <w:rsid w:val="085002BE"/>
    <w:rsid w:val="08500321"/>
    <w:rsid w:val="08500352"/>
    <w:rsid w:val="08500375"/>
    <w:rsid w:val="0850042D"/>
    <w:rsid w:val="085004D5"/>
    <w:rsid w:val="08500624"/>
    <w:rsid w:val="0850062B"/>
    <w:rsid w:val="0850062D"/>
    <w:rsid w:val="0850063E"/>
    <w:rsid w:val="0850079D"/>
    <w:rsid w:val="085007D1"/>
    <w:rsid w:val="08500809"/>
    <w:rsid w:val="085008AD"/>
    <w:rsid w:val="08500918"/>
    <w:rsid w:val="08500938"/>
    <w:rsid w:val="085009FF"/>
    <w:rsid w:val="08500AE6"/>
    <w:rsid w:val="08500B41"/>
    <w:rsid w:val="08500C55"/>
    <w:rsid w:val="08500C5C"/>
    <w:rsid w:val="08500CE4"/>
    <w:rsid w:val="08500DEA"/>
    <w:rsid w:val="08500E37"/>
    <w:rsid w:val="08500E5A"/>
    <w:rsid w:val="08500E62"/>
    <w:rsid w:val="08500EDC"/>
    <w:rsid w:val="08500EEC"/>
    <w:rsid w:val="08500FE9"/>
    <w:rsid w:val="085010E2"/>
    <w:rsid w:val="08501172"/>
    <w:rsid w:val="085011A9"/>
    <w:rsid w:val="085012A3"/>
    <w:rsid w:val="085012B8"/>
    <w:rsid w:val="08501327"/>
    <w:rsid w:val="0850134E"/>
    <w:rsid w:val="085013F4"/>
    <w:rsid w:val="08501465"/>
    <w:rsid w:val="085014C7"/>
    <w:rsid w:val="085014E5"/>
    <w:rsid w:val="08501545"/>
    <w:rsid w:val="0850154A"/>
    <w:rsid w:val="0850165E"/>
    <w:rsid w:val="08501702"/>
    <w:rsid w:val="08501726"/>
    <w:rsid w:val="0850178E"/>
    <w:rsid w:val="08501792"/>
    <w:rsid w:val="085017B5"/>
    <w:rsid w:val="085017CB"/>
    <w:rsid w:val="085018FD"/>
    <w:rsid w:val="08501978"/>
    <w:rsid w:val="08501A24"/>
    <w:rsid w:val="08501AC4"/>
    <w:rsid w:val="08501B30"/>
    <w:rsid w:val="08501BAA"/>
    <w:rsid w:val="08501BFC"/>
    <w:rsid w:val="08501C0B"/>
    <w:rsid w:val="08501C38"/>
    <w:rsid w:val="08501C39"/>
    <w:rsid w:val="08501C42"/>
    <w:rsid w:val="08501C78"/>
    <w:rsid w:val="08501C8E"/>
    <w:rsid w:val="08501CE5"/>
    <w:rsid w:val="08501D5A"/>
    <w:rsid w:val="08501DAE"/>
    <w:rsid w:val="085020D5"/>
    <w:rsid w:val="085020D6"/>
    <w:rsid w:val="085020D7"/>
    <w:rsid w:val="08502150"/>
    <w:rsid w:val="08502175"/>
    <w:rsid w:val="085021EB"/>
    <w:rsid w:val="08502250"/>
    <w:rsid w:val="08502296"/>
    <w:rsid w:val="085022FC"/>
    <w:rsid w:val="08502347"/>
    <w:rsid w:val="085023C1"/>
    <w:rsid w:val="085023DB"/>
    <w:rsid w:val="08502459"/>
    <w:rsid w:val="085024A4"/>
    <w:rsid w:val="085024CD"/>
    <w:rsid w:val="0850253A"/>
    <w:rsid w:val="08502552"/>
    <w:rsid w:val="08502580"/>
    <w:rsid w:val="085025E3"/>
    <w:rsid w:val="0850263E"/>
    <w:rsid w:val="0850267D"/>
    <w:rsid w:val="085026A0"/>
    <w:rsid w:val="085026B7"/>
    <w:rsid w:val="08502783"/>
    <w:rsid w:val="08502945"/>
    <w:rsid w:val="08502969"/>
    <w:rsid w:val="085029BF"/>
    <w:rsid w:val="08502A73"/>
    <w:rsid w:val="08502A8B"/>
    <w:rsid w:val="08502B29"/>
    <w:rsid w:val="08502BE2"/>
    <w:rsid w:val="08502CE3"/>
    <w:rsid w:val="08502D1B"/>
    <w:rsid w:val="08502DA8"/>
    <w:rsid w:val="08502E18"/>
    <w:rsid w:val="08502E6F"/>
    <w:rsid w:val="08502F5D"/>
    <w:rsid w:val="08502FB7"/>
    <w:rsid w:val="08502FD3"/>
    <w:rsid w:val="08503034"/>
    <w:rsid w:val="085031B3"/>
    <w:rsid w:val="085031C2"/>
    <w:rsid w:val="08503234"/>
    <w:rsid w:val="0850325C"/>
    <w:rsid w:val="085032FB"/>
    <w:rsid w:val="0850335A"/>
    <w:rsid w:val="085033D4"/>
    <w:rsid w:val="085033D8"/>
    <w:rsid w:val="08503457"/>
    <w:rsid w:val="085034D9"/>
    <w:rsid w:val="08503567"/>
    <w:rsid w:val="08503724"/>
    <w:rsid w:val="0850383D"/>
    <w:rsid w:val="08503998"/>
    <w:rsid w:val="085039D6"/>
    <w:rsid w:val="08503A05"/>
    <w:rsid w:val="08503A65"/>
    <w:rsid w:val="08503A67"/>
    <w:rsid w:val="08503B8D"/>
    <w:rsid w:val="08503BFB"/>
    <w:rsid w:val="08503C17"/>
    <w:rsid w:val="08503C5D"/>
    <w:rsid w:val="08503CD0"/>
    <w:rsid w:val="08503CE3"/>
    <w:rsid w:val="08503D22"/>
    <w:rsid w:val="08503D3D"/>
    <w:rsid w:val="08503E29"/>
    <w:rsid w:val="08503E36"/>
    <w:rsid w:val="08503E53"/>
    <w:rsid w:val="08503EC9"/>
    <w:rsid w:val="08503F22"/>
    <w:rsid w:val="08503F54"/>
    <w:rsid w:val="08503FF0"/>
    <w:rsid w:val="085040F3"/>
    <w:rsid w:val="08504178"/>
    <w:rsid w:val="0850426A"/>
    <w:rsid w:val="0850437A"/>
    <w:rsid w:val="085043A7"/>
    <w:rsid w:val="085044E6"/>
    <w:rsid w:val="08504503"/>
    <w:rsid w:val="0850460A"/>
    <w:rsid w:val="08504677"/>
    <w:rsid w:val="085046A7"/>
    <w:rsid w:val="085046AF"/>
    <w:rsid w:val="085046BF"/>
    <w:rsid w:val="08504751"/>
    <w:rsid w:val="08504857"/>
    <w:rsid w:val="085048FA"/>
    <w:rsid w:val="0850491B"/>
    <w:rsid w:val="0850494B"/>
    <w:rsid w:val="08504958"/>
    <w:rsid w:val="08504A4A"/>
    <w:rsid w:val="08504AB3"/>
    <w:rsid w:val="08504AF1"/>
    <w:rsid w:val="08504B78"/>
    <w:rsid w:val="08504BCE"/>
    <w:rsid w:val="08504D24"/>
    <w:rsid w:val="08504DF6"/>
    <w:rsid w:val="08504E14"/>
    <w:rsid w:val="08504E6B"/>
    <w:rsid w:val="08504EA7"/>
    <w:rsid w:val="08504F44"/>
    <w:rsid w:val="08504FF0"/>
    <w:rsid w:val="085050C8"/>
    <w:rsid w:val="085050CC"/>
    <w:rsid w:val="085050E0"/>
    <w:rsid w:val="0850540E"/>
    <w:rsid w:val="08505547"/>
    <w:rsid w:val="08505564"/>
    <w:rsid w:val="08505584"/>
    <w:rsid w:val="0850568C"/>
    <w:rsid w:val="085056D2"/>
    <w:rsid w:val="085056F7"/>
    <w:rsid w:val="085057C8"/>
    <w:rsid w:val="085057CB"/>
    <w:rsid w:val="08505853"/>
    <w:rsid w:val="08505868"/>
    <w:rsid w:val="08505873"/>
    <w:rsid w:val="0850598E"/>
    <w:rsid w:val="08505BCB"/>
    <w:rsid w:val="08505C69"/>
    <w:rsid w:val="08505E75"/>
    <w:rsid w:val="08505E95"/>
    <w:rsid w:val="08505F8D"/>
    <w:rsid w:val="0850602B"/>
    <w:rsid w:val="085060E2"/>
    <w:rsid w:val="08506150"/>
    <w:rsid w:val="08506200"/>
    <w:rsid w:val="08506299"/>
    <w:rsid w:val="0850630E"/>
    <w:rsid w:val="0850634E"/>
    <w:rsid w:val="08506376"/>
    <w:rsid w:val="085063EF"/>
    <w:rsid w:val="08506423"/>
    <w:rsid w:val="085065E9"/>
    <w:rsid w:val="08506657"/>
    <w:rsid w:val="0850665A"/>
    <w:rsid w:val="0850666F"/>
    <w:rsid w:val="085066AB"/>
    <w:rsid w:val="08506741"/>
    <w:rsid w:val="08506785"/>
    <w:rsid w:val="08506809"/>
    <w:rsid w:val="08506851"/>
    <w:rsid w:val="0850687A"/>
    <w:rsid w:val="085068B6"/>
    <w:rsid w:val="085068C1"/>
    <w:rsid w:val="0850691C"/>
    <w:rsid w:val="08506969"/>
    <w:rsid w:val="08506B62"/>
    <w:rsid w:val="08506C8D"/>
    <w:rsid w:val="08506E9E"/>
    <w:rsid w:val="08506ED9"/>
    <w:rsid w:val="08506F59"/>
    <w:rsid w:val="08506FDD"/>
    <w:rsid w:val="08507015"/>
    <w:rsid w:val="08507178"/>
    <w:rsid w:val="085071A4"/>
    <w:rsid w:val="085072D4"/>
    <w:rsid w:val="085072D8"/>
    <w:rsid w:val="08507327"/>
    <w:rsid w:val="08507402"/>
    <w:rsid w:val="085074DF"/>
    <w:rsid w:val="08507579"/>
    <w:rsid w:val="085075BE"/>
    <w:rsid w:val="085075CC"/>
    <w:rsid w:val="085075E3"/>
    <w:rsid w:val="0850764B"/>
    <w:rsid w:val="085076A7"/>
    <w:rsid w:val="085076B4"/>
    <w:rsid w:val="085076D5"/>
    <w:rsid w:val="08507745"/>
    <w:rsid w:val="08507799"/>
    <w:rsid w:val="085077EF"/>
    <w:rsid w:val="08507866"/>
    <w:rsid w:val="0850786A"/>
    <w:rsid w:val="08507902"/>
    <w:rsid w:val="08507998"/>
    <w:rsid w:val="085079D3"/>
    <w:rsid w:val="08507A31"/>
    <w:rsid w:val="08507A71"/>
    <w:rsid w:val="08507B0A"/>
    <w:rsid w:val="08507B9A"/>
    <w:rsid w:val="08507C4D"/>
    <w:rsid w:val="08507C52"/>
    <w:rsid w:val="08507CA5"/>
    <w:rsid w:val="08507CD4"/>
    <w:rsid w:val="08507CEF"/>
    <w:rsid w:val="08507DD9"/>
    <w:rsid w:val="08507E2E"/>
    <w:rsid w:val="08507EA7"/>
    <w:rsid w:val="08507FE4"/>
    <w:rsid w:val="08510192"/>
    <w:rsid w:val="085101C4"/>
    <w:rsid w:val="085102EB"/>
    <w:rsid w:val="0851049A"/>
    <w:rsid w:val="08510515"/>
    <w:rsid w:val="08510554"/>
    <w:rsid w:val="0851069A"/>
    <w:rsid w:val="085106A6"/>
    <w:rsid w:val="085106AE"/>
    <w:rsid w:val="08510713"/>
    <w:rsid w:val="08510773"/>
    <w:rsid w:val="085107A6"/>
    <w:rsid w:val="085107B0"/>
    <w:rsid w:val="085107E4"/>
    <w:rsid w:val="085108E0"/>
    <w:rsid w:val="0851090A"/>
    <w:rsid w:val="0851093E"/>
    <w:rsid w:val="08510956"/>
    <w:rsid w:val="085109FF"/>
    <w:rsid w:val="08510A00"/>
    <w:rsid w:val="08510A01"/>
    <w:rsid w:val="08510A62"/>
    <w:rsid w:val="08510AB6"/>
    <w:rsid w:val="08510BD5"/>
    <w:rsid w:val="08510BE0"/>
    <w:rsid w:val="08510C3C"/>
    <w:rsid w:val="08510C40"/>
    <w:rsid w:val="08510D15"/>
    <w:rsid w:val="08510DCC"/>
    <w:rsid w:val="08510E66"/>
    <w:rsid w:val="08510E6F"/>
    <w:rsid w:val="08510F58"/>
    <w:rsid w:val="08510FA8"/>
    <w:rsid w:val="08511030"/>
    <w:rsid w:val="08511038"/>
    <w:rsid w:val="0851103F"/>
    <w:rsid w:val="08511044"/>
    <w:rsid w:val="085110E3"/>
    <w:rsid w:val="085110F8"/>
    <w:rsid w:val="085110FD"/>
    <w:rsid w:val="08511127"/>
    <w:rsid w:val="0851114F"/>
    <w:rsid w:val="085111AD"/>
    <w:rsid w:val="085111D3"/>
    <w:rsid w:val="085112CD"/>
    <w:rsid w:val="085113B6"/>
    <w:rsid w:val="08511528"/>
    <w:rsid w:val="08511548"/>
    <w:rsid w:val="0851156A"/>
    <w:rsid w:val="085115BA"/>
    <w:rsid w:val="085115BF"/>
    <w:rsid w:val="08511707"/>
    <w:rsid w:val="08511758"/>
    <w:rsid w:val="0851185D"/>
    <w:rsid w:val="085118C0"/>
    <w:rsid w:val="085118EC"/>
    <w:rsid w:val="08511903"/>
    <w:rsid w:val="08511A0D"/>
    <w:rsid w:val="08511AB4"/>
    <w:rsid w:val="08511BEA"/>
    <w:rsid w:val="08511C8D"/>
    <w:rsid w:val="08511CAB"/>
    <w:rsid w:val="08511CC8"/>
    <w:rsid w:val="08511DB6"/>
    <w:rsid w:val="08511E53"/>
    <w:rsid w:val="08511FB4"/>
    <w:rsid w:val="08512040"/>
    <w:rsid w:val="085120EA"/>
    <w:rsid w:val="08512147"/>
    <w:rsid w:val="085121DF"/>
    <w:rsid w:val="08512269"/>
    <w:rsid w:val="0851228B"/>
    <w:rsid w:val="085122F7"/>
    <w:rsid w:val="0851231E"/>
    <w:rsid w:val="08512353"/>
    <w:rsid w:val="08512405"/>
    <w:rsid w:val="085125AA"/>
    <w:rsid w:val="08512640"/>
    <w:rsid w:val="0851264C"/>
    <w:rsid w:val="085126AC"/>
    <w:rsid w:val="08512793"/>
    <w:rsid w:val="085127D3"/>
    <w:rsid w:val="08512875"/>
    <w:rsid w:val="08512896"/>
    <w:rsid w:val="085128D5"/>
    <w:rsid w:val="085128F2"/>
    <w:rsid w:val="0851290A"/>
    <w:rsid w:val="0851294B"/>
    <w:rsid w:val="08512A03"/>
    <w:rsid w:val="08512A13"/>
    <w:rsid w:val="08512A77"/>
    <w:rsid w:val="08512A7B"/>
    <w:rsid w:val="08512AB0"/>
    <w:rsid w:val="08512C0D"/>
    <w:rsid w:val="08512C77"/>
    <w:rsid w:val="08512D6F"/>
    <w:rsid w:val="08512D7E"/>
    <w:rsid w:val="08512E02"/>
    <w:rsid w:val="08512E88"/>
    <w:rsid w:val="08512EE8"/>
    <w:rsid w:val="08512F17"/>
    <w:rsid w:val="08512F86"/>
    <w:rsid w:val="08512F89"/>
    <w:rsid w:val="08512FDE"/>
    <w:rsid w:val="08513064"/>
    <w:rsid w:val="08513106"/>
    <w:rsid w:val="08513126"/>
    <w:rsid w:val="085132D7"/>
    <w:rsid w:val="08513301"/>
    <w:rsid w:val="08513351"/>
    <w:rsid w:val="08513384"/>
    <w:rsid w:val="08513396"/>
    <w:rsid w:val="08513489"/>
    <w:rsid w:val="085135D4"/>
    <w:rsid w:val="085136FC"/>
    <w:rsid w:val="0851374C"/>
    <w:rsid w:val="08513797"/>
    <w:rsid w:val="08513837"/>
    <w:rsid w:val="085138CE"/>
    <w:rsid w:val="085138EB"/>
    <w:rsid w:val="0851397E"/>
    <w:rsid w:val="085139F2"/>
    <w:rsid w:val="08513A35"/>
    <w:rsid w:val="08513B87"/>
    <w:rsid w:val="08513BF4"/>
    <w:rsid w:val="08513BFB"/>
    <w:rsid w:val="08513C24"/>
    <w:rsid w:val="08513C25"/>
    <w:rsid w:val="08513C9D"/>
    <w:rsid w:val="08513CDB"/>
    <w:rsid w:val="08513D6A"/>
    <w:rsid w:val="08513E68"/>
    <w:rsid w:val="08513E74"/>
    <w:rsid w:val="08513ED6"/>
    <w:rsid w:val="08513F0F"/>
    <w:rsid w:val="08514129"/>
    <w:rsid w:val="0851413A"/>
    <w:rsid w:val="0851418D"/>
    <w:rsid w:val="085141B3"/>
    <w:rsid w:val="085141CD"/>
    <w:rsid w:val="085141D9"/>
    <w:rsid w:val="085142A6"/>
    <w:rsid w:val="0851431D"/>
    <w:rsid w:val="08514385"/>
    <w:rsid w:val="085143E1"/>
    <w:rsid w:val="085144F9"/>
    <w:rsid w:val="085145A9"/>
    <w:rsid w:val="085145C1"/>
    <w:rsid w:val="085145DF"/>
    <w:rsid w:val="08514637"/>
    <w:rsid w:val="08514645"/>
    <w:rsid w:val="085146E0"/>
    <w:rsid w:val="08514795"/>
    <w:rsid w:val="08514824"/>
    <w:rsid w:val="0851484C"/>
    <w:rsid w:val="08514855"/>
    <w:rsid w:val="085148A8"/>
    <w:rsid w:val="0851491A"/>
    <w:rsid w:val="08514969"/>
    <w:rsid w:val="085149AB"/>
    <w:rsid w:val="08514B79"/>
    <w:rsid w:val="08514BBF"/>
    <w:rsid w:val="08514C37"/>
    <w:rsid w:val="08514CD1"/>
    <w:rsid w:val="08514CE5"/>
    <w:rsid w:val="08514CEC"/>
    <w:rsid w:val="08514D2B"/>
    <w:rsid w:val="08514E5E"/>
    <w:rsid w:val="08514E70"/>
    <w:rsid w:val="08514EC8"/>
    <w:rsid w:val="08514F5D"/>
    <w:rsid w:val="08514F87"/>
    <w:rsid w:val="08514FB8"/>
    <w:rsid w:val="08514FF2"/>
    <w:rsid w:val="08515135"/>
    <w:rsid w:val="08515213"/>
    <w:rsid w:val="0851521E"/>
    <w:rsid w:val="0851525D"/>
    <w:rsid w:val="08515273"/>
    <w:rsid w:val="08515293"/>
    <w:rsid w:val="085152AB"/>
    <w:rsid w:val="0851534D"/>
    <w:rsid w:val="085153B4"/>
    <w:rsid w:val="0851544F"/>
    <w:rsid w:val="085154B9"/>
    <w:rsid w:val="085154E1"/>
    <w:rsid w:val="08515504"/>
    <w:rsid w:val="08515538"/>
    <w:rsid w:val="085155B9"/>
    <w:rsid w:val="085156BF"/>
    <w:rsid w:val="08515720"/>
    <w:rsid w:val="085157EF"/>
    <w:rsid w:val="08515868"/>
    <w:rsid w:val="085158CA"/>
    <w:rsid w:val="085158F1"/>
    <w:rsid w:val="08515930"/>
    <w:rsid w:val="08515AD6"/>
    <w:rsid w:val="08515B24"/>
    <w:rsid w:val="08515B28"/>
    <w:rsid w:val="08515B59"/>
    <w:rsid w:val="08515BAB"/>
    <w:rsid w:val="08515C3B"/>
    <w:rsid w:val="08515C8A"/>
    <w:rsid w:val="08515CF5"/>
    <w:rsid w:val="08515D07"/>
    <w:rsid w:val="08515DFE"/>
    <w:rsid w:val="08515E09"/>
    <w:rsid w:val="08515E5F"/>
    <w:rsid w:val="08515F25"/>
    <w:rsid w:val="08515F66"/>
    <w:rsid w:val="08515F91"/>
    <w:rsid w:val="08515F9C"/>
    <w:rsid w:val="08515FD5"/>
    <w:rsid w:val="08516046"/>
    <w:rsid w:val="0851615F"/>
    <w:rsid w:val="085161AA"/>
    <w:rsid w:val="085161C5"/>
    <w:rsid w:val="085161EA"/>
    <w:rsid w:val="085163CE"/>
    <w:rsid w:val="08516429"/>
    <w:rsid w:val="08516497"/>
    <w:rsid w:val="0851650D"/>
    <w:rsid w:val="08516527"/>
    <w:rsid w:val="08516582"/>
    <w:rsid w:val="08516597"/>
    <w:rsid w:val="085165C8"/>
    <w:rsid w:val="08516640"/>
    <w:rsid w:val="08516670"/>
    <w:rsid w:val="08516671"/>
    <w:rsid w:val="0851668B"/>
    <w:rsid w:val="08516746"/>
    <w:rsid w:val="08516773"/>
    <w:rsid w:val="08516783"/>
    <w:rsid w:val="08516834"/>
    <w:rsid w:val="0851691F"/>
    <w:rsid w:val="0851692C"/>
    <w:rsid w:val="0851693F"/>
    <w:rsid w:val="08516943"/>
    <w:rsid w:val="08516990"/>
    <w:rsid w:val="08516995"/>
    <w:rsid w:val="08516A10"/>
    <w:rsid w:val="08516A43"/>
    <w:rsid w:val="08516A67"/>
    <w:rsid w:val="08516BD6"/>
    <w:rsid w:val="08516CE4"/>
    <w:rsid w:val="08516D96"/>
    <w:rsid w:val="08516DB1"/>
    <w:rsid w:val="08516DE7"/>
    <w:rsid w:val="08516E45"/>
    <w:rsid w:val="08516EDC"/>
    <w:rsid w:val="08516F02"/>
    <w:rsid w:val="08516F6B"/>
    <w:rsid w:val="08516FE2"/>
    <w:rsid w:val="08517012"/>
    <w:rsid w:val="08517027"/>
    <w:rsid w:val="0851702F"/>
    <w:rsid w:val="0851706E"/>
    <w:rsid w:val="08517075"/>
    <w:rsid w:val="0851711C"/>
    <w:rsid w:val="085171BA"/>
    <w:rsid w:val="08517237"/>
    <w:rsid w:val="08517263"/>
    <w:rsid w:val="0851726A"/>
    <w:rsid w:val="08517276"/>
    <w:rsid w:val="08517411"/>
    <w:rsid w:val="0851751F"/>
    <w:rsid w:val="08517578"/>
    <w:rsid w:val="085175B2"/>
    <w:rsid w:val="085175F8"/>
    <w:rsid w:val="08517660"/>
    <w:rsid w:val="0851768F"/>
    <w:rsid w:val="08517696"/>
    <w:rsid w:val="085176F2"/>
    <w:rsid w:val="08517776"/>
    <w:rsid w:val="085177DD"/>
    <w:rsid w:val="085177E9"/>
    <w:rsid w:val="0851784F"/>
    <w:rsid w:val="08517951"/>
    <w:rsid w:val="085179BE"/>
    <w:rsid w:val="08517AF8"/>
    <w:rsid w:val="08517B8A"/>
    <w:rsid w:val="08517BE1"/>
    <w:rsid w:val="08517BF7"/>
    <w:rsid w:val="08517D19"/>
    <w:rsid w:val="08517E24"/>
    <w:rsid w:val="08517EA6"/>
    <w:rsid w:val="08520013"/>
    <w:rsid w:val="0852001B"/>
    <w:rsid w:val="08520083"/>
    <w:rsid w:val="085200CC"/>
    <w:rsid w:val="085200FE"/>
    <w:rsid w:val="0852011D"/>
    <w:rsid w:val="08520195"/>
    <w:rsid w:val="085202C2"/>
    <w:rsid w:val="085202E6"/>
    <w:rsid w:val="085202F7"/>
    <w:rsid w:val="0852032E"/>
    <w:rsid w:val="08520333"/>
    <w:rsid w:val="085203BD"/>
    <w:rsid w:val="085203E2"/>
    <w:rsid w:val="08520531"/>
    <w:rsid w:val="085205BF"/>
    <w:rsid w:val="08520605"/>
    <w:rsid w:val="0852063F"/>
    <w:rsid w:val="08520713"/>
    <w:rsid w:val="08520749"/>
    <w:rsid w:val="0852083C"/>
    <w:rsid w:val="085208A5"/>
    <w:rsid w:val="085208CC"/>
    <w:rsid w:val="085208F0"/>
    <w:rsid w:val="0852092D"/>
    <w:rsid w:val="0852095A"/>
    <w:rsid w:val="08520B20"/>
    <w:rsid w:val="08520BF5"/>
    <w:rsid w:val="08520C13"/>
    <w:rsid w:val="08520C4F"/>
    <w:rsid w:val="08520C81"/>
    <w:rsid w:val="08520CAE"/>
    <w:rsid w:val="08520CE0"/>
    <w:rsid w:val="08520CEF"/>
    <w:rsid w:val="08520D74"/>
    <w:rsid w:val="08520E45"/>
    <w:rsid w:val="08520E8C"/>
    <w:rsid w:val="08520EBE"/>
    <w:rsid w:val="08520F3D"/>
    <w:rsid w:val="08520F4E"/>
    <w:rsid w:val="08520F7F"/>
    <w:rsid w:val="08520FF7"/>
    <w:rsid w:val="08521056"/>
    <w:rsid w:val="085210CA"/>
    <w:rsid w:val="08521162"/>
    <w:rsid w:val="08521185"/>
    <w:rsid w:val="085212F7"/>
    <w:rsid w:val="085212FE"/>
    <w:rsid w:val="08521475"/>
    <w:rsid w:val="08521510"/>
    <w:rsid w:val="085215FA"/>
    <w:rsid w:val="08521637"/>
    <w:rsid w:val="0852169B"/>
    <w:rsid w:val="08521706"/>
    <w:rsid w:val="08521863"/>
    <w:rsid w:val="085218B7"/>
    <w:rsid w:val="0852190D"/>
    <w:rsid w:val="08521911"/>
    <w:rsid w:val="08521AC6"/>
    <w:rsid w:val="08521B49"/>
    <w:rsid w:val="08521B82"/>
    <w:rsid w:val="08521BD0"/>
    <w:rsid w:val="08521C62"/>
    <w:rsid w:val="08521D7A"/>
    <w:rsid w:val="08521D7E"/>
    <w:rsid w:val="08521DD2"/>
    <w:rsid w:val="08521DE7"/>
    <w:rsid w:val="08521E35"/>
    <w:rsid w:val="08521E41"/>
    <w:rsid w:val="08521ED0"/>
    <w:rsid w:val="08521EDB"/>
    <w:rsid w:val="08521F5B"/>
    <w:rsid w:val="08521F99"/>
    <w:rsid w:val="08521FC9"/>
    <w:rsid w:val="08521FE2"/>
    <w:rsid w:val="0852204F"/>
    <w:rsid w:val="085220B2"/>
    <w:rsid w:val="08522108"/>
    <w:rsid w:val="0852211F"/>
    <w:rsid w:val="08522127"/>
    <w:rsid w:val="08522355"/>
    <w:rsid w:val="08522427"/>
    <w:rsid w:val="08522464"/>
    <w:rsid w:val="08522484"/>
    <w:rsid w:val="085224E8"/>
    <w:rsid w:val="08522513"/>
    <w:rsid w:val="0852256C"/>
    <w:rsid w:val="0852266D"/>
    <w:rsid w:val="085226B1"/>
    <w:rsid w:val="08522708"/>
    <w:rsid w:val="08522767"/>
    <w:rsid w:val="0852289D"/>
    <w:rsid w:val="08522935"/>
    <w:rsid w:val="0852299B"/>
    <w:rsid w:val="08522B42"/>
    <w:rsid w:val="08522B51"/>
    <w:rsid w:val="08522CF9"/>
    <w:rsid w:val="08522D17"/>
    <w:rsid w:val="08522D25"/>
    <w:rsid w:val="08522DAE"/>
    <w:rsid w:val="08522DFE"/>
    <w:rsid w:val="08522E26"/>
    <w:rsid w:val="08522E33"/>
    <w:rsid w:val="08522F2D"/>
    <w:rsid w:val="08522F47"/>
    <w:rsid w:val="08522FA0"/>
    <w:rsid w:val="08523019"/>
    <w:rsid w:val="0852304B"/>
    <w:rsid w:val="085231A6"/>
    <w:rsid w:val="08523288"/>
    <w:rsid w:val="0852328B"/>
    <w:rsid w:val="08523299"/>
    <w:rsid w:val="0852329F"/>
    <w:rsid w:val="085232D6"/>
    <w:rsid w:val="085232F3"/>
    <w:rsid w:val="08523317"/>
    <w:rsid w:val="085234CB"/>
    <w:rsid w:val="08523512"/>
    <w:rsid w:val="08523596"/>
    <w:rsid w:val="085235B3"/>
    <w:rsid w:val="0852362E"/>
    <w:rsid w:val="085236FB"/>
    <w:rsid w:val="0852381C"/>
    <w:rsid w:val="0852386E"/>
    <w:rsid w:val="0852388E"/>
    <w:rsid w:val="085238EC"/>
    <w:rsid w:val="08523913"/>
    <w:rsid w:val="0852396F"/>
    <w:rsid w:val="08523A03"/>
    <w:rsid w:val="08523A4F"/>
    <w:rsid w:val="08523AF6"/>
    <w:rsid w:val="08523BA5"/>
    <w:rsid w:val="08523D41"/>
    <w:rsid w:val="08523DC3"/>
    <w:rsid w:val="08523DF5"/>
    <w:rsid w:val="08523E81"/>
    <w:rsid w:val="08523F2E"/>
    <w:rsid w:val="08523FC7"/>
    <w:rsid w:val="08523FCA"/>
    <w:rsid w:val="08524004"/>
    <w:rsid w:val="08524048"/>
    <w:rsid w:val="085240BD"/>
    <w:rsid w:val="085240C3"/>
    <w:rsid w:val="08524126"/>
    <w:rsid w:val="085241A5"/>
    <w:rsid w:val="085241E4"/>
    <w:rsid w:val="085242BC"/>
    <w:rsid w:val="085242F9"/>
    <w:rsid w:val="0852434B"/>
    <w:rsid w:val="08524380"/>
    <w:rsid w:val="085243AE"/>
    <w:rsid w:val="085243EE"/>
    <w:rsid w:val="085244CA"/>
    <w:rsid w:val="08524505"/>
    <w:rsid w:val="08524542"/>
    <w:rsid w:val="085245CB"/>
    <w:rsid w:val="0852489A"/>
    <w:rsid w:val="08524915"/>
    <w:rsid w:val="085249DF"/>
    <w:rsid w:val="08524A60"/>
    <w:rsid w:val="08524A90"/>
    <w:rsid w:val="08524B85"/>
    <w:rsid w:val="08524BB3"/>
    <w:rsid w:val="08524BE8"/>
    <w:rsid w:val="08524C45"/>
    <w:rsid w:val="08524C4B"/>
    <w:rsid w:val="08524C70"/>
    <w:rsid w:val="08524DB7"/>
    <w:rsid w:val="08524DC0"/>
    <w:rsid w:val="08524DC8"/>
    <w:rsid w:val="08524DD3"/>
    <w:rsid w:val="08524E1B"/>
    <w:rsid w:val="08524E46"/>
    <w:rsid w:val="08524E91"/>
    <w:rsid w:val="08524F2F"/>
    <w:rsid w:val="08524F9F"/>
    <w:rsid w:val="08524FD4"/>
    <w:rsid w:val="08524FFA"/>
    <w:rsid w:val="08525073"/>
    <w:rsid w:val="08525105"/>
    <w:rsid w:val="0852514B"/>
    <w:rsid w:val="0852519F"/>
    <w:rsid w:val="085251C5"/>
    <w:rsid w:val="0852523E"/>
    <w:rsid w:val="0852525E"/>
    <w:rsid w:val="085253F1"/>
    <w:rsid w:val="08525446"/>
    <w:rsid w:val="085255D3"/>
    <w:rsid w:val="08525659"/>
    <w:rsid w:val="08525695"/>
    <w:rsid w:val="085256F0"/>
    <w:rsid w:val="08525759"/>
    <w:rsid w:val="08525773"/>
    <w:rsid w:val="085257AE"/>
    <w:rsid w:val="085257BB"/>
    <w:rsid w:val="085258A7"/>
    <w:rsid w:val="085258E9"/>
    <w:rsid w:val="08525970"/>
    <w:rsid w:val="08525991"/>
    <w:rsid w:val="08525A3B"/>
    <w:rsid w:val="08525B02"/>
    <w:rsid w:val="08525B03"/>
    <w:rsid w:val="08525B8D"/>
    <w:rsid w:val="08525BC5"/>
    <w:rsid w:val="08525C9B"/>
    <w:rsid w:val="08525CBA"/>
    <w:rsid w:val="08525D9D"/>
    <w:rsid w:val="08525DEF"/>
    <w:rsid w:val="08525E54"/>
    <w:rsid w:val="08525E5D"/>
    <w:rsid w:val="08525E65"/>
    <w:rsid w:val="085260E7"/>
    <w:rsid w:val="0852614D"/>
    <w:rsid w:val="0852615C"/>
    <w:rsid w:val="0852644D"/>
    <w:rsid w:val="085264E3"/>
    <w:rsid w:val="085264E8"/>
    <w:rsid w:val="085264F8"/>
    <w:rsid w:val="0852651E"/>
    <w:rsid w:val="08526524"/>
    <w:rsid w:val="08526586"/>
    <w:rsid w:val="085265EE"/>
    <w:rsid w:val="08526631"/>
    <w:rsid w:val="085266BD"/>
    <w:rsid w:val="085266F6"/>
    <w:rsid w:val="085267C4"/>
    <w:rsid w:val="085267DA"/>
    <w:rsid w:val="085268F2"/>
    <w:rsid w:val="08526A02"/>
    <w:rsid w:val="08526B4C"/>
    <w:rsid w:val="08526C94"/>
    <w:rsid w:val="08526CB1"/>
    <w:rsid w:val="08526D3E"/>
    <w:rsid w:val="08526D65"/>
    <w:rsid w:val="08526D68"/>
    <w:rsid w:val="08526DF8"/>
    <w:rsid w:val="08526E47"/>
    <w:rsid w:val="08526E6E"/>
    <w:rsid w:val="08526E75"/>
    <w:rsid w:val="0852702C"/>
    <w:rsid w:val="08527084"/>
    <w:rsid w:val="085270E7"/>
    <w:rsid w:val="08527100"/>
    <w:rsid w:val="08527102"/>
    <w:rsid w:val="0852716C"/>
    <w:rsid w:val="0852718F"/>
    <w:rsid w:val="08527239"/>
    <w:rsid w:val="085272E5"/>
    <w:rsid w:val="08527345"/>
    <w:rsid w:val="08527378"/>
    <w:rsid w:val="085273A7"/>
    <w:rsid w:val="085273AD"/>
    <w:rsid w:val="0852745D"/>
    <w:rsid w:val="08527490"/>
    <w:rsid w:val="0852755E"/>
    <w:rsid w:val="085275E0"/>
    <w:rsid w:val="0852760C"/>
    <w:rsid w:val="085276FF"/>
    <w:rsid w:val="08527719"/>
    <w:rsid w:val="0852789D"/>
    <w:rsid w:val="085278E1"/>
    <w:rsid w:val="085278EC"/>
    <w:rsid w:val="08527983"/>
    <w:rsid w:val="08527A17"/>
    <w:rsid w:val="08527A61"/>
    <w:rsid w:val="08527CB7"/>
    <w:rsid w:val="08527D08"/>
    <w:rsid w:val="08527D3D"/>
    <w:rsid w:val="08527F49"/>
    <w:rsid w:val="08527F78"/>
    <w:rsid w:val="08527F7F"/>
    <w:rsid w:val="085301B6"/>
    <w:rsid w:val="085301FF"/>
    <w:rsid w:val="08530285"/>
    <w:rsid w:val="085302B6"/>
    <w:rsid w:val="08530323"/>
    <w:rsid w:val="08530327"/>
    <w:rsid w:val="0853037B"/>
    <w:rsid w:val="085303B4"/>
    <w:rsid w:val="08530401"/>
    <w:rsid w:val="0853041B"/>
    <w:rsid w:val="08530457"/>
    <w:rsid w:val="08530460"/>
    <w:rsid w:val="085304D8"/>
    <w:rsid w:val="0853059C"/>
    <w:rsid w:val="085305C2"/>
    <w:rsid w:val="08530603"/>
    <w:rsid w:val="0853062D"/>
    <w:rsid w:val="08530656"/>
    <w:rsid w:val="085306D0"/>
    <w:rsid w:val="085307A1"/>
    <w:rsid w:val="085307CD"/>
    <w:rsid w:val="085307D4"/>
    <w:rsid w:val="085307FD"/>
    <w:rsid w:val="085308C7"/>
    <w:rsid w:val="08530903"/>
    <w:rsid w:val="0853094D"/>
    <w:rsid w:val="0853099F"/>
    <w:rsid w:val="08530A51"/>
    <w:rsid w:val="08530AA0"/>
    <w:rsid w:val="08530AA1"/>
    <w:rsid w:val="08530C8F"/>
    <w:rsid w:val="08530CAE"/>
    <w:rsid w:val="08530CCC"/>
    <w:rsid w:val="08530CE2"/>
    <w:rsid w:val="08530D06"/>
    <w:rsid w:val="08530D47"/>
    <w:rsid w:val="08530D4E"/>
    <w:rsid w:val="08530D83"/>
    <w:rsid w:val="08530E44"/>
    <w:rsid w:val="08530EA3"/>
    <w:rsid w:val="08530F4B"/>
    <w:rsid w:val="08530FAC"/>
    <w:rsid w:val="08530FC0"/>
    <w:rsid w:val="08531054"/>
    <w:rsid w:val="085310A7"/>
    <w:rsid w:val="08531121"/>
    <w:rsid w:val="0853112E"/>
    <w:rsid w:val="085311A4"/>
    <w:rsid w:val="085311CD"/>
    <w:rsid w:val="0853120F"/>
    <w:rsid w:val="08531241"/>
    <w:rsid w:val="08531292"/>
    <w:rsid w:val="08531300"/>
    <w:rsid w:val="08531311"/>
    <w:rsid w:val="08531342"/>
    <w:rsid w:val="085313DF"/>
    <w:rsid w:val="085313F5"/>
    <w:rsid w:val="085313FB"/>
    <w:rsid w:val="08531435"/>
    <w:rsid w:val="0853143D"/>
    <w:rsid w:val="08531446"/>
    <w:rsid w:val="085314AA"/>
    <w:rsid w:val="0853150C"/>
    <w:rsid w:val="08531565"/>
    <w:rsid w:val="08531569"/>
    <w:rsid w:val="08531571"/>
    <w:rsid w:val="085315E5"/>
    <w:rsid w:val="085316B0"/>
    <w:rsid w:val="085316B5"/>
    <w:rsid w:val="08531729"/>
    <w:rsid w:val="0853177D"/>
    <w:rsid w:val="085317AD"/>
    <w:rsid w:val="085317DA"/>
    <w:rsid w:val="0853183E"/>
    <w:rsid w:val="0853185C"/>
    <w:rsid w:val="085319B2"/>
    <w:rsid w:val="085319D9"/>
    <w:rsid w:val="08531A04"/>
    <w:rsid w:val="08531A5D"/>
    <w:rsid w:val="08531AAA"/>
    <w:rsid w:val="08531AC5"/>
    <w:rsid w:val="08531B1F"/>
    <w:rsid w:val="08531B6F"/>
    <w:rsid w:val="08531BBB"/>
    <w:rsid w:val="08531CA3"/>
    <w:rsid w:val="08531D7B"/>
    <w:rsid w:val="08531DCD"/>
    <w:rsid w:val="08531E05"/>
    <w:rsid w:val="08531E1A"/>
    <w:rsid w:val="08531E3C"/>
    <w:rsid w:val="08531EA9"/>
    <w:rsid w:val="08531F61"/>
    <w:rsid w:val="08531F7E"/>
    <w:rsid w:val="085320B0"/>
    <w:rsid w:val="08532145"/>
    <w:rsid w:val="08532192"/>
    <w:rsid w:val="085321FF"/>
    <w:rsid w:val="0853227A"/>
    <w:rsid w:val="08532286"/>
    <w:rsid w:val="085322C1"/>
    <w:rsid w:val="085324E5"/>
    <w:rsid w:val="085325CB"/>
    <w:rsid w:val="085326E2"/>
    <w:rsid w:val="0853272F"/>
    <w:rsid w:val="085327D7"/>
    <w:rsid w:val="085327E1"/>
    <w:rsid w:val="0853281B"/>
    <w:rsid w:val="08532856"/>
    <w:rsid w:val="08532985"/>
    <w:rsid w:val="085329B6"/>
    <w:rsid w:val="085329CF"/>
    <w:rsid w:val="08532A42"/>
    <w:rsid w:val="08532A85"/>
    <w:rsid w:val="08532AAC"/>
    <w:rsid w:val="08532AD0"/>
    <w:rsid w:val="08532AFD"/>
    <w:rsid w:val="08532B63"/>
    <w:rsid w:val="08532BA6"/>
    <w:rsid w:val="08532BEE"/>
    <w:rsid w:val="08532C41"/>
    <w:rsid w:val="08532DF6"/>
    <w:rsid w:val="08532DFF"/>
    <w:rsid w:val="08532EAD"/>
    <w:rsid w:val="08532F14"/>
    <w:rsid w:val="08532F55"/>
    <w:rsid w:val="085330DF"/>
    <w:rsid w:val="08533182"/>
    <w:rsid w:val="0853319D"/>
    <w:rsid w:val="0853325D"/>
    <w:rsid w:val="08533273"/>
    <w:rsid w:val="08533280"/>
    <w:rsid w:val="08533296"/>
    <w:rsid w:val="085332F6"/>
    <w:rsid w:val="08533393"/>
    <w:rsid w:val="08533462"/>
    <w:rsid w:val="08533485"/>
    <w:rsid w:val="085334A0"/>
    <w:rsid w:val="085335B0"/>
    <w:rsid w:val="085336D1"/>
    <w:rsid w:val="08533739"/>
    <w:rsid w:val="085337AE"/>
    <w:rsid w:val="0853392B"/>
    <w:rsid w:val="08533967"/>
    <w:rsid w:val="085339F6"/>
    <w:rsid w:val="08533A4C"/>
    <w:rsid w:val="08533B1C"/>
    <w:rsid w:val="08533B52"/>
    <w:rsid w:val="08533C2D"/>
    <w:rsid w:val="08533C62"/>
    <w:rsid w:val="08533C9C"/>
    <w:rsid w:val="08533D46"/>
    <w:rsid w:val="08533DA2"/>
    <w:rsid w:val="08533DA5"/>
    <w:rsid w:val="08533DDB"/>
    <w:rsid w:val="08533DFE"/>
    <w:rsid w:val="08533E9D"/>
    <w:rsid w:val="08533FA9"/>
    <w:rsid w:val="08533FD5"/>
    <w:rsid w:val="0853406A"/>
    <w:rsid w:val="085340E9"/>
    <w:rsid w:val="0853412D"/>
    <w:rsid w:val="08534150"/>
    <w:rsid w:val="085341B4"/>
    <w:rsid w:val="085341DF"/>
    <w:rsid w:val="08534254"/>
    <w:rsid w:val="085342B5"/>
    <w:rsid w:val="085342D6"/>
    <w:rsid w:val="085343E4"/>
    <w:rsid w:val="0853440B"/>
    <w:rsid w:val="08534534"/>
    <w:rsid w:val="08534597"/>
    <w:rsid w:val="085345DE"/>
    <w:rsid w:val="0853461A"/>
    <w:rsid w:val="0853466F"/>
    <w:rsid w:val="085346C1"/>
    <w:rsid w:val="085347F0"/>
    <w:rsid w:val="0853486F"/>
    <w:rsid w:val="0853487A"/>
    <w:rsid w:val="08534892"/>
    <w:rsid w:val="08534971"/>
    <w:rsid w:val="08534B58"/>
    <w:rsid w:val="08534BA3"/>
    <w:rsid w:val="08534BDB"/>
    <w:rsid w:val="08534BE3"/>
    <w:rsid w:val="08534C19"/>
    <w:rsid w:val="08534C2E"/>
    <w:rsid w:val="08534D18"/>
    <w:rsid w:val="08534D6E"/>
    <w:rsid w:val="08534D81"/>
    <w:rsid w:val="08534DAC"/>
    <w:rsid w:val="08534DF4"/>
    <w:rsid w:val="08534EF1"/>
    <w:rsid w:val="08534EFA"/>
    <w:rsid w:val="08534FBE"/>
    <w:rsid w:val="0853500A"/>
    <w:rsid w:val="0853511F"/>
    <w:rsid w:val="085351A2"/>
    <w:rsid w:val="085351CA"/>
    <w:rsid w:val="0853520D"/>
    <w:rsid w:val="0853525B"/>
    <w:rsid w:val="085352B9"/>
    <w:rsid w:val="08535373"/>
    <w:rsid w:val="08535415"/>
    <w:rsid w:val="08535434"/>
    <w:rsid w:val="0853549B"/>
    <w:rsid w:val="085354EB"/>
    <w:rsid w:val="085354FD"/>
    <w:rsid w:val="085355F7"/>
    <w:rsid w:val="08535637"/>
    <w:rsid w:val="0853564A"/>
    <w:rsid w:val="085356AD"/>
    <w:rsid w:val="085356E3"/>
    <w:rsid w:val="0853573F"/>
    <w:rsid w:val="0853574F"/>
    <w:rsid w:val="085357CD"/>
    <w:rsid w:val="085357DE"/>
    <w:rsid w:val="0853580F"/>
    <w:rsid w:val="08535894"/>
    <w:rsid w:val="085358A5"/>
    <w:rsid w:val="085358EF"/>
    <w:rsid w:val="085358FA"/>
    <w:rsid w:val="08535975"/>
    <w:rsid w:val="085359B2"/>
    <w:rsid w:val="085359BF"/>
    <w:rsid w:val="08535A3A"/>
    <w:rsid w:val="08535A87"/>
    <w:rsid w:val="08535AA2"/>
    <w:rsid w:val="08535AB2"/>
    <w:rsid w:val="08535BF7"/>
    <w:rsid w:val="08535C70"/>
    <w:rsid w:val="08535CBD"/>
    <w:rsid w:val="08535CE6"/>
    <w:rsid w:val="08535D66"/>
    <w:rsid w:val="08535DC0"/>
    <w:rsid w:val="08535E30"/>
    <w:rsid w:val="08535E59"/>
    <w:rsid w:val="08535F22"/>
    <w:rsid w:val="08535F2E"/>
    <w:rsid w:val="08535F34"/>
    <w:rsid w:val="08535F4A"/>
    <w:rsid w:val="08535FBC"/>
    <w:rsid w:val="08536035"/>
    <w:rsid w:val="08536172"/>
    <w:rsid w:val="08536221"/>
    <w:rsid w:val="08536257"/>
    <w:rsid w:val="08536270"/>
    <w:rsid w:val="085362A3"/>
    <w:rsid w:val="085362BC"/>
    <w:rsid w:val="085362C7"/>
    <w:rsid w:val="085362CC"/>
    <w:rsid w:val="085362FD"/>
    <w:rsid w:val="08536426"/>
    <w:rsid w:val="08536435"/>
    <w:rsid w:val="08536472"/>
    <w:rsid w:val="08536477"/>
    <w:rsid w:val="0853647E"/>
    <w:rsid w:val="085364A6"/>
    <w:rsid w:val="08536521"/>
    <w:rsid w:val="0853653B"/>
    <w:rsid w:val="08536553"/>
    <w:rsid w:val="08536579"/>
    <w:rsid w:val="085365EC"/>
    <w:rsid w:val="08536671"/>
    <w:rsid w:val="085366D1"/>
    <w:rsid w:val="085366D9"/>
    <w:rsid w:val="085367A2"/>
    <w:rsid w:val="085367C6"/>
    <w:rsid w:val="085367F5"/>
    <w:rsid w:val="08536834"/>
    <w:rsid w:val="08536893"/>
    <w:rsid w:val="0853689C"/>
    <w:rsid w:val="085368C3"/>
    <w:rsid w:val="08536960"/>
    <w:rsid w:val="08536966"/>
    <w:rsid w:val="08536A50"/>
    <w:rsid w:val="08536AB1"/>
    <w:rsid w:val="08536B56"/>
    <w:rsid w:val="08536C0B"/>
    <w:rsid w:val="08536C60"/>
    <w:rsid w:val="08536C6D"/>
    <w:rsid w:val="0853707D"/>
    <w:rsid w:val="08537088"/>
    <w:rsid w:val="085370DE"/>
    <w:rsid w:val="085370ED"/>
    <w:rsid w:val="0853719E"/>
    <w:rsid w:val="085372BC"/>
    <w:rsid w:val="085372C5"/>
    <w:rsid w:val="08537327"/>
    <w:rsid w:val="085373CD"/>
    <w:rsid w:val="0853747F"/>
    <w:rsid w:val="085374B4"/>
    <w:rsid w:val="085374C2"/>
    <w:rsid w:val="085374CA"/>
    <w:rsid w:val="085374ED"/>
    <w:rsid w:val="08537662"/>
    <w:rsid w:val="0853769D"/>
    <w:rsid w:val="0853774C"/>
    <w:rsid w:val="08537761"/>
    <w:rsid w:val="08537779"/>
    <w:rsid w:val="085377DF"/>
    <w:rsid w:val="0853781E"/>
    <w:rsid w:val="0853785B"/>
    <w:rsid w:val="08537872"/>
    <w:rsid w:val="08537899"/>
    <w:rsid w:val="085379A7"/>
    <w:rsid w:val="085379E4"/>
    <w:rsid w:val="08537A2B"/>
    <w:rsid w:val="08537B28"/>
    <w:rsid w:val="08537B74"/>
    <w:rsid w:val="08537B84"/>
    <w:rsid w:val="08537B86"/>
    <w:rsid w:val="08537BAB"/>
    <w:rsid w:val="08537C3D"/>
    <w:rsid w:val="08537CFF"/>
    <w:rsid w:val="08537D16"/>
    <w:rsid w:val="08537D24"/>
    <w:rsid w:val="08537D6A"/>
    <w:rsid w:val="08537DB2"/>
    <w:rsid w:val="08537E49"/>
    <w:rsid w:val="08537E67"/>
    <w:rsid w:val="08537EBD"/>
    <w:rsid w:val="08537F0C"/>
    <w:rsid w:val="08537F3C"/>
    <w:rsid w:val="08537F5D"/>
    <w:rsid w:val="08537F96"/>
    <w:rsid w:val="08540014"/>
    <w:rsid w:val="085400B1"/>
    <w:rsid w:val="085400D1"/>
    <w:rsid w:val="085400FD"/>
    <w:rsid w:val="085401A7"/>
    <w:rsid w:val="08540215"/>
    <w:rsid w:val="08540278"/>
    <w:rsid w:val="0854028E"/>
    <w:rsid w:val="085402F0"/>
    <w:rsid w:val="08540370"/>
    <w:rsid w:val="08540377"/>
    <w:rsid w:val="0854037E"/>
    <w:rsid w:val="0854041B"/>
    <w:rsid w:val="08540436"/>
    <w:rsid w:val="08540445"/>
    <w:rsid w:val="085405C3"/>
    <w:rsid w:val="085405D8"/>
    <w:rsid w:val="08540647"/>
    <w:rsid w:val="085406DB"/>
    <w:rsid w:val="085407F7"/>
    <w:rsid w:val="08540805"/>
    <w:rsid w:val="0854091D"/>
    <w:rsid w:val="08540938"/>
    <w:rsid w:val="08540A51"/>
    <w:rsid w:val="08540A6D"/>
    <w:rsid w:val="08540A78"/>
    <w:rsid w:val="08540A82"/>
    <w:rsid w:val="08540B68"/>
    <w:rsid w:val="08540C0D"/>
    <w:rsid w:val="08540C7D"/>
    <w:rsid w:val="08540CA8"/>
    <w:rsid w:val="08540CD1"/>
    <w:rsid w:val="08540CDE"/>
    <w:rsid w:val="08540D14"/>
    <w:rsid w:val="08540D2F"/>
    <w:rsid w:val="08540DAB"/>
    <w:rsid w:val="08540DC6"/>
    <w:rsid w:val="08540E4A"/>
    <w:rsid w:val="08540E52"/>
    <w:rsid w:val="08540EEF"/>
    <w:rsid w:val="08540EF4"/>
    <w:rsid w:val="08540F7B"/>
    <w:rsid w:val="08541043"/>
    <w:rsid w:val="085410A6"/>
    <w:rsid w:val="085411B4"/>
    <w:rsid w:val="08541313"/>
    <w:rsid w:val="0854131C"/>
    <w:rsid w:val="08541329"/>
    <w:rsid w:val="0854147C"/>
    <w:rsid w:val="085414AD"/>
    <w:rsid w:val="085414CA"/>
    <w:rsid w:val="08541522"/>
    <w:rsid w:val="08541562"/>
    <w:rsid w:val="08541706"/>
    <w:rsid w:val="08541810"/>
    <w:rsid w:val="085418E8"/>
    <w:rsid w:val="0854191A"/>
    <w:rsid w:val="08541945"/>
    <w:rsid w:val="08541A8E"/>
    <w:rsid w:val="08541AFB"/>
    <w:rsid w:val="08541AFD"/>
    <w:rsid w:val="08541B4B"/>
    <w:rsid w:val="08541C5D"/>
    <w:rsid w:val="08541C7A"/>
    <w:rsid w:val="08541D38"/>
    <w:rsid w:val="08541E70"/>
    <w:rsid w:val="08541EAE"/>
    <w:rsid w:val="08541EF1"/>
    <w:rsid w:val="08541F8A"/>
    <w:rsid w:val="08542063"/>
    <w:rsid w:val="0854206B"/>
    <w:rsid w:val="085420F2"/>
    <w:rsid w:val="08542141"/>
    <w:rsid w:val="0854215D"/>
    <w:rsid w:val="0854219E"/>
    <w:rsid w:val="08542255"/>
    <w:rsid w:val="08542375"/>
    <w:rsid w:val="0854239A"/>
    <w:rsid w:val="08542425"/>
    <w:rsid w:val="0854276C"/>
    <w:rsid w:val="085427C6"/>
    <w:rsid w:val="085427EF"/>
    <w:rsid w:val="085427FA"/>
    <w:rsid w:val="08542808"/>
    <w:rsid w:val="08542813"/>
    <w:rsid w:val="08542819"/>
    <w:rsid w:val="08542831"/>
    <w:rsid w:val="085428DD"/>
    <w:rsid w:val="08542945"/>
    <w:rsid w:val="08542A79"/>
    <w:rsid w:val="08542B35"/>
    <w:rsid w:val="08542B84"/>
    <w:rsid w:val="08542BCE"/>
    <w:rsid w:val="08542C31"/>
    <w:rsid w:val="08542C33"/>
    <w:rsid w:val="08542DB5"/>
    <w:rsid w:val="08542DCA"/>
    <w:rsid w:val="08542ECB"/>
    <w:rsid w:val="08542EEA"/>
    <w:rsid w:val="08543079"/>
    <w:rsid w:val="08543086"/>
    <w:rsid w:val="085430F0"/>
    <w:rsid w:val="08543190"/>
    <w:rsid w:val="0854321D"/>
    <w:rsid w:val="08543252"/>
    <w:rsid w:val="085433BE"/>
    <w:rsid w:val="08543456"/>
    <w:rsid w:val="08543464"/>
    <w:rsid w:val="085434EA"/>
    <w:rsid w:val="085435EB"/>
    <w:rsid w:val="085435FA"/>
    <w:rsid w:val="08543619"/>
    <w:rsid w:val="08543758"/>
    <w:rsid w:val="0854379F"/>
    <w:rsid w:val="08543846"/>
    <w:rsid w:val="0854387E"/>
    <w:rsid w:val="085438C7"/>
    <w:rsid w:val="08543A9A"/>
    <w:rsid w:val="08543B4F"/>
    <w:rsid w:val="08543B83"/>
    <w:rsid w:val="08543BAD"/>
    <w:rsid w:val="08543BC4"/>
    <w:rsid w:val="08543C1D"/>
    <w:rsid w:val="08543C36"/>
    <w:rsid w:val="08543C75"/>
    <w:rsid w:val="08543C8D"/>
    <w:rsid w:val="08543C92"/>
    <w:rsid w:val="08543D03"/>
    <w:rsid w:val="08543D38"/>
    <w:rsid w:val="08543D83"/>
    <w:rsid w:val="08543D84"/>
    <w:rsid w:val="08543E08"/>
    <w:rsid w:val="08543ED6"/>
    <w:rsid w:val="08543EFE"/>
    <w:rsid w:val="08543F7E"/>
    <w:rsid w:val="08543F86"/>
    <w:rsid w:val="08544039"/>
    <w:rsid w:val="08544075"/>
    <w:rsid w:val="08544088"/>
    <w:rsid w:val="08544099"/>
    <w:rsid w:val="0854409F"/>
    <w:rsid w:val="085440A3"/>
    <w:rsid w:val="085440B7"/>
    <w:rsid w:val="08544172"/>
    <w:rsid w:val="08544262"/>
    <w:rsid w:val="0854432A"/>
    <w:rsid w:val="085443DF"/>
    <w:rsid w:val="08544513"/>
    <w:rsid w:val="08544537"/>
    <w:rsid w:val="085446DF"/>
    <w:rsid w:val="085447FC"/>
    <w:rsid w:val="085448A8"/>
    <w:rsid w:val="085448BC"/>
    <w:rsid w:val="08544A2F"/>
    <w:rsid w:val="08544AA0"/>
    <w:rsid w:val="08544B8C"/>
    <w:rsid w:val="08544B8D"/>
    <w:rsid w:val="08544BD7"/>
    <w:rsid w:val="08544BF2"/>
    <w:rsid w:val="08544C3E"/>
    <w:rsid w:val="08544C47"/>
    <w:rsid w:val="08544D4B"/>
    <w:rsid w:val="08544EFF"/>
    <w:rsid w:val="08544F38"/>
    <w:rsid w:val="08544F75"/>
    <w:rsid w:val="08545069"/>
    <w:rsid w:val="085450CA"/>
    <w:rsid w:val="0854517E"/>
    <w:rsid w:val="08545262"/>
    <w:rsid w:val="08545276"/>
    <w:rsid w:val="085452ED"/>
    <w:rsid w:val="08545394"/>
    <w:rsid w:val="08545430"/>
    <w:rsid w:val="08545513"/>
    <w:rsid w:val="08545536"/>
    <w:rsid w:val="085455C0"/>
    <w:rsid w:val="085455D0"/>
    <w:rsid w:val="08545666"/>
    <w:rsid w:val="0854579C"/>
    <w:rsid w:val="085457A8"/>
    <w:rsid w:val="085457F8"/>
    <w:rsid w:val="08545863"/>
    <w:rsid w:val="0854589F"/>
    <w:rsid w:val="0854592E"/>
    <w:rsid w:val="085459EF"/>
    <w:rsid w:val="08545A56"/>
    <w:rsid w:val="08545AF2"/>
    <w:rsid w:val="08545AF8"/>
    <w:rsid w:val="08545BF9"/>
    <w:rsid w:val="08545C98"/>
    <w:rsid w:val="08545C9C"/>
    <w:rsid w:val="08545CAF"/>
    <w:rsid w:val="08545CEC"/>
    <w:rsid w:val="08545D2D"/>
    <w:rsid w:val="08545DBC"/>
    <w:rsid w:val="08545E19"/>
    <w:rsid w:val="08545E8A"/>
    <w:rsid w:val="08545F29"/>
    <w:rsid w:val="08545FB2"/>
    <w:rsid w:val="08546048"/>
    <w:rsid w:val="08546057"/>
    <w:rsid w:val="085461B4"/>
    <w:rsid w:val="0854620B"/>
    <w:rsid w:val="08546254"/>
    <w:rsid w:val="08546275"/>
    <w:rsid w:val="085462EA"/>
    <w:rsid w:val="08546425"/>
    <w:rsid w:val="0854647A"/>
    <w:rsid w:val="085465D6"/>
    <w:rsid w:val="08546661"/>
    <w:rsid w:val="08546691"/>
    <w:rsid w:val="085466F1"/>
    <w:rsid w:val="08546784"/>
    <w:rsid w:val="085467BA"/>
    <w:rsid w:val="0854690C"/>
    <w:rsid w:val="08546B42"/>
    <w:rsid w:val="08546B6B"/>
    <w:rsid w:val="08546C41"/>
    <w:rsid w:val="08546D53"/>
    <w:rsid w:val="08546D65"/>
    <w:rsid w:val="08546D98"/>
    <w:rsid w:val="08546DCD"/>
    <w:rsid w:val="08546E60"/>
    <w:rsid w:val="08546E98"/>
    <w:rsid w:val="08546EF2"/>
    <w:rsid w:val="08546F5D"/>
    <w:rsid w:val="0854703C"/>
    <w:rsid w:val="0854709C"/>
    <w:rsid w:val="08547210"/>
    <w:rsid w:val="085472ED"/>
    <w:rsid w:val="0854734C"/>
    <w:rsid w:val="0854742C"/>
    <w:rsid w:val="0854742D"/>
    <w:rsid w:val="0854748E"/>
    <w:rsid w:val="085474E2"/>
    <w:rsid w:val="085475DF"/>
    <w:rsid w:val="0854773B"/>
    <w:rsid w:val="08547758"/>
    <w:rsid w:val="0854775A"/>
    <w:rsid w:val="085477C3"/>
    <w:rsid w:val="085477EE"/>
    <w:rsid w:val="085477FD"/>
    <w:rsid w:val="08547849"/>
    <w:rsid w:val="085478A5"/>
    <w:rsid w:val="085478AB"/>
    <w:rsid w:val="08547944"/>
    <w:rsid w:val="085479C6"/>
    <w:rsid w:val="085479F8"/>
    <w:rsid w:val="08547BBC"/>
    <w:rsid w:val="08547C5C"/>
    <w:rsid w:val="08547C65"/>
    <w:rsid w:val="08547C6A"/>
    <w:rsid w:val="08547D19"/>
    <w:rsid w:val="08547D59"/>
    <w:rsid w:val="08547D91"/>
    <w:rsid w:val="08547DA8"/>
    <w:rsid w:val="08547DDC"/>
    <w:rsid w:val="08547E5A"/>
    <w:rsid w:val="08547E77"/>
    <w:rsid w:val="08547EF5"/>
    <w:rsid w:val="08547F0F"/>
    <w:rsid w:val="08547F43"/>
    <w:rsid w:val="08547FBC"/>
    <w:rsid w:val="0855015A"/>
    <w:rsid w:val="08550211"/>
    <w:rsid w:val="08550230"/>
    <w:rsid w:val="0855027D"/>
    <w:rsid w:val="08550367"/>
    <w:rsid w:val="0855037D"/>
    <w:rsid w:val="085503B8"/>
    <w:rsid w:val="085503E8"/>
    <w:rsid w:val="0855041D"/>
    <w:rsid w:val="08550539"/>
    <w:rsid w:val="08550541"/>
    <w:rsid w:val="08550660"/>
    <w:rsid w:val="08550661"/>
    <w:rsid w:val="0855072E"/>
    <w:rsid w:val="08550775"/>
    <w:rsid w:val="08550791"/>
    <w:rsid w:val="08550903"/>
    <w:rsid w:val="08550932"/>
    <w:rsid w:val="08550952"/>
    <w:rsid w:val="085509A3"/>
    <w:rsid w:val="085509D6"/>
    <w:rsid w:val="08550A27"/>
    <w:rsid w:val="08550B00"/>
    <w:rsid w:val="08550B50"/>
    <w:rsid w:val="08550B60"/>
    <w:rsid w:val="08550C82"/>
    <w:rsid w:val="08550C85"/>
    <w:rsid w:val="08550C8C"/>
    <w:rsid w:val="08550CAF"/>
    <w:rsid w:val="08550DA6"/>
    <w:rsid w:val="08550DE7"/>
    <w:rsid w:val="08550F20"/>
    <w:rsid w:val="08550F2F"/>
    <w:rsid w:val="08550F30"/>
    <w:rsid w:val="08550F66"/>
    <w:rsid w:val="08550FA8"/>
    <w:rsid w:val="08550FB5"/>
    <w:rsid w:val="0855100F"/>
    <w:rsid w:val="0855105F"/>
    <w:rsid w:val="0855107E"/>
    <w:rsid w:val="085510EE"/>
    <w:rsid w:val="085510F5"/>
    <w:rsid w:val="08551154"/>
    <w:rsid w:val="085511D0"/>
    <w:rsid w:val="08551237"/>
    <w:rsid w:val="08551432"/>
    <w:rsid w:val="08551440"/>
    <w:rsid w:val="085514B2"/>
    <w:rsid w:val="08551540"/>
    <w:rsid w:val="085515F2"/>
    <w:rsid w:val="0855163A"/>
    <w:rsid w:val="085516B1"/>
    <w:rsid w:val="08551837"/>
    <w:rsid w:val="085518D1"/>
    <w:rsid w:val="085518FD"/>
    <w:rsid w:val="08551968"/>
    <w:rsid w:val="085519AA"/>
    <w:rsid w:val="085519AC"/>
    <w:rsid w:val="08551A9C"/>
    <w:rsid w:val="08551AAE"/>
    <w:rsid w:val="08551B96"/>
    <w:rsid w:val="08551C27"/>
    <w:rsid w:val="08551C46"/>
    <w:rsid w:val="08551DAB"/>
    <w:rsid w:val="08551DC6"/>
    <w:rsid w:val="08551E2B"/>
    <w:rsid w:val="08551EDB"/>
    <w:rsid w:val="08551F04"/>
    <w:rsid w:val="08551F36"/>
    <w:rsid w:val="08551FF7"/>
    <w:rsid w:val="08552173"/>
    <w:rsid w:val="08552179"/>
    <w:rsid w:val="0855219D"/>
    <w:rsid w:val="085521A8"/>
    <w:rsid w:val="085521B5"/>
    <w:rsid w:val="08552201"/>
    <w:rsid w:val="08552290"/>
    <w:rsid w:val="08552477"/>
    <w:rsid w:val="085524BE"/>
    <w:rsid w:val="08552514"/>
    <w:rsid w:val="085525DB"/>
    <w:rsid w:val="08552934"/>
    <w:rsid w:val="0855294D"/>
    <w:rsid w:val="08552989"/>
    <w:rsid w:val="085529E7"/>
    <w:rsid w:val="08552AA6"/>
    <w:rsid w:val="08552BEA"/>
    <w:rsid w:val="08552C23"/>
    <w:rsid w:val="08552C3F"/>
    <w:rsid w:val="08552C4F"/>
    <w:rsid w:val="08552C72"/>
    <w:rsid w:val="08552CD2"/>
    <w:rsid w:val="08552CE7"/>
    <w:rsid w:val="08552D20"/>
    <w:rsid w:val="08552DE5"/>
    <w:rsid w:val="08552F6D"/>
    <w:rsid w:val="08553003"/>
    <w:rsid w:val="0855302D"/>
    <w:rsid w:val="085530F8"/>
    <w:rsid w:val="08553241"/>
    <w:rsid w:val="08553291"/>
    <w:rsid w:val="08553326"/>
    <w:rsid w:val="08553340"/>
    <w:rsid w:val="08553357"/>
    <w:rsid w:val="08553370"/>
    <w:rsid w:val="08553388"/>
    <w:rsid w:val="08553411"/>
    <w:rsid w:val="08553429"/>
    <w:rsid w:val="085534CE"/>
    <w:rsid w:val="08553568"/>
    <w:rsid w:val="0855359D"/>
    <w:rsid w:val="085535C2"/>
    <w:rsid w:val="08553685"/>
    <w:rsid w:val="0855380E"/>
    <w:rsid w:val="08553811"/>
    <w:rsid w:val="08553815"/>
    <w:rsid w:val="0855382C"/>
    <w:rsid w:val="08553889"/>
    <w:rsid w:val="0855393F"/>
    <w:rsid w:val="08553AA6"/>
    <w:rsid w:val="08553AE0"/>
    <w:rsid w:val="08553B34"/>
    <w:rsid w:val="08553B7B"/>
    <w:rsid w:val="08553BCC"/>
    <w:rsid w:val="08553C00"/>
    <w:rsid w:val="08553C83"/>
    <w:rsid w:val="08553D56"/>
    <w:rsid w:val="08553DA5"/>
    <w:rsid w:val="08553DB7"/>
    <w:rsid w:val="08553E1C"/>
    <w:rsid w:val="08553E27"/>
    <w:rsid w:val="08553EDE"/>
    <w:rsid w:val="08553F19"/>
    <w:rsid w:val="08553F62"/>
    <w:rsid w:val="08553FDE"/>
    <w:rsid w:val="08553FF4"/>
    <w:rsid w:val="08554003"/>
    <w:rsid w:val="08554079"/>
    <w:rsid w:val="08554134"/>
    <w:rsid w:val="08554189"/>
    <w:rsid w:val="085541EC"/>
    <w:rsid w:val="085541F7"/>
    <w:rsid w:val="08554206"/>
    <w:rsid w:val="0855426C"/>
    <w:rsid w:val="0855438B"/>
    <w:rsid w:val="08554536"/>
    <w:rsid w:val="08554625"/>
    <w:rsid w:val="085546FF"/>
    <w:rsid w:val="08554778"/>
    <w:rsid w:val="08554816"/>
    <w:rsid w:val="08554950"/>
    <w:rsid w:val="085549F6"/>
    <w:rsid w:val="08554A66"/>
    <w:rsid w:val="08554B54"/>
    <w:rsid w:val="08554C1E"/>
    <w:rsid w:val="08554CA1"/>
    <w:rsid w:val="08554D97"/>
    <w:rsid w:val="08554E7B"/>
    <w:rsid w:val="08554EB3"/>
    <w:rsid w:val="08554F0A"/>
    <w:rsid w:val="08554F20"/>
    <w:rsid w:val="08554F45"/>
    <w:rsid w:val="08554F75"/>
    <w:rsid w:val="085550BD"/>
    <w:rsid w:val="08555159"/>
    <w:rsid w:val="08555187"/>
    <w:rsid w:val="0855527F"/>
    <w:rsid w:val="085552C0"/>
    <w:rsid w:val="085552D0"/>
    <w:rsid w:val="0855536C"/>
    <w:rsid w:val="085553AE"/>
    <w:rsid w:val="08555432"/>
    <w:rsid w:val="08555451"/>
    <w:rsid w:val="08555480"/>
    <w:rsid w:val="08555499"/>
    <w:rsid w:val="085554B0"/>
    <w:rsid w:val="085554D6"/>
    <w:rsid w:val="085554FA"/>
    <w:rsid w:val="08555532"/>
    <w:rsid w:val="0855554A"/>
    <w:rsid w:val="0855558F"/>
    <w:rsid w:val="085555B5"/>
    <w:rsid w:val="08555618"/>
    <w:rsid w:val="0855565D"/>
    <w:rsid w:val="08555805"/>
    <w:rsid w:val="08555809"/>
    <w:rsid w:val="08555851"/>
    <w:rsid w:val="08555981"/>
    <w:rsid w:val="08555990"/>
    <w:rsid w:val="08555B10"/>
    <w:rsid w:val="08555CDE"/>
    <w:rsid w:val="08555D51"/>
    <w:rsid w:val="08555D69"/>
    <w:rsid w:val="08555D83"/>
    <w:rsid w:val="08555D88"/>
    <w:rsid w:val="08555DB8"/>
    <w:rsid w:val="08555DE8"/>
    <w:rsid w:val="08555DEA"/>
    <w:rsid w:val="08555E08"/>
    <w:rsid w:val="08555E68"/>
    <w:rsid w:val="08555F5E"/>
    <w:rsid w:val="085560BC"/>
    <w:rsid w:val="08556131"/>
    <w:rsid w:val="08556283"/>
    <w:rsid w:val="085562A8"/>
    <w:rsid w:val="08556430"/>
    <w:rsid w:val="08556438"/>
    <w:rsid w:val="0855643D"/>
    <w:rsid w:val="08556472"/>
    <w:rsid w:val="08556474"/>
    <w:rsid w:val="085564D1"/>
    <w:rsid w:val="0855657D"/>
    <w:rsid w:val="085565D6"/>
    <w:rsid w:val="085565D7"/>
    <w:rsid w:val="08556706"/>
    <w:rsid w:val="0855676C"/>
    <w:rsid w:val="0855684C"/>
    <w:rsid w:val="085568A0"/>
    <w:rsid w:val="085568F0"/>
    <w:rsid w:val="08556915"/>
    <w:rsid w:val="08556925"/>
    <w:rsid w:val="0855694A"/>
    <w:rsid w:val="085569A9"/>
    <w:rsid w:val="08556A63"/>
    <w:rsid w:val="08556A9C"/>
    <w:rsid w:val="08556AB6"/>
    <w:rsid w:val="08556B42"/>
    <w:rsid w:val="08556CFF"/>
    <w:rsid w:val="08556D18"/>
    <w:rsid w:val="08556D93"/>
    <w:rsid w:val="08556E0F"/>
    <w:rsid w:val="08556E64"/>
    <w:rsid w:val="08556F12"/>
    <w:rsid w:val="08556F5F"/>
    <w:rsid w:val="08556FAA"/>
    <w:rsid w:val="08556FDF"/>
    <w:rsid w:val="08557006"/>
    <w:rsid w:val="085570CE"/>
    <w:rsid w:val="08557123"/>
    <w:rsid w:val="08557139"/>
    <w:rsid w:val="08557156"/>
    <w:rsid w:val="08557181"/>
    <w:rsid w:val="085572EE"/>
    <w:rsid w:val="08557359"/>
    <w:rsid w:val="0855739A"/>
    <w:rsid w:val="085573A3"/>
    <w:rsid w:val="08557427"/>
    <w:rsid w:val="0855743E"/>
    <w:rsid w:val="0855744A"/>
    <w:rsid w:val="08557471"/>
    <w:rsid w:val="08557472"/>
    <w:rsid w:val="085574E3"/>
    <w:rsid w:val="08557514"/>
    <w:rsid w:val="0855758E"/>
    <w:rsid w:val="085575C4"/>
    <w:rsid w:val="0855761B"/>
    <w:rsid w:val="0855768D"/>
    <w:rsid w:val="0855769A"/>
    <w:rsid w:val="0855771F"/>
    <w:rsid w:val="08557807"/>
    <w:rsid w:val="0855788A"/>
    <w:rsid w:val="08557973"/>
    <w:rsid w:val="08557A95"/>
    <w:rsid w:val="08557A97"/>
    <w:rsid w:val="08557BB7"/>
    <w:rsid w:val="08557C59"/>
    <w:rsid w:val="08557C7C"/>
    <w:rsid w:val="08557D15"/>
    <w:rsid w:val="08557D17"/>
    <w:rsid w:val="08557D34"/>
    <w:rsid w:val="08557D4E"/>
    <w:rsid w:val="08557DB5"/>
    <w:rsid w:val="08557EAF"/>
    <w:rsid w:val="08557EC2"/>
    <w:rsid w:val="08557F7A"/>
    <w:rsid w:val="08560000"/>
    <w:rsid w:val="0856001A"/>
    <w:rsid w:val="085600B6"/>
    <w:rsid w:val="0856014B"/>
    <w:rsid w:val="0856015B"/>
    <w:rsid w:val="08560205"/>
    <w:rsid w:val="0856026C"/>
    <w:rsid w:val="085602C3"/>
    <w:rsid w:val="085602C4"/>
    <w:rsid w:val="085602D8"/>
    <w:rsid w:val="085602FD"/>
    <w:rsid w:val="0856031D"/>
    <w:rsid w:val="085603AB"/>
    <w:rsid w:val="08560420"/>
    <w:rsid w:val="0856047E"/>
    <w:rsid w:val="08560488"/>
    <w:rsid w:val="085604B9"/>
    <w:rsid w:val="08560517"/>
    <w:rsid w:val="085605A5"/>
    <w:rsid w:val="085605E2"/>
    <w:rsid w:val="0856064F"/>
    <w:rsid w:val="0856065D"/>
    <w:rsid w:val="085607FE"/>
    <w:rsid w:val="085608DA"/>
    <w:rsid w:val="0856090A"/>
    <w:rsid w:val="08560916"/>
    <w:rsid w:val="0856091C"/>
    <w:rsid w:val="08560A01"/>
    <w:rsid w:val="08560A30"/>
    <w:rsid w:val="08560AD8"/>
    <w:rsid w:val="08560BEA"/>
    <w:rsid w:val="08560DD4"/>
    <w:rsid w:val="08560E1C"/>
    <w:rsid w:val="08560E7F"/>
    <w:rsid w:val="08560F40"/>
    <w:rsid w:val="08560FE4"/>
    <w:rsid w:val="08561082"/>
    <w:rsid w:val="085610EE"/>
    <w:rsid w:val="0856111B"/>
    <w:rsid w:val="0856114C"/>
    <w:rsid w:val="08561153"/>
    <w:rsid w:val="08561169"/>
    <w:rsid w:val="08561195"/>
    <w:rsid w:val="085611BE"/>
    <w:rsid w:val="085611C0"/>
    <w:rsid w:val="085612FC"/>
    <w:rsid w:val="0856132F"/>
    <w:rsid w:val="0856138E"/>
    <w:rsid w:val="085613C8"/>
    <w:rsid w:val="085614BC"/>
    <w:rsid w:val="0856154E"/>
    <w:rsid w:val="085615CF"/>
    <w:rsid w:val="085615E1"/>
    <w:rsid w:val="08561607"/>
    <w:rsid w:val="0856166E"/>
    <w:rsid w:val="085616C1"/>
    <w:rsid w:val="08561722"/>
    <w:rsid w:val="08561786"/>
    <w:rsid w:val="08561797"/>
    <w:rsid w:val="085617D4"/>
    <w:rsid w:val="0856182C"/>
    <w:rsid w:val="085618CE"/>
    <w:rsid w:val="085618FB"/>
    <w:rsid w:val="08561920"/>
    <w:rsid w:val="085619EB"/>
    <w:rsid w:val="08561A18"/>
    <w:rsid w:val="08561ABA"/>
    <w:rsid w:val="08561AD1"/>
    <w:rsid w:val="08561B50"/>
    <w:rsid w:val="08561B66"/>
    <w:rsid w:val="08561C00"/>
    <w:rsid w:val="08561C37"/>
    <w:rsid w:val="08561D8F"/>
    <w:rsid w:val="08561E06"/>
    <w:rsid w:val="08561EB3"/>
    <w:rsid w:val="08561ED8"/>
    <w:rsid w:val="08561F45"/>
    <w:rsid w:val="08561F4A"/>
    <w:rsid w:val="08561F9C"/>
    <w:rsid w:val="08562180"/>
    <w:rsid w:val="0856220B"/>
    <w:rsid w:val="08562251"/>
    <w:rsid w:val="08562299"/>
    <w:rsid w:val="085622F6"/>
    <w:rsid w:val="08562521"/>
    <w:rsid w:val="085625CE"/>
    <w:rsid w:val="08562631"/>
    <w:rsid w:val="08562634"/>
    <w:rsid w:val="085626C6"/>
    <w:rsid w:val="08562799"/>
    <w:rsid w:val="08562867"/>
    <w:rsid w:val="0856290D"/>
    <w:rsid w:val="085629F6"/>
    <w:rsid w:val="08562AAA"/>
    <w:rsid w:val="08562AEB"/>
    <w:rsid w:val="08562B60"/>
    <w:rsid w:val="08562BA5"/>
    <w:rsid w:val="08562C60"/>
    <w:rsid w:val="08562C7C"/>
    <w:rsid w:val="08562C9E"/>
    <w:rsid w:val="08562CEB"/>
    <w:rsid w:val="08562D7B"/>
    <w:rsid w:val="08562DDC"/>
    <w:rsid w:val="08562E3E"/>
    <w:rsid w:val="08562E6A"/>
    <w:rsid w:val="08562EC2"/>
    <w:rsid w:val="08562EC8"/>
    <w:rsid w:val="08562EEB"/>
    <w:rsid w:val="08562F02"/>
    <w:rsid w:val="0856301E"/>
    <w:rsid w:val="08563187"/>
    <w:rsid w:val="08563203"/>
    <w:rsid w:val="085632EC"/>
    <w:rsid w:val="08563310"/>
    <w:rsid w:val="08563343"/>
    <w:rsid w:val="08563357"/>
    <w:rsid w:val="08563366"/>
    <w:rsid w:val="0856338D"/>
    <w:rsid w:val="085633A5"/>
    <w:rsid w:val="08563434"/>
    <w:rsid w:val="0856345A"/>
    <w:rsid w:val="0856361E"/>
    <w:rsid w:val="08563661"/>
    <w:rsid w:val="08563667"/>
    <w:rsid w:val="085636E1"/>
    <w:rsid w:val="08563732"/>
    <w:rsid w:val="085637DA"/>
    <w:rsid w:val="085637FF"/>
    <w:rsid w:val="08563845"/>
    <w:rsid w:val="08563A44"/>
    <w:rsid w:val="08563A47"/>
    <w:rsid w:val="08563D79"/>
    <w:rsid w:val="08563E36"/>
    <w:rsid w:val="08563FBF"/>
    <w:rsid w:val="0856403A"/>
    <w:rsid w:val="085640F6"/>
    <w:rsid w:val="08564100"/>
    <w:rsid w:val="085641BE"/>
    <w:rsid w:val="085641E8"/>
    <w:rsid w:val="085642AE"/>
    <w:rsid w:val="08564301"/>
    <w:rsid w:val="08564305"/>
    <w:rsid w:val="08564334"/>
    <w:rsid w:val="0856433D"/>
    <w:rsid w:val="085643AA"/>
    <w:rsid w:val="08564420"/>
    <w:rsid w:val="08564564"/>
    <w:rsid w:val="08564566"/>
    <w:rsid w:val="08564581"/>
    <w:rsid w:val="085645D6"/>
    <w:rsid w:val="085645EB"/>
    <w:rsid w:val="08564718"/>
    <w:rsid w:val="0856479F"/>
    <w:rsid w:val="0856491C"/>
    <w:rsid w:val="0856492C"/>
    <w:rsid w:val="0856496A"/>
    <w:rsid w:val="085649C1"/>
    <w:rsid w:val="085649C5"/>
    <w:rsid w:val="08564A53"/>
    <w:rsid w:val="08564B7D"/>
    <w:rsid w:val="08564B8F"/>
    <w:rsid w:val="08564C1D"/>
    <w:rsid w:val="08564CD9"/>
    <w:rsid w:val="08564D3F"/>
    <w:rsid w:val="08564DE6"/>
    <w:rsid w:val="08564E00"/>
    <w:rsid w:val="08564E37"/>
    <w:rsid w:val="08564EE9"/>
    <w:rsid w:val="08564F84"/>
    <w:rsid w:val="08564FFB"/>
    <w:rsid w:val="08565002"/>
    <w:rsid w:val="0856502A"/>
    <w:rsid w:val="085650F6"/>
    <w:rsid w:val="08565238"/>
    <w:rsid w:val="08565301"/>
    <w:rsid w:val="08565404"/>
    <w:rsid w:val="0856541D"/>
    <w:rsid w:val="0856544D"/>
    <w:rsid w:val="08565506"/>
    <w:rsid w:val="085655B6"/>
    <w:rsid w:val="085655DE"/>
    <w:rsid w:val="085655F1"/>
    <w:rsid w:val="085656BA"/>
    <w:rsid w:val="08565714"/>
    <w:rsid w:val="08565756"/>
    <w:rsid w:val="085657C4"/>
    <w:rsid w:val="085657D5"/>
    <w:rsid w:val="08565845"/>
    <w:rsid w:val="08565979"/>
    <w:rsid w:val="0856598F"/>
    <w:rsid w:val="08565A22"/>
    <w:rsid w:val="08565A3C"/>
    <w:rsid w:val="08565AC7"/>
    <w:rsid w:val="08565AED"/>
    <w:rsid w:val="08565B37"/>
    <w:rsid w:val="08565BC2"/>
    <w:rsid w:val="08565C4A"/>
    <w:rsid w:val="08565D35"/>
    <w:rsid w:val="08565DD4"/>
    <w:rsid w:val="08565DE5"/>
    <w:rsid w:val="08565E4C"/>
    <w:rsid w:val="08565E93"/>
    <w:rsid w:val="08565EB3"/>
    <w:rsid w:val="08565EC4"/>
    <w:rsid w:val="08565F53"/>
    <w:rsid w:val="08565FF7"/>
    <w:rsid w:val="08565FFE"/>
    <w:rsid w:val="0856602B"/>
    <w:rsid w:val="08566031"/>
    <w:rsid w:val="08566051"/>
    <w:rsid w:val="0856626D"/>
    <w:rsid w:val="08566290"/>
    <w:rsid w:val="085662C0"/>
    <w:rsid w:val="08566312"/>
    <w:rsid w:val="08566313"/>
    <w:rsid w:val="08566324"/>
    <w:rsid w:val="08566327"/>
    <w:rsid w:val="0856633E"/>
    <w:rsid w:val="08566370"/>
    <w:rsid w:val="08566374"/>
    <w:rsid w:val="085663E3"/>
    <w:rsid w:val="085664C2"/>
    <w:rsid w:val="0856651E"/>
    <w:rsid w:val="085665AA"/>
    <w:rsid w:val="085665B8"/>
    <w:rsid w:val="085665E6"/>
    <w:rsid w:val="0856663D"/>
    <w:rsid w:val="0856674F"/>
    <w:rsid w:val="085668AD"/>
    <w:rsid w:val="085668EA"/>
    <w:rsid w:val="08566938"/>
    <w:rsid w:val="08566965"/>
    <w:rsid w:val="08566997"/>
    <w:rsid w:val="08566A2B"/>
    <w:rsid w:val="08566B71"/>
    <w:rsid w:val="08566B93"/>
    <w:rsid w:val="08566C3E"/>
    <w:rsid w:val="08566C4F"/>
    <w:rsid w:val="08566C55"/>
    <w:rsid w:val="08566CE0"/>
    <w:rsid w:val="08566D41"/>
    <w:rsid w:val="08566D43"/>
    <w:rsid w:val="08566DA4"/>
    <w:rsid w:val="08566EBF"/>
    <w:rsid w:val="08567015"/>
    <w:rsid w:val="08567062"/>
    <w:rsid w:val="08567157"/>
    <w:rsid w:val="085671D4"/>
    <w:rsid w:val="085672F3"/>
    <w:rsid w:val="085672FF"/>
    <w:rsid w:val="0856739A"/>
    <w:rsid w:val="08567489"/>
    <w:rsid w:val="08567529"/>
    <w:rsid w:val="08567578"/>
    <w:rsid w:val="0856758C"/>
    <w:rsid w:val="085675AB"/>
    <w:rsid w:val="085675C8"/>
    <w:rsid w:val="085675E6"/>
    <w:rsid w:val="08567607"/>
    <w:rsid w:val="0856762F"/>
    <w:rsid w:val="085676A4"/>
    <w:rsid w:val="08567773"/>
    <w:rsid w:val="0856779D"/>
    <w:rsid w:val="0856783D"/>
    <w:rsid w:val="085678B1"/>
    <w:rsid w:val="08567932"/>
    <w:rsid w:val="08567A25"/>
    <w:rsid w:val="08567A37"/>
    <w:rsid w:val="08567AAC"/>
    <w:rsid w:val="08567B6B"/>
    <w:rsid w:val="08567B75"/>
    <w:rsid w:val="08567BF6"/>
    <w:rsid w:val="08567C63"/>
    <w:rsid w:val="08567CB1"/>
    <w:rsid w:val="08567D1B"/>
    <w:rsid w:val="08567DC3"/>
    <w:rsid w:val="08567DCD"/>
    <w:rsid w:val="08567EA6"/>
    <w:rsid w:val="08567F27"/>
    <w:rsid w:val="08567F28"/>
    <w:rsid w:val="08567F60"/>
    <w:rsid w:val="08567FA6"/>
    <w:rsid w:val="08567FC5"/>
    <w:rsid w:val="08567FEC"/>
    <w:rsid w:val="08570008"/>
    <w:rsid w:val="08570060"/>
    <w:rsid w:val="08570068"/>
    <w:rsid w:val="0857015E"/>
    <w:rsid w:val="085701BB"/>
    <w:rsid w:val="0857024A"/>
    <w:rsid w:val="085702BF"/>
    <w:rsid w:val="0857033B"/>
    <w:rsid w:val="08570380"/>
    <w:rsid w:val="08570415"/>
    <w:rsid w:val="085705CD"/>
    <w:rsid w:val="08570636"/>
    <w:rsid w:val="0857069C"/>
    <w:rsid w:val="085706E9"/>
    <w:rsid w:val="0857072A"/>
    <w:rsid w:val="08570734"/>
    <w:rsid w:val="08570884"/>
    <w:rsid w:val="08570898"/>
    <w:rsid w:val="08570927"/>
    <w:rsid w:val="08570979"/>
    <w:rsid w:val="085709BA"/>
    <w:rsid w:val="08570A14"/>
    <w:rsid w:val="08570C44"/>
    <w:rsid w:val="08570D40"/>
    <w:rsid w:val="08570E48"/>
    <w:rsid w:val="08570EAD"/>
    <w:rsid w:val="08570EEE"/>
    <w:rsid w:val="08570FC7"/>
    <w:rsid w:val="08571050"/>
    <w:rsid w:val="08571064"/>
    <w:rsid w:val="085710E7"/>
    <w:rsid w:val="08571102"/>
    <w:rsid w:val="08571259"/>
    <w:rsid w:val="0857131A"/>
    <w:rsid w:val="08571357"/>
    <w:rsid w:val="08571366"/>
    <w:rsid w:val="08571421"/>
    <w:rsid w:val="085714EC"/>
    <w:rsid w:val="08571585"/>
    <w:rsid w:val="08571593"/>
    <w:rsid w:val="085716EA"/>
    <w:rsid w:val="085716F5"/>
    <w:rsid w:val="0857177D"/>
    <w:rsid w:val="085717F2"/>
    <w:rsid w:val="08571962"/>
    <w:rsid w:val="0857199A"/>
    <w:rsid w:val="085719C5"/>
    <w:rsid w:val="085719FF"/>
    <w:rsid w:val="08571AA2"/>
    <w:rsid w:val="08571B17"/>
    <w:rsid w:val="08571B94"/>
    <w:rsid w:val="08571BBA"/>
    <w:rsid w:val="08571CA1"/>
    <w:rsid w:val="08571CDB"/>
    <w:rsid w:val="08571D07"/>
    <w:rsid w:val="08571D2F"/>
    <w:rsid w:val="08571D3B"/>
    <w:rsid w:val="08571E0D"/>
    <w:rsid w:val="08571ED4"/>
    <w:rsid w:val="08572026"/>
    <w:rsid w:val="0857205C"/>
    <w:rsid w:val="085720CB"/>
    <w:rsid w:val="085720EE"/>
    <w:rsid w:val="085720F6"/>
    <w:rsid w:val="0857212D"/>
    <w:rsid w:val="0857214A"/>
    <w:rsid w:val="085721A2"/>
    <w:rsid w:val="08572224"/>
    <w:rsid w:val="085722A9"/>
    <w:rsid w:val="085722B3"/>
    <w:rsid w:val="085723A0"/>
    <w:rsid w:val="085723E5"/>
    <w:rsid w:val="08572440"/>
    <w:rsid w:val="08572479"/>
    <w:rsid w:val="0857252D"/>
    <w:rsid w:val="0857259E"/>
    <w:rsid w:val="085725D7"/>
    <w:rsid w:val="085725E4"/>
    <w:rsid w:val="08572626"/>
    <w:rsid w:val="085726C5"/>
    <w:rsid w:val="0857274B"/>
    <w:rsid w:val="085727C3"/>
    <w:rsid w:val="0857287A"/>
    <w:rsid w:val="085728AF"/>
    <w:rsid w:val="085728FE"/>
    <w:rsid w:val="08572A08"/>
    <w:rsid w:val="08572A5C"/>
    <w:rsid w:val="08572A8D"/>
    <w:rsid w:val="08572B4C"/>
    <w:rsid w:val="08572BB2"/>
    <w:rsid w:val="08572C53"/>
    <w:rsid w:val="08572C79"/>
    <w:rsid w:val="08572D2C"/>
    <w:rsid w:val="08572DB1"/>
    <w:rsid w:val="08572DB3"/>
    <w:rsid w:val="08572EE9"/>
    <w:rsid w:val="08572F64"/>
    <w:rsid w:val="0857305D"/>
    <w:rsid w:val="08573143"/>
    <w:rsid w:val="0857316A"/>
    <w:rsid w:val="08573177"/>
    <w:rsid w:val="0857317D"/>
    <w:rsid w:val="085731AF"/>
    <w:rsid w:val="085731C6"/>
    <w:rsid w:val="085731D6"/>
    <w:rsid w:val="085731F0"/>
    <w:rsid w:val="085732D2"/>
    <w:rsid w:val="085732F7"/>
    <w:rsid w:val="0857331C"/>
    <w:rsid w:val="08573404"/>
    <w:rsid w:val="0857346C"/>
    <w:rsid w:val="085734BB"/>
    <w:rsid w:val="085734EF"/>
    <w:rsid w:val="085735F6"/>
    <w:rsid w:val="08573623"/>
    <w:rsid w:val="085736D9"/>
    <w:rsid w:val="085736EE"/>
    <w:rsid w:val="08573710"/>
    <w:rsid w:val="08573737"/>
    <w:rsid w:val="08573744"/>
    <w:rsid w:val="085737E8"/>
    <w:rsid w:val="0857382D"/>
    <w:rsid w:val="08573842"/>
    <w:rsid w:val="0857386B"/>
    <w:rsid w:val="0857386C"/>
    <w:rsid w:val="0857386E"/>
    <w:rsid w:val="085738B8"/>
    <w:rsid w:val="085738EC"/>
    <w:rsid w:val="08573918"/>
    <w:rsid w:val="08573957"/>
    <w:rsid w:val="08573A73"/>
    <w:rsid w:val="08573A81"/>
    <w:rsid w:val="08573B03"/>
    <w:rsid w:val="08573B27"/>
    <w:rsid w:val="08573BDA"/>
    <w:rsid w:val="08573C1A"/>
    <w:rsid w:val="08573CF7"/>
    <w:rsid w:val="08573D02"/>
    <w:rsid w:val="08573D17"/>
    <w:rsid w:val="08573D92"/>
    <w:rsid w:val="08573DF5"/>
    <w:rsid w:val="08573E15"/>
    <w:rsid w:val="08573F01"/>
    <w:rsid w:val="08573F9E"/>
    <w:rsid w:val="08573FA0"/>
    <w:rsid w:val="08573FD7"/>
    <w:rsid w:val="08574011"/>
    <w:rsid w:val="085741AC"/>
    <w:rsid w:val="085741FD"/>
    <w:rsid w:val="0857427F"/>
    <w:rsid w:val="08574293"/>
    <w:rsid w:val="0857429C"/>
    <w:rsid w:val="08574419"/>
    <w:rsid w:val="08574425"/>
    <w:rsid w:val="08574470"/>
    <w:rsid w:val="085744DA"/>
    <w:rsid w:val="085744F6"/>
    <w:rsid w:val="08574574"/>
    <w:rsid w:val="085745FA"/>
    <w:rsid w:val="0857465C"/>
    <w:rsid w:val="0857466C"/>
    <w:rsid w:val="085746B4"/>
    <w:rsid w:val="0857471C"/>
    <w:rsid w:val="08574747"/>
    <w:rsid w:val="085747D4"/>
    <w:rsid w:val="085748B6"/>
    <w:rsid w:val="08574925"/>
    <w:rsid w:val="085749E6"/>
    <w:rsid w:val="08574A0E"/>
    <w:rsid w:val="08574A20"/>
    <w:rsid w:val="08574A64"/>
    <w:rsid w:val="08574A8C"/>
    <w:rsid w:val="08574C7A"/>
    <w:rsid w:val="08574CBB"/>
    <w:rsid w:val="08574CCE"/>
    <w:rsid w:val="08574D4A"/>
    <w:rsid w:val="08574E21"/>
    <w:rsid w:val="08574E30"/>
    <w:rsid w:val="08574E66"/>
    <w:rsid w:val="08574E98"/>
    <w:rsid w:val="08574F1C"/>
    <w:rsid w:val="08574FA5"/>
    <w:rsid w:val="0857501A"/>
    <w:rsid w:val="08575139"/>
    <w:rsid w:val="0857515C"/>
    <w:rsid w:val="08575169"/>
    <w:rsid w:val="085751A7"/>
    <w:rsid w:val="085751D1"/>
    <w:rsid w:val="085752FA"/>
    <w:rsid w:val="08575338"/>
    <w:rsid w:val="08575356"/>
    <w:rsid w:val="08575363"/>
    <w:rsid w:val="08575419"/>
    <w:rsid w:val="08575594"/>
    <w:rsid w:val="085755EE"/>
    <w:rsid w:val="085755F4"/>
    <w:rsid w:val="08575631"/>
    <w:rsid w:val="085756DE"/>
    <w:rsid w:val="08575781"/>
    <w:rsid w:val="08575841"/>
    <w:rsid w:val="085759A9"/>
    <w:rsid w:val="085759D2"/>
    <w:rsid w:val="085759E1"/>
    <w:rsid w:val="08575A6D"/>
    <w:rsid w:val="08575B09"/>
    <w:rsid w:val="08575B74"/>
    <w:rsid w:val="08575B8B"/>
    <w:rsid w:val="08575C35"/>
    <w:rsid w:val="08575C93"/>
    <w:rsid w:val="08575DB1"/>
    <w:rsid w:val="08575DC3"/>
    <w:rsid w:val="08575DF4"/>
    <w:rsid w:val="08575E86"/>
    <w:rsid w:val="08575E95"/>
    <w:rsid w:val="08575FF2"/>
    <w:rsid w:val="08575FF3"/>
    <w:rsid w:val="08576033"/>
    <w:rsid w:val="085760C9"/>
    <w:rsid w:val="08576147"/>
    <w:rsid w:val="085761EF"/>
    <w:rsid w:val="08576286"/>
    <w:rsid w:val="085762C4"/>
    <w:rsid w:val="085763DD"/>
    <w:rsid w:val="08576424"/>
    <w:rsid w:val="08576431"/>
    <w:rsid w:val="0857648E"/>
    <w:rsid w:val="08576549"/>
    <w:rsid w:val="08576611"/>
    <w:rsid w:val="08576662"/>
    <w:rsid w:val="08576722"/>
    <w:rsid w:val="0857672C"/>
    <w:rsid w:val="085767DF"/>
    <w:rsid w:val="0857688F"/>
    <w:rsid w:val="085768C7"/>
    <w:rsid w:val="085769B1"/>
    <w:rsid w:val="08576A33"/>
    <w:rsid w:val="08576A4E"/>
    <w:rsid w:val="08576AC2"/>
    <w:rsid w:val="08576B52"/>
    <w:rsid w:val="08576B6D"/>
    <w:rsid w:val="08576B99"/>
    <w:rsid w:val="08576BED"/>
    <w:rsid w:val="08576C74"/>
    <w:rsid w:val="08576D03"/>
    <w:rsid w:val="08576D46"/>
    <w:rsid w:val="08576D63"/>
    <w:rsid w:val="08576E57"/>
    <w:rsid w:val="08576EC1"/>
    <w:rsid w:val="08576EC5"/>
    <w:rsid w:val="08576F0F"/>
    <w:rsid w:val="08576F40"/>
    <w:rsid w:val="0857704D"/>
    <w:rsid w:val="08577055"/>
    <w:rsid w:val="0857711A"/>
    <w:rsid w:val="0857712D"/>
    <w:rsid w:val="0857716F"/>
    <w:rsid w:val="085771D6"/>
    <w:rsid w:val="085771F0"/>
    <w:rsid w:val="08577218"/>
    <w:rsid w:val="08577270"/>
    <w:rsid w:val="085772D5"/>
    <w:rsid w:val="08577322"/>
    <w:rsid w:val="085773CC"/>
    <w:rsid w:val="08577419"/>
    <w:rsid w:val="0857746F"/>
    <w:rsid w:val="0857747C"/>
    <w:rsid w:val="0857750B"/>
    <w:rsid w:val="0857751B"/>
    <w:rsid w:val="08577593"/>
    <w:rsid w:val="0857760F"/>
    <w:rsid w:val="08577640"/>
    <w:rsid w:val="08577646"/>
    <w:rsid w:val="08577748"/>
    <w:rsid w:val="085778A2"/>
    <w:rsid w:val="085779B2"/>
    <w:rsid w:val="085779CD"/>
    <w:rsid w:val="08577A85"/>
    <w:rsid w:val="08577AEE"/>
    <w:rsid w:val="08577B87"/>
    <w:rsid w:val="08577C03"/>
    <w:rsid w:val="08577C4E"/>
    <w:rsid w:val="08577D3B"/>
    <w:rsid w:val="08577D63"/>
    <w:rsid w:val="08577E24"/>
    <w:rsid w:val="08577E55"/>
    <w:rsid w:val="08577EE3"/>
    <w:rsid w:val="08577F3A"/>
    <w:rsid w:val="08577FAD"/>
    <w:rsid w:val="08580048"/>
    <w:rsid w:val="0858008E"/>
    <w:rsid w:val="085800C6"/>
    <w:rsid w:val="08580180"/>
    <w:rsid w:val="08580191"/>
    <w:rsid w:val="085801D6"/>
    <w:rsid w:val="085801E6"/>
    <w:rsid w:val="0858029A"/>
    <w:rsid w:val="085802C5"/>
    <w:rsid w:val="085802E3"/>
    <w:rsid w:val="0858032A"/>
    <w:rsid w:val="0858039D"/>
    <w:rsid w:val="085803FF"/>
    <w:rsid w:val="085804EB"/>
    <w:rsid w:val="0858053A"/>
    <w:rsid w:val="08580653"/>
    <w:rsid w:val="0858078C"/>
    <w:rsid w:val="0858079C"/>
    <w:rsid w:val="085807FB"/>
    <w:rsid w:val="08580892"/>
    <w:rsid w:val="0858089E"/>
    <w:rsid w:val="085808C6"/>
    <w:rsid w:val="085808F5"/>
    <w:rsid w:val="08580958"/>
    <w:rsid w:val="08580971"/>
    <w:rsid w:val="085809E9"/>
    <w:rsid w:val="08580A7E"/>
    <w:rsid w:val="08580AAE"/>
    <w:rsid w:val="08580BC7"/>
    <w:rsid w:val="08580BD7"/>
    <w:rsid w:val="08580C12"/>
    <w:rsid w:val="08580C82"/>
    <w:rsid w:val="08580D18"/>
    <w:rsid w:val="08580D1F"/>
    <w:rsid w:val="08580D6B"/>
    <w:rsid w:val="08580FC0"/>
    <w:rsid w:val="08580FC1"/>
    <w:rsid w:val="0858102A"/>
    <w:rsid w:val="0858107E"/>
    <w:rsid w:val="08581130"/>
    <w:rsid w:val="0858113C"/>
    <w:rsid w:val="0858113E"/>
    <w:rsid w:val="085811B7"/>
    <w:rsid w:val="085811D3"/>
    <w:rsid w:val="08581234"/>
    <w:rsid w:val="08581252"/>
    <w:rsid w:val="0858126B"/>
    <w:rsid w:val="085812C0"/>
    <w:rsid w:val="08581371"/>
    <w:rsid w:val="0858138F"/>
    <w:rsid w:val="0858147D"/>
    <w:rsid w:val="0858150D"/>
    <w:rsid w:val="08581524"/>
    <w:rsid w:val="08581561"/>
    <w:rsid w:val="0858157C"/>
    <w:rsid w:val="085816A0"/>
    <w:rsid w:val="08581795"/>
    <w:rsid w:val="085817C5"/>
    <w:rsid w:val="08581840"/>
    <w:rsid w:val="085818C8"/>
    <w:rsid w:val="085818E0"/>
    <w:rsid w:val="085818E7"/>
    <w:rsid w:val="08581922"/>
    <w:rsid w:val="085819EE"/>
    <w:rsid w:val="08581A32"/>
    <w:rsid w:val="08581AE0"/>
    <w:rsid w:val="08581AE4"/>
    <w:rsid w:val="08581B41"/>
    <w:rsid w:val="08581B72"/>
    <w:rsid w:val="08581B8C"/>
    <w:rsid w:val="08581CE7"/>
    <w:rsid w:val="08581DAA"/>
    <w:rsid w:val="08581E57"/>
    <w:rsid w:val="08581E79"/>
    <w:rsid w:val="08581EDA"/>
    <w:rsid w:val="08582054"/>
    <w:rsid w:val="08582055"/>
    <w:rsid w:val="0858205E"/>
    <w:rsid w:val="08582073"/>
    <w:rsid w:val="085821A8"/>
    <w:rsid w:val="08582247"/>
    <w:rsid w:val="08582316"/>
    <w:rsid w:val="08582338"/>
    <w:rsid w:val="085823A1"/>
    <w:rsid w:val="085823F0"/>
    <w:rsid w:val="085823FA"/>
    <w:rsid w:val="085825F9"/>
    <w:rsid w:val="08582613"/>
    <w:rsid w:val="08582649"/>
    <w:rsid w:val="08582677"/>
    <w:rsid w:val="0858268F"/>
    <w:rsid w:val="085826BA"/>
    <w:rsid w:val="08582744"/>
    <w:rsid w:val="085827AC"/>
    <w:rsid w:val="085827C1"/>
    <w:rsid w:val="085827FA"/>
    <w:rsid w:val="08582988"/>
    <w:rsid w:val="08582AAC"/>
    <w:rsid w:val="08582AEE"/>
    <w:rsid w:val="08582B08"/>
    <w:rsid w:val="08582B4C"/>
    <w:rsid w:val="08582B8F"/>
    <w:rsid w:val="08582C02"/>
    <w:rsid w:val="08582CC3"/>
    <w:rsid w:val="08582D64"/>
    <w:rsid w:val="08582DF1"/>
    <w:rsid w:val="08582DFF"/>
    <w:rsid w:val="08582EA3"/>
    <w:rsid w:val="08582EB7"/>
    <w:rsid w:val="08582ED2"/>
    <w:rsid w:val="08583078"/>
    <w:rsid w:val="08583098"/>
    <w:rsid w:val="08583106"/>
    <w:rsid w:val="085832EF"/>
    <w:rsid w:val="0858352B"/>
    <w:rsid w:val="08583631"/>
    <w:rsid w:val="0858363E"/>
    <w:rsid w:val="08583657"/>
    <w:rsid w:val="085836A5"/>
    <w:rsid w:val="085836AA"/>
    <w:rsid w:val="08583704"/>
    <w:rsid w:val="085838B6"/>
    <w:rsid w:val="085838B8"/>
    <w:rsid w:val="08583925"/>
    <w:rsid w:val="08583966"/>
    <w:rsid w:val="08583B0E"/>
    <w:rsid w:val="08583B11"/>
    <w:rsid w:val="08583B12"/>
    <w:rsid w:val="08583C70"/>
    <w:rsid w:val="08583CE9"/>
    <w:rsid w:val="08583D21"/>
    <w:rsid w:val="08583D83"/>
    <w:rsid w:val="08583DA6"/>
    <w:rsid w:val="08583DD9"/>
    <w:rsid w:val="08583E90"/>
    <w:rsid w:val="08583EEF"/>
    <w:rsid w:val="0858407B"/>
    <w:rsid w:val="0858409C"/>
    <w:rsid w:val="0858417E"/>
    <w:rsid w:val="0858418D"/>
    <w:rsid w:val="08584335"/>
    <w:rsid w:val="085843BF"/>
    <w:rsid w:val="085845E2"/>
    <w:rsid w:val="0858463F"/>
    <w:rsid w:val="085846A3"/>
    <w:rsid w:val="08584771"/>
    <w:rsid w:val="085848DF"/>
    <w:rsid w:val="08584963"/>
    <w:rsid w:val="08584A52"/>
    <w:rsid w:val="08584A57"/>
    <w:rsid w:val="08584C72"/>
    <w:rsid w:val="08584D40"/>
    <w:rsid w:val="08584D46"/>
    <w:rsid w:val="08584E16"/>
    <w:rsid w:val="08584F25"/>
    <w:rsid w:val="08584F29"/>
    <w:rsid w:val="08584F34"/>
    <w:rsid w:val="08584F42"/>
    <w:rsid w:val="08584FB5"/>
    <w:rsid w:val="08585112"/>
    <w:rsid w:val="0858513A"/>
    <w:rsid w:val="085851D7"/>
    <w:rsid w:val="08585375"/>
    <w:rsid w:val="08585381"/>
    <w:rsid w:val="0858539E"/>
    <w:rsid w:val="085853BF"/>
    <w:rsid w:val="085854A9"/>
    <w:rsid w:val="085855DD"/>
    <w:rsid w:val="08585668"/>
    <w:rsid w:val="085856EF"/>
    <w:rsid w:val="085856FB"/>
    <w:rsid w:val="0858573F"/>
    <w:rsid w:val="08585781"/>
    <w:rsid w:val="085858D3"/>
    <w:rsid w:val="085858E5"/>
    <w:rsid w:val="0858593B"/>
    <w:rsid w:val="0858595D"/>
    <w:rsid w:val="08585A01"/>
    <w:rsid w:val="08585A32"/>
    <w:rsid w:val="08585B35"/>
    <w:rsid w:val="08585B56"/>
    <w:rsid w:val="08585B57"/>
    <w:rsid w:val="08585B5D"/>
    <w:rsid w:val="08585B5F"/>
    <w:rsid w:val="08585C80"/>
    <w:rsid w:val="08585CA4"/>
    <w:rsid w:val="08585D03"/>
    <w:rsid w:val="08585DC0"/>
    <w:rsid w:val="08585DCE"/>
    <w:rsid w:val="08585F44"/>
    <w:rsid w:val="08585F9F"/>
    <w:rsid w:val="08585FBB"/>
    <w:rsid w:val="08585FE8"/>
    <w:rsid w:val="08585FE9"/>
    <w:rsid w:val="08586025"/>
    <w:rsid w:val="08586035"/>
    <w:rsid w:val="08586061"/>
    <w:rsid w:val="0858608B"/>
    <w:rsid w:val="085860DA"/>
    <w:rsid w:val="085861C3"/>
    <w:rsid w:val="085861E4"/>
    <w:rsid w:val="08586219"/>
    <w:rsid w:val="08586232"/>
    <w:rsid w:val="08586274"/>
    <w:rsid w:val="085862C6"/>
    <w:rsid w:val="085864D8"/>
    <w:rsid w:val="0858650B"/>
    <w:rsid w:val="085865B7"/>
    <w:rsid w:val="08586620"/>
    <w:rsid w:val="08586628"/>
    <w:rsid w:val="085866C8"/>
    <w:rsid w:val="08586794"/>
    <w:rsid w:val="085867CD"/>
    <w:rsid w:val="085867E6"/>
    <w:rsid w:val="08586875"/>
    <w:rsid w:val="08586967"/>
    <w:rsid w:val="08586983"/>
    <w:rsid w:val="08586A6D"/>
    <w:rsid w:val="08586ADE"/>
    <w:rsid w:val="08586AE2"/>
    <w:rsid w:val="08586B91"/>
    <w:rsid w:val="08586BFD"/>
    <w:rsid w:val="08586C0F"/>
    <w:rsid w:val="08586C37"/>
    <w:rsid w:val="08586C58"/>
    <w:rsid w:val="08586C80"/>
    <w:rsid w:val="08586CC8"/>
    <w:rsid w:val="08586CF1"/>
    <w:rsid w:val="08586D30"/>
    <w:rsid w:val="08586D31"/>
    <w:rsid w:val="08586D6F"/>
    <w:rsid w:val="08586DDB"/>
    <w:rsid w:val="08586E36"/>
    <w:rsid w:val="08586E6D"/>
    <w:rsid w:val="08586E85"/>
    <w:rsid w:val="08586E92"/>
    <w:rsid w:val="08586E9C"/>
    <w:rsid w:val="08586F85"/>
    <w:rsid w:val="08586FCE"/>
    <w:rsid w:val="08586FFD"/>
    <w:rsid w:val="08587042"/>
    <w:rsid w:val="0858717B"/>
    <w:rsid w:val="085871FB"/>
    <w:rsid w:val="08587207"/>
    <w:rsid w:val="08587264"/>
    <w:rsid w:val="0858728E"/>
    <w:rsid w:val="085872EF"/>
    <w:rsid w:val="0858730C"/>
    <w:rsid w:val="085873F9"/>
    <w:rsid w:val="08587401"/>
    <w:rsid w:val="0858741F"/>
    <w:rsid w:val="085875A0"/>
    <w:rsid w:val="085878BD"/>
    <w:rsid w:val="085878F7"/>
    <w:rsid w:val="0858790D"/>
    <w:rsid w:val="0858791C"/>
    <w:rsid w:val="085879D3"/>
    <w:rsid w:val="08587AB0"/>
    <w:rsid w:val="08587BF4"/>
    <w:rsid w:val="08587C1F"/>
    <w:rsid w:val="08587D77"/>
    <w:rsid w:val="08587DA2"/>
    <w:rsid w:val="08587E96"/>
    <w:rsid w:val="08587EC5"/>
    <w:rsid w:val="08587FDF"/>
    <w:rsid w:val="0859011D"/>
    <w:rsid w:val="0859029A"/>
    <w:rsid w:val="0859035B"/>
    <w:rsid w:val="0859044B"/>
    <w:rsid w:val="085904D1"/>
    <w:rsid w:val="08590563"/>
    <w:rsid w:val="0859056E"/>
    <w:rsid w:val="0859057A"/>
    <w:rsid w:val="085905BE"/>
    <w:rsid w:val="08590622"/>
    <w:rsid w:val="0859068B"/>
    <w:rsid w:val="08590748"/>
    <w:rsid w:val="08590791"/>
    <w:rsid w:val="085907DD"/>
    <w:rsid w:val="085908E2"/>
    <w:rsid w:val="08590AB7"/>
    <w:rsid w:val="08590BCE"/>
    <w:rsid w:val="08590CA5"/>
    <w:rsid w:val="08590D0A"/>
    <w:rsid w:val="08590DB0"/>
    <w:rsid w:val="08590DF4"/>
    <w:rsid w:val="08590E13"/>
    <w:rsid w:val="08590E2D"/>
    <w:rsid w:val="08590E6E"/>
    <w:rsid w:val="08590EA8"/>
    <w:rsid w:val="08590F71"/>
    <w:rsid w:val="08590FF0"/>
    <w:rsid w:val="08591074"/>
    <w:rsid w:val="08591258"/>
    <w:rsid w:val="0859127B"/>
    <w:rsid w:val="085912D1"/>
    <w:rsid w:val="08591310"/>
    <w:rsid w:val="0859138B"/>
    <w:rsid w:val="0859139C"/>
    <w:rsid w:val="085913D2"/>
    <w:rsid w:val="085913FC"/>
    <w:rsid w:val="085914F8"/>
    <w:rsid w:val="08591557"/>
    <w:rsid w:val="0859158E"/>
    <w:rsid w:val="08591639"/>
    <w:rsid w:val="085916B0"/>
    <w:rsid w:val="08591742"/>
    <w:rsid w:val="08591815"/>
    <w:rsid w:val="0859185D"/>
    <w:rsid w:val="085918C0"/>
    <w:rsid w:val="085918CF"/>
    <w:rsid w:val="08591938"/>
    <w:rsid w:val="08591A2E"/>
    <w:rsid w:val="08591A72"/>
    <w:rsid w:val="08591AA6"/>
    <w:rsid w:val="08591BEA"/>
    <w:rsid w:val="08591D05"/>
    <w:rsid w:val="08591DC0"/>
    <w:rsid w:val="08591E64"/>
    <w:rsid w:val="08591FE0"/>
    <w:rsid w:val="08591FE7"/>
    <w:rsid w:val="08592061"/>
    <w:rsid w:val="085921FE"/>
    <w:rsid w:val="08592279"/>
    <w:rsid w:val="085922A1"/>
    <w:rsid w:val="085922E3"/>
    <w:rsid w:val="085923BA"/>
    <w:rsid w:val="08592424"/>
    <w:rsid w:val="08592451"/>
    <w:rsid w:val="0859250C"/>
    <w:rsid w:val="0859256B"/>
    <w:rsid w:val="0859257E"/>
    <w:rsid w:val="085925D9"/>
    <w:rsid w:val="0859262B"/>
    <w:rsid w:val="08592642"/>
    <w:rsid w:val="08592672"/>
    <w:rsid w:val="0859268E"/>
    <w:rsid w:val="085926AF"/>
    <w:rsid w:val="08592701"/>
    <w:rsid w:val="08592747"/>
    <w:rsid w:val="0859274A"/>
    <w:rsid w:val="08592759"/>
    <w:rsid w:val="08592925"/>
    <w:rsid w:val="08592AA2"/>
    <w:rsid w:val="08592BB6"/>
    <w:rsid w:val="08592BD7"/>
    <w:rsid w:val="08592C02"/>
    <w:rsid w:val="08592CDE"/>
    <w:rsid w:val="08592D18"/>
    <w:rsid w:val="08592D19"/>
    <w:rsid w:val="08592D57"/>
    <w:rsid w:val="08592E09"/>
    <w:rsid w:val="08592E1C"/>
    <w:rsid w:val="08592E87"/>
    <w:rsid w:val="08592FA7"/>
    <w:rsid w:val="08592FD3"/>
    <w:rsid w:val="08592FFC"/>
    <w:rsid w:val="0859304C"/>
    <w:rsid w:val="0859308C"/>
    <w:rsid w:val="08593176"/>
    <w:rsid w:val="085932F9"/>
    <w:rsid w:val="08593332"/>
    <w:rsid w:val="08593360"/>
    <w:rsid w:val="0859348E"/>
    <w:rsid w:val="08593505"/>
    <w:rsid w:val="08593741"/>
    <w:rsid w:val="0859375C"/>
    <w:rsid w:val="085937CA"/>
    <w:rsid w:val="08593858"/>
    <w:rsid w:val="0859388D"/>
    <w:rsid w:val="08593908"/>
    <w:rsid w:val="0859397D"/>
    <w:rsid w:val="08593A12"/>
    <w:rsid w:val="08593A2D"/>
    <w:rsid w:val="08593A59"/>
    <w:rsid w:val="08593B6C"/>
    <w:rsid w:val="08593B93"/>
    <w:rsid w:val="08593DB1"/>
    <w:rsid w:val="08593E46"/>
    <w:rsid w:val="08593E5D"/>
    <w:rsid w:val="08593E5F"/>
    <w:rsid w:val="08593E93"/>
    <w:rsid w:val="08593EEB"/>
    <w:rsid w:val="08593F23"/>
    <w:rsid w:val="08593FB1"/>
    <w:rsid w:val="08594011"/>
    <w:rsid w:val="085940BC"/>
    <w:rsid w:val="085940EF"/>
    <w:rsid w:val="0859414A"/>
    <w:rsid w:val="085941A9"/>
    <w:rsid w:val="085942B7"/>
    <w:rsid w:val="085943C7"/>
    <w:rsid w:val="08594488"/>
    <w:rsid w:val="085944C0"/>
    <w:rsid w:val="0859453F"/>
    <w:rsid w:val="085945F5"/>
    <w:rsid w:val="08594655"/>
    <w:rsid w:val="085946B3"/>
    <w:rsid w:val="08594786"/>
    <w:rsid w:val="08594799"/>
    <w:rsid w:val="0859480C"/>
    <w:rsid w:val="08594826"/>
    <w:rsid w:val="08594864"/>
    <w:rsid w:val="08594943"/>
    <w:rsid w:val="085949D2"/>
    <w:rsid w:val="08594A97"/>
    <w:rsid w:val="08594AE1"/>
    <w:rsid w:val="08594B31"/>
    <w:rsid w:val="08594BE9"/>
    <w:rsid w:val="08594BF2"/>
    <w:rsid w:val="08594C0E"/>
    <w:rsid w:val="08594CD3"/>
    <w:rsid w:val="08594D44"/>
    <w:rsid w:val="08594D58"/>
    <w:rsid w:val="08594DB9"/>
    <w:rsid w:val="08594E4D"/>
    <w:rsid w:val="08594ECA"/>
    <w:rsid w:val="08594F2D"/>
    <w:rsid w:val="08595081"/>
    <w:rsid w:val="08595093"/>
    <w:rsid w:val="085950E0"/>
    <w:rsid w:val="08595102"/>
    <w:rsid w:val="08595107"/>
    <w:rsid w:val="085951C7"/>
    <w:rsid w:val="085951E1"/>
    <w:rsid w:val="085951E3"/>
    <w:rsid w:val="08595219"/>
    <w:rsid w:val="08595245"/>
    <w:rsid w:val="085952A2"/>
    <w:rsid w:val="085952EF"/>
    <w:rsid w:val="0859531D"/>
    <w:rsid w:val="08595394"/>
    <w:rsid w:val="085953BC"/>
    <w:rsid w:val="0859548C"/>
    <w:rsid w:val="085954FA"/>
    <w:rsid w:val="08595529"/>
    <w:rsid w:val="08595579"/>
    <w:rsid w:val="08595582"/>
    <w:rsid w:val="08595631"/>
    <w:rsid w:val="08595634"/>
    <w:rsid w:val="0859567A"/>
    <w:rsid w:val="085956C3"/>
    <w:rsid w:val="085956C8"/>
    <w:rsid w:val="0859571E"/>
    <w:rsid w:val="08595741"/>
    <w:rsid w:val="08595765"/>
    <w:rsid w:val="085957CA"/>
    <w:rsid w:val="08595944"/>
    <w:rsid w:val="0859597D"/>
    <w:rsid w:val="085959B1"/>
    <w:rsid w:val="085959BC"/>
    <w:rsid w:val="085959CA"/>
    <w:rsid w:val="085959D1"/>
    <w:rsid w:val="08595BE6"/>
    <w:rsid w:val="08595BF3"/>
    <w:rsid w:val="08595C01"/>
    <w:rsid w:val="08595D2B"/>
    <w:rsid w:val="08595D6D"/>
    <w:rsid w:val="08595DA6"/>
    <w:rsid w:val="08595E24"/>
    <w:rsid w:val="08595F25"/>
    <w:rsid w:val="08595F85"/>
    <w:rsid w:val="08595FC3"/>
    <w:rsid w:val="08596030"/>
    <w:rsid w:val="08596091"/>
    <w:rsid w:val="085960E6"/>
    <w:rsid w:val="08596101"/>
    <w:rsid w:val="085961AD"/>
    <w:rsid w:val="085961AE"/>
    <w:rsid w:val="085961F1"/>
    <w:rsid w:val="0859620E"/>
    <w:rsid w:val="085962A1"/>
    <w:rsid w:val="0859631F"/>
    <w:rsid w:val="085963E6"/>
    <w:rsid w:val="085963FF"/>
    <w:rsid w:val="08596421"/>
    <w:rsid w:val="0859643F"/>
    <w:rsid w:val="085964DA"/>
    <w:rsid w:val="085965AF"/>
    <w:rsid w:val="08596749"/>
    <w:rsid w:val="085967B2"/>
    <w:rsid w:val="085967D5"/>
    <w:rsid w:val="08596891"/>
    <w:rsid w:val="08596909"/>
    <w:rsid w:val="085969A5"/>
    <w:rsid w:val="085969E7"/>
    <w:rsid w:val="085969F4"/>
    <w:rsid w:val="08596A46"/>
    <w:rsid w:val="08596B29"/>
    <w:rsid w:val="08596B76"/>
    <w:rsid w:val="08596BD6"/>
    <w:rsid w:val="08596C36"/>
    <w:rsid w:val="08596D26"/>
    <w:rsid w:val="08596D47"/>
    <w:rsid w:val="08596E90"/>
    <w:rsid w:val="08596F2C"/>
    <w:rsid w:val="08597032"/>
    <w:rsid w:val="08597050"/>
    <w:rsid w:val="085970BF"/>
    <w:rsid w:val="08597188"/>
    <w:rsid w:val="08597271"/>
    <w:rsid w:val="085972F9"/>
    <w:rsid w:val="085973E1"/>
    <w:rsid w:val="0859741E"/>
    <w:rsid w:val="085974C6"/>
    <w:rsid w:val="08597528"/>
    <w:rsid w:val="08597561"/>
    <w:rsid w:val="0859757B"/>
    <w:rsid w:val="085975E7"/>
    <w:rsid w:val="0859760D"/>
    <w:rsid w:val="0859769A"/>
    <w:rsid w:val="0859769F"/>
    <w:rsid w:val="08597717"/>
    <w:rsid w:val="085977BE"/>
    <w:rsid w:val="085977F9"/>
    <w:rsid w:val="08597847"/>
    <w:rsid w:val="085978C7"/>
    <w:rsid w:val="08597954"/>
    <w:rsid w:val="08597A66"/>
    <w:rsid w:val="08597B9E"/>
    <w:rsid w:val="08597BBD"/>
    <w:rsid w:val="08597BC1"/>
    <w:rsid w:val="08597BF0"/>
    <w:rsid w:val="08597C88"/>
    <w:rsid w:val="08597CC8"/>
    <w:rsid w:val="08597CF3"/>
    <w:rsid w:val="08597D6C"/>
    <w:rsid w:val="08597D86"/>
    <w:rsid w:val="08597EC7"/>
    <w:rsid w:val="08597EF6"/>
    <w:rsid w:val="08597F68"/>
    <w:rsid w:val="08597F69"/>
    <w:rsid w:val="08597F8B"/>
    <w:rsid w:val="08597FDB"/>
    <w:rsid w:val="085A008D"/>
    <w:rsid w:val="085A00D8"/>
    <w:rsid w:val="085A016B"/>
    <w:rsid w:val="085A01DF"/>
    <w:rsid w:val="085A022B"/>
    <w:rsid w:val="085A0246"/>
    <w:rsid w:val="085A026E"/>
    <w:rsid w:val="085A0275"/>
    <w:rsid w:val="085A028C"/>
    <w:rsid w:val="085A029F"/>
    <w:rsid w:val="085A034A"/>
    <w:rsid w:val="085A03E8"/>
    <w:rsid w:val="085A0470"/>
    <w:rsid w:val="085A04A4"/>
    <w:rsid w:val="085A0629"/>
    <w:rsid w:val="085A078E"/>
    <w:rsid w:val="085A0866"/>
    <w:rsid w:val="085A08D3"/>
    <w:rsid w:val="085A08E3"/>
    <w:rsid w:val="085A08EA"/>
    <w:rsid w:val="085A09DB"/>
    <w:rsid w:val="085A09FF"/>
    <w:rsid w:val="085A0A4F"/>
    <w:rsid w:val="085A0B0E"/>
    <w:rsid w:val="085A0B31"/>
    <w:rsid w:val="085A0B42"/>
    <w:rsid w:val="085A0C49"/>
    <w:rsid w:val="085A0C97"/>
    <w:rsid w:val="085A0D20"/>
    <w:rsid w:val="085A0D3B"/>
    <w:rsid w:val="085A0DB2"/>
    <w:rsid w:val="085A0DE4"/>
    <w:rsid w:val="085A0DE6"/>
    <w:rsid w:val="085A0E26"/>
    <w:rsid w:val="085A0E86"/>
    <w:rsid w:val="085A0E95"/>
    <w:rsid w:val="085A0EA5"/>
    <w:rsid w:val="085A0FE0"/>
    <w:rsid w:val="085A10F0"/>
    <w:rsid w:val="085A110F"/>
    <w:rsid w:val="085A11A0"/>
    <w:rsid w:val="085A11D8"/>
    <w:rsid w:val="085A1291"/>
    <w:rsid w:val="085A12C5"/>
    <w:rsid w:val="085A1333"/>
    <w:rsid w:val="085A13A5"/>
    <w:rsid w:val="085A13F6"/>
    <w:rsid w:val="085A1451"/>
    <w:rsid w:val="085A14A0"/>
    <w:rsid w:val="085A14F7"/>
    <w:rsid w:val="085A151A"/>
    <w:rsid w:val="085A15CC"/>
    <w:rsid w:val="085A160F"/>
    <w:rsid w:val="085A1619"/>
    <w:rsid w:val="085A161A"/>
    <w:rsid w:val="085A167C"/>
    <w:rsid w:val="085A1690"/>
    <w:rsid w:val="085A1790"/>
    <w:rsid w:val="085A17E9"/>
    <w:rsid w:val="085A17F3"/>
    <w:rsid w:val="085A17F5"/>
    <w:rsid w:val="085A187D"/>
    <w:rsid w:val="085A18E7"/>
    <w:rsid w:val="085A18F3"/>
    <w:rsid w:val="085A1B03"/>
    <w:rsid w:val="085A1B22"/>
    <w:rsid w:val="085A1BC4"/>
    <w:rsid w:val="085A1C47"/>
    <w:rsid w:val="085A1C69"/>
    <w:rsid w:val="085A1C75"/>
    <w:rsid w:val="085A1D31"/>
    <w:rsid w:val="085A1E45"/>
    <w:rsid w:val="085A1EED"/>
    <w:rsid w:val="085A1F02"/>
    <w:rsid w:val="085A1F90"/>
    <w:rsid w:val="085A20AC"/>
    <w:rsid w:val="085A20BC"/>
    <w:rsid w:val="085A20FD"/>
    <w:rsid w:val="085A215D"/>
    <w:rsid w:val="085A21AD"/>
    <w:rsid w:val="085A227B"/>
    <w:rsid w:val="085A22F4"/>
    <w:rsid w:val="085A2305"/>
    <w:rsid w:val="085A2384"/>
    <w:rsid w:val="085A243E"/>
    <w:rsid w:val="085A24D1"/>
    <w:rsid w:val="085A24EE"/>
    <w:rsid w:val="085A25E7"/>
    <w:rsid w:val="085A263B"/>
    <w:rsid w:val="085A266A"/>
    <w:rsid w:val="085A274D"/>
    <w:rsid w:val="085A283F"/>
    <w:rsid w:val="085A28E1"/>
    <w:rsid w:val="085A291C"/>
    <w:rsid w:val="085A291E"/>
    <w:rsid w:val="085A2931"/>
    <w:rsid w:val="085A29F6"/>
    <w:rsid w:val="085A2A80"/>
    <w:rsid w:val="085A2AAC"/>
    <w:rsid w:val="085A2AE9"/>
    <w:rsid w:val="085A2B68"/>
    <w:rsid w:val="085A2D16"/>
    <w:rsid w:val="085A2D40"/>
    <w:rsid w:val="085A2D90"/>
    <w:rsid w:val="085A2DA8"/>
    <w:rsid w:val="085A2E49"/>
    <w:rsid w:val="085A2EF4"/>
    <w:rsid w:val="085A2F4B"/>
    <w:rsid w:val="085A3022"/>
    <w:rsid w:val="085A307D"/>
    <w:rsid w:val="085A308D"/>
    <w:rsid w:val="085A313E"/>
    <w:rsid w:val="085A31C7"/>
    <w:rsid w:val="085A32AC"/>
    <w:rsid w:val="085A32EB"/>
    <w:rsid w:val="085A3303"/>
    <w:rsid w:val="085A33D1"/>
    <w:rsid w:val="085A34A7"/>
    <w:rsid w:val="085A3522"/>
    <w:rsid w:val="085A356C"/>
    <w:rsid w:val="085A35B3"/>
    <w:rsid w:val="085A3619"/>
    <w:rsid w:val="085A37D3"/>
    <w:rsid w:val="085A37D5"/>
    <w:rsid w:val="085A37FA"/>
    <w:rsid w:val="085A37FD"/>
    <w:rsid w:val="085A3862"/>
    <w:rsid w:val="085A397A"/>
    <w:rsid w:val="085A3989"/>
    <w:rsid w:val="085A39DF"/>
    <w:rsid w:val="085A3AFB"/>
    <w:rsid w:val="085A3D24"/>
    <w:rsid w:val="085A3DFA"/>
    <w:rsid w:val="085A3EBE"/>
    <w:rsid w:val="085A3FFA"/>
    <w:rsid w:val="085A4003"/>
    <w:rsid w:val="085A413F"/>
    <w:rsid w:val="085A4172"/>
    <w:rsid w:val="085A4190"/>
    <w:rsid w:val="085A41C6"/>
    <w:rsid w:val="085A43FC"/>
    <w:rsid w:val="085A4439"/>
    <w:rsid w:val="085A4464"/>
    <w:rsid w:val="085A44AF"/>
    <w:rsid w:val="085A44CA"/>
    <w:rsid w:val="085A44CD"/>
    <w:rsid w:val="085A4525"/>
    <w:rsid w:val="085A4554"/>
    <w:rsid w:val="085A4579"/>
    <w:rsid w:val="085A4600"/>
    <w:rsid w:val="085A4727"/>
    <w:rsid w:val="085A4757"/>
    <w:rsid w:val="085A475E"/>
    <w:rsid w:val="085A479A"/>
    <w:rsid w:val="085A4892"/>
    <w:rsid w:val="085A48AC"/>
    <w:rsid w:val="085A48DD"/>
    <w:rsid w:val="085A498B"/>
    <w:rsid w:val="085A4A62"/>
    <w:rsid w:val="085A4B8D"/>
    <w:rsid w:val="085A4B99"/>
    <w:rsid w:val="085A4BD7"/>
    <w:rsid w:val="085A4D75"/>
    <w:rsid w:val="085A4E2F"/>
    <w:rsid w:val="085A4E53"/>
    <w:rsid w:val="085A4E7F"/>
    <w:rsid w:val="085A4EAA"/>
    <w:rsid w:val="085A4EB2"/>
    <w:rsid w:val="085A4F0D"/>
    <w:rsid w:val="085A506B"/>
    <w:rsid w:val="085A506C"/>
    <w:rsid w:val="085A50B1"/>
    <w:rsid w:val="085A50FD"/>
    <w:rsid w:val="085A5172"/>
    <w:rsid w:val="085A51D6"/>
    <w:rsid w:val="085A52BE"/>
    <w:rsid w:val="085A52F6"/>
    <w:rsid w:val="085A537C"/>
    <w:rsid w:val="085A54EE"/>
    <w:rsid w:val="085A550A"/>
    <w:rsid w:val="085A5524"/>
    <w:rsid w:val="085A55A9"/>
    <w:rsid w:val="085A55C7"/>
    <w:rsid w:val="085A5722"/>
    <w:rsid w:val="085A57D9"/>
    <w:rsid w:val="085A57EC"/>
    <w:rsid w:val="085A5899"/>
    <w:rsid w:val="085A58C2"/>
    <w:rsid w:val="085A5946"/>
    <w:rsid w:val="085A596D"/>
    <w:rsid w:val="085A59FA"/>
    <w:rsid w:val="085A5B3C"/>
    <w:rsid w:val="085A5BA3"/>
    <w:rsid w:val="085A5BAF"/>
    <w:rsid w:val="085A5BD2"/>
    <w:rsid w:val="085A5BDF"/>
    <w:rsid w:val="085A5BF9"/>
    <w:rsid w:val="085A5DA5"/>
    <w:rsid w:val="085A5DDD"/>
    <w:rsid w:val="085A5DF4"/>
    <w:rsid w:val="085A5ECE"/>
    <w:rsid w:val="085A5EED"/>
    <w:rsid w:val="085A5F5E"/>
    <w:rsid w:val="085A5FAE"/>
    <w:rsid w:val="085A5FE5"/>
    <w:rsid w:val="085A6005"/>
    <w:rsid w:val="085A6044"/>
    <w:rsid w:val="085A60B5"/>
    <w:rsid w:val="085A6148"/>
    <w:rsid w:val="085A61E4"/>
    <w:rsid w:val="085A6258"/>
    <w:rsid w:val="085A626D"/>
    <w:rsid w:val="085A62F1"/>
    <w:rsid w:val="085A637E"/>
    <w:rsid w:val="085A6397"/>
    <w:rsid w:val="085A63C8"/>
    <w:rsid w:val="085A6423"/>
    <w:rsid w:val="085A660F"/>
    <w:rsid w:val="085A6805"/>
    <w:rsid w:val="085A68A8"/>
    <w:rsid w:val="085A690F"/>
    <w:rsid w:val="085A69D0"/>
    <w:rsid w:val="085A6A2A"/>
    <w:rsid w:val="085A6ADB"/>
    <w:rsid w:val="085A6B5C"/>
    <w:rsid w:val="085A6C15"/>
    <w:rsid w:val="085A6D18"/>
    <w:rsid w:val="085A6D1D"/>
    <w:rsid w:val="085A6D32"/>
    <w:rsid w:val="085A6D81"/>
    <w:rsid w:val="085A6E28"/>
    <w:rsid w:val="085A6E5D"/>
    <w:rsid w:val="085A6F31"/>
    <w:rsid w:val="085A6FBB"/>
    <w:rsid w:val="085A703B"/>
    <w:rsid w:val="085A70D8"/>
    <w:rsid w:val="085A71F5"/>
    <w:rsid w:val="085A7252"/>
    <w:rsid w:val="085A7298"/>
    <w:rsid w:val="085A72D0"/>
    <w:rsid w:val="085A72E1"/>
    <w:rsid w:val="085A7318"/>
    <w:rsid w:val="085A73E2"/>
    <w:rsid w:val="085A7495"/>
    <w:rsid w:val="085A74C1"/>
    <w:rsid w:val="085A74DE"/>
    <w:rsid w:val="085A74EA"/>
    <w:rsid w:val="085A7507"/>
    <w:rsid w:val="085A758D"/>
    <w:rsid w:val="085A7590"/>
    <w:rsid w:val="085A75D3"/>
    <w:rsid w:val="085A7653"/>
    <w:rsid w:val="085A768A"/>
    <w:rsid w:val="085A7697"/>
    <w:rsid w:val="085A76B4"/>
    <w:rsid w:val="085A775E"/>
    <w:rsid w:val="085A7770"/>
    <w:rsid w:val="085A7781"/>
    <w:rsid w:val="085A7792"/>
    <w:rsid w:val="085A77A0"/>
    <w:rsid w:val="085A7836"/>
    <w:rsid w:val="085A78B7"/>
    <w:rsid w:val="085A7934"/>
    <w:rsid w:val="085A7964"/>
    <w:rsid w:val="085A79FA"/>
    <w:rsid w:val="085A7A30"/>
    <w:rsid w:val="085A7A6B"/>
    <w:rsid w:val="085A7A73"/>
    <w:rsid w:val="085A7A97"/>
    <w:rsid w:val="085A7AA2"/>
    <w:rsid w:val="085A7B85"/>
    <w:rsid w:val="085A7BD6"/>
    <w:rsid w:val="085A7C1A"/>
    <w:rsid w:val="085A7CB9"/>
    <w:rsid w:val="085A7E30"/>
    <w:rsid w:val="085A7E69"/>
    <w:rsid w:val="085A7E8D"/>
    <w:rsid w:val="085A7F75"/>
    <w:rsid w:val="085A7F8C"/>
    <w:rsid w:val="085B0077"/>
    <w:rsid w:val="085B00DD"/>
    <w:rsid w:val="085B00E4"/>
    <w:rsid w:val="085B0144"/>
    <w:rsid w:val="085B021C"/>
    <w:rsid w:val="085B022A"/>
    <w:rsid w:val="085B025C"/>
    <w:rsid w:val="085B025E"/>
    <w:rsid w:val="085B0376"/>
    <w:rsid w:val="085B03D8"/>
    <w:rsid w:val="085B04C6"/>
    <w:rsid w:val="085B04CE"/>
    <w:rsid w:val="085B060B"/>
    <w:rsid w:val="085B0688"/>
    <w:rsid w:val="085B069D"/>
    <w:rsid w:val="085B06FB"/>
    <w:rsid w:val="085B0754"/>
    <w:rsid w:val="085B07CE"/>
    <w:rsid w:val="085B082D"/>
    <w:rsid w:val="085B084E"/>
    <w:rsid w:val="085B085C"/>
    <w:rsid w:val="085B08F9"/>
    <w:rsid w:val="085B0965"/>
    <w:rsid w:val="085B0A22"/>
    <w:rsid w:val="085B0A2C"/>
    <w:rsid w:val="085B0AAF"/>
    <w:rsid w:val="085B0AD1"/>
    <w:rsid w:val="085B0BD3"/>
    <w:rsid w:val="085B0C4A"/>
    <w:rsid w:val="085B0C89"/>
    <w:rsid w:val="085B0CAF"/>
    <w:rsid w:val="085B0D38"/>
    <w:rsid w:val="085B0D8F"/>
    <w:rsid w:val="085B0DCD"/>
    <w:rsid w:val="085B0DD1"/>
    <w:rsid w:val="085B0E21"/>
    <w:rsid w:val="085B0ECD"/>
    <w:rsid w:val="085B0F67"/>
    <w:rsid w:val="085B1018"/>
    <w:rsid w:val="085B1094"/>
    <w:rsid w:val="085B10DF"/>
    <w:rsid w:val="085B10FD"/>
    <w:rsid w:val="085B120C"/>
    <w:rsid w:val="085B1342"/>
    <w:rsid w:val="085B1352"/>
    <w:rsid w:val="085B1615"/>
    <w:rsid w:val="085B1618"/>
    <w:rsid w:val="085B1645"/>
    <w:rsid w:val="085B16D2"/>
    <w:rsid w:val="085B16DF"/>
    <w:rsid w:val="085B17DB"/>
    <w:rsid w:val="085B187D"/>
    <w:rsid w:val="085B199B"/>
    <w:rsid w:val="085B19CF"/>
    <w:rsid w:val="085B1A97"/>
    <w:rsid w:val="085B1B28"/>
    <w:rsid w:val="085B1B58"/>
    <w:rsid w:val="085B1BDF"/>
    <w:rsid w:val="085B1C02"/>
    <w:rsid w:val="085B1C7C"/>
    <w:rsid w:val="085B1D70"/>
    <w:rsid w:val="085B1E19"/>
    <w:rsid w:val="085B1F06"/>
    <w:rsid w:val="085B1F3C"/>
    <w:rsid w:val="085B1F54"/>
    <w:rsid w:val="085B2040"/>
    <w:rsid w:val="085B205E"/>
    <w:rsid w:val="085B212E"/>
    <w:rsid w:val="085B214F"/>
    <w:rsid w:val="085B21CE"/>
    <w:rsid w:val="085B2247"/>
    <w:rsid w:val="085B22D8"/>
    <w:rsid w:val="085B22EC"/>
    <w:rsid w:val="085B23B3"/>
    <w:rsid w:val="085B23E5"/>
    <w:rsid w:val="085B23FB"/>
    <w:rsid w:val="085B242F"/>
    <w:rsid w:val="085B247F"/>
    <w:rsid w:val="085B2512"/>
    <w:rsid w:val="085B2560"/>
    <w:rsid w:val="085B2623"/>
    <w:rsid w:val="085B2686"/>
    <w:rsid w:val="085B2691"/>
    <w:rsid w:val="085B289C"/>
    <w:rsid w:val="085B28BD"/>
    <w:rsid w:val="085B2A3E"/>
    <w:rsid w:val="085B2AE9"/>
    <w:rsid w:val="085B2B60"/>
    <w:rsid w:val="085B2C44"/>
    <w:rsid w:val="085B2CFF"/>
    <w:rsid w:val="085B2D1D"/>
    <w:rsid w:val="085B2D42"/>
    <w:rsid w:val="085B2DD2"/>
    <w:rsid w:val="085B2DE8"/>
    <w:rsid w:val="085B2E69"/>
    <w:rsid w:val="085B2F4C"/>
    <w:rsid w:val="085B2F6F"/>
    <w:rsid w:val="085B300B"/>
    <w:rsid w:val="085B30A6"/>
    <w:rsid w:val="085B30A9"/>
    <w:rsid w:val="085B31B6"/>
    <w:rsid w:val="085B325A"/>
    <w:rsid w:val="085B3282"/>
    <w:rsid w:val="085B330C"/>
    <w:rsid w:val="085B331D"/>
    <w:rsid w:val="085B3379"/>
    <w:rsid w:val="085B3408"/>
    <w:rsid w:val="085B3481"/>
    <w:rsid w:val="085B35ED"/>
    <w:rsid w:val="085B3614"/>
    <w:rsid w:val="085B365C"/>
    <w:rsid w:val="085B366D"/>
    <w:rsid w:val="085B36B3"/>
    <w:rsid w:val="085B36B8"/>
    <w:rsid w:val="085B3735"/>
    <w:rsid w:val="085B3754"/>
    <w:rsid w:val="085B394D"/>
    <w:rsid w:val="085B3978"/>
    <w:rsid w:val="085B3A0E"/>
    <w:rsid w:val="085B3A40"/>
    <w:rsid w:val="085B3B4D"/>
    <w:rsid w:val="085B3C66"/>
    <w:rsid w:val="085B3FBB"/>
    <w:rsid w:val="085B3FF4"/>
    <w:rsid w:val="085B402B"/>
    <w:rsid w:val="085B404D"/>
    <w:rsid w:val="085B4050"/>
    <w:rsid w:val="085B4074"/>
    <w:rsid w:val="085B40D2"/>
    <w:rsid w:val="085B41A7"/>
    <w:rsid w:val="085B436F"/>
    <w:rsid w:val="085B4398"/>
    <w:rsid w:val="085B4415"/>
    <w:rsid w:val="085B444B"/>
    <w:rsid w:val="085B448C"/>
    <w:rsid w:val="085B448E"/>
    <w:rsid w:val="085B4504"/>
    <w:rsid w:val="085B45B6"/>
    <w:rsid w:val="085B45ED"/>
    <w:rsid w:val="085B469C"/>
    <w:rsid w:val="085B4740"/>
    <w:rsid w:val="085B47DA"/>
    <w:rsid w:val="085B4904"/>
    <w:rsid w:val="085B4A8E"/>
    <w:rsid w:val="085B4AD4"/>
    <w:rsid w:val="085B4B86"/>
    <w:rsid w:val="085B4C1B"/>
    <w:rsid w:val="085B4C78"/>
    <w:rsid w:val="085B4CAC"/>
    <w:rsid w:val="085B4D37"/>
    <w:rsid w:val="085B4D84"/>
    <w:rsid w:val="085B4D98"/>
    <w:rsid w:val="085B501A"/>
    <w:rsid w:val="085B5046"/>
    <w:rsid w:val="085B5084"/>
    <w:rsid w:val="085B512F"/>
    <w:rsid w:val="085B5257"/>
    <w:rsid w:val="085B52C0"/>
    <w:rsid w:val="085B52F5"/>
    <w:rsid w:val="085B5458"/>
    <w:rsid w:val="085B55B2"/>
    <w:rsid w:val="085B57E3"/>
    <w:rsid w:val="085B586D"/>
    <w:rsid w:val="085B5A42"/>
    <w:rsid w:val="085B5A55"/>
    <w:rsid w:val="085B5B33"/>
    <w:rsid w:val="085B5BBD"/>
    <w:rsid w:val="085B5BC9"/>
    <w:rsid w:val="085B5C6F"/>
    <w:rsid w:val="085B5C7E"/>
    <w:rsid w:val="085B5D24"/>
    <w:rsid w:val="085B5D65"/>
    <w:rsid w:val="085B5D6B"/>
    <w:rsid w:val="085B5DC8"/>
    <w:rsid w:val="085B5E7B"/>
    <w:rsid w:val="085B5F68"/>
    <w:rsid w:val="085B5F9A"/>
    <w:rsid w:val="085B5FC0"/>
    <w:rsid w:val="085B5FED"/>
    <w:rsid w:val="085B60C7"/>
    <w:rsid w:val="085B60E1"/>
    <w:rsid w:val="085B6136"/>
    <w:rsid w:val="085B6194"/>
    <w:rsid w:val="085B6229"/>
    <w:rsid w:val="085B6257"/>
    <w:rsid w:val="085B62A0"/>
    <w:rsid w:val="085B62B6"/>
    <w:rsid w:val="085B637A"/>
    <w:rsid w:val="085B63D8"/>
    <w:rsid w:val="085B63E6"/>
    <w:rsid w:val="085B63F2"/>
    <w:rsid w:val="085B6408"/>
    <w:rsid w:val="085B65EF"/>
    <w:rsid w:val="085B664D"/>
    <w:rsid w:val="085B669C"/>
    <w:rsid w:val="085B6834"/>
    <w:rsid w:val="085B6857"/>
    <w:rsid w:val="085B6873"/>
    <w:rsid w:val="085B6879"/>
    <w:rsid w:val="085B68A9"/>
    <w:rsid w:val="085B6928"/>
    <w:rsid w:val="085B6A09"/>
    <w:rsid w:val="085B6AF1"/>
    <w:rsid w:val="085B6B60"/>
    <w:rsid w:val="085B6C42"/>
    <w:rsid w:val="085B6CC0"/>
    <w:rsid w:val="085B6CED"/>
    <w:rsid w:val="085B6D10"/>
    <w:rsid w:val="085B6D39"/>
    <w:rsid w:val="085B6D7D"/>
    <w:rsid w:val="085B6DC9"/>
    <w:rsid w:val="085B6E3A"/>
    <w:rsid w:val="085B6E52"/>
    <w:rsid w:val="085B6E82"/>
    <w:rsid w:val="085B6F07"/>
    <w:rsid w:val="085B703C"/>
    <w:rsid w:val="085B7040"/>
    <w:rsid w:val="085B70C1"/>
    <w:rsid w:val="085B70D4"/>
    <w:rsid w:val="085B7301"/>
    <w:rsid w:val="085B7308"/>
    <w:rsid w:val="085B733E"/>
    <w:rsid w:val="085B7387"/>
    <w:rsid w:val="085B7433"/>
    <w:rsid w:val="085B74B4"/>
    <w:rsid w:val="085B755B"/>
    <w:rsid w:val="085B75D6"/>
    <w:rsid w:val="085B7624"/>
    <w:rsid w:val="085B7626"/>
    <w:rsid w:val="085B7688"/>
    <w:rsid w:val="085B76D0"/>
    <w:rsid w:val="085B78CE"/>
    <w:rsid w:val="085B7932"/>
    <w:rsid w:val="085B79E2"/>
    <w:rsid w:val="085B79E9"/>
    <w:rsid w:val="085B7B99"/>
    <w:rsid w:val="085B7C15"/>
    <w:rsid w:val="085B7C4E"/>
    <w:rsid w:val="085B7C7C"/>
    <w:rsid w:val="085B7CAF"/>
    <w:rsid w:val="085B7DA2"/>
    <w:rsid w:val="085B7E3C"/>
    <w:rsid w:val="085B7E97"/>
    <w:rsid w:val="085B7FBF"/>
    <w:rsid w:val="085B7FE4"/>
    <w:rsid w:val="085C0054"/>
    <w:rsid w:val="085C00F1"/>
    <w:rsid w:val="085C01E7"/>
    <w:rsid w:val="085C0267"/>
    <w:rsid w:val="085C02B5"/>
    <w:rsid w:val="085C0363"/>
    <w:rsid w:val="085C03D2"/>
    <w:rsid w:val="085C03D9"/>
    <w:rsid w:val="085C0419"/>
    <w:rsid w:val="085C0521"/>
    <w:rsid w:val="085C05B7"/>
    <w:rsid w:val="085C05FB"/>
    <w:rsid w:val="085C069B"/>
    <w:rsid w:val="085C078B"/>
    <w:rsid w:val="085C07CF"/>
    <w:rsid w:val="085C0A08"/>
    <w:rsid w:val="085C0A1B"/>
    <w:rsid w:val="085C0A51"/>
    <w:rsid w:val="085C0A7F"/>
    <w:rsid w:val="085C0A8D"/>
    <w:rsid w:val="085C0AFC"/>
    <w:rsid w:val="085C0B73"/>
    <w:rsid w:val="085C0B7C"/>
    <w:rsid w:val="085C0BE4"/>
    <w:rsid w:val="085C0C30"/>
    <w:rsid w:val="085C0C33"/>
    <w:rsid w:val="085C0C70"/>
    <w:rsid w:val="085C0C7C"/>
    <w:rsid w:val="085C0CE5"/>
    <w:rsid w:val="085C0D64"/>
    <w:rsid w:val="085C0D9C"/>
    <w:rsid w:val="085C0DDD"/>
    <w:rsid w:val="085C0E2F"/>
    <w:rsid w:val="085C0E30"/>
    <w:rsid w:val="085C0E42"/>
    <w:rsid w:val="085C0F3B"/>
    <w:rsid w:val="085C0F44"/>
    <w:rsid w:val="085C10F0"/>
    <w:rsid w:val="085C1170"/>
    <w:rsid w:val="085C12CC"/>
    <w:rsid w:val="085C130C"/>
    <w:rsid w:val="085C1365"/>
    <w:rsid w:val="085C1376"/>
    <w:rsid w:val="085C13FE"/>
    <w:rsid w:val="085C143D"/>
    <w:rsid w:val="085C147C"/>
    <w:rsid w:val="085C1505"/>
    <w:rsid w:val="085C1519"/>
    <w:rsid w:val="085C1530"/>
    <w:rsid w:val="085C15C4"/>
    <w:rsid w:val="085C15DF"/>
    <w:rsid w:val="085C1611"/>
    <w:rsid w:val="085C164D"/>
    <w:rsid w:val="085C169A"/>
    <w:rsid w:val="085C16D1"/>
    <w:rsid w:val="085C1710"/>
    <w:rsid w:val="085C1772"/>
    <w:rsid w:val="085C1824"/>
    <w:rsid w:val="085C1850"/>
    <w:rsid w:val="085C18C6"/>
    <w:rsid w:val="085C1AD7"/>
    <w:rsid w:val="085C1B1D"/>
    <w:rsid w:val="085C1B4D"/>
    <w:rsid w:val="085C1BC3"/>
    <w:rsid w:val="085C1BD8"/>
    <w:rsid w:val="085C1BDD"/>
    <w:rsid w:val="085C1C65"/>
    <w:rsid w:val="085C1CB1"/>
    <w:rsid w:val="085C1CC0"/>
    <w:rsid w:val="085C1D0C"/>
    <w:rsid w:val="085C1DAF"/>
    <w:rsid w:val="085C1DE0"/>
    <w:rsid w:val="085C1DE5"/>
    <w:rsid w:val="085C1E14"/>
    <w:rsid w:val="085C1E54"/>
    <w:rsid w:val="085C1E72"/>
    <w:rsid w:val="085C1E73"/>
    <w:rsid w:val="085C1EB0"/>
    <w:rsid w:val="085C1F52"/>
    <w:rsid w:val="085C1FFA"/>
    <w:rsid w:val="085C203D"/>
    <w:rsid w:val="085C20B6"/>
    <w:rsid w:val="085C20E1"/>
    <w:rsid w:val="085C2202"/>
    <w:rsid w:val="085C2249"/>
    <w:rsid w:val="085C226D"/>
    <w:rsid w:val="085C2288"/>
    <w:rsid w:val="085C22AB"/>
    <w:rsid w:val="085C2394"/>
    <w:rsid w:val="085C23C1"/>
    <w:rsid w:val="085C23DF"/>
    <w:rsid w:val="085C2400"/>
    <w:rsid w:val="085C2413"/>
    <w:rsid w:val="085C24DA"/>
    <w:rsid w:val="085C24FB"/>
    <w:rsid w:val="085C252D"/>
    <w:rsid w:val="085C25FF"/>
    <w:rsid w:val="085C2653"/>
    <w:rsid w:val="085C2660"/>
    <w:rsid w:val="085C2838"/>
    <w:rsid w:val="085C2913"/>
    <w:rsid w:val="085C2A48"/>
    <w:rsid w:val="085C2ABB"/>
    <w:rsid w:val="085C2AF0"/>
    <w:rsid w:val="085C2B05"/>
    <w:rsid w:val="085C2B1E"/>
    <w:rsid w:val="085C2B83"/>
    <w:rsid w:val="085C2CF1"/>
    <w:rsid w:val="085C2DB3"/>
    <w:rsid w:val="085C2DB7"/>
    <w:rsid w:val="085C2DF8"/>
    <w:rsid w:val="085C2F0B"/>
    <w:rsid w:val="085C2F34"/>
    <w:rsid w:val="085C302A"/>
    <w:rsid w:val="085C3065"/>
    <w:rsid w:val="085C30AB"/>
    <w:rsid w:val="085C30BE"/>
    <w:rsid w:val="085C31B8"/>
    <w:rsid w:val="085C3229"/>
    <w:rsid w:val="085C3255"/>
    <w:rsid w:val="085C3256"/>
    <w:rsid w:val="085C32AD"/>
    <w:rsid w:val="085C32BE"/>
    <w:rsid w:val="085C32E0"/>
    <w:rsid w:val="085C330E"/>
    <w:rsid w:val="085C3380"/>
    <w:rsid w:val="085C345B"/>
    <w:rsid w:val="085C3464"/>
    <w:rsid w:val="085C3503"/>
    <w:rsid w:val="085C353A"/>
    <w:rsid w:val="085C35D4"/>
    <w:rsid w:val="085C365E"/>
    <w:rsid w:val="085C36C5"/>
    <w:rsid w:val="085C36E8"/>
    <w:rsid w:val="085C36F5"/>
    <w:rsid w:val="085C3788"/>
    <w:rsid w:val="085C3A5A"/>
    <w:rsid w:val="085C3ABC"/>
    <w:rsid w:val="085C3BA3"/>
    <w:rsid w:val="085C3BFA"/>
    <w:rsid w:val="085C3C43"/>
    <w:rsid w:val="085C3CB3"/>
    <w:rsid w:val="085C3CCB"/>
    <w:rsid w:val="085C3DD3"/>
    <w:rsid w:val="085C3DED"/>
    <w:rsid w:val="085C3E3B"/>
    <w:rsid w:val="085C3E53"/>
    <w:rsid w:val="085C3E84"/>
    <w:rsid w:val="085C3FAA"/>
    <w:rsid w:val="085C3FFE"/>
    <w:rsid w:val="085C4026"/>
    <w:rsid w:val="085C40BC"/>
    <w:rsid w:val="085C41FA"/>
    <w:rsid w:val="085C420B"/>
    <w:rsid w:val="085C4330"/>
    <w:rsid w:val="085C4333"/>
    <w:rsid w:val="085C4379"/>
    <w:rsid w:val="085C447D"/>
    <w:rsid w:val="085C44FF"/>
    <w:rsid w:val="085C45BB"/>
    <w:rsid w:val="085C4624"/>
    <w:rsid w:val="085C4671"/>
    <w:rsid w:val="085C47C1"/>
    <w:rsid w:val="085C47C7"/>
    <w:rsid w:val="085C47D2"/>
    <w:rsid w:val="085C47E6"/>
    <w:rsid w:val="085C4A48"/>
    <w:rsid w:val="085C4A65"/>
    <w:rsid w:val="085C4A67"/>
    <w:rsid w:val="085C4A85"/>
    <w:rsid w:val="085C4B00"/>
    <w:rsid w:val="085C4D21"/>
    <w:rsid w:val="085C4DB9"/>
    <w:rsid w:val="085C4DF7"/>
    <w:rsid w:val="085C4E86"/>
    <w:rsid w:val="085C4E87"/>
    <w:rsid w:val="085C4EEA"/>
    <w:rsid w:val="085C5011"/>
    <w:rsid w:val="085C502D"/>
    <w:rsid w:val="085C50A3"/>
    <w:rsid w:val="085C50D2"/>
    <w:rsid w:val="085C5138"/>
    <w:rsid w:val="085C5249"/>
    <w:rsid w:val="085C5261"/>
    <w:rsid w:val="085C5273"/>
    <w:rsid w:val="085C5328"/>
    <w:rsid w:val="085C53E8"/>
    <w:rsid w:val="085C5477"/>
    <w:rsid w:val="085C552A"/>
    <w:rsid w:val="085C55F1"/>
    <w:rsid w:val="085C56D3"/>
    <w:rsid w:val="085C56E3"/>
    <w:rsid w:val="085C584E"/>
    <w:rsid w:val="085C595D"/>
    <w:rsid w:val="085C59D7"/>
    <w:rsid w:val="085C5A24"/>
    <w:rsid w:val="085C5A3C"/>
    <w:rsid w:val="085C5A7D"/>
    <w:rsid w:val="085C5B29"/>
    <w:rsid w:val="085C5BEA"/>
    <w:rsid w:val="085C5C3D"/>
    <w:rsid w:val="085C5C9F"/>
    <w:rsid w:val="085C5D04"/>
    <w:rsid w:val="085C5D41"/>
    <w:rsid w:val="085C5DD5"/>
    <w:rsid w:val="085C5E2E"/>
    <w:rsid w:val="085C5E8E"/>
    <w:rsid w:val="085C5EAE"/>
    <w:rsid w:val="085C5EB3"/>
    <w:rsid w:val="085C5FE7"/>
    <w:rsid w:val="085C6013"/>
    <w:rsid w:val="085C6065"/>
    <w:rsid w:val="085C611F"/>
    <w:rsid w:val="085C6197"/>
    <w:rsid w:val="085C61B6"/>
    <w:rsid w:val="085C61EB"/>
    <w:rsid w:val="085C61F9"/>
    <w:rsid w:val="085C6208"/>
    <w:rsid w:val="085C6320"/>
    <w:rsid w:val="085C6403"/>
    <w:rsid w:val="085C642C"/>
    <w:rsid w:val="085C64EB"/>
    <w:rsid w:val="085C6508"/>
    <w:rsid w:val="085C651A"/>
    <w:rsid w:val="085C656C"/>
    <w:rsid w:val="085C6636"/>
    <w:rsid w:val="085C6641"/>
    <w:rsid w:val="085C66AE"/>
    <w:rsid w:val="085C67A3"/>
    <w:rsid w:val="085C67CA"/>
    <w:rsid w:val="085C67FF"/>
    <w:rsid w:val="085C6A22"/>
    <w:rsid w:val="085C6A44"/>
    <w:rsid w:val="085C6A4D"/>
    <w:rsid w:val="085C6A65"/>
    <w:rsid w:val="085C6B71"/>
    <w:rsid w:val="085C6BB0"/>
    <w:rsid w:val="085C6C58"/>
    <w:rsid w:val="085C6DC2"/>
    <w:rsid w:val="085C6E7E"/>
    <w:rsid w:val="085C6F90"/>
    <w:rsid w:val="085C70EA"/>
    <w:rsid w:val="085C7136"/>
    <w:rsid w:val="085C714A"/>
    <w:rsid w:val="085C71D4"/>
    <w:rsid w:val="085C7214"/>
    <w:rsid w:val="085C72E0"/>
    <w:rsid w:val="085C7321"/>
    <w:rsid w:val="085C739F"/>
    <w:rsid w:val="085C7425"/>
    <w:rsid w:val="085C7479"/>
    <w:rsid w:val="085C74AB"/>
    <w:rsid w:val="085C74E0"/>
    <w:rsid w:val="085C75BE"/>
    <w:rsid w:val="085C7676"/>
    <w:rsid w:val="085C76A7"/>
    <w:rsid w:val="085C76EC"/>
    <w:rsid w:val="085C7732"/>
    <w:rsid w:val="085C783D"/>
    <w:rsid w:val="085C78B7"/>
    <w:rsid w:val="085C78FA"/>
    <w:rsid w:val="085C7941"/>
    <w:rsid w:val="085C7A03"/>
    <w:rsid w:val="085C7B53"/>
    <w:rsid w:val="085C7C05"/>
    <w:rsid w:val="085C7C2C"/>
    <w:rsid w:val="085C7C73"/>
    <w:rsid w:val="085C7D05"/>
    <w:rsid w:val="085C7D3F"/>
    <w:rsid w:val="085C7D5C"/>
    <w:rsid w:val="085C7DE8"/>
    <w:rsid w:val="085C7DF3"/>
    <w:rsid w:val="085C7E13"/>
    <w:rsid w:val="085C7E1E"/>
    <w:rsid w:val="085C7ECC"/>
    <w:rsid w:val="085C7EEF"/>
    <w:rsid w:val="085C7FA5"/>
    <w:rsid w:val="085D0134"/>
    <w:rsid w:val="085D0153"/>
    <w:rsid w:val="085D01C8"/>
    <w:rsid w:val="085D0214"/>
    <w:rsid w:val="085D0215"/>
    <w:rsid w:val="085D022E"/>
    <w:rsid w:val="085D0330"/>
    <w:rsid w:val="085D0359"/>
    <w:rsid w:val="085D03AC"/>
    <w:rsid w:val="085D04AA"/>
    <w:rsid w:val="085D04D3"/>
    <w:rsid w:val="085D05FF"/>
    <w:rsid w:val="085D0636"/>
    <w:rsid w:val="085D06BA"/>
    <w:rsid w:val="085D06E6"/>
    <w:rsid w:val="085D08BE"/>
    <w:rsid w:val="085D08F3"/>
    <w:rsid w:val="085D0994"/>
    <w:rsid w:val="085D09F5"/>
    <w:rsid w:val="085D0A83"/>
    <w:rsid w:val="085D0C29"/>
    <w:rsid w:val="085D0C69"/>
    <w:rsid w:val="085D0C7E"/>
    <w:rsid w:val="085D0CAB"/>
    <w:rsid w:val="085D0CB0"/>
    <w:rsid w:val="085D0D49"/>
    <w:rsid w:val="085D0DC2"/>
    <w:rsid w:val="085D0E0E"/>
    <w:rsid w:val="085D0E65"/>
    <w:rsid w:val="085D0E9C"/>
    <w:rsid w:val="085D0F27"/>
    <w:rsid w:val="085D0F4A"/>
    <w:rsid w:val="085D0FA2"/>
    <w:rsid w:val="085D1041"/>
    <w:rsid w:val="085D1063"/>
    <w:rsid w:val="085D10C6"/>
    <w:rsid w:val="085D110E"/>
    <w:rsid w:val="085D1129"/>
    <w:rsid w:val="085D1175"/>
    <w:rsid w:val="085D1176"/>
    <w:rsid w:val="085D1178"/>
    <w:rsid w:val="085D11B9"/>
    <w:rsid w:val="085D11EA"/>
    <w:rsid w:val="085D12BB"/>
    <w:rsid w:val="085D13CB"/>
    <w:rsid w:val="085D13E2"/>
    <w:rsid w:val="085D1404"/>
    <w:rsid w:val="085D1473"/>
    <w:rsid w:val="085D14B6"/>
    <w:rsid w:val="085D14C0"/>
    <w:rsid w:val="085D1512"/>
    <w:rsid w:val="085D15A4"/>
    <w:rsid w:val="085D15BA"/>
    <w:rsid w:val="085D1665"/>
    <w:rsid w:val="085D1694"/>
    <w:rsid w:val="085D16C4"/>
    <w:rsid w:val="085D1726"/>
    <w:rsid w:val="085D1765"/>
    <w:rsid w:val="085D1775"/>
    <w:rsid w:val="085D17D6"/>
    <w:rsid w:val="085D1848"/>
    <w:rsid w:val="085D18C5"/>
    <w:rsid w:val="085D18C8"/>
    <w:rsid w:val="085D18DE"/>
    <w:rsid w:val="085D1BCC"/>
    <w:rsid w:val="085D1C40"/>
    <w:rsid w:val="085D1C6F"/>
    <w:rsid w:val="085D1D78"/>
    <w:rsid w:val="085D1DC0"/>
    <w:rsid w:val="085D1F7C"/>
    <w:rsid w:val="085D20A3"/>
    <w:rsid w:val="085D21F5"/>
    <w:rsid w:val="085D2209"/>
    <w:rsid w:val="085D22FC"/>
    <w:rsid w:val="085D2378"/>
    <w:rsid w:val="085D23DA"/>
    <w:rsid w:val="085D23E2"/>
    <w:rsid w:val="085D2492"/>
    <w:rsid w:val="085D24EE"/>
    <w:rsid w:val="085D253D"/>
    <w:rsid w:val="085D256B"/>
    <w:rsid w:val="085D2582"/>
    <w:rsid w:val="085D26D5"/>
    <w:rsid w:val="085D284B"/>
    <w:rsid w:val="085D2990"/>
    <w:rsid w:val="085D29B9"/>
    <w:rsid w:val="085D29FA"/>
    <w:rsid w:val="085D2A72"/>
    <w:rsid w:val="085D2AB4"/>
    <w:rsid w:val="085D2AD2"/>
    <w:rsid w:val="085D2B5F"/>
    <w:rsid w:val="085D2BC9"/>
    <w:rsid w:val="085D2C3E"/>
    <w:rsid w:val="085D2C4A"/>
    <w:rsid w:val="085D2C70"/>
    <w:rsid w:val="085D2D56"/>
    <w:rsid w:val="085D2D8B"/>
    <w:rsid w:val="085D2D99"/>
    <w:rsid w:val="085D2EAD"/>
    <w:rsid w:val="085D2ECB"/>
    <w:rsid w:val="085D2EF8"/>
    <w:rsid w:val="085D2F8F"/>
    <w:rsid w:val="085D300C"/>
    <w:rsid w:val="085D3031"/>
    <w:rsid w:val="085D307D"/>
    <w:rsid w:val="085D314C"/>
    <w:rsid w:val="085D314F"/>
    <w:rsid w:val="085D31C3"/>
    <w:rsid w:val="085D31FB"/>
    <w:rsid w:val="085D3200"/>
    <w:rsid w:val="085D327E"/>
    <w:rsid w:val="085D32CB"/>
    <w:rsid w:val="085D332C"/>
    <w:rsid w:val="085D335E"/>
    <w:rsid w:val="085D33E2"/>
    <w:rsid w:val="085D3481"/>
    <w:rsid w:val="085D34EF"/>
    <w:rsid w:val="085D3691"/>
    <w:rsid w:val="085D372C"/>
    <w:rsid w:val="085D3733"/>
    <w:rsid w:val="085D377E"/>
    <w:rsid w:val="085D37E1"/>
    <w:rsid w:val="085D37F3"/>
    <w:rsid w:val="085D3854"/>
    <w:rsid w:val="085D3924"/>
    <w:rsid w:val="085D39B6"/>
    <w:rsid w:val="085D3BFC"/>
    <w:rsid w:val="085D3C2D"/>
    <w:rsid w:val="085D3C32"/>
    <w:rsid w:val="085D3D13"/>
    <w:rsid w:val="085D3E4E"/>
    <w:rsid w:val="085D3E80"/>
    <w:rsid w:val="085D3EA9"/>
    <w:rsid w:val="085D3ED4"/>
    <w:rsid w:val="085D413A"/>
    <w:rsid w:val="085D4171"/>
    <w:rsid w:val="085D41DE"/>
    <w:rsid w:val="085D4205"/>
    <w:rsid w:val="085D42B4"/>
    <w:rsid w:val="085D42DE"/>
    <w:rsid w:val="085D4335"/>
    <w:rsid w:val="085D433B"/>
    <w:rsid w:val="085D4343"/>
    <w:rsid w:val="085D4347"/>
    <w:rsid w:val="085D4352"/>
    <w:rsid w:val="085D443E"/>
    <w:rsid w:val="085D4469"/>
    <w:rsid w:val="085D44A1"/>
    <w:rsid w:val="085D44B5"/>
    <w:rsid w:val="085D451A"/>
    <w:rsid w:val="085D4560"/>
    <w:rsid w:val="085D45C3"/>
    <w:rsid w:val="085D4610"/>
    <w:rsid w:val="085D4611"/>
    <w:rsid w:val="085D48BB"/>
    <w:rsid w:val="085D48E2"/>
    <w:rsid w:val="085D492B"/>
    <w:rsid w:val="085D4979"/>
    <w:rsid w:val="085D4999"/>
    <w:rsid w:val="085D4ABB"/>
    <w:rsid w:val="085D4AD2"/>
    <w:rsid w:val="085D4B58"/>
    <w:rsid w:val="085D4B7D"/>
    <w:rsid w:val="085D4BA1"/>
    <w:rsid w:val="085D4C9E"/>
    <w:rsid w:val="085D4CFB"/>
    <w:rsid w:val="085D4D96"/>
    <w:rsid w:val="085D4DE0"/>
    <w:rsid w:val="085D4E38"/>
    <w:rsid w:val="085D4F54"/>
    <w:rsid w:val="085D4FC5"/>
    <w:rsid w:val="085D5016"/>
    <w:rsid w:val="085D501A"/>
    <w:rsid w:val="085D50B1"/>
    <w:rsid w:val="085D50DA"/>
    <w:rsid w:val="085D51E3"/>
    <w:rsid w:val="085D52DF"/>
    <w:rsid w:val="085D52F4"/>
    <w:rsid w:val="085D5444"/>
    <w:rsid w:val="085D54F1"/>
    <w:rsid w:val="085D5526"/>
    <w:rsid w:val="085D55DD"/>
    <w:rsid w:val="085D564F"/>
    <w:rsid w:val="085D566D"/>
    <w:rsid w:val="085D569B"/>
    <w:rsid w:val="085D571B"/>
    <w:rsid w:val="085D57AD"/>
    <w:rsid w:val="085D584D"/>
    <w:rsid w:val="085D58B8"/>
    <w:rsid w:val="085D58BE"/>
    <w:rsid w:val="085D590A"/>
    <w:rsid w:val="085D5939"/>
    <w:rsid w:val="085D5A4B"/>
    <w:rsid w:val="085D5A7F"/>
    <w:rsid w:val="085D5A94"/>
    <w:rsid w:val="085D5BCC"/>
    <w:rsid w:val="085D5BF3"/>
    <w:rsid w:val="085D5BF5"/>
    <w:rsid w:val="085D5C47"/>
    <w:rsid w:val="085D5C67"/>
    <w:rsid w:val="085D5C9B"/>
    <w:rsid w:val="085D5CE9"/>
    <w:rsid w:val="085D5D1C"/>
    <w:rsid w:val="085D5E21"/>
    <w:rsid w:val="085D5E2E"/>
    <w:rsid w:val="085D5F26"/>
    <w:rsid w:val="085D5F8E"/>
    <w:rsid w:val="085D5FA9"/>
    <w:rsid w:val="085D601B"/>
    <w:rsid w:val="085D60F3"/>
    <w:rsid w:val="085D6174"/>
    <w:rsid w:val="085D61DF"/>
    <w:rsid w:val="085D62CA"/>
    <w:rsid w:val="085D62CB"/>
    <w:rsid w:val="085D6354"/>
    <w:rsid w:val="085D6391"/>
    <w:rsid w:val="085D6408"/>
    <w:rsid w:val="085D6422"/>
    <w:rsid w:val="085D6447"/>
    <w:rsid w:val="085D6448"/>
    <w:rsid w:val="085D647F"/>
    <w:rsid w:val="085D64C5"/>
    <w:rsid w:val="085D65B6"/>
    <w:rsid w:val="085D65E0"/>
    <w:rsid w:val="085D660A"/>
    <w:rsid w:val="085D66D9"/>
    <w:rsid w:val="085D6715"/>
    <w:rsid w:val="085D67FB"/>
    <w:rsid w:val="085D689C"/>
    <w:rsid w:val="085D68DD"/>
    <w:rsid w:val="085D6954"/>
    <w:rsid w:val="085D695F"/>
    <w:rsid w:val="085D69A1"/>
    <w:rsid w:val="085D6A8B"/>
    <w:rsid w:val="085D6AB7"/>
    <w:rsid w:val="085D6BAD"/>
    <w:rsid w:val="085D6BCA"/>
    <w:rsid w:val="085D6BD2"/>
    <w:rsid w:val="085D6C45"/>
    <w:rsid w:val="085D6CB9"/>
    <w:rsid w:val="085D6CF1"/>
    <w:rsid w:val="085D6D10"/>
    <w:rsid w:val="085D6E0D"/>
    <w:rsid w:val="085D6F10"/>
    <w:rsid w:val="085D6F40"/>
    <w:rsid w:val="085D6F83"/>
    <w:rsid w:val="085D6FBE"/>
    <w:rsid w:val="085D7069"/>
    <w:rsid w:val="085D709F"/>
    <w:rsid w:val="085D7221"/>
    <w:rsid w:val="085D7255"/>
    <w:rsid w:val="085D729C"/>
    <w:rsid w:val="085D72E7"/>
    <w:rsid w:val="085D738D"/>
    <w:rsid w:val="085D73E2"/>
    <w:rsid w:val="085D744C"/>
    <w:rsid w:val="085D74A0"/>
    <w:rsid w:val="085D74F4"/>
    <w:rsid w:val="085D7587"/>
    <w:rsid w:val="085D75C6"/>
    <w:rsid w:val="085D7714"/>
    <w:rsid w:val="085D7858"/>
    <w:rsid w:val="085D78AC"/>
    <w:rsid w:val="085D7900"/>
    <w:rsid w:val="085D7A04"/>
    <w:rsid w:val="085D7A19"/>
    <w:rsid w:val="085D7AC2"/>
    <w:rsid w:val="085D7B58"/>
    <w:rsid w:val="085D7CF1"/>
    <w:rsid w:val="085D7D2A"/>
    <w:rsid w:val="085D7D5B"/>
    <w:rsid w:val="085D7DF9"/>
    <w:rsid w:val="085D7E26"/>
    <w:rsid w:val="085D7E62"/>
    <w:rsid w:val="085D7EFF"/>
    <w:rsid w:val="085D7F5A"/>
    <w:rsid w:val="085D7F66"/>
    <w:rsid w:val="085D7F9D"/>
    <w:rsid w:val="085E0013"/>
    <w:rsid w:val="085E012F"/>
    <w:rsid w:val="085E0195"/>
    <w:rsid w:val="085E01C7"/>
    <w:rsid w:val="085E027B"/>
    <w:rsid w:val="085E02E3"/>
    <w:rsid w:val="085E02EB"/>
    <w:rsid w:val="085E032D"/>
    <w:rsid w:val="085E036C"/>
    <w:rsid w:val="085E0429"/>
    <w:rsid w:val="085E0635"/>
    <w:rsid w:val="085E0653"/>
    <w:rsid w:val="085E07BD"/>
    <w:rsid w:val="085E08E5"/>
    <w:rsid w:val="085E0904"/>
    <w:rsid w:val="085E0934"/>
    <w:rsid w:val="085E0A2F"/>
    <w:rsid w:val="085E0C66"/>
    <w:rsid w:val="085E0CBF"/>
    <w:rsid w:val="085E0CD3"/>
    <w:rsid w:val="085E0D26"/>
    <w:rsid w:val="085E0D48"/>
    <w:rsid w:val="085E0D8D"/>
    <w:rsid w:val="085E0D8F"/>
    <w:rsid w:val="085E0E5F"/>
    <w:rsid w:val="085E0F6E"/>
    <w:rsid w:val="085E0FC6"/>
    <w:rsid w:val="085E0FE0"/>
    <w:rsid w:val="085E0FEE"/>
    <w:rsid w:val="085E101C"/>
    <w:rsid w:val="085E1035"/>
    <w:rsid w:val="085E1158"/>
    <w:rsid w:val="085E1194"/>
    <w:rsid w:val="085E1263"/>
    <w:rsid w:val="085E12DF"/>
    <w:rsid w:val="085E1312"/>
    <w:rsid w:val="085E1339"/>
    <w:rsid w:val="085E1429"/>
    <w:rsid w:val="085E149D"/>
    <w:rsid w:val="085E14DB"/>
    <w:rsid w:val="085E14FD"/>
    <w:rsid w:val="085E1556"/>
    <w:rsid w:val="085E15B6"/>
    <w:rsid w:val="085E15CD"/>
    <w:rsid w:val="085E165D"/>
    <w:rsid w:val="085E1672"/>
    <w:rsid w:val="085E1740"/>
    <w:rsid w:val="085E17E7"/>
    <w:rsid w:val="085E185C"/>
    <w:rsid w:val="085E18B3"/>
    <w:rsid w:val="085E18E0"/>
    <w:rsid w:val="085E1903"/>
    <w:rsid w:val="085E194A"/>
    <w:rsid w:val="085E19D0"/>
    <w:rsid w:val="085E1A1C"/>
    <w:rsid w:val="085E1AEA"/>
    <w:rsid w:val="085E1C34"/>
    <w:rsid w:val="085E1C36"/>
    <w:rsid w:val="085E1C6F"/>
    <w:rsid w:val="085E1C89"/>
    <w:rsid w:val="085E1CBF"/>
    <w:rsid w:val="085E1D52"/>
    <w:rsid w:val="085E1DA0"/>
    <w:rsid w:val="085E1E2C"/>
    <w:rsid w:val="085E1E55"/>
    <w:rsid w:val="085E1FA6"/>
    <w:rsid w:val="085E20CB"/>
    <w:rsid w:val="085E20D2"/>
    <w:rsid w:val="085E217F"/>
    <w:rsid w:val="085E21B9"/>
    <w:rsid w:val="085E2277"/>
    <w:rsid w:val="085E2297"/>
    <w:rsid w:val="085E22F6"/>
    <w:rsid w:val="085E22FC"/>
    <w:rsid w:val="085E2337"/>
    <w:rsid w:val="085E236D"/>
    <w:rsid w:val="085E2438"/>
    <w:rsid w:val="085E24F8"/>
    <w:rsid w:val="085E251B"/>
    <w:rsid w:val="085E2543"/>
    <w:rsid w:val="085E25B3"/>
    <w:rsid w:val="085E25E8"/>
    <w:rsid w:val="085E25EF"/>
    <w:rsid w:val="085E265B"/>
    <w:rsid w:val="085E266C"/>
    <w:rsid w:val="085E2686"/>
    <w:rsid w:val="085E26B0"/>
    <w:rsid w:val="085E273A"/>
    <w:rsid w:val="085E2755"/>
    <w:rsid w:val="085E2878"/>
    <w:rsid w:val="085E2884"/>
    <w:rsid w:val="085E28C5"/>
    <w:rsid w:val="085E2A06"/>
    <w:rsid w:val="085E2A3E"/>
    <w:rsid w:val="085E2AAF"/>
    <w:rsid w:val="085E2AED"/>
    <w:rsid w:val="085E2AFE"/>
    <w:rsid w:val="085E2B53"/>
    <w:rsid w:val="085E2BD4"/>
    <w:rsid w:val="085E2C3F"/>
    <w:rsid w:val="085E2C4C"/>
    <w:rsid w:val="085E2C6B"/>
    <w:rsid w:val="085E2D1A"/>
    <w:rsid w:val="085E2DB9"/>
    <w:rsid w:val="085E2E5E"/>
    <w:rsid w:val="085E2E8C"/>
    <w:rsid w:val="085E2EEF"/>
    <w:rsid w:val="085E3122"/>
    <w:rsid w:val="085E315B"/>
    <w:rsid w:val="085E3198"/>
    <w:rsid w:val="085E3215"/>
    <w:rsid w:val="085E325F"/>
    <w:rsid w:val="085E326E"/>
    <w:rsid w:val="085E3285"/>
    <w:rsid w:val="085E32BA"/>
    <w:rsid w:val="085E32F4"/>
    <w:rsid w:val="085E336F"/>
    <w:rsid w:val="085E33DC"/>
    <w:rsid w:val="085E33E1"/>
    <w:rsid w:val="085E33EB"/>
    <w:rsid w:val="085E34F5"/>
    <w:rsid w:val="085E37B3"/>
    <w:rsid w:val="085E37BD"/>
    <w:rsid w:val="085E37FA"/>
    <w:rsid w:val="085E384E"/>
    <w:rsid w:val="085E3B61"/>
    <w:rsid w:val="085E3B65"/>
    <w:rsid w:val="085E3C19"/>
    <w:rsid w:val="085E3C6C"/>
    <w:rsid w:val="085E3C71"/>
    <w:rsid w:val="085E3C98"/>
    <w:rsid w:val="085E3CD7"/>
    <w:rsid w:val="085E3E28"/>
    <w:rsid w:val="085E3E60"/>
    <w:rsid w:val="085E3EA7"/>
    <w:rsid w:val="085E3F6D"/>
    <w:rsid w:val="085E3F73"/>
    <w:rsid w:val="085E4028"/>
    <w:rsid w:val="085E4030"/>
    <w:rsid w:val="085E4108"/>
    <w:rsid w:val="085E41F5"/>
    <w:rsid w:val="085E4291"/>
    <w:rsid w:val="085E42C6"/>
    <w:rsid w:val="085E4349"/>
    <w:rsid w:val="085E43DC"/>
    <w:rsid w:val="085E44A2"/>
    <w:rsid w:val="085E455D"/>
    <w:rsid w:val="085E458C"/>
    <w:rsid w:val="085E4603"/>
    <w:rsid w:val="085E4646"/>
    <w:rsid w:val="085E4658"/>
    <w:rsid w:val="085E46D7"/>
    <w:rsid w:val="085E46FA"/>
    <w:rsid w:val="085E4740"/>
    <w:rsid w:val="085E4805"/>
    <w:rsid w:val="085E4829"/>
    <w:rsid w:val="085E48A1"/>
    <w:rsid w:val="085E491E"/>
    <w:rsid w:val="085E4956"/>
    <w:rsid w:val="085E4980"/>
    <w:rsid w:val="085E4982"/>
    <w:rsid w:val="085E4A2D"/>
    <w:rsid w:val="085E4AAB"/>
    <w:rsid w:val="085E4B11"/>
    <w:rsid w:val="085E4B5B"/>
    <w:rsid w:val="085E4C43"/>
    <w:rsid w:val="085E4D02"/>
    <w:rsid w:val="085E4D21"/>
    <w:rsid w:val="085E4DDB"/>
    <w:rsid w:val="085E4DF1"/>
    <w:rsid w:val="085E4E9D"/>
    <w:rsid w:val="085E4EAF"/>
    <w:rsid w:val="085E4EE8"/>
    <w:rsid w:val="085E4F30"/>
    <w:rsid w:val="085E4F55"/>
    <w:rsid w:val="085E5074"/>
    <w:rsid w:val="085E5084"/>
    <w:rsid w:val="085E5185"/>
    <w:rsid w:val="085E51A0"/>
    <w:rsid w:val="085E51DD"/>
    <w:rsid w:val="085E5288"/>
    <w:rsid w:val="085E52BB"/>
    <w:rsid w:val="085E53B4"/>
    <w:rsid w:val="085E53C2"/>
    <w:rsid w:val="085E53D9"/>
    <w:rsid w:val="085E5496"/>
    <w:rsid w:val="085E54AE"/>
    <w:rsid w:val="085E54DA"/>
    <w:rsid w:val="085E5701"/>
    <w:rsid w:val="085E5756"/>
    <w:rsid w:val="085E57BE"/>
    <w:rsid w:val="085E5804"/>
    <w:rsid w:val="085E5872"/>
    <w:rsid w:val="085E5964"/>
    <w:rsid w:val="085E5981"/>
    <w:rsid w:val="085E59B1"/>
    <w:rsid w:val="085E59BF"/>
    <w:rsid w:val="085E5AFC"/>
    <w:rsid w:val="085E5B4A"/>
    <w:rsid w:val="085E5C16"/>
    <w:rsid w:val="085E5D43"/>
    <w:rsid w:val="085E5DC7"/>
    <w:rsid w:val="085E5E40"/>
    <w:rsid w:val="085E5E41"/>
    <w:rsid w:val="085E5EEA"/>
    <w:rsid w:val="085E5FC8"/>
    <w:rsid w:val="085E61A9"/>
    <w:rsid w:val="085E61F2"/>
    <w:rsid w:val="085E6255"/>
    <w:rsid w:val="085E62A9"/>
    <w:rsid w:val="085E634B"/>
    <w:rsid w:val="085E636A"/>
    <w:rsid w:val="085E636D"/>
    <w:rsid w:val="085E638B"/>
    <w:rsid w:val="085E6394"/>
    <w:rsid w:val="085E6429"/>
    <w:rsid w:val="085E64E6"/>
    <w:rsid w:val="085E6540"/>
    <w:rsid w:val="085E6578"/>
    <w:rsid w:val="085E65AB"/>
    <w:rsid w:val="085E6663"/>
    <w:rsid w:val="085E6700"/>
    <w:rsid w:val="085E6719"/>
    <w:rsid w:val="085E6738"/>
    <w:rsid w:val="085E6781"/>
    <w:rsid w:val="085E67EF"/>
    <w:rsid w:val="085E6863"/>
    <w:rsid w:val="085E6980"/>
    <w:rsid w:val="085E6A68"/>
    <w:rsid w:val="085E6A95"/>
    <w:rsid w:val="085E6BBF"/>
    <w:rsid w:val="085E6D1B"/>
    <w:rsid w:val="085E6D99"/>
    <w:rsid w:val="085E6D9B"/>
    <w:rsid w:val="085E6E6B"/>
    <w:rsid w:val="085E6EEE"/>
    <w:rsid w:val="085E6F38"/>
    <w:rsid w:val="085E6F3A"/>
    <w:rsid w:val="085E6F6C"/>
    <w:rsid w:val="085E701D"/>
    <w:rsid w:val="085E7021"/>
    <w:rsid w:val="085E7122"/>
    <w:rsid w:val="085E71EA"/>
    <w:rsid w:val="085E727E"/>
    <w:rsid w:val="085E72B2"/>
    <w:rsid w:val="085E72E0"/>
    <w:rsid w:val="085E73B2"/>
    <w:rsid w:val="085E73FC"/>
    <w:rsid w:val="085E74E8"/>
    <w:rsid w:val="085E750D"/>
    <w:rsid w:val="085E7573"/>
    <w:rsid w:val="085E75C1"/>
    <w:rsid w:val="085E7704"/>
    <w:rsid w:val="085E7815"/>
    <w:rsid w:val="085E7886"/>
    <w:rsid w:val="085E79CC"/>
    <w:rsid w:val="085E7A31"/>
    <w:rsid w:val="085E7A34"/>
    <w:rsid w:val="085E7A94"/>
    <w:rsid w:val="085E7B32"/>
    <w:rsid w:val="085E7C5C"/>
    <w:rsid w:val="085E7CA5"/>
    <w:rsid w:val="085E7CB7"/>
    <w:rsid w:val="085E7CEC"/>
    <w:rsid w:val="085E7D3E"/>
    <w:rsid w:val="085E7DD4"/>
    <w:rsid w:val="085E7E1A"/>
    <w:rsid w:val="085E7E9C"/>
    <w:rsid w:val="085E7F8B"/>
    <w:rsid w:val="085E7FCD"/>
    <w:rsid w:val="085E7FF5"/>
    <w:rsid w:val="085F0175"/>
    <w:rsid w:val="085F01CD"/>
    <w:rsid w:val="085F0200"/>
    <w:rsid w:val="085F0264"/>
    <w:rsid w:val="085F0270"/>
    <w:rsid w:val="085F02C1"/>
    <w:rsid w:val="085F02E2"/>
    <w:rsid w:val="085F02F4"/>
    <w:rsid w:val="085F0339"/>
    <w:rsid w:val="085F0366"/>
    <w:rsid w:val="085F0426"/>
    <w:rsid w:val="085F0454"/>
    <w:rsid w:val="085F049C"/>
    <w:rsid w:val="085F04BD"/>
    <w:rsid w:val="085F0525"/>
    <w:rsid w:val="085F0554"/>
    <w:rsid w:val="085F0675"/>
    <w:rsid w:val="085F0693"/>
    <w:rsid w:val="085F07BA"/>
    <w:rsid w:val="085F07BF"/>
    <w:rsid w:val="085F08CF"/>
    <w:rsid w:val="085F08D9"/>
    <w:rsid w:val="085F091F"/>
    <w:rsid w:val="085F0965"/>
    <w:rsid w:val="085F09C8"/>
    <w:rsid w:val="085F09E8"/>
    <w:rsid w:val="085F0C70"/>
    <w:rsid w:val="085F0C97"/>
    <w:rsid w:val="085F0CED"/>
    <w:rsid w:val="085F0D8F"/>
    <w:rsid w:val="085F0D99"/>
    <w:rsid w:val="085F0DDA"/>
    <w:rsid w:val="085F0E1C"/>
    <w:rsid w:val="085F0E3C"/>
    <w:rsid w:val="085F0F71"/>
    <w:rsid w:val="085F0FBA"/>
    <w:rsid w:val="085F106C"/>
    <w:rsid w:val="085F10A1"/>
    <w:rsid w:val="085F10BC"/>
    <w:rsid w:val="085F10C0"/>
    <w:rsid w:val="085F10D3"/>
    <w:rsid w:val="085F113F"/>
    <w:rsid w:val="085F1215"/>
    <w:rsid w:val="085F12B0"/>
    <w:rsid w:val="085F1313"/>
    <w:rsid w:val="085F1374"/>
    <w:rsid w:val="085F13CD"/>
    <w:rsid w:val="085F145B"/>
    <w:rsid w:val="085F146F"/>
    <w:rsid w:val="085F14E3"/>
    <w:rsid w:val="085F1568"/>
    <w:rsid w:val="085F1596"/>
    <w:rsid w:val="085F159C"/>
    <w:rsid w:val="085F15DE"/>
    <w:rsid w:val="085F1669"/>
    <w:rsid w:val="085F167E"/>
    <w:rsid w:val="085F16DB"/>
    <w:rsid w:val="085F1851"/>
    <w:rsid w:val="085F18C5"/>
    <w:rsid w:val="085F18FA"/>
    <w:rsid w:val="085F191C"/>
    <w:rsid w:val="085F198D"/>
    <w:rsid w:val="085F1A68"/>
    <w:rsid w:val="085F1C4D"/>
    <w:rsid w:val="085F1CDE"/>
    <w:rsid w:val="085F1DF3"/>
    <w:rsid w:val="085F1E25"/>
    <w:rsid w:val="085F1E6C"/>
    <w:rsid w:val="085F1E83"/>
    <w:rsid w:val="085F211C"/>
    <w:rsid w:val="085F2212"/>
    <w:rsid w:val="085F223A"/>
    <w:rsid w:val="085F2392"/>
    <w:rsid w:val="085F23F7"/>
    <w:rsid w:val="085F2407"/>
    <w:rsid w:val="085F2420"/>
    <w:rsid w:val="085F2436"/>
    <w:rsid w:val="085F2470"/>
    <w:rsid w:val="085F2491"/>
    <w:rsid w:val="085F24CF"/>
    <w:rsid w:val="085F255A"/>
    <w:rsid w:val="085F261E"/>
    <w:rsid w:val="085F2697"/>
    <w:rsid w:val="085F269E"/>
    <w:rsid w:val="085F26A0"/>
    <w:rsid w:val="085F2760"/>
    <w:rsid w:val="085F280D"/>
    <w:rsid w:val="085F291A"/>
    <w:rsid w:val="085F29A1"/>
    <w:rsid w:val="085F29DD"/>
    <w:rsid w:val="085F2AD1"/>
    <w:rsid w:val="085F2B07"/>
    <w:rsid w:val="085F2C42"/>
    <w:rsid w:val="085F2D0A"/>
    <w:rsid w:val="085F2D1A"/>
    <w:rsid w:val="085F2DB8"/>
    <w:rsid w:val="085F2E07"/>
    <w:rsid w:val="085F2E91"/>
    <w:rsid w:val="085F2EC0"/>
    <w:rsid w:val="085F2F15"/>
    <w:rsid w:val="085F2F89"/>
    <w:rsid w:val="085F2FA2"/>
    <w:rsid w:val="085F312B"/>
    <w:rsid w:val="085F3151"/>
    <w:rsid w:val="085F3155"/>
    <w:rsid w:val="085F31F8"/>
    <w:rsid w:val="085F322C"/>
    <w:rsid w:val="085F32D6"/>
    <w:rsid w:val="085F32E8"/>
    <w:rsid w:val="085F32FC"/>
    <w:rsid w:val="085F32FD"/>
    <w:rsid w:val="085F3358"/>
    <w:rsid w:val="085F33A9"/>
    <w:rsid w:val="085F33E5"/>
    <w:rsid w:val="085F3459"/>
    <w:rsid w:val="085F34C9"/>
    <w:rsid w:val="085F35F1"/>
    <w:rsid w:val="085F3608"/>
    <w:rsid w:val="085F36F0"/>
    <w:rsid w:val="085F36FD"/>
    <w:rsid w:val="085F371A"/>
    <w:rsid w:val="085F3768"/>
    <w:rsid w:val="085F37A1"/>
    <w:rsid w:val="085F37AC"/>
    <w:rsid w:val="085F381D"/>
    <w:rsid w:val="085F3890"/>
    <w:rsid w:val="085F38D7"/>
    <w:rsid w:val="085F3986"/>
    <w:rsid w:val="085F3A51"/>
    <w:rsid w:val="085F3A99"/>
    <w:rsid w:val="085F3AFF"/>
    <w:rsid w:val="085F3B1A"/>
    <w:rsid w:val="085F3BBA"/>
    <w:rsid w:val="085F3C54"/>
    <w:rsid w:val="085F3D99"/>
    <w:rsid w:val="085F3E87"/>
    <w:rsid w:val="085F3EA4"/>
    <w:rsid w:val="085F3F66"/>
    <w:rsid w:val="085F3FF1"/>
    <w:rsid w:val="085F4124"/>
    <w:rsid w:val="085F423C"/>
    <w:rsid w:val="085F4249"/>
    <w:rsid w:val="085F42DF"/>
    <w:rsid w:val="085F4370"/>
    <w:rsid w:val="085F44A1"/>
    <w:rsid w:val="085F4532"/>
    <w:rsid w:val="085F45B7"/>
    <w:rsid w:val="085F46A9"/>
    <w:rsid w:val="085F47F4"/>
    <w:rsid w:val="085F47FD"/>
    <w:rsid w:val="085F481B"/>
    <w:rsid w:val="085F482B"/>
    <w:rsid w:val="085F4840"/>
    <w:rsid w:val="085F48D0"/>
    <w:rsid w:val="085F492E"/>
    <w:rsid w:val="085F49B9"/>
    <w:rsid w:val="085F4AB7"/>
    <w:rsid w:val="085F4B85"/>
    <w:rsid w:val="085F4E57"/>
    <w:rsid w:val="085F4EC8"/>
    <w:rsid w:val="085F4F86"/>
    <w:rsid w:val="085F4FB5"/>
    <w:rsid w:val="085F4FDD"/>
    <w:rsid w:val="085F5039"/>
    <w:rsid w:val="085F5064"/>
    <w:rsid w:val="085F5124"/>
    <w:rsid w:val="085F5198"/>
    <w:rsid w:val="085F51D5"/>
    <w:rsid w:val="085F51EC"/>
    <w:rsid w:val="085F521B"/>
    <w:rsid w:val="085F5260"/>
    <w:rsid w:val="085F52D2"/>
    <w:rsid w:val="085F540F"/>
    <w:rsid w:val="085F5448"/>
    <w:rsid w:val="085F544E"/>
    <w:rsid w:val="085F547E"/>
    <w:rsid w:val="085F54AB"/>
    <w:rsid w:val="085F54D3"/>
    <w:rsid w:val="085F5578"/>
    <w:rsid w:val="085F5592"/>
    <w:rsid w:val="085F5624"/>
    <w:rsid w:val="085F5642"/>
    <w:rsid w:val="085F5655"/>
    <w:rsid w:val="085F5660"/>
    <w:rsid w:val="085F5696"/>
    <w:rsid w:val="085F56C6"/>
    <w:rsid w:val="085F56D8"/>
    <w:rsid w:val="085F5747"/>
    <w:rsid w:val="085F57D6"/>
    <w:rsid w:val="085F57FF"/>
    <w:rsid w:val="085F5841"/>
    <w:rsid w:val="085F58AE"/>
    <w:rsid w:val="085F58FF"/>
    <w:rsid w:val="085F5946"/>
    <w:rsid w:val="085F5A05"/>
    <w:rsid w:val="085F5A5B"/>
    <w:rsid w:val="085F5AE9"/>
    <w:rsid w:val="085F5AEC"/>
    <w:rsid w:val="085F5B34"/>
    <w:rsid w:val="085F5B4F"/>
    <w:rsid w:val="085F5BA4"/>
    <w:rsid w:val="085F5C26"/>
    <w:rsid w:val="085F5CA3"/>
    <w:rsid w:val="085F5D3A"/>
    <w:rsid w:val="085F5DAD"/>
    <w:rsid w:val="085F5DC3"/>
    <w:rsid w:val="085F5DE9"/>
    <w:rsid w:val="085F5E68"/>
    <w:rsid w:val="085F5E74"/>
    <w:rsid w:val="085F5EF5"/>
    <w:rsid w:val="085F5EF6"/>
    <w:rsid w:val="085F5F9D"/>
    <w:rsid w:val="085F5FBC"/>
    <w:rsid w:val="085F5FC4"/>
    <w:rsid w:val="085F6027"/>
    <w:rsid w:val="085F60D3"/>
    <w:rsid w:val="085F60D7"/>
    <w:rsid w:val="085F613C"/>
    <w:rsid w:val="085F621F"/>
    <w:rsid w:val="085F6296"/>
    <w:rsid w:val="085F62EA"/>
    <w:rsid w:val="085F62EC"/>
    <w:rsid w:val="085F634C"/>
    <w:rsid w:val="085F63C2"/>
    <w:rsid w:val="085F63E4"/>
    <w:rsid w:val="085F6470"/>
    <w:rsid w:val="085F648B"/>
    <w:rsid w:val="085F64BD"/>
    <w:rsid w:val="085F6529"/>
    <w:rsid w:val="085F65DD"/>
    <w:rsid w:val="085F65ED"/>
    <w:rsid w:val="085F6608"/>
    <w:rsid w:val="085F6624"/>
    <w:rsid w:val="085F6661"/>
    <w:rsid w:val="085F668F"/>
    <w:rsid w:val="085F6842"/>
    <w:rsid w:val="085F68F3"/>
    <w:rsid w:val="085F6974"/>
    <w:rsid w:val="085F69A9"/>
    <w:rsid w:val="085F69E3"/>
    <w:rsid w:val="085F6AA2"/>
    <w:rsid w:val="085F6AC8"/>
    <w:rsid w:val="085F6ADF"/>
    <w:rsid w:val="085F6B28"/>
    <w:rsid w:val="085F6B5B"/>
    <w:rsid w:val="085F6BBF"/>
    <w:rsid w:val="085F6BC7"/>
    <w:rsid w:val="085F6BC9"/>
    <w:rsid w:val="085F6BFF"/>
    <w:rsid w:val="085F6CA8"/>
    <w:rsid w:val="085F6D08"/>
    <w:rsid w:val="085F6DC6"/>
    <w:rsid w:val="085F6FC7"/>
    <w:rsid w:val="085F6FD5"/>
    <w:rsid w:val="085F701B"/>
    <w:rsid w:val="085F70D4"/>
    <w:rsid w:val="085F70F0"/>
    <w:rsid w:val="085F7171"/>
    <w:rsid w:val="085F71B7"/>
    <w:rsid w:val="085F71F4"/>
    <w:rsid w:val="085F724C"/>
    <w:rsid w:val="085F7292"/>
    <w:rsid w:val="085F72A2"/>
    <w:rsid w:val="085F72B6"/>
    <w:rsid w:val="085F7367"/>
    <w:rsid w:val="085F73A2"/>
    <w:rsid w:val="085F74BD"/>
    <w:rsid w:val="085F756B"/>
    <w:rsid w:val="085F75C9"/>
    <w:rsid w:val="085F75FB"/>
    <w:rsid w:val="085F767C"/>
    <w:rsid w:val="085F7738"/>
    <w:rsid w:val="085F77BD"/>
    <w:rsid w:val="085F781B"/>
    <w:rsid w:val="085F7835"/>
    <w:rsid w:val="085F7860"/>
    <w:rsid w:val="085F7923"/>
    <w:rsid w:val="085F7940"/>
    <w:rsid w:val="085F7A10"/>
    <w:rsid w:val="085F7A18"/>
    <w:rsid w:val="085F7A71"/>
    <w:rsid w:val="085F7AFA"/>
    <w:rsid w:val="085F7C5F"/>
    <w:rsid w:val="085F7EA0"/>
    <w:rsid w:val="085F7EAD"/>
    <w:rsid w:val="085F7F30"/>
    <w:rsid w:val="086001AE"/>
    <w:rsid w:val="0860023D"/>
    <w:rsid w:val="0860025B"/>
    <w:rsid w:val="0860029C"/>
    <w:rsid w:val="086002AE"/>
    <w:rsid w:val="086002EF"/>
    <w:rsid w:val="086003C1"/>
    <w:rsid w:val="086004C0"/>
    <w:rsid w:val="08600559"/>
    <w:rsid w:val="0860058C"/>
    <w:rsid w:val="086005AF"/>
    <w:rsid w:val="08600605"/>
    <w:rsid w:val="08600692"/>
    <w:rsid w:val="086007E3"/>
    <w:rsid w:val="086009F8"/>
    <w:rsid w:val="08600AD7"/>
    <w:rsid w:val="08600B2A"/>
    <w:rsid w:val="08600BA2"/>
    <w:rsid w:val="08600BA6"/>
    <w:rsid w:val="08600BB3"/>
    <w:rsid w:val="08600C54"/>
    <w:rsid w:val="08600C97"/>
    <w:rsid w:val="08600CFF"/>
    <w:rsid w:val="08600D5B"/>
    <w:rsid w:val="08600D84"/>
    <w:rsid w:val="08600DD2"/>
    <w:rsid w:val="08600E7C"/>
    <w:rsid w:val="08600F5B"/>
    <w:rsid w:val="08600F64"/>
    <w:rsid w:val="08600F6C"/>
    <w:rsid w:val="08600F7A"/>
    <w:rsid w:val="0860102E"/>
    <w:rsid w:val="08601087"/>
    <w:rsid w:val="086010F5"/>
    <w:rsid w:val="08601164"/>
    <w:rsid w:val="086011AB"/>
    <w:rsid w:val="0860121E"/>
    <w:rsid w:val="08601249"/>
    <w:rsid w:val="08601365"/>
    <w:rsid w:val="086013A5"/>
    <w:rsid w:val="086013FF"/>
    <w:rsid w:val="086014A5"/>
    <w:rsid w:val="0860152A"/>
    <w:rsid w:val="086016C0"/>
    <w:rsid w:val="086016DB"/>
    <w:rsid w:val="08601807"/>
    <w:rsid w:val="08601808"/>
    <w:rsid w:val="0860186C"/>
    <w:rsid w:val="08601897"/>
    <w:rsid w:val="086018D2"/>
    <w:rsid w:val="0860196E"/>
    <w:rsid w:val="086019C0"/>
    <w:rsid w:val="08601A8D"/>
    <w:rsid w:val="08601AC3"/>
    <w:rsid w:val="08601ACC"/>
    <w:rsid w:val="08601B40"/>
    <w:rsid w:val="08601BA8"/>
    <w:rsid w:val="08601CC8"/>
    <w:rsid w:val="08601D8F"/>
    <w:rsid w:val="08601DB8"/>
    <w:rsid w:val="08601E3A"/>
    <w:rsid w:val="08601E76"/>
    <w:rsid w:val="08601E89"/>
    <w:rsid w:val="08601EFE"/>
    <w:rsid w:val="08601F46"/>
    <w:rsid w:val="08601FAE"/>
    <w:rsid w:val="08602021"/>
    <w:rsid w:val="08602088"/>
    <w:rsid w:val="086020CB"/>
    <w:rsid w:val="086020D3"/>
    <w:rsid w:val="0860214D"/>
    <w:rsid w:val="086021AA"/>
    <w:rsid w:val="08602203"/>
    <w:rsid w:val="08602246"/>
    <w:rsid w:val="0860224C"/>
    <w:rsid w:val="08602265"/>
    <w:rsid w:val="08602298"/>
    <w:rsid w:val="0860235D"/>
    <w:rsid w:val="0860241C"/>
    <w:rsid w:val="08602524"/>
    <w:rsid w:val="08602588"/>
    <w:rsid w:val="086025AC"/>
    <w:rsid w:val="086025E4"/>
    <w:rsid w:val="0860260B"/>
    <w:rsid w:val="08602668"/>
    <w:rsid w:val="0860277C"/>
    <w:rsid w:val="086027C9"/>
    <w:rsid w:val="0860282C"/>
    <w:rsid w:val="086028A2"/>
    <w:rsid w:val="08602AE6"/>
    <w:rsid w:val="08602B57"/>
    <w:rsid w:val="08602BA8"/>
    <w:rsid w:val="08602BB5"/>
    <w:rsid w:val="08602CD3"/>
    <w:rsid w:val="08602CDA"/>
    <w:rsid w:val="08602D91"/>
    <w:rsid w:val="08602DC6"/>
    <w:rsid w:val="08602DFC"/>
    <w:rsid w:val="08602E2E"/>
    <w:rsid w:val="08602EC2"/>
    <w:rsid w:val="08602F7A"/>
    <w:rsid w:val="08602FA0"/>
    <w:rsid w:val="0860310D"/>
    <w:rsid w:val="08603149"/>
    <w:rsid w:val="0860318B"/>
    <w:rsid w:val="086031CC"/>
    <w:rsid w:val="0860329E"/>
    <w:rsid w:val="086032AD"/>
    <w:rsid w:val="08603366"/>
    <w:rsid w:val="0860339E"/>
    <w:rsid w:val="0860341F"/>
    <w:rsid w:val="086034A8"/>
    <w:rsid w:val="086034B1"/>
    <w:rsid w:val="086035A4"/>
    <w:rsid w:val="086035ED"/>
    <w:rsid w:val="08603652"/>
    <w:rsid w:val="08603653"/>
    <w:rsid w:val="0860367E"/>
    <w:rsid w:val="086036ED"/>
    <w:rsid w:val="0860376D"/>
    <w:rsid w:val="0860380C"/>
    <w:rsid w:val="08603842"/>
    <w:rsid w:val="0860388F"/>
    <w:rsid w:val="08603891"/>
    <w:rsid w:val="086038EE"/>
    <w:rsid w:val="08603967"/>
    <w:rsid w:val="086039B4"/>
    <w:rsid w:val="086039CC"/>
    <w:rsid w:val="086039F4"/>
    <w:rsid w:val="08603AE0"/>
    <w:rsid w:val="08603B03"/>
    <w:rsid w:val="08603B5B"/>
    <w:rsid w:val="08603C5E"/>
    <w:rsid w:val="08603D91"/>
    <w:rsid w:val="08603DEA"/>
    <w:rsid w:val="08603E0C"/>
    <w:rsid w:val="08603E43"/>
    <w:rsid w:val="08603F31"/>
    <w:rsid w:val="08603F61"/>
    <w:rsid w:val="0860410D"/>
    <w:rsid w:val="086041A2"/>
    <w:rsid w:val="086041E9"/>
    <w:rsid w:val="0860422B"/>
    <w:rsid w:val="08604280"/>
    <w:rsid w:val="086042AF"/>
    <w:rsid w:val="086044F2"/>
    <w:rsid w:val="086044F8"/>
    <w:rsid w:val="08604518"/>
    <w:rsid w:val="0860463F"/>
    <w:rsid w:val="0860472D"/>
    <w:rsid w:val="086047D1"/>
    <w:rsid w:val="08604823"/>
    <w:rsid w:val="08604987"/>
    <w:rsid w:val="08604AB5"/>
    <w:rsid w:val="08604ADE"/>
    <w:rsid w:val="08604AEB"/>
    <w:rsid w:val="08604BD9"/>
    <w:rsid w:val="08604C1D"/>
    <w:rsid w:val="08604C25"/>
    <w:rsid w:val="08604CA6"/>
    <w:rsid w:val="08604D54"/>
    <w:rsid w:val="08604DB0"/>
    <w:rsid w:val="08604E29"/>
    <w:rsid w:val="08604E6E"/>
    <w:rsid w:val="08604EBB"/>
    <w:rsid w:val="08604ECF"/>
    <w:rsid w:val="08604F05"/>
    <w:rsid w:val="08605024"/>
    <w:rsid w:val="08605033"/>
    <w:rsid w:val="0860504B"/>
    <w:rsid w:val="086050F0"/>
    <w:rsid w:val="0860519E"/>
    <w:rsid w:val="086051FE"/>
    <w:rsid w:val="08605224"/>
    <w:rsid w:val="0860528F"/>
    <w:rsid w:val="08605360"/>
    <w:rsid w:val="086053A1"/>
    <w:rsid w:val="086053D6"/>
    <w:rsid w:val="086054AC"/>
    <w:rsid w:val="0860556A"/>
    <w:rsid w:val="08605659"/>
    <w:rsid w:val="08605780"/>
    <w:rsid w:val="086057A6"/>
    <w:rsid w:val="086057FB"/>
    <w:rsid w:val="08605811"/>
    <w:rsid w:val="08605892"/>
    <w:rsid w:val="0860595D"/>
    <w:rsid w:val="08605987"/>
    <w:rsid w:val="0860599B"/>
    <w:rsid w:val="08605A88"/>
    <w:rsid w:val="08605A8C"/>
    <w:rsid w:val="08605C64"/>
    <w:rsid w:val="08605C7E"/>
    <w:rsid w:val="08605CFA"/>
    <w:rsid w:val="08605D09"/>
    <w:rsid w:val="08605D56"/>
    <w:rsid w:val="08605D5A"/>
    <w:rsid w:val="08605E2C"/>
    <w:rsid w:val="08605F6B"/>
    <w:rsid w:val="08605FDA"/>
    <w:rsid w:val="08605FEF"/>
    <w:rsid w:val="08605FF2"/>
    <w:rsid w:val="0860604C"/>
    <w:rsid w:val="086060C3"/>
    <w:rsid w:val="0860610F"/>
    <w:rsid w:val="0860612B"/>
    <w:rsid w:val="0860618C"/>
    <w:rsid w:val="08606296"/>
    <w:rsid w:val="0860643B"/>
    <w:rsid w:val="0860658C"/>
    <w:rsid w:val="086065A8"/>
    <w:rsid w:val="086065E2"/>
    <w:rsid w:val="08606665"/>
    <w:rsid w:val="08606701"/>
    <w:rsid w:val="086067AE"/>
    <w:rsid w:val="086067EB"/>
    <w:rsid w:val="08606884"/>
    <w:rsid w:val="08606A6F"/>
    <w:rsid w:val="08606AB3"/>
    <w:rsid w:val="08606ACC"/>
    <w:rsid w:val="08606C57"/>
    <w:rsid w:val="08606C6F"/>
    <w:rsid w:val="08606C74"/>
    <w:rsid w:val="08606CBE"/>
    <w:rsid w:val="08606CFD"/>
    <w:rsid w:val="08606D85"/>
    <w:rsid w:val="08606DBE"/>
    <w:rsid w:val="08606DF5"/>
    <w:rsid w:val="08606E0E"/>
    <w:rsid w:val="08606E26"/>
    <w:rsid w:val="08606E58"/>
    <w:rsid w:val="08606F16"/>
    <w:rsid w:val="08606F99"/>
    <w:rsid w:val="08607002"/>
    <w:rsid w:val="08607022"/>
    <w:rsid w:val="086070B0"/>
    <w:rsid w:val="08607116"/>
    <w:rsid w:val="0860714F"/>
    <w:rsid w:val="0860716A"/>
    <w:rsid w:val="086071E1"/>
    <w:rsid w:val="08607219"/>
    <w:rsid w:val="086072F6"/>
    <w:rsid w:val="0860733C"/>
    <w:rsid w:val="08607381"/>
    <w:rsid w:val="08607480"/>
    <w:rsid w:val="086074D1"/>
    <w:rsid w:val="086074D3"/>
    <w:rsid w:val="086075B7"/>
    <w:rsid w:val="08607607"/>
    <w:rsid w:val="0860760F"/>
    <w:rsid w:val="08607695"/>
    <w:rsid w:val="0860769F"/>
    <w:rsid w:val="086076EE"/>
    <w:rsid w:val="0860776C"/>
    <w:rsid w:val="08607855"/>
    <w:rsid w:val="08607870"/>
    <w:rsid w:val="08607908"/>
    <w:rsid w:val="086079D4"/>
    <w:rsid w:val="086079EE"/>
    <w:rsid w:val="08607AD4"/>
    <w:rsid w:val="08607B93"/>
    <w:rsid w:val="08607BC4"/>
    <w:rsid w:val="08607D0B"/>
    <w:rsid w:val="08607EDC"/>
    <w:rsid w:val="08607F6F"/>
    <w:rsid w:val="08610057"/>
    <w:rsid w:val="08610093"/>
    <w:rsid w:val="08610119"/>
    <w:rsid w:val="0861012F"/>
    <w:rsid w:val="08610301"/>
    <w:rsid w:val="0861038B"/>
    <w:rsid w:val="086103BF"/>
    <w:rsid w:val="0861044F"/>
    <w:rsid w:val="08610451"/>
    <w:rsid w:val="08610490"/>
    <w:rsid w:val="08610495"/>
    <w:rsid w:val="0861054B"/>
    <w:rsid w:val="08610592"/>
    <w:rsid w:val="086105C2"/>
    <w:rsid w:val="08610756"/>
    <w:rsid w:val="0861087A"/>
    <w:rsid w:val="086109F2"/>
    <w:rsid w:val="08610AD1"/>
    <w:rsid w:val="08610AE9"/>
    <w:rsid w:val="08610B48"/>
    <w:rsid w:val="08610B5D"/>
    <w:rsid w:val="08610B6A"/>
    <w:rsid w:val="08610B88"/>
    <w:rsid w:val="08610C62"/>
    <w:rsid w:val="08610CF9"/>
    <w:rsid w:val="08610D29"/>
    <w:rsid w:val="08610D5F"/>
    <w:rsid w:val="08610D64"/>
    <w:rsid w:val="08610D92"/>
    <w:rsid w:val="08610DCB"/>
    <w:rsid w:val="08610ED1"/>
    <w:rsid w:val="08610F15"/>
    <w:rsid w:val="08610F21"/>
    <w:rsid w:val="08610F69"/>
    <w:rsid w:val="08611045"/>
    <w:rsid w:val="0861106C"/>
    <w:rsid w:val="086110CA"/>
    <w:rsid w:val="086110D9"/>
    <w:rsid w:val="086110E5"/>
    <w:rsid w:val="0861118D"/>
    <w:rsid w:val="086111D2"/>
    <w:rsid w:val="08611253"/>
    <w:rsid w:val="08611259"/>
    <w:rsid w:val="086112DD"/>
    <w:rsid w:val="0861139E"/>
    <w:rsid w:val="086114D9"/>
    <w:rsid w:val="08611503"/>
    <w:rsid w:val="08611624"/>
    <w:rsid w:val="08611649"/>
    <w:rsid w:val="086116A3"/>
    <w:rsid w:val="0861177C"/>
    <w:rsid w:val="08611782"/>
    <w:rsid w:val="086117E7"/>
    <w:rsid w:val="08611838"/>
    <w:rsid w:val="0861185C"/>
    <w:rsid w:val="086118EE"/>
    <w:rsid w:val="086118FC"/>
    <w:rsid w:val="086119C3"/>
    <w:rsid w:val="086119C8"/>
    <w:rsid w:val="08611A53"/>
    <w:rsid w:val="08611AD2"/>
    <w:rsid w:val="08611B29"/>
    <w:rsid w:val="08611C39"/>
    <w:rsid w:val="08611D09"/>
    <w:rsid w:val="08611EB4"/>
    <w:rsid w:val="08611EBA"/>
    <w:rsid w:val="08611ECE"/>
    <w:rsid w:val="08611F07"/>
    <w:rsid w:val="08611F14"/>
    <w:rsid w:val="08611F21"/>
    <w:rsid w:val="08611F3F"/>
    <w:rsid w:val="0861220E"/>
    <w:rsid w:val="086122C1"/>
    <w:rsid w:val="08612322"/>
    <w:rsid w:val="0861239A"/>
    <w:rsid w:val="08612401"/>
    <w:rsid w:val="08612526"/>
    <w:rsid w:val="0861253C"/>
    <w:rsid w:val="0861259C"/>
    <w:rsid w:val="086126A7"/>
    <w:rsid w:val="086126AE"/>
    <w:rsid w:val="086127CB"/>
    <w:rsid w:val="0861298B"/>
    <w:rsid w:val="086129DE"/>
    <w:rsid w:val="08612A07"/>
    <w:rsid w:val="08612A46"/>
    <w:rsid w:val="08612A76"/>
    <w:rsid w:val="08612A95"/>
    <w:rsid w:val="08612AA6"/>
    <w:rsid w:val="08612AC2"/>
    <w:rsid w:val="08612B20"/>
    <w:rsid w:val="08612B7C"/>
    <w:rsid w:val="08612BDB"/>
    <w:rsid w:val="08612C60"/>
    <w:rsid w:val="08612C98"/>
    <w:rsid w:val="08612D36"/>
    <w:rsid w:val="08612D66"/>
    <w:rsid w:val="08612E6D"/>
    <w:rsid w:val="08612E98"/>
    <w:rsid w:val="08612ED6"/>
    <w:rsid w:val="08612F55"/>
    <w:rsid w:val="08612F77"/>
    <w:rsid w:val="08612FF8"/>
    <w:rsid w:val="086131BB"/>
    <w:rsid w:val="08613226"/>
    <w:rsid w:val="08613447"/>
    <w:rsid w:val="08613464"/>
    <w:rsid w:val="08613547"/>
    <w:rsid w:val="086136CC"/>
    <w:rsid w:val="08613712"/>
    <w:rsid w:val="0861371A"/>
    <w:rsid w:val="086137D3"/>
    <w:rsid w:val="086137FE"/>
    <w:rsid w:val="0861393E"/>
    <w:rsid w:val="0861397C"/>
    <w:rsid w:val="08613A33"/>
    <w:rsid w:val="08613B81"/>
    <w:rsid w:val="08613B87"/>
    <w:rsid w:val="08613BCF"/>
    <w:rsid w:val="08613C0A"/>
    <w:rsid w:val="08613C16"/>
    <w:rsid w:val="08613C44"/>
    <w:rsid w:val="08613C5F"/>
    <w:rsid w:val="08613D63"/>
    <w:rsid w:val="08613D64"/>
    <w:rsid w:val="08613D83"/>
    <w:rsid w:val="08613D9E"/>
    <w:rsid w:val="08613E02"/>
    <w:rsid w:val="08613E34"/>
    <w:rsid w:val="08613E4C"/>
    <w:rsid w:val="08613E87"/>
    <w:rsid w:val="08613E8F"/>
    <w:rsid w:val="08613EB1"/>
    <w:rsid w:val="08613EBF"/>
    <w:rsid w:val="08613F64"/>
    <w:rsid w:val="08613F8B"/>
    <w:rsid w:val="08613FA9"/>
    <w:rsid w:val="08613FC6"/>
    <w:rsid w:val="08613FFC"/>
    <w:rsid w:val="08614040"/>
    <w:rsid w:val="08614122"/>
    <w:rsid w:val="08614161"/>
    <w:rsid w:val="0861418C"/>
    <w:rsid w:val="08614344"/>
    <w:rsid w:val="0861439E"/>
    <w:rsid w:val="086143EA"/>
    <w:rsid w:val="0861441E"/>
    <w:rsid w:val="08614473"/>
    <w:rsid w:val="0861479B"/>
    <w:rsid w:val="086147B5"/>
    <w:rsid w:val="0861482C"/>
    <w:rsid w:val="08614970"/>
    <w:rsid w:val="086149C7"/>
    <w:rsid w:val="08614A7B"/>
    <w:rsid w:val="08614AFA"/>
    <w:rsid w:val="08614B37"/>
    <w:rsid w:val="08614B3B"/>
    <w:rsid w:val="08614C0C"/>
    <w:rsid w:val="08614C60"/>
    <w:rsid w:val="08614C69"/>
    <w:rsid w:val="08614E44"/>
    <w:rsid w:val="08614E5A"/>
    <w:rsid w:val="08614F4E"/>
    <w:rsid w:val="08615058"/>
    <w:rsid w:val="0861506C"/>
    <w:rsid w:val="08615095"/>
    <w:rsid w:val="086151BE"/>
    <w:rsid w:val="086151E6"/>
    <w:rsid w:val="086151EB"/>
    <w:rsid w:val="08615247"/>
    <w:rsid w:val="086152D9"/>
    <w:rsid w:val="08615305"/>
    <w:rsid w:val="0861533B"/>
    <w:rsid w:val="08615355"/>
    <w:rsid w:val="08615370"/>
    <w:rsid w:val="08615413"/>
    <w:rsid w:val="086154BE"/>
    <w:rsid w:val="086155AB"/>
    <w:rsid w:val="086155F2"/>
    <w:rsid w:val="086156A5"/>
    <w:rsid w:val="0861571C"/>
    <w:rsid w:val="0861575F"/>
    <w:rsid w:val="086157AF"/>
    <w:rsid w:val="08615A7D"/>
    <w:rsid w:val="08615A9E"/>
    <w:rsid w:val="08615B90"/>
    <w:rsid w:val="08615BF4"/>
    <w:rsid w:val="08615C8B"/>
    <w:rsid w:val="08615C92"/>
    <w:rsid w:val="08615D68"/>
    <w:rsid w:val="08615E0C"/>
    <w:rsid w:val="08615E15"/>
    <w:rsid w:val="08615EC0"/>
    <w:rsid w:val="08615F64"/>
    <w:rsid w:val="08615F6D"/>
    <w:rsid w:val="08616081"/>
    <w:rsid w:val="086160E6"/>
    <w:rsid w:val="08616143"/>
    <w:rsid w:val="0861614D"/>
    <w:rsid w:val="0861622D"/>
    <w:rsid w:val="0861628C"/>
    <w:rsid w:val="086162E6"/>
    <w:rsid w:val="08616438"/>
    <w:rsid w:val="08616484"/>
    <w:rsid w:val="086164A0"/>
    <w:rsid w:val="086164E4"/>
    <w:rsid w:val="08616647"/>
    <w:rsid w:val="086166B0"/>
    <w:rsid w:val="08616703"/>
    <w:rsid w:val="086167F1"/>
    <w:rsid w:val="0861683F"/>
    <w:rsid w:val="08616891"/>
    <w:rsid w:val="086168BF"/>
    <w:rsid w:val="0861692F"/>
    <w:rsid w:val="08616948"/>
    <w:rsid w:val="08616966"/>
    <w:rsid w:val="08616988"/>
    <w:rsid w:val="086169B3"/>
    <w:rsid w:val="086169D7"/>
    <w:rsid w:val="08616B0E"/>
    <w:rsid w:val="08616B68"/>
    <w:rsid w:val="08616B6A"/>
    <w:rsid w:val="08616C14"/>
    <w:rsid w:val="08616C51"/>
    <w:rsid w:val="08616D11"/>
    <w:rsid w:val="08616E7B"/>
    <w:rsid w:val="08616F2E"/>
    <w:rsid w:val="08616F47"/>
    <w:rsid w:val="08616F77"/>
    <w:rsid w:val="08617089"/>
    <w:rsid w:val="086170AF"/>
    <w:rsid w:val="086171A0"/>
    <w:rsid w:val="08617275"/>
    <w:rsid w:val="086172DB"/>
    <w:rsid w:val="08617321"/>
    <w:rsid w:val="08617336"/>
    <w:rsid w:val="08617445"/>
    <w:rsid w:val="0861754D"/>
    <w:rsid w:val="08617565"/>
    <w:rsid w:val="086175CC"/>
    <w:rsid w:val="08617795"/>
    <w:rsid w:val="086177B1"/>
    <w:rsid w:val="086177EB"/>
    <w:rsid w:val="08617818"/>
    <w:rsid w:val="086178C8"/>
    <w:rsid w:val="086178F0"/>
    <w:rsid w:val="086178F7"/>
    <w:rsid w:val="08617910"/>
    <w:rsid w:val="08617987"/>
    <w:rsid w:val="08617A1E"/>
    <w:rsid w:val="08617A6D"/>
    <w:rsid w:val="08617A7C"/>
    <w:rsid w:val="08617A89"/>
    <w:rsid w:val="08617B66"/>
    <w:rsid w:val="08617C49"/>
    <w:rsid w:val="08617C50"/>
    <w:rsid w:val="08617C5C"/>
    <w:rsid w:val="08617C78"/>
    <w:rsid w:val="08617D7D"/>
    <w:rsid w:val="08617DDC"/>
    <w:rsid w:val="08620050"/>
    <w:rsid w:val="08620069"/>
    <w:rsid w:val="086200ED"/>
    <w:rsid w:val="0862014D"/>
    <w:rsid w:val="08620171"/>
    <w:rsid w:val="086201BC"/>
    <w:rsid w:val="086201D4"/>
    <w:rsid w:val="0862040A"/>
    <w:rsid w:val="0862045C"/>
    <w:rsid w:val="08620495"/>
    <w:rsid w:val="086204CF"/>
    <w:rsid w:val="08620605"/>
    <w:rsid w:val="0862071C"/>
    <w:rsid w:val="08620724"/>
    <w:rsid w:val="0862075E"/>
    <w:rsid w:val="08620905"/>
    <w:rsid w:val="08620930"/>
    <w:rsid w:val="0862096C"/>
    <w:rsid w:val="086209A8"/>
    <w:rsid w:val="086209B8"/>
    <w:rsid w:val="08620AAE"/>
    <w:rsid w:val="08620C2B"/>
    <w:rsid w:val="08620C42"/>
    <w:rsid w:val="08620C8C"/>
    <w:rsid w:val="08620CD1"/>
    <w:rsid w:val="08620DB0"/>
    <w:rsid w:val="08620E1A"/>
    <w:rsid w:val="08620F50"/>
    <w:rsid w:val="08620F64"/>
    <w:rsid w:val="0862106F"/>
    <w:rsid w:val="0862112B"/>
    <w:rsid w:val="0862113F"/>
    <w:rsid w:val="08621191"/>
    <w:rsid w:val="086211A6"/>
    <w:rsid w:val="086211C8"/>
    <w:rsid w:val="0862122B"/>
    <w:rsid w:val="0862132B"/>
    <w:rsid w:val="08621414"/>
    <w:rsid w:val="0862146A"/>
    <w:rsid w:val="086214BC"/>
    <w:rsid w:val="08621584"/>
    <w:rsid w:val="0862162F"/>
    <w:rsid w:val="0862166A"/>
    <w:rsid w:val="08621714"/>
    <w:rsid w:val="08621727"/>
    <w:rsid w:val="08621774"/>
    <w:rsid w:val="0862178F"/>
    <w:rsid w:val="086217A2"/>
    <w:rsid w:val="086218A7"/>
    <w:rsid w:val="086219D0"/>
    <w:rsid w:val="086219F2"/>
    <w:rsid w:val="086219FA"/>
    <w:rsid w:val="08621A7D"/>
    <w:rsid w:val="08621AD2"/>
    <w:rsid w:val="08621AD6"/>
    <w:rsid w:val="08621BAE"/>
    <w:rsid w:val="08621BF1"/>
    <w:rsid w:val="08621C19"/>
    <w:rsid w:val="08621CA0"/>
    <w:rsid w:val="08621DFF"/>
    <w:rsid w:val="08621E87"/>
    <w:rsid w:val="08621E9E"/>
    <w:rsid w:val="08621EB3"/>
    <w:rsid w:val="08621EB6"/>
    <w:rsid w:val="08621F48"/>
    <w:rsid w:val="08621F53"/>
    <w:rsid w:val="08621F7F"/>
    <w:rsid w:val="08621FA0"/>
    <w:rsid w:val="08621FA6"/>
    <w:rsid w:val="08621FD3"/>
    <w:rsid w:val="0862200E"/>
    <w:rsid w:val="08622186"/>
    <w:rsid w:val="08622190"/>
    <w:rsid w:val="08622214"/>
    <w:rsid w:val="08622263"/>
    <w:rsid w:val="0862228F"/>
    <w:rsid w:val="086222B8"/>
    <w:rsid w:val="0862231F"/>
    <w:rsid w:val="08622406"/>
    <w:rsid w:val="0862241C"/>
    <w:rsid w:val="08622427"/>
    <w:rsid w:val="08622431"/>
    <w:rsid w:val="08622446"/>
    <w:rsid w:val="086224C3"/>
    <w:rsid w:val="0862258D"/>
    <w:rsid w:val="086225AD"/>
    <w:rsid w:val="086226BF"/>
    <w:rsid w:val="086226D6"/>
    <w:rsid w:val="0862272B"/>
    <w:rsid w:val="08622791"/>
    <w:rsid w:val="086228BF"/>
    <w:rsid w:val="086229E2"/>
    <w:rsid w:val="086229E8"/>
    <w:rsid w:val="08622AD3"/>
    <w:rsid w:val="08622B2C"/>
    <w:rsid w:val="08622BE7"/>
    <w:rsid w:val="08622C88"/>
    <w:rsid w:val="08622D7B"/>
    <w:rsid w:val="08622E40"/>
    <w:rsid w:val="08622E64"/>
    <w:rsid w:val="08622FAC"/>
    <w:rsid w:val="08622FE3"/>
    <w:rsid w:val="0862308E"/>
    <w:rsid w:val="0862311E"/>
    <w:rsid w:val="08623170"/>
    <w:rsid w:val="08623213"/>
    <w:rsid w:val="086232A4"/>
    <w:rsid w:val="086232B2"/>
    <w:rsid w:val="08623326"/>
    <w:rsid w:val="0862332A"/>
    <w:rsid w:val="08623337"/>
    <w:rsid w:val="08623369"/>
    <w:rsid w:val="0862336B"/>
    <w:rsid w:val="086233F0"/>
    <w:rsid w:val="08623445"/>
    <w:rsid w:val="08623461"/>
    <w:rsid w:val="08623532"/>
    <w:rsid w:val="08623545"/>
    <w:rsid w:val="08623571"/>
    <w:rsid w:val="086235FE"/>
    <w:rsid w:val="08623636"/>
    <w:rsid w:val="08623666"/>
    <w:rsid w:val="086236C9"/>
    <w:rsid w:val="08623709"/>
    <w:rsid w:val="08623770"/>
    <w:rsid w:val="08623773"/>
    <w:rsid w:val="0862379F"/>
    <w:rsid w:val="08623885"/>
    <w:rsid w:val="086238F2"/>
    <w:rsid w:val="08623931"/>
    <w:rsid w:val="086239AC"/>
    <w:rsid w:val="08623A00"/>
    <w:rsid w:val="08623A62"/>
    <w:rsid w:val="08623B42"/>
    <w:rsid w:val="08623BEE"/>
    <w:rsid w:val="08623C6C"/>
    <w:rsid w:val="08623C75"/>
    <w:rsid w:val="08623CD2"/>
    <w:rsid w:val="08623CD5"/>
    <w:rsid w:val="08623CE8"/>
    <w:rsid w:val="08623D00"/>
    <w:rsid w:val="08623D5E"/>
    <w:rsid w:val="08623EA8"/>
    <w:rsid w:val="0862406A"/>
    <w:rsid w:val="086240BF"/>
    <w:rsid w:val="086240C9"/>
    <w:rsid w:val="086240D3"/>
    <w:rsid w:val="086243D2"/>
    <w:rsid w:val="086243EA"/>
    <w:rsid w:val="08624414"/>
    <w:rsid w:val="0862446F"/>
    <w:rsid w:val="086244C1"/>
    <w:rsid w:val="08624552"/>
    <w:rsid w:val="0862456D"/>
    <w:rsid w:val="086245B2"/>
    <w:rsid w:val="086245DB"/>
    <w:rsid w:val="08624755"/>
    <w:rsid w:val="086247D1"/>
    <w:rsid w:val="0862486F"/>
    <w:rsid w:val="08624974"/>
    <w:rsid w:val="086249E8"/>
    <w:rsid w:val="08624A6E"/>
    <w:rsid w:val="08624AA0"/>
    <w:rsid w:val="08624AEF"/>
    <w:rsid w:val="08624BFD"/>
    <w:rsid w:val="08624D27"/>
    <w:rsid w:val="08624D3D"/>
    <w:rsid w:val="08624D86"/>
    <w:rsid w:val="08624DE6"/>
    <w:rsid w:val="08624E27"/>
    <w:rsid w:val="08624EC4"/>
    <w:rsid w:val="08624EF1"/>
    <w:rsid w:val="08624EFA"/>
    <w:rsid w:val="08624F80"/>
    <w:rsid w:val="0862507F"/>
    <w:rsid w:val="086250A2"/>
    <w:rsid w:val="086250FA"/>
    <w:rsid w:val="0862515D"/>
    <w:rsid w:val="08625167"/>
    <w:rsid w:val="08625179"/>
    <w:rsid w:val="0862518A"/>
    <w:rsid w:val="0862525E"/>
    <w:rsid w:val="0862533B"/>
    <w:rsid w:val="08625391"/>
    <w:rsid w:val="086253E9"/>
    <w:rsid w:val="086253F8"/>
    <w:rsid w:val="0862545F"/>
    <w:rsid w:val="086255C7"/>
    <w:rsid w:val="0862561F"/>
    <w:rsid w:val="0862563D"/>
    <w:rsid w:val="08625647"/>
    <w:rsid w:val="08625757"/>
    <w:rsid w:val="08625829"/>
    <w:rsid w:val="08625892"/>
    <w:rsid w:val="08625936"/>
    <w:rsid w:val="086259A9"/>
    <w:rsid w:val="08625A01"/>
    <w:rsid w:val="08625A2B"/>
    <w:rsid w:val="08625A78"/>
    <w:rsid w:val="08625AB4"/>
    <w:rsid w:val="08625BA1"/>
    <w:rsid w:val="08625C7F"/>
    <w:rsid w:val="08625CC4"/>
    <w:rsid w:val="08625E40"/>
    <w:rsid w:val="08625E8F"/>
    <w:rsid w:val="086260A4"/>
    <w:rsid w:val="08626147"/>
    <w:rsid w:val="0862630B"/>
    <w:rsid w:val="0862647A"/>
    <w:rsid w:val="086265BF"/>
    <w:rsid w:val="086265F2"/>
    <w:rsid w:val="08626627"/>
    <w:rsid w:val="086266B5"/>
    <w:rsid w:val="086266F3"/>
    <w:rsid w:val="08626711"/>
    <w:rsid w:val="0862680C"/>
    <w:rsid w:val="08626827"/>
    <w:rsid w:val="0862688E"/>
    <w:rsid w:val="08626896"/>
    <w:rsid w:val="086268D7"/>
    <w:rsid w:val="086268EE"/>
    <w:rsid w:val="08626918"/>
    <w:rsid w:val="08626946"/>
    <w:rsid w:val="08626A3C"/>
    <w:rsid w:val="08626BCF"/>
    <w:rsid w:val="08626BE7"/>
    <w:rsid w:val="08626C70"/>
    <w:rsid w:val="08626C95"/>
    <w:rsid w:val="08626CC0"/>
    <w:rsid w:val="08626D82"/>
    <w:rsid w:val="08626D89"/>
    <w:rsid w:val="08626DD2"/>
    <w:rsid w:val="08626E44"/>
    <w:rsid w:val="08626E54"/>
    <w:rsid w:val="08626E9F"/>
    <w:rsid w:val="08626ED1"/>
    <w:rsid w:val="08626F2C"/>
    <w:rsid w:val="0862704D"/>
    <w:rsid w:val="08627081"/>
    <w:rsid w:val="086271F7"/>
    <w:rsid w:val="08627202"/>
    <w:rsid w:val="086272AD"/>
    <w:rsid w:val="086272FE"/>
    <w:rsid w:val="08627353"/>
    <w:rsid w:val="08627368"/>
    <w:rsid w:val="08627398"/>
    <w:rsid w:val="086273F7"/>
    <w:rsid w:val="08627468"/>
    <w:rsid w:val="0862747C"/>
    <w:rsid w:val="0862750A"/>
    <w:rsid w:val="0862750D"/>
    <w:rsid w:val="08627560"/>
    <w:rsid w:val="08627583"/>
    <w:rsid w:val="08627606"/>
    <w:rsid w:val="0862762F"/>
    <w:rsid w:val="086276C9"/>
    <w:rsid w:val="086276DF"/>
    <w:rsid w:val="086276FC"/>
    <w:rsid w:val="08627726"/>
    <w:rsid w:val="086277E9"/>
    <w:rsid w:val="08627859"/>
    <w:rsid w:val="08627864"/>
    <w:rsid w:val="086278A1"/>
    <w:rsid w:val="086278CB"/>
    <w:rsid w:val="08627988"/>
    <w:rsid w:val="086279B9"/>
    <w:rsid w:val="08627B36"/>
    <w:rsid w:val="08627C9C"/>
    <w:rsid w:val="08627CE9"/>
    <w:rsid w:val="08627D2A"/>
    <w:rsid w:val="08627D65"/>
    <w:rsid w:val="08627D70"/>
    <w:rsid w:val="08627DA7"/>
    <w:rsid w:val="08627EF7"/>
    <w:rsid w:val="08627F53"/>
    <w:rsid w:val="08630125"/>
    <w:rsid w:val="08630142"/>
    <w:rsid w:val="08630189"/>
    <w:rsid w:val="086301A2"/>
    <w:rsid w:val="086301F2"/>
    <w:rsid w:val="0863022D"/>
    <w:rsid w:val="0863027D"/>
    <w:rsid w:val="08630291"/>
    <w:rsid w:val="086302D8"/>
    <w:rsid w:val="08630312"/>
    <w:rsid w:val="0863033F"/>
    <w:rsid w:val="0863044B"/>
    <w:rsid w:val="08630520"/>
    <w:rsid w:val="08630552"/>
    <w:rsid w:val="08630577"/>
    <w:rsid w:val="08630622"/>
    <w:rsid w:val="08630627"/>
    <w:rsid w:val="0863063D"/>
    <w:rsid w:val="08630711"/>
    <w:rsid w:val="08630714"/>
    <w:rsid w:val="0863075E"/>
    <w:rsid w:val="08630765"/>
    <w:rsid w:val="08630775"/>
    <w:rsid w:val="086307EC"/>
    <w:rsid w:val="0863080B"/>
    <w:rsid w:val="0863084A"/>
    <w:rsid w:val="0863096B"/>
    <w:rsid w:val="08630A2A"/>
    <w:rsid w:val="08630A90"/>
    <w:rsid w:val="08630AF5"/>
    <w:rsid w:val="08630BD4"/>
    <w:rsid w:val="08630C8A"/>
    <w:rsid w:val="08630D1E"/>
    <w:rsid w:val="08630E25"/>
    <w:rsid w:val="08630EC6"/>
    <w:rsid w:val="08630F32"/>
    <w:rsid w:val="08630F97"/>
    <w:rsid w:val="08630FBF"/>
    <w:rsid w:val="08630FCA"/>
    <w:rsid w:val="08631059"/>
    <w:rsid w:val="0863105A"/>
    <w:rsid w:val="08631158"/>
    <w:rsid w:val="08631188"/>
    <w:rsid w:val="086311B4"/>
    <w:rsid w:val="08631229"/>
    <w:rsid w:val="086312D7"/>
    <w:rsid w:val="08631338"/>
    <w:rsid w:val="08631384"/>
    <w:rsid w:val="086313BA"/>
    <w:rsid w:val="0863152B"/>
    <w:rsid w:val="08631533"/>
    <w:rsid w:val="08631645"/>
    <w:rsid w:val="08631701"/>
    <w:rsid w:val="0863176D"/>
    <w:rsid w:val="0863185B"/>
    <w:rsid w:val="086318A4"/>
    <w:rsid w:val="08631918"/>
    <w:rsid w:val="08631984"/>
    <w:rsid w:val="086319F8"/>
    <w:rsid w:val="08631A79"/>
    <w:rsid w:val="08631ADF"/>
    <w:rsid w:val="08631B9F"/>
    <w:rsid w:val="08631C3D"/>
    <w:rsid w:val="08631CC7"/>
    <w:rsid w:val="08631D4A"/>
    <w:rsid w:val="08631D57"/>
    <w:rsid w:val="08631D8A"/>
    <w:rsid w:val="08631E0B"/>
    <w:rsid w:val="08631EDA"/>
    <w:rsid w:val="086321AE"/>
    <w:rsid w:val="086321AF"/>
    <w:rsid w:val="086321E9"/>
    <w:rsid w:val="08632365"/>
    <w:rsid w:val="08632369"/>
    <w:rsid w:val="0863237E"/>
    <w:rsid w:val="08632380"/>
    <w:rsid w:val="086325AE"/>
    <w:rsid w:val="08632672"/>
    <w:rsid w:val="086326B0"/>
    <w:rsid w:val="08632707"/>
    <w:rsid w:val="0863279E"/>
    <w:rsid w:val="086327F0"/>
    <w:rsid w:val="08632812"/>
    <w:rsid w:val="0863281F"/>
    <w:rsid w:val="086328C9"/>
    <w:rsid w:val="086328F5"/>
    <w:rsid w:val="08632959"/>
    <w:rsid w:val="0863296F"/>
    <w:rsid w:val="08632AEF"/>
    <w:rsid w:val="08632B31"/>
    <w:rsid w:val="08632C80"/>
    <w:rsid w:val="08632C8A"/>
    <w:rsid w:val="08632C90"/>
    <w:rsid w:val="08632C9B"/>
    <w:rsid w:val="08632E68"/>
    <w:rsid w:val="08632EDB"/>
    <w:rsid w:val="08632EE9"/>
    <w:rsid w:val="08632EF0"/>
    <w:rsid w:val="08632FD7"/>
    <w:rsid w:val="08632FDB"/>
    <w:rsid w:val="0863301C"/>
    <w:rsid w:val="0863303D"/>
    <w:rsid w:val="08633070"/>
    <w:rsid w:val="086330DF"/>
    <w:rsid w:val="086330ED"/>
    <w:rsid w:val="08633136"/>
    <w:rsid w:val="08633181"/>
    <w:rsid w:val="08633228"/>
    <w:rsid w:val="086332B0"/>
    <w:rsid w:val="086332D6"/>
    <w:rsid w:val="08633333"/>
    <w:rsid w:val="08633369"/>
    <w:rsid w:val="08633377"/>
    <w:rsid w:val="0863338B"/>
    <w:rsid w:val="08633451"/>
    <w:rsid w:val="08633458"/>
    <w:rsid w:val="08633460"/>
    <w:rsid w:val="086334BA"/>
    <w:rsid w:val="0863354D"/>
    <w:rsid w:val="0863361B"/>
    <w:rsid w:val="08633699"/>
    <w:rsid w:val="086336DF"/>
    <w:rsid w:val="086336E9"/>
    <w:rsid w:val="0863371A"/>
    <w:rsid w:val="086337A1"/>
    <w:rsid w:val="086337D4"/>
    <w:rsid w:val="0863386A"/>
    <w:rsid w:val="086339EC"/>
    <w:rsid w:val="08633A84"/>
    <w:rsid w:val="08633B13"/>
    <w:rsid w:val="08633B49"/>
    <w:rsid w:val="08633B63"/>
    <w:rsid w:val="08633BD3"/>
    <w:rsid w:val="08633C64"/>
    <w:rsid w:val="08633D5D"/>
    <w:rsid w:val="08633D62"/>
    <w:rsid w:val="08633EAA"/>
    <w:rsid w:val="08633EEE"/>
    <w:rsid w:val="086340EF"/>
    <w:rsid w:val="0863418C"/>
    <w:rsid w:val="086341CD"/>
    <w:rsid w:val="086341F4"/>
    <w:rsid w:val="08634258"/>
    <w:rsid w:val="0863431B"/>
    <w:rsid w:val="0863440E"/>
    <w:rsid w:val="0863444A"/>
    <w:rsid w:val="086344B1"/>
    <w:rsid w:val="08634507"/>
    <w:rsid w:val="086345E0"/>
    <w:rsid w:val="086345E9"/>
    <w:rsid w:val="08634644"/>
    <w:rsid w:val="08634665"/>
    <w:rsid w:val="086346EF"/>
    <w:rsid w:val="0863475D"/>
    <w:rsid w:val="086347CE"/>
    <w:rsid w:val="08634867"/>
    <w:rsid w:val="086348A3"/>
    <w:rsid w:val="08634A19"/>
    <w:rsid w:val="08634AC0"/>
    <w:rsid w:val="08634AE3"/>
    <w:rsid w:val="08634B4C"/>
    <w:rsid w:val="08634B60"/>
    <w:rsid w:val="08634CC7"/>
    <w:rsid w:val="08634CEE"/>
    <w:rsid w:val="08634D67"/>
    <w:rsid w:val="08634D6C"/>
    <w:rsid w:val="08634DB4"/>
    <w:rsid w:val="08634EE5"/>
    <w:rsid w:val="08634F0F"/>
    <w:rsid w:val="08634F25"/>
    <w:rsid w:val="08634F37"/>
    <w:rsid w:val="0863508F"/>
    <w:rsid w:val="08635139"/>
    <w:rsid w:val="086351A2"/>
    <w:rsid w:val="086351A6"/>
    <w:rsid w:val="086351A7"/>
    <w:rsid w:val="086351C3"/>
    <w:rsid w:val="0863525F"/>
    <w:rsid w:val="086352E9"/>
    <w:rsid w:val="08635380"/>
    <w:rsid w:val="08635460"/>
    <w:rsid w:val="0863560B"/>
    <w:rsid w:val="08635634"/>
    <w:rsid w:val="086356E3"/>
    <w:rsid w:val="08635941"/>
    <w:rsid w:val="08635999"/>
    <w:rsid w:val="086359E1"/>
    <w:rsid w:val="086359FE"/>
    <w:rsid w:val="08635A78"/>
    <w:rsid w:val="08635A96"/>
    <w:rsid w:val="08635AAC"/>
    <w:rsid w:val="08635AC7"/>
    <w:rsid w:val="08635B0B"/>
    <w:rsid w:val="08635B7B"/>
    <w:rsid w:val="08635C15"/>
    <w:rsid w:val="08635C43"/>
    <w:rsid w:val="08635C54"/>
    <w:rsid w:val="08635D3D"/>
    <w:rsid w:val="08635D71"/>
    <w:rsid w:val="08635D9A"/>
    <w:rsid w:val="08635DAE"/>
    <w:rsid w:val="08635E92"/>
    <w:rsid w:val="08635E97"/>
    <w:rsid w:val="08635EF1"/>
    <w:rsid w:val="08635F0E"/>
    <w:rsid w:val="08635F41"/>
    <w:rsid w:val="08635FDD"/>
    <w:rsid w:val="08635FEF"/>
    <w:rsid w:val="08636088"/>
    <w:rsid w:val="086360EF"/>
    <w:rsid w:val="086360F5"/>
    <w:rsid w:val="08636106"/>
    <w:rsid w:val="08636119"/>
    <w:rsid w:val="0863617B"/>
    <w:rsid w:val="08636269"/>
    <w:rsid w:val="08636285"/>
    <w:rsid w:val="086362B5"/>
    <w:rsid w:val="086362DB"/>
    <w:rsid w:val="0863630F"/>
    <w:rsid w:val="08636359"/>
    <w:rsid w:val="086363F9"/>
    <w:rsid w:val="08636445"/>
    <w:rsid w:val="08636472"/>
    <w:rsid w:val="086364B2"/>
    <w:rsid w:val="0863659E"/>
    <w:rsid w:val="086366CF"/>
    <w:rsid w:val="0863676C"/>
    <w:rsid w:val="086367C8"/>
    <w:rsid w:val="086367DC"/>
    <w:rsid w:val="08636804"/>
    <w:rsid w:val="0863688C"/>
    <w:rsid w:val="086368ED"/>
    <w:rsid w:val="086369AD"/>
    <w:rsid w:val="08636A41"/>
    <w:rsid w:val="08636ABE"/>
    <w:rsid w:val="08636BAF"/>
    <w:rsid w:val="08636C42"/>
    <w:rsid w:val="08636C4F"/>
    <w:rsid w:val="08636CD2"/>
    <w:rsid w:val="08636CFA"/>
    <w:rsid w:val="08636D0B"/>
    <w:rsid w:val="08636D8F"/>
    <w:rsid w:val="08636E05"/>
    <w:rsid w:val="08636EDB"/>
    <w:rsid w:val="08636EE7"/>
    <w:rsid w:val="08636F07"/>
    <w:rsid w:val="08636F0A"/>
    <w:rsid w:val="08636F2B"/>
    <w:rsid w:val="08636F4A"/>
    <w:rsid w:val="08636F90"/>
    <w:rsid w:val="08636FB0"/>
    <w:rsid w:val="08636FF3"/>
    <w:rsid w:val="086370D0"/>
    <w:rsid w:val="08637156"/>
    <w:rsid w:val="08637167"/>
    <w:rsid w:val="086371D9"/>
    <w:rsid w:val="0863724E"/>
    <w:rsid w:val="086372D9"/>
    <w:rsid w:val="086372DD"/>
    <w:rsid w:val="086372EB"/>
    <w:rsid w:val="086372F4"/>
    <w:rsid w:val="08637321"/>
    <w:rsid w:val="08637388"/>
    <w:rsid w:val="086373E6"/>
    <w:rsid w:val="08637489"/>
    <w:rsid w:val="08637499"/>
    <w:rsid w:val="086374B5"/>
    <w:rsid w:val="0863754A"/>
    <w:rsid w:val="0863755A"/>
    <w:rsid w:val="086375D1"/>
    <w:rsid w:val="086376A4"/>
    <w:rsid w:val="086376C7"/>
    <w:rsid w:val="08637797"/>
    <w:rsid w:val="086377B8"/>
    <w:rsid w:val="086377DF"/>
    <w:rsid w:val="086377EA"/>
    <w:rsid w:val="0863780A"/>
    <w:rsid w:val="08637814"/>
    <w:rsid w:val="08637819"/>
    <w:rsid w:val="0863781C"/>
    <w:rsid w:val="08637835"/>
    <w:rsid w:val="0863783C"/>
    <w:rsid w:val="08637893"/>
    <w:rsid w:val="08637927"/>
    <w:rsid w:val="0863795C"/>
    <w:rsid w:val="08637A2C"/>
    <w:rsid w:val="08637A85"/>
    <w:rsid w:val="08637A9C"/>
    <w:rsid w:val="08637A9D"/>
    <w:rsid w:val="08637B2F"/>
    <w:rsid w:val="08637BA9"/>
    <w:rsid w:val="08637C0B"/>
    <w:rsid w:val="08637C64"/>
    <w:rsid w:val="08637CFC"/>
    <w:rsid w:val="08637D8A"/>
    <w:rsid w:val="08637DC2"/>
    <w:rsid w:val="08637DF9"/>
    <w:rsid w:val="08637E58"/>
    <w:rsid w:val="08637F36"/>
    <w:rsid w:val="08637FAB"/>
    <w:rsid w:val="08637FBA"/>
    <w:rsid w:val="0864001C"/>
    <w:rsid w:val="0864002D"/>
    <w:rsid w:val="08640098"/>
    <w:rsid w:val="0864012D"/>
    <w:rsid w:val="08640199"/>
    <w:rsid w:val="086401D5"/>
    <w:rsid w:val="08640201"/>
    <w:rsid w:val="08640352"/>
    <w:rsid w:val="086404B7"/>
    <w:rsid w:val="086404B9"/>
    <w:rsid w:val="086405C1"/>
    <w:rsid w:val="086405FB"/>
    <w:rsid w:val="08640693"/>
    <w:rsid w:val="086406C7"/>
    <w:rsid w:val="0864075A"/>
    <w:rsid w:val="086407EA"/>
    <w:rsid w:val="08640815"/>
    <w:rsid w:val="08640835"/>
    <w:rsid w:val="08640906"/>
    <w:rsid w:val="08640925"/>
    <w:rsid w:val="086409F4"/>
    <w:rsid w:val="08640AE5"/>
    <w:rsid w:val="08640C00"/>
    <w:rsid w:val="08640C3C"/>
    <w:rsid w:val="08640CBF"/>
    <w:rsid w:val="08640D0C"/>
    <w:rsid w:val="08640DBE"/>
    <w:rsid w:val="08640DC1"/>
    <w:rsid w:val="08640DCE"/>
    <w:rsid w:val="08640E72"/>
    <w:rsid w:val="08640F74"/>
    <w:rsid w:val="08641101"/>
    <w:rsid w:val="08641121"/>
    <w:rsid w:val="0864124F"/>
    <w:rsid w:val="08641263"/>
    <w:rsid w:val="0864128C"/>
    <w:rsid w:val="086413F1"/>
    <w:rsid w:val="086414B2"/>
    <w:rsid w:val="086415EB"/>
    <w:rsid w:val="086416F4"/>
    <w:rsid w:val="08641792"/>
    <w:rsid w:val="086417E7"/>
    <w:rsid w:val="086418BA"/>
    <w:rsid w:val="08641919"/>
    <w:rsid w:val="08641A29"/>
    <w:rsid w:val="08641AFE"/>
    <w:rsid w:val="08641B48"/>
    <w:rsid w:val="08641C83"/>
    <w:rsid w:val="08641D0C"/>
    <w:rsid w:val="08641D7C"/>
    <w:rsid w:val="08641DE0"/>
    <w:rsid w:val="08641EF3"/>
    <w:rsid w:val="08641FEB"/>
    <w:rsid w:val="08642091"/>
    <w:rsid w:val="0864222E"/>
    <w:rsid w:val="08642235"/>
    <w:rsid w:val="08642634"/>
    <w:rsid w:val="08642641"/>
    <w:rsid w:val="08642706"/>
    <w:rsid w:val="086427E8"/>
    <w:rsid w:val="08642810"/>
    <w:rsid w:val="086428AA"/>
    <w:rsid w:val="0864292E"/>
    <w:rsid w:val="08642952"/>
    <w:rsid w:val="08642980"/>
    <w:rsid w:val="08642987"/>
    <w:rsid w:val="0864299E"/>
    <w:rsid w:val="08642A0C"/>
    <w:rsid w:val="08642A3F"/>
    <w:rsid w:val="08642B3D"/>
    <w:rsid w:val="08642B4E"/>
    <w:rsid w:val="08642C6B"/>
    <w:rsid w:val="08642D2F"/>
    <w:rsid w:val="08642D3F"/>
    <w:rsid w:val="08642D54"/>
    <w:rsid w:val="0864307C"/>
    <w:rsid w:val="0864311E"/>
    <w:rsid w:val="08643154"/>
    <w:rsid w:val="08643184"/>
    <w:rsid w:val="08643185"/>
    <w:rsid w:val="08643225"/>
    <w:rsid w:val="08643272"/>
    <w:rsid w:val="0864339D"/>
    <w:rsid w:val="08643409"/>
    <w:rsid w:val="08643456"/>
    <w:rsid w:val="08643483"/>
    <w:rsid w:val="0864357D"/>
    <w:rsid w:val="086436C4"/>
    <w:rsid w:val="086436C7"/>
    <w:rsid w:val="08643734"/>
    <w:rsid w:val="08643750"/>
    <w:rsid w:val="0864378E"/>
    <w:rsid w:val="086437B5"/>
    <w:rsid w:val="086437DE"/>
    <w:rsid w:val="086437F8"/>
    <w:rsid w:val="08643827"/>
    <w:rsid w:val="08643865"/>
    <w:rsid w:val="08643AB9"/>
    <w:rsid w:val="08643B68"/>
    <w:rsid w:val="08643C97"/>
    <w:rsid w:val="08643CA5"/>
    <w:rsid w:val="08643CA9"/>
    <w:rsid w:val="08643CCF"/>
    <w:rsid w:val="08643D63"/>
    <w:rsid w:val="08643D6B"/>
    <w:rsid w:val="08643DAD"/>
    <w:rsid w:val="08643DDE"/>
    <w:rsid w:val="08643E28"/>
    <w:rsid w:val="08643E40"/>
    <w:rsid w:val="08643E7E"/>
    <w:rsid w:val="08643EEA"/>
    <w:rsid w:val="08643F28"/>
    <w:rsid w:val="08644059"/>
    <w:rsid w:val="086440AC"/>
    <w:rsid w:val="086440CC"/>
    <w:rsid w:val="08644126"/>
    <w:rsid w:val="08644153"/>
    <w:rsid w:val="08644173"/>
    <w:rsid w:val="0864426E"/>
    <w:rsid w:val="08644343"/>
    <w:rsid w:val="08644399"/>
    <w:rsid w:val="086444A7"/>
    <w:rsid w:val="086444D2"/>
    <w:rsid w:val="086444E2"/>
    <w:rsid w:val="086444F5"/>
    <w:rsid w:val="086446EF"/>
    <w:rsid w:val="086446FD"/>
    <w:rsid w:val="08644792"/>
    <w:rsid w:val="08644793"/>
    <w:rsid w:val="08644798"/>
    <w:rsid w:val="086447D0"/>
    <w:rsid w:val="08644880"/>
    <w:rsid w:val="086448AD"/>
    <w:rsid w:val="086448C6"/>
    <w:rsid w:val="08644918"/>
    <w:rsid w:val="0864497D"/>
    <w:rsid w:val="08644991"/>
    <w:rsid w:val="08644A37"/>
    <w:rsid w:val="08644A81"/>
    <w:rsid w:val="08644A91"/>
    <w:rsid w:val="08644AA6"/>
    <w:rsid w:val="08644B67"/>
    <w:rsid w:val="08644B84"/>
    <w:rsid w:val="08644BF6"/>
    <w:rsid w:val="08644C4D"/>
    <w:rsid w:val="08644DAF"/>
    <w:rsid w:val="08644DD7"/>
    <w:rsid w:val="08644E22"/>
    <w:rsid w:val="08644E6C"/>
    <w:rsid w:val="0864502D"/>
    <w:rsid w:val="086451DB"/>
    <w:rsid w:val="086452BB"/>
    <w:rsid w:val="08645315"/>
    <w:rsid w:val="08645318"/>
    <w:rsid w:val="0864535E"/>
    <w:rsid w:val="086453D5"/>
    <w:rsid w:val="086453FC"/>
    <w:rsid w:val="086454E0"/>
    <w:rsid w:val="086455AA"/>
    <w:rsid w:val="08645642"/>
    <w:rsid w:val="08645799"/>
    <w:rsid w:val="08645858"/>
    <w:rsid w:val="0864585C"/>
    <w:rsid w:val="0864586C"/>
    <w:rsid w:val="08645988"/>
    <w:rsid w:val="086459B8"/>
    <w:rsid w:val="086459E5"/>
    <w:rsid w:val="08645A2E"/>
    <w:rsid w:val="08645A34"/>
    <w:rsid w:val="08645AB5"/>
    <w:rsid w:val="08645ADD"/>
    <w:rsid w:val="08645AE2"/>
    <w:rsid w:val="08645B41"/>
    <w:rsid w:val="08645BAD"/>
    <w:rsid w:val="08645BEA"/>
    <w:rsid w:val="08645E95"/>
    <w:rsid w:val="08645F68"/>
    <w:rsid w:val="08645F9F"/>
    <w:rsid w:val="08645FA0"/>
    <w:rsid w:val="08645FA1"/>
    <w:rsid w:val="08645FBB"/>
    <w:rsid w:val="0864601E"/>
    <w:rsid w:val="0864601F"/>
    <w:rsid w:val="0864608D"/>
    <w:rsid w:val="086461B4"/>
    <w:rsid w:val="086461CC"/>
    <w:rsid w:val="086461E3"/>
    <w:rsid w:val="086462D8"/>
    <w:rsid w:val="08646369"/>
    <w:rsid w:val="086463E6"/>
    <w:rsid w:val="08646430"/>
    <w:rsid w:val="08646445"/>
    <w:rsid w:val="086464CC"/>
    <w:rsid w:val="08646519"/>
    <w:rsid w:val="086465AB"/>
    <w:rsid w:val="08646741"/>
    <w:rsid w:val="086467B8"/>
    <w:rsid w:val="08646850"/>
    <w:rsid w:val="086468BD"/>
    <w:rsid w:val="0864692E"/>
    <w:rsid w:val="08646955"/>
    <w:rsid w:val="086469A0"/>
    <w:rsid w:val="086469AE"/>
    <w:rsid w:val="08646A13"/>
    <w:rsid w:val="08646A3A"/>
    <w:rsid w:val="08646C6A"/>
    <w:rsid w:val="08646D04"/>
    <w:rsid w:val="08646D79"/>
    <w:rsid w:val="08646E60"/>
    <w:rsid w:val="08646FB3"/>
    <w:rsid w:val="08646FDD"/>
    <w:rsid w:val="0864705E"/>
    <w:rsid w:val="0864706D"/>
    <w:rsid w:val="0864712D"/>
    <w:rsid w:val="08647142"/>
    <w:rsid w:val="0864714F"/>
    <w:rsid w:val="08647262"/>
    <w:rsid w:val="086472BE"/>
    <w:rsid w:val="086472C8"/>
    <w:rsid w:val="08647329"/>
    <w:rsid w:val="0864736F"/>
    <w:rsid w:val="086473CD"/>
    <w:rsid w:val="08647449"/>
    <w:rsid w:val="086474D7"/>
    <w:rsid w:val="086474E7"/>
    <w:rsid w:val="0864751C"/>
    <w:rsid w:val="0864753A"/>
    <w:rsid w:val="08647583"/>
    <w:rsid w:val="0864762D"/>
    <w:rsid w:val="0864767F"/>
    <w:rsid w:val="086476AF"/>
    <w:rsid w:val="086476C1"/>
    <w:rsid w:val="086476C3"/>
    <w:rsid w:val="0864776E"/>
    <w:rsid w:val="086477EF"/>
    <w:rsid w:val="086478E6"/>
    <w:rsid w:val="0864793A"/>
    <w:rsid w:val="08647970"/>
    <w:rsid w:val="086479E8"/>
    <w:rsid w:val="08647A23"/>
    <w:rsid w:val="08647A82"/>
    <w:rsid w:val="08647ACC"/>
    <w:rsid w:val="08647BAB"/>
    <w:rsid w:val="08647CBB"/>
    <w:rsid w:val="08647D1E"/>
    <w:rsid w:val="08647D23"/>
    <w:rsid w:val="08647D6A"/>
    <w:rsid w:val="08647DC8"/>
    <w:rsid w:val="08647EA3"/>
    <w:rsid w:val="08647F5D"/>
    <w:rsid w:val="08647F92"/>
    <w:rsid w:val="0865004C"/>
    <w:rsid w:val="08650078"/>
    <w:rsid w:val="086502BE"/>
    <w:rsid w:val="086502F1"/>
    <w:rsid w:val="086504D2"/>
    <w:rsid w:val="0865062F"/>
    <w:rsid w:val="086506DB"/>
    <w:rsid w:val="0865070C"/>
    <w:rsid w:val="08650736"/>
    <w:rsid w:val="086507E7"/>
    <w:rsid w:val="08650814"/>
    <w:rsid w:val="08650831"/>
    <w:rsid w:val="0865084A"/>
    <w:rsid w:val="08650992"/>
    <w:rsid w:val="08650A45"/>
    <w:rsid w:val="08650A5A"/>
    <w:rsid w:val="08650A97"/>
    <w:rsid w:val="08650B00"/>
    <w:rsid w:val="08650BCE"/>
    <w:rsid w:val="08650D8C"/>
    <w:rsid w:val="08650D98"/>
    <w:rsid w:val="08650E2B"/>
    <w:rsid w:val="08650F2F"/>
    <w:rsid w:val="08651073"/>
    <w:rsid w:val="086510FE"/>
    <w:rsid w:val="0865115F"/>
    <w:rsid w:val="0865116C"/>
    <w:rsid w:val="0865117C"/>
    <w:rsid w:val="08651209"/>
    <w:rsid w:val="08651227"/>
    <w:rsid w:val="08651280"/>
    <w:rsid w:val="08651300"/>
    <w:rsid w:val="086513B2"/>
    <w:rsid w:val="08651475"/>
    <w:rsid w:val="08651795"/>
    <w:rsid w:val="08651856"/>
    <w:rsid w:val="08651969"/>
    <w:rsid w:val="08651973"/>
    <w:rsid w:val="086519DE"/>
    <w:rsid w:val="08651A4F"/>
    <w:rsid w:val="08651A6D"/>
    <w:rsid w:val="08651BAB"/>
    <w:rsid w:val="08651C2A"/>
    <w:rsid w:val="08651C83"/>
    <w:rsid w:val="08651DD3"/>
    <w:rsid w:val="08651DF1"/>
    <w:rsid w:val="08651E18"/>
    <w:rsid w:val="08651E7D"/>
    <w:rsid w:val="08651E94"/>
    <w:rsid w:val="08651ECC"/>
    <w:rsid w:val="08651F01"/>
    <w:rsid w:val="08651F1E"/>
    <w:rsid w:val="08651F3D"/>
    <w:rsid w:val="08651FA8"/>
    <w:rsid w:val="08651FB7"/>
    <w:rsid w:val="086520CF"/>
    <w:rsid w:val="086520E4"/>
    <w:rsid w:val="08652111"/>
    <w:rsid w:val="086521D6"/>
    <w:rsid w:val="086522CA"/>
    <w:rsid w:val="086522E3"/>
    <w:rsid w:val="08652375"/>
    <w:rsid w:val="08652416"/>
    <w:rsid w:val="086524FC"/>
    <w:rsid w:val="0865250D"/>
    <w:rsid w:val="086525E4"/>
    <w:rsid w:val="08652689"/>
    <w:rsid w:val="08652890"/>
    <w:rsid w:val="08652910"/>
    <w:rsid w:val="086529A8"/>
    <w:rsid w:val="086529DD"/>
    <w:rsid w:val="08652A2A"/>
    <w:rsid w:val="08652D43"/>
    <w:rsid w:val="08652E44"/>
    <w:rsid w:val="08652EB1"/>
    <w:rsid w:val="08652EC7"/>
    <w:rsid w:val="08652F2E"/>
    <w:rsid w:val="08652F7A"/>
    <w:rsid w:val="08652F97"/>
    <w:rsid w:val="08652FC5"/>
    <w:rsid w:val="08652FCD"/>
    <w:rsid w:val="08653077"/>
    <w:rsid w:val="086530A5"/>
    <w:rsid w:val="086530C6"/>
    <w:rsid w:val="086531E8"/>
    <w:rsid w:val="08653258"/>
    <w:rsid w:val="0865333A"/>
    <w:rsid w:val="08653351"/>
    <w:rsid w:val="08653373"/>
    <w:rsid w:val="08653402"/>
    <w:rsid w:val="08653463"/>
    <w:rsid w:val="08653519"/>
    <w:rsid w:val="08653553"/>
    <w:rsid w:val="08653571"/>
    <w:rsid w:val="086535BB"/>
    <w:rsid w:val="086535D5"/>
    <w:rsid w:val="08653600"/>
    <w:rsid w:val="08653601"/>
    <w:rsid w:val="086536ED"/>
    <w:rsid w:val="086536F3"/>
    <w:rsid w:val="086536FE"/>
    <w:rsid w:val="08653748"/>
    <w:rsid w:val="086537B5"/>
    <w:rsid w:val="08653846"/>
    <w:rsid w:val="0865388F"/>
    <w:rsid w:val="086538A7"/>
    <w:rsid w:val="0865392E"/>
    <w:rsid w:val="0865398F"/>
    <w:rsid w:val="086539C2"/>
    <w:rsid w:val="086539D4"/>
    <w:rsid w:val="08653B11"/>
    <w:rsid w:val="08653B74"/>
    <w:rsid w:val="08653BCD"/>
    <w:rsid w:val="08653CF4"/>
    <w:rsid w:val="08653D23"/>
    <w:rsid w:val="08653D45"/>
    <w:rsid w:val="08653D75"/>
    <w:rsid w:val="08653DB7"/>
    <w:rsid w:val="08653DD6"/>
    <w:rsid w:val="08653E86"/>
    <w:rsid w:val="08653EEA"/>
    <w:rsid w:val="08653F02"/>
    <w:rsid w:val="08653F6E"/>
    <w:rsid w:val="08653F7C"/>
    <w:rsid w:val="08654010"/>
    <w:rsid w:val="08654085"/>
    <w:rsid w:val="086540F1"/>
    <w:rsid w:val="08654283"/>
    <w:rsid w:val="08654337"/>
    <w:rsid w:val="0865440D"/>
    <w:rsid w:val="0865441F"/>
    <w:rsid w:val="0865445A"/>
    <w:rsid w:val="086544B7"/>
    <w:rsid w:val="086544C1"/>
    <w:rsid w:val="08654573"/>
    <w:rsid w:val="0865457C"/>
    <w:rsid w:val="08654649"/>
    <w:rsid w:val="086546C5"/>
    <w:rsid w:val="086546F9"/>
    <w:rsid w:val="086547A8"/>
    <w:rsid w:val="08654800"/>
    <w:rsid w:val="086548CC"/>
    <w:rsid w:val="0865490E"/>
    <w:rsid w:val="0865493D"/>
    <w:rsid w:val="08654991"/>
    <w:rsid w:val="086549B5"/>
    <w:rsid w:val="086549D3"/>
    <w:rsid w:val="08654A1D"/>
    <w:rsid w:val="08654B2E"/>
    <w:rsid w:val="08654B6C"/>
    <w:rsid w:val="08654BE8"/>
    <w:rsid w:val="08654D72"/>
    <w:rsid w:val="08654DE6"/>
    <w:rsid w:val="08654F45"/>
    <w:rsid w:val="08654F83"/>
    <w:rsid w:val="08655044"/>
    <w:rsid w:val="08655101"/>
    <w:rsid w:val="0865510B"/>
    <w:rsid w:val="086551BC"/>
    <w:rsid w:val="086551FA"/>
    <w:rsid w:val="08655314"/>
    <w:rsid w:val="08655363"/>
    <w:rsid w:val="08655533"/>
    <w:rsid w:val="086555B1"/>
    <w:rsid w:val="086555B6"/>
    <w:rsid w:val="086555E1"/>
    <w:rsid w:val="086556F6"/>
    <w:rsid w:val="08655742"/>
    <w:rsid w:val="08655790"/>
    <w:rsid w:val="08655812"/>
    <w:rsid w:val="0865590F"/>
    <w:rsid w:val="0865597A"/>
    <w:rsid w:val="086559DB"/>
    <w:rsid w:val="08655A7C"/>
    <w:rsid w:val="08655A96"/>
    <w:rsid w:val="08655AE1"/>
    <w:rsid w:val="08655BD3"/>
    <w:rsid w:val="08655BD4"/>
    <w:rsid w:val="08655C34"/>
    <w:rsid w:val="08655CE6"/>
    <w:rsid w:val="08655D4B"/>
    <w:rsid w:val="08655D74"/>
    <w:rsid w:val="08655E3D"/>
    <w:rsid w:val="08655E8D"/>
    <w:rsid w:val="08655E90"/>
    <w:rsid w:val="08655E98"/>
    <w:rsid w:val="08655F8E"/>
    <w:rsid w:val="08655F97"/>
    <w:rsid w:val="08655FDB"/>
    <w:rsid w:val="086560D2"/>
    <w:rsid w:val="08656107"/>
    <w:rsid w:val="0865618A"/>
    <w:rsid w:val="086561AE"/>
    <w:rsid w:val="086561BE"/>
    <w:rsid w:val="086562A7"/>
    <w:rsid w:val="08656394"/>
    <w:rsid w:val="086563C8"/>
    <w:rsid w:val="0865640A"/>
    <w:rsid w:val="08656431"/>
    <w:rsid w:val="08656460"/>
    <w:rsid w:val="086564DD"/>
    <w:rsid w:val="086564F8"/>
    <w:rsid w:val="08656553"/>
    <w:rsid w:val="08656588"/>
    <w:rsid w:val="0865659E"/>
    <w:rsid w:val="08656641"/>
    <w:rsid w:val="0865665E"/>
    <w:rsid w:val="08656663"/>
    <w:rsid w:val="08656760"/>
    <w:rsid w:val="0865679E"/>
    <w:rsid w:val="086567DC"/>
    <w:rsid w:val="086568AB"/>
    <w:rsid w:val="086568C2"/>
    <w:rsid w:val="08656956"/>
    <w:rsid w:val="08656966"/>
    <w:rsid w:val="08656998"/>
    <w:rsid w:val="086569AB"/>
    <w:rsid w:val="08656A8C"/>
    <w:rsid w:val="08656BB3"/>
    <w:rsid w:val="08656BCB"/>
    <w:rsid w:val="08656C57"/>
    <w:rsid w:val="08656D76"/>
    <w:rsid w:val="08656DD0"/>
    <w:rsid w:val="08656DDC"/>
    <w:rsid w:val="08656FD2"/>
    <w:rsid w:val="08657127"/>
    <w:rsid w:val="08657209"/>
    <w:rsid w:val="08657269"/>
    <w:rsid w:val="0865728C"/>
    <w:rsid w:val="086572C4"/>
    <w:rsid w:val="086573D6"/>
    <w:rsid w:val="086573EA"/>
    <w:rsid w:val="08657605"/>
    <w:rsid w:val="08657622"/>
    <w:rsid w:val="0865764E"/>
    <w:rsid w:val="086576C0"/>
    <w:rsid w:val="086576CC"/>
    <w:rsid w:val="0865774C"/>
    <w:rsid w:val="0865776F"/>
    <w:rsid w:val="086577EE"/>
    <w:rsid w:val="08657813"/>
    <w:rsid w:val="08657885"/>
    <w:rsid w:val="08657946"/>
    <w:rsid w:val="08657A52"/>
    <w:rsid w:val="08657AC6"/>
    <w:rsid w:val="08657ADC"/>
    <w:rsid w:val="08657B32"/>
    <w:rsid w:val="08657B34"/>
    <w:rsid w:val="08657B8D"/>
    <w:rsid w:val="08657C07"/>
    <w:rsid w:val="08657C2D"/>
    <w:rsid w:val="08657CC4"/>
    <w:rsid w:val="08657E51"/>
    <w:rsid w:val="08657F15"/>
    <w:rsid w:val="08660005"/>
    <w:rsid w:val="08660182"/>
    <w:rsid w:val="08660191"/>
    <w:rsid w:val="086602B2"/>
    <w:rsid w:val="0866033E"/>
    <w:rsid w:val="08660349"/>
    <w:rsid w:val="08660387"/>
    <w:rsid w:val="08660457"/>
    <w:rsid w:val="08660529"/>
    <w:rsid w:val="0866052E"/>
    <w:rsid w:val="08660532"/>
    <w:rsid w:val="0866056C"/>
    <w:rsid w:val="086605BD"/>
    <w:rsid w:val="0866079B"/>
    <w:rsid w:val="08660881"/>
    <w:rsid w:val="0866099B"/>
    <w:rsid w:val="086609C1"/>
    <w:rsid w:val="08660ADB"/>
    <w:rsid w:val="08660B6A"/>
    <w:rsid w:val="08660BA7"/>
    <w:rsid w:val="08660C92"/>
    <w:rsid w:val="08660E12"/>
    <w:rsid w:val="08660E67"/>
    <w:rsid w:val="08660EF0"/>
    <w:rsid w:val="08660F42"/>
    <w:rsid w:val="08660F5E"/>
    <w:rsid w:val="08660FA5"/>
    <w:rsid w:val="0866101B"/>
    <w:rsid w:val="08661050"/>
    <w:rsid w:val="08661177"/>
    <w:rsid w:val="0866118F"/>
    <w:rsid w:val="0866130F"/>
    <w:rsid w:val="0866133E"/>
    <w:rsid w:val="08661381"/>
    <w:rsid w:val="086613F8"/>
    <w:rsid w:val="08661413"/>
    <w:rsid w:val="08661416"/>
    <w:rsid w:val="0866141C"/>
    <w:rsid w:val="08661487"/>
    <w:rsid w:val="086614A0"/>
    <w:rsid w:val="086614E8"/>
    <w:rsid w:val="0866150C"/>
    <w:rsid w:val="0866150D"/>
    <w:rsid w:val="08661541"/>
    <w:rsid w:val="0866155B"/>
    <w:rsid w:val="0866155E"/>
    <w:rsid w:val="08661786"/>
    <w:rsid w:val="086617E9"/>
    <w:rsid w:val="0866180F"/>
    <w:rsid w:val="0866191C"/>
    <w:rsid w:val="08661980"/>
    <w:rsid w:val="0866198D"/>
    <w:rsid w:val="08661A75"/>
    <w:rsid w:val="08661AE0"/>
    <w:rsid w:val="08661B28"/>
    <w:rsid w:val="08661C49"/>
    <w:rsid w:val="08661C7C"/>
    <w:rsid w:val="08661D81"/>
    <w:rsid w:val="08661DA8"/>
    <w:rsid w:val="08661E6E"/>
    <w:rsid w:val="08661E98"/>
    <w:rsid w:val="08661F28"/>
    <w:rsid w:val="08662010"/>
    <w:rsid w:val="08662138"/>
    <w:rsid w:val="0866217F"/>
    <w:rsid w:val="086621B1"/>
    <w:rsid w:val="086622D0"/>
    <w:rsid w:val="086622F1"/>
    <w:rsid w:val="08662434"/>
    <w:rsid w:val="08662507"/>
    <w:rsid w:val="0866256B"/>
    <w:rsid w:val="0866256F"/>
    <w:rsid w:val="08662591"/>
    <w:rsid w:val="086625D3"/>
    <w:rsid w:val="08662746"/>
    <w:rsid w:val="086627F9"/>
    <w:rsid w:val="086627FB"/>
    <w:rsid w:val="086628CA"/>
    <w:rsid w:val="086628CB"/>
    <w:rsid w:val="08662A17"/>
    <w:rsid w:val="08662A3A"/>
    <w:rsid w:val="08662AD2"/>
    <w:rsid w:val="08662C23"/>
    <w:rsid w:val="08662C86"/>
    <w:rsid w:val="08662CEE"/>
    <w:rsid w:val="08662D4F"/>
    <w:rsid w:val="08662D50"/>
    <w:rsid w:val="08662E77"/>
    <w:rsid w:val="08662ED7"/>
    <w:rsid w:val="08662F11"/>
    <w:rsid w:val="08662F32"/>
    <w:rsid w:val="0866317C"/>
    <w:rsid w:val="08663182"/>
    <w:rsid w:val="0866318B"/>
    <w:rsid w:val="08663292"/>
    <w:rsid w:val="086632D5"/>
    <w:rsid w:val="086633A5"/>
    <w:rsid w:val="086633F9"/>
    <w:rsid w:val="086634C0"/>
    <w:rsid w:val="086634F5"/>
    <w:rsid w:val="0866351D"/>
    <w:rsid w:val="08663599"/>
    <w:rsid w:val="0866369E"/>
    <w:rsid w:val="08663706"/>
    <w:rsid w:val="0866373D"/>
    <w:rsid w:val="0866384B"/>
    <w:rsid w:val="08663855"/>
    <w:rsid w:val="086638B6"/>
    <w:rsid w:val="086638E3"/>
    <w:rsid w:val="08663962"/>
    <w:rsid w:val="086639AC"/>
    <w:rsid w:val="086639C2"/>
    <w:rsid w:val="08663A55"/>
    <w:rsid w:val="08663B25"/>
    <w:rsid w:val="08663B4C"/>
    <w:rsid w:val="08663C08"/>
    <w:rsid w:val="08663C38"/>
    <w:rsid w:val="08663C77"/>
    <w:rsid w:val="08663D08"/>
    <w:rsid w:val="08663D2F"/>
    <w:rsid w:val="08663DC5"/>
    <w:rsid w:val="08663EB6"/>
    <w:rsid w:val="08663F74"/>
    <w:rsid w:val="08663F8F"/>
    <w:rsid w:val="0866406F"/>
    <w:rsid w:val="0866408F"/>
    <w:rsid w:val="0866409B"/>
    <w:rsid w:val="086640CE"/>
    <w:rsid w:val="08664134"/>
    <w:rsid w:val="08664155"/>
    <w:rsid w:val="0866416F"/>
    <w:rsid w:val="0866424B"/>
    <w:rsid w:val="08664259"/>
    <w:rsid w:val="0866427A"/>
    <w:rsid w:val="086642C0"/>
    <w:rsid w:val="0866439C"/>
    <w:rsid w:val="086644A5"/>
    <w:rsid w:val="086644D0"/>
    <w:rsid w:val="086644ED"/>
    <w:rsid w:val="08664543"/>
    <w:rsid w:val="08664601"/>
    <w:rsid w:val="0866461A"/>
    <w:rsid w:val="0866461B"/>
    <w:rsid w:val="0866476C"/>
    <w:rsid w:val="08664787"/>
    <w:rsid w:val="086647CF"/>
    <w:rsid w:val="08664814"/>
    <w:rsid w:val="086648C6"/>
    <w:rsid w:val="086648E8"/>
    <w:rsid w:val="0866498B"/>
    <w:rsid w:val="0866498F"/>
    <w:rsid w:val="08664B84"/>
    <w:rsid w:val="08664BF2"/>
    <w:rsid w:val="08664C45"/>
    <w:rsid w:val="08664C58"/>
    <w:rsid w:val="08664C62"/>
    <w:rsid w:val="08664D44"/>
    <w:rsid w:val="08664D78"/>
    <w:rsid w:val="08664DB1"/>
    <w:rsid w:val="08664DC3"/>
    <w:rsid w:val="08664E06"/>
    <w:rsid w:val="08664E60"/>
    <w:rsid w:val="08664E70"/>
    <w:rsid w:val="08664EC9"/>
    <w:rsid w:val="08664F82"/>
    <w:rsid w:val="0866505A"/>
    <w:rsid w:val="08665074"/>
    <w:rsid w:val="08665089"/>
    <w:rsid w:val="08665099"/>
    <w:rsid w:val="0866518A"/>
    <w:rsid w:val="086651BF"/>
    <w:rsid w:val="086651DF"/>
    <w:rsid w:val="08665228"/>
    <w:rsid w:val="0866524D"/>
    <w:rsid w:val="086653CC"/>
    <w:rsid w:val="08665418"/>
    <w:rsid w:val="0866541A"/>
    <w:rsid w:val="08665542"/>
    <w:rsid w:val="08665613"/>
    <w:rsid w:val="086656DF"/>
    <w:rsid w:val="0866573E"/>
    <w:rsid w:val="08665749"/>
    <w:rsid w:val="08665751"/>
    <w:rsid w:val="086658A5"/>
    <w:rsid w:val="0866592C"/>
    <w:rsid w:val="08665AAD"/>
    <w:rsid w:val="08665AAF"/>
    <w:rsid w:val="08665ADF"/>
    <w:rsid w:val="08665AFA"/>
    <w:rsid w:val="08665B4D"/>
    <w:rsid w:val="08665BFF"/>
    <w:rsid w:val="08665C5D"/>
    <w:rsid w:val="08665CCD"/>
    <w:rsid w:val="08665D7E"/>
    <w:rsid w:val="08665D8D"/>
    <w:rsid w:val="08665DFF"/>
    <w:rsid w:val="08665E0A"/>
    <w:rsid w:val="08665E25"/>
    <w:rsid w:val="08666024"/>
    <w:rsid w:val="086660A1"/>
    <w:rsid w:val="08666182"/>
    <w:rsid w:val="0866624B"/>
    <w:rsid w:val="08666266"/>
    <w:rsid w:val="086662D2"/>
    <w:rsid w:val="0866634D"/>
    <w:rsid w:val="08666354"/>
    <w:rsid w:val="086663B7"/>
    <w:rsid w:val="08666411"/>
    <w:rsid w:val="0866643F"/>
    <w:rsid w:val="0866657B"/>
    <w:rsid w:val="0866659D"/>
    <w:rsid w:val="08666652"/>
    <w:rsid w:val="086666BF"/>
    <w:rsid w:val="086667C4"/>
    <w:rsid w:val="08666865"/>
    <w:rsid w:val="08666898"/>
    <w:rsid w:val="0866689F"/>
    <w:rsid w:val="08666920"/>
    <w:rsid w:val="08666968"/>
    <w:rsid w:val="086669F1"/>
    <w:rsid w:val="08666A65"/>
    <w:rsid w:val="08666CFA"/>
    <w:rsid w:val="08666F1B"/>
    <w:rsid w:val="08667001"/>
    <w:rsid w:val="08667009"/>
    <w:rsid w:val="0866701F"/>
    <w:rsid w:val="08667087"/>
    <w:rsid w:val="086671E8"/>
    <w:rsid w:val="086671E9"/>
    <w:rsid w:val="086672C3"/>
    <w:rsid w:val="086672D6"/>
    <w:rsid w:val="08667364"/>
    <w:rsid w:val="08667379"/>
    <w:rsid w:val="086673B0"/>
    <w:rsid w:val="086673DB"/>
    <w:rsid w:val="08667437"/>
    <w:rsid w:val="0866746F"/>
    <w:rsid w:val="0866751E"/>
    <w:rsid w:val="08667595"/>
    <w:rsid w:val="0866759F"/>
    <w:rsid w:val="086675CD"/>
    <w:rsid w:val="0866767D"/>
    <w:rsid w:val="086676A4"/>
    <w:rsid w:val="0866783E"/>
    <w:rsid w:val="0866787B"/>
    <w:rsid w:val="0866787D"/>
    <w:rsid w:val="08667893"/>
    <w:rsid w:val="086678BF"/>
    <w:rsid w:val="08667933"/>
    <w:rsid w:val="0866798A"/>
    <w:rsid w:val="08667A00"/>
    <w:rsid w:val="08667A0C"/>
    <w:rsid w:val="08667AAA"/>
    <w:rsid w:val="08667B14"/>
    <w:rsid w:val="08667B2A"/>
    <w:rsid w:val="08667B34"/>
    <w:rsid w:val="08667BD5"/>
    <w:rsid w:val="08667BD8"/>
    <w:rsid w:val="08667C37"/>
    <w:rsid w:val="08667C3F"/>
    <w:rsid w:val="08667DAB"/>
    <w:rsid w:val="08667ED2"/>
    <w:rsid w:val="08670084"/>
    <w:rsid w:val="086700C2"/>
    <w:rsid w:val="086700E8"/>
    <w:rsid w:val="0867018E"/>
    <w:rsid w:val="086701CA"/>
    <w:rsid w:val="086701FD"/>
    <w:rsid w:val="0867023B"/>
    <w:rsid w:val="08670257"/>
    <w:rsid w:val="0867026C"/>
    <w:rsid w:val="086702EA"/>
    <w:rsid w:val="0867034E"/>
    <w:rsid w:val="08670386"/>
    <w:rsid w:val="086703B3"/>
    <w:rsid w:val="086703E9"/>
    <w:rsid w:val="086703EF"/>
    <w:rsid w:val="086704D8"/>
    <w:rsid w:val="0867057E"/>
    <w:rsid w:val="086705B4"/>
    <w:rsid w:val="08670666"/>
    <w:rsid w:val="086706C0"/>
    <w:rsid w:val="0867076D"/>
    <w:rsid w:val="086707F3"/>
    <w:rsid w:val="08670853"/>
    <w:rsid w:val="086708AC"/>
    <w:rsid w:val="086708E2"/>
    <w:rsid w:val="086708EB"/>
    <w:rsid w:val="08670923"/>
    <w:rsid w:val="0867099A"/>
    <w:rsid w:val="08670AB3"/>
    <w:rsid w:val="08670B46"/>
    <w:rsid w:val="08670B96"/>
    <w:rsid w:val="08670C0B"/>
    <w:rsid w:val="08670C16"/>
    <w:rsid w:val="08670CFC"/>
    <w:rsid w:val="08670DCF"/>
    <w:rsid w:val="08670E03"/>
    <w:rsid w:val="08670E30"/>
    <w:rsid w:val="08670F04"/>
    <w:rsid w:val="08670FA6"/>
    <w:rsid w:val="0867103E"/>
    <w:rsid w:val="0867105A"/>
    <w:rsid w:val="0867112C"/>
    <w:rsid w:val="08671186"/>
    <w:rsid w:val="086711BD"/>
    <w:rsid w:val="086711D8"/>
    <w:rsid w:val="08671209"/>
    <w:rsid w:val="0867123F"/>
    <w:rsid w:val="086712BE"/>
    <w:rsid w:val="086712DA"/>
    <w:rsid w:val="086712F0"/>
    <w:rsid w:val="08671304"/>
    <w:rsid w:val="08671345"/>
    <w:rsid w:val="086713EE"/>
    <w:rsid w:val="0867157D"/>
    <w:rsid w:val="086715B4"/>
    <w:rsid w:val="086715DB"/>
    <w:rsid w:val="08671673"/>
    <w:rsid w:val="0867168B"/>
    <w:rsid w:val="086716E2"/>
    <w:rsid w:val="086718CA"/>
    <w:rsid w:val="0867196E"/>
    <w:rsid w:val="086719D9"/>
    <w:rsid w:val="08671B5F"/>
    <w:rsid w:val="08671C2C"/>
    <w:rsid w:val="08671CCC"/>
    <w:rsid w:val="08671D04"/>
    <w:rsid w:val="08671D15"/>
    <w:rsid w:val="08671D33"/>
    <w:rsid w:val="08671D42"/>
    <w:rsid w:val="08671D91"/>
    <w:rsid w:val="08671E10"/>
    <w:rsid w:val="08671EA5"/>
    <w:rsid w:val="08671EA9"/>
    <w:rsid w:val="08671F1F"/>
    <w:rsid w:val="08671F3D"/>
    <w:rsid w:val="08671F9B"/>
    <w:rsid w:val="08671FCA"/>
    <w:rsid w:val="0867223F"/>
    <w:rsid w:val="08672268"/>
    <w:rsid w:val="08672311"/>
    <w:rsid w:val="08672450"/>
    <w:rsid w:val="08672491"/>
    <w:rsid w:val="086724AB"/>
    <w:rsid w:val="08672560"/>
    <w:rsid w:val="086725B9"/>
    <w:rsid w:val="086726AB"/>
    <w:rsid w:val="0867273A"/>
    <w:rsid w:val="0867279E"/>
    <w:rsid w:val="086727A1"/>
    <w:rsid w:val="086727D1"/>
    <w:rsid w:val="0867285F"/>
    <w:rsid w:val="086728FC"/>
    <w:rsid w:val="08672910"/>
    <w:rsid w:val="086729C2"/>
    <w:rsid w:val="08672A40"/>
    <w:rsid w:val="08672AC8"/>
    <w:rsid w:val="08672B39"/>
    <w:rsid w:val="08672B82"/>
    <w:rsid w:val="08672BC6"/>
    <w:rsid w:val="08672BF7"/>
    <w:rsid w:val="08672C99"/>
    <w:rsid w:val="08672CD0"/>
    <w:rsid w:val="08672D0A"/>
    <w:rsid w:val="08672D1E"/>
    <w:rsid w:val="08672DED"/>
    <w:rsid w:val="08672E28"/>
    <w:rsid w:val="08672E65"/>
    <w:rsid w:val="08672E8F"/>
    <w:rsid w:val="08672EF2"/>
    <w:rsid w:val="08672F89"/>
    <w:rsid w:val="08672FB5"/>
    <w:rsid w:val="08672FED"/>
    <w:rsid w:val="0867302E"/>
    <w:rsid w:val="0867307E"/>
    <w:rsid w:val="08673146"/>
    <w:rsid w:val="08673218"/>
    <w:rsid w:val="08673250"/>
    <w:rsid w:val="086732BF"/>
    <w:rsid w:val="08673347"/>
    <w:rsid w:val="08673373"/>
    <w:rsid w:val="0867339B"/>
    <w:rsid w:val="0867340C"/>
    <w:rsid w:val="0867340E"/>
    <w:rsid w:val="0867346E"/>
    <w:rsid w:val="08673542"/>
    <w:rsid w:val="086735FA"/>
    <w:rsid w:val="0867368E"/>
    <w:rsid w:val="086736B2"/>
    <w:rsid w:val="086736C5"/>
    <w:rsid w:val="0867376E"/>
    <w:rsid w:val="08673A61"/>
    <w:rsid w:val="08673AB4"/>
    <w:rsid w:val="08673B32"/>
    <w:rsid w:val="08673BB9"/>
    <w:rsid w:val="08673BFE"/>
    <w:rsid w:val="08673C8B"/>
    <w:rsid w:val="08673D06"/>
    <w:rsid w:val="08673D0E"/>
    <w:rsid w:val="08673D7A"/>
    <w:rsid w:val="08673DA4"/>
    <w:rsid w:val="08673DCD"/>
    <w:rsid w:val="08673EBD"/>
    <w:rsid w:val="08673F1B"/>
    <w:rsid w:val="08673F60"/>
    <w:rsid w:val="0867400C"/>
    <w:rsid w:val="08674044"/>
    <w:rsid w:val="086740AE"/>
    <w:rsid w:val="08674174"/>
    <w:rsid w:val="086741A2"/>
    <w:rsid w:val="086741D1"/>
    <w:rsid w:val="086741E0"/>
    <w:rsid w:val="086742B7"/>
    <w:rsid w:val="086742E6"/>
    <w:rsid w:val="086742EF"/>
    <w:rsid w:val="086743D2"/>
    <w:rsid w:val="086743E3"/>
    <w:rsid w:val="086744DB"/>
    <w:rsid w:val="08674553"/>
    <w:rsid w:val="086745F5"/>
    <w:rsid w:val="08674607"/>
    <w:rsid w:val="086746AA"/>
    <w:rsid w:val="086746ED"/>
    <w:rsid w:val="0867479D"/>
    <w:rsid w:val="0867495F"/>
    <w:rsid w:val="08674974"/>
    <w:rsid w:val="08674984"/>
    <w:rsid w:val="086749A2"/>
    <w:rsid w:val="086749CC"/>
    <w:rsid w:val="08674A69"/>
    <w:rsid w:val="08674AA8"/>
    <w:rsid w:val="08674B40"/>
    <w:rsid w:val="08674B79"/>
    <w:rsid w:val="08674BB4"/>
    <w:rsid w:val="08674C13"/>
    <w:rsid w:val="08674C33"/>
    <w:rsid w:val="08674CCC"/>
    <w:rsid w:val="08674D59"/>
    <w:rsid w:val="08674D6E"/>
    <w:rsid w:val="08674F18"/>
    <w:rsid w:val="08674F43"/>
    <w:rsid w:val="08674F8C"/>
    <w:rsid w:val="086750CC"/>
    <w:rsid w:val="086750D4"/>
    <w:rsid w:val="0867514A"/>
    <w:rsid w:val="0867519E"/>
    <w:rsid w:val="086752CE"/>
    <w:rsid w:val="08675401"/>
    <w:rsid w:val="086754C5"/>
    <w:rsid w:val="086754DC"/>
    <w:rsid w:val="086756B9"/>
    <w:rsid w:val="08675755"/>
    <w:rsid w:val="08675799"/>
    <w:rsid w:val="086757CB"/>
    <w:rsid w:val="08675860"/>
    <w:rsid w:val="086758FC"/>
    <w:rsid w:val="08675946"/>
    <w:rsid w:val="0867594C"/>
    <w:rsid w:val="0867595F"/>
    <w:rsid w:val="086759AA"/>
    <w:rsid w:val="08675B65"/>
    <w:rsid w:val="08675BCC"/>
    <w:rsid w:val="08675E3F"/>
    <w:rsid w:val="08675EA0"/>
    <w:rsid w:val="08675F47"/>
    <w:rsid w:val="08675FA1"/>
    <w:rsid w:val="08675FCE"/>
    <w:rsid w:val="08676009"/>
    <w:rsid w:val="0867606C"/>
    <w:rsid w:val="0867612B"/>
    <w:rsid w:val="08676167"/>
    <w:rsid w:val="086761BE"/>
    <w:rsid w:val="08676229"/>
    <w:rsid w:val="086762A0"/>
    <w:rsid w:val="08676311"/>
    <w:rsid w:val="086765B7"/>
    <w:rsid w:val="08676626"/>
    <w:rsid w:val="0867671F"/>
    <w:rsid w:val="0867676A"/>
    <w:rsid w:val="086767AD"/>
    <w:rsid w:val="086767D8"/>
    <w:rsid w:val="086768CA"/>
    <w:rsid w:val="0867693C"/>
    <w:rsid w:val="086769DD"/>
    <w:rsid w:val="08676A2F"/>
    <w:rsid w:val="08676A52"/>
    <w:rsid w:val="08676A99"/>
    <w:rsid w:val="08676B7D"/>
    <w:rsid w:val="08676B94"/>
    <w:rsid w:val="08676BE0"/>
    <w:rsid w:val="08676C62"/>
    <w:rsid w:val="08676C6C"/>
    <w:rsid w:val="08676CEF"/>
    <w:rsid w:val="08676E61"/>
    <w:rsid w:val="08676EA5"/>
    <w:rsid w:val="08676FEF"/>
    <w:rsid w:val="08677097"/>
    <w:rsid w:val="086770C2"/>
    <w:rsid w:val="0867726B"/>
    <w:rsid w:val="086773D6"/>
    <w:rsid w:val="0867745B"/>
    <w:rsid w:val="0867747B"/>
    <w:rsid w:val="086774AF"/>
    <w:rsid w:val="086774CA"/>
    <w:rsid w:val="086774F9"/>
    <w:rsid w:val="08677578"/>
    <w:rsid w:val="086775B7"/>
    <w:rsid w:val="086775BE"/>
    <w:rsid w:val="086776BA"/>
    <w:rsid w:val="086776C2"/>
    <w:rsid w:val="0867785C"/>
    <w:rsid w:val="086779EA"/>
    <w:rsid w:val="08677A7C"/>
    <w:rsid w:val="08677AC6"/>
    <w:rsid w:val="08677AE8"/>
    <w:rsid w:val="08677B76"/>
    <w:rsid w:val="08677BB0"/>
    <w:rsid w:val="08677BC7"/>
    <w:rsid w:val="08677C6D"/>
    <w:rsid w:val="08677E0D"/>
    <w:rsid w:val="08677E7B"/>
    <w:rsid w:val="08677EF4"/>
    <w:rsid w:val="08677F27"/>
    <w:rsid w:val="08677F31"/>
    <w:rsid w:val="08677F44"/>
    <w:rsid w:val="08680041"/>
    <w:rsid w:val="086800B3"/>
    <w:rsid w:val="0868017B"/>
    <w:rsid w:val="0868019B"/>
    <w:rsid w:val="086801D2"/>
    <w:rsid w:val="086801F2"/>
    <w:rsid w:val="08680332"/>
    <w:rsid w:val="08680376"/>
    <w:rsid w:val="086803CE"/>
    <w:rsid w:val="0868043C"/>
    <w:rsid w:val="08680446"/>
    <w:rsid w:val="08680458"/>
    <w:rsid w:val="086804CF"/>
    <w:rsid w:val="0868052F"/>
    <w:rsid w:val="0868053A"/>
    <w:rsid w:val="08680567"/>
    <w:rsid w:val="0868057D"/>
    <w:rsid w:val="08680618"/>
    <w:rsid w:val="086806A1"/>
    <w:rsid w:val="08680805"/>
    <w:rsid w:val="08680833"/>
    <w:rsid w:val="0868084C"/>
    <w:rsid w:val="0868085B"/>
    <w:rsid w:val="086808DB"/>
    <w:rsid w:val="086808E1"/>
    <w:rsid w:val="0868094B"/>
    <w:rsid w:val="086809B6"/>
    <w:rsid w:val="086809E6"/>
    <w:rsid w:val="08680BAA"/>
    <w:rsid w:val="08680BBB"/>
    <w:rsid w:val="08680BE9"/>
    <w:rsid w:val="08680C41"/>
    <w:rsid w:val="08680CD8"/>
    <w:rsid w:val="08680D9A"/>
    <w:rsid w:val="08680EBE"/>
    <w:rsid w:val="08680F4C"/>
    <w:rsid w:val="08680F8E"/>
    <w:rsid w:val="08681024"/>
    <w:rsid w:val="0868106B"/>
    <w:rsid w:val="08681071"/>
    <w:rsid w:val="08681184"/>
    <w:rsid w:val="0868119E"/>
    <w:rsid w:val="086811BC"/>
    <w:rsid w:val="0868122E"/>
    <w:rsid w:val="0868137D"/>
    <w:rsid w:val="0868138C"/>
    <w:rsid w:val="086813F2"/>
    <w:rsid w:val="0868148E"/>
    <w:rsid w:val="08681499"/>
    <w:rsid w:val="086814F3"/>
    <w:rsid w:val="08681692"/>
    <w:rsid w:val="086816AD"/>
    <w:rsid w:val="086816C5"/>
    <w:rsid w:val="08681804"/>
    <w:rsid w:val="0868189C"/>
    <w:rsid w:val="08681931"/>
    <w:rsid w:val="086819F4"/>
    <w:rsid w:val="08681AD9"/>
    <w:rsid w:val="08681B95"/>
    <w:rsid w:val="08681C5E"/>
    <w:rsid w:val="08681C81"/>
    <w:rsid w:val="08681C8B"/>
    <w:rsid w:val="08681E17"/>
    <w:rsid w:val="08681E71"/>
    <w:rsid w:val="08681E82"/>
    <w:rsid w:val="08681F54"/>
    <w:rsid w:val="08681F7A"/>
    <w:rsid w:val="08681F9D"/>
    <w:rsid w:val="0868207D"/>
    <w:rsid w:val="086820E7"/>
    <w:rsid w:val="0868212B"/>
    <w:rsid w:val="0868216F"/>
    <w:rsid w:val="086821DB"/>
    <w:rsid w:val="086821EB"/>
    <w:rsid w:val="08682251"/>
    <w:rsid w:val="08682319"/>
    <w:rsid w:val="08682330"/>
    <w:rsid w:val="0868237D"/>
    <w:rsid w:val="08682389"/>
    <w:rsid w:val="08682475"/>
    <w:rsid w:val="08682529"/>
    <w:rsid w:val="08682626"/>
    <w:rsid w:val="0868274A"/>
    <w:rsid w:val="08682765"/>
    <w:rsid w:val="086827B4"/>
    <w:rsid w:val="08682800"/>
    <w:rsid w:val="086828DE"/>
    <w:rsid w:val="08682912"/>
    <w:rsid w:val="086829FC"/>
    <w:rsid w:val="08682A23"/>
    <w:rsid w:val="08682A51"/>
    <w:rsid w:val="08682AE8"/>
    <w:rsid w:val="08682B03"/>
    <w:rsid w:val="08682C0E"/>
    <w:rsid w:val="08682D0C"/>
    <w:rsid w:val="08682D1C"/>
    <w:rsid w:val="08682D84"/>
    <w:rsid w:val="08682D9C"/>
    <w:rsid w:val="08682DB8"/>
    <w:rsid w:val="08682E2C"/>
    <w:rsid w:val="08682F15"/>
    <w:rsid w:val="08682FB6"/>
    <w:rsid w:val="086830DC"/>
    <w:rsid w:val="086830E7"/>
    <w:rsid w:val="08683117"/>
    <w:rsid w:val="0868312F"/>
    <w:rsid w:val="0868317A"/>
    <w:rsid w:val="0868326B"/>
    <w:rsid w:val="08683285"/>
    <w:rsid w:val="086832FC"/>
    <w:rsid w:val="0868332B"/>
    <w:rsid w:val="0868360B"/>
    <w:rsid w:val="08683659"/>
    <w:rsid w:val="086836DE"/>
    <w:rsid w:val="086836EE"/>
    <w:rsid w:val="08683772"/>
    <w:rsid w:val="0868378F"/>
    <w:rsid w:val="086837A5"/>
    <w:rsid w:val="086837DC"/>
    <w:rsid w:val="08683812"/>
    <w:rsid w:val="0868397D"/>
    <w:rsid w:val="086839C7"/>
    <w:rsid w:val="086839D3"/>
    <w:rsid w:val="086839E4"/>
    <w:rsid w:val="08683A73"/>
    <w:rsid w:val="08683B26"/>
    <w:rsid w:val="08683B3B"/>
    <w:rsid w:val="08683BEC"/>
    <w:rsid w:val="08683BFE"/>
    <w:rsid w:val="08683CD2"/>
    <w:rsid w:val="08683CD5"/>
    <w:rsid w:val="08683D41"/>
    <w:rsid w:val="08683E6E"/>
    <w:rsid w:val="08683E85"/>
    <w:rsid w:val="08683EDF"/>
    <w:rsid w:val="08683F62"/>
    <w:rsid w:val="08683F87"/>
    <w:rsid w:val="0868408B"/>
    <w:rsid w:val="08684090"/>
    <w:rsid w:val="086840D4"/>
    <w:rsid w:val="08684123"/>
    <w:rsid w:val="0868417F"/>
    <w:rsid w:val="086841BD"/>
    <w:rsid w:val="086841C5"/>
    <w:rsid w:val="08684226"/>
    <w:rsid w:val="086843BE"/>
    <w:rsid w:val="0868447B"/>
    <w:rsid w:val="08684482"/>
    <w:rsid w:val="086845BD"/>
    <w:rsid w:val="0868467A"/>
    <w:rsid w:val="08684683"/>
    <w:rsid w:val="086846A7"/>
    <w:rsid w:val="08684753"/>
    <w:rsid w:val="086848C8"/>
    <w:rsid w:val="086848D6"/>
    <w:rsid w:val="086848EA"/>
    <w:rsid w:val="0868492A"/>
    <w:rsid w:val="08684AC1"/>
    <w:rsid w:val="08684B23"/>
    <w:rsid w:val="08684B3F"/>
    <w:rsid w:val="08684BA9"/>
    <w:rsid w:val="08684BE3"/>
    <w:rsid w:val="08684C6F"/>
    <w:rsid w:val="08684D3B"/>
    <w:rsid w:val="08684D95"/>
    <w:rsid w:val="08684DA5"/>
    <w:rsid w:val="08684DAF"/>
    <w:rsid w:val="08684FA0"/>
    <w:rsid w:val="08685005"/>
    <w:rsid w:val="08685075"/>
    <w:rsid w:val="086850BB"/>
    <w:rsid w:val="0868533D"/>
    <w:rsid w:val="086853CF"/>
    <w:rsid w:val="08685466"/>
    <w:rsid w:val="08685477"/>
    <w:rsid w:val="086854AC"/>
    <w:rsid w:val="086854C0"/>
    <w:rsid w:val="086854C3"/>
    <w:rsid w:val="0868553F"/>
    <w:rsid w:val="0868557E"/>
    <w:rsid w:val="0868568A"/>
    <w:rsid w:val="086856BF"/>
    <w:rsid w:val="086856C0"/>
    <w:rsid w:val="086857A3"/>
    <w:rsid w:val="086857E0"/>
    <w:rsid w:val="0868586B"/>
    <w:rsid w:val="086858F4"/>
    <w:rsid w:val="08685973"/>
    <w:rsid w:val="08685A85"/>
    <w:rsid w:val="08685AEB"/>
    <w:rsid w:val="08685AEF"/>
    <w:rsid w:val="08685BD4"/>
    <w:rsid w:val="08685C1F"/>
    <w:rsid w:val="08685C5D"/>
    <w:rsid w:val="08685CE7"/>
    <w:rsid w:val="08685D70"/>
    <w:rsid w:val="08685DA9"/>
    <w:rsid w:val="08685DB5"/>
    <w:rsid w:val="0868603C"/>
    <w:rsid w:val="08686052"/>
    <w:rsid w:val="08686082"/>
    <w:rsid w:val="086860C9"/>
    <w:rsid w:val="08686265"/>
    <w:rsid w:val="086862E8"/>
    <w:rsid w:val="086863A2"/>
    <w:rsid w:val="086864CD"/>
    <w:rsid w:val="086864D0"/>
    <w:rsid w:val="0868668C"/>
    <w:rsid w:val="0868672D"/>
    <w:rsid w:val="086867EC"/>
    <w:rsid w:val="08686819"/>
    <w:rsid w:val="08686891"/>
    <w:rsid w:val="086868B7"/>
    <w:rsid w:val="08686A05"/>
    <w:rsid w:val="08686A67"/>
    <w:rsid w:val="08686A70"/>
    <w:rsid w:val="08686ACF"/>
    <w:rsid w:val="08686B85"/>
    <w:rsid w:val="08686BB5"/>
    <w:rsid w:val="08686BC0"/>
    <w:rsid w:val="08686C3E"/>
    <w:rsid w:val="08686CA8"/>
    <w:rsid w:val="08686D0F"/>
    <w:rsid w:val="08686D13"/>
    <w:rsid w:val="08686E30"/>
    <w:rsid w:val="08686E39"/>
    <w:rsid w:val="08686E6E"/>
    <w:rsid w:val="08686F7E"/>
    <w:rsid w:val="08686FBA"/>
    <w:rsid w:val="08687033"/>
    <w:rsid w:val="0868714B"/>
    <w:rsid w:val="08687170"/>
    <w:rsid w:val="086871C4"/>
    <w:rsid w:val="0868723C"/>
    <w:rsid w:val="0868746C"/>
    <w:rsid w:val="086874F7"/>
    <w:rsid w:val="0868755D"/>
    <w:rsid w:val="086876B3"/>
    <w:rsid w:val="086876BB"/>
    <w:rsid w:val="086876D5"/>
    <w:rsid w:val="0868771D"/>
    <w:rsid w:val="08687761"/>
    <w:rsid w:val="086877B9"/>
    <w:rsid w:val="086877CB"/>
    <w:rsid w:val="086878FE"/>
    <w:rsid w:val="086879A9"/>
    <w:rsid w:val="086879D5"/>
    <w:rsid w:val="08687A22"/>
    <w:rsid w:val="08687AA2"/>
    <w:rsid w:val="08687B00"/>
    <w:rsid w:val="08687B03"/>
    <w:rsid w:val="08687B79"/>
    <w:rsid w:val="08687BDC"/>
    <w:rsid w:val="08687CF4"/>
    <w:rsid w:val="08687DC0"/>
    <w:rsid w:val="08687E3D"/>
    <w:rsid w:val="08687E9E"/>
    <w:rsid w:val="08687FB5"/>
    <w:rsid w:val="08690033"/>
    <w:rsid w:val="0869008C"/>
    <w:rsid w:val="086900A9"/>
    <w:rsid w:val="0869019F"/>
    <w:rsid w:val="086901B7"/>
    <w:rsid w:val="08690452"/>
    <w:rsid w:val="08690499"/>
    <w:rsid w:val="08690768"/>
    <w:rsid w:val="086907C7"/>
    <w:rsid w:val="0869080D"/>
    <w:rsid w:val="0869084F"/>
    <w:rsid w:val="0869089E"/>
    <w:rsid w:val="086908F7"/>
    <w:rsid w:val="0869095E"/>
    <w:rsid w:val="086909CA"/>
    <w:rsid w:val="08690ACA"/>
    <w:rsid w:val="08690AD3"/>
    <w:rsid w:val="08690B62"/>
    <w:rsid w:val="08690B89"/>
    <w:rsid w:val="08690C59"/>
    <w:rsid w:val="08690CF2"/>
    <w:rsid w:val="08690DDC"/>
    <w:rsid w:val="08690F23"/>
    <w:rsid w:val="08690F61"/>
    <w:rsid w:val="08690FA2"/>
    <w:rsid w:val="08691050"/>
    <w:rsid w:val="08691087"/>
    <w:rsid w:val="08691163"/>
    <w:rsid w:val="086912F6"/>
    <w:rsid w:val="086913BE"/>
    <w:rsid w:val="086913C2"/>
    <w:rsid w:val="0869150B"/>
    <w:rsid w:val="08691539"/>
    <w:rsid w:val="08691548"/>
    <w:rsid w:val="086915FC"/>
    <w:rsid w:val="0869161C"/>
    <w:rsid w:val="0869173E"/>
    <w:rsid w:val="086917C3"/>
    <w:rsid w:val="086919AF"/>
    <w:rsid w:val="086919D7"/>
    <w:rsid w:val="08691A7F"/>
    <w:rsid w:val="08691B76"/>
    <w:rsid w:val="08691BDF"/>
    <w:rsid w:val="08691BE9"/>
    <w:rsid w:val="08691C2E"/>
    <w:rsid w:val="08691CAE"/>
    <w:rsid w:val="08691D4E"/>
    <w:rsid w:val="08691F1D"/>
    <w:rsid w:val="08691F25"/>
    <w:rsid w:val="08691F63"/>
    <w:rsid w:val="08691F6F"/>
    <w:rsid w:val="08691FA1"/>
    <w:rsid w:val="08691FD6"/>
    <w:rsid w:val="0869211C"/>
    <w:rsid w:val="086921A6"/>
    <w:rsid w:val="086921E0"/>
    <w:rsid w:val="08692214"/>
    <w:rsid w:val="08692229"/>
    <w:rsid w:val="08692340"/>
    <w:rsid w:val="0869234F"/>
    <w:rsid w:val="086923E5"/>
    <w:rsid w:val="08692469"/>
    <w:rsid w:val="08692518"/>
    <w:rsid w:val="0869258B"/>
    <w:rsid w:val="086925C2"/>
    <w:rsid w:val="086925E1"/>
    <w:rsid w:val="0869274B"/>
    <w:rsid w:val="08692787"/>
    <w:rsid w:val="086927B4"/>
    <w:rsid w:val="086927C9"/>
    <w:rsid w:val="0869282B"/>
    <w:rsid w:val="0869286A"/>
    <w:rsid w:val="08692883"/>
    <w:rsid w:val="08692962"/>
    <w:rsid w:val="08692985"/>
    <w:rsid w:val="086929A7"/>
    <w:rsid w:val="08692A0F"/>
    <w:rsid w:val="08692A56"/>
    <w:rsid w:val="08692AD6"/>
    <w:rsid w:val="08692C1D"/>
    <w:rsid w:val="08692D81"/>
    <w:rsid w:val="08692E3B"/>
    <w:rsid w:val="08692E48"/>
    <w:rsid w:val="08692F33"/>
    <w:rsid w:val="0869303A"/>
    <w:rsid w:val="086930B0"/>
    <w:rsid w:val="086930CF"/>
    <w:rsid w:val="0869318E"/>
    <w:rsid w:val="086931D4"/>
    <w:rsid w:val="08693200"/>
    <w:rsid w:val="08693205"/>
    <w:rsid w:val="086932CC"/>
    <w:rsid w:val="086934A0"/>
    <w:rsid w:val="0869352D"/>
    <w:rsid w:val="086935A4"/>
    <w:rsid w:val="086935C1"/>
    <w:rsid w:val="08693659"/>
    <w:rsid w:val="0869370C"/>
    <w:rsid w:val="086937D0"/>
    <w:rsid w:val="08693828"/>
    <w:rsid w:val="08693865"/>
    <w:rsid w:val="0869387A"/>
    <w:rsid w:val="086938CE"/>
    <w:rsid w:val="086938D8"/>
    <w:rsid w:val="08693AC2"/>
    <w:rsid w:val="08693AE7"/>
    <w:rsid w:val="08693B3F"/>
    <w:rsid w:val="08693C81"/>
    <w:rsid w:val="08693D24"/>
    <w:rsid w:val="08693D8D"/>
    <w:rsid w:val="08693E16"/>
    <w:rsid w:val="08693E41"/>
    <w:rsid w:val="08693E4F"/>
    <w:rsid w:val="08693ED2"/>
    <w:rsid w:val="08693F3C"/>
    <w:rsid w:val="08693F65"/>
    <w:rsid w:val="08693FCC"/>
    <w:rsid w:val="0869419D"/>
    <w:rsid w:val="086941AB"/>
    <w:rsid w:val="086941FE"/>
    <w:rsid w:val="0869421A"/>
    <w:rsid w:val="0869423E"/>
    <w:rsid w:val="086942B1"/>
    <w:rsid w:val="08694373"/>
    <w:rsid w:val="08694393"/>
    <w:rsid w:val="08694424"/>
    <w:rsid w:val="08694431"/>
    <w:rsid w:val="08694585"/>
    <w:rsid w:val="0869464C"/>
    <w:rsid w:val="08694658"/>
    <w:rsid w:val="08694745"/>
    <w:rsid w:val="0869476E"/>
    <w:rsid w:val="08694791"/>
    <w:rsid w:val="086947BF"/>
    <w:rsid w:val="086947F0"/>
    <w:rsid w:val="0869483A"/>
    <w:rsid w:val="086949A6"/>
    <w:rsid w:val="08694A5C"/>
    <w:rsid w:val="08694BA4"/>
    <w:rsid w:val="08694BF2"/>
    <w:rsid w:val="08694D0C"/>
    <w:rsid w:val="08694D34"/>
    <w:rsid w:val="08694E31"/>
    <w:rsid w:val="08694F8F"/>
    <w:rsid w:val="08694FB3"/>
    <w:rsid w:val="08695001"/>
    <w:rsid w:val="086950DF"/>
    <w:rsid w:val="08695109"/>
    <w:rsid w:val="0869516B"/>
    <w:rsid w:val="08695176"/>
    <w:rsid w:val="0869524D"/>
    <w:rsid w:val="0869530A"/>
    <w:rsid w:val="08695331"/>
    <w:rsid w:val="086953DB"/>
    <w:rsid w:val="0869542E"/>
    <w:rsid w:val="08695453"/>
    <w:rsid w:val="0869548A"/>
    <w:rsid w:val="08695568"/>
    <w:rsid w:val="0869564A"/>
    <w:rsid w:val="086956A5"/>
    <w:rsid w:val="086956BB"/>
    <w:rsid w:val="08695725"/>
    <w:rsid w:val="08695742"/>
    <w:rsid w:val="086957CE"/>
    <w:rsid w:val="08695834"/>
    <w:rsid w:val="086958C7"/>
    <w:rsid w:val="0869590C"/>
    <w:rsid w:val="0869598E"/>
    <w:rsid w:val="086959F0"/>
    <w:rsid w:val="08695ABA"/>
    <w:rsid w:val="08695AC4"/>
    <w:rsid w:val="08695AD9"/>
    <w:rsid w:val="08695B57"/>
    <w:rsid w:val="08695BA2"/>
    <w:rsid w:val="08695CA8"/>
    <w:rsid w:val="08695D98"/>
    <w:rsid w:val="08695E2B"/>
    <w:rsid w:val="08695E6D"/>
    <w:rsid w:val="08695F07"/>
    <w:rsid w:val="08695F14"/>
    <w:rsid w:val="08695F56"/>
    <w:rsid w:val="08695F87"/>
    <w:rsid w:val="08696017"/>
    <w:rsid w:val="08696019"/>
    <w:rsid w:val="08696067"/>
    <w:rsid w:val="08696118"/>
    <w:rsid w:val="086962BB"/>
    <w:rsid w:val="086962F3"/>
    <w:rsid w:val="08696303"/>
    <w:rsid w:val="08696347"/>
    <w:rsid w:val="0869649B"/>
    <w:rsid w:val="086964A8"/>
    <w:rsid w:val="086964BA"/>
    <w:rsid w:val="08696514"/>
    <w:rsid w:val="08696543"/>
    <w:rsid w:val="08696564"/>
    <w:rsid w:val="0869656D"/>
    <w:rsid w:val="086966CE"/>
    <w:rsid w:val="086966D6"/>
    <w:rsid w:val="0869672D"/>
    <w:rsid w:val="0869673F"/>
    <w:rsid w:val="08696784"/>
    <w:rsid w:val="0869683D"/>
    <w:rsid w:val="08696881"/>
    <w:rsid w:val="0869698A"/>
    <w:rsid w:val="08696A75"/>
    <w:rsid w:val="08696B1B"/>
    <w:rsid w:val="08696B1E"/>
    <w:rsid w:val="08696C29"/>
    <w:rsid w:val="08696C76"/>
    <w:rsid w:val="08696D53"/>
    <w:rsid w:val="08696E43"/>
    <w:rsid w:val="08696E82"/>
    <w:rsid w:val="08696FDC"/>
    <w:rsid w:val="086970B4"/>
    <w:rsid w:val="086970C8"/>
    <w:rsid w:val="086970CE"/>
    <w:rsid w:val="08697175"/>
    <w:rsid w:val="0869718C"/>
    <w:rsid w:val="086971C8"/>
    <w:rsid w:val="08697204"/>
    <w:rsid w:val="0869724B"/>
    <w:rsid w:val="08697261"/>
    <w:rsid w:val="08697276"/>
    <w:rsid w:val="08697281"/>
    <w:rsid w:val="0869728A"/>
    <w:rsid w:val="086972B8"/>
    <w:rsid w:val="08697310"/>
    <w:rsid w:val="08697335"/>
    <w:rsid w:val="08697399"/>
    <w:rsid w:val="0869743C"/>
    <w:rsid w:val="0869751D"/>
    <w:rsid w:val="08697775"/>
    <w:rsid w:val="086977B5"/>
    <w:rsid w:val="086977F4"/>
    <w:rsid w:val="0869782C"/>
    <w:rsid w:val="0869785C"/>
    <w:rsid w:val="0869786B"/>
    <w:rsid w:val="086978B0"/>
    <w:rsid w:val="086978CF"/>
    <w:rsid w:val="08697965"/>
    <w:rsid w:val="0869796B"/>
    <w:rsid w:val="08697974"/>
    <w:rsid w:val="08697985"/>
    <w:rsid w:val="086979C9"/>
    <w:rsid w:val="08697A29"/>
    <w:rsid w:val="08697A4F"/>
    <w:rsid w:val="08697BB0"/>
    <w:rsid w:val="08697BB1"/>
    <w:rsid w:val="08697C60"/>
    <w:rsid w:val="08697C6F"/>
    <w:rsid w:val="08697CD8"/>
    <w:rsid w:val="08697D74"/>
    <w:rsid w:val="08697DB6"/>
    <w:rsid w:val="08697DC3"/>
    <w:rsid w:val="08697DFA"/>
    <w:rsid w:val="08697E19"/>
    <w:rsid w:val="08697E55"/>
    <w:rsid w:val="08697E58"/>
    <w:rsid w:val="08697F69"/>
    <w:rsid w:val="086A004A"/>
    <w:rsid w:val="086A00D2"/>
    <w:rsid w:val="086A00FB"/>
    <w:rsid w:val="086A01CE"/>
    <w:rsid w:val="086A0363"/>
    <w:rsid w:val="086A037A"/>
    <w:rsid w:val="086A03A0"/>
    <w:rsid w:val="086A03A5"/>
    <w:rsid w:val="086A03AF"/>
    <w:rsid w:val="086A0407"/>
    <w:rsid w:val="086A0577"/>
    <w:rsid w:val="086A0588"/>
    <w:rsid w:val="086A05A8"/>
    <w:rsid w:val="086A0638"/>
    <w:rsid w:val="086A0687"/>
    <w:rsid w:val="086A0740"/>
    <w:rsid w:val="086A0745"/>
    <w:rsid w:val="086A0754"/>
    <w:rsid w:val="086A077C"/>
    <w:rsid w:val="086A0822"/>
    <w:rsid w:val="086A08A2"/>
    <w:rsid w:val="086A08BD"/>
    <w:rsid w:val="086A08E3"/>
    <w:rsid w:val="086A08ED"/>
    <w:rsid w:val="086A090D"/>
    <w:rsid w:val="086A093A"/>
    <w:rsid w:val="086A0A0B"/>
    <w:rsid w:val="086A0AA5"/>
    <w:rsid w:val="086A0B04"/>
    <w:rsid w:val="086A0B41"/>
    <w:rsid w:val="086A0B53"/>
    <w:rsid w:val="086A0B6D"/>
    <w:rsid w:val="086A0BF3"/>
    <w:rsid w:val="086A0C5C"/>
    <w:rsid w:val="086A0D10"/>
    <w:rsid w:val="086A0E17"/>
    <w:rsid w:val="086A0E81"/>
    <w:rsid w:val="086A0E8B"/>
    <w:rsid w:val="086A0EC7"/>
    <w:rsid w:val="086A0EE1"/>
    <w:rsid w:val="086A0F50"/>
    <w:rsid w:val="086A0F55"/>
    <w:rsid w:val="086A106B"/>
    <w:rsid w:val="086A1077"/>
    <w:rsid w:val="086A10B0"/>
    <w:rsid w:val="086A10E8"/>
    <w:rsid w:val="086A1102"/>
    <w:rsid w:val="086A1124"/>
    <w:rsid w:val="086A1146"/>
    <w:rsid w:val="086A11A6"/>
    <w:rsid w:val="086A11C3"/>
    <w:rsid w:val="086A1212"/>
    <w:rsid w:val="086A12BB"/>
    <w:rsid w:val="086A12E7"/>
    <w:rsid w:val="086A13FC"/>
    <w:rsid w:val="086A1467"/>
    <w:rsid w:val="086A1473"/>
    <w:rsid w:val="086A14CC"/>
    <w:rsid w:val="086A150E"/>
    <w:rsid w:val="086A15A7"/>
    <w:rsid w:val="086A1658"/>
    <w:rsid w:val="086A1665"/>
    <w:rsid w:val="086A16D7"/>
    <w:rsid w:val="086A16FE"/>
    <w:rsid w:val="086A1715"/>
    <w:rsid w:val="086A17A7"/>
    <w:rsid w:val="086A1800"/>
    <w:rsid w:val="086A18F7"/>
    <w:rsid w:val="086A19F5"/>
    <w:rsid w:val="086A19F7"/>
    <w:rsid w:val="086A1AB1"/>
    <w:rsid w:val="086A1B34"/>
    <w:rsid w:val="086A1B57"/>
    <w:rsid w:val="086A1BCF"/>
    <w:rsid w:val="086A1BD9"/>
    <w:rsid w:val="086A1C48"/>
    <w:rsid w:val="086A1C82"/>
    <w:rsid w:val="086A1CAE"/>
    <w:rsid w:val="086A1E64"/>
    <w:rsid w:val="086A1F3F"/>
    <w:rsid w:val="086A1FDA"/>
    <w:rsid w:val="086A2020"/>
    <w:rsid w:val="086A208E"/>
    <w:rsid w:val="086A2190"/>
    <w:rsid w:val="086A2228"/>
    <w:rsid w:val="086A22CB"/>
    <w:rsid w:val="086A232A"/>
    <w:rsid w:val="086A232C"/>
    <w:rsid w:val="086A2384"/>
    <w:rsid w:val="086A23FB"/>
    <w:rsid w:val="086A255A"/>
    <w:rsid w:val="086A2623"/>
    <w:rsid w:val="086A27B1"/>
    <w:rsid w:val="086A2930"/>
    <w:rsid w:val="086A2ADB"/>
    <w:rsid w:val="086A2B7A"/>
    <w:rsid w:val="086A2BF1"/>
    <w:rsid w:val="086A2C8B"/>
    <w:rsid w:val="086A2D6F"/>
    <w:rsid w:val="086A2DC7"/>
    <w:rsid w:val="086A2E11"/>
    <w:rsid w:val="086A2E35"/>
    <w:rsid w:val="086A2E73"/>
    <w:rsid w:val="086A2E83"/>
    <w:rsid w:val="086A2E87"/>
    <w:rsid w:val="086A2F70"/>
    <w:rsid w:val="086A2F90"/>
    <w:rsid w:val="086A2FBE"/>
    <w:rsid w:val="086A3032"/>
    <w:rsid w:val="086A30B0"/>
    <w:rsid w:val="086A3121"/>
    <w:rsid w:val="086A313F"/>
    <w:rsid w:val="086A31E9"/>
    <w:rsid w:val="086A333C"/>
    <w:rsid w:val="086A3421"/>
    <w:rsid w:val="086A345F"/>
    <w:rsid w:val="086A34AE"/>
    <w:rsid w:val="086A34C4"/>
    <w:rsid w:val="086A3542"/>
    <w:rsid w:val="086A3652"/>
    <w:rsid w:val="086A367A"/>
    <w:rsid w:val="086A36C3"/>
    <w:rsid w:val="086A394B"/>
    <w:rsid w:val="086A39CA"/>
    <w:rsid w:val="086A39DE"/>
    <w:rsid w:val="086A3A4A"/>
    <w:rsid w:val="086A3AD0"/>
    <w:rsid w:val="086A3AE0"/>
    <w:rsid w:val="086A3B72"/>
    <w:rsid w:val="086A3BB5"/>
    <w:rsid w:val="086A3C00"/>
    <w:rsid w:val="086A3C85"/>
    <w:rsid w:val="086A3D22"/>
    <w:rsid w:val="086A3D45"/>
    <w:rsid w:val="086A3D50"/>
    <w:rsid w:val="086A3E95"/>
    <w:rsid w:val="086A3F1C"/>
    <w:rsid w:val="086A3F52"/>
    <w:rsid w:val="086A410E"/>
    <w:rsid w:val="086A41CF"/>
    <w:rsid w:val="086A4212"/>
    <w:rsid w:val="086A4229"/>
    <w:rsid w:val="086A4346"/>
    <w:rsid w:val="086A4365"/>
    <w:rsid w:val="086A4388"/>
    <w:rsid w:val="086A43E9"/>
    <w:rsid w:val="086A4427"/>
    <w:rsid w:val="086A449E"/>
    <w:rsid w:val="086A44F5"/>
    <w:rsid w:val="086A458A"/>
    <w:rsid w:val="086A4764"/>
    <w:rsid w:val="086A479C"/>
    <w:rsid w:val="086A480E"/>
    <w:rsid w:val="086A4851"/>
    <w:rsid w:val="086A48BC"/>
    <w:rsid w:val="086A48C0"/>
    <w:rsid w:val="086A4989"/>
    <w:rsid w:val="086A4A09"/>
    <w:rsid w:val="086A4C56"/>
    <w:rsid w:val="086A4D1B"/>
    <w:rsid w:val="086A4D2E"/>
    <w:rsid w:val="086A4E2F"/>
    <w:rsid w:val="086A4E5B"/>
    <w:rsid w:val="086A4EEB"/>
    <w:rsid w:val="086A4F53"/>
    <w:rsid w:val="086A5070"/>
    <w:rsid w:val="086A5140"/>
    <w:rsid w:val="086A5187"/>
    <w:rsid w:val="086A51B6"/>
    <w:rsid w:val="086A5316"/>
    <w:rsid w:val="086A53A8"/>
    <w:rsid w:val="086A54C0"/>
    <w:rsid w:val="086A559C"/>
    <w:rsid w:val="086A56BB"/>
    <w:rsid w:val="086A5719"/>
    <w:rsid w:val="086A5724"/>
    <w:rsid w:val="086A5779"/>
    <w:rsid w:val="086A58B6"/>
    <w:rsid w:val="086A5922"/>
    <w:rsid w:val="086A5962"/>
    <w:rsid w:val="086A5A02"/>
    <w:rsid w:val="086A5AB8"/>
    <w:rsid w:val="086A5B5E"/>
    <w:rsid w:val="086A5B60"/>
    <w:rsid w:val="086A5BB4"/>
    <w:rsid w:val="086A5BDF"/>
    <w:rsid w:val="086A5C21"/>
    <w:rsid w:val="086A5C7F"/>
    <w:rsid w:val="086A5C83"/>
    <w:rsid w:val="086A5D3D"/>
    <w:rsid w:val="086A5D5D"/>
    <w:rsid w:val="086A5ED0"/>
    <w:rsid w:val="086A5EF0"/>
    <w:rsid w:val="086A6045"/>
    <w:rsid w:val="086A60C6"/>
    <w:rsid w:val="086A6128"/>
    <w:rsid w:val="086A6140"/>
    <w:rsid w:val="086A6145"/>
    <w:rsid w:val="086A6181"/>
    <w:rsid w:val="086A618B"/>
    <w:rsid w:val="086A6211"/>
    <w:rsid w:val="086A621D"/>
    <w:rsid w:val="086A623B"/>
    <w:rsid w:val="086A6286"/>
    <w:rsid w:val="086A62B9"/>
    <w:rsid w:val="086A62F6"/>
    <w:rsid w:val="086A62FA"/>
    <w:rsid w:val="086A6382"/>
    <w:rsid w:val="086A6387"/>
    <w:rsid w:val="086A63F1"/>
    <w:rsid w:val="086A6654"/>
    <w:rsid w:val="086A67DB"/>
    <w:rsid w:val="086A687E"/>
    <w:rsid w:val="086A6888"/>
    <w:rsid w:val="086A68DD"/>
    <w:rsid w:val="086A6973"/>
    <w:rsid w:val="086A69A6"/>
    <w:rsid w:val="086A6A4D"/>
    <w:rsid w:val="086A6A6C"/>
    <w:rsid w:val="086A6A86"/>
    <w:rsid w:val="086A6A94"/>
    <w:rsid w:val="086A6B1E"/>
    <w:rsid w:val="086A6B6C"/>
    <w:rsid w:val="086A6BBD"/>
    <w:rsid w:val="086A6C38"/>
    <w:rsid w:val="086A6C71"/>
    <w:rsid w:val="086A6D94"/>
    <w:rsid w:val="086A6E26"/>
    <w:rsid w:val="086A6EA9"/>
    <w:rsid w:val="086A6EBF"/>
    <w:rsid w:val="086A6FA7"/>
    <w:rsid w:val="086A6FD1"/>
    <w:rsid w:val="086A7047"/>
    <w:rsid w:val="086A7059"/>
    <w:rsid w:val="086A70FC"/>
    <w:rsid w:val="086A712E"/>
    <w:rsid w:val="086A7164"/>
    <w:rsid w:val="086A7200"/>
    <w:rsid w:val="086A7216"/>
    <w:rsid w:val="086A727C"/>
    <w:rsid w:val="086A728D"/>
    <w:rsid w:val="086A72B3"/>
    <w:rsid w:val="086A730B"/>
    <w:rsid w:val="086A734D"/>
    <w:rsid w:val="086A73C3"/>
    <w:rsid w:val="086A7440"/>
    <w:rsid w:val="086A74EB"/>
    <w:rsid w:val="086A754F"/>
    <w:rsid w:val="086A7660"/>
    <w:rsid w:val="086A76F1"/>
    <w:rsid w:val="086A773A"/>
    <w:rsid w:val="086A7753"/>
    <w:rsid w:val="086A784F"/>
    <w:rsid w:val="086A7864"/>
    <w:rsid w:val="086A790B"/>
    <w:rsid w:val="086A79BA"/>
    <w:rsid w:val="086A79D6"/>
    <w:rsid w:val="086A7A48"/>
    <w:rsid w:val="086A7A5A"/>
    <w:rsid w:val="086A7B16"/>
    <w:rsid w:val="086A7B53"/>
    <w:rsid w:val="086A7B8D"/>
    <w:rsid w:val="086A7BD2"/>
    <w:rsid w:val="086A7C2A"/>
    <w:rsid w:val="086A7E15"/>
    <w:rsid w:val="086A7E18"/>
    <w:rsid w:val="086A7F7A"/>
    <w:rsid w:val="086A7FA2"/>
    <w:rsid w:val="086B002A"/>
    <w:rsid w:val="086B00D9"/>
    <w:rsid w:val="086B012B"/>
    <w:rsid w:val="086B017B"/>
    <w:rsid w:val="086B018B"/>
    <w:rsid w:val="086B02A4"/>
    <w:rsid w:val="086B0328"/>
    <w:rsid w:val="086B0408"/>
    <w:rsid w:val="086B043E"/>
    <w:rsid w:val="086B0446"/>
    <w:rsid w:val="086B0449"/>
    <w:rsid w:val="086B0477"/>
    <w:rsid w:val="086B04C7"/>
    <w:rsid w:val="086B04D0"/>
    <w:rsid w:val="086B05AE"/>
    <w:rsid w:val="086B05F3"/>
    <w:rsid w:val="086B0604"/>
    <w:rsid w:val="086B0642"/>
    <w:rsid w:val="086B0656"/>
    <w:rsid w:val="086B068D"/>
    <w:rsid w:val="086B0696"/>
    <w:rsid w:val="086B06E9"/>
    <w:rsid w:val="086B073B"/>
    <w:rsid w:val="086B0751"/>
    <w:rsid w:val="086B079C"/>
    <w:rsid w:val="086B0894"/>
    <w:rsid w:val="086B0948"/>
    <w:rsid w:val="086B0975"/>
    <w:rsid w:val="086B09A1"/>
    <w:rsid w:val="086B09F5"/>
    <w:rsid w:val="086B0A5D"/>
    <w:rsid w:val="086B0A63"/>
    <w:rsid w:val="086B0AAB"/>
    <w:rsid w:val="086B0AD0"/>
    <w:rsid w:val="086B0AEE"/>
    <w:rsid w:val="086B0BC6"/>
    <w:rsid w:val="086B0C27"/>
    <w:rsid w:val="086B0C71"/>
    <w:rsid w:val="086B0CE8"/>
    <w:rsid w:val="086B0D3C"/>
    <w:rsid w:val="086B0E7E"/>
    <w:rsid w:val="086B1009"/>
    <w:rsid w:val="086B10B0"/>
    <w:rsid w:val="086B10DE"/>
    <w:rsid w:val="086B10FB"/>
    <w:rsid w:val="086B111F"/>
    <w:rsid w:val="086B1132"/>
    <w:rsid w:val="086B1176"/>
    <w:rsid w:val="086B120A"/>
    <w:rsid w:val="086B1300"/>
    <w:rsid w:val="086B130C"/>
    <w:rsid w:val="086B1399"/>
    <w:rsid w:val="086B1522"/>
    <w:rsid w:val="086B1550"/>
    <w:rsid w:val="086B15B1"/>
    <w:rsid w:val="086B1602"/>
    <w:rsid w:val="086B163A"/>
    <w:rsid w:val="086B1678"/>
    <w:rsid w:val="086B1690"/>
    <w:rsid w:val="086B16C4"/>
    <w:rsid w:val="086B16C7"/>
    <w:rsid w:val="086B1753"/>
    <w:rsid w:val="086B175C"/>
    <w:rsid w:val="086B184A"/>
    <w:rsid w:val="086B18AA"/>
    <w:rsid w:val="086B18CE"/>
    <w:rsid w:val="086B1B0E"/>
    <w:rsid w:val="086B1B6B"/>
    <w:rsid w:val="086B1BD0"/>
    <w:rsid w:val="086B1BF8"/>
    <w:rsid w:val="086B1C1A"/>
    <w:rsid w:val="086B1C72"/>
    <w:rsid w:val="086B1DCC"/>
    <w:rsid w:val="086B1E24"/>
    <w:rsid w:val="086B1EB0"/>
    <w:rsid w:val="086B1EE4"/>
    <w:rsid w:val="086B1EFF"/>
    <w:rsid w:val="086B1F70"/>
    <w:rsid w:val="086B207F"/>
    <w:rsid w:val="086B20AE"/>
    <w:rsid w:val="086B2153"/>
    <w:rsid w:val="086B21CD"/>
    <w:rsid w:val="086B2385"/>
    <w:rsid w:val="086B23B6"/>
    <w:rsid w:val="086B23C4"/>
    <w:rsid w:val="086B2516"/>
    <w:rsid w:val="086B2530"/>
    <w:rsid w:val="086B255B"/>
    <w:rsid w:val="086B256D"/>
    <w:rsid w:val="086B261C"/>
    <w:rsid w:val="086B2746"/>
    <w:rsid w:val="086B283E"/>
    <w:rsid w:val="086B2844"/>
    <w:rsid w:val="086B2885"/>
    <w:rsid w:val="086B289F"/>
    <w:rsid w:val="086B28AB"/>
    <w:rsid w:val="086B2917"/>
    <w:rsid w:val="086B2959"/>
    <w:rsid w:val="086B2A54"/>
    <w:rsid w:val="086B2B0A"/>
    <w:rsid w:val="086B2B89"/>
    <w:rsid w:val="086B2BCA"/>
    <w:rsid w:val="086B2BD6"/>
    <w:rsid w:val="086B2C62"/>
    <w:rsid w:val="086B2CAF"/>
    <w:rsid w:val="086B2CD2"/>
    <w:rsid w:val="086B2D61"/>
    <w:rsid w:val="086B2D8E"/>
    <w:rsid w:val="086B2D91"/>
    <w:rsid w:val="086B2FD3"/>
    <w:rsid w:val="086B3068"/>
    <w:rsid w:val="086B3070"/>
    <w:rsid w:val="086B3094"/>
    <w:rsid w:val="086B3173"/>
    <w:rsid w:val="086B31A3"/>
    <w:rsid w:val="086B3246"/>
    <w:rsid w:val="086B335B"/>
    <w:rsid w:val="086B335C"/>
    <w:rsid w:val="086B33CE"/>
    <w:rsid w:val="086B33E6"/>
    <w:rsid w:val="086B342D"/>
    <w:rsid w:val="086B34C9"/>
    <w:rsid w:val="086B3597"/>
    <w:rsid w:val="086B35CB"/>
    <w:rsid w:val="086B3697"/>
    <w:rsid w:val="086B36C4"/>
    <w:rsid w:val="086B36C8"/>
    <w:rsid w:val="086B36ED"/>
    <w:rsid w:val="086B3701"/>
    <w:rsid w:val="086B391A"/>
    <w:rsid w:val="086B3A08"/>
    <w:rsid w:val="086B3AC7"/>
    <w:rsid w:val="086B3BAF"/>
    <w:rsid w:val="086B3BC9"/>
    <w:rsid w:val="086B3C19"/>
    <w:rsid w:val="086B3C5A"/>
    <w:rsid w:val="086B3D5C"/>
    <w:rsid w:val="086B3D72"/>
    <w:rsid w:val="086B3D8D"/>
    <w:rsid w:val="086B3E11"/>
    <w:rsid w:val="086B3E4A"/>
    <w:rsid w:val="086B3E76"/>
    <w:rsid w:val="086B3EA7"/>
    <w:rsid w:val="086B3F7E"/>
    <w:rsid w:val="086B3F8A"/>
    <w:rsid w:val="086B3FCC"/>
    <w:rsid w:val="086B4007"/>
    <w:rsid w:val="086B4066"/>
    <w:rsid w:val="086B40D5"/>
    <w:rsid w:val="086B40EE"/>
    <w:rsid w:val="086B40F7"/>
    <w:rsid w:val="086B41E0"/>
    <w:rsid w:val="086B4249"/>
    <w:rsid w:val="086B42C2"/>
    <w:rsid w:val="086B4300"/>
    <w:rsid w:val="086B4399"/>
    <w:rsid w:val="086B43D8"/>
    <w:rsid w:val="086B443E"/>
    <w:rsid w:val="086B4445"/>
    <w:rsid w:val="086B4495"/>
    <w:rsid w:val="086B44B4"/>
    <w:rsid w:val="086B4549"/>
    <w:rsid w:val="086B45AA"/>
    <w:rsid w:val="086B45BC"/>
    <w:rsid w:val="086B45CC"/>
    <w:rsid w:val="086B4619"/>
    <w:rsid w:val="086B4664"/>
    <w:rsid w:val="086B46E6"/>
    <w:rsid w:val="086B475E"/>
    <w:rsid w:val="086B477D"/>
    <w:rsid w:val="086B489F"/>
    <w:rsid w:val="086B48BF"/>
    <w:rsid w:val="086B494F"/>
    <w:rsid w:val="086B4953"/>
    <w:rsid w:val="086B4976"/>
    <w:rsid w:val="086B4A40"/>
    <w:rsid w:val="086B4B40"/>
    <w:rsid w:val="086B4B76"/>
    <w:rsid w:val="086B4CB3"/>
    <w:rsid w:val="086B4CB5"/>
    <w:rsid w:val="086B4CBC"/>
    <w:rsid w:val="086B4E2E"/>
    <w:rsid w:val="086B4E6D"/>
    <w:rsid w:val="086B4E9D"/>
    <w:rsid w:val="086B4EF9"/>
    <w:rsid w:val="086B4EFD"/>
    <w:rsid w:val="086B4FD9"/>
    <w:rsid w:val="086B5042"/>
    <w:rsid w:val="086B507F"/>
    <w:rsid w:val="086B50E3"/>
    <w:rsid w:val="086B5128"/>
    <w:rsid w:val="086B518C"/>
    <w:rsid w:val="086B519B"/>
    <w:rsid w:val="086B51A4"/>
    <w:rsid w:val="086B5285"/>
    <w:rsid w:val="086B52F8"/>
    <w:rsid w:val="086B5302"/>
    <w:rsid w:val="086B548E"/>
    <w:rsid w:val="086B554B"/>
    <w:rsid w:val="086B55B6"/>
    <w:rsid w:val="086B5624"/>
    <w:rsid w:val="086B5667"/>
    <w:rsid w:val="086B5685"/>
    <w:rsid w:val="086B572A"/>
    <w:rsid w:val="086B572F"/>
    <w:rsid w:val="086B577D"/>
    <w:rsid w:val="086B58EF"/>
    <w:rsid w:val="086B59CC"/>
    <w:rsid w:val="086B5A2E"/>
    <w:rsid w:val="086B5AD0"/>
    <w:rsid w:val="086B5B54"/>
    <w:rsid w:val="086B5B8E"/>
    <w:rsid w:val="086B5D4A"/>
    <w:rsid w:val="086B5D78"/>
    <w:rsid w:val="086B5DB8"/>
    <w:rsid w:val="086B5DEE"/>
    <w:rsid w:val="086B5E06"/>
    <w:rsid w:val="086B5E60"/>
    <w:rsid w:val="086B5E6E"/>
    <w:rsid w:val="086B5EB7"/>
    <w:rsid w:val="086B5F59"/>
    <w:rsid w:val="086B5F75"/>
    <w:rsid w:val="086B5F92"/>
    <w:rsid w:val="086B5FA9"/>
    <w:rsid w:val="086B5FBA"/>
    <w:rsid w:val="086B60F7"/>
    <w:rsid w:val="086B625C"/>
    <w:rsid w:val="086B627B"/>
    <w:rsid w:val="086B62FB"/>
    <w:rsid w:val="086B632A"/>
    <w:rsid w:val="086B64BB"/>
    <w:rsid w:val="086B651D"/>
    <w:rsid w:val="086B651F"/>
    <w:rsid w:val="086B6524"/>
    <w:rsid w:val="086B656F"/>
    <w:rsid w:val="086B65A4"/>
    <w:rsid w:val="086B6660"/>
    <w:rsid w:val="086B6661"/>
    <w:rsid w:val="086B668C"/>
    <w:rsid w:val="086B66BE"/>
    <w:rsid w:val="086B6705"/>
    <w:rsid w:val="086B6718"/>
    <w:rsid w:val="086B68E0"/>
    <w:rsid w:val="086B692E"/>
    <w:rsid w:val="086B69A9"/>
    <w:rsid w:val="086B69DF"/>
    <w:rsid w:val="086B6AAA"/>
    <w:rsid w:val="086B6AC3"/>
    <w:rsid w:val="086B6C4F"/>
    <w:rsid w:val="086B6C85"/>
    <w:rsid w:val="086B6DFE"/>
    <w:rsid w:val="086B6E6A"/>
    <w:rsid w:val="086B6E6F"/>
    <w:rsid w:val="086B6F80"/>
    <w:rsid w:val="086B70CB"/>
    <w:rsid w:val="086B7167"/>
    <w:rsid w:val="086B71D7"/>
    <w:rsid w:val="086B71EF"/>
    <w:rsid w:val="086B72C4"/>
    <w:rsid w:val="086B72CB"/>
    <w:rsid w:val="086B72E7"/>
    <w:rsid w:val="086B7339"/>
    <w:rsid w:val="086B736D"/>
    <w:rsid w:val="086B740B"/>
    <w:rsid w:val="086B746D"/>
    <w:rsid w:val="086B74D2"/>
    <w:rsid w:val="086B74DE"/>
    <w:rsid w:val="086B7564"/>
    <w:rsid w:val="086B761B"/>
    <w:rsid w:val="086B769E"/>
    <w:rsid w:val="086B7726"/>
    <w:rsid w:val="086B77C7"/>
    <w:rsid w:val="086B78ED"/>
    <w:rsid w:val="086B7971"/>
    <w:rsid w:val="086B7982"/>
    <w:rsid w:val="086B798D"/>
    <w:rsid w:val="086B79E4"/>
    <w:rsid w:val="086B7A2B"/>
    <w:rsid w:val="086B7A97"/>
    <w:rsid w:val="086B7C13"/>
    <w:rsid w:val="086B7C6F"/>
    <w:rsid w:val="086B7D09"/>
    <w:rsid w:val="086B7E5F"/>
    <w:rsid w:val="086B7E65"/>
    <w:rsid w:val="086B7EAD"/>
    <w:rsid w:val="086B7EED"/>
    <w:rsid w:val="086B7F09"/>
    <w:rsid w:val="086B7F82"/>
    <w:rsid w:val="086B7FEC"/>
    <w:rsid w:val="086C001B"/>
    <w:rsid w:val="086C0077"/>
    <w:rsid w:val="086C00A2"/>
    <w:rsid w:val="086C0133"/>
    <w:rsid w:val="086C01AB"/>
    <w:rsid w:val="086C01D4"/>
    <w:rsid w:val="086C01F7"/>
    <w:rsid w:val="086C0239"/>
    <w:rsid w:val="086C030E"/>
    <w:rsid w:val="086C0342"/>
    <w:rsid w:val="086C036F"/>
    <w:rsid w:val="086C03C8"/>
    <w:rsid w:val="086C047F"/>
    <w:rsid w:val="086C0497"/>
    <w:rsid w:val="086C0571"/>
    <w:rsid w:val="086C062D"/>
    <w:rsid w:val="086C0673"/>
    <w:rsid w:val="086C071A"/>
    <w:rsid w:val="086C0723"/>
    <w:rsid w:val="086C0738"/>
    <w:rsid w:val="086C0849"/>
    <w:rsid w:val="086C09DB"/>
    <w:rsid w:val="086C09ED"/>
    <w:rsid w:val="086C0A7C"/>
    <w:rsid w:val="086C0A86"/>
    <w:rsid w:val="086C0AA1"/>
    <w:rsid w:val="086C0AFE"/>
    <w:rsid w:val="086C0B38"/>
    <w:rsid w:val="086C0BF8"/>
    <w:rsid w:val="086C0C19"/>
    <w:rsid w:val="086C0CD3"/>
    <w:rsid w:val="086C0D0D"/>
    <w:rsid w:val="086C0D8B"/>
    <w:rsid w:val="086C0DBB"/>
    <w:rsid w:val="086C0E22"/>
    <w:rsid w:val="086C0E3E"/>
    <w:rsid w:val="086C0F3E"/>
    <w:rsid w:val="086C0FFB"/>
    <w:rsid w:val="086C1013"/>
    <w:rsid w:val="086C105D"/>
    <w:rsid w:val="086C10CF"/>
    <w:rsid w:val="086C10E7"/>
    <w:rsid w:val="086C10ED"/>
    <w:rsid w:val="086C1171"/>
    <w:rsid w:val="086C11B9"/>
    <w:rsid w:val="086C12A6"/>
    <w:rsid w:val="086C155A"/>
    <w:rsid w:val="086C155C"/>
    <w:rsid w:val="086C1618"/>
    <w:rsid w:val="086C1679"/>
    <w:rsid w:val="086C16E6"/>
    <w:rsid w:val="086C170B"/>
    <w:rsid w:val="086C1727"/>
    <w:rsid w:val="086C17DB"/>
    <w:rsid w:val="086C17E6"/>
    <w:rsid w:val="086C197F"/>
    <w:rsid w:val="086C1984"/>
    <w:rsid w:val="086C1A97"/>
    <w:rsid w:val="086C1B71"/>
    <w:rsid w:val="086C1BAB"/>
    <w:rsid w:val="086C1BD8"/>
    <w:rsid w:val="086C1BDD"/>
    <w:rsid w:val="086C1C72"/>
    <w:rsid w:val="086C1C7C"/>
    <w:rsid w:val="086C1D11"/>
    <w:rsid w:val="086C1D41"/>
    <w:rsid w:val="086C1D46"/>
    <w:rsid w:val="086C1D81"/>
    <w:rsid w:val="086C1DC0"/>
    <w:rsid w:val="086C1F19"/>
    <w:rsid w:val="086C1FB2"/>
    <w:rsid w:val="086C1FEC"/>
    <w:rsid w:val="086C1FF5"/>
    <w:rsid w:val="086C2023"/>
    <w:rsid w:val="086C209C"/>
    <w:rsid w:val="086C20BC"/>
    <w:rsid w:val="086C20FC"/>
    <w:rsid w:val="086C2123"/>
    <w:rsid w:val="086C218A"/>
    <w:rsid w:val="086C22D0"/>
    <w:rsid w:val="086C2391"/>
    <w:rsid w:val="086C245A"/>
    <w:rsid w:val="086C2508"/>
    <w:rsid w:val="086C25CA"/>
    <w:rsid w:val="086C25DA"/>
    <w:rsid w:val="086C26C3"/>
    <w:rsid w:val="086C27A8"/>
    <w:rsid w:val="086C2876"/>
    <w:rsid w:val="086C2919"/>
    <w:rsid w:val="086C2948"/>
    <w:rsid w:val="086C29CF"/>
    <w:rsid w:val="086C29D8"/>
    <w:rsid w:val="086C2B00"/>
    <w:rsid w:val="086C2B0C"/>
    <w:rsid w:val="086C2B94"/>
    <w:rsid w:val="086C2BE2"/>
    <w:rsid w:val="086C2C1D"/>
    <w:rsid w:val="086C2C5E"/>
    <w:rsid w:val="086C2CC6"/>
    <w:rsid w:val="086C2D0E"/>
    <w:rsid w:val="086C2E9B"/>
    <w:rsid w:val="086C3126"/>
    <w:rsid w:val="086C3178"/>
    <w:rsid w:val="086C3189"/>
    <w:rsid w:val="086C319D"/>
    <w:rsid w:val="086C31DD"/>
    <w:rsid w:val="086C339F"/>
    <w:rsid w:val="086C33E5"/>
    <w:rsid w:val="086C3411"/>
    <w:rsid w:val="086C3420"/>
    <w:rsid w:val="086C343A"/>
    <w:rsid w:val="086C35A7"/>
    <w:rsid w:val="086C35DF"/>
    <w:rsid w:val="086C365A"/>
    <w:rsid w:val="086C3699"/>
    <w:rsid w:val="086C36DA"/>
    <w:rsid w:val="086C3745"/>
    <w:rsid w:val="086C378B"/>
    <w:rsid w:val="086C37FD"/>
    <w:rsid w:val="086C3840"/>
    <w:rsid w:val="086C3868"/>
    <w:rsid w:val="086C387A"/>
    <w:rsid w:val="086C38A6"/>
    <w:rsid w:val="086C38D3"/>
    <w:rsid w:val="086C390D"/>
    <w:rsid w:val="086C3915"/>
    <w:rsid w:val="086C393F"/>
    <w:rsid w:val="086C3956"/>
    <w:rsid w:val="086C3A90"/>
    <w:rsid w:val="086C3AC3"/>
    <w:rsid w:val="086C3AF8"/>
    <w:rsid w:val="086C3B3B"/>
    <w:rsid w:val="086C3BC7"/>
    <w:rsid w:val="086C3C64"/>
    <w:rsid w:val="086C3D58"/>
    <w:rsid w:val="086C3D59"/>
    <w:rsid w:val="086C3E45"/>
    <w:rsid w:val="086C3E4D"/>
    <w:rsid w:val="086C3F5C"/>
    <w:rsid w:val="086C3FAE"/>
    <w:rsid w:val="086C4037"/>
    <w:rsid w:val="086C405B"/>
    <w:rsid w:val="086C40EA"/>
    <w:rsid w:val="086C4184"/>
    <w:rsid w:val="086C4193"/>
    <w:rsid w:val="086C4386"/>
    <w:rsid w:val="086C444B"/>
    <w:rsid w:val="086C44DE"/>
    <w:rsid w:val="086C4555"/>
    <w:rsid w:val="086C455A"/>
    <w:rsid w:val="086C45C7"/>
    <w:rsid w:val="086C4604"/>
    <w:rsid w:val="086C46A2"/>
    <w:rsid w:val="086C476B"/>
    <w:rsid w:val="086C476F"/>
    <w:rsid w:val="086C479C"/>
    <w:rsid w:val="086C47DF"/>
    <w:rsid w:val="086C49F5"/>
    <w:rsid w:val="086C4A52"/>
    <w:rsid w:val="086C4AB4"/>
    <w:rsid w:val="086C4B22"/>
    <w:rsid w:val="086C4B62"/>
    <w:rsid w:val="086C4BBE"/>
    <w:rsid w:val="086C4C14"/>
    <w:rsid w:val="086C4CEA"/>
    <w:rsid w:val="086C4D6B"/>
    <w:rsid w:val="086C4DBE"/>
    <w:rsid w:val="086C4DE8"/>
    <w:rsid w:val="086C4EC3"/>
    <w:rsid w:val="086C5017"/>
    <w:rsid w:val="086C5025"/>
    <w:rsid w:val="086C5095"/>
    <w:rsid w:val="086C510E"/>
    <w:rsid w:val="086C51C3"/>
    <w:rsid w:val="086C51E6"/>
    <w:rsid w:val="086C5321"/>
    <w:rsid w:val="086C535F"/>
    <w:rsid w:val="086C53C3"/>
    <w:rsid w:val="086C5401"/>
    <w:rsid w:val="086C5592"/>
    <w:rsid w:val="086C56C5"/>
    <w:rsid w:val="086C57FD"/>
    <w:rsid w:val="086C5AE1"/>
    <w:rsid w:val="086C5BBB"/>
    <w:rsid w:val="086C5C18"/>
    <w:rsid w:val="086C5C28"/>
    <w:rsid w:val="086C5C30"/>
    <w:rsid w:val="086C5C35"/>
    <w:rsid w:val="086C5CE1"/>
    <w:rsid w:val="086C5CEF"/>
    <w:rsid w:val="086C5D7C"/>
    <w:rsid w:val="086C5D9E"/>
    <w:rsid w:val="086C5DCE"/>
    <w:rsid w:val="086C5DD3"/>
    <w:rsid w:val="086C5E3E"/>
    <w:rsid w:val="086C6056"/>
    <w:rsid w:val="086C6068"/>
    <w:rsid w:val="086C61FE"/>
    <w:rsid w:val="086C623F"/>
    <w:rsid w:val="086C6367"/>
    <w:rsid w:val="086C6460"/>
    <w:rsid w:val="086C646A"/>
    <w:rsid w:val="086C64C3"/>
    <w:rsid w:val="086C64F4"/>
    <w:rsid w:val="086C6578"/>
    <w:rsid w:val="086C6679"/>
    <w:rsid w:val="086C66F1"/>
    <w:rsid w:val="086C6712"/>
    <w:rsid w:val="086C6718"/>
    <w:rsid w:val="086C6782"/>
    <w:rsid w:val="086C67AA"/>
    <w:rsid w:val="086C67DD"/>
    <w:rsid w:val="086C680E"/>
    <w:rsid w:val="086C6821"/>
    <w:rsid w:val="086C6984"/>
    <w:rsid w:val="086C6A18"/>
    <w:rsid w:val="086C6B1C"/>
    <w:rsid w:val="086C6B6D"/>
    <w:rsid w:val="086C6B8E"/>
    <w:rsid w:val="086C6C1D"/>
    <w:rsid w:val="086C6C33"/>
    <w:rsid w:val="086C6C9C"/>
    <w:rsid w:val="086C6E0E"/>
    <w:rsid w:val="086C6EE7"/>
    <w:rsid w:val="086C6F2B"/>
    <w:rsid w:val="086C6F6C"/>
    <w:rsid w:val="086C7017"/>
    <w:rsid w:val="086C7125"/>
    <w:rsid w:val="086C712D"/>
    <w:rsid w:val="086C7291"/>
    <w:rsid w:val="086C7370"/>
    <w:rsid w:val="086C7408"/>
    <w:rsid w:val="086C7444"/>
    <w:rsid w:val="086C7450"/>
    <w:rsid w:val="086C74A0"/>
    <w:rsid w:val="086C74F6"/>
    <w:rsid w:val="086C7583"/>
    <w:rsid w:val="086C7661"/>
    <w:rsid w:val="086C76E2"/>
    <w:rsid w:val="086C7780"/>
    <w:rsid w:val="086C7933"/>
    <w:rsid w:val="086C79FD"/>
    <w:rsid w:val="086C7A36"/>
    <w:rsid w:val="086C7AFF"/>
    <w:rsid w:val="086C7B16"/>
    <w:rsid w:val="086C7B33"/>
    <w:rsid w:val="086C7B70"/>
    <w:rsid w:val="086C7B96"/>
    <w:rsid w:val="086C7BE6"/>
    <w:rsid w:val="086C7D15"/>
    <w:rsid w:val="086C7E48"/>
    <w:rsid w:val="086C7E92"/>
    <w:rsid w:val="086C7F22"/>
    <w:rsid w:val="086C7F38"/>
    <w:rsid w:val="086C7F4F"/>
    <w:rsid w:val="086C7F72"/>
    <w:rsid w:val="086C7F9F"/>
    <w:rsid w:val="086C7FFE"/>
    <w:rsid w:val="086D0050"/>
    <w:rsid w:val="086D00FB"/>
    <w:rsid w:val="086D0152"/>
    <w:rsid w:val="086D0158"/>
    <w:rsid w:val="086D016B"/>
    <w:rsid w:val="086D035C"/>
    <w:rsid w:val="086D0389"/>
    <w:rsid w:val="086D0434"/>
    <w:rsid w:val="086D0474"/>
    <w:rsid w:val="086D04B8"/>
    <w:rsid w:val="086D04BD"/>
    <w:rsid w:val="086D04D5"/>
    <w:rsid w:val="086D05A2"/>
    <w:rsid w:val="086D05B3"/>
    <w:rsid w:val="086D05DF"/>
    <w:rsid w:val="086D05E5"/>
    <w:rsid w:val="086D0614"/>
    <w:rsid w:val="086D0643"/>
    <w:rsid w:val="086D065F"/>
    <w:rsid w:val="086D0736"/>
    <w:rsid w:val="086D07AA"/>
    <w:rsid w:val="086D0871"/>
    <w:rsid w:val="086D096F"/>
    <w:rsid w:val="086D0A1D"/>
    <w:rsid w:val="086D0AC4"/>
    <w:rsid w:val="086D0B01"/>
    <w:rsid w:val="086D0B26"/>
    <w:rsid w:val="086D0C4F"/>
    <w:rsid w:val="086D0C96"/>
    <w:rsid w:val="086D0D8E"/>
    <w:rsid w:val="086D0E2D"/>
    <w:rsid w:val="086D0E70"/>
    <w:rsid w:val="086D0E8A"/>
    <w:rsid w:val="086D0EC3"/>
    <w:rsid w:val="086D0EC6"/>
    <w:rsid w:val="086D0ED2"/>
    <w:rsid w:val="086D0F33"/>
    <w:rsid w:val="086D0FFA"/>
    <w:rsid w:val="086D113F"/>
    <w:rsid w:val="086D1173"/>
    <w:rsid w:val="086D1371"/>
    <w:rsid w:val="086D139A"/>
    <w:rsid w:val="086D13FD"/>
    <w:rsid w:val="086D148A"/>
    <w:rsid w:val="086D14DE"/>
    <w:rsid w:val="086D150B"/>
    <w:rsid w:val="086D1522"/>
    <w:rsid w:val="086D159F"/>
    <w:rsid w:val="086D17CA"/>
    <w:rsid w:val="086D17D4"/>
    <w:rsid w:val="086D18B0"/>
    <w:rsid w:val="086D1966"/>
    <w:rsid w:val="086D19E8"/>
    <w:rsid w:val="086D1AC0"/>
    <w:rsid w:val="086D1BA4"/>
    <w:rsid w:val="086D1BB5"/>
    <w:rsid w:val="086D1C14"/>
    <w:rsid w:val="086D1C4B"/>
    <w:rsid w:val="086D1C54"/>
    <w:rsid w:val="086D1C6B"/>
    <w:rsid w:val="086D1CF1"/>
    <w:rsid w:val="086D1D27"/>
    <w:rsid w:val="086D1D5D"/>
    <w:rsid w:val="086D1DD6"/>
    <w:rsid w:val="086D1E08"/>
    <w:rsid w:val="086D1E35"/>
    <w:rsid w:val="086D1F11"/>
    <w:rsid w:val="086D1F81"/>
    <w:rsid w:val="086D1FFB"/>
    <w:rsid w:val="086D205A"/>
    <w:rsid w:val="086D20B3"/>
    <w:rsid w:val="086D213F"/>
    <w:rsid w:val="086D221C"/>
    <w:rsid w:val="086D2236"/>
    <w:rsid w:val="086D2247"/>
    <w:rsid w:val="086D234B"/>
    <w:rsid w:val="086D234E"/>
    <w:rsid w:val="086D2409"/>
    <w:rsid w:val="086D2465"/>
    <w:rsid w:val="086D24AD"/>
    <w:rsid w:val="086D256F"/>
    <w:rsid w:val="086D257E"/>
    <w:rsid w:val="086D25BE"/>
    <w:rsid w:val="086D25CB"/>
    <w:rsid w:val="086D25D2"/>
    <w:rsid w:val="086D25D3"/>
    <w:rsid w:val="086D26BE"/>
    <w:rsid w:val="086D2780"/>
    <w:rsid w:val="086D2799"/>
    <w:rsid w:val="086D27CD"/>
    <w:rsid w:val="086D27E8"/>
    <w:rsid w:val="086D2803"/>
    <w:rsid w:val="086D2850"/>
    <w:rsid w:val="086D2878"/>
    <w:rsid w:val="086D2960"/>
    <w:rsid w:val="086D2A04"/>
    <w:rsid w:val="086D2A63"/>
    <w:rsid w:val="086D2AAB"/>
    <w:rsid w:val="086D2B06"/>
    <w:rsid w:val="086D2BAF"/>
    <w:rsid w:val="086D2BCC"/>
    <w:rsid w:val="086D2D4D"/>
    <w:rsid w:val="086D2DDC"/>
    <w:rsid w:val="086D2EDD"/>
    <w:rsid w:val="086D2EE6"/>
    <w:rsid w:val="086D3013"/>
    <w:rsid w:val="086D30E9"/>
    <w:rsid w:val="086D30EA"/>
    <w:rsid w:val="086D312B"/>
    <w:rsid w:val="086D313C"/>
    <w:rsid w:val="086D314A"/>
    <w:rsid w:val="086D3211"/>
    <w:rsid w:val="086D32A9"/>
    <w:rsid w:val="086D3407"/>
    <w:rsid w:val="086D3474"/>
    <w:rsid w:val="086D3560"/>
    <w:rsid w:val="086D357A"/>
    <w:rsid w:val="086D359C"/>
    <w:rsid w:val="086D35DC"/>
    <w:rsid w:val="086D3699"/>
    <w:rsid w:val="086D3749"/>
    <w:rsid w:val="086D387A"/>
    <w:rsid w:val="086D3959"/>
    <w:rsid w:val="086D3985"/>
    <w:rsid w:val="086D3A15"/>
    <w:rsid w:val="086D3A24"/>
    <w:rsid w:val="086D3B09"/>
    <w:rsid w:val="086D3B51"/>
    <w:rsid w:val="086D3B9D"/>
    <w:rsid w:val="086D3BA8"/>
    <w:rsid w:val="086D3BDF"/>
    <w:rsid w:val="086D3C17"/>
    <w:rsid w:val="086D3C5E"/>
    <w:rsid w:val="086D3C6B"/>
    <w:rsid w:val="086D3CF9"/>
    <w:rsid w:val="086D3DBD"/>
    <w:rsid w:val="086D3E3E"/>
    <w:rsid w:val="086D3E48"/>
    <w:rsid w:val="086D3E56"/>
    <w:rsid w:val="086D3E9B"/>
    <w:rsid w:val="086D3EE1"/>
    <w:rsid w:val="086D3F19"/>
    <w:rsid w:val="086D3FFA"/>
    <w:rsid w:val="086D404C"/>
    <w:rsid w:val="086D40B8"/>
    <w:rsid w:val="086D4121"/>
    <w:rsid w:val="086D422D"/>
    <w:rsid w:val="086D4242"/>
    <w:rsid w:val="086D42DB"/>
    <w:rsid w:val="086D4308"/>
    <w:rsid w:val="086D4339"/>
    <w:rsid w:val="086D434C"/>
    <w:rsid w:val="086D434D"/>
    <w:rsid w:val="086D43CC"/>
    <w:rsid w:val="086D4446"/>
    <w:rsid w:val="086D4448"/>
    <w:rsid w:val="086D44D0"/>
    <w:rsid w:val="086D4528"/>
    <w:rsid w:val="086D4618"/>
    <w:rsid w:val="086D467A"/>
    <w:rsid w:val="086D467E"/>
    <w:rsid w:val="086D46ED"/>
    <w:rsid w:val="086D473D"/>
    <w:rsid w:val="086D482E"/>
    <w:rsid w:val="086D48C6"/>
    <w:rsid w:val="086D4A7D"/>
    <w:rsid w:val="086D4A8A"/>
    <w:rsid w:val="086D4AAA"/>
    <w:rsid w:val="086D4AEA"/>
    <w:rsid w:val="086D4CA2"/>
    <w:rsid w:val="086D4CE7"/>
    <w:rsid w:val="086D4E70"/>
    <w:rsid w:val="086D4E77"/>
    <w:rsid w:val="086D4F59"/>
    <w:rsid w:val="086D4FED"/>
    <w:rsid w:val="086D4FFA"/>
    <w:rsid w:val="086D504B"/>
    <w:rsid w:val="086D5176"/>
    <w:rsid w:val="086D525B"/>
    <w:rsid w:val="086D52C7"/>
    <w:rsid w:val="086D540A"/>
    <w:rsid w:val="086D5483"/>
    <w:rsid w:val="086D5513"/>
    <w:rsid w:val="086D5517"/>
    <w:rsid w:val="086D55B8"/>
    <w:rsid w:val="086D5630"/>
    <w:rsid w:val="086D5654"/>
    <w:rsid w:val="086D5681"/>
    <w:rsid w:val="086D572D"/>
    <w:rsid w:val="086D5757"/>
    <w:rsid w:val="086D5779"/>
    <w:rsid w:val="086D57CC"/>
    <w:rsid w:val="086D5821"/>
    <w:rsid w:val="086D5828"/>
    <w:rsid w:val="086D582F"/>
    <w:rsid w:val="086D5887"/>
    <w:rsid w:val="086D596C"/>
    <w:rsid w:val="086D59FD"/>
    <w:rsid w:val="086D5A13"/>
    <w:rsid w:val="086D5A27"/>
    <w:rsid w:val="086D5A8E"/>
    <w:rsid w:val="086D5B5B"/>
    <w:rsid w:val="086D5B5E"/>
    <w:rsid w:val="086D5BDC"/>
    <w:rsid w:val="086D5BF1"/>
    <w:rsid w:val="086D5C16"/>
    <w:rsid w:val="086D5C6F"/>
    <w:rsid w:val="086D5D21"/>
    <w:rsid w:val="086D5D38"/>
    <w:rsid w:val="086D5D52"/>
    <w:rsid w:val="086D5E3E"/>
    <w:rsid w:val="086D5E7B"/>
    <w:rsid w:val="086D5E92"/>
    <w:rsid w:val="086D5ED1"/>
    <w:rsid w:val="086D5EEF"/>
    <w:rsid w:val="086D6058"/>
    <w:rsid w:val="086D6060"/>
    <w:rsid w:val="086D60AA"/>
    <w:rsid w:val="086D6160"/>
    <w:rsid w:val="086D61DC"/>
    <w:rsid w:val="086D61F9"/>
    <w:rsid w:val="086D628F"/>
    <w:rsid w:val="086D63AA"/>
    <w:rsid w:val="086D63C6"/>
    <w:rsid w:val="086D6443"/>
    <w:rsid w:val="086D6469"/>
    <w:rsid w:val="086D64CF"/>
    <w:rsid w:val="086D656B"/>
    <w:rsid w:val="086D65C0"/>
    <w:rsid w:val="086D65E6"/>
    <w:rsid w:val="086D6794"/>
    <w:rsid w:val="086D67EF"/>
    <w:rsid w:val="086D67F5"/>
    <w:rsid w:val="086D6888"/>
    <w:rsid w:val="086D690E"/>
    <w:rsid w:val="086D692E"/>
    <w:rsid w:val="086D695F"/>
    <w:rsid w:val="086D6A50"/>
    <w:rsid w:val="086D6ACB"/>
    <w:rsid w:val="086D6C81"/>
    <w:rsid w:val="086D6C9A"/>
    <w:rsid w:val="086D6D06"/>
    <w:rsid w:val="086D6D1D"/>
    <w:rsid w:val="086D6D5B"/>
    <w:rsid w:val="086D6D8E"/>
    <w:rsid w:val="086D6DCA"/>
    <w:rsid w:val="086D6DE2"/>
    <w:rsid w:val="086D6DE4"/>
    <w:rsid w:val="086D6E2F"/>
    <w:rsid w:val="086D6E33"/>
    <w:rsid w:val="086D6E8D"/>
    <w:rsid w:val="086D6F05"/>
    <w:rsid w:val="086D6F12"/>
    <w:rsid w:val="086D6F2E"/>
    <w:rsid w:val="086D6F39"/>
    <w:rsid w:val="086D6F8F"/>
    <w:rsid w:val="086D6F90"/>
    <w:rsid w:val="086D6FDE"/>
    <w:rsid w:val="086D70B1"/>
    <w:rsid w:val="086D7190"/>
    <w:rsid w:val="086D72C9"/>
    <w:rsid w:val="086D73A3"/>
    <w:rsid w:val="086D73C7"/>
    <w:rsid w:val="086D7413"/>
    <w:rsid w:val="086D742F"/>
    <w:rsid w:val="086D746F"/>
    <w:rsid w:val="086D7496"/>
    <w:rsid w:val="086D74E5"/>
    <w:rsid w:val="086D7527"/>
    <w:rsid w:val="086D75CA"/>
    <w:rsid w:val="086D76A5"/>
    <w:rsid w:val="086D76F7"/>
    <w:rsid w:val="086D7706"/>
    <w:rsid w:val="086D7756"/>
    <w:rsid w:val="086D7778"/>
    <w:rsid w:val="086D795C"/>
    <w:rsid w:val="086D796E"/>
    <w:rsid w:val="086D7984"/>
    <w:rsid w:val="086D79CA"/>
    <w:rsid w:val="086D7AC1"/>
    <w:rsid w:val="086D7B34"/>
    <w:rsid w:val="086D7B59"/>
    <w:rsid w:val="086D7BDA"/>
    <w:rsid w:val="086D7D7C"/>
    <w:rsid w:val="086D7DD9"/>
    <w:rsid w:val="086D7EB7"/>
    <w:rsid w:val="086D7EC8"/>
    <w:rsid w:val="086D7F42"/>
    <w:rsid w:val="086D7F82"/>
    <w:rsid w:val="086D7FDF"/>
    <w:rsid w:val="086D7FFE"/>
    <w:rsid w:val="086E003A"/>
    <w:rsid w:val="086E030B"/>
    <w:rsid w:val="086E0373"/>
    <w:rsid w:val="086E03F9"/>
    <w:rsid w:val="086E053B"/>
    <w:rsid w:val="086E0555"/>
    <w:rsid w:val="086E058C"/>
    <w:rsid w:val="086E059C"/>
    <w:rsid w:val="086E05B3"/>
    <w:rsid w:val="086E0647"/>
    <w:rsid w:val="086E0666"/>
    <w:rsid w:val="086E0675"/>
    <w:rsid w:val="086E081C"/>
    <w:rsid w:val="086E0941"/>
    <w:rsid w:val="086E0A53"/>
    <w:rsid w:val="086E0A84"/>
    <w:rsid w:val="086E0A8A"/>
    <w:rsid w:val="086E0B07"/>
    <w:rsid w:val="086E0B22"/>
    <w:rsid w:val="086E0BB5"/>
    <w:rsid w:val="086E0BE5"/>
    <w:rsid w:val="086E0DD3"/>
    <w:rsid w:val="086E0E1F"/>
    <w:rsid w:val="086E0E38"/>
    <w:rsid w:val="086E0E87"/>
    <w:rsid w:val="086E0F44"/>
    <w:rsid w:val="086E0FB8"/>
    <w:rsid w:val="086E1018"/>
    <w:rsid w:val="086E104D"/>
    <w:rsid w:val="086E110C"/>
    <w:rsid w:val="086E1142"/>
    <w:rsid w:val="086E1196"/>
    <w:rsid w:val="086E119C"/>
    <w:rsid w:val="086E11C3"/>
    <w:rsid w:val="086E122C"/>
    <w:rsid w:val="086E1360"/>
    <w:rsid w:val="086E138A"/>
    <w:rsid w:val="086E13C4"/>
    <w:rsid w:val="086E1410"/>
    <w:rsid w:val="086E1449"/>
    <w:rsid w:val="086E1467"/>
    <w:rsid w:val="086E1483"/>
    <w:rsid w:val="086E14A4"/>
    <w:rsid w:val="086E15FC"/>
    <w:rsid w:val="086E165B"/>
    <w:rsid w:val="086E1740"/>
    <w:rsid w:val="086E17CF"/>
    <w:rsid w:val="086E1851"/>
    <w:rsid w:val="086E186E"/>
    <w:rsid w:val="086E1876"/>
    <w:rsid w:val="086E1925"/>
    <w:rsid w:val="086E1A19"/>
    <w:rsid w:val="086E1A7A"/>
    <w:rsid w:val="086E1AE1"/>
    <w:rsid w:val="086E1AF0"/>
    <w:rsid w:val="086E1B28"/>
    <w:rsid w:val="086E1B99"/>
    <w:rsid w:val="086E1BCB"/>
    <w:rsid w:val="086E1CC4"/>
    <w:rsid w:val="086E1D79"/>
    <w:rsid w:val="086E1D8D"/>
    <w:rsid w:val="086E1DAF"/>
    <w:rsid w:val="086E1DD8"/>
    <w:rsid w:val="086E1E5C"/>
    <w:rsid w:val="086E1F68"/>
    <w:rsid w:val="086E200B"/>
    <w:rsid w:val="086E2065"/>
    <w:rsid w:val="086E2247"/>
    <w:rsid w:val="086E22F3"/>
    <w:rsid w:val="086E2370"/>
    <w:rsid w:val="086E23BC"/>
    <w:rsid w:val="086E23D8"/>
    <w:rsid w:val="086E2411"/>
    <w:rsid w:val="086E2627"/>
    <w:rsid w:val="086E2651"/>
    <w:rsid w:val="086E26BC"/>
    <w:rsid w:val="086E26BD"/>
    <w:rsid w:val="086E26F2"/>
    <w:rsid w:val="086E27BD"/>
    <w:rsid w:val="086E2814"/>
    <w:rsid w:val="086E281E"/>
    <w:rsid w:val="086E2911"/>
    <w:rsid w:val="086E2929"/>
    <w:rsid w:val="086E294B"/>
    <w:rsid w:val="086E2BFA"/>
    <w:rsid w:val="086E2C5A"/>
    <w:rsid w:val="086E2CA7"/>
    <w:rsid w:val="086E2D68"/>
    <w:rsid w:val="086E2D7F"/>
    <w:rsid w:val="086E2D9F"/>
    <w:rsid w:val="086E2DA3"/>
    <w:rsid w:val="086E2E19"/>
    <w:rsid w:val="086E2F81"/>
    <w:rsid w:val="086E2FED"/>
    <w:rsid w:val="086E30E6"/>
    <w:rsid w:val="086E30FE"/>
    <w:rsid w:val="086E324A"/>
    <w:rsid w:val="086E3285"/>
    <w:rsid w:val="086E32AB"/>
    <w:rsid w:val="086E32B2"/>
    <w:rsid w:val="086E3307"/>
    <w:rsid w:val="086E342E"/>
    <w:rsid w:val="086E345B"/>
    <w:rsid w:val="086E352E"/>
    <w:rsid w:val="086E3606"/>
    <w:rsid w:val="086E360C"/>
    <w:rsid w:val="086E364B"/>
    <w:rsid w:val="086E391E"/>
    <w:rsid w:val="086E3931"/>
    <w:rsid w:val="086E39D8"/>
    <w:rsid w:val="086E3AE0"/>
    <w:rsid w:val="086E3B3D"/>
    <w:rsid w:val="086E3B7D"/>
    <w:rsid w:val="086E3B8B"/>
    <w:rsid w:val="086E3BD3"/>
    <w:rsid w:val="086E3BF8"/>
    <w:rsid w:val="086E3D8F"/>
    <w:rsid w:val="086E3DAF"/>
    <w:rsid w:val="086E3E34"/>
    <w:rsid w:val="086E3E70"/>
    <w:rsid w:val="086E3E9D"/>
    <w:rsid w:val="086E3EA3"/>
    <w:rsid w:val="086E3ED2"/>
    <w:rsid w:val="086E3F4D"/>
    <w:rsid w:val="086E3FAA"/>
    <w:rsid w:val="086E4024"/>
    <w:rsid w:val="086E4050"/>
    <w:rsid w:val="086E405A"/>
    <w:rsid w:val="086E412E"/>
    <w:rsid w:val="086E4158"/>
    <w:rsid w:val="086E42D1"/>
    <w:rsid w:val="086E4353"/>
    <w:rsid w:val="086E451A"/>
    <w:rsid w:val="086E46F8"/>
    <w:rsid w:val="086E4716"/>
    <w:rsid w:val="086E4828"/>
    <w:rsid w:val="086E482C"/>
    <w:rsid w:val="086E48A0"/>
    <w:rsid w:val="086E48FC"/>
    <w:rsid w:val="086E4942"/>
    <w:rsid w:val="086E498B"/>
    <w:rsid w:val="086E49D0"/>
    <w:rsid w:val="086E49E3"/>
    <w:rsid w:val="086E49EF"/>
    <w:rsid w:val="086E4A38"/>
    <w:rsid w:val="086E4AFD"/>
    <w:rsid w:val="086E4B43"/>
    <w:rsid w:val="086E4B77"/>
    <w:rsid w:val="086E4C23"/>
    <w:rsid w:val="086E4C33"/>
    <w:rsid w:val="086E4C48"/>
    <w:rsid w:val="086E4D13"/>
    <w:rsid w:val="086E4DC2"/>
    <w:rsid w:val="086E4DF4"/>
    <w:rsid w:val="086E4E00"/>
    <w:rsid w:val="086E4E6B"/>
    <w:rsid w:val="086E4FCF"/>
    <w:rsid w:val="086E503C"/>
    <w:rsid w:val="086E5092"/>
    <w:rsid w:val="086E510D"/>
    <w:rsid w:val="086E5211"/>
    <w:rsid w:val="086E5214"/>
    <w:rsid w:val="086E521F"/>
    <w:rsid w:val="086E52A4"/>
    <w:rsid w:val="086E52F9"/>
    <w:rsid w:val="086E5342"/>
    <w:rsid w:val="086E5379"/>
    <w:rsid w:val="086E541A"/>
    <w:rsid w:val="086E54A9"/>
    <w:rsid w:val="086E556E"/>
    <w:rsid w:val="086E55A1"/>
    <w:rsid w:val="086E564A"/>
    <w:rsid w:val="086E568F"/>
    <w:rsid w:val="086E56B0"/>
    <w:rsid w:val="086E56FF"/>
    <w:rsid w:val="086E5751"/>
    <w:rsid w:val="086E5753"/>
    <w:rsid w:val="086E576F"/>
    <w:rsid w:val="086E57B6"/>
    <w:rsid w:val="086E57D9"/>
    <w:rsid w:val="086E5829"/>
    <w:rsid w:val="086E58AF"/>
    <w:rsid w:val="086E591A"/>
    <w:rsid w:val="086E5922"/>
    <w:rsid w:val="086E598A"/>
    <w:rsid w:val="086E59A8"/>
    <w:rsid w:val="086E59D2"/>
    <w:rsid w:val="086E59DD"/>
    <w:rsid w:val="086E5AA4"/>
    <w:rsid w:val="086E5B09"/>
    <w:rsid w:val="086E5BD2"/>
    <w:rsid w:val="086E5C04"/>
    <w:rsid w:val="086E5CB0"/>
    <w:rsid w:val="086E5CCB"/>
    <w:rsid w:val="086E5CD2"/>
    <w:rsid w:val="086E5DD5"/>
    <w:rsid w:val="086E5DF5"/>
    <w:rsid w:val="086E5E58"/>
    <w:rsid w:val="086E5E77"/>
    <w:rsid w:val="086E5FBB"/>
    <w:rsid w:val="086E5FDE"/>
    <w:rsid w:val="086E60C5"/>
    <w:rsid w:val="086E60D3"/>
    <w:rsid w:val="086E6182"/>
    <w:rsid w:val="086E61A0"/>
    <w:rsid w:val="086E61BC"/>
    <w:rsid w:val="086E61CA"/>
    <w:rsid w:val="086E6208"/>
    <w:rsid w:val="086E62EA"/>
    <w:rsid w:val="086E634B"/>
    <w:rsid w:val="086E63B4"/>
    <w:rsid w:val="086E6475"/>
    <w:rsid w:val="086E6497"/>
    <w:rsid w:val="086E649F"/>
    <w:rsid w:val="086E64AF"/>
    <w:rsid w:val="086E6531"/>
    <w:rsid w:val="086E65E0"/>
    <w:rsid w:val="086E6613"/>
    <w:rsid w:val="086E66A0"/>
    <w:rsid w:val="086E66FE"/>
    <w:rsid w:val="086E6775"/>
    <w:rsid w:val="086E6797"/>
    <w:rsid w:val="086E67E3"/>
    <w:rsid w:val="086E6854"/>
    <w:rsid w:val="086E685F"/>
    <w:rsid w:val="086E68F3"/>
    <w:rsid w:val="086E69E5"/>
    <w:rsid w:val="086E6A4F"/>
    <w:rsid w:val="086E6B15"/>
    <w:rsid w:val="086E6BA0"/>
    <w:rsid w:val="086E6BC7"/>
    <w:rsid w:val="086E6C36"/>
    <w:rsid w:val="086E6CA4"/>
    <w:rsid w:val="086E6D2F"/>
    <w:rsid w:val="086E6D76"/>
    <w:rsid w:val="086E6E0A"/>
    <w:rsid w:val="086E6E1F"/>
    <w:rsid w:val="086E6EAD"/>
    <w:rsid w:val="086E6F9E"/>
    <w:rsid w:val="086E7080"/>
    <w:rsid w:val="086E70ED"/>
    <w:rsid w:val="086E71CC"/>
    <w:rsid w:val="086E728D"/>
    <w:rsid w:val="086E7384"/>
    <w:rsid w:val="086E73DF"/>
    <w:rsid w:val="086E74EC"/>
    <w:rsid w:val="086E7552"/>
    <w:rsid w:val="086E7597"/>
    <w:rsid w:val="086E75A2"/>
    <w:rsid w:val="086E75DE"/>
    <w:rsid w:val="086E78F0"/>
    <w:rsid w:val="086E7A11"/>
    <w:rsid w:val="086E7AEB"/>
    <w:rsid w:val="086E7B8F"/>
    <w:rsid w:val="086E7BC0"/>
    <w:rsid w:val="086E7BE1"/>
    <w:rsid w:val="086E7C6C"/>
    <w:rsid w:val="086E7C83"/>
    <w:rsid w:val="086E7D19"/>
    <w:rsid w:val="086E7E56"/>
    <w:rsid w:val="086E7F30"/>
    <w:rsid w:val="086E7F39"/>
    <w:rsid w:val="086E7FBD"/>
    <w:rsid w:val="086F005F"/>
    <w:rsid w:val="086F00D7"/>
    <w:rsid w:val="086F00F6"/>
    <w:rsid w:val="086F0164"/>
    <w:rsid w:val="086F026A"/>
    <w:rsid w:val="086F029E"/>
    <w:rsid w:val="086F02EB"/>
    <w:rsid w:val="086F03E4"/>
    <w:rsid w:val="086F0486"/>
    <w:rsid w:val="086F04B1"/>
    <w:rsid w:val="086F04E7"/>
    <w:rsid w:val="086F055A"/>
    <w:rsid w:val="086F0620"/>
    <w:rsid w:val="086F06E3"/>
    <w:rsid w:val="086F0725"/>
    <w:rsid w:val="086F075D"/>
    <w:rsid w:val="086F07D7"/>
    <w:rsid w:val="086F0927"/>
    <w:rsid w:val="086F0928"/>
    <w:rsid w:val="086F0993"/>
    <w:rsid w:val="086F0997"/>
    <w:rsid w:val="086F0A12"/>
    <w:rsid w:val="086F0A52"/>
    <w:rsid w:val="086F0B15"/>
    <w:rsid w:val="086F0B8C"/>
    <w:rsid w:val="086F0BD1"/>
    <w:rsid w:val="086F0C3B"/>
    <w:rsid w:val="086F0CDB"/>
    <w:rsid w:val="086F0DA2"/>
    <w:rsid w:val="086F0DF6"/>
    <w:rsid w:val="086F0E11"/>
    <w:rsid w:val="086F0E2C"/>
    <w:rsid w:val="086F0FD2"/>
    <w:rsid w:val="086F0FF9"/>
    <w:rsid w:val="086F100D"/>
    <w:rsid w:val="086F108A"/>
    <w:rsid w:val="086F1102"/>
    <w:rsid w:val="086F1121"/>
    <w:rsid w:val="086F114B"/>
    <w:rsid w:val="086F114C"/>
    <w:rsid w:val="086F11F3"/>
    <w:rsid w:val="086F1214"/>
    <w:rsid w:val="086F1242"/>
    <w:rsid w:val="086F1552"/>
    <w:rsid w:val="086F155E"/>
    <w:rsid w:val="086F15AC"/>
    <w:rsid w:val="086F16AC"/>
    <w:rsid w:val="086F16DE"/>
    <w:rsid w:val="086F1825"/>
    <w:rsid w:val="086F18AA"/>
    <w:rsid w:val="086F1958"/>
    <w:rsid w:val="086F196C"/>
    <w:rsid w:val="086F197C"/>
    <w:rsid w:val="086F19D9"/>
    <w:rsid w:val="086F1A52"/>
    <w:rsid w:val="086F1A73"/>
    <w:rsid w:val="086F1ABF"/>
    <w:rsid w:val="086F1B25"/>
    <w:rsid w:val="086F1CFE"/>
    <w:rsid w:val="086F1E04"/>
    <w:rsid w:val="086F1E46"/>
    <w:rsid w:val="086F1ECA"/>
    <w:rsid w:val="086F1ED0"/>
    <w:rsid w:val="086F1EF5"/>
    <w:rsid w:val="086F1EF9"/>
    <w:rsid w:val="086F1F09"/>
    <w:rsid w:val="086F1FA3"/>
    <w:rsid w:val="086F1FD4"/>
    <w:rsid w:val="086F205B"/>
    <w:rsid w:val="086F2096"/>
    <w:rsid w:val="086F20F5"/>
    <w:rsid w:val="086F2226"/>
    <w:rsid w:val="086F2231"/>
    <w:rsid w:val="086F225A"/>
    <w:rsid w:val="086F24A0"/>
    <w:rsid w:val="086F256F"/>
    <w:rsid w:val="086F257F"/>
    <w:rsid w:val="086F262D"/>
    <w:rsid w:val="086F2689"/>
    <w:rsid w:val="086F26AA"/>
    <w:rsid w:val="086F26DB"/>
    <w:rsid w:val="086F2707"/>
    <w:rsid w:val="086F2766"/>
    <w:rsid w:val="086F2770"/>
    <w:rsid w:val="086F2812"/>
    <w:rsid w:val="086F288F"/>
    <w:rsid w:val="086F2A56"/>
    <w:rsid w:val="086F2A9D"/>
    <w:rsid w:val="086F2B01"/>
    <w:rsid w:val="086F2B19"/>
    <w:rsid w:val="086F2CE8"/>
    <w:rsid w:val="086F2D46"/>
    <w:rsid w:val="086F2D87"/>
    <w:rsid w:val="086F2E6B"/>
    <w:rsid w:val="086F2F12"/>
    <w:rsid w:val="086F2F49"/>
    <w:rsid w:val="086F2F4D"/>
    <w:rsid w:val="086F2FAC"/>
    <w:rsid w:val="086F3056"/>
    <w:rsid w:val="086F30E2"/>
    <w:rsid w:val="086F3226"/>
    <w:rsid w:val="086F325E"/>
    <w:rsid w:val="086F32AE"/>
    <w:rsid w:val="086F32D2"/>
    <w:rsid w:val="086F32E5"/>
    <w:rsid w:val="086F32E9"/>
    <w:rsid w:val="086F3357"/>
    <w:rsid w:val="086F33B5"/>
    <w:rsid w:val="086F33D1"/>
    <w:rsid w:val="086F3443"/>
    <w:rsid w:val="086F3488"/>
    <w:rsid w:val="086F3497"/>
    <w:rsid w:val="086F34FB"/>
    <w:rsid w:val="086F352C"/>
    <w:rsid w:val="086F35FB"/>
    <w:rsid w:val="086F36C4"/>
    <w:rsid w:val="086F3749"/>
    <w:rsid w:val="086F374A"/>
    <w:rsid w:val="086F37A5"/>
    <w:rsid w:val="086F38FA"/>
    <w:rsid w:val="086F3967"/>
    <w:rsid w:val="086F39DD"/>
    <w:rsid w:val="086F3A48"/>
    <w:rsid w:val="086F3AC2"/>
    <w:rsid w:val="086F3B13"/>
    <w:rsid w:val="086F3B6A"/>
    <w:rsid w:val="086F3B6C"/>
    <w:rsid w:val="086F3C09"/>
    <w:rsid w:val="086F3C62"/>
    <w:rsid w:val="086F3C73"/>
    <w:rsid w:val="086F3CE9"/>
    <w:rsid w:val="086F3CFF"/>
    <w:rsid w:val="086F3DB1"/>
    <w:rsid w:val="086F3EF1"/>
    <w:rsid w:val="086F3F2A"/>
    <w:rsid w:val="086F3FAA"/>
    <w:rsid w:val="086F3FD4"/>
    <w:rsid w:val="086F3FE7"/>
    <w:rsid w:val="086F4029"/>
    <w:rsid w:val="086F403E"/>
    <w:rsid w:val="086F40E8"/>
    <w:rsid w:val="086F4162"/>
    <w:rsid w:val="086F41B8"/>
    <w:rsid w:val="086F4200"/>
    <w:rsid w:val="086F433B"/>
    <w:rsid w:val="086F436F"/>
    <w:rsid w:val="086F445F"/>
    <w:rsid w:val="086F4461"/>
    <w:rsid w:val="086F450C"/>
    <w:rsid w:val="086F4535"/>
    <w:rsid w:val="086F4610"/>
    <w:rsid w:val="086F4657"/>
    <w:rsid w:val="086F46A2"/>
    <w:rsid w:val="086F4720"/>
    <w:rsid w:val="086F4780"/>
    <w:rsid w:val="086F4782"/>
    <w:rsid w:val="086F4897"/>
    <w:rsid w:val="086F48E0"/>
    <w:rsid w:val="086F4958"/>
    <w:rsid w:val="086F49EF"/>
    <w:rsid w:val="086F4CA8"/>
    <w:rsid w:val="086F502F"/>
    <w:rsid w:val="086F504A"/>
    <w:rsid w:val="086F5079"/>
    <w:rsid w:val="086F50B2"/>
    <w:rsid w:val="086F50CC"/>
    <w:rsid w:val="086F5157"/>
    <w:rsid w:val="086F517B"/>
    <w:rsid w:val="086F51EB"/>
    <w:rsid w:val="086F521A"/>
    <w:rsid w:val="086F5253"/>
    <w:rsid w:val="086F528A"/>
    <w:rsid w:val="086F538A"/>
    <w:rsid w:val="086F53F5"/>
    <w:rsid w:val="086F5464"/>
    <w:rsid w:val="086F5492"/>
    <w:rsid w:val="086F54EE"/>
    <w:rsid w:val="086F557E"/>
    <w:rsid w:val="086F55A5"/>
    <w:rsid w:val="086F56B9"/>
    <w:rsid w:val="086F56C0"/>
    <w:rsid w:val="086F570A"/>
    <w:rsid w:val="086F5714"/>
    <w:rsid w:val="086F57CB"/>
    <w:rsid w:val="086F57F0"/>
    <w:rsid w:val="086F5841"/>
    <w:rsid w:val="086F5848"/>
    <w:rsid w:val="086F58F9"/>
    <w:rsid w:val="086F593D"/>
    <w:rsid w:val="086F59D5"/>
    <w:rsid w:val="086F5A18"/>
    <w:rsid w:val="086F5AAC"/>
    <w:rsid w:val="086F5ACE"/>
    <w:rsid w:val="086F5B4B"/>
    <w:rsid w:val="086F5B67"/>
    <w:rsid w:val="086F5C40"/>
    <w:rsid w:val="086F5D6D"/>
    <w:rsid w:val="086F5E05"/>
    <w:rsid w:val="086F5E45"/>
    <w:rsid w:val="086F5E82"/>
    <w:rsid w:val="086F5F20"/>
    <w:rsid w:val="086F5FBE"/>
    <w:rsid w:val="086F605F"/>
    <w:rsid w:val="086F6086"/>
    <w:rsid w:val="086F6157"/>
    <w:rsid w:val="086F625E"/>
    <w:rsid w:val="086F625F"/>
    <w:rsid w:val="086F6274"/>
    <w:rsid w:val="086F6280"/>
    <w:rsid w:val="086F62D7"/>
    <w:rsid w:val="086F6312"/>
    <w:rsid w:val="086F6415"/>
    <w:rsid w:val="086F64E7"/>
    <w:rsid w:val="086F65FB"/>
    <w:rsid w:val="086F6616"/>
    <w:rsid w:val="086F6643"/>
    <w:rsid w:val="086F66F8"/>
    <w:rsid w:val="086F670B"/>
    <w:rsid w:val="086F672C"/>
    <w:rsid w:val="086F674B"/>
    <w:rsid w:val="086F678D"/>
    <w:rsid w:val="086F6895"/>
    <w:rsid w:val="086F6A97"/>
    <w:rsid w:val="086F6AF0"/>
    <w:rsid w:val="086F6B18"/>
    <w:rsid w:val="086F6BC2"/>
    <w:rsid w:val="086F6C0F"/>
    <w:rsid w:val="086F6C27"/>
    <w:rsid w:val="086F6C44"/>
    <w:rsid w:val="086F6C49"/>
    <w:rsid w:val="086F6CF1"/>
    <w:rsid w:val="086F6D49"/>
    <w:rsid w:val="086F6D53"/>
    <w:rsid w:val="086F6D88"/>
    <w:rsid w:val="086F6D90"/>
    <w:rsid w:val="086F6F4B"/>
    <w:rsid w:val="086F6FB4"/>
    <w:rsid w:val="086F6FC0"/>
    <w:rsid w:val="086F700F"/>
    <w:rsid w:val="086F7022"/>
    <w:rsid w:val="086F708C"/>
    <w:rsid w:val="086F7182"/>
    <w:rsid w:val="086F71C9"/>
    <w:rsid w:val="086F71E2"/>
    <w:rsid w:val="086F7251"/>
    <w:rsid w:val="086F72E8"/>
    <w:rsid w:val="086F7431"/>
    <w:rsid w:val="086F749A"/>
    <w:rsid w:val="086F75D0"/>
    <w:rsid w:val="086F7715"/>
    <w:rsid w:val="086F7746"/>
    <w:rsid w:val="086F775F"/>
    <w:rsid w:val="086F7763"/>
    <w:rsid w:val="086F7792"/>
    <w:rsid w:val="086F77D5"/>
    <w:rsid w:val="086F7810"/>
    <w:rsid w:val="086F7847"/>
    <w:rsid w:val="086F7885"/>
    <w:rsid w:val="086F78A5"/>
    <w:rsid w:val="086F78EA"/>
    <w:rsid w:val="086F78EC"/>
    <w:rsid w:val="086F7934"/>
    <w:rsid w:val="086F798A"/>
    <w:rsid w:val="086F7AA3"/>
    <w:rsid w:val="086F7AAD"/>
    <w:rsid w:val="086F7B2B"/>
    <w:rsid w:val="086F7C45"/>
    <w:rsid w:val="086F7CAB"/>
    <w:rsid w:val="086F7CD7"/>
    <w:rsid w:val="086F7D25"/>
    <w:rsid w:val="086F7DCF"/>
    <w:rsid w:val="086F7E08"/>
    <w:rsid w:val="086F7EC5"/>
    <w:rsid w:val="086F7ECF"/>
    <w:rsid w:val="086F7EF3"/>
    <w:rsid w:val="086F7F30"/>
    <w:rsid w:val="0870001A"/>
    <w:rsid w:val="0870007C"/>
    <w:rsid w:val="08700140"/>
    <w:rsid w:val="08700220"/>
    <w:rsid w:val="08700295"/>
    <w:rsid w:val="087003B4"/>
    <w:rsid w:val="087003EA"/>
    <w:rsid w:val="08700408"/>
    <w:rsid w:val="08700429"/>
    <w:rsid w:val="0870043F"/>
    <w:rsid w:val="08700445"/>
    <w:rsid w:val="087004A4"/>
    <w:rsid w:val="087004E5"/>
    <w:rsid w:val="0870053F"/>
    <w:rsid w:val="08700555"/>
    <w:rsid w:val="087005F4"/>
    <w:rsid w:val="08700622"/>
    <w:rsid w:val="087006CE"/>
    <w:rsid w:val="087006D6"/>
    <w:rsid w:val="0870097A"/>
    <w:rsid w:val="087009E6"/>
    <w:rsid w:val="087009FC"/>
    <w:rsid w:val="08700BD0"/>
    <w:rsid w:val="08700C7A"/>
    <w:rsid w:val="08700CAD"/>
    <w:rsid w:val="08700CE0"/>
    <w:rsid w:val="08700DB2"/>
    <w:rsid w:val="08700DD4"/>
    <w:rsid w:val="08700E89"/>
    <w:rsid w:val="08700E8F"/>
    <w:rsid w:val="08700EF5"/>
    <w:rsid w:val="08700FEF"/>
    <w:rsid w:val="08701031"/>
    <w:rsid w:val="0870104F"/>
    <w:rsid w:val="08701063"/>
    <w:rsid w:val="08701116"/>
    <w:rsid w:val="0870117B"/>
    <w:rsid w:val="087011DE"/>
    <w:rsid w:val="087011E7"/>
    <w:rsid w:val="08701317"/>
    <w:rsid w:val="08701338"/>
    <w:rsid w:val="0870146C"/>
    <w:rsid w:val="08701476"/>
    <w:rsid w:val="08701496"/>
    <w:rsid w:val="0870149C"/>
    <w:rsid w:val="0870153B"/>
    <w:rsid w:val="08701563"/>
    <w:rsid w:val="08701678"/>
    <w:rsid w:val="087016B0"/>
    <w:rsid w:val="087017AF"/>
    <w:rsid w:val="0870194E"/>
    <w:rsid w:val="087019E4"/>
    <w:rsid w:val="08701A3A"/>
    <w:rsid w:val="08701A66"/>
    <w:rsid w:val="08701A75"/>
    <w:rsid w:val="08701A89"/>
    <w:rsid w:val="08701A92"/>
    <w:rsid w:val="08701AA6"/>
    <w:rsid w:val="08701AF6"/>
    <w:rsid w:val="08701CC1"/>
    <w:rsid w:val="08701DD8"/>
    <w:rsid w:val="08701DE5"/>
    <w:rsid w:val="08701E0A"/>
    <w:rsid w:val="08701E0C"/>
    <w:rsid w:val="08701E3F"/>
    <w:rsid w:val="08701E9E"/>
    <w:rsid w:val="08701ECD"/>
    <w:rsid w:val="08701EEA"/>
    <w:rsid w:val="08701EFE"/>
    <w:rsid w:val="08701F26"/>
    <w:rsid w:val="08701F53"/>
    <w:rsid w:val="08701F83"/>
    <w:rsid w:val="0870200F"/>
    <w:rsid w:val="08702077"/>
    <w:rsid w:val="08702080"/>
    <w:rsid w:val="08702200"/>
    <w:rsid w:val="08702237"/>
    <w:rsid w:val="08702341"/>
    <w:rsid w:val="087023C7"/>
    <w:rsid w:val="087023E8"/>
    <w:rsid w:val="08702571"/>
    <w:rsid w:val="08702750"/>
    <w:rsid w:val="08702762"/>
    <w:rsid w:val="087027B6"/>
    <w:rsid w:val="08702838"/>
    <w:rsid w:val="0870286B"/>
    <w:rsid w:val="08702890"/>
    <w:rsid w:val="087029C5"/>
    <w:rsid w:val="08702A86"/>
    <w:rsid w:val="08702A97"/>
    <w:rsid w:val="08702AA4"/>
    <w:rsid w:val="08702B4A"/>
    <w:rsid w:val="08702B59"/>
    <w:rsid w:val="08702B8F"/>
    <w:rsid w:val="08702B92"/>
    <w:rsid w:val="08702B9F"/>
    <w:rsid w:val="08702C8A"/>
    <w:rsid w:val="08702CBA"/>
    <w:rsid w:val="08702CE3"/>
    <w:rsid w:val="08702DD1"/>
    <w:rsid w:val="08702DF7"/>
    <w:rsid w:val="08702E66"/>
    <w:rsid w:val="08702EA0"/>
    <w:rsid w:val="08702EC1"/>
    <w:rsid w:val="08702EF0"/>
    <w:rsid w:val="08703008"/>
    <w:rsid w:val="0870309E"/>
    <w:rsid w:val="0870318C"/>
    <w:rsid w:val="0870328E"/>
    <w:rsid w:val="087032B2"/>
    <w:rsid w:val="087032BA"/>
    <w:rsid w:val="08703309"/>
    <w:rsid w:val="087033F6"/>
    <w:rsid w:val="08703402"/>
    <w:rsid w:val="087034C1"/>
    <w:rsid w:val="08703585"/>
    <w:rsid w:val="0870358D"/>
    <w:rsid w:val="087035A1"/>
    <w:rsid w:val="087035BE"/>
    <w:rsid w:val="0870368F"/>
    <w:rsid w:val="087036B2"/>
    <w:rsid w:val="087036E9"/>
    <w:rsid w:val="0870379A"/>
    <w:rsid w:val="087037D5"/>
    <w:rsid w:val="087037FA"/>
    <w:rsid w:val="08703848"/>
    <w:rsid w:val="087038F5"/>
    <w:rsid w:val="08703904"/>
    <w:rsid w:val="087039EB"/>
    <w:rsid w:val="08703A23"/>
    <w:rsid w:val="08703AD4"/>
    <w:rsid w:val="08703B92"/>
    <w:rsid w:val="08703BFB"/>
    <w:rsid w:val="08703C0F"/>
    <w:rsid w:val="08703C68"/>
    <w:rsid w:val="08703D3D"/>
    <w:rsid w:val="08703D94"/>
    <w:rsid w:val="08703E5C"/>
    <w:rsid w:val="08703EA7"/>
    <w:rsid w:val="08703F6E"/>
    <w:rsid w:val="08704036"/>
    <w:rsid w:val="0870407D"/>
    <w:rsid w:val="087040E2"/>
    <w:rsid w:val="08704130"/>
    <w:rsid w:val="08704161"/>
    <w:rsid w:val="08704213"/>
    <w:rsid w:val="08704234"/>
    <w:rsid w:val="0870424A"/>
    <w:rsid w:val="087042EC"/>
    <w:rsid w:val="08704377"/>
    <w:rsid w:val="08704401"/>
    <w:rsid w:val="087044C5"/>
    <w:rsid w:val="087044D6"/>
    <w:rsid w:val="087044E5"/>
    <w:rsid w:val="08704558"/>
    <w:rsid w:val="087045AC"/>
    <w:rsid w:val="087045D1"/>
    <w:rsid w:val="08704622"/>
    <w:rsid w:val="087046C1"/>
    <w:rsid w:val="087046CE"/>
    <w:rsid w:val="08704701"/>
    <w:rsid w:val="08704709"/>
    <w:rsid w:val="087047D4"/>
    <w:rsid w:val="08704886"/>
    <w:rsid w:val="08704A06"/>
    <w:rsid w:val="08704A9F"/>
    <w:rsid w:val="08704B70"/>
    <w:rsid w:val="08704B8E"/>
    <w:rsid w:val="08704BBC"/>
    <w:rsid w:val="08704C33"/>
    <w:rsid w:val="08704C58"/>
    <w:rsid w:val="08704CF3"/>
    <w:rsid w:val="08704D68"/>
    <w:rsid w:val="08704D70"/>
    <w:rsid w:val="08704DA3"/>
    <w:rsid w:val="08704F70"/>
    <w:rsid w:val="08704FA5"/>
    <w:rsid w:val="08704FA9"/>
    <w:rsid w:val="08704FD9"/>
    <w:rsid w:val="08705063"/>
    <w:rsid w:val="08705082"/>
    <w:rsid w:val="0870508B"/>
    <w:rsid w:val="087050B3"/>
    <w:rsid w:val="087050E7"/>
    <w:rsid w:val="087050F6"/>
    <w:rsid w:val="08705145"/>
    <w:rsid w:val="0870520D"/>
    <w:rsid w:val="08705213"/>
    <w:rsid w:val="08705241"/>
    <w:rsid w:val="08705332"/>
    <w:rsid w:val="087053A2"/>
    <w:rsid w:val="08705409"/>
    <w:rsid w:val="08705479"/>
    <w:rsid w:val="087055A8"/>
    <w:rsid w:val="08705615"/>
    <w:rsid w:val="0870564F"/>
    <w:rsid w:val="0870567B"/>
    <w:rsid w:val="0870568D"/>
    <w:rsid w:val="0870572E"/>
    <w:rsid w:val="08705791"/>
    <w:rsid w:val="087057DB"/>
    <w:rsid w:val="08705952"/>
    <w:rsid w:val="08705979"/>
    <w:rsid w:val="087059BF"/>
    <w:rsid w:val="087059F6"/>
    <w:rsid w:val="08705ABA"/>
    <w:rsid w:val="08705B0A"/>
    <w:rsid w:val="08705B40"/>
    <w:rsid w:val="08705B51"/>
    <w:rsid w:val="08705B65"/>
    <w:rsid w:val="08705C43"/>
    <w:rsid w:val="08705C4F"/>
    <w:rsid w:val="08705CF9"/>
    <w:rsid w:val="08705DA0"/>
    <w:rsid w:val="08705ED2"/>
    <w:rsid w:val="08705F51"/>
    <w:rsid w:val="08705F83"/>
    <w:rsid w:val="08706058"/>
    <w:rsid w:val="08706068"/>
    <w:rsid w:val="087060CF"/>
    <w:rsid w:val="087060E0"/>
    <w:rsid w:val="08706160"/>
    <w:rsid w:val="087061B5"/>
    <w:rsid w:val="08706202"/>
    <w:rsid w:val="0870621F"/>
    <w:rsid w:val="0870631A"/>
    <w:rsid w:val="08706369"/>
    <w:rsid w:val="087063CE"/>
    <w:rsid w:val="08706421"/>
    <w:rsid w:val="08706516"/>
    <w:rsid w:val="08706544"/>
    <w:rsid w:val="08706555"/>
    <w:rsid w:val="08706643"/>
    <w:rsid w:val="08706701"/>
    <w:rsid w:val="0870676C"/>
    <w:rsid w:val="08706810"/>
    <w:rsid w:val="0870690E"/>
    <w:rsid w:val="08706965"/>
    <w:rsid w:val="08706968"/>
    <w:rsid w:val="087069DA"/>
    <w:rsid w:val="08706A76"/>
    <w:rsid w:val="08706B78"/>
    <w:rsid w:val="08706BBE"/>
    <w:rsid w:val="08706BCB"/>
    <w:rsid w:val="08706CBC"/>
    <w:rsid w:val="08706D8F"/>
    <w:rsid w:val="08706DB4"/>
    <w:rsid w:val="08706DC0"/>
    <w:rsid w:val="08706FBF"/>
    <w:rsid w:val="08706FCD"/>
    <w:rsid w:val="08707007"/>
    <w:rsid w:val="0870715E"/>
    <w:rsid w:val="08707273"/>
    <w:rsid w:val="087072A6"/>
    <w:rsid w:val="087073DF"/>
    <w:rsid w:val="08707427"/>
    <w:rsid w:val="087075AF"/>
    <w:rsid w:val="08707629"/>
    <w:rsid w:val="0870765E"/>
    <w:rsid w:val="0870765F"/>
    <w:rsid w:val="087076DC"/>
    <w:rsid w:val="08707720"/>
    <w:rsid w:val="0870778A"/>
    <w:rsid w:val="087077CE"/>
    <w:rsid w:val="0870780D"/>
    <w:rsid w:val="087078A4"/>
    <w:rsid w:val="087078B3"/>
    <w:rsid w:val="087078BE"/>
    <w:rsid w:val="087078FF"/>
    <w:rsid w:val="0870790A"/>
    <w:rsid w:val="087079A4"/>
    <w:rsid w:val="087079AB"/>
    <w:rsid w:val="08707A24"/>
    <w:rsid w:val="08707A6F"/>
    <w:rsid w:val="08707A73"/>
    <w:rsid w:val="08707B8B"/>
    <w:rsid w:val="08707BF6"/>
    <w:rsid w:val="08707C09"/>
    <w:rsid w:val="08707C6D"/>
    <w:rsid w:val="08707C73"/>
    <w:rsid w:val="08707C98"/>
    <w:rsid w:val="08707CA8"/>
    <w:rsid w:val="08707CC7"/>
    <w:rsid w:val="08707CEC"/>
    <w:rsid w:val="08707D0A"/>
    <w:rsid w:val="08707D3E"/>
    <w:rsid w:val="08707DE5"/>
    <w:rsid w:val="08707ED1"/>
    <w:rsid w:val="08707EF0"/>
    <w:rsid w:val="08707FBD"/>
    <w:rsid w:val="087100E2"/>
    <w:rsid w:val="08710188"/>
    <w:rsid w:val="087101DF"/>
    <w:rsid w:val="087102D3"/>
    <w:rsid w:val="08710316"/>
    <w:rsid w:val="08710338"/>
    <w:rsid w:val="087103BE"/>
    <w:rsid w:val="08710440"/>
    <w:rsid w:val="0871050B"/>
    <w:rsid w:val="08710587"/>
    <w:rsid w:val="0871065E"/>
    <w:rsid w:val="08710663"/>
    <w:rsid w:val="08710679"/>
    <w:rsid w:val="08710790"/>
    <w:rsid w:val="087107AF"/>
    <w:rsid w:val="087107EB"/>
    <w:rsid w:val="08710801"/>
    <w:rsid w:val="087108C0"/>
    <w:rsid w:val="087108FD"/>
    <w:rsid w:val="08710997"/>
    <w:rsid w:val="08710A0D"/>
    <w:rsid w:val="08710A5B"/>
    <w:rsid w:val="08710AA8"/>
    <w:rsid w:val="08710B05"/>
    <w:rsid w:val="08710B0E"/>
    <w:rsid w:val="08710B66"/>
    <w:rsid w:val="08710B9A"/>
    <w:rsid w:val="08710BB5"/>
    <w:rsid w:val="08710BC4"/>
    <w:rsid w:val="08710C0C"/>
    <w:rsid w:val="08710C3E"/>
    <w:rsid w:val="08710C56"/>
    <w:rsid w:val="08710C74"/>
    <w:rsid w:val="08710CCD"/>
    <w:rsid w:val="08710D93"/>
    <w:rsid w:val="08710E9A"/>
    <w:rsid w:val="08710F1C"/>
    <w:rsid w:val="08710F48"/>
    <w:rsid w:val="08710F5B"/>
    <w:rsid w:val="08710FC4"/>
    <w:rsid w:val="08710FE1"/>
    <w:rsid w:val="08711196"/>
    <w:rsid w:val="087111CB"/>
    <w:rsid w:val="08711230"/>
    <w:rsid w:val="08711280"/>
    <w:rsid w:val="08711303"/>
    <w:rsid w:val="0871134E"/>
    <w:rsid w:val="087113D7"/>
    <w:rsid w:val="08711442"/>
    <w:rsid w:val="0871155C"/>
    <w:rsid w:val="08711567"/>
    <w:rsid w:val="08711716"/>
    <w:rsid w:val="0871172A"/>
    <w:rsid w:val="08711744"/>
    <w:rsid w:val="087117BE"/>
    <w:rsid w:val="087117CF"/>
    <w:rsid w:val="08711824"/>
    <w:rsid w:val="08711877"/>
    <w:rsid w:val="087118E6"/>
    <w:rsid w:val="08711937"/>
    <w:rsid w:val="087119D4"/>
    <w:rsid w:val="087119DA"/>
    <w:rsid w:val="087119F3"/>
    <w:rsid w:val="08711A34"/>
    <w:rsid w:val="08711A4F"/>
    <w:rsid w:val="08711A81"/>
    <w:rsid w:val="08711A90"/>
    <w:rsid w:val="08711AAF"/>
    <w:rsid w:val="08711AB3"/>
    <w:rsid w:val="08711B3C"/>
    <w:rsid w:val="08711B41"/>
    <w:rsid w:val="08711B4A"/>
    <w:rsid w:val="08711B90"/>
    <w:rsid w:val="08711BA6"/>
    <w:rsid w:val="08711C3A"/>
    <w:rsid w:val="08711D55"/>
    <w:rsid w:val="08711D7B"/>
    <w:rsid w:val="08711D9B"/>
    <w:rsid w:val="08711E15"/>
    <w:rsid w:val="08711E5C"/>
    <w:rsid w:val="08711EA5"/>
    <w:rsid w:val="08711EB9"/>
    <w:rsid w:val="08711ECE"/>
    <w:rsid w:val="08711EE6"/>
    <w:rsid w:val="08711F01"/>
    <w:rsid w:val="08711F70"/>
    <w:rsid w:val="087120E6"/>
    <w:rsid w:val="087120F6"/>
    <w:rsid w:val="08712181"/>
    <w:rsid w:val="087121AD"/>
    <w:rsid w:val="087121B1"/>
    <w:rsid w:val="087121CB"/>
    <w:rsid w:val="087121F2"/>
    <w:rsid w:val="0871220E"/>
    <w:rsid w:val="08712368"/>
    <w:rsid w:val="08712389"/>
    <w:rsid w:val="0871238F"/>
    <w:rsid w:val="087123B2"/>
    <w:rsid w:val="0871243D"/>
    <w:rsid w:val="087124AD"/>
    <w:rsid w:val="087124D9"/>
    <w:rsid w:val="087124E2"/>
    <w:rsid w:val="08712540"/>
    <w:rsid w:val="0871259A"/>
    <w:rsid w:val="0871268D"/>
    <w:rsid w:val="0871269A"/>
    <w:rsid w:val="0871276F"/>
    <w:rsid w:val="087127EF"/>
    <w:rsid w:val="087128DB"/>
    <w:rsid w:val="08712923"/>
    <w:rsid w:val="08712A73"/>
    <w:rsid w:val="08712ABF"/>
    <w:rsid w:val="08712B6A"/>
    <w:rsid w:val="08712C3E"/>
    <w:rsid w:val="08712DDA"/>
    <w:rsid w:val="08712E3A"/>
    <w:rsid w:val="08712EBF"/>
    <w:rsid w:val="08712F8B"/>
    <w:rsid w:val="08712FB4"/>
    <w:rsid w:val="08713039"/>
    <w:rsid w:val="0871308A"/>
    <w:rsid w:val="087130E1"/>
    <w:rsid w:val="087131B5"/>
    <w:rsid w:val="087131FD"/>
    <w:rsid w:val="08713297"/>
    <w:rsid w:val="087132F3"/>
    <w:rsid w:val="087133AB"/>
    <w:rsid w:val="087133D7"/>
    <w:rsid w:val="08713408"/>
    <w:rsid w:val="08713438"/>
    <w:rsid w:val="0871343D"/>
    <w:rsid w:val="0871355D"/>
    <w:rsid w:val="087135A7"/>
    <w:rsid w:val="087135AE"/>
    <w:rsid w:val="0871360B"/>
    <w:rsid w:val="0871366A"/>
    <w:rsid w:val="08713672"/>
    <w:rsid w:val="087137E4"/>
    <w:rsid w:val="08713853"/>
    <w:rsid w:val="087138F3"/>
    <w:rsid w:val="08713A6B"/>
    <w:rsid w:val="08713B23"/>
    <w:rsid w:val="08713BA1"/>
    <w:rsid w:val="08713BA2"/>
    <w:rsid w:val="08713BB0"/>
    <w:rsid w:val="08713BDF"/>
    <w:rsid w:val="08713C0D"/>
    <w:rsid w:val="08713C76"/>
    <w:rsid w:val="08713E4F"/>
    <w:rsid w:val="08713EC8"/>
    <w:rsid w:val="08713F13"/>
    <w:rsid w:val="08713F7C"/>
    <w:rsid w:val="0871409D"/>
    <w:rsid w:val="0871411E"/>
    <w:rsid w:val="08714134"/>
    <w:rsid w:val="08714135"/>
    <w:rsid w:val="08714168"/>
    <w:rsid w:val="08714191"/>
    <w:rsid w:val="087141E4"/>
    <w:rsid w:val="087143E4"/>
    <w:rsid w:val="08714481"/>
    <w:rsid w:val="087144AF"/>
    <w:rsid w:val="087144E4"/>
    <w:rsid w:val="08714579"/>
    <w:rsid w:val="08714597"/>
    <w:rsid w:val="0871463F"/>
    <w:rsid w:val="08714691"/>
    <w:rsid w:val="087146BB"/>
    <w:rsid w:val="087146C0"/>
    <w:rsid w:val="08714769"/>
    <w:rsid w:val="08714797"/>
    <w:rsid w:val="0871491F"/>
    <w:rsid w:val="08714A21"/>
    <w:rsid w:val="08714A6A"/>
    <w:rsid w:val="08714AD6"/>
    <w:rsid w:val="08714B06"/>
    <w:rsid w:val="08714B3E"/>
    <w:rsid w:val="08714B7A"/>
    <w:rsid w:val="08714BB2"/>
    <w:rsid w:val="08714BC4"/>
    <w:rsid w:val="08714BE6"/>
    <w:rsid w:val="08714C73"/>
    <w:rsid w:val="08714CC9"/>
    <w:rsid w:val="08714CF2"/>
    <w:rsid w:val="08714CF7"/>
    <w:rsid w:val="08714D4E"/>
    <w:rsid w:val="08714DB8"/>
    <w:rsid w:val="08714E42"/>
    <w:rsid w:val="08714EB7"/>
    <w:rsid w:val="087150C6"/>
    <w:rsid w:val="08715143"/>
    <w:rsid w:val="0871515C"/>
    <w:rsid w:val="08715183"/>
    <w:rsid w:val="087152DA"/>
    <w:rsid w:val="08715309"/>
    <w:rsid w:val="0871531A"/>
    <w:rsid w:val="0871539F"/>
    <w:rsid w:val="08715406"/>
    <w:rsid w:val="0871544E"/>
    <w:rsid w:val="0871547D"/>
    <w:rsid w:val="08715498"/>
    <w:rsid w:val="0871550C"/>
    <w:rsid w:val="08715560"/>
    <w:rsid w:val="087155DF"/>
    <w:rsid w:val="087156CD"/>
    <w:rsid w:val="0871576F"/>
    <w:rsid w:val="08715900"/>
    <w:rsid w:val="087159CB"/>
    <w:rsid w:val="087159D7"/>
    <w:rsid w:val="08715AD4"/>
    <w:rsid w:val="08715AEA"/>
    <w:rsid w:val="08715B52"/>
    <w:rsid w:val="08715BAA"/>
    <w:rsid w:val="08715BE6"/>
    <w:rsid w:val="08715C24"/>
    <w:rsid w:val="08715C33"/>
    <w:rsid w:val="08715C45"/>
    <w:rsid w:val="08715CB2"/>
    <w:rsid w:val="08715D1B"/>
    <w:rsid w:val="08715D1E"/>
    <w:rsid w:val="08715D61"/>
    <w:rsid w:val="08715EAE"/>
    <w:rsid w:val="08715FAE"/>
    <w:rsid w:val="08716007"/>
    <w:rsid w:val="08716050"/>
    <w:rsid w:val="0871606A"/>
    <w:rsid w:val="08716077"/>
    <w:rsid w:val="087160AB"/>
    <w:rsid w:val="087160BF"/>
    <w:rsid w:val="0871613D"/>
    <w:rsid w:val="0871618F"/>
    <w:rsid w:val="0871619A"/>
    <w:rsid w:val="087161CE"/>
    <w:rsid w:val="08716267"/>
    <w:rsid w:val="08716271"/>
    <w:rsid w:val="08716278"/>
    <w:rsid w:val="08716366"/>
    <w:rsid w:val="08716373"/>
    <w:rsid w:val="0871637D"/>
    <w:rsid w:val="08716416"/>
    <w:rsid w:val="08716464"/>
    <w:rsid w:val="08716492"/>
    <w:rsid w:val="08716513"/>
    <w:rsid w:val="08716656"/>
    <w:rsid w:val="087166B9"/>
    <w:rsid w:val="08716712"/>
    <w:rsid w:val="0871671E"/>
    <w:rsid w:val="0871679A"/>
    <w:rsid w:val="087167DC"/>
    <w:rsid w:val="0871686F"/>
    <w:rsid w:val="087168C7"/>
    <w:rsid w:val="087169BA"/>
    <w:rsid w:val="08716A56"/>
    <w:rsid w:val="08716A5F"/>
    <w:rsid w:val="08716B5E"/>
    <w:rsid w:val="08716BFA"/>
    <w:rsid w:val="08716C10"/>
    <w:rsid w:val="08716DA8"/>
    <w:rsid w:val="08716DCF"/>
    <w:rsid w:val="08716F46"/>
    <w:rsid w:val="08716FA1"/>
    <w:rsid w:val="08717067"/>
    <w:rsid w:val="08717073"/>
    <w:rsid w:val="08717106"/>
    <w:rsid w:val="08717145"/>
    <w:rsid w:val="0871715F"/>
    <w:rsid w:val="08717186"/>
    <w:rsid w:val="087171FD"/>
    <w:rsid w:val="08717237"/>
    <w:rsid w:val="08717265"/>
    <w:rsid w:val="0871745C"/>
    <w:rsid w:val="08717521"/>
    <w:rsid w:val="0871752A"/>
    <w:rsid w:val="0871752F"/>
    <w:rsid w:val="0871756C"/>
    <w:rsid w:val="087175A5"/>
    <w:rsid w:val="087175C5"/>
    <w:rsid w:val="087175EA"/>
    <w:rsid w:val="08717642"/>
    <w:rsid w:val="0871765E"/>
    <w:rsid w:val="087176C1"/>
    <w:rsid w:val="0871783F"/>
    <w:rsid w:val="0871784C"/>
    <w:rsid w:val="087178CD"/>
    <w:rsid w:val="08717966"/>
    <w:rsid w:val="08717A11"/>
    <w:rsid w:val="08717A70"/>
    <w:rsid w:val="08717AB0"/>
    <w:rsid w:val="08717B4A"/>
    <w:rsid w:val="08717BB9"/>
    <w:rsid w:val="08717BCE"/>
    <w:rsid w:val="08717BD7"/>
    <w:rsid w:val="08717EE6"/>
    <w:rsid w:val="08717EF5"/>
    <w:rsid w:val="08717F4A"/>
    <w:rsid w:val="08717F9F"/>
    <w:rsid w:val="08717FB2"/>
    <w:rsid w:val="08717FCD"/>
    <w:rsid w:val="08720092"/>
    <w:rsid w:val="087200AE"/>
    <w:rsid w:val="087200F7"/>
    <w:rsid w:val="08720156"/>
    <w:rsid w:val="0872019A"/>
    <w:rsid w:val="087201D8"/>
    <w:rsid w:val="0872021E"/>
    <w:rsid w:val="08720273"/>
    <w:rsid w:val="087202A2"/>
    <w:rsid w:val="087202D9"/>
    <w:rsid w:val="0872034A"/>
    <w:rsid w:val="08720434"/>
    <w:rsid w:val="08720462"/>
    <w:rsid w:val="087205C2"/>
    <w:rsid w:val="087206A0"/>
    <w:rsid w:val="087206D9"/>
    <w:rsid w:val="08720704"/>
    <w:rsid w:val="087207CB"/>
    <w:rsid w:val="087207D9"/>
    <w:rsid w:val="087207FC"/>
    <w:rsid w:val="087209B3"/>
    <w:rsid w:val="08720A12"/>
    <w:rsid w:val="08720ADC"/>
    <w:rsid w:val="08720B4C"/>
    <w:rsid w:val="08720C3B"/>
    <w:rsid w:val="08720D75"/>
    <w:rsid w:val="08720DDF"/>
    <w:rsid w:val="08720EC1"/>
    <w:rsid w:val="08720EFA"/>
    <w:rsid w:val="08720EFC"/>
    <w:rsid w:val="08720F6B"/>
    <w:rsid w:val="08720FAB"/>
    <w:rsid w:val="08720FF5"/>
    <w:rsid w:val="087210D2"/>
    <w:rsid w:val="0872114A"/>
    <w:rsid w:val="0872114F"/>
    <w:rsid w:val="08721155"/>
    <w:rsid w:val="08721166"/>
    <w:rsid w:val="0872117C"/>
    <w:rsid w:val="08721219"/>
    <w:rsid w:val="08721260"/>
    <w:rsid w:val="0872126B"/>
    <w:rsid w:val="0872129C"/>
    <w:rsid w:val="08721358"/>
    <w:rsid w:val="0872143F"/>
    <w:rsid w:val="08721482"/>
    <w:rsid w:val="08721488"/>
    <w:rsid w:val="08721570"/>
    <w:rsid w:val="08721599"/>
    <w:rsid w:val="087215FD"/>
    <w:rsid w:val="0872167B"/>
    <w:rsid w:val="0872172A"/>
    <w:rsid w:val="0872172F"/>
    <w:rsid w:val="0872179A"/>
    <w:rsid w:val="08721805"/>
    <w:rsid w:val="08721809"/>
    <w:rsid w:val="08721828"/>
    <w:rsid w:val="08721911"/>
    <w:rsid w:val="0872195F"/>
    <w:rsid w:val="087219F4"/>
    <w:rsid w:val="08721A18"/>
    <w:rsid w:val="08721A51"/>
    <w:rsid w:val="08721B8D"/>
    <w:rsid w:val="08721C4B"/>
    <w:rsid w:val="08721DC8"/>
    <w:rsid w:val="08721E84"/>
    <w:rsid w:val="08721E88"/>
    <w:rsid w:val="08721EA8"/>
    <w:rsid w:val="08721ED8"/>
    <w:rsid w:val="08721EE0"/>
    <w:rsid w:val="08721EEB"/>
    <w:rsid w:val="08721F82"/>
    <w:rsid w:val="08721FBE"/>
    <w:rsid w:val="08721FCA"/>
    <w:rsid w:val="08722156"/>
    <w:rsid w:val="08722207"/>
    <w:rsid w:val="0872235E"/>
    <w:rsid w:val="08722386"/>
    <w:rsid w:val="08722394"/>
    <w:rsid w:val="08722446"/>
    <w:rsid w:val="08722504"/>
    <w:rsid w:val="0872260E"/>
    <w:rsid w:val="087226C2"/>
    <w:rsid w:val="087227A8"/>
    <w:rsid w:val="087227C2"/>
    <w:rsid w:val="087227C9"/>
    <w:rsid w:val="08722845"/>
    <w:rsid w:val="087228DD"/>
    <w:rsid w:val="0872292E"/>
    <w:rsid w:val="08722955"/>
    <w:rsid w:val="0872297C"/>
    <w:rsid w:val="08722989"/>
    <w:rsid w:val="08722993"/>
    <w:rsid w:val="08722998"/>
    <w:rsid w:val="08722A12"/>
    <w:rsid w:val="08722A6E"/>
    <w:rsid w:val="08722A79"/>
    <w:rsid w:val="08722A8A"/>
    <w:rsid w:val="08722AA2"/>
    <w:rsid w:val="08722B11"/>
    <w:rsid w:val="08722B7D"/>
    <w:rsid w:val="08722C34"/>
    <w:rsid w:val="08722CA7"/>
    <w:rsid w:val="08722D09"/>
    <w:rsid w:val="08722DF6"/>
    <w:rsid w:val="08722E4E"/>
    <w:rsid w:val="08722E65"/>
    <w:rsid w:val="08723193"/>
    <w:rsid w:val="087231DB"/>
    <w:rsid w:val="0872324D"/>
    <w:rsid w:val="0872327F"/>
    <w:rsid w:val="087232B6"/>
    <w:rsid w:val="0872331C"/>
    <w:rsid w:val="08723323"/>
    <w:rsid w:val="087234A0"/>
    <w:rsid w:val="08723536"/>
    <w:rsid w:val="087235C2"/>
    <w:rsid w:val="08723620"/>
    <w:rsid w:val="08723621"/>
    <w:rsid w:val="08723675"/>
    <w:rsid w:val="087236EB"/>
    <w:rsid w:val="087236FC"/>
    <w:rsid w:val="08723786"/>
    <w:rsid w:val="08723826"/>
    <w:rsid w:val="087238A7"/>
    <w:rsid w:val="08723911"/>
    <w:rsid w:val="0872393F"/>
    <w:rsid w:val="0872394F"/>
    <w:rsid w:val="087239DB"/>
    <w:rsid w:val="08723A1B"/>
    <w:rsid w:val="08723A59"/>
    <w:rsid w:val="08723A8C"/>
    <w:rsid w:val="08723B07"/>
    <w:rsid w:val="08723B12"/>
    <w:rsid w:val="08723B65"/>
    <w:rsid w:val="08723C64"/>
    <w:rsid w:val="08723C93"/>
    <w:rsid w:val="08723D4C"/>
    <w:rsid w:val="08723DAD"/>
    <w:rsid w:val="08723E73"/>
    <w:rsid w:val="08723EC0"/>
    <w:rsid w:val="08723EF4"/>
    <w:rsid w:val="08723F61"/>
    <w:rsid w:val="08723F8E"/>
    <w:rsid w:val="0872403D"/>
    <w:rsid w:val="087240C5"/>
    <w:rsid w:val="087240EE"/>
    <w:rsid w:val="087241C9"/>
    <w:rsid w:val="0872424F"/>
    <w:rsid w:val="08724283"/>
    <w:rsid w:val="087242D1"/>
    <w:rsid w:val="0872434D"/>
    <w:rsid w:val="087243B1"/>
    <w:rsid w:val="08724468"/>
    <w:rsid w:val="0872447E"/>
    <w:rsid w:val="087244B4"/>
    <w:rsid w:val="0872463D"/>
    <w:rsid w:val="0872464C"/>
    <w:rsid w:val="08724681"/>
    <w:rsid w:val="087246B4"/>
    <w:rsid w:val="087246EE"/>
    <w:rsid w:val="08724701"/>
    <w:rsid w:val="0872479A"/>
    <w:rsid w:val="087247D1"/>
    <w:rsid w:val="0872481F"/>
    <w:rsid w:val="0872487A"/>
    <w:rsid w:val="087248C2"/>
    <w:rsid w:val="08724941"/>
    <w:rsid w:val="087249EE"/>
    <w:rsid w:val="08724A29"/>
    <w:rsid w:val="08724C11"/>
    <w:rsid w:val="08724C85"/>
    <w:rsid w:val="08724DA6"/>
    <w:rsid w:val="08724E08"/>
    <w:rsid w:val="08724E09"/>
    <w:rsid w:val="08724E6F"/>
    <w:rsid w:val="08724ED7"/>
    <w:rsid w:val="08724ED8"/>
    <w:rsid w:val="08724F44"/>
    <w:rsid w:val="08724F51"/>
    <w:rsid w:val="08724F60"/>
    <w:rsid w:val="08724F75"/>
    <w:rsid w:val="08724FDF"/>
    <w:rsid w:val="08724FEA"/>
    <w:rsid w:val="08724FFD"/>
    <w:rsid w:val="08725026"/>
    <w:rsid w:val="087250DD"/>
    <w:rsid w:val="08725109"/>
    <w:rsid w:val="08725115"/>
    <w:rsid w:val="0872514A"/>
    <w:rsid w:val="087251D3"/>
    <w:rsid w:val="087252B6"/>
    <w:rsid w:val="08725301"/>
    <w:rsid w:val="0872533D"/>
    <w:rsid w:val="08725347"/>
    <w:rsid w:val="0872538A"/>
    <w:rsid w:val="087253EF"/>
    <w:rsid w:val="08725457"/>
    <w:rsid w:val="087254CD"/>
    <w:rsid w:val="08725500"/>
    <w:rsid w:val="08725523"/>
    <w:rsid w:val="08725549"/>
    <w:rsid w:val="0872556A"/>
    <w:rsid w:val="08725587"/>
    <w:rsid w:val="087256F8"/>
    <w:rsid w:val="0872571B"/>
    <w:rsid w:val="0872573D"/>
    <w:rsid w:val="087257CC"/>
    <w:rsid w:val="08725868"/>
    <w:rsid w:val="087258C9"/>
    <w:rsid w:val="08725B11"/>
    <w:rsid w:val="08725B1A"/>
    <w:rsid w:val="08725CA2"/>
    <w:rsid w:val="08725CA5"/>
    <w:rsid w:val="08725CFF"/>
    <w:rsid w:val="08725DD2"/>
    <w:rsid w:val="08725DE2"/>
    <w:rsid w:val="08725DEC"/>
    <w:rsid w:val="08725F8D"/>
    <w:rsid w:val="08725FC1"/>
    <w:rsid w:val="08726031"/>
    <w:rsid w:val="08726061"/>
    <w:rsid w:val="08726108"/>
    <w:rsid w:val="08726140"/>
    <w:rsid w:val="087261C2"/>
    <w:rsid w:val="0872621C"/>
    <w:rsid w:val="08726288"/>
    <w:rsid w:val="08726297"/>
    <w:rsid w:val="0872632F"/>
    <w:rsid w:val="087263CF"/>
    <w:rsid w:val="08726408"/>
    <w:rsid w:val="0872640A"/>
    <w:rsid w:val="0872651C"/>
    <w:rsid w:val="087265DD"/>
    <w:rsid w:val="0872669F"/>
    <w:rsid w:val="0872673B"/>
    <w:rsid w:val="0872684E"/>
    <w:rsid w:val="08726978"/>
    <w:rsid w:val="087269DD"/>
    <w:rsid w:val="08726ABB"/>
    <w:rsid w:val="08726AD7"/>
    <w:rsid w:val="08726AFC"/>
    <w:rsid w:val="08726B53"/>
    <w:rsid w:val="08726B7F"/>
    <w:rsid w:val="08726B94"/>
    <w:rsid w:val="08726BA4"/>
    <w:rsid w:val="08726CCD"/>
    <w:rsid w:val="08726D3D"/>
    <w:rsid w:val="08726DBF"/>
    <w:rsid w:val="08726E42"/>
    <w:rsid w:val="08726E55"/>
    <w:rsid w:val="08726EB6"/>
    <w:rsid w:val="08726F95"/>
    <w:rsid w:val="08727050"/>
    <w:rsid w:val="08727078"/>
    <w:rsid w:val="087270FF"/>
    <w:rsid w:val="087271A8"/>
    <w:rsid w:val="087271B2"/>
    <w:rsid w:val="087271BF"/>
    <w:rsid w:val="0872724E"/>
    <w:rsid w:val="08727251"/>
    <w:rsid w:val="087272B6"/>
    <w:rsid w:val="087272C0"/>
    <w:rsid w:val="087272D0"/>
    <w:rsid w:val="0872730A"/>
    <w:rsid w:val="08727343"/>
    <w:rsid w:val="08727362"/>
    <w:rsid w:val="087273CF"/>
    <w:rsid w:val="0872746E"/>
    <w:rsid w:val="087274DA"/>
    <w:rsid w:val="08727554"/>
    <w:rsid w:val="08727592"/>
    <w:rsid w:val="08727651"/>
    <w:rsid w:val="087276B2"/>
    <w:rsid w:val="08727862"/>
    <w:rsid w:val="0872795A"/>
    <w:rsid w:val="08727970"/>
    <w:rsid w:val="087279A7"/>
    <w:rsid w:val="087279D5"/>
    <w:rsid w:val="08727A55"/>
    <w:rsid w:val="08727A57"/>
    <w:rsid w:val="08727A95"/>
    <w:rsid w:val="08727AA7"/>
    <w:rsid w:val="08727B12"/>
    <w:rsid w:val="08727B2D"/>
    <w:rsid w:val="08727B76"/>
    <w:rsid w:val="08727BD6"/>
    <w:rsid w:val="08727C36"/>
    <w:rsid w:val="08727D03"/>
    <w:rsid w:val="08727D07"/>
    <w:rsid w:val="08727D5A"/>
    <w:rsid w:val="08727E17"/>
    <w:rsid w:val="08727EA4"/>
    <w:rsid w:val="08727ED7"/>
    <w:rsid w:val="08727EFD"/>
    <w:rsid w:val="087301F2"/>
    <w:rsid w:val="08730252"/>
    <w:rsid w:val="087302AC"/>
    <w:rsid w:val="087302BE"/>
    <w:rsid w:val="08730334"/>
    <w:rsid w:val="0873044F"/>
    <w:rsid w:val="087305B6"/>
    <w:rsid w:val="0873068B"/>
    <w:rsid w:val="0873076A"/>
    <w:rsid w:val="087307C6"/>
    <w:rsid w:val="08730810"/>
    <w:rsid w:val="08730A06"/>
    <w:rsid w:val="08730AF0"/>
    <w:rsid w:val="08730AFA"/>
    <w:rsid w:val="08730B7B"/>
    <w:rsid w:val="08730C05"/>
    <w:rsid w:val="08730C4E"/>
    <w:rsid w:val="08730CC4"/>
    <w:rsid w:val="08730DA4"/>
    <w:rsid w:val="08730DEC"/>
    <w:rsid w:val="08730E1D"/>
    <w:rsid w:val="08730EF5"/>
    <w:rsid w:val="08730F68"/>
    <w:rsid w:val="08731078"/>
    <w:rsid w:val="087310BD"/>
    <w:rsid w:val="087311A8"/>
    <w:rsid w:val="087311F0"/>
    <w:rsid w:val="08731227"/>
    <w:rsid w:val="08731251"/>
    <w:rsid w:val="08731257"/>
    <w:rsid w:val="087313C0"/>
    <w:rsid w:val="08731478"/>
    <w:rsid w:val="087315AC"/>
    <w:rsid w:val="08731606"/>
    <w:rsid w:val="08731611"/>
    <w:rsid w:val="0873161B"/>
    <w:rsid w:val="087316DF"/>
    <w:rsid w:val="087317D7"/>
    <w:rsid w:val="08731845"/>
    <w:rsid w:val="0873186F"/>
    <w:rsid w:val="08731908"/>
    <w:rsid w:val="08731974"/>
    <w:rsid w:val="087319A1"/>
    <w:rsid w:val="08731A53"/>
    <w:rsid w:val="08731B90"/>
    <w:rsid w:val="08731C12"/>
    <w:rsid w:val="08731C3D"/>
    <w:rsid w:val="08731D3E"/>
    <w:rsid w:val="08731D45"/>
    <w:rsid w:val="08732082"/>
    <w:rsid w:val="08732101"/>
    <w:rsid w:val="08732138"/>
    <w:rsid w:val="0873228B"/>
    <w:rsid w:val="087322F0"/>
    <w:rsid w:val="08732376"/>
    <w:rsid w:val="0873237E"/>
    <w:rsid w:val="08732381"/>
    <w:rsid w:val="08732440"/>
    <w:rsid w:val="0873248E"/>
    <w:rsid w:val="08732493"/>
    <w:rsid w:val="08732527"/>
    <w:rsid w:val="08732573"/>
    <w:rsid w:val="087326C9"/>
    <w:rsid w:val="08732834"/>
    <w:rsid w:val="0873289B"/>
    <w:rsid w:val="087328F3"/>
    <w:rsid w:val="08732910"/>
    <w:rsid w:val="087329DA"/>
    <w:rsid w:val="08732A76"/>
    <w:rsid w:val="08732B45"/>
    <w:rsid w:val="08732B96"/>
    <w:rsid w:val="08732B98"/>
    <w:rsid w:val="08732CA4"/>
    <w:rsid w:val="08732D10"/>
    <w:rsid w:val="08732D20"/>
    <w:rsid w:val="08732D58"/>
    <w:rsid w:val="08732E8C"/>
    <w:rsid w:val="08732EC9"/>
    <w:rsid w:val="08732FC8"/>
    <w:rsid w:val="08733010"/>
    <w:rsid w:val="08733189"/>
    <w:rsid w:val="087331FD"/>
    <w:rsid w:val="0873321B"/>
    <w:rsid w:val="08733239"/>
    <w:rsid w:val="08733274"/>
    <w:rsid w:val="0873330A"/>
    <w:rsid w:val="08733322"/>
    <w:rsid w:val="08733409"/>
    <w:rsid w:val="08733454"/>
    <w:rsid w:val="0873347C"/>
    <w:rsid w:val="087334BA"/>
    <w:rsid w:val="087334D5"/>
    <w:rsid w:val="08733529"/>
    <w:rsid w:val="0873358F"/>
    <w:rsid w:val="087335BA"/>
    <w:rsid w:val="08733619"/>
    <w:rsid w:val="0873363C"/>
    <w:rsid w:val="08733651"/>
    <w:rsid w:val="08733665"/>
    <w:rsid w:val="087336CF"/>
    <w:rsid w:val="087336F8"/>
    <w:rsid w:val="0873374E"/>
    <w:rsid w:val="08733823"/>
    <w:rsid w:val="087338CD"/>
    <w:rsid w:val="087338F8"/>
    <w:rsid w:val="08733904"/>
    <w:rsid w:val="08733A57"/>
    <w:rsid w:val="08733A94"/>
    <w:rsid w:val="08733BB3"/>
    <w:rsid w:val="08733C7A"/>
    <w:rsid w:val="08733E0F"/>
    <w:rsid w:val="08733E17"/>
    <w:rsid w:val="08733E1F"/>
    <w:rsid w:val="08733EF0"/>
    <w:rsid w:val="08733F1F"/>
    <w:rsid w:val="08733F2C"/>
    <w:rsid w:val="08733F8E"/>
    <w:rsid w:val="08734188"/>
    <w:rsid w:val="087341AC"/>
    <w:rsid w:val="08734283"/>
    <w:rsid w:val="08734299"/>
    <w:rsid w:val="087343AC"/>
    <w:rsid w:val="08734419"/>
    <w:rsid w:val="0873441F"/>
    <w:rsid w:val="08734450"/>
    <w:rsid w:val="08734518"/>
    <w:rsid w:val="08734520"/>
    <w:rsid w:val="08734574"/>
    <w:rsid w:val="087345F8"/>
    <w:rsid w:val="08734617"/>
    <w:rsid w:val="08734711"/>
    <w:rsid w:val="0873471B"/>
    <w:rsid w:val="08734752"/>
    <w:rsid w:val="08734762"/>
    <w:rsid w:val="08734779"/>
    <w:rsid w:val="087347CE"/>
    <w:rsid w:val="08734810"/>
    <w:rsid w:val="0873483E"/>
    <w:rsid w:val="087348B4"/>
    <w:rsid w:val="0873497D"/>
    <w:rsid w:val="087349AB"/>
    <w:rsid w:val="087349C6"/>
    <w:rsid w:val="08734A67"/>
    <w:rsid w:val="08734B27"/>
    <w:rsid w:val="08734B35"/>
    <w:rsid w:val="08734B9D"/>
    <w:rsid w:val="08734BAD"/>
    <w:rsid w:val="08734C4C"/>
    <w:rsid w:val="08734CEF"/>
    <w:rsid w:val="08734D0E"/>
    <w:rsid w:val="08734D30"/>
    <w:rsid w:val="08734D82"/>
    <w:rsid w:val="08734E2D"/>
    <w:rsid w:val="08734F79"/>
    <w:rsid w:val="08734FFA"/>
    <w:rsid w:val="0873506F"/>
    <w:rsid w:val="087350AE"/>
    <w:rsid w:val="08735126"/>
    <w:rsid w:val="08735222"/>
    <w:rsid w:val="087352CD"/>
    <w:rsid w:val="087352DD"/>
    <w:rsid w:val="08735360"/>
    <w:rsid w:val="087353D2"/>
    <w:rsid w:val="08735465"/>
    <w:rsid w:val="087354BD"/>
    <w:rsid w:val="087354C2"/>
    <w:rsid w:val="0873552B"/>
    <w:rsid w:val="08735579"/>
    <w:rsid w:val="0873557B"/>
    <w:rsid w:val="08735594"/>
    <w:rsid w:val="08735600"/>
    <w:rsid w:val="08735628"/>
    <w:rsid w:val="08735661"/>
    <w:rsid w:val="0873570D"/>
    <w:rsid w:val="087357B9"/>
    <w:rsid w:val="08735826"/>
    <w:rsid w:val="08735865"/>
    <w:rsid w:val="087359C1"/>
    <w:rsid w:val="08735A5D"/>
    <w:rsid w:val="08735AD1"/>
    <w:rsid w:val="08735BD6"/>
    <w:rsid w:val="08735C4E"/>
    <w:rsid w:val="08735C61"/>
    <w:rsid w:val="08735CBC"/>
    <w:rsid w:val="08735CEA"/>
    <w:rsid w:val="08735D0C"/>
    <w:rsid w:val="08735D5C"/>
    <w:rsid w:val="08735DF2"/>
    <w:rsid w:val="08735EDB"/>
    <w:rsid w:val="08735F5A"/>
    <w:rsid w:val="08735F5B"/>
    <w:rsid w:val="08736022"/>
    <w:rsid w:val="0873609F"/>
    <w:rsid w:val="087361D2"/>
    <w:rsid w:val="0873637A"/>
    <w:rsid w:val="08736453"/>
    <w:rsid w:val="08736475"/>
    <w:rsid w:val="08736592"/>
    <w:rsid w:val="087365A0"/>
    <w:rsid w:val="087365DE"/>
    <w:rsid w:val="0873666E"/>
    <w:rsid w:val="087366DB"/>
    <w:rsid w:val="0873674F"/>
    <w:rsid w:val="087367CD"/>
    <w:rsid w:val="087368B5"/>
    <w:rsid w:val="08736A21"/>
    <w:rsid w:val="08736A8A"/>
    <w:rsid w:val="08736ABD"/>
    <w:rsid w:val="08736B07"/>
    <w:rsid w:val="08736B5D"/>
    <w:rsid w:val="08736BD4"/>
    <w:rsid w:val="08736D33"/>
    <w:rsid w:val="08736E1E"/>
    <w:rsid w:val="08737021"/>
    <w:rsid w:val="087371D8"/>
    <w:rsid w:val="08737200"/>
    <w:rsid w:val="0873723C"/>
    <w:rsid w:val="087372DD"/>
    <w:rsid w:val="087373B3"/>
    <w:rsid w:val="08737414"/>
    <w:rsid w:val="08737488"/>
    <w:rsid w:val="087374B1"/>
    <w:rsid w:val="087374C3"/>
    <w:rsid w:val="08737546"/>
    <w:rsid w:val="08737781"/>
    <w:rsid w:val="087378F8"/>
    <w:rsid w:val="08737924"/>
    <w:rsid w:val="08737941"/>
    <w:rsid w:val="0873796B"/>
    <w:rsid w:val="087379A1"/>
    <w:rsid w:val="087379BD"/>
    <w:rsid w:val="08737A3A"/>
    <w:rsid w:val="08737A8A"/>
    <w:rsid w:val="08737AEB"/>
    <w:rsid w:val="08737B34"/>
    <w:rsid w:val="08737B98"/>
    <w:rsid w:val="08737BB6"/>
    <w:rsid w:val="08737BD0"/>
    <w:rsid w:val="08737BFF"/>
    <w:rsid w:val="08737C93"/>
    <w:rsid w:val="08737D20"/>
    <w:rsid w:val="08737D3B"/>
    <w:rsid w:val="08737D40"/>
    <w:rsid w:val="08737D8D"/>
    <w:rsid w:val="08737DF7"/>
    <w:rsid w:val="08737E22"/>
    <w:rsid w:val="08737E8C"/>
    <w:rsid w:val="08737EB5"/>
    <w:rsid w:val="08737F84"/>
    <w:rsid w:val="0874004F"/>
    <w:rsid w:val="087400DD"/>
    <w:rsid w:val="0874017E"/>
    <w:rsid w:val="087401E9"/>
    <w:rsid w:val="0874032A"/>
    <w:rsid w:val="087403CB"/>
    <w:rsid w:val="087403D5"/>
    <w:rsid w:val="087403E5"/>
    <w:rsid w:val="087404EB"/>
    <w:rsid w:val="087405CD"/>
    <w:rsid w:val="08740643"/>
    <w:rsid w:val="087406EC"/>
    <w:rsid w:val="08740711"/>
    <w:rsid w:val="08740737"/>
    <w:rsid w:val="08740829"/>
    <w:rsid w:val="0874084A"/>
    <w:rsid w:val="0874096B"/>
    <w:rsid w:val="08740A36"/>
    <w:rsid w:val="08740ABE"/>
    <w:rsid w:val="08740B10"/>
    <w:rsid w:val="08740B8C"/>
    <w:rsid w:val="08740BB3"/>
    <w:rsid w:val="08740BBA"/>
    <w:rsid w:val="08740CDB"/>
    <w:rsid w:val="08740D10"/>
    <w:rsid w:val="08740D67"/>
    <w:rsid w:val="08740E62"/>
    <w:rsid w:val="08740EB3"/>
    <w:rsid w:val="08741068"/>
    <w:rsid w:val="087410F8"/>
    <w:rsid w:val="0874115A"/>
    <w:rsid w:val="087411A9"/>
    <w:rsid w:val="087411F2"/>
    <w:rsid w:val="087411F5"/>
    <w:rsid w:val="08741256"/>
    <w:rsid w:val="08741265"/>
    <w:rsid w:val="08741294"/>
    <w:rsid w:val="08741298"/>
    <w:rsid w:val="0874137F"/>
    <w:rsid w:val="08741386"/>
    <w:rsid w:val="0874140C"/>
    <w:rsid w:val="0874140F"/>
    <w:rsid w:val="087414A0"/>
    <w:rsid w:val="087415A7"/>
    <w:rsid w:val="087415B6"/>
    <w:rsid w:val="087415CC"/>
    <w:rsid w:val="0874161F"/>
    <w:rsid w:val="087416D3"/>
    <w:rsid w:val="087417C8"/>
    <w:rsid w:val="087417D9"/>
    <w:rsid w:val="08741854"/>
    <w:rsid w:val="087418F2"/>
    <w:rsid w:val="08741901"/>
    <w:rsid w:val="08741984"/>
    <w:rsid w:val="08741996"/>
    <w:rsid w:val="08741A2F"/>
    <w:rsid w:val="08741A4E"/>
    <w:rsid w:val="08741A64"/>
    <w:rsid w:val="08741AE5"/>
    <w:rsid w:val="08741B95"/>
    <w:rsid w:val="08741BB2"/>
    <w:rsid w:val="08741BB4"/>
    <w:rsid w:val="08741C03"/>
    <w:rsid w:val="08741C19"/>
    <w:rsid w:val="08741D7E"/>
    <w:rsid w:val="08741EE2"/>
    <w:rsid w:val="08741EF0"/>
    <w:rsid w:val="08741F37"/>
    <w:rsid w:val="08741F52"/>
    <w:rsid w:val="08741F9D"/>
    <w:rsid w:val="08741FC9"/>
    <w:rsid w:val="08741FCA"/>
    <w:rsid w:val="08741FF1"/>
    <w:rsid w:val="08742049"/>
    <w:rsid w:val="08742052"/>
    <w:rsid w:val="08742094"/>
    <w:rsid w:val="087420A0"/>
    <w:rsid w:val="087421D7"/>
    <w:rsid w:val="08742221"/>
    <w:rsid w:val="087422DF"/>
    <w:rsid w:val="08742370"/>
    <w:rsid w:val="087424A5"/>
    <w:rsid w:val="08742534"/>
    <w:rsid w:val="087425B2"/>
    <w:rsid w:val="08742606"/>
    <w:rsid w:val="087426EC"/>
    <w:rsid w:val="087427A4"/>
    <w:rsid w:val="087427EC"/>
    <w:rsid w:val="0874281A"/>
    <w:rsid w:val="08742860"/>
    <w:rsid w:val="087428A0"/>
    <w:rsid w:val="08742A30"/>
    <w:rsid w:val="08742AB5"/>
    <w:rsid w:val="08742B2C"/>
    <w:rsid w:val="08742B30"/>
    <w:rsid w:val="08742BD5"/>
    <w:rsid w:val="08742BE2"/>
    <w:rsid w:val="08742C01"/>
    <w:rsid w:val="08742C3B"/>
    <w:rsid w:val="08742C44"/>
    <w:rsid w:val="08742C9B"/>
    <w:rsid w:val="08742D44"/>
    <w:rsid w:val="08742DD5"/>
    <w:rsid w:val="08742E93"/>
    <w:rsid w:val="08742FB3"/>
    <w:rsid w:val="0874307B"/>
    <w:rsid w:val="0874307F"/>
    <w:rsid w:val="087430BB"/>
    <w:rsid w:val="087430C4"/>
    <w:rsid w:val="08743287"/>
    <w:rsid w:val="087432E9"/>
    <w:rsid w:val="087433E7"/>
    <w:rsid w:val="08743417"/>
    <w:rsid w:val="087434AB"/>
    <w:rsid w:val="087434E7"/>
    <w:rsid w:val="087436E6"/>
    <w:rsid w:val="08743735"/>
    <w:rsid w:val="08743797"/>
    <w:rsid w:val="0874384C"/>
    <w:rsid w:val="0874385E"/>
    <w:rsid w:val="08743884"/>
    <w:rsid w:val="087438FB"/>
    <w:rsid w:val="08743A4C"/>
    <w:rsid w:val="08743AE7"/>
    <w:rsid w:val="08743AEE"/>
    <w:rsid w:val="08743B51"/>
    <w:rsid w:val="08743BDD"/>
    <w:rsid w:val="08743CB5"/>
    <w:rsid w:val="08743DA6"/>
    <w:rsid w:val="08743DAD"/>
    <w:rsid w:val="08743E1E"/>
    <w:rsid w:val="08743E3B"/>
    <w:rsid w:val="08743EFC"/>
    <w:rsid w:val="08743F36"/>
    <w:rsid w:val="08743F4E"/>
    <w:rsid w:val="08743F57"/>
    <w:rsid w:val="08743F9B"/>
    <w:rsid w:val="08744039"/>
    <w:rsid w:val="08744188"/>
    <w:rsid w:val="08744237"/>
    <w:rsid w:val="0874423E"/>
    <w:rsid w:val="08744284"/>
    <w:rsid w:val="087442BA"/>
    <w:rsid w:val="087442F5"/>
    <w:rsid w:val="08744336"/>
    <w:rsid w:val="0874435C"/>
    <w:rsid w:val="08744429"/>
    <w:rsid w:val="08744437"/>
    <w:rsid w:val="087444F4"/>
    <w:rsid w:val="08744519"/>
    <w:rsid w:val="08744643"/>
    <w:rsid w:val="087446A5"/>
    <w:rsid w:val="087446F9"/>
    <w:rsid w:val="0874470C"/>
    <w:rsid w:val="087447B8"/>
    <w:rsid w:val="08744890"/>
    <w:rsid w:val="087448BA"/>
    <w:rsid w:val="08744921"/>
    <w:rsid w:val="08744937"/>
    <w:rsid w:val="0874493F"/>
    <w:rsid w:val="08744949"/>
    <w:rsid w:val="08744A18"/>
    <w:rsid w:val="08744A26"/>
    <w:rsid w:val="08744ADB"/>
    <w:rsid w:val="08744C08"/>
    <w:rsid w:val="08744CBC"/>
    <w:rsid w:val="08744CD3"/>
    <w:rsid w:val="08744CD9"/>
    <w:rsid w:val="08744CDF"/>
    <w:rsid w:val="08744CE5"/>
    <w:rsid w:val="08744D7B"/>
    <w:rsid w:val="08744DAF"/>
    <w:rsid w:val="08744E05"/>
    <w:rsid w:val="08744E70"/>
    <w:rsid w:val="08744F05"/>
    <w:rsid w:val="08744F0D"/>
    <w:rsid w:val="08744F28"/>
    <w:rsid w:val="08744F73"/>
    <w:rsid w:val="08745032"/>
    <w:rsid w:val="08745077"/>
    <w:rsid w:val="08745098"/>
    <w:rsid w:val="087450E9"/>
    <w:rsid w:val="0874510E"/>
    <w:rsid w:val="087451E3"/>
    <w:rsid w:val="087451ED"/>
    <w:rsid w:val="08745244"/>
    <w:rsid w:val="08745283"/>
    <w:rsid w:val="087452C0"/>
    <w:rsid w:val="087452EF"/>
    <w:rsid w:val="08745335"/>
    <w:rsid w:val="087455B8"/>
    <w:rsid w:val="087455F9"/>
    <w:rsid w:val="08745639"/>
    <w:rsid w:val="0874563C"/>
    <w:rsid w:val="08745709"/>
    <w:rsid w:val="0874572C"/>
    <w:rsid w:val="0874581B"/>
    <w:rsid w:val="08745861"/>
    <w:rsid w:val="087458C5"/>
    <w:rsid w:val="08745A1F"/>
    <w:rsid w:val="08745A6C"/>
    <w:rsid w:val="08745AA3"/>
    <w:rsid w:val="08745AEC"/>
    <w:rsid w:val="08745BD4"/>
    <w:rsid w:val="08745D3F"/>
    <w:rsid w:val="08745D4F"/>
    <w:rsid w:val="08745DDF"/>
    <w:rsid w:val="08745E11"/>
    <w:rsid w:val="08745E56"/>
    <w:rsid w:val="08745EBC"/>
    <w:rsid w:val="08745EEB"/>
    <w:rsid w:val="0874600F"/>
    <w:rsid w:val="08746030"/>
    <w:rsid w:val="087460C8"/>
    <w:rsid w:val="0874619B"/>
    <w:rsid w:val="08746245"/>
    <w:rsid w:val="0874629E"/>
    <w:rsid w:val="087462B1"/>
    <w:rsid w:val="0874633B"/>
    <w:rsid w:val="0874641C"/>
    <w:rsid w:val="08746451"/>
    <w:rsid w:val="087464BF"/>
    <w:rsid w:val="087464EF"/>
    <w:rsid w:val="087465C6"/>
    <w:rsid w:val="08746606"/>
    <w:rsid w:val="087467BD"/>
    <w:rsid w:val="087467F3"/>
    <w:rsid w:val="087467F4"/>
    <w:rsid w:val="08746842"/>
    <w:rsid w:val="0874684B"/>
    <w:rsid w:val="087468CE"/>
    <w:rsid w:val="087468EB"/>
    <w:rsid w:val="0874693E"/>
    <w:rsid w:val="087469B0"/>
    <w:rsid w:val="087469E1"/>
    <w:rsid w:val="08746AA6"/>
    <w:rsid w:val="08746AD5"/>
    <w:rsid w:val="08746AE6"/>
    <w:rsid w:val="08746B20"/>
    <w:rsid w:val="08746B85"/>
    <w:rsid w:val="08746B86"/>
    <w:rsid w:val="08746BA1"/>
    <w:rsid w:val="08746BB9"/>
    <w:rsid w:val="08746C2A"/>
    <w:rsid w:val="08746C74"/>
    <w:rsid w:val="08746CFB"/>
    <w:rsid w:val="08746D66"/>
    <w:rsid w:val="08746D8E"/>
    <w:rsid w:val="08746DB4"/>
    <w:rsid w:val="08746DD6"/>
    <w:rsid w:val="08746DFB"/>
    <w:rsid w:val="08746DFC"/>
    <w:rsid w:val="08746E11"/>
    <w:rsid w:val="08746FC0"/>
    <w:rsid w:val="08746FD5"/>
    <w:rsid w:val="08747019"/>
    <w:rsid w:val="0874709B"/>
    <w:rsid w:val="08747135"/>
    <w:rsid w:val="08747156"/>
    <w:rsid w:val="0874717A"/>
    <w:rsid w:val="087471BC"/>
    <w:rsid w:val="087471C5"/>
    <w:rsid w:val="0874720E"/>
    <w:rsid w:val="08747213"/>
    <w:rsid w:val="0874733C"/>
    <w:rsid w:val="08747391"/>
    <w:rsid w:val="087473DE"/>
    <w:rsid w:val="087474B4"/>
    <w:rsid w:val="087474F1"/>
    <w:rsid w:val="08747543"/>
    <w:rsid w:val="087475CB"/>
    <w:rsid w:val="087475FF"/>
    <w:rsid w:val="0874761C"/>
    <w:rsid w:val="08747633"/>
    <w:rsid w:val="08747719"/>
    <w:rsid w:val="087477F3"/>
    <w:rsid w:val="087477FE"/>
    <w:rsid w:val="08747897"/>
    <w:rsid w:val="087478C5"/>
    <w:rsid w:val="08747926"/>
    <w:rsid w:val="0874799C"/>
    <w:rsid w:val="087479BE"/>
    <w:rsid w:val="08747A41"/>
    <w:rsid w:val="08747AB0"/>
    <w:rsid w:val="08747ABE"/>
    <w:rsid w:val="08747AFC"/>
    <w:rsid w:val="08747B38"/>
    <w:rsid w:val="08747BBB"/>
    <w:rsid w:val="08747BDB"/>
    <w:rsid w:val="08747CA3"/>
    <w:rsid w:val="08747D61"/>
    <w:rsid w:val="08747E2D"/>
    <w:rsid w:val="08747E43"/>
    <w:rsid w:val="08747E4D"/>
    <w:rsid w:val="08747ECD"/>
    <w:rsid w:val="08747F69"/>
    <w:rsid w:val="08747F8D"/>
    <w:rsid w:val="0875001F"/>
    <w:rsid w:val="08750021"/>
    <w:rsid w:val="08750099"/>
    <w:rsid w:val="087500B4"/>
    <w:rsid w:val="087501CD"/>
    <w:rsid w:val="08750296"/>
    <w:rsid w:val="087502E1"/>
    <w:rsid w:val="087502E6"/>
    <w:rsid w:val="08750371"/>
    <w:rsid w:val="0875037F"/>
    <w:rsid w:val="087503B6"/>
    <w:rsid w:val="0875041A"/>
    <w:rsid w:val="08750424"/>
    <w:rsid w:val="08750498"/>
    <w:rsid w:val="087504AD"/>
    <w:rsid w:val="087504EB"/>
    <w:rsid w:val="08750539"/>
    <w:rsid w:val="08750581"/>
    <w:rsid w:val="087505ED"/>
    <w:rsid w:val="08750665"/>
    <w:rsid w:val="08750671"/>
    <w:rsid w:val="087506C8"/>
    <w:rsid w:val="087506E5"/>
    <w:rsid w:val="08750798"/>
    <w:rsid w:val="087507C1"/>
    <w:rsid w:val="087507CA"/>
    <w:rsid w:val="0875081F"/>
    <w:rsid w:val="0875082F"/>
    <w:rsid w:val="087509A2"/>
    <w:rsid w:val="08750A01"/>
    <w:rsid w:val="08750A3B"/>
    <w:rsid w:val="08750A74"/>
    <w:rsid w:val="08750A77"/>
    <w:rsid w:val="08750B0D"/>
    <w:rsid w:val="08750B40"/>
    <w:rsid w:val="08750B63"/>
    <w:rsid w:val="08750C12"/>
    <w:rsid w:val="08750C5F"/>
    <w:rsid w:val="08750C65"/>
    <w:rsid w:val="08750D0C"/>
    <w:rsid w:val="08750E0B"/>
    <w:rsid w:val="08750F24"/>
    <w:rsid w:val="08750F29"/>
    <w:rsid w:val="08751021"/>
    <w:rsid w:val="0875102D"/>
    <w:rsid w:val="087510A9"/>
    <w:rsid w:val="087510C6"/>
    <w:rsid w:val="08751116"/>
    <w:rsid w:val="087511F4"/>
    <w:rsid w:val="087511FA"/>
    <w:rsid w:val="08751298"/>
    <w:rsid w:val="087512AC"/>
    <w:rsid w:val="087512F6"/>
    <w:rsid w:val="08751306"/>
    <w:rsid w:val="08751327"/>
    <w:rsid w:val="08751454"/>
    <w:rsid w:val="087514CA"/>
    <w:rsid w:val="0875150D"/>
    <w:rsid w:val="08751523"/>
    <w:rsid w:val="087515B3"/>
    <w:rsid w:val="087515D0"/>
    <w:rsid w:val="087516C4"/>
    <w:rsid w:val="08751782"/>
    <w:rsid w:val="087517AB"/>
    <w:rsid w:val="087517AC"/>
    <w:rsid w:val="087517B1"/>
    <w:rsid w:val="087517C0"/>
    <w:rsid w:val="087517C1"/>
    <w:rsid w:val="087517C6"/>
    <w:rsid w:val="087517CE"/>
    <w:rsid w:val="08751820"/>
    <w:rsid w:val="08751917"/>
    <w:rsid w:val="08751964"/>
    <w:rsid w:val="08751A73"/>
    <w:rsid w:val="08751B0A"/>
    <w:rsid w:val="08751B43"/>
    <w:rsid w:val="08751B4B"/>
    <w:rsid w:val="08751BE9"/>
    <w:rsid w:val="08751C53"/>
    <w:rsid w:val="08751D79"/>
    <w:rsid w:val="08751DA1"/>
    <w:rsid w:val="08751EEA"/>
    <w:rsid w:val="08751F94"/>
    <w:rsid w:val="08751FE6"/>
    <w:rsid w:val="08751FEF"/>
    <w:rsid w:val="0875215C"/>
    <w:rsid w:val="087521D1"/>
    <w:rsid w:val="0875226B"/>
    <w:rsid w:val="087522A3"/>
    <w:rsid w:val="0875234A"/>
    <w:rsid w:val="08752393"/>
    <w:rsid w:val="087523C4"/>
    <w:rsid w:val="0875250C"/>
    <w:rsid w:val="08752558"/>
    <w:rsid w:val="087526DD"/>
    <w:rsid w:val="08752739"/>
    <w:rsid w:val="08752799"/>
    <w:rsid w:val="087527D8"/>
    <w:rsid w:val="08752834"/>
    <w:rsid w:val="08752855"/>
    <w:rsid w:val="0875286F"/>
    <w:rsid w:val="087528A2"/>
    <w:rsid w:val="087528DE"/>
    <w:rsid w:val="08752975"/>
    <w:rsid w:val="08752B5D"/>
    <w:rsid w:val="08752C0C"/>
    <w:rsid w:val="08752C0F"/>
    <w:rsid w:val="08752C85"/>
    <w:rsid w:val="08752C91"/>
    <w:rsid w:val="08752CB6"/>
    <w:rsid w:val="08752CE6"/>
    <w:rsid w:val="08752D0B"/>
    <w:rsid w:val="08752DA9"/>
    <w:rsid w:val="08752DC9"/>
    <w:rsid w:val="08752E14"/>
    <w:rsid w:val="08752E86"/>
    <w:rsid w:val="08752F2B"/>
    <w:rsid w:val="08752F53"/>
    <w:rsid w:val="08753065"/>
    <w:rsid w:val="087530AE"/>
    <w:rsid w:val="08753140"/>
    <w:rsid w:val="087531BB"/>
    <w:rsid w:val="08753242"/>
    <w:rsid w:val="08753256"/>
    <w:rsid w:val="087532DF"/>
    <w:rsid w:val="08753453"/>
    <w:rsid w:val="08753487"/>
    <w:rsid w:val="08753492"/>
    <w:rsid w:val="087534A5"/>
    <w:rsid w:val="087534FD"/>
    <w:rsid w:val="0875351E"/>
    <w:rsid w:val="08753579"/>
    <w:rsid w:val="087536B8"/>
    <w:rsid w:val="08753707"/>
    <w:rsid w:val="08753751"/>
    <w:rsid w:val="087537F9"/>
    <w:rsid w:val="08753857"/>
    <w:rsid w:val="0875391F"/>
    <w:rsid w:val="08753920"/>
    <w:rsid w:val="0875395E"/>
    <w:rsid w:val="08753969"/>
    <w:rsid w:val="08753A6C"/>
    <w:rsid w:val="08753A9B"/>
    <w:rsid w:val="08753ADE"/>
    <w:rsid w:val="08753B24"/>
    <w:rsid w:val="08753B75"/>
    <w:rsid w:val="08753C0B"/>
    <w:rsid w:val="08753C14"/>
    <w:rsid w:val="08753C4A"/>
    <w:rsid w:val="08753CE4"/>
    <w:rsid w:val="08753CEB"/>
    <w:rsid w:val="08753D02"/>
    <w:rsid w:val="08753DF0"/>
    <w:rsid w:val="08753EF5"/>
    <w:rsid w:val="08753F2D"/>
    <w:rsid w:val="08753FC1"/>
    <w:rsid w:val="08754072"/>
    <w:rsid w:val="0875409E"/>
    <w:rsid w:val="087541AD"/>
    <w:rsid w:val="087541D0"/>
    <w:rsid w:val="087542F1"/>
    <w:rsid w:val="08754301"/>
    <w:rsid w:val="08754306"/>
    <w:rsid w:val="0875444F"/>
    <w:rsid w:val="08754530"/>
    <w:rsid w:val="08754538"/>
    <w:rsid w:val="0875456A"/>
    <w:rsid w:val="087545F4"/>
    <w:rsid w:val="087547F4"/>
    <w:rsid w:val="0875481D"/>
    <w:rsid w:val="08754855"/>
    <w:rsid w:val="0875487C"/>
    <w:rsid w:val="087548E5"/>
    <w:rsid w:val="087548EF"/>
    <w:rsid w:val="08754905"/>
    <w:rsid w:val="0875495C"/>
    <w:rsid w:val="0875495E"/>
    <w:rsid w:val="08754977"/>
    <w:rsid w:val="08754986"/>
    <w:rsid w:val="087549E5"/>
    <w:rsid w:val="08754AD0"/>
    <w:rsid w:val="08754B69"/>
    <w:rsid w:val="08754BB8"/>
    <w:rsid w:val="08754BDF"/>
    <w:rsid w:val="08754C2D"/>
    <w:rsid w:val="08754E0B"/>
    <w:rsid w:val="08754EBA"/>
    <w:rsid w:val="0875500F"/>
    <w:rsid w:val="08755073"/>
    <w:rsid w:val="087550FD"/>
    <w:rsid w:val="08755210"/>
    <w:rsid w:val="0875526E"/>
    <w:rsid w:val="08755270"/>
    <w:rsid w:val="08755296"/>
    <w:rsid w:val="087553FA"/>
    <w:rsid w:val="0875550C"/>
    <w:rsid w:val="0875554C"/>
    <w:rsid w:val="08755588"/>
    <w:rsid w:val="087555F3"/>
    <w:rsid w:val="0875564E"/>
    <w:rsid w:val="08755659"/>
    <w:rsid w:val="0875571B"/>
    <w:rsid w:val="0875577D"/>
    <w:rsid w:val="087557DF"/>
    <w:rsid w:val="08755818"/>
    <w:rsid w:val="08755974"/>
    <w:rsid w:val="08755980"/>
    <w:rsid w:val="08755B08"/>
    <w:rsid w:val="08755B16"/>
    <w:rsid w:val="08755B3E"/>
    <w:rsid w:val="08755B42"/>
    <w:rsid w:val="08755B96"/>
    <w:rsid w:val="08755CA7"/>
    <w:rsid w:val="08755CC8"/>
    <w:rsid w:val="08755CF4"/>
    <w:rsid w:val="08755D72"/>
    <w:rsid w:val="08755D76"/>
    <w:rsid w:val="08755DCA"/>
    <w:rsid w:val="08755F05"/>
    <w:rsid w:val="08755F32"/>
    <w:rsid w:val="08755F69"/>
    <w:rsid w:val="08755FA3"/>
    <w:rsid w:val="08756075"/>
    <w:rsid w:val="08756107"/>
    <w:rsid w:val="087561F1"/>
    <w:rsid w:val="08756341"/>
    <w:rsid w:val="087563D8"/>
    <w:rsid w:val="0875640C"/>
    <w:rsid w:val="0875643D"/>
    <w:rsid w:val="08756452"/>
    <w:rsid w:val="087564FF"/>
    <w:rsid w:val="0875654F"/>
    <w:rsid w:val="08756619"/>
    <w:rsid w:val="087567E3"/>
    <w:rsid w:val="08756811"/>
    <w:rsid w:val="087568B2"/>
    <w:rsid w:val="087568C4"/>
    <w:rsid w:val="0875691A"/>
    <w:rsid w:val="087569AD"/>
    <w:rsid w:val="087569E7"/>
    <w:rsid w:val="087569F2"/>
    <w:rsid w:val="08756A03"/>
    <w:rsid w:val="08756A19"/>
    <w:rsid w:val="08756B25"/>
    <w:rsid w:val="08756B41"/>
    <w:rsid w:val="08756B75"/>
    <w:rsid w:val="08756B86"/>
    <w:rsid w:val="08756BFB"/>
    <w:rsid w:val="08756C03"/>
    <w:rsid w:val="08756C2B"/>
    <w:rsid w:val="08756C55"/>
    <w:rsid w:val="08756CD4"/>
    <w:rsid w:val="08756CFA"/>
    <w:rsid w:val="08756D62"/>
    <w:rsid w:val="08756E86"/>
    <w:rsid w:val="08756E92"/>
    <w:rsid w:val="08756EC2"/>
    <w:rsid w:val="08756F00"/>
    <w:rsid w:val="08757070"/>
    <w:rsid w:val="08757072"/>
    <w:rsid w:val="087570DC"/>
    <w:rsid w:val="0875710B"/>
    <w:rsid w:val="0875715A"/>
    <w:rsid w:val="08757163"/>
    <w:rsid w:val="087571A6"/>
    <w:rsid w:val="087571F8"/>
    <w:rsid w:val="08757236"/>
    <w:rsid w:val="08757285"/>
    <w:rsid w:val="087572AC"/>
    <w:rsid w:val="087572C0"/>
    <w:rsid w:val="087572CC"/>
    <w:rsid w:val="08757317"/>
    <w:rsid w:val="087573DE"/>
    <w:rsid w:val="0875745B"/>
    <w:rsid w:val="0875745E"/>
    <w:rsid w:val="087574BE"/>
    <w:rsid w:val="0875754A"/>
    <w:rsid w:val="08757573"/>
    <w:rsid w:val="08757599"/>
    <w:rsid w:val="08757696"/>
    <w:rsid w:val="08757754"/>
    <w:rsid w:val="08757793"/>
    <w:rsid w:val="087577B8"/>
    <w:rsid w:val="087577BD"/>
    <w:rsid w:val="087577DE"/>
    <w:rsid w:val="087577E2"/>
    <w:rsid w:val="087577F2"/>
    <w:rsid w:val="08757907"/>
    <w:rsid w:val="087579FC"/>
    <w:rsid w:val="08757A6C"/>
    <w:rsid w:val="08757B23"/>
    <w:rsid w:val="08757B4C"/>
    <w:rsid w:val="08757B68"/>
    <w:rsid w:val="08757BC3"/>
    <w:rsid w:val="08757C48"/>
    <w:rsid w:val="08757C77"/>
    <w:rsid w:val="08757C91"/>
    <w:rsid w:val="08757D2A"/>
    <w:rsid w:val="08757D46"/>
    <w:rsid w:val="08757D6D"/>
    <w:rsid w:val="08757DC6"/>
    <w:rsid w:val="08757E00"/>
    <w:rsid w:val="08757E3D"/>
    <w:rsid w:val="08757E6F"/>
    <w:rsid w:val="08757E73"/>
    <w:rsid w:val="08757E88"/>
    <w:rsid w:val="08757EA1"/>
    <w:rsid w:val="08757EA6"/>
    <w:rsid w:val="08757EAE"/>
    <w:rsid w:val="08757EDC"/>
    <w:rsid w:val="08757F11"/>
    <w:rsid w:val="08760068"/>
    <w:rsid w:val="08760095"/>
    <w:rsid w:val="087600D7"/>
    <w:rsid w:val="0876012B"/>
    <w:rsid w:val="087601B1"/>
    <w:rsid w:val="08760258"/>
    <w:rsid w:val="08760261"/>
    <w:rsid w:val="08760321"/>
    <w:rsid w:val="08760377"/>
    <w:rsid w:val="087603CB"/>
    <w:rsid w:val="08760432"/>
    <w:rsid w:val="087604A3"/>
    <w:rsid w:val="087604C0"/>
    <w:rsid w:val="087604E7"/>
    <w:rsid w:val="08760505"/>
    <w:rsid w:val="08760598"/>
    <w:rsid w:val="087605AC"/>
    <w:rsid w:val="087605D3"/>
    <w:rsid w:val="087605DB"/>
    <w:rsid w:val="0876063F"/>
    <w:rsid w:val="08760689"/>
    <w:rsid w:val="087606B7"/>
    <w:rsid w:val="087606E3"/>
    <w:rsid w:val="08760899"/>
    <w:rsid w:val="08760971"/>
    <w:rsid w:val="087609D7"/>
    <w:rsid w:val="087609E2"/>
    <w:rsid w:val="08760A5A"/>
    <w:rsid w:val="08760AFA"/>
    <w:rsid w:val="08760D37"/>
    <w:rsid w:val="08760D45"/>
    <w:rsid w:val="08760D76"/>
    <w:rsid w:val="08760DD7"/>
    <w:rsid w:val="08760DE5"/>
    <w:rsid w:val="08760F23"/>
    <w:rsid w:val="08760F8C"/>
    <w:rsid w:val="08761075"/>
    <w:rsid w:val="0876109A"/>
    <w:rsid w:val="087610E5"/>
    <w:rsid w:val="0876114C"/>
    <w:rsid w:val="0876123D"/>
    <w:rsid w:val="087612F4"/>
    <w:rsid w:val="0876142C"/>
    <w:rsid w:val="08761433"/>
    <w:rsid w:val="08761451"/>
    <w:rsid w:val="08761479"/>
    <w:rsid w:val="0876147D"/>
    <w:rsid w:val="087615DA"/>
    <w:rsid w:val="087615E8"/>
    <w:rsid w:val="08761882"/>
    <w:rsid w:val="08761946"/>
    <w:rsid w:val="08761977"/>
    <w:rsid w:val="087619C7"/>
    <w:rsid w:val="08761A21"/>
    <w:rsid w:val="08761A99"/>
    <w:rsid w:val="08761AAB"/>
    <w:rsid w:val="08761AE6"/>
    <w:rsid w:val="08761BB4"/>
    <w:rsid w:val="08761BBE"/>
    <w:rsid w:val="08761BC5"/>
    <w:rsid w:val="08761BD1"/>
    <w:rsid w:val="08761CC5"/>
    <w:rsid w:val="08761CCD"/>
    <w:rsid w:val="08761D5F"/>
    <w:rsid w:val="08761E42"/>
    <w:rsid w:val="08761E6A"/>
    <w:rsid w:val="08761E6F"/>
    <w:rsid w:val="08761E8D"/>
    <w:rsid w:val="0876205F"/>
    <w:rsid w:val="0876206D"/>
    <w:rsid w:val="087620EF"/>
    <w:rsid w:val="08762184"/>
    <w:rsid w:val="087621C8"/>
    <w:rsid w:val="0876221E"/>
    <w:rsid w:val="08762292"/>
    <w:rsid w:val="0876230B"/>
    <w:rsid w:val="08762388"/>
    <w:rsid w:val="0876239A"/>
    <w:rsid w:val="087623F5"/>
    <w:rsid w:val="08762442"/>
    <w:rsid w:val="08762483"/>
    <w:rsid w:val="08762532"/>
    <w:rsid w:val="08762604"/>
    <w:rsid w:val="08762639"/>
    <w:rsid w:val="08762706"/>
    <w:rsid w:val="0876282D"/>
    <w:rsid w:val="08762844"/>
    <w:rsid w:val="0876285A"/>
    <w:rsid w:val="08762980"/>
    <w:rsid w:val="087629CB"/>
    <w:rsid w:val="087629D6"/>
    <w:rsid w:val="08762A4E"/>
    <w:rsid w:val="08762BB4"/>
    <w:rsid w:val="08762C0A"/>
    <w:rsid w:val="08762C77"/>
    <w:rsid w:val="08762CF6"/>
    <w:rsid w:val="08762CF9"/>
    <w:rsid w:val="08762CFC"/>
    <w:rsid w:val="08762D0C"/>
    <w:rsid w:val="08762D48"/>
    <w:rsid w:val="08762D76"/>
    <w:rsid w:val="08762DB1"/>
    <w:rsid w:val="08762E57"/>
    <w:rsid w:val="08762E60"/>
    <w:rsid w:val="08762F9B"/>
    <w:rsid w:val="08762F9C"/>
    <w:rsid w:val="08762F9D"/>
    <w:rsid w:val="0876301F"/>
    <w:rsid w:val="087630C9"/>
    <w:rsid w:val="087630DC"/>
    <w:rsid w:val="08763133"/>
    <w:rsid w:val="0876313D"/>
    <w:rsid w:val="087631AF"/>
    <w:rsid w:val="087632B0"/>
    <w:rsid w:val="0876330D"/>
    <w:rsid w:val="08763429"/>
    <w:rsid w:val="08763480"/>
    <w:rsid w:val="08763488"/>
    <w:rsid w:val="0876353D"/>
    <w:rsid w:val="087635F4"/>
    <w:rsid w:val="087635FD"/>
    <w:rsid w:val="08763655"/>
    <w:rsid w:val="08763702"/>
    <w:rsid w:val="0876379E"/>
    <w:rsid w:val="087637DE"/>
    <w:rsid w:val="08763814"/>
    <w:rsid w:val="0876385A"/>
    <w:rsid w:val="08763863"/>
    <w:rsid w:val="08763947"/>
    <w:rsid w:val="087639B8"/>
    <w:rsid w:val="087639B9"/>
    <w:rsid w:val="08763A8A"/>
    <w:rsid w:val="08763B18"/>
    <w:rsid w:val="08763B48"/>
    <w:rsid w:val="08763C02"/>
    <w:rsid w:val="08763C1E"/>
    <w:rsid w:val="08763C4C"/>
    <w:rsid w:val="08763CD5"/>
    <w:rsid w:val="08763CDF"/>
    <w:rsid w:val="08763D03"/>
    <w:rsid w:val="08763D4D"/>
    <w:rsid w:val="08763DF3"/>
    <w:rsid w:val="08763F05"/>
    <w:rsid w:val="08764011"/>
    <w:rsid w:val="08764029"/>
    <w:rsid w:val="08764056"/>
    <w:rsid w:val="08764156"/>
    <w:rsid w:val="087641D2"/>
    <w:rsid w:val="087641FB"/>
    <w:rsid w:val="0876426D"/>
    <w:rsid w:val="08764291"/>
    <w:rsid w:val="087642BF"/>
    <w:rsid w:val="087642E4"/>
    <w:rsid w:val="087643D2"/>
    <w:rsid w:val="087644BA"/>
    <w:rsid w:val="0876453B"/>
    <w:rsid w:val="087645B6"/>
    <w:rsid w:val="08764658"/>
    <w:rsid w:val="0876467D"/>
    <w:rsid w:val="087647A0"/>
    <w:rsid w:val="087647D1"/>
    <w:rsid w:val="087647D2"/>
    <w:rsid w:val="08764AAE"/>
    <w:rsid w:val="08764AB2"/>
    <w:rsid w:val="08764B01"/>
    <w:rsid w:val="08764B19"/>
    <w:rsid w:val="08764B65"/>
    <w:rsid w:val="08764BD4"/>
    <w:rsid w:val="08764BF5"/>
    <w:rsid w:val="08764C37"/>
    <w:rsid w:val="08764CAC"/>
    <w:rsid w:val="08764CFD"/>
    <w:rsid w:val="08764D6C"/>
    <w:rsid w:val="08764DFD"/>
    <w:rsid w:val="08764F46"/>
    <w:rsid w:val="08764F49"/>
    <w:rsid w:val="08764F84"/>
    <w:rsid w:val="08764F8F"/>
    <w:rsid w:val="08764FA3"/>
    <w:rsid w:val="08765090"/>
    <w:rsid w:val="087650EA"/>
    <w:rsid w:val="0876515E"/>
    <w:rsid w:val="0876519E"/>
    <w:rsid w:val="087651E5"/>
    <w:rsid w:val="0876521C"/>
    <w:rsid w:val="087652D7"/>
    <w:rsid w:val="087652E8"/>
    <w:rsid w:val="0876532A"/>
    <w:rsid w:val="087653A8"/>
    <w:rsid w:val="08765493"/>
    <w:rsid w:val="08765515"/>
    <w:rsid w:val="08765533"/>
    <w:rsid w:val="08765698"/>
    <w:rsid w:val="087656C5"/>
    <w:rsid w:val="08765784"/>
    <w:rsid w:val="087657AD"/>
    <w:rsid w:val="08765884"/>
    <w:rsid w:val="08765893"/>
    <w:rsid w:val="0876597E"/>
    <w:rsid w:val="08765AC2"/>
    <w:rsid w:val="08765AE9"/>
    <w:rsid w:val="08765BCC"/>
    <w:rsid w:val="08765BED"/>
    <w:rsid w:val="08765BFE"/>
    <w:rsid w:val="08765C4C"/>
    <w:rsid w:val="08765CEF"/>
    <w:rsid w:val="08765D2F"/>
    <w:rsid w:val="08765D94"/>
    <w:rsid w:val="08765DC1"/>
    <w:rsid w:val="08765E37"/>
    <w:rsid w:val="08765E8B"/>
    <w:rsid w:val="08765F1A"/>
    <w:rsid w:val="08765F1C"/>
    <w:rsid w:val="08765F40"/>
    <w:rsid w:val="0876604F"/>
    <w:rsid w:val="0876617D"/>
    <w:rsid w:val="08766265"/>
    <w:rsid w:val="08766278"/>
    <w:rsid w:val="087663A7"/>
    <w:rsid w:val="087663FC"/>
    <w:rsid w:val="08766414"/>
    <w:rsid w:val="0876651C"/>
    <w:rsid w:val="08766531"/>
    <w:rsid w:val="08766534"/>
    <w:rsid w:val="08766708"/>
    <w:rsid w:val="0876673A"/>
    <w:rsid w:val="0876673E"/>
    <w:rsid w:val="08766782"/>
    <w:rsid w:val="087667B3"/>
    <w:rsid w:val="08766978"/>
    <w:rsid w:val="08766979"/>
    <w:rsid w:val="087669B8"/>
    <w:rsid w:val="087669C7"/>
    <w:rsid w:val="087669E1"/>
    <w:rsid w:val="087669EE"/>
    <w:rsid w:val="08766A17"/>
    <w:rsid w:val="08766A75"/>
    <w:rsid w:val="08766BB9"/>
    <w:rsid w:val="08766BE9"/>
    <w:rsid w:val="08766C11"/>
    <w:rsid w:val="08766C70"/>
    <w:rsid w:val="08766DAA"/>
    <w:rsid w:val="08766DFE"/>
    <w:rsid w:val="08766F22"/>
    <w:rsid w:val="08766F48"/>
    <w:rsid w:val="08767160"/>
    <w:rsid w:val="087671E5"/>
    <w:rsid w:val="08767208"/>
    <w:rsid w:val="087673C2"/>
    <w:rsid w:val="0876743F"/>
    <w:rsid w:val="087675BC"/>
    <w:rsid w:val="0876762A"/>
    <w:rsid w:val="08767631"/>
    <w:rsid w:val="08767633"/>
    <w:rsid w:val="087676F9"/>
    <w:rsid w:val="087676FD"/>
    <w:rsid w:val="08767745"/>
    <w:rsid w:val="08767900"/>
    <w:rsid w:val="08767946"/>
    <w:rsid w:val="08767964"/>
    <w:rsid w:val="087679D4"/>
    <w:rsid w:val="087679EF"/>
    <w:rsid w:val="08767A1D"/>
    <w:rsid w:val="08767B10"/>
    <w:rsid w:val="08767B34"/>
    <w:rsid w:val="08767B48"/>
    <w:rsid w:val="08767B7A"/>
    <w:rsid w:val="08767BF5"/>
    <w:rsid w:val="08767C7F"/>
    <w:rsid w:val="08767CF0"/>
    <w:rsid w:val="08767D15"/>
    <w:rsid w:val="08767D5B"/>
    <w:rsid w:val="08767DA7"/>
    <w:rsid w:val="08767EF6"/>
    <w:rsid w:val="08767F02"/>
    <w:rsid w:val="08767F70"/>
    <w:rsid w:val="087700C6"/>
    <w:rsid w:val="087700F3"/>
    <w:rsid w:val="08770186"/>
    <w:rsid w:val="08770234"/>
    <w:rsid w:val="087703A9"/>
    <w:rsid w:val="087703DA"/>
    <w:rsid w:val="087704F4"/>
    <w:rsid w:val="0877054F"/>
    <w:rsid w:val="08770553"/>
    <w:rsid w:val="087705CA"/>
    <w:rsid w:val="087705FC"/>
    <w:rsid w:val="087706A6"/>
    <w:rsid w:val="08770748"/>
    <w:rsid w:val="08770819"/>
    <w:rsid w:val="08770823"/>
    <w:rsid w:val="08770829"/>
    <w:rsid w:val="08770864"/>
    <w:rsid w:val="0877099E"/>
    <w:rsid w:val="087709C7"/>
    <w:rsid w:val="087709EC"/>
    <w:rsid w:val="087709F0"/>
    <w:rsid w:val="08770A71"/>
    <w:rsid w:val="08770AA3"/>
    <w:rsid w:val="08770ABD"/>
    <w:rsid w:val="08770AD8"/>
    <w:rsid w:val="08770B2E"/>
    <w:rsid w:val="08770B88"/>
    <w:rsid w:val="08770C0C"/>
    <w:rsid w:val="08770D0A"/>
    <w:rsid w:val="08770D2D"/>
    <w:rsid w:val="08770E24"/>
    <w:rsid w:val="08770E54"/>
    <w:rsid w:val="08770F3C"/>
    <w:rsid w:val="08770FBA"/>
    <w:rsid w:val="0877104F"/>
    <w:rsid w:val="08771112"/>
    <w:rsid w:val="087711C1"/>
    <w:rsid w:val="087712A5"/>
    <w:rsid w:val="087712AE"/>
    <w:rsid w:val="0877135B"/>
    <w:rsid w:val="0877141F"/>
    <w:rsid w:val="0877144A"/>
    <w:rsid w:val="0877146F"/>
    <w:rsid w:val="0877155E"/>
    <w:rsid w:val="08771598"/>
    <w:rsid w:val="0877170E"/>
    <w:rsid w:val="087717E1"/>
    <w:rsid w:val="087717F3"/>
    <w:rsid w:val="087718D7"/>
    <w:rsid w:val="0877191E"/>
    <w:rsid w:val="087719CA"/>
    <w:rsid w:val="08771A2D"/>
    <w:rsid w:val="08771B7D"/>
    <w:rsid w:val="08771BEA"/>
    <w:rsid w:val="08771C30"/>
    <w:rsid w:val="08771CCE"/>
    <w:rsid w:val="08771CE5"/>
    <w:rsid w:val="08771CEC"/>
    <w:rsid w:val="08771D28"/>
    <w:rsid w:val="08771DF2"/>
    <w:rsid w:val="08771EB9"/>
    <w:rsid w:val="08771EC0"/>
    <w:rsid w:val="08771F35"/>
    <w:rsid w:val="08771F71"/>
    <w:rsid w:val="08771F98"/>
    <w:rsid w:val="08771FDA"/>
    <w:rsid w:val="08771FF4"/>
    <w:rsid w:val="087720A4"/>
    <w:rsid w:val="08772115"/>
    <w:rsid w:val="08772161"/>
    <w:rsid w:val="08772211"/>
    <w:rsid w:val="0877222A"/>
    <w:rsid w:val="08772235"/>
    <w:rsid w:val="0877227D"/>
    <w:rsid w:val="087722C7"/>
    <w:rsid w:val="0877232C"/>
    <w:rsid w:val="0877248A"/>
    <w:rsid w:val="087724A4"/>
    <w:rsid w:val="087724AC"/>
    <w:rsid w:val="087724B7"/>
    <w:rsid w:val="087724DA"/>
    <w:rsid w:val="0877252B"/>
    <w:rsid w:val="08772542"/>
    <w:rsid w:val="087725C8"/>
    <w:rsid w:val="087726A5"/>
    <w:rsid w:val="0877273A"/>
    <w:rsid w:val="087727B8"/>
    <w:rsid w:val="08772809"/>
    <w:rsid w:val="08772833"/>
    <w:rsid w:val="08772A2F"/>
    <w:rsid w:val="08772A50"/>
    <w:rsid w:val="08772BA3"/>
    <w:rsid w:val="08772BBF"/>
    <w:rsid w:val="08772BE0"/>
    <w:rsid w:val="08772CC4"/>
    <w:rsid w:val="08772CC8"/>
    <w:rsid w:val="08772D9F"/>
    <w:rsid w:val="08772DDC"/>
    <w:rsid w:val="08772E24"/>
    <w:rsid w:val="08772EFF"/>
    <w:rsid w:val="08772F52"/>
    <w:rsid w:val="08772F8D"/>
    <w:rsid w:val="08772FA4"/>
    <w:rsid w:val="08772FBD"/>
    <w:rsid w:val="0877306E"/>
    <w:rsid w:val="0877308D"/>
    <w:rsid w:val="087730DE"/>
    <w:rsid w:val="087730E4"/>
    <w:rsid w:val="0877356C"/>
    <w:rsid w:val="08773596"/>
    <w:rsid w:val="087735C1"/>
    <w:rsid w:val="08773604"/>
    <w:rsid w:val="0877361A"/>
    <w:rsid w:val="0877369A"/>
    <w:rsid w:val="08773721"/>
    <w:rsid w:val="087737CB"/>
    <w:rsid w:val="087737E1"/>
    <w:rsid w:val="087739A0"/>
    <w:rsid w:val="08773A16"/>
    <w:rsid w:val="08773AEA"/>
    <w:rsid w:val="08773B8E"/>
    <w:rsid w:val="08773BD6"/>
    <w:rsid w:val="08773BF6"/>
    <w:rsid w:val="08773CCA"/>
    <w:rsid w:val="08773D91"/>
    <w:rsid w:val="08773D99"/>
    <w:rsid w:val="08773EAD"/>
    <w:rsid w:val="08773ED9"/>
    <w:rsid w:val="08773EFF"/>
    <w:rsid w:val="08773FAA"/>
    <w:rsid w:val="08774020"/>
    <w:rsid w:val="08774049"/>
    <w:rsid w:val="0877407C"/>
    <w:rsid w:val="0877412E"/>
    <w:rsid w:val="0877415C"/>
    <w:rsid w:val="087741B4"/>
    <w:rsid w:val="087743BB"/>
    <w:rsid w:val="087743C2"/>
    <w:rsid w:val="087743CA"/>
    <w:rsid w:val="0877448E"/>
    <w:rsid w:val="087744EF"/>
    <w:rsid w:val="0877450D"/>
    <w:rsid w:val="0877464D"/>
    <w:rsid w:val="087746A8"/>
    <w:rsid w:val="087746EF"/>
    <w:rsid w:val="087746FE"/>
    <w:rsid w:val="08774722"/>
    <w:rsid w:val="0877479B"/>
    <w:rsid w:val="0877482A"/>
    <w:rsid w:val="08774871"/>
    <w:rsid w:val="08774954"/>
    <w:rsid w:val="087749BF"/>
    <w:rsid w:val="08774A3D"/>
    <w:rsid w:val="08774B02"/>
    <w:rsid w:val="08774B10"/>
    <w:rsid w:val="08774CBB"/>
    <w:rsid w:val="08774D97"/>
    <w:rsid w:val="08774F2B"/>
    <w:rsid w:val="08774F8D"/>
    <w:rsid w:val="08774FA4"/>
    <w:rsid w:val="08774FA7"/>
    <w:rsid w:val="0877504C"/>
    <w:rsid w:val="087751E8"/>
    <w:rsid w:val="0877521C"/>
    <w:rsid w:val="087752AF"/>
    <w:rsid w:val="087752CF"/>
    <w:rsid w:val="087752DE"/>
    <w:rsid w:val="08775311"/>
    <w:rsid w:val="0877543E"/>
    <w:rsid w:val="08775485"/>
    <w:rsid w:val="0877552A"/>
    <w:rsid w:val="0877553E"/>
    <w:rsid w:val="087755DE"/>
    <w:rsid w:val="0877561B"/>
    <w:rsid w:val="087756DC"/>
    <w:rsid w:val="08775717"/>
    <w:rsid w:val="08775720"/>
    <w:rsid w:val="08775747"/>
    <w:rsid w:val="0877578D"/>
    <w:rsid w:val="087757AF"/>
    <w:rsid w:val="0877584C"/>
    <w:rsid w:val="0877585B"/>
    <w:rsid w:val="08775875"/>
    <w:rsid w:val="08775876"/>
    <w:rsid w:val="08775891"/>
    <w:rsid w:val="087759C5"/>
    <w:rsid w:val="087759F1"/>
    <w:rsid w:val="08775A66"/>
    <w:rsid w:val="08775CF4"/>
    <w:rsid w:val="08775E63"/>
    <w:rsid w:val="08775EEB"/>
    <w:rsid w:val="08775F5C"/>
    <w:rsid w:val="08776175"/>
    <w:rsid w:val="08776199"/>
    <w:rsid w:val="0877630E"/>
    <w:rsid w:val="087763F8"/>
    <w:rsid w:val="08776461"/>
    <w:rsid w:val="08776477"/>
    <w:rsid w:val="08776494"/>
    <w:rsid w:val="08776562"/>
    <w:rsid w:val="087765AC"/>
    <w:rsid w:val="087765C5"/>
    <w:rsid w:val="08776607"/>
    <w:rsid w:val="08776657"/>
    <w:rsid w:val="08776667"/>
    <w:rsid w:val="087766A9"/>
    <w:rsid w:val="0877687B"/>
    <w:rsid w:val="08776899"/>
    <w:rsid w:val="087768AB"/>
    <w:rsid w:val="08776925"/>
    <w:rsid w:val="0877697E"/>
    <w:rsid w:val="08776A53"/>
    <w:rsid w:val="08776A74"/>
    <w:rsid w:val="08776A98"/>
    <w:rsid w:val="08776B23"/>
    <w:rsid w:val="08776B94"/>
    <w:rsid w:val="08776C55"/>
    <w:rsid w:val="08776C98"/>
    <w:rsid w:val="08776CD0"/>
    <w:rsid w:val="08776D40"/>
    <w:rsid w:val="08776D5B"/>
    <w:rsid w:val="08776EEF"/>
    <w:rsid w:val="08776F33"/>
    <w:rsid w:val="08776F66"/>
    <w:rsid w:val="08776FBD"/>
    <w:rsid w:val="08776FC9"/>
    <w:rsid w:val="08777048"/>
    <w:rsid w:val="08777070"/>
    <w:rsid w:val="087770B9"/>
    <w:rsid w:val="087770BE"/>
    <w:rsid w:val="087770DF"/>
    <w:rsid w:val="08777181"/>
    <w:rsid w:val="08777187"/>
    <w:rsid w:val="087771E0"/>
    <w:rsid w:val="087771E3"/>
    <w:rsid w:val="08777340"/>
    <w:rsid w:val="0877745E"/>
    <w:rsid w:val="087774C3"/>
    <w:rsid w:val="08777528"/>
    <w:rsid w:val="087776FA"/>
    <w:rsid w:val="087777C6"/>
    <w:rsid w:val="087777EA"/>
    <w:rsid w:val="08777825"/>
    <w:rsid w:val="08777866"/>
    <w:rsid w:val="087778BE"/>
    <w:rsid w:val="08777936"/>
    <w:rsid w:val="087779DC"/>
    <w:rsid w:val="08777A6B"/>
    <w:rsid w:val="08777A9D"/>
    <w:rsid w:val="08777B20"/>
    <w:rsid w:val="08777B7E"/>
    <w:rsid w:val="08777BAC"/>
    <w:rsid w:val="08777C53"/>
    <w:rsid w:val="08777C86"/>
    <w:rsid w:val="08777CD7"/>
    <w:rsid w:val="08777DA9"/>
    <w:rsid w:val="08777DD1"/>
    <w:rsid w:val="08777E0C"/>
    <w:rsid w:val="08777E9D"/>
    <w:rsid w:val="08777EB0"/>
    <w:rsid w:val="08777ECD"/>
    <w:rsid w:val="08777F5F"/>
    <w:rsid w:val="08777FA8"/>
    <w:rsid w:val="08777FB0"/>
    <w:rsid w:val="08780018"/>
    <w:rsid w:val="08780071"/>
    <w:rsid w:val="0878010A"/>
    <w:rsid w:val="08780128"/>
    <w:rsid w:val="08780129"/>
    <w:rsid w:val="0878017A"/>
    <w:rsid w:val="08780207"/>
    <w:rsid w:val="08780284"/>
    <w:rsid w:val="0878028F"/>
    <w:rsid w:val="087802D1"/>
    <w:rsid w:val="0878040A"/>
    <w:rsid w:val="0878046B"/>
    <w:rsid w:val="087804C7"/>
    <w:rsid w:val="087805A0"/>
    <w:rsid w:val="087805B6"/>
    <w:rsid w:val="0878062F"/>
    <w:rsid w:val="08780745"/>
    <w:rsid w:val="0878074A"/>
    <w:rsid w:val="08780778"/>
    <w:rsid w:val="08780827"/>
    <w:rsid w:val="0878085B"/>
    <w:rsid w:val="087808FC"/>
    <w:rsid w:val="08780919"/>
    <w:rsid w:val="08780923"/>
    <w:rsid w:val="08780957"/>
    <w:rsid w:val="08780B20"/>
    <w:rsid w:val="08780C27"/>
    <w:rsid w:val="08780C8C"/>
    <w:rsid w:val="08780D3D"/>
    <w:rsid w:val="08780E8C"/>
    <w:rsid w:val="08780EA2"/>
    <w:rsid w:val="08780EB9"/>
    <w:rsid w:val="08780EE7"/>
    <w:rsid w:val="08780F61"/>
    <w:rsid w:val="08780F7D"/>
    <w:rsid w:val="087810CA"/>
    <w:rsid w:val="087811AA"/>
    <w:rsid w:val="087811DD"/>
    <w:rsid w:val="087812E4"/>
    <w:rsid w:val="087812F7"/>
    <w:rsid w:val="08781311"/>
    <w:rsid w:val="08781337"/>
    <w:rsid w:val="0878139B"/>
    <w:rsid w:val="0878147C"/>
    <w:rsid w:val="0878148C"/>
    <w:rsid w:val="087814DE"/>
    <w:rsid w:val="0878152E"/>
    <w:rsid w:val="08781562"/>
    <w:rsid w:val="08781593"/>
    <w:rsid w:val="087815E4"/>
    <w:rsid w:val="087816F7"/>
    <w:rsid w:val="0878181E"/>
    <w:rsid w:val="0878184A"/>
    <w:rsid w:val="087819D7"/>
    <w:rsid w:val="08781AC0"/>
    <w:rsid w:val="08781AF6"/>
    <w:rsid w:val="08781B3C"/>
    <w:rsid w:val="08781B41"/>
    <w:rsid w:val="08781B83"/>
    <w:rsid w:val="08781BB7"/>
    <w:rsid w:val="08781BE4"/>
    <w:rsid w:val="08781C07"/>
    <w:rsid w:val="08781C0C"/>
    <w:rsid w:val="08781C7F"/>
    <w:rsid w:val="08781C93"/>
    <w:rsid w:val="08781CB1"/>
    <w:rsid w:val="08781CCD"/>
    <w:rsid w:val="08781CF1"/>
    <w:rsid w:val="08781D0E"/>
    <w:rsid w:val="08781D27"/>
    <w:rsid w:val="08781D6D"/>
    <w:rsid w:val="08781D77"/>
    <w:rsid w:val="08781E29"/>
    <w:rsid w:val="08781E3A"/>
    <w:rsid w:val="08781E5F"/>
    <w:rsid w:val="08781E73"/>
    <w:rsid w:val="08781E9F"/>
    <w:rsid w:val="08781F01"/>
    <w:rsid w:val="08781F30"/>
    <w:rsid w:val="08781F82"/>
    <w:rsid w:val="08781FC1"/>
    <w:rsid w:val="08782006"/>
    <w:rsid w:val="087820F7"/>
    <w:rsid w:val="08782138"/>
    <w:rsid w:val="0878213B"/>
    <w:rsid w:val="0878213D"/>
    <w:rsid w:val="0878216A"/>
    <w:rsid w:val="087821AD"/>
    <w:rsid w:val="087821D6"/>
    <w:rsid w:val="0878220C"/>
    <w:rsid w:val="08782217"/>
    <w:rsid w:val="0878221A"/>
    <w:rsid w:val="08782220"/>
    <w:rsid w:val="0878225C"/>
    <w:rsid w:val="0878227E"/>
    <w:rsid w:val="087822D4"/>
    <w:rsid w:val="087822FF"/>
    <w:rsid w:val="0878238C"/>
    <w:rsid w:val="0878242C"/>
    <w:rsid w:val="08782471"/>
    <w:rsid w:val="0878258F"/>
    <w:rsid w:val="08782613"/>
    <w:rsid w:val="08782692"/>
    <w:rsid w:val="087826BF"/>
    <w:rsid w:val="087826F3"/>
    <w:rsid w:val="08782718"/>
    <w:rsid w:val="087827AF"/>
    <w:rsid w:val="087827CB"/>
    <w:rsid w:val="087827FC"/>
    <w:rsid w:val="087828C3"/>
    <w:rsid w:val="08782926"/>
    <w:rsid w:val="08782A10"/>
    <w:rsid w:val="08782B18"/>
    <w:rsid w:val="08782C19"/>
    <w:rsid w:val="08782C6C"/>
    <w:rsid w:val="08782CB9"/>
    <w:rsid w:val="08782CCB"/>
    <w:rsid w:val="08782EAD"/>
    <w:rsid w:val="08782EB0"/>
    <w:rsid w:val="08782F25"/>
    <w:rsid w:val="08782F67"/>
    <w:rsid w:val="0878302E"/>
    <w:rsid w:val="087830CF"/>
    <w:rsid w:val="0878326F"/>
    <w:rsid w:val="08783280"/>
    <w:rsid w:val="087832A2"/>
    <w:rsid w:val="087832EC"/>
    <w:rsid w:val="0878337B"/>
    <w:rsid w:val="087833BC"/>
    <w:rsid w:val="0878344B"/>
    <w:rsid w:val="08783464"/>
    <w:rsid w:val="087834D5"/>
    <w:rsid w:val="087834DA"/>
    <w:rsid w:val="087835A1"/>
    <w:rsid w:val="087835BA"/>
    <w:rsid w:val="08783675"/>
    <w:rsid w:val="087836AB"/>
    <w:rsid w:val="0878379D"/>
    <w:rsid w:val="087837CB"/>
    <w:rsid w:val="08783810"/>
    <w:rsid w:val="08783814"/>
    <w:rsid w:val="0878381A"/>
    <w:rsid w:val="08783831"/>
    <w:rsid w:val="08783844"/>
    <w:rsid w:val="08783849"/>
    <w:rsid w:val="08783887"/>
    <w:rsid w:val="08783969"/>
    <w:rsid w:val="087839D2"/>
    <w:rsid w:val="087839D9"/>
    <w:rsid w:val="08783A19"/>
    <w:rsid w:val="08783A57"/>
    <w:rsid w:val="08783AC9"/>
    <w:rsid w:val="08783B01"/>
    <w:rsid w:val="08783B04"/>
    <w:rsid w:val="08783C3A"/>
    <w:rsid w:val="08783D30"/>
    <w:rsid w:val="08783D5E"/>
    <w:rsid w:val="08783D97"/>
    <w:rsid w:val="08783DC6"/>
    <w:rsid w:val="08783E3E"/>
    <w:rsid w:val="08783F1A"/>
    <w:rsid w:val="08783F4C"/>
    <w:rsid w:val="08783F68"/>
    <w:rsid w:val="0878414E"/>
    <w:rsid w:val="08784185"/>
    <w:rsid w:val="0878418E"/>
    <w:rsid w:val="08784223"/>
    <w:rsid w:val="0878424A"/>
    <w:rsid w:val="0878429A"/>
    <w:rsid w:val="0878429E"/>
    <w:rsid w:val="087842EA"/>
    <w:rsid w:val="0878433B"/>
    <w:rsid w:val="08784380"/>
    <w:rsid w:val="087843CC"/>
    <w:rsid w:val="08784418"/>
    <w:rsid w:val="08784444"/>
    <w:rsid w:val="08784506"/>
    <w:rsid w:val="0878454B"/>
    <w:rsid w:val="087845ED"/>
    <w:rsid w:val="08784631"/>
    <w:rsid w:val="087846C9"/>
    <w:rsid w:val="087847A3"/>
    <w:rsid w:val="0878483B"/>
    <w:rsid w:val="08784875"/>
    <w:rsid w:val="087848AF"/>
    <w:rsid w:val="0878495B"/>
    <w:rsid w:val="08784A61"/>
    <w:rsid w:val="08784A77"/>
    <w:rsid w:val="08784A9A"/>
    <w:rsid w:val="08784AAC"/>
    <w:rsid w:val="08784AF3"/>
    <w:rsid w:val="08784B14"/>
    <w:rsid w:val="08784B5F"/>
    <w:rsid w:val="08784BC4"/>
    <w:rsid w:val="08784BD5"/>
    <w:rsid w:val="08784BF4"/>
    <w:rsid w:val="08784C12"/>
    <w:rsid w:val="08784CF2"/>
    <w:rsid w:val="08784D44"/>
    <w:rsid w:val="08784DCD"/>
    <w:rsid w:val="08784F7E"/>
    <w:rsid w:val="0878502D"/>
    <w:rsid w:val="08785090"/>
    <w:rsid w:val="08785097"/>
    <w:rsid w:val="08785106"/>
    <w:rsid w:val="0878512D"/>
    <w:rsid w:val="0878516B"/>
    <w:rsid w:val="0878516E"/>
    <w:rsid w:val="08785279"/>
    <w:rsid w:val="0878529B"/>
    <w:rsid w:val="08785340"/>
    <w:rsid w:val="0878538B"/>
    <w:rsid w:val="087853EA"/>
    <w:rsid w:val="08785485"/>
    <w:rsid w:val="08785550"/>
    <w:rsid w:val="087855B3"/>
    <w:rsid w:val="08785666"/>
    <w:rsid w:val="087856C9"/>
    <w:rsid w:val="087856F1"/>
    <w:rsid w:val="08785760"/>
    <w:rsid w:val="0878577C"/>
    <w:rsid w:val="087858BA"/>
    <w:rsid w:val="087858C9"/>
    <w:rsid w:val="08785990"/>
    <w:rsid w:val="087859DE"/>
    <w:rsid w:val="08785A0D"/>
    <w:rsid w:val="08785A5A"/>
    <w:rsid w:val="08785B29"/>
    <w:rsid w:val="08785BCF"/>
    <w:rsid w:val="08785C7C"/>
    <w:rsid w:val="08785CA2"/>
    <w:rsid w:val="08785CA9"/>
    <w:rsid w:val="08785CBE"/>
    <w:rsid w:val="08785CC4"/>
    <w:rsid w:val="08785D7A"/>
    <w:rsid w:val="08785DDF"/>
    <w:rsid w:val="08785E59"/>
    <w:rsid w:val="087860D9"/>
    <w:rsid w:val="087862E2"/>
    <w:rsid w:val="087862EB"/>
    <w:rsid w:val="08786363"/>
    <w:rsid w:val="087863CD"/>
    <w:rsid w:val="08786448"/>
    <w:rsid w:val="08786495"/>
    <w:rsid w:val="087864B5"/>
    <w:rsid w:val="087864F4"/>
    <w:rsid w:val="087865B0"/>
    <w:rsid w:val="087865DF"/>
    <w:rsid w:val="087865F7"/>
    <w:rsid w:val="087866A1"/>
    <w:rsid w:val="087866CD"/>
    <w:rsid w:val="087866DD"/>
    <w:rsid w:val="087866E9"/>
    <w:rsid w:val="0878675A"/>
    <w:rsid w:val="08786832"/>
    <w:rsid w:val="087868A6"/>
    <w:rsid w:val="08786972"/>
    <w:rsid w:val="08786975"/>
    <w:rsid w:val="087869F9"/>
    <w:rsid w:val="08786A61"/>
    <w:rsid w:val="08786AB9"/>
    <w:rsid w:val="08786BBD"/>
    <w:rsid w:val="08786BDB"/>
    <w:rsid w:val="08786C15"/>
    <w:rsid w:val="08786C21"/>
    <w:rsid w:val="08786C23"/>
    <w:rsid w:val="08786C2C"/>
    <w:rsid w:val="08786C71"/>
    <w:rsid w:val="08786CA4"/>
    <w:rsid w:val="08786CC5"/>
    <w:rsid w:val="08786D09"/>
    <w:rsid w:val="08786D56"/>
    <w:rsid w:val="08786DBB"/>
    <w:rsid w:val="08786EF0"/>
    <w:rsid w:val="08786FA7"/>
    <w:rsid w:val="087870C4"/>
    <w:rsid w:val="08787146"/>
    <w:rsid w:val="087871EC"/>
    <w:rsid w:val="087872E4"/>
    <w:rsid w:val="08787379"/>
    <w:rsid w:val="08787434"/>
    <w:rsid w:val="08787548"/>
    <w:rsid w:val="0878756A"/>
    <w:rsid w:val="08787596"/>
    <w:rsid w:val="087875BA"/>
    <w:rsid w:val="0878762B"/>
    <w:rsid w:val="0878762D"/>
    <w:rsid w:val="08787630"/>
    <w:rsid w:val="087876C7"/>
    <w:rsid w:val="08787701"/>
    <w:rsid w:val="08787720"/>
    <w:rsid w:val="08787725"/>
    <w:rsid w:val="0878772C"/>
    <w:rsid w:val="08787794"/>
    <w:rsid w:val="08787870"/>
    <w:rsid w:val="08787872"/>
    <w:rsid w:val="08787937"/>
    <w:rsid w:val="08787963"/>
    <w:rsid w:val="087879A5"/>
    <w:rsid w:val="087879C4"/>
    <w:rsid w:val="087879E3"/>
    <w:rsid w:val="087879F5"/>
    <w:rsid w:val="08787A0A"/>
    <w:rsid w:val="08787A53"/>
    <w:rsid w:val="08787A5D"/>
    <w:rsid w:val="08787A61"/>
    <w:rsid w:val="08787B78"/>
    <w:rsid w:val="08787BBD"/>
    <w:rsid w:val="08787C12"/>
    <w:rsid w:val="08787C64"/>
    <w:rsid w:val="08787D21"/>
    <w:rsid w:val="08787D91"/>
    <w:rsid w:val="08787F39"/>
    <w:rsid w:val="08790023"/>
    <w:rsid w:val="08790094"/>
    <w:rsid w:val="087900BD"/>
    <w:rsid w:val="0879028E"/>
    <w:rsid w:val="08790340"/>
    <w:rsid w:val="087904BE"/>
    <w:rsid w:val="087904C8"/>
    <w:rsid w:val="08790599"/>
    <w:rsid w:val="08790795"/>
    <w:rsid w:val="0879082F"/>
    <w:rsid w:val="08790884"/>
    <w:rsid w:val="087908DE"/>
    <w:rsid w:val="087908FC"/>
    <w:rsid w:val="08790939"/>
    <w:rsid w:val="087909E6"/>
    <w:rsid w:val="087909FF"/>
    <w:rsid w:val="08790B68"/>
    <w:rsid w:val="08790BFB"/>
    <w:rsid w:val="08790C0B"/>
    <w:rsid w:val="08790C6B"/>
    <w:rsid w:val="08790CA8"/>
    <w:rsid w:val="08790CAF"/>
    <w:rsid w:val="08790CB2"/>
    <w:rsid w:val="08790E29"/>
    <w:rsid w:val="08791025"/>
    <w:rsid w:val="087910B0"/>
    <w:rsid w:val="087910FB"/>
    <w:rsid w:val="08791132"/>
    <w:rsid w:val="08791172"/>
    <w:rsid w:val="0879122C"/>
    <w:rsid w:val="08791294"/>
    <w:rsid w:val="08791336"/>
    <w:rsid w:val="0879134E"/>
    <w:rsid w:val="08791549"/>
    <w:rsid w:val="08791591"/>
    <w:rsid w:val="087915F8"/>
    <w:rsid w:val="087916EB"/>
    <w:rsid w:val="0879173E"/>
    <w:rsid w:val="0879176E"/>
    <w:rsid w:val="0879179F"/>
    <w:rsid w:val="087917F9"/>
    <w:rsid w:val="0879181E"/>
    <w:rsid w:val="08791866"/>
    <w:rsid w:val="087918A6"/>
    <w:rsid w:val="087918C3"/>
    <w:rsid w:val="087918C7"/>
    <w:rsid w:val="087918F7"/>
    <w:rsid w:val="08791965"/>
    <w:rsid w:val="08791973"/>
    <w:rsid w:val="08791988"/>
    <w:rsid w:val="08791A16"/>
    <w:rsid w:val="08791B2F"/>
    <w:rsid w:val="08791C2F"/>
    <w:rsid w:val="08791C53"/>
    <w:rsid w:val="08791CED"/>
    <w:rsid w:val="08791D6F"/>
    <w:rsid w:val="08791D7C"/>
    <w:rsid w:val="08791E23"/>
    <w:rsid w:val="08791E92"/>
    <w:rsid w:val="08792050"/>
    <w:rsid w:val="08792068"/>
    <w:rsid w:val="0879207E"/>
    <w:rsid w:val="087920A5"/>
    <w:rsid w:val="087920D5"/>
    <w:rsid w:val="0879211F"/>
    <w:rsid w:val="08792141"/>
    <w:rsid w:val="087921E7"/>
    <w:rsid w:val="087922CF"/>
    <w:rsid w:val="087923A6"/>
    <w:rsid w:val="08792487"/>
    <w:rsid w:val="0879248B"/>
    <w:rsid w:val="087924F1"/>
    <w:rsid w:val="0879266C"/>
    <w:rsid w:val="08792681"/>
    <w:rsid w:val="08792770"/>
    <w:rsid w:val="0879295B"/>
    <w:rsid w:val="08792991"/>
    <w:rsid w:val="0879299F"/>
    <w:rsid w:val="087929C7"/>
    <w:rsid w:val="087929D3"/>
    <w:rsid w:val="087929D5"/>
    <w:rsid w:val="087929F1"/>
    <w:rsid w:val="08792A15"/>
    <w:rsid w:val="08792A50"/>
    <w:rsid w:val="08792B72"/>
    <w:rsid w:val="08792B7C"/>
    <w:rsid w:val="08792B7E"/>
    <w:rsid w:val="08792BA3"/>
    <w:rsid w:val="08792C2E"/>
    <w:rsid w:val="08792D12"/>
    <w:rsid w:val="08792E64"/>
    <w:rsid w:val="08792E7D"/>
    <w:rsid w:val="08792F35"/>
    <w:rsid w:val="08792FAC"/>
    <w:rsid w:val="08792FF5"/>
    <w:rsid w:val="08793000"/>
    <w:rsid w:val="08793098"/>
    <w:rsid w:val="087930C3"/>
    <w:rsid w:val="08793111"/>
    <w:rsid w:val="08793115"/>
    <w:rsid w:val="087931C1"/>
    <w:rsid w:val="0879324A"/>
    <w:rsid w:val="087932B5"/>
    <w:rsid w:val="08793301"/>
    <w:rsid w:val="08793346"/>
    <w:rsid w:val="08793376"/>
    <w:rsid w:val="08793400"/>
    <w:rsid w:val="0879342E"/>
    <w:rsid w:val="08793468"/>
    <w:rsid w:val="087934A2"/>
    <w:rsid w:val="087935DE"/>
    <w:rsid w:val="087935EE"/>
    <w:rsid w:val="08793634"/>
    <w:rsid w:val="087936D6"/>
    <w:rsid w:val="08793728"/>
    <w:rsid w:val="08793740"/>
    <w:rsid w:val="0879375C"/>
    <w:rsid w:val="087937D6"/>
    <w:rsid w:val="08793865"/>
    <w:rsid w:val="08793899"/>
    <w:rsid w:val="0879395C"/>
    <w:rsid w:val="087939F1"/>
    <w:rsid w:val="08793AE5"/>
    <w:rsid w:val="08793B05"/>
    <w:rsid w:val="08793B54"/>
    <w:rsid w:val="08793C07"/>
    <w:rsid w:val="08793C51"/>
    <w:rsid w:val="08793D5E"/>
    <w:rsid w:val="08793D7C"/>
    <w:rsid w:val="08793DDF"/>
    <w:rsid w:val="08793EE6"/>
    <w:rsid w:val="08793F09"/>
    <w:rsid w:val="08793F44"/>
    <w:rsid w:val="08793F7B"/>
    <w:rsid w:val="08793FED"/>
    <w:rsid w:val="08794084"/>
    <w:rsid w:val="087940B9"/>
    <w:rsid w:val="087940C7"/>
    <w:rsid w:val="08794123"/>
    <w:rsid w:val="08794204"/>
    <w:rsid w:val="08794281"/>
    <w:rsid w:val="087942A4"/>
    <w:rsid w:val="087942B2"/>
    <w:rsid w:val="0879433A"/>
    <w:rsid w:val="087943C0"/>
    <w:rsid w:val="0879444F"/>
    <w:rsid w:val="08794510"/>
    <w:rsid w:val="08794553"/>
    <w:rsid w:val="08794569"/>
    <w:rsid w:val="087945B6"/>
    <w:rsid w:val="0879473E"/>
    <w:rsid w:val="0879476A"/>
    <w:rsid w:val="0879476B"/>
    <w:rsid w:val="0879478A"/>
    <w:rsid w:val="08794792"/>
    <w:rsid w:val="08794868"/>
    <w:rsid w:val="087948FF"/>
    <w:rsid w:val="0879492F"/>
    <w:rsid w:val="08794933"/>
    <w:rsid w:val="08794974"/>
    <w:rsid w:val="087949C0"/>
    <w:rsid w:val="087949EB"/>
    <w:rsid w:val="08794A0B"/>
    <w:rsid w:val="08794A0F"/>
    <w:rsid w:val="08794A4D"/>
    <w:rsid w:val="08794A70"/>
    <w:rsid w:val="08794AE2"/>
    <w:rsid w:val="08794B2B"/>
    <w:rsid w:val="08794BDF"/>
    <w:rsid w:val="08794C89"/>
    <w:rsid w:val="08794CF7"/>
    <w:rsid w:val="08794D93"/>
    <w:rsid w:val="08794E50"/>
    <w:rsid w:val="08794E6E"/>
    <w:rsid w:val="08794E85"/>
    <w:rsid w:val="08794F7E"/>
    <w:rsid w:val="08794FA2"/>
    <w:rsid w:val="08795021"/>
    <w:rsid w:val="087950D0"/>
    <w:rsid w:val="08795120"/>
    <w:rsid w:val="08795171"/>
    <w:rsid w:val="0879521D"/>
    <w:rsid w:val="087952A7"/>
    <w:rsid w:val="08795513"/>
    <w:rsid w:val="087955D3"/>
    <w:rsid w:val="08795663"/>
    <w:rsid w:val="08795679"/>
    <w:rsid w:val="08795749"/>
    <w:rsid w:val="0879579D"/>
    <w:rsid w:val="0879594F"/>
    <w:rsid w:val="08795A4F"/>
    <w:rsid w:val="08795A57"/>
    <w:rsid w:val="08795ADA"/>
    <w:rsid w:val="08795B0A"/>
    <w:rsid w:val="08795C20"/>
    <w:rsid w:val="08795D4D"/>
    <w:rsid w:val="08795E02"/>
    <w:rsid w:val="08795E6E"/>
    <w:rsid w:val="08795F39"/>
    <w:rsid w:val="08795F89"/>
    <w:rsid w:val="087962BB"/>
    <w:rsid w:val="087962EC"/>
    <w:rsid w:val="08796305"/>
    <w:rsid w:val="087963DD"/>
    <w:rsid w:val="08796435"/>
    <w:rsid w:val="08796439"/>
    <w:rsid w:val="0879647C"/>
    <w:rsid w:val="087964DD"/>
    <w:rsid w:val="0879652B"/>
    <w:rsid w:val="08796582"/>
    <w:rsid w:val="087965CF"/>
    <w:rsid w:val="087965EE"/>
    <w:rsid w:val="087966AA"/>
    <w:rsid w:val="0879674E"/>
    <w:rsid w:val="08796765"/>
    <w:rsid w:val="087967A8"/>
    <w:rsid w:val="0879681A"/>
    <w:rsid w:val="08796879"/>
    <w:rsid w:val="087968BB"/>
    <w:rsid w:val="087968D3"/>
    <w:rsid w:val="087968D9"/>
    <w:rsid w:val="0879695A"/>
    <w:rsid w:val="08796A2E"/>
    <w:rsid w:val="08796A34"/>
    <w:rsid w:val="08796A76"/>
    <w:rsid w:val="08796AEA"/>
    <w:rsid w:val="08796BEF"/>
    <w:rsid w:val="08796CD6"/>
    <w:rsid w:val="08796CDE"/>
    <w:rsid w:val="08796CE7"/>
    <w:rsid w:val="08796D4A"/>
    <w:rsid w:val="08796D5E"/>
    <w:rsid w:val="08796D73"/>
    <w:rsid w:val="08796E2D"/>
    <w:rsid w:val="08796E3F"/>
    <w:rsid w:val="08796E4C"/>
    <w:rsid w:val="08796E78"/>
    <w:rsid w:val="08796F79"/>
    <w:rsid w:val="08796F98"/>
    <w:rsid w:val="08796FF1"/>
    <w:rsid w:val="08797004"/>
    <w:rsid w:val="08797041"/>
    <w:rsid w:val="0879709D"/>
    <w:rsid w:val="087970CB"/>
    <w:rsid w:val="08797109"/>
    <w:rsid w:val="08797145"/>
    <w:rsid w:val="08797246"/>
    <w:rsid w:val="08797302"/>
    <w:rsid w:val="08797325"/>
    <w:rsid w:val="087973E5"/>
    <w:rsid w:val="08797416"/>
    <w:rsid w:val="0879741C"/>
    <w:rsid w:val="08797452"/>
    <w:rsid w:val="0879747D"/>
    <w:rsid w:val="087974C5"/>
    <w:rsid w:val="087974CB"/>
    <w:rsid w:val="0879754C"/>
    <w:rsid w:val="087975D6"/>
    <w:rsid w:val="0879763C"/>
    <w:rsid w:val="0879769D"/>
    <w:rsid w:val="087976FC"/>
    <w:rsid w:val="0879776B"/>
    <w:rsid w:val="087978E5"/>
    <w:rsid w:val="08797A0A"/>
    <w:rsid w:val="08797BDF"/>
    <w:rsid w:val="08797C52"/>
    <w:rsid w:val="08797CA9"/>
    <w:rsid w:val="08797CD6"/>
    <w:rsid w:val="08797D05"/>
    <w:rsid w:val="08797D5A"/>
    <w:rsid w:val="08797D9A"/>
    <w:rsid w:val="08797E0F"/>
    <w:rsid w:val="08797FD9"/>
    <w:rsid w:val="087A00C8"/>
    <w:rsid w:val="087A01AC"/>
    <w:rsid w:val="087A01CB"/>
    <w:rsid w:val="087A01D6"/>
    <w:rsid w:val="087A025D"/>
    <w:rsid w:val="087A02C5"/>
    <w:rsid w:val="087A033E"/>
    <w:rsid w:val="087A03BF"/>
    <w:rsid w:val="087A0492"/>
    <w:rsid w:val="087A04CC"/>
    <w:rsid w:val="087A054F"/>
    <w:rsid w:val="087A0599"/>
    <w:rsid w:val="087A0621"/>
    <w:rsid w:val="087A062E"/>
    <w:rsid w:val="087A06DA"/>
    <w:rsid w:val="087A0758"/>
    <w:rsid w:val="087A0885"/>
    <w:rsid w:val="087A0889"/>
    <w:rsid w:val="087A0892"/>
    <w:rsid w:val="087A089B"/>
    <w:rsid w:val="087A0902"/>
    <w:rsid w:val="087A0946"/>
    <w:rsid w:val="087A094C"/>
    <w:rsid w:val="087A09A8"/>
    <w:rsid w:val="087A0A5C"/>
    <w:rsid w:val="087A0D19"/>
    <w:rsid w:val="087A0DA5"/>
    <w:rsid w:val="087A0DCD"/>
    <w:rsid w:val="087A0E9B"/>
    <w:rsid w:val="087A0FAC"/>
    <w:rsid w:val="087A111A"/>
    <w:rsid w:val="087A1128"/>
    <w:rsid w:val="087A11F5"/>
    <w:rsid w:val="087A1203"/>
    <w:rsid w:val="087A1247"/>
    <w:rsid w:val="087A12BE"/>
    <w:rsid w:val="087A1307"/>
    <w:rsid w:val="087A13BD"/>
    <w:rsid w:val="087A142F"/>
    <w:rsid w:val="087A14FF"/>
    <w:rsid w:val="087A160B"/>
    <w:rsid w:val="087A168B"/>
    <w:rsid w:val="087A1690"/>
    <w:rsid w:val="087A16C6"/>
    <w:rsid w:val="087A1717"/>
    <w:rsid w:val="087A1739"/>
    <w:rsid w:val="087A1773"/>
    <w:rsid w:val="087A1774"/>
    <w:rsid w:val="087A177B"/>
    <w:rsid w:val="087A17DE"/>
    <w:rsid w:val="087A18DB"/>
    <w:rsid w:val="087A18F5"/>
    <w:rsid w:val="087A195B"/>
    <w:rsid w:val="087A1B51"/>
    <w:rsid w:val="087A1BD9"/>
    <w:rsid w:val="087A1C76"/>
    <w:rsid w:val="087A1C9C"/>
    <w:rsid w:val="087A1D43"/>
    <w:rsid w:val="087A1DAA"/>
    <w:rsid w:val="087A1E72"/>
    <w:rsid w:val="087A1E91"/>
    <w:rsid w:val="087A1F5B"/>
    <w:rsid w:val="087A1F6F"/>
    <w:rsid w:val="087A20BD"/>
    <w:rsid w:val="087A20C6"/>
    <w:rsid w:val="087A2129"/>
    <w:rsid w:val="087A217A"/>
    <w:rsid w:val="087A218A"/>
    <w:rsid w:val="087A2190"/>
    <w:rsid w:val="087A21BE"/>
    <w:rsid w:val="087A226E"/>
    <w:rsid w:val="087A2270"/>
    <w:rsid w:val="087A2322"/>
    <w:rsid w:val="087A2359"/>
    <w:rsid w:val="087A239A"/>
    <w:rsid w:val="087A2408"/>
    <w:rsid w:val="087A244A"/>
    <w:rsid w:val="087A2704"/>
    <w:rsid w:val="087A274D"/>
    <w:rsid w:val="087A279B"/>
    <w:rsid w:val="087A28A8"/>
    <w:rsid w:val="087A28C0"/>
    <w:rsid w:val="087A29B4"/>
    <w:rsid w:val="087A2A9D"/>
    <w:rsid w:val="087A2AB0"/>
    <w:rsid w:val="087A2AD9"/>
    <w:rsid w:val="087A2AE6"/>
    <w:rsid w:val="087A2AEA"/>
    <w:rsid w:val="087A2AF2"/>
    <w:rsid w:val="087A2B4A"/>
    <w:rsid w:val="087A2BD6"/>
    <w:rsid w:val="087A2BE4"/>
    <w:rsid w:val="087A2C76"/>
    <w:rsid w:val="087A2CC5"/>
    <w:rsid w:val="087A2D38"/>
    <w:rsid w:val="087A2D57"/>
    <w:rsid w:val="087A2D81"/>
    <w:rsid w:val="087A2DA9"/>
    <w:rsid w:val="087A2DAB"/>
    <w:rsid w:val="087A2E26"/>
    <w:rsid w:val="087A2E91"/>
    <w:rsid w:val="087A2F6F"/>
    <w:rsid w:val="087A3029"/>
    <w:rsid w:val="087A3044"/>
    <w:rsid w:val="087A30B8"/>
    <w:rsid w:val="087A30C6"/>
    <w:rsid w:val="087A31A0"/>
    <w:rsid w:val="087A326A"/>
    <w:rsid w:val="087A3281"/>
    <w:rsid w:val="087A32DE"/>
    <w:rsid w:val="087A3337"/>
    <w:rsid w:val="087A3397"/>
    <w:rsid w:val="087A339B"/>
    <w:rsid w:val="087A33B2"/>
    <w:rsid w:val="087A33C1"/>
    <w:rsid w:val="087A33E9"/>
    <w:rsid w:val="087A3400"/>
    <w:rsid w:val="087A34B2"/>
    <w:rsid w:val="087A34BE"/>
    <w:rsid w:val="087A351C"/>
    <w:rsid w:val="087A3546"/>
    <w:rsid w:val="087A35F3"/>
    <w:rsid w:val="087A3697"/>
    <w:rsid w:val="087A36F8"/>
    <w:rsid w:val="087A376A"/>
    <w:rsid w:val="087A3793"/>
    <w:rsid w:val="087A37D0"/>
    <w:rsid w:val="087A3827"/>
    <w:rsid w:val="087A3864"/>
    <w:rsid w:val="087A38F7"/>
    <w:rsid w:val="087A3958"/>
    <w:rsid w:val="087A3991"/>
    <w:rsid w:val="087A39B0"/>
    <w:rsid w:val="087A3A74"/>
    <w:rsid w:val="087A3A7A"/>
    <w:rsid w:val="087A3AD8"/>
    <w:rsid w:val="087A3C08"/>
    <w:rsid w:val="087A3C17"/>
    <w:rsid w:val="087A3C2C"/>
    <w:rsid w:val="087A3C41"/>
    <w:rsid w:val="087A3CFD"/>
    <w:rsid w:val="087A3D0D"/>
    <w:rsid w:val="087A3D1A"/>
    <w:rsid w:val="087A3D7B"/>
    <w:rsid w:val="087A3D88"/>
    <w:rsid w:val="087A3EA4"/>
    <w:rsid w:val="087A3EAF"/>
    <w:rsid w:val="087A4091"/>
    <w:rsid w:val="087A409D"/>
    <w:rsid w:val="087A40BC"/>
    <w:rsid w:val="087A410E"/>
    <w:rsid w:val="087A4126"/>
    <w:rsid w:val="087A4203"/>
    <w:rsid w:val="087A4284"/>
    <w:rsid w:val="087A42AF"/>
    <w:rsid w:val="087A437C"/>
    <w:rsid w:val="087A43A9"/>
    <w:rsid w:val="087A4477"/>
    <w:rsid w:val="087A447D"/>
    <w:rsid w:val="087A44E0"/>
    <w:rsid w:val="087A451D"/>
    <w:rsid w:val="087A456D"/>
    <w:rsid w:val="087A45D0"/>
    <w:rsid w:val="087A46D6"/>
    <w:rsid w:val="087A4768"/>
    <w:rsid w:val="087A4840"/>
    <w:rsid w:val="087A4844"/>
    <w:rsid w:val="087A4873"/>
    <w:rsid w:val="087A49CF"/>
    <w:rsid w:val="087A4A5E"/>
    <w:rsid w:val="087A4A85"/>
    <w:rsid w:val="087A4A93"/>
    <w:rsid w:val="087A4AB2"/>
    <w:rsid w:val="087A4AB6"/>
    <w:rsid w:val="087A4AC0"/>
    <w:rsid w:val="087A4AD6"/>
    <w:rsid w:val="087A4AF3"/>
    <w:rsid w:val="087A4B60"/>
    <w:rsid w:val="087A4BA7"/>
    <w:rsid w:val="087A4FF2"/>
    <w:rsid w:val="087A5080"/>
    <w:rsid w:val="087A5087"/>
    <w:rsid w:val="087A50D5"/>
    <w:rsid w:val="087A528D"/>
    <w:rsid w:val="087A52AF"/>
    <w:rsid w:val="087A5438"/>
    <w:rsid w:val="087A548D"/>
    <w:rsid w:val="087A549D"/>
    <w:rsid w:val="087A54F5"/>
    <w:rsid w:val="087A5599"/>
    <w:rsid w:val="087A5637"/>
    <w:rsid w:val="087A5645"/>
    <w:rsid w:val="087A5729"/>
    <w:rsid w:val="087A5774"/>
    <w:rsid w:val="087A583E"/>
    <w:rsid w:val="087A58F0"/>
    <w:rsid w:val="087A5938"/>
    <w:rsid w:val="087A59F3"/>
    <w:rsid w:val="087A5A09"/>
    <w:rsid w:val="087A5A57"/>
    <w:rsid w:val="087A5AE6"/>
    <w:rsid w:val="087A5B44"/>
    <w:rsid w:val="087A5BA6"/>
    <w:rsid w:val="087A5BAF"/>
    <w:rsid w:val="087A5BB8"/>
    <w:rsid w:val="087A5C56"/>
    <w:rsid w:val="087A5CBB"/>
    <w:rsid w:val="087A5CBD"/>
    <w:rsid w:val="087A5CEB"/>
    <w:rsid w:val="087A5D59"/>
    <w:rsid w:val="087A5D76"/>
    <w:rsid w:val="087A5D9B"/>
    <w:rsid w:val="087A5E6F"/>
    <w:rsid w:val="087A5E89"/>
    <w:rsid w:val="087A5EC7"/>
    <w:rsid w:val="087A5EDD"/>
    <w:rsid w:val="087A5EFB"/>
    <w:rsid w:val="087A601F"/>
    <w:rsid w:val="087A6090"/>
    <w:rsid w:val="087A60C5"/>
    <w:rsid w:val="087A60C9"/>
    <w:rsid w:val="087A611D"/>
    <w:rsid w:val="087A61FD"/>
    <w:rsid w:val="087A623E"/>
    <w:rsid w:val="087A6401"/>
    <w:rsid w:val="087A647F"/>
    <w:rsid w:val="087A649F"/>
    <w:rsid w:val="087A64A1"/>
    <w:rsid w:val="087A6531"/>
    <w:rsid w:val="087A65EC"/>
    <w:rsid w:val="087A661E"/>
    <w:rsid w:val="087A6721"/>
    <w:rsid w:val="087A676D"/>
    <w:rsid w:val="087A67A1"/>
    <w:rsid w:val="087A67B3"/>
    <w:rsid w:val="087A67F2"/>
    <w:rsid w:val="087A6814"/>
    <w:rsid w:val="087A685F"/>
    <w:rsid w:val="087A68EB"/>
    <w:rsid w:val="087A6923"/>
    <w:rsid w:val="087A6924"/>
    <w:rsid w:val="087A69A3"/>
    <w:rsid w:val="087A6A78"/>
    <w:rsid w:val="087A6A9A"/>
    <w:rsid w:val="087A6ADD"/>
    <w:rsid w:val="087A6AE2"/>
    <w:rsid w:val="087A6B28"/>
    <w:rsid w:val="087A6B2E"/>
    <w:rsid w:val="087A6B5E"/>
    <w:rsid w:val="087A6C15"/>
    <w:rsid w:val="087A6CB9"/>
    <w:rsid w:val="087A6CBA"/>
    <w:rsid w:val="087A6D7B"/>
    <w:rsid w:val="087A6DE5"/>
    <w:rsid w:val="087A6E7A"/>
    <w:rsid w:val="087A6EDA"/>
    <w:rsid w:val="087A6F38"/>
    <w:rsid w:val="087A7085"/>
    <w:rsid w:val="087A709A"/>
    <w:rsid w:val="087A70C9"/>
    <w:rsid w:val="087A72A6"/>
    <w:rsid w:val="087A72F1"/>
    <w:rsid w:val="087A7316"/>
    <w:rsid w:val="087A7359"/>
    <w:rsid w:val="087A737E"/>
    <w:rsid w:val="087A7412"/>
    <w:rsid w:val="087A7448"/>
    <w:rsid w:val="087A74BB"/>
    <w:rsid w:val="087A753F"/>
    <w:rsid w:val="087A7588"/>
    <w:rsid w:val="087A764A"/>
    <w:rsid w:val="087A7675"/>
    <w:rsid w:val="087A767E"/>
    <w:rsid w:val="087A76A9"/>
    <w:rsid w:val="087A76B0"/>
    <w:rsid w:val="087A7724"/>
    <w:rsid w:val="087A7775"/>
    <w:rsid w:val="087A7882"/>
    <w:rsid w:val="087A7891"/>
    <w:rsid w:val="087A792B"/>
    <w:rsid w:val="087A79B0"/>
    <w:rsid w:val="087A7A04"/>
    <w:rsid w:val="087A7A91"/>
    <w:rsid w:val="087A7AA8"/>
    <w:rsid w:val="087A7AC5"/>
    <w:rsid w:val="087A7B4F"/>
    <w:rsid w:val="087A7BBA"/>
    <w:rsid w:val="087A7C83"/>
    <w:rsid w:val="087A7C99"/>
    <w:rsid w:val="087A7DBA"/>
    <w:rsid w:val="087A7E50"/>
    <w:rsid w:val="087A7E79"/>
    <w:rsid w:val="087A7E92"/>
    <w:rsid w:val="087A7EA6"/>
    <w:rsid w:val="087A7F3E"/>
    <w:rsid w:val="087A7F5E"/>
    <w:rsid w:val="087A7F6A"/>
    <w:rsid w:val="087B007D"/>
    <w:rsid w:val="087B0087"/>
    <w:rsid w:val="087B0142"/>
    <w:rsid w:val="087B0165"/>
    <w:rsid w:val="087B0210"/>
    <w:rsid w:val="087B0293"/>
    <w:rsid w:val="087B0329"/>
    <w:rsid w:val="087B032D"/>
    <w:rsid w:val="087B03C7"/>
    <w:rsid w:val="087B0416"/>
    <w:rsid w:val="087B0444"/>
    <w:rsid w:val="087B0454"/>
    <w:rsid w:val="087B0487"/>
    <w:rsid w:val="087B04AC"/>
    <w:rsid w:val="087B04BD"/>
    <w:rsid w:val="087B05E9"/>
    <w:rsid w:val="087B0685"/>
    <w:rsid w:val="087B06A9"/>
    <w:rsid w:val="087B06B7"/>
    <w:rsid w:val="087B076F"/>
    <w:rsid w:val="087B07A7"/>
    <w:rsid w:val="087B080D"/>
    <w:rsid w:val="087B0820"/>
    <w:rsid w:val="087B083B"/>
    <w:rsid w:val="087B08AD"/>
    <w:rsid w:val="087B08C8"/>
    <w:rsid w:val="087B08F9"/>
    <w:rsid w:val="087B0909"/>
    <w:rsid w:val="087B09CC"/>
    <w:rsid w:val="087B0A02"/>
    <w:rsid w:val="087B0A8F"/>
    <w:rsid w:val="087B0A90"/>
    <w:rsid w:val="087B0B37"/>
    <w:rsid w:val="087B0B3A"/>
    <w:rsid w:val="087B0C06"/>
    <w:rsid w:val="087B0C8E"/>
    <w:rsid w:val="087B0CB4"/>
    <w:rsid w:val="087B0D87"/>
    <w:rsid w:val="087B0DE4"/>
    <w:rsid w:val="087B0E19"/>
    <w:rsid w:val="087B0E57"/>
    <w:rsid w:val="087B0ED9"/>
    <w:rsid w:val="087B0F06"/>
    <w:rsid w:val="087B0FD1"/>
    <w:rsid w:val="087B1020"/>
    <w:rsid w:val="087B1077"/>
    <w:rsid w:val="087B112B"/>
    <w:rsid w:val="087B121D"/>
    <w:rsid w:val="087B1252"/>
    <w:rsid w:val="087B127D"/>
    <w:rsid w:val="087B142F"/>
    <w:rsid w:val="087B146D"/>
    <w:rsid w:val="087B1474"/>
    <w:rsid w:val="087B1483"/>
    <w:rsid w:val="087B14E8"/>
    <w:rsid w:val="087B154A"/>
    <w:rsid w:val="087B154F"/>
    <w:rsid w:val="087B1597"/>
    <w:rsid w:val="087B15B1"/>
    <w:rsid w:val="087B1686"/>
    <w:rsid w:val="087B16A8"/>
    <w:rsid w:val="087B172C"/>
    <w:rsid w:val="087B1762"/>
    <w:rsid w:val="087B189B"/>
    <w:rsid w:val="087B18C4"/>
    <w:rsid w:val="087B18D7"/>
    <w:rsid w:val="087B18E4"/>
    <w:rsid w:val="087B1961"/>
    <w:rsid w:val="087B19E9"/>
    <w:rsid w:val="087B1A0E"/>
    <w:rsid w:val="087B1A5A"/>
    <w:rsid w:val="087B1B04"/>
    <w:rsid w:val="087B1B79"/>
    <w:rsid w:val="087B1B83"/>
    <w:rsid w:val="087B1B8F"/>
    <w:rsid w:val="087B1CD4"/>
    <w:rsid w:val="087B1D11"/>
    <w:rsid w:val="087B1D20"/>
    <w:rsid w:val="087B1E1F"/>
    <w:rsid w:val="087B1E6C"/>
    <w:rsid w:val="087B1E73"/>
    <w:rsid w:val="087B1EA1"/>
    <w:rsid w:val="087B1EBE"/>
    <w:rsid w:val="087B1ED0"/>
    <w:rsid w:val="087B1F14"/>
    <w:rsid w:val="087B1F34"/>
    <w:rsid w:val="087B1FF8"/>
    <w:rsid w:val="087B20B4"/>
    <w:rsid w:val="087B20E5"/>
    <w:rsid w:val="087B233E"/>
    <w:rsid w:val="087B23B6"/>
    <w:rsid w:val="087B23E0"/>
    <w:rsid w:val="087B244A"/>
    <w:rsid w:val="087B25E0"/>
    <w:rsid w:val="087B2631"/>
    <w:rsid w:val="087B264D"/>
    <w:rsid w:val="087B26F8"/>
    <w:rsid w:val="087B271C"/>
    <w:rsid w:val="087B27E0"/>
    <w:rsid w:val="087B291B"/>
    <w:rsid w:val="087B29AE"/>
    <w:rsid w:val="087B2B13"/>
    <w:rsid w:val="087B2B23"/>
    <w:rsid w:val="087B2C51"/>
    <w:rsid w:val="087B2CC7"/>
    <w:rsid w:val="087B2CD2"/>
    <w:rsid w:val="087B2D28"/>
    <w:rsid w:val="087B2DCE"/>
    <w:rsid w:val="087B2E6F"/>
    <w:rsid w:val="087B2F67"/>
    <w:rsid w:val="087B2FD9"/>
    <w:rsid w:val="087B300C"/>
    <w:rsid w:val="087B3041"/>
    <w:rsid w:val="087B3101"/>
    <w:rsid w:val="087B325C"/>
    <w:rsid w:val="087B327B"/>
    <w:rsid w:val="087B331A"/>
    <w:rsid w:val="087B33A1"/>
    <w:rsid w:val="087B33DB"/>
    <w:rsid w:val="087B3426"/>
    <w:rsid w:val="087B346E"/>
    <w:rsid w:val="087B3496"/>
    <w:rsid w:val="087B358B"/>
    <w:rsid w:val="087B35A2"/>
    <w:rsid w:val="087B35EF"/>
    <w:rsid w:val="087B367F"/>
    <w:rsid w:val="087B3731"/>
    <w:rsid w:val="087B37B9"/>
    <w:rsid w:val="087B3831"/>
    <w:rsid w:val="087B3862"/>
    <w:rsid w:val="087B387D"/>
    <w:rsid w:val="087B38D8"/>
    <w:rsid w:val="087B3996"/>
    <w:rsid w:val="087B3AC1"/>
    <w:rsid w:val="087B3AC6"/>
    <w:rsid w:val="087B3AC7"/>
    <w:rsid w:val="087B3AE4"/>
    <w:rsid w:val="087B3B6F"/>
    <w:rsid w:val="087B3BF0"/>
    <w:rsid w:val="087B3C6E"/>
    <w:rsid w:val="087B3C86"/>
    <w:rsid w:val="087B3CE5"/>
    <w:rsid w:val="087B3D1C"/>
    <w:rsid w:val="087B3D2B"/>
    <w:rsid w:val="087B3D36"/>
    <w:rsid w:val="087B3DE9"/>
    <w:rsid w:val="087B3E54"/>
    <w:rsid w:val="087B3EE8"/>
    <w:rsid w:val="087B3EF3"/>
    <w:rsid w:val="087B3F40"/>
    <w:rsid w:val="087B3FE9"/>
    <w:rsid w:val="087B4096"/>
    <w:rsid w:val="087B41BE"/>
    <w:rsid w:val="087B41E7"/>
    <w:rsid w:val="087B42CB"/>
    <w:rsid w:val="087B4348"/>
    <w:rsid w:val="087B434F"/>
    <w:rsid w:val="087B4396"/>
    <w:rsid w:val="087B43AE"/>
    <w:rsid w:val="087B43F9"/>
    <w:rsid w:val="087B4502"/>
    <w:rsid w:val="087B4555"/>
    <w:rsid w:val="087B4558"/>
    <w:rsid w:val="087B457A"/>
    <w:rsid w:val="087B4629"/>
    <w:rsid w:val="087B469D"/>
    <w:rsid w:val="087B46AD"/>
    <w:rsid w:val="087B4722"/>
    <w:rsid w:val="087B4811"/>
    <w:rsid w:val="087B4837"/>
    <w:rsid w:val="087B4884"/>
    <w:rsid w:val="087B4999"/>
    <w:rsid w:val="087B4A78"/>
    <w:rsid w:val="087B4AEC"/>
    <w:rsid w:val="087B4B21"/>
    <w:rsid w:val="087B4B5F"/>
    <w:rsid w:val="087B4BD8"/>
    <w:rsid w:val="087B4C88"/>
    <w:rsid w:val="087B4CB2"/>
    <w:rsid w:val="087B4CC0"/>
    <w:rsid w:val="087B4D97"/>
    <w:rsid w:val="087B4EF4"/>
    <w:rsid w:val="087B4F7D"/>
    <w:rsid w:val="087B4FB5"/>
    <w:rsid w:val="087B50F3"/>
    <w:rsid w:val="087B50FB"/>
    <w:rsid w:val="087B510B"/>
    <w:rsid w:val="087B5130"/>
    <w:rsid w:val="087B5160"/>
    <w:rsid w:val="087B51D3"/>
    <w:rsid w:val="087B5267"/>
    <w:rsid w:val="087B526E"/>
    <w:rsid w:val="087B52AA"/>
    <w:rsid w:val="087B5342"/>
    <w:rsid w:val="087B5382"/>
    <w:rsid w:val="087B5389"/>
    <w:rsid w:val="087B53A9"/>
    <w:rsid w:val="087B542E"/>
    <w:rsid w:val="087B5434"/>
    <w:rsid w:val="087B54FE"/>
    <w:rsid w:val="087B564F"/>
    <w:rsid w:val="087B56D7"/>
    <w:rsid w:val="087B5705"/>
    <w:rsid w:val="087B572B"/>
    <w:rsid w:val="087B581B"/>
    <w:rsid w:val="087B588C"/>
    <w:rsid w:val="087B58C0"/>
    <w:rsid w:val="087B5965"/>
    <w:rsid w:val="087B59DE"/>
    <w:rsid w:val="087B59F0"/>
    <w:rsid w:val="087B5A22"/>
    <w:rsid w:val="087B5A2B"/>
    <w:rsid w:val="087B5A3E"/>
    <w:rsid w:val="087B5A8F"/>
    <w:rsid w:val="087B5BB1"/>
    <w:rsid w:val="087B5C88"/>
    <w:rsid w:val="087B5C97"/>
    <w:rsid w:val="087B5E38"/>
    <w:rsid w:val="087B5F23"/>
    <w:rsid w:val="087B5F3C"/>
    <w:rsid w:val="087B5F64"/>
    <w:rsid w:val="087B5FB0"/>
    <w:rsid w:val="087B6046"/>
    <w:rsid w:val="087B6051"/>
    <w:rsid w:val="087B607E"/>
    <w:rsid w:val="087B60C4"/>
    <w:rsid w:val="087B6121"/>
    <w:rsid w:val="087B62A7"/>
    <w:rsid w:val="087B62C6"/>
    <w:rsid w:val="087B6362"/>
    <w:rsid w:val="087B6399"/>
    <w:rsid w:val="087B63DF"/>
    <w:rsid w:val="087B640E"/>
    <w:rsid w:val="087B64A7"/>
    <w:rsid w:val="087B6614"/>
    <w:rsid w:val="087B6698"/>
    <w:rsid w:val="087B673C"/>
    <w:rsid w:val="087B6749"/>
    <w:rsid w:val="087B67DA"/>
    <w:rsid w:val="087B6822"/>
    <w:rsid w:val="087B6971"/>
    <w:rsid w:val="087B6AD5"/>
    <w:rsid w:val="087B6B49"/>
    <w:rsid w:val="087B6C0C"/>
    <w:rsid w:val="087B6CE3"/>
    <w:rsid w:val="087B6D6B"/>
    <w:rsid w:val="087B6D86"/>
    <w:rsid w:val="087B6D9A"/>
    <w:rsid w:val="087B6DA8"/>
    <w:rsid w:val="087B6E38"/>
    <w:rsid w:val="087B6EB6"/>
    <w:rsid w:val="087B6EC3"/>
    <w:rsid w:val="087B7068"/>
    <w:rsid w:val="087B709C"/>
    <w:rsid w:val="087B70CA"/>
    <w:rsid w:val="087B7107"/>
    <w:rsid w:val="087B716E"/>
    <w:rsid w:val="087B71B9"/>
    <w:rsid w:val="087B71EC"/>
    <w:rsid w:val="087B7260"/>
    <w:rsid w:val="087B7344"/>
    <w:rsid w:val="087B7363"/>
    <w:rsid w:val="087B737A"/>
    <w:rsid w:val="087B7381"/>
    <w:rsid w:val="087B7421"/>
    <w:rsid w:val="087B7461"/>
    <w:rsid w:val="087B7496"/>
    <w:rsid w:val="087B74EA"/>
    <w:rsid w:val="087B755D"/>
    <w:rsid w:val="087B75AE"/>
    <w:rsid w:val="087B761B"/>
    <w:rsid w:val="087B7776"/>
    <w:rsid w:val="087B7800"/>
    <w:rsid w:val="087B7871"/>
    <w:rsid w:val="087B7A2F"/>
    <w:rsid w:val="087B7B3E"/>
    <w:rsid w:val="087B7BC8"/>
    <w:rsid w:val="087B7BCD"/>
    <w:rsid w:val="087B7BED"/>
    <w:rsid w:val="087B7C66"/>
    <w:rsid w:val="087B7CBC"/>
    <w:rsid w:val="087B7D00"/>
    <w:rsid w:val="087B7D42"/>
    <w:rsid w:val="087B7D57"/>
    <w:rsid w:val="087B7E6D"/>
    <w:rsid w:val="087B7ED9"/>
    <w:rsid w:val="087B7F13"/>
    <w:rsid w:val="087C010B"/>
    <w:rsid w:val="087C0112"/>
    <w:rsid w:val="087C017C"/>
    <w:rsid w:val="087C0276"/>
    <w:rsid w:val="087C02C1"/>
    <w:rsid w:val="087C0303"/>
    <w:rsid w:val="087C0362"/>
    <w:rsid w:val="087C03BB"/>
    <w:rsid w:val="087C0473"/>
    <w:rsid w:val="087C0485"/>
    <w:rsid w:val="087C04D6"/>
    <w:rsid w:val="087C04DF"/>
    <w:rsid w:val="087C0512"/>
    <w:rsid w:val="087C056F"/>
    <w:rsid w:val="087C0572"/>
    <w:rsid w:val="087C05D9"/>
    <w:rsid w:val="087C0751"/>
    <w:rsid w:val="087C0775"/>
    <w:rsid w:val="087C08AC"/>
    <w:rsid w:val="087C0937"/>
    <w:rsid w:val="087C0A01"/>
    <w:rsid w:val="087C0A25"/>
    <w:rsid w:val="087C0A32"/>
    <w:rsid w:val="087C0A49"/>
    <w:rsid w:val="087C0AB9"/>
    <w:rsid w:val="087C0B2E"/>
    <w:rsid w:val="087C0B5F"/>
    <w:rsid w:val="087C0C21"/>
    <w:rsid w:val="087C0C9E"/>
    <w:rsid w:val="087C0D31"/>
    <w:rsid w:val="087C0D77"/>
    <w:rsid w:val="087C0DD2"/>
    <w:rsid w:val="087C0DDC"/>
    <w:rsid w:val="087C0DF9"/>
    <w:rsid w:val="087C0E1A"/>
    <w:rsid w:val="087C0E2F"/>
    <w:rsid w:val="087C0E69"/>
    <w:rsid w:val="087C0ED7"/>
    <w:rsid w:val="087C0EF2"/>
    <w:rsid w:val="087C0F2E"/>
    <w:rsid w:val="087C100C"/>
    <w:rsid w:val="087C102F"/>
    <w:rsid w:val="087C1103"/>
    <w:rsid w:val="087C1201"/>
    <w:rsid w:val="087C1411"/>
    <w:rsid w:val="087C1465"/>
    <w:rsid w:val="087C14B6"/>
    <w:rsid w:val="087C15C1"/>
    <w:rsid w:val="087C15E9"/>
    <w:rsid w:val="087C1604"/>
    <w:rsid w:val="087C1722"/>
    <w:rsid w:val="087C1725"/>
    <w:rsid w:val="087C178C"/>
    <w:rsid w:val="087C17D0"/>
    <w:rsid w:val="087C1886"/>
    <w:rsid w:val="087C188D"/>
    <w:rsid w:val="087C18C0"/>
    <w:rsid w:val="087C18C5"/>
    <w:rsid w:val="087C18E9"/>
    <w:rsid w:val="087C1A33"/>
    <w:rsid w:val="087C1AAC"/>
    <w:rsid w:val="087C1AE6"/>
    <w:rsid w:val="087C1B36"/>
    <w:rsid w:val="087C1B4E"/>
    <w:rsid w:val="087C1BC7"/>
    <w:rsid w:val="087C1BCF"/>
    <w:rsid w:val="087C1BED"/>
    <w:rsid w:val="087C1C2F"/>
    <w:rsid w:val="087C1C8A"/>
    <w:rsid w:val="087C1D65"/>
    <w:rsid w:val="087C1D7D"/>
    <w:rsid w:val="087C1DBF"/>
    <w:rsid w:val="087C1EA5"/>
    <w:rsid w:val="087C1EB9"/>
    <w:rsid w:val="087C1F05"/>
    <w:rsid w:val="087C1F06"/>
    <w:rsid w:val="087C2012"/>
    <w:rsid w:val="087C204F"/>
    <w:rsid w:val="087C20D6"/>
    <w:rsid w:val="087C2166"/>
    <w:rsid w:val="087C2188"/>
    <w:rsid w:val="087C224D"/>
    <w:rsid w:val="087C2280"/>
    <w:rsid w:val="087C22B3"/>
    <w:rsid w:val="087C22B8"/>
    <w:rsid w:val="087C22D5"/>
    <w:rsid w:val="087C23CF"/>
    <w:rsid w:val="087C23FE"/>
    <w:rsid w:val="087C248F"/>
    <w:rsid w:val="087C2590"/>
    <w:rsid w:val="087C25C8"/>
    <w:rsid w:val="087C25E1"/>
    <w:rsid w:val="087C264C"/>
    <w:rsid w:val="087C26BA"/>
    <w:rsid w:val="087C26E2"/>
    <w:rsid w:val="087C2717"/>
    <w:rsid w:val="087C2764"/>
    <w:rsid w:val="087C2970"/>
    <w:rsid w:val="087C29A3"/>
    <w:rsid w:val="087C2B2A"/>
    <w:rsid w:val="087C2C4C"/>
    <w:rsid w:val="087C2E51"/>
    <w:rsid w:val="087C2EEB"/>
    <w:rsid w:val="087C2FA7"/>
    <w:rsid w:val="087C30CD"/>
    <w:rsid w:val="087C30FA"/>
    <w:rsid w:val="087C3192"/>
    <w:rsid w:val="087C32EE"/>
    <w:rsid w:val="087C32F2"/>
    <w:rsid w:val="087C33A3"/>
    <w:rsid w:val="087C3470"/>
    <w:rsid w:val="087C3580"/>
    <w:rsid w:val="087C36AD"/>
    <w:rsid w:val="087C37E9"/>
    <w:rsid w:val="087C387F"/>
    <w:rsid w:val="087C38CF"/>
    <w:rsid w:val="087C38EF"/>
    <w:rsid w:val="087C394C"/>
    <w:rsid w:val="087C395C"/>
    <w:rsid w:val="087C3998"/>
    <w:rsid w:val="087C39A0"/>
    <w:rsid w:val="087C3A01"/>
    <w:rsid w:val="087C3B58"/>
    <w:rsid w:val="087C3B67"/>
    <w:rsid w:val="087C3BF8"/>
    <w:rsid w:val="087C3C75"/>
    <w:rsid w:val="087C3C80"/>
    <w:rsid w:val="087C3D7A"/>
    <w:rsid w:val="087C3EE5"/>
    <w:rsid w:val="087C3F31"/>
    <w:rsid w:val="087C3FA3"/>
    <w:rsid w:val="087C3FEC"/>
    <w:rsid w:val="087C406D"/>
    <w:rsid w:val="087C40CF"/>
    <w:rsid w:val="087C413F"/>
    <w:rsid w:val="087C4164"/>
    <w:rsid w:val="087C4167"/>
    <w:rsid w:val="087C4185"/>
    <w:rsid w:val="087C41B5"/>
    <w:rsid w:val="087C41CA"/>
    <w:rsid w:val="087C4219"/>
    <w:rsid w:val="087C423D"/>
    <w:rsid w:val="087C4240"/>
    <w:rsid w:val="087C42BB"/>
    <w:rsid w:val="087C42DB"/>
    <w:rsid w:val="087C42DC"/>
    <w:rsid w:val="087C433C"/>
    <w:rsid w:val="087C437D"/>
    <w:rsid w:val="087C4421"/>
    <w:rsid w:val="087C44A7"/>
    <w:rsid w:val="087C44AC"/>
    <w:rsid w:val="087C44B1"/>
    <w:rsid w:val="087C4504"/>
    <w:rsid w:val="087C4532"/>
    <w:rsid w:val="087C457F"/>
    <w:rsid w:val="087C4582"/>
    <w:rsid w:val="087C459A"/>
    <w:rsid w:val="087C45AE"/>
    <w:rsid w:val="087C46FF"/>
    <w:rsid w:val="087C48B5"/>
    <w:rsid w:val="087C493E"/>
    <w:rsid w:val="087C49F0"/>
    <w:rsid w:val="087C4A2A"/>
    <w:rsid w:val="087C4BC9"/>
    <w:rsid w:val="087C4C30"/>
    <w:rsid w:val="087C4C79"/>
    <w:rsid w:val="087C4C94"/>
    <w:rsid w:val="087C4CBC"/>
    <w:rsid w:val="087C4CDC"/>
    <w:rsid w:val="087C4DBF"/>
    <w:rsid w:val="087C4E09"/>
    <w:rsid w:val="087C4E37"/>
    <w:rsid w:val="087C4EA1"/>
    <w:rsid w:val="087C4EC9"/>
    <w:rsid w:val="087C4F02"/>
    <w:rsid w:val="087C4F17"/>
    <w:rsid w:val="087C4F79"/>
    <w:rsid w:val="087C4FFC"/>
    <w:rsid w:val="087C5028"/>
    <w:rsid w:val="087C51B4"/>
    <w:rsid w:val="087C5221"/>
    <w:rsid w:val="087C5400"/>
    <w:rsid w:val="087C5472"/>
    <w:rsid w:val="087C563E"/>
    <w:rsid w:val="087C5686"/>
    <w:rsid w:val="087C56C5"/>
    <w:rsid w:val="087C56D3"/>
    <w:rsid w:val="087C56FC"/>
    <w:rsid w:val="087C5718"/>
    <w:rsid w:val="087C57B5"/>
    <w:rsid w:val="087C57D3"/>
    <w:rsid w:val="087C582A"/>
    <w:rsid w:val="087C5924"/>
    <w:rsid w:val="087C5932"/>
    <w:rsid w:val="087C595D"/>
    <w:rsid w:val="087C5988"/>
    <w:rsid w:val="087C59FE"/>
    <w:rsid w:val="087C5ADA"/>
    <w:rsid w:val="087C5B84"/>
    <w:rsid w:val="087C5C53"/>
    <w:rsid w:val="087C5C98"/>
    <w:rsid w:val="087C5D79"/>
    <w:rsid w:val="087C5DAF"/>
    <w:rsid w:val="087C5DEC"/>
    <w:rsid w:val="087C5E26"/>
    <w:rsid w:val="087C5E5D"/>
    <w:rsid w:val="087C5EF4"/>
    <w:rsid w:val="087C60C7"/>
    <w:rsid w:val="087C60D9"/>
    <w:rsid w:val="087C60F0"/>
    <w:rsid w:val="087C61A2"/>
    <w:rsid w:val="087C61C0"/>
    <w:rsid w:val="087C61F7"/>
    <w:rsid w:val="087C6206"/>
    <w:rsid w:val="087C6210"/>
    <w:rsid w:val="087C6307"/>
    <w:rsid w:val="087C6350"/>
    <w:rsid w:val="087C63FF"/>
    <w:rsid w:val="087C64A0"/>
    <w:rsid w:val="087C654C"/>
    <w:rsid w:val="087C6581"/>
    <w:rsid w:val="087C658F"/>
    <w:rsid w:val="087C6608"/>
    <w:rsid w:val="087C6614"/>
    <w:rsid w:val="087C6618"/>
    <w:rsid w:val="087C673C"/>
    <w:rsid w:val="087C67CE"/>
    <w:rsid w:val="087C67E5"/>
    <w:rsid w:val="087C688C"/>
    <w:rsid w:val="087C68AF"/>
    <w:rsid w:val="087C690F"/>
    <w:rsid w:val="087C6A11"/>
    <w:rsid w:val="087C6AA5"/>
    <w:rsid w:val="087C6B09"/>
    <w:rsid w:val="087C6B33"/>
    <w:rsid w:val="087C6BEA"/>
    <w:rsid w:val="087C6BFB"/>
    <w:rsid w:val="087C6BFC"/>
    <w:rsid w:val="087C6C44"/>
    <w:rsid w:val="087C6CA3"/>
    <w:rsid w:val="087C6CFA"/>
    <w:rsid w:val="087C6DD2"/>
    <w:rsid w:val="087C6E83"/>
    <w:rsid w:val="087C6E9A"/>
    <w:rsid w:val="087C6F4B"/>
    <w:rsid w:val="087C70E0"/>
    <w:rsid w:val="087C70E2"/>
    <w:rsid w:val="087C7159"/>
    <w:rsid w:val="087C7234"/>
    <w:rsid w:val="087C72D7"/>
    <w:rsid w:val="087C7315"/>
    <w:rsid w:val="087C735A"/>
    <w:rsid w:val="087C74AB"/>
    <w:rsid w:val="087C7673"/>
    <w:rsid w:val="087C775D"/>
    <w:rsid w:val="087C79E6"/>
    <w:rsid w:val="087C7AC9"/>
    <w:rsid w:val="087C7AD4"/>
    <w:rsid w:val="087C7AD6"/>
    <w:rsid w:val="087C7B9A"/>
    <w:rsid w:val="087C7BA3"/>
    <w:rsid w:val="087C7BE3"/>
    <w:rsid w:val="087C7BEC"/>
    <w:rsid w:val="087C7C09"/>
    <w:rsid w:val="087C7D19"/>
    <w:rsid w:val="087C7D2D"/>
    <w:rsid w:val="087C7D92"/>
    <w:rsid w:val="087C7DAA"/>
    <w:rsid w:val="087C7E05"/>
    <w:rsid w:val="087C7E21"/>
    <w:rsid w:val="087C7E5C"/>
    <w:rsid w:val="087C7E61"/>
    <w:rsid w:val="087C7F1E"/>
    <w:rsid w:val="087C7F6B"/>
    <w:rsid w:val="087C7FF6"/>
    <w:rsid w:val="087D018B"/>
    <w:rsid w:val="087D01A4"/>
    <w:rsid w:val="087D0236"/>
    <w:rsid w:val="087D02BA"/>
    <w:rsid w:val="087D0337"/>
    <w:rsid w:val="087D0446"/>
    <w:rsid w:val="087D0451"/>
    <w:rsid w:val="087D0544"/>
    <w:rsid w:val="087D0567"/>
    <w:rsid w:val="087D061E"/>
    <w:rsid w:val="087D0691"/>
    <w:rsid w:val="087D06F3"/>
    <w:rsid w:val="087D071A"/>
    <w:rsid w:val="087D078F"/>
    <w:rsid w:val="087D07D5"/>
    <w:rsid w:val="087D0825"/>
    <w:rsid w:val="087D0918"/>
    <w:rsid w:val="087D091F"/>
    <w:rsid w:val="087D097F"/>
    <w:rsid w:val="087D09C6"/>
    <w:rsid w:val="087D0A2D"/>
    <w:rsid w:val="087D0A9A"/>
    <w:rsid w:val="087D0BD0"/>
    <w:rsid w:val="087D0C9C"/>
    <w:rsid w:val="087D0D95"/>
    <w:rsid w:val="087D0E60"/>
    <w:rsid w:val="087D0F92"/>
    <w:rsid w:val="087D0F93"/>
    <w:rsid w:val="087D0F9A"/>
    <w:rsid w:val="087D10D4"/>
    <w:rsid w:val="087D10DC"/>
    <w:rsid w:val="087D1119"/>
    <w:rsid w:val="087D112C"/>
    <w:rsid w:val="087D1149"/>
    <w:rsid w:val="087D119F"/>
    <w:rsid w:val="087D1212"/>
    <w:rsid w:val="087D121B"/>
    <w:rsid w:val="087D1236"/>
    <w:rsid w:val="087D12A0"/>
    <w:rsid w:val="087D12EA"/>
    <w:rsid w:val="087D1304"/>
    <w:rsid w:val="087D131F"/>
    <w:rsid w:val="087D1342"/>
    <w:rsid w:val="087D137F"/>
    <w:rsid w:val="087D1393"/>
    <w:rsid w:val="087D139A"/>
    <w:rsid w:val="087D13D4"/>
    <w:rsid w:val="087D13D8"/>
    <w:rsid w:val="087D141A"/>
    <w:rsid w:val="087D143D"/>
    <w:rsid w:val="087D1460"/>
    <w:rsid w:val="087D1495"/>
    <w:rsid w:val="087D1590"/>
    <w:rsid w:val="087D1624"/>
    <w:rsid w:val="087D163E"/>
    <w:rsid w:val="087D170F"/>
    <w:rsid w:val="087D171B"/>
    <w:rsid w:val="087D1774"/>
    <w:rsid w:val="087D17E2"/>
    <w:rsid w:val="087D195F"/>
    <w:rsid w:val="087D197E"/>
    <w:rsid w:val="087D198D"/>
    <w:rsid w:val="087D199E"/>
    <w:rsid w:val="087D19D1"/>
    <w:rsid w:val="087D19F6"/>
    <w:rsid w:val="087D1A75"/>
    <w:rsid w:val="087D1B79"/>
    <w:rsid w:val="087D1BB2"/>
    <w:rsid w:val="087D1C5E"/>
    <w:rsid w:val="087D1CE1"/>
    <w:rsid w:val="087D1D93"/>
    <w:rsid w:val="087D1DA1"/>
    <w:rsid w:val="087D1E07"/>
    <w:rsid w:val="087D1F26"/>
    <w:rsid w:val="087D1F56"/>
    <w:rsid w:val="087D1FFD"/>
    <w:rsid w:val="087D2006"/>
    <w:rsid w:val="087D201C"/>
    <w:rsid w:val="087D2027"/>
    <w:rsid w:val="087D204D"/>
    <w:rsid w:val="087D20CD"/>
    <w:rsid w:val="087D21A0"/>
    <w:rsid w:val="087D21B7"/>
    <w:rsid w:val="087D21EB"/>
    <w:rsid w:val="087D22AF"/>
    <w:rsid w:val="087D22BD"/>
    <w:rsid w:val="087D23A3"/>
    <w:rsid w:val="087D23F2"/>
    <w:rsid w:val="087D247E"/>
    <w:rsid w:val="087D24B2"/>
    <w:rsid w:val="087D26DE"/>
    <w:rsid w:val="087D2770"/>
    <w:rsid w:val="087D27AE"/>
    <w:rsid w:val="087D27AF"/>
    <w:rsid w:val="087D288F"/>
    <w:rsid w:val="087D28C5"/>
    <w:rsid w:val="087D28DB"/>
    <w:rsid w:val="087D2ABC"/>
    <w:rsid w:val="087D2BAD"/>
    <w:rsid w:val="087D2BB4"/>
    <w:rsid w:val="087D2BCD"/>
    <w:rsid w:val="087D2BD7"/>
    <w:rsid w:val="087D2BE3"/>
    <w:rsid w:val="087D2C86"/>
    <w:rsid w:val="087D2D86"/>
    <w:rsid w:val="087D2DA6"/>
    <w:rsid w:val="087D2E03"/>
    <w:rsid w:val="087D2E52"/>
    <w:rsid w:val="087D2E7C"/>
    <w:rsid w:val="087D2EEC"/>
    <w:rsid w:val="087D2F34"/>
    <w:rsid w:val="087D2F53"/>
    <w:rsid w:val="087D2FAA"/>
    <w:rsid w:val="087D2FDC"/>
    <w:rsid w:val="087D311D"/>
    <w:rsid w:val="087D31E5"/>
    <w:rsid w:val="087D3243"/>
    <w:rsid w:val="087D3257"/>
    <w:rsid w:val="087D32EC"/>
    <w:rsid w:val="087D3313"/>
    <w:rsid w:val="087D3327"/>
    <w:rsid w:val="087D33AA"/>
    <w:rsid w:val="087D3470"/>
    <w:rsid w:val="087D34C8"/>
    <w:rsid w:val="087D34ED"/>
    <w:rsid w:val="087D3580"/>
    <w:rsid w:val="087D3733"/>
    <w:rsid w:val="087D37D8"/>
    <w:rsid w:val="087D37EC"/>
    <w:rsid w:val="087D383B"/>
    <w:rsid w:val="087D3850"/>
    <w:rsid w:val="087D3886"/>
    <w:rsid w:val="087D397D"/>
    <w:rsid w:val="087D3992"/>
    <w:rsid w:val="087D3A87"/>
    <w:rsid w:val="087D3B17"/>
    <w:rsid w:val="087D3B8F"/>
    <w:rsid w:val="087D3B9B"/>
    <w:rsid w:val="087D3C22"/>
    <w:rsid w:val="087D3CCA"/>
    <w:rsid w:val="087D3D03"/>
    <w:rsid w:val="087D3D1C"/>
    <w:rsid w:val="087D3D9E"/>
    <w:rsid w:val="087D3DCF"/>
    <w:rsid w:val="087D3E2F"/>
    <w:rsid w:val="087D3E41"/>
    <w:rsid w:val="087D4011"/>
    <w:rsid w:val="087D402D"/>
    <w:rsid w:val="087D40AD"/>
    <w:rsid w:val="087D4110"/>
    <w:rsid w:val="087D4130"/>
    <w:rsid w:val="087D41EC"/>
    <w:rsid w:val="087D4280"/>
    <w:rsid w:val="087D4299"/>
    <w:rsid w:val="087D42FE"/>
    <w:rsid w:val="087D4319"/>
    <w:rsid w:val="087D4368"/>
    <w:rsid w:val="087D4423"/>
    <w:rsid w:val="087D4546"/>
    <w:rsid w:val="087D45FC"/>
    <w:rsid w:val="087D462D"/>
    <w:rsid w:val="087D467A"/>
    <w:rsid w:val="087D4808"/>
    <w:rsid w:val="087D48A1"/>
    <w:rsid w:val="087D4A54"/>
    <w:rsid w:val="087D4A7D"/>
    <w:rsid w:val="087D4B23"/>
    <w:rsid w:val="087D4B3C"/>
    <w:rsid w:val="087D4C37"/>
    <w:rsid w:val="087D4C49"/>
    <w:rsid w:val="087D4C52"/>
    <w:rsid w:val="087D4D05"/>
    <w:rsid w:val="087D4D26"/>
    <w:rsid w:val="087D4D4A"/>
    <w:rsid w:val="087D4D8B"/>
    <w:rsid w:val="087D4DA4"/>
    <w:rsid w:val="087D4DE7"/>
    <w:rsid w:val="087D4DE9"/>
    <w:rsid w:val="087D4F03"/>
    <w:rsid w:val="087D5019"/>
    <w:rsid w:val="087D5090"/>
    <w:rsid w:val="087D5286"/>
    <w:rsid w:val="087D5465"/>
    <w:rsid w:val="087D5589"/>
    <w:rsid w:val="087D558D"/>
    <w:rsid w:val="087D55E6"/>
    <w:rsid w:val="087D560C"/>
    <w:rsid w:val="087D5645"/>
    <w:rsid w:val="087D5662"/>
    <w:rsid w:val="087D5768"/>
    <w:rsid w:val="087D5780"/>
    <w:rsid w:val="087D5789"/>
    <w:rsid w:val="087D592D"/>
    <w:rsid w:val="087D5A86"/>
    <w:rsid w:val="087D5C3A"/>
    <w:rsid w:val="087D5D05"/>
    <w:rsid w:val="087D5D41"/>
    <w:rsid w:val="087D5DA5"/>
    <w:rsid w:val="087D5E1C"/>
    <w:rsid w:val="087D5E5C"/>
    <w:rsid w:val="087D60EA"/>
    <w:rsid w:val="087D6115"/>
    <w:rsid w:val="087D6135"/>
    <w:rsid w:val="087D6144"/>
    <w:rsid w:val="087D617A"/>
    <w:rsid w:val="087D628F"/>
    <w:rsid w:val="087D6292"/>
    <w:rsid w:val="087D62D6"/>
    <w:rsid w:val="087D62DF"/>
    <w:rsid w:val="087D62FD"/>
    <w:rsid w:val="087D6373"/>
    <w:rsid w:val="087D650B"/>
    <w:rsid w:val="087D6533"/>
    <w:rsid w:val="087D664C"/>
    <w:rsid w:val="087D66D6"/>
    <w:rsid w:val="087D66D8"/>
    <w:rsid w:val="087D66E4"/>
    <w:rsid w:val="087D6739"/>
    <w:rsid w:val="087D6789"/>
    <w:rsid w:val="087D6795"/>
    <w:rsid w:val="087D67EA"/>
    <w:rsid w:val="087D6874"/>
    <w:rsid w:val="087D68A0"/>
    <w:rsid w:val="087D68F1"/>
    <w:rsid w:val="087D697B"/>
    <w:rsid w:val="087D69D7"/>
    <w:rsid w:val="087D6A35"/>
    <w:rsid w:val="087D6A59"/>
    <w:rsid w:val="087D6B75"/>
    <w:rsid w:val="087D6B93"/>
    <w:rsid w:val="087D6BCC"/>
    <w:rsid w:val="087D6C33"/>
    <w:rsid w:val="087D6CC9"/>
    <w:rsid w:val="087D6EB4"/>
    <w:rsid w:val="087D6F01"/>
    <w:rsid w:val="087D6F7A"/>
    <w:rsid w:val="087D6FAE"/>
    <w:rsid w:val="087D7103"/>
    <w:rsid w:val="087D713A"/>
    <w:rsid w:val="087D71E1"/>
    <w:rsid w:val="087D725F"/>
    <w:rsid w:val="087D72AF"/>
    <w:rsid w:val="087D72E5"/>
    <w:rsid w:val="087D7330"/>
    <w:rsid w:val="087D7336"/>
    <w:rsid w:val="087D7338"/>
    <w:rsid w:val="087D73CB"/>
    <w:rsid w:val="087D73F9"/>
    <w:rsid w:val="087D73FF"/>
    <w:rsid w:val="087D7484"/>
    <w:rsid w:val="087D74AE"/>
    <w:rsid w:val="087D74F3"/>
    <w:rsid w:val="087D754A"/>
    <w:rsid w:val="087D7577"/>
    <w:rsid w:val="087D7652"/>
    <w:rsid w:val="087D76A3"/>
    <w:rsid w:val="087D76FB"/>
    <w:rsid w:val="087D7700"/>
    <w:rsid w:val="087D77A1"/>
    <w:rsid w:val="087D78C8"/>
    <w:rsid w:val="087D78DC"/>
    <w:rsid w:val="087D7924"/>
    <w:rsid w:val="087D79E2"/>
    <w:rsid w:val="087D7A14"/>
    <w:rsid w:val="087D7A85"/>
    <w:rsid w:val="087D7AD0"/>
    <w:rsid w:val="087D7AFC"/>
    <w:rsid w:val="087D7B05"/>
    <w:rsid w:val="087D7B7E"/>
    <w:rsid w:val="087D7BA1"/>
    <w:rsid w:val="087D7BB7"/>
    <w:rsid w:val="087D7C43"/>
    <w:rsid w:val="087D7C46"/>
    <w:rsid w:val="087D7DB7"/>
    <w:rsid w:val="087D7DEF"/>
    <w:rsid w:val="087D7E4A"/>
    <w:rsid w:val="087D7F6C"/>
    <w:rsid w:val="087E0008"/>
    <w:rsid w:val="087E0036"/>
    <w:rsid w:val="087E00BE"/>
    <w:rsid w:val="087E017D"/>
    <w:rsid w:val="087E020C"/>
    <w:rsid w:val="087E02CB"/>
    <w:rsid w:val="087E02CF"/>
    <w:rsid w:val="087E033B"/>
    <w:rsid w:val="087E0353"/>
    <w:rsid w:val="087E04AA"/>
    <w:rsid w:val="087E04B2"/>
    <w:rsid w:val="087E04E2"/>
    <w:rsid w:val="087E05A1"/>
    <w:rsid w:val="087E0688"/>
    <w:rsid w:val="087E070C"/>
    <w:rsid w:val="087E071E"/>
    <w:rsid w:val="087E073D"/>
    <w:rsid w:val="087E08D2"/>
    <w:rsid w:val="087E08F5"/>
    <w:rsid w:val="087E0919"/>
    <w:rsid w:val="087E0946"/>
    <w:rsid w:val="087E09E5"/>
    <w:rsid w:val="087E0B35"/>
    <w:rsid w:val="087E0BF7"/>
    <w:rsid w:val="087E0C65"/>
    <w:rsid w:val="087E0D30"/>
    <w:rsid w:val="087E0E86"/>
    <w:rsid w:val="087E0EE9"/>
    <w:rsid w:val="087E0F39"/>
    <w:rsid w:val="087E0FAC"/>
    <w:rsid w:val="087E113B"/>
    <w:rsid w:val="087E11B5"/>
    <w:rsid w:val="087E12DF"/>
    <w:rsid w:val="087E13FB"/>
    <w:rsid w:val="087E141C"/>
    <w:rsid w:val="087E146E"/>
    <w:rsid w:val="087E15C6"/>
    <w:rsid w:val="087E15FF"/>
    <w:rsid w:val="087E173D"/>
    <w:rsid w:val="087E1740"/>
    <w:rsid w:val="087E1812"/>
    <w:rsid w:val="087E1867"/>
    <w:rsid w:val="087E187B"/>
    <w:rsid w:val="087E18AA"/>
    <w:rsid w:val="087E194C"/>
    <w:rsid w:val="087E194F"/>
    <w:rsid w:val="087E1989"/>
    <w:rsid w:val="087E1A6B"/>
    <w:rsid w:val="087E1AA3"/>
    <w:rsid w:val="087E1ACC"/>
    <w:rsid w:val="087E1B04"/>
    <w:rsid w:val="087E1CA7"/>
    <w:rsid w:val="087E1E2D"/>
    <w:rsid w:val="087E1E93"/>
    <w:rsid w:val="087E1EC8"/>
    <w:rsid w:val="087E1F22"/>
    <w:rsid w:val="087E1F3A"/>
    <w:rsid w:val="087E1F5D"/>
    <w:rsid w:val="087E1FBD"/>
    <w:rsid w:val="087E212A"/>
    <w:rsid w:val="087E2182"/>
    <w:rsid w:val="087E2239"/>
    <w:rsid w:val="087E2275"/>
    <w:rsid w:val="087E2303"/>
    <w:rsid w:val="087E2319"/>
    <w:rsid w:val="087E2347"/>
    <w:rsid w:val="087E248E"/>
    <w:rsid w:val="087E248F"/>
    <w:rsid w:val="087E249D"/>
    <w:rsid w:val="087E24C3"/>
    <w:rsid w:val="087E2555"/>
    <w:rsid w:val="087E2586"/>
    <w:rsid w:val="087E25F2"/>
    <w:rsid w:val="087E262C"/>
    <w:rsid w:val="087E269D"/>
    <w:rsid w:val="087E26A8"/>
    <w:rsid w:val="087E26BA"/>
    <w:rsid w:val="087E26DB"/>
    <w:rsid w:val="087E272B"/>
    <w:rsid w:val="087E276D"/>
    <w:rsid w:val="087E27D2"/>
    <w:rsid w:val="087E27F1"/>
    <w:rsid w:val="087E2803"/>
    <w:rsid w:val="087E28A3"/>
    <w:rsid w:val="087E296E"/>
    <w:rsid w:val="087E299E"/>
    <w:rsid w:val="087E29F0"/>
    <w:rsid w:val="087E2A15"/>
    <w:rsid w:val="087E2AC0"/>
    <w:rsid w:val="087E2B45"/>
    <w:rsid w:val="087E2BCF"/>
    <w:rsid w:val="087E2C82"/>
    <w:rsid w:val="087E2C9B"/>
    <w:rsid w:val="087E2CEF"/>
    <w:rsid w:val="087E2D8F"/>
    <w:rsid w:val="087E2E5E"/>
    <w:rsid w:val="087E2E7B"/>
    <w:rsid w:val="087E2EB3"/>
    <w:rsid w:val="087E2EDB"/>
    <w:rsid w:val="087E2EE4"/>
    <w:rsid w:val="087E2F3D"/>
    <w:rsid w:val="087E2F73"/>
    <w:rsid w:val="087E2F8A"/>
    <w:rsid w:val="087E30EC"/>
    <w:rsid w:val="087E3361"/>
    <w:rsid w:val="087E33DD"/>
    <w:rsid w:val="087E3403"/>
    <w:rsid w:val="087E3527"/>
    <w:rsid w:val="087E358C"/>
    <w:rsid w:val="087E35DB"/>
    <w:rsid w:val="087E35FE"/>
    <w:rsid w:val="087E3639"/>
    <w:rsid w:val="087E3644"/>
    <w:rsid w:val="087E36AE"/>
    <w:rsid w:val="087E372A"/>
    <w:rsid w:val="087E376E"/>
    <w:rsid w:val="087E37EA"/>
    <w:rsid w:val="087E38FC"/>
    <w:rsid w:val="087E39AF"/>
    <w:rsid w:val="087E39D2"/>
    <w:rsid w:val="087E39E8"/>
    <w:rsid w:val="087E3AB9"/>
    <w:rsid w:val="087E3B6C"/>
    <w:rsid w:val="087E3B82"/>
    <w:rsid w:val="087E3B88"/>
    <w:rsid w:val="087E3BA0"/>
    <w:rsid w:val="087E3BEF"/>
    <w:rsid w:val="087E3BF4"/>
    <w:rsid w:val="087E3C73"/>
    <w:rsid w:val="087E3C96"/>
    <w:rsid w:val="087E3CCF"/>
    <w:rsid w:val="087E3CD6"/>
    <w:rsid w:val="087E3CE6"/>
    <w:rsid w:val="087E3D45"/>
    <w:rsid w:val="087E3D88"/>
    <w:rsid w:val="087E3E01"/>
    <w:rsid w:val="087E3E23"/>
    <w:rsid w:val="087E3EAB"/>
    <w:rsid w:val="087E3F5B"/>
    <w:rsid w:val="087E3F78"/>
    <w:rsid w:val="087E3F92"/>
    <w:rsid w:val="087E3FB3"/>
    <w:rsid w:val="087E3FBF"/>
    <w:rsid w:val="087E3FDF"/>
    <w:rsid w:val="087E41DB"/>
    <w:rsid w:val="087E4279"/>
    <w:rsid w:val="087E43FB"/>
    <w:rsid w:val="087E440B"/>
    <w:rsid w:val="087E4410"/>
    <w:rsid w:val="087E44B6"/>
    <w:rsid w:val="087E45AE"/>
    <w:rsid w:val="087E45E2"/>
    <w:rsid w:val="087E4692"/>
    <w:rsid w:val="087E48D0"/>
    <w:rsid w:val="087E48D9"/>
    <w:rsid w:val="087E48E6"/>
    <w:rsid w:val="087E49A9"/>
    <w:rsid w:val="087E49CF"/>
    <w:rsid w:val="087E49E1"/>
    <w:rsid w:val="087E49FD"/>
    <w:rsid w:val="087E4AB9"/>
    <w:rsid w:val="087E4ACD"/>
    <w:rsid w:val="087E4B1E"/>
    <w:rsid w:val="087E4C1E"/>
    <w:rsid w:val="087E4D55"/>
    <w:rsid w:val="087E4DBE"/>
    <w:rsid w:val="087E4DC4"/>
    <w:rsid w:val="087E4E07"/>
    <w:rsid w:val="087E4E5A"/>
    <w:rsid w:val="087E4E80"/>
    <w:rsid w:val="087E4ED3"/>
    <w:rsid w:val="087E4F18"/>
    <w:rsid w:val="087E4F53"/>
    <w:rsid w:val="087E4FC1"/>
    <w:rsid w:val="087E4FEC"/>
    <w:rsid w:val="087E5168"/>
    <w:rsid w:val="087E51B7"/>
    <w:rsid w:val="087E52BE"/>
    <w:rsid w:val="087E5359"/>
    <w:rsid w:val="087E53C2"/>
    <w:rsid w:val="087E53F6"/>
    <w:rsid w:val="087E5424"/>
    <w:rsid w:val="087E5538"/>
    <w:rsid w:val="087E5712"/>
    <w:rsid w:val="087E5757"/>
    <w:rsid w:val="087E57A4"/>
    <w:rsid w:val="087E585C"/>
    <w:rsid w:val="087E58E4"/>
    <w:rsid w:val="087E5922"/>
    <w:rsid w:val="087E5999"/>
    <w:rsid w:val="087E59BE"/>
    <w:rsid w:val="087E5AC0"/>
    <w:rsid w:val="087E5B6E"/>
    <w:rsid w:val="087E5CC6"/>
    <w:rsid w:val="087E5DC5"/>
    <w:rsid w:val="087E5DED"/>
    <w:rsid w:val="087E5E20"/>
    <w:rsid w:val="087E5EEC"/>
    <w:rsid w:val="087E618F"/>
    <w:rsid w:val="087E6225"/>
    <w:rsid w:val="087E6285"/>
    <w:rsid w:val="087E628A"/>
    <w:rsid w:val="087E62DD"/>
    <w:rsid w:val="087E6340"/>
    <w:rsid w:val="087E6360"/>
    <w:rsid w:val="087E637A"/>
    <w:rsid w:val="087E6553"/>
    <w:rsid w:val="087E656D"/>
    <w:rsid w:val="087E6596"/>
    <w:rsid w:val="087E65BA"/>
    <w:rsid w:val="087E6692"/>
    <w:rsid w:val="087E673B"/>
    <w:rsid w:val="087E675E"/>
    <w:rsid w:val="087E67AC"/>
    <w:rsid w:val="087E67D7"/>
    <w:rsid w:val="087E67FA"/>
    <w:rsid w:val="087E684D"/>
    <w:rsid w:val="087E686D"/>
    <w:rsid w:val="087E68E6"/>
    <w:rsid w:val="087E691B"/>
    <w:rsid w:val="087E692F"/>
    <w:rsid w:val="087E694D"/>
    <w:rsid w:val="087E6A0C"/>
    <w:rsid w:val="087E6A5A"/>
    <w:rsid w:val="087E6AEF"/>
    <w:rsid w:val="087E6C68"/>
    <w:rsid w:val="087E6C92"/>
    <w:rsid w:val="087E6CA2"/>
    <w:rsid w:val="087E6E81"/>
    <w:rsid w:val="087E6E9C"/>
    <w:rsid w:val="087E6F28"/>
    <w:rsid w:val="087E708B"/>
    <w:rsid w:val="087E708D"/>
    <w:rsid w:val="087E70A9"/>
    <w:rsid w:val="087E70E9"/>
    <w:rsid w:val="087E71E2"/>
    <w:rsid w:val="087E72C5"/>
    <w:rsid w:val="087E73B7"/>
    <w:rsid w:val="087E73BF"/>
    <w:rsid w:val="087E73DC"/>
    <w:rsid w:val="087E73EF"/>
    <w:rsid w:val="087E740C"/>
    <w:rsid w:val="087E748D"/>
    <w:rsid w:val="087E74A9"/>
    <w:rsid w:val="087E7510"/>
    <w:rsid w:val="087E7518"/>
    <w:rsid w:val="087E7581"/>
    <w:rsid w:val="087E759A"/>
    <w:rsid w:val="087E764E"/>
    <w:rsid w:val="087E7678"/>
    <w:rsid w:val="087E76DC"/>
    <w:rsid w:val="087E7764"/>
    <w:rsid w:val="087E7788"/>
    <w:rsid w:val="087E78C9"/>
    <w:rsid w:val="087E793A"/>
    <w:rsid w:val="087E7978"/>
    <w:rsid w:val="087E79B4"/>
    <w:rsid w:val="087E7C60"/>
    <w:rsid w:val="087E7D7E"/>
    <w:rsid w:val="087E7DE8"/>
    <w:rsid w:val="087E7DF6"/>
    <w:rsid w:val="087E7E09"/>
    <w:rsid w:val="087E7FD9"/>
    <w:rsid w:val="087F00AF"/>
    <w:rsid w:val="087F00DF"/>
    <w:rsid w:val="087F0111"/>
    <w:rsid w:val="087F0188"/>
    <w:rsid w:val="087F024D"/>
    <w:rsid w:val="087F02A9"/>
    <w:rsid w:val="087F03CB"/>
    <w:rsid w:val="087F04D8"/>
    <w:rsid w:val="087F04F9"/>
    <w:rsid w:val="087F056D"/>
    <w:rsid w:val="087F0667"/>
    <w:rsid w:val="087F06C9"/>
    <w:rsid w:val="087F06F2"/>
    <w:rsid w:val="087F0740"/>
    <w:rsid w:val="087F080C"/>
    <w:rsid w:val="087F0859"/>
    <w:rsid w:val="087F0879"/>
    <w:rsid w:val="087F087D"/>
    <w:rsid w:val="087F08B1"/>
    <w:rsid w:val="087F091D"/>
    <w:rsid w:val="087F09A9"/>
    <w:rsid w:val="087F09CB"/>
    <w:rsid w:val="087F0A66"/>
    <w:rsid w:val="087F0A93"/>
    <w:rsid w:val="087F0B10"/>
    <w:rsid w:val="087F0B2F"/>
    <w:rsid w:val="087F0BF6"/>
    <w:rsid w:val="087F0BFB"/>
    <w:rsid w:val="087F0C61"/>
    <w:rsid w:val="087F0C76"/>
    <w:rsid w:val="087F0CA3"/>
    <w:rsid w:val="087F0CB5"/>
    <w:rsid w:val="087F0CF6"/>
    <w:rsid w:val="087F0D10"/>
    <w:rsid w:val="087F0D22"/>
    <w:rsid w:val="087F0D56"/>
    <w:rsid w:val="087F0F64"/>
    <w:rsid w:val="087F0F7A"/>
    <w:rsid w:val="087F0FF3"/>
    <w:rsid w:val="087F1035"/>
    <w:rsid w:val="087F109F"/>
    <w:rsid w:val="087F10E0"/>
    <w:rsid w:val="087F1127"/>
    <w:rsid w:val="087F11A0"/>
    <w:rsid w:val="087F1208"/>
    <w:rsid w:val="087F1239"/>
    <w:rsid w:val="087F1271"/>
    <w:rsid w:val="087F12EB"/>
    <w:rsid w:val="087F138E"/>
    <w:rsid w:val="087F13AC"/>
    <w:rsid w:val="087F14A4"/>
    <w:rsid w:val="087F1578"/>
    <w:rsid w:val="087F15A1"/>
    <w:rsid w:val="087F1621"/>
    <w:rsid w:val="087F16DF"/>
    <w:rsid w:val="087F1779"/>
    <w:rsid w:val="087F17D0"/>
    <w:rsid w:val="087F17DD"/>
    <w:rsid w:val="087F17EE"/>
    <w:rsid w:val="087F182D"/>
    <w:rsid w:val="087F1959"/>
    <w:rsid w:val="087F19A4"/>
    <w:rsid w:val="087F19DF"/>
    <w:rsid w:val="087F19FD"/>
    <w:rsid w:val="087F1A22"/>
    <w:rsid w:val="087F1A79"/>
    <w:rsid w:val="087F1B24"/>
    <w:rsid w:val="087F1BFA"/>
    <w:rsid w:val="087F1C1C"/>
    <w:rsid w:val="087F1C22"/>
    <w:rsid w:val="087F1C40"/>
    <w:rsid w:val="087F1C8E"/>
    <w:rsid w:val="087F1CA2"/>
    <w:rsid w:val="087F1CC0"/>
    <w:rsid w:val="087F1CE8"/>
    <w:rsid w:val="087F1CFF"/>
    <w:rsid w:val="087F1D23"/>
    <w:rsid w:val="087F1D29"/>
    <w:rsid w:val="087F1DE8"/>
    <w:rsid w:val="087F1E71"/>
    <w:rsid w:val="087F1EAB"/>
    <w:rsid w:val="087F1ED7"/>
    <w:rsid w:val="087F1EE1"/>
    <w:rsid w:val="087F2035"/>
    <w:rsid w:val="087F2099"/>
    <w:rsid w:val="087F213C"/>
    <w:rsid w:val="087F233C"/>
    <w:rsid w:val="087F239D"/>
    <w:rsid w:val="087F23D1"/>
    <w:rsid w:val="087F2433"/>
    <w:rsid w:val="087F248A"/>
    <w:rsid w:val="087F2515"/>
    <w:rsid w:val="087F25BA"/>
    <w:rsid w:val="087F262B"/>
    <w:rsid w:val="087F2696"/>
    <w:rsid w:val="087F26EE"/>
    <w:rsid w:val="087F277A"/>
    <w:rsid w:val="087F278E"/>
    <w:rsid w:val="087F2790"/>
    <w:rsid w:val="087F2794"/>
    <w:rsid w:val="087F27FC"/>
    <w:rsid w:val="087F2816"/>
    <w:rsid w:val="087F2826"/>
    <w:rsid w:val="087F296E"/>
    <w:rsid w:val="087F29DA"/>
    <w:rsid w:val="087F2A29"/>
    <w:rsid w:val="087F2B20"/>
    <w:rsid w:val="087F2B84"/>
    <w:rsid w:val="087F2BDA"/>
    <w:rsid w:val="087F2CEE"/>
    <w:rsid w:val="087F2D62"/>
    <w:rsid w:val="087F2E3D"/>
    <w:rsid w:val="087F2F04"/>
    <w:rsid w:val="087F2F40"/>
    <w:rsid w:val="087F2F57"/>
    <w:rsid w:val="087F2F68"/>
    <w:rsid w:val="087F2FB6"/>
    <w:rsid w:val="087F2FB8"/>
    <w:rsid w:val="087F304B"/>
    <w:rsid w:val="087F306B"/>
    <w:rsid w:val="087F30C3"/>
    <w:rsid w:val="087F3112"/>
    <w:rsid w:val="087F3140"/>
    <w:rsid w:val="087F3141"/>
    <w:rsid w:val="087F31B7"/>
    <w:rsid w:val="087F31C4"/>
    <w:rsid w:val="087F3223"/>
    <w:rsid w:val="087F337F"/>
    <w:rsid w:val="087F3393"/>
    <w:rsid w:val="087F339F"/>
    <w:rsid w:val="087F343F"/>
    <w:rsid w:val="087F3456"/>
    <w:rsid w:val="087F3489"/>
    <w:rsid w:val="087F3519"/>
    <w:rsid w:val="087F35BB"/>
    <w:rsid w:val="087F360C"/>
    <w:rsid w:val="087F36A9"/>
    <w:rsid w:val="087F3918"/>
    <w:rsid w:val="087F3947"/>
    <w:rsid w:val="087F39BE"/>
    <w:rsid w:val="087F3A17"/>
    <w:rsid w:val="087F3B5B"/>
    <w:rsid w:val="087F3C20"/>
    <w:rsid w:val="087F3CBB"/>
    <w:rsid w:val="087F3CD1"/>
    <w:rsid w:val="087F3CE4"/>
    <w:rsid w:val="087F3D5E"/>
    <w:rsid w:val="087F3E3C"/>
    <w:rsid w:val="087F3E8C"/>
    <w:rsid w:val="087F405C"/>
    <w:rsid w:val="087F4068"/>
    <w:rsid w:val="087F40AA"/>
    <w:rsid w:val="087F4141"/>
    <w:rsid w:val="087F4150"/>
    <w:rsid w:val="087F4169"/>
    <w:rsid w:val="087F4240"/>
    <w:rsid w:val="087F4266"/>
    <w:rsid w:val="087F42FB"/>
    <w:rsid w:val="087F4565"/>
    <w:rsid w:val="087F4575"/>
    <w:rsid w:val="087F4655"/>
    <w:rsid w:val="087F4663"/>
    <w:rsid w:val="087F46CC"/>
    <w:rsid w:val="087F4726"/>
    <w:rsid w:val="087F472D"/>
    <w:rsid w:val="087F477E"/>
    <w:rsid w:val="087F477F"/>
    <w:rsid w:val="087F47C3"/>
    <w:rsid w:val="087F4835"/>
    <w:rsid w:val="087F48D0"/>
    <w:rsid w:val="087F4916"/>
    <w:rsid w:val="087F4A74"/>
    <w:rsid w:val="087F4A9A"/>
    <w:rsid w:val="087F4AEA"/>
    <w:rsid w:val="087F4B27"/>
    <w:rsid w:val="087F4B35"/>
    <w:rsid w:val="087F4B68"/>
    <w:rsid w:val="087F4BD6"/>
    <w:rsid w:val="087F4C70"/>
    <w:rsid w:val="087F4C8E"/>
    <w:rsid w:val="087F4E6E"/>
    <w:rsid w:val="087F4E93"/>
    <w:rsid w:val="087F4EAB"/>
    <w:rsid w:val="087F4EDC"/>
    <w:rsid w:val="087F4F14"/>
    <w:rsid w:val="087F4FAB"/>
    <w:rsid w:val="087F506B"/>
    <w:rsid w:val="087F507D"/>
    <w:rsid w:val="087F5088"/>
    <w:rsid w:val="087F50C8"/>
    <w:rsid w:val="087F517E"/>
    <w:rsid w:val="087F519E"/>
    <w:rsid w:val="087F51AC"/>
    <w:rsid w:val="087F525F"/>
    <w:rsid w:val="087F5349"/>
    <w:rsid w:val="087F5357"/>
    <w:rsid w:val="087F5386"/>
    <w:rsid w:val="087F53A8"/>
    <w:rsid w:val="087F549E"/>
    <w:rsid w:val="087F5582"/>
    <w:rsid w:val="087F56EB"/>
    <w:rsid w:val="087F56F4"/>
    <w:rsid w:val="087F5791"/>
    <w:rsid w:val="087F582D"/>
    <w:rsid w:val="087F59A5"/>
    <w:rsid w:val="087F59ED"/>
    <w:rsid w:val="087F5A0F"/>
    <w:rsid w:val="087F5A53"/>
    <w:rsid w:val="087F5BA0"/>
    <w:rsid w:val="087F5C1E"/>
    <w:rsid w:val="087F5C40"/>
    <w:rsid w:val="087F5C64"/>
    <w:rsid w:val="087F5CD4"/>
    <w:rsid w:val="087F5D14"/>
    <w:rsid w:val="087F5D21"/>
    <w:rsid w:val="087F5E29"/>
    <w:rsid w:val="087F5EC5"/>
    <w:rsid w:val="087F5ED0"/>
    <w:rsid w:val="087F5EDF"/>
    <w:rsid w:val="087F5FA7"/>
    <w:rsid w:val="087F5FCB"/>
    <w:rsid w:val="087F5FCC"/>
    <w:rsid w:val="087F5FF8"/>
    <w:rsid w:val="087F6095"/>
    <w:rsid w:val="087F6116"/>
    <w:rsid w:val="087F6242"/>
    <w:rsid w:val="087F6270"/>
    <w:rsid w:val="087F64A8"/>
    <w:rsid w:val="087F64D3"/>
    <w:rsid w:val="087F6538"/>
    <w:rsid w:val="087F659C"/>
    <w:rsid w:val="087F65A5"/>
    <w:rsid w:val="087F664E"/>
    <w:rsid w:val="087F667B"/>
    <w:rsid w:val="087F667D"/>
    <w:rsid w:val="087F66B6"/>
    <w:rsid w:val="087F66CF"/>
    <w:rsid w:val="087F673E"/>
    <w:rsid w:val="087F6781"/>
    <w:rsid w:val="087F67A5"/>
    <w:rsid w:val="087F67B8"/>
    <w:rsid w:val="087F67C1"/>
    <w:rsid w:val="087F67F5"/>
    <w:rsid w:val="087F6845"/>
    <w:rsid w:val="087F68DB"/>
    <w:rsid w:val="087F692B"/>
    <w:rsid w:val="087F69DF"/>
    <w:rsid w:val="087F6A39"/>
    <w:rsid w:val="087F6ACC"/>
    <w:rsid w:val="087F6B36"/>
    <w:rsid w:val="087F6B51"/>
    <w:rsid w:val="087F6C4A"/>
    <w:rsid w:val="087F6C69"/>
    <w:rsid w:val="087F6DC9"/>
    <w:rsid w:val="087F6E95"/>
    <w:rsid w:val="087F6EDF"/>
    <w:rsid w:val="087F6F0E"/>
    <w:rsid w:val="087F6F1C"/>
    <w:rsid w:val="087F6F56"/>
    <w:rsid w:val="087F70F1"/>
    <w:rsid w:val="087F714C"/>
    <w:rsid w:val="087F715F"/>
    <w:rsid w:val="087F7196"/>
    <w:rsid w:val="087F7329"/>
    <w:rsid w:val="087F7342"/>
    <w:rsid w:val="087F7347"/>
    <w:rsid w:val="087F737A"/>
    <w:rsid w:val="087F7415"/>
    <w:rsid w:val="087F74DC"/>
    <w:rsid w:val="087F7501"/>
    <w:rsid w:val="087F753D"/>
    <w:rsid w:val="087F75B0"/>
    <w:rsid w:val="087F764E"/>
    <w:rsid w:val="087F7732"/>
    <w:rsid w:val="087F775C"/>
    <w:rsid w:val="087F79F6"/>
    <w:rsid w:val="087F7A19"/>
    <w:rsid w:val="087F7A1C"/>
    <w:rsid w:val="087F7A2C"/>
    <w:rsid w:val="087F7A76"/>
    <w:rsid w:val="087F7AB7"/>
    <w:rsid w:val="087F7AC2"/>
    <w:rsid w:val="087F7ACA"/>
    <w:rsid w:val="087F7B98"/>
    <w:rsid w:val="087F7BC9"/>
    <w:rsid w:val="087F7BF1"/>
    <w:rsid w:val="087F7D4E"/>
    <w:rsid w:val="087F7D88"/>
    <w:rsid w:val="087F7E1C"/>
    <w:rsid w:val="087F7F72"/>
    <w:rsid w:val="087F7FBF"/>
    <w:rsid w:val="0880003D"/>
    <w:rsid w:val="08800052"/>
    <w:rsid w:val="08800053"/>
    <w:rsid w:val="08800089"/>
    <w:rsid w:val="08800096"/>
    <w:rsid w:val="0880010B"/>
    <w:rsid w:val="08800164"/>
    <w:rsid w:val="088001A9"/>
    <w:rsid w:val="088001D7"/>
    <w:rsid w:val="0880027C"/>
    <w:rsid w:val="088002DC"/>
    <w:rsid w:val="08800352"/>
    <w:rsid w:val="0880038F"/>
    <w:rsid w:val="08800434"/>
    <w:rsid w:val="08800473"/>
    <w:rsid w:val="0880053D"/>
    <w:rsid w:val="08800562"/>
    <w:rsid w:val="08800650"/>
    <w:rsid w:val="0880065A"/>
    <w:rsid w:val="0880074B"/>
    <w:rsid w:val="08800793"/>
    <w:rsid w:val="088007A8"/>
    <w:rsid w:val="0880080A"/>
    <w:rsid w:val="088008DF"/>
    <w:rsid w:val="08800AAA"/>
    <w:rsid w:val="08800AB1"/>
    <w:rsid w:val="08800B1C"/>
    <w:rsid w:val="08800BFD"/>
    <w:rsid w:val="08800C1B"/>
    <w:rsid w:val="08800D37"/>
    <w:rsid w:val="08800D52"/>
    <w:rsid w:val="08800D8A"/>
    <w:rsid w:val="08800DA2"/>
    <w:rsid w:val="08800DD9"/>
    <w:rsid w:val="08800E09"/>
    <w:rsid w:val="08800E1F"/>
    <w:rsid w:val="08800E81"/>
    <w:rsid w:val="08800FE5"/>
    <w:rsid w:val="08800FF9"/>
    <w:rsid w:val="08801193"/>
    <w:rsid w:val="08801215"/>
    <w:rsid w:val="08801230"/>
    <w:rsid w:val="0880126F"/>
    <w:rsid w:val="088012EA"/>
    <w:rsid w:val="0880132E"/>
    <w:rsid w:val="08801337"/>
    <w:rsid w:val="088013F1"/>
    <w:rsid w:val="08801400"/>
    <w:rsid w:val="0880144B"/>
    <w:rsid w:val="088014C2"/>
    <w:rsid w:val="08801634"/>
    <w:rsid w:val="0880164C"/>
    <w:rsid w:val="08801670"/>
    <w:rsid w:val="08801680"/>
    <w:rsid w:val="08801699"/>
    <w:rsid w:val="0880169C"/>
    <w:rsid w:val="08801718"/>
    <w:rsid w:val="08801887"/>
    <w:rsid w:val="08801940"/>
    <w:rsid w:val="08801945"/>
    <w:rsid w:val="08801975"/>
    <w:rsid w:val="0880197A"/>
    <w:rsid w:val="08801A72"/>
    <w:rsid w:val="08801D43"/>
    <w:rsid w:val="08801E11"/>
    <w:rsid w:val="08801EFF"/>
    <w:rsid w:val="08801F3C"/>
    <w:rsid w:val="08801F4E"/>
    <w:rsid w:val="088020DB"/>
    <w:rsid w:val="088020F4"/>
    <w:rsid w:val="08802137"/>
    <w:rsid w:val="0880214D"/>
    <w:rsid w:val="0880223A"/>
    <w:rsid w:val="0880224C"/>
    <w:rsid w:val="088023AD"/>
    <w:rsid w:val="08802464"/>
    <w:rsid w:val="08802698"/>
    <w:rsid w:val="088026B7"/>
    <w:rsid w:val="0880276F"/>
    <w:rsid w:val="08802786"/>
    <w:rsid w:val="088027E6"/>
    <w:rsid w:val="08802823"/>
    <w:rsid w:val="088028B8"/>
    <w:rsid w:val="088028DD"/>
    <w:rsid w:val="0880295C"/>
    <w:rsid w:val="0880296A"/>
    <w:rsid w:val="0880297D"/>
    <w:rsid w:val="088029C0"/>
    <w:rsid w:val="08802AB8"/>
    <w:rsid w:val="08802B22"/>
    <w:rsid w:val="08802B7A"/>
    <w:rsid w:val="08802C11"/>
    <w:rsid w:val="08802C1F"/>
    <w:rsid w:val="08802C87"/>
    <w:rsid w:val="08802D15"/>
    <w:rsid w:val="08802EDF"/>
    <w:rsid w:val="08802F8C"/>
    <w:rsid w:val="0880303E"/>
    <w:rsid w:val="08803041"/>
    <w:rsid w:val="08803105"/>
    <w:rsid w:val="0880315F"/>
    <w:rsid w:val="08803174"/>
    <w:rsid w:val="08803186"/>
    <w:rsid w:val="088031EE"/>
    <w:rsid w:val="08803208"/>
    <w:rsid w:val="0880323E"/>
    <w:rsid w:val="088032AF"/>
    <w:rsid w:val="088032B2"/>
    <w:rsid w:val="088032CA"/>
    <w:rsid w:val="08803310"/>
    <w:rsid w:val="08803325"/>
    <w:rsid w:val="08803326"/>
    <w:rsid w:val="088033BD"/>
    <w:rsid w:val="088034FB"/>
    <w:rsid w:val="088035BF"/>
    <w:rsid w:val="088035EF"/>
    <w:rsid w:val="08803635"/>
    <w:rsid w:val="08803671"/>
    <w:rsid w:val="088036CE"/>
    <w:rsid w:val="088036CF"/>
    <w:rsid w:val="088036DA"/>
    <w:rsid w:val="08803725"/>
    <w:rsid w:val="08803750"/>
    <w:rsid w:val="0880377A"/>
    <w:rsid w:val="088037C7"/>
    <w:rsid w:val="088037D8"/>
    <w:rsid w:val="0880387C"/>
    <w:rsid w:val="0880394F"/>
    <w:rsid w:val="08803A43"/>
    <w:rsid w:val="08803AD9"/>
    <w:rsid w:val="08803E2E"/>
    <w:rsid w:val="08803EA6"/>
    <w:rsid w:val="08803EC5"/>
    <w:rsid w:val="08803FDD"/>
    <w:rsid w:val="08803FEA"/>
    <w:rsid w:val="08804067"/>
    <w:rsid w:val="08804088"/>
    <w:rsid w:val="08804108"/>
    <w:rsid w:val="0880414D"/>
    <w:rsid w:val="08804277"/>
    <w:rsid w:val="088042FC"/>
    <w:rsid w:val="08804579"/>
    <w:rsid w:val="0880462E"/>
    <w:rsid w:val="08804727"/>
    <w:rsid w:val="0880473E"/>
    <w:rsid w:val="08804810"/>
    <w:rsid w:val="08804944"/>
    <w:rsid w:val="088049A2"/>
    <w:rsid w:val="08804A10"/>
    <w:rsid w:val="08804A8D"/>
    <w:rsid w:val="08804C1F"/>
    <w:rsid w:val="08804C4F"/>
    <w:rsid w:val="08804C85"/>
    <w:rsid w:val="08804DBB"/>
    <w:rsid w:val="08804DF7"/>
    <w:rsid w:val="08804E68"/>
    <w:rsid w:val="08804E95"/>
    <w:rsid w:val="08804EDF"/>
    <w:rsid w:val="08804F54"/>
    <w:rsid w:val="08804F66"/>
    <w:rsid w:val="08804F75"/>
    <w:rsid w:val="08804F8F"/>
    <w:rsid w:val="08804F98"/>
    <w:rsid w:val="08805042"/>
    <w:rsid w:val="0880516A"/>
    <w:rsid w:val="08805358"/>
    <w:rsid w:val="088055CD"/>
    <w:rsid w:val="0880562A"/>
    <w:rsid w:val="088056B8"/>
    <w:rsid w:val="08805702"/>
    <w:rsid w:val="08805745"/>
    <w:rsid w:val="0880575D"/>
    <w:rsid w:val="0880579E"/>
    <w:rsid w:val="088057AE"/>
    <w:rsid w:val="088057D6"/>
    <w:rsid w:val="0880582B"/>
    <w:rsid w:val="0880587C"/>
    <w:rsid w:val="088058B1"/>
    <w:rsid w:val="08805933"/>
    <w:rsid w:val="0880594E"/>
    <w:rsid w:val="08805980"/>
    <w:rsid w:val="088059B0"/>
    <w:rsid w:val="088059FE"/>
    <w:rsid w:val="08805B92"/>
    <w:rsid w:val="08805C6E"/>
    <w:rsid w:val="08805CC4"/>
    <w:rsid w:val="08805CEF"/>
    <w:rsid w:val="08805CFA"/>
    <w:rsid w:val="08805D1E"/>
    <w:rsid w:val="08805E7A"/>
    <w:rsid w:val="08805EA5"/>
    <w:rsid w:val="08805EF3"/>
    <w:rsid w:val="08805F4A"/>
    <w:rsid w:val="08805F77"/>
    <w:rsid w:val="08805F90"/>
    <w:rsid w:val="08806001"/>
    <w:rsid w:val="08806100"/>
    <w:rsid w:val="088061F3"/>
    <w:rsid w:val="088063A7"/>
    <w:rsid w:val="08806403"/>
    <w:rsid w:val="08806440"/>
    <w:rsid w:val="08806472"/>
    <w:rsid w:val="088064C1"/>
    <w:rsid w:val="08806571"/>
    <w:rsid w:val="08806675"/>
    <w:rsid w:val="088066C9"/>
    <w:rsid w:val="088066ED"/>
    <w:rsid w:val="08806780"/>
    <w:rsid w:val="08806799"/>
    <w:rsid w:val="088067AE"/>
    <w:rsid w:val="088067E1"/>
    <w:rsid w:val="0880680A"/>
    <w:rsid w:val="0880682F"/>
    <w:rsid w:val="08806886"/>
    <w:rsid w:val="0880689E"/>
    <w:rsid w:val="08806953"/>
    <w:rsid w:val="08806A03"/>
    <w:rsid w:val="08806BCB"/>
    <w:rsid w:val="08806C0E"/>
    <w:rsid w:val="08806D71"/>
    <w:rsid w:val="08806F19"/>
    <w:rsid w:val="0880700B"/>
    <w:rsid w:val="088070CC"/>
    <w:rsid w:val="088070DB"/>
    <w:rsid w:val="08807178"/>
    <w:rsid w:val="08807246"/>
    <w:rsid w:val="08807261"/>
    <w:rsid w:val="08807491"/>
    <w:rsid w:val="088074B7"/>
    <w:rsid w:val="088074DB"/>
    <w:rsid w:val="088074DF"/>
    <w:rsid w:val="088075B9"/>
    <w:rsid w:val="088075E0"/>
    <w:rsid w:val="0880760F"/>
    <w:rsid w:val="08807610"/>
    <w:rsid w:val="08807625"/>
    <w:rsid w:val="08807663"/>
    <w:rsid w:val="08807735"/>
    <w:rsid w:val="0880782B"/>
    <w:rsid w:val="08807869"/>
    <w:rsid w:val="088078A3"/>
    <w:rsid w:val="088078D5"/>
    <w:rsid w:val="088079D8"/>
    <w:rsid w:val="08807A5A"/>
    <w:rsid w:val="08807C51"/>
    <w:rsid w:val="08807C5F"/>
    <w:rsid w:val="08807D42"/>
    <w:rsid w:val="08807DE8"/>
    <w:rsid w:val="08807DFB"/>
    <w:rsid w:val="08807E39"/>
    <w:rsid w:val="08807E57"/>
    <w:rsid w:val="08807E6D"/>
    <w:rsid w:val="08807EB1"/>
    <w:rsid w:val="08807ED9"/>
    <w:rsid w:val="08807EF1"/>
    <w:rsid w:val="088100A1"/>
    <w:rsid w:val="088100C9"/>
    <w:rsid w:val="08810109"/>
    <w:rsid w:val="0881015F"/>
    <w:rsid w:val="088101DA"/>
    <w:rsid w:val="0881020D"/>
    <w:rsid w:val="08810297"/>
    <w:rsid w:val="08810334"/>
    <w:rsid w:val="0881039F"/>
    <w:rsid w:val="088103C0"/>
    <w:rsid w:val="088103CD"/>
    <w:rsid w:val="088103F5"/>
    <w:rsid w:val="08810487"/>
    <w:rsid w:val="088104B0"/>
    <w:rsid w:val="088104DD"/>
    <w:rsid w:val="088106AB"/>
    <w:rsid w:val="088106E5"/>
    <w:rsid w:val="08810707"/>
    <w:rsid w:val="08810723"/>
    <w:rsid w:val="08810845"/>
    <w:rsid w:val="0881087D"/>
    <w:rsid w:val="08810945"/>
    <w:rsid w:val="08810950"/>
    <w:rsid w:val="08810969"/>
    <w:rsid w:val="08810977"/>
    <w:rsid w:val="08810A00"/>
    <w:rsid w:val="08810A46"/>
    <w:rsid w:val="08810A6F"/>
    <w:rsid w:val="08810AC7"/>
    <w:rsid w:val="08810AD1"/>
    <w:rsid w:val="08810B55"/>
    <w:rsid w:val="08810BE4"/>
    <w:rsid w:val="08810C6B"/>
    <w:rsid w:val="08810C88"/>
    <w:rsid w:val="08810CCF"/>
    <w:rsid w:val="08810D06"/>
    <w:rsid w:val="08810D30"/>
    <w:rsid w:val="08810D3D"/>
    <w:rsid w:val="08810D8D"/>
    <w:rsid w:val="08810DC3"/>
    <w:rsid w:val="08810E17"/>
    <w:rsid w:val="08810E30"/>
    <w:rsid w:val="08810EA5"/>
    <w:rsid w:val="08810F0D"/>
    <w:rsid w:val="08810F89"/>
    <w:rsid w:val="0881109B"/>
    <w:rsid w:val="088110AC"/>
    <w:rsid w:val="088110E2"/>
    <w:rsid w:val="08811161"/>
    <w:rsid w:val="088111B6"/>
    <w:rsid w:val="0881121F"/>
    <w:rsid w:val="08811268"/>
    <w:rsid w:val="088112C9"/>
    <w:rsid w:val="088112D0"/>
    <w:rsid w:val="088113F3"/>
    <w:rsid w:val="08811541"/>
    <w:rsid w:val="088115BD"/>
    <w:rsid w:val="088115DE"/>
    <w:rsid w:val="088115FA"/>
    <w:rsid w:val="0881160E"/>
    <w:rsid w:val="08811627"/>
    <w:rsid w:val="08811653"/>
    <w:rsid w:val="088116FB"/>
    <w:rsid w:val="0881178C"/>
    <w:rsid w:val="088117CA"/>
    <w:rsid w:val="088118E1"/>
    <w:rsid w:val="0881199B"/>
    <w:rsid w:val="08811A46"/>
    <w:rsid w:val="08811A52"/>
    <w:rsid w:val="08811A6E"/>
    <w:rsid w:val="08811B7E"/>
    <w:rsid w:val="08811C58"/>
    <w:rsid w:val="08811DB8"/>
    <w:rsid w:val="08812430"/>
    <w:rsid w:val="08812497"/>
    <w:rsid w:val="088125AD"/>
    <w:rsid w:val="088125D6"/>
    <w:rsid w:val="08812673"/>
    <w:rsid w:val="088126C9"/>
    <w:rsid w:val="08812700"/>
    <w:rsid w:val="08812792"/>
    <w:rsid w:val="088127ED"/>
    <w:rsid w:val="088129D4"/>
    <w:rsid w:val="08812A48"/>
    <w:rsid w:val="08812BD0"/>
    <w:rsid w:val="08812CE6"/>
    <w:rsid w:val="08812DEF"/>
    <w:rsid w:val="08812DF5"/>
    <w:rsid w:val="08812E4B"/>
    <w:rsid w:val="08812ECE"/>
    <w:rsid w:val="08812EF6"/>
    <w:rsid w:val="08812F2E"/>
    <w:rsid w:val="08812F78"/>
    <w:rsid w:val="08812F82"/>
    <w:rsid w:val="08812FFE"/>
    <w:rsid w:val="0881305E"/>
    <w:rsid w:val="08813172"/>
    <w:rsid w:val="0881321F"/>
    <w:rsid w:val="08813326"/>
    <w:rsid w:val="08813397"/>
    <w:rsid w:val="08813408"/>
    <w:rsid w:val="08813469"/>
    <w:rsid w:val="088134AD"/>
    <w:rsid w:val="08813620"/>
    <w:rsid w:val="08813726"/>
    <w:rsid w:val="088137F8"/>
    <w:rsid w:val="08813849"/>
    <w:rsid w:val="088139FC"/>
    <w:rsid w:val="08813A96"/>
    <w:rsid w:val="08813B24"/>
    <w:rsid w:val="08813B2D"/>
    <w:rsid w:val="08813B4B"/>
    <w:rsid w:val="08813B8A"/>
    <w:rsid w:val="08813C37"/>
    <w:rsid w:val="08813C77"/>
    <w:rsid w:val="08813E5B"/>
    <w:rsid w:val="08813EB7"/>
    <w:rsid w:val="08813ECF"/>
    <w:rsid w:val="08813EDC"/>
    <w:rsid w:val="08813F5A"/>
    <w:rsid w:val="08813F89"/>
    <w:rsid w:val="08813F9F"/>
    <w:rsid w:val="08813FB7"/>
    <w:rsid w:val="08814109"/>
    <w:rsid w:val="08814264"/>
    <w:rsid w:val="0881427D"/>
    <w:rsid w:val="088143A3"/>
    <w:rsid w:val="088143BE"/>
    <w:rsid w:val="088143C9"/>
    <w:rsid w:val="08814471"/>
    <w:rsid w:val="08814500"/>
    <w:rsid w:val="08814542"/>
    <w:rsid w:val="0881460D"/>
    <w:rsid w:val="0881465C"/>
    <w:rsid w:val="088146F9"/>
    <w:rsid w:val="08814771"/>
    <w:rsid w:val="088147E6"/>
    <w:rsid w:val="08814894"/>
    <w:rsid w:val="08814919"/>
    <w:rsid w:val="088149F9"/>
    <w:rsid w:val="088149FC"/>
    <w:rsid w:val="08814A20"/>
    <w:rsid w:val="08814ABD"/>
    <w:rsid w:val="08814AE0"/>
    <w:rsid w:val="08814B05"/>
    <w:rsid w:val="08814B19"/>
    <w:rsid w:val="08814B4F"/>
    <w:rsid w:val="08814C0A"/>
    <w:rsid w:val="08814C4D"/>
    <w:rsid w:val="08814C52"/>
    <w:rsid w:val="08814D37"/>
    <w:rsid w:val="08814D8A"/>
    <w:rsid w:val="08814D97"/>
    <w:rsid w:val="08814E95"/>
    <w:rsid w:val="08814FD3"/>
    <w:rsid w:val="08814FE1"/>
    <w:rsid w:val="08815021"/>
    <w:rsid w:val="08815065"/>
    <w:rsid w:val="088150DB"/>
    <w:rsid w:val="088150FC"/>
    <w:rsid w:val="08815172"/>
    <w:rsid w:val="0881518C"/>
    <w:rsid w:val="088151B5"/>
    <w:rsid w:val="08815318"/>
    <w:rsid w:val="0881532C"/>
    <w:rsid w:val="0881533E"/>
    <w:rsid w:val="088153C2"/>
    <w:rsid w:val="0881543B"/>
    <w:rsid w:val="0881544C"/>
    <w:rsid w:val="088154CB"/>
    <w:rsid w:val="0881551B"/>
    <w:rsid w:val="08815580"/>
    <w:rsid w:val="088155BD"/>
    <w:rsid w:val="08815609"/>
    <w:rsid w:val="08815614"/>
    <w:rsid w:val="0881563E"/>
    <w:rsid w:val="08815644"/>
    <w:rsid w:val="08815726"/>
    <w:rsid w:val="0881579B"/>
    <w:rsid w:val="088157F4"/>
    <w:rsid w:val="08815857"/>
    <w:rsid w:val="088158D1"/>
    <w:rsid w:val="0881590B"/>
    <w:rsid w:val="088159DA"/>
    <w:rsid w:val="08815A49"/>
    <w:rsid w:val="08815AFD"/>
    <w:rsid w:val="08815B7D"/>
    <w:rsid w:val="08815C87"/>
    <w:rsid w:val="08815CC1"/>
    <w:rsid w:val="08815DB7"/>
    <w:rsid w:val="08815DB9"/>
    <w:rsid w:val="08815DC6"/>
    <w:rsid w:val="08815E09"/>
    <w:rsid w:val="08815E36"/>
    <w:rsid w:val="08815E5D"/>
    <w:rsid w:val="08815EA3"/>
    <w:rsid w:val="08815EAD"/>
    <w:rsid w:val="08815EB6"/>
    <w:rsid w:val="08815EBE"/>
    <w:rsid w:val="08815EC8"/>
    <w:rsid w:val="08815EE4"/>
    <w:rsid w:val="08815FD1"/>
    <w:rsid w:val="08815FF5"/>
    <w:rsid w:val="088160E7"/>
    <w:rsid w:val="0881610D"/>
    <w:rsid w:val="08816167"/>
    <w:rsid w:val="0881617C"/>
    <w:rsid w:val="088161D3"/>
    <w:rsid w:val="088161D7"/>
    <w:rsid w:val="088161E0"/>
    <w:rsid w:val="08816290"/>
    <w:rsid w:val="08816303"/>
    <w:rsid w:val="0881637B"/>
    <w:rsid w:val="0881639D"/>
    <w:rsid w:val="08816416"/>
    <w:rsid w:val="08816509"/>
    <w:rsid w:val="088165EA"/>
    <w:rsid w:val="08816696"/>
    <w:rsid w:val="088167DC"/>
    <w:rsid w:val="08816805"/>
    <w:rsid w:val="08816869"/>
    <w:rsid w:val="08816903"/>
    <w:rsid w:val="08816A56"/>
    <w:rsid w:val="08816B6A"/>
    <w:rsid w:val="08816B85"/>
    <w:rsid w:val="08816C21"/>
    <w:rsid w:val="08816C88"/>
    <w:rsid w:val="08816CA5"/>
    <w:rsid w:val="08816D0B"/>
    <w:rsid w:val="08816D2C"/>
    <w:rsid w:val="08816D38"/>
    <w:rsid w:val="08816E13"/>
    <w:rsid w:val="08816E73"/>
    <w:rsid w:val="08816F28"/>
    <w:rsid w:val="0881707D"/>
    <w:rsid w:val="08817170"/>
    <w:rsid w:val="08817184"/>
    <w:rsid w:val="088171CD"/>
    <w:rsid w:val="088172B9"/>
    <w:rsid w:val="088172F5"/>
    <w:rsid w:val="08817334"/>
    <w:rsid w:val="08817379"/>
    <w:rsid w:val="0881740A"/>
    <w:rsid w:val="088174D8"/>
    <w:rsid w:val="088174F8"/>
    <w:rsid w:val="08817502"/>
    <w:rsid w:val="08817507"/>
    <w:rsid w:val="08817547"/>
    <w:rsid w:val="0881757D"/>
    <w:rsid w:val="08817583"/>
    <w:rsid w:val="088175B2"/>
    <w:rsid w:val="0881764E"/>
    <w:rsid w:val="08817685"/>
    <w:rsid w:val="0881768B"/>
    <w:rsid w:val="088176FF"/>
    <w:rsid w:val="0881779B"/>
    <w:rsid w:val="08817871"/>
    <w:rsid w:val="08817971"/>
    <w:rsid w:val="088179AA"/>
    <w:rsid w:val="08817A19"/>
    <w:rsid w:val="08817AA8"/>
    <w:rsid w:val="08817AD1"/>
    <w:rsid w:val="08817AFD"/>
    <w:rsid w:val="08817B5D"/>
    <w:rsid w:val="08817BC3"/>
    <w:rsid w:val="08817E2E"/>
    <w:rsid w:val="08817E4F"/>
    <w:rsid w:val="08817E63"/>
    <w:rsid w:val="08817EAB"/>
    <w:rsid w:val="08817F85"/>
    <w:rsid w:val="08817FC8"/>
    <w:rsid w:val="0882003A"/>
    <w:rsid w:val="08820063"/>
    <w:rsid w:val="08820096"/>
    <w:rsid w:val="088200ED"/>
    <w:rsid w:val="08820171"/>
    <w:rsid w:val="08820198"/>
    <w:rsid w:val="088201B8"/>
    <w:rsid w:val="088202B1"/>
    <w:rsid w:val="088203F0"/>
    <w:rsid w:val="0882045A"/>
    <w:rsid w:val="088204CA"/>
    <w:rsid w:val="0882057E"/>
    <w:rsid w:val="08820595"/>
    <w:rsid w:val="088205C0"/>
    <w:rsid w:val="088205E2"/>
    <w:rsid w:val="0882068E"/>
    <w:rsid w:val="08820742"/>
    <w:rsid w:val="088207A6"/>
    <w:rsid w:val="088207AB"/>
    <w:rsid w:val="088207EA"/>
    <w:rsid w:val="088207FF"/>
    <w:rsid w:val="08820807"/>
    <w:rsid w:val="08820854"/>
    <w:rsid w:val="088208A8"/>
    <w:rsid w:val="08820902"/>
    <w:rsid w:val="08820947"/>
    <w:rsid w:val="08820E5D"/>
    <w:rsid w:val="08820E9B"/>
    <w:rsid w:val="08820FF3"/>
    <w:rsid w:val="08821065"/>
    <w:rsid w:val="08821078"/>
    <w:rsid w:val="088210DA"/>
    <w:rsid w:val="08821118"/>
    <w:rsid w:val="088211FA"/>
    <w:rsid w:val="08821225"/>
    <w:rsid w:val="08821276"/>
    <w:rsid w:val="0882130A"/>
    <w:rsid w:val="088213E2"/>
    <w:rsid w:val="08821416"/>
    <w:rsid w:val="0882147A"/>
    <w:rsid w:val="0882157A"/>
    <w:rsid w:val="088215A0"/>
    <w:rsid w:val="088216F7"/>
    <w:rsid w:val="08821763"/>
    <w:rsid w:val="088217F9"/>
    <w:rsid w:val="08821809"/>
    <w:rsid w:val="08821935"/>
    <w:rsid w:val="0882198D"/>
    <w:rsid w:val="08821A07"/>
    <w:rsid w:val="08821A3C"/>
    <w:rsid w:val="08821AF7"/>
    <w:rsid w:val="08821BA3"/>
    <w:rsid w:val="08821BAA"/>
    <w:rsid w:val="08821C00"/>
    <w:rsid w:val="08821C8A"/>
    <w:rsid w:val="08821ED2"/>
    <w:rsid w:val="08821F3A"/>
    <w:rsid w:val="08821F3B"/>
    <w:rsid w:val="08821F5E"/>
    <w:rsid w:val="08821FE0"/>
    <w:rsid w:val="0882202D"/>
    <w:rsid w:val="0882203E"/>
    <w:rsid w:val="088220C8"/>
    <w:rsid w:val="088220FA"/>
    <w:rsid w:val="08822180"/>
    <w:rsid w:val="08822259"/>
    <w:rsid w:val="088222B7"/>
    <w:rsid w:val="088222BF"/>
    <w:rsid w:val="088222C2"/>
    <w:rsid w:val="08822390"/>
    <w:rsid w:val="088223F4"/>
    <w:rsid w:val="088224FD"/>
    <w:rsid w:val="0882266D"/>
    <w:rsid w:val="088226C4"/>
    <w:rsid w:val="08822701"/>
    <w:rsid w:val="088228C0"/>
    <w:rsid w:val="088228CF"/>
    <w:rsid w:val="088228D0"/>
    <w:rsid w:val="088228E5"/>
    <w:rsid w:val="088229DD"/>
    <w:rsid w:val="08822B9B"/>
    <w:rsid w:val="08822C23"/>
    <w:rsid w:val="08822C50"/>
    <w:rsid w:val="08822CA2"/>
    <w:rsid w:val="08822D67"/>
    <w:rsid w:val="08822DE3"/>
    <w:rsid w:val="08822E9D"/>
    <w:rsid w:val="08822EE5"/>
    <w:rsid w:val="08822F1E"/>
    <w:rsid w:val="08822F23"/>
    <w:rsid w:val="08822FC0"/>
    <w:rsid w:val="088230A7"/>
    <w:rsid w:val="088232EF"/>
    <w:rsid w:val="08823301"/>
    <w:rsid w:val="08823302"/>
    <w:rsid w:val="08823306"/>
    <w:rsid w:val="0882330A"/>
    <w:rsid w:val="088233A3"/>
    <w:rsid w:val="0882340F"/>
    <w:rsid w:val="0882344E"/>
    <w:rsid w:val="08823478"/>
    <w:rsid w:val="08823481"/>
    <w:rsid w:val="088234AA"/>
    <w:rsid w:val="088234CC"/>
    <w:rsid w:val="088236B3"/>
    <w:rsid w:val="088236D0"/>
    <w:rsid w:val="088236EE"/>
    <w:rsid w:val="0882370A"/>
    <w:rsid w:val="08823813"/>
    <w:rsid w:val="08823822"/>
    <w:rsid w:val="08823833"/>
    <w:rsid w:val="0882383C"/>
    <w:rsid w:val="08823952"/>
    <w:rsid w:val="0882395F"/>
    <w:rsid w:val="088239A4"/>
    <w:rsid w:val="08823AE1"/>
    <w:rsid w:val="08823AE3"/>
    <w:rsid w:val="08823B0C"/>
    <w:rsid w:val="08823B39"/>
    <w:rsid w:val="08823BEA"/>
    <w:rsid w:val="08823BF3"/>
    <w:rsid w:val="08823C45"/>
    <w:rsid w:val="08823C8D"/>
    <w:rsid w:val="08823E30"/>
    <w:rsid w:val="08823E4C"/>
    <w:rsid w:val="08823F4F"/>
    <w:rsid w:val="08823FD6"/>
    <w:rsid w:val="0882400C"/>
    <w:rsid w:val="08824089"/>
    <w:rsid w:val="0882409B"/>
    <w:rsid w:val="088240AD"/>
    <w:rsid w:val="0882410F"/>
    <w:rsid w:val="08824188"/>
    <w:rsid w:val="088241F1"/>
    <w:rsid w:val="08824202"/>
    <w:rsid w:val="08824266"/>
    <w:rsid w:val="08824329"/>
    <w:rsid w:val="088243E6"/>
    <w:rsid w:val="0882444C"/>
    <w:rsid w:val="0882448C"/>
    <w:rsid w:val="088244B9"/>
    <w:rsid w:val="08824567"/>
    <w:rsid w:val="08824710"/>
    <w:rsid w:val="08824748"/>
    <w:rsid w:val="088247F8"/>
    <w:rsid w:val="088248FE"/>
    <w:rsid w:val="08824907"/>
    <w:rsid w:val="0882499B"/>
    <w:rsid w:val="088249DB"/>
    <w:rsid w:val="08824B07"/>
    <w:rsid w:val="08824B89"/>
    <w:rsid w:val="08824BC8"/>
    <w:rsid w:val="08824CDA"/>
    <w:rsid w:val="08824DBD"/>
    <w:rsid w:val="08824E9F"/>
    <w:rsid w:val="08824EAC"/>
    <w:rsid w:val="08824F70"/>
    <w:rsid w:val="08824F86"/>
    <w:rsid w:val="08824FBC"/>
    <w:rsid w:val="088250A7"/>
    <w:rsid w:val="08825268"/>
    <w:rsid w:val="088252E4"/>
    <w:rsid w:val="08825328"/>
    <w:rsid w:val="0882536D"/>
    <w:rsid w:val="088256AC"/>
    <w:rsid w:val="08825744"/>
    <w:rsid w:val="0882574A"/>
    <w:rsid w:val="08825995"/>
    <w:rsid w:val="088259B1"/>
    <w:rsid w:val="088259DB"/>
    <w:rsid w:val="08825A25"/>
    <w:rsid w:val="08825A40"/>
    <w:rsid w:val="08825C46"/>
    <w:rsid w:val="08825C7E"/>
    <w:rsid w:val="08825CF2"/>
    <w:rsid w:val="08825D1A"/>
    <w:rsid w:val="08825D7A"/>
    <w:rsid w:val="08825D8A"/>
    <w:rsid w:val="08825F06"/>
    <w:rsid w:val="0882612F"/>
    <w:rsid w:val="08826137"/>
    <w:rsid w:val="088261C3"/>
    <w:rsid w:val="088262AF"/>
    <w:rsid w:val="0882634E"/>
    <w:rsid w:val="08826410"/>
    <w:rsid w:val="08826444"/>
    <w:rsid w:val="088264DD"/>
    <w:rsid w:val="08826666"/>
    <w:rsid w:val="088266F3"/>
    <w:rsid w:val="08826803"/>
    <w:rsid w:val="08826840"/>
    <w:rsid w:val="08826845"/>
    <w:rsid w:val="0882684B"/>
    <w:rsid w:val="08826888"/>
    <w:rsid w:val="08826995"/>
    <w:rsid w:val="088269BB"/>
    <w:rsid w:val="08826ACE"/>
    <w:rsid w:val="08826AEE"/>
    <w:rsid w:val="08826B05"/>
    <w:rsid w:val="08826B1A"/>
    <w:rsid w:val="08826B2B"/>
    <w:rsid w:val="08826B67"/>
    <w:rsid w:val="08826BAF"/>
    <w:rsid w:val="08826BD8"/>
    <w:rsid w:val="08826C71"/>
    <w:rsid w:val="08826D2A"/>
    <w:rsid w:val="08826DAB"/>
    <w:rsid w:val="08826DFB"/>
    <w:rsid w:val="08826E1E"/>
    <w:rsid w:val="08826E86"/>
    <w:rsid w:val="08826F0E"/>
    <w:rsid w:val="08826FBF"/>
    <w:rsid w:val="08826FEA"/>
    <w:rsid w:val="08827016"/>
    <w:rsid w:val="0882708C"/>
    <w:rsid w:val="08827092"/>
    <w:rsid w:val="0882713E"/>
    <w:rsid w:val="088271F8"/>
    <w:rsid w:val="0882722E"/>
    <w:rsid w:val="0882726B"/>
    <w:rsid w:val="088272C2"/>
    <w:rsid w:val="088272D4"/>
    <w:rsid w:val="088274D2"/>
    <w:rsid w:val="0882752E"/>
    <w:rsid w:val="0882771A"/>
    <w:rsid w:val="088277C2"/>
    <w:rsid w:val="08827A45"/>
    <w:rsid w:val="08827A7B"/>
    <w:rsid w:val="08827ACB"/>
    <w:rsid w:val="08827B65"/>
    <w:rsid w:val="08827BA4"/>
    <w:rsid w:val="08827C05"/>
    <w:rsid w:val="08827C50"/>
    <w:rsid w:val="08827CF8"/>
    <w:rsid w:val="08827D31"/>
    <w:rsid w:val="08827D8B"/>
    <w:rsid w:val="08827DBF"/>
    <w:rsid w:val="08827DEC"/>
    <w:rsid w:val="08827E00"/>
    <w:rsid w:val="08827E3C"/>
    <w:rsid w:val="08827E7E"/>
    <w:rsid w:val="0883005D"/>
    <w:rsid w:val="08830090"/>
    <w:rsid w:val="088300C8"/>
    <w:rsid w:val="08830169"/>
    <w:rsid w:val="08830184"/>
    <w:rsid w:val="08830236"/>
    <w:rsid w:val="088302E4"/>
    <w:rsid w:val="088302F0"/>
    <w:rsid w:val="0883041B"/>
    <w:rsid w:val="08830428"/>
    <w:rsid w:val="08830488"/>
    <w:rsid w:val="088304DC"/>
    <w:rsid w:val="08830506"/>
    <w:rsid w:val="0883057E"/>
    <w:rsid w:val="0883063D"/>
    <w:rsid w:val="08830690"/>
    <w:rsid w:val="088306A6"/>
    <w:rsid w:val="08830750"/>
    <w:rsid w:val="08830757"/>
    <w:rsid w:val="088307BD"/>
    <w:rsid w:val="0883092C"/>
    <w:rsid w:val="08830963"/>
    <w:rsid w:val="088309AF"/>
    <w:rsid w:val="088309D5"/>
    <w:rsid w:val="08830A83"/>
    <w:rsid w:val="08830A95"/>
    <w:rsid w:val="08830B0D"/>
    <w:rsid w:val="08830B3B"/>
    <w:rsid w:val="08830B7B"/>
    <w:rsid w:val="08830C01"/>
    <w:rsid w:val="08830C4A"/>
    <w:rsid w:val="08830C98"/>
    <w:rsid w:val="08830CC4"/>
    <w:rsid w:val="08830CE8"/>
    <w:rsid w:val="08830D04"/>
    <w:rsid w:val="08830D0B"/>
    <w:rsid w:val="08830D43"/>
    <w:rsid w:val="08830D76"/>
    <w:rsid w:val="08830DC2"/>
    <w:rsid w:val="08830DCB"/>
    <w:rsid w:val="08830DD9"/>
    <w:rsid w:val="08830DE8"/>
    <w:rsid w:val="08830E54"/>
    <w:rsid w:val="08830F21"/>
    <w:rsid w:val="088310AB"/>
    <w:rsid w:val="08831283"/>
    <w:rsid w:val="08831323"/>
    <w:rsid w:val="088313CC"/>
    <w:rsid w:val="0883146A"/>
    <w:rsid w:val="088314EE"/>
    <w:rsid w:val="08831503"/>
    <w:rsid w:val="0883152E"/>
    <w:rsid w:val="0883156C"/>
    <w:rsid w:val="08831610"/>
    <w:rsid w:val="08831677"/>
    <w:rsid w:val="08831693"/>
    <w:rsid w:val="088317F3"/>
    <w:rsid w:val="08831928"/>
    <w:rsid w:val="0883193D"/>
    <w:rsid w:val="0883198F"/>
    <w:rsid w:val="088319C1"/>
    <w:rsid w:val="088319F2"/>
    <w:rsid w:val="08831B6B"/>
    <w:rsid w:val="08831BA6"/>
    <w:rsid w:val="08831BD6"/>
    <w:rsid w:val="08831C07"/>
    <w:rsid w:val="08831C75"/>
    <w:rsid w:val="08831CAC"/>
    <w:rsid w:val="08831CF5"/>
    <w:rsid w:val="08831CF6"/>
    <w:rsid w:val="08831D13"/>
    <w:rsid w:val="08831DA1"/>
    <w:rsid w:val="08831DDB"/>
    <w:rsid w:val="08831E4C"/>
    <w:rsid w:val="08831F8B"/>
    <w:rsid w:val="08831F94"/>
    <w:rsid w:val="08831FA1"/>
    <w:rsid w:val="08832125"/>
    <w:rsid w:val="0883212F"/>
    <w:rsid w:val="08832193"/>
    <w:rsid w:val="088321AF"/>
    <w:rsid w:val="08832205"/>
    <w:rsid w:val="088322FC"/>
    <w:rsid w:val="08832393"/>
    <w:rsid w:val="088323A2"/>
    <w:rsid w:val="08832409"/>
    <w:rsid w:val="0883255C"/>
    <w:rsid w:val="08832611"/>
    <w:rsid w:val="0883267E"/>
    <w:rsid w:val="0883274D"/>
    <w:rsid w:val="088328F9"/>
    <w:rsid w:val="08832942"/>
    <w:rsid w:val="08832981"/>
    <w:rsid w:val="088329BB"/>
    <w:rsid w:val="088329D9"/>
    <w:rsid w:val="08832AC2"/>
    <w:rsid w:val="08832ADD"/>
    <w:rsid w:val="08832B0F"/>
    <w:rsid w:val="08832B94"/>
    <w:rsid w:val="08832B9B"/>
    <w:rsid w:val="08832BBD"/>
    <w:rsid w:val="08832BCF"/>
    <w:rsid w:val="08832C9F"/>
    <w:rsid w:val="08832CBE"/>
    <w:rsid w:val="08832D96"/>
    <w:rsid w:val="08832E04"/>
    <w:rsid w:val="08832F19"/>
    <w:rsid w:val="08832F6A"/>
    <w:rsid w:val="08832F7B"/>
    <w:rsid w:val="0883301B"/>
    <w:rsid w:val="08833020"/>
    <w:rsid w:val="0883306C"/>
    <w:rsid w:val="0883307E"/>
    <w:rsid w:val="088330B3"/>
    <w:rsid w:val="088330CF"/>
    <w:rsid w:val="08833121"/>
    <w:rsid w:val="0883313B"/>
    <w:rsid w:val="08833159"/>
    <w:rsid w:val="088331C4"/>
    <w:rsid w:val="088333B0"/>
    <w:rsid w:val="08833475"/>
    <w:rsid w:val="08833567"/>
    <w:rsid w:val="088335B7"/>
    <w:rsid w:val="088338E7"/>
    <w:rsid w:val="088338EF"/>
    <w:rsid w:val="0883393A"/>
    <w:rsid w:val="0883395A"/>
    <w:rsid w:val="08833A54"/>
    <w:rsid w:val="08833A99"/>
    <w:rsid w:val="08833B5E"/>
    <w:rsid w:val="08833B6C"/>
    <w:rsid w:val="08833BBC"/>
    <w:rsid w:val="08833BDD"/>
    <w:rsid w:val="08833C04"/>
    <w:rsid w:val="08833C0D"/>
    <w:rsid w:val="08833C97"/>
    <w:rsid w:val="08833D4A"/>
    <w:rsid w:val="08833D6E"/>
    <w:rsid w:val="08833DAC"/>
    <w:rsid w:val="08833FD6"/>
    <w:rsid w:val="08833FD8"/>
    <w:rsid w:val="08834073"/>
    <w:rsid w:val="08834109"/>
    <w:rsid w:val="0883421D"/>
    <w:rsid w:val="088342F8"/>
    <w:rsid w:val="0883435B"/>
    <w:rsid w:val="08834364"/>
    <w:rsid w:val="08834429"/>
    <w:rsid w:val="0883444C"/>
    <w:rsid w:val="0883464E"/>
    <w:rsid w:val="08834658"/>
    <w:rsid w:val="0883466E"/>
    <w:rsid w:val="088346BB"/>
    <w:rsid w:val="088347A5"/>
    <w:rsid w:val="08834858"/>
    <w:rsid w:val="088348DF"/>
    <w:rsid w:val="08834944"/>
    <w:rsid w:val="08834949"/>
    <w:rsid w:val="08834A53"/>
    <w:rsid w:val="08834ACA"/>
    <w:rsid w:val="08834B1E"/>
    <w:rsid w:val="08834B64"/>
    <w:rsid w:val="08834BA4"/>
    <w:rsid w:val="08834BA7"/>
    <w:rsid w:val="08834BEA"/>
    <w:rsid w:val="08834C9A"/>
    <w:rsid w:val="08834CD5"/>
    <w:rsid w:val="08834CD7"/>
    <w:rsid w:val="08834D18"/>
    <w:rsid w:val="08834D44"/>
    <w:rsid w:val="08834E04"/>
    <w:rsid w:val="08834EAC"/>
    <w:rsid w:val="08834EC7"/>
    <w:rsid w:val="08834F2A"/>
    <w:rsid w:val="08834F87"/>
    <w:rsid w:val="08834FCB"/>
    <w:rsid w:val="08834FF9"/>
    <w:rsid w:val="088350D6"/>
    <w:rsid w:val="08835177"/>
    <w:rsid w:val="08835204"/>
    <w:rsid w:val="08835257"/>
    <w:rsid w:val="0883525B"/>
    <w:rsid w:val="08835326"/>
    <w:rsid w:val="08835338"/>
    <w:rsid w:val="08835359"/>
    <w:rsid w:val="088353AB"/>
    <w:rsid w:val="088353EF"/>
    <w:rsid w:val="0883542E"/>
    <w:rsid w:val="0883544C"/>
    <w:rsid w:val="08835464"/>
    <w:rsid w:val="08835504"/>
    <w:rsid w:val="08835596"/>
    <w:rsid w:val="08835598"/>
    <w:rsid w:val="0883559A"/>
    <w:rsid w:val="088355D5"/>
    <w:rsid w:val="088355EF"/>
    <w:rsid w:val="0883566E"/>
    <w:rsid w:val="088356F5"/>
    <w:rsid w:val="08835712"/>
    <w:rsid w:val="08835715"/>
    <w:rsid w:val="0883586D"/>
    <w:rsid w:val="0883588B"/>
    <w:rsid w:val="08835927"/>
    <w:rsid w:val="08835939"/>
    <w:rsid w:val="088359F5"/>
    <w:rsid w:val="08835A7A"/>
    <w:rsid w:val="08835AF6"/>
    <w:rsid w:val="08835B36"/>
    <w:rsid w:val="08835BB7"/>
    <w:rsid w:val="08835C99"/>
    <w:rsid w:val="08835CA8"/>
    <w:rsid w:val="08835D18"/>
    <w:rsid w:val="08835D53"/>
    <w:rsid w:val="08835D73"/>
    <w:rsid w:val="08835D88"/>
    <w:rsid w:val="08835E59"/>
    <w:rsid w:val="08835F1E"/>
    <w:rsid w:val="08835F35"/>
    <w:rsid w:val="08835F45"/>
    <w:rsid w:val="08835F4C"/>
    <w:rsid w:val="08835FDF"/>
    <w:rsid w:val="08836080"/>
    <w:rsid w:val="0883609B"/>
    <w:rsid w:val="088360DA"/>
    <w:rsid w:val="088362DD"/>
    <w:rsid w:val="088362E7"/>
    <w:rsid w:val="0883636F"/>
    <w:rsid w:val="088363B7"/>
    <w:rsid w:val="088363FF"/>
    <w:rsid w:val="088364A0"/>
    <w:rsid w:val="088364E4"/>
    <w:rsid w:val="0883668F"/>
    <w:rsid w:val="08836724"/>
    <w:rsid w:val="0883673E"/>
    <w:rsid w:val="0883678F"/>
    <w:rsid w:val="0883682D"/>
    <w:rsid w:val="08836877"/>
    <w:rsid w:val="088368AA"/>
    <w:rsid w:val="08836934"/>
    <w:rsid w:val="0883694B"/>
    <w:rsid w:val="0883694F"/>
    <w:rsid w:val="088369A3"/>
    <w:rsid w:val="08836A2B"/>
    <w:rsid w:val="08836A78"/>
    <w:rsid w:val="08836B0B"/>
    <w:rsid w:val="08836B5C"/>
    <w:rsid w:val="08836B71"/>
    <w:rsid w:val="08836C43"/>
    <w:rsid w:val="08836D01"/>
    <w:rsid w:val="08836D36"/>
    <w:rsid w:val="08836E54"/>
    <w:rsid w:val="08836EEA"/>
    <w:rsid w:val="08836F94"/>
    <w:rsid w:val="088370B1"/>
    <w:rsid w:val="08837108"/>
    <w:rsid w:val="0883717E"/>
    <w:rsid w:val="088371FA"/>
    <w:rsid w:val="088372D4"/>
    <w:rsid w:val="08837390"/>
    <w:rsid w:val="0883742C"/>
    <w:rsid w:val="088374FC"/>
    <w:rsid w:val="08837508"/>
    <w:rsid w:val="08837560"/>
    <w:rsid w:val="0883758B"/>
    <w:rsid w:val="08837659"/>
    <w:rsid w:val="08837715"/>
    <w:rsid w:val="0883771D"/>
    <w:rsid w:val="0883775D"/>
    <w:rsid w:val="0883780D"/>
    <w:rsid w:val="0883782B"/>
    <w:rsid w:val="088378A5"/>
    <w:rsid w:val="08837AE2"/>
    <w:rsid w:val="08837B08"/>
    <w:rsid w:val="08837B25"/>
    <w:rsid w:val="08837B99"/>
    <w:rsid w:val="08837BC9"/>
    <w:rsid w:val="08837C9C"/>
    <w:rsid w:val="08837D1C"/>
    <w:rsid w:val="08837D58"/>
    <w:rsid w:val="08837D9A"/>
    <w:rsid w:val="08837DA1"/>
    <w:rsid w:val="08837F2F"/>
    <w:rsid w:val="08837F8E"/>
    <w:rsid w:val="0884003C"/>
    <w:rsid w:val="0884005F"/>
    <w:rsid w:val="0884007E"/>
    <w:rsid w:val="088400DF"/>
    <w:rsid w:val="0884015C"/>
    <w:rsid w:val="088401C0"/>
    <w:rsid w:val="08840242"/>
    <w:rsid w:val="0884027E"/>
    <w:rsid w:val="0884028A"/>
    <w:rsid w:val="088402E4"/>
    <w:rsid w:val="08840307"/>
    <w:rsid w:val="088403FC"/>
    <w:rsid w:val="0884044F"/>
    <w:rsid w:val="088404BA"/>
    <w:rsid w:val="08840501"/>
    <w:rsid w:val="08840540"/>
    <w:rsid w:val="088405B8"/>
    <w:rsid w:val="088405D2"/>
    <w:rsid w:val="088405FA"/>
    <w:rsid w:val="0884067D"/>
    <w:rsid w:val="088406DE"/>
    <w:rsid w:val="08840723"/>
    <w:rsid w:val="088407C4"/>
    <w:rsid w:val="088407C6"/>
    <w:rsid w:val="0884083F"/>
    <w:rsid w:val="088408FE"/>
    <w:rsid w:val="088409B2"/>
    <w:rsid w:val="08840ADC"/>
    <w:rsid w:val="08840B39"/>
    <w:rsid w:val="08840B77"/>
    <w:rsid w:val="08840C5C"/>
    <w:rsid w:val="08840CC8"/>
    <w:rsid w:val="08840D7D"/>
    <w:rsid w:val="08840DAC"/>
    <w:rsid w:val="08840E07"/>
    <w:rsid w:val="08840EE3"/>
    <w:rsid w:val="08840EFF"/>
    <w:rsid w:val="08840F8F"/>
    <w:rsid w:val="08841137"/>
    <w:rsid w:val="08841214"/>
    <w:rsid w:val="0884121D"/>
    <w:rsid w:val="08841235"/>
    <w:rsid w:val="088412BB"/>
    <w:rsid w:val="08841321"/>
    <w:rsid w:val="0884139E"/>
    <w:rsid w:val="08841476"/>
    <w:rsid w:val="0884148C"/>
    <w:rsid w:val="088414EA"/>
    <w:rsid w:val="08841546"/>
    <w:rsid w:val="088416AD"/>
    <w:rsid w:val="08841751"/>
    <w:rsid w:val="088417E6"/>
    <w:rsid w:val="0884182D"/>
    <w:rsid w:val="0884183D"/>
    <w:rsid w:val="088418B3"/>
    <w:rsid w:val="088418D5"/>
    <w:rsid w:val="08841948"/>
    <w:rsid w:val="08841973"/>
    <w:rsid w:val="088419B6"/>
    <w:rsid w:val="088419C2"/>
    <w:rsid w:val="08841A40"/>
    <w:rsid w:val="08841A6B"/>
    <w:rsid w:val="08841A94"/>
    <w:rsid w:val="08841B47"/>
    <w:rsid w:val="08841B6D"/>
    <w:rsid w:val="08841B8C"/>
    <w:rsid w:val="08841BC4"/>
    <w:rsid w:val="08841D18"/>
    <w:rsid w:val="08841D9B"/>
    <w:rsid w:val="08841EA0"/>
    <w:rsid w:val="08841F2D"/>
    <w:rsid w:val="0884203D"/>
    <w:rsid w:val="0884212C"/>
    <w:rsid w:val="08842154"/>
    <w:rsid w:val="0884219F"/>
    <w:rsid w:val="088421BA"/>
    <w:rsid w:val="088422E5"/>
    <w:rsid w:val="08842345"/>
    <w:rsid w:val="08842399"/>
    <w:rsid w:val="088423B8"/>
    <w:rsid w:val="08842405"/>
    <w:rsid w:val="08842453"/>
    <w:rsid w:val="0884245B"/>
    <w:rsid w:val="088424CF"/>
    <w:rsid w:val="0884260C"/>
    <w:rsid w:val="088427B8"/>
    <w:rsid w:val="08842853"/>
    <w:rsid w:val="08842954"/>
    <w:rsid w:val="08842B53"/>
    <w:rsid w:val="08842B74"/>
    <w:rsid w:val="08842B76"/>
    <w:rsid w:val="08842C43"/>
    <w:rsid w:val="08842C88"/>
    <w:rsid w:val="08842CC9"/>
    <w:rsid w:val="08842E9A"/>
    <w:rsid w:val="08842F08"/>
    <w:rsid w:val="08842F7E"/>
    <w:rsid w:val="08842FA4"/>
    <w:rsid w:val="08843036"/>
    <w:rsid w:val="08843105"/>
    <w:rsid w:val="08843126"/>
    <w:rsid w:val="08843164"/>
    <w:rsid w:val="08843281"/>
    <w:rsid w:val="088432A7"/>
    <w:rsid w:val="08843450"/>
    <w:rsid w:val="088434A5"/>
    <w:rsid w:val="088434BA"/>
    <w:rsid w:val="088435BE"/>
    <w:rsid w:val="08843604"/>
    <w:rsid w:val="08843723"/>
    <w:rsid w:val="08843724"/>
    <w:rsid w:val="08843745"/>
    <w:rsid w:val="088437C1"/>
    <w:rsid w:val="088437DB"/>
    <w:rsid w:val="088438A4"/>
    <w:rsid w:val="088438B4"/>
    <w:rsid w:val="088438D3"/>
    <w:rsid w:val="08843902"/>
    <w:rsid w:val="0884395C"/>
    <w:rsid w:val="0884399B"/>
    <w:rsid w:val="088439A3"/>
    <w:rsid w:val="088439D7"/>
    <w:rsid w:val="088439EC"/>
    <w:rsid w:val="088439F0"/>
    <w:rsid w:val="08843AAF"/>
    <w:rsid w:val="08843AEC"/>
    <w:rsid w:val="08843BC5"/>
    <w:rsid w:val="08843BD8"/>
    <w:rsid w:val="08843CEF"/>
    <w:rsid w:val="08843D0A"/>
    <w:rsid w:val="08843D5B"/>
    <w:rsid w:val="08843DCD"/>
    <w:rsid w:val="08843EAE"/>
    <w:rsid w:val="08843F7A"/>
    <w:rsid w:val="08843F82"/>
    <w:rsid w:val="08843FF6"/>
    <w:rsid w:val="08843FFA"/>
    <w:rsid w:val="0884406C"/>
    <w:rsid w:val="088440A6"/>
    <w:rsid w:val="0884416C"/>
    <w:rsid w:val="0884416E"/>
    <w:rsid w:val="08844176"/>
    <w:rsid w:val="0884419E"/>
    <w:rsid w:val="08844264"/>
    <w:rsid w:val="08844290"/>
    <w:rsid w:val="08844338"/>
    <w:rsid w:val="08844339"/>
    <w:rsid w:val="08844349"/>
    <w:rsid w:val="08844391"/>
    <w:rsid w:val="088443C1"/>
    <w:rsid w:val="088443E6"/>
    <w:rsid w:val="0884444B"/>
    <w:rsid w:val="0884447C"/>
    <w:rsid w:val="088444AA"/>
    <w:rsid w:val="0884452A"/>
    <w:rsid w:val="088447B8"/>
    <w:rsid w:val="088447E3"/>
    <w:rsid w:val="088447EA"/>
    <w:rsid w:val="08844805"/>
    <w:rsid w:val="0884494D"/>
    <w:rsid w:val="088449C8"/>
    <w:rsid w:val="088449ED"/>
    <w:rsid w:val="08844A9C"/>
    <w:rsid w:val="08844AAC"/>
    <w:rsid w:val="08844AD2"/>
    <w:rsid w:val="08844B2F"/>
    <w:rsid w:val="08844B36"/>
    <w:rsid w:val="08844C31"/>
    <w:rsid w:val="08844D34"/>
    <w:rsid w:val="08844D63"/>
    <w:rsid w:val="08844E2B"/>
    <w:rsid w:val="08844EB4"/>
    <w:rsid w:val="08844F35"/>
    <w:rsid w:val="08844F3D"/>
    <w:rsid w:val="08844F49"/>
    <w:rsid w:val="08844F5A"/>
    <w:rsid w:val="08845069"/>
    <w:rsid w:val="088450C2"/>
    <w:rsid w:val="08845101"/>
    <w:rsid w:val="0884518C"/>
    <w:rsid w:val="0884519D"/>
    <w:rsid w:val="08845273"/>
    <w:rsid w:val="0884527B"/>
    <w:rsid w:val="088452D8"/>
    <w:rsid w:val="088452F8"/>
    <w:rsid w:val="088453B3"/>
    <w:rsid w:val="08845407"/>
    <w:rsid w:val="088454AE"/>
    <w:rsid w:val="088454F7"/>
    <w:rsid w:val="0884551F"/>
    <w:rsid w:val="0884557B"/>
    <w:rsid w:val="088455D4"/>
    <w:rsid w:val="08845604"/>
    <w:rsid w:val="0884566F"/>
    <w:rsid w:val="088456CD"/>
    <w:rsid w:val="088456D1"/>
    <w:rsid w:val="088456D2"/>
    <w:rsid w:val="088457D7"/>
    <w:rsid w:val="0884590F"/>
    <w:rsid w:val="0884594E"/>
    <w:rsid w:val="0884599D"/>
    <w:rsid w:val="08845A08"/>
    <w:rsid w:val="08845A91"/>
    <w:rsid w:val="08845ABB"/>
    <w:rsid w:val="08845B11"/>
    <w:rsid w:val="08845B57"/>
    <w:rsid w:val="08845C05"/>
    <w:rsid w:val="08845CB3"/>
    <w:rsid w:val="08845CCC"/>
    <w:rsid w:val="08845CCE"/>
    <w:rsid w:val="08845D5C"/>
    <w:rsid w:val="08845D69"/>
    <w:rsid w:val="08845DB2"/>
    <w:rsid w:val="08845DCD"/>
    <w:rsid w:val="08845E4C"/>
    <w:rsid w:val="08845EE9"/>
    <w:rsid w:val="08845F03"/>
    <w:rsid w:val="088460AF"/>
    <w:rsid w:val="08846125"/>
    <w:rsid w:val="088461C4"/>
    <w:rsid w:val="08846253"/>
    <w:rsid w:val="08846366"/>
    <w:rsid w:val="08846394"/>
    <w:rsid w:val="088463BB"/>
    <w:rsid w:val="08846446"/>
    <w:rsid w:val="08846561"/>
    <w:rsid w:val="088465CA"/>
    <w:rsid w:val="088465EB"/>
    <w:rsid w:val="0884665D"/>
    <w:rsid w:val="08846667"/>
    <w:rsid w:val="088466F9"/>
    <w:rsid w:val="08846703"/>
    <w:rsid w:val="0884679B"/>
    <w:rsid w:val="088468AD"/>
    <w:rsid w:val="0884696A"/>
    <w:rsid w:val="088469AE"/>
    <w:rsid w:val="088469C5"/>
    <w:rsid w:val="088469FF"/>
    <w:rsid w:val="08846A11"/>
    <w:rsid w:val="08846AD3"/>
    <w:rsid w:val="08846C27"/>
    <w:rsid w:val="08846C2D"/>
    <w:rsid w:val="08846CBE"/>
    <w:rsid w:val="08846CFD"/>
    <w:rsid w:val="08846D36"/>
    <w:rsid w:val="08846D96"/>
    <w:rsid w:val="08846E18"/>
    <w:rsid w:val="08847036"/>
    <w:rsid w:val="08847053"/>
    <w:rsid w:val="08847054"/>
    <w:rsid w:val="08847133"/>
    <w:rsid w:val="08847253"/>
    <w:rsid w:val="08847254"/>
    <w:rsid w:val="08847361"/>
    <w:rsid w:val="0884743C"/>
    <w:rsid w:val="088474AE"/>
    <w:rsid w:val="08847536"/>
    <w:rsid w:val="0884763C"/>
    <w:rsid w:val="08847669"/>
    <w:rsid w:val="0884769B"/>
    <w:rsid w:val="088477BB"/>
    <w:rsid w:val="088477D8"/>
    <w:rsid w:val="088478BC"/>
    <w:rsid w:val="088478CF"/>
    <w:rsid w:val="08847938"/>
    <w:rsid w:val="08847998"/>
    <w:rsid w:val="0884799B"/>
    <w:rsid w:val="088479F4"/>
    <w:rsid w:val="08847B49"/>
    <w:rsid w:val="08847C52"/>
    <w:rsid w:val="08847C68"/>
    <w:rsid w:val="08847C8C"/>
    <w:rsid w:val="08847CAA"/>
    <w:rsid w:val="08847DAE"/>
    <w:rsid w:val="08847E60"/>
    <w:rsid w:val="08847E73"/>
    <w:rsid w:val="08847E84"/>
    <w:rsid w:val="08847EC3"/>
    <w:rsid w:val="08847F27"/>
    <w:rsid w:val="08847F46"/>
    <w:rsid w:val="08847FB2"/>
    <w:rsid w:val="08847FD0"/>
    <w:rsid w:val="08847FDA"/>
    <w:rsid w:val="088500A6"/>
    <w:rsid w:val="0885035D"/>
    <w:rsid w:val="08850368"/>
    <w:rsid w:val="08850427"/>
    <w:rsid w:val="088504A3"/>
    <w:rsid w:val="0885052F"/>
    <w:rsid w:val="08850593"/>
    <w:rsid w:val="088506C1"/>
    <w:rsid w:val="0885071C"/>
    <w:rsid w:val="08850790"/>
    <w:rsid w:val="088507BE"/>
    <w:rsid w:val="088507C8"/>
    <w:rsid w:val="08850966"/>
    <w:rsid w:val="088509D0"/>
    <w:rsid w:val="088509F5"/>
    <w:rsid w:val="08850A3B"/>
    <w:rsid w:val="08850A53"/>
    <w:rsid w:val="08850B1F"/>
    <w:rsid w:val="08850C9D"/>
    <w:rsid w:val="08850D43"/>
    <w:rsid w:val="08850DBD"/>
    <w:rsid w:val="08850E6D"/>
    <w:rsid w:val="08850E85"/>
    <w:rsid w:val="08850F33"/>
    <w:rsid w:val="08850F72"/>
    <w:rsid w:val="08851094"/>
    <w:rsid w:val="08851107"/>
    <w:rsid w:val="08851136"/>
    <w:rsid w:val="08851165"/>
    <w:rsid w:val="0885116B"/>
    <w:rsid w:val="088511AC"/>
    <w:rsid w:val="08851287"/>
    <w:rsid w:val="08851293"/>
    <w:rsid w:val="088512A4"/>
    <w:rsid w:val="0885131E"/>
    <w:rsid w:val="088513FE"/>
    <w:rsid w:val="0885141B"/>
    <w:rsid w:val="08851468"/>
    <w:rsid w:val="08851539"/>
    <w:rsid w:val="088515A1"/>
    <w:rsid w:val="088515D2"/>
    <w:rsid w:val="08851672"/>
    <w:rsid w:val="088516FC"/>
    <w:rsid w:val="0885171C"/>
    <w:rsid w:val="088517F7"/>
    <w:rsid w:val="08851810"/>
    <w:rsid w:val="08851859"/>
    <w:rsid w:val="088518DE"/>
    <w:rsid w:val="088519FE"/>
    <w:rsid w:val="08851A8C"/>
    <w:rsid w:val="08851A94"/>
    <w:rsid w:val="08851A9C"/>
    <w:rsid w:val="08851B1F"/>
    <w:rsid w:val="08851B82"/>
    <w:rsid w:val="08851BC9"/>
    <w:rsid w:val="08851BCA"/>
    <w:rsid w:val="08851C4A"/>
    <w:rsid w:val="08851C69"/>
    <w:rsid w:val="08851CE7"/>
    <w:rsid w:val="08851E73"/>
    <w:rsid w:val="08851EC0"/>
    <w:rsid w:val="08852144"/>
    <w:rsid w:val="0885214D"/>
    <w:rsid w:val="0885228C"/>
    <w:rsid w:val="0885236F"/>
    <w:rsid w:val="088523B9"/>
    <w:rsid w:val="088523CA"/>
    <w:rsid w:val="08852402"/>
    <w:rsid w:val="08852459"/>
    <w:rsid w:val="08852462"/>
    <w:rsid w:val="08852480"/>
    <w:rsid w:val="088524E1"/>
    <w:rsid w:val="088525AB"/>
    <w:rsid w:val="088525D7"/>
    <w:rsid w:val="08852645"/>
    <w:rsid w:val="08852702"/>
    <w:rsid w:val="088527C4"/>
    <w:rsid w:val="08852804"/>
    <w:rsid w:val="0885282E"/>
    <w:rsid w:val="08852861"/>
    <w:rsid w:val="088528AC"/>
    <w:rsid w:val="08852904"/>
    <w:rsid w:val="08852953"/>
    <w:rsid w:val="088529BD"/>
    <w:rsid w:val="08852B62"/>
    <w:rsid w:val="08852B88"/>
    <w:rsid w:val="08852B95"/>
    <w:rsid w:val="08852CE8"/>
    <w:rsid w:val="08852CF7"/>
    <w:rsid w:val="08852EB1"/>
    <w:rsid w:val="08853012"/>
    <w:rsid w:val="088530D0"/>
    <w:rsid w:val="088530DB"/>
    <w:rsid w:val="088530F2"/>
    <w:rsid w:val="08853129"/>
    <w:rsid w:val="0885317B"/>
    <w:rsid w:val="088531A8"/>
    <w:rsid w:val="088531BF"/>
    <w:rsid w:val="088531EA"/>
    <w:rsid w:val="08853215"/>
    <w:rsid w:val="0885324C"/>
    <w:rsid w:val="088532BA"/>
    <w:rsid w:val="088533A7"/>
    <w:rsid w:val="08853467"/>
    <w:rsid w:val="0885348A"/>
    <w:rsid w:val="088534D2"/>
    <w:rsid w:val="088534F7"/>
    <w:rsid w:val="08853519"/>
    <w:rsid w:val="088537B8"/>
    <w:rsid w:val="088537D5"/>
    <w:rsid w:val="088538D7"/>
    <w:rsid w:val="08853995"/>
    <w:rsid w:val="088539D1"/>
    <w:rsid w:val="08853B14"/>
    <w:rsid w:val="08853B82"/>
    <w:rsid w:val="08853BF3"/>
    <w:rsid w:val="08853C14"/>
    <w:rsid w:val="08853C7E"/>
    <w:rsid w:val="08853DA3"/>
    <w:rsid w:val="08853E53"/>
    <w:rsid w:val="08853EA8"/>
    <w:rsid w:val="08853F02"/>
    <w:rsid w:val="08853F50"/>
    <w:rsid w:val="08853F84"/>
    <w:rsid w:val="08854063"/>
    <w:rsid w:val="088540B8"/>
    <w:rsid w:val="088540CD"/>
    <w:rsid w:val="08854101"/>
    <w:rsid w:val="08854135"/>
    <w:rsid w:val="088542DD"/>
    <w:rsid w:val="08854324"/>
    <w:rsid w:val="08854343"/>
    <w:rsid w:val="0885438D"/>
    <w:rsid w:val="088543CF"/>
    <w:rsid w:val="088544B9"/>
    <w:rsid w:val="08854531"/>
    <w:rsid w:val="088545C3"/>
    <w:rsid w:val="088545D6"/>
    <w:rsid w:val="088545D7"/>
    <w:rsid w:val="088545DE"/>
    <w:rsid w:val="08854609"/>
    <w:rsid w:val="0885463D"/>
    <w:rsid w:val="08854695"/>
    <w:rsid w:val="088546BB"/>
    <w:rsid w:val="088546C6"/>
    <w:rsid w:val="08854760"/>
    <w:rsid w:val="088547AC"/>
    <w:rsid w:val="088547F6"/>
    <w:rsid w:val="0885486E"/>
    <w:rsid w:val="08854933"/>
    <w:rsid w:val="088549C6"/>
    <w:rsid w:val="088549D2"/>
    <w:rsid w:val="08854ABD"/>
    <w:rsid w:val="08854B32"/>
    <w:rsid w:val="08854BB6"/>
    <w:rsid w:val="08854C29"/>
    <w:rsid w:val="08854C90"/>
    <w:rsid w:val="08854CF2"/>
    <w:rsid w:val="08854D0D"/>
    <w:rsid w:val="08854D3F"/>
    <w:rsid w:val="08854E06"/>
    <w:rsid w:val="08854E43"/>
    <w:rsid w:val="08854EEC"/>
    <w:rsid w:val="08854F7E"/>
    <w:rsid w:val="0885501E"/>
    <w:rsid w:val="088550A1"/>
    <w:rsid w:val="08855152"/>
    <w:rsid w:val="088551A6"/>
    <w:rsid w:val="0885528A"/>
    <w:rsid w:val="08855407"/>
    <w:rsid w:val="08855415"/>
    <w:rsid w:val="08855422"/>
    <w:rsid w:val="088554B5"/>
    <w:rsid w:val="08855645"/>
    <w:rsid w:val="08855668"/>
    <w:rsid w:val="088556BE"/>
    <w:rsid w:val="088556C0"/>
    <w:rsid w:val="088556C4"/>
    <w:rsid w:val="088557F1"/>
    <w:rsid w:val="08855875"/>
    <w:rsid w:val="088558B2"/>
    <w:rsid w:val="088558D9"/>
    <w:rsid w:val="088558F9"/>
    <w:rsid w:val="08855945"/>
    <w:rsid w:val="08855962"/>
    <w:rsid w:val="08855A2C"/>
    <w:rsid w:val="08855B2F"/>
    <w:rsid w:val="08855B56"/>
    <w:rsid w:val="08855B70"/>
    <w:rsid w:val="08855BE4"/>
    <w:rsid w:val="08855BFC"/>
    <w:rsid w:val="08855C17"/>
    <w:rsid w:val="08855C57"/>
    <w:rsid w:val="08855D19"/>
    <w:rsid w:val="08855DD7"/>
    <w:rsid w:val="08855E4B"/>
    <w:rsid w:val="08855E6A"/>
    <w:rsid w:val="08855EE0"/>
    <w:rsid w:val="08855EE3"/>
    <w:rsid w:val="08855EFE"/>
    <w:rsid w:val="08855F53"/>
    <w:rsid w:val="08855FC7"/>
    <w:rsid w:val="08855FE3"/>
    <w:rsid w:val="08856198"/>
    <w:rsid w:val="088561A5"/>
    <w:rsid w:val="088562D6"/>
    <w:rsid w:val="088563B9"/>
    <w:rsid w:val="088563CA"/>
    <w:rsid w:val="0885641F"/>
    <w:rsid w:val="088564AA"/>
    <w:rsid w:val="08856529"/>
    <w:rsid w:val="088566D5"/>
    <w:rsid w:val="088566FD"/>
    <w:rsid w:val="088567E3"/>
    <w:rsid w:val="08856824"/>
    <w:rsid w:val="0885688E"/>
    <w:rsid w:val="08856900"/>
    <w:rsid w:val="08856902"/>
    <w:rsid w:val="08856984"/>
    <w:rsid w:val="088569A7"/>
    <w:rsid w:val="08856A2B"/>
    <w:rsid w:val="08856A30"/>
    <w:rsid w:val="08856A32"/>
    <w:rsid w:val="08856AD3"/>
    <w:rsid w:val="08856AEA"/>
    <w:rsid w:val="08856B66"/>
    <w:rsid w:val="08856BA1"/>
    <w:rsid w:val="08856C03"/>
    <w:rsid w:val="08856C12"/>
    <w:rsid w:val="08856C72"/>
    <w:rsid w:val="08856D14"/>
    <w:rsid w:val="08856DDC"/>
    <w:rsid w:val="08856E10"/>
    <w:rsid w:val="08856E20"/>
    <w:rsid w:val="08856E57"/>
    <w:rsid w:val="08856F23"/>
    <w:rsid w:val="08856F31"/>
    <w:rsid w:val="08856FD1"/>
    <w:rsid w:val="08857038"/>
    <w:rsid w:val="08857065"/>
    <w:rsid w:val="0885706A"/>
    <w:rsid w:val="0885719A"/>
    <w:rsid w:val="088571B1"/>
    <w:rsid w:val="088571D5"/>
    <w:rsid w:val="0885723E"/>
    <w:rsid w:val="08857308"/>
    <w:rsid w:val="08857365"/>
    <w:rsid w:val="088573DB"/>
    <w:rsid w:val="088573FF"/>
    <w:rsid w:val="088574B8"/>
    <w:rsid w:val="08857501"/>
    <w:rsid w:val="08857537"/>
    <w:rsid w:val="08857547"/>
    <w:rsid w:val="08857568"/>
    <w:rsid w:val="088575A3"/>
    <w:rsid w:val="08857604"/>
    <w:rsid w:val="08857678"/>
    <w:rsid w:val="08857711"/>
    <w:rsid w:val="08857832"/>
    <w:rsid w:val="088578BE"/>
    <w:rsid w:val="08857A36"/>
    <w:rsid w:val="08857A79"/>
    <w:rsid w:val="08857B66"/>
    <w:rsid w:val="08857BF1"/>
    <w:rsid w:val="08857CD3"/>
    <w:rsid w:val="08857D0B"/>
    <w:rsid w:val="08857DA5"/>
    <w:rsid w:val="08857EC1"/>
    <w:rsid w:val="088600F1"/>
    <w:rsid w:val="088601CD"/>
    <w:rsid w:val="08860348"/>
    <w:rsid w:val="0886036B"/>
    <w:rsid w:val="0886037D"/>
    <w:rsid w:val="088605A4"/>
    <w:rsid w:val="08860676"/>
    <w:rsid w:val="0886069C"/>
    <w:rsid w:val="08860721"/>
    <w:rsid w:val="0886081B"/>
    <w:rsid w:val="0886082C"/>
    <w:rsid w:val="088608DC"/>
    <w:rsid w:val="08860989"/>
    <w:rsid w:val="08860A37"/>
    <w:rsid w:val="08860A39"/>
    <w:rsid w:val="08860B56"/>
    <w:rsid w:val="08860C0D"/>
    <w:rsid w:val="08860C2E"/>
    <w:rsid w:val="08860C9E"/>
    <w:rsid w:val="08860D1C"/>
    <w:rsid w:val="08860E8F"/>
    <w:rsid w:val="08860EEC"/>
    <w:rsid w:val="08860EED"/>
    <w:rsid w:val="08860F86"/>
    <w:rsid w:val="08860F9B"/>
    <w:rsid w:val="0886105E"/>
    <w:rsid w:val="08861076"/>
    <w:rsid w:val="088610A6"/>
    <w:rsid w:val="0886115E"/>
    <w:rsid w:val="088611C0"/>
    <w:rsid w:val="08861427"/>
    <w:rsid w:val="0886148F"/>
    <w:rsid w:val="088614FE"/>
    <w:rsid w:val="088615FE"/>
    <w:rsid w:val="08861654"/>
    <w:rsid w:val="08861697"/>
    <w:rsid w:val="088616FE"/>
    <w:rsid w:val="088617D7"/>
    <w:rsid w:val="08861896"/>
    <w:rsid w:val="088618A3"/>
    <w:rsid w:val="0886190C"/>
    <w:rsid w:val="0886190E"/>
    <w:rsid w:val="08861955"/>
    <w:rsid w:val="08861970"/>
    <w:rsid w:val="088619EC"/>
    <w:rsid w:val="08861A79"/>
    <w:rsid w:val="08861AA5"/>
    <w:rsid w:val="08861AAB"/>
    <w:rsid w:val="08861ABD"/>
    <w:rsid w:val="08861CD1"/>
    <w:rsid w:val="08861CD3"/>
    <w:rsid w:val="08861D28"/>
    <w:rsid w:val="08861DDA"/>
    <w:rsid w:val="08861E67"/>
    <w:rsid w:val="08861EB3"/>
    <w:rsid w:val="08861EBA"/>
    <w:rsid w:val="08861EBE"/>
    <w:rsid w:val="08862079"/>
    <w:rsid w:val="088620A0"/>
    <w:rsid w:val="08862157"/>
    <w:rsid w:val="08862230"/>
    <w:rsid w:val="08862250"/>
    <w:rsid w:val="08862292"/>
    <w:rsid w:val="08862343"/>
    <w:rsid w:val="08862355"/>
    <w:rsid w:val="088624B2"/>
    <w:rsid w:val="088625A8"/>
    <w:rsid w:val="08862603"/>
    <w:rsid w:val="08862639"/>
    <w:rsid w:val="08862701"/>
    <w:rsid w:val="08862739"/>
    <w:rsid w:val="08862750"/>
    <w:rsid w:val="08862780"/>
    <w:rsid w:val="08862856"/>
    <w:rsid w:val="0886285D"/>
    <w:rsid w:val="08862879"/>
    <w:rsid w:val="08862903"/>
    <w:rsid w:val="08862960"/>
    <w:rsid w:val="0886299D"/>
    <w:rsid w:val="088629FC"/>
    <w:rsid w:val="08862AD6"/>
    <w:rsid w:val="08862BB5"/>
    <w:rsid w:val="08862C4F"/>
    <w:rsid w:val="08862C7E"/>
    <w:rsid w:val="08862CE2"/>
    <w:rsid w:val="08862CEE"/>
    <w:rsid w:val="08862D28"/>
    <w:rsid w:val="08862D8C"/>
    <w:rsid w:val="08862DC3"/>
    <w:rsid w:val="08862E1B"/>
    <w:rsid w:val="08862EF7"/>
    <w:rsid w:val="08862F2F"/>
    <w:rsid w:val="08862FEF"/>
    <w:rsid w:val="0886305E"/>
    <w:rsid w:val="0886306C"/>
    <w:rsid w:val="08863071"/>
    <w:rsid w:val="088630C2"/>
    <w:rsid w:val="088630EC"/>
    <w:rsid w:val="08863128"/>
    <w:rsid w:val="08863164"/>
    <w:rsid w:val="08863207"/>
    <w:rsid w:val="0886321A"/>
    <w:rsid w:val="08863238"/>
    <w:rsid w:val="0886348A"/>
    <w:rsid w:val="088634EF"/>
    <w:rsid w:val="08863569"/>
    <w:rsid w:val="08863576"/>
    <w:rsid w:val="0886359C"/>
    <w:rsid w:val="0886367C"/>
    <w:rsid w:val="08863720"/>
    <w:rsid w:val="08863730"/>
    <w:rsid w:val="08863784"/>
    <w:rsid w:val="08863816"/>
    <w:rsid w:val="088638CD"/>
    <w:rsid w:val="088638DB"/>
    <w:rsid w:val="0886395F"/>
    <w:rsid w:val="088639CC"/>
    <w:rsid w:val="08863A2A"/>
    <w:rsid w:val="08863B4E"/>
    <w:rsid w:val="08863B6F"/>
    <w:rsid w:val="08863C72"/>
    <w:rsid w:val="08863CC6"/>
    <w:rsid w:val="08863CDE"/>
    <w:rsid w:val="08863D6E"/>
    <w:rsid w:val="08863E08"/>
    <w:rsid w:val="08863E34"/>
    <w:rsid w:val="08863E71"/>
    <w:rsid w:val="08863F42"/>
    <w:rsid w:val="08863FB5"/>
    <w:rsid w:val="08864089"/>
    <w:rsid w:val="0886419D"/>
    <w:rsid w:val="088641B3"/>
    <w:rsid w:val="088641EE"/>
    <w:rsid w:val="0886443D"/>
    <w:rsid w:val="08864499"/>
    <w:rsid w:val="088644EC"/>
    <w:rsid w:val="088644F6"/>
    <w:rsid w:val="08864561"/>
    <w:rsid w:val="0886459C"/>
    <w:rsid w:val="088645C2"/>
    <w:rsid w:val="0886471B"/>
    <w:rsid w:val="088647F0"/>
    <w:rsid w:val="0886480E"/>
    <w:rsid w:val="08864810"/>
    <w:rsid w:val="0886487C"/>
    <w:rsid w:val="088648F9"/>
    <w:rsid w:val="08864972"/>
    <w:rsid w:val="08864A3E"/>
    <w:rsid w:val="08864A9B"/>
    <w:rsid w:val="08864AAC"/>
    <w:rsid w:val="08864B42"/>
    <w:rsid w:val="08864B5A"/>
    <w:rsid w:val="08864C2E"/>
    <w:rsid w:val="08864C4B"/>
    <w:rsid w:val="08864CB4"/>
    <w:rsid w:val="08864CBC"/>
    <w:rsid w:val="08864CC6"/>
    <w:rsid w:val="08864D25"/>
    <w:rsid w:val="08864E79"/>
    <w:rsid w:val="08864EB9"/>
    <w:rsid w:val="08864ECB"/>
    <w:rsid w:val="08864EF6"/>
    <w:rsid w:val="08864F4F"/>
    <w:rsid w:val="08864FA5"/>
    <w:rsid w:val="08865058"/>
    <w:rsid w:val="0886507B"/>
    <w:rsid w:val="08865114"/>
    <w:rsid w:val="088651AB"/>
    <w:rsid w:val="088651CD"/>
    <w:rsid w:val="08865244"/>
    <w:rsid w:val="08865246"/>
    <w:rsid w:val="088652D5"/>
    <w:rsid w:val="08865309"/>
    <w:rsid w:val="08865358"/>
    <w:rsid w:val="08865540"/>
    <w:rsid w:val="08865556"/>
    <w:rsid w:val="0886569F"/>
    <w:rsid w:val="088656F4"/>
    <w:rsid w:val="088656F9"/>
    <w:rsid w:val="0886570D"/>
    <w:rsid w:val="0886575A"/>
    <w:rsid w:val="08865767"/>
    <w:rsid w:val="0886579E"/>
    <w:rsid w:val="08865819"/>
    <w:rsid w:val="088658DE"/>
    <w:rsid w:val="08865960"/>
    <w:rsid w:val="0886598F"/>
    <w:rsid w:val="08865AB4"/>
    <w:rsid w:val="08865AD5"/>
    <w:rsid w:val="08865AE5"/>
    <w:rsid w:val="08865B9E"/>
    <w:rsid w:val="08865C27"/>
    <w:rsid w:val="08865CA8"/>
    <w:rsid w:val="08865CB2"/>
    <w:rsid w:val="08865CC4"/>
    <w:rsid w:val="08865CDF"/>
    <w:rsid w:val="08865CF0"/>
    <w:rsid w:val="08865D91"/>
    <w:rsid w:val="08865E2E"/>
    <w:rsid w:val="08865E69"/>
    <w:rsid w:val="08865EFC"/>
    <w:rsid w:val="08865F46"/>
    <w:rsid w:val="08865FA6"/>
    <w:rsid w:val="08865FF5"/>
    <w:rsid w:val="08865FF6"/>
    <w:rsid w:val="088660F4"/>
    <w:rsid w:val="08866111"/>
    <w:rsid w:val="08866189"/>
    <w:rsid w:val="088661D7"/>
    <w:rsid w:val="0886621B"/>
    <w:rsid w:val="088662B8"/>
    <w:rsid w:val="088662DA"/>
    <w:rsid w:val="088663F3"/>
    <w:rsid w:val="08866449"/>
    <w:rsid w:val="08866454"/>
    <w:rsid w:val="0886660A"/>
    <w:rsid w:val="08866669"/>
    <w:rsid w:val="08866701"/>
    <w:rsid w:val="088667F7"/>
    <w:rsid w:val="08866806"/>
    <w:rsid w:val="0886680B"/>
    <w:rsid w:val="0886685C"/>
    <w:rsid w:val="08866876"/>
    <w:rsid w:val="08866889"/>
    <w:rsid w:val="088668E5"/>
    <w:rsid w:val="0886692E"/>
    <w:rsid w:val="0886694D"/>
    <w:rsid w:val="0886699E"/>
    <w:rsid w:val="08866A3C"/>
    <w:rsid w:val="08866A81"/>
    <w:rsid w:val="08866B42"/>
    <w:rsid w:val="08866BE3"/>
    <w:rsid w:val="08866C37"/>
    <w:rsid w:val="08866D64"/>
    <w:rsid w:val="08866D8B"/>
    <w:rsid w:val="08866E7F"/>
    <w:rsid w:val="08866F88"/>
    <w:rsid w:val="0886707C"/>
    <w:rsid w:val="08867136"/>
    <w:rsid w:val="08867161"/>
    <w:rsid w:val="088671A7"/>
    <w:rsid w:val="08867222"/>
    <w:rsid w:val="08867223"/>
    <w:rsid w:val="088672FA"/>
    <w:rsid w:val="08867359"/>
    <w:rsid w:val="08867394"/>
    <w:rsid w:val="088673D2"/>
    <w:rsid w:val="08867464"/>
    <w:rsid w:val="0886749D"/>
    <w:rsid w:val="088674D6"/>
    <w:rsid w:val="088674EE"/>
    <w:rsid w:val="08867553"/>
    <w:rsid w:val="088675DD"/>
    <w:rsid w:val="088676CD"/>
    <w:rsid w:val="088676DD"/>
    <w:rsid w:val="088676F5"/>
    <w:rsid w:val="08867799"/>
    <w:rsid w:val="088677D3"/>
    <w:rsid w:val="08867817"/>
    <w:rsid w:val="08867825"/>
    <w:rsid w:val="0886783C"/>
    <w:rsid w:val="0886785A"/>
    <w:rsid w:val="08867865"/>
    <w:rsid w:val="0886796D"/>
    <w:rsid w:val="08867995"/>
    <w:rsid w:val="088679D3"/>
    <w:rsid w:val="08867A4C"/>
    <w:rsid w:val="08867A9E"/>
    <w:rsid w:val="08867B83"/>
    <w:rsid w:val="08867BD6"/>
    <w:rsid w:val="08867BEC"/>
    <w:rsid w:val="08867C0D"/>
    <w:rsid w:val="08867CC9"/>
    <w:rsid w:val="08867D95"/>
    <w:rsid w:val="08867E35"/>
    <w:rsid w:val="08867E76"/>
    <w:rsid w:val="08867E8F"/>
    <w:rsid w:val="08867E91"/>
    <w:rsid w:val="08867F00"/>
    <w:rsid w:val="08867F65"/>
    <w:rsid w:val="08870028"/>
    <w:rsid w:val="08870330"/>
    <w:rsid w:val="08870348"/>
    <w:rsid w:val="08870357"/>
    <w:rsid w:val="08870362"/>
    <w:rsid w:val="088703AA"/>
    <w:rsid w:val="088703B9"/>
    <w:rsid w:val="088703FA"/>
    <w:rsid w:val="08870408"/>
    <w:rsid w:val="088704AB"/>
    <w:rsid w:val="088704F4"/>
    <w:rsid w:val="08870539"/>
    <w:rsid w:val="0887073E"/>
    <w:rsid w:val="0887078B"/>
    <w:rsid w:val="088707BF"/>
    <w:rsid w:val="088707DD"/>
    <w:rsid w:val="088709AC"/>
    <w:rsid w:val="088709EC"/>
    <w:rsid w:val="08870A8C"/>
    <w:rsid w:val="08870ACA"/>
    <w:rsid w:val="08870CD1"/>
    <w:rsid w:val="08870D78"/>
    <w:rsid w:val="08870E0E"/>
    <w:rsid w:val="08870EA2"/>
    <w:rsid w:val="08870EF1"/>
    <w:rsid w:val="08870FED"/>
    <w:rsid w:val="08871004"/>
    <w:rsid w:val="0887108C"/>
    <w:rsid w:val="0887111F"/>
    <w:rsid w:val="08871173"/>
    <w:rsid w:val="0887128D"/>
    <w:rsid w:val="088712B4"/>
    <w:rsid w:val="08871347"/>
    <w:rsid w:val="0887136C"/>
    <w:rsid w:val="08871432"/>
    <w:rsid w:val="08871577"/>
    <w:rsid w:val="0887157D"/>
    <w:rsid w:val="0887176C"/>
    <w:rsid w:val="0887176E"/>
    <w:rsid w:val="08871793"/>
    <w:rsid w:val="0887181B"/>
    <w:rsid w:val="0887187E"/>
    <w:rsid w:val="088718D0"/>
    <w:rsid w:val="088719B2"/>
    <w:rsid w:val="088719FA"/>
    <w:rsid w:val="08871A06"/>
    <w:rsid w:val="08871A15"/>
    <w:rsid w:val="08871AE6"/>
    <w:rsid w:val="08871AE7"/>
    <w:rsid w:val="08871B16"/>
    <w:rsid w:val="08871B22"/>
    <w:rsid w:val="08871BBE"/>
    <w:rsid w:val="08871C5E"/>
    <w:rsid w:val="08871C97"/>
    <w:rsid w:val="08871CA7"/>
    <w:rsid w:val="08871CC3"/>
    <w:rsid w:val="08871DB9"/>
    <w:rsid w:val="08871E95"/>
    <w:rsid w:val="08871EA6"/>
    <w:rsid w:val="08871EE5"/>
    <w:rsid w:val="08871FBE"/>
    <w:rsid w:val="0887203F"/>
    <w:rsid w:val="08872147"/>
    <w:rsid w:val="088721ED"/>
    <w:rsid w:val="08872243"/>
    <w:rsid w:val="08872280"/>
    <w:rsid w:val="088722A3"/>
    <w:rsid w:val="088722AD"/>
    <w:rsid w:val="0887231F"/>
    <w:rsid w:val="0887238F"/>
    <w:rsid w:val="088723CA"/>
    <w:rsid w:val="08872413"/>
    <w:rsid w:val="088724E2"/>
    <w:rsid w:val="088725EA"/>
    <w:rsid w:val="0887266C"/>
    <w:rsid w:val="08872688"/>
    <w:rsid w:val="088726CA"/>
    <w:rsid w:val="08872747"/>
    <w:rsid w:val="0887275D"/>
    <w:rsid w:val="08872770"/>
    <w:rsid w:val="088727EA"/>
    <w:rsid w:val="088729A5"/>
    <w:rsid w:val="08872A68"/>
    <w:rsid w:val="08872A8D"/>
    <w:rsid w:val="08872B54"/>
    <w:rsid w:val="08872B8C"/>
    <w:rsid w:val="08872BB9"/>
    <w:rsid w:val="08872BC9"/>
    <w:rsid w:val="08872C81"/>
    <w:rsid w:val="08872D9D"/>
    <w:rsid w:val="08872F87"/>
    <w:rsid w:val="08872FC5"/>
    <w:rsid w:val="08872FE3"/>
    <w:rsid w:val="08873081"/>
    <w:rsid w:val="08873158"/>
    <w:rsid w:val="088731A7"/>
    <w:rsid w:val="088731B7"/>
    <w:rsid w:val="088731CA"/>
    <w:rsid w:val="088731EA"/>
    <w:rsid w:val="088732A2"/>
    <w:rsid w:val="08873371"/>
    <w:rsid w:val="088733D1"/>
    <w:rsid w:val="08873440"/>
    <w:rsid w:val="08873527"/>
    <w:rsid w:val="0887358B"/>
    <w:rsid w:val="0887359A"/>
    <w:rsid w:val="08873670"/>
    <w:rsid w:val="08873673"/>
    <w:rsid w:val="0887369F"/>
    <w:rsid w:val="088736D2"/>
    <w:rsid w:val="088736F2"/>
    <w:rsid w:val="08873707"/>
    <w:rsid w:val="08873708"/>
    <w:rsid w:val="08873759"/>
    <w:rsid w:val="08873797"/>
    <w:rsid w:val="08873810"/>
    <w:rsid w:val="08873837"/>
    <w:rsid w:val="088738F9"/>
    <w:rsid w:val="08873987"/>
    <w:rsid w:val="088739A8"/>
    <w:rsid w:val="08873B2B"/>
    <w:rsid w:val="08873B9D"/>
    <w:rsid w:val="08873C3C"/>
    <w:rsid w:val="08873C46"/>
    <w:rsid w:val="08873CA8"/>
    <w:rsid w:val="08873CD1"/>
    <w:rsid w:val="08873D2B"/>
    <w:rsid w:val="08873D4C"/>
    <w:rsid w:val="08873DBE"/>
    <w:rsid w:val="08873E83"/>
    <w:rsid w:val="08873EA7"/>
    <w:rsid w:val="08873F31"/>
    <w:rsid w:val="08873F3E"/>
    <w:rsid w:val="08873FC1"/>
    <w:rsid w:val="08874147"/>
    <w:rsid w:val="088741D1"/>
    <w:rsid w:val="08874207"/>
    <w:rsid w:val="0887427E"/>
    <w:rsid w:val="088742D0"/>
    <w:rsid w:val="088743BB"/>
    <w:rsid w:val="088743D2"/>
    <w:rsid w:val="088743E1"/>
    <w:rsid w:val="0887457C"/>
    <w:rsid w:val="088746BE"/>
    <w:rsid w:val="08874740"/>
    <w:rsid w:val="088747BF"/>
    <w:rsid w:val="08874849"/>
    <w:rsid w:val="088749CF"/>
    <w:rsid w:val="08874A1B"/>
    <w:rsid w:val="08874A45"/>
    <w:rsid w:val="08874A4F"/>
    <w:rsid w:val="08874A5D"/>
    <w:rsid w:val="08874AA9"/>
    <w:rsid w:val="08874ADC"/>
    <w:rsid w:val="08874B81"/>
    <w:rsid w:val="08874BC0"/>
    <w:rsid w:val="08874BF9"/>
    <w:rsid w:val="08874C24"/>
    <w:rsid w:val="08874CAE"/>
    <w:rsid w:val="08874CB9"/>
    <w:rsid w:val="08874CE0"/>
    <w:rsid w:val="08874D20"/>
    <w:rsid w:val="08874D2D"/>
    <w:rsid w:val="08874EA7"/>
    <w:rsid w:val="08874EF2"/>
    <w:rsid w:val="08874F0C"/>
    <w:rsid w:val="08874F17"/>
    <w:rsid w:val="08874F3A"/>
    <w:rsid w:val="08874FC6"/>
    <w:rsid w:val="0887500A"/>
    <w:rsid w:val="08875018"/>
    <w:rsid w:val="0887501A"/>
    <w:rsid w:val="088750B0"/>
    <w:rsid w:val="088750B6"/>
    <w:rsid w:val="0887517E"/>
    <w:rsid w:val="0887522F"/>
    <w:rsid w:val="088752B1"/>
    <w:rsid w:val="088752D6"/>
    <w:rsid w:val="0887532C"/>
    <w:rsid w:val="0887535B"/>
    <w:rsid w:val="0887536F"/>
    <w:rsid w:val="08875373"/>
    <w:rsid w:val="08875462"/>
    <w:rsid w:val="0887552A"/>
    <w:rsid w:val="08875532"/>
    <w:rsid w:val="0887555B"/>
    <w:rsid w:val="088755A1"/>
    <w:rsid w:val="088755AB"/>
    <w:rsid w:val="08875712"/>
    <w:rsid w:val="0887572C"/>
    <w:rsid w:val="088758E6"/>
    <w:rsid w:val="08875916"/>
    <w:rsid w:val="08875A64"/>
    <w:rsid w:val="08875A7E"/>
    <w:rsid w:val="08875AB0"/>
    <w:rsid w:val="08875AC8"/>
    <w:rsid w:val="08875AE2"/>
    <w:rsid w:val="08875C51"/>
    <w:rsid w:val="08875C82"/>
    <w:rsid w:val="08875CC0"/>
    <w:rsid w:val="08875D90"/>
    <w:rsid w:val="08875DCD"/>
    <w:rsid w:val="08875DEE"/>
    <w:rsid w:val="08875E66"/>
    <w:rsid w:val="08875ED0"/>
    <w:rsid w:val="08875F67"/>
    <w:rsid w:val="08875FBA"/>
    <w:rsid w:val="088760B2"/>
    <w:rsid w:val="088760E7"/>
    <w:rsid w:val="088761AB"/>
    <w:rsid w:val="088761CF"/>
    <w:rsid w:val="088761F9"/>
    <w:rsid w:val="08876331"/>
    <w:rsid w:val="0887639E"/>
    <w:rsid w:val="088763AB"/>
    <w:rsid w:val="088763CF"/>
    <w:rsid w:val="0887661A"/>
    <w:rsid w:val="08876699"/>
    <w:rsid w:val="08876944"/>
    <w:rsid w:val="08876959"/>
    <w:rsid w:val="08876977"/>
    <w:rsid w:val="08876978"/>
    <w:rsid w:val="08876A94"/>
    <w:rsid w:val="08876A9E"/>
    <w:rsid w:val="08876AE0"/>
    <w:rsid w:val="08876B7E"/>
    <w:rsid w:val="08876BA8"/>
    <w:rsid w:val="08876BF3"/>
    <w:rsid w:val="08876C0C"/>
    <w:rsid w:val="08876C0F"/>
    <w:rsid w:val="08876C11"/>
    <w:rsid w:val="08876C59"/>
    <w:rsid w:val="08876CCF"/>
    <w:rsid w:val="08876CE3"/>
    <w:rsid w:val="08876CF5"/>
    <w:rsid w:val="08876D08"/>
    <w:rsid w:val="08876D33"/>
    <w:rsid w:val="0887700B"/>
    <w:rsid w:val="08877073"/>
    <w:rsid w:val="08877116"/>
    <w:rsid w:val="088771A8"/>
    <w:rsid w:val="088772DD"/>
    <w:rsid w:val="08877333"/>
    <w:rsid w:val="08877405"/>
    <w:rsid w:val="0887742A"/>
    <w:rsid w:val="0887742D"/>
    <w:rsid w:val="08877494"/>
    <w:rsid w:val="088774F2"/>
    <w:rsid w:val="08877608"/>
    <w:rsid w:val="08877759"/>
    <w:rsid w:val="088777D8"/>
    <w:rsid w:val="088777F7"/>
    <w:rsid w:val="08877828"/>
    <w:rsid w:val="088778AA"/>
    <w:rsid w:val="08877903"/>
    <w:rsid w:val="0887799B"/>
    <w:rsid w:val="088779BF"/>
    <w:rsid w:val="08877A79"/>
    <w:rsid w:val="08877A9A"/>
    <w:rsid w:val="08877B6D"/>
    <w:rsid w:val="08877C3F"/>
    <w:rsid w:val="08877C8D"/>
    <w:rsid w:val="08877CB5"/>
    <w:rsid w:val="08877D55"/>
    <w:rsid w:val="08877D60"/>
    <w:rsid w:val="08877D92"/>
    <w:rsid w:val="08877EA0"/>
    <w:rsid w:val="08877F2A"/>
    <w:rsid w:val="08877F41"/>
    <w:rsid w:val="08877F67"/>
    <w:rsid w:val="08877F88"/>
    <w:rsid w:val="08880054"/>
    <w:rsid w:val="088800DE"/>
    <w:rsid w:val="088800EB"/>
    <w:rsid w:val="08880126"/>
    <w:rsid w:val="08880139"/>
    <w:rsid w:val="0888019A"/>
    <w:rsid w:val="0888021C"/>
    <w:rsid w:val="088802F1"/>
    <w:rsid w:val="088803DF"/>
    <w:rsid w:val="088803F7"/>
    <w:rsid w:val="08880425"/>
    <w:rsid w:val="088804CD"/>
    <w:rsid w:val="088804F1"/>
    <w:rsid w:val="08880651"/>
    <w:rsid w:val="08880663"/>
    <w:rsid w:val="0888068A"/>
    <w:rsid w:val="088806B4"/>
    <w:rsid w:val="088806E3"/>
    <w:rsid w:val="08880740"/>
    <w:rsid w:val="08880746"/>
    <w:rsid w:val="08880798"/>
    <w:rsid w:val="088807A5"/>
    <w:rsid w:val="088809BB"/>
    <w:rsid w:val="088809F3"/>
    <w:rsid w:val="08880A62"/>
    <w:rsid w:val="08880A6D"/>
    <w:rsid w:val="08880AC1"/>
    <w:rsid w:val="08880BA5"/>
    <w:rsid w:val="08880C74"/>
    <w:rsid w:val="08880C94"/>
    <w:rsid w:val="08880CE7"/>
    <w:rsid w:val="08880DCD"/>
    <w:rsid w:val="08880DEB"/>
    <w:rsid w:val="08880E2B"/>
    <w:rsid w:val="08880E55"/>
    <w:rsid w:val="08880E62"/>
    <w:rsid w:val="08880E90"/>
    <w:rsid w:val="08880EE3"/>
    <w:rsid w:val="08880F00"/>
    <w:rsid w:val="08880F72"/>
    <w:rsid w:val="08880F7D"/>
    <w:rsid w:val="08880FF6"/>
    <w:rsid w:val="0888107C"/>
    <w:rsid w:val="0888109A"/>
    <w:rsid w:val="08881137"/>
    <w:rsid w:val="0888114B"/>
    <w:rsid w:val="0888118B"/>
    <w:rsid w:val="0888119F"/>
    <w:rsid w:val="08881251"/>
    <w:rsid w:val="0888128B"/>
    <w:rsid w:val="0888147F"/>
    <w:rsid w:val="088814FF"/>
    <w:rsid w:val="0888164F"/>
    <w:rsid w:val="088816B7"/>
    <w:rsid w:val="088816CC"/>
    <w:rsid w:val="08881722"/>
    <w:rsid w:val="08881737"/>
    <w:rsid w:val="08881772"/>
    <w:rsid w:val="088817F9"/>
    <w:rsid w:val="08881826"/>
    <w:rsid w:val="088818A5"/>
    <w:rsid w:val="08881909"/>
    <w:rsid w:val="08881A49"/>
    <w:rsid w:val="08881A4F"/>
    <w:rsid w:val="08881A6E"/>
    <w:rsid w:val="08881B33"/>
    <w:rsid w:val="08881B56"/>
    <w:rsid w:val="08881CA2"/>
    <w:rsid w:val="08881D74"/>
    <w:rsid w:val="08881E04"/>
    <w:rsid w:val="08881E9E"/>
    <w:rsid w:val="08881EA3"/>
    <w:rsid w:val="08881EF6"/>
    <w:rsid w:val="08881FC3"/>
    <w:rsid w:val="08881FCE"/>
    <w:rsid w:val="08881FE8"/>
    <w:rsid w:val="08882162"/>
    <w:rsid w:val="088821C4"/>
    <w:rsid w:val="0888223F"/>
    <w:rsid w:val="08882349"/>
    <w:rsid w:val="088823C2"/>
    <w:rsid w:val="08882432"/>
    <w:rsid w:val="088824C1"/>
    <w:rsid w:val="08882550"/>
    <w:rsid w:val="0888260E"/>
    <w:rsid w:val="08882731"/>
    <w:rsid w:val="0888273E"/>
    <w:rsid w:val="0888278F"/>
    <w:rsid w:val="0888279B"/>
    <w:rsid w:val="088827A5"/>
    <w:rsid w:val="088827B4"/>
    <w:rsid w:val="088827EE"/>
    <w:rsid w:val="08882847"/>
    <w:rsid w:val="0888285A"/>
    <w:rsid w:val="0888288F"/>
    <w:rsid w:val="08882898"/>
    <w:rsid w:val="0888299E"/>
    <w:rsid w:val="088829B2"/>
    <w:rsid w:val="088829EE"/>
    <w:rsid w:val="08882A24"/>
    <w:rsid w:val="08882ABB"/>
    <w:rsid w:val="08882AE0"/>
    <w:rsid w:val="08882BD0"/>
    <w:rsid w:val="08882C64"/>
    <w:rsid w:val="08882C80"/>
    <w:rsid w:val="08882CD1"/>
    <w:rsid w:val="08882DDA"/>
    <w:rsid w:val="08882DFB"/>
    <w:rsid w:val="08882E13"/>
    <w:rsid w:val="08882E57"/>
    <w:rsid w:val="08882EC3"/>
    <w:rsid w:val="08882F82"/>
    <w:rsid w:val="08882F89"/>
    <w:rsid w:val="088830CE"/>
    <w:rsid w:val="08883141"/>
    <w:rsid w:val="0888323B"/>
    <w:rsid w:val="08883278"/>
    <w:rsid w:val="088832DA"/>
    <w:rsid w:val="08883315"/>
    <w:rsid w:val="08883416"/>
    <w:rsid w:val="08883445"/>
    <w:rsid w:val="088834AC"/>
    <w:rsid w:val="08883514"/>
    <w:rsid w:val="08883532"/>
    <w:rsid w:val="08883583"/>
    <w:rsid w:val="08883603"/>
    <w:rsid w:val="08883657"/>
    <w:rsid w:val="088836D6"/>
    <w:rsid w:val="0888374D"/>
    <w:rsid w:val="088837CA"/>
    <w:rsid w:val="0888385C"/>
    <w:rsid w:val="08883874"/>
    <w:rsid w:val="08883900"/>
    <w:rsid w:val="08883931"/>
    <w:rsid w:val="0888395A"/>
    <w:rsid w:val="0888395C"/>
    <w:rsid w:val="0888396C"/>
    <w:rsid w:val="088839DF"/>
    <w:rsid w:val="08883CAF"/>
    <w:rsid w:val="08883D63"/>
    <w:rsid w:val="08883DBB"/>
    <w:rsid w:val="08883DC3"/>
    <w:rsid w:val="08883DE0"/>
    <w:rsid w:val="08883E59"/>
    <w:rsid w:val="08883F6B"/>
    <w:rsid w:val="08883F6C"/>
    <w:rsid w:val="08883F8D"/>
    <w:rsid w:val="08883FB1"/>
    <w:rsid w:val="088840ED"/>
    <w:rsid w:val="088840FA"/>
    <w:rsid w:val="0888414A"/>
    <w:rsid w:val="0888415C"/>
    <w:rsid w:val="08884270"/>
    <w:rsid w:val="08884276"/>
    <w:rsid w:val="088842AE"/>
    <w:rsid w:val="08884338"/>
    <w:rsid w:val="0888439A"/>
    <w:rsid w:val="088843DF"/>
    <w:rsid w:val="088843FB"/>
    <w:rsid w:val="088843FF"/>
    <w:rsid w:val="08884408"/>
    <w:rsid w:val="0888440D"/>
    <w:rsid w:val="08884502"/>
    <w:rsid w:val="08884528"/>
    <w:rsid w:val="08884682"/>
    <w:rsid w:val="088846CA"/>
    <w:rsid w:val="088846D3"/>
    <w:rsid w:val="088846EE"/>
    <w:rsid w:val="0888476A"/>
    <w:rsid w:val="088849F0"/>
    <w:rsid w:val="08884A86"/>
    <w:rsid w:val="08884AFA"/>
    <w:rsid w:val="08884B58"/>
    <w:rsid w:val="08884BCF"/>
    <w:rsid w:val="08884C34"/>
    <w:rsid w:val="08884CDB"/>
    <w:rsid w:val="08884D02"/>
    <w:rsid w:val="08884D2D"/>
    <w:rsid w:val="08884D5E"/>
    <w:rsid w:val="08884D7B"/>
    <w:rsid w:val="08884D7C"/>
    <w:rsid w:val="08884DBA"/>
    <w:rsid w:val="08884E77"/>
    <w:rsid w:val="08884ED8"/>
    <w:rsid w:val="08884EE1"/>
    <w:rsid w:val="08884F09"/>
    <w:rsid w:val="08884F3E"/>
    <w:rsid w:val="08884FBB"/>
    <w:rsid w:val="08885059"/>
    <w:rsid w:val="088850A5"/>
    <w:rsid w:val="088850EF"/>
    <w:rsid w:val="08885189"/>
    <w:rsid w:val="0888518B"/>
    <w:rsid w:val="08885260"/>
    <w:rsid w:val="0888530A"/>
    <w:rsid w:val="08885377"/>
    <w:rsid w:val="088853B8"/>
    <w:rsid w:val="088854F1"/>
    <w:rsid w:val="08885558"/>
    <w:rsid w:val="0888561D"/>
    <w:rsid w:val="0888564D"/>
    <w:rsid w:val="088857B9"/>
    <w:rsid w:val="088857DE"/>
    <w:rsid w:val="088858B1"/>
    <w:rsid w:val="08885931"/>
    <w:rsid w:val="08885A35"/>
    <w:rsid w:val="08885AD2"/>
    <w:rsid w:val="08885B8B"/>
    <w:rsid w:val="08885BF1"/>
    <w:rsid w:val="08885CFE"/>
    <w:rsid w:val="08885DCE"/>
    <w:rsid w:val="08885DFB"/>
    <w:rsid w:val="08885F13"/>
    <w:rsid w:val="08885F55"/>
    <w:rsid w:val="0888600D"/>
    <w:rsid w:val="0888616F"/>
    <w:rsid w:val="08886211"/>
    <w:rsid w:val="0888621F"/>
    <w:rsid w:val="08886241"/>
    <w:rsid w:val="0888625B"/>
    <w:rsid w:val="088862B5"/>
    <w:rsid w:val="088862FA"/>
    <w:rsid w:val="0888633D"/>
    <w:rsid w:val="08886340"/>
    <w:rsid w:val="088863B0"/>
    <w:rsid w:val="0888641E"/>
    <w:rsid w:val="088864AF"/>
    <w:rsid w:val="088864D7"/>
    <w:rsid w:val="08886651"/>
    <w:rsid w:val="08886761"/>
    <w:rsid w:val="08886772"/>
    <w:rsid w:val="08886807"/>
    <w:rsid w:val="0888690A"/>
    <w:rsid w:val="088869D4"/>
    <w:rsid w:val="08886C31"/>
    <w:rsid w:val="08886C68"/>
    <w:rsid w:val="08886D38"/>
    <w:rsid w:val="08886D46"/>
    <w:rsid w:val="08886D9C"/>
    <w:rsid w:val="08886E3F"/>
    <w:rsid w:val="08886ED2"/>
    <w:rsid w:val="08886EFA"/>
    <w:rsid w:val="08886F00"/>
    <w:rsid w:val="0888730D"/>
    <w:rsid w:val="08887349"/>
    <w:rsid w:val="0888735B"/>
    <w:rsid w:val="0888737D"/>
    <w:rsid w:val="08887392"/>
    <w:rsid w:val="08887399"/>
    <w:rsid w:val="088873A9"/>
    <w:rsid w:val="088873C9"/>
    <w:rsid w:val="08887417"/>
    <w:rsid w:val="0888746E"/>
    <w:rsid w:val="08887478"/>
    <w:rsid w:val="08887495"/>
    <w:rsid w:val="088874AD"/>
    <w:rsid w:val="088874E2"/>
    <w:rsid w:val="088875BE"/>
    <w:rsid w:val="088876B1"/>
    <w:rsid w:val="08887742"/>
    <w:rsid w:val="08887780"/>
    <w:rsid w:val="088877DA"/>
    <w:rsid w:val="08887918"/>
    <w:rsid w:val="088879B3"/>
    <w:rsid w:val="08887A4A"/>
    <w:rsid w:val="08887A8A"/>
    <w:rsid w:val="08887B61"/>
    <w:rsid w:val="08887BF8"/>
    <w:rsid w:val="08887D85"/>
    <w:rsid w:val="08887E66"/>
    <w:rsid w:val="08887EF3"/>
    <w:rsid w:val="08887F8F"/>
    <w:rsid w:val="08890000"/>
    <w:rsid w:val="08890059"/>
    <w:rsid w:val="0889013B"/>
    <w:rsid w:val="0889014A"/>
    <w:rsid w:val="0889019B"/>
    <w:rsid w:val="088901E5"/>
    <w:rsid w:val="08890238"/>
    <w:rsid w:val="08890368"/>
    <w:rsid w:val="088903C0"/>
    <w:rsid w:val="08890534"/>
    <w:rsid w:val="08890565"/>
    <w:rsid w:val="088905B5"/>
    <w:rsid w:val="088905BA"/>
    <w:rsid w:val="0889076A"/>
    <w:rsid w:val="08890930"/>
    <w:rsid w:val="08890981"/>
    <w:rsid w:val="088909AD"/>
    <w:rsid w:val="08890BDF"/>
    <w:rsid w:val="08890C2A"/>
    <w:rsid w:val="08890C2C"/>
    <w:rsid w:val="08890C45"/>
    <w:rsid w:val="08890CCB"/>
    <w:rsid w:val="08890D39"/>
    <w:rsid w:val="08890D6E"/>
    <w:rsid w:val="08890DDA"/>
    <w:rsid w:val="08890E3B"/>
    <w:rsid w:val="08890E50"/>
    <w:rsid w:val="08890E77"/>
    <w:rsid w:val="08891030"/>
    <w:rsid w:val="0889103B"/>
    <w:rsid w:val="08891054"/>
    <w:rsid w:val="088910A0"/>
    <w:rsid w:val="0889114B"/>
    <w:rsid w:val="08891196"/>
    <w:rsid w:val="0889125E"/>
    <w:rsid w:val="088912A2"/>
    <w:rsid w:val="088912B3"/>
    <w:rsid w:val="088912BB"/>
    <w:rsid w:val="088912C6"/>
    <w:rsid w:val="08891362"/>
    <w:rsid w:val="088913AA"/>
    <w:rsid w:val="088913E5"/>
    <w:rsid w:val="088913E9"/>
    <w:rsid w:val="0889142D"/>
    <w:rsid w:val="0889144C"/>
    <w:rsid w:val="088914A4"/>
    <w:rsid w:val="08891539"/>
    <w:rsid w:val="08891553"/>
    <w:rsid w:val="08891616"/>
    <w:rsid w:val="08891675"/>
    <w:rsid w:val="088916AA"/>
    <w:rsid w:val="0889178F"/>
    <w:rsid w:val="0889179F"/>
    <w:rsid w:val="088917F9"/>
    <w:rsid w:val="08891809"/>
    <w:rsid w:val="0889186B"/>
    <w:rsid w:val="08891905"/>
    <w:rsid w:val="08891A0C"/>
    <w:rsid w:val="08891A35"/>
    <w:rsid w:val="08891B0A"/>
    <w:rsid w:val="08891B31"/>
    <w:rsid w:val="08891B85"/>
    <w:rsid w:val="08891C3B"/>
    <w:rsid w:val="08891CE2"/>
    <w:rsid w:val="08891D48"/>
    <w:rsid w:val="08891DE0"/>
    <w:rsid w:val="08891DF2"/>
    <w:rsid w:val="08891E01"/>
    <w:rsid w:val="08891EC8"/>
    <w:rsid w:val="08891EFA"/>
    <w:rsid w:val="08891EFD"/>
    <w:rsid w:val="088920E5"/>
    <w:rsid w:val="088921AB"/>
    <w:rsid w:val="0889232F"/>
    <w:rsid w:val="08892342"/>
    <w:rsid w:val="088924FB"/>
    <w:rsid w:val="08892530"/>
    <w:rsid w:val="0889254D"/>
    <w:rsid w:val="08892601"/>
    <w:rsid w:val="08892731"/>
    <w:rsid w:val="08892785"/>
    <w:rsid w:val="088927AF"/>
    <w:rsid w:val="08892829"/>
    <w:rsid w:val="088928BF"/>
    <w:rsid w:val="08892932"/>
    <w:rsid w:val="0889299D"/>
    <w:rsid w:val="08892A0C"/>
    <w:rsid w:val="08892B15"/>
    <w:rsid w:val="08892B4B"/>
    <w:rsid w:val="08892C24"/>
    <w:rsid w:val="08892C61"/>
    <w:rsid w:val="08892D4B"/>
    <w:rsid w:val="08892D60"/>
    <w:rsid w:val="08892DA5"/>
    <w:rsid w:val="08892E52"/>
    <w:rsid w:val="08892E8F"/>
    <w:rsid w:val="08892E96"/>
    <w:rsid w:val="08892F90"/>
    <w:rsid w:val="08892FA0"/>
    <w:rsid w:val="08892FE6"/>
    <w:rsid w:val="08892FF6"/>
    <w:rsid w:val="0889301F"/>
    <w:rsid w:val="08893045"/>
    <w:rsid w:val="088930A5"/>
    <w:rsid w:val="08893116"/>
    <w:rsid w:val="088931EE"/>
    <w:rsid w:val="08893241"/>
    <w:rsid w:val="08893243"/>
    <w:rsid w:val="08893257"/>
    <w:rsid w:val="08893301"/>
    <w:rsid w:val="0889331D"/>
    <w:rsid w:val="0889332A"/>
    <w:rsid w:val="08893364"/>
    <w:rsid w:val="088933E3"/>
    <w:rsid w:val="088934D9"/>
    <w:rsid w:val="0889350E"/>
    <w:rsid w:val="0889352C"/>
    <w:rsid w:val="08893573"/>
    <w:rsid w:val="088935DB"/>
    <w:rsid w:val="08893607"/>
    <w:rsid w:val="0889361B"/>
    <w:rsid w:val="08893623"/>
    <w:rsid w:val="08893674"/>
    <w:rsid w:val="088936EB"/>
    <w:rsid w:val="0889371C"/>
    <w:rsid w:val="08893729"/>
    <w:rsid w:val="08893818"/>
    <w:rsid w:val="08893891"/>
    <w:rsid w:val="0889390A"/>
    <w:rsid w:val="08893976"/>
    <w:rsid w:val="088939C1"/>
    <w:rsid w:val="08893A29"/>
    <w:rsid w:val="08893AA5"/>
    <w:rsid w:val="08893B21"/>
    <w:rsid w:val="08893C18"/>
    <w:rsid w:val="08893C3F"/>
    <w:rsid w:val="08893C66"/>
    <w:rsid w:val="08893C79"/>
    <w:rsid w:val="08893CA9"/>
    <w:rsid w:val="08893D9F"/>
    <w:rsid w:val="08893DB2"/>
    <w:rsid w:val="08893E7D"/>
    <w:rsid w:val="08893ED9"/>
    <w:rsid w:val="08893F4A"/>
    <w:rsid w:val="08893FAE"/>
    <w:rsid w:val="08893FFC"/>
    <w:rsid w:val="08894050"/>
    <w:rsid w:val="088940E2"/>
    <w:rsid w:val="08894133"/>
    <w:rsid w:val="0889413F"/>
    <w:rsid w:val="08894142"/>
    <w:rsid w:val="08894168"/>
    <w:rsid w:val="0889417B"/>
    <w:rsid w:val="088943E0"/>
    <w:rsid w:val="08894412"/>
    <w:rsid w:val="08894415"/>
    <w:rsid w:val="0889443D"/>
    <w:rsid w:val="08894469"/>
    <w:rsid w:val="08894494"/>
    <w:rsid w:val="088944BC"/>
    <w:rsid w:val="088944E1"/>
    <w:rsid w:val="088944F4"/>
    <w:rsid w:val="0889452A"/>
    <w:rsid w:val="08894619"/>
    <w:rsid w:val="088947FC"/>
    <w:rsid w:val="0889489A"/>
    <w:rsid w:val="08894902"/>
    <w:rsid w:val="08894A2E"/>
    <w:rsid w:val="08894A36"/>
    <w:rsid w:val="08894B11"/>
    <w:rsid w:val="08894BA7"/>
    <w:rsid w:val="08894BB2"/>
    <w:rsid w:val="08894BE5"/>
    <w:rsid w:val="08894BF2"/>
    <w:rsid w:val="08894C56"/>
    <w:rsid w:val="08894CA0"/>
    <w:rsid w:val="08894CD6"/>
    <w:rsid w:val="08894CDF"/>
    <w:rsid w:val="08894E42"/>
    <w:rsid w:val="08894F13"/>
    <w:rsid w:val="08894F32"/>
    <w:rsid w:val="088950E8"/>
    <w:rsid w:val="088950FC"/>
    <w:rsid w:val="0889510D"/>
    <w:rsid w:val="08895118"/>
    <w:rsid w:val="0889511D"/>
    <w:rsid w:val="08895181"/>
    <w:rsid w:val="08895187"/>
    <w:rsid w:val="088951D0"/>
    <w:rsid w:val="08895217"/>
    <w:rsid w:val="0889521F"/>
    <w:rsid w:val="088952E4"/>
    <w:rsid w:val="08895338"/>
    <w:rsid w:val="088953B3"/>
    <w:rsid w:val="08895470"/>
    <w:rsid w:val="08895495"/>
    <w:rsid w:val="0889550A"/>
    <w:rsid w:val="0889550F"/>
    <w:rsid w:val="08895546"/>
    <w:rsid w:val="088955D2"/>
    <w:rsid w:val="08895602"/>
    <w:rsid w:val="0889564B"/>
    <w:rsid w:val="08895651"/>
    <w:rsid w:val="088957B1"/>
    <w:rsid w:val="0889584D"/>
    <w:rsid w:val="08895948"/>
    <w:rsid w:val="08895957"/>
    <w:rsid w:val="088959A4"/>
    <w:rsid w:val="088959C4"/>
    <w:rsid w:val="08895AFF"/>
    <w:rsid w:val="08895B61"/>
    <w:rsid w:val="08895DF7"/>
    <w:rsid w:val="08895E22"/>
    <w:rsid w:val="08895F68"/>
    <w:rsid w:val="08895F9C"/>
    <w:rsid w:val="08896058"/>
    <w:rsid w:val="088960CE"/>
    <w:rsid w:val="088960D2"/>
    <w:rsid w:val="08896137"/>
    <w:rsid w:val="0889618A"/>
    <w:rsid w:val="08896197"/>
    <w:rsid w:val="088961D4"/>
    <w:rsid w:val="088963AD"/>
    <w:rsid w:val="088963C2"/>
    <w:rsid w:val="08896410"/>
    <w:rsid w:val="0889647A"/>
    <w:rsid w:val="08896570"/>
    <w:rsid w:val="0889660B"/>
    <w:rsid w:val="0889664E"/>
    <w:rsid w:val="08896682"/>
    <w:rsid w:val="088967D2"/>
    <w:rsid w:val="088967E9"/>
    <w:rsid w:val="088967EE"/>
    <w:rsid w:val="08896814"/>
    <w:rsid w:val="08896826"/>
    <w:rsid w:val="08896895"/>
    <w:rsid w:val="088968A2"/>
    <w:rsid w:val="088968F9"/>
    <w:rsid w:val="08896987"/>
    <w:rsid w:val="08896A86"/>
    <w:rsid w:val="08896B70"/>
    <w:rsid w:val="08896BB5"/>
    <w:rsid w:val="08896BF7"/>
    <w:rsid w:val="08896BFC"/>
    <w:rsid w:val="08896C08"/>
    <w:rsid w:val="08896C5D"/>
    <w:rsid w:val="08896CA0"/>
    <w:rsid w:val="08896CCD"/>
    <w:rsid w:val="08896CEE"/>
    <w:rsid w:val="08896D24"/>
    <w:rsid w:val="08896DF8"/>
    <w:rsid w:val="08896E44"/>
    <w:rsid w:val="08896E9E"/>
    <w:rsid w:val="08896EA4"/>
    <w:rsid w:val="08896F8D"/>
    <w:rsid w:val="08896FDA"/>
    <w:rsid w:val="08897030"/>
    <w:rsid w:val="0889705E"/>
    <w:rsid w:val="088970DD"/>
    <w:rsid w:val="0889711A"/>
    <w:rsid w:val="08897159"/>
    <w:rsid w:val="08897174"/>
    <w:rsid w:val="088971E2"/>
    <w:rsid w:val="088971F4"/>
    <w:rsid w:val="0889720B"/>
    <w:rsid w:val="08897468"/>
    <w:rsid w:val="088974B1"/>
    <w:rsid w:val="08897521"/>
    <w:rsid w:val="0889758E"/>
    <w:rsid w:val="088977AA"/>
    <w:rsid w:val="088977EF"/>
    <w:rsid w:val="08897842"/>
    <w:rsid w:val="088978A7"/>
    <w:rsid w:val="088978FD"/>
    <w:rsid w:val="08897B0F"/>
    <w:rsid w:val="08897B25"/>
    <w:rsid w:val="08897B46"/>
    <w:rsid w:val="08897D05"/>
    <w:rsid w:val="08897DB7"/>
    <w:rsid w:val="08897F1C"/>
    <w:rsid w:val="08897FB0"/>
    <w:rsid w:val="088A0021"/>
    <w:rsid w:val="088A0035"/>
    <w:rsid w:val="088A00A0"/>
    <w:rsid w:val="088A00CA"/>
    <w:rsid w:val="088A00EE"/>
    <w:rsid w:val="088A0126"/>
    <w:rsid w:val="088A0192"/>
    <w:rsid w:val="088A0199"/>
    <w:rsid w:val="088A0211"/>
    <w:rsid w:val="088A0263"/>
    <w:rsid w:val="088A0290"/>
    <w:rsid w:val="088A02BA"/>
    <w:rsid w:val="088A02E8"/>
    <w:rsid w:val="088A0337"/>
    <w:rsid w:val="088A039E"/>
    <w:rsid w:val="088A03A8"/>
    <w:rsid w:val="088A03FD"/>
    <w:rsid w:val="088A0402"/>
    <w:rsid w:val="088A04CD"/>
    <w:rsid w:val="088A0616"/>
    <w:rsid w:val="088A0644"/>
    <w:rsid w:val="088A06B0"/>
    <w:rsid w:val="088A0900"/>
    <w:rsid w:val="088A0936"/>
    <w:rsid w:val="088A09D4"/>
    <w:rsid w:val="088A0A22"/>
    <w:rsid w:val="088A0A99"/>
    <w:rsid w:val="088A0BA3"/>
    <w:rsid w:val="088A0BD0"/>
    <w:rsid w:val="088A0C16"/>
    <w:rsid w:val="088A0C94"/>
    <w:rsid w:val="088A0D25"/>
    <w:rsid w:val="088A0D34"/>
    <w:rsid w:val="088A0D58"/>
    <w:rsid w:val="088A0DE0"/>
    <w:rsid w:val="088A0E09"/>
    <w:rsid w:val="088A0EB5"/>
    <w:rsid w:val="088A0FC1"/>
    <w:rsid w:val="088A102E"/>
    <w:rsid w:val="088A1037"/>
    <w:rsid w:val="088A1072"/>
    <w:rsid w:val="088A107B"/>
    <w:rsid w:val="088A118A"/>
    <w:rsid w:val="088A11A2"/>
    <w:rsid w:val="088A1238"/>
    <w:rsid w:val="088A124F"/>
    <w:rsid w:val="088A128B"/>
    <w:rsid w:val="088A12F8"/>
    <w:rsid w:val="088A1301"/>
    <w:rsid w:val="088A1367"/>
    <w:rsid w:val="088A140B"/>
    <w:rsid w:val="088A141E"/>
    <w:rsid w:val="088A1427"/>
    <w:rsid w:val="088A149F"/>
    <w:rsid w:val="088A14D5"/>
    <w:rsid w:val="088A150D"/>
    <w:rsid w:val="088A1535"/>
    <w:rsid w:val="088A15F1"/>
    <w:rsid w:val="088A16C3"/>
    <w:rsid w:val="088A1739"/>
    <w:rsid w:val="088A1789"/>
    <w:rsid w:val="088A17D9"/>
    <w:rsid w:val="088A1801"/>
    <w:rsid w:val="088A1810"/>
    <w:rsid w:val="088A1814"/>
    <w:rsid w:val="088A18E5"/>
    <w:rsid w:val="088A19A2"/>
    <w:rsid w:val="088A1A94"/>
    <w:rsid w:val="088A1ADF"/>
    <w:rsid w:val="088A1AE8"/>
    <w:rsid w:val="088A1B25"/>
    <w:rsid w:val="088A1B78"/>
    <w:rsid w:val="088A1BAB"/>
    <w:rsid w:val="088A1C3F"/>
    <w:rsid w:val="088A1C78"/>
    <w:rsid w:val="088A1D34"/>
    <w:rsid w:val="088A1E2E"/>
    <w:rsid w:val="088A1E9A"/>
    <w:rsid w:val="088A1EC0"/>
    <w:rsid w:val="088A1F01"/>
    <w:rsid w:val="088A1F2C"/>
    <w:rsid w:val="088A1F76"/>
    <w:rsid w:val="088A2076"/>
    <w:rsid w:val="088A213B"/>
    <w:rsid w:val="088A21A9"/>
    <w:rsid w:val="088A21F1"/>
    <w:rsid w:val="088A2206"/>
    <w:rsid w:val="088A2210"/>
    <w:rsid w:val="088A2234"/>
    <w:rsid w:val="088A226C"/>
    <w:rsid w:val="088A22AE"/>
    <w:rsid w:val="088A240B"/>
    <w:rsid w:val="088A250C"/>
    <w:rsid w:val="088A2584"/>
    <w:rsid w:val="088A2651"/>
    <w:rsid w:val="088A26A1"/>
    <w:rsid w:val="088A26F3"/>
    <w:rsid w:val="088A2799"/>
    <w:rsid w:val="088A298D"/>
    <w:rsid w:val="088A2ADC"/>
    <w:rsid w:val="088A2C95"/>
    <w:rsid w:val="088A2CB8"/>
    <w:rsid w:val="088A2D33"/>
    <w:rsid w:val="088A2DE1"/>
    <w:rsid w:val="088A2DE4"/>
    <w:rsid w:val="088A2EF0"/>
    <w:rsid w:val="088A2F4F"/>
    <w:rsid w:val="088A2F78"/>
    <w:rsid w:val="088A2F7A"/>
    <w:rsid w:val="088A2FEE"/>
    <w:rsid w:val="088A2FF8"/>
    <w:rsid w:val="088A2FFA"/>
    <w:rsid w:val="088A3035"/>
    <w:rsid w:val="088A308A"/>
    <w:rsid w:val="088A3164"/>
    <w:rsid w:val="088A31DF"/>
    <w:rsid w:val="088A3226"/>
    <w:rsid w:val="088A3236"/>
    <w:rsid w:val="088A329C"/>
    <w:rsid w:val="088A337D"/>
    <w:rsid w:val="088A34CA"/>
    <w:rsid w:val="088A370D"/>
    <w:rsid w:val="088A3972"/>
    <w:rsid w:val="088A39C3"/>
    <w:rsid w:val="088A3B9E"/>
    <w:rsid w:val="088A3BC6"/>
    <w:rsid w:val="088A3C63"/>
    <w:rsid w:val="088A3C6C"/>
    <w:rsid w:val="088A3C85"/>
    <w:rsid w:val="088A3D2B"/>
    <w:rsid w:val="088A3D2E"/>
    <w:rsid w:val="088A3D3A"/>
    <w:rsid w:val="088A3D94"/>
    <w:rsid w:val="088A3F33"/>
    <w:rsid w:val="088A3F71"/>
    <w:rsid w:val="088A408F"/>
    <w:rsid w:val="088A4202"/>
    <w:rsid w:val="088A4208"/>
    <w:rsid w:val="088A425F"/>
    <w:rsid w:val="088A427F"/>
    <w:rsid w:val="088A4290"/>
    <w:rsid w:val="088A42A9"/>
    <w:rsid w:val="088A42F7"/>
    <w:rsid w:val="088A439C"/>
    <w:rsid w:val="088A4417"/>
    <w:rsid w:val="088A4432"/>
    <w:rsid w:val="088A44BC"/>
    <w:rsid w:val="088A44CD"/>
    <w:rsid w:val="088A44F6"/>
    <w:rsid w:val="088A4767"/>
    <w:rsid w:val="088A4769"/>
    <w:rsid w:val="088A47B6"/>
    <w:rsid w:val="088A47E8"/>
    <w:rsid w:val="088A4836"/>
    <w:rsid w:val="088A4910"/>
    <w:rsid w:val="088A49A0"/>
    <w:rsid w:val="088A49AA"/>
    <w:rsid w:val="088A49C8"/>
    <w:rsid w:val="088A49F5"/>
    <w:rsid w:val="088A4A02"/>
    <w:rsid w:val="088A4AA4"/>
    <w:rsid w:val="088A4AE5"/>
    <w:rsid w:val="088A4AF1"/>
    <w:rsid w:val="088A4B2D"/>
    <w:rsid w:val="088A4B80"/>
    <w:rsid w:val="088A4B96"/>
    <w:rsid w:val="088A4BE9"/>
    <w:rsid w:val="088A4CEF"/>
    <w:rsid w:val="088A4EED"/>
    <w:rsid w:val="088A4F1D"/>
    <w:rsid w:val="088A4F6F"/>
    <w:rsid w:val="088A4F92"/>
    <w:rsid w:val="088A4FA0"/>
    <w:rsid w:val="088A4FD4"/>
    <w:rsid w:val="088A5003"/>
    <w:rsid w:val="088A50CC"/>
    <w:rsid w:val="088A517A"/>
    <w:rsid w:val="088A518E"/>
    <w:rsid w:val="088A5198"/>
    <w:rsid w:val="088A53C8"/>
    <w:rsid w:val="088A5456"/>
    <w:rsid w:val="088A54B2"/>
    <w:rsid w:val="088A5555"/>
    <w:rsid w:val="088A55EA"/>
    <w:rsid w:val="088A567F"/>
    <w:rsid w:val="088A56A2"/>
    <w:rsid w:val="088A56F7"/>
    <w:rsid w:val="088A5800"/>
    <w:rsid w:val="088A5818"/>
    <w:rsid w:val="088A587A"/>
    <w:rsid w:val="088A592A"/>
    <w:rsid w:val="088A5967"/>
    <w:rsid w:val="088A5A56"/>
    <w:rsid w:val="088A5B72"/>
    <w:rsid w:val="088A5B7D"/>
    <w:rsid w:val="088A5C37"/>
    <w:rsid w:val="088A5CAD"/>
    <w:rsid w:val="088A5CBE"/>
    <w:rsid w:val="088A5CCC"/>
    <w:rsid w:val="088A5D2D"/>
    <w:rsid w:val="088A5D8D"/>
    <w:rsid w:val="088A5DA3"/>
    <w:rsid w:val="088A5E38"/>
    <w:rsid w:val="088A5F34"/>
    <w:rsid w:val="088A602B"/>
    <w:rsid w:val="088A6033"/>
    <w:rsid w:val="088A6056"/>
    <w:rsid w:val="088A6099"/>
    <w:rsid w:val="088A6143"/>
    <w:rsid w:val="088A627B"/>
    <w:rsid w:val="088A631E"/>
    <w:rsid w:val="088A6348"/>
    <w:rsid w:val="088A6368"/>
    <w:rsid w:val="088A638E"/>
    <w:rsid w:val="088A646C"/>
    <w:rsid w:val="088A64B2"/>
    <w:rsid w:val="088A64C0"/>
    <w:rsid w:val="088A650C"/>
    <w:rsid w:val="088A6544"/>
    <w:rsid w:val="088A655C"/>
    <w:rsid w:val="088A65EC"/>
    <w:rsid w:val="088A6618"/>
    <w:rsid w:val="088A6698"/>
    <w:rsid w:val="088A66FC"/>
    <w:rsid w:val="088A6778"/>
    <w:rsid w:val="088A67CF"/>
    <w:rsid w:val="088A6857"/>
    <w:rsid w:val="088A68C0"/>
    <w:rsid w:val="088A69A4"/>
    <w:rsid w:val="088A6A15"/>
    <w:rsid w:val="088A6A24"/>
    <w:rsid w:val="088A6A3D"/>
    <w:rsid w:val="088A6B0C"/>
    <w:rsid w:val="088A6B61"/>
    <w:rsid w:val="088A6BFD"/>
    <w:rsid w:val="088A6C34"/>
    <w:rsid w:val="088A6CCE"/>
    <w:rsid w:val="088A6D23"/>
    <w:rsid w:val="088A6DDF"/>
    <w:rsid w:val="088A6FD0"/>
    <w:rsid w:val="088A6FED"/>
    <w:rsid w:val="088A7003"/>
    <w:rsid w:val="088A709F"/>
    <w:rsid w:val="088A70BD"/>
    <w:rsid w:val="088A7203"/>
    <w:rsid w:val="088A726E"/>
    <w:rsid w:val="088A72E8"/>
    <w:rsid w:val="088A732D"/>
    <w:rsid w:val="088A73E1"/>
    <w:rsid w:val="088A7402"/>
    <w:rsid w:val="088A74D9"/>
    <w:rsid w:val="088A74F1"/>
    <w:rsid w:val="088A77AA"/>
    <w:rsid w:val="088A77D6"/>
    <w:rsid w:val="088A7800"/>
    <w:rsid w:val="088A781C"/>
    <w:rsid w:val="088A7975"/>
    <w:rsid w:val="088A798F"/>
    <w:rsid w:val="088A79CE"/>
    <w:rsid w:val="088A7A00"/>
    <w:rsid w:val="088A7AD3"/>
    <w:rsid w:val="088A7BBC"/>
    <w:rsid w:val="088A7D43"/>
    <w:rsid w:val="088A7D45"/>
    <w:rsid w:val="088A7FDF"/>
    <w:rsid w:val="088B0125"/>
    <w:rsid w:val="088B01B3"/>
    <w:rsid w:val="088B0220"/>
    <w:rsid w:val="088B022E"/>
    <w:rsid w:val="088B02A5"/>
    <w:rsid w:val="088B02C9"/>
    <w:rsid w:val="088B0302"/>
    <w:rsid w:val="088B0341"/>
    <w:rsid w:val="088B0353"/>
    <w:rsid w:val="088B03BD"/>
    <w:rsid w:val="088B03FF"/>
    <w:rsid w:val="088B042C"/>
    <w:rsid w:val="088B0439"/>
    <w:rsid w:val="088B04EA"/>
    <w:rsid w:val="088B05FA"/>
    <w:rsid w:val="088B0606"/>
    <w:rsid w:val="088B071C"/>
    <w:rsid w:val="088B0750"/>
    <w:rsid w:val="088B0764"/>
    <w:rsid w:val="088B0772"/>
    <w:rsid w:val="088B07FF"/>
    <w:rsid w:val="088B08C9"/>
    <w:rsid w:val="088B08D3"/>
    <w:rsid w:val="088B08FD"/>
    <w:rsid w:val="088B096F"/>
    <w:rsid w:val="088B0987"/>
    <w:rsid w:val="088B09B4"/>
    <w:rsid w:val="088B0BCA"/>
    <w:rsid w:val="088B0C23"/>
    <w:rsid w:val="088B0CD3"/>
    <w:rsid w:val="088B0D3A"/>
    <w:rsid w:val="088B0D6D"/>
    <w:rsid w:val="088B0D88"/>
    <w:rsid w:val="088B0DB2"/>
    <w:rsid w:val="088B0DF1"/>
    <w:rsid w:val="088B0E37"/>
    <w:rsid w:val="088B0FE1"/>
    <w:rsid w:val="088B1075"/>
    <w:rsid w:val="088B10AC"/>
    <w:rsid w:val="088B10EF"/>
    <w:rsid w:val="088B1188"/>
    <w:rsid w:val="088B1216"/>
    <w:rsid w:val="088B123B"/>
    <w:rsid w:val="088B133D"/>
    <w:rsid w:val="088B1378"/>
    <w:rsid w:val="088B13D1"/>
    <w:rsid w:val="088B13FD"/>
    <w:rsid w:val="088B144E"/>
    <w:rsid w:val="088B14AF"/>
    <w:rsid w:val="088B14CF"/>
    <w:rsid w:val="088B1554"/>
    <w:rsid w:val="088B15CA"/>
    <w:rsid w:val="088B15D1"/>
    <w:rsid w:val="088B15E2"/>
    <w:rsid w:val="088B15FD"/>
    <w:rsid w:val="088B16E7"/>
    <w:rsid w:val="088B1805"/>
    <w:rsid w:val="088B1831"/>
    <w:rsid w:val="088B190C"/>
    <w:rsid w:val="088B1921"/>
    <w:rsid w:val="088B196F"/>
    <w:rsid w:val="088B199D"/>
    <w:rsid w:val="088B19BD"/>
    <w:rsid w:val="088B1C60"/>
    <w:rsid w:val="088B1C78"/>
    <w:rsid w:val="088B1C93"/>
    <w:rsid w:val="088B1D13"/>
    <w:rsid w:val="088B1D2C"/>
    <w:rsid w:val="088B1D72"/>
    <w:rsid w:val="088B1D75"/>
    <w:rsid w:val="088B1DB4"/>
    <w:rsid w:val="088B1FAD"/>
    <w:rsid w:val="088B1FDB"/>
    <w:rsid w:val="088B2065"/>
    <w:rsid w:val="088B20A3"/>
    <w:rsid w:val="088B20AF"/>
    <w:rsid w:val="088B211B"/>
    <w:rsid w:val="088B212A"/>
    <w:rsid w:val="088B2201"/>
    <w:rsid w:val="088B2278"/>
    <w:rsid w:val="088B2296"/>
    <w:rsid w:val="088B22EA"/>
    <w:rsid w:val="088B2308"/>
    <w:rsid w:val="088B2317"/>
    <w:rsid w:val="088B237C"/>
    <w:rsid w:val="088B2381"/>
    <w:rsid w:val="088B2446"/>
    <w:rsid w:val="088B24B6"/>
    <w:rsid w:val="088B24C5"/>
    <w:rsid w:val="088B254A"/>
    <w:rsid w:val="088B254C"/>
    <w:rsid w:val="088B2618"/>
    <w:rsid w:val="088B2627"/>
    <w:rsid w:val="088B2955"/>
    <w:rsid w:val="088B2973"/>
    <w:rsid w:val="088B29BE"/>
    <w:rsid w:val="088B29CB"/>
    <w:rsid w:val="088B29D3"/>
    <w:rsid w:val="088B29E6"/>
    <w:rsid w:val="088B2A1D"/>
    <w:rsid w:val="088B2A6E"/>
    <w:rsid w:val="088B2BB6"/>
    <w:rsid w:val="088B2D31"/>
    <w:rsid w:val="088B2E4D"/>
    <w:rsid w:val="088B2F42"/>
    <w:rsid w:val="088B2F72"/>
    <w:rsid w:val="088B3038"/>
    <w:rsid w:val="088B3051"/>
    <w:rsid w:val="088B306E"/>
    <w:rsid w:val="088B316D"/>
    <w:rsid w:val="088B31AC"/>
    <w:rsid w:val="088B3255"/>
    <w:rsid w:val="088B3355"/>
    <w:rsid w:val="088B33EE"/>
    <w:rsid w:val="088B3411"/>
    <w:rsid w:val="088B34FD"/>
    <w:rsid w:val="088B3536"/>
    <w:rsid w:val="088B355E"/>
    <w:rsid w:val="088B3577"/>
    <w:rsid w:val="088B35CD"/>
    <w:rsid w:val="088B3799"/>
    <w:rsid w:val="088B38E9"/>
    <w:rsid w:val="088B3970"/>
    <w:rsid w:val="088B39D3"/>
    <w:rsid w:val="088B3A0C"/>
    <w:rsid w:val="088B3B58"/>
    <w:rsid w:val="088B3DE9"/>
    <w:rsid w:val="088B3DEA"/>
    <w:rsid w:val="088B3E1C"/>
    <w:rsid w:val="088B3ECD"/>
    <w:rsid w:val="088B3EDF"/>
    <w:rsid w:val="088B3F1F"/>
    <w:rsid w:val="088B3F64"/>
    <w:rsid w:val="088B4031"/>
    <w:rsid w:val="088B4144"/>
    <w:rsid w:val="088B4178"/>
    <w:rsid w:val="088B4182"/>
    <w:rsid w:val="088B41BE"/>
    <w:rsid w:val="088B4251"/>
    <w:rsid w:val="088B427D"/>
    <w:rsid w:val="088B42D1"/>
    <w:rsid w:val="088B442A"/>
    <w:rsid w:val="088B45D3"/>
    <w:rsid w:val="088B4633"/>
    <w:rsid w:val="088B4734"/>
    <w:rsid w:val="088B473B"/>
    <w:rsid w:val="088B47E7"/>
    <w:rsid w:val="088B4847"/>
    <w:rsid w:val="088B484E"/>
    <w:rsid w:val="088B4859"/>
    <w:rsid w:val="088B4862"/>
    <w:rsid w:val="088B486F"/>
    <w:rsid w:val="088B48A2"/>
    <w:rsid w:val="088B48DB"/>
    <w:rsid w:val="088B48EA"/>
    <w:rsid w:val="088B49CB"/>
    <w:rsid w:val="088B49CC"/>
    <w:rsid w:val="088B49DB"/>
    <w:rsid w:val="088B4A34"/>
    <w:rsid w:val="088B4B2A"/>
    <w:rsid w:val="088B4B74"/>
    <w:rsid w:val="088B4BA0"/>
    <w:rsid w:val="088B4BBF"/>
    <w:rsid w:val="088B4D06"/>
    <w:rsid w:val="088B4D3A"/>
    <w:rsid w:val="088B4D6B"/>
    <w:rsid w:val="088B4DEF"/>
    <w:rsid w:val="088B4ECB"/>
    <w:rsid w:val="088B4FF2"/>
    <w:rsid w:val="088B5008"/>
    <w:rsid w:val="088B5024"/>
    <w:rsid w:val="088B50A1"/>
    <w:rsid w:val="088B50F1"/>
    <w:rsid w:val="088B5109"/>
    <w:rsid w:val="088B51C5"/>
    <w:rsid w:val="088B51E3"/>
    <w:rsid w:val="088B52B7"/>
    <w:rsid w:val="088B52C4"/>
    <w:rsid w:val="088B5308"/>
    <w:rsid w:val="088B53B3"/>
    <w:rsid w:val="088B5486"/>
    <w:rsid w:val="088B54CA"/>
    <w:rsid w:val="088B560D"/>
    <w:rsid w:val="088B5708"/>
    <w:rsid w:val="088B5749"/>
    <w:rsid w:val="088B57C2"/>
    <w:rsid w:val="088B58DA"/>
    <w:rsid w:val="088B58DF"/>
    <w:rsid w:val="088B59B0"/>
    <w:rsid w:val="088B5A23"/>
    <w:rsid w:val="088B5A9A"/>
    <w:rsid w:val="088B5AFA"/>
    <w:rsid w:val="088B5B91"/>
    <w:rsid w:val="088B5BB9"/>
    <w:rsid w:val="088B5C3A"/>
    <w:rsid w:val="088B5CC6"/>
    <w:rsid w:val="088B5D8E"/>
    <w:rsid w:val="088B5DC1"/>
    <w:rsid w:val="088B5E39"/>
    <w:rsid w:val="088B5EC0"/>
    <w:rsid w:val="088B5EE7"/>
    <w:rsid w:val="088B5FA0"/>
    <w:rsid w:val="088B5FB9"/>
    <w:rsid w:val="088B6010"/>
    <w:rsid w:val="088B60BD"/>
    <w:rsid w:val="088B6142"/>
    <w:rsid w:val="088B6157"/>
    <w:rsid w:val="088B6198"/>
    <w:rsid w:val="088B61FF"/>
    <w:rsid w:val="088B6226"/>
    <w:rsid w:val="088B6248"/>
    <w:rsid w:val="088B62D8"/>
    <w:rsid w:val="088B6382"/>
    <w:rsid w:val="088B6415"/>
    <w:rsid w:val="088B646B"/>
    <w:rsid w:val="088B6489"/>
    <w:rsid w:val="088B652E"/>
    <w:rsid w:val="088B6548"/>
    <w:rsid w:val="088B6611"/>
    <w:rsid w:val="088B6681"/>
    <w:rsid w:val="088B6696"/>
    <w:rsid w:val="088B66D0"/>
    <w:rsid w:val="088B66EA"/>
    <w:rsid w:val="088B6869"/>
    <w:rsid w:val="088B68C8"/>
    <w:rsid w:val="088B68D8"/>
    <w:rsid w:val="088B6942"/>
    <w:rsid w:val="088B69C5"/>
    <w:rsid w:val="088B6B3D"/>
    <w:rsid w:val="088B6B4C"/>
    <w:rsid w:val="088B6B5F"/>
    <w:rsid w:val="088B6C43"/>
    <w:rsid w:val="088B6C7F"/>
    <w:rsid w:val="088B6D4D"/>
    <w:rsid w:val="088B6D9E"/>
    <w:rsid w:val="088B6E49"/>
    <w:rsid w:val="088B6F1D"/>
    <w:rsid w:val="088B702C"/>
    <w:rsid w:val="088B7091"/>
    <w:rsid w:val="088B711D"/>
    <w:rsid w:val="088B713D"/>
    <w:rsid w:val="088B7169"/>
    <w:rsid w:val="088B71A0"/>
    <w:rsid w:val="088B71AF"/>
    <w:rsid w:val="088B724F"/>
    <w:rsid w:val="088B7327"/>
    <w:rsid w:val="088B7354"/>
    <w:rsid w:val="088B735C"/>
    <w:rsid w:val="088B7395"/>
    <w:rsid w:val="088B7448"/>
    <w:rsid w:val="088B7474"/>
    <w:rsid w:val="088B74A5"/>
    <w:rsid w:val="088B757E"/>
    <w:rsid w:val="088B75B9"/>
    <w:rsid w:val="088B7600"/>
    <w:rsid w:val="088B775B"/>
    <w:rsid w:val="088B77AD"/>
    <w:rsid w:val="088B77C4"/>
    <w:rsid w:val="088B7857"/>
    <w:rsid w:val="088B7863"/>
    <w:rsid w:val="088B78B3"/>
    <w:rsid w:val="088B794C"/>
    <w:rsid w:val="088B795D"/>
    <w:rsid w:val="088B796D"/>
    <w:rsid w:val="088B7A1F"/>
    <w:rsid w:val="088B7A35"/>
    <w:rsid w:val="088B7A69"/>
    <w:rsid w:val="088B7AA3"/>
    <w:rsid w:val="088B7B17"/>
    <w:rsid w:val="088B7B2F"/>
    <w:rsid w:val="088B7B6B"/>
    <w:rsid w:val="088B7B6E"/>
    <w:rsid w:val="088B7BD9"/>
    <w:rsid w:val="088B7BF5"/>
    <w:rsid w:val="088B7C96"/>
    <w:rsid w:val="088B7CF5"/>
    <w:rsid w:val="088B7DBC"/>
    <w:rsid w:val="088B7E7E"/>
    <w:rsid w:val="088B7E9C"/>
    <w:rsid w:val="088B7EBA"/>
    <w:rsid w:val="088B7EE0"/>
    <w:rsid w:val="088B7F40"/>
    <w:rsid w:val="088B7F4F"/>
    <w:rsid w:val="088C0057"/>
    <w:rsid w:val="088C006D"/>
    <w:rsid w:val="088C0276"/>
    <w:rsid w:val="088C02A4"/>
    <w:rsid w:val="088C03A3"/>
    <w:rsid w:val="088C0439"/>
    <w:rsid w:val="088C05AE"/>
    <w:rsid w:val="088C0621"/>
    <w:rsid w:val="088C06E6"/>
    <w:rsid w:val="088C06E7"/>
    <w:rsid w:val="088C06EE"/>
    <w:rsid w:val="088C06FA"/>
    <w:rsid w:val="088C073D"/>
    <w:rsid w:val="088C07A5"/>
    <w:rsid w:val="088C08BA"/>
    <w:rsid w:val="088C0921"/>
    <w:rsid w:val="088C0956"/>
    <w:rsid w:val="088C0996"/>
    <w:rsid w:val="088C09D7"/>
    <w:rsid w:val="088C09FC"/>
    <w:rsid w:val="088C0A6E"/>
    <w:rsid w:val="088C0B89"/>
    <w:rsid w:val="088C0BA1"/>
    <w:rsid w:val="088C0C5D"/>
    <w:rsid w:val="088C0C7A"/>
    <w:rsid w:val="088C0D0D"/>
    <w:rsid w:val="088C0EAD"/>
    <w:rsid w:val="088C0F8F"/>
    <w:rsid w:val="088C0F93"/>
    <w:rsid w:val="088C1077"/>
    <w:rsid w:val="088C108A"/>
    <w:rsid w:val="088C10B3"/>
    <w:rsid w:val="088C1137"/>
    <w:rsid w:val="088C117D"/>
    <w:rsid w:val="088C11A6"/>
    <w:rsid w:val="088C1248"/>
    <w:rsid w:val="088C12AE"/>
    <w:rsid w:val="088C1320"/>
    <w:rsid w:val="088C136B"/>
    <w:rsid w:val="088C137F"/>
    <w:rsid w:val="088C1439"/>
    <w:rsid w:val="088C156C"/>
    <w:rsid w:val="088C15A8"/>
    <w:rsid w:val="088C15B2"/>
    <w:rsid w:val="088C15E3"/>
    <w:rsid w:val="088C160B"/>
    <w:rsid w:val="088C166F"/>
    <w:rsid w:val="088C16F2"/>
    <w:rsid w:val="088C177C"/>
    <w:rsid w:val="088C180E"/>
    <w:rsid w:val="088C18E9"/>
    <w:rsid w:val="088C19F9"/>
    <w:rsid w:val="088C19FB"/>
    <w:rsid w:val="088C1A7A"/>
    <w:rsid w:val="088C1AC9"/>
    <w:rsid w:val="088C1B04"/>
    <w:rsid w:val="088C1B3B"/>
    <w:rsid w:val="088C1B3D"/>
    <w:rsid w:val="088C1B48"/>
    <w:rsid w:val="088C1B6C"/>
    <w:rsid w:val="088C1B95"/>
    <w:rsid w:val="088C1C25"/>
    <w:rsid w:val="088C1C56"/>
    <w:rsid w:val="088C1D23"/>
    <w:rsid w:val="088C1E27"/>
    <w:rsid w:val="088C1EAE"/>
    <w:rsid w:val="088C1EE1"/>
    <w:rsid w:val="088C1FAA"/>
    <w:rsid w:val="088C2011"/>
    <w:rsid w:val="088C20CC"/>
    <w:rsid w:val="088C2108"/>
    <w:rsid w:val="088C216D"/>
    <w:rsid w:val="088C217D"/>
    <w:rsid w:val="088C2267"/>
    <w:rsid w:val="088C239E"/>
    <w:rsid w:val="088C2414"/>
    <w:rsid w:val="088C24DB"/>
    <w:rsid w:val="088C2524"/>
    <w:rsid w:val="088C25CA"/>
    <w:rsid w:val="088C25FC"/>
    <w:rsid w:val="088C2630"/>
    <w:rsid w:val="088C2655"/>
    <w:rsid w:val="088C2694"/>
    <w:rsid w:val="088C2714"/>
    <w:rsid w:val="088C2777"/>
    <w:rsid w:val="088C281D"/>
    <w:rsid w:val="088C28E8"/>
    <w:rsid w:val="088C29B0"/>
    <w:rsid w:val="088C2A40"/>
    <w:rsid w:val="088C2AAA"/>
    <w:rsid w:val="088C2C24"/>
    <w:rsid w:val="088C2C8A"/>
    <w:rsid w:val="088C2D10"/>
    <w:rsid w:val="088C2E34"/>
    <w:rsid w:val="088C2E92"/>
    <w:rsid w:val="088C2F24"/>
    <w:rsid w:val="088C2F3B"/>
    <w:rsid w:val="088C2FA1"/>
    <w:rsid w:val="088C3069"/>
    <w:rsid w:val="088C308D"/>
    <w:rsid w:val="088C30E5"/>
    <w:rsid w:val="088C3198"/>
    <w:rsid w:val="088C31FF"/>
    <w:rsid w:val="088C3313"/>
    <w:rsid w:val="088C33B3"/>
    <w:rsid w:val="088C3442"/>
    <w:rsid w:val="088C3459"/>
    <w:rsid w:val="088C346D"/>
    <w:rsid w:val="088C34C8"/>
    <w:rsid w:val="088C34D9"/>
    <w:rsid w:val="088C3555"/>
    <w:rsid w:val="088C35C7"/>
    <w:rsid w:val="088C35D4"/>
    <w:rsid w:val="088C362D"/>
    <w:rsid w:val="088C363B"/>
    <w:rsid w:val="088C36EB"/>
    <w:rsid w:val="088C374E"/>
    <w:rsid w:val="088C37F6"/>
    <w:rsid w:val="088C3838"/>
    <w:rsid w:val="088C392D"/>
    <w:rsid w:val="088C3A93"/>
    <w:rsid w:val="088C3AC2"/>
    <w:rsid w:val="088C3B33"/>
    <w:rsid w:val="088C3B74"/>
    <w:rsid w:val="088C3BBB"/>
    <w:rsid w:val="088C3BFE"/>
    <w:rsid w:val="088C3C62"/>
    <w:rsid w:val="088C3CAB"/>
    <w:rsid w:val="088C3CEF"/>
    <w:rsid w:val="088C3CFA"/>
    <w:rsid w:val="088C3D49"/>
    <w:rsid w:val="088C3DBD"/>
    <w:rsid w:val="088C3DF4"/>
    <w:rsid w:val="088C3E9F"/>
    <w:rsid w:val="088C3EB1"/>
    <w:rsid w:val="088C3F03"/>
    <w:rsid w:val="088C4099"/>
    <w:rsid w:val="088C4118"/>
    <w:rsid w:val="088C4141"/>
    <w:rsid w:val="088C4285"/>
    <w:rsid w:val="088C4289"/>
    <w:rsid w:val="088C42F8"/>
    <w:rsid w:val="088C4423"/>
    <w:rsid w:val="088C44F3"/>
    <w:rsid w:val="088C452C"/>
    <w:rsid w:val="088C458F"/>
    <w:rsid w:val="088C4600"/>
    <w:rsid w:val="088C4694"/>
    <w:rsid w:val="088C4778"/>
    <w:rsid w:val="088C482A"/>
    <w:rsid w:val="088C4858"/>
    <w:rsid w:val="088C48F0"/>
    <w:rsid w:val="088C4987"/>
    <w:rsid w:val="088C49E1"/>
    <w:rsid w:val="088C4AD6"/>
    <w:rsid w:val="088C4B87"/>
    <w:rsid w:val="088C4BA5"/>
    <w:rsid w:val="088C4BE1"/>
    <w:rsid w:val="088C4D43"/>
    <w:rsid w:val="088C4F3B"/>
    <w:rsid w:val="088C5033"/>
    <w:rsid w:val="088C50B3"/>
    <w:rsid w:val="088C5133"/>
    <w:rsid w:val="088C51C3"/>
    <w:rsid w:val="088C51E6"/>
    <w:rsid w:val="088C51ED"/>
    <w:rsid w:val="088C524C"/>
    <w:rsid w:val="088C527A"/>
    <w:rsid w:val="088C5296"/>
    <w:rsid w:val="088C52A3"/>
    <w:rsid w:val="088C52C2"/>
    <w:rsid w:val="088C5301"/>
    <w:rsid w:val="088C53F3"/>
    <w:rsid w:val="088C542F"/>
    <w:rsid w:val="088C5438"/>
    <w:rsid w:val="088C5576"/>
    <w:rsid w:val="088C566D"/>
    <w:rsid w:val="088C56A1"/>
    <w:rsid w:val="088C56BE"/>
    <w:rsid w:val="088C5712"/>
    <w:rsid w:val="088C571B"/>
    <w:rsid w:val="088C5756"/>
    <w:rsid w:val="088C57E9"/>
    <w:rsid w:val="088C588D"/>
    <w:rsid w:val="088C58A7"/>
    <w:rsid w:val="088C5918"/>
    <w:rsid w:val="088C5995"/>
    <w:rsid w:val="088C5A69"/>
    <w:rsid w:val="088C5A9C"/>
    <w:rsid w:val="088C5BC3"/>
    <w:rsid w:val="088C5C47"/>
    <w:rsid w:val="088C5C7A"/>
    <w:rsid w:val="088C5C88"/>
    <w:rsid w:val="088C5CC7"/>
    <w:rsid w:val="088C5CDB"/>
    <w:rsid w:val="088C5D2D"/>
    <w:rsid w:val="088C5D37"/>
    <w:rsid w:val="088C5D8B"/>
    <w:rsid w:val="088C5E19"/>
    <w:rsid w:val="088C5ED9"/>
    <w:rsid w:val="088C5F1E"/>
    <w:rsid w:val="088C5F2B"/>
    <w:rsid w:val="088C5FA5"/>
    <w:rsid w:val="088C608F"/>
    <w:rsid w:val="088C60A1"/>
    <w:rsid w:val="088C60A8"/>
    <w:rsid w:val="088C60B4"/>
    <w:rsid w:val="088C60F8"/>
    <w:rsid w:val="088C629F"/>
    <w:rsid w:val="088C62B3"/>
    <w:rsid w:val="088C62D0"/>
    <w:rsid w:val="088C62E6"/>
    <w:rsid w:val="088C6370"/>
    <w:rsid w:val="088C6467"/>
    <w:rsid w:val="088C64D4"/>
    <w:rsid w:val="088C652B"/>
    <w:rsid w:val="088C6534"/>
    <w:rsid w:val="088C65C4"/>
    <w:rsid w:val="088C6738"/>
    <w:rsid w:val="088C6828"/>
    <w:rsid w:val="088C6835"/>
    <w:rsid w:val="088C688C"/>
    <w:rsid w:val="088C68C9"/>
    <w:rsid w:val="088C6955"/>
    <w:rsid w:val="088C695B"/>
    <w:rsid w:val="088C6966"/>
    <w:rsid w:val="088C697F"/>
    <w:rsid w:val="088C69BD"/>
    <w:rsid w:val="088C6A62"/>
    <w:rsid w:val="088C6A69"/>
    <w:rsid w:val="088C6B10"/>
    <w:rsid w:val="088C6B97"/>
    <w:rsid w:val="088C6B9F"/>
    <w:rsid w:val="088C6DC0"/>
    <w:rsid w:val="088C6E00"/>
    <w:rsid w:val="088C6E3C"/>
    <w:rsid w:val="088C6E65"/>
    <w:rsid w:val="088C6F09"/>
    <w:rsid w:val="088C6F1F"/>
    <w:rsid w:val="088C6FA5"/>
    <w:rsid w:val="088C6FF1"/>
    <w:rsid w:val="088C709F"/>
    <w:rsid w:val="088C7273"/>
    <w:rsid w:val="088C72E5"/>
    <w:rsid w:val="088C72F6"/>
    <w:rsid w:val="088C7322"/>
    <w:rsid w:val="088C7360"/>
    <w:rsid w:val="088C7472"/>
    <w:rsid w:val="088C74BE"/>
    <w:rsid w:val="088C74EA"/>
    <w:rsid w:val="088C7510"/>
    <w:rsid w:val="088C765E"/>
    <w:rsid w:val="088C7698"/>
    <w:rsid w:val="088C774A"/>
    <w:rsid w:val="088C7802"/>
    <w:rsid w:val="088C7827"/>
    <w:rsid w:val="088C78B9"/>
    <w:rsid w:val="088C79D1"/>
    <w:rsid w:val="088C7A3B"/>
    <w:rsid w:val="088C7B96"/>
    <w:rsid w:val="088C7BB2"/>
    <w:rsid w:val="088C7BDE"/>
    <w:rsid w:val="088C7C85"/>
    <w:rsid w:val="088C7D4B"/>
    <w:rsid w:val="088C7DA5"/>
    <w:rsid w:val="088C7E19"/>
    <w:rsid w:val="088C7E81"/>
    <w:rsid w:val="088C7ED6"/>
    <w:rsid w:val="088C7F15"/>
    <w:rsid w:val="088C7F42"/>
    <w:rsid w:val="088C7F7D"/>
    <w:rsid w:val="088D0035"/>
    <w:rsid w:val="088D0097"/>
    <w:rsid w:val="088D00BB"/>
    <w:rsid w:val="088D0111"/>
    <w:rsid w:val="088D0124"/>
    <w:rsid w:val="088D01AB"/>
    <w:rsid w:val="088D01D6"/>
    <w:rsid w:val="088D01D8"/>
    <w:rsid w:val="088D0262"/>
    <w:rsid w:val="088D02BB"/>
    <w:rsid w:val="088D033A"/>
    <w:rsid w:val="088D037E"/>
    <w:rsid w:val="088D0437"/>
    <w:rsid w:val="088D05CC"/>
    <w:rsid w:val="088D060D"/>
    <w:rsid w:val="088D0727"/>
    <w:rsid w:val="088D0740"/>
    <w:rsid w:val="088D079E"/>
    <w:rsid w:val="088D07B0"/>
    <w:rsid w:val="088D07B5"/>
    <w:rsid w:val="088D07FB"/>
    <w:rsid w:val="088D0874"/>
    <w:rsid w:val="088D08E7"/>
    <w:rsid w:val="088D094E"/>
    <w:rsid w:val="088D0ADB"/>
    <w:rsid w:val="088D0BC2"/>
    <w:rsid w:val="088D0BED"/>
    <w:rsid w:val="088D0C22"/>
    <w:rsid w:val="088D0CEF"/>
    <w:rsid w:val="088D0D3C"/>
    <w:rsid w:val="088D0D98"/>
    <w:rsid w:val="088D0DF1"/>
    <w:rsid w:val="088D0E25"/>
    <w:rsid w:val="088D0E64"/>
    <w:rsid w:val="088D0EC7"/>
    <w:rsid w:val="088D0F14"/>
    <w:rsid w:val="088D0F2D"/>
    <w:rsid w:val="088D10F2"/>
    <w:rsid w:val="088D1334"/>
    <w:rsid w:val="088D1377"/>
    <w:rsid w:val="088D13C3"/>
    <w:rsid w:val="088D149C"/>
    <w:rsid w:val="088D1576"/>
    <w:rsid w:val="088D15A6"/>
    <w:rsid w:val="088D16E9"/>
    <w:rsid w:val="088D1715"/>
    <w:rsid w:val="088D17BB"/>
    <w:rsid w:val="088D17E9"/>
    <w:rsid w:val="088D1955"/>
    <w:rsid w:val="088D1969"/>
    <w:rsid w:val="088D1AFC"/>
    <w:rsid w:val="088D1C79"/>
    <w:rsid w:val="088D1D1C"/>
    <w:rsid w:val="088D1D28"/>
    <w:rsid w:val="088D1D44"/>
    <w:rsid w:val="088D1D49"/>
    <w:rsid w:val="088D1D4F"/>
    <w:rsid w:val="088D1E36"/>
    <w:rsid w:val="088D1E97"/>
    <w:rsid w:val="088D1F7A"/>
    <w:rsid w:val="088D20AB"/>
    <w:rsid w:val="088D2206"/>
    <w:rsid w:val="088D2210"/>
    <w:rsid w:val="088D2312"/>
    <w:rsid w:val="088D232C"/>
    <w:rsid w:val="088D232D"/>
    <w:rsid w:val="088D23AD"/>
    <w:rsid w:val="088D247E"/>
    <w:rsid w:val="088D25DE"/>
    <w:rsid w:val="088D2679"/>
    <w:rsid w:val="088D2775"/>
    <w:rsid w:val="088D27DD"/>
    <w:rsid w:val="088D2841"/>
    <w:rsid w:val="088D28D0"/>
    <w:rsid w:val="088D298D"/>
    <w:rsid w:val="088D2993"/>
    <w:rsid w:val="088D2A03"/>
    <w:rsid w:val="088D2A35"/>
    <w:rsid w:val="088D2A42"/>
    <w:rsid w:val="088D2C40"/>
    <w:rsid w:val="088D2C65"/>
    <w:rsid w:val="088D2C78"/>
    <w:rsid w:val="088D2D00"/>
    <w:rsid w:val="088D2D98"/>
    <w:rsid w:val="088D2DC9"/>
    <w:rsid w:val="088D2E14"/>
    <w:rsid w:val="088D2E64"/>
    <w:rsid w:val="088D2E70"/>
    <w:rsid w:val="088D2F95"/>
    <w:rsid w:val="088D2FA1"/>
    <w:rsid w:val="088D2FCE"/>
    <w:rsid w:val="088D2FD5"/>
    <w:rsid w:val="088D3070"/>
    <w:rsid w:val="088D307D"/>
    <w:rsid w:val="088D308E"/>
    <w:rsid w:val="088D3158"/>
    <w:rsid w:val="088D317A"/>
    <w:rsid w:val="088D31A6"/>
    <w:rsid w:val="088D31F0"/>
    <w:rsid w:val="088D32A0"/>
    <w:rsid w:val="088D32AE"/>
    <w:rsid w:val="088D32C2"/>
    <w:rsid w:val="088D32D1"/>
    <w:rsid w:val="088D32DE"/>
    <w:rsid w:val="088D32F8"/>
    <w:rsid w:val="088D3316"/>
    <w:rsid w:val="088D3370"/>
    <w:rsid w:val="088D3379"/>
    <w:rsid w:val="088D33B6"/>
    <w:rsid w:val="088D33D0"/>
    <w:rsid w:val="088D3410"/>
    <w:rsid w:val="088D3455"/>
    <w:rsid w:val="088D34EF"/>
    <w:rsid w:val="088D3506"/>
    <w:rsid w:val="088D3592"/>
    <w:rsid w:val="088D359C"/>
    <w:rsid w:val="088D367F"/>
    <w:rsid w:val="088D36E9"/>
    <w:rsid w:val="088D3712"/>
    <w:rsid w:val="088D37D0"/>
    <w:rsid w:val="088D38F9"/>
    <w:rsid w:val="088D3912"/>
    <w:rsid w:val="088D393E"/>
    <w:rsid w:val="088D3957"/>
    <w:rsid w:val="088D39CE"/>
    <w:rsid w:val="088D3A9D"/>
    <w:rsid w:val="088D3B3E"/>
    <w:rsid w:val="088D3B72"/>
    <w:rsid w:val="088D3BB1"/>
    <w:rsid w:val="088D3D49"/>
    <w:rsid w:val="088D3F2D"/>
    <w:rsid w:val="088D3F4A"/>
    <w:rsid w:val="088D4053"/>
    <w:rsid w:val="088D409E"/>
    <w:rsid w:val="088D40C3"/>
    <w:rsid w:val="088D415B"/>
    <w:rsid w:val="088D426E"/>
    <w:rsid w:val="088D4278"/>
    <w:rsid w:val="088D4300"/>
    <w:rsid w:val="088D4309"/>
    <w:rsid w:val="088D4358"/>
    <w:rsid w:val="088D4374"/>
    <w:rsid w:val="088D43B3"/>
    <w:rsid w:val="088D43C2"/>
    <w:rsid w:val="088D43EB"/>
    <w:rsid w:val="088D4457"/>
    <w:rsid w:val="088D44DE"/>
    <w:rsid w:val="088D4520"/>
    <w:rsid w:val="088D4530"/>
    <w:rsid w:val="088D4622"/>
    <w:rsid w:val="088D4651"/>
    <w:rsid w:val="088D4800"/>
    <w:rsid w:val="088D4844"/>
    <w:rsid w:val="088D48AB"/>
    <w:rsid w:val="088D48F4"/>
    <w:rsid w:val="088D493B"/>
    <w:rsid w:val="088D4998"/>
    <w:rsid w:val="088D49B3"/>
    <w:rsid w:val="088D49CA"/>
    <w:rsid w:val="088D49E9"/>
    <w:rsid w:val="088D4A18"/>
    <w:rsid w:val="088D4A2C"/>
    <w:rsid w:val="088D4A69"/>
    <w:rsid w:val="088D4A6F"/>
    <w:rsid w:val="088D4A7E"/>
    <w:rsid w:val="088D4A7F"/>
    <w:rsid w:val="088D4B78"/>
    <w:rsid w:val="088D4BA3"/>
    <w:rsid w:val="088D4BF7"/>
    <w:rsid w:val="088D4CE2"/>
    <w:rsid w:val="088D4D44"/>
    <w:rsid w:val="088D4DBE"/>
    <w:rsid w:val="088D4DF4"/>
    <w:rsid w:val="088D4E0E"/>
    <w:rsid w:val="088D4FAF"/>
    <w:rsid w:val="088D501C"/>
    <w:rsid w:val="088D5129"/>
    <w:rsid w:val="088D5168"/>
    <w:rsid w:val="088D5179"/>
    <w:rsid w:val="088D51A4"/>
    <w:rsid w:val="088D51B3"/>
    <w:rsid w:val="088D51B5"/>
    <w:rsid w:val="088D5219"/>
    <w:rsid w:val="088D5259"/>
    <w:rsid w:val="088D529E"/>
    <w:rsid w:val="088D52F8"/>
    <w:rsid w:val="088D5306"/>
    <w:rsid w:val="088D533C"/>
    <w:rsid w:val="088D53AB"/>
    <w:rsid w:val="088D5430"/>
    <w:rsid w:val="088D54FE"/>
    <w:rsid w:val="088D5528"/>
    <w:rsid w:val="088D562B"/>
    <w:rsid w:val="088D566E"/>
    <w:rsid w:val="088D56DB"/>
    <w:rsid w:val="088D56F7"/>
    <w:rsid w:val="088D57DF"/>
    <w:rsid w:val="088D5845"/>
    <w:rsid w:val="088D5846"/>
    <w:rsid w:val="088D58EC"/>
    <w:rsid w:val="088D598F"/>
    <w:rsid w:val="088D59F1"/>
    <w:rsid w:val="088D5ABA"/>
    <w:rsid w:val="088D5B4B"/>
    <w:rsid w:val="088D5B74"/>
    <w:rsid w:val="088D5BB1"/>
    <w:rsid w:val="088D5BFD"/>
    <w:rsid w:val="088D5C53"/>
    <w:rsid w:val="088D5C6F"/>
    <w:rsid w:val="088D5C7B"/>
    <w:rsid w:val="088D5C88"/>
    <w:rsid w:val="088D5DC4"/>
    <w:rsid w:val="088D5DE8"/>
    <w:rsid w:val="088D5EC6"/>
    <w:rsid w:val="088D5EF0"/>
    <w:rsid w:val="088D5F73"/>
    <w:rsid w:val="088D5F84"/>
    <w:rsid w:val="088D5FFA"/>
    <w:rsid w:val="088D6006"/>
    <w:rsid w:val="088D6045"/>
    <w:rsid w:val="088D6133"/>
    <w:rsid w:val="088D6221"/>
    <w:rsid w:val="088D625E"/>
    <w:rsid w:val="088D629E"/>
    <w:rsid w:val="088D6344"/>
    <w:rsid w:val="088D639C"/>
    <w:rsid w:val="088D63E0"/>
    <w:rsid w:val="088D6443"/>
    <w:rsid w:val="088D64E7"/>
    <w:rsid w:val="088D6513"/>
    <w:rsid w:val="088D65F3"/>
    <w:rsid w:val="088D65F8"/>
    <w:rsid w:val="088D6638"/>
    <w:rsid w:val="088D6657"/>
    <w:rsid w:val="088D66A1"/>
    <w:rsid w:val="088D6717"/>
    <w:rsid w:val="088D6761"/>
    <w:rsid w:val="088D6780"/>
    <w:rsid w:val="088D67B7"/>
    <w:rsid w:val="088D683B"/>
    <w:rsid w:val="088D6A07"/>
    <w:rsid w:val="088D6A5F"/>
    <w:rsid w:val="088D6BD5"/>
    <w:rsid w:val="088D6BE4"/>
    <w:rsid w:val="088D6C3F"/>
    <w:rsid w:val="088D6C48"/>
    <w:rsid w:val="088D6CC5"/>
    <w:rsid w:val="088D6CF6"/>
    <w:rsid w:val="088D6D7F"/>
    <w:rsid w:val="088D6D8F"/>
    <w:rsid w:val="088D6D91"/>
    <w:rsid w:val="088D6D9C"/>
    <w:rsid w:val="088D6DC1"/>
    <w:rsid w:val="088D6E32"/>
    <w:rsid w:val="088D6F51"/>
    <w:rsid w:val="088D708F"/>
    <w:rsid w:val="088D70B5"/>
    <w:rsid w:val="088D70DF"/>
    <w:rsid w:val="088D714D"/>
    <w:rsid w:val="088D715C"/>
    <w:rsid w:val="088D7326"/>
    <w:rsid w:val="088D7389"/>
    <w:rsid w:val="088D738F"/>
    <w:rsid w:val="088D73E9"/>
    <w:rsid w:val="088D7437"/>
    <w:rsid w:val="088D7461"/>
    <w:rsid w:val="088D74C1"/>
    <w:rsid w:val="088D7522"/>
    <w:rsid w:val="088D76A4"/>
    <w:rsid w:val="088D778F"/>
    <w:rsid w:val="088D77E7"/>
    <w:rsid w:val="088D7878"/>
    <w:rsid w:val="088D7912"/>
    <w:rsid w:val="088D7989"/>
    <w:rsid w:val="088D79A7"/>
    <w:rsid w:val="088D79DA"/>
    <w:rsid w:val="088D7A3A"/>
    <w:rsid w:val="088D7A4C"/>
    <w:rsid w:val="088D7A61"/>
    <w:rsid w:val="088D7A77"/>
    <w:rsid w:val="088D7ADD"/>
    <w:rsid w:val="088D7ADF"/>
    <w:rsid w:val="088D7B38"/>
    <w:rsid w:val="088D7BED"/>
    <w:rsid w:val="088D7BF0"/>
    <w:rsid w:val="088D7C0D"/>
    <w:rsid w:val="088D7C0F"/>
    <w:rsid w:val="088D7C3E"/>
    <w:rsid w:val="088D7C4A"/>
    <w:rsid w:val="088D7C9A"/>
    <w:rsid w:val="088D7CE4"/>
    <w:rsid w:val="088D7E32"/>
    <w:rsid w:val="088D7E39"/>
    <w:rsid w:val="088D7F36"/>
    <w:rsid w:val="088D7FD8"/>
    <w:rsid w:val="088D7FE0"/>
    <w:rsid w:val="088E0005"/>
    <w:rsid w:val="088E0074"/>
    <w:rsid w:val="088E010D"/>
    <w:rsid w:val="088E0161"/>
    <w:rsid w:val="088E0180"/>
    <w:rsid w:val="088E01BD"/>
    <w:rsid w:val="088E0225"/>
    <w:rsid w:val="088E0265"/>
    <w:rsid w:val="088E02F2"/>
    <w:rsid w:val="088E02FE"/>
    <w:rsid w:val="088E032A"/>
    <w:rsid w:val="088E0330"/>
    <w:rsid w:val="088E04C8"/>
    <w:rsid w:val="088E04D4"/>
    <w:rsid w:val="088E04F5"/>
    <w:rsid w:val="088E0515"/>
    <w:rsid w:val="088E0568"/>
    <w:rsid w:val="088E057E"/>
    <w:rsid w:val="088E0595"/>
    <w:rsid w:val="088E05BE"/>
    <w:rsid w:val="088E0638"/>
    <w:rsid w:val="088E0650"/>
    <w:rsid w:val="088E065E"/>
    <w:rsid w:val="088E07B8"/>
    <w:rsid w:val="088E0829"/>
    <w:rsid w:val="088E086A"/>
    <w:rsid w:val="088E089C"/>
    <w:rsid w:val="088E08E5"/>
    <w:rsid w:val="088E0952"/>
    <w:rsid w:val="088E09C8"/>
    <w:rsid w:val="088E09D7"/>
    <w:rsid w:val="088E09E8"/>
    <w:rsid w:val="088E09FC"/>
    <w:rsid w:val="088E0A2E"/>
    <w:rsid w:val="088E0AEB"/>
    <w:rsid w:val="088E0BF9"/>
    <w:rsid w:val="088E0E5C"/>
    <w:rsid w:val="088E0E8E"/>
    <w:rsid w:val="088E0EB8"/>
    <w:rsid w:val="088E0F66"/>
    <w:rsid w:val="088E114C"/>
    <w:rsid w:val="088E11CC"/>
    <w:rsid w:val="088E1268"/>
    <w:rsid w:val="088E1301"/>
    <w:rsid w:val="088E131A"/>
    <w:rsid w:val="088E1392"/>
    <w:rsid w:val="088E13BC"/>
    <w:rsid w:val="088E1414"/>
    <w:rsid w:val="088E14AC"/>
    <w:rsid w:val="088E15C3"/>
    <w:rsid w:val="088E15CE"/>
    <w:rsid w:val="088E160A"/>
    <w:rsid w:val="088E1614"/>
    <w:rsid w:val="088E1620"/>
    <w:rsid w:val="088E1666"/>
    <w:rsid w:val="088E16EF"/>
    <w:rsid w:val="088E1797"/>
    <w:rsid w:val="088E17A6"/>
    <w:rsid w:val="088E18FD"/>
    <w:rsid w:val="088E1933"/>
    <w:rsid w:val="088E19F6"/>
    <w:rsid w:val="088E1A3C"/>
    <w:rsid w:val="088E1A88"/>
    <w:rsid w:val="088E1A9E"/>
    <w:rsid w:val="088E1B6A"/>
    <w:rsid w:val="088E1BC5"/>
    <w:rsid w:val="088E1BC9"/>
    <w:rsid w:val="088E1C35"/>
    <w:rsid w:val="088E1D14"/>
    <w:rsid w:val="088E1DC8"/>
    <w:rsid w:val="088E1E70"/>
    <w:rsid w:val="088E2034"/>
    <w:rsid w:val="088E20F8"/>
    <w:rsid w:val="088E2151"/>
    <w:rsid w:val="088E2192"/>
    <w:rsid w:val="088E21C2"/>
    <w:rsid w:val="088E21C4"/>
    <w:rsid w:val="088E21DD"/>
    <w:rsid w:val="088E22D2"/>
    <w:rsid w:val="088E2310"/>
    <w:rsid w:val="088E234B"/>
    <w:rsid w:val="088E23DF"/>
    <w:rsid w:val="088E24CF"/>
    <w:rsid w:val="088E25C1"/>
    <w:rsid w:val="088E266B"/>
    <w:rsid w:val="088E270C"/>
    <w:rsid w:val="088E2778"/>
    <w:rsid w:val="088E2850"/>
    <w:rsid w:val="088E285F"/>
    <w:rsid w:val="088E286E"/>
    <w:rsid w:val="088E28E5"/>
    <w:rsid w:val="088E2923"/>
    <w:rsid w:val="088E29D1"/>
    <w:rsid w:val="088E29E2"/>
    <w:rsid w:val="088E29E3"/>
    <w:rsid w:val="088E2A4E"/>
    <w:rsid w:val="088E2A5A"/>
    <w:rsid w:val="088E2AE5"/>
    <w:rsid w:val="088E2AFC"/>
    <w:rsid w:val="088E2B30"/>
    <w:rsid w:val="088E2BCD"/>
    <w:rsid w:val="088E2BD3"/>
    <w:rsid w:val="088E2BF3"/>
    <w:rsid w:val="088E2CBE"/>
    <w:rsid w:val="088E2DD1"/>
    <w:rsid w:val="088E2DF3"/>
    <w:rsid w:val="088E2EC5"/>
    <w:rsid w:val="088E2F2B"/>
    <w:rsid w:val="088E3032"/>
    <w:rsid w:val="088E307F"/>
    <w:rsid w:val="088E3095"/>
    <w:rsid w:val="088E3282"/>
    <w:rsid w:val="088E3283"/>
    <w:rsid w:val="088E3296"/>
    <w:rsid w:val="088E32CE"/>
    <w:rsid w:val="088E337C"/>
    <w:rsid w:val="088E3470"/>
    <w:rsid w:val="088E347E"/>
    <w:rsid w:val="088E347F"/>
    <w:rsid w:val="088E348D"/>
    <w:rsid w:val="088E3680"/>
    <w:rsid w:val="088E38D1"/>
    <w:rsid w:val="088E3906"/>
    <w:rsid w:val="088E3915"/>
    <w:rsid w:val="088E3951"/>
    <w:rsid w:val="088E3A37"/>
    <w:rsid w:val="088E3A4F"/>
    <w:rsid w:val="088E3ABE"/>
    <w:rsid w:val="088E3AC0"/>
    <w:rsid w:val="088E3B04"/>
    <w:rsid w:val="088E3B67"/>
    <w:rsid w:val="088E3B74"/>
    <w:rsid w:val="088E3BAF"/>
    <w:rsid w:val="088E3C13"/>
    <w:rsid w:val="088E3C37"/>
    <w:rsid w:val="088E3D30"/>
    <w:rsid w:val="088E3D34"/>
    <w:rsid w:val="088E3DA7"/>
    <w:rsid w:val="088E3E82"/>
    <w:rsid w:val="088E3E94"/>
    <w:rsid w:val="088E3E99"/>
    <w:rsid w:val="088E3EA1"/>
    <w:rsid w:val="088E3ED6"/>
    <w:rsid w:val="088E3F46"/>
    <w:rsid w:val="088E4023"/>
    <w:rsid w:val="088E40D0"/>
    <w:rsid w:val="088E411A"/>
    <w:rsid w:val="088E42C6"/>
    <w:rsid w:val="088E42EF"/>
    <w:rsid w:val="088E440D"/>
    <w:rsid w:val="088E450D"/>
    <w:rsid w:val="088E4522"/>
    <w:rsid w:val="088E4624"/>
    <w:rsid w:val="088E471F"/>
    <w:rsid w:val="088E4788"/>
    <w:rsid w:val="088E4789"/>
    <w:rsid w:val="088E481E"/>
    <w:rsid w:val="088E4843"/>
    <w:rsid w:val="088E4977"/>
    <w:rsid w:val="088E4990"/>
    <w:rsid w:val="088E49A7"/>
    <w:rsid w:val="088E4A16"/>
    <w:rsid w:val="088E4AA7"/>
    <w:rsid w:val="088E4ABC"/>
    <w:rsid w:val="088E4B0A"/>
    <w:rsid w:val="088E4BC1"/>
    <w:rsid w:val="088E4BC5"/>
    <w:rsid w:val="088E4CA4"/>
    <w:rsid w:val="088E4CBE"/>
    <w:rsid w:val="088E4CF2"/>
    <w:rsid w:val="088E4DA8"/>
    <w:rsid w:val="088E4DBD"/>
    <w:rsid w:val="088E4EB9"/>
    <w:rsid w:val="088E4F85"/>
    <w:rsid w:val="088E4F89"/>
    <w:rsid w:val="088E4F8B"/>
    <w:rsid w:val="088E5119"/>
    <w:rsid w:val="088E513B"/>
    <w:rsid w:val="088E5215"/>
    <w:rsid w:val="088E521B"/>
    <w:rsid w:val="088E527D"/>
    <w:rsid w:val="088E52D9"/>
    <w:rsid w:val="088E5393"/>
    <w:rsid w:val="088E5410"/>
    <w:rsid w:val="088E5462"/>
    <w:rsid w:val="088E54EF"/>
    <w:rsid w:val="088E55A1"/>
    <w:rsid w:val="088E55C0"/>
    <w:rsid w:val="088E55E0"/>
    <w:rsid w:val="088E5776"/>
    <w:rsid w:val="088E577C"/>
    <w:rsid w:val="088E58A3"/>
    <w:rsid w:val="088E5921"/>
    <w:rsid w:val="088E5975"/>
    <w:rsid w:val="088E5A65"/>
    <w:rsid w:val="088E5B36"/>
    <w:rsid w:val="088E5B6D"/>
    <w:rsid w:val="088E5BB9"/>
    <w:rsid w:val="088E5BDA"/>
    <w:rsid w:val="088E5BFF"/>
    <w:rsid w:val="088E5C78"/>
    <w:rsid w:val="088E5C7D"/>
    <w:rsid w:val="088E5CD6"/>
    <w:rsid w:val="088E5D95"/>
    <w:rsid w:val="088E5DBF"/>
    <w:rsid w:val="088E5E76"/>
    <w:rsid w:val="088E5FD4"/>
    <w:rsid w:val="088E607D"/>
    <w:rsid w:val="088E60F5"/>
    <w:rsid w:val="088E61E5"/>
    <w:rsid w:val="088E6314"/>
    <w:rsid w:val="088E632F"/>
    <w:rsid w:val="088E6331"/>
    <w:rsid w:val="088E6370"/>
    <w:rsid w:val="088E6382"/>
    <w:rsid w:val="088E63B5"/>
    <w:rsid w:val="088E6406"/>
    <w:rsid w:val="088E651D"/>
    <w:rsid w:val="088E65E4"/>
    <w:rsid w:val="088E65F3"/>
    <w:rsid w:val="088E66CF"/>
    <w:rsid w:val="088E66D3"/>
    <w:rsid w:val="088E6737"/>
    <w:rsid w:val="088E67AB"/>
    <w:rsid w:val="088E67CC"/>
    <w:rsid w:val="088E683D"/>
    <w:rsid w:val="088E6844"/>
    <w:rsid w:val="088E690C"/>
    <w:rsid w:val="088E6912"/>
    <w:rsid w:val="088E6926"/>
    <w:rsid w:val="088E6985"/>
    <w:rsid w:val="088E69AF"/>
    <w:rsid w:val="088E69D9"/>
    <w:rsid w:val="088E6AFA"/>
    <w:rsid w:val="088E6BBD"/>
    <w:rsid w:val="088E6BD4"/>
    <w:rsid w:val="088E6C6D"/>
    <w:rsid w:val="088E6D56"/>
    <w:rsid w:val="088E6D85"/>
    <w:rsid w:val="088E6DB0"/>
    <w:rsid w:val="088E6DD6"/>
    <w:rsid w:val="088E6DE0"/>
    <w:rsid w:val="088E6EEC"/>
    <w:rsid w:val="088E6F5A"/>
    <w:rsid w:val="088E6FB9"/>
    <w:rsid w:val="088E6FF5"/>
    <w:rsid w:val="088E6FFA"/>
    <w:rsid w:val="088E7014"/>
    <w:rsid w:val="088E70A9"/>
    <w:rsid w:val="088E711A"/>
    <w:rsid w:val="088E7218"/>
    <w:rsid w:val="088E724E"/>
    <w:rsid w:val="088E72CD"/>
    <w:rsid w:val="088E7302"/>
    <w:rsid w:val="088E7406"/>
    <w:rsid w:val="088E742A"/>
    <w:rsid w:val="088E7490"/>
    <w:rsid w:val="088E74B0"/>
    <w:rsid w:val="088E7546"/>
    <w:rsid w:val="088E763D"/>
    <w:rsid w:val="088E76A3"/>
    <w:rsid w:val="088E7706"/>
    <w:rsid w:val="088E78A6"/>
    <w:rsid w:val="088E79B8"/>
    <w:rsid w:val="088E7A61"/>
    <w:rsid w:val="088E7A98"/>
    <w:rsid w:val="088E7C28"/>
    <w:rsid w:val="088E7C95"/>
    <w:rsid w:val="088E7D20"/>
    <w:rsid w:val="088E7DEB"/>
    <w:rsid w:val="088E7E14"/>
    <w:rsid w:val="088E7E1E"/>
    <w:rsid w:val="088E7E8D"/>
    <w:rsid w:val="088E7EBF"/>
    <w:rsid w:val="088E7EF4"/>
    <w:rsid w:val="088F0004"/>
    <w:rsid w:val="088F0088"/>
    <w:rsid w:val="088F0098"/>
    <w:rsid w:val="088F00E2"/>
    <w:rsid w:val="088F0121"/>
    <w:rsid w:val="088F0124"/>
    <w:rsid w:val="088F019B"/>
    <w:rsid w:val="088F01D4"/>
    <w:rsid w:val="088F0241"/>
    <w:rsid w:val="088F0267"/>
    <w:rsid w:val="088F026E"/>
    <w:rsid w:val="088F02E4"/>
    <w:rsid w:val="088F02EE"/>
    <w:rsid w:val="088F0393"/>
    <w:rsid w:val="088F0483"/>
    <w:rsid w:val="088F0518"/>
    <w:rsid w:val="088F05FF"/>
    <w:rsid w:val="088F0732"/>
    <w:rsid w:val="088F0748"/>
    <w:rsid w:val="088F07D5"/>
    <w:rsid w:val="088F07DD"/>
    <w:rsid w:val="088F0886"/>
    <w:rsid w:val="088F0898"/>
    <w:rsid w:val="088F0908"/>
    <w:rsid w:val="088F092B"/>
    <w:rsid w:val="088F0A06"/>
    <w:rsid w:val="088F0A2E"/>
    <w:rsid w:val="088F0A65"/>
    <w:rsid w:val="088F0B66"/>
    <w:rsid w:val="088F0B6D"/>
    <w:rsid w:val="088F0BBB"/>
    <w:rsid w:val="088F0C40"/>
    <w:rsid w:val="088F0C98"/>
    <w:rsid w:val="088F0D34"/>
    <w:rsid w:val="088F0D63"/>
    <w:rsid w:val="088F0DD7"/>
    <w:rsid w:val="088F0E0B"/>
    <w:rsid w:val="088F0EC5"/>
    <w:rsid w:val="088F0EDE"/>
    <w:rsid w:val="088F0F4A"/>
    <w:rsid w:val="088F0F9E"/>
    <w:rsid w:val="088F1022"/>
    <w:rsid w:val="088F1056"/>
    <w:rsid w:val="088F1121"/>
    <w:rsid w:val="088F1124"/>
    <w:rsid w:val="088F1176"/>
    <w:rsid w:val="088F11DE"/>
    <w:rsid w:val="088F12EB"/>
    <w:rsid w:val="088F1347"/>
    <w:rsid w:val="088F1390"/>
    <w:rsid w:val="088F13BC"/>
    <w:rsid w:val="088F1428"/>
    <w:rsid w:val="088F155C"/>
    <w:rsid w:val="088F1697"/>
    <w:rsid w:val="088F16AE"/>
    <w:rsid w:val="088F16E6"/>
    <w:rsid w:val="088F1753"/>
    <w:rsid w:val="088F184C"/>
    <w:rsid w:val="088F1942"/>
    <w:rsid w:val="088F19C0"/>
    <w:rsid w:val="088F1A9E"/>
    <w:rsid w:val="088F1B4B"/>
    <w:rsid w:val="088F1B5A"/>
    <w:rsid w:val="088F1C21"/>
    <w:rsid w:val="088F1C41"/>
    <w:rsid w:val="088F1C76"/>
    <w:rsid w:val="088F1C8F"/>
    <w:rsid w:val="088F1CDE"/>
    <w:rsid w:val="088F1CE2"/>
    <w:rsid w:val="088F1CF0"/>
    <w:rsid w:val="088F1D98"/>
    <w:rsid w:val="088F1DC4"/>
    <w:rsid w:val="088F1E22"/>
    <w:rsid w:val="088F1E40"/>
    <w:rsid w:val="088F1E66"/>
    <w:rsid w:val="088F1E78"/>
    <w:rsid w:val="088F2066"/>
    <w:rsid w:val="088F2079"/>
    <w:rsid w:val="088F20C2"/>
    <w:rsid w:val="088F20C7"/>
    <w:rsid w:val="088F2117"/>
    <w:rsid w:val="088F21D4"/>
    <w:rsid w:val="088F221E"/>
    <w:rsid w:val="088F229B"/>
    <w:rsid w:val="088F22EC"/>
    <w:rsid w:val="088F23CB"/>
    <w:rsid w:val="088F248F"/>
    <w:rsid w:val="088F24C5"/>
    <w:rsid w:val="088F25C1"/>
    <w:rsid w:val="088F25D9"/>
    <w:rsid w:val="088F2640"/>
    <w:rsid w:val="088F26BA"/>
    <w:rsid w:val="088F2738"/>
    <w:rsid w:val="088F27AC"/>
    <w:rsid w:val="088F2835"/>
    <w:rsid w:val="088F286B"/>
    <w:rsid w:val="088F28FC"/>
    <w:rsid w:val="088F29D0"/>
    <w:rsid w:val="088F2AF9"/>
    <w:rsid w:val="088F2B68"/>
    <w:rsid w:val="088F2C46"/>
    <w:rsid w:val="088F2CE9"/>
    <w:rsid w:val="088F2DB2"/>
    <w:rsid w:val="088F2E53"/>
    <w:rsid w:val="088F2EF9"/>
    <w:rsid w:val="088F2F03"/>
    <w:rsid w:val="088F2F59"/>
    <w:rsid w:val="088F3092"/>
    <w:rsid w:val="088F3095"/>
    <w:rsid w:val="088F30B7"/>
    <w:rsid w:val="088F31EF"/>
    <w:rsid w:val="088F338C"/>
    <w:rsid w:val="088F3447"/>
    <w:rsid w:val="088F357D"/>
    <w:rsid w:val="088F3595"/>
    <w:rsid w:val="088F3632"/>
    <w:rsid w:val="088F3668"/>
    <w:rsid w:val="088F3742"/>
    <w:rsid w:val="088F3771"/>
    <w:rsid w:val="088F382C"/>
    <w:rsid w:val="088F393A"/>
    <w:rsid w:val="088F3A9C"/>
    <w:rsid w:val="088F3A9E"/>
    <w:rsid w:val="088F3AB8"/>
    <w:rsid w:val="088F3B04"/>
    <w:rsid w:val="088F3BDA"/>
    <w:rsid w:val="088F3CF6"/>
    <w:rsid w:val="088F3D02"/>
    <w:rsid w:val="088F3D48"/>
    <w:rsid w:val="088F3D82"/>
    <w:rsid w:val="088F3D86"/>
    <w:rsid w:val="088F3D8C"/>
    <w:rsid w:val="088F3DA7"/>
    <w:rsid w:val="088F3E30"/>
    <w:rsid w:val="088F3E4F"/>
    <w:rsid w:val="088F3E9B"/>
    <w:rsid w:val="088F3EA0"/>
    <w:rsid w:val="088F3EBE"/>
    <w:rsid w:val="088F3F06"/>
    <w:rsid w:val="088F4035"/>
    <w:rsid w:val="088F441D"/>
    <w:rsid w:val="088F4467"/>
    <w:rsid w:val="088F449D"/>
    <w:rsid w:val="088F44D1"/>
    <w:rsid w:val="088F44D7"/>
    <w:rsid w:val="088F452C"/>
    <w:rsid w:val="088F4679"/>
    <w:rsid w:val="088F480E"/>
    <w:rsid w:val="088F48ED"/>
    <w:rsid w:val="088F48F2"/>
    <w:rsid w:val="088F49F5"/>
    <w:rsid w:val="088F49FD"/>
    <w:rsid w:val="088F4A79"/>
    <w:rsid w:val="088F4B7C"/>
    <w:rsid w:val="088F4BB1"/>
    <w:rsid w:val="088F4BFB"/>
    <w:rsid w:val="088F4C73"/>
    <w:rsid w:val="088F4CDC"/>
    <w:rsid w:val="088F4D87"/>
    <w:rsid w:val="088F4DF0"/>
    <w:rsid w:val="088F4E72"/>
    <w:rsid w:val="088F4E90"/>
    <w:rsid w:val="088F4F84"/>
    <w:rsid w:val="088F4F92"/>
    <w:rsid w:val="088F4FB2"/>
    <w:rsid w:val="088F4FB7"/>
    <w:rsid w:val="088F4FEF"/>
    <w:rsid w:val="088F5070"/>
    <w:rsid w:val="088F50AF"/>
    <w:rsid w:val="088F50E0"/>
    <w:rsid w:val="088F5274"/>
    <w:rsid w:val="088F52A1"/>
    <w:rsid w:val="088F5488"/>
    <w:rsid w:val="088F54CC"/>
    <w:rsid w:val="088F54F2"/>
    <w:rsid w:val="088F54FB"/>
    <w:rsid w:val="088F550B"/>
    <w:rsid w:val="088F567A"/>
    <w:rsid w:val="088F56D2"/>
    <w:rsid w:val="088F5701"/>
    <w:rsid w:val="088F577B"/>
    <w:rsid w:val="088F57DB"/>
    <w:rsid w:val="088F57F7"/>
    <w:rsid w:val="088F587E"/>
    <w:rsid w:val="088F5940"/>
    <w:rsid w:val="088F5948"/>
    <w:rsid w:val="088F59AB"/>
    <w:rsid w:val="088F5A83"/>
    <w:rsid w:val="088F5ADB"/>
    <w:rsid w:val="088F5AF0"/>
    <w:rsid w:val="088F5B1D"/>
    <w:rsid w:val="088F5B70"/>
    <w:rsid w:val="088F5BC5"/>
    <w:rsid w:val="088F5C00"/>
    <w:rsid w:val="088F5CD5"/>
    <w:rsid w:val="088F5D4F"/>
    <w:rsid w:val="088F5D81"/>
    <w:rsid w:val="088F5DE1"/>
    <w:rsid w:val="088F5E13"/>
    <w:rsid w:val="088F5E19"/>
    <w:rsid w:val="088F5E2E"/>
    <w:rsid w:val="088F5E2F"/>
    <w:rsid w:val="088F5EB0"/>
    <w:rsid w:val="088F5ED5"/>
    <w:rsid w:val="088F5EF6"/>
    <w:rsid w:val="088F5F2E"/>
    <w:rsid w:val="088F6097"/>
    <w:rsid w:val="088F60F3"/>
    <w:rsid w:val="088F6180"/>
    <w:rsid w:val="088F62BB"/>
    <w:rsid w:val="088F6321"/>
    <w:rsid w:val="088F632B"/>
    <w:rsid w:val="088F64BD"/>
    <w:rsid w:val="088F64E6"/>
    <w:rsid w:val="088F655B"/>
    <w:rsid w:val="088F6664"/>
    <w:rsid w:val="088F66AA"/>
    <w:rsid w:val="088F66E8"/>
    <w:rsid w:val="088F675D"/>
    <w:rsid w:val="088F6822"/>
    <w:rsid w:val="088F6853"/>
    <w:rsid w:val="088F69B5"/>
    <w:rsid w:val="088F69F6"/>
    <w:rsid w:val="088F6A29"/>
    <w:rsid w:val="088F6A54"/>
    <w:rsid w:val="088F6AF7"/>
    <w:rsid w:val="088F6B58"/>
    <w:rsid w:val="088F6B9E"/>
    <w:rsid w:val="088F6C07"/>
    <w:rsid w:val="088F6C3C"/>
    <w:rsid w:val="088F6C3E"/>
    <w:rsid w:val="088F6D0D"/>
    <w:rsid w:val="088F6D59"/>
    <w:rsid w:val="088F6DAC"/>
    <w:rsid w:val="088F6DF8"/>
    <w:rsid w:val="088F6E14"/>
    <w:rsid w:val="088F6FA8"/>
    <w:rsid w:val="088F6FEA"/>
    <w:rsid w:val="088F7037"/>
    <w:rsid w:val="088F70A4"/>
    <w:rsid w:val="088F71F6"/>
    <w:rsid w:val="088F72C5"/>
    <w:rsid w:val="088F7341"/>
    <w:rsid w:val="088F73B7"/>
    <w:rsid w:val="088F7423"/>
    <w:rsid w:val="088F74D1"/>
    <w:rsid w:val="088F753C"/>
    <w:rsid w:val="088F763F"/>
    <w:rsid w:val="088F76C6"/>
    <w:rsid w:val="088F76E9"/>
    <w:rsid w:val="088F779E"/>
    <w:rsid w:val="088F77F9"/>
    <w:rsid w:val="088F7864"/>
    <w:rsid w:val="088F7884"/>
    <w:rsid w:val="088F7994"/>
    <w:rsid w:val="088F79E5"/>
    <w:rsid w:val="088F79F2"/>
    <w:rsid w:val="088F7A9F"/>
    <w:rsid w:val="088F7C3B"/>
    <w:rsid w:val="088F7C3D"/>
    <w:rsid w:val="088F7C55"/>
    <w:rsid w:val="088F7CF7"/>
    <w:rsid w:val="088F7D5B"/>
    <w:rsid w:val="088F7D64"/>
    <w:rsid w:val="088F7D71"/>
    <w:rsid w:val="088F7ED8"/>
    <w:rsid w:val="088F7F84"/>
    <w:rsid w:val="0890001A"/>
    <w:rsid w:val="089000B2"/>
    <w:rsid w:val="0890010B"/>
    <w:rsid w:val="08900156"/>
    <w:rsid w:val="089001F3"/>
    <w:rsid w:val="0890028C"/>
    <w:rsid w:val="0890030D"/>
    <w:rsid w:val="08900316"/>
    <w:rsid w:val="0890034A"/>
    <w:rsid w:val="089003BC"/>
    <w:rsid w:val="089003F2"/>
    <w:rsid w:val="08900493"/>
    <w:rsid w:val="089004A7"/>
    <w:rsid w:val="089004FC"/>
    <w:rsid w:val="089005B1"/>
    <w:rsid w:val="08900611"/>
    <w:rsid w:val="0890063E"/>
    <w:rsid w:val="0890065D"/>
    <w:rsid w:val="089006BC"/>
    <w:rsid w:val="08900702"/>
    <w:rsid w:val="0890072E"/>
    <w:rsid w:val="08900779"/>
    <w:rsid w:val="089007AA"/>
    <w:rsid w:val="0890089A"/>
    <w:rsid w:val="089008E1"/>
    <w:rsid w:val="08900908"/>
    <w:rsid w:val="0890091C"/>
    <w:rsid w:val="08900970"/>
    <w:rsid w:val="0890098F"/>
    <w:rsid w:val="089009E8"/>
    <w:rsid w:val="08900AD0"/>
    <w:rsid w:val="08900BB5"/>
    <w:rsid w:val="08900D6C"/>
    <w:rsid w:val="08900DCD"/>
    <w:rsid w:val="08900E35"/>
    <w:rsid w:val="08900E4C"/>
    <w:rsid w:val="08900E81"/>
    <w:rsid w:val="08900E8D"/>
    <w:rsid w:val="08900F24"/>
    <w:rsid w:val="08900FE3"/>
    <w:rsid w:val="08901103"/>
    <w:rsid w:val="08901165"/>
    <w:rsid w:val="08901180"/>
    <w:rsid w:val="089011C8"/>
    <w:rsid w:val="089011D2"/>
    <w:rsid w:val="08901200"/>
    <w:rsid w:val="089012A4"/>
    <w:rsid w:val="08901318"/>
    <w:rsid w:val="0890132A"/>
    <w:rsid w:val="08901396"/>
    <w:rsid w:val="08901531"/>
    <w:rsid w:val="08901566"/>
    <w:rsid w:val="08901568"/>
    <w:rsid w:val="089016D8"/>
    <w:rsid w:val="08901741"/>
    <w:rsid w:val="08901755"/>
    <w:rsid w:val="08901783"/>
    <w:rsid w:val="0890179C"/>
    <w:rsid w:val="08901849"/>
    <w:rsid w:val="08901880"/>
    <w:rsid w:val="0890198D"/>
    <w:rsid w:val="089019AD"/>
    <w:rsid w:val="08901A51"/>
    <w:rsid w:val="08901B2F"/>
    <w:rsid w:val="08901B5B"/>
    <w:rsid w:val="08901BAD"/>
    <w:rsid w:val="08901C26"/>
    <w:rsid w:val="08901C2D"/>
    <w:rsid w:val="08901C7B"/>
    <w:rsid w:val="08901C7D"/>
    <w:rsid w:val="08901CEF"/>
    <w:rsid w:val="08901D60"/>
    <w:rsid w:val="08901E04"/>
    <w:rsid w:val="08901E52"/>
    <w:rsid w:val="08901E78"/>
    <w:rsid w:val="08901FF6"/>
    <w:rsid w:val="0890203E"/>
    <w:rsid w:val="089020C3"/>
    <w:rsid w:val="08902162"/>
    <w:rsid w:val="0890242E"/>
    <w:rsid w:val="089025E8"/>
    <w:rsid w:val="08902636"/>
    <w:rsid w:val="0890267E"/>
    <w:rsid w:val="089026AE"/>
    <w:rsid w:val="0890276D"/>
    <w:rsid w:val="089027D0"/>
    <w:rsid w:val="089027FF"/>
    <w:rsid w:val="08902886"/>
    <w:rsid w:val="089029A1"/>
    <w:rsid w:val="089029D7"/>
    <w:rsid w:val="089029E7"/>
    <w:rsid w:val="08902A34"/>
    <w:rsid w:val="08902A40"/>
    <w:rsid w:val="08902AED"/>
    <w:rsid w:val="08902B16"/>
    <w:rsid w:val="08902B2F"/>
    <w:rsid w:val="08902D3F"/>
    <w:rsid w:val="08902D48"/>
    <w:rsid w:val="08902D58"/>
    <w:rsid w:val="08902DE9"/>
    <w:rsid w:val="08902F13"/>
    <w:rsid w:val="08902FA6"/>
    <w:rsid w:val="089030D3"/>
    <w:rsid w:val="089030E9"/>
    <w:rsid w:val="08903115"/>
    <w:rsid w:val="0890312D"/>
    <w:rsid w:val="089032AE"/>
    <w:rsid w:val="08903357"/>
    <w:rsid w:val="08903361"/>
    <w:rsid w:val="089033AC"/>
    <w:rsid w:val="089033B8"/>
    <w:rsid w:val="08903421"/>
    <w:rsid w:val="0890343E"/>
    <w:rsid w:val="089034A0"/>
    <w:rsid w:val="089035B2"/>
    <w:rsid w:val="089035BF"/>
    <w:rsid w:val="089035C3"/>
    <w:rsid w:val="08903629"/>
    <w:rsid w:val="08903633"/>
    <w:rsid w:val="08903642"/>
    <w:rsid w:val="08903741"/>
    <w:rsid w:val="089037A1"/>
    <w:rsid w:val="089037DE"/>
    <w:rsid w:val="089037E3"/>
    <w:rsid w:val="08903816"/>
    <w:rsid w:val="0890383B"/>
    <w:rsid w:val="08903931"/>
    <w:rsid w:val="0890398C"/>
    <w:rsid w:val="089039BB"/>
    <w:rsid w:val="08903A4B"/>
    <w:rsid w:val="08903A8B"/>
    <w:rsid w:val="08903A8D"/>
    <w:rsid w:val="08903B21"/>
    <w:rsid w:val="08903BEE"/>
    <w:rsid w:val="08903CDE"/>
    <w:rsid w:val="08903CE2"/>
    <w:rsid w:val="08903D09"/>
    <w:rsid w:val="08903D31"/>
    <w:rsid w:val="08903D48"/>
    <w:rsid w:val="08903E0C"/>
    <w:rsid w:val="08903E10"/>
    <w:rsid w:val="08903E4D"/>
    <w:rsid w:val="08903EBA"/>
    <w:rsid w:val="08903F03"/>
    <w:rsid w:val="089040E1"/>
    <w:rsid w:val="08904154"/>
    <w:rsid w:val="08904192"/>
    <w:rsid w:val="089041BE"/>
    <w:rsid w:val="089041C9"/>
    <w:rsid w:val="089041EA"/>
    <w:rsid w:val="089041FB"/>
    <w:rsid w:val="0890443C"/>
    <w:rsid w:val="0890444F"/>
    <w:rsid w:val="089044EC"/>
    <w:rsid w:val="08904500"/>
    <w:rsid w:val="0890451A"/>
    <w:rsid w:val="08904534"/>
    <w:rsid w:val="0890456F"/>
    <w:rsid w:val="08904575"/>
    <w:rsid w:val="08904579"/>
    <w:rsid w:val="089045E4"/>
    <w:rsid w:val="0890461C"/>
    <w:rsid w:val="089046DC"/>
    <w:rsid w:val="08904708"/>
    <w:rsid w:val="089047E0"/>
    <w:rsid w:val="0890481C"/>
    <w:rsid w:val="089048B6"/>
    <w:rsid w:val="089048C2"/>
    <w:rsid w:val="089048D4"/>
    <w:rsid w:val="0890498C"/>
    <w:rsid w:val="08904A47"/>
    <w:rsid w:val="08904B07"/>
    <w:rsid w:val="08904B08"/>
    <w:rsid w:val="08904B10"/>
    <w:rsid w:val="08904B11"/>
    <w:rsid w:val="08904B68"/>
    <w:rsid w:val="08904B6F"/>
    <w:rsid w:val="08904B9C"/>
    <w:rsid w:val="08904C8C"/>
    <w:rsid w:val="08904C9F"/>
    <w:rsid w:val="08904CB0"/>
    <w:rsid w:val="08904CFA"/>
    <w:rsid w:val="08904D4F"/>
    <w:rsid w:val="08904D6E"/>
    <w:rsid w:val="08904DC3"/>
    <w:rsid w:val="08904DF2"/>
    <w:rsid w:val="08904E04"/>
    <w:rsid w:val="08904EED"/>
    <w:rsid w:val="08904F2F"/>
    <w:rsid w:val="08904F3F"/>
    <w:rsid w:val="08904F80"/>
    <w:rsid w:val="08904FF0"/>
    <w:rsid w:val="08904FFE"/>
    <w:rsid w:val="08905014"/>
    <w:rsid w:val="089050A2"/>
    <w:rsid w:val="08905162"/>
    <w:rsid w:val="089051B7"/>
    <w:rsid w:val="089052B1"/>
    <w:rsid w:val="089052F1"/>
    <w:rsid w:val="089052FF"/>
    <w:rsid w:val="08905300"/>
    <w:rsid w:val="089053C2"/>
    <w:rsid w:val="0890541D"/>
    <w:rsid w:val="08905508"/>
    <w:rsid w:val="08905764"/>
    <w:rsid w:val="0890576B"/>
    <w:rsid w:val="0890576F"/>
    <w:rsid w:val="08905800"/>
    <w:rsid w:val="08905856"/>
    <w:rsid w:val="089058D4"/>
    <w:rsid w:val="0890597F"/>
    <w:rsid w:val="08905AA9"/>
    <w:rsid w:val="08905AED"/>
    <w:rsid w:val="08905B18"/>
    <w:rsid w:val="08905B26"/>
    <w:rsid w:val="08905BCE"/>
    <w:rsid w:val="08905C80"/>
    <w:rsid w:val="08905CF9"/>
    <w:rsid w:val="08905D09"/>
    <w:rsid w:val="08905D2B"/>
    <w:rsid w:val="08905D64"/>
    <w:rsid w:val="08905D96"/>
    <w:rsid w:val="08905DBA"/>
    <w:rsid w:val="08905DFE"/>
    <w:rsid w:val="08905E93"/>
    <w:rsid w:val="08905EB8"/>
    <w:rsid w:val="08905EF4"/>
    <w:rsid w:val="08905FD6"/>
    <w:rsid w:val="08906014"/>
    <w:rsid w:val="08906094"/>
    <w:rsid w:val="089060A7"/>
    <w:rsid w:val="08906131"/>
    <w:rsid w:val="089061B5"/>
    <w:rsid w:val="0890622D"/>
    <w:rsid w:val="08906293"/>
    <w:rsid w:val="089062E2"/>
    <w:rsid w:val="08906409"/>
    <w:rsid w:val="08906423"/>
    <w:rsid w:val="08906431"/>
    <w:rsid w:val="089064A3"/>
    <w:rsid w:val="089064F8"/>
    <w:rsid w:val="0890653F"/>
    <w:rsid w:val="089065C8"/>
    <w:rsid w:val="08906699"/>
    <w:rsid w:val="089066AD"/>
    <w:rsid w:val="08906718"/>
    <w:rsid w:val="0890676A"/>
    <w:rsid w:val="08906799"/>
    <w:rsid w:val="089067A2"/>
    <w:rsid w:val="0890690D"/>
    <w:rsid w:val="08906996"/>
    <w:rsid w:val="089069D5"/>
    <w:rsid w:val="08906A27"/>
    <w:rsid w:val="08906A79"/>
    <w:rsid w:val="08906A8A"/>
    <w:rsid w:val="08906B27"/>
    <w:rsid w:val="08906B71"/>
    <w:rsid w:val="08906BF0"/>
    <w:rsid w:val="08906C84"/>
    <w:rsid w:val="08906CDB"/>
    <w:rsid w:val="08906D45"/>
    <w:rsid w:val="08906DEA"/>
    <w:rsid w:val="08906E7D"/>
    <w:rsid w:val="08906EDE"/>
    <w:rsid w:val="08906F67"/>
    <w:rsid w:val="08906FE2"/>
    <w:rsid w:val="089070FA"/>
    <w:rsid w:val="089071F2"/>
    <w:rsid w:val="08907233"/>
    <w:rsid w:val="089072F5"/>
    <w:rsid w:val="08907448"/>
    <w:rsid w:val="089074C0"/>
    <w:rsid w:val="089074C1"/>
    <w:rsid w:val="08907500"/>
    <w:rsid w:val="08907581"/>
    <w:rsid w:val="089075FC"/>
    <w:rsid w:val="089076A2"/>
    <w:rsid w:val="089076AA"/>
    <w:rsid w:val="08907808"/>
    <w:rsid w:val="089078D0"/>
    <w:rsid w:val="0890799B"/>
    <w:rsid w:val="08907B2A"/>
    <w:rsid w:val="08907B2D"/>
    <w:rsid w:val="08907B37"/>
    <w:rsid w:val="08907B94"/>
    <w:rsid w:val="08907BD6"/>
    <w:rsid w:val="08907C08"/>
    <w:rsid w:val="08907C7A"/>
    <w:rsid w:val="08907C7B"/>
    <w:rsid w:val="08907C8E"/>
    <w:rsid w:val="08907E02"/>
    <w:rsid w:val="08907E3A"/>
    <w:rsid w:val="08907EAC"/>
    <w:rsid w:val="08907EDF"/>
    <w:rsid w:val="08907EEB"/>
    <w:rsid w:val="08907FEC"/>
    <w:rsid w:val="08907FF0"/>
    <w:rsid w:val="08910004"/>
    <w:rsid w:val="08910038"/>
    <w:rsid w:val="08910041"/>
    <w:rsid w:val="089101A2"/>
    <w:rsid w:val="089101F5"/>
    <w:rsid w:val="089101FE"/>
    <w:rsid w:val="0891022D"/>
    <w:rsid w:val="089102EC"/>
    <w:rsid w:val="08910434"/>
    <w:rsid w:val="089104AC"/>
    <w:rsid w:val="08910516"/>
    <w:rsid w:val="08910568"/>
    <w:rsid w:val="08910570"/>
    <w:rsid w:val="0891061D"/>
    <w:rsid w:val="08910637"/>
    <w:rsid w:val="08910671"/>
    <w:rsid w:val="08910674"/>
    <w:rsid w:val="08910675"/>
    <w:rsid w:val="08910720"/>
    <w:rsid w:val="0891083F"/>
    <w:rsid w:val="0891089E"/>
    <w:rsid w:val="089108A9"/>
    <w:rsid w:val="089108BD"/>
    <w:rsid w:val="089108C4"/>
    <w:rsid w:val="0891097C"/>
    <w:rsid w:val="08910A77"/>
    <w:rsid w:val="08910B2F"/>
    <w:rsid w:val="08910B31"/>
    <w:rsid w:val="08910B73"/>
    <w:rsid w:val="08910B78"/>
    <w:rsid w:val="08910BEB"/>
    <w:rsid w:val="08910CF4"/>
    <w:rsid w:val="08910D0C"/>
    <w:rsid w:val="08910D8A"/>
    <w:rsid w:val="08910D95"/>
    <w:rsid w:val="08910E04"/>
    <w:rsid w:val="08910E24"/>
    <w:rsid w:val="08910E89"/>
    <w:rsid w:val="08910EB8"/>
    <w:rsid w:val="0891101F"/>
    <w:rsid w:val="08911099"/>
    <w:rsid w:val="089110CA"/>
    <w:rsid w:val="089110DA"/>
    <w:rsid w:val="0891113C"/>
    <w:rsid w:val="08911176"/>
    <w:rsid w:val="0891119A"/>
    <w:rsid w:val="089111EF"/>
    <w:rsid w:val="08911243"/>
    <w:rsid w:val="08911253"/>
    <w:rsid w:val="08911278"/>
    <w:rsid w:val="089112B0"/>
    <w:rsid w:val="08911349"/>
    <w:rsid w:val="08911350"/>
    <w:rsid w:val="08911357"/>
    <w:rsid w:val="08911386"/>
    <w:rsid w:val="0891146F"/>
    <w:rsid w:val="0891157B"/>
    <w:rsid w:val="089115D0"/>
    <w:rsid w:val="0891163F"/>
    <w:rsid w:val="08911694"/>
    <w:rsid w:val="089116BF"/>
    <w:rsid w:val="0891189D"/>
    <w:rsid w:val="089118BD"/>
    <w:rsid w:val="0891190B"/>
    <w:rsid w:val="08911927"/>
    <w:rsid w:val="089119F2"/>
    <w:rsid w:val="08911A14"/>
    <w:rsid w:val="08911A6C"/>
    <w:rsid w:val="08911AC6"/>
    <w:rsid w:val="08911B71"/>
    <w:rsid w:val="08911BAA"/>
    <w:rsid w:val="08911CD6"/>
    <w:rsid w:val="08911D96"/>
    <w:rsid w:val="08911D9E"/>
    <w:rsid w:val="08911DF1"/>
    <w:rsid w:val="08911E26"/>
    <w:rsid w:val="08911E5A"/>
    <w:rsid w:val="08911EA3"/>
    <w:rsid w:val="08911EBC"/>
    <w:rsid w:val="08911F2E"/>
    <w:rsid w:val="08911F6F"/>
    <w:rsid w:val="08911FC6"/>
    <w:rsid w:val="08911FEC"/>
    <w:rsid w:val="08911FED"/>
    <w:rsid w:val="08912084"/>
    <w:rsid w:val="089120DD"/>
    <w:rsid w:val="08912126"/>
    <w:rsid w:val="0891216B"/>
    <w:rsid w:val="089121D7"/>
    <w:rsid w:val="089121DA"/>
    <w:rsid w:val="089121FD"/>
    <w:rsid w:val="08912230"/>
    <w:rsid w:val="08912231"/>
    <w:rsid w:val="08912240"/>
    <w:rsid w:val="08912500"/>
    <w:rsid w:val="08912548"/>
    <w:rsid w:val="08912579"/>
    <w:rsid w:val="089125C6"/>
    <w:rsid w:val="089125F4"/>
    <w:rsid w:val="0891260D"/>
    <w:rsid w:val="089126A3"/>
    <w:rsid w:val="089126FC"/>
    <w:rsid w:val="089127B5"/>
    <w:rsid w:val="089127C5"/>
    <w:rsid w:val="089128C2"/>
    <w:rsid w:val="0891294B"/>
    <w:rsid w:val="089129D4"/>
    <w:rsid w:val="089129E2"/>
    <w:rsid w:val="08912B33"/>
    <w:rsid w:val="08912B9F"/>
    <w:rsid w:val="08912D45"/>
    <w:rsid w:val="08912DC0"/>
    <w:rsid w:val="08912DEC"/>
    <w:rsid w:val="08912E26"/>
    <w:rsid w:val="08912E7D"/>
    <w:rsid w:val="08912F5F"/>
    <w:rsid w:val="089130F2"/>
    <w:rsid w:val="089131CE"/>
    <w:rsid w:val="089132AF"/>
    <w:rsid w:val="089132D5"/>
    <w:rsid w:val="089133A5"/>
    <w:rsid w:val="089133A8"/>
    <w:rsid w:val="08913416"/>
    <w:rsid w:val="0891341B"/>
    <w:rsid w:val="08913429"/>
    <w:rsid w:val="0891346E"/>
    <w:rsid w:val="0891347F"/>
    <w:rsid w:val="089134A7"/>
    <w:rsid w:val="089134CC"/>
    <w:rsid w:val="089135C5"/>
    <w:rsid w:val="08913631"/>
    <w:rsid w:val="0891366C"/>
    <w:rsid w:val="089136E9"/>
    <w:rsid w:val="089137A9"/>
    <w:rsid w:val="089137D1"/>
    <w:rsid w:val="08913812"/>
    <w:rsid w:val="0891383F"/>
    <w:rsid w:val="08913859"/>
    <w:rsid w:val="0891387A"/>
    <w:rsid w:val="0891395D"/>
    <w:rsid w:val="08913976"/>
    <w:rsid w:val="08913A14"/>
    <w:rsid w:val="08913AB4"/>
    <w:rsid w:val="08913ABC"/>
    <w:rsid w:val="08913ADA"/>
    <w:rsid w:val="08913B77"/>
    <w:rsid w:val="08913D10"/>
    <w:rsid w:val="08913D1B"/>
    <w:rsid w:val="08913D25"/>
    <w:rsid w:val="08913E0F"/>
    <w:rsid w:val="08913E38"/>
    <w:rsid w:val="0891406B"/>
    <w:rsid w:val="08914078"/>
    <w:rsid w:val="0891414C"/>
    <w:rsid w:val="08914151"/>
    <w:rsid w:val="08914168"/>
    <w:rsid w:val="0891419F"/>
    <w:rsid w:val="089142D8"/>
    <w:rsid w:val="089142F2"/>
    <w:rsid w:val="08914338"/>
    <w:rsid w:val="089143D4"/>
    <w:rsid w:val="0891440A"/>
    <w:rsid w:val="089144C1"/>
    <w:rsid w:val="08914556"/>
    <w:rsid w:val="0891456B"/>
    <w:rsid w:val="089145E6"/>
    <w:rsid w:val="089146AF"/>
    <w:rsid w:val="089147F8"/>
    <w:rsid w:val="089148B8"/>
    <w:rsid w:val="089148DF"/>
    <w:rsid w:val="08914923"/>
    <w:rsid w:val="089149A4"/>
    <w:rsid w:val="089149FB"/>
    <w:rsid w:val="08914AA3"/>
    <w:rsid w:val="08914AE3"/>
    <w:rsid w:val="08914B67"/>
    <w:rsid w:val="08914C05"/>
    <w:rsid w:val="08914C63"/>
    <w:rsid w:val="08914D5A"/>
    <w:rsid w:val="08914D84"/>
    <w:rsid w:val="08914D92"/>
    <w:rsid w:val="08914DCE"/>
    <w:rsid w:val="08914E08"/>
    <w:rsid w:val="08914F22"/>
    <w:rsid w:val="0891505A"/>
    <w:rsid w:val="089150B6"/>
    <w:rsid w:val="089151F7"/>
    <w:rsid w:val="0891525D"/>
    <w:rsid w:val="08915272"/>
    <w:rsid w:val="089152C5"/>
    <w:rsid w:val="0891530F"/>
    <w:rsid w:val="08915358"/>
    <w:rsid w:val="08915359"/>
    <w:rsid w:val="089153FF"/>
    <w:rsid w:val="0891540E"/>
    <w:rsid w:val="08915490"/>
    <w:rsid w:val="0891549E"/>
    <w:rsid w:val="089154A0"/>
    <w:rsid w:val="089154D1"/>
    <w:rsid w:val="089154F7"/>
    <w:rsid w:val="08915516"/>
    <w:rsid w:val="08915556"/>
    <w:rsid w:val="08915658"/>
    <w:rsid w:val="089156CD"/>
    <w:rsid w:val="089156E5"/>
    <w:rsid w:val="08915729"/>
    <w:rsid w:val="089157C4"/>
    <w:rsid w:val="089157D6"/>
    <w:rsid w:val="089157FE"/>
    <w:rsid w:val="08915814"/>
    <w:rsid w:val="08915816"/>
    <w:rsid w:val="0891587D"/>
    <w:rsid w:val="089159EE"/>
    <w:rsid w:val="08915A16"/>
    <w:rsid w:val="08915B6E"/>
    <w:rsid w:val="08915D28"/>
    <w:rsid w:val="08915E15"/>
    <w:rsid w:val="08915E2A"/>
    <w:rsid w:val="08915EC4"/>
    <w:rsid w:val="08915F4E"/>
    <w:rsid w:val="08915FB6"/>
    <w:rsid w:val="08916014"/>
    <w:rsid w:val="0891603B"/>
    <w:rsid w:val="08916133"/>
    <w:rsid w:val="0891616C"/>
    <w:rsid w:val="0891617A"/>
    <w:rsid w:val="089161D9"/>
    <w:rsid w:val="08916239"/>
    <w:rsid w:val="0891628B"/>
    <w:rsid w:val="08916362"/>
    <w:rsid w:val="0891646D"/>
    <w:rsid w:val="08916481"/>
    <w:rsid w:val="089164E4"/>
    <w:rsid w:val="089165E7"/>
    <w:rsid w:val="08916606"/>
    <w:rsid w:val="08916759"/>
    <w:rsid w:val="0891675E"/>
    <w:rsid w:val="089167A6"/>
    <w:rsid w:val="089167AD"/>
    <w:rsid w:val="089167DE"/>
    <w:rsid w:val="08916862"/>
    <w:rsid w:val="08916887"/>
    <w:rsid w:val="089168BF"/>
    <w:rsid w:val="08916906"/>
    <w:rsid w:val="08916929"/>
    <w:rsid w:val="089169CD"/>
    <w:rsid w:val="089169EF"/>
    <w:rsid w:val="089169FF"/>
    <w:rsid w:val="08916B0A"/>
    <w:rsid w:val="08916B19"/>
    <w:rsid w:val="08916C64"/>
    <w:rsid w:val="08916C6F"/>
    <w:rsid w:val="08916D03"/>
    <w:rsid w:val="08916D16"/>
    <w:rsid w:val="08916D38"/>
    <w:rsid w:val="08916DAD"/>
    <w:rsid w:val="08916E1C"/>
    <w:rsid w:val="08917067"/>
    <w:rsid w:val="08917081"/>
    <w:rsid w:val="0891709A"/>
    <w:rsid w:val="0891713D"/>
    <w:rsid w:val="08917155"/>
    <w:rsid w:val="0891720B"/>
    <w:rsid w:val="08917286"/>
    <w:rsid w:val="089172CD"/>
    <w:rsid w:val="089172DB"/>
    <w:rsid w:val="08917313"/>
    <w:rsid w:val="08917359"/>
    <w:rsid w:val="0891741E"/>
    <w:rsid w:val="08917426"/>
    <w:rsid w:val="0891749F"/>
    <w:rsid w:val="089175D1"/>
    <w:rsid w:val="089176A1"/>
    <w:rsid w:val="0891770B"/>
    <w:rsid w:val="08917753"/>
    <w:rsid w:val="0891775B"/>
    <w:rsid w:val="089177DD"/>
    <w:rsid w:val="0891797E"/>
    <w:rsid w:val="089179B8"/>
    <w:rsid w:val="08917A87"/>
    <w:rsid w:val="08917B2B"/>
    <w:rsid w:val="08917B60"/>
    <w:rsid w:val="08917B9C"/>
    <w:rsid w:val="08917C11"/>
    <w:rsid w:val="08917C85"/>
    <w:rsid w:val="08917D60"/>
    <w:rsid w:val="08917E25"/>
    <w:rsid w:val="08917F75"/>
    <w:rsid w:val="08917FF1"/>
    <w:rsid w:val="08920021"/>
    <w:rsid w:val="0892012D"/>
    <w:rsid w:val="0892012F"/>
    <w:rsid w:val="0892025E"/>
    <w:rsid w:val="08920270"/>
    <w:rsid w:val="089202E8"/>
    <w:rsid w:val="089202EE"/>
    <w:rsid w:val="0892033C"/>
    <w:rsid w:val="0892047C"/>
    <w:rsid w:val="089204AB"/>
    <w:rsid w:val="08920531"/>
    <w:rsid w:val="08920665"/>
    <w:rsid w:val="089206A3"/>
    <w:rsid w:val="089206CD"/>
    <w:rsid w:val="08920709"/>
    <w:rsid w:val="08920740"/>
    <w:rsid w:val="08920797"/>
    <w:rsid w:val="089207BD"/>
    <w:rsid w:val="08920882"/>
    <w:rsid w:val="0892089A"/>
    <w:rsid w:val="089208CB"/>
    <w:rsid w:val="08920929"/>
    <w:rsid w:val="08920962"/>
    <w:rsid w:val="089209E2"/>
    <w:rsid w:val="08920A6E"/>
    <w:rsid w:val="08920AB1"/>
    <w:rsid w:val="08920AE7"/>
    <w:rsid w:val="08920B3F"/>
    <w:rsid w:val="08920B6A"/>
    <w:rsid w:val="08920B70"/>
    <w:rsid w:val="08920CD2"/>
    <w:rsid w:val="08920CEA"/>
    <w:rsid w:val="08920DC8"/>
    <w:rsid w:val="08920F9B"/>
    <w:rsid w:val="0892100C"/>
    <w:rsid w:val="0892108F"/>
    <w:rsid w:val="0892109E"/>
    <w:rsid w:val="089210A4"/>
    <w:rsid w:val="089210B4"/>
    <w:rsid w:val="089210C6"/>
    <w:rsid w:val="08921100"/>
    <w:rsid w:val="089212A2"/>
    <w:rsid w:val="089212DE"/>
    <w:rsid w:val="08921302"/>
    <w:rsid w:val="0892130C"/>
    <w:rsid w:val="08921377"/>
    <w:rsid w:val="08921381"/>
    <w:rsid w:val="089213DB"/>
    <w:rsid w:val="08921456"/>
    <w:rsid w:val="089214BF"/>
    <w:rsid w:val="08921508"/>
    <w:rsid w:val="0892153F"/>
    <w:rsid w:val="08921541"/>
    <w:rsid w:val="089215E7"/>
    <w:rsid w:val="0892174A"/>
    <w:rsid w:val="08921801"/>
    <w:rsid w:val="0892181A"/>
    <w:rsid w:val="089218C4"/>
    <w:rsid w:val="089219C8"/>
    <w:rsid w:val="08921A2B"/>
    <w:rsid w:val="08921A5E"/>
    <w:rsid w:val="08921A88"/>
    <w:rsid w:val="08921A92"/>
    <w:rsid w:val="08921A9F"/>
    <w:rsid w:val="08921ABE"/>
    <w:rsid w:val="08921C52"/>
    <w:rsid w:val="08921C60"/>
    <w:rsid w:val="08921C75"/>
    <w:rsid w:val="08921CC3"/>
    <w:rsid w:val="08921D0D"/>
    <w:rsid w:val="08921D8E"/>
    <w:rsid w:val="08921DD9"/>
    <w:rsid w:val="08921E10"/>
    <w:rsid w:val="08921EE3"/>
    <w:rsid w:val="08921FE8"/>
    <w:rsid w:val="08921FF0"/>
    <w:rsid w:val="08922050"/>
    <w:rsid w:val="08922063"/>
    <w:rsid w:val="08922092"/>
    <w:rsid w:val="089220CD"/>
    <w:rsid w:val="08922207"/>
    <w:rsid w:val="0892222C"/>
    <w:rsid w:val="089222DC"/>
    <w:rsid w:val="089222DF"/>
    <w:rsid w:val="08922355"/>
    <w:rsid w:val="0892235C"/>
    <w:rsid w:val="08922411"/>
    <w:rsid w:val="089225E7"/>
    <w:rsid w:val="08922649"/>
    <w:rsid w:val="0892278D"/>
    <w:rsid w:val="0892284C"/>
    <w:rsid w:val="08922897"/>
    <w:rsid w:val="0892289D"/>
    <w:rsid w:val="08922927"/>
    <w:rsid w:val="08922933"/>
    <w:rsid w:val="08922A12"/>
    <w:rsid w:val="08922A21"/>
    <w:rsid w:val="08922A47"/>
    <w:rsid w:val="08922A53"/>
    <w:rsid w:val="08922AA9"/>
    <w:rsid w:val="08922BD4"/>
    <w:rsid w:val="08922C66"/>
    <w:rsid w:val="08922C9F"/>
    <w:rsid w:val="08922E63"/>
    <w:rsid w:val="08922F1B"/>
    <w:rsid w:val="08922FE8"/>
    <w:rsid w:val="08923091"/>
    <w:rsid w:val="089230A0"/>
    <w:rsid w:val="089230B9"/>
    <w:rsid w:val="089230C7"/>
    <w:rsid w:val="089230E7"/>
    <w:rsid w:val="08923182"/>
    <w:rsid w:val="08923184"/>
    <w:rsid w:val="089231DB"/>
    <w:rsid w:val="089231F9"/>
    <w:rsid w:val="0892322A"/>
    <w:rsid w:val="089232B3"/>
    <w:rsid w:val="08923313"/>
    <w:rsid w:val="08923596"/>
    <w:rsid w:val="089235AD"/>
    <w:rsid w:val="0892361A"/>
    <w:rsid w:val="089237BB"/>
    <w:rsid w:val="089237EE"/>
    <w:rsid w:val="089237F5"/>
    <w:rsid w:val="0892383B"/>
    <w:rsid w:val="0892390C"/>
    <w:rsid w:val="08923910"/>
    <w:rsid w:val="0892394F"/>
    <w:rsid w:val="08923A8C"/>
    <w:rsid w:val="08923BE9"/>
    <w:rsid w:val="08923C59"/>
    <w:rsid w:val="08923CA1"/>
    <w:rsid w:val="08923CF5"/>
    <w:rsid w:val="08923D4B"/>
    <w:rsid w:val="08923D59"/>
    <w:rsid w:val="08923D87"/>
    <w:rsid w:val="08923E04"/>
    <w:rsid w:val="08923E31"/>
    <w:rsid w:val="08923E44"/>
    <w:rsid w:val="08923E5E"/>
    <w:rsid w:val="089240A6"/>
    <w:rsid w:val="089240CC"/>
    <w:rsid w:val="0892410A"/>
    <w:rsid w:val="0892411F"/>
    <w:rsid w:val="08924198"/>
    <w:rsid w:val="089241B2"/>
    <w:rsid w:val="089242F1"/>
    <w:rsid w:val="08924368"/>
    <w:rsid w:val="0892438C"/>
    <w:rsid w:val="089243C8"/>
    <w:rsid w:val="089244A8"/>
    <w:rsid w:val="089244B3"/>
    <w:rsid w:val="08924608"/>
    <w:rsid w:val="0892465B"/>
    <w:rsid w:val="08924698"/>
    <w:rsid w:val="0892478E"/>
    <w:rsid w:val="08924794"/>
    <w:rsid w:val="089247A2"/>
    <w:rsid w:val="089248A0"/>
    <w:rsid w:val="089248A1"/>
    <w:rsid w:val="08924966"/>
    <w:rsid w:val="089249AC"/>
    <w:rsid w:val="08924A01"/>
    <w:rsid w:val="08924AA4"/>
    <w:rsid w:val="08924B06"/>
    <w:rsid w:val="08924B6E"/>
    <w:rsid w:val="08924B7B"/>
    <w:rsid w:val="08924C39"/>
    <w:rsid w:val="08924C48"/>
    <w:rsid w:val="08924CBB"/>
    <w:rsid w:val="08924D61"/>
    <w:rsid w:val="08924D75"/>
    <w:rsid w:val="08924DA0"/>
    <w:rsid w:val="08924E2A"/>
    <w:rsid w:val="08924F05"/>
    <w:rsid w:val="08924F1C"/>
    <w:rsid w:val="08924F60"/>
    <w:rsid w:val="08924F7D"/>
    <w:rsid w:val="089250CF"/>
    <w:rsid w:val="08925104"/>
    <w:rsid w:val="08925123"/>
    <w:rsid w:val="08925163"/>
    <w:rsid w:val="08925207"/>
    <w:rsid w:val="089252EE"/>
    <w:rsid w:val="0892534B"/>
    <w:rsid w:val="089253A9"/>
    <w:rsid w:val="0892549F"/>
    <w:rsid w:val="08925514"/>
    <w:rsid w:val="0892553E"/>
    <w:rsid w:val="08925563"/>
    <w:rsid w:val="08925630"/>
    <w:rsid w:val="089256FD"/>
    <w:rsid w:val="089257CA"/>
    <w:rsid w:val="089257E2"/>
    <w:rsid w:val="0892580B"/>
    <w:rsid w:val="0892580F"/>
    <w:rsid w:val="08925889"/>
    <w:rsid w:val="089258F4"/>
    <w:rsid w:val="089259A5"/>
    <w:rsid w:val="08925A6A"/>
    <w:rsid w:val="08925B79"/>
    <w:rsid w:val="08925B92"/>
    <w:rsid w:val="08925BA9"/>
    <w:rsid w:val="08925D85"/>
    <w:rsid w:val="08925EA3"/>
    <w:rsid w:val="08925F47"/>
    <w:rsid w:val="08925F85"/>
    <w:rsid w:val="08925FBD"/>
    <w:rsid w:val="08925FC5"/>
    <w:rsid w:val="08925FCB"/>
    <w:rsid w:val="08926030"/>
    <w:rsid w:val="0892605A"/>
    <w:rsid w:val="08926112"/>
    <w:rsid w:val="08926196"/>
    <w:rsid w:val="0892624A"/>
    <w:rsid w:val="08926324"/>
    <w:rsid w:val="0892636E"/>
    <w:rsid w:val="089263EA"/>
    <w:rsid w:val="0892641B"/>
    <w:rsid w:val="08926423"/>
    <w:rsid w:val="0892644C"/>
    <w:rsid w:val="089264F9"/>
    <w:rsid w:val="0892650A"/>
    <w:rsid w:val="0892657C"/>
    <w:rsid w:val="089265A8"/>
    <w:rsid w:val="08926618"/>
    <w:rsid w:val="089266C8"/>
    <w:rsid w:val="089266CD"/>
    <w:rsid w:val="089266F9"/>
    <w:rsid w:val="08926738"/>
    <w:rsid w:val="08926754"/>
    <w:rsid w:val="0892677B"/>
    <w:rsid w:val="08926785"/>
    <w:rsid w:val="089268AD"/>
    <w:rsid w:val="0892690B"/>
    <w:rsid w:val="0892693E"/>
    <w:rsid w:val="08926948"/>
    <w:rsid w:val="08926993"/>
    <w:rsid w:val="08926A04"/>
    <w:rsid w:val="08926A86"/>
    <w:rsid w:val="08926B7F"/>
    <w:rsid w:val="08926C47"/>
    <w:rsid w:val="08926C8C"/>
    <w:rsid w:val="08926CBA"/>
    <w:rsid w:val="08926DB5"/>
    <w:rsid w:val="08926E2C"/>
    <w:rsid w:val="08926E33"/>
    <w:rsid w:val="08926EF4"/>
    <w:rsid w:val="08926F39"/>
    <w:rsid w:val="0892701D"/>
    <w:rsid w:val="0892707E"/>
    <w:rsid w:val="089270A0"/>
    <w:rsid w:val="08927204"/>
    <w:rsid w:val="08927211"/>
    <w:rsid w:val="089272C7"/>
    <w:rsid w:val="08927345"/>
    <w:rsid w:val="08927361"/>
    <w:rsid w:val="08927378"/>
    <w:rsid w:val="089273D8"/>
    <w:rsid w:val="08927432"/>
    <w:rsid w:val="08927480"/>
    <w:rsid w:val="089274E2"/>
    <w:rsid w:val="089275BC"/>
    <w:rsid w:val="089275E1"/>
    <w:rsid w:val="0892762F"/>
    <w:rsid w:val="0892764A"/>
    <w:rsid w:val="0892764F"/>
    <w:rsid w:val="08927777"/>
    <w:rsid w:val="0892780E"/>
    <w:rsid w:val="089278B3"/>
    <w:rsid w:val="0892791F"/>
    <w:rsid w:val="08927980"/>
    <w:rsid w:val="0892798F"/>
    <w:rsid w:val="089279B4"/>
    <w:rsid w:val="089279D7"/>
    <w:rsid w:val="089279E9"/>
    <w:rsid w:val="089279F0"/>
    <w:rsid w:val="08927A17"/>
    <w:rsid w:val="08927A28"/>
    <w:rsid w:val="08927A2A"/>
    <w:rsid w:val="08927A5C"/>
    <w:rsid w:val="08927A6D"/>
    <w:rsid w:val="08927A76"/>
    <w:rsid w:val="08927A8A"/>
    <w:rsid w:val="08927ABB"/>
    <w:rsid w:val="08927B71"/>
    <w:rsid w:val="08927BB0"/>
    <w:rsid w:val="08927C1E"/>
    <w:rsid w:val="08927CC8"/>
    <w:rsid w:val="08927D78"/>
    <w:rsid w:val="08927D9C"/>
    <w:rsid w:val="08927DC7"/>
    <w:rsid w:val="08927E5B"/>
    <w:rsid w:val="08927E94"/>
    <w:rsid w:val="08927EB9"/>
    <w:rsid w:val="08927FAA"/>
    <w:rsid w:val="08927FD4"/>
    <w:rsid w:val="089300B5"/>
    <w:rsid w:val="08930217"/>
    <w:rsid w:val="08930248"/>
    <w:rsid w:val="089302B6"/>
    <w:rsid w:val="08930384"/>
    <w:rsid w:val="0893038E"/>
    <w:rsid w:val="08930444"/>
    <w:rsid w:val="08930453"/>
    <w:rsid w:val="0893058D"/>
    <w:rsid w:val="0893067E"/>
    <w:rsid w:val="089306BA"/>
    <w:rsid w:val="089306DF"/>
    <w:rsid w:val="089306EB"/>
    <w:rsid w:val="08930763"/>
    <w:rsid w:val="089307F2"/>
    <w:rsid w:val="089307F9"/>
    <w:rsid w:val="0893083F"/>
    <w:rsid w:val="089308CC"/>
    <w:rsid w:val="08930944"/>
    <w:rsid w:val="089309CA"/>
    <w:rsid w:val="08930AF8"/>
    <w:rsid w:val="08930B1B"/>
    <w:rsid w:val="08930B4E"/>
    <w:rsid w:val="08930BAA"/>
    <w:rsid w:val="08930D4B"/>
    <w:rsid w:val="08930D7F"/>
    <w:rsid w:val="08930E58"/>
    <w:rsid w:val="08930E8A"/>
    <w:rsid w:val="08930EEC"/>
    <w:rsid w:val="08930EFD"/>
    <w:rsid w:val="08930F67"/>
    <w:rsid w:val="08931123"/>
    <w:rsid w:val="089312D9"/>
    <w:rsid w:val="0893135C"/>
    <w:rsid w:val="089313B9"/>
    <w:rsid w:val="089313E4"/>
    <w:rsid w:val="08931456"/>
    <w:rsid w:val="08931551"/>
    <w:rsid w:val="08931591"/>
    <w:rsid w:val="0893163A"/>
    <w:rsid w:val="08931670"/>
    <w:rsid w:val="089316C6"/>
    <w:rsid w:val="08931714"/>
    <w:rsid w:val="0893176C"/>
    <w:rsid w:val="089317B7"/>
    <w:rsid w:val="089317E3"/>
    <w:rsid w:val="089317F8"/>
    <w:rsid w:val="0893180D"/>
    <w:rsid w:val="08931815"/>
    <w:rsid w:val="089318C8"/>
    <w:rsid w:val="089319AF"/>
    <w:rsid w:val="08931A8A"/>
    <w:rsid w:val="08931AA4"/>
    <w:rsid w:val="08931ABB"/>
    <w:rsid w:val="08931AC8"/>
    <w:rsid w:val="08931AEA"/>
    <w:rsid w:val="08931BDA"/>
    <w:rsid w:val="08931C73"/>
    <w:rsid w:val="08931C8D"/>
    <w:rsid w:val="08931CD7"/>
    <w:rsid w:val="08931CE3"/>
    <w:rsid w:val="08931D2D"/>
    <w:rsid w:val="08931DF4"/>
    <w:rsid w:val="08931E13"/>
    <w:rsid w:val="08931E3E"/>
    <w:rsid w:val="08931EC0"/>
    <w:rsid w:val="08931F23"/>
    <w:rsid w:val="08931FA0"/>
    <w:rsid w:val="08931FCD"/>
    <w:rsid w:val="089320CE"/>
    <w:rsid w:val="08932155"/>
    <w:rsid w:val="089321EE"/>
    <w:rsid w:val="0893241A"/>
    <w:rsid w:val="089324BD"/>
    <w:rsid w:val="089324E3"/>
    <w:rsid w:val="089324F7"/>
    <w:rsid w:val="08932510"/>
    <w:rsid w:val="089326AD"/>
    <w:rsid w:val="089326C9"/>
    <w:rsid w:val="08932709"/>
    <w:rsid w:val="0893271D"/>
    <w:rsid w:val="08932803"/>
    <w:rsid w:val="0893293B"/>
    <w:rsid w:val="08932942"/>
    <w:rsid w:val="089329DA"/>
    <w:rsid w:val="08932B4D"/>
    <w:rsid w:val="08932BAD"/>
    <w:rsid w:val="08932BD4"/>
    <w:rsid w:val="08932C7A"/>
    <w:rsid w:val="08932C7E"/>
    <w:rsid w:val="08932D04"/>
    <w:rsid w:val="08932D10"/>
    <w:rsid w:val="08932D3A"/>
    <w:rsid w:val="08932E71"/>
    <w:rsid w:val="08932FED"/>
    <w:rsid w:val="0893300E"/>
    <w:rsid w:val="08933021"/>
    <w:rsid w:val="0893307B"/>
    <w:rsid w:val="0893309E"/>
    <w:rsid w:val="089330CA"/>
    <w:rsid w:val="089330F5"/>
    <w:rsid w:val="0893319F"/>
    <w:rsid w:val="089331BF"/>
    <w:rsid w:val="089331DC"/>
    <w:rsid w:val="0893321B"/>
    <w:rsid w:val="089332BC"/>
    <w:rsid w:val="089333BD"/>
    <w:rsid w:val="089335CC"/>
    <w:rsid w:val="08933679"/>
    <w:rsid w:val="08933786"/>
    <w:rsid w:val="0893378D"/>
    <w:rsid w:val="0893380D"/>
    <w:rsid w:val="08933813"/>
    <w:rsid w:val="089338DC"/>
    <w:rsid w:val="0893395B"/>
    <w:rsid w:val="089339B1"/>
    <w:rsid w:val="089339FB"/>
    <w:rsid w:val="089339FE"/>
    <w:rsid w:val="08933A26"/>
    <w:rsid w:val="08933A2B"/>
    <w:rsid w:val="08933A89"/>
    <w:rsid w:val="08933AEE"/>
    <w:rsid w:val="08933B66"/>
    <w:rsid w:val="08933B71"/>
    <w:rsid w:val="08933B84"/>
    <w:rsid w:val="08933BE0"/>
    <w:rsid w:val="08933C9B"/>
    <w:rsid w:val="08933CA2"/>
    <w:rsid w:val="08933D24"/>
    <w:rsid w:val="08933DD5"/>
    <w:rsid w:val="08933E48"/>
    <w:rsid w:val="08933E72"/>
    <w:rsid w:val="08933E77"/>
    <w:rsid w:val="08933ECD"/>
    <w:rsid w:val="08933EFC"/>
    <w:rsid w:val="08933FE2"/>
    <w:rsid w:val="0893406E"/>
    <w:rsid w:val="08934154"/>
    <w:rsid w:val="0893416D"/>
    <w:rsid w:val="08934285"/>
    <w:rsid w:val="089342AB"/>
    <w:rsid w:val="08934504"/>
    <w:rsid w:val="08934525"/>
    <w:rsid w:val="0893454D"/>
    <w:rsid w:val="08934668"/>
    <w:rsid w:val="08934684"/>
    <w:rsid w:val="08934697"/>
    <w:rsid w:val="0893476F"/>
    <w:rsid w:val="0893477D"/>
    <w:rsid w:val="08934887"/>
    <w:rsid w:val="089348B7"/>
    <w:rsid w:val="08934936"/>
    <w:rsid w:val="0893496F"/>
    <w:rsid w:val="08934A13"/>
    <w:rsid w:val="08934A51"/>
    <w:rsid w:val="08934B1F"/>
    <w:rsid w:val="08934B89"/>
    <w:rsid w:val="08934C64"/>
    <w:rsid w:val="08934E25"/>
    <w:rsid w:val="08934EB3"/>
    <w:rsid w:val="08934EBA"/>
    <w:rsid w:val="08934ECE"/>
    <w:rsid w:val="08934F5B"/>
    <w:rsid w:val="089350E3"/>
    <w:rsid w:val="089350E4"/>
    <w:rsid w:val="089351FD"/>
    <w:rsid w:val="08935210"/>
    <w:rsid w:val="0893521B"/>
    <w:rsid w:val="08935352"/>
    <w:rsid w:val="089353B0"/>
    <w:rsid w:val="089353D5"/>
    <w:rsid w:val="08935441"/>
    <w:rsid w:val="0893545B"/>
    <w:rsid w:val="08935530"/>
    <w:rsid w:val="08935610"/>
    <w:rsid w:val="0893561F"/>
    <w:rsid w:val="0893563F"/>
    <w:rsid w:val="08935660"/>
    <w:rsid w:val="08935693"/>
    <w:rsid w:val="0893572D"/>
    <w:rsid w:val="08935741"/>
    <w:rsid w:val="0893576F"/>
    <w:rsid w:val="08935785"/>
    <w:rsid w:val="089357B1"/>
    <w:rsid w:val="089358C5"/>
    <w:rsid w:val="0893591B"/>
    <w:rsid w:val="08935C07"/>
    <w:rsid w:val="08935C3D"/>
    <w:rsid w:val="08935CD0"/>
    <w:rsid w:val="08935E82"/>
    <w:rsid w:val="08935EF8"/>
    <w:rsid w:val="08935F40"/>
    <w:rsid w:val="08935F7F"/>
    <w:rsid w:val="08935F8D"/>
    <w:rsid w:val="08935FC0"/>
    <w:rsid w:val="08935FCC"/>
    <w:rsid w:val="08936047"/>
    <w:rsid w:val="08936111"/>
    <w:rsid w:val="08936172"/>
    <w:rsid w:val="08936220"/>
    <w:rsid w:val="08936221"/>
    <w:rsid w:val="08936282"/>
    <w:rsid w:val="0893634D"/>
    <w:rsid w:val="089363E9"/>
    <w:rsid w:val="089363FA"/>
    <w:rsid w:val="089364B4"/>
    <w:rsid w:val="08936647"/>
    <w:rsid w:val="08936728"/>
    <w:rsid w:val="089368B5"/>
    <w:rsid w:val="08936929"/>
    <w:rsid w:val="08936964"/>
    <w:rsid w:val="0893698A"/>
    <w:rsid w:val="08936993"/>
    <w:rsid w:val="089369B5"/>
    <w:rsid w:val="089369F0"/>
    <w:rsid w:val="08936A3A"/>
    <w:rsid w:val="08936B12"/>
    <w:rsid w:val="08936B4C"/>
    <w:rsid w:val="08936B90"/>
    <w:rsid w:val="08936C27"/>
    <w:rsid w:val="08936CC2"/>
    <w:rsid w:val="08936D1A"/>
    <w:rsid w:val="08936D38"/>
    <w:rsid w:val="08936DBA"/>
    <w:rsid w:val="08936DEC"/>
    <w:rsid w:val="08936DF3"/>
    <w:rsid w:val="08936EEB"/>
    <w:rsid w:val="08936F0B"/>
    <w:rsid w:val="08936FC9"/>
    <w:rsid w:val="08937062"/>
    <w:rsid w:val="0893707F"/>
    <w:rsid w:val="0893718B"/>
    <w:rsid w:val="089371B2"/>
    <w:rsid w:val="089371EC"/>
    <w:rsid w:val="0893725B"/>
    <w:rsid w:val="089372E9"/>
    <w:rsid w:val="0893730C"/>
    <w:rsid w:val="0893730D"/>
    <w:rsid w:val="08937376"/>
    <w:rsid w:val="089373A4"/>
    <w:rsid w:val="089373C5"/>
    <w:rsid w:val="089373D5"/>
    <w:rsid w:val="0893742E"/>
    <w:rsid w:val="089374B6"/>
    <w:rsid w:val="089375CE"/>
    <w:rsid w:val="089375F0"/>
    <w:rsid w:val="08937676"/>
    <w:rsid w:val="08937744"/>
    <w:rsid w:val="0893780D"/>
    <w:rsid w:val="08937820"/>
    <w:rsid w:val="089378A2"/>
    <w:rsid w:val="089378E8"/>
    <w:rsid w:val="0893793B"/>
    <w:rsid w:val="08937A39"/>
    <w:rsid w:val="08937AE2"/>
    <w:rsid w:val="08937BA4"/>
    <w:rsid w:val="08937C2C"/>
    <w:rsid w:val="08937C75"/>
    <w:rsid w:val="08937C91"/>
    <w:rsid w:val="08937CB4"/>
    <w:rsid w:val="08937CF5"/>
    <w:rsid w:val="08937D4F"/>
    <w:rsid w:val="08937DA8"/>
    <w:rsid w:val="08937F16"/>
    <w:rsid w:val="08937F3A"/>
    <w:rsid w:val="08937F40"/>
    <w:rsid w:val="08937FB0"/>
    <w:rsid w:val="08937FE8"/>
    <w:rsid w:val="08940022"/>
    <w:rsid w:val="089401D8"/>
    <w:rsid w:val="08940221"/>
    <w:rsid w:val="08940228"/>
    <w:rsid w:val="089402C0"/>
    <w:rsid w:val="089402E7"/>
    <w:rsid w:val="0894042C"/>
    <w:rsid w:val="089404BB"/>
    <w:rsid w:val="08940599"/>
    <w:rsid w:val="089405C2"/>
    <w:rsid w:val="089405EC"/>
    <w:rsid w:val="089405ED"/>
    <w:rsid w:val="08940807"/>
    <w:rsid w:val="08940858"/>
    <w:rsid w:val="089409BB"/>
    <w:rsid w:val="08940A42"/>
    <w:rsid w:val="08940BC1"/>
    <w:rsid w:val="08940BCB"/>
    <w:rsid w:val="08940C23"/>
    <w:rsid w:val="08940C98"/>
    <w:rsid w:val="08940CFA"/>
    <w:rsid w:val="08940D24"/>
    <w:rsid w:val="08940D4F"/>
    <w:rsid w:val="08940F54"/>
    <w:rsid w:val="08940FF7"/>
    <w:rsid w:val="08941028"/>
    <w:rsid w:val="089410E2"/>
    <w:rsid w:val="08941121"/>
    <w:rsid w:val="089412C8"/>
    <w:rsid w:val="089412F7"/>
    <w:rsid w:val="08941351"/>
    <w:rsid w:val="08941380"/>
    <w:rsid w:val="08941422"/>
    <w:rsid w:val="0894151C"/>
    <w:rsid w:val="0894155A"/>
    <w:rsid w:val="08941624"/>
    <w:rsid w:val="0894168F"/>
    <w:rsid w:val="089416D8"/>
    <w:rsid w:val="089416F6"/>
    <w:rsid w:val="0894173C"/>
    <w:rsid w:val="0894178E"/>
    <w:rsid w:val="08941827"/>
    <w:rsid w:val="0894188A"/>
    <w:rsid w:val="08941921"/>
    <w:rsid w:val="08941983"/>
    <w:rsid w:val="08941A5E"/>
    <w:rsid w:val="08941AB7"/>
    <w:rsid w:val="08941AD4"/>
    <w:rsid w:val="08941B46"/>
    <w:rsid w:val="08941BF7"/>
    <w:rsid w:val="08941C45"/>
    <w:rsid w:val="08941C6F"/>
    <w:rsid w:val="08941C7B"/>
    <w:rsid w:val="08941CB8"/>
    <w:rsid w:val="08941D09"/>
    <w:rsid w:val="08941E0B"/>
    <w:rsid w:val="08941E9F"/>
    <w:rsid w:val="08941EAD"/>
    <w:rsid w:val="08941FD8"/>
    <w:rsid w:val="08941FF3"/>
    <w:rsid w:val="0894203A"/>
    <w:rsid w:val="0894206A"/>
    <w:rsid w:val="08942073"/>
    <w:rsid w:val="08942099"/>
    <w:rsid w:val="0894216F"/>
    <w:rsid w:val="0894217A"/>
    <w:rsid w:val="089421D6"/>
    <w:rsid w:val="08942270"/>
    <w:rsid w:val="089422A2"/>
    <w:rsid w:val="08942325"/>
    <w:rsid w:val="0894233D"/>
    <w:rsid w:val="08942368"/>
    <w:rsid w:val="089423C1"/>
    <w:rsid w:val="089424B0"/>
    <w:rsid w:val="089424E0"/>
    <w:rsid w:val="08942548"/>
    <w:rsid w:val="0894263D"/>
    <w:rsid w:val="08942644"/>
    <w:rsid w:val="08942685"/>
    <w:rsid w:val="0894274A"/>
    <w:rsid w:val="08942758"/>
    <w:rsid w:val="08942767"/>
    <w:rsid w:val="089427D4"/>
    <w:rsid w:val="08942838"/>
    <w:rsid w:val="08942886"/>
    <w:rsid w:val="08942898"/>
    <w:rsid w:val="089429D3"/>
    <w:rsid w:val="089429E4"/>
    <w:rsid w:val="08942A36"/>
    <w:rsid w:val="08942A9C"/>
    <w:rsid w:val="08942AA2"/>
    <w:rsid w:val="08942AB5"/>
    <w:rsid w:val="08942B1B"/>
    <w:rsid w:val="08942BD8"/>
    <w:rsid w:val="08942BE1"/>
    <w:rsid w:val="08942BE3"/>
    <w:rsid w:val="08942C4F"/>
    <w:rsid w:val="08942D9B"/>
    <w:rsid w:val="08942E2E"/>
    <w:rsid w:val="08942F8F"/>
    <w:rsid w:val="08942FAB"/>
    <w:rsid w:val="08942FEC"/>
    <w:rsid w:val="0894301D"/>
    <w:rsid w:val="08943035"/>
    <w:rsid w:val="08943055"/>
    <w:rsid w:val="0894312E"/>
    <w:rsid w:val="08943136"/>
    <w:rsid w:val="08943286"/>
    <w:rsid w:val="089432AC"/>
    <w:rsid w:val="089432AE"/>
    <w:rsid w:val="089433C2"/>
    <w:rsid w:val="089433DE"/>
    <w:rsid w:val="08943452"/>
    <w:rsid w:val="08943480"/>
    <w:rsid w:val="0894349F"/>
    <w:rsid w:val="089434A0"/>
    <w:rsid w:val="089434C2"/>
    <w:rsid w:val="08943530"/>
    <w:rsid w:val="0894356F"/>
    <w:rsid w:val="089435FF"/>
    <w:rsid w:val="0894364F"/>
    <w:rsid w:val="08943685"/>
    <w:rsid w:val="089436E7"/>
    <w:rsid w:val="089437B3"/>
    <w:rsid w:val="08943806"/>
    <w:rsid w:val="08943813"/>
    <w:rsid w:val="08943875"/>
    <w:rsid w:val="08943953"/>
    <w:rsid w:val="08943996"/>
    <w:rsid w:val="08943ABE"/>
    <w:rsid w:val="08943AE1"/>
    <w:rsid w:val="08943B64"/>
    <w:rsid w:val="08943BB3"/>
    <w:rsid w:val="08943BC2"/>
    <w:rsid w:val="08943BEB"/>
    <w:rsid w:val="08943BF0"/>
    <w:rsid w:val="08943C3E"/>
    <w:rsid w:val="08943CAB"/>
    <w:rsid w:val="08943CBC"/>
    <w:rsid w:val="08943D0F"/>
    <w:rsid w:val="08943DBB"/>
    <w:rsid w:val="08943DF7"/>
    <w:rsid w:val="08943E5B"/>
    <w:rsid w:val="08943EAE"/>
    <w:rsid w:val="08943EEE"/>
    <w:rsid w:val="08943F3C"/>
    <w:rsid w:val="08943FD8"/>
    <w:rsid w:val="08944210"/>
    <w:rsid w:val="08944262"/>
    <w:rsid w:val="08944266"/>
    <w:rsid w:val="0894433E"/>
    <w:rsid w:val="0894436C"/>
    <w:rsid w:val="08944399"/>
    <w:rsid w:val="089443BB"/>
    <w:rsid w:val="089443D6"/>
    <w:rsid w:val="089443ED"/>
    <w:rsid w:val="08944455"/>
    <w:rsid w:val="089444B1"/>
    <w:rsid w:val="089444C2"/>
    <w:rsid w:val="08944525"/>
    <w:rsid w:val="08944539"/>
    <w:rsid w:val="08944543"/>
    <w:rsid w:val="089445BD"/>
    <w:rsid w:val="08944638"/>
    <w:rsid w:val="08944660"/>
    <w:rsid w:val="089446E6"/>
    <w:rsid w:val="08944765"/>
    <w:rsid w:val="08944799"/>
    <w:rsid w:val="0894479D"/>
    <w:rsid w:val="0894485A"/>
    <w:rsid w:val="089448F9"/>
    <w:rsid w:val="089448FC"/>
    <w:rsid w:val="089448FF"/>
    <w:rsid w:val="08944983"/>
    <w:rsid w:val="089449C9"/>
    <w:rsid w:val="08944B2B"/>
    <w:rsid w:val="08944C92"/>
    <w:rsid w:val="08944CB5"/>
    <w:rsid w:val="08944D89"/>
    <w:rsid w:val="08944DD7"/>
    <w:rsid w:val="08944DFE"/>
    <w:rsid w:val="08944E23"/>
    <w:rsid w:val="08944E67"/>
    <w:rsid w:val="08944E94"/>
    <w:rsid w:val="08944FDC"/>
    <w:rsid w:val="0894505D"/>
    <w:rsid w:val="08945093"/>
    <w:rsid w:val="089450D2"/>
    <w:rsid w:val="089451B0"/>
    <w:rsid w:val="0894522C"/>
    <w:rsid w:val="089452EC"/>
    <w:rsid w:val="08945358"/>
    <w:rsid w:val="08945434"/>
    <w:rsid w:val="089454FA"/>
    <w:rsid w:val="0894556C"/>
    <w:rsid w:val="0894558A"/>
    <w:rsid w:val="08945782"/>
    <w:rsid w:val="089457D5"/>
    <w:rsid w:val="089457DB"/>
    <w:rsid w:val="0894583A"/>
    <w:rsid w:val="0894585D"/>
    <w:rsid w:val="08945919"/>
    <w:rsid w:val="089459C0"/>
    <w:rsid w:val="08945A44"/>
    <w:rsid w:val="08945A75"/>
    <w:rsid w:val="08945AC2"/>
    <w:rsid w:val="08945AE6"/>
    <w:rsid w:val="08945BA0"/>
    <w:rsid w:val="08945C66"/>
    <w:rsid w:val="08945D08"/>
    <w:rsid w:val="08945D3B"/>
    <w:rsid w:val="08945DB9"/>
    <w:rsid w:val="08945E92"/>
    <w:rsid w:val="08945E9A"/>
    <w:rsid w:val="08945EA5"/>
    <w:rsid w:val="08945EFA"/>
    <w:rsid w:val="08945F0A"/>
    <w:rsid w:val="08945F4D"/>
    <w:rsid w:val="08945F5B"/>
    <w:rsid w:val="08945F7A"/>
    <w:rsid w:val="08945F9B"/>
    <w:rsid w:val="08946006"/>
    <w:rsid w:val="08946008"/>
    <w:rsid w:val="0894608F"/>
    <w:rsid w:val="089460E1"/>
    <w:rsid w:val="089460F4"/>
    <w:rsid w:val="0894611E"/>
    <w:rsid w:val="089461E7"/>
    <w:rsid w:val="08946230"/>
    <w:rsid w:val="0894625B"/>
    <w:rsid w:val="089462E7"/>
    <w:rsid w:val="08946376"/>
    <w:rsid w:val="089463D4"/>
    <w:rsid w:val="08946417"/>
    <w:rsid w:val="0894647D"/>
    <w:rsid w:val="08946484"/>
    <w:rsid w:val="089465B2"/>
    <w:rsid w:val="089465CA"/>
    <w:rsid w:val="08946601"/>
    <w:rsid w:val="0894662D"/>
    <w:rsid w:val="08946702"/>
    <w:rsid w:val="089467B0"/>
    <w:rsid w:val="089467CD"/>
    <w:rsid w:val="089468A0"/>
    <w:rsid w:val="089468DD"/>
    <w:rsid w:val="0894690E"/>
    <w:rsid w:val="089469FE"/>
    <w:rsid w:val="08946A97"/>
    <w:rsid w:val="08946AB8"/>
    <w:rsid w:val="08946BA3"/>
    <w:rsid w:val="08946BD1"/>
    <w:rsid w:val="08946C65"/>
    <w:rsid w:val="08946C88"/>
    <w:rsid w:val="08946D7A"/>
    <w:rsid w:val="08946DB6"/>
    <w:rsid w:val="08946DDE"/>
    <w:rsid w:val="08946E9B"/>
    <w:rsid w:val="08946F79"/>
    <w:rsid w:val="08946FD3"/>
    <w:rsid w:val="08947128"/>
    <w:rsid w:val="089471A7"/>
    <w:rsid w:val="089471BC"/>
    <w:rsid w:val="0894722E"/>
    <w:rsid w:val="08947240"/>
    <w:rsid w:val="0894729B"/>
    <w:rsid w:val="089472F4"/>
    <w:rsid w:val="089473B7"/>
    <w:rsid w:val="089473D9"/>
    <w:rsid w:val="08947538"/>
    <w:rsid w:val="089476C5"/>
    <w:rsid w:val="089476D5"/>
    <w:rsid w:val="0894775A"/>
    <w:rsid w:val="08947761"/>
    <w:rsid w:val="0894778D"/>
    <w:rsid w:val="089477BE"/>
    <w:rsid w:val="089477FF"/>
    <w:rsid w:val="08947802"/>
    <w:rsid w:val="08947912"/>
    <w:rsid w:val="089479F1"/>
    <w:rsid w:val="08947A6B"/>
    <w:rsid w:val="08947AEE"/>
    <w:rsid w:val="08947B00"/>
    <w:rsid w:val="08947B2A"/>
    <w:rsid w:val="08947B44"/>
    <w:rsid w:val="08947BB7"/>
    <w:rsid w:val="08947C09"/>
    <w:rsid w:val="08947CA0"/>
    <w:rsid w:val="08947FE1"/>
    <w:rsid w:val="08950032"/>
    <w:rsid w:val="08950068"/>
    <w:rsid w:val="0895008B"/>
    <w:rsid w:val="089500B1"/>
    <w:rsid w:val="0895012B"/>
    <w:rsid w:val="08950259"/>
    <w:rsid w:val="0895026E"/>
    <w:rsid w:val="08950291"/>
    <w:rsid w:val="089502A5"/>
    <w:rsid w:val="0895030E"/>
    <w:rsid w:val="08950331"/>
    <w:rsid w:val="0895033A"/>
    <w:rsid w:val="089503EB"/>
    <w:rsid w:val="0895041D"/>
    <w:rsid w:val="089504EC"/>
    <w:rsid w:val="089504FD"/>
    <w:rsid w:val="08950576"/>
    <w:rsid w:val="0895069F"/>
    <w:rsid w:val="089507C2"/>
    <w:rsid w:val="089507D1"/>
    <w:rsid w:val="08950974"/>
    <w:rsid w:val="08950A28"/>
    <w:rsid w:val="08950A61"/>
    <w:rsid w:val="08950A89"/>
    <w:rsid w:val="08950AA8"/>
    <w:rsid w:val="08950AD1"/>
    <w:rsid w:val="08950AFD"/>
    <w:rsid w:val="08950C1B"/>
    <w:rsid w:val="08950C7D"/>
    <w:rsid w:val="08950D15"/>
    <w:rsid w:val="08950D61"/>
    <w:rsid w:val="08950D9A"/>
    <w:rsid w:val="08950EDD"/>
    <w:rsid w:val="08950F76"/>
    <w:rsid w:val="08950FDA"/>
    <w:rsid w:val="08951054"/>
    <w:rsid w:val="0895129D"/>
    <w:rsid w:val="089512D2"/>
    <w:rsid w:val="0895130E"/>
    <w:rsid w:val="08951323"/>
    <w:rsid w:val="08951327"/>
    <w:rsid w:val="0895133C"/>
    <w:rsid w:val="08951372"/>
    <w:rsid w:val="08951381"/>
    <w:rsid w:val="089513D5"/>
    <w:rsid w:val="089513E1"/>
    <w:rsid w:val="08951453"/>
    <w:rsid w:val="08951488"/>
    <w:rsid w:val="0895157E"/>
    <w:rsid w:val="089516DE"/>
    <w:rsid w:val="08951756"/>
    <w:rsid w:val="089518FA"/>
    <w:rsid w:val="08951942"/>
    <w:rsid w:val="08951A12"/>
    <w:rsid w:val="08951A30"/>
    <w:rsid w:val="08951A62"/>
    <w:rsid w:val="08951C10"/>
    <w:rsid w:val="08951C16"/>
    <w:rsid w:val="08951C6B"/>
    <w:rsid w:val="08951E1B"/>
    <w:rsid w:val="08951E21"/>
    <w:rsid w:val="08951EC6"/>
    <w:rsid w:val="08952020"/>
    <w:rsid w:val="0895206A"/>
    <w:rsid w:val="089520A4"/>
    <w:rsid w:val="089520B3"/>
    <w:rsid w:val="08952180"/>
    <w:rsid w:val="089521A6"/>
    <w:rsid w:val="089521B0"/>
    <w:rsid w:val="08952239"/>
    <w:rsid w:val="0895223C"/>
    <w:rsid w:val="0895229D"/>
    <w:rsid w:val="089522B4"/>
    <w:rsid w:val="089523ED"/>
    <w:rsid w:val="0895242E"/>
    <w:rsid w:val="0895243F"/>
    <w:rsid w:val="0895248A"/>
    <w:rsid w:val="089524BE"/>
    <w:rsid w:val="08952507"/>
    <w:rsid w:val="089525C5"/>
    <w:rsid w:val="08952797"/>
    <w:rsid w:val="089527BF"/>
    <w:rsid w:val="089527F7"/>
    <w:rsid w:val="0895285F"/>
    <w:rsid w:val="0895294E"/>
    <w:rsid w:val="08952AD8"/>
    <w:rsid w:val="08952B77"/>
    <w:rsid w:val="08952BC3"/>
    <w:rsid w:val="08952BD0"/>
    <w:rsid w:val="08952C96"/>
    <w:rsid w:val="08952D6B"/>
    <w:rsid w:val="08952D96"/>
    <w:rsid w:val="08952DA0"/>
    <w:rsid w:val="08952DB0"/>
    <w:rsid w:val="08952E60"/>
    <w:rsid w:val="08953004"/>
    <w:rsid w:val="089530C4"/>
    <w:rsid w:val="089530F1"/>
    <w:rsid w:val="089530FD"/>
    <w:rsid w:val="0895315A"/>
    <w:rsid w:val="08953166"/>
    <w:rsid w:val="089532E2"/>
    <w:rsid w:val="0895334E"/>
    <w:rsid w:val="089533C1"/>
    <w:rsid w:val="08953453"/>
    <w:rsid w:val="08953490"/>
    <w:rsid w:val="0895363E"/>
    <w:rsid w:val="08953672"/>
    <w:rsid w:val="089537A1"/>
    <w:rsid w:val="089537A6"/>
    <w:rsid w:val="0895383D"/>
    <w:rsid w:val="08953870"/>
    <w:rsid w:val="08953896"/>
    <w:rsid w:val="0895393C"/>
    <w:rsid w:val="0895398D"/>
    <w:rsid w:val="0895398E"/>
    <w:rsid w:val="089539C9"/>
    <w:rsid w:val="08953A10"/>
    <w:rsid w:val="08953B50"/>
    <w:rsid w:val="08953B54"/>
    <w:rsid w:val="08953D98"/>
    <w:rsid w:val="08953DC6"/>
    <w:rsid w:val="08953E66"/>
    <w:rsid w:val="08953ED1"/>
    <w:rsid w:val="08953FDB"/>
    <w:rsid w:val="08954036"/>
    <w:rsid w:val="089540EF"/>
    <w:rsid w:val="0895424F"/>
    <w:rsid w:val="08954315"/>
    <w:rsid w:val="089544C2"/>
    <w:rsid w:val="08954564"/>
    <w:rsid w:val="08954574"/>
    <w:rsid w:val="089545BF"/>
    <w:rsid w:val="0895465A"/>
    <w:rsid w:val="08954696"/>
    <w:rsid w:val="089546BE"/>
    <w:rsid w:val="0895477B"/>
    <w:rsid w:val="08954812"/>
    <w:rsid w:val="08954821"/>
    <w:rsid w:val="0895484A"/>
    <w:rsid w:val="0895489B"/>
    <w:rsid w:val="089548C3"/>
    <w:rsid w:val="08954915"/>
    <w:rsid w:val="08954A20"/>
    <w:rsid w:val="08954A8B"/>
    <w:rsid w:val="08954C17"/>
    <w:rsid w:val="08954C1A"/>
    <w:rsid w:val="08954C34"/>
    <w:rsid w:val="08954C97"/>
    <w:rsid w:val="08954CFD"/>
    <w:rsid w:val="08954D16"/>
    <w:rsid w:val="08954D17"/>
    <w:rsid w:val="08954E30"/>
    <w:rsid w:val="08954E62"/>
    <w:rsid w:val="08954FCC"/>
    <w:rsid w:val="08954FE2"/>
    <w:rsid w:val="08954FEB"/>
    <w:rsid w:val="08955009"/>
    <w:rsid w:val="08955118"/>
    <w:rsid w:val="0895516A"/>
    <w:rsid w:val="089551AF"/>
    <w:rsid w:val="089551E0"/>
    <w:rsid w:val="08955247"/>
    <w:rsid w:val="08955291"/>
    <w:rsid w:val="089552D2"/>
    <w:rsid w:val="089552E9"/>
    <w:rsid w:val="089553C1"/>
    <w:rsid w:val="089553FD"/>
    <w:rsid w:val="08955405"/>
    <w:rsid w:val="08955409"/>
    <w:rsid w:val="0895542E"/>
    <w:rsid w:val="0895543D"/>
    <w:rsid w:val="0895545C"/>
    <w:rsid w:val="089555C2"/>
    <w:rsid w:val="0895561F"/>
    <w:rsid w:val="0895565A"/>
    <w:rsid w:val="08955713"/>
    <w:rsid w:val="089558B9"/>
    <w:rsid w:val="089558C3"/>
    <w:rsid w:val="089558F4"/>
    <w:rsid w:val="08955925"/>
    <w:rsid w:val="0895598F"/>
    <w:rsid w:val="089559F7"/>
    <w:rsid w:val="08955AEE"/>
    <w:rsid w:val="08955C9A"/>
    <w:rsid w:val="08955E00"/>
    <w:rsid w:val="08955E05"/>
    <w:rsid w:val="08955E68"/>
    <w:rsid w:val="08955E6B"/>
    <w:rsid w:val="08955E76"/>
    <w:rsid w:val="08955E77"/>
    <w:rsid w:val="08955EBA"/>
    <w:rsid w:val="08955EC0"/>
    <w:rsid w:val="08955F1A"/>
    <w:rsid w:val="08955F32"/>
    <w:rsid w:val="08955F59"/>
    <w:rsid w:val="08955FD9"/>
    <w:rsid w:val="08956130"/>
    <w:rsid w:val="0895617C"/>
    <w:rsid w:val="089561CE"/>
    <w:rsid w:val="08956256"/>
    <w:rsid w:val="08956347"/>
    <w:rsid w:val="08956401"/>
    <w:rsid w:val="0895642E"/>
    <w:rsid w:val="08956482"/>
    <w:rsid w:val="089564EB"/>
    <w:rsid w:val="08956658"/>
    <w:rsid w:val="0895670C"/>
    <w:rsid w:val="08956726"/>
    <w:rsid w:val="08956763"/>
    <w:rsid w:val="08956774"/>
    <w:rsid w:val="089567AD"/>
    <w:rsid w:val="0895685B"/>
    <w:rsid w:val="089568A9"/>
    <w:rsid w:val="089568EA"/>
    <w:rsid w:val="08956997"/>
    <w:rsid w:val="08956A81"/>
    <w:rsid w:val="08956B8E"/>
    <w:rsid w:val="08956BD7"/>
    <w:rsid w:val="08956BED"/>
    <w:rsid w:val="08956C27"/>
    <w:rsid w:val="08956C29"/>
    <w:rsid w:val="08956C9F"/>
    <w:rsid w:val="08956CB9"/>
    <w:rsid w:val="08956D34"/>
    <w:rsid w:val="08956D41"/>
    <w:rsid w:val="08956D58"/>
    <w:rsid w:val="08956D8D"/>
    <w:rsid w:val="08956DAA"/>
    <w:rsid w:val="08956DC7"/>
    <w:rsid w:val="08956E55"/>
    <w:rsid w:val="08956F7B"/>
    <w:rsid w:val="089570B6"/>
    <w:rsid w:val="089570FA"/>
    <w:rsid w:val="089571D8"/>
    <w:rsid w:val="0895723B"/>
    <w:rsid w:val="08957310"/>
    <w:rsid w:val="08957321"/>
    <w:rsid w:val="08957348"/>
    <w:rsid w:val="08957353"/>
    <w:rsid w:val="089573A2"/>
    <w:rsid w:val="089573AD"/>
    <w:rsid w:val="089573C8"/>
    <w:rsid w:val="089573C9"/>
    <w:rsid w:val="08957542"/>
    <w:rsid w:val="0895758E"/>
    <w:rsid w:val="089575A1"/>
    <w:rsid w:val="08957692"/>
    <w:rsid w:val="089576C3"/>
    <w:rsid w:val="089576D3"/>
    <w:rsid w:val="08957774"/>
    <w:rsid w:val="0895794A"/>
    <w:rsid w:val="08957991"/>
    <w:rsid w:val="08957996"/>
    <w:rsid w:val="089579E7"/>
    <w:rsid w:val="089579EA"/>
    <w:rsid w:val="08957A85"/>
    <w:rsid w:val="08957AE5"/>
    <w:rsid w:val="08957B94"/>
    <w:rsid w:val="08957B99"/>
    <w:rsid w:val="08957BAA"/>
    <w:rsid w:val="08957BE3"/>
    <w:rsid w:val="08957C4B"/>
    <w:rsid w:val="08957C57"/>
    <w:rsid w:val="08957E27"/>
    <w:rsid w:val="0896009E"/>
    <w:rsid w:val="089600BE"/>
    <w:rsid w:val="08960136"/>
    <w:rsid w:val="08960259"/>
    <w:rsid w:val="089602A5"/>
    <w:rsid w:val="089602F0"/>
    <w:rsid w:val="0896034E"/>
    <w:rsid w:val="089603BE"/>
    <w:rsid w:val="08960411"/>
    <w:rsid w:val="0896049C"/>
    <w:rsid w:val="089604E3"/>
    <w:rsid w:val="089605F0"/>
    <w:rsid w:val="0896066C"/>
    <w:rsid w:val="089606B8"/>
    <w:rsid w:val="08960753"/>
    <w:rsid w:val="08960769"/>
    <w:rsid w:val="089607DB"/>
    <w:rsid w:val="08960832"/>
    <w:rsid w:val="08960975"/>
    <w:rsid w:val="089609B4"/>
    <w:rsid w:val="089609FB"/>
    <w:rsid w:val="08960A95"/>
    <w:rsid w:val="08960B0D"/>
    <w:rsid w:val="08960B1A"/>
    <w:rsid w:val="08960BA9"/>
    <w:rsid w:val="08960BAD"/>
    <w:rsid w:val="08960C51"/>
    <w:rsid w:val="08960C70"/>
    <w:rsid w:val="08960D5B"/>
    <w:rsid w:val="08960DEF"/>
    <w:rsid w:val="08960E27"/>
    <w:rsid w:val="08960E39"/>
    <w:rsid w:val="08960E7D"/>
    <w:rsid w:val="08960E81"/>
    <w:rsid w:val="08960E97"/>
    <w:rsid w:val="08960EDC"/>
    <w:rsid w:val="08960F27"/>
    <w:rsid w:val="08960F56"/>
    <w:rsid w:val="08960F94"/>
    <w:rsid w:val="08960FCB"/>
    <w:rsid w:val="08960FDE"/>
    <w:rsid w:val="08960FF6"/>
    <w:rsid w:val="0896117C"/>
    <w:rsid w:val="089611A8"/>
    <w:rsid w:val="089611C2"/>
    <w:rsid w:val="089611D6"/>
    <w:rsid w:val="08961215"/>
    <w:rsid w:val="0896124D"/>
    <w:rsid w:val="089613E3"/>
    <w:rsid w:val="089614CD"/>
    <w:rsid w:val="0896155F"/>
    <w:rsid w:val="08961570"/>
    <w:rsid w:val="08961576"/>
    <w:rsid w:val="089615D5"/>
    <w:rsid w:val="08961615"/>
    <w:rsid w:val="089616C3"/>
    <w:rsid w:val="089616FE"/>
    <w:rsid w:val="08961751"/>
    <w:rsid w:val="08961756"/>
    <w:rsid w:val="08961793"/>
    <w:rsid w:val="08961814"/>
    <w:rsid w:val="0896184A"/>
    <w:rsid w:val="08961852"/>
    <w:rsid w:val="08961972"/>
    <w:rsid w:val="089619F2"/>
    <w:rsid w:val="08961A6D"/>
    <w:rsid w:val="08961C18"/>
    <w:rsid w:val="08961C3C"/>
    <w:rsid w:val="08961C44"/>
    <w:rsid w:val="08961CF1"/>
    <w:rsid w:val="08961EAF"/>
    <w:rsid w:val="08961EF7"/>
    <w:rsid w:val="0896209E"/>
    <w:rsid w:val="089620A2"/>
    <w:rsid w:val="089622FC"/>
    <w:rsid w:val="089623E3"/>
    <w:rsid w:val="089624C4"/>
    <w:rsid w:val="089624DF"/>
    <w:rsid w:val="089625E4"/>
    <w:rsid w:val="089625EA"/>
    <w:rsid w:val="089625F0"/>
    <w:rsid w:val="0896260F"/>
    <w:rsid w:val="08962613"/>
    <w:rsid w:val="089626C4"/>
    <w:rsid w:val="0896270C"/>
    <w:rsid w:val="08962730"/>
    <w:rsid w:val="089627FA"/>
    <w:rsid w:val="08962955"/>
    <w:rsid w:val="08962A2B"/>
    <w:rsid w:val="08962A42"/>
    <w:rsid w:val="08962A8F"/>
    <w:rsid w:val="08962AD1"/>
    <w:rsid w:val="08962AE4"/>
    <w:rsid w:val="08962BBF"/>
    <w:rsid w:val="08962BEC"/>
    <w:rsid w:val="08962C74"/>
    <w:rsid w:val="08962CD0"/>
    <w:rsid w:val="08962E47"/>
    <w:rsid w:val="08962F73"/>
    <w:rsid w:val="08962FED"/>
    <w:rsid w:val="0896301D"/>
    <w:rsid w:val="08963030"/>
    <w:rsid w:val="0896306D"/>
    <w:rsid w:val="0896306E"/>
    <w:rsid w:val="08963100"/>
    <w:rsid w:val="08963219"/>
    <w:rsid w:val="0896321A"/>
    <w:rsid w:val="08963316"/>
    <w:rsid w:val="0896332B"/>
    <w:rsid w:val="08963347"/>
    <w:rsid w:val="08963367"/>
    <w:rsid w:val="0896350A"/>
    <w:rsid w:val="0896353E"/>
    <w:rsid w:val="0896359A"/>
    <w:rsid w:val="089635A9"/>
    <w:rsid w:val="089635FF"/>
    <w:rsid w:val="089636E6"/>
    <w:rsid w:val="0896373A"/>
    <w:rsid w:val="089637C7"/>
    <w:rsid w:val="0896394C"/>
    <w:rsid w:val="08963973"/>
    <w:rsid w:val="089639AD"/>
    <w:rsid w:val="089639FA"/>
    <w:rsid w:val="08963A20"/>
    <w:rsid w:val="08963A8F"/>
    <w:rsid w:val="08963AAA"/>
    <w:rsid w:val="08963B1C"/>
    <w:rsid w:val="08963CB1"/>
    <w:rsid w:val="08963D2B"/>
    <w:rsid w:val="08963D97"/>
    <w:rsid w:val="08963ED4"/>
    <w:rsid w:val="08963F8F"/>
    <w:rsid w:val="089640EF"/>
    <w:rsid w:val="0896410B"/>
    <w:rsid w:val="08964124"/>
    <w:rsid w:val="08964177"/>
    <w:rsid w:val="08964183"/>
    <w:rsid w:val="08964202"/>
    <w:rsid w:val="08964254"/>
    <w:rsid w:val="08964324"/>
    <w:rsid w:val="0896432F"/>
    <w:rsid w:val="0896436D"/>
    <w:rsid w:val="089643B1"/>
    <w:rsid w:val="089643B2"/>
    <w:rsid w:val="089646D6"/>
    <w:rsid w:val="08964804"/>
    <w:rsid w:val="08964836"/>
    <w:rsid w:val="0896489E"/>
    <w:rsid w:val="089649BF"/>
    <w:rsid w:val="089649F7"/>
    <w:rsid w:val="08964A18"/>
    <w:rsid w:val="08964A5B"/>
    <w:rsid w:val="08964AD3"/>
    <w:rsid w:val="08964AE0"/>
    <w:rsid w:val="08964AFA"/>
    <w:rsid w:val="08964B25"/>
    <w:rsid w:val="08964B3F"/>
    <w:rsid w:val="08964B46"/>
    <w:rsid w:val="08964B4E"/>
    <w:rsid w:val="08964B72"/>
    <w:rsid w:val="08964C59"/>
    <w:rsid w:val="08964C5A"/>
    <w:rsid w:val="08964C95"/>
    <w:rsid w:val="08964CAC"/>
    <w:rsid w:val="08964CBC"/>
    <w:rsid w:val="08964CD3"/>
    <w:rsid w:val="08964CF6"/>
    <w:rsid w:val="08964DE8"/>
    <w:rsid w:val="08964E12"/>
    <w:rsid w:val="08964ED2"/>
    <w:rsid w:val="08964F38"/>
    <w:rsid w:val="08964FA3"/>
    <w:rsid w:val="08964FB5"/>
    <w:rsid w:val="08964FFB"/>
    <w:rsid w:val="0896501D"/>
    <w:rsid w:val="0896512B"/>
    <w:rsid w:val="089651BF"/>
    <w:rsid w:val="089651C9"/>
    <w:rsid w:val="089651F8"/>
    <w:rsid w:val="08965406"/>
    <w:rsid w:val="08965416"/>
    <w:rsid w:val="0896541E"/>
    <w:rsid w:val="0896541F"/>
    <w:rsid w:val="08965436"/>
    <w:rsid w:val="08965487"/>
    <w:rsid w:val="089654B6"/>
    <w:rsid w:val="08965677"/>
    <w:rsid w:val="089656ED"/>
    <w:rsid w:val="0896579E"/>
    <w:rsid w:val="089659C9"/>
    <w:rsid w:val="089659F1"/>
    <w:rsid w:val="089659F5"/>
    <w:rsid w:val="08965A84"/>
    <w:rsid w:val="08965B05"/>
    <w:rsid w:val="08965B14"/>
    <w:rsid w:val="08965B44"/>
    <w:rsid w:val="08965D06"/>
    <w:rsid w:val="08965D1B"/>
    <w:rsid w:val="08965D3B"/>
    <w:rsid w:val="08965D5E"/>
    <w:rsid w:val="08965D79"/>
    <w:rsid w:val="08965E95"/>
    <w:rsid w:val="08965FA2"/>
    <w:rsid w:val="08965FDE"/>
    <w:rsid w:val="0896601B"/>
    <w:rsid w:val="089660BB"/>
    <w:rsid w:val="0896610B"/>
    <w:rsid w:val="089661AD"/>
    <w:rsid w:val="089662D9"/>
    <w:rsid w:val="08966374"/>
    <w:rsid w:val="089663B3"/>
    <w:rsid w:val="08966450"/>
    <w:rsid w:val="0896649D"/>
    <w:rsid w:val="089664C6"/>
    <w:rsid w:val="08966641"/>
    <w:rsid w:val="0896669F"/>
    <w:rsid w:val="089666B1"/>
    <w:rsid w:val="089668D9"/>
    <w:rsid w:val="08966992"/>
    <w:rsid w:val="089669B3"/>
    <w:rsid w:val="08966A0F"/>
    <w:rsid w:val="08966A19"/>
    <w:rsid w:val="08966ACF"/>
    <w:rsid w:val="08966BC7"/>
    <w:rsid w:val="08966C57"/>
    <w:rsid w:val="08966D17"/>
    <w:rsid w:val="08966DAA"/>
    <w:rsid w:val="08966E3A"/>
    <w:rsid w:val="08966F03"/>
    <w:rsid w:val="08966F5D"/>
    <w:rsid w:val="08967007"/>
    <w:rsid w:val="08967051"/>
    <w:rsid w:val="08967135"/>
    <w:rsid w:val="08967146"/>
    <w:rsid w:val="089671DA"/>
    <w:rsid w:val="089671DD"/>
    <w:rsid w:val="089671DE"/>
    <w:rsid w:val="0896722E"/>
    <w:rsid w:val="08967251"/>
    <w:rsid w:val="08967281"/>
    <w:rsid w:val="0896734A"/>
    <w:rsid w:val="08967351"/>
    <w:rsid w:val="08967412"/>
    <w:rsid w:val="08967465"/>
    <w:rsid w:val="0896747A"/>
    <w:rsid w:val="089674DB"/>
    <w:rsid w:val="08967503"/>
    <w:rsid w:val="08967538"/>
    <w:rsid w:val="08967546"/>
    <w:rsid w:val="08967557"/>
    <w:rsid w:val="0896758A"/>
    <w:rsid w:val="08967618"/>
    <w:rsid w:val="08967659"/>
    <w:rsid w:val="08967696"/>
    <w:rsid w:val="08967729"/>
    <w:rsid w:val="08967733"/>
    <w:rsid w:val="08967903"/>
    <w:rsid w:val="08967979"/>
    <w:rsid w:val="0896798D"/>
    <w:rsid w:val="08967997"/>
    <w:rsid w:val="08967A41"/>
    <w:rsid w:val="08967A68"/>
    <w:rsid w:val="08967A85"/>
    <w:rsid w:val="08967AC0"/>
    <w:rsid w:val="08967B37"/>
    <w:rsid w:val="08967BA6"/>
    <w:rsid w:val="08967CF4"/>
    <w:rsid w:val="08967D4A"/>
    <w:rsid w:val="08967F5B"/>
    <w:rsid w:val="08970108"/>
    <w:rsid w:val="08970147"/>
    <w:rsid w:val="08970157"/>
    <w:rsid w:val="08970159"/>
    <w:rsid w:val="089701A6"/>
    <w:rsid w:val="089701F4"/>
    <w:rsid w:val="08970250"/>
    <w:rsid w:val="08970320"/>
    <w:rsid w:val="08970371"/>
    <w:rsid w:val="08970372"/>
    <w:rsid w:val="089703AF"/>
    <w:rsid w:val="089703D7"/>
    <w:rsid w:val="089703EF"/>
    <w:rsid w:val="089704D3"/>
    <w:rsid w:val="08970575"/>
    <w:rsid w:val="0897069F"/>
    <w:rsid w:val="08970711"/>
    <w:rsid w:val="0897081E"/>
    <w:rsid w:val="089708FD"/>
    <w:rsid w:val="08970A8B"/>
    <w:rsid w:val="08970B56"/>
    <w:rsid w:val="08970BDA"/>
    <w:rsid w:val="08970C2F"/>
    <w:rsid w:val="08970C3A"/>
    <w:rsid w:val="08970C4B"/>
    <w:rsid w:val="08970D1C"/>
    <w:rsid w:val="08970D27"/>
    <w:rsid w:val="08970D69"/>
    <w:rsid w:val="08970E38"/>
    <w:rsid w:val="08970E6A"/>
    <w:rsid w:val="08970EC3"/>
    <w:rsid w:val="08970F97"/>
    <w:rsid w:val="08970FD5"/>
    <w:rsid w:val="0897104F"/>
    <w:rsid w:val="089710E6"/>
    <w:rsid w:val="08971134"/>
    <w:rsid w:val="089711A5"/>
    <w:rsid w:val="08971297"/>
    <w:rsid w:val="0897131E"/>
    <w:rsid w:val="08971327"/>
    <w:rsid w:val="08971367"/>
    <w:rsid w:val="089713B3"/>
    <w:rsid w:val="0897155D"/>
    <w:rsid w:val="089715DD"/>
    <w:rsid w:val="089715FF"/>
    <w:rsid w:val="08971608"/>
    <w:rsid w:val="0897164E"/>
    <w:rsid w:val="08971661"/>
    <w:rsid w:val="089716C6"/>
    <w:rsid w:val="089716DB"/>
    <w:rsid w:val="089717DD"/>
    <w:rsid w:val="0897180B"/>
    <w:rsid w:val="08971827"/>
    <w:rsid w:val="089718D3"/>
    <w:rsid w:val="08971901"/>
    <w:rsid w:val="08971931"/>
    <w:rsid w:val="08971AB7"/>
    <w:rsid w:val="08971ACA"/>
    <w:rsid w:val="08971B0A"/>
    <w:rsid w:val="08971B16"/>
    <w:rsid w:val="08971B7F"/>
    <w:rsid w:val="08971BF9"/>
    <w:rsid w:val="08971C84"/>
    <w:rsid w:val="08971D25"/>
    <w:rsid w:val="08971E05"/>
    <w:rsid w:val="08971E9C"/>
    <w:rsid w:val="08971EA0"/>
    <w:rsid w:val="08971FC3"/>
    <w:rsid w:val="089720BA"/>
    <w:rsid w:val="08972106"/>
    <w:rsid w:val="08972119"/>
    <w:rsid w:val="089721B9"/>
    <w:rsid w:val="089722B3"/>
    <w:rsid w:val="089722FE"/>
    <w:rsid w:val="0897238D"/>
    <w:rsid w:val="089723EB"/>
    <w:rsid w:val="08972451"/>
    <w:rsid w:val="0897253A"/>
    <w:rsid w:val="08972590"/>
    <w:rsid w:val="089725A1"/>
    <w:rsid w:val="089725EA"/>
    <w:rsid w:val="089725EE"/>
    <w:rsid w:val="08972670"/>
    <w:rsid w:val="08972694"/>
    <w:rsid w:val="0897269B"/>
    <w:rsid w:val="08972701"/>
    <w:rsid w:val="089727C4"/>
    <w:rsid w:val="08972806"/>
    <w:rsid w:val="08972974"/>
    <w:rsid w:val="089729FD"/>
    <w:rsid w:val="08972A0E"/>
    <w:rsid w:val="08972A65"/>
    <w:rsid w:val="08972B2E"/>
    <w:rsid w:val="08972B82"/>
    <w:rsid w:val="08972BC0"/>
    <w:rsid w:val="08972BEC"/>
    <w:rsid w:val="08972C03"/>
    <w:rsid w:val="08972C96"/>
    <w:rsid w:val="08972D59"/>
    <w:rsid w:val="08972DA8"/>
    <w:rsid w:val="08972E02"/>
    <w:rsid w:val="08972E68"/>
    <w:rsid w:val="08972E7A"/>
    <w:rsid w:val="08972F12"/>
    <w:rsid w:val="08972F57"/>
    <w:rsid w:val="08972F81"/>
    <w:rsid w:val="08972FB4"/>
    <w:rsid w:val="0897306F"/>
    <w:rsid w:val="089730FE"/>
    <w:rsid w:val="08973100"/>
    <w:rsid w:val="0897313B"/>
    <w:rsid w:val="08973150"/>
    <w:rsid w:val="08973184"/>
    <w:rsid w:val="089731BC"/>
    <w:rsid w:val="08973362"/>
    <w:rsid w:val="089733AF"/>
    <w:rsid w:val="089733E9"/>
    <w:rsid w:val="089734AC"/>
    <w:rsid w:val="089734C9"/>
    <w:rsid w:val="08973506"/>
    <w:rsid w:val="0897356B"/>
    <w:rsid w:val="089735A2"/>
    <w:rsid w:val="0897363E"/>
    <w:rsid w:val="08973648"/>
    <w:rsid w:val="089736F4"/>
    <w:rsid w:val="0897371B"/>
    <w:rsid w:val="08973721"/>
    <w:rsid w:val="0897372E"/>
    <w:rsid w:val="089738A3"/>
    <w:rsid w:val="08973A4B"/>
    <w:rsid w:val="08973A89"/>
    <w:rsid w:val="08973AAF"/>
    <w:rsid w:val="08973AB1"/>
    <w:rsid w:val="08973AD2"/>
    <w:rsid w:val="08973B4A"/>
    <w:rsid w:val="08973BDC"/>
    <w:rsid w:val="08973D3F"/>
    <w:rsid w:val="08973DEE"/>
    <w:rsid w:val="08973F55"/>
    <w:rsid w:val="0897407C"/>
    <w:rsid w:val="0897408C"/>
    <w:rsid w:val="089740F6"/>
    <w:rsid w:val="08974117"/>
    <w:rsid w:val="08974179"/>
    <w:rsid w:val="089742FF"/>
    <w:rsid w:val="08974335"/>
    <w:rsid w:val="08974436"/>
    <w:rsid w:val="08974468"/>
    <w:rsid w:val="0897450E"/>
    <w:rsid w:val="08974532"/>
    <w:rsid w:val="08974580"/>
    <w:rsid w:val="089745AC"/>
    <w:rsid w:val="089745C3"/>
    <w:rsid w:val="08974638"/>
    <w:rsid w:val="089747B5"/>
    <w:rsid w:val="089747D6"/>
    <w:rsid w:val="0897489F"/>
    <w:rsid w:val="089748D9"/>
    <w:rsid w:val="089749EE"/>
    <w:rsid w:val="08974A5A"/>
    <w:rsid w:val="08974A79"/>
    <w:rsid w:val="08974A95"/>
    <w:rsid w:val="08974B10"/>
    <w:rsid w:val="08974B1D"/>
    <w:rsid w:val="08974B82"/>
    <w:rsid w:val="08974BFB"/>
    <w:rsid w:val="08974C00"/>
    <w:rsid w:val="08974C43"/>
    <w:rsid w:val="08974C5E"/>
    <w:rsid w:val="08974C83"/>
    <w:rsid w:val="08974CAA"/>
    <w:rsid w:val="08974D0C"/>
    <w:rsid w:val="08974D72"/>
    <w:rsid w:val="08974EC3"/>
    <w:rsid w:val="08974F1D"/>
    <w:rsid w:val="08974F2B"/>
    <w:rsid w:val="08974FAF"/>
    <w:rsid w:val="08975003"/>
    <w:rsid w:val="08975097"/>
    <w:rsid w:val="089750E9"/>
    <w:rsid w:val="08975125"/>
    <w:rsid w:val="0897514F"/>
    <w:rsid w:val="08975187"/>
    <w:rsid w:val="08975261"/>
    <w:rsid w:val="089752D6"/>
    <w:rsid w:val="089753A0"/>
    <w:rsid w:val="089753CF"/>
    <w:rsid w:val="0897541B"/>
    <w:rsid w:val="0897553A"/>
    <w:rsid w:val="08975598"/>
    <w:rsid w:val="089755AA"/>
    <w:rsid w:val="089755B9"/>
    <w:rsid w:val="08975811"/>
    <w:rsid w:val="08975836"/>
    <w:rsid w:val="0897587D"/>
    <w:rsid w:val="08975915"/>
    <w:rsid w:val="0897598C"/>
    <w:rsid w:val="089759B7"/>
    <w:rsid w:val="089759F9"/>
    <w:rsid w:val="08975A53"/>
    <w:rsid w:val="08975A66"/>
    <w:rsid w:val="08975BD2"/>
    <w:rsid w:val="08975BE4"/>
    <w:rsid w:val="08975CE1"/>
    <w:rsid w:val="08975D58"/>
    <w:rsid w:val="08975D5B"/>
    <w:rsid w:val="08975D6D"/>
    <w:rsid w:val="08975DB4"/>
    <w:rsid w:val="08975DBC"/>
    <w:rsid w:val="08975DD9"/>
    <w:rsid w:val="08975DE4"/>
    <w:rsid w:val="08975E2F"/>
    <w:rsid w:val="08975EF0"/>
    <w:rsid w:val="08975F03"/>
    <w:rsid w:val="08975F38"/>
    <w:rsid w:val="08976076"/>
    <w:rsid w:val="0897607F"/>
    <w:rsid w:val="08976094"/>
    <w:rsid w:val="089760AC"/>
    <w:rsid w:val="08976187"/>
    <w:rsid w:val="089761B0"/>
    <w:rsid w:val="089761D8"/>
    <w:rsid w:val="089761D9"/>
    <w:rsid w:val="0897637B"/>
    <w:rsid w:val="0897641C"/>
    <w:rsid w:val="089764FB"/>
    <w:rsid w:val="089765B3"/>
    <w:rsid w:val="089765DA"/>
    <w:rsid w:val="08976604"/>
    <w:rsid w:val="0897664A"/>
    <w:rsid w:val="089766AB"/>
    <w:rsid w:val="089766D6"/>
    <w:rsid w:val="08976710"/>
    <w:rsid w:val="0897673A"/>
    <w:rsid w:val="08976779"/>
    <w:rsid w:val="08976818"/>
    <w:rsid w:val="08976877"/>
    <w:rsid w:val="089768F1"/>
    <w:rsid w:val="089769D2"/>
    <w:rsid w:val="08976A47"/>
    <w:rsid w:val="08976B93"/>
    <w:rsid w:val="08976C34"/>
    <w:rsid w:val="08976C86"/>
    <w:rsid w:val="08976CB5"/>
    <w:rsid w:val="08976E6E"/>
    <w:rsid w:val="08976EBC"/>
    <w:rsid w:val="0897707A"/>
    <w:rsid w:val="089770D1"/>
    <w:rsid w:val="089771F7"/>
    <w:rsid w:val="08977201"/>
    <w:rsid w:val="08977268"/>
    <w:rsid w:val="0897727A"/>
    <w:rsid w:val="0897728A"/>
    <w:rsid w:val="08977300"/>
    <w:rsid w:val="089773A7"/>
    <w:rsid w:val="089773C4"/>
    <w:rsid w:val="0897763E"/>
    <w:rsid w:val="089776D8"/>
    <w:rsid w:val="0897780B"/>
    <w:rsid w:val="08977818"/>
    <w:rsid w:val="08977873"/>
    <w:rsid w:val="08977898"/>
    <w:rsid w:val="08977AB7"/>
    <w:rsid w:val="08977B48"/>
    <w:rsid w:val="08977B56"/>
    <w:rsid w:val="08977B93"/>
    <w:rsid w:val="08977D06"/>
    <w:rsid w:val="08977E64"/>
    <w:rsid w:val="08977E66"/>
    <w:rsid w:val="08977E80"/>
    <w:rsid w:val="08977ED2"/>
    <w:rsid w:val="08977F93"/>
    <w:rsid w:val="08977FCC"/>
    <w:rsid w:val="089800E6"/>
    <w:rsid w:val="08980141"/>
    <w:rsid w:val="0898016E"/>
    <w:rsid w:val="0898025D"/>
    <w:rsid w:val="089803E4"/>
    <w:rsid w:val="0898057E"/>
    <w:rsid w:val="0898062A"/>
    <w:rsid w:val="08980654"/>
    <w:rsid w:val="0898072C"/>
    <w:rsid w:val="0898073B"/>
    <w:rsid w:val="08980821"/>
    <w:rsid w:val="08980871"/>
    <w:rsid w:val="08980903"/>
    <w:rsid w:val="08980915"/>
    <w:rsid w:val="08980968"/>
    <w:rsid w:val="0898096F"/>
    <w:rsid w:val="089809A3"/>
    <w:rsid w:val="089809F5"/>
    <w:rsid w:val="089809FF"/>
    <w:rsid w:val="08980A40"/>
    <w:rsid w:val="08980ACF"/>
    <w:rsid w:val="08980B53"/>
    <w:rsid w:val="08980BE1"/>
    <w:rsid w:val="08980C45"/>
    <w:rsid w:val="08980CEE"/>
    <w:rsid w:val="08980D27"/>
    <w:rsid w:val="08980DEC"/>
    <w:rsid w:val="08980DFA"/>
    <w:rsid w:val="08980E8D"/>
    <w:rsid w:val="08980F82"/>
    <w:rsid w:val="0898103A"/>
    <w:rsid w:val="089810B3"/>
    <w:rsid w:val="0898112B"/>
    <w:rsid w:val="089811AE"/>
    <w:rsid w:val="089811FF"/>
    <w:rsid w:val="089812B0"/>
    <w:rsid w:val="08981348"/>
    <w:rsid w:val="0898134A"/>
    <w:rsid w:val="0898136D"/>
    <w:rsid w:val="089813ED"/>
    <w:rsid w:val="08981453"/>
    <w:rsid w:val="08981549"/>
    <w:rsid w:val="089815F8"/>
    <w:rsid w:val="0898168B"/>
    <w:rsid w:val="08981728"/>
    <w:rsid w:val="08981899"/>
    <w:rsid w:val="089818BD"/>
    <w:rsid w:val="089819C6"/>
    <w:rsid w:val="089819F3"/>
    <w:rsid w:val="08981CFC"/>
    <w:rsid w:val="08981D62"/>
    <w:rsid w:val="08981E0A"/>
    <w:rsid w:val="08981ED3"/>
    <w:rsid w:val="08981F1B"/>
    <w:rsid w:val="08981FEF"/>
    <w:rsid w:val="08982031"/>
    <w:rsid w:val="08982086"/>
    <w:rsid w:val="089820CF"/>
    <w:rsid w:val="08982140"/>
    <w:rsid w:val="0898216E"/>
    <w:rsid w:val="089821CF"/>
    <w:rsid w:val="089822A6"/>
    <w:rsid w:val="089822B1"/>
    <w:rsid w:val="0898236D"/>
    <w:rsid w:val="089824AF"/>
    <w:rsid w:val="089825A6"/>
    <w:rsid w:val="089825B0"/>
    <w:rsid w:val="089825E2"/>
    <w:rsid w:val="08982635"/>
    <w:rsid w:val="08982737"/>
    <w:rsid w:val="08982753"/>
    <w:rsid w:val="08982845"/>
    <w:rsid w:val="08982855"/>
    <w:rsid w:val="08982861"/>
    <w:rsid w:val="08982870"/>
    <w:rsid w:val="089828D6"/>
    <w:rsid w:val="08982953"/>
    <w:rsid w:val="089829B3"/>
    <w:rsid w:val="089829EF"/>
    <w:rsid w:val="08982A07"/>
    <w:rsid w:val="08982A0E"/>
    <w:rsid w:val="08982B6A"/>
    <w:rsid w:val="08982BD1"/>
    <w:rsid w:val="08982C0C"/>
    <w:rsid w:val="08982C32"/>
    <w:rsid w:val="08982CC1"/>
    <w:rsid w:val="08982CC2"/>
    <w:rsid w:val="08982E75"/>
    <w:rsid w:val="08982E9E"/>
    <w:rsid w:val="08982EFD"/>
    <w:rsid w:val="08982F00"/>
    <w:rsid w:val="08982FC5"/>
    <w:rsid w:val="089830E3"/>
    <w:rsid w:val="089830F0"/>
    <w:rsid w:val="0898314D"/>
    <w:rsid w:val="08983201"/>
    <w:rsid w:val="089832CA"/>
    <w:rsid w:val="089832E8"/>
    <w:rsid w:val="0898338C"/>
    <w:rsid w:val="089833CC"/>
    <w:rsid w:val="08983422"/>
    <w:rsid w:val="0898345C"/>
    <w:rsid w:val="08983569"/>
    <w:rsid w:val="089835B4"/>
    <w:rsid w:val="0898364A"/>
    <w:rsid w:val="0898369A"/>
    <w:rsid w:val="08983728"/>
    <w:rsid w:val="08983774"/>
    <w:rsid w:val="08983784"/>
    <w:rsid w:val="089837C7"/>
    <w:rsid w:val="0898383F"/>
    <w:rsid w:val="0898387F"/>
    <w:rsid w:val="08983887"/>
    <w:rsid w:val="08983908"/>
    <w:rsid w:val="0898393A"/>
    <w:rsid w:val="0898393C"/>
    <w:rsid w:val="089839B4"/>
    <w:rsid w:val="08983A72"/>
    <w:rsid w:val="08983AFA"/>
    <w:rsid w:val="08983B60"/>
    <w:rsid w:val="08983B77"/>
    <w:rsid w:val="08983B79"/>
    <w:rsid w:val="08983C7A"/>
    <w:rsid w:val="08983C80"/>
    <w:rsid w:val="08983CB0"/>
    <w:rsid w:val="08983D9D"/>
    <w:rsid w:val="08983EC8"/>
    <w:rsid w:val="08983F05"/>
    <w:rsid w:val="089840DA"/>
    <w:rsid w:val="08984131"/>
    <w:rsid w:val="089842DE"/>
    <w:rsid w:val="08984480"/>
    <w:rsid w:val="089844D3"/>
    <w:rsid w:val="08984507"/>
    <w:rsid w:val="0898453A"/>
    <w:rsid w:val="0898466A"/>
    <w:rsid w:val="089846C9"/>
    <w:rsid w:val="0898478F"/>
    <w:rsid w:val="089847DB"/>
    <w:rsid w:val="089847F6"/>
    <w:rsid w:val="089848E3"/>
    <w:rsid w:val="08984971"/>
    <w:rsid w:val="0898497C"/>
    <w:rsid w:val="089849DE"/>
    <w:rsid w:val="08984A2E"/>
    <w:rsid w:val="08984AFF"/>
    <w:rsid w:val="08984B34"/>
    <w:rsid w:val="08984B4F"/>
    <w:rsid w:val="08984BB4"/>
    <w:rsid w:val="08984C13"/>
    <w:rsid w:val="08984C41"/>
    <w:rsid w:val="08984C81"/>
    <w:rsid w:val="08984D5F"/>
    <w:rsid w:val="08984DA7"/>
    <w:rsid w:val="08984DC1"/>
    <w:rsid w:val="08984DFF"/>
    <w:rsid w:val="08984E4C"/>
    <w:rsid w:val="08984EB0"/>
    <w:rsid w:val="08984F06"/>
    <w:rsid w:val="08984F73"/>
    <w:rsid w:val="08984F76"/>
    <w:rsid w:val="08985054"/>
    <w:rsid w:val="089850A9"/>
    <w:rsid w:val="0898511B"/>
    <w:rsid w:val="08985252"/>
    <w:rsid w:val="0898526F"/>
    <w:rsid w:val="089852A6"/>
    <w:rsid w:val="089853EE"/>
    <w:rsid w:val="089854B4"/>
    <w:rsid w:val="08985520"/>
    <w:rsid w:val="08985578"/>
    <w:rsid w:val="0898558B"/>
    <w:rsid w:val="089856A1"/>
    <w:rsid w:val="089856E5"/>
    <w:rsid w:val="08985727"/>
    <w:rsid w:val="08985771"/>
    <w:rsid w:val="0898591E"/>
    <w:rsid w:val="089859EF"/>
    <w:rsid w:val="089859F6"/>
    <w:rsid w:val="08985A82"/>
    <w:rsid w:val="08985A99"/>
    <w:rsid w:val="08985B04"/>
    <w:rsid w:val="08985C84"/>
    <w:rsid w:val="08985CBD"/>
    <w:rsid w:val="08985D79"/>
    <w:rsid w:val="08985D86"/>
    <w:rsid w:val="08985DC1"/>
    <w:rsid w:val="08985F7F"/>
    <w:rsid w:val="08985FCB"/>
    <w:rsid w:val="08986058"/>
    <w:rsid w:val="089860B1"/>
    <w:rsid w:val="089860D7"/>
    <w:rsid w:val="089860E9"/>
    <w:rsid w:val="0898612E"/>
    <w:rsid w:val="0898613D"/>
    <w:rsid w:val="08986155"/>
    <w:rsid w:val="08986190"/>
    <w:rsid w:val="089861B6"/>
    <w:rsid w:val="089861C3"/>
    <w:rsid w:val="08986267"/>
    <w:rsid w:val="0898626B"/>
    <w:rsid w:val="0898628B"/>
    <w:rsid w:val="089862F2"/>
    <w:rsid w:val="089863BF"/>
    <w:rsid w:val="089863C4"/>
    <w:rsid w:val="089863E3"/>
    <w:rsid w:val="089863F2"/>
    <w:rsid w:val="08986406"/>
    <w:rsid w:val="089864BF"/>
    <w:rsid w:val="089864D0"/>
    <w:rsid w:val="089864FF"/>
    <w:rsid w:val="0898659E"/>
    <w:rsid w:val="089865F2"/>
    <w:rsid w:val="0898670E"/>
    <w:rsid w:val="089867A1"/>
    <w:rsid w:val="089867D0"/>
    <w:rsid w:val="0898684E"/>
    <w:rsid w:val="089868A3"/>
    <w:rsid w:val="089869B6"/>
    <w:rsid w:val="08986ADF"/>
    <w:rsid w:val="08986AE4"/>
    <w:rsid w:val="08986BEF"/>
    <w:rsid w:val="08986C0E"/>
    <w:rsid w:val="08986C6E"/>
    <w:rsid w:val="08986CB3"/>
    <w:rsid w:val="08986CC4"/>
    <w:rsid w:val="08986DBB"/>
    <w:rsid w:val="08986E08"/>
    <w:rsid w:val="08986E4A"/>
    <w:rsid w:val="08986FC6"/>
    <w:rsid w:val="0898703A"/>
    <w:rsid w:val="0898713D"/>
    <w:rsid w:val="0898718F"/>
    <w:rsid w:val="089872A7"/>
    <w:rsid w:val="089872BC"/>
    <w:rsid w:val="089872C4"/>
    <w:rsid w:val="089872F6"/>
    <w:rsid w:val="089873E4"/>
    <w:rsid w:val="08987431"/>
    <w:rsid w:val="08987542"/>
    <w:rsid w:val="08987599"/>
    <w:rsid w:val="089876BB"/>
    <w:rsid w:val="089876F6"/>
    <w:rsid w:val="08987705"/>
    <w:rsid w:val="08987732"/>
    <w:rsid w:val="08987747"/>
    <w:rsid w:val="08987765"/>
    <w:rsid w:val="0898779B"/>
    <w:rsid w:val="089877A7"/>
    <w:rsid w:val="089877C0"/>
    <w:rsid w:val="08987829"/>
    <w:rsid w:val="08987833"/>
    <w:rsid w:val="0898797D"/>
    <w:rsid w:val="089879F2"/>
    <w:rsid w:val="08987A28"/>
    <w:rsid w:val="08987AEB"/>
    <w:rsid w:val="08987B27"/>
    <w:rsid w:val="08987BF9"/>
    <w:rsid w:val="08987C35"/>
    <w:rsid w:val="08987D5E"/>
    <w:rsid w:val="08987E40"/>
    <w:rsid w:val="08987EDB"/>
    <w:rsid w:val="08987F29"/>
    <w:rsid w:val="08987F5A"/>
    <w:rsid w:val="08987FA4"/>
    <w:rsid w:val="08990004"/>
    <w:rsid w:val="089901DD"/>
    <w:rsid w:val="08990213"/>
    <w:rsid w:val="08990217"/>
    <w:rsid w:val="08990242"/>
    <w:rsid w:val="0899025D"/>
    <w:rsid w:val="0899032B"/>
    <w:rsid w:val="08990393"/>
    <w:rsid w:val="0899052D"/>
    <w:rsid w:val="089905BE"/>
    <w:rsid w:val="089905E2"/>
    <w:rsid w:val="08990619"/>
    <w:rsid w:val="0899063A"/>
    <w:rsid w:val="08990660"/>
    <w:rsid w:val="089906DD"/>
    <w:rsid w:val="089907DD"/>
    <w:rsid w:val="08990883"/>
    <w:rsid w:val="0899091D"/>
    <w:rsid w:val="089909C2"/>
    <w:rsid w:val="08990A93"/>
    <w:rsid w:val="08990AB8"/>
    <w:rsid w:val="08990B3A"/>
    <w:rsid w:val="08990C79"/>
    <w:rsid w:val="08990CF2"/>
    <w:rsid w:val="08990DAB"/>
    <w:rsid w:val="08990F13"/>
    <w:rsid w:val="08990F35"/>
    <w:rsid w:val="08990F44"/>
    <w:rsid w:val="08990F9C"/>
    <w:rsid w:val="0899106B"/>
    <w:rsid w:val="089910E8"/>
    <w:rsid w:val="08991455"/>
    <w:rsid w:val="08991522"/>
    <w:rsid w:val="08991574"/>
    <w:rsid w:val="089915DA"/>
    <w:rsid w:val="08991620"/>
    <w:rsid w:val="0899164B"/>
    <w:rsid w:val="08991682"/>
    <w:rsid w:val="08991721"/>
    <w:rsid w:val="0899175C"/>
    <w:rsid w:val="08991837"/>
    <w:rsid w:val="08991866"/>
    <w:rsid w:val="0899189E"/>
    <w:rsid w:val="08991985"/>
    <w:rsid w:val="0899198B"/>
    <w:rsid w:val="089919E9"/>
    <w:rsid w:val="08991B7F"/>
    <w:rsid w:val="08991C3D"/>
    <w:rsid w:val="08991CF9"/>
    <w:rsid w:val="08991D3B"/>
    <w:rsid w:val="08991EA7"/>
    <w:rsid w:val="08991F28"/>
    <w:rsid w:val="08991F57"/>
    <w:rsid w:val="08991FB6"/>
    <w:rsid w:val="08991FC2"/>
    <w:rsid w:val="089920D2"/>
    <w:rsid w:val="0899223B"/>
    <w:rsid w:val="089922E9"/>
    <w:rsid w:val="0899233F"/>
    <w:rsid w:val="089924EE"/>
    <w:rsid w:val="0899250F"/>
    <w:rsid w:val="0899251E"/>
    <w:rsid w:val="08992663"/>
    <w:rsid w:val="089926F6"/>
    <w:rsid w:val="089927E7"/>
    <w:rsid w:val="089927FA"/>
    <w:rsid w:val="089928BB"/>
    <w:rsid w:val="0899291F"/>
    <w:rsid w:val="08992961"/>
    <w:rsid w:val="089929F8"/>
    <w:rsid w:val="08992A47"/>
    <w:rsid w:val="08992ADF"/>
    <w:rsid w:val="08992BAC"/>
    <w:rsid w:val="08992C6F"/>
    <w:rsid w:val="08992CAA"/>
    <w:rsid w:val="08992D0C"/>
    <w:rsid w:val="08992D8A"/>
    <w:rsid w:val="08992DD1"/>
    <w:rsid w:val="08992DE4"/>
    <w:rsid w:val="08992E05"/>
    <w:rsid w:val="08992E06"/>
    <w:rsid w:val="08992E53"/>
    <w:rsid w:val="08992E6C"/>
    <w:rsid w:val="08992EB8"/>
    <w:rsid w:val="08992EF1"/>
    <w:rsid w:val="08992F4A"/>
    <w:rsid w:val="08992F9D"/>
    <w:rsid w:val="08992FA4"/>
    <w:rsid w:val="08992FAF"/>
    <w:rsid w:val="08992FFD"/>
    <w:rsid w:val="089930DA"/>
    <w:rsid w:val="089930FD"/>
    <w:rsid w:val="0899312D"/>
    <w:rsid w:val="08993245"/>
    <w:rsid w:val="0899324C"/>
    <w:rsid w:val="08993382"/>
    <w:rsid w:val="0899343A"/>
    <w:rsid w:val="089934A7"/>
    <w:rsid w:val="089934F8"/>
    <w:rsid w:val="0899352D"/>
    <w:rsid w:val="08993607"/>
    <w:rsid w:val="08993914"/>
    <w:rsid w:val="08993925"/>
    <w:rsid w:val="08993A76"/>
    <w:rsid w:val="08993AAB"/>
    <w:rsid w:val="08993AE5"/>
    <w:rsid w:val="08993B0B"/>
    <w:rsid w:val="08993C51"/>
    <w:rsid w:val="08993C6D"/>
    <w:rsid w:val="08993CC2"/>
    <w:rsid w:val="08993D58"/>
    <w:rsid w:val="08993DA8"/>
    <w:rsid w:val="08993DFD"/>
    <w:rsid w:val="08993F27"/>
    <w:rsid w:val="08993F49"/>
    <w:rsid w:val="08993FE3"/>
    <w:rsid w:val="08994053"/>
    <w:rsid w:val="089940E7"/>
    <w:rsid w:val="089942A3"/>
    <w:rsid w:val="089942C6"/>
    <w:rsid w:val="08994394"/>
    <w:rsid w:val="08994439"/>
    <w:rsid w:val="08994497"/>
    <w:rsid w:val="0899453D"/>
    <w:rsid w:val="089945A8"/>
    <w:rsid w:val="0899467E"/>
    <w:rsid w:val="089946C7"/>
    <w:rsid w:val="089947F2"/>
    <w:rsid w:val="08994825"/>
    <w:rsid w:val="08994862"/>
    <w:rsid w:val="0899486B"/>
    <w:rsid w:val="089948CF"/>
    <w:rsid w:val="089949F0"/>
    <w:rsid w:val="08994A81"/>
    <w:rsid w:val="08994B2B"/>
    <w:rsid w:val="08994B49"/>
    <w:rsid w:val="08994C22"/>
    <w:rsid w:val="08994C33"/>
    <w:rsid w:val="08994CEC"/>
    <w:rsid w:val="08994D2D"/>
    <w:rsid w:val="08994DE9"/>
    <w:rsid w:val="08994E79"/>
    <w:rsid w:val="08994E8E"/>
    <w:rsid w:val="08994E9A"/>
    <w:rsid w:val="08994F8A"/>
    <w:rsid w:val="08994FFC"/>
    <w:rsid w:val="08995005"/>
    <w:rsid w:val="08995033"/>
    <w:rsid w:val="08995093"/>
    <w:rsid w:val="089950A3"/>
    <w:rsid w:val="08995117"/>
    <w:rsid w:val="089951B8"/>
    <w:rsid w:val="08995254"/>
    <w:rsid w:val="089952B1"/>
    <w:rsid w:val="08995360"/>
    <w:rsid w:val="08995391"/>
    <w:rsid w:val="089953D9"/>
    <w:rsid w:val="089953F2"/>
    <w:rsid w:val="0899552F"/>
    <w:rsid w:val="08995547"/>
    <w:rsid w:val="08995558"/>
    <w:rsid w:val="08995561"/>
    <w:rsid w:val="0899565F"/>
    <w:rsid w:val="08995700"/>
    <w:rsid w:val="08995788"/>
    <w:rsid w:val="089957A2"/>
    <w:rsid w:val="089957CB"/>
    <w:rsid w:val="089957CF"/>
    <w:rsid w:val="08995911"/>
    <w:rsid w:val="08995976"/>
    <w:rsid w:val="08995A45"/>
    <w:rsid w:val="08995A74"/>
    <w:rsid w:val="08995ABD"/>
    <w:rsid w:val="08995B39"/>
    <w:rsid w:val="08995C16"/>
    <w:rsid w:val="08995D59"/>
    <w:rsid w:val="08995E14"/>
    <w:rsid w:val="08995E7F"/>
    <w:rsid w:val="08995EDC"/>
    <w:rsid w:val="0899604F"/>
    <w:rsid w:val="08996251"/>
    <w:rsid w:val="08996292"/>
    <w:rsid w:val="089962BD"/>
    <w:rsid w:val="089963E3"/>
    <w:rsid w:val="0899649D"/>
    <w:rsid w:val="089964B9"/>
    <w:rsid w:val="089964CF"/>
    <w:rsid w:val="08996501"/>
    <w:rsid w:val="089965A9"/>
    <w:rsid w:val="0899680A"/>
    <w:rsid w:val="08996857"/>
    <w:rsid w:val="0899688D"/>
    <w:rsid w:val="089968FD"/>
    <w:rsid w:val="0899692A"/>
    <w:rsid w:val="0899692E"/>
    <w:rsid w:val="0899694A"/>
    <w:rsid w:val="0899697D"/>
    <w:rsid w:val="089969C2"/>
    <w:rsid w:val="08996A67"/>
    <w:rsid w:val="08996B05"/>
    <w:rsid w:val="08996B2A"/>
    <w:rsid w:val="08996BDF"/>
    <w:rsid w:val="08996CA3"/>
    <w:rsid w:val="08996D03"/>
    <w:rsid w:val="08996D40"/>
    <w:rsid w:val="08996D53"/>
    <w:rsid w:val="08996EB6"/>
    <w:rsid w:val="08996F07"/>
    <w:rsid w:val="08996F56"/>
    <w:rsid w:val="08996FB8"/>
    <w:rsid w:val="089970AA"/>
    <w:rsid w:val="08997178"/>
    <w:rsid w:val="089971AE"/>
    <w:rsid w:val="089971D8"/>
    <w:rsid w:val="089972E9"/>
    <w:rsid w:val="08997347"/>
    <w:rsid w:val="08997363"/>
    <w:rsid w:val="08997379"/>
    <w:rsid w:val="089973A5"/>
    <w:rsid w:val="08997421"/>
    <w:rsid w:val="08997434"/>
    <w:rsid w:val="0899751C"/>
    <w:rsid w:val="08997525"/>
    <w:rsid w:val="0899752F"/>
    <w:rsid w:val="08997541"/>
    <w:rsid w:val="08997597"/>
    <w:rsid w:val="08997609"/>
    <w:rsid w:val="08997616"/>
    <w:rsid w:val="08997738"/>
    <w:rsid w:val="0899774A"/>
    <w:rsid w:val="0899779B"/>
    <w:rsid w:val="089977E8"/>
    <w:rsid w:val="08997B13"/>
    <w:rsid w:val="08997B64"/>
    <w:rsid w:val="08997CAC"/>
    <w:rsid w:val="08997D26"/>
    <w:rsid w:val="08997D2B"/>
    <w:rsid w:val="08997D6B"/>
    <w:rsid w:val="08997DC4"/>
    <w:rsid w:val="08997E2B"/>
    <w:rsid w:val="08997E52"/>
    <w:rsid w:val="08997F81"/>
    <w:rsid w:val="08997FB3"/>
    <w:rsid w:val="089A0109"/>
    <w:rsid w:val="089A0184"/>
    <w:rsid w:val="089A0271"/>
    <w:rsid w:val="089A027F"/>
    <w:rsid w:val="089A0292"/>
    <w:rsid w:val="089A0335"/>
    <w:rsid w:val="089A03FD"/>
    <w:rsid w:val="089A0415"/>
    <w:rsid w:val="089A04AE"/>
    <w:rsid w:val="089A04BF"/>
    <w:rsid w:val="089A04CA"/>
    <w:rsid w:val="089A04FF"/>
    <w:rsid w:val="089A0541"/>
    <w:rsid w:val="089A0584"/>
    <w:rsid w:val="089A0678"/>
    <w:rsid w:val="089A06DD"/>
    <w:rsid w:val="089A072B"/>
    <w:rsid w:val="089A07A5"/>
    <w:rsid w:val="089A07E9"/>
    <w:rsid w:val="089A09B4"/>
    <w:rsid w:val="089A09E8"/>
    <w:rsid w:val="089A0AA8"/>
    <w:rsid w:val="089A0AF2"/>
    <w:rsid w:val="089A0B6C"/>
    <w:rsid w:val="089A0C48"/>
    <w:rsid w:val="089A0C72"/>
    <w:rsid w:val="089A0CB7"/>
    <w:rsid w:val="089A0D9E"/>
    <w:rsid w:val="089A0E23"/>
    <w:rsid w:val="089A0F8B"/>
    <w:rsid w:val="089A1033"/>
    <w:rsid w:val="089A1098"/>
    <w:rsid w:val="089A116C"/>
    <w:rsid w:val="089A116D"/>
    <w:rsid w:val="089A11BA"/>
    <w:rsid w:val="089A12B3"/>
    <w:rsid w:val="089A1353"/>
    <w:rsid w:val="089A135F"/>
    <w:rsid w:val="089A1361"/>
    <w:rsid w:val="089A1392"/>
    <w:rsid w:val="089A13E3"/>
    <w:rsid w:val="089A1406"/>
    <w:rsid w:val="089A141B"/>
    <w:rsid w:val="089A148E"/>
    <w:rsid w:val="089A1496"/>
    <w:rsid w:val="089A14CF"/>
    <w:rsid w:val="089A15B2"/>
    <w:rsid w:val="089A15D6"/>
    <w:rsid w:val="089A15EB"/>
    <w:rsid w:val="089A173D"/>
    <w:rsid w:val="089A177A"/>
    <w:rsid w:val="089A1867"/>
    <w:rsid w:val="089A18FA"/>
    <w:rsid w:val="089A194F"/>
    <w:rsid w:val="089A19AA"/>
    <w:rsid w:val="089A1A01"/>
    <w:rsid w:val="089A1A95"/>
    <w:rsid w:val="089A1B25"/>
    <w:rsid w:val="089A1B6F"/>
    <w:rsid w:val="089A1B7C"/>
    <w:rsid w:val="089A1B99"/>
    <w:rsid w:val="089A1C02"/>
    <w:rsid w:val="089A1C9D"/>
    <w:rsid w:val="089A1D41"/>
    <w:rsid w:val="089A1D43"/>
    <w:rsid w:val="089A1D53"/>
    <w:rsid w:val="089A1D89"/>
    <w:rsid w:val="089A1E2B"/>
    <w:rsid w:val="089A1E41"/>
    <w:rsid w:val="089A1E55"/>
    <w:rsid w:val="089A1E90"/>
    <w:rsid w:val="089A1F3B"/>
    <w:rsid w:val="089A2051"/>
    <w:rsid w:val="089A2061"/>
    <w:rsid w:val="089A20A9"/>
    <w:rsid w:val="089A2126"/>
    <w:rsid w:val="089A2240"/>
    <w:rsid w:val="089A2384"/>
    <w:rsid w:val="089A23B6"/>
    <w:rsid w:val="089A242A"/>
    <w:rsid w:val="089A24E7"/>
    <w:rsid w:val="089A253E"/>
    <w:rsid w:val="089A255C"/>
    <w:rsid w:val="089A258A"/>
    <w:rsid w:val="089A259C"/>
    <w:rsid w:val="089A25CE"/>
    <w:rsid w:val="089A25DC"/>
    <w:rsid w:val="089A25EF"/>
    <w:rsid w:val="089A260C"/>
    <w:rsid w:val="089A26A2"/>
    <w:rsid w:val="089A272C"/>
    <w:rsid w:val="089A2738"/>
    <w:rsid w:val="089A2797"/>
    <w:rsid w:val="089A280F"/>
    <w:rsid w:val="089A2826"/>
    <w:rsid w:val="089A2852"/>
    <w:rsid w:val="089A28C2"/>
    <w:rsid w:val="089A28C6"/>
    <w:rsid w:val="089A2A74"/>
    <w:rsid w:val="089A2AFD"/>
    <w:rsid w:val="089A2BC2"/>
    <w:rsid w:val="089A2BC7"/>
    <w:rsid w:val="089A2BE8"/>
    <w:rsid w:val="089A2BF2"/>
    <w:rsid w:val="089A2C9C"/>
    <w:rsid w:val="089A2CA9"/>
    <w:rsid w:val="089A2CCC"/>
    <w:rsid w:val="089A2CE5"/>
    <w:rsid w:val="089A2D26"/>
    <w:rsid w:val="089A2DBC"/>
    <w:rsid w:val="089A2E25"/>
    <w:rsid w:val="089A2EBD"/>
    <w:rsid w:val="089A2F37"/>
    <w:rsid w:val="089A2F5C"/>
    <w:rsid w:val="089A2F6C"/>
    <w:rsid w:val="089A3015"/>
    <w:rsid w:val="089A3082"/>
    <w:rsid w:val="089A3097"/>
    <w:rsid w:val="089A312E"/>
    <w:rsid w:val="089A3142"/>
    <w:rsid w:val="089A3149"/>
    <w:rsid w:val="089A3159"/>
    <w:rsid w:val="089A31E0"/>
    <w:rsid w:val="089A31FF"/>
    <w:rsid w:val="089A3206"/>
    <w:rsid w:val="089A3209"/>
    <w:rsid w:val="089A323A"/>
    <w:rsid w:val="089A324A"/>
    <w:rsid w:val="089A324F"/>
    <w:rsid w:val="089A3269"/>
    <w:rsid w:val="089A32A1"/>
    <w:rsid w:val="089A32EE"/>
    <w:rsid w:val="089A33A9"/>
    <w:rsid w:val="089A34E5"/>
    <w:rsid w:val="089A358B"/>
    <w:rsid w:val="089A35EB"/>
    <w:rsid w:val="089A36DD"/>
    <w:rsid w:val="089A371A"/>
    <w:rsid w:val="089A3804"/>
    <w:rsid w:val="089A3847"/>
    <w:rsid w:val="089A384D"/>
    <w:rsid w:val="089A3943"/>
    <w:rsid w:val="089A39DA"/>
    <w:rsid w:val="089A3B8C"/>
    <w:rsid w:val="089A3C0B"/>
    <w:rsid w:val="089A3C7E"/>
    <w:rsid w:val="089A3C8D"/>
    <w:rsid w:val="089A3C8E"/>
    <w:rsid w:val="089A3D9D"/>
    <w:rsid w:val="089A3DE0"/>
    <w:rsid w:val="089A3EB5"/>
    <w:rsid w:val="089A3EBF"/>
    <w:rsid w:val="089A3ED6"/>
    <w:rsid w:val="089A3EEA"/>
    <w:rsid w:val="089A4024"/>
    <w:rsid w:val="089A42A1"/>
    <w:rsid w:val="089A443B"/>
    <w:rsid w:val="089A446D"/>
    <w:rsid w:val="089A4497"/>
    <w:rsid w:val="089A44F0"/>
    <w:rsid w:val="089A451A"/>
    <w:rsid w:val="089A4556"/>
    <w:rsid w:val="089A468D"/>
    <w:rsid w:val="089A472B"/>
    <w:rsid w:val="089A491C"/>
    <w:rsid w:val="089A49C3"/>
    <w:rsid w:val="089A49FA"/>
    <w:rsid w:val="089A4A87"/>
    <w:rsid w:val="089A4BC9"/>
    <w:rsid w:val="089A4BFB"/>
    <w:rsid w:val="089A4C31"/>
    <w:rsid w:val="089A4C4F"/>
    <w:rsid w:val="089A4CA9"/>
    <w:rsid w:val="089A4E71"/>
    <w:rsid w:val="089A4EFB"/>
    <w:rsid w:val="089A4F8A"/>
    <w:rsid w:val="089A50FB"/>
    <w:rsid w:val="089A51C9"/>
    <w:rsid w:val="089A52EF"/>
    <w:rsid w:val="089A5334"/>
    <w:rsid w:val="089A536C"/>
    <w:rsid w:val="089A5426"/>
    <w:rsid w:val="089A5611"/>
    <w:rsid w:val="089A5642"/>
    <w:rsid w:val="089A56D2"/>
    <w:rsid w:val="089A56FE"/>
    <w:rsid w:val="089A5791"/>
    <w:rsid w:val="089A5821"/>
    <w:rsid w:val="089A5897"/>
    <w:rsid w:val="089A58E2"/>
    <w:rsid w:val="089A58F9"/>
    <w:rsid w:val="089A5991"/>
    <w:rsid w:val="089A5A0B"/>
    <w:rsid w:val="089A5A25"/>
    <w:rsid w:val="089A5A59"/>
    <w:rsid w:val="089A5A9A"/>
    <w:rsid w:val="089A5AA7"/>
    <w:rsid w:val="089A5AD5"/>
    <w:rsid w:val="089A5B4B"/>
    <w:rsid w:val="089A5B88"/>
    <w:rsid w:val="089A5BF4"/>
    <w:rsid w:val="089A5C96"/>
    <w:rsid w:val="089A5CA4"/>
    <w:rsid w:val="089A5D34"/>
    <w:rsid w:val="089A5D40"/>
    <w:rsid w:val="089A5DDC"/>
    <w:rsid w:val="089A5F64"/>
    <w:rsid w:val="089A5FB9"/>
    <w:rsid w:val="089A5FD5"/>
    <w:rsid w:val="089A6009"/>
    <w:rsid w:val="089A6017"/>
    <w:rsid w:val="089A607F"/>
    <w:rsid w:val="089A60A7"/>
    <w:rsid w:val="089A617D"/>
    <w:rsid w:val="089A6212"/>
    <w:rsid w:val="089A6258"/>
    <w:rsid w:val="089A6269"/>
    <w:rsid w:val="089A6469"/>
    <w:rsid w:val="089A64FE"/>
    <w:rsid w:val="089A6535"/>
    <w:rsid w:val="089A655B"/>
    <w:rsid w:val="089A665F"/>
    <w:rsid w:val="089A66F3"/>
    <w:rsid w:val="089A683A"/>
    <w:rsid w:val="089A6853"/>
    <w:rsid w:val="089A698C"/>
    <w:rsid w:val="089A69F6"/>
    <w:rsid w:val="089A6B0E"/>
    <w:rsid w:val="089A6B23"/>
    <w:rsid w:val="089A6B47"/>
    <w:rsid w:val="089A6B5F"/>
    <w:rsid w:val="089A6B93"/>
    <w:rsid w:val="089A6C63"/>
    <w:rsid w:val="089A6CDB"/>
    <w:rsid w:val="089A6CF2"/>
    <w:rsid w:val="089A6D15"/>
    <w:rsid w:val="089A6D6E"/>
    <w:rsid w:val="089A6DA7"/>
    <w:rsid w:val="089A6DD1"/>
    <w:rsid w:val="089A6E78"/>
    <w:rsid w:val="089A6ED6"/>
    <w:rsid w:val="089A6EFF"/>
    <w:rsid w:val="089A6F5A"/>
    <w:rsid w:val="089A703B"/>
    <w:rsid w:val="089A710E"/>
    <w:rsid w:val="089A72A5"/>
    <w:rsid w:val="089A72B7"/>
    <w:rsid w:val="089A72FF"/>
    <w:rsid w:val="089A7434"/>
    <w:rsid w:val="089A7567"/>
    <w:rsid w:val="089A75FC"/>
    <w:rsid w:val="089A765F"/>
    <w:rsid w:val="089A7684"/>
    <w:rsid w:val="089A768E"/>
    <w:rsid w:val="089A77A5"/>
    <w:rsid w:val="089A77C9"/>
    <w:rsid w:val="089A77E5"/>
    <w:rsid w:val="089A780C"/>
    <w:rsid w:val="089A7896"/>
    <w:rsid w:val="089A7922"/>
    <w:rsid w:val="089A7946"/>
    <w:rsid w:val="089A79EF"/>
    <w:rsid w:val="089A7A9C"/>
    <w:rsid w:val="089A7B6B"/>
    <w:rsid w:val="089A7B94"/>
    <w:rsid w:val="089A7BBA"/>
    <w:rsid w:val="089A7BBE"/>
    <w:rsid w:val="089A7C29"/>
    <w:rsid w:val="089A7E02"/>
    <w:rsid w:val="089A7E09"/>
    <w:rsid w:val="089A7E4F"/>
    <w:rsid w:val="089A7E65"/>
    <w:rsid w:val="089A7E7F"/>
    <w:rsid w:val="089A7EBD"/>
    <w:rsid w:val="089A7EC6"/>
    <w:rsid w:val="089A7F55"/>
    <w:rsid w:val="089A7FA2"/>
    <w:rsid w:val="089A7FF8"/>
    <w:rsid w:val="089B00DD"/>
    <w:rsid w:val="089B022F"/>
    <w:rsid w:val="089B0282"/>
    <w:rsid w:val="089B02DF"/>
    <w:rsid w:val="089B02EC"/>
    <w:rsid w:val="089B0379"/>
    <w:rsid w:val="089B0394"/>
    <w:rsid w:val="089B0428"/>
    <w:rsid w:val="089B04DD"/>
    <w:rsid w:val="089B0735"/>
    <w:rsid w:val="089B0758"/>
    <w:rsid w:val="089B07D7"/>
    <w:rsid w:val="089B09F6"/>
    <w:rsid w:val="089B0A06"/>
    <w:rsid w:val="089B0A2E"/>
    <w:rsid w:val="089B0AEC"/>
    <w:rsid w:val="089B0B01"/>
    <w:rsid w:val="089B0B02"/>
    <w:rsid w:val="089B0C07"/>
    <w:rsid w:val="089B0E23"/>
    <w:rsid w:val="089B0E35"/>
    <w:rsid w:val="089B0E46"/>
    <w:rsid w:val="089B0FB1"/>
    <w:rsid w:val="089B1022"/>
    <w:rsid w:val="089B10FF"/>
    <w:rsid w:val="089B1183"/>
    <w:rsid w:val="089B1260"/>
    <w:rsid w:val="089B1288"/>
    <w:rsid w:val="089B12F8"/>
    <w:rsid w:val="089B137E"/>
    <w:rsid w:val="089B1415"/>
    <w:rsid w:val="089B1462"/>
    <w:rsid w:val="089B14B9"/>
    <w:rsid w:val="089B14F1"/>
    <w:rsid w:val="089B1543"/>
    <w:rsid w:val="089B1547"/>
    <w:rsid w:val="089B159B"/>
    <w:rsid w:val="089B15C1"/>
    <w:rsid w:val="089B15CC"/>
    <w:rsid w:val="089B1742"/>
    <w:rsid w:val="089B1772"/>
    <w:rsid w:val="089B18DE"/>
    <w:rsid w:val="089B1957"/>
    <w:rsid w:val="089B1999"/>
    <w:rsid w:val="089B19DE"/>
    <w:rsid w:val="089B1A0F"/>
    <w:rsid w:val="089B1A77"/>
    <w:rsid w:val="089B1A79"/>
    <w:rsid w:val="089B1AA1"/>
    <w:rsid w:val="089B1ABC"/>
    <w:rsid w:val="089B1AF8"/>
    <w:rsid w:val="089B1B3A"/>
    <w:rsid w:val="089B1C99"/>
    <w:rsid w:val="089B1CE4"/>
    <w:rsid w:val="089B1DB6"/>
    <w:rsid w:val="089B1DBF"/>
    <w:rsid w:val="089B1EFE"/>
    <w:rsid w:val="089B1F95"/>
    <w:rsid w:val="089B1FCE"/>
    <w:rsid w:val="089B207E"/>
    <w:rsid w:val="089B20CC"/>
    <w:rsid w:val="089B2235"/>
    <w:rsid w:val="089B22D2"/>
    <w:rsid w:val="089B22D3"/>
    <w:rsid w:val="089B2321"/>
    <w:rsid w:val="089B2332"/>
    <w:rsid w:val="089B2392"/>
    <w:rsid w:val="089B2457"/>
    <w:rsid w:val="089B2626"/>
    <w:rsid w:val="089B26DC"/>
    <w:rsid w:val="089B2741"/>
    <w:rsid w:val="089B27B5"/>
    <w:rsid w:val="089B27FD"/>
    <w:rsid w:val="089B280F"/>
    <w:rsid w:val="089B284B"/>
    <w:rsid w:val="089B28D6"/>
    <w:rsid w:val="089B292D"/>
    <w:rsid w:val="089B2A39"/>
    <w:rsid w:val="089B2A45"/>
    <w:rsid w:val="089B2ACB"/>
    <w:rsid w:val="089B2B9E"/>
    <w:rsid w:val="089B2C07"/>
    <w:rsid w:val="089B2CB7"/>
    <w:rsid w:val="089B2D8A"/>
    <w:rsid w:val="089B2E00"/>
    <w:rsid w:val="089B2E01"/>
    <w:rsid w:val="089B2E0D"/>
    <w:rsid w:val="089B2E18"/>
    <w:rsid w:val="089B2E1B"/>
    <w:rsid w:val="089B2E65"/>
    <w:rsid w:val="089B2F98"/>
    <w:rsid w:val="089B2FD5"/>
    <w:rsid w:val="089B2FD8"/>
    <w:rsid w:val="089B3038"/>
    <w:rsid w:val="089B30C4"/>
    <w:rsid w:val="089B30C7"/>
    <w:rsid w:val="089B31E9"/>
    <w:rsid w:val="089B31EB"/>
    <w:rsid w:val="089B32AA"/>
    <w:rsid w:val="089B32C8"/>
    <w:rsid w:val="089B3304"/>
    <w:rsid w:val="089B332B"/>
    <w:rsid w:val="089B33A0"/>
    <w:rsid w:val="089B33BC"/>
    <w:rsid w:val="089B33BD"/>
    <w:rsid w:val="089B3474"/>
    <w:rsid w:val="089B3478"/>
    <w:rsid w:val="089B370B"/>
    <w:rsid w:val="089B376C"/>
    <w:rsid w:val="089B37A9"/>
    <w:rsid w:val="089B37B8"/>
    <w:rsid w:val="089B387D"/>
    <w:rsid w:val="089B392D"/>
    <w:rsid w:val="089B3940"/>
    <w:rsid w:val="089B39B2"/>
    <w:rsid w:val="089B3A30"/>
    <w:rsid w:val="089B3A73"/>
    <w:rsid w:val="089B3ACD"/>
    <w:rsid w:val="089B3B5D"/>
    <w:rsid w:val="089B3B8C"/>
    <w:rsid w:val="089B3C05"/>
    <w:rsid w:val="089B3C65"/>
    <w:rsid w:val="089B3C75"/>
    <w:rsid w:val="089B3D23"/>
    <w:rsid w:val="089B3D28"/>
    <w:rsid w:val="089B3E10"/>
    <w:rsid w:val="089B3E35"/>
    <w:rsid w:val="089B3EDB"/>
    <w:rsid w:val="089B3EDF"/>
    <w:rsid w:val="089B3F23"/>
    <w:rsid w:val="089B3F4E"/>
    <w:rsid w:val="089B40E8"/>
    <w:rsid w:val="089B41CB"/>
    <w:rsid w:val="089B4232"/>
    <w:rsid w:val="089B4244"/>
    <w:rsid w:val="089B4247"/>
    <w:rsid w:val="089B42F3"/>
    <w:rsid w:val="089B4352"/>
    <w:rsid w:val="089B43A0"/>
    <w:rsid w:val="089B44C4"/>
    <w:rsid w:val="089B44C8"/>
    <w:rsid w:val="089B44E9"/>
    <w:rsid w:val="089B45D0"/>
    <w:rsid w:val="089B465B"/>
    <w:rsid w:val="089B4685"/>
    <w:rsid w:val="089B4689"/>
    <w:rsid w:val="089B469B"/>
    <w:rsid w:val="089B46E3"/>
    <w:rsid w:val="089B476D"/>
    <w:rsid w:val="089B478F"/>
    <w:rsid w:val="089B4882"/>
    <w:rsid w:val="089B48CD"/>
    <w:rsid w:val="089B4A50"/>
    <w:rsid w:val="089B4A6E"/>
    <w:rsid w:val="089B4A9C"/>
    <w:rsid w:val="089B4B2B"/>
    <w:rsid w:val="089B4BA8"/>
    <w:rsid w:val="089B4CB3"/>
    <w:rsid w:val="089B4DA7"/>
    <w:rsid w:val="089B4DB7"/>
    <w:rsid w:val="089B4DED"/>
    <w:rsid w:val="089B4E53"/>
    <w:rsid w:val="089B5125"/>
    <w:rsid w:val="089B515E"/>
    <w:rsid w:val="089B51F6"/>
    <w:rsid w:val="089B52A2"/>
    <w:rsid w:val="089B53E4"/>
    <w:rsid w:val="089B5444"/>
    <w:rsid w:val="089B544B"/>
    <w:rsid w:val="089B54B0"/>
    <w:rsid w:val="089B54B4"/>
    <w:rsid w:val="089B54E5"/>
    <w:rsid w:val="089B5509"/>
    <w:rsid w:val="089B5586"/>
    <w:rsid w:val="089B56EA"/>
    <w:rsid w:val="089B571F"/>
    <w:rsid w:val="089B580C"/>
    <w:rsid w:val="089B5819"/>
    <w:rsid w:val="089B583A"/>
    <w:rsid w:val="089B5844"/>
    <w:rsid w:val="089B5856"/>
    <w:rsid w:val="089B58A5"/>
    <w:rsid w:val="089B5982"/>
    <w:rsid w:val="089B5999"/>
    <w:rsid w:val="089B59B7"/>
    <w:rsid w:val="089B59DE"/>
    <w:rsid w:val="089B5A7A"/>
    <w:rsid w:val="089B5B0F"/>
    <w:rsid w:val="089B5B9A"/>
    <w:rsid w:val="089B5BA4"/>
    <w:rsid w:val="089B5CBA"/>
    <w:rsid w:val="089B5D64"/>
    <w:rsid w:val="089B5D81"/>
    <w:rsid w:val="089B5E2B"/>
    <w:rsid w:val="089B5F60"/>
    <w:rsid w:val="089B5FAD"/>
    <w:rsid w:val="089B612B"/>
    <w:rsid w:val="089B620C"/>
    <w:rsid w:val="089B62E6"/>
    <w:rsid w:val="089B6312"/>
    <w:rsid w:val="089B6360"/>
    <w:rsid w:val="089B63F6"/>
    <w:rsid w:val="089B64CA"/>
    <w:rsid w:val="089B6517"/>
    <w:rsid w:val="089B6557"/>
    <w:rsid w:val="089B6660"/>
    <w:rsid w:val="089B666C"/>
    <w:rsid w:val="089B673B"/>
    <w:rsid w:val="089B6743"/>
    <w:rsid w:val="089B6755"/>
    <w:rsid w:val="089B6779"/>
    <w:rsid w:val="089B6794"/>
    <w:rsid w:val="089B67DC"/>
    <w:rsid w:val="089B67F9"/>
    <w:rsid w:val="089B682C"/>
    <w:rsid w:val="089B6841"/>
    <w:rsid w:val="089B6848"/>
    <w:rsid w:val="089B6861"/>
    <w:rsid w:val="089B6881"/>
    <w:rsid w:val="089B6893"/>
    <w:rsid w:val="089B68E4"/>
    <w:rsid w:val="089B6918"/>
    <w:rsid w:val="089B69E4"/>
    <w:rsid w:val="089B6A2E"/>
    <w:rsid w:val="089B6AA5"/>
    <w:rsid w:val="089B6AA9"/>
    <w:rsid w:val="089B6BC1"/>
    <w:rsid w:val="089B6BC6"/>
    <w:rsid w:val="089B6C19"/>
    <w:rsid w:val="089B6C63"/>
    <w:rsid w:val="089B6CB4"/>
    <w:rsid w:val="089B6D74"/>
    <w:rsid w:val="089B6DEC"/>
    <w:rsid w:val="089B6E27"/>
    <w:rsid w:val="089B6E80"/>
    <w:rsid w:val="089B6ED7"/>
    <w:rsid w:val="089B6F7E"/>
    <w:rsid w:val="089B6F90"/>
    <w:rsid w:val="089B6FBF"/>
    <w:rsid w:val="089B6FE8"/>
    <w:rsid w:val="089B719B"/>
    <w:rsid w:val="089B7267"/>
    <w:rsid w:val="089B7343"/>
    <w:rsid w:val="089B739E"/>
    <w:rsid w:val="089B73E4"/>
    <w:rsid w:val="089B73EA"/>
    <w:rsid w:val="089B755C"/>
    <w:rsid w:val="089B7570"/>
    <w:rsid w:val="089B7590"/>
    <w:rsid w:val="089B761C"/>
    <w:rsid w:val="089B7745"/>
    <w:rsid w:val="089B77DC"/>
    <w:rsid w:val="089B7851"/>
    <w:rsid w:val="089B787F"/>
    <w:rsid w:val="089B7901"/>
    <w:rsid w:val="089B790E"/>
    <w:rsid w:val="089B793C"/>
    <w:rsid w:val="089B793F"/>
    <w:rsid w:val="089B7954"/>
    <w:rsid w:val="089B79E0"/>
    <w:rsid w:val="089B7A35"/>
    <w:rsid w:val="089B7AB8"/>
    <w:rsid w:val="089B7AE7"/>
    <w:rsid w:val="089B7B07"/>
    <w:rsid w:val="089B7B49"/>
    <w:rsid w:val="089B7B53"/>
    <w:rsid w:val="089B7B69"/>
    <w:rsid w:val="089B7B82"/>
    <w:rsid w:val="089B7BEF"/>
    <w:rsid w:val="089B7D1F"/>
    <w:rsid w:val="089B7D20"/>
    <w:rsid w:val="089B7D58"/>
    <w:rsid w:val="089B7DA7"/>
    <w:rsid w:val="089B7DE9"/>
    <w:rsid w:val="089B7DF8"/>
    <w:rsid w:val="089B7E2C"/>
    <w:rsid w:val="089B7E81"/>
    <w:rsid w:val="089B7EC6"/>
    <w:rsid w:val="089C00F3"/>
    <w:rsid w:val="089C0113"/>
    <w:rsid w:val="089C0129"/>
    <w:rsid w:val="089C0211"/>
    <w:rsid w:val="089C034E"/>
    <w:rsid w:val="089C03F6"/>
    <w:rsid w:val="089C041A"/>
    <w:rsid w:val="089C0441"/>
    <w:rsid w:val="089C04D2"/>
    <w:rsid w:val="089C04D7"/>
    <w:rsid w:val="089C054B"/>
    <w:rsid w:val="089C055B"/>
    <w:rsid w:val="089C05C6"/>
    <w:rsid w:val="089C05CB"/>
    <w:rsid w:val="089C06E3"/>
    <w:rsid w:val="089C0732"/>
    <w:rsid w:val="089C0746"/>
    <w:rsid w:val="089C078E"/>
    <w:rsid w:val="089C07A0"/>
    <w:rsid w:val="089C0859"/>
    <w:rsid w:val="089C0895"/>
    <w:rsid w:val="089C08AC"/>
    <w:rsid w:val="089C08ED"/>
    <w:rsid w:val="089C0900"/>
    <w:rsid w:val="089C0A0D"/>
    <w:rsid w:val="089C0A16"/>
    <w:rsid w:val="089C0A56"/>
    <w:rsid w:val="089C0B93"/>
    <w:rsid w:val="089C0BCA"/>
    <w:rsid w:val="089C0BFE"/>
    <w:rsid w:val="089C0C00"/>
    <w:rsid w:val="089C0C4C"/>
    <w:rsid w:val="089C0C7A"/>
    <w:rsid w:val="089C0E65"/>
    <w:rsid w:val="089C0EC1"/>
    <w:rsid w:val="089C0F8C"/>
    <w:rsid w:val="089C0FF1"/>
    <w:rsid w:val="089C10A1"/>
    <w:rsid w:val="089C1125"/>
    <w:rsid w:val="089C11CD"/>
    <w:rsid w:val="089C1274"/>
    <w:rsid w:val="089C12E3"/>
    <w:rsid w:val="089C135A"/>
    <w:rsid w:val="089C13B0"/>
    <w:rsid w:val="089C13CB"/>
    <w:rsid w:val="089C13E0"/>
    <w:rsid w:val="089C1464"/>
    <w:rsid w:val="089C14E0"/>
    <w:rsid w:val="089C14F2"/>
    <w:rsid w:val="089C15BC"/>
    <w:rsid w:val="089C16D4"/>
    <w:rsid w:val="089C170A"/>
    <w:rsid w:val="089C172F"/>
    <w:rsid w:val="089C1988"/>
    <w:rsid w:val="089C19B5"/>
    <w:rsid w:val="089C19FB"/>
    <w:rsid w:val="089C1AAB"/>
    <w:rsid w:val="089C1ACD"/>
    <w:rsid w:val="089C1B0C"/>
    <w:rsid w:val="089C1C73"/>
    <w:rsid w:val="089C1CBB"/>
    <w:rsid w:val="089C1D6B"/>
    <w:rsid w:val="089C1DEB"/>
    <w:rsid w:val="089C1DFC"/>
    <w:rsid w:val="089C1EE3"/>
    <w:rsid w:val="089C1EFC"/>
    <w:rsid w:val="089C1F0C"/>
    <w:rsid w:val="089C1F10"/>
    <w:rsid w:val="089C1F2A"/>
    <w:rsid w:val="089C1FBB"/>
    <w:rsid w:val="089C1FBF"/>
    <w:rsid w:val="089C2068"/>
    <w:rsid w:val="089C20A9"/>
    <w:rsid w:val="089C2184"/>
    <w:rsid w:val="089C21A9"/>
    <w:rsid w:val="089C21B6"/>
    <w:rsid w:val="089C21E2"/>
    <w:rsid w:val="089C2203"/>
    <w:rsid w:val="089C2275"/>
    <w:rsid w:val="089C2364"/>
    <w:rsid w:val="089C242C"/>
    <w:rsid w:val="089C249B"/>
    <w:rsid w:val="089C24BD"/>
    <w:rsid w:val="089C24FA"/>
    <w:rsid w:val="089C2590"/>
    <w:rsid w:val="089C25CA"/>
    <w:rsid w:val="089C25F4"/>
    <w:rsid w:val="089C26AE"/>
    <w:rsid w:val="089C26C7"/>
    <w:rsid w:val="089C2745"/>
    <w:rsid w:val="089C27EA"/>
    <w:rsid w:val="089C2854"/>
    <w:rsid w:val="089C2A0D"/>
    <w:rsid w:val="089C2BA0"/>
    <w:rsid w:val="089C2C6F"/>
    <w:rsid w:val="089C2C8D"/>
    <w:rsid w:val="089C2CAB"/>
    <w:rsid w:val="089C2CF5"/>
    <w:rsid w:val="089C2CFB"/>
    <w:rsid w:val="089C2D65"/>
    <w:rsid w:val="089C2E6E"/>
    <w:rsid w:val="089C2F81"/>
    <w:rsid w:val="089C2FE2"/>
    <w:rsid w:val="089C3005"/>
    <w:rsid w:val="089C3097"/>
    <w:rsid w:val="089C3250"/>
    <w:rsid w:val="089C326C"/>
    <w:rsid w:val="089C3304"/>
    <w:rsid w:val="089C332B"/>
    <w:rsid w:val="089C3380"/>
    <w:rsid w:val="089C339F"/>
    <w:rsid w:val="089C33EF"/>
    <w:rsid w:val="089C344D"/>
    <w:rsid w:val="089C349A"/>
    <w:rsid w:val="089C35AA"/>
    <w:rsid w:val="089C35B3"/>
    <w:rsid w:val="089C35BA"/>
    <w:rsid w:val="089C36D2"/>
    <w:rsid w:val="089C3725"/>
    <w:rsid w:val="089C37AD"/>
    <w:rsid w:val="089C37D6"/>
    <w:rsid w:val="089C381B"/>
    <w:rsid w:val="089C382F"/>
    <w:rsid w:val="089C384D"/>
    <w:rsid w:val="089C38D5"/>
    <w:rsid w:val="089C3A53"/>
    <w:rsid w:val="089C3D76"/>
    <w:rsid w:val="089C3DC2"/>
    <w:rsid w:val="089C3F0C"/>
    <w:rsid w:val="089C3FD9"/>
    <w:rsid w:val="089C40CC"/>
    <w:rsid w:val="089C40D5"/>
    <w:rsid w:val="089C4111"/>
    <w:rsid w:val="089C4185"/>
    <w:rsid w:val="089C4195"/>
    <w:rsid w:val="089C41DC"/>
    <w:rsid w:val="089C4353"/>
    <w:rsid w:val="089C44BA"/>
    <w:rsid w:val="089C45E0"/>
    <w:rsid w:val="089C4606"/>
    <w:rsid w:val="089C462E"/>
    <w:rsid w:val="089C46DD"/>
    <w:rsid w:val="089C46F4"/>
    <w:rsid w:val="089C474A"/>
    <w:rsid w:val="089C47DD"/>
    <w:rsid w:val="089C4811"/>
    <w:rsid w:val="089C48A8"/>
    <w:rsid w:val="089C48B2"/>
    <w:rsid w:val="089C48DD"/>
    <w:rsid w:val="089C4952"/>
    <w:rsid w:val="089C499D"/>
    <w:rsid w:val="089C4A71"/>
    <w:rsid w:val="089C4A80"/>
    <w:rsid w:val="089C4AD4"/>
    <w:rsid w:val="089C4AE2"/>
    <w:rsid w:val="089C4B20"/>
    <w:rsid w:val="089C4B6B"/>
    <w:rsid w:val="089C4BE6"/>
    <w:rsid w:val="089C4C7E"/>
    <w:rsid w:val="089C4D00"/>
    <w:rsid w:val="089C4F13"/>
    <w:rsid w:val="089C4F6B"/>
    <w:rsid w:val="089C5039"/>
    <w:rsid w:val="089C5049"/>
    <w:rsid w:val="089C5053"/>
    <w:rsid w:val="089C5115"/>
    <w:rsid w:val="089C5133"/>
    <w:rsid w:val="089C51B2"/>
    <w:rsid w:val="089C5283"/>
    <w:rsid w:val="089C52B3"/>
    <w:rsid w:val="089C5528"/>
    <w:rsid w:val="089C568F"/>
    <w:rsid w:val="089C577B"/>
    <w:rsid w:val="089C57BB"/>
    <w:rsid w:val="089C57E5"/>
    <w:rsid w:val="089C58FF"/>
    <w:rsid w:val="089C5933"/>
    <w:rsid w:val="089C5984"/>
    <w:rsid w:val="089C59D2"/>
    <w:rsid w:val="089C5A5A"/>
    <w:rsid w:val="089C5A60"/>
    <w:rsid w:val="089C5B74"/>
    <w:rsid w:val="089C5BBA"/>
    <w:rsid w:val="089C5C27"/>
    <w:rsid w:val="089C5C2A"/>
    <w:rsid w:val="089C5D12"/>
    <w:rsid w:val="089C5D5C"/>
    <w:rsid w:val="089C5D88"/>
    <w:rsid w:val="089C5DC6"/>
    <w:rsid w:val="089C5DF3"/>
    <w:rsid w:val="089C5E33"/>
    <w:rsid w:val="089C5EB3"/>
    <w:rsid w:val="089C5ECA"/>
    <w:rsid w:val="089C5F1B"/>
    <w:rsid w:val="089C5F46"/>
    <w:rsid w:val="089C5F47"/>
    <w:rsid w:val="089C5F7B"/>
    <w:rsid w:val="089C5FDA"/>
    <w:rsid w:val="089C603C"/>
    <w:rsid w:val="089C6068"/>
    <w:rsid w:val="089C607C"/>
    <w:rsid w:val="089C6177"/>
    <w:rsid w:val="089C61DE"/>
    <w:rsid w:val="089C636A"/>
    <w:rsid w:val="089C63A3"/>
    <w:rsid w:val="089C64A9"/>
    <w:rsid w:val="089C6515"/>
    <w:rsid w:val="089C6591"/>
    <w:rsid w:val="089C65FA"/>
    <w:rsid w:val="089C666B"/>
    <w:rsid w:val="089C66D4"/>
    <w:rsid w:val="089C66E9"/>
    <w:rsid w:val="089C6784"/>
    <w:rsid w:val="089C6843"/>
    <w:rsid w:val="089C68C2"/>
    <w:rsid w:val="089C68E0"/>
    <w:rsid w:val="089C68E2"/>
    <w:rsid w:val="089C6909"/>
    <w:rsid w:val="089C696E"/>
    <w:rsid w:val="089C6973"/>
    <w:rsid w:val="089C69B9"/>
    <w:rsid w:val="089C69E9"/>
    <w:rsid w:val="089C6B07"/>
    <w:rsid w:val="089C6B1B"/>
    <w:rsid w:val="089C6C77"/>
    <w:rsid w:val="089C6CD0"/>
    <w:rsid w:val="089C6D16"/>
    <w:rsid w:val="089C6D24"/>
    <w:rsid w:val="089C6D30"/>
    <w:rsid w:val="089C6D9D"/>
    <w:rsid w:val="089C6DBF"/>
    <w:rsid w:val="089C6E65"/>
    <w:rsid w:val="089C6EC3"/>
    <w:rsid w:val="089C6FFA"/>
    <w:rsid w:val="089C70BA"/>
    <w:rsid w:val="089C71E0"/>
    <w:rsid w:val="089C7252"/>
    <w:rsid w:val="089C733C"/>
    <w:rsid w:val="089C73B0"/>
    <w:rsid w:val="089C7420"/>
    <w:rsid w:val="089C7494"/>
    <w:rsid w:val="089C74AF"/>
    <w:rsid w:val="089C74EB"/>
    <w:rsid w:val="089C757F"/>
    <w:rsid w:val="089C7645"/>
    <w:rsid w:val="089C77A5"/>
    <w:rsid w:val="089C77CB"/>
    <w:rsid w:val="089C7812"/>
    <w:rsid w:val="089C7836"/>
    <w:rsid w:val="089C7897"/>
    <w:rsid w:val="089C78BD"/>
    <w:rsid w:val="089C794E"/>
    <w:rsid w:val="089C7971"/>
    <w:rsid w:val="089C7A45"/>
    <w:rsid w:val="089C7A80"/>
    <w:rsid w:val="089C7B34"/>
    <w:rsid w:val="089C7B60"/>
    <w:rsid w:val="089C7C50"/>
    <w:rsid w:val="089C7C76"/>
    <w:rsid w:val="089C7C94"/>
    <w:rsid w:val="089C7CA2"/>
    <w:rsid w:val="089C7E53"/>
    <w:rsid w:val="089C7E57"/>
    <w:rsid w:val="089D013A"/>
    <w:rsid w:val="089D015F"/>
    <w:rsid w:val="089D01EC"/>
    <w:rsid w:val="089D0224"/>
    <w:rsid w:val="089D02B0"/>
    <w:rsid w:val="089D03A5"/>
    <w:rsid w:val="089D03E4"/>
    <w:rsid w:val="089D07FC"/>
    <w:rsid w:val="089D0837"/>
    <w:rsid w:val="089D0862"/>
    <w:rsid w:val="089D08A5"/>
    <w:rsid w:val="089D08E2"/>
    <w:rsid w:val="089D094F"/>
    <w:rsid w:val="089D0953"/>
    <w:rsid w:val="089D096E"/>
    <w:rsid w:val="089D09F4"/>
    <w:rsid w:val="089D09FA"/>
    <w:rsid w:val="089D0A25"/>
    <w:rsid w:val="089D0C86"/>
    <w:rsid w:val="089D0D15"/>
    <w:rsid w:val="089D0D2A"/>
    <w:rsid w:val="089D0DD6"/>
    <w:rsid w:val="089D0DDD"/>
    <w:rsid w:val="089D0E08"/>
    <w:rsid w:val="089D0EAE"/>
    <w:rsid w:val="089D0EBE"/>
    <w:rsid w:val="089D0F17"/>
    <w:rsid w:val="089D0FBF"/>
    <w:rsid w:val="089D107D"/>
    <w:rsid w:val="089D10F8"/>
    <w:rsid w:val="089D1203"/>
    <w:rsid w:val="089D123F"/>
    <w:rsid w:val="089D1303"/>
    <w:rsid w:val="089D136F"/>
    <w:rsid w:val="089D145A"/>
    <w:rsid w:val="089D14AE"/>
    <w:rsid w:val="089D1594"/>
    <w:rsid w:val="089D159A"/>
    <w:rsid w:val="089D15F1"/>
    <w:rsid w:val="089D162B"/>
    <w:rsid w:val="089D16A5"/>
    <w:rsid w:val="089D17D6"/>
    <w:rsid w:val="089D18E2"/>
    <w:rsid w:val="089D18F1"/>
    <w:rsid w:val="089D191A"/>
    <w:rsid w:val="089D19F9"/>
    <w:rsid w:val="089D1A7C"/>
    <w:rsid w:val="089D1B45"/>
    <w:rsid w:val="089D1BEC"/>
    <w:rsid w:val="089D1CCA"/>
    <w:rsid w:val="089D1D0A"/>
    <w:rsid w:val="089D1D25"/>
    <w:rsid w:val="089D1D2D"/>
    <w:rsid w:val="089D1D5C"/>
    <w:rsid w:val="089D1EC4"/>
    <w:rsid w:val="089D2090"/>
    <w:rsid w:val="089D217B"/>
    <w:rsid w:val="089D21AE"/>
    <w:rsid w:val="089D21D4"/>
    <w:rsid w:val="089D2211"/>
    <w:rsid w:val="089D2234"/>
    <w:rsid w:val="089D22E7"/>
    <w:rsid w:val="089D2334"/>
    <w:rsid w:val="089D2335"/>
    <w:rsid w:val="089D2412"/>
    <w:rsid w:val="089D244D"/>
    <w:rsid w:val="089D2456"/>
    <w:rsid w:val="089D24D8"/>
    <w:rsid w:val="089D24FE"/>
    <w:rsid w:val="089D271F"/>
    <w:rsid w:val="089D2831"/>
    <w:rsid w:val="089D289C"/>
    <w:rsid w:val="089D292E"/>
    <w:rsid w:val="089D2950"/>
    <w:rsid w:val="089D2A26"/>
    <w:rsid w:val="089D2B12"/>
    <w:rsid w:val="089D2BB3"/>
    <w:rsid w:val="089D2BBC"/>
    <w:rsid w:val="089D2CA9"/>
    <w:rsid w:val="089D2D81"/>
    <w:rsid w:val="089D2E02"/>
    <w:rsid w:val="089D2E06"/>
    <w:rsid w:val="089D2E7D"/>
    <w:rsid w:val="089D2EC1"/>
    <w:rsid w:val="089D3002"/>
    <w:rsid w:val="089D3009"/>
    <w:rsid w:val="089D31E8"/>
    <w:rsid w:val="089D3332"/>
    <w:rsid w:val="089D33F4"/>
    <w:rsid w:val="089D3408"/>
    <w:rsid w:val="089D34C1"/>
    <w:rsid w:val="089D34E5"/>
    <w:rsid w:val="089D35BA"/>
    <w:rsid w:val="089D36EF"/>
    <w:rsid w:val="089D373C"/>
    <w:rsid w:val="089D37C3"/>
    <w:rsid w:val="089D37F3"/>
    <w:rsid w:val="089D38C7"/>
    <w:rsid w:val="089D38D1"/>
    <w:rsid w:val="089D39CD"/>
    <w:rsid w:val="089D3A0B"/>
    <w:rsid w:val="089D3A6F"/>
    <w:rsid w:val="089D3B70"/>
    <w:rsid w:val="089D3B74"/>
    <w:rsid w:val="089D3C1F"/>
    <w:rsid w:val="089D3CD3"/>
    <w:rsid w:val="089D3DF8"/>
    <w:rsid w:val="089D3E71"/>
    <w:rsid w:val="089D3F13"/>
    <w:rsid w:val="089D3F23"/>
    <w:rsid w:val="089D3F69"/>
    <w:rsid w:val="089D3FAD"/>
    <w:rsid w:val="089D3FE4"/>
    <w:rsid w:val="089D4002"/>
    <w:rsid w:val="089D40E4"/>
    <w:rsid w:val="089D41A9"/>
    <w:rsid w:val="089D41BE"/>
    <w:rsid w:val="089D428B"/>
    <w:rsid w:val="089D42D4"/>
    <w:rsid w:val="089D43C7"/>
    <w:rsid w:val="089D43E0"/>
    <w:rsid w:val="089D4515"/>
    <w:rsid w:val="089D4631"/>
    <w:rsid w:val="089D4650"/>
    <w:rsid w:val="089D467E"/>
    <w:rsid w:val="089D469C"/>
    <w:rsid w:val="089D46DF"/>
    <w:rsid w:val="089D46E5"/>
    <w:rsid w:val="089D4729"/>
    <w:rsid w:val="089D4768"/>
    <w:rsid w:val="089D47A5"/>
    <w:rsid w:val="089D4936"/>
    <w:rsid w:val="089D4A92"/>
    <w:rsid w:val="089D4AAA"/>
    <w:rsid w:val="089D4B90"/>
    <w:rsid w:val="089D4C10"/>
    <w:rsid w:val="089D4C4A"/>
    <w:rsid w:val="089D4C9F"/>
    <w:rsid w:val="089D4CA0"/>
    <w:rsid w:val="089D4CB6"/>
    <w:rsid w:val="089D4D9B"/>
    <w:rsid w:val="089D4D9E"/>
    <w:rsid w:val="089D4E2F"/>
    <w:rsid w:val="089D4E31"/>
    <w:rsid w:val="089D4E4E"/>
    <w:rsid w:val="089D4EA1"/>
    <w:rsid w:val="089D4ED7"/>
    <w:rsid w:val="089D4EDA"/>
    <w:rsid w:val="089D4F27"/>
    <w:rsid w:val="089D4F7D"/>
    <w:rsid w:val="089D50B1"/>
    <w:rsid w:val="089D5104"/>
    <w:rsid w:val="089D52BC"/>
    <w:rsid w:val="089D5329"/>
    <w:rsid w:val="089D53E8"/>
    <w:rsid w:val="089D53EC"/>
    <w:rsid w:val="089D54A0"/>
    <w:rsid w:val="089D555C"/>
    <w:rsid w:val="089D5608"/>
    <w:rsid w:val="089D5651"/>
    <w:rsid w:val="089D56D1"/>
    <w:rsid w:val="089D56ED"/>
    <w:rsid w:val="089D5893"/>
    <w:rsid w:val="089D58FA"/>
    <w:rsid w:val="089D5920"/>
    <w:rsid w:val="089D5990"/>
    <w:rsid w:val="089D5A33"/>
    <w:rsid w:val="089D5A45"/>
    <w:rsid w:val="089D5B7B"/>
    <w:rsid w:val="089D5BB2"/>
    <w:rsid w:val="089D5C65"/>
    <w:rsid w:val="089D5D6E"/>
    <w:rsid w:val="089D5D86"/>
    <w:rsid w:val="089D5DC4"/>
    <w:rsid w:val="089D5DD0"/>
    <w:rsid w:val="089D5F0A"/>
    <w:rsid w:val="089D6017"/>
    <w:rsid w:val="089D608C"/>
    <w:rsid w:val="089D627F"/>
    <w:rsid w:val="089D62BF"/>
    <w:rsid w:val="089D62EC"/>
    <w:rsid w:val="089D63DB"/>
    <w:rsid w:val="089D642B"/>
    <w:rsid w:val="089D652C"/>
    <w:rsid w:val="089D6592"/>
    <w:rsid w:val="089D66A1"/>
    <w:rsid w:val="089D676B"/>
    <w:rsid w:val="089D6848"/>
    <w:rsid w:val="089D69E0"/>
    <w:rsid w:val="089D69EB"/>
    <w:rsid w:val="089D69FC"/>
    <w:rsid w:val="089D6B0F"/>
    <w:rsid w:val="089D6BA0"/>
    <w:rsid w:val="089D6BF9"/>
    <w:rsid w:val="089D6C5E"/>
    <w:rsid w:val="089D6C86"/>
    <w:rsid w:val="089D6D23"/>
    <w:rsid w:val="089D6D2F"/>
    <w:rsid w:val="089D6D63"/>
    <w:rsid w:val="089D6D87"/>
    <w:rsid w:val="089D6E08"/>
    <w:rsid w:val="089D6E11"/>
    <w:rsid w:val="089D6EAB"/>
    <w:rsid w:val="089D6EB0"/>
    <w:rsid w:val="089D6FAB"/>
    <w:rsid w:val="089D6FF3"/>
    <w:rsid w:val="089D705B"/>
    <w:rsid w:val="089D7068"/>
    <w:rsid w:val="089D7144"/>
    <w:rsid w:val="089D7186"/>
    <w:rsid w:val="089D71E2"/>
    <w:rsid w:val="089D733D"/>
    <w:rsid w:val="089D733F"/>
    <w:rsid w:val="089D739F"/>
    <w:rsid w:val="089D7444"/>
    <w:rsid w:val="089D7454"/>
    <w:rsid w:val="089D7478"/>
    <w:rsid w:val="089D747D"/>
    <w:rsid w:val="089D75BA"/>
    <w:rsid w:val="089D7652"/>
    <w:rsid w:val="089D7660"/>
    <w:rsid w:val="089D7690"/>
    <w:rsid w:val="089D76ED"/>
    <w:rsid w:val="089D7721"/>
    <w:rsid w:val="089D7723"/>
    <w:rsid w:val="089D77B8"/>
    <w:rsid w:val="089D782C"/>
    <w:rsid w:val="089D784B"/>
    <w:rsid w:val="089D785E"/>
    <w:rsid w:val="089D786F"/>
    <w:rsid w:val="089D79AA"/>
    <w:rsid w:val="089D7AC0"/>
    <w:rsid w:val="089D7B08"/>
    <w:rsid w:val="089D7B79"/>
    <w:rsid w:val="089D7BDA"/>
    <w:rsid w:val="089D7C39"/>
    <w:rsid w:val="089D7D0C"/>
    <w:rsid w:val="089D7D1D"/>
    <w:rsid w:val="089D7DA9"/>
    <w:rsid w:val="089D7E29"/>
    <w:rsid w:val="089D7E8D"/>
    <w:rsid w:val="089D7EF2"/>
    <w:rsid w:val="089D7F26"/>
    <w:rsid w:val="089D7F9E"/>
    <w:rsid w:val="089D7FA8"/>
    <w:rsid w:val="089E0058"/>
    <w:rsid w:val="089E0091"/>
    <w:rsid w:val="089E0094"/>
    <w:rsid w:val="089E00AF"/>
    <w:rsid w:val="089E013A"/>
    <w:rsid w:val="089E020B"/>
    <w:rsid w:val="089E026B"/>
    <w:rsid w:val="089E027C"/>
    <w:rsid w:val="089E02C5"/>
    <w:rsid w:val="089E0437"/>
    <w:rsid w:val="089E0638"/>
    <w:rsid w:val="089E0645"/>
    <w:rsid w:val="089E08D5"/>
    <w:rsid w:val="089E08F7"/>
    <w:rsid w:val="089E0985"/>
    <w:rsid w:val="089E0A22"/>
    <w:rsid w:val="089E0A2B"/>
    <w:rsid w:val="089E0A4F"/>
    <w:rsid w:val="089E0A9B"/>
    <w:rsid w:val="089E0AAB"/>
    <w:rsid w:val="089E0B3C"/>
    <w:rsid w:val="089E0BD7"/>
    <w:rsid w:val="089E0C6F"/>
    <w:rsid w:val="089E0CA6"/>
    <w:rsid w:val="089E0CAC"/>
    <w:rsid w:val="089E0D6F"/>
    <w:rsid w:val="089E0DF9"/>
    <w:rsid w:val="089E0ED8"/>
    <w:rsid w:val="089E0ED9"/>
    <w:rsid w:val="089E0F0A"/>
    <w:rsid w:val="089E0F30"/>
    <w:rsid w:val="089E0F34"/>
    <w:rsid w:val="089E101A"/>
    <w:rsid w:val="089E1079"/>
    <w:rsid w:val="089E107C"/>
    <w:rsid w:val="089E10D4"/>
    <w:rsid w:val="089E1114"/>
    <w:rsid w:val="089E1164"/>
    <w:rsid w:val="089E117D"/>
    <w:rsid w:val="089E11CD"/>
    <w:rsid w:val="089E11D8"/>
    <w:rsid w:val="089E11F7"/>
    <w:rsid w:val="089E121A"/>
    <w:rsid w:val="089E1420"/>
    <w:rsid w:val="089E1424"/>
    <w:rsid w:val="089E1429"/>
    <w:rsid w:val="089E14ED"/>
    <w:rsid w:val="089E1653"/>
    <w:rsid w:val="089E16BD"/>
    <w:rsid w:val="089E16FB"/>
    <w:rsid w:val="089E1828"/>
    <w:rsid w:val="089E18F5"/>
    <w:rsid w:val="089E197A"/>
    <w:rsid w:val="089E1A19"/>
    <w:rsid w:val="089E1A1A"/>
    <w:rsid w:val="089E1B96"/>
    <w:rsid w:val="089E1C37"/>
    <w:rsid w:val="089E1C3B"/>
    <w:rsid w:val="089E1CF1"/>
    <w:rsid w:val="089E1E92"/>
    <w:rsid w:val="089E1F10"/>
    <w:rsid w:val="089E1F3E"/>
    <w:rsid w:val="089E1F80"/>
    <w:rsid w:val="089E1FDB"/>
    <w:rsid w:val="089E1FFC"/>
    <w:rsid w:val="089E20C3"/>
    <w:rsid w:val="089E213D"/>
    <w:rsid w:val="089E218B"/>
    <w:rsid w:val="089E227C"/>
    <w:rsid w:val="089E228C"/>
    <w:rsid w:val="089E22DB"/>
    <w:rsid w:val="089E2363"/>
    <w:rsid w:val="089E2375"/>
    <w:rsid w:val="089E2383"/>
    <w:rsid w:val="089E24BB"/>
    <w:rsid w:val="089E256C"/>
    <w:rsid w:val="089E265B"/>
    <w:rsid w:val="089E2792"/>
    <w:rsid w:val="089E2897"/>
    <w:rsid w:val="089E28CE"/>
    <w:rsid w:val="089E2923"/>
    <w:rsid w:val="089E2926"/>
    <w:rsid w:val="089E293D"/>
    <w:rsid w:val="089E298E"/>
    <w:rsid w:val="089E29BA"/>
    <w:rsid w:val="089E29C2"/>
    <w:rsid w:val="089E29E8"/>
    <w:rsid w:val="089E2A45"/>
    <w:rsid w:val="089E2A79"/>
    <w:rsid w:val="089E2AB9"/>
    <w:rsid w:val="089E2B09"/>
    <w:rsid w:val="089E2B7C"/>
    <w:rsid w:val="089E2C6B"/>
    <w:rsid w:val="089E2D1A"/>
    <w:rsid w:val="089E2DB3"/>
    <w:rsid w:val="089E2FF9"/>
    <w:rsid w:val="089E309C"/>
    <w:rsid w:val="089E3235"/>
    <w:rsid w:val="089E32A9"/>
    <w:rsid w:val="089E332E"/>
    <w:rsid w:val="089E3366"/>
    <w:rsid w:val="089E33BD"/>
    <w:rsid w:val="089E344A"/>
    <w:rsid w:val="089E3472"/>
    <w:rsid w:val="089E347C"/>
    <w:rsid w:val="089E3538"/>
    <w:rsid w:val="089E359F"/>
    <w:rsid w:val="089E35F6"/>
    <w:rsid w:val="089E36F2"/>
    <w:rsid w:val="089E3767"/>
    <w:rsid w:val="089E376D"/>
    <w:rsid w:val="089E376E"/>
    <w:rsid w:val="089E37B8"/>
    <w:rsid w:val="089E3807"/>
    <w:rsid w:val="089E3832"/>
    <w:rsid w:val="089E3894"/>
    <w:rsid w:val="089E3896"/>
    <w:rsid w:val="089E38AF"/>
    <w:rsid w:val="089E395A"/>
    <w:rsid w:val="089E39B1"/>
    <w:rsid w:val="089E39C9"/>
    <w:rsid w:val="089E39DC"/>
    <w:rsid w:val="089E3A42"/>
    <w:rsid w:val="089E3A84"/>
    <w:rsid w:val="089E3B08"/>
    <w:rsid w:val="089E3B11"/>
    <w:rsid w:val="089E3B88"/>
    <w:rsid w:val="089E3C07"/>
    <w:rsid w:val="089E3CAC"/>
    <w:rsid w:val="089E3CE5"/>
    <w:rsid w:val="089E3DC5"/>
    <w:rsid w:val="089E3DD6"/>
    <w:rsid w:val="089E3E73"/>
    <w:rsid w:val="089E3ECB"/>
    <w:rsid w:val="089E3F7C"/>
    <w:rsid w:val="089E40A4"/>
    <w:rsid w:val="089E40D5"/>
    <w:rsid w:val="089E41F2"/>
    <w:rsid w:val="089E422D"/>
    <w:rsid w:val="089E4267"/>
    <w:rsid w:val="089E43AD"/>
    <w:rsid w:val="089E44AA"/>
    <w:rsid w:val="089E452D"/>
    <w:rsid w:val="089E454B"/>
    <w:rsid w:val="089E4646"/>
    <w:rsid w:val="089E479D"/>
    <w:rsid w:val="089E4832"/>
    <w:rsid w:val="089E487E"/>
    <w:rsid w:val="089E48AC"/>
    <w:rsid w:val="089E48CF"/>
    <w:rsid w:val="089E49CE"/>
    <w:rsid w:val="089E49D1"/>
    <w:rsid w:val="089E4A05"/>
    <w:rsid w:val="089E4A0A"/>
    <w:rsid w:val="089E4AB5"/>
    <w:rsid w:val="089E4AB8"/>
    <w:rsid w:val="089E4B7D"/>
    <w:rsid w:val="089E4BB3"/>
    <w:rsid w:val="089E4C14"/>
    <w:rsid w:val="089E4CD7"/>
    <w:rsid w:val="089E4D4D"/>
    <w:rsid w:val="089E4D54"/>
    <w:rsid w:val="089E4EE9"/>
    <w:rsid w:val="089E506D"/>
    <w:rsid w:val="089E51A3"/>
    <w:rsid w:val="089E51DA"/>
    <w:rsid w:val="089E5340"/>
    <w:rsid w:val="089E54CA"/>
    <w:rsid w:val="089E54E5"/>
    <w:rsid w:val="089E54E6"/>
    <w:rsid w:val="089E552D"/>
    <w:rsid w:val="089E5540"/>
    <w:rsid w:val="089E55C7"/>
    <w:rsid w:val="089E55FD"/>
    <w:rsid w:val="089E5605"/>
    <w:rsid w:val="089E561A"/>
    <w:rsid w:val="089E561F"/>
    <w:rsid w:val="089E56D4"/>
    <w:rsid w:val="089E56F6"/>
    <w:rsid w:val="089E5705"/>
    <w:rsid w:val="089E572F"/>
    <w:rsid w:val="089E5857"/>
    <w:rsid w:val="089E585A"/>
    <w:rsid w:val="089E585B"/>
    <w:rsid w:val="089E58AE"/>
    <w:rsid w:val="089E58F6"/>
    <w:rsid w:val="089E594E"/>
    <w:rsid w:val="089E5962"/>
    <w:rsid w:val="089E5B0F"/>
    <w:rsid w:val="089E5B4E"/>
    <w:rsid w:val="089E5CB3"/>
    <w:rsid w:val="089E5CBC"/>
    <w:rsid w:val="089E5D7C"/>
    <w:rsid w:val="089E5DA8"/>
    <w:rsid w:val="089E5DF8"/>
    <w:rsid w:val="089E5E54"/>
    <w:rsid w:val="089E5EDE"/>
    <w:rsid w:val="089E5F35"/>
    <w:rsid w:val="089E5F7A"/>
    <w:rsid w:val="089E5FA0"/>
    <w:rsid w:val="089E5FFA"/>
    <w:rsid w:val="089E6020"/>
    <w:rsid w:val="089E6094"/>
    <w:rsid w:val="089E60AC"/>
    <w:rsid w:val="089E6154"/>
    <w:rsid w:val="089E6159"/>
    <w:rsid w:val="089E6176"/>
    <w:rsid w:val="089E6179"/>
    <w:rsid w:val="089E6187"/>
    <w:rsid w:val="089E61B6"/>
    <w:rsid w:val="089E6268"/>
    <w:rsid w:val="089E62E3"/>
    <w:rsid w:val="089E63AC"/>
    <w:rsid w:val="089E63C7"/>
    <w:rsid w:val="089E63D0"/>
    <w:rsid w:val="089E647D"/>
    <w:rsid w:val="089E654B"/>
    <w:rsid w:val="089E662D"/>
    <w:rsid w:val="089E6658"/>
    <w:rsid w:val="089E6678"/>
    <w:rsid w:val="089E673E"/>
    <w:rsid w:val="089E6797"/>
    <w:rsid w:val="089E67BF"/>
    <w:rsid w:val="089E69FD"/>
    <w:rsid w:val="089E6ABF"/>
    <w:rsid w:val="089E6B1E"/>
    <w:rsid w:val="089E6D85"/>
    <w:rsid w:val="089E6E07"/>
    <w:rsid w:val="089E6E52"/>
    <w:rsid w:val="089E6F35"/>
    <w:rsid w:val="089E700C"/>
    <w:rsid w:val="089E7096"/>
    <w:rsid w:val="089E70D8"/>
    <w:rsid w:val="089E7125"/>
    <w:rsid w:val="089E718C"/>
    <w:rsid w:val="089E7299"/>
    <w:rsid w:val="089E72D7"/>
    <w:rsid w:val="089E7325"/>
    <w:rsid w:val="089E747D"/>
    <w:rsid w:val="089E7577"/>
    <w:rsid w:val="089E75BC"/>
    <w:rsid w:val="089E75C5"/>
    <w:rsid w:val="089E75CA"/>
    <w:rsid w:val="089E7681"/>
    <w:rsid w:val="089E76D0"/>
    <w:rsid w:val="089E77D3"/>
    <w:rsid w:val="089E77D8"/>
    <w:rsid w:val="089E78D9"/>
    <w:rsid w:val="089E791A"/>
    <w:rsid w:val="089E7930"/>
    <w:rsid w:val="089E793E"/>
    <w:rsid w:val="089E79C0"/>
    <w:rsid w:val="089E79D1"/>
    <w:rsid w:val="089E7A3F"/>
    <w:rsid w:val="089E7A56"/>
    <w:rsid w:val="089E7A9C"/>
    <w:rsid w:val="089E7C5F"/>
    <w:rsid w:val="089E7C69"/>
    <w:rsid w:val="089E7D94"/>
    <w:rsid w:val="089E7E84"/>
    <w:rsid w:val="089E7EA6"/>
    <w:rsid w:val="089E7ECB"/>
    <w:rsid w:val="089E7F20"/>
    <w:rsid w:val="089E7FB8"/>
    <w:rsid w:val="089E7FCE"/>
    <w:rsid w:val="089F00C1"/>
    <w:rsid w:val="089F01A1"/>
    <w:rsid w:val="089F020B"/>
    <w:rsid w:val="089F027C"/>
    <w:rsid w:val="089F02AA"/>
    <w:rsid w:val="089F0371"/>
    <w:rsid w:val="089F04EC"/>
    <w:rsid w:val="089F05C7"/>
    <w:rsid w:val="089F05D7"/>
    <w:rsid w:val="089F0634"/>
    <w:rsid w:val="089F0679"/>
    <w:rsid w:val="089F06DE"/>
    <w:rsid w:val="089F072A"/>
    <w:rsid w:val="089F073F"/>
    <w:rsid w:val="089F0750"/>
    <w:rsid w:val="089F0755"/>
    <w:rsid w:val="089F0775"/>
    <w:rsid w:val="089F07E1"/>
    <w:rsid w:val="089F0803"/>
    <w:rsid w:val="089F088C"/>
    <w:rsid w:val="089F08A1"/>
    <w:rsid w:val="089F08A2"/>
    <w:rsid w:val="089F095E"/>
    <w:rsid w:val="089F096D"/>
    <w:rsid w:val="089F0982"/>
    <w:rsid w:val="089F0984"/>
    <w:rsid w:val="089F0997"/>
    <w:rsid w:val="089F09B8"/>
    <w:rsid w:val="089F09DA"/>
    <w:rsid w:val="089F0A0D"/>
    <w:rsid w:val="089F0A61"/>
    <w:rsid w:val="089F0DA9"/>
    <w:rsid w:val="089F0DC9"/>
    <w:rsid w:val="089F0E21"/>
    <w:rsid w:val="089F0E99"/>
    <w:rsid w:val="089F0E9B"/>
    <w:rsid w:val="089F0EC5"/>
    <w:rsid w:val="089F0F2B"/>
    <w:rsid w:val="089F1058"/>
    <w:rsid w:val="089F1082"/>
    <w:rsid w:val="089F1105"/>
    <w:rsid w:val="089F1170"/>
    <w:rsid w:val="089F11E0"/>
    <w:rsid w:val="089F11EC"/>
    <w:rsid w:val="089F1257"/>
    <w:rsid w:val="089F1332"/>
    <w:rsid w:val="089F14FD"/>
    <w:rsid w:val="089F1516"/>
    <w:rsid w:val="089F1531"/>
    <w:rsid w:val="089F1596"/>
    <w:rsid w:val="089F1633"/>
    <w:rsid w:val="089F1656"/>
    <w:rsid w:val="089F166E"/>
    <w:rsid w:val="089F1798"/>
    <w:rsid w:val="089F17D8"/>
    <w:rsid w:val="089F181D"/>
    <w:rsid w:val="089F1862"/>
    <w:rsid w:val="089F188C"/>
    <w:rsid w:val="089F18A3"/>
    <w:rsid w:val="089F18B8"/>
    <w:rsid w:val="089F1927"/>
    <w:rsid w:val="089F1959"/>
    <w:rsid w:val="089F19B3"/>
    <w:rsid w:val="089F19C2"/>
    <w:rsid w:val="089F1A9A"/>
    <w:rsid w:val="089F1AB0"/>
    <w:rsid w:val="089F1B11"/>
    <w:rsid w:val="089F1BCD"/>
    <w:rsid w:val="089F1C74"/>
    <w:rsid w:val="089F1CE4"/>
    <w:rsid w:val="089F1D75"/>
    <w:rsid w:val="089F2021"/>
    <w:rsid w:val="089F20DF"/>
    <w:rsid w:val="089F222E"/>
    <w:rsid w:val="089F223E"/>
    <w:rsid w:val="089F22C7"/>
    <w:rsid w:val="089F22DD"/>
    <w:rsid w:val="089F23C1"/>
    <w:rsid w:val="089F2400"/>
    <w:rsid w:val="089F262E"/>
    <w:rsid w:val="089F2688"/>
    <w:rsid w:val="089F26C4"/>
    <w:rsid w:val="089F26D2"/>
    <w:rsid w:val="089F274D"/>
    <w:rsid w:val="089F29D0"/>
    <w:rsid w:val="089F2A44"/>
    <w:rsid w:val="089F2A88"/>
    <w:rsid w:val="089F2B25"/>
    <w:rsid w:val="089F2CEA"/>
    <w:rsid w:val="089F2CFF"/>
    <w:rsid w:val="089F2F41"/>
    <w:rsid w:val="089F300F"/>
    <w:rsid w:val="089F3123"/>
    <w:rsid w:val="089F3351"/>
    <w:rsid w:val="089F3368"/>
    <w:rsid w:val="089F3441"/>
    <w:rsid w:val="089F3477"/>
    <w:rsid w:val="089F34A1"/>
    <w:rsid w:val="089F34F7"/>
    <w:rsid w:val="089F350E"/>
    <w:rsid w:val="089F355A"/>
    <w:rsid w:val="089F357F"/>
    <w:rsid w:val="089F35AD"/>
    <w:rsid w:val="089F35DF"/>
    <w:rsid w:val="089F360C"/>
    <w:rsid w:val="089F3657"/>
    <w:rsid w:val="089F3729"/>
    <w:rsid w:val="089F3791"/>
    <w:rsid w:val="089F37B8"/>
    <w:rsid w:val="089F3899"/>
    <w:rsid w:val="089F38EB"/>
    <w:rsid w:val="089F397C"/>
    <w:rsid w:val="089F39EA"/>
    <w:rsid w:val="089F3A4A"/>
    <w:rsid w:val="089F3A73"/>
    <w:rsid w:val="089F3A96"/>
    <w:rsid w:val="089F3AF2"/>
    <w:rsid w:val="089F3C16"/>
    <w:rsid w:val="089F3C2B"/>
    <w:rsid w:val="089F3C7C"/>
    <w:rsid w:val="089F3DE6"/>
    <w:rsid w:val="089F3E9C"/>
    <w:rsid w:val="089F3F61"/>
    <w:rsid w:val="089F3F75"/>
    <w:rsid w:val="089F3F94"/>
    <w:rsid w:val="089F3FC8"/>
    <w:rsid w:val="089F3FDF"/>
    <w:rsid w:val="089F405A"/>
    <w:rsid w:val="089F4178"/>
    <w:rsid w:val="089F42DC"/>
    <w:rsid w:val="089F441C"/>
    <w:rsid w:val="089F442E"/>
    <w:rsid w:val="089F4488"/>
    <w:rsid w:val="089F4901"/>
    <w:rsid w:val="089F4963"/>
    <w:rsid w:val="089F49D6"/>
    <w:rsid w:val="089F49FF"/>
    <w:rsid w:val="089F4A37"/>
    <w:rsid w:val="089F4AB1"/>
    <w:rsid w:val="089F4B32"/>
    <w:rsid w:val="089F4B85"/>
    <w:rsid w:val="089F4B93"/>
    <w:rsid w:val="089F4BAC"/>
    <w:rsid w:val="089F4BB9"/>
    <w:rsid w:val="089F4C15"/>
    <w:rsid w:val="089F4C29"/>
    <w:rsid w:val="089F4C46"/>
    <w:rsid w:val="089F4CD7"/>
    <w:rsid w:val="089F4CF6"/>
    <w:rsid w:val="089F4CFC"/>
    <w:rsid w:val="089F4D8D"/>
    <w:rsid w:val="089F4E39"/>
    <w:rsid w:val="089F4EAA"/>
    <w:rsid w:val="089F50CD"/>
    <w:rsid w:val="089F50DD"/>
    <w:rsid w:val="089F521A"/>
    <w:rsid w:val="089F524C"/>
    <w:rsid w:val="089F535F"/>
    <w:rsid w:val="089F5360"/>
    <w:rsid w:val="089F53BF"/>
    <w:rsid w:val="089F53C6"/>
    <w:rsid w:val="089F53EA"/>
    <w:rsid w:val="089F548F"/>
    <w:rsid w:val="089F5554"/>
    <w:rsid w:val="089F5575"/>
    <w:rsid w:val="089F55C5"/>
    <w:rsid w:val="089F5693"/>
    <w:rsid w:val="089F56B9"/>
    <w:rsid w:val="089F57B5"/>
    <w:rsid w:val="089F580C"/>
    <w:rsid w:val="089F5844"/>
    <w:rsid w:val="089F5904"/>
    <w:rsid w:val="089F595A"/>
    <w:rsid w:val="089F59C3"/>
    <w:rsid w:val="089F59E2"/>
    <w:rsid w:val="089F5A20"/>
    <w:rsid w:val="089F5A2E"/>
    <w:rsid w:val="089F5AA1"/>
    <w:rsid w:val="089F5AEC"/>
    <w:rsid w:val="089F5B52"/>
    <w:rsid w:val="089F5BDD"/>
    <w:rsid w:val="089F5BE2"/>
    <w:rsid w:val="089F5D1F"/>
    <w:rsid w:val="089F5D65"/>
    <w:rsid w:val="089F5E04"/>
    <w:rsid w:val="089F5E3F"/>
    <w:rsid w:val="089F5E5E"/>
    <w:rsid w:val="089F5EBE"/>
    <w:rsid w:val="089F5F9A"/>
    <w:rsid w:val="089F5FA5"/>
    <w:rsid w:val="089F6009"/>
    <w:rsid w:val="089F6059"/>
    <w:rsid w:val="089F614D"/>
    <w:rsid w:val="089F6206"/>
    <w:rsid w:val="089F627D"/>
    <w:rsid w:val="089F62D1"/>
    <w:rsid w:val="089F62DA"/>
    <w:rsid w:val="089F6369"/>
    <w:rsid w:val="089F63BF"/>
    <w:rsid w:val="089F6554"/>
    <w:rsid w:val="089F6599"/>
    <w:rsid w:val="089F665A"/>
    <w:rsid w:val="089F6691"/>
    <w:rsid w:val="089F66A2"/>
    <w:rsid w:val="089F6707"/>
    <w:rsid w:val="089F6708"/>
    <w:rsid w:val="089F6719"/>
    <w:rsid w:val="089F6844"/>
    <w:rsid w:val="089F6854"/>
    <w:rsid w:val="089F686E"/>
    <w:rsid w:val="089F6889"/>
    <w:rsid w:val="089F68A8"/>
    <w:rsid w:val="089F6983"/>
    <w:rsid w:val="089F69C9"/>
    <w:rsid w:val="089F6A48"/>
    <w:rsid w:val="089F6B51"/>
    <w:rsid w:val="089F6BBD"/>
    <w:rsid w:val="089F6CFE"/>
    <w:rsid w:val="089F6E49"/>
    <w:rsid w:val="089F6FFD"/>
    <w:rsid w:val="089F7000"/>
    <w:rsid w:val="089F7087"/>
    <w:rsid w:val="089F70E9"/>
    <w:rsid w:val="089F7288"/>
    <w:rsid w:val="089F72CD"/>
    <w:rsid w:val="089F7302"/>
    <w:rsid w:val="089F7304"/>
    <w:rsid w:val="089F7360"/>
    <w:rsid w:val="089F7391"/>
    <w:rsid w:val="089F7441"/>
    <w:rsid w:val="089F7479"/>
    <w:rsid w:val="089F7483"/>
    <w:rsid w:val="089F756B"/>
    <w:rsid w:val="089F75F1"/>
    <w:rsid w:val="089F760E"/>
    <w:rsid w:val="089F76A8"/>
    <w:rsid w:val="089F773E"/>
    <w:rsid w:val="089F77CF"/>
    <w:rsid w:val="089F78F4"/>
    <w:rsid w:val="089F78FD"/>
    <w:rsid w:val="089F7928"/>
    <w:rsid w:val="089F7935"/>
    <w:rsid w:val="089F797F"/>
    <w:rsid w:val="089F79E2"/>
    <w:rsid w:val="089F79EF"/>
    <w:rsid w:val="089F7A07"/>
    <w:rsid w:val="089F7AEE"/>
    <w:rsid w:val="089F7B19"/>
    <w:rsid w:val="089F7B96"/>
    <w:rsid w:val="089F7BEA"/>
    <w:rsid w:val="089F7C66"/>
    <w:rsid w:val="089F7C6E"/>
    <w:rsid w:val="089F7C86"/>
    <w:rsid w:val="089F7D41"/>
    <w:rsid w:val="089F7D70"/>
    <w:rsid w:val="089F7E98"/>
    <w:rsid w:val="089F7F19"/>
    <w:rsid w:val="089F7F9B"/>
    <w:rsid w:val="089F7FAC"/>
    <w:rsid w:val="089F7FC5"/>
    <w:rsid w:val="089F7FD0"/>
    <w:rsid w:val="089F7FE0"/>
    <w:rsid w:val="08A0009B"/>
    <w:rsid w:val="08A000F0"/>
    <w:rsid w:val="08A00205"/>
    <w:rsid w:val="08A00259"/>
    <w:rsid w:val="08A00342"/>
    <w:rsid w:val="08A00364"/>
    <w:rsid w:val="08A00366"/>
    <w:rsid w:val="08A0038C"/>
    <w:rsid w:val="08A003ED"/>
    <w:rsid w:val="08A00475"/>
    <w:rsid w:val="08A00525"/>
    <w:rsid w:val="08A00561"/>
    <w:rsid w:val="08A00573"/>
    <w:rsid w:val="08A005E6"/>
    <w:rsid w:val="08A006B6"/>
    <w:rsid w:val="08A008F6"/>
    <w:rsid w:val="08A00963"/>
    <w:rsid w:val="08A009C6"/>
    <w:rsid w:val="08A00A30"/>
    <w:rsid w:val="08A00A5E"/>
    <w:rsid w:val="08A00AA0"/>
    <w:rsid w:val="08A00BBE"/>
    <w:rsid w:val="08A00BFD"/>
    <w:rsid w:val="08A00C1B"/>
    <w:rsid w:val="08A00C4C"/>
    <w:rsid w:val="08A00C69"/>
    <w:rsid w:val="08A00C81"/>
    <w:rsid w:val="08A00CA1"/>
    <w:rsid w:val="08A00CEC"/>
    <w:rsid w:val="08A00D35"/>
    <w:rsid w:val="08A00DEB"/>
    <w:rsid w:val="08A00E53"/>
    <w:rsid w:val="08A00F26"/>
    <w:rsid w:val="08A00F67"/>
    <w:rsid w:val="08A00F8B"/>
    <w:rsid w:val="08A00F96"/>
    <w:rsid w:val="08A0100E"/>
    <w:rsid w:val="08A0113B"/>
    <w:rsid w:val="08A0116B"/>
    <w:rsid w:val="08A0119D"/>
    <w:rsid w:val="08A01325"/>
    <w:rsid w:val="08A0134C"/>
    <w:rsid w:val="08A01368"/>
    <w:rsid w:val="08A0136C"/>
    <w:rsid w:val="08A014E9"/>
    <w:rsid w:val="08A0154D"/>
    <w:rsid w:val="08A015EE"/>
    <w:rsid w:val="08A01621"/>
    <w:rsid w:val="08A01628"/>
    <w:rsid w:val="08A0164A"/>
    <w:rsid w:val="08A016B9"/>
    <w:rsid w:val="08A016D7"/>
    <w:rsid w:val="08A01755"/>
    <w:rsid w:val="08A01762"/>
    <w:rsid w:val="08A017E6"/>
    <w:rsid w:val="08A01836"/>
    <w:rsid w:val="08A0187B"/>
    <w:rsid w:val="08A01933"/>
    <w:rsid w:val="08A01970"/>
    <w:rsid w:val="08A01A25"/>
    <w:rsid w:val="08A01B01"/>
    <w:rsid w:val="08A01B59"/>
    <w:rsid w:val="08A01C67"/>
    <w:rsid w:val="08A01C72"/>
    <w:rsid w:val="08A01C8B"/>
    <w:rsid w:val="08A01D17"/>
    <w:rsid w:val="08A01D51"/>
    <w:rsid w:val="08A01D9C"/>
    <w:rsid w:val="08A01DE9"/>
    <w:rsid w:val="08A01E0C"/>
    <w:rsid w:val="08A01F38"/>
    <w:rsid w:val="08A01F89"/>
    <w:rsid w:val="08A0206A"/>
    <w:rsid w:val="08A02092"/>
    <w:rsid w:val="08A0209B"/>
    <w:rsid w:val="08A020B2"/>
    <w:rsid w:val="08A0217D"/>
    <w:rsid w:val="08A02239"/>
    <w:rsid w:val="08A022AD"/>
    <w:rsid w:val="08A02318"/>
    <w:rsid w:val="08A0239B"/>
    <w:rsid w:val="08A023D9"/>
    <w:rsid w:val="08A0248F"/>
    <w:rsid w:val="08A024CD"/>
    <w:rsid w:val="08A02540"/>
    <w:rsid w:val="08A025EF"/>
    <w:rsid w:val="08A0260B"/>
    <w:rsid w:val="08A0277A"/>
    <w:rsid w:val="08A027F0"/>
    <w:rsid w:val="08A02876"/>
    <w:rsid w:val="08A028BD"/>
    <w:rsid w:val="08A02945"/>
    <w:rsid w:val="08A02974"/>
    <w:rsid w:val="08A02983"/>
    <w:rsid w:val="08A029B7"/>
    <w:rsid w:val="08A02A6C"/>
    <w:rsid w:val="08A02B34"/>
    <w:rsid w:val="08A02D7C"/>
    <w:rsid w:val="08A02D85"/>
    <w:rsid w:val="08A02DAB"/>
    <w:rsid w:val="08A02E80"/>
    <w:rsid w:val="08A02ECF"/>
    <w:rsid w:val="08A02FCE"/>
    <w:rsid w:val="08A02FDD"/>
    <w:rsid w:val="08A0301A"/>
    <w:rsid w:val="08A03203"/>
    <w:rsid w:val="08A0322F"/>
    <w:rsid w:val="08A032CC"/>
    <w:rsid w:val="08A0342B"/>
    <w:rsid w:val="08A03459"/>
    <w:rsid w:val="08A034B6"/>
    <w:rsid w:val="08A03508"/>
    <w:rsid w:val="08A035C9"/>
    <w:rsid w:val="08A036E1"/>
    <w:rsid w:val="08A037AA"/>
    <w:rsid w:val="08A037E9"/>
    <w:rsid w:val="08A037F2"/>
    <w:rsid w:val="08A03853"/>
    <w:rsid w:val="08A03897"/>
    <w:rsid w:val="08A038A3"/>
    <w:rsid w:val="08A038F7"/>
    <w:rsid w:val="08A03955"/>
    <w:rsid w:val="08A03B2C"/>
    <w:rsid w:val="08A03B49"/>
    <w:rsid w:val="08A03B8A"/>
    <w:rsid w:val="08A03BA1"/>
    <w:rsid w:val="08A03BE8"/>
    <w:rsid w:val="08A03C2A"/>
    <w:rsid w:val="08A03CB2"/>
    <w:rsid w:val="08A03CB7"/>
    <w:rsid w:val="08A03D2B"/>
    <w:rsid w:val="08A03D39"/>
    <w:rsid w:val="08A03DB6"/>
    <w:rsid w:val="08A03DCA"/>
    <w:rsid w:val="08A03F21"/>
    <w:rsid w:val="08A03F8C"/>
    <w:rsid w:val="08A040F1"/>
    <w:rsid w:val="08A0410E"/>
    <w:rsid w:val="08A04111"/>
    <w:rsid w:val="08A0443F"/>
    <w:rsid w:val="08A04601"/>
    <w:rsid w:val="08A04986"/>
    <w:rsid w:val="08A04A03"/>
    <w:rsid w:val="08A04ABF"/>
    <w:rsid w:val="08A04AE5"/>
    <w:rsid w:val="08A04BAB"/>
    <w:rsid w:val="08A04C38"/>
    <w:rsid w:val="08A04C4E"/>
    <w:rsid w:val="08A04C86"/>
    <w:rsid w:val="08A04CD4"/>
    <w:rsid w:val="08A04D6B"/>
    <w:rsid w:val="08A04DAA"/>
    <w:rsid w:val="08A04DC6"/>
    <w:rsid w:val="08A04DF4"/>
    <w:rsid w:val="08A04E0A"/>
    <w:rsid w:val="08A04E89"/>
    <w:rsid w:val="08A04EA6"/>
    <w:rsid w:val="08A04F69"/>
    <w:rsid w:val="08A050B9"/>
    <w:rsid w:val="08A0513A"/>
    <w:rsid w:val="08A051DF"/>
    <w:rsid w:val="08A05211"/>
    <w:rsid w:val="08A05282"/>
    <w:rsid w:val="08A05351"/>
    <w:rsid w:val="08A05365"/>
    <w:rsid w:val="08A054E2"/>
    <w:rsid w:val="08A055DC"/>
    <w:rsid w:val="08A0563F"/>
    <w:rsid w:val="08A056B0"/>
    <w:rsid w:val="08A057F0"/>
    <w:rsid w:val="08A05896"/>
    <w:rsid w:val="08A05929"/>
    <w:rsid w:val="08A059DD"/>
    <w:rsid w:val="08A05A00"/>
    <w:rsid w:val="08A05ADF"/>
    <w:rsid w:val="08A05C21"/>
    <w:rsid w:val="08A05C2B"/>
    <w:rsid w:val="08A05C47"/>
    <w:rsid w:val="08A05DA1"/>
    <w:rsid w:val="08A05F07"/>
    <w:rsid w:val="08A05F9E"/>
    <w:rsid w:val="08A05FF7"/>
    <w:rsid w:val="08A05FFA"/>
    <w:rsid w:val="08A0606C"/>
    <w:rsid w:val="08A06123"/>
    <w:rsid w:val="08A06175"/>
    <w:rsid w:val="08A061FE"/>
    <w:rsid w:val="08A06202"/>
    <w:rsid w:val="08A062BA"/>
    <w:rsid w:val="08A06400"/>
    <w:rsid w:val="08A065BC"/>
    <w:rsid w:val="08A065D9"/>
    <w:rsid w:val="08A0661B"/>
    <w:rsid w:val="08A066B3"/>
    <w:rsid w:val="08A066C6"/>
    <w:rsid w:val="08A066ED"/>
    <w:rsid w:val="08A067E6"/>
    <w:rsid w:val="08A0689F"/>
    <w:rsid w:val="08A068FD"/>
    <w:rsid w:val="08A06ADB"/>
    <w:rsid w:val="08A06B51"/>
    <w:rsid w:val="08A06D6C"/>
    <w:rsid w:val="08A06E68"/>
    <w:rsid w:val="08A06EBC"/>
    <w:rsid w:val="08A06EC2"/>
    <w:rsid w:val="08A06F0D"/>
    <w:rsid w:val="08A06F16"/>
    <w:rsid w:val="08A06F34"/>
    <w:rsid w:val="08A06F66"/>
    <w:rsid w:val="08A06F83"/>
    <w:rsid w:val="08A06FBC"/>
    <w:rsid w:val="08A06FDB"/>
    <w:rsid w:val="08A070C7"/>
    <w:rsid w:val="08A07142"/>
    <w:rsid w:val="08A071C0"/>
    <w:rsid w:val="08A071CE"/>
    <w:rsid w:val="08A0730F"/>
    <w:rsid w:val="08A07334"/>
    <w:rsid w:val="08A07394"/>
    <w:rsid w:val="08A0740A"/>
    <w:rsid w:val="08A07418"/>
    <w:rsid w:val="08A074F9"/>
    <w:rsid w:val="08A074FC"/>
    <w:rsid w:val="08A075DF"/>
    <w:rsid w:val="08A075E1"/>
    <w:rsid w:val="08A076F6"/>
    <w:rsid w:val="08A07767"/>
    <w:rsid w:val="08A077ED"/>
    <w:rsid w:val="08A07986"/>
    <w:rsid w:val="08A079C9"/>
    <w:rsid w:val="08A07A3C"/>
    <w:rsid w:val="08A07A88"/>
    <w:rsid w:val="08A07AAE"/>
    <w:rsid w:val="08A07BD3"/>
    <w:rsid w:val="08A07BD5"/>
    <w:rsid w:val="08A07C21"/>
    <w:rsid w:val="08A07C94"/>
    <w:rsid w:val="08A07CE4"/>
    <w:rsid w:val="08A07D7D"/>
    <w:rsid w:val="08A07F4A"/>
    <w:rsid w:val="08A07F9B"/>
    <w:rsid w:val="08A10059"/>
    <w:rsid w:val="08A10159"/>
    <w:rsid w:val="08A101B9"/>
    <w:rsid w:val="08A101EE"/>
    <w:rsid w:val="08A103A9"/>
    <w:rsid w:val="08A103C5"/>
    <w:rsid w:val="08A1040A"/>
    <w:rsid w:val="08A10422"/>
    <w:rsid w:val="08A1042C"/>
    <w:rsid w:val="08A10487"/>
    <w:rsid w:val="08A104DA"/>
    <w:rsid w:val="08A104E5"/>
    <w:rsid w:val="08A105AE"/>
    <w:rsid w:val="08A10755"/>
    <w:rsid w:val="08A10772"/>
    <w:rsid w:val="08A107B4"/>
    <w:rsid w:val="08A10851"/>
    <w:rsid w:val="08A10879"/>
    <w:rsid w:val="08A10955"/>
    <w:rsid w:val="08A109DF"/>
    <w:rsid w:val="08A10ADF"/>
    <w:rsid w:val="08A10C16"/>
    <w:rsid w:val="08A10C77"/>
    <w:rsid w:val="08A10CF4"/>
    <w:rsid w:val="08A10D25"/>
    <w:rsid w:val="08A10D5A"/>
    <w:rsid w:val="08A10D6A"/>
    <w:rsid w:val="08A10D8B"/>
    <w:rsid w:val="08A10E13"/>
    <w:rsid w:val="08A10E24"/>
    <w:rsid w:val="08A10E3B"/>
    <w:rsid w:val="08A10EB0"/>
    <w:rsid w:val="08A10EBC"/>
    <w:rsid w:val="08A10EE7"/>
    <w:rsid w:val="08A1104C"/>
    <w:rsid w:val="08A1107F"/>
    <w:rsid w:val="08A111C6"/>
    <w:rsid w:val="08A111E5"/>
    <w:rsid w:val="08A1120E"/>
    <w:rsid w:val="08A112CE"/>
    <w:rsid w:val="08A1141F"/>
    <w:rsid w:val="08A11602"/>
    <w:rsid w:val="08A11605"/>
    <w:rsid w:val="08A11690"/>
    <w:rsid w:val="08A117D3"/>
    <w:rsid w:val="08A1185A"/>
    <w:rsid w:val="08A1189A"/>
    <w:rsid w:val="08A1198D"/>
    <w:rsid w:val="08A119C3"/>
    <w:rsid w:val="08A119D5"/>
    <w:rsid w:val="08A119F7"/>
    <w:rsid w:val="08A11A32"/>
    <w:rsid w:val="08A11A3A"/>
    <w:rsid w:val="08A11B7F"/>
    <w:rsid w:val="08A11C35"/>
    <w:rsid w:val="08A11C5A"/>
    <w:rsid w:val="08A11CF0"/>
    <w:rsid w:val="08A11D2A"/>
    <w:rsid w:val="08A11D45"/>
    <w:rsid w:val="08A11DDE"/>
    <w:rsid w:val="08A11DE5"/>
    <w:rsid w:val="08A11DF0"/>
    <w:rsid w:val="08A11EA9"/>
    <w:rsid w:val="08A11F34"/>
    <w:rsid w:val="08A11F8D"/>
    <w:rsid w:val="08A11FA1"/>
    <w:rsid w:val="08A11FF3"/>
    <w:rsid w:val="08A1207E"/>
    <w:rsid w:val="08A120C3"/>
    <w:rsid w:val="08A120E3"/>
    <w:rsid w:val="08A1213E"/>
    <w:rsid w:val="08A12193"/>
    <w:rsid w:val="08A12210"/>
    <w:rsid w:val="08A12265"/>
    <w:rsid w:val="08A122E4"/>
    <w:rsid w:val="08A1234D"/>
    <w:rsid w:val="08A1237D"/>
    <w:rsid w:val="08A12413"/>
    <w:rsid w:val="08A12479"/>
    <w:rsid w:val="08A12522"/>
    <w:rsid w:val="08A12765"/>
    <w:rsid w:val="08A1287D"/>
    <w:rsid w:val="08A128BA"/>
    <w:rsid w:val="08A128FC"/>
    <w:rsid w:val="08A12981"/>
    <w:rsid w:val="08A12A39"/>
    <w:rsid w:val="08A12A60"/>
    <w:rsid w:val="08A12ACB"/>
    <w:rsid w:val="08A12B04"/>
    <w:rsid w:val="08A12BE8"/>
    <w:rsid w:val="08A12C1C"/>
    <w:rsid w:val="08A12D34"/>
    <w:rsid w:val="08A12D4B"/>
    <w:rsid w:val="08A12D86"/>
    <w:rsid w:val="08A12DD9"/>
    <w:rsid w:val="08A12E00"/>
    <w:rsid w:val="08A12E84"/>
    <w:rsid w:val="08A12EA0"/>
    <w:rsid w:val="08A12F5C"/>
    <w:rsid w:val="08A12F75"/>
    <w:rsid w:val="08A1301F"/>
    <w:rsid w:val="08A1310C"/>
    <w:rsid w:val="08A13143"/>
    <w:rsid w:val="08A132C2"/>
    <w:rsid w:val="08A132F2"/>
    <w:rsid w:val="08A13481"/>
    <w:rsid w:val="08A135D3"/>
    <w:rsid w:val="08A135DE"/>
    <w:rsid w:val="08A13680"/>
    <w:rsid w:val="08A136B0"/>
    <w:rsid w:val="08A136BF"/>
    <w:rsid w:val="08A136E9"/>
    <w:rsid w:val="08A1378E"/>
    <w:rsid w:val="08A137CA"/>
    <w:rsid w:val="08A137DD"/>
    <w:rsid w:val="08A138C1"/>
    <w:rsid w:val="08A138D1"/>
    <w:rsid w:val="08A1394E"/>
    <w:rsid w:val="08A1398E"/>
    <w:rsid w:val="08A13B03"/>
    <w:rsid w:val="08A13C3C"/>
    <w:rsid w:val="08A13C8F"/>
    <w:rsid w:val="08A13CEC"/>
    <w:rsid w:val="08A13DD7"/>
    <w:rsid w:val="08A13E1C"/>
    <w:rsid w:val="08A13E65"/>
    <w:rsid w:val="08A13E7C"/>
    <w:rsid w:val="08A13E80"/>
    <w:rsid w:val="08A13F23"/>
    <w:rsid w:val="08A13F2A"/>
    <w:rsid w:val="08A13F2B"/>
    <w:rsid w:val="08A13F51"/>
    <w:rsid w:val="08A13F59"/>
    <w:rsid w:val="08A13FD0"/>
    <w:rsid w:val="08A1404B"/>
    <w:rsid w:val="08A140BA"/>
    <w:rsid w:val="08A14180"/>
    <w:rsid w:val="08A14189"/>
    <w:rsid w:val="08A142D7"/>
    <w:rsid w:val="08A142DD"/>
    <w:rsid w:val="08A142FF"/>
    <w:rsid w:val="08A14336"/>
    <w:rsid w:val="08A1436C"/>
    <w:rsid w:val="08A143AB"/>
    <w:rsid w:val="08A1446A"/>
    <w:rsid w:val="08A14493"/>
    <w:rsid w:val="08A145CB"/>
    <w:rsid w:val="08A145E7"/>
    <w:rsid w:val="08A1460B"/>
    <w:rsid w:val="08A14615"/>
    <w:rsid w:val="08A146BD"/>
    <w:rsid w:val="08A1471D"/>
    <w:rsid w:val="08A14774"/>
    <w:rsid w:val="08A1477B"/>
    <w:rsid w:val="08A149FA"/>
    <w:rsid w:val="08A14A8F"/>
    <w:rsid w:val="08A14AE5"/>
    <w:rsid w:val="08A14B3C"/>
    <w:rsid w:val="08A14B6A"/>
    <w:rsid w:val="08A14BB1"/>
    <w:rsid w:val="08A14CB0"/>
    <w:rsid w:val="08A14D92"/>
    <w:rsid w:val="08A14E1A"/>
    <w:rsid w:val="08A14E35"/>
    <w:rsid w:val="08A14FC8"/>
    <w:rsid w:val="08A1509E"/>
    <w:rsid w:val="08A15161"/>
    <w:rsid w:val="08A15201"/>
    <w:rsid w:val="08A15264"/>
    <w:rsid w:val="08A152B1"/>
    <w:rsid w:val="08A152FC"/>
    <w:rsid w:val="08A15312"/>
    <w:rsid w:val="08A1538B"/>
    <w:rsid w:val="08A155B6"/>
    <w:rsid w:val="08A155C6"/>
    <w:rsid w:val="08A1563B"/>
    <w:rsid w:val="08A1570A"/>
    <w:rsid w:val="08A157C0"/>
    <w:rsid w:val="08A15830"/>
    <w:rsid w:val="08A158B5"/>
    <w:rsid w:val="08A15940"/>
    <w:rsid w:val="08A15998"/>
    <w:rsid w:val="08A159F9"/>
    <w:rsid w:val="08A15AD9"/>
    <w:rsid w:val="08A15C1F"/>
    <w:rsid w:val="08A15CE0"/>
    <w:rsid w:val="08A15D20"/>
    <w:rsid w:val="08A15D24"/>
    <w:rsid w:val="08A15D2A"/>
    <w:rsid w:val="08A15D39"/>
    <w:rsid w:val="08A15D5B"/>
    <w:rsid w:val="08A15D6A"/>
    <w:rsid w:val="08A15DE1"/>
    <w:rsid w:val="08A15FB4"/>
    <w:rsid w:val="08A15FBD"/>
    <w:rsid w:val="08A15FE0"/>
    <w:rsid w:val="08A1612C"/>
    <w:rsid w:val="08A16138"/>
    <w:rsid w:val="08A1615D"/>
    <w:rsid w:val="08A16163"/>
    <w:rsid w:val="08A1619E"/>
    <w:rsid w:val="08A161FC"/>
    <w:rsid w:val="08A16263"/>
    <w:rsid w:val="08A16279"/>
    <w:rsid w:val="08A162EC"/>
    <w:rsid w:val="08A16362"/>
    <w:rsid w:val="08A1638C"/>
    <w:rsid w:val="08A16398"/>
    <w:rsid w:val="08A163A5"/>
    <w:rsid w:val="08A16410"/>
    <w:rsid w:val="08A16415"/>
    <w:rsid w:val="08A16449"/>
    <w:rsid w:val="08A16462"/>
    <w:rsid w:val="08A1658F"/>
    <w:rsid w:val="08A16603"/>
    <w:rsid w:val="08A16722"/>
    <w:rsid w:val="08A167F7"/>
    <w:rsid w:val="08A16834"/>
    <w:rsid w:val="08A168DB"/>
    <w:rsid w:val="08A16A45"/>
    <w:rsid w:val="08A16B31"/>
    <w:rsid w:val="08A16B50"/>
    <w:rsid w:val="08A16C64"/>
    <w:rsid w:val="08A16C70"/>
    <w:rsid w:val="08A16D10"/>
    <w:rsid w:val="08A16D6E"/>
    <w:rsid w:val="08A16E9C"/>
    <w:rsid w:val="08A16EAA"/>
    <w:rsid w:val="08A16EAD"/>
    <w:rsid w:val="08A16F10"/>
    <w:rsid w:val="08A16F66"/>
    <w:rsid w:val="08A16FBD"/>
    <w:rsid w:val="08A16FC6"/>
    <w:rsid w:val="08A16FF1"/>
    <w:rsid w:val="08A171A1"/>
    <w:rsid w:val="08A171BC"/>
    <w:rsid w:val="08A171C5"/>
    <w:rsid w:val="08A172DD"/>
    <w:rsid w:val="08A1733D"/>
    <w:rsid w:val="08A1745B"/>
    <w:rsid w:val="08A17475"/>
    <w:rsid w:val="08A1747C"/>
    <w:rsid w:val="08A1747F"/>
    <w:rsid w:val="08A1748D"/>
    <w:rsid w:val="08A174B6"/>
    <w:rsid w:val="08A1755B"/>
    <w:rsid w:val="08A1759B"/>
    <w:rsid w:val="08A175AC"/>
    <w:rsid w:val="08A17615"/>
    <w:rsid w:val="08A1761A"/>
    <w:rsid w:val="08A17651"/>
    <w:rsid w:val="08A17751"/>
    <w:rsid w:val="08A1778F"/>
    <w:rsid w:val="08A17807"/>
    <w:rsid w:val="08A17871"/>
    <w:rsid w:val="08A17875"/>
    <w:rsid w:val="08A1796E"/>
    <w:rsid w:val="08A17973"/>
    <w:rsid w:val="08A17AC3"/>
    <w:rsid w:val="08A17B26"/>
    <w:rsid w:val="08A17B43"/>
    <w:rsid w:val="08A17B90"/>
    <w:rsid w:val="08A17C26"/>
    <w:rsid w:val="08A17C3F"/>
    <w:rsid w:val="08A17CBD"/>
    <w:rsid w:val="08A17CCE"/>
    <w:rsid w:val="08A17D32"/>
    <w:rsid w:val="08A17D71"/>
    <w:rsid w:val="08A17DC9"/>
    <w:rsid w:val="08A17F22"/>
    <w:rsid w:val="08A17F64"/>
    <w:rsid w:val="08A17FBA"/>
    <w:rsid w:val="08A17FE0"/>
    <w:rsid w:val="08A2000E"/>
    <w:rsid w:val="08A20059"/>
    <w:rsid w:val="08A2007E"/>
    <w:rsid w:val="08A20105"/>
    <w:rsid w:val="08A20128"/>
    <w:rsid w:val="08A2014C"/>
    <w:rsid w:val="08A201B8"/>
    <w:rsid w:val="08A201D1"/>
    <w:rsid w:val="08A2028A"/>
    <w:rsid w:val="08A204DA"/>
    <w:rsid w:val="08A20557"/>
    <w:rsid w:val="08A2063D"/>
    <w:rsid w:val="08A206EA"/>
    <w:rsid w:val="08A2089E"/>
    <w:rsid w:val="08A208C1"/>
    <w:rsid w:val="08A208EF"/>
    <w:rsid w:val="08A209C6"/>
    <w:rsid w:val="08A209CF"/>
    <w:rsid w:val="08A20A8E"/>
    <w:rsid w:val="08A20ABB"/>
    <w:rsid w:val="08A20B04"/>
    <w:rsid w:val="08A20B8A"/>
    <w:rsid w:val="08A20B9C"/>
    <w:rsid w:val="08A20BC1"/>
    <w:rsid w:val="08A20C75"/>
    <w:rsid w:val="08A20C8D"/>
    <w:rsid w:val="08A20CED"/>
    <w:rsid w:val="08A20D0D"/>
    <w:rsid w:val="08A20D74"/>
    <w:rsid w:val="08A20D8A"/>
    <w:rsid w:val="08A20D96"/>
    <w:rsid w:val="08A20F18"/>
    <w:rsid w:val="08A20F57"/>
    <w:rsid w:val="08A20F66"/>
    <w:rsid w:val="08A2116B"/>
    <w:rsid w:val="08A211AE"/>
    <w:rsid w:val="08A2120E"/>
    <w:rsid w:val="08A21247"/>
    <w:rsid w:val="08A21253"/>
    <w:rsid w:val="08A212A0"/>
    <w:rsid w:val="08A212E1"/>
    <w:rsid w:val="08A212E3"/>
    <w:rsid w:val="08A21346"/>
    <w:rsid w:val="08A2135C"/>
    <w:rsid w:val="08A21373"/>
    <w:rsid w:val="08A21419"/>
    <w:rsid w:val="08A21426"/>
    <w:rsid w:val="08A21503"/>
    <w:rsid w:val="08A21531"/>
    <w:rsid w:val="08A2157C"/>
    <w:rsid w:val="08A2160F"/>
    <w:rsid w:val="08A2163B"/>
    <w:rsid w:val="08A21688"/>
    <w:rsid w:val="08A21797"/>
    <w:rsid w:val="08A217E1"/>
    <w:rsid w:val="08A217FC"/>
    <w:rsid w:val="08A21828"/>
    <w:rsid w:val="08A218C0"/>
    <w:rsid w:val="08A218CD"/>
    <w:rsid w:val="08A21939"/>
    <w:rsid w:val="08A21A02"/>
    <w:rsid w:val="08A21A13"/>
    <w:rsid w:val="08A21A1D"/>
    <w:rsid w:val="08A21CA8"/>
    <w:rsid w:val="08A21CB0"/>
    <w:rsid w:val="08A21E1E"/>
    <w:rsid w:val="08A21E4C"/>
    <w:rsid w:val="08A21E71"/>
    <w:rsid w:val="08A21F60"/>
    <w:rsid w:val="08A21F94"/>
    <w:rsid w:val="08A22012"/>
    <w:rsid w:val="08A22097"/>
    <w:rsid w:val="08A220ED"/>
    <w:rsid w:val="08A2223B"/>
    <w:rsid w:val="08A222CC"/>
    <w:rsid w:val="08A22342"/>
    <w:rsid w:val="08A2236A"/>
    <w:rsid w:val="08A223E1"/>
    <w:rsid w:val="08A223E9"/>
    <w:rsid w:val="08A22428"/>
    <w:rsid w:val="08A2245B"/>
    <w:rsid w:val="08A2247B"/>
    <w:rsid w:val="08A22541"/>
    <w:rsid w:val="08A225DC"/>
    <w:rsid w:val="08A225E8"/>
    <w:rsid w:val="08A22691"/>
    <w:rsid w:val="08A22739"/>
    <w:rsid w:val="08A22753"/>
    <w:rsid w:val="08A227B6"/>
    <w:rsid w:val="08A227EE"/>
    <w:rsid w:val="08A2280B"/>
    <w:rsid w:val="08A2288F"/>
    <w:rsid w:val="08A2289E"/>
    <w:rsid w:val="08A228B2"/>
    <w:rsid w:val="08A22900"/>
    <w:rsid w:val="08A22958"/>
    <w:rsid w:val="08A22967"/>
    <w:rsid w:val="08A22970"/>
    <w:rsid w:val="08A22A75"/>
    <w:rsid w:val="08A22ADB"/>
    <w:rsid w:val="08A22B51"/>
    <w:rsid w:val="08A22B6B"/>
    <w:rsid w:val="08A22C0A"/>
    <w:rsid w:val="08A22C0E"/>
    <w:rsid w:val="08A22CEA"/>
    <w:rsid w:val="08A22D2D"/>
    <w:rsid w:val="08A22D5B"/>
    <w:rsid w:val="08A22E26"/>
    <w:rsid w:val="08A22E30"/>
    <w:rsid w:val="08A22E3E"/>
    <w:rsid w:val="08A22E81"/>
    <w:rsid w:val="08A22F95"/>
    <w:rsid w:val="08A22FA2"/>
    <w:rsid w:val="08A22FA6"/>
    <w:rsid w:val="08A22FD0"/>
    <w:rsid w:val="08A22FE5"/>
    <w:rsid w:val="08A2300D"/>
    <w:rsid w:val="08A23022"/>
    <w:rsid w:val="08A23037"/>
    <w:rsid w:val="08A231E5"/>
    <w:rsid w:val="08A23202"/>
    <w:rsid w:val="08A232D2"/>
    <w:rsid w:val="08A232EE"/>
    <w:rsid w:val="08A23367"/>
    <w:rsid w:val="08A233A3"/>
    <w:rsid w:val="08A23436"/>
    <w:rsid w:val="08A23494"/>
    <w:rsid w:val="08A234D6"/>
    <w:rsid w:val="08A235F1"/>
    <w:rsid w:val="08A23607"/>
    <w:rsid w:val="08A23658"/>
    <w:rsid w:val="08A2366C"/>
    <w:rsid w:val="08A23752"/>
    <w:rsid w:val="08A237D9"/>
    <w:rsid w:val="08A2380C"/>
    <w:rsid w:val="08A23831"/>
    <w:rsid w:val="08A238E8"/>
    <w:rsid w:val="08A239E9"/>
    <w:rsid w:val="08A23A2C"/>
    <w:rsid w:val="08A23AD0"/>
    <w:rsid w:val="08A23AF7"/>
    <w:rsid w:val="08A23D7C"/>
    <w:rsid w:val="08A23D8E"/>
    <w:rsid w:val="08A23DB4"/>
    <w:rsid w:val="08A23DF5"/>
    <w:rsid w:val="08A23E0C"/>
    <w:rsid w:val="08A23F27"/>
    <w:rsid w:val="08A2404A"/>
    <w:rsid w:val="08A2405F"/>
    <w:rsid w:val="08A2407E"/>
    <w:rsid w:val="08A24090"/>
    <w:rsid w:val="08A24178"/>
    <w:rsid w:val="08A241FF"/>
    <w:rsid w:val="08A242BA"/>
    <w:rsid w:val="08A242E5"/>
    <w:rsid w:val="08A244B7"/>
    <w:rsid w:val="08A24511"/>
    <w:rsid w:val="08A2451A"/>
    <w:rsid w:val="08A24540"/>
    <w:rsid w:val="08A24580"/>
    <w:rsid w:val="08A245B4"/>
    <w:rsid w:val="08A245C3"/>
    <w:rsid w:val="08A24629"/>
    <w:rsid w:val="08A24631"/>
    <w:rsid w:val="08A24646"/>
    <w:rsid w:val="08A24654"/>
    <w:rsid w:val="08A24682"/>
    <w:rsid w:val="08A24704"/>
    <w:rsid w:val="08A24718"/>
    <w:rsid w:val="08A247BE"/>
    <w:rsid w:val="08A2486A"/>
    <w:rsid w:val="08A2486F"/>
    <w:rsid w:val="08A24872"/>
    <w:rsid w:val="08A249A7"/>
    <w:rsid w:val="08A249D9"/>
    <w:rsid w:val="08A24B6A"/>
    <w:rsid w:val="08A24BE3"/>
    <w:rsid w:val="08A24BFE"/>
    <w:rsid w:val="08A24CE0"/>
    <w:rsid w:val="08A24D0D"/>
    <w:rsid w:val="08A24E9E"/>
    <w:rsid w:val="08A24EA7"/>
    <w:rsid w:val="08A24F3B"/>
    <w:rsid w:val="08A24F79"/>
    <w:rsid w:val="08A24FEA"/>
    <w:rsid w:val="08A25049"/>
    <w:rsid w:val="08A25067"/>
    <w:rsid w:val="08A2506C"/>
    <w:rsid w:val="08A25081"/>
    <w:rsid w:val="08A25134"/>
    <w:rsid w:val="08A25141"/>
    <w:rsid w:val="08A251C3"/>
    <w:rsid w:val="08A251E5"/>
    <w:rsid w:val="08A25371"/>
    <w:rsid w:val="08A2555A"/>
    <w:rsid w:val="08A255C3"/>
    <w:rsid w:val="08A255D9"/>
    <w:rsid w:val="08A25653"/>
    <w:rsid w:val="08A2565A"/>
    <w:rsid w:val="08A256DB"/>
    <w:rsid w:val="08A258C0"/>
    <w:rsid w:val="08A258EA"/>
    <w:rsid w:val="08A25987"/>
    <w:rsid w:val="08A25BE2"/>
    <w:rsid w:val="08A25BEB"/>
    <w:rsid w:val="08A25C14"/>
    <w:rsid w:val="08A25C3D"/>
    <w:rsid w:val="08A25CB3"/>
    <w:rsid w:val="08A25CC2"/>
    <w:rsid w:val="08A25D62"/>
    <w:rsid w:val="08A25DBD"/>
    <w:rsid w:val="08A25E0A"/>
    <w:rsid w:val="08A25ED9"/>
    <w:rsid w:val="08A25F0C"/>
    <w:rsid w:val="08A25F3A"/>
    <w:rsid w:val="08A25FFE"/>
    <w:rsid w:val="08A26002"/>
    <w:rsid w:val="08A2617C"/>
    <w:rsid w:val="08A261BF"/>
    <w:rsid w:val="08A2633A"/>
    <w:rsid w:val="08A26540"/>
    <w:rsid w:val="08A26565"/>
    <w:rsid w:val="08A265A5"/>
    <w:rsid w:val="08A265AD"/>
    <w:rsid w:val="08A26632"/>
    <w:rsid w:val="08A26641"/>
    <w:rsid w:val="08A26658"/>
    <w:rsid w:val="08A266DB"/>
    <w:rsid w:val="08A26708"/>
    <w:rsid w:val="08A26773"/>
    <w:rsid w:val="08A267CE"/>
    <w:rsid w:val="08A2682D"/>
    <w:rsid w:val="08A26904"/>
    <w:rsid w:val="08A26941"/>
    <w:rsid w:val="08A269A0"/>
    <w:rsid w:val="08A26A08"/>
    <w:rsid w:val="08A26A4D"/>
    <w:rsid w:val="08A26AC2"/>
    <w:rsid w:val="08A26AF0"/>
    <w:rsid w:val="08A26F02"/>
    <w:rsid w:val="08A26F52"/>
    <w:rsid w:val="08A26F57"/>
    <w:rsid w:val="08A26F58"/>
    <w:rsid w:val="08A26F98"/>
    <w:rsid w:val="08A26FF7"/>
    <w:rsid w:val="08A2701B"/>
    <w:rsid w:val="08A27029"/>
    <w:rsid w:val="08A270CF"/>
    <w:rsid w:val="08A27150"/>
    <w:rsid w:val="08A2715A"/>
    <w:rsid w:val="08A271CF"/>
    <w:rsid w:val="08A27221"/>
    <w:rsid w:val="08A27342"/>
    <w:rsid w:val="08A27388"/>
    <w:rsid w:val="08A27407"/>
    <w:rsid w:val="08A274B8"/>
    <w:rsid w:val="08A27501"/>
    <w:rsid w:val="08A27590"/>
    <w:rsid w:val="08A275B0"/>
    <w:rsid w:val="08A2762E"/>
    <w:rsid w:val="08A276D0"/>
    <w:rsid w:val="08A2772F"/>
    <w:rsid w:val="08A277B8"/>
    <w:rsid w:val="08A277BD"/>
    <w:rsid w:val="08A278BA"/>
    <w:rsid w:val="08A278E2"/>
    <w:rsid w:val="08A2790F"/>
    <w:rsid w:val="08A27912"/>
    <w:rsid w:val="08A27AA4"/>
    <w:rsid w:val="08A27B4E"/>
    <w:rsid w:val="08A27B6C"/>
    <w:rsid w:val="08A27B80"/>
    <w:rsid w:val="08A27BDA"/>
    <w:rsid w:val="08A27BF9"/>
    <w:rsid w:val="08A27C2E"/>
    <w:rsid w:val="08A27CF6"/>
    <w:rsid w:val="08A27D6A"/>
    <w:rsid w:val="08A27D6B"/>
    <w:rsid w:val="08A27E77"/>
    <w:rsid w:val="08A27EF3"/>
    <w:rsid w:val="08A27F3F"/>
    <w:rsid w:val="08A27F41"/>
    <w:rsid w:val="08A3005E"/>
    <w:rsid w:val="08A300B9"/>
    <w:rsid w:val="08A300D1"/>
    <w:rsid w:val="08A30215"/>
    <w:rsid w:val="08A3029A"/>
    <w:rsid w:val="08A302CC"/>
    <w:rsid w:val="08A30336"/>
    <w:rsid w:val="08A30387"/>
    <w:rsid w:val="08A30429"/>
    <w:rsid w:val="08A3049F"/>
    <w:rsid w:val="08A305D8"/>
    <w:rsid w:val="08A305F3"/>
    <w:rsid w:val="08A30629"/>
    <w:rsid w:val="08A30681"/>
    <w:rsid w:val="08A30730"/>
    <w:rsid w:val="08A308C7"/>
    <w:rsid w:val="08A308E6"/>
    <w:rsid w:val="08A3095F"/>
    <w:rsid w:val="08A30970"/>
    <w:rsid w:val="08A30977"/>
    <w:rsid w:val="08A30A5F"/>
    <w:rsid w:val="08A30ACE"/>
    <w:rsid w:val="08A30B08"/>
    <w:rsid w:val="08A30B7E"/>
    <w:rsid w:val="08A30C12"/>
    <w:rsid w:val="08A30C54"/>
    <w:rsid w:val="08A30D34"/>
    <w:rsid w:val="08A30D54"/>
    <w:rsid w:val="08A30F35"/>
    <w:rsid w:val="08A30F67"/>
    <w:rsid w:val="08A310FA"/>
    <w:rsid w:val="08A3112E"/>
    <w:rsid w:val="08A31235"/>
    <w:rsid w:val="08A31283"/>
    <w:rsid w:val="08A312DF"/>
    <w:rsid w:val="08A312F7"/>
    <w:rsid w:val="08A3136C"/>
    <w:rsid w:val="08A31377"/>
    <w:rsid w:val="08A3143F"/>
    <w:rsid w:val="08A31476"/>
    <w:rsid w:val="08A31499"/>
    <w:rsid w:val="08A314E0"/>
    <w:rsid w:val="08A315C7"/>
    <w:rsid w:val="08A31684"/>
    <w:rsid w:val="08A316A8"/>
    <w:rsid w:val="08A316BF"/>
    <w:rsid w:val="08A317B9"/>
    <w:rsid w:val="08A31809"/>
    <w:rsid w:val="08A31919"/>
    <w:rsid w:val="08A31961"/>
    <w:rsid w:val="08A31983"/>
    <w:rsid w:val="08A319B9"/>
    <w:rsid w:val="08A319BB"/>
    <w:rsid w:val="08A319D8"/>
    <w:rsid w:val="08A31A04"/>
    <w:rsid w:val="08A31B44"/>
    <w:rsid w:val="08A31B45"/>
    <w:rsid w:val="08A31B5E"/>
    <w:rsid w:val="08A31C52"/>
    <w:rsid w:val="08A31CB0"/>
    <w:rsid w:val="08A31DB8"/>
    <w:rsid w:val="08A31E6A"/>
    <w:rsid w:val="08A31EB3"/>
    <w:rsid w:val="08A31EB4"/>
    <w:rsid w:val="08A31F1C"/>
    <w:rsid w:val="08A31F58"/>
    <w:rsid w:val="08A31FB7"/>
    <w:rsid w:val="08A3203B"/>
    <w:rsid w:val="08A320E0"/>
    <w:rsid w:val="08A32165"/>
    <w:rsid w:val="08A32495"/>
    <w:rsid w:val="08A3251C"/>
    <w:rsid w:val="08A3256B"/>
    <w:rsid w:val="08A325C5"/>
    <w:rsid w:val="08A32646"/>
    <w:rsid w:val="08A32755"/>
    <w:rsid w:val="08A32808"/>
    <w:rsid w:val="08A328A2"/>
    <w:rsid w:val="08A328C0"/>
    <w:rsid w:val="08A328F4"/>
    <w:rsid w:val="08A329FE"/>
    <w:rsid w:val="08A32A04"/>
    <w:rsid w:val="08A32A75"/>
    <w:rsid w:val="08A32A7E"/>
    <w:rsid w:val="08A32C7C"/>
    <w:rsid w:val="08A32C9A"/>
    <w:rsid w:val="08A32CCA"/>
    <w:rsid w:val="08A32D21"/>
    <w:rsid w:val="08A32E11"/>
    <w:rsid w:val="08A32EEF"/>
    <w:rsid w:val="08A32F50"/>
    <w:rsid w:val="08A32F63"/>
    <w:rsid w:val="08A3315E"/>
    <w:rsid w:val="08A3325A"/>
    <w:rsid w:val="08A33267"/>
    <w:rsid w:val="08A33268"/>
    <w:rsid w:val="08A33289"/>
    <w:rsid w:val="08A3333D"/>
    <w:rsid w:val="08A3337A"/>
    <w:rsid w:val="08A333EB"/>
    <w:rsid w:val="08A3346C"/>
    <w:rsid w:val="08A334D2"/>
    <w:rsid w:val="08A33558"/>
    <w:rsid w:val="08A335A4"/>
    <w:rsid w:val="08A33607"/>
    <w:rsid w:val="08A3360B"/>
    <w:rsid w:val="08A33675"/>
    <w:rsid w:val="08A336B2"/>
    <w:rsid w:val="08A336B5"/>
    <w:rsid w:val="08A336E8"/>
    <w:rsid w:val="08A33715"/>
    <w:rsid w:val="08A33790"/>
    <w:rsid w:val="08A338EB"/>
    <w:rsid w:val="08A338F8"/>
    <w:rsid w:val="08A33A0F"/>
    <w:rsid w:val="08A33A20"/>
    <w:rsid w:val="08A33A72"/>
    <w:rsid w:val="08A33A8E"/>
    <w:rsid w:val="08A33AA7"/>
    <w:rsid w:val="08A33AF3"/>
    <w:rsid w:val="08A33B8A"/>
    <w:rsid w:val="08A33BFF"/>
    <w:rsid w:val="08A33C93"/>
    <w:rsid w:val="08A33CF9"/>
    <w:rsid w:val="08A33DB4"/>
    <w:rsid w:val="08A33E35"/>
    <w:rsid w:val="08A33EBF"/>
    <w:rsid w:val="08A34021"/>
    <w:rsid w:val="08A340F5"/>
    <w:rsid w:val="08A3418C"/>
    <w:rsid w:val="08A34191"/>
    <w:rsid w:val="08A341F1"/>
    <w:rsid w:val="08A341F6"/>
    <w:rsid w:val="08A3434A"/>
    <w:rsid w:val="08A34431"/>
    <w:rsid w:val="08A344FE"/>
    <w:rsid w:val="08A3453E"/>
    <w:rsid w:val="08A34561"/>
    <w:rsid w:val="08A345E1"/>
    <w:rsid w:val="08A34626"/>
    <w:rsid w:val="08A3462C"/>
    <w:rsid w:val="08A3462F"/>
    <w:rsid w:val="08A3468B"/>
    <w:rsid w:val="08A346BA"/>
    <w:rsid w:val="08A347FF"/>
    <w:rsid w:val="08A348A0"/>
    <w:rsid w:val="08A34954"/>
    <w:rsid w:val="08A34971"/>
    <w:rsid w:val="08A34975"/>
    <w:rsid w:val="08A349CC"/>
    <w:rsid w:val="08A34A94"/>
    <w:rsid w:val="08A34AF9"/>
    <w:rsid w:val="08A34B9C"/>
    <w:rsid w:val="08A34C15"/>
    <w:rsid w:val="08A34C7F"/>
    <w:rsid w:val="08A34D11"/>
    <w:rsid w:val="08A34D95"/>
    <w:rsid w:val="08A34DAA"/>
    <w:rsid w:val="08A34E1A"/>
    <w:rsid w:val="08A34E30"/>
    <w:rsid w:val="08A34F85"/>
    <w:rsid w:val="08A351A7"/>
    <w:rsid w:val="08A351EA"/>
    <w:rsid w:val="08A351F1"/>
    <w:rsid w:val="08A35269"/>
    <w:rsid w:val="08A35298"/>
    <w:rsid w:val="08A3529A"/>
    <w:rsid w:val="08A352AC"/>
    <w:rsid w:val="08A352C0"/>
    <w:rsid w:val="08A35403"/>
    <w:rsid w:val="08A354F6"/>
    <w:rsid w:val="08A35513"/>
    <w:rsid w:val="08A355AD"/>
    <w:rsid w:val="08A3569E"/>
    <w:rsid w:val="08A356B8"/>
    <w:rsid w:val="08A357BB"/>
    <w:rsid w:val="08A357BF"/>
    <w:rsid w:val="08A3583C"/>
    <w:rsid w:val="08A35840"/>
    <w:rsid w:val="08A359A0"/>
    <w:rsid w:val="08A35A0D"/>
    <w:rsid w:val="08A35A14"/>
    <w:rsid w:val="08A35ABF"/>
    <w:rsid w:val="08A35B0D"/>
    <w:rsid w:val="08A35C90"/>
    <w:rsid w:val="08A35CC7"/>
    <w:rsid w:val="08A35D70"/>
    <w:rsid w:val="08A35DFD"/>
    <w:rsid w:val="08A35E6D"/>
    <w:rsid w:val="08A35F13"/>
    <w:rsid w:val="08A35FA4"/>
    <w:rsid w:val="08A35FA9"/>
    <w:rsid w:val="08A3609F"/>
    <w:rsid w:val="08A360AE"/>
    <w:rsid w:val="08A3618D"/>
    <w:rsid w:val="08A361D4"/>
    <w:rsid w:val="08A36212"/>
    <w:rsid w:val="08A362C5"/>
    <w:rsid w:val="08A362FB"/>
    <w:rsid w:val="08A36393"/>
    <w:rsid w:val="08A3643A"/>
    <w:rsid w:val="08A36501"/>
    <w:rsid w:val="08A36514"/>
    <w:rsid w:val="08A36572"/>
    <w:rsid w:val="08A365A9"/>
    <w:rsid w:val="08A3666E"/>
    <w:rsid w:val="08A36671"/>
    <w:rsid w:val="08A366DD"/>
    <w:rsid w:val="08A367F3"/>
    <w:rsid w:val="08A36825"/>
    <w:rsid w:val="08A3688E"/>
    <w:rsid w:val="08A368F5"/>
    <w:rsid w:val="08A3696B"/>
    <w:rsid w:val="08A36A98"/>
    <w:rsid w:val="08A36A99"/>
    <w:rsid w:val="08A36A9B"/>
    <w:rsid w:val="08A36B69"/>
    <w:rsid w:val="08A36BBC"/>
    <w:rsid w:val="08A36CA1"/>
    <w:rsid w:val="08A36CB1"/>
    <w:rsid w:val="08A36D4B"/>
    <w:rsid w:val="08A36D6D"/>
    <w:rsid w:val="08A36E00"/>
    <w:rsid w:val="08A36E2A"/>
    <w:rsid w:val="08A36F07"/>
    <w:rsid w:val="08A36F56"/>
    <w:rsid w:val="08A3710B"/>
    <w:rsid w:val="08A37117"/>
    <w:rsid w:val="08A37142"/>
    <w:rsid w:val="08A37183"/>
    <w:rsid w:val="08A3719C"/>
    <w:rsid w:val="08A3722D"/>
    <w:rsid w:val="08A37282"/>
    <w:rsid w:val="08A37284"/>
    <w:rsid w:val="08A372BC"/>
    <w:rsid w:val="08A37366"/>
    <w:rsid w:val="08A375CC"/>
    <w:rsid w:val="08A3764C"/>
    <w:rsid w:val="08A37687"/>
    <w:rsid w:val="08A37753"/>
    <w:rsid w:val="08A377A8"/>
    <w:rsid w:val="08A37880"/>
    <w:rsid w:val="08A37946"/>
    <w:rsid w:val="08A37981"/>
    <w:rsid w:val="08A379BA"/>
    <w:rsid w:val="08A37A3D"/>
    <w:rsid w:val="08A37A4F"/>
    <w:rsid w:val="08A37ACA"/>
    <w:rsid w:val="08A37B40"/>
    <w:rsid w:val="08A37B70"/>
    <w:rsid w:val="08A37D23"/>
    <w:rsid w:val="08A37D9F"/>
    <w:rsid w:val="08A37DD9"/>
    <w:rsid w:val="08A37E0A"/>
    <w:rsid w:val="08A37E99"/>
    <w:rsid w:val="08A37F60"/>
    <w:rsid w:val="08A40006"/>
    <w:rsid w:val="08A40021"/>
    <w:rsid w:val="08A40067"/>
    <w:rsid w:val="08A4007A"/>
    <w:rsid w:val="08A400AA"/>
    <w:rsid w:val="08A400AD"/>
    <w:rsid w:val="08A40142"/>
    <w:rsid w:val="08A401B9"/>
    <w:rsid w:val="08A401BC"/>
    <w:rsid w:val="08A401E1"/>
    <w:rsid w:val="08A40210"/>
    <w:rsid w:val="08A40224"/>
    <w:rsid w:val="08A40249"/>
    <w:rsid w:val="08A40378"/>
    <w:rsid w:val="08A40471"/>
    <w:rsid w:val="08A404B5"/>
    <w:rsid w:val="08A404F4"/>
    <w:rsid w:val="08A4052E"/>
    <w:rsid w:val="08A4055F"/>
    <w:rsid w:val="08A4056B"/>
    <w:rsid w:val="08A4062D"/>
    <w:rsid w:val="08A40766"/>
    <w:rsid w:val="08A40826"/>
    <w:rsid w:val="08A40871"/>
    <w:rsid w:val="08A40881"/>
    <w:rsid w:val="08A408AC"/>
    <w:rsid w:val="08A40950"/>
    <w:rsid w:val="08A4095B"/>
    <w:rsid w:val="08A4097D"/>
    <w:rsid w:val="08A409C4"/>
    <w:rsid w:val="08A40BD3"/>
    <w:rsid w:val="08A40C44"/>
    <w:rsid w:val="08A40C4D"/>
    <w:rsid w:val="08A40CB5"/>
    <w:rsid w:val="08A40D30"/>
    <w:rsid w:val="08A40DBA"/>
    <w:rsid w:val="08A40DCD"/>
    <w:rsid w:val="08A40ECB"/>
    <w:rsid w:val="08A40F0A"/>
    <w:rsid w:val="08A40F2E"/>
    <w:rsid w:val="08A40FCE"/>
    <w:rsid w:val="08A41016"/>
    <w:rsid w:val="08A4103B"/>
    <w:rsid w:val="08A410D8"/>
    <w:rsid w:val="08A4112B"/>
    <w:rsid w:val="08A411C7"/>
    <w:rsid w:val="08A411EF"/>
    <w:rsid w:val="08A411FF"/>
    <w:rsid w:val="08A41234"/>
    <w:rsid w:val="08A4123B"/>
    <w:rsid w:val="08A4124A"/>
    <w:rsid w:val="08A41297"/>
    <w:rsid w:val="08A412B6"/>
    <w:rsid w:val="08A41332"/>
    <w:rsid w:val="08A41378"/>
    <w:rsid w:val="08A413E3"/>
    <w:rsid w:val="08A4146C"/>
    <w:rsid w:val="08A41502"/>
    <w:rsid w:val="08A41528"/>
    <w:rsid w:val="08A4154F"/>
    <w:rsid w:val="08A4169F"/>
    <w:rsid w:val="08A416DB"/>
    <w:rsid w:val="08A417DB"/>
    <w:rsid w:val="08A41981"/>
    <w:rsid w:val="08A4198D"/>
    <w:rsid w:val="08A41A07"/>
    <w:rsid w:val="08A41A46"/>
    <w:rsid w:val="08A41B04"/>
    <w:rsid w:val="08A41B84"/>
    <w:rsid w:val="08A41B9B"/>
    <w:rsid w:val="08A41BEA"/>
    <w:rsid w:val="08A41C62"/>
    <w:rsid w:val="08A41D16"/>
    <w:rsid w:val="08A41D34"/>
    <w:rsid w:val="08A41E08"/>
    <w:rsid w:val="08A42021"/>
    <w:rsid w:val="08A4206A"/>
    <w:rsid w:val="08A420E6"/>
    <w:rsid w:val="08A420F8"/>
    <w:rsid w:val="08A420FB"/>
    <w:rsid w:val="08A42193"/>
    <w:rsid w:val="08A421C8"/>
    <w:rsid w:val="08A42383"/>
    <w:rsid w:val="08A42396"/>
    <w:rsid w:val="08A42428"/>
    <w:rsid w:val="08A424CC"/>
    <w:rsid w:val="08A424E8"/>
    <w:rsid w:val="08A42586"/>
    <w:rsid w:val="08A426E3"/>
    <w:rsid w:val="08A4278B"/>
    <w:rsid w:val="08A427CC"/>
    <w:rsid w:val="08A4288B"/>
    <w:rsid w:val="08A428AD"/>
    <w:rsid w:val="08A428B4"/>
    <w:rsid w:val="08A428CE"/>
    <w:rsid w:val="08A4292B"/>
    <w:rsid w:val="08A4295C"/>
    <w:rsid w:val="08A4297D"/>
    <w:rsid w:val="08A429A6"/>
    <w:rsid w:val="08A42A0D"/>
    <w:rsid w:val="08A42A81"/>
    <w:rsid w:val="08A42BA7"/>
    <w:rsid w:val="08A42BEE"/>
    <w:rsid w:val="08A42BF0"/>
    <w:rsid w:val="08A42C11"/>
    <w:rsid w:val="08A42CFE"/>
    <w:rsid w:val="08A42D8B"/>
    <w:rsid w:val="08A42D97"/>
    <w:rsid w:val="08A42DC5"/>
    <w:rsid w:val="08A42DF8"/>
    <w:rsid w:val="08A42E40"/>
    <w:rsid w:val="08A42E46"/>
    <w:rsid w:val="08A42ED6"/>
    <w:rsid w:val="08A42EEB"/>
    <w:rsid w:val="08A43027"/>
    <w:rsid w:val="08A4315F"/>
    <w:rsid w:val="08A43173"/>
    <w:rsid w:val="08A431AA"/>
    <w:rsid w:val="08A431BE"/>
    <w:rsid w:val="08A431F1"/>
    <w:rsid w:val="08A43288"/>
    <w:rsid w:val="08A4328D"/>
    <w:rsid w:val="08A432D0"/>
    <w:rsid w:val="08A43317"/>
    <w:rsid w:val="08A43450"/>
    <w:rsid w:val="08A434B8"/>
    <w:rsid w:val="08A436E9"/>
    <w:rsid w:val="08A43713"/>
    <w:rsid w:val="08A43783"/>
    <w:rsid w:val="08A43799"/>
    <w:rsid w:val="08A437C4"/>
    <w:rsid w:val="08A4388D"/>
    <w:rsid w:val="08A43919"/>
    <w:rsid w:val="08A4395F"/>
    <w:rsid w:val="08A43989"/>
    <w:rsid w:val="08A43AD5"/>
    <w:rsid w:val="08A43AE0"/>
    <w:rsid w:val="08A43B63"/>
    <w:rsid w:val="08A43B6D"/>
    <w:rsid w:val="08A43BBB"/>
    <w:rsid w:val="08A43CC6"/>
    <w:rsid w:val="08A43DDD"/>
    <w:rsid w:val="08A43E79"/>
    <w:rsid w:val="08A43E99"/>
    <w:rsid w:val="08A43EC1"/>
    <w:rsid w:val="08A43F81"/>
    <w:rsid w:val="08A4402F"/>
    <w:rsid w:val="08A44059"/>
    <w:rsid w:val="08A441EB"/>
    <w:rsid w:val="08A44280"/>
    <w:rsid w:val="08A44307"/>
    <w:rsid w:val="08A4431C"/>
    <w:rsid w:val="08A443C6"/>
    <w:rsid w:val="08A443E7"/>
    <w:rsid w:val="08A4449F"/>
    <w:rsid w:val="08A444B3"/>
    <w:rsid w:val="08A444F7"/>
    <w:rsid w:val="08A44532"/>
    <w:rsid w:val="08A445F5"/>
    <w:rsid w:val="08A44691"/>
    <w:rsid w:val="08A4473E"/>
    <w:rsid w:val="08A4474A"/>
    <w:rsid w:val="08A44792"/>
    <w:rsid w:val="08A44899"/>
    <w:rsid w:val="08A448E7"/>
    <w:rsid w:val="08A448F3"/>
    <w:rsid w:val="08A449AD"/>
    <w:rsid w:val="08A44A52"/>
    <w:rsid w:val="08A44A8E"/>
    <w:rsid w:val="08A44C84"/>
    <w:rsid w:val="08A44CCB"/>
    <w:rsid w:val="08A44D53"/>
    <w:rsid w:val="08A44D6F"/>
    <w:rsid w:val="08A44D83"/>
    <w:rsid w:val="08A44E23"/>
    <w:rsid w:val="08A44E33"/>
    <w:rsid w:val="08A44E54"/>
    <w:rsid w:val="08A44E59"/>
    <w:rsid w:val="08A44ED5"/>
    <w:rsid w:val="08A44F2D"/>
    <w:rsid w:val="08A44F36"/>
    <w:rsid w:val="08A44F5D"/>
    <w:rsid w:val="08A44F82"/>
    <w:rsid w:val="08A44FB3"/>
    <w:rsid w:val="08A4504B"/>
    <w:rsid w:val="08A450C9"/>
    <w:rsid w:val="08A4515F"/>
    <w:rsid w:val="08A451D4"/>
    <w:rsid w:val="08A451EF"/>
    <w:rsid w:val="08A452A6"/>
    <w:rsid w:val="08A45312"/>
    <w:rsid w:val="08A453A3"/>
    <w:rsid w:val="08A45463"/>
    <w:rsid w:val="08A45489"/>
    <w:rsid w:val="08A4549B"/>
    <w:rsid w:val="08A454B9"/>
    <w:rsid w:val="08A45550"/>
    <w:rsid w:val="08A4568B"/>
    <w:rsid w:val="08A456DF"/>
    <w:rsid w:val="08A45760"/>
    <w:rsid w:val="08A457E2"/>
    <w:rsid w:val="08A4580B"/>
    <w:rsid w:val="08A45836"/>
    <w:rsid w:val="08A4591E"/>
    <w:rsid w:val="08A4597B"/>
    <w:rsid w:val="08A459E8"/>
    <w:rsid w:val="08A45C6B"/>
    <w:rsid w:val="08A45C73"/>
    <w:rsid w:val="08A45D1B"/>
    <w:rsid w:val="08A45D1F"/>
    <w:rsid w:val="08A45D36"/>
    <w:rsid w:val="08A45D71"/>
    <w:rsid w:val="08A45E39"/>
    <w:rsid w:val="08A45F18"/>
    <w:rsid w:val="08A46008"/>
    <w:rsid w:val="08A46014"/>
    <w:rsid w:val="08A460E0"/>
    <w:rsid w:val="08A460FE"/>
    <w:rsid w:val="08A461A8"/>
    <w:rsid w:val="08A4626D"/>
    <w:rsid w:val="08A46382"/>
    <w:rsid w:val="08A4641E"/>
    <w:rsid w:val="08A46556"/>
    <w:rsid w:val="08A465E9"/>
    <w:rsid w:val="08A4664D"/>
    <w:rsid w:val="08A46832"/>
    <w:rsid w:val="08A4685E"/>
    <w:rsid w:val="08A46AB7"/>
    <w:rsid w:val="08A46B03"/>
    <w:rsid w:val="08A46B37"/>
    <w:rsid w:val="08A46B51"/>
    <w:rsid w:val="08A46B82"/>
    <w:rsid w:val="08A46BE3"/>
    <w:rsid w:val="08A46CEC"/>
    <w:rsid w:val="08A46E00"/>
    <w:rsid w:val="08A46E29"/>
    <w:rsid w:val="08A46E8A"/>
    <w:rsid w:val="08A46F07"/>
    <w:rsid w:val="08A46FCA"/>
    <w:rsid w:val="08A470F5"/>
    <w:rsid w:val="08A471AD"/>
    <w:rsid w:val="08A471BC"/>
    <w:rsid w:val="08A47386"/>
    <w:rsid w:val="08A473F9"/>
    <w:rsid w:val="08A4747E"/>
    <w:rsid w:val="08A4751E"/>
    <w:rsid w:val="08A47557"/>
    <w:rsid w:val="08A4758B"/>
    <w:rsid w:val="08A475C0"/>
    <w:rsid w:val="08A475F7"/>
    <w:rsid w:val="08A4761C"/>
    <w:rsid w:val="08A4764E"/>
    <w:rsid w:val="08A47693"/>
    <w:rsid w:val="08A4770B"/>
    <w:rsid w:val="08A47747"/>
    <w:rsid w:val="08A47821"/>
    <w:rsid w:val="08A478DC"/>
    <w:rsid w:val="08A47901"/>
    <w:rsid w:val="08A4793A"/>
    <w:rsid w:val="08A47A8F"/>
    <w:rsid w:val="08A47B29"/>
    <w:rsid w:val="08A47B5D"/>
    <w:rsid w:val="08A47C46"/>
    <w:rsid w:val="08A47CB6"/>
    <w:rsid w:val="08A47D48"/>
    <w:rsid w:val="08A47E88"/>
    <w:rsid w:val="08A47EA9"/>
    <w:rsid w:val="08A47ED5"/>
    <w:rsid w:val="08A47EE0"/>
    <w:rsid w:val="08A47F13"/>
    <w:rsid w:val="08A47F1F"/>
    <w:rsid w:val="08A50032"/>
    <w:rsid w:val="08A50042"/>
    <w:rsid w:val="08A502BA"/>
    <w:rsid w:val="08A50323"/>
    <w:rsid w:val="08A50333"/>
    <w:rsid w:val="08A50360"/>
    <w:rsid w:val="08A505F0"/>
    <w:rsid w:val="08A505F8"/>
    <w:rsid w:val="08A5067D"/>
    <w:rsid w:val="08A5068F"/>
    <w:rsid w:val="08A506BA"/>
    <w:rsid w:val="08A50823"/>
    <w:rsid w:val="08A50929"/>
    <w:rsid w:val="08A5092B"/>
    <w:rsid w:val="08A50965"/>
    <w:rsid w:val="08A509D2"/>
    <w:rsid w:val="08A50A1C"/>
    <w:rsid w:val="08A50AEA"/>
    <w:rsid w:val="08A50BA6"/>
    <w:rsid w:val="08A50BE4"/>
    <w:rsid w:val="08A50D82"/>
    <w:rsid w:val="08A50EC1"/>
    <w:rsid w:val="08A50F21"/>
    <w:rsid w:val="08A51037"/>
    <w:rsid w:val="08A5103A"/>
    <w:rsid w:val="08A5106C"/>
    <w:rsid w:val="08A510F0"/>
    <w:rsid w:val="08A511F8"/>
    <w:rsid w:val="08A5136A"/>
    <w:rsid w:val="08A51412"/>
    <w:rsid w:val="08A514DE"/>
    <w:rsid w:val="08A5152C"/>
    <w:rsid w:val="08A5155A"/>
    <w:rsid w:val="08A515A9"/>
    <w:rsid w:val="08A515C8"/>
    <w:rsid w:val="08A51645"/>
    <w:rsid w:val="08A516AB"/>
    <w:rsid w:val="08A516B7"/>
    <w:rsid w:val="08A516BF"/>
    <w:rsid w:val="08A517F4"/>
    <w:rsid w:val="08A518F4"/>
    <w:rsid w:val="08A519A5"/>
    <w:rsid w:val="08A519C0"/>
    <w:rsid w:val="08A519C2"/>
    <w:rsid w:val="08A51A57"/>
    <w:rsid w:val="08A51AE6"/>
    <w:rsid w:val="08A51C57"/>
    <w:rsid w:val="08A51D74"/>
    <w:rsid w:val="08A51DF5"/>
    <w:rsid w:val="08A51F43"/>
    <w:rsid w:val="08A51F9C"/>
    <w:rsid w:val="08A51FB6"/>
    <w:rsid w:val="08A52115"/>
    <w:rsid w:val="08A521D9"/>
    <w:rsid w:val="08A52208"/>
    <w:rsid w:val="08A52251"/>
    <w:rsid w:val="08A52253"/>
    <w:rsid w:val="08A5229B"/>
    <w:rsid w:val="08A52322"/>
    <w:rsid w:val="08A52349"/>
    <w:rsid w:val="08A5237E"/>
    <w:rsid w:val="08A523BB"/>
    <w:rsid w:val="08A524D8"/>
    <w:rsid w:val="08A5265A"/>
    <w:rsid w:val="08A52697"/>
    <w:rsid w:val="08A526B1"/>
    <w:rsid w:val="08A52719"/>
    <w:rsid w:val="08A52733"/>
    <w:rsid w:val="08A527E5"/>
    <w:rsid w:val="08A52875"/>
    <w:rsid w:val="08A5287C"/>
    <w:rsid w:val="08A528B0"/>
    <w:rsid w:val="08A528B2"/>
    <w:rsid w:val="08A52AAB"/>
    <w:rsid w:val="08A52ADD"/>
    <w:rsid w:val="08A52AE7"/>
    <w:rsid w:val="08A52AEA"/>
    <w:rsid w:val="08A52B7F"/>
    <w:rsid w:val="08A52BCF"/>
    <w:rsid w:val="08A52BD2"/>
    <w:rsid w:val="08A52C01"/>
    <w:rsid w:val="08A52C24"/>
    <w:rsid w:val="08A52C6F"/>
    <w:rsid w:val="08A52C7C"/>
    <w:rsid w:val="08A52D09"/>
    <w:rsid w:val="08A52E5D"/>
    <w:rsid w:val="08A52EBC"/>
    <w:rsid w:val="08A52FD7"/>
    <w:rsid w:val="08A53022"/>
    <w:rsid w:val="08A53066"/>
    <w:rsid w:val="08A53082"/>
    <w:rsid w:val="08A530AE"/>
    <w:rsid w:val="08A5313B"/>
    <w:rsid w:val="08A531A2"/>
    <w:rsid w:val="08A531B1"/>
    <w:rsid w:val="08A531DD"/>
    <w:rsid w:val="08A531E1"/>
    <w:rsid w:val="08A5322F"/>
    <w:rsid w:val="08A5329D"/>
    <w:rsid w:val="08A53329"/>
    <w:rsid w:val="08A53339"/>
    <w:rsid w:val="08A53388"/>
    <w:rsid w:val="08A533C7"/>
    <w:rsid w:val="08A53404"/>
    <w:rsid w:val="08A53540"/>
    <w:rsid w:val="08A53645"/>
    <w:rsid w:val="08A53757"/>
    <w:rsid w:val="08A5377F"/>
    <w:rsid w:val="08A538B0"/>
    <w:rsid w:val="08A538BC"/>
    <w:rsid w:val="08A538D2"/>
    <w:rsid w:val="08A5390C"/>
    <w:rsid w:val="08A5391A"/>
    <w:rsid w:val="08A539C9"/>
    <w:rsid w:val="08A539F6"/>
    <w:rsid w:val="08A53A13"/>
    <w:rsid w:val="08A53AA0"/>
    <w:rsid w:val="08A53B42"/>
    <w:rsid w:val="08A53BBD"/>
    <w:rsid w:val="08A53CB0"/>
    <w:rsid w:val="08A53D88"/>
    <w:rsid w:val="08A53E16"/>
    <w:rsid w:val="08A53E50"/>
    <w:rsid w:val="08A53F40"/>
    <w:rsid w:val="08A53F45"/>
    <w:rsid w:val="08A540D4"/>
    <w:rsid w:val="08A540FA"/>
    <w:rsid w:val="08A5410D"/>
    <w:rsid w:val="08A54137"/>
    <w:rsid w:val="08A54159"/>
    <w:rsid w:val="08A541A8"/>
    <w:rsid w:val="08A541C7"/>
    <w:rsid w:val="08A54220"/>
    <w:rsid w:val="08A5422B"/>
    <w:rsid w:val="08A5425D"/>
    <w:rsid w:val="08A543EA"/>
    <w:rsid w:val="08A544C5"/>
    <w:rsid w:val="08A54516"/>
    <w:rsid w:val="08A5461A"/>
    <w:rsid w:val="08A546B0"/>
    <w:rsid w:val="08A546C0"/>
    <w:rsid w:val="08A54910"/>
    <w:rsid w:val="08A54920"/>
    <w:rsid w:val="08A54938"/>
    <w:rsid w:val="08A54962"/>
    <w:rsid w:val="08A549F3"/>
    <w:rsid w:val="08A54A0D"/>
    <w:rsid w:val="08A54B67"/>
    <w:rsid w:val="08A54B76"/>
    <w:rsid w:val="08A54CF6"/>
    <w:rsid w:val="08A54DEB"/>
    <w:rsid w:val="08A54E0B"/>
    <w:rsid w:val="08A54F07"/>
    <w:rsid w:val="08A54F23"/>
    <w:rsid w:val="08A54FB0"/>
    <w:rsid w:val="08A5509A"/>
    <w:rsid w:val="08A55198"/>
    <w:rsid w:val="08A551A7"/>
    <w:rsid w:val="08A551AE"/>
    <w:rsid w:val="08A551CE"/>
    <w:rsid w:val="08A551F3"/>
    <w:rsid w:val="08A55262"/>
    <w:rsid w:val="08A55291"/>
    <w:rsid w:val="08A55321"/>
    <w:rsid w:val="08A55389"/>
    <w:rsid w:val="08A55440"/>
    <w:rsid w:val="08A554F8"/>
    <w:rsid w:val="08A55500"/>
    <w:rsid w:val="08A555AE"/>
    <w:rsid w:val="08A555C4"/>
    <w:rsid w:val="08A555D4"/>
    <w:rsid w:val="08A55615"/>
    <w:rsid w:val="08A5565F"/>
    <w:rsid w:val="08A556FD"/>
    <w:rsid w:val="08A55792"/>
    <w:rsid w:val="08A55996"/>
    <w:rsid w:val="08A559D6"/>
    <w:rsid w:val="08A55A72"/>
    <w:rsid w:val="08A55AA7"/>
    <w:rsid w:val="08A55B70"/>
    <w:rsid w:val="08A55B81"/>
    <w:rsid w:val="08A55BC3"/>
    <w:rsid w:val="08A55C27"/>
    <w:rsid w:val="08A55CDD"/>
    <w:rsid w:val="08A55CF2"/>
    <w:rsid w:val="08A55D1E"/>
    <w:rsid w:val="08A55D4F"/>
    <w:rsid w:val="08A55D58"/>
    <w:rsid w:val="08A55D9F"/>
    <w:rsid w:val="08A55E46"/>
    <w:rsid w:val="08A55FD5"/>
    <w:rsid w:val="08A56025"/>
    <w:rsid w:val="08A560AA"/>
    <w:rsid w:val="08A560D8"/>
    <w:rsid w:val="08A56199"/>
    <w:rsid w:val="08A5631F"/>
    <w:rsid w:val="08A5643D"/>
    <w:rsid w:val="08A564CD"/>
    <w:rsid w:val="08A56516"/>
    <w:rsid w:val="08A5653A"/>
    <w:rsid w:val="08A56551"/>
    <w:rsid w:val="08A56555"/>
    <w:rsid w:val="08A566BB"/>
    <w:rsid w:val="08A5675A"/>
    <w:rsid w:val="08A56761"/>
    <w:rsid w:val="08A56783"/>
    <w:rsid w:val="08A56939"/>
    <w:rsid w:val="08A569A4"/>
    <w:rsid w:val="08A56B02"/>
    <w:rsid w:val="08A56B8A"/>
    <w:rsid w:val="08A56C72"/>
    <w:rsid w:val="08A56CE3"/>
    <w:rsid w:val="08A56D6F"/>
    <w:rsid w:val="08A56E45"/>
    <w:rsid w:val="08A56F01"/>
    <w:rsid w:val="08A56FF9"/>
    <w:rsid w:val="08A57048"/>
    <w:rsid w:val="08A5704A"/>
    <w:rsid w:val="08A57059"/>
    <w:rsid w:val="08A57289"/>
    <w:rsid w:val="08A57298"/>
    <w:rsid w:val="08A57306"/>
    <w:rsid w:val="08A57495"/>
    <w:rsid w:val="08A57515"/>
    <w:rsid w:val="08A57582"/>
    <w:rsid w:val="08A57597"/>
    <w:rsid w:val="08A575E9"/>
    <w:rsid w:val="08A57651"/>
    <w:rsid w:val="08A5770C"/>
    <w:rsid w:val="08A5773D"/>
    <w:rsid w:val="08A57755"/>
    <w:rsid w:val="08A577E5"/>
    <w:rsid w:val="08A577E7"/>
    <w:rsid w:val="08A5790B"/>
    <w:rsid w:val="08A57A23"/>
    <w:rsid w:val="08A57A46"/>
    <w:rsid w:val="08A57A69"/>
    <w:rsid w:val="08A57AAD"/>
    <w:rsid w:val="08A57AC5"/>
    <w:rsid w:val="08A57B31"/>
    <w:rsid w:val="08A57B43"/>
    <w:rsid w:val="08A57B75"/>
    <w:rsid w:val="08A57BBA"/>
    <w:rsid w:val="08A57C1E"/>
    <w:rsid w:val="08A57D0B"/>
    <w:rsid w:val="08A57D53"/>
    <w:rsid w:val="08A57D71"/>
    <w:rsid w:val="08A57D92"/>
    <w:rsid w:val="08A57DF8"/>
    <w:rsid w:val="08A57EAC"/>
    <w:rsid w:val="08A57EC5"/>
    <w:rsid w:val="08A57EE4"/>
    <w:rsid w:val="08A57EF0"/>
    <w:rsid w:val="08A57F65"/>
    <w:rsid w:val="08A57F84"/>
    <w:rsid w:val="08A57FA0"/>
    <w:rsid w:val="08A600A9"/>
    <w:rsid w:val="08A600CF"/>
    <w:rsid w:val="08A60119"/>
    <w:rsid w:val="08A60224"/>
    <w:rsid w:val="08A602CD"/>
    <w:rsid w:val="08A60320"/>
    <w:rsid w:val="08A603D6"/>
    <w:rsid w:val="08A60551"/>
    <w:rsid w:val="08A60569"/>
    <w:rsid w:val="08A60597"/>
    <w:rsid w:val="08A605B9"/>
    <w:rsid w:val="08A60623"/>
    <w:rsid w:val="08A60680"/>
    <w:rsid w:val="08A606D2"/>
    <w:rsid w:val="08A606EC"/>
    <w:rsid w:val="08A606F9"/>
    <w:rsid w:val="08A6070F"/>
    <w:rsid w:val="08A607B6"/>
    <w:rsid w:val="08A608A8"/>
    <w:rsid w:val="08A608CD"/>
    <w:rsid w:val="08A60939"/>
    <w:rsid w:val="08A6095E"/>
    <w:rsid w:val="08A60A5F"/>
    <w:rsid w:val="08A60C58"/>
    <w:rsid w:val="08A60D58"/>
    <w:rsid w:val="08A60D5A"/>
    <w:rsid w:val="08A60D91"/>
    <w:rsid w:val="08A60D93"/>
    <w:rsid w:val="08A60DFF"/>
    <w:rsid w:val="08A60F82"/>
    <w:rsid w:val="08A60F98"/>
    <w:rsid w:val="08A61037"/>
    <w:rsid w:val="08A61056"/>
    <w:rsid w:val="08A6110A"/>
    <w:rsid w:val="08A61184"/>
    <w:rsid w:val="08A611A2"/>
    <w:rsid w:val="08A611A6"/>
    <w:rsid w:val="08A6121D"/>
    <w:rsid w:val="08A61307"/>
    <w:rsid w:val="08A61320"/>
    <w:rsid w:val="08A6132B"/>
    <w:rsid w:val="08A61516"/>
    <w:rsid w:val="08A61519"/>
    <w:rsid w:val="08A61580"/>
    <w:rsid w:val="08A6164E"/>
    <w:rsid w:val="08A616B8"/>
    <w:rsid w:val="08A616DC"/>
    <w:rsid w:val="08A61C95"/>
    <w:rsid w:val="08A61CC8"/>
    <w:rsid w:val="08A61DD5"/>
    <w:rsid w:val="08A61E3B"/>
    <w:rsid w:val="08A61E41"/>
    <w:rsid w:val="08A61EF6"/>
    <w:rsid w:val="08A61EF7"/>
    <w:rsid w:val="08A61FA1"/>
    <w:rsid w:val="08A62027"/>
    <w:rsid w:val="08A621D9"/>
    <w:rsid w:val="08A62205"/>
    <w:rsid w:val="08A6224C"/>
    <w:rsid w:val="08A6226C"/>
    <w:rsid w:val="08A6249A"/>
    <w:rsid w:val="08A624D6"/>
    <w:rsid w:val="08A624DB"/>
    <w:rsid w:val="08A6257A"/>
    <w:rsid w:val="08A625B6"/>
    <w:rsid w:val="08A625DC"/>
    <w:rsid w:val="08A625FB"/>
    <w:rsid w:val="08A62615"/>
    <w:rsid w:val="08A62645"/>
    <w:rsid w:val="08A62794"/>
    <w:rsid w:val="08A627AB"/>
    <w:rsid w:val="08A629BA"/>
    <w:rsid w:val="08A629D7"/>
    <w:rsid w:val="08A62A22"/>
    <w:rsid w:val="08A62A59"/>
    <w:rsid w:val="08A62AE6"/>
    <w:rsid w:val="08A62BE1"/>
    <w:rsid w:val="08A62C8E"/>
    <w:rsid w:val="08A62D1A"/>
    <w:rsid w:val="08A62E3E"/>
    <w:rsid w:val="08A62E51"/>
    <w:rsid w:val="08A62E5F"/>
    <w:rsid w:val="08A62EC0"/>
    <w:rsid w:val="08A6300C"/>
    <w:rsid w:val="08A63027"/>
    <w:rsid w:val="08A63233"/>
    <w:rsid w:val="08A63250"/>
    <w:rsid w:val="08A63261"/>
    <w:rsid w:val="08A632B0"/>
    <w:rsid w:val="08A632D4"/>
    <w:rsid w:val="08A633A9"/>
    <w:rsid w:val="08A633BD"/>
    <w:rsid w:val="08A63602"/>
    <w:rsid w:val="08A63693"/>
    <w:rsid w:val="08A636FF"/>
    <w:rsid w:val="08A63932"/>
    <w:rsid w:val="08A63980"/>
    <w:rsid w:val="08A639AF"/>
    <w:rsid w:val="08A63B15"/>
    <w:rsid w:val="08A63B38"/>
    <w:rsid w:val="08A63C36"/>
    <w:rsid w:val="08A63C9B"/>
    <w:rsid w:val="08A63CA7"/>
    <w:rsid w:val="08A63CAB"/>
    <w:rsid w:val="08A63D2C"/>
    <w:rsid w:val="08A63D6C"/>
    <w:rsid w:val="08A63DAF"/>
    <w:rsid w:val="08A63E79"/>
    <w:rsid w:val="08A63EAE"/>
    <w:rsid w:val="08A63ECD"/>
    <w:rsid w:val="08A63EE8"/>
    <w:rsid w:val="08A63F67"/>
    <w:rsid w:val="08A63FD9"/>
    <w:rsid w:val="08A64052"/>
    <w:rsid w:val="08A6406E"/>
    <w:rsid w:val="08A64180"/>
    <w:rsid w:val="08A642A8"/>
    <w:rsid w:val="08A642AE"/>
    <w:rsid w:val="08A642B5"/>
    <w:rsid w:val="08A643A8"/>
    <w:rsid w:val="08A64429"/>
    <w:rsid w:val="08A64498"/>
    <w:rsid w:val="08A644E0"/>
    <w:rsid w:val="08A64536"/>
    <w:rsid w:val="08A6453A"/>
    <w:rsid w:val="08A645A9"/>
    <w:rsid w:val="08A64637"/>
    <w:rsid w:val="08A64688"/>
    <w:rsid w:val="08A646A3"/>
    <w:rsid w:val="08A64702"/>
    <w:rsid w:val="08A64744"/>
    <w:rsid w:val="08A64753"/>
    <w:rsid w:val="08A647AC"/>
    <w:rsid w:val="08A64802"/>
    <w:rsid w:val="08A64882"/>
    <w:rsid w:val="08A6489D"/>
    <w:rsid w:val="08A64968"/>
    <w:rsid w:val="08A64ACB"/>
    <w:rsid w:val="08A64ADE"/>
    <w:rsid w:val="08A64BD6"/>
    <w:rsid w:val="08A64C2A"/>
    <w:rsid w:val="08A64C2F"/>
    <w:rsid w:val="08A64C4F"/>
    <w:rsid w:val="08A64CAC"/>
    <w:rsid w:val="08A64CB0"/>
    <w:rsid w:val="08A64CF2"/>
    <w:rsid w:val="08A64D3F"/>
    <w:rsid w:val="08A64DB0"/>
    <w:rsid w:val="08A64DB6"/>
    <w:rsid w:val="08A64DC2"/>
    <w:rsid w:val="08A64E1F"/>
    <w:rsid w:val="08A64EAC"/>
    <w:rsid w:val="08A64EB0"/>
    <w:rsid w:val="08A65035"/>
    <w:rsid w:val="08A650FD"/>
    <w:rsid w:val="08A651B5"/>
    <w:rsid w:val="08A652C5"/>
    <w:rsid w:val="08A65347"/>
    <w:rsid w:val="08A65384"/>
    <w:rsid w:val="08A653A8"/>
    <w:rsid w:val="08A653F4"/>
    <w:rsid w:val="08A6542A"/>
    <w:rsid w:val="08A65479"/>
    <w:rsid w:val="08A65499"/>
    <w:rsid w:val="08A654B7"/>
    <w:rsid w:val="08A654E8"/>
    <w:rsid w:val="08A65636"/>
    <w:rsid w:val="08A65660"/>
    <w:rsid w:val="08A65666"/>
    <w:rsid w:val="08A656D4"/>
    <w:rsid w:val="08A656E5"/>
    <w:rsid w:val="08A656EB"/>
    <w:rsid w:val="08A65769"/>
    <w:rsid w:val="08A65795"/>
    <w:rsid w:val="08A657E2"/>
    <w:rsid w:val="08A65868"/>
    <w:rsid w:val="08A6593B"/>
    <w:rsid w:val="08A6597B"/>
    <w:rsid w:val="08A6598F"/>
    <w:rsid w:val="08A659A0"/>
    <w:rsid w:val="08A659E5"/>
    <w:rsid w:val="08A659FA"/>
    <w:rsid w:val="08A65A10"/>
    <w:rsid w:val="08A65A7A"/>
    <w:rsid w:val="08A65B6E"/>
    <w:rsid w:val="08A65C44"/>
    <w:rsid w:val="08A65C53"/>
    <w:rsid w:val="08A65C59"/>
    <w:rsid w:val="08A65C8B"/>
    <w:rsid w:val="08A65D76"/>
    <w:rsid w:val="08A65F3F"/>
    <w:rsid w:val="08A65F5F"/>
    <w:rsid w:val="08A65FF5"/>
    <w:rsid w:val="08A66114"/>
    <w:rsid w:val="08A66167"/>
    <w:rsid w:val="08A66194"/>
    <w:rsid w:val="08A66317"/>
    <w:rsid w:val="08A6645C"/>
    <w:rsid w:val="08A6645E"/>
    <w:rsid w:val="08A666B7"/>
    <w:rsid w:val="08A6678C"/>
    <w:rsid w:val="08A6679F"/>
    <w:rsid w:val="08A667AA"/>
    <w:rsid w:val="08A66822"/>
    <w:rsid w:val="08A6683A"/>
    <w:rsid w:val="08A6688E"/>
    <w:rsid w:val="08A668DA"/>
    <w:rsid w:val="08A66943"/>
    <w:rsid w:val="08A66958"/>
    <w:rsid w:val="08A66A8D"/>
    <w:rsid w:val="08A66ADB"/>
    <w:rsid w:val="08A66C04"/>
    <w:rsid w:val="08A66C54"/>
    <w:rsid w:val="08A66D04"/>
    <w:rsid w:val="08A66D85"/>
    <w:rsid w:val="08A66E10"/>
    <w:rsid w:val="08A66E9D"/>
    <w:rsid w:val="08A66ECF"/>
    <w:rsid w:val="08A66F23"/>
    <w:rsid w:val="08A6710F"/>
    <w:rsid w:val="08A67216"/>
    <w:rsid w:val="08A67248"/>
    <w:rsid w:val="08A672A5"/>
    <w:rsid w:val="08A672FA"/>
    <w:rsid w:val="08A67354"/>
    <w:rsid w:val="08A6735B"/>
    <w:rsid w:val="08A67371"/>
    <w:rsid w:val="08A673B7"/>
    <w:rsid w:val="08A674A1"/>
    <w:rsid w:val="08A67681"/>
    <w:rsid w:val="08A6770C"/>
    <w:rsid w:val="08A6778D"/>
    <w:rsid w:val="08A67808"/>
    <w:rsid w:val="08A6787E"/>
    <w:rsid w:val="08A678DB"/>
    <w:rsid w:val="08A67905"/>
    <w:rsid w:val="08A67918"/>
    <w:rsid w:val="08A679D8"/>
    <w:rsid w:val="08A67A4C"/>
    <w:rsid w:val="08A67B04"/>
    <w:rsid w:val="08A67B93"/>
    <w:rsid w:val="08A67C14"/>
    <w:rsid w:val="08A67C8E"/>
    <w:rsid w:val="08A67CD4"/>
    <w:rsid w:val="08A67D20"/>
    <w:rsid w:val="08A67D38"/>
    <w:rsid w:val="08A67E20"/>
    <w:rsid w:val="08A67E9E"/>
    <w:rsid w:val="08A67EBA"/>
    <w:rsid w:val="08A67FD3"/>
    <w:rsid w:val="08A700CE"/>
    <w:rsid w:val="08A701DD"/>
    <w:rsid w:val="08A702AE"/>
    <w:rsid w:val="08A702E1"/>
    <w:rsid w:val="08A703C1"/>
    <w:rsid w:val="08A703F3"/>
    <w:rsid w:val="08A70458"/>
    <w:rsid w:val="08A70498"/>
    <w:rsid w:val="08A704AA"/>
    <w:rsid w:val="08A70708"/>
    <w:rsid w:val="08A70805"/>
    <w:rsid w:val="08A70871"/>
    <w:rsid w:val="08A70955"/>
    <w:rsid w:val="08A70AE6"/>
    <w:rsid w:val="08A70B45"/>
    <w:rsid w:val="08A70B64"/>
    <w:rsid w:val="08A70B77"/>
    <w:rsid w:val="08A70C43"/>
    <w:rsid w:val="08A70D46"/>
    <w:rsid w:val="08A70D88"/>
    <w:rsid w:val="08A70DB5"/>
    <w:rsid w:val="08A70E9C"/>
    <w:rsid w:val="08A70F25"/>
    <w:rsid w:val="08A70F61"/>
    <w:rsid w:val="08A70F9F"/>
    <w:rsid w:val="08A70FA0"/>
    <w:rsid w:val="08A70FED"/>
    <w:rsid w:val="08A71064"/>
    <w:rsid w:val="08A7121C"/>
    <w:rsid w:val="08A7122D"/>
    <w:rsid w:val="08A712EF"/>
    <w:rsid w:val="08A71355"/>
    <w:rsid w:val="08A71483"/>
    <w:rsid w:val="08A714C6"/>
    <w:rsid w:val="08A714CB"/>
    <w:rsid w:val="08A71539"/>
    <w:rsid w:val="08A71593"/>
    <w:rsid w:val="08A7162F"/>
    <w:rsid w:val="08A71698"/>
    <w:rsid w:val="08A717C9"/>
    <w:rsid w:val="08A71815"/>
    <w:rsid w:val="08A71821"/>
    <w:rsid w:val="08A7184C"/>
    <w:rsid w:val="08A718ED"/>
    <w:rsid w:val="08A71923"/>
    <w:rsid w:val="08A7196B"/>
    <w:rsid w:val="08A71B09"/>
    <w:rsid w:val="08A71B37"/>
    <w:rsid w:val="08A71C0A"/>
    <w:rsid w:val="08A71CA2"/>
    <w:rsid w:val="08A71CBE"/>
    <w:rsid w:val="08A71D1A"/>
    <w:rsid w:val="08A71DF4"/>
    <w:rsid w:val="08A71E73"/>
    <w:rsid w:val="08A71FFD"/>
    <w:rsid w:val="08A7216E"/>
    <w:rsid w:val="08A72203"/>
    <w:rsid w:val="08A7224C"/>
    <w:rsid w:val="08A722E1"/>
    <w:rsid w:val="08A723A2"/>
    <w:rsid w:val="08A723AC"/>
    <w:rsid w:val="08A723D9"/>
    <w:rsid w:val="08A723F1"/>
    <w:rsid w:val="08A72468"/>
    <w:rsid w:val="08A725C6"/>
    <w:rsid w:val="08A7262F"/>
    <w:rsid w:val="08A72728"/>
    <w:rsid w:val="08A72797"/>
    <w:rsid w:val="08A728D4"/>
    <w:rsid w:val="08A728EC"/>
    <w:rsid w:val="08A72918"/>
    <w:rsid w:val="08A7297C"/>
    <w:rsid w:val="08A7297E"/>
    <w:rsid w:val="08A729D5"/>
    <w:rsid w:val="08A729E7"/>
    <w:rsid w:val="08A72A30"/>
    <w:rsid w:val="08A72A36"/>
    <w:rsid w:val="08A72A5A"/>
    <w:rsid w:val="08A72AA8"/>
    <w:rsid w:val="08A72B45"/>
    <w:rsid w:val="08A72C21"/>
    <w:rsid w:val="08A72C5A"/>
    <w:rsid w:val="08A72D7B"/>
    <w:rsid w:val="08A72DC9"/>
    <w:rsid w:val="08A72E86"/>
    <w:rsid w:val="08A72F3A"/>
    <w:rsid w:val="08A72FF4"/>
    <w:rsid w:val="08A73032"/>
    <w:rsid w:val="08A7303E"/>
    <w:rsid w:val="08A730AD"/>
    <w:rsid w:val="08A730B8"/>
    <w:rsid w:val="08A730C2"/>
    <w:rsid w:val="08A73116"/>
    <w:rsid w:val="08A7313D"/>
    <w:rsid w:val="08A7316C"/>
    <w:rsid w:val="08A7319C"/>
    <w:rsid w:val="08A7326A"/>
    <w:rsid w:val="08A732D3"/>
    <w:rsid w:val="08A733CA"/>
    <w:rsid w:val="08A733CC"/>
    <w:rsid w:val="08A733D5"/>
    <w:rsid w:val="08A73453"/>
    <w:rsid w:val="08A73456"/>
    <w:rsid w:val="08A7348B"/>
    <w:rsid w:val="08A7348C"/>
    <w:rsid w:val="08A734C7"/>
    <w:rsid w:val="08A73624"/>
    <w:rsid w:val="08A73663"/>
    <w:rsid w:val="08A73716"/>
    <w:rsid w:val="08A7375A"/>
    <w:rsid w:val="08A737BC"/>
    <w:rsid w:val="08A737F1"/>
    <w:rsid w:val="08A73838"/>
    <w:rsid w:val="08A7392B"/>
    <w:rsid w:val="08A73931"/>
    <w:rsid w:val="08A7396D"/>
    <w:rsid w:val="08A73B23"/>
    <w:rsid w:val="08A73B6C"/>
    <w:rsid w:val="08A73BBF"/>
    <w:rsid w:val="08A73BD7"/>
    <w:rsid w:val="08A73C39"/>
    <w:rsid w:val="08A73D17"/>
    <w:rsid w:val="08A73D4C"/>
    <w:rsid w:val="08A73D5E"/>
    <w:rsid w:val="08A73E32"/>
    <w:rsid w:val="08A73ECD"/>
    <w:rsid w:val="08A73F1E"/>
    <w:rsid w:val="08A73F22"/>
    <w:rsid w:val="08A7402D"/>
    <w:rsid w:val="08A740BF"/>
    <w:rsid w:val="08A740C2"/>
    <w:rsid w:val="08A74143"/>
    <w:rsid w:val="08A74182"/>
    <w:rsid w:val="08A741F4"/>
    <w:rsid w:val="08A74207"/>
    <w:rsid w:val="08A7422B"/>
    <w:rsid w:val="08A7430D"/>
    <w:rsid w:val="08A74397"/>
    <w:rsid w:val="08A7444D"/>
    <w:rsid w:val="08A74454"/>
    <w:rsid w:val="08A7449E"/>
    <w:rsid w:val="08A74626"/>
    <w:rsid w:val="08A746EE"/>
    <w:rsid w:val="08A74724"/>
    <w:rsid w:val="08A747FE"/>
    <w:rsid w:val="08A74826"/>
    <w:rsid w:val="08A74828"/>
    <w:rsid w:val="08A7488C"/>
    <w:rsid w:val="08A749F3"/>
    <w:rsid w:val="08A74A1D"/>
    <w:rsid w:val="08A74AC2"/>
    <w:rsid w:val="08A74B10"/>
    <w:rsid w:val="08A74B6B"/>
    <w:rsid w:val="08A74BA6"/>
    <w:rsid w:val="08A74BE7"/>
    <w:rsid w:val="08A74C02"/>
    <w:rsid w:val="08A74CB0"/>
    <w:rsid w:val="08A74D47"/>
    <w:rsid w:val="08A74F86"/>
    <w:rsid w:val="08A7502B"/>
    <w:rsid w:val="08A7502D"/>
    <w:rsid w:val="08A751B4"/>
    <w:rsid w:val="08A75223"/>
    <w:rsid w:val="08A7525A"/>
    <w:rsid w:val="08A7529C"/>
    <w:rsid w:val="08A752D1"/>
    <w:rsid w:val="08A7531F"/>
    <w:rsid w:val="08A75346"/>
    <w:rsid w:val="08A75403"/>
    <w:rsid w:val="08A75464"/>
    <w:rsid w:val="08A75465"/>
    <w:rsid w:val="08A75496"/>
    <w:rsid w:val="08A75579"/>
    <w:rsid w:val="08A755A9"/>
    <w:rsid w:val="08A755F7"/>
    <w:rsid w:val="08A7563E"/>
    <w:rsid w:val="08A7564F"/>
    <w:rsid w:val="08A757A1"/>
    <w:rsid w:val="08A75809"/>
    <w:rsid w:val="08A75834"/>
    <w:rsid w:val="08A758B0"/>
    <w:rsid w:val="08A7594D"/>
    <w:rsid w:val="08A75954"/>
    <w:rsid w:val="08A7599D"/>
    <w:rsid w:val="08A75AB1"/>
    <w:rsid w:val="08A75AE0"/>
    <w:rsid w:val="08A75B3A"/>
    <w:rsid w:val="08A75B78"/>
    <w:rsid w:val="08A75B9C"/>
    <w:rsid w:val="08A75C31"/>
    <w:rsid w:val="08A75C9F"/>
    <w:rsid w:val="08A75CB1"/>
    <w:rsid w:val="08A75D6A"/>
    <w:rsid w:val="08A75D7B"/>
    <w:rsid w:val="08A75DE4"/>
    <w:rsid w:val="08A75DE6"/>
    <w:rsid w:val="08A75EC4"/>
    <w:rsid w:val="08A760C5"/>
    <w:rsid w:val="08A76187"/>
    <w:rsid w:val="08A76259"/>
    <w:rsid w:val="08A763DE"/>
    <w:rsid w:val="08A763F6"/>
    <w:rsid w:val="08A76436"/>
    <w:rsid w:val="08A76512"/>
    <w:rsid w:val="08A76523"/>
    <w:rsid w:val="08A7653D"/>
    <w:rsid w:val="08A7655A"/>
    <w:rsid w:val="08A76597"/>
    <w:rsid w:val="08A765BC"/>
    <w:rsid w:val="08A765DF"/>
    <w:rsid w:val="08A76763"/>
    <w:rsid w:val="08A768F9"/>
    <w:rsid w:val="08A76926"/>
    <w:rsid w:val="08A769A2"/>
    <w:rsid w:val="08A769C0"/>
    <w:rsid w:val="08A76A34"/>
    <w:rsid w:val="08A76A65"/>
    <w:rsid w:val="08A76B43"/>
    <w:rsid w:val="08A76B47"/>
    <w:rsid w:val="08A76B9D"/>
    <w:rsid w:val="08A76BD1"/>
    <w:rsid w:val="08A76C0B"/>
    <w:rsid w:val="08A76C33"/>
    <w:rsid w:val="08A76C8E"/>
    <w:rsid w:val="08A76D13"/>
    <w:rsid w:val="08A76D26"/>
    <w:rsid w:val="08A76D48"/>
    <w:rsid w:val="08A76FBC"/>
    <w:rsid w:val="08A76FE9"/>
    <w:rsid w:val="08A76FEA"/>
    <w:rsid w:val="08A771AE"/>
    <w:rsid w:val="08A7722A"/>
    <w:rsid w:val="08A7735B"/>
    <w:rsid w:val="08A7745A"/>
    <w:rsid w:val="08A775EA"/>
    <w:rsid w:val="08A77715"/>
    <w:rsid w:val="08A77744"/>
    <w:rsid w:val="08A777EF"/>
    <w:rsid w:val="08A77804"/>
    <w:rsid w:val="08A77826"/>
    <w:rsid w:val="08A7787E"/>
    <w:rsid w:val="08A77A60"/>
    <w:rsid w:val="08A77A8C"/>
    <w:rsid w:val="08A77A8F"/>
    <w:rsid w:val="08A77AE3"/>
    <w:rsid w:val="08A77C2D"/>
    <w:rsid w:val="08A77C84"/>
    <w:rsid w:val="08A77CCB"/>
    <w:rsid w:val="08A77CEB"/>
    <w:rsid w:val="08A77D7C"/>
    <w:rsid w:val="08A77D8D"/>
    <w:rsid w:val="08A77E79"/>
    <w:rsid w:val="08A77EDB"/>
    <w:rsid w:val="08A77F6F"/>
    <w:rsid w:val="08A77F8B"/>
    <w:rsid w:val="08A77F94"/>
    <w:rsid w:val="08A80200"/>
    <w:rsid w:val="08A80232"/>
    <w:rsid w:val="08A80380"/>
    <w:rsid w:val="08A80381"/>
    <w:rsid w:val="08A80384"/>
    <w:rsid w:val="08A803E9"/>
    <w:rsid w:val="08A80492"/>
    <w:rsid w:val="08A80532"/>
    <w:rsid w:val="08A80564"/>
    <w:rsid w:val="08A805DA"/>
    <w:rsid w:val="08A806A0"/>
    <w:rsid w:val="08A80738"/>
    <w:rsid w:val="08A8085B"/>
    <w:rsid w:val="08A8088B"/>
    <w:rsid w:val="08A808A3"/>
    <w:rsid w:val="08A808C8"/>
    <w:rsid w:val="08A808E4"/>
    <w:rsid w:val="08A80917"/>
    <w:rsid w:val="08A8092E"/>
    <w:rsid w:val="08A80946"/>
    <w:rsid w:val="08A80957"/>
    <w:rsid w:val="08A809EF"/>
    <w:rsid w:val="08A80A8E"/>
    <w:rsid w:val="08A80AC1"/>
    <w:rsid w:val="08A80B6C"/>
    <w:rsid w:val="08A80CA6"/>
    <w:rsid w:val="08A80CE3"/>
    <w:rsid w:val="08A80CF8"/>
    <w:rsid w:val="08A80D27"/>
    <w:rsid w:val="08A80D89"/>
    <w:rsid w:val="08A80DD2"/>
    <w:rsid w:val="08A80E36"/>
    <w:rsid w:val="08A80EC2"/>
    <w:rsid w:val="08A80F6C"/>
    <w:rsid w:val="08A80F7C"/>
    <w:rsid w:val="08A80FA9"/>
    <w:rsid w:val="08A81044"/>
    <w:rsid w:val="08A8105B"/>
    <w:rsid w:val="08A8108D"/>
    <w:rsid w:val="08A810E4"/>
    <w:rsid w:val="08A8117F"/>
    <w:rsid w:val="08A81213"/>
    <w:rsid w:val="08A81230"/>
    <w:rsid w:val="08A81342"/>
    <w:rsid w:val="08A81359"/>
    <w:rsid w:val="08A81367"/>
    <w:rsid w:val="08A813D1"/>
    <w:rsid w:val="08A81449"/>
    <w:rsid w:val="08A814E0"/>
    <w:rsid w:val="08A8168D"/>
    <w:rsid w:val="08A816FE"/>
    <w:rsid w:val="08A81749"/>
    <w:rsid w:val="08A81795"/>
    <w:rsid w:val="08A81815"/>
    <w:rsid w:val="08A8183A"/>
    <w:rsid w:val="08A8188F"/>
    <w:rsid w:val="08A818CC"/>
    <w:rsid w:val="08A81980"/>
    <w:rsid w:val="08A81A3A"/>
    <w:rsid w:val="08A81A8B"/>
    <w:rsid w:val="08A81BD8"/>
    <w:rsid w:val="08A81CA0"/>
    <w:rsid w:val="08A81CBE"/>
    <w:rsid w:val="08A81D07"/>
    <w:rsid w:val="08A81DCE"/>
    <w:rsid w:val="08A81E16"/>
    <w:rsid w:val="08A81E2B"/>
    <w:rsid w:val="08A81EC5"/>
    <w:rsid w:val="08A81F04"/>
    <w:rsid w:val="08A81F2F"/>
    <w:rsid w:val="08A81F7A"/>
    <w:rsid w:val="08A81F91"/>
    <w:rsid w:val="08A821E7"/>
    <w:rsid w:val="08A82495"/>
    <w:rsid w:val="08A825EB"/>
    <w:rsid w:val="08A82662"/>
    <w:rsid w:val="08A826DB"/>
    <w:rsid w:val="08A827E5"/>
    <w:rsid w:val="08A8282E"/>
    <w:rsid w:val="08A8285D"/>
    <w:rsid w:val="08A8295F"/>
    <w:rsid w:val="08A829CC"/>
    <w:rsid w:val="08A829F5"/>
    <w:rsid w:val="08A82A21"/>
    <w:rsid w:val="08A82A2B"/>
    <w:rsid w:val="08A82A89"/>
    <w:rsid w:val="08A82B00"/>
    <w:rsid w:val="08A82B80"/>
    <w:rsid w:val="08A82CA0"/>
    <w:rsid w:val="08A82E06"/>
    <w:rsid w:val="08A82E78"/>
    <w:rsid w:val="08A82F1E"/>
    <w:rsid w:val="08A82F4C"/>
    <w:rsid w:val="08A82F6E"/>
    <w:rsid w:val="08A82FF9"/>
    <w:rsid w:val="08A83077"/>
    <w:rsid w:val="08A83078"/>
    <w:rsid w:val="08A830B1"/>
    <w:rsid w:val="08A83113"/>
    <w:rsid w:val="08A83136"/>
    <w:rsid w:val="08A8314F"/>
    <w:rsid w:val="08A83169"/>
    <w:rsid w:val="08A83305"/>
    <w:rsid w:val="08A8336F"/>
    <w:rsid w:val="08A833BF"/>
    <w:rsid w:val="08A833FD"/>
    <w:rsid w:val="08A83443"/>
    <w:rsid w:val="08A8346A"/>
    <w:rsid w:val="08A834F1"/>
    <w:rsid w:val="08A83502"/>
    <w:rsid w:val="08A83541"/>
    <w:rsid w:val="08A8358E"/>
    <w:rsid w:val="08A835C9"/>
    <w:rsid w:val="08A8361F"/>
    <w:rsid w:val="08A83621"/>
    <w:rsid w:val="08A83645"/>
    <w:rsid w:val="08A836A1"/>
    <w:rsid w:val="08A8373C"/>
    <w:rsid w:val="08A8383C"/>
    <w:rsid w:val="08A83AED"/>
    <w:rsid w:val="08A83BDA"/>
    <w:rsid w:val="08A83C78"/>
    <w:rsid w:val="08A83D78"/>
    <w:rsid w:val="08A83DED"/>
    <w:rsid w:val="08A83F3B"/>
    <w:rsid w:val="08A83FE2"/>
    <w:rsid w:val="08A83FED"/>
    <w:rsid w:val="08A840A0"/>
    <w:rsid w:val="08A84121"/>
    <w:rsid w:val="08A8417C"/>
    <w:rsid w:val="08A84214"/>
    <w:rsid w:val="08A84236"/>
    <w:rsid w:val="08A84239"/>
    <w:rsid w:val="08A84251"/>
    <w:rsid w:val="08A8432C"/>
    <w:rsid w:val="08A84332"/>
    <w:rsid w:val="08A84340"/>
    <w:rsid w:val="08A8438B"/>
    <w:rsid w:val="08A8445C"/>
    <w:rsid w:val="08A8447A"/>
    <w:rsid w:val="08A8451A"/>
    <w:rsid w:val="08A84637"/>
    <w:rsid w:val="08A846B3"/>
    <w:rsid w:val="08A84758"/>
    <w:rsid w:val="08A847B4"/>
    <w:rsid w:val="08A847DC"/>
    <w:rsid w:val="08A847DD"/>
    <w:rsid w:val="08A84837"/>
    <w:rsid w:val="08A8483D"/>
    <w:rsid w:val="08A8488C"/>
    <w:rsid w:val="08A848AF"/>
    <w:rsid w:val="08A84934"/>
    <w:rsid w:val="08A84990"/>
    <w:rsid w:val="08A849AD"/>
    <w:rsid w:val="08A849C6"/>
    <w:rsid w:val="08A84A62"/>
    <w:rsid w:val="08A84A9A"/>
    <w:rsid w:val="08A84BA6"/>
    <w:rsid w:val="08A84BBF"/>
    <w:rsid w:val="08A84BC9"/>
    <w:rsid w:val="08A84C87"/>
    <w:rsid w:val="08A84CB8"/>
    <w:rsid w:val="08A84CC2"/>
    <w:rsid w:val="08A84D3E"/>
    <w:rsid w:val="08A84DF2"/>
    <w:rsid w:val="08A84E03"/>
    <w:rsid w:val="08A84E23"/>
    <w:rsid w:val="08A84EDC"/>
    <w:rsid w:val="08A84EE0"/>
    <w:rsid w:val="08A8500B"/>
    <w:rsid w:val="08A8501E"/>
    <w:rsid w:val="08A85087"/>
    <w:rsid w:val="08A850F6"/>
    <w:rsid w:val="08A85126"/>
    <w:rsid w:val="08A85272"/>
    <w:rsid w:val="08A85375"/>
    <w:rsid w:val="08A85461"/>
    <w:rsid w:val="08A855C3"/>
    <w:rsid w:val="08A8561C"/>
    <w:rsid w:val="08A8566E"/>
    <w:rsid w:val="08A857A3"/>
    <w:rsid w:val="08A857B1"/>
    <w:rsid w:val="08A858CF"/>
    <w:rsid w:val="08A85B1D"/>
    <w:rsid w:val="08A85B38"/>
    <w:rsid w:val="08A85B6F"/>
    <w:rsid w:val="08A85C2B"/>
    <w:rsid w:val="08A85CCF"/>
    <w:rsid w:val="08A85D3C"/>
    <w:rsid w:val="08A85D71"/>
    <w:rsid w:val="08A85E02"/>
    <w:rsid w:val="08A85ED1"/>
    <w:rsid w:val="08A85EF7"/>
    <w:rsid w:val="08A85F1F"/>
    <w:rsid w:val="08A85F25"/>
    <w:rsid w:val="08A85F5B"/>
    <w:rsid w:val="08A86173"/>
    <w:rsid w:val="08A8619E"/>
    <w:rsid w:val="08A861B1"/>
    <w:rsid w:val="08A8637D"/>
    <w:rsid w:val="08A863B5"/>
    <w:rsid w:val="08A8649D"/>
    <w:rsid w:val="08A86516"/>
    <w:rsid w:val="08A86707"/>
    <w:rsid w:val="08A86816"/>
    <w:rsid w:val="08A86986"/>
    <w:rsid w:val="08A86BCC"/>
    <w:rsid w:val="08A86C7C"/>
    <w:rsid w:val="08A86CBE"/>
    <w:rsid w:val="08A86CCD"/>
    <w:rsid w:val="08A86E04"/>
    <w:rsid w:val="08A86E2B"/>
    <w:rsid w:val="08A86E59"/>
    <w:rsid w:val="08A86EA3"/>
    <w:rsid w:val="08A87098"/>
    <w:rsid w:val="08A870C3"/>
    <w:rsid w:val="08A870ED"/>
    <w:rsid w:val="08A87191"/>
    <w:rsid w:val="08A87493"/>
    <w:rsid w:val="08A874A1"/>
    <w:rsid w:val="08A874F1"/>
    <w:rsid w:val="08A8755F"/>
    <w:rsid w:val="08A875BB"/>
    <w:rsid w:val="08A87631"/>
    <w:rsid w:val="08A87684"/>
    <w:rsid w:val="08A87736"/>
    <w:rsid w:val="08A87809"/>
    <w:rsid w:val="08A8798E"/>
    <w:rsid w:val="08A879C1"/>
    <w:rsid w:val="08A87A46"/>
    <w:rsid w:val="08A87A77"/>
    <w:rsid w:val="08A87A93"/>
    <w:rsid w:val="08A87AC2"/>
    <w:rsid w:val="08A87AE4"/>
    <w:rsid w:val="08A87B45"/>
    <w:rsid w:val="08A87B90"/>
    <w:rsid w:val="08A87B9E"/>
    <w:rsid w:val="08A87C13"/>
    <w:rsid w:val="08A87C65"/>
    <w:rsid w:val="08A87C9A"/>
    <w:rsid w:val="08A87CDE"/>
    <w:rsid w:val="08A87D0E"/>
    <w:rsid w:val="08A87D2D"/>
    <w:rsid w:val="08A87D4A"/>
    <w:rsid w:val="08A87DF1"/>
    <w:rsid w:val="08A87EB7"/>
    <w:rsid w:val="08A87EFB"/>
    <w:rsid w:val="08A87F4F"/>
    <w:rsid w:val="08A87F9C"/>
    <w:rsid w:val="08A90075"/>
    <w:rsid w:val="08A90140"/>
    <w:rsid w:val="08A9030F"/>
    <w:rsid w:val="08A90311"/>
    <w:rsid w:val="08A90321"/>
    <w:rsid w:val="08A9033D"/>
    <w:rsid w:val="08A90348"/>
    <w:rsid w:val="08A90367"/>
    <w:rsid w:val="08A90418"/>
    <w:rsid w:val="08A90426"/>
    <w:rsid w:val="08A9046D"/>
    <w:rsid w:val="08A904A5"/>
    <w:rsid w:val="08A904BE"/>
    <w:rsid w:val="08A904FA"/>
    <w:rsid w:val="08A90527"/>
    <w:rsid w:val="08A90595"/>
    <w:rsid w:val="08A905B4"/>
    <w:rsid w:val="08A905EA"/>
    <w:rsid w:val="08A906CC"/>
    <w:rsid w:val="08A907A9"/>
    <w:rsid w:val="08A907BA"/>
    <w:rsid w:val="08A908B3"/>
    <w:rsid w:val="08A908F4"/>
    <w:rsid w:val="08A909D9"/>
    <w:rsid w:val="08A909F4"/>
    <w:rsid w:val="08A909FC"/>
    <w:rsid w:val="08A90A08"/>
    <w:rsid w:val="08A90A17"/>
    <w:rsid w:val="08A90A18"/>
    <w:rsid w:val="08A90AB9"/>
    <w:rsid w:val="08A90B32"/>
    <w:rsid w:val="08A90C41"/>
    <w:rsid w:val="08A90C8B"/>
    <w:rsid w:val="08A90CBA"/>
    <w:rsid w:val="08A90DEA"/>
    <w:rsid w:val="08A90E2B"/>
    <w:rsid w:val="08A90ECC"/>
    <w:rsid w:val="08A90ED6"/>
    <w:rsid w:val="08A90F2D"/>
    <w:rsid w:val="08A91008"/>
    <w:rsid w:val="08A91070"/>
    <w:rsid w:val="08A910F0"/>
    <w:rsid w:val="08A91108"/>
    <w:rsid w:val="08A9114F"/>
    <w:rsid w:val="08A911A6"/>
    <w:rsid w:val="08A91234"/>
    <w:rsid w:val="08A9131F"/>
    <w:rsid w:val="08A91320"/>
    <w:rsid w:val="08A91359"/>
    <w:rsid w:val="08A91361"/>
    <w:rsid w:val="08A913CA"/>
    <w:rsid w:val="08A913D8"/>
    <w:rsid w:val="08A913F8"/>
    <w:rsid w:val="08A91411"/>
    <w:rsid w:val="08A91491"/>
    <w:rsid w:val="08A91599"/>
    <w:rsid w:val="08A91618"/>
    <w:rsid w:val="08A91651"/>
    <w:rsid w:val="08A916BF"/>
    <w:rsid w:val="08A91765"/>
    <w:rsid w:val="08A9181D"/>
    <w:rsid w:val="08A918CA"/>
    <w:rsid w:val="08A9196C"/>
    <w:rsid w:val="08A919B0"/>
    <w:rsid w:val="08A91B4B"/>
    <w:rsid w:val="08A91C4E"/>
    <w:rsid w:val="08A91DDB"/>
    <w:rsid w:val="08A91DE9"/>
    <w:rsid w:val="08A91DF1"/>
    <w:rsid w:val="08A91E3C"/>
    <w:rsid w:val="08A91EDE"/>
    <w:rsid w:val="08A91EF1"/>
    <w:rsid w:val="08A91F10"/>
    <w:rsid w:val="08A91F46"/>
    <w:rsid w:val="08A91F7B"/>
    <w:rsid w:val="08A91F93"/>
    <w:rsid w:val="08A92104"/>
    <w:rsid w:val="08A92153"/>
    <w:rsid w:val="08A92187"/>
    <w:rsid w:val="08A9228B"/>
    <w:rsid w:val="08A92336"/>
    <w:rsid w:val="08A92507"/>
    <w:rsid w:val="08A9250D"/>
    <w:rsid w:val="08A92575"/>
    <w:rsid w:val="08A92662"/>
    <w:rsid w:val="08A92696"/>
    <w:rsid w:val="08A9270D"/>
    <w:rsid w:val="08A9270E"/>
    <w:rsid w:val="08A92710"/>
    <w:rsid w:val="08A92733"/>
    <w:rsid w:val="08A9275D"/>
    <w:rsid w:val="08A9281B"/>
    <w:rsid w:val="08A9283B"/>
    <w:rsid w:val="08A928EE"/>
    <w:rsid w:val="08A92931"/>
    <w:rsid w:val="08A92968"/>
    <w:rsid w:val="08A929A0"/>
    <w:rsid w:val="08A929E0"/>
    <w:rsid w:val="08A929EC"/>
    <w:rsid w:val="08A92A64"/>
    <w:rsid w:val="08A92C16"/>
    <w:rsid w:val="08A92C4A"/>
    <w:rsid w:val="08A92D45"/>
    <w:rsid w:val="08A92E75"/>
    <w:rsid w:val="08A92ECB"/>
    <w:rsid w:val="08A92ED8"/>
    <w:rsid w:val="08A92F16"/>
    <w:rsid w:val="08A92F32"/>
    <w:rsid w:val="08A92F3A"/>
    <w:rsid w:val="08A92F5A"/>
    <w:rsid w:val="08A93098"/>
    <w:rsid w:val="08A93110"/>
    <w:rsid w:val="08A9334D"/>
    <w:rsid w:val="08A93567"/>
    <w:rsid w:val="08A9356E"/>
    <w:rsid w:val="08A935AB"/>
    <w:rsid w:val="08A935C4"/>
    <w:rsid w:val="08A93658"/>
    <w:rsid w:val="08A936E3"/>
    <w:rsid w:val="08A9376D"/>
    <w:rsid w:val="08A93775"/>
    <w:rsid w:val="08A937DC"/>
    <w:rsid w:val="08A93967"/>
    <w:rsid w:val="08A93A6F"/>
    <w:rsid w:val="08A93ABE"/>
    <w:rsid w:val="08A93AE5"/>
    <w:rsid w:val="08A93B0D"/>
    <w:rsid w:val="08A93BC1"/>
    <w:rsid w:val="08A93C09"/>
    <w:rsid w:val="08A93C70"/>
    <w:rsid w:val="08A93CB0"/>
    <w:rsid w:val="08A93D45"/>
    <w:rsid w:val="08A93DAB"/>
    <w:rsid w:val="08A93E18"/>
    <w:rsid w:val="08A93EAA"/>
    <w:rsid w:val="08A93FE0"/>
    <w:rsid w:val="08A940DD"/>
    <w:rsid w:val="08A94161"/>
    <w:rsid w:val="08A942A5"/>
    <w:rsid w:val="08A942F7"/>
    <w:rsid w:val="08A94344"/>
    <w:rsid w:val="08A94463"/>
    <w:rsid w:val="08A9447C"/>
    <w:rsid w:val="08A944DA"/>
    <w:rsid w:val="08A944E9"/>
    <w:rsid w:val="08A94571"/>
    <w:rsid w:val="08A945B7"/>
    <w:rsid w:val="08A945C4"/>
    <w:rsid w:val="08A94655"/>
    <w:rsid w:val="08A94692"/>
    <w:rsid w:val="08A946F5"/>
    <w:rsid w:val="08A94729"/>
    <w:rsid w:val="08A9475B"/>
    <w:rsid w:val="08A947CF"/>
    <w:rsid w:val="08A9488A"/>
    <w:rsid w:val="08A94A18"/>
    <w:rsid w:val="08A94A9F"/>
    <w:rsid w:val="08A94B63"/>
    <w:rsid w:val="08A94BE1"/>
    <w:rsid w:val="08A94BE9"/>
    <w:rsid w:val="08A94C71"/>
    <w:rsid w:val="08A94CEC"/>
    <w:rsid w:val="08A94D87"/>
    <w:rsid w:val="08A94DDC"/>
    <w:rsid w:val="08A94E3E"/>
    <w:rsid w:val="08A94E64"/>
    <w:rsid w:val="08A94F09"/>
    <w:rsid w:val="08A94F0A"/>
    <w:rsid w:val="08A94F29"/>
    <w:rsid w:val="08A94F3B"/>
    <w:rsid w:val="08A95050"/>
    <w:rsid w:val="08A950B0"/>
    <w:rsid w:val="08A950E6"/>
    <w:rsid w:val="08A95103"/>
    <w:rsid w:val="08A9510B"/>
    <w:rsid w:val="08A95181"/>
    <w:rsid w:val="08A951B6"/>
    <w:rsid w:val="08A9527A"/>
    <w:rsid w:val="08A952F7"/>
    <w:rsid w:val="08A95465"/>
    <w:rsid w:val="08A954DC"/>
    <w:rsid w:val="08A954FB"/>
    <w:rsid w:val="08A9551C"/>
    <w:rsid w:val="08A9557E"/>
    <w:rsid w:val="08A955B4"/>
    <w:rsid w:val="08A956D0"/>
    <w:rsid w:val="08A956E7"/>
    <w:rsid w:val="08A957A3"/>
    <w:rsid w:val="08A957C7"/>
    <w:rsid w:val="08A95814"/>
    <w:rsid w:val="08A9583D"/>
    <w:rsid w:val="08A9584E"/>
    <w:rsid w:val="08A95902"/>
    <w:rsid w:val="08A95961"/>
    <w:rsid w:val="08A95964"/>
    <w:rsid w:val="08A959CA"/>
    <w:rsid w:val="08A95A5C"/>
    <w:rsid w:val="08A95A97"/>
    <w:rsid w:val="08A95B08"/>
    <w:rsid w:val="08A95B3E"/>
    <w:rsid w:val="08A95B4D"/>
    <w:rsid w:val="08A95C37"/>
    <w:rsid w:val="08A95CB2"/>
    <w:rsid w:val="08A95D0D"/>
    <w:rsid w:val="08A95D9C"/>
    <w:rsid w:val="08A95DCE"/>
    <w:rsid w:val="08A95E5E"/>
    <w:rsid w:val="08A95ED4"/>
    <w:rsid w:val="08A96055"/>
    <w:rsid w:val="08A9607D"/>
    <w:rsid w:val="08A960FE"/>
    <w:rsid w:val="08A9610B"/>
    <w:rsid w:val="08A96132"/>
    <w:rsid w:val="08A96225"/>
    <w:rsid w:val="08A962E3"/>
    <w:rsid w:val="08A9631C"/>
    <w:rsid w:val="08A9632F"/>
    <w:rsid w:val="08A96363"/>
    <w:rsid w:val="08A96368"/>
    <w:rsid w:val="08A963C9"/>
    <w:rsid w:val="08A963D1"/>
    <w:rsid w:val="08A963D8"/>
    <w:rsid w:val="08A96436"/>
    <w:rsid w:val="08A96488"/>
    <w:rsid w:val="08A96490"/>
    <w:rsid w:val="08A964C8"/>
    <w:rsid w:val="08A964DC"/>
    <w:rsid w:val="08A965E3"/>
    <w:rsid w:val="08A96618"/>
    <w:rsid w:val="08A966B1"/>
    <w:rsid w:val="08A968FA"/>
    <w:rsid w:val="08A9697D"/>
    <w:rsid w:val="08A96991"/>
    <w:rsid w:val="08A969E6"/>
    <w:rsid w:val="08A96A25"/>
    <w:rsid w:val="08A96A81"/>
    <w:rsid w:val="08A96A94"/>
    <w:rsid w:val="08A96AF9"/>
    <w:rsid w:val="08A96B17"/>
    <w:rsid w:val="08A96B73"/>
    <w:rsid w:val="08A96B89"/>
    <w:rsid w:val="08A96D03"/>
    <w:rsid w:val="08A96DBE"/>
    <w:rsid w:val="08A96DE6"/>
    <w:rsid w:val="08A96DFD"/>
    <w:rsid w:val="08A96E1E"/>
    <w:rsid w:val="08A96E2C"/>
    <w:rsid w:val="08A96E73"/>
    <w:rsid w:val="08A96E96"/>
    <w:rsid w:val="08A9706A"/>
    <w:rsid w:val="08A970A6"/>
    <w:rsid w:val="08A970D4"/>
    <w:rsid w:val="08A970FF"/>
    <w:rsid w:val="08A9717B"/>
    <w:rsid w:val="08A971E3"/>
    <w:rsid w:val="08A9721A"/>
    <w:rsid w:val="08A9728E"/>
    <w:rsid w:val="08A97340"/>
    <w:rsid w:val="08A97346"/>
    <w:rsid w:val="08A97354"/>
    <w:rsid w:val="08A97374"/>
    <w:rsid w:val="08A9741F"/>
    <w:rsid w:val="08A9742B"/>
    <w:rsid w:val="08A97441"/>
    <w:rsid w:val="08A97447"/>
    <w:rsid w:val="08A9746C"/>
    <w:rsid w:val="08A974AF"/>
    <w:rsid w:val="08A974BD"/>
    <w:rsid w:val="08A974E2"/>
    <w:rsid w:val="08A9752D"/>
    <w:rsid w:val="08A97557"/>
    <w:rsid w:val="08A9757C"/>
    <w:rsid w:val="08A975D0"/>
    <w:rsid w:val="08A97647"/>
    <w:rsid w:val="08A9767B"/>
    <w:rsid w:val="08A976D6"/>
    <w:rsid w:val="08A97783"/>
    <w:rsid w:val="08A97A3B"/>
    <w:rsid w:val="08A97A55"/>
    <w:rsid w:val="08A97A7B"/>
    <w:rsid w:val="08A97B58"/>
    <w:rsid w:val="08A97C14"/>
    <w:rsid w:val="08A97CDC"/>
    <w:rsid w:val="08A97D71"/>
    <w:rsid w:val="08A97D90"/>
    <w:rsid w:val="08A97DB0"/>
    <w:rsid w:val="08A97E15"/>
    <w:rsid w:val="08A97E90"/>
    <w:rsid w:val="08A97EFF"/>
    <w:rsid w:val="08A97F64"/>
    <w:rsid w:val="08A97F75"/>
    <w:rsid w:val="08AA0072"/>
    <w:rsid w:val="08AA0084"/>
    <w:rsid w:val="08AA009E"/>
    <w:rsid w:val="08AA00CC"/>
    <w:rsid w:val="08AA0100"/>
    <w:rsid w:val="08AA013F"/>
    <w:rsid w:val="08AA01B5"/>
    <w:rsid w:val="08AA01E8"/>
    <w:rsid w:val="08AA01EF"/>
    <w:rsid w:val="08AA0221"/>
    <w:rsid w:val="08AA02B5"/>
    <w:rsid w:val="08AA0317"/>
    <w:rsid w:val="08AA038C"/>
    <w:rsid w:val="08AA0411"/>
    <w:rsid w:val="08AA04F6"/>
    <w:rsid w:val="08AA04FB"/>
    <w:rsid w:val="08AA05D3"/>
    <w:rsid w:val="08AA0705"/>
    <w:rsid w:val="08AA072D"/>
    <w:rsid w:val="08AA0746"/>
    <w:rsid w:val="08AA07BC"/>
    <w:rsid w:val="08AA0851"/>
    <w:rsid w:val="08AA08FC"/>
    <w:rsid w:val="08AA08FD"/>
    <w:rsid w:val="08AA097A"/>
    <w:rsid w:val="08AA0A44"/>
    <w:rsid w:val="08AA0AF4"/>
    <w:rsid w:val="08AA0B0A"/>
    <w:rsid w:val="08AA0BB0"/>
    <w:rsid w:val="08AA0C13"/>
    <w:rsid w:val="08AA0C48"/>
    <w:rsid w:val="08AA0CE1"/>
    <w:rsid w:val="08AA0D07"/>
    <w:rsid w:val="08AA0D5D"/>
    <w:rsid w:val="08AA0EA3"/>
    <w:rsid w:val="08AA0ED1"/>
    <w:rsid w:val="08AA0FDC"/>
    <w:rsid w:val="08AA0FDF"/>
    <w:rsid w:val="08AA1005"/>
    <w:rsid w:val="08AA1034"/>
    <w:rsid w:val="08AA1057"/>
    <w:rsid w:val="08AA10AB"/>
    <w:rsid w:val="08AA1111"/>
    <w:rsid w:val="08AA1159"/>
    <w:rsid w:val="08AA11C3"/>
    <w:rsid w:val="08AA120C"/>
    <w:rsid w:val="08AA1299"/>
    <w:rsid w:val="08AA12AE"/>
    <w:rsid w:val="08AA12DA"/>
    <w:rsid w:val="08AA13FB"/>
    <w:rsid w:val="08AA1487"/>
    <w:rsid w:val="08AA149A"/>
    <w:rsid w:val="08AA17AD"/>
    <w:rsid w:val="08AA17E1"/>
    <w:rsid w:val="08AA17E4"/>
    <w:rsid w:val="08AA17EE"/>
    <w:rsid w:val="08AA186E"/>
    <w:rsid w:val="08AA1C41"/>
    <w:rsid w:val="08AA1CCC"/>
    <w:rsid w:val="08AA1E16"/>
    <w:rsid w:val="08AA1E39"/>
    <w:rsid w:val="08AA1E7F"/>
    <w:rsid w:val="08AA1E8F"/>
    <w:rsid w:val="08AA1F4D"/>
    <w:rsid w:val="08AA1F6D"/>
    <w:rsid w:val="08AA1FDB"/>
    <w:rsid w:val="08AA20AE"/>
    <w:rsid w:val="08AA2183"/>
    <w:rsid w:val="08AA21A9"/>
    <w:rsid w:val="08AA21B0"/>
    <w:rsid w:val="08AA22B4"/>
    <w:rsid w:val="08AA22E9"/>
    <w:rsid w:val="08AA2306"/>
    <w:rsid w:val="08AA230D"/>
    <w:rsid w:val="08AA2310"/>
    <w:rsid w:val="08AA23AE"/>
    <w:rsid w:val="08AA2401"/>
    <w:rsid w:val="08AA240F"/>
    <w:rsid w:val="08AA24A7"/>
    <w:rsid w:val="08AA24BF"/>
    <w:rsid w:val="08AA24D4"/>
    <w:rsid w:val="08AA258D"/>
    <w:rsid w:val="08AA25E6"/>
    <w:rsid w:val="08AA26B6"/>
    <w:rsid w:val="08AA26E9"/>
    <w:rsid w:val="08AA2747"/>
    <w:rsid w:val="08AA2757"/>
    <w:rsid w:val="08AA2782"/>
    <w:rsid w:val="08AA285D"/>
    <w:rsid w:val="08AA28A7"/>
    <w:rsid w:val="08AA28F0"/>
    <w:rsid w:val="08AA290F"/>
    <w:rsid w:val="08AA297B"/>
    <w:rsid w:val="08AA29A8"/>
    <w:rsid w:val="08AA29DB"/>
    <w:rsid w:val="08AA2B77"/>
    <w:rsid w:val="08AA2B86"/>
    <w:rsid w:val="08AA2BC8"/>
    <w:rsid w:val="08AA2CBD"/>
    <w:rsid w:val="08AA2CF2"/>
    <w:rsid w:val="08AA2D88"/>
    <w:rsid w:val="08AA2DCD"/>
    <w:rsid w:val="08AA2E6B"/>
    <w:rsid w:val="08AA30C1"/>
    <w:rsid w:val="08AA32FD"/>
    <w:rsid w:val="08AA3405"/>
    <w:rsid w:val="08AA3428"/>
    <w:rsid w:val="08AA34A9"/>
    <w:rsid w:val="08AA3615"/>
    <w:rsid w:val="08AA36CF"/>
    <w:rsid w:val="08AA37C3"/>
    <w:rsid w:val="08AA3922"/>
    <w:rsid w:val="08AA3938"/>
    <w:rsid w:val="08AA395D"/>
    <w:rsid w:val="08AA3B1B"/>
    <w:rsid w:val="08AA3B7F"/>
    <w:rsid w:val="08AA3BDB"/>
    <w:rsid w:val="08AA3C05"/>
    <w:rsid w:val="08AA3D21"/>
    <w:rsid w:val="08AA3D57"/>
    <w:rsid w:val="08AA3D6C"/>
    <w:rsid w:val="08AA3E44"/>
    <w:rsid w:val="08AA3E6F"/>
    <w:rsid w:val="08AA3F18"/>
    <w:rsid w:val="08AA40F7"/>
    <w:rsid w:val="08AA41A6"/>
    <w:rsid w:val="08AA41C0"/>
    <w:rsid w:val="08AA41F6"/>
    <w:rsid w:val="08AA4344"/>
    <w:rsid w:val="08AA4507"/>
    <w:rsid w:val="08AA4510"/>
    <w:rsid w:val="08AA452D"/>
    <w:rsid w:val="08AA45F3"/>
    <w:rsid w:val="08AA4698"/>
    <w:rsid w:val="08AA4779"/>
    <w:rsid w:val="08AA47F3"/>
    <w:rsid w:val="08AA47FC"/>
    <w:rsid w:val="08AA4967"/>
    <w:rsid w:val="08AA49EA"/>
    <w:rsid w:val="08AA4A4B"/>
    <w:rsid w:val="08AA4C4B"/>
    <w:rsid w:val="08AA4CAA"/>
    <w:rsid w:val="08AA4CBA"/>
    <w:rsid w:val="08AA4CEE"/>
    <w:rsid w:val="08AA4DE0"/>
    <w:rsid w:val="08AA4E2C"/>
    <w:rsid w:val="08AA4EED"/>
    <w:rsid w:val="08AA4F2B"/>
    <w:rsid w:val="08AA4F5B"/>
    <w:rsid w:val="08AA4F74"/>
    <w:rsid w:val="08AA4FF2"/>
    <w:rsid w:val="08AA5015"/>
    <w:rsid w:val="08AA503E"/>
    <w:rsid w:val="08AA5198"/>
    <w:rsid w:val="08AA51D4"/>
    <w:rsid w:val="08AA5220"/>
    <w:rsid w:val="08AA5226"/>
    <w:rsid w:val="08AA5260"/>
    <w:rsid w:val="08AA5359"/>
    <w:rsid w:val="08AA53B9"/>
    <w:rsid w:val="08AA53CB"/>
    <w:rsid w:val="08AA549A"/>
    <w:rsid w:val="08AA5501"/>
    <w:rsid w:val="08AA5515"/>
    <w:rsid w:val="08AA5578"/>
    <w:rsid w:val="08AA55EA"/>
    <w:rsid w:val="08AA566E"/>
    <w:rsid w:val="08AA5689"/>
    <w:rsid w:val="08AA58C6"/>
    <w:rsid w:val="08AA5A1B"/>
    <w:rsid w:val="08AA5A5E"/>
    <w:rsid w:val="08AA5AED"/>
    <w:rsid w:val="08AA5B00"/>
    <w:rsid w:val="08AA5BD4"/>
    <w:rsid w:val="08AA5D70"/>
    <w:rsid w:val="08AA5D81"/>
    <w:rsid w:val="08AA5DC4"/>
    <w:rsid w:val="08AA5DFC"/>
    <w:rsid w:val="08AA5E00"/>
    <w:rsid w:val="08AA5E1C"/>
    <w:rsid w:val="08AA5E4C"/>
    <w:rsid w:val="08AA5E7C"/>
    <w:rsid w:val="08AA5EE0"/>
    <w:rsid w:val="08AA5F02"/>
    <w:rsid w:val="08AA5F85"/>
    <w:rsid w:val="08AA608B"/>
    <w:rsid w:val="08AA6156"/>
    <w:rsid w:val="08AA617F"/>
    <w:rsid w:val="08AA621C"/>
    <w:rsid w:val="08AA643A"/>
    <w:rsid w:val="08AA6475"/>
    <w:rsid w:val="08AA6479"/>
    <w:rsid w:val="08AA64AF"/>
    <w:rsid w:val="08AA659B"/>
    <w:rsid w:val="08AA65A6"/>
    <w:rsid w:val="08AA65E9"/>
    <w:rsid w:val="08AA6657"/>
    <w:rsid w:val="08AA669F"/>
    <w:rsid w:val="08AA66F4"/>
    <w:rsid w:val="08AA6748"/>
    <w:rsid w:val="08AA67B9"/>
    <w:rsid w:val="08AA6836"/>
    <w:rsid w:val="08AA6846"/>
    <w:rsid w:val="08AA6875"/>
    <w:rsid w:val="08AA6894"/>
    <w:rsid w:val="08AA68B4"/>
    <w:rsid w:val="08AA690A"/>
    <w:rsid w:val="08AA6A6E"/>
    <w:rsid w:val="08AA6AE3"/>
    <w:rsid w:val="08AA6B0D"/>
    <w:rsid w:val="08AA6B0F"/>
    <w:rsid w:val="08AA6CB3"/>
    <w:rsid w:val="08AA6F9B"/>
    <w:rsid w:val="08AA6FD5"/>
    <w:rsid w:val="08AA701F"/>
    <w:rsid w:val="08AA7021"/>
    <w:rsid w:val="08AA705B"/>
    <w:rsid w:val="08AA70A0"/>
    <w:rsid w:val="08AA7175"/>
    <w:rsid w:val="08AA7195"/>
    <w:rsid w:val="08AA71CA"/>
    <w:rsid w:val="08AA7320"/>
    <w:rsid w:val="08AA7420"/>
    <w:rsid w:val="08AA7442"/>
    <w:rsid w:val="08AA748A"/>
    <w:rsid w:val="08AA751C"/>
    <w:rsid w:val="08AA7521"/>
    <w:rsid w:val="08AA753C"/>
    <w:rsid w:val="08AA75C1"/>
    <w:rsid w:val="08AA7656"/>
    <w:rsid w:val="08AA766E"/>
    <w:rsid w:val="08AA767C"/>
    <w:rsid w:val="08AA778E"/>
    <w:rsid w:val="08AA77A1"/>
    <w:rsid w:val="08AA7873"/>
    <w:rsid w:val="08AA78FB"/>
    <w:rsid w:val="08AA79B5"/>
    <w:rsid w:val="08AA7A2A"/>
    <w:rsid w:val="08AA7A56"/>
    <w:rsid w:val="08AA7A90"/>
    <w:rsid w:val="08AA7B75"/>
    <w:rsid w:val="08AA7BAE"/>
    <w:rsid w:val="08AA7BC5"/>
    <w:rsid w:val="08AA7BEE"/>
    <w:rsid w:val="08AA7C23"/>
    <w:rsid w:val="08AA7C97"/>
    <w:rsid w:val="08AA7CC4"/>
    <w:rsid w:val="08AA7D23"/>
    <w:rsid w:val="08AA7D94"/>
    <w:rsid w:val="08AA7E6E"/>
    <w:rsid w:val="08AA7EAB"/>
    <w:rsid w:val="08AA7EE6"/>
    <w:rsid w:val="08AA7F0B"/>
    <w:rsid w:val="08AA7F56"/>
    <w:rsid w:val="08AA7FB4"/>
    <w:rsid w:val="08AB0196"/>
    <w:rsid w:val="08AB01AB"/>
    <w:rsid w:val="08AB023F"/>
    <w:rsid w:val="08AB0258"/>
    <w:rsid w:val="08AB02E5"/>
    <w:rsid w:val="08AB0388"/>
    <w:rsid w:val="08AB051F"/>
    <w:rsid w:val="08AB0577"/>
    <w:rsid w:val="08AB05A1"/>
    <w:rsid w:val="08AB05A5"/>
    <w:rsid w:val="08AB0727"/>
    <w:rsid w:val="08AB0752"/>
    <w:rsid w:val="08AB075E"/>
    <w:rsid w:val="08AB0846"/>
    <w:rsid w:val="08AB0933"/>
    <w:rsid w:val="08AB093B"/>
    <w:rsid w:val="08AB099C"/>
    <w:rsid w:val="08AB09D1"/>
    <w:rsid w:val="08AB0A51"/>
    <w:rsid w:val="08AB0A87"/>
    <w:rsid w:val="08AB0B71"/>
    <w:rsid w:val="08AB0BB9"/>
    <w:rsid w:val="08AB0BBC"/>
    <w:rsid w:val="08AB0BE2"/>
    <w:rsid w:val="08AB0C5A"/>
    <w:rsid w:val="08AB0CC1"/>
    <w:rsid w:val="08AB0DCF"/>
    <w:rsid w:val="08AB0E49"/>
    <w:rsid w:val="08AB0ED3"/>
    <w:rsid w:val="08AB0F07"/>
    <w:rsid w:val="08AB0FE0"/>
    <w:rsid w:val="08AB1063"/>
    <w:rsid w:val="08AB1094"/>
    <w:rsid w:val="08AB1127"/>
    <w:rsid w:val="08AB1154"/>
    <w:rsid w:val="08AB1269"/>
    <w:rsid w:val="08AB1278"/>
    <w:rsid w:val="08AB12BD"/>
    <w:rsid w:val="08AB1309"/>
    <w:rsid w:val="08AB137F"/>
    <w:rsid w:val="08AB13AC"/>
    <w:rsid w:val="08AB1658"/>
    <w:rsid w:val="08AB168F"/>
    <w:rsid w:val="08AB169A"/>
    <w:rsid w:val="08AB16E2"/>
    <w:rsid w:val="08AB1796"/>
    <w:rsid w:val="08AB17F5"/>
    <w:rsid w:val="08AB1807"/>
    <w:rsid w:val="08AB1932"/>
    <w:rsid w:val="08AB198B"/>
    <w:rsid w:val="08AB19B0"/>
    <w:rsid w:val="08AB1A06"/>
    <w:rsid w:val="08AB1A32"/>
    <w:rsid w:val="08AB1A98"/>
    <w:rsid w:val="08AB1AC7"/>
    <w:rsid w:val="08AB1AFB"/>
    <w:rsid w:val="08AB1B83"/>
    <w:rsid w:val="08AB1BB4"/>
    <w:rsid w:val="08AB1C5E"/>
    <w:rsid w:val="08AB1DD5"/>
    <w:rsid w:val="08AB1E3F"/>
    <w:rsid w:val="08AB1F2A"/>
    <w:rsid w:val="08AB1F51"/>
    <w:rsid w:val="08AB1FAC"/>
    <w:rsid w:val="08AB2000"/>
    <w:rsid w:val="08AB2052"/>
    <w:rsid w:val="08AB2076"/>
    <w:rsid w:val="08AB208A"/>
    <w:rsid w:val="08AB20A7"/>
    <w:rsid w:val="08AB212F"/>
    <w:rsid w:val="08AB2131"/>
    <w:rsid w:val="08AB2158"/>
    <w:rsid w:val="08AB24A4"/>
    <w:rsid w:val="08AB24D3"/>
    <w:rsid w:val="08AB24EE"/>
    <w:rsid w:val="08AB260C"/>
    <w:rsid w:val="08AB26FA"/>
    <w:rsid w:val="08AB2733"/>
    <w:rsid w:val="08AB2763"/>
    <w:rsid w:val="08AB2788"/>
    <w:rsid w:val="08AB2848"/>
    <w:rsid w:val="08AB28A3"/>
    <w:rsid w:val="08AB2A62"/>
    <w:rsid w:val="08AB2A94"/>
    <w:rsid w:val="08AB2B6D"/>
    <w:rsid w:val="08AB2BC6"/>
    <w:rsid w:val="08AB2C1E"/>
    <w:rsid w:val="08AB2C3A"/>
    <w:rsid w:val="08AB2C3B"/>
    <w:rsid w:val="08AB2CA4"/>
    <w:rsid w:val="08AB2CD0"/>
    <w:rsid w:val="08AB2CD8"/>
    <w:rsid w:val="08AB2CDC"/>
    <w:rsid w:val="08AB2D6C"/>
    <w:rsid w:val="08AB2DA6"/>
    <w:rsid w:val="08AB2E05"/>
    <w:rsid w:val="08AB2E18"/>
    <w:rsid w:val="08AB2E55"/>
    <w:rsid w:val="08AB2F4E"/>
    <w:rsid w:val="08AB2F97"/>
    <w:rsid w:val="08AB2FAE"/>
    <w:rsid w:val="08AB3097"/>
    <w:rsid w:val="08AB3115"/>
    <w:rsid w:val="08AB314B"/>
    <w:rsid w:val="08AB3168"/>
    <w:rsid w:val="08AB32BA"/>
    <w:rsid w:val="08AB32E2"/>
    <w:rsid w:val="08AB32EA"/>
    <w:rsid w:val="08AB33A1"/>
    <w:rsid w:val="08AB3420"/>
    <w:rsid w:val="08AB361F"/>
    <w:rsid w:val="08AB3749"/>
    <w:rsid w:val="08AB391A"/>
    <w:rsid w:val="08AB3A89"/>
    <w:rsid w:val="08AB3B63"/>
    <w:rsid w:val="08AB3B8D"/>
    <w:rsid w:val="08AB3B9F"/>
    <w:rsid w:val="08AB3E14"/>
    <w:rsid w:val="08AB3E4A"/>
    <w:rsid w:val="08AB3EC0"/>
    <w:rsid w:val="08AB3F7C"/>
    <w:rsid w:val="08AB4003"/>
    <w:rsid w:val="08AB4024"/>
    <w:rsid w:val="08AB4032"/>
    <w:rsid w:val="08AB408D"/>
    <w:rsid w:val="08AB40BC"/>
    <w:rsid w:val="08AB411A"/>
    <w:rsid w:val="08AB41BC"/>
    <w:rsid w:val="08AB4210"/>
    <w:rsid w:val="08AB4278"/>
    <w:rsid w:val="08AB42A0"/>
    <w:rsid w:val="08AB4422"/>
    <w:rsid w:val="08AB448E"/>
    <w:rsid w:val="08AB44C3"/>
    <w:rsid w:val="08AB44EE"/>
    <w:rsid w:val="08AB44FD"/>
    <w:rsid w:val="08AB456A"/>
    <w:rsid w:val="08AB4576"/>
    <w:rsid w:val="08AB45DB"/>
    <w:rsid w:val="08AB4610"/>
    <w:rsid w:val="08AB463A"/>
    <w:rsid w:val="08AB46D0"/>
    <w:rsid w:val="08AB4783"/>
    <w:rsid w:val="08AB479F"/>
    <w:rsid w:val="08AB47D5"/>
    <w:rsid w:val="08AB484F"/>
    <w:rsid w:val="08AB48D3"/>
    <w:rsid w:val="08AB48D7"/>
    <w:rsid w:val="08AB49DC"/>
    <w:rsid w:val="08AB4A5A"/>
    <w:rsid w:val="08AB4A5F"/>
    <w:rsid w:val="08AB4AB1"/>
    <w:rsid w:val="08AB4AB4"/>
    <w:rsid w:val="08AB4B66"/>
    <w:rsid w:val="08AB4BA8"/>
    <w:rsid w:val="08AB4C3B"/>
    <w:rsid w:val="08AB4CF2"/>
    <w:rsid w:val="08AB4D14"/>
    <w:rsid w:val="08AB4DC3"/>
    <w:rsid w:val="08AB4E09"/>
    <w:rsid w:val="08AB4E3E"/>
    <w:rsid w:val="08AB4F20"/>
    <w:rsid w:val="08AB4FD7"/>
    <w:rsid w:val="08AB4FDF"/>
    <w:rsid w:val="08AB5039"/>
    <w:rsid w:val="08AB50EF"/>
    <w:rsid w:val="08AB5108"/>
    <w:rsid w:val="08AB5183"/>
    <w:rsid w:val="08AB521C"/>
    <w:rsid w:val="08AB5281"/>
    <w:rsid w:val="08AB541D"/>
    <w:rsid w:val="08AB544E"/>
    <w:rsid w:val="08AB5525"/>
    <w:rsid w:val="08AB5526"/>
    <w:rsid w:val="08AB55BD"/>
    <w:rsid w:val="08AB5610"/>
    <w:rsid w:val="08AB5618"/>
    <w:rsid w:val="08AB56D2"/>
    <w:rsid w:val="08AB56F4"/>
    <w:rsid w:val="08AB56FF"/>
    <w:rsid w:val="08AB5706"/>
    <w:rsid w:val="08AB5732"/>
    <w:rsid w:val="08AB578B"/>
    <w:rsid w:val="08AB593A"/>
    <w:rsid w:val="08AB5A84"/>
    <w:rsid w:val="08AB5B05"/>
    <w:rsid w:val="08AB5B4A"/>
    <w:rsid w:val="08AB5B88"/>
    <w:rsid w:val="08AB5B9E"/>
    <w:rsid w:val="08AB5BD3"/>
    <w:rsid w:val="08AB5BEA"/>
    <w:rsid w:val="08AB5D2F"/>
    <w:rsid w:val="08AB5E27"/>
    <w:rsid w:val="08AB5EED"/>
    <w:rsid w:val="08AB5EF6"/>
    <w:rsid w:val="08AB5F8D"/>
    <w:rsid w:val="08AB5FEA"/>
    <w:rsid w:val="08AB6095"/>
    <w:rsid w:val="08AB60A1"/>
    <w:rsid w:val="08AB60AE"/>
    <w:rsid w:val="08AB6104"/>
    <w:rsid w:val="08AB610C"/>
    <w:rsid w:val="08AB61AA"/>
    <w:rsid w:val="08AB620A"/>
    <w:rsid w:val="08AB6268"/>
    <w:rsid w:val="08AB626B"/>
    <w:rsid w:val="08AB6293"/>
    <w:rsid w:val="08AB629F"/>
    <w:rsid w:val="08AB62DB"/>
    <w:rsid w:val="08AB6315"/>
    <w:rsid w:val="08AB633A"/>
    <w:rsid w:val="08AB64B1"/>
    <w:rsid w:val="08AB64BB"/>
    <w:rsid w:val="08AB65E8"/>
    <w:rsid w:val="08AB65F9"/>
    <w:rsid w:val="08AB670E"/>
    <w:rsid w:val="08AB6764"/>
    <w:rsid w:val="08AB6789"/>
    <w:rsid w:val="08AB6827"/>
    <w:rsid w:val="08AB68C1"/>
    <w:rsid w:val="08AB68C9"/>
    <w:rsid w:val="08AB691B"/>
    <w:rsid w:val="08AB6A10"/>
    <w:rsid w:val="08AB6A3D"/>
    <w:rsid w:val="08AB6A61"/>
    <w:rsid w:val="08AB6A82"/>
    <w:rsid w:val="08AB6AD2"/>
    <w:rsid w:val="08AB6BB5"/>
    <w:rsid w:val="08AB6BFB"/>
    <w:rsid w:val="08AB6C42"/>
    <w:rsid w:val="08AB6C8B"/>
    <w:rsid w:val="08AB6D8B"/>
    <w:rsid w:val="08AB6DB1"/>
    <w:rsid w:val="08AB6EFC"/>
    <w:rsid w:val="08AB6F2C"/>
    <w:rsid w:val="08AB6F59"/>
    <w:rsid w:val="08AB6FFC"/>
    <w:rsid w:val="08AB7018"/>
    <w:rsid w:val="08AB7074"/>
    <w:rsid w:val="08AB707F"/>
    <w:rsid w:val="08AB7097"/>
    <w:rsid w:val="08AB71FF"/>
    <w:rsid w:val="08AB739D"/>
    <w:rsid w:val="08AB73A9"/>
    <w:rsid w:val="08AB73BD"/>
    <w:rsid w:val="08AB73C0"/>
    <w:rsid w:val="08AB74A5"/>
    <w:rsid w:val="08AB74E1"/>
    <w:rsid w:val="08AB75F7"/>
    <w:rsid w:val="08AB76F3"/>
    <w:rsid w:val="08AB7701"/>
    <w:rsid w:val="08AB775D"/>
    <w:rsid w:val="08AB785B"/>
    <w:rsid w:val="08AB787F"/>
    <w:rsid w:val="08AB7885"/>
    <w:rsid w:val="08AB78B8"/>
    <w:rsid w:val="08AB7A52"/>
    <w:rsid w:val="08AB7B1C"/>
    <w:rsid w:val="08AB7C8E"/>
    <w:rsid w:val="08AB7C9D"/>
    <w:rsid w:val="08AB7D0F"/>
    <w:rsid w:val="08AB7F36"/>
    <w:rsid w:val="08AB7F4A"/>
    <w:rsid w:val="08AB7F86"/>
    <w:rsid w:val="08AB7FDA"/>
    <w:rsid w:val="08AC011D"/>
    <w:rsid w:val="08AC01D8"/>
    <w:rsid w:val="08AC0253"/>
    <w:rsid w:val="08AC025C"/>
    <w:rsid w:val="08AC03A5"/>
    <w:rsid w:val="08AC04E3"/>
    <w:rsid w:val="08AC052C"/>
    <w:rsid w:val="08AC0556"/>
    <w:rsid w:val="08AC0567"/>
    <w:rsid w:val="08AC05E0"/>
    <w:rsid w:val="08AC05EB"/>
    <w:rsid w:val="08AC062C"/>
    <w:rsid w:val="08AC0631"/>
    <w:rsid w:val="08AC072C"/>
    <w:rsid w:val="08AC077E"/>
    <w:rsid w:val="08AC07E9"/>
    <w:rsid w:val="08AC07F1"/>
    <w:rsid w:val="08AC08B1"/>
    <w:rsid w:val="08AC09E0"/>
    <w:rsid w:val="08AC0A8D"/>
    <w:rsid w:val="08AC0ABF"/>
    <w:rsid w:val="08AC0B5B"/>
    <w:rsid w:val="08AC0C17"/>
    <w:rsid w:val="08AC0CB0"/>
    <w:rsid w:val="08AC0E15"/>
    <w:rsid w:val="08AC0E63"/>
    <w:rsid w:val="08AC0E84"/>
    <w:rsid w:val="08AC0E97"/>
    <w:rsid w:val="08AC0F4D"/>
    <w:rsid w:val="08AC0FCF"/>
    <w:rsid w:val="08AC0FD2"/>
    <w:rsid w:val="08AC1016"/>
    <w:rsid w:val="08AC1264"/>
    <w:rsid w:val="08AC1295"/>
    <w:rsid w:val="08AC1372"/>
    <w:rsid w:val="08AC1397"/>
    <w:rsid w:val="08AC13FF"/>
    <w:rsid w:val="08AC140D"/>
    <w:rsid w:val="08AC1434"/>
    <w:rsid w:val="08AC1469"/>
    <w:rsid w:val="08AC1507"/>
    <w:rsid w:val="08AC1536"/>
    <w:rsid w:val="08AC158E"/>
    <w:rsid w:val="08AC1603"/>
    <w:rsid w:val="08AC1608"/>
    <w:rsid w:val="08AC170B"/>
    <w:rsid w:val="08AC1710"/>
    <w:rsid w:val="08AC1740"/>
    <w:rsid w:val="08AC175D"/>
    <w:rsid w:val="08AC1769"/>
    <w:rsid w:val="08AC181B"/>
    <w:rsid w:val="08AC182E"/>
    <w:rsid w:val="08AC183D"/>
    <w:rsid w:val="08AC1845"/>
    <w:rsid w:val="08AC1BEC"/>
    <w:rsid w:val="08AC1BF7"/>
    <w:rsid w:val="08AC1C1D"/>
    <w:rsid w:val="08AC1CF1"/>
    <w:rsid w:val="08AC1D11"/>
    <w:rsid w:val="08AC1D18"/>
    <w:rsid w:val="08AC1E6C"/>
    <w:rsid w:val="08AC1E72"/>
    <w:rsid w:val="08AC1E82"/>
    <w:rsid w:val="08AC1F27"/>
    <w:rsid w:val="08AC1F57"/>
    <w:rsid w:val="08AC1F92"/>
    <w:rsid w:val="08AC203B"/>
    <w:rsid w:val="08AC2070"/>
    <w:rsid w:val="08AC20FE"/>
    <w:rsid w:val="08AC213F"/>
    <w:rsid w:val="08AC219F"/>
    <w:rsid w:val="08AC21B1"/>
    <w:rsid w:val="08AC223D"/>
    <w:rsid w:val="08AC2282"/>
    <w:rsid w:val="08AC2458"/>
    <w:rsid w:val="08AC24BA"/>
    <w:rsid w:val="08AC254C"/>
    <w:rsid w:val="08AC25FA"/>
    <w:rsid w:val="08AC2602"/>
    <w:rsid w:val="08AC26B7"/>
    <w:rsid w:val="08AC2700"/>
    <w:rsid w:val="08AC2771"/>
    <w:rsid w:val="08AC2934"/>
    <w:rsid w:val="08AC297D"/>
    <w:rsid w:val="08AC2A0D"/>
    <w:rsid w:val="08AC2A4B"/>
    <w:rsid w:val="08AC2A8F"/>
    <w:rsid w:val="08AC2AF9"/>
    <w:rsid w:val="08AC2B0A"/>
    <w:rsid w:val="08AC2DDE"/>
    <w:rsid w:val="08AC2E29"/>
    <w:rsid w:val="08AC2E5B"/>
    <w:rsid w:val="08AC2F9B"/>
    <w:rsid w:val="08AC2FFE"/>
    <w:rsid w:val="08AC3006"/>
    <w:rsid w:val="08AC3143"/>
    <w:rsid w:val="08AC322D"/>
    <w:rsid w:val="08AC344C"/>
    <w:rsid w:val="08AC3458"/>
    <w:rsid w:val="08AC3483"/>
    <w:rsid w:val="08AC34B5"/>
    <w:rsid w:val="08AC34B6"/>
    <w:rsid w:val="08AC357F"/>
    <w:rsid w:val="08AC35D5"/>
    <w:rsid w:val="08AC373A"/>
    <w:rsid w:val="08AC382F"/>
    <w:rsid w:val="08AC3917"/>
    <w:rsid w:val="08AC3972"/>
    <w:rsid w:val="08AC3AAD"/>
    <w:rsid w:val="08AC3B0C"/>
    <w:rsid w:val="08AC3B17"/>
    <w:rsid w:val="08AC3B98"/>
    <w:rsid w:val="08AC3C95"/>
    <w:rsid w:val="08AC3D16"/>
    <w:rsid w:val="08AC3D2B"/>
    <w:rsid w:val="08AC3D71"/>
    <w:rsid w:val="08AC3EA0"/>
    <w:rsid w:val="08AC3EA3"/>
    <w:rsid w:val="08AC3F32"/>
    <w:rsid w:val="08AC3F3C"/>
    <w:rsid w:val="08AC3F5B"/>
    <w:rsid w:val="08AC3FF1"/>
    <w:rsid w:val="08AC40CE"/>
    <w:rsid w:val="08AC4332"/>
    <w:rsid w:val="08AC4461"/>
    <w:rsid w:val="08AC44D1"/>
    <w:rsid w:val="08AC45CB"/>
    <w:rsid w:val="08AC4700"/>
    <w:rsid w:val="08AC474B"/>
    <w:rsid w:val="08AC4875"/>
    <w:rsid w:val="08AC488A"/>
    <w:rsid w:val="08AC48C4"/>
    <w:rsid w:val="08AC48E7"/>
    <w:rsid w:val="08AC49B8"/>
    <w:rsid w:val="08AC49CC"/>
    <w:rsid w:val="08AC49EB"/>
    <w:rsid w:val="08AC4A42"/>
    <w:rsid w:val="08AC4B05"/>
    <w:rsid w:val="08AC4B2A"/>
    <w:rsid w:val="08AC4B3F"/>
    <w:rsid w:val="08AC4B53"/>
    <w:rsid w:val="08AC4B6B"/>
    <w:rsid w:val="08AC4B95"/>
    <w:rsid w:val="08AC4C12"/>
    <w:rsid w:val="08AC4C17"/>
    <w:rsid w:val="08AC4C49"/>
    <w:rsid w:val="08AC4CDC"/>
    <w:rsid w:val="08AC4D8D"/>
    <w:rsid w:val="08AC4DAD"/>
    <w:rsid w:val="08AC4E12"/>
    <w:rsid w:val="08AC4E21"/>
    <w:rsid w:val="08AC4E7A"/>
    <w:rsid w:val="08AC4EF2"/>
    <w:rsid w:val="08AC4F31"/>
    <w:rsid w:val="08AC4F3E"/>
    <w:rsid w:val="08AC4F57"/>
    <w:rsid w:val="08AC4F5E"/>
    <w:rsid w:val="08AC5061"/>
    <w:rsid w:val="08AC506D"/>
    <w:rsid w:val="08AC513C"/>
    <w:rsid w:val="08AC51AE"/>
    <w:rsid w:val="08AC5249"/>
    <w:rsid w:val="08AC52CF"/>
    <w:rsid w:val="08AC5303"/>
    <w:rsid w:val="08AC5331"/>
    <w:rsid w:val="08AC5338"/>
    <w:rsid w:val="08AC5345"/>
    <w:rsid w:val="08AC5493"/>
    <w:rsid w:val="08AC559B"/>
    <w:rsid w:val="08AC55AE"/>
    <w:rsid w:val="08AC55F3"/>
    <w:rsid w:val="08AC5619"/>
    <w:rsid w:val="08AC567E"/>
    <w:rsid w:val="08AC56C6"/>
    <w:rsid w:val="08AC591B"/>
    <w:rsid w:val="08AC5941"/>
    <w:rsid w:val="08AC595D"/>
    <w:rsid w:val="08AC596A"/>
    <w:rsid w:val="08AC5974"/>
    <w:rsid w:val="08AC59CE"/>
    <w:rsid w:val="08AC5A32"/>
    <w:rsid w:val="08AC5B06"/>
    <w:rsid w:val="08AC5B96"/>
    <w:rsid w:val="08AC5BB7"/>
    <w:rsid w:val="08AC5C4C"/>
    <w:rsid w:val="08AC5D6A"/>
    <w:rsid w:val="08AC5E00"/>
    <w:rsid w:val="08AC5E38"/>
    <w:rsid w:val="08AC5E86"/>
    <w:rsid w:val="08AC5E9A"/>
    <w:rsid w:val="08AC5EA6"/>
    <w:rsid w:val="08AC5F1D"/>
    <w:rsid w:val="08AC5FD5"/>
    <w:rsid w:val="08AC601A"/>
    <w:rsid w:val="08AC6151"/>
    <w:rsid w:val="08AC6171"/>
    <w:rsid w:val="08AC6212"/>
    <w:rsid w:val="08AC632A"/>
    <w:rsid w:val="08AC634F"/>
    <w:rsid w:val="08AC6351"/>
    <w:rsid w:val="08AC648B"/>
    <w:rsid w:val="08AC6612"/>
    <w:rsid w:val="08AC6685"/>
    <w:rsid w:val="08AC668F"/>
    <w:rsid w:val="08AC66E5"/>
    <w:rsid w:val="08AC683F"/>
    <w:rsid w:val="08AC6964"/>
    <w:rsid w:val="08AC6983"/>
    <w:rsid w:val="08AC69A5"/>
    <w:rsid w:val="08AC69A8"/>
    <w:rsid w:val="08AC6A3B"/>
    <w:rsid w:val="08AC6ABF"/>
    <w:rsid w:val="08AC6AD2"/>
    <w:rsid w:val="08AC6B9C"/>
    <w:rsid w:val="08AC6BE0"/>
    <w:rsid w:val="08AC6BEC"/>
    <w:rsid w:val="08AC6BFC"/>
    <w:rsid w:val="08AC6D51"/>
    <w:rsid w:val="08AC6E0F"/>
    <w:rsid w:val="08AC6E9B"/>
    <w:rsid w:val="08AC6EE8"/>
    <w:rsid w:val="08AC6EFE"/>
    <w:rsid w:val="08AC6F13"/>
    <w:rsid w:val="08AC705A"/>
    <w:rsid w:val="08AC7071"/>
    <w:rsid w:val="08AC712C"/>
    <w:rsid w:val="08AC716C"/>
    <w:rsid w:val="08AC71B2"/>
    <w:rsid w:val="08AC71D0"/>
    <w:rsid w:val="08AC723E"/>
    <w:rsid w:val="08AC72D0"/>
    <w:rsid w:val="08AC72EF"/>
    <w:rsid w:val="08AC72FB"/>
    <w:rsid w:val="08AC7362"/>
    <w:rsid w:val="08AC7397"/>
    <w:rsid w:val="08AC7404"/>
    <w:rsid w:val="08AC7418"/>
    <w:rsid w:val="08AC751D"/>
    <w:rsid w:val="08AC7560"/>
    <w:rsid w:val="08AC758A"/>
    <w:rsid w:val="08AC75A0"/>
    <w:rsid w:val="08AC75A4"/>
    <w:rsid w:val="08AC75D9"/>
    <w:rsid w:val="08AC7617"/>
    <w:rsid w:val="08AC764E"/>
    <w:rsid w:val="08AC765D"/>
    <w:rsid w:val="08AC7730"/>
    <w:rsid w:val="08AC78D3"/>
    <w:rsid w:val="08AC79C8"/>
    <w:rsid w:val="08AC7AB7"/>
    <w:rsid w:val="08AC7AC3"/>
    <w:rsid w:val="08AC7ADF"/>
    <w:rsid w:val="08AC7B5E"/>
    <w:rsid w:val="08AC7BE1"/>
    <w:rsid w:val="08AC7BF6"/>
    <w:rsid w:val="08AC7C46"/>
    <w:rsid w:val="08AC7C89"/>
    <w:rsid w:val="08AC7CAF"/>
    <w:rsid w:val="08AC7CB1"/>
    <w:rsid w:val="08AC7D21"/>
    <w:rsid w:val="08AC7D5C"/>
    <w:rsid w:val="08AC7D6F"/>
    <w:rsid w:val="08AC7D7E"/>
    <w:rsid w:val="08AC7E0A"/>
    <w:rsid w:val="08AC7E1E"/>
    <w:rsid w:val="08AC7E76"/>
    <w:rsid w:val="08AC7F31"/>
    <w:rsid w:val="08AC7FA2"/>
    <w:rsid w:val="08AD0045"/>
    <w:rsid w:val="08AD00A6"/>
    <w:rsid w:val="08AD00E0"/>
    <w:rsid w:val="08AD010C"/>
    <w:rsid w:val="08AD013A"/>
    <w:rsid w:val="08AD015E"/>
    <w:rsid w:val="08AD017C"/>
    <w:rsid w:val="08AD0180"/>
    <w:rsid w:val="08AD0191"/>
    <w:rsid w:val="08AD01D1"/>
    <w:rsid w:val="08AD02B5"/>
    <w:rsid w:val="08AD02DA"/>
    <w:rsid w:val="08AD0349"/>
    <w:rsid w:val="08AD04D1"/>
    <w:rsid w:val="08AD04F9"/>
    <w:rsid w:val="08AD05FB"/>
    <w:rsid w:val="08AD0618"/>
    <w:rsid w:val="08AD0664"/>
    <w:rsid w:val="08AD066F"/>
    <w:rsid w:val="08AD06ED"/>
    <w:rsid w:val="08AD072C"/>
    <w:rsid w:val="08AD073C"/>
    <w:rsid w:val="08AD0742"/>
    <w:rsid w:val="08AD076F"/>
    <w:rsid w:val="08AD077A"/>
    <w:rsid w:val="08AD0799"/>
    <w:rsid w:val="08AD07D3"/>
    <w:rsid w:val="08AD080C"/>
    <w:rsid w:val="08AD0817"/>
    <w:rsid w:val="08AD0874"/>
    <w:rsid w:val="08AD0885"/>
    <w:rsid w:val="08AD09FD"/>
    <w:rsid w:val="08AD0A00"/>
    <w:rsid w:val="08AD0A64"/>
    <w:rsid w:val="08AD0BAA"/>
    <w:rsid w:val="08AD0BE6"/>
    <w:rsid w:val="08AD0C2B"/>
    <w:rsid w:val="08AD0C98"/>
    <w:rsid w:val="08AD0D57"/>
    <w:rsid w:val="08AD0D73"/>
    <w:rsid w:val="08AD0D94"/>
    <w:rsid w:val="08AD0F80"/>
    <w:rsid w:val="08AD0FA6"/>
    <w:rsid w:val="08AD0FC1"/>
    <w:rsid w:val="08AD102B"/>
    <w:rsid w:val="08AD102D"/>
    <w:rsid w:val="08AD1053"/>
    <w:rsid w:val="08AD10F3"/>
    <w:rsid w:val="08AD1242"/>
    <w:rsid w:val="08AD12E6"/>
    <w:rsid w:val="08AD130B"/>
    <w:rsid w:val="08AD131A"/>
    <w:rsid w:val="08AD138C"/>
    <w:rsid w:val="08AD13B4"/>
    <w:rsid w:val="08AD142A"/>
    <w:rsid w:val="08AD1476"/>
    <w:rsid w:val="08AD14D9"/>
    <w:rsid w:val="08AD156F"/>
    <w:rsid w:val="08AD1643"/>
    <w:rsid w:val="08AD1652"/>
    <w:rsid w:val="08AD168D"/>
    <w:rsid w:val="08AD169C"/>
    <w:rsid w:val="08AD1826"/>
    <w:rsid w:val="08AD183D"/>
    <w:rsid w:val="08AD1883"/>
    <w:rsid w:val="08AD1963"/>
    <w:rsid w:val="08AD198E"/>
    <w:rsid w:val="08AD19FD"/>
    <w:rsid w:val="08AD1B65"/>
    <w:rsid w:val="08AD1C20"/>
    <w:rsid w:val="08AD1CEE"/>
    <w:rsid w:val="08AD1D3D"/>
    <w:rsid w:val="08AD1D78"/>
    <w:rsid w:val="08AD1D8C"/>
    <w:rsid w:val="08AD1E33"/>
    <w:rsid w:val="08AD1E41"/>
    <w:rsid w:val="08AD1E94"/>
    <w:rsid w:val="08AD1EE6"/>
    <w:rsid w:val="08AD1F49"/>
    <w:rsid w:val="08AD1F56"/>
    <w:rsid w:val="08AD1FC7"/>
    <w:rsid w:val="08AD208E"/>
    <w:rsid w:val="08AD20C3"/>
    <w:rsid w:val="08AD211F"/>
    <w:rsid w:val="08AD2120"/>
    <w:rsid w:val="08AD2149"/>
    <w:rsid w:val="08AD2156"/>
    <w:rsid w:val="08AD2180"/>
    <w:rsid w:val="08AD219E"/>
    <w:rsid w:val="08AD21E0"/>
    <w:rsid w:val="08AD2232"/>
    <w:rsid w:val="08AD229E"/>
    <w:rsid w:val="08AD242F"/>
    <w:rsid w:val="08AD2471"/>
    <w:rsid w:val="08AD24D7"/>
    <w:rsid w:val="08AD2512"/>
    <w:rsid w:val="08AD254C"/>
    <w:rsid w:val="08AD266A"/>
    <w:rsid w:val="08AD26C3"/>
    <w:rsid w:val="08AD2866"/>
    <w:rsid w:val="08AD28DC"/>
    <w:rsid w:val="08AD298B"/>
    <w:rsid w:val="08AD29A4"/>
    <w:rsid w:val="08AD2A5E"/>
    <w:rsid w:val="08AD2B36"/>
    <w:rsid w:val="08AD2B3F"/>
    <w:rsid w:val="08AD2C1C"/>
    <w:rsid w:val="08AD2C33"/>
    <w:rsid w:val="08AD2C8C"/>
    <w:rsid w:val="08AD2D2B"/>
    <w:rsid w:val="08AD2DA6"/>
    <w:rsid w:val="08AD2DEB"/>
    <w:rsid w:val="08AD2F06"/>
    <w:rsid w:val="08AD2F86"/>
    <w:rsid w:val="08AD3057"/>
    <w:rsid w:val="08AD30E8"/>
    <w:rsid w:val="08AD30ED"/>
    <w:rsid w:val="08AD30FF"/>
    <w:rsid w:val="08AD3163"/>
    <w:rsid w:val="08AD31A3"/>
    <w:rsid w:val="08AD32BD"/>
    <w:rsid w:val="08AD331B"/>
    <w:rsid w:val="08AD33A3"/>
    <w:rsid w:val="08AD33F6"/>
    <w:rsid w:val="08AD3465"/>
    <w:rsid w:val="08AD3483"/>
    <w:rsid w:val="08AD3499"/>
    <w:rsid w:val="08AD34A8"/>
    <w:rsid w:val="08AD3645"/>
    <w:rsid w:val="08AD3669"/>
    <w:rsid w:val="08AD371E"/>
    <w:rsid w:val="08AD3748"/>
    <w:rsid w:val="08AD3752"/>
    <w:rsid w:val="08AD3845"/>
    <w:rsid w:val="08AD3862"/>
    <w:rsid w:val="08AD3976"/>
    <w:rsid w:val="08AD3A6C"/>
    <w:rsid w:val="08AD3AA2"/>
    <w:rsid w:val="08AD3AB0"/>
    <w:rsid w:val="08AD3ABF"/>
    <w:rsid w:val="08AD3C69"/>
    <w:rsid w:val="08AD3C6B"/>
    <w:rsid w:val="08AD3C7C"/>
    <w:rsid w:val="08AD3C85"/>
    <w:rsid w:val="08AD3CFF"/>
    <w:rsid w:val="08AD3D0C"/>
    <w:rsid w:val="08AD3E09"/>
    <w:rsid w:val="08AD3EE6"/>
    <w:rsid w:val="08AD3F22"/>
    <w:rsid w:val="08AD410B"/>
    <w:rsid w:val="08AD41AF"/>
    <w:rsid w:val="08AD4294"/>
    <w:rsid w:val="08AD4337"/>
    <w:rsid w:val="08AD4433"/>
    <w:rsid w:val="08AD44E2"/>
    <w:rsid w:val="08AD44F1"/>
    <w:rsid w:val="08AD45D4"/>
    <w:rsid w:val="08AD461A"/>
    <w:rsid w:val="08AD4624"/>
    <w:rsid w:val="08AD4739"/>
    <w:rsid w:val="08AD4833"/>
    <w:rsid w:val="08AD484E"/>
    <w:rsid w:val="08AD4907"/>
    <w:rsid w:val="08AD4A30"/>
    <w:rsid w:val="08AD4A92"/>
    <w:rsid w:val="08AD4B08"/>
    <w:rsid w:val="08AD4B43"/>
    <w:rsid w:val="08AD4B75"/>
    <w:rsid w:val="08AD4C52"/>
    <w:rsid w:val="08AD4C58"/>
    <w:rsid w:val="08AD4CC9"/>
    <w:rsid w:val="08AD4DD9"/>
    <w:rsid w:val="08AD4E8E"/>
    <w:rsid w:val="08AD5072"/>
    <w:rsid w:val="08AD50AD"/>
    <w:rsid w:val="08AD51A6"/>
    <w:rsid w:val="08AD51AD"/>
    <w:rsid w:val="08AD51B3"/>
    <w:rsid w:val="08AD523D"/>
    <w:rsid w:val="08AD5302"/>
    <w:rsid w:val="08AD5380"/>
    <w:rsid w:val="08AD53C6"/>
    <w:rsid w:val="08AD53D0"/>
    <w:rsid w:val="08AD53D7"/>
    <w:rsid w:val="08AD53E7"/>
    <w:rsid w:val="08AD53F6"/>
    <w:rsid w:val="08AD544F"/>
    <w:rsid w:val="08AD54D3"/>
    <w:rsid w:val="08AD5504"/>
    <w:rsid w:val="08AD5556"/>
    <w:rsid w:val="08AD568D"/>
    <w:rsid w:val="08AD5713"/>
    <w:rsid w:val="08AD5821"/>
    <w:rsid w:val="08AD58E9"/>
    <w:rsid w:val="08AD5938"/>
    <w:rsid w:val="08AD5993"/>
    <w:rsid w:val="08AD59EC"/>
    <w:rsid w:val="08AD5A4D"/>
    <w:rsid w:val="08AD5AC4"/>
    <w:rsid w:val="08AD5AED"/>
    <w:rsid w:val="08AD5B3B"/>
    <w:rsid w:val="08AD5BF6"/>
    <w:rsid w:val="08AD5D1D"/>
    <w:rsid w:val="08AD5E40"/>
    <w:rsid w:val="08AD5E5E"/>
    <w:rsid w:val="08AD5E89"/>
    <w:rsid w:val="08AD5EBC"/>
    <w:rsid w:val="08AD5F22"/>
    <w:rsid w:val="08AD601D"/>
    <w:rsid w:val="08AD605B"/>
    <w:rsid w:val="08AD60EC"/>
    <w:rsid w:val="08AD626F"/>
    <w:rsid w:val="08AD6272"/>
    <w:rsid w:val="08AD62E0"/>
    <w:rsid w:val="08AD6373"/>
    <w:rsid w:val="08AD637D"/>
    <w:rsid w:val="08AD63FB"/>
    <w:rsid w:val="08AD647C"/>
    <w:rsid w:val="08AD64FD"/>
    <w:rsid w:val="08AD6539"/>
    <w:rsid w:val="08AD6577"/>
    <w:rsid w:val="08AD6593"/>
    <w:rsid w:val="08AD6705"/>
    <w:rsid w:val="08AD6724"/>
    <w:rsid w:val="08AD678F"/>
    <w:rsid w:val="08AD6A54"/>
    <w:rsid w:val="08AD6A5C"/>
    <w:rsid w:val="08AD6B5D"/>
    <w:rsid w:val="08AD6E5C"/>
    <w:rsid w:val="08AD6F15"/>
    <w:rsid w:val="08AD6F5B"/>
    <w:rsid w:val="08AD6F83"/>
    <w:rsid w:val="08AD6FCF"/>
    <w:rsid w:val="08AD701B"/>
    <w:rsid w:val="08AD701C"/>
    <w:rsid w:val="08AD7034"/>
    <w:rsid w:val="08AD7046"/>
    <w:rsid w:val="08AD705E"/>
    <w:rsid w:val="08AD7076"/>
    <w:rsid w:val="08AD7147"/>
    <w:rsid w:val="08AD734D"/>
    <w:rsid w:val="08AD73B7"/>
    <w:rsid w:val="08AD748B"/>
    <w:rsid w:val="08AD74C7"/>
    <w:rsid w:val="08AD74CE"/>
    <w:rsid w:val="08AD7522"/>
    <w:rsid w:val="08AD7563"/>
    <w:rsid w:val="08AD760D"/>
    <w:rsid w:val="08AD7786"/>
    <w:rsid w:val="08AD77C4"/>
    <w:rsid w:val="08AD77DB"/>
    <w:rsid w:val="08AD7890"/>
    <w:rsid w:val="08AD78AD"/>
    <w:rsid w:val="08AD797C"/>
    <w:rsid w:val="08AD79CB"/>
    <w:rsid w:val="08AD7AFE"/>
    <w:rsid w:val="08AD7B6E"/>
    <w:rsid w:val="08AD7BD4"/>
    <w:rsid w:val="08AD7C55"/>
    <w:rsid w:val="08AD7C5F"/>
    <w:rsid w:val="08AD7CEF"/>
    <w:rsid w:val="08AD7E32"/>
    <w:rsid w:val="08AD7E45"/>
    <w:rsid w:val="08AD7EB9"/>
    <w:rsid w:val="08AD7F5F"/>
    <w:rsid w:val="08AD7F79"/>
    <w:rsid w:val="08AD7FD8"/>
    <w:rsid w:val="08AE0017"/>
    <w:rsid w:val="08AE001E"/>
    <w:rsid w:val="08AE00CB"/>
    <w:rsid w:val="08AE03A0"/>
    <w:rsid w:val="08AE03BA"/>
    <w:rsid w:val="08AE046A"/>
    <w:rsid w:val="08AE0480"/>
    <w:rsid w:val="08AE048A"/>
    <w:rsid w:val="08AE0621"/>
    <w:rsid w:val="08AE062F"/>
    <w:rsid w:val="08AE068A"/>
    <w:rsid w:val="08AE06F9"/>
    <w:rsid w:val="08AE0704"/>
    <w:rsid w:val="08AE071A"/>
    <w:rsid w:val="08AE074B"/>
    <w:rsid w:val="08AE07E2"/>
    <w:rsid w:val="08AE0945"/>
    <w:rsid w:val="08AE09B7"/>
    <w:rsid w:val="08AE0A12"/>
    <w:rsid w:val="08AE0A62"/>
    <w:rsid w:val="08AE0ACA"/>
    <w:rsid w:val="08AE0AD8"/>
    <w:rsid w:val="08AE0B65"/>
    <w:rsid w:val="08AE0B91"/>
    <w:rsid w:val="08AE0B9C"/>
    <w:rsid w:val="08AE0C23"/>
    <w:rsid w:val="08AE0C47"/>
    <w:rsid w:val="08AE0C6B"/>
    <w:rsid w:val="08AE0C75"/>
    <w:rsid w:val="08AE0CA3"/>
    <w:rsid w:val="08AE0D81"/>
    <w:rsid w:val="08AE0D99"/>
    <w:rsid w:val="08AE0DD8"/>
    <w:rsid w:val="08AE0E1C"/>
    <w:rsid w:val="08AE0E34"/>
    <w:rsid w:val="08AE0E43"/>
    <w:rsid w:val="08AE0E9A"/>
    <w:rsid w:val="08AE0FB7"/>
    <w:rsid w:val="08AE102D"/>
    <w:rsid w:val="08AE1113"/>
    <w:rsid w:val="08AE111A"/>
    <w:rsid w:val="08AE1133"/>
    <w:rsid w:val="08AE117B"/>
    <w:rsid w:val="08AE125C"/>
    <w:rsid w:val="08AE127C"/>
    <w:rsid w:val="08AE13A7"/>
    <w:rsid w:val="08AE13C0"/>
    <w:rsid w:val="08AE155D"/>
    <w:rsid w:val="08AE155E"/>
    <w:rsid w:val="08AE1566"/>
    <w:rsid w:val="08AE15EE"/>
    <w:rsid w:val="08AE1612"/>
    <w:rsid w:val="08AE161D"/>
    <w:rsid w:val="08AE1624"/>
    <w:rsid w:val="08AE16B7"/>
    <w:rsid w:val="08AE1703"/>
    <w:rsid w:val="08AE170F"/>
    <w:rsid w:val="08AE1743"/>
    <w:rsid w:val="08AE1767"/>
    <w:rsid w:val="08AE18FB"/>
    <w:rsid w:val="08AE1927"/>
    <w:rsid w:val="08AE1A5D"/>
    <w:rsid w:val="08AE1BA1"/>
    <w:rsid w:val="08AE1C55"/>
    <w:rsid w:val="08AE1C97"/>
    <w:rsid w:val="08AE1CC1"/>
    <w:rsid w:val="08AE1D30"/>
    <w:rsid w:val="08AE1D71"/>
    <w:rsid w:val="08AE1E6F"/>
    <w:rsid w:val="08AE1ECF"/>
    <w:rsid w:val="08AE1F14"/>
    <w:rsid w:val="08AE1FF5"/>
    <w:rsid w:val="08AE208B"/>
    <w:rsid w:val="08AE20B3"/>
    <w:rsid w:val="08AE2150"/>
    <w:rsid w:val="08AE2152"/>
    <w:rsid w:val="08AE218A"/>
    <w:rsid w:val="08AE23D4"/>
    <w:rsid w:val="08AE23DD"/>
    <w:rsid w:val="08AE2428"/>
    <w:rsid w:val="08AE245A"/>
    <w:rsid w:val="08AE2466"/>
    <w:rsid w:val="08AE246B"/>
    <w:rsid w:val="08AE2471"/>
    <w:rsid w:val="08AE249B"/>
    <w:rsid w:val="08AE24B5"/>
    <w:rsid w:val="08AE254D"/>
    <w:rsid w:val="08AE25D8"/>
    <w:rsid w:val="08AE268F"/>
    <w:rsid w:val="08AE26D6"/>
    <w:rsid w:val="08AE2724"/>
    <w:rsid w:val="08AE2748"/>
    <w:rsid w:val="08AE2751"/>
    <w:rsid w:val="08AE29CD"/>
    <w:rsid w:val="08AE2A58"/>
    <w:rsid w:val="08AE2ABA"/>
    <w:rsid w:val="08AE2B1D"/>
    <w:rsid w:val="08AE2B4D"/>
    <w:rsid w:val="08AE2BEA"/>
    <w:rsid w:val="08AE2C38"/>
    <w:rsid w:val="08AE2C93"/>
    <w:rsid w:val="08AE2CE0"/>
    <w:rsid w:val="08AE2D2B"/>
    <w:rsid w:val="08AE2D74"/>
    <w:rsid w:val="08AE2DAB"/>
    <w:rsid w:val="08AE2E7D"/>
    <w:rsid w:val="08AE2E80"/>
    <w:rsid w:val="08AE2EC0"/>
    <w:rsid w:val="08AE2F3C"/>
    <w:rsid w:val="08AE2FEC"/>
    <w:rsid w:val="08AE30A7"/>
    <w:rsid w:val="08AE31FC"/>
    <w:rsid w:val="08AE3225"/>
    <w:rsid w:val="08AE32A6"/>
    <w:rsid w:val="08AE3310"/>
    <w:rsid w:val="08AE3430"/>
    <w:rsid w:val="08AE3451"/>
    <w:rsid w:val="08AE3461"/>
    <w:rsid w:val="08AE34A6"/>
    <w:rsid w:val="08AE3564"/>
    <w:rsid w:val="08AE359B"/>
    <w:rsid w:val="08AE35C1"/>
    <w:rsid w:val="08AE35CE"/>
    <w:rsid w:val="08AE36D2"/>
    <w:rsid w:val="08AE371A"/>
    <w:rsid w:val="08AE3817"/>
    <w:rsid w:val="08AE388B"/>
    <w:rsid w:val="08AE38E4"/>
    <w:rsid w:val="08AE390D"/>
    <w:rsid w:val="08AE39E1"/>
    <w:rsid w:val="08AE3A42"/>
    <w:rsid w:val="08AE3A56"/>
    <w:rsid w:val="08AE3B1C"/>
    <w:rsid w:val="08AE3B5B"/>
    <w:rsid w:val="08AE3BAE"/>
    <w:rsid w:val="08AE3BE1"/>
    <w:rsid w:val="08AE3C08"/>
    <w:rsid w:val="08AE3CA5"/>
    <w:rsid w:val="08AE3CA6"/>
    <w:rsid w:val="08AE3CE3"/>
    <w:rsid w:val="08AE3D2A"/>
    <w:rsid w:val="08AE3D4D"/>
    <w:rsid w:val="08AE3D9D"/>
    <w:rsid w:val="08AE3DE1"/>
    <w:rsid w:val="08AE3FC7"/>
    <w:rsid w:val="08AE4265"/>
    <w:rsid w:val="08AE42BD"/>
    <w:rsid w:val="08AE4306"/>
    <w:rsid w:val="08AE436E"/>
    <w:rsid w:val="08AE43CC"/>
    <w:rsid w:val="08AE43CE"/>
    <w:rsid w:val="08AE43DF"/>
    <w:rsid w:val="08AE43EE"/>
    <w:rsid w:val="08AE442F"/>
    <w:rsid w:val="08AE447B"/>
    <w:rsid w:val="08AE4570"/>
    <w:rsid w:val="08AE45C5"/>
    <w:rsid w:val="08AE4683"/>
    <w:rsid w:val="08AE46FA"/>
    <w:rsid w:val="08AE4703"/>
    <w:rsid w:val="08AE4763"/>
    <w:rsid w:val="08AE47DF"/>
    <w:rsid w:val="08AE47FE"/>
    <w:rsid w:val="08AE4887"/>
    <w:rsid w:val="08AE48D1"/>
    <w:rsid w:val="08AE49A0"/>
    <w:rsid w:val="08AE4A11"/>
    <w:rsid w:val="08AE4A51"/>
    <w:rsid w:val="08AE4A6A"/>
    <w:rsid w:val="08AE4AF4"/>
    <w:rsid w:val="08AE4C00"/>
    <w:rsid w:val="08AE4C32"/>
    <w:rsid w:val="08AE4D73"/>
    <w:rsid w:val="08AE4EA2"/>
    <w:rsid w:val="08AE4ED8"/>
    <w:rsid w:val="08AE4EE0"/>
    <w:rsid w:val="08AE4EF4"/>
    <w:rsid w:val="08AE4F31"/>
    <w:rsid w:val="08AE505B"/>
    <w:rsid w:val="08AE50AF"/>
    <w:rsid w:val="08AE515B"/>
    <w:rsid w:val="08AE5185"/>
    <w:rsid w:val="08AE5254"/>
    <w:rsid w:val="08AE5278"/>
    <w:rsid w:val="08AE527B"/>
    <w:rsid w:val="08AE5347"/>
    <w:rsid w:val="08AE537B"/>
    <w:rsid w:val="08AE53B1"/>
    <w:rsid w:val="08AE5409"/>
    <w:rsid w:val="08AE5434"/>
    <w:rsid w:val="08AE549D"/>
    <w:rsid w:val="08AE54B4"/>
    <w:rsid w:val="08AE5571"/>
    <w:rsid w:val="08AE5586"/>
    <w:rsid w:val="08AE55C0"/>
    <w:rsid w:val="08AE585D"/>
    <w:rsid w:val="08AE5942"/>
    <w:rsid w:val="08AE595B"/>
    <w:rsid w:val="08AE59B6"/>
    <w:rsid w:val="08AE59DF"/>
    <w:rsid w:val="08AE5A04"/>
    <w:rsid w:val="08AE5A55"/>
    <w:rsid w:val="08AE5AC0"/>
    <w:rsid w:val="08AE5AFF"/>
    <w:rsid w:val="08AE5BA6"/>
    <w:rsid w:val="08AE5BC9"/>
    <w:rsid w:val="08AE5C8E"/>
    <w:rsid w:val="08AE5CCF"/>
    <w:rsid w:val="08AE5D29"/>
    <w:rsid w:val="08AE5D35"/>
    <w:rsid w:val="08AE5E2C"/>
    <w:rsid w:val="08AE5E51"/>
    <w:rsid w:val="08AE5E62"/>
    <w:rsid w:val="08AE5F3D"/>
    <w:rsid w:val="08AE5F63"/>
    <w:rsid w:val="08AE5F90"/>
    <w:rsid w:val="08AE6059"/>
    <w:rsid w:val="08AE615B"/>
    <w:rsid w:val="08AE6178"/>
    <w:rsid w:val="08AE6185"/>
    <w:rsid w:val="08AE62FA"/>
    <w:rsid w:val="08AE639D"/>
    <w:rsid w:val="08AE6499"/>
    <w:rsid w:val="08AE6531"/>
    <w:rsid w:val="08AE6549"/>
    <w:rsid w:val="08AE6568"/>
    <w:rsid w:val="08AE6595"/>
    <w:rsid w:val="08AE65DF"/>
    <w:rsid w:val="08AE6612"/>
    <w:rsid w:val="08AE6641"/>
    <w:rsid w:val="08AE668F"/>
    <w:rsid w:val="08AE6722"/>
    <w:rsid w:val="08AE688C"/>
    <w:rsid w:val="08AE6893"/>
    <w:rsid w:val="08AE68C4"/>
    <w:rsid w:val="08AE68E0"/>
    <w:rsid w:val="08AE68E6"/>
    <w:rsid w:val="08AE6A77"/>
    <w:rsid w:val="08AE6A96"/>
    <w:rsid w:val="08AE6AA2"/>
    <w:rsid w:val="08AE6AA3"/>
    <w:rsid w:val="08AE6AEB"/>
    <w:rsid w:val="08AE6AF0"/>
    <w:rsid w:val="08AE6B3D"/>
    <w:rsid w:val="08AE6B9D"/>
    <w:rsid w:val="08AE6BCA"/>
    <w:rsid w:val="08AE6BF3"/>
    <w:rsid w:val="08AE6C53"/>
    <w:rsid w:val="08AE6C5B"/>
    <w:rsid w:val="08AE6C62"/>
    <w:rsid w:val="08AE6C90"/>
    <w:rsid w:val="08AE6D1C"/>
    <w:rsid w:val="08AE6D72"/>
    <w:rsid w:val="08AE6E0D"/>
    <w:rsid w:val="08AE6E7C"/>
    <w:rsid w:val="08AE6E84"/>
    <w:rsid w:val="08AE6E86"/>
    <w:rsid w:val="08AE6E9B"/>
    <w:rsid w:val="08AE6ECF"/>
    <w:rsid w:val="08AE6EFB"/>
    <w:rsid w:val="08AE6FF3"/>
    <w:rsid w:val="08AE7079"/>
    <w:rsid w:val="08AE7114"/>
    <w:rsid w:val="08AE723E"/>
    <w:rsid w:val="08AE725A"/>
    <w:rsid w:val="08AE72D4"/>
    <w:rsid w:val="08AE73DB"/>
    <w:rsid w:val="08AE743E"/>
    <w:rsid w:val="08AE766E"/>
    <w:rsid w:val="08AE76E7"/>
    <w:rsid w:val="08AE76FD"/>
    <w:rsid w:val="08AE777A"/>
    <w:rsid w:val="08AE77BB"/>
    <w:rsid w:val="08AE792F"/>
    <w:rsid w:val="08AE793C"/>
    <w:rsid w:val="08AE7962"/>
    <w:rsid w:val="08AE79B2"/>
    <w:rsid w:val="08AE79C1"/>
    <w:rsid w:val="08AE7A0C"/>
    <w:rsid w:val="08AE7A4C"/>
    <w:rsid w:val="08AE7B00"/>
    <w:rsid w:val="08AE7B18"/>
    <w:rsid w:val="08AE7B9C"/>
    <w:rsid w:val="08AE7BA7"/>
    <w:rsid w:val="08AE7C95"/>
    <w:rsid w:val="08AE7D79"/>
    <w:rsid w:val="08AE7DC2"/>
    <w:rsid w:val="08AE7E00"/>
    <w:rsid w:val="08AE7E1A"/>
    <w:rsid w:val="08AE7F86"/>
    <w:rsid w:val="08AF0117"/>
    <w:rsid w:val="08AF017F"/>
    <w:rsid w:val="08AF01A7"/>
    <w:rsid w:val="08AF021E"/>
    <w:rsid w:val="08AF024B"/>
    <w:rsid w:val="08AF0267"/>
    <w:rsid w:val="08AF03A2"/>
    <w:rsid w:val="08AF042C"/>
    <w:rsid w:val="08AF04E9"/>
    <w:rsid w:val="08AF0556"/>
    <w:rsid w:val="08AF057A"/>
    <w:rsid w:val="08AF05C0"/>
    <w:rsid w:val="08AF0648"/>
    <w:rsid w:val="08AF0697"/>
    <w:rsid w:val="08AF06C6"/>
    <w:rsid w:val="08AF0716"/>
    <w:rsid w:val="08AF073F"/>
    <w:rsid w:val="08AF074D"/>
    <w:rsid w:val="08AF07FC"/>
    <w:rsid w:val="08AF07FF"/>
    <w:rsid w:val="08AF081D"/>
    <w:rsid w:val="08AF086C"/>
    <w:rsid w:val="08AF08A8"/>
    <w:rsid w:val="08AF098D"/>
    <w:rsid w:val="08AF09CE"/>
    <w:rsid w:val="08AF0A0B"/>
    <w:rsid w:val="08AF0A23"/>
    <w:rsid w:val="08AF0A28"/>
    <w:rsid w:val="08AF0A78"/>
    <w:rsid w:val="08AF0CEF"/>
    <w:rsid w:val="08AF0DC1"/>
    <w:rsid w:val="08AF0E04"/>
    <w:rsid w:val="08AF0E06"/>
    <w:rsid w:val="08AF0EB3"/>
    <w:rsid w:val="08AF0F98"/>
    <w:rsid w:val="08AF0F9D"/>
    <w:rsid w:val="08AF0FA6"/>
    <w:rsid w:val="08AF0FB6"/>
    <w:rsid w:val="08AF0FEE"/>
    <w:rsid w:val="08AF103F"/>
    <w:rsid w:val="08AF10BB"/>
    <w:rsid w:val="08AF110B"/>
    <w:rsid w:val="08AF1113"/>
    <w:rsid w:val="08AF112A"/>
    <w:rsid w:val="08AF11D2"/>
    <w:rsid w:val="08AF124F"/>
    <w:rsid w:val="08AF125F"/>
    <w:rsid w:val="08AF12D1"/>
    <w:rsid w:val="08AF1355"/>
    <w:rsid w:val="08AF1399"/>
    <w:rsid w:val="08AF1472"/>
    <w:rsid w:val="08AF14DE"/>
    <w:rsid w:val="08AF1592"/>
    <w:rsid w:val="08AF1603"/>
    <w:rsid w:val="08AF1712"/>
    <w:rsid w:val="08AF173D"/>
    <w:rsid w:val="08AF1826"/>
    <w:rsid w:val="08AF18AC"/>
    <w:rsid w:val="08AF18BB"/>
    <w:rsid w:val="08AF190D"/>
    <w:rsid w:val="08AF1931"/>
    <w:rsid w:val="08AF1938"/>
    <w:rsid w:val="08AF1A21"/>
    <w:rsid w:val="08AF1A52"/>
    <w:rsid w:val="08AF1A87"/>
    <w:rsid w:val="08AF1B32"/>
    <w:rsid w:val="08AF1BB6"/>
    <w:rsid w:val="08AF1BC3"/>
    <w:rsid w:val="08AF1CB6"/>
    <w:rsid w:val="08AF1D7E"/>
    <w:rsid w:val="08AF1DB3"/>
    <w:rsid w:val="08AF1DEC"/>
    <w:rsid w:val="08AF1EBC"/>
    <w:rsid w:val="08AF1F2A"/>
    <w:rsid w:val="08AF1F43"/>
    <w:rsid w:val="08AF1F95"/>
    <w:rsid w:val="08AF201C"/>
    <w:rsid w:val="08AF20D6"/>
    <w:rsid w:val="08AF20D9"/>
    <w:rsid w:val="08AF217B"/>
    <w:rsid w:val="08AF2238"/>
    <w:rsid w:val="08AF227D"/>
    <w:rsid w:val="08AF2298"/>
    <w:rsid w:val="08AF22B0"/>
    <w:rsid w:val="08AF22B3"/>
    <w:rsid w:val="08AF238E"/>
    <w:rsid w:val="08AF2427"/>
    <w:rsid w:val="08AF24A9"/>
    <w:rsid w:val="08AF24F1"/>
    <w:rsid w:val="08AF25A6"/>
    <w:rsid w:val="08AF25AF"/>
    <w:rsid w:val="08AF2692"/>
    <w:rsid w:val="08AF26C2"/>
    <w:rsid w:val="08AF2726"/>
    <w:rsid w:val="08AF2790"/>
    <w:rsid w:val="08AF2792"/>
    <w:rsid w:val="08AF27A6"/>
    <w:rsid w:val="08AF2802"/>
    <w:rsid w:val="08AF2847"/>
    <w:rsid w:val="08AF293A"/>
    <w:rsid w:val="08AF2945"/>
    <w:rsid w:val="08AF29B4"/>
    <w:rsid w:val="08AF2A46"/>
    <w:rsid w:val="08AF2AA0"/>
    <w:rsid w:val="08AF2AF5"/>
    <w:rsid w:val="08AF2B32"/>
    <w:rsid w:val="08AF2BF2"/>
    <w:rsid w:val="08AF2C06"/>
    <w:rsid w:val="08AF2C5B"/>
    <w:rsid w:val="08AF2D59"/>
    <w:rsid w:val="08AF2DBC"/>
    <w:rsid w:val="08AF2E49"/>
    <w:rsid w:val="08AF2E8D"/>
    <w:rsid w:val="08AF2EF5"/>
    <w:rsid w:val="08AF2F4B"/>
    <w:rsid w:val="08AF2FD8"/>
    <w:rsid w:val="08AF3159"/>
    <w:rsid w:val="08AF336C"/>
    <w:rsid w:val="08AF3383"/>
    <w:rsid w:val="08AF3440"/>
    <w:rsid w:val="08AF3458"/>
    <w:rsid w:val="08AF34B6"/>
    <w:rsid w:val="08AF3511"/>
    <w:rsid w:val="08AF3566"/>
    <w:rsid w:val="08AF35B3"/>
    <w:rsid w:val="08AF360B"/>
    <w:rsid w:val="08AF363A"/>
    <w:rsid w:val="08AF364A"/>
    <w:rsid w:val="08AF36C2"/>
    <w:rsid w:val="08AF3731"/>
    <w:rsid w:val="08AF3760"/>
    <w:rsid w:val="08AF3761"/>
    <w:rsid w:val="08AF3766"/>
    <w:rsid w:val="08AF3823"/>
    <w:rsid w:val="08AF389E"/>
    <w:rsid w:val="08AF3919"/>
    <w:rsid w:val="08AF393C"/>
    <w:rsid w:val="08AF39BD"/>
    <w:rsid w:val="08AF3A3A"/>
    <w:rsid w:val="08AF3A98"/>
    <w:rsid w:val="08AF3ABB"/>
    <w:rsid w:val="08AF3B2A"/>
    <w:rsid w:val="08AF3CCE"/>
    <w:rsid w:val="08AF3D8D"/>
    <w:rsid w:val="08AF3DAD"/>
    <w:rsid w:val="08AF3EA3"/>
    <w:rsid w:val="08AF3EEC"/>
    <w:rsid w:val="08AF407D"/>
    <w:rsid w:val="08AF408C"/>
    <w:rsid w:val="08AF4100"/>
    <w:rsid w:val="08AF41D2"/>
    <w:rsid w:val="08AF4241"/>
    <w:rsid w:val="08AF4285"/>
    <w:rsid w:val="08AF42B4"/>
    <w:rsid w:val="08AF434C"/>
    <w:rsid w:val="08AF4356"/>
    <w:rsid w:val="08AF4366"/>
    <w:rsid w:val="08AF4374"/>
    <w:rsid w:val="08AF437E"/>
    <w:rsid w:val="08AF4435"/>
    <w:rsid w:val="08AF4457"/>
    <w:rsid w:val="08AF44BE"/>
    <w:rsid w:val="08AF45E0"/>
    <w:rsid w:val="08AF476A"/>
    <w:rsid w:val="08AF4805"/>
    <w:rsid w:val="08AF499D"/>
    <w:rsid w:val="08AF49A1"/>
    <w:rsid w:val="08AF49CA"/>
    <w:rsid w:val="08AF49E1"/>
    <w:rsid w:val="08AF4B05"/>
    <w:rsid w:val="08AF4C83"/>
    <w:rsid w:val="08AF4C93"/>
    <w:rsid w:val="08AF4DD9"/>
    <w:rsid w:val="08AF4E07"/>
    <w:rsid w:val="08AF4EC5"/>
    <w:rsid w:val="08AF4F09"/>
    <w:rsid w:val="08AF5004"/>
    <w:rsid w:val="08AF50A9"/>
    <w:rsid w:val="08AF5112"/>
    <w:rsid w:val="08AF5123"/>
    <w:rsid w:val="08AF513B"/>
    <w:rsid w:val="08AF532C"/>
    <w:rsid w:val="08AF5370"/>
    <w:rsid w:val="08AF5436"/>
    <w:rsid w:val="08AF54A5"/>
    <w:rsid w:val="08AF5517"/>
    <w:rsid w:val="08AF5548"/>
    <w:rsid w:val="08AF555C"/>
    <w:rsid w:val="08AF562A"/>
    <w:rsid w:val="08AF5693"/>
    <w:rsid w:val="08AF56A5"/>
    <w:rsid w:val="08AF56BF"/>
    <w:rsid w:val="08AF56CE"/>
    <w:rsid w:val="08AF5743"/>
    <w:rsid w:val="08AF575F"/>
    <w:rsid w:val="08AF57C6"/>
    <w:rsid w:val="08AF57CD"/>
    <w:rsid w:val="08AF5847"/>
    <w:rsid w:val="08AF59AD"/>
    <w:rsid w:val="08AF5A05"/>
    <w:rsid w:val="08AF5AB9"/>
    <w:rsid w:val="08AF5B61"/>
    <w:rsid w:val="08AF5B8B"/>
    <w:rsid w:val="08AF5BA5"/>
    <w:rsid w:val="08AF5BED"/>
    <w:rsid w:val="08AF5BF9"/>
    <w:rsid w:val="08AF5CDC"/>
    <w:rsid w:val="08AF5D47"/>
    <w:rsid w:val="08AF5DA0"/>
    <w:rsid w:val="08AF5DC6"/>
    <w:rsid w:val="08AF5DD1"/>
    <w:rsid w:val="08AF5E5E"/>
    <w:rsid w:val="08AF5F5B"/>
    <w:rsid w:val="08AF5FF3"/>
    <w:rsid w:val="08AF6004"/>
    <w:rsid w:val="08AF6008"/>
    <w:rsid w:val="08AF607D"/>
    <w:rsid w:val="08AF60B0"/>
    <w:rsid w:val="08AF60ED"/>
    <w:rsid w:val="08AF60FB"/>
    <w:rsid w:val="08AF6149"/>
    <w:rsid w:val="08AF615B"/>
    <w:rsid w:val="08AF616F"/>
    <w:rsid w:val="08AF6189"/>
    <w:rsid w:val="08AF61EB"/>
    <w:rsid w:val="08AF61F3"/>
    <w:rsid w:val="08AF6214"/>
    <w:rsid w:val="08AF62A0"/>
    <w:rsid w:val="08AF62CA"/>
    <w:rsid w:val="08AF62CC"/>
    <w:rsid w:val="08AF62DF"/>
    <w:rsid w:val="08AF6302"/>
    <w:rsid w:val="08AF6340"/>
    <w:rsid w:val="08AF6350"/>
    <w:rsid w:val="08AF640D"/>
    <w:rsid w:val="08AF642D"/>
    <w:rsid w:val="08AF6446"/>
    <w:rsid w:val="08AF64B6"/>
    <w:rsid w:val="08AF64D7"/>
    <w:rsid w:val="08AF655F"/>
    <w:rsid w:val="08AF65E4"/>
    <w:rsid w:val="08AF6627"/>
    <w:rsid w:val="08AF6628"/>
    <w:rsid w:val="08AF66B1"/>
    <w:rsid w:val="08AF672D"/>
    <w:rsid w:val="08AF67D9"/>
    <w:rsid w:val="08AF682E"/>
    <w:rsid w:val="08AF6837"/>
    <w:rsid w:val="08AF69FA"/>
    <w:rsid w:val="08AF6A13"/>
    <w:rsid w:val="08AF6AA6"/>
    <w:rsid w:val="08AF6B7D"/>
    <w:rsid w:val="08AF6C23"/>
    <w:rsid w:val="08AF6C4C"/>
    <w:rsid w:val="08AF6C88"/>
    <w:rsid w:val="08AF6C8F"/>
    <w:rsid w:val="08AF6D8D"/>
    <w:rsid w:val="08AF6DFF"/>
    <w:rsid w:val="08AF6E3B"/>
    <w:rsid w:val="08AF6E83"/>
    <w:rsid w:val="08AF6F51"/>
    <w:rsid w:val="08AF6F77"/>
    <w:rsid w:val="08AF6F98"/>
    <w:rsid w:val="08AF7017"/>
    <w:rsid w:val="08AF718E"/>
    <w:rsid w:val="08AF719B"/>
    <w:rsid w:val="08AF71BD"/>
    <w:rsid w:val="08AF724B"/>
    <w:rsid w:val="08AF727A"/>
    <w:rsid w:val="08AF72BE"/>
    <w:rsid w:val="08AF72FA"/>
    <w:rsid w:val="08AF7302"/>
    <w:rsid w:val="08AF7312"/>
    <w:rsid w:val="08AF7324"/>
    <w:rsid w:val="08AF7349"/>
    <w:rsid w:val="08AF7368"/>
    <w:rsid w:val="08AF73E1"/>
    <w:rsid w:val="08AF746D"/>
    <w:rsid w:val="08AF74A1"/>
    <w:rsid w:val="08AF7535"/>
    <w:rsid w:val="08AF75D8"/>
    <w:rsid w:val="08AF770F"/>
    <w:rsid w:val="08AF786F"/>
    <w:rsid w:val="08AF79DA"/>
    <w:rsid w:val="08AF7ABE"/>
    <w:rsid w:val="08AF7B1D"/>
    <w:rsid w:val="08AF7B65"/>
    <w:rsid w:val="08AF7C84"/>
    <w:rsid w:val="08AF7C9F"/>
    <w:rsid w:val="08AF7CD9"/>
    <w:rsid w:val="08AF7D07"/>
    <w:rsid w:val="08AF7D65"/>
    <w:rsid w:val="08AF7DDA"/>
    <w:rsid w:val="08AF7E1A"/>
    <w:rsid w:val="08AF7F1E"/>
    <w:rsid w:val="08B00072"/>
    <w:rsid w:val="08B00146"/>
    <w:rsid w:val="08B001D6"/>
    <w:rsid w:val="08B00248"/>
    <w:rsid w:val="08B00263"/>
    <w:rsid w:val="08B00266"/>
    <w:rsid w:val="08B00273"/>
    <w:rsid w:val="08B00283"/>
    <w:rsid w:val="08B002A1"/>
    <w:rsid w:val="08B002A4"/>
    <w:rsid w:val="08B00371"/>
    <w:rsid w:val="08B003FB"/>
    <w:rsid w:val="08B00569"/>
    <w:rsid w:val="08B005FF"/>
    <w:rsid w:val="08B00649"/>
    <w:rsid w:val="08B00661"/>
    <w:rsid w:val="08B00673"/>
    <w:rsid w:val="08B00676"/>
    <w:rsid w:val="08B0069E"/>
    <w:rsid w:val="08B006A4"/>
    <w:rsid w:val="08B006BC"/>
    <w:rsid w:val="08B006D9"/>
    <w:rsid w:val="08B006F3"/>
    <w:rsid w:val="08B007DA"/>
    <w:rsid w:val="08B00838"/>
    <w:rsid w:val="08B00978"/>
    <w:rsid w:val="08B009B6"/>
    <w:rsid w:val="08B00ACA"/>
    <w:rsid w:val="08B00B41"/>
    <w:rsid w:val="08B00C5E"/>
    <w:rsid w:val="08B00C65"/>
    <w:rsid w:val="08B00D01"/>
    <w:rsid w:val="08B00D6C"/>
    <w:rsid w:val="08B00DAC"/>
    <w:rsid w:val="08B00EEB"/>
    <w:rsid w:val="08B00F55"/>
    <w:rsid w:val="08B00FE0"/>
    <w:rsid w:val="08B0101B"/>
    <w:rsid w:val="08B010B5"/>
    <w:rsid w:val="08B0119E"/>
    <w:rsid w:val="08B0122C"/>
    <w:rsid w:val="08B01330"/>
    <w:rsid w:val="08B01338"/>
    <w:rsid w:val="08B0148F"/>
    <w:rsid w:val="08B01508"/>
    <w:rsid w:val="08B01517"/>
    <w:rsid w:val="08B01523"/>
    <w:rsid w:val="08B0152C"/>
    <w:rsid w:val="08B01588"/>
    <w:rsid w:val="08B01680"/>
    <w:rsid w:val="08B016D2"/>
    <w:rsid w:val="08B01708"/>
    <w:rsid w:val="08B0180C"/>
    <w:rsid w:val="08B01866"/>
    <w:rsid w:val="08B019E1"/>
    <w:rsid w:val="08B01ADF"/>
    <w:rsid w:val="08B01AE7"/>
    <w:rsid w:val="08B01BC5"/>
    <w:rsid w:val="08B01C77"/>
    <w:rsid w:val="08B01CB1"/>
    <w:rsid w:val="08B01E37"/>
    <w:rsid w:val="08B01EE4"/>
    <w:rsid w:val="08B01FD0"/>
    <w:rsid w:val="08B0201E"/>
    <w:rsid w:val="08B02051"/>
    <w:rsid w:val="08B0209D"/>
    <w:rsid w:val="08B020C7"/>
    <w:rsid w:val="08B021C8"/>
    <w:rsid w:val="08B0220B"/>
    <w:rsid w:val="08B022A0"/>
    <w:rsid w:val="08B022E3"/>
    <w:rsid w:val="08B02363"/>
    <w:rsid w:val="08B023DB"/>
    <w:rsid w:val="08B024BB"/>
    <w:rsid w:val="08B024CF"/>
    <w:rsid w:val="08B024EF"/>
    <w:rsid w:val="08B0252B"/>
    <w:rsid w:val="08B02634"/>
    <w:rsid w:val="08B0266A"/>
    <w:rsid w:val="08B026B3"/>
    <w:rsid w:val="08B02759"/>
    <w:rsid w:val="08B02846"/>
    <w:rsid w:val="08B028A3"/>
    <w:rsid w:val="08B0291C"/>
    <w:rsid w:val="08B02AF2"/>
    <w:rsid w:val="08B02B4D"/>
    <w:rsid w:val="08B02C09"/>
    <w:rsid w:val="08B02CD3"/>
    <w:rsid w:val="08B02E58"/>
    <w:rsid w:val="08B02EA3"/>
    <w:rsid w:val="08B02F95"/>
    <w:rsid w:val="08B02FF5"/>
    <w:rsid w:val="08B0305E"/>
    <w:rsid w:val="08B030A1"/>
    <w:rsid w:val="08B030CB"/>
    <w:rsid w:val="08B0315A"/>
    <w:rsid w:val="08B0316E"/>
    <w:rsid w:val="08B0323E"/>
    <w:rsid w:val="08B032AF"/>
    <w:rsid w:val="08B032D5"/>
    <w:rsid w:val="08B032DD"/>
    <w:rsid w:val="08B03317"/>
    <w:rsid w:val="08B0332D"/>
    <w:rsid w:val="08B03355"/>
    <w:rsid w:val="08B03372"/>
    <w:rsid w:val="08B034A9"/>
    <w:rsid w:val="08B034E9"/>
    <w:rsid w:val="08B03527"/>
    <w:rsid w:val="08B0359E"/>
    <w:rsid w:val="08B0365C"/>
    <w:rsid w:val="08B03681"/>
    <w:rsid w:val="08B03705"/>
    <w:rsid w:val="08B0377C"/>
    <w:rsid w:val="08B037B2"/>
    <w:rsid w:val="08B03844"/>
    <w:rsid w:val="08B038B7"/>
    <w:rsid w:val="08B039C5"/>
    <w:rsid w:val="08B039F2"/>
    <w:rsid w:val="08B039F5"/>
    <w:rsid w:val="08B03A30"/>
    <w:rsid w:val="08B03A36"/>
    <w:rsid w:val="08B03B2A"/>
    <w:rsid w:val="08B03B7A"/>
    <w:rsid w:val="08B03B81"/>
    <w:rsid w:val="08B03BB9"/>
    <w:rsid w:val="08B03C22"/>
    <w:rsid w:val="08B03C30"/>
    <w:rsid w:val="08B03C5B"/>
    <w:rsid w:val="08B03C5D"/>
    <w:rsid w:val="08B03C72"/>
    <w:rsid w:val="08B03CF8"/>
    <w:rsid w:val="08B03D13"/>
    <w:rsid w:val="08B03DB5"/>
    <w:rsid w:val="08B03DF2"/>
    <w:rsid w:val="08B03E0C"/>
    <w:rsid w:val="08B03E4B"/>
    <w:rsid w:val="08B03E50"/>
    <w:rsid w:val="08B03E58"/>
    <w:rsid w:val="08B03EAB"/>
    <w:rsid w:val="08B03FBB"/>
    <w:rsid w:val="08B03FED"/>
    <w:rsid w:val="08B04017"/>
    <w:rsid w:val="08B041C2"/>
    <w:rsid w:val="08B042BE"/>
    <w:rsid w:val="08B042E0"/>
    <w:rsid w:val="08B0432D"/>
    <w:rsid w:val="08B0446B"/>
    <w:rsid w:val="08B04523"/>
    <w:rsid w:val="08B0457C"/>
    <w:rsid w:val="08B0469F"/>
    <w:rsid w:val="08B046E0"/>
    <w:rsid w:val="08B04799"/>
    <w:rsid w:val="08B047D5"/>
    <w:rsid w:val="08B04858"/>
    <w:rsid w:val="08B04977"/>
    <w:rsid w:val="08B049E7"/>
    <w:rsid w:val="08B04A81"/>
    <w:rsid w:val="08B04B53"/>
    <w:rsid w:val="08B04DAE"/>
    <w:rsid w:val="08B04E3E"/>
    <w:rsid w:val="08B04F36"/>
    <w:rsid w:val="08B04F74"/>
    <w:rsid w:val="08B04FB7"/>
    <w:rsid w:val="08B05045"/>
    <w:rsid w:val="08B05054"/>
    <w:rsid w:val="08B050C1"/>
    <w:rsid w:val="08B05157"/>
    <w:rsid w:val="08B05161"/>
    <w:rsid w:val="08B0520F"/>
    <w:rsid w:val="08B05215"/>
    <w:rsid w:val="08B05281"/>
    <w:rsid w:val="08B052D2"/>
    <w:rsid w:val="08B0534F"/>
    <w:rsid w:val="08B053F4"/>
    <w:rsid w:val="08B0544D"/>
    <w:rsid w:val="08B0548F"/>
    <w:rsid w:val="08B054FB"/>
    <w:rsid w:val="08B05594"/>
    <w:rsid w:val="08B0559E"/>
    <w:rsid w:val="08B055CD"/>
    <w:rsid w:val="08B0562D"/>
    <w:rsid w:val="08B0568F"/>
    <w:rsid w:val="08B056CA"/>
    <w:rsid w:val="08B0570E"/>
    <w:rsid w:val="08B05716"/>
    <w:rsid w:val="08B057A6"/>
    <w:rsid w:val="08B05946"/>
    <w:rsid w:val="08B0595C"/>
    <w:rsid w:val="08B059A1"/>
    <w:rsid w:val="08B05A22"/>
    <w:rsid w:val="08B05A58"/>
    <w:rsid w:val="08B05AE6"/>
    <w:rsid w:val="08B05C14"/>
    <w:rsid w:val="08B05C4D"/>
    <w:rsid w:val="08B05C6F"/>
    <w:rsid w:val="08B05CF7"/>
    <w:rsid w:val="08B05D4D"/>
    <w:rsid w:val="08B05D75"/>
    <w:rsid w:val="08B05DC2"/>
    <w:rsid w:val="08B05E89"/>
    <w:rsid w:val="08B05EB4"/>
    <w:rsid w:val="08B05F22"/>
    <w:rsid w:val="08B05FF7"/>
    <w:rsid w:val="08B060E4"/>
    <w:rsid w:val="08B060F8"/>
    <w:rsid w:val="08B060FD"/>
    <w:rsid w:val="08B060FF"/>
    <w:rsid w:val="08B0611A"/>
    <w:rsid w:val="08B06135"/>
    <w:rsid w:val="08B0615E"/>
    <w:rsid w:val="08B06160"/>
    <w:rsid w:val="08B061EF"/>
    <w:rsid w:val="08B06255"/>
    <w:rsid w:val="08B06362"/>
    <w:rsid w:val="08B06397"/>
    <w:rsid w:val="08B0640D"/>
    <w:rsid w:val="08B06455"/>
    <w:rsid w:val="08B064E7"/>
    <w:rsid w:val="08B064EC"/>
    <w:rsid w:val="08B0652B"/>
    <w:rsid w:val="08B06546"/>
    <w:rsid w:val="08B065B0"/>
    <w:rsid w:val="08B065FE"/>
    <w:rsid w:val="08B0670D"/>
    <w:rsid w:val="08B06721"/>
    <w:rsid w:val="08B0678F"/>
    <w:rsid w:val="08B068E3"/>
    <w:rsid w:val="08B069B3"/>
    <w:rsid w:val="08B069E9"/>
    <w:rsid w:val="08B06AA8"/>
    <w:rsid w:val="08B06B8D"/>
    <w:rsid w:val="08B06BAD"/>
    <w:rsid w:val="08B06C71"/>
    <w:rsid w:val="08B06D00"/>
    <w:rsid w:val="08B06DD5"/>
    <w:rsid w:val="08B06E68"/>
    <w:rsid w:val="08B06E8F"/>
    <w:rsid w:val="08B06F3B"/>
    <w:rsid w:val="08B06FD1"/>
    <w:rsid w:val="08B06FD9"/>
    <w:rsid w:val="08B0701B"/>
    <w:rsid w:val="08B07052"/>
    <w:rsid w:val="08B07095"/>
    <w:rsid w:val="08B070CE"/>
    <w:rsid w:val="08B07196"/>
    <w:rsid w:val="08B071E9"/>
    <w:rsid w:val="08B0720D"/>
    <w:rsid w:val="08B072B6"/>
    <w:rsid w:val="08B072E6"/>
    <w:rsid w:val="08B0739F"/>
    <w:rsid w:val="08B0747A"/>
    <w:rsid w:val="08B07687"/>
    <w:rsid w:val="08B07772"/>
    <w:rsid w:val="08B077F4"/>
    <w:rsid w:val="08B0789C"/>
    <w:rsid w:val="08B0792F"/>
    <w:rsid w:val="08B079B1"/>
    <w:rsid w:val="08B079F2"/>
    <w:rsid w:val="08B07A91"/>
    <w:rsid w:val="08B07AAB"/>
    <w:rsid w:val="08B07ADA"/>
    <w:rsid w:val="08B07B84"/>
    <w:rsid w:val="08B07C64"/>
    <w:rsid w:val="08B07C73"/>
    <w:rsid w:val="08B07E3B"/>
    <w:rsid w:val="08B07E80"/>
    <w:rsid w:val="08B07FD2"/>
    <w:rsid w:val="08B07FD3"/>
    <w:rsid w:val="08B10022"/>
    <w:rsid w:val="08B100EE"/>
    <w:rsid w:val="08B1016A"/>
    <w:rsid w:val="08B101C4"/>
    <w:rsid w:val="08B101C6"/>
    <w:rsid w:val="08B10256"/>
    <w:rsid w:val="08B102CB"/>
    <w:rsid w:val="08B1034D"/>
    <w:rsid w:val="08B103ED"/>
    <w:rsid w:val="08B104C0"/>
    <w:rsid w:val="08B10576"/>
    <w:rsid w:val="08B105A3"/>
    <w:rsid w:val="08B105DC"/>
    <w:rsid w:val="08B106A9"/>
    <w:rsid w:val="08B10768"/>
    <w:rsid w:val="08B10778"/>
    <w:rsid w:val="08B10831"/>
    <w:rsid w:val="08B1086B"/>
    <w:rsid w:val="08B109D9"/>
    <w:rsid w:val="08B109E1"/>
    <w:rsid w:val="08B10BE8"/>
    <w:rsid w:val="08B10D90"/>
    <w:rsid w:val="08B10DA9"/>
    <w:rsid w:val="08B10DB3"/>
    <w:rsid w:val="08B10EBD"/>
    <w:rsid w:val="08B10F5C"/>
    <w:rsid w:val="08B10FB7"/>
    <w:rsid w:val="08B11006"/>
    <w:rsid w:val="08B11036"/>
    <w:rsid w:val="08B110F0"/>
    <w:rsid w:val="08B11186"/>
    <w:rsid w:val="08B111DB"/>
    <w:rsid w:val="08B112E3"/>
    <w:rsid w:val="08B11326"/>
    <w:rsid w:val="08B11393"/>
    <w:rsid w:val="08B113DC"/>
    <w:rsid w:val="08B11490"/>
    <w:rsid w:val="08B114B4"/>
    <w:rsid w:val="08B1152D"/>
    <w:rsid w:val="08B11596"/>
    <w:rsid w:val="08B115FF"/>
    <w:rsid w:val="08B1169A"/>
    <w:rsid w:val="08B11722"/>
    <w:rsid w:val="08B1176B"/>
    <w:rsid w:val="08B117C3"/>
    <w:rsid w:val="08B11898"/>
    <w:rsid w:val="08B1195A"/>
    <w:rsid w:val="08B11989"/>
    <w:rsid w:val="08B119E6"/>
    <w:rsid w:val="08B11A69"/>
    <w:rsid w:val="08B11A6E"/>
    <w:rsid w:val="08B11A7F"/>
    <w:rsid w:val="08B11A8D"/>
    <w:rsid w:val="08B11A9F"/>
    <w:rsid w:val="08B11BC3"/>
    <w:rsid w:val="08B11C53"/>
    <w:rsid w:val="08B11C6B"/>
    <w:rsid w:val="08B11CB7"/>
    <w:rsid w:val="08B11CCA"/>
    <w:rsid w:val="08B11D46"/>
    <w:rsid w:val="08B11D9D"/>
    <w:rsid w:val="08B11DFF"/>
    <w:rsid w:val="08B11EB5"/>
    <w:rsid w:val="08B11EBF"/>
    <w:rsid w:val="08B11F69"/>
    <w:rsid w:val="08B11FB6"/>
    <w:rsid w:val="08B1202B"/>
    <w:rsid w:val="08B12059"/>
    <w:rsid w:val="08B120E0"/>
    <w:rsid w:val="08B12113"/>
    <w:rsid w:val="08B12227"/>
    <w:rsid w:val="08B12262"/>
    <w:rsid w:val="08B122A7"/>
    <w:rsid w:val="08B12325"/>
    <w:rsid w:val="08B123A7"/>
    <w:rsid w:val="08B123DE"/>
    <w:rsid w:val="08B123F5"/>
    <w:rsid w:val="08B12416"/>
    <w:rsid w:val="08B12440"/>
    <w:rsid w:val="08B12450"/>
    <w:rsid w:val="08B1245B"/>
    <w:rsid w:val="08B12493"/>
    <w:rsid w:val="08B1257E"/>
    <w:rsid w:val="08B1259A"/>
    <w:rsid w:val="08B1260D"/>
    <w:rsid w:val="08B1264F"/>
    <w:rsid w:val="08B126A8"/>
    <w:rsid w:val="08B12767"/>
    <w:rsid w:val="08B1287D"/>
    <w:rsid w:val="08B128A8"/>
    <w:rsid w:val="08B128EE"/>
    <w:rsid w:val="08B12908"/>
    <w:rsid w:val="08B1293A"/>
    <w:rsid w:val="08B129A6"/>
    <w:rsid w:val="08B129B1"/>
    <w:rsid w:val="08B12A27"/>
    <w:rsid w:val="08B12B4C"/>
    <w:rsid w:val="08B12C10"/>
    <w:rsid w:val="08B12CC2"/>
    <w:rsid w:val="08B12F1F"/>
    <w:rsid w:val="08B12F91"/>
    <w:rsid w:val="08B1302D"/>
    <w:rsid w:val="08B13188"/>
    <w:rsid w:val="08B131D8"/>
    <w:rsid w:val="08B13220"/>
    <w:rsid w:val="08B1324A"/>
    <w:rsid w:val="08B13286"/>
    <w:rsid w:val="08B1329C"/>
    <w:rsid w:val="08B132C5"/>
    <w:rsid w:val="08B1339E"/>
    <w:rsid w:val="08B133B3"/>
    <w:rsid w:val="08B1346F"/>
    <w:rsid w:val="08B134DB"/>
    <w:rsid w:val="08B134EE"/>
    <w:rsid w:val="08B13514"/>
    <w:rsid w:val="08B13532"/>
    <w:rsid w:val="08B1353F"/>
    <w:rsid w:val="08B135B5"/>
    <w:rsid w:val="08B13606"/>
    <w:rsid w:val="08B13611"/>
    <w:rsid w:val="08B1361B"/>
    <w:rsid w:val="08B1365B"/>
    <w:rsid w:val="08B136DE"/>
    <w:rsid w:val="08B136F3"/>
    <w:rsid w:val="08B1372E"/>
    <w:rsid w:val="08B1384B"/>
    <w:rsid w:val="08B13860"/>
    <w:rsid w:val="08B1387D"/>
    <w:rsid w:val="08B13922"/>
    <w:rsid w:val="08B13B24"/>
    <w:rsid w:val="08B13B56"/>
    <w:rsid w:val="08B13E19"/>
    <w:rsid w:val="08B13EEB"/>
    <w:rsid w:val="08B13F88"/>
    <w:rsid w:val="08B1401D"/>
    <w:rsid w:val="08B140FC"/>
    <w:rsid w:val="08B1413C"/>
    <w:rsid w:val="08B14158"/>
    <w:rsid w:val="08B141B5"/>
    <w:rsid w:val="08B14222"/>
    <w:rsid w:val="08B142D5"/>
    <w:rsid w:val="08B14343"/>
    <w:rsid w:val="08B14422"/>
    <w:rsid w:val="08B144EC"/>
    <w:rsid w:val="08B146C3"/>
    <w:rsid w:val="08B14C2E"/>
    <w:rsid w:val="08B14D41"/>
    <w:rsid w:val="08B14D48"/>
    <w:rsid w:val="08B14D89"/>
    <w:rsid w:val="08B14E40"/>
    <w:rsid w:val="08B14E68"/>
    <w:rsid w:val="08B14F9C"/>
    <w:rsid w:val="08B15150"/>
    <w:rsid w:val="08B15157"/>
    <w:rsid w:val="08B151C4"/>
    <w:rsid w:val="08B151E4"/>
    <w:rsid w:val="08B151EE"/>
    <w:rsid w:val="08B152F0"/>
    <w:rsid w:val="08B1530C"/>
    <w:rsid w:val="08B15322"/>
    <w:rsid w:val="08B15461"/>
    <w:rsid w:val="08B154DA"/>
    <w:rsid w:val="08B154EE"/>
    <w:rsid w:val="08B1576C"/>
    <w:rsid w:val="08B15779"/>
    <w:rsid w:val="08B157C2"/>
    <w:rsid w:val="08B157ED"/>
    <w:rsid w:val="08B158ED"/>
    <w:rsid w:val="08B1591A"/>
    <w:rsid w:val="08B1592E"/>
    <w:rsid w:val="08B1598B"/>
    <w:rsid w:val="08B159CE"/>
    <w:rsid w:val="08B15B6C"/>
    <w:rsid w:val="08B15BAA"/>
    <w:rsid w:val="08B15BE3"/>
    <w:rsid w:val="08B15C62"/>
    <w:rsid w:val="08B15C7E"/>
    <w:rsid w:val="08B15CFE"/>
    <w:rsid w:val="08B15DC6"/>
    <w:rsid w:val="08B15E54"/>
    <w:rsid w:val="08B15F8B"/>
    <w:rsid w:val="08B15FFA"/>
    <w:rsid w:val="08B16009"/>
    <w:rsid w:val="08B1601C"/>
    <w:rsid w:val="08B160B7"/>
    <w:rsid w:val="08B16123"/>
    <w:rsid w:val="08B16196"/>
    <w:rsid w:val="08B161D9"/>
    <w:rsid w:val="08B161EB"/>
    <w:rsid w:val="08B161F1"/>
    <w:rsid w:val="08B16349"/>
    <w:rsid w:val="08B16468"/>
    <w:rsid w:val="08B1646B"/>
    <w:rsid w:val="08B166B8"/>
    <w:rsid w:val="08B166F4"/>
    <w:rsid w:val="08B16782"/>
    <w:rsid w:val="08B167BC"/>
    <w:rsid w:val="08B168FC"/>
    <w:rsid w:val="08B1690A"/>
    <w:rsid w:val="08B1692F"/>
    <w:rsid w:val="08B1694A"/>
    <w:rsid w:val="08B16A54"/>
    <w:rsid w:val="08B16AE7"/>
    <w:rsid w:val="08B16B5B"/>
    <w:rsid w:val="08B16BAA"/>
    <w:rsid w:val="08B16C7B"/>
    <w:rsid w:val="08B16CBE"/>
    <w:rsid w:val="08B16CDB"/>
    <w:rsid w:val="08B16D1A"/>
    <w:rsid w:val="08B16F82"/>
    <w:rsid w:val="08B16FCC"/>
    <w:rsid w:val="08B1709C"/>
    <w:rsid w:val="08B17107"/>
    <w:rsid w:val="08B1719C"/>
    <w:rsid w:val="08B171D8"/>
    <w:rsid w:val="08B17211"/>
    <w:rsid w:val="08B172AD"/>
    <w:rsid w:val="08B17321"/>
    <w:rsid w:val="08B173E9"/>
    <w:rsid w:val="08B173FF"/>
    <w:rsid w:val="08B17409"/>
    <w:rsid w:val="08B1743B"/>
    <w:rsid w:val="08B17487"/>
    <w:rsid w:val="08B1752D"/>
    <w:rsid w:val="08B1758C"/>
    <w:rsid w:val="08B17613"/>
    <w:rsid w:val="08B1761C"/>
    <w:rsid w:val="08B1766A"/>
    <w:rsid w:val="08B176EE"/>
    <w:rsid w:val="08B1770E"/>
    <w:rsid w:val="08B1774A"/>
    <w:rsid w:val="08B177A2"/>
    <w:rsid w:val="08B177ED"/>
    <w:rsid w:val="08B177FB"/>
    <w:rsid w:val="08B17864"/>
    <w:rsid w:val="08B178A0"/>
    <w:rsid w:val="08B178CC"/>
    <w:rsid w:val="08B179A7"/>
    <w:rsid w:val="08B179AD"/>
    <w:rsid w:val="08B17A18"/>
    <w:rsid w:val="08B17AAB"/>
    <w:rsid w:val="08B17AD9"/>
    <w:rsid w:val="08B17B09"/>
    <w:rsid w:val="08B17B4E"/>
    <w:rsid w:val="08B17C39"/>
    <w:rsid w:val="08B17C64"/>
    <w:rsid w:val="08B17C71"/>
    <w:rsid w:val="08B17CC8"/>
    <w:rsid w:val="08B17CF7"/>
    <w:rsid w:val="08B17D50"/>
    <w:rsid w:val="08B17DEA"/>
    <w:rsid w:val="08B17DF5"/>
    <w:rsid w:val="08B17E3E"/>
    <w:rsid w:val="08B17E43"/>
    <w:rsid w:val="08B17E58"/>
    <w:rsid w:val="08B17F1C"/>
    <w:rsid w:val="08B17FBB"/>
    <w:rsid w:val="08B20012"/>
    <w:rsid w:val="08B2008F"/>
    <w:rsid w:val="08B200AD"/>
    <w:rsid w:val="08B200BE"/>
    <w:rsid w:val="08B200D3"/>
    <w:rsid w:val="08B20106"/>
    <w:rsid w:val="08B20167"/>
    <w:rsid w:val="08B201E5"/>
    <w:rsid w:val="08B20229"/>
    <w:rsid w:val="08B20289"/>
    <w:rsid w:val="08B2029F"/>
    <w:rsid w:val="08B2032C"/>
    <w:rsid w:val="08B2036A"/>
    <w:rsid w:val="08B20370"/>
    <w:rsid w:val="08B203B3"/>
    <w:rsid w:val="08B203E3"/>
    <w:rsid w:val="08B20477"/>
    <w:rsid w:val="08B2047A"/>
    <w:rsid w:val="08B204F0"/>
    <w:rsid w:val="08B204F8"/>
    <w:rsid w:val="08B20569"/>
    <w:rsid w:val="08B205DF"/>
    <w:rsid w:val="08B205EA"/>
    <w:rsid w:val="08B205F5"/>
    <w:rsid w:val="08B20605"/>
    <w:rsid w:val="08B2061C"/>
    <w:rsid w:val="08B20742"/>
    <w:rsid w:val="08B20754"/>
    <w:rsid w:val="08B20763"/>
    <w:rsid w:val="08B207CE"/>
    <w:rsid w:val="08B207FB"/>
    <w:rsid w:val="08B20817"/>
    <w:rsid w:val="08B20978"/>
    <w:rsid w:val="08B209DB"/>
    <w:rsid w:val="08B20A83"/>
    <w:rsid w:val="08B20AA3"/>
    <w:rsid w:val="08B20B0B"/>
    <w:rsid w:val="08B20B92"/>
    <w:rsid w:val="08B20BE8"/>
    <w:rsid w:val="08B20C9F"/>
    <w:rsid w:val="08B20DF0"/>
    <w:rsid w:val="08B20E47"/>
    <w:rsid w:val="08B20E63"/>
    <w:rsid w:val="08B20F28"/>
    <w:rsid w:val="08B20F5D"/>
    <w:rsid w:val="08B20F66"/>
    <w:rsid w:val="08B20F76"/>
    <w:rsid w:val="08B20F79"/>
    <w:rsid w:val="08B20FA3"/>
    <w:rsid w:val="08B21009"/>
    <w:rsid w:val="08B21099"/>
    <w:rsid w:val="08B210F5"/>
    <w:rsid w:val="08B21119"/>
    <w:rsid w:val="08B21170"/>
    <w:rsid w:val="08B211EF"/>
    <w:rsid w:val="08B2125D"/>
    <w:rsid w:val="08B2127D"/>
    <w:rsid w:val="08B21327"/>
    <w:rsid w:val="08B2135D"/>
    <w:rsid w:val="08B21378"/>
    <w:rsid w:val="08B213A9"/>
    <w:rsid w:val="08B2147D"/>
    <w:rsid w:val="08B215DC"/>
    <w:rsid w:val="08B215F5"/>
    <w:rsid w:val="08B2162D"/>
    <w:rsid w:val="08B21665"/>
    <w:rsid w:val="08B216B2"/>
    <w:rsid w:val="08B21729"/>
    <w:rsid w:val="08B217CA"/>
    <w:rsid w:val="08B217D2"/>
    <w:rsid w:val="08B21815"/>
    <w:rsid w:val="08B2187D"/>
    <w:rsid w:val="08B2188F"/>
    <w:rsid w:val="08B218B6"/>
    <w:rsid w:val="08B21958"/>
    <w:rsid w:val="08B21A5B"/>
    <w:rsid w:val="08B21BC8"/>
    <w:rsid w:val="08B21C25"/>
    <w:rsid w:val="08B21C7E"/>
    <w:rsid w:val="08B21D09"/>
    <w:rsid w:val="08B21D2D"/>
    <w:rsid w:val="08B21D85"/>
    <w:rsid w:val="08B21DCA"/>
    <w:rsid w:val="08B21E96"/>
    <w:rsid w:val="08B22027"/>
    <w:rsid w:val="08B2211F"/>
    <w:rsid w:val="08B2217F"/>
    <w:rsid w:val="08B222BD"/>
    <w:rsid w:val="08B222E5"/>
    <w:rsid w:val="08B22363"/>
    <w:rsid w:val="08B22364"/>
    <w:rsid w:val="08B22376"/>
    <w:rsid w:val="08B2238F"/>
    <w:rsid w:val="08B22424"/>
    <w:rsid w:val="08B2249A"/>
    <w:rsid w:val="08B22576"/>
    <w:rsid w:val="08B225BB"/>
    <w:rsid w:val="08B2263B"/>
    <w:rsid w:val="08B226C9"/>
    <w:rsid w:val="08B226F6"/>
    <w:rsid w:val="08B227CA"/>
    <w:rsid w:val="08B227E4"/>
    <w:rsid w:val="08B2287F"/>
    <w:rsid w:val="08B228EC"/>
    <w:rsid w:val="08B228F6"/>
    <w:rsid w:val="08B22927"/>
    <w:rsid w:val="08B229A3"/>
    <w:rsid w:val="08B22A2E"/>
    <w:rsid w:val="08B22A5B"/>
    <w:rsid w:val="08B22AC2"/>
    <w:rsid w:val="08B22B3E"/>
    <w:rsid w:val="08B22B71"/>
    <w:rsid w:val="08B22C78"/>
    <w:rsid w:val="08B22D2F"/>
    <w:rsid w:val="08B22D8A"/>
    <w:rsid w:val="08B22DC9"/>
    <w:rsid w:val="08B22DF9"/>
    <w:rsid w:val="08B22E60"/>
    <w:rsid w:val="08B22EF4"/>
    <w:rsid w:val="08B22F02"/>
    <w:rsid w:val="08B2302F"/>
    <w:rsid w:val="08B23097"/>
    <w:rsid w:val="08B230B4"/>
    <w:rsid w:val="08B230BC"/>
    <w:rsid w:val="08B230E8"/>
    <w:rsid w:val="08B230F1"/>
    <w:rsid w:val="08B231A8"/>
    <w:rsid w:val="08B231F5"/>
    <w:rsid w:val="08B2328A"/>
    <w:rsid w:val="08B232D5"/>
    <w:rsid w:val="08B23369"/>
    <w:rsid w:val="08B233A4"/>
    <w:rsid w:val="08B23421"/>
    <w:rsid w:val="08B234F0"/>
    <w:rsid w:val="08B2350C"/>
    <w:rsid w:val="08B23510"/>
    <w:rsid w:val="08B23585"/>
    <w:rsid w:val="08B23684"/>
    <w:rsid w:val="08B23764"/>
    <w:rsid w:val="08B23822"/>
    <w:rsid w:val="08B239E7"/>
    <w:rsid w:val="08B23A72"/>
    <w:rsid w:val="08B23A92"/>
    <w:rsid w:val="08B23ACC"/>
    <w:rsid w:val="08B23AEF"/>
    <w:rsid w:val="08B23B12"/>
    <w:rsid w:val="08B23B16"/>
    <w:rsid w:val="08B23B1B"/>
    <w:rsid w:val="08B23BE1"/>
    <w:rsid w:val="08B23C07"/>
    <w:rsid w:val="08B23DB8"/>
    <w:rsid w:val="08B23E32"/>
    <w:rsid w:val="08B23E5D"/>
    <w:rsid w:val="08B23E67"/>
    <w:rsid w:val="08B23EE8"/>
    <w:rsid w:val="08B23EEB"/>
    <w:rsid w:val="08B23F03"/>
    <w:rsid w:val="08B23F09"/>
    <w:rsid w:val="08B23F73"/>
    <w:rsid w:val="08B2408D"/>
    <w:rsid w:val="08B240C3"/>
    <w:rsid w:val="08B240E5"/>
    <w:rsid w:val="08B240FA"/>
    <w:rsid w:val="08B24124"/>
    <w:rsid w:val="08B241CE"/>
    <w:rsid w:val="08B24222"/>
    <w:rsid w:val="08B24262"/>
    <w:rsid w:val="08B24294"/>
    <w:rsid w:val="08B242EB"/>
    <w:rsid w:val="08B24308"/>
    <w:rsid w:val="08B24347"/>
    <w:rsid w:val="08B2439E"/>
    <w:rsid w:val="08B243B3"/>
    <w:rsid w:val="08B243C2"/>
    <w:rsid w:val="08B243D4"/>
    <w:rsid w:val="08B2453F"/>
    <w:rsid w:val="08B2454C"/>
    <w:rsid w:val="08B24572"/>
    <w:rsid w:val="08B245E9"/>
    <w:rsid w:val="08B24685"/>
    <w:rsid w:val="08B246EE"/>
    <w:rsid w:val="08B247A1"/>
    <w:rsid w:val="08B247E4"/>
    <w:rsid w:val="08B247EC"/>
    <w:rsid w:val="08B247F1"/>
    <w:rsid w:val="08B2483E"/>
    <w:rsid w:val="08B248D5"/>
    <w:rsid w:val="08B2495B"/>
    <w:rsid w:val="08B24970"/>
    <w:rsid w:val="08B249C1"/>
    <w:rsid w:val="08B24A72"/>
    <w:rsid w:val="08B24B45"/>
    <w:rsid w:val="08B24B8C"/>
    <w:rsid w:val="08B24BC6"/>
    <w:rsid w:val="08B24BDC"/>
    <w:rsid w:val="08B24C2B"/>
    <w:rsid w:val="08B24CCA"/>
    <w:rsid w:val="08B24CEE"/>
    <w:rsid w:val="08B24D79"/>
    <w:rsid w:val="08B24E3D"/>
    <w:rsid w:val="08B24F01"/>
    <w:rsid w:val="08B25108"/>
    <w:rsid w:val="08B2528D"/>
    <w:rsid w:val="08B252DE"/>
    <w:rsid w:val="08B25397"/>
    <w:rsid w:val="08B254B3"/>
    <w:rsid w:val="08B254B8"/>
    <w:rsid w:val="08B25572"/>
    <w:rsid w:val="08B25578"/>
    <w:rsid w:val="08B255AA"/>
    <w:rsid w:val="08B25601"/>
    <w:rsid w:val="08B25645"/>
    <w:rsid w:val="08B256ED"/>
    <w:rsid w:val="08B2575D"/>
    <w:rsid w:val="08B25844"/>
    <w:rsid w:val="08B258CB"/>
    <w:rsid w:val="08B258D1"/>
    <w:rsid w:val="08B2598B"/>
    <w:rsid w:val="08B25A71"/>
    <w:rsid w:val="08B25B14"/>
    <w:rsid w:val="08B25B3D"/>
    <w:rsid w:val="08B25C35"/>
    <w:rsid w:val="08B25C5D"/>
    <w:rsid w:val="08B25CE1"/>
    <w:rsid w:val="08B25D04"/>
    <w:rsid w:val="08B25DD6"/>
    <w:rsid w:val="08B25E5D"/>
    <w:rsid w:val="08B25E9F"/>
    <w:rsid w:val="08B25EAD"/>
    <w:rsid w:val="08B25ED5"/>
    <w:rsid w:val="08B25EF0"/>
    <w:rsid w:val="08B25F13"/>
    <w:rsid w:val="08B25F49"/>
    <w:rsid w:val="08B25FD5"/>
    <w:rsid w:val="08B26092"/>
    <w:rsid w:val="08B260C5"/>
    <w:rsid w:val="08B26130"/>
    <w:rsid w:val="08B26238"/>
    <w:rsid w:val="08B262A3"/>
    <w:rsid w:val="08B262C2"/>
    <w:rsid w:val="08B26305"/>
    <w:rsid w:val="08B2632A"/>
    <w:rsid w:val="08B2633A"/>
    <w:rsid w:val="08B26349"/>
    <w:rsid w:val="08B2637B"/>
    <w:rsid w:val="08B2648D"/>
    <w:rsid w:val="08B26498"/>
    <w:rsid w:val="08B264A4"/>
    <w:rsid w:val="08B264AA"/>
    <w:rsid w:val="08B264B9"/>
    <w:rsid w:val="08B264D6"/>
    <w:rsid w:val="08B264D8"/>
    <w:rsid w:val="08B2659C"/>
    <w:rsid w:val="08B265C8"/>
    <w:rsid w:val="08B265DC"/>
    <w:rsid w:val="08B26607"/>
    <w:rsid w:val="08B2672B"/>
    <w:rsid w:val="08B26813"/>
    <w:rsid w:val="08B26885"/>
    <w:rsid w:val="08B268A2"/>
    <w:rsid w:val="08B26A1E"/>
    <w:rsid w:val="08B26AB0"/>
    <w:rsid w:val="08B26AC5"/>
    <w:rsid w:val="08B26B1B"/>
    <w:rsid w:val="08B26B1C"/>
    <w:rsid w:val="08B26BC0"/>
    <w:rsid w:val="08B26BDB"/>
    <w:rsid w:val="08B26CB5"/>
    <w:rsid w:val="08B26CD4"/>
    <w:rsid w:val="08B26D1D"/>
    <w:rsid w:val="08B26E7B"/>
    <w:rsid w:val="08B26E83"/>
    <w:rsid w:val="08B26F57"/>
    <w:rsid w:val="08B26F89"/>
    <w:rsid w:val="08B26FA6"/>
    <w:rsid w:val="08B26FCA"/>
    <w:rsid w:val="08B26FDF"/>
    <w:rsid w:val="08B270F6"/>
    <w:rsid w:val="08B27148"/>
    <w:rsid w:val="08B27161"/>
    <w:rsid w:val="08B27206"/>
    <w:rsid w:val="08B27284"/>
    <w:rsid w:val="08B27352"/>
    <w:rsid w:val="08B2749C"/>
    <w:rsid w:val="08B274C9"/>
    <w:rsid w:val="08B2752E"/>
    <w:rsid w:val="08B2754B"/>
    <w:rsid w:val="08B2758D"/>
    <w:rsid w:val="08B275A5"/>
    <w:rsid w:val="08B275CD"/>
    <w:rsid w:val="08B275FF"/>
    <w:rsid w:val="08B276AE"/>
    <w:rsid w:val="08B276FB"/>
    <w:rsid w:val="08B2784E"/>
    <w:rsid w:val="08B278AC"/>
    <w:rsid w:val="08B27AAA"/>
    <w:rsid w:val="08B27B4C"/>
    <w:rsid w:val="08B27BB7"/>
    <w:rsid w:val="08B27D38"/>
    <w:rsid w:val="08B27D7D"/>
    <w:rsid w:val="08B27EC9"/>
    <w:rsid w:val="08B27F2E"/>
    <w:rsid w:val="08B27F4E"/>
    <w:rsid w:val="08B27F50"/>
    <w:rsid w:val="08B27F55"/>
    <w:rsid w:val="08B27FBA"/>
    <w:rsid w:val="08B3002D"/>
    <w:rsid w:val="08B3005D"/>
    <w:rsid w:val="08B30061"/>
    <w:rsid w:val="08B3006E"/>
    <w:rsid w:val="08B300F5"/>
    <w:rsid w:val="08B30240"/>
    <w:rsid w:val="08B30391"/>
    <w:rsid w:val="08B30402"/>
    <w:rsid w:val="08B30456"/>
    <w:rsid w:val="08B3049A"/>
    <w:rsid w:val="08B304B1"/>
    <w:rsid w:val="08B305CD"/>
    <w:rsid w:val="08B306B2"/>
    <w:rsid w:val="08B3081B"/>
    <w:rsid w:val="08B3083B"/>
    <w:rsid w:val="08B3084E"/>
    <w:rsid w:val="08B308A6"/>
    <w:rsid w:val="08B3092B"/>
    <w:rsid w:val="08B30A05"/>
    <w:rsid w:val="08B30A06"/>
    <w:rsid w:val="08B30ABB"/>
    <w:rsid w:val="08B30B19"/>
    <w:rsid w:val="08B30B7F"/>
    <w:rsid w:val="08B30C51"/>
    <w:rsid w:val="08B30C65"/>
    <w:rsid w:val="08B30CFF"/>
    <w:rsid w:val="08B30D16"/>
    <w:rsid w:val="08B30D44"/>
    <w:rsid w:val="08B30D8B"/>
    <w:rsid w:val="08B30D9C"/>
    <w:rsid w:val="08B30DB1"/>
    <w:rsid w:val="08B30EF8"/>
    <w:rsid w:val="08B30F26"/>
    <w:rsid w:val="08B30F8E"/>
    <w:rsid w:val="08B30F90"/>
    <w:rsid w:val="08B30FC1"/>
    <w:rsid w:val="08B30FE3"/>
    <w:rsid w:val="08B31009"/>
    <w:rsid w:val="08B31075"/>
    <w:rsid w:val="08B310FC"/>
    <w:rsid w:val="08B3111C"/>
    <w:rsid w:val="08B31178"/>
    <w:rsid w:val="08B3120D"/>
    <w:rsid w:val="08B3143E"/>
    <w:rsid w:val="08B314D9"/>
    <w:rsid w:val="08B31584"/>
    <w:rsid w:val="08B31595"/>
    <w:rsid w:val="08B315AE"/>
    <w:rsid w:val="08B315FB"/>
    <w:rsid w:val="08B31651"/>
    <w:rsid w:val="08B316F8"/>
    <w:rsid w:val="08B317ED"/>
    <w:rsid w:val="08B31812"/>
    <w:rsid w:val="08B3181C"/>
    <w:rsid w:val="08B3185A"/>
    <w:rsid w:val="08B319B4"/>
    <w:rsid w:val="08B31AA4"/>
    <w:rsid w:val="08B31C80"/>
    <w:rsid w:val="08B31D74"/>
    <w:rsid w:val="08B31DCE"/>
    <w:rsid w:val="08B31DEA"/>
    <w:rsid w:val="08B31E45"/>
    <w:rsid w:val="08B31E4C"/>
    <w:rsid w:val="08B31E5A"/>
    <w:rsid w:val="08B31F04"/>
    <w:rsid w:val="08B31F6A"/>
    <w:rsid w:val="08B31FEB"/>
    <w:rsid w:val="08B32185"/>
    <w:rsid w:val="08B3219A"/>
    <w:rsid w:val="08B321C4"/>
    <w:rsid w:val="08B3237B"/>
    <w:rsid w:val="08B323E1"/>
    <w:rsid w:val="08B32491"/>
    <w:rsid w:val="08B325F7"/>
    <w:rsid w:val="08B327B2"/>
    <w:rsid w:val="08B32871"/>
    <w:rsid w:val="08B328C2"/>
    <w:rsid w:val="08B32914"/>
    <w:rsid w:val="08B329EB"/>
    <w:rsid w:val="08B32A37"/>
    <w:rsid w:val="08B32B36"/>
    <w:rsid w:val="08B32B6E"/>
    <w:rsid w:val="08B32B85"/>
    <w:rsid w:val="08B32BCA"/>
    <w:rsid w:val="08B32CD7"/>
    <w:rsid w:val="08B32CE0"/>
    <w:rsid w:val="08B32D50"/>
    <w:rsid w:val="08B32E5F"/>
    <w:rsid w:val="08B33131"/>
    <w:rsid w:val="08B33261"/>
    <w:rsid w:val="08B33263"/>
    <w:rsid w:val="08B332A9"/>
    <w:rsid w:val="08B332AF"/>
    <w:rsid w:val="08B33428"/>
    <w:rsid w:val="08B33439"/>
    <w:rsid w:val="08B3349A"/>
    <w:rsid w:val="08B33519"/>
    <w:rsid w:val="08B33596"/>
    <w:rsid w:val="08B335F7"/>
    <w:rsid w:val="08B336BF"/>
    <w:rsid w:val="08B33736"/>
    <w:rsid w:val="08B3377B"/>
    <w:rsid w:val="08B337CF"/>
    <w:rsid w:val="08B337F3"/>
    <w:rsid w:val="08B3380C"/>
    <w:rsid w:val="08B33824"/>
    <w:rsid w:val="08B338DC"/>
    <w:rsid w:val="08B338E3"/>
    <w:rsid w:val="08B33928"/>
    <w:rsid w:val="08B33AB8"/>
    <w:rsid w:val="08B33B54"/>
    <w:rsid w:val="08B33B7A"/>
    <w:rsid w:val="08B33BB7"/>
    <w:rsid w:val="08B33C10"/>
    <w:rsid w:val="08B33C59"/>
    <w:rsid w:val="08B33D31"/>
    <w:rsid w:val="08B33E4A"/>
    <w:rsid w:val="08B33EBD"/>
    <w:rsid w:val="08B33EF3"/>
    <w:rsid w:val="08B33F5A"/>
    <w:rsid w:val="08B33FFA"/>
    <w:rsid w:val="08B34015"/>
    <w:rsid w:val="08B34053"/>
    <w:rsid w:val="08B340B3"/>
    <w:rsid w:val="08B34136"/>
    <w:rsid w:val="08B34140"/>
    <w:rsid w:val="08B34241"/>
    <w:rsid w:val="08B342CC"/>
    <w:rsid w:val="08B343A1"/>
    <w:rsid w:val="08B343C7"/>
    <w:rsid w:val="08B34516"/>
    <w:rsid w:val="08B345BF"/>
    <w:rsid w:val="08B34612"/>
    <w:rsid w:val="08B346B0"/>
    <w:rsid w:val="08B346D2"/>
    <w:rsid w:val="08B3474B"/>
    <w:rsid w:val="08B34773"/>
    <w:rsid w:val="08B347E7"/>
    <w:rsid w:val="08B3481B"/>
    <w:rsid w:val="08B3482E"/>
    <w:rsid w:val="08B34855"/>
    <w:rsid w:val="08B34863"/>
    <w:rsid w:val="08B348DD"/>
    <w:rsid w:val="08B34987"/>
    <w:rsid w:val="08B349A0"/>
    <w:rsid w:val="08B34AB1"/>
    <w:rsid w:val="08B34AE4"/>
    <w:rsid w:val="08B34B68"/>
    <w:rsid w:val="08B34C04"/>
    <w:rsid w:val="08B34C3A"/>
    <w:rsid w:val="08B34CE5"/>
    <w:rsid w:val="08B34D7D"/>
    <w:rsid w:val="08B34DD0"/>
    <w:rsid w:val="08B34E02"/>
    <w:rsid w:val="08B34FF3"/>
    <w:rsid w:val="08B3500C"/>
    <w:rsid w:val="08B3503B"/>
    <w:rsid w:val="08B35204"/>
    <w:rsid w:val="08B352E8"/>
    <w:rsid w:val="08B35329"/>
    <w:rsid w:val="08B35363"/>
    <w:rsid w:val="08B354BF"/>
    <w:rsid w:val="08B35525"/>
    <w:rsid w:val="08B35591"/>
    <w:rsid w:val="08B35595"/>
    <w:rsid w:val="08B3572D"/>
    <w:rsid w:val="08B358A0"/>
    <w:rsid w:val="08B358A8"/>
    <w:rsid w:val="08B35963"/>
    <w:rsid w:val="08B35995"/>
    <w:rsid w:val="08B35A55"/>
    <w:rsid w:val="08B35A8B"/>
    <w:rsid w:val="08B35A8F"/>
    <w:rsid w:val="08B35A91"/>
    <w:rsid w:val="08B35AA8"/>
    <w:rsid w:val="08B35AB0"/>
    <w:rsid w:val="08B35B31"/>
    <w:rsid w:val="08B35B98"/>
    <w:rsid w:val="08B35C6E"/>
    <w:rsid w:val="08B35D71"/>
    <w:rsid w:val="08B35DC8"/>
    <w:rsid w:val="08B35DD0"/>
    <w:rsid w:val="08B35E5C"/>
    <w:rsid w:val="08B35ED7"/>
    <w:rsid w:val="08B35F1D"/>
    <w:rsid w:val="08B36054"/>
    <w:rsid w:val="08B36152"/>
    <w:rsid w:val="08B36160"/>
    <w:rsid w:val="08B36256"/>
    <w:rsid w:val="08B36282"/>
    <w:rsid w:val="08B362AF"/>
    <w:rsid w:val="08B36412"/>
    <w:rsid w:val="08B3652A"/>
    <w:rsid w:val="08B36534"/>
    <w:rsid w:val="08B36541"/>
    <w:rsid w:val="08B3659D"/>
    <w:rsid w:val="08B365B0"/>
    <w:rsid w:val="08B365ED"/>
    <w:rsid w:val="08B3669E"/>
    <w:rsid w:val="08B366D8"/>
    <w:rsid w:val="08B3670B"/>
    <w:rsid w:val="08B36767"/>
    <w:rsid w:val="08B3676E"/>
    <w:rsid w:val="08B367D7"/>
    <w:rsid w:val="08B367E7"/>
    <w:rsid w:val="08B367FD"/>
    <w:rsid w:val="08B3685A"/>
    <w:rsid w:val="08B36921"/>
    <w:rsid w:val="08B369C3"/>
    <w:rsid w:val="08B369FB"/>
    <w:rsid w:val="08B36AD5"/>
    <w:rsid w:val="08B36B14"/>
    <w:rsid w:val="08B36B2C"/>
    <w:rsid w:val="08B36B44"/>
    <w:rsid w:val="08B36B50"/>
    <w:rsid w:val="08B36B5B"/>
    <w:rsid w:val="08B36B5E"/>
    <w:rsid w:val="08B36B61"/>
    <w:rsid w:val="08B36B74"/>
    <w:rsid w:val="08B36BB6"/>
    <w:rsid w:val="08B36DB0"/>
    <w:rsid w:val="08B36E0B"/>
    <w:rsid w:val="08B36E16"/>
    <w:rsid w:val="08B36EBC"/>
    <w:rsid w:val="08B36F02"/>
    <w:rsid w:val="08B36F22"/>
    <w:rsid w:val="08B36F2A"/>
    <w:rsid w:val="08B36FF3"/>
    <w:rsid w:val="08B3702D"/>
    <w:rsid w:val="08B3707B"/>
    <w:rsid w:val="08B37147"/>
    <w:rsid w:val="08B371C1"/>
    <w:rsid w:val="08B37241"/>
    <w:rsid w:val="08B37297"/>
    <w:rsid w:val="08B374F3"/>
    <w:rsid w:val="08B375C3"/>
    <w:rsid w:val="08B375D1"/>
    <w:rsid w:val="08B37663"/>
    <w:rsid w:val="08B3766A"/>
    <w:rsid w:val="08B376F4"/>
    <w:rsid w:val="08B3776C"/>
    <w:rsid w:val="08B377EC"/>
    <w:rsid w:val="08B3780E"/>
    <w:rsid w:val="08B37850"/>
    <w:rsid w:val="08B37905"/>
    <w:rsid w:val="08B37ACD"/>
    <w:rsid w:val="08B37BDA"/>
    <w:rsid w:val="08B37CB0"/>
    <w:rsid w:val="08B37CD0"/>
    <w:rsid w:val="08B37DA4"/>
    <w:rsid w:val="08B37DA5"/>
    <w:rsid w:val="08B37DE1"/>
    <w:rsid w:val="08B37E83"/>
    <w:rsid w:val="08B37F6B"/>
    <w:rsid w:val="08B37F73"/>
    <w:rsid w:val="08B4002A"/>
    <w:rsid w:val="08B4011E"/>
    <w:rsid w:val="08B4013F"/>
    <w:rsid w:val="08B4014C"/>
    <w:rsid w:val="08B40168"/>
    <w:rsid w:val="08B40173"/>
    <w:rsid w:val="08B4019B"/>
    <w:rsid w:val="08B4023B"/>
    <w:rsid w:val="08B402CF"/>
    <w:rsid w:val="08B40327"/>
    <w:rsid w:val="08B4040C"/>
    <w:rsid w:val="08B40428"/>
    <w:rsid w:val="08B4042F"/>
    <w:rsid w:val="08B404C5"/>
    <w:rsid w:val="08B4062B"/>
    <w:rsid w:val="08B406AB"/>
    <w:rsid w:val="08B406B1"/>
    <w:rsid w:val="08B406FA"/>
    <w:rsid w:val="08B40708"/>
    <w:rsid w:val="08B40725"/>
    <w:rsid w:val="08B40743"/>
    <w:rsid w:val="08B407C8"/>
    <w:rsid w:val="08B4081C"/>
    <w:rsid w:val="08B4081F"/>
    <w:rsid w:val="08B4095B"/>
    <w:rsid w:val="08B409F8"/>
    <w:rsid w:val="08B40A6A"/>
    <w:rsid w:val="08B40A9E"/>
    <w:rsid w:val="08B40B00"/>
    <w:rsid w:val="08B40B29"/>
    <w:rsid w:val="08B40B2B"/>
    <w:rsid w:val="08B40BF6"/>
    <w:rsid w:val="08B40CC2"/>
    <w:rsid w:val="08B40DE8"/>
    <w:rsid w:val="08B40EAB"/>
    <w:rsid w:val="08B40F58"/>
    <w:rsid w:val="08B40F96"/>
    <w:rsid w:val="08B4107D"/>
    <w:rsid w:val="08B410B1"/>
    <w:rsid w:val="08B41110"/>
    <w:rsid w:val="08B4114E"/>
    <w:rsid w:val="08B41192"/>
    <w:rsid w:val="08B413B8"/>
    <w:rsid w:val="08B41406"/>
    <w:rsid w:val="08B414B6"/>
    <w:rsid w:val="08B414ED"/>
    <w:rsid w:val="08B41536"/>
    <w:rsid w:val="08B41599"/>
    <w:rsid w:val="08B415AC"/>
    <w:rsid w:val="08B415DE"/>
    <w:rsid w:val="08B415E3"/>
    <w:rsid w:val="08B4160B"/>
    <w:rsid w:val="08B41628"/>
    <w:rsid w:val="08B416AB"/>
    <w:rsid w:val="08B416FF"/>
    <w:rsid w:val="08B41718"/>
    <w:rsid w:val="08B417A3"/>
    <w:rsid w:val="08B418C4"/>
    <w:rsid w:val="08B41987"/>
    <w:rsid w:val="08B41A10"/>
    <w:rsid w:val="08B41AE5"/>
    <w:rsid w:val="08B41C09"/>
    <w:rsid w:val="08B41C35"/>
    <w:rsid w:val="08B41C8B"/>
    <w:rsid w:val="08B41D92"/>
    <w:rsid w:val="08B41E20"/>
    <w:rsid w:val="08B41F28"/>
    <w:rsid w:val="08B41F74"/>
    <w:rsid w:val="08B41F7C"/>
    <w:rsid w:val="08B41FA4"/>
    <w:rsid w:val="08B420F0"/>
    <w:rsid w:val="08B4214B"/>
    <w:rsid w:val="08B42182"/>
    <w:rsid w:val="08B42194"/>
    <w:rsid w:val="08B42214"/>
    <w:rsid w:val="08B42229"/>
    <w:rsid w:val="08B42292"/>
    <w:rsid w:val="08B4233D"/>
    <w:rsid w:val="08B4245F"/>
    <w:rsid w:val="08B4246B"/>
    <w:rsid w:val="08B4247B"/>
    <w:rsid w:val="08B42484"/>
    <w:rsid w:val="08B424A2"/>
    <w:rsid w:val="08B42586"/>
    <w:rsid w:val="08B426AC"/>
    <w:rsid w:val="08B4272F"/>
    <w:rsid w:val="08B427CD"/>
    <w:rsid w:val="08B428F3"/>
    <w:rsid w:val="08B42924"/>
    <w:rsid w:val="08B429D8"/>
    <w:rsid w:val="08B429FD"/>
    <w:rsid w:val="08B42A0E"/>
    <w:rsid w:val="08B42AE9"/>
    <w:rsid w:val="08B42B21"/>
    <w:rsid w:val="08B42BAC"/>
    <w:rsid w:val="08B42C08"/>
    <w:rsid w:val="08B42C2B"/>
    <w:rsid w:val="08B42C41"/>
    <w:rsid w:val="08B42C56"/>
    <w:rsid w:val="08B42CE5"/>
    <w:rsid w:val="08B42DBE"/>
    <w:rsid w:val="08B42DE5"/>
    <w:rsid w:val="08B42E52"/>
    <w:rsid w:val="08B42EB3"/>
    <w:rsid w:val="08B42EBD"/>
    <w:rsid w:val="08B42ED3"/>
    <w:rsid w:val="08B42F03"/>
    <w:rsid w:val="08B4311F"/>
    <w:rsid w:val="08B43124"/>
    <w:rsid w:val="08B431E0"/>
    <w:rsid w:val="08B43235"/>
    <w:rsid w:val="08B43282"/>
    <w:rsid w:val="08B432F3"/>
    <w:rsid w:val="08B4331C"/>
    <w:rsid w:val="08B4332E"/>
    <w:rsid w:val="08B43370"/>
    <w:rsid w:val="08B43389"/>
    <w:rsid w:val="08B433BC"/>
    <w:rsid w:val="08B433D5"/>
    <w:rsid w:val="08B4343A"/>
    <w:rsid w:val="08B43491"/>
    <w:rsid w:val="08B434D5"/>
    <w:rsid w:val="08B434E6"/>
    <w:rsid w:val="08B4351F"/>
    <w:rsid w:val="08B43537"/>
    <w:rsid w:val="08B435AB"/>
    <w:rsid w:val="08B435F1"/>
    <w:rsid w:val="08B4363D"/>
    <w:rsid w:val="08B43670"/>
    <w:rsid w:val="08B4368E"/>
    <w:rsid w:val="08B43704"/>
    <w:rsid w:val="08B4372B"/>
    <w:rsid w:val="08B43776"/>
    <w:rsid w:val="08B43777"/>
    <w:rsid w:val="08B437EA"/>
    <w:rsid w:val="08B438C1"/>
    <w:rsid w:val="08B43947"/>
    <w:rsid w:val="08B439AE"/>
    <w:rsid w:val="08B43AFB"/>
    <w:rsid w:val="08B43B2D"/>
    <w:rsid w:val="08B43B6C"/>
    <w:rsid w:val="08B43B8D"/>
    <w:rsid w:val="08B43C5E"/>
    <w:rsid w:val="08B43D23"/>
    <w:rsid w:val="08B43EC0"/>
    <w:rsid w:val="08B43F3C"/>
    <w:rsid w:val="08B43FCD"/>
    <w:rsid w:val="08B440AB"/>
    <w:rsid w:val="08B440DA"/>
    <w:rsid w:val="08B44143"/>
    <w:rsid w:val="08B44212"/>
    <w:rsid w:val="08B44237"/>
    <w:rsid w:val="08B442B8"/>
    <w:rsid w:val="08B44369"/>
    <w:rsid w:val="08B443F0"/>
    <w:rsid w:val="08B44420"/>
    <w:rsid w:val="08B44587"/>
    <w:rsid w:val="08B445AC"/>
    <w:rsid w:val="08B445AE"/>
    <w:rsid w:val="08B4460D"/>
    <w:rsid w:val="08B446A4"/>
    <w:rsid w:val="08B44754"/>
    <w:rsid w:val="08B4475A"/>
    <w:rsid w:val="08B44768"/>
    <w:rsid w:val="08B44832"/>
    <w:rsid w:val="08B448D8"/>
    <w:rsid w:val="08B448E5"/>
    <w:rsid w:val="08B449E4"/>
    <w:rsid w:val="08B44C10"/>
    <w:rsid w:val="08B44C44"/>
    <w:rsid w:val="08B44D2F"/>
    <w:rsid w:val="08B44D5C"/>
    <w:rsid w:val="08B44E1E"/>
    <w:rsid w:val="08B44EEF"/>
    <w:rsid w:val="08B44FB0"/>
    <w:rsid w:val="08B45009"/>
    <w:rsid w:val="08B450CA"/>
    <w:rsid w:val="08B45142"/>
    <w:rsid w:val="08B451DB"/>
    <w:rsid w:val="08B45218"/>
    <w:rsid w:val="08B45255"/>
    <w:rsid w:val="08B4528E"/>
    <w:rsid w:val="08B45290"/>
    <w:rsid w:val="08B453BE"/>
    <w:rsid w:val="08B453DB"/>
    <w:rsid w:val="08B453FA"/>
    <w:rsid w:val="08B45453"/>
    <w:rsid w:val="08B454B0"/>
    <w:rsid w:val="08B454B1"/>
    <w:rsid w:val="08B45590"/>
    <w:rsid w:val="08B455EE"/>
    <w:rsid w:val="08B456B5"/>
    <w:rsid w:val="08B456FF"/>
    <w:rsid w:val="08B45726"/>
    <w:rsid w:val="08B45767"/>
    <w:rsid w:val="08B457D2"/>
    <w:rsid w:val="08B4592F"/>
    <w:rsid w:val="08B4599B"/>
    <w:rsid w:val="08B45A1B"/>
    <w:rsid w:val="08B45B2D"/>
    <w:rsid w:val="08B45BA9"/>
    <w:rsid w:val="08B45BD1"/>
    <w:rsid w:val="08B45C09"/>
    <w:rsid w:val="08B45C38"/>
    <w:rsid w:val="08B45C89"/>
    <w:rsid w:val="08B45CBF"/>
    <w:rsid w:val="08B45CE7"/>
    <w:rsid w:val="08B45CE8"/>
    <w:rsid w:val="08B45CFD"/>
    <w:rsid w:val="08B45D2C"/>
    <w:rsid w:val="08B45E70"/>
    <w:rsid w:val="08B460CB"/>
    <w:rsid w:val="08B46134"/>
    <w:rsid w:val="08B4615F"/>
    <w:rsid w:val="08B461BD"/>
    <w:rsid w:val="08B46213"/>
    <w:rsid w:val="08B46238"/>
    <w:rsid w:val="08B462A5"/>
    <w:rsid w:val="08B462AD"/>
    <w:rsid w:val="08B4635F"/>
    <w:rsid w:val="08B463B6"/>
    <w:rsid w:val="08B46424"/>
    <w:rsid w:val="08B46550"/>
    <w:rsid w:val="08B465F2"/>
    <w:rsid w:val="08B465F7"/>
    <w:rsid w:val="08B46608"/>
    <w:rsid w:val="08B46638"/>
    <w:rsid w:val="08B46643"/>
    <w:rsid w:val="08B46731"/>
    <w:rsid w:val="08B467C3"/>
    <w:rsid w:val="08B4685F"/>
    <w:rsid w:val="08B46A41"/>
    <w:rsid w:val="08B46B07"/>
    <w:rsid w:val="08B46B78"/>
    <w:rsid w:val="08B46BE4"/>
    <w:rsid w:val="08B46BF7"/>
    <w:rsid w:val="08B46C08"/>
    <w:rsid w:val="08B46C0F"/>
    <w:rsid w:val="08B46DA7"/>
    <w:rsid w:val="08B46E28"/>
    <w:rsid w:val="08B46E49"/>
    <w:rsid w:val="08B46F1C"/>
    <w:rsid w:val="08B46F68"/>
    <w:rsid w:val="08B4714F"/>
    <w:rsid w:val="08B472D7"/>
    <w:rsid w:val="08B473EE"/>
    <w:rsid w:val="08B4751A"/>
    <w:rsid w:val="08B47665"/>
    <w:rsid w:val="08B4766B"/>
    <w:rsid w:val="08B47725"/>
    <w:rsid w:val="08B47741"/>
    <w:rsid w:val="08B47795"/>
    <w:rsid w:val="08B477C0"/>
    <w:rsid w:val="08B477FE"/>
    <w:rsid w:val="08B478F5"/>
    <w:rsid w:val="08B47901"/>
    <w:rsid w:val="08B479C8"/>
    <w:rsid w:val="08B47AE3"/>
    <w:rsid w:val="08B47B26"/>
    <w:rsid w:val="08B47B5D"/>
    <w:rsid w:val="08B47C88"/>
    <w:rsid w:val="08B47DA2"/>
    <w:rsid w:val="08B47F22"/>
    <w:rsid w:val="08B47F6E"/>
    <w:rsid w:val="08B47FCC"/>
    <w:rsid w:val="08B47FE7"/>
    <w:rsid w:val="08B5005B"/>
    <w:rsid w:val="08B50068"/>
    <w:rsid w:val="08B5006E"/>
    <w:rsid w:val="08B50197"/>
    <w:rsid w:val="08B502A1"/>
    <w:rsid w:val="08B502C5"/>
    <w:rsid w:val="08B502F6"/>
    <w:rsid w:val="08B50302"/>
    <w:rsid w:val="08B50326"/>
    <w:rsid w:val="08B503FC"/>
    <w:rsid w:val="08B505E6"/>
    <w:rsid w:val="08B506B7"/>
    <w:rsid w:val="08B506D5"/>
    <w:rsid w:val="08B50919"/>
    <w:rsid w:val="08B5093E"/>
    <w:rsid w:val="08B509A8"/>
    <w:rsid w:val="08B50A4C"/>
    <w:rsid w:val="08B50A6E"/>
    <w:rsid w:val="08B50C6E"/>
    <w:rsid w:val="08B50C7D"/>
    <w:rsid w:val="08B50C92"/>
    <w:rsid w:val="08B50CA8"/>
    <w:rsid w:val="08B50E0A"/>
    <w:rsid w:val="08B50EDD"/>
    <w:rsid w:val="08B50EEC"/>
    <w:rsid w:val="08B50F02"/>
    <w:rsid w:val="08B50FD8"/>
    <w:rsid w:val="08B50FEF"/>
    <w:rsid w:val="08B51045"/>
    <w:rsid w:val="08B5105B"/>
    <w:rsid w:val="08B510B2"/>
    <w:rsid w:val="08B51143"/>
    <w:rsid w:val="08B5116E"/>
    <w:rsid w:val="08B51303"/>
    <w:rsid w:val="08B513EC"/>
    <w:rsid w:val="08B5142B"/>
    <w:rsid w:val="08B51550"/>
    <w:rsid w:val="08B515A5"/>
    <w:rsid w:val="08B51605"/>
    <w:rsid w:val="08B51654"/>
    <w:rsid w:val="08B51782"/>
    <w:rsid w:val="08B517AD"/>
    <w:rsid w:val="08B517DE"/>
    <w:rsid w:val="08B51885"/>
    <w:rsid w:val="08B518B6"/>
    <w:rsid w:val="08B51920"/>
    <w:rsid w:val="08B519C7"/>
    <w:rsid w:val="08B519D7"/>
    <w:rsid w:val="08B519E1"/>
    <w:rsid w:val="08B519EB"/>
    <w:rsid w:val="08B51A07"/>
    <w:rsid w:val="08B51A28"/>
    <w:rsid w:val="08B51ACE"/>
    <w:rsid w:val="08B51B54"/>
    <w:rsid w:val="08B51B72"/>
    <w:rsid w:val="08B51B91"/>
    <w:rsid w:val="08B51CA6"/>
    <w:rsid w:val="08B51DEB"/>
    <w:rsid w:val="08B51F23"/>
    <w:rsid w:val="08B51F74"/>
    <w:rsid w:val="08B520B4"/>
    <w:rsid w:val="08B520F0"/>
    <w:rsid w:val="08B52193"/>
    <w:rsid w:val="08B521D2"/>
    <w:rsid w:val="08B52212"/>
    <w:rsid w:val="08B52279"/>
    <w:rsid w:val="08B522F7"/>
    <w:rsid w:val="08B522FD"/>
    <w:rsid w:val="08B5231C"/>
    <w:rsid w:val="08B5234C"/>
    <w:rsid w:val="08B52388"/>
    <w:rsid w:val="08B523EE"/>
    <w:rsid w:val="08B524C2"/>
    <w:rsid w:val="08B5253C"/>
    <w:rsid w:val="08B52582"/>
    <w:rsid w:val="08B5261B"/>
    <w:rsid w:val="08B5261D"/>
    <w:rsid w:val="08B526EA"/>
    <w:rsid w:val="08B527C7"/>
    <w:rsid w:val="08B527FA"/>
    <w:rsid w:val="08B52815"/>
    <w:rsid w:val="08B52925"/>
    <w:rsid w:val="08B52A61"/>
    <w:rsid w:val="08B52A78"/>
    <w:rsid w:val="08B52B30"/>
    <w:rsid w:val="08B52D1B"/>
    <w:rsid w:val="08B52D5F"/>
    <w:rsid w:val="08B52D64"/>
    <w:rsid w:val="08B52DF1"/>
    <w:rsid w:val="08B52E30"/>
    <w:rsid w:val="08B52E9A"/>
    <w:rsid w:val="08B52EDF"/>
    <w:rsid w:val="08B52F89"/>
    <w:rsid w:val="08B5301A"/>
    <w:rsid w:val="08B5304E"/>
    <w:rsid w:val="08B53104"/>
    <w:rsid w:val="08B5318C"/>
    <w:rsid w:val="08B531C0"/>
    <w:rsid w:val="08B53244"/>
    <w:rsid w:val="08B5334E"/>
    <w:rsid w:val="08B533BA"/>
    <w:rsid w:val="08B533BD"/>
    <w:rsid w:val="08B533D9"/>
    <w:rsid w:val="08B533E3"/>
    <w:rsid w:val="08B53411"/>
    <w:rsid w:val="08B53470"/>
    <w:rsid w:val="08B534A1"/>
    <w:rsid w:val="08B53632"/>
    <w:rsid w:val="08B536E4"/>
    <w:rsid w:val="08B53726"/>
    <w:rsid w:val="08B53844"/>
    <w:rsid w:val="08B538B4"/>
    <w:rsid w:val="08B53905"/>
    <w:rsid w:val="08B53910"/>
    <w:rsid w:val="08B53970"/>
    <w:rsid w:val="08B53B48"/>
    <w:rsid w:val="08B53C23"/>
    <w:rsid w:val="08B53C71"/>
    <w:rsid w:val="08B53D2D"/>
    <w:rsid w:val="08B53DFD"/>
    <w:rsid w:val="08B53EBB"/>
    <w:rsid w:val="08B53F19"/>
    <w:rsid w:val="08B53F52"/>
    <w:rsid w:val="08B53FA4"/>
    <w:rsid w:val="08B53FEE"/>
    <w:rsid w:val="08B540AB"/>
    <w:rsid w:val="08B540AD"/>
    <w:rsid w:val="08B540DD"/>
    <w:rsid w:val="08B540FA"/>
    <w:rsid w:val="08B54153"/>
    <w:rsid w:val="08B54162"/>
    <w:rsid w:val="08B54296"/>
    <w:rsid w:val="08B542CE"/>
    <w:rsid w:val="08B54317"/>
    <w:rsid w:val="08B5434A"/>
    <w:rsid w:val="08B5435C"/>
    <w:rsid w:val="08B544AF"/>
    <w:rsid w:val="08B54574"/>
    <w:rsid w:val="08B54576"/>
    <w:rsid w:val="08B54587"/>
    <w:rsid w:val="08B54588"/>
    <w:rsid w:val="08B5458D"/>
    <w:rsid w:val="08B545BE"/>
    <w:rsid w:val="08B545FF"/>
    <w:rsid w:val="08B54614"/>
    <w:rsid w:val="08B546A4"/>
    <w:rsid w:val="08B547DE"/>
    <w:rsid w:val="08B5480E"/>
    <w:rsid w:val="08B549BA"/>
    <w:rsid w:val="08B54A07"/>
    <w:rsid w:val="08B54AC9"/>
    <w:rsid w:val="08B54AFB"/>
    <w:rsid w:val="08B54C7D"/>
    <w:rsid w:val="08B54C88"/>
    <w:rsid w:val="08B54D62"/>
    <w:rsid w:val="08B54DDC"/>
    <w:rsid w:val="08B54E14"/>
    <w:rsid w:val="08B54E94"/>
    <w:rsid w:val="08B54EF8"/>
    <w:rsid w:val="08B54F56"/>
    <w:rsid w:val="08B54F5A"/>
    <w:rsid w:val="08B54F8C"/>
    <w:rsid w:val="08B55030"/>
    <w:rsid w:val="08B5503A"/>
    <w:rsid w:val="08B551A6"/>
    <w:rsid w:val="08B551FB"/>
    <w:rsid w:val="08B55287"/>
    <w:rsid w:val="08B552AB"/>
    <w:rsid w:val="08B55347"/>
    <w:rsid w:val="08B555E3"/>
    <w:rsid w:val="08B557BA"/>
    <w:rsid w:val="08B55810"/>
    <w:rsid w:val="08B5584E"/>
    <w:rsid w:val="08B5587A"/>
    <w:rsid w:val="08B5589E"/>
    <w:rsid w:val="08B558AF"/>
    <w:rsid w:val="08B559A9"/>
    <w:rsid w:val="08B559FC"/>
    <w:rsid w:val="08B55A80"/>
    <w:rsid w:val="08B55A85"/>
    <w:rsid w:val="08B55AA3"/>
    <w:rsid w:val="08B55ACE"/>
    <w:rsid w:val="08B55ADC"/>
    <w:rsid w:val="08B55AF1"/>
    <w:rsid w:val="08B55AFB"/>
    <w:rsid w:val="08B55B01"/>
    <w:rsid w:val="08B55B05"/>
    <w:rsid w:val="08B55BB7"/>
    <w:rsid w:val="08B55C7A"/>
    <w:rsid w:val="08B55DF2"/>
    <w:rsid w:val="08B55E66"/>
    <w:rsid w:val="08B55EF0"/>
    <w:rsid w:val="08B55F58"/>
    <w:rsid w:val="08B55F98"/>
    <w:rsid w:val="08B55FC3"/>
    <w:rsid w:val="08B56008"/>
    <w:rsid w:val="08B56010"/>
    <w:rsid w:val="08B56067"/>
    <w:rsid w:val="08B56117"/>
    <w:rsid w:val="08B5614F"/>
    <w:rsid w:val="08B56167"/>
    <w:rsid w:val="08B56203"/>
    <w:rsid w:val="08B562E7"/>
    <w:rsid w:val="08B56367"/>
    <w:rsid w:val="08B563BE"/>
    <w:rsid w:val="08B56405"/>
    <w:rsid w:val="08B564DA"/>
    <w:rsid w:val="08B56516"/>
    <w:rsid w:val="08B5666B"/>
    <w:rsid w:val="08B56743"/>
    <w:rsid w:val="08B56763"/>
    <w:rsid w:val="08B567A8"/>
    <w:rsid w:val="08B5682D"/>
    <w:rsid w:val="08B5688A"/>
    <w:rsid w:val="08B5690D"/>
    <w:rsid w:val="08B5693E"/>
    <w:rsid w:val="08B569E3"/>
    <w:rsid w:val="08B56A65"/>
    <w:rsid w:val="08B56A97"/>
    <w:rsid w:val="08B56AD1"/>
    <w:rsid w:val="08B56B88"/>
    <w:rsid w:val="08B56BC8"/>
    <w:rsid w:val="08B56C26"/>
    <w:rsid w:val="08B56C2C"/>
    <w:rsid w:val="08B56CE5"/>
    <w:rsid w:val="08B56DBC"/>
    <w:rsid w:val="08B56EBE"/>
    <w:rsid w:val="08B56EEB"/>
    <w:rsid w:val="08B56FDF"/>
    <w:rsid w:val="08B57112"/>
    <w:rsid w:val="08B571BD"/>
    <w:rsid w:val="08B572F0"/>
    <w:rsid w:val="08B57318"/>
    <w:rsid w:val="08B573C4"/>
    <w:rsid w:val="08B573CE"/>
    <w:rsid w:val="08B57426"/>
    <w:rsid w:val="08B5742A"/>
    <w:rsid w:val="08B5748B"/>
    <w:rsid w:val="08B574C2"/>
    <w:rsid w:val="08B574E6"/>
    <w:rsid w:val="08B57503"/>
    <w:rsid w:val="08B5759A"/>
    <w:rsid w:val="08B57645"/>
    <w:rsid w:val="08B576CF"/>
    <w:rsid w:val="08B576F4"/>
    <w:rsid w:val="08B57707"/>
    <w:rsid w:val="08B5776D"/>
    <w:rsid w:val="08B57777"/>
    <w:rsid w:val="08B5777E"/>
    <w:rsid w:val="08B57783"/>
    <w:rsid w:val="08B577AE"/>
    <w:rsid w:val="08B57819"/>
    <w:rsid w:val="08B57881"/>
    <w:rsid w:val="08B578BE"/>
    <w:rsid w:val="08B57933"/>
    <w:rsid w:val="08B57987"/>
    <w:rsid w:val="08B57A32"/>
    <w:rsid w:val="08B57A9C"/>
    <w:rsid w:val="08B57B96"/>
    <w:rsid w:val="08B57BD0"/>
    <w:rsid w:val="08B57BE0"/>
    <w:rsid w:val="08B57BF8"/>
    <w:rsid w:val="08B57BF9"/>
    <w:rsid w:val="08B57D63"/>
    <w:rsid w:val="08B57D91"/>
    <w:rsid w:val="08B57DE2"/>
    <w:rsid w:val="08B57E1D"/>
    <w:rsid w:val="08B57E73"/>
    <w:rsid w:val="08B57FC6"/>
    <w:rsid w:val="08B57FDD"/>
    <w:rsid w:val="08B60033"/>
    <w:rsid w:val="08B6006C"/>
    <w:rsid w:val="08B600AD"/>
    <w:rsid w:val="08B6024F"/>
    <w:rsid w:val="08B60295"/>
    <w:rsid w:val="08B60376"/>
    <w:rsid w:val="08B6044E"/>
    <w:rsid w:val="08B60463"/>
    <w:rsid w:val="08B60480"/>
    <w:rsid w:val="08B604B1"/>
    <w:rsid w:val="08B604FB"/>
    <w:rsid w:val="08B60556"/>
    <w:rsid w:val="08B605B3"/>
    <w:rsid w:val="08B605D2"/>
    <w:rsid w:val="08B60634"/>
    <w:rsid w:val="08B60794"/>
    <w:rsid w:val="08B607FA"/>
    <w:rsid w:val="08B6094A"/>
    <w:rsid w:val="08B6096E"/>
    <w:rsid w:val="08B609CF"/>
    <w:rsid w:val="08B609F0"/>
    <w:rsid w:val="08B609FA"/>
    <w:rsid w:val="08B60B06"/>
    <w:rsid w:val="08B60B37"/>
    <w:rsid w:val="08B60B38"/>
    <w:rsid w:val="08B60B58"/>
    <w:rsid w:val="08B60B87"/>
    <w:rsid w:val="08B60D0E"/>
    <w:rsid w:val="08B60DFD"/>
    <w:rsid w:val="08B60E18"/>
    <w:rsid w:val="08B60F72"/>
    <w:rsid w:val="08B6112C"/>
    <w:rsid w:val="08B6116D"/>
    <w:rsid w:val="08B6133B"/>
    <w:rsid w:val="08B613A6"/>
    <w:rsid w:val="08B6145B"/>
    <w:rsid w:val="08B61603"/>
    <w:rsid w:val="08B616AA"/>
    <w:rsid w:val="08B616FC"/>
    <w:rsid w:val="08B6179F"/>
    <w:rsid w:val="08B617B6"/>
    <w:rsid w:val="08B61833"/>
    <w:rsid w:val="08B6185A"/>
    <w:rsid w:val="08B618C5"/>
    <w:rsid w:val="08B619A4"/>
    <w:rsid w:val="08B619D4"/>
    <w:rsid w:val="08B61AB1"/>
    <w:rsid w:val="08B61AEE"/>
    <w:rsid w:val="08B61B9F"/>
    <w:rsid w:val="08B61BA4"/>
    <w:rsid w:val="08B61BE2"/>
    <w:rsid w:val="08B61C8E"/>
    <w:rsid w:val="08B61EB3"/>
    <w:rsid w:val="08B61ECD"/>
    <w:rsid w:val="08B61F2D"/>
    <w:rsid w:val="08B61F86"/>
    <w:rsid w:val="08B62064"/>
    <w:rsid w:val="08B620DC"/>
    <w:rsid w:val="08B6211C"/>
    <w:rsid w:val="08B621AB"/>
    <w:rsid w:val="08B621E5"/>
    <w:rsid w:val="08B6223F"/>
    <w:rsid w:val="08B62255"/>
    <w:rsid w:val="08B6226B"/>
    <w:rsid w:val="08B62324"/>
    <w:rsid w:val="08B62372"/>
    <w:rsid w:val="08B623F0"/>
    <w:rsid w:val="08B62508"/>
    <w:rsid w:val="08B626B0"/>
    <w:rsid w:val="08B626C4"/>
    <w:rsid w:val="08B62709"/>
    <w:rsid w:val="08B627FD"/>
    <w:rsid w:val="08B6284D"/>
    <w:rsid w:val="08B62AE7"/>
    <w:rsid w:val="08B62BE3"/>
    <w:rsid w:val="08B62BF8"/>
    <w:rsid w:val="08B62C43"/>
    <w:rsid w:val="08B62C8C"/>
    <w:rsid w:val="08B62CA7"/>
    <w:rsid w:val="08B62D6E"/>
    <w:rsid w:val="08B62E47"/>
    <w:rsid w:val="08B62EAF"/>
    <w:rsid w:val="08B62EC1"/>
    <w:rsid w:val="08B62F6E"/>
    <w:rsid w:val="08B62F70"/>
    <w:rsid w:val="08B63071"/>
    <w:rsid w:val="08B63101"/>
    <w:rsid w:val="08B63145"/>
    <w:rsid w:val="08B63155"/>
    <w:rsid w:val="08B6324F"/>
    <w:rsid w:val="08B63261"/>
    <w:rsid w:val="08B63270"/>
    <w:rsid w:val="08B633AF"/>
    <w:rsid w:val="08B63431"/>
    <w:rsid w:val="08B634A9"/>
    <w:rsid w:val="08B63510"/>
    <w:rsid w:val="08B6362B"/>
    <w:rsid w:val="08B6364C"/>
    <w:rsid w:val="08B6368E"/>
    <w:rsid w:val="08B6373B"/>
    <w:rsid w:val="08B6381F"/>
    <w:rsid w:val="08B63846"/>
    <w:rsid w:val="08B63940"/>
    <w:rsid w:val="08B639EB"/>
    <w:rsid w:val="08B63A16"/>
    <w:rsid w:val="08B63A49"/>
    <w:rsid w:val="08B63B40"/>
    <w:rsid w:val="08B63B7C"/>
    <w:rsid w:val="08B63B7D"/>
    <w:rsid w:val="08B63BE3"/>
    <w:rsid w:val="08B63C04"/>
    <w:rsid w:val="08B63D08"/>
    <w:rsid w:val="08B63ED0"/>
    <w:rsid w:val="08B63F43"/>
    <w:rsid w:val="08B64287"/>
    <w:rsid w:val="08B64304"/>
    <w:rsid w:val="08B6430C"/>
    <w:rsid w:val="08B643FA"/>
    <w:rsid w:val="08B645CE"/>
    <w:rsid w:val="08B645FE"/>
    <w:rsid w:val="08B64649"/>
    <w:rsid w:val="08B64657"/>
    <w:rsid w:val="08B64664"/>
    <w:rsid w:val="08B64693"/>
    <w:rsid w:val="08B6470B"/>
    <w:rsid w:val="08B64722"/>
    <w:rsid w:val="08B647D3"/>
    <w:rsid w:val="08B64822"/>
    <w:rsid w:val="08B64846"/>
    <w:rsid w:val="08B64898"/>
    <w:rsid w:val="08B64902"/>
    <w:rsid w:val="08B64913"/>
    <w:rsid w:val="08B6492C"/>
    <w:rsid w:val="08B649CF"/>
    <w:rsid w:val="08B649E7"/>
    <w:rsid w:val="08B64A99"/>
    <w:rsid w:val="08B64AAE"/>
    <w:rsid w:val="08B64AE0"/>
    <w:rsid w:val="08B64B21"/>
    <w:rsid w:val="08B64B51"/>
    <w:rsid w:val="08B64BD9"/>
    <w:rsid w:val="08B64C26"/>
    <w:rsid w:val="08B64C2C"/>
    <w:rsid w:val="08B64D0A"/>
    <w:rsid w:val="08B64D5A"/>
    <w:rsid w:val="08B64DA2"/>
    <w:rsid w:val="08B64E74"/>
    <w:rsid w:val="08B64FDE"/>
    <w:rsid w:val="08B650AF"/>
    <w:rsid w:val="08B650B6"/>
    <w:rsid w:val="08B650FF"/>
    <w:rsid w:val="08B65103"/>
    <w:rsid w:val="08B65119"/>
    <w:rsid w:val="08B65126"/>
    <w:rsid w:val="08B6514D"/>
    <w:rsid w:val="08B65160"/>
    <w:rsid w:val="08B65163"/>
    <w:rsid w:val="08B65173"/>
    <w:rsid w:val="08B651A8"/>
    <w:rsid w:val="08B651CC"/>
    <w:rsid w:val="08B65298"/>
    <w:rsid w:val="08B65329"/>
    <w:rsid w:val="08B6546D"/>
    <w:rsid w:val="08B65593"/>
    <w:rsid w:val="08B655B1"/>
    <w:rsid w:val="08B655D0"/>
    <w:rsid w:val="08B655D6"/>
    <w:rsid w:val="08B65614"/>
    <w:rsid w:val="08B65678"/>
    <w:rsid w:val="08B65763"/>
    <w:rsid w:val="08B65788"/>
    <w:rsid w:val="08B657D1"/>
    <w:rsid w:val="08B6586B"/>
    <w:rsid w:val="08B65891"/>
    <w:rsid w:val="08B6589E"/>
    <w:rsid w:val="08B658FC"/>
    <w:rsid w:val="08B6592D"/>
    <w:rsid w:val="08B65995"/>
    <w:rsid w:val="08B65A2A"/>
    <w:rsid w:val="08B65A4F"/>
    <w:rsid w:val="08B65AF1"/>
    <w:rsid w:val="08B65B31"/>
    <w:rsid w:val="08B65B41"/>
    <w:rsid w:val="08B65D5C"/>
    <w:rsid w:val="08B65DCD"/>
    <w:rsid w:val="08B65F06"/>
    <w:rsid w:val="08B65FFD"/>
    <w:rsid w:val="08B660EA"/>
    <w:rsid w:val="08B66134"/>
    <w:rsid w:val="08B66175"/>
    <w:rsid w:val="08B6619F"/>
    <w:rsid w:val="08B661B0"/>
    <w:rsid w:val="08B661CC"/>
    <w:rsid w:val="08B661EC"/>
    <w:rsid w:val="08B66303"/>
    <w:rsid w:val="08B66380"/>
    <w:rsid w:val="08B6639E"/>
    <w:rsid w:val="08B66407"/>
    <w:rsid w:val="08B664CF"/>
    <w:rsid w:val="08B6652F"/>
    <w:rsid w:val="08B665F6"/>
    <w:rsid w:val="08B66678"/>
    <w:rsid w:val="08B666CB"/>
    <w:rsid w:val="08B66704"/>
    <w:rsid w:val="08B6672C"/>
    <w:rsid w:val="08B66764"/>
    <w:rsid w:val="08B6679D"/>
    <w:rsid w:val="08B669CC"/>
    <w:rsid w:val="08B669F7"/>
    <w:rsid w:val="08B66ADF"/>
    <w:rsid w:val="08B66C25"/>
    <w:rsid w:val="08B66D7E"/>
    <w:rsid w:val="08B66EAF"/>
    <w:rsid w:val="08B66FB8"/>
    <w:rsid w:val="08B6709F"/>
    <w:rsid w:val="08B671E8"/>
    <w:rsid w:val="08B67204"/>
    <w:rsid w:val="08B67236"/>
    <w:rsid w:val="08B6723D"/>
    <w:rsid w:val="08B672CD"/>
    <w:rsid w:val="08B672E1"/>
    <w:rsid w:val="08B672E7"/>
    <w:rsid w:val="08B673BB"/>
    <w:rsid w:val="08B67410"/>
    <w:rsid w:val="08B67484"/>
    <w:rsid w:val="08B67589"/>
    <w:rsid w:val="08B675E3"/>
    <w:rsid w:val="08B6760E"/>
    <w:rsid w:val="08B676AA"/>
    <w:rsid w:val="08B676B3"/>
    <w:rsid w:val="08B67777"/>
    <w:rsid w:val="08B677F1"/>
    <w:rsid w:val="08B67825"/>
    <w:rsid w:val="08B67875"/>
    <w:rsid w:val="08B6788F"/>
    <w:rsid w:val="08B678BD"/>
    <w:rsid w:val="08B678E8"/>
    <w:rsid w:val="08B6792F"/>
    <w:rsid w:val="08B67A31"/>
    <w:rsid w:val="08B67B42"/>
    <w:rsid w:val="08B67B89"/>
    <w:rsid w:val="08B67CF9"/>
    <w:rsid w:val="08B67D2C"/>
    <w:rsid w:val="08B67DC7"/>
    <w:rsid w:val="08B67E1D"/>
    <w:rsid w:val="08B67EC8"/>
    <w:rsid w:val="08B67EF5"/>
    <w:rsid w:val="08B67FE2"/>
    <w:rsid w:val="08B7012E"/>
    <w:rsid w:val="08B7013E"/>
    <w:rsid w:val="08B701C0"/>
    <w:rsid w:val="08B701E9"/>
    <w:rsid w:val="08B70269"/>
    <w:rsid w:val="08B702F2"/>
    <w:rsid w:val="08B7039C"/>
    <w:rsid w:val="08B7040E"/>
    <w:rsid w:val="08B704A1"/>
    <w:rsid w:val="08B7050B"/>
    <w:rsid w:val="08B70606"/>
    <w:rsid w:val="08B706B1"/>
    <w:rsid w:val="08B70702"/>
    <w:rsid w:val="08B7077B"/>
    <w:rsid w:val="08B70781"/>
    <w:rsid w:val="08B707D2"/>
    <w:rsid w:val="08B7091D"/>
    <w:rsid w:val="08B70922"/>
    <w:rsid w:val="08B70923"/>
    <w:rsid w:val="08B709E3"/>
    <w:rsid w:val="08B70A3C"/>
    <w:rsid w:val="08B70A78"/>
    <w:rsid w:val="08B70AA0"/>
    <w:rsid w:val="08B70AF0"/>
    <w:rsid w:val="08B70B01"/>
    <w:rsid w:val="08B70B11"/>
    <w:rsid w:val="08B70B4B"/>
    <w:rsid w:val="08B70B59"/>
    <w:rsid w:val="08B70BC1"/>
    <w:rsid w:val="08B70C12"/>
    <w:rsid w:val="08B70C2D"/>
    <w:rsid w:val="08B70C8D"/>
    <w:rsid w:val="08B70CC2"/>
    <w:rsid w:val="08B70CF9"/>
    <w:rsid w:val="08B70D73"/>
    <w:rsid w:val="08B70DBE"/>
    <w:rsid w:val="08B70E52"/>
    <w:rsid w:val="08B70F1F"/>
    <w:rsid w:val="08B70F88"/>
    <w:rsid w:val="08B7113A"/>
    <w:rsid w:val="08B71186"/>
    <w:rsid w:val="08B711E0"/>
    <w:rsid w:val="08B711E8"/>
    <w:rsid w:val="08B712A9"/>
    <w:rsid w:val="08B712B8"/>
    <w:rsid w:val="08B71351"/>
    <w:rsid w:val="08B71479"/>
    <w:rsid w:val="08B71587"/>
    <w:rsid w:val="08B7159F"/>
    <w:rsid w:val="08B715FC"/>
    <w:rsid w:val="08B715FE"/>
    <w:rsid w:val="08B7160B"/>
    <w:rsid w:val="08B7161E"/>
    <w:rsid w:val="08B71653"/>
    <w:rsid w:val="08B71727"/>
    <w:rsid w:val="08B71882"/>
    <w:rsid w:val="08B718B5"/>
    <w:rsid w:val="08B718D2"/>
    <w:rsid w:val="08B71931"/>
    <w:rsid w:val="08B719FE"/>
    <w:rsid w:val="08B71B02"/>
    <w:rsid w:val="08B71B57"/>
    <w:rsid w:val="08B71C50"/>
    <w:rsid w:val="08B71CCD"/>
    <w:rsid w:val="08B71D62"/>
    <w:rsid w:val="08B71D78"/>
    <w:rsid w:val="08B71D9C"/>
    <w:rsid w:val="08B71DC6"/>
    <w:rsid w:val="08B71E1D"/>
    <w:rsid w:val="08B71EF5"/>
    <w:rsid w:val="08B71EFE"/>
    <w:rsid w:val="08B71F32"/>
    <w:rsid w:val="08B71F78"/>
    <w:rsid w:val="08B71F95"/>
    <w:rsid w:val="08B72026"/>
    <w:rsid w:val="08B72035"/>
    <w:rsid w:val="08B720AA"/>
    <w:rsid w:val="08B720C6"/>
    <w:rsid w:val="08B720EB"/>
    <w:rsid w:val="08B72218"/>
    <w:rsid w:val="08B72223"/>
    <w:rsid w:val="08B7223D"/>
    <w:rsid w:val="08B72259"/>
    <w:rsid w:val="08B72264"/>
    <w:rsid w:val="08B722E2"/>
    <w:rsid w:val="08B722FB"/>
    <w:rsid w:val="08B723AA"/>
    <w:rsid w:val="08B72434"/>
    <w:rsid w:val="08B7246B"/>
    <w:rsid w:val="08B72557"/>
    <w:rsid w:val="08B725AC"/>
    <w:rsid w:val="08B726EF"/>
    <w:rsid w:val="08B7279B"/>
    <w:rsid w:val="08B72826"/>
    <w:rsid w:val="08B72841"/>
    <w:rsid w:val="08B72932"/>
    <w:rsid w:val="08B729A8"/>
    <w:rsid w:val="08B729DF"/>
    <w:rsid w:val="08B72A12"/>
    <w:rsid w:val="08B72BD3"/>
    <w:rsid w:val="08B72C36"/>
    <w:rsid w:val="08B72C39"/>
    <w:rsid w:val="08B72C52"/>
    <w:rsid w:val="08B72CC5"/>
    <w:rsid w:val="08B72E1B"/>
    <w:rsid w:val="08B72F37"/>
    <w:rsid w:val="08B72F9E"/>
    <w:rsid w:val="08B72FCE"/>
    <w:rsid w:val="08B72FE4"/>
    <w:rsid w:val="08B73129"/>
    <w:rsid w:val="08B7325B"/>
    <w:rsid w:val="08B73286"/>
    <w:rsid w:val="08B73296"/>
    <w:rsid w:val="08B732FD"/>
    <w:rsid w:val="08B7335A"/>
    <w:rsid w:val="08B73468"/>
    <w:rsid w:val="08B734C4"/>
    <w:rsid w:val="08B7361C"/>
    <w:rsid w:val="08B736A4"/>
    <w:rsid w:val="08B736B8"/>
    <w:rsid w:val="08B7379D"/>
    <w:rsid w:val="08B737BC"/>
    <w:rsid w:val="08B7383F"/>
    <w:rsid w:val="08B739F3"/>
    <w:rsid w:val="08B73A22"/>
    <w:rsid w:val="08B73A3D"/>
    <w:rsid w:val="08B73A89"/>
    <w:rsid w:val="08B73BE0"/>
    <w:rsid w:val="08B73BEB"/>
    <w:rsid w:val="08B73C0E"/>
    <w:rsid w:val="08B73C49"/>
    <w:rsid w:val="08B73C72"/>
    <w:rsid w:val="08B73CEE"/>
    <w:rsid w:val="08B73D49"/>
    <w:rsid w:val="08B73E48"/>
    <w:rsid w:val="08B73E78"/>
    <w:rsid w:val="08B73ED4"/>
    <w:rsid w:val="08B73ED9"/>
    <w:rsid w:val="08B73EF7"/>
    <w:rsid w:val="08B73F9C"/>
    <w:rsid w:val="08B73FF5"/>
    <w:rsid w:val="08B73FFA"/>
    <w:rsid w:val="08B74068"/>
    <w:rsid w:val="08B74195"/>
    <w:rsid w:val="08B741B3"/>
    <w:rsid w:val="08B741B4"/>
    <w:rsid w:val="08B741B9"/>
    <w:rsid w:val="08B7423E"/>
    <w:rsid w:val="08B743A2"/>
    <w:rsid w:val="08B7446F"/>
    <w:rsid w:val="08B74513"/>
    <w:rsid w:val="08B74535"/>
    <w:rsid w:val="08B7455B"/>
    <w:rsid w:val="08B745D7"/>
    <w:rsid w:val="08B745E0"/>
    <w:rsid w:val="08B746AA"/>
    <w:rsid w:val="08B74709"/>
    <w:rsid w:val="08B74745"/>
    <w:rsid w:val="08B747E8"/>
    <w:rsid w:val="08B748E3"/>
    <w:rsid w:val="08B7492C"/>
    <w:rsid w:val="08B7495F"/>
    <w:rsid w:val="08B74992"/>
    <w:rsid w:val="08B749FD"/>
    <w:rsid w:val="08B74A71"/>
    <w:rsid w:val="08B74A85"/>
    <w:rsid w:val="08B74AFA"/>
    <w:rsid w:val="08B74B23"/>
    <w:rsid w:val="08B74B26"/>
    <w:rsid w:val="08B74BE7"/>
    <w:rsid w:val="08B74C34"/>
    <w:rsid w:val="08B74C8A"/>
    <w:rsid w:val="08B74CDE"/>
    <w:rsid w:val="08B74D53"/>
    <w:rsid w:val="08B74E1C"/>
    <w:rsid w:val="08B74E41"/>
    <w:rsid w:val="08B74E83"/>
    <w:rsid w:val="08B74E96"/>
    <w:rsid w:val="08B74EAC"/>
    <w:rsid w:val="08B74ECD"/>
    <w:rsid w:val="08B751EC"/>
    <w:rsid w:val="08B752B8"/>
    <w:rsid w:val="08B752C9"/>
    <w:rsid w:val="08B75301"/>
    <w:rsid w:val="08B75309"/>
    <w:rsid w:val="08B75336"/>
    <w:rsid w:val="08B7536B"/>
    <w:rsid w:val="08B75436"/>
    <w:rsid w:val="08B7547E"/>
    <w:rsid w:val="08B75488"/>
    <w:rsid w:val="08B75551"/>
    <w:rsid w:val="08B7567F"/>
    <w:rsid w:val="08B75798"/>
    <w:rsid w:val="08B75834"/>
    <w:rsid w:val="08B75859"/>
    <w:rsid w:val="08B758D6"/>
    <w:rsid w:val="08B75986"/>
    <w:rsid w:val="08B759A6"/>
    <w:rsid w:val="08B759F2"/>
    <w:rsid w:val="08B75A1E"/>
    <w:rsid w:val="08B75A20"/>
    <w:rsid w:val="08B75B51"/>
    <w:rsid w:val="08B75DC5"/>
    <w:rsid w:val="08B75DE2"/>
    <w:rsid w:val="08B75E49"/>
    <w:rsid w:val="08B75E67"/>
    <w:rsid w:val="08B75E6A"/>
    <w:rsid w:val="08B75EA2"/>
    <w:rsid w:val="08B76078"/>
    <w:rsid w:val="08B7613A"/>
    <w:rsid w:val="08B761B0"/>
    <w:rsid w:val="08B761FA"/>
    <w:rsid w:val="08B7622F"/>
    <w:rsid w:val="08B76272"/>
    <w:rsid w:val="08B763D3"/>
    <w:rsid w:val="08B764EE"/>
    <w:rsid w:val="08B764F9"/>
    <w:rsid w:val="08B7652E"/>
    <w:rsid w:val="08B767F5"/>
    <w:rsid w:val="08B7681F"/>
    <w:rsid w:val="08B769A9"/>
    <w:rsid w:val="08B769D2"/>
    <w:rsid w:val="08B769FF"/>
    <w:rsid w:val="08B76A22"/>
    <w:rsid w:val="08B76ADD"/>
    <w:rsid w:val="08B76BCB"/>
    <w:rsid w:val="08B76CA3"/>
    <w:rsid w:val="08B76D41"/>
    <w:rsid w:val="08B76D56"/>
    <w:rsid w:val="08B76DDA"/>
    <w:rsid w:val="08B76E18"/>
    <w:rsid w:val="08B76E2E"/>
    <w:rsid w:val="08B76E72"/>
    <w:rsid w:val="08B76E9E"/>
    <w:rsid w:val="08B76EF7"/>
    <w:rsid w:val="08B76F33"/>
    <w:rsid w:val="08B76FB3"/>
    <w:rsid w:val="08B76FE7"/>
    <w:rsid w:val="08B77187"/>
    <w:rsid w:val="08B7719E"/>
    <w:rsid w:val="08B772BA"/>
    <w:rsid w:val="08B7751E"/>
    <w:rsid w:val="08B77596"/>
    <w:rsid w:val="08B77861"/>
    <w:rsid w:val="08B778BE"/>
    <w:rsid w:val="08B779F5"/>
    <w:rsid w:val="08B779FB"/>
    <w:rsid w:val="08B779FC"/>
    <w:rsid w:val="08B77AFA"/>
    <w:rsid w:val="08B77B44"/>
    <w:rsid w:val="08B77B57"/>
    <w:rsid w:val="08B77BF8"/>
    <w:rsid w:val="08B77C05"/>
    <w:rsid w:val="08B77C17"/>
    <w:rsid w:val="08B77C48"/>
    <w:rsid w:val="08B77C5A"/>
    <w:rsid w:val="08B77C69"/>
    <w:rsid w:val="08B77CAA"/>
    <w:rsid w:val="08B77CC9"/>
    <w:rsid w:val="08B77D14"/>
    <w:rsid w:val="08B77D8E"/>
    <w:rsid w:val="08B77EC9"/>
    <w:rsid w:val="08B77ED5"/>
    <w:rsid w:val="08B80030"/>
    <w:rsid w:val="08B800A7"/>
    <w:rsid w:val="08B80175"/>
    <w:rsid w:val="08B801FF"/>
    <w:rsid w:val="08B8020B"/>
    <w:rsid w:val="08B8024D"/>
    <w:rsid w:val="08B80303"/>
    <w:rsid w:val="08B80310"/>
    <w:rsid w:val="08B80350"/>
    <w:rsid w:val="08B80464"/>
    <w:rsid w:val="08B8050F"/>
    <w:rsid w:val="08B805A6"/>
    <w:rsid w:val="08B805A9"/>
    <w:rsid w:val="08B8062F"/>
    <w:rsid w:val="08B80678"/>
    <w:rsid w:val="08B8070F"/>
    <w:rsid w:val="08B807C0"/>
    <w:rsid w:val="08B80813"/>
    <w:rsid w:val="08B80864"/>
    <w:rsid w:val="08B808A7"/>
    <w:rsid w:val="08B808E3"/>
    <w:rsid w:val="08B8092D"/>
    <w:rsid w:val="08B809A4"/>
    <w:rsid w:val="08B80AA4"/>
    <w:rsid w:val="08B80BBC"/>
    <w:rsid w:val="08B80C33"/>
    <w:rsid w:val="08B80C46"/>
    <w:rsid w:val="08B80C51"/>
    <w:rsid w:val="08B80CEA"/>
    <w:rsid w:val="08B80F60"/>
    <w:rsid w:val="08B8103E"/>
    <w:rsid w:val="08B81044"/>
    <w:rsid w:val="08B810A3"/>
    <w:rsid w:val="08B81159"/>
    <w:rsid w:val="08B811E1"/>
    <w:rsid w:val="08B812B2"/>
    <w:rsid w:val="08B8133A"/>
    <w:rsid w:val="08B81375"/>
    <w:rsid w:val="08B813FE"/>
    <w:rsid w:val="08B81407"/>
    <w:rsid w:val="08B815D1"/>
    <w:rsid w:val="08B815D6"/>
    <w:rsid w:val="08B816D4"/>
    <w:rsid w:val="08B816FD"/>
    <w:rsid w:val="08B817E9"/>
    <w:rsid w:val="08B817EA"/>
    <w:rsid w:val="08B81829"/>
    <w:rsid w:val="08B8186C"/>
    <w:rsid w:val="08B81870"/>
    <w:rsid w:val="08B818E2"/>
    <w:rsid w:val="08B818E4"/>
    <w:rsid w:val="08B81923"/>
    <w:rsid w:val="08B81993"/>
    <w:rsid w:val="08B819E7"/>
    <w:rsid w:val="08B81AA2"/>
    <w:rsid w:val="08B81AEE"/>
    <w:rsid w:val="08B81B22"/>
    <w:rsid w:val="08B81B27"/>
    <w:rsid w:val="08B81BED"/>
    <w:rsid w:val="08B81C2D"/>
    <w:rsid w:val="08B81C6B"/>
    <w:rsid w:val="08B81D5D"/>
    <w:rsid w:val="08B81DE2"/>
    <w:rsid w:val="08B81DEB"/>
    <w:rsid w:val="08B81E61"/>
    <w:rsid w:val="08B81E9A"/>
    <w:rsid w:val="08B81EB1"/>
    <w:rsid w:val="08B81EF1"/>
    <w:rsid w:val="08B81F9F"/>
    <w:rsid w:val="08B81FE1"/>
    <w:rsid w:val="08B82062"/>
    <w:rsid w:val="08B820D1"/>
    <w:rsid w:val="08B8211A"/>
    <w:rsid w:val="08B82146"/>
    <w:rsid w:val="08B82267"/>
    <w:rsid w:val="08B8226D"/>
    <w:rsid w:val="08B822C4"/>
    <w:rsid w:val="08B82363"/>
    <w:rsid w:val="08B823B1"/>
    <w:rsid w:val="08B823B3"/>
    <w:rsid w:val="08B823C8"/>
    <w:rsid w:val="08B82412"/>
    <w:rsid w:val="08B8241E"/>
    <w:rsid w:val="08B82506"/>
    <w:rsid w:val="08B8255D"/>
    <w:rsid w:val="08B82562"/>
    <w:rsid w:val="08B82588"/>
    <w:rsid w:val="08B8258B"/>
    <w:rsid w:val="08B825C1"/>
    <w:rsid w:val="08B825FF"/>
    <w:rsid w:val="08B826A4"/>
    <w:rsid w:val="08B826D7"/>
    <w:rsid w:val="08B82735"/>
    <w:rsid w:val="08B82742"/>
    <w:rsid w:val="08B8278E"/>
    <w:rsid w:val="08B827B3"/>
    <w:rsid w:val="08B82813"/>
    <w:rsid w:val="08B82877"/>
    <w:rsid w:val="08B82922"/>
    <w:rsid w:val="08B82AC4"/>
    <w:rsid w:val="08B82BC1"/>
    <w:rsid w:val="08B82C7D"/>
    <w:rsid w:val="08B82C95"/>
    <w:rsid w:val="08B82D2A"/>
    <w:rsid w:val="08B82D3E"/>
    <w:rsid w:val="08B82DE9"/>
    <w:rsid w:val="08B82DFB"/>
    <w:rsid w:val="08B82F31"/>
    <w:rsid w:val="08B82F53"/>
    <w:rsid w:val="08B82F54"/>
    <w:rsid w:val="08B82F66"/>
    <w:rsid w:val="08B82F86"/>
    <w:rsid w:val="08B82F92"/>
    <w:rsid w:val="08B82F9C"/>
    <w:rsid w:val="08B82FA9"/>
    <w:rsid w:val="08B82FF5"/>
    <w:rsid w:val="08B83029"/>
    <w:rsid w:val="08B83038"/>
    <w:rsid w:val="08B8314C"/>
    <w:rsid w:val="08B831B2"/>
    <w:rsid w:val="08B831D6"/>
    <w:rsid w:val="08B831FD"/>
    <w:rsid w:val="08B832C0"/>
    <w:rsid w:val="08B832CD"/>
    <w:rsid w:val="08B83305"/>
    <w:rsid w:val="08B833B2"/>
    <w:rsid w:val="08B833FB"/>
    <w:rsid w:val="08B8340B"/>
    <w:rsid w:val="08B8341C"/>
    <w:rsid w:val="08B83424"/>
    <w:rsid w:val="08B83448"/>
    <w:rsid w:val="08B8344D"/>
    <w:rsid w:val="08B83473"/>
    <w:rsid w:val="08B83495"/>
    <w:rsid w:val="08B83536"/>
    <w:rsid w:val="08B835DA"/>
    <w:rsid w:val="08B83621"/>
    <w:rsid w:val="08B836A5"/>
    <w:rsid w:val="08B836D9"/>
    <w:rsid w:val="08B83879"/>
    <w:rsid w:val="08B838F2"/>
    <w:rsid w:val="08B8394E"/>
    <w:rsid w:val="08B8396B"/>
    <w:rsid w:val="08B839BB"/>
    <w:rsid w:val="08B83A7D"/>
    <w:rsid w:val="08B83B49"/>
    <w:rsid w:val="08B83B53"/>
    <w:rsid w:val="08B83B59"/>
    <w:rsid w:val="08B83C05"/>
    <w:rsid w:val="08B83C77"/>
    <w:rsid w:val="08B83D1B"/>
    <w:rsid w:val="08B83D44"/>
    <w:rsid w:val="08B83F3D"/>
    <w:rsid w:val="08B84008"/>
    <w:rsid w:val="08B84082"/>
    <w:rsid w:val="08B84104"/>
    <w:rsid w:val="08B8418E"/>
    <w:rsid w:val="08B84224"/>
    <w:rsid w:val="08B84228"/>
    <w:rsid w:val="08B84240"/>
    <w:rsid w:val="08B842A5"/>
    <w:rsid w:val="08B84381"/>
    <w:rsid w:val="08B843B6"/>
    <w:rsid w:val="08B843DC"/>
    <w:rsid w:val="08B84453"/>
    <w:rsid w:val="08B84556"/>
    <w:rsid w:val="08B845FA"/>
    <w:rsid w:val="08B845FF"/>
    <w:rsid w:val="08B847A1"/>
    <w:rsid w:val="08B847CB"/>
    <w:rsid w:val="08B8484D"/>
    <w:rsid w:val="08B848F9"/>
    <w:rsid w:val="08B8490C"/>
    <w:rsid w:val="08B84985"/>
    <w:rsid w:val="08B849DD"/>
    <w:rsid w:val="08B849E7"/>
    <w:rsid w:val="08B84A29"/>
    <w:rsid w:val="08B84A2A"/>
    <w:rsid w:val="08B84BD2"/>
    <w:rsid w:val="08B84C76"/>
    <w:rsid w:val="08B84DF2"/>
    <w:rsid w:val="08B84E78"/>
    <w:rsid w:val="08B84E88"/>
    <w:rsid w:val="08B84EAF"/>
    <w:rsid w:val="08B84EB5"/>
    <w:rsid w:val="08B84EDB"/>
    <w:rsid w:val="08B84F26"/>
    <w:rsid w:val="08B84FAA"/>
    <w:rsid w:val="08B84FD1"/>
    <w:rsid w:val="08B85003"/>
    <w:rsid w:val="08B8505F"/>
    <w:rsid w:val="08B850A6"/>
    <w:rsid w:val="08B850E8"/>
    <w:rsid w:val="08B8516F"/>
    <w:rsid w:val="08B852AC"/>
    <w:rsid w:val="08B852D7"/>
    <w:rsid w:val="08B852E2"/>
    <w:rsid w:val="08B852EB"/>
    <w:rsid w:val="08B8534D"/>
    <w:rsid w:val="08B8534E"/>
    <w:rsid w:val="08B85383"/>
    <w:rsid w:val="08B8538F"/>
    <w:rsid w:val="08B853C2"/>
    <w:rsid w:val="08B8544D"/>
    <w:rsid w:val="08B85458"/>
    <w:rsid w:val="08B8549D"/>
    <w:rsid w:val="08B854C8"/>
    <w:rsid w:val="08B8556F"/>
    <w:rsid w:val="08B855AD"/>
    <w:rsid w:val="08B85613"/>
    <w:rsid w:val="08B85633"/>
    <w:rsid w:val="08B857BE"/>
    <w:rsid w:val="08B85847"/>
    <w:rsid w:val="08B85894"/>
    <w:rsid w:val="08B859B0"/>
    <w:rsid w:val="08B85A20"/>
    <w:rsid w:val="08B85AE4"/>
    <w:rsid w:val="08B85AE7"/>
    <w:rsid w:val="08B85B78"/>
    <w:rsid w:val="08B85C52"/>
    <w:rsid w:val="08B85C7B"/>
    <w:rsid w:val="08B85CC6"/>
    <w:rsid w:val="08B85D23"/>
    <w:rsid w:val="08B85F0F"/>
    <w:rsid w:val="08B860C3"/>
    <w:rsid w:val="08B86121"/>
    <w:rsid w:val="08B86157"/>
    <w:rsid w:val="08B86195"/>
    <w:rsid w:val="08B861F4"/>
    <w:rsid w:val="08B8633A"/>
    <w:rsid w:val="08B863CD"/>
    <w:rsid w:val="08B863F2"/>
    <w:rsid w:val="08B86423"/>
    <w:rsid w:val="08B8649C"/>
    <w:rsid w:val="08B8658C"/>
    <w:rsid w:val="08B86650"/>
    <w:rsid w:val="08B86694"/>
    <w:rsid w:val="08B866C0"/>
    <w:rsid w:val="08B866CD"/>
    <w:rsid w:val="08B86709"/>
    <w:rsid w:val="08B86726"/>
    <w:rsid w:val="08B8681E"/>
    <w:rsid w:val="08B868FE"/>
    <w:rsid w:val="08B86985"/>
    <w:rsid w:val="08B86A5B"/>
    <w:rsid w:val="08B86AD7"/>
    <w:rsid w:val="08B86BF4"/>
    <w:rsid w:val="08B86BF5"/>
    <w:rsid w:val="08B86C5F"/>
    <w:rsid w:val="08B86C97"/>
    <w:rsid w:val="08B86D0C"/>
    <w:rsid w:val="08B86D56"/>
    <w:rsid w:val="08B86DCD"/>
    <w:rsid w:val="08B86DD9"/>
    <w:rsid w:val="08B86E02"/>
    <w:rsid w:val="08B86E47"/>
    <w:rsid w:val="08B86E67"/>
    <w:rsid w:val="08B86FFB"/>
    <w:rsid w:val="08B8703A"/>
    <w:rsid w:val="08B8715A"/>
    <w:rsid w:val="08B871CE"/>
    <w:rsid w:val="08B8743B"/>
    <w:rsid w:val="08B874FC"/>
    <w:rsid w:val="08B87534"/>
    <w:rsid w:val="08B8758A"/>
    <w:rsid w:val="08B875F0"/>
    <w:rsid w:val="08B87652"/>
    <w:rsid w:val="08B87696"/>
    <w:rsid w:val="08B87707"/>
    <w:rsid w:val="08B8771E"/>
    <w:rsid w:val="08B877E4"/>
    <w:rsid w:val="08B87919"/>
    <w:rsid w:val="08B87937"/>
    <w:rsid w:val="08B87971"/>
    <w:rsid w:val="08B879FB"/>
    <w:rsid w:val="08B87B56"/>
    <w:rsid w:val="08B87BAD"/>
    <w:rsid w:val="08B87BF9"/>
    <w:rsid w:val="08B87D0B"/>
    <w:rsid w:val="08B87E0F"/>
    <w:rsid w:val="08B87E2A"/>
    <w:rsid w:val="08B87E97"/>
    <w:rsid w:val="08B87EA0"/>
    <w:rsid w:val="08B87EB2"/>
    <w:rsid w:val="08B87EB3"/>
    <w:rsid w:val="08B87EB4"/>
    <w:rsid w:val="08B87F3F"/>
    <w:rsid w:val="08B87FB1"/>
    <w:rsid w:val="08B90062"/>
    <w:rsid w:val="08B90078"/>
    <w:rsid w:val="08B900FC"/>
    <w:rsid w:val="08B901F6"/>
    <w:rsid w:val="08B90213"/>
    <w:rsid w:val="08B902D4"/>
    <w:rsid w:val="08B9034C"/>
    <w:rsid w:val="08B904FE"/>
    <w:rsid w:val="08B90626"/>
    <w:rsid w:val="08B90655"/>
    <w:rsid w:val="08B9068C"/>
    <w:rsid w:val="08B907A2"/>
    <w:rsid w:val="08B90860"/>
    <w:rsid w:val="08B90A0B"/>
    <w:rsid w:val="08B90AC5"/>
    <w:rsid w:val="08B90B88"/>
    <w:rsid w:val="08B90BB6"/>
    <w:rsid w:val="08B90BF6"/>
    <w:rsid w:val="08B90C54"/>
    <w:rsid w:val="08B90C92"/>
    <w:rsid w:val="08B90C99"/>
    <w:rsid w:val="08B90CA4"/>
    <w:rsid w:val="08B90D2D"/>
    <w:rsid w:val="08B90DE2"/>
    <w:rsid w:val="08B90E05"/>
    <w:rsid w:val="08B90E53"/>
    <w:rsid w:val="08B90E5B"/>
    <w:rsid w:val="08B90F03"/>
    <w:rsid w:val="08B91003"/>
    <w:rsid w:val="08B910AF"/>
    <w:rsid w:val="08B910CC"/>
    <w:rsid w:val="08B910E7"/>
    <w:rsid w:val="08B91131"/>
    <w:rsid w:val="08B9117B"/>
    <w:rsid w:val="08B911B9"/>
    <w:rsid w:val="08B9131C"/>
    <w:rsid w:val="08B9135E"/>
    <w:rsid w:val="08B9136B"/>
    <w:rsid w:val="08B915F8"/>
    <w:rsid w:val="08B91626"/>
    <w:rsid w:val="08B916AC"/>
    <w:rsid w:val="08B917BE"/>
    <w:rsid w:val="08B917D8"/>
    <w:rsid w:val="08B91836"/>
    <w:rsid w:val="08B91841"/>
    <w:rsid w:val="08B91921"/>
    <w:rsid w:val="08B91962"/>
    <w:rsid w:val="08B919AE"/>
    <w:rsid w:val="08B91A0A"/>
    <w:rsid w:val="08B91A7E"/>
    <w:rsid w:val="08B91AB2"/>
    <w:rsid w:val="08B91AFA"/>
    <w:rsid w:val="08B91B02"/>
    <w:rsid w:val="08B91C19"/>
    <w:rsid w:val="08B91C24"/>
    <w:rsid w:val="08B91C83"/>
    <w:rsid w:val="08B91D03"/>
    <w:rsid w:val="08B91D1B"/>
    <w:rsid w:val="08B91D54"/>
    <w:rsid w:val="08B91DDC"/>
    <w:rsid w:val="08B91E41"/>
    <w:rsid w:val="08B91E68"/>
    <w:rsid w:val="08B91ED4"/>
    <w:rsid w:val="08B91ED6"/>
    <w:rsid w:val="08B91F52"/>
    <w:rsid w:val="08B91F91"/>
    <w:rsid w:val="08B91FF2"/>
    <w:rsid w:val="08B920B7"/>
    <w:rsid w:val="08B920B9"/>
    <w:rsid w:val="08B920C9"/>
    <w:rsid w:val="08B92107"/>
    <w:rsid w:val="08B9219A"/>
    <w:rsid w:val="08B921C3"/>
    <w:rsid w:val="08B9223A"/>
    <w:rsid w:val="08B9232B"/>
    <w:rsid w:val="08B92432"/>
    <w:rsid w:val="08B9243F"/>
    <w:rsid w:val="08B92459"/>
    <w:rsid w:val="08B9246A"/>
    <w:rsid w:val="08B92495"/>
    <w:rsid w:val="08B924EA"/>
    <w:rsid w:val="08B924EF"/>
    <w:rsid w:val="08B9254E"/>
    <w:rsid w:val="08B925FF"/>
    <w:rsid w:val="08B92629"/>
    <w:rsid w:val="08B92677"/>
    <w:rsid w:val="08B92691"/>
    <w:rsid w:val="08B926B5"/>
    <w:rsid w:val="08B926BF"/>
    <w:rsid w:val="08B926F7"/>
    <w:rsid w:val="08B92781"/>
    <w:rsid w:val="08B92833"/>
    <w:rsid w:val="08B92862"/>
    <w:rsid w:val="08B928B5"/>
    <w:rsid w:val="08B928C6"/>
    <w:rsid w:val="08B928C7"/>
    <w:rsid w:val="08B928F5"/>
    <w:rsid w:val="08B9297A"/>
    <w:rsid w:val="08B9297F"/>
    <w:rsid w:val="08B929AE"/>
    <w:rsid w:val="08B929B7"/>
    <w:rsid w:val="08B929BD"/>
    <w:rsid w:val="08B92A89"/>
    <w:rsid w:val="08B92B5D"/>
    <w:rsid w:val="08B92B61"/>
    <w:rsid w:val="08B92BE9"/>
    <w:rsid w:val="08B92C12"/>
    <w:rsid w:val="08B92CA9"/>
    <w:rsid w:val="08B92DF1"/>
    <w:rsid w:val="08B92E87"/>
    <w:rsid w:val="08B92E91"/>
    <w:rsid w:val="08B92ED0"/>
    <w:rsid w:val="08B92F45"/>
    <w:rsid w:val="08B93087"/>
    <w:rsid w:val="08B93141"/>
    <w:rsid w:val="08B93179"/>
    <w:rsid w:val="08B9317D"/>
    <w:rsid w:val="08B932CB"/>
    <w:rsid w:val="08B9334D"/>
    <w:rsid w:val="08B93404"/>
    <w:rsid w:val="08B93499"/>
    <w:rsid w:val="08B934EA"/>
    <w:rsid w:val="08B935BC"/>
    <w:rsid w:val="08B935F8"/>
    <w:rsid w:val="08B936EA"/>
    <w:rsid w:val="08B93751"/>
    <w:rsid w:val="08B937F2"/>
    <w:rsid w:val="08B938C2"/>
    <w:rsid w:val="08B938D8"/>
    <w:rsid w:val="08B938EB"/>
    <w:rsid w:val="08B93964"/>
    <w:rsid w:val="08B93A9E"/>
    <w:rsid w:val="08B93BD8"/>
    <w:rsid w:val="08B93C10"/>
    <w:rsid w:val="08B93C87"/>
    <w:rsid w:val="08B93C8B"/>
    <w:rsid w:val="08B93CEE"/>
    <w:rsid w:val="08B93D87"/>
    <w:rsid w:val="08B93F36"/>
    <w:rsid w:val="08B9405C"/>
    <w:rsid w:val="08B94086"/>
    <w:rsid w:val="08B940B9"/>
    <w:rsid w:val="08B940DB"/>
    <w:rsid w:val="08B940E8"/>
    <w:rsid w:val="08B94111"/>
    <w:rsid w:val="08B941F0"/>
    <w:rsid w:val="08B94257"/>
    <w:rsid w:val="08B942A5"/>
    <w:rsid w:val="08B942BE"/>
    <w:rsid w:val="08B943E5"/>
    <w:rsid w:val="08B9440A"/>
    <w:rsid w:val="08B94476"/>
    <w:rsid w:val="08B944C9"/>
    <w:rsid w:val="08B94592"/>
    <w:rsid w:val="08B945AB"/>
    <w:rsid w:val="08B945DA"/>
    <w:rsid w:val="08B9466F"/>
    <w:rsid w:val="08B94771"/>
    <w:rsid w:val="08B94795"/>
    <w:rsid w:val="08B9482D"/>
    <w:rsid w:val="08B94878"/>
    <w:rsid w:val="08B948E3"/>
    <w:rsid w:val="08B949B4"/>
    <w:rsid w:val="08B94A08"/>
    <w:rsid w:val="08B94A2F"/>
    <w:rsid w:val="08B94A75"/>
    <w:rsid w:val="08B94A82"/>
    <w:rsid w:val="08B94AB0"/>
    <w:rsid w:val="08B94AF4"/>
    <w:rsid w:val="08B94B42"/>
    <w:rsid w:val="08B94B5F"/>
    <w:rsid w:val="08B94B7D"/>
    <w:rsid w:val="08B94B8A"/>
    <w:rsid w:val="08B94BD3"/>
    <w:rsid w:val="08B94C11"/>
    <w:rsid w:val="08B94C6E"/>
    <w:rsid w:val="08B94CA2"/>
    <w:rsid w:val="08B94CA8"/>
    <w:rsid w:val="08B94D0E"/>
    <w:rsid w:val="08B94D12"/>
    <w:rsid w:val="08B94D57"/>
    <w:rsid w:val="08B94E13"/>
    <w:rsid w:val="08B94E91"/>
    <w:rsid w:val="08B94EA4"/>
    <w:rsid w:val="08B94FBB"/>
    <w:rsid w:val="08B94FD4"/>
    <w:rsid w:val="08B94FEC"/>
    <w:rsid w:val="08B95094"/>
    <w:rsid w:val="08B95164"/>
    <w:rsid w:val="08B9518B"/>
    <w:rsid w:val="08B951FD"/>
    <w:rsid w:val="08B9524D"/>
    <w:rsid w:val="08B9525E"/>
    <w:rsid w:val="08B95265"/>
    <w:rsid w:val="08B952E2"/>
    <w:rsid w:val="08B95399"/>
    <w:rsid w:val="08B953B9"/>
    <w:rsid w:val="08B95424"/>
    <w:rsid w:val="08B954D6"/>
    <w:rsid w:val="08B95533"/>
    <w:rsid w:val="08B9566B"/>
    <w:rsid w:val="08B956FA"/>
    <w:rsid w:val="08B95716"/>
    <w:rsid w:val="08B9571C"/>
    <w:rsid w:val="08B95805"/>
    <w:rsid w:val="08B95898"/>
    <w:rsid w:val="08B958D9"/>
    <w:rsid w:val="08B9599F"/>
    <w:rsid w:val="08B959EC"/>
    <w:rsid w:val="08B95A80"/>
    <w:rsid w:val="08B95A8A"/>
    <w:rsid w:val="08B95AA3"/>
    <w:rsid w:val="08B95AF1"/>
    <w:rsid w:val="08B95B1B"/>
    <w:rsid w:val="08B95BC0"/>
    <w:rsid w:val="08B95C28"/>
    <w:rsid w:val="08B95C5A"/>
    <w:rsid w:val="08B95D43"/>
    <w:rsid w:val="08B95DA3"/>
    <w:rsid w:val="08B95DBC"/>
    <w:rsid w:val="08B95E27"/>
    <w:rsid w:val="08B95E33"/>
    <w:rsid w:val="08B95FBF"/>
    <w:rsid w:val="08B96009"/>
    <w:rsid w:val="08B96056"/>
    <w:rsid w:val="08B9607E"/>
    <w:rsid w:val="08B960FD"/>
    <w:rsid w:val="08B9618F"/>
    <w:rsid w:val="08B961E2"/>
    <w:rsid w:val="08B96230"/>
    <w:rsid w:val="08B962C0"/>
    <w:rsid w:val="08B963F7"/>
    <w:rsid w:val="08B963FC"/>
    <w:rsid w:val="08B96473"/>
    <w:rsid w:val="08B96488"/>
    <w:rsid w:val="08B96525"/>
    <w:rsid w:val="08B96597"/>
    <w:rsid w:val="08B96739"/>
    <w:rsid w:val="08B967AC"/>
    <w:rsid w:val="08B967D9"/>
    <w:rsid w:val="08B96865"/>
    <w:rsid w:val="08B9688E"/>
    <w:rsid w:val="08B9693F"/>
    <w:rsid w:val="08B96972"/>
    <w:rsid w:val="08B969F8"/>
    <w:rsid w:val="08B96A4C"/>
    <w:rsid w:val="08B96AF9"/>
    <w:rsid w:val="08B96BD8"/>
    <w:rsid w:val="08B96C66"/>
    <w:rsid w:val="08B96D2F"/>
    <w:rsid w:val="08B96F46"/>
    <w:rsid w:val="08B96F47"/>
    <w:rsid w:val="08B96F4C"/>
    <w:rsid w:val="08B96F53"/>
    <w:rsid w:val="08B96F9B"/>
    <w:rsid w:val="08B96FD9"/>
    <w:rsid w:val="08B97014"/>
    <w:rsid w:val="08B971CA"/>
    <w:rsid w:val="08B972BA"/>
    <w:rsid w:val="08B97352"/>
    <w:rsid w:val="08B9739E"/>
    <w:rsid w:val="08B973CD"/>
    <w:rsid w:val="08B97474"/>
    <w:rsid w:val="08B974D9"/>
    <w:rsid w:val="08B9750A"/>
    <w:rsid w:val="08B97518"/>
    <w:rsid w:val="08B975FA"/>
    <w:rsid w:val="08B9769A"/>
    <w:rsid w:val="08B976E9"/>
    <w:rsid w:val="08B9770B"/>
    <w:rsid w:val="08B97751"/>
    <w:rsid w:val="08B977A0"/>
    <w:rsid w:val="08B978C3"/>
    <w:rsid w:val="08B97923"/>
    <w:rsid w:val="08B97987"/>
    <w:rsid w:val="08B979B0"/>
    <w:rsid w:val="08B97AFE"/>
    <w:rsid w:val="08B97B2A"/>
    <w:rsid w:val="08B97B48"/>
    <w:rsid w:val="08B97B8A"/>
    <w:rsid w:val="08B97BD2"/>
    <w:rsid w:val="08B97C34"/>
    <w:rsid w:val="08B97D0C"/>
    <w:rsid w:val="08B97E53"/>
    <w:rsid w:val="08B97F8E"/>
    <w:rsid w:val="08B97FB6"/>
    <w:rsid w:val="08BA001A"/>
    <w:rsid w:val="08BA0038"/>
    <w:rsid w:val="08BA007F"/>
    <w:rsid w:val="08BA00A6"/>
    <w:rsid w:val="08BA00C2"/>
    <w:rsid w:val="08BA00DD"/>
    <w:rsid w:val="08BA01C4"/>
    <w:rsid w:val="08BA01E1"/>
    <w:rsid w:val="08BA0353"/>
    <w:rsid w:val="08BA0432"/>
    <w:rsid w:val="08BA07E8"/>
    <w:rsid w:val="08BA08F5"/>
    <w:rsid w:val="08BA0931"/>
    <w:rsid w:val="08BA095C"/>
    <w:rsid w:val="08BA0981"/>
    <w:rsid w:val="08BA09B0"/>
    <w:rsid w:val="08BA09D7"/>
    <w:rsid w:val="08BA0AC1"/>
    <w:rsid w:val="08BA0B75"/>
    <w:rsid w:val="08BA0BE9"/>
    <w:rsid w:val="08BA0C45"/>
    <w:rsid w:val="08BA0D04"/>
    <w:rsid w:val="08BA0D0C"/>
    <w:rsid w:val="08BA0E1E"/>
    <w:rsid w:val="08BA0E34"/>
    <w:rsid w:val="08BA0E80"/>
    <w:rsid w:val="08BA0EC5"/>
    <w:rsid w:val="08BA0ED8"/>
    <w:rsid w:val="08BA0EF7"/>
    <w:rsid w:val="08BA0F0B"/>
    <w:rsid w:val="08BA0FDB"/>
    <w:rsid w:val="08BA1009"/>
    <w:rsid w:val="08BA10F4"/>
    <w:rsid w:val="08BA11ED"/>
    <w:rsid w:val="08BA1304"/>
    <w:rsid w:val="08BA130B"/>
    <w:rsid w:val="08BA138A"/>
    <w:rsid w:val="08BA13D1"/>
    <w:rsid w:val="08BA13F4"/>
    <w:rsid w:val="08BA1443"/>
    <w:rsid w:val="08BA14A9"/>
    <w:rsid w:val="08BA1539"/>
    <w:rsid w:val="08BA157B"/>
    <w:rsid w:val="08BA162A"/>
    <w:rsid w:val="08BA170E"/>
    <w:rsid w:val="08BA1715"/>
    <w:rsid w:val="08BA1750"/>
    <w:rsid w:val="08BA1794"/>
    <w:rsid w:val="08BA183C"/>
    <w:rsid w:val="08BA18A1"/>
    <w:rsid w:val="08BA1902"/>
    <w:rsid w:val="08BA19B4"/>
    <w:rsid w:val="08BA1A0C"/>
    <w:rsid w:val="08BA1AFC"/>
    <w:rsid w:val="08BA1BDF"/>
    <w:rsid w:val="08BA1BF4"/>
    <w:rsid w:val="08BA1BF5"/>
    <w:rsid w:val="08BA1C5D"/>
    <w:rsid w:val="08BA1C72"/>
    <w:rsid w:val="08BA1D51"/>
    <w:rsid w:val="08BA1D8A"/>
    <w:rsid w:val="08BA1DC8"/>
    <w:rsid w:val="08BA1EFC"/>
    <w:rsid w:val="08BA1F10"/>
    <w:rsid w:val="08BA1F3F"/>
    <w:rsid w:val="08BA1FC2"/>
    <w:rsid w:val="08BA1FEF"/>
    <w:rsid w:val="08BA1FF2"/>
    <w:rsid w:val="08BA2017"/>
    <w:rsid w:val="08BA20C0"/>
    <w:rsid w:val="08BA2101"/>
    <w:rsid w:val="08BA210D"/>
    <w:rsid w:val="08BA22B3"/>
    <w:rsid w:val="08BA22BB"/>
    <w:rsid w:val="08BA238B"/>
    <w:rsid w:val="08BA23BA"/>
    <w:rsid w:val="08BA23D0"/>
    <w:rsid w:val="08BA2463"/>
    <w:rsid w:val="08BA24A6"/>
    <w:rsid w:val="08BA26AB"/>
    <w:rsid w:val="08BA26F2"/>
    <w:rsid w:val="08BA27F6"/>
    <w:rsid w:val="08BA29FF"/>
    <w:rsid w:val="08BA2A92"/>
    <w:rsid w:val="08BA2AC5"/>
    <w:rsid w:val="08BA2B1B"/>
    <w:rsid w:val="08BA2B38"/>
    <w:rsid w:val="08BA2BB9"/>
    <w:rsid w:val="08BA2D1C"/>
    <w:rsid w:val="08BA2DE4"/>
    <w:rsid w:val="08BA2E20"/>
    <w:rsid w:val="08BA2E97"/>
    <w:rsid w:val="08BA2F10"/>
    <w:rsid w:val="08BA2F9C"/>
    <w:rsid w:val="08BA2FE8"/>
    <w:rsid w:val="08BA3037"/>
    <w:rsid w:val="08BA30D7"/>
    <w:rsid w:val="08BA3281"/>
    <w:rsid w:val="08BA32ED"/>
    <w:rsid w:val="08BA32F4"/>
    <w:rsid w:val="08BA3432"/>
    <w:rsid w:val="08BA3475"/>
    <w:rsid w:val="08BA34A2"/>
    <w:rsid w:val="08BA34B0"/>
    <w:rsid w:val="08BA3642"/>
    <w:rsid w:val="08BA36B7"/>
    <w:rsid w:val="08BA36C9"/>
    <w:rsid w:val="08BA36F2"/>
    <w:rsid w:val="08BA3795"/>
    <w:rsid w:val="08BA37BE"/>
    <w:rsid w:val="08BA3806"/>
    <w:rsid w:val="08BA3866"/>
    <w:rsid w:val="08BA3937"/>
    <w:rsid w:val="08BA399F"/>
    <w:rsid w:val="08BA3B35"/>
    <w:rsid w:val="08BA3D6E"/>
    <w:rsid w:val="08BA3DC6"/>
    <w:rsid w:val="08BA3E68"/>
    <w:rsid w:val="08BA3F08"/>
    <w:rsid w:val="08BA3F13"/>
    <w:rsid w:val="08BA3F33"/>
    <w:rsid w:val="08BA3F4A"/>
    <w:rsid w:val="08BA4016"/>
    <w:rsid w:val="08BA4024"/>
    <w:rsid w:val="08BA410F"/>
    <w:rsid w:val="08BA4156"/>
    <w:rsid w:val="08BA4193"/>
    <w:rsid w:val="08BA4208"/>
    <w:rsid w:val="08BA4247"/>
    <w:rsid w:val="08BA426B"/>
    <w:rsid w:val="08BA4277"/>
    <w:rsid w:val="08BA4281"/>
    <w:rsid w:val="08BA44DD"/>
    <w:rsid w:val="08BA44EA"/>
    <w:rsid w:val="08BA4548"/>
    <w:rsid w:val="08BA4595"/>
    <w:rsid w:val="08BA4667"/>
    <w:rsid w:val="08BA469F"/>
    <w:rsid w:val="08BA47A2"/>
    <w:rsid w:val="08BA48F3"/>
    <w:rsid w:val="08BA498C"/>
    <w:rsid w:val="08BA4995"/>
    <w:rsid w:val="08BA4A23"/>
    <w:rsid w:val="08BA4A3E"/>
    <w:rsid w:val="08BA4B72"/>
    <w:rsid w:val="08BA4BCA"/>
    <w:rsid w:val="08BA4C65"/>
    <w:rsid w:val="08BA4D72"/>
    <w:rsid w:val="08BA4DE2"/>
    <w:rsid w:val="08BA4DF3"/>
    <w:rsid w:val="08BA4FCA"/>
    <w:rsid w:val="08BA50F2"/>
    <w:rsid w:val="08BA51BD"/>
    <w:rsid w:val="08BA522C"/>
    <w:rsid w:val="08BA5277"/>
    <w:rsid w:val="08BA52DE"/>
    <w:rsid w:val="08BA539B"/>
    <w:rsid w:val="08BA53CD"/>
    <w:rsid w:val="08BA53E8"/>
    <w:rsid w:val="08BA53F2"/>
    <w:rsid w:val="08BA541F"/>
    <w:rsid w:val="08BA543D"/>
    <w:rsid w:val="08BA5458"/>
    <w:rsid w:val="08BA5548"/>
    <w:rsid w:val="08BA5563"/>
    <w:rsid w:val="08BA55D6"/>
    <w:rsid w:val="08BA55DF"/>
    <w:rsid w:val="08BA5657"/>
    <w:rsid w:val="08BA5684"/>
    <w:rsid w:val="08BA570A"/>
    <w:rsid w:val="08BA5869"/>
    <w:rsid w:val="08BA58D9"/>
    <w:rsid w:val="08BA5946"/>
    <w:rsid w:val="08BA5975"/>
    <w:rsid w:val="08BA5995"/>
    <w:rsid w:val="08BA5AEB"/>
    <w:rsid w:val="08BA5BA2"/>
    <w:rsid w:val="08BA5C07"/>
    <w:rsid w:val="08BA5C3D"/>
    <w:rsid w:val="08BA5C43"/>
    <w:rsid w:val="08BA5C7D"/>
    <w:rsid w:val="08BA5C9A"/>
    <w:rsid w:val="08BA5D06"/>
    <w:rsid w:val="08BA5D34"/>
    <w:rsid w:val="08BA5D57"/>
    <w:rsid w:val="08BA5DBE"/>
    <w:rsid w:val="08BA5DCB"/>
    <w:rsid w:val="08BA5DF3"/>
    <w:rsid w:val="08BA5E10"/>
    <w:rsid w:val="08BA5E2F"/>
    <w:rsid w:val="08BA5E59"/>
    <w:rsid w:val="08BA5F74"/>
    <w:rsid w:val="08BA60E5"/>
    <w:rsid w:val="08BA6248"/>
    <w:rsid w:val="08BA624F"/>
    <w:rsid w:val="08BA63A6"/>
    <w:rsid w:val="08BA63F9"/>
    <w:rsid w:val="08BA64E2"/>
    <w:rsid w:val="08BA6548"/>
    <w:rsid w:val="08BA655B"/>
    <w:rsid w:val="08BA66CC"/>
    <w:rsid w:val="08BA671C"/>
    <w:rsid w:val="08BA6783"/>
    <w:rsid w:val="08BA67E5"/>
    <w:rsid w:val="08BA684A"/>
    <w:rsid w:val="08BA684F"/>
    <w:rsid w:val="08BA686F"/>
    <w:rsid w:val="08BA6904"/>
    <w:rsid w:val="08BA6970"/>
    <w:rsid w:val="08BA698D"/>
    <w:rsid w:val="08BA6A59"/>
    <w:rsid w:val="08BA6A9C"/>
    <w:rsid w:val="08BA6AB7"/>
    <w:rsid w:val="08BA6D2E"/>
    <w:rsid w:val="08BA6DB0"/>
    <w:rsid w:val="08BA6DBD"/>
    <w:rsid w:val="08BA6E20"/>
    <w:rsid w:val="08BA6E63"/>
    <w:rsid w:val="08BA6F0D"/>
    <w:rsid w:val="08BA6FB2"/>
    <w:rsid w:val="08BA7197"/>
    <w:rsid w:val="08BA723E"/>
    <w:rsid w:val="08BA7256"/>
    <w:rsid w:val="08BA734A"/>
    <w:rsid w:val="08BA73EB"/>
    <w:rsid w:val="08BA7482"/>
    <w:rsid w:val="08BA74D2"/>
    <w:rsid w:val="08BA751C"/>
    <w:rsid w:val="08BA75A0"/>
    <w:rsid w:val="08BA76B8"/>
    <w:rsid w:val="08BA76B9"/>
    <w:rsid w:val="08BA772E"/>
    <w:rsid w:val="08BA7790"/>
    <w:rsid w:val="08BA781A"/>
    <w:rsid w:val="08BA7966"/>
    <w:rsid w:val="08BA7971"/>
    <w:rsid w:val="08BA79B3"/>
    <w:rsid w:val="08BA7A50"/>
    <w:rsid w:val="08BA7A60"/>
    <w:rsid w:val="08BA7AE3"/>
    <w:rsid w:val="08BA7AFF"/>
    <w:rsid w:val="08BA7C3C"/>
    <w:rsid w:val="08BA7C99"/>
    <w:rsid w:val="08BA7C9F"/>
    <w:rsid w:val="08BA7CDE"/>
    <w:rsid w:val="08BA7D3E"/>
    <w:rsid w:val="08BA7D92"/>
    <w:rsid w:val="08BA7DD6"/>
    <w:rsid w:val="08BA7E25"/>
    <w:rsid w:val="08BA7ECE"/>
    <w:rsid w:val="08BA7F6F"/>
    <w:rsid w:val="08BA7F88"/>
    <w:rsid w:val="08BA7FCD"/>
    <w:rsid w:val="08BB0013"/>
    <w:rsid w:val="08BB006B"/>
    <w:rsid w:val="08BB0073"/>
    <w:rsid w:val="08BB00A8"/>
    <w:rsid w:val="08BB00B3"/>
    <w:rsid w:val="08BB01AB"/>
    <w:rsid w:val="08BB02AB"/>
    <w:rsid w:val="08BB033B"/>
    <w:rsid w:val="08BB0386"/>
    <w:rsid w:val="08BB0480"/>
    <w:rsid w:val="08BB0509"/>
    <w:rsid w:val="08BB0518"/>
    <w:rsid w:val="08BB0587"/>
    <w:rsid w:val="08BB068F"/>
    <w:rsid w:val="08BB0705"/>
    <w:rsid w:val="08BB080D"/>
    <w:rsid w:val="08BB08F6"/>
    <w:rsid w:val="08BB09D0"/>
    <w:rsid w:val="08BB0AB3"/>
    <w:rsid w:val="08BB0B0A"/>
    <w:rsid w:val="08BB0B3F"/>
    <w:rsid w:val="08BB0BA3"/>
    <w:rsid w:val="08BB0BC4"/>
    <w:rsid w:val="08BB0BFC"/>
    <w:rsid w:val="08BB0C62"/>
    <w:rsid w:val="08BB0CDD"/>
    <w:rsid w:val="08BB0D0D"/>
    <w:rsid w:val="08BB0D30"/>
    <w:rsid w:val="08BB0E0C"/>
    <w:rsid w:val="08BB0E42"/>
    <w:rsid w:val="08BB0ED6"/>
    <w:rsid w:val="08BB0EE8"/>
    <w:rsid w:val="08BB1048"/>
    <w:rsid w:val="08BB105B"/>
    <w:rsid w:val="08BB106A"/>
    <w:rsid w:val="08BB1075"/>
    <w:rsid w:val="08BB10E7"/>
    <w:rsid w:val="08BB1158"/>
    <w:rsid w:val="08BB118E"/>
    <w:rsid w:val="08BB11DA"/>
    <w:rsid w:val="08BB12D7"/>
    <w:rsid w:val="08BB1325"/>
    <w:rsid w:val="08BB1346"/>
    <w:rsid w:val="08BB1548"/>
    <w:rsid w:val="08BB1604"/>
    <w:rsid w:val="08BB1633"/>
    <w:rsid w:val="08BB1708"/>
    <w:rsid w:val="08BB1711"/>
    <w:rsid w:val="08BB17BF"/>
    <w:rsid w:val="08BB17D7"/>
    <w:rsid w:val="08BB17F6"/>
    <w:rsid w:val="08BB186B"/>
    <w:rsid w:val="08BB18E7"/>
    <w:rsid w:val="08BB18F0"/>
    <w:rsid w:val="08BB18FB"/>
    <w:rsid w:val="08BB192F"/>
    <w:rsid w:val="08BB1979"/>
    <w:rsid w:val="08BB19C3"/>
    <w:rsid w:val="08BB19D8"/>
    <w:rsid w:val="08BB1C39"/>
    <w:rsid w:val="08BB1D01"/>
    <w:rsid w:val="08BB1D66"/>
    <w:rsid w:val="08BB1F1A"/>
    <w:rsid w:val="08BB1F4D"/>
    <w:rsid w:val="08BB20F3"/>
    <w:rsid w:val="08BB22E6"/>
    <w:rsid w:val="08BB233B"/>
    <w:rsid w:val="08BB2344"/>
    <w:rsid w:val="08BB242E"/>
    <w:rsid w:val="08BB247D"/>
    <w:rsid w:val="08BB258E"/>
    <w:rsid w:val="08BB25D6"/>
    <w:rsid w:val="08BB25D8"/>
    <w:rsid w:val="08BB2619"/>
    <w:rsid w:val="08BB269A"/>
    <w:rsid w:val="08BB26BD"/>
    <w:rsid w:val="08BB273E"/>
    <w:rsid w:val="08BB2749"/>
    <w:rsid w:val="08BB27AE"/>
    <w:rsid w:val="08BB282A"/>
    <w:rsid w:val="08BB293B"/>
    <w:rsid w:val="08BB29CE"/>
    <w:rsid w:val="08BB2A9C"/>
    <w:rsid w:val="08BB2ACF"/>
    <w:rsid w:val="08BB2AF2"/>
    <w:rsid w:val="08BB2B6F"/>
    <w:rsid w:val="08BB2BFA"/>
    <w:rsid w:val="08BB2C39"/>
    <w:rsid w:val="08BB2DCD"/>
    <w:rsid w:val="08BB2E48"/>
    <w:rsid w:val="08BB2EDF"/>
    <w:rsid w:val="08BB2F09"/>
    <w:rsid w:val="08BB3040"/>
    <w:rsid w:val="08BB3130"/>
    <w:rsid w:val="08BB327E"/>
    <w:rsid w:val="08BB32EF"/>
    <w:rsid w:val="08BB3307"/>
    <w:rsid w:val="08BB3351"/>
    <w:rsid w:val="08BB33E7"/>
    <w:rsid w:val="08BB346C"/>
    <w:rsid w:val="08BB3479"/>
    <w:rsid w:val="08BB34D7"/>
    <w:rsid w:val="08BB3516"/>
    <w:rsid w:val="08BB3543"/>
    <w:rsid w:val="08BB357A"/>
    <w:rsid w:val="08BB358D"/>
    <w:rsid w:val="08BB359A"/>
    <w:rsid w:val="08BB35A9"/>
    <w:rsid w:val="08BB361D"/>
    <w:rsid w:val="08BB3679"/>
    <w:rsid w:val="08BB37EB"/>
    <w:rsid w:val="08BB385D"/>
    <w:rsid w:val="08BB38E1"/>
    <w:rsid w:val="08BB392C"/>
    <w:rsid w:val="08BB3977"/>
    <w:rsid w:val="08BB39A6"/>
    <w:rsid w:val="08BB3AF9"/>
    <w:rsid w:val="08BB3B37"/>
    <w:rsid w:val="08BB3B5D"/>
    <w:rsid w:val="08BB3BB9"/>
    <w:rsid w:val="08BB3D6D"/>
    <w:rsid w:val="08BB3DE0"/>
    <w:rsid w:val="08BB3DEF"/>
    <w:rsid w:val="08BB3E35"/>
    <w:rsid w:val="08BB3ED8"/>
    <w:rsid w:val="08BB3F0B"/>
    <w:rsid w:val="08BB3F57"/>
    <w:rsid w:val="08BB404D"/>
    <w:rsid w:val="08BB4052"/>
    <w:rsid w:val="08BB40A7"/>
    <w:rsid w:val="08BB40BB"/>
    <w:rsid w:val="08BB417F"/>
    <w:rsid w:val="08BB419B"/>
    <w:rsid w:val="08BB41FF"/>
    <w:rsid w:val="08BB422B"/>
    <w:rsid w:val="08BB4232"/>
    <w:rsid w:val="08BB4341"/>
    <w:rsid w:val="08BB434A"/>
    <w:rsid w:val="08BB43E0"/>
    <w:rsid w:val="08BB443E"/>
    <w:rsid w:val="08BB44B9"/>
    <w:rsid w:val="08BB45C9"/>
    <w:rsid w:val="08BB4649"/>
    <w:rsid w:val="08BB467D"/>
    <w:rsid w:val="08BB46A7"/>
    <w:rsid w:val="08BB46F9"/>
    <w:rsid w:val="08BB473D"/>
    <w:rsid w:val="08BB47E4"/>
    <w:rsid w:val="08BB485C"/>
    <w:rsid w:val="08BB487C"/>
    <w:rsid w:val="08BB48D9"/>
    <w:rsid w:val="08BB48F3"/>
    <w:rsid w:val="08BB4934"/>
    <w:rsid w:val="08BB496C"/>
    <w:rsid w:val="08BB4A0B"/>
    <w:rsid w:val="08BB4AFF"/>
    <w:rsid w:val="08BB4B84"/>
    <w:rsid w:val="08BB4B9E"/>
    <w:rsid w:val="08BB4CE9"/>
    <w:rsid w:val="08BB4D15"/>
    <w:rsid w:val="08BB4DE2"/>
    <w:rsid w:val="08BB4DE6"/>
    <w:rsid w:val="08BB4E28"/>
    <w:rsid w:val="08BB4F52"/>
    <w:rsid w:val="08BB4FF8"/>
    <w:rsid w:val="08BB5006"/>
    <w:rsid w:val="08BB502B"/>
    <w:rsid w:val="08BB5031"/>
    <w:rsid w:val="08BB5037"/>
    <w:rsid w:val="08BB512F"/>
    <w:rsid w:val="08BB5194"/>
    <w:rsid w:val="08BB51A1"/>
    <w:rsid w:val="08BB51D9"/>
    <w:rsid w:val="08BB51DC"/>
    <w:rsid w:val="08BB5316"/>
    <w:rsid w:val="08BB5320"/>
    <w:rsid w:val="08BB53D9"/>
    <w:rsid w:val="08BB544C"/>
    <w:rsid w:val="08BB5493"/>
    <w:rsid w:val="08BB55F8"/>
    <w:rsid w:val="08BB5654"/>
    <w:rsid w:val="08BB56AA"/>
    <w:rsid w:val="08BB57C4"/>
    <w:rsid w:val="08BB57DA"/>
    <w:rsid w:val="08BB58B5"/>
    <w:rsid w:val="08BB5A27"/>
    <w:rsid w:val="08BB5A67"/>
    <w:rsid w:val="08BB5A7F"/>
    <w:rsid w:val="08BB5B47"/>
    <w:rsid w:val="08BB5B54"/>
    <w:rsid w:val="08BB5BD0"/>
    <w:rsid w:val="08BB5BF4"/>
    <w:rsid w:val="08BB5C4E"/>
    <w:rsid w:val="08BB5D0C"/>
    <w:rsid w:val="08BB5D56"/>
    <w:rsid w:val="08BB5D88"/>
    <w:rsid w:val="08BB5DBD"/>
    <w:rsid w:val="08BB5E4E"/>
    <w:rsid w:val="08BB5EA4"/>
    <w:rsid w:val="08BB5F51"/>
    <w:rsid w:val="08BB5F63"/>
    <w:rsid w:val="08BB5F87"/>
    <w:rsid w:val="08BB6010"/>
    <w:rsid w:val="08BB6046"/>
    <w:rsid w:val="08BB60A9"/>
    <w:rsid w:val="08BB60C4"/>
    <w:rsid w:val="08BB60DF"/>
    <w:rsid w:val="08BB61AB"/>
    <w:rsid w:val="08BB6227"/>
    <w:rsid w:val="08BB62DE"/>
    <w:rsid w:val="08BB63A2"/>
    <w:rsid w:val="08BB63BD"/>
    <w:rsid w:val="08BB63CB"/>
    <w:rsid w:val="08BB6433"/>
    <w:rsid w:val="08BB6464"/>
    <w:rsid w:val="08BB64C8"/>
    <w:rsid w:val="08BB6635"/>
    <w:rsid w:val="08BB66E1"/>
    <w:rsid w:val="08BB6705"/>
    <w:rsid w:val="08BB6752"/>
    <w:rsid w:val="08BB67D9"/>
    <w:rsid w:val="08BB6886"/>
    <w:rsid w:val="08BB68A5"/>
    <w:rsid w:val="08BB68EC"/>
    <w:rsid w:val="08BB6910"/>
    <w:rsid w:val="08BB6917"/>
    <w:rsid w:val="08BB6991"/>
    <w:rsid w:val="08BB6A3E"/>
    <w:rsid w:val="08BB6A7D"/>
    <w:rsid w:val="08BB6AC7"/>
    <w:rsid w:val="08BB6B25"/>
    <w:rsid w:val="08BB6B93"/>
    <w:rsid w:val="08BB6BCD"/>
    <w:rsid w:val="08BB6C00"/>
    <w:rsid w:val="08BB6C16"/>
    <w:rsid w:val="08BB6CBC"/>
    <w:rsid w:val="08BB6CE5"/>
    <w:rsid w:val="08BB6D35"/>
    <w:rsid w:val="08BB6D4F"/>
    <w:rsid w:val="08BB6DFB"/>
    <w:rsid w:val="08BB6E03"/>
    <w:rsid w:val="08BB6EA7"/>
    <w:rsid w:val="08BB6F33"/>
    <w:rsid w:val="08BB6F51"/>
    <w:rsid w:val="08BB6F5C"/>
    <w:rsid w:val="08BB6FBA"/>
    <w:rsid w:val="08BB70FC"/>
    <w:rsid w:val="08BB713B"/>
    <w:rsid w:val="08BB716E"/>
    <w:rsid w:val="08BB718F"/>
    <w:rsid w:val="08BB71A1"/>
    <w:rsid w:val="08BB72B6"/>
    <w:rsid w:val="08BB72EC"/>
    <w:rsid w:val="08BB733D"/>
    <w:rsid w:val="08BB73C7"/>
    <w:rsid w:val="08BB73E3"/>
    <w:rsid w:val="08BB7431"/>
    <w:rsid w:val="08BB755A"/>
    <w:rsid w:val="08BB7691"/>
    <w:rsid w:val="08BB783B"/>
    <w:rsid w:val="08BB7869"/>
    <w:rsid w:val="08BB794B"/>
    <w:rsid w:val="08BB79B7"/>
    <w:rsid w:val="08BB7A53"/>
    <w:rsid w:val="08BB7B84"/>
    <w:rsid w:val="08BB7BAB"/>
    <w:rsid w:val="08BB7BCE"/>
    <w:rsid w:val="08BB7C28"/>
    <w:rsid w:val="08BB7CBA"/>
    <w:rsid w:val="08BB7D50"/>
    <w:rsid w:val="08BB7D63"/>
    <w:rsid w:val="08BB7D6A"/>
    <w:rsid w:val="08BB7DEA"/>
    <w:rsid w:val="08BB7DFD"/>
    <w:rsid w:val="08BB7F19"/>
    <w:rsid w:val="08BB7F8F"/>
    <w:rsid w:val="08BC004A"/>
    <w:rsid w:val="08BC0089"/>
    <w:rsid w:val="08BC0159"/>
    <w:rsid w:val="08BC0160"/>
    <w:rsid w:val="08BC0196"/>
    <w:rsid w:val="08BC01F7"/>
    <w:rsid w:val="08BC021D"/>
    <w:rsid w:val="08BC028A"/>
    <w:rsid w:val="08BC02B6"/>
    <w:rsid w:val="08BC02DB"/>
    <w:rsid w:val="08BC046B"/>
    <w:rsid w:val="08BC0475"/>
    <w:rsid w:val="08BC0479"/>
    <w:rsid w:val="08BC0482"/>
    <w:rsid w:val="08BC04A8"/>
    <w:rsid w:val="08BC04DB"/>
    <w:rsid w:val="08BC04E3"/>
    <w:rsid w:val="08BC0633"/>
    <w:rsid w:val="08BC0730"/>
    <w:rsid w:val="08BC0816"/>
    <w:rsid w:val="08BC0817"/>
    <w:rsid w:val="08BC0825"/>
    <w:rsid w:val="08BC0890"/>
    <w:rsid w:val="08BC09DC"/>
    <w:rsid w:val="08BC0A50"/>
    <w:rsid w:val="08BC0A8E"/>
    <w:rsid w:val="08BC0AD4"/>
    <w:rsid w:val="08BC0BB2"/>
    <w:rsid w:val="08BC0D0E"/>
    <w:rsid w:val="08BC0D23"/>
    <w:rsid w:val="08BC0E24"/>
    <w:rsid w:val="08BC0EC0"/>
    <w:rsid w:val="08BC0EE9"/>
    <w:rsid w:val="08BC0F93"/>
    <w:rsid w:val="08BC1035"/>
    <w:rsid w:val="08BC107E"/>
    <w:rsid w:val="08BC1184"/>
    <w:rsid w:val="08BC11FC"/>
    <w:rsid w:val="08BC121E"/>
    <w:rsid w:val="08BC1327"/>
    <w:rsid w:val="08BC134D"/>
    <w:rsid w:val="08BC1374"/>
    <w:rsid w:val="08BC13F2"/>
    <w:rsid w:val="08BC14C1"/>
    <w:rsid w:val="08BC158A"/>
    <w:rsid w:val="08BC15EC"/>
    <w:rsid w:val="08BC1636"/>
    <w:rsid w:val="08BC16EE"/>
    <w:rsid w:val="08BC177C"/>
    <w:rsid w:val="08BC17D5"/>
    <w:rsid w:val="08BC185A"/>
    <w:rsid w:val="08BC1938"/>
    <w:rsid w:val="08BC1A65"/>
    <w:rsid w:val="08BC1AAD"/>
    <w:rsid w:val="08BC1B4C"/>
    <w:rsid w:val="08BC1B5C"/>
    <w:rsid w:val="08BC1C4C"/>
    <w:rsid w:val="08BC1C4F"/>
    <w:rsid w:val="08BC1C71"/>
    <w:rsid w:val="08BC1CAD"/>
    <w:rsid w:val="08BC1D47"/>
    <w:rsid w:val="08BC1D5D"/>
    <w:rsid w:val="08BC1E76"/>
    <w:rsid w:val="08BC1F3B"/>
    <w:rsid w:val="08BC1F80"/>
    <w:rsid w:val="08BC1FD8"/>
    <w:rsid w:val="08BC2116"/>
    <w:rsid w:val="08BC224C"/>
    <w:rsid w:val="08BC22EA"/>
    <w:rsid w:val="08BC23AE"/>
    <w:rsid w:val="08BC2454"/>
    <w:rsid w:val="08BC247E"/>
    <w:rsid w:val="08BC24D4"/>
    <w:rsid w:val="08BC24E1"/>
    <w:rsid w:val="08BC2616"/>
    <w:rsid w:val="08BC27DD"/>
    <w:rsid w:val="08BC28DD"/>
    <w:rsid w:val="08BC2906"/>
    <w:rsid w:val="08BC290B"/>
    <w:rsid w:val="08BC291B"/>
    <w:rsid w:val="08BC29AD"/>
    <w:rsid w:val="08BC29AE"/>
    <w:rsid w:val="08BC29C5"/>
    <w:rsid w:val="08BC2A61"/>
    <w:rsid w:val="08BC2A77"/>
    <w:rsid w:val="08BC2ABB"/>
    <w:rsid w:val="08BC2ABD"/>
    <w:rsid w:val="08BC2B2C"/>
    <w:rsid w:val="08BC2BA5"/>
    <w:rsid w:val="08BC2BEB"/>
    <w:rsid w:val="08BC2C7C"/>
    <w:rsid w:val="08BC2C81"/>
    <w:rsid w:val="08BC2C98"/>
    <w:rsid w:val="08BC2D13"/>
    <w:rsid w:val="08BC2D73"/>
    <w:rsid w:val="08BC2D84"/>
    <w:rsid w:val="08BC2DDC"/>
    <w:rsid w:val="08BC2E44"/>
    <w:rsid w:val="08BC2E56"/>
    <w:rsid w:val="08BC2F1E"/>
    <w:rsid w:val="08BC3023"/>
    <w:rsid w:val="08BC3046"/>
    <w:rsid w:val="08BC321E"/>
    <w:rsid w:val="08BC3227"/>
    <w:rsid w:val="08BC32AA"/>
    <w:rsid w:val="08BC32EB"/>
    <w:rsid w:val="08BC3375"/>
    <w:rsid w:val="08BC3388"/>
    <w:rsid w:val="08BC33CA"/>
    <w:rsid w:val="08BC350C"/>
    <w:rsid w:val="08BC358C"/>
    <w:rsid w:val="08BC358D"/>
    <w:rsid w:val="08BC3591"/>
    <w:rsid w:val="08BC35D1"/>
    <w:rsid w:val="08BC360B"/>
    <w:rsid w:val="08BC3611"/>
    <w:rsid w:val="08BC364F"/>
    <w:rsid w:val="08BC36BB"/>
    <w:rsid w:val="08BC3722"/>
    <w:rsid w:val="08BC376F"/>
    <w:rsid w:val="08BC380F"/>
    <w:rsid w:val="08BC38A7"/>
    <w:rsid w:val="08BC38BB"/>
    <w:rsid w:val="08BC3941"/>
    <w:rsid w:val="08BC3985"/>
    <w:rsid w:val="08BC39B1"/>
    <w:rsid w:val="08BC3A5E"/>
    <w:rsid w:val="08BC3A9E"/>
    <w:rsid w:val="08BC3C44"/>
    <w:rsid w:val="08BC3D0A"/>
    <w:rsid w:val="08BC3D12"/>
    <w:rsid w:val="08BC3D5E"/>
    <w:rsid w:val="08BC3DAF"/>
    <w:rsid w:val="08BC3E11"/>
    <w:rsid w:val="08BC3E7A"/>
    <w:rsid w:val="08BC3E87"/>
    <w:rsid w:val="08BC3FE2"/>
    <w:rsid w:val="08BC4053"/>
    <w:rsid w:val="08BC405C"/>
    <w:rsid w:val="08BC413C"/>
    <w:rsid w:val="08BC417C"/>
    <w:rsid w:val="08BC41BA"/>
    <w:rsid w:val="08BC41C8"/>
    <w:rsid w:val="08BC41E9"/>
    <w:rsid w:val="08BC4253"/>
    <w:rsid w:val="08BC4348"/>
    <w:rsid w:val="08BC4358"/>
    <w:rsid w:val="08BC43A3"/>
    <w:rsid w:val="08BC43AE"/>
    <w:rsid w:val="08BC43F4"/>
    <w:rsid w:val="08BC43F9"/>
    <w:rsid w:val="08BC44E9"/>
    <w:rsid w:val="08BC44ED"/>
    <w:rsid w:val="08BC4503"/>
    <w:rsid w:val="08BC450E"/>
    <w:rsid w:val="08BC4524"/>
    <w:rsid w:val="08BC452E"/>
    <w:rsid w:val="08BC45AE"/>
    <w:rsid w:val="08BC47A0"/>
    <w:rsid w:val="08BC484A"/>
    <w:rsid w:val="08BC4857"/>
    <w:rsid w:val="08BC4981"/>
    <w:rsid w:val="08BC498B"/>
    <w:rsid w:val="08BC4AF9"/>
    <w:rsid w:val="08BC4B2E"/>
    <w:rsid w:val="08BC4BA1"/>
    <w:rsid w:val="08BC4BB8"/>
    <w:rsid w:val="08BC4BCC"/>
    <w:rsid w:val="08BC4DA6"/>
    <w:rsid w:val="08BC4E1E"/>
    <w:rsid w:val="08BC4E42"/>
    <w:rsid w:val="08BC4E90"/>
    <w:rsid w:val="08BC4F3B"/>
    <w:rsid w:val="08BC5079"/>
    <w:rsid w:val="08BC5084"/>
    <w:rsid w:val="08BC5142"/>
    <w:rsid w:val="08BC5146"/>
    <w:rsid w:val="08BC537F"/>
    <w:rsid w:val="08BC5421"/>
    <w:rsid w:val="08BC55D2"/>
    <w:rsid w:val="08BC561C"/>
    <w:rsid w:val="08BC5641"/>
    <w:rsid w:val="08BC56F7"/>
    <w:rsid w:val="08BC5704"/>
    <w:rsid w:val="08BC5753"/>
    <w:rsid w:val="08BC57BC"/>
    <w:rsid w:val="08BC595F"/>
    <w:rsid w:val="08BC599F"/>
    <w:rsid w:val="08BC59DA"/>
    <w:rsid w:val="08BC5A73"/>
    <w:rsid w:val="08BC5A99"/>
    <w:rsid w:val="08BC5A9F"/>
    <w:rsid w:val="08BC5B08"/>
    <w:rsid w:val="08BC5B61"/>
    <w:rsid w:val="08BC5B92"/>
    <w:rsid w:val="08BC5BB1"/>
    <w:rsid w:val="08BC5C17"/>
    <w:rsid w:val="08BC5CA5"/>
    <w:rsid w:val="08BC5CAD"/>
    <w:rsid w:val="08BC5CDE"/>
    <w:rsid w:val="08BC5D05"/>
    <w:rsid w:val="08BC5D26"/>
    <w:rsid w:val="08BC5D4F"/>
    <w:rsid w:val="08BC5D65"/>
    <w:rsid w:val="08BC5D90"/>
    <w:rsid w:val="08BC5E12"/>
    <w:rsid w:val="08BC5F2C"/>
    <w:rsid w:val="08BC5F40"/>
    <w:rsid w:val="08BC5F8B"/>
    <w:rsid w:val="08BC6001"/>
    <w:rsid w:val="08BC6021"/>
    <w:rsid w:val="08BC6042"/>
    <w:rsid w:val="08BC6078"/>
    <w:rsid w:val="08BC6088"/>
    <w:rsid w:val="08BC61DF"/>
    <w:rsid w:val="08BC6202"/>
    <w:rsid w:val="08BC6278"/>
    <w:rsid w:val="08BC630A"/>
    <w:rsid w:val="08BC6325"/>
    <w:rsid w:val="08BC63A6"/>
    <w:rsid w:val="08BC63AA"/>
    <w:rsid w:val="08BC63B8"/>
    <w:rsid w:val="08BC63F1"/>
    <w:rsid w:val="08BC64A4"/>
    <w:rsid w:val="08BC64AB"/>
    <w:rsid w:val="08BC6510"/>
    <w:rsid w:val="08BC6522"/>
    <w:rsid w:val="08BC6556"/>
    <w:rsid w:val="08BC65FE"/>
    <w:rsid w:val="08BC66A6"/>
    <w:rsid w:val="08BC6749"/>
    <w:rsid w:val="08BC6774"/>
    <w:rsid w:val="08BC6819"/>
    <w:rsid w:val="08BC6831"/>
    <w:rsid w:val="08BC6832"/>
    <w:rsid w:val="08BC687F"/>
    <w:rsid w:val="08BC6AC7"/>
    <w:rsid w:val="08BC6B0B"/>
    <w:rsid w:val="08BC6B4F"/>
    <w:rsid w:val="08BC6C01"/>
    <w:rsid w:val="08BC6C73"/>
    <w:rsid w:val="08BC6CD4"/>
    <w:rsid w:val="08BC6E0F"/>
    <w:rsid w:val="08BC6E2F"/>
    <w:rsid w:val="08BC6EFE"/>
    <w:rsid w:val="08BC70CF"/>
    <w:rsid w:val="08BC7173"/>
    <w:rsid w:val="08BC7373"/>
    <w:rsid w:val="08BC740C"/>
    <w:rsid w:val="08BC74AA"/>
    <w:rsid w:val="08BC74C1"/>
    <w:rsid w:val="08BC7577"/>
    <w:rsid w:val="08BC75AC"/>
    <w:rsid w:val="08BC75B7"/>
    <w:rsid w:val="08BC76A6"/>
    <w:rsid w:val="08BC76C9"/>
    <w:rsid w:val="08BC77BE"/>
    <w:rsid w:val="08BC7811"/>
    <w:rsid w:val="08BC79C5"/>
    <w:rsid w:val="08BC7AD2"/>
    <w:rsid w:val="08BC7B6E"/>
    <w:rsid w:val="08BC7BBF"/>
    <w:rsid w:val="08BC7BF4"/>
    <w:rsid w:val="08BC7C24"/>
    <w:rsid w:val="08BC7CB1"/>
    <w:rsid w:val="08BC7CC3"/>
    <w:rsid w:val="08BC7D14"/>
    <w:rsid w:val="08BC7DFE"/>
    <w:rsid w:val="08BC7EF0"/>
    <w:rsid w:val="08BC7F20"/>
    <w:rsid w:val="08BC7FE8"/>
    <w:rsid w:val="08BD0002"/>
    <w:rsid w:val="08BD0036"/>
    <w:rsid w:val="08BD0056"/>
    <w:rsid w:val="08BD00BC"/>
    <w:rsid w:val="08BD014A"/>
    <w:rsid w:val="08BD017D"/>
    <w:rsid w:val="08BD01EF"/>
    <w:rsid w:val="08BD0220"/>
    <w:rsid w:val="08BD0295"/>
    <w:rsid w:val="08BD033F"/>
    <w:rsid w:val="08BD03A2"/>
    <w:rsid w:val="08BD0463"/>
    <w:rsid w:val="08BD04A7"/>
    <w:rsid w:val="08BD04D0"/>
    <w:rsid w:val="08BD0608"/>
    <w:rsid w:val="08BD074F"/>
    <w:rsid w:val="08BD087F"/>
    <w:rsid w:val="08BD0888"/>
    <w:rsid w:val="08BD09DD"/>
    <w:rsid w:val="08BD09E8"/>
    <w:rsid w:val="08BD0A7C"/>
    <w:rsid w:val="08BD0AB3"/>
    <w:rsid w:val="08BD0B70"/>
    <w:rsid w:val="08BD0C59"/>
    <w:rsid w:val="08BD0D91"/>
    <w:rsid w:val="08BD0DD1"/>
    <w:rsid w:val="08BD0E77"/>
    <w:rsid w:val="08BD0F33"/>
    <w:rsid w:val="08BD0F64"/>
    <w:rsid w:val="08BD0F71"/>
    <w:rsid w:val="08BD10F1"/>
    <w:rsid w:val="08BD10FD"/>
    <w:rsid w:val="08BD1147"/>
    <w:rsid w:val="08BD1177"/>
    <w:rsid w:val="08BD1196"/>
    <w:rsid w:val="08BD119F"/>
    <w:rsid w:val="08BD11E1"/>
    <w:rsid w:val="08BD120E"/>
    <w:rsid w:val="08BD1343"/>
    <w:rsid w:val="08BD136D"/>
    <w:rsid w:val="08BD1379"/>
    <w:rsid w:val="08BD139F"/>
    <w:rsid w:val="08BD146B"/>
    <w:rsid w:val="08BD153E"/>
    <w:rsid w:val="08BD160F"/>
    <w:rsid w:val="08BD1612"/>
    <w:rsid w:val="08BD1658"/>
    <w:rsid w:val="08BD16AB"/>
    <w:rsid w:val="08BD16F4"/>
    <w:rsid w:val="08BD1713"/>
    <w:rsid w:val="08BD1890"/>
    <w:rsid w:val="08BD18EE"/>
    <w:rsid w:val="08BD195E"/>
    <w:rsid w:val="08BD1A7E"/>
    <w:rsid w:val="08BD1B31"/>
    <w:rsid w:val="08BD1B36"/>
    <w:rsid w:val="08BD1BA4"/>
    <w:rsid w:val="08BD1C26"/>
    <w:rsid w:val="08BD1C51"/>
    <w:rsid w:val="08BD1C9E"/>
    <w:rsid w:val="08BD1CD3"/>
    <w:rsid w:val="08BD1CDB"/>
    <w:rsid w:val="08BD1D64"/>
    <w:rsid w:val="08BD1D6C"/>
    <w:rsid w:val="08BD1E15"/>
    <w:rsid w:val="08BD1E49"/>
    <w:rsid w:val="08BD1E76"/>
    <w:rsid w:val="08BD1F0C"/>
    <w:rsid w:val="08BD1F48"/>
    <w:rsid w:val="08BD1F5B"/>
    <w:rsid w:val="08BD1F5E"/>
    <w:rsid w:val="08BD1F7B"/>
    <w:rsid w:val="08BD1FA6"/>
    <w:rsid w:val="08BD201D"/>
    <w:rsid w:val="08BD20D0"/>
    <w:rsid w:val="08BD219F"/>
    <w:rsid w:val="08BD21B7"/>
    <w:rsid w:val="08BD2217"/>
    <w:rsid w:val="08BD22CC"/>
    <w:rsid w:val="08BD23F1"/>
    <w:rsid w:val="08BD23F3"/>
    <w:rsid w:val="08BD25E4"/>
    <w:rsid w:val="08BD2604"/>
    <w:rsid w:val="08BD262A"/>
    <w:rsid w:val="08BD267C"/>
    <w:rsid w:val="08BD26D0"/>
    <w:rsid w:val="08BD282E"/>
    <w:rsid w:val="08BD2865"/>
    <w:rsid w:val="08BD2876"/>
    <w:rsid w:val="08BD287E"/>
    <w:rsid w:val="08BD296C"/>
    <w:rsid w:val="08BD2A34"/>
    <w:rsid w:val="08BD2C83"/>
    <w:rsid w:val="08BD2CCB"/>
    <w:rsid w:val="08BD2D79"/>
    <w:rsid w:val="08BD2DD0"/>
    <w:rsid w:val="08BD2E05"/>
    <w:rsid w:val="08BD2E5C"/>
    <w:rsid w:val="08BD2F0A"/>
    <w:rsid w:val="08BD2F97"/>
    <w:rsid w:val="08BD2FC0"/>
    <w:rsid w:val="08BD2FFE"/>
    <w:rsid w:val="08BD3019"/>
    <w:rsid w:val="08BD30DD"/>
    <w:rsid w:val="08BD31BB"/>
    <w:rsid w:val="08BD3237"/>
    <w:rsid w:val="08BD32A4"/>
    <w:rsid w:val="08BD3348"/>
    <w:rsid w:val="08BD334E"/>
    <w:rsid w:val="08BD337D"/>
    <w:rsid w:val="08BD3399"/>
    <w:rsid w:val="08BD33AC"/>
    <w:rsid w:val="08BD33D0"/>
    <w:rsid w:val="08BD3498"/>
    <w:rsid w:val="08BD3544"/>
    <w:rsid w:val="08BD3577"/>
    <w:rsid w:val="08BD3578"/>
    <w:rsid w:val="08BD35A8"/>
    <w:rsid w:val="08BD35AC"/>
    <w:rsid w:val="08BD3644"/>
    <w:rsid w:val="08BD36E1"/>
    <w:rsid w:val="08BD3778"/>
    <w:rsid w:val="08BD38F2"/>
    <w:rsid w:val="08BD3AA6"/>
    <w:rsid w:val="08BD3CC1"/>
    <w:rsid w:val="08BD3E34"/>
    <w:rsid w:val="08BD3ECC"/>
    <w:rsid w:val="08BD4060"/>
    <w:rsid w:val="08BD4135"/>
    <w:rsid w:val="08BD413B"/>
    <w:rsid w:val="08BD415D"/>
    <w:rsid w:val="08BD416E"/>
    <w:rsid w:val="08BD4218"/>
    <w:rsid w:val="08BD422F"/>
    <w:rsid w:val="08BD4342"/>
    <w:rsid w:val="08BD4372"/>
    <w:rsid w:val="08BD43AC"/>
    <w:rsid w:val="08BD43B6"/>
    <w:rsid w:val="08BD43BB"/>
    <w:rsid w:val="08BD43C2"/>
    <w:rsid w:val="08BD4404"/>
    <w:rsid w:val="08BD440C"/>
    <w:rsid w:val="08BD4440"/>
    <w:rsid w:val="08BD445B"/>
    <w:rsid w:val="08BD447D"/>
    <w:rsid w:val="08BD4482"/>
    <w:rsid w:val="08BD4534"/>
    <w:rsid w:val="08BD4612"/>
    <w:rsid w:val="08BD4699"/>
    <w:rsid w:val="08BD482F"/>
    <w:rsid w:val="08BD487A"/>
    <w:rsid w:val="08BD48FA"/>
    <w:rsid w:val="08BD49CA"/>
    <w:rsid w:val="08BD49E6"/>
    <w:rsid w:val="08BD4A06"/>
    <w:rsid w:val="08BD4B3B"/>
    <w:rsid w:val="08BD4BBC"/>
    <w:rsid w:val="08BD4CCA"/>
    <w:rsid w:val="08BD4D10"/>
    <w:rsid w:val="08BD4E87"/>
    <w:rsid w:val="08BD4EB4"/>
    <w:rsid w:val="08BD4EDF"/>
    <w:rsid w:val="08BD4F3E"/>
    <w:rsid w:val="08BD4FC7"/>
    <w:rsid w:val="08BD4FCF"/>
    <w:rsid w:val="08BD5086"/>
    <w:rsid w:val="08BD5136"/>
    <w:rsid w:val="08BD5257"/>
    <w:rsid w:val="08BD52AA"/>
    <w:rsid w:val="08BD5330"/>
    <w:rsid w:val="08BD53CB"/>
    <w:rsid w:val="08BD5469"/>
    <w:rsid w:val="08BD54B5"/>
    <w:rsid w:val="08BD5584"/>
    <w:rsid w:val="08BD5627"/>
    <w:rsid w:val="08BD584E"/>
    <w:rsid w:val="08BD5891"/>
    <w:rsid w:val="08BD58F2"/>
    <w:rsid w:val="08BD5916"/>
    <w:rsid w:val="08BD5974"/>
    <w:rsid w:val="08BD5AA9"/>
    <w:rsid w:val="08BD5AB1"/>
    <w:rsid w:val="08BD5AC4"/>
    <w:rsid w:val="08BD5B0C"/>
    <w:rsid w:val="08BD5B11"/>
    <w:rsid w:val="08BD5B6C"/>
    <w:rsid w:val="08BD5BB8"/>
    <w:rsid w:val="08BD5C0A"/>
    <w:rsid w:val="08BD5C14"/>
    <w:rsid w:val="08BD5DB8"/>
    <w:rsid w:val="08BD5DBD"/>
    <w:rsid w:val="08BD5EDA"/>
    <w:rsid w:val="08BD5FFC"/>
    <w:rsid w:val="08BD600E"/>
    <w:rsid w:val="08BD6062"/>
    <w:rsid w:val="08BD60AA"/>
    <w:rsid w:val="08BD6270"/>
    <w:rsid w:val="08BD62FE"/>
    <w:rsid w:val="08BD6344"/>
    <w:rsid w:val="08BD635E"/>
    <w:rsid w:val="08BD63DF"/>
    <w:rsid w:val="08BD6453"/>
    <w:rsid w:val="08BD64A4"/>
    <w:rsid w:val="08BD64E7"/>
    <w:rsid w:val="08BD6517"/>
    <w:rsid w:val="08BD6581"/>
    <w:rsid w:val="08BD65DA"/>
    <w:rsid w:val="08BD6656"/>
    <w:rsid w:val="08BD6667"/>
    <w:rsid w:val="08BD6709"/>
    <w:rsid w:val="08BD671B"/>
    <w:rsid w:val="08BD6858"/>
    <w:rsid w:val="08BD68BE"/>
    <w:rsid w:val="08BD68DF"/>
    <w:rsid w:val="08BD68F0"/>
    <w:rsid w:val="08BD6904"/>
    <w:rsid w:val="08BD6942"/>
    <w:rsid w:val="08BD6948"/>
    <w:rsid w:val="08BD6A2A"/>
    <w:rsid w:val="08BD6AB7"/>
    <w:rsid w:val="08BD6B03"/>
    <w:rsid w:val="08BD6BFB"/>
    <w:rsid w:val="08BD6CA3"/>
    <w:rsid w:val="08BD6D16"/>
    <w:rsid w:val="08BD6D7B"/>
    <w:rsid w:val="08BD6DCD"/>
    <w:rsid w:val="08BD6DD2"/>
    <w:rsid w:val="08BD6E3E"/>
    <w:rsid w:val="08BD6E3F"/>
    <w:rsid w:val="08BD6E45"/>
    <w:rsid w:val="08BD6E4E"/>
    <w:rsid w:val="08BD6E4F"/>
    <w:rsid w:val="08BD6E97"/>
    <w:rsid w:val="08BD6EBF"/>
    <w:rsid w:val="08BD6F02"/>
    <w:rsid w:val="08BD6F37"/>
    <w:rsid w:val="08BD6F76"/>
    <w:rsid w:val="08BD6F79"/>
    <w:rsid w:val="08BD6FCF"/>
    <w:rsid w:val="08BD6FF2"/>
    <w:rsid w:val="08BD71E6"/>
    <w:rsid w:val="08BD7279"/>
    <w:rsid w:val="08BD7346"/>
    <w:rsid w:val="08BD7424"/>
    <w:rsid w:val="08BD744D"/>
    <w:rsid w:val="08BD74C4"/>
    <w:rsid w:val="08BD74C6"/>
    <w:rsid w:val="08BD7505"/>
    <w:rsid w:val="08BD750F"/>
    <w:rsid w:val="08BD757B"/>
    <w:rsid w:val="08BD75C6"/>
    <w:rsid w:val="08BD7654"/>
    <w:rsid w:val="08BD76DB"/>
    <w:rsid w:val="08BD778E"/>
    <w:rsid w:val="08BD779F"/>
    <w:rsid w:val="08BD77CA"/>
    <w:rsid w:val="08BD77FF"/>
    <w:rsid w:val="08BD783A"/>
    <w:rsid w:val="08BD791C"/>
    <w:rsid w:val="08BD79F4"/>
    <w:rsid w:val="08BD7ABB"/>
    <w:rsid w:val="08BD7B51"/>
    <w:rsid w:val="08BD7B77"/>
    <w:rsid w:val="08BD7B82"/>
    <w:rsid w:val="08BD7B85"/>
    <w:rsid w:val="08BD7BA6"/>
    <w:rsid w:val="08BD7BC0"/>
    <w:rsid w:val="08BD7CFF"/>
    <w:rsid w:val="08BD7D11"/>
    <w:rsid w:val="08BD7D77"/>
    <w:rsid w:val="08BD7D99"/>
    <w:rsid w:val="08BD7D9A"/>
    <w:rsid w:val="08BD7E6D"/>
    <w:rsid w:val="08BD7EF2"/>
    <w:rsid w:val="08BD7F43"/>
    <w:rsid w:val="08BD7F9A"/>
    <w:rsid w:val="08BD7F9B"/>
    <w:rsid w:val="08BD7FCF"/>
    <w:rsid w:val="08BE00AC"/>
    <w:rsid w:val="08BE00FC"/>
    <w:rsid w:val="08BE01C7"/>
    <w:rsid w:val="08BE02E4"/>
    <w:rsid w:val="08BE04A0"/>
    <w:rsid w:val="08BE04C5"/>
    <w:rsid w:val="08BE0516"/>
    <w:rsid w:val="08BE05E0"/>
    <w:rsid w:val="08BE0604"/>
    <w:rsid w:val="08BE0651"/>
    <w:rsid w:val="08BE067F"/>
    <w:rsid w:val="08BE068A"/>
    <w:rsid w:val="08BE06C0"/>
    <w:rsid w:val="08BE06D3"/>
    <w:rsid w:val="08BE06FC"/>
    <w:rsid w:val="08BE07DF"/>
    <w:rsid w:val="08BE083A"/>
    <w:rsid w:val="08BE08F2"/>
    <w:rsid w:val="08BE08FA"/>
    <w:rsid w:val="08BE091B"/>
    <w:rsid w:val="08BE0952"/>
    <w:rsid w:val="08BE0A53"/>
    <w:rsid w:val="08BE0B33"/>
    <w:rsid w:val="08BE0B61"/>
    <w:rsid w:val="08BE0B7F"/>
    <w:rsid w:val="08BE0BEB"/>
    <w:rsid w:val="08BE0C09"/>
    <w:rsid w:val="08BE0C27"/>
    <w:rsid w:val="08BE0D1C"/>
    <w:rsid w:val="08BE0D42"/>
    <w:rsid w:val="08BE0DDA"/>
    <w:rsid w:val="08BE0E1A"/>
    <w:rsid w:val="08BE0E44"/>
    <w:rsid w:val="08BE0EE6"/>
    <w:rsid w:val="08BE0EE9"/>
    <w:rsid w:val="08BE0FF0"/>
    <w:rsid w:val="08BE1069"/>
    <w:rsid w:val="08BE1335"/>
    <w:rsid w:val="08BE141E"/>
    <w:rsid w:val="08BE1450"/>
    <w:rsid w:val="08BE1463"/>
    <w:rsid w:val="08BE1485"/>
    <w:rsid w:val="08BE14A1"/>
    <w:rsid w:val="08BE15BE"/>
    <w:rsid w:val="08BE164B"/>
    <w:rsid w:val="08BE16EC"/>
    <w:rsid w:val="08BE170C"/>
    <w:rsid w:val="08BE18E2"/>
    <w:rsid w:val="08BE1994"/>
    <w:rsid w:val="08BE19B1"/>
    <w:rsid w:val="08BE1A75"/>
    <w:rsid w:val="08BE1A93"/>
    <w:rsid w:val="08BE1B24"/>
    <w:rsid w:val="08BE1B4C"/>
    <w:rsid w:val="08BE1C07"/>
    <w:rsid w:val="08BE1C28"/>
    <w:rsid w:val="08BE1CBE"/>
    <w:rsid w:val="08BE1D57"/>
    <w:rsid w:val="08BE1D8B"/>
    <w:rsid w:val="08BE1E48"/>
    <w:rsid w:val="08BE1EB0"/>
    <w:rsid w:val="08BE1ED3"/>
    <w:rsid w:val="08BE1F97"/>
    <w:rsid w:val="08BE1FB8"/>
    <w:rsid w:val="08BE1FDF"/>
    <w:rsid w:val="08BE20EB"/>
    <w:rsid w:val="08BE214D"/>
    <w:rsid w:val="08BE21A5"/>
    <w:rsid w:val="08BE21EF"/>
    <w:rsid w:val="08BE22C3"/>
    <w:rsid w:val="08BE2343"/>
    <w:rsid w:val="08BE23A1"/>
    <w:rsid w:val="08BE23FE"/>
    <w:rsid w:val="08BE2418"/>
    <w:rsid w:val="08BE2476"/>
    <w:rsid w:val="08BE2599"/>
    <w:rsid w:val="08BE2620"/>
    <w:rsid w:val="08BE26D0"/>
    <w:rsid w:val="08BE26DE"/>
    <w:rsid w:val="08BE2766"/>
    <w:rsid w:val="08BE276F"/>
    <w:rsid w:val="08BE28CE"/>
    <w:rsid w:val="08BE28F6"/>
    <w:rsid w:val="08BE298C"/>
    <w:rsid w:val="08BE29A1"/>
    <w:rsid w:val="08BE2A56"/>
    <w:rsid w:val="08BE2B39"/>
    <w:rsid w:val="08BE2B58"/>
    <w:rsid w:val="08BE2BD0"/>
    <w:rsid w:val="08BE2C61"/>
    <w:rsid w:val="08BE2C75"/>
    <w:rsid w:val="08BE2CB6"/>
    <w:rsid w:val="08BE2D94"/>
    <w:rsid w:val="08BE2DEB"/>
    <w:rsid w:val="08BE2EFD"/>
    <w:rsid w:val="08BE2F8A"/>
    <w:rsid w:val="08BE2FBF"/>
    <w:rsid w:val="08BE302B"/>
    <w:rsid w:val="08BE320E"/>
    <w:rsid w:val="08BE326F"/>
    <w:rsid w:val="08BE336D"/>
    <w:rsid w:val="08BE33F6"/>
    <w:rsid w:val="08BE343E"/>
    <w:rsid w:val="08BE3482"/>
    <w:rsid w:val="08BE348F"/>
    <w:rsid w:val="08BE34CC"/>
    <w:rsid w:val="08BE3586"/>
    <w:rsid w:val="08BE35A4"/>
    <w:rsid w:val="08BE35AC"/>
    <w:rsid w:val="08BE3607"/>
    <w:rsid w:val="08BE367F"/>
    <w:rsid w:val="08BE3783"/>
    <w:rsid w:val="08BE3798"/>
    <w:rsid w:val="08BE38D0"/>
    <w:rsid w:val="08BE3976"/>
    <w:rsid w:val="08BE3AE4"/>
    <w:rsid w:val="08BE3AFD"/>
    <w:rsid w:val="08BE3B3A"/>
    <w:rsid w:val="08BE3B95"/>
    <w:rsid w:val="08BE3BC3"/>
    <w:rsid w:val="08BE3C1F"/>
    <w:rsid w:val="08BE3CC9"/>
    <w:rsid w:val="08BE3D52"/>
    <w:rsid w:val="08BE3E37"/>
    <w:rsid w:val="08BE3E6A"/>
    <w:rsid w:val="08BE3F6B"/>
    <w:rsid w:val="08BE3FA9"/>
    <w:rsid w:val="08BE3FD7"/>
    <w:rsid w:val="08BE4008"/>
    <w:rsid w:val="08BE4027"/>
    <w:rsid w:val="08BE40FF"/>
    <w:rsid w:val="08BE414D"/>
    <w:rsid w:val="08BE4190"/>
    <w:rsid w:val="08BE41B4"/>
    <w:rsid w:val="08BE4353"/>
    <w:rsid w:val="08BE4365"/>
    <w:rsid w:val="08BE4381"/>
    <w:rsid w:val="08BE43C8"/>
    <w:rsid w:val="08BE43E4"/>
    <w:rsid w:val="08BE43FC"/>
    <w:rsid w:val="08BE447C"/>
    <w:rsid w:val="08BE449B"/>
    <w:rsid w:val="08BE4571"/>
    <w:rsid w:val="08BE459A"/>
    <w:rsid w:val="08BE4611"/>
    <w:rsid w:val="08BE46FA"/>
    <w:rsid w:val="08BE4789"/>
    <w:rsid w:val="08BE47D5"/>
    <w:rsid w:val="08BE47D6"/>
    <w:rsid w:val="08BE47FB"/>
    <w:rsid w:val="08BE4905"/>
    <w:rsid w:val="08BE49B9"/>
    <w:rsid w:val="08BE4B06"/>
    <w:rsid w:val="08BE4CB9"/>
    <w:rsid w:val="08BE4DD4"/>
    <w:rsid w:val="08BE4DDB"/>
    <w:rsid w:val="08BE4DDC"/>
    <w:rsid w:val="08BE4F54"/>
    <w:rsid w:val="08BE50A1"/>
    <w:rsid w:val="08BE50E5"/>
    <w:rsid w:val="08BE50F9"/>
    <w:rsid w:val="08BE510A"/>
    <w:rsid w:val="08BE5177"/>
    <w:rsid w:val="08BE518E"/>
    <w:rsid w:val="08BE5204"/>
    <w:rsid w:val="08BE52BA"/>
    <w:rsid w:val="08BE5307"/>
    <w:rsid w:val="08BE5350"/>
    <w:rsid w:val="08BE546F"/>
    <w:rsid w:val="08BE5535"/>
    <w:rsid w:val="08BE5543"/>
    <w:rsid w:val="08BE55D1"/>
    <w:rsid w:val="08BE5603"/>
    <w:rsid w:val="08BE5648"/>
    <w:rsid w:val="08BE564C"/>
    <w:rsid w:val="08BE5688"/>
    <w:rsid w:val="08BE570A"/>
    <w:rsid w:val="08BE5717"/>
    <w:rsid w:val="08BE57C6"/>
    <w:rsid w:val="08BE57C7"/>
    <w:rsid w:val="08BE5808"/>
    <w:rsid w:val="08BE580C"/>
    <w:rsid w:val="08BE5894"/>
    <w:rsid w:val="08BE5A52"/>
    <w:rsid w:val="08BE5B17"/>
    <w:rsid w:val="08BE5B95"/>
    <w:rsid w:val="08BE5BED"/>
    <w:rsid w:val="08BE5C37"/>
    <w:rsid w:val="08BE5C65"/>
    <w:rsid w:val="08BE5C96"/>
    <w:rsid w:val="08BE5CC7"/>
    <w:rsid w:val="08BE5D60"/>
    <w:rsid w:val="08BE5E36"/>
    <w:rsid w:val="08BE5E4C"/>
    <w:rsid w:val="08BE5EA9"/>
    <w:rsid w:val="08BE5F1C"/>
    <w:rsid w:val="08BE5FDA"/>
    <w:rsid w:val="08BE605B"/>
    <w:rsid w:val="08BE60B3"/>
    <w:rsid w:val="08BE611A"/>
    <w:rsid w:val="08BE61C4"/>
    <w:rsid w:val="08BE633C"/>
    <w:rsid w:val="08BE633E"/>
    <w:rsid w:val="08BE6340"/>
    <w:rsid w:val="08BE6395"/>
    <w:rsid w:val="08BE63E8"/>
    <w:rsid w:val="08BE64C4"/>
    <w:rsid w:val="08BE6563"/>
    <w:rsid w:val="08BE65C7"/>
    <w:rsid w:val="08BE65CF"/>
    <w:rsid w:val="08BE6790"/>
    <w:rsid w:val="08BE67E7"/>
    <w:rsid w:val="08BE68DD"/>
    <w:rsid w:val="08BE68E5"/>
    <w:rsid w:val="08BE68EF"/>
    <w:rsid w:val="08BE69B4"/>
    <w:rsid w:val="08BE69CB"/>
    <w:rsid w:val="08BE69F1"/>
    <w:rsid w:val="08BE69F7"/>
    <w:rsid w:val="08BE6A79"/>
    <w:rsid w:val="08BE6B12"/>
    <w:rsid w:val="08BE6BB7"/>
    <w:rsid w:val="08BE6BC7"/>
    <w:rsid w:val="08BE6BFC"/>
    <w:rsid w:val="08BE6C45"/>
    <w:rsid w:val="08BE6C68"/>
    <w:rsid w:val="08BE6CAA"/>
    <w:rsid w:val="08BE6CC7"/>
    <w:rsid w:val="08BE6CCA"/>
    <w:rsid w:val="08BE6CF4"/>
    <w:rsid w:val="08BE6D1B"/>
    <w:rsid w:val="08BE6D98"/>
    <w:rsid w:val="08BE6F5F"/>
    <w:rsid w:val="08BE6FCA"/>
    <w:rsid w:val="08BE702D"/>
    <w:rsid w:val="08BE70B4"/>
    <w:rsid w:val="08BE714A"/>
    <w:rsid w:val="08BE727F"/>
    <w:rsid w:val="08BE72FA"/>
    <w:rsid w:val="08BE7325"/>
    <w:rsid w:val="08BE733C"/>
    <w:rsid w:val="08BE73B6"/>
    <w:rsid w:val="08BE7403"/>
    <w:rsid w:val="08BE74E7"/>
    <w:rsid w:val="08BE74F1"/>
    <w:rsid w:val="08BE76B8"/>
    <w:rsid w:val="08BE7774"/>
    <w:rsid w:val="08BE77B5"/>
    <w:rsid w:val="08BE77F7"/>
    <w:rsid w:val="08BE7869"/>
    <w:rsid w:val="08BE795C"/>
    <w:rsid w:val="08BE79AC"/>
    <w:rsid w:val="08BE79F2"/>
    <w:rsid w:val="08BE7A0C"/>
    <w:rsid w:val="08BE7A7A"/>
    <w:rsid w:val="08BE7B02"/>
    <w:rsid w:val="08BE7BAB"/>
    <w:rsid w:val="08BE7BC8"/>
    <w:rsid w:val="08BE7C13"/>
    <w:rsid w:val="08BE7C52"/>
    <w:rsid w:val="08BE7D19"/>
    <w:rsid w:val="08BE7D1F"/>
    <w:rsid w:val="08BE7DBA"/>
    <w:rsid w:val="08BE7E59"/>
    <w:rsid w:val="08BE7FC7"/>
    <w:rsid w:val="08BE7FC8"/>
    <w:rsid w:val="08BE7FD0"/>
    <w:rsid w:val="08BF007C"/>
    <w:rsid w:val="08BF0137"/>
    <w:rsid w:val="08BF014C"/>
    <w:rsid w:val="08BF01AE"/>
    <w:rsid w:val="08BF01B0"/>
    <w:rsid w:val="08BF01F1"/>
    <w:rsid w:val="08BF0216"/>
    <w:rsid w:val="08BF0279"/>
    <w:rsid w:val="08BF0291"/>
    <w:rsid w:val="08BF0315"/>
    <w:rsid w:val="08BF039F"/>
    <w:rsid w:val="08BF03EC"/>
    <w:rsid w:val="08BF0410"/>
    <w:rsid w:val="08BF0469"/>
    <w:rsid w:val="08BF055E"/>
    <w:rsid w:val="08BF0696"/>
    <w:rsid w:val="08BF08BE"/>
    <w:rsid w:val="08BF0923"/>
    <w:rsid w:val="08BF0944"/>
    <w:rsid w:val="08BF0A06"/>
    <w:rsid w:val="08BF0A21"/>
    <w:rsid w:val="08BF0B0D"/>
    <w:rsid w:val="08BF0BD2"/>
    <w:rsid w:val="08BF0D40"/>
    <w:rsid w:val="08BF0D62"/>
    <w:rsid w:val="08BF0DC6"/>
    <w:rsid w:val="08BF0E07"/>
    <w:rsid w:val="08BF0E16"/>
    <w:rsid w:val="08BF0E38"/>
    <w:rsid w:val="08BF0F0F"/>
    <w:rsid w:val="08BF0F64"/>
    <w:rsid w:val="08BF0F77"/>
    <w:rsid w:val="08BF10D5"/>
    <w:rsid w:val="08BF1152"/>
    <w:rsid w:val="08BF11F1"/>
    <w:rsid w:val="08BF1361"/>
    <w:rsid w:val="08BF13CE"/>
    <w:rsid w:val="08BF156D"/>
    <w:rsid w:val="08BF158A"/>
    <w:rsid w:val="08BF15D9"/>
    <w:rsid w:val="08BF1609"/>
    <w:rsid w:val="08BF184C"/>
    <w:rsid w:val="08BF1852"/>
    <w:rsid w:val="08BF188C"/>
    <w:rsid w:val="08BF18AE"/>
    <w:rsid w:val="08BF1990"/>
    <w:rsid w:val="08BF19DA"/>
    <w:rsid w:val="08BF1A47"/>
    <w:rsid w:val="08BF1B0A"/>
    <w:rsid w:val="08BF1B89"/>
    <w:rsid w:val="08BF1CB6"/>
    <w:rsid w:val="08BF1D49"/>
    <w:rsid w:val="08BF1DA5"/>
    <w:rsid w:val="08BF1DBF"/>
    <w:rsid w:val="08BF1E1B"/>
    <w:rsid w:val="08BF1F22"/>
    <w:rsid w:val="08BF1F3A"/>
    <w:rsid w:val="08BF1FA4"/>
    <w:rsid w:val="08BF1FFC"/>
    <w:rsid w:val="08BF2036"/>
    <w:rsid w:val="08BF2048"/>
    <w:rsid w:val="08BF20D5"/>
    <w:rsid w:val="08BF21D9"/>
    <w:rsid w:val="08BF2201"/>
    <w:rsid w:val="08BF22A1"/>
    <w:rsid w:val="08BF22E3"/>
    <w:rsid w:val="08BF237F"/>
    <w:rsid w:val="08BF23E5"/>
    <w:rsid w:val="08BF23E6"/>
    <w:rsid w:val="08BF240E"/>
    <w:rsid w:val="08BF2416"/>
    <w:rsid w:val="08BF245D"/>
    <w:rsid w:val="08BF2476"/>
    <w:rsid w:val="08BF24CB"/>
    <w:rsid w:val="08BF24F4"/>
    <w:rsid w:val="08BF251E"/>
    <w:rsid w:val="08BF257E"/>
    <w:rsid w:val="08BF2663"/>
    <w:rsid w:val="08BF26F0"/>
    <w:rsid w:val="08BF285F"/>
    <w:rsid w:val="08BF28D0"/>
    <w:rsid w:val="08BF28EA"/>
    <w:rsid w:val="08BF297E"/>
    <w:rsid w:val="08BF298D"/>
    <w:rsid w:val="08BF2997"/>
    <w:rsid w:val="08BF29A0"/>
    <w:rsid w:val="08BF2A18"/>
    <w:rsid w:val="08BF2A51"/>
    <w:rsid w:val="08BF2AB8"/>
    <w:rsid w:val="08BF2AE8"/>
    <w:rsid w:val="08BF2B43"/>
    <w:rsid w:val="08BF2C58"/>
    <w:rsid w:val="08BF2CE8"/>
    <w:rsid w:val="08BF2E00"/>
    <w:rsid w:val="08BF2E93"/>
    <w:rsid w:val="08BF2FA8"/>
    <w:rsid w:val="08BF3043"/>
    <w:rsid w:val="08BF30B3"/>
    <w:rsid w:val="08BF31F5"/>
    <w:rsid w:val="08BF3230"/>
    <w:rsid w:val="08BF3236"/>
    <w:rsid w:val="08BF3261"/>
    <w:rsid w:val="08BF32EE"/>
    <w:rsid w:val="08BF332E"/>
    <w:rsid w:val="08BF33EB"/>
    <w:rsid w:val="08BF33F6"/>
    <w:rsid w:val="08BF3457"/>
    <w:rsid w:val="08BF3533"/>
    <w:rsid w:val="08BF3567"/>
    <w:rsid w:val="08BF35BD"/>
    <w:rsid w:val="08BF3717"/>
    <w:rsid w:val="08BF38E2"/>
    <w:rsid w:val="08BF39D6"/>
    <w:rsid w:val="08BF3ADB"/>
    <w:rsid w:val="08BF3B3D"/>
    <w:rsid w:val="08BF3B50"/>
    <w:rsid w:val="08BF3B65"/>
    <w:rsid w:val="08BF3BC1"/>
    <w:rsid w:val="08BF3BF7"/>
    <w:rsid w:val="08BF3C22"/>
    <w:rsid w:val="08BF3C30"/>
    <w:rsid w:val="08BF3C56"/>
    <w:rsid w:val="08BF3C8B"/>
    <w:rsid w:val="08BF3DBE"/>
    <w:rsid w:val="08BF3E01"/>
    <w:rsid w:val="08BF3E2B"/>
    <w:rsid w:val="08BF3E7D"/>
    <w:rsid w:val="08BF3E94"/>
    <w:rsid w:val="08BF3EBC"/>
    <w:rsid w:val="08BF3FCD"/>
    <w:rsid w:val="08BF4019"/>
    <w:rsid w:val="08BF401C"/>
    <w:rsid w:val="08BF40BD"/>
    <w:rsid w:val="08BF444D"/>
    <w:rsid w:val="08BF4520"/>
    <w:rsid w:val="08BF459C"/>
    <w:rsid w:val="08BF45D2"/>
    <w:rsid w:val="08BF45D9"/>
    <w:rsid w:val="08BF45E0"/>
    <w:rsid w:val="08BF45F0"/>
    <w:rsid w:val="08BF45F7"/>
    <w:rsid w:val="08BF4622"/>
    <w:rsid w:val="08BF4652"/>
    <w:rsid w:val="08BF46B5"/>
    <w:rsid w:val="08BF475D"/>
    <w:rsid w:val="08BF47A6"/>
    <w:rsid w:val="08BF47EE"/>
    <w:rsid w:val="08BF47F1"/>
    <w:rsid w:val="08BF4829"/>
    <w:rsid w:val="08BF483D"/>
    <w:rsid w:val="08BF493B"/>
    <w:rsid w:val="08BF4BD3"/>
    <w:rsid w:val="08BF4C4D"/>
    <w:rsid w:val="08BF4C9E"/>
    <w:rsid w:val="08BF4CB7"/>
    <w:rsid w:val="08BF4CF4"/>
    <w:rsid w:val="08BF4D46"/>
    <w:rsid w:val="08BF4D63"/>
    <w:rsid w:val="08BF4D8C"/>
    <w:rsid w:val="08BF4DBC"/>
    <w:rsid w:val="08BF4E17"/>
    <w:rsid w:val="08BF4E38"/>
    <w:rsid w:val="08BF4E58"/>
    <w:rsid w:val="08BF4F62"/>
    <w:rsid w:val="08BF50A9"/>
    <w:rsid w:val="08BF5147"/>
    <w:rsid w:val="08BF5152"/>
    <w:rsid w:val="08BF5156"/>
    <w:rsid w:val="08BF5269"/>
    <w:rsid w:val="08BF5286"/>
    <w:rsid w:val="08BF53BA"/>
    <w:rsid w:val="08BF53F8"/>
    <w:rsid w:val="08BF54E1"/>
    <w:rsid w:val="08BF54E8"/>
    <w:rsid w:val="08BF563E"/>
    <w:rsid w:val="08BF565F"/>
    <w:rsid w:val="08BF5694"/>
    <w:rsid w:val="08BF5714"/>
    <w:rsid w:val="08BF5715"/>
    <w:rsid w:val="08BF57E6"/>
    <w:rsid w:val="08BF58B0"/>
    <w:rsid w:val="08BF5A74"/>
    <w:rsid w:val="08BF5A76"/>
    <w:rsid w:val="08BF5BA6"/>
    <w:rsid w:val="08BF5C03"/>
    <w:rsid w:val="08BF5C0A"/>
    <w:rsid w:val="08BF5C37"/>
    <w:rsid w:val="08BF5C49"/>
    <w:rsid w:val="08BF5DDD"/>
    <w:rsid w:val="08BF5E3E"/>
    <w:rsid w:val="08BF5EC5"/>
    <w:rsid w:val="08BF5EF9"/>
    <w:rsid w:val="08BF5F86"/>
    <w:rsid w:val="08BF5F8E"/>
    <w:rsid w:val="08BF5FAA"/>
    <w:rsid w:val="08BF6065"/>
    <w:rsid w:val="08BF6078"/>
    <w:rsid w:val="08BF60A7"/>
    <w:rsid w:val="08BF60AA"/>
    <w:rsid w:val="08BF610B"/>
    <w:rsid w:val="08BF6186"/>
    <w:rsid w:val="08BF61B3"/>
    <w:rsid w:val="08BF61F3"/>
    <w:rsid w:val="08BF6233"/>
    <w:rsid w:val="08BF623F"/>
    <w:rsid w:val="08BF62A2"/>
    <w:rsid w:val="08BF62F5"/>
    <w:rsid w:val="08BF64BE"/>
    <w:rsid w:val="08BF6572"/>
    <w:rsid w:val="08BF65E2"/>
    <w:rsid w:val="08BF67CF"/>
    <w:rsid w:val="08BF6869"/>
    <w:rsid w:val="08BF692B"/>
    <w:rsid w:val="08BF6986"/>
    <w:rsid w:val="08BF69BE"/>
    <w:rsid w:val="08BF69D3"/>
    <w:rsid w:val="08BF6A21"/>
    <w:rsid w:val="08BF6A26"/>
    <w:rsid w:val="08BF6A40"/>
    <w:rsid w:val="08BF6A62"/>
    <w:rsid w:val="08BF6AF9"/>
    <w:rsid w:val="08BF6BE5"/>
    <w:rsid w:val="08BF6CE7"/>
    <w:rsid w:val="08BF6CEF"/>
    <w:rsid w:val="08BF6D69"/>
    <w:rsid w:val="08BF6D77"/>
    <w:rsid w:val="08BF6DF8"/>
    <w:rsid w:val="08BF6ED3"/>
    <w:rsid w:val="08BF6F2A"/>
    <w:rsid w:val="08BF6FC9"/>
    <w:rsid w:val="08BF7098"/>
    <w:rsid w:val="08BF7102"/>
    <w:rsid w:val="08BF7107"/>
    <w:rsid w:val="08BF710C"/>
    <w:rsid w:val="08BF712A"/>
    <w:rsid w:val="08BF717D"/>
    <w:rsid w:val="08BF717E"/>
    <w:rsid w:val="08BF71DB"/>
    <w:rsid w:val="08BF727C"/>
    <w:rsid w:val="08BF72A4"/>
    <w:rsid w:val="08BF72AC"/>
    <w:rsid w:val="08BF73AF"/>
    <w:rsid w:val="08BF73BE"/>
    <w:rsid w:val="08BF73F0"/>
    <w:rsid w:val="08BF7444"/>
    <w:rsid w:val="08BF7672"/>
    <w:rsid w:val="08BF768A"/>
    <w:rsid w:val="08BF76AE"/>
    <w:rsid w:val="08BF76AF"/>
    <w:rsid w:val="08BF76E5"/>
    <w:rsid w:val="08BF7739"/>
    <w:rsid w:val="08BF77E3"/>
    <w:rsid w:val="08BF7800"/>
    <w:rsid w:val="08BF789E"/>
    <w:rsid w:val="08BF793F"/>
    <w:rsid w:val="08BF799E"/>
    <w:rsid w:val="08BF79C5"/>
    <w:rsid w:val="08BF7A34"/>
    <w:rsid w:val="08BF7A4B"/>
    <w:rsid w:val="08BF7AD7"/>
    <w:rsid w:val="08BF7AEF"/>
    <w:rsid w:val="08BF7CA7"/>
    <w:rsid w:val="08BF7CE0"/>
    <w:rsid w:val="08BF7D3C"/>
    <w:rsid w:val="08BF7D89"/>
    <w:rsid w:val="08BF7DAA"/>
    <w:rsid w:val="08BF7E0B"/>
    <w:rsid w:val="08BF7E3E"/>
    <w:rsid w:val="08BF7F5F"/>
    <w:rsid w:val="08BF7F90"/>
    <w:rsid w:val="08C00056"/>
    <w:rsid w:val="08C0009C"/>
    <w:rsid w:val="08C001A4"/>
    <w:rsid w:val="08C001B5"/>
    <w:rsid w:val="08C001C3"/>
    <w:rsid w:val="08C00295"/>
    <w:rsid w:val="08C0047B"/>
    <w:rsid w:val="08C004BE"/>
    <w:rsid w:val="08C004E4"/>
    <w:rsid w:val="08C0056D"/>
    <w:rsid w:val="08C0060F"/>
    <w:rsid w:val="08C0064B"/>
    <w:rsid w:val="08C0081D"/>
    <w:rsid w:val="08C008CE"/>
    <w:rsid w:val="08C009BF"/>
    <w:rsid w:val="08C00A3C"/>
    <w:rsid w:val="08C00A69"/>
    <w:rsid w:val="08C00AA5"/>
    <w:rsid w:val="08C00BA0"/>
    <w:rsid w:val="08C00DFB"/>
    <w:rsid w:val="08C00E30"/>
    <w:rsid w:val="08C0104D"/>
    <w:rsid w:val="08C010B2"/>
    <w:rsid w:val="08C010CF"/>
    <w:rsid w:val="08C01169"/>
    <w:rsid w:val="08C0128D"/>
    <w:rsid w:val="08C013F2"/>
    <w:rsid w:val="08C01473"/>
    <w:rsid w:val="08C01504"/>
    <w:rsid w:val="08C01514"/>
    <w:rsid w:val="08C01515"/>
    <w:rsid w:val="08C01528"/>
    <w:rsid w:val="08C01592"/>
    <w:rsid w:val="08C015B3"/>
    <w:rsid w:val="08C015F7"/>
    <w:rsid w:val="08C01612"/>
    <w:rsid w:val="08C0168E"/>
    <w:rsid w:val="08C016E2"/>
    <w:rsid w:val="08C0182B"/>
    <w:rsid w:val="08C0184C"/>
    <w:rsid w:val="08C018D0"/>
    <w:rsid w:val="08C0192A"/>
    <w:rsid w:val="08C01963"/>
    <w:rsid w:val="08C01993"/>
    <w:rsid w:val="08C019E4"/>
    <w:rsid w:val="08C01B79"/>
    <w:rsid w:val="08C01BCC"/>
    <w:rsid w:val="08C01BD8"/>
    <w:rsid w:val="08C01C74"/>
    <w:rsid w:val="08C01CAF"/>
    <w:rsid w:val="08C01D73"/>
    <w:rsid w:val="08C01D9E"/>
    <w:rsid w:val="08C01DC4"/>
    <w:rsid w:val="08C01E29"/>
    <w:rsid w:val="08C01ED8"/>
    <w:rsid w:val="08C01FF8"/>
    <w:rsid w:val="08C01FFA"/>
    <w:rsid w:val="08C02044"/>
    <w:rsid w:val="08C020BC"/>
    <w:rsid w:val="08C020F1"/>
    <w:rsid w:val="08C0219E"/>
    <w:rsid w:val="08C021F4"/>
    <w:rsid w:val="08C0221B"/>
    <w:rsid w:val="08C02223"/>
    <w:rsid w:val="08C0228A"/>
    <w:rsid w:val="08C022B6"/>
    <w:rsid w:val="08C02329"/>
    <w:rsid w:val="08C024C7"/>
    <w:rsid w:val="08C02511"/>
    <w:rsid w:val="08C025EF"/>
    <w:rsid w:val="08C0263D"/>
    <w:rsid w:val="08C0265F"/>
    <w:rsid w:val="08C02674"/>
    <w:rsid w:val="08C027E4"/>
    <w:rsid w:val="08C02944"/>
    <w:rsid w:val="08C02B11"/>
    <w:rsid w:val="08C02BB3"/>
    <w:rsid w:val="08C02BF0"/>
    <w:rsid w:val="08C02C1E"/>
    <w:rsid w:val="08C02C9C"/>
    <w:rsid w:val="08C02CD7"/>
    <w:rsid w:val="08C02CF7"/>
    <w:rsid w:val="08C02E28"/>
    <w:rsid w:val="08C02E30"/>
    <w:rsid w:val="08C02E76"/>
    <w:rsid w:val="08C02EE6"/>
    <w:rsid w:val="08C02F90"/>
    <w:rsid w:val="08C02FD8"/>
    <w:rsid w:val="08C0301C"/>
    <w:rsid w:val="08C030A7"/>
    <w:rsid w:val="08C030EC"/>
    <w:rsid w:val="08C03127"/>
    <w:rsid w:val="08C03173"/>
    <w:rsid w:val="08C031D5"/>
    <w:rsid w:val="08C031DE"/>
    <w:rsid w:val="08C03209"/>
    <w:rsid w:val="08C03358"/>
    <w:rsid w:val="08C03362"/>
    <w:rsid w:val="08C0339E"/>
    <w:rsid w:val="08C0348F"/>
    <w:rsid w:val="08C0357B"/>
    <w:rsid w:val="08C0359F"/>
    <w:rsid w:val="08C035CD"/>
    <w:rsid w:val="08C03774"/>
    <w:rsid w:val="08C03775"/>
    <w:rsid w:val="08C038CA"/>
    <w:rsid w:val="08C03917"/>
    <w:rsid w:val="08C03918"/>
    <w:rsid w:val="08C03998"/>
    <w:rsid w:val="08C039C5"/>
    <w:rsid w:val="08C039CA"/>
    <w:rsid w:val="08C03A90"/>
    <w:rsid w:val="08C03AE2"/>
    <w:rsid w:val="08C03B9A"/>
    <w:rsid w:val="08C03D35"/>
    <w:rsid w:val="08C03D61"/>
    <w:rsid w:val="08C03E0F"/>
    <w:rsid w:val="08C03E45"/>
    <w:rsid w:val="08C03E47"/>
    <w:rsid w:val="08C03E75"/>
    <w:rsid w:val="08C03E92"/>
    <w:rsid w:val="08C03F2B"/>
    <w:rsid w:val="08C03FB6"/>
    <w:rsid w:val="08C03FC0"/>
    <w:rsid w:val="08C04077"/>
    <w:rsid w:val="08C040EF"/>
    <w:rsid w:val="08C040F9"/>
    <w:rsid w:val="08C04155"/>
    <w:rsid w:val="08C04192"/>
    <w:rsid w:val="08C0424A"/>
    <w:rsid w:val="08C04272"/>
    <w:rsid w:val="08C04276"/>
    <w:rsid w:val="08C042DC"/>
    <w:rsid w:val="08C04309"/>
    <w:rsid w:val="08C04340"/>
    <w:rsid w:val="08C04410"/>
    <w:rsid w:val="08C04478"/>
    <w:rsid w:val="08C0447E"/>
    <w:rsid w:val="08C044CC"/>
    <w:rsid w:val="08C044D3"/>
    <w:rsid w:val="08C044DF"/>
    <w:rsid w:val="08C044E9"/>
    <w:rsid w:val="08C04535"/>
    <w:rsid w:val="08C0453B"/>
    <w:rsid w:val="08C04576"/>
    <w:rsid w:val="08C04591"/>
    <w:rsid w:val="08C04658"/>
    <w:rsid w:val="08C0469C"/>
    <w:rsid w:val="08C046C3"/>
    <w:rsid w:val="08C047CA"/>
    <w:rsid w:val="08C04853"/>
    <w:rsid w:val="08C0490D"/>
    <w:rsid w:val="08C04933"/>
    <w:rsid w:val="08C049A9"/>
    <w:rsid w:val="08C04A8F"/>
    <w:rsid w:val="08C04AD1"/>
    <w:rsid w:val="08C04B4F"/>
    <w:rsid w:val="08C04B69"/>
    <w:rsid w:val="08C04C63"/>
    <w:rsid w:val="08C04D56"/>
    <w:rsid w:val="08C04D9A"/>
    <w:rsid w:val="08C04DCA"/>
    <w:rsid w:val="08C04E02"/>
    <w:rsid w:val="08C04F43"/>
    <w:rsid w:val="08C04FB3"/>
    <w:rsid w:val="08C050E7"/>
    <w:rsid w:val="08C050FC"/>
    <w:rsid w:val="08C051C9"/>
    <w:rsid w:val="08C05246"/>
    <w:rsid w:val="08C052C6"/>
    <w:rsid w:val="08C052CA"/>
    <w:rsid w:val="08C052E8"/>
    <w:rsid w:val="08C0536E"/>
    <w:rsid w:val="08C0537C"/>
    <w:rsid w:val="08C0541D"/>
    <w:rsid w:val="08C05451"/>
    <w:rsid w:val="08C054BE"/>
    <w:rsid w:val="08C054CA"/>
    <w:rsid w:val="08C054E2"/>
    <w:rsid w:val="08C054FD"/>
    <w:rsid w:val="08C055BA"/>
    <w:rsid w:val="08C055E9"/>
    <w:rsid w:val="08C05600"/>
    <w:rsid w:val="08C056C9"/>
    <w:rsid w:val="08C0572B"/>
    <w:rsid w:val="08C05763"/>
    <w:rsid w:val="08C057C1"/>
    <w:rsid w:val="08C05824"/>
    <w:rsid w:val="08C0584B"/>
    <w:rsid w:val="08C0595B"/>
    <w:rsid w:val="08C059BB"/>
    <w:rsid w:val="08C05A7B"/>
    <w:rsid w:val="08C05AC7"/>
    <w:rsid w:val="08C05CE4"/>
    <w:rsid w:val="08C05D09"/>
    <w:rsid w:val="08C05D1A"/>
    <w:rsid w:val="08C05D9D"/>
    <w:rsid w:val="08C05EF3"/>
    <w:rsid w:val="08C06040"/>
    <w:rsid w:val="08C06095"/>
    <w:rsid w:val="08C060E3"/>
    <w:rsid w:val="08C06128"/>
    <w:rsid w:val="08C06165"/>
    <w:rsid w:val="08C061B6"/>
    <w:rsid w:val="08C061E5"/>
    <w:rsid w:val="08C061F7"/>
    <w:rsid w:val="08C06274"/>
    <w:rsid w:val="08C0627C"/>
    <w:rsid w:val="08C062F9"/>
    <w:rsid w:val="08C0637E"/>
    <w:rsid w:val="08C06433"/>
    <w:rsid w:val="08C06598"/>
    <w:rsid w:val="08C065EB"/>
    <w:rsid w:val="08C06601"/>
    <w:rsid w:val="08C06650"/>
    <w:rsid w:val="08C066F4"/>
    <w:rsid w:val="08C0676D"/>
    <w:rsid w:val="08C06788"/>
    <w:rsid w:val="08C067C2"/>
    <w:rsid w:val="08C067E0"/>
    <w:rsid w:val="08C0680A"/>
    <w:rsid w:val="08C0682A"/>
    <w:rsid w:val="08C06834"/>
    <w:rsid w:val="08C068B1"/>
    <w:rsid w:val="08C06907"/>
    <w:rsid w:val="08C06A0A"/>
    <w:rsid w:val="08C06AAC"/>
    <w:rsid w:val="08C06BEE"/>
    <w:rsid w:val="08C06D16"/>
    <w:rsid w:val="08C06D37"/>
    <w:rsid w:val="08C06D94"/>
    <w:rsid w:val="08C06E4B"/>
    <w:rsid w:val="08C06E52"/>
    <w:rsid w:val="08C06E5B"/>
    <w:rsid w:val="08C06E6E"/>
    <w:rsid w:val="08C06EB9"/>
    <w:rsid w:val="08C06F2B"/>
    <w:rsid w:val="08C06F37"/>
    <w:rsid w:val="08C06FC8"/>
    <w:rsid w:val="08C07021"/>
    <w:rsid w:val="08C07054"/>
    <w:rsid w:val="08C0707B"/>
    <w:rsid w:val="08C07083"/>
    <w:rsid w:val="08C0712D"/>
    <w:rsid w:val="08C07173"/>
    <w:rsid w:val="08C07267"/>
    <w:rsid w:val="08C07276"/>
    <w:rsid w:val="08C0734F"/>
    <w:rsid w:val="08C07582"/>
    <w:rsid w:val="08C07584"/>
    <w:rsid w:val="08C0758E"/>
    <w:rsid w:val="08C075F0"/>
    <w:rsid w:val="08C076D9"/>
    <w:rsid w:val="08C07775"/>
    <w:rsid w:val="08C0782B"/>
    <w:rsid w:val="08C0798E"/>
    <w:rsid w:val="08C079B8"/>
    <w:rsid w:val="08C079BF"/>
    <w:rsid w:val="08C07A2F"/>
    <w:rsid w:val="08C07A93"/>
    <w:rsid w:val="08C07B82"/>
    <w:rsid w:val="08C07C47"/>
    <w:rsid w:val="08C07CA2"/>
    <w:rsid w:val="08C07D57"/>
    <w:rsid w:val="08C07D74"/>
    <w:rsid w:val="08C07DD1"/>
    <w:rsid w:val="08C07EFE"/>
    <w:rsid w:val="08C07F35"/>
    <w:rsid w:val="08C07F43"/>
    <w:rsid w:val="08C07F98"/>
    <w:rsid w:val="08C1005E"/>
    <w:rsid w:val="08C10060"/>
    <w:rsid w:val="08C10099"/>
    <w:rsid w:val="08C101AC"/>
    <w:rsid w:val="08C101B7"/>
    <w:rsid w:val="08C1020E"/>
    <w:rsid w:val="08C10259"/>
    <w:rsid w:val="08C102A0"/>
    <w:rsid w:val="08C102C3"/>
    <w:rsid w:val="08C103E3"/>
    <w:rsid w:val="08C1041F"/>
    <w:rsid w:val="08C1046C"/>
    <w:rsid w:val="08C1049C"/>
    <w:rsid w:val="08C10505"/>
    <w:rsid w:val="08C1051B"/>
    <w:rsid w:val="08C10568"/>
    <w:rsid w:val="08C105FE"/>
    <w:rsid w:val="08C10717"/>
    <w:rsid w:val="08C107F6"/>
    <w:rsid w:val="08C10959"/>
    <w:rsid w:val="08C10A93"/>
    <w:rsid w:val="08C10B46"/>
    <w:rsid w:val="08C10B56"/>
    <w:rsid w:val="08C10B5F"/>
    <w:rsid w:val="08C10BAE"/>
    <w:rsid w:val="08C10C3E"/>
    <w:rsid w:val="08C10C50"/>
    <w:rsid w:val="08C10F1A"/>
    <w:rsid w:val="08C10F6A"/>
    <w:rsid w:val="08C10FE2"/>
    <w:rsid w:val="08C11000"/>
    <w:rsid w:val="08C110A1"/>
    <w:rsid w:val="08C110F8"/>
    <w:rsid w:val="08C11129"/>
    <w:rsid w:val="08C11134"/>
    <w:rsid w:val="08C1117B"/>
    <w:rsid w:val="08C111AC"/>
    <w:rsid w:val="08C111AE"/>
    <w:rsid w:val="08C1126D"/>
    <w:rsid w:val="08C113A7"/>
    <w:rsid w:val="08C113DC"/>
    <w:rsid w:val="08C1146B"/>
    <w:rsid w:val="08C11479"/>
    <w:rsid w:val="08C1151A"/>
    <w:rsid w:val="08C11655"/>
    <w:rsid w:val="08C1170B"/>
    <w:rsid w:val="08C11731"/>
    <w:rsid w:val="08C1175C"/>
    <w:rsid w:val="08C11856"/>
    <w:rsid w:val="08C1189F"/>
    <w:rsid w:val="08C118AD"/>
    <w:rsid w:val="08C118E5"/>
    <w:rsid w:val="08C118F2"/>
    <w:rsid w:val="08C118F6"/>
    <w:rsid w:val="08C11970"/>
    <w:rsid w:val="08C11A4D"/>
    <w:rsid w:val="08C11B10"/>
    <w:rsid w:val="08C11BBB"/>
    <w:rsid w:val="08C11C26"/>
    <w:rsid w:val="08C11CEC"/>
    <w:rsid w:val="08C11D1A"/>
    <w:rsid w:val="08C11DAF"/>
    <w:rsid w:val="08C11E49"/>
    <w:rsid w:val="08C11E61"/>
    <w:rsid w:val="08C11EE9"/>
    <w:rsid w:val="08C12033"/>
    <w:rsid w:val="08C12048"/>
    <w:rsid w:val="08C12174"/>
    <w:rsid w:val="08C121E2"/>
    <w:rsid w:val="08C12203"/>
    <w:rsid w:val="08C1222D"/>
    <w:rsid w:val="08C1225D"/>
    <w:rsid w:val="08C122C9"/>
    <w:rsid w:val="08C12300"/>
    <w:rsid w:val="08C1239E"/>
    <w:rsid w:val="08C12411"/>
    <w:rsid w:val="08C1244C"/>
    <w:rsid w:val="08C1248D"/>
    <w:rsid w:val="08C12491"/>
    <w:rsid w:val="08C124F7"/>
    <w:rsid w:val="08C12610"/>
    <w:rsid w:val="08C1271E"/>
    <w:rsid w:val="08C1272B"/>
    <w:rsid w:val="08C12798"/>
    <w:rsid w:val="08C128A7"/>
    <w:rsid w:val="08C129F4"/>
    <w:rsid w:val="08C12A4E"/>
    <w:rsid w:val="08C12A6D"/>
    <w:rsid w:val="08C12AEE"/>
    <w:rsid w:val="08C12B84"/>
    <w:rsid w:val="08C12C23"/>
    <w:rsid w:val="08C12CC3"/>
    <w:rsid w:val="08C12CFF"/>
    <w:rsid w:val="08C12D58"/>
    <w:rsid w:val="08C12D7E"/>
    <w:rsid w:val="08C12D89"/>
    <w:rsid w:val="08C12DFA"/>
    <w:rsid w:val="08C12E35"/>
    <w:rsid w:val="08C12EBE"/>
    <w:rsid w:val="08C12ED0"/>
    <w:rsid w:val="08C13028"/>
    <w:rsid w:val="08C1305B"/>
    <w:rsid w:val="08C1313D"/>
    <w:rsid w:val="08C131D2"/>
    <w:rsid w:val="08C13221"/>
    <w:rsid w:val="08C13321"/>
    <w:rsid w:val="08C13344"/>
    <w:rsid w:val="08C133BB"/>
    <w:rsid w:val="08C133F8"/>
    <w:rsid w:val="08C13409"/>
    <w:rsid w:val="08C1340E"/>
    <w:rsid w:val="08C13417"/>
    <w:rsid w:val="08C13493"/>
    <w:rsid w:val="08C134C3"/>
    <w:rsid w:val="08C134D7"/>
    <w:rsid w:val="08C1365F"/>
    <w:rsid w:val="08C13686"/>
    <w:rsid w:val="08C136FC"/>
    <w:rsid w:val="08C13718"/>
    <w:rsid w:val="08C1373A"/>
    <w:rsid w:val="08C1378E"/>
    <w:rsid w:val="08C137B0"/>
    <w:rsid w:val="08C137EC"/>
    <w:rsid w:val="08C13964"/>
    <w:rsid w:val="08C13992"/>
    <w:rsid w:val="08C139D7"/>
    <w:rsid w:val="08C13A70"/>
    <w:rsid w:val="08C13A8E"/>
    <w:rsid w:val="08C13B77"/>
    <w:rsid w:val="08C13BFD"/>
    <w:rsid w:val="08C13D06"/>
    <w:rsid w:val="08C13E5B"/>
    <w:rsid w:val="08C13EA1"/>
    <w:rsid w:val="08C13EE3"/>
    <w:rsid w:val="08C13F6D"/>
    <w:rsid w:val="08C14068"/>
    <w:rsid w:val="08C1409B"/>
    <w:rsid w:val="08C140AD"/>
    <w:rsid w:val="08C140EC"/>
    <w:rsid w:val="08C14140"/>
    <w:rsid w:val="08C1417B"/>
    <w:rsid w:val="08C14296"/>
    <w:rsid w:val="08C142B2"/>
    <w:rsid w:val="08C142C9"/>
    <w:rsid w:val="08C142E2"/>
    <w:rsid w:val="08C143C2"/>
    <w:rsid w:val="08C1441A"/>
    <w:rsid w:val="08C14523"/>
    <w:rsid w:val="08C14648"/>
    <w:rsid w:val="08C14690"/>
    <w:rsid w:val="08C146B2"/>
    <w:rsid w:val="08C14765"/>
    <w:rsid w:val="08C147C6"/>
    <w:rsid w:val="08C14803"/>
    <w:rsid w:val="08C14822"/>
    <w:rsid w:val="08C14834"/>
    <w:rsid w:val="08C1488D"/>
    <w:rsid w:val="08C1488E"/>
    <w:rsid w:val="08C14901"/>
    <w:rsid w:val="08C1493C"/>
    <w:rsid w:val="08C14A30"/>
    <w:rsid w:val="08C14A33"/>
    <w:rsid w:val="08C14A7B"/>
    <w:rsid w:val="08C14AD3"/>
    <w:rsid w:val="08C14D52"/>
    <w:rsid w:val="08C14D8F"/>
    <w:rsid w:val="08C14DBE"/>
    <w:rsid w:val="08C150CA"/>
    <w:rsid w:val="08C1511B"/>
    <w:rsid w:val="08C15147"/>
    <w:rsid w:val="08C15167"/>
    <w:rsid w:val="08C151F0"/>
    <w:rsid w:val="08C15397"/>
    <w:rsid w:val="08C153A0"/>
    <w:rsid w:val="08C153B0"/>
    <w:rsid w:val="08C1547B"/>
    <w:rsid w:val="08C15480"/>
    <w:rsid w:val="08C154D7"/>
    <w:rsid w:val="08C1557B"/>
    <w:rsid w:val="08C15634"/>
    <w:rsid w:val="08C156D8"/>
    <w:rsid w:val="08C156EA"/>
    <w:rsid w:val="08C1571C"/>
    <w:rsid w:val="08C15729"/>
    <w:rsid w:val="08C15788"/>
    <w:rsid w:val="08C1579C"/>
    <w:rsid w:val="08C157E4"/>
    <w:rsid w:val="08C157E9"/>
    <w:rsid w:val="08C15840"/>
    <w:rsid w:val="08C15890"/>
    <w:rsid w:val="08C158E3"/>
    <w:rsid w:val="08C15980"/>
    <w:rsid w:val="08C1599E"/>
    <w:rsid w:val="08C15A12"/>
    <w:rsid w:val="08C15A26"/>
    <w:rsid w:val="08C15AE9"/>
    <w:rsid w:val="08C15B1F"/>
    <w:rsid w:val="08C15B34"/>
    <w:rsid w:val="08C15B3C"/>
    <w:rsid w:val="08C15B4B"/>
    <w:rsid w:val="08C15B7F"/>
    <w:rsid w:val="08C15BE5"/>
    <w:rsid w:val="08C15CD1"/>
    <w:rsid w:val="08C15D1A"/>
    <w:rsid w:val="08C15E26"/>
    <w:rsid w:val="08C15E97"/>
    <w:rsid w:val="08C15EE8"/>
    <w:rsid w:val="08C15EFE"/>
    <w:rsid w:val="08C15F0B"/>
    <w:rsid w:val="08C160D5"/>
    <w:rsid w:val="08C16140"/>
    <w:rsid w:val="08C16166"/>
    <w:rsid w:val="08C161B6"/>
    <w:rsid w:val="08C161BF"/>
    <w:rsid w:val="08C162DF"/>
    <w:rsid w:val="08C1630C"/>
    <w:rsid w:val="08C16335"/>
    <w:rsid w:val="08C163AC"/>
    <w:rsid w:val="08C16419"/>
    <w:rsid w:val="08C16542"/>
    <w:rsid w:val="08C165BB"/>
    <w:rsid w:val="08C165EC"/>
    <w:rsid w:val="08C16634"/>
    <w:rsid w:val="08C16696"/>
    <w:rsid w:val="08C16776"/>
    <w:rsid w:val="08C167EB"/>
    <w:rsid w:val="08C1684F"/>
    <w:rsid w:val="08C168B1"/>
    <w:rsid w:val="08C168C0"/>
    <w:rsid w:val="08C168F6"/>
    <w:rsid w:val="08C169C9"/>
    <w:rsid w:val="08C169CD"/>
    <w:rsid w:val="08C16A60"/>
    <w:rsid w:val="08C16AA3"/>
    <w:rsid w:val="08C16AE1"/>
    <w:rsid w:val="08C16B28"/>
    <w:rsid w:val="08C16B51"/>
    <w:rsid w:val="08C16CB5"/>
    <w:rsid w:val="08C16D58"/>
    <w:rsid w:val="08C16EF4"/>
    <w:rsid w:val="08C16FBE"/>
    <w:rsid w:val="08C1700F"/>
    <w:rsid w:val="08C1705C"/>
    <w:rsid w:val="08C170A1"/>
    <w:rsid w:val="08C170E6"/>
    <w:rsid w:val="08C17101"/>
    <w:rsid w:val="08C17102"/>
    <w:rsid w:val="08C1715E"/>
    <w:rsid w:val="08C17192"/>
    <w:rsid w:val="08C171A6"/>
    <w:rsid w:val="08C17252"/>
    <w:rsid w:val="08C17260"/>
    <w:rsid w:val="08C17277"/>
    <w:rsid w:val="08C172D6"/>
    <w:rsid w:val="08C172E9"/>
    <w:rsid w:val="08C17347"/>
    <w:rsid w:val="08C173BE"/>
    <w:rsid w:val="08C174C5"/>
    <w:rsid w:val="08C17649"/>
    <w:rsid w:val="08C17743"/>
    <w:rsid w:val="08C17765"/>
    <w:rsid w:val="08C177D4"/>
    <w:rsid w:val="08C1781C"/>
    <w:rsid w:val="08C17A95"/>
    <w:rsid w:val="08C17A9F"/>
    <w:rsid w:val="08C17B5C"/>
    <w:rsid w:val="08C17BD9"/>
    <w:rsid w:val="08C17C24"/>
    <w:rsid w:val="08C17CC6"/>
    <w:rsid w:val="08C17CFD"/>
    <w:rsid w:val="08C17D20"/>
    <w:rsid w:val="08C17D26"/>
    <w:rsid w:val="08C17D37"/>
    <w:rsid w:val="08C17D39"/>
    <w:rsid w:val="08C17D3C"/>
    <w:rsid w:val="08C17E08"/>
    <w:rsid w:val="08C17E4B"/>
    <w:rsid w:val="08C17E5B"/>
    <w:rsid w:val="08C17ECD"/>
    <w:rsid w:val="08C17ED7"/>
    <w:rsid w:val="08C17EF4"/>
    <w:rsid w:val="08C200BC"/>
    <w:rsid w:val="08C200FD"/>
    <w:rsid w:val="08C2019C"/>
    <w:rsid w:val="08C20275"/>
    <w:rsid w:val="08C2027E"/>
    <w:rsid w:val="08C20326"/>
    <w:rsid w:val="08C2034A"/>
    <w:rsid w:val="08C20375"/>
    <w:rsid w:val="08C204B1"/>
    <w:rsid w:val="08C2054F"/>
    <w:rsid w:val="08C20557"/>
    <w:rsid w:val="08C2055C"/>
    <w:rsid w:val="08C20644"/>
    <w:rsid w:val="08C2072C"/>
    <w:rsid w:val="08C20769"/>
    <w:rsid w:val="08C20853"/>
    <w:rsid w:val="08C2085B"/>
    <w:rsid w:val="08C2085D"/>
    <w:rsid w:val="08C20860"/>
    <w:rsid w:val="08C2086E"/>
    <w:rsid w:val="08C20930"/>
    <w:rsid w:val="08C20944"/>
    <w:rsid w:val="08C2098D"/>
    <w:rsid w:val="08C209F7"/>
    <w:rsid w:val="08C20AC3"/>
    <w:rsid w:val="08C20B1E"/>
    <w:rsid w:val="08C20B7C"/>
    <w:rsid w:val="08C20BBB"/>
    <w:rsid w:val="08C20BDF"/>
    <w:rsid w:val="08C20C11"/>
    <w:rsid w:val="08C20CB9"/>
    <w:rsid w:val="08C20D0B"/>
    <w:rsid w:val="08C20F23"/>
    <w:rsid w:val="08C20F2F"/>
    <w:rsid w:val="08C20F4C"/>
    <w:rsid w:val="08C20F77"/>
    <w:rsid w:val="08C21051"/>
    <w:rsid w:val="08C21078"/>
    <w:rsid w:val="08C21308"/>
    <w:rsid w:val="08C2157F"/>
    <w:rsid w:val="08C21592"/>
    <w:rsid w:val="08C215A6"/>
    <w:rsid w:val="08C215F1"/>
    <w:rsid w:val="08C21656"/>
    <w:rsid w:val="08C216BF"/>
    <w:rsid w:val="08C216EE"/>
    <w:rsid w:val="08C2177E"/>
    <w:rsid w:val="08C217EA"/>
    <w:rsid w:val="08C217EE"/>
    <w:rsid w:val="08C2192F"/>
    <w:rsid w:val="08C219A1"/>
    <w:rsid w:val="08C219A3"/>
    <w:rsid w:val="08C219E6"/>
    <w:rsid w:val="08C21A9F"/>
    <w:rsid w:val="08C21B09"/>
    <w:rsid w:val="08C21BB3"/>
    <w:rsid w:val="08C21CAE"/>
    <w:rsid w:val="08C21DE5"/>
    <w:rsid w:val="08C21E0A"/>
    <w:rsid w:val="08C21E17"/>
    <w:rsid w:val="08C21E94"/>
    <w:rsid w:val="08C21EA9"/>
    <w:rsid w:val="08C21F07"/>
    <w:rsid w:val="08C21F3E"/>
    <w:rsid w:val="08C21F6F"/>
    <w:rsid w:val="08C21FA5"/>
    <w:rsid w:val="08C21FC3"/>
    <w:rsid w:val="08C21FC7"/>
    <w:rsid w:val="08C21FD0"/>
    <w:rsid w:val="08C21FDA"/>
    <w:rsid w:val="08C2206F"/>
    <w:rsid w:val="08C220AA"/>
    <w:rsid w:val="08C220FF"/>
    <w:rsid w:val="08C221B1"/>
    <w:rsid w:val="08C221C5"/>
    <w:rsid w:val="08C2236E"/>
    <w:rsid w:val="08C22543"/>
    <w:rsid w:val="08C225F2"/>
    <w:rsid w:val="08C22633"/>
    <w:rsid w:val="08C226F5"/>
    <w:rsid w:val="08C226F7"/>
    <w:rsid w:val="08C22741"/>
    <w:rsid w:val="08C2274D"/>
    <w:rsid w:val="08C2276B"/>
    <w:rsid w:val="08C22838"/>
    <w:rsid w:val="08C228E5"/>
    <w:rsid w:val="08C22924"/>
    <w:rsid w:val="08C2296D"/>
    <w:rsid w:val="08C22C00"/>
    <w:rsid w:val="08C22C50"/>
    <w:rsid w:val="08C22C7C"/>
    <w:rsid w:val="08C22E0E"/>
    <w:rsid w:val="08C22E21"/>
    <w:rsid w:val="08C22E9C"/>
    <w:rsid w:val="08C22EDE"/>
    <w:rsid w:val="08C22F39"/>
    <w:rsid w:val="08C23054"/>
    <w:rsid w:val="08C2328D"/>
    <w:rsid w:val="08C232C1"/>
    <w:rsid w:val="08C232EF"/>
    <w:rsid w:val="08C2339E"/>
    <w:rsid w:val="08C233B0"/>
    <w:rsid w:val="08C2344B"/>
    <w:rsid w:val="08C23568"/>
    <w:rsid w:val="08C23576"/>
    <w:rsid w:val="08C23580"/>
    <w:rsid w:val="08C23588"/>
    <w:rsid w:val="08C236E5"/>
    <w:rsid w:val="08C236E7"/>
    <w:rsid w:val="08C236F8"/>
    <w:rsid w:val="08C23700"/>
    <w:rsid w:val="08C2375C"/>
    <w:rsid w:val="08C237EA"/>
    <w:rsid w:val="08C238A4"/>
    <w:rsid w:val="08C238B2"/>
    <w:rsid w:val="08C238E5"/>
    <w:rsid w:val="08C23985"/>
    <w:rsid w:val="08C239C9"/>
    <w:rsid w:val="08C23A5F"/>
    <w:rsid w:val="08C23A77"/>
    <w:rsid w:val="08C23B69"/>
    <w:rsid w:val="08C23C03"/>
    <w:rsid w:val="08C23C0B"/>
    <w:rsid w:val="08C23C17"/>
    <w:rsid w:val="08C23C6F"/>
    <w:rsid w:val="08C23C86"/>
    <w:rsid w:val="08C23D75"/>
    <w:rsid w:val="08C23DCD"/>
    <w:rsid w:val="08C23E52"/>
    <w:rsid w:val="08C23F3E"/>
    <w:rsid w:val="08C23F70"/>
    <w:rsid w:val="08C23F8B"/>
    <w:rsid w:val="08C23F94"/>
    <w:rsid w:val="08C24016"/>
    <w:rsid w:val="08C24024"/>
    <w:rsid w:val="08C2407F"/>
    <w:rsid w:val="08C24090"/>
    <w:rsid w:val="08C24170"/>
    <w:rsid w:val="08C2424E"/>
    <w:rsid w:val="08C2430E"/>
    <w:rsid w:val="08C24328"/>
    <w:rsid w:val="08C24584"/>
    <w:rsid w:val="08C24589"/>
    <w:rsid w:val="08C245E0"/>
    <w:rsid w:val="08C246EC"/>
    <w:rsid w:val="08C2476F"/>
    <w:rsid w:val="08C24783"/>
    <w:rsid w:val="08C248C8"/>
    <w:rsid w:val="08C249C1"/>
    <w:rsid w:val="08C249E3"/>
    <w:rsid w:val="08C24A81"/>
    <w:rsid w:val="08C24AFF"/>
    <w:rsid w:val="08C24B20"/>
    <w:rsid w:val="08C24BCF"/>
    <w:rsid w:val="08C24BD4"/>
    <w:rsid w:val="08C24BD6"/>
    <w:rsid w:val="08C24CBE"/>
    <w:rsid w:val="08C24D5D"/>
    <w:rsid w:val="08C24DAC"/>
    <w:rsid w:val="08C24E8C"/>
    <w:rsid w:val="08C24FA8"/>
    <w:rsid w:val="08C24FC1"/>
    <w:rsid w:val="08C25085"/>
    <w:rsid w:val="08C25093"/>
    <w:rsid w:val="08C250D8"/>
    <w:rsid w:val="08C250DD"/>
    <w:rsid w:val="08C250DE"/>
    <w:rsid w:val="08C251DD"/>
    <w:rsid w:val="08C252D6"/>
    <w:rsid w:val="08C25313"/>
    <w:rsid w:val="08C253EA"/>
    <w:rsid w:val="08C2549C"/>
    <w:rsid w:val="08C25765"/>
    <w:rsid w:val="08C2584D"/>
    <w:rsid w:val="08C25872"/>
    <w:rsid w:val="08C2590B"/>
    <w:rsid w:val="08C259C9"/>
    <w:rsid w:val="08C25AA4"/>
    <w:rsid w:val="08C25AD5"/>
    <w:rsid w:val="08C25ADF"/>
    <w:rsid w:val="08C25B88"/>
    <w:rsid w:val="08C25C3D"/>
    <w:rsid w:val="08C25C91"/>
    <w:rsid w:val="08C25CDD"/>
    <w:rsid w:val="08C25CF7"/>
    <w:rsid w:val="08C25E55"/>
    <w:rsid w:val="08C25EBB"/>
    <w:rsid w:val="08C25F48"/>
    <w:rsid w:val="08C25F5B"/>
    <w:rsid w:val="08C25FC4"/>
    <w:rsid w:val="08C25FC7"/>
    <w:rsid w:val="08C2605F"/>
    <w:rsid w:val="08C260E9"/>
    <w:rsid w:val="08C26106"/>
    <w:rsid w:val="08C26235"/>
    <w:rsid w:val="08C26252"/>
    <w:rsid w:val="08C26288"/>
    <w:rsid w:val="08C262FF"/>
    <w:rsid w:val="08C26302"/>
    <w:rsid w:val="08C2633E"/>
    <w:rsid w:val="08C26378"/>
    <w:rsid w:val="08C263C3"/>
    <w:rsid w:val="08C26473"/>
    <w:rsid w:val="08C26516"/>
    <w:rsid w:val="08C265D1"/>
    <w:rsid w:val="08C266C3"/>
    <w:rsid w:val="08C266CD"/>
    <w:rsid w:val="08C26705"/>
    <w:rsid w:val="08C26730"/>
    <w:rsid w:val="08C26731"/>
    <w:rsid w:val="08C267B1"/>
    <w:rsid w:val="08C26813"/>
    <w:rsid w:val="08C26827"/>
    <w:rsid w:val="08C2685F"/>
    <w:rsid w:val="08C2689F"/>
    <w:rsid w:val="08C26A00"/>
    <w:rsid w:val="08C26A6B"/>
    <w:rsid w:val="08C26A92"/>
    <w:rsid w:val="08C26ACA"/>
    <w:rsid w:val="08C26E1A"/>
    <w:rsid w:val="08C26E75"/>
    <w:rsid w:val="08C26EFA"/>
    <w:rsid w:val="08C26F82"/>
    <w:rsid w:val="08C270FB"/>
    <w:rsid w:val="08C271DE"/>
    <w:rsid w:val="08C273BF"/>
    <w:rsid w:val="08C273EE"/>
    <w:rsid w:val="08C27494"/>
    <w:rsid w:val="08C2752E"/>
    <w:rsid w:val="08C275D2"/>
    <w:rsid w:val="08C275FF"/>
    <w:rsid w:val="08C276BC"/>
    <w:rsid w:val="08C276C4"/>
    <w:rsid w:val="08C2771E"/>
    <w:rsid w:val="08C2773A"/>
    <w:rsid w:val="08C27754"/>
    <w:rsid w:val="08C27878"/>
    <w:rsid w:val="08C278A4"/>
    <w:rsid w:val="08C27935"/>
    <w:rsid w:val="08C27A1E"/>
    <w:rsid w:val="08C27AC4"/>
    <w:rsid w:val="08C27BF8"/>
    <w:rsid w:val="08C27CA8"/>
    <w:rsid w:val="08C27DB0"/>
    <w:rsid w:val="08C27E77"/>
    <w:rsid w:val="08C27F2E"/>
    <w:rsid w:val="08C27F4B"/>
    <w:rsid w:val="08C27FB2"/>
    <w:rsid w:val="08C27FBA"/>
    <w:rsid w:val="08C27FDD"/>
    <w:rsid w:val="08C27FEE"/>
    <w:rsid w:val="08C300B4"/>
    <w:rsid w:val="08C300D3"/>
    <w:rsid w:val="08C3017D"/>
    <w:rsid w:val="08C301E4"/>
    <w:rsid w:val="08C302DE"/>
    <w:rsid w:val="08C3030E"/>
    <w:rsid w:val="08C30359"/>
    <w:rsid w:val="08C30411"/>
    <w:rsid w:val="08C3055E"/>
    <w:rsid w:val="08C306C8"/>
    <w:rsid w:val="08C3071D"/>
    <w:rsid w:val="08C30735"/>
    <w:rsid w:val="08C30791"/>
    <w:rsid w:val="08C30808"/>
    <w:rsid w:val="08C30860"/>
    <w:rsid w:val="08C30939"/>
    <w:rsid w:val="08C3099D"/>
    <w:rsid w:val="08C30A51"/>
    <w:rsid w:val="08C30AFD"/>
    <w:rsid w:val="08C30B0C"/>
    <w:rsid w:val="08C30B79"/>
    <w:rsid w:val="08C30B9F"/>
    <w:rsid w:val="08C30BC9"/>
    <w:rsid w:val="08C30C4F"/>
    <w:rsid w:val="08C30C66"/>
    <w:rsid w:val="08C30CBF"/>
    <w:rsid w:val="08C30DD4"/>
    <w:rsid w:val="08C30E00"/>
    <w:rsid w:val="08C30E14"/>
    <w:rsid w:val="08C30F75"/>
    <w:rsid w:val="08C30F89"/>
    <w:rsid w:val="08C31098"/>
    <w:rsid w:val="08C310CF"/>
    <w:rsid w:val="08C310DB"/>
    <w:rsid w:val="08C3113F"/>
    <w:rsid w:val="08C31140"/>
    <w:rsid w:val="08C312E5"/>
    <w:rsid w:val="08C312FF"/>
    <w:rsid w:val="08C313D1"/>
    <w:rsid w:val="08C313DB"/>
    <w:rsid w:val="08C3141B"/>
    <w:rsid w:val="08C3146A"/>
    <w:rsid w:val="08C314A4"/>
    <w:rsid w:val="08C31609"/>
    <w:rsid w:val="08C31638"/>
    <w:rsid w:val="08C31664"/>
    <w:rsid w:val="08C3166B"/>
    <w:rsid w:val="08C316F1"/>
    <w:rsid w:val="08C31804"/>
    <w:rsid w:val="08C31814"/>
    <w:rsid w:val="08C318D3"/>
    <w:rsid w:val="08C318F0"/>
    <w:rsid w:val="08C3190B"/>
    <w:rsid w:val="08C31A76"/>
    <w:rsid w:val="08C31AB2"/>
    <w:rsid w:val="08C31AEE"/>
    <w:rsid w:val="08C31AEF"/>
    <w:rsid w:val="08C31AF5"/>
    <w:rsid w:val="08C31B9C"/>
    <w:rsid w:val="08C31BAB"/>
    <w:rsid w:val="08C31BB1"/>
    <w:rsid w:val="08C31C1C"/>
    <w:rsid w:val="08C31C31"/>
    <w:rsid w:val="08C31D5D"/>
    <w:rsid w:val="08C31D8C"/>
    <w:rsid w:val="08C31DB0"/>
    <w:rsid w:val="08C31E17"/>
    <w:rsid w:val="08C31EDF"/>
    <w:rsid w:val="08C31EFB"/>
    <w:rsid w:val="08C31F5D"/>
    <w:rsid w:val="08C31F7C"/>
    <w:rsid w:val="08C3206B"/>
    <w:rsid w:val="08C320A4"/>
    <w:rsid w:val="08C32102"/>
    <w:rsid w:val="08C3212E"/>
    <w:rsid w:val="08C321C6"/>
    <w:rsid w:val="08C32287"/>
    <w:rsid w:val="08C32326"/>
    <w:rsid w:val="08C32391"/>
    <w:rsid w:val="08C323F3"/>
    <w:rsid w:val="08C3240B"/>
    <w:rsid w:val="08C3242E"/>
    <w:rsid w:val="08C3243B"/>
    <w:rsid w:val="08C32445"/>
    <w:rsid w:val="08C32450"/>
    <w:rsid w:val="08C3252D"/>
    <w:rsid w:val="08C325D0"/>
    <w:rsid w:val="08C325F6"/>
    <w:rsid w:val="08C32644"/>
    <w:rsid w:val="08C32650"/>
    <w:rsid w:val="08C3265B"/>
    <w:rsid w:val="08C326BD"/>
    <w:rsid w:val="08C326D5"/>
    <w:rsid w:val="08C32701"/>
    <w:rsid w:val="08C32769"/>
    <w:rsid w:val="08C327D9"/>
    <w:rsid w:val="08C3286B"/>
    <w:rsid w:val="08C328AC"/>
    <w:rsid w:val="08C3298D"/>
    <w:rsid w:val="08C32A2C"/>
    <w:rsid w:val="08C32A3F"/>
    <w:rsid w:val="08C32A81"/>
    <w:rsid w:val="08C32C36"/>
    <w:rsid w:val="08C32CF6"/>
    <w:rsid w:val="08C32D3B"/>
    <w:rsid w:val="08C32D7A"/>
    <w:rsid w:val="08C32D7B"/>
    <w:rsid w:val="08C32DF9"/>
    <w:rsid w:val="08C32E8A"/>
    <w:rsid w:val="08C32EFC"/>
    <w:rsid w:val="08C32F00"/>
    <w:rsid w:val="08C32F22"/>
    <w:rsid w:val="08C32F23"/>
    <w:rsid w:val="08C32F40"/>
    <w:rsid w:val="08C32F8C"/>
    <w:rsid w:val="08C32FDB"/>
    <w:rsid w:val="08C330EE"/>
    <w:rsid w:val="08C33111"/>
    <w:rsid w:val="08C33126"/>
    <w:rsid w:val="08C3318A"/>
    <w:rsid w:val="08C331A2"/>
    <w:rsid w:val="08C33211"/>
    <w:rsid w:val="08C3323F"/>
    <w:rsid w:val="08C33263"/>
    <w:rsid w:val="08C33360"/>
    <w:rsid w:val="08C333DF"/>
    <w:rsid w:val="08C33490"/>
    <w:rsid w:val="08C334E8"/>
    <w:rsid w:val="08C33508"/>
    <w:rsid w:val="08C3358D"/>
    <w:rsid w:val="08C3365F"/>
    <w:rsid w:val="08C33675"/>
    <w:rsid w:val="08C33870"/>
    <w:rsid w:val="08C3394D"/>
    <w:rsid w:val="08C339D2"/>
    <w:rsid w:val="08C33ACB"/>
    <w:rsid w:val="08C33ACF"/>
    <w:rsid w:val="08C33B35"/>
    <w:rsid w:val="08C33BA0"/>
    <w:rsid w:val="08C33BD2"/>
    <w:rsid w:val="08C33C15"/>
    <w:rsid w:val="08C33C16"/>
    <w:rsid w:val="08C33C4F"/>
    <w:rsid w:val="08C33D12"/>
    <w:rsid w:val="08C33D5E"/>
    <w:rsid w:val="08C33EAA"/>
    <w:rsid w:val="08C33EFB"/>
    <w:rsid w:val="08C33F47"/>
    <w:rsid w:val="08C33FE6"/>
    <w:rsid w:val="08C34005"/>
    <w:rsid w:val="08C34033"/>
    <w:rsid w:val="08C340E0"/>
    <w:rsid w:val="08C341A6"/>
    <w:rsid w:val="08C341AB"/>
    <w:rsid w:val="08C34208"/>
    <w:rsid w:val="08C34220"/>
    <w:rsid w:val="08C34232"/>
    <w:rsid w:val="08C3427A"/>
    <w:rsid w:val="08C34295"/>
    <w:rsid w:val="08C34353"/>
    <w:rsid w:val="08C343C3"/>
    <w:rsid w:val="08C3440F"/>
    <w:rsid w:val="08C34484"/>
    <w:rsid w:val="08C3457B"/>
    <w:rsid w:val="08C346BA"/>
    <w:rsid w:val="08C346C0"/>
    <w:rsid w:val="08C346C7"/>
    <w:rsid w:val="08C346DC"/>
    <w:rsid w:val="08C346FE"/>
    <w:rsid w:val="08C347AB"/>
    <w:rsid w:val="08C347CC"/>
    <w:rsid w:val="08C348CF"/>
    <w:rsid w:val="08C3493D"/>
    <w:rsid w:val="08C349F8"/>
    <w:rsid w:val="08C34A14"/>
    <w:rsid w:val="08C34A3C"/>
    <w:rsid w:val="08C34AE1"/>
    <w:rsid w:val="08C34B99"/>
    <w:rsid w:val="08C34BC7"/>
    <w:rsid w:val="08C34C7F"/>
    <w:rsid w:val="08C34D07"/>
    <w:rsid w:val="08C34D40"/>
    <w:rsid w:val="08C34DD2"/>
    <w:rsid w:val="08C34EAC"/>
    <w:rsid w:val="08C34EB7"/>
    <w:rsid w:val="08C34F35"/>
    <w:rsid w:val="08C3501F"/>
    <w:rsid w:val="08C3504D"/>
    <w:rsid w:val="08C350C9"/>
    <w:rsid w:val="08C350E1"/>
    <w:rsid w:val="08C3511E"/>
    <w:rsid w:val="08C3511F"/>
    <w:rsid w:val="08C351D5"/>
    <w:rsid w:val="08C35280"/>
    <w:rsid w:val="08C352BB"/>
    <w:rsid w:val="08C352C9"/>
    <w:rsid w:val="08C35309"/>
    <w:rsid w:val="08C35430"/>
    <w:rsid w:val="08C354D2"/>
    <w:rsid w:val="08C35550"/>
    <w:rsid w:val="08C35565"/>
    <w:rsid w:val="08C35585"/>
    <w:rsid w:val="08C355A1"/>
    <w:rsid w:val="08C355EC"/>
    <w:rsid w:val="08C35610"/>
    <w:rsid w:val="08C35624"/>
    <w:rsid w:val="08C35680"/>
    <w:rsid w:val="08C35694"/>
    <w:rsid w:val="08C35789"/>
    <w:rsid w:val="08C35857"/>
    <w:rsid w:val="08C358A3"/>
    <w:rsid w:val="08C358A6"/>
    <w:rsid w:val="08C358EE"/>
    <w:rsid w:val="08C35938"/>
    <w:rsid w:val="08C35986"/>
    <w:rsid w:val="08C35991"/>
    <w:rsid w:val="08C359A6"/>
    <w:rsid w:val="08C359DF"/>
    <w:rsid w:val="08C359EA"/>
    <w:rsid w:val="08C35A36"/>
    <w:rsid w:val="08C35ADA"/>
    <w:rsid w:val="08C35B47"/>
    <w:rsid w:val="08C35B65"/>
    <w:rsid w:val="08C35B9C"/>
    <w:rsid w:val="08C35BF8"/>
    <w:rsid w:val="08C35CE5"/>
    <w:rsid w:val="08C35D41"/>
    <w:rsid w:val="08C35DAB"/>
    <w:rsid w:val="08C35E18"/>
    <w:rsid w:val="08C35E4A"/>
    <w:rsid w:val="08C35F7B"/>
    <w:rsid w:val="08C35FDE"/>
    <w:rsid w:val="08C3604C"/>
    <w:rsid w:val="08C360E9"/>
    <w:rsid w:val="08C3610F"/>
    <w:rsid w:val="08C36132"/>
    <w:rsid w:val="08C361FE"/>
    <w:rsid w:val="08C3621D"/>
    <w:rsid w:val="08C36225"/>
    <w:rsid w:val="08C36347"/>
    <w:rsid w:val="08C3634A"/>
    <w:rsid w:val="08C36474"/>
    <w:rsid w:val="08C3649F"/>
    <w:rsid w:val="08C3659D"/>
    <w:rsid w:val="08C365A6"/>
    <w:rsid w:val="08C365E6"/>
    <w:rsid w:val="08C36636"/>
    <w:rsid w:val="08C36651"/>
    <w:rsid w:val="08C36674"/>
    <w:rsid w:val="08C366AA"/>
    <w:rsid w:val="08C367C2"/>
    <w:rsid w:val="08C3687B"/>
    <w:rsid w:val="08C36898"/>
    <w:rsid w:val="08C368DD"/>
    <w:rsid w:val="08C36920"/>
    <w:rsid w:val="08C36921"/>
    <w:rsid w:val="08C369CC"/>
    <w:rsid w:val="08C36BDD"/>
    <w:rsid w:val="08C36BF6"/>
    <w:rsid w:val="08C36C18"/>
    <w:rsid w:val="08C36C3C"/>
    <w:rsid w:val="08C36C68"/>
    <w:rsid w:val="08C36C6B"/>
    <w:rsid w:val="08C36C82"/>
    <w:rsid w:val="08C36D49"/>
    <w:rsid w:val="08C36D70"/>
    <w:rsid w:val="08C36E58"/>
    <w:rsid w:val="08C36EB6"/>
    <w:rsid w:val="08C36EC6"/>
    <w:rsid w:val="08C36F42"/>
    <w:rsid w:val="08C36FA7"/>
    <w:rsid w:val="08C3702E"/>
    <w:rsid w:val="08C3710C"/>
    <w:rsid w:val="08C37288"/>
    <w:rsid w:val="08C3732C"/>
    <w:rsid w:val="08C373B1"/>
    <w:rsid w:val="08C373E4"/>
    <w:rsid w:val="08C373E5"/>
    <w:rsid w:val="08C373E8"/>
    <w:rsid w:val="08C37418"/>
    <w:rsid w:val="08C37468"/>
    <w:rsid w:val="08C374BB"/>
    <w:rsid w:val="08C37664"/>
    <w:rsid w:val="08C37778"/>
    <w:rsid w:val="08C3799B"/>
    <w:rsid w:val="08C37A18"/>
    <w:rsid w:val="08C37A4B"/>
    <w:rsid w:val="08C37A79"/>
    <w:rsid w:val="08C37AC8"/>
    <w:rsid w:val="08C37B71"/>
    <w:rsid w:val="08C37C43"/>
    <w:rsid w:val="08C37CEF"/>
    <w:rsid w:val="08C37CF7"/>
    <w:rsid w:val="08C37D75"/>
    <w:rsid w:val="08C37D9B"/>
    <w:rsid w:val="08C37DB3"/>
    <w:rsid w:val="08C37E25"/>
    <w:rsid w:val="08C37E4D"/>
    <w:rsid w:val="08C37F6C"/>
    <w:rsid w:val="08C37FA5"/>
    <w:rsid w:val="08C40001"/>
    <w:rsid w:val="08C40055"/>
    <w:rsid w:val="08C4005A"/>
    <w:rsid w:val="08C40069"/>
    <w:rsid w:val="08C400E9"/>
    <w:rsid w:val="08C40230"/>
    <w:rsid w:val="08C403FE"/>
    <w:rsid w:val="08C404A7"/>
    <w:rsid w:val="08C406C4"/>
    <w:rsid w:val="08C40796"/>
    <w:rsid w:val="08C40799"/>
    <w:rsid w:val="08C40817"/>
    <w:rsid w:val="08C40821"/>
    <w:rsid w:val="08C4085D"/>
    <w:rsid w:val="08C4090F"/>
    <w:rsid w:val="08C4094C"/>
    <w:rsid w:val="08C4098E"/>
    <w:rsid w:val="08C40A3F"/>
    <w:rsid w:val="08C40B0D"/>
    <w:rsid w:val="08C40BB0"/>
    <w:rsid w:val="08C40BBD"/>
    <w:rsid w:val="08C40BEE"/>
    <w:rsid w:val="08C40CAE"/>
    <w:rsid w:val="08C40D19"/>
    <w:rsid w:val="08C40D5A"/>
    <w:rsid w:val="08C40E05"/>
    <w:rsid w:val="08C40E43"/>
    <w:rsid w:val="08C40E5C"/>
    <w:rsid w:val="08C40F86"/>
    <w:rsid w:val="08C40FAD"/>
    <w:rsid w:val="08C40FEB"/>
    <w:rsid w:val="08C41004"/>
    <w:rsid w:val="08C41096"/>
    <w:rsid w:val="08C411DB"/>
    <w:rsid w:val="08C411EB"/>
    <w:rsid w:val="08C41232"/>
    <w:rsid w:val="08C41261"/>
    <w:rsid w:val="08C412F7"/>
    <w:rsid w:val="08C41306"/>
    <w:rsid w:val="08C4138C"/>
    <w:rsid w:val="08C413A9"/>
    <w:rsid w:val="08C413E8"/>
    <w:rsid w:val="08C41481"/>
    <w:rsid w:val="08C414A7"/>
    <w:rsid w:val="08C415D4"/>
    <w:rsid w:val="08C415DE"/>
    <w:rsid w:val="08C4174A"/>
    <w:rsid w:val="08C41767"/>
    <w:rsid w:val="08C417E5"/>
    <w:rsid w:val="08C41801"/>
    <w:rsid w:val="08C4184C"/>
    <w:rsid w:val="08C4185B"/>
    <w:rsid w:val="08C41879"/>
    <w:rsid w:val="08C419E8"/>
    <w:rsid w:val="08C41A7A"/>
    <w:rsid w:val="08C41B4D"/>
    <w:rsid w:val="08C41B8A"/>
    <w:rsid w:val="08C41BAD"/>
    <w:rsid w:val="08C41BBA"/>
    <w:rsid w:val="08C41BDF"/>
    <w:rsid w:val="08C41C3B"/>
    <w:rsid w:val="08C41DDC"/>
    <w:rsid w:val="08C41E10"/>
    <w:rsid w:val="08C41E9E"/>
    <w:rsid w:val="08C41EE3"/>
    <w:rsid w:val="08C41F02"/>
    <w:rsid w:val="08C41F06"/>
    <w:rsid w:val="08C41F54"/>
    <w:rsid w:val="08C4219E"/>
    <w:rsid w:val="08C42302"/>
    <w:rsid w:val="08C4240A"/>
    <w:rsid w:val="08C42417"/>
    <w:rsid w:val="08C424D7"/>
    <w:rsid w:val="08C4252C"/>
    <w:rsid w:val="08C42565"/>
    <w:rsid w:val="08C42572"/>
    <w:rsid w:val="08C425CE"/>
    <w:rsid w:val="08C425D7"/>
    <w:rsid w:val="08C425E2"/>
    <w:rsid w:val="08C42784"/>
    <w:rsid w:val="08C4286F"/>
    <w:rsid w:val="08C428AE"/>
    <w:rsid w:val="08C42AE6"/>
    <w:rsid w:val="08C42C36"/>
    <w:rsid w:val="08C42E3A"/>
    <w:rsid w:val="08C42F12"/>
    <w:rsid w:val="08C42F87"/>
    <w:rsid w:val="08C42F95"/>
    <w:rsid w:val="08C4305D"/>
    <w:rsid w:val="08C430D2"/>
    <w:rsid w:val="08C43116"/>
    <w:rsid w:val="08C4313C"/>
    <w:rsid w:val="08C431C9"/>
    <w:rsid w:val="08C431E2"/>
    <w:rsid w:val="08C4354A"/>
    <w:rsid w:val="08C4372D"/>
    <w:rsid w:val="08C43745"/>
    <w:rsid w:val="08C43816"/>
    <w:rsid w:val="08C438CF"/>
    <w:rsid w:val="08C43925"/>
    <w:rsid w:val="08C4396B"/>
    <w:rsid w:val="08C439B2"/>
    <w:rsid w:val="08C43BE7"/>
    <w:rsid w:val="08C43C1E"/>
    <w:rsid w:val="08C43D70"/>
    <w:rsid w:val="08C43DF1"/>
    <w:rsid w:val="08C43DF5"/>
    <w:rsid w:val="08C43F3F"/>
    <w:rsid w:val="08C43F49"/>
    <w:rsid w:val="08C43F77"/>
    <w:rsid w:val="08C43FA6"/>
    <w:rsid w:val="08C43FB3"/>
    <w:rsid w:val="08C44082"/>
    <w:rsid w:val="08C4411B"/>
    <w:rsid w:val="08C44143"/>
    <w:rsid w:val="08C44197"/>
    <w:rsid w:val="08C441E4"/>
    <w:rsid w:val="08C442CA"/>
    <w:rsid w:val="08C442D9"/>
    <w:rsid w:val="08C44382"/>
    <w:rsid w:val="08C443EE"/>
    <w:rsid w:val="08C44490"/>
    <w:rsid w:val="08C444DE"/>
    <w:rsid w:val="08C44500"/>
    <w:rsid w:val="08C445F1"/>
    <w:rsid w:val="08C44604"/>
    <w:rsid w:val="08C4490F"/>
    <w:rsid w:val="08C449BA"/>
    <w:rsid w:val="08C449F3"/>
    <w:rsid w:val="08C44A4C"/>
    <w:rsid w:val="08C44A55"/>
    <w:rsid w:val="08C44A6F"/>
    <w:rsid w:val="08C44A9F"/>
    <w:rsid w:val="08C44B22"/>
    <w:rsid w:val="08C44BB6"/>
    <w:rsid w:val="08C44BD1"/>
    <w:rsid w:val="08C44CAB"/>
    <w:rsid w:val="08C44CE5"/>
    <w:rsid w:val="08C44DB6"/>
    <w:rsid w:val="08C44DC5"/>
    <w:rsid w:val="08C44F08"/>
    <w:rsid w:val="08C44F73"/>
    <w:rsid w:val="08C4504A"/>
    <w:rsid w:val="08C45051"/>
    <w:rsid w:val="08C450A0"/>
    <w:rsid w:val="08C450C6"/>
    <w:rsid w:val="08C450D2"/>
    <w:rsid w:val="08C450FD"/>
    <w:rsid w:val="08C45152"/>
    <w:rsid w:val="08C45161"/>
    <w:rsid w:val="08C451B0"/>
    <w:rsid w:val="08C451E0"/>
    <w:rsid w:val="08C452BB"/>
    <w:rsid w:val="08C4536F"/>
    <w:rsid w:val="08C45376"/>
    <w:rsid w:val="08C4541D"/>
    <w:rsid w:val="08C45426"/>
    <w:rsid w:val="08C45467"/>
    <w:rsid w:val="08C454BD"/>
    <w:rsid w:val="08C456AB"/>
    <w:rsid w:val="08C456C3"/>
    <w:rsid w:val="08C458DD"/>
    <w:rsid w:val="08C458F9"/>
    <w:rsid w:val="08C45911"/>
    <w:rsid w:val="08C4594D"/>
    <w:rsid w:val="08C45A17"/>
    <w:rsid w:val="08C45BFE"/>
    <w:rsid w:val="08C45CB8"/>
    <w:rsid w:val="08C45CBC"/>
    <w:rsid w:val="08C45D67"/>
    <w:rsid w:val="08C45DA5"/>
    <w:rsid w:val="08C45DB7"/>
    <w:rsid w:val="08C45E11"/>
    <w:rsid w:val="08C45E30"/>
    <w:rsid w:val="08C45E69"/>
    <w:rsid w:val="08C45EB9"/>
    <w:rsid w:val="08C45F15"/>
    <w:rsid w:val="08C45FB8"/>
    <w:rsid w:val="08C45FC7"/>
    <w:rsid w:val="08C4601B"/>
    <w:rsid w:val="08C46087"/>
    <w:rsid w:val="08C4611A"/>
    <w:rsid w:val="08C46147"/>
    <w:rsid w:val="08C46171"/>
    <w:rsid w:val="08C4618D"/>
    <w:rsid w:val="08C4626F"/>
    <w:rsid w:val="08C46370"/>
    <w:rsid w:val="08C46402"/>
    <w:rsid w:val="08C4641C"/>
    <w:rsid w:val="08C464A9"/>
    <w:rsid w:val="08C464F9"/>
    <w:rsid w:val="08C4659B"/>
    <w:rsid w:val="08C465C4"/>
    <w:rsid w:val="08C465C5"/>
    <w:rsid w:val="08C465D9"/>
    <w:rsid w:val="08C4663E"/>
    <w:rsid w:val="08C46640"/>
    <w:rsid w:val="08C466ED"/>
    <w:rsid w:val="08C46747"/>
    <w:rsid w:val="08C467CA"/>
    <w:rsid w:val="08C467E1"/>
    <w:rsid w:val="08C4691A"/>
    <w:rsid w:val="08C469CC"/>
    <w:rsid w:val="08C469EC"/>
    <w:rsid w:val="08C46AA2"/>
    <w:rsid w:val="08C46AC6"/>
    <w:rsid w:val="08C46B3B"/>
    <w:rsid w:val="08C46B63"/>
    <w:rsid w:val="08C46B9A"/>
    <w:rsid w:val="08C46C18"/>
    <w:rsid w:val="08C46CA9"/>
    <w:rsid w:val="08C46E19"/>
    <w:rsid w:val="08C46E71"/>
    <w:rsid w:val="08C46EEE"/>
    <w:rsid w:val="08C46EF5"/>
    <w:rsid w:val="08C46F48"/>
    <w:rsid w:val="08C46F74"/>
    <w:rsid w:val="08C46F8C"/>
    <w:rsid w:val="08C46FED"/>
    <w:rsid w:val="08C4701B"/>
    <w:rsid w:val="08C4702D"/>
    <w:rsid w:val="08C47142"/>
    <w:rsid w:val="08C472CD"/>
    <w:rsid w:val="08C4731E"/>
    <w:rsid w:val="08C47325"/>
    <w:rsid w:val="08C47390"/>
    <w:rsid w:val="08C474E6"/>
    <w:rsid w:val="08C474E8"/>
    <w:rsid w:val="08C47524"/>
    <w:rsid w:val="08C47555"/>
    <w:rsid w:val="08C475DF"/>
    <w:rsid w:val="08C476F6"/>
    <w:rsid w:val="08C4771C"/>
    <w:rsid w:val="08C47758"/>
    <w:rsid w:val="08C477FB"/>
    <w:rsid w:val="08C4780C"/>
    <w:rsid w:val="08C4786A"/>
    <w:rsid w:val="08C478C6"/>
    <w:rsid w:val="08C47970"/>
    <w:rsid w:val="08C479E8"/>
    <w:rsid w:val="08C479F0"/>
    <w:rsid w:val="08C47A10"/>
    <w:rsid w:val="08C47A64"/>
    <w:rsid w:val="08C47A8F"/>
    <w:rsid w:val="08C47B9B"/>
    <w:rsid w:val="08C47BFD"/>
    <w:rsid w:val="08C47CA2"/>
    <w:rsid w:val="08C47D90"/>
    <w:rsid w:val="08C47DC7"/>
    <w:rsid w:val="08C47ECD"/>
    <w:rsid w:val="08C47F85"/>
    <w:rsid w:val="08C50129"/>
    <w:rsid w:val="08C50184"/>
    <w:rsid w:val="08C5023F"/>
    <w:rsid w:val="08C5025C"/>
    <w:rsid w:val="08C502EB"/>
    <w:rsid w:val="08C50458"/>
    <w:rsid w:val="08C5046A"/>
    <w:rsid w:val="08C504BA"/>
    <w:rsid w:val="08C504C4"/>
    <w:rsid w:val="08C50556"/>
    <w:rsid w:val="08C50612"/>
    <w:rsid w:val="08C50644"/>
    <w:rsid w:val="08C506FA"/>
    <w:rsid w:val="08C50726"/>
    <w:rsid w:val="08C5074A"/>
    <w:rsid w:val="08C5078E"/>
    <w:rsid w:val="08C50824"/>
    <w:rsid w:val="08C50827"/>
    <w:rsid w:val="08C5083E"/>
    <w:rsid w:val="08C508E0"/>
    <w:rsid w:val="08C50AF3"/>
    <w:rsid w:val="08C50B5E"/>
    <w:rsid w:val="08C50C86"/>
    <w:rsid w:val="08C50D36"/>
    <w:rsid w:val="08C50E0D"/>
    <w:rsid w:val="08C50E29"/>
    <w:rsid w:val="08C50EDD"/>
    <w:rsid w:val="08C50F7F"/>
    <w:rsid w:val="08C50FBA"/>
    <w:rsid w:val="08C5103B"/>
    <w:rsid w:val="08C5104C"/>
    <w:rsid w:val="08C510B1"/>
    <w:rsid w:val="08C510FB"/>
    <w:rsid w:val="08C51101"/>
    <w:rsid w:val="08C511B8"/>
    <w:rsid w:val="08C5129F"/>
    <w:rsid w:val="08C512DB"/>
    <w:rsid w:val="08C513F9"/>
    <w:rsid w:val="08C515B2"/>
    <w:rsid w:val="08C517A0"/>
    <w:rsid w:val="08C517E8"/>
    <w:rsid w:val="08C517E9"/>
    <w:rsid w:val="08C519E5"/>
    <w:rsid w:val="08C51A89"/>
    <w:rsid w:val="08C51ACB"/>
    <w:rsid w:val="08C51BB0"/>
    <w:rsid w:val="08C51BB4"/>
    <w:rsid w:val="08C51BCD"/>
    <w:rsid w:val="08C51BCE"/>
    <w:rsid w:val="08C51BF1"/>
    <w:rsid w:val="08C51C0A"/>
    <w:rsid w:val="08C51C94"/>
    <w:rsid w:val="08C51D57"/>
    <w:rsid w:val="08C51D9C"/>
    <w:rsid w:val="08C52007"/>
    <w:rsid w:val="08C52063"/>
    <w:rsid w:val="08C52151"/>
    <w:rsid w:val="08C521F0"/>
    <w:rsid w:val="08C52209"/>
    <w:rsid w:val="08C5224A"/>
    <w:rsid w:val="08C5225B"/>
    <w:rsid w:val="08C522D4"/>
    <w:rsid w:val="08C523C7"/>
    <w:rsid w:val="08C52444"/>
    <w:rsid w:val="08C5247B"/>
    <w:rsid w:val="08C525A7"/>
    <w:rsid w:val="08C52667"/>
    <w:rsid w:val="08C526E5"/>
    <w:rsid w:val="08C5274D"/>
    <w:rsid w:val="08C5275A"/>
    <w:rsid w:val="08C52765"/>
    <w:rsid w:val="08C5285A"/>
    <w:rsid w:val="08C528A4"/>
    <w:rsid w:val="08C529B4"/>
    <w:rsid w:val="08C52A37"/>
    <w:rsid w:val="08C52B0A"/>
    <w:rsid w:val="08C52B5A"/>
    <w:rsid w:val="08C52B79"/>
    <w:rsid w:val="08C52B96"/>
    <w:rsid w:val="08C52BB3"/>
    <w:rsid w:val="08C52BF0"/>
    <w:rsid w:val="08C52C74"/>
    <w:rsid w:val="08C52D8C"/>
    <w:rsid w:val="08C52E87"/>
    <w:rsid w:val="08C52F54"/>
    <w:rsid w:val="08C52F83"/>
    <w:rsid w:val="08C53020"/>
    <w:rsid w:val="08C5318C"/>
    <w:rsid w:val="08C5321B"/>
    <w:rsid w:val="08C53244"/>
    <w:rsid w:val="08C5324D"/>
    <w:rsid w:val="08C53280"/>
    <w:rsid w:val="08C5333A"/>
    <w:rsid w:val="08C5333E"/>
    <w:rsid w:val="08C53359"/>
    <w:rsid w:val="08C53509"/>
    <w:rsid w:val="08C5352B"/>
    <w:rsid w:val="08C53554"/>
    <w:rsid w:val="08C5359E"/>
    <w:rsid w:val="08C535B1"/>
    <w:rsid w:val="08C5367F"/>
    <w:rsid w:val="08C5372D"/>
    <w:rsid w:val="08C537EA"/>
    <w:rsid w:val="08C53812"/>
    <w:rsid w:val="08C5384D"/>
    <w:rsid w:val="08C53870"/>
    <w:rsid w:val="08C53A72"/>
    <w:rsid w:val="08C53A8A"/>
    <w:rsid w:val="08C53AEA"/>
    <w:rsid w:val="08C53AEC"/>
    <w:rsid w:val="08C53BFC"/>
    <w:rsid w:val="08C53C88"/>
    <w:rsid w:val="08C53D09"/>
    <w:rsid w:val="08C53D65"/>
    <w:rsid w:val="08C53D7C"/>
    <w:rsid w:val="08C53DAA"/>
    <w:rsid w:val="08C53E06"/>
    <w:rsid w:val="08C53EE4"/>
    <w:rsid w:val="08C53F22"/>
    <w:rsid w:val="08C53F3E"/>
    <w:rsid w:val="08C53F9C"/>
    <w:rsid w:val="08C53FF8"/>
    <w:rsid w:val="08C54079"/>
    <w:rsid w:val="08C540B9"/>
    <w:rsid w:val="08C54175"/>
    <w:rsid w:val="08C541B1"/>
    <w:rsid w:val="08C5426E"/>
    <w:rsid w:val="08C54287"/>
    <w:rsid w:val="08C54296"/>
    <w:rsid w:val="08C54339"/>
    <w:rsid w:val="08C5439C"/>
    <w:rsid w:val="08C543D2"/>
    <w:rsid w:val="08C544FC"/>
    <w:rsid w:val="08C544FF"/>
    <w:rsid w:val="08C54516"/>
    <w:rsid w:val="08C54684"/>
    <w:rsid w:val="08C546C8"/>
    <w:rsid w:val="08C54703"/>
    <w:rsid w:val="08C5475D"/>
    <w:rsid w:val="08C547D9"/>
    <w:rsid w:val="08C54842"/>
    <w:rsid w:val="08C548EA"/>
    <w:rsid w:val="08C54915"/>
    <w:rsid w:val="08C549DC"/>
    <w:rsid w:val="08C54AE3"/>
    <w:rsid w:val="08C54B15"/>
    <w:rsid w:val="08C54B2D"/>
    <w:rsid w:val="08C54B4E"/>
    <w:rsid w:val="08C54B55"/>
    <w:rsid w:val="08C54B9E"/>
    <w:rsid w:val="08C54BD2"/>
    <w:rsid w:val="08C54C15"/>
    <w:rsid w:val="08C54C20"/>
    <w:rsid w:val="08C54C5C"/>
    <w:rsid w:val="08C54C98"/>
    <w:rsid w:val="08C54C9D"/>
    <w:rsid w:val="08C54D56"/>
    <w:rsid w:val="08C54DC9"/>
    <w:rsid w:val="08C54DE3"/>
    <w:rsid w:val="08C54DF2"/>
    <w:rsid w:val="08C54E43"/>
    <w:rsid w:val="08C54EF0"/>
    <w:rsid w:val="08C55247"/>
    <w:rsid w:val="08C552B8"/>
    <w:rsid w:val="08C5533B"/>
    <w:rsid w:val="08C5540C"/>
    <w:rsid w:val="08C554EC"/>
    <w:rsid w:val="08C55514"/>
    <w:rsid w:val="08C5554C"/>
    <w:rsid w:val="08C5560A"/>
    <w:rsid w:val="08C55699"/>
    <w:rsid w:val="08C556AD"/>
    <w:rsid w:val="08C55783"/>
    <w:rsid w:val="08C557CC"/>
    <w:rsid w:val="08C55871"/>
    <w:rsid w:val="08C558A0"/>
    <w:rsid w:val="08C558A7"/>
    <w:rsid w:val="08C55A33"/>
    <w:rsid w:val="08C55B7B"/>
    <w:rsid w:val="08C55BA6"/>
    <w:rsid w:val="08C55C81"/>
    <w:rsid w:val="08C55CB5"/>
    <w:rsid w:val="08C55CB7"/>
    <w:rsid w:val="08C55D5A"/>
    <w:rsid w:val="08C55DC1"/>
    <w:rsid w:val="08C55F23"/>
    <w:rsid w:val="08C55F9F"/>
    <w:rsid w:val="08C56015"/>
    <w:rsid w:val="08C561A2"/>
    <w:rsid w:val="08C561E2"/>
    <w:rsid w:val="08C56216"/>
    <w:rsid w:val="08C562A8"/>
    <w:rsid w:val="08C562DB"/>
    <w:rsid w:val="08C562E9"/>
    <w:rsid w:val="08C56335"/>
    <w:rsid w:val="08C5646E"/>
    <w:rsid w:val="08C56578"/>
    <w:rsid w:val="08C56585"/>
    <w:rsid w:val="08C565BB"/>
    <w:rsid w:val="08C565D6"/>
    <w:rsid w:val="08C566D0"/>
    <w:rsid w:val="08C5673F"/>
    <w:rsid w:val="08C5678E"/>
    <w:rsid w:val="08C5679A"/>
    <w:rsid w:val="08C567BC"/>
    <w:rsid w:val="08C56947"/>
    <w:rsid w:val="08C5695A"/>
    <w:rsid w:val="08C56982"/>
    <w:rsid w:val="08C569A4"/>
    <w:rsid w:val="08C56A38"/>
    <w:rsid w:val="08C56A83"/>
    <w:rsid w:val="08C56BAD"/>
    <w:rsid w:val="08C56BDB"/>
    <w:rsid w:val="08C56D5F"/>
    <w:rsid w:val="08C56F86"/>
    <w:rsid w:val="08C56FE8"/>
    <w:rsid w:val="08C57018"/>
    <w:rsid w:val="08C57153"/>
    <w:rsid w:val="08C5715E"/>
    <w:rsid w:val="08C57178"/>
    <w:rsid w:val="08C571CD"/>
    <w:rsid w:val="08C572E2"/>
    <w:rsid w:val="08C57303"/>
    <w:rsid w:val="08C5736A"/>
    <w:rsid w:val="08C5737F"/>
    <w:rsid w:val="08C5740E"/>
    <w:rsid w:val="08C57424"/>
    <w:rsid w:val="08C57466"/>
    <w:rsid w:val="08C5749F"/>
    <w:rsid w:val="08C5757F"/>
    <w:rsid w:val="08C5760F"/>
    <w:rsid w:val="08C57619"/>
    <w:rsid w:val="08C57630"/>
    <w:rsid w:val="08C57658"/>
    <w:rsid w:val="08C57682"/>
    <w:rsid w:val="08C576CA"/>
    <w:rsid w:val="08C57771"/>
    <w:rsid w:val="08C57790"/>
    <w:rsid w:val="08C577BB"/>
    <w:rsid w:val="08C5785E"/>
    <w:rsid w:val="08C57882"/>
    <w:rsid w:val="08C578D2"/>
    <w:rsid w:val="08C57946"/>
    <w:rsid w:val="08C57972"/>
    <w:rsid w:val="08C57BF8"/>
    <w:rsid w:val="08C57D3C"/>
    <w:rsid w:val="08C57DC3"/>
    <w:rsid w:val="08C57E35"/>
    <w:rsid w:val="08C57E7B"/>
    <w:rsid w:val="08C57E9F"/>
    <w:rsid w:val="08C57EE1"/>
    <w:rsid w:val="08C57F2C"/>
    <w:rsid w:val="08C57F78"/>
    <w:rsid w:val="08C60092"/>
    <w:rsid w:val="08C600F7"/>
    <w:rsid w:val="08C6017A"/>
    <w:rsid w:val="08C6032F"/>
    <w:rsid w:val="08C60349"/>
    <w:rsid w:val="08C6036C"/>
    <w:rsid w:val="08C604E2"/>
    <w:rsid w:val="08C60522"/>
    <w:rsid w:val="08C6067D"/>
    <w:rsid w:val="08C606B7"/>
    <w:rsid w:val="08C60784"/>
    <w:rsid w:val="08C60790"/>
    <w:rsid w:val="08C60797"/>
    <w:rsid w:val="08C60870"/>
    <w:rsid w:val="08C60897"/>
    <w:rsid w:val="08C60A95"/>
    <w:rsid w:val="08C60B0A"/>
    <w:rsid w:val="08C60B38"/>
    <w:rsid w:val="08C60B40"/>
    <w:rsid w:val="08C60BED"/>
    <w:rsid w:val="08C60C0B"/>
    <w:rsid w:val="08C60C3C"/>
    <w:rsid w:val="08C60CEF"/>
    <w:rsid w:val="08C60DD9"/>
    <w:rsid w:val="08C60E02"/>
    <w:rsid w:val="08C60E10"/>
    <w:rsid w:val="08C60EB5"/>
    <w:rsid w:val="08C61068"/>
    <w:rsid w:val="08C610C0"/>
    <w:rsid w:val="08C610CF"/>
    <w:rsid w:val="08C61170"/>
    <w:rsid w:val="08C61214"/>
    <w:rsid w:val="08C612F6"/>
    <w:rsid w:val="08C61312"/>
    <w:rsid w:val="08C6134E"/>
    <w:rsid w:val="08C61392"/>
    <w:rsid w:val="08C613D7"/>
    <w:rsid w:val="08C6148D"/>
    <w:rsid w:val="08C61523"/>
    <w:rsid w:val="08C61571"/>
    <w:rsid w:val="08C61576"/>
    <w:rsid w:val="08C615A0"/>
    <w:rsid w:val="08C61637"/>
    <w:rsid w:val="08C61697"/>
    <w:rsid w:val="08C617DE"/>
    <w:rsid w:val="08C61889"/>
    <w:rsid w:val="08C61930"/>
    <w:rsid w:val="08C61953"/>
    <w:rsid w:val="08C61A16"/>
    <w:rsid w:val="08C61A17"/>
    <w:rsid w:val="08C61ADC"/>
    <w:rsid w:val="08C61B76"/>
    <w:rsid w:val="08C61D16"/>
    <w:rsid w:val="08C61D3F"/>
    <w:rsid w:val="08C61D82"/>
    <w:rsid w:val="08C61E5C"/>
    <w:rsid w:val="08C61FED"/>
    <w:rsid w:val="08C61FF9"/>
    <w:rsid w:val="08C62076"/>
    <w:rsid w:val="08C620EB"/>
    <w:rsid w:val="08C62124"/>
    <w:rsid w:val="08C62125"/>
    <w:rsid w:val="08C6216C"/>
    <w:rsid w:val="08C621CB"/>
    <w:rsid w:val="08C6221E"/>
    <w:rsid w:val="08C6234A"/>
    <w:rsid w:val="08C62520"/>
    <w:rsid w:val="08C62557"/>
    <w:rsid w:val="08C62575"/>
    <w:rsid w:val="08C62658"/>
    <w:rsid w:val="08C627BC"/>
    <w:rsid w:val="08C62854"/>
    <w:rsid w:val="08C628B8"/>
    <w:rsid w:val="08C62A08"/>
    <w:rsid w:val="08C62A3D"/>
    <w:rsid w:val="08C62A72"/>
    <w:rsid w:val="08C62BE2"/>
    <w:rsid w:val="08C62C37"/>
    <w:rsid w:val="08C62C57"/>
    <w:rsid w:val="08C62C9E"/>
    <w:rsid w:val="08C62D4E"/>
    <w:rsid w:val="08C62D75"/>
    <w:rsid w:val="08C62DBB"/>
    <w:rsid w:val="08C62DD9"/>
    <w:rsid w:val="08C62FF5"/>
    <w:rsid w:val="08C63028"/>
    <w:rsid w:val="08C63090"/>
    <w:rsid w:val="08C630FB"/>
    <w:rsid w:val="08C63164"/>
    <w:rsid w:val="08C63183"/>
    <w:rsid w:val="08C6319A"/>
    <w:rsid w:val="08C631FF"/>
    <w:rsid w:val="08C63206"/>
    <w:rsid w:val="08C63294"/>
    <w:rsid w:val="08C632C8"/>
    <w:rsid w:val="08C6333A"/>
    <w:rsid w:val="08C63346"/>
    <w:rsid w:val="08C63390"/>
    <w:rsid w:val="08C633F3"/>
    <w:rsid w:val="08C633F4"/>
    <w:rsid w:val="08C633F6"/>
    <w:rsid w:val="08C6340E"/>
    <w:rsid w:val="08C63532"/>
    <w:rsid w:val="08C6367C"/>
    <w:rsid w:val="08C636CC"/>
    <w:rsid w:val="08C63732"/>
    <w:rsid w:val="08C637CE"/>
    <w:rsid w:val="08C63831"/>
    <w:rsid w:val="08C6389A"/>
    <w:rsid w:val="08C638C6"/>
    <w:rsid w:val="08C63B59"/>
    <w:rsid w:val="08C63B66"/>
    <w:rsid w:val="08C63D02"/>
    <w:rsid w:val="08C63D16"/>
    <w:rsid w:val="08C63D1B"/>
    <w:rsid w:val="08C63DFF"/>
    <w:rsid w:val="08C63E7E"/>
    <w:rsid w:val="08C63F34"/>
    <w:rsid w:val="08C63FBC"/>
    <w:rsid w:val="08C64042"/>
    <w:rsid w:val="08C64056"/>
    <w:rsid w:val="08C64081"/>
    <w:rsid w:val="08C64151"/>
    <w:rsid w:val="08C6421C"/>
    <w:rsid w:val="08C642DC"/>
    <w:rsid w:val="08C64398"/>
    <w:rsid w:val="08C643B5"/>
    <w:rsid w:val="08C6445D"/>
    <w:rsid w:val="08C64506"/>
    <w:rsid w:val="08C64549"/>
    <w:rsid w:val="08C645AF"/>
    <w:rsid w:val="08C64668"/>
    <w:rsid w:val="08C64753"/>
    <w:rsid w:val="08C647CE"/>
    <w:rsid w:val="08C647CF"/>
    <w:rsid w:val="08C647E3"/>
    <w:rsid w:val="08C648DF"/>
    <w:rsid w:val="08C648F4"/>
    <w:rsid w:val="08C64A70"/>
    <w:rsid w:val="08C64B2F"/>
    <w:rsid w:val="08C64C04"/>
    <w:rsid w:val="08C64C1D"/>
    <w:rsid w:val="08C64D66"/>
    <w:rsid w:val="08C64DB8"/>
    <w:rsid w:val="08C64DDF"/>
    <w:rsid w:val="08C64E69"/>
    <w:rsid w:val="08C64E76"/>
    <w:rsid w:val="08C64FD8"/>
    <w:rsid w:val="08C650CC"/>
    <w:rsid w:val="08C652B6"/>
    <w:rsid w:val="08C653A0"/>
    <w:rsid w:val="08C65476"/>
    <w:rsid w:val="08C6549D"/>
    <w:rsid w:val="08C654EA"/>
    <w:rsid w:val="08C65508"/>
    <w:rsid w:val="08C6557E"/>
    <w:rsid w:val="08C655E4"/>
    <w:rsid w:val="08C65611"/>
    <w:rsid w:val="08C6562E"/>
    <w:rsid w:val="08C65675"/>
    <w:rsid w:val="08C6575C"/>
    <w:rsid w:val="08C6577E"/>
    <w:rsid w:val="08C65798"/>
    <w:rsid w:val="08C65875"/>
    <w:rsid w:val="08C65889"/>
    <w:rsid w:val="08C659BD"/>
    <w:rsid w:val="08C65B4D"/>
    <w:rsid w:val="08C65C57"/>
    <w:rsid w:val="08C65EC5"/>
    <w:rsid w:val="08C65EF2"/>
    <w:rsid w:val="08C65F1B"/>
    <w:rsid w:val="08C65F39"/>
    <w:rsid w:val="08C65F8F"/>
    <w:rsid w:val="08C65FAC"/>
    <w:rsid w:val="08C65FE7"/>
    <w:rsid w:val="08C66094"/>
    <w:rsid w:val="08C6615A"/>
    <w:rsid w:val="08C663B5"/>
    <w:rsid w:val="08C6652C"/>
    <w:rsid w:val="08C665AA"/>
    <w:rsid w:val="08C6663B"/>
    <w:rsid w:val="08C66739"/>
    <w:rsid w:val="08C66779"/>
    <w:rsid w:val="08C667C7"/>
    <w:rsid w:val="08C66887"/>
    <w:rsid w:val="08C669B1"/>
    <w:rsid w:val="08C669BD"/>
    <w:rsid w:val="08C669C8"/>
    <w:rsid w:val="08C66A7E"/>
    <w:rsid w:val="08C66AFA"/>
    <w:rsid w:val="08C66B1F"/>
    <w:rsid w:val="08C66BB4"/>
    <w:rsid w:val="08C66BCE"/>
    <w:rsid w:val="08C66C12"/>
    <w:rsid w:val="08C66C5F"/>
    <w:rsid w:val="08C66C65"/>
    <w:rsid w:val="08C66CCB"/>
    <w:rsid w:val="08C66CF1"/>
    <w:rsid w:val="08C66D97"/>
    <w:rsid w:val="08C66E6E"/>
    <w:rsid w:val="08C66E70"/>
    <w:rsid w:val="08C66E9C"/>
    <w:rsid w:val="08C66EE0"/>
    <w:rsid w:val="08C66EF1"/>
    <w:rsid w:val="08C66F2D"/>
    <w:rsid w:val="08C66F88"/>
    <w:rsid w:val="08C66F9B"/>
    <w:rsid w:val="08C6700B"/>
    <w:rsid w:val="08C6705A"/>
    <w:rsid w:val="08C670B0"/>
    <w:rsid w:val="08C670D6"/>
    <w:rsid w:val="08C67164"/>
    <w:rsid w:val="08C6723C"/>
    <w:rsid w:val="08C672D6"/>
    <w:rsid w:val="08C672F0"/>
    <w:rsid w:val="08C672F5"/>
    <w:rsid w:val="08C67381"/>
    <w:rsid w:val="08C6739A"/>
    <w:rsid w:val="08C67448"/>
    <w:rsid w:val="08C67450"/>
    <w:rsid w:val="08C6751F"/>
    <w:rsid w:val="08C67533"/>
    <w:rsid w:val="08C675C3"/>
    <w:rsid w:val="08C6761D"/>
    <w:rsid w:val="08C67656"/>
    <w:rsid w:val="08C676E0"/>
    <w:rsid w:val="08C67714"/>
    <w:rsid w:val="08C677EA"/>
    <w:rsid w:val="08C67872"/>
    <w:rsid w:val="08C6793C"/>
    <w:rsid w:val="08C67990"/>
    <w:rsid w:val="08C679AA"/>
    <w:rsid w:val="08C67A87"/>
    <w:rsid w:val="08C67ABC"/>
    <w:rsid w:val="08C67BBE"/>
    <w:rsid w:val="08C67BDE"/>
    <w:rsid w:val="08C67C96"/>
    <w:rsid w:val="08C67D6A"/>
    <w:rsid w:val="08C67DC4"/>
    <w:rsid w:val="08C67E55"/>
    <w:rsid w:val="08C67E88"/>
    <w:rsid w:val="08C67EDA"/>
    <w:rsid w:val="08C67F6B"/>
    <w:rsid w:val="08C67F7C"/>
    <w:rsid w:val="08C70042"/>
    <w:rsid w:val="08C70115"/>
    <w:rsid w:val="08C70116"/>
    <w:rsid w:val="08C7011A"/>
    <w:rsid w:val="08C701A2"/>
    <w:rsid w:val="08C70299"/>
    <w:rsid w:val="08C702B8"/>
    <w:rsid w:val="08C702FC"/>
    <w:rsid w:val="08C704C5"/>
    <w:rsid w:val="08C70613"/>
    <w:rsid w:val="08C70627"/>
    <w:rsid w:val="08C706E7"/>
    <w:rsid w:val="08C7071A"/>
    <w:rsid w:val="08C7074F"/>
    <w:rsid w:val="08C707E1"/>
    <w:rsid w:val="08C70901"/>
    <w:rsid w:val="08C709CD"/>
    <w:rsid w:val="08C70B43"/>
    <w:rsid w:val="08C70B51"/>
    <w:rsid w:val="08C70B89"/>
    <w:rsid w:val="08C70B9F"/>
    <w:rsid w:val="08C70C18"/>
    <w:rsid w:val="08C70C6B"/>
    <w:rsid w:val="08C70D71"/>
    <w:rsid w:val="08C70DAA"/>
    <w:rsid w:val="08C70ECD"/>
    <w:rsid w:val="08C70F14"/>
    <w:rsid w:val="08C70F6B"/>
    <w:rsid w:val="08C70F85"/>
    <w:rsid w:val="08C70F9F"/>
    <w:rsid w:val="08C710C7"/>
    <w:rsid w:val="08C71180"/>
    <w:rsid w:val="08C7119A"/>
    <w:rsid w:val="08C711A7"/>
    <w:rsid w:val="08C71257"/>
    <w:rsid w:val="08C7128B"/>
    <w:rsid w:val="08C71360"/>
    <w:rsid w:val="08C71377"/>
    <w:rsid w:val="08C7137D"/>
    <w:rsid w:val="08C7143C"/>
    <w:rsid w:val="08C71472"/>
    <w:rsid w:val="08C71495"/>
    <w:rsid w:val="08C7158A"/>
    <w:rsid w:val="08C7163A"/>
    <w:rsid w:val="08C7166F"/>
    <w:rsid w:val="08C717EA"/>
    <w:rsid w:val="08C7189D"/>
    <w:rsid w:val="08C718C3"/>
    <w:rsid w:val="08C718FD"/>
    <w:rsid w:val="08C71A9B"/>
    <w:rsid w:val="08C71B64"/>
    <w:rsid w:val="08C71B6A"/>
    <w:rsid w:val="08C71B78"/>
    <w:rsid w:val="08C71C2C"/>
    <w:rsid w:val="08C71C35"/>
    <w:rsid w:val="08C71CF9"/>
    <w:rsid w:val="08C71D72"/>
    <w:rsid w:val="08C71D8A"/>
    <w:rsid w:val="08C71DDE"/>
    <w:rsid w:val="08C71E95"/>
    <w:rsid w:val="08C71F0D"/>
    <w:rsid w:val="08C71F3F"/>
    <w:rsid w:val="08C72038"/>
    <w:rsid w:val="08C72052"/>
    <w:rsid w:val="08C7207B"/>
    <w:rsid w:val="08C720FD"/>
    <w:rsid w:val="08C7213E"/>
    <w:rsid w:val="08C72238"/>
    <w:rsid w:val="08C72277"/>
    <w:rsid w:val="08C72286"/>
    <w:rsid w:val="08C72292"/>
    <w:rsid w:val="08C722DD"/>
    <w:rsid w:val="08C72348"/>
    <w:rsid w:val="08C7235F"/>
    <w:rsid w:val="08C724D5"/>
    <w:rsid w:val="08C72527"/>
    <w:rsid w:val="08C7257C"/>
    <w:rsid w:val="08C7257E"/>
    <w:rsid w:val="08C725EA"/>
    <w:rsid w:val="08C72655"/>
    <w:rsid w:val="08C72672"/>
    <w:rsid w:val="08C726B8"/>
    <w:rsid w:val="08C7272F"/>
    <w:rsid w:val="08C72765"/>
    <w:rsid w:val="08C72892"/>
    <w:rsid w:val="08C728B6"/>
    <w:rsid w:val="08C728C7"/>
    <w:rsid w:val="08C728D8"/>
    <w:rsid w:val="08C728EA"/>
    <w:rsid w:val="08C72A71"/>
    <w:rsid w:val="08C72A8A"/>
    <w:rsid w:val="08C72AD3"/>
    <w:rsid w:val="08C72B93"/>
    <w:rsid w:val="08C72BA3"/>
    <w:rsid w:val="08C72C3D"/>
    <w:rsid w:val="08C72CCE"/>
    <w:rsid w:val="08C72CED"/>
    <w:rsid w:val="08C72D2D"/>
    <w:rsid w:val="08C72D44"/>
    <w:rsid w:val="08C72D88"/>
    <w:rsid w:val="08C72D8F"/>
    <w:rsid w:val="08C72D95"/>
    <w:rsid w:val="08C72D96"/>
    <w:rsid w:val="08C72DD5"/>
    <w:rsid w:val="08C72E82"/>
    <w:rsid w:val="08C72EA1"/>
    <w:rsid w:val="08C72F62"/>
    <w:rsid w:val="08C72F78"/>
    <w:rsid w:val="08C730E5"/>
    <w:rsid w:val="08C73181"/>
    <w:rsid w:val="08C73289"/>
    <w:rsid w:val="08C733B3"/>
    <w:rsid w:val="08C733C0"/>
    <w:rsid w:val="08C733C5"/>
    <w:rsid w:val="08C733D3"/>
    <w:rsid w:val="08C734ED"/>
    <w:rsid w:val="08C735B5"/>
    <w:rsid w:val="08C735E9"/>
    <w:rsid w:val="08C736FC"/>
    <w:rsid w:val="08C737D4"/>
    <w:rsid w:val="08C73808"/>
    <w:rsid w:val="08C73824"/>
    <w:rsid w:val="08C73848"/>
    <w:rsid w:val="08C73891"/>
    <w:rsid w:val="08C73922"/>
    <w:rsid w:val="08C739F2"/>
    <w:rsid w:val="08C73A5F"/>
    <w:rsid w:val="08C73AB7"/>
    <w:rsid w:val="08C73ACC"/>
    <w:rsid w:val="08C73AFF"/>
    <w:rsid w:val="08C73B13"/>
    <w:rsid w:val="08C73B95"/>
    <w:rsid w:val="08C73BBE"/>
    <w:rsid w:val="08C73BE7"/>
    <w:rsid w:val="08C73BEF"/>
    <w:rsid w:val="08C73BF3"/>
    <w:rsid w:val="08C73C8A"/>
    <w:rsid w:val="08C73E14"/>
    <w:rsid w:val="08C73E51"/>
    <w:rsid w:val="08C73F36"/>
    <w:rsid w:val="08C74001"/>
    <w:rsid w:val="08C7414D"/>
    <w:rsid w:val="08C7416B"/>
    <w:rsid w:val="08C74175"/>
    <w:rsid w:val="08C74273"/>
    <w:rsid w:val="08C7443D"/>
    <w:rsid w:val="08C74473"/>
    <w:rsid w:val="08C744BD"/>
    <w:rsid w:val="08C74554"/>
    <w:rsid w:val="08C74595"/>
    <w:rsid w:val="08C745B3"/>
    <w:rsid w:val="08C745EC"/>
    <w:rsid w:val="08C746D4"/>
    <w:rsid w:val="08C74720"/>
    <w:rsid w:val="08C74765"/>
    <w:rsid w:val="08C7477F"/>
    <w:rsid w:val="08C747A1"/>
    <w:rsid w:val="08C747B6"/>
    <w:rsid w:val="08C74816"/>
    <w:rsid w:val="08C7488D"/>
    <w:rsid w:val="08C7497B"/>
    <w:rsid w:val="08C74A11"/>
    <w:rsid w:val="08C74A4B"/>
    <w:rsid w:val="08C74A59"/>
    <w:rsid w:val="08C74AB6"/>
    <w:rsid w:val="08C74BB0"/>
    <w:rsid w:val="08C74BB8"/>
    <w:rsid w:val="08C74BE9"/>
    <w:rsid w:val="08C74BED"/>
    <w:rsid w:val="08C74C11"/>
    <w:rsid w:val="08C74C6C"/>
    <w:rsid w:val="08C74D0E"/>
    <w:rsid w:val="08C74D29"/>
    <w:rsid w:val="08C74D4D"/>
    <w:rsid w:val="08C74E25"/>
    <w:rsid w:val="08C74EAD"/>
    <w:rsid w:val="08C74F4B"/>
    <w:rsid w:val="08C750AB"/>
    <w:rsid w:val="08C75124"/>
    <w:rsid w:val="08C751DD"/>
    <w:rsid w:val="08C75211"/>
    <w:rsid w:val="08C752AC"/>
    <w:rsid w:val="08C752F4"/>
    <w:rsid w:val="08C7534D"/>
    <w:rsid w:val="08C753F9"/>
    <w:rsid w:val="08C754B6"/>
    <w:rsid w:val="08C754D4"/>
    <w:rsid w:val="08C754F9"/>
    <w:rsid w:val="08C755E6"/>
    <w:rsid w:val="08C75626"/>
    <w:rsid w:val="08C756B6"/>
    <w:rsid w:val="08C756D5"/>
    <w:rsid w:val="08C756ED"/>
    <w:rsid w:val="08C75750"/>
    <w:rsid w:val="08C757D4"/>
    <w:rsid w:val="08C757D9"/>
    <w:rsid w:val="08C75812"/>
    <w:rsid w:val="08C75840"/>
    <w:rsid w:val="08C75848"/>
    <w:rsid w:val="08C75867"/>
    <w:rsid w:val="08C75898"/>
    <w:rsid w:val="08C758AD"/>
    <w:rsid w:val="08C759D5"/>
    <w:rsid w:val="08C75A3D"/>
    <w:rsid w:val="08C75B0A"/>
    <w:rsid w:val="08C75C08"/>
    <w:rsid w:val="08C75C45"/>
    <w:rsid w:val="08C75CCC"/>
    <w:rsid w:val="08C75CD5"/>
    <w:rsid w:val="08C75CEB"/>
    <w:rsid w:val="08C75D00"/>
    <w:rsid w:val="08C75D12"/>
    <w:rsid w:val="08C75DC1"/>
    <w:rsid w:val="08C75DDF"/>
    <w:rsid w:val="08C75E23"/>
    <w:rsid w:val="08C75E40"/>
    <w:rsid w:val="08C75E41"/>
    <w:rsid w:val="08C75E4F"/>
    <w:rsid w:val="08C75E92"/>
    <w:rsid w:val="08C75FA8"/>
    <w:rsid w:val="08C75FF3"/>
    <w:rsid w:val="08C761A7"/>
    <w:rsid w:val="08C76265"/>
    <w:rsid w:val="08C7626A"/>
    <w:rsid w:val="08C76282"/>
    <w:rsid w:val="08C762B0"/>
    <w:rsid w:val="08C762EC"/>
    <w:rsid w:val="08C765AA"/>
    <w:rsid w:val="08C766A6"/>
    <w:rsid w:val="08C76734"/>
    <w:rsid w:val="08C76743"/>
    <w:rsid w:val="08C76891"/>
    <w:rsid w:val="08C7696D"/>
    <w:rsid w:val="08C769BD"/>
    <w:rsid w:val="08C76A5D"/>
    <w:rsid w:val="08C76A6D"/>
    <w:rsid w:val="08C76A8F"/>
    <w:rsid w:val="08C76ABD"/>
    <w:rsid w:val="08C76B32"/>
    <w:rsid w:val="08C76B80"/>
    <w:rsid w:val="08C76D10"/>
    <w:rsid w:val="08C76D8F"/>
    <w:rsid w:val="08C76D9B"/>
    <w:rsid w:val="08C76E3B"/>
    <w:rsid w:val="08C76E7E"/>
    <w:rsid w:val="08C76E91"/>
    <w:rsid w:val="08C76F1F"/>
    <w:rsid w:val="08C76FE2"/>
    <w:rsid w:val="08C76FFE"/>
    <w:rsid w:val="08C77049"/>
    <w:rsid w:val="08C7717A"/>
    <w:rsid w:val="08C7724F"/>
    <w:rsid w:val="08C773AA"/>
    <w:rsid w:val="08C773F6"/>
    <w:rsid w:val="08C77410"/>
    <w:rsid w:val="08C77419"/>
    <w:rsid w:val="08C7747A"/>
    <w:rsid w:val="08C774E1"/>
    <w:rsid w:val="08C77674"/>
    <w:rsid w:val="08C776A0"/>
    <w:rsid w:val="08C776C9"/>
    <w:rsid w:val="08C776CC"/>
    <w:rsid w:val="08C778D8"/>
    <w:rsid w:val="08C77970"/>
    <w:rsid w:val="08C779C9"/>
    <w:rsid w:val="08C779EC"/>
    <w:rsid w:val="08C77A1E"/>
    <w:rsid w:val="08C77A9D"/>
    <w:rsid w:val="08C77C0F"/>
    <w:rsid w:val="08C77C2F"/>
    <w:rsid w:val="08C77C57"/>
    <w:rsid w:val="08C77C9A"/>
    <w:rsid w:val="08C77DF6"/>
    <w:rsid w:val="08C77E2F"/>
    <w:rsid w:val="08C77F8A"/>
    <w:rsid w:val="08C800FB"/>
    <w:rsid w:val="08C801BB"/>
    <w:rsid w:val="08C80213"/>
    <w:rsid w:val="08C802B1"/>
    <w:rsid w:val="08C8037A"/>
    <w:rsid w:val="08C80383"/>
    <w:rsid w:val="08C80392"/>
    <w:rsid w:val="08C803BF"/>
    <w:rsid w:val="08C80413"/>
    <w:rsid w:val="08C80415"/>
    <w:rsid w:val="08C8043A"/>
    <w:rsid w:val="08C80446"/>
    <w:rsid w:val="08C8047A"/>
    <w:rsid w:val="08C80510"/>
    <w:rsid w:val="08C80622"/>
    <w:rsid w:val="08C806DE"/>
    <w:rsid w:val="08C806E3"/>
    <w:rsid w:val="08C8071D"/>
    <w:rsid w:val="08C807F8"/>
    <w:rsid w:val="08C80997"/>
    <w:rsid w:val="08C809AD"/>
    <w:rsid w:val="08C809CD"/>
    <w:rsid w:val="08C809E6"/>
    <w:rsid w:val="08C80AC7"/>
    <w:rsid w:val="08C80BD5"/>
    <w:rsid w:val="08C80CD9"/>
    <w:rsid w:val="08C80D45"/>
    <w:rsid w:val="08C80E06"/>
    <w:rsid w:val="08C80E6B"/>
    <w:rsid w:val="08C80F1F"/>
    <w:rsid w:val="08C80FB6"/>
    <w:rsid w:val="08C80FC2"/>
    <w:rsid w:val="08C81003"/>
    <w:rsid w:val="08C81088"/>
    <w:rsid w:val="08C810CD"/>
    <w:rsid w:val="08C8118B"/>
    <w:rsid w:val="08C81228"/>
    <w:rsid w:val="08C81363"/>
    <w:rsid w:val="08C81415"/>
    <w:rsid w:val="08C81490"/>
    <w:rsid w:val="08C8162F"/>
    <w:rsid w:val="08C816B4"/>
    <w:rsid w:val="08C8170D"/>
    <w:rsid w:val="08C81713"/>
    <w:rsid w:val="08C81777"/>
    <w:rsid w:val="08C817EC"/>
    <w:rsid w:val="08C817EF"/>
    <w:rsid w:val="08C81899"/>
    <w:rsid w:val="08C8189A"/>
    <w:rsid w:val="08C81908"/>
    <w:rsid w:val="08C8191E"/>
    <w:rsid w:val="08C81945"/>
    <w:rsid w:val="08C819D6"/>
    <w:rsid w:val="08C81A32"/>
    <w:rsid w:val="08C81A90"/>
    <w:rsid w:val="08C81AE7"/>
    <w:rsid w:val="08C81B62"/>
    <w:rsid w:val="08C81B7E"/>
    <w:rsid w:val="08C81B83"/>
    <w:rsid w:val="08C81BAE"/>
    <w:rsid w:val="08C81C3A"/>
    <w:rsid w:val="08C81D31"/>
    <w:rsid w:val="08C81DA2"/>
    <w:rsid w:val="08C81E7F"/>
    <w:rsid w:val="08C81EA6"/>
    <w:rsid w:val="08C81EE9"/>
    <w:rsid w:val="08C81F13"/>
    <w:rsid w:val="08C81F33"/>
    <w:rsid w:val="08C82041"/>
    <w:rsid w:val="08C820F7"/>
    <w:rsid w:val="08C8215C"/>
    <w:rsid w:val="08C821A3"/>
    <w:rsid w:val="08C8220A"/>
    <w:rsid w:val="08C8223E"/>
    <w:rsid w:val="08C82297"/>
    <w:rsid w:val="08C822AC"/>
    <w:rsid w:val="08C8230A"/>
    <w:rsid w:val="08C82331"/>
    <w:rsid w:val="08C82413"/>
    <w:rsid w:val="08C825C5"/>
    <w:rsid w:val="08C827B2"/>
    <w:rsid w:val="08C827C6"/>
    <w:rsid w:val="08C82867"/>
    <w:rsid w:val="08C828B8"/>
    <w:rsid w:val="08C82926"/>
    <w:rsid w:val="08C8294B"/>
    <w:rsid w:val="08C82952"/>
    <w:rsid w:val="08C82964"/>
    <w:rsid w:val="08C82971"/>
    <w:rsid w:val="08C82993"/>
    <w:rsid w:val="08C82999"/>
    <w:rsid w:val="08C82AB4"/>
    <w:rsid w:val="08C82B23"/>
    <w:rsid w:val="08C82B35"/>
    <w:rsid w:val="08C82B75"/>
    <w:rsid w:val="08C82BC2"/>
    <w:rsid w:val="08C82BFA"/>
    <w:rsid w:val="08C82D54"/>
    <w:rsid w:val="08C82D9D"/>
    <w:rsid w:val="08C82DA6"/>
    <w:rsid w:val="08C82DEE"/>
    <w:rsid w:val="08C82E33"/>
    <w:rsid w:val="08C82EB7"/>
    <w:rsid w:val="08C82F7A"/>
    <w:rsid w:val="08C83144"/>
    <w:rsid w:val="08C8316B"/>
    <w:rsid w:val="08C83177"/>
    <w:rsid w:val="08C831A8"/>
    <w:rsid w:val="08C83394"/>
    <w:rsid w:val="08C8343A"/>
    <w:rsid w:val="08C83456"/>
    <w:rsid w:val="08C83567"/>
    <w:rsid w:val="08C835B8"/>
    <w:rsid w:val="08C835CC"/>
    <w:rsid w:val="08C835E2"/>
    <w:rsid w:val="08C8363F"/>
    <w:rsid w:val="08C8374E"/>
    <w:rsid w:val="08C8377B"/>
    <w:rsid w:val="08C83793"/>
    <w:rsid w:val="08C838CC"/>
    <w:rsid w:val="08C838F9"/>
    <w:rsid w:val="08C83971"/>
    <w:rsid w:val="08C83996"/>
    <w:rsid w:val="08C839BE"/>
    <w:rsid w:val="08C839E5"/>
    <w:rsid w:val="08C83A99"/>
    <w:rsid w:val="08C83D1E"/>
    <w:rsid w:val="08C83DE0"/>
    <w:rsid w:val="08C83DE8"/>
    <w:rsid w:val="08C83FBC"/>
    <w:rsid w:val="08C83FFB"/>
    <w:rsid w:val="08C84013"/>
    <w:rsid w:val="08C840AB"/>
    <w:rsid w:val="08C84132"/>
    <w:rsid w:val="08C84169"/>
    <w:rsid w:val="08C84170"/>
    <w:rsid w:val="08C84191"/>
    <w:rsid w:val="08C843AB"/>
    <w:rsid w:val="08C84405"/>
    <w:rsid w:val="08C844CF"/>
    <w:rsid w:val="08C84506"/>
    <w:rsid w:val="08C84622"/>
    <w:rsid w:val="08C8463F"/>
    <w:rsid w:val="08C846AE"/>
    <w:rsid w:val="08C84706"/>
    <w:rsid w:val="08C84708"/>
    <w:rsid w:val="08C84795"/>
    <w:rsid w:val="08C847C9"/>
    <w:rsid w:val="08C847CE"/>
    <w:rsid w:val="08C8494F"/>
    <w:rsid w:val="08C84A64"/>
    <w:rsid w:val="08C84ADE"/>
    <w:rsid w:val="08C84AFF"/>
    <w:rsid w:val="08C84C25"/>
    <w:rsid w:val="08C84C8A"/>
    <w:rsid w:val="08C84CC2"/>
    <w:rsid w:val="08C84E27"/>
    <w:rsid w:val="08C84F63"/>
    <w:rsid w:val="08C84F97"/>
    <w:rsid w:val="08C84FB9"/>
    <w:rsid w:val="08C85049"/>
    <w:rsid w:val="08C85093"/>
    <w:rsid w:val="08C85146"/>
    <w:rsid w:val="08C85153"/>
    <w:rsid w:val="08C85169"/>
    <w:rsid w:val="08C85182"/>
    <w:rsid w:val="08C85186"/>
    <w:rsid w:val="08C8524E"/>
    <w:rsid w:val="08C852D6"/>
    <w:rsid w:val="08C8537F"/>
    <w:rsid w:val="08C85385"/>
    <w:rsid w:val="08C8538C"/>
    <w:rsid w:val="08C853B6"/>
    <w:rsid w:val="08C85418"/>
    <w:rsid w:val="08C85460"/>
    <w:rsid w:val="08C85540"/>
    <w:rsid w:val="08C8563F"/>
    <w:rsid w:val="08C856BC"/>
    <w:rsid w:val="08C85776"/>
    <w:rsid w:val="08C85882"/>
    <w:rsid w:val="08C858EF"/>
    <w:rsid w:val="08C85C89"/>
    <w:rsid w:val="08C85E3D"/>
    <w:rsid w:val="08C860D4"/>
    <w:rsid w:val="08C8618D"/>
    <w:rsid w:val="08C861BF"/>
    <w:rsid w:val="08C861F7"/>
    <w:rsid w:val="08C86276"/>
    <w:rsid w:val="08C86282"/>
    <w:rsid w:val="08C862F4"/>
    <w:rsid w:val="08C8638D"/>
    <w:rsid w:val="08C86412"/>
    <w:rsid w:val="08C86490"/>
    <w:rsid w:val="08C864E5"/>
    <w:rsid w:val="08C86572"/>
    <w:rsid w:val="08C86598"/>
    <w:rsid w:val="08C865B3"/>
    <w:rsid w:val="08C86622"/>
    <w:rsid w:val="08C86669"/>
    <w:rsid w:val="08C867C2"/>
    <w:rsid w:val="08C868A5"/>
    <w:rsid w:val="08C868D9"/>
    <w:rsid w:val="08C8692F"/>
    <w:rsid w:val="08C86948"/>
    <w:rsid w:val="08C8696D"/>
    <w:rsid w:val="08C869A1"/>
    <w:rsid w:val="08C86A1C"/>
    <w:rsid w:val="08C86A65"/>
    <w:rsid w:val="08C86AE1"/>
    <w:rsid w:val="08C86BCD"/>
    <w:rsid w:val="08C86D26"/>
    <w:rsid w:val="08C86E23"/>
    <w:rsid w:val="08C86EC9"/>
    <w:rsid w:val="08C86F0A"/>
    <w:rsid w:val="08C86F14"/>
    <w:rsid w:val="08C86F2F"/>
    <w:rsid w:val="08C86F36"/>
    <w:rsid w:val="08C86F6D"/>
    <w:rsid w:val="08C86FD2"/>
    <w:rsid w:val="08C86FD5"/>
    <w:rsid w:val="08C8702E"/>
    <w:rsid w:val="08C870B2"/>
    <w:rsid w:val="08C87112"/>
    <w:rsid w:val="08C871D5"/>
    <w:rsid w:val="08C871DD"/>
    <w:rsid w:val="08C8729B"/>
    <w:rsid w:val="08C8733E"/>
    <w:rsid w:val="08C873EE"/>
    <w:rsid w:val="08C873FF"/>
    <w:rsid w:val="08C87421"/>
    <w:rsid w:val="08C8745F"/>
    <w:rsid w:val="08C874CF"/>
    <w:rsid w:val="08C87517"/>
    <w:rsid w:val="08C875E3"/>
    <w:rsid w:val="08C875EB"/>
    <w:rsid w:val="08C87659"/>
    <w:rsid w:val="08C876B1"/>
    <w:rsid w:val="08C876B3"/>
    <w:rsid w:val="08C8776A"/>
    <w:rsid w:val="08C877B8"/>
    <w:rsid w:val="08C877C5"/>
    <w:rsid w:val="08C877CA"/>
    <w:rsid w:val="08C8783A"/>
    <w:rsid w:val="08C8787C"/>
    <w:rsid w:val="08C87968"/>
    <w:rsid w:val="08C8799E"/>
    <w:rsid w:val="08C879CB"/>
    <w:rsid w:val="08C87A78"/>
    <w:rsid w:val="08C87AE0"/>
    <w:rsid w:val="08C87AF5"/>
    <w:rsid w:val="08C87B6E"/>
    <w:rsid w:val="08C87C2E"/>
    <w:rsid w:val="08C87C68"/>
    <w:rsid w:val="08C87C8A"/>
    <w:rsid w:val="08C87CD7"/>
    <w:rsid w:val="08C87D30"/>
    <w:rsid w:val="08C87D42"/>
    <w:rsid w:val="08C87D46"/>
    <w:rsid w:val="08C87D7F"/>
    <w:rsid w:val="08C87E0A"/>
    <w:rsid w:val="08C87F65"/>
    <w:rsid w:val="08C87FA1"/>
    <w:rsid w:val="08C87FF3"/>
    <w:rsid w:val="08C90025"/>
    <w:rsid w:val="08C9002D"/>
    <w:rsid w:val="08C900DD"/>
    <w:rsid w:val="08C901A3"/>
    <w:rsid w:val="08C901BE"/>
    <w:rsid w:val="08C901CC"/>
    <w:rsid w:val="08C9026F"/>
    <w:rsid w:val="08C902DF"/>
    <w:rsid w:val="08C902FC"/>
    <w:rsid w:val="08C90342"/>
    <w:rsid w:val="08C9040D"/>
    <w:rsid w:val="08C904E2"/>
    <w:rsid w:val="08C90526"/>
    <w:rsid w:val="08C90535"/>
    <w:rsid w:val="08C90576"/>
    <w:rsid w:val="08C9057A"/>
    <w:rsid w:val="08C9058F"/>
    <w:rsid w:val="08C90618"/>
    <w:rsid w:val="08C90633"/>
    <w:rsid w:val="08C9068F"/>
    <w:rsid w:val="08C906DC"/>
    <w:rsid w:val="08C90715"/>
    <w:rsid w:val="08C90758"/>
    <w:rsid w:val="08C90766"/>
    <w:rsid w:val="08C907D9"/>
    <w:rsid w:val="08C907EA"/>
    <w:rsid w:val="08C90810"/>
    <w:rsid w:val="08C90828"/>
    <w:rsid w:val="08C90A8B"/>
    <w:rsid w:val="08C90A96"/>
    <w:rsid w:val="08C90C5B"/>
    <w:rsid w:val="08C90C62"/>
    <w:rsid w:val="08C90C9D"/>
    <w:rsid w:val="08C90D2A"/>
    <w:rsid w:val="08C90D5B"/>
    <w:rsid w:val="08C90DB8"/>
    <w:rsid w:val="08C90E79"/>
    <w:rsid w:val="08C90E84"/>
    <w:rsid w:val="08C90EAF"/>
    <w:rsid w:val="08C90F0E"/>
    <w:rsid w:val="08C90FED"/>
    <w:rsid w:val="08C91059"/>
    <w:rsid w:val="08C910D6"/>
    <w:rsid w:val="08C9123C"/>
    <w:rsid w:val="08C913EA"/>
    <w:rsid w:val="08C913F6"/>
    <w:rsid w:val="08C91541"/>
    <w:rsid w:val="08C91558"/>
    <w:rsid w:val="08C91640"/>
    <w:rsid w:val="08C9173D"/>
    <w:rsid w:val="08C917BF"/>
    <w:rsid w:val="08C917F1"/>
    <w:rsid w:val="08C91837"/>
    <w:rsid w:val="08C91886"/>
    <w:rsid w:val="08C918DA"/>
    <w:rsid w:val="08C918E3"/>
    <w:rsid w:val="08C918FA"/>
    <w:rsid w:val="08C91905"/>
    <w:rsid w:val="08C91917"/>
    <w:rsid w:val="08C9196C"/>
    <w:rsid w:val="08C91A3D"/>
    <w:rsid w:val="08C91C0D"/>
    <w:rsid w:val="08C91D15"/>
    <w:rsid w:val="08C91D21"/>
    <w:rsid w:val="08C91D2C"/>
    <w:rsid w:val="08C91E2E"/>
    <w:rsid w:val="08C91E81"/>
    <w:rsid w:val="08C91F75"/>
    <w:rsid w:val="08C92151"/>
    <w:rsid w:val="08C921BE"/>
    <w:rsid w:val="08C92228"/>
    <w:rsid w:val="08C922A1"/>
    <w:rsid w:val="08C922F5"/>
    <w:rsid w:val="08C92353"/>
    <w:rsid w:val="08C923B9"/>
    <w:rsid w:val="08C923C7"/>
    <w:rsid w:val="08C923CE"/>
    <w:rsid w:val="08C923D5"/>
    <w:rsid w:val="08C9240F"/>
    <w:rsid w:val="08C9241F"/>
    <w:rsid w:val="08C924D9"/>
    <w:rsid w:val="08C92520"/>
    <w:rsid w:val="08C9264F"/>
    <w:rsid w:val="08C9269E"/>
    <w:rsid w:val="08C926C1"/>
    <w:rsid w:val="08C9277C"/>
    <w:rsid w:val="08C927B8"/>
    <w:rsid w:val="08C92827"/>
    <w:rsid w:val="08C9287E"/>
    <w:rsid w:val="08C9288D"/>
    <w:rsid w:val="08C92902"/>
    <w:rsid w:val="08C9294B"/>
    <w:rsid w:val="08C929D0"/>
    <w:rsid w:val="08C92A25"/>
    <w:rsid w:val="08C92A35"/>
    <w:rsid w:val="08C92AC1"/>
    <w:rsid w:val="08C92AEA"/>
    <w:rsid w:val="08C92AFE"/>
    <w:rsid w:val="08C92BD1"/>
    <w:rsid w:val="08C92C15"/>
    <w:rsid w:val="08C92C88"/>
    <w:rsid w:val="08C92E08"/>
    <w:rsid w:val="08C92E1F"/>
    <w:rsid w:val="08C92EDA"/>
    <w:rsid w:val="08C92F75"/>
    <w:rsid w:val="08C92FA0"/>
    <w:rsid w:val="08C930F4"/>
    <w:rsid w:val="08C93161"/>
    <w:rsid w:val="08C93195"/>
    <w:rsid w:val="08C9320B"/>
    <w:rsid w:val="08C93218"/>
    <w:rsid w:val="08C93274"/>
    <w:rsid w:val="08C932F1"/>
    <w:rsid w:val="08C93315"/>
    <w:rsid w:val="08C93331"/>
    <w:rsid w:val="08C933DD"/>
    <w:rsid w:val="08C9353F"/>
    <w:rsid w:val="08C936E4"/>
    <w:rsid w:val="08C9370F"/>
    <w:rsid w:val="08C93744"/>
    <w:rsid w:val="08C93825"/>
    <w:rsid w:val="08C93927"/>
    <w:rsid w:val="08C93951"/>
    <w:rsid w:val="08C93A32"/>
    <w:rsid w:val="08C93A36"/>
    <w:rsid w:val="08C93A96"/>
    <w:rsid w:val="08C93ADE"/>
    <w:rsid w:val="08C93AF0"/>
    <w:rsid w:val="08C93C18"/>
    <w:rsid w:val="08C93C9E"/>
    <w:rsid w:val="08C93D51"/>
    <w:rsid w:val="08C93DB8"/>
    <w:rsid w:val="08C93DBB"/>
    <w:rsid w:val="08C93DE6"/>
    <w:rsid w:val="08C93E53"/>
    <w:rsid w:val="08C93E8B"/>
    <w:rsid w:val="08C940FB"/>
    <w:rsid w:val="08C94216"/>
    <w:rsid w:val="08C94245"/>
    <w:rsid w:val="08C942A2"/>
    <w:rsid w:val="08C942C8"/>
    <w:rsid w:val="08C94386"/>
    <w:rsid w:val="08C9439E"/>
    <w:rsid w:val="08C94470"/>
    <w:rsid w:val="08C944BE"/>
    <w:rsid w:val="08C94532"/>
    <w:rsid w:val="08C945F1"/>
    <w:rsid w:val="08C945F2"/>
    <w:rsid w:val="08C94636"/>
    <w:rsid w:val="08C946B8"/>
    <w:rsid w:val="08C946F3"/>
    <w:rsid w:val="08C94797"/>
    <w:rsid w:val="08C947D3"/>
    <w:rsid w:val="08C94A67"/>
    <w:rsid w:val="08C94A6E"/>
    <w:rsid w:val="08C94AB5"/>
    <w:rsid w:val="08C94ABD"/>
    <w:rsid w:val="08C94AED"/>
    <w:rsid w:val="08C94B69"/>
    <w:rsid w:val="08C94B9B"/>
    <w:rsid w:val="08C94C0C"/>
    <w:rsid w:val="08C94C90"/>
    <w:rsid w:val="08C94D66"/>
    <w:rsid w:val="08C94D7C"/>
    <w:rsid w:val="08C94DAE"/>
    <w:rsid w:val="08C94DB5"/>
    <w:rsid w:val="08C94FB1"/>
    <w:rsid w:val="08C95029"/>
    <w:rsid w:val="08C9505A"/>
    <w:rsid w:val="08C95104"/>
    <w:rsid w:val="08C951E4"/>
    <w:rsid w:val="08C95285"/>
    <w:rsid w:val="08C9549C"/>
    <w:rsid w:val="08C954CC"/>
    <w:rsid w:val="08C954F8"/>
    <w:rsid w:val="08C95542"/>
    <w:rsid w:val="08C95564"/>
    <w:rsid w:val="08C9557C"/>
    <w:rsid w:val="08C9562A"/>
    <w:rsid w:val="08C95633"/>
    <w:rsid w:val="08C95766"/>
    <w:rsid w:val="08C95829"/>
    <w:rsid w:val="08C958B5"/>
    <w:rsid w:val="08C95953"/>
    <w:rsid w:val="08C95993"/>
    <w:rsid w:val="08C959E0"/>
    <w:rsid w:val="08C95A25"/>
    <w:rsid w:val="08C95A30"/>
    <w:rsid w:val="08C95A60"/>
    <w:rsid w:val="08C95A63"/>
    <w:rsid w:val="08C95A97"/>
    <w:rsid w:val="08C95A9A"/>
    <w:rsid w:val="08C95AD0"/>
    <w:rsid w:val="08C95B21"/>
    <w:rsid w:val="08C95B26"/>
    <w:rsid w:val="08C95B5B"/>
    <w:rsid w:val="08C95B9F"/>
    <w:rsid w:val="08C95BE9"/>
    <w:rsid w:val="08C95C19"/>
    <w:rsid w:val="08C95D24"/>
    <w:rsid w:val="08C95DE4"/>
    <w:rsid w:val="08C95E1D"/>
    <w:rsid w:val="08C95E78"/>
    <w:rsid w:val="08C95EA1"/>
    <w:rsid w:val="08C96041"/>
    <w:rsid w:val="08C9607A"/>
    <w:rsid w:val="08C960FD"/>
    <w:rsid w:val="08C9612D"/>
    <w:rsid w:val="08C96142"/>
    <w:rsid w:val="08C96480"/>
    <w:rsid w:val="08C96563"/>
    <w:rsid w:val="08C965C7"/>
    <w:rsid w:val="08C9661D"/>
    <w:rsid w:val="08C966DB"/>
    <w:rsid w:val="08C96731"/>
    <w:rsid w:val="08C9678A"/>
    <w:rsid w:val="08C967E8"/>
    <w:rsid w:val="08C96805"/>
    <w:rsid w:val="08C96820"/>
    <w:rsid w:val="08C96983"/>
    <w:rsid w:val="08C969F5"/>
    <w:rsid w:val="08C96A11"/>
    <w:rsid w:val="08C96A22"/>
    <w:rsid w:val="08C96AB1"/>
    <w:rsid w:val="08C96B45"/>
    <w:rsid w:val="08C96BE5"/>
    <w:rsid w:val="08C96C6D"/>
    <w:rsid w:val="08C96C77"/>
    <w:rsid w:val="08C96CC1"/>
    <w:rsid w:val="08C96CF9"/>
    <w:rsid w:val="08C96D4B"/>
    <w:rsid w:val="08C96D66"/>
    <w:rsid w:val="08C96DEE"/>
    <w:rsid w:val="08C9704F"/>
    <w:rsid w:val="08C97084"/>
    <w:rsid w:val="08C9717F"/>
    <w:rsid w:val="08C971AA"/>
    <w:rsid w:val="08C971FC"/>
    <w:rsid w:val="08C97343"/>
    <w:rsid w:val="08C97376"/>
    <w:rsid w:val="08C97428"/>
    <w:rsid w:val="08C9744F"/>
    <w:rsid w:val="08C97495"/>
    <w:rsid w:val="08C974B1"/>
    <w:rsid w:val="08C97571"/>
    <w:rsid w:val="08C975C5"/>
    <w:rsid w:val="08C97631"/>
    <w:rsid w:val="08C976A4"/>
    <w:rsid w:val="08C976C6"/>
    <w:rsid w:val="08C976C9"/>
    <w:rsid w:val="08C977EB"/>
    <w:rsid w:val="08C977EC"/>
    <w:rsid w:val="08C97856"/>
    <w:rsid w:val="08C978C5"/>
    <w:rsid w:val="08C978CF"/>
    <w:rsid w:val="08C97989"/>
    <w:rsid w:val="08C97A12"/>
    <w:rsid w:val="08C97A59"/>
    <w:rsid w:val="08C97AE7"/>
    <w:rsid w:val="08C97BEB"/>
    <w:rsid w:val="08C97C1D"/>
    <w:rsid w:val="08C97CA7"/>
    <w:rsid w:val="08C97D49"/>
    <w:rsid w:val="08C97D81"/>
    <w:rsid w:val="08CA0012"/>
    <w:rsid w:val="08CA0120"/>
    <w:rsid w:val="08CA0152"/>
    <w:rsid w:val="08CA019C"/>
    <w:rsid w:val="08CA0291"/>
    <w:rsid w:val="08CA02B1"/>
    <w:rsid w:val="08CA02F4"/>
    <w:rsid w:val="08CA0335"/>
    <w:rsid w:val="08CA034D"/>
    <w:rsid w:val="08CA0388"/>
    <w:rsid w:val="08CA0439"/>
    <w:rsid w:val="08CA0451"/>
    <w:rsid w:val="08CA056C"/>
    <w:rsid w:val="08CA0587"/>
    <w:rsid w:val="08CA058F"/>
    <w:rsid w:val="08CA05A4"/>
    <w:rsid w:val="08CA0633"/>
    <w:rsid w:val="08CA0649"/>
    <w:rsid w:val="08CA07EE"/>
    <w:rsid w:val="08CA07FB"/>
    <w:rsid w:val="08CA0802"/>
    <w:rsid w:val="08CA08AF"/>
    <w:rsid w:val="08CA08EF"/>
    <w:rsid w:val="08CA0911"/>
    <w:rsid w:val="08CA0929"/>
    <w:rsid w:val="08CA0A0F"/>
    <w:rsid w:val="08CA0A10"/>
    <w:rsid w:val="08CA0A4D"/>
    <w:rsid w:val="08CA0B1B"/>
    <w:rsid w:val="08CA0B5F"/>
    <w:rsid w:val="08CA0C62"/>
    <w:rsid w:val="08CA0CCC"/>
    <w:rsid w:val="08CA0CD7"/>
    <w:rsid w:val="08CA0D35"/>
    <w:rsid w:val="08CA0DF1"/>
    <w:rsid w:val="08CA0E1E"/>
    <w:rsid w:val="08CA0E28"/>
    <w:rsid w:val="08CA0E9A"/>
    <w:rsid w:val="08CA0E9E"/>
    <w:rsid w:val="08CA0EC1"/>
    <w:rsid w:val="08CA10F4"/>
    <w:rsid w:val="08CA1159"/>
    <w:rsid w:val="08CA119E"/>
    <w:rsid w:val="08CA130A"/>
    <w:rsid w:val="08CA138E"/>
    <w:rsid w:val="08CA1398"/>
    <w:rsid w:val="08CA1426"/>
    <w:rsid w:val="08CA1484"/>
    <w:rsid w:val="08CA156B"/>
    <w:rsid w:val="08CA1579"/>
    <w:rsid w:val="08CA169C"/>
    <w:rsid w:val="08CA1839"/>
    <w:rsid w:val="08CA1857"/>
    <w:rsid w:val="08CA1863"/>
    <w:rsid w:val="08CA187E"/>
    <w:rsid w:val="08CA19AC"/>
    <w:rsid w:val="08CA19E9"/>
    <w:rsid w:val="08CA19EB"/>
    <w:rsid w:val="08CA1A4D"/>
    <w:rsid w:val="08CA1BB6"/>
    <w:rsid w:val="08CA1C56"/>
    <w:rsid w:val="08CA1DD1"/>
    <w:rsid w:val="08CA1DFE"/>
    <w:rsid w:val="08CA1E6A"/>
    <w:rsid w:val="08CA1FA2"/>
    <w:rsid w:val="08CA1FDF"/>
    <w:rsid w:val="08CA20CC"/>
    <w:rsid w:val="08CA20D0"/>
    <w:rsid w:val="08CA20E1"/>
    <w:rsid w:val="08CA21D8"/>
    <w:rsid w:val="08CA22BE"/>
    <w:rsid w:val="08CA2336"/>
    <w:rsid w:val="08CA234F"/>
    <w:rsid w:val="08CA2367"/>
    <w:rsid w:val="08CA2449"/>
    <w:rsid w:val="08CA24B4"/>
    <w:rsid w:val="08CA2549"/>
    <w:rsid w:val="08CA26E1"/>
    <w:rsid w:val="08CA273A"/>
    <w:rsid w:val="08CA279F"/>
    <w:rsid w:val="08CA2818"/>
    <w:rsid w:val="08CA2915"/>
    <w:rsid w:val="08CA291C"/>
    <w:rsid w:val="08CA2957"/>
    <w:rsid w:val="08CA2AB1"/>
    <w:rsid w:val="08CA2B11"/>
    <w:rsid w:val="08CA2B7E"/>
    <w:rsid w:val="08CA2B9D"/>
    <w:rsid w:val="08CA2BBF"/>
    <w:rsid w:val="08CA2BCD"/>
    <w:rsid w:val="08CA2C78"/>
    <w:rsid w:val="08CA2E20"/>
    <w:rsid w:val="08CA2E86"/>
    <w:rsid w:val="08CA2E9B"/>
    <w:rsid w:val="08CA2F33"/>
    <w:rsid w:val="08CA2F75"/>
    <w:rsid w:val="08CA2F8F"/>
    <w:rsid w:val="08CA2FBE"/>
    <w:rsid w:val="08CA302B"/>
    <w:rsid w:val="08CA3140"/>
    <w:rsid w:val="08CA3150"/>
    <w:rsid w:val="08CA3173"/>
    <w:rsid w:val="08CA31C9"/>
    <w:rsid w:val="08CA32AF"/>
    <w:rsid w:val="08CA32FB"/>
    <w:rsid w:val="08CA3350"/>
    <w:rsid w:val="08CA33A1"/>
    <w:rsid w:val="08CA33E3"/>
    <w:rsid w:val="08CA33E8"/>
    <w:rsid w:val="08CA34C6"/>
    <w:rsid w:val="08CA34D0"/>
    <w:rsid w:val="08CA35A8"/>
    <w:rsid w:val="08CA3615"/>
    <w:rsid w:val="08CA3633"/>
    <w:rsid w:val="08CA3723"/>
    <w:rsid w:val="08CA37E1"/>
    <w:rsid w:val="08CA387C"/>
    <w:rsid w:val="08CA3905"/>
    <w:rsid w:val="08CA3A37"/>
    <w:rsid w:val="08CA3A51"/>
    <w:rsid w:val="08CA3A63"/>
    <w:rsid w:val="08CA3AC9"/>
    <w:rsid w:val="08CA3ADF"/>
    <w:rsid w:val="08CA3AF4"/>
    <w:rsid w:val="08CA3B43"/>
    <w:rsid w:val="08CA3BD7"/>
    <w:rsid w:val="08CA3CC9"/>
    <w:rsid w:val="08CA3CEE"/>
    <w:rsid w:val="08CA3CF4"/>
    <w:rsid w:val="08CA3D19"/>
    <w:rsid w:val="08CA3D33"/>
    <w:rsid w:val="08CA3DD2"/>
    <w:rsid w:val="08CA3E2A"/>
    <w:rsid w:val="08CA3EAA"/>
    <w:rsid w:val="08CA3EBF"/>
    <w:rsid w:val="08CA4017"/>
    <w:rsid w:val="08CA40A7"/>
    <w:rsid w:val="08CA40AC"/>
    <w:rsid w:val="08CA40F9"/>
    <w:rsid w:val="08CA411A"/>
    <w:rsid w:val="08CA413F"/>
    <w:rsid w:val="08CA4187"/>
    <w:rsid w:val="08CA4195"/>
    <w:rsid w:val="08CA4283"/>
    <w:rsid w:val="08CA429A"/>
    <w:rsid w:val="08CA4324"/>
    <w:rsid w:val="08CA4397"/>
    <w:rsid w:val="08CA43AE"/>
    <w:rsid w:val="08CA4412"/>
    <w:rsid w:val="08CA4442"/>
    <w:rsid w:val="08CA45B9"/>
    <w:rsid w:val="08CA4604"/>
    <w:rsid w:val="08CA4621"/>
    <w:rsid w:val="08CA463E"/>
    <w:rsid w:val="08CA4683"/>
    <w:rsid w:val="08CA468E"/>
    <w:rsid w:val="08CA4718"/>
    <w:rsid w:val="08CA4737"/>
    <w:rsid w:val="08CA47F0"/>
    <w:rsid w:val="08CA48D7"/>
    <w:rsid w:val="08CA4912"/>
    <w:rsid w:val="08CA49F3"/>
    <w:rsid w:val="08CA4A54"/>
    <w:rsid w:val="08CA4AF8"/>
    <w:rsid w:val="08CA4B87"/>
    <w:rsid w:val="08CA4C8C"/>
    <w:rsid w:val="08CA4D35"/>
    <w:rsid w:val="08CA4DE3"/>
    <w:rsid w:val="08CA4E6F"/>
    <w:rsid w:val="08CA4E79"/>
    <w:rsid w:val="08CA4F5B"/>
    <w:rsid w:val="08CA4F67"/>
    <w:rsid w:val="08CA4FBD"/>
    <w:rsid w:val="08CA4FC9"/>
    <w:rsid w:val="08CA4FCF"/>
    <w:rsid w:val="08CA4FD5"/>
    <w:rsid w:val="08CA5052"/>
    <w:rsid w:val="08CA509E"/>
    <w:rsid w:val="08CA51DE"/>
    <w:rsid w:val="08CA5287"/>
    <w:rsid w:val="08CA53DD"/>
    <w:rsid w:val="08CA53F5"/>
    <w:rsid w:val="08CA5408"/>
    <w:rsid w:val="08CA541C"/>
    <w:rsid w:val="08CA54B2"/>
    <w:rsid w:val="08CA5584"/>
    <w:rsid w:val="08CA55DB"/>
    <w:rsid w:val="08CA56B2"/>
    <w:rsid w:val="08CA56C2"/>
    <w:rsid w:val="08CA56CA"/>
    <w:rsid w:val="08CA570B"/>
    <w:rsid w:val="08CA5740"/>
    <w:rsid w:val="08CA5790"/>
    <w:rsid w:val="08CA57E2"/>
    <w:rsid w:val="08CA586D"/>
    <w:rsid w:val="08CA58F3"/>
    <w:rsid w:val="08CA59FE"/>
    <w:rsid w:val="08CA5A11"/>
    <w:rsid w:val="08CA5A8E"/>
    <w:rsid w:val="08CA5AAA"/>
    <w:rsid w:val="08CA5AB5"/>
    <w:rsid w:val="08CA5AF3"/>
    <w:rsid w:val="08CA5B5D"/>
    <w:rsid w:val="08CA5B76"/>
    <w:rsid w:val="08CA5C00"/>
    <w:rsid w:val="08CA5C4F"/>
    <w:rsid w:val="08CA5C58"/>
    <w:rsid w:val="08CA5C83"/>
    <w:rsid w:val="08CA5CC6"/>
    <w:rsid w:val="08CA5D69"/>
    <w:rsid w:val="08CA5DA2"/>
    <w:rsid w:val="08CA5E88"/>
    <w:rsid w:val="08CA5EA7"/>
    <w:rsid w:val="08CA5EAC"/>
    <w:rsid w:val="08CA5EB0"/>
    <w:rsid w:val="08CA5FF8"/>
    <w:rsid w:val="08CA6095"/>
    <w:rsid w:val="08CA6129"/>
    <w:rsid w:val="08CA619A"/>
    <w:rsid w:val="08CA6318"/>
    <w:rsid w:val="08CA633C"/>
    <w:rsid w:val="08CA6430"/>
    <w:rsid w:val="08CA646D"/>
    <w:rsid w:val="08CA646F"/>
    <w:rsid w:val="08CA64A2"/>
    <w:rsid w:val="08CA6646"/>
    <w:rsid w:val="08CA6728"/>
    <w:rsid w:val="08CA672D"/>
    <w:rsid w:val="08CA679F"/>
    <w:rsid w:val="08CA67D2"/>
    <w:rsid w:val="08CA6811"/>
    <w:rsid w:val="08CA68D0"/>
    <w:rsid w:val="08CA691E"/>
    <w:rsid w:val="08CA6956"/>
    <w:rsid w:val="08CA6975"/>
    <w:rsid w:val="08CA6985"/>
    <w:rsid w:val="08CA69ED"/>
    <w:rsid w:val="08CA69F2"/>
    <w:rsid w:val="08CA6A20"/>
    <w:rsid w:val="08CA6A30"/>
    <w:rsid w:val="08CA6A39"/>
    <w:rsid w:val="08CA6AD2"/>
    <w:rsid w:val="08CA6B37"/>
    <w:rsid w:val="08CA6C25"/>
    <w:rsid w:val="08CA6C84"/>
    <w:rsid w:val="08CA6DF1"/>
    <w:rsid w:val="08CA6E02"/>
    <w:rsid w:val="08CA6E10"/>
    <w:rsid w:val="08CA6E8F"/>
    <w:rsid w:val="08CA6F37"/>
    <w:rsid w:val="08CA6F4A"/>
    <w:rsid w:val="08CA6F4D"/>
    <w:rsid w:val="08CA6F9A"/>
    <w:rsid w:val="08CA6FE8"/>
    <w:rsid w:val="08CA7009"/>
    <w:rsid w:val="08CA7050"/>
    <w:rsid w:val="08CA711B"/>
    <w:rsid w:val="08CA716F"/>
    <w:rsid w:val="08CA71A2"/>
    <w:rsid w:val="08CA71B6"/>
    <w:rsid w:val="08CA72C7"/>
    <w:rsid w:val="08CA738D"/>
    <w:rsid w:val="08CA73C3"/>
    <w:rsid w:val="08CA7516"/>
    <w:rsid w:val="08CA75BC"/>
    <w:rsid w:val="08CA75D6"/>
    <w:rsid w:val="08CA764C"/>
    <w:rsid w:val="08CA76A5"/>
    <w:rsid w:val="08CA7771"/>
    <w:rsid w:val="08CA7795"/>
    <w:rsid w:val="08CA77E5"/>
    <w:rsid w:val="08CA7825"/>
    <w:rsid w:val="08CA7854"/>
    <w:rsid w:val="08CA7874"/>
    <w:rsid w:val="08CA7929"/>
    <w:rsid w:val="08CA7A05"/>
    <w:rsid w:val="08CA7A13"/>
    <w:rsid w:val="08CA7A97"/>
    <w:rsid w:val="08CA7C22"/>
    <w:rsid w:val="08CA7C4A"/>
    <w:rsid w:val="08CA7C61"/>
    <w:rsid w:val="08CA7C63"/>
    <w:rsid w:val="08CA7C92"/>
    <w:rsid w:val="08CB0026"/>
    <w:rsid w:val="08CB0098"/>
    <w:rsid w:val="08CB0136"/>
    <w:rsid w:val="08CB0172"/>
    <w:rsid w:val="08CB017B"/>
    <w:rsid w:val="08CB01A2"/>
    <w:rsid w:val="08CB0274"/>
    <w:rsid w:val="08CB0289"/>
    <w:rsid w:val="08CB035F"/>
    <w:rsid w:val="08CB0391"/>
    <w:rsid w:val="08CB039C"/>
    <w:rsid w:val="08CB03CF"/>
    <w:rsid w:val="08CB04CD"/>
    <w:rsid w:val="08CB0517"/>
    <w:rsid w:val="08CB053A"/>
    <w:rsid w:val="08CB05B4"/>
    <w:rsid w:val="08CB05FA"/>
    <w:rsid w:val="08CB064C"/>
    <w:rsid w:val="08CB07DD"/>
    <w:rsid w:val="08CB07FE"/>
    <w:rsid w:val="08CB0805"/>
    <w:rsid w:val="08CB087D"/>
    <w:rsid w:val="08CB09E1"/>
    <w:rsid w:val="08CB0B17"/>
    <w:rsid w:val="08CB0B5B"/>
    <w:rsid w:val="08CB0B5E"/>
    <w:rsid w:val="08CB0C34"/>
    <w:rsid w:val="08CB0C3E"/>
    <w:rsid w:val="08CB0D17"/>
    <w:rsid w:val="08CB0D3A"/>
    <w:rsid w:val="08CB0D97"/>
    <w:rsid w:val="08CB0DA2"/>
    <w:rsid w:val="08CB0DED"/>
    <w:rsid w:val="08CB0E63"/>
    <w:rsid w:val="08CB0F31"/>
    <w:rsid w:val="08CB0F6D"/>
    <w:rsid w:val="08CB109D"/>
    <w:rsid w:val="08CB10CE"/>
    <w:rsid w:val="08CB10E5"/>
    <w:rsid w:val="08CB1111"/>
    <w:rsid w:val="08CB111C"/>
    <w:rsid w:val="08CB1127"/>
    <w:rsid w:val="08CB11E9"/>
    <w:rsid w:val="08CB1221"/>
    <w:rsid w:val="08CB12C4"/>
    <w:rsid w:val="08CB133B"/>
    <w:rsid w:val="08CB138F"/>
    <w:rsid w:val="08CB13B1"/>
    <w:rsid w:val="08CB1428"/>
    <w:rsid w:val="08CB1434"/>
    <w:rsid w:val="08CB1437"/>
    <w:rsid w:val="08CB149F"/>
    <w:rsid w:val="08CB1502"/>
    <w:rsid w:val="08CB1567"/>
    <w:rsid w:val="08CB15B6"/>
    <w:rsid w:val="08CB15D5"/>
    <w:rsid w:val="08CB15DE"/>
    <w:rsid w:val="08CB1642"/>
    <w:rsid w:val="08CB1705"/>
    <w:rsid w:val="08CB1744"/>
    <w:rsid w:val="08CB1832"/>
    <w:rsid w:val="08CB1855"/>
    <w:rsid w:val="08CB18DC"/>
    <w:rsid w:val="08CB195A"/>
    <w:rsid w:val="08CB197E"/>
    <w:rsid w:val="08CB19F6"/>
    <w:rsid w:val="08CB1ABB"/>
    <w:rsid w:val="08CB1ACA"/>
    <w:rsid w:val="08CB1AD2"/>
    <w:rsid w:val="08CB1B67"/>
    <w:rsid w:val="08CB1B6D"/>
    <w:rsid w:val="08CB1B70"/>
    <w:rsid w:val="08CB1B8E"/>
    <w:rsid w:val="08CB1BA3"/>
    <w:rsid w:val="08CB1BAE"/>
    <w:rsid w:val="08CB1C00"/>
    <w:rsid w:val="08CB1C84"/>
    <w:rsid w:val="08CB1CFE"/>
    <w:rsid w:val="08CB1E15"/>
    <w:rsid w:val="08CB1E45"/>
    <w:rsid w:val="08CB1F3C"/>
    <w:rsid w:val="08CB1F87"/>
    <w:rsid w:val="08CB1F95"/>
    <w:rsid w:val="08CB207D"/>
    <w:rsid w:val="08CB20D2"/>
    <w:rsid w:val="08CB2224"/>
    <w:rsid w:val="08CB229D"/>
    <w:rsid w:val="08CB2303"/>
    <w:rsid w:val="08CB2322"/>
    <w:rsid w:val="08CB2435"/>
    <w:rsid w:val="08CB2436"/>
    <w:rsid w:val="08CB2533"/>
    <w:rsid w:val="08CB2543"/>
    <w:rsid w:val="08CB2707"/>
    <w:rsid w:val="08CB27A8"/>
    <w:rsid w:val="08CB27C2"/>
    <w:rsid w:val="08CB284B"/>
    <w:rsid w:val="08CB28AB"/>
    <w:rsid w:val="08CB28C3"/>
    <w:rsid w:val="08CB28DD"/>
    <w:rsid w:val="08CB292E"/>
    <w:rsid w:val="08CB2A2A"/>
    <w:rsid w:val="08CB2A4D"/>
    <w:rsid w:val="08CB2A87"/>
    <w:rsid w:val="08CB2B07"/>
    <w:rsid w:val="08CB2B87"/>
    <w:rsid w:val="08CB2CB9"/>
    <w:rsid w:val="08CB2CC8"/>
    <w:rsid w:val="08CB2D54"/>
    <w:rsid w:val="08CB2EC6"/>
    <w:rsid w:val="08CB2F25"/>
    <w:rsid w:val="08CB2F35"/>
    <w:rsid w:val="08CB2F5B"/>
    <w:rsid w:val="08CB2F9B"/>
    <w:rsid w:val="08CB30D4"/>
    <w:rsid w:val="08CB3170"/>
    <w:rsid w:val="08CB31DB"/>
    <w:rsid w:val="08CB31E6"/>
    <w:rsid w:val="08CB31E8"/>
    <w:rsid w:val="08CB3210"/>
    <w:rsid w:val="08CB3229"/>
    <w:rsid w:val="08CB324B"/>
    <w:rsid w:val="08CB330D"/>
    <w:rsid w:val="08CB3314"/>
    <w:rsid w:val="08CB3383"/>
    <w:rsid w:val="08CB3384"/>
    <w:rsid w:val="08CB34A5"/>
    <w:rsid w:val="08CB35DD"/>
    <w:rsid w:val="08CB36D7"/>
    <w:rsid w:val="08CB36EC"/>
    <w:rsid w:val="08CB36F6"/>
    <w:rsid w:val="08CB3741"/>
    <w:rsid w:val="08CB37E2"/>
    <w:rsid w:val="08CB38B8"/>
    <w:rsid w:val="08CB38E5"/>
    <w:rsid w:val="08CB39B5"/>
    <w:rsid w:val="08CB39FA"/>
    <w:rsid w:val="08CB39FF"/>
    <w:rsid w:val="08CB3AF3"/>
    <w:rsid w:val="08CB3B8A"/>
    <w:rsid w:val="08CB3BA1"/>
    <w:rsid w:val="08CB3BF5"/>
    <w:rsid w:val="08CB3BFE"/>
    <w:rsid w:val="08CB3CAC"/>
    <w:rsid w:val="08CB3E2A"/>
    <w:rsid w:val="08CB3EA1"/>
    <w:rsid w:val="08CB3EAC"/>
    <w:rsid w:val="08CB3F3A"/>
    <w:rsid w:val="08CB3FF3"/>
    <w:rsid w:val="08CB403A"/>
    <w:rsid w:val="08CB40CB"/>
    <w:rsid w:val="08CB40DE"/>
    <w:rsid w:val="08CB414B"/>
    <w:rsid w:val="08CB416C"/>
    <w:rsid w:val="08CB4191"/>
    <w:rsid w:val="08CB41B8"/>
    <w:rsid w:val="08CB41D1"/>
    <w:rsid w:val="08CB420C"/>
    <w:rsid w:val="08CB4214"/>
    <w:rsid w:val="08CB4415"/>
    <w:rsid w:val="08CB4470"/>
    <w:rsid w:val="08CB44D2"/>
    <w:rsid w:val="08CB4517"/>
    <w:rsid w:val="08CB463F"/>
    <w:rsid w:val="08CB4651"/>
    <w:rsid w:val="08CB468D"/>
    <w:rsid w:val="08CB468F"/>
    <w:rsid w:val="08CB46A3"/>
    <w:rsid w:val="08CB476B"/>
    <w:rsid w:val="08CB4889"/>
    <w:rsid w:val="08CB49A7"/>
    <w:rsid w:val="08CB49AA"/>
    <w:rsid w:val="08CB4B0E"/>
    <w:rsid w:val="08CB4B1E"/>
    <w:rsid w:val="08CB4B23"/>
    <w:rsid w:val="08CB4B2A"/>
    <w:rsid w:val="08CB4C7C"/>
    <w:rsid w:val="08CB4FB7"/>
    <w:rsid w:val="08CB5027"/>
    <w:rsid w:val="08CB50A9"/>
    <w:rsid w:val="08CB514B"/>
    <w:rsid w:val="08CB516E"/>
    <w:rsid w:val="08CB51B8"/>
    <w:rsid w:val="08CB5269"/>
    <w:rsid w:val="08CB53A9"/>
    <w:rsid w:val="08CB53C0"/>
    <w:rsid w:val="08CB548F"/>
    <w:rsid w:val="08CB54AB"/>
    <w:rsid w:val="08CB54C6"/>
    <w:rsid w:val="08CB54CD"/>
    <w:rsid w:val="08CB5535"/>
    <w:rsid w:val="08CB5577"/>
    <w:rsid w:val="08CB55A3"/>
    <w:rsid w:val="08CB55AE"/>
    <w:rsid w:val="08CB5605"/>
    <w:rsid w:val="08CB56DE"/>
    <w:rsid w:val="08CB5773"/>
    <w:rsid w:val="08CB5821"/>
    <w:rsid w:val="08CB586B"/>
    <w:rsid w:val="08CB58AF"/>
    <w:rsid w:val="08CB5968"/>
    <w:rsid w:val="08CB5988"/>
    <w:rsid w:val="08CB5B28"/>
    <w:rsid w:val="08CB5BBA"/>
    <w:rsid w:val="08CB5BBB"/>
    <w:rsid w:val="08CB5BD2"/>
    <w:rsid w:val="08CB5C6C"/>
    <w:rsid w:val="08CB5C94"/>
    <w:rsid w:val="08CB5CA5"/>
    <w:rsid w:val="08CB5D3E"/>
    <w:rsid w:val="08CB5DCE"/>
    <w:rsid w:val="08CB5E1A"/>
    <w:rsid w:val="08CB5E4D"/>
    <w:rsid w:val="08CB5F92"/>
    <w:rsid w:val="08CB5FE7"/>
    <w:rsid w:val="08CB604A"/>
    <w:rsid w:val="08CB6085"/>
    <w:rsid w:val="08CB609E"/>
    <w:rsid w:val="08CB60B7"/>
    <w:rsid w:val="08CB6127"/>
    <w:rsid w:val="08CB6164"/>
    <w:rsid w:val="08CB62F2"/>
    <w:rsid w:val="08CB63ED"/>
    <w:rsid w:val="08CB63EF"/>
    <w:rsid w:val="08CB6415"/>
    <w:rsid w:val="08CB64D9"/>
    <w:rsid w:val="08CB64E7"/>
    <w:rsid w:val="08CB64EA"/>
    <w:rsid w:val="08CB6543"/>
    <w:rsid w:val="08CB65AC"/>
    <w:rsid w:val="08CB663D"/>
    <w:rsid w:val="08CB66FE"/>
    <w:rsid w:val="08CB6844"/>
    <w:rsid w:val="08CB6893"/>
    <w:rsid w:val="08CB6940"/>
    <w:rsid w:val="08CB69AB"/>
    <w:rsid w:val="08CB69E9"/>
    <w:rsid w:val="08CB6A8F"/>
    <w:rsid w:val="08CB6AD2"/>
    <w:rsid w:val="08CB6AEA"/>
    <w:rsid w:val="08CB6B5E"/>
    <w:rsid w:val="08CB6BA6"/>
    <w:rsid w:val="08CB6D24"/>
    <w:rsid w:val="08CB6EC7"/>
    <w:rsid w:val="08CB6EEF"/>
    <w:rsid w:val="08CB6F0E"/>
    <w:rsid w:val="08CB6FAA"/>
    <w:rsid w:val="08CB6FE7"/>
    <w:rsid w:val="08CB6FFF"/>
    <w:rsid w:val="08CB707D"/>
    <w:rsid w:val="08CB70AF"/>
    <w:rsid w:val="08CB7170"/>
    <w:rsid w:val="08CB7171"/>
    <w:rsid w:val="08CB71B2"/>
    <w:rsid w:val="08CB71B9"/>
    <w:rsid w:val="08CB71E1"/>
    <w:rsid w:val="08CB723A"/>
    <w:rsid w:val="08CB725F"/>
    <w:rsid w:val="08CB733E"/>
    <w:rsid w:val="08CB7464"/>
    <w:rsid w:val="08CB74AB"/>
    <w:rsid w:val="08CB7509"/>
    <w:rsid w:val="08CB7572"/>
    <w:rsid w:val="08CB75C9"/>
    <w:rsid w:val="08CB76D3"/>
    <w:rsid w:val="08CB76E8"/>
    <w:rsid w:val="08CB776B"/>
    <w:rsid w:val="08CB77CF"/>
    <w:rsid w:val="08CB788D"/>
    <w:rsid w:val="08CB78CE"/>
    <w:rsid w:val="08CB78F8"/>
    <w:rsid w:val="08CB7932"/>
    <w:rsid w:val="08CB7938"/>
    <w:rsid w:val="08CB79FE"/>
    <w:rsid w:val="08CB7A5B"/>
    <w:rsid w:val="08CB7BA4"/>
    <w:rsid w:val="08CB7BC4"/>
    <w:rsid w:val="08CB7BCF"/>
    <w:rsid w:val="08CB7C43"/>
    <w:rsid w:val="08CB7C9C"/>
    <w:rsid w:val="08CB7DFA"/>
    <w:rsid w:val="08CB7E90"/>
    <w:rsid w:val="08CB7EB7"/>
    <w:rsid w:val="08CB7F43"/>
    <w:rsid w:val="08CB7F67"/>
    <w:rsid w:val="08CC0026"/>
    <w:rsid w:val="08CC0083"/>
    <w:rsid w:val="08CC01AB"/>
    <w:rsid w:val="08CC024C"/>
    <w:rsid w:val="08CC027A"/>
    <w:rsid w:val="08CC027F"/>
    <w:rsid w:val="08CC02CA"/>
    <w:rsid w:val="08CC0348"/>
    <w:rsid w:val="08CC037F"/>
    <w:rsid w:val="08CC03EA"/>
    <w:rsid w:val="08CC0486"/>
    <w:rsid w:val="08CC04C7"/>
    <w:rsid w:val="08CC0549"/>
    <w:rsid w:val="08CC0598"/>
    <w:rsid w:val="08CC05CC"/>
    <w:rsid w:val="08CC060F"/>
    <w:rsid w:val="08CC062C"/>
    <w:rsid w:val="08CC0683"/>
    <w:rsid w:val="08CC0688"/>
    <w:rsid w:val="08CC06B0"/>
    <w:rsid w:val="08CC07E6"/>
    <w:rsid w:val="08CC0839"/>
    <w:rsid w:val="08CC08D7"/>
    <w:rsid w:val="08CC09A1"/>
    <w:rsid w:val="08CC09DA"/>
    <w:rsid w:val="08CC0A03"/>
    <w:rsid w:val="08CC0A43"/>
    <w:rsid w:val="08CC0A9B"/>
    <w:rsid w:val="08CC0ABC"/>
    <w:rsid w:val="08CC0ACE"/>
    <w:rsid w:val="08CC0B13"/>
    <w:rsid w:val="08CC0B42"/>
    <w:rsid w:val="08CC0B9B"/>
    <w:rsid w:val="08CC0CAE"/>
    <w:rsid w:val="08CC0CCD"/>
    <w:rsid w:val="08CC0D1E"/>
    <w:rsid w:val="08CC0DD2"/>
    <w:rsid w:val="08CC0DE9"/>
    <w:rsid w:val="08CC0E11"/>
    <w:rsid w:val="08CC0E12"/>
    <w:rsid w:val="08CC0E65"/>
    <w:rsid w:val="08CC0E6A"/>
    <w:rsid w:val="08CC0F14"/>
    <w:rsid w:val="08CC0F1E"/>
    <w:rsid w:val="08CC0FF8"/>
    <w:rsid w:val="08CC1012"/>
    <w:rsid w:val="08CC1075"/>
    <w:rsid w:val="08CC1094"/>
    <w:rsid w:val="08CC10A2"/>
    <w:rsid w:val="08CC115C"/>
    <w:rsid w:val="08CC123A"/>
    <w:rsid w:val="08CC124E"/>
    <w:rsid w:val="08CC12A2"/>
    <w:rsid w:val="08CC12F9"/>
    <w:rsid w:val="08CC12FC"/>
    <w:rsid w:val="08CC1305"/>
    <w:rsid w:val="08CC1343"/>
    <w:rsid w:val="08CC13A1"/>
    <w:rsid w:val="08CC13BE"/>
    <w:rsid w:val="08CC1429"/>
    <w:rsid w:val="08CC144D"/>
    <w:rsid w:val="08CC14A1"/>
    <w:rsid w:val="08CC14B6"/>
    <w:rsid w:val="08CC1675"/>
    <w:rsid w:val="08CC1682"/>
    <w:rsid w:val="08CC16DC"/>
    <w:rsid w:val="08CC1763"/>
    <w:rsid w:val="08CC18D4"/>
    <w:rsid w:val="08CC18E2"/>
    <w:rsid w:val="08CC197A"/>
    <w:rsid w:val="08CC19A9"/>
    <w:rsid w:val="08CC1ADF"/>
    <w:rsid w:val="08CC1B10"/>
    <w:rsid w:val="08CC1B7F"/>
    <w:rsid w:val="08CC1B9E"/>
    <w:rsid w:val="08CC1C2A"/>
    <w:rsid w:val="08CC1CC3"/>
    <w:rsid w:val="08CC1D31"/>
    <w:rsid w:val="08CC1D50"/>
    <w:rsid w:val="08CC1DAC"/>
    <w:rsid w:val="08CC1DD4"/>
    <w:rsid w:val="08CC1E54"/>
    <w:rsid w:val="08CC1E6D"/>
    <w:rsid w:val="08CC1E99"/>
    <w:rsid w:val="08CC1ED6"/>
    <w:rsid w:val="08CC1F5A"/>
    <w:rsid w:val="08CC1F77"/>
    <w:rsid w:val="08CC1FCE"/>
    <w:rsid w:val="08CC2050"/>
    <w:rsid w:val="08CC2060"/>
    <w:rsid w:val="08CC2098"/>
    <w:rsid w:val="08CC20A9"/>
    <w:rsid w:val="08CC215D"/>
    <w:rsid w:val="08CC2198"/>
    <w:rsid w:val="08CC2276"/>
    <w:rsid w:val="08CC227A"/>
    <w:rsid w:val="08CC227D"/>
    <w:rsid w:val="08CC22A4"/>
    <w:rsid w:val="08CC2308"/>
    <w:rsid w:val="08CC2381"/>
    <w:rsid w:val="08CC23BF"/>
    <w:rsid w:val="08CC2465"/>
    <w:rsid w:val="08CC248C"/>
    <w:rsid w:val="08CC24D1"/>
    <w:rsid w:val="08CC24E1"/>
    <w:rsid w:val="08CC2500"/>
    <w:rsid w:val="08CC25BD"/>
    <w:rsid w:val="08CC2643"/>
    <w:rsid w:val="08CC269A"/>
    <w:rsid w:val="08CC2728"/>
    <w:rsid w:val="08CC2732"/>
    <w:rsid w:val="08CC27A0"/>
    <w:rsid w:val="08CC27AE"/>
    <w:rsid w:val="08CC27CC"/>
    <w:rsid w:val="08CC286C"/>
    <w:rsid w:val="08CC28FF"/>
    <w:rsid w:val="08CC290E"/>
    <w:rsid w:val="08CC2930"/>
    <w:rsid w:val="08CC296C"/>
    <w:rsid w:val="08CC29CE"/>
    <w:rsid w:val="08CC29D8"/>
    <w:rsid w:val="08CC2A49"/>
    <w:rsid w:val="08CC2AFB"/>
    <w:rsid w:val="08CC2B07"/>
    <w:rsid w:val="08CC2B0A"/>
    <w:rsid w:val="08CC2B2D"/>
    <w:rsid w:val="08CC2BB2"/>
    <w:rsid w:val="08CC2BF2"/>
    <w:rsid w:val="08CC2CAF"/>
    <w:rsid w:val="08CC2CB6"/>
    <w:rsid w:val="08CC2D10"/>
    <w:rsid w:val="08CC2D2D"/>
    <w:rsid w:val="08CC2D6C"/>
    <w:rsid w:val="08CC2DA7"/>
    <w:rsid w:val="08CC2DFD"/>
    <w:rsid w:val="08CC2E7F"/>
    <w:rsid w:val="08CC2F88"/>
    <w:rsid w:val="08CC2F8A"/>
    <w:rsid w:val="08CC3025"/>
    <w:rsid w:val="08CC3045"/>
    <w:rsid w:val="08CC305D"/>
    <w:rsid w:val="08CC30B3"/>
    <w:rsid w:val="08CC3171"/>
    <w:rsid w:val="08CC3237"/>
    <w:rsid w:val="08CC32CC"/>
    <w:rsid w:val="08CC33FD"/>
    <w:rsid w:val="08CC3426"/>
    <w:rsid w:val="08CC346C"/>
    <w:rsid w:val="08CC34A8"/>
    <w:rsid w:val="08CC34B6"/>
    <w:rsid w:val="08CC34D5"/>
    <w:rsid w:val="08CC3536"/>
    <w:rsid w:val="08CC3541"/>
    <w:rsid w:val="08CC3574"/>
    <w:rsid w:val="08CC35DF"/>
    <w:rsid w:val="08CC35E8"/>
    <w:rsid w:val="08CC35F2"/>
    <w:rsid w:val="08CC360C"/>
    <w:rsid w:val="08CC3629"/>
    <w:rsid w:val="08CC36F9"/>
    <w:rsid w:val="08CC376E"/>
    <w:rsid w:val="08CC377D"/>
    <w:rsid w:val="08CC37B4"/>
    <w:rsid w:val="08CC37DB"/>
    <w:rsid w:val="08CC384F"/>
    <w:rsid w:val="08CC3934"/>
    <w:rsid w:val="08CC3992"/>
    <w:rsid w:val="08CC3A03"/>
    <w:rsid w:val="08CC3A54"/>
    <w:rsid w:val="08CC3A7B"/>
    <w:rsid w:val="08CC3B08"/>
    <w:rsid w:val="08CC3C27"/>
    <w:rsid w:val="08CC3C37"/>
    <w:rsid w:val="08CC3C59"/>
    <w:rsid w:val="08CC3CE2"/>
    <w:rsid w:val="08CC3CF2"/>
    <w:rsid w:val="08CC3D08"/>
    <w:rsid w:val="08CC3D09"/>
    <w:rsid w:val="08CC3E26"/>
    <w:rsid w:val="08CC3F62"/>
    <w:rsid w:val="08CC3F85"/>
    <w:rsid w:val="08CC3FD7"/>
    <w:rsid w:val="08CC3FDD"/>
    <w:rsid w:val="08CC4009"/>
    <w:rsid w:val="08CC4042"/>
    <w:rsid w:val="08CC40B9"/>
    <w:rsid w:val="08CC40D1"/>
    <w:rsid w:val="08CC411F"/>
    <w:rsid w:val="08CC41F4"/>
    <w:rsid w:val="08CC4292"/>
    <w:rsid w:val="08CC42C2"/>
    <w:rsid w:val="08CC4343"/>
    <w:rsid w:val="08CC43B7"/>
    <w:rsid w:val="08CC43F9"/>
    <w:rsid w:val="08CC442C"/>
    <w:rsid w:val="08CC44A0"/>
    <w:rsid w:val="08CC4513"/>
    <w:rsid w:val="08CC4583"/>
    <w:rsid w:val="08CC46AB"/>
    <w:rsid w:val="08CC46DF"/>
    <w:rsid w:val="08CC471C"/>
    <w:rsid w:val="08CC47CF"/>
    <w:rsid w:val="08CC47EA"/>
    <w:rsid w:val="08CC4812"/>
    <w:rsid w:val="08CC4813"/>
    <w:rsid w:val="08CC4821"/>
    <w:rsid w:val="08CC4848"/>
    <w:rsid w:val="08CC484E"/>
    <w:rsid w:val="08CC491A"/>
    <w:rsid w:val="08CC4926"/>
    <w:rsid w:val="08CC4934"/>
    <w:rsid w:val="08CC49AA"/>
    <w:rsid w:val="08CC49EA"/>
    <w:rsid w:val="08CC4B5E"/>
    <w:rsid w:val="08CC4C01"/>
    <w:rsid w:val="08CC4C14"/>
    <w:rsid w:val="08CC4C87"/>
    <w:rsid w:val="08CC4C8B"/>
    <w:rsid w:val="08CC4CA8"/>
    <w:rsid w:val="08CC4D2B"/>
    <w:rsid w:val="08CC4DD9"/>
    <w:rsid w:val="08CC4DEA"/>
    <w:rsid w:val="08CC4DFE"/>
    <w:rsid w:val="08CC4E90"/>
    <w:rsid w:val="08CC4F13"/>
    <w:rsid w:val="08CC4F9F"/>
    <w:rsid w:val="08CC4FFD"/>
    <w:rsid w:val="08CC5018"/>
    <w:rsid w:val="08CC5053"/>
    <w:rsid w:val="08CC509F"/>
    <w:rsid w:val="08CC50B0"/>
    <w:rsid w:val="08CC52B0"/>
    <w:rsid w:val="08CC535A"/>
    <w:rsid w:val="08CC5396"/>
    <w:rsid w:val="08CC53F7"/>
    <w:rsid w:val="08CC5502"/>
    <w:rsid w:val="08CC5554"/>
    <w:rsid w:val="08CC555C"/>
    <w:rsid w:val="08CC55CD"/>
    <w:rsid w:val="08CC5636"/>
    <w:rsid w:val="08CC569E"/>
    <w:rsid w:val="08CC56EF"/>
    <w:rsid w:val="08CC5945"/>
    <w:rsid w:val="08CC595B"/>
    <w:rsid w:val="08CC5990"/>
    <w:rsid w:val="08CC59CB"/>
    <w:rsid w:val="08CC5A3F"/>
    <w:rsid w:val="08CC5AF0"/>
    <w:rsid w:val="08CC5B0F"/>
    <w:rsid w:val="08CC5B41"/>
    <w:rsid w:val="08CC5C2E"/>
    <w:rsid w:val="08CC5C30"/>
    <w:rsid w:val="08CC5DB3"/>
    <w:rsid w:val="08CC5DB9"/>
    <w:rsid w:val="08CC5E19"/>
    <w:rsid w:val="08CC5EFF"/>
    <w:rsid w:val="08CC5F02"/>
    <w:rsid w:val="08CC5F33"/>
    <w:rsid w:val="08CC5F61"/>
    <w:rsid w:val="08CC5F90"/>
    <w:rsid w:val="08CC5F91"/>
    <w:rsid w:val="08CC5F9D"/>
    <w:rsid w:val="08CC6085"/>
    <w:rsid w:val="08CC60E6"/>
    <w:rsid w:val="08CC6124"/>
    <w:rsid w:val="08CC613A"/>
    <w:rsid w:val="08CC61A2"/>
    <w:rsid w:val="08CC6234"/>
    <w:rsid w:val="08CC6290"/>
    <w:rsid w:val="08CC62D3"/>
    <w:rsid w:val="08CC630A"/>
    <w:rsid w:val="08CC6331"/>
    <w:rsid w:val="08CC6405"/>
    <w:rsid w:val="08CC6447"/>
    <w:rsid w:val="08CC661E"/>
    <w:rsid w:val="08CC6697"/>
    <w:rsid w:val="08CC679E"/>
    <w:rsid w:val="08CC683E"/>
    <w:rsid w:val="08CC686E"/>
    <w:rsid w:val="08CC6876"/>
    <w:rsid w:val="08CC6894"/>
    <w:rsid w:val="08CC68A7"/>
    <w:rsid w:val="08CC6933"/>
    <w:rsid w:val="08CC6981"/>
    <w:rsid w:val="08CC69B0"/>
    <w:rsid w:val="08CC6A84"/>
    <w:rsid w:val="08CC6B18"/>
    <w:rsid w:val="08CC6BB3"/>
    <w:rsid w:val="08CC6D17"/>
    <w:rsid w:val="08CC6E71"/>
    <w:rsid w:val="08CC6F8C"/>
    <w:rsid w:val="08CC6FF2"/>
    <w:rsid w:val="08CC700E"/>
    <w:rsid w:val="08CC7057"/>
    <w:rsid w:val="08CC70B5"/>
    <w:rsid w:val="08CC7116"/>
    <w:rsid w:val="08CC712C"/>
    <w:rsid w:val="08CC715E"/>
    <w:rsid w:val="08CC7188"/>
    <w:rsid w:val="08CC7235"/>
    <w:rsid w:val="08CC7291"/>
    <w:rsid w:val="08CC72A3"/>
    <w:rsid w:val="08CC731D"/>
    <w:rsid w:val="08CC7375"/>
    <w:rsid w:val="08CC7505"/>
    <w:rsid w:val="08CC7514"/>
    <w:rsid w:val="08CC7519"/>
    <w:rsid w:val="08CC756D"/>
    <w:rsid w:val="08CC7638"/>
    <w:rsid w:val="08CC76F9"/>
    <w:rsid w:val="08CC77AD"/>
    <w:rsid w:val="08CC78C8"/>
    <w:rsid w:val="08CC7908"/>
    <w:rsid w:val="08CC7994"/>
    <w:rsid w:val="08CC79CA"/>
    <w:rsid w:val="08CC7A72"/>
    <w:rsid w:val="08CC7B10"/>
    <w:rsid w:val="08CC7B3F"/>
    <w:rsid w:val="08CC7BB1"/>
    <w:rsid w:val="08CC7BE5"/>
    <w:rsid w:val="08CC7BF6"/>
    <w:rsid w:val="08CC7C11"/>
    <w:rsid w:val="08CC7CAE"/>
    <w:rsid w:val="08CC7D83"/>
    <w:rsid w:val="08CC7D92"/>
    <w:rsid w:val="08CC7F1A"/>
    <w:rsid w:val="08CD0100"/>
    <w:rsid w:val="08CD0123"/>
    <w:rsid w:val="08CD0165"/>
    <w:rsid w:val="08CD019A"/>
    <w:rsid w:val="08CD01D1"/>
    <w:rsid w:val="08CD021F"/>
    <w:rsid w:val="08CD02B7"/>
    <w:rsid w:val="08CD0388"/>
    <w:rsid w:val="08CD041F"/>
    <w:rsid w:val="08CD04A0"/>
    <w:rsid w:val="08CD05AC"/>
    <w:rsid w:val="08CD07D5"/>
    <w:rsid w:val="08CD080F"/>
    <w:rsid w:val="08CD083D"/>
    <w:rsid w:val="08CD0857"/>
    <w:rsid w:val="08CD0901"/>
    <w:rsid w:val="08CD0999"/>
    <w:rsid w:val="08CD0A62"/>
    <w:rsid w:val="08CD0A8D"/>
    <w:rsid w:val="08CD0AE8"/>
    <w:rsid w:val="08CD0B02"/>
    <w:rsid w:val="08CD0B85"/>
    <w:rsid w:val="08CD0BA2"/>
    <w:rsid w:val="08CD0C27"/>
    <w:rsid w:val="08CD0C5A"/>
    <w:rsid w:val="08CD0CD0"/>
    <w:rsid w:val="08CD0D8D"/>
    <w:rsid w:val="08CD0DAB"/>
    <w:rsid w:val="08CD0DE8"/>
    <w:rsid w:val="08CD0E11"/>
    <w:rsid w:val="08CD0E17"/>
    <w:rsid w:val="08CD0FDC"/>
    <w:rsid w:val="08CD1025"/>
    <w:rsid w:val="08CD1074"/>
    <w:rsid w:val="08CD1119"/>
    <w:rsid w:val="08CD1140"/>
    <w:rsid w:val="08CD128C"/>
    <w:rsid w:val="08CD12CA"/>
    <w:rsid w:val="08CD1351"/>
    <w:rsid w:val="08CD14CA"/>
    <w:rsid w:val="08CD14FB"/>
    <w:rsid w:val="08CD1590"/>
    <w:rsid w:val="08CD15CE"/>
    <w:rsid w:val="08CD175A"/>
    <w:rsid w:val="08CD184F"/>
    <w:rsid w:val="08CD1A2E"/>
    <w:rsid w:val="08CD1A4E"/>
    <w:rsid w:val="08CD1BBA"/>
    <w:rsid w:val="08CD1BFA"/>
    <w:rsid w:val="08CD1CAB"/>
    <w:rsid w:val="08CD1E26"/>
    <w:rsid w:val="08CD1E7D"/>
    <w:rsid w:val="08CD1EC3"/>
    <w:rsid w:val="08CD1F6B"/>
    <w:rsid w:val="08CD1FE2"/>
    <w:rsid w:val="08CD2033"/>
    <w:rsid w:val="08CD2127"/>
    <w:rsid w:val="08CD219D"/>
    <w:rsid w:val="08CD21DE"/>
    <w:rsid w:val="08CD2208"/>
    <w:rsid w:val="08CD2219"/>
    <w:rsid w:val="08CD2259"/>
    <w:rsid w:val="08CD2264"/>
    <w:rsid w:val="08CD2307"/>
    <w:rsid w:val="08CD2363"/>
    <w:rsid w:val="08CD23A4"/>
    <w:rsid w:val="08CD23DD"/>
    <w:rsid w:val="08CD2444"/>
    <w:rsid w:val="08CD254C"/>
    <w:rsid w:val="08CD25DC"/>
    <w:rsid w:val="08CD2619"/>
    <w:rsid w:val="08CD264F"/>
    <w:rsid w:val="08CD26DA"/>
    <w:rsid w:val="08CD2808"/>
    <w:rsid w:val="08CD283E"/>
    <w:rsid w:val="08CD2894"/>
    <w:rsid w:val="08CD28B3"/>
    <w:rsid w:val="08CD28F8"/>
    <w:rsid w:val="08CD293F"/>
    <w:rsid w:val="08CD2988"/>
    <w:rsid w:val="08CD29D8"/>
    <w:rsid w:val="08CD2A6B"/>
    <w:rsid w:val="08CD2B75"/>
    <w:rsid w:val="08CD2CF6"/>
    <w:rsid w:val="08CD2D0F"/>
    <w:rsid w:val="08CD2D1E"/>
    <w:rsid w:val="08CD2D5B"/>
    <w:rsid w:val="08CD2D7F"/>
    <w:rsid w:val="08CD2D91"/>
    <w:rsid w:val="08CD2DA6"/>
    <w:rsid w:val="08CD2E09"/>
    <w:rsid w:val="08CD2E24"/>
    <w:rsid w:val="08CD2E6A"/>
    <w:rsid w:val="08CD2E88"/>
    <w:rsid w:val="08CD2EEB"/>
    <w:rsid w:val="08CD2F9A"/>
    <w:rsid w:val="08CD2FA0"/>
    <w:rsid w:val="08CD2FC1"/>
    <w:rsid w:val="08CD2FEF"/>
    <w:rsid w:val="08CD3159"/>
    <w:rsid w:val="08CD3197"/>
    <w:rsid w:val="08CD3265"/>
    <w:rsid w:val="08CD327D"/>
    <w:rsid w:val="08CD3326"/>
    <w:rsid w:val="08CD3385"/>
    <w:rsid w:val="08CD3411"/>
    <w:rsid w:val="08CD344E"/>
    <w:rsid w:val="08CD359B"/>
    <w:rsid w:val="08CD3613"/>
    <w:rsid w:val="08CD3624"/>
    <w:rsid w:val="08CD3650"/>
    <w:rsid w:val="08CD36A5"/>
    <w:rsid w:val="08CD381C"/>
    <w:rsid w:val="08CD394E"/>
    <w:rsid w:val="08CD397B"/>
    <w:rsid w:val="08CD3992"/>
    <w:rsid w:val="08CD39F6"/>
    <w:rsid w:val="08CD3A70"/>
    <w:rsid w:val="08CD3AFE"/>
    <w:rsid w:val="08CD3B27"/>
    <w:rsid w:val="08CD3B35"/>
    <w:rsid w:val="08CD3B80"/>
    <w:rsid w:val="08CD3C13"/>
    <w:rsid w:val="08CD3C4B"/>
    <w:rsid w:val="08CD3C7E"/>
    <w:rsid w:val="08CD3CA8"/>
    <w:rsid w:val="08CD3CAF"/>
    <w:rsid w:val="08CD3D10"/>
    <w:rsid w:val="08CD3D35"/>
    <w:rsid w:val="08CD3DF3"/>
    <w:rsid w:val="08CD3E60"/>
    <w:rsid w:val="08CD3E69"/>
    <w:rsid w:val="08CD400B"/>
    <w:rsid w:val="08CD4014"/>
    <w:rsid w:val="08CD4133"/>
    <w:rsid w:val="08CD41BD"/>
    <w:rsid w:val="08CD41E3"/>
    <w:rsid w:val="08CD4228"/>
    <w:rsid w:val="08CD426F"/>
    <w:rsid w:val="08CD4336"/>
    <w:rsid w:val="08CD4349"/>
    <w:rsid w:val="08CD43BB"/>
    <w:rsid w:val="08CD4446"/>
    <w:rsid w:val="08CD4492"/>
    <w:rsid w:val="08CD45AF"/>
    <w:rsid w:val="08CD4687"/>
    <w:rsid w:val="08CD46D3"/>
    <w:rsid w:val="08CD46E0"/>
    <w:rsid w:val="08CD4743"/>
    <w:rsid w:val="08CD478C"/>
    <w:rsid w:val="08CD47ED"/>
    <w:rsid w:val="08CD47F9"/>
    <w:rsid w:val="08CD48A8"/>
    <w:rsid w:val="08CD48E4"/>
    <w:rsid w:val="08CD49A0"/>
    <w:rsid w:val="08CD49A4"/>
    <w:rsid w:val="08CD4B3D"/>
    <w:rsid w:val="08CD4B65"/>
    <w:rsid w:val="08CD4BE8"/>
    <w:rsid w:val="08CD4C42"/>
    <w:rsid w:val="08CD4D22"/>
    <w:rsid w:val="08CD4D44"/>
    <w:rsid w:val="08CD4D63"/>
    <w:rsid w:val="08CD4D64"/>
    <w:rsid w:val="08CD4D88"/>
    <w:rsid w:val="08CD4DDC"/>
    <w:rsid w:val="08CD4DE4"/>
    <w:rsid w:val="08CD4E63"/>
    <w:rsid w:val="08CD4E8F"/>
    <w:rsid w:val="08CD4EB2"/>
    <w:rsid w:val="08CD4F12"/>
    <w:rsid w:val="08CD4F21"/>
    <w:rsid w:val="08CD508B"/>
    <w:rsid w:val="08CD5131"/>
    <w:rsid w:val="08CD52D2"/>
    <w:rsid w:val="08CD5307"/>
    <w:rsid w:val="08CD53E4"/>
    <w:rsid w:val="08CD5430"/>
    <w:rsid w:val="08CD5526"/>
    <w:rsid w:val="08CD556B"/>
    <w:rsid w:val="08CD561A"/>
    <w:rsid w:val="08CD576C"/>
    <w:rsid w:val="08CD5794"/>
    <w:rsid w:val="08CD5840"/>
    <w:rsid w:val="08CD584E"/>
    <w:rsid w:val="08CD586C"/>
    <w:rsid w:val="08CD58FC"/>
    <w:rsid w:val="08CD5906"/>
    <w:rsid w:val="08CD59CE"/>
    <w:rsid w:val="08CD5A59"/>
    <w:rsid w:val="08CD5A5D"/>
    <w:rsid w:val="08CD5ABF"/>
    <w:rsid w:val="08CD5AF0"/>
    <w:rsid w:val="08CD5B15"/>
    <w:rsid w:val="08CD5B36"/>
    <w:rsid w:val="08CD5B61"/>
    <w:rsid w:val="08CD5C21"/>
    <w:rsid w:val="08CD5D9F"/>
    <w:rsid w:val="08CD5EA8"/>
    <w:rsid w:val="08CD5F43"/>
    <w:rsid w:val="08CD5F94"/>
    <w:rsid w:val="08CD601E"/>
    <w:rsid w:val="08CD60D1"/>
    <w:rsid w:val="08CD6130"/>
    <w:rsid w:val="08CD6161"/>
    <w:rsid w:val="08CD6220"/>
    <w:rsid w:val="08CD6231"/>
    <w:rsid w:val="08CD62AC"/>
    <w:rsid w:val="08CD6303"/>
    <w:rsid w:val="08CD63A6"/>
    <w:rsid w:val="08CD6462"/>
    <w:rsid w:val="08CD6518"/>
    <w:rsid w:val="08CD6564"/>
    <w:rsid w:val="08CD65A1"/>
    <w:rsid w:val="08CD65A6"/>
    <w:rsid w:val="08CD65BD"/>
    <w:rsid w:val="08CD65C0"/>
    <w:rsid w:val="08CD65C5"/>
    <w:rsid w:val="08CD65CD"/>
    <w:rsid w:val="08CD65EF"/>
    <w:rsid w:val="08CD65FE"/>
    <w:rsid w:val="08CD6609"/>
    <w:rsid w:val="08CD661A"/>
    <w:rsid w:val="08CD66FF"/>
    <w:rsid w:val="08CD6727"/>
    <w:rsid w:val="08CD679D"/>
    <w:rsid w:val="08CD67E6"/>
    <w:rsid w:val="08CD68E9"/>
    <w:rsid w:val="08CD69A3"/>
    <w:rsid w:val="08CD69E3"/>
    <w:rsid w:val="08CD6A50"/>
    <w:rsid w:val="08CD6B34"/>
    <w:rsid w:val="08CD6C5A"/>
    <w:rsid w:val="08CD6C6F"/>
    <w:rsid w:val="08CD6C92"/>
    <w:rsid w:val="08CD6CE7"/>
    <w:rsid w:val="08CD6D77"/>
    <w:rsid w:val="08CD6D97"/>
    <w:rsid w:val="08CD6DF6"/>
    <w:rsid w:val="08CD6E1D"/>
    <w:rsid w:val="08CD6EB2"/>
    <w:rsid w:val="08CD6EE7"/>
    <w:rsid w:val="08CD6F47"/>
    <w:rsid w:val="08CD6FB7"/>
    <w:rsid w:val="08CD6FDB"/>
    <w:rsid w:val="08CD7014"/>
    <w:rsid w:val="08CD7064"/>
    <w:rsid w:val="08CD7099"/>
    <w:rsid w:val="08CD7211"/>
    <w:rsid w:val="08CD7377"/>
    <w:rsid w:val="08CD7382"/>
    <w:rsid w:val="08CD75C7"/>
    <w:rsid w:val="08CD763E"/>
    <w:rsid w:val="08CD777A"/>
    <w:rsid w:val="08CD77B9"/>
    <w:rsid w:val="08CD77BE"/>
    <w:rsid w:val="08CD77EF"/>
    <w:rsid w:val="08CD7815"/>
    <w:rsid w:val="08CD7863"/>
    <w:rsid w:val="08CD78C5"/>
    <w:rsid w:val="08CD78D9"/>
    <w:rsid w:val="08CD7931"/>
    <w:rsid w:val="08CD7A4C"/>
    <w:rsid w:val="08CD7A8B"/>
    <w:rsid w:val="08CD7AA6"/>
    <w:rsid w:val="08CD7B1F"/>
    <w:rsid w:val="08CD7B7D"/>
    <w:rsid w:val="08CD7B91"/>
    <w:rsid w:val="08CD7BD0"/>
    <w:rsid w:val="08CD7CAE"/>
    <w:rsid w:val="08CD7E80"/>
    <w:rsid w:val="08CD7EB4"/>
    <w:rsid w:val="08CD7F46"/>
    <w:rsid w:val="08CD7FD9"/>
    <w:rsid w:val="08CE00DB"/>
    <w:rsid w:val="08CE00F1"/>
    <w:rsid w:val="08CE0196"/>
    <w:rsid w:val="08CE019A"/>
    <w:rsid w:val="08CE021D"/>
    <w:rsid w:val="08CE025C"/>
    <w:rsid w:val="08CE026C"/>
    <w:rsid w:val="08CE026F"/>
    <w:rsid w:val="08CE02FC"/>
    <w:rsid w:val="08CE03A9"/>
    <w:rsid w:val="08CE03BB"/>
    <w:rsid w:val="08CE03DB"/>
    <w:rsid w:val="08CE041B"/>
    <w:rsid w:val="08CE0434"/>
    <w:rsid w:val="08CE04B7"/>
    <w:rsid w:val="08CE05A6"/>
    <w:rsid w:val="08CE05E7"/>
    <w:rsid w:val="08CE0700"/>
    <w:rsid w:val="08CE092F"/>
    <w:rsid w:val="08CE0972"/>
    <w:rsid w:val="08CE0994"/>
    <w:rsid w:val="08CE0A9B"/>
    <w:rsid w:val="08CE0AD1"/>
    <w:rsid w:val="08CE0ADD"/>
    <w:rsid w:val="08CE0B46"/>
    <w:rsid w:val="08CE0BB1"/>
    <w:rsid w:val="08CE0C30"/>
    <w:rsid w:val="08CE0C71"/>
    <w:rsid w:val="08CE0C9A"/>
    <w:rsid w:val="08CE0D44"/>
    <w:rsid w:val="08CE0D5B"/>
    <w:rsid w:val="08CE0DA8"/>
    <w:rsid w:val="08CE0DBE"/>
    <w:rsid w:val="08CE0ECD"/>
    <w:rsid w:val="08CE1094"/>
    <w:rsid w:val="08CE1097"/>
    <w:rsid w:val="08CE1129"/>
    <w:rsid w:val="08CE1236"/>
    <w:rsid w:val="08CE126F"/>
    <w:rsid w:val="08CE143A"/>
    <w:rsid w:val="08CE14DF"/>
    <w:rsid w:val="08CE1578"/>
    <w:rsid w:val="08CE15AC"/>
    <w:rsid w:val="08CE160E"/>
    <w:rsid w:val="08CE1718"/>
    <w:rsid w:val="08CE173F"/>
    <w:rsid w:val="08CE1796"/>
    <w:rsid w:val="08CE1878"/>
    <w:rsid w:val="08CE194E"/>
    <w:rsid w:val="08CE19D7"/>
    <w:rsid w:val="08CE1A94"/>
    <w:rsid w:val="08CE1B22"/>
    <w:rsid w:val="08CE1B3E"/>
    <w:rsid w:val="08CE1B9B"/>
    <w:rsid w:val="08CE1C23"/>
    <w:rsid w:val="08CE1C5E"/>
    <w:rsid w:val="08CE1D2D"/>
    <w:rsid w:val="08CE1DBA"/>
    <w:rsid w:val="08CE1F62"/>
    <w:rsid w:val="08CE2043"/>
    <w:rsid w:val="08CE208B"/>
    <w:rsid w:val="08CE2098"/>
    <w:rsid w:val="08CE20C6"/>
    <w:rsid w:val="08CE2112"/>
    <w:rsid w:val="08CE2166"/>
    <w:rsid w:val="08CE220E"/>
    <w:rsid w:val="08CE2220"/>
    <w:rsid w:val="08CE2243"/>
    <w:rsid w:val="08CE22A3"/>
    <w:rsid w:val="08CE22E0"/>
    <w:rsid w:val="08CE2323"/>
    <w:rsid w:val="08CE234A"/>
    <w:rsid w:val="08CE2363"/>
    <w:rsid w:val="08CE23E0"/>
    <w:rsid w:val="08CE24AA"/>
    <w:rsid w:val="08CE252C"/>
    <w:rsid w:val="08CE2637"/>
    <w:rsid w:val="08CE264C"/>
    <w:rsid w:val="08CE27B5"/>
    <w:rsid w:val="08CE2841"/>
    <w:rsid w:val="08CE293D"/>
    <w:rsid w:val="08CE29D2"/>
    <w:rsid w:val="08CE29E1"/>
    <w:rsid w:val="08CE2B21"/>
    <w:rsid w:val="08CE2BD7"/>
    <w:rsid w:val="08CE2C40"/>
    <w:rsid w:val="08CE2CA6"/>
    <w:rsid w:val="08CE2CF3"/>
    <w:rsid w:val="08CE2D01"/>
    <w:rsid w:val="08CE2D05"/>
    <w:rsid w:val="08CE2D0A"/>
    <w:rsid w:val="08CE2F1B"/>
    <w:rsid w:val="08CE2F55"/>
    <w:rsid w:val="08CE302D"/>
    <w:rsid w:val="08CE3188"/>
    <w:rsid w:val="08CE321F"/>
    <w:rsid w:val="08CE3231"/>
    <w:rsid w:val="08CE32CB"/>
    <w:rsid w:val="08CE3314"/>
    <w:rsid w:val="08CE3390"/>
    <w:rsid w:val="08CE341F"/>
    <w:rsid w:val="08CE34CF"/>
    <w:rsid w:val="08CE34E3"/>
    <w:rsid w:val="08CE34F2"/>
    <w:rsid w:val="08CE3530"/>
    <w:rsid w:val="08CE35AC"/>
    <w:rsid w:val="08CE35C3"/>
    <w:rsid w:val="08CE36E2"/>
    <w:rsid w:val="08CE36F1"/>
    <w:rsid w:val="08CE37D8"/>
    <w:rsid w:val="08CE383C"/>
    <w:rsid w:val="08CE38B3"/>
    <w:rsid w:val="08CE38E3"/>
    <w:rsid w:val="08CE3995"/>
    <w:rsid w:val="08CE3A07"/>
    <w:rsid w:val="08CE3A24"/>
    <w:rsid w:val="08CE3B17"/>
    <w:rsid w:val="08CE3B5C"/>
    <w:rsid w:val="08CE3CF4"/>
    <w:rsid w:val="08CE3D0F"/>
    <w:rsid w:val="08CE3E36"/>
    <w:rsid w:val="08CE3EB1"/>
    <w:rsid w:val="08CE3ED7"/>
    <w:rsid w:val="08CE3EE6"/>
    <w:rsid w:val="08CE3F82"/>
    <w:rsid w:val="08CE3FF3"/>
    <w:rsid w:val="08CE403A"/>
    <w:rsid w:val="08CE4093"/>
    <w:rsid w:val="08CE41CC"/>
    <w:rsid w:val="08CE421A"/>
    <w:rsid w:val="08CE4225"/>
    <w:rsid w:val="08CE42A8"/>
    <w:rsid w:val="08CE434A"/>
    <w:rsid w:val="08CE4413"/>
    <w:rsid w:val="08CE4430"/>
    <w:rsid w:val="08CE45D6"/>
    <w:rsid w:val="08CE4648"/>
    <w:rsid w:val="08CE466F"/>
    <w:rsid w:val="08CE47DF"/>
    <w:rsid w:val="08CE48C9"/>
    <w:rsid w:val="08CE4A1F"/>
    <w:rsid w:val="08CE4A20"/>
    <w:rsid w:val="08CE4BE2"/>
    <w:rsid w:val="08CE4C5F"/>
    <w:rsid w:val="08CE4C78"/>
    <w:rsid w:val="08CE4CC9"/>
    <w:rsid w:val="08CE4CFD"/>
    <w:rsid w:val="08CE4D3A"/>
    <w:rsid w:val="08CE4D3C"/>
    <w:rsid w:val="08CE4D60"/>
    <w:rsid w:val="08CE4DB5"/>
    <w:rsid w:val="08CE4DB9"/>
    <w:rsid w:val="08CE4DE3"/>
    <w:rsid w:val="08CE4DF4"/>
    <w:rsid w:val="08CE4E6C"/>
    <w:rsid w:val="08CE4F53"/>
    <w:rsid w:val="08CE5174"/>
    <w:rsid w:val="08CE52B2"/>
    <w:rsid w:val="08CE52E4"/>
    <w:rsid w:val="08CE5524"/>
    <w:rsid w:val="08CE5627"/>
    <w:rsid w:val="08CE5689"/>
    <w:rsid w:val="08CE56B8"/>
    <w:rsid w:val="08CE5757"/>
    <w:rsid w:val="08CE57C3"/>
    <w:rsid w:val="08CE57FE"/>
    <w:rsid w:val="08CE57FF"/>
    <w:rsid w:val="08CE58C9"/>
    <w:rsid w:val="08CE5912"/>
    <w:rsid w:val="08CE5971"/>
    <w:rsid w:val="08CE59FA"/>
    <w:rsid w:val="08CE5A19"/>
    <w:rsid w:val="08CE5A4E"/>
    <w:rsid w:val="08CE5A60"/>
    <w:rsid w:val="08CE5A99"/>
    <w:rsid w:val="08CE5AAD"/>
    <w:rsid w:val="08CE5ACC"/>
    <w:rsid w:val="08CE5BF4"/>
    <w:rsid w:val="08CE5C3A"/>
    <w:rsid w:val="08CE5CD7"/>
    <w:rsid w:val="08CE5CD9"/>
    <w:rsid w:val="08CE5E1E"/>
    <w:rsid w:val="08CE5E70"/>
    <w:rsid w:val="08CE5E83"/>
    <w:rsid w:val="08CE5E85"/>
    <w:rsid w:val="08CE5F19"/>
    <w:rsid w:val="08CE5F54"/>
    <w:rsid w:val="08CE5F99"/>
    <w:rsid w:val="08CE600A"/>
    <w:rsid w:val="08CE6132"/>
    <w:rsid w:val="08CE6177"/>
    <w:rsid w:val="08CE61AA"/>
    <w:rsid w:val="08CE6260"/>
    <w:rsid w:val="08CE62D2"/>
    <w:rsid w:val="08CE638C"/>
    <w:rsid w:val="08CE6395"/>
    <w:rsid w:val="08CE63C5"/>
    <w:rsid w:val="08CE642B"/>
    <w:rsid w:val="08CE6438"/>
    <w:rsid w:val="08CE64ED"/>
    <w:rsid w:val="08CE6516"/>
    <w:rsid w:val="08CE65B9"/>
    <w:rsid w:val="08CE665F"/>
    <w:rsid w:val="08CE66EA"/>
    <w:rsid w:val="08CE6758"/>
    <w:rsid w:val="08CE6772"/>
    <w:rsid w:val="08CE6AA5"/>
    <w:rsid w:val="08CE6D15"/>
    <w:rsid w:val="08CE6D18"/>
    <w:rsid w:val="08CE6D81"/>
    <w:rsid w:val="08CE6E03"/>
    <w:rsid w:val="08CE6E79"/>
    <w:rsid w:val="08CE6EC5"/>
    <w:rsid w:val="08CE6F1C"/>
    <w:rsid w:val="08CE6F5C"/>
    <w:rsid w:val="08CE6F67"/>
    <w:rsid w:val="08CE7057"/>
    <w:rsid w:val="08CE7121"/>
    <w:rsid w:val="08CE71BF"/>
    <w:rsid w:val="08CE71D7"/>
    <w:rsid w:val="08CE71E8"/>
    <w:rsid w:val="08CE721C"/>
    <w:rsid w:val="08CE72F0"/>
    <w:rsid w:val="08CE7318"/>
    <w:rsid w:val="08CE7346"/>
    <w:rsid w:val="08CE7457"/>
    <w:rsid w:val="08CE74A6"/>
    <w:rsid w:val="08CE7566"/>
    <w:rsid w:val="08CE765B"/>
    <w:rsid w:val="08CE7674"/>
    <w:rsid w:val="08CE76C6"/>
    <w:rsid w:val="08CE76DB"/>
    <w:rsid w:val="08CE76ED"/>
    <w:rsid w:val="08CE77C5"/>
    <w:rsid w:val="08CE789F"/>
    <w:rsid w:val="08CE78D3"/>
    <w:rsid w:val="08CE790E"/>
    <w:rsid w:val="08CE792A"/>
    <w:rsid w:val="08CE794C"/>
    <w:rsid w:val="08CE79C9"/>
    <w:rsid w:val="08CE7A8B"/>
    <w:rsid w:val="08CE7A9D"/>
    <w:rsid w:val="08CE7AC7"/>
    <w:rsid w:val="08CE7B13"/>
    <w:rsid w:val="08CE7B9B"/>
    <w:rsid w:val="08CE7C20"/>
    <w:rsid w:val="08CE7CAD"/>
    <w:rsid w:val="08CE7D71"/>
    <w:rsid w:val="08CE7D97"/>
    <w:rsid w:val="08CE7DA3"/>
    <w:rsid w:val="08CE7DC7"/>
    <w:rsid w:val="08CE7E71"/>
    <w:rsid w:val="08CE7FEA"/>
    <w:rsid w:val="08CF0057"/>
    <w:rsid w:val="08CF00EC"/>
    <w:rsid w:val="08CF0171"/>
    <w:rsid w:val="08CF0177"/>
    <w:rsid w:val="08CF033B"/>
    <w:rsid w:val="08CF0362"/>
    <w:rsid w:val="08CF0407"/>
    <w:rsid w:val="08CF042A"/>
    <w:rsid w:val="08CF0505"/>
    <w:rsid w:val="08CF056D"/>
    <w:rsid w:val="08CF0589"/>
    <w:rsid w:val="08CF0596"/>
    <w:rsid w:val="08CF05A7"/>
    <w:rsid w:val="08CF06DB"/>
    <w:rsid w:val="08CF070E"/>
    <w:rsid w:val="08CF071D"/>
    <w:rsid w:val="08CF078B"/>
    <w:rsid w:val="08CF07FF"/>
    <w:rsid w:val="08CF0822"/>
    <w:rsid w:val="08CF0961"/>
    <w:rsid w:val="08CF096B"/>
    <w:rsid w:val="08CF096E"/>
    <w:rsid w:val="08CF0AA8"/>
    <w:rsid w:val="08CF0AD4"/>
    <w:rsid w:val="08CF0AEE"/>
    <w:rsid w:val="08CF0BA0"/>
    <w:rsid w:val="08CF0BF2"/>
    <w:rsid w:val="08CF0CB4"/>
    <w:rsid w:val="08CF0CF5"/>
    <w:rsid w:val="08CF0D1A"/>
    <w:rsid w:val="08CF0EEA"/>
    <w:rsid w:val="08CF0EFE"/>
    <w:rsid w:val="08CF0F2A"/>
    <w:rsid w:val="08CF0F7D"/>
    <w:rsid w:val="08CF0F87"/>
    <w:rsid w:val="08CF100B"/>
    <w:rsid w:val="08CF1034"/>
    <w:rsid w:val="08CF118B"/>
    <w:rsid w:val="08CF11AC"/>
    <w:rsid w:val="08CF1253"/>
    <w:rsid w:val="08CF1255"/>
    <w:rsid w:val="08CF1293"/>
    <w:rsid w:val="08CF1371"/>
    <w:rsid w:val="08CF13DE"/>
    <w:rsid w:val="08CF1412"/>
    <w:rsid w:val="08CF1431"/>
    <w:rsid w:val="08CF1602"/>
    <w:rsid w:val="08CF168A"/>
    <w:rsid w:val="08CF16BF"/>
    <w:rsid w:val="08CF16D0"/>
    <w:rsid w:val="08CF16F5"/>
    <w:rsid w:val="08CF174C"/>
    <w:rsid w:val="08CF176C"/>
    <w:rsid w:val="08CF17E9"/>
    <w:rsid w:val="08CF1835"/>
    <w:rsid w:val="08CF1847"/>
    <w:rsid w:val="08CF1880"/>
    <w:rsid w:val="08CF190D"/>
    <w:rsid w:val="08CF194F"/>
    <w:rsid w:val="08CF1B5A"/>
    <w:rsid w:val="08CF1C47"/>
    <w:rsid w:val="08CF1C4F"/>
    <w:rsid w:val="08CF1C58"/>
    <w:rsid w:val="08CF1C5C"/>
    <w:rsid w:val="08CF1C5D"/>
    <w:rsid w:val="08CF1C7B"/>
    <w:rsid w:val="08CF1C80"/>
    <w:rsid w:val="08CF1CB0"/>
    <w:rsid w:val="08CF1E63"/>
    <w:rsid w:val="08CF2010"/>
    <w:rsid w:val="08CF205F"/>
    <w:rsid w:val="08CF2066"/>
    <w:rsid w:val="08CF2084"/>
    <w:rsid w:val="08CF2144"/>
    <w:rsid w:val="08CF2151"/>
    <w:rsid w:val="08CF215B"/>
    <w:rsid w:val="08CF218B"/>
    <w:rsid w:val="08CF21FE"/>
    <w:rsid w:val="08CF22D4"/>
    <w:rsid w:val="08CF2342"/>
    <w:rsid w:val="08CF23DE"/>
    <w:rsid w:val="08CF243D"/>
    <w:rsid w:val="08CF24D4"/>
    <w:rsid w:val="08CF250C"/>
    <w:rsid w:val="08CF252B"/>
    <w:rsid w:val="08CF258C"/>
    <w:rsid w:val="08CF2653"/>
    <w:rsid w:val="08CF268F"/>
    <w:rsid w:val="08CF26F2"/>
    <w:rsid w:val="08CF2737"/>
    <w:rsid w:val="08CF280B"/>
    <w:rsid w:val="08CF283A"/>
    <w:rsid w:val="08CF2A62"/>
    <w:rsid w:val="08CF2B16"/>
    <w:rsid w:val="08CF2B81"/>
    <w:rsid w:val="08CF2C42"/>
    <w:rsid w:val="08CF2C77"/>
    <w:rsid w:val="08CF2CE1"/>
    <w:rsid w:val="08CF2CF2"/>
    <w:rsid w:val="08CF2D50"/>
    <w:rsid w:val="08CF2D51"/>
    <w:rsid w:val="08CF2E8F"/>
    <w:rsid w:val="08CF2EAB"/>
    <w:rsid w:val="08CF2ED7"/>
    <w:rsid w:val="08CF2EFE"/>
    <w:rsid w:val="08CF2F4D"/>
    <w:rsid w:val="08CF2F9E"/>
    <w:rsid w:val="08CF2FA4"/>
    <w:rsid w:val="08CF300D"/>
    <w:rsid w:val="08CF30C0"/>
    <w:rsid w:val="08CF3148"/>
    <w:rsid w:val="08CF3163"/>
    <w:rsid w:val="08CF316B"/>
    <w:rsid w:val="08CF3194"/>
    <w:rsid w:val="08CF319B"/>
    <w:rsid w:val="08CF31E7"/>
    <w:rsid w:val="08CF320B"/>
    <w:rsid w:val="08CF3229"/>
    <w:rsid w:val="08CF32A9"/>
    <w:rsid w:val="08CF32B9"/>
    <w:rsid w:val="08CF32D2"/>
    <w:rsid w:val="08CF32F7"/>
    <w:rsid w:val="08CF3374"/>
    <w:rsid w:val="08CF3486"/>
    <w:rsid w:val="08CF3496"/>
    <w:rsid w:val="08CF35E0"/>
    <w:rsid w:val="08CF3666"/>
    <w:rsid w:val="08CF37B4"/>
    <w:rsid w:val="08CF3961"/>
    <w:rsid w:val="08CF3978"/>
    <w:rsid w:val="08CF3984"/>
    <w:rsid w:val="08CF3ABB"/>
    <w:rsid w:val="08CF3BC3"/>
    <w:rsid w:val="08CF3BEA"/>
    <w:rsid w:val="08CF3C69"/>
    <w:rsid w:val="08CF3C73"/>
    <w:rsid w:val="08CF3D43"/>
    <w:rsid w:val="08CF3D4D"/>
    <w:rsid w:val="08CF3DE2"/>
    <w:rsid w:val="08CF4000"/>
    <w:rsid w:val="08CF400A"/>
    <w:rsid w:val="08CF4103"/>
    <w:rsid w:val="08CF41DA"/>
    <w:rsid w:val="08CF4214"/>
    <w:rsid w:val="08CF42A9"/>
    <w:rsid w:val="08CF42AD"/>
    <w:rsid w:val="08CF42B4"/>
    <w:rsid w:val="08CF431C"/>
    <w:rsid w:val="08CF4370"/>
    <w:rsid w:val="08CF4483"/>
    <w:rsid w:val="08CF449E"/>
    <w:rsid w:val="08CF4594"/>
    <w:rsid w:val="08CF4696"/>
    <w:rsid w:val="08CF46B4"/>
    <w:rsid w:val="08CF46C0"/>
    <w:rsid w:val="08CF46F0"/>
    <w:rsid w:val="08CF4712"/>
    <w:rsid w:val="08CF4761"/>
    <w:rsid w:val="08CF4791"/>
    <w:rsid w:val="08CF48C3"/>
    <w:rsid w:val="08CF490A"/>
    <w:rsid w:val="08CF490C"/>
    <w:rsid w:val="08CF49A3"/>
    <w:rsid w:val="08CF49CB"/>
    <w:rsid w:val="08CF4A0D"/>
    <w:rsid w:val="08CF4A70"/>
    <w:rsid w:val="08CF4A9B"/>
    <w:rsid w:val="08CF4B4A"/>
    <w:rsid w:val="08CF4CE0"/>
    <w:rsid w:val="08CF4D35"/>
    <w:rsid w:val="08CF4D66"/>
    <w:rsid w:val="08CF4E2B"/>
    <w:rsid w:val="08CF4E7F"/>
    <w:rsid w:val="08CF4F31"/>
    <w:rsid w:val="08CF5014"/>
    <w:rsid w:val="08CF5027"/>
    <w:rsid w:val="08CF5050"/>
    <w:rsid w:val="08CF5059"/>
    <w:rsid w:val="08CF5085"/>
    <w:rsid w:val="08CF5096"/>
    <w:rsid w:val="08CF5099"/>
    <w:rsid w:val="08CF50C2"/>
    <w:rsid w:val="08CF50C9"/>
    <w:rsid w:val="08CF50D5"/>
    <w:rsid w:val="08CF5117"/>
    <w:rsid w:val="08CF5140"/>
    <w:rsid w:val="08CF514C"/>
    <w:rsid w:val="08CF514F"/>
    <w:rsid w:val="08CF5255"/>
    <w:rsid w:val="08CF52E2"/>
    <w:rsid w:val="08CF5353"/>
    <w:rsid w:val="08CF5489"/>
    <w:rsid w:val="08CF5508"/>
    <w:rsid w:val="08CF554A"/>
    <w:rsid w:val="08CF567C"/>
    <w:rsid w:val="08CF5684"/>
    <w:rsid w:val="08CF583C"/>
    <w:rsid w:val="08CF589B"/>
    <w:rsid w:val="08CF5946"/>
    <w:rsid w:val="08CF599F"/>
    <w:rsid w:val="08CF59A6"/>
    <w:rsid w:val="08CF59C1"/>
    <w:rsid w:val="08CF5A35"/>
    <w:rsid w:val="08CF5ACB"/>
    <w:rsid w:val="08CF5B19"/>
    <w:rsid w:val="08CF5BFD"/>
    <w:rsid w:val="08CF5C11"/>
    <w:rsid w:val="08CF5C1C"/>
    <w:rsid w:val="08CF5D98"/>
    <w:rsid w:val="08CF5E35"/>
    <w:rsid w:val="08CF5E4E"/>
    <w:rsid w:val="08CF5E7D"/>
    <w:rsid w:val="08CF5E85"/>
    <w:rsid w:val="08CF5F3E"/>
    <w:rsid w:val="08CF5F46"/>
    <w:rsid w:val="08CF6018"/>
    <w:rsid w:val="08CF6168"/>
    <w:rsid w:val="08CF62A3"/>
    <w:rsid w:val="08CF62C6"/>
    <w:rsid w:val="08CF62CB"/>
    <w:rsid w:val="08CF62D7"/>
    <w:rsid w:val="08CF6359"/>
    <w:rsid w:val="08CF637C"/>
    <w:rsid w:val="08CF6411"/>
    <w:rsid w:val="08CF644E"/>
    <w:rsid w:val="08CF6472"/>
    <w:rsid w:val="08CF6499"/>
    <w:rsid w:val="08CF656E"/>
    <w:rsid w:val="08CF65BF"/>
    <w:rsid w:val="08CF65D5"/>
    <w:rsid w:val="08CF66CD"/>
    <w:rsid w:val="08CF6714"/>
    <w:rsid w:val="08CF689B"/>
    <w:rsid w:val="08CF68DC"/>
    <w:rsid w:val="08CF6935"/>
    <w:rsid w:val="08CF6941"/>
    <w:rsid w:val="08CF6A7E"/>
    <w:rsid w:val="08CF6A82"/>
    <w:rsid w:val="08CF6AA4"/>
    <w:rsid w:val="08CF6B49"/>
    <w:rsid w:val="08CF6B50"/>
    <w:rsid w:val="08CF6B56"/>
    <w:rsid w:val="08CF6B57"/>
    <w:rsid w:val="08CF6B9A"/>
    <w:rsid w:val="08CF6B9F"/>
    <w:rsid w:val="08CF6C3C"/>
    <w:rsid w:val="08CF6D2F"/>
    <w:rsid w:val="08CF6D3F"/>
    <w:rsid w:val="08CF6D40"/>
    <w:rsid w:val="08CF6D84"/>
    <w:rsid w:val="08CF6DE7"/>
    <w:rsid w:val="08CF6E33"/>
    <w:rsid w:val="08CF6E7E"/>
    <w:rsid w:val="08CF6ECD"/>
    <w:rsid w:val="08CF6F21"/>
    <w:rsid w:val="08CF6FB4"/>
    <w:rsid w:val="08CF6FBD"/>
    <w:rsid w:val="08CF705E"/>
    <w:rsid w:val="08CF7122"/>
    <w:rsid w:val="08CF71A2"/>
    <w:rsid w:val="08CF7242"/>
    <w:rsid w:val="08CF7294"/>
    <w:rsid w:val="08CF72BB"/>
    <w:rsid w:val="08CF7355"/>
    <w:rsid w:val="08CF73CD"/>
    <w:rsid w:val="08CF73ED"/>
    <w:rsid w:val="08CF7467"/>
    <w:rsid w:val="08CF74D3"/>
    <w:rsid w:val="08CF7503"/>
    <w:rsid w:val="08CF752A"/>
    <w:rsid w:val="08CF7558"/>
    <w:rsid w:val="08CF75A9"/>
    <w:rsid w:val="08CF75AA"/>
    <w:rsid w:val="08CF7620"/>
    <w:rsid w:val="08CF76A6"/>
    <w:rsid w:val="08CF7758"/>
    <w:rsid w:val="08CF779F"/>
    <w:rsid w:val="08CF77CB"/>
    <w:rsid w:val="08CF77EC"/>
    <w:rsid w:val="08CF7832"/>
    <w:rsid w:val="08CF7929"/>
    <w:rsid w:val="08CF79A5"/>
    <w:rsid w:val="08CF7AFB"/>
    <w:rsid w:val="08CF7B72"/>
    <w:rsid w:val="08CF7C3E"/>
    <w:rsid w:val="08CF7C40"/>
    <w:rsid w:val="08CF7D38"/>
    <w:rsid w:val="08CF7D95"/>
    <w:rsid w:val="08CF7D97"/>
    <w:rsid w:val="08CF7E3E"/>
    <w:rsid w:val="08CF7E4B"/>
    <w:rsid w:val="08CF7FC5"/>
    <w:rsid w:val="08CF7FE4"/>
    <w:rsid w:val="08D000A8"/>
    <w:rsid w:val="08D00115"/>
    <w:rsid w:val="08D001BA"/>
    <w:rsid w:val="08D001F5"/>
    <w:rsid w:val="08D002CA"/>
    <w:rsid w:val="08D002E0"/>
    <w:rsid w:val="08D0030B"/>
    <w:rsid w:val="08D00323"/>
    <w:rsid w:val="08D00420"/>
    <w:rsid w:val="08D00439"/>
    <w:rsid w:val="08D00448"/>
    <w:rsid w:val="08D004ED"/>
    <w:rsid w:val="08D005B6"/>
    <w:rsid w:val="08D006BF"/>
    <w:rsid w:val="08D00721"/>
    <w:rsid w:val="08D0074A"/>
    <w:rsid w:val="08D007A3"/>
    <w:rsid w:val="08D007D6"/>
    <w:rsid w:val="08D008A6"/>
    <w:rsid w:val="08D008CB"/>
    <w:rsid w:val="08D008D1"/>
    <w:rsid w:val="08D00904"/>
    <w:rsid w:val="08D009EF"/>
    <w:rsid w:val="08D009F6"/>
    <w:rsid w:val="08D00A59"/>
    <w:rsid w:val="08D00B52"/>
    <w:rsid w:val="08D00BD2"/>
    <w:rsid w:val="08D00BE4"/>
    <w:rsid w:val="08D00C22"/>
    <w:rsid w:val="08D00D41"/>
    <w:rsid w:val="08D00E54"/>
    <w:rsid w:val="08D00F19"/>
    <w:rsid w:val="08D00FBA"/>
    <w:rsid w:val="08D00FC2"/>
    <w:rsid w:val="08D00FE4"/>
    <w:rsid w:val="08D01066"/>
    <w:rsid w:val="08D01084"/>
    <w:rsid w:val="08D01099"/>
    <w:rsid w:val="08D0114E"/>
    <w:rsid w:val="08D011E5"/>
    <w:rsid w:val="08D01237"/>
    <w:rsid w:val="08D012D6"/>
    <w:rsid w:val="08D0135E"/>
    <w:rsid w:val="08D0140A"/>
    <w:rsid w:val="08D0155B"/>
    <w:rsid w:val="08D01577"/>
    <w:rsid w:val="08D01660"/>
    <w:rsid w:val="08D016CB"/>
    <w:rsid w:val="08D01712"/>
    <w:rsid w:val="08D01781"/>
    <w:rsid w:val="08D01843"/>
    <w:rsid w:val="08D018C5"/>
    <w:rsid w:val="08D01985"/>
    <w:rsid w:val="08D019F0"/>
    <w:rsid w:val="08D01A42"/>
    <w:rsid w:val="08D01B42"/>
    <w:rsid w:val="08D01B5B"/>
    <w:rsid w:val="08D01C5E"/>
    <w:rsid w:val="08D01C7E"/>
    <w:rsid w:val="08D01CCF"/>
    <w:rsid w:val="08D01FD7"/>
    <w:rsid w:val="08D02052"/>
    <w:rsid w:val="08D0215A"/>
    <w:rsid w:val="08D02179"/>
    <w:rsid w:val="08D02245"/>
    <w:rsid w:val="08D0230A"/>
    <w:rsid w:val="08D023A3"/>
    <w:rsid w:val="08D023E3"/>
    <w:rsid w:val="08D0240F"/>
    <w:rsid w:val="08D024D0"/>
    <w:rsid w:val="08D025A6"/>
    <w:rsid w:val="08D025D5"/>
    <w:rsid w:val="08D02603"/>
    <w:rsid w:val="08D0263F"/>
    <w:rsid w:val="08D02668"/>
    <w:rsid w:val="08D02676"/>
    <w:rsid w:val="08D026AA"/>
    <w:rsid w:val="08D026F3"/>
    <w:rsid w:val="08D027E1"/>
    <w:rsid w:val="08D029D5"/>
    <w:rsid w:val="08D02B2C"/>
    <w:rsid w:val="08D02B7B"/>
    <w:rsid w:val="08D02B87"/>
    <w:rsid w:val="08D02B8E"/>
    <w:rsid w:val="08D02B99"/>
    <w:rsid w:val="08D02BD7"/>
    <w:rsid w:val="08D02C4C"/>
    <w:rsid w:val="08D02C81"/>
    <w:rsid w:val="08D02CC0"/>
    <w:rsid w:val="08D02DFA"/>
    <w:rsid w:val="08D02E93"/>
    <w:rsid w:val="08D02ED6"/>
    <w:rsid w:val="08D02EF0"/>
    <w:rsid w:val="08D02F49"/>
    <w:rsid w:val="08D02FDB"/>
    <w:rsid w:val="08D02FED"/>
    <w:rsid w:val="08D030C4"/>
    <w:rsid w:val="08D030D1"/>
    <w:rsid w:val="08D0310A"/>
    <w:rsid w:val="08D0313E"/>
    <w:rsid w:val="08D03172"/>
    <w:rsid w:val="08D031DB"/>
    <w:rsid w:val="08D0321F"/>
    <w:rsid w:val="08D03241"/>
    <w:rsid w:val="08D03259"/>
    <w:rsid w:val="08D03465"/>
    <w:rsid w:val="08D03475"/>
    <w:rsid w:val="08D03565"/>
    <w:rsid w:val="08D035FB"/>
    <w:rsid w:val="08D03719"/>
    <w:rsid w:val="08D03798"/>
    <w:rsid w:val="08D037C5"/>
    <w:rsid w:val="08D03881"/>
    <w:rsid w:val="08D03895"/>
    <w:rsid w:val="08D0389F"/>
    <w:rsid w:val="08D038AC"/>
    <w:rsid w:val="08D039C8"/>
    <w:rsid w:val="08D039F5"/>
    <w:rsid w:val="08D03A28"/>
    <w:rsid w:val="08D03B22"/>
    <w:rsid w:val="08D03B97"/>
    <w:rsid w:val="08D03CCD"/>
    <w:rsid w:val="08D03CD4"/>
    <w:rsid w:val="08D03D69"/>
    <w:rsid w:val="08D03D74"/>
    <w:rsid w:val="08D03DF9"/>
    <w:rsid w:val="08D03E50"/>
    <w:rsid w:val="08D03E5F"/>
    <w:rsid w:val="08D03EA9"/>
    <w:rsid w:val="08D03EDF"/>
    <w:rsid w:val="08D03F37"/>
    <w:rsid w:val="08D03F45"/>
    <w:rsid w:val="08D04023"/>
    <w:rsid w:val="08D04042"/>
    <w:rsid w:val="08D040A1"/>
    <w:rsid w:val="08D04174"/>
    <w:rsid w:val="08D04307"/>
    <w:rsid w:val="08D0443E"/>
    <w:rsid w:val="08D044C4"/>
    <w:rsid w:val="08D04525"/>
    <w:rsid w:val="08D0458D"/>
    <w:rsid w:val="08D046A7"/>
    <w:rsid w:val="08D0481F"/>
    <w:rsid w:val="08D04963"/>
    <w:rsid w:val="08D04A0C"/>
    <w:rsid w:val="08D04A43"/>
    <w:rsid w:val="08D04A75"/>
    <w:rsid w:val="08D04C5F"/>
    <w:rsid w:val="08D04CF6"/>
    <w:rsid w:val="08D04CF8"/>
    <w:rsid w:val="08D04D64"/>
    <w:rsid w:val="08D04DD5"/>
    <w:rsid w:val="08D04DDC"/>
    <w:rsid w:val="08D04EA1"/>
    <w:rsid w:val="08D04EF9"/>
    <w:rsid w:val="08D04FFC"/>
    <w:rsid w:val="08D05023"/>
    <w:rsid w:val="08D0512E"/>
    <w:rsid w:val="08D05193"/>
    <w:rsid w:val="08D052F8"/>
    <w:rsid w:val="08D052FB"/>
    <w:rsid w:val="08D05354"/>
    <w:rsid w:val="08D05391"/>
    <w:rsid w:val="08D053A3"/>
    <w:rsid w:val="08D053AE"/>
    <w:rsid w:val="08D0541C"/>
    <w:rsid w:val="08D05475"/>
    <w:rsid w:val="08D0548E"/>
    <w:rsid w:val="08D054C5"/>
    <w:rsid w:val="08D055CF"/>
    <w:rsid w:val="08D055DF"/>
    <w:rsid w:val="08D0561A"/>
    <w:rsid w:val="08D05704"/>
    <w:rsid w:val="08D05729"/>
    <w:rsid w:val="08D057DB"/>
    <w:rsid w:val="08D058F1"/>
    <w:rsid w:val="08D05A2E"/>
    <w:rsid w:val="08D05A75"/>
    <w:rsid w:val="08D05B17"/>
    <w:rsid w:val="08D05B36"/>
    <w:rsid w:val="08D05BF3"/>
    <w:rsid w:val="08D05C21"/>
    <w:rsid w:val="08D05C34"/>
    <w:rsid w:val="08D05C5A"/>
    <w:rsid w:val="08D05C87"/>
    <w:rsid w:val="08D05CB6"/>
    <w:rsid w:val="08D05DAA"/>
    <w:rsid w:val="08D05E68"/>
    <w:rsid w:val="08D05EC7"/>
    <w:rsid w:val="08D05F17"/>
    <w:rsid w:val="08D05F73"/>
    <w:rsid w:val="08D06084"/>
    <w:rsid w:val="08D060CF"/>
    <w:rsid w:val="08D06124"/>
    <w:rsid w:val="08D06146"/>
    <w:rsid w:val="08D06186"/>
    <w:rsid w:val="08D0619F"/>
    <w:rsid w:val="08D0621B"/>
    <w:rsid w:val="08D0621E"/>
    <w:rsid w:val="08D06222"/>
    <w:rsid w:val="08D06279"/>
    <w:rsid w:val="08D062D1"/>
    <w:rsid w:val="08D062DC"/>
    <w:rsid w:val="08D06376"/>
    <w:rsid w:val="08D06438"/>
    <w:rsid w:val="08D06446"/>
    <w:rsid w:val="08D06597"/>
    <w:rsid w:val="08D0660A"/>
    <w:rsid w:val="08D06680"/>
    <w:rsid w:val="08D066E0"/>
    <w:rsid w:val="08D06711"/>
    <w:rsid w:val="08D0678F"/>
    <w:rsid w:val="08D068A0"/>
    <w:rsid w:val="08D068E3"/>
    <w:rsid w:val="08D068EF"/>
    <w:rsid w:val="08D0692B"/>
    <w:rsid w:val="08D06939"/>
    <w:rsid w:val="08D06947"/>
    <w:rsid w:val="08D0699D"/>
    <w:rsid w:val="08D06BCF"/>
    <w:rsid w:val="08D06BD8"/>
    <w:rsid w:val="08D06C55"/>
    <w:rsid w:val="08D06C69"/>
    <w:rsid w:val="08D06CEC"/>
    <w:rsid w:val="08D06DCC"/>
    <w:rsid w:val="08D06E77"/>
    <w:rsid w:val="08D06ECE"/>
    <w:rsid w:val="08D06ED4"/>
    <w:rsid w:val="08D06F17"/>
    <w:rsid w:val="08D06F29"/>
    <w:rsid w:val="08D06F69"/>
    <w:rsid w:val="08D06FBB"/>
    <w:rsid w:val="08D07000"/>
    <w:rsid w:val="08D070AD"/>
    <w:rsid w:val="08D070BB"/>
    <w:rsid w:val="08D070C0"/>
    <w:rsid w:val="08D0729E"/>
    <w:rsid w:val="08D0736E"/>
    <w:rsid w:val="08D0738B"/>
    <w:rsid w:val="08D0745F"/>
    <w:rsid w:val="08D0747E"/>
    <w:rsid w:val="08D07639"/>
    <w:rsid w:val="08D076B3"/>
    <w:rsid w:val="08D076FA"/>
    <w:rsid w:val="08D0782E"/>
    <w:rsid w:val="08D078C6"/>
    <w:rsid w:val="08D07939"/>
    <w:rsid w:val="08D07A49"/>
    <w:rsid w:val="08D07AAF"/>
    <w:rsid w:val="08D07ADD"/>
    <w:rsid w:val="08D07B05"/>
    <w:rsid w:val="08D07B1D"/>
    <w:rsid w:val="08D07B41"/>
    <w:rsid w:val="08D07BE0"/>
    <w:rsid w:val="08D07BF1"/>
    <w:rsid w:val="08D07C01"/>
    <w:rsid w:val="08D07C5B"/>
    <w:rsid w:val="08D07C6D"/>
    <w:rsid w:val="08D07C9D"/>
    <w:rsid w:val="08D07CCC"/>
    <w:rsid w:val="08D07D04"/>
    <w:rsid w:val="08D07D1F"/>
    <w:rsid w:val="08D07D35"/>
    <w:rsid w:val="08D07DA7"/>
    <w:rsid w:val="08D07DF5"/>
    <w:rsid w:val="08D07E29"/>
    <w:rsid w:val="08D07E5F"/>
    <w:rsid w:val="08D07ED9"/>
    <w:rsid w:val="08D07F1B"/>
    <w:rsid w:val="08D07FF3"/>
    <w:rsid w:val="08D10045"/>
    <w:rsid w:val="08D1010E"/>
    <w:rsid w:val="08D10191"/>
    <w:rsid w:val="08D101F5"/>
    <w:rsid w:val="08D1031F"/>
    <w:rsid w:val="08D10387"/>
    <w:rsid w:val="08D103E8"/>
    <w:rsid w:val="08D10443"/>
    <w:rsid w:val="08D10451"/>
    <w:rsid w:val="08D10460"/>
    <w:rsid w:val="08D10484"/>
    <w:rsid w:val="08D1048E"/>
    <w:rsid w:val="08D104F6"/>
    <w:rsid w:val="08D10591"/>
    <w:rsid w:val="08D105AE"/>
    <w:rsid w:val="08D105E0"/>
    <w:rsid w:val="08D10617"/>
    <w:rsid w:val="08D10691"/>
    <w:rsid w:val="08D106F8"/>
    <w:rsid w:val="08D1080D"/>
    <w:rsid w:val="08D1083C"/>
    <w:rsid w:val="08D10841"/>
    <w:rsid w:val="08D10907"/>
    <w:rsid w:val="08D1091B"/>
    <w:rsid w:val="08D10B2F"/>
    <w:rsid w:val="08D10B90"/>
    <w:rsid w:val="08D10D71"/>
    <w:rsid w:val="08D10E70"/>
    <w:rsid w:val="08D10EDD"/>
    <w:rsid w:val="08D10F89"/>
    <w:rsid w:val="08D10FC4"/>
    <w:rsid w:val="08D11038"/>
    <w:rsid w:val="08D1103F"/>
    <w:rsid w:val="08D111CE"/>
    <w:rsid w:val="08D11214"/>
    <w:rsid w:val="08D1124B"/>
    <w:rsid w:val="08D112AD"/>
    <w:rsid w:val="08D11307"/>
    <w:rsid w:val="08D11320"/>
    <w:rsid w:val="08D11408"/>
    <w:rsid w:val="08D1144F"/>
    <w:rsid w:val="08D11459"/>
    <w:rsid w:val="08D114FC"/>
    <w:rsid w:val="08D115E8"/>
    <w:rsid w:val="08D11659"/>
    <w:rsid w:val="08D116D3"/>
    <w:rsid w:val="08D11771"/>
    <w:rsid w:val="08D1177F"/>
    <w:rsid w:val="08D117CE"/>
    <w:rsid w:val="08D1181D"/>
    <w:rsid w:val="08D1185C"/>
    <w:rsid w:val="08D119BD"/>
    <w:rsid w:val="08D11A97"/>
    <w:rsid w:val="08D11AE2"/>
    <w:rsid w:val="08D11B7D"/>
    <w:rsid w:val="08D11BD5"/>
    <w:rsid w:val="08D11BD8"/>
    <w:rsid w:val="08D11C51"/>
    <w:rsid w:val="08D11D5F"/>
    <w:rsid w:val="08D11D96"/>
    <w:rsid w:val="08D11F28"/>
    <w:rsid w:val="08D12028"/>
    <w:rsid w:val="08D12049"/>
    <w:rsid w:val="08D12102"/>
    <w:rsid w:val="08D1213C"/>
    <w:rsid w:val="08D12263"/>
    <w:rsid w:val="08D12277"/>
    <w:rsid w:val="08D12313"/>
    <w:rsid w:val="08D12397"/>
    <w:rsid w:val="08D123B0"/>
    <w:rsid w:val="08D123E3"/>
    <w:rsid w:val="08D12454"/>
    <w:rsid w:val="08D12477"/>
    <w:rsid w:val="08D124F9"/>
    <w:rsid w:val="08D12528"/>
    <w:rsid w:val="08D12531"/>
    <w:rsid w:val="08D125AF"/>
    <w:rsid w:val="08D125C9"/>
    <w:rsid w:val="08D125F8"/>
    <w:rsid w:val="08D12634"/>
    <w:rsid w:val="08D126AD"/>
    <w:rsid w:val="08D127E4"/>
    <w:rsid w:val="08D127FD"/>
    <w:rsid w:val="08D12877"/>
    <w:rsid w:val="08D12969"/>
    <w:rsid w:val="08D129EA"/>
    <w:rsid w:val="08D12AA0"/>
    <w:rsid w:val="08D12AE3"/>
    <w:rsid w:val="08D12B3E"/>
    <w:rsid w:val="08D12B69"/>
    <w:rsid w:val="08D12C0B"/>
    <w:rsid w:val="08D12C4D"/>
    <w:rsid w:val="08D12D35"/>
    <w:rsid w:val="08D12D79"/>
    <w:rsid w:val="08D12D90"/>
    <w:rsid w:val="08D12D9C"/>
    <w:rsid w:val="08D12EE4"/>
    <w:rsid w:val="08D12F01"/>
    <w:rsid w:val="08D12F18"/>
    <w:rsid w:val="08D12FDA"/>
    <w:rsid w:val="08D1302B"/>
    <w:rsid w:val="08D13041"/>
    <w:rsid w:val="08D13164"/>
    <w:rsid w:val="08D13182"/>
    <w:rsid w:val="08D131FF"/>
    <w:rsid w:val="08D1326C"/>
    <w:rsid w:val="08D13308"/>
    <w:rsid w:val="08D133F5"/>
    <w:rsid w:val="08D13470"/>
    <w:rsid w:val="08D13485"/>
    <w:rsid w:val="08D13725"/>
    <w:rsid w:val="08D1373F"/>
    <w:rsid w:val="08D1381B"/>
    <w:rsid w:val="08D13964"/>
    <w:rsid w:val="08D1397E"/>
    <w:rsid w:val="08D13A1F"/>
    <w:rsid w:val="08D13AB9"/>
    <w:rsid w:val="08D13B44"/>
    <w:rsid w:val="08D13B4D"/>
    <w:rsid w:val="08D13B7E"/>
    <w:rsid w:val="08D13BBD"/>
    <w:rsid w:val="08D13C51"/>
    <w:rsid w:val="08D13CFE"/>
    <w:rsid w:val="08D13D14"/>
    <w:rsid w:val="08D13D75"/>
    <w:rsid w:val="08D13E06"/>
    <w:rsid w:val="08D13EC4"/>
    <w:rsid w:val="08D13F4E"/>
    <w:rsid w:val="08D1400B"/>
    <w:rsid w:val="08D1400E"/>
    <w:rsid w:val="08D1407E"/>
    <w:rsid w:val="08D14187"/>
    <w:rsid w:val="08D14232"/>
    <w:rsid w:val="08D142B9"/>
    <w:rsid w:val="08D14318"/>
    <w:rsid w:val="08D143A0"/>
    <w:rsid w:val="08D143B4"/>
    <w:rsid w:val="08D143FF"/>
    <w:rsid w:val="08D1443F"/>
    <w:rsid w:val="08D144B8"/>
    <w:rsid w:val="08D14510"/>
    <w:rsid w:val="08D14533"/>
    <w:rsid w:val="08D14535"/>
    <w:rsid w:val="08D14550"/>
    <w:rsid w:val="08D145B4"/>
    <w:rsid w:val="08D145DE"/>
    <w:rsid w:val="08D145E4"/>
    <w:rsid w:val="08D14617"/>
    <w:rsid w:val="08D14765"/>
    <w:rsid w:val="08D147C0"/>
    <w:rsid w:val="08D14829"/>
    <w:rsid w:val="08D148D9"/>
    <w:rsid w:val="08D148F2"/>
    <w:rsid w:val="08D1495F"/>
    <w:rsid w:val="08D149AC"/>
    <w:rsid w:val="08D149B9"/>
    <w:rsid w:val="08D149E7"/>
    <w:rsid w:val="08D14A54"/>
    <w:rsid w:val="08D14AE0"/>
    <w:rsid w:val="08D14D23"/>
    <w:rsid w:val="08D14D2F"/>
    <w:rsid w:val="08D14DCA"/>
    <w:rsid w:val="08D14DCD"/>
    <w:rsid w:val="08D14E06"/>
    <w:rsid w:val="08D14E36"/>
    <w:rsid w:val="08D14FCE"/>
    <w:rsid w:val="08D15070"/>
    <w:rsid w:val="08D150E4"/>
    <w:rsid w:val="08D15196"/>
    <w:rsid w:val="08D15266"/>
    <w:rsid w:val="08D152AC"/>
    <w:rsid w:val="08D15359"/>
    <w:rsid w:val="08D15367"/>
    <w:rsid w:val="08D15447"/>
    <w:rsid w:val="08D154E7"/>
    <w:rsid w:val="08D1550B"/>
    <w:rsid w:val="08D1563B"/>
    <w:rsid w:val="08D156AA"/>
    <w:rsid w:val="08D15728"/>
    <w:rsid w:val="08D1583E"/>
    <w:rsid w:val="08D15880"/>
    <w:rsid w:val="08D158A2"/>
    <w:rsid w:val="08D15901"/>
    <w:rsid w:val="08D1590C"/>
    <w:rsid w:val="08D1592D"/>
    <w:rsid w:val="08D15A20"/>
    <w:rsid w:val="08D15A2D"/>
    <w:rsid w:val="08D15A6C"/>
    <w:rsid w:val="08D15A96"/>
    <w:rsid w:val="08D15AD7"/>
    <w:rsid w:val="08D15B51"/>
    <w:rsid w:val="08D15C5F"/>
    <w:rsid w:val="08D15C7A"/>
    <w:rsid w:val="08D15C83"/>
    <w:rsid w:val="08D15C9A"/>
    <w:rsid w:val="08D15CD5"/>
    <w:rsid w:val="08D15CEB"/>
    <w:rsid w:val="08D15D13"/>
    <w:rsid w:val="08D15E0C"/>
    <w:rsid w:val="08D15E5C"/>
    <w:rsid w:val="08D160BC"/>
    <w:rsid w:val="08D160E8"/>
    <w:rsid w:val="08D160EA"/>
    <w:rsid w:val="08D16285"/>
    <w:rsid w:val="08D1637F"/>
    <w:rsid w:val="08D16380"/>
    <w:rsid w:val="08D1640F"/>
    <w:rsid w:val="08D16484"/>
    <w:rsid w:val="08D1653C"/>
    <w:rsid w:val="08D165DF"/>
    <w:rsid w:val="08D165FD"/>
    <w:rsid w:val="08D16810"/>
    <w:rsid w:val="08D16854"/>
    <w:rsid w:val="08D168B1"/>
    <w:rsid w:val="08D16909"/>
    <w:rsid w:val="08D1696E"/>
    <w:rsid w:val="08D1698E"/>
    <w:rsid w:val="08D16B8A"/>
    <w:rsid w:val="08D16BCB"/>
    <w:rsid w:val="08D16C3F"/>
    <w:rsid w:val="08D16D29"/>
    <w:rsid w:val="08D16DA3"/>
    <w:rsid w:val="08D16DB4"/>
    <w:rsid w:val="08D16DC5"/>
    <w:rsid w:val="08D16EF0"/>
    <w:rsid w:val="08D16F4E"/>
    <w:rsid w:val="08D16F87"/>
    <w:rsid w:val="08D17022"/>
    <w:rsid w:val="08D1705F"/>
    <w:rsid w:val="08D170A4"/>
    <w:rsid w:val="08D171C6"/>
    <w:rsid w:val="08D17262"/>
    <w:rsid w:val="08D172B3"/>
    <w:rsid w:val="08D1731C"/>
    <w:rsid w:val="08D17349"/>
    <w:rsid w:val="08D1735B"/>
    <w:rsid w:val="08D173A2"/>
    <w:rsid w:val="08D173E0"/>
    <w:rsid w:val="08D1742E"/>
    <w:rsid w:val="08D17480"/>
    <w:rsid w:val="08D1749F"/>
    <w:rsid w:val="08D174EE"/>
    <w:rsid w:val="08D174F7"/>
    <w:rsid w:val="08D17576"/>
    <w:rsid w:val="08D175C2"/>
    <w:rsid w:val="08D17606"/>
    <w:rsid w:val="08D17677"/>
    <w:rsid w:val="08D176A1"/>
    <w:rsid w:val="08D17764"/>
    <w:rsid w:val="08D17894"/>
    <w:rsid w:val="08D17908"/>
    <w:rsid w:val="08D17B7C"/>
    <w:rsid w:val="08D17BE4"/>
    <w:rsid w:val="08D17BEE"/>
    <w:rsid w:val="08D17BF6"/>
    <w:rsid w:val="08D17C79"/>
    <w:rsid w:val="08D17D48"/>
    <w:rsid w:val="08D17DD5"/>
    <w:rsid w:val="08D17E4A"/>
    <w:rsid w:val="08D17EC8"/>
    <w:rsid w:val="08D17F71"/>
    <w:rsid w:val="08D2006D"/>
    <w:rsid w:val="08D200D8"/>
    <w:rsid w:val="08D200E4"/>
    <w:rsid w:val="08D2013B"/>
    <w:rsid w:val="08D2014B"/>
    <w:rsid w:val="08D202A3"/>
    <w:rsid w:val="08D2030A"/>
    <w:rsid w:val="08D2035E"/>
    <w:rsid w:val="08D20387"/>
    <w:rsid w:val="08D203E7"/>
    <w:rsid w:val="08D204BC"/>
    <w:rsid w:val="08D20621"/>
    <w:rsid w:val="08D20681"/>
    <w:rsid w:val="08D20859"/>
    <w:rsid w:val="08D20935"/>
    <w:rsid w:val="08D2097C"/>
    <w:rsid w:val="08D209CC"/>
    <w:rsid w:val="08D20A41"/>
    <w:rsid w:val="08D20A81"/>
    <w:rsid w:val="08D20A9F"/>
    <w:rsid w:val="08D20AEF"/>
    <w:rsid w:val="08D20CE4"/>
    <w:rsid w:val="08D20D6C"/>
    <w:rsid w:val="08D20E27"/>
    <w:rsid w:val="08D20E71"/>
    <w:rsid w:val="08D20E95"/>
    <w:rsid w:val="08D20EC4"/>
    <w:rsid w:val="08D20F0A"/>
    <w:rsid w:val="08D20FA0"/>
    <w:rsid w:val="08D21020"/>
    <w:rsid w:val="08D2104D"/>
    <w:rsid w:val="08D21053"/>
    <w:rsid w:val="08D210A2"/>
    <w:rsid w:val="08D2111F"/>
    <w:rsid w:val="08D21120"/>
    <w:rsid w:val="08D211F6"/>
    <w:rsid w:val="08D21253"/>
    <w:rsid w:val="08D21277"/>
    <w:rsid w:val="08D212C1"/>
    <w:rsid w:val="08D212C9"/>
    <w:rsid w:val="08D212CC"/>
    <w:rsid w:val="08D2133D"/>
    <w:rsid w:val="08D21391"/>
    <w:rsid w:val="08D2140A"/>
    <w:rsid w:val="08D2140E"/>
    <w:rsid w:val="08D214BC"/>
    <w:rsid w:val="08D214DB"/>
    <w:rsid w:val="08D214FE"/>
    <w:rsid w:val="08D2157D"/>
    <w:rsid w:val="08D2158C"/>
    <w:rsid w:val="08D21607"/>
    <w:rsid w:val="08D2162C"/>
    <w:rsid w:val="08D21701"/>
    <w:rsid w:val="08D21744"/>
    <w:rsid w:val="08D217D3"/>
    <w:rsid w:val="08D2183D"/>
    <w:rsid w:val="08D218AC"/>
    <w:rsid w:val="08D218CC"/>
    <w:rsid w:val="08D21920"/>
    <w:rsid w:val="08D21942"/>
    <w:rsid w:val="08D21944"/>
    <w:rsid w:val="08D2196C"/>
    <w:rsid w:val="08D21A4B"/>
    <w:rsid w:val="08D21A95"/>
    <w:rsid w:val="08D21B4D"/>
    <w:rsid w:val="08D21BBA"/>
    <w:rsid w:val="08D21C2C"/>
    <w:rsid w:val="08D21C5B"/>
    <w:rsid w:val="08D21C63"/>
    <w:rsid w:val="08D21CB1"/>
    <w:rsid w:val="08D21CB6"/>
    <w:rsid w:val="08D21CDD"/>
    <w:rsid w:val="08D21D93"/>
    <w:rsid w:val="08D21D9F"/>
    <w:rsid w:val="08D21DBF"/>
    <w:rsid w:val="08D21E00"/>
    <w:rsid w:val="08D21E5E"/>
    <w:rsid w:val="08D21F66"/>
    <w:rsid w:val="08D21F9B"/>
    <w:rsid w:val="08D21FB6"/>
    <w:rsid w:val="08D22031"/>
    <w:rsid w:val="08D22077"/>
    <w:rsid w:val="08D220E4"/>
    <w:rsid w:val="08D22178"/>
    <w:rsid w:val="08D2223A"/>
    <w:rsid w:val="08D22241"/>
    <w:rsid w:val="08D22250"/>
    <w:rsid w:val="08D22268"/>
    <w:rsid w:val="08D222C7"/>
    <w:rsid w:val="08D2235F"/>
    <w:rsid w:val="08D223FB"/>
    <w:rsid w:val="08D22410"/>
    <w:rsid w:val="08D224D4"/>
    <w:rsid w:val="08D22661"/>
    <w:rsid w:val="08D22673"/>
    <w:rsid w:val="08D2284B"/>
    <w:rsid w:val="08D228CC"/>
    <w:rsid w:val="08D22902"/>
    <w:rsid w:val="08D22937"/>
    <w:rsid w:val="08D2295C"/>
    <w:rsid w:val="08D229C7"/>
    <w:rsid w:val="08D22A3D"/>
    <w:rsid w:val="08D22AA7"/>
    <w:rsid w:val="08D22B55"/>
    <w:rsid w:val="08D22B60"/>
    <w:rsid w:val="08D22B6A"/>
    <w:rsid w:val="08D22BD6"/>
    <w:rsid w:val="08D22C06"/>
    <w:rsid w:val="08D22C0B"/>
    <w:rsid w:val="08D22C3F"/>
    <w:rsid w:val="08D22C55"/>
    <w:rsid w:val="08D22C90"/>
    <w:rsid w:val="08D22D9B"/>
    <w:rsid w:val="08D22DB4"/>
    <w:rsid w:val="08D22E65"/>
    <w:rsid w:val="08D23083"/>
    <w:rsid w:val="08D231D4"/>
    <w:rsid w:val="08D231EF"/>
    <w:rsid w:val="08D23212"/>
    <w:rsid w:val="08D233DB"/>
    <w:rsid w:val="08D233E3"/>
    <w:rsid w:val="08D233FC"/>
    <w:rsid w:val="08D23473"/>
    <w:rsid w:val="08D234A4"/>
    <w:rsid w:val="08D235A5"/>
    <w:rsid w:val="08D235EF"/>
    <w:rsid w:val="08D2367B"/>
    <w:rsid w:val="08D2369E"/>
    <w:rsid w:val="08D23713"/>
    <w:rsid w:val="08D23734"/>
    <w:rsid w:val="08D2376E"/>
    <w:rsid w:val="08D237A4"/>
    <w:rsid w:val="08D237CD"/>
    <w:rsid w:val="08D2383A"/>
    <w:rsid w:val="08D238F4"/>
    <w:rsid w:val="08D238F6"/>
    <w:rsid w:val="08D2390A"/>
    <w:rsid w:val="08D23925"/>
    <w:rsid w:val="08D2393E"/>
    <w:rsid w:val="08D23976"/>
    <w:rsid w:val="08D23A28"/>
    <w:rsid w:val="08D23AB1"/>
    <w:rsid w:val="08D23AE2"/>
    <w:rsid w:val="08D23B0B"/>
    <w:rsid w:val="08D23B35"/>
    <w:rsid w:val="08D23B61"/>
    <w:rsid w:val="08D23BD6"/>
    <w:rsid w:val="08D23C55"/>
    <w:rsid w:val="08D23CA0"/>
    <w:rsid w:val="08D23CF0"/>
    <w:rsid w:val="08D23CF8"/>
    <w:rsid w:val="08D23D0A"/>
    <w:rsid w:val="08D23D10"/>
    <w:rsid w:val="08D23D13"/>
    <w:rsid w:val="08D23D84"/>
    <w:rsid w:val="08D23E70"/>
    <w:rsid w:val="08D23F28"/>
    <w:rsid w:val="08D24100"/>
    <w:rsid w:val="08D2410E"/>
    <w:rsid w:val="08D241ED"/>
    <w:rsid w:val="08D24342"/>
    <w:rsid w:val="08D243F1"/>
    <w:rsid w:val="08D243FF"/>
    <w:rsid w:val="08D24490"/>
    <w:rsid w:val="08D244E7"/>
    <w:rsid w:val="08D24507"/>
    <w:rsid w:val="08D2451E"/>
    <w:rsid w:val="08D2459E"/>
    <w:rsid w:val="08D245AF"/>
    <w:rsid w:val="08D245F0"/>
    <w:rsid w:val="08D2462C"/>
    <w:rsid w:val="08D24669"/>
    <w:rsid w:val="08D24715"/>
    <w:rsid w:val="08D2475D"/>
    <w:rsid w:val="08D2478B"/>
    <w:rsid w:val="08D247D4"/>
    <w:rsid w:val="08D2482E"/>
    <w:rsid w:val="08D248AC"/>
    <w:rsid w:val="08D248BB"/>
    <w:rsid w:val="08D24951"/>
    <w:rsid w:val="08D24992"/>
    <w:rsid w:val="08D24A5E"/>
    <w:rsid w:val="08D24A69"/>
    <w:rsid w:val="08D24AE0"/>
    <w:rsid w:val="08D24B72"/>
    <w:rsid w:val="08D24C1C"/>
    <w:rsid w:val="08D24C6D"/>
    <w:rsid w:val="08D24C76"/>
    <w:rsid w:val="08D24D18"/>
    <w:rsid w:val="08D24D32"/>
    <w:rsid w:val="08D24E1F"/>
    <w:rsid w:val="08D24E63"/>
    <w:rsid w:val="08D24E7B"/>
    <w:rsid w:val="08D24F35"/>
    <w:rsid w:val="08D24F64"/>
    <w:rsid w:val="08D24F95"/>
    <w:rsid w:val="08D250A1"/>
    <w:rsid w:val="08D2513B"/>
    <w:rsid w:val="08D2513C"/>
    <w:rsid w:val="08D25149"/>
    <w:rsid w:val="08D2515E"/>
    <w:rsid w:val="08D25260"/>
    <w:rsid w:val="08D252E3"/>
    <w:rsid w:val="08D2536B"/>
    <w:rsid w:val="08D25378"/>
    <w:rsid w:val="08D2558B"/>
    <w:rsid w:val="08D255DE"/>
    <w:rsid w:val="08D25697"/>
    <w:rsid w:val="08D25719"/>
    <w:rsid w:val="08D25792"/>
    <w:rsid w:val="08D25809"/>
    <w:rsid w:val="08D25901"/>
    <w:rsid w:val="08D259C3"/>
    <w:rsid w:val="08D25A23"/>
    <w:rsid w:val="08D25A73"/>
    <w:rsid w:val="08D25AC4"/>
    <w:rsid w:val="08D25ACD"/>
    <w:rsid w:val="08D25B6C"/>
    <w:rsid w:val="08D25B91"/>
    <w:rsid w:val="08D25BAD"/>
    <w:rsid w:val="08D25C13"/>
    <w:rsid w:val="08D25C19"/>
    <w:rsid w:val="08D25DB5"/>
    <w:rsid w:val="08D25DC3"/>
    <w:rsid w:val="08D25E83"/>
    <w:rsid w:val="08D25EDB"/>
    <w:rsid w:val="08D26092"/>
    <w:rsid w:val="08D26118"/>
    <w:rsid w:val="08D2619E"/>
    <w:rsid w:val="08D26362"/>
    <w:rsid w:val="08D263DE"/>
    <w:rsid w:val="08D2653E"/>
    <w:rsid w:val="08D26552"/>
    <w:rsid w:val="08D266E7"/>
    <w:rsid w:val="08D26712"/>
    <w:rsid w:val="08D2676E"/>
    <w:rsid w:val="08D26774"/>
    <w:rsid w:val="08D26775"/>
    <w:rsid w:val="08D267B1"/>
    <w:rsid w:val="08D267DC"/>
    <w:rsid w:val="08D2680F"/>
    <w:rsid w:val="08D26911"/>
    <w:rsid w:val="08D2692C"/>
    <w:rsid w:val="08D26A62"/>
    <w:rsid w:val="08D26AE7"/>
    <w:rsid w:val="08D26B62"/>
    <w:rsid w:val="08D26BE3"/>
    <w:rsid w:val="08D26BF0"/>
    <w:rsid w:val="08D26C47"/>
    <w:rsid w:val="08D26D34"/>
    <w:rsid w:val="08D26DFB"/>
    <w:rsid w:val="08D26EA9"/>
    <w:rsid w:val="08D26F15"/>
    <w:rsid w:val="08D26F42"/>
    <w:rsid w:val="08D26F4F"/>
    <w:rsid w:val="08D26F99"/>
    <w:rsid w:val="08D27012"/>
    <w:rsid w:val="08D2703D"/>
    <w:rsid w:val="08D2704D"/>
    <w:rsid w:val="08D271EE"/>
    <w:rsid w:val="08D272CD"/>
    <w:rsid w:val="08D27526"/>
    <w:rsid w:val="08D275B2"/>
    <w:rsid w:val="08D275E5"/>
    <w:rsid w:val="08D276E1"/>
    <w:rsid w:val="08D2771A"/>
    <w:rsid w:val="08D27766"/>
    <w:rsid w:val="08D27775"/>
    <w:rsid w:val="08D2779B"/>
    <w:rsid w:val="08D2785C"/>
    <w:rsid w:val="08D27878"/>
    <w:rsid w:val="08D278DB"/>
    <w:rsid w:val="08D27977"/>
    <w:rsid w:val="08D27988"/>
    <w:rsid w:val="08D2798C"/>
    <w:rsid w:val="08D279E2"/>
    <w:rsid w:val="08D27A1C"/>
    <w:rsid w:val="08D27A43"/>
    <w:rsid w:val="08D27ADA"/>
    <w:rsid w:val="08D27AF9"/>
    <w:rsid w:val="08D27B20"/>
    <w:rsid w:val="08D27C76"/>
    <w:rsid w:val="08D27C9F"/>
    <w:rsid w:val="08D27CA2"/>
    <w:rsid w:val="08D27CCB"/>
    <w:rsid w:val="08D27CD2"/>
    <w:rsid w:val="08D27D22"/>
    <w:rsid w:val="08D27D2B"/>
    <w:rsid w:val="08D27D64"/>
    <w:rsid w:val="08D27DA0"/>
    <w:rsid w:val="08D27E99"/>
    <w:rsid w:val="08D27EFA"/>
    <w:rsid w:val="08D27FC0"/>
    <w:rsid w:val="08D27FCF"/>
    <w:rsid w:val="08D27FE2"/>
    <w:rsid w:val="08D27FF2"/>
    <w:rsid w:val="08D30269"/>
    <w:rsid w:val="08D303B7"/>
    <w:rsid w:val="08D30428"/>
    <w:rsid w:val="08D30432"/>
    <w:rsid w:val="08D30477"/>
    <w:rsid w:val="08D30489"/>
    <w:rsid w:val="08D304A0"/>
    <w:rsid w:val="08D304CE"/>
    <w:rsid w:val="08D3055B"/>
    <w:rsid w:val="08D3056A"/>
    <w:rsid w:val="08D3057A"/>
    <w:rsid w:val="08D305BF"/>
    <w:rsid w:val="08D305EA"/>
    <w:rsid w:val="08D3065C"/>
    <w:rsid w:val="08D306C7"/>
    <w:rsid w:val="08D306CA"/>
    <w:rsid w:val="08D3072D"/>
    <w:rsid w:val="08D307AE"/>
    <w:rsid w:val="08D3080C"/>
    <w:rsid w:val="08D30818"/>
    <w:rsid w:val="08D3083F"/>
    <w:rsid w:val="08D308AF"/>
    <w:rsid w:val="08D30A8F"/>
    <w:rsid w:val="08D30AB3"/>
    <w:rsid w:val="08D30AD1"/>
    <w:rsid w:val="08D30AFD"/>
    <w:rsid w:val="08D30B5C"/>
    <w:rsid w:val="08D30BB2"/>
    <w:rsid w:val="08D30C54"/>
    <w:rsid w:val="08D30C80"/>
    <w:rsid w:val="08D30D7A"/>
    <w:rsid w:val="08D30E4E"/>
    <w:rsid w:val="08D30E57"/>
    <w:rsid w:val="08D30E63"/>
    <w:rsid w:val="08D30EB1"/>
    <w:rsid w:val="08D30EF4"/>
    <w:rsid w:val="08D30F6C"/>
    <w:rsid w:val="08D30F8E"/>
    <w:rsid w:val="08D30FC8"/>
    <w:rsid w:val="08D31149"/>
    <w:rsid w:val="08D3114A"/>
    <w:rsid w:val="08D3116D"/>
    <w:rsid w:val="08D311D9"/>
    <w:rsid w:val="08D31283"/>
    <w:rsid w:val="08D312AC"/>
    <w:rsid w:val="08D31355"/>
    <w:rsid w:val="08D313BB"/>
    <w:rsid w:val="08D31419"/>
    <w:rsid w:val="08D31485"/>
    <w:rsid w:val="08D314BC"/>
    <w:rsid w:val="08D3152E"/>
    <w:rsid w:val="08D3154A"/>
    <w:rsid w:val="08D31682"/>
    <w:rsid w:val="08D319BD"/>
    <w:rsid w:val="08D319E6"/>
    <w:rsid w:val="08D319FC"/>
    <w:rsid w:val="08D31A62"/>
    <w:rsid w:val="08D31AFB"/>
    <w:rsid w:val="08D31B68"/>
    <w:rsid w:val="08D31B6F"/>
    <w:rsid w:val="08D31B88"/>
    <w:rsid w:val="08D31C2A"/>
    <w:rsid w:val="08D31CD2"/>
    <w:rsid w:val="08D31D73"/>
    <w:rsid w:val="08D31D7B"/>
    <w:rsid w:val="08D31DAD"/>
    <w:rsid w:val="08D31DBF"/>
    <w:rsid w:val="08D31DD0"/>
    <w:rsid w:val="08D31E6B"/>
    <w:rsid w:val="08D31E93"/>
    <w:rsid w:val="08D31E9D"/>
    <w:rsid w:val="08D31EE4"/>
    <w:rsid w:val="08D31F31"/>
    <w:rsid w:val="08D31FC1"/>
    <w:rsid w:val="08D31FD0"/>
    <w:rsid w:val="08D32007"/>
    <w:rsid w:val="08D32014"/>
    <w:rsid w:val="08D320BD"/>
    <w:rsid w:val="08D320F1"/>
    <w:rsid w:val="08D32171"/>
    <w:rsid w:val="08D32178"/>
    <w:rsid w:val="08D3218F"/>
    <w:rsid w:val="08D32192"/>
    <w:rsid w:val="08D32202"/>
    <w:rsid w:val="08D322D9"/>
    <w:rsid w:val="08D32388"/>
    <w:rsid w:val="08D3238E"/>
    <w:rsid w:val="08D323EC"/>
    <w:rsid w:val="08D3243E"/>
    <w:rsid w:val="08D32498"/>
    <w:rsid w:val="08D32751"/>
    <w:rsid w:val="08D32880"/>
    <w:rsid w:val="08D328DE"/>
    <w:rsid w:val="08D3292E"/>
    <w:rsid w:val="08D32998"/>
    <w:rsid w:val="08D329C8"/>
    <w:rsid w:val="08D329E3"/>
    <w:rsid w:val="08D32A0B"/>
    <w:rsid w:val="08D32ABF"/>
    <w:rsid w:val="08D32C1D"/>
    <w:rsid w:val="08D32CAA"/>
    <w:rsid w:val="08D32D18"/>
    <w:rsid w:val="08D32D24"/>
    <w:rsid w:val="08D32D4F"/>
    <w:rsid w:val="08D32E70"/>
    <w:rsid w:val="08D32EB5"/>
    <w:rsid w:val="08D32F97"/>
    <w:rsid w:val="08D32FE2"/>
    <w:rsid w:val="08D33130"/>
    <w:rsid w:val="08D3313F"/>
    <w:rsid w:val="08D33159"/>
    <w:rsid w:val="08D3315A"/>
    <w:rsid w:val="08D331A2"/>
    <w:rsid w:val="08D3328E"/>
    <w:rsid w:val="08D33315"/>
    <w:rsid w:val="08D33350"/>
    <w:rsid w:val="08D3337B"/>
    <w:rsid w:val="08D33389"/>
    <w:rsid w:val="08D333BE"/>
    <w:rsid w:val="08D3347C"/>
    <w:rsid w:val="08D334C6"/>
    <w:rsid w:val="08D33529"/>
    <w:rsid w:val="08D33539"/>
    <w:rsid w:val="08D3355C"/>
    <w:rsid w:val="08D33581"/>
    <w:rsid w:val="08D336E8"/>
    <w:rsid w:val="08D337D6"/>
    <w:rsid w:val="08D337DF"/>
    <w:rsid w:val="08D3380E"/>
    <w:rsid w:val="08D3387B"/>
    <w:rsid w:val="08D338C0"/>
    <w:rsid w:val="08D338FE"/>
    <w:rsid w:val="08D33A73"/>
    <w:rsid w:val="08D33AC1"/>
    <w:rsid w:val="08D33BDA"/>
    <w:rsid w:val="08D33C29"/>
    <w:rsid w:val="08D33C7E"/>
    <w:rsid w:val="08D33C82"/>
    <w:rsid w:val="08D33CDB"/>
    <w:rsid w:val="08D33CE1"/>
    <w:rsid w:val="08D33D99"/>
    <w:rsid w:val="08D33DC4"/>
    <w:rsid w:val="08D33DD3"/>
    <w:rsid w:val="08D33E29"/>
    <w:rsid w:val="08D33E4C"/>
    <w:rsid w:val="08D33E50"/>
    <w:rsid w:val="08D33E73"/>
    <w:rsid w:val="08D33E95"/>
    <w:rsid w:val="08D33F10"/>
    <w:rsid w:val="08D33F8B"/>
    <w:rsid w:val="08D33FB1"/>
    <w:rsid w:val="08D33FD7"/>
    <w:rsid w:val="08D3406C"/>
    <w:rsid w:val="08D34141"/>
    <w:rsid w:val="08D34298"/>
    <w:rsid w:val="08D343F8"/>
    <w:rsid w:val="08D34537"/>
    <w:rsid w:val="08D3469E"/>
    <w:rsid w:val="08D346A4"/>
    <w:rsid w:val="08D3473A"/>
    <w:rsid w:val="08D3478C"/>
    <w:rsid w:val="08D34790"/>
    <w:rsid w:val="08D3480E"/>
    <w:rsid w:val="08D348E8"/>
    <w:rsid w:val="08D34919"/>
    <w:rsid w:val="08D3493C"/>
    <w:rsid w:val="08D34A2C"/>
    <w:rsid w:val="08D34A95"/>
    <w:rsid w:val="08D34B4D"/>
    <w:rsid w:val="08D34B63"/>
    <w:rsid w:val="08D34B6B"/>
    <w:rsid w:val="08D34B6D"/>
    <w:rsid w:val="08D34BDF"/>
    <w:rsid w:val="08D34C2E"/>
    <w:rsid w:val="08D34C8E"/>
    <w:rsid w:val="08D34CB2"/>
    <w:rsid w:val="08D34CD7"/>
    <w:rsid w:val="08D34E17"/>
    <w:rsid w:val="08D34E47"/>
    <w:rsid w:val="08D34E7D"/>
    <w:rsid w:val="08D34FA1"/>
    <w:rsid w:val="08D3507F"/>
    <w:rsid w:val="08D35104"/>
    <w:rsid w:val="08D35120"/>
    <w:rsid w:val="08D35153"/>
    <w:rsid w:val="08D351B4"/>
    <w:rsid w:val="08D351B5"/>
    <w:rsid w:val="08D352E6"/>
    <w:rsid w:val="08D352EF"/>
    <w:rsid w:val="08D35323"/>
    <w:rsid w:val="08D35333"/>
    <w:rsid w:val="08D35374"/>
    <w:rsid w:val="08D35385"/>
    <w:rsid w:val="08D354AB"/>
    <w:rsid w:val="08D354DF"/>
    <w:rsid w:val="08D35549"/>
    <w:rsid w:val="08D356B1"/>
    <w:rsid w:val="08D35721"/>
    <w:rsid w:val="08D35779"/>
    <w:rsid w:val="08D3579A"/>
    <w:rsid w:val="08D358B7"/>
    <w:rsid w:val="08D358C8"/>
    <w:rsid w:val="08D35A57"/>
    <w:rsid w:val="08D35B1A"/>
    <w:rsid w:val="08D35B38"/>
    <w:rsid w:val="08D35B94"/>
    <w:rsid w:val="08D35C40"/>
    <w:rsid w:val="08D35C8E"/>
    <w:rsid w:val="08D35CAB"/>
    <w:rsid w:val="08D35CFA"/>
    <w:rsid w:val="08D35D97"/>
    <w:rsid w:val="08D35E26"/>
    <w:rsid w:val="08D35E46"/>
    <w:rsid w:val="08D35EBF"/>
    <w:rsid w:val="08D35FED"/>
    <w:rsid w:val="08D3606A"/>
    <w:rsid w:val="08D36140"/>
    <w:rsid w:val="08D361C9"/>
    <w:rsid w:val="08D361EA"/>
    <w:rsid w:val="08D3636C"/>
    <w:rsid w:val="08D3637A"/>
    <w:rsid w:val="08D363E0"/>
    <w:rsid w:val="08D3646B"/>
    <w:rsid w:val="08D364F1"/>
    <w:rsid w:val="08D36562"/>
    <w:rsid w:val="08D36594"/>
    <w:rsid w:val="08D365DB"/>
    <w:rsid w:val="08D36617"/>
    <w:rsid w:val="08D36674"/>
    <w:rsid w:val="08D367AE"/>
    <w:rsid w:val="08D367F7"/>
    <w:rsid w:val="08D36824"/>
    <w:rsid w:val="08D36A5B"/>
    <w:rsid w:val="08D36A82"/>
    <w:rsid w:val="08D36A8A"/>
    <w:rsid w:val="08D36B22"/>
    <w:rsid w:val="08D36BB7"/>
    <w:rsid w:val="08D36CC5"/>
    <w:rsid w:val="08D36D49"/>
    <w:rsid w:val="08D36DFA"/>
    <w:rsid w:val="08D36DFF"/>
    <w:rsid w:val="08D36EC2"/>
    <w:rsid w:val="08D36F64"/>
    <w:rsid w:val="08D37007"/>
    <w:rsid w:val="08D370F5"/>
    <w:rsid w:val="08D37119"/>
    <w:rsid w:val="08D37163"/>
    <w:rsid w:val="08D371AD"/>
    <w:rsid w:val="08D3722B"/>
    <w:rsid w:val="08D372B0"/>
    <w:rsid w:val="08D372B7"/>
    <w:rsid w:val="08D372BC"/>
    <w:rsid w:val="08D37323"/>
    <w:rsid w:val="08D37391"/>
    <w:rsid w:val="08D37392"/>
    <w:rsid w:val="08D373E4"/>
    <w:rsid w:val="08D374DA"/>
    <w:rsid w:val="08D375E0"/>
    <w:rsid w:val="08D375F5"/>
    <w:rsid w:val="08D3763B"/>
    <w:rsid w:val="08D3765D"/>
    <w:rsid w:val="08D376CC"/>
    <w:rsid w:val="08D37721"/>
    <w:rsid w:val="08D37973"/>
    <w:rsid w:val="08D37982"/>
    <w:rsid w:val="08D37ADF"/>
    <w:rsid w:val="08D37B24"/>
    <w:rsid w:val="08D37BAC"/>
    <w:rsid w:val="08D37BDC"/>
    <w:rsid w:val="08D37BF7"/>
    <w:rsid w:val="08D37C18"/>
    <w:rsid w:val="08D37D23"/>
    <w:rsid w:val="08D37DB3"/>
    <w:rsid w:val="08D37DEF"/>
    <w:rsid w:val="08D37E41"/>
    <w:rsid w:val="08D37E6E"/>
    <w:rsid w:val="08D37EEE"/>
    <w:rsid w:val="08D37FA7"/>
    <w:rsid w:val="08D400B6"/>
    <w:rsid w:val="08D400EE"/>
    <w:rsid w:val="08D402FC"/>
    <w:rsid w:val="08D40436"/>
    <w:rsid w:val="08D4055D"/>
    <w:rsid w:val="08D4057A"/>
    <w:rsid w:val="08D40582"/>
    <w:rsid w:val="08D405FC"/>
    <w:rsid w:val="08D40618"/>
    <w:rsid w:val="08D406E1"/>
    <w:rsid w:val="08D40759"/>
    <w:rsid w:val="08D407EA"/>
    <w:rsid w:val="08D4084D"/>
    <w:rsid w:val="08D40988"/>
    <w:rsid w:val="08D40A2F"/>
    <w:rsid w:val="08D40A53"/>
    <w:rsid w:val="08D40A62"/>
    <w:rsid w:val="08D40B5D"/>
    <w:rsid w:val="08D40BA2"/>
    <w:rsid w:val="08D40BBA"/>
    <w:rsid w:val="08D40C4E"/>
    <w:rsid w:val="08D40CAB"/>
    <w:rsid w:val="08D40DA0"/>
    <w:rsid w:val="08D40DDC"/>
    <w:rsid w:val="08D40E09"/>
    <w:rsid w:val="08D40EA2"/>
    <w:rsid w:val="08D40F7E"/>
    <w:rsid w:val="08D41026"/>
    <w:rsid w:val="08D4106D"/>
    <w:rsid w:val="08D410D1"/>
    <w:rsid w:val="08D4110F"/>
    <w:rsid w:val="08D41144"/>
    <w:rsid w:val="08D41160"/>
    <w:rsid w:val="08D41181"/>
    <w:rsid w:val="08D411A2"/>
    <w:rsid w:val="08D411FE"/>
    <w:rsid w:val="08D412A6"/>
    <w:rsid w:val="08D412B4"/>
    <w:rsid w:val="08D41316"/>
    <w:rsid w:val="08D41381"/>
    <w:rsid w:val="08D413F3"/>
    <w:rsid w:val="08D41400"/>
    <w:rsid w:val="08D4140C"/>
    <w:rsid w:val="08D4143A"/>
    <w:rsid w:val="08D41454"/>
    <w:rsid w:val="08D415B6"/>
    <w:rsid w:val="08D4161D"/>
    <w:rsid w:val="08D418EC"/>
    <w:rsid w:val="08D419A0"/>
    <w:rsid w:val="08D419F2"/>
    <w:rsid w:val="08D41A59"/>
    <w:rsid w:val="08D41AAB"/>
    <w:rsid w:val="08D41ACE"/>
    <w:rsid w:val="08D41B20"/>
    <w:rsid w:val="08D41B24"/>
    <w:rsid w:val="08D41B3C"/>
    <w:rsid w:val="08D41B9D"/>
    <w:rsid w:val="08D41C7D"/>
    <w:rsid w:val="08D41D17"/>
    <w:rsid w:val="08D41DC4"/>
    <w:rsid w:val="08D41E6B"/>
    <w:rsid w:val="08D41E95"/>
    <w:rsid w:val="08D41F13"/>
    <w:rsid w:val="08D4201C"/>
    <w:rsid w:val="08D420E4"/>
    <w:rsid w:val="08D4214D"/>
    <w:rsid w:val="08D42272"/>
    <w:rsid w:val="08D42364"/>
    <w:rsid w:val="08D42437"/>
    <w:rsid w:val="08D424BF"/>
    <w:rsid w:val="08D42673"/>
    <w:rsid w:val="08D426AF"/>
    <w:rsid w:val="08D4284A"/>
    <w:rsid w:val="08D4285F"/>
    <w:rsid w:val="08D428CF"/>
    <w:rsid w:val="08D4291C"/>
    <w:rsid w:val="08D42925"/>
    <w:rsid w:val="08D42938"/>
    <w:rsid w:val="08D4294D"/>
    <w:rsid w:val="08D429DB"/>
    <w:rsid w:val="08D42B95"/>
    <w:rsid w:val="08D42D21"/>
    <w:rsid w:val="08D42D42"/>
    <w:rsid w:val="08D42DBC"/>
    <w:rsid w:val="08D42E0E"/>
    <w:rsid w:val="08D42E89"/>
    <w:rsid w:val="08D42EEA"/>
    <w:rsid w:val="08D42FF0"/>
    <w:rsid w:val="08D43013"/>
    <w:rsid w:val="08D43087"/>
    <w:rsid w:val="08D430B3"/>
    <w:rsid w:val="08D4322E"/>
    <w:rsid w:val="08D43354"/>
    <w:rsid w:val="08D4341C"/>
    <w:rsid w:val="08D434A2"/>
    <w:rsid w:val="08D434A7"/>
    <w:rsid w:val="08D434D7"/>
    <w:rsid w:val="08D434DD"/>
    <w:rsid w:val="08D435DC"/>
    <w:rsid w:val="08D43686"/>
    <w:rsid w:val="08D4371F"/>
    <w:rsid w:val="08D4389B"/>
    <w:rsid w:val="08D438A3"/>
    <w:rsid w:val="08D438E1"/>
    <w:rsid w:val="08D43928"/>
    <w:rsid w:val="08D43931"/>
    <w:rsid w:val="08D4396B"/>
    <w:rsid w:val="08D4397E"/>
    <w:rsid w:val="08D43A4F"/>
    <w:rsid w:val="08D43A99"/>
    <w:rsid w:val="08D43B83"/>
    <w:rsid w:val="08D43C81"/>
    <w:rsid w:val="08D43D55"/>
    <w:rsid w:val="08D43DC4"/>
    <w:rsid w:val="08D43F00"/>
    <w:rsid w:val="08D43F13"/>
    <w:rsid w:val="08D43F8D"/>
    <w:rsid w:val="08D43FA0"/>
    <w:rsid w:val="08D4404F"/>
    <w:rsid w:val="08D440E4"/>
    <w:rsid w:val="08D440E6"/>
    <w:rsid w:val="08D4420D"/>
    <w:rsid w:val="08D44224"/>
    <w:rsid w:val="08D442D4"/>
    <w:rsid w:val="08D443B3"/>
    <w:rsid w:val="08D44419"/>
    <w:rsid w:val="08D4444C"/>
    <w:rsid w:val="08D44503"/>
    <w:rsid w:val="08D4458F"/>
    <w:rsid w:val="08D445EA"/>
    <w:rsid w:val="08D445FA"/>
    <w:rsid w:val="08D44638"/>
    <w:rsid w:val="08D446D9"/>
    <w:rsid w:val="08D44740"/>
    <w:rsid w:val="08D4474C"/>
    <w:rsid w:val="08D447F0"/>
    <w:rsid w:val="08D44824"/>
    <w:rsid w:val="08D44886"/>
    <w:rsid w:val="08D44896"/>
    <w:rsid w:val="08D44900"/>
    <w:rsid w:val="08D449B1"/>
    <w:rsid w:val="08D44A6B"/>
    <w:rsid w:val="08D44AE1"/>
    <w:rsid w:val="08D44B10"/>
    <w:rsid w:val="08D44B91"/>
    <w:rsid w:val="08D44BCB"/>
    <w:rsid w:val="08D44BE4"/>
    <w:rsid w:val="08D44CC9"/>
    <w:rsid w:val="08D44D16"/>
    <w:rsid w:val="08D44DE2"/>
    <w:rsid w:val="08D44DFA"/>
    <w:rsid w:val="08D44E67"/>
    <w:rsid w:val="08D44F21"/>
    <w:rsid w:val="08D44F34"/>
    <w:rsid w:val="08D44FFA"/>
    <w:rsid w:val="08D45007"/>
    <w:rsid w:val="08D45019"/>
    <w:rsid w:val="08D451B0"/>
    <w:rsid w:val="08D452B1"/>
    <w:rsid w:val="08D453A9"/>
    <w:rsid w:val="08D453B9"/>
    <w:rsid w:val="08D453BF"/>
    <w:rsid w:val="08D45504"/>
    <w:rsid w:val="08D45534"/>
    <w:rsid w:val="08D45541"/>
    <w:rsid w:val="08D45569"/>
    <w:rsid w:val="08D456A3"/>
    <w:rsid w:val="08D456E6"/>
    <w:rsid w:val="08D456FE"/>
    <w:rsid w:val="08D4571D"/>
    <w:rsid w:val="08D45847"/>
    <w:rsid w:val="08D45848"/>
    <w:rsid w:val="08D45876"/>
    <w:rsid w:val="08D458DF"/>
    <w:rsid w:val="08D45952"/>
    <w:rsid w:val="08D459C6"/>
    <w:rsid w:val="08D45A54"/>
    <w:rsid w:val="08D45A87"/>
    <w:rsid w:val="08D45B09"/>
    <w:rsid w:val="08D45B8F"/>
    <w:rsid w:val="08D45BBB"/>
    <w:rsid w:val="08D45BD6"/>
    <w:rsid w:val="08D45C07"/>
    <w:rsid w:val="08D45C2B"/>
    <w:rsid w:val="08D45C46"/>
    <w:rsid w:val="08D45C7C"/>
    <w:rsid w:val="08D45C9F"/>
    <w:rsid w:val="08D45DF5"/>
    <w:rsid w:val="08D45E2C"/>
    <w:rsid w:val="08D45E6B"/>
    <w:rsid w:val="08D45EAE"/>
    <w:rsid w:val="08D45EB7"/>
    <w:rsid w:val="08D4603F"/>
    <w:rsid w:val="08D46089"/>
    <w:rsid w:val="08D4609D"/>
    <w:rsid w:val="08D460AF"/>
    <w:rsid w:val="08D460B9"/>
    <w:rsid w:val="08D4617F"/>
    <w:rsid w:val="08D46281"/>
    <w:rsid w:val="08D463B9"/>
    <w:rsid w:val="08D463CC"/>
    <w:rsid w:val="08D463E8"/>
    <w:rsid w:val="08D4660D"/>
    <w:rsid w:val="08D466E8"/>
    <w:rsid w:val="08D4682A"/>
    <w:rsid w:val="08D46832"/>
    <w:rsid w:val="08D46858"/>
    <w:rsid w:val="08D468E7"/>
    <w:rsid w:val="08D46980"/>
    <w:rsid w:val="08D46A22"/>
    <w:rsid w:val="08D46A8A"/>
    <w:rsid w:val="08D46AA5"/>
    <w:rsid w:val="08D46D54"/>
    <w:rsid w:val="08D46D59"/>
    <w:rsid w:val="08D46DA2"/>
    <w:rsid w:val="08D46E0D"/>
    <w:rsid w:val="08D46E31"/>
    <w:rsid w:val="08D46EB0"/>
    <w:rsid w:val="08D46F35"/>
    <w:rsid w:val="08D46F63"/>
    <w:rsid w:val="08D470C8"/>
    <w:rsid w:val="08D471AE"/>
    <w:rsid w:val="08D471CA"/>
    <w:rsid w:val="08D47268"/>
    <w:rsid w:val="08D472DA"/>
    <w:rsid w:val="08D4730E"/>
    <w:rsid w:val="08D47314"/>
    <w:rsid w:val="08D4732F"/>
    <w:rsid w:val="08D475D0"/>
    <w:rsid w:val="08D475F6"/>
    <w:rsid w:val="08D4760C"/>
    <w:rsid w:val="08D47634"/>
    <w:rsid w:val="08D4769A"/>
    <w:rsid w:val="08D476F3"/>
    <w:rsid w:val="08D47798"/>
    <w:rsid w:val="08D477EE"/>
    <w:rsid w:val="08D47911"/>
    <w:rsid w:val="08D47AA0"/>
    <w:rsid w:val="08D47AC6"/>
    <w:rsid w:val="08D47C14"/>
    <w:rsid w:val="08D47C3A"/>
    <w:rsid w:val="08D47D69"/>
    <w:rsid w:val="08D47DB8"/>
    <w:rsid w:val="08D47EA2"/>
    <w:rsid w:val="08D47FF2"/>
    <w:rsid w:val="08D501A4"/>
    <w:rsid w:val="08D501B5"/>
    <w:rsid w:val="08D504CE"/>
    <w:rsid w:val="08D504E4"/>
    <w:rsid w:val="08D504F9"/>
    <w:rsid w:val="08D50572"/>
    <w:rsid w:val="08D505D2"/>
    <w:rsid w:val="08D5063E"/>
    <w:rsid w:val="08D5064C"/>
    <w:rsid w:val="08D506C8"/>
    <w:rsid w:val="08D507A5"/>
    <w:rsid w:val="08D507D9"/>
    <w:rsid w:val="08D507EA"/>
    <w:rsid w:val="08D508FE"/>
    <w:rsid w:val="08D50924"/>
    <w:rsid w:val="08D50947"/>
    <w:rsid w:val="08D5096B"/>
    <w:rsid w:val="08D5096D"/>
    <w:rsid w:val="08D509B5"/>
    <w:rsid w:val="08D509E4"/>
    <w:rsid w:val="08D50A5E"/>
    <w:rsid w:val="08D50C07"/>
    <w:rsid w:val="08D50C29"/>
    <w:rsid w:val="08D50C37"/>
    <w:rsid w:val="08D50C98"/>
    <w:rsid w:val="08D50CA3"/>
    <w:rsid w:val="08D50CB7"/>
    <w:rsid w:val="08D50D03"/>
    <w:rsid w:val="08D50D09"/>
    <w:rsid w:val="08D50D57"/>
    <w:rsid w:val="08D50DC4"/>
    <w:rsid w:val="08D50E52"/>
    <w:rsid w:val="08D50E9D"/>
    <w:rsid w:val="08D50EAC"/>
    <w:rsid w:val="08D50F0A"/>
    <w:rsid w:val="08D50F13"/>
    <w:rsid w:val="08D50FC7"/>
    <w:rsid w:val="08D50FF0"/>
    <w:rsid w:val="08D510F5"/>
    <w:rsid w:val="08D51123"/>
    <w:rsid w:val="08D51200"/>
    <w:rsid w:val="08D51351"/>
    <w:rsid w:val="08D513C2"/>
    <w:rsid w:val="08D513F6"/>
    <w:rsid w:val="08D51419"/>
    <w:rsid w:val="08D5144E"/>
    <w:rsid w:val="08D5150A"/>
    <w:rsid w:val="08D51543"/>
    <w:rsid w:val="08D51565"/>
    <w:rsid w:val="08D51591"/>
    <w:rsid w:val="08D515A3"/>
    <w:rsid w:val="08D515AE"/>
    <w:rsid w:val="08D516BB"/>
    <w:rsid w:val="08D516E8"/>
    <w:rsid w:val="08D51736"/>
    <w:rsid w:val="08D51739"/>
    <w:rsid w:val="08D5174B"/>
    <w:rsid w:val="08D517AD"/>
    <w:rsid w:val="08D517F8"/>
    <w:rsid w:val="08D5180F"/>
    <w:rsid w:val="08D51843"/>
    <w:rsid w:val="08D51889"/>
    <w:rsid w:val="08D518F5"/>
    <w:rsid w:val="08D51960"/>
    <w:rsid w:val="08D519B1"/>
    <w:rsid w:val="08D51A64"/>
    <w:rsid w:val="08D51AC4"/>
    <w:rsid w:val="08D51B63"/>
    <w:rsid w:val="08D51B6B"/>
    <w:rsid w:val="08D51BB2"/>
    <w:rsid w:val="08D51BE6"/>
    <w:rsid w:val="08D51C09"/>
    <w:rsid w:val="08D51C1C"/>
    <w:rsid w:val="08D51C6D"/>
    <w:rsid w:val="08D51CC0"/>
    <w:rsid w:val="08D51D2D"/>
    <w:rsid w:val="08D51DEC"/>
    <w:rsid w:val="08D51EB7"/>
    <w:rsid w:val="08D51F54"/>
    <w:rsid w:val="08D51FC4"/>
    <w:rsid w:val="08D5202B"/>
    <w:rsid w:val="08D5203D"/>
    <w:rsid w:val="08D5207E"/>
    <w:rsid w:val="08D52092"/>
    <w:rsid w:val="08D520FA"/>
    <w:rsid w:val="08D5218B"/>
    <w:rsid w:val="08D5222A"/>
    <w:rsid w:val="08D522F4"/>
    <w:rsid w:val="08D522F5"/>
    <w:rsid w:val="08D52340"/>
    <w:rsid w:val="08D52445"/>
    <w:rsid w:val="08D524D8"/>
    <w:rsid w:val="08D525C7"/>
    <w:rsid w:val="08D525E3"/>
    <w:rsid w:val="08D5266B"/>
    <w:rsid w:val="08D5268C"/>
    <w:rsid w:val="08D52712"/>
    <w:rsid w:val="08D5276C"/>
    <w:rsid w:val="08D527B1"/>
    <w:rsid w:val="08D5289D"/>
    <w:rsid w:val="08D52930"/>
    <w:rsid w:val="08D52938"/>
    <w:rsid w:val="08D52995"/>
    <w:rsid w:val="08D52A0C"/>
    <w:rsid w:val="08D52A20"/>
    <w:rsid w:val="08D52B82"/>
    <w:rsid w:val="08D52B86"/>
    <w:rsid w:val="08D52BBC"/>
    <w:rsid w:val="08D52C9E"/>
    <w:rsid w:val="08D52D1B"/>
    <w:rsid w:val="08D52D1F"/>
    <w:rsid w:val="08D52D4D"/>
    <w:rsid w:val="08D52DD8"/>
    <w:rsid w:val="08D52DDE"/>
    <w:rsid w:val="08D52DF0"/>
    <w:rsid w:val="08D52E65"/>
    <w:rsid w:val="08D52EEE"/>
    <w:rsid w:val="08D52F11"/>
    <w:rsid w:val="08D52FB4"/>
    <w:rsid w:val="08D53029"/>
    <w:rsid w:val="08D5303A"/>
    <w:rsid w:val="08D5311E"/>
    <w:rsid w:val="08D5314F"/>
    <w:rsid w:val="08D531B7"/>
    <w:rsid w:val="08D531C7"/>
    <w:rsid w:val="08D532A2"/>
    <w:rsid w:val="08D5335A"/>
    <w:rsid w:val="08D53438"/>
    <w:rsid w:val="08D53518"/>
    <w:rsid w:val="08D5381F"/>
    <w:rsid w:val="08D5385D"/>
    <w:rsid w:val="08D53882"/>
    <w:rsid w:val="08D539F0"/>
    <w:rsid w:val="08D53A3B"/>
    <w:rsid w:val="08D53BC6"/>
    <w:rsid w:val="08D53BD7"/>
    <w:rsid w:val="08D53C23"/>
    <w:rsid w:val="08D53C64"/>
    <w:rsid w:val="08D53C8F"/>
    <w:rsid w:val="08D53D77"/>
    <w:rsid w:val="08D53DC8"/>
    <w:rsid w:val="08D53EDF"/>
    <w:rsid w:val="08D53F3B"/>
    <w:rsid w:val="08D53F92"/>
    <w:rsid w:val="08D53FFC"/>
    <w:rsid w:val="08D54020"/>
    <w:rsid w:val="08D540AA"/>
    <w:rsid w:val="08D5415A"/>
    <w:rsid w:val="08D54371"/>
    <w:rsid w:val="08D5437E"/>
    <w:rsid w:val="08D543C2"/>
    <w:rsid w:val="08D544A2"/>
    <w:rsid w:val="08D544A5"/>
    <w:rsid w:val="08D544F9"/>
    <w:rsid w:val="08D54517"/>
    <w:rsid w:val="08D54525"/>
    <w:rsid w:val="08D54578"/>
    <w:rsid w:val="08D5457E"/>
    <w:rsid w:val="08D54588"/>
    <w:rsid w:val="08D54698"/>
    <w:rsid w:val="08D546F0"/>
    <w:rsid w:val="08D54762"/>
    <w:rsid w:val="08D547DA"/>
    <w:rsid w:val="08D5489A"/>
    <w:rsid w:val="08D548CC"/>
    <w:rsid w:val="08D54957"/>
    <w:rsid w:val="08D54993"/>
    <w:rsid w:val="08D549F1"/>
    <w:rsid w:val="08D549FA"/>
    <w:rsid w:val="08D54ABD"/>
    <w:rsid w:val="08D54AF4"/>
    <w:rsid w:val="08D54BED"/>
    <w:rsid w:val="08D54C9F"/>
    <w:rsid w:val="08D54CA2"/>
    <w:rsid w:val="08D54DC1"/>
    <w:rsid w:val="08D54DF9"/>
    <w:rsid w:val="08D54E2A"/>
    <w:rsid w:val="08D54E34"/>
    <w:rsid w:val="08D54E9A"/>
    <w:rsid w:val="08D54EC2"/>
    <w:rsid w:val="08D54F24"/>
    <w:rsid w:val="08D54FE3"/>
    <w:rsid w:val="08D55043"/>
    <w:rsid w:val="08D55076"/>
    <w:rsid w:val="08D55088"/>
    <w:rsid w:val="08D5527E"/>
    <w:rsid w:val="08D552FD"/>
    <w:rsid w:val="08D5530F"/>
    <w:rsid w:val="08D55347"/>
    <w:rsid w:val="08D553C0"/>
    <w:rsid w:val="08D553FF"/>
    <w:rsid w:val="08D55413"/>
    <w:rsid w:val="08D5541C"/>
    <w:rsid w:val="08D55456"/>
    <w:rsid w:val="08D55489"/>
    <w:rsid w:val="08D554AC"/>
    <w:rsid w:val="08D554EA"/>
    <w:rsid w:val="08D554FF"/>
    <w:rsid w:val="08D5551E"/>
    <w:rsid w:val="08D5557C"/>
    <w:rsid w:val="08D555BF"/>
    <w:rsid w:val="08D555C9"/>
    <w:rsid w:val="08D55621"/>
    <w:rsid w:val="08D55699"/>
    <w:rsid w:val="08D556AD"/>
    <w:rsid w:val="08D5579A"/>
    <w:rsid w:val="08D557C3"/>
    <w:rsid w:val="08D558AD"/>
    <w:rsid w:val="08D55952"/>
    <w:rsid w:val="08D559C6"/>
    <w:rsid w:val="08D559D2"/>
    <w:rsid w:val="08D559F0"/>
    <w:rsid w:val="08D55BBC"/>
    <w:rsid w:val="08D55C66"/>
    <w:rsid w:val="08D55C73"/>
    <w:rsid w:val="08D55C8C"/>
    <w:rsid w:val="08D55C94"/>
    <w:rsid w:val="08D55CB5"/>
    <w:rsid w:val="08D55CD8"/>
    <w:rsid w:val="08D55D81"/>
    <w:rsid w:val="08D55E0F"/>
    <w:rsid w:val="08D55E1B"/>
    <w:rsid w:val="08D55EB0"/>
    <w:rsid w:val="08D55ECE"/>
    <w:rsid w:val="08D55F30"/>
    <w:rsid w:val="08D55FF5"/>
    <w:rsid w:val="08D5600B"/>
    <w:rsid w:val="08D56041"/>
    <w:rsid w:val="08D56061"/>
    <w:rsid w:val="08D56080"/>
    <w:rsid w:val="08D561DF"/>
    <w:rsid w:val="08D561E0"/>
    <w:rsid w:val="08D562B3"/>
    <w:rsid w:val="08D562FE"/>
    <w:rsid w:val="08D56344"/>
    <w:rsid w:val="08D56349"/>
    <w:rsid w:val="08D5635C"/>
    <w:rsid w:val="08D56370"/>
    <w:rsid w:val="08D563C1"/>
    <w:rsid w:val="08D563D3"/>
    <w:rsid w:val="08D56487"/>
    <w:rsid w:val="08D56504"/>
    <w:rsid w:val="08D56577"/>
    <w:rsid w:val="08D565B5"/>
    <w:rsid w:val="08D565BF"/>
    <w:rsid w:val="08D56600"/>
    <w:rsid w:val="08D56774"/>
    <w:rsid w:val="08D567E0"/>
    <w:rsid w:val="08D569B2"/>
    <w:rsid w:val="08D56A03"/>
    <w:rsid w:val="08D56A05"/>
    <w:rsid w:val="08D56A08"/>
    <w:rsid w:val="08D56A5D"/>
    <w:rsid w:val="08D56A75"/>
    <w:rsid w:val="08D56A7F"/>
    <w:rsid w:val="08D56B38"/>
    <w:rsid w:val="08D56BCE"/>
    <w:rsid w:val="08D56BFE"/>
    <w:rsid w:val="08D56C69"/>
    <w:rsid w:val="08D56C7E"/>
    <w:rsid w:val="08D56CCD"/>
    <w:rsid w:val="08D56D33"/>
    <w:rsid w:val="08D56EB3"/>
    <w:rsid w:val="08D56F12"/>
    <w:rsid w:val="08D57186"/>
    <w:rsid w:val="08D5720D"/>
    <w:rsid w:val="08D5721E"/>
    <w:rsid w:val="08D5733D"/>
    <w:rsid w:val="08D57340"/>
    <w:rsid w:val="08D57392"/>
    <w:rsid w:val="08D57446"/>
    <w:rsid w:val="08D5744E"/>
    <w:rsid w:val="08D57590"/>
    <w:rsid w:val="08D575FA"/>
    <w:rsid w:val="08D576B0"/>
    <w:rsid w:val="08D576BC"/>
    <w:rsid w:val="08D5772A"/>
    <w:rsid w:val="08D5774D"/>
    <w:rsid w:val="08D577E1"/>
    <w:rsid w:val="08D5796E"/>
    <w:rsid w:val="08D57975"/>
    <w:rsid w:val="08D57A39"/>
    <w:rsid w:val="08D57ABA"/>
    <w:rsid w:val="08D57B48"/>
    <w:rsid w:val="08D57B7D"/>
    <w:rsid w:val="08D57BA5"/>
    <w:rsid w:val="08D57C43"/>
    <w:rsid w:val="08D57C5B"/>
    <w:rsid w:val="08D57CA7"/>
    <w:rsid w:val="08D57D7E"/>
    <w:rsid w:val="08D57DD6"/>
    <w:rsid w:val="08D57EBB"/>
    <w:rsid w:val="08D57F2F"/>
    <w:rsid w:val="08D57F71"/>
    <w:rsid w:val="08D57F96"/>
    <w:rsid w:val="08D57FE9"/>
    <w:rsid w:val="08D6000A"/>
    <w:rsid w:val="08D6000F"/>
    <w:rsid w:val="08D60080"/>
    <w:rsid w:val="08D60126"/>
    <w:rsid w:val="08D601AC"/>
    <w:rsid w:val="08D60249"/>
    <w:rsid w:val="08D6027B"/>
    <w:rsid w:val="08D602C8"/>
    <w:rsid w:val="08D60339"/>
    <w:rsid w:val="08D603E5"/>
    <w:rsid w:val="08D6055D"/>
    <w:rsid w:val="08D60592"/>
    <w:rsid w:val="08D605BA"/>
    <w:rsid w:val="08D605D5"/>
    <w:rsid w:val="08D605DF"/>
    <w:rsid w:val="08D60612"/>
    <w:rsid w:val="08D60628"/>
    <w:rsid w:val="08D60647"/>
    <w:rsid w:val="08D606BE"/>
    <w:rsid w:val="08D6079C"/>
    <w:rsid w:val="08D607F1"/>
    <w:rsid w:val="08D609C1"/>
    <w:rsid w:val="08D60B92"/>
    <w:rsid w:val="08D60BBF"/>
    <w:rsid w:val="08D60BC3"/>
    <w:rsid w:val="08D60C8E"/>
    <w:rsid w:val="08D60E41"/>
    <w:rsid w:val="08D60EF4"/>
    <w:rsid w:val="08D60FCB"/>
    <w:rsid w:val="08D61091"/>
    <w:rsid w:val="08D6114D"/>
    <w:rsid w:val="08D611BF"/>
    <w:rsid w:val="08D612A4"/>
    <w:rsid w:val="08D613B9"/>
    <w:rsid w:val="08D614EA"/>
    <w:rsid w:val="08D61577"/>
    <w:rsid w:val="08D6157A"/>
    <w:rsid w:val="08D615A8"/>
    <w:rsid w:val="08D615FF"/>
    <w:rsid w:val="08D61601"/>
    <w:rsid w:val="08D61627"/>
    <w:rsid w:val="08D616C0"/>
    <w:rsid w:val="08D617B1"/>
    <w:rsid w:val="08D617BD"/>
    <w:rsid w:val="08D61851"/>
    <w:rsid w:val="08D618AC"/>
    <w:rsid w:val="08D618F8"/>
    <w:rsid w:val="08D61918"/>
    <w:rsid w:val="08D61A52"/>
    <w:rsid w:val="08D61CA0"/>
    <w:rsid w:val="08D61D4D"/>
    <w:rsid w:val="08D61E00"/>
    <w:rsid w:val="08D61E34"/>
    <w:rsid w:val="08D62018"/>
    <w:rsid w:val="08D62049"/>
    <w:rsid w:val="08D620BF"/>
    <w:rsid w:val="08D620E7"/>
    <w:rsid w:val="08D6216D"/>
    <w:rsid w:val="08D62250"/>
    <w:rsid w:val="08D622B2"/>
    <w:rsid w:val="08D622B5"/>
    <w:rsid w:val="08D622EA"/>
    <w:rsid w:val="08D6237A"/>
    <w:rsid w:val="08D62630"/>
    <w:rsid w:val="08D626D2"/>
    <w:rsid w:val="08D626E5"/>
    <w:rsid w:val="08D62831"/>
    <w:rsid w:val="08D62892"/>
    <w:rsid w:val="08D6291A"/>
    <w:rsid w:val="08D6294E"/>
    <w:rsid w:val="08D62B06"/>
    <w:rsid w:val="08D62CB7"/>
    <w:rsid w:val="08D62CCA"/>
    <w:rsid w:val="08D62D16"/>
    <w:rsid w:val="08D62D4F"/>
    <w:rsid w:val="08D62D6F"/>
    <w:rsid w:val="08D62D9C"/>
    <w:rsid w:val="08D62DBC"/>
    <w:rsid w:val="08D62DD8"/>
    <w:rsid w:val="08D62DDF"/>
    <w:rsid w:val="08D62DFA"/>
    <w:rsid w:val="08D62E9B"/>
    <w:rsid w:val="08D62EF8"/>
    <w:rsid w:val="08D62F31"/>
    <w:rsid w:val="08D6306C"/>
    <w:rsid w:val="08D63070"/>
    <w:rsid w:val="08D630B8"/>
    <w:rsid w:val="08D630B9"/>
    <w:rsid w:val="08D63181"/>
    <w:rsid w:val="08D6326B"/>
    <w:rsid w:val="08D63273"/>
    <w:rsid w:val="08D6339F"/>
    <w:rsid w:val="08D63434"/>
    <w:rsid w:val="08D63462"/>
    <w:rsid w:val="08D634BA"/>
    <w:rsid w:val="08D635BD"/>
    <w:rsid w:val="08D63662"/>
    <w:rsid w:val="08D6368A"/>
    <w:rsid w:val="08D6381C"/>
    <w:rsid w:val="08D63825"/>
    <w:rsid w:val="08D63935"/>
    <w:rsid w:val="08D6399E"/>
    <w:rsid w:val="08D639FA"/>
    <w:rsid w:val="08D63A41"/>
    <w:rsid w:val="08D63A5F"/>
    <w:rsid w:val="08D63AE9"/>
    <w:rsid w:val="08D63AFB"/>
    <w:rsid w:val="08D63BE9"/>
    <w:rsid w:val="08D63BEE"/>
    <w:rsid w:val="08D63C14"/>
    <w:rsid w:val="08D63C98"/>
    <w:rsid w:val="08D63DA5"/>
    <w:rsid w:val="08D63DAF"/>
    <w:rsid w:val="08D63DC5"/>
    <w:rsid w:val="08D63E3B"/>
    <w:rsid w:val="08D63E67"/>
    <w:rsid w:val="08D63E88"/>
    <w:rsid w:val="08D63EB1"/>
    <w:rsid w:val="08D63EDA"/>
    <w:rsid w:val="08D63EDE"/>
    <w:rsid w:val="08D63EE8"/>
    <w:rsid w:val="08D63F27"/>
    <w:rsid w:val="08D63F66"/>
    <w:rsid w:val="08D63F82"/>
    <w:rsid w:val="08D64013"/>
    <w:rsid w:val="08D64035"/>
    <w:rsid w:val="08D64110"/>
    <w:rsid w:val="08D64130"/>
    <w:rsid w:val="08D64139"/>
    <w:rsid w:val="08D6413D"/>
    <w:rsid w:val="08D641A9"/>
    <w:rsid w:val="08D64202"/>
    <w:rsid w:val="08D64211"/>
    <w:rsid w:val="08D64305"/>
    <w:rsid w:val="08D64373"/>
    <w:rsid w:val="08D64389"/>
    <w:rsid w:val="08D64403"/>
    <w:rsid w:val="08D64431"/>
    <w:rsid w:val="08D64502"/>
    <w:rsid w:val="08D6457C"/>
    <w:rsid w:val="08D645BD"/>
    <w:rsid w:val="08D64632"/>
    <w:rsid w:val="08D646A1"/>
    <w:rsid w:val="08D646AC"/>
    <w:rsid w:val="08D64788"/>
    <w:rsid w:val="08D647EF"/>
    <w:rsid w:val="08D647F5"/>
    <w:rsid w:val="08D6481B"/>
    <w:rsid w:val="08D64843"/>
    <w:rsid w:val="08D64878"/>
    <w:rsid w:val="08D648B0"/>
    <w:rsid w:val="08D6494C"/>
    <w:rsid w:val="08D649C2"/>
    <w:rsid w:val="08D64A1B"/>
    <w:rsid w:val="08D64A45"/>
    <w:rsid w:val="08D64A94"/>
    <w:rsid w:val="08D64ADA"/>
    <w:rsid w:val="08D64AF0"/>
    <w:rsid w:val="08D64B2C"/>
    <w:rsid w:val="08D64B38"/>
    <w:rsid w:val="08D64B65"/>
    <w:rsid w:val="08D64BC7"/>
    <w:rsid w:val="08D64C1C"/>
    <w:rsid w:val="08D64CD2"/>
    <w:rsid w:val="08D64CEB"/>
    <w:rsid w:val="08D64D51"/>
    <w:rsid w:val="08D64D5F"/>
    <w:rsid w:val="08D64D6A"/>
    <w:rsid w:val="08D64D79"/>
    <w:rsid w:val="08D64DF3"/>
    <w:rsid w:val="08D64E8D"/>
    <w:rsid w:val="08D64EAF"/>
    <w:rsid w:val="08D64EB6"/>
    <w:rsid w:val="08D64EE4"/>
    <w:rsid w:val="08D64F24"/>
    <w:rsid w:val="08D64F6F"/>
    <w:rsid w:val="08D65063"/>
    <w:rsid w:val="08D65096"/>
    <w:rsid w:val="08D650AF"/>
    <w:rsid w:val="08D6519B"/>
    <w:rsid w:val="08D651BF"/>
    <w:rsid w:val="08D6524C"/>
    <w:rsid w:val="08D6533E"/>
    <w:rsid w:val="08D65353"/>
    <w:rsid w:val="08D653D9"/>
    <w:rsid w:val="08D653E0"/>
    <w:rsid w:val="08D653EF"/>
    <w:rsid w:val="08D65586"/>
    <w:rsid w:val="08D65601"/>
    <w:rsid w:val="08D6569B"/>
    <w:rsid w:val="08D65756"/>
    <w:rsid w:val="08D65769"/>
    <w:rsid w:val="08D65849"/>
    <w:rsid w:val="08D658F9"/>
    <w:rsid w:val="08D65925"/>
    <w:rsid w:val="08D65944"/>
    <w:rsid w:val="08D65951"/>
    <w:rsid w:val="08D65A0B"/>
    <w:rsid w:val="08D65B24"/>
    <w:rsid w:val="08D65B44"/>
    <w:rsid w:val="08D65B45"/>
    <w:rsid w:val="08D65CCA"/>
    <w:rsid w:val="08D65CCE"/>
    <w:rsid w:val="08D65CD7"/>
    <w:rsid w:val="08D65D30"/>
    <w:rsid w:val="08D65D54"/>
    <w:rsid w:val="08D65D82"/>
    <w:rsid w:val="08D65E47"/>
    <w:rsid w:val="08D65E9C"/>
    <w:rsid w:val="08D65EDA"/>
    <w:rsid w:val="08D65FFD"/>
    <w:rsid w:val="08D66071"/>
    <w:rsid w:val="08D66098"/>
    <w:rsid w:val="08D66142"/>
    <w:rsid w:val="08D66173"/>
    <w:rsid w:val="08D6624D"/>
    <w:rsid w:val="08D662B5"/>
    <w:rsid w:val="08D662C9"/>
    <w:rsid w:val="08D662DC"/>
    <w:rsid w:val="08D6630A"/>
    <w:rsid w:val="08D6635D"/>
    <w:rsid w:val="08D6641E"/>
    <w:rsid w:val="08D66437"/>
    <w:rsid w:val="08D66508"/>
    <w:rsid w:val="08D66513"/>
    <w:rsid w:val="08D66682"/>
    <w:rsid w:val="08D6668C"/>
    <w:rsid w:val="08D666E5"/>
    <w:rsid w:val="08D667A8"/>
    <w:rsid w:val="08D6686A"/>
    <w:rsid w:val="08D668B0"/>
    <w:rsid w:val="08D6692A"/>
    <w:rsid w:val="08D6694E"/>
    <w:rsid w:val="08D66A19"/>
    <w:rsid w:val="08D66AAA"/>
    <w:rsid w:val="08D66ABD"/>
    <w:rsid w:val="08D66BC9"/>
    <w:rsid w:val="08D66CD7"/>
    <w:rsid w:val="08D66D76"/>
    <w:rsid w:val="08D66DBD"/>
    <w:rsid w:val="08D66DD5"/>
    <w:rsid w:val="08D66DE2"/>
    <w:rsid w:val="08D66E2C"/>
    <w:rsid w:val="08D66E91"/>
    <w:rsid w:val="08D66E95"/>
    <w:rsid w:val="08D66EA0"/>
    <w:rsid w:val="08D66EF3"/>
    <w:rsid w:val="08D66F3A"/>
    <w:rsid w:val="08D6705C"/>
    <w:rsid w:val="08D670BD"/>
    <w:rsid w:val="08D6710A"/>
    <w:rsid w:val="08D6716C"/>
    <w:rsid w:val="08D671B9"/>
    <w:rsid w:val="08D67216"/>
    <w:rsid w:val="08D67238"/>
    <w:rsid w:val="08D6726B"/>
    <w:rsid w:val="08D6726D"/>
    <w:rsid w:val="08D67348"/>
    <w:rsid w:val="08D67474"/>
    <w:rsid w:val="08D674B2"/>
    <w:rsid w:val="08D6751B"/>
    <w:rsid w:val="08D67522"/>
    <w:rsid w:val="08D676FC"/>
    <w:rsid w:val="08D67725"/>
    <w:rsid w:val="08D67747"/>
    <w:rsid w:val="08D67749"/>
    <w:rsid w:val="08D67806"/>
    <w:rsid w:val="08D67884"/>
    <w:rsid w:val="08D678A3"/>
    <w:rsid w:val="08D678C5"/>
    <w:rsid w:val="08D678FB"/>
    <w:rsid w:val="08D679B8"/>
    <w:rsid w:val="08D67ACB"/>
    <w:rsid w:val="08D67B59"/>
    <w:rsid w:val="08D67BBA"/>
    <w:rsid w:val="08D67C2C"/>
    <w:rsid w:val="08D67CD1"/>
    <w:rsid w:val="08D67D15"/>
    <w:rsid w:val="08D67D57"/>
    <w:rsid w:val="08D67EC3"/>
    <w:rsid w:val="08D67F47"/>
    <w:rsid w:val="08D70000"/>
    <w:rsid w:val="08D700C8"/>
    <w:rsid w:val="08D702F9"/>
    <w:rsid w:val="08D7030F"/>
    <w:rsid w:val="08D70336"/>
    <w:rsid w:val="08D7042F"/>
    <w:rsid w:val="08D70457"/>
    <w:rsid w:val="08D70499"/>
    <w:rsid w:val="08D704B7"/>
    <w:rsid w:val="08D704BF"/>
    <w:rsid w:val="08D70514"/>
    <w:rsid w:val="08D705CD"/>
    <w:rsid w:val="08D705CE"/>
    <w:rsid w:val="08D70617"/>
    <w:rsid w:val="08D70638"/>
    <w:rsid w:val="08D7069E"/>
    <w:rsid w:val="08D706A3"/>
    <w:rsid w:val="08D70731"/>
    <w:rsid w:val="08D7073A"/>
    <w:rsid w:val="08D70750"/>
    <w:rsid w:val="08D70791"/>
    <w:rsid w:val="08D7095F"/>
    <w:rsid w:val="08D70960"/>
    <w:rsid w:val="08D7098F"/>
    <w:rsid w:val="08D709E5"/>
    <w:rsid w:val="08D70AA4"/>
    <w:rsid w:val="08D70B17"/>
    <w:rsid w:val="08D70B44"/>
    <w:rsid w:val="08D70C80"/>
    <w:rsid w:val="08D70CBF"/>
    <w:rsid w:val="08D70D9A"/>
    <w:rsid w:val="08D70E16"/>
    <w:rsid w:val="08D70E72"/>
    <w:rsid w:val="08D70EE2"/>
    <w:rsid w:val="08D70F0E"/>
    <w:rsid w:val="08D70F36"/>
    <w:rsid w:val="08D70F9A"/>
    <w:rsid w:val="08D71136"/>
    <w:rsid w:val="08D71151"/>
    <w:rsid w:val="08D71156"/>
    <w:rsid w:val="08D711B7"/>
    <w:rsid w:val="08D711C1"/>
    <w:rsid w:val="08D712F1"/>
    <w:rsid w:val="08D71329"/>
    <w:rsid w:val="08D713B6"/>
    <w:rsid w:val="08D713FE"/>
    <w:rsid w:val="08D714C1"/>
    <w:rsid w:val="08D714F3"/>
    <w:rsid w:val="08D7163E"/>
    <w:rsid w:val="08D716CD"/>
    <w:rsid w:val="08D716EF"/>
    <w:rsid w:val="08D71737"/>
    <w:rsid w:val="08D71740"/>
    <w:rsid w:val="08D71915"/>
    <w:rsid w:val="08D7192B"/>
    <w:rsid w:val="08D71953"/>
    <w:rsid w:val="08D71A17"/>
    <w:rsid w:val="08D71A77"/>
    <w:rsid w:val="08D71AA3"/>
    <w:rsid w:val="08D71AB9"/>
    <w:rsid w:val="08D71AED"/>
    <w:rsid w:val="08D71C43"/>
    <w:rsid w:val="08D71CF1"/>
    <w:rsid w:val="08D71CF3"/>
    <w:rsid w:val="08D71D8F"/>
    <w:rsid w:val="08D71DB6"/>
    <w:rsid w:val="08D71E78"/>
    <w:rsid w:val="08D71E83"/>
    <w:rsid w:val="08D71EE4"/>
    <w:rsid w:val="08D71EEA"/>
    <w:rsid w:val="08D71F96"/>
    <w:rsid w:val="08D7208F"/>
    <w:rsid w:val="08D72173"/>
    <w:rsid w:val="08D721E7"/>
    <w:rsid w:val="08D7226E"/>
    <w:rsid w:val="08D723A1"/>
    <w:rsid w:val="08D723F4"/>
    <w:rsid w:val="08D72404"/>
    <w:rsid w:val="08D72406"/>
    <w:rsid w:val="08D72408"/>
    <w:rsid w:val="08D72417"/>
    <w:rsid w:val="08D7241A"/>
    <w:rsid w:val="08D72519"/>
    <w:rsid w:val="08D7253A"/>
    <w:rsid w:val="08D7258D"/>
    <w:rsid w:val="08D725BA"/>
    <w:rsid w:val="08D726BB"/>
    <w:rsid w:val="08D7272C"/>
    <w:rsid w:val="08D72759"/>
    <w:rsid w:val="08D7277F"/>
    <w:rsid w:val="08D729C2"/>
    <w:rsid w:val="08D729E2"/>
    <w:rsid w:val="08D72BBA"/>
    <w:rsid w:val="08D72BF7"/>
    <w:rsid w:val="08D72C15"/>
    <w:rsid w:val="08D72C9C"/>
    <w:rsid w:val="08D72D3C"/>
    <w:rsid w:val="08D72D92"/>
    <w:rsid w:val="08D72DBC"/>
    <w:rsid w:val="08D72E0B"/>
    <w:rsid w:val="08D72E50"/>
    <w:rsid w:val="08D72F34"/>
    <w:rsid w:val="08D72FE8"/>
    <w:rsid w:val="08D73027"/>
    <w:rsid w:val="08D7318D"/>
    <w:rsid w:val="08D73293"/>
    <w:rsid w:val="08D732B2"/>
    <w:rsid w:val="08D733FE"/>
    <w:rsid w:val="08D735E5"/>
    <w:rsid w:val="08D735FD"/>
    <w:rsid w:val="08D73606"/>
    <w:rsid w:val="08D7363D"/>
    <w:rsid w:val="08D73744"/>
    <w:rsid w:val="08D73796"/>
    <w:rsid w:val="08D737AB"/>
    <w:rsid w:val="08D73859"/>
    <w:rsid w:val="08D738C9"/>
    <w:rsid w:val="08D738E5"/>
    <w:rsid w:val="08D738EC"/>
    <w:rsid w:val="08D738F5"/>
    <w:rsid w:val="08D73933"/>
    <w:rsid w:val="08D73A43"/>
    <w:rsid w:val="08D73A44"/>
    <w:rsid w:val="08D73A47"/>
    <w:rsid w:val="08D73AA8"/>
    <w:rsid w:val="08D73AAB"/>
    <w:rsid w:val="08D73AE3"/>
    <w:rsid w:val="08D73AFC"/>
    <w:rsid w:val="08D73B08"/>
    <w:rsid w:val="08D73B80"/>
    <w:rsid w:val="08D73BBB"/>
    <w:rsid w:val="08D73CD7"/>
    <w:rsid w:val="08D73D8E"/>
    <w:rsid w:val="08D73E12"/>
    <w:rsid w:val="08D73E50"/>
    <w:rsid w:val="08D73E95"/>
    <w:rsid w:val="08D73ECC"/>
    <w:rsid w:val="08D73F50"/>
    <w:rsid w:val="08D73F67"/>
    <w:rsid w:val="08D7403D"/>
    <w:rsid w:val="08D74068"/>
    <w:rsid w:val="08D7416A"/>
    <w:rsid w:val="08D741B4"/>
    <w:rsid w:val="08D74232"/>
    <w:rsid w:val="08D74319"/>
    <w:rsid w:val="08D74321"/>
    <w:rsid w:val="08D74327"/>
    <w:rsid w:val="08D7432E"/>
    <w:rsid w:val="08D743B2"/>
    <w:rsid w:val="08D743C5"/>
    <w:rsid w:val="08D743F6"/>
    <w:rsid w:val="08D74450"/>
    <w:rsid w:val="08D744BE"/>
    <w:rsid w:val="08D74509"/>
    <w:rsid w:val="08D745FD"/>
    <w:rsid w:val="08D74616"/>
    <w:rsid w:val="08D74628"/>
    <w:rsid w:val="08D746D1"/>
    <w:rsid w:val="08D7476E"/>
    <w:rsid w:val="08D747B0"/>
    <w:rsid w:val="08D74852"/>
    <w:rsid w:val="08D7489C"/>
    <w:rsid w:val="08D748CD"/>
    <w:rsid w:val="08D748E7"/>
    <w:rsid w:val="08D748EB"/>
    <w:rsid w:val="08D74A87"/>
    <w:rsid w:val="08D74ACB"/>
    <w:rsid w:val="08D74B37"/>
    <w:rsid w:val="08D74B60"/>
    <w:rsid w:val="08D74C1A"/>
    <w:rsid w:val="08D74C25"/>
    <w:rsid w:val="08D74C2D"/>
    <w:rsid w:val="08D74C5B"/>
    <w:rsid w:val="08D74CAE"/>
    <w:rsid w:val="08D74CB6"/>
    <w:rsid w:val="08D74CE4"/>
    <w:rsid w:val="08D74DFE"/>
    <w:rsid w:val="08D74E7C"/>
    <w:rsid w:val="08D74ED2"/>
    <w:rsid w:val="08D74EDF"/>
    <w:rsid w:val="08D74FAA"/>
    <w:rsid w:val="08D74FED"/>
    <w:rsid w:val="08D750BF"/>
    <w:rsid w:val="08D7519A"/>
    <w:rsid w:val="08D751E3"/>
    <w:rsid w:val="08D7530C"/>
    <w:rsid w:val="08D7543F"/>
    <w:rsid w:val="08D7548A"/>
    <w:rsid w:val="08D754C9"/>
    <w:rsid w:val="08D7554D"/>
    <w:rsid w:val="08D7555C"/>
    <w:rsid w:val="08D75594"/>
    <w:rsid w:val="08D75723"/>
    <w:rsid w:val="08D75749"/>
    <w:rsid w:val="08D75860"/>
    <w:rsid w:val="08D758AF"/>
    <w:rsid w:val="08D7592E"/>
    <w:rsid w:val="08D7595E"/>
    <w:rsid w:val="08D75ACB"/>
    <w:rsid w:val="08D75B4E"/>
    <w:rsid w:val="08D75BA9"/>
    <w:rsid w:val="08D75BD6"/>
    <w:rsid w:val="08D75BFF"/>
    <w:rsid w:val="08D75C04"/>
    <w:rsid w:val="08D75C48"/>
    <w:rsid w:val="08D75D3A"/>
    <w:rsid w:val="08D75D5B"/>
    <w:rsid w:val="08D75DDD"/>
    <w:rsid w:val="08D75E55"/>
    <w:rsid w:val="08D75E63"/>
    <w:rsid w:val="08D75ED1"/>
    <w:rsid w:val="08D75EE2"/>
    <w:rsid w:val="08D75F38"/>
    <w:rsid w:val="08D75FB0"/>
    <w:rsid w:val="08D76031"/>
    <w:rsid w:val="08D76098"/>
    <w:rsid w:val="08D760EB"/>
    <w:rsid w:val="08D761E9"/>
    <w:rsid w:val="08D762F0"/>
    <w:rsid w:val="08D76336"/>
    <w:rsid w:val="08D76394"/>
    <w:rsid w:val="08D763A5"/>
    <w:rsid w:val="08D76437"/>
    <w:rsid w:val="08D76456"/>
    <w:rsid w:val="08D764F7"/>
    <w:rsid w:val="08D765B6"/>
    <w:rsid w:val="08D765E4"/>
    <w:rsid w:val="08D76610"/>
    <w:rsid w:val="08D766AE"/>
    <w:rsid w:val="08D76752"/>
    <w:rsid w:val="08D767B0"/>
    <w:rsid w:val="08D7698F"/>
    <w:rsid w:val="08D76A18"/>
    <w:rsid w:val="08D76A54"/>
    <w:rsid w:val="08D76C69"/>
    <w:rsid w:val="08D76D8D"/>
    <w:rsid w:val="08D76D9B"/>
    <w:rsid w:val="08D76E09"/>
    <w:rsid w:val="08D76E18"/>
    <w:rsid w:val="08D76E42"/>
    <w:rsid w:val="08D76FE5"/>
    <w:rsid w:val="08D7703D"/>
    <w:rsid w:val="08D77052"/>
    <w:rsid w:val="08D77085"/>
    <w:rsid w:val="08D7709D"/>
    <w:rsid w:val="08D77183"/>
    <w:rsid w:val="08D77230"/>
    <w:rsid w:val="08D77250"/>
    <w:rsid w:val="08D7728F"/>
    <w:rsid w:val="08D77305"/>
    <w:rsid w:val="08D773B3"/>
    <w:rsid w:val="08D7742F"/>
    <w:rsid w:val="08D774EB"/>
    <w:rsid w:val="08D77633"/>
    <w:rsid w:val="08D7763A"/>
    <w:rsid w:val="08D776B7"/>
    <w:rsid w:val="08D7772A"/>
    <w:rsid w:val="08D77736"/>
    <w:rsid w:val="08D77795"/>
    <w:rsid w:val="08D777A6"/>
    <w:rsid w:val="08D777E6"/>
    <w:rsid w:val="08D7795F"/>
    <w:rsid w:val="08D77961"/>
    <w:rsid w:val="08D77964"/>
    <w:rsid w:val="08D779EE"/>
    <w:rsid w:val="08D77A09"/>
    <w:rsid w:val="08D77A69"/>
    <w:rsid w:val="08D77AE1"/>
    <w:rsid w:val="08D77AFE"/>
    <w:rsid w:val="08D77B2C"/>
    <w:rsid w:val="08D77B58"/>
    <w:rsid w:val="08D77B8A"/>
    <w:rsid w:val="08D77B8F"/>
    <w:rsid w:val="08D77D0F"/>
    <w:rsid w:val="08D77D2A"/>
    <w:rsid w:val="08D77D83"/>
    <w:rsid w:val="08D77D95"/>
    <w:rsid w:val="08D77E40"/>
    <w:rsid w:val="08D77F52"/>
    <w:rsid w:val="08D77FC6"/>
    <w:rsid w:val="08D80009"/>
    <w:rsid w:val="08D80036"/>
    <w:rsid w:val="08D8004B"/>
    <w:rsid w:val="08D800DD"/>
    <w:rsid w:val="08D80169"/>
    <w:rsid w:val="08D80180"/>
    <w:rsid w:val="08D80204"/>
    <w:rsid w:val="08D802A3"/>
    <w:rsid w:val="08D8045C"/>
    <w:rsid w:val="08D804D6"/>
    <w:rsid w:val="08D80528"/>
    <w:rsid w:val="08D8053C"/>
    <w:rsid w:val="08D80545"/>
    <w:rsid w:val="08D805DD"/>
    <w:rsid w:val="08D80860"/>
    <w:rsid w:val="08D80898"/>
    <w:rsid w:val="08D808C4"/>
    <w:rsid w:val="08D808D6"/>
    <w:rsid w:val="08D80989"/>
    <w:rsid w:val="08D809FD"/>
    <w:rsid w:val="08D80A65"/>
    <w:rsid w:val="08D80ADE"/>
    <w:rsid w:val="08D80B98"/>
    <w:rsid w:val="08D80C04"/>
    <w:rsid w:val="08D80CF9"/>
    <w:rsid w:val="08D80D1B"/>
    <w:rsid w:val="08D80DDB"/>
    <w:rsid w:val="08D80E51"/>
    <w:rsid w:val="08D81061"/>
    <w:rsid w:val="08D8107A"/>
    <w:rsid w:val="08D810A6"/>
    <w:rsid w:val="08D810D1"/>
    <w:rsid w:val="08D81192"/>
    <w:rsid w:val="08D811D0"/>
    <w:rsid w:val="08D811DE"/>
    <w:rsid w:val="08D812E0"/>
    <w:rsid w:val="08D81349"/>
    <w:rsid w:val="08D8135F"/>
    <w:rsid w:val="08D813A1"/>
    <w:rsid w:val="08D81415"/>
    <w:rsid w:val="08D8141F"/>
    <w:rsid w:val="08D81443"/>
    <w:rsid w:val="08D81468"/>
    <w:rsid w:val="08D81583"/>
    <w:rsid w:val="08D815FA"/>
    <w:rsid w:val="08D8165F"/>
    <w:rsid w:val="08D816AE"/>
    <w:rsid w:val="08D816CA"/>
    <w:rsid w:val="08D8175A"/>
    <w:rsid w:val="08D817DE"/>
    <w:rsid w:val="08D81812"/>
    <w:rsid w:val="08D8184D"/>
    <w:rsid w:val="08D818D3"/>
    <w:rsid w:val="08D8197B"/>
    <w:rsid w:val="08D81AB7"/>
    <w:rsid w:val="08D81BCE"/>
    <w:rsid w:val="08D81C1A"/>
    <w:rsid w:val="08D81CEB"/>
    <w:rsid w:val="08D81D08"/>
    <w:rsid w:val="08D81D0F"/>
    <w:rsid w:val="08D81DC5"/>
    <w:rsid w:val="08D81DF6"/>
    <w:rsid w:val="08D81EC0"/>
    <w:rsid w:val="08D81FBC"/>
    <w:rsid w:val="08D820A0"/>
    <w:rsid w:val="08D82146"/>
    <w:rsid w:val="08D821A9"/>
    <w:rsid w:val="08D821B0"/>
    <w:rsid w:val="08D8227D"/>
    <w:rsid w:val="08D822B9"/>
    <w:rsid w:val="08D82311"/>
    <w:rsid w:val="08D82313"/>
    <w:rsid w:val="08D82347"/>
    <w:rsid w:val="08D82359"/>
    <w:rsid w:val="08D82398"/>
    <w:rsid w:val="08D82489"/>
    <w:rsid w:val="08D82498"/>
    <w:rsid w:val="08D824EB"/>
    <w:rsid w:val="08D82554"/>
    <w:rsid w:val="08D825C0"/>
    <w:rsid w:val="08D8268C"/>
    <w:rsid w:val="08D826B2"/>
    <w:rsid w:val="08D82772"/>
    <w:rsid w:val="08D827CB"/>
    <w:rsid w:val="08D82856"/>
    <w:rsid w:val="08D82897"/>
    <w:rsid w:val="08D82898"/>
    <w:rsid w:val="08D828FB"/>
    <w:rsid w:val="08D829EA"/>
    <w:rsid w:val="08D82A25"/>
    <w:rsid w:val="08D82A6C"/>
    <w:rsid w:val="08D82B4A"/>
    <w:rsid w:val="08D82C3A"/>
    <w:rsid w:val="08D82C7B"/>
    <w:rsid w:val="08D82D22"/>
    <w:rsid w:val="08D82D30"/>
    <w:rsid w:val="08D82DED"/>
    <w:rsid w:val="08D82DF0"/>
    <w:rsid w:val="08D82E7A"/>
    <w:rsid w:val="08D82F76"/>
    <w:rsid w:val="08D82FD4"/>
    <w:rsid w:val="08D83061"/>
    <w:rsid w:val="08D83082"/>
    <w:rsid w:val="08D8316C"/>
    <w:rsid w:val="08D8318D"/>
    <w:rsid w:val="08D831DE"/>
    <w:rsid w:val="08D832E2"/>
    <w:rsid w:val="08D83329"/>
    <w:rsid w:val="08D833B4"/>
    <w:rsid w:val="08D8342C"/>
    <w:rsid w:val="08D8347F"/>
    <w:rsid w:val="08D8359A"/>
    <w:rsid w:val="08D83672"/>
    <w:rsid w:val="08D83691"/>
    <w:rsid w:val="08D8369A"/>
    <w:rsid w:val="08D83738"/>
    <w:rsid w:val="08D83815"/>
    <w:rsid w:val="08D838A2"/>
    <w:rsid w:val="08D838F1"/>
    <w:rsid w:val="08D838F8"/>
    <w:rsid w:val="08D8394F"/>
    <w:rsid w:val="08D8399F"/>
    <w:rsid w:val="08D83A5E"/>
    <w:rsid w:val="08D83B45"/>
    <w:rsid w:val="08D83C32"/>
    <w:rsid w:val="08D83C85"/>
    <w:rsid w:val="08D83C8F"/>
    <w:rsid w:val="08D83D1D"/>
    <w:rsid w:val="08D83D60"/>
    <w:rsid w:val="08D83DCC"/>
    <w:rsid w:val="08D83DD0"/>
    <w:rsid w:val="08D83E56"/>
    <w:rsid w:val="08D83F47"/>
    <w:rsid w:val="08D83FDB"/>
    <w:rsid w:val="08D8403F"/>
    <w:rsid w:val="08D840AF"/>
    <w:rsid w:val="08D840B3"/>
    <w:rsid w:val="08D840F7"/>
    <w:rsid w:val="08D841ED"/>
    <w:rsid w:val="08D84208"/>
    <w:rsid w:val="08D84235"/>
    <w:rsid w:val="08D8427C"/>
    <w:rsid w:val="08D84297"/>
    <w:rsid w:val="08D84377"/>
    <w:rsid w:val="08D843DB"/>
    <w:rsid w:val="08D843E8"/>
    <w:rsid w:val="08D8441C"/>
    <w:rsid w:val="08D84429"/>
    <w:rsid w:val="08D8442B"/>
    <w:rsid w:val="08D8455D"/>
    <w:rsid w:val="08D8479F"/>
    <w:rsid w:val="08D8488C"/>
    <w:rsid w:val="08D848D6"/>
    <w:rsid w:val="08D8493F"/>
    <w:rsid w:val="08D8495C"/>
    <w:rsid w:val="08D849C3"/>
    <w:rsid w:val="08D84A29"/>
    <w:rsid w:val="08D84AC9"/>
    <w:rsid w:val="08D84B72"/>
    <w:rsid w:val="08D84B90"/>
    <w:rsid w:val="08D84BA3"/>
    <w:rsid w:val="08D84C2D"/>
    <w:rsid w:val="08D84C63"/>
    <w:rsid w:val="08D84D5D"/>
    <w:rsid w:val="08D84D72"/>
    <w:rsid w:val="08D84E4A"/>
    <w:rsid w:val="08D84EDD"/>
    <w:rsid w:val="08D84F4A"/>
    <w:rsid w:val="08D84F91"/>
    <w:rsid w:val="08D8504B"/>
    <w:rsid w:val="08D85052"/>
    <w:rsid w:val="08D852E8"/>
    <w:rsid w:val="08D85306"/>
    <w:rsid w:val="08D853DB"/>
    <w:rsid w:val="08D853DD"/>
    <w:rsid w:val="08D853E8"/>
    <w:rsid w:val="08D8544D"/>
    <w:rsid w:val="08D8546D"/>
    <w:rsid w:val="08D85502"/>
    <w:rsid w:val="08D8559B"/>
    <w:rsid w:val="08D85715"/>
    <w:rsid w:val="08D8578C"/>
    <w:rsid w:val="08D857E8"/>
    <w:rsid w:val="08D85807"/>
    <w:rsid w:val="08D85818"/>
    <w:rsid w:val="08D8586A"/>
    <w:rsid w:val="08D8586E"/>
    <w:rsid w:val="08D85882"/>
    <w:rsid w:val="08D858A1"/>
    <w:rsid w:val="08D858F6"/>
    <w:rsid w:val="08D85908"/>
    <w:rsid w:val="08D85921"/>
    <w:rsid w:val="08D85972"/>
    <w:rsid w:val="08D85997"/>
    <w:rsid w:val="08D85A39"/>
    <w:rsid w:val="08D85A65"/>
    <w:rsid w:val="08D85ACB"/>
    <w:rsid w:val="08D85AFB"/>
    <w:rsid w:val="08D85B06"/>
    <w:rsid w:val="08D85D54"/>
    <w:rsid w:val="08D85E57"/>
    <w:rsid w:val="08D85E95"/>
    <w:rsid w:val="08D85EE2"/>
    <w:rsid w:val="08D85EE5"/>
    <w:rsid w:val="08D85F18"/>
    <w:rsid w:val="08D85FD9"/>
    <w:rsid w:val="08D86035"/>
    <w:rsid w:val="08D86065"/>
    <w:rsid w:val="08D86071"/>
    <w:rsid w:val="08D86080"/>
    <w:rsid w:val="08D860ED"/>
    <w:rsid w:val="08D86219"/>
    <w:rsid w:val="08D8622C"/>
    <w:rsid w:val="08D8623B"/>
    <w:rsid w:val="08D86275"/>
    <w:rsid w:val="08D862F7"/>
    <w:rsid w:val="08D86318"/>
    <w:rsid w:val="08D8634C"/>
    <w:rsid w:val="08D86397"/>
    <w:rsid w:val="08D863A1"/>
    <w:rsid w:val="08D864C3"/>
    <w:rsid w:val="08D865B4"/>
    <w:rsid w:val="08D86679"/>
    <w:rsid w:val="08D866D7"/>
    <w:rsid w:val="08D867F7"/>
    <w:rsid w:val="08D86843"/>
    <w:rsid w:val="08D868C2"/>
    <w:rsid w:val="08D868C8"/>
    <w:rsid w:val="08D868E7"/>
    <w:rsid w:val="08D8691D"/>
    <w:rsid w:val="08D86926"/>
    <w:rsid w:val="08D86934"/>
    <w:rsid w:val="08D86A26"/>
    <w:rsid w:val="08D86A98"/>
    <w:rsid w:val="08D86AFD"/>
    <w:rsid w:val="08D86B0A"/>
    <w:rsid w:val="08D86B3E"/>
    <w:rsid w:val="08D86B89"/>
    <w:rsid w:val="08D86BE3"/>
    <w:rsid w:val="08D86C28"/>
    <w:rsid w:val="08D86C4F"/>
    <w:rsid w:val="08D86C5C"/>
    <w:rsid w:val="08D86DF4"/>
    <w:rsid w:val="08D86E9E"/>
    <w:rsid w:val="08D86EC2"/>
    <w:rsid w:val="08D86F7E"/>
    <w:rsid w:val="08D8709F"/>
    <w:rsid w:val="08D87175"/>
    <w:rsid w:val="08D8719F"/>
    <w:rsid w:val="08D871A5"/>
    <w:rsid w:val="08D87233"/>
    <w:rsid w:val="08D87308"/>
    <w:rsid w:val="08D8732E"/>
    <w:rsid w:val="08D87392"/>
    <w:rsid w:val="08D873C4"/>
    <w:rsid w:val="08D8744D"/>
    <w:rsid w:val="08D87461"/>
    <w:rsid w:val="08D87551"/>
    <w:rsid w:val="08D87573"/>
    <w:rsid w:val="08D87668"/>
    <w:rsid w:val="08D876A6"/>
    <w:rsid w:val="08D877B2"/>
    <w:rsid w:val="08D878B0"/>
    <w:rsid w:val="08D878D5"/>
    <w:rsid w:val="08D87957"/>
    <w:rsid w:val="08D87978"/>
    <w:rsid w:val="08D87AC0"/>
    <w:rsid w:val="08D87AE5"/>
    <w:rsid w:val="08D87BBC"/>
    <w:rsid w:val="08D87CCB"/>
    <w:rsid w:val="08D87CEC"/>
    <w:rsid w:val="08D87CF6"/>
    <w:rsid w:val="08D87E36"/>
    <w:rsid w:val="08D87E7F"/>
    <w:rsid w:val="08D87E97"/>
    <w:rsid w:val="08D87EFF"/>
    <w:rsid w:val="08D87FAC"/>
    <w:rsid w:val="08D87FE0"/>
    <w:rsid w:val="08D90121"/>
    <w:rsid w:val="08D9016E"/>
    <w:rsid w:val="08D901F6"/>
    <w:rsid w:val="08D9021A"/>
    <w:rsid w:val="08D90356"/>
    <w:rsid w:val="08D903F7"/>
    <w:rsid w:val="08D9042B"/>
    <w:rsid w:val="08D904A7"/>
    <w:rsid w:val="08D90595"/>
    <w:rsid w:val="08D905B0"/>
    <w:rsid w:val="08D905ED"/>
    <w:rsid w:val="08D90618"/>
    <w:rsid w:val="08D90619"/>
    <w:rsid w:val="08D90725"/>
    <w:rsid w:val="08D90773"/>
    <w:rsid w:val="08D907A1"/>
    <w:rsid w:val="08D907B7"/>
    <w:rsid w:val="08D907F4"/>
    <w:rsid w:val="08D90819"/>
    <w:rsid w:val="08D908B2"/>
    <w:rsid w:val="08D90962"/>
    <w:rsid w:val="08D90C05"/>
    <w:rsid w:val="08D90D1F"/>
    <w:rsid w:val="08D90D37"/>
    <w:rsid w:val="08D90D8A"/>
    <w:rsid w:val="08D90F98"/>
    <w:rsid w:val="08D90FC4"/>
    <w:rsid w:val="08D91028"/>
    <w:rsid w:val="08D910C4"/>
    <w:rsid w:val="08D91156"/>
    <w:rsid w:val="08D9115E"/>
    <w:rsid w:val="08D91326"/>
    <w:rsid w:val="08D91381"/>
    <w:rsid w:val="08D91387"/>
    <w:rsid w:val="08D913D3"/>
    <w:rsid w:val="08D9142C"/>
    <w:rsid w:val="08D9144C"/>
    <w:rsid w:val="08D914D9"/>
    <w:rsid w:val="08D914E3"/>
    <w:rsid w:val="08D915D6"/>
    <w:rsid w:val="08D91712"/>
    <w:rsid w:val="08D91742"/>
    <w:rsid w:val="08D91795"/>
    <w:rsid w:val="08D917FF"/>
    <w:rsid w:val="08D91865"/>
    <w:rsid w:val="08D91897"/>
    <w:rsid w:val="08D918CA"/>
    <w:rsid w:val="08D9190A"/>
    <w:rsid w:val="08D91915"/>
    <w:rsid w:val="08D91A78"/>
    <w:rsid w:val="08D91A90"/>
    <w:rsid w:val="08D91A96"/>
    <w:rsid w:val="08D91B21"/>
    <w:rsid w:val="08D91B49"/>
    <w:rsid w:val="08D91B50"/>
    <w:rsid w:val="08D91BE4"/>
    <w:rsid w:val="08D91BE8"/>
    <w:rsid w:val="08D91BF5"/>
    <w:rsid w:val="08D91CEA"/>
    <w:rsid w:val="08D91DF9"/>
    <w:rsid w:val="08D9202C"/>
    <w:rsid w:val="08D92044"/>
    <w:rsid w:val="08D9208D"/>
    <w:rsid w:val="08D92104"/>
    <w:rsid w:val="08D92107"/>
    <w:rsid w:val="08D92111"/>
    <w:rsid w:val="08D9213A"/>
    <w:rsid w:val="08D92163"/>
    <w:rsid w:val="08D9218A"/>
    <w:rsid w:val="08D9220E"/>
    <w:rsid w:val="08D92235"/>
    <w:rsid w:val="08D92263"/>
    <w:rsid w:val="08D922C4"/>
    <w:rsid w:val="08D923DC"/>
    <w:rsid w:val="08D924F5"/>
    <w:rsid w:val="08D9253A"/>
    <w:rsid w:val="08D92543"/>
    <w:rsid w:val="08D925DB"/>
    <w:rsid w:val="08D925DC"/>
    <w:rsid w:val="08D92610"/>
    <w:rsid w:val="08D92613"/>
    <w:rsid w:val="08D92622"/>
    <w:rsid w:val="08D9264F"/>
    <w:rsid w:val="08D926C6"/>
    <w:rsid w:val="08D92726"/>
    <w:rsid w:val="08D92795"/>
    <w:rsid w:val="08D927E6"/>
    <w:rsid w:val="08D92970"/>
    <w:rsid w:val="08D92A50"/>
    <w:rsid w:val="08D92A65"/>
    <w:rsid w:val="08D92A6A"/>
    <w:rsid w:val="08D92A75"/>
    <w:rsid w:val="08D92A77"/>
    <w:rsid w:val="08D92A8E"/>
    <w:rsid w:val="08D92A9A"/>
    <w:rsid w:val="08D92B13"/>
    <w:rsid w:val="08D92B6A"/>
    <w:rsid w:val="08D92C21"/>
    <w:rsid w:val="08D92C9F"/>
    <w:rsid w:val="08D92CB2"/>
    <w:rsid w:val="08D92CC4"/>
    <w:rsid w:val="08D92DF8"/>
    <w:rsid w:val="08D92E48"/>
    <w:rsid w:val="08D92E57"/>
    <w:rsid w:val="08D92F9D"/>
    <w:rsid w:val="08D92FB6"/>
    <w:rsid w:val="08D92FB8"/>
    <w:rsid w:val="08D92FD6"/>
    <w:rsid w:val="08D93047"/>
    <w:rsid w:val="08D9308A"/>
    <w:rsid w:val="08D93164"/>
    <w:rsid w:val="08D93193"/>
    <w:rsid w:val="08D931CB"/>
    <w:rsid w:val="08D931E1"/>
    <w:rsid w:val="08D93204"/>
    <w:rsid w:val="08D93314"/>
    <w:rsid w:val="08D933D2"/>
    <w:rsid w:val="08D93460"/>
    <w:rsid w:val="08D93492"/>
    <w:rsid w:val="08D934A2"/>
    <w:rsid w:val="08D934B3"/>
    <w:rsid w:val="08D93507"/>
    <w:rsid w:val="08D93646"/>
    <w:rsid w:val="08D93649"/>
    <w:rsid w:val="08D9364F"/>
    <w:rsid w:val="08D93698"/>
    <w:rsid w:val="08D936CA"/>
    <w:rsid w:val="08D93700"/>
    <w:rsid w:val="08D93977"/>
    <w:rsid w:val="08D939A8"/>
    <w:rsid w:val="08D939B0"/>
    <w:rsid w:val="08D93A05"/>
    <w:rsid w:val="08D93A15"/>
    <w:rsid w:val="08D93B10"/>
    <w:rsid w:val="08D93C3D"/>
    <w:rsid w:val="08D93C60"/>
    <w:rsid w:val="08D93CEF"/>
    <w:rsid w:val="08D93D0A"/>
    <w:rsid w:val="08D93D20"/>
    <w:rsid w:val="08D93D43"/>
    <w:rsid w:val="08D93E3A"/>
    <w:rsid w:val="08D93EBC"/>
    <w:rsid w:val="08D93F44"/>
    <w:rsid w:val="08D93F50"/>
    <w:rsid w:val="08D93F67"/>
    <w:rsid w:val="08D9401C"/>
    <w:rsid w:val="08D940AE"/>
    <w:rsid w:val="08D940FA"/>
    <w:rsid w:val="08D94192"/>
    <w:rsid w:val="08D941DB"/>
    <w:rsid w:val="08D9424F"/>
    <w:rsid w:val="08D94286"/>
    <w:rsid w:val="08D942C0"/>
    <w:rsid w:val="08D94313"/>
    <w:rsid w:val="08D943C8"/>
    <w:rsid w:val="08D94461"/>
    <w:rsid w:val="08D94546"/>
    <w:rsid w:val="08D94551"/>
    <w:rsid w:val="08D945B1"/>
    <w:rsid w:val="08D94682"/>
    <w:rsid w:val="08D94769"/>
    <w:rsid w:val="08D9479C"/>
    <w:rsid w:val="08D948DF"/>
    <w:rsid w:val="08D9491C"/>
    <w:rsid w:val="08D94A00"/>
    <w:rsid w:val="08D94ADD"/>
    <w:rsid w:val="08D94AED"/>
    <w:rsid w:val="08D94AFA"/>
    <w:rsid w:val="08D94B0D"/>
    <w:rsid w:val="08D94B15"/>
    <w:rsid w:val="08D94B47"/>
    <w:rsid w:val="08D94B9C"/>
    <w:rsid w:val="08D94C1F"/>
    <w:rsid w:val="08D94C6C"/>
    <w:rsid w:val="08D94CA5"/>
    <w:rsid w:val="08D94CEC"/>
    <w:rsid w:val="08D94D0B"/>
    <w:rsid w:val="08D94D6D"/>
    <w:rsid w:val="08D94D6F"/>
    <w:rsid w:val="08D94D85"/>
    <w:rsid w:val="08D94DAC"/>
    <w:rsid w:val="08D94DB5"/>
    <w:rsid w:val="08D94DEE"/>
    <w:rsid w:val="08D94DF0"/>
    <w:rsid w:val="08D94E7F"/>
    <w:rsid w:val="08D94FEA"/>
    <w:rsid w:val="08D94FF0"/>
    <w:rsid w:val="08D95056"/>
    <w:rsid w:val="08D95103"/>
    <w:rsid w:val="08D95166"/>
    <w:rsid w:val="08D95182"/>
    <w:rsid w:val="08D951E7"/>
    <w:rsid w:val="08D951E8"/>
    <w:rsid w:val="08D9521B"/>
    <w:rsid w:val="08D95230"/>
    <w:rsid w:val="08D952E8"/>
    <w:rsid w:val="08D953D3"/>
    <w:rsid w:val="08D95597"/>
    <w:rsid w:val="08D955AD"/>
    <w:rsid w:val="08D95605"/>
    <w:rsid w:val="08D956C3"/>
    <w:rsid w:val="08D957A1"/>
    <w:rsid w:val="08D9587E"/>
    <w:rsid w:val="08D958AE"/>
    <w:rsid w:val="08D95901"/>
    <w:rsid w:val="08D9599E"/>
    <w:rsid w:val="08D95AE8"/>
    <w:rsid w:val="08D95BA3"/>
    <w:rsid w:val="08D95BDC"/>
    <w:rsid w:val="08D95C66"/>
    <w:rsid w:val="08D95CCE"/>
    <w:rsid w:val="08D95CEB"/>
    <w:rsid w:val="08D95D50"/>
    <w:rsid w:val="08D95DD6"/>
    <w:rsid w:val="08D95DDE"/>
    <w:rsid w:val="08D95E53"/>
    <w:rsid w:val="08D95F80"/>
    <w:rsid w:val="08D96007"/>
    <w:rsid w:val="08D9600D"/>
    <w:rsid w:val="08D96069"/>
    <w:rsid w:val="08D9607D"/>
    <w:rsid w:val="08D96116"/>
    <w:rsid w:val="08D96133"/>
    <w:rsid w:val="08D9617E"/>
    <w:rsid w:val="08D9620D"/>
    <w:rsid w:val="08D96273"/>
    <w:rsid w:val="08D9627B"/>
    <w:rsid w:val="08D9628E"/>
    <w:rsid w:val="08D962F9"/>
    <w:rsid w:val="08D96339"/>
    <w:rsid w:val="08D963B1"/>
    <w:rsid w:val="08D96417"/>
    <w:rsid w:val="08D96746"/>
    <w:rsid w:val="08D967BF"/>
    <w:rsid w:val="08D968D9"/>
    <w:rsid w:val="08D9698C"/>
    <w:rsid w:val="08D96A34"/>
    <w:rsid w:val="08D96A5B"/>
    <w:rsid w:val="08D96AE9"/>
    <w:rsid w:val="08D96AFB"/>
    <w:rsid w:val="08D96B90"/>
    <w:rsid w:val="08D96C20"/>
    <w:rsid w:val="08D96C69"/>
    <w:rsid w:val="08D96C8A"/>
    <w:rsid w:val="08D96CFB"/>
    <w:rsid w:val="08D96D21"/>
    <w:rsid w:val="08D96D66"/>
    <w:rsid w:val="08D96EB5"/>
    <w:rsid w:val="08D96EB7"/>
    <w:rsid w:val="08D96EE2"/>
    <w:rsid w:val="08D96EF0"/>
    <w:rsid w:val="08D96F67"/>
    <w:rsid w:val="08D96F81"/>
    <w:rsid w:val="08D96FD0"/>
    <w:rsid w:val="08D97003"/>
    <w:rsid w:val="08D9719D"/>
    <w:rsid w:val="08D97387"/>
    <w:rsid w:val="08D973B3"/>
    <w:rsid w:val="08D976A7"/>
    <w:rsid w:val="08D97810"/>
    <w:rsid w:val="08D97862"/>
    <w:rsid w:val="08D97892"/>
    <w:rsid w:val="08D97913"/>
    <w:rsid w:val="08D97960"/>
    <w:rsid w:val="08D9799C"/>
    <w:rsid w:val="08D97A1E"/>
    <w:rsid w:val="08D97B25"/>
    <w:rsid w:val="08D97B41"/>
    <w:rsid w:val="08D97C26"/>
    <w:rsid w:val="08D97C34"/>
    <w:rsid w:val="08D97CC6"/>
    <w:rsid w:val="08D97D4D"/>
    <w:rsid w:val="08D97D62"/>
    <w:rsid w:val="08D97D84"/>
    <w:rsid w:val="08D97D89"/>
    <w:rsid w:val="08D97DE0"/>
    <w:rsid w:val="08D97E43"/>
    <w:rsid w:val="08D97E73"/>
    <w:rsid w:val="08D97F3E"/>
    <w:rsid w:val="08D97F72"/>
    <w:rsid w:val="08D97FAC"/>
    <w:rsid w:val="08D97FF0"/>
    <w:rsid w:val="08DA002C"/>
    <w:rsid w:val="08DA00BE"/>
    <w:rsid w:val="08DA00E1"/>
    <w:rsid w:val="08DA00FC"/>
    <w:rsid w:val="08DA013F"/>
    <w:rsid w:val="08DA014B"/>
    <w:rsid w:val="08DA01A3"/>
    <w:rsid w:val="08DA01CB"/>
    <w:rsid w:val="08DA01D9"/>
    <w:rsid w:val="08DA020A"/>
    <w:rsid w:val="08DA0220"/>
    <w:rsid w:val="08DA03A0"/>
    <w:rsid w:val="08DA03DC"/>
    <w:rsid w:val="08DA044F"/>
    <w:rsid w:val="08DA0540"/>
    <w:rsid w:val="08DA05F9"/>
    <w:rsid w:val="08DA067A"/>
    <w:rsid w:val="08DA067F"/>
    <w:rsid w:val="08DA0680"/>
    <w:rsid w:val="08DA070B"/>
    <w:rsid w:val="08DA072A"/>
    <w:rsid w:val="08DA0778"/>
    <w:rsid w:val="08DA078A"/>
    <w:rsid w:val="08DA0821"/>
    <w:rsid w:val="08DA0823"/>
    <w:rsid w:val="08DA0970"/>
    <w:rsid w:val="08DA09E5"/>
    <w:rsid w:val="08DA0CE5"/>
    <w:rsid w:val="08DA0D0B"/>
    <w:rsid w:val="08DA0E0E"/>
    <w:rsid w:val="08DA0EA0"/>
    <w:rsid w:val="08DA0F3C"/>
    <w:rsid w:val="08DA1014"/>
    <w:rsid w:val="08DA10B9"/>
    <w:rsid w:val="08DA11B0"/>
    <w:rsid w:val="08DA11E4"/>
    <w:rsid w:val="08DA11F9"/>
    <w:rsid w:val="08DA134B"/>
    <w:rsid w:val="08DA13F2"/>
    <w:rsid w:val="08DA1422"/>
    <w:rsid w:val="08DA142E"/>
    <w:rsid w:val="08DA146D"/>
    <w:rsid w:val="08DA157D"/>
    <w:rsid w:val="08DA1602"/>
    <w:rsid w:val="08DA165E"/>
    <w:rsid w:val="08DA1661"/>
    <w:rsid w:val="08DA16BF"/>
    <w:rsid w:val="08DA18D7"/>
    <w:rsid w:val="08DA1928"/>
    <w:rsid w:val="08DA192C"/>
    <w:rsid w:val="08DA1990"/>
    <w:rsid w:val="08DA1A4D"/>
    <w:rsid w:val="08DA1AD4"/>
    <w:rsid w:val="08DA1BD2"/>
    <w:rsid w:val="08DA1DAA"/>
    <w:rsid w:val="08DA1DB7"/>
    <w:rsid w:val="08DA1E59"/>
    <w:rsid w:val="08DA1E9A"/>
    <w:rsid w:val="08DA1EC3"/>
    <w:rsid w:val="08DA1EEC"/>
    <w:rsid w:val="08DA1F55"/>
    <w:rsid w:val="08DA1FF8"/>
    <w:rsid w:val="08DA2018"/>
    <w:rsid w:val="08DA208D"/>
    <w:rsid w:val="08DA20CF"/>
    <w:rsid w:val="08DA2116"/>
    <w:rsid w:val="08DA216C"/>
    <w:rsid w:val="08DA2198"/>
    <w:rsid w:val="08DA21C3"/>
    <w:rsid w:val="08DA224A"/>
    <w:rsid w:val="08DA2425"/>
    <w:rsid w:val="08DA2456"/>
    <w:rsid w:val="08DA248A"/>
    <w:rsid w:val="08DA249A"/>
    <w:rsid w:val="08DA24A6"/>
    <w:rsid w:val="08DA2512"/>
    <w:rsid w:val="08DA25C6"/>
    <w:rsid w:val="08DA2770"/>
    <w:rsid w:val="08DA27A3"/>
    <w:rsid w:val="08DA27DE"/>
    <w:rsid w:val="08DA2816"/>
    <w:rsid w:val="08DA292E"/>
    <w:rsid w:val="08DA298C"/>
    <w:rsid w:val="08DA29A1"/>
    <w:rsid w:val="08DA2A1E"/>
    <w:rsid w:val="08DA2AB9"/>
    <w:rsid w:val="08DA2AC2"/>
    <w:rsid w:val="08DA2B16"/>
    <w:rsid w:val="08DA2BA5"/>
    <w:rsid w:val="08DA2BE2"/>
    <w:rsid w:val="08DA2C1E"/>
    <w:rsid w:val="08DA2C58"/>
    <w:rsid w:val="08DA2CC7"/>
    <w:rsid w:val="08DA2E44"/>
    <w:rsid w:val="08DA2E78"/>
    <w:rsid w:val="08DA2EF3"/>
    <w:rsid w:val="08DA2F87"/>
    <w:rsid w:val="08DA2F95"/>
    <w:rsid w:val="08DA2FD7"/>
    <w:rsid w:val="08DA309F"/>
    <w:rsid w:val="08DA30B8"/>
    <w:rsid w:val="08DA310B"/>
    <w:rsid w:val="08DA312C"/>
    <w:rsid w:val="08DA3160"/>
    <w:rsid w:val="08DA31B0"/>
    <w:rsid w:val="08DA3206"/>
    <w:rsid w:val="08DA3324"/>
    <w:rsid w:val="08DA3378"/>
    <w:rsid w:val="08DA3472"/>
    <w:rsid w:val="08DA3474"/>
    <w:rsid w:val="08DA34EA"/>
    <w:rsid w:val="08DA3548"/>
    <w:rsid w:val="08DA354D"/>
    <w:rsid w:val="08DA3646"/>
    <w:rsid w:val="08DA3672"/>
    <w:rsid w:val="08DA368D"/>
    <w:rsid w:val="08DA369F"/>
    <w:rsid w:val="08DA3766"/>
    <w:rsid w:val="08DA3795"/>
    <w:rsid w:val="08DA37FA"/>
    <w:rsid w:val="08DA3817"/>
    <w:rsid w:val="08DA381C"/>
    <w:rsid w:val="08DA3895"/>
    <w:rsid w:val="08DA38F5"/>
    <w:rsid w:val="08DA3989"/>
    <w:rsid w:val="08DA39A2"/>
    <w:rsid w:val="08DA39E0"/>
    <w:rsid w:val="08DA3B6C"/>
    <w:rsid w:val="08DA3BA2"/>
    <w:rsid w:val="08DA3BF9"/>
    <w:rsid w:val="08DA3C97"/>
    <w:rsid w:val="08DA3CD8"/>
    <w:rsid w:val="08DA3CF6"/>
    <w:rsid w:val="08DA3EF5"/>
    <w:rsid w:val="08DA3FC3"/>
    <w:rsid w:val="08DA3FC9"/>
    <w:rsid w:val="08DA3FF5"/>
    <w:rsid w:val="08DA40EA"/>
    <w:rsid w:val="08DA4120"/>
    <w:rsid w:val="08DA42F9"/>
    <w:rsid w:val="08DA4443"/>
    <w:rsid w:val="08DA44F3"/>
    <w:rsid w:val="08DA458B"/>
    <w:rsid w:val="08DA45F3"/>
    <w:rsid w:val="08DA469F"/>
    <w:rsid w:val="08DA46B8"/>
    <w:rsid w:val="08DA46DA"/>
    <w:rsid w:val="08DA47A5"/>
    <w:rsid w:val="08DA484F"/>
    <w:rsid w:val="08DA4899"/>
    <w:rsid w:val="08DA4943"/>
    <w:rsid w:val="08DA496A"/>
    <w:rsid w:val="08DA4997"/>
    <w:rsid w:val="08DA49C9"/>
    <w:rsid w:val="08DA4A05"/>
    <w:rsid w:val="08DA4A2F"/>
    <w:rsid w:val="08DA4BDE"/>
    <w:rsid w:val="08DA4BED"/>
    <w:rsid w:val="08DA4C23"/>
    <w:rsid w:val="08DA4C69"/>
    <w:rsid w:val="08DA4ED5"/>
    <w:rsid w:val="08DA4F51"/>
    <w:rsid w:val="08DA4F73"/>
    <w:rsid w:val="08DA4FC0"/>
    <w:rsid w:val="08DA50CD"/>
    <w:rsid w:val="08DA50EA"/>
    <w:rsid w:val="08DA510C"/>
    <w:rsid w:val="08DA523D"/>
    <w:rsid w:val="08DA52AD"/>
    <w:rsid w:val="08DA52B0"/>
    <w:rsid w:val="08DA54DB"/>
    <w:rsid w:val="08DA55D6"/>
    <w:rsid w:val="08DA56DF"/>
    <w:rsid w:val="08DA570D"/>
    <w:rsid w:val="08DA57AE"/>
    <w:rsid w:val="08DA5802"/>
    <w:rsid w:val="08DA5815"/>
    <w:rsid w:val="08DA583F"/>
    <w:rsid w:val="08DA58C3"/>
    <w:rsid w:val="08DA5905"/>
    <w:rsid w:val="08DA5938"/>
    <w:rsid w:val="08DA5970"/>
    <w:rsid w:val="08DA59B0"/>
    <w:rsid w:val="08DA5A7A"/>
    <w:rsid w:val="08DA5A7C"/>
    <w:rsid w:val="08DA5AAD"/>
    <w:rsid w:val="08DA5ACE"/>
    <w:rsid w:val="08DA5B21"/>
    <w:rsid w:val="08DA5DC3"/>
    <w:rsid w:val="08DA5E16"/>
    <w:rsid w:val="08DA5EE7"/>
    <w:rsid w:val="08DA5F3F"/>
    <w:rsid w:val="08DA5F93"/>
    <w:rsid w:val="08DA5F9D"/>
    <w:rsid w:val="08DA5FED"/>
    <w:rsid w:val="08DA5FF9"/>
    <w:rsid w:val="08DA6041"/>
    <w:rsid w:val="08DA604B"/>
    <w:rsid w:val="08DA61AA"/>
    <w:rsid w:val="08DA62F8"/>
    <w:rsid w:val="08DA638C"/>
    <w:rsid w:val="08DA6444"/>
    <w:rsid w:val="08DA64A9"/>
    <w:rsid w:val="08DA6578"/>
    <w:rsid w:val="08DA65B3"/>
    <w:rsid w:val="08DA65BE"/>
    <w:rsid w:val="08DA65F9"/>
    <w:rsid w:val="08DA6644"/>
    <w:rsid w:val="08DA6696"/>
    <w:rsid w:val="08DA672A"/>
    <w:rsid w:val="08DA67CC"/>
    <w:rsid w:val="08DA67E6"/>
    <w:rsid w:val="08DA68DA"/>
    <w:rsid w:val="08DA68EA"/>
    <w:rsid w:val="08DA6974"/>
    <w:rsid w:val="08DA69B6"/>
    <w:rsid w:val="08DA69E5"/>
    <w:rsid w:val="08DA6A30"/>
    <w:rsid w:val="08DA6A58"/>
    <w:rsid w:val="08DA6A7A"/>
    <w:rsid w:val="08DA6A90"/>
    <w:rsid w:val="08DA6ABA"/>
    <w:rsid w:val="08DA6ADB"/>
    <w:rsid w:val="08DA6AF7"/>
    <w:rsid w:val="08DA6B40"/>
    <w:rsid w:val="08DA6B48"/>
    <w:rsid w:val="08DA6BE0"/>
    <w:rsid w:val="08DA6C15"/>
    <w:rsid w:val="08DA6CF1"/>
    <w:rsid w:val="08DA6D7E"/>
    <w:rsid w:val="08DA6D87"/>
    <w:rsid w:val="08DA6DCC"/>
    <w:rsid w:val="08DA6E7B"/>
    <w:rsid w:val="08DA7028"/>
    <w:rsid w:val="08DA702E"/>
    <w:rsid w:val="08DA70B5"/>
    <w:rsid w:val="08DA70E6"/>
    <w:rsid w:val="08DA710A"/>
    <w:rsid w:val="08DA712F"/>
    <w:rsid w:val="08DA7154"/>
    <w:rsid w:val="08DA7248"/>
    <w:rsid w:val="08DA7393"/>
    <w:rsid w:val="08DA739F"/>
    <w:rsid w:val="08DA7436"/>
    <w:rsid w:val="08DA74E0"/>
    <w:rsid w:val="08DA750E"/>
    <w:rsid w:val="08DA75DC"/>
    <w:rsid w:val="08DA765B"/>
    <w:rsid w:val="08DA774E"/>
    <w:rsid w:val="08DA7783"/>
    <w:rsid w:val="08DA77D4"/>
    <w:rsid w:val="08DA7844"/>
    <w:rsid w:val="08DA7850"/>
    <w:rsid w:val="08DA788C"/>
    <w:rsid w:val="08DA7909"/>
    <w:rsid w:val="08DA792D"/>
    <w:rsid w:val="08DA7AFB"/>
    <w:rsid w:val="08DA7D1E"/>
    <w:rsid w:val="08DA7D82"/>
    <w:rsid w:val="08DA7DC8"/>
    <w:rsid w:val="08DA7DE3"/>
    <w:rsid w:val="08DA7E17"/>
    <w:rsid w:val="08DA7E48"/>
    <w:rsid w:val="08DA7E84"/>
    <w:rsid w:val="08DA7E9D"/>
    <w:rsid w:val="08DA7EB3"/>
    <w:rsid w:val="08DA7EB7"/>
    <w:rsid w:val="08DA7EEA"/>
    <w:rsid w:val="08DA7F2A"/>
    <w:rsid w:val="08DA7F6A"/>
    <w:rsid w:val="08DB0039"/>
    <w:rsid w:val="08DB007E"/>
    <w:rsid w:val="08DB00A8"/>
    <w:rsid w:val="08DB00CB"/>
    <w:rsid w:val="08DB00D0"/>
    <w:rsid w:val="08DB0122"/>
    <w:rsid w:val="08DB01F5"/>
    <w:rsid w:val="08DB02AD"/>
    <w:rsid w:val="08DB02F8"/>
    <w:rsid w:val="08DB0407"/>
    <w:rsid w:val="08DB0476"/>
    <w:rsid w:val="08DB04A0"/>
    <w:rsid w:val="08DB051A"/>
    <w:rsid w:val="08DB0530"/>
    <w:rsid w:val="08DB05CF"/>
    <w:rsid w:val="08DB072E"/>
    <w:rsid w:val="08DB0754"/>
    <w:rsid w:val="08DB089E"/>
    <w:rsid w:val="08DB092B"/>
    <w:rsid w:val="08DB09F4"/>
    <w:rsid w:val="08DB0A46"/>
    <w:rsid w:val="08DB0C32"/>
    <w:rsid w:val="08DB0C47"/>
    <w:rsid w:val="08DB0C4E"/>
    <w:rsid w:val="08DB0C63"/>
    <w:rsid w:val="08DB0C68"/>
    <w:rsid w:val="08DB0D5D"/>
    <w:rsid w:val="08DB0D77"/>
    <w:rsid w:val="08DB0D97"/>
    <w:rsid w:val="08DB0DC2"/>
    <w:rsid w:val="08DB0E54"/>
    <w:rsid w:val="08DB0FED"/>
    <w:rsid w:val="08DB1042"/>
    <w:rsid w:val="08DB111E"/>
    <w:rsid w:val="08DB1157"/>
    <w:rsid w:val="08DB11CD"/>
    <w:rsid w:val="08DB11DF"/>
    <w:rsid w:val="08DB1201"/>
    <w:rsid w:val="08DB1218"/>
    <w:rsid w:val="08DB124D"/>
    <w:rsid w:val="08DB1252"/>
    <w:rsid w:val="08DB129F"/>
    <w:rsid w:val="08DB133D"/>
    <w:rsid w:val="08DB1342"/>
    <w:rsid w:val="08DB1365"/>
    <w:rsid w:val="08DB1511"/>
    <w:rsid w:val="08DB155B"/>
    <w:rsid w:val="08DB155D"/>
    <w:rsid w:val="08DB1601"/>
    <w:rsid w:val="08DB1616"/>
    <w:rsid w:val="08DB16B7"/>
    <w:rsid w:val="08DB1805"/>
    <w:rsid w:val="08DB1937"/>
    <w:rsid w:val="08DB1961"/>
    <w:rsid w:val="08DB1994"/>
    <w:rsid w:val="08DB1A3D"/>
    <w:rsid w:val="08DB1A65"/>
    <w:rsid w:val="08DB1C08"/>
    <w:rsid w:val="08DB1C0E"/>
    <w:rsid w:val="08DB1CC8"/>
    <w:rsid w:val="08DB1D64"/>
    <w:rsid w:val="08DB1D99"/>
    <w:rsid w:val="08DB1DAF"/>
    <w:rsid w:val="08DB1DD7"/>
    <w:rsid w:val="08DB1E2C"/>
    <w:rsid w:val="08DB1EEA"/>
    <w:rsid w:val="08DB1F59"/>
    <w:rsid w:val="08DB1F66"/>
    <w:rsid w:val="08DB201F"/>
    <w:rsid w:val="08DB2024"/>
    <w:rsid w:val="08DB213B"/>
    <w:rsid w:val="08DB224F"/>
    <w:rsid w:val="08DB22DF"/>
    <w:rsid w:val="08DB22E6"/>
    <w:rsid w:val="08DB2336"/>
    <w:rsid w:val="08DB23C3"/>
    <w:rsid w:val="08DB23E6"/>
    <w:rsid w:val="08DB2402"/>
    <w:rsid w:val="08DB2432"/>
    <w:rsid w:val="08DB2442"/>
    <w:rsid w:val="08DB247B"/>
    <w:rsid w:val="08DB2528"/>
    <w:rsid w:val="08DB2585"/>
    <w:rsid w:val="08DB2621"/>
    <w:rsid w:val="08DB27A9"/>
    <w:rsid w:val="08DB2905"/>
    <w:rsid w:val="08DB2956"/>
    <w:rsid w:val="08DB2968"/>
    <w:rsid w:val="08DB297A"/>
    <w:rsid w:val="08DB2997"/>
    <w:rsid w:val="08DB29B0"/>
    <w:rsid w:val="08DB2A04"/>
    <w:rsid w:val="08DB2A0B"/>
    <w:rsid w:val="08DB2B34"/>
    <w:rsid w:val="08DB2BD2"/>
    <w:rsid w:val="08DB2C0F"/>
    <w:rsid w:val="08DB2C25"/>
    <w:rsid w:val="08DB2C6E"/>
    <w:rsid w:val="08DB2C9E"/>
    <w:rsid w:val="08DB2DAA"/>
    <w:rsid w:val="08DB2F2B"/>
    <w:rsid w:val="08DB2F46"/>
    <w:rsid w:val="08DB2F87"/>
    <w:rsid w:val="08DB3051"/>
    <w:rsid w:val="08DB3095"/>
    <w:rsid w:val="08DB314A"/>
    <w:rsid w:val="08DB3185"/>
    <w:rsid w:val="08DB319A"/>
    <w:rsid w:val="08DB31DC"/>
    <w:rsid w:val="08DB31FA"/>
    <w:rsid w:val="08DB327A"/>
    <w:rsid w:val="08DB32A3"/>
    <w:rsid w:val="08DB3467"/>
    <w:rsid w:val="08DB347F"/>
    <w:rsid w:val="08DB34CB"/>
    <w:rsid w:val="08DB35AC"/>
    <w:rsid w:val="08DB35F9"/>
    <w:rsid w:val="08DB3601"/>
    <w:rsid w:val="08DB361A"/>
    <w:rsid w:val="08DB3636"/>
    <w:rsid w:val="08DB364C"/>
    <w:rsid w:val="08DB365C"/>
    <w:rsid w:val="08DB36B8"/>
    <w:rsid w:val="08DB36D8"/>
    <w:rsid w:val="08DB36EE"/>
    <w:rsid w:val="08DB370E"/>
    <w:rsid w:val="08DB3713"/>
    <w:rsid w:val="08DB37EF"/>
    <w:rsid w:val="08DB3803"/>
    <w:rsid w:val="08DB386D"/>
    <w:rsid w:val="08DB38C1"/>
    <w:rsid w:val="08DB38D6"/>
    <w:rsid w:val="08DB38FF"/>
    <w:rsid w:val="08DB390F"/>
    <w:rsid w:val="08DB391C"/>
    <w:rsid w:val="08DB3953"/>
    <w:rsid w:val="08DB395E"/>
    <w:rsid w:val="08DB3AB6"/>
    <w:rsid w:val="08DB3ABC"/>
    <w:rsid w:val="08DB3B3E"/>
    <w:rsid w:val="08DB3B58"/>
    <w:rsid w:val="08DB3C90"/>
    <w:rsid w:val="08DB3C96"/>
    <w:rsid w:val="08DB3D51"/>
    <w:rsid w:val="08DB3E7B"/>
    <w:rsid w:val="08DB3E8D"/>
    <w:rsid w:val="08DB3EA7"/>
    <w:rsid w:val="08DB3F6E"/>
    <w:rsid w:val="08DB3FD5"/>
    <w:rsid w:val="08DB4034"/>
    <w:rsid w:val="08DB4041"/>
    <w:rsid w:val="08DB4083"/>
    <w:rsid w:val="08DB4208"/>
    <w:rsid w:val="08DB42C7"/>
    <w:rsid w:val="08DB42CC"/>
    <w:rsid w:val="08DB4309"/>
    <w:rsid w:val="08DB430F"/>
    <w:rsid w:val="08DB43DA"/>
    <w:rsid w:val="08DB4411"/>
    <w:rsid w:val="08DB44F0"/>
    <w:rsid w:val="08DB453F"/>
    <w:rsid w:val="08DB4568"/>
    <w:rsid w:val="08DB45EE"/>
    <w:rsid w:val="08DB473C"/>
    <w:rsid w:val="08DB481C"/>
    <w:rsid w:val="08DB486B"/>
    <w:rsid w:val="08DB48E6"/>
    <w:rsid w:val="08DB4C4E"/>
    <w:rsid w:val="08DB4C56"/>
    <w:rsid w:val="08DB4C68"/>
    <w:rsid w:val="08DB4DA3"/>
    <w:rsid w:val="08DB4DC5"/>
    <w:rsid w:val="08DB4E74"/>
    <w:rsid w:val="08DB4EFE"/>
    <w:rsid w:val="08DB4F2B"/>
    <w:rsid w:val="08DB5055"/>
    <w:rsid w:val="08DB5160"/>
    <w:rsid w:val="08DB51CF"/>
    <w:rsid w:val="08DB521F"/>
    <w:rsid w:val="08DB5307"/>
    <w:rsid w:val="08DB5334"/>
    <w:rsid w:val="08DB533A"/>
    <w:rsid w:val="08DB537A"/>
    <w:rsid w:val="08DB5487"/>
    <w:rsid w:val="08DB5491"/>
    <w:rsid w:val="08DB54A6"/>
    <w:rsid w:val="08DB551D"/>
    <w:rsid w:val="08DB55CD"/>
    <w:rsid w:val="08DB55E8"/>
    <w:rsid w:val="08DB56DB"/>
    <w:rsid w:val="08DB56EC"/>
    <w:rsid w:val="08DB5832"/>
    <w:rsid w:val="08DB59C7"/>
    <w:rsid w:val="08DB59CB"/>
    <w:rsid w:val="08DB5A19"/>
    <w:rsid w:val="08DB5A97"/>
    <w:rsid w:val="08DB5ACC"/>
    <w:rsid w:val="08DB5C5D"/>
    <w:rsid w:val="08DB5C9D"/>
    <w:rsid w:val="08DB5CCF"/>
    <w:rsid w:val="08DB5D91"/>
    <w:rsid w:val="08DB5DC8"/>
    <w:rsid w:val="08DB5DD3"/>
    <w:rsid w:val="08DB5E6D"/>
    <w:rsid w:val="08DB5E8E"/>
    <w:rsid w:val="08DB5EF6"/>
    <w:rsid w:val="08DB5EFF"/>
    <w:rsid w:val="08DB60B9"/>
    <w:rsid w:val="08DB6103"/>
    <w:rsid w:val="08DB61BE"/>
    <w:rsid w:val="08DB6382"/>
    <w:rsid w:val="08DB6430"/>
    <w:rsid w:val="08DB6439"/>
    <w:rsid w:val="08DB6487"/>
    <w:rsid w:val="08DB64CF"/>
    <w:rsid w:val="08DB656B"/>
    <w:rsid w:val="08DB6578"/>
    <w:rsid w:val="08DB6594"/>
    <w:rsid w:val="08DB65C3"/>
    <w:rsid w:val="08DB669C"/>
    <w:rsid w:val="08DB66FB"/>
    <w:rsid w:val="08DB6944"/>
    <w:rsid w:val="08DB6A01"/>
    <w:rsid w:val="08DB6A22"/>
    <w:rsid w:val="08DB6A5B"/>
    <w:rsid w:val="08DB6A92"/>
    <w:rsid w:val="08DB6B22"/>
    <w:rsid w:val="08DB6B40"/>
    <w:rsid w:val="08DB6B48"/>
    <w:rsid w:val="08DB6BB7"/>
    <w:rsid w:val="08DB6C2B"/>
    <w:rsid w:val="08DB6C5E"/>
    <w:rsid w:val="08DB6CCD"/>
    <w:rsid w:val="08DB6D09"/>
    <w:rsid w:val="08DB6D41"/>
    <w:rsid w:val="08DB6D5C"/>
    <w:rsid w:val="08DB6D62"/>
    <w:rsid w:val="08DB6D6E"/>
    <w:rsid w:val="08DB6E76"/>
    <w:rsid w:val="08DB6EF7"/>
    <w:rsid w:val="08DB6F48"/>
    <w:rsid w:val="08DB6F50"/>
    <w:rsid w:val="08DB6F8B"/>
    <w:rsid w:val="08DB70F8"/>
    <w:rsid w:val="08DB70FE"/>
    <w:rsid w:val="08DB7139"/>
    <w:rsid w:val="08DB7149"/>
    <w:rsid w:val="08DB717B"/>
    <w:rsid w:val="08DB7233"/>
    <w:rsid w:val="08DB7356"/>
    <w:rsid w:val="08DB742A"/>
    <w:rsid w:val="08DB75B3"/>
    <w:rsid w:val="08DB7639"/>
    <w:rsid w:val="08DB7736"/>
    <w:rsid w:val="08DB77B5"/>
    <w:rsid w:val="08DB77DB"/>
    <w:rsid w:val="08DB789A"/>
    <w:rsid w:val="08DB796F"/>
    <w:rsid w:val="08DB79C9"/>
    <w:rsid w:val="08DB7A3A"/>
    <w:rsid w:val="08DB7A94"/>
    <w:rsid w:val="08DB7B3A"/>
    <w:rsid w:val="08DB7BE3"/>
    <w:rsid w:val="08DB7E45"/>
    <w:rsid w:val="08DB7FCF"/>
    <w:rsid w:val="08DC00EF"/>
    <w:rsid w:val="08DC010F"/>
    <w:rsid w:val="08DC01AB"/>
    <w:rsid w:val="08DC01E7"/>
    <w:rsid w:val="08DC029C"/>
    <w:rsid w:val="08DC03B2"/>
    <w:rsid w:val="08DC03C5"/>
    <w:rsid w:val="08DC0410"/>
    <w:rsid w:val="08DC042C"/>
    <w:rsid w:val="08DC04A1"/>
    <w:rsid w:val="08DC0577"/>
    <w:rsid w:val="08DC05A9"/>
    <w:rsid w:val="08DC0635"/>
    <w:rsid w:val="08DC066F"/>
    <w:rsid w:val="08DC06CE"/>
    <w:rsid w:val="08DC0771"/>
    <w:rsid w:val="08DC0819"/>
    <w:rsid w:val="08DC083E"/>
    <w:rsid w:val="08DC0848"/>
    <w:rsid w:val="08DC09E7"/>
    <w:rsid w:val="08DC0A07"/>
    <w:rsid w:val="08DC0AC6"/>
    <w:rsid w:val="08DC0B2D"/>
    <w:rsid w:val="08DC0C23"/>
    <w:rsid w:val="08DC0CBA"/>
    <w:rsid w:val="08DC0CCD"/>
    <w:rsid w:val="08DC0D3A"/>
    <w:rsid w:val="08DC0D71"/>
    <w:rsid w:val="08DC0DC2"/>
    <w:rsid w:val="08DC0E70"/>
    <w:rsid w:val="08DC0EA3"/>
    <w:rsid w:val="08DC0FEE"/>
    <w:rsid w:val="08DC11BF"/>
    <w:rsid w:val="08DC12AF"/>
    <w:rsid w:val="08DC1360"/>
    <w:rsid w:val="08DC1375"/>
    <w:rsid w:val="08DC1508"/>
    <w:rsid w:val="08DC152E"/>
    <w:rsid w:val="08DC1568"/>
    <w:rsid w:val="08DC15B1"/>
    <w:rsid w:val="08DC16A6"/>
    <w:rsid w:val="08DC1729"/>
    <w:rsid w:val="08DC172A"/>
    <w:rsid w:val="08DC1750"/>
    <w:rsid w:val="08DC17E2"/>
    <w:rsid w:val="08DC1833"/>
    <w:rsid w:val="08DC188E"/>
    <w:rsid w:val="08DC19EE"/>
    <w:rsid w:val="08DC1A69"/>
    <w:rsid w:val="08DC1AA8"/>
    <w:rsid w:val="08DC1B14"/>
    <w:rsid w:val="08DC1B40"/>
    <w:rsid w:val="08DC1B95"/>
    <w:rsid w:val="08DC1C9B"/>
    <w:rsid w:val="08DC1D55"/>
    <w:rsid w:val="08DC1D63"/>
    <w:rsid w:val="08DC1D7D"/>
    <w:rsid w:val="08DC1D8E"/>
    <w:rsid w:val="08DC1D94"/>
    <w:rsid w:val="08DC1DD7"/>
    <w:rsid w:val="08DC1EFA"/>
    <w:rsid w:val="08DC1F09"/>
    <w:rsid w:val="08DC1FC0"/>
    <w:rsid w:val="08DC2163"/>
    <w:rsid w:val="08DC21B5"/>
    <w:rsid w:val="08DC2224"/>
    <w:rsid w:val="08DC22F2"/>
    <w:rsid w:val="08DC2393"/>
    <w:rsid w:val="08DC28DA"/>
    <w:rsid w:val="08DC28DF"/>
    <w:rsid w:val="08DC294B"/>
    <w:rsid w:val="08DC297F"/>
    <w:rsid w:val="08DC299B"/>
    <w:rsid w:val="08DC2A3F"/>
    <w:rsid w:val="08DC2AD7"/>
    <w:rsid w:val="08DC2B44"/>
    <w:rsid w:val="08DC2C7C"/>
    <w:rsid w:val="08DC2CC0"/>
    <w:rsid w:val="08DC2CD0"/>
    <w:rsid w:val="08DC2CEB"/>
    <w:rsid w:val="08DC2D22"/>
    <w:rsid w:val="08DC2D2C"/>
    <w:rsid w:val="08DC2D69"/>
    <w:rsid w:val="08DC2DB8"/>
    <w:rsid w:val="08DC2E86"/>
    <w:rsid w:val="08DC2EC2"/>
    <w:rsid w:val="08DC2ED9"/>
    <w:rsid w:val="08DC2EDF"/>
    <w:rsid w:val="08DC2F6B"/>
    <w:rsid w:val="08DC2F7A"/>
    <w:rsid w:val="08DC2F8A"/>
    <w:rsid w:val="08DC312F"/>
    <w:rsid w:val="08DC3250"/>
    <w:rsid w:val="08DC32FB"/>
    <w:rsid w:val="08DC3344"/>
    <w:rsid w:val="08DC33BF"/>
    <w:rsid w:val="08DC3483"/>
    <w:rsid w:val="08DC3493"/>
    <w:rsid w:val="08DC3592"/>
    <w:rsid w:val="08DC35D7"/>
    <w:rsid w:val="08DC35F0"/>
    <w:rsid w:val="08DC35F9"/>
    <w:rsid w:val="08DC3650"/>
    <w:rsid w:val="08DC36B6"/>
    <w:rsid w:val="08DC3711"/>
    <w:rsid w:val="08DC3712"/>
    <w:rsid w:val="08DC3726"/>
    <w:rsid w:val="08DC37AC"/>
    <w:rsid w:val="08DC37B7"/>
    <w:rsid w:val="08DC3843"/>
    <w:rsid w:val="08DC3844"/>
    <w:rsid w:val="08DC388F"/>
    <w:rsid w:val="08DC3964"/>
    <w:rsid w:val="08DC39D7"/>
    <w:rsid w:val="08DC3A05"/>
    <w:rsid w:val="08DC3ABD"/>
    <w:rsid w:val="08DC3B03"/>
    <w:rsid w:val="08DC3BE7"/>
    <w:rsid w:val="08DC3CD8"/>
    <w:rsid w:val="08DC3DD4"/>
    <w:rsid w:val="08DC3DD9"/>
    <w:rsid w:val="08DC3DE9"/>
    <w:rsid w:val="08DC3E2B"/>
    <w:rsid w:val="08DC3EAC"/>
    <w:rsid w:val="08DC3EB2"/>
    <w:rsid w:val="08DC3ED8"/>
    <w:rsid w:val="08DC3F99"/>
    <w:rsid w:val="08DC3FA2"/>
    <w:rsid w:val="08DC404A"/>
    <w:rsid w:val="08DC404E"/>
    <w:rsid w:val="08DC406B"/>
    <w:rsid w:val="08DC40AC"/>
    <w:rsid w:val="08DC40AD"/>
    <w:rsid w:val="08DC40BE"/>
    <w:rsid w:val="08DC41B3"/>
    <w:rsid w:val="08DC42A4"/>
    <w:rsid w:val="08DC43A4"/>
    <w:rsid w:val="08DC43B0"/>
    <w:rsid w:val="08DC43D5"/>
    <w:rsid w:val="08DC43FD"/>
    <w:rsid w:val="08DC4401"/>
    <w:rsid w:val="08DC444D"/>
    <w:rsid w:val="08DC4491"/>
    <w:rsid w:val="08DC4499"/>
    <w:rsid w:val="08DC4513"/>
    <w:rsid w:val="08DC45A2"/>
    <w:rsid w:val="08DC464C"/>
    <w:rsid w:val="08DC46B8"/>
    <w:rsid w:val="08DC47AD"/>
    <w:rsid w:val="08DC47BC"/>
    <w:rsid w:val="08DC47C8"/>
    <w:rsid w:val="08DC4982"/>
    <w:rsid w:val="08DC4A04"/>
    <w:rsid w:val="08DC4A44"/>
    <w:rsid w:val="08DC4A48"/>
    <w:rsid w:val="08DC4A55"/>
    <w:rsid w:val="08DC4AE5"/>
    <w:rsid w:val="08DC4C0D"/>
    <w:rsid w:val="08DC4C0F"/>
    <w:rsid w:val="08DC4C3C"/>
    <w:rsid w:val="08DC4C56"/>
    <w:rsid w:val="08DC4C75"/>
    <w:rsid w:val="08DC4D91"/>
    <w:rsid w:val="08DC4E59"/>
    <w:rsid w:val="08DC4E6E"/>
    <w:rsid w:val="08DC4F36"/>
    <w:rsid w:val="08DC4FDE"/>
    <w:rsid w:val="08DC5046"/>
    <w:rsid w:val="08DC50B9"/>
    <w:rsid w:val="08DC50F0"/>
    <w:rsid w:val="08DC50FA"/>
    <w:rsid w:val="08DC5126"/>
    <w:rsid w:val="08DC5134"/>
    <w:rsid w:val="08DC5159"/>
    <w:rsid w:val="08DC51BA"/>
    <w:rsid w:val="08DC51C6"/>
    <w:rsid w:val="08DC524E"/>
    <w:rsid w:val="08DC5271"/>
    <w:rsid w:val="08DC52C1"/>
    <w:rsid w:val="08DC52C5"/>
    <w:rsid w:val="08DC52F1"/>
    <w:rsid w:val="08DC534F"/>
    <w:rsid w:val="08DC5381"/>
    <w:rsid w:val="08DC53AA"/>
    <w:rsid w:val="08DC53C7"/>
    <w:rsid w:val="08DC5478"/>
    <w:rsid w:val="08DC54BC"/>
    <w:rsid w:val="08DC54C3"/>
    <w:rsid w:val="08DC5518"/>
    <w:rsid w:val="08DC5538"/>
    <w:rsid w:val="08DC5580"/>
    <w:rsid w:val="08DC55F7"/>
    <w:rsid w:val="08DC5783"/>
    <w:rsid w:val="08DC5809"/>
    <w:rsid w:val="08DC58CD"/>
    <w:rsid w:val="08DC58EE"/>
    <w:rsid w:val="08DC59C4"/>
    <w:rsid w:val="08DC5AF7"/>
    <w:rsid w:val="08DC5B58"/>
    <w:rsid w:val="08DC5B59"/>
    <w:rsid w:val="08DC5BAD"/>
    <w:rsid w:val="08DC5CBE"/>
    <w:rsid w:val="08DC5CC0"/>
    <w:rsid w:val="08DC5CF9"/>
    <w:rsid w:val="08DC5D26"/>
    <w:rsid w:val="08DC5D33"/>
    <w:rsid w:val="08DC5E1B"/>
    <w:rsid w:val="08DC5E60"/>
    <w:rsid w:val="08DC5EC2"/>
    <w:rsid w:val="08DC5F2E"/>
    <w:rsid w:val="08DC6026"/>
    <w:rsid w:val="08DC6045"/>
    <w:rsid w:val="08DC60AC"/>
    <w:rsid w:val="08DC60BD"/>
    <w:rsid w:val="08DC622C"/>
    <w:rsid w:val="08DC623C"/>
    <w:rsid w:val="08DC62BC"/>
    <w:rsid w:val="08DC62FA"/>
    <w:rsid w:val="08DC6336"/>
    <w:rsid w:val="08DC6537"/>
    <w:rsid w:val="08DC65F5"/>
    <w:rsid w:val="08DC6626"/>
    <w:rsid w:val="08DC667E"/>
    <w:rsid w:val="08DC66FA"/>
    <w:rsid w:val="08DC674C"/>
    <w:rsid w:val="08DC6847"/>
    <w:rsid w:val="08DC68F1"/>
    <w:rsid w:val="08DC6AB2"/>
    <w:rsid w:val="08DC6AE4"/>
    <w:rsid w:val="08DC6AE5"/>
    <w:rsid w:val="08DC6B37"/>
    <w:rsid w:val="08DC6B59"/>
    <w:rsid w:val="08DC6CE6"/>
    <w:rsid w:val="08DC6D30"/>
    <w:rsid w:val="08DC6D45"/>
    <w:rsid w:val="08DC6D7A"/>
    <w:rsid w:val="08DC6D88"/>
    <w:rsid w:val="08DC6DCB"/>
    <w:rsid w:val="08DC6E47"/>
    <w:rsid w:val="08DC6EF6"/>
    <w:rsid w:val="08DC6FC2"/>
    <w:rsid w:val="08DC6FE7"/>
    <w:rsid w:val="08DC6FEF"/>
    <w:rsid w:val="08DC7050"/>
    <w:rsid w:val="08DC7068"/>
    <w:rsid w:val="08DC7192"/>
    <w:rsid w:val="08DC71A3"/>
    <w:rsid w:val="08DC71C1"/>
    <w:rsid w:val="08DC7376"/>
    <w:rsid w:val="08DC73CA"/>
    <w:rsid w:val="08DC757D"/>
    <w:rsid w:val="08DC75BD"/>
    <w:rsid w:val="08DC7634"/>
    <w:rsid w:val="08DC7784"/>
    <w:rsid w:val="08DC77C7"/>
    <w:rsid w:val="08DC781F"/>
    <w:rsid w:val="08DC7955"/>
    <w:rsid w:val="08DC79BE"/>
    <w:rsid w:val="08DC79E2"/>
    <w:rsid w:val="08DC7A8D"/>
    <w:rsid w:val="08DC7D35"/>
    <w:rsid w:val="08DC7DED"/>
    <w:rsid w:val="08DC7E26"/>
    <w:rsid w:val="08DC7E53"/>
    <w:rsid w:val="08DC7F72"/>
    <w:rsid w:val="08DD0068"/>
    <w:rsid w:val="08DD0084"/>
    <w:rsid w:val="08DD016C"/>
    <w:rsid w:val="08DD02BC"/>
    <w:rsid w:val="08DD04CB"/>
    <w:rsid w:val="08DD04E9"/>
    <w:rsid w:val="08DD0578"/>
    <w:rsid w:val="08DD059B"/>
    <w:rsid w:val="08DD063A"/>
    <w:rsid w:val="08DD0672"/>
    <w:rsid w:val="08DD0790"/>
    <w:rsid w:val="08DD07AF"/>
    <w:rsid w:val="08DD07E2"/>
    <w:rsid w:val="08DD08B1"/>
    <w:rsid w:val="08DD08E1"/>
    <w:rsid w:val="08DD097E"/>
    <w:rsid w:val="08DD09A9"/>
    <w:rsid w:val="08DD0A3A"/>
    <w:rsid w:val="08DD0A92"/>
    <w:rsid w:val="08DD0B85"/>
    <w:rsid w:val="08DD0BA9"/>
    <w:rsid w:val="08DD0BC8"/>
    <w:rsid w:val="08DD0C4E"/>
    <w:rsid w:val="08DD0CE9"/>
    <w:rsid w:val="08DD0D5F"/>
    <w:rsid w:val="08DD0DBB"/>
    <w:rsid w:val="08DD0E93"/>
    <w:rsid w:val="08DD0F7B"/>
    <w:rsid w:val="08DD0F8A"/>
    <w:rsid w:val="08DD1040"/>
    <w:rsid w:val="08DD10AF"/>
    <w:rsid w:val="08DD1149"/>
    <w:rsid w:val="08DD1160"/>
    <w:rsid w:val="08DD11F5"/>
    <w:rsid w:val="08DD1318"/>
    <w:rsid w:val="08DD13F3"/>
    <w:rsid w:val="08DD1501"/>
    <w:rsid w:val="08DD1547"/>
    <w:rsid w:val="08DD17AA"/>
    <w:rsid w:val="08DD1807"/>
    <w:rsid w:val="08DD1887"/>
    <w:rsid w:val="08DD18D3"/>
    <w:rsid w:val="08DD198D"/>
    <w:rsid w:val="08DD1A0B"/>
    <w:rsid w:val="08DD1A5A"/>
    <w:rsid w:val="08DD1B16"/>
    <w:rsid w:val="08DD1B7B"/>
    <w:rsid w:val="08DD1BED"/>
    <w:rsid w:val="08DD1C01"/>
    <w:rsid w:val="08DD1C4E"/>
    <w:rsid w:val="08DD1CAA"/>
    <w:rsid w:val="08DD1CAF"/>
    <w:rsid w:val="08DD1CEA"/>
    <w:rsid w:val="08DD1DB7"/>
    <w:rsid w:val="08DD1DD3"/>
    <w:rsid w:val="08DD1EA0"/>
    <w:rsid w:val="08DD1FB8"/>
    <w:rsid w:val="08DD1FE3"/>
    <w:rsid w:val="08DD1FEA"/>
    <w:rsid w:val="08DD2004"/>
    <w:rsid w:val="08DD2006"/>
    <w:rsid w:val="08DD2077"/>
    <w:rsid w:val="08DD20E8"/>
    <w:rsid w:val="08DD210F"/>
    <w:rsid w:val="08DD2143"/>
    <w:rsid w:val="08DD2197"/>
    <w:rsid w:val="08DD21AE"/>
    <w:rsid w:val="08DD21E4"/>
    <w:rsid w:val="08DD244F"/>
    <w:rsid w:val="08DD251E"/>
    <w:rsid w:val="08DD254E"/>
    <w:rsid w:val="08DD265D"/>
    <w:rsid w:val="08DD26BA"/>
    <w:rsid w:val="08DD271E"/>
    <w:rsid w:val="08DD27A3"/>
    <w:rsid w:val="08DD2859"/>
    <w:rsid w:val="08DD28CE"/>
    <w:rsid w:val="08DD28F7"/>
    <w:rsid w:val="08DD291C"/>
    <w:rsid w:val="08DD2948"/>
    <w:rsid w:val="08DD2967"/>
    <w:rsid w:val="08DD2984"/>
    <w:rsid w:val="08DD29A4"/>
    <w:rsid w:val="08DD29B0"/>
    <w:rsid w:val="08DD29E1"/>
    <w:rsid w:val="08DD2A5E"/>
    <w:rsid w:val="08DD2A93"/>
    <w:rsid w:val="08DD2AA4"/>
    <w:rsid w:val="08DD2B2F"/>
    <w:rsid w:val="08DD2B32"/>
    <w:rsid w:val="08DD2BC5"/>
    <w:rsid w:val="08DD2BCF"/>
    <w:rsid w:val="08DD2C1E"/>
    <w:rsid w:val="08DD2C9C"/>
    <w:rsid w:val="08DD2CAF"/>
    <w:rsid w:val="08DD2CFC"/>
    <w:rsid w:val="08DD2CFF"/>
    <w:rsid w:val="08DD2DC1"/>
    <w:rsid w:val="08DD2E62"/>
    <w:rsid w:val="08DD2F12"/>
    <w:rsid w:val="08DD2F62"/>
    <w:rsid w:val="08DD302D"/>
    <w:rsid w:val="08DD30A2"/>
    <w:rsid w:val="08DD30D1"/>
    <w:rsid w:val="08DD314D"/>
    <w:rsid w:val="08DD316A"/>
    <w:rsid w:val="08DD316F"/>
    <w:rsid w:val="08DD317C"/>
    <w:rsid w:val="08DD31D1"/>
    <w:rsid w:val="08DD31DD"/>
    <w:rsid w:val="08DD31EF"/>
    <w:rsid w:val="08DD31FF"/>
    <w:rsid w:val="08DD32BB"/>
    <w:rsid w:val="08DD330C"/>
    <w:rsid w:val="08DD340D"/>
    <w:rsid w:val="08DD341C"/>
    <w:rsid w:val="08DD345E"/>
    <w:rsid w:val="08DD349B"/>
    <w:rsid w:val="08DD350C"/>
    <w:rsid w:val="08DD351F"/>
    <w:rsid w:val="08DD3555"/>
    <w:rsid w:val="08DD3563"/>
    <w:rsid w:val="08DD37B9"/>
    <w:rsid w:val="08DD38A4"/>
    <w:rsid w:val="08DD399C"/>
    <w:rsid w:val="08DD39C6"/>
    <w:rsid w:val="08DD39DA"/>
    <w:rsid w:val="08DD3A4C"/>
    <w:rsid w:val="08DD3A4F"/>
    <w:rsid w:val="08DD3A5D"/>
    <w:rsid w:val="08DD3AAB"/>
    <w:rsid w:val="08DD3AFC"/>
    <w:rsid w:val="08DD3B27"/>
    <w:rsid w:val="08DD3B73"/>
    <w:rsid w:val="08DD3BCB"/>
    <w:rsid w:val="08DD3BD1"/>
    <w:rsid w:val="08DD3BD6"/>
    <w:rsid w:val="08DD3C3D"/>
    <w:rsid w:val="08DD3D31"/>
    <w:rsid w:val="08DD3DC3"/>
    <w:rsid w:val="08DD3EB4"/>
    <w:rsid w:val="08DD3EE2"/>
    <w:rsid w:val="08DD3EE4"/>
    <w:rsid w:val="08DD3FC9"/>
    <w:rsid w:val="08DD406B"/>
    <w:rsid w:val="08DD406D"/>
    <w:rsid w:val="08DD40A7"/>
    <w:rsid w:val="08DD40CA"/>
    <w:rsid w:val="08DD40DA"/>
    <w:rsid w:val="08DD438A"/>
    <w:rsid w:val="08DD43B4"/>
    <w:rsid w:val="08DD445A"/>
    <w:rsid w:val="08DD4460"/>
    <w:rsid w:val="08DD4495"/>
    <w:rsid w:val="08DD44D2"/>
    <w:rsid w:val="08DD456B"/>
    <w:rsid w:val="08DD4573"/>
    <w:rsid w:val="08DD4594"/>
    <w:rsid w:val="08DD461C"/>
    <w:rsid w:val="08DD468F"/>
    <w:rsid w:val="08DD46B1"/>
    <w:rsid w:val="08DD46C3"/>
    <w:rsid w:val="08DD46F7"/>
    <w:rsid w:val="08DD46FE"/>
    <w:rsid w:val="08DD4700"/>
    <w:rsid w:val="08DD495F"/>
    <w:rsid w:val="08DD498B"/>
    <w:rsid w:val="08DD49DE"/>
    <w:rsid w:val="08DD4A60"/>
    <w:rsid w:val="08DD4C2C"/>
    <w:rsid w:val="08DD4C40"/>
    <w:rsid w:val="08DD4D66"/>
    <w:rsid w:val="08DD4E38"/>
    <w:rsid w:val="08DD4E96"/>
    <w:rsid w:val="08DD5086"/>
    <w:rsid w:val="08DD50BD"/>
    <w:rsid w:val="08DD5173"/>
    <w:rsid w:val="08DD5208"/>
    <w:rsid w:val="08DD5232"/>
    <w:rsid w:val="08DD52F5"/>
    <w:rsid w:val="08DD52FC"/>
    <w:rsid w:val="08DD533B"/>
    <w:rsid w:val="08DD5359"/>
    <w:rsid w:val="08DD539B"/>
    <w:rsid w:val="08DD53EA"/>
    <w:rsid w:val="08DD5451"/>
    <w:rsid w:val="08DD5571"/>
    <w:rsid w:val="08DD559C"/>
    <w:rsid w:val="08DD55E4"/>
    <w:rsid w:val="08DD560A"/>
    <w:rsid w:val="08DD560B"/>
    <w:rsid w:val="08DD57F9"/>
    <w:rsid w:val="08DD585F"/>
    <w:rsid w:val="08DD59B5"/>
    <w:rsid w:val="08DD5A65"/>
    <w:rsid w:val="08DD5ACF"/>
    <w:rsid w:val="08DD5BB6"/>
    <w:rsid w:val="08DD5D3D"/>
    <w:rsid w:val="08DD5D62"/>
    <w:rsid w:val="08DD5E07"/>
    <w:rsid w:val="08DD5EE5"/>
    <w:rsid w:val="08DD5F65"/>
    <w:rsid w:val="08DD5F66"/>
    <w:rsid w:val="08DD5FFB"/>
    <w:rsid w:val="08DD6040"/>
    <w:rsid w:val="08DD6248"/>
    <w:rsid w:val="08DD62A0"/>
    <w:rsid w:val="08DD6338"/>
    <w:rsid w:val="08DD64E9"/>
    <w:rsid w:val="08DD650A"/>
    <w:rsid w:val="08DD6626"/>
    <w:rsid w:val="08DD667C"/>
    <w:rsid w:val="08DD6731"/>
    <w:rsid w:val="08DD6769"/>
    <w:rsid w:val="08DD67AD"/>
    <w:rsid w:val="08DD67DC"/>
    <w:rsid w:val="08DD67E9"/>
    <w:rsid w:val="08DD6A3C"/>
    <w:rsid w:val="08DD6AA1"/>
    <w:rsid w:val="08DD6B52"/>
    <w:rsid w:val="08DD6B72"/>
    <w:rsid w:val="08DD6CC8"/>
    <w:rsid w:val="08DD6CD8"/>
    <w:rsid w:val="08DD6D04"/>
    <w:rsid w:val="08DD6D27"/>
    <w:rsid w:val="08DD6D28"/>
    <w:rsid w:val="08DD6D48"/>
    <w:rsid w:val="08DD6D52"/>
    <w:rsid w:val="08DD6D6D"/>
    <w:rsid w:val="08DD6DEA"/>
    <w:rsid w:val="08DD718C"/>
    <w:rsid w:val="08DD7261"/>
    <w:rsid w:val="08DD727F"/>
    <w:rsid w:val="08DD7292"/>
    <w:rsid w:val="08DD7295"/>
    <w:rsid w:val="08DD736C"/>
    <w:rsid w:val="08DD7391"/>
    <w:rsid w:val="08DD73BA"/>
    <w:rsid w:val="08DD73BD"/>
    <w:rsid w:val="08DD744E"/>
    <w:rsid w:val="08DD75E2"/>
    <w:rsid w:val="08DD769E"/>
    <w:rsid w:val="08DD777E"/>
    <w:rsid w:val="08DD77EA"/>
    <w:rsid w:val="08DD7812"/>
    <w:rsid w:val="08DD7899"/>
    <w:rsid w:val="08DD7953"/>
    <w:rsid w:val="08DD7A77"/>
    <w:rsid w:val="08DD7AB6"/>
    <w:rsid w:val="08DD7AC6"/>
    <w:rsid w:val="08DD7C1B"/>
    <w:rsid w:val="08DD7E7B"/>
    <w:rsid w:val="08DD7ECB"/>
    <w:rsid w:val="08DD7F33"/>
    <w:rsid w:val="08DD7F84"/>
    <w:rsid w:val="08DD7F9B"/>
    <w:rsid w:val="08DE0114"/>
    <w:rsid w:val="08DE0193"/>
    <w:rsid w:val="08DE0280"/>
    <w:rsid w:val="08DE0309"/>
    <w:rsid w:val="08DE030C"/>
    <w:rsid w:val="08DE0431"/>
    <w:rsid w:val="08DE0477"/>
    <w:rsid w:val="08DE0555"/>
    <w:rsid w:val="08DE0681"/>
    <w:rsid w:val="08DE0711"/>
    <w:rsid w:val="08DE0748"/>
    <w:rsid w:val="08DE07E3"/>
    <w:rsid w:val="08DE08C8"/>
    <w:rsid w:val="08DE08D6"/>
    <w:rsid w:val="08DE0996"/>
    <w:rsid w:val="08DE09F8"/>
    <w:rsid w:val="08DE0A36"/>
    <w:rsid w:val="08DE0A73"/>
    <w:rsid w:val="08DE0A8F"/>
    <w:rsid w:val="08DE0A90"/>
    <w:rsid w:val="08DE0A99"/>
    <w:rsid w:val="08DE0B5A"/>
    <w:rsid w:val="08DE0C21"/>
    <w:rsid w:val="08DE0C56"/>
    <w:rsid w:val="08DE0CD4"/>
    <w:rsid w:val="08DE0DB2"/>
    <w:rsid w:val="08DE107D"/>
    <w:rsid w:val="08DE10EB"/>
    <w:rsid w:val="08DE1112"/>
    <w:rsid w:val="08DE118F"/>
    <w:rsid w:val="08DE11EB"/>
    <w:rsid w:val="08DE128F"/>
    <w:rsid w:val="08DE1337"/>
    <w:rsid w:val="08DE135C"/>
    <w:rsid w:val="08DE13D1"/>
    <w:rsid w:val="08DE14A1"/>
    <w:rsid w:val="08DE14A7"/>
    <w:rsid w:val="08DE14B0"/>
    <w:rsid w:val="08DE14DD"/>
    <w:rsid w:val="08DE164D"/>
    <w:rsid w:val="08DE17C6"/>
    <w:rsid w:val="08DE17F9"/>
    <w:rsid w:val="08DE1828"/>
    <w:rsid w:val="08DE186D"/>
    <w:rsid w:val="08DE186F"/>
    <w:rsid w:val="08DE18BB"/>
    <w:rsid w:val="08DE18ED"/>
    <w:rsid w:val="08DE1949"/>
    <w:rsid w:val="08DE1A9D"/>
    <w:rsid w:val="08DE1B2A"/>
    <w:rsid w:val="08DE1B3E"/>
    <w:rsid w:val="08DE1B60"/>
    <w:rsid w:val="08DE1BA4"/>
    <w:rsid w:val="08DE1BEC"/>
    <w:rsid w:val="08DE1BEF"/>
    <w:rsid w:val="08DE1C67"/>
    <w:rsid w:val="08DE1C88"/>
    <w:rsid w:val="08DE1DF0"/>
    <w:rsid w:val="08DE1E99"/>
    <w:rsid w:val="08DE1F6D"/>
    <w:rsid w:val="08DE201F"/>
    <w:rsid w:val="08DE2024"/>
    <w:rsid w:val="08DE208B"/>
    <w:rsid w:val="08DE209F"/>
    <w:rsid w:val="08DE225F"/>
    <w:rsid w:val="08DE22B7"/>
    <w:rsid w:val="08DE22D4"/>
    <w:rsid w:val="08DE22DB"/>
    <w:rsid w:val="08DE2352"/>
    <w:rsid w:val="08DE2387"/>
    <w:rsid w:val="08DE23E8"/>
    <w:rsid w:val="08DE23FC"/>
    <w:rsid w:val="08DE2427"/>
    <w:rsid w:val="08DE2497"/>
    <w:rsid w:val="08DE24BF"/>
    <w:rsid w:val="08DE255A"/>
    <w:rsid w:val="08DE2565"/>
    <w:rsid w:val="08DE2578"/>
    <w:rsid w:val="08DE25A3"/>
    <w:rsid w:val="08DE2632"/>
    <w:rsid w:val="08DE2647"/>
    <w:rsid w:val="08DE26CC"/>
    <w:rsid w:val="08DE26D7"/>
    <w:rsid w:val="08DE26DA"/>
    <w:rsid w:val="08DE274E"/>
    <w:rsid w:val="08DE2841"/>
    <w:rsid w:val="08DE286F"/>
    <w:rsid w:val="08DE293C"/>
    <w:rsid w:val="08DE2943"/>
    <w:rsid w:val="08DE29D0"/>
    <w:rsid w:val="08DE2A5F"/>
    <w:rsid w:val="08DE2A6D"/>
    <w:rsid w:val="08DE2AA9"/>
    <w:rsid w:val="08DE2BA8"/>
    <w:rsid w:val="08DE2BF7"/>
    <w:rsid w:val="08DE2C31"/>
    <w:rsid w:val="08DE2CB0"/>
    <w:rsid w:val="08DE2CBA"/>
    <w:rsid w:val="08DE2CC0"/>
    <w:rsid w:val="08DE2CE5"/>
    <w:rsid w:val="08DE2D2B"/>
    <w:rsid w:val="08DE2D53"/>
    <w:rsid w:val="08DE2D6F"/>
    <w:rsid w:val="08DE2DD4"/>
    <w:rsid w:val="08DE2DDC"/>
    <w:rsid w:val="08DE2E25"/>
    <w:rsid w:val="08DE2E7C"/>
    <w:rsid w:val="08DE2E80"/>
    <w:rsid w:val="08DE2FAE"/>
    <w:rsid w:val="08DE2FCF"/>
    <w:rsid w:val="08DE300F"/>
    <w:rsid w:val="08DE306F"/>
    <w:rsid w:val="08DE30ED"/>
    <w:rsid w:val="08DE318B"/>
    <w:rsid w:val="08DE3271"/>
    <w:rsid w:val="08DE32E5"/>
    <w:rsid w:val="08DE3307"/>
    <w:rsid w:val="08DE3360"/>
    <w:rsid w:val="08DE33C4"/>
    <w:rsid w:val="08DE3448"/>
    <w:rsid w:val="08DE347F"/>
    <w:rsid w:val="08DE34C4"/>
    <w:rsid w:val="08DE355D"/>
    <w:rsid w:val="08DE3576"/>
    <w:rsid w:val="08DE358C"/>
    <w:rsid w:val="08DE35EF"/>
    <w:rsid w:val="08DE371E"/>
    <w:rsid w:val="08DE3752"/>
    <w:rsid w:val="08DE37EC"/>
    <w:rsid w:val="08DE3800"/>
    <w:rsid w:val="08DE383A"/>
    <w:rsid w:val="08DE3843"/>
    <w:rsid w:val="08DE38F4"/>
    <w:rsid w:val="08DE394A"/>
    <w:rsid w:val="08DE3A31"/>
    <w:rsid w:val="08DE3A3E"/>
    <w:rsid w:val="08DE3A71"/>
    <w:rsid w:val="08DE3AF7"/>
    <w:rsid w:val="08DE3B10"/>
    <w:rsid w:val="08DE3B46"/>
    <w:rsid w:val="08DE3CA5"/>
    <w:rsid w:val="08DE3D05"/>
    <w:rsid w:val="08DE3D2C"/>
    <w:rsid w:val="08DE3D42"/>
    <w:rsid w:val="08DE3D6B"/>
    <w:rsid w:val="08DE3D6F"/>
    <w:rsid w:val="08DE3D7C"/>
    <w:rsid w:val="08DE3F6E"/>
    <w:rsid w:val="08DE3FC2"/>
    <w:rsid w:val="08DE3FF5"/>
    <w:rsid w:val="08DE403B"/>
    <w:rsid w:val="08DE405C"/>
    <w:rsid w:val="08DE4126"/>
    <w:rsid w:val="08DE41BA"/>
    <w:rsid w:val="08DE41D4"/>
    <w:rsid w:val="08DE4220"/>
    <w:rsid w:val="08DE42BB"/>
    <w:rsid w:val="08DE4313"/>
    <w:rsid w:val="08DE4399"/>
    <w:rsid w:val="08DE44D8"/>
    <w:rsid w:val="08DE458D"/>
    <w:rsid w:val="08DE47A2"/>
    <w:rsid w:val="08DE4866"/>
    <w:rsid w:val="08DE486D"/>
    <w:rsid w:val="08DE4893"/>
    <w:rsid w:val="08DE4922"/>
    <w:rsid w:val="08DE492A"/>
    <w:rsid w:val="08DE495A"/>
    <w:rsid w:val="08DE495B"/>
    <w:rsid w:val="08DE4A9E"/>
    <w:rsid w:val="08DE4C36"/>
    <w:rsid w:val="08DE4DD2"/>
    <w:rsid w:val="08DE4F57"/>
    <w:rsid w:val="08DE4F83"/>
    <w:rsid w:val="08DE4FDF"/>
    <w:rsid w:val="08DE50E4"/>
    <w:rsid w:val="08DE5104"/>
    <w:rsid w:val="08DE516F"/>
    <w:rsid w:val="08DE52CC"/>
    <w:rsid w:val="08DE5316"/>
    <w:rsid w:val="08DE5332"/>
    <w:rsid w:val="08DE5391"/>
    <w:rsid w:val="08DE54B6"/>
    <w:rsid w:val="08DE54D1"/>
    <w:rsid w:val="08DE5538"/>
    <w:rsid w:val="08DE5596"/>
    <w:rsid w:val="08DE55B9"/>
    <w:rsid w:val="08DE55E0"/>
    <w:rsid w:val="08DE5603"/>
    <w:rsid w:val="08DE563F"/>
    <w:rsid w:val="08DE569F"/>
    <w:rsid w:val="08DE5773"/>
    <w:rsid w:val="08DE57C6"/>
    <w:rsid w:val="08DE57F3"/>
    <w:rsid w:val="08DE5901"/>
    <w:rsid w:val="08DE599D"/>
    <w:rsid w:val="08DE59EA"/>
    <w:rsid w:val="08DE5A97"/>
    <w:rsid w:val="08DE5ADB"/>
    <w:rsid w:val="08DE5CB2"/>
    <w:rsid w:val="08DE5DFD"/>
    <w:rsid w:val="08DE5E27"/>
    <w:rsid w:val="08DE5E9C"/>
    <w:rsid w:val="08DE5EC9"/>
    <w:rsid w:val="08DE5ECA"/>
    <w:rsid w:val="08DE5EDA"/>
    <w:rsid w:val="08DE6001"/>
    <w:rsid w:val="08DE6055"/>
    <w:rsid w:val="08DE606C"/>
    <w:rsid w:val="08DE6097"/>
    <w:rsid w:val="08DE6186"/>
    <w:rsid w:val="08DE62AF"/>
    <w:rsid w:val="08DE62BC"/>
    <w:rsid w:val="08DE62C5"/>
    <w:rsid w:val="08DE632F"/>
    <w:rsid w:val="08DE6371"/>
    <w:rsid w:val="08DE6384"/>
    <w:rsid w:val="08DE6389"/>
    <w:rsid w:val="08DE63FC"/>
    <w:rsid w:val="08DE6445"/>
    <w:rsid w:val="08DE64E9"/>
    <w:rsid w:val="08DE651F"/>
    <w:rsid w:val="08DE6561"/>
    <w:rsid w:val="08DE658A"/>
    <w:rsid w:val="08DE65A9"/>
    <w:rsid w:val="08DE6601"/>
    <w:rsid w:val="08DE6605"/>
    <w:rsid w:val="08DE6611"/>
    <w:rsid w:val="08DE6690"/>
    <w:rsid w:val="08DE673F"/>
    <w:rsid w:val="08DE676B"/>
    <w:rsid w:val="08DE6784"/>
    <w:rsid w:val="08DE68B6"/>
    <w:rsid w:val="08DE691B"/>
    <w:rsid w:val="08DE6944"/>
    <w:rsid w:val="08DE696D"/>
    <w:rsid w:val="08DE69FC"/>
    <w:rsid w:val="08DE6A12"/>
    <w:rsid w:val="08DE6A1D"/>
    <w:rsid w:val="08DE6A34"/>
    <w:rsid w:val="08DE6C16"/>
    <w:rsid w:val="08DE6C58"/>
    <w:rsid w:val="08DE6CCC"/>
    <w:rsid w:val="08DE6D71"/>
    <w:rsid w:val="08DE6D9C"/>
    <w:rsid w:val="08DE6E4C"/>
    <w:rsid w:val="08DE6EE4"/>
    <w:rsid w:val="08DE6F3B"/>
    <w:rsid w:val="08DE6FC7"/>
    <w:rsid w:val="08DE6FE1"/>
    <w:rsid w:val="08DE70E5"/>
    <w:rsid w:val="08DE70FF"/>
    <w:rsid w:val="08DE7308"/>
    <w:rsid w:val="08DE7376"/>
    <w:rsid w:val="08DE73E4"/>
    <w:rsid w:val="08DE7412"/>
    <w:rsid w:val="08DE743E"/>
    <w:rsid w:val="08DE748E"/>
    <w:rsid w:val="08DE74DC"/>
    <w:rsid w:val="08DE7585"/>
    <w:rsid w:val="08DE7596"/>
    <w:rsid w:val="08DE75A4"/>
    <w:rsid w:val="08DE75F2"/>
    <w:rsid w:val="08DE767C"/>
    <w:rsid w:val="08DE76DA"/>
    <w:rsid w:val="08DE7701"/>
    <w:rsid w:val="08DE77E4"/>
    <w:rsid w:val="08DE7966"/>
    <w:rsid w:val="08DE79AB"/>
    <w:rsid w:val="08DE79B7"/>
    <w:rsid w:val="08DE7A40"/>
    <w:rsid w:val="08DE7A78"/>
    <w:rsid w:val="08DE7AF9"/>
    <w:rsid w:val="08DE7B2C"/>
    <w:rsid w:val="08DE7B77"/>
    <w:rsid w:val="08DE7BC4"/>
    <w:rsid w:val="08DE7BF1"/>
    <w:rsid w:val="08DE7CF1"/>
    <w:rsid w:val="08DE7E50"/>
    <w:rsid w:val="08DE7E63"/>
    <w:rsid w:val="08DE7F80"/>
    <w:rsid w:val="08DF0059"/>
    <w:rsid w:val="08DF0269"/>
    <w:rsid w:val="08DF02E2"/>
    <w:rsid w:val="08DF02E3"/>
    <w:rsid w:val="08DF0407"/>
    <w:rsid w:val="08DF04E4"/>
    <w:rsid w:val="08DF052D"/>
    <w:rsid w:val="08DF0543"/>
    <w:rsid w:val="08DF0610"/>
    <w:rsid w:val="08DF0625"/>
    <w:rsid w:val="08DF062E"/>
    <w:rsid w:val="08DF0632"/>
    <w:rsid w:val="08DF065D"/>
    <w:rsid w:val="08DF067C"/>
    <w:rsid w:val="08DF069E"/>
    <w:rsid w:val="08DF077A"/>
    <w:rsid w:val="08DF087D"/>
    <w:rsid w:val="08DF08A1"/>
    <w:rsid w:val="08DF08C9"/>
    <w:rsid w:val="08DF08EF"/>
    <w:rsid w:val="08DF0906"/>
    <w:rsid w:val="08DF0B94"/>
    <w:rsid w:val="08DF0BED"/>
    <w:rsid w:val="08DF0D00"/>
    <w:rsid w:val="08DF0DA3"/>
    <w:rsid w:val="08DF0DAB"/>
    <w:rsid w:val="08DF0E92"/>
    <w:rsid w:val="08DF0EB1"/>
    <w:rsid w:val="08DF0EC4"/>
    <w:rsid w:val="08DF0ED5"/>
    <w:rsid w:val="08DF0F28"/>
    <w:rsid w:val="08DF0F2E"/>
    <w:rsid w:val="08DF0FC1"/>
    <w:rsid w:val="08DF1000"/>
    <w:rsid w:val="08DF1119"/>
    <w:rsid w:val="08DF1202"/>
    <w:rsid w:val="08DF122B"/>
    <w:rsid w:val="08DF122E"/>
    <w:rsid w:val="08DF1281"/>
    <w:rsid w:val="08DF1283"/>
    <w:rsid w:val="08DF12D0"/>
    <w:rsid w:val="08DF12D2"/>
    <w:rsid w:val="08DF1331"/>
    <w:rsid w:val="08DF13BF"/>
    <w:rsid w:val="08DF1427"/>
    <w:rsid w:val="08DF1452"/>
    <w:rsid w:val="08DF14B2"/>
    <w:rsid w:val="08DF1524"/>
    <w:rsid w:val="08DF1550"/>
    <w:rsid w:val="08DF15BF"/>
    <w:rsid w:val="08DF15D0"/>
    <w:rsid w:val="08DF16C0"/>
    <w:rsid w:val="08DF16ED"/>
    <w:rsid w:val="08DF1730"/>
    <w:rsid w:val="08DF17F6"/>
    <w:rsid w:val="08DF1898"/>
    <w:rsid w:val="08DF18F4"/>
    <w:rsid w:val="08DF1949"/>
    <w:rsid w:val="08DF1995"/>
    <w:rsid w:val="08DF1B18"/>
    <w:rsid w:val="08DF1BBC"/>
    <w:rsid w:val="08DF1C3A"/>
    <w:rsid w:val="08DF1CBA"/>
    <w:rsid w:val="08DF1CE9"/>
    <w:rsid w:val="08DF1DEB"/>
    <w:rsid w:val="08DF1DF0"/>
    <w:rsid w:val="08DF1E75"/>
    <w:rsid w:val="08DF1E87"/>
    <w:rsid w:val="08DF1F78"/>
    <w:rsid w:val="08DF1FD7"/>
    <w:rsid w:val="08DF1FEA"/>
    <w:rsid w:val="08DF2024"/>
    <w:rsid w:val="08DF2035"/>
    <w:rsid w:val="08DF2037"/>
    <w:rsid w:val="08DF20D4"/>
    <w:rsid w:val="08DF215C"/>
    <w:rsid w:val="08DF2182"/>
    <w:rsid w:val="08DF2202"/>
    <w:rsid w:val="08DF221A"/>
    <w:rsid w:val="08DF22E2"/>
    <w:rsid w:val="08DF22F2"/>
    <w:rsid w:val="08DF2365"/>
    <w:rsid w:val="08DF2387"/>
    <w:rsid w:val="08DF23C3"/>
    <w:rsid w:val="08DF23D3"/>
    <w:rsid w:val="08DF23FF"/>
    <w:rsid w:val="08DF24D3"/>
    <w:rsid w:val="08DF2505"/>
    <w:rsid w:val="08DF2586"/>
    <w:rsid w:val="08DF25C8"/>
    <w:rsid w:val="08DF2641"/>
    <w:rsid w:val="08DF266F"/>
    <w:rsid w:val="08DF26E4"/>
    <w:rsid w:val="08DF272D"/>
    <w:rsid w:val="08DF2885"/>
    <w:rsid w:val="08DF28DC"/>
    <w:rsid w:val="08DF2A88"/>
    <w:rsid w:val="08DF2AD2"/>
    <w:rsid w:val="08DF2AE5"/>
    <w:rsid w:val="08DF2B83"/>
    <w:rsid w:val="08DF2BB3"/>
    <w:rsid w:val="08DF2C5D"/>
    <w:rsid w:val="08DF2C67"/>
    <w:rsid w:val="08DF2D39"/>
    <w:rsid w:val="08DF2D8B"/>
    <w:rsid w:val="08DF2DD5"/>
    <w:rsid w:val="08DF2DDE"/>
    <w:rsid w:val="08DF2E24"/>
    <w:rsid w:val="08DF2E39"/>
    <w:rsid w:val="08DF2E40"/>
    <w:rsid w:val="08DF2E65"/>
    <w:rsid w:val="08DF2ED5"/>
    <w:rsid w:val="08DF2ED6"/>
    <w:rsid w:val="08DF302B"/>
    <w:rsid w:val="08DF308B"/>
    <w:rsid w:val="08DF30EF"/>
    <w:rsid w:val="08DF3120"/>
    <w:rsid w:val="08DF3124"/>
    <w:rsid w:val="08DF3132"/>
    <w:rsid w:val="08DF316B"/>
    <w:rsid w:val="08DF321B"/>
    <w:rsid w:val="08DF3276"/>
    <w:rsid w:val="08DF3383"/>
    <w:rsid w:val="08DF3442"/>
    <w:rsid w:val="08DF3466"/>
    <w:rsid w:val="08DF3491"/>
    <w:rsid w:val="08DF34AB"/>
    <w:rsid w:val="08DF34BE"/>
    <w:rsid w:val="08DF3505"/>
    <w:rsid w:val="08DF355E"/>
    <w:rsid w:val="08DF356B"/>
    <w:rsid w:val="08DF358A"/>
    <w:rsid w:val="08DF3615"/>
    <w:rsid w:val="08DF366A"/>
    <w:rsid w:val="08DF37FB"/>
    <w:rsid w:val="08DF38B8"/>
    <w:rsid w:val="08DF3908"/>
    <w:rsid w:val="08DF3922"/>
    <w:rsid w:val="08DF3950"/>
    <w:rsid w:val="08DF39AD"/>
    <w:rsid w:val="08DF39B2"/>
    <w:rsid w:val="08DF3A88"/>
    <w:rsid w:val="08DF3B79"/>
    <w:rsid w:val="08DF3C64"/>
    <w:rsid w:val="08DF3C75"/>
    <w:rsid w:val="08DF3CC8"/>
    <w:rsid w:val="08DF3CD8"/>
    <w:rsid w:val="08DF3CE8"/>
    <w:rsid w:val="08DF3D09"/>
    <w:rsid w:val="08DF3D19"/>
    <w:rsid w:val="08DF3D25"/>
    <w:rsid w:val="08DF3D91"/>
    <w:rsid w:val="08DF3E2B"/>
    <w:rsid w:val="08DF3EB2"/>
    <w:rsid w:val="08DF3F24"/>
    <w:rsid w:val="08DF3F59"/>
    <w:rsid w:val="08DF3FD4"/>
    <w:rsid w:val="08DF4034"/>
    <w:rsid w:val="08DF4124"/>
    <w:rsid w:val="08DF4290"/>
    <w:rsid w:val="08DF42F9"/>
    <w:rsid w:val="08DF43DA"/>
    <w:rsid w:val="08DF442E"/>
    <w:rsid w:val="08DF443C"/>
    <w:rsid w:val="08DF4539"/>
    <w:rsid w:val="08DF453B"/>
    <w:rsid w:val="08DF455D"/>
    <w:rsid w:val="08DF455E"/>
    <w:rsid w:val="08DF457C"/>
    <w:rsid w:val="08DF4601"/>
    <w:rsid w:val="08DF46C2"/>
    <w:rsid w:val="08DF46E7"/>
    <w:rsid w:val="08DF4746"/>
    <w:rsid w:val="08DF4749"/>
    <w:rsid w:val="08DF47C5"/>
    <w:rsid w:val="08DF47EF"/>
    <w:rsid w:val="08DF489E"/>
    <w:rsid w:val="08DF48A5"/>
    <w:rsid w:val="08DF49C4"/>
    <w:rsid w:val="08DF4B89"/>
    <w:rsid w:val="08DF4C57"/>
    <w:rsid w:val="08DF4C95"/>
    <w:rsid w:val="08DF4D52"/>
    <w:rsid w:val="08DF4E52"/>
    <w:rsid w:val="08DF4E8E"/>
    <w:rsid w:val="08DF4FC7"/>
    <w:rsid w:val="08DF4FDA"/>
    <w:rsid w:val="08DF4FE6"/>
    <w:rsid w:val="08DF5036"/>
    <w:rsid w:val="08DF50A6"/>
    <w:rsid w:val="08DF50D2"/>
    <w:rsid w:val="08DF5222"/>
    <w:rsid w:val="08DF52A3"/>
    <w:rsid w:val="08DF5302"/>
    <w:rsid w:val="08DF539D"/>
    <w:rsid w:val="08DF5403"/>
    <w:rsid w:val="08DF54D2"/>
    <w:rsid w:val="08DF54F9"/>
    <w:rsid w:val="08DF558B"/>
    <w:rsid w:val="08DF55BB"/>
    <w:rsid w:val="08DF5613"/>
    <w:rsid w:val="08DF56B4"/>
    <w:rsid w:val="08DF5719"/>
    <w:rsid w:val="08DF579A"/>
    <w:rsid w:val="08DF57C6"/>
    <w:rsid w:val="08DF597A"/>
    <w:rsid w:val="08DF597C"/>
    <w:rsid w:val="08DF59A5"/>
    <w:rsid w:val="08DF5A15"/>
    <w:rsid w:val="08DF5C32"/>
    <w:rsid w:val="08DF5C42"/>
    <w:rsid w:val="08DF5CA0"/>
    <w:rsid w:val="08DF5D2E"/>
    <w:rsid w:val="08DF5D9C"/>
    <w:rsid w:val="08DF5DC6"/>
    <w:rsid w:val="08DF5EDD"/>
    <w:rsid w:val="08DF5EF5"/>
    <w:rsid w:val="08DF5F5A"/>
    <w:rsid w:val="08DF602F"/>
    <w:rsid w:val="08DF604D"/>
    <w:rsid w:val="08DF60C1"/>
    <w:rsid w:val="08DF60DE"/>
    <w:rsid w:val="08DF6133"/>
    <w:rsid w:val="08DF615F"/>
    <w:rsid w:val="08DF6298"/>
    <w:rsid w:val="08DF6322"/>
    <w:rsid w:val="08DF6381"/>
    <w:rsid w:val="08DF639D"/>
    <w:rsid w:val="08DF63F5"/>
    <w:rsid w:val="08DF6491"/>
    <w:rsid w:val="08DF64B1"/>
    <w:rsid w:val="08DF64FC"/>
    <w:rsid w:val="08DF6507"/>
    <w:rsid w:val="08DF6517"/>
    <w:rsid w:val="08DF6561"/>
    <w:rsid w:val="08DF6562"/>
    <w:rsid w:val="08DF656B"/>
    <w:rsid w:val="08DF65B1"/>
    <w:rsid w:val="08DF65DC"/>
    <w:rsid w:val="08DF660F"/>
    <w:rsid w:val="08DF66EF"/>
    <w:rsid w:val="08DF6878"/>
    <w:rsid w:val="08DF687B"/>
    <w:rsid w:val="08DF68AD"/>
    <w:rsid w:val="08DF68F6"/>
    <w:rsid w:val="08DF6956"/>
    <w:rsid w:val="08DF6AFB"/>
    <w:rsid w:val="08DF6B3B"/>
    <w:rsid w:val="08DF6C7F"/>
    <w:rsid w:val="08DF6C89"/>
    <w:rsid w:val="08DF6D16"/>
    <w:rsid w:val="08DF6E2F"/>
    <w:rsid w:val="08DF6EE7"/>
    <w:rsid w:val="08DF6FEA"/>
    <w:rsid w:val="08DF7009"/>
    <w:rsid w:val="08DF700C"/>
    <w:rsid w:val="08DF7071"/>
    <w:rsid w:val="08DF7099"/>
    <w:rsid w:val="08DF709D"/>
    <w:rsid w:val="08DF7132"/>
    <w:rsid w:val="08DF715B"/>
    <w:rsid w:val="08DF7219"/>
    <w:rsid w:val="08DF727B"/>
    <w:rsid w:val="08DF7428"/>
    <w:rsid w:val="08DF7637"/>
    <w:rsid w:val="08DF765D"/>
    <w:rsid w:val="08DF76F1"/>
    <w:rsid w:val="08DF7739"/>
    <w:rsid w:val="08DF7838"/>
    <w:rsid w:val="08DF78FA"/>
    <w:rsid w:val="08DF790B"/>
    <w:rsid w:val="08DF7935"/>
    <w:rsid w:val="08DF7956"/>
    <w:rsid w:val="08DF7A08"/>
    <w:rsid w:val="08DF7B09"/>
    <w:rsid w:val="08DF7C67"/>
    <w:rsid w:val="08DF7C7D"/>
    <w:rsid w:val="08DF7C8D"/>
    <w:rsid w:val="08DF7CBB"/>
    <w:rsid w:val="08DF7DBE"/>
    <w:rsid w:val="08DF7DDA"/>
    <w:rsid w:val="08DF7E3E"/>
    <w:rsid w:val="08DF7FD3"/>
    <w:rsid w:val="08DF7FD8"/>
    <w:rsid w:val="08E00026"/>
    <w:rsid w:val="08E0003F"/>
    <w:rsid w:val="08E000A4"/>
    <w:rsid w:val="08E000D6"/>
    <w:rsid w:val="08E000E1"/>
    <w:rsid w:val="08E00193"/>
    <w:rsid w:val="08E003D6"/>
    <w:rsid w:val="08E00414"/>
    <w:rsid w:val="08E004DA"/>
    <w:rsid w:val="08E005CC"/>
    <w:rsid w:val="08E006AF"/>
    <w:rsid w:val="08E00713"/>
    <w:rsid w:val="08E00716"/>
    <w:rsid w:val="08E00887"/>
    <w:rsid w:val="08E008B1"/>
    <w:rsid w:val="08E008CF"/>
    <w:rsid w:val="08E00B12"/>
    <w:rsid w:val="08E00B55"/>
    <w:rsid w:val="08E00C68"/>
    <w:rsid w:val="08E00CB3"/>
    <w:rsid w:val="08E00CBE"/>
    <w:rsid w:val="08E00D7C"/>
    <w:rsid w:val="08E00DB4"/>
    <w:rsid w:val="08E00DF3"/>
    <w:rsid w:val="08E00F09"/>
    <w:rsid w:val="08E00F0D"/>
    <w:rsid w:val="08E00F11"/>
    <w:rsid w:val="08E00F8B"/>
    <w:rsid w:val="08E00F9D"/>
    <w:rsid w:val="08E00FF9"/>
    <w:rsid w:val="08E010A3"/>
    <w:rsid w:val="08E01164"/>
    <w:rsid w:val="08E01216"/>
    <w:rsid w:val="08E0121E"/>
    <w:rsid w:val="08E012E0"/>
    <w:rsid w:val="08E01329"/>
    <w:rsid w:val="08E01342"/>
    <w:rsid w:val="08E01362"/>
    <w:rsid w:val="08E01368"/>
    <w:rsid w:val="08E013DE"/>
    <w:rsid w:val="08E013F7"/>
    <w:rsid w:val="08E01500"/>
    <w:rsid w:val="08E01519"/>
    <w:rsid w:val="08E0151C"/>
    <w:rsid w:val="08E0158F"/>
    <w:rsid w:val="08E015C6"/>
    <w:rsid w:val="08E01629"/>
    <w:rsid w:val="08E0166D"/>
    <w:rsid w:val="08E016A3"/>
    <w:rsid w:val="08E016C4"/>
    <w:rsid w:val="08E0175A"/>
    <w:rsid w:val="08E017F6"/>
    <w:rsid w:val="08E01815"/>
    <w:rsid w:val="08E01948"/>
    <w:rsid w:val="08E01960"/>
    <w:rsid w:val="08E01A2D"/>
    <w:rsid w:val="08E01AC4"/>
    <w:rsid w:val="08E01AE5"/>
    <w:rsid w:val="08E01B32"/>
    <w:rsid w:val="08E01B40"/>
    <w:rsid w:val="08E01B43"/>
    <w:rsid w:val="08E01B9D"/>
    <w:rsid w:val="08E01C3B"/>
    <w:rsid w:val="08E01C5D"/>
    <w:rsid w:val="08E01C7D"/>
    <w:rsid w:val="08E01D90"/>
    <w:rsid w:val="08E01DC9"/>
    <w:rsid w:val="08E01F3D"/>
    <w:rsid w:val="08E01F50"/>
    <w:rsid w:val="08E01F69"/>
    <w:rsid w:val="08E01FBD"/>
    <w:rsid w:val="08E01FE7"/>
    <w:rsid w:val="08E01FF6"/>
    <w:rsid w:val="08E0202E"/>
    <w:rsid w:val="08E02162"/>
    <w:rsid w:val="08E02236"/>
    <w:rsid w:val="08E02441"/>
    <w:rsid w:val="08E02499"/>
    <w:rsid w:val="08E02511"/>
    <w:rsid w:val="08E025CC"/>
    <w:rsid w:val="08E025E5"/>
    <w:rsid w:val="08E02614"/>
    <w:rsid w:val="08E026BE"/>
    <w:rsid w:val="08E026F4"/>
    <w:rsid w:val="08E0270A"/>
    <w:rsid w:val="08E02761"/>
    <w:rsid w:val="08E027D7"/>
    <w:rsid w:val="08E027E6"/>
    <w:rsid w:val="08E02838"/>
    <w:rsid w:val="08E0286D"/>
    <w:rsid w:val="08E0287C"/>
    <w:rsid w:val="08E028B1"/>
    <w:rsid w:val="08E02A0F"/>
    <w:rsid w:val="08E02A13"/>
    <w:rsid w:val="08E02A49"/>
    <w:rsid w:val="08E02B1C"/>
    <w:rsid w:val="08E02BCA"/>
    <w:rsid w:val="08E02C49"/>
    <w:rsid w:val="08E02D89"/>
    <w:rsid w:val="08E02D94"/>
    <w:rsid w:val="08E02DCB"/>
    <w:rsid w:val="08E02DE4"/>
    <w:rsid w:val="08E02DF1"/>
    <w:rsid w:val="08E02E33"/>
    <w:rsid w:val="08E02EF5"/>
    <w:rsid w:val="08E02F29"/>
    <w:rsid w:val="08E02F38"/>
    <w:rsid w:val="08E02F52"/>
    <w:rsid w:val="08E03025"/>
    <w:rsid w:val="08E03027"/>
    <w:rsid w:val="08E0303A"/>
    <w:rsid w:val="08E0310D"/>
    <w:rsid w:val="08E0311E"/>
    <w:rsid w:val="08E03125"/>
    <w:rsid w:val="08E0319A"/>
    <w:rsid w:val="08E031B1"/>
    <w:rsid w:val="08E032EF"/>
    <w:rsid w:val="08E032F6"/>
    <w:rsid w:val="08E03372"/>
    <w:rsid w:val="08E03493"/>
    <w:rsid w:val="08E034C8"/>
    <w:rsid w:val="08E034C9"/>
    <w:rsid w:val="08E0354E"/>
    <w:rsid w:val="08E03553"/>
    <w:rsid w:val="08E035EF"/>
    <w:rsid w:val="08E036CA"/>
    <w:rsid w:val="08E03734"/>
    <w:rsid w:val="08E037AE"/>
    <w:rsid w:val="08E03811"/>
    <w:rsid w:val="08E038A3"/>
    <w:rsid w:val="08E038ED"/>
    <w:rsid w:val="08E0394F"/>
    <w:rsid w:val="08E03977"/>
    <w:rsid w:val="08E03986"/>
    <w:rsid w:val="08E039F7"/>
    <w:rsid w:val="08E03A40"/>
    <w:rsid w:val="08E03B8A"/>
    <w:rsid w:val="08E03B93"/>
    <w:rsid w:val="08E03BE4"/>
    <w:rsid w:val="08E03C71"/>
    <w:rsid w:val="08E03E03"/>
    <w:rsid w:val="08E03E61"/>
    <w:rsid w:val="08E03EE0"/>
    <w:rsid w:val="08E03F21"/>
    <w:rsid w:val="08E03F56"/>
    <w:rsid w:val="08E03FF3"/>
    <w:rsid w:val="08E041A4"/>
    <w:rsid w:val="08E041FF"/>
    <w:rsid w:val="08E04226"/>
    <w:rsid w:val="08E04246"/>
    <w:rsid w:val="08E04255"/>
    <w:rsid w:val="08E043CE"/>
    <w:rsid w:val="08E043CF"/>
    <w:rsid w:val="08E044AB"/>
    <w:rsid w:val="08E04519"/>
    <w:rsid w:val="08E04584"/>
    <w:rsid w:val="08E04589"/>
    <w:rsid w:val="08E045B5"/>
    <w:rsid w:val="08E045E2"/>
    <w:rsid w:val="08E046BB"/>
    <w:rsid w:val="08E047AE"/>
    <w:rsid w:val="08E047C0"/>
    <w:rsid w:val="08E04863"/>
    <w:rsid w:val="08E048AB"/>
    <w:rsid w:val="08E0495D"/>
    <w:rsid w:val="08E0496B"/>
    <w:rsid w:val="08E04986"/>
    <w:rsid w:val="08E049AD"/>
    <w:rsid w:val="08E04A27"/>
    <w:rsid w:val="08E04A34"/>
    <w:rsid w:val="08E04AAA"/>
    <w:rsid w:val="08E04AEF"/>
    <w:rsid w:val="08E04AFB"/>
    <w:rsid w:val="08E04C2D"/>
    <w:rsid w:val="08E04C3E"/>
    <w:rsid w:val="08E04CA7"/>
    <w:rsid w:val="08E04D01"/>
    <w:rsid w:val="08E04EF5"/>
    <w:rsid w:val="08E04F11"/>
    <w:rsid w:val="08E04F3A"/>
    <w:rsid w:val="08E04F9D"/>
    <w:rsid w:val="08E05033"/>
    <w:rsid w:val="08E051D0"/>
    <w:rsid w:val="08E05218"/>
    <w:rsid w:val="08E05225"/>
    <w:rsid w:val="08E052A5"/>
    <w:rsid w:val="08E05302"/>
    <w:rsid w:val="08E05382"/>
    <w:rsid w:val="08E053E5"/>
    <w:rsid w:val="08E0547D"/>
    <w:rsid w:val="08E054F5"/>
    <w:rsid w:val="08E05539"/>
    <w:rsid w:val="08E05659"/>
    <w:rsid w:val="08E05666"/>
    <w:rsid w:val="08E056F5"/>
    <w:rsid w:val="08E05740"/>
    <w:rsid w:val="08E05843"/>
    <w:rsid w:val="08E05844"/>
    <w:rsid w:val="08E0585A"/>
    <w:rsid w:val="08E058C0"/>
    <w:rsid w:val="08E05B3D"/>
    <w:rsid w:val="08E05BFF"/>
    <w:rsid w:val="08E05D22"/>
    <w:rsid w:val="08E05DA5"/>
    <w:rsid w:val="08E05F32"/>
    <w:rsid w:val="08E05FCB"/>
    <w:rsid w:val="08E06054"/>
    <w:rsid w:val="08E06077"/>
    <w:rsid w:val="08E0607B"/>
    <w:rsid w:val="08E06117"/>
    <w:rsid w:val="08E06154"/>
    <w:rsid w:val="08E061B3"/>
    <w:rsid w:val="08E061DE"/>
    <w:rsid w:val="08E061E9"/>
    <w:rsid w:val="08E06233"/>
    <w:rsid w:val="08E0628C"/>
    <w:rsid w:val="08E06330"/>
    <w:rsid w:val="08E06411"/>
    <w:rsid w:val="08E0650D"/>
    <w:rsid w:val="08E065FB"/>
    <w:rsid w:val="08E0665A"/>
    <w:rsid w:val="08E066F8"/>
    <w:rsid w:val="08E0671A"/>
    <w:rsid w:val="08E0671B"/>
    <w:rsid w:val="08E0671F"/>
    <w:rsid w:val="08E06720"/>
    <w:rsid w:val="08E06725"/>
    <w:rsid w:val="08E06754"/>
    <w:rsid w:val="08E067A8"/>
    <w:rsid w:val="08E06816"/>
    <w:rsid w:val="08E06829"/>
    <w:rsid w:val="08E0686F"/>
    <w:rsid w:val="08E0698D"/>
    <w:rsid w:val="08E06A98"/>
    <w:rsid w:val="08E06AB4"/>
    <w:rsid w:val="08E06AFC"/>
    <w:rsid w:val="08E06B09"/>
    <w:rsid w:val="08E06BC3"/>
    <w:rsid w:val="08E06C76"/>
    <w:rsid w:val="08E06D87"/>
    <w:rsid w:val="08E06DC6"/>
    <w:rsid w:val="08E06F62"/>
    <w:rsid w:val="08E06FE5"/>
    <w:rsid w:val="08E070D4"/>
    <w:rsid w:val="08E070F9"/>
    <w:rsid w:val="08E07115"/>
    <w:rsid w:val="08E07197"/>
    <w:rsid w:val="08E071BF"/>
    <w:rsid w:val="08E07341"/>
    <w:rsid w:val="08E07390"/>
    <w:rsid w:val="08E073C6"/>
    <w:rsid w:val="08E07409"/>
    <w:rsid w:val="08E0751B"/>
    <w:rsid w:val="08E07559"/>
    <w:rsid w:val="08E07780"/>
    <w:rsid w:val="08E0786F"/>
    <w:rsid w:val="08E078B9"/>
    <w:rsid w:val="08E078BF"/>
    <w:rsid w:val="08E07AA3"/>
    <w:rsid w:val="08E07AD1"/>
    <w:rsid w:val="08E07AEB"/>
    <w:rsid w:val="08E07B0E"/>
    <w:rsid w:val="08E07BB8"/>
    <w:rsid w:val="08E07BBA"/>
    <w:rsid w:val="08E07BDA"/>
    <w:rsid w:val="08E07D7A"/>
    <w:rsid w:val="08E07D8A"/>
    <w:rsid w:val="08E07E9D"/>
    <w:rsid w:val="08E07EC6"/>
    <w:rsid w:val="08E07F23"/>
    <w:rsid w:val="08E07F30"/>
    <w:rsid w:val="08E07FE0"/>
    <w:rsid w:val="08E100B3"/>
    <w:rsid w:val="08E100C2"/>
    <w:rsid w:val="08E100FC"/>
    <w:rsid w:val="08E1026D"/>
    <w:rsid w:val="08E10280"/>
    <w:rsid w:val="08E102D3"/>
    <w:rsid w:val="08E1038B"/>
    <w:rsid w:val="08E103CA"/>
    <w:rsid w:val="08E103D0"/>
    <w:rsid w:val="08E1042E"/>
    <w:rsid w:val="08E1044D"/>
    <w:rsid w:val="08E10643"/>
    <w:rsid w:val="08E10792"/>
    <w:rsid w:val="08E107B2"/>
    <w:rsid w:val="08E1084C"/>
    <w:rsid w:val="08E108B3"/>
    <w:rsid w:val="08E108D3"/>
    <w:rsid w:val="08E1099F"/>
    <w:rsid w:val="08E109E0"/>
    <w:rsid w:val="08E10A28"/>
    <w:rsid w:val="08E10A34"/>
    <w:rsid w:val="08E10A52"/>
    <w:rsid w:val="08E10AE2"/>
    <w:rsid w:val="08E10AED"/>
    <w:rsid w:val="08E10B48"/>
    <w:rsid w:val="08E10BB0"/>
    <w:rsid w:val="08E10C9C"/>
    <w:rsid w:val="08E10CF1"/>
    <w:rsid w:val="08E10D19"/>
    <w:rsid w:val="08E10D5D"/>
    <w:rsid w:val="08E10DE0"/>
    <w:rsid w:val="08E10DEE"/>
    <w:rsid w:val="08E10E0F"/>
    <w:rsid w:val="08E10EBB"/>
    <w:rsid w:val="08E1108C"/>
    <w:rsid w:val="08E110C0"/>
    <w:rsid w:val="08E1131D"/>
    <w:rsid w:val="08E113AC"/>
    <w:rsid w:val="08E113E4"/>
    <w:rsid w:val="08E11468"/>
    <w:rsid w:val="08E11529"/>
    <w:rsid w:val="08E11553"/>
    <w:rsid w:val="08E1184B"/>
    <w:rsid w:val="08E119EE"/>
    <w:rsid w:val="08E11A85"/>
    <w:rsid w:val="08E11AAB"/>
    <w:rsid w:val="08E11AD3"/>
    <w:rsid w:val="08E11B31"/>
    <w:rsid w:val="08E11B98"/>
    <w:rsid w:val="08E11BC3"/>
    <w:rsid w:val="08E11BE6"/>
    <w:rsid w:val="08E11C4D"/>
    <w:rsid w:val="08E11C54"/>
    <w:rsid w:val="08E11CC8"/>
    <w:rsid w:val="08E11CF5"/>
    <w:rsid w:val="08E11D60"/>
    <w:rsid w:val="08E11D74"/>
    <w:rsid w:val="08E11DF8"/>
    <w:rsid w:val="08E11DFA"/>
    <w:rsid w:val="08E11E10"/>
    <w:rsid w:val="08E11EA5"/>
    <w:rsid w:val="08E11EAA"/>
    <w:rsid w:val="08E11F2A"/>
    <w:rsid w:val="08E11F34"/>
    <w:rsid w:val="08E11F67"/>
    <w:rsid w:val="08E1202C"/>
    <w:rsid w:val="08E12099"/>
    <w:rsid w:val="08E120A9"/>
    <w:rsid w:val="08E120D2"/>
    <w:rsid w:val="08E1210A"/>
    <w:rsid w:val="08E1213A"/>
    <w:rsid w:val="08E12143"/>
    <w:rsid w:val="08E12199"/>
    <w:rsid w:val="08E1226B"/>
    <w:rsid w:val="08E122D8"/>
    <w:rsid w:val="08E122DC"/>
    <w:rsid w:val="08E122F9"/>
    <w:rsid w:val="08E12344"/>
    <w:rsid w:val="08E12357"/>
    <w:rsid w:val="08E123EC"/>
    <w:rsid w:val="08E12457"/>
    <w:rsid w:val="08E12564"/>
    <w:rsid w:val="08E12665"/>
    <w:rsid w:val="08E1271A"/>
    <w:rsid w:val="08E1279B"/>
    <w:rsid w:val="08E127B8"/>
    <w:rsid w:val="08E127FB"/>
    <w:rsid w:val="08E12934"/>
    <w:rsid w:val="08E12992"/>
    <w:rsid w:val="08E12995"/>
    <w:rsid w:val="08E12A0B"/>
    <w:rsid w:val="08E12A0E"/>
    <w:rsid w:val="08E12AED"/>
    <w:rsid w:val="08E12B00"/>
    <w:rsid w:val="08E12B24"/>
    <w:rsid w:val="08E12B83"/>
    <w:rsid w:val="08E12BC5"/>
    <w:rsid w:val="08E12D03"/>
    <w:rsid w:val="08E12D7B"/>
    <w:rsid w:val="08E13002"/>
    <w:rsid w:val="08E13049"/>
    <w:rsid w:val="08E1304E"/>
    <w:rsid w:val="08E13252"/>
    <w:rsid w:val="08E13268"/>
    <w:rsid w:val="08E1339F"/>
    <w:rsid w:val="08E133BA"/>
    <w:rsid w:val="08E1340F"/>
    <w:rsid w:val="08E134E0"/>
    <w:rsid w:val="08E136E8"/>
    <w:rsid w:val="08E1370D"/>
    <w:rsid w:val="08E13795"/>
    <w:rsid w:val="08E137AA"/>
    <w:rsid w:val="08E1399D"/>
    <w:rsid w:val="08E139DA"/>
    <w:rsid w:val="08E13A02"/>
    <w:rsid w:val="08E13A9C"/>
    <w:rsid w:val="08E13AAC"/>
    <w:rsid w:val="08E13AD7"/>
    <w:rsid w:val="08E13AE8"/>
    <w:rsid w:val="08E13B3C"/>
    <w:rsid w:val="08E13C24"/>
    <w:rsid w:val="08E13C39"/>
    <w:rsid w:val="08E13C51"/>
    <w:rsid w:val="08E13CE2"/>
    <w:rsid w:val="08E13D2A"/>
    <w:rsid w:val="08E13D5A"/>
    <w:rsid w:val="08E13E14"/>
    <w:rsid w:val="08E13E2E"/>
    <w:rsid w:val="08E13E43"/>
    <w:rsid w:val="08E13E88"/>
    <w:rsid w:val="08E13F93"/>
    <w:rsid w:val="08E13FAF"/>
    <w:rsid w:val="08E140C5"/>
    <w:rsid w:val="08E14164"/>
    <w:rsid w:val="08E141F5"/>
    <w:rsid w:val="08E142D0"/>
    <w:rsid w:val="08E1441F"/>
    <w:rsid w:val="08E144F2"/>
    <w:rsid w:val="08E145BF"/>
    <w:rsid w:val="08E14616"/>
    <w:rsid w:val="08E14624"/>
    <w:rsid w:val="08E1463A"/>
    <w:rsid w:val="08E147D2"/>
    <w:rsid w:val="08E147E7"/>
    <w:rsid w:val="08E148B5"/>
    <w:rsid w:val="08E148DA"/>
    <w:rsid w:val="08E148F2"/>
    <w:rsid w:val="08E14905"/>
    <w:rsid w:val="08E1493A"/>
    <w:rsid w:val="08E1497E"/>
    <w:rsid w:val="08E14A1A"/>
    <w:rsid w:val="08E14A96"/>
    <w:rsid w:val="08E14B5F"/>
    <w:rsid w:val="08E14B75"/>
    <w:rsid w:val="08E14B7A"/>
    <w:rsid w:val="08E14BA2"/>
    <w:rsid w:val="08E14BCF"/>
    <w:rsid w:val="08E14C1E"/>
    <w:rsid w:val="08E14E92"/>
    <w:rsid w:val="08E14F00"/>
    <w:rsid w:val="08E14F05"/>
    <w:rsid w:val="08E14F62"/>
    <w:rsid w:val="08E14FF7"/>
    <w:rsid w:val="08E150DB"/>
    <w:rsid w:val="08E150F8"/>
    <w:rsid w:val="08E15140"/>
    <w:rsid w:val="08E151D2"/>
    <w:rsid w:val="08E151EE"/>
    <w:rsid w:val="08E15213"/>
    <w:rsid w:val="08E1527D"/>
    <w:rsid w:val="08E1528B"/>
    <w:rsid w:val="08E152B4"/>
    <w:rsid w:val="08E152E7"/>
    <w:rsid w:val="08E1530D"/>
    <w:rsid w:val="08E15340"/>
    <w:rsid w:val="08E15354"/>
    <w:rsid w:val="08E15372"/>
    <w:rsid w:val="08E153CD"/>
    <w:rsid w:val="08E153E8"/>
    <w:rsid w:val="08E153FD"/>
    <w:rsid w:val="08E15483"/>
    <w:rsid w:val="08E155E2"/>
    <w:rsid w:val="08E156BE"/>
    <w:rsid w:val="08E15718"/>
    <w:rsid w:val="08E15725"/>
    <w:rsid w:val="08E15744"/>
    <w:rsid w:val="08E1586F"/>
    <w:rsid w:val="08E158A1"/>
    <w:rsid w:val="08E15942"/>
    <w:rsid w:val="08E15B02"/>
    <w:rsid w:val="08E15B5F"/>
    <w:rsid w:val="08E15B6A"/>
    <w:rsid w:val="08E15B83"/>
    <w:rsid w:val="08E15C03"/>
    <w:rsid w:val="08E15D16"/>
    <w:rsid w:val="08E15D48"/>
    <w:rsid w:val="08E15F6B"/>
    <w:rsid w:val="08E15F99"/>
    <w:rsid w:val="08E1609D"/>
    <w:rsid w:val="08E160BB"/>
    <w:rsid w:val="08E160E2"/>
    <w:rsid w:val="08E16145"/>
    <w:rsid w:val="08E162C0"/>
    <w:rsid w:val="08E1631B"/>
    <w:rsid w:val="08E16579"/>
    <w:rsid w:val="08E16590"/>
    <w:rsid w:val="08E16595"/>
    <w:rsid w:val="08E165A6"/>
    <w:rsid w:val="08E165E8"/>
    <w:rsid w:val="08E166B6"/>
    <w:rsid w:val="08E1670B"/>
    <w:rsid w:val="08E16747"/>
    <w:rsid w:val="08E16748"/>
    <w:rsid w:val="08E16870"/>
    <w:rsid w:val="08E16892"/>
    <w:rsid w:val="08E16938"/>
    <w:rsid w:val="08E16945"/>
    <w:rsid w:val="08E169ED"/>
    <w:rsid w:val="08E16A32"/>
    <w:rsid w:val="08E16AFC"/>
    <w:rsid w:val="08E16B18"/>
    <w:rsid w:val="08E16BB2"/>
    <w:rsid w:val="08E16C61"/>
    <w:rsid w:val="08E16C80"/>
    <w:rsid w:val="08E16CAE"/>
    <w:rsid w:val="08E16D64"/>
    <w:rsid w:val="08E17052"/>
    <w:rsid w:val="08E1714A"/>
    <w:rsid w:val="08E17179"/>
    <w:rsid w:val="08E171AA"/>
    <w:rsid w:val="08E17357"/>
    <w:rsid w:val="08E1736D"/>
    <w:rsid w:val="08E17442"/>
    <w:rsid w:val="08E17447"/>
    <w:rsid w:val="08E174E3"/>
    <w:rsid w:val="08E175BA"/>
    <w:rsid w:val="08E1767D"/>
    <w:rsid w:val="08E1768D"/>
    <w:rsid w:val="08E1768F"/>
    <w:rsid w:val="08E1769C"/>
    <w:rsid w:val="08E176AC"/>
    <w:rsid w:val="08E176E7"/>
    <w:rsid w:val="08E176F1"/>
    <w:rsid w:val="08E17785"/>
    <w:rsid w:val="08E17808"/>
    <w:rsid w:val="08E178B0"/>
    <w:rsid w:val="08E1794D"/>
    <w:rsid w:val="08E17993"/>
    <w:rsid w:val="08E179C4"/>
    <w:rsid w:val="08E17A51"/>
    <w:rsid w:val="08E17B3D"/>
    <w:rsid w:val="08E17C15"/>
    <w:rsid w:val="08E17C6D"/>
    <w:rsid w:val="08E17C7B"/>
    <w:rsid w:val="08E17D20"/>
    <w:rsid w:val="08E17DAC"/>
    <w:rsid w:val="08E17E42"/>
    <w:rsid w:val="08E17E7F"/>
    <w:rsid w:val="08E17E9D"/>
    <w:rsid w:val="08E17EF6"/>
    <w:rsid w:val="08E17FD0"/>
    <w:rsid w:val="08E17FE5"/>
    <w:rsid w:val="08E20036"/>
    <w:rsid w:val="08E2003C"/>
    <w:rsid w:val="08E2005E"/>
    <w:rsid w:val="08E20067"/>
    <w:rsid w:val="08E200C9"/>
    <w:rsid w:val="08E200DB"/>
    <w:rsid w:val="08E200DD"/>
    <w:rsid w:val="08E20204"/>
    <w:rsid w:val="08E20235"/>
    <w:rsid w:val="08E20370"/>
    <w:rsid w:val="08E20417"/>
    <w:rsid w:val="08E2041D"/>
    <w:rsid w:val="08E20428"/>
    <w:rsid w:val="08E2043B"/>
    <w:rsid w:val="08E2046D"/>
    <w:rsid w:val="08E20501"/>
    <w:rsid w:val="08E20565"/>
    <w:rsid w:val="08E2057F"/>
    <w:rsid w:val="08E20584"/>
    <w:rsid w:val="08E205EF"/>
    <w:rsid w:val="08E205F7"/>
    <w:rsid w:val="08E20624"/>
    <w:rsid w:val="08E20709"/>
    <w:rsid w:val="08E20832"/>
    <w:rsid w:val="08E20868"/>
    <w:rsid w:val="08E208F9"/>
    <w:rsid w:val="08E20962"/>
    <w:rsid w:val="08E20A02"/>
    <w:rsid w:val="08E20A83"/>
    <w:rsid w:val="08E20AD0"/>
    <w:rsid w:val="08E20AE0"/>
    <w:rsid w:val="08E20AED"/>
    <w:rsid w:val="08E20B0F"/>
    <w:rsid w:val="08E20BBC"/>
    <w:rsid w:val="08E20C01"/>
    <w:rsid w:val="08E20C55"/>
    <w:rsid w:val="08E20E3C"/>
    <w:rsid w:val="08E20E69"/>
    <w:rsid w:val="08E20F37"/>
    <w:rsid w:val="08E20F3B"/>
    <w:rsid w:val="08E20FD7"/>
    <w:rsid w:val="08E21005"/>
    <w:rsid w:val="08E21052"/>
    <w:rsid w:val="08E2109D"/>
    <w:rsid w:val="08E210D7"/>
    <w:rsid w:val="08E2117B"/>
    <w:rsid w:val="08E21266"/>
    <w:rsid w:val="08E212F9"/>
    <w:rsid w:val="08E21342"/>
    <w:rsid w:val="08E21344"/>
    <w:rsid w:val="08E21365"/>
    <w:rsid w:val="08E213CF"/>
    <w:rsid w:val="08E2147B"/>
    <w:rsid w:val="08E214A5"/>
    <w:rsid w:val="08E21544"/>
    <w:rsid w:val="08E2155E"/>
    <w:rsid w:val="08E21594"/>
    <w:rsid w:val="08E21685"/>
    <w:rsid w:val="08E21747"/>
    <w:rsid w:val="08E21858"/>
    <w:rsid w:val="08E218AF"/>
    <w:rsid w:val="08E218C8"/>
    <w:rsid w:val="08E2195A"/>
    <w:rsid w:val="08E21990"/>
    <w:rsid w:val="08E21A83"/>
    <w:rsid w:val="08E21B52"/>
    <w:rsid w:val="08E21BB4"/>
    <w:rsid w:val="08E21C23"/>
    <w:rsid w:val="08E21C32"/>
    <w:rsid w:val="08E21C86"/>
    <w:rsid w:val="08E21CFF"/>
    <w:rsid w:val="08E21D4D"/>
    <w:rsid w:val="08E21E7F"/>
    <w:rsid w:val="08E22004"/>
    <w:rsid w:val="08E22034"/>
    <w:rsid w:val="08E220F4"/>
    <w:rsid w:val="08E22173"/>
    <w:rsid w:val="08E221AB"/>
    <w:rsid w:val="08E222FB"/>
    <w:rsid w:val="08E22319"/>
    <w:rsid w:val="08E2247A"/>
    <w:rsid w:val="08E224EE"/>
    <w:rsid w:val="08E224FB"/>
    <w:rsid w:val="08E2258B"/>
    <w:rsid w:val="08E2261E"/>
    <w:rsid w:val="08E22722"/>
    <w:rsid w:val="08E22747"/>
    <w:rsid w:val="08E227A0"/>
    <w:rsid w:val="08E227A9"/>
    <w:rsid w:val="08E22893"/>
    <w:rsid w:val="08E228F5"/>
    <w:rsid w:val="08E2292B"/>
    <w:rsid w:val="08E2293D"/>
    <w:rsid w:val="08E2298A"/>
    <w:rsid w:val="08E229D5"/>
    <w:rsid w:val="08E22AEB"/>
    <w:rsid w:val="08E22B3F"/>
    <w:rsid w:val="08E22BA9"/>
    <w:rsid w:val="08E22C90"/>
    <w:rsid w:val="08E22D0D"/>
    <w:rsid w:val="08E22DD8"/>
    <w:rsid w:val="08E22DDA"/>
    <w:rsid w:val="08E22DFE"/>
    <w:rsid w:val="08E22F5F"/>
    <w:rsid w:val="08E22F7A"/>
    <w:rsid w:val="08E231CC"/>
    <w:rsid w:val="08E231DA"/>
    <w:rsid w:val="08E23221"/>
    <w:rsid w:val="08E23325"/>
    <w:rsid w:val="08E23341"/>
    <w:rsid w:val="08E23416"/>
    <w:rsid w:val="08E23443"/>
    <w:rsid w:val="08E23480"/>
    <w:rsid w:val="08E234B6"/>
    <w:rsid w:val="08E23554"/>
    <w:rsid w:val="08E23567"/>
    <w:rsid w:val="08E235FB"/>
    <w:rsid w:val="08E23783"/>
    <w:rsid w:val="08E2378D"/>
    <w:rsid w:val="08E237BB"/>
    <w:rsid w:val="08E237C8"/>
    <w:rsid w:val="08E23809"/>
    <w:rsid w:val="08E23916"/>
    <w:rsid w:val="08E23954"/>
    <w:rsid w:val="08E23955"/>
    <w:rsid w:val="08E23991"/>
    <w:rsid w:val="08E239B1"/>
    <w:rsid w:val="08E239CB"/>
    <w:rsid w:val="08E23B15"/>
    <w:rsid w:val="08E23B4E"/>
    <w:rsid w:val="08E23B69"/>
    <w:rsid w:val="08E23B9C"/>
    <w:rsid w:val="08E23C66"/>
    <w:rsid w:val="08E23C85"/>
    <w:rsid w:val="08E23CC1"/>
    <w:rsid w:val="08E23CFE"/>
    <w:rsid w:val="08E23D3E"/>
    <w:rsid w:val="08E23D4F"/>
    <w:rsid w:val="08E23E08"/>
    <w:rsid w:val="08E23F37"/>
    <w:rsid w:val="08E23F81"/>
    <w:rsid w:val="08E23FDE"/>
    <w:rsid w:val="08E241BE"/>
    <w:rsid w:val="08E241D8"/>
    <w:rsid w:val="08E241E0"/>
    <w:rsid w:val="08E24200"/>
    <w:rsid w:val="08E2425A"/>
    <w:rsid w:val="08E242A4"/>
    <w:rsid w:val="08E243BD"/>
    <w:rsid w:val="08E243D8"/>
    <w:rsid w:val="08E24420"/>
    <w:rsid w:val="08E244C0"/>
    <w:rsid w:val="08E244E2"/>
    <w:rsid w:val="08E24588"/>
    <w:rsid w:val="08E2458E"/>
    <w:rsid w:val="08E245F6"/>
    <w:rsid w:val="08E2460D"/>
    <w:rsid w:val="08E247D3"/>
    <w:rsid w:val="08E24861"/>
    <w:rsid w:val="08E24872"/>
    <w:rsid w:val="08E2489B"/>
    <w:rsid w:val="08E24913"/>
    <w:rsid w:val="08E2495B"/>
    <w:rsid w:val="08E2496C"/>
    <w:rsid w:val="08E24B48"/>
    <w:rsid w:val="08E24B70"/>
    <w:rsid w:val="08E24B83"/>
    <w:rsid w:val="08E24CCD"/>
    <w:rsid w:val="08E24D6F"/>
    <w:rsid w:val="08E24D71"/>
    <w:rsid w:val="08E24DC2"/>
    <w:rsid w:val="08E24DD8"/>
    <w:rsid w:val="08E24E1F"/>
    <w:rsid w:val="08E24F13"/>
    <w:rsid w:val="08E24FC6"/>
    <w:rsid w:val="08E2508F"/>
    <w:rsid w:val="08E250E9"/>
    <w:rsid w:val="08E25149"/>
    <w:rsid w:val="08E25214"/>
    <w:rsid w:val="08E252B2"/>
    <w:rsid w:val="08E253C0"/>
    <w:rsid w:val="08E2550B"/>
    <w:rsid w:val="08E25654"/>
    <w:rsid w:val="08E25681"/>
    <w:rsid w:val="08E257DA"/>
    <w:rsid w:val="08E257F9"/>
    <w:rsid w:val="08E25887"/>
    <w:rsid w:val="08E2588E"/>
    <w:rsid w:val="08E259AC"/>
    <w:rsid w:val="08E25A9C"/>
    <w:rsid w:val="08E25AEF"/>
    <w:rsid w:val="08E25B4B"/>
    <w:rsid w:val="08E25BFF"/>
    <w:rsid w:val="08E25C35"/>
    <w:rsid w:val="08E25C3B"/>
    <w:rsid w:val="08E25C6F"/>
    <w:rsid w:val="08E25C71"/>
    <w:rsid w:val="08E25C9C"/>
    <w:rsid w:val="08E25CE1"/>
    <w:rsid w:val="08E25D1C"/>
    <w:rsid w:val="08E25D83"/>
    <w:rsid w:val="08E25DF0"/>
    <w:rsid w:val="08E25E12"/>
    <w:rsid w:val="08E25E58"/>
    <w:rsid w:val="08E25EE4"/>
    <w:rsid w:val="08E25FCB"/>
    <w:rsid w:val="08E26049"/>
    <w:rsid w:val="08E26064"/>
    <w:rsid w:val="08E260FB"/>
    <w:rsid w:val="08E26132"/>
    <w:rsid w:val="08E26237"/>
    <w:rsid w:val="08E26256"/>
    <w:rsid w:val="08E26274"/>
    <w:rsid w:val="08E2631E"/>
    <w:rsid w:val="08E26339"/>
    <w:rsid w:val="08E26415"/>
    <w:rsid w:val="08E2642F"/>
    <w:rsid w:val="08E26466"/>
    <w:rsid w:val="08E26585"/>
    <w:rsid w:val="08E265D1"/>
    <w:rsid w:val="08E266AA"/>
    <w:rsid w:val="08E266C7"/>
    <w:rsid w:val="08E2677A"/>
    <w:rsid w:val="08E2678C"/>
    <w:rsid w:val="08E267DF"/>
    <w:rsid w:val="08E269AC"/>
    <w:rsid w:val="08E26A53"/>
    <w:rsid w:val="08E26A83"/>
    <w:rsid w:val="08E26AA9"/>
    <w:rsid w:val="08E26B0A"/>
    <w:rsid w:val="08E26B42"/>
    <w:rsid w:val="08E26B4B"/>
    <w:rsid w:val="08E26C5F"/>
    <w:rsid w:val="08E26CDB"/>
    <w:rsid w:val="08E26D0E"/>
    <w:rsid w:val="08E26D4C"/>
    <w:rsid w:val="08E26E28"/>
    <w:rsid w:val="08E26E34"/>
    <w:rsid w:val="08E26E8C"/>
    <w:rsid w:val="08E26F7A"/>
    <w:rsid w:val="08E26F7E"/>
    <w:rsid w:val="08E27075"/>
    <w:rsid w:val="08E27122"/>
    <w:rsid w:val="08E27163"/>
    <w:rsid w:val="08E2720C"/>
    <w:rsid w:val="08E2722F"/>
    <w:rsid w:val="08E27244"/>
    <w:rsid w:val="08E2725F"/>
    <w:rsid w:val="08E27284"/>
    <w:rsid w:val="08E2743F"/>
    <w:rsid w:val="08E2746A"/>
    <w:rsid w:val="08E274AD"/>
    <w:rsid w:val="08E275A1"/>
    <w:rsid w:val="08E275F4"/>
    <w:rsid w:val="08E275FE"/>
    <w:rsid w:val="08E2760C"/>
    <w:rsid w:val="08E276CE"/>
    <w:rsid w:val="08E2772A"/>
    <w:rsid w:val="08E27802"/>
    <w:rsid w:val="08E27897"/>
    <w:rsid w:val="08E2792B"/>
    <w:rsid w:val="08E2792E"/>
    <w:rsid w:val="08E2793B"/>
    <w:rsid w:val="08E27952"/>
    <w:rsid w:val="08E2796B"/>
    <w:rsid w:val="08E279AD"/>
    <w:rsid w:val="08E279C1"/>
    <w:rsid w:val="08E279D3"/>
    <w:rsid w:val="08E279D7"/>
    <w:rsid w:val="08E27A28"/>
    <w:rsid w:val="08E27A37"/>
    <w:rsid w:val="08E27AF0"/>
    <w:rsid w:val="08E27B05"/>
    <w:rsid w:val="08E27B2C"/>
    <w:rsid w:val="08E27B4B"/>
    <w:rsid w:val="08E27B5C"/>
    <w:rsid w:val="08E27B63"/>
    <w:rsid w:val="08E27C81"/>
    <w:rsid w:val="08E27CBD"/>
    <w:rsid w:val="08E27E3E"/>
    <w:rsid w:val="08E27E6F"/>
    <w:rsid w:val="08E27EA3"/>
    <w:rsid w:val="08E27EB1"/>
    <w:rsid w:val="08E27F8D"/>
    <w:rsid w:val="08E3002B"/>
    <w:rsid w:val="08E301B4"/>
    <w:rsid w:val="08E30289"/>
    <w:rsid w:val="08E302DF"/>
    <w:rsid w:val="08E30399"/>
    <w:rsid w:val="08E303C7"/>
    <w:rsid w:val="08E30406"/>
    <w:rsid w:val="08E30410"/>
    <w:rsid w:val="08E30538"/>
    <w:rsid w:val="08E305BB"/>
    <w:rsid w:val="08E307DF"/>
    <w:rsid w:val="08E3081A"/>
    <w:rsid w:val="08E30842"/>
    <w:rsid w:val="08E3088A"/>
    <w:rsid w:val="08E308A8"/>
    <w:rsid w:val="08E308B3"/>
    <w:rsid w:val="08E30915"/>
    <w:rsid w:val="08E30A0D"/>
    <w:rsid w:val="08E30B21"/>
    <w:rsid w:val="08E30B4C"/>
    <w:rsid w:val="08E30B84"/>
    <w:rsid w:val="08E30B93"/>
    <w:rsid w:val="08E30B94"/>
    <w:rsid w:val="08E30BD3"/>
    <w:rsid w:val="08E30BF5"/>
    <w:rsid w:val="08E30C71"/>
    <w:rsid w:val="08E30CBA"/>
    <w:rsid w:val="08E30E10"/>
    <w:rsid w:val="08E30E64"/>
    <w:rsid w:val="08E30EAE"/>
    <w:rsid w:val="08E30ECE"/>
    <w:rsid w:val="08E30F90"/>
    <w:rsid w:val="08E30FF8"/>
    <w:rsid w:val="08E31003"/>
    <w:rsid w:val="08E31007"/>
    <w:rsid w:val="08E31057"/>
    <w:rsid w:val="08E310D7"/>
    <w:rsid w:val="08E31295"/>
    <w:rsid w:val="08E312F5"/>
    <w:rsid w:val="08E31349"/>
    <w:rsid w:val="08E31384"/>
    <w:rsid w:val="08E31394"/>
    <w:rsid w:val="08E314D1"/>
    <w:rsid w:val="08E3152C"/>
    <w:rsid w:val="08E315BE"/>
    <w:rsid w:val="08E31605"/>
    <w:rsid w:val="08E31637"/>
    <w:rsid w:val="08E31734"/>
    <w:rsid w:val="08E317FF"/>
    <w:rsid w:val="08E31906"/>
    <w:rsid w:val="08E319C7"/>
    <w:rsid w:val="08E319E4"/>
    <w:rsid w:val="08E31A12"/>
    <w:rsid w:val="08E31B2C"/>
    <w:rsid w:val="08E31B56"/>
    <w:rsid w:val="08E31B7C"/>
    <w:rsid w:val="08E31BD3"/>
    <w:rsid w:val="08E31C55"/>
    <w:rsid w:val="08E31DE6"/>
    <w:rsid w:val="08E31E96"/>
    <w:rsid w:val="08E31ECA"/>
    <w:rsid w:val="08E31F7A"/>
    <w:rsid w:val="08E31FE3"/>
    <w:rsid w:val="08E3208E"/>
    <w:rsid w:val="08E32165"/>
    <w:rsid w:val="08E32198"/>
    <w:rsid w:val="08E3222C"/>
    <w:rsid w:val="08E3222D"/>
    <w:rsid w:val="08E322DB"/>
    <w:rsid w:val="08E32368"/>
    <w:rsid w:val="08E323AC"/>
    <w:rsid w:val="08E32548"/>
    <w:rsid w:val="08E32698"/>
    <w:rsid w:val="08E32712"/>
    <w:rsid w:val="08E32775"/>
    <w:rsid w:val="08E327F2"/>
    <w:rsid w:val="08E32962"/>
    <w:rsid w:val="08E329AE"/>
    <w:rsid w:val="08E32A01"/>
    <w:rsid w:val="08E32ACE"/>
    <w:rsid w:val="08E32BE4"/>
    <w:rsid w:val="08E32D0F"/>
    <w:rsid w:val="08E32D68"/>
    <w:rsid w:val="08E32D71"/>
    <w:rsid w:val="08E32FE8"/>
    <w:rsid w:val="08E33154"/>
    <w:rsid w:val="08E33169"/>
    <w:rsid w:val="08E3319B"/>
    <w:rsid w:val="08E331AC"/>
    <w:rsid w:val="08E33258"/>
    <w:rsid w:val="08E33391"/>
    <w:rsid w:val="08E334C7"/>
    <w:rsid w:val="08E334F5"/>
    <w:rsid w:val="08E33522"/>
    <w:rsid w:val="08E3353D"/>
    <w:rsid w:val="08E33566"/>
    <w:rsid w:val="08E335FD"/>
    <w:rsid w:val="08E33602"/>
    <w:rsid w:val="08E3367F"/>
    <w:rsid w:val="08E33768"/>
    <w:rsid w:val="08E3378E"/>
    <w:rsid w:val="08E33813"/>
    <w:rsid w:val="08E33836"/>
    <w:rsid w:val="08E33899"/>
    <w:rsid w:val="08E33973"/>
    <w:rsid w:val="08E33977"/>
    <w:rsid w:val="08E339A8"/>
    <w:rsid w:val="08E339AD"/>
    <w:rsid w:val="08E33A30"/>
    <w:rsid w:val="08E33A64"/>
    <w:rsid w:val="08E33B36"/>
    <w:rsid w:val="08E33B40"/>
    <w:rsid w:val="08E33B91"/>
    <w:rsid w:val="08E33BB8"/>
    <w:rsid w:val="08E33BF6"/>
    <w:rsid w:val="08E33C5E"/>
    <w:rsid w:val="08E33CA3"/>
    <w:rsid w:val="08E33D02"/>
    <w:rsid w:val="08E33D37"/>
    <w:rsid w:val="08E33E82"/>
    <w:rsid w:val="08E33EC9"/>
    <w:rsid w:val="08E33EFE"/>
    <w:rsid w:val="08E33F13"/>
    <w:rsid w:val="08E33F51"/>
    <w:rsid w:val="08E33FC8"/>
    <w:rsid w:val="08E33FDD"/>
    <w:rsid w:val="08E34002"/>
    <w:rsid w:val="08E3401F"/>
    <w:rsid w:val="08E34074"/>
    <w:rsid w:val="08E3410E"/>
    <w:rsid w:val="08E34268"/>
    <w:rsid w:val="08E34284"/>
    <w:rsid w:val="08E34354"/>
    <w:rsid w:val="08E34399"/>
    <w:rsid w:val="08E343C4"/>
    <w:rsid w:val="08E343D1"/>
    <w:rsid w:val="08E343DA"/>
    <w:rsid w:val="08E3447F"/>
    <w:rsid w:val="08E344AB"/>
    <w:rsid w:val="08E345A1"/>
    <w:rsid w:val="08E345C8"/>
    <w:rsid w:val="08E345EE"/>
    <w:rsid w:val="08E345EF"/>
    <w:rsid w:val="08E347B3"/>
    <w:rsid w:val="08E3487E"/>
    <w:rsid w:val="08E348CD"/>
    <w:rsid w:val="08E3499D"/>
    <w:rsid w:val="08E349C3"/>
    <w:rsid w:val="08E34A22"/>
    <w:rsid w:val="08E34A2A"/>
    <w:rsid w:val="08E34B01"/>
    <w:rsid w:val="08E34B0E"/>
    <w:rsid w:val="08E34B2B"/>
    <w:rsid w:val="08E34B83"/>
    <w:rsid w:val="08E34C14"/>
    <w:rsid w:val="08E34DAF"/>
    <w:rsid w:val="08E34DDD"/>
    <w:rsid w:val="08E34DFC"/>
    <w:rsid w:val="08E34EE5"/>
    <w:rsid w:val="08E34F1E"/>
    <w:rsid w:val="08E34F3E"/>
    <w:rsid w:val="08E34FF9"/>
    <w:rsid w:val="08E35112"/>
    <w:rsid w:val="08E35202"/>
    <w:rsid w:val="08E3528A"/>
    <w:rsid w:val="08E35360"/>
    <w:rsid w:val="08E353BA"/>
    <w:rsid w:val="08E35478"/>
    <w:rsid w:val="08E3548E"/>
    <w:rsid w:val="08E35515"/>
    <w:rsid w:val="08E35632"/>
    <w:rsid w:val="08E35A28"/>
    <w:rsid w:val="08E35A42"/>
    <w:rsid w:val="08E35AEE"/>
    <w:rsid w:val="08E35B12"/>
    <w:rsid w:val="08E35B48"/>
    <w:rsid w:val="08E35B5D"/>
    <w:rsid w:val="08E35B94"/>
    <w:rsid w:val="08E35C35"/>
    <w:rsid w:val="08E35D61"/>
    <w:rsid w:val="08E35DB4"/>
    <w:rsid w:val="08E35E41"/>
    <w:rsid w:val="08E35F7F"/>
    <w:rsid w:val="08E35FEB"/>
    <w:rsid w:val="08E3605F"/>
    <w:rsid w:val="08E3606B"/>
    <w:rsid w:val="08E3613D"/>
    <w:rsid w:val="08E36191"/>
    <w:rsid w:val="08E361ED"/>
    <w:rsid w:val="08E36229"/>
    <w:rsid w:val="08E3634B"/>
    <w:rsid w:val="08E36537"/>
    <w:rsid w:val="08E3657C"/>
    <w:rsid w:val="08E365DC"/>
    <w:rsid w:val="08E365E2"/>
    <w:rsid w:val="08E36631"/>
    <w:rsid w:val="08E3665E"/>
    <w:rsid w:val="08E36668"/>
    <w:rsid w:val="08E366E2"/>
    <w:rsid w:val="08E367F9"/>
    <w:rsid w:val="08E3689D"/>
    <w:rsid w:val="08E36A0D"/>
    <w:rsid w:val="08E36AA0"/>
    <w:rsid w:val="08E36AA6"/>
    <w:rsid w:val="08E36BD2"/>
    <w:rsid w:val="08E36C04"/>
    <w:rsid w:val="08E36C46"/>
    <w:rsid w:val="08E36C77"/>
    <w:rsid w:val="08E36C90"/>
    <w:rsid w:val="08E36C9B"/>
    <w:rsid w:val="08E36D5E"/>
    <w:rsid w:val="08E36D83"/>
    <w:rsid w:val="08E36DC4"/>
    <w:rsid w:val="08E36E01"/>
    <w:rsid w:val="08E36E39"/>
    <w:rsid w:val="08E36E9E"/>
    <w:rsid w:val="08E36F37"/>
    <w:rsid w:val="08E36F60"/>
    <w:rsid w:val="08E36FAD"/>
    <w:rsid w:val="08E36FD7"/>
    <w:rsid w:val="08E36FE0"/>
    <w:rsid w:val="08E36FE3"/>
    <w:rsid w:val="08E37013"/>
    <w:rsid w:val="08E37048"/>
    <w:rsid w:val="08E3715F"/>
    <w:rsid w:val="08E371A1"/>
    <w:rsid w:val="08E3723F"/>
    <w:rsid w:val="08E3728B"/>
    <w:rsid w:val="08E37308"/>
    <w:rsid w:val="08E373C9"/>
    <w:rsid w:val="08E37438"/>
    <w:rsid w:val="08E374EF"/>
    <w:rsid w:val="08E3750E"/>
    <w:rsid w:val="08E37526"/>
    <w:rsid w:val="08E37530"/>
    <w:rsid w:val="08E37533"/>
    <w:rsid w:val="08E37599"/>
    <w:rsid w:val="08E375C1"/>
    <w:rsid w:val="08E377DF"/>
    <w:rsid w:val="08E377E9"/>
    <w:rsid w:val="08E377F5"/>
    <w:rsid w:val="08E3786E"/>
    <w:rsid w:val="08E379C1"/>
    <w:rsid w:val="08E37A55"/>
    <w:rsid w:val="08E37C21"/>
    <w:rsid w:val="08E37C3D"/>
    <w:rsid w:val="08E37C58"/>
    <w:rsid w:val="08E37CBE"/>
    <w:rsid w:val="08E37D26"/>
    <w:rsid w:val="08E37D4C"/>
    <w:rsid w:val="08E37D6B"/>
    <w:rsid w:val="08E37D6F"/>
    <w:rsid w:val="08E37DAE"/>
    <w:rsid w:val="08E37DC3"/>
    <w:rsid w:val="08E37DE3"/>
    <w:rsid w:val="08E37E85"/>
    <w:rsid w:val="08E37EFF"/>
    <w:rsid w:val="08E37F5D"/>
    <w:rsid w:val="08E37F8F"/>
    <w:rsid w:val="08E40009"/>
    <w:rsid w:val="08E400E7"/>
    <w:rsid w:val="08E401E6"/>
    <w:rsid w:val="08E402ED"/>
    <w:rsid w:val="08E4031A"/>
    <w:rsid w:val="08E40353"/>
    <w:rsid w:val="08E40398"/>
    <w:rsid w:val="08E4039B"/>
    <w:rsid w:val="08E4043B"/>
    <w:rsid w:val="08E40471"/>
    <w:rsid w:val="08E404C4"/>
    <w:rsid w:val="08E404F3"/>
    <w:rsid w:val="08E4053E"/>
    <w:rsid w:val="08E4055F"/>
    <w:rsid w:val="08E4057B"/>
    <w:rsid w:val="08E40584"/>
    <w:rsid w:val="08E40594"/>
    <w:rsid w:val="08E40658"/>
    <w:rsid w:val="08E406B8"/>
    <w:rsid w:val="08E4089C"/>
    <w:rsid w:val="08E408DC"/>
    <w:rsid w:val="08E40959"/>
    <w:rsid w:val="08E40992"/>
    <w:rsid w:val="08E409F8"/>
    <w:rsid w:val="08E40A2B"/>
    <w:rsid w:val="08E40ADB"/>
    <w:rsid w:val="08E40BAE"/>
    <w:rsid w:val="08E40C03"/>
    <w:rsid w:val="08E40C7B"/>
    <w:rsid w:val="08E40D15"/>
    <w:rsid w:val="08E40D4C"/>
    <w:rsid w:val="08E40DE2"/>
    <w:rsid w:val="08E40EBD"/>
    <w:rsid w:val="08E40F6C"/>
    <w:rsid w:val="08E40FBD"/>
    <w:rsid w:val="08E4107D"/>
    <w:rsid w:val="08E410AA"/>
    <w:rsid w:val="08E41147"/>
    <w:rsid w:val="08E411A9"/>
    <w:rsid w:val="08E411AE"/>
    <w:rsid w:val="08E41262"/>
    <w:rsid w:val="08E41293"/>
    <w:rsid w:val="08E41427"/>
    <w:rsid w:val="08E41496"/>
    <w:rsid w:val="08E414BE"/>
    <w:rsid w:val="08E414F3"/>
    <w:rsid w:val="08E41515"/>
    <w:rsid w:val="08E41666"/>
    <w:rsid w:val="08E41697"/>
    <w:rsid w:val="08E416AA"/>
    <w:rsid w:val="08E417A3"/>
    <w:rsid w:val="08E417AE"/>
    <w:rsid w:val="08E41800"/>
    <w:rsid w:val="08E418AD"/>
    <w:rsid w:val="08E418CA"/>
    <w:rsid w:val="08E418F4"/>
    <w:rsid w:val="08E4191B"/>
    <w:rsid w:val="08E41961"/>
    <w:rsid w:val="08E419A8"/>
    <w:rsid w:val="08E41A25"/>
    <w:rsid w:val="08E41CF4"/>
    <w:rsid w:val="08E41D74"/>
    <w:rsid w:val="08E41D8A"/>
    <w:rsid w:val="08E41D98"/>
    <w:rsid w:val="08E41DE4"/>
    <w:rsid w:val="08E41E61"/>
    <w:rsid w:val="08E41F14"/>
    <w:rsid w:val="08E41F2A"/>
    <w:rsid w:val="08E41F5B"/>
    <w:rsid w:val="08E41F5F"/>
    <w:rsid w:val="08E41FBF"/>
    <w:rsid w:val="08E42084"/>
    <w:rsid w:val="08E42150"/>
    <w:rsid w:val="08E42154"/>
    <w:rsid w:val="08E421F4"/>
    <w:rsid w:val="08E422A0"/>
    <w:rsid w:val="08E4234E"/>
    <w:rsid w:val="08E4235D"/>
    <w:rsid w:val="08E42379"/>
    <w:rsid w:val="08E4240F"/>
    <w:rsid w:val="08E42427"/>
    <w:rsid w:val="08E4249C"/>
    <w:rsid w:val="08E424A8"/>
    <w:rsid w:val="08E426C3"/>
    <w:rsid w:val="08E426D3"/>
    <w:rsid w:val="08E426EA"/>
    <w:rsid w:val="08E42747"/>
    <w:rsid w:val="08E4274A"/>
    <w:rsid w:val="08E4275D"/>
    <w:rsid w:val="08E427EB"/>
    <w:rsid w:val="08E42887"/>
    <w:rsid w:val="08E42959"/>
    <w:rsid w:val="08E42963"/>
    <w:rsid w:val="08E4299E"/>
    <w:rsid w:val="08E429BD"/>
    <w:rsid w:val="08E429FB"/>
    <w:rsid w:val="08E42A20"/>
    <w:rsid w:val="08E42A46"/>
    <w:rsid w:val="08E42BBA"/>
    <w:rsid w:val="08E42C5D"/>
    <w:rsid w:val="08E42C60"/>
    <w:rsid w:val="08E42CA6"/>
    <w:rsid w:val="08E42D06"/>
    <w:rsid w:val="08E42DE7"/>
    <w:rsid w:val="08E42E1E"/>
    <w:rsid w:val="08E42E39"/>
    <w:rsid w:val="08E42EC5"/>
    <w:rsid w:val="08E42F6C"/>
    <w:rsid w:val="08E42FB3"/>
    <w:rsid w:val="08E4303D"/>
    <w:rsid w:val="08E43127"/>
    <w:rsid w:val="08E43163"/>
    <w:rsid w:val="08E43198"/>
    <w:rsid w:val="08E431F5"/>
    <w:rsid w:val="08E43237"/>
    <w:rsid w:val="08E432E3"/>
    <w:rsid w:val="08E433E5"/>
    <w:rsid w:val="08E43480"/>
    <w:rsid w:val="08E43639"/>
    <w:rsid w:val="08E43754"/>
    <w:rsid w:val="08E43823"/>
    <w:rsid w:val="08E43864"/>
    <w:rsid w:val="08E438C9"/>
    <w:rsid w:val="08E4392F"/>
    <w:rsid w:val="08E43A6B"/>
    <w:rsid w:val="08E43AC6"/>
    <w:rsid w:val="08E43BC2"/>
    <w:rsid w:val="08E43C7D"/>
    <w:rsid w:val="08E43CD0"/>
    <w:rsid w:val="08E43CFF"/>
    <w:rsid w:val="08E43D8E"/>
    <w:rsid w:val="08E43ED7"/>
    <w:rsid w:val="08E43F45"/>
    <w:rsid w:val="08E43F48"/>
    <w:rsid w:val="08E43FAD"/>
    <w:rsid w:val="08E43FE1"/>
    <w:rsid w:val="08E4406C"/>
    <w:rsid w:val="08E44115"/>
    <w:rsid w:val="08E44195"/>
    <w:rsid w:val="08E441AC"/>
    <w:rsid w:val="08E4427A"/>
    <w:rsid w:val="08E442DF"/>
    <w:rsid w:val="08E44321"/>
    <w:rsid w:val="08E44450"/>
    <w:rsid w:val="08E4450C"/>
    <w:rsid w:val="08E445C1"/>
    <w:rsid w:val="08E445C9"/>
    <w:rsid w:val="08E44675"/>
    <w:rsid w:val="08E446D5"/>
    <w:rsid w:val="08E44736"/>
    <w:rsid w:val="08E4474C"/>
    <w:rsid w:val="08E44761"/>
    <w:rsid w:val="08E447AD"/>
    <w:rsid w:val="08E447AF"/>
    <w:rsid w:val="08E44850"/>
    <w:rsid w:val="08E4487C"/>
    <w:rsid w:val="08E448DB"/>
    <w:rsid w:val="08E44975"/>
    <w:rsid w:val="08E449D6"/>
    <w:rsid w:val="08E449FA"/>
    <w:rsid w:val="08E44A54"/>
    <w:rsid w:val="08E44AD6"/>
    <w:rsid w:val="08E44B44"/>
    <w:rsid w:val="08E44B55"/>
    <w:rsid w:val="08E44B68"/>
    <w:rsid w:val="08E44B7E"/>
    <w:rsid w:val="08E44BD2"/>
    <w:rsid w:val="08E44C8C"/>
    <w:rsid w:val="08E44D4F"/>
    <w:rsid w:val="08E44D8B"/>
    <w:rsid w:val="08E44E0F"/>
    <w:rsid w:val="08E44F27"/>
    <w:rsid w:val="08E45077"/>
    <w:rsid w:val="08E45184"/>
    <w:rsid w:val="08E45199"/>
    <w:rsid w:val="08E45241"/>
    <w:rsid w:val="08E45343"/>
    <w:rsid w:val="08E45409"/>
    <w:rsid w:val="08E4543E"/>
    <w:rsid w:val="08E45464"/>
    <w:rsid w:val="08E45556"/>
    <w:rsid w:val="08E45574"/>
    <w:rsid w:val="08E45661"/>
    <w:rsid w:val="08E45759"/>
    <w:rsid w:val="08E457C3"/>
    <w:rsid w:val="08E4582A"/>
    <w:rsid w:val="08E45830"/>
    <w:rsid w:val="08E458B9"/>
    <w:rsid w:val="08E4594F"/>
    <w:rsid w:val="08E459BA"/>
    <w:rsid w:val="08E45A39"/>
    <w:rsid w:val="08E45BB0"/>
    <w:rsid w:val="08E45C1E"/>
    <w:rsid w:val="08E45C23"/>
    <w:rsid w:val="08E45D51"/>
    <w:rsid w:val="08E45D52"/>
    <w:rsid w:val="08E45DA8"/>
    <w:rsid w:val="08E45E02"/>
    <w:rsid w:val="08E45E6E"/>
    <w:rsid w:val="08E45E7F"/>
    <w:rsid w:val="08E45ECD"/>
    <w:rsid w:val="08E45F3F"/>
    <w:rsid w:val="08E45F85"/>
    <w:rsid w:val="08E45F87"/>
    <w:rsid w:val="08E45FB0"/>
    <w:rsid w:val="08E4601B"/>
    <w:rsid w:val="08E46093"/>
    <w:rsid w:val="08E462A9"/>
    <w:rsid w:val="08E46341"/>
    <w:rsid w:val="08E46365"/>
    <w:rsid w:val="08E463D3"/>
    <w:rsid w:val="08E464D6"/>
    <w:rsid w:val="08E465CC"/>
    <w:rsid w:val="08E46608"/>
    <w:rsid w:val="08E466B8"/>
    <w:rsid w:val="08E466E2"/>
    <w:rsid w:val="08E466FC"/>
    <w:rsid w:val="08E46820"/>
    <w:rsid w:val="08E46886"/>
    <w:rsid w:val="08E468BA"/>
    <w:rsid w:val="08E468BF"/>
    <w:rsid w:val="08E468C6"/>
    <w:rsid w:val="08E46901"/>
    <w:rsid w:val="08E4691C"/>
    <w:rsid w:val="08E46A43"/>
    <w:rsid w:val="08E46A69"/>
    <w:rsid w:val="08E46A90"/>
    <w:rsid w:val="08E46A93"/>
    <w:rsid w:val="08E46BAF"/>
    <w:rsid w:val="08E46BDC"/>
    <w:rsid w:val="08E46C5A"/>
    <w:rsid w:val="08E46C64"/>
    <w:rsid w:val="08E46E10"/>
    <w:rsid w:val="08E46E30"/>
    <w:rsid w:val="08E46E5F"/>
    <w:rsid w:val="08E46E8A"/>
    <w:rsid w:val="08E46F93"/>
    <w:rsid w:val="08E47064"/>
    <w:rsid w:val="08E4710D"/>
    <w:rsid w:val="08E4721C"/>
    <w:rsid w:val="08E472D5"/>
    <w:rsid w:val="08E472D6"/>
    <w:rsid w:val="08E475DB"/>
    <w:rsid w:val="08E476E6"/>
    <w:rsid w:val="08E476F0"/>
    <w:rsid w:val="08E4770C"/>
    <w:rsid w:val="08E477DF"/>
    <w:rsid w:val="08E47800"/>
    <w:rsid w:val="08E47819"/>
    <w:rsid w:val="08E4785A"/>
    <w:rsid w:val="08E4787A"/>
    <w:rsid w:val="08E4791D"/>
    <w:rsid w:val="08E47944"/>
    <w:rsid w:val="08E4799A"/>
    <w:rsid w:val="08E479E1"/>
    <w:rsid w:val="08E479EB"/>
    <w:rsid w:val="08E479F3"/>
    <w:rsid w:val="08E47A0A"/>
    <w:rsid w:val="08E47A58"/>
    <w:rsid w:val="08E47B00"/>
    <w:rsid w:val="08E47BC2"/>
    <w:rsid w:val="08E47BDC"/>
    <w:rsid w:val="08E47C06"/>
    <w:rsid w:val="08E47C3E"/>
    <w:rsid w:val="08E47CA0"/>
    <w:rsid w:val="08E47CA1"/>
    <w:rsid w:val="08E47CDC"/>
    <w:rsid w:val="08E47D0E"/>
    <w:rsid w:val="08E47D22"/>
    <w:rsid w:val="08E47D89"/>
    <w:rsid w:val="08E47E3E"/>
    <w:rsid w:val="08E47E8E"/>
    <w:rsid w:val="08E47FB6"/>
    <w:rsid w:val="08E47FBB"/>
    <w:rsid w:val="08E47FBC"/>
    <w:rsid w:val="08E50051"/>
    <w:rsid w:val="08E50076"/>
    <w:rsid w:val="08E500BB"/>
    <w:rsid w:val="08E500D5"/>
    <w:rsid w:val="08E50106"/>
    <w:rsid w:val="08E50148"/>
    <w:rsid w:val="08E50149"/>
    <w:rsid w:val="08E50219"/>
    <w:rsid w:val="08E50226"/>
    <w:rsid w:val="08E5028F"/>
    <w:rsid w:val="08E5043C"/>
    <w:rsid w:val="08E50444"/>
    <w:rsid w:val="08E5063D"/>
    <w:rsid w:val="08E5065B"/>
    <w:rsid w:val="08E506E5"/>
    <w:rsid w:val="08E507AD"/>
    <w:rsid w:val="08E5083D"/>
    <w:rsid w:val="08E508B5"/>
    <w:rsid w:val="08E509E4"/>
    <w:rsid w:val="08E50A03"/>
    <w:rsid w:val="08E50B59"/>
    <w:rsid w:val="08E50B92"/>
    <w:rsid w:val="08E50BA2"/>
    <w:rsid w:val="08E50BD5"/>
    <w:rsid w:val="08E50BEE"/>
    <w:rsid w:val="08E50BFB"/>
    <w:rsid w:val="08E50C77"/>
    <w:rsid w:val="08E50CAE"/>
    <w:rsid w:val="08E50CD8"/>
    <w:rsid w:val="08E50DE2"/>
    <w:rsid w:val="08E50E0B"/>
    <w:rsid w:val="08E50EDC"/>
    <w:rsid w:val="08E50F69"/>
    <w:rsid w:val="08E50F98"/>
    <w:rsid w:val="08E50FEC"/>
    <w:rsid w:val="08E5109D"/>
    <w:rsid w:val="08E51127"/>
    <w:rsid w:val="08E511AD"/>
    <w:rsid w:val="08E511BB"/>
    <w:rsid w:val="08E511C9"/>
    <w:rsid w:val="08E511D4"/>
    <w:rsid w:val="08E51416"/>
    <w:rsid w:val="08E51442"/>
    <w:rsid w:val="08E51449"/>
    <w:rsid w:val="08E514B8"/>
    <w:rsid w:val="08E51590"/>
    <w:rsid w:val="08E515E4"/>
    <w:rsid w:val="08E51630"/>
    <w:rsid w:val="08E5164D"/>
    <w:rsid w:val="08E516E4"/>
    <w:rsid w:val="08E51765"/>
    <w:rsid w:val="08E517E0"/>
    <w:rsid w:val="08E51823"/>
    <w:rsid w:val="08E51875"/>
    <w:rsid w:val="08E519A8"/>
    <w:rsid w:val="08E519CE"/>
    <w:rsid w:val="08E519D9"/>
    <w:rsid w:val="08E51AB2"/>
    <w:rsid w:val="08E51B24"/>
    <w:rsid w:val="08E51B4D"/>
    <w:rsid w:val="08E51B98"/>
    <w:rsid w:val="08E51BAE"/>
    <w:rsid w:val="08E51C23"/>
    <w:rsid w:val="08E51CD0"/>
    <w:rsid w:val="08E51CFA"/>
    <w:rsid w:val="08E51D01"/>
    <w:rsid w:val="08E51F87"/>
    <w:rsid w:val="08E51F96"/>
    <w:rsid w:val="08E51FB9"/>
    <w:rsid w:val="08E52033"/>
    <w:rsid w:val="08E5209F"/>
    <w:rsid w:val="08E52182"/>
    <w:rsid w:val="08E521A2"/>
    <w:rsid w:val="08E521F2"/>
    <w:rsid w:val="08E52203"/>
    <w:rsid w:val="08E5220A"/>
    <w:rsid w:val="08E52415"/>
    <w:rsid w:val="08E5241E"/>
    <w:rsid w:val="08E5244B"/>
    <w:rsid w:val="08E525AC"/>
    <w:rsid w:val="08E526BA"/>
    <w:rsid w:val="08E52714"/>
    <w:rsid w:val="08E5274D"/>
    <w:rsid w:val="08E52875"/>
    <w:rsid w:val="08E528A9"/>
    <w:rsid w:val="08E528C7"/>
    <w:rsid w:val="08E5291C"/>
    <w:rsid w:val="08E52A41"/>
    <w:rsid w:val="08E52ABE"/>
    <w:rsid w:val="08E52ACD"/>
    <w:rsid w:val="08E52B06"/>
    <w:rsid w:val="08E52B23"/>
    <w:rsid w:val="08E52B43"/>
    <w:rsid w:val="08E52BF5"/>
    <w:rsid w:val="08E52D6E"/>
    <w:rsid w:val="08E52DD4"/>
    <w:rsid w:val="08E52E31"/>
    <w:rsid w:val="08E52E92"/>
    <w:rsid w:val="08E52EA9"/>
    <w:rsid w:val="08E52F0B"/>
    <w:rsid w:val="08E52F5E"/>
    <w:rsid w:val="08E52FC2"/>
    <w:rsid w:val="08E530FF"/>
    <w:rsid w:val="08E5318D"/>
    <w:rsid w:val="08E531B7"/>
    <w:rsid w:val="08E53227"/>
    <w:rsid w:val="08E532AD"/>
    <w:rsid w:val="08E5337B"/>
    <w:rsid w:val="08E53413"/>
    <w:rsid w:val="08E53414"/>
    <w:rsid w:val="08E5342D"/>
    <w:rsid w:val="08E53440"/>
    <w:rsid w:val="08E53486"/>
    <w:rsid w:val="08E534E1"/>
    <w:rsid w:val="08E53691"/>
    <w:rsid w:val="08E53754"/>
    <w:rsid w:val="08E53764"/>
    <w:rsid w:val="08E53808"/>
    <w:rsid w:val="08E5385D"/>
    <w:rsid w:val="08E53955"/>
    <w:rsid w:val="08E53989"/>
    <w:rsid w:val="08E53A07"/>
    <w:rsid w:val="08E53B9C"/>
    <w:rsid w:val="08E53C3D"/>
    <w:rsid w:val="08E53D00"/>
    <w:rsid w:val="08E53E24"/>
    <w:rsid w:val="08E53E4F"/>
    <w:rsid w:val="08E53EA1"/>
    <w:rsid w:val="08E53EDC"/>
    <w:rsid w:val="08E53EFA"/>
    <w:rsid w:val="08E53FA1"/>
    <w:rsid w:val="08E54065"/>
    <w:rsid w:val="08E540EA"/>
    <w:rsid w:val="08E54117"/>
    <w:rsid w:val="08E5415C"/>
    <w:rsid w:val="08E5415E"/>
    <w:rsid w:val="08E5417E"/>
    <w:rsid w:val="08E5419D"/>
    <w:rsid w:val="08E54260"/>
    <w:rsid w:val="08E542D9"/>
    <w:rsid w:val="08E5438B"/>
    <w:rsid w:val="08E543E0"/>
    <w:rsid w:val="08E5444E"/>
    <w:rsid w:val="08E54467"/>
    <w:rsid w:val="08E544A6"/>
    <w:rsid w:val="08E544DE"/>
    <w:rsid w:val="08E544F4"/>
    <w:rsid w:val="08E545AA"/>
    <w:rsid w:val="08E5472F"/>
    <w:rsid w:val="08E5478C"/>
    <w:rsid w:val="08E547C8"/>
    <w:rsid w:val="08E547F7"/>
    <w:rsid w:val="08E54957"/>
    <w:rsid w:val="08E54972"/>
    <w:rsid w:val="08E549D6"/>
    <w:rsid w:val="08E549EF"/>
    <w:rsid w:val="08E54AFF"/>
    <w:rsid w:val="08E54B08"/>
    <w:rsid w:val="08E54B77"/>
    <w:rsid w:val="08E54C16"/>
    <w:rsid w:val="08E54C7A"/>
    <w:rsid w:val="08E54C81"/>
    <w:rsid w:val="08E54CAA"/>
    <w:rsid w:val="08E54D9E"/>
    <w:rsid w:val="08E54E19"/>
    <w:rsid w:val="08E54E34"/>
    <w:rsid w:val="08E54E40"/>
    <w:rsid w:val="08E54F0A"/>
    <w:rsid w:val="08E54F16"/>
    <w:rsid w:val="08E54FFE"/>
    <w:rsid w:val="08E55152"/>
    <w:rsid w:val="08E55169"/>
    <w:rsid w:val="08E55286"/>
    <w:rsid w:val="08E552EB"/>
    <w:rsid w:val="08E55440"/>
    <w:rsid w:val="08E55461"/>
    <w:rsid w:val="08E5549D"/>
    <w:rsid w:val="08E554CB"/>
    <w:rsid w:val="08E554E7"/>
    <w:rsid w:val="08E55526"/>
    <w:rsid w:val="08E55588"/>
    <w:rsid w:val="08E555C2"/>
    <w:rsid w:val="08E555F6"/>
    <w:rsid w:val="08E55654"/>
    <w:rsid w:val="08E556D5"/>
    <w:rsid w:val="08E556D9"/>
    <w:rsid w:val="08E55738"/>
    <w:rsid w:val="08E5573B"/>
    <w:rsid w:val="08E55781"/>
    <w:rsid w:val="08E557D9"/>
    <w:rsid w:val="08E55805"/>
    <w:rsid w:val="08E55884"/>
    <w:rsid w:val="08E558A1"/>
    <w:rsid w:val="08E5592E"/>
    <w:rsid w:val="08E55AFB"/>
    <w:rsid w:val="08E55C8F"/>
    <w:rsid w:val="08E55CE0"/>
    <w:rsid w:val="08E55CE1"/>
    <w:rsid w:val="08E55D28"/>
    <w:rsid w:val="08E55D79"/>
    <w:rsid w:val="08E55D90"/>
    <w:rsid w:val="08E55E93"/>
    <w:rsid w:val="08E55F0C"/>
    <w:rsid w:val="08E55FF4"/>
    <w:rsid w:val="08E5603F"/>
    <w:rsid w:val="08E560B0"/>
    <w:rsid w:val="08E56186"/>
    <w:rsid w:val="08E561F5"/>
    <w:rsid w:val="08E56211"/>
    <w:rsid w:val="08E56290"/>
    <w:rsid w:val="08E562B5"/>
    <w:rsid w:val="08E562F3"/>
    <w:rsid w:val="08E56390"/>
    <w:rsid w:val="08E5644A"/>
    <w:rsid w:val="08E564DA"/>
    <w:rsid w:val="08E56628"/>
    <w:rsid w:val="08E567A6"/>
    <w:rsid w:val="08E56A24"/>
    <w:rsid w:val="08E56A7A"/>
    <w:rsid w:val="08E56AA3"/>
    <w:rsid w:val="08E56AEA"/>
    <w:rsid w:val="08E56BAF"/>
    <w:rsid w:val="08E56C11"/>
    <w:rsid w:val="08E56DB9"/>
    <w:rsid w:val="08E56DC4"/>
    <w:rsid w:val="08E56E67"/>
    <w:rsid w:val="08E56E71"/>
    <w:rsid w:val="08E56E81"/>
    <w:rsid w:val="08E5700A"/>
    <w:rsid w:val="08E57124"/>
    <w:rsid w:val="08E57167"/>
    <w:rsid w:val="08E5716F"/>
    <w:rsid w:val="08E5731E"/>
    <w:rsid w:val="08E57323"/>
    <w:rsid w:val="08E5732C"/>
    <w:rsid w:val="08E573F6"/>
    <w:rsid w:val="08E57422"/>
    <w:rsid w:val="08E5748F"/>
    <w:rsid w:val="08E574B0"/>
    <w:rsid w:val="08E5753A"/>
    <w:rsid w:val="08E57637"/>
    <w:rsid w:val="08E57654"/>
    <w:rsid w:val="08E57697"/>
    <w:rsid w:val="08E57751"/>
    <w:rsid w:val="08E577F8"/>
    <w:rsid w:val="08E57821"/>
    <w:rsid w:val="08E578A6"/>
    <w:rsid w:val="08E578CF"/>
    <w:rsid w:val="08E57937"/>
    <w:rsid w:val="08E57981"/>
    <w:rsid w:val="08E579D6"/>
    <w:rsid w:val="08E57A21"/>
    <w:rsid w:val="08E57A2C"/>
    <w:rsid w:val="08E57AB4"/>
    <w:rsid w:val="08E57BA2"/>
    <w:rsid w:val="08E57BB5"/>
    <w:rsid w:val="08E57BCC"/>
    <w:rsid w:val="08E57CBB"/>
    <w:rsid w:val="08E57D22"/>
    <w:rsid w:val="08E57D30"/>
    <w:rsid w:val="08E57E2B"/>
    <w:rsid w:val="08E57EEB"/>
    <w:rsid w:val="08E60014"/>
    <w:rsid w:val="08E60028"/>
    <w:rsid w:val="08E600A2"/>
    <w:rsid w:val="08E60122"/>
    <w:rsid w:val="08E60151"/>
    <w:rsid w:val="08E601AC"/>
    <w:rsid w:val="08E60224"/>
    <w:rsid w:val="08E60231"/>
    <w:rsid w:val="08E60244"/>
    <w:rsid w:val="08E602A3"/>
    <w:rsid w:val="08E602AB"/>
    <w:rsid w:val="08E60376"/>
    <w:rsid w:val="08E60389"/>
    <w:rsid w:val="08E605C0"/>
    <w:rsid w:val="08E60602"/>
    <w:rsid w:val="08E60610"/>
    <w:rsid w:val="08E6073E"/>
    <w:rsid w:val="08E6076F"/>
    <w:rsid w:val="08E607F8"/>
    <w:rsid w:val="08E608A4"/>
    <w:rsid w:val="08E608A5"/>
    <w:rsid w:val="08E60A27"/>
    <w:rsid w:val="08E60A4E"/>
    <w:rsid w:val="08E60ACA"/>
    <w:rsid w:val="08E60C60"/>
    <w:rsid w:val="08E60C87"/>
    <w:rsid w:val="08E60D10"/>
    <w:rsid w:val="08E60D12"/>
    <w:rsid w:val="08E60D79"/>
    <w:rsid w:val="08E60DA3"/>
    <w:rsid w:val="08E60E74"/>
    <w:rsid w:val="08E60EEC"/>
    <w:rsid w:val="08E60F53"/>
    <w:rsid w:val="08E60FA4"/>
    <w:rsid w:val="08E6103C"/>
    <w:rsid w:val="08E61061"/>
    <w:rsid w:val="08E610A4"/>
    <w:rsid w:val="08E611CB"/>
    <w:rsid w:val="08E611E5"/>
    <w:rsid w:val="08E611F6"/>
    <w:rsid w:val="08E6122F"/>
    <w:rsid w:val="08E612DF"/>
    <w:rsid w:val="08E61393"/>
    <w:rsid w:val="08E61427"/>
    <w:rsid w:val="08E61428"/>
    <w:rsid w:val="08E614B0"/>
    <w:rsid w:val="08E614D0"/>
    <w:rsid w:val="08E61575"/>
    <w:rsid w:val="08E616AD"/>
    <w:rsid w:val="08E617D5"/>
    <w:rsid w:val="08E61821"/>
    <w:rsid w:val="08E61824"/>
    <w:rsid w:val="08E618C3"/>
    <w:rsid w:val="08E618DC"/>
    <w:rsid w:val="08E619C0"/>
    <w:rsid w:val="08E61A31"/>
    <w:rsid w:val="08E61AB5"/>
    <w:rsid w:val="08E61AD7"/>
    <w:rsid w:val="08E61B8F"/>
    <w:rsid w:val="08E61CB5"/>
    <w:rsid w:val="08E61CD4"/>
    <w:rsid w:val="08E61D41"/>
    <w:rsid w:val="08E61D91"/>
    <w:rsid w:val="08E61E30"/>
    <w:rsid w:val="08E61E5A"/>
    <w:rsid w:val="08E61E69"/>
    <w:rsid w:val="08E61E72"/>
    <w:rsid w:val="08E61E8E"/>
    <w:rsid w:val="08E61E8F"/>
    <w:rsid w:val="08E61EC8"/>
    <w:rsid w:val="08E61EEB"/>
    <w:rsid w:val="08E61FA9"/>
    <w:rsid w:val="08E62030"/>
    <w:rsid w:val="08E62055"/>
    <w:rsid w:val="08E62092"/>
    <w:rsid w:val="08E62098"/>
    <w:rsid w:val="08E620C6"/>
    <w:rsid w:val="08E6218B"/>
    <w:rsid w:val="08E62227"/>
    <w:rsid w:val="08E6232C"/>
    <w:rsid w:val="08E623A9"/>
    <w:rsid w:val="08E623C6"/>
    <w:rsid w:val="08E6240F"/>
    <w:rsid w:val="08E6244B"/>
    <w:rsid w:val="08E62453"/>
    <w:rsid w:val="08E625D9"/>
    <w:rsid w:val="08E62671"/>
    <w:rsid w:val="08E6267A"/>
    <w:rsid w:val="08E626C6"/>
    <w:rsid w:val="08E6275C"/>
    <w:rsid w:val="08E62768"/>
    <w:rsid w:val="08E6277C"/>
    <w:rsid w:val="08E6277D"/>
    <w:rsid w:val="08E62936"/>
    <w:rsid w:val="08E62A17"/>
    <w:rsid w:val="08E62A32"/>
    <w:rsid w:val="08E62A93"/>
    <w:rsid w:val="08E62B33"/>
    <w:rsid w:val="08E62C05"/>
    <w:rsid w:val="08E62DCE"/>
    <w:rsid w:val="08E62E80"/>
    <w:rsid w:val="08E62EAE"/>
    <w:rsid w:val="08E62EC5"/>
    <w:rsid w:val="08E62F05"/>
    <w:rsid w:val="08E62F0F"/>
    <w:rsid w:val="08E6309B"/>
    <w:rsid w:val="08E63145"/>
    <w:rsid w:val="08E6315C"/>
    <w:rsid w:val="08E631EC"/>
    <w:rsid w:val="08E63253"/>
    <w:rsid w:val="08E6331B"/>
    <w:rsid w:val="08E63886"/>
    <w:rsid w:val="08E63934"/>
    <w:rsid w:val="08E639E5"/>
    <w:rsid w:val="08E63A00"/>
    <w:rsid w:val="08E63A27"/>
    <w:rsid w:val="08E63ABF"/>
    <w:rsid w:val="08E63AFA"/>
    <w:rsid w:val="08E63AFB"/>
    <w:rsid w:val="08E63B73"/>
    <w:rsid w:val="08E63C0F"/>
    <w:rsid w:val="08E63C3D"/>
    <w:rsid w:val="08E63C77"/>
    <w:rsid w:val="08E63D42"/>
    <w:rsid w:val="08E63D94"/>
    <w:rsid w:val="08E63E0F"/>
    <w:rsid w:val="08E63EFE"/>
    <w:rsid w:val="08E6400B"/>
    <w:rsid w:val="08E6402C"/>
    <w:rsid w:val="08E6409B"/>
    <w:rsid w:val="08E640F9"/>
    <w:rsid w:val="08E6428B"/>
    <w:rsid w:val="08E643F6"/>
    <w:rsid w:val="08E64487"/>
    <w:rsid w:val="08E644B6"/>
    <w:rsid w:val="08E6451B"/>
    <w:rsid w:val="08E646A2"/>
    <w:rsid w:val="08E64705"/>
    <w:rsid w:val="08E6474E"/>
    <w:rsid w:val="08E6479F"/>
    <w:rsid w:val="08E6486F"/>
    <w:rsid w:val="08E648AE"/>
    <w:rsid w:val="08E648DD"/>
    <w:rsid w:val="08E6491C"/>
    <w:rsid w:val="08E64946"/>
    <w:rsid w:val="08E649E3"/>
    <w:rsid w:val="08E649F5"/>
    <w:rsid w:val="08E649FF"/>
    <w:rsid w:val="08E64A4A"/>
    <w:rsid w:val="08E64A92"/>
    <w:rsid w:val="08E64B00"/>
    <w:rsid w:val="08E64B03"/>
    <w:rsid w:val="08E64B32"/>
    <w:rsid w:val="08E64B50"/>
    <w:rsid w:val="08E64BC7"/>
    <w:rsid w:val="08E64C62"/>
    <w:rsid w:val="08E64D5F"/>
    <w:rsid w:val="08E64D68"/>
    <w:rsid w:val="08E64DD0"/>
    <w:rsid w:val="08E64E5C"/>
    <w:rsid w:val="08E64EAD"/>
    <w:rsid w:val="08E64FE9"/>
    <w:rsid w:val="08E65075"/>
    <w:rsid w:val="08E650B9"/>
    <w:rsid w:val="08E65115"/>
    <w:rsid w:val="08E65165"/>
    <w:rsid w:val="08E651D2"/>
    <w:rsid w:val="08E651E5"/>
    <w:rsid w:val="08E6523D"/>
    <w:rsid w:val="08E65257"/>
    <w:rsid w:val="08E652B2"/>
    <w:rsid w:val="08E65390"/>
    <w:rsid w:val="08E653CB"/>
    <w:rsid w:val="08E653D9"/>
    <w:rsid w:val="08E65497"/>
    <w:rsid w:val="08E654C3"/>
    <w:rsid w:val="08E654F7"/>
    <w:rsid w:val="08E65527"/>
    <w:rsid w:val="08E65552"/>
    <w:rsid w:val="08E655F4"/>
    <w:rsid w:val="08E65637"/>
    <w:rsid w:val="08E65739"/>
    <w:rsid w:val="08E657C9"/>
    <w:rsid w:val="08E65816"/>
    <w:rsid w:val="08E65822"/>
    <w:rsid w:val="08E658BA"/>
    <w:rsid w:val="08E6597F"/>
    <w:rsid w:val="08E65980"/>
    <w:rsid w:val="08E6598A"/>
    <w:rsid w:val="08E6599E"/>
    <w:rsid w:val="08E65B0E"/>
    <w:rsid w:val="08E65B3C"/>
    <w:rsid w:val="08E65BC1"/>
    <w:rsid w:val="08E65D9E"/>
    <w:rsid w:val="08E65DAD"/>
    <w:rsid w:val="08E65DD0"/>
    <w:rsid w:val="08E65E02"/>
    <w:rsid w:val="08E65F3D"/>
    <w:rsid w:val="08E6608C"/>
    <w:rsid w:val="08E66096"/>
    <w:rsid w:val="08E660CB"/>
    <w:rsid w:val="08E6623F"/>
    <w:rsid w:val="08E66257"/>
    <w:rsid w:val="08E662A1"/>
    <w:rsid w:val="08E662F4"/>
    <w:rsid w:val="08E66323"/>
    <w:rsid w:val="08E6633A"/>
    <w:rsid w:val="08E66366"/>
    <w:rsid w:val="08E6638F"/>
    <w:rsid w:val="08E663A2"/>
    <w:rsid w:val="08E66465"/>
    <w:rsid w:val="08E664A9"/>
    <w:rsid w:val="08E66551"/>
    <w:rsid w:val="08E666C4"/>
    <w:rsid w:val="08E666CA"/>
    <w:rsid w:val="08E66810"/>
    <w:rsid w:val="08E6686A"/>
    <w:rsid w:val="08E668DE"/>
    <w:rsid w:val="08E669A3"/>
    <w:rsid w:val="08E66B3B"/>
    <w:rsid w:val="08E66C54"/>
    <w:rsid w:val="08E66CD5"/>
    <w:rsid w:val="08E66D02"/>
    <w:rsid w:val="08E66E39"/>
    <w:rsid w:val="08E66EAC"/>
    <w:rsid w:val="08E66FA1"/>
    <w:rsid w:val="08E66FFE"/>
    <w:rsid w:val="08E6703B"/>
    <w:rsid w:val="08E671BD"/>
    <w:rsid w:val="08E671C0"/>
    <w:rsid w:val="08E672D8"/>
    <w:rsid w:val="08E6733C"/>
    <w:rsid w:val="08E6743D"/>
    <w:rsid w:val="08E67458"/>
    <w:rsid w:val="08E674D4"/>
    <w:rsid w:val="08E675FC"/>
    <w:rsid w:val="08E6764A"/>
    <w:rsid w:val="08E676BF"/>
    <w:rsid w:val="08E67710"/>
    <w:rsid w:val="08E67805"/>
    <w:rsid w:val="08E6788B"/>
    <w:rsid w:val="08E6791D"/>
    <w:rsid w:val="08E6792E"/>
    <w:rsid w:val="08E67951"/>
    <w:rsid w:val="08E67969"/>
    <w:rsid w:val="08E67985"/>
    <w:rsid w:val="08E6799F"/>
    <w:rsid w:val="08E67A46"/>
    <w:rsid w:val="08E67AA0"/>
    <w:rsid w:val="08E67AA7"/>
    <w:rsid w:val="08E67AA8"/>
    <w:rsid w:val="08E67AE9"/>
    <w:rsid w:val="08E67B15"/>
    <w:rsid w:val="08E67C23"/>
    <w:rsid w:val="08E67C81"/>
    <w:rsid w:val="08E67D48"/>
    <w:rsid w:val="08E67E19"/>
    <w:rsid w:val="08E67E69"/>
    <w:rsid w:val="08E67F58"/>
    <w:rsid w:val="08E67F5D"/>
    <w:rsid w:val="08E67F8A"/>
    <w:rsid w:val="08E67F92"/>
    <w:rsid w:val="08E700B9"/>
    <w:rsid w:val="08E70104"/>
    <w:rsid w:val="08E701B6"/>
    <w:rsid w:val="08E701FE"/>
    <w:rsid w:val="08E70241"/>
    <w:rsid w:val="08E70291"/>
    <w:rsid w:val="08E702E1"/>
    <w:rsid w:val="08E70330"/>
    <w:rsid w:val="08E70348"/>
    <w:rsid w:val="08E703DF"/>
    <w:rsid w:val="08E70467"/>
    <w:rsid w:val="08E704C7"/>
    <w:rsid w:val="08E704EA"/>
    <w:rsid w:val="08E7059E"/>
    <w:rsid w:val="08E705A5"/>
    <w:rsid w:val="08E7068D"/>
    <w:rsid w:val="08E706BF"/>
    <w:rsid w:val="08E7074F"/>
    <w:rsid w:val="08E707E1"/>
    <w:rsid w:val="08E70812"/>
    <w:rsid w:val="08E7083C"/>
    <w:rsid w:val="08E70851"/>
    <w:rsid w:val="08E708F1"/>
    <w:rsid w:val="08E70989"/>
    <w:rsid w:val="08E70AEB"/>
    <w:rsid w:val="08E70B1F"/>
    <w:rsid w:val="08E70D14"/>
    <w:rsid w:val="08E70D4F"/>
    <w:rsid w:val="08E70D71"/>
    <w:rsid w:val="08E70ECF"/>
    <w:rsid w:val="08E70EFC"/>
    <w:rsid w:val="08E70F0C"/>
    <w:rsid w:val="08E70F28"/>
    <w:rsid w:val="08E70F3F"/>
    <w:rsid w:val="08E7104B"/>
    <w:rsid w:val="08E71152"/>
    <w:rsid w:val="08E71254"/>
    <w:rsid w:val="08E71261"/>
    <w:rsid w:val="08E7127A"/>
    <w:rsid w:val="08E713DE"/>
    <w:rsid w:val="08E713E6"/>
    <w:rsid w:val="08E71418"/>
    <w:rsid w:val="08E71593"/>
    <w:rsid w:val="08E71639"/>
    <w:rsid w:val="08E71658"/>
    <w:rsid w:val="08E7167D"/>
    <w:rsid w:val="08E716BD"/>
    <w:rsid w:val="08E7172A"/>
    <w:rsid w:val="08E71740"/>
    <w:rsid w:val="08E717DB"/>
    <w:rsid w:val="08E71944"/>
    <w:rsid w:val="08E7195D"/>
    <w:rsid w:val="08E719C8"/>
    <w:rsid w:val="08E71A6C"/>
    <w:rsid w:val="08E71A91"/>
    <w:rsid w:val="08E71ACF"/>
    <w:rsid w:val="08E71B38"/>
    <w:rsid w:val="08E71C09"/>
    <w:rsid w:val="08E71C0A"/>
    <w:rsid w:val="08E71C75"/>
    <w:rsid w:val="08E71C98"/>
    <w:rsid w:val="08E71D9C"/>
    <w:rsid w:val="08E71E37"/>
    <w:rsid w:val="08E71E97"/>
    <w:rsid w:val="08E71ECE"/>
    <w:rsid w:val="08E71F30"/>
    <w:rsid w:val="08E71F3C"/>
    <w:rsid w:val="08E71F49"/>
    <w:rsid w:val="08E71F70"/>
    <w:rsid w:val="08E72092"/>
    <w:rsid w:val="08E7227D"/>
    <w:rsid w:val="08E72286"/>
    <w:rsid w:val="08E7229C"/>
    <w:rsid w:val="08E7233B"/>
    <w:rsid w:val="08E723E3"/>
    <w:rsid w:val="08E72475"/>
    <w:rsid w:val="08E7247D"/>
    <w:rsid w:val="08E72537"/>
    <w:rsid w:val="08E7258F"/>
    <w:rsid w:val="08E7262B"/>
    <w:rsid w:val="08E7267C"/>
    <w:rsid w:val="08E726B6"/>
    <w:rsid w:val="08E726F9"/>
    <w:rsid w:val="08E728DE"/>
    <w:rsid w:val="08E72940"/>
    <w:rsid w:val="08E72973"/>
    <w:rsid w:val="08E72A01"/>
    <w:rsid w:val="08E72A1C"/>
    <w:rsid w:val="08E72B2D"/>
    <w:rsid w:val="08E72B2F"/>
    <w:rsid w:val="08E72B6D"/>
    <w:rsid w:val="08E72C5D"/>
    <w:rsid w:val="08E72CD9"/>
    <w:rsid w:val="08E72CDD"/>
    <w:rsid w:val="08E72D6A"/>
    <w:rsid w:val="08E72D82"/>
    <w:rsid w:val="08E72DFC"/>
    <w:rsid w:val="08E72E2A"/>
    <w:rsid w:val="08E72E4D"/>
    <w:rsid w:val="08E72EB1"/>
    <w:rsid w:val="08E72F0D"/>
    <w:rsid w:val="08E72F16"/>
    <w:rsid w:val="08E72F30"/>
    <w:rsid w:val="08E73040"/>
    <w:rsid w:val="08E7311A"/>
    <w:rsid w:val="08E731D3"/>
    <w:rsid w:val="08E731F6"/>
    <w:rsid w:val="08E73263"/>
    <w:rsid w:val="08E73285"/>
    <w:rsid w:val="08E732A8"/>
    <w:rsid w:val="08E73340"/>
    <w:rsid w:val="08E73347"/>
    <w:rsid w:val="08E7347E"/>
    <w:rsid w:val="08E734F4"/>
    <w:rsid w:val="08E73622"/>
    <w:rsid w:val="08E7371D"/>
    <w:rsid w:val="08E7372C"/>
    <w:rsid w:val="08E73784"/>
    <w:rsid w:val="08E737A4"/>
    <w:rsid w:val="08E7385F"/>
    <w:rsid w:val="08E73880"/>
    <w:rsid w:val="08E738A8"/>
    <w:rsid w:val="08E73A00"/>
    <w:rsid w:val="08E73B03"/>
    <w:rsid w:val="08E73B32"/>
    <w:rsid w:val="08E73B40"/>
    <w:rsid w:val="08E73B46"/>
    <w:rsid w:val="08E73B54"/>
    <w:rsid w:val="08E73D3E"/>
    <w:rsid w:val="08E73D65"/>
    <w:rsid w:val="08E73DAC"/>
    <w:rsid w:val="08E73DAD"/>
    <w:rsid w:val="08E73DF6"/>
    <w:rsid w:val="08E73E08"/>
    <w:rsid w:val="08E7408D"/>
    <w:rsid w:val="08E74193"/>
    <w:rsid w:val="08E7430F"/>
    <w:rsid w:val="08E74365"/>
    <w:rsid w:val="08E74382"/>
    <w:rsid w:val="08E743C6"/>
    <w:rsid w:val="08E743D1"/>
    <w:rsid w:val="08E743E3"/>
    <w:rsid w:val="08E7440B"/>
    <w:rsid w:val="08E74464"/>
    <w:rsid w:val="08E74478"/>
    <w:rsid w:val="08E74561"/>
    <w:rsid w:val="08E74568"/>
    <w:rsid w:val="08E74590"/>
    <w:rsid w:val="08E745B9"/>
    <w:rsid w:val="08E74647"/>
    <w:rsid w:val="08E746A8"/>
    <w:rsid w:val="08E746EE"/>
    <w:rsid w:val="08E7470F"/>
    <w:rsid w:val="08E74853"/>
    <w:rsid w:val="08E74864"/>
    <w:rsid w:val="08E74A05"/>
    <w:rsid w:val="08E74A28"/>
    <w:rsid w:val="08E74A62"/>
    <w:rsid w:val="08E74A63"/>
    <w:rsid w:val="08E74B16"/>
    <w:rsid w:val="08E74B2E"/>
    <w:rsid w:val="08E74B79"/>
    <w:rsid w:val="08E74BB0"/>
    <w:rsid w:val="08E74BB3"/>
    <w:rsid w:val="08E74BFA"/>
    <w:rsid w:val="08E74DB4"/>
    <w:rsid w:val="08E74E24"/>
    <w:rsid w:val="08E74E7B"/>
    <w:rsid w:val="08E74FD3"/>
    <w:rsid w:val="08E75005"/>
    <w:rsid w:val="08E7504A"/>
    <w:rsid w:val="08E750CC"/>
    <w:rsid w:val="08E7512A"/>
    <w:rsid w:val="08E75287"/>
    <w:rsid w:val="08E7533A"/>
    <w:rsid w:val="08E75378"/>
    <w:rsid w:val="08E753E9"/>
    <w:rsid w:val="08E7544B"/>
    <w:rsid w:val="08E7544E"/>
    <w:rsid w:val="08E75465"/>
    <w:rsid w:val="08E754A1"/>
    <w:rsid w:val="08E754FB"/>
    <w:rsid w:val="08E754FC"/>
    <w:rsid w:val="08E75597"/>
    <w:rsid w:val="08E7559D"/>
    <w:rsid w:val="08E756AF"/>
    <w:rsid w:val="08E756D4"/>
    <w:rsid w:val="08E75700"/>
    <w:rsid w:val="08E75776"/>
    <w:rsid w:val="08E75893"/>
    <w:rsid w:val="08E758BD"/>
    <w:rsid w:val="08E758C6"/>
    <w:rsid w:val="08E7595C"/>
    <w:rsid w:val="08E75972"/>
    <w:rsid w:val="08E759A3"/>
    <w:rsid w:val="08E75A6B"/>
    <w:rsid w:val="08E75B5F"/>
    <w:rsid w:val="08E75BA4"/>
    <w:rsid w:val="08E75C56"/>
    <w:rsid w:val="08E75C58"/>
    <w:rsid w:val="08E75C85"/>
    <w:rsid w:val="08E75C8C"/>
    <w:rsid w:val="08E75C9A"/>
    <w:rsid w:val="08E75D99"/>
    <w:rsid w:val="08E75E01"/>
    <w:rsid w:val="08E75E02"/>
    <w:rsid w:val="08E75E43"/>
    <w:rsid w:val="08E75E72"/>
    <w:rsid w:val="08E75E79"/>
    <w:rsid w:val="08E75ED5"/>
    <w:rsid w:val="08E75EFE"/>
    <w:rsid w:val="08E75F1A"/>
    <w:rsid w:val="08E7623D"/>
    <w:rsid w:val="08E76261"/>
    <w:rsid w:val="08E7626F"/>
    <w:rsid w:val="08E76272"/>
    <w:rsid w:val="08E7627A"/>
    <w:rsid w:val="08E762B7"/>
    <w:rsid w:val="08E76397"/>
    <w:rsid w:val="08E76468"/>
    <w:rsid w:val="08E76532"/>
    <w:rsid w:val="08E766DE"/>
    <w:rsid w:val="08E7674E"/>
    <w:rsid w:val="08E76757"/>
    <w:rsid w:val="08E76779"/>
    <w:rsid w:val="08E767BD"/>
    <w:rsid w:val="08E76A15"/>
    <w:rsid w:val="08E76A1A"/>
    <w:rsid w:val="08E76AA4"/>
    <w:rsid w:val="08E76B78"/>
    <w:rsid w:val="08E76CDA"/>
    <w:rsid w:val="08E76D25"/>
    <w:rsid w:val="08E76D4E"/>
    <w:rsid w:val="08E76DE5"/>
    <w:rsid w:val="08E76DF4"/>
    <w:rsid w:val="08E76E3A"/>
    <w:rsid w:val="08E76F23"/>
    <w:rsid w:val="08E7703B"/>
    <w:rsid w:val="08E7703C"/>
    <w:rsid w:val="08E770C9"/>
    <w:rsid w:val="08E770D1"/>
    <w:rsid w:val="08E770F7"/>
    <w:rsid w:val="08E771FA"/>
    <w:rsid w:val="08E7725E"/>
    <w:rsid w:val="08E7725F"/>
    <w:rsid w:val="08E77305"/>
    <w:rsid w:val="08E7734F"/>
    <w:rsid w:val="08E7736E"/>
    <w:rsid w:val="08E77379"/>
    <w:rsid w:val="08E773C5"/>
    <w:rsid w:val="08E773FF"/>
    <w:rsid w:val="08E774A3"/>
    <w:rsid w:val="08E7752D"/>
    <w:rsid w:val="08E77533"/>
    <w:rsid w:val="08E77605"/>
    <w:rsid w:val="08E77646"/>
    <w:rsid w:val="08E776A4"/>
    <w:rsid w:val="08E776A5"/>
    <w:rsid w:val="08E77736"/>
    <w:rsid w:val="08E77737"/>
    <w:rsid w:val="08E777D6"/>
    <w:rsid w:val="08E7781A"/>
    <w:rsid w:val="08E7782D"/>
    <w:rsid w:val="08E778CB"/>
    <w:rsid w:val="08E77964"/>
    <w:rsid w:val="08E779B1"/>
    <w:rsid w:val="08E779B9"/>
    <w:rsid w:val="08E779C2"/>
    <w:rsid w:val="08E77A5B"/>
    <w:rsid w:val="08E77A70"/>
    <w:rsid w:val="08E77A76"/>
    <w:rsid w:val="08E77B34"/>
    <w:rsid w:val="08E77BE0"/>
    <w:rsid w:val="08E77BED"/>
    <w:rsid w:val="08E77CF4"/>
    <w:rsid w:val="08E77D47"/>
    <w:rsid w:val="08E77D61"/>
    <w:rsid w:val="08E77DA8"/>
    <w:rsid w:val="08E77E89"/>
    <w:rsid w:val="08E77F3E"/>
    <w:rsid w:val="08E77FBB"/>
    <w:rsid w:val="08E80034"/>
    <w:rsid w:val="08E80067"/>
    <w:rsid w:val="08E800CE"/>
    <w:rsid w:val="08E80140"/>
    <w:rsid w:val="08E801B2"/>
    <w:rsid w:val="08E80388"/>
    <w:rsid w:val="08E80424"/>
    <w:rsid w:val="08E8043B"/>
    <w:rsid w:val="08E80470"/>
    <w:rsid w:val="08E804AB"/>
    <w:rsid w:val="08E8055B"/>
    <w:rsid w:val="08E805F1"/>
    <w:rsid w:val="08E805F4"/>
    <w:rsid w:val="08E805FF"/>
    <w:rsid w:val="08E8065D"/>
    <w:rsid w:val="08E8068D"/>
    <w:rsid w:val="08E806D0"/>
    <w:rsid w:val="08E806DF"/>
    <w:rsid w:val="08E807F6"/>
    <w:rsid w:val="08E8083A"/>
    <w:rsid w:val="08E80855"/>
    <w:rsid w:val="08E808A6"/>
    <w:rsid w:val="08E808DB"/>
    <w:rsid w:val="08E8093D"/>
    <w:rsid w:val="08E80966"/>
    <w:rsid w:val="08E80A4A"/>
    <w:rsid w:val="08E80ABE"/>
    <w:rsid w:val="08E80B42"/>
    <w:rsid w:val="08E80B66"/>
    <w:rsid w:val="08E80B6F"/>
    <w:rsid w:val="08E80CCA"/>
    <w:rsid w:val="08E80D06"/>
    <w:rsid w:val="08E810C4"/>
    <w:rsid w:val="08E810E5"/>
    <w:rsid w:val="08E81101"/>
    <w:rsid w:val="08E8117F"/>
    <w:rsid w:val="08E81223"/>
    <w:rsid w:val="08E812BF"/>
    <w:rsid w:val="08E81319"/>
    <w:rsid w:val="08E81322"/>
    <w:rsid w:val="08E81343"/>
    <w:rsid w:val="08E8137B"/>
    <w:rsid w:val="08E813C1"/>
    <w:rsid w:val="08E813FE"/>
    <w:rsid w:val="08E81443"/>
    <w:rsid w:val="08E8144D"/>
    <w:rsid w:val="08E814A9"/>
    <w:rsid w:val="08E81582"/>
    <w:rsid w:val="08E815E7"/>
    <w:rsid w:val="08E8168B"/>
    <w:rsid w:val="08E816BD"/>
    <w:rsid w:val="08E8172F"/>
    <w:rsid w:val="08E81738"/>
    <w:rsid w:val="08E817C1"/>
    <w:rsid w:val="08E81865"/>
    <w:rsid w:val="08E8189B"/>
    <w:rsid w:val="08E818F6"/>
    <w:rsid w:val="08E81951"/>
    <w:rsid w:val="08E8196B"/>
    <w:rsid w:val="08E81A01"/>
    <w:rsid w:val="08E81CA3"/>
    <w:rsid w:val="08E81D0E"/>
    <w:rsid w:val="08E81D61"/>
    <w:rsid w:val="08E81D94"/>
    <w:rsid w:val="08E81DB4"/>
    <w:rsid w:val="08E81E04"/>
    <w:rsid w:val="08E81E39"/>
    <w:rsid w:val="08E81F11"/>
    <w:rsid w:val="08E81F48"/>
    <w:rsid w:val="08E81F6B"/>
    <w:rsid w:val="08E81FC4"/>
    <w:rsid w:val="08E82061"/>
    <w:rsid w:val="08E82135"/>
    <w:rsid w:val="08E82167"/>
    <w:rsid w:val="08E821A4"/>
    <w:rsid w:val="08E8226B"/>
    <w:rsid w:val="08E822BE"/>
    <w:rsid w:val="08E82315"/>
    <w:rsid w:val="08E82321"/>
    <w:rsid w:val="08E82345"/>
    <w:rsid w:val="08E82354"/>
    <w:rsid w:val="08E8243F"/>
    <w:rsid w:val="08E8250A"/>
    <w:rsid w:val="08E82560"/>
    <w:rsid w:val="08E8256C"/>
    <w:rsid w:val="08E825CA"/>
    <w:rsid w:val="08E826BF"/>
    <w:rsid w:val="08E82706"/>
    <w:rsid w:val="08E8272E"/>
    <w:rsid w:val="08E82736"/>
    <w:rsid w:val="08E8274A"/>
    <w:rsid w:val="08E82755"/>
    <w:rsid w:val="08E828C7"/>
    <w:rsid w:val="08E8293D"/>
    <w:rsid w:val="08E829EB"/>
    <w:rsid w:val="08E82A4D"/>
    <w:rsid w:val="08E82A6D"/>
    <w:rsid w:val="08E82B28"/>
    <w:rsid w:val="08E82B3C"/>
    <w:rsid w:val="08E82D06"/>
    <w:rsid w:val="08E82D21"/>
    <w:rsid w:val="08E82D6A"/>
    <w:rsid w:val="08E82DF2"/>
    <w:rsid w:val="08E82E2E"/>
    <w:rsid w:val="08E82E9B"/>
    <w:rsid w:val="08E82F01"/>
    <w:rsid w:val="08E82F5C"/>
    <w:rsid w:val="08E83002"/>
    <w:rsid w:val="08E8302E"/>
    <w:rsid w:val="08E83034"/>
    <w:rsid w:val="08E83048"/>
    <w:rsid w:val="08E8306F"/>
    <w:rsid w:val="08E830B0"/>
    <w:rsid w:val="08E8310F"/>
    <w:rsid w:val="08E83158"/>
    <w:rsid w:val="08E831C7"/>
    <w:rsid w:val="08E831DB"/>
    <w:rsid w:val="08E83214"/>
    <w:rsid w:val="08E8333E"/>
    <w:rsid w:val="08E83342"/>
    <w:rsid w:val="08E833F5"/>
    <w:rsid w:val="08E834A6"/>
    <w:rsid w:val="08E834B2"/>
    <w:rsid w:val="08E834F0"/>
    <w:rsid w:val="08E83509"/>
    <w:rsid w:val="08E83571"/>
    <w:rsid w:val="08E83608"/>
    <w:rsid w:val="08E83632"/>
    <w:rsid w:val="08E83645"/>
    <w:rsid w:val="08E8368A"/>
    <w:rsid w:val="08E836B2"/>
    <w:rsid w:val="08E836FC"/>
    <w:rsid w:val="08E83700"/>
    <w:rsid w:val="08E8375C"/>
    <w:rsid w:val="08E8376F"/>
    <w:rsid w:val="08E83810"/>
    <w:rsid w:val="08E83816"/>
    <w:rsid w:val="08E83853"/>
    <w:rsid w:val="08E83878"/>
    <w:rsid w:val="08E838D6"/>
    <w:rsid w:val="08E83980"/>
    <w:rsid w:val="08E8399B"/>
    <w:rsid w:val="08E83A20"/>
    <w:rsid w:val="08E83A42"/>
    <w:rsid w:val="08E83A8E"/>
    <w:rsid w:val="08E83AAA"/>
    <w:rsid w:val="08E83B26"/>
    <w:rsid w:val="08E83B7D"/>
    <w:rsid w:val="08E83B8D"/>
    <w:rsid w:val="08E83C58"/>
    <w:rsid w:val="08E83C6B"/>
    <w:rsid w:val="08E83C81"/>
    <w:rsid w:val="08E83C9F"/>
    <w:rsid w:val="08E83CB8"/>
    <w:rsid w:val="08E83F42"/>
    <w:rsid w:val="08E84030"/>
    <w:rsid w:val="08E8415B"/>
    <w:rsid w:val="08E84172"/>
    <w:rsid w:val="08E841B1"/>
    <w:rsid w:val="08E841DA"/>
    <w:rsid w:val="08E8422E"/>
    <w:rsid w:val="08E8424A"/>
    <w:rsid w:val="08E843C8"/>
    <w:rsid w:val="08E843FE"/>
    <w:rsid w:val="08E8443F"/>
    <w:rsid w:val="08E8468A"/>
    <w:rsid w:val="08E846C8"/>
    <w:rsid w:val="08E84735"/>
    <w:rsid w:val="08E847F3"/>
    <w:rsid w:val="08E847FE"/>
    <w:rsid w:val="08E848CA"/>
    <w:rsid w:val="08E84A44"/>
    <w:rsid w:val="08E84B6D"/>
    <w:rsid w:val="08E84BA1"/>
    <w:rsid w:val="08E84BBB"/>
    <w:rsid w:val="08E84BBC"/>
    <w:rsid w:val="08E84C3A"/>
    <w:rsid w:val="08E84DA7"/>
    <w:rsid w:val="08E84DE4"/>
    <w:rsid w:val="08E84E17"/>
    <w:rsid w:val="08E84E58"/>
    <w:rsid w:val="08E84E9A"/>
    <w:rsid w:val="08E84EEC"/>
    <w:rsid w:val="08E84FE0"/>
    <w:rsid w:val="08E84FF2"/>
    <w:rsid w:val="08E8513C"/>
    <w:rsid w:val="08E8520E"/>
    <w:rsid w:val="08E85378"/>
    <w:rsid w:val="08E8537D"/>
    <w:rsid w:val="08E8539F"/>
    <w:rsid w:val="08E85412"/>
    <w:rsid w:val="08E8543F"/>
    <w:rsid w:val="08E8545D"/>
    <w:rsid w:val="08E8569F"/>
    <w:rsid w:val="08E856CF"/>
    <w:rsid w:val="08E856DC"/>
    <w:rsid w:val="08E856EE"/>
    <w:rsid w:val="08E856F6"/>
    <w:rsid w:val="08E85725"/>
    <w:rsid w:val="08E85781"/>
    <w:rsid w:val="08E857BC"/>
    <w:rsid w:val="08E857E7"/>
    <w:rsid w:val="08E858CD"/>
    <w:rsid w:val="08E85908"/>
    <w:rsid w:val="08E85934"/>
    <w:rsid w:val="08E859EB"/>
    <w:rsid w:val="08E85AA8"/>
    <w:rsid w:val="08E85B53"/>
    <w:rsid w:val="08E85B6E"/>
    <w:rsid w:val="08E85BCF"/>
    <w:rsid w:val="08E85BE4"/>
    <w:rsid w:val="08E85CCF"/>
    <w:rsid w:val="08E85D42"/>
    <w:rsid w:val="08E85E5A"/>
    <w:rsid w:val="08E85F16"/>
    <w:rsid w:val="08E85F9A"/>
    <w:rsid w:val="08E85FB2"/>
    <w:rsid w:val="08E8602F"/>
    <w:rsid w:val="08E8605A"/>
    <w:rsid w:val="08E8605F"/>
    <w:rsid w:val="08E860B8"/>
    <w:rsid w:val="08E86131"/>
    <w:rsid w:val="08E86137"/>
    <w:rsid w:val="08E8613F"/>
    <w:rsid w:val="08E86169"/>
    <w:rsid w:val="08E861D0"/>
    <w:rsid w:val="08E86277"/>
    <w:rsid w:val="08E8635F"/>
    <w:rsid w:val="08E8639C"/>
    <w:rsid w:val="08E86410"/>
    <w:rsid w:val="08E86416"/>
    <w:rsid w:val="08E86460"/>
    <w:rsid w:val="08E8647F"/>
    <w:rsid w:val="08E864E4"/>
    <w:rsid w:val="08E86520"/>
    <w:rsid w:val="08E8653E"/>
    <w:rsid w:val="08E86547"/>
    <w:rsid w:val="08E865D5"/>
    <w:rsid w:val="08E86804"/>
    <w:rsid w:val="08E8682A"/>
    <w:rsid w:val="08E868CC"/>
    <w:rsid w:val="08E86958"/>
    <w:rsid w:val="08E869DD"/>
    <w:rsid w:val="08E869E7"/>
    <w:rsid w:val="08E86A0D"/>
    <w:rsid w:val="08E86B12"/>
    <w:rsid w:val="08E86B67"/>
    <w:rsid w:val="08E86BC2"/>
    <w:rsid w:val="08E86C2B"/>
    <w:rsid w:val="08E86C76"/>
    <w:rsid w:val="08E86C9B"/>
    <w:rsid w:val="08E86CBC"/>
    <w:rsid w:val="08E86DD7"/>
    <w:rsid w:val="08E86E2E"/>
    <w:rsid w:val="08E86FB6"/>
    <w:rsid w:val="08E86FFF"/>
    <w:rsid w:val="08E870BD"/>
    <w:rsid w:val="08E870D4"/>
    <w:rsid w:val="08E870E2"/>
    <w:rsid w:val="08E8711C"/>
    <w:rsid w:val="08E87138"/>
    <w:rsid w:val="08E871B7"/>
    <w:rsid w:val="08E87265"/>
    <w:rsid w:val="08E872FE"/>
    <w:rsid w:val="08E87341"/>
    <w:rsid w:val="08E87345"/>
    <w:rsid w:val="08E873AE"/>
    <w:rsid w:val="08E874B0"/>
    <w:rsid w:val="08E87540"/>
    <w:rsid w:val="08E8754E"/>
    <w:rsid w:val="08E875EC"/>
    <w:rsid w:val="08E87639"/>
    <w:rsid w:val="08E8769E"/>
    <w:rsid w:val="08E876BD"/>
    <w:rsid w:val="08E87731"/>
    <w:rsid w:val="08E877B3"/>
    <w:rsid w:val="08E877E1"/>
    <w:rsid w:val="08E8785E"/>
    <w:rsid w:val="08E87891"/>
    <w:rsid w:val="08E878C3"/>
    <w:rsid w:val="08E878EC"/>
    <w:rsid w:val="08E8798E"/>
    <w:rsid w:val="08E87A1F"/>
    <w:rsid w:val="08E87A24"/>
    <w:rsid w:val="08E87A39"/>
    <w:rsid w:val="08E87AB5"/>
    <w:rsid w:val="08E87AC9"/>
    <w:rsid w:val="08E87ACC"/>
    <w:rsid w:val="08E87AF4"/>
    <w:rsid w:val="08E87B2D"/>
    <w:rsid w:val="08E87BF3"/>
    <w:rsid w:val="08E87C34"/>
    <w:rsid w:val="08E87CD9"/>
    <w:rsid w:val="08E87DAC"/>
    <w:rsid w:val="08E87DBE"/>
    <w:rsid w:val="08E87DC1"/>
    <w:rsid w:val="08E87DDD"/>
    <w:rsid w:val="08E87E49"/>
    <w:rsid w:val="08E87E52"/>
    <w:rsid w:val="08E87EF8"/>
    <w:rsid w:val="08E901DC"/>
    <w:rsid w:val="08E90241"/>
    <w:rsid w:val="08E9025D"/>
    <w:rsid w:val="08E902EB"/>
    <w:rsid w:val="08E90341"/>
    <w:rsid w:val="08E903C8"/>
    <w:rsid w:val="08E9042A"/>
    <w:rsid w:val="08E904CF"/>
    <w:rsid w:val="08E90553"/>
    <w:rsid w:val="08E90590"/>
    <w:rsid w:val="08E9063A"/>
    <w:rsid w:val="08E90647"/>
    <w:rsid w:val="08E906DE"/>
    <w:rsid w:val="08E907A1"/>
    <w:rsid w:val="08E907CE"/>
    <w:rsid w:val="08E9084E"/>
    <w:rsid w:val="08E9090A"/>
    <w:rsid w:val="08E9091F"/>
    <w:rsid w:val="08E9097D"/>
    <w:rsid w:val="08E909B7"/>
    <w:rsid w:val="08E90AA2"/>
    <w:rsid w:val="08E90B79"/>
    <w:rsid w:val="08E90BCD"/>
    <w:rsid w:val="08E90C69"/>
    <w:rsid w:val="08E90C6E"/>
    <w:rsid w:val="08E910B5"/>
    <w:rsid w:val="08E91104"/>
    <w:rsid w:val="08E91126"/>
    <w:rsid w:val="08E911E0"/>
    <w:rsid w:val="08E91288"/>
    <w:rsid w:val="08E91314"/>
    <w:rsid w:val="08E91368"/>
    <w:rsid w:val="08E91421"/>
    <w:rsid w:val="08E915B3"/>
    <w:rsid w:val="08E915BA"/>
    <w:rsid w:val="08E915FD"/>
    <w:rsid w:val="08E91614"/>
    <w:rsid w:val="08E91617"/>
    <w:rsid w:val="08E91679"/>
    <w:rsid w:val="08E916D9"/>
    <w:rsid w:val="08E9173E"/>
    <w:rsid w:val="08E9177C"/>
    <w:rsid w:val="08E917B1"/>
    <w:rsid w:val="08E91949"/>
    <w:rsid w:val="08E91A05"/>
    <w:rsid w:val="08E91A24"/>
    <w:rsid w:val="08E91A2F"/>
    <w:rsid w:val="08E91AB8"/>
    <w:rsid w:val="08E91BA7"/>
    <w:rsid w:val="08E91BE2"/>
    <w:rsid w:val="08E91C2C"/>
    <w:rsid w:val="08E91CE6"/>
    <w:rsid w:val="08E91D62"/>
    <w:rsid w:val="08E91D6B"/>
    <w:rsid w:val="08E91E0F"/>
    <w:rsid w:val="08E91E32"/>
    <w:rsid w:val="08E91E8A"/>
    <w:rsid w:val="08E91FB6"/>
    <w:rsid w:val="08E91FC4"/>
    <w:rsid w:val="08E91FD3"/>
    <w:rsid w:val="08E9203C"/>
    <w:rsid w:val="08E920DA"/>
    <w:rsid w:val="08E92234"/>
    <w:rsid w:val="08E923F2"/>
    <w:rsid w:val="08E92405"/>
    <w:rsid w:val="08E9246F"/>
    <w:rsid w:val="08E924DC"/>
    <w:rsid w:val="08E92576"/>
    <w:rsid w:val="08E92589"/>
    <w:rsid w:val="08E925CA"/>
    <w:rsid w:val="08E92630"/>
    <w:rsid w:val="08E926F0"/>
    <w:rsid w:val="08E927B4"/>
    <w:rsid w:val="08E927EA"/>
    <w:rsid w:val="08E9288D"/>
    <w:rsid w:val="08E928D8"/>
    <w:rsid w:val="08E92935"/>
    <w:rsid w:val="08E9295B"/>
    <w:rsid w:val="08E92A6C"/>
    <w:rsid w:val="08E92B0E"/>
    <w:rsid w:val="08E92B2A"/>
    <w:rsid w:val="08E92B65"/>
    <w:rsid w:val="08E92C0D"/>
    <w:rsid w:val="08E92C45"/>
    <w:rsid w:val="08E92D22"/>
    <w:rsid w:val="08E92D25"/>
    <w:rsid w:val="08E92D90"/>
    <w:rsid w:val="08E92DFC"/>
    <w:rsid w:val="08E92E4B"/>
    <w:rsid w:val="08E92EFE"/>
    <w:rsid w:val="08E92F30"/>
    <w:rsid w:val="08E92F6A"/>
    <w:rsid w:val="08E92FA5"/>
    <w:rsid w:val="08E92FE8"/>
    <w:rsid w:val="08E93002"/>
    <w:rsid w:val="08E930CD"/>
    <w:rsid w:val="08E93176"/>
    <w:rsid w:val="08E931EF"/>
    <w:rsid w:val="08E931F0"/>
    <w:rsid w:val="08E931FB"/>
    <w:rsid w:val="08E93219"/>
    <w:rsid w:val="08E9343A"/>
    <w:rsid w:val="08E93491"/>
    <w:rsid w:val="08E934B7"/>
    <w:rsid w:val="08E934ED"/>
    <w:rsid w:val="08E93529"/>
    <w:rsid w:val="08E9362D"/>
    <w:rsid w:val="08E93694"/>
    <w:rsid w:val="08E936EF"/>
    <w:rsid w:val="08E93729"/>
    <w:rsid w:val="08E93936"/>
    <w:rsid w:val="08E939C6"/>
    <w:rsid w:val="08E93A70"/>
    <w:rsid w:val="08E93B7B"/>
    <w:rsid w:val="08E93C93"/>
    <w:rsid w:val="08E93D11"/>
    <w:rsid w:val="08E93D48"/>
    <w:rsid w:val="08E93EFC"/>
    <w:rsid w:val="08E93F1A"/>
    <w:rsid w:val="08E93F73"/>
    <w:rsid w:val="08E9405C"/>
    <w:rsid w:val="08E9407C"/>
    <w:rsid w:val="08E94112"/>
    <w:rsid w:val="08E941D1"/>
    <w:rsid w:val="08E94202"/>
    <w:rsid w:val="08E942CB"/>
    <w:rsid w:val="08E942ED"/>
    <w:rsid w:val="08E9430F"/>
    <w:rsid w:val="08E94327"/>
    <w:rsid w:val="08E943D4"/>
    <w:rsid w:val="08E94415"/>
    <w:rsid w:val="08E94484"/>
    <w:rsid w:val="08E944DD"/>
    <w:rsid w:val="08E944F5"/>
    <w:rsid w:val="08E94716"/>
    <w:rsid w:val="08E94781"/>
    <w:rsid w:val="08E94893"/>
    <w:rsid w:val="08E948D5"/>
    <w:rsid w:val="08E94925"/>
    <w:rsid w:val="08E94944"/>
    <w:rsid w:val="08E94957"/>
    <w:rsid w:val="08E9497A"/>
    <w:rsid w:val="08E949A3"/>
    <w:rsid w:val="08E949BF"/>
    <w:rsid w:val="08E949C2"/>
    <w:rsid w:val="08E94A21"/>
    <w:rsid w:val="08E94A7B"/>
    <w:rsid w:val="08E94B3B"/>
    <w:rsid w:val="08E94B6B"/>
    <w:rsid w:val="08E94B81"/>
    <w:rsid w:val="08E94BDF"/>
    <w:rsid w:val="08E94C17"/>
    <w:rsid w:val="08E94C61"/>
    <w:rsid w:val="08E94D3F"/>
    <w:rsid w:val="08E94D66"/>
    <w:rsid w:val="08E94D85"/>
    <w:rsid w:val="08E94DDC"/>
    <w:rsid w:val="08E94FC6"/>
    <w:rsid w:val="08E94FD4"/>
    <w:rsid w:val="08E95029"/>
    <w:rsid w:val="08E9505D"/>
    <w:rsid w:val="08E95122"/>
    <w:rsid w:val="08E9519F"/>
    <w:rsid w:val="08E951A2"/>
    <w:rsid w:val="08E951BC"/>
    <w:rsid w:val="08E95262"/>
    <w:rsid w:val="08E952A0"/>
    <w:rsid w:val="08E95315"/>
    <w:rsid w:val="08E95330"/>
    <w:rsid w:val="08E9539B"/>
    <w:rsid w:val="08E953C3"/>
    <w:rsid w:val="08E9541C"/>
    <w:rsid w:val="08E95424"/>
    <w:rsid w:val="08E9542B"/>
    <w:rsid w:val="08E9544D"/>
    <w:rsid w:val="08E9549B"/>
    <w:rsid w:val="08E95642"/>
    <w:rsid w:val="08E95654"/>
    <w:rsid w:val="08E95661"/>
    <w:rsid w:val="08E95726"/>
    <w:rsid w:val="08E9572F"/>
    <w:rsid w:val="08E95778"/>
    <w:rsid w:val="08E95888"/>
    <w:rsid w:val="08E958F6"/>
    <w:rsid w:val="08E95927"/>
    <w:rsid w:val="08E95A1F"/>
    <w:rsid w:val="08E95B25"/>
    <w:rsid w:val="08E95B36"/>
    <w:rsid w:val="08E95C17"/>
    <w:rsid w:val="08E95C8C"/>
    <w:rsid w:val="08E95D84"/>
    <w:rsid w:val="08E95E64"/>
    <w:rsid w:val="08E95F1B"/>
    <w:rsid w:val="08E95FFF"/>
    <w:rsid w:val="08E96060"/>
    <w:rsid w:val="08E960FF"/>
    <w:rsid w:val="08E9618F"/>
    <w:rsid w:val="08E9625E"/>
    <w:rsid w:val="08E96299"/>
    <w:rsid w:val="08E962F4"/>
    <w:rsid w:val="08E96358"/>
    <w:rsid w:val="08E9636A"/>
    <w:rsid w:val="08E963C0"/>
    <w:rsid w:val="08E963CC"/>
    <w:rsid w:val="08E96432"/>
    <w:rsid w:val="08E96451"/>
    <w:rsid w:val="08E9664C"/>
    <w:rsid w:val="08E96689"/>
    <w:rsid w:val="08E966C6"/>
    <w:rsid w:val="08E967C4"/>
    <w:rsid w:val="08E96800"/>
    <w:rsid w:val="08E96ACC"/>
    <w:rsid w:val="08E96AD0"/>
    <w:rsid w:val="08E96BFB"/>
    <w:rsid w:val="08E96CD9"/>
    <w:rsid w:val="08E96D67"/>
    <w:rsid w:val="08E96E17"/>
    <w:rsid w:val="08E96E91"/>
    <w:rsid w:val="08E96ED8"/>
    <w:rsid w:val="08E96F09"/>
    <w:rsid w:val="08E96FC4"/>
    <w:rsid w:val="08E9717F"/>
    <w:rsid w:val="08E97184"/>
    <w:rsid w:val="08E9719E"/>
    <w:rsid w:val="08E971D2"/>
    <w:rsid w:val="08E9727E"/>
    <w:rsid w:val="08E972D8"/>
    <w:rsid w:val="08E97453"/>
    <w:rsid w:val="08E9747E"/>
    <w:rsid w:val="08E9750C"/>
    <w:rsid w:val="08E975A3"/>
    <w:rsid w:val="08E975B2"/>
    <w:rsid w:val="08E975EF"/>
    <w:rsid w:val="08E976A1"/>
    <w:rsid w:val="08E976A5"/>
    <w:rsid w:val="08E976A9"/>
    <w:rsid w:val="08E97790"/>
    <w:rsid w:val="08E97844"/>
    <w:rsid w:val="08E97862"/>
    <w:rsid w:val="08E978B1"/>
    <w:rsid w:val="08E979D4"/>
    <w:rsid w:val="08E97B02"/>
    <w:rsid w:val="08E97B81"/>
    <w:rsid w:val="08E97C44"/>
    <w:rsid w:val="08E97C54"/>
    <w:rsid w:val="08E97C84"/>
    <w:rsid w:val="08E97C86"/>
    <w:rsid w:val="08E97D7F"/>
    <w:rsid w:val="08E97DCA"/>
    <w:rsid w:val="08E97DE0"/>
    <w:rsid w:val="08E97E19"/>
    <w:rsid w:val="08E97EAA"/>
    <w:rsid w:val="08E97EBD"/>
    <w:rsid w:val="08E97EC5"/>
    <w:rsid w:val="08E97EEF"/>
    <w:rsid w:val="08E97F00"/>
    <w:rsid w:val="08E97F58"/>
    <w:rsid w:val="08E97FA8"/>
    <w:rsid w:val="08E97FD0"/>
    <w:rsid w:val="08EA00B1"/>
    <w:rsid w:val="08EA00E1"/>
    <w:rsid w:val="08EA00EC"/>
    <w:rsid w:val="08EA0163"/>
    <w:rsid w:val="08EA0246"/>
    <w:rsid w:val="08EA035B"/>
    <w:rsid w:val="08EA03DF"/>
    <w:rsid w:val="08EA0421"/>
    <w:rsid w:val="08EA0494"/>
    <w:rsid w:val="08EA04AB"/>
    <w:rsid w:val="08EA04CA"/>
    <w:rsid w:val="08EA04FB"/>
    <w:rsid w:val="08EA053D"/>
    <w:rsid w:val="08EA063E"/>
    <w:rsid w:val="08EA0742"/>
    <w:rsid w:val="08EA075D"/>
    <w:rsid w:val="08EA079D"/>
    <w:rsid w:val="08EA0891"/>
    <w:rsid w:val="08EA08B9"/>
    <w:rsid w:val="08EA095E"/>
    <w:rsid w:val="08EA0994"/>
    <w:rsid w:val="08EA0A04"/>
    <w:rsid w:val="08EA0A0E"/>
    <w:rsid w:val="08EA0B04"/>
    <w:rsid w:val="08EA0BF0"/>
    <w:rsid w:val="08EA0C64"/>
    <w:rsid w:val="08EA0CB8"/>
    <w:rsid w:val="08EA0F14"/>
    <w:rsid w:val="08EA0F89"/>
    <w:rsid w:val="08EA10CF"/>
    <w:rsid w:val="08EA1231"/>
    <w:rsid w:val="08EA126B"/>
    <w:rsid w:val="08EA1284"/>
    <w:rsid w:val="08EA12CC"/>
    <w:rsid w:val="08EA137A"/>
    <w:rsid w:val="08EA1391"/>
    <w:rsid w:val="08EA14BE"/>
    <w:rsid w:val="08EA14CF"/>
    <w:rsid w:val="08EA1518"/>
    <w:rsid w:val="08EA1539"/>
    <w:rsid w:val="08EA158D"/>
    <w:rsid w:val="08EA15E8"/>
    <w:rsid w:val="08EA164D"/>
    <w:rsid w:val="08EA1788"/>
    <w:rsid w:val="08EA17AE"/>
    <w:rsid w:val="08EA17FE"/>
    <w:rsid w:val="08EA1838"/>
    <w:rsid w:val="08EA19CC"/>
    <w:rsid w:val="08EA1A5C"/>
    <w:rsid w:val="08EA1A63"/>
    <w:rsid w:val="08EA1AC0"/>
    <w:rsid w:val="08EA1C26"/>
    <w:rsid w:val="08EA1C39"/>
    <w:rsid w:val="08EA1C64"/>
    <w:rsid w:val="08EA1E20"/>
    <w:rsid w:val="08EA1EAE"/>
    <w:rsid w:val="08EA1F4A"/>
    <w:rsid w:val="08EA20FF"/>
    <w:rsid w:val="08EA213E"/>
    <w:rsid w:val="08EA2184"/>
    <w:rsid w:val="08EA219F"/>
    <w:rsid w:val="08EA222A"/>
    <w:rsid w:val="08EA23A2"/>
    <w:rsid w:val="08EA23C2"/>
    <w:rsid w:val="08EA23FA"/>
    <w:rsid w:val="08EA24C7"/>
    <w:rsid w:val="08EA24DC"/>
    <w:rsid w:val="08EA24F4"/>
    <w:rsid w:val="08EA256F"/>
    <w:rsid w:val="08EA25D6"/>
    <w:rsid w:val="08EA2613"/>
    <w:rsid w:val="08EA2633"/>
    <w:rsid w:val="08EA26D2"/>
    <w:rsid w:val="08EA272F"/>
    <w:rsid w:val="08EA2794"/>
    <w:rsid w:val="08EA28A3"/>
    <w:rsid w:val="08EA28D2"/>
    <w:rsid w:val="08EA28FF"/>
    <w:rsid w:val="08EA2902"/>
    <w:rsid w:val="08EA292E"/>
    <w:rsid w:val="08EA293E"/>
    <w:rsid w:val="08EA2967"/>
    <w:rsid w:val="08EA29B4"/>
    <w:rsid w:val="08EA29E8"/>
    <w:rsid w:val="08EA2A64"/>
    <w:rsid w:val="08EA2ABE"/>
    <w:rsid w:val="08EA2B2F"/>
    <w:rsid w:val="08EA2BAE"/>
    <w:rsid w:val="08EA2BE9"/>
    <w:rsid w:val="08EA2C95"/>
    <w:rsid w:val="08EA2CCE"/>
    <w:rsid w:val="08EA2D57"/>
    <w:rsid w:val="08EA2DF3"/>
    <w:rsid w:val="08EA2E18"/>
    <w:rsid w:val="08EA2E50"/>
    <w:rsid w:val="08EA2E92"/>
    <w:rsid w:val="08EA3004"/>
    <w:rsid w:val="08EA3043"/>
    <w:rsid w:val="08EA3144"/>
    <w:rsid w:val="08EA318A"/>
    <w:rsid w:val="08EA31C8"/>
    <w:rsid w:val="08EA332B"/>
    <w:rsid w:val="08EA332F"/>
    <w:rsid w:val="08EA334A"/>
    <w:rsid w:val="08EA335C"/>
    <w:rsid w:val="08EA339C"/>
    <w:rsid w:val="08EA3477"/>
    <w:rsid w:val="08EA34D2"/>
    <w:rsid w:val="08EA34EF"/>
    <w:rsid w:val="08EA355B"/>
    <w:rsid w:val="08EA35B8"/>
    <w:rsid w:val="08EA36B0"/>
    <w:rsid w:val="08EA36DD"/>
    <w:rsid w:val="08EA3727"/>
    <w:rsid w:val="08EA373A"/>
    <w:rsid w:val="08EA3956"/>
    <w:rsid w:val="08EA39BE"/>
    <w:rsid w:val="08EA39DF"/>
    <w:rsid w:val="08EA3A48"/>
    <w:rsid w:val="08EA3A92"/>
    <w:rsid w:val="08EA3AC9"/>
    <w:rsid w:val="08EA3C53"/>
    <w:rsid w:val="08EA3CD0"/>
    <w:rsid w:val="08EA3CFA"/>
    <w:rsid w:val="08EA3D47"/>
    <w:rsid w:val="08EA3E22"/>
    <w:rsid w:val="08EA3E24"/>
    <w:rsid w:val="08EA3E2B"/>
    <w:rsid w:val="08EA3E86"/>
    <w:rsid w:val="08EA3E9E"/>
    <w:rsid w:val="08EA3EF0"/>
    <w:rsid w:val="08EA3EFB"/>
    <w:rsid w:val="08EA3F0C"/>
    <w:rsid w:val="08EA3F97"/>
    <w:rsid w:val="08EA40C7"/>
    <w:rsid w:val="08EA40EB"/>
    <w:rsid w:val="08EA4112"/>
    <w:rsid w:val="08EA416C"/>
    <w:rsid w:val="08EA41A9"/>
    <w:rsid w:val="08EA43FD"/>
    <w:rsid w:val="08EA448E"/>
    <w:rsid w:val="08EA44E7"/>
    <w:rsid w:val="08EA44EB"/>
    <w:rsid w:val="08EA4512"/>
    <w:rsid w:val="08EA457E"/>
    <w:rsid w:val="08EA461E"/>
    <w:rsid w:val="08EA462D"/>
    <w:rsid w:val="08EA470E"/>
    <w:rsid w:val="08EA4729"/>
    <w:rsid w:val="08EA472A"/>
    <w:rsid w:val="08EA474D"/>
    <w:rsid w:val="08EA497C"/>
    <w:rsid w:val="08EA49B1"/>
    <w:rsid w:val="08EA49B4"/>
    <w:rsid w:val="08EA49B8"/>
    <w:rsid w:val="08EA49C6"/>
    <w:rsid w:val="08EA4B1D"/>
    <w:rsid w:val="08EA4B49"/>
    <w:rsid w:val="08EA4BEF"/>
    <w:rsid w:val="08EA4CC0"/>
    <w:rsid w:val="08EA4D98"/>
    <w:rsid w:val="08EA4E7C"/>
    <w:rsid w:val="08EA4EA6"/>
    <w:rsid w:val="08EA505E"/>
    <w:rsid w:val="08EA50DF"/>
    <w:rsid w:val="08EA511A"/>
    <w:rsid w:val="08EA5237"/>
    <w:rsid w:val="08EA52D0"/>
    <w:rsid w:val="08EA52D3"/>
    <w:rsid w:val="08EA534A"/>
    <w:rsid w:val="08EA53AB"/>
    <w:rsid w:val="08EA53F0"/>
    <w:rsid w:val="08EA5466"/>
    <w:rsid w:val="08EA5485"/>
    <w:rsid w:val="08EA54FE"/>
    <w:rsid w:val="08EA550D"/>
    <w:rsid w:val="08EA5528"/>
    <w:rsid w:val="08EA5665"/>
    <w:rsid w:val="08EA56AC"/>
    <w:rsid w:val="08EA5760"/>
    <w:rsid w:val="08EA584B"/>
    <w:rsid w:val="08EA58F2"/>
    <w:rsid w:val="08EA597A"/>
    <w:rsid w:val="08EA5A09"/>
    <w:rsid w:val="08EA5A75"/>
    <w:rsid w:val="08EA5AB3"/>
    <w:rsid w:val="08EA5AF8"/>
    <w:rsid w:val="08EA5B7C"/>
    <w:rsid w:val="08EA5C67"/>
    <w:rsid w:val="08EA5CCE"/>
    <w:rsid w:val="08EA5D61"/>
    <w:rsid w:val="08EA5DE0"/>
    <w:rsid w:val="08EA5F64"/>
    <w:rsid w:val="08EA5F7A"/>
    <w:rsid w:val="08EA5FE5"/>
    <w:rsid w:val="08EA60F4"/>
    <w:rsid w:val="08EA6174"/>
    <w:rsid w:val="08EA6326"/>
    <w:rsid w:val="08EA642B"/>
    <w:rsid w:val="08EA6490"/>
    <w:rsid w:val="08EA64E1"/>
    <w:rsid w:val="08EA64F2"/>
    <w:rsid w:val="08EA6506"/>
    <w:rsid w:val="08EA6507"/>
    <w:rsid w:val="08EA6570"/>
    <w:rsid w:val="08EA6604"/>
    <w:rsid w:val="08EA664F"/>
    <w:rsid w:val="08EA69E7"/>
    <w:rsid w:val="08EA6A01"/>
    <w:rsid w:val="08EA6A3B"/>
    <w:rsid w:val="08EA6ABC"/>
    <w:rsid w:val="08EA6B03"/>
    <w:rsid w:val="08EA6B2E"/>
    <w:rsid w:val="08EA6BCC"/>
    <w:rsid w:val="08EA6BDD"/>
    <w:rsid w:val="08EA6C67"/>
    <w:rsid w:val="08EA6CA5"/>
    <w:rsid w:val="08EA6DC4"/>
    <w:rsid w:val="08EA6EE5"/>
    <w:rsid w:val="08EA7038"/>
    <w:rsid w:val="08EA7040"/>
    <w:rsid w:val="08EA7080"/>
    <w:rsid w:val="08EA7115"/>
    <w:rsid w:val="08EA715E"/>
    <w:rsid w:val="08EA71CF"/>
    <w:rsid w:val="08EA71D0"/>
    <w:rsid w:val="08EA7217"/>
    <w:rsid w:val="08EA72C3"/>
    <w:rsid w:val="08EA7332"/>
    <w:rsid w:val="08EA7335"/>
    <w:rsid w:val="08EA73E8"/>
    <w:rsid w:val="08EA7469"/>
    <w:rsid w:val="08EA74C6"/>
    <w:rsid w:val="08EA756D"/>
    <w:rsid w:val="08EA75B7"/>
    <w:rsid w:val="08EA7615"/>
    <w:rsid w:val="08EA7629"/>
    <w:rsid w:val="08EA773C"/>
    <w:rsid w:val="08EA7766"/>
    <w:rsid w:val="08EA7788"/>
    <w:rsid w:val="08EA781C"/>
    <w:rsid w:val="08EA782F"/>
    <w:rsid w:val="08EA7838"/>
    <w:rsid w:val="08EA784B"/>
    <w:rsid w:val="08EA78CD"/>
    <w:rsid w:val="08EA7A1F"/>
    <w:rsid w:val="08EA7AAF"/>
    <w:rsid w:val="08EA7B0A"/>
    <w:rsid w:val="08EA7B28"/>
    <w:rsid w:val="08EA7BD8"/>
    <w:rsid w:val="08EA7C3B"/>
    <w:rsid w:val="08EA7C6B"/>
    <w:rsid w:val="08EA7D82"/>
    <w:rsid w:val="08EA7D99"/>
    <w:rsid w:val="08EA7DE3"/>
    <w:rsid w:val="08EA7F18"/>
    <w:rsid w:val="08EA7F89"/>
    <w:rsid w:val="08EA7F97"/>
    <w:rsid w:val="08EB00AD"/>
    <w:rsid w:val="08EB00EB"/>
    <w:rsid w:val="08EB011E"/>
    <w:rsid w:val="08EB016B"/>
    <w:rsid w:val="08EB019D"/>
    <w:rsid w:val="08EB01C2"/>
    <w:rsid w:val="08EB0230"/>
    <w:rsid w:val="08EB0245"/>
    <w:rsid w:val="08EB02A9"/>
    <w:rsid w:val="08EB0391"/>
    <w:rsid w:val="08EB03CF"/>
    <w:rsid w:val="08EB0418"/>
    <w:rsid w:val="08EB04BC"/>
    <w:rsid w:val="08EB0609"/>
    <w:rsid w:val="08EB0610"/>
    <w:rsid w:val="08EB0619"/>
    <w:rsid w:val="08EB0633"/>
    <w:rsid w:val="08EB06AA"/>
    <w:rsid w:val="08EB079D"/>
    <w:rsid w:val="08EB07E0"/>
    <w:rsid w:val="08EB0805"/>
    <w:rsid w:val="08EB08EB"/>
    <w:rsid w:val="08EB0A34"/>
    <w:rsid w:val="08EB0A53"/>
    <w:rsid w:val="08EB0ACF"/>
    <w:rsid w:val="08EB0B24"/>
    <w:rsid w:val="08EB0B44"/>
    <w:rsid w:val="08EB0B88"/>
    <w:rsid w:val="08EB0B89"/>
    <w:rsid w:val="08EB0C60"/>
    <w:rsid w:val="08EB0C7C"/>
    <w:rsid w:val="08EB0D34"/>
    <w:rsid w:val="08EB0D42"/>
    <w:rsid w:val="08EB0DF8"/>
    <w:rsid w:val="08EB0E13"/>
    <w:rsid w:val="08EB0E4C"/>
    <w:rsid w:val="08EB0F68"/>
    <w:rsid w:val="08EB10E5"/>
    <w:rsid w:val="08EB10FE"/>
    <w:rsid w:val="08EB115E"/>
    <w:rsid w:val="08EB1165"/>
    <w:rsid w:val="08EB11C4"/>
    <w:rsid w:val="08EB11F8"/>
    <w:rsid w:val="08EB1254"/>
    <w:rsid w:val="08EB132A"/>
    <w:rsid w:val="08EB1343"/>
    <w:rsid w:val="08EB1384"/>
    <w:rsid w:val="08EB13E2"/>
    <w:rsid w:val="08EB1420"/>
    <w:rsid w:val="08EB14B3"/>
    <w:rsid w:val="08EB15D5"/>
    <w:rsid w:val="08EB15D9"/>
    <w:rsid w:val="08EB163A"/>
    <w:rsid w:val="08EB1640"/>
    <w:rsid w:val="08EB166C"/>
    <w:rsid w:val="08EB16C0"/>
    <w:rsid w:val="08EB1769"/>
    <w:rsid w:val="08EB17BD"/>
    <w:rsid w:val="08EB17E4"/>
    <w:rsid w:val="08EB17E7"/>
    <w:rsid w:val="08EB1837"/>
    <w:rsid w:val="08EB1909"/>
    <w:rsid w:val="08EB1928"/>
    <w:rsid w:val="08EB194C"/>
    <w:rsid w:val="08EB1959"/>
    <w:rsid w:val="08EB198D"/>
    <w:rsid w:val="08EB1999"/>
    <w:rsid w:val="08EB19A8"/>
    <w:rsid w:val="08EB19B4"/>
    <w:rsid w:val="08EB1C40"/>
    <w:rsid w:val="08EB1DA8"/>
    <w:rsid w:val="08EB1DC1"/>
    <w:rsid w:val="08EB1E22"/>
    <w:rsid w:val="08EB1E59"/>
    <w:rsid w:val="08EB1EB4"/>
    <w:rsid w:val="08EB1F23"/>
    <w:rsid w:val="08EB1F27"/>
    <w:rsid w:val="08EB1F62"/>
    <w:rsid w:val="08EB1FA8"/>
    <w:rsid w:val="08EB20EE"/>
    <w:rsid w:val="08EB2107"/>
    <w:rsid w:val="08EB211B"/>
    <w:rsid w:val="08EB2142"/>
    <w:rsid w:val="08EB219A"/>
    <w:rsid w:val="08EB21DF"/>
    <w:rsid w:val="08EB2217"/>
    <w:rsid w:val="08EB22B5"/>
    <w:rsid w:val="08EB22D0"/>
    <w:rsid w:val="08EB233F"/>
    <w:rsid w:val="08EB237C"/>
    <w:rsid w:val="08EB23EC"/>
    <w:rsid w:val="08EB2682"/>
    <w:rsid w:val="08EB26C6"/>
    <w:rsid w:val="08EB26D5"/>
    <w:rsid w:val="08EB26DF"/>
    <w:rsid w:val="08EB26F1"/>
    <w:rsid w:val="08EB2733"/>
    <w:rsid w:val="08EB27A7"/>
    <w:rsid w:val="08EB27DC"/>
    <w:rsid w:val="08EB2886"/>
    <w:rsid w:val="08EB2983"/>
    <w:rsid w:val="08EB29A2"/>
    <w:rsid w:val="08EB2A35"/>
    <w:rsid w:val="08EB2A7E"/>
    <w:rsid w:val="08EB2AE5"/>
    <w:rsid w:val="08EB2AEF"/>
    <w:rsid w:val="08EB2B6F"/>
    <w:rsid w:val="08EB2BF7"/>
    <w:rsid w:val="08EB2C37"/>
    <w:rsid w:val="08EB2CD7"/>
    <w:rsid w:val="08EB2DD6"/>
    <w:rsid w:val="08EB2E94"/>
    <w:rsid w:val="08EB2EB4"/>
    <w:rsid w:val="08EB2F94"/>
    <w:rsid w:val="08EB300E"/>
    <w:rsid w:val="08EB3010"/>
    <w:rsid w:val="08EB304D"/>
    <w:rsid w:val="08EB3076"/>
    <w:rsid w:val="08EB30D7"/>
    <w:rsid w:val="08EB3203"/>
    <w:rsid w:val="08EB3294"/>
    <w:rsid w:val="08EB3299"/>
    <w:rsid w:val="08EB333D"/>
    <w:rsid w:val="08EB3376"/>
    <w:rsid w:val="08EB3406"/>
    <w:rsid w:val="08EB3442"/>
    <w:rsid w:val="08EB3445"/>
    <w:rsid w:val="08EB3615"/>
    <w:rsid w:val="08EB3839"/>
    <w:rsid w:val="08EB383A"/>
    <w:rsid w:val="08EB3845"/>
    <w:rsid w:val="08EB39EA"/>
    <w:rsid w:val="08EB3A29"/>
    <w:rsid w:val="08EB3AC8"/>
    <w:rsid w:val="08EB3AD0"/>
    <w:rsid w:val="08EB3AD2"/>
    <w:rsid w:val="08EB3AE8"/>
    <w:rsid w:val="08EB3AF9"/>
    <w:rsid w:val="08EB3BA9"/>
    <w:rsid w:val="08EB3C59"/>
    <w:rsid w:val="08EB3C6B"/>
    <w:rsid w:val="08EB3C71"/>
    <w:rsid w:val="08EB3CB3"/>
    <w:rsid w:val="08EB3CDE"/>
    <w:rsid w:val="08EB3DB2"/>
    <w:rsid w:val="08EB3E38"/>
    <w:rsid w:val="08EB3EC8"/>
    <w:rsid w:val="08EB3F3A"/>
    <w:rsid w:val="08EB402E"/>
    <w:rsid w:val="08EB403F"/>
    <w:rsid w:val="08EB4058"/>
    <w:rsid w:val="08EB40DE"/>
    <w:rsid w:val="08EB40FB"/>
    <w:rsid w:val="08EB40FF"/>
    <w:rsid w:val="08EB41AD"/>
    <w:rsid w:val="08EB41B9"/>
    <w:rsid w:val="08EB421E"/>
    <w:rsid w:val="08EB4319"/>
    <w:rsid w:val="08EB4452"/>
    <w:rsid w:val="08EB448A"/>
    <w:rsid w:val="08EB44A7"/>
    <w:rsid w:val="08EB4500"/>
    <w:rsid w:val="08EB4526"/>
    <w:rsid w:val="08EB45EB"/>
    <w:rsid w:val="08EB45ED"/>
    <w:rsid w:val="08EB465D"/>
    <w:rsid w:val="08EB46B7"/>
    <w:rsid w:val="08EB470D"/>
    <w:rsid w:val="08EB4769"/>
    <w:rsid w:val="08EB493A"/>
    <w:rsid w:val="08EB49C9"/>
    <w:rsid w:val="08EB49DD"/>
    <w:rsid w:val="08EB4ABF"/>
    <w:rsid w:val="08EB4BEF"/>
    <w:rsid w:val="08EB4C40"/>
    <w:rsid w:val="08EB4CBE"/>
    <w:rsid w:val="08EB4D88"/>
    <w:rsid w:val="08EB4E3A"/>
    <w:rsid w:val="08EB4EA3"/>
    <w:rsid w:val="08EB4EEB"/>
    <w:rsid w:val="08EB4F4A"/>
    <w:rsid w:val="08EB4F9B"/>
    <w:rsid w:val="08EB5009"/>
    <w:rsid w:val="08EB5027"/>
    <w:rsid w:val="08EB503E"/>
    <w:rsid w:val="08EB5115"/>
    <w:rsid w:val="08EB511C"/>
    <w:rsid w:val="08EB5166"/>
    <w:rsid w:val="08EB51FB"/>
    <w:rsid w:val="08EB522B"/>
    <w:rsid w:val="08EB5271"/>
    <w:rsid w:val="08EB52E3"/>
    <w:rsid w:val="08EB537C"/>
    <w:rsid w:val="08EB5393"/>
    <w:rsid w:val="08EB53B7"/>
    <w:rsid w:val="08EB5532"/>
    <w:rsid w:val="08EB5546"/>
    <w:rsid w:val="08EB56AA"/>
    <w:rsid w:val="08EB56F9"/>
    <w:rsid w:val="08EB584B"/>
    <w:rsid w:val="08EB59BF"/>
    <w:rsid w:val="08EB59EB"/>
    <w:rsid w:val="08EB5A17"/>
    <w:rsid w:val="08EB5A69"/>
    <w:rsid w:val="08EB5A72"/>
    <w:rsid w:val="08EB5ADC"/>
    <w:rsid w:val="08EB5B27"/>
    <w:rsid w:val="08EB5B42"/>
    <w:rsid w:val="08EB5B47"/>
    <w:rsid w:val="08EB5BE8"/>
    <w:rsid w:val="08EB5C42"/>
    <w:rsid w:val="08EB5C6B"/>
    <w:rsid w:val="08EB5C88"/>
    <w:rsid w:val="08EB5CE9"/>
    <w:rsid w:val="08EB5CF9"/>
    <w:rsid w:val="08EB5D6C"/>
    <w:rsid w:val="08EB5DA6"/>
    <w:rsid w:val="08EB5DB6"/>
    <w:rsid w:val="08EB5DE9"/>
    <w:rsid w:val="08EB5E16"/>
    <w:rsid w:val="08EB5EC9"/>
    <w:rsid w:val="08EB5F2E"/>
    <w:rsid w:val="08EB5F37"/>
    <w:rsid w:val="08EB5F3D"/>
    <w:rsid w:val="08EB618E"/>
    <w:rsid w:val="08EB6266"/>
    <w:rsid w:val="08EB6290"/>
    <w:rsid w:val="08EB63CA"/>
    <w:rsid w:val="08EB6461"/>
    <w:rsid w:val="08EB6491"/>
    <w:rsid w:val="08EB649A"/>
    <w:rsid w:val="08EB64B4"/>
    <w:rsid w:val="08EB64EC"/>
    <w:rsid w:val="08EB6590"/>
    <w:rsid w:val="08EB65F8"/>
    <w:rsid w:val="08EB66E2"/>
    <w:rsid w:val="08EB66E6"/>
    <w:rsid w:val="08EB66EE"/>
    <w:rsid w:val="08EB676E"/>
    <w:rsid w:val="08EB682E"/>
    <w:rsid w:val="08EB68BD"/>
    <w:rsid w:val="08EB6AAC"/>
    <w:rsid w:val="08EB6AB6"/>
    <w:rsid w:val="08EB6ABD"/>
    <w:rsid w:val="08EB6B23"/>
    <w:rsid w:val="08EB6B33"/>
    <w:rsid w:val="08EB6C3E"/>
    <w:rsid w:val="08EB6CC7"/>
    <w:rsid w:val="08EB6DC6"/>
    <w:rsid w:val="08EB6DFC"/>
    <w:rsid w:val="08EB6EA8"/>
    <w:rsid w:val="08EB6F93"/>
    <w:rsid w:val="08EB6FB7"/>
    <w:rsid w:val="08EB7070"/>
    <w:rsid w:val="08EB70CB"/>
    <w:rsid w:val="08EB70D1"/>
    <w:rsid w:val="08EB713E"/>
    <w:rsid w:val="08EB7256"/>
    <w:rsid w:val="08EB7276"/>
    <w:rsid w:val="08EB72D5"/>
    <w:rsid w:val="08EB72E5"/>
    <w:rsid w:val="08EB72EA"/>
    <w:rsid w:val="08EB72F8"/>
    <w:rsid w:val="08EB7301"/>
    <w:rsid w:val="08EB7304"/>
    <w:rsid w:val="08EB731F"/>
    <w:rsid w:val="08EB73CD"/>
    <w:rsid w:val="08EB73F8"/>
    <w:rsid w:val="08EB7451"/>
    <w:rsid w:val="08EB7557"/>
    <w:rsid w:val="08EB7589"/>
    <w:rsid w:val="08EB75B0"/>
    <w:rsid w:val="08EB7621"/>
    <w:rsid w:val="08EB7626"/>
    <w:rsid w:val="08EB7627"/>
    <w:rsid w:val="08EB762C"/>
    <w:rsid w:val="08EB76A2"/>
    <w:rsid w:val="08EB774E"/>
    <w:rsid w:val="08EB7796"/>
    <w:rsid w:val="08EB77B5"/>
    <w:rsid w:val="08EB78A7"/>
    <w:rsid w:val="08EB7925"/>
    <w:rsid w:val="08EB798C"/>
    <w:rsid w:val="08EB79A6"/>
    <w:rsid w:val="08EB79D1"/>
    <w:rsid w:val="08EB7A2A"/>
    <w:rsid w:val="08EB7ACF"/>
    <w:rsid w:val="08EB7C4F"/>
    <w:rsid w:val="08EB7CF2"/>
    <w:rsid w:val="08EB7CF7"/>
    <w:rsid w:val="08EB7CFE"/>
    <w:rsid w:val="08EB7F1C"/>
    <w:rsid w:val="08EB7FB3"/>
    <w:rsid w:val="08EC0008"/>
    <w:rsid w:val="08EC00F6"/>
    <w:rsid w:val="08EC0187"/>
    <w:rsid w:val="08EC01B7"/>
    <w:rsid w:val="08EC02E9"/>
    <w:rsid w:val="08EC0341"/>
    <w:rsid w:val="08EC03DA"/>
    <w:rsid w:val="08EC046F"/>
    <w:rsid w:val="08EC0518"/>
    <w:rsid w:val="08EC0520"/>
    <w:rsid w:val="08EC0541"/>
    <w:rsid w:val="08EC056B"/>
    <w:rsid w:val="08EC05C3"/>
    <w:rsid w:val="08EC061A"/>
    <w:rsid w:val="08EC0695"/>
    <w:rsid w:val="08EC0762"/>
    <w:rsid w:val="08EC07F4"/>
    <w:rsid w:val="08EC0896"/>
    <w:rsid w:val="08EC0979"/>
    <w:rsid w:val="08EC09DF"/>
    <w:rsid w:val="08EC09E8"/>
    <w:rsid w:val="08EC09FA"/>
    <w:rsid w:val="08EC0B20"/>
    <w:rsid w:val="08EC0BD2"/>
    <w:rsid w:val="08EC0C2E"/>
    <w:rsid w:val="08EC0D11"/>
    <w:rsid w:val="08EC0D33"/>
    <w:rsid w:val="08EC0ECC"/>
    <w:rsid w:val="08EC114C"/>
    <w:rsid w:val="08EC125D"/>
    <w:rsid w:val="08EC1284"/>
    <w:rsid w:val="08EC12C9"/>
    <w:rsid w:val="08EC12CE"/>
    <w:rsid w:val="08EC1331"/>
    <w:rsid w:val="08EC13BC"/>
    <w:rsid w:val="08EC1454"/>
    <w:rsid w:val="08EC1475"/>
    <w:rsid w:val="08EC14A4"/>
    <w:rsid w:val="08EC14AF"/>
    <w:rsid w:val="08EC14CF"/>
    <w:rsid w:val="08EC14FB"/>
    <w:rsid w:val="08EC1531"/>
    <w:rsid w:val="08EC15AB"/>
    <w:rsid w:val="08EC15B5"/>
    <w:rsid w:val="08EC15E1"/>
    <w:rsid w:val="08EC1639"/>
    <w:rsid w:val="08EC16CB"/>
    <w:rsid w:val="08EC17ED"/>
    <w:rsid w:val="08EC1805"/>
    <w:rsid w:val="08EC1914"/>
    <w:rsid w:val="08EC1919"/>
    <w:rsid w:val="08EC192C"/>
    <w:rsid w:val="08EC199F"/>
    <w:rsid w:val="08EC1A3C"/>
    <w:rsid w:val="08EC1A87"/>
    <w:rsid w:val="08EC1AB5"/>
    <w:rsid w:val="08EC1ADA"/>
    <w:rsid w:val="08EC1ADD"/>
    <w:rsid w:val="08EC1B0F"/>
    <w:rsid w:val="08EC1B5F"/>
    <w:rsid w:val="08EC1BD7"/>
    <w:rsid w:val="08EC1C77"/>
    <w:rsid w:val="08EC1D05"/>
    <w:rsid w:val="08EC1D82"/>
    <w:rsid w:val="08EC1DFB"/>
    <w:rsid w:val="08EC1F3E"/>
    <w:rsid w:val="08EC1F76"/>
    <w:rsid w:val="08EC1F8A"/>
    <w:rsid w:val="08EC2092"/>
    <w:rsid w:val="08EC20D3"/>
    <w:rsid w:val="08EC212A"/>
    <w:rsid w:val="08EC22AD"/>
    <w:rsid w:val="08EC234D"/>
    <w:rsid w:val="08EC2356"/>
    <w:rsid w:val="08EC23E5"/>
    <w:rsid w:val="08EC241B"/>
    <w:rsid w:val="08EC2424"/>
    <w:rsid w:val="08EC2490"/>
    <w:rsid w:val="08EC263B"/>
    <w:rsid w:val="08EC2698"/>
    <w:rsid w:val="08EC26DA"/>
    <w:rsid w:val="08EC271F"/>
    <w:rsid w:val="08EC27CA"/>
    <w:rsid w:val="08EC294D"/>
    <w:rsid w:val="08EC2960"/>
    <w:rsid w:val="08EC29D4"/>
    <w:rsid w:val="08EC2A5C"/>
    <w:rsid w:val="08EC2BDF"/>
    <w:rsid w:val="08EC2D34"/>
    <w:rsid w:val="08EC2DDC"/>
    <w:rsid w:val="08EC2E76"/>
    <w:rsid w:val="08EC2EEF"/>
    <w:rsid w:val="08EC2F41"/>
    <w:rsid w:val="08EC2F42"/>
    <w:rsid w:val="08EC2FC2"/>
    <w:rsid w:val="08EC2FDB"/>
    <w:rsid w:val="08EC302C"/>
    <w:rsid w:val="08EC307C"/>
    <w:rsid w:val="08EC3087"/>
    <w:rsid w:val="08EC30BB"/>
    <w:rsid w:val="08EC3172"/>
    <w:rsid w:val="08EC3191"/>
    <w:rsid w:val="08EC31A8"/>
    <w:rsid w:val="08EC31CF"/>
    <w:rsid w:val="08EC31D0"/>
    <w:rsid w:val="08EC31D3"/>
    <w:rsid w:val="08EC3290"/>
    <w:rsid w:val="08EC3329"/>
    <w:rsid w:val="08EC333F"/>
    <w:rsid w:val="08EC3432"/>
    <w:rsid w:val="08EC346B"/>
    <w:rsid w:val="08EC351C"/>
    <w:rsid w:val="08EC35AA"/>
    <w:rsid w:val="08EC36C7"/>
    <w:rsid w:val="08EC36E1"/>
    <w:rsid w:val="08EC37E8"/>
    <w:rsid w:val="08EC3846"/>
    <w:rsid w:val="08EC38F7"/>
    <w:rsid w:val="08EC3A40"/>
    <w:rsid w:val="08EC3B37"/>
    <w:rsid w:val="08EC3C37"/>
    <w:rsid w:val="08EC3D0D"/>
    <w:rsid w:val="08EC3D22"/>
    <w:rsid w:val="08EC3D27"/>
    <w:rsid w:val="08EC3D5D"/>
    <w:rsid w:val="08EC3DAD"/>
    <w:rsid w:val="08EC3DD6"/>
    <w:rsid w:val="08EC3E03"/>
    <w:rsid w:val="08EC3E13"/>
    <w:rsid w:val="08EC3ED0"/>
    <w:rsid w:val="08EC3ED9"/>
    <w:rsid w:val="08EC3EE7"/>
    <w:rsid w:val="08EC3EFF"/>
    <w:rsid w:val="08EC4058"/>
    <w:rsid w:val="08EC40D6"/>
    <w:rsid w:val="08EC40E6"/>
    <w:rsid w:val="08EC40EC"/>
    <w:rsid w:val="08EC4115"/>
    <w:rsid w:val="08EC4130"/>
    <w:rsid w:val="08EC4140"/>
    <w:rsid w:val="08EC4148"/>
    <w:rsid w:val="08EC418E"/>
    <w:rsid w:val="08EC4192"/>
    <w:rsid w:val="08EC431E"/>
    <w:rsid w:val="08EC4339"/>
    <w:rsid w:val="08EC433E"/>
    <w:rsid w:val="08EC4364"/>
    <w:rsid w:val="08EC4366"/>
    <w:rsid w:val="08EC4367"/>
    <w:rsid w:val="08EC43E4"/>
    <w:rsid w:val="08EC448C"/>
    <w:rsid w:val="08EC4492"/>
    <w:rsid w:val="08EC44F9"/>
    <w:rsid w:val="08EC4528"/>
    <w:rsid w:val="08EC481C"/>
    <w:rsid w:val="08EC4850"/>
    <w:rsid w:val="08EC489D"/>
    <w:rsid w:val="08EC48F8"/>
    <w:rsid w:val="08EC4917"/>
    <w:rsid w:val="08EC497D"/>
    <w:rsid w:val="08EC4981"/>
    <w:rsid w:val="08EC49EC"/>
    <w:rsid w:val="08EC4A18"/>
    <w:rsid w:val="08EC4AC3"/>
    <w:rsid w:val="08EC4B31"/>
    <w:rsid w:val="08EC4B66"/>
    <w:rsid w:val="08EC4B79"/>
    <w:rsid w:val="08EC4CA4"/>
    <w:rsid w:val="08EC4D11"/>
    <w:rsid w:val="08EC4D55"/>
    <w:rsid w:val="08EC4D69"/>
    <w:rsid w:val="08EC4D9C"/>
    <w:rsid w:val="08EC4E3A"/>
    <w:rsid w:val="08EC4E44"/>
    <w:rsid w:val="08EC4E5A"/>
    <w:rsid w:val="08EC4EED"/>
    <w:rsid w:val="08EC4EF9"/>
    <w:rsid w:val="08EC5036"/>
    <w:rsid w:val="08EC5094"/>
    <w:rsid w:val="08EC509D"/>
    <w:rsid w:val="08EC50DA"/>
    <w:rsid w:val="08EC5158"/>
    <w:rsid w:val="08EC51BA"/>
    <w:rsid w:val="08EC51E0"/>
    <w:rsid w:val="08EC521B"/>
    <w:rsid w:val="08EC521F"/>
    <w:rsid w:val="08EC5317"/>
    <w:rsid w:val="08EC5385"/>
    <w:rsid w:val="08EC5415"/>
    <w:rsid w:val="08EC5486"/>
    <w:rsid w:val="08EC54BA"/>
    <w:rsid w:val="08EC558F"/>
    <w:rsid w:val="08EC55F6"/>
    <w:rsid w:val="08EC5635"/>
    <w:rsid w:val="08EC5770"/>
    <w:rsid w:val="08EC5827"/>
    <w:rsid w:val="08EC5875"/>
    <w:rsid w:val="08EC5877"/>
    <w:rsid w:val="08EC587C"/>
    <w:rsid w:val="08EC595B"/>
    <w:rsid w:val="08EC59D9"/>
    <w:rsid w:val="08EC5AD7"/>
    <w:rsid w:val="08EC5B19"/>
    <w:rsid w:val="08EC5B4D"/>
    <w:rsid w:val="08EC5B73"/>
    <w:rsid w:val="08EC5B9B"/>
    <w:rsid w:val="08EC5C0B"/>
    <w:rsid w:val="08EC5C78"/>
    <w:rsid w:val="08EC5CB6"/>
    <w:rsid w:val="08EC5CFC"/>
    <w:rsid w:val="08EC5EA0"/>
    <w:rsid w:val="08EC5F4E"/>
    <w:rsid w:val="08EC604F"/>
    <w:rsid w:val="08EC609C"/>
    <w:rsid w:val="08EC6160"/>
    <w:rsid w:val="08EC61AC"/>
    <w:rsid w:val="08EC6208"/>
    <w:rsid w:val="08EC6302"/>
    <w:rsid w:val="08EC6328"/>
    <w:rsid w:val="08EC63C3"/>
    <w:rsid w:val="08EC63EE"/>
    <w:rsid w:val="08EC6440"/>
    <w:rsid w:val="08EC64EE"/>
    <w:rsid w:val="08EC64F1"/>
    <w:rsid w:val="08EC6643"/>
    <w:rsid w:val="08EC669A"/>
    <w:rsid w:val="08EC66B2"/>
    <w:rsid w:val="08EC676D"/>
    <w:rsid w:val="08EC6859"/>
    <w:rsid w:val="08EC6872"/>
    <w:rsid w:val="08EC6ACB"/>
    <w:rsid w:val="08EC6B10"/>
    <w:rsid w:val="08EC6B39"/>
    <w:rsid w:val="08EC6C0B"/>
    <w:rsid w:val="08EC6CEA"/>
    <w:rsid w:val="08EC6DDB"/>
    <w:rsid w:val="08EC6DE8"/>
    <w:rsid w:val="08EC6F5F"/>
    <w:rsid w:val="08EC6F7B"/>
    <w:rsid w:val="08EC6FC4"/>
    <w:rsid w:val="08EC7016"/>
    <w:rsid w:val="08EC7017"/>
    <w:rsid w:val="08EC7036"/>
    <w:rsid w:val="08EC70CA"/>
    <w:rsid w:val="08EC7132"/>
    <w:rsid w:val="08EC7146"/>
    <w:rsid w:val="08EC7177"/>
    <w:rsid w:val="08EC7255"/>
    <w:rsid w:val="08EC744F"/>
    <w:rsid w:val="08EC74D1"/>
    <w:rsid w:val="08EC7504"/>
    <w:rsid w:val="08EC7524"/>
    <w:rsid w:val="08EC75C8"/>
    <w:rsid w:val="08EC75E4"/>
    <w:rsid w:val="08EC7603"/>
    <w:rsid w:val="08EC7644"/>
    <w:rsid w:val="08EC7695"/>
    <w:rsid w:val="08EC76E9"/>
    <w:rsid w:val="08EC779D"/>
    <w:rsid w:val="08EC7884"/>
    <w:rsid w:val="08EC78EC"/>
    <w:rsid w:val="08EC7962"/>
    <w:rsid w:val="08EC79AC"/>
    <w:rsid w:val="08EC79E8"/>
    <w:rsid w:val="08EC7A13"/>
    <w:rsid w:val="08EC7A14"/>
    <w:rsid w:val="08EC7A33"/>
    <w:rsid w:val="08EC7A48"/>
    <w:rsid w:val="08EC7A4F"/>
    <w:rsid w:val="08EC7A70"/>
    <w:rsid w:val="08EC7ADE"/>
    <w:rsid w:val="08EC7B48"/>
    <w:rsid w:val="08EC7B60"/>
    <w:rsid w:val="08EC7B6D"/>
    <w:rsid w:val="08EC7B72"/>
    <w:rsid w:val="08EC7BF9"/>
    <w:rsid w:val="08EC7CFF"/>
    <w:rsid w:val="08EC7D04"/>
    <w:rsid w:val="08EC7DC5"/>
    <w:rsid w:val="08EC7EBC"/>
    <w:rsid w:val="08EC7F02"/>
    <w:rsid w:val="08ED0081"/>
    <w:rsid w:val="08ED00C0"/>
    <w:rsid w:val="08ED00C5"/>
    <w:rsid w:val="08ED018C"/>
    <w:rsid w:val="08ED0195"/>
    <w:rsid w:val="08ED01A8"/>
    <w:rsid w:val="08ED021F"/>
    <w:rsid w:val="08ED0224"/>
    <w:rsid w:val="08ED023B"/>
    <w:rsid w:val="08ED0253"/>
    <w:rsid w:val="08ED0257"/>
    <w:rsid w:val="08ED0349"/>
    <w:rsid w:val="08ED034D"/>
    <w:rsid w:val="08ED039E"/>
    <w:rsid w:val="08ED03B2"/>
    <w:rsid w:val="08ED0506"/>
    <w:rsid w:val="08ED05B2"/>
    <w:rsid w:val="08ED063E"/>
    <w:rsid w:val="08ED065F"/>
    <w:rsid w:val="08ED0689"/>
    <w:rsid w:val="08ED06C9"/>
    <w:rsid w:val="08ED0739"/>
    <w:rsid w:val="08ED07ED"/>
    <w:rsid w:val="08ED084D"/>
    <w:rsid w:val="08ED08C7"/>
    <w:rsid w:val="08ED0920"/>
    <w:rsid w:val="08ED093E"/>
    <w:rsid w:val="08ED0993"/>
    <w:rsid w:val="08ED09E2"/>
    <w:rsid w:val="08ED09FD"/>
    <w:rsid w:val="08ED0A99"/>
    <w:rsid w:val="08ED0AD8"/>
    <w:rsid w:val="08ED0B08"/>
    <w:rsid w:val="08ED0B24"/>
    <w:rsid w:val="08ED0B3F"/>
    <w:rsid w:val="08ED0B48"/>
    <w:rsid w:val="08ED0D7A"/>
    <w:rsid w:val="08ED0DA0"/>
    <w:rsid w:val="08ED0DA5"/>
    <w:rsid w:val="08ED0E42"/>
    <w:rsid w:val="08ED0F68"/>
    <w:rsid w:val="08ED0F8D"/>
    <w:rsid w:val="08ED100A"/>
    <w:rsid w:val="08ED1033"/>
    <w:rsid w:val="08ED1121"/>
    <w:rsid w:val="08ED128D"/>
    <w:rsid w:val="08ED12B2"/>
    <w:rsid w:val="08ED1307"/>
    <w:rsid w:val="08ED130C"/>
    <w:rsid w:val="08ED1313"/>
    <w:rsid w:val="08ED13A8"/>
    <w:rsid w:val="08ED14CA"/>
    <w:rsid w:val="08ED14F5"/>
    <w:rsid w:val="08ED153F"/>
    <w:rsid w:val="08ED160D"/>
    <w:rsid w:val="08ED1650"/>
    <w:rsid w:val="08ED16A2"/>
    <w:rsid w:val="08ED16B5"/>
    <w:rsid w:val="08ED17AB"/>
    <w:rsid w:val="08ED1843"/>
    <w:rsid w:val="08ED18A8"/>
    <w:rsid w:val="08ED18B9"/>
    <w:rsid w:val="08ED18ED"/>
    <w:rsid w:val="08ED1926"/>
    <w:rsid w:val="08ED19A7"/>
    <w:rsid w:val="08ED1A1A"/>
    <w:rsid w:val="08ED1A4A"/>
    <w:rsid w:val="08ED1A51"/>
    <w:rsid w:val="08ED1A5F"/>
    <w:rsid w:val="08ED1AB7"/>
    <w:rsid w:val="08ED1AD8"/>
    <w:rsid w:val="08ED1C85"/>
    <w:rsid w:val="08ED1CA0"/>
    <w:rsid w:val="08ED1CF6"/>
    <w:rsid w:val="08ED1D41"/>
    <w:rsid w:val="08ED1D42"/>
    <w:rsid w:val="08ED1D58"/>
    <w:rsid w:val="08ED1D81"/>
    <w:rsid w:val="08ED1E16"/>
    <w:rsid w:val="08ED1EC2"/>
    <w:rsid w:val="08ED1EC4"/>
    <w:rsid w:val="08ED1ED9"/>
    <w:rsid w:val="08ED1FC3"/>
    <w:rsid w:val="08ED1FC5"/>
    <w:rsid w:val="08ED2081"/>
    <w:rsid w:val="08ED20E3"/>
    <w:rsid w:val="08ED210C"/>
    <w:rsid w:val="08ED2190"/>
    <w:rsid w:val="08ED2298"/>
    <w:rsid w:val="08ED2336"/>
    <w:rsid w:val="08ED2467"/>
    <w:rsid w:val="08ED246A"/>
    <w:rsid w:val="08ED2511"/>
    <w:rsid w:val="08ED254E"/>
    <w:rsid w:val="08ED2647"/>
    <w:rsid w:val="08ED275A"/>
    <w:rsid w:val="08ED27C7"/>
    <w:rsid w:val="08ED27E1"/>
    <w:rsid w:val="08ED2810"/>
    <w:rsid w:val="08ED2822"/>
    <w:rsid w:val="08ED2891"/>
    <w:rsid w:val="08ED296F"/>
    <w:rsid w:val="08ED2A55"/>
    <w:rsid w:val="08ED2AA3"/>
    <w:rsid w:val="08ED2BF5"/>
    <w:rsid w:val="08ED2CA5"/>
    <w:rsid w:val="08ED2CCF"/>
    <w:rsid w:val="08ED2D82"/>
    <w:rsid w:val="08ED2E45"/>
    <w:rsid w:val="08ED2EA4"/>
    <w:rsid w:val="08ED2FA1"/>
    <w:rsid w:val="08ED2FA5"/>
    <w:rsid w:val="08ED2FA6"/>
    <w:rsid w:val="08ED3043"/>
    <w:rsid w:val="08ED307D"/>
    <w:rsid w:val="08ED312E"/>
    <w:rsid w:val="08ED31B9"/>
    <w:rsid w:val="08ED3360"/>
    <w:rsid w:val="08ED3382"/>
    <w:rsid w:val="08ED3398"/>
    <w:rsid w:val="08ED34C7"/>
    <w:rsid w:val="08ED34DB"/>
    <w:rsid w:val="08ED3531"/>
    <w:rsid w:val="08ED3541"/>
    <w:rsid w:val="08ED365B"/>
    <w:rsid w:val="08ED3758"/>
    <w:rsid w:val="08ED3764"/>
    <w:rsid w:val="08ED3774"/>
    <w:rsid w:val="08ED37B7"/>
    <w:rsid w:val="08ED3831"/>
    <w:rsid w:val="08ED385E"/>
    <w:rsid w:val="08ED38CC"/>
    <w:rsid w:val="08ED3903"/>
    <w:rsid w:val="08ED390C"/>
    <w:rsid w:val="08ED3932"/>
    <w:rsid w:val="08ED39AF"/>
    <w:rsid w:val="08ED3A7F"/>
    <w:rsid w:val="08ED3B07"/>
    <w:rsid w:val="08ED3B80"/>
    <w:rsid w:val="08ED3CD0"/>
    <w:rsid w:val="08ED3CF5"/>
    <w:rsid w:val="08ED3D3B"/>
    <w:rsid w:val="08ED3D3D"/>
    <w:rsid w:val="08ED3D86"/>
    <w:rsid w:val="08ED3E81"/>
    <w:rsid w:val="08ED3ED5"/>
    <w:rsid w:val="08ED3F14"/>
    <w:rsid w:val="08ED3F1B"/>
    <w:rsid w:val="08ED3F9D"/>
    <w:rsid w:val="08ED4013"/>
    <w:rsid w:val="08ED402B"/>
    <w:rsid w:val="08ED4054"/>
    <w:rsid w:val="08ED4199"/>
    <w:rsid w:val="08ED4273"/>
    <w:rsid w:val="08ED4372"/>
    <w:rsid w:val="08ED454D"/>
    <w:rsid w:val="08ED45DC"/>
    <w:rsid w:val="08ED46E1"/>
    <w:rsid w:val="08ED4720"/>
    <w:rsid w:val="08ED47E3"/>
    <w:rsid w:val="08ED47ED"/>
    <w:rsid w:val="08ED4855"/>
    <w:rsid w:val="08ED4945"/>
    <w:rsid w:val="08ED4A15"/>
    <w:rsid w:val="08ED4AD1"/>
    <w:rsid w:val="08ED4AE2"/>
    <w:rsid w:val="08ED4B51"/>
    <w:rsid w:val="08ED4BA3"/>
    <w:rsid w:val="08ED4C10"/>
    <w:rsid w:val="08ED4D17"/>
    <w:rsid w:val="08ED4EA8"/>
    <w:rsid w:val="08ED5079"/>
    <w:rsid w:val="08ED50E4"/>
    <w:rsid w:val="08ED5126"/>
    <w:rsid w:val="08ED5164"/>
    <w:rsid w:val="08ED519D"/>
    <w:rsid w:val="08ED51AD"/>
    <w:rsid w:val="08ED5223"/>
    <w:rsid w:val="08ED52A5"/>
    <w:rsid w:val="08ED5339"/>
    <w:rsid w:val="08ED5372"/>
    <w:rsid w:val="08ED5382"/>
    <w:rsid w:val="08ED5383"/>
    <w:rsid w:val="08ED5469"/>
    <w:rsid w:val="08ED5666"/>
    <w:rsid w:val="08ED56BF"/>
    <w:rsid w:val="08ED572E"/>
    <w:rsid w:val="08ED57E4"/>
    <w:rsid w:val="08ED57E9"/>
    <w:rsid w:val="08ED596A"/>
    <w:rsid w:val="08ED5988"/>
    <w:rsid w:val="08ED5989"/>
    <w:rsid w:val="08ED59D3"/>
    <w:rsid w:val="08ED59F1"/>
    <w:rsid w:val="08ED5C3B"/>
    <w:rsid w:val="08ED5CB1"/>
    <w:rsid w:val="08ED5CDB"/>
    <w:rsid w:val="08ED5D38"/>
    <w:rsid w:val="08ED5E70"/>
    <w:rsid w:val="08ED5E91"/>
    <w:rsid w:val="08ED5EA4"/>
    <w:rsid w:val="08ED5F3C"/>
    <w:rsid w:val="08ED6229"/>
    <w:rsid w:val="08ED644D"/>
    <w:rsid w:val="08ED6587"/>
    <w:rsid w:val="08ED6600"/>
    <w:rsid w:val="08ED665A"/>
    <w:rsid w:val="08ED666C"/>
    <w:rsid w:val="08ED6672"/>
    <w:rsid w:val="08ED6682"/>
    <w:rsid w:val="08ED66E7"/>
    <w:rsid w:val="08ED66F4"/>
    <w:rsid w:val="08ED6750"/>
    <w:rsid w:val="08ED683A"/>
    <w:rsid w:val="08ED68D1"/>
    <w:rsid w:val="08ED6902"/>
    <w:rsid w:val="08ED690E"/>
    <w:rsid w:val="08ED691C"/>
    <w:rsid w:val="08ED6967"/>
    <w:rsid w:val="08ED69BA"/>
    <w:rsid w:val="08ED69EA"/>
    <w:rsid w:val="08ED6ADA"/>
    <w:rsid w:val="08ED6B0F"/>
    <w:rsid w:val="08ED6B75"/>
    <w:rsid w:val="08ED6BBC"/>
    <w:rsid w:val="08ED6BE8"/>
    <w:rsid w:val="08ED6BE9"/>
    <w:rsid w:val="08ED6C2A"/>
    <w:rsid w:val="08ED6C40"/>
    <w:rsid w:val="08ED6C45"/>
    <w:rsid w:val="08ED6C8C"/>
    <w:rsid w:val="08ED6D21"/>
    <w:rsid w:val="08ED6DEF"/>
    <w:rsid w:val="08ED6EF1"/>
    <w:rsid w:val="08ED6FA6"/>
    <w:rsid w:val="08ED7026"/>
    <w:rsid w:val="08ED7059"/>
    <w:rsid w:val="08ED7071"/>
    <w:rsid w:val="08ED7092"/>
    <w:rsid w:val="08ED70B4"/>
    <w:rsid w:val="08ED7135"/>
    <w:rsid w:val="08ED71F0"/>
    <w:rsid w:val="08ED73FB"/>
    <w:rsid w:val="08ED741B"/>
    <w:rsid w:val="08ED744A"/>
    <w:rsid w:val="08ED74BB"/>
    <w:rsid w:val="08ED750D"/>
    <w:rsid w:val="08ED7510"/>
    <w:rsid w:val="08ED7518"/>
    <w:rsid w:val="08ED756D"/>
    <w:rsid w:val="08ED764B"/>
    <w:rsid w:val="08ED7692"/>
    <w:rsid w:val="08ED76C3"/>
    <w:rsid w:val="08ED7704"/>
    <w:rsid w:val="08ED7737"/>
    <w:rsid w:val="08ED7821"/>
    <w:rsid w:val="08ED782F"/>
    <w:rsid w:val="08ED7849"/>
    <w:rsid w:val="08ED785F"/>
    <w:rsid w:val="08ED7875"/>
    <w:rsid w:val="08ED79DF"/>
    <w:rsid w:val="08ED7AB4"/>
    <w:rsid w:val="08ED7AFB"/>
    <w:rsid w:val="08ED7B3B"/>
    <w:rsid w:val="08ED7B48"/>
    <w:rsid w:val="08ED7B73"/>
    <w:rsid w:val="08ED7B9F"/>
    <w:rsid w:val="08ED7D30"/>
    <w:rsid w:val="08ED7D53"/>
    <w:rsid w:val="08ED7E09"/>
    <w:rsid w:val="08ED7E9F"/>
    <w:rsid w:val="08ED7ECF"/>
    <w:rsid w:val="08ED7F03"/>
    <w:rsid w:val="08ED7F12"/>
    <w:rsid w:val="08ED7FEA"/>
    <w:rsid w:val="08EE0082"/>
    <w:rsid w:val="08EE009C"/>
    <w:rsid w:val="08EE00C4"/>
    <w:rsid w:val="08EE01AB"/>
    <w:rsid w:val="08EE01E5"/>
    <w:rsid w:val="08EE01E6"/>
    <w:rsid w:val="08EE02AA"/>
    <w:rsid w:val="08EE0379"/>
    <w:rsid w:val="08EE03A6"/>
    <w:rsid w:val="08EE03CE"/>
    <w:rsid w:val="08EE03F2"/>
    <w:rsid w:val="08EE044A"/>
    <w:rsid w:val="08EE04EE"/>
    <w:rsid w:val="08EE0591"/>
    <w:rsid w:val="08EE05C3"/>
    <w:rsid w:val="08EE0613"/>
    <w:rsid w:val="08EE0695"/>
    <w:rsid w:val="08EE06D5"/>
    <w:rsid w:val="08EE06E0"/>
    <w:rsid w:val="08EE0738"/>
    <w:rsid w:val="08EE07FC"/>
    <w:rsid w:val="08EE08D6"/>
    <w:rsid w:val="08EE0982"/>
    <w:rsid w:val="08EE09D4"/>
    <w:rsid w:val="08EE09DB"/>
    <w:rsid w:val="08EE0A2F"/>
    <w:rsid w:val="08EE0A3C"/>
    <w:rsid w:val="08EE0AD6"/>
    <w:rsid w:val="08EE0B4D"/>
    <w:rsid w:val="08EE0C36"/>
    <w:rsid w:val="08EE0C52"/>
    <w:rsid w:val="08EE0CCF"/>
    <w:rsid w:val="08EE0D85"/>
    <w:rsid w:val="08EE0DA9"/>
    <w:rsid w:val="08EE0ECB"/>
    <w:rsid w:val="08EE0F3B"/>
    <w:rsid w:val="08EE0F93"/>
    <w:rsid w:val="08EE0FC7"/>
    <w:rsid w:val="08EE0FD6"/>
    <w:rsid w:val="08EE1045"/>
    <w:rsid w:val="08EE107C"/>
    <w:rsid w:val="08EE1107"/>
    <w:rsid w:val="08EE11A8"/>
    <w:rsid w:val="08EE11CA"/>
    <w:rsid w:val="08EE11CB"/>
    <w:rsid w:val="08EE11D4"/>
    <w:rsid w:val="08EE1257"/>
    <w:rsid w:val="08EE1264"/>
    <w:rsid w:val="08EE131C"/>
    <w:rsid w:val="08EE1359"/>
    <w:rsid w:val="08EE144E"/>
    <w:rsid w:val="08EE149E"/>
    <w:rsid w:val="08EE1558"/>
    <w:rsid w:val="08EE16B4"/>
    <w:rsid w:val="08EE17A4"/>
    <w:rsid w:val="08EE17E2"/>
    <w:rsid w:val="08EE1824"/>
    <w:rsid w:val="08EE1889"/>
    <w:rsid w:val="08EE1996"/>
    <w:rsid w:val="08EE1A55"/>
    <w:rsid w:val="08EE1C32"/>
    <w:rsid w:val="08EE1C5E"/>
    <w:rsid w:val="08EE1C6E"/>
    <w:rsid w:val="08EE1C9F"/>
    <w:rsid w:val="08EE1E59"/>
    <w:rsid w:val="08EE1E5E"/>
    <w:rsid w:val="08EE1EDD"/>
    <w:rsid w:val="08EE1EDF"/>
    <w:rsid w:val="08EE1EF7"/>
    <w:rsid w:val="08EE1FC9"/>
    <w:rsid w:val="08EE2023"/>
    <w:rsid w:val="08EE20A5"/>
    <w:rsid w:val="08EE2103"/>
    <w:rsid w:val="08EE2171"/>
    <w:rsid w:val="08EE2187"/>
    <w:rsid w:val="08EE21AA"/>
    <w:rsid w:val="08EE2281"/>
    <w:rsid w:val="08EE22BB"/>
    <w:rsid w:val="08EE23C1"/>
    <w:rsid w:val="08EE241E"/>
    <w:rsid w:val="08EE2463"/>
    <w:rsid w:val="08EE24A1"/>
    <w:rsid w:val="08EE24C1"/>
    <w:rsid w:val="08EE2518"/>
    <w:rsid w:val="08EE2525"/>
    <w:rsid w:val="08EE256A"/>
    <w:rsid w:val="08EE259A"/>
    <w:rsid w:val="08EE26BE"/>
    <w:rsid w:val="08EE26DE"/>
    <w:rsid w:val="08EE2746"/>
    <w:rsid w:val="08EE282B"/>
    <w:rsid w:val="08EE286B"/>
    <w:rsid w:val="08EE2988"/>
    <w:rsid w:val="08EE2A0A"/>
    <w:rsid w:val="08EE2A61"/>
    <w:rsid w:val="08EE2AB4"/>
    <w:rsid w:val="08EE2B08"/>
    <w:rsid w:val="08EE2BC1"/>
    <w:rsid w:val="08EE2D35"/>
    <w:rsid w:val="08EE2DE6"/>
    <w:rsid w:val="08EE2E2E"/>
    <w:rsid w:val="08EE2E99"/>
    <w:rsid w:val="08EE2EA9"/>
    <w:rsid w:val="08EE2F03"/>
    <w:rsid w:val="08EE2F2B"/>
    <w:rsid w:val="08EE2F30"/>
    <w:rsid w:val="08EE2F88"/>
    <w:rsid w:val="08EE2FE5"/>
    <w:rsid w:val="08EE3098"/>
    <w:rsid w:val="08EE3178"/>
    <w:rsid w:val="08EE31CA"/>
    <w:rsid w:val="08EE322E"/>
    <w:rsid w:val="08EE3240"/>
    <w:rsid w:val="08EE32B4"/>
    <w:rsid w:val="08EE33EB"/>
    <w:rsid w:val="08EE33FA"/>
    <w:rsid w:val="08EE3405"/>
    <w:rsid w:val="08EE3419"/>
    <w:rsid w:val="08EE3479"/>
    <w:rsid w:val="08EE348B"/>
    <w:rsid w:val="08EE3653"/>
    <w:rsid w:val="08EE36C0"/>
    <w:rsid w:val="08EE37E2"/>
    <w:rsid w:val="08EE37E8"/>
    <w:rsid w:val="08EE37F6"/>
    <w:rsid w:val="08EE380F"/>
    <w:rsid w:val="08EE3866"/>
    <w:rsid w:val="08EE38EB"/>
    <w:rsid w:val="08EE3A1D"/>
    <w:rsid w:val="08EE3A95"/>
    <w:rsid w:val="08EE3AB4"/>
    <w:rsid w:val="08EE3B3C"/>
    <w:rsid w:val="08EE3C24"/>
    <w:rsid w:val="08EE3C8B"/>
    <w:rsid w:val="08EE3CC8"/>
    <w:rsid w:val="08EE3CF3"/>
    <w:rsid w:val="08EE3CF6"/>
    <w:rsid w:val="08EE3D0F"/>
    <w:rsid w:val="08EE3D37"/>
    <w:rsid w:val="08EE3E07"/>
    <w:rsid w:val="08EE3E56"/>
    <w:rsid w:val="08EE3F71"/>
    <w:rsid w:val="08EE4031"/>
    <w:rsid w:val="08EE40D7"/>
    <w:rsid w:val="08EE412B"/>
    <w:rsid w:val="08EE4137"/>
    <w:rsid w:val="08EE418D"/>
    <w:rsid w:val="08EE426D"/>
    <w:rsid w:val="08EE4274"/>
    <w:rsid w:val="08EE42BC"/>
    <w:rsid w:val="08EE42D2"/>
    <w:rsid w:val="08EE42EC"/>
    <w:rsid w:val="08EE42FE"/>
    <w:rsid w:val="08EE432D"/>
    <w:rsid w:val="08EE4367"/>
    <w:rsid w:val="08EE44D8"/>
    <w:rsid w:val="08EE44FA"/>
    <w:rsid w:val="08EE4558"/>
    <w:rsid w:val="08EE4788"/>
    <w:rsid w:val="08EE4799"/>
    <w:rsid w:val="08EE47CD"/>
    <w:rsid w:val="08EE4819"/>
    <w:rsid w:val="08EE4852"/>
    <w:rsid w:val="08EE485E"/>
    <w:rsid w:val="08EE485F"/>
    <w:rsid w:val="08EE48C3"/>
    <w:rsid w:val="08EE48F1"/>
    <w:rsid w:val="08EE48F8"/>
    <w:rsid w:val="08EE490C"/>
    <w:rsid w:val="08EE49AF"/>
    <w:rsid w:val="08EE49C0"/>
    <w:rsid w:val="08EE4A27"/>
    <w:rsid w:val="08EE4A4F"/>
    <w:rsid w:val="08EE4A50"/>
    <w:rsid w:val="08EE4A5F"/>
    <w:rsid w:val="08EE4A80"/>
    <w:rsid w:val="08EE4AAE"/>
    <w:rsid w:val="08EE4B94"/>
    <w:rsid w:val="08EE4BAE"/>
    <w:rsid w:val="08EE4C13"/>
    <w:rsid w:val="08EE4CCE"/>
    <w:rsid w:val="08EE4D46"/>
    <w:rsid w:val="08EE4E82"/>
    <w:rsid w:val="08EE4EEA"/>
    <w:rsid w:val="08EE4F11"/>
    <w:rsid w:val="08EE5020"/>
    <w:rsid w:val="08EE507D"/>
    <w:rsid w:val="08EE518B"/>
    <w:rsid w:val="08EE51C4"/>
    <w:rsid w:val="08EE5205"/>
    <w:rsid w:val="08EE5257"/>
    <w:rsid w:val="08EE533E"/>
    <w:rsid w:val="08EE53E9"/>
    <w:rsid w:val="08EE53F7"/>
    <w:rsid w:val="08EE548E"/>
    <w:rsid w:val="08EE54AE"/>
    <w:rsid w:val="08EE54DA"/>
    <w:rsid w:val="08EE55A6"/>
    <w:rsid w:val="08EE55D1"/>
    <w:rsid w:val="08EE55DF"/>
    <w:rsid w:val="08EE56CB"/>
    <w:rsid w:val="08EE5735"/>
    <w:rsid w:val="08EE57E7"/>
    <w:rsid w:val="08EE58EB"/>
    <w:rsid w:val="08EE5912"/>
    <w:rsid w:val="08EE593A"/>
    <w:rsid w:val="08EE5983"/>
    <w:rsid w:val="08EE59DA"/>
    <w:rsid w:val="08EE59F5"/>
    <w:rsid w:val="08EE5AF4"/>
    <w:rsid w:val="08EE5C81"/>
    <w:rsid w:val="08EE5C82"/>
    <w:rsid w:val="08EE5CF6"/>
    <w:rsid w:val="08EE5D20"/>
    <w:rsid w:val="08EE5D41"/>
    <w:rsid w:val="08EE5EFB"/>
    <w:rsid w:val="08EE5F8D"/>
    <w:rsid w:val="08EE604F"/>
    <w:rsid w:val="08EE6130"/>
    <w:rsid w:val="08EE61C9"/>
    <w:rsid w:val="08EE61E0"/>
    <w:rsid w:val="08EE628C"/>
    <w:rsid w:val="08EE62FE"/>
    <w:rsid w:val="08EE6317"/>
    <w:rsid w:val="08EE6328"/>
    <w:rsid w:val="08EE6407"/>
    <w:rsid w:val="08EE6418"/>
    <w:rsid w:val="08EE64B2"/>
    <w:rsid w:val="08EE64BC"/>
    <w:rsid w:val="08EE64F2"/>
    <w:rsid w:val="08EE654B"/>
    <w:rsid w:val="08EE6556"/>
    <w:rsid w:val="08EE662D"/>
    <w:rsid w:val="08EE664B"/>
    <w:rsid w:val="08EE67B0"/>
    <w:rsid w:val="08EE67D8"/>
    <w:rsid w:val="08EE6801"/>
    <w:rsid w:val="08EE6812"/>
    <w:rsid w:val="08EE6826"/>
    <w:rsid w:val="08EE6885"/>
    <w:rsid w:val="08EE6895"/>
    <w:rsid w:val="08EE6972"/>
    <w:rsid w:val="08EE6996"/>
    <w:rsid w:val="08EE69E5"/>
    <w:rsid w:val="08EE69E9"/>
    <w:rsid w:val="08EE6A2C"/>
    <w:rsid w:val="08EE6BDA"/>
    <w:rsid w:val="08EE6C36"/>
    <w:rsid w:val="08EE6C40"/>
    <w:rsid w:val="08EE6D12"/>
    <w:rsid w:val="08EE6D3B"/>
    <w:rsid w:val="08EE6D4C"/>
    <w:rsid w:val="08EE6D82"/>
    <w:rsid w:val="08EE6D86"/>
    <w:rsid w:val="08EE6EA0"/>
    <w:rsid w:val="08EE6F34"/>
    <w:rsid w:val="08EE6F3B"/>
    <w:rsid w:val="08EE6F64"/>
    <w:rsid w:val="08EE6F8B"/>
    <w:rsid w:val="08EE6FB8"/>
    <w:rsid w:val="08EE6FBB"/>
    <w:rsid w:val="08EE6FE3"/>
    <w:rsid w:val="08EE6FF3"/>
    <w:rsid w:val="08EE7078"/>
    <w:rsid w:val="08EE70CF"/>
    <w:rsid w:val="08EE7169"/>
    <w:rsid w:val="08EE7206"/>
    <w:rsid w:val="08EE74F7"/>
    <w:rsid w:val="08EE74FE"/>
    <w:rsid w:val="08EE75B4"/>
    <w:rsid w:val="08EE75E3"/>
    <w:rsid w:val="08EE75F8"/>
    <w:rsid w:val="08EE76D5"/>
    <w:rsid w:val="08EE76E2"/>
    <w:rsid w:val="08EE77BE"/>
    <w:rsid w:val="08EE77FA"/>
    <w:rsid w:val="08EE7840"/>
    <w:rsid w:val="08EE789D"/>
    <w:rsid w:val="08EE78AE"/>
    <w:rsid w:val="08EE792B"/>
    <w:rsid w:val="08EE79AE"/>
    <w:rsid w:val="08EE79B5"/>
    <w:rsid w:val="08EE79EA"/>
    <w:rsid w:val="08EE79EB"/>
    <w:rsid w:val="08EE7A32"/>
    <w:rsid w:val="08EE7A47"/>
    <w:rsid w:val="08EE7BA3"/>
    <w:rsid w:val="08EE7C53"/>
    <w:rsid w:val="08EE7D56"/>
    <w:rsid w:val="08EE7D82"/>
    <w:rsid w:val="08EE7E6B"/>
    <w:rsid w:val="08EE7EA8"/>
    <w:rsid w:val="08EE7F2F"/>
    <w:rsid w:val="08EE7F64"/>
    <w:rsid w:val="08EE7FF5"/>
    <w:rsid w:val="08EF0036"/>
    <w:rsid w:val="08EF0056"/>
    <w:rsid w:val="08EF013F"/>
    <w:rsid w:val="08EF0176"/>
    <w:rsid w:val="08EF01A9"/>
    <w:rsid w:val="08EF01AB"/>
    <w:rsid w:val="08EF01AF"/>
    <w:rsid w:val="08EF036B"/>
    <w:rsid w:val="08EF039E"/>
    <w:rsid w:val="08EF03FB"/>
    <w:rsid w:val="08EF0416"/>
    <w:rsid w:val="08EF0539"/>
    <w:rsid w:val="08EF0559"/>
    <w:rsid w:val="08EF06D8"/>
    <w:rsid w:val="08EF0727"/>
    <w:rsid w:val="08EF0775"/>
    <w:rsid w:val="08EF07C6"/>
    <w:rsid w:val="08EF081C"/>
    <w:rsid w:val="08EF0860"/>
    <w:rsid w:val="08EF0891"/>
    <w:rsid w:val="08EF09C7"/>
    <w:rsid w:val="08EF0A87"/>
    <w:rsid w:val="08EF0B05"/>
    <w:rsid w:val="08EF0BCC"/>
    <w:rsid w:val="08EF0CEA"/>
    <w:rsid w:val="08EF0D75"/>
    <w:rsid w:val="08EF0DEE"/>
    <w:rsid w:val="08EF0E45"/>
    <w:rsid w:val="08EF0E84"/>
    <w:rsid w:val="08EF0E85"/>
    <w:rsid w:val="08EF0F01"/>
    <w:rsid w:val="08EF0F7A"/>
    <w:rsid w:val="08EF0FB1"/>
    <w:rsid w:val="08EF1017"/>
    <w:rsid w:val="08EF109E"/>
    <w:rsid w:val="08EF1213"/>
    <w:rsid w:val="08EF1224"/>
    <w:rsid w:val="08EF12A9"/>
    <w:rsid w:val="08EF12BB"/>
    <w:rsid w:val="08EF12C9"/>
    <w:rsid w:val="08EF1355"/>
    <w:rsid w:val="08EF1381"/>
    <w:rsid w:val="08EF1417"/>
    <w:rsid w:val="08EF14AE"/>
    <w:rsid w:val="08EF14F1"/>
    <w:rsid w:val="08EF152D"/>
    <w:rsid w:val="08EF1546"/>
    <w:rsid w:val="08EF1562"/>
    <w:rsid w:val="08EF15AD"/>
    <w:rsid w:val="08EF15E3"/>
    <w:rsid w:val="08EF1619"/>
    <w:rsid w:val="08EF1633"/>
    <w:rsid w:val="08EF165A"/>
    <w:rsid w:val="08EF166C"/>
    <w:rsid w:val="08EF16A7"/>
    <w:rsid w:val="08EF172C"/>
    <w:rsid w:val="08EF179A"/>
    <w:rsid w:val="08EF180C"/>
    <w:rsid w:val="08EF190C"/>
    <w:rsid w:val="08EF191C"/>
    <w:rsid w:val="08EF1938"/>
    <w:rsid w:val="08EF196B"/>
    <w:rsid w:val="08EF19E3"/>
    <w:rsid w:val="08EF19EC"/>
    <w:rsid w:val="08EF1A18"/>
    <w:rsid w:val="08EF1AC0"/>
    <w:rsid w:val="08EF1B12"/>
    <w:rsid w:val="08EF1B24"/>
    <w:rsid w:val="08EF1C82"/>
    <w:rsid w:val="08EF1CBF"/>
    <w:rsid w:val="08EF1CE8"/>
    <w:rsid w:val="08EF1D33"/>
    <w:rsid w:val="08EF1DF3"/>
    <w:rsid w:val="08EF1EA6"/>
    <w:rsid w:val="08EF1EAE"/>
    <w:rsid w:val="08EF1ECC"/>
    <w:rsid w:val="08EF1EDA"/>
    <w:rsid w:val="08EF1EF8"/>
    <w:rsid w:val="08EF1F58"/>
    <w:rsid w:val="08EF1FAC"/>
    <w:rsid w:val="08EF2030"/>
    <w:rsid w:val="08EF2045"/>
    <w:rsid w:val="08EF20AA"/>
    <w:rsid w:val="08EF20C7"/>
    <w:rsid w:val="08EF2198"/>
    <w:rsid w:val="08EF21BE"/>
    <w:rsid w:val="08EF224A"/>
    <w:rsid w:val="08EF2296"/>
    <w:rsid w:val="08EF235C"/>
    <w:rsid w:val="08EF245D"/>
    <w:rsid w:val="08EF24E5"/>
    <w:rsid w:val="08EF255D"/>
    <w:rsid w:val="08EF258F"/>
    <w:rsid w:val="08EF25AB"/>
    <w:rsid w:val="08EF263D"/>
    <w:rsid w:val="08EF26A3"/>
    <w:rsid w:val="08EF2756"/>
    <w:rsid w:val="08EF284B"/>
    <w:rsid w:val="08EF28BD"/>
    <w:rsid w:val="08EF299B"/>
    <w:rsid w:val="08EF29C6"/>
    <w:rsid w:val="08EF29E4"/>
    <w:rsid w:val="08EF2A11"/>
    <w:rsid w:val="08EF2A30"/>
    <w:rsid w:val="08EF2A6A"/>
    <w:rsid w:val="08EF2AC9"/>
    <w:rsid w:val="08EF2B2E"/>
    <w:rsid w:val="08EF2B74"/>
    <w:rsid w:val="08EF2C4A"/>
    <w:rsid w:val="08EF2C6A"/>
    <w:rsid w:val="08EF2C7D"/>
    <w:rsid w:val="08EF2C85"/>
    <w:rsid w:val="08EF2C8B"/>
    <w:rsid w:val="08EF2CE2"/>
    <w:rsid w:val="08EF2D8F"/>
    <w:rsid w:val="08EF2E11"/>
    <w:rsid w:val="08EF2E47"/>
    <w:rsid w:val="08EF2E48"/>
    <w:rsid w:val="08EF2E55"/>
    <w:rsid w:val="08EF2F28"/>
    <w:rsid w:val="08EF2F2C"/>
    <w:rsid w:val="08EF2F4D"/>
    <w:rsid w:val="08EF2F88"/>
    <w:rsid w:val="08EF2FF9"/>
    <w:rsid w:val="08EF3016"/>
    <w:rsid w:val="08EF3025"/>
    <w:rsid w:val="08EF30B4"/>
    <w:rsid w:val="08EF30FE"/>
    <w:rsid w:val="08EF3144"/>
    <w:rsid w:val="08EF3149"/>
    <w:rsid w:val="08EF317C"/>
    <w:rsid w:val="08EF3314"/>
    <w:rsid w:val="08EF3322"/>
    <w:rsid w:val="08EF340C"/>
    <w:rsid w:val="08EF3494"/>
    <w:rsid w:val="08EF3532"/>
    <w:rsid w:val="08EF3595"/>
    <w:rsid w:val="08EF35E1"/>
    <w:rsid w:val="08EF372A"/>
    <w:rsid w:val="08EF37D5"/>
    <w:rsid w:val="08EF37DD"/>
    <w:rsid w:val="08EF38A3"/>
    <w:rsid w:val="08EF38B8"/>
    <w:rsid w:val="08EF392C"/>
    <w:rsid w:val="08EF3A04"/>
    <w:rsid w:val="08EF3A32"/>
    <w:rsid w:val="08EF3AA0"/>
    <w:rsid w:val="08EF3ABD"/>
    <w:rsid w:val="08EF3B59"/>
    <w:rsid w:val="08EF3B79"/>
    <w:rsid w:val="08EF3BEB"/>
    <w:rsid w:val="08EF3C6A"/>
    <w:rsid w:val="08EF3CA4"/>
    <w:rsid w:val="08EF3CAA"/>
    <w:rsid w:val="08EF3CAB"/>
    <w:rsid w:val="08EF3CB1"/>
    <w:rsid w:val="08EF3DA7"/>
    <w:rsid w:val="08EF3E31"/>
    <w:rsid w:val="08EF3E99"/>
    <w:rsid w:val="08EF3ECC"/>
    <w:rsid w:val="08EF3F58"/>
    <w:rsid w:val="08EF4038"/>
    <w:rsid w:val="08EF4110"/>
    <w:rsid w:val="08EF4147"/>
    <w:rsid w:val="08EF42D5"/>
    <w:rsid w:val="08EF42F6"/>
    <w:rsid w:val="08EF4313"/>
    <w:rsid w:val="08EF438E"/>
    <w:rsid w:val="08EF4397"/>
    <w:rsid w:val="08EF4415"/>
    <w:rsid w:val="08EF44ED"/>
    <w:rsid w:val="08EF4537"/>
    <w:rsid w:val="08EF4551"/>
    <w:rsid w:val="08EF4653"/>
    <w:rsid w:val="08EF47A3"/>
    <w:rsid w:val="08EF47FC"/>
    <w:rsid w:val="08EF48FD"/>
    <w:rsid w:val="08EF4917"/>
    <w:rsid w:val="08EF494E"/>
    <w:rsid w:val="08EF4952"/>
    <w:rsid w:val="08EF49A6"/>
    <w:rsid w:val="08EF49B7"/>
    <w:rsid w:val="08EF4A57"/>
    <w:rsid w:val="08EF4A6E"/>
    <w:rsid w:val="08EF4A98"/>
    <w:rsid w:val="08EF4AE9"/>
    <w:rsid w:val="08EF4BC9"/>
    <w:rsid w:val="08EF4BE0"/>
    <w:rsid w:val="08EF4E19"/>
    <w:rsid w:val="08EF4E71"/>
    <w:rsid w:val="08EF4E8D"/>
    <w:rsid w:val="08EF4E96"/>
    <w:rsid w:val="08EF4F7E"/>
    <w:rsid w:val="08EF5034"/>
    <w:rsid w:val="08EF5054"/>
    <w:rsid w:val="08EF507C"/>
    <w:rsid w:val="08EF50B1"/>
    <w:rsid w:val="08EF50F1"/>
    <w:rsid w:val="08EF511D"/>
    <w:rsid w:val="08EF51B2"/>
    <w:rsid w:val="08EF51E0"/>
    <w:rsid w:val="08EF5201"/>
    <w:rsid w:val="08EF533C"/>
    <w:rsid w:val="08EF535B"/>
    <w:rsid w:val="08EF537E"/>
    <w:rsid w:val="08EF53E1"/>
    <w:rsid w:val="08EF5471"/>
    <w:rsid w:val="08EF548F"/>
    <w:rsid w:val="08EF558D"/>
    <w:rsid w:val="08EF55A8"/>
    <w:rsid w:val="08EF55BE"/>
    <w:rsid w:val="08EF564A"/>
    <w:rsid w:val="08EF5773"/>
    <w:rsid w:val="08EF5796"/>
    <w:rsid w:val="08EF57C4"/>
    <w:rsid w:val="08EF5832"/>
    <w:rsid w:val="08EF5865"/>
    <w:rsid w:val="08EF591A"/>
    <w:rsid w:val="08EF5929"/>
    <w:rsid w:val="08EF5990"/>
    <w:rsid w:val="08EF59B8"/>
    <w:rsid w:val="08EF5AFD"/>
    <w:rsid w:val="08EF5CB6"/>
    <w:rsid w:val="08EF5D8E"/>
    <w:rsid w:val="08EF5E47"/>
    <w:rsid w:val="08EF5EC1"/>
    <w:rsid w:val="08EF5F32"/>
    <w:rsid w:val="08EF6111"/>
    <w:rsid w:val="08EF6200"/>
    <w:rsid w:val="08EF6204"/>
    <w:rsid w:val="08EF634A"/>
    <w:rsid w:val="08EF6391"/>
    <w:rsid w:val="08EF63EF"/>
    <w:rsid w:val="08EF63F4"/>
    <w:rsid w:val="08EF63FD"/>
    <w:rsid w:val="08EF64A2"/>
    <w:rsid w:val="08EF64E0"/>
    <w:rsid w:val="08EF6533"/>
    <w:rsid w:val="08EF658C"/>
    <w:rsid w:val="08EF659A"/>
    <w:rsid w:val="08EF66A7"/>
    <w:rsid w:val="08EF66B0"/>
    <w:rsid w:val="08EF672C"/>
    <w:rsid w:val="08EF6884"/>
    <w:rsid w:val="08EF688F"/>
    <w:rsid w:val="08EF68CD"/>
    <w:rsid w:val="08EF68D0"/>
    <w:rsid w:val="08EF6A09"/>
    <w:rsid w:val="08EF6A0A"/>
    <w:rsid w:val="08EF6A56"/>
    <w:rsid w:val="08EF6ACD"/>
    <w:rsid w:val="08EF6B58"/>
    <w:rsid w:val="08EF6BEB"/>
    <w:rsid w:val="08EF6BFB"/>
    <w:rsid w:val="08EF6C3E"/>
    <w:rsid w:val="08EF6C4D"/>
    <w:rsid w:val="08EF6C52"/>
    <w:rsid w:val="08EF6D18"/>
    <w:rsid w:val="08EF6D38"/>
    <w:rsid w:val="08EF6DFA"/>
    <w:rsid w:val="08EF6E42"/>
    <w:rsid w:val="08EF6E96"/>
    <w:rsid w:val="08EF6F97"/>
    <w:rsid w:val="08EF703C"/>
    <w:rsid w:val="08EF70A5"/>
    <w:rsid w:val="08EF70AA"/>
    <w:rsid w:val="08EF71EC"/>
    <w:rsid w:val="08EF7224"/>
    <w:rsid w:val="08EF7317"/>
    <w:rsid w:val="08EF734C"/>
    <w:rsid w:val="08EF73F2"/>
    <w:rsid w:val="08EF7436"/>
    <w:rsid w:val="08EF7473"/>
    <w:rsid w:val="08EF7528"/>
    <w:rsid w:val="08EF7566"/>
    <w:rsid w:val="08EF756A"/>
    <w:rsid w:val="08EF7598"/>
    <w:rsid w:val="08EF7613"/>
    <w:rsid w:val="08EF763E"/>
    <w:rsid w:val="08EF7697"/>
    <w:rsid w:val="08EF76AD"/>
    <w:rsid w:val="08EF76CC"/>
    <w:rsid w:val="08EF76D5"/>
    <w:rsid w:val="08EF774E"/>
    <w:rsid w:val="08EF7771"/>
    <w:rsid w:val="08EF77EB"/>
    <w:rsid w:val="08EF77EE"/>
    <w:rsid w:val="08EF7892"/>
    <w:rsid w:val="08EF79C1"/>
    <w:rsid w:val="08EF7AD8"/>
    <w:rsid w:val="08EF7B08"/>
    <w:rsid w:val="08EF7B3C"/>
    <w:rsid w:val="08EF7C3B"/>
    <w:rsid w:val="08EF7E9F"/>
    <w:rsid w:val="08EF7F4C"/>
    <w:rsid w:val="08F0005D"/>
    <w:rsid w:val="08F000BD"/>
    <w:rsid w:val="08F00165"/>
    <w:rsid w:val="08F00190"/>
    <w:rsid w:val="08F001B8"/>
    <w:rsid w:val="08F001E8"/>
    <w:rsid w:val="08F003F5"/>
    <w:rsid w:val="08F00471"/>
    <w:rsid w:val="08F00523"/>
    <w:rsid w:val="08F0055C"/>
    <w:rsid w:val="08F005AB"/>
    <w:rsid w:val="08F00620"/>
    <w:rsid w:val="08F00631"/>
    <w:rsid w:val="08F00677"/>
    <w:rsid w:val="08F006BC"/>
    <w:rsid w:val="08F00745"/>
    <w:rsid w:val="08F00866"/>
    <w:rsid w:val="08F008AF"/>
    <w:rsid w:val="08F008D0"/>
    <w:rsid w:val="08F0090B"/>
    <w:rsid w:val="08F009D4"/>
    <w:rsid w:val="08F00A93"/>
    <w:rsid w:val="08F00AB2"/>
    <w:rsid w:val="08F00ACA"/>
    <w:rsid w:val="08F00AD9"/>
    <w:rsid w:val="08F00B12"/>
    <w:rsid w:val="08F00B53"/>
    <w:rsid w:val="08F00B9D"/>
    <w:rsid w:val="08F00C08"/>
    <w:rsid w:val="08F00C24"/>
    <w:rsid w:val="08F00D89"/>
    <w:rsid w:val="08F00E61"/>
    <w:rsid w:val="08F00F05"/>
    <w:rsid w:val="08F00F06"/>
    <w:rsid w:val="08F00FC4"/>
    <w:rsid w:val="08F01005"/>
    <w:rsid w:val="08F01024"/>
    <w:rsid w:val="08F011AD"/>
    <w:rsid w:val="08F011BE"/>
    <w:rsid w:val="08F011C7"/>
    <w:rsid w:val="08F011FC"/>
    <w:rsid w:val="08F0129A"/>
    <w:rsid w:val="08F01460"/>
    <w:rsid w:val="08F0146B"/>
    <w:rsid w:val="08F01479"/>
    <w:rsid w:val="08F01488"/>
    <w:rsid w:val="08F0150E"/>
    <w:rsid w:val="08F0155D"/>
    <w:rsid w:val="08F015B2"/>
    <w:rsid w:val="08F015DE"/>
    <w:rsid w:val="08F0160B"/>
    <w:rsid w:val="08F0163F"/>
    <w:rsid w:val="08F01710"/>
    <w:rsid w:val="08F0171D"/>
    <w:rsid w:val="08F01748"/>
    <w:rsid w:val="08F0176B"/>
    <w:rsid w:val="08F017C6"/>
    <w:rsid w:val="08F017DF"/>
    <w:rsid w:val="08F01926"/>
    <w:rsid w:val="08F01983"/>
    <w:rsid w:val="08F019AA"/>
    <w:rsid w:val="08F019C1"/>
    <w:rsid w:val="08F01A54"/>
    <w:rsid w:val="08F01A90"/>
    <w:rsid w:val="08F01AEB"/>
    <w:rsid w:val="08F01AF7"/>
    <w:rsid w:val="08F01B01"/>
    <w:rsid w:val="08F01B8C"/>
    <w:rsid w:val="08F01B97"/>
    <w:rsid w:val="08F01C4E"/>
    <w:rsid w:val="08F01C66"/>
    <w:rsid w:val="08F01D0C"/>
    <w:rsid w:val="08F01E19"/>
    <w:rsid w:val="08F01E1C"/>
    <w:rsid w:val="08F01E95"/>
    <w:rsid w:val="08F01F7A"/>
    <w:rsid w:val="08F0203E"/>
    <w:rsid w:val="08F02054"/>
    <w:rsid w:val="08F02067"/>
    <w:rsid w:val="08F020A4"/>
    <w:rsid w:val="08F020D1"/>
    <w:rsid w:val="08F020F9"/>
    <w:rsid w:val="08F0217F"/>
    <w:rsid w:val="08F02286"/>
    <w:rsid w:val="08F022A8"/>
    <w:rsid w:val="08F022E0"/>
    <w:rsid w:val="08F022FE"/>
    <w:rsid w:val="08F0233D"/>
    <w:rsid w:val="08F0235F"/>
    <w:rsid w:val="08F023AA"/>
    <w:rsid w:val="08F02446"/>
    <w:rsid w:val="08F02727"/>
    <w:rsid w:val="08F027DA"/>
    <w:rsid w:val="08F028E9"/>
    <w:rsid w:val="08F02926"/>
    <w:rsid w:val="08F02AC6"/>
    <w:rsid w:val="08F02AD6"/>
    <w:rsid w:val="08F02C37"/>
    <w:rsid w:val="08F02CEB"/>
    <w:rsid w:val="08F02F0A"/>
    <w:rsid w:val="08F02F8D"/>
    <w:rsid w:val="08F03041"/>
    <w:rsid w:val="08F03045"/>
    <w:rsid w:val="08F03050"/>
    <w:rsid w:val="08F03060"/>
    <w:rsid w:val="08F030E2"/>
    <w:rsid w:val="08F030F6"/>
    <w:rsid w:val="08F03100"/>
    <w:rsid w:val="08F031DE"/>
    <w:rsid w:val="08F03227"/>
    <w:rsid w:val="08F0324C"/>
    <w:rsid w:val="08F0326B"/>
    <w:rsid w:val="08F03272"/>
    <w:rsid w:val="08F032E7"/>
    <w:rsid w:val="08F032EF"/>
    <w:rsid w:val="08F03398"/>
    <w:rsid w:val="08F033B9"/>
    <w:rsid w:val="08F033D4"/>
    <w:rsid w:val="08F034B7"/>
    <w:rsid w:val="08F0358B"/>
    <w:rsid w:val="08F036A5"/>
    <w:rsid w:val="08F0377E"/>
    <w:rsid w:val="08F037CC"/>
    <w:rsid w:val="08F03839"/>
    <w:rsid w:val="08F03908"/>
    <w:rsid w:val="08F039CD"/>
    <w:rsid w:val="08F03A1C"/>
    <w:rsid w:val="08F03B42"/>
    <w:rsid w:val="08F03C44"/>
    <w:rsid w:val="08F03C4F"/>
    <w:rsid w:val="08F03CF7"/>
    <w:rsid w:val="08F03E55"/>
    <w:rsid w:val="08F03E80"/>
    <w:rsid w:val="08F03EC1"/>
    <w:rsid w:val="08F03F90"/>
    <w:rsid w:val="08F04111"/>
    <w:rsid w:val="08F041C2"/>
    <w:rsid w:val="08F04298"/>
    <w:rsid w:val="08F042FD"/>
    <w:rsid w:val="08F043FB"/>
    <w:rsid w:val="08F044CF"/>
    <w:rsid w:val="08F04584"/>
    <w:rsid w:val="08F04629"/>
    <w:rsid w:val="08F0468F"/>
    <w:rsid w:val="08F0470D"/>
    <w:rsid w:val="08F04952"/>
    <w:rsid w:val="08F04989"/>
    <w:rsid w:val="08F04ACD"/>
    <w:rsid w:val="08F04B05"/>
    <w:rsid w:val="08F04B99"/>
    <w:rsid w:val="08F04D6A"/>
    <w:rsid w:val="08F04F25"/>
    <w:rsid w:val="08F04FB7"/>
    <w:rsid w:val="08F0505C"/>
    <w:rsid w:val="08F05070"/>
    <w:rsid w:val="08F050F9"/>
    <w:rsid w:val="08F05120"/>
    <w:rsid w:val="08F0513B"/>
    <w:rsid w:val="08F051EF"/>
    <w:rsid w:val="08F05241"/>
    <w:rsid w:val="08F05252"/>
    <w:rsid w:val="08F053B6"/>
    <w:rsid w:val="08F053EE"/>
    <w:rsid w:val="08F05401"/>
    <w:rsid w:val="08F0548C"/>
    <w:rsid w:val="08F054D5"/>
    <w:rsid w:val="08F054F3"/>
    <w:rsid w:val="08F0559F"/>
    <w:rsid w:val="08F055D3"/>
    <w:rsid w:val="08F0560C"/>
    <w:rsid w:val="08F0561E"/>
    <w:rsid w:val="08F0569D"/>
    <w:rsid w:val="08F05727"/>
    <w:rsid w:val="08F057FA"/>
    <w:rsid w:val="08F0586F"/>
    <w:rsid w:val="08F0592F"/>
    <w:rsid w:val="08F05952"/>
    <w:rsid w:val="08F0598F"/>
    <w:rsid w:val="08F05A93"/>
    <w:rsid w:val="08F05AC7"/>
    <w:rsid w:val="08F05AD4"/>
    <w:rsid w:val="08F05B2A"/>
    <w:rsid w:val="08F05B68"/>
    <w:rsid w:val="08F05BAC"/>
    <w:rsid w:val="08F05C09"/>
    <w:rsid w:val="08F05C30"/>
    <w:rsid w:val="08F05C62"/>
    <w:rsid w:val="08F05CB0"/>
    <w:rsid w:val="08F05CBB"/>
    <w:rsid w:val="08F05D48"/>
    <w:rsid w:val="08F05D71"/>
    <w:rsid w:val="08F05EA9"/>
    <w:rsid w:val="08F05EE9"/>
    <w:rsid w:val="08F05EF8"/>
    <w:rsid w:val="08F05F2A"/>
    <w:rsid w:val="08F06030"/>
    <w:rsid w:val="08F0606F"/>
    <w:rsid w:val="08F06118"/>
    <w:rsid w:val="08F061FE"/>
    <w:rsid w:val="08F063DE"/>
    <w:rsid w:val="08F0645A"/>
    <w:rsid w:val="08F064E3"/>
    <w:rsid w:val="08F06562"/>
    <w:rsid w:val="08F06596"/>
    <w:rsid w:val="08F065A4"/>
    <w:rsid w:val="08F065E8"/>
    <w:rsid w:val="08F06649"/>
    <w:rsid w:val="08F0667A"/>
    <w:rsid w:val="08F066BC"/>
    <w:rsid w:val="08F0674E"/>
    <w:rsid w:val="08F0677B"/>
    <w:rsid w:val="08F067F8"/>
    <w:rsid w:val="08F0681D"/>
    <w:rsid w:val="08F068C9"/>
    <w:rsid w:val="08F069D0"/>
    <w:rsid w:val="08F06ADA"/>
    <w:rsid w:val="08F06B14"/>
    <w:rsid w:val="08F06B29"/>
    <w:rsid w:val="08F06C1D"/>
    <w:rsid w:val="08F06E17"/>
    <w:rsid w:val="08F06E4A"/>
    <w:rsid w:val="08F06E84"/>
    <w:rsid w:val="08F06EA4"/>
    <w:rsid w:val="08F06F12"/>
    <w:rsid w:val="08F06F5C"/>
    <w:rsid w:val="08F07072"/>
    <w:rsid w:val="08F070A3"/>
    <w:rsid w:val="08F070CD"/>
    <w:rsid w:val="08F070DF"/>
    <w:rsid w:val="08F070F7"/>
    <w:rsid w:val="08F07172"/>
    <w:rsid w:val="08F0733A"/>
    <w:rsid w:val="08F07439"/>
    <w:rsid w:val="08F07471"/>
    <w:rsid w:val="08F074C0"/>
    <w:rsid w:val="08F074CB"/>
    <w:rsid w:val="08F0761D"/>
    <w:rsid w:val="08F07695"/>
    <w:rsid w:val="08F076E0"/>
    <w:rsid w:val="08F0775A"/>
    <w:rsid w:val="08F0776F"/>
    <w:rsid w:val="08F077D7"/>
    <w:rsid w:val="08F0784E"/>
    <w:rsid w:val="08F078AE"/>
    <w:rsid w:val="08F078C1"/>
    <w:rsid w:val="08F078FF"/>
    <w:rsid w:val="08F0799A"/>
    <w:rsid w:val="08F079B7"/>
    <w:rsid w:val="08F079DC"/>
    <w:rsid w:val="08F07A16"/>
    <w:rsid w:val="08F07AD4"/>
    <w:rsid w:val="08F07B8B"/>
    <w:rsid w:val="08F07C53"/>
    <w:rsid w:val="08F07C6C"/>
    <w:rsid w:val="08F07CCB"/>
    <w:rsid w:val="08F07CE4"/>
    <w:rsid w:val="08F07D75"/>
    <w:rsid w:val="08F07DD0"/>
    <w:rsid w:val="08F07E2C"/>
    <w:rsid w:val="08F07E49"/>
    <w:rsid w:val="08F07F06"/>
    <w:rsid w:val="08F07F5D"/>
    <w:rsid w:val="08F07F79"/>
    <w:rsid w:val="08F07F82"/>
    <w:rsid w:val="08F07FA5"/>
    <w:rsid w:val="08F10022"/>
    <w:rsid w:val="08F1005E"/>
    <w:rsid w:val="08F10110"/>
    <w:rsid w:val="08F1014D"/>
    <w:rsid w:val="08F10193"/>
    <w:rsid w:val="08F10215"/>
    <w:rsid w:val="08F10249"/>
    <w:rsid w:val="08F10280"/>
    <w:rsid w:val="08F1035F"/>
    <w:rsid w:val="08F10364"/>
    <w:rsid w:val="08F104B9"/>
    <w:rsid w:val="08F1052B"/>
    <w:rsid w:val="08F10587"/>
    <w:rsid w:val="08F10588"/>
    <w:rsid w:val="08F105BC"/>
    <w:rsid w:val="08F105D2"/>
    <w:rsid w:val="08F105DB"/>
    <w:rsid w:val="08F10668"/>
    <w:rsid w:val="08F106F8"/>
    <w:rsid w:val="08F10721"/>
    <w:rsid w:val="08F10770"/>
    <w:rsid w:val="08F1078C"/>
    <w:rsid w:val="08F1084E"/>
    <w:rsid w:val="08F108C0"/>
    <w:rsid w:val="08F1092D"/>
    <w:rsid w:val="08F10A89"/>
    <w:rsid w:val="08F10B3A"/>
    <w:rsid w:val="08F10B71"/>
    <w:rsid w:val="08F10BE1"/>
    <w:rsid w:val="08F10D8E"/>
    <w:rsid w:val="08F10DD3"/>
    <w:rsid w:val="08F10E04"/>
    <w:rsid w:val="08F10FAB"/>
    <w:rsid w:val="08F10FB4"/>
    <w:rsid w:val="08F110EE"/>
    <w:rsid w:val="08F11133"/>
    <w:rsid w:val="08F112BA"/>
    <w:rsid w:val="08F112C2"/>
    <w:rsid w:val="08F11319"/>
    <w:rsid w:val="08F113F4"/>
    <w:rsid w:val="08F1159B"/>
    <w:rsid w:val="08F11653"/>
    <w:rsid w:val="08F116EB"/>
    <w:rsid w:val="08F1176C"/>
    <w:rsid w:val="08F1189A"/>
    <w:rsid w:val="08F118AF"/>
    <w:rsid w:val="08F11905"/>
    <w:rsid w:val="08F119EE"/>
    <w:rsid w:val="08F11A35"/>
    <w:rsid w:val="08F11A7A"/>
    <w:rsid w:val="08F11AA1"/>
    <w:rsid w:val="08F11ADB"/>
    <w:rsid w:val="08F11AE5"/>
    <w:rsid w:val="08F11B4D"/>
    <w:rsid w:val="08F11B60"/>
    <w:rsid w:val="08F11C8D"/>
    <w:rsid w:val="08F11D50"/>
    <w:rsid w:val="08F11F41"/>
    <w:rsid w:val="08F11F50"/>
    <w:rsid w:val="08F11F5F"/>
    <w:rsid w:val="08F11FFF"/>
    <w:rsid w:val="08F1201B"/>
    <w:rsid w:val="08F12041"/>
    <w:rsid w:val="08F121E1"/>
    <w:rsid w:val="08F122EE"/>
    <w:rsid w:val="08F12301"/>
    <w:rsid w:val="08F123E9"/>
    <w:rsid w:val="08F12493"/>
    <w:rsid w:val="08F124E5"/>
    <w:rsid w:val="08F1254A"/>
    <w:rsid w:val="08F125A4"/>
    <w:rsid w:val="08F125D3"/>
    <w:rsid w:val="08F1264C"/>
    <w:rsid w:val="08F12652"/>
    <w:rsid w:val="08F126C0"/>
    <w:rsid w:val="08F12785"/>
    <w:rsid w:val="08F12817"/>
    <w:rsid w:val="08F128C2"/>
    <w:rsid w:val="08F128D3"/>
    <w:rsid w:val="08F128E7"/>
    <w:rsid w:val="08F1291D"/>
    <w:rsid w:val="08F12933"/>
    <w:rsid w:val="08F129D4"/>
    <w:rsid w:val="08F129ED"/>
    <w:rsid w:val="08F12B17"/>
    <w:rsid w:val="08F12B44"/>
    <w:rsid w:val="08F12BEE"/>
    <w:rsid w:val="08F12C19"/>
    <w:rsid w:val="08F12C5F"/>
    <w:rsid w:val="08F12C80"/>
    <w:rsid w:val="08F12CAF"/>
    <w:rsid w:val="08F12CD6"/>
    <w:rsid w:val="08F12CDB"/>
    <w:rsid w:val="08F12D36"/>
    <w:rsid w:val="08F12D66"/>
    <w:rsid w:val="08F12D6C"/>
    <w:rsid w:val="08F12DC0"/>
    <w:rsid w:val="08F12DDC"/>
    <w:rsid w:val="08F12E25"/>
    <w:rsid w:val="08F12E8E"/>
    <w:rsid w:val="08F12ED3"/>
    <w:rsid w:val="08F12ED9"/>
    <w:rsid w:val="08F12F92"/>
    <w:rsid w:val="08F12FBC"/>
    <w:rsid w:val="08F12FEC"/>
    <w:rsid w:val="08F1306B"/>
    <w:rsid w:val="08F1307D"/>
    <w:rsid w:val="08F131BC"/>
    <w:rsid w:val="08F131E4"/>
    <w:rsid w:val="08F13265"/>
    <w:rsid w:val="08F13271"/>
    <w:rsid w:val="08F132BE"/>
    <w:rsid w:val="08F132F2"/>
    <w:rsid w:val="08F13317"/>
    <w:rsid w:val="08F13349"/>
    <w:rsid w:val="08F1337F"/>
    <w:rsid w:val="08F13452"/>
    <w:rsid w:val="08F134CC"/>
    <w:rsid w:val="08F134EB"/>
    <w:rsid w:val="08F13543"/>
    <w:rsid w:val="08F136AF"/>
    <w:rsid w:val="08F13882"/>
    <w:rsid w:val="08F138B7"/>
    <w:rsid w:val="08F13969"/>
    <w:rsid w:val="08F13A81"/>
    <w:rsid w:val="08F13ABC"/>
    <w:rsid w:val="08F13B12"/>
    <w:rsid w:val="08F13B1E"/>
    <w:rsid w:val="08F13B3D"/>
    <w:rsid w:val="08F13CA4"/>
    <w:rsid w:val="08F13CA8"/>
    <w:rsid w:val="08F13CCC"/>
    <w:rsid w:val="08F13CD1"/>
    <w:rsid w:val="08F13CFB"/>
    <w:rsid w:val="08F13D8F"/>
    <w:rsid w:val="08F13DA6"/>
    <w:rsid w:val="08F13E1C"/>
    <w:rsid w:val="08F13EC6"/>
    <w:rsid w:val="08F13EED"/>
    <w:rsid w:val="08F13F5A"/>
    <w:rsid w:val="08F13F8D"/>
    <w:rsid w:val="08F14136"/>
    <w:rsid w:val="08F1417B"/>
    <w:rsid w:val="08F14194"/>
    <w:rsid w:val="08F1421B"/>
    <w:rsid w:val="08F1427C"/>
    <w:rsid w:val="08F142C9"/>
    <w:rsid w:val="08F143F4"/>
    <w:rsid w:val="08F14550"/>
    <w:rsid w:val="08F14568"/>
    <w:rsid w:val="08F145B7"/>
    <w:rsid w:val="08F1465B"/>
    <w:rsid w:val="08F14771"/>
    <w:rsid w:val="08F147B5"/>
    <w:rsid w:val="08F14889"/>
    <w:rsid w:val="08F1488B"/>
    <w:rsid w:val="08F148B9"/>
    <w:rsid w:val="08F1497E"/>
    <w:rsid w:val="08F149B0"/>
    <w:rsid w:val="08F149EC"/>
    <w:rsid w:val="08F149F4"/>
    <w:rsid w:val="08F14A79"/>
    <w:rsid w:val="08F14A94"/>
    <w:rsid w:val="08F14AB8"/>
    <w:rsid w:val="08F14AD1"/>
    <w:rsid w:val="08F14AEE"/>
    <w:rsid w:val="08F14B0A"/>
    <w:rsid w:val="08F14B81"/>
    <w:rsid w:val="08F14BD3"/>
    <w:rsid w:val="08F14C5C"/>
    <w:rsid w:val="08F14C9B"/>
    <w:rsid w:val="08F14CC1"/>
    <w:rsid w:val="08F14CC8"/>
    <w:rsid w:val="08F14D87"/>
    <w:rsid w:val="08F14D88"/>
    <w:rsid w:val="08F14DE6"/>
    <w:rsid w:val="08F14F09"/>
    <w:rsid w:val="08F14F1C"/>
    <w:rsid w:val="08F14F9B"/>
    <w:rsid w:val="08F14FCA"/>
    <w:rsid w:val="08F14FF5"/>
    <w:rsid w:val="08F1505D"/>
    <w:rsid w:val="08F15122"/>
    <w:rsid w:val="08F15155"/>
    <w:rsid w:val="08F1516F"/>
    <w:rsid w:val="08F15185"/>
    <w:rsid w:val="08F151A1"/>
    <w:rsid w:val="08F151F4"/>
    <w:rsid w:val="08F15274"/>
    <w:rsid w:val="08F153C5"/>
    <w:rsid w:val="08F153D0"/>
    <w:rsid w:val="08F154C5"/>
    <w:rsid w:val="08F15530"/>
    <w:rsid w:val="08F15570"/>
    <w:rsid w:val="08F15588"/>
    <w:rsid w:val="08F15660"/>
    <w:rsid w:val="08F156AB"/>
    <w:rsid w:val="08F156B7"/>
    <w:rsid w:val="08F1580D"/>
    <w:rsid w:val="08F15837"/>
    <w:rsid w:val="08F15873"/>
    <w:rsid w:val="08F15A29"/>
    <w:rsid w:val="08F15C2C"/>
    <w:rsid w:val="08F15C5B"/>
    <w:rsid w:val="08F15CF5"/>
    <w:rsid w:val="08F15D2E"/>
    <w:rsid w:val="08F15D69"/>
    <w:rsid w:val="08F15F1E"/>
    <w:rsid w:val="08F15F22"/>
    <w:rsid w:val="08F15F60"/>
    <w:rsid w:val="08F15F99"/>
    <w:rsid w:val="08F15FCF"/>
    <w:rsid w:val="08F16186"/>
    <w:rsid w:val="08F161C1"/>
    <w:rsid w:val="08F161FC"/>
    <w:rsid w:val="08F162CD"/>
    <w:rsid w:val="08F162F1"/>
    <w:rsid w:val="08F16302"/>
    <w:rsid w:val="08F16314"/>
    <w:rsid w:val="08F16317"/>
    <w:rsid w:val="08F16349"/>
    <w:rsid w:val="08F16393"/>
    <w:rsid w:val="08F1639A"/>
    <w:rsid w:val="08F163B3"/>
    <w:rsid w:val="08F16442"/>
    <w:rsid w:val="08F164A6"/>
    <w:rsid w:val="08F164B1"/>
    <w:rsid w:val="08F164E3"/>
    <w:rsid w:val="08F16514"/>
    <w:rsid w:val="08F165D9"/>
    <w:rsid w:val="08F16617"/>
    <w:rsid w:val="08F16621"/>
    <w:rsid w:val="08F1663D"/>
    <w:rsid w:val="08F16721"/>
    <w:rsid w:val="08F169ED"/>
    <w:rsid w:val="08F16A7C"/>
    <w:rsid w:val="08F16AEA"/>
    <w:rsid w:val="08F16B62"/>
    <w:rsid w:val="08F16B82"/>
    <w:rsid w:val="08F16B8D"/>
    <w:rsid w:val="08F16C44"/>
    <w:rsid w:val="08F16CC1"/>
    <w:rsid w:val="08F16CD1"/>
    <w:rsid w:val="08F16E05"/>
    <w:rsid w:val="08F16E3D"/>
    <w:rsid w:val="08F16F3C"/>
    <w:rsid w:val="08F16F85"/>
    <w:rsid w:val="08F16F96"/>
    <w:rsid w:val="08F16FB9"/>
    <w:rsid w:val="08F17001"/>
    <w:rsid w:val="08F1711A"/>
    <w:rsid w:val="08F17269"/>
    <w:rsid w:val="08F172D0"/>
    <w:rsid w:val="08F172D8"/>
    <w:rsid w:val="08F172E4"/>
    <w:rsid w:val="08F173BE"/>
    <w:rsid w:val="08F173D5"/>
    <w:rsid w:val="08F173DB"/>
    <w:rsid w:val="08F17405"/>
    <w:rsid w:val="08F17411"/>
    <w:rsid w:val="08F1751E"/>
    <w:rsid w:val="08F1756F"/>
    <w:rsid w:val="08F175D4"/>
    <w:rsid w:val="08F1763C"/>
    <w:rsid w:val="08F176F4"/>
    <w:rsid w:val="08F1772D"/>
    <w:rsid w:val="08F17779"/>
    <w:rsid w:val="08F17842"/>
    <w:rsid w:val="08F178E9"/>
    <w:rsid w:val="08F1799E"/>
    <w:rsid w:val="08F179DF"/>
    <w:rsid w:val="08F17A55"/>
    <w:rsid w:val="08F17A7E"/>
    <w:rsid w:val="08F17AF8"/>
    <w:rsid w:val="08F17B86"/>
    <w:rsid w:val="08F17C2E"/>
    <w:rsid w:val="08F17CA3"/>
    <w:rsid w:val="08F17CED"/>
    <w:rsid w:val="08F17D1C"/>
    <w:rsid w:val="08F17D6C"/>
    <w:rsid w:val="08F17DCF"/>
    <w:rsid w:val="08F17E9D"/>
    <w:rsid w:val="08F17EBF"/>
    <w:rsid w:val="08F17F1F"/>
    <w:rsid w:val="08F17F48"/>
    <w:rsid w:val="08F17FA0"/>
    <w:rsid w:val="08F17FE5"/>
    <w:rsid w:val="08F20025"/>
    <w:rsid w:val="08F2002E"/>
    <w:rsid w:val="08F20049"/>
    <w:rsid w:val="08F20392"/>
    <w:rsid w:val="08F203BA"/>
    <w:rsid w:val="08F204B2"/>
    <w:rsid w:val="08F204B9"/>
    <w:rsid w:val="08F205D8"/>
    <w:rsid w:val="08F20622"/>
    <w:rsid w:val="08F20849"/>
    <w:rsid w:val="08F208E2"/>
    <w:rsid w:val="08F20979"/>
    <w:rsid w:val="08F209AF"/>
    <w:rsid w:val="08F20A4B"/>
    <w:rsid w:val="08F20A4C"/>
    <w:rsid w:val="08F20A74"/>
    <w:rsid w:val="08F20A7A"/>
    <w:rsid w:val="08F20AEC"/>
    <w:rsid w:val="08F20B74"/>
    <w:rsid w:val="08F20BEC"/>
    <w:rsid w:val="08F20D09"/>
    <w:rsid w:val="08F20D16"/>
    <w:rsid w:val="08F20DC5"/>
    <w:rsid w:val="08F20F2B"/>
    <w:rsid w:val="08F21020"/>
    <w:rsid w:val="08F21181"/>
    <w:rsid w:val="08F211AB"/>
    <w:rsid w:val="08F213C9"/>
    <w:rsid w:val="08F213F9"/>
    <w:rsid w:val="08F21742"/>
    <w:rsid w:val="08F21746"/>
    <w:rsid w:val="08F2178E"/>
    <w:rsid w:val="08F217C3"/>
    <w:rsid w:val="08F21861"/>
    <w:rsid w:val="08F21897"/>
    <w:rsid w:val="08F2194C"/>
    <w:rsid w:val="08F2198C"/>
    <w:rsid w:val="08F2198D"/>
    <w:rsid w:val="08F219BC"/>
    <w:rsid w:val="08F21A1A"/>
    <w:rsid w:val="08F21B15"/>
    <w:rsid w:val="08F21C1E"/>
    <w:rsid w:val="08F21C24"/>
    <w:rsid w:val="08F21E20"/>
    <w:rsid w:val="08F21F9B"/>
    <w:rsid w:val="08F22090"/>
    <w:rsid w:val="08F220CA"/>
    <w:rsid w:val="08F2212B"/>
    <w:rsid w:val="08F2220E"/>
    <w:rsid w:val="08F22232"/>
    <w:rsid w:val="08F22260"/>
    <w:rsid w:val="08F22264"/>
    <w:rsid w:val="08F222CF"/>
    <w:rsid w:val="08F223F3"/>
    <w:rsid w:val="08F22403"/>
    <w:rsid w:val="08F22525"/>
    <w:rsid w:val="08F227BF"/>
    <w:rsid w:val="08F2285D"/>
    <w:rsid w:val="08F22968"/>
    <w:rsid w:val="08F22A17"/>
    <w:rsid w:val="08F22B36"/>
    <w:rsid w:val="08F22BB3"/>
    <w:rsid w:val="08F22BDC"/>
    <w:rsid w:val="08F22C5B"/>
    <w:rsid w:val="08F22C97"/>
    <w:rsid w:val="08F22D3B"/>
    <w:rsid w:val="08F22E50"/>
    <w:rsid w:val="08F22E8B"/>
    <w:rsid w:val="08F22E8E"/>
    <w:rsid w:val="08F22F4F"/>
    <w:rsid w:val="08F22FD9"/>
    <w:rsid w:val="08F2305E"/>
    <w:rsid w:val="08F230A0"/>
    <w:rsid w:val="08F230AC"/>
    <w:rsid w:val="08F230D5"/>
    <w:rsid w:val="08F231FC"/>
    <w:rsid w:val="08F23397"/>
    <w:rsid w:val="08F234CF"/>
    <w:rsid w:val="08F2354A"/>
    <w:rsid w:val="08F23652"/>
    <w:rsid w:val="08F2366B"/>
    <w:rsid w:val="08F23671"/>
    <w:rsid w:val="08F23708"/>
    <w:rsid w:val="08F23778"/>
    <w:rsid w:val="08F237BD"/>
    <w:rsid w:val="08F23A05"/>
    <w:rsid w:val="08F23AE4"/>
    <w:rsid w:val="08F23B04"/>
    <w:rsid w:val="08F23B1D"/>
    <w:rsid w:val="08F23B9E"/>
    <w:rsid w:val="08F23C5B"/>
    <w:rsid w:val="08F23C7D"/>
    <w:rsid w:val="08F23D1A"/>
    <w:rsid w:val="08F23DFD"/>
    <w:rsid w:val="08F23E08"/>
    <w:rsid w:val="08F23E10"/>
    <w:rsid w:val="08F23E66"/>
    <w:rsid w:val="08F23EB4"/>
    <w:rsid w:val="08F23EF7"/>
    <w:rsid w:val="08F23F2F"/>
    <w:rsid w:val="08F23F3E"/>
    <w:rsid w:val="08F23F91"/>
    <w:rsid w:val="08F23FBF"/>
    <w:rsid w:val="08F23FC9"/>
    <w:rsid w:val="08F23FCE"/>
    <w:rsid w:val="08F240B4"/>
    <w:rsid w:val="08F240D4"/>
    <w:rsid w:val="08F24181"/>
    <w:rsid w:val="08F241DE"/>
    <w:rsid w:val="08F24224"/>
    <w:rsid w:val="08F243EA"/>
    <w:rsid w:val="08F2446F"/>
    <w:rsid w:val="08F24499"/>
    <w:rsid w:val="08F244A4"/>
    <w:rsid w:val="08F24566"/>
    <w:rsid w:val="08F24590"/>
    <w:rsid w:val="08F245AD"/>
    <w:rsid w:val="08F2477F"/>
    <w:rsid w:val="08F24818"/>
    <w:rsid w:val="08F2481A"/>
    <w:rsid w:val="08F24845"/>
    <w:rsid w:val="08F24864"/>
    <w:rsid w:val="08F24865"/>
    <w:rsid w:val="08F248E3"/>
    <w:rsid w:val="08F24922"/>
    <w:rsid w:val="08F24953"/>
    <w:rsid w:val="08F2498E"/>
    <w:rsid w:val="08F24A1F"/>
    <w:rsid w:val="08F24A3F"/>
    <w:rsid w:val="08F24A50"/>
    <w:rsid w:val="08F24A80"/>
    <w:rsid w:val="08F24AB6"/>
    <w:rsid w:val="08F24B83"/>
    <w:rsid w:val="08F24C4A"/>
    <w:rsid w:val="08F24D49"/>
    <w:rsid w:val="08F24DBB"/>
    <w:rsid w:val="08F24E07"/>
    <w:rsid w:val="08F24E54"/>
    <w:rsid w:val="08F24FB8"/>
    <w:rsid w:val="08F2501A"/>
    <w:rsid w:val="08F25076"/>
    <w:rsid w:val="08F250AA"/>
    <w:rsid w:val="08F250CF"/>
    <w:rsid w:val="08F2510C"/>
    <w:rsid w:val="08F25117"/>
    <w:rsid w:val="08F2517A"/>
    <w:rsid w:val="08F2518F"/>
    <w:rsid w:val="08F25215"/>
    <w:rsid w:val="08F25222"/>
    <w:rsid w:val="08F25289"/>
    <w:rsid w:val="08F25415"/>
    <w:rsid w:val="08F2555B"/>
    <w:rsid w:val="08F2557E"/>
    <w:rsid w:val="08F2579F"/>
    <w:rsid w:val="08F2583A"/>
    <w:rsid w:val="08F258AA"/>
    <w:rsid w:val="08F258DB"/>
    <w:rsid w:val="08F25922"/>
    <w:rsid w:val="08F25968"/>
    <w:rsid w:val="08F25987"/>
    <w:rsid w:val="08F259D6"/>
    <w:rsid w:val="08F25A1E"/>
    <w:rsid w:val="08F25A51"/>
    <w:rsid w:val="08F25B61"/>
    <w:rsid w:val="08F25BFE"/>
    <w:rsid w:val="08F25C0D"/>
    <w:rsid w:val="08F25C64"/>
    <w:rsid w:val="08F25C84"/>
    <w:rsid w:val="08F25C89"/>
    <w:rsid w:val="08F25CF2"/>
    <w:rsid w:val="08F25CF7"/>
    <w:rsid w:val="08F25D8C"/>
    <w:rsid w:val="08F25D99"/>
    <w:rsid w:val="08F25DE0"/>
    <w:rsid w:val="08F25E36"/>
    <w:rsid w:val="08F25E81"/>
    <w:rsid w:val="08F25FD2"/>
    <w:rsid w:val="08F26055"/>
    <w:rsid w:val="08F260AB"/>
    <w:rsid w:val="08F260F5"/>
    <w:rsid w:val="08F26104"/>
    <w:rsid w:val="08F2612A"/>
    <w:rsid w:val="08F2619F"/>
    <w:rsid w:val="08F2620A"/>
    <w:rsid w:val="08F26296"/>
    <w:rsid w:val="08F26299"/>
    <w:rsid w:val="08F262AC"/>
    <w:rsid w:val="08F262C7"/>
    <w:rsid w:val="08F26445"/>
    <w:rsid w:val="08F2644D"/>
    <w:rsid w:val="08F2649E"/>
    <w:rsid w:val="08F2650D"/>
    <w:rsid w:val="08F26555"/>
    <w:rsid w:val="08F265D6"/>
    <w:rsid w:val="08F265FC"/>
    <w:rsid w:val="08F26734"/>
    <w:rsid w:val="08F26752"/>
    <w:rsid w:val="08F2676E"/>
    <w:rsid w:val="08F26805"/>
    <w:rsid w:val="08F26855"/>
    <w:rsid w:val="08F268E7"/>
    <w:rsid w:val="08F268E9"/>
    <w:rsid w:val="08F268EE"/>
    <w:rsid w:val="08F26916"/>
    <w:rsid w:val="08F26987"/>
    <w:rsid w:val="08F269AC"/>
    <w:rsid w:val="08F269B6"/>
    <w:rsid w:val="08F269B8"/>
    <w:rsid w:val="08F269D0"/>
    <w:rsid w:val="08F26A9F"/>
    <w:rsid w:val="08F26AB1"/>
    <w:rsid w:val="08F26B7D"/>
    <w:rsid w:val="08F26BB3"/>
    <w:rsid w:val="08F26C08"/>
    <w:rsid w:val="08F26C3F"/>
    <w:rsid w:val="08F26C57"/>
    <w:rsid w:val="08F26C62"/>
    <w:rsid w:val="08F26CB8"/>
    <w:rsid w:val="08F26D0D"/>
    <w:rsid w:val="08F26D9B"/>
    <w:rsid w:val="08F26DBF"/>
    <w:rsid w:val="08F26E66"/>
    <w:rsid w:val="08F26F7B"/>
    <w:rsid w:val="08F26FAB"/>
    <w:rsid w:val="08F26FFE"/>
    <w:rsid w:val="08F27086"/>
    <w:rsid w:val="08F270BF"/>
    <w:rsid w:val="08F27264"/>
    <w:rsid w:val="08F27316"/>
    <w:rsid w:val="08F27327"/>
    <w:rsid w:val="08F273AE"/>
    <w:rsid w:val="08F273E9"/>
    <w:rsid w:val="08F27455"/>
    <w:rsid w:val="08F274BC"/>
    <w:rsid w:val="08F27558"/>
    <w:rsid w:val="08F275A1"/>
    <w:rsid w:val="08F27600"/>
    <w:rsid w:val="08F27684"/>
    <w:rsid w:val="08F27798"/>
    <w:rsid w:val="08F2779D"/>
    <w:rsid w:val="08F277BB"/>
    <w:rsid w:val="08F27837"/>
    <w:rsid w:val="08F2783A"/>
    <w:rsid w:val="08F2784D"/>
    <w:rsid w:val="08F27891"/>
    <w:rsid w:val="08F2789B"/>
    <w:rsid w:val="08F279E8"/>
    <w:rsid w:val="08F279F5"/>
    <w:rsid w:val="08F27A3C"/>
    <w:rsid w:val="08F27B39"/>
    <w:rsid w:val="08F27BC0"/>
    <w:rsid w:val="08F27C93"/>
    <w:rsid w:val="08F27D34"/>
    <w:rsid w:val="08F27E33"/>
    <w:rsid w:val="08F27E9D"/>
    <w:rsid w:val="08F27F51"/>
    <w:rsid w:val="08F30014"/>
    <w:rsid w:val="08F30022"/>
    <w:rsid w:val="08F3007A"/>
    <w:rsid w:val="08F300FC"/>
    <w:rsid w:val="08F3013F"/>
    <w:rsid w:val="08F30235"/>
    <w:rsid w:val="08F30484"/>
    <w:rsid w:val="08F3049F"/>
    <w:rsid w:val="08F304BE"/>
    <w:rsid w:val="08F304D2"/>
    <w:rsid w:val="08F30521"/>
    <w:rsid w:val="08F305A7"/>
    <w:rsid w:val="08F305CC"/>
    <w:rsid w:val="08F30678"/>
    <w:rsid w:val="08F30795"/>
    <w:rsid w:val="08F3082A"/>
    <w:rsid w:val="08F30840"/>
    <w:rsid w:val="08F30884"/>
    <w:rsid w:val="08F308D8"/>
    <w:rsid w:val="08F30B41"/>
    <w:rsid w:val="08F30B77"/>
    <w:rsid w:val="08F30B96"/>
    <w:rsid w:val="08F30BBB"/>
    <w:rsid w:val="08F30BD8"/>
    <w:rsid w:val="08F30BF3"/>
    <w:rsid w:val="08F30D92"/>
    <w:rsid w:val="08F30E1A"/>
    <w:rsid w:val="08F30E44"/>
    <w:rsid w:val="08F30E49"/>
    <w:rsid w:val="08F30EBF"/>
    <w:rsid w:val="08F30EC2"/>
    <w:rsid w:val="08F30EE5"/>
    <w:rsid w:val="08F30EE7"/>
    <w:rsid w:val="08F30F20"/>
    <w:rsid w:val="08F30FAE"/>
    <w:rsid w:val="08F310B5"/>
    <w:rsid w:val="08F3114F"/>
    <w:rsid w:val="08F31255"/>
    <w:rsid w:val="08F312CB"/>
    <w:rsid w:val="08F31315"/>
    <w:rsid w:val="08F31351"/>
    <w:rsid w:val="08F31384"/>
    <w:rsid w:val="08F313E0"/>
    <w:rsid w:val="08F31430"/>
    <w:rsid w:val="08F31451"/>
    <w:rsid w:val="08F31452"/>
    <w:rsid w:val="08F314CB"/>
    <w:rsid w:val="08F31574"/>
    <w:rsid w:val="08F315E3"/>
    <w:rsid w:val="08F31607"/>
    <w:rsid w:val="08F31709"/>
    <w:rsid w:val="08F3173B"/>
    <w:rsid w:val="08F317A9"/>
    <w:rsid w:val="08F3180C"/>
    <w:rsid w:val="08F3182F"/>
    <w:rsid w:val="08F31877"/>
    <w:rsid w:val="08F31900"/>
    <w:rsid w:val="08F31AC0"/>
    <w:rsid w:val="08F31AE8"/>
    <w:rsid w:val="08F31B03"/>
    <w:rsid w:val="08F31BDD"/>
    <w:rsid w:val="08F31C21"/>
    <w:rsid w:val="08F31C82"/>
    <w:rsid w:val="08F31CA7"/>
    <w:rsid w:val="08F31CA9"/>
    <w:rsid w:val="08F31CB4"/>
    <w:rsid w:val="08F31CD7"/>
    <w:rsid w:val="08F31EE7"/>
    <w:rsid w:val="08F31F21"/>
    <w:rsid w:val="08F31F9B"/>
    <w:rsid w:val="08F31FBE"/>
    <w:rsid w:val="08F3200F"/>
    <w:rsid w:val="08F3208B"/>
    <w:rsid w:val="08F320A8"/>
    <w:rsid w:val="08F320FA"/>
    <w:rsid w:val="08F32225"/>
    <w:rsid w:val="08F3222F"/>
    <w:rsid w:val="08F32232"/>
    <w:rsid w:val="08F322A8"/>
    <w:rsid w:val="08F32352"/>
    <w:rsid w:val="08F323E0"/>
    <w:rsid w:val="08F32436"/>
    <w:rsid w:val="08F3249D"/>
    <w:rsid w:val="08F325C2"/>
    <w:rsid w:val="08F32723"/>
    <w:rsid w:val="08F3278B"/>
    <w:rsid w:val="08F327E2"/>
    <w:rsid w:val="08F3280C"/>
    <w:rsid w:val="08F3284D"/>
    <w:rsid w:val="08F328FD"/>
    <w:rsid w:val="08F3296B"/>
    <w:rsid w:val="08F32A4B"/>
    <w:rsid w:val="08F32AFF"/>
    <w:rsid w:val="08F32C72"/>
    <w:rsid w:val="08F32C89"/>
    <w:rsid w:val="08F32CB1"/>
    <w:rsid w:val="08F32D22"/>
    <w:rsid w:val="08F32D9A"/>
    <w:rsid w:val="08F32E83"/>
    <w:rsid w:val="08F32EC4"/>
    <w:rsid w:val="08F32EEE"/>
    <w:rsid w:val="08F32F58"/>
    <w:rsid w:val="08F32FC4"/>
    <w:rsid w:val="08F33017"/>
    <w:rsid w:val="08F330AF"/>
    <w:rsid w:val="08F3312F"/>
    <w:rsid w:val="08F33205"/>
    <w:rsid w:val="08F3325C"/>
    <w:rsid w:val="08F3325E"/>
    <w:rsid w:val="08F33329"/>
    <w:rsid w:val="08F3333C"/>
    <w:rsid w:val="08F33351"/>
    <w:rsid w:val="08F333DD"/>
    <w:rsid w:val="08F334E4"/>
    <w:rsid w:val="08F33506"/>
    <w:rsid w:val="08F33566"/>
    <w:rsid w:val="08F3359F"/>
    <w:rsid w:val="08F336EC"/>
    <w:rsid w:val="08F336F5"/>
    <w:rsid w:val="08F33767"/>
    <w:rsid w:val="08F338D9"/>
    <w:rsid w:val="08F33974"/>
    <w:rsid w:val="08F339C5"/>
    <w:rsid w:val="08F339CD"/>
    <w:rsid w:val="08F33C1F"/>
    <w:rsid w:val="08F33C33"/>
    <w:rsid w:val="08F33CA7"/>
    <w:rsid w:val="08F33D65"/>
    <w:rsid w:val="08F33D68"/>
    <w:rsid w:val="08F33E46"/>
    <w:rsid w:val="08F33EA8"/>
    <w:rsid w:val="08F33EE8"/>
    <w:rsid w:val="08F33F8D"/>
    <w:rsid w:val="08F33FE3"/>
    <w:rsid w:val="08F3400E"/>
    <w:rsid w:val="08F34014"/>
    <w:rsid w:val="08F34024"/>
    <w:rsid w:val="08F34051"/>
    <w:rsid w:val="08F3411F"/>
    <w:rsid w:val="08F34183"/>
    <w:rsid w:val="08F3418C"/>
    <w:rsid w:val="08F341CD"/>
    <w:rsid w:val="08F341F9"/>
    <w:rsid w:val="08F34245"/>
    <w:rsid w:val="08F34246"/>
    <w:rsid w:val="08F342BE"/>
    <w:rsid w:val="08F3433E"/>
    <w:rsid w:val="08F3435B"/>
    <w:rsid w:val="08F343AC"/>
    <w:rsid w:val="08F3446A"/>
    <w:rsid w:val="08F34502"/>
    <w:rsid w:val="08F34559"/>
    <w:rsid w:val="08F34570"/>
    <w:rsid w:val="08F345D0"/>
    <w:rsid w:val="08F345E4"/>
    <w:rsid w:val="08F34601"/>
    <w:rsid w:val="08F347C3"/>
    <w:rsid w:val="08F347C8"/>
    <w:rsid w:val="08F3482B"/>
    <w:rsid w:val="08F3487C"/>
    <w:rsid w:val="08F349AD"/>
    <w:rsid w:val="08F34A6D"/>
    <w:rsid w:val="08F34AC6"/>
    <w:rsid w:val="08F34B57"/>
    <w:rsid w:val="08F34B8F"/>
    <w:rsid w:val="08F34BF2"/>
    <w:rsid w:val="08F34C08"/>
    <w:rsid w:val="08F34C3C"/>
    <w:rsid w:val="08F34C56"/>
    <w:rsid w:val="08F34D6A"/>
    <w:rsid w:val="08F34DF1"/>
    <w:rsid w:val="08F34FA3"/>
    <w:rsid w:val="08F34FB3"/>
    <w:rsid w:val="08F34FCE"/>
    <w:rsid w:val="08F3501E"/>
    <w:rsid w:val="08F3509E"/>
    <w:rsid w:val="08F350B0"/>
    <w:rsid w:val="08F35120"/>
    <w:rsid w:val="08F35166"/>
    <w:rsid w:val="08F3517A"/>
    <w:rsid w:val="08F351FC"/>
    <w:rsid w:val="08F35224"/>
    <w:rsid w:val="08F35367"/>
    <w:rsid w:val="08F353D1"/>
    <w:rsid w:val="08F3542D"/>
    <w:rsid w:val="08F3554D"/>
    <w:rsid w:val="08F3563A"/>
    <w:rsid w:val="08F3566C"/>
    <w:rsid w:val="08F35673"/>
    <w:rsid w:val="08F35806"/>
    <w:rsid w:val="08F35814"/>
    <w:rsid w:val="08F35848"/>
    <w:rsid w:val="08F35867"/>
    <w:rsid w:val="08F358AE"/>
    <w:rsid w:val="08F358BF"/>
    <w:rsid w:val="08F3592B"/>
    <w:rsid w:val="08F359E1"/>
    <w:rsid w:val="08F35ACF"/>
    <w:rsid w:val="08F35B32"/>
    <w:rsid w:val="08F35B42"/>
    <w:rsid w:val="08F35BCF"/>
    <w:rsid w:val="08F35CAE"/>
    <w:rsid w:val="08F35DD1"/>
    <w:rsid w:val="08F35E30"/>
    <w:rsid w:val="08F360E3"/>
    <w:rsid w:val="08F36149"/>
    <w:rsid w:val="08F3620A"/>
    <w:rsid w:val="08F36279"/>
    <w:rsid w:val="08F36321"/>
    <w:rsid w:val="08F363E3"/>
    <w:rsid w:val="08F3648E"/>
    <w:rsid w:val="08F364C0"/>
    <w:rsid w:val="08F364F0"/>
    <w:rsid w:val="08F36581"/>
    <w:rsid w:val="08F36597"/>
    <w:rsid w:val="08F365EE"/>
    <w:rsid w:val="08F366A9"/>
    <w:rsid w:val="08F36716"/>
    <w:rsid w:val="08F3673B"/>
    <w:rsid w:val="08F3673F"/>
    <w:rsid w:val="08F367A7"/>
    <w:rsid w:val="08F367E8"/>
    <w:rsid w:val="08F367F6"/>
    <w:rsid w:val="08F367F9"/>
    <w:rsid w:val="08F3690F"/>
    <w:rsid w:val="08F36939"/>
    <w:rsid w:val="08F36951"/>
    <w:rsid w:val="08F36A3C"/>
    <w:rsid w:val="08F36AD9"/>
    <w:rsid w:val="08F36AF5"/>
    <w:rsid w:val="08F36B5A"/>
    <w:rsid w:val="08F36BC6"/>
    <w:rsid w:val="08F36BFC"/>
    <w:rsid w:val="08F36C22"/>
    <w:rsid w:val="08F36D2F"/>
    <w:rsid w:val="08F36E50"/>
    <w:rsid w:val="08F36EE9"/>
    <w:rsid w:val="08F36FAD"/>
    <w:rsid w:val="08F36FB0"/>
    <w:rsid w:val="08F36FC8"/>
    <w:rsid w:val="08F370A6"/>
    <w:rsid w:val="08F3718D"/>
    <w:rsid w:val="08F37191"/>
    <w:rsid w:val="08F37305"/>
    <w:rsid w:val="08F37448"/>
    <w:rsid w:val="08F3744B"/>
    <w:rsid w:val="08F374B4"/>
    <w:rsid w:val="08F374C4"/>
    <w:rsid w:val="08F374DD"/>
    <w:rsid w:val="08F37590"/>
    <w:rsid w:val="08F375B1"/>
    <w:rsid w:val="08F3761B"/>
    <w:rsid w:val="08F376F7"/>
    <w:rsid w:val="08F37715"/>
    <w:rsid w:val="08F37730"/>
    <w:rsid w:val="08F377F2"/>
    <w:rsid w:val="08F378DB"/>
    <w:rsid w:val="08F3794A"/>
    <w:rsid w:val="08F3797B"/>
    <w:rsid w:val="08F379E6"/>
    <w:rsid w:val="08F379EB"/>
    <w:rsid w:val="08F379FE"/>
    <w:rsid w:val="08F37A55"/>
    <w:rsid w:val="08F37AA8"/>
    <w:rsid w:val="08F37AD3"/>
    <w:rsid w:val="08F37B3D"/>
    <w:rsid w:val="08F37B66"/>
    <w:rsid w:val="08F37B97"/>
    <w:rsid w:val="08F37BAE"/>
    <w:rsid w:val="08F37BB6"/>
    <w:rsid w:val="08F37BED"/>
    <w:rsid w:val="08F37C03"/>
    <w:rsid w:val="08F37DAC"/>
    <w:rsid w:val="08F37EAA"/>
    <w:rsid w:val="08F37F22"/>
    <w:rsid w:val="08F37FDB"/>
    <w:rsid w:val="08F37FEF"/>
    <w:rsid w:val="08F40032"/>
    <w:rsid w:val="08F400BB"/>
    <w:rsid w:val="08F4012D"/>
    <w:rsid w:val="08F40168"/>
    <w:rsid w:val="08F40169"/>
    <w:rsid w:val="08F401E7"/>
    <w:rsid w:val="08F40222"/>
    <w:rsid w:val="08F40237"/>
    <w:rsid w:val="08F40284"/>
    <w:rsid w:val="08F40331"/>
    <w:rsid w:val="08F40371"/>
    <w:rsid w:val="08F403AA"/>
    <w:rsid w:val="08F4054B"/>
    <w:rsid w:val="08F405C0"/>
    <w:rsid w:val="08F40631"/>
    <w:rsid w:val="08F4063B"/>
    <w:rsid w:val="08F40774"/>
    <w:rsid w:val="08F407CF"/>
    <w:rsid w:val="08F4084B"/>
    <w:rsid w:val="08F40AA6"/>
    <w:rsid w:val="08F40B14"/>
    <w:rsid w:val="08F40B3E"/>
    <w:rsid w:val="08F40B53"/>
    <w:rsid w:val="08F40BA7"/>
    <w:rsid w:val="08F40BE7"/>
    <w:rsid w:val="08F40C42"/>
    <w:rsid w:val="08F40CA3"/>
    <w:rsid w:val="08F40CB3"/>
    <w:rsid w:val="08F40D0A"/>
    <w:rsid w:val="08F40D4F"/>
    <w:rsid w:val="08F40D59"/>
    <w:rsid w:val="08F40E8F"/>
    <w:rsid w:val="08F40EC7"/>
    <w:rsid w:val="08F40F57"/>
    <w:rsid w:val="08F41025"/>
    <w:rsid w:val="08F4106C"/>
    <w:rsid w:val="08F4114C"/>
    <w:rsid w:val="08F41168"/>
    <w:rsid w:val="08F411E5"/>
    <w:rsid w:val="08F41319"/>
    <w:rsid w:val="08F413CB"/>
    <w:rsid w:val="08F413F7"/>
    <w:rsid w:val="08F4142E"/>
    <w:rsid w:val="08F414A1"/>
    <w:rsid w:val="08F4153E"/>
    <w:rsid w:val="08F415A4"/>
    <w:rsid w:val="08F415E7"/>
    <w:rsid w:val="08F41638"/>
    <w:rsid w:val="08F416C4"/>
    <w:rsid w:val="08F41734"/>
    <w:rsid w:val="08F41769"/>
    <w:rsid w:val="08F417A0"/>
    <w:rsid w:val="08F417BA"/>
    <w:rsid w:val="08F41911"/>
    <w:rsid w:val="08F4197D"/>
    <w:rsid w:val="08F41A99"/>
    <w:rsid w:val="08F41AA6"/>
    <w:rsid w:val="08F41ADE"/>
    <w:rsid w:val="08F41BF4"/>
    <w:rsid w:val="08F41CD1"/>
    <w:rsid w:val="08F41CE7"/>
    <w:rsid w:val="08F41D88"/>
    <w:rsid w:val="08F41DA6"/>
    <w:rsid w:val="08F41DD6"/>
    <w:rsid w:val="08F41FD1"/>
    <w:rsid w:val="08F421A1"/>
    <w:rsid w:val="08F422AF"/>
    <w:rsid w:val="08F422BF"/>
    <w:rsid w:val="08F424E6"/>
    <w:rsid w:val="08F42509"/>
    <w:rsid w:val="08F4250D"/>
    <w:rsid w:val="08F42551"/>
    <w:rsid w:val="08F425D4"/>
    <w:rsid w:val="08F426D1"/>
    <w:rsid w:val="08F426E3"/>
    <w:rsid w:val="08F4279A"/>
    <w:rsid w:val="08F4282A"/>
    <w:rsid w:val="08F4292C"/>
    <w:rsid w:val="08F429AD"/>
    <w:rsid w:val="08F429D8"/>
    <w:rsid w:val="08F429F6"/>
    <w:rsid w:val="08F42A29"/>
    <w:rsid w:val="08F42B20"/>
    <w:rsid w:val="08F42C16"/>
    <w:rsid w:val="08F42C49"/>
    <w:rsid w:val="08F42C78"/>
    <w:rsid w:val="08F42CCC"/>
    <w:rsid w:val="08F42D00"/>
    <w:rsid w:val="08F42D02"/>
    <w:rsid w:val="08F42D87"/>
    <w:rsid w:val="08F42DC1"/>
    <w:rsid w:val="08F42E01"/>
    <w:rsid w:val="08F42E3D"/>
    <w:rsid w:val="08F42E48"/>
    <w:rsid w:val="08F42EB3"/>
    <w:rsid w:val="08F42F20"/>
    <w:rsid w:val="08F42F93"/>
    <w:rsid w:val="08F43010"/>
    <w:rsid w:val="08F43079"/>
    <w:rsid w:val="08F4314D"/>
    <w:rsid w:val="08F43174"/>
    <w:rsid w:val="08F4317F"/>
    <w:rsid w:val="08F431EF"/>
    <w:rsid w:val="08F43308"/>
    <w:rsid w:val="08F43353"/>
    <w:rsid w:val="08F4341A"/>
    <w:rsid w:val="08F4355D"/>
    <w:rsid w:val="08F4357E"/>
    <w:rsid w:val="08F4357F"/>
    <w:rsid w:val="08F4358F"/>
    <w:rsid w:val="08F435C7"/>
    <w:rsid w:val="08F43676"/>
    <w:rsid w:val="08F43730"/>
    <w:rsid w:val="08F4383E"/>
    <w:rsid w:val="08F438CB"/>
    <w:rsid w:val="08F43939"/>
    <w:rsid w:val="08F43960"/>
    <w:rsid w:val="08F439DD"/>
    <w:rsid w:val="08F43A00"/>
    <w:rsid w:val="08F43A48"/>
    <w:rsid w:val="08F43BA3"/>
    <w:rsid w:val="08F43BF4"/>
    <w:rsid w:val="08F43C06"/>
    <w:rsid w:val="08F43C49"/>
    <w:rsid w:val="08F43D6B"/>
    <w:rsid w:val="08F43DB9"/>
    <w:rsid w:val="08F43E02"/>
    <w:rsid w:val="08F43E15"/>
    <w:rsid w:val="08F43E8F"/>
    <w:rsid w:val="08F43EF4"/>
    <w:rsid w:val="08F43EF5"/>
    <w:rsid w:val="08F440A5"/>
    <w:rsid w:val="08F44124"/>
    <w:rsid w:val="08F4425E"/>
    <w:rsid w:val="08F44296"/>
    <w:rsid w:val="08F4429A"/>
    <w:rsid w:val="08F442A1"/>
    <w:rsid w:val="08F4433D"/>
    <w:rsid w:val="08F443F9"/>
    <w:rsid w:val="08F44499"/>
    <w:rsid w:val="08F444E0"/>
    <w:rsid w:val="08F44553"/>
    <w:rsid w:val="08F445B2"/>
    <w:rsid w:val="08F445C3"/>
    <w:rsid w:val="08F445F2"/>
    <w:rsid w:val="08F4460A"/>
    <w:rsid w:val="08F44611"/>
    <w:rsid w:val="08F44639"/>
    <w:rsid w:val="08F44848"/>
    <w:rsid w:val="08F449C6"/>
    <w:rsid w:val="08F44A81"/>
    <w:rsid w:val="08F44B67"/>
    <w:rsid w:val="08F44BAE"/>
    <w:rsid w:val="08F44BCB"/>
    <w:rsid w:val="08F44C3A"/>
    <w:rsid w:val="08F44C56"/>
    <w:rsid w:val="08F44CD0"/>
    <w:rsid w:val="08F44CDB"/>
    <w:rsid w:val="08F44D60"/>
    <w:rsid w:val="08F44E5B"/>
    <w:rsid w:val="08F44ECA"/>
    <w:rsid w:val="08F44FE1"/>
    <w:rsid w:val="08F4501A"/>
    <w:rsid w:val="08F45023"/>
    <w:rsid w:val="08F45052"/>
    <w:rsid w:val="08F4505E"/>
    <w:rsid w:val="08F45086"/>
    <w:rsid w:val="08F4509B"/>
    <w:rsid w:val="08F450B5"/>
    <w:rsid w:val="08F450C6"/>
    <w:rsid w:val="08F45132"/>
    <w:rsid w:val="08F45202"/>
    <w:rsid w:val="08F45205"/>
    <w:rsid w:val="08F45373"/>
    <w:rsid w:val="08F453DD"/>
    <w:rsid w:val="08F453FA"/>
    <w:rsid w:val="08F454C7"/>
    <w:rsid w:val="08F45530"/>
    <w:rsid w:val="08F45540"/>
    <w:rsid w:val="08F45569"/>
    <w:rsid w:val="08F456CD"/>
    <w:rsid w:val="08F45718"/>
    <w:rsid w:val="08F4571F"/>
    <w:rsid w:val="08F4573F"/>
    <w:rsid w:val="08F45777"/>
    <w:rsid w:val="08F4577E"/>
    <w:rsid w:val="08F457D3"/>
    <w:rsid w:val="08F45815"/>
    <w:rsid w:val="08F45819"/>
    <w:rsid w:val="08F45836"/>
    <w:rsid w:val="08F458AA"/>
    <w:rsid w:val="08F458E0"/>
    <w:rsid w:val="08F458EC"/>
    <w:rsid w:val="08F458F8"/>
    <w:rsid w:val="08F4591F"/>
    <w:rsid w:val="08F45931"/>
    <w:rsid w:val="08F4597E"/>
    <w:rsid w:val="08F459A4"/>
    <w:rsid w:val="08F459D0"/>
    <w:rsid w:val="08F45A8D"/>
    <w:rsid w:val="08F45ADF"/>
    <w:rsid w:val="08F45B8C"/>
    <w:rsid w:val="08F45BAB"/>
    <w:rsid w:val="08F45C89"/>
    <w:rsid w:val="08F45CA8"/>
    <w:rsid w:val="08F45CB0"/>
    <w:rsid w:val="08F45D01"/>
    <w:rsid w:val="08F45DBC"/>
    <w:rsid w:val="08F45E10"/>
    <w:rsid w:val="08F45E42"/>
    <w:rsid w:val="08F45ECE"/>
    <w:rsid w:val="08F45F61"/>
    <w:rsid w:val="08F45F65"/>
    <w:rsid w:val="08F45FBB"/>
    <w:rsid w:val="08F4607A"/>
    <w:rsid w:val="08F46123"/>
    <w:rsid w:val="08F461FB"/>
    <w:rsid w:val="08F46230"/>
    <w:rsid w:val="08F4627B"/>
    <w:rsid w:val="08F46286"/>
    <w:rsid w:val="08F46336"/>
    <w:rsid w:val="08F4637E"/>
    <w:rsid w:val="08F463C9"/>
    <w:rsid w:val="08F463D5"/>
    <w:rsid w:val="08F46413"/>
    <w:rsid w:val="08F464A9"/>
    <w:rsid w:val="08F465B2"/>
    <w:rsid w:val="08F4663C"/>
    <w:rsid w:val="08F46645"/>
    <w:rsid w:val="08F466BA"/>
    <w:rsid w:val="08F4670D"/>
    <w:rsid w:val="08F46765"/>
    <w:rsid w:val="08F46788"/>
    <w:rsid w:val="08F46832"/>
    <w:rsid w:val="08F46843"/>
    <w:rsid w:val="08F46844"/>
    <w:rsid w:val="08F46851"/>
    <w:rsid w:val="08F469C5"/>
    <w:rsid w:val="08F469D3"/>
    <w:rsid w:val="08F46A44"/>
    <w:rsid w:val="08F46B03"/>
    <w:rsid w:val="08F46B0A"/>
    <w:rsid w:val="08F46BD7"/>
    <w:rsid w:val="08F46CEA"/>
    <w:rsid w:val="08F46E2F"/>
    <w:rsid w:val="08F46E54"/>
    <w:rsid w:val="08F46E7D"/>
    <w:rsid w:val="08F46EE7"/>
    <w:rsid w:val="08F47059"/>
    <w:rsid w:val="08F47071"/>
    <w:rsid w:val="08F4710A"/>
    <w:rsid w:val="08F47215"/>
    <w:rsid w:val="08F4728F"/>
    <w:rsid w:val="08F47295"/>
    <w:rsid w:val="08F472A7"/>
    <w:rsid w:val="08F4730B"/>
    <w:rsid w:val="08F473CF"/>
    <w:rsid w:val="08F47408"/>
    <w:rsid w:val="08F47425"/>
    <w:rsid w:val="08F47439"/>
    <w:rsid w:val="08F47890"/>
    <w:rsid w:val="08F478B8"/>
    <w:rsid w:val="08F47AAF"/>
    <w:rsid w:val="08F47C91"/>
    <w:rsid w:val="08F47D38"/>
    <w:rsid w:val="08F47D9B"/>
    <w:rsid w:val="08F47E3D"/>
    <w:rsid w:val="08F47E99"/>
    <w:rsid w:val="08F47ED3"/>
    <w:rsid w:val="08F47F14"/>
    <w:rsid w:val="08F47F64"/>
    <w:rsid w:val="08F50044"/>
    <w:rsid w:val="08F5018A"/>
    <w:rsid w:val="08F50196"/>
    <w:rsid w:val="08F50211"/>
    <w:rsid w:val="08F50222"/>
    <w:rsid w:val="08F502B1"/>
    <w:rsid w:val="08F502C9"/>
    <w:rsid w:val="08F503E0"/>
    <w:rsid w:val="08F503EF"/>
    <w:rsid w:val="08F504C0"/>
    <w:rsid w:val="08F50565"/>
    <w:rsid w:val="08F505A9"/>
    <w:rsid w:val="08F50637"/>
    <w:rsid w:val="08F5064F"/>
    <w:rsid w:val="08F506A8"/>
    <w:rsid w:val="08F50745"/>
    <w:rsid w:val="08F5080F"/>
    <w:rsid w:val="08F508B2"/>
    <w:rsid w:val="08F5091E"/>
    <w:rsid w:val="08F5094C"/>
    <w:rsid w:val="08F50979"/>
    <w:rsid w:val="08F509F3"/>
    <w:rsid w:val="08F50A05"/>
    <w:rsid w:val="08F50B12"/>
    <w:rsid w:val="08F50B4F"/>
    <w:rsid w:val="08F50BE0"/>
    <w:rsid w:val="08F50CBA"/>
    <w:rsid w:val="08F50CEC"/>
    <w:rsid w:val="08F50D0D"/>
    <w:rsid w:val="08F50D41"/>
    <w:rsid w:val="08F50D8B"/>
    <w:rsid w:val="08F50DB3"/>
    <w:rsid w:val="08F50DD0"/>
    <w:rsid w:val="08F50DFA"/>
    <w:rsid w:val="08F50E08"/>
    <w:rsid w:val="08F50E45"/>
    <w:rsid w:val="08F50E48"/>
    <w:rsid w:val="08F50EBB"/>
    <w:rsid w:val="08F50EE6"/>
    <w:rsid w:val="08F5106F"/>
    <w:rsid w:val="08F510E2"/>
    <w:rsid w:val="08F51241"/>
    <w:rsid w:val="08F512CB"/>
    <w:rsid w:val="08F51310"/>
    <w:rsid w:val="08F51362"/>
    <w:rsid w:val="08F51439"/>
    <w:rsid w:val="08F51442"/>
    <w:rsid w:val="08F51485"/>
    <w:rsid w:val="08F5152C"/>
    <w:rsid w:val="08F51588"/>
    <w:rsid w:val="08F5160D"/>
    <w:rsid w:val="08F5161F"/>
    <w:rsid w:val="08F517D7"/>
    <w:rsid w:val="08F5182C"/>
    <w:rsid w:val="08F51923"/>
    <w:rsid w:val="08F51979"/>
    <w:rsid w:val="08F51A0A"/>
    <w:rsid w:val="08F51A57"/>
    <w:rsid w:val="08F51A81"/>
    <w:rsid w:val="08F51B32"/>
    <w:rsid w:val="08F51B9C"/>
    <w:rsid w:val="08F51BD0"/>
    <w:rsid w:val="08F51CAB"/>
    <w:rsid w:val="08F51D2D"/>
    <w:rsid w:val="08F51D46"/>
    <w:rsid w:val="08F51D5E"/>
    <w:rsid w:val="08F51DB5"/>
    <w:rsid w:val="08F51DEF"/>
    <w:rsid w:val="08F51F14"/>
    <w:rsid w:val="08F51F4B"/>
    <w:rsid w:val="08F5206F"/>
    <w:rsid w:val="08F52168"/>
    <w:rsid w:val="08F5227E"/>
    <w:rsid w:val="08F522F7"/>
    <w:rsid w:val="08F5236F"/>
    <w:rsid w:val="08F523BE"/>
    <w:rsid w:val="08F523CF"/>
    <w:rsid w:val="08F52424"/>
    <w:rsid w:val="08F524A6"/>
    <w:rsid w:val="08F524CB"/>
    <w:rsid w:val="08F524F7"/>
    <w:rsid w:val="08F5257E"/>
    <w:rsid w:val="08F526E6"/>
    <w:rsid w:val="08F5274F"/>
    <w:rsid w:val="08F5277A"/>
    <w:rsid w:val="08F527FF"/>
    <w:rsid w:val="08F52813"/>
    <w:rsid w:val="08F52830"/>
    <w:rsid w:val="08F529FA"/>
    <w:rsid w:val="08F52A0C"/>
    <w:rsid w:val="08F52B52"/>
    <w:rsid w:val="08F52B62"/>
    <w:rsid w:val="08F52BF4"/>
    <w:rsid w:val="08F52BF7"/>
    <w:rsid w:val="08F52C15"/>
    <w:rsid w:val="08F52C87"/>
    <w:rsid w:val="08F52C96"/>
    <w:rsid w:val="08F52CC9"/>
    <w:rsid w:val="08F52CE7"/>
    <w:rsid w:val="08F52D37"/>
    <w:rsid w:val="08F52E8C"/>
    <w:rsid w:val="08F52EA7"/>
    <w:rsid w:val="08F52F63"/>
    <w:rsid w:val="08F53079"/>
    <w:rsid w:val="08F53174"/>
    <w:rsid w:val="08F53432"/>
    <w:rsid w:val="08F5343B"/>
    <w:rsid w:val="08F53540"/>
    <w:rsid w:val="08F5359D"/>
    <w:rsid w:val="08F535C9"/>
    <w:rsid w:val="08F535D2"/>
    <w:rsid w:val="08F53691"/>
    <w:rsid w:val="08F536E0"/>
    <w:rsid w:val="08F53723"/>
    <w:rsid w:val="08F53782"/>
    <w:rsid w:val="08F537EB"/>
    <w:rsid w:val="08F538D2"/>
    <w:rsid w:val="08F53907"/>
    <w:rsid w:val="08F53911"/>
    <w:rsid w:val="08F53912"/>
    <w:rsid w:val="08F53925"/>
    <w:rsid w:val="08F5399B"/>
    <w:rsid w:val="08F539F1"/>
    <w:rsid w:val="08F53AB7"/>
    <w:rsid w:val="08F53B24"/>
    <w:rsid w:val="08F53B2E"/>
    <w:rsid w:val="08F53BC5"/>
    <w:rsid w:val="08F53C56"/>
    <w:rsid w:val="08F53CA0"/>
    <w:rsid w:val="08F53DF1"/>
    <w:rsid w:val="08F53E20"/>
    <w:rsid w:val="08F53E25"/>
    <w:rsid w:val="08F53ECD"/>
    <w:rsid w:val="08F53F42"/>
    <w:rsid w:val="08F53F49"/>
    <w:rsid w:val="08F53F85"/>
    <w:rsid w:val="08F53F98"/>
    <w:rsid w:val="08F53FF0"/>
    <w:rsid w:val="08F54024"/>
    <w:rsid w:val="08F54071"/>
    <w:rsid w:val="08F5409E"/>
    <w:rsid w:val="08F541A8"/>
    <w:rsid w:val="08F541F6"/>
    <w:rsid w:val="08F541FF"/>
    <w:rsid w:val="08F54217"/>
    <w:rsid w:val="08F54226"/>
    <w:rsid w:val="08F54284"/>
    <w:rsid w:val="08F542A4"/>
    <w:rsid w:val="08F542E4"/>
    <w:rsid w:val="08F54348"/>
    <w:rsid w:val="08F54377"/>
    <w:rsid w:val="08F543CE"/>
    <w:rsid w:val="08F543F2"/>
    <w:rsid w:val="08F54448"/>
    <w:rsid w:val="08F5466E"/>
    <w:rsid w:val="08F546E4"/>
    <w:rsid w:val="08F54783"/>
    <w:rsid w:val="08F54845"/>
    <w:rsid w:val="08F5488C"/>
    <w:rsid w:val="08F548F1"/>
    <w:rsid w:val="08F5495E"/>
    <w:rsid w:val="08F5497B"/>
    <w:rsid w:val="08F549AB"/>
    <w:rsid w:val="08F549B9"/>
    <w:rsid w:val="08F549E5"/>
    <w:rsid w:val="08F54A22"/>
    <w:rsid w:val="08F54AC8"/>
    <w:rsid w:val="08F54ADB"/>
    <w:rsid w:val="08F54BCD"/>
    <w:rsid w:val="08F54D11"/>
    <w:rsid w:val="08F54E6C"/>
    <w:rsid w:val="08F54FCB"/>
    <w:rsid w:val="08F54FCD"/>
    <w:rsid w:val="08F54FD4"/>
    <w:rsid w:val="08F54FE8"/>
    <w:rsid w:val="08F55079"/>
    <w:rsid w:val="08F550C5"/>
    <w:rsid w:val="08F550E7"/>
    <w:rsid w:val="08F5515F"/>
    <w:rsid w:val="08F55183"/>
    <w:rsid w:val="08F55244"/>
    <w:rsid w:val="08F55281"/>
    <w:rsid w:val="08F5528A"/>
    <w:rsid w:val="08F5529D"/>
    <w:rsid w:val="08F552A2"/>
    <w:rsid w:val="08F552C2"/>
    <w:rsid w:val="08F553C7"/>
    <w:rsid w:val="08F553D6"/>
    <w:rsid w:val="08F55417"/>
    <w:rsid w:val="08F55621"/>
    <w:rsid w:val="08F55696"/>
    <w:rsid w:val="08F5581B"/>
    <w:rsid w:val="08F55944"/>
    <w:rsid w:val="08F559E5"/>
    <w:rsid w:val="08F55C03"/>
    <w:rsid w:val="08F55CCF"/>
    <w:rsid w:val="08F55CED"/>
    <w:rsid w:val="08F55DC9"/>
    <w:rsid w:val="08F55DED"/>
    <w:rsid w:val="08F55E1E"/>
    <w:rsid w:val="08F55E7A"/>
    <w:rsid w:val="08F55FD8"/>
    <w:rsid w:val="08F55FEC"/>
    <w:rsid w:val="08F56066"/>
    <w:rsid w:val="08F560C2"/>
    <w:rsid w:val="08F5610A"/>
    <w:rsid w:val="08F561F6"/>
    <w:rsid w:val="08F562A5"/>
    <w:rsid w:val="08F562F0"/>
    <w:rsid w:val="08F563B4"/>
    <w:rsid w:val="08F563CF"/>
    <w:rsid w:val="08F5650E"/>
    <w:rsid w:val="08F5660D"/>
    <w:rsid w:val="08F5660E"/>
    <w:rsid w:val="08F56727"/>
    <w:rsid w:val="08F567A4"/>
    <w:rsid w:val="08F567F3"/>
    <w:rsid w:val="08F56878"/>
    <w:rsid w:val="08F568E1"/>
    <w:rsid w:val="08F56A49"/>
    <w:rsid w:val="08F56A5E"/>
    <w:rsid w:val="08F56AE2"/>
    <w:rsid w:val="08F56B11"/>
    <w:rsid w:val="08F56B15"/>
    <w:rsid w:val="08F56C3C"/>
    <w:rsid w:val="08F56C8D"/>
    <w:rsid w:val="08F56D3A"/>
    <w:rsid w:val="08F56D88"/>
    <w:rsid w:val="08F56DFD"/>
    <w:rsid w:val="08F56E5A"/>
    <w:rsid w:val="08F56EF4"/>
    <w:rsid w:val="08F56FE3"/>
    <w:rsid w:val="08F57003"/>
    <w:rsid w:val="08F57009"/>
    <w:rsid w:val="08F570B0"/>
    <w:rsid w:val="08F570B6"/>
    <w:rsid w:val="08F57112"/>
    <w:rsid w:val="08F5715E"/>
    <w:rsid w:val="08F5723B"/>
    <w:rsid w:val="08F57250"/>
    <w:rsid w:val="08F5725A"/>
    <w:rsid w:val="08F57391"/>
    <w:rsid w:val="08F573F9"/>
    <w:rsid w:val="08F57416"/>
    <w:rsid w:val="08F5747B"/>
    <w:rsid w:val="08F57517"/>
    <w:rsid w:val="08F575F0"/>
    <w:rsid w:val="08F5760B"/>
    <w:rsid w:val="08F5764B"/>
    <w:rsid w:val="08F576F1"/>
    <w:rsid w:val="08F5775B"/>
    <w:rsid w:val="08F57A35"/>
    <w:rsid w:val="08F57AB4"/>
    <w:rsid w:val="08F57B5D"/>
    <w:rsid w:val="08F57C20"/>
    <w:rsid w:val="08F57C72"/>
    <w:rsid w:val="08F57D43"/>
    <w:rsid w:val="08F57E47"/>
    <w:rsid w:val="08F57F0F"/>
    <w:rsid w:val="08F600DC"/>
    <w:rsid w:val="08F600F1"/>
    <w:rsid w:val="08F60122"/>
    <w:rsid w:val="08F60166"/>
    <w:rsid w:val="08F6018F"/>
    <w:rsid w:val="08F601B7"/>
    <w:rsid w:val="08F601BF"/>
    <w:rsid w:val="08F601CD"/>
    <w:rsid w:val="08F601D2"/>
    <w:rsid w:val="08F601E4"/>
    <w:rsid w:val="08F60318"/>
    <w:rsid w:val="08F6037E"/>
    <w:rsid w:val="08F603A2"/>
    <w:rsid w:val="08F60411"/>
    <w:rsid w:val="08F604DB"/>
    <w:rsid w:val="08F6050B"/>
    <w:rsid w:val="08F6051E"/>
    <w:rsid w:val="08F605CA"/>
    <w:rsid w:val="08F605E9"/>
    <w:rsid w:val="08F60674"/>
    <w:rsid w:val="08F60699"/>
    <w:rsid w:val="08F606A0"/>
    <w:rsid w:val="08F60785"/>
    <w:rsid w:val="08F6079D"/>
    <w:rsid w:val="08F60823"/>
    <w:rsid w:val="08F60903"/>
    <w:rsid w:val="08F6093C"/>
    <w:rsid w:val="08F60985"/>
    <w:rsid w:val="08F60987"/>
    <w:rsid w:val="08F609ED"/>
    <w:rsid w:val="08F60A56"/>
    <w:rsid w:val="08F60A85"/>
    <w:rsid w:val="08F60A8D"/>
    <w:rsid w:val="08F60B27"/>
    <w:rsid w:val="08F60B37"/>
    <w:rsid w:val="08F60C70"/>
    <w:rsid w:val="08F60C72"/>
    <w:rsid w:val="08F60D76"/>
    <w:rsid w:val="08F60DCE"/>
    <w:rsid w:val="08F60ECD"/>
    <w:rsid w:val="08F60EE8"/>
    <w:rsid w:val="08F6102F"/>
    <w:rsid w:val="08F610CB"/>
    <w:rsid w:val="08F610E2"/>
    <w:rsid w:val="08F610E5"/>
    <w:rsid w:val="08F6117E"/>
    <w:rsid w:val="08F6120E"/>
    <w:rsid w:val="08F6128C"/>
    <w:rsid w:val="08F61321"/>
    <w:rsid w:val="08F613D4"/>
    <w:rsid w:val="08F6143D"/>
    <w:rsid w:val="08F616BA"/>
    <w:rsid w:val="08F61718"/>
    <w:rsid w:val="08F6183B"/>
    <w:rsid w:val="08F61917"/>
    <w:rsid w:val="08F619AA"/>
    <w:rsid w:val="08F61A72"/>
    <w:rsid w:val="08F61AAE"/>
    <w:rsid w:val="08F61B01"/>
    <w:rsid w:val="08F61B3D"/>
    <w:rsid w:val="08F61B58"/>
    <w:rsid w:val="08F61CF9"/>
    <w:rsid w:val="08F61D36"/>
    <w:rsid w:val="08F61E60"/>
    <w:rsid w:val="08F61EBC"/>
    <w:rsid w:val="08F61EC6"/>
    <w:rsid w:val="08F61ED0"/>
    <w:rsid w:val="08F61EE1"/>
    <w:rsid w:val="08F61F1A"/>
    <w:rsid w:val="08F61F5A"/>
    <w:rsid w:val="08F61FB6"/>
    <w:rsid w:val="08F61FFB"/>
    <w:rsid w:val="08F62040"/>
    <w:rsid w:val="08F62097"/>
    <w:rsid w:val="08F6210A"/>
    <w:rsid w:val="08F6214B"/>
    <w:rsid w:val="08F621B0"/>
    <w:rsid w:val="08F622B7"/>
    <w:rsid w:val="08F622FB"/>
    <w:rsid w:val="08F6231F"/>
    <w:rsid w:val="08F62362"/>
    <w:rsid w:val="08F623CB"/>
    <w:rsid w:val="08F6240E"/>
    <w:rsid w:val="08F6243D"/>
    <w:rsid w:val="08F6245A"/>
    <w:rsid w:val="08F625EB"/>
    <w:rsid w:val="08F625FD"/>
    <w:rsid w:val="08F6260E"/>
    <w:rsid w:val="08F62693"/>
    <w:rsid w:val="08F626AD"/>
    <w:rsid w:val="08F62728"/>
    <w:rsid w:val="08F6272B"/>
    <w:rsid w:val="08F62762"/>
    <w:rsid w:val="08F62779"/>
    <w:rsid w:val="08F627C8"/>
    <w:rsid w:val="08F62821"/>
    <w:rsid w:val="08F6282E"/>
    <w:rsid w:val="08F628CB"/>
    <w:rsid w:val="08F628E8"/>
    <w:rsid w:val="08F62920"/>
    <w:rsid w:val="08F62AA9"/>
    <w:rsid w:val="08F62AD1"/>
    <w:rsid w:val="08F62AFA"/>
    <w:rsid w:val="08F62B8F"/>
    <w:rsid w:val="08F62CD6"/>
    <w:rsid w:val="08F62D66"/>
    <w:rsid w:val="08F62DEE"/>
    <w:rsid w:val="08F62E15"/>
    <w:rsid w:val="08F62E24"/>
    <w:rsid w:val="08F62E45"/>
    <w:rsid w:val="08F62EC4"/>
    <w:rsid w:val="08F62EDA"/>
    <w:rsid w:val="08F62F55"/>
    <w:rsid w:val="08F62FA0"/>
    <w:rsid w:val="08F62FC2"/>
    <w:rsid w:val="08F6301A"/>
    <w:rsid w:val="08F6307A"/>
    <w:rsid w:val="08F631C8"/>
    <w:rsid w:val="08F63260"/>
    <w:rsid w:val="08F63323"/>
    <w:rsid w:val="08F6336D"/>
    <w:rsid w:val="08F63404"/>
    <w:rsid w:val="08F63433"/>
    <w:rsid w:val="08F6346B"/>
    <w:rsid w:val="08F63524"/>
    <w:rsid w:val="08F635EB"/>
    <w:rsid w:val="08F635F7"/>
    <w:rsid w:val="08F63631"/>
    <w:rsid w:val="08F63677"/>
    <w:rsid w:val="08F63683"/>
    <w:rsid w:val="08F63831"/>
    <w:rsid w:val="08F63880"/>
    <w:rsid w:val="08F638F2"/>
    <w:rsid w:val="08F638F9"/>
    <w:rsid w:val="08F63957"/>
    <w:rsid w:val="08F63964"/>
    <w:rsid w:val="08F639F4"/>
    <w:rsid w:val="08F63A6C"/>
    <w:rsid w:val="08F63AF8"/>
    <w:rsid w:val="08F63BA5"/>
    <w:rsid w:val="08F63C6D"/>
    <w:rsid w:val="08F63C93"/>
    <w:rsid w:val="08F63CE3"/>
    <w:rsid w:val="08F63DD2"/>
    <w:rsid w:val="08F63E89"/>
    <w:rsid w:val="08F63F16"/>
    <w:rsid w:val="08F64069"/>
    <w:rsid w:val="08F64177"/>
    <w:rsid w:val="08F64234"/>
    <w:rsid w:val="08F642B7"/>
    <w:rsid w:val="08F64320"/>
    <w:rsid w:val="08F64366"/>
    <w:rsid w:val="08F643AE"/>
    <w:rsid w:val="08F643F9"/>
    <w:rsid w:val="08F64480"/>
    <w:rsid w:val="08F64481"/>
    <w:rsid w:val="08F6449C"/>
    <w:rsid w:val="08F644DC"/>
    <w:rsid w:val="08F64506"/>
    <w:rsid w:val="08F645B1"/>
    <w:rsid w:val="08F646AF"/>
    <w:rsid w:val="08F646DA"/>
    <w:rsid w:val="08F64730"/>
    <w:rsid w:val="08F64816"/>
    <w:rsid w:val="08F64837"/>
    <w:rsid w:val="08F648F6"/>
    <w:rsid w:val="08F649FE"/>
    <w:rsid w:val="08F64A28"/>
    <w:rsid w:val="08F64A31"/>
    <w:rsid w:val="08F64A8A"/>
    <w:rsid w:val="08F64B4D"/>
    <w:rsid w:val="08F64BF2"/>
    <w:rsid w:val="08F64C6F"/>
    <w:rsid w:val="08F64C73"/>
    <w:rsid w:val="08F64CFE"/>
    <w:rsid w:val="08F64DA9"/>
    <w:rsid w:val="08F64E11"/>
    <w:rsid w:val="08F64E36"/>
    <w:rsid w:val="08F64E7F"/>
    <w:rsid w:val="08F64E86"/>
    <w:rsid w:val="08F64F42"/>
    <w:rsid w:val="08F64F56"/>
    <w:rsid w:val="08F650BE"/>
    <w:rsid w:val="08F65150"/>
    <w:rsid w:val="08F6518B"/>
    <w:rsid w:val="08F651B4"/>
    <w:rsid w:val="08F65293"/>
    <w:rsid w:val="08F652FA"/>
    <w:rsid w:val="08F653AB"/>
    <w:rsid w:val="08F653CB"/>
    <w:rsid w:val="08F65403"/>
    <w:rsid w:val="08F65442"/>
    <w:rsid w:val="08F65480"/>
    <w:rsid w:val="08F654CE"/>
    <w:rsid w:val="08F654F2"/>
    <w:rsid w:val="08F65569"/>
    <w:rsid w:val="08F6558A"/>
    <w:rsid w:val="08F655DB"/>
    <w:rsid w:val="08F65601"/>
    <w:rsid w:val="08F6575D"/>
    <w:rsid w:val="08F65797"/>
    <w:rsid w:val="08F657E2"/>
    <w:rsid w:val="08F65859"/>
    <w:rsid w:val="08F65B63"/>
    <w:rsid w:val="08F65B64"/>
    <w:rsid w:val="08F65BE2"/>
    <w:rsid w:val="08F65C08"/>
    <w:rsid w:val="08F65C6B"/>
    <w:rsid w:val="08F65CBA"/>
    <w:rsid w:val="08F65CC3"/>
    <w:rsid w:val="08F65D03"/>
    <w:rsid w:val="08F65D0B"/>
    <w:rsid w:val="08F65F1C"/>
    <w:rsid w:val="08F65F73"/>
    <w:rsid w:val="08F65FC5"/>
    <w:rsid w:val="08F6606A"/>
    <w:rsid w:val="08F6609C"/>
    <w:rsid w:val="08F6614A"/>
    <w:rsid w:val="08F662ED"/>
    <w:rsid w:val="08F663C5"/>
    <w:rsid w:val="08F6642A"/>
    <w:rsid w:val="08F664EF"/>
    <w:rsid w:val="08F66531"/>
    <w:rsid w:val="08F66569"/>
    <w:rsid w:val="08F66574"/>
    <w:rsid w:val="08F66590"/>
    <w:rsid w:val="08F665BD"/>
    <w:rsid w:val="08F666DF"/>
    <w:rsid w:val="08F66741"/>
    <w:rsid w:val="08F6675F"/>
    <w:rsid w:val="08F667D4"/>
    <w:rsid w:val="08F667D5"/>
    <w:rsid w:val="08F66866"/>
    <w:rsid w:val="08F668FA"/>
    <w:rsid w:val="08F66B85"/>
    <w:rsid w:val="08F66B96"/>
    <w:rsid w:val="08F66CD1"/>
    <w:rsid w:val="08F66D32"/>
    <w:rsid w:val="08F66D81"/>
    <w:rsid w:val="08F66EB1"/>
    <w:rsid w:val="08F66EB2"/>
    <w:rsid w:val="08F66F6F"/>
    <w:rsid w:val="08F6706F"/>
    <w:rsid w:val="08F671B6"/>
    <w:rsid w:val="08F671EB"/>
    <w:rsid w:val="08F67212"/>
    <w:rsid w:val="08F67216"/>
    <w:rsid w:val="08F672E2"/>
    <w:rsid w:val="08F67365"/>
    <w:rsid w:val="08F67382"/>
    <w:rsid w:val="08F67398"/>
    <w:rsid w:val="08F673CD"/>
    <w:rsid w:val="08F674EB"/>
    <w:rsid w:val="08F67570"/>
    <w:rsid w:val="08F675A4"/>
    <w:rsid w:val="08F675AC"/>
    <w:rsid w:val="08F6765F"/>
    <w:rsid w:val="08F6774D"/>
    <w:rsid w:val="08F677D2"/>
    <w:rsid w:val="08F6781E"/>
    <w:rsid w:val="08F67861"/>
    <w:rsid w:val="08F67883"/>
    <w:rsid w:val="08F678F6"/>
    <w:rsid w:val="08F678F7"/>
    <w:rsid w:val="08F679D1"/>
    <w:rsid w:val="08F67A3A"/>
    <w:rsid w:val="08F67A46"/>
    <w:rsid w:val="08F67A55"/>
    <w:rsid w:val="08F67A57"/>
    <w:rsid w:val="08F67A69"/>
    <w:rsid w:val="08F67A72"/>
    <w:rsid w:val="08F67AF8"/>
    <w:rsid w:val="08F67B6E"/>
    <w:rsid w:val="08F67BA7"/>
    <w:rsid w:val="08F67C6F"/>
    <w:rsid w:val="08F67CA0"/>
    <w:rsid w:val="08F67CA9"/>
    <w:rsid w:val="08F67D2B"/>
    <w:rsid w:val="08F67F62"/>
    <w:rsid w:val="08F700E5"/>
    <w:rsid w:val="08F70135"/>
    <w:rsid w:val="08F702C2"/>
    <w:rsid w:val="08F702CF"/>
    <w:rsid w:val="08F70419"/>
    <w:rsid w:val="08F7041B"/>
    <w:rsid w:val="08F7043F"/>
    <w:rsid w:val="08F7046A"/>
    <w:rsid w:val="08F70492"/>
    <w:rsid w:val="08F704A4"/>
    <w:rsid w:val="08F704D1"/>
    <w:rsid w:val="08F705BF"/>
    <w:rsid w:val="08F70679"/>
    <w:rsid w:val="08F70693"/>
    <w:rsid w:val="08F706D7"/>
    <w:rsid w:val="08F708ED"/>
    <w:rsid w:val="08F7098A"/>
    <w:rsid w:val="08F70A79"/>
    <w:rsid w:val="08F70A9E"/>
    <w:rsid w:val="08F70ABC"/>
    <w:rsid w:val="08F70B27"/>
    <w:rsid w:val="08F70B5A"/>
    <w:rsid w:val="08F70B8D"/>
    <w:rsid w:val="08F70C0A"/>
    <w:rsid w:val="08F70C9C"/>
    <w:rsid w:val="08F70DE3"/>
    <w:rsid w:val="08F70E5D"/>
    <w:rsid w:val="08F70F2A"/>
    <w:rsid w:val="08F70F59"/>
    <w:rsid w:val="08F70FCB"/>
    <w:rsid w:val="08F710D2"/>
    <w:rsid w:val="08F710DE"/>
    <w:rsid w:val="08F7122D"/>
    <w:rsid w:val="08F71293"/>
    <w:rsid w:val="08F71299"/>
    <w:rsid w:val="08F712C0"/>
    <w:rsid w:val="08F713C4"/>
    <w:rsid w:val="08F71562"/>
    <w:rsid w:val="08F715F1"/>
    <w:rsid w:val="08F716A1"/>
    <w:rsid w:val="08F716AA"/>
    <w:rsid w:val="08F716EA"/>
    <w:rsid w:val="08F7173C"/>
    <w:rsid w:val="08F7178B"/>
    <w:rsid w:val="08F717D5"/>
    <w:rsid w:val="08F71800"/>
    <w:rsid w:val="08F7186A"/>
    <w:rsid w:val="08F71890"/>
    <w:rsid w:val="08F718A1"/>
    <w:rsid w:val="08F718D7"/>
    <w:rsid w:val="08F7191D"/>
    <w:rsid w:val="08F7195F"/>
    <w:rsid w:val="08F71966"/>
    <w:rsid w:val="08F71A4D"/>
    <w:rsid w:val="08F71B12"/>
    <w:rsid w:val="08F71B1C"/>
    <w:rsid w:val="08F71B29"/>
    <w:rsid w:val="08F71BC6"/>
    <w:rsid w:val="08F71C88"/>
    <w:rsid w:val="08F71D2F"/>
    <w:rsid w:val="08F71D8C"/>
    <w:rsid w:val="08F71DA7"/>
    <w:rsid w:val="08F71DF9"/>
    <w:rsid w:val="08F71EA5"/>
    <w:rsid w:val="08F72039"/>
    <w:rsid w:val="08F72086"/>
    <w:rsid w:val="08F720AB"/>
    <w:rsid w:val="08F720DD"/>
    <w:rsid w:val="08F720EF"/>
    <w:rsid w:val="08F72115"/>
    <w:rsid w:val="08F72173"/>
    <w:rsid w:val="08F7225C"/>
    <w:rsid w:val="08F7226A"/>
    <w:rsid w:val="08F723B1"/>
    <w:rsid w:val="08F723B7"/>
    <w:rsid w:val="08F723EE"/>
    <w:rsid w:val="08F7240E"/>
    <w:rsid w:val="08F72573"/>
    <w:rsid w:val="08F725A1"/>
    <w:rsid w:val="08F725DE"/>
    <w:rsid w:val="08F725E1"/>
    <w:rsid w:val="08F72639"/>
    <w:rsid w:val="08F726BA"/>
    <w:rsid w:val="08F7270E"/>
    <w:rsid w:val="08F72729"/>
    <w:rsid w:val="08F728F0"/>
    <w:rsid w:val="08F72954"/>
    <w:rsid w:val="08F72ACB"/>
    <w:rsid w:val="08F72B08"/>
    <w:rsid w:val="08F72C6D"/>
    <w:rsid w:val="08F72CA3"/>
    <w:rsid w:val="08F72CAC"/>
    <w:rsid w:val="08F72CD3"/>
    <w:rsid w:val="08F72DB1"/>
    <w:rsid w:val="08F72E47"/>
    <w:rsid w:val="08F72F4B"/>
    <w:rsid w:val="08F72F55"/>
    <w:rsid w:val="08F73033"/>
    <w:rsid w:val="08F7311B"/>
    <w:rsid w:val="08F73215"/>
    <w:rsid w:val="08F73217"/>
    <w:rsid w:val="08F7327F"/>
    <w:rsid w:val="08F7328C"/>
    <w:rsid w:val="08F73290"/>
    <w:rsid w:val="08F732CF"/>
    <w:rsid w:val="08F7334B"/>
    <w:rsid w:val="08F733EB"/>
    <w:rsid w:val="08F73467"/>
    <w:rsid w:val="08F7348E"/>
    <w:rsid w:val="08F734C2"/>
    <w:rsid w:val="08F735AE"/>
    <w:rsid w:val="08F735DE"/>
    <w:rsid w:val="08F736CC"/>
    <w:rsid w:val="08F7374C"/>
    <w:rsid w:val="08F737BE"/>
    <w:rsid w:val="08F73831"/>
    <w:rsid w:val="08F7383D"/>
    <w:rsid w:val="08F7394D"/>
    <w:rsid w:val="08F73B03"/>
    <w:rsid w:val="08F73C0F"/>
    <w:rsid w:val="08F73CF0"/>
    <w:rsid w:val="08F73D5F"/>
    <w:rsid w:val="08F73D7A"/>
    <w:rsid w:val="08F73E2F"/>
    <w:rsid w:val="08F73E30"/>
    <w:rsid w:val="08F73E46"/>
    <w:rsid w:val="08F73E56"/>
    <w:rsid w:val="08F73E8B"/>
    <w:rsid w:val="08F73E99"/>
    <w:rsid w:val="08F73EBE"/>
    <w:rsid w:val="08F73EC6"/>
    <w:rsid w:val="08F73ECD"/>
    <w:rsid w:val="08F73FF0"/>
    <w:rsid w:val="08F73FF3"/>
    <w:rsid w:val="08F740A3"/>
    <w:rsid w:val="08F740E1"/>
    <w:rsid w:val="08F74104"/>
    <w:rsid w:val="08F7423E"/>
    <w:rsid w:val="08F74246"/>
    <w:rsid w:val="08F7424E"/>
    <w:rsid w:val="08F742B0"/>
    <w:rsid w:val="08F74357"/>
    <w:rsid w:val="08F7435C"/>
    <w:rsid w:val="08F7446B"/>
    <w:rsid w:val="08F74486"/>
    <w:rsid w:val="08F7459F"/>
    <w:rsid w:val="08F745AA"/>
    <w:rsid w:val="08F745C8"/>
    <w:rsid w:val="08F7460A"/>
    <w:rsid w:val="08F7474A"/>
    <w:rsid w:val="08F7475C"/>
    <w:rsid w:val="08F747B8"/>
    <w:rsid w:val="08F7485F"/>
    <w:rsid w:val="08F7487F"/>
    <w:rsid w:val="08F74934"/>
    <w:rsid w:val="08F74999"/>
    <w:rsid w:val="08F749E0"/>
    <w:rsid w:val="08F74AB9"/>
    <w:rsid w:val="08F74AC0"/>
    <w:rsid w:val="08F74ADD"/>
    <w:rsid w:val="08F74B24"/>
    <w:rsid w:val="08F74B7D"/>
    <w:rsid w:val="08F74B83"/>
    <w:rsid w:val="08F74C6C"/>
    <w:rsid w:val="08F74CC2"/>
    <w:rsid w:val="08F74CD1"/>
    <w:rsid w:val="08F74D0F"/>
    <w:rsid w:val="08F74DC6"/>
    <w:rsid w:val="08F74E19"/>
    <w:rsid w:val="08F74EC8"/>
    <w:rsid w:val="08F74F2A"/>
    <w:rsid w:val="08F7500D"/>
    <w:rsid w:val="08F75040"/>
    <w:rsid w:val="08F75080"/>
    <w:rsid w:val="08F75084"/>
    <w:rsid w:val="08F75143"/>
    <w:rsid w:val="08F7516E"/>
    <w:rsid w:val="08F75177"/>
    <w:rsid w:val="08F7519D"/>
    <w:rsid w:val="08F7521A"/>
    <w:rsid w:val="08F752B7"/>
    <w:rsid w:val="08F75313"/>
    <w:rsid w:val="08F753FB"/>
    <w:rsid w:val="08F75479"/>
    <w:rsid w:val="08F754CC"/>
    <w:rsid w:val="08F75596"/>
    <w:rsid w:val="08F7559E"/>
    <w:rsid w:val="08F755F4"/>
    <w:rsid w:val="08F75682"/>
    <w:rsid w:val="08F756EE"/>
    <w:rsid w:val="08F75729"/>
    <w:rsid w:val="08F75798"/>
    <w:rsid w:val="08F758F8"/>
    <w:rsid w:val="08F75985"/>
    <w:rsid w:val="08F75A8F"/>
    <w:rsid w:val="08F75AA2"/>
    <w:rsid w:val="08F75AB2"/>
    <w:rsid w:val="08F75AC8"/>
    <w:rsid w:val="08F75C7A"/>
    <w:rsid w:val="08F75C80"/>
    <w:rsid w:val="08F75CDF"/>
    <w:rsid w:val="08F75FE5"/>
    <w:rsid w:val="08F76066"/>
    <w:rsid w:val="08F761A1"/>
    <w:rsid w:val="08F761F1"/>
    <w:rsid w:val="08F76212"/>
    <w:rsid w:val="08F7623C"/>
    <w:rsid w:val="08F762B0"/>
    <w:rsid w:val="08F7630D"/>
    <w:rsid w:val="08F763C7"/>
    <w:rsid w:val="08F763E6"/>
    <w:rsid w:val="08F76474"/>
    <w:rsid w:val="08F76496"/>
    <w:rsid w:val="08F764BE"/>
    <w:rsid w:val="08F7651F"/>
    <w:rsid w:val="08F76552"/>
    <w:rsid w:val="08F765DB"/>
    <w:rsid w:val="08F76653"/>
    <w:rsid w:val="08F76695"/>
    <w:rsid w:val="08F76775"/>
    <w:rsid w:val="08F76A6A"/>
    <w:rsid w:val="08F76AF3"/>
    <w:rsid w:val="08F76BD2"/>
    <w:rsid w:val="08F76BFC"/>
    <w:rsid w:val="08F76C63"/>
    <w:rsid w:val="08F76C96"/>
    <w:rsid w:val="08F76CE9"/>
    <w:rsid w:val="08F76CF9"/>
    <w:rsid w:val="08F76E18"/>
    <w:rsid w:val="08F76E64"/>
    <w:rsid w:val="08F76EA7"/>
    <w:rsid w:val="08F77081"/>
    <w:rsid w:val="08F77116"/>
    <w:rsid w:val="08F77231"/>
    <w:rsid w:val="08F77245"/>
    <w:rsid w:val="08F77277"/>
    <w:rsid w:val="08F772ED"/>
    <w:rsid w:val="08F772FC"/>
    <w:rsid w:val="08F77326"/>
    <w:rsid w:val="08F77364"/>
    <w:rsid w:val="08F77438"/>
    <w:rsid w:val="08F774BA"/>
    <w:rsid w:val="08F77529"/>
    <w:rsid w:val="08F7762B"/>
    <w:rsid w:val="08F77663"/>
    <w:rsid w:val="08F77667"/>
    <w:rsid w:val="08F777B6"/>
    <w:rsid w:val="08F777F1"/>
    <w:rsid w:val="08F77844"/>
    <w:rsid w:val="08F77901"/>
    <w:rsid w:val="08F7790F"/>
    <w:rsid w:val="08F77923"/>
    <w:rsid w:val="08F7795F"/>
    <w:rsid w:val="08F77982"/>
    <w:rsid w:val="08F779CF"/>
    <w:rsid w:val="08F77A39"/>
    <w:rsid w:val="08F77A57"/>
    <w:rsid w:val="08F77A74"/>
    <w:rsid w:val="08F77B4B"/>
    <w:rsid w:val="08F77C29"/>
    <w:rsid w:val="08F77CCC"/>
    <w:rsid w:val="08F77DD2"/>
    <w:rsid w:val="08F77E38"/>
    <w:rsid w:val="08F77E5A"/>
    <w:rsid w:val="08F8008B"/>
    <w:rsid w:val="08F800DA"/>
    <w:rsid w:val="08F80130"/>
    <w:rsid w:val="08F80258"/>
    <w:rsid w:val="08F8028C"/>
    <w:rsid w:val="08F8031A"/>
    <w:rsid w:val="08F80345"/>
    <w:rsid w:val="08F803B4"/>
    <w:rsid w:val="08F803BD"/>
    <w:rsid w:val="08F8042D"/>
    <w:rsid w:val="08F8045A"/>
    <w:rsid w:val="08F804DC"/>
    <w:rsid w:val="08F80514"/>
    <w:rsid w:val="08F8054D"/>
    <w:rsid w:val="08F805A6"/>
    <w:rsid w:val="08F80604"/>
    <w:rsid w:val="08F80652"/>
    <w:rsid w:val="08F806E5"/>
    <w:rsid w:val="08F806FE"/>
    <w:rsid w:val="08F80763"/>
    <w:rsid w:val="08F80910"/>
    <w:rsid w:val="08F809B2"/>
    <w:rsid w:val="08F80A85"/>
    <w:rsid w:val="08F80ABA"/>
    <w:rsid w:val="08F80B7B"/>
    <w:rsid w:val="08F80C30"/>
    <w:rsid w:val="08F80C50"/>
    <w:rsid w:val="08F80D77"/>
    <w:rsid w:val="08F80D7D"/>
    <w:rsid w:val="08F80D87"/>
    <w:rsid w:val="08F80D98"/>
    <w:rsid w:val="08F80F56"/>
    <w:rsid w:val="08F80FB7"/>
    <w:rsid w:val="08F80FCD"/>
    <w:rsid w:val="08F80FE1"/>
    <w:rsid w:val="08F8102A"/>
    <w:rsid w:val="08F810A0"/>
    <w:rsid w:val="08F810B5"/>
    <w:rsid w:val="08F810BB"/>
    <w:rsid w:val="08F8122F"/>
    <w:rsid w:val="08F8126D"/>
    <w:rsid w:val="08F81350"/>
    <w:rsid w:val="08F81460"/>
    <w:rsid w:val="08F8148F"/>
    <w:rsid w:val="08F81495"/>
    <w:rsid w:val="08F8154F"/>
    <w:rsid w:val="08F815B8"/>
    <w:rsid w:val="08F8165C"/>
    <w:rsid w:val="08F8170B"/>
    <w:rsid w:val="08F81728"/>
    <w:rsid w:val="08F818DC"/>
    <w:rsid w:val="08F8192E"/>
    <w:rsid w:val="08F81944"/>
    <w:rsid w:val="08F819B9"/>
    <w:rsid w:val="08F819EA"/>
    <w:rsid w:val="08F81A5F"/>
    <w:rsid w:val="08F81A9D"/>
    <w:rsid w:val="08F81BB8"/>
    <w:rsid w:val="08F81C31"/>
    <w:rsid w:val="08F81C4C"/>
    <w:rsid w:val="08F81C57"/>
    <w:rsid w:val="08F81C86"/>
    <w:rsid w:val="08F81C9B"/>
    <w:rsid w:val="08F81E01"/>
    <w:rsid w:val="08F81E76"/>
    <w:rsid w:val="08F81F0E"/>
    <w:rsid w:val="08F81F70"/>
    <w:rsid w:val="08F81FC3"/>
    <w:rsid w:val="08F820B5"/>
    <w:rsid w:val="08F820F7"/>
    <w:rsid w:val="08F8212E"/>
    <w:rsid w:val="08F82155"/>
    <w:rsid w:val="08F821B3"/>
    <w:rsid w:val="08F82250"/>
    <w:rsid w:val="08F82345"/>
    <w:rsid w:val="08F8241F"/>
    <w:rsid w:val="08F82485"/>
    <w:rsid w:val="08F824B2"/>
    <w:rsid w:val="08F824C5"/>
    <w:rsid w:val="08F8252A"/>
    <w:rsid w:val="08F82596"/>
    <w:rsid w:val="08F8259B"/>
    <w:rsid w:val="08F82759"/>
    <w:rsid w:val="08F827BB"/>
    <w:rsid w:val="08F827F6"/>
    <w:rsid w:val="08F828C3"/>
    <w:rsid w:val="08F828C7"/>
    <w:rsid w:val="08F8299F"/>
    <w:rsid w:val="08F82ACB"/>
    <w:rsid w:val="08F82B74"/>
    <w:rsid w:val="08F82C54"/>
    <w:rsid w:val="08F82C56"/>
    <w:rsid w:val="08F82E8E"/>
    <w:rsid w:val="08F83066"/>
    <w:rsid w:val="08F830A5"/>
    <w:rsid w:val="08F8311A"/>
    <w:rsid w:val="08F8311B"/>
    <w:rsid w:val="08F8313D"/>
    <w:rsid w:val="08F8318F"/>
    <w:rsid w:val="08F83193"/>
    <w:rsid w:val="08F831B1"/>
    <w:rsid w:val="08F83211"/>
    <w:rsid w:val="08F83217"/>
    <w:rsid w:val="08F8322C"/>
    <w:rsid w:val="08F8324B"/>
    <w:rsid w:val="08F83290"/>
    <w:rsid w:val="08F83356"/>
    <w:rsid w:val="08F83383"/>
    <w:rsid w:val="08F833FC"/>
    <w:rsid w:val="08F8353D"/>
    <w:rsid w:val="08F8354E"/>
    <w:rsid w:val="08F8359B"/>
    <w:rsid w:val="08F835F4"/>
    <w:rsid w:val="08F83605"/>
    <w:rsid w:val="08F836BC"/>
    <w:rsid w:val="08F837F7"/>
    <w:rsid w:val="08F83817"/>
    <w:rsid w:val="08F83823"/>
    <w:rsid w:val="08F83839"/>
    <w:rsid w:val="08F838BC"/>
    <w:rsid w:val="08F83969"/>
    <w:rsid w:val="08F8398F"/>
    <w:rsid w:val="08F83994"/>
    <w:rsid w:val="08F83A0B"/>
    <w:rsid w:val="08F83A26"/>
    <w:rsid w:val="08F83AB4"/>
    <w:rsid w:val="08F83AF4"/>
    <w:rsid w:val="08F83B4F"/>
    <w:rsid w:val="08F83B6F"/>
    <w:rsid w:val="08F83BE2"/>
    <w:rsid w:val="08F83BF4"/>
    <w:rsid w:val="08F83C6A"/>
    <w:rsid w:val="08F83D76"/>
    <w:rsid w:val="08F83DB1"/>
    <w:rsid w:val="08F83DB6"/>
    <w:rsid w:val="08F83DBB"/>
    <w:rsid w:val="08F83E5F"/>
    <w:rsid w:val="08F83EA9"/>
    <w:rsid w:val="08F83FC1"/>
    <w:rsid w:val="08F8407F"/>
    <w:rsid w:val="08F84130"/>
    <w:rsid w:val="08F841B2"/>
    <w:rsid w:val="08F84384"/>
    <w:rsid w:val="08F84398"/>
    <w:rsid w:val="08F843FA"/>
    <w:rsid w:val="08F8441D"/>
    <w:rsid w:val="08F84424"/>
    <w:rsid w:val="08F844AF"/>
    <w:rsid w:val="08F8451B"/>
    <w:rsid w:val="08F84529"/>
    <w:rsid w:val="08F8455A"/>
    <w:rsid w:val="08F845E1"/>
    <w:rsid w:val="08F84608"/>
    <w:rsid w:val="08F84738"/>
    <w:rsid w:val="08F847CF"/>
    <w:rsid w:val="08F848E1"/>
    <w:rsid w:val="08F84952"/>
    <w:rsid w:val="08F84995"/>
    <w:rsid w:val="08F8499D"/>
    <w:rsid w:val="08F849C7"/>
    <w:rsid w:val="08F84A54"/>
    <w:rsid w:val="08F84BA7"/>
    <w:rsid w:val="08F84BEE"/>
    <w:rsid w:val="08F84CDD"/>
    <w:rsid w:val="08F84D3C"/>
    <w:rsid w:val="08F84DAC"/>
    <w:rsid w:val="08F84E08"/>
    <w:rsid w:val="08F84E09"/>
    <w:rsid w:val="08F84E5F"/>
    <w:rsid w:val="08F84E7D"/>
    <w:rsid w:val="08F84EA5"/>
    <w:rsid w:val="08F84EB2"/>
    <w:rsid w:val="08F84F8E"/>
    <w:rsid w:val="08F8505B"/>
    <w:rsid w:val="08F85082"/>
    <w:rsid w:val="08F85183"/>
    <w:rsid w:val="08F85199"/>
    <w:rsid w:val="08F851FA"/>
    <w:rsid w:val="08F85226"/>
    <w:rsid w:val="08F85259"/>
    <w:rsid w:val="08F8528A"/>
    <w:rsid w:val="08F8528E"/>
    <w:rsid w:val="08F85296"/>
    <w:rsid w:val="08F85297"/>
    <w:rsid w:val="08F8529C"/>
    <w:rsid w:val="08F852FE"/>
    <w:rsid w:val="08F85382"/>
    <w:rsid w:val="08F853F5"/>
    <w:rsid w:val="08F85470"/>
    <w:rsid w:val="08F85489"/>
    <w:rsid w:val="08F8548F"/>
    <w:rsid w:val="08F8549B"/>
    <w:rsid w:val="08F854FB"/>
    <w:rsid w:val="08F85531"/>
    <w:rsid w:val="08F855BF"/>
    <w:rsid w:val="08F855E8"/>
    <w:rsid w:val="08F85602"/>
    <w:rsid w:val="08F856B8"/>
    <w:rsid w:val="08F856EE"/>
    <w:rsid w:val="08F857B5"/>
    <w:rsid w:val="08F8585F"/>
    <w:rsid w:val="08F85894"/>
    <w:rsid w:val="08F8589B"/>
    <w:rsid w:val="08F858AB"/>
    <w:rsid w:val="08F858D1"/>
    <w:rsid w:val="08F85A53"/>
    <w:rsid w:val="08F85A8E"/>
    <w:rsid w:val="08F85B21"/>
    <w:rsid w:val="08F85C29"/>
    <w:rsid w:val="08F85C56"/>
    <w:rsid w:val="08F85CD9"/>
    <w:rsid w:val="08F85D83"/>
    <w:rsid w:val="08F85E2B"/>
    <w:rsid w:val="08F85EB7"/>
    <w:rsid w:val="08F85FA3"/>
    <w:rsid w:val="08F85FE1"/>
    <w:rsid w:val="08F86033"/>
    <w:rsid w:val="08F8603D"/>
    <w:rsid w:val="08F86053"/>
    <w:rsid w:val="08F860B6"/>
    <w:rsid w:val="08F8620E"/>
    <w:rsid w:val="08F862CD"/>
    <w:rsid w:val="08F863AA"/>
    <w:rsid w:val="08F86423"/>
    <w:rsid w:val="08F86489"/>
    <w:rsid w:val="08F8648C"/>
    <w:rsid w:val="08F86609"/>
    <w:rsid w:val="08F86815"/>
    <w:rsid w:val="08F86830"/>
    <w:rsid w:val="08F8684F"/>
    <w:rsid w:val="08F868F3"/>
    <w:rsid w:val="08F868F9"/>
    <w:rsid w:val="08F86A25"/>
    <w:rsid w:val="08F86A63"/>
    <w:rsid w:val="08F86C58"/>
    <w:rsid w:val="08F86C8C"/>
    <w:rsid w:val="08F86D65"/>
    <w:rsid w:val="08F86D73"/>
    <w:rsid w:val="08F86E07"/>
    <w:rsid w:val="08F86E80"/>
    <w:rsid w:val="08F86EAC"/>
    <w:rsid w:val="08F86FD8"/>
    <w:rsid w:val="08F8707E"/>
    <w:rsid w:val="08F87115"/>
    <w:rsid w:val="08F8722F"/>
    <w:rsid w:val="08F872B0"/>
    <w:rsid w:val="08F87301"/>
    <w:rsid w:val="08F8737A"/>
    <w:rsid w:val="08F8740F"/>
    <w:rsid w:val="08F87455"/>
    <w:rsid w:val="08F874E0"/>
    <w:rsid w:val="08F87592"/>
    <w:rsid w:val="08F875CF"/>
    <w:rsid w:val="08F8778B"/>
    <w:rsid w:val="08F877D7"/>
    <w:rsid w:val="08F877DB"/>
    <w:rsid w:val="08F877E1"/>
    <w:rsid w:val="08F8780B"/>
    <w:rsid w:val="08F8787F"/>
    <w:rsid w:val="08F87885"/>
    <w:rsid w:val="08F878E3"/>
    <w:rsid w:val="08F87A90"/>
    <w:rsid w:val="08F87AB9"/>
    <w:rsid w:val="08F87AF5"/>
    <w:rsid w:val="08F87C3E"/>
    <w:rsid w:val="08F87CB6"/>
    <w:rsid w:val="08F87D69"/>
    <w:rsid w:val="08F87D90"/>
    <w:rsid w:val="08F87DC8"/>
    <w:rsid w:val="08F87DCF"/>
    <w:rsid w:val="08F87E55"/>
    <w:rsid w:val="08F87EA5"/>
    <w:rsid w:val="08F87F1C"/>
    <w:rsid w:val="08F87F9C"/>
    <w:rsid w:val="08F9000E"/>
    <w:rsid w:val="08F90103"/>
    <w:rsid w:val="08F901F3"/>
    <w:rsid w:val="08F901F8"/>
    <w:rsid w:val="08F90218"/>
    <w:rsid w:val="08F90219"/>
    <w:rsid w:val="08F902A6"/>
    <w:rsid w:val="08F90304"/>
    <w:rsid w:val="08F9047C"/>
    <w:rsid w:val="08F9052A"/>
    <w:rsid w:val="08F90599"/>
    <w:rsid w:val="08F90618"/>
    <w:rsid w:val="08F90667"/>
    <w:rsid w:val="08F906BC"/>
    <w:rsid w:val="08F90702"/>
    <w:rsid w:val="08F90729"/>
    <w:rsid w:val="08F90749"/>
    <w:rsid w:val="08F90750"/>
    <w:rsid w:val="08F90807"/>
    <w:rsid w:val="08F908CB"/>
    <w:rsid w:val="08F90951"/>
    <w:rsid w:val="08F90957"/>
    <w:rsid w:val="08F90C68"/>
    <w:rsid w:val="08F90CBB"/>
    <w:rsid w:val="08F90DBF"/>
    <w:rsid w:val="08F90DF7"/>
    <w:rsid w:val="08F90F14"/>
    <w:rsid w:val="08F90F89"/>
    <w:rsid w:val="08F90F8D"/>
    <w:rsid w:val="08F90FED"/>
    <w:rsid w:val="08F90FF2"/>
    <w:rsid w:val="08F91049"/>
    <w:rsid w:val="08F91075"/>
    <w:rsid w:val="08F910C7"/>
    <w:rsid w:val="08F9110C"/>
    <w:rsid w:val="08F91119"/>
    <w:rsid w:val="08F91123"/>
    <w:rsid w:val="08F91139"/>
    <w:rsid w:val="08F911BE"/>
    <w:rsid w:val="08F912C9"/>
    <w:rsid w:val="08F91369"/>
    <w:rsid w:val="08F913D1"/>
    <w:rsid w:val="08F913F3"/>
    <w:rsid w:val="08F91405"/>
    <w:rsid w:val="08F9158B"/>
    <w:rsid w:val="08F915B7"/>
    <w:rsid w:val="08F91665"/>
    <w:rsid w:val="08F91850"/>
    <w:rsid w:val="08F9189B"/>
    <w:rsid w:val="08F918AC"/>
    <w:rsid w:val="08F9193F"/>
    <w:rsid w:val="08F919BF"/>
    <w:rsid w:val="08F919DE"/>
    <w:rsid w:val="08F91A2B"/>
    <w:rsid w:val="08F91AA8"/>
    <w:rsid w:val="08F91AB6"/>
    <w:rsid w:val="08F91AC0"/>
    <w:rsid w:val="08F91ACF"/>
    <w:rsid w:val="08F91C22"/>
    <w:rsid w:val="08F91C9D"/>
    <w:rsid w:val="08F91CA0"/>
    <w:rsid w:val="08F91D08"/>
    <w:rsid w:val="08F91DF2"/>
    <w:rsid w:val="08F91E0F"/>
    <w:rsid w:val="08F91E64"/>
    <w:rsid w:val="08F91EC4"/>
    <w:rsid w:val="08F91FBF"/>
    <w:rsid w:val="08F92022"/>
    <w:rsid w:val="08F92072"/>
    <w:rsid w:val="08F9213C"/>
    <w:rsid w:val="08F921F1"/>
    <w:rsid w:val="08F9229F"/>
    <w:rsid w:val="08F922FA"/>
    <w:rsid w:val="08F923BA"/>
    <w:rsid w:val="08F9246F"/>
    <w:rsid w:val="08F925F5"/>
    <w:rsid w:val="08F9265D"/>
    <w:rsid w:val="08F9269A"/>
    <w:rsid w:val="08F9275D"/>
    <w:rsid w:val="08F927B3"/>
    <w:rsid w:val="08F927FF"/>
    <w:rsid w:val="08F92864"/>
    <w:rsid w:val="08F928D1"/>
    <w:rsid w:val="08F9290E"/>
    <w:rsid w:val="08F9295D"/>
    <w:rsid w:val="08F92A04"/>
    <w:rsid w:val="08F92ACF"/>
    <w:rsid w:val="08F92B21"/>
    <w:rsid w:val="08F92C43"/>
    <w:rsid w:val="08F92C51"/>
    <w:rsid w:val="08F92C73"/>
    <w:rsid w:val="08F92C8D"/>
    <w:rsid w:val="08F92CC8"/>
    <w:rsid w:val="08F92D07"/>
    <w:rsid w:val="08F92D3D"/>
    <w:rsid w:val="08F92DB4"/>
    <w:rsid w:val="08F92E09"/>
    <w:rsid w:val="08F92E14"/>
    <w:rsid w:val="08F92E2A"/>
    <w:rsid w:val="08F92F10"/>
    <w:rsid w:val="08F92F40"/>
    <w:rsid w:val="08F92F8D"/>
    <w:rsid w:val="08F92FC6"/>
    <w:rsid w:val="08F93031"/>
    <w:rsid w:val="08F9305C"/>
    <w:rsid w:val="08F930A4"/>
    <w:rsid w:val="08F930EC"/>
    <w:rsid w:val="08F93121"/>
    <w:rsid w:val="08F9319A"/>
    <w:rsid w:val="08F9320F"/>
    <w:rsid w:val="08F932CC"/>
    <w:rsid w:val="08F9330A"/>
    <w:rsid w:val="08F93386"/>
    <w:rsid w:val="08F93398"/>
    <w:rsid w:val="08F9341B"/>
    <w:rsid w:val="08F934B1"/>
    <w:rsid w:val="08F9353A"/>
    <w:rsid w:val="08F935C2"/>
    <w:rsid w:val="08F935E3"/>
    <w:rsid w:val="08F93625"/>
    <w:rsid w:val="08F936EE"/>
    <w:rsid w:val="08F93747"/>
    <w:rsid w:val="08F9388D"/>
    <w:rsid w:val="08F93892"/>
    <w:rsid w:val="08F938B3"/>
    <w:rsid w:val="08F938C2"/>
    <w:rsid w:val="08F93902"/>
    <w:rsid w:val="08F93940"/>
    <w:rsid w:val="08F939FB"/>
    <w:rsid w:val="08F93AC0"/>
    <w:rsid w:val="08F93B33"/>
    <w:rsid w:val="08F93B9C"/>
    <w:rsid w:val="08F93C37"/>
    <w:rsid w:val="08F93C38"/>
    <w:rsid w:val="08F93D05"/>
    <w:rsid w:val="08F93D3D"/>
    <w:rsid w:val="08F93E3A"/>
    <w:rsid w:val="08F93E54"/>
    <w:rsid w:val="08F93FD8"/>
    <w:rsid w:val="08F93FE5"/>
    <w:rsid w:val="08F9413B"/>
    <w:rsid w:val="08F941A8"/>
    <w:rsid w:val="08F9427A"/>
    <w:rsid w:val="08F942A3"/>
    <w:rsid w:val="08F94351"/>
    <w:rsid w:val="08F943A3"/>
    <w:rsid w:val="08F94548"/>
    <w:rsid w:val="08F94581"/>
    <w:rsid w:val="08F945A9"/>
    <w:rsid w:val="08F945DD"/>
    <w:rsid w:val="08F948E7"/>
    <w:rsid w:val="08F949B3"/>
    <w:rsid w:val="08F94A09"/>
    <w:rsid w:val="08F94A1A"/>
    <w:rsid w:val="08F94A65"/>
    <w:rsid w:val="08F94A76"/>
    <w:rsid w:val="08F94A8C"/>
    <w:rsid w:val="08F94B76"/>
    <w:rsid w:val="08F94B82"/>
    <w:rsid w:val="08F94C76"/>
    <w:rsid w:val="08F94CA9"/>
    <w:rsid w:val="08F94CF0"/>
    <w:rsid w:val="08F94D71"/>
    <w:rsid w:val="08F94D73"/>
    <w:rsid w:val="08F94E3C"/>
    <w:rsid w:val="08F94E83"/>
    <w:rsid w:val="08F94E91"/>
    <w:rsid w:val="08F94FD9"/>
    <w:rsid w:val="08F9505E"/>
    <w:rsid w:val="08F950A7"/>
    <w:rsid w:val="08F950BF"/>
    <w:rsid w:val="08F9510C"/>
    <w:rsid w:val="08F95110"/>
    <w:rsid w:val="08F9512B"/>
    <w:rsid w:val="08F95133"/>
    <w:rsid w:val="08F95155"/>
    <w:rsid w:val="08F952C3"/>
    <w:rsid w:val="08F95313"/>
    <w:rsid w:val="08F95399"/>
    <w:rsid w:val="08F954D8"/>
    <w:rsid w:val="08F955CC"/>
    <w:rsid w:val="08F9566D"/>
    <w:rsid w:val="08F9576F"/>
    <w:rsid w:val="08F95790"/>
    <w:rsid w:val="08F958C5"/>
    <w:rsid w:val="08F959A4"/>
    <w:rsid w:val="08F959DE"/>
    <w:rsid w:val="08F95B5A"/>
    <w:rsid w:val="08F95BE9"/>
    <w:rsid w:val="08F95CDA"/>
    <w:rsid w:val="08F95E0B"/>
    <w:rsid w:val="08F95E17"/>
    <w:rsid w:val="08F95FB9"/>
    <w:rsid w:val="08F96014"/>
    <w:rsid w:val="08F96022"/>
    <w:rsid w:val="08F9612E"/>
    <w:rsid w:val="08F9613E"/>
    <w:rsid w:val="08F96142"/>
    <w:rsid w:val="08F96212"/>
    <w:rsid w:val="08F96242"/>
    <w:rsid w:val="08F962AA"/>
    <w:rsid w:val="08F962D0"/>
    <w:rsid w:val="08F962DD"/>
    <w:rsid w:val="08F962F6"/>
    <w:rsid w:val="08F96372"/>
    <w:rsid w:val="08F963FA"/>
    <w:rsid w:val="08F9644C"/>
    <w:rsid w:val="08F96494"/>
    <w:rsid w:val="08F964E2"/>
    <w:rsid w:val="08F964F9"/>
    <w:rsid w:val="08F9654A"/>
    <w:rsid w:val="08F9656A"/>
    <w:rsid w:val="08F96573"/>
    <w:rsid w:val="08F96665"/>
    <w:rsid w:val="08F966CC"/>
    <w:rsid w:val="08F9683F"/>
    <w:rsid w:val="08F96862"/>
    <w:rsid w:val="08F9690C"/>
    <w:rsid w:val="08F969C4"/>
    <w:rsid w:val="08F96A31"/>
    <w:rsid w:val="08F96ADE"/>
    <w:rsid w:val="08F96B71"/>
    <w:rsid w:val="08F96BB3"/>
    <w:rsid w:val="08F96BEF"/>
    <w:rsid w:val="08F96CAB"/>
    <w:rsid w:val="08F96CBC"/>
    <w:rsid w:val="08F96CE5"/>
    <w:rsid w:val="08F96CF6"/>
    <w:rsid w:val="08F96D2C"/>
    <w:rsid w:val="08F96E9E"/>
    <w:rsid w:val="08F96ED6"/>
    <w:rsid w:val="08F97076"/>
    <w:rsid w:val="08F97120"/>
    <w:rsid w:val="08F97121"/>
    <w:rsid w:val="08F97168"/>
    <w:rsid w:val="08F9726C"/>
    <w:rsid w:val="08F9730E"/>
    <w:rsid w:val="08F97324"/>
    <w:rsid w:val="08F97337"/>
    <w:rsid w:val="08F974B6"/>
    <w:rsid w:val="08F974FB"/>
    <w:rsid w:val="08F9753C"/>
    <w:rsid w:val="08F97540"/>
    <w:rsid w:val="08F975D8"/>
    <w:rsid w:val="08F97628"/>
    <w:rsid w:val="08F976E5"/>
    <w:rsid w:val="08F976FA"/>
    <w:rsid w:val="08F97918"/>
    <w:rsid w:val="08F97B1F"/>
    <w:rsid w:val="08F97B34"/>
    <w:rsid w:val="08F97BBD"/>
    <w:rsid w:val="08F97BF9"/>
    <w:rsid w:val="08F97C47"/>
    <w:rsid w:val="08F97C8D"/>
    <w:rsid w:val="08F97D06"/>
    <w:rsid w:val="08F97D80"/>
    <w:rsid w:val="08F97F44"/>
    <w:rsid w:val="08F97F56"/>
    <w:rsid w:val="08F97FB7"/>
    <w:rsid w:val="08FA00E3"/>
    <w:rsid w:val="08FA00F6"/>
    <w:rsid w:val="08FA014E"/>
    <w:rsid w:val="08FA017A"/>
    <w:rsid w:val="08FA017C"/>
    <w:rsid w:val="08FA030E"/>
    <w:rsid w:val="08FA03A2"/>
    <w:rsid w:val="08FA043E"/>
    <w:rsid w:val="08FA044E"/>
    <w:rsid w:val="08FA04E6"/>
    <w:rsid w:val="08FA057D"/>
    <w:rsid w:val="08FA059A"/>
    <w:rsid w:val="08FA06B9"/>
    <w:rsid w:val="08FA0746"/>
    <w:rsid w:val="08FA0773"/>
    <w:rsid w:val="08FA0791"/>
    <w:rsid w:val="08FA08A3"/>
    <w:rsid w:val="08FA09A5"/>
    <w:rsid w:val="08FA0A1E"/>
    <w:rsid w:val="08FA0A39"/>
    <w:rsid w:val="08FA0A6E"/>
    <w:rsid w:val="08FA0A81"/>
    <w:rsid w:val="08FA0AA6"/>
    <w:rsid w:val="08FA0B2B"/>
    <w:rsid w:val="08FA0B40"/>
    <w:rsid w:val="08FA0B82"/>
    <w:rsid w:val="08FA0BDB"/>
    <w:rsid w:val="08FA0CEE"/>
    <w:rsid w:val="08FA0D8F"/>
    <w:rsid w:val="08FA0E28"/>
    <w:rsid w:val="08FA0EDF"/>
    <w:rsid w:val="08FA0F2F"/>
    <w:rsid w:val="08FA0F45"/>
    <w:rsid w:val="08FA0F8B"/>
    <w:rsid w:val="08FA0F9D"/>
    <w:rsid w:val="08FA1009"/>
    <w:rsid w:val="08FA104E"/>
    <w:rsid w:val="08FA1050"/>
    <w:rsid w:val="08FA111B"/>
    <w:rsid w:val="08FA1172"/>
    <w:rsid w:val="08FA1220"/>
    <w:rsid w:val="08FA1225"/>
    <w:rsid w:val="08FA1327"/>
    <w:rsid w:val="08FA1368"/>
    <w:rsid w:val="08FA1392"/>
    <w:rsid w:val="08FA1396"/>
    <w:rsid w:val="08FA13D4"/>
    <w:rsid w:val="08FA1423"/>
    <w:rsid w:val="08FA149D"/>
    <w:rsid w:val="08FA15B0"/>
    <w:rsid w:val="08FA15C5"/>
    <w:rsid w:val="08FA16E6"/>
    <w:rsid w:val="08FA16ED"/>
    <w:rsid w:val="08FA1717"/>
    <w:rsid w:val="08FA175E"/>
    <w:rsid w:val="08FA177A"/>
    <w:rsid w:val="08FA18C4"/>
    <w:rsid w:val="08FA19FD"/>
    <w:rsid w:val="08FA1A49"/>
    <w:rsid w:val="08FA1AD2"/>
    <w:rsid w:val="08FA1AF5"/>
    <w:rsid w:val="08FA1B51"/>
    <w:rsid w:val="08FA1B7D"/>
    <w:rsid w:val="08FA1B7F"/>
    <w:rsid w:val="08FA1BBB"/>
    <w:rsid w:val="08FA1C58"/>
    <w:rsid w:val="08FA1C8A"/>
    <w:rsid w:val="08FA1D6F"/>
    <w:rsid w:val="08FA1D8A"/>
    <w:rsid w:val="08FA1EAB"/>
    <w:rsid w:val="08FA209C"/>
    <w:rsid w:val="08FA20FA"/>
    <w:rsid w:val="08FA216B"/>
    <w:rsid w:val="08FA21B3"/>
    <w:rsid w:val="08FA21BB"/>
    <w:rsid w:val="08FA21F2"/>
    <w:rsid w:val="08FA2227"/>
    <w:rsid w:val="08FA2286"/>
    <w:rsid w:val="08FA22B7"/>
    <w:rsid w:val="08FA22DA"/>
    <w:rsid w:val="08FA23BC"/>
    <w:rsid w:val="08FA2443"/>
    <w:rsid w:val="08FA2444"/>
    <w:rsid w:val="08FA24C7"/>
    <w:rsid w:val="08FA24D1"/>
    <w:rsid w:val="08FA2787"/>
    <w:rsid w:val="08FA28CF"/>
    <w:rsid w:val="08FA28D8"/>
    <w:rsid w:val="08FA28FF"/>
    <w:rsid w:val="08FA2929"/>
    <w:rsid w:val="08FA2991"/>
    <w:rsid w:val="08FA29AE"/>
    <w:rsid w:val="08FA29CA"/>
    <w:rsid w:val="08FA2A01"/>
    <w:rsid w:val="08FA2AA8"/>
    <w:rsid w:val="08FA2B80"/>
    <w:rsid w:val="08FA2BC3"/>
    <w:rsid w:val="08FA2BDC"/>
    <w:rsid w:val="08FA2BEB"/>
    <w:rsid w:val="08FA2CF7"/>
    <w:rsid w:val="08FA2E69"/>
    <w:rsid w:val="08FA2E8A"/>
    <w:rsid w:val="08FA2F0E"/>
    <w:rsid w:val="08FA2F46"/>
    <w:rsid w:val="08FA2FE6"/>
    <w:rsid w:val="08FA314F"/>
    <w:rsid w:val="08FA31DA"/>
    <w:rsid w:val="08FA31FD"/>
    <w:rsid w:val="08FA3273"/>
    <w:rsid w:val="08FA328D"/>
    <w:rsid w:val="08FA3328"/>
    <w:rsid w:val="08FA34C9"/>
    <w:rsid w:val="08FA3523"/>
    <w:rsid w:val="08FA3536"/>
    <w:rsid w:val="08FA3576"/>
    <w:rsid w:val="08FA3577"/>
    <w:rsid w:val="08FA35F3"/>
    <w:rsid w:val="08FA3651"/>
    <w:rsid w:val="08FA366B"/>
    <w:rsid w:val="08FA375D"/>
    <w:rsid w:val="08FA37B0"/>
    <w:rsid w:val="08FA37FC"/>
    <w:rsid w:val="08FA3893"/>
    <w:rsid w:val="08FA39AD"/>
    <w:rsid w:val="08FA39C5"/>
    <w:rsid w:val="08FA39DC"/>
    <w:rsid w:val="08FA3A0F"/>
    <w:rsid w:val="08FA3AAF"/>
    <w:rsid w:val="08FA3B91"/>
    <w:rsid w:val="08FA3C0B"/>
    <w:rsid w:val="08FA3C42"/>
    <w:rsid w:val="08FA3D35"/>
    <w:rsid w:val="08FA3DE1"/>
    <w:rsid w:val="08FA3E54"/>
    <w:rsid w:val="08FA3E70"/>
    <w:rsid w:val="08FA3F4B"/>
    <w:rsid w:val="08FA4031"/>
    <w:rsid w:val="08FA407B"/>
    <w:rsid w:val="08FA408A"/>
    <w:rsid w:val="08FA40C6"/>
    <w:rsid w:val="08FA40D7"/>
    <w:rsid w:val="08FA4175"/>
    <w:rsid w:val="08FA42BE"/>
    <w:rsid w:val="08FA42CB"/>
    <w:rsid w:val="08FA42E2"/>
    <w:rsid w:val="08FA43E0"/>
    <w:rsid w:val="08FA43F0"/>
    <w:rsid w:val="08FA440B"/>
    <w:rsid w:val="08FA4416"/>
    <w:rsid w:val="08FA44B9"/>
    <w:rsid w:val="08FA4544"/>
    <w:rsid w:val="08FA455F"/>
    <w:rsid w:val="08FA45F2"/>
    <w:rsid w:val="08FA463E"/>
    <w:rsid w:val="08FA4692"/>
    <w:rsid w:val="08FA46A5"/>
    <w:rsid w:val="08FA4714"/>
    <w:rsid w:val="08FA4727"/>
    <w:rsid w:val="08FA478D"/>
    <w:rsid w:val="08FA4796"/>
    <w:rsid w:val="08FA4854"/>
    <w:rsid w:val="08FA491C"/>
    <w:rsid w:val="08FA4951"/>
    <w:rsid w:val="08FA495B"/>
    <w:rsid w:val="08FA4974"/>
    <w:rsid w:val="08FA49BC"/>
    <w:rsid w:val="08FA49DA"/>
    <w:rsid w:val="08FA49E6"/>
    <w:rsid w:val="08FA4A51"/>
    <w:rsid w:val="08FA4BBC"/>
    <w:rsid w:val="08FA4BF6"/>
    <w:rsid w:val="08FA4C13"/>
    <w:rsid w:val="08FA4C23"/>
    <w:rsid w:val="08FA4D09"/>
    <w:rsid w:val="08FA4D79"/>
    <w:rsid w:val="08FA4DA1"/>
    <w:rsid w:val="08FA4E08"/>
    <w:rsid w:val="08FA4E2D"/>
    <w:rsid w:val="08FA4E5E"/>
    <w:rsid w:val="08FA4EC9"/>
    <w:rsid w:val="08FA5040"/>
    <w:rsid w:val="08FA50E5"/>
    <w:rsid w:val="08FA50FC"/>
    <w:rsid w:val="08FA512A"/>
    <w:rsid w:val="08FA5166"/>
    <w:rsid w:val="08FA519D"/>
    <w:rsid w:val="08FA51E2"/>
    <w:rsid w:val="08FA51E6"/>
    <w:rsid w:val="08FA5228"/>
    <w:rsid w:val="08FA5286"/>
    <w:rsid w:val="08FA53B4"/>
    <w:rsid w:val="08FA53F3"/>
    <w:rsid w:val="08FA5440"/>
    <w:rsid w:val="08FA5471"/>
    <w:rsid w:val="08FA561D"/>
    <w:rsid w:val="08FA5709"/>
    <w:rsid w:val="08FA5713"/>
    <w:rsid w:val="08FA5955"/>
    <w:rsid w:val="08FA5958"/>
    <w:rsid w:val="08FA595E"/>
    <w:rsid w:val="08FA59C2"/>
    <w:rsid w:val="08FA5AA2"/>
    <w:rsid w:val="08FA5ABA"/>
    <w:rsid w:val="08FA5BA6"/>
    <w:rsid w:val="08FA5C1A"/>
    <w:rsid w:val="08FA5C46"/>
    <w:rsid w:val="08FA5C65"/>
    <w:rsid w:val="08FA5CE5"/>
    <w:rsid w:val="08FA5D00"/>
    <w:rsid w:val="08FA5D69"/>
    <w:rsid w:val="08FA5DCD"/>
    <w:rsid w:val="08FA5DDA"/>
    <w:rsid w:val="08FA5EDC"/>
    <w:rsid w:val="08FA5F1B"/>
    <w:rsid w:val="08FA6104"/>
    <w:rsid w:val="08FA6153"/>
    <w:rsid w:val="08FA61B5"/>
    <w:rsid w:val="08FA62E2"/>
    <w:rsid w:val="08FA630D"/>
    <w:rsid w:val="08FA639A"/>
    <w:rsid w:val="08FA63B8"/>
    <w:rsid w:val="08FA63C5"/>
    <w:rsid w:val="08FA6440"/>
    <w:rsid w:val="08FA6443"/>
    <w:rsid w:val="08FA648B"/>
    <w:rsid w:val="08FA64CF"/>
    <w:rsid w:val="08FA657A"/>
    <w:rsid w:val="08FA6597"/>
    <w:rsid w:val="08FA65F0"/>
    <w:rsid w:val="08FA6641"/>
    <w:rsid w:val="08FA66B3"/>
    <w:rsid w:val="08FA6790"/>
    <w:rsid w:val="08FA6799"/>
    <w:rsid w:val="08FA67B4"/>
    <w:rsid w:val="08FA6967"/>
    <w:rsid w:val="08FA6A0D"/>
    <w:rsid w:val="08FA6A27"/>
    <w:rsid w:val="08FA6B6E"/>
    <w:rsid w:val="08FA6C88"/>
    <w:rsid w:val="08FA6CED"/>
    <w:rsid w:val="08FA6CF8"/>
    <w:rsid w:val="08FA6D02"/>
    <w:rsid w:val="08FA6DA4"/>
    <w:rsid w:val="08FA6E99"/>
    <w:rsid w:val="08FA6F54"/>
    <w:rsid w:val="08FA6F82"/>
    <w:rsid w:val="08FA6F84"/>
    <w:rsid w:val="08FA6FB6"/>
    <w:rsid w:val="08FA6FD7"/>
    <w:rsid w:val="08FA6FE0"/>
    <w:rsid w:val="08FA705B"/>
    <w:rsid w:val="08FA7064"/>
    <w:rsid w:val="08FA7079"/>
    <w:rsid w:val="08FA709E"/>
    <w:rsid w:val="08FA71FF"/>
    <w:rsid w:val="08FA7200"/>
    <w:rsid w:val="08FA7263"/>
    <w:rsid w:val="08FA72C7"/>
    <w:rsid w:val="08FA734E"/>
    <w:rsid w:val="08FA739A"/>
    <w:rsid w:val="08FA73D6"/>
    <w:rsid w:val="08FA7456"/>
    <w:rsid w:val="08FA74A1"/>
    <w:rsid w:val="08FA755D"/>
    <w:rsid w:val="08FA75D1"/>
    <w:rsid w:val="08FA75FB"/>
    <w:rsid w:val="08FA76F2"/>
    <w:rsid w:val="08FA7799"/>
    <w:rsid w:val="08FA77E3"/>
    <w:rsid w:val="08FA78F7"/>
    <w:rsid w:val="08FA7939"/>
    <w:rsid w:val="08FA79F0"/>
    <w:rsid w:val="08FA7A14"/>
    <w:rsid w:val="08FA7A40"/>
    <w:rsid w:val="08FA7A84"/>
    <w:rsid w:val="08FA7B47"/>
    <w:rsid w:val="08FA7B7C"/>
    <w:rsid w:val="08FA7B91"/>
    <w:rsid w:val="08FA7BC0"/>
    <w:rsid w:val="08FA7BE5"/>
    <w:rsid w:val="08FA7C83"/>
    <w:rsid w:val="08FA7CCE"/>
    <w:rsid w:val="08FA7D4B"/>
    <w:rsid w:val="08FA7E77"/>
    <w:rsid w:val="08FA7EA0"/>
    <w:rsid w:val="08FA7FD9"/>
    <w:rsid w:val="08FB00AF"/>
    <w:rsid w:val="08FB0103"/>
    <w:rsid w:val="08FB0170"/>
    <w:rsid w:val="08FB01FD"/>
    <w:rsid w:val="08FB0246"/>
    <w:rsid w:val="08FB025E"/>
    <w:rsid w:val="08FB0270"/>
    <w:rsid w:val="08FB02A3"/>
    <w:rsid w:val="08FB02FD"/>
    <w:rsid w:val="08FB031C"/>
    <w:rsid w:val="08FB0326"/>
    <w:rsid w:val="08FB039E"/>
    <w:rsid w:val="08FB03E5"/>
    <w:rsid w:val="08FB0536"/>
    <w:rsid w:val="08FB057E"/>
    <w:rsid w:val="08FB0699"/>
    <w:rsid w:val="08FB06FC"/>
    <w:rsid w:val="08FB075A"/>
    <w:rsid w:val="08FB079E"/>
    <w:rsid w:val="08FB07D2"/>
    <w:rsid w:val="08FB0807"/>
    <w:rsid w:val="08FB082A"/>
    <w:rsid w:val="08FB086E"/>
    <w:rsid w:val="08FB088B"/>
    <w:rsid w:val="08FB0896"/>
    <w:rsid w:val="08FB08DA"/>
    <w:rsid w:val="08FB095B"/>
    <w:rsid w:val="08FB0A5F"/>
    <w:rsid w:val="08FB0A6E"/>
    <w:rsid w:val="08FB0AA5"/>
    <w:rsid w:val="08FB0AF6"/>
    <w:rsid w:val="08FB0B44"/>
    <w:rsid w:val="08FB0B96"/>
    <w:rsid w:val="08FB0C91"/>
    <w:rsid w:val="08FB0D1E"/>
    <w:rsid w:val="08FB0D4F"/>
    <w:rsid w:val="08FB0DC3"/>
    <w:rsid w:val="08FB0DEA"/>
    <w:rsid w:val="08FB0DF9"/>
    <w:rsid w:val="08FB0E0B"/>
    <w:rsid w:val="08FB0E25"/>
    <w:rsid w:val="08FB0E4E"/>
    <w:rsid w:val="08FB0F10"/>
    <w:rsid w:val="08FB0F40"/>
    <w:rsid w:val="08FB0F52"/>
    <w:rsid w:val="08FB0F54"/>
    <w:rsid w:val="08FB1098"/>
    <w:rsid w:val="08FB109C"/>
    <w:rsid w:val="08FB10BF"/>
    <w:rsid w:val="08FB110E"/>
    <w:rsid w:val="08FB110F"/>
    <w:rsid w:val="08FB1180"/>
    <w:rsid w:val="08FB11A9"/>
    <w:rsid w:val="08FB11C2"/>
    <w:rsid w:val="08FB12DD"/>
    <w:rsid w:val="08FB12E4"/>
    <w:rsid w:val="08FB12F0"/>
    <w:rsid w:val="08FB134E"/>
    <w:rsid w:val="08FB13DD"/>
    <w:rsid w:val="08FB153C"/>
    <w:rsid w:val="08FB1581"/>
    <w:rsid w:val="08FB15CC"/>
    <w:rsid w:val="08FB1706"/>
    <w:rsid w:val="08FB174D"/>
    <w:rsid w:val="08FB18DD"/>
    <w:rsid w:val="08FB18ED"/>
    <w:rsid w:val="08FB1953"/>
    <w:rsid w:val="08FB1961"/>
    <w:rsid w:val="08FB19A4"/>
    <w:rsid w:val="08FB19B1"/>
    <w:rsid w:val="08FB19E0"/>
    <w:rsid w:val="08FB1A75"/>
    <w:rsid w:val="08FB1B4A"/>
    <w:rsid w:val="08FB1BE0"/>
    <w:rsid w:val="08FB1CE1"/>
    <w:rsid w:val="08FB1D14"/>
    <w:rsid w:val="08FB1D18"/>
    <w:rsid w:val="08FB1D76"/>
    <w:rsid w:val="08FB1DC9"/>
    <w:rsid w:val="08FB1F9D"/>
    <w:rsid w:val="08FB22BD"/>
    <w:rsid w:val="08FB239A"/>
    <w:rsid w:val="08FB23A9"/>
    <w:rsid w:val="08FB2434"/>
    <w:rsid w:val="08FB2466"/>
    <w:rsid w:val="08FB2474"/>
    <w:rsid w:val="08FB24D1"/>
    <w:rsid w:val="08FB24D9"/>
    <w:rsid w:val="08FB25DE"/>
    <w:rsid w:val="08FB2636"/>
    <w:rsid w:val="08FB268D"/>
    <w:rsid w:val="08FB27A2"/>
    <w:rsid w:val="08FB27F9"/>
    <w:rsid w:val="08FB2804"/>
    <w:rsid w:val="08FB2920"/>
    <w:rsid w:val="08FB2921"/>
    <w:rsid w:val="08FB2959"/>
    <w:rsid w:val="08FB299F"/>
    <w:rsid w:val="08FB2A41"/>
    <w:rsid w:val="08FB2AEA"/>
    <w:rsid w:val="08FB2BE9"/>
    <w:rsid w:val="08FB2C0F"/>
    <w:rsid w:val="08FB2CA9"/>
    <w:rsid w:val="08FB2D58"/>
    <w:rsid w:val="08FB2EDD"/>
    <w:rsid w:val="08FB306C"/>
    <w:rsid w:val="08FB30FC"/>
    <w:rsid w:val="08FB310B"/>
    <w:rsid w:val="08FB3112"/>
    <w:rsid w:val="08FB317E"/>
    <w:rsid w:val="08FB32E8"/>
    <w:rsid w:val="08FB3343"/>
    <w:rsid w:val="08FB336F"/>
    <w:rsid w:val="08FB33D9"/>
    <w:rsid w:val="08FB3408"/>
    <w:rsid w:val="08FB349C"/>
    <w:rsid w:val="08FB3507"/>
    <w:rsid w:val="08FB358D"/>
    <w:rsid w:val="08FB3591"/>
    <w:rsid w:val="08FB369F"/>
    <w:rsid w:val="08FB36A8"/>
    <w:rsid w:val="08FB36B5"/>
    <w:rsid w:val="08FB36CB"/>
    <w:rsid w:val="08FB377B"/>
    <w:rsid w:val="08FB3860"/>
    <w:rsid w:val="08FB390B"/>
    <w:rsid w:val="08FB39FE"/>
    <w:rsid w:val="08FB3A35"/>
    <w:rsid w:val="08FB3B22"/>
    <w:rsid w:val="08FB3B65"/>
    <w:rsid w:val="08FB3B91"/>
    <w:rsid w:val="08FB3BC1"/>
    <w:rsid w:val="08FB3BFD"/>
    <w:rsid w:val="08FB3C7D"/>
    <w:rsid w:val="08FB3CD3"/>
    <w:rsid w:val="08FB3EDC"/>
    <w:rsid w:val="08FB3F01"/>
    <w:rsid w:val="08FB3F16"/>
    <w:rsid w:val="08FB4032"/>
    <w:rsid w:val="08FB4047"/>
    <w:rsid w:val="08FB4077"/>
    <w:rsid w:val="08FB40C7"/>
    <w:rsid w:val="08FB40FA"/>
    <w:rsid w:val="08FB40FF"/>
    <w:rsid w:val="08FB4193"/>
    <w:rsid w:val="08FB41F4"/>
    <w:rsid w:val="08FB4205"/>
    <w:rsid w:val="08FB425A"/>
    <w:rsid w:val="08FB427F"/>
    <w:rsid w:val="08FB42A5"/>
    <w:rsid w:val="08FB4346"/>
    <w:rsid w:val="08FB447C"/>
    <w:rsid w:val="08FB447E"/>
    <w:rsid w:val="08FB45CE"/>
    <w:rsid w:val="08FB45FA"/>
    <w:rsid w:val="08FB4614"/>
    <w:rsid w:val="08FB464F"/>
    <w:rsid w:val="08FB46C3"/>
    <w:rsid w:val="08FB46DF"/>
    <w:rsid w:val="08FB46E0"/>
    <w:rsid w:val="08FB4778"/>
    <w:rsid w:val="08FB477A"/>
    <w:rsid w:val="08FB47E9"/>
    <w:rsid w:val="08FB47FB"/>
    <w:rsid w:val="08FB490F"/>
    <w:rsid w:val="08FB49D8"/>
    <w:rsid w:val="08FB49E5"/>
    <w:rsid w:val="08FB4AF8"/>
    <w:rsid w:val="08FB4B15"/>
    <w:rsid w:val="08FB4B96"/>
    <w:rsid w:val="08FB4BC7"/>
    <w:rsid w:val="08FB4C61"/>
    <w:rsid w:val="08FB4CBC"/>
    <w:rsid w:val="08FB4D0E"/>
    <w:rsid w:val="08FB4D35"/>
    <w:rsid w:val="08FB4D74"/>
    <w:rsid w:val="08FB4DCA"/>
    <w:rsid w:val="08FB4DDF"/>
    <w:rsid w:val="08FB4E4A"/>
    <w:rsid w:val="08FB4ED3"/>
    <w:rsid w:val="08FB4F24"/>
    <w:rsid w:val="08FB4F9D"/>
    <w:rsid w:val="08FB4FFE"/>
    <w:rsid w:val="08FB5115"/>
    <w:rsid w:val="08FB5164"/>
    <w:rsid w:val="08FB51DA"/>
    <w:rsid w:val="08FB51DD"/>
    <w:rsid w:val="08FB5213"/>
    <w:rsid w:val="08FB5229"/>
    <w:rsid w:val="08FB53B6"/>
    <w:rsid w:val="08FB53D1"/>
    <w:rsid w:val="08FB53F3"/>
    <w:rsid w:val="08FB547F"/>
    <w:rsid w:val="08FB5487"/>
    <w:rsid w:val="08FB574C"/>
    <w:rsid w:val="08FB5765"/>
    <w:rsid w:val="08FB5785"/>
    <w:rsid w:val="08FB5796"/>
    <w:rsid w:val="08FB57BD"/>
    <w:rsid w:val="08FB57CC"/>
    <w:rsid w:val="08FB5805"/>
    <w:rsid w:val="08FB582E"/>
    <w:rsid w:val="08FB5885"/>
    <w:rsid w:val="08FB58B0"/>
    <w:rsid w:val="08FB58B7"/>
    <w:rsid w:val="08FB58F2"/>
    <w:rsid w:val="08FB59FC"/>
    <w:rsid w:val="08FB5AC0"/>
    <w:rsid w:val="08FB5C93"/>
    <w:rsid w:val="08FB5CAC"/>
    <w:rsid w:val="08FB5F0F"/>
    <w:rsid w:val="08FB5FD8"/>
    <w:rsid w:val="08FB5FEF"/>
    <w:rsid w:val="08FB601D"/>
    <w:rsid w:val="08FB605B"/>
    <w:rsid w:val="08FB60B8"/>
    <w:rsid w:val="08FB60CC"/>
    <w:rsid w:val="08FB6195"/>
    <w:rsid w:val="08FB629D"/>
    <w:rsid w:val="08FB6351"/>
    <w:rsid w:val="08FB639A"/>
    <w:rsid w:val="08FB64CB"/>
    <w:rsid w:val="08FB64D2"/>
    <w:rsid w:val="08FB6509"/>
    <w:rsid w:val="08FB659D"/>
    <w:rsid w:val="08FB661E"/>
    <w:rsid w:val="08FB6705"/>
    <w:rsid w:val="08FB672D"/>
    <w:rsid w:val="08FB6811"/>
    <w:rsid w:val="08FB6847"/>
    <w:rsid w:val="08FB68C3"/>
    <w:rsid w:val="08FB6956"/>
    <w:rsid w:val="08FB698A"/>
    <w:rsid w:val="08FB69D4"/>
    <w:rsid w:val="08FB69DD"/>
    <w:rsid w:val="08FB6AAD"/>
    <w:rsid w:val="08FB6AD1"/>
    <w:rsid w:val="08FB6BE7"/>
    <w:rsid w:val="08FB6D04"/>
    <w:rsid w:val="08FB6EB1"/>
    <w:rsid w:val="08FB6F7B"/>
    <w:rsid w:val="08FB6F9D"/>
    <w:rsid w:val="08FB6FA4"/>
    <w:rsid w:val="08FB7027"/>
    <w:rsid w:val="08FB707C"/>
    <w:rsid w:val="08FB70C0"/>
    <w:rsid w:val="08FB70EF"/>
    <w:rsid w:val="08FB7123"/>
    <w:rsid w:val="08FB7171"/>
    <w:rsid w:val="08FB7192"/>
    <w:rsid w:val="08FB7289"/>
    <w:rsid w:val="08FB7453"/>
    <w:rsid w:val="08FB7467"/>
    <w:rsid w:val="08FB748F"/>
    <w:rsid w:val="08FB74BD"/>
    <w:rsid w:val="08FB74C0"/>
    <w:rsid w:val="08FB74C5"/>
    <w:rsid w:val="08FB75BB"/>
    <w:rsid w:val="08FB75BD"/>
    <w:rsid w:val="08FB76BB"/>
    <w:rsid w:val="08FB774A"/>
    <w:rsid w:val="08FB77A8"/>
    <w:rsid w:val="08FB78BA"/>
    <w:rsid w:val="08FB7902"/>
    <w:rsid w:val="08FB79A6"/>
    <w:rsid w:val="08FB79A8"/>
    <w:rsid w:val="08FB7A4C"/>
    <w:rsid w:val="08FB7A88"/>
    <w:rsid w:val="08FB7B81"/>
    <w:rsid w:val="08FB7C01"/>
    <w:rsid w:val="08FB7C6B"/>
    <w:rsid w:val="08FB7C78"/>
    <w:rsid w:val="08FB7CCD"/>
    <w:rsid w:val="08FB7E7D"/>
    <w:rsid w:val="08FB7F14"/>
    <w:rsid w:val="08FB7F81"/>
    <w:rsid w:val="08FB7FEC"/>
    <w:rsid w:val="08FC0057"/>
    <w:rsid w:val="08FC008E"/>
    <w:rsid w:val="08FC015D"/>
    <w:rsid w:val="08FC02AE"/>
    <w:rsid w:val="08FC02E6"/>
    <w:rsid w:val="08FC037F"/>
    <w:rsid w:val="08FC03D2"/>
    <w:rsid w:val="08FC0424"/>
    <w:rsid w:val="08FC049D"/>
    <w:rsid w:val="08FC0525"/>
    <w:rsid w:val="08FC0663"/>
    <w:rsid w:val="08FC06C9"/>
    <w:rsid w:val="08FC074A"/>
    <w:rsid w:val="08FC0751"/>
    <w:rsid w:val="08FC078F"/>
    <w:rsid w:val="08FC07A1"/>
    <w:rsid w:val="08FC07D1"/>
    <w:rsid w:val="08FC07FC"/>
    <w:rsid w:val="08FC08FB"/>
    <w:rsid w:val="08FC0919"/>
    <w:rsid w:val="08FC094E"/>
    <w:rsid w:val="08FC0970"/>
    <w:rsid w:val="08FC09F8"/>
    <w:rsid w:val="08FC0A30"/>
    <w:rsid w:val="08FC0ADF"/>
    <w:rsid w:val="08FC0C27"/>
    <w:rsid w:val="08FC0CE5"/>
    <w:rsid w:val="08FC0D45"/>
    <w:rsid w:val="08FC0E50"/>
    <w:rsid w:val="08FC0F28"/>
    <w:rsid w:val="08FC0F4B"/>
    <w:rsid w:val="08FC0F77"/>
    <w:rsid w:val="08FC0F96"/>
    <w:rsid w:val="08FC0FD2"/>
    <w:rsid w:val="08FC106F"/>
    <w:rsid w:val="08FC109B"/>
    <w:rsid w:val="08FC10B4"/>
    <w:rsid w:val="08FC10E5"/>
    <w:rsid w:val="08FC1108"/>
    <w:rsid w:val="08FC1140"/>
    <w:rsid w:val="08FC1166"/>
    <w:rsid w:val="08FC13AA"/>
    <w:rsid w:val="08FC14B7"/>
    <w:rsid w:val="08FC1527"/>
    <w:rsid w:val="08FC1531"/>
    <w:rsid w:val="08FC15D0"/>
    <w:rsid w:val="08FC1635"/>
    <w:rsid w:val="08FC167B"/>
    <w:rsid w:val="08FC179C"/>
    <w:rsid w:val="08FC1815"/>
    <w:rsid w:val="08FC1855"/>
    <w:rsid w:val="08FC185A"/>
    <w:rsid w:val="08FC191C"/>
    <w:rsid w:val="08FC19AE"/>
    <w:rsid w:val="08FC19C2"/>
    <w:rsid w:val="08FC19C5"/>
    <w:rsid w:val="08FC19FF"/>
    <w:rsid w:val="08FC1A12"/>
    <w:rsid w:val="08FC1A17"/>
    <w:rsid w:val="08FC1EF5"/>
    <w:rsid w:val="08FC1F1B"/>
    <w:rsid w:val="08FC1F9D"/>
    <w:rsid w:val="08FC2033"/>
    <w:rsid w:val="08FC203E"/>
    <w:rsid w:val="08FC218C"/>
    <w:rsid w:val="08FC21A3"/>
    <w:rsid w:val="08FC2448"/>
    <w:rsid w:val="08FC256F"/>
    <w:rsid w:val="08FC2776"/>
    <w:rsid w:val="08FC27AF"/>
    <w:rsid w:val="08FC27BC"/>
    <w:rsid w:val="08FC2896"/>
    <w:rsid w:val="08FC28A9"/>
    <w:rsid w:val="08FC298E"/>
    <w:rsid w:val="08FC29A1"/>
    <w:rsid w:val="08FC29CF"/>
    <w:rsid w:val="08FC2A20"/>
    <w:rsid w:val="08FC2A30"/>
    <w:rsid w:val="08FC2A75"/>
    <w:rsid w:val="08FC2A7F"/>
    <w:rsid w:val="08FC2A88"/>
    <w:rsid w:val="08FC2AB9"/>
    <w:rsid w:val="08FC2B66"/>
    <w:rsid w:val="08FC2BA3"/>
    <w:rsid w:val="08FC2C6E"/>
    <w:rsid w:val="08FC2CA3"/>
    <w:rsid w:val="08FC2D2C"/>
    <w:rsid w:val="08FC2DF5"/>
    <w:rsid w:val="08FC2E61"/>
    <w:rsid w:val="08FC2E8F"/>
    <w:rsid w:val="08FC2ED1"/>
    <w:rsid w:val="08FC2F5A"/>
    <w:rsid w:val="08FC2F84"/>
    <w:rsid w:val="08FC2FEE"/>
    <w:rsid w:val="08FC2FFE"/>
    <w:rsid w:val="08FC3066"/>
    <w:rsid w:val="08FC30D4"/>
    <w:rsid w:val="08FC316D"/>
    <w:rsid w:val="08FC3188"/>
    <w:rsid w:val="08FC31B1"/>
    <w:rsid w:val="08FC31CF"/>
    <w:rsid w:val="08FC31DD"/>
    <w:rsid w:val="08FC3223"/>
    <w:rsid w:val="08FC3244"/>
    <w:rsid w:val="08FC3248"/>
    <w:rsid w:val="08FC3259"/>
    <w:rsid w:val="08FC32A8"/>
    <w:rsid w:val="08FC32F3"/>
    <w:rsid w:val="08FC332C"/>
    <w:rsid w:val="08FC332E"/>
    <w:rsid w:val="08FC333F"/>
    <w:rsid w:val="08FC3449"/>
    <w:rsid w:val="08FC3489"/>
    <w:rsid w:val="08FC3499"/>
    <w:rsid w:val="08FC34FF"/>
    <w:rsid w:val="08FC36F1"/>
    <w:rsid w:val="08FC3829"/>
    <w:rsid w:val="08FC38EC"/>
    <w:rsid w:val="08FC398F"/>
    <w:rsid w:val="08FC3A51"/>
    <w:rsid w:val="08FC3A55"/>
    <w:rsid w:val="08FC3AA5"/>
    <w:rsid w:val="08FC3AB0"/>
    <w:rsid w:val="08FC3BCC"/>
    <w:rsid w:val="08FC3C34"/>
    <w:rsid w:val="08FC3C58"/>
    <w:rsid w:val="08FC3CA0"/>
    <w:rsid w:val="08FC3CC4"/>
    <w:rsid w:val="08FC3CDA"/>
    <w:rsid w:val="08FC3E12"/>
    <w:rsid w:val="08FC3E26"/>
    <w:rsid w:val="08FC3F0A"/>
    <w:rsid w:val="08FC3F9A"/>
    <w:rsid w:val="08FC40A9"/>
    <w:rsid w:val="08FC40C5"/>
    <w:rsid w:val="08FC4128"/>
    <w:rsid w:val="08FC4151"/>
    <w:rsid w:val="08FC415B"/>
    <w:rsid w:val="08FC4206"/>
    <w:rsid w:val="08FC421A"/>
    <w:rsid w:val="08FC4266"/>
    <w:rsid w:val="08FC42B4"/>
    <w:rsid w:val="08FC4310"/>
    <w:rsid w:val="08FC431B"/>
    <w:rsid w:val="08FC4326"/>
    <w:rsid w:val="08FC4394"/>
    <w:rsid w:val="08FC44A3"/>
    <w:rsid w:val="08FC44D6"/>
    <w:rsid w:val="08FC4508"/>
    <w:rsid w:val="08FC45B0"/>
    <w:rsid w:val="08FC4667"/>
    <w:rsid w:val="08FC46EE"/>
    <w:rsid w:val="08FC46F7"/>
    <w:rsid w:val="08FC4808"/>
    <w:rsid w:val="08FC48C1"/>
    <w:rsid w:val="08FC49EC"/>
    <w:rsid w:val="08FC4A76"/>
    <w:rsid w:val="08FC4B0E"/>
    <w:rsid w:val="08FC4CCE"/>
    <w:rsid w:val="08FC4D52"/>
    <w:rsid w:val="08FC4DF4"/>
    <w:rsid w:val="08FC4EB5"/>
    <w:rsid w:val="08FC4F2E"/>
    <w:rsid w:val="08FC4F49"/>
    <w:rsid w:val="08FC4F50"/>
    <w:rsid w:val="08FC4FB3"/>
    <w:rsid w:val="08FC503F"/>
    <w:rsid w:val="08FC5105"/>
    <w:rsid w:val="08FC512C"/>
    <w:rsid w:val="08FC514E"/>
    <w:rsid w:val="08FC527B"/>
    <w:rsid w:val="08FC52AA"/>
    <w:rsid w:val="08FC531C"/>
    <w:rsid w:val="08FC5388"/>
    <w:rsid w:val="08FC546C"/>
    <w:rsid w:val="08FC54F5"/>
    <w:rsid w:val="08FC55BC"/>
    <w:rsid w:val="08FC5631"/>
    <w:rsid w:val="08FC57B7"/>
    <w:rsid w:val="08FC5898"/>
    <w:rsid w:val="08FC58D9"/>
    <w:rsid w:val="08FC58E9"/>
    <w:rsid w:val="08FC5973"/>
    <w:rsid w:val="08FC59A6"/>
    <w:rsid w:val="08FC59D4"/>
    <w:rsid w:val="08FC59EC"/>
    <w:rsid w:val="08FC5A71"/>
    <w:rsid w:val="08FC5A72"/>
    <w:rsid w:val="08FC5A92"/>
    <w:rsid w:val="08FC5ABB"/>
    <w:rsid w:val="08FC5AC7"/>
    <w:rsid w:val="08FC5BA2"/>
    <w:rsid w:val="08FC5DB6"/>
    <w:rsid w:val="08FC5E75"/>
    <w:rsid w:val="08FC5EBC"/>
    <w:rsid w:val="08FC5F3D"/>
    <w:rsid w:val="08FC5FB3"/>
    <w:rsid w:val="08FC6051"/>
    <w:rsid w:val="08FC6082"/>
    <w:rsid w:val="08FC6083"/>
    <w:rsid w:val="08FC6088"/>
    <w:rsid w:val="08FC6237"/>
    <w:rsid w:val="08FC6310"/>
    <w:rsid w:val="08FC6387"/>
    <w:rsid w:val="08FC6467"/>
    <w:rsid w:val="08FC6690"/>
    <w:rsid w:val="08FC6702"/>
    <w:rsid w:val="08FC671F"/>
    <w:rsid w:val="08FC679B"/>
    <w:rsid w:val="08FC67D9"/>
    <w:rsid w:val="08FC6800"/>
    <w:rsid w:val="08FC6825"/>
    <w:rsid w:val="08FC682D"/>
    <w:rsid w:val="08FC6955"/>
    <w:rsid w:val="08FC6969"/>
    <w:rsid w:val="08FC697E"/>
    <w:rsid w:val="08FC698D"/>
    <w:rsid w:val="08FC69AD"/>
    <w:rsid w:val="08FC6A71"/>
    <w:rsid w:val="08FC6AA6"/>
    <w:rsid w:val="08FC6B53"/>
    <w:rsid w:val="08FC6BA1"/>
    <w:rsid w:val="08FC6BB3"/>
    <w:rsid w:val="08FC6C10"/>
    <w:rsid w:val="08FC6C23"/>
    <w:rsid w:val="08FC6C4B"/>
    <w:rsid w:val="08FC6C95"/>
    <w:rsid w:val="08FC6CB6"/>
    <w:rsid w:val="08FC6D75"/>
    <w:rsid w:val="08FC6E28"/>
    <w:rsid w:val="08FC6E36"/>
    <w:rsid w:val="08FC6EF5"/>
    <w:rsid w:val="08FC6F06"/>
    <w:rsid w:val="08FC6FE3"/>
    <w:rsid w:val="08FC7013"/>
    <w:rsid w:val="08FC70A6"/>
    <w:rsid w:val="08FC70B1"/>
    <w:rsid w:val="08FC713A"/>
    <w:rsid w:val="08FC7224"/>
    <w:rsid w:val="08FC7309"/>
    <w:rsid w:val="08FC73AC"/>
    <w:rsid w:val="08FC7584"/>
    <w:rsid w:val="08FC75A9"/>
    <w:rsid w:val="08FC75F0"/>
    <w:rsid w:val="08FC75F7"/>
    <w:rsid w:val="08FC7625"/>
    <w:rsid w:val="08FC7641"/>
    <w:rsid w:val="08FC76AB"/>
    <w:rsid w:val="08FC789D"/>
    <w:rsid w:val="08FC79B3"/>
    <w:rsid w:val="08FC79C3"/>
    <w:rsid w:val="08FC79C6"/>
    <w:rsid w:val="08FC79F7"/>
    <w:rsid w:val="08FC7ABF"/>
    <w:rsid w:val="08FC7B7E"/>
    <w:rsid w:val="08FC7B9D"/>
    <w:rsid w:val="08FC7BC1"/>
    <w:rsid w:val="08FC7CAF"/>
    <w:rsid w:val="08FC7D31"/>
    <w:rsid w:val="08FC7D3B"/>
    <w:rsid w:val="08FC7D4E"/>
    <w:rsid w:val="08FC7D69"/>
    <w:rsid w:val="08FC7D97"/>
    <w:rsid w:val="08FC7DB8"/>
    <w:rsid w:val="08FC7DBB"/>
    <w:rsid w:val="08FC7DBD"/>
    <w:rsid w:val="08FC7DF5"/>
    <w:rsid w:val="08FC7E7D"/>
    <w:rsid w:val="08FC7FBC"/>
    <w:rsid w:val="08FC7FBF"/>
    <w:rsid w:val="08FC7FE6"/>
    <w:rsid w:val="08FD0011"/>
    <w:rsid w:val="08FD00E0"/>
    <w:rsid w:val="08FD014B"/>
    <w:rsid w:val="08FD01CD"/>
    <w:rsid w:val="08FD0382"/>
    <w:rsid w:val="08FD03E1"/>
    <w:rsid w:val="08FD04BF"/>
    <w:rsid w:val="08FD051F"/>
    <w:rsid w:val="08FD05B2"/>
    <w:rsid w:val="08FD06C3"/>
    <w:rsid w:val="08FD0773"/>
    <w:rsid w:val="08FD0793"/>
    <w:rsid w:val="08FD0802"/>
    <w:rsid w:val="08FD0829"/>
    <w:rsid w:val="08FD086B"/>
    <w:rsid w:val="08FD091B"/>
    <w:rsid w:val="08FD097C"/>
    <w:rsid w:val="08FD0997"/>
    <w:rsid w:val="08FD09A6"/>
    <w:rsid w:val="08FD0A71"/>
    <w:rsid w:val="08FD0A93"/>
    <w:rsid w:val="08FD0C52"/>
    <w:rsid w:val="08FD0E23"/>
    <w:rsid w:val="08FD0E73"/>
    <w:rsid w:val="08FD0EB3"/>
    <w:rsid w:val="08FD0F71"/>
    <w:rsid w:val="08FD0FBC"/>
    <w:rsid w:val="08FD0FF4"/>
    <w:rsid w:val="08FD10BE"/>
    <w:rsid w:val="08FD10E1"/>
    <w:rsid w:val="08FD118F"/>
    <w:rsid w:val="08FD11EB"/>
    <w:rsid w:val="08FD1307"/>
    <w:rsid w:val="08FD1537"/>
    <w:rsid w:val="08FD15A0"/>
    <w:rsid w:val="08FD15ED"/>
    <w:rsid w:val="08FD165A"/>
    <w:rsid w:val="08FD16F2"/>
    <w:rsid w:val="08FD171F"/>
    <w:rsid w:val="08FD172E"/>
    <w:rsid w:val="08FD17FC"/>
    <w:rsid w:val="08FD182D"/>
    <w:rsid w:val="08FD1847"/>
    <w:rsid w:val="08FD18E4"/>
    <w:rsid w:val="08FD190D"/>
    <w:rsid w:val="08FD1936"/>
    <w:rsid w:val="08FD1937"/>
    <w:rsid w:val="08FD198E"/>
    <w:rsid w:val="08FD19CD"/>
    <w:rsid w:val="08FD19E3"/>
    <w:rsid w:val="08FD1A13"/>
    <w:rsid w:val="08FD1A2B"/>
    <w:rsid w:val="08FD1AF0"/>
    <w:rsid w:val="08FD1B59"/>
    <w:rsid w:val="08FD1CC0"/>
    <w:rsid w:val="08FD1CC7"/>
    <w:rsid w:val="08FD1CDC"/>
    <w:rsid w:val="08FD1D5F"/>
    <w:rsid w:val="08FD1D62"/>
    <w:rsid w:val="08FD1E20"/>
    <w:rsid w:val="08FD1E95"/>
    <w:rsid w:val="08FD1EE5"/>
    <w:rsid w:val="08FD1F75"/>
    <w:rsid w:val="08FD2094"/>
    <w:rsid w:val="08FD2097"/>
    <w:rsid w:val="08FD20CB"/>
    <w:rsid w:val="08FD20E7"/>
    <w:rsid w:val="08FD20E9"/>
    <w:rsid w:val="08FD215D"/>
    <w:rsid w:val="08FD219F"/>
    <w:rsid w:val="08FD2226"/>
    <w:rsid w:val="08FD22A4"/>
    <w:rsid w:val="08FD24B5"/>
    <w:rsid w:val="08FD24EF"/>
    <w:rsid w:val="08FD258A"/>
    <w:rsid w:val="08FD25E4"/>
    <w:rsid w:val="08FD26FA"/>
    <w:rsid w:val="08FD27F9"/>
    <w:rsid w:val="08FD282A"/>
    <w:rsid w:val="08FD283B"/>
    <w:rsid w:val="08FD2871"/>
    <w:rsid w:val="08FD2881"/>
    <w:rsid w:val="08FD2899"/>
    <w:rsid w:val="08FD28E0"/>
    <w:rsid w:val="08FD28E2"/>
    <w:rsid w:val="08FD2917"/>
    <w:rsid w:val="08FD2919"/>
    <w:rsid w:val="08FD2947"/>
    <w:rsid w:val="08FD2A55"/>
    <w:rsid w:val="08FD2AF5"/>
    <w:rsid w:val="08FD2B1E"/>
    <w:rsid w:val="08FD2B73"/>
    <w:rsid w:val="08FD2B78"/>
    <w:rsid w:val="08FD2B94"/>
    <w:rsid w:val="08FD2C32"/>
    <w:rsid w:val="08FD2D7F"/>
    <w:rsid w:val="08FD2D8F"/>
    <w:rsid w:val="08FD2E1F"/>
    <w:rsid w:val="08FD2E32"/>
    <w:rsid w:val="08FD2E9D"/>
    <w:rsid w:val="08FD2EA9"/>
    <w:rsid w:val="08FD2EB1"/>
    <w:rsid w:val="08FD2F54"/>
    <w:rsid w:val="08FD2F7F"/>
    <w:rsid w:val="08FD3044"/>
    <w:rsid w:val="08FD30DE"/>
    <w:rsid w:val="08FD319A"/>
    <w:rsid w:val="08FD3236"/>
    <w:rsid w:val="08FD32C5"/>
    <w:rsid w:val="08FD32D4"/>
    <w:rsid w:val="08FD3345"/>
    <w:rsid w:val="08FD3455"/>
    <w:rsid w:val="08FD34B9"/>
    <w:rsid w:val="08FD34C9"/>
    <w:rsid w:val="08FD35A9"/>
    <w:rsid w:val="08FD3694"/>
    <w:rsid w:val="08FD36CD"/>
    <w:rsid w:val="08FD37B1"/>
    <w:rsid w:val="08FD394D"/>
    <w:rsid w:val="08FD3955"/>
    <w:rsid w:val="08FD3982"/>
    <w:rsid w:val="08FD3A29"/>
    <w:rsid w:val="08FD3A41"/>
    <w:rsid w:val="08FD3A91"/>
    <w:rsid w:val="08FD3AF1"/>
    <w:rsid w:val="08FD3B0D"/>
    <w:rsid w:val="08FD3C07"/>
    <w:rsid w:val="08FD3DC8"/>
    <w:rsid w:val="08FD3E3A"/>
    <w:rsid w:val="08FD3E58"/>
    <w:rsid w:val="08FD3EB3"/>
    <w:rsid w:val="08FD3F0C"/>
    <w:rsid w:val="08FD3F28"/>
    <w:rsid w:val="08FD3F69"/>
    <w:rsid w:val="08FD3FBF"/>
    <w:rsid w:val="08FD3FFF"/>
    <w:rsid w:val="08FD4009"/>
    <w:rsid w:val="08FD4042"/>
    <w:rsid w:val="08FD4118"/>
    <w:rsid w:val="08FD419C"/>
    <w:rsid w:val="08FD41A8"/>
    <w:rsid w:val="08FD41AC"/>
    <w:rsid w:val="08FD42F2"/>
    <w:rsid w:val="08FD44F7"/>
    <w:rsid w:val="08FD4588"/>
    <w:rsid w:val="08FD45A9"/>
    <w:rsid w:val="08FD45FE"/>
    <w:rsid w:val="08FD4605"/>
    <w:rsid w:val="08FD4643"/>
    <w:rsid w:val="08FD464A"/>
    <w:rsid w:val="08FD4683"/>
    <w:rsid w:val="08FD4691"/>
    <w:rsid w:val="08FD4739"/>
    <w:rsid w:val="08FD474B"/>
    <w:rsid w:val="08FD4774"/>
    <w:rsid w:val="08FD47D8"/>
    <w:rsid w:val="08FD48EA"/>
    <w:rsid w:val="08FD49B9"/>
    <w:rsid w:val="08FD49C8"/>
    <w:rsid w:val="08FD49FD"/>
    <w:rsid w:val="08FD4A08"/>
    <w:rsid w:val="08FD4A2A"/>
    <w:rsid w:val="08FD4A7C"/>
    <w:rsid w:val="08FD4B07"/>
    <w:rsid w:val="08FD4B39"/>
    <w:rsid w:val="08FD4C27"/>
    <w:rsid w:val="08FD4CF8"/>
    <w:rsid w:val="08FD4D59"/>
    <w:rsid w:val="08FD4D5D"/>
    <w:rsid w:val="08FD4DE6"/>
    <w:rsid w:val="08FD4E55"/>
    <w:rsid w:val="08FD4EB7"/>
    <w:rsid w:val="08FD4EBC"/>
    <w:rsid w:val="08FD50BB"/>
    <w:rsid w:val="08FD516E"/>
    <w:rsid w:val="08FD524A"/>
    <w:rsid w:val="08FD5259"/>
    <w:rsid w:val="08FD52C3"/>
    <w:rsid w:val="08FD541E"/>
    <w:rsid w:val="08FD545A"/>
    <w:rsid w:val="08FD5572"/>
    <w:rsid w:val="08FD55D6"/>
    <w:rsid w:val="08FD57D1"/>
    <w:rsid w:val="08FD5834"/>
    <w:rsid w:val="08FD5876"/>
    <w:rsid w:val="08FD58AC"/>
    <w:rsid w:val="08FD5931"/>
    <w:rsid w:val="08FD5A3F"/>
    <w:rsid w:val="08FD5AEC"/>
    <w:rsid w:val="08FD5B04"/>
    <w:rsid w:val="08FD5B05"/>
    <w:rsid w:val="08FD5B56"/>
    <w:rsid w:val="08FD5BB2"/>
    <w:rsid w:val="08FD5BF0"/>
    <w:rsid w:val="08FD5C11"/>
    <w:rsid w:val="08FD5D3D"/>
    <w:rsid w:val="08FD5DB7"/>
    <w:rsid w:val="08FD5DD9"/>
    <w:rsid w:val="08FD6030"/>
    <w:rsid w:val="08FD606E"/>
    <w:rsid w:val="08FD606F"/>
    <w:rsid w:val="08FD615C"/>
    <w:rsid w:val="08FD615F"/>
    <w:rsid w:val="08FD61D2"/>
    <w:rsid w:val="08FD61FB"/>
    <w:rsid w:val="08FD6210"/>
    <w:rsid w:val="08FD6302"/>
    <w:rsid w:val="08FD6361"/>
    <w:rsid w:val="08FD636B"/>
    <w:rsid w:val="08FD63AF"/>
    <w:rsid w:val="08FD6411"/>
    <w:rsid w:val="08FD64B6"/>
    <w:rsid w:val="08FD64EE"/>
    <w:rsid w:val="08FD6630"/>
    <w:rsid w:val="08FD6693"/>
    <w:rsid w:val="08FD66A3"/>
    <w:rsid w:val="08FD66F8"/>
    <w:rsid w:val="08FD675E"/>
    <w:rsid w:val="08FD677E"/>
    <w:rsid w:val="08FD68C7"/>
    <w:rsid w:val="08FD6904"/>
    <w:rsid w:val="08FD6988"/>
    <w:rsid w:val="08FD69B9"/>
    <w:rsid w:val="08FD6A19"/>
    <w:rsid w:val="08FD6AA3"/>
    <w:rsid w:val="08FD6ABE"/>
    <w:rsid w:val="08FD6AD7"/>
    <w:rsid w:val="08FD6B1A"/>
    <w:rsid w:val="08FD6BAA"/>
    <w:rsid w:val="08FD6BB9"/>
    <w:rsid w:val="08FD6D30"/>
    <w:rsid w:val="08FD6D9A"/>
    <w:rsid w:val="08FD6E39"/>
    <w:rsid w:val="08FD6F2F"/>
    <w:rsid w:val="08FD6FC1"/>
    <w:rsid w:val="08FD703B"/>
    <w:rsid w:val="08FD7131"/>
    <w:rsid w:val="08FD71A2"/>
    <w:rsid w:val="08FD71DA"/>
    <w:rsid w:val="08FD71F1"/>
    <w:rsid w:val="08FD728A"/>
    <w:rsid w:val="08FD7296"/>
    <w:rsid w:val="08FD72CA"/>
    <w:rsid w:val="08FD7331"/>
    <w:rsid w:val="08FD733D"/>
    <w:rsid w:val="08FD76BF"/>
    <w:rsid w:val="08FD7746"/>
    <w:rsid w:val="08FD7792"/>
    <w:rsid w:val="08FD77DD"/>
    <w:rsid w:val="08FD77F9"/>
    <w:rsid w:val="08FD7804"/>
    <w:rsid w:val="08FD7806"/>
    <w:rsid w:val="08FD7822"/>
    <w:rsid w:val="08FD7986"/>
    <w:rsid w:val="08FD7A0D"/>
    <w:rsid w:val="08FD7A4D"/>
    <w:rsid w:val="08FD7A89"/>
    <w:rsid w:val="08FD7BB0"/>
    <w:rsid w:val="08FD7BC5"/>
    <w:rsid w:val="08FD7C20"/>
    <w:rsid w:val="08FD7D6E"/>
    <w:rsid w:val="08FD7D9B"/>
    <w:rsid w:val="08FD7DE5"/>
    <w:rsid w:val="08FD7E45"/>
    <w:rsid w:val="08FD7E59"/>
    <w:rsid w:val="08FD7EB7"/>
    <w:rsid w:val="08FD7F0B"/>
    <w:rsid w:val="08FD7F91"/>
    <w:rsid w:val="08FE0020"/>
    <w:rsid w:val="08FE010F"/>
    <w:rsid w:val="08FE013C"/>
    <w:rsid w:val="08FE0194"/>
    <w:rsid w:val="08FE0199"/>
    <w:rsid w:val="08FE01E9"/>
    <w:rsid w:val="08FE01EF"/>
    <w:rsid w:val="08FE0237"/>
    <w:rsid w:val="08FE0282"/>
    <w:rsid w:val="08FE02C7"/>
    <w:rsid w:val="08FE03D1"/>
    <w:rsid w:val="08FE0447"/>
    <w:rsid w:val="08FE0450"/>
    <w:rsid w:val="08FE04B6"/>
    <w:rsid w:val="08FE0552"/>
    <w:rsid w:val="08FE0592"/>
    <w:rsid w:val="08FE05A8"/>
    <w:rsid w:val="08FE0633"/>
    <w:rsid w:val="08FE0739"/>
    <w:rsid w:val="08FE078F"/>
    <w:rsid w:val="08FE07CD"/>
    <w:rsid w:val="08FE084F"/>
    <w:rsid w:val="08FE098B"/>
    <w:rsid w:val="08FE0A26"/>
    <w:rsid w:val="08FE0A3A"/>
    <w:rsid w:val="08FE0B0F"/>
    <w:rsid w:val="08FE0B1B"/>
    <w:rsid w:val="08FE0B38"/>
    <w:rsid w:val="08FE0B66"/>
    <w:rsid w:val="08FE0BAF"/>
    <w:rsid w:val="08FE0BDA"/>
    <w:rsid w:val="08FE0C61"/>
    <w:rsid w:val="08FE0C7A"/>
    <w:rsid w:val="08FE0CA4"/>
    <w:rsid w:val="08FE0CD0"/>
    <w:rsid w:val="08FE0D25"/>
    <w:rsid w:val="08FE0D4F"/>
    <w:rsid w:val="08FE0DA9"/>
    <w:rsid w:val="08FE0DCD"/>
    <w:rsid w:val="08FE0E61"/>
    <w:rsid w:val="08FE0EB9"/>
    <w:rsid w:val="08FE0F46"/>
    <w:rsid w:val="08FE0FEA"/>
    <w:rsid w:val="08FE1009"/>
    <w:rsid w:val="08FE101E"/>
    <w:rsid w:val="08FE1082"/>
    <w:rsid w:val="08FE113C"/>
    <w:rsid w:val="08FE1168"/>
    <w:rsid w:val="08FE11AC"/>
    <w:rsid w:val="08FE1295"/>
    <w:rsid w:val="08FE12C2"/>
    <w:rsid w:val="08FE134E"/>
    <w:rsid w:val="08FE1365"/>
    <w:rsid w:val="08FE13F0"/>
    <w:rsid w:val="08FE1431"/>
    <w:rsid w:val="08FE1479"/>
    <w:rsid w:val="08FE1508"/>
    <w:rsid w:val="08FE15AC"/>
    <w:rsid w:val="08FE15B5"/>
    <w:rsid w:val="08FE15C3"/>
    <w:rsid w:val="08FE15DC"/>
    <w:rsid w:val="08FE165A"/>
    <w:rsid w:val="08FE1777"/>
    <w:rsid w:val="08FE17A8"/>
    <w:rsid w:val="08FE17FF"/>
    <w:rsid w:val="08FE183A"/>
    <w:rsid w:val="08FE1893"/>
    <w:rsid w:val="08FE18AB"/>
    <w:rsid w:val="08FE18B3"/>
    <w:rsid w:val="08FE18E9"/>
    <w:rsid w:val="08FE190D"/>
    <w:rsid w:val="08FE1969"/>
    <w:rsid w:val="08FE196F"/>
    <w:rsid w:val="08FE1A37"/>
    <w:rsid w:val="08FE1A38"/>
    <w:rsid w:val="08FE1AD0"/>
    <w:rsid w:val="08FE1B3F"/>
    <w:rsid w:val="08FE1B44"/>
    <w:rsid w:val="08FE1B6D"/>
    <w:rsid w:val="08FE1B93"/>
    <w:rsid w:val="08FE1BB4"/>
    <w:rsid w:val="08FE1BC8"/>
    <w:rsid w:val="08FE1C1F"/>
    <w:rsid w:val="08FE1CAE"/>
    <w:rsid w:val="08FE1E94"/>
    <w:rsid w:val="08FE1FD6"/>
    <w:rsid w:val="08FE1FFC"/>
    <w:rsid w:val="08FE2020"/>
    <w:rsid w:val="08FE2059"/>
    <w:rsid w:val="08FE2146"/>
    <w:rsid w:val="08FE21EB"/>
    <w:rsid w:val="08FE2220"/>
    <w:rsid w:val="08FE227F"/>
    <w:rsid w:val="08FE2331"/>
    <w:rsid w:val="08FE2367"/>
    <w:rsid w:val="08FE2371"/>
    <w:rsid w:val="08FE23CA"/>
    <w:rsid w:val="08FE23D8"/>
    <w:rsid w:val="08FE248B"/>
    <w:rsid w:val="08FE24FD"/>
    <w:rsid w:val="08FE2535"/>
    <w:rsid w:val="08FE25ED"/>
    <w:rsid w:val="08FE267D"/>
    <w:rsid w:val="08FE26AD"/>
    <w:rsid w:val="08FE26C9"/>
    <w:rsid w:val="08FE26EB"/>
    <w:rsid w:val="08FE2719"/>
    <w:rsid w:val="08FE2779"/>
    <w:rsid w:val="08FE286D"/>
    <w:rsid w:val="08FE28B7"/>
    <w:rsid w:val="08FE29C4"/>
    <w:rsid w:val="08FE29CE"/>
    <w:rsid w:val="08FE2A25"/>
    <w:rsid w:val="08FE2A31"/>
    <w:rsid w:val="08FE2AF4"/>
    <w:rsid w:val="08FE2B8A"/>
    <w:rsid w:val="08FE2BB7"/>
    <w:rsid w:val="08FE2BF4"/>
    <w:rsid w:val="08FE2C08"/>
    <w:rsid w:val="08FE2C55"/>
    <w:rsid w:val="08FE2C67"/>
    <w:rsid w:val="08FE2CCC"/>
    <w:rsid w:val="08FE2D6F"/>
    <w:rsid w:val="08FE2DBF"/>
    <w:rsid w:val="08FE2ECB"/>
    <w:rsid w:val="08FE2FA6"/>
    <w:rsid w:val="08FE311A"/>
    <w:rsid w:val="08FE31DF"/>
    <w:rsid w:val="08FE330F"/>
    <w:rsid w:val="08FE3371"/>
    <w:rsid w:val="08FE343D"/>
    <w:rsid w:val="08FE34B4"/>
    <w:rsid w:val="08FE3521"/>
    <w:rsid w:val="08FE374E"/>
    <w:rsid w:val="08FE3795"/>
    <w:rsid w:val="08FE3861"/>
    <w:rsid w:val="08FE38A1"/>
    <w:rsid w:val="08FE3936"/>
    <w:rsid w:val="08FE3AC9"/>
    <w:rsid w:val="08FE3AD2"/>
    <w:rsid w:val="08FE3B09"/>
    <w:rsid w:val="08FE3B0B"/>
    <w:rsid w:val="08FE3B74"/>
    <w:rsid w:val="08FE3B8D"/>
    <w:rsid w:val="08FE3BD6"/>
    <w:rsid w:val="08FE3CB9"/>
    <w:rsid w:val="08FE3CF1"/>
    <w:rsid w:val="08FE3CFF"/>
    <w:rsid w:val="08FE3D15"/>
    <w:rsid w:val="08FE3E17"/>
    <w:rsid w:val="08FE3E1F"/>
    <w:rsid w:val="08FE3EE9"/>
    <w:rsid w:val="08FE3F22"/>
    <w:rsid w:val="08FE3F5C"/>
    <w:rsid w:val="08FE3F84"/>
    <w:rsid w:val="08FE3F8A"/>
    <w:rsid w:val="08FE3FC7"/>
    <w:rsid w:val="08FE4022"/>
    <w:rsid w:val="08FE4069"/>
    <w:rsid w:val="08FE413D"/>
    <w:rsid w:val="08FE41CC"/>
    <w:rsid w:val="08FE425F"/>
    <w:rsid w:val="08FE428C"/>
    <w:rsid w:val="08FE4297"/>
    <w:rsid w:val="08FE42A5"/>
    <w:rsid w:val="08FE430D"/>
    <w:rsid w:val="08FE4316"/>
    <w:rsid w:val="08FE4339"/>
    <w:rsid w:val="08FE43CD"/>
    <w:rsid w:val="08FE43D7"/>
    <w:rsid w:val="08FE43E7"/>
    <w:rsid w:val="08FE4432"/>
    <w:rsid w:val="08FE4435"/>
    <w:rsid w:val="08FE4446"/>
    <w:rsid w:val="08FE4459"/>
    <w:rsid w:val="08FE457A"/>
    <w:rsid w:val="08FE4679"/>
    <w:rsid w:val="08FE46DB"/>
    <w:rsid w:val="08FE4747"/>
    <w:rsid w:val="08FE47BF"/>
    <w:rsid w:val="08FE486D"/>
    <w:rsid w:val="08FE49A1"/>
    <w:rsid w:val="08FE4AA6"/>
    <w:rsid w:val="08FE4AE1"/>
    <w:rsid w:val="08FE4B1A"/>
    <w:rsid w:val="08FE4B9E"/>
    <w:rsid w:val="08FE4BE1"/>
    <w:rsid w:val="08FE4C96"/>
    <w:rsid w:val="08FE4CF7"/>
    <w:rsid w:val="08FE4EAB"/>
    <w:rsid w:val="08FE4FC1"/>
    <w:rsid w:val="08FE5050"/>
    <w:rsid w:val="08FE510B"/>
    <w:rsid w:val="08FE5123"/>
    <w:rsid w:val="08FE5134"/>
    <w:rsid w:val="08FE5193"/>
    <w:rsid w:val="08FE5259"/>
    <w:rsid w:val="08FE5426"/>
    <w:rsid w:val="08FE54AE"/>
    <w:rsid w:val="08FE54E1"/>
    <w:rsid w:val="08FE555F"/>
    <w:rsid w:val="08FE562B"/>
    <w:rsid w:val="08FE5656"/>
    <w:rsid w:val="08FE5726"/>
    <w:rsid w:val="08FE5784"/>
    <w:rsid w:val="08FE5798"/>
    <w:rsid w:val="08FE5839"/>
    <w:rsid w:val="08FE586D"/>
    <w:rsid w:val="08FE58EC"/>
    <w:rsid w:val="08FE5913"/>
    <w:rsid w:val="08FE5A0A"/>
    <w:rsid w:val="08FE5A56"/>
    <w:rsid w:val="08FE5BA4"/>
    <w:rsid w:val="08FE5C47"/>
    <w:rsid w:val="08FE5C92"/>
    <w:rsid w:val="08FE5CAB"/>
    <w:rsid w:val="08FE5D87"/>
    <w:rsid w:val="08FE5D8F"/>
    <w:rsid w:val="08FE5DEE"/>
    <w:rsid w:val="08FE5E5C"/>
    <w:rsid w:val="08FE5ECD"/>
    <w:rsid w:val="08FE5EFB"/>
    <w:rsid w:val="08FE5EFE"/>
    <w:rsid w:val="08FE5F79"/>
    <w:rsid w:val="08FE5FF2"/>
    <w:rsid w:val="08FE6191"/>
    <w:rsid w:val="08FE61DF"/>
    <w:rsid w:val="08FE650C"/>
    <w:rsid w:val="08FE6528"/>
    <w:rsid w:val="08FE65E1"/>
    <w:rsid w:val="08FE6647"/>
    <w:rsid w:val="08FE664B"/>
    <w:rsid w:val="08FE6676"/>
    <w:rsid w:val="08FE6713"/>
    <w:rsid w:val="08FE672A"/>
    <w:rsid w:val="08FE67AD"/>
    <w:rsid w:val="08FE69C2"/>
    <w:rsid w:val="08FE69DE"/>
    <w:rsid w:val="08FE69EC"/>
    <w:rsid w:val="08FE6B98"/>
    <w:rsid w:val="08FE6CA7"/>
    <w:rsid w:val="08FE6CC8"/>
    <w:rsid w:val="08FE6D2D"/>
    <w:rsid w:val="08FE6D40"/>
    <w:rsid w:val="08FE6E76"/>
    <w:rsid w:val="08FE6F49"/>
    <w:rsid w:val="08FE6F6A"/>
    <w:rsid w:val="08FE6FB7"/>
    <w:rsid w:val="08FE6FF0"/>
    <w:rsid w:val="08FE70C2"/>
    <w:rsid w:val="08FE71BA"/>
    <w:rsid w:val="08FE721E"/>
    <w:rsid w:val="08FE7287"/>
    <w:rsid w:val="08FE72CF"/>
    <w:rsid w:val="08FE7315"/>
    <w:rsid w:val="08FE7346"/>
    <w:rsid w:val="08FE73AF"/>
    <w:rsid w:val="08FE741D"/>
    <w:rsid w:val="08FE7461"/>
    <w:rsid w:val="08FE74A5"/>
    <w:rsid w:val="08FE74BD"/>
    <w:rsid w:val="08FE74D7"/>
    <w:rsid w:val="08FE7517"/>
    <w:rsid w:val="08FE769F"/>
    <w:rsid w:val="08FE77AF"/>
    <w:rsid w:val="08FE789A"/>
    <w:rsid w:val="08FE78FB"/>
    <w:rsid w:val="08FE7937"/>
    <w:rsid w:val="08FE79FE"/>
    <w:rsid w:val="08FE7A22"/>
    <w:rsid w:val="08FE7A86"/>
    <w:rsid w:val="08FE7AF0"/>
    <w:rsid w:val="08FE7B0E"/>
    <w:rsid w:val="08FE7BDE"/>
    <w:rsid w:val="08FE7D04"/>
    <w:rsid w:val="08FE7DA8"/>
    <w:rsid w:val="08FE7E0E"/>
    <w:rsid w:val="08FE7E1D"/>
    <w:rsid w:val="08FE7EE0"/>
    <w:rsid w:val="08FE7F7B"/>
    <w:rsid w:val="08FE7F91"/>
    <w:rsid w:val="08FE7FC5"/>
    <w:rsid w:val="08FE7FCE"/>
    <w:rsid w:val="08FF00E2"/>
    <w:rsid w:val="08FF0110"/>
    <w:rsid w:val="08FF016C"/>
    <w:rsid w:val="08FF0185"/>
    <w:rsid w:val="08FF0207"/>
    <w:rsid w:val="08FF022D"/>
    <w:rsid w:val="08FF024F"/>
    <w:rsid w:val="08FF029B"/>
    <w:rsid w:val="08FF02E0"/>
    <w:rsid w:val="08FF030D"/>
    <w:rsid w:val="08FF03C2"/>
    <w:rsid w:val="08FF0485"/>
    <w:rsid w:val="08FF0490"/>
    <w:rsid w:val="08FF04DA"/>
    <w:rsid w:val="08FF04F2"/>
    <w:rsid w:val="08FF0559"/>
    <w:rsid w:val="08FF05D8"/>
    <w:rsid w:val="08FF05E9"/>
    <w:rsid w:val="08FF0894"/>
    <w:rsid w:val="08FF0908"/>
    <w:rsid w:val="08FF0982"/>
    <w:rsid w:val="08FF0A96"/>
    <w:rsid w:val="08FF0AB2"/>
    <w:rsid w:val="08FF0AD3"/>
    <w:rsid w:val="08FF0DC8"/>
    <w:rsid w:val="08FF0F01"/>
    <w:rsid w:val="08FF0FEC"/>
    <w:rsid w:val="08FF10EB"/>
    <w:rsid w:val="08FF121A"/>
    <w:rsid w:val="08FF141A"/>
    <w:rsid w:val="08FF153D"/>
    <w:rsid w:val="08FF1654"/>
    <w:rsid w:val="08FF1695"/>
    <w:rsid w:val="08FF16D1"/>
    <w:rsid w:val="08FF188D"/>
    <w:rsid w:val="08FF192E"/>
    <w:rsid w:val="08FF1945"/>
    <w:rsid w:val="08FF199C"/>
    <w:rsid w:val="08FF19B3"/>
    <w:rsid w:val="08FF19F4"/>
    <w:rsid w:val="08FF1A86"/>
    <w:rsid w:val="08FF1AD8"/>
    <w:rsid w:val="08FF1B91"/>
    <w:rsid w:val="08FF1B9D"/>
    <w:rsid w:val="08FF1C53"/>
    <w:rsid w:val="08FF1CDE"/>
    <w:rsid w:val="08FF1CF7"/>
    <w:rsid w:val="08FF1D0F"/>
    <w:rsid w:val="08FF1D62"/>
    <w:rsid w:val="08FF1D7A"/>
    <w:rsid w:val="08FF1E32"/>
    <w:rsid w:val="08FF1E6F"/>
    <w:rsid w:val="08FF1E7C"/>
    <w:rsid w:val="08FF1E9A"/>
    <w:rsid w:val="08FF1F21"/>
    <w:rsid w:val="08FF1F6D"/>
    <w:rsid w:val="08FF2097"/>
    <w:rsid w:val="08FF20FB"/>
    <w:rsid w:val="08FF2197"/>
    <w:rsid w:val="08FF221F"/>
    <w:rsid w:val="08FF226C"/>
    <w:rsid w:val="08FF22D9"/>
    <w:rsid w:val="08FF22DF"/>
    <w:rsid w:val="08FF2393"/>
    <w:rsid w:val="08FF2428"/>
    <w:rsid w:val="08FF2489"/>
    <w:rsid w:val="08FF248E"/>
    <w:rsid w:val="08FF24EC"/>
    <w:rsid w:val="08FF2822"/>
    <w:rsid w:val="08FF28E5"/>
    <w:rsid w:val="08FF2A7F"/>
    <w:rsid w:val="08FF2A94"/>
    <w:rsid w:val="08FF2AB2"/>
    <w:rsid w:val="08FF2B2B"/>
    <w:rsid w:val="08FF2B95"/>
    <w:rsid w:val="08FF2BEB"/>
    <w:rsid w:val="08FF2C27"/>
    <w:rsid w:val="08FF2CC0"/>
    <w:rsid w:val="08FF2D3B"/>
    <w:rsid w:val="08FF2E35"/>
    <w:rsid w:val="08FF2E4D"/>
    <w:rsid w:val="08FF2FF8"/>
    <w:rsid w:val="08FF302D"/>
    <w:rsid w:val="08FF310F"/>
    <w:rsid w:val="08FF3161"/>
    <w:rsid w:val="08FF33AC"/>
    <w:rsid w:val="08FF33EF"/>
    <w:rsid w:val="08FF3427"/>
    <w:rsid w:val="08FF36AD"/>
    <w:rsid w:val="08FF370C"/>
    <w:rsid w:val="08FF3716"/>
    <w:rsid w:val="08FF372F"/>
    <w:rsid w:val="08FF374E"/>
    <w:rsid w:val="08FF38C9"/>
    <w:rsid w:val="08FF397E"/>
    <w:rsid w:val="08FF397F"/>
    <w:rsid w:val="08FF39BF"/>
    <w:rsid w:val="08FF39C6"/>
    <w:rsid w:val="08FF3A18"/>
    <w:rsid w:val="08FF3A6C"/>
    <w:rsid w:val="08FF3B31"/>
    <w:rsid w:val="08FF3B3B"/>
    <w:rsid w:val="08FF3BE4"/>
    <w:rsid w:val="08FF3C71"/>
    <w:rsid w:val="08FF3CD0"/>
    <w:rsid w:val="08FF3E00"/>
    <w:rsid w:val="08FF3E83"/>
    <w:rsid w:val="08FF3EA8"/>
    <w:rsid w:val="08FF3F2D"/>
    <w:rsid w:val="08FF3F54"/>
    <w:rsid w:val="08FF3F86"/>
    <w:rsid w:val="08FF40B0"/>
    <w:rsid w:val="08FF410C"/>
    <w:rsid w:val="08FF4135"/>
    <w:rsid w:val="08FF4162"/>
    <w:rsid w:val="08FF4225"/>
    <w:rsid w:val="08FF4349"/>
    <w:rsid w:val="08FF4362"/>
    <w:rsid w:val="08FF43C5"/>
    <w:rsid w:val="08FF43D1"/>
    <w:rsid w:val="08FF445D"/>
    <w:rsid w:val="08FF451D"/>
    <w:rsid w:val="08FF458D"/>
    <w:rsid w:val="08FF4624"/>
    <w:rsid w:val="08FF466A"/>
    <w:rsid w:val="08FF468A"/>
    <w:rsid w:val="08FF46B5"/>
    <w:rsid w:val="08FF46CE"/>
    <w:rsid w:val="08FF471E"/>
    <w:rsid w:val="08FF4898"/>
    <w:rsid w:val="08FF4905"/>
    <w:rsid w:val="08FF49AD"/>
    <w:rsid w:val="08FF4A01"/>
    <w:rsid w:val="08FF4BBC"/>
    <w:rsid w:val="08FF4BC7"/>
    <w:rsid w:val="08FF4BEE"/>
    <w:rsid w:val="08FF4C71"/>
    <w:rsid w:val="08FF4F1C"/>
    <w:rsid w:val="08FF5006"/>
    <w:rsid w:val="08FF50CF"/>
    <w:rsid w:val="08FF5178"/>
    <w:rsid w:val="08FF517F"/>
    <w:rsid w:val="08FF51D9"/>
    <w:rsid w:val="08FF52E2"/>
    <w:rsid w:val="08FF5330"/>
    <w:rsid w:val="08FF5480"/>
    <w:rsid w:val="08FF5481"/>
    <w:rsid w:val="08FF5556"/>
    <w:rsid w:val="08FF557A"/>
    <w:rsid w:val="08FF55AF"/>
    <w:rsid w:val="08FF5662"/>
    <w:rsid w:val="08FF56AB"/>
    <w:rsid w:val="08FF56C6"/>
    <w:rsid w:val="08FF5727"/>
    <w:rsid w:val="08FF572E"/>
    <w:rsid w:val="08FF57D5"/>
    <w:rsid w:val="08FF5819"/>
    <w:rsid w:val="08FF5860"/>
    <w:rsid w:val="08FF586B"/>
    <w:rsid w:val="08FF58D7"/>
    <w:rsid w:val="08FF5952"/>
    <w:rsid w:val="08FF59D9"/>
    <w:rsid w:val="08FF59F5"/>
    <w:rsid w:val="08FF5A20"/>
    <w:rsid w:val="08FF5A60"/>
    <w:rsid w:val="08FF5B3E"/>
    <w:rsid w:val="08FF5B9B"/>
    <w:rsid w:val="08FF5BA9"/>
    <w:rsid w:val="08FF5C0A"/>
    <w:rsid w:val="08FF5C4B"/>
    <w:rsid w:val="08FF5C83"/>
    <w:rsid w:val="08FF5CA1"/>
    <w:rsid w:val="08FF5D35"/>
    <w:rsid w:val="08FF5D73"/>
    <w:rsid w:val="08FF5E0D"/>
    <w:rsid w:val="08FF5E1B"/>
    <w:rsid w:val="08FF5E9B"/>
    <w:rsid w:val="08FF5EB2"/>
    <w:rsid w:val="08FF5EDE"/>
    <w:rsid w:val="08FF5F53"/>
    <w:rsid w:val="08FF6035"/>
    <w:rsid w:val="08FF6070"/>
    <w:rsid w:val="08FF60CC"/>
    <w:rsid w:val="08FF610F"/>
    <w:rsid w:val="08FF614E"/>
    <w:rsid w:val="08FF61A5"/>
    <w:rsid w:val="08FF61E6"/>
    <w:rsid w:val="08FF62E3"/>
    <w:rsid w:val="08FF639C"/>
    <w:rsid w:val="08FF63FD"/>
    <w:rsid w:val="08FF6403"/>
    <w:rsid w:val="08FF6510"/>
    <w:rsid w:val="08FF6575"/>
    <w:rsid w:val="08FF6645"/>
    <w:rsid w:val="08FF6698"/>
    <w:rsid w:val="08FF6882"/>
    <w:rsid w:val="08FF6910"/>
    <w:rsid w:val="08FF6928"/>
    <w:rsid w:val="08FF69EA"/>
    <w:rsid w:val="08FF6A20"/>
    <w:rsid w:val="08FF6B11"/>
    <w:rsid w:val="08FF6B49"/>
    <w:rsid w:val="08FF6BC5"/>
    <w:rsid w:val="08FF6CF1"/>
    <w:rsid w:val="08FF6D13"/>
    <w:rsid w:val="08FF6DDD"/>
    <w:rsid w:val="08FF6DFE"/>
    <w:rsid w:val="08FF6E35"/>
    <w:rsid w:val="08FF6EF5"/>
    <w:rsid w:val="08FF6FAC"/>
    <w:rsid w:val="08FF7022"/>
    <w:rsid w:val="08FF714A"/>
    <w:rsid w:val="08FF7173"/>
    <w:rsid w:val="08FF7197"/>
    <w:rsid w:val="08FF71C3"/>
    <w:rsid w:val="08FF71E9"/>
    <w:rsid w:val="08FF7296"/>
    <w:rsid w:val="08FF72C1"/>
    <w:rsid w:val="08FF730F"/>
    <w:rsid w:val="08FF7323"/>
    <w:rsid w:val="08FF7353"/>
    <w:rsid w:val="08FF73C1"/>
    <w:rsid w:val="08FF73FA"/>
    <w:rsid w:val="08FF74F8"/>
    <w:rsid w:val="08FF7542"/>
    <w:rsid w:val="08FF76D2"/>
    <w:rsid w:val="08FF7730"/>
    <w:rsid w:val="08FF77A0"/>
    <w:rsid w:val="08FF77B7"/>
    <w:rsid w:val="08FF77E9"/>
    <w:rsid w:val="08FF78A1"/>
    <w:rsid w:val="08FF7989"/>
    <w:rsid w:val="08FF7A69"/>
    <w:rsid w:val="08FF7C10"/>
    <w:rsid w:val="08FF7D46"/>
    <w:rsid w:val="08FF7D83"/>
    <w:rsid w:val="08FF7E91"/>
    <w:rsid w:val="08FF7EA0"/>
    <w:rsid w:val="08FF7EB2"/>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429057"/>
    <o:shapelayout v:ext="edit">
      <o:idmap v:ext="edit" data="1"/>
    </o:shapelayout>
  </w:shapeDefaults>
  <w:decimalSymbol w:val=","/>
  <w:listSeparator w:val=";"/>
  <w14:docId w14:val="7ACB7A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lsdException w:name="heading 5" w:semiHidden="0" w:uiPriority="0" w:unhideWhenUsed="0"/>
    <w:lsdException w:name="heading 6" w:semiHidden="0" w:uiPriority="0" w:unhideWhenUsed="0"/>
    <w:lsdException w:name="heading 7" w:semiHidden="0" w:unhideWhenUsed="0"/>
    <w:lsdException w:name="heading 8" w:semiHidden="0" w:unhideWhenUsed="0"/>
    <w:lsdException w:name="heading 9" w:semiHidden="0" w:unhideWhenUsed="0"/>
    <w:lsdException w:name="index 1" w:qFormat="1"/>
    <w:lsdException w:name="index 2"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uiPriority="35" w:qFormat="1"/>
    <w:lsdException w:name="footnote reference" w:uiPriority="0" w:qFormat="1"/>
    <w:lsdException w:name="page number" w:uiPriority="0"/>
    <w:lsdException w:name="endnote reference" w:uiPriority="0"/>
    <w:lsdException w:name="Title" w:semiHidden="0" w:uiPriority="10" w:unhideWhenUsed="0"/>
    <w:lsdException w:name="Default Paragraph Font" w:uiPriority="1"/>
    <w:lsdException w:name="Subtitle" w:semiHidden="0" w:uiPriority="11" w:unhideWhenUsed="0"/>
    <w:lsdException w:name="FollowedHyperlink" w:uiPriority="0"/>
    <w:lsdException w:name="Strong" w:semiHidden="0" w:uiPriority="22" w:unhideWhenUsed="0"/>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ln">
    <w:name w:val="Normal"/>
    <w:qFormat/>
    <w:rsid w:val="002A6F68"/>
    <w:pPr>
      <w:spacing w:line="360" w:lineRule="auto"/>
      <w:jc w:val="both"/>
    </w:pPr>
    <w:rPr>
      <w:rFonts w:ascii="Calibri" w:eastAsia="Times" w:hAnsi="Calibri"/>
      <w:noProof/>
      <w:sz w:val="24"/>
    </w:rPr>
  </w:style>
  <w:style w:type="paragraph" w:styleId="Nadpis1">
    <w:name w:val="heading 1"/>
    <w:basedOn w:val="Normln"/>
    <w:next w:val="Normln"/>
    <w:link w:val="Nadpis1Char"/>
    <w:uiPriority w:val="9"/>
    <w:qFormat/>
    <w:rsid w:val="08D96339"/>
    <w:pPr>
      <w:keepNext/>
      <w:keepLines/>
      <w:spacing w:before="240" w:after="120" w:line="288" w:lineRule="auto"/>
      <w:jc w:val="left"/>
      <w:outlineLvl w:val="0"/>
    </w:pPr>
    <w:rPr>
      <w:rFonts w:ascii="Cambria" w:eastAsia="Times New Roman" w:hAnsi="Cambria"/>
      <w:b/>
      <w:bCs/>
      <w:sz w:val="26"/>
      <w:szCs w:val="28"/>
      <w:lang w:val="x-none" w:eastAsia="en-US"/>
    </w:rPr>
  </w:style>
  <w:style w:type="paragraph" w:styleId="Nadpis2">
    <w:name w:val="heading 2"/>
    <w:basedOn w:val="Normln"/>
    <w:next w:val="Normln"/>
    <w:link w:val="Nadpis2Char"/>
    <w:uiPriority w:val="9"/>
    <w:unhideWhenUsed/>
    <w:qFormat/>
    <w:rsid w:val="08D96339"/>
    <w:pPr>
      <w:keepNext/>
      <w:keepLines/>
      <w:spacing w:before="200" w:after="120" w:line="288" w:lineRule="auto"/>
      <w:jc w:val="left"/>
      <w:outlineLvl w:val="1"/>
    </w:pPr>
    <w:rPr>
      <w:rFonts w:ascii="Cambria" w:eastAsia="Times New Roman" w:hAnsi="Cambria"/>
      <w:b/>
      <w:bCs/>
      <w:szCs w:val="26"/>
      <w:lang w:val="x-none" w:eastAsia="en-US"/>
    </w:rPr>
  </w:style>
  <w:style w:type="paragraph" w:styleId="Nadpis3">
    <w:name w:val="heading 3"/>
    <w:basedOn w:val="Normln"/>
    <w:next w:val="Normln"/>
    <w:link w:val="Nadpis3Char"/>
    <w:autoRedefine/>
    <w:uiPriority w:val="9"/>
    <w:unhideWhenUsed/>
    <w:qFormat/>
    <w:rsid w:val="08D843DB"/>
    <w:pPr>
      <w:keepNext/>
      <w:keepLines/>
      <w:spacing w:before="200" w:after="120" w:line="288" w:lineRule="auto"/>
      <w:jc w:val="left"/>
      <w:outlineLvl w:val="2"/>
    </w:pPr>
    <w:rPr>
      <w:b/>
      <w:bCs/>
      <w:szCs w:val="28"/>
      <w:lang w:val="x-none" w:eastAsia="en-US"/>
    </w:rPr>
  </w:style>
  <w:style w:type="paragraph" w:styleId="Nadpis4">
    <w:name w:val="heading 4"/>
    <w:basedOn w:val="Normln"/>
    <w:next w:val="Normln"/>
    <w:link w:val="Nadpis4Char"/>
    <w:uiPriority w:val="9"/>
    <w:rsid w:val="00254726"/>
    <w:pPr>
      <w:keepNext/>
      <w:spacing w:before="240" w:after="60"/>
      <w:outlineLvl w:val="3"/>
    </w:pPr>
    <w:rPr>
      <w:rFonts w:ascii="Arial" w:hAnsi="Arial"/>
      <w:bCs/>
      <w:szCs w:val="28"/>
      <w:lang w:val="x-none" w:eastAsia="x-none"/>
    </w:rPr>
  </w:style>
  <w:style w:type="paragraph" w:styleId="Nadpis5">
    <w:name w:val="heading 5"/>
    <w:basedOn w:val="Normln"/>
    <w:next w:val="Normln"/>
    <w:link w:val="Nadpis5Char"/>
    <w:rsid w:val="00254726"/>
    <w:pPr>
      <w:keepNext/>
      <w:outlineLvl w:val="4"/>
    </w:pPr>
    <w:rPr>
      <w:i/>
      <w:iCs/>
      <w:lang w:val="x-none" w:eastAsia="x-none"/>
    </w:rPr>
  </w:style>
  <w:style w:type="paragraph" w:styleId="Nadpis6">
    <w:name w:val="heading 6"/>
    <w:basedOn w:val="Normln"/>
    <w:next w:val="Normln"/>
    <w:link w:val="Nadpis6Char"/>
    <w:rsid w:val="00254726"/>
    <w:pPr>
      <w:numPr>
        <w:ilvl w:val="5"/>
        <w:numId w:val="1"/>
      </w:numPr>
      <w:spacing w:before="280" w:after="280" w:line="240" w:lineRule="auto"/>
      <w:jc w:val="left"/>
      <w:outlineLvl w:val="5"/>
    </w:pPr>
    <w:rPr>
      <w:b/>
      <w:bCs/>
      <w:sz w:val="15"/>
      <w:szCs w:val="15"/>
      <w:lang w:val="x-none" w:eastAsia="x-none"/>
    </w:rPr>
  </w:style>
  <w:style w:type="paragraph" w:styleId="Nadpis7">
    <w:name w:val="heading 7"/>
    <w:basedOn w:val="Normln"/>
    <w:next w:val="Normln"/>
    <w:link w:val="Nadpis7Char"/>
    <w:uiPriority w:val="99"/>
    <w:rsid w:val="00254726"/>
    <w:pPr>
      <w:keepNext/>
      <w:numPr>
        <w:ilvl w:val="6"/>
        <w:numId w:val="1"/>
      </w:numPr>
      <w:spacing w:line="240" w:lineRule="auto"/>
      <w:jc w:val="center"/>
      <w:outlineLvl w:val="6"/>
    </w:pPr>
    <w:rPr>
      <w:b/>
      <w:bCs/>
      <w:sz w:val="28"/>
      <w:lang w:val="x-none" w:eastAsia="x-none"/>
    </w:rPr>
  </w:style>
  <w:style w:type="paragraph" w:styleId="Nadpis8">
    <w:name w:val="heading 8"/>
    <w:basedOn w:val="Normln"/>
    <w:next w:val="Normln"/>
    <w:link w:val="Nadpis8Char"/>
    <w:uiPriority w:val="99"/>
    <w:rsid w:val="00254726"/>
    <w:pPr>
      <w:keepNext/>
      <w:numPr>
        <w:ilvl w:val="7"/>
        <w:numId w:val="1"/>
      </w:numPr>
      <w:jc w:val="center"/>
      <w:outlineLvl w:val="7"/>
    </w:pPr>
    <w:rPr>
      <w:rFonts w:ascii="Arial" w:hAnsi="Arial"/>
      <w:b/>
      <w:bCs/>
      <w:sz w:val="32"/>
      <w:lang w:val="x-none" w:eastAsia="x-none"/>
    </w:rPr>
  </w:style>
  <w:style w:type="paragraph" w:styleId="Nadpis9">
    <w:name w:val="heading 9"/>
    <w:basedOn w:val="Normln"/>
    <w:next w:val="Normln"/>
    <w:link w:val="Nadpis9Char"/>
    <w:uiPriority w:val="99"/>
    <w:rsid w:val="00254726"/>
    <w:pPr>
      <w:keepNext/>
      <w:numPr>
        <w:ilvl w:val="8"/>
        <w:numId w:val="1"/>
      </w:numPr>
      <w:outlineLvl w:val="8"/>
    </w:pPr>
    <w:rPr>
      <w:rFonts w:ascii="Arial" w:hAnsi="Arial"/>
      <w:b/>
      <w:bCs/>
      <w:smallCaps/>
      <w:lang w:val="x-none" w:eastAsia="x-non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Znakapoznpodarou">
    <w:name w:val="footnote reference"/>
    <w:qFormat/>
    <w:rsid w:val="00254726"/>
    <w:rPr>
      <w:vertAlign w:val="superscript"/>
    </w:rPr>
  </w:style>
  <w:style w:type="paragraph" w:customStyle="1" w:styleId="nadpis">
    <w:name w:val="nadpis"/>
    <w:basedOn w:val="Normln"/>
    <w:uiPriority w:val="99"/>
    <w:rsid w:val="00254726"/>
    <w:pPr>
      <w:spacing w:before="100" w:beforeAutospacing="1" w:after="100" w:afterAutospacing="1" w:line="240" w:lineRule="auto"/>
      <w:jc w:val="center"/>
    </w:pPr>
    <w:rPr>
      <w:b/>
      <w:bCs/>
      <w:sz w:val="21"/>
      <w:szCs w:val="21"/>
    </w:rPr>
  </w:style>
  <w:style w:type="paragraph" w:styleId="Normlnweb">
    <w:name w:val="Normal (Web)"/>
    <w:basedOn w:val="Normln"/>
    <w:uiPriority w:val="99"/>
    <w:rsid w:val="00254726"/>
    <w:pPr>
      <w:spacing w:before="100" w:beforeAutospacing="1" w:after="100" w:afterAutospacing="1" w:line="240" w:lineRule="auto"/>
      <w:jc w:val="left"/>
    </w:pPr>
    <w:rPr>
      <w:color w:val="000000"/>
    </w:rPr>
  </w:style>
  <w:style w:type="character" w:customStyle="1" w:styleId="ref">
    <w:name w:val="ref"/>
    <w:basedOn w:val="Standardnpsmoodstavce"/>
    <w:rsid w:val="00254726"/>
  </w:style>
  <w:style w:type="paragraph" w:customStyle="1" w:styleId="Skripta">
    <w:name w:val="Skripta"/>
    <w:basedOn w:val="Normln"/>
    <w:uiPriority w:val="99"/>
    <w:rsid w:val="00254726"/>
    <w:pPr>
      <w:widowControl w:val="0"/>
      <w:suppressAutoHyphens/>
      <w:autoSpaceDE w:val="0"/>
      <w:ind w:firstLine="357"/>
    </w:pPr>
    <w:rPr>
      <w:color w:val="000000"/>
    </w:rPr>
  </w:style>
  <w:style w:type="paragraph" w:customStyle="1" w:styleId="Standard">
    <w:name w:val="Standard"/>
    <w:basedOn w:val="Normln"/>
    <w:next w:val="Normln"/>
    <w:uiPriority w:val="99"/>
    <w:rsid w:val="00254726"/>
    <w:pPr>
      <w:autoSpaceDE w:val="0"/>
      <w:autoSpaceDN w:val="0"/>
      <w:adjustRightInd w:val="0"/>
      <w:spacing w:after="120" w:line="240" w:lineRule="auto"/>
      <w:jc w:val="left"/>
    </w:pPr>
    <w:rPr>
      <w:rFonts w:ascii="APFKGB+TrebuchetMS" w:hAnsi="APFKGB+TrebuchetMS"/>
    </w:rPr>
  </w:style>
  <w:style w:type="paragraph" w:customStyle="1" w:styleId="vod">
    <w:name w:val="Úvod"/>
    <w:basedOn w:val="Normln"/>
    <w:uiPriority w:val="99"/>
    <w:rsid w:val="005D6ABF"/>
    <w:pPr>
      <w:tabs>
        <w:tab w:val="left" w:pos="454"/>
      </w:tabs>
      <w:overflowPunct w:val="0"/>
      <w:autoSpaceDE w:val="0"/>
      <w:autoSpaceDN w:val="0"/>
      <w:adjustRightInd w:val="0"/>
      <w:spacing w:before="120" w:after="120"/>
      <w:textAlignment w:val="baseline"/>
    </w:pPr>
    <w:rPr>
      <w:rFonts w:ascii="Arial" w:hAnsi="Arial"/>
      <w:sz w:val="22"/>
    </w:rPr>
  </w:style>
  <w:style w:type="character" w:customStyle="1" w:styleId="lemmadefinition">
    <w:name w:val="lemma_definition"/>
    <w:basedOn w:val="Standardnpsmoodstavce"/>
    <w:rsid w:val="00E5075E"/>
  </w:style>
  <w:style w:type="paragraph" w:styleId="Zkladntext">
    <w:name w:val="Body Text"/>
    <w:basedOn w:val="Normln"/>
    <w:link w:val="ZkladntextChar"/>
    <w:uiPriority w:val="99"/>
    <w:semiHidden/>
    <w:rsid w:val="00254726"/>
    <w:pPr>
      <w:jc w:val="left"/>
    </w:pPr>
    <w:rPr>
      <w:rFonts w:ascii="Arial" w:hAnsi="Arial"/>
      <w:noProof w:val="0"/>
      <w:color w:val="000000"/>
      <w:sz w:val="21"/>
      <w:szCs w:val="21"/>
      <w:lang w:val="x-none" w:eastAsia="x-none"/>
    </w:rPr>
  </w:style>
  <w:style w:type="character" w:styleId="CittHTML">
    <w:name w:val="HTML Cite"/>
    <w:uiPriority w:val="99"/>
    <w:semiHidden/>
    <w:rsid w:val="00254726"/>
    <w:rPr>
      <w:i/>
      <w:iCs/>
    </w:rPr>
  </w:style>
  <w:style w:type="character" w:styleId="slostrnky">
    <w:name w:val="page number"/>
    <w:basedOn w:val="Standardnpsmoodstavce"/>
    <w:semiHidden/>
    <w:rsid w:val="00254726"/>
  </w:style>
  <w:style w:type="character" w:styleId="Hypertextovodkaz">
    <w:name w:val="Hyperlink"/>
    <w:uiPriority w:val="99"/>
    <w:rsid w:val="00254726"/>
    <w:rPr>
      <w:color w:val="0000FF"/>
      <w:u w:val="single"/>
    </w:rPr>
  </w:style>
  <w:style w:type="character" w:styleId="Sledovanodkaz">
    <w:name w:val="FollowedHyperlink"/>
    <w:semiHidden/>
    <w:rsid w:val="00254726"/>
    <w:rPr>
      <w:color w:val="800080"/>
      <w:u w:val="single"/>
    </w:rPr>
  </w:style>
  <w:style w:type="character" w:styleId="Odkaznavysvtlivky">
    <w:name w:val="endnote reference"/>
    <w:semiHidden/>
    <w:rsid w:val="00254726"/>
    <w:rPr>
      <w:vertAlign w:val="superscript"/>
    </w:rPr>
  </w:style>
  <w:style w:type="character" w:styleId="Zvraznn">
    <w:name w:val="Emphasis"/>
    <w:uiPriority w:val="20"/>
    <w:qFormat/>
    <w:rsid w:val="00254726"/>
    <w:rPr>
      <w:i/>
      <w:iCs/>
    </w:rPr>
  </w:style>
  <w:style w:type="paragraph" w:customStyle="1" w:styleId="Nadpis0">
    <w:name w:val="Nadpis"/>
    <w:basedOn w:val="Normln"/>
    <w:next w:val="Normln"/>
    <w:uiPriority w:val="99"/>
    <w:rsid w:val="00254726"/>
    <w:pPr>
      <w:keepNext/>
      <w:spacing w:before="240" w:after="120"/>
    </w:pPr>
    <w:rPr>
      <w:rFonts w:ascii="Arial" w:eastAsia="MS Gothic" w:hAnsi="Arial" w:cs="Tahoma"/>
      <w:sz w:val="28"/>
      <w:szCs w:val="28"/>
    </w:rPr>
  </w:style>
  <w:style w:type="paragraph" w:styleId="Seznam">
    <w:name w:val="List"/>
    <w:basedOn w:val="Normln"/>
    <w:uiPriority w:val="99"/>
    <w:semiHidden/>
    <w:rsid w:val="00254726"/>
    <w:pPr>
      <w:ind w:left="283" w:hanging="283"/>
    </w:pPr>
  </w:style>
  <w:style w:type="paragraph" w:customStyle="1" w:styleId="Rejstk">
    <w:name w:val="Rejstřík"/>
    <w:basedOn w:val="Normln"/>
    <w:uiPriority w:val="99"/>
    <w:rsid w:val="00254726"/>
    <w:pPr>
      <w:suppressLineNumbers/>
    </w:pPr>
    <w:rPr>
      <w:rFonts w:cs="Tahoma"/>
    </w:rPr>
  </w:style>
  <w:style w:type="paragraph" w:styleId="Rejstk1">
    <w:name w:val="index 1"/>
    <w:basedOn w:val="Normln"/>
    <w:next w:val="Normln"/>
    <w:uiPriority w:val="99"/>
    <w:semiHidden/>
    <w:qFormat/>
    <w:rsid w:val="087F4565"/>
    <w:pPr>
      <w:ind w:left="240" w:hanging="240"/>
      <w:jc w:val="left"/>
    </w:pPr>
    <w:rPr>
      <w:rFonts w:cs="Calibri"/>
      <w:sz w:val="18"/>
      <w:szCs w:val="18"/>
    </w:rPr>
  </w:style>
  <w:style w:type="paragraph" w:styleId="Hlavikarejstku">
    <w:name w:val="index heading"/>
    <w:basedOn w:val="Normln"/>
    <w:next w:val="Rejstk1"/>
    <w:uiPriority w:val="99"/>
    <w:semiHidden/>
    <w:rsid w:val="00254726"/>
    <w:pPr>
      <w:spacing w:before="240" w:after="120"/>
      <w:jc w:val="center"/>
    </w:pPr>
    <w:rPr>
      <w:rFonts w:cs="Calibri"/>
      <w:b/>
      <w:bCs/>
      <w:sz w:val="26"/>
      <w:szCs w:val="26"/>
    </w:rPr>
  </w:style>
  <w:style w:type="paragraph" w:customStyle="1" w:styleId="Literatura">
    <w:name w:val="Literatura"/>
    <w:basedOn w:val="Normln"/>
    <w:uiPriority w:val="99"/>
    <w:qFormat/>
    <w:rsid w:val="00B03C39"/>
    <w:pPr>
      <w:spacing w:before="60" w:line="240" w:lineRule="auto"/>
    </w:pPr>
    <w:rPr>
      <w:sz w:val="20"/>
    </w:rPr>
  </w:style>
  <w:style w:type="paragraph" w:styleId="Normlnodsazen">
    <w:name w:val="Normal Indent"/>
    <w:basedOn w:val="Normln"/>
    <w:uiPriority w:val="99"/>
    <w:semiHidden/>
    <w:rsid w:val="00254726"/>
    <w:pPr>
      <w:ind w:left="708"/>
    </w:pPr>
  </w:style>
  <w:style w:type="paragraph" w:styleId="Obsah1">
    <w:name w:val="toc 1"/>
    <w:basedOn w:val="Normln"/>
    <w:next w:val="Normln"/>
    <w:autoRedefine/>
    <w:uiPriority w:val="39"/>
    <w:rsid w:val="00254726"/>
    <w:pPr>
      <w:spacing w:before="120" w:after="120"/>
      <w:jc w:val="left"/>
    </w:pPr>
    <w:rPr>
      <w:b/>
      <w:bCs/>
      <w:caps/>
    </w:rPr>
  </w:style>
  <w:style w:type="paragraph" w:styleId="Obsah2">
    <w:name w:val="toc 2"/>
    <w:basedOn w:val="Normln"/>
    <w:next w:val="Normln"/>
    <w:autoRedefine/>
    <w:uiPriority w:val="39"/>
    <w:rsid w:val="00254726"/>
    <w:pPr>
      <w:ind w:left="260"/>
      <w:jc w:val="left"/>
    </w:pPr>
    <w:rPr>
      <w:smallCaps/>
    </w:rPr>
  </w:style>
  <w:style w:type="paragraph" w:styleId="Obsah3">
    <w:name w:val="toc 3"/>
    <w:basedOn w:val="Normln"/>
    <w:next w:val="Normln"/>
    <w:autoRedefine/>
    <w:uiPriority w:val="39"/>
    <w:rsid w:val="00254726"/>
    <w:pPr>
      <w:ind w:left="520"/>
      <w:jc w:val="left"/>
    </w:pPr>
    <w:rPr>
      <w:i/>
      <w:iCs/>
    </w:rPr>
  </w:style>
  <w:style w:type="paragraph" w:styleId="Obsah4">
    <w:name w:val="toc 4"/>
    <w:basedOn w:val="Normln"/>
    <w:next w:val="Normln"/>
    <w:autoRedefine/>
    <w:uiPriority w:val="39"/>
    <w:rsid w:val="00254726"/>
    <w:pPr>
      <w:ind w:left="780"/>
      <w:jc w:val="left"/>
    </w:pPr>
    <w:rPr>
      <w:szCs w:val="21"/>
    </w:rPr>
  </w:style>
  <w:style w:type="paragraph" w:styleId="Obsah5">
    <w:name w:val="toc 5"/>
    <w:basedOn w:val="Normln"/>
    <w:next w:val="Normln"/>
    <w:autoRedefine/>
    <w:uiPriority w:val="39"/>
    <w:rsid w:val="00254726"/>
    <w:pPr>
      <w:ind w:left="1040"/>
      <w:jc w:val="left"/>
    </w:pPr>
    <w:rPr>
      <w:szCs w:val="21"/>
    </w:rPr>
  </w:style>
  <w:style w:type="paragraph" w:styleId="Obsah6">
    <w:name w:val="toc 6"/>
    <w:basedOn w:val="Normln"/>
    <w:next w:val="Normln"/>
    <w:autoRedefine/>
    <w:uiPriority w:val="39"/>
    <w:rsid w:val="00254726"/>
    <w:pPr>
      <w:ind w:left="1300"/>
      <w:jc w:val="left"/>
    </w:pPr>
    <w:rPr>
      <w:szCs w:val="21"/>
    </w:rPr>
  </w:style>
  <w:style w:type="paragraph" w:styleId="Obsah7">
    <w:name w:val="toc 7"/>
    <w:basedOn w:val="Normln"/>
    <w:next w:val="Normln"/>
    <w:autoRedefine/>
    <w:uiPriority w:val="39"/>
    <w:rsid w:val="00254726"/>
    <w:pPr>
      <w:ind w:left="1560"/>
      <w:jc w:val="left"/>
    </w:pPr>
    <w:rPr>
      <w:szCs w:val="21"/>
    </w:rPr>
  </w:style>
  <w:style w:type="paragraph" w:styleId="Obsah8">
    <w:name w:val="toc 8"/>
    <w:basedOn w:val="Normln"/>
    <w:next w:val="Normln"/>
    <w:autoRedefine/>
    <w:uiPriority w:val="39"/>
    <w:rsid w:val="00254726"/>
    <w:pPr>
      <w:ind w:left="1820"/>
      <w:jc w:val="left"/>
    </w:pPr>
    <w:rPr>
      <w:szCs w:val="21"/>
    </w:rPr>
  </w:style>
  <w:style w:type="paragraph" w:styleId="Obsah9">
    <w:name w:val="toc 9"/>
    <w:basedOn w:val="Normln"/>
    <w:next w:val="Normln"/>
    <w:autoRedefine/>
    <w:uiPriority w:val="39"/>
    <w:rsid w:val="00254726"/>
    <w:pPr>
      <w:ind w:left="2080"/>
      <w:jc w:val="left"/>
    </w:pPr>
    <w:rPr>
      <w:szCs w:val="21"/>
    </w:rPr>
  </w:style>
  <w:style w:type="paragraph" w:styleId="Rejstk2">
    <w:name w:val="index 2"/>
    <w:basedOn w:val="Normln"/>
    <w:next w:val="Normln"/>
    <w:uiPriority w:val="99"/>
    <w:qFormat/>
    <w:rsid w:val="087F4565"/>
    <w:pPr>
      <w:ind w:left="480" w:hanging="240"/>
      <w:jc w:val="left"/>
    </w:pPr>
    <w:rPr>
      <w:rFonts w:cs="Calibri"/>
      <w:sz w:val="18"/>
      <w:szCs w:val="18"/>
    </w:rPr>
  </w:style>
  <w:style w:type="paragraph" w:styleId="Rejstk3">
    <w:name w:val="index 3"/>
    <w:basedOn w:val="Normln"/>
    <w:next w:val="Normln"/>
    <w:uiPriority w:val="99"/>
    <w:semiHidden/>
    <w:rsid w:val="00254726"/>
    <w:pPr>
      <w:ind w:left="720" w:hanging="240"/>
      <w:jc w:val="left"/>
    </w:pPr>
    <w:rPr>
      <w:rFonts w:cs="Calibri"/>
      <w:sz w:val="18"/>
      <w:szCs w:val="18"/>
    </w:rPr>
  </w:style>
  <w:style w:type="paragraph" w:styleId="Rejstk4">
    <w:name w:val="index 4"/>
    <w:basedOn w:val="Normln"/>
    <w:next w:val="Normln"/>
    <w:uiPriority w:val="99"/>
    <w:semiHidden/>
    <w:rsid w:val="00254726"/>
    <w:pPr>
      <w:ind w:left="960" w:hanging="240"/>
      <w:jc w:val="left"/>
    </w:pPr>
    <w:rPr>
      <w:rFonts w:cs="Calibri"/>
      <w:sz w:val="18"/>
      <w:szCs w:val="18"/>
    </w:rPr>
  </w:style>
  <w:style w:type="paragraph" w:styleId="Rejstk5">
    <w:name w:val="index 5"/>
    <w:basedOn w:val="Normln"/>
    <w:next w:val="Normln"/>
    <w:uiPriority w:val="99"/>
    <w:semiHidden/>
    <w:rsid w:val="00254726"/>
    <w:pPr>
      <w:ind w:left="1200" w:hanging="240"/>
      <w:jc w:val="left"/>
    </w:pPr>
    <w:rPr>
      <w:rFonts w:cs="Calibri"/>
      <w:sz w:val="18"/>
      <w:szCs w:val="18"/>
    </w:rPr>
  </w:style>
  <w:style w:type="paragraph" w:styleId="Rejstk6">
    <w:name w:val="index 6"/>
    <w:basedOn w:val="Normln"/>
    <w:next w:val="Normln"/>
    <w:uiPriority w:val="99"/>
    <w:semiHidden/>
    <w:rsid w:val="00254726"/>
    <w:pPr>
      <w:ind w:left="1440" w:hanging="240"/>
      <w:jc w:val="left"/>
    </w:pPr>
    <w:rPr>
      <w:rFonts w:cs="Calibri"/>
      <w:sz w:val="18"/>
      <w:szCs w:val="18"/>
    </w:rPr>
  </w:style>
  <w:style w:type="paragraph" w:styleId="Rejstk7">
    <w:name w:val="index 7"/>
    <w:basedOn w:val="Normln"/>
    <w:next w:val="Normln"/>
    <w:uiPriority w:val="99"/>
    <w:semiHidden/>
    <w:rsid w:val="00254726"/>
    <w:pPr>
      <w:ind w:left="1680" w:hanging="240"/>
      <w:jc w:val="left"/>
    </w:pPr>
    <w:rPr>
      <w:rFonts w:cs="Calibri"/>
      <w:sz w:val="18"/>
      <w:szCs w:val="18"/>
    </w:rPr>
  </w:style>
  <w:style w:type="paragraph" w:styleId="Rejstk8">
    <w:name w:val="index 8"/>
    <w:basedOn w:val="Normln"/>
    <w:next w:val="Normln"/>
    <w:uiPriority w:val="99"/>
    <w:semiHidden/>
    <w:rsid w:val="00254726"/>
    <w:pPr>
      <w:ind w:left="1920" w:hanging="240"/>
      <w:jc w:val="left"/>
    </w:pPr>
    <w:rPr>
      <w:rFonts w:cs="Calibri"/>
      <w:sz w:val="18"/>
      <w:szCs w:val="18"/>
    </w:rPr>
  </w:style>
  <w:style w:type="paragraph" w:styleId="Rejstk9">
    <w:name w:val="index 9"/>
    <w:basedOn w:val="Normln"/>
    <w:next w:val="Normln"/>
    <w:uiPriority w:val="99"/>
    <w:semiHidden/>
    <w:rsid w:val="00254726"/>
    <w:pPr>
      <w:ind w:left="2160" w:hanging="240"/>
      <w:jc w:val="left"/>
    </w:pPr>
    <w:rPr>
      <w:rFonts w:cs="Calibri"/>
      <w:sz w:val="18"/>
      <w:szCs w:val="18"/>
    </w:rPr>
  </w:style>
  <w:style w:type="paragraph" w:customStyle="1" w:styleId="Rozvrendokumentu">
    <w:name w:val="Rozvržení dokumentu"/>
    <w:basedOn w:val="Normln"/>
    <w:link w:val="RozvrendokumentuChar"/>
    <w:uiPriority w:val="99"/>
    <w:semiHidden/>
    <w:rsid w:val="00254726"/>
    <w:pPr>
      <w:shd w:val="clear" w:color="auto" w:fill="000080"/>
    </w:pPr>
    <w:rPr>
      <w:rFonts w:ascii="Tahoma" w:hAnsi="Tahoma"/>
      <w:lang w:val="x-none" w:eastAsia="x-none"/>
    </w:rPr>
  </w:style>
  <w:style w:type="paragraph" w:styleId="Seznam2">
    <w:name w:val="List 2"/>
    <w:basedOn w:val="Normln"/>
    <w:uiPriority w:val="99"/>
    <w:semiHidden/>
    <w:rsid w:val="00254726"/>
    <w:pPr>
      <w:ind w:left="566" w:hanging="283"/>
    </w:pPr>
  </w:style>
  <w:style w:type="paragraph" w:styleId="Seznamobrzk">
    <w:name w:val="table of figures"/>
    <w:basedOn w:val="Normln"/>
    <w:next w:val="Normln"/>
    <w:uiPriority w:val="99"/>
    <w:semiHidden/>
    <w:rsid w:val="00254726"/>
    <w:pPr>
      <w:spacing w:line="240" w:lineRule="auto"/>
    </w:pPr>
    <w:rPr>
      <w:rFonts w:ascii="Arial" w:hAnsi="Arial"/>
      <w:b/>
      <w:sz w:val="22"/>
    </w:rPr>
  </w:style>
  <w:style w:type="paragraph" w:styleId="Seznamsodrkami">
    <w:name w:val="List Bullet"/>
    <w:basedOn w:val="Normln"/>
    <w:autoRedefine/>
    <w:uiPriority w:val="99"/>
    <w:semiHidden/>
    <w:rsid w:val="00254726"/>
    <w:pPr>
      <w:numPr>
        <w:numId w:val="2"/>
      </w:numPr>
    </w:pPr>
  </w:style>
  <w:style w:type="paragraph" w:styleId="Textpoznpodarou">
    <w:name w:val="footnote text"/>
    <w:basedOn w:val="Normln"/>
    <w:link w:val="TextpoznpodarouChar"/>
    <w:uiPriority w:val="99"/>
    <w:qFormat/>
    <w:rsid w:val="007B474D"/>
    <w:pPr>
      <w:tabs>
        <w:tab w:val="left" w:pos="284"/>
        <w:tab w:val="left" w:pos="454"/>
      </w:tabs>
      <w:overflowPunct w:val="0"/>
      <w:autoSpaceDE w:val="0"/>
      <w:autoSpaceDN w:val="0"/>
      <w:adjustRightInd w:val="0"/>
      <w:spacing w:after="60" w:line="264" w:lineRule="auto"/>
      <w:textAlignment w:val="baseline"/>
    </w:pPr>
    <w:rPr>
      <w:rFonts w:eastAsia="Times New Roman"/>
      <w:noProof w:val="0"/>
      <w:sz w:val="20"/>
      <w:lang w:val="x-none" w:eastAsia="x-none"/>
    </w:rPr>
  </w:style>
  <w:style w:type="paragraph" w:customStyle="1" w:styleId="Vnoenpolokarejstku">
    <w:name w:val="Vnořená položka rejstříku"/>
    <w:basedOn w:val="Rejstk2"/>
    <w:uiPriority w:val="99"/>
    <w:rsid w:val="00254726"/>
  </w:style>
  <w:style w:type="paragraph" w:styleId="Zhlav">
    <w:name w:val="header"/>
    <w:basedOn w:val="Normln"/>
    <w:link w:val="ZhlavChar"/>
    <w:uiPriority w:val="99"/>
    <w:rsid w:val="00254726"/>
    <w:pPr>
      <w:tabs>
        <w:tab w:val="center" w:pos="4536"/>
        <w:tab w:val="right" w:pos="9072"/>
      </w:tabs>
    </w:pPr>
    <w:rPr>
      <w:lang w:val="x-none" w:eastAsia="x-none"/>
    </w:rPr>
  </w:style>
  <w:style w:type="paragraph" w:styleId="Zpat">
    <w:name w:val="footer"/>
    <w:basedOn w:val="Normln"/>
    <w:link w:val="ZpatChar"/>
    <w:uiPriority w:val="99"/>
    <w:rsid w:val="00254726"/>
    <w:pPr>
      <w:tabs>
        <w:tab w:val="center" w:pos="4536"/>
        <w:tab w:val="right" w:pos="9072"/>
      </w:tabs>
    </w:pPr>
    <w:rPr>
      <w:lang w:val="x-none" w:eastAsia="x-none"/>
    </w:rPr>
  </w:style>
  <w:style w:type="paragraph" w:styleId="Textkomente">
    <w:name w:val="annotation text"/>
    <w:basedOn w:val="Normln"/>
    <w:link w:val="TextkomenteChar"/>
    <w:uiPriority w:val="99"/>
    <w:semiHidden/>
    <w:rsid w:val="00254726"/>
    <w:rPr>
      <w:noProof w:val="0"/>
      <w:sz w:val="20"/>
      <w:lang w:val="x-none" w:eastAsia="x-none"/>
    </w:rPr>
  </w:style>
  <w:style w:type="paragraph" w:styleId="FormtovanvHTML">
    <w:name w:val="HTML Preformatted"/>
    <w:basedOn w:val="Normln"/>
    <w:link w:val="FormtovanvHTMLChar"/>
    <w:uiPriority w:val="99"/>
    <w:semiHidden/>
    <w:rsid w:val="002547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Courier New" w:eastAsia="Courier New" w:hAnsi="Courier New"/>
      <w:noProof w:val="0"/>
      <w:sz w:val="20"/>
      <w:lang w:val="x-none" w:eastAsia="x-none"/>
    </w:rPr>
  </w:style>
  <w:style w:type="paragraph" w:customStyle="1" w:styleId="Citace">
    <w:name w:val="Citace"/>
    <w:basedOn w:val="Normln"/>
    <w:next w:val="Normln"/>
    <w:link w:val="CitaceChar"/>
    <w:uiPriority w:val="99"/>
    <w:qFormat/>
    <w:rsid w:val="00541573"/>
    <w:pPr>
      <w:spacing w:before="120" w:after="240" w:line="288" w:lineRule="auto"/>
    </w:pPr>
    <w:rPr>
      <w:noProof w:val="0"/>
      <w:color w:val="000000"/>
      <w:sz w:val="22"/>
      <w:lang w:val="x-none" w:eastAsia="x-none"/>
    </w:rPr>
  </w:style>
  <w:style w:type="character" w:customStyle="1" w:styleId="CitaceChar">
    <w:name w:val="Citace Char"/>
    <w:link w:val="Citace"/>
    <w:rsid w:val="00541573"/>
    <w:rPr>
      <w:rFonts w:ascii="Calibri" w:eastAsia="Times" w:hAnsi="Calibri"/>
      <w:color w:val="000000"/>
      <w:sz w:val="22"/>
    </w:rPr>
  </w:style>
  <w:style w:type="character" w:styleId="Siln">
    <w:name w:val="Strong"/>
    <w:uiPriority w:val="22"/>
    <w:rsid w:val="0085341B"/>
    <w:rPr>
      <w:b/>
    </w:rPr>
  </w:style>
  <w:style w:type="character" w:customStyle="1" w:styleId="A10">
    <w:name w:val="A10"/>
    <w:rsid w:val="0085341B"/>
    <w:rPr>
      <w:rFonts w:cs="WBHXPF+AGaramondPro-Regular"/>
      <w:color w:val="343637"/>
      <w:sz w:val="18"/>
      <w:szCs w:val="18"/>
    </w:rPr>
  </w:style>
  <w:style w:type="paragraph" w:styleId="Bezmezer">
    <w:name w:val="No Spacing"/>
    <w:uiPriority w:val="1"/>
    <w:rsid w:val="0085341B"/>
    <w:rPr>
      <w:rFonts w:ascii="Calibri" w:eastAsia="Calibri" w:hAnsi="Calibri"/>
      <w:sz w:val="22"/>
      <w:szCs w:val="22"/>
      <w:lang w:eastAsia="en-US"/>
    </w:rPr>
  </w:style>
  <w:style w:type="character" w:customStyle="1" w:styleId="greek">
    <w:name w:val="greek"/>
    <w:basedOn w:val="Standardnpsmoodstavce"/>
    <w:rsid w:val="00566F83"/>
  </w:style>
  <w:style w:type="character" w:customStyle="1" w:styleId="addmd">
    <w:name w:val="addmd"/>
    <w:basedOn w:val="Standardnpsmoodstavce"/>
    <w:rsid w:val="00B42DC1"/>
  </w:style>
  <w:style w:type="character" w:styleId="PromnnHTML">
    <w:name w:val="HTML Variable"/>
    <w:uiPriority w:val="99"/>
    <w:semiHidden/>
    <w:unhideWhenUsed/>
    <w:rsid w:val="005959D1"/>
    <w:rPr>
      <w:i/>
      <w:iCs/>
    </w:rPr>
  </w:style>
  <w:style w:type="character" w:customStyle="1" w:styleId="FormtovanvHTMLChar">
    <w:name w:val="Formátovaný v HTML Char"/>
    <w:link w:val="FormtovanvHTML"/>
    <w:uiPriority w:val="99"/>
    <w:semiHidden/>
    <w:rsid w:val="005959D1"/>
    <w:rPr>
      <w:rFonts w:ascii="Courier New" w:eastAsia="Courier New" w:hAnsi="Courier New" w:cs="Courier New"/>
    </w:rPr>
  </w:style>
  <w:style w:type="character" w:customStyle="1" w:styleId="TextpoznpodarouChar">
    <w:name w:val="Text pozn. pod čarou Char"/>
    <w:link w:val="Textpoznpodarou"/>
    <w:uiPriority w:val="99"/>
    <w:rsid w:val="007B474D"/>
    <w:rPr>
      <w:rFonts w:ascii="Calibri" w:hAnsi="Calibri"/>
    </w:rPr>
  </w:style>
  <w:style w:type="character" w:customStyle="1" w:styleId="st">
    <w:name w:val="st"/>
    <w:basedOn w:val="Standardnpsmoodstavce"/>
    <w:rsid w:val="00924178"/>
  </w:style>
  <w:style w:type="paragraph" w:styleId="Textbubliny">
    <w:name w:val="Balloon Text"/>
    <w:basedOn w:val="Normln"/>
    <w:link w:val="TextbublinyChar"/>
    <w:uiPriority w:val="99"/>
    <w:semiHidden/>
    <w:unhideWhenUsed/>
    <w:rsid w:val="00654007"/>
    <w:pPr>
      <w:spacing w:line="240" w:lineRule="auto"/>
    </w:pPr>
    <w:rPr>
      <w:rFonts w:ascii="Tahoma" w:hAnsi="Tahoma"/>
      <w:noProof w:val="0"/>
      <w:sz w:val="16"/>
      <w:szCs w:val="16"/>
      <w:lang w:val="x-none" w:eastAsia="x-none"/>
    </w:rPr>
  </w:style>
  <w:style w:type="character" w:customStyle="1" w:styleId="TextkomenteChar">
    <w:name w:val="Text komentáře Char"/>
    <w:link w:val="Textkomente"/>
    <w:uiPriority w:val="99"/>
    <w:semiHidden/>
    <w:rsid w:val="00033AD8"/>
    <w:rPr>
      <w:rFonts w:ascii="Calibri" w:eastAsia="Times" w:hAnsi="Calibri"/>
    </w:rPr>
  </w:style>
  <w:style w:type="character" w:customStyle="1" w:styleId="ZkladntextChar">
    <w:name w:val="Základní text Char"/>
    <w:link w:val="Zkladntext"/>
    <w:uiPriority w:val="99"/>
    <w:semiHidden/>
    <w:rsid w:val="00033AD8"/>
    <w:rPr>
      <w:rFonts w:ascii="Arial" w:eastAsia="Times" w:hAnsi="Arial" w:cs="Arial"/>
      <w:color w:val="000000"/>
      <w:sz w:val="21"/>
      <w:szCs w:val="21"/>
    </w:rPr>
  </w:style>
  <w:style w:type="character" w:customStyle="1" w:styleId="TextbublinyChar">
    <w:name w:val="Text bubliny Char"/>
    <w:link w:val="Textbubliny"/>
    <w:uiPriority w:val="99"/>
    <w:semiHidden/>
    <w:rsid w:val="00654007"/>
    <w:rPr>
      <w:rFonts w:ascii="Tahoma" w:eastAsia="Times" w:hAnsi="Tahoma" w:cs="Tahoma"/>
      <w:sz w:val="16"/>
      <w:szCs w:val="16"/>
    </w:rPr>
  </w:style>
  <w:style w:type="character" w:customStyle="1" w:styleId="placenumber">
    <w:name w:val="placenumber"/>
    <w:basedOn w:val="Standardnpsmoodstavce"/>
    <w:rsid w:val="0077741F"/>
  </w:style>
  <w:style w:type="character" w:customStyle="1" w:styleId="Zkladntext1">
    <w:name w:val="Základní text1"/>
    <w:rsid w:val="0082088F"/>
    <w:rPr>
      <w:rFonts w:ascii="Times New Roman" w:eastAsia="Times New Roman" w:hAnsi="Times New Roman" w:cs="Times New Roman"/>
      <w:b w:val="0"/>
      <w:bCs w:val="0"/>
      <w:i w:val="0"/>
      <w:iCs w:val="0"/>
      <w:smallCaps w:val="0"/>
      <w:strike w:val="0"/>
      <w:color w:val="000000"/>
      <w:spacing w:val="13"/>
      <w:w w:val="100"/>
      <w:position w:val="0"/>
      <w:sz w:val="17"/>
      <w:szCs w:val="17"/>
      <w:u w:val="single"/>
      <w:lang w:val="fr-FR"/>
    </w:rPr>
  </w:style>
  <w:style w:type="character" w:customStyle="1" w:styleId="ZkladntextKurzvadkovn0pt">
    <w:name w:val="Základní text + Kurzíva;Řádkování 0 pt"/>
    <w:rsid w:val="0082088F"/>
    <w:rPr>
      <w:rFonts w:ascii="Times New Roman" w:eastAsia="Times New Roman" w:hAnsi="Times New Roman" w:cs="Times New Roman"/>
      <w:b w:val="0"/>
      <w:bCs w:val="0"/>
      <w:i/>
      <w:iCs/>
      <w:smallCaps w:val="0"/>
      <w:strike w:val="0"/>
      <w:color w:val="000000"/>
      <w:spacing w:val="10"/>
      <w:w w:val="100"/>
      <w:position w:val="0"/>
      <w:sz w:val="17"/>
      <w:szCs w:val="17"/>
      <w:u w:val="single"/>
      <w:lang w:val="fr-FR"/>
    </w:rPr>
  </w:style>
  <w:style w:type="paragraph" w:customStyle="1" w:styleId="Default">
    <w:name w:val="Default"/>
    <w:uiPriority w:val="99"/>
    <w:rsid w:val="005A6F15"/>
    <w:pPr>
      <w:autoSpaceDE w:val="0"/>
      <w:autoSpaceDN w:val="0"/>
      <w:adjustRightInd w:val="0"/>
    </w:pPr>
    <w:rPr>
      <w:rFonts w:ascii="Arial" w:hAnsi="Arial" w:cs="Arial"/>
      <w:color w:val="000000"/>
      <w:sz w:val="24"/>
      <w:szCs w:val="24"/>
    </w:rPr>
  </w:style>
  <w:style w:type="character" w:customStyle="1" w:styleId="FontStyle129">
    <w:name w:val="Font Style129"/>
    <w:rsid w:val="00FD202D"/>
    <w:rPr>
      <w:rFonts w:ascii="Times New Roman" w:hAnsi="Times New Roman" w:cs="Times New Roman"/>
      <w:sz w:val="18"/>
      <w:szCs w:val="18"/>
    </w:rPr>
  </w:style>
  <w:style w:type="paragraph" w:customStyle="1" w:styleId="Style25">
    <w:name w:val="Style25"/>
    <w:basedOn w:val="Normln"/>
    <w:uiPriority w:val="99"/>
    <w:rsid w:val="005E1B11"/>
    <w:pPr>
      <w:widowControl w:val="0"/>
      <w:autoSpaceDE w:val="0"/>
      <w:autoSpaceDN w:val="0"/>
      <w:adjustRightInd w:val="0"/>
      <w:spacing w:line="215" w:lineRule="exact"/>
      <w:ind w:hanging="206"/>
    </w:pPr>
    <w:rPr>
      <w:rFonts w:ascii="Times New Roman" w:eastAsia="Times New Roman" w:hAnsi="Times New Roman"/>
      <w:sz w:val="20"/>
      <w:szCs w:val="24"/>
    </w:rPr>
  </w:style>
  <w:style w:type="character" w:customStyle="1" w:styleId="FontStyle78">
    <w:name w:val="Font Style78"/>
    <w:rsid w:val="005E1B11"/>
    <w:rPr>
      <w:rFonts w:ascii="Times New Roman" w:hAnsi="Times New Roman" w:cs="Times New Roman"/>
      <w:sz w:val="16"/>
      <w:szCs w:val="16"/>
    </w:rPr>
  </w:style>
  <w:style w:type="paragraph" w:customStyle="1" w:styleId="Style18">
    <w:name w:val="Style18"/>
    <w:basedOn w:val="Normln"/>
    <w:uiPriority w:val="99"/>
    <w:rsid w:val="005D732C"/>
    <w:pPr>
      <w:widowControl w:val="0"/>
      <w:autoSpaceDE w:val="0"/>
      <w:autoSpaceDN w:val="0"/>
      <w:adjustRightInd w:val="0"/>
      <w:spacing w:line="210" w:lineRule="exact"/>
    </w:pPr>
    <w:rPr>
      <w:rFonts w:ascii="Times New Roman" w:eastAsia="Times New Roman" w:hAnsi="Times New Roman"/>
      <w:sz w:val="20"/>
      <w:szCs w:val="24"/>
    </w:rPr>
  </w:style>
  <w:style w:type="character" w:customStyle="1" w:styleId="Zkladntext11">
    <w:name w:val="Základní text (11)"/>
    <w:rsid w:val="00B00BC0"/>
    <w:rPr>
      <w:rFonts w:ascii="Century Schoolbook" w:eastAsia="Century Schoolbook" w:hAnsi="Century Schoolbook" w:cs="Century Schoolbook"/>
      <w:b w:val="0"/>
      <w:bCs w:val="0"/>
      <w:i w:val="0"/>
      <w:iCs w:val="0"/>
      <w:smallCaps w:val="0"/>
      <w:strike w:val="0"/>
      <w:color w:val="000000"/>
      <w:spacing w:val="3"/>
      <w:w w:val="100"/>
      <w:position w:val="0"/>
      <w:sz w:val="16"/>
      <w:szCs w:val="16"/>
      <w:u w:val="single"/>
      <w:lang w:val="de-DE"/>
    </w:rPr>
  </w:style>
  <w:style w:type="paragraph" w:customStyle="1" w:styleId="Style19">
    <w:name w:val="Style19"/>
    <w:basedOn w:val="Normln"/>
    <w:uiPriority w:val="99"/>
    <w:rsid w:val="00971BB2"/>
    <w:pPr>
      <w:widowControl w:val="0"/>
      <w:autoSpaceDE w:val="0"/>
      <w:autoSpaceDN w:val="0"/>
      <w:adjustRightInd w:val="0"/>
      <w:spacing w:line="213" w:lineRule="exact"/>
      <w:ind w:firstLine="163"/>
    </w:pPr>
    <w:rPr>
      <w:rFonts w:ascii="Times New Roman" w:eastAsia="Times New Roman" w:hAnsi="Times New Roman"/>
      <w:sz w:val="20"/>
      <w:szCs w:val="24"/>
    </w:rPr>
  </w:style>
  <w:style w:type="paragraph" w:customStyle="1" w:styleId="Style44">
    <w:name w:val="Style44"/>
    <w:basedOn w:val="Normln"/>
    <w:uiPriority w:val="99"/>
    <w:rsid w:val="00971BB2"/>
    <w:pPr>
      <w:widowControl w:val="0"/>
      <w:autoSpaceDE w:val="0"/>
      <w:autoSpaceDN w:val="0"/>
      <w:adjustRightInd w:val="0"/>
      <w:spacing w:line="240" w:lineRule="auto"/>
      <w:jc w:val="left"/>
    </w:pPr>
    <w:rPr>
      <w:rFonts w:ascii="Times New Roman" w:eastAsia="Times New Roman" w:hAnsi="Times New Roman"/>
      <w:sz w:val="20"/>
      <w:szCs w:val="24"/>
    </w:rPr>
  </w:style>
  <w:style w:type="character" w:customStyle="1" w:styleId="FontStyle80">
    <w:name w:val="Font Style80"/>
    <w:rsid w:val="00971BB2"/>
    <w:rPr>
      <w:rFonts w:ascii="Times New Roman" w:hAnsi="Times New Roman" w:cs="Times New Roman"/>
      <w:smallCaps/>
      <w:sz w:val="16"/>
      <w:szCs w:val="16"/>
    </w:rPr>
  </w:style>
  <w:style w:type="character" w:customStyle="1" w:styleId="FontStyle88">
    <w:name w:val="Font Style88"/>
    <w:rsid w:val="00971BB2"/>
    <w:rPr>
      <w:rFonts w:ascii="Times New Roman" w:hAnsi="Times New Roman" w:cs="Times New Roman"/>
      <w:i/>
      <w:iCs/>
      <w:spacing w:val="-10"/>
      <w:sz w:val="18"/>
      <w:szCs w:val="18"/>
    </w:rPr>
  </w:style>
  <w:style w:type="character" w:customStyle="1" w:styleId="Zkladntext0">
    <w:name w:val="Základní text_"/>
    <w:link w:val="Zkladntext3"/>
    <w:rsid w:val="00E167A0"/>
    <w:rPr>
      <w:rFonts w:ascii="Century Schoolbook" w:eastAsia="Century Schoolbook" w:hAnsi="Century Schoolbook" w:cs="Century Schoolbook"/>
      <w:spacing w:val="-7"/>
      <w:sz w:val="19"/>
      <w:szCs w:val="19"/>
      <w:shd w:val="clear" w:color="auto" w:fill="FFFFFF"/>
    </w:rPr>
  </w:style>
  <w:style w:type="paragraph" w:customStyle="1" w:styleId="Zkladntext3">
    <w:name w:val="Základní text3"/>
    <w:basedOn w:val="Normln"/>
    <w:link w:val="Zkladntext0"/>
    <w:rsid w:val="00E167A0"/>
    <w:pPr>
      <w:widowControl w:val="0"/>
      <w:shd w:val="clear" w:color="auto" w:fill="FFFFFF"/>
      <w:spacing w:before="360" w:after="360" w:line="0" w:lineRule="atLeast"/>
      <w:jc w:val="center"/>
    </w:pPr>
    <w:rPr>
      <w:rFonts w:ascii="Century Schoolbook" w:eastAsia="Century Schoolbook" w:hAnsi="Century Schoolbook"/>
      <w:noProof w:val="0"/>
      <w:spacing w:val="-7"/>
      <w:sz w:val="19"/>
      <w:szCs w:val="19"/>
      <w:lang w:val="x-none" w:eastAsia="x-none"/>
    </w:rPr>
  </w:style>
  <w:style w:type="character" w:customStyle="1" w:styleId="Zkladntext4">
    <w:name w:val="Základní text (4)"/>
    <w:rsid w:val="001072E9"/>
    <w:rPr>
      <w:rFonts w:ascii="Times New Roman" w:eastAsia="Times New Roman" w:hAnsi="Times New Roman" w:cs="Times New Roman"/>
      <w:b w:val="0"/>
      <w:bCs w:val="0"/>
      <w:i w:val="0"/>
      <w:iCs w:val="0"/>
      <w:smallCaps w:val="0"/>
      <w:strike w:val="0"/>
      <w:color w:val="000000"/>
      <w:spacing w:val="4"/>
      <w:w w:val="100"/>
      <w:position w:val="0"/>
      <w:sz w:val="15"/>
      <w:szCs w:val="15"/>
      <w:u w:val="single"/>
      <w:lang w:val="fr-FR"/>
    </w:rPr>
  </w:style>
  <w:style w:type="character" w:customStyle="1" w:styleId="Zkladntext4Kurzvadkovn0pt">
    <w:name w:val="Základní text (4) + Kurzíva;Řádkování 0 pt"/>
    <w:rsid w:val="001072E9"/>
    <w:rPr>
      <w:rFonts w:ascii="Times New Roman" w:eastAsia="Times New Roman" w:hAnsi="Times New Roman" w:cs="Times New Roman"/>
      <w:b w:val="0"/>
      <w:bCs w:val="0"/>
      <w:i/>
      <w:iCs/>
      <w:smallCaps w:val="0"/>
      <w:strike w:val="0"/>
      <w:color w:val="000000"/>
      <w:spacing w:val="5"/>
      <w:w w:val="100"/>
      <w:position w:val="0"/>
      <w:sz w:val="15"/>
      <w:szCs w:val="15"/>
      <w:u w:val="single"/>
      <w:lang w:val="fr-FR"/>
    </w:rPr>
  </w:style>
  <w:style w:type="character" w:customStyle="1" w:styleId="Zkladntext5">
    <w:name w:val="Základní text (5)_"/>
    <w:link w:val="Zkladntext50"/>
    <w:rsid w:val="00616623"/>
    <w:rPr>
      <w:b/>
      <w:bCs/>
      <w:spacing w:val="2"/>
      <w:sz w:val="21"/>
      <w:szCs w:val="21"/>
      <w:shd w:val="clear" w:color="auto" w:fill="FFFFFF"/>
    </w:rPr>
  </w:style>
  <w:style w:type="character" w:customStyle="1" w:styleId="Nadpis10">
    <w:name w:val="Nadpis #1_"/>
    <w:link w:val="Nadpis11"/>
    <w:rsid w:val="00616623"/>
    <w:rPr>
      <w:b/>
      <w:bCs/>
      <w:spacing w:val="1"/>
      <w:sz w:val="60"/>
      <w:szCs w:val="60"/>
      <w:shd w:val="clear" w:color="auto" w:fill="FFFFFF"/>
    </w:rPr>
  </w:style>
  <w:style w:type="character" w:customStyle="1" w:styleId="Nadpis60">
    <w:name w:val="Nadpis #6_"/>
    <w:link w:val="Nadpis61"/>
    <w:rsid w:val="00616623"/>
    <w:rPr>
      <w:b/>
      <w:bCs/>
      <w:i/>
      <w:iCs/>
      <w:spacing w:val="7"/>
      <w:sz w:val="21"/>
      <w:szCs w:val="21"/>
      <w:shd w:val="clear" w:color="auto" w:fill="FFFFFF"/>
    </w:rPr>
  </w:style>
  <w:style w:type="character" w:customStyle="1" w:styleId="Nadpis6Nekurzvadkovn0pt">
    <w:name w:val="Nadpis #6 + Ne kurzíva;Řádkování 0 pt"/>
    <w:rsid w:val="00616623"/>
    <w:rPr>
      <w:b/>
      <w:bCs/>
      <w:i/>
      <w:iCs/>
      <w:color w:val="000000"/>
      <w:spacing w:val="2"/>
      <w:w w:val="100"/>
      <w:position w:val="0"/>
      <w:sz w:val="21"/>
      <w:szCs w:val="21"/>
      <w:shd w:val="clear" w:color="auto" w:fill="FFFFFF"/>
      <w:lang w:val="fr-FR"/>
    </w:rPr>
  </w:style>
  <w:style w:type="paragraph" w:customStyle="1" w:styleId="Zkladntext50">
    <w:name w:val="Základní text (5)"/>
    <w:basedOn w:val="Normln"/>
    <w:link w:val="Zkladntext5"/>
    <w:rsid w:val="00616623"/>
    <w:pPr>
      <w:widowControl w:val="0"/>
      <w:shd w:val="clear" w:color="auto" w:fill="FFFFFF"/>
      <w:spacing w:before="720" w:after="720" w:line="0" w:lineRule="atLeast"/>
      <w:jc w:val="center"/>
    </w:pPr>
    <w:rPr>
      <w:rFonts w:ascii="Times New Roman" w:eastAsia="Times New Roman" w:hAnsi="Times New Roman"/>
      <w:b/>
      <w:bCs/>
      <w:noProof w:val="0"/>
      <w:spacing w:val="2"/>
      <w:sz w:val="21"/>
      <w:szCs w:val="21"/>
      <w:lang w:val="x-none" w:eastAsia="x-none"/>
    </w:rPr>
  </w:style>
  <w:style w:type="paragraph" w:customStyle="1" w:styleId="Nadpis11">
    <w:name w:val="Nadpis #1"/>
    <w:basedOn w:val="Normln"/>
    <w:link w:val="Nadpis10"/>
    <w:rsid w:val="00616623"/>
    <w:pPr>
      <w:widowControl w:val="0"/>
      <w:shd w:val="clear" w:color="auto" w:fill="FFFFFF"/>
      <w:spacing w:before="720" w:after="420" w:line="0" w:lineRule="atLeast"/>
      <w:jc w:val="left"/>
      <w:outlineLvl w:val="0"/>
    </w:pPr>
    <w:rPr>
      <w:rFonts w:ascii="Times New Roman" w:eastAsia="Times New Roman" w:hAnsi="Times New Roman"/>
      <w:b/>
      <w:bCs/>
      <w:noProof w:val="0"/>
      <w:spacing w:val="1"/>
      <w:sz w:val="60"/>
      <w:szCs w:val="60"/>
      <w:lang w:val="x-none" w:eastAsia="x-none"/>
    </w:rPr>
  </w:style>
  <w:style w:type="paragraph" w:customStyle="1" w:styleId="Nadpis61">
    <w:name w:val="Nadpis #6"/>
    <w:basedOn w:val="Normln"/>
    <w:link w:val="Nadpis60"/>
    <w:rsid w:val="00616623"/>
    <w:pPr>
      <w:widowControl w:val="0"/>
      <w:shd w:val="clear" w:color="auto" w:fill="FFFFFF"/>
      <w:spacing w:before="420" w:after="1980" w:line="0" w:lineRule="atLeast"/>
      <w:jc w:val="center"/>
      <w:outlineLvl w:val="5"/>
    </w:pPr>
    <w:rPr>
      <w:rFonts w:ascii="Times New Roman" w:eastAsia="Times New Roman" w:hAnsi="Times New Roman"/>
      <w:b/>
      <w:bCs/>
      <w:i/>
      <w:iCs/>
      <w:noProof w:val="0"/>
      <w:spacing w:val="7"/>
      <w:sz w:val="21"/>
      <w:szCs w:val="21"/>
      <w:lang w:val="x-none" w:eastAsia="x-none"/>
    </w:rPr>
  </w:style>
  <w:style w:type="character" w:customStyle="1" w:styleId="Zkladntext6">
    <w:name w:val="Základní text (6)_"/>
    <w:link w:val="Zkladntext60"/>
    <w:rsid w:val="00A53F45"/>
    <w:rPr>
      <w:i/>
      <w:iCs/>
      <w:spacing w:val="6"/>
      <w:sz w:val="18"/>
      <w:szCs w:val="18"/>
      <w:shd w:val="clear" w:color="auto" w:fill="FFFFFF"/>
    </w:rPr>
  </w:style>
  <w:style w:type="paragraph" w:customStyle="1" w:styleId="Zkladntext60">
    <w:name w:val="Základní text (6)"/>
    <w:basedOn w:val="Normln"/>
    <w:link w:val="Zkladntext6"/>
    <w:rsid w:val="00A53F45"/>
    <w:pPr>
      <w:widowControl w:val="0"/>
      <w:shd w:val="clear" w:color="auto" w:fill="FFFFFF"/>
      <w:spacing w:before="1980" w:after="60" w:line="0" w:lineRule="atLeast"/>
      <w:ind w:hanging="300"/>
      <w:jc w:val="center"/>
    </w:pPr>
    <w:rPr>
      <w:rFonts w:ascii="Times New Roman" w:eastAsia="Times New Roman" w:hAnsi="Times New Roman"/>
      <w:i/>
      <w:iCs/>
      <w:noProof w:val="0"/>
      <w:spacing w:val="6"/>
      <w:sz w:val="18"/>
      <w:szCs w:val="18"/>
      <w:lang w:val="x-none" w:eastAsia="x-none"/>
    </w:rPr>
  </w:style>
  <w:style w:type="character" w:customStyle="1" w:styleId="la">
    <w:name w:val="la"/>
    <w:basedOn w:val="Standardnpsmoodstavce"/>
    <w:rsid w:val="00E704F5"/>
  </w:style>
  <w:style w:type="character" w:customStyle="1" w:styleId="Zkladntextdkovn0pt">
    <w:name w:val="Základní text + Řádkování 0 pt"/>
    <w:rsid w:val="00637570"/>
    <w:rPr>
      <w:rFonts w:ascii="David" w:eastAsia="David" w:hAnsi="David" w:cs="David"/>
      <w:b w:val="0"/>
      <w:bCs w:val="0"/>
      <w:i w:val="0"/>
      <w:iCs w:val="0"/>
      <w:smallCaps w:val="0"/>
      <w:strike w:val="0"/>
      <w:color w:val="000000"/>
      <w:spacing w:val="8"/>
      <w:w w:val="100"/>
      <w:position w:val="0"/>
      <w:sz w:val="15"/>
      <w:szCs w:val="15"/>
      <w:u w:val="single"/>
      <w:lang w:val="en-US"/>
    </w:rPr>
  </w:style>
  <w:style w:type="paragraph" w:customStyle="1" w:styleId="Zkladntext2">
    <w:name w:val="Základní text2"/>
    <w:basedOn w:val="Normln"/>
    <w:uiPriority w:val="99"/>
    <w:rsid w:val="004F7C68"/>
    <w:pPr>
      <w:widowControl w:val="0"/>
      <w:shd w:val="clear" w:color="auto" w:fill="FFFFFF"/>
      <w:spacing w:line="187" w:lineRule="exact"/>
    </w:pPr>
    <w:rPr>
      <w:rFonts w:ascii="David" w:eastAsia="David" w:hAnsi="David" w:cs="David"/>
      <w:sz w:val="14"/>
      <w:szCs w:val="14"/>
      <w:lang w:val="en-US"/>
    </w:rPr>
  </w:style>
  <w:style w:type="character" w:customStyle="1" w:styleId="ZkladntextSimHeiKurzvadkovn0pt">
    <w:name w:val="Základní text + SimHei;Kurzíva;Řádkování 0 pt"/>
    <w:rsid w:val="00D66518"/>
    <w:rPr>
      <w:rFonts w:ascii="SimHei" w:eastAsia="SimHei" w:hAnsi="SimHei" w:cs="SimHei"/>
      <w:b w:val="0"/>
      <w:bCs w:val="0"/>
      <w:i/>
      <w:iCs/>
      <w:smallCaps w:val="0"/>
      <w:strike w:val="0"/>
      <w:color w:val="000000"/>
      <w:spacing w:val="-11"/>
      <w:w w:val="100"/>
      <w:position w:val="0"/>
      <w:sz w:val="20"/>
      <w:szCs w:val="20"/>
      <w:u w:val="single"/>
      <w:shd w:val="clear" w:color="auto" w:fill="FFFFFF"/>
      <w:lang w:val="en-US"/>
    </w:rPr>
  </w:style>
  <w:style w:type="paragraph" w:styleId="Textvysvtlivek">
    <w:name w:val="endnote text"/>
    <w:basedOn w:val="Normln"/>
    <w:link w:val="TextvysvtlivekChar"/>
    <w:uiPriority w:val="99"/>
    <w:semiHidden/>
    <w:unhideWhenUsed/>
    <w:rsid w:val="00123A41"/>
    <w:rPr>
      <w:noProof w:val="0"/>
      <w:sz w:val="20"/>
      <w:lang w:val="x-none" w:eastAsia="x-none"/>
    </w:rPr>
  </w:style>
  <w:style w:type="character" w:customStyle="1" w:styleId="TextvysvtlivekChar">
    <w:name w:val="Text vysvětlivek Char"/>
    <w:link w:val="Textvysvtlivek"/>
    <w:uiPriority w:val="99"/>
    <w:semiHidden/>
    <w:rsid w:val="00123A41"/>
    <w:rPr>
      <w:rFonts w:ascii="Calibri" w:eastAsia="Times" w:hAnsi="Calibri"/>
    </w:rPr>
  </w:style>
  <w:style w:type="character" w:customStyle="1" w:styleId="Poznmkapodarou3dkovn0pt">
    <w:name w:val="Poznámka pod čarou (3) + Řádkování 0 pt"/>
    <w:rsid w:val="0096318B"/>
    <w:rPr>
      <w:rFonts w:ascii="Constantia" w:eastAsia="Constantia" w:hAnsi="Constantia" w:cs="Constantia"/>
      <w:b w:val="0"/>
      <w:bCs w:val="0"/>
      <w:i/>
      <w:iCs/>
      <w:smallCaps w:val="0"/>
      <w:strike w:val="0"/>
      <w:color w:val="000000"/>
      <w:spacing w:val="-1"/>
      <w:w w:val="100"/>
      <w:position w:val="0"/>
      <w:sz w:val="14"/>
      <w:szCs w:val="14"/>
      <w:u w:val="none"/>
      <w:lang w:val="en-US"/>
    </w:rPr>
  </w:style>
  <w:style w:type="character" w:customStyle="1" w:styleId="Zkladntext6CordiaNew11ptKurzvadkovn0pt">
    <w:name w:val="Základní text (6) + Cordia New;11 pt;Kurzíva;Řádkování 0 pt"/>
    <w:rsid w:val="004423DF"/>
    <w:rPr>
      <w:rFonts w:ascii="Cordia New" w:eastAsia="Cordia New" w:hAnsi="Cordia New" w:cs="Cordia New"/>
      <w:b w:val="0"/>
      <w:bCs w:val="0"/>
      <w:i w:val="0"/>
      <w:iCs w:val="0"/>
      <w:smallCaps w:val="0"/>
      <w:strike w:val="0"/>
      <w:color w:val="000000"/>
      <w:spacing w:val="0"/>
      <w:w w:val="100"/>
      <w:position w:val="0"/>
      <w:sz w:val="22"/>
      <w:szCs w:val="22"/>
      <w:u w:val="none"/>
      <w:shd w:val="clear" w:color="auto" w:fill="FFFFFF"/>
      <w:lang w:val="en-US"/>
    </w:rPr>
  </w:style>
  <w:style w:type="character" w:customStyle="1" w:styleId="Nadpis1Constantia425ptNekurzvadkovn0pt">
    <w:name w:val="Nadpis #1 + Constantia;42;5 pt;Ne kurzíva;Řádkování 0 pt"/>
    <w:rsid w:val="005C2D81"/>
    <w:rPr>
      <w:rFonts w:ascii="Constantia" w:eastAsia="Constantia" w:hAnsi="Constantia" w:cs="Constantia"/>
      <w:b/>
      <w:bCs/>
      <w:i/>
      <w:iCs/>
      <w:color w:val="000000"/>
      <w:spacing w:val="-12"/>
      <w:w w:val="100"/>
      <w:position w:val="0"/>
      <w:sz w:val="85"/>
      <w:szCs w:val="85"/>
      <w:shd w:val="clear" w:color="auto" w:fill="FFFFFF"/>
      <w:lang w:val="en-US"/>
    </w:rPr>
  </w:style>
  <w:style w:type="character" w:customStyle="1" w:styleId="Poznmkapodarou2">
    <w:name w:val="Poznámka pod čarou (2)"/>
    <w:rsid w:val="0047787A"/>
    <w:rPr>
      <w:rFonts w:ascii="Times New Roman" w:eastAsia="Times New Roman" w:hAnsi="Times New Roman" w:cs="Times New Roman"/>
      <w:b w:val="0"/>
      <w:bCs w:val="0"/>
      <w:i w:val="0"/>
      <w:iCs w:val="0"/>
      <w:smallCaps w:val="0"/>
      <w:strike w:val="0"/>
      <w:color w:val="000000"/>
      <w:spacing w:val="4"/>
      <w:w w:val="100"/>
      <w:position w:val="0"/>
      <w:sz w:val="15"/>
      <w:szCs w:val="15"/>
      <w:u w:val="single"/>
      <w:lang w:val="fr-FR"/>
    </w:rPr>
  </w:style>
  <w:style w:type="character" w:customStyle="1" w:styleId="Zkladntext8Malpsmenadkovn1pt">
    <w:name w:val="Základní text (8) + Malá písmena;Řádkování 1 pt"/>
    <w:rsid w:val="0047787A"/>
    <w:rPr>
      <w:rFonts w:ascii="Times New Roman" w:eastAsia="Times New Roman" w:hAnsi="Times New Roman" w:cs="Times New Roman"/>
      <w:b w:val="0"/>
      <w:bCs w:val="0"/>
      <w:i w:val="0"/>
      <w:iCs w:val="0"/>
      <w:smallCaps/>
      <w:strike w:val="0"/>
      <w:color w:val="000000"/>
      <w:spacing w:val="23"/>
      <w:w w:val="100"/>
      <w:position w:val="0"/>
      <w:sz w:val="13"/>
      <w:szCs w:val="13"/>
      <w:u w:val="none"/>
      <w:lang w:val="fr-FR"/>
    </w:rPr>
  </w:style>
  <w:style w:type="character" w:customStyle="1" w:styleId="Poznmkapodarou20">
    <w:name w:val="Poznámka pod čarou (2)_"/>
    <w:rsid w:val="0047787A"/>
    <w:rPr>
      <w:rFonts w:ascii="Times New Roman" w:eastAsia="Times New Roman" w:hAnsi="Times New Roman" w:cs="Times New Roman"/>
      <w:b w:val="0"/>
      <w:bCs w:val="0"/>
      <w:i w:val="0"/>
      <w:iCs w:val="0"/>
      <w:smallCaps w:val="0"/>
      <w:strike w:val="0"/>
      <w:spacing w:val="4"/>
      <w:sz w:val="15"/>
      <w:szCs w:val="15"/>
      <w:u w:val="none"/>
    </w:rPr>
  </w:style>
  <w:style w:type="character" w:customStyle="1" w:styleId="Zkladntext5Kurzvadkovn0pt">
    <w:name w:val="Základní text (5) + Kurzíva;Řádkování 0 pt"/>
    <w:rsid w:val="0047787A"/>
    <w:rPr>
      <w:rFonts w:ascii="Times New Roman" w:eastAsia="Times New Roman" w:hAnsi="Times New Roman" w:cs="Times New Roman"/>
      <w:b/>
      <w:bCs/>
      <w:i/>
      <w:iCs/>
      <w:smallCaps w:val="0"/>
      <w:strike w:val="0"/>
      <w:color w:val="000000"/>
      <w:spacing w:val="-3"/>
      <w:w w:val="100"/>
      <w:position w:val="0"/>
      <w:sz w:val="13"/>
      <w:szCs w:val="13"/>
      <w:u w:val="single"/>
      <w:shd w:val="clear" w:color="auto" w:fill="FFFFFF"/>
      <w:lang w:val="fr-FR"/>
    </w:rPr>
  </w:style>
  <w:style w:type="character" w:customStyle="1" w:styleId="ZkladntextTunKurzvadkovn0pt">
    <w:name w:val="Základní text + Tučné;Kurzíva;Řádkování 0 pt"/>
    <w:rsid w:val="00F936D6"/>
    <w:rPr>
      <w:rFonts w:ascii="Book Antiqua" w:eastAsia="Book Antiqua" w:hAnsi="Book Antiqua" w:cs="Book Antiqua"/>
      <w:b/>
      <w:bCs/>
      <w:i/>
      <w:iCs/>
      <w:smallCaps w:val="0"/>
      <w:strike w:val="0"/>
      <w:color w:val="000000"/>
      <w:spacing w:val="0"/>
      <w:w w:val="100"/>
      <w:position w:val="0"/>
      <w:sz w:val="20"/>
      <w:szCs w:val="20"/>
      <w:u w:val="none"/>
      <w:shd w:val="clear" w:color="auto" w:fill="FFFFFF"/>
      <w:lang w:val="en-US"/>
    </w:rPr>
  </w:style>
  <w:style w:type="character" w:customStyle="1" w:styleId="Zkladntext16dkovn0pt">
    <w:name w:val="Základní text (16) + Řádkování 0 pt"/>
    <w:rsid w:val="00883808"/>
    <w:rPr>
      <w:rFonts w:ascii="Georgia" w:eastAsia="Georgia" w:hAnsi="Georgia" w:cs="Georgia"/>
      <w:b w:val="0"/>
      <w:bCs w:val="0"/>
      <w:i w:val="0"/>
      <w:iCs w:val="0"/>
      <w:smallCaps w:val="0"/>
      <w:strike w:val="0"/>
      <w:color w:val="000000"/>
      <w:spacing w:val="-2"/>
      <w:w w:val="100"/>
      <w:position w:val="0"/>
      <w:sz w:val="17"/>
      <w:szCs w:val="17"/>
      <w:u w:val="none"/>
      <w:lang w:val="en-US"/>
    </w:rPr>
  </w:style>
  <w:style w:type="character" w:customStyle="1" w:styleId="fn">
    <w:name w:val="fn"/>
    <w:basedOn w:val="Standardnpsmoodstavce"/>
    <w:rsid w:val="006020A1"/>
  </w:style>
  <w:style w:type="character" w:customStyle="1" w:styleId="Podtitul1">
    <w:name w:val="Podtitul1"/>
    <w:basedOn w:val="Standardnpsmoodstavce"/>
    <w:rsid w:val="006020A1"/>
  </w:style>
  <w:style w:type="character" w:customStyle="1" w:styleId="aus">
    <w:name w:val="aus"/>
    <w:basedOn w:val="Standardnpsmoodstavce"/>
    <w:rsid w:val="004B4AA4"/>
  </w:style>
  <w:style w:type="character" w:customStyle="1" w:styleId="Zkladntext158Constantia13ptKurzvadkovn0pt">
    <w:name w:val="Základní text (158) + Constantia;13 pt;Kurzíva;Řádkování 0 pt"/>
    <w:rsid w:val="00BD118E"/>
    <w:rPr>
      <w:rFonts w:ascii="Constantia" w:eastAsia="Constantia" w:hAnsi="Constantia" w:cs="Constantia"/>
      <w:b w:val="0"/>
      <w:bCs w:val="0"/>
      <w:i/>
      <w:iCs/>
      <w:smallCaps w:val="0"/>
      <w:strike w:val="0"/>
      <w:color w:val="000000"/>
      <w:spacing w:val="-8"/>
      <w:w w:val="100"/>
      <w:position w:val="0"/>
      <w:sz w:val="26"/>
      <w:szCs w:val="26"/>
      <w:u w:val="none"/>
      <w:lang w:val="en-US"/>
    </w:rPr>
  </w:style>
  <w:style w:type="character" w:customStyle="1" w:styleId="ZhlavneboZpat">
    <w:name w:val="Záhlaví nebo Zápatí_"/>
    <w:link w:val="ZhlavneboZpat0"/>
    <w:rsid w:val="002D0394"/>
    <w:rPr>
      <w:rFonts w:ascii="Sylfaen" w:eastAsia="Sylfaen" w:hAnsi="Sylfaen" w:cs="Sylfaen"/>
      <w:i/>
      <w:iCs/>
      <w:spacing w:val="-5"/>
      <w:sz w:val="22"/>
      <w:szCs w:val="22"/>
      <w:shd w:val="clear" w:color="auto" w:fill="FFFFFF"/>
    </w:rPr>
  </w:style>
  <w:style w:type="character" w:customStyle="1" w:styleId="Zkladntext158">
    <w:name w:val="Základní text (158)_"/>
    <w:link w:val="Zkladntext1580"/>
    <w:rsid w:val="002D0394"/>
    <w:rPr>
      <w:spacing w:val="6"/>
      <w:sz w:val="27"/>
      <w:szCs w:val="27"/>
      <w:shd w:val="clear" w:color="auto" w:fill="FFFFFF"/>
    </w:rPr>
  </w:style>
  <w:style w:type="character" w:customStyle="1" w:styleId="Zkladntext158dkovn0pt">
    <w:name w:val="Základní text (158) + Řádkování 0 pt"/>
    <w:rsid w:val="002D0394"/>
    <w:rPr>
      <w:color w:val="000000"/>
      <w:spacing w:val="7"/>
      <w:w w:val="100"/>
      <w:position w:val="0"/>
      <w:sz w:val="27"/>
      <w:szCs w:val="27"/>
      <w:shd w:val="clear" w:color="auto" w:fill="FFFFFF"/>
      <w:lang w:val="en-US"/>
    </w:rPr>
  </w:style>
  <w:style w:type="paragraph" w:customStyle="1" w:styleId="ZhlavneboZpat0">
    <w:name w:val="Záhlaví nebo Zápatí"/>
    <w:basedOn w:val="Normln"/>
    <w:link w:val="ZhlavneboZpat"/>
    <w:rsid w:val="002D0394"/>
    <w:pPr>
      <w:widowControl w:val="0"/>
      <w:shd w:val="clear" w:color="auto" w:fill="FFFFFF"/>
      <w:spacing w:line="0" w:lineRule="atLeast"/>
      <w:jc w:val="left"/>
    </w:pPr>
    <w:rPr>
      <w:rFonts w:ascii="Sylfaen" w:eastAsia="Sylfaen" w:hAnsi="Sylfaen"/>
      <w:i/>
      <w:iCs/>
      <w:noProof w:val="0"/>
      <w:spacing w:val="-5"/>
      <w:sz w:val="22"/>
      <w:szCs w:val="22"/>
      <w:lang w:val="x-none" w:eastAsia="x-none"/>
    </w:rPr>
  </w:style>
  <w:style w:type="paragraph" w:customStyle="1" w:styleId="Zkladntext1580">
    <w:name w:val="Základní text (158)"/>
    <w:basedOn w:val="Normln"/>
    <w:link w:val="Zkladntext158"/>
    <w:rsid w:val="002D0394"/>
    <w:pPr>
      <w:widowControl w:val="0"/>
      <w:shd w:val="clear" w:color="auto" w:fill="FFFFFF"/>
      <w:spacing w:line="334" w:lineRule="exact"/>
      <w:ind w:hanging="460"/>
    </w:pPr>
    <w:rPr>
      <w:rFonts w:ascii="Times New Roman" w:eastAsia="Times New Roman" w:hAnsi="Times New Roman"/>
      <w:noProof w:val="0"/>
      <w:spacing w:val="6"/>
      <w:sz w:val="27"/>
      <w:szCs w:val="27"/>
      <w:lang w:val="x-none" w:eastAsia="x-none"/>
    </w:rPr>
  </w:style>
  <w:style w:type="character" w:customStyle="1" w:styleId="Zkladntext75">
    <w:name w:val="Základní text (75)_"/>
    <w:link w:val="Zkladntext750"/>
    <w:rsid w:val="00ED4DAC"/>
    <w:rPr>
      <w:rFonts w:ascii="Sylfaen" w:eastAsia="Sylfaen" w:hAnsi="Sylfaen" w:cs="Sylfaen"/>
      <w:spacing w:val="6"/>
      <w:sz w:val="25"/>
      <w:szCs w:val="25"/>
      <w:shd w:val="clear" w:color="auto" w:fill="FFFFFF"/>
    </w:rPr>
  </w:style>
  <w:style w:type="character" w:customStyle="1" w:styleId="Zkladntext7575ptdkovn0pt">
    <w:name w:val="Základní text (75) + 7;5 pt;Řádkování 0 pt"/>
    <w:rsid w:val="00ED4DAC"/>
    <w:rPr>
      <w:rFonts w:ascii="Sylfaen" w:eastAsia="Sylfaen" w:hAnsi="Sylfaen" w:cs="Sylfaen"/>
      <w:color w:val="000000"/>
      <w:spacing w:val="5"/>
      <w:w w:val="100"/>
      <w:position w:val="0"/>
      <w:sz w:val="15"/>
      <w:szCs w:val="15"/>
      <w:shd w:val="clear" w:color="auto" w:fill="FFFFFF"/>
      <w:lang w:val="en-US"/>
    </w:rPr>
  </w:style>
  <w:style w:type="character" w:customStyle="1" w:styleId="Zkladntext75dkovn0pt">
    <w:name w:val="Základní text (75) + Řádkování 0 pt"/>
    <w:rsid w:val="00ED4DAC"/>
    <w:rPr>
      <w:rFonts w:ascii="Sylfaen" w:eastAsia="Sylfaen" w:hAnsi="Sylfaen" w:cs="Sylfaen"/>
      <w:color w:val="000000"/>
      <w:spacing w:val="5"/>
      <w:w w:val="100"/>
      <w:position w:val="0"/>
      <w:sz w:val="25"/>
      <w:szCs w:val="25"/>
      <w:shd w:val="clear" w:color="auto" w:fill="FFFFFF"/>
      <w:lang w:val="en-US"/>
    </w:rPr>
  </w:style>
  <w:style w:type="paragraph" w:customStyle="1" w:styleId="Zkladntext750">
    <w:name w:val="Základní text (75)"/>
    <w:basedOn w:val="Normln"/>
    <w:link w:val="Zkladntext75"/>
    <w:rsid w:val="00ED4DAC"/>
    <w:pPr>
      <w:widowControl w:val="0"/>
      <w:shd w:val="clear" w:color="auto" w:fill="FFFFFF"/>
      <w:spacing w:line="339" w:lineRule="exact"/>
      <w:jc w:val="left"/>
    </w:pPr>
    <w:rPr>
      <w:rFonts w:ascii="Sylfaen" w:eastAsia="Sylfaen" w:hAnsi="Sylfaen"/>
      <w:noProof w:val="0"/>
      <w:spacing w:val="6"/>
      <w:sz w:val="25"/>
      <w:szCs w:val="25"/>
      <w:lang w:val="x-none" w:eastAsia="x-none"/>
    </w:rPr>
  </w:style>
  <w:style w:type="character" w:customStyle="1" w:styleId="Zkladntext184">
    <w:name w:val="Základní text (184)"/>
    <w:rsid w:val="001F1892"/>
    <w:rPr>
      <w:rFonts w:ascii="Constantia" w:eastAsia="Constantia" w:hAnsi="Constantia" w:cs="Constantia"/>
      <w:b w:val="0"/>
      <w:bCs w:val="0"/>
      <w:i w:val="0"/>
      <w:iCs w:val="0"/>
      <w:smallCaps w:val="0"/>
      <w:strike w:val="0"/>
      <w:color w:val="000000"/>
      <w:spacing w:val="4"/>
      <w:w w:val="100"/>
      <w:position w:val="0"/>
      <w:sz w:val="26"/>
      <w:szCs w:val="26"/>
      <w:u w:val="none"/>
      <w:lang w:val="en-US"/>
    </w:rPr>
  </w:style>
  <w:style w:type="character" w:customStyle="1" w:styleId="Zkladntext43">
    <w:name w:val="Základní text (43)_"/>
    <w:link w:val="Zkladntext430"/>
    <w:rsid w:val="00183F84"/>
    <w:rPr>
      <w:rFonts w:ascii="Sylfaen" w:eastAsia="Sylfaen" w:hAnsi="Sylfaen" w:cs="Sylfaen"/>
      <w:b/>
      <w:bCs/>
      <w:spacing w:val="5"/>
      <w:sz w:val="27"/>
      <w:szCs w:val="27"/>
      <w:shd w:val="clear" w:color="auto" w:fill="FFFFFF"/>
    </w:rPr>
  </w:style>
  <w:style w:type="paragraph" w:customStyle="1" w:styleId="Zkladntext430">
    <w:name w:val="Základní text (43)"/>
    <w:basedOn w:val="Normln"/>
    <w:link w:val="Zkladntext43"/>
    <w:rsid w:val="00183F84"/>
    <w:pPr>
      <w:widowControl w:val="0"/>
      <w:shd w:val="clear" w:color="auto" w:fill="FFFFFF"/>
      <w:spacing w:before="180" w:line="334" w:lineRule="exact"/>
      <w:ind w:hanging="360"/>
      <w:jc w:val="left"/>
    </w:pPr>
    <w:rPr>
      <w:rFonts w:ascii="Sylfaen" w:eastAsia="Sylfaen" w:hAnsi="Sylfaen"/>
      <w:b/>
      <w:bCs/>
      <w:noProof w:val="0"/>
      <w:spacing w:val="5"/>
      <w:sz w:val="27"/>
      <w:szCs w:val="27"/>
      <w:lang w:val="x-none" w:eastAsia="x-none"/>
    </w:rPr>
  </w:style>
  <w:style w:type="character" w:customStyle="1" w:styleId="Zkladntext158Sylfaen8ptdkovn0pt">
    <w:name w:val="Základní text (158) + Sylfaen;8 pt;Řádkování 0 pt"/>
    <w:rsid w:val="00B82F6F"/>
    <w:rPr>
      <w:rFonts w:ascii="Sylfaen" w:eastAsia="Sylfaen" w:hAnsi="Sylfaen" w:cs="Sylfaen"/>
      <w:b w:val="0"/>
      <w:bCs w:val="0"/>
      <w:i w:val="0"/>
      <w:iCs w:val="0"/>
      <w:smallCaps w:val="0"/>
      <w:strike w:val="0"/>
      <w:color w:val="000000"/>
      <w:spacing w:val="15"/>
      <w:w w:val="100"/>
      <w:position w:val="0"/>
      <w:sz w:val="16"/>
      <w:szCs w:val="16"/>
      <w:u w:val="none"/>
      <w:shd w:val="clear" w:color="auto" w:fill="FFFFFF"/>
      <w:lang w:val="en-US"/>
    </w:rPr>
  </w:style>
  <w:style w:type="character" w:customStyle="1" w:styleId="Zkladntext22Sylfaen9ptNekurzvadkovn0pt">
    <w:name w:val="Základní text (22) + Sylfaen;9 pt;Ne kurzíva;Řádkování 0 pt"/>
    <w:rsid w:val="00363E85"/>
    <w:rPr>
      <w:rFonts w:ascii="Sylfaen" w:eastAsia="Sylfaen" w:hAnsi="Sylfaen" w:cs="Sylfaen"/>
      <w:b w:val="0"/>
      <w:bCs w:val="0"/>
      <w:i/>
      <w:iCs/>
      <w:smallCaps w:val="0"/>
      <w:strike w:val="0"/>
      <w:color w:val="000000"/>
      <w:spacing w:val="6"/>
      <w:w w:val="100"/>
      <w:position w:val="0"/>
      <w:sz w:val="18"/>
      <w:szCs w:val="18"/>
      <w:u w:val="none"/>
      <w:lang w:val="en-US"/>
    </w:rPr>
  </w:style>
  <w:style w:type="character" w:customStyle="1" w:styleId="Zkladntext10ptTundkovn0pt">
    <w:name w:val="Základní text + 10 pt;Tučné;Řádkování 0 pt"/>
    <w:rsid w:val="00C92E29"/>
    <w:rPr>
      <w:rFonts w:ascii="Sylfaen" w:eastAsia="Sylfaen" w:hAnsi="Sylfaen" w:cs="Sylfaen"/>
      <w:b/>
      <w:bCs/>
      <w:i w:val="0"/>
      <w:iCs w:val="0"/>
      <w:smallCaps w:val="0"/>
      <w:strike w:val="0"/>
      <w:color w:val="000000"/>
      <w:spacing w:val="6"/>
      <w:w w:val="100"/>
      <w:position w:val="0"/>
      <w:sz w:val="20"/>
      <w:szCs w:val="20"/>
      <w:u w:val="none"/>
      <w:shd w:val="clear" w:color="auto" w:fill="FFFFFF"/>
      <w:lang w:val="en-US"/>
    </w:rPr>
  </w:style>
  <w:style w:type="character" w:customStyle="1" w:styleId="Zkladntext1840">
    <w:name w:val="Základní text (184)_"/>
    <w:rsid w:val="00E473DF"/>
    <w:rPr>
      <w:rFonts w:ascii="Constantia" w:eastAsia="Constantia" w:hAnsi="Constantia" w:cs="Constantia"/>
      <w:b w:val="0"/>
      <w:bCs w:val="0"/>
      <w:i w:val="0"/>
      <w:iCs w:val="0"/>
      <w:smallCaps w:val="0"/>
      <w:strike w:val="0"/>
      <w:spacing w:val="4"/>
      <w:sz w:val="26"/>
      <w:szCs w:val="26"/>
      <w:u w:val="none"/>
    </w:rPr>
  </w:style>
  <w:style w:type="character" w:customStyle="1" w:styleId="Zkladntext156">
    <w:name w:val="Základní text (156)_"/>
    <w:rsid w:val="00196807"/>
    <w:rPr>
      <w:rFonts w:ascii="Constantia" w:eastAsia="Constantia" w:hAnsi="Constantia" w:cs="Constantia"/>
      <w:b w:val="0"/>
      <w:bCs w:val="0"/>
      <w:i/>
      <w:iCs/>
      <w:smallCaps w:val="0"/>
      <w:strike w:val="0"/>
      <w:spacing w:val="-8"/>
      <w:sz w:val="26"/>
      <w:szCs w:val="26"/>
      <w:u w:val="none"/>
    </w:rPr>
  </w:style>
  <w:style w:type="character" w:customStyle="1" w:styleId="Zkladntext156TimesNewRoman135ptNekurzvadkovn0pt">
    <w:name w:val="Základní text (156) + Times New Roman;13;5 pt;Ne kurzíva;Řádkování 0 pt"/>
    <w:rsid w:val="00196807"/>
    <w:rPr>
      <w:rFonts w:ascii="Times New Roman" w:eastAsia="Times New Roman" w:hAnsi="Times New Roman" w:cs="Times New Roman"/>
      <w:b w:val="0"/>
      <w:bCs w:val="0"/>
      <w:i/>
      <w:iCs/>
      <w:smallCaps w:val="0"/>
      <w:strike w:val="0"/>
      <w:color w:val="000000"/>
      <w:spacing w:val="7"/>
      <w:w w:val="100"/>
      <w:position w:val="0"/>
      <w:sz w:val="27"/>
      <w:szCs w:val="27"/>
      <w:u w:val="none"/>
      <w:lang w:val="en-US"/>
    </w:rPr>
  </w:style>
  <w:style w:type="character" w:customStyle="1" w:styleId="Zkladntext1560">
    <w:name w:val="Základní text (156)"/>
    <w:rsid w:val="00196807"/>
    <w:rPr>
      <w:rFonts w:ascii="Constantia" w:eastAsia="Constantia" w:hAnsi="Constantia" w:cs="Constantia"/>
      <w:b w:val="0"/>
      <w:bCs w:val="0"/>
      <w:i/>
      <w:iCs/>
      <w:smallCaps w:val="0"/>
      <w:strike w:val="0"/>
      <w:color w:val="000000"/>
      <w:spacing w:val="-8"/>
      <w:w w:val="100"/>
      <w:position w:val="0"/>
      <w:sz w:val="26"/>
      <w:szCs w:val="26"/>
      <w:u w:val="none"/>
      <w:lang w:val="en-US"/>
    </w:rPr>
  </w:style>
  <w:style w:type="character" w:customStyle="1" w:styleId="Zkladntext156Sylfaen9ptdkovn0pt">
    <w:name w:val="Základní text (156) + Sylfaen;9 pt;Řádkování 0 pt"/>
    <w:rsid w:val="00196807"/>
    <w:rPr>
      <w:rFonts w:ascii="Sylfaen" w:eastAsia="Sylfaen" w:hAnsi="Sylfaen" w:cs="Sylfaen"/>
      <w:b w:val="0"/>
      <w:bCs w:val="0"/>
      <w:i/>
      <w:iCs/>
      <w:smallCaps w:val="0"/>
      <w:strike w:val="0"/>
      <w:color w:val="000000"/>
      <w:spacing w:val="19"/>
      <w:w w:val="100"/>
      <w:position w:val="0"/>
      <w:sz w:val="18"/>
      <w:szCs w:val="18"/>
      <w:u w:val="none"/>
    </w:rPr>
  </w:style>
  <w:style w:type="character" w:customStyle="1" w:styleId="Zkladntext57">
    <w:name w:val="Základní text (57)_"/>
    <w:link w:val="Zkladntext570"/>
    <w:rsid w:val="000B6664"/>
    <w:rPr>
      <w:rFonts w:ascii="Constantia" w:eastAsia="Constantia" w:hAnsi="Constantia" w:cs="Constantia"/>
      <w:spacing w:val="4"/>
      <w:sz w:val="26"/>
      <w:szCs w:val="26"/>
      <w:shd w:val="clear" w:color="auto" w:fill="FFFFFF"/>
    </w:rPr>
  </w:style>
  <w:style w:type="character" w:customStyle="1" w:styleId="Zkladntext57dkovn0pt">
    <w:name w:val="Základní text (57) + Řádkování 0 pt"/>
    <w:rsid w:val="000B6664"/>
    <w:rPr>
      <w:rFonts w:ascii="Constantia" w:eastAsia="Constantia" w:hAnsi="Constantia" w:cs="Constantia"/>
      <w:color w:val="000000"/>
      <w:spacing w:val="3"/>
      <w:w w:val="100"/>
      <w:position w:val="0"/>
      <w:sz w:val="26"/>
      <w:szCs w:val="26"/>
      <w:shd w:val="clear" w:color="auto" w:fill="FFFFFF"/>
      <w:lang w:val="en-US"/>
    </w:rPr>
  </w:style>
  <w:style w:type="paragraph" w:customStyle="1" w:styleId="Zkladntext570">
    <w:name w:val="Základní text (57)"/>
    <w:basedOn w:val="Normln"/>
    <w:link w:val="Zkladntext57"/>
    <w:rsid w:val="000B6664"/>
    <w:pPr>
      <w:widowControl w:val="0"/>
      <w:shd w:val="clear" w:color="auto" w:fill="FFFFFF"/>
      <w:spacing w:before="300" w:line="339" w:lineRule="exact"/>
      <w:ind w:hanging="700"/>
      <w:jc w:val="left"/>
    </w:pPr>
    <w:rPr>
      <w:rFonts w:ascii="Constantia" w:eastAsia="Constantia" w:hAnsi="Constantia"/>
      <w:noProof w:val="0"/>
      <w:spacing w:val="4"/>
      <w:sz w:val="26"/>
      <w:szCs w:val="26"/>
      <w:lang w:val="x-none" w:eastAsia="x-none"/>
    </w:rPr>
  </w:style>
  <w:style w:type="character" w:customStyle="1" w:styleId="Zkladntext15">
    <w:name w:val="Základní text (15)_"/>
    <w:link w:val="Zkladntext150"/>
    <w:rsid w:val="00762AE6"/>
    <w:rPr>
      <w:rFonts w:ascii="Century Schoolbook" w:eastAsia="Century Schoolbook" w:hAnsi="Century Schoolbook" w:cs="Century Schoolbook"/>
      <w:b/>
      <w:bCs/>
      <w:spacing w:val="-5"/>
      <w:sz w:val="22"/>
      <w:szCs w:val="22"/>
      <w:shd w:val="clear" w:color="auto" w:fill="FFFFFF"/>
      <w:lang w:val="fr-FR"/>
    </w:rPr>
  </w:style>
  <w:style w:type="character" w:customStyle="1" w:styleId="Zkladntext15NetunKurzvadkovn-1pt">
    <w:name w:val="Základní text (15) + Ne tučné;Kurzíva;Řádkování -1 pt"/>
    <w:rsid w:val="00762AE6"/>
    <w:rPr>
      <w:rFonts w:ascii="Century Schoolbook" w:eastAsia="Century Schoolbook" w:hAnsi="Century Schoolbook" w:cs="Century Schoolbook"/>
      <w:b/>
      <w:bCs/>
      <w:i/>
      <w:iCs/>
      <w:color w:val="000000"/>
      <w:spacing w:val="-39"/>
      <w:w w:val="100"/>
      <w:position w:val="0"/>
      <w:sz w:val="22"/>
      <w:szCs w:val="22"/>
      <w:shd w:val="clear" w:color="auto" w:fill="FFFFFF"/>
      <w:lang w:val="de-DE"/>
    </w:rPr>
  </w:style>
  <w:style w:type="character" w:customStyle="1" w:styleId="Zkladntext15dkovn0pt">
    <w:name w:val="Základní text (15) + Řádkování 0 pt"/>
    <w:rsid w:val="00762AE6"/>
    <w:rPr>
      <w:rFonts w:ascii="Century Schoolbook" w:eastAsia="Century Schoolbook" w:hAnsi="Century Schoolbook" w:cs="Century Schoolbook"/>
      <w:b/>
      <w:bCs/>
      <w:color w:val="000000"/>
      <w:spacing w:val="0"/>
      <w:w w:val="100"/>
      <w:position w:val="0"/>
      <w:sz w:val="22"/>
      <w:szCs w:val="22"/>
      <w:shd w:val="clear" w:color="auto" w:fill="FFFFFF"/>
      <w:lang w:val="de-DE"/>
    </w:rPr>
  </w:style>
  <w:style w:type="paragraph" w:customStyle="1" w:styleId="Zkladntext150">
    <w:name w:val="Základní text (15)"/>
    <w:basedOn w:val="Normln"/>
    <w:link w:val="Zkladntext15"/>
    <w:rsid w:val="00762AE6"/>
    <w:pPr>
      <w:widowControl w:val="0"/>
      <w:shd w:val="clear" w:color="auto" w:fill="FFFFFF"/>
      <w:spacing w:line="394" w:lineRule="exact"/>
      <w:jc w:val="center"/>
    </w:pPr>
    <w:rPr>
      <w:rFonts w:ascii="Century Schoolbook" w:eastAsia="Century Schoolbook" w:hAnsi="Century Schoolbook"/>
      <w:b/>
      <w:bCs/>
      <w:noProof w:val="0"/>
      <w:spacing w:val="-5"/>
      <w:sz w:val="22"/>
      <w:szCs w:val="22"/>
      <w:lang w:val="fr-FR" w:eastAsia="x-none"/>
    </w:rPr>
  </w:style>
  <w:style w:type="character" w:customStyle="1" w:styleId="Zkladntext27dkovn0pt">
    <w:name w:val="Základní text (27) + Řádkování 0 pt"/>
    <w:rsid w:val="00487A5A"/>
    <w:rPr>
      <w:rFonts w:ascii="Century Schoolbook" w:eastAsia="Century Schoolbook" w:hAnsi="Century Schoolbook" w:cs="Century Schoolbook"/>
      <w:b/>
      <w:bCs/>
      <w:i w:val="0"/>
      <w:iCs w:val="0"/>
      <w:smallCaps w:val="0"/>
      <w:strike w:val="0"/>
      <w:color w:val="000000"/>
      <w:spacing w:val="-7"/>
      <w:w w:val="100"/>
      <w:position w:val="0"/>
      <w:sz w:val="27"/>
      <w:szCs w:val="27"/>
      <w:u w:val="none"/>
      <w:lang w:val="de-DE"/>
    </w:rPr>
  </w:style>
  <w:style w:type="character" w:customStyle="1" w:styleId="ZkladntextTundkovn0pt">
    <w:name w:val="Základní text + Tučné;Řádkování 0 pt"/>
    <w:rsid w:val="00D5340B"/>
    <w:rPr>
      <w:rFonts w:ascii="Constantia" w:eastAsia="Constantia" w:hAnsi="Constantia" w:cs="Constantia"/>
      <w:b/>
      <w:bCs/>
      <w:i w:val="0"/>
      <w:iCs w:val="0"/>
      <w:smallCaps w:val="0"/>
      <w:strike w:val="0"/>
      <w:color w:val="000000"/>
      <w:spacing w:val="6"/>
      <w:w w:val="100"/>
      <w:position w:val="0"/>
      <w:sz w:val="16"/>
      <w:szCs w:val="16"/>
      <w:u w:val="none"/>
      <w:shd w:val="clear" w:color="auto" w:fill="FFFFFF"/>
      <w:lang w:val="en-US"/>
    </w:rPr>
  </w:style>
  <w:style w:type="character" w:customStyle="1" w:styleId="Zkladntext9">
    <w:name w:val="Základní text (9)_"/>
    <w:link w:val="Zkladntext90"/>
    <w:rsid w:val="00B51526"/>
    <w:rPr>
      <w:rFonts w:ascii="Constantia" w:eastAsia="Constantia" w:hAnsi="Constantia" w:cs="Constantia"/>
      <w:b/>
      <w:bCs/>
      <w:spacing w:val="6"/>
      <w:sz w:val="16"/>
      <w:szCs w:val="16"/>
      <w:shd w:val="clear" w:color="auto" w:fill="FFFFFF"/>
    </w:rPr>
  </w:style>
  <w:style w:type="character" w:customStyle="1" w:styleId="Zkladntext9Netundkovn0pt">
    <w:name w:val="Základní text (9) + Ne tučné;Řádkování 0 pt"/>
    <w:rsid w:val="00B51526"/>
    <w:rPr>
      <w:rFonts w:ascii="Constantia" w:eastAsia="Constantia" w:hAnsi="Constantia" w:cs="Constantia"/>
      <w:b/>
      <w:bCs/>
      <w:color w:val="000000"/>
      <w:spacing w:val="2"/>
      <w:w w:val="100"/>
      <w:position w:val="0"/>
      <w:sz w:val="16"/>
      <w:szCs w:val="16"/>
      <w:shd w:val="clear" w:color="auto" w:fill="FFFFFF"/>
      <w:lang w:val="en-US"/>
    </w:rPr>
  </w:style>
  <w:style w:type="paragraph" w:customStyle="1" w:styleId="Zkladntext90">
    <w:name w:val="Základní text (9)"/>
    <w:basedOn w:val="Normln"/>
    <w:link w:val="Zkladntext9"/>
    <w:rsid w:val="00B51526"/>
    <w:pPr>
      <w:widowControl w:val="0"/>
      <w:shd w:val="clear" w:color="auto" w:fill="FFFFFF"/>
      <w:spacing w:before="1020" w:after="60" w:line="259" w:lineRule="exact"/>
    </w:pPr>
    <w:rPr>
      <w:rFonts w:ascii="Constantia" w:eastAsia="Constantia" w:hAnsi="Constantia"/>
      <w:b/>
      <w:bCs/>
      <w:noProof w:val="0"/>
      <w:spacing w:val="6"/>
      <w:sz w:val="16"/>
      <w:szCs w:val="16"/>
      <w:lang w:val="x-none" w:eastAsia="x-none"/>
    </w:rPr>
  </w:style>
  <w:style w:type="character" w:customStyle="1" w:styleId="Zkladntext20">
    <w:name w:val="Základní text (2)_"/>
    <w:link w:val="Zkladntext21"/>
    <w:rsid w:val="007032A8"/>
    <w:rPr>
      <w:rFonts w:ascii="Arial" w:eastAsia="Arial" w:hAnsi="Arial" w:cs="Arial"/>
      <w:b/>
      <w:bCs/>
      <w:spacing w:val="2"/>
      <w:sz w:val="55"/>
      <w:szCs w:val="55"/>
      <w:shd w:val="clear" w:color="auto" w:fill="FFFFFF"/>
      <w:lang w:val="fr-FR"/>
    </w:rPr>
  </w:style>
  <w:style w:type="character" w:customStyle="1" w:styleId="Zkladntext30">
    <w:name w:val="Základní text (3)_"/>
    <w:link w:val="Zkladntext31"/>
    <w:uiPriority w:val="99"/>
    <w:rsid w:val="007032A8"/>
    <w:rPr>
      <w:rFonts w:ascii="Calibri" w:eastAsia="Calibri" w:hAnsi="Calibri" w:cs="Calibri"/>
      <w:b w:val="0"/>
      <w:bCs w:val="0"/>
      <w:i w:val="0"/>
      <w:iCs w:val="0"/>
      <w:smallCaps w:val="0"/>
      <w:strike w:val="0"/>
      <w:spacing w:val="-11"/>
      <w:sz w:val="9"/>
      <w:szCs w:val="9"/>
      <w:u w:val="none"/>
      <w:lang w:val="fr-FR"/>
    </w:rPr>
  </w:style>
  <w:style w:type="character" w:customStyle="1" w:styleId="Zkladntext32">
    <w:name w:val="Základní text (3)"/>
    <w:rsid w:val="007032A8"/>
    <w:rPr>
      <w:rFonts w:ascii="Calibri" w:eastAsia="Calibri" w:hAnsi="Calibri" w:cs="Calibri"/>
      <w:b w:val="0"/>
      <w:bCs w:val="0"/>
      <w:i w:val="0"/>
      <w:iCs w:val="0"/>
      <w:smallCaps w:val="0"/>
      <w:strike w:val="0"/>
      <w:color w:val="000000"/>
      <w:spacing w:val="-11"/>
      <w:w w:val="100"/>
      <w:position w:val="0"/>
      <w:sz w:val="9"/>
      <w:szCs w:val="9"/>
      <w:u w:val="none"/>
      <w:lang w:val="fr-FR"/>
    </w:rPr>
  </w:style>
  <w:style w:type="character" w:customStyle="1" w:styleId="ZkladntextCalibri30ptKurzvadkovn0pt">
    <w:name w:val="Základní text + Calibri;30 pt;Kurzíva;Řádkování 0 pt"/>
    <w:rsid w:val="007032A8"/>
    <w:rPr>
      <w:rFonts w:ascii="Calibri" w:eastAsia="Calibri" w:hAnsi="Calibri" w:cs="Calibri"/>
      <w:b w:val="0"/>
      <w:bCs w:val="0"/>
      <w:i/>
      <w:iCs/>
      <w:smallCaps w:val="0"/>
      <w:strike w:val="0"/>
      <w:color w:val="000000"/>
      <w:spacing w:val="10"/>
      <w:w w:val="100"/>
      <w:position w:val="0"/>
      <w:sz w:val="60"/>
      <w:szCs w:val="60"/>
      <w:u w:val="none"/>
      <w:shd w:val="clear" w:color="auto" w:fill="FFFFFF"/>
      <w:lang w:val="el-GR"/>
    </w:rPr>
  </w:style>
  <w:style w:type="character" w:customStyle="1" w:styleId="ZkladntextTundkovn-1pt">
    <w:name w:val="Základní text + Tučné;Řádkování -1 pt"/>
    <w:rsid w:val="007032A8"/>
    <w:rPr>
      <w:rFonts w:ascii="Times New Roman" w:eastAsia="Times New Roman" w:hAnsi="Times New Roman" w:cs="Times New Roman"/>
      <w:b/>
      <w:bCs/>
      <w:i w:val="0"/>
      <w:iCs w:val="0"/>
      <w:smallCaps w:val="0"/>
      <w:strike w:val="0"/>
      <w:color w:val="000000"/>
      <w:spacing w:val="-30"/>
      <w:w w:val="100"/>
      <w:position w:val="0"/>
      <w:sz w:val="66"/>
      <w:szCs w:val="66"/>
      <w:u w:val="none"/>
      <w:shd w:val="clear" w:color="auto" w:fill="FFFFFF"/>
      <w:lang w:val="el-GR"/>
    </w:rPr>
  </w:style>
  <w:style w:type="character" w:customStyle="1" w:styleId="Zkladntext40">
    <w:name w:val="Základní text (4)_"/>
    <w:rsid w:val="007032A8"/>
    <w:rPr>
      <w:rFonts w:ascii="Times New Roman" w:eastAsia="Times New Roman" w:hAnsi="Times New Roman" w:cs="Times New Roman"/>
      <w:b w:val="0"/>
      <w:bCs w:val="0"/>
      <w:i w:val="0"/>
      <w:iCs w:val="0"/>
      <w:smallCaps w:val="0"/>
      <w:strike w:val="0"/>
      <w:spacing w:val="-5"/>
      <w:w w:val="150"/>
      <w:sz w:val="9"/>
      <w:szCs w:val="9"/>
      <w:u w:val="none"/>
      <w:lang w:val="de-LU"/>
    </w:rPr>
  </w:style>
  <w:style w:type="character" w:customStyle="1" w:styleId="Zkladntext4MalgunGothicdkovn0pt">
    <w:name w:val="Základní text (4) + Malgun Gothic;Řádkování 0 pt"/>
    <w:rsid w:val="007032A8"/>
    <w:rPr>
      <w:rFonts w:ascii="Malgun Gothic" w:eastAsia="Malgun Gothic" w:hAnsi="Malgun Gothic" w:cs="Malgun Gothic"/>
      <w:b w:val="0"/>
      <w:bCs w:val="0"/>
      <w:i w:val="0"/>
      <w:iCs w:val="0"/>
      <w:smallCaps w:val="0"/>
      <w:strike w:val="0"/>
      <w:color w:val="000000"/>
      <w:spacing w:val="0"/>
      <w:w w:val="150"/>
      <w:position w:val="0"/>
      <w:sz w:val="9"/>
      <w:szCs w:val="9"/>
      <w:u w:val="none"/>
      <w:lang w:val="el-GR"/>
    </w:rPr>
  </w:style>
  <w:style w:type="character" w:customStyle="1" w:styleId="Zkladntext44ptKurzvadkovn0ptMtko100">
    <w:name w:val="Základní text (4) + 4 pt;Kurzíva;Řádkování 0 pt;Měřítko 100%"/>
    <w:rsid w:val="007032A8"/>
    <w:rPr>
      <w:rFonts w:ascii="Times New Roman" w:eastAsia="Times New Roman" w:hAnsi="Times New Roman" w:cs="Times New Roman"/>
      <w:b w:val="0"/>
      <w:bCs w:val="0"/>
      <w:i/>
      <w:iCs/>
      <w:smallCaps w:val="0"/>
      <w:strike w:val="0"/>
      <w:color w:val="000000"/>
      <w:spacing w:val="0"/>
      <w:w w:val="100"/>
      <w:position w:val="0"/>
      <w:sz w:val="8"/>
      <w:szCs w:val="8"/>
      <w:u w:val="none"/>
      <w:lang w:val="de-LU"/>
    </w:rPr>
  </w:style>
  <w:style w:type="character" w:customStyle="1" w:styleId="Zkladntext4Malpsmena">
    <w:name w:val="Základní text (4) + Malá písmena"/>
    <w:rsid w:val="007032A8"/>
    <w:rPr>
      <w:rFonts w:ascii="Times New Roman" w:eastAsia="Times New Roman" w:hAnsi="Times New Roman" w:cs="Times New Roman"/>
      <w:b w:val="0"/>
      <w:bCs w:val="0"/>
      <w:i w:val="0"/>
      <w:iCs w:val="0"/>
      <w:smallCaps/>
      <w:strike w:val="0"/>
      <w:color w:val="000000"/>
      <w:spacing w:val="-5"/>
      <w:w w:val="150"/>
      <w:position w:val="0"/>
      <w:sz w:val="9"/>
      <w:szCs w:val="9"/>
      <w:u w:val="none"/>
      <w:lang w:val="ru-RU"/>
    </w:rPr>
  </w:style>
  <w:style w:type="character" w:customStyle="1" w:styleId="Zkladntext5KurzvaMalpsmenadkovn0pt">
    <w:name w:val="Základní text (5) + Kurzíva;Malá písmena;Řádkování 0 pt"/>
    <w:rsid w:val="007032A8"/>
    <w:rPr>
      <w:rFonts w:ascii="Times New Roman" w:eastAsia="Times New Roman" w:hAnsi="Times New Roman" w:cs="Times New Roman"/>
      <w:b/>
      <w:bCs/>
      <w:i/>
      <w:iCs/>
      <w:smallCaps/>
      <w:strike w:val="0"/>
      <w:color w:val="000000"/>
      <w:spacing w:val="-7"/>
      <w:w w:val="100"/>
      <w:position w:val="0"/>
      <w:sz w:val="8"/>
      <w:szCs w:val="8"/>
      <w:u w:val="none"/>
      <w:shd w:val="clear" w:color="auto" w:fill="FFFFFF"/>
      <w:lang w:val="el-GR"/>
    </w:rPr>
  </w:style>
  <w:style w:type="paragraph" w:customStyle="1" w:styleId="Zkladntext21">
    <w:name w:val="Základní text (2)"/>
    <w:basedOn w:val="Normln"/>
    <w:link w:val="Zkladntext20"/>
    <w:rsid w:val="007032A8"/>
    <w:pPr>
      <w:widowControl w:val="0"/>
      <w:shd w:val="clear" w:color="auto" w:fill="FFFFFF"/>
      <w:spacing w:line="0" w:lineRule="atLeast"/>
      <w:jc w:val="left"/>
    </w:pPr>
    <w:rPr>
      <w:rFonts w:ascii="Arial" w:eastAsia="Arial" w:hAnsi="Arial"/>
      <w:b/>
      <w:bCs/>
      <w:noProof w:val="0"/>
      <w:spacing w:val="2"/>
      <w:sz w:val="55"/>
      <w:szCs w:val="55"/>
      <w:lang w:val="fr-FR" w:eastAsia="x-none"/>
    </w:rPr>
  </w:style>
  <w:style w:type="character" w:styleId="Odkaznakoment">
    <w:name w:val="annotation reference"/>
    <w:uiPriority w:val="99"/>
    <w:semiHidden/>
    <w:rsid w:val="00A13041"/>
    <w:rPr>
      <w:sz w:val="16"/>
      <w:szCs w:val="16"/>
    </w:rPr>
  </w:style>
  <w:style w:type="character" w:customStyle="1" w:styleId="a-size-large">
    <w:name w:val="a-size-large"/>
    <w:basedOn w:val="Standardnpsmoodstavce"/>
    <w:rsid w:val="006C178E"/>
  </w:style>
  <w:style w:type="character" w:customStyle="1" w:styleId="mw-headline">
    <w:name w:val="mw-headline"/>
    <w:basedOn w:val="Standardnpsmoodstavce"/>
    <w:rsid w:val="00072423"/>
  </w:style>
  <w:style w:type="character" w:customStyle="1" w:styleId="Zkladntext13ptKurzvadkovn0pt">
    <w:name w:val="Základní text + 13 pt;Kurzíva;Řádkování 0 pt"/>
    <w:rsid w:val="0068375F"/>
    <w:rPr>
      <w:rFonts w:ascii="Constantia" w:eastAsia="Constantia" w:hAnsi="Constantia" w:cs="Constantia"/>
      <w:b w:val="0"/>
      <w:bCs w:val="0"/>
      <w:i/>
      <w:iCs/>
      <w:smallCaps w:val="0"/>
      <w:strike w:val="0"/>
      <w:color w:val="000000"/>
      <w:spacing w:val="-18"/>
      <w:w w:val="100"/>
      <w:position w:val="0"/>
      <w:sz w:val="26"/>
      <w:szCs w:val="26"/>
      <w:u w:val="none"/>
      <w:shd w:val="clear" w:color="auto" w:fill="FFFFFF"/>
      <w:lang w:val="en-US"/>
    </w:rPr>
  </w:style>
  <w:style w:type="character" w:customStyle="1" w:styleId="Zkladntext14ptTunKurzvadkovn-1pt">
    <w:name w:val="Základní text + 14 pt;Tučné;Kurzíva;Řádkování -1 pt"/>
    <w:rsid w:val="0068375F"/>
    <w:rPr>
      <w:rFonts w:ascii="Constantia" w:eastAsia="Constantia" w:hAnsi="Constantia" w:cs="Constantia"/>
      <w:b/>
      <w:bCs/>
      <w:i/>
      <w:iCs/>
      <w:smallCaps w:val="0"/>
      <w:strike w:val="0"/>
      <w:color w:val="000000"/>
      <w:spacing w:val="-22"/>
      <w:w w:val="100"/>
      <w:position w:val="0"/>
      <w:sz w:val="28"/>
      <w:szCs w:val="28"/>
      <w:u w:val="none"/>
      <w:shd w:val="clear" w:color="auto" w:fill="FFFFFF"/>
      <w:lang w:val="en-US"/>
    </w:rPr>
  </w:style>
  <w:style w:type="character" w:customStyle="1" w:styleId="Zkladntext14ptdkovn0pt">
    <w:name w:val="Základní text + 14 pt;Řádkování 0 pt"/>
    <w:rsid w:val="0068375F"/>
    <w:rPr>
      <w:rFonts w:ascii="Constantia" w:eastAsia="Constantia" w:hAnsi="Constantia" w:cs="Constantia"/>
      <w:b w:val="0"/>
      <w:bCs w:val="0"/>
      <w:i w:val="0"/>
      <w:iCs w:val="0"/>
      <w:smallCaps w:val="0"/>
      <w:strike w:val="0"/>
      <w:color w:val="000000"/>
      <w:spacing w:val="0"/>
      <w:w w:val="100"/>
      <w:position w:val="0"/>
      <w:sz w:val="28"/>
      <w:szCs w:val="28"/>
      <w:u w:val="none"/>
      <w:shd w:val="clear" w:color="auto" w:fill="FFFFFF"/>
    </w:rPr>
  </w:style>
  <w:style w:type="character" w:customStyle="1" w:styleId="pb">
    <w:name w:val="pb"/>
    <w:basedOn w:val="Standardnpsmoodstavce"/>
    <w:rsid w:val="00D3267B"/>
  </w:style>
  <w:style w:type="character" w:customStyle="1" w:styleId="author">
    <w:name w:val="author"/>
    <w:basedOn w:val="Standardnpsmoodstavce"/>
    <w:rsid w:val="001D46EA"/>
  </w:style>
  <w:style w:type="paragraph" w:customStyle="1" w:styleId="citace0">
    <w:name w:val="citace"/>
    <w:basedOn w:val="Normln"/>
    <w:uiPriority w:val="99"/>
    <w:unhideWhenUsed/>
    <w:rsid w:val="008743BE"/>
    <w:pPr>
      <w:tabs>
        <w:tab w:val="left" w:pos="284"/>
        <w:tab w:val="left" w:pos="454"/>
      </w:tabs>
      <w:suppressAutoHyphens/>
      <w:overflowPunct w:val="0"/>
      <w:autoSpaceDE w:val="0"/>
      <w:spacing w:before="120" w:after="120" w:line="288" w:lineRule="auto"/>
      <w:textAlignment w:val="baseline"/>
    </w:pPr>
    <w:rPr>
      <w:rFonts w:ascii="Arial" w:eastAsia="Times New Roman" w:hAnsi="Arial"/>
      <w:lang w:val="de-DE" w:eastAsia="ar-SA"/>
    </w:rPr>
  </w:style>
  <w:style w:type="character" w:customStyle="1" w:styleId="Zkladntext23ptdkovn0pt">
    <w:name w:val="Základní text + 23 pt;Řádkování 0 pt"/>
    <w:rsid w:val="00AE29B2"/>
    <w:rPr>
      <w:rFonts w:ascii="David" w:eastAsia="David" w:hAnsi="David" w:cs="David"/>
      <w:b w:val="0"/>
      <w:bCs w:val="0"/>
      <w:i w:val="0"/>
      <w:iCs w:val="0"/>
      <w:smallCaps w:val="0"/>
      <w:strike w:val="0"/>
      <w:color w:val="000000"/>
      <w:spacing w:val="-4"/>
      <w:w w:val="100"/>
      <w:position w:val="0"/>
      <w:sz w:val="46"/>
      <w:szCs w:val="46"/>
      <w:u w:val="none"/>
      <w:shd w:val="clear" w:color="auto" w:fill="FFFFFF"/>
    </w:rPr>
  </w:style>
  <w:style w:type="character" w:customStyle="1" w:styleId="Zkladntext22ptKurzvadkovn-1pt">
    <w:name w:val="Základní text + 22 pt;Kurzíva;Řádkování -1 pt"/>
    <w:rsid w:val="00AE29B2"/>
    <w:rPr>
      <w:rFonts w:ascii="David" w:eastAsia="David" w:hAnsi="David" w:cs="David"/>
      <w:b w:val="0"/>
      <w:bCs w:val="0"/>
      <w:i/>
      <w:iCs/>
      <w:smallCaps w:val="0"/>
      <w:strike w:val="0"/>
      <w:color w:val="000000"/>
      <w:spacing w:val="-26"/>
      <w:w w:val="100"/>
      <w:position w:val="0"/>
      <w:sz w:val="44"/>
      <w:szCs w:val="44"/>
      <w:u w:val="none"/>
      <w:shd w:val="clear" w:color="auto" w:fill="FFFFFF"/>
      <w:lang w:val="fr-FR"/>
    </w:rPr>
  </w:style>
  <w:style w:type="character" w:customStyle="1" w:styleId="reference-text">
    <w:name w:val="reference-text"/>
    <w:basedOn w:val="Standardnpsmoodstavce"/>
    <w:rsid w:val="00D652A8"/>
  </w:style>
  <w:style w:type="character" w:customStyle="1" w:styleId="FontStyle134">
    <w:name w:val="Font Style134"/>
    <w:rsid w:val="00A27DEE"/>
    <w:rPr>
      <w:rFonts w:ascii="Times New Roman" w:hAnsi="Times New Roman" w:cs="Times New Roman"/>
      <w:b/>
      <w:bCs/>
      <w:sz w:val="20"/>
      <w:szCs w:val="20"/>
    </w:rPr>
  </w:style>
  <w:style w:type="character" w:customStyle="1" w:styleId="linemarker-marked-line">
    <w:name w:val="linemarker-marked-line"/>
    <w:basedOn w:val="Standardnpsmoodstavce"/>
    <w:rsid w:val="00B808E3"/>
  </w:style>
  <w:style w:type="character" w:customStyle="1" w:styleId="notenum">
    <w:name w:val="notenum"/>
    <w:rsid w:val="00077DF9"/>
  </w:style>
  <w:style w:type="character" w:customStyle="1" w:styleId="pink">
    <w:name w:val="pink"/>
    <w:rsid w:val="000618FE"/>
  </w:style>
  <w:style w:type="character" w:customStyle="1" w:styleId="yellow">
    <w:name w:val="yellow"/>
    <w:rsid w:val="008E363D"/>
  </w:style>
  <w:style w:type="character" w:customStyle="1" w:styleId="Zkladntext4NetunKurzvadkovn0pt">
    <w:name w:val="Základní text (4) + Ne tučné;Kurzíva;Řádkování 0 pt"/>
    <w:rsid w:val="00E43203"/>
    <w:rPr>
      <w:rFonts w:ascii="Sylfaen" w:eastAsia="Sylfaen" w:hAnsi="Sylfaen" w:cs="Sylfaen"/>
      <w:b w:val="0"/>
      <w:bCs w:val="0"/>
      <w:i/>
      <w:iCs/>
      <w:smallCaps w:val="0"/>
      <w:strike w:val="0"/>
      <w:color w:val="000000"/>
      <w:spacing w:val="-4"/>
      <w:w w:val="100"/>
      <w:position w:val="0"/>
      <w:sz w:val="20"/>
      <w:szCs w:val="20"/>
      <w:u w:val="none"/>
      <w:lang w:val="en-US"/>
    </w:rPr>
  </w:style>
  <w:style w:type="character" w:customStyle="1" w:styleId="Zkladntext47ptNetunKurzvadkovn0pt">
    <w:name w:val="Základní text (4) + 7 pt;Ne tučné;Kurzíva;Řádkování 0 pt"/>
    <w:rsid w:val="00E43203"/>
    <w:rPr>
      <w:rFonts w:ascii="Sylfaen" w:eastAsia="Sylfaen" w:hAnsi="Sylfaen" w:cs="Sylfaen"/>
      <w:b w:val="0"/>
      <w:bCs w:val="0"/>
      <w:i/>
      <w:iCs/>
      <w:smallCaps w:val="0"/>
      <w:strike w:val="0"/>
      <w:color w:val="000000"/>
      <w:spacing w:val="7"/>
      <w:w w:val="100"/>
      <w:position w:val="0"/>
      <w:sz w:val="14"/>
      <w:szCs w:val="14"/>
      <w:u w:val="none"/>
      <w:lang w:val="en-US"/>
    </w:rPr>
  </w:style>
  <w:style w:type="character" w:customStyle="1" w:styleId="ebook-msg">
    <w:name w:val="ebook-msg"/>
    <w:rsid w:val="00A06B9D"/>
  </w:style>
  <w:style w:type="character" w:customStyle="1" w:styleId="Zkladntext75pt">
    <w:name w:val="Základní text + 7;5 pt"/>
    <w:rsid w:val="00E10354"/>
    <w:rPr>
      <w:rFonts w:ascii="Constantia" w:eastAsia="Constantia" w:hAnsi="Constantia" w:cs="Constantia"/>
      <w:b w:val="0"/>
      <w:bCs w:val="0"/>
      <w:i w:val="0"/>
      <w:iCs w:val="0"/>
      <w:smallCaps w:val="0"/>
      <w:strike w:val="0"/>
      <w:color w:val="000000"/>
      <w:spacing w:val="3"/>
      <w:w w:val="100"/>
      <w:position w:val="0"/>
      <w:sz w:val="15"/>
      <w:szCs w:val="15"/>
      <w:u w:val="none"/>
      <w:shd w:val="clear" w:color="auto" w:fill="FFFFFF"/>
    </w:rPr>
  </w:style>
  <w:style w:type="character" w:customStyle="1" w:styleId="Zkladntext75ptdkovn0pt">
    <w:name w:val="Základní text + 7;5 pt;Řádkování 0 pt"/>
    <w:rsid w:val="004B0B40"/>
    <w:rPr>
      <w:rFonts w:ascii="Constantia" w:eastAsia="Constantia" w:hAnsi="Constantia" w:cs="Constantia"/>
      <w:b w:val="0"/>
      <w:bCs w:val="0"/>
      <w:i w:val="0"/>
      <w:iCs w:val="0"/>
      <w:smallCaps w:val="0"/>
      <w:strike w:val="0"/>
      <w:color w:val="000000"/>
      <w:spacing w:val="4"/>
      <w:w w:val="100"/>
      <w:position w:val="0"/>
      <w:sz w:val="15"/>
      <w:szCs w:val="15"/>
      <w:u w:val="none"/>
      <w:shd w:val="clear" w:color="auto" w:fill="FFFFFF"/>
    </w:rPr>
  </w:style>
  <w:style w:type="character" w:customStyle="1" w:styleId="Zkladntext10">
    <w:name w:val="Základní text (10)_"/>
    <w:link w:val="Zkladntext100"/>
    <w:rsid w:val="00694C53"/>
    <w:rPr>
      <w:rFonts w:ascii="Constantia" w:eastAsia="Constantia" w:hAnsi="Constantia" w:cs="Constantia"/>
      <w:spacing w:val="2"/>
      <w:sz w:val="17"/>
      <w:szCs w:val="17"/>
      <w:shd w:val="clear" w:color="auto" w:fill="FFFFFF"/>
    </w:rPr>
  </w:style>
  <w:style w:type="character" w:customStyle="1" w:styleId="Zkladntext10dkovn0pt">
    <w:name w:val="Základní text (10) + Řádkování 0 pt"/>
    <w:rsid w:val="00694C53"/>
    <w:rPr>
      <w:rFonts w:ascii="Constantia" w:eastAsia="Constantia" w:hAnsi="Constantia" w:cs="Constantia"/>
      <w:color w:val="000000"/>
      <w:spacing w:val="1"/>
      <w:w w:val="100"/>
      <w:position w:val="0"/>
      <w:sz w:val="17"/>
      <w:szCs w:val="17"/>
      <w:shd w:val="clear" w:color="auto" w:fill="FFFFFF"/>
    </w:rPr>
  </w:style>
  <w:style w:type="paragraph" w:customStyle="1" w:styleId="Zkladntext100">
    <w:name w:val="Základní text (10)"/>
    <w:basedOn w:val="Normln"/>
    <w:link w:val="Zkladntext10"/>
    <w:rsid w:val="00694C53"/>
    <w:pPr>
      <w:widowControl w:val="0"/>
      <w:shd w:val="clear" w:color="auto" w:fill="FFFFFF"/>
      <w:spacing w:line="256" w:lineRule="exact"/>
      <w:ind w:hanging="260"/>
    </w:pPr>
    <w:rPr>
      <w:rFonts w:ascii="Constantia" w:eastAsia="Constantia" w:hAnsi="Constantia"/>
      <w:noProof w:val="0"/>
      <w:spacing w:val="2"/>
      <w:sz w:val="17"/>
      <w:szCs w:val="17"/>
      <w:lang w:val="x-none" w:eastAsia="x-none"/>
    </w:rPr>
  </w:style>
  <w:style w:type="character" w:customStyle="1" w:styleId="Zkladntext17dkovn0pt">
    <w:name w:val="Základní text (17) + Řádkování 0 pt"/>
    <w:rsid w:val="00FB0B8F"/>
    <w:rPr>
      <w:rFonts w:ascii="MS Gothic" w:eastAsia="MS Gothic" w:hAnsi="MS Gothic" w:cs="MS Gothic"/>
      <w:b w:val="0"/>
      <w:bCs w:val="0"/>
      <w:i w:val="0"/>
      <w:iCs w:val="0"/>
      <w:smallCaps w:val="0"/>
      <w:strike w:val="0"/>
      <w:color w:val="000000"/>
      <w:spacing w:val="-13"/>
      <w:w w:val="100"/>
      <w:position w:val="0"/>
      <w:sz w:val="14"/>
      <w:szCs w:val="14"/>
      <w:u w:val="none"/>
    </w:rPr>
  </w:style>
  <w:style w:type="character" w:customStyle="1" w:styleId="ZkladntextMalpsmena">
    <w:name w:val="Základní text + Malá písmena"/>
    <w:rsid w:val="00650A29"/>
    <w:rPr>
      <w:rFonts w:ascii="Batang" w:eastAsia="Batang" w:hAnsi="Batang" w:cs="Batang"/>
      <w:b w:val="0"/>
      <w:bCs w:val="0"/>
      <w:i w:val="0"/>
      <w:iCs w:val="0"/>
      <w:smallCaps/>
      <w:strike w:val="0"/>
      <w:color w:val="000000"/>
      <w:spacing w:val="-4"/>
      <w:w w:val="100"/>
      <w:position w:val="0"/>
      <w:sz w:val="18"/>
      <w:szCs w:val="18"/>
      <w:u w:val="none"/>
      <w:shd w:val="clear" w:color="auto" w:fill="FFFFFF"/>
    </w:rPr>
  </w:style>
  <w:style w:type="character" w:customStyle="1" w:styleId="Zkladntext8">
    <w:name w:val="Základní text (8)_"/>
    <w:link w:val="Zkladntext80"/>
    <w:locked/>
    <w:rsid w:val="00787516"/>
    <w:rPr>
      <w:spacing w:val="9"/>
      <w:sz w:val="15"/>
      <w:szCs w:val="15"/>
      <w:shd w:val="clear" w:color="auto" w:fill="FFFFFF"/>
    </w:rPr>
  </w:style>
  <w:style w:type="paragraph" w:customStyle="1" w:styleId="Zkladntext80">
    <w:name w:val="Základní text (8)"/>
    <w:basedOn w:val="Normln"/>
    <w:link w:val="Zkladntext8"/>
    <w:rsid w:val="00787516"/>
    <w:pPr>
      <w:widowControl w:val="0"/>
      <w:shd w:val="clear" w:color="auto" w:fill="FFFFFF"/>
      <w:spacing w:before="420" w:line="192" w:lineRule="exact"/>
      <w:ind w:hanging="360"/>
    </w:pPr>
    <w:rPr>
      <w:rFonts w:ascii="Times New Roman" w:eastAsia="Times New Roman" w:hAnsi="Times New Roman"/>
      <w:noProof w:val="0"/>
      <w:spacing w:val="9"/>
      <w:sz w:val="15"/>
      <w:szCs w:val="15"/>
      <w:lang w:val="x-none" w:eastAsia="x-none"/>
    </w:rPr>
  </w:style>
  <w:style w:type="character" w:customStyle="1" w:styleId="Zkladntext86">
    <w:name w:val="Základní text (8) + 6"/>
    <w:aliases w:val="5 pt,Základní text (45) + 8,Ne tučné,Kurzíva,Základní text (15) + Ne tučné,Základní text + Calibri,30 pt,Základní text (4) + 4 pt,Měřítko 100%,Základní text + 13 pt,Základní text (4) + Ne tučné,Základní text (4) + 7 pt,16 pt,7"/>
    <w:rsid w:val="00787516"/>
    <w:rPr>
      <w:color w:val="000000"/>
      <w:spacing w:val="9"/>
      <w:w w:val="100"/>
      <w:position w:val="0"/>
      <w:sz w:val="13"/>
      <w:szCs w:val="13"/>
      <w:shd w:val="clear" w:color="auto" w:fill="FFFFFF"/>
    </w:rPr>
  </w:style>
  <w:style w:type="character" w:customStyle="1" w:styleId="excl">
    <w:name w:val="excl"/>
    <w:basedOn w:val="Standardnpsmoodstavce"/>
    <w:rsid w:val="00F72F18"/>
  </w:style>
  <w:style w:type="character" w:customStyle="1" w:styleId="Poznmkapodarou">
    <w:name w:val="Poznámka pod čarou_"/>
    <w:link w:val="Poznmkapodarou0"/>
    <w:rsid w:val="007F55E8"/>
    <w:rPr>
      <w:rFonts w:ascii="Batang" w:eastAsia="Batang" w:hAnsi="Batang" w:cs="Batang"/>
      <w:spacing w:val="3"/>
      <w:sz w:val="12"/>
      <w:szCs w:val="12"/>
      <w:shd w:val="clear" w:color="auto" w:fill="FFFFFF"/>
    </w:rPr>
  </w:style>
  <w:style w:type="paragraph" w:customStyle="1" w:styleId="Poznmkapodarou0">
    <w:name w:val="Poznámka pod čarou"/>
    <w:basedOn w:val="Normln"/>
    <w:link w:val="Poznmkapodarou"/>
    <w:rsid w:val="007F55E8"/>
    <w:pPr>
      <w:widowControl w:val="0"/>
      <w:shd w:val="clear" w:color="auto" w:fill="FFFFFF"/>
      <w:spacing w:line="194" w:lineRule="exact"/>
    </w:pPr>
    <w:rPr>
      <w:rFonts w:ascii="Batang" w:eastAsia="Batang" w:hAnsi="Batang"/>
      <w:noProof w:val="0"/>
      <w:spacing w:val="3"/>
      <w:sz w:val="12"/>
      <w:szCs w:val="12"/>
      <w:lang w:val="x-none" w:eastAsia="x-none"/>
    </w:rPr>
  </w:style>
  <w:style w:type="character" w:customStyle="1" w:styleId="PoznmkapodarouKurzvadkovn0pt">
    <w:name w:val="Poznámka pod čarou + Kurzíva;Řádkování 0 pt"/>
    <w:rsid w:val="00C23167"/>
    <w:rPr>
      <w:rFonts w:ascii="Batang" w:eastAsia="Batang" w:hAnsi="Batang" w:cs="Batang"/>
      <w:b w:val="0"/>
      <w:bCs w:val="0"/>
      <w:i/>
      <w:iCs/>
      <w:smallCaps w:val="0"/>
      <w:strike w:val="0"/>
      <w:color w:val="000000"/>
      <w:spacing w:val="-5"/>
      <w:w w:val="100"/>
      <w:position w:val="0"/>
      <w:sz w:val="12"/>
      <w:szCs w:val="12"/>
      <w:u w:val="none"/>
      <w:shd w:val="clear" w:color="auto" w:fill="FFFFFF"/>
    </w:rPr>
  </w:style>
  <w:style w:type="character" w:customStyle="1" w:styleId="alinea">
    <w:name w:val="alinea"/>
    <w:basedOn w:val="Standardnpsmoodstavce"/>
    <w:rsid w:val="00073C52"/>
  </w:style>
  <w:style w:type="character" w:customStyle="1" w:styleId="s">
    <w:name w:val="s"/>
    <w:basedOn w:val="Standardnpsmoodstavce"/>
    <w:rsid w:val="009966AA"/>
  </w:style>
  <w:style w:type="character" w:customStyle="1" w:styleId="ZkladntextConstantia9ptdkovn0pt">
    <w:name w:val="Základní text + Constantia;9 pt;Řádkování 0 pt"/>
    <w:rsid w:val="00B40B1A"/>
    <w:rPr>
      <w:rFonts w:ascii="Constantia" w:eastAsia="Constantia" w:hAnsi="Constantia" w:cs="Constantia"/>
      <w:b w:val="0"/>
      <w:bCs w:val="0"/>
      <w:i w:val="0"/>
      <w:iCs w:val="0"/>
      <w:smallCaps w:val="0"/>
      <w:strike w:val="0"/>
      <w:color w:val="000000"/>
      <w:spacing w:val="4"/>
      <w:w w:val="100"/>
      <w:position w:val="0"/>
      <w:sz w:val="18"/>
      <w:szCs w:val="18"/>
      <w:u w:val="none"/>
      <w:shd w:val="clear" w:color="auto" w:fill="FFFFFF"/>
    </w:rPr>
  </w:style>
  <w:style w:type="character" w:customStyle="1" w:styleId="ZkladntextConstantia75ptdkovn0pt">
    <w:name w:val="Základní text + Constantia;7;5 pt;Řádkování 0 pt"/>
    <w:rsid w:val="008C5122"/>
    <w:rPr>
      <w:rFonts w:ascii="Constantia" w:eastAsia="Constantia" w:hAnsi="Constantia" w:cs="Constantia"/>
      <w:b w:val="0"/>
      <w:bCs w:val="0"/>
      <w:i w:val="0"/>
      <w:iCs w:val="0"/>
      <w:smallCaps w:val="0"/>
      <w:strike w:val="0"/>
      <w:color w:val="000000"/>
      <w:spacing w:val="0"/>
      <w:w w:val="100"/>
      <w:position w:val="0"/>
      <w:sz w:val="15"/>
      <w:szCs w:val="15"/>
      <w:u w:val="none"/>
      <w:shd w:val="clear" w:color="auto" w:fill="FFFFFF"/>
    </w:rPr>
  </w:style>
  <w:style w:type="character" w:customStyle="1" w:styleId="ZkladntextKurzva">
    <w:name w:val="Základní text + Kurzíva"/>
    <w:aliases w:val="Základní text (53) + Bookman Old Style,7 pt"/>
    <w:rsid w:val="00E47C35"/>
    <w:rPr>
      <w:rFonts w:ascii="Georgia" w:eastAsia="Georgia" w:hAnsi="Georgia" w:cs="Georgia"/>
      <w:b w:val="0"/>
      <w:bCs w:val="0"/>
      <w:i/>
      <w:iCs/>
      <w:smallCaps w:val="0"/>
      <w:strike w:val="0"/>
      <w:color w:val="000000"/>
      <w:spacing w:val="1"/>
      <w:w w:val="100"/>
      <w:position w:val="0"/>
      <w:sz w:val="18"/>
      <w:szCs w:val="18"/>
      <w:u w:val="none"/>
      <w:shd w:val="clear" w:color="auto" w:fill="FFFFFF"/>
    </w:rPr>
  </w:style>
  <w:style w:type="character" w:customStyle="1" w:styleId="titre">
    <w:name w:val="titre"/>
    <w:basedOn w:val="Standardnpsmoodstavce"/>
    <w:rsid w:val="00B13818"/>
  </w:style>
  <w:style w:type="character" w:customStyle="1" w:styleId="sstitre">
    <w:name w:val="sstitre"/>
    <w:basedOn w:val="Standardnpsmoodstavce"/>
    <w:rsid w:val="00B13818"/>
  </w:style>
  <w:style w:type="character" w:customStyle="1" w:styleId="withoutcontribution">
    <w:name w:val="without_contribution"/>
    <w:basedOn w:val="Standardnpsmoodstavce"/>
    <w:rsid w:val="00B13818"/>
  </w:style>
  <w:style w:type="character" w:customStyle="1" w:styleId="nomauteur">
    <w:name w:val="nom_auteur"/>
    <w:basedOn w:val="Standardnpsmoodstavce"/>
    <w:rsid w:val="00B13818"/>
  </w:style>
  <w:style w:type="character" w:customStyle="1" w:styleId="Zkladntext31dkovn0pt">
    <w:name w:val="Základní text (31) + Řádkování 0 pt"/>
    <w:rsid w:val="00684D7B"/>
    <w:rPr>
      <w:rFonts w:ascii="Georgia" w:eastAsia="Georgia" w:hAnsi="Georgia" w:cs="Georgia"/>
      <w:b w:val="0"/>
      <w:bCs w:val="0"/>
      <w:i w:val="0"/>
      <w:iCs w:val="0"/>
      <w:smallCaps w:val="0"/>
      <w:strike w:val="0"/>
      <w:color w:val="000000"/>
      <w:spacing w:val="-2"/>
      <w:w w:val="100"/>
      <w:position w:val="0"/>
      <w:sz w:val="17"/>
      <w:szCs w:val="17"/>
      <w:u w:val="none"/>
    </w:rPr>
  </w:style>
  <w:style w:type="character" w:customStyle="1" w:styleId="Zkladntext31Kurzvadkovn0pt">
    <w:name w:val="Základní text (31) + Kurzíva;Řádkování 0 pt"/>
    <w:rsid w:val="00EF797F"/>
    <w:rPr>
      <w:rFonts w:ascii="Georgia" w:eastAsia="Georgia" w:hAnsi="Georgia" w:cs="Georgia"/>
      <w:b w:val="0"/>
      <w:bCs w:val="0"/>
      <w:i/>
      <w:iCs/>
      <w:smallCaps w:val="0"/>
      <w:strike w:val="0"/>
      <w:color w:val="000000"/>
      <w:spacing w:val="-8"/>
      <w:w w:val="100"/>
      <w:position w:val="0"/>
      <w:sz w:val="17"/>
      <w:szCs w:val="17"/>
      <w:u w:val="none"/>
    </w:rPr>
  </w:style>
  <w:style w:type="character" w:customStyle="1" w:styleId="ZkladntextConstantia">
    <w:name w:val="Základní text + Constantia"/>
    <w:aliases w:val="9 pt,Řádkování 0 pt"/>
    <w:rsid w:val="00687A13"/>
    <w:rPr>
      <w:rFonts w:ascii="Constantia" w:eastAsia="Constantia" w:hAnsi="Constantia" w:cs="Constantia" w:hint="default"/>
      <w:color w:val="000000"/>
      <w:spacing w:val="4"/>
      <w:w w:val="100"/>
      <w:position w:val="0"/>
      <w:sz w:val="15"/>
      <w:szCs w:val="15"/>
      <w:shd w:val="clear" w:color="auto" w:fill="FFFFFF"/>
    </w:rPr>
  </w:style>
  <w:style w:type="character" w:customStyle="1" w:styleId="Zkladntext7">
    <w:name w:val="Základní text7"/>
    <w:rsid w:val="00C81A4E"/>
    <w:rPr>
      <w:rFonts w:ascii="Lucida Sans Unicode" w:eastAsia="Lucida Sans Unicode" w:hAnsi="Lucida Sans Unicode" w:cs="Lucida Sans Unicode"/>
      <w:b w:val="0"/>
      <w:bCs w:val="0"/>
      <w:i w:val="0"/>
      <w:iCs w:val="0"/>
      <w:smallCaps w:val="0"/>
      <w:strike w:val="0"/>
      <w:color w:val="000000"/>
      <w:spacing w:val="-9"/>
      <w:w w:val="100"/>
      <w:position w:val="0"/>
      <w:sz w:val="23"/>
      <w:szCs w:val="23"/>
      <w:u w:val="single"/>
      <w:shd w:val="clear" w:color="auto" w:fill="FFFFFF"/>
      <w:lang w:val="fr-FR"/>
    </w:rPr>
  </w:style>
  <w:style w:type="paragraph" w:customStyle="1" w:styleId="Zkladntext14">
    <w:name w:val="Základní text14"/>
    <w:basedOn w:val="Normln"/>
    <w:uiPriority w:val="99"/>
    <w:rsid w:val="00C81A4E"/>
    <w:pPr>
      <w:widowControl w:val="0"/>
      <w:shd w:val="clear" w:color="auto" w:fill="FFFFFF"/>
      <w:spacing w:before="120" w:line="0" w:lineRule="atLeast"/>
      <w:jc w:val="left"/>
    </w:pPr>
    <w:rPr>
      <w:rFonts w:ascii="Lucida Sans Unicode" w:eastAsia="Lucida Sans Unicode" w:hAnsi="Lucida Sans Unicode" w:cs="Lucida Sans Unicode"/>
      <w:color w:val="000000"/>
      <w:spacing w:val="-9"/>
      <w:sz w:val="23"/>
      <w:szCs w:val="23"/>
      <w:lang w:val="fr-FR"/>
    </w:rPr>
  </w:style>
  <w:style w:type="character" w:customStyle="1" w:styleId="Zkladntext65ptdkovn0pt">
    <w:name w:val="Základní text + 6;5 pt;Řádkování 0 pt"/>
    <w:rsid w:val="0059591B"/>
    <w:rPr>
      <w:rFonts w:ascii="Times New Roman" w:eastAsia="Times New Roman" w:hAnsi="Times New Roman" w:cs="Times New Roman"/>
      <w:b w:val="0"/>
      <w:bCs w:val="0"/>
      <w:i w:val="0"/>
      <w:iCs w:val="0"/>
      <w:smallCaps w:val="0"/>
      <w:strike w:val="0"/>
      <w:color w:val="000000"/>
      <w:spacing w:val="9"/>
      <w:w w:val="100"/>
      <w:position w:val="0"/>
      <w:sz w:val="13"/>
      <w:szCs w:val="13"/>
      <w:u w:val="none"/>
      <w:shd w:val="clear" w:color="auto" w:fill="FFFFFF"/>
      <w:lang w:val="fr-FR"/>
    </w:rPr>
  </w:style>
  <w:style w:type="character" w:customStyle="1" w:styleId="Zkladntext75ptTundkovn0pt">
    <w:name w:val="Základní text + 7;5 pt;Tučné;Řádkování 0 pt"/>
    <w:rsid w:val="0059591B"/>
    <w:rPr>
      <w:rFonts w:ascii="Times New Roman" w:eastAsia="Times New Roman" w:hAnsi="Times New Roman" w:cs="Times New Roman"/>
      <w:b/>
      <w:bCs/>
      <w:i w:val="0"/>
      <w:iCs w:val="0"/>
      <w:smallCaps w:val="0"/>
      <w:strike w:val="0"/>
      <w:color w:val="000000"/>
      <w:spacing w:val="10"/>
      <w:w w:val="100"/>
      <w:position w:val="0"/>
      <w:sz w:val="15"/>
      <w:szCs w:val="15"/>
      <w:u w:val="none"/>
      <w:shd w:val="clear" w:color="auto" w:fill="FFFFFF"/>
      <w:lang w:val="fr-FR"/>
    </w:rPr>
  </w:style>
  <w:style w:type="character" w:customStyle="1" w:styleId="Zkladntext95ptTundkovn0pt">
    <w:name w:val="Základní text + 9;5 pt;Tučné;Řádkování 0 pt"/>
    <w:rsid w:val="00627A81"/>
    <w:rPr>
      <w:rFonts w:ascii="Constantia" w:eastAsia="Constantia" w:hAnsi="Constantia" w:cs="Constantia"/>
      <w:b/>
      <w:bCs/>
      <w:i w:val="0"/>
      <w:iCs w:val="0"/>
      <w:smallCaps w:val="0"/>
      <w:strike w:val="0"/>
      <w:color w:val="000000"/>
      <w:spacing w:val="4"/>
      <w:w w:val="100"/>
      <w:position w:val="0"/>
      <w:sz w:val="19"/>
      <w:szCs w:val="19"/>
      <w:u w:val="none"/>
      <w:shd w:val="clear" w:color="auto" w:fill="FFFFFF"/>
      <w:lang w:val="en-US"/>
    </w:rPr>
  </w:style>
  <w:style w:type="character" w:customStyle="1" w:styleId="Zkladntext65ptMalpsmenadkovn0pt">
    <w:name w:val="Základní text + 6;5 pt;Malá písmena;Řádkování 0 pt"/>
    <w:rsid w:val="00BF7068"/>
    <w:rPr>
      <w:rFonts w:ascii="Times New Roman" w:eastAsia="Times New Roman" w:hAnsi="Times New Roman" w:cs="Times New Roman"/>
      <w:b w:val="0"/>
      <w:bCs w:val="0"/>
      <w:i w:val="0"/>
      <w:iCs w:val="0"/>
      <w:smallCaps/>
      <w:strike w:val="0"/>
      <w:color w:val="000000"/>
      <w:spacing w:val="8"/>
      <w:w w:val="100"/>
      <w:position w:val="0"/>
      <w:sz w:val="13"/>
      <w:szCs w:val="13"/>
      <w:u w:val="none"/>
      <w:shd w:val="clear" w:color="auto" w:fill="FFFFFF"/>
      <w:lang w:val="de-DE"/>
    </w:rPr>
  </w:style>
  <w:style w:type="character" w:customStyle="1" w:styleId="FontStyle156">
    <w:name w:val="Font Style156"/>
    <w:rsid w:val="004D44B3"/>
    <w:rPr>
      <w:rFonts w:ascii="Times New Roman" w:hAnsi="Times New Roman" w:cs="Times New Roman"/>
      <w:i/>
      <w:iCs/>
      <w:sz w:val="20"/>
      <w:szCs w:val="20"/>
    </w:rPr>
  </w:style>
  <w:style w:type="character" w:customStyle="1" w:styleId="FontStyle157">
    <w:name w:val="Font Style157"/>
    <w:rsid w:val="004D44B3"/>
    <w:rPr>
      <w:rFonts w:ascii="Times New Roman" w:hAnsi="Times New Roman" w:cs="Times New Roman"/>
      <w:sz w:val="20"/>
      <w:szCs w:val="20"/>
    </w:rPr>
  </w:style>
  <w:style w:type="paragraph" w:customStyle="1" w:styleId="Style36">
    <w:name w:val="Style36"/>
    <w:basedOn w:val="Normln"/>
    <w:uiPriority w:val="99"/>
    <w:rsid w:val="00DD643D"/>
    <w:pPr>
      <w:widowControl w:val="0"/>
      <w:autoSpaceDE w:val="0"/>
      <w:autoSpaceDN w:val="0"/>
      <w:adjustRightInd w:val="0"/>
      <w:spacing w:line="258" w:lineRule="exact"/>
    </w:pPr>
    <w:rPr>
      <w:rFonts w:ascii="Times New Roman" w:eastAsia="Times New Roman" w:hAnsi="Times New Roman"/>
      <w:sz w:val="20"/>
      <w:szCs w:val="24"/>
    </w:rPr>
  </w:style>
  <w:style w:type="paragraph" w:customStyle="1" w:styleId="Style64">
    <w:name w:val="Style64"/>
    <w:basedOn w:val="Normln"/>
    <w:uiPriority w:val="99"/>
    <w:rsid w:val="00DF7FCF"/>
    <w:pPr>
      <w:widowControl w:val="0"/>
      <w:autoSpaceDE w:val="0"/>
      <w:autoSpaceDN w:val="0"/>
      <w:adjustRightInd w:val="0"/>
      <w:spacing w:line="258" w:lineRule="exact"/>
      <w:ind w:firstLine="218"/>
    </w:pPr>
    <w:rPr>
      <w:rFonts w:ascii="Times New Roman" w:eastAsia="Times New Roman" w:hAnsi="Times New Roman"/>
      <w:sz w:val="20"/>
      <w:szCs w:val="24"/>
    </w:rPr>
  </w:style>
  <w:style w:type="character" w:customStyle="1" w:styleId="FontStyle207">
    <w:name w:val="Font Style207"/>
    <w:rsid w:val="00AD23D0"/>
    <w:rPr>
      <w:rFonts w:ascii="Times New Roman" w:hAnsi="Times New Roman" w:cs="Times New Roman"/>
      <w:spacing w:val="10"/>
      <w:sz w:val="20"/>
      <w:szCs w:val="20"/>
    </w:rPr>
  </w:style>
  <w:style w:type="character" w:customStyle="1" w:styleId="Zkladntext65ptMalpsmena">
    <w:name w:val="Základní text + 6;5 pt;Malá písmena"/>
    <w:rsid w:val="00BB2C35"/>
    <w:rPr>
      <w:rFonts w:ascii="Georgia" w:eastAsia="Georgia" w:hAnsi="Georgia" w:cs="Georgia"/>
      <w:b w:val="0"/>
      <w:bCs w:val="0"/>
      <w:i w:val="0"/>
      <w:iCs w:val="0"/>
      <w:smallCaps/>
      <w:strike w:val="0"/>
      <w:color w:val="000000"/>
      <w:spacing w:val="6"/>
      <w:w w:val="100"/>
      <w:position w:val="0"/>
      <w:sz w:val="13"/>
      <w:szCs w:val="13"/>
      <w:u w:val="none"/>
      <w:shd w:val="clear" w:color="auto" w:fill="FFFFFF"/>
    </w:rPr>
  </w:style>
  <w:style w:type="character" w:customStyle="1" w:styleId="Zkladntext135ptTunMtko80">
    <w:name w:val="Základní text + 13;5 pt;Tučné;Měřítko 80%"/>
    <w:rsid w:val="00FF0979"/>
    <w:rPr>
      <w:rFonts w:ascii="Garamond" w:eastAsia="Garamond" w:hAnsi="Garamond" w:cs="Garamond"/>
      <w:b/>
      <w:bCs/>
      <w:i w:val="0"/>
      <w:iCs w:val="0"/>
      <w:smallCaps w:val="0"/>
      <w:strike w:val="0"/>
      <w:color w:val="000000"/>
      <w:spacing w:val="0"/>
      <w:w w:val="80"/>
      <w:position w:val="0"/>
      <w:sz w:val="27"/>
      <w:szCs w:val="27"/>
      <w:u w:val="none"/>
      <w:shd w:val="clear" w:color="auto" w:fill="FFFFFF"/>
    </w:rPr>
  </w:style>
  <w:style w:type="character" w:customStyle="1" w:styleId="Zkladntext135pt">
    <w:name w:val="Základní text + 13;5 pt"/>
    <w:rsid w:val="00FF0979"/>
    <w:rPr>
      <w:rFonts w:ascii="Garamond" w:eastAsia="Garamond" w:hAnsi="Garamond" w:cs="Garamond"/>
      <w:b w:val="0"/>
      <w:bCs w:val="0"/>
      <w:i w:val="0"/>
      <w:iCs w:val="0"/>
      <w:smallCaps w:val="0"/>
      <w:strike w:val="0"/>
      <w:color w:val="000000"/>
      <w:spacing w:val="0"/>
      <w:w w:val="100"/>
      <w:position w:val="0"/>
      <w:sz w:val="27"/>
      <w:szCs w:val="27"/>
      <w:u w:val="none"/>
      <w:shd w:val="clear" w:color="auto" w:fill="FFFFFF"/>
    </w:rPr>
  </w:style>
  <w:style w:type="character" w:customStyle="1" w:styleId="Zkladntext12ptTundkovn0pt">
    <w:name w:val="Základní text + 12 pt;Tučné;Řádkování 0 pt"/>
    <w:rsid w:val="00FF0979"/>
    <w:rPr>
      <w:rFonts w:ascii="Garamond" w:eastAsia="Garamond" w:hAnsi="Garamond" w:cs="Garamond"/>
      <w:b/>
      <w:bCs/>
      <w:i w:val="0"/>
      <w:iCs w:val="0"/>
      <w:smallCaps w:val="0"/>
      <w:strike w:val="0"/>
      <w:color w:val="000000"/>
      <w:spacing w:val="-9"/>
      <w:w w:val="100"/>
      <w:position w:val="0"/>
      <w:sz w:val="24"/>
      <w:szCs w:val="24"/>
      <w:u w:val="none"/>
      <w:shd w:val="clear" w:color="auto" w:fill="FFFFFF"/>
    </w:rPr>
  </w:style>
  <w:style w:type="character" w:customStyle="1" w:styleId="ZkladntextArialNarrow105ptTun">
    <w:name w:val="Základní text + Arial Narrow;10;5 pt;Tučné"/>
    <w:rsid w:val="0065313C"/>
    <w:rPr>
      <w:rFonts w:ascii="Arial Narrow" w:eastAsia="Arial Narrow" w:hAnsi="Arial Narrow" w:cs="Arial Narrow"/>
      <w:b/>
      <w:bCs/>
      <w:i w:val="0"/>
      <w:iCs w:val="0"/>
      <w:smallCaps w:val="0"/>
      <w:strike w:val="0"/>
      <w:color w:val="000000"/>
      <w:spacing w:val="0"/>
      <w:w w:val="100"/>
      <w:position w:val="0"/>
      <w:sz w:val="21"/>
      <w:szCs w:val="21"/>
      <w:u w:val="none"/>
      <w:shd w:val="clear" w:color="auto" w:fill="FFFFFF"/>
    </w:rPr>
  </w:style>
  <w:style w:type="character" w:customStyle="1" w:styleId="Zkladntext14pt">
    <w:name w:val="Základní text + 14 pt"/>
    <w:rsid w:val="0065313C"/>
    <w:rPr>
      <w:rFonts w:ascii="Garamond" w:eastAsia="Garamond" w:hAnsi="Garamond" w:cs="Garamond"/>
      <w:b w:val="0"/>
      <w:bCs w:val="0"/>
      <w:i w:val="0"/>
      <w:iCs w:val="0"/>
      <w:smallCaps w:val="0"/>
      <w:strike w:val="0"/>
      <w:color w:val="000000"/>
      <w:spacing w:val="0"/>
      <w:w w:val="100"/>
      <w:position w:val="0"/>
      <w:sz w:val="28"/>
      <w:szCs w:val="28"/>
      <w:u w:val="none"/>
      <w:shd w:val="clear" w:color="auto" w:fill="FFFFFF"/>
    </w:rPr>
  </w:style>
  <w:style w:type="character" w:customStyle="1" w:styleId="Zkladntext2Kurzvadkovn0pt">
    <w:name w:val="Základní text (2) + Kurzíva;Řádkování 0 pt"/>
    <w:rsid w:val="00457A5F"/>
    <w:rPr>
      <w:rFonts w:ascii="Times New Roman" w:eastAsia="Times New Roman" w:hAnsi="Times New Roman" w:cs="Times New Roman"/>
      <w:b/>
      <w:bCs/>
      <w:i/>
      <w:iCs/>
      <w:smallCaps w:val="0"/>
      <w:strike w:val="0"/>
      <w:color w:val="000000"/>
      <w:spacing w:val="2"/>
      <w:w w:val="100"/>
      <w:position w:val="0"/>
      <w:sz w:val="13"/>
      <w:szCs w:val="13"/>
      <w:u w:val="none"/>
      <w:shd w:val="clear" w:color="auto" w:fill="FFFFFF"/>
      <w:lang w:val="fr-FR"/>
    </w:rPr>
  </w:style>
  <w:style w:type="character" w:customStyle="1" w:styleId="Poznmkapodarou8pt">
    <w:name w:val="Poznámka pod čarou + 8 pt"/>
    <w:rsid w:val="00DA4A91"/>
    <w:rPr>
      <w:rFonts w:ascii="Times New Roman" w:eastAsia="Times New Roman" w:hAnsi="Times New Roman" w:cs="Times New Roman"/>
      <w:b w:val="0"/>
      <w:bCs w:val="0"/>
      <w:i w:val="0"/>
      <w:iCs w:val="0"/>
      <w:smallCaps w:val="0"/>
      <w:strike w:val="0"/>
      <w:color w:val="000000"/>
      <w:spacing w:val="7"/>
      <w:w w:val="100"/>
      <w:position w:val="0"/>
      <w:sz w:val="16"/>
      <w:szCs w:val="16"/>
      <w:u w:val="none"/>
      <w:shd w:val="clear" w:color="auto" w:fill="FFFFFF"/>
      <w:lang w:val="en-US"/>
    </w:rPr>
  </w:style>
  <w:style w:type="character" w:customStyle="1" w:styleId="headertitle">
    <w:name w:val="header_title"/>
    <w:basedOn w:val="Standardnpsmoodstavce"/>
    <w:rsid w:val="0092061C"/>
  </w:style>
  <w:style w:type="paragraph" w:customStyle="1" w:styleId="autor">
    <w:name w:val="autor"/>
    <w:basedOn w:val="Normln"/>
    <w:uiPriority w:val="99"/>
    <w:rsid w:val="00C965D3"/>
    <w:pPr>
      <w:spacing w:before="100" w:beforeAutospacing="1" w:after="100" w:afterAutospacing="1" w:line="240" w:lineRule="auto"/>
      <w:jc w:val="left"/>
    </w:pPr>
    <w:rPr>
      <w:rFonts w:ascii="Times New Roman" w:eastAsia="Times New Roman" w:hAnsi="Times New Roman"/>
      <w:szCs w:val="24"/>
    </w:rPr>
  </w:style>
  <w:style w:type="character" w:customStyle="1" w:styleId="scrapbook-inline">
    <w:name w:val="scrapbook-inline"/>
    <w:basedOn w:val="Standardnpsmoodstavce"/>
    <w:rsid w:val="005A2085"/>
  </w:style>
  <w:style w:type="character" w:customStyle="1" w:styleId="x-archive-meta-title">
    <w:name w:val="x-archive-meta-title"/>
    <w:basedOn w:val="Standardnpsmoodstavce"/>
    <w:rsid w:val="00C15F8D"/>
  </w:style>
  <w:style w:type="character" w:customStyle="1" w:styleId="name">
    <w:name w:val="name"/>
    <w:basedOn w:val="Standardnpsmoodstavce"/>
    <w:rsid w:val="00772C97"/>
  </w:style>
  <w:style w:type="character" w:customStyle="1" w:styleId="Zkladntextdkovn1pt">
    <w:name w:val="Základní text + Řádkování 1 pt"/>
    <w:rsid w:val="001A2132"/>
    <w:rPr>
      <w:rFonts w:ascii="Palatino Linotype" w:eastAsia="Palatino Linotype" w:hAnsi="Palatino Linotype" w:cs="Palatino Linotype"/>
      <w:b w:val="0"/>
      <w:bCs w:val="0"/>
      <w:i w:val="0"/>
      <w:iCs w:val="0"/>
      <w:smallCaps w:val="0"/>
      <w:strike w:val="0"/>
      <w:color w:val="000000"/>
      <w:spacing w:val="29"/>
      <w:w w:val="100"/>
      <w:position w:val="0"/>
      <w:sz w:val="17"/>
      <w:szCs w:val="17"/>
      <w:u w:val="none"/>
      <w:shd w:val="clear" w:color="auto" w:fill="FFFFFF"/>
      <w:lang w:val="de-DE"/>
    </w:rPr>
  </w:style>
  <w:style w:type="character" w:customStyle="1" w:styleId="ZkladntextCenturyGothic55ptdkovn0pt">
    <w:name w:val="Základní text + Century Gothic;5;5 pt;Řádkování 0 pt"/>
    <w:rsid w:val="007E2278"/>
    <w:rPr>
      <w:rFonts w:ascii="Century Gothic" w:eastAsia="Century Gothic" w:hAnsi="Century Gothic" w:cs="Century Gothic"/>
      <w:b w:val="0"/>
      <w:bCs w:val="0"/>
      <w:i w:val="0"/>
      <w:iCs w:val="0"/>
      <w:smallCaps w:val="0"/>
      <w:strike w:val="0"/>
      <w:color w:val="000000"/>
      <w:spacing w:val="14"/>
      <w:w w:val="100"/>
      <w:position w:val="0"/>
      <w:sz w:val="11"/>
      <w:szCs w:val="11"/>
      <w:u w:val="single"/>
      <w:shd w:val="clear" w:color="auto" w:fill="FFFFFF"/>
      <w:lang w:val="ru-RU"/>
    </w:rPr>
  </w:style>
  <w:style w:type="character" w:customStyle="1" w:styleId="Zkladntext45ptdkovn0pt">
    <w:name w:val="Základní text + 4;5 pt;Řádkování 0 pt"/>
    <w:rsid w:val="007E2278"/>
    <w:rPr>
      <w:rFonts w:ascii="Corbel" w:eastAsia="Corbel" w:hAnsi="Corbel" w:cs="Corbel"/>
      <w:b w:val="0"/>
      <w:bCs w:val="0"/>
      <w:i w:val="0"/>
      <w:iCs w:val="0"/>
      <w:smallCaps w:val="0"/>
      <w:strike w:val="0"/>
      <w:color w:val="000000"/>
      <w:spacing w:val="15"/>
      <w:w w:val="100"/>
      <w:position w:val="0"/>
      <w:sz w:val="9"/>
      <w:szCs w:val="9"/>
      <w:u w:val="single"/>
      <w:shd w:val="clear" w:color="auto" w:fill="FFFFFF"/>
    </w:rPr>
  </w:style>
  <w:style w:type="character" w:customStyle="1" w:styleId="Zkladntext45ptdkovn1pt">
    <w:name w:val="Základní text + 4;5 pt;Řádkování 1 pt"/>
    <w:rsid w:val="007E2278"/>
    <w:rPr>
      <w:rFonts w:ascii="Corbel" w:eastAsia="Corbel" w:hAnsi="Corbel" w:cs="Corbel"/>
      <w:b w:val="0"/>
      <w:bCs w:val="0"/>
      <w:i w:val="0"/>
      <w:iCs w:val="0"/>
      <w:smallCaps w:val="0"/>
      <w:strike w:val="0"/>
      <w:color w:val="000000"/>
      <w:spacing w:val="20"/>
      <w:w w:val="100"/>
      <w:position w:val="0"/>
      <w:sz w:val="9"/>
      <w:szCs w:val="9"/>
      <w:u w:val="single"/>
      <w:shd w:val="clear" w:color="auto" w:fill="FFFFFF"/>
      <w:lang w:val="cs-CZ"/>
    </w:rPr>
  </w:style>
  <w:style w:type="character" w:customStyle="1" w:styleId="Zkladntext4ptdkovn1ptMtko40">
    <w:name w:val="Základní text + 4 pt;Řádkování 1 pt;Měřítko 40%"/>
    <w:rsid w:val="007E2278"/>
    <w:rPr>
      <w:rFonts w:ascii="Corbel" w:eastAsia="Corbel" w:hAnsi="Corbel" w:cs="Corbel"/>
      <w:b w:val="0"/>
      <w:bCs w:val="0"/>
      <w:i w:val="0"/>
      <w:iCs w:val="0"/>
      <w:smallCaps w:val="0"/>
      <w:strike w:val="0"/>
      <w:color w:val="000000"/>
      <w:spacing w:val="36"/>
      <w:w w:val="40"/>
      <w:position w:val="0"/>
      <w:sz w:val="8"/>
      <w:szCs w:val="8"/>
      <w:u w:val="single"/>
      <w:shd w:val="clear" w:color="auto" w:fill="FFFFFF"/>
      <w:lang w:val="cs-CZ"/>
    </w:rPr>
  </w:style>
  <w:style w:type="character" w:customStyle="1" w:styleId="inline-math">
    <w:name w:val="inline-math"/>
    <w:basedOn w:val="Standardnpsmoodstavce"/>
    <w:rsid w:val="00DE07F5"/>
  </w:style>
  <w:style w:type="character" w:customStyle="1" w:styleId="Zkladntextdkovn-1pt">
    <w:name w:val="Základní text + Řádkování -1 pt"/>
    <w:rsid w:val="00FD6466"/>
    <w:rPr>
      <w:rFonts w:ascii="David" w:eastAsia="David" w:hAnsi="David" w:cs="David"/>
      <w:b w:val="0"/>
      <w:bCs w:val="0"/>
      <w:i w:val="0"/>
      <w:iCs w:val="0"/>
      <w:smallCaps w:val="0"/>
      <w:strike w:val="0"/>
      <w:color w:val="000000"/>
      <w:spacing w:val="-22"/>
      <w:w w:val="100"/>
      <w:position w:val="0"/>
      <w:sz w:val="50"/>
      <w:szCs w:val="50"/>
      <w:u w:val="none"/>
      <w:shd w:val="clear" w:color="auto" w:fill="FFFFFF"/>
      <w:lang w:val="en-US"/>
    </w:rPr>
  </w:style>
  <w:style w:type="character" w:customStyle="1" w:styleId="ZkladntextBookmanOldStyle65ptdkovn0pt">
    <w:name w:val="Základní text + Bookman Old Style;6;5 pt;Řádkování 0 pt"/>
    <w:rsid w:val="001211A9"/>
    <w:rPr>
      <w:rFonts w:ascii="Bookman Old Style" w:eastAsia="Bookman Old Style" w:hAnsi="Bookman Old Style" w:cs="Bookman Old Style"/>
      <w:b w:val="0"/>
      <w:bCs w:val="0"/>
      <w:i w:val="0"/>
      <w:iCs w:val="0"/>
      <w:smallCaps w:val="0"/>
      <w:strike w:val="0"/>
      <w:color w:val="000000"/>
      <w:spacing w:val="2"/>
      <w:w w:val="100"/>
      <w:position w:val="0"/>
      <w:sz w:val="13"/>
      <w:szCs w:val="13"/>
      <w:u w:val="none"/>
      <w:shd w:val="clear" w:color="auto" w:fill="FFFFFF"/>
    </w:rPr>
  </w:style>
  <w:style w:type="character" w:customStyle="1" w:styleId="Zkladntext53BookmanOldStyle65ptdkovn0pt">
    <w:name w:val="Základní text (53) + Bookman Old Style;6;5 pt;Řádkování 0 pt"/>
    <w:rsid w:val="00267DB1"/>
    <w:rPr>
      <w:rFonts w:ascii="Bookman Old Style" w:eastAsia="Bookman Old Style" w:hAnsi="Bookman Old Style" w:cs="Bookman Old Style"/>
      <w:b w:val="0"/>
      <w:bCs w:val="0"/>
      <w:i w:val="0"/>
      <w:iCs w:val="0"/>
      <w:smallCaps w:val="0"/>
      <w:strike w:val="0"/>
      <w:color w:val="000000"/>
      <w:spacing w:val="2"/>
      <w:w w:val="100"/>
      <w:position w:val="0"/>
      <w:sz w:val="13"/>
      <w:szCs w:val="13"/>
      <w:u w:val="none"/>
    </w:rPr>
  </w:style>
  <w:style w:type="character" w:customStyle="1" w:styleId="Zkladntext53">
    <w:name w:val="Základní text (53)"/>
    <w:rsid w:val="00267DB1"/>
    <w:rPr>
      <w:rFonts w:ascii="Georgia" w:eastAsia="Georgia" w:hAnsi="Georgia" w:cs="Georgia"/>
      <w:b w:val="0"/>
      <w:bCs w:val="0"/>
      <w:i w:val="0"/>
      <w:iCs w:val="0"/>
      <w:smallCaps w:val="0"/>
      <w:strike w:val="0"/>
      <w:color w:val="000000"/>
      <w:spacing w:val="6"/>
      <w:w w:val="100"/>
      <w:position w:val="0"/>
      <w:sz w:val="16"/>
      <w:szCs w:val="16"/>
      <w:u w:val="single"/>
    </w:rPr>
  </w:style>
  <w:style w:type="character" w:customStyle="1" w:styleId="Zkladntext530">
    <w:name w:val="Základní text (53)_"/>
    <w:rsid w:val="003C4943"/>
    <w:rPr>
      <w:rFonts w:ascii="Georgia" w:eastAsia="Georgia" w:hAnsi="Georgia" w:cs="Georgia"/>
      <w:b w:val="0"/>
      <w:bCs w:val="0"/>
      <w:i w:val="0"/>
      <w:iCs w:val="0"/>
      <w:smallCaps w:val="0"/>
      <w:strike w:val="0"/>
      <w:spacing w:val="6"/>
      <w:sz w:val="16"/>
      <w:szCs w:val="16"/>
      <w:u w:val="none"/>
    </w:rPr>
  </w:style>
  <w:style w:type="character" w:customStyle="1" w:styleId="Zkladntext69">
    <w:name w:val="Základní text (69)_"/>
    <w:rsid w:val="003C4943"/>
    <w:rPr>
      <w:rFonts w:ascii="Sylfaen" w:eastAsia="Sylfaen" w:hAnsi="Sylfaen" w:cs="Sylfaen"/>
      <w:b w:val="0"/>
      <w:bCs w:val="0"/>
      <w:i w:val="0"/>
      <w:iCs w:val="0"/>
      <w:smallCaps w:val="0"/>
      <w:strike w:val="0"/>
      <w:sz w:val="20"/>
      <w:szCs w:val="20"/>
      <w:u w:val="none"/>
    </w:rPr>
  </w:style>
  <w:style w:type="character" w:customStyle="1" w:styleId="Zkladntext690">
    <w:name w:val="Základní text (69)"/>
    <w:rsid w:val="003C4943"/>
    <w:rPr>
      <w:rFonts w:ascii="Sylfaen" w:eastAsia="Sylfaen" w:hAnsi="Sylfaen" w:cs="Sylfaen"/>
      <w:b w:val="0"/>
      <w:bCs w:val="0"/>
      <w:i w:val="0"/>
      <w:iCs w:val="0"/>
      <w:smallCaps w:val="0"/>
      <w:strike w:val="0"/>
      <w:color w:val="000000"/>
      <w:spacing w:val="0"/>
      <w:w w:val="100"/>
      <w:position w:val="0"/>
      <w:sz w:val="20"/>
      <w:szCs w:val="20"/>
      <w:u w:val="none"/>
    </w:rPr>
  </w:style>
  <w:style w:type="character" w:customStyle="1" w:styleId="Zkladntext5345ptdkovn0pt">
    <w:name w:val="Základní text (53) + 4;5 pt;Řádkování 0 pt"/>
    <w:rsid w:val="00BF392E"/>
    <w:rPr>
      <w:rFonts w:ascii="Georgia" w:eastAsia="Georgia" w:hAnsi="Georgia" w:cs="Georgia"/>
      <w:b w:val="0"/>
      <w:bCs w:val="0"/>
      <w:i w:val="0"/>
      <w:iCs w:val="0"/>
      <w:smallCaps w:val="0"/>
      <w:strike w:val="0"/>
      <w:color w:val="000000"/>
      <w:spacing w:val="4"/>
      <w:w w:val="100"/>
      <w:position w:val="0"/>
      <w:sz w:val="9"/>
      <w:szCs w:val="9"/>
      <w:u w:val="none"/>
    </w:rPr>
  </w:style>
  <w:style w:type="character" w:customStyle="1" w:styleId="Zkladntext53dkovn0pt">
    <w:name w:val="Základní text (53) + Řádkování 0 pt"/>
    <w:rsid w:val="006150A5"/>
    <w:rPr>
      <w:rFonts w:ascii="Georgia" w:eastAsia="Georgia" w:hAnsi="Georgia" w:cs="Georgia"/>
      <w:b w:val="0"/>
      <w:bCs w:val="0"/>
      <w:i w:val="0"/>
      <w:iCs w:val="0"/>
      <w:smallCaps w:val="0"/>
      <w:strike w:val="0"/>
      <w:color w:val="000000"/>
      <w:spacing w:val="5"/>
      <w:w w:val="100"/>
      <w:position w:val="0"/>
      <w:sz w:val="16"/>
      <w:szCs w:val="16"/>
      <w:u w:val="none"/>
    </w:rPr>
  </w:style>
  <w:style w:type="character" w:customStyle="1" w:styleId="Zkladntext5345pt">
    <w:name w:val="Základní text (53) + 4;5 pt"/>
    <w:rsid w:val="00C92D11"/>
    <w:rPr>
      <w:rFonts w:ascii="Georgia" w:eastAsia="Georgia" w:hAnsi="Georgia" w:cs="Georgia"/>
      <w:b w:val="0"/>
      <w:bCs w:val="0"/>
      <w:i w:val="0"/>
      <w:iCs w:val="0"/>
      <w:smallCaps w:val="0"/>
      <w:strike w:val="0"/>
      <w:color w:val="000000"/>
      <w:spacing w:val="6"/>
      <w:w w:val="100"/>
      <w:position w:val="0"/>
      <w:sz w:val="9"/>
      <w:szCs w:val="9"/>
      <w:u w:val="none"/>
    </w:rPr>
  </w:style>
  <w:style w:type="character" w:customStyle="1" w:styleId="Zkladntext5375ptKurzvadkovn0pt">
    <w:name w:val="Základní text (53) + 7;5 pt;Kurzíva;Řádkování 0 pt"/>
    <w:rsid w:val="009E4A5F"/>
    <w:rPr>
      <w:rFonts w:ascii="Georgia" w:eastAsia="Georgia" w:hAnsi="Georgia" w:cs="Georgia"/>
      <w:b w:val="0"/>
      <w:bCs w:val="0"/>
      <w:i/>
      <w:iCs/>
      <w:smallCaps w:val="0"/>
      <w:strike w:val="0"/>
      <w:color w:val="000000"/>
      <w:spacing w:val="2"/>
      <w:w w:val="100"/>
      <w:position w:val="0"/>
      <w:sz w:val="15"/>
      <w:szCs w:val="15"/>
      <w:u w:val="none"/>
    </w:rPr>
  </w:style>
  <w:style w:type="character" w:customStyle="1" w:styleId="Zkladntext5365ptdkovn0pt">
    <w:name w:val="Základní text (53) + 6;5 pt;Řádkování 0 pt"/>
    <w:rsid w:val="009E4A5F"/>
    <w:rPr>
      <w:rFonts w:ascii="Georgia" w:eastAsia="Georgia" w:hAnsi="Georgia" w:cs="Georgia"/>
      <w:b w:val="0"/>
      <w:bCs w:val="0"/>
      <w:i w:val="0"/>
      <w:iCs w:val="0"/>
      <w:smallCaps w:val="0"/>
      <w:strike w:val="0"/>
      <w:color w:val="000000"/>
      <w:spacing w:val="9"/>
      <w:w w:val="100"/>
      <w:position w:val="0"/>
      <w:sz w:val="13"/>
      <w:szCs w:val="13"/>
      <w:u w:val="none"/>
    </w:rPr>
  </w:style>
  <w:style w:type="character" w:customStyle="1" w:styleId="Zkladntext537ptKurzvadkovn0pt">
    <w:name w:val="Základní text (53) + 7 pt;Kurzíva;Řádkování 0 pt"/>
    <w:rsid w:val="009E4A5F"/>
    <w:rPr>
      <w:rFonts w:ascii="Georgia" w:eastAsia="Georgia" w:hAnsi="Georgia" w:cs="Georgia"/>
      <w:b w:val="0"/>
      <w:bCs w:val="0"/>
      <w:i/>
      <w:iCs/>
      <w:smallCaps w:val="0"/>
      <w:strike w:val="0"/>
      <w:color w:val="000000"/>
      <w:spacing w:val="-1"/>
      <w:w w:val="100"/>
      <w:position w:val="0"/>
      <w:sz w:val="14"/>
      <w:szCs w:val="14"/>
      <w:u w:val="none"/>
    </w:rPr>
  </w:style>
  <w:style w:type="character" w:customStyle="1" w:styleId="PoznmkapodarouKurzva">
    <w:name w:val="Poznámka pod čarou + Kurzíva"/>
    <w:rsid w:val="004E0D84"/>
    <w:rPr>
      <w:rFonts w:ascii="Georgia" w:eastAsia="Georgia" w:hAnsi="Georgia" w:cs="Georgia"/>
      <w:b w:val="0"/>
      <w:bCs w:val="0"/>
      <w:i/>
      <w:iCs/>
      <w:smallCaps w:val="0"/>
      <w:strike w:val="0"/>
      <w:color w:val="000000"/>
      <w:spacing w:val="1"/>
      <w:w w:val="100"/>
      <w:position w:val="0"/>
      <w:sz w:val="19"/>
      <w:szCs w:val="19"/>
      <w:u w:val="none"/>
      <w:shd w:val="clear" w:color="auto" w:fill="FFFFFF"/>
    </w:rPr>
  </w:style>
  <w:style w:type="character" w:customStyle="1" w:styleId="Poznmkapodarou6ptTundkovn0pt">
    <w:name w:val="Poznámka pod čarou + 6 pt;Tučné;Řádkování 0 pt"/>
    <w:rsid w:val="00A17602"/>
    <w:rPr>
      <w:rFonts w:ascii="Georgia" w:eastAsia="Georgia" w:hAnsi="Georgia" w:cs="Georgia"/>
      <w:b/>
      <w:bCs/>
      <w:i w:val="0"/>
      <w:iCs w:val="0"/>
      <w:smallCaps w:val="0"/>
      <w:strike w:val="0"/>
      <w:color w:val="000000"/>
      <w:spacing w:val="4"/>
      <w:w w:val="100"/>
      <w:position w:val="0"/>
      <w:sz w:val="12"/>
      <w:szCs w:val="12"/>
      <w:u w:val="none"/>
      <w:shd w:val="clear" w:color="auto" w:fill="FFFFFF"/>
      <w:lang w:val="en-US"/>
    </w:rPr>
  </w:style>
  <w:style w:type="character" w:customStyle="1" w:styleId="familyname">
    <w:name w:val="familyname"/>
    <w:basedOn w:val="Standardnpsmoodstavce"/>
    <w:rsid w:val="003B76E2"/>
  </w:style>
  <w:style w:type="character" w:customStyle="1" w:styleId="text">
    <w:name w:val="text"/>
    <w:basedOn w:val="Standardnpsmoodstavce"/>
    <w:rsid w:val="00BB46A0"/>
  </w:style>
  <w:style w:type="character" w:customStyle="1" w:styleId="number">
    <w:name w:val="number"/>
    <w:basedOn w:val="Standardnpsmoodstavce"/>
    <w:rsid w:val="00BB46A0"/>
  </w:style>
  <w:style w:type="character" w:customStyle="1" w:styleId="period">
    <w:name w:val="period"/>
    <w:basedOn w:val="Standardnpsmoodstavce"/>
    <w:rsid w:val="00BB46A0"/>
  </w:style>
  <w:style w:type="character" w:customStyle="1" w:styleId="a-size-medium">
    <w:name w:val="a-size-medium"/>
    <w:basedOn w:val="Standardnpsmoodstavce"/>
    <w:rsid w:val="007B42B9"/>
  </w:style>
  <w:style w:type="character" w:customStyle="1" w:styleId="a-declarative">
    <w:name w:val="a-declarative"/>
    <w:basedOn w:val="Standardnpsmoodstavce"/>
    <w:rsid w:val="007B42B9"/>
  </w:style>
  <w:style w:type="character" w:customStyle="1" w:styleId="contribution">
    <w:name w:val="contribution"/>
    <w:basedOn w:val="Standardnpsmoodstavce"/>
    <w:rsid w:val="007B42B9"/>
  </w:style>
  <w:style w:type="character" w:customStyle="1" w:styleId="a-color-secondary">
    <w:name w:val="a-color-secondary"/>
    <w:basedOn w:val="Standardnpsmoodstavce"/>
    <w:rsid w:val="007B42B9"/>
  </w:style>
  <w:style w:type="paragraph" w:customStyle="1" w:styleId="sdfootnote-western">
    <w:name w:val="sdfootnote-western"/>
    <w:basedOn w:val="Normln"/>
    <w:uiPriority w:val="99"/>
    <w:rsid w:val="0064024A"/>
    <w:pPr>
      <w:spacing w:before="100" w:beforeAutospacing="1" w:after="119" w:line="240" w:lineRule="auto"/>
    </w:pPr>
    <w:rPr>
      <w:rFonts w:eastAsia="Times New Roman"/>
      <w:sz w:val="22"/>
      <w:szCs w:val="22"/>
    </w:rPr>
  </w:style>
  <w:style w:type="paragraph" w:customStyle="1" w:styleId="western">
    <w:name w:val="western"/>
    <w:basedOn w:val="Normln"/>
    <w:uiPriority w:val="99"/>
    <w:rsid w:val="0064024A"/>
    <w:pPr>
      <w:spacing w:before="100" w:beforeAutospacing="1" w:after="119" w:line="288" w:lineRule="auto"/>
    </w:pPr>
    <w:rPr>
      <w:rFonts w:eastAsia="Times New Roman"/>
      <w:sz w:val="22"/>
      <w:szCs w:val="22"/>
    </w:rPr>
  </w:style>
  <w:style w:type="character" w:customStyle="1" w:styleId="Zkladntext12">
    <w:name w:val="Základní text (12)_"/>
    <w:link w:val="Zkladntext120"/>
    <w:uiPriority w:val="99"/>
    <w:rsid w:val="00600E58"/>
    <w:rPr>
      <w:sz w:val="19"/>
      <w:szCs w:val="19"/>
      <w:shd w:val="clear" w:color="auto" w:fill="FFFFFF"/>
    </w:rPr>
  </w:style>
  <w:style w:type="character" w:customStyle="1" w:styleId="Zkladntext12dkovn-1pt">
    <w:name w:val="Základní text (12) + Řádkování -1 pt"/>
    <w:uiPriority w:val="99"/>
    <w:rsid w:val="00600E58"/>
    <w:rPr>
      <w:spacing w:val="-20"/>
      <w:sz w:val="19"/>
      <w:szCs w:val="19"/>
      <w:shd w:val="clear" w:color="auto" w:fill="FFFFFF"/>
    </w:rPr>
  </w:style>
  <w:style w:type="character" w:customStyle="1" w:styleId="Zkladntext129pt">
    <w:name w:val="Základní text (12) + 9 pt"/>
    <w:aliases w:val="Malá písmena231"/>
    <w:uiPriority w:val="99"/>
    <w:rsid w:val="00600E58"/>
    <w:rPr>
      <w:smallCaps/>
      <w:sz w:val="18"/>
      <w:szCs w:val="18"/>
      <w:shd w:val="clear" w:color="auto" w:fill="FFFFFF"/>
    </w:rPr>
  </w:style>
  <w:style w:type="character" w:customStyle="1" w:styleId="Zkladntext129pt4">
    <w:name w:val="Základní text (12) + 9 pt4"/>
    <w:aliases w:val="Malá písmena230,Řádkování -1 pt"/>
    <w:uiPriority w:val="99"/>
    <w:rsid w:val="00600E58"/>
    <w:rPr>
      <w:smallCaps/>
      <w:spacing w:val="-20"/>
      <w:sz w:val="18"/>
      <w:szCs w:val="18"/>
      <w:shd w:val="clear" w:color="auto" w:fill="FFFFFF"/>
    </w:rPr>
  </w:style>
  <w:style w:type="paragraph" w:customStyle="1" w:styleId="Zkladntext120">
    <w:name w:val="Základní text (12)"/>
    <w:basedOn w:val="Normln"/>
    <w:link w:val="Zkladntext12"/>
    <w:uiPriority w:val="99"/>
    <w:rsid w:val="00600E58"/>
    <w:pPr>
      <w:shd w:val="clear" w:color="auto" w:fill="FFFFFF"/>
      <w:spacing w:line="256" w:lineRule="exact"/>
      <w:ind w:hanging="180"/>
    </w:pPr>
    <w:rPr>
      <w:rFonts w:ascii="Times New Roman" w:eastAsia="Times New Roman" w:hAnsi="Times New Roman"/>
      <w:noProof w:val="0"/>
      <w:sz w:val="19"/>
      <w:szCs w:val="19"/>
      <w:lang w:val="x-none" w:eastAsia="x-none"/>
    </w:rPr>
  </w:style>
  <w:style w:type="character" w:customStyle="1" w:styleId="Zkladntext3Constantia1">
    <w:name w:val="Základní text (3) + Constantia1"/>
    <w:aliases w:val="514,5 pt317"/>
    <w:uiPriority w:val="99"/>
    <w:rsid w:val="00B068C2"/>
    <w:rPr>
      <w:rFonts w:ascii="Constantia" w:eastAsia="Calibri" w:hAnsi="Constantia" w:cs="Constantia"/>
      <w:b w:val="0"/>
      <w:bCs w:val="0"/>
      <w:i w:val="0"/>
      <w:iCs w:val="0"/>
      <w:smallCaps w:val="0"/>
      <w:strike w:val="0"/>
      <w:spacing w:val="0"/>
      <w:sz w:val="11"/>
      <w:szCs w:val="11"/>
      <w:u w:val="none"/>
      <w:lang w:val="cs-CZ" w:eastAsia="cs-CZ"/>
    </w:rPr>
  </w:style>
  <w:style w:type="character" w:customStyle="1" w:styleId="Zkladntext39pt3">
    <w:name w:val="Základní text (3) + 9 pt3"/>
    <w:aliases w:val="Malá písmena232"/>
    <w:uiPriority w:val="99"/>
    <w:rsid w:val="00453D63"/>
    <w:rPr>
      <w:rFonts w:ascii="Times New Roman" w:eastAsia="Calibri" w:hAnsi="Times New Roman" w:cs="Times New Roman"/>
      <w:b w:val="0"/>
      <w:bCs w:val="0"/>
      <w:i w:val="0"/>
      <w:iCs w:val="0"/>
      <w:smallCaps/>
      <w:strike w:val="0"/>
      <w:spacing w:val="0"/>
      <w:sz w:val="18"/>
      <w:szCs w:val="18"/>
      <w:u w:val="none"/>
      <w:lang w:val="fr-FR"/>
    </w:rPr>
  </w:style>
  <w:style w:type="character" w:customStyle="1" w:styleId="Zkladntext16dkovn-1pt">
    <w:name w:val="Základní text (16) + Řádkování -1 pt"/>
    <w:uiPriority w:val="99"/>
    <w:rsid w:val="0060280A"/>
    <w:rPr>
      <w:rFonts w:ascii="Times New Roman" w:hAnsi="Times New Roman" w:cs="Times New Roman"/>
      <w:spacing w:val="-20"/>
      <w:sz w:val="19"/>
      <w:szCs w:val="19"/>
    </w:rPr>
  </w:style>
  <w:style w:type="character" w:customStyle="1" w:styleId="Zkladntext16">
    <w:name w:val="Základní text (16)_"/>
    <w:link w:val="Zkladntext160"/>
    <w:uiPriority w:val="99"/>
    <w:rsid w:val="006D655D"/>
    <w:rPr>
      <w:sz w:val="19"/>
      <w:szCs w:val="19"/>
      <w:shd w:val="clear" w:color="auto" w:fill="FFFFFF"/>
    </w:rPr>
  </w:style>
  <w:style w:type="character" w:customStyle="1" w:styleId="Zkladntext16dkovn-1pt1">
    <w:name w:val="Základní text (16) + Řádkování -1 pt1"/>
    <w:uiPriority w:val="99"/>
    <w:rsid w:val="006D655D"/>
    <w:rPr>
      <w:spacing w:val="-20"/>
      <w:sz w:val="19"/>
      <w:szCs w:val="19"/>
      <w:shd w:val="clear" w:color="auto" w:fill="FFFFFF"/>
    </w:rPr>
  </w:style>
  <w:style w:type="character" w:customStyle="1" w:styleId="Zkladntext1651">
    <w:name w:val="Základní text (16) + 51"/>
    <w:aliases w:val="5 pt302"/>
    <w:uiPriority w:val="99"/>
    <w:rsid w:val="006D655D"/>
    <w:rPr>
      <w:sz w:val="11"/>
      <w:szCs w:val="11"/>
      <w:shd w:val="clear" w:color="auto" w:fill="FFFFFF"/>
    </w:rPr>
  </w:style>
  <w:style w:type="paragraph" w:customStyle="1" w:styleId="Zkladntext160">
    <w:name w:val="Základní text (16)"/>
    <w:basedOn w:val="Normln"/>
    <w:link w:val="Zkladntext16"/>
    <w:uiPriority w:val="99"/>
    <w:rsid w:val="006D655D"/>
    <w:pPr>
      <w:shd w:val="clear" w:color="auto" w:fill="FFFFFF"/>
      <w:spacing w:line="256" w:lineRule="exact"/>
      <w:ind w:hanging="160"/>
    </w:pPr>
    <w:rPr>
      <w:rFonts w:ascii="Times New Roman" w:eastAsia="Times New Roman" w:hAnsi="Times New Roman"/>
      <w:noProof w:val="0"/>
      <w:sz w:val="19"/>
      <w:szCs w:val="19"/>
      <w:lang w:val="x-none" w:eastAsia="x-none"/>
    </w:rPr>
  </w:style>
  <w:style w:type="character" w:customStyle="1" w:styleId="Zkladntext219pt2">
    <w:name w:val="Základní text (21) + 9 pt2"/>
    <w:aliases w:val="Malá písmena194"/>
    <w:uiPriority w:val="99"/>
    <w:rsid w:val="004C795A"/>
    <w:rPr>
      <w:rFonts w:ascii="Times New Roman" w:hAnsi="Times New Roman" w:cs="Times New Roman"/>
      <w:smallCaps/>
      <w:spacing w:val="0"/>
      <w:sz w:val="18"/>
      <w:szCs w:val="18"/>
    </w:rPr>
  </w:style>
  <w:style w:type="character" w:customStyle="1" w:styleId="Zkladntext22Malpsmena">
    <w:name w:val="Základní text (22) + Malá písmena"/>
    <w:uiPriority w:val="99"/>
    <w:rsid w:val="00935188"/>
    <w:rPr>
      <w:rFonts w:ascii="Times New Roman" w:hAnsi="Times New Roman" w:cs="Times New Roman"/>
      <w:smallCaps/>
      <w:spacing w:val="0"/>
      <w:sz w:val="18"/>
      <w:szCs w:val="18"/>
      <w:lang w:val="de-DE" w:eastAsia="de-DE"/>
    </w:rPr>
  </w:style>
  <w:style w:type="character" w:customStyle="1" w:styleId="Zkladntext229">
    <w:name w:val="Základní text (22) + 9"/>
    <w:aliases w:val="5 pt283,Kurzíva77"/>
    <w:uiPriority w:val="99"/>
    <w:rsid w:val="00935188"/>
    <w:rPr>
      <w:rFonts w:ascii="Times New Roman" w:hAnsi="Times New Roman" w:cs="Times New Roman"/>
      <w:i/>
      <w:iCs/>
      <w:spacing w:val="0"/>
      <w:sz w:val="19"/>
      <w:szCs w:val="19"/>
      <w:lang w:val="de-DE" w:eastAsia="de-DE"/>
    </w:rPr>
  </w:style>
  <w:style w:type="character" w:customStyle="1" w:styleId="Zkladntext22dkovn-1pt">
    <w:name w:val="Základní text (22) + Řádkování -1 pt"/>
    <w:uiPriority w:val="99"/>
    <w:rsid w:val="00935188"/>
    <w:rPr>
      <w:rFonts w:ascii="Times New Roman" w:hAnsi="Times New Roman" w:cs="Times New Roman"/>
      <w:spacing w:val="-20"/>
      <w:sz w:val="18"/>
      <w:szCs w:val="18"/>
      <w:lang w:val="de-DE" w:eastAsia="de-DE"/>
    </w:rPr>
  </w:style>
  <w:style w:type="character" w:customStyle="1" w:styleId="Zkladntext23">
    <w:name w:val="Základní text (23)_"/>
    <w:link w:val="Zkladntext230"/>
    <w:uiPriority w:val="99"/>
    <w:rsid w:val="00CB420E"/>
    <w:rPr>
      <w:sz w:val="19"/>
      <w:szCs w:val="19"/>
      <w:shd w:val="clear" w:color="auto" w:fill="FFFFFF"/>
    </w:rPr>
  </w:style>
  <w:style w:type="character" w:customStyle="1" w:styleId="Zkladntext235">
    <w:name w:val="Základní text (23) + 5"/>
    <w:aliases w:val="5 pt286"/>
    <w:uiPriority w:val="99"/>
    <w:rsid w:val="00CB420E"/>
    <w:rPr>
      <w:sz w:val="11"/>
      <w:szCs w:val="11"/>
      <w:shd w:val="clear" w:color="auto" w:fill="FFFFFF"/>
      <w:lang w:val="cs-CZ" w:eastAsia="cs-CZ"/>
    </w:rPr>
  </w:style>
  <w:style w:type="paragraph" w:customStyle="1" w:styleId="Zkladntext230">
    <w:name w:val="Základní text (23)"/>
    <w:basedOn w:val="Normln"/>
    <w:link w:val="Zkladntext23"/>
    <w:uiPriority w:val="99"/>
    <w:rsid w:val="00CB420E"/>
    <w:pPr>
      <w:shd w:val="clear" w:color="auto" w:fill="FFFFFF"/>
      <w:spacing w:line="256" w:lineRule="exact"/>
    </w:pPr>
    <w:rPr>
      <w:rFonts w:ascii="Times New Roman" w:eastAsia="Times New Roman" w:hAnsi="Times New Roman"/>
      <w:noProof w:val="0"/>
      <w:sz w:val="19"/>
      <w:szCs w:val="19"/>
      <w:lang w:val="x-none" w:eastAsia="x-none"/>
    </w:rPr>
  </w:style>
  <w:style w:type="character" w:customStyle="1" w:styleId="Zkladntext259pt">
    <w:name w:val="Základní text (25) + 9 pt"/>
    <w:aliases w:val="Malá písmena181"/>
    <w:uiPriority w:val="99"/>
    <w:rsid w:val="00634654"/>
    <w:rPr>
      <w:rFonts w:ascii="Times New Roman" w:hAnsi="Times New Roman" w:cs="Times New Roman"/>
      <w:smallCaps/>
      <w:spacing w:val="0"/>
      <w:sz w:val="18"/>
      <w:szCs w:val="18"/>
    </w:rPr>
  </w:style>
  <w:style w:type="character" w:customStyle="1" w:styleId="Zkladntext25">
    <w:name w:val="Základní text (25)_"/>
    <w:link w:val="Zkladntext250"/>
    <w:uiPriority w:val="99"/>
    <w:rsid w:val="00A67A1D"/>
    <w:rPr>
      <w:sz w:val="19"/>
      <w:szCs w:val="19"/>
      <w:shd w:val="clear" w:color="auto" w:fill="FFFFFF"/>
    </w:rPr>
  </w:style>
  <w:style w:type="paragraph" w:customStyle="1" w:styleId="Zkladntext250">
    <w:name w:val="Základní text (25)"/>
    <w:basedOn w:val="Normln"/>
    <w:link w:val="Zkladntext25"/>
    <w:uiPriority w:val="99"/>
    <w:rsid w:val="00A67A1D"/>
    <w:pPr>
      <w:shd w:val="clear" w:color="auto" w:fill="FFFFFF"/>
      <w:spacing w:line="256" w:lineRule="exact"/>
      <w:ind w:hanging="200"/>
    </w:pPr>
    <w:rPr>
      <w:rFonts w:ascii="Times New Roman" w:eastAsia="Times New Roman" w:hAnsi="Times New Roman"/>
      <w:noProof w:val="0"/>
      <w:sz w:val="19"/>
      <w:szCs w:val="19"/>
      <w:lang w:val="x-none" w:eastAsia="x-none"/>
    </w:rPr>
  </w:style>
  <w:style w:type="character" w:customStyle="1" w:styleId="Zkladntext259pt5">
    <w:name w:val="Základní text (25) + 9 pt5"/>
    <w:aliases w:val="Malá písmena175"/>
    <w:uiPriority w:val="99"/>
    <w:rsid w:val="00E405EC"/>
    <w:rPr>
      <w:rFonts w:ascii="Times New Roman" w:hAnsi="Times New Roman" w:cs="Times New Roman"/>
      <w:smallCaps/>
      <w:spacing w:val="0"/>
      <w:sz w:val="18"/>
      <w:szCs w:val="18"/>
      <w:shd w:val="clear" w:color="auto" w:fill="FFFFFF"/>
      <w:lang w:val="de-DE" w:eastAsia="de-DE"/>
    </w:rPr>
  </w:style>
  <w:style w:type="character" w:customStyle="1" w:styleId="Zkladntext210">
    <w:name w:val="Základní text (21)_"/>
    <w:link w:val="Zkladntext211"/>
    <w:uiPriority w:val="99"/>
    <w:rsid w:val="00B76302"/>
    <w:rPr>
      <w:shd w:val="clear" w:color="auto" w:fill="FFFFFF"/>
    </w:rPr>
  </w:style>
  <w:style w:type="paragraph" w:customStyle="1" w:styleId="Zkladntext211">
    <w:name w:val="Základní text (21)"/>
    <w:basedOn w:val="Normln"/>
    <w:link w:val="Zkladntext210"/>
    <w:uiPriority w:val="99"/>
    <w:rsid w:val="00B76302"/>
    <w:pPr>
      <w:shd w:val="clear" w:color="auto" w:fill="FFFFFF"/>
      <w:spacing w:line="256" w:lineRule="exact"/>
      <w:ind w:hanging="220"/>
    </w:pPr>
    <w:rPr>
      <w:rFonts w:ascii="Times New Roman" w:eastAsia="Times New Roman" w:hAnsi="Times New Roman"/>
      <w:noProof w:val="0"/>
      <w:sz w:val="20"/>
      <w:lang w:val="x-none" w:eastAsia="x-none"/>
    </w:rPr>
  </w:style>
  <w:style w:type="character" w:customStyle="1" w:styleId="Zkladntext265">
    <w:name w:val="Základní text (26) + 5"/>
    <w:aliases w:val="5 pt274"/>
    <w:uiPriority w:val="99"/>
    <w:rsid w:val="00DE21B0"/>
    <w:rPr>
      <w:rFonts w:ascii="Times New Roman" w:hAnsi="Times New Roman" w:cs="Times New Roman"/>
      <w:spacing w:val="0"/>
      <w:sz w:val="11"/>
      <w:szCs w:val="11"/>
    </w:rPr>
  </w:style>
  <w:style w:type="character" w:customStyle="1" w:styleId="Zkladntext259pt4">
    <w:name w:val="Základní text (25) + 9 pt4"/>
    <w:aliases w:val="Malá písmena173"/>
    <w:uiPriority w:val="99"/>
    <w:rsid w:val="00EE1A38"/>
    <w:rPr>
      <w:rFonts w:ascii="Times New Roman" w:hAnsi="Times New Roman" w:cs="Times New Roman"/>
      <w:smallCaps/>
      <w:spacing w:val="0"/>
      <w:sz w:val="18"/>
      <w:szCs w:val="18"/>
      <w:shd w:val="clear" w:color="auto" w:fill="FFFFFF"/>
      <w:lang w:val="de-DE" w:eastAsia="de-DE"/>
    </w:rPr>
  </w:style>
  <w:style w:type="character" w:customStyle="1" w:styleId="Zkladntext29">
    <w:name w:val="Základní text (29)_"/>
    <w:link w:val="Zkladntext291"/>
    <w:uiPriority w:val="99"/>
    <w:rsid w:val="001D796C"/>
    <w:rPr>
      <w:sz w:val="19"/>
      <w:szCs w:val="19"/>
      <w:shd w:val="clear" w:color="auto" w:fill="FFFFFF"/>
    </w:rPr>
  </w:style>
  <w:style w:type="character" w:customStyle="1" w:styleId="Zkladntext298">
    <w:name w:val="Základní text (29) + 8"/>
    <w:aliases w:val="5 pt257"/>
    <w:uiPriority w:val="99"/>
    <w:rsid w:val="001D796C"/>
    <w:rPr>
      <w:sz w:val="17"/>
      <w:szCs w:val="17"/>
      <w:shd w:val="clear" w:color="auto" w:fill="FFFFFF"/>
    </w:rPr>
  </w:style>
  <w:style w:type="character" w:customStyle="1" w:styleId="Zkladntext299pt4">
    <w:name w:val="Základní text (29) + 9 pt4"/>
    <w:aliases w:val="Malá písmena147"/>
    <w:uiPriority w:val="99"/>
    <w:rsid w:val="001D796C"/>
    <w:rPr>
      <w:smallCaps/>
      <w:sz w:val="18"/>
      <w:szCs w:val="18"/>
      <w:shd w:val="clear" w:color="auto" w:fill="FFFFFF"/>
      <w:lang w:val="de-DE" w:eastAsia="de-DE"/>
    </w:rPr>
  </w:style>
  <w:style w:type="paragraph" w:customStyle="1" w:styleId="Zkladntext291">
    <w:name w:val="Základní text (29)1"/>
    <w:basedOn w:val="Normln"/>
    <w:link w:val="Zkladntext29"/>
    <w:uiPriority w:val="99"/>
    <w:rsid w:val="001D796C"/>
    <w:pPr>
      <w:shd w:val="clear" w:color="auto" w:fill="FFFFFF"/>
      <w:spacing w:line="256" w:lineRule="exact"/>
      <w:ind w:hanging="640"/>
    </w:pPr>
    <w:rPr>
      <w:rFonts w:ascii="Times New Roman" w:eastAsia="Times New Roman" w:hAnsi="Times New Roman"/>
      <w:noProof w:val="0"/>
      <w:sz w:val="19"/>
      <w:szCs w:val="19"/>
      <w:lang w:val="x-none" w:eastAsia="x-none"/>
    </w:rPr>
  </w:style>
  <w:style w:type="character" w:customStyle="1" w:styleId="Zkladntext119pt5">
    <w:name w:val="Základní text (11) + 9 pt5"/>
    <w:aliases w:val="Malá písmena127"/>
    <w:uiPriority w:val="99"/>
    <w:rsid w:val="00CB5313"/>
    <w:rPr>
      <w:rFonts w:ascii="Times New Roman" w:hAnsi="Times New Roman" w:cs="Times New Roman"/>
      <w:smallCaps/>
      <w:spacing w:val="0"/>
      <w:sz w:val="18"/>
      <w:szCs w:val="18"/>
      <w:lang w:val="de-DE" w:eastAsia="de-DE"/>
    </w:rPr>
  </w:style>
  <w:style w:type="character" w:customStyle="1" w:styleId="Zkladntext11Constantia">
    <w:name w:val="Základní text (11) + Constantia"/>
    <w:aliases w:val="8 pt12"/>
    <w:uiPriority w:val="99"/>
    <w:rsid w:val="00CB5313"/>
    <w:rPr>
      <w:rFonts w:ascii="Constantia" w:hAnsi="Constantia" w:cs="Constantia"/>
      <w:spacing w:val="0"/>
      <w:sz w:val="16"/>
      <w:szCs w:val="16"/>
    </w:rPr>
  </w:style>
  <w:style w:type="character" w:customStyle="1" w:styleId="Zkladntext329pt">
    <w:name w:val="Základní text (32) + 9 pt"/>
    <w:aliases w:val="Malá písmena115"/>
    <w:uiPriority w:val="99"/>
    <w:rsid w:val="00520D61"/>
    <w:rPr>
      <w:rFonts w:ascii="Times New Roman" w:hAnsi="Times New Roman" w:cs="Times New Roman"/>
      <w:smallCaps/>
      <w:spacing w:val="0"/>
      <w:sz w:val="18"/>
      <w:szCs w:val="18"/>
    </w:rPr>
  </w:style>
  <w:style w:type="character" w:customStyle="1" w:styleId="Zkladntext335">
    <w:name w:val="Základní text (33) + 5"/>
    <w:aliases w:val="5 pt228"/>
    <w:uiPriority w:val="99"/>
    <w:rsid w:val="00791F0C"/>
    <w:rPr>
      <w:rFonts w:ascii="Times New Roman" w:hAnsi="Times New Roman" w:cs="Times New Roman"/>
      <w:spacing w:val="0"/>
      <w:sz w:val="11"/>
      <w:szCs w:val="11"/>
    </w:rPr>
  </w:style>
  <w:style w:type="character" w:customStyle="1" w:styleId="Zkladntext33">
    <w:name w:val="Základní text (33)_"/>
    <w:link w:val="Zkladntext330"/>
    <w:uiPriority w:val="99"/>
    <w:rsid w:val="00791F0C"/>
    <w:rPr>
      <w:sz w:val="16"/>
      <w:szCs w:val="16"/>
      <w:shd w:val="clear" w:color="auto" w:fill="FFFFFF"/>
    </w:rPr>
  </w:style>
  <w:style w:type="paragraph" w:customStyle="1" w:styleId="Zkladntext330">
    <w:name w:val="Základní text (33)"/>
    <w:basedOn w:val="Normln"/>
    <w:link w:val="Zkladntext33"/>
    <w:uiPriority w:val="99"/>
    <w:rsid w:val="00791F0C"/>
    <w:pPr>
      <w:shd w:val="clear" w:color="auto" w:fill="FFFFFF"/>
      <w:spacing w:before="300" w:line="256" w:lineRule="exact"/>
    </w:pPr>
    <w:rPr>
      <w:rFonts w:ascii="Times New Roman" w:eastAsia="Times New Roman" w:hAnsi="Times New Roman"/>
      <w:noProof w:val="0"/>
      <w:sz w:val="16"/>
      <w:szCs w:val="16"/>
      <w:lang w:val="x-none" w:eastAsia="x-none"/>
    </w:rPr>
  </w:style>
  <w:style w:type="character" w:customStyle="1" w:styleId="Zkladntext339pt">
    <w:name w:val="Základní text (33) + 9 pt"/>
    <w:aliases w:val="Malá písmena108"/>
    <w:uiPriority w:val="99"/>
    <w:rsid w:val="00810129"/>
    <w:rPr>
      <w:rFonts w:ascii="Times New Roman" w:hAnsi="Times New Roman" w:cs="Times New Roman"/>
      <w:smallCaps/>
      <w:spacing w:val="0"/>
      <w:sz w:val="18"/>
      <w:szCs w:val="18"/>
      <w:shd w:val="clear" w:color="auto" w:fill="FFFFFF"/>
    </w:rPr>
  </w:style>
  <w:style w:type="character" w:customStyle="1" w:styleId="Zkladntext339">
    <w:name w:val="Základní text (33) + 9"/>
    <w:aliases w:val="5 pt225,Kurzíva57"/>
    <w:uiPriority w:val="99"/>
    <w:rsid w:val="00810129"/>
    <w:rPr>
      <w:rFonts w:ascii="Times New Roman" w:hAnsi="Times New Roman" w:cs="Times New Roman"/>
      <w:i/>
      <w:iCs/>
      <w:spacing w:val="0"/>
      <w:sz w:val="19"/>
      <w:szCs w:val="19"/>
      <w:shd w:val="clear" w:color="auto" w:fill="FFFFFF"/>
    </w:rPr>
  </w:style>
  <w:style w:type="character" w:customStyle="1" w:styleId="Zkladntext39pt6">
    <w:name w:val="Základní text (3) + 9 pt6"/>
    <w:aliases w:val="Tučné24"/>
    <w:uiPriority w:val="99"/>
    <w:rsid w:val="002C66AA"/>
    <w:rPr>
      <w:rFonts w:ascii="Times New Roman" w:eastAsia="Calibri" w:hAnsi="Times New Roman" w:cs="Times New Roman"/>
      <w:b/>
      <w:bCs/>
      <w:i w:val="0"/>
      <w:iCs w:val="0"/>
      <w:smallCaps w:val="0"/>
      <w:strike w:val="0"/>
      <w:spacing w:val="0"/>
      <w:sz w:val="18"/>
      <w:szCs w:val="18"/>
      <w:u w:val="none"/>
      <w:lang w:val="de-DE" w:eastAsia="de-DE"/>
    </w:rPr>
  </w:style>
  <w:style w:type="character" w:customStyle="1" w:styleId="Zkladntext39">
    <w:name w:val="Základní text (3)9"/>
    <w:uiPriority w:val="99"/>
    <w:rsid w:val="002C66AA"/>
    <w:rPr>
      <w:rFonts w:ascii="Times New Roman" w:eastAsia="Calibri" w:hAnsi="Times New Roman" w:cs="Times New Roman"/>
      <w:b w:val="0"/>
      <w:bCs w:val="0"/>
      <w:i w:val="0"/>
      <w:iCs w:val="0"/>
      <w:smallCaps w:val="0"/>
      <w:strike w:val="0"/>
      <w:spacing w:val="0"/>
      <w:sz w:val="20"/>
      <w:szCs w:val="20"/>
      <w:u w:val="none"/>
      <w:lang w:val="fr-FR"/>
    </w:rPr>
  </w:style>
  <w:style w:type="character" w:customStyle="1" w:styleId="Zkladntext381">
    <w:name w:val="Základní text (3) + 81"/>
    <w:aliases w:val="5 pt210,Tučné15"/>
    <w:uiPriority w:val="99"/>
    <w:rsid w:val="002C66AA"/>
    <w:rPr>
      <w:rFonts w:ascii="Times New Roman" w:eastAsia="Calibri" w:hAnsi="Times New Roman" w:cs="Times New Roman"/>
      <w:b/>
      <w:bCs/>
      <w:i w:val="0"/>
      <w:iCs w:val="0"/>
      <w:smallCaps w:val="0"/>
      <w:strike w:val="0"/>
      <w:spacing w:val="0"/>
      <w:sz w:val="17"/>
      <w:szCs w:val="17"/>
      <w:u w:val="none"/>
      <w:lang w:val="de-DE" w:eastAsia="de-DE"/>
    </w:rPr>
  </w:style>
  <w:style w:type="paragraph" w:customStyle="1" w:styleId="Zkladntext31">
    <w:name w:val="Základní text (3)1"/>
    <w:basedOn w:val="Normln"/>
    <w:link w:val="Zkladntext30"/>
    <w:uiPriority w:val="99"/>
    <w:rsid w:val="002C66AA"/>
    <w:pPr>
      <w:shd w:val="clear" w:color="auto" w:fill="FFFFFF"/>
      <w:spacing w:before="300" w:line="252" w:lineRule="exact"/>
    </w:pPr>
    <w:rPr>
      <w:rFonts w:eastAsia="Calibri"/>
      <w:noProof w:val="0"/>
      <w:spacing w:val="-11"/>
      <w:sz w:val="9"/>
      <w:szCs w:val="9"/>
      <w:lang w:val="fr-FR" w:eastAsia="x-none"/>
    </w:rPr>
  </w:style>
  <w:style w:type="character" w:customStyle="1" w:styleId="CittChar">
    <w:name w:val="Citát Char"/>
    <w:uiPriority w:val="29"/>
    <w:rsid w:val="00902048"/>
    <w:rPr>
      <w:rFonts w:ascii="Calibri" w:hAnsi="Calibri" w:hint="default"/>
      <w:i/>
      <w:iCs/>
      <w:color w:val="000000"/>
      <w:sz w:val="24"/>
      <w:szCs w:val="24"/>
    </w:rPr>
  </w:style>
  <w:style w:type="character" w:customStyle="1" w:styleId="FootnoteTextChar">
    <w:name w:val="Footnote Text Char"/>
    <w:rsid w:val="00902048"/>
    <w:rPr>
      <w:rFonts w:ascii="Times New Roman" w:eastAsia="Times New Roman" w:hAnsi="Times New Roman" w:cs="Times New Roman" w:hint="default"/>
      <w:sz w:val="17"/>
      <w:szCs w:val="17"/>
      <w:lang w:eastAsia="cs-CZ"/>
    </w:rPr>
  </w:style>
  <w:style w:type="character" w:customStyle="1" w:styleId="Zkladntext35">
    <w:name w:val="Základní text (35)_"/>
    <w:link w:val="Zkladntext351"/>
    <w:uiPriority w:val="99"/>
    <w:rsid w:val="00B941CB"/>
    <w:rPr>
      <w:shd w:val="clear" w:color="auto" w:fill="FFFFFF"/>
    </w:rPr>
  </w:style>
  <w:style w:type="character" w:customStyle="1" w:styleId="Zkladntext350">
    <w:name w:val="Základní text (35)"/>
    <w:uiPriority w:val="99"/>
    <w:rsid w:val="00B941CB"/>
    <w:rPr>
      <w:shd w:val="clear" w:color="auto" w:fill="FFFFFF"/>
    </w:rPr>
  </w:style>
  <w:style w:type="character" w:customStyle="1" w:styleId="Zkladntext35dkovn-1pt">
    <w:name w:val="Základní text (35) + Řádkování -1 pt"/>
    <w:uiPriority w:val="99"/>
    <w:rsid w:val="00B941CB"/>
    <w:rPr>
      <w:spacing w:val="-20"/>
      <w:shd w:val="clear" w:color="auto" w:fill="FFFFFF"/>
    </w:rPr>
  </w:style>
  <w:style w:type="character" w:customStyle="1" w:styleId="Zkladntext357">
    <w:name w:val="Základní text (35) + 7"/>
    <w:aliases w:val="5 pt191"/>
    <w:rsid w:val="00B941CB"/>
    <w:rPr>
      <w:sz w:val="15"/>
      <w:szCs w:val="15"/>
      <w:shd w:val="clear" w:color="auto" w:fill="FFFFFF"/>
    </w:rPr>
  </w:style>
  <w:style w:type="paragraph" w:customStyle="1" w:styleId="Zkladntext351">
    <w:name w:val="Základní text (35)1"/>
    <w:basedOn w:val="Normln"/>
    <w:link w:val="Zkladntext35"/>
    <w:uiPriority w:val="99"/>
    <w:rsid w:val="00B941CB"/>
    <w:pPr>
      <w:shd w:val="clear" w:color="auto" w:fill="FFFFFF"/>
      <w:spacing w:before="300" w:after="300" w:line="256" w:lineRule="exact"/>
      <w:ind w:hanging="180"/>
      <w:jc w:val="right"/>
    </w:pPr>
    <w:rPr>
      <w:rFonts w:ascii="Times New Roman" w:eastAsia="Times New Roman" w:hAnsi="Times New Roman"/>
      <w:noProof w:val="0"/>
      <w:sz w:val="20"/>
      <w:lang w:val="x-none" w:eastAsia="x-none"/>
    </w:rPr>
  </w:style>
  <w:style w:type="character" w:customStyle="1" w:styleId="Zkladntext399pt7">
    <w:name w:val="Základní text (39) + 9 pt7"/>
    <w:aliases w:val="Malá písmena95"/>
    <w:uiPriority w:val="99"/>
    <w:rsid w:val="007B14BF"/>
    <w:rPr>
      <w:rFonts w:ascii="Times New Roman" w:hAnsi="Times New Roman" w:cs="Times New Roman"/>
      <w:smallCaps/>
      <w:spacing w:val="0"/>
      <w:sz w:val="18"/>
      <w:szCs w:val="18"/>
    </w:rPr>
  </w:style>
  <w:style w:type="character" w:customStyle="1" w:styleId="Zkladntext39Constantia5">
    <w:name w:val="Základní text (39) + Constantia5"/>
    <w:aliases w:val="8 pt8"/>
    <w:uiPriority w:val="99"/>
    <w:rsid w:val="007B14BF"/>
    <w:rPr>
      <w:rFonts w:ascii="Constantia" w:hAnsi="Constantia" w:cs="Constantia"/>
      <w:spacing w:val="0"/>
      <w:sz w:val="16"/>
      <w:szCs w:val="16"/>
    </w:rPr>
  </w:style>
  <w:style w:type="character" w:customStyle="1" w:styleId="Zkladntext39pt">
    <w:name w:val="Základní text (3) + 9 pt"/>
    <w:aliases w:val="Malá písmena248"/>
    <w:uiPriority w:val="99"/>
    <w:rsid w:val="00897F5C"/>
    <w:rPr>
      <w:rFonts w:ascii="Times New Roman" w:eastAsia="Calibri" w:hAnsi="Times New Roman" w:cs="Times New Roman"/>
      <w:b w:val="0"/>
      <w:bCs w:val="0"/>
      <w:i w:val="0"/>
      <w:iCs w:val="0"/>
      <w:smallCaps/>
      <w:strike w:val="0"/>
      <w:spacing w:val="0"/>
      <w:sz w:val="18"/>
      <w:szCs w:val="18"/>
      <w:u w:val="none"/>
      <w:lang w:val="de-DE" w:eastAsia="de-DE"/>
    </w:rPr>
  </w:style>
  <w:style w:type="character" w:customStyle="1" w:styleId="Zkladntext36">
    <w:name w:val="Základní text (3)6"/>
    <w:uiPriority w:val="99"/>
    <w:rsid w:val="00897F5C"/>
    <w:rPr>
      <w:rFonts w:ascii="Times New Roman" w:eastAsia="Calibri" w:hAnsi="Times New Roman" w:cs="Times New Roman"/>
      <w:b w:val="0"/>
      <w:bCs w:val="0"/>
      <w:i w:val="0"/>
      <w:iCs w:val="0"/>
      <w:smallCaps w:val="0"/>
      <w:strike w:val="0"/>
      <w:spacing w:val="0"/>
      <w:sz w:val="20"/>
      <w:szCs w:val="20"/>
      <w:u w:val="none"/>
      <w:lang w:val="fr-FR" w:eastAsia="fr-FR"/>
    </w:rPr>
  </w:style>
  <w:style w:type="character" w:customStyle="1" w:styleId="Zkladntext392">
    <w:name w:val="Základní text (3) + 92"/>
    <w:aliases w:val="5 pt202,Kurzíva46"/>
    <w:uiPriority w:val="99"/>
    <w:rsid w:val="00897F5C"/>
    <w:rPr>
      <w:rFonts w:ascii="Times New Roman" w:eastAsia="Calibri" w:hAnsi="Times New Roman" w:cs="Times New Roman"/>
      <w:b w:val="0"/>
      <w:bCs w:val="0"/>
      <w:i/>
      <w:iCs/>
      <w:smallCaps w:val="0"/>
      <w:strike w:val="0"/>
      <w:spacing w:val="0"/>
      <w:sz w:val="19"/>
      <w:szCs w:val="19"/>
      <w:u w:val="none"/>
      <w:lang w:val="fr-FR" w:eastAsia="fr-FR"/>
    </w:rPr>
  </w:style>
  <w:style w:type="character" w:customStyle="1" w:styleId="Zkladntext331">
    <w:name w:val="Základní text (3)3"/>
    <w:uiPriority w:val="99"/>
    <w:rsid w:val="00396FE3"/>
    <w:rPr>
      <w:rFonts w:ascii="Times New Roman" w:eastAsia="Calibri" w:hAnsi="Times New Roman" w:cs="Times New Roman"/>
      <w:b w:val="0"/>
      <w:bCs w:val="0"/>
      <w:i w:val="0"/>
      <w:iCs w:val="0"/>
      <w:smallCaps w:val="0"/>
      <w:strike w:val="0"/>
      <w:spacing w:val="0"/>
      <w:sz w:val="20"/>
      <w:szCs w:val="20"/>
      <w:u w:val="none"/>
      <w:lang w:val="de-DE" w:eastAsia="de-DE"/>
    </w:rPr>
  </w:style>
  <w:style w:type="character" w:customStyle="1" w:styleId="Zkladntext391">
    <w:name w:val="Základní text (3) + 91"/>
    <w:aliases w:val="5 pt198,Kurzíva44"/>
    <w:uiPriority w:val="99"/>
    <w:rsid w:val="00396FE3"/>
    <w:rPr>
      <w:rFonts w:ascii="Times New Roman" w:eastAsia="Calibri" w:hAnsi="Times New Roman" w:cs="Times New Roman"/>
      <w:b w:val="0"/>
      <w:bCs w:val="0"/>
      <w:i/>
      <w:iCs/>
      <w:smallCaps w:val="0"/>
      <w:strike w:val="0"/>
      <w:spacing w:val="0"/>
      <w:sz w:val="19"/>
      <w:szCs w:val="19"/>
      <w:u w:val="none"/>
      <w:lang w:val="de-DE" w:eastAsia="de-DE"/>
    </w:rPr>
  </w:style>
  <w:style w:type="character" w:customStyle="1" w:styleId="Zkladntext390">
    <w:name w:val="Základní text (39)_"/>
    <w:link w:val="Zkladntext393"/>
    <w:uiPriority w:val="99"/>
    <w:rsid w:val="00CE3919"/>
    <w:rPr>
      <w:shd w:val="clear" w:color="auto" w:fill="FFFFFF"/>
    </w:rPr>
  </w:style>
  <w:style w:type="character" w:customStyle="1" w:styleId="Zkladntext3951">
    <w:name w:val="Základní text (39) + 51"/>
    <w:aliases w:val="5 pt182"/>
    <w:uiPriority w:val="99"/>
    <w:rsid w:val="00CE3919"/>
    <w:rPr>
      <w:sz w:val="11"/>
      <w:szCs w:val="11"/>
      <w:shd w:val="clear" w:color="auto" w:fill="FFFFFF"/>
    </w:rPr>
  </w:style>
  <w:style w:type="paragraph" w:customStyle="1" w:styleId="Zkladntext393">
    <w:name w:val="Základní text (39)"/>
    <w:basedOn w:val="Normln"/>
    <w:link w:val="Zkladntext390"/>
    <w:uiPriority w:val="99"/>
    <w:rsid w:val="00CE3919"/>
    <w:pPr>
      <w:shd w:val="clear" w:color="auto" w:fill="FFFFFF"/>
      <w:spacing w:line="256" w:lineRule="exact"/>
      <w:ind w:hanging="700"/>
      <w:jc w:val="left"/>
    </w:pPr>
    <w:rPr>
      <w:rFonts w:ascii="Times New Roman" w:eastAsia="Times New Roman" w:hAnsi="Times New Roman"/>
      <w:noProof w:val="0"/>
      <w:sz w:val="20"/>
      <w:lang w:val="x-none" w:eastAsia="x-none"/>
    </w:rPr>
  </w:style>
  <w:style w:type="character" w:customStyle="1" w:styleId="Zkladntext399pt6">
    <w:name w:val="Základní text (39) + 9 pt6"/>
    <w:aliases w:val="Malá písmena94"/>
    <w:uiPriority w:val="99"/>
    <w:rsid w:val="00CE3919"/>
    <w:rPr>
      <w:rFonts w:ascii="Times New Roman" w:hAnsi="Times New Roman" w:cs="Times New Roman"/>
      <w:smallCaps/>
      <w:spacing w:val="0"/>
      <w:sz w:val="18"/>
      <w:szCs w:val="18"/>
      <w:shd w:val="clear" w:color="auto" w:fill="FFFFFF"/>
    </w:rPr>
  </w:style>
  <w:style w:type="character" w:customStyle="1" w:styleId="Zkladntext39Kurzva">
    <w:name w:val="Základní text (39) + Kurzíva"/>
    <w:uiPriority w:val="99"/>
    <w:rsid w:val="0065095C"/>
    <w:rPr>
      <w:rFonts w:ascii="Times New Roman" w:hAnsi="Times New Roman" w:cs="Times New Roman"/>
      <w:i/>
      <w:iCs/>
      <w:spacing w:val="0"/>
      <w:sz w:val="20"/>
      <w:szCs w:val="20"/>
      <w:shd w:val="clear" w:color="auto" w:fill="FFFFFF"/>
    </w:rPr>
  </w:style>
  <w:style w:type="character" w:customStyle="1" w:styleId="Zkladntext399pt5">
    <w:name w:val="Základní text (39) + 9 pt5"/>
    <w:aliases w:val="Malá písmena93"/>
    <w:uiPriority w:val="99"/>
    <w:rsid w:val="005470B8"/>
    <w:rPr>
      <w:rFonts w:ascii="Times New Roman" w:hAnsi="Times New Roman" w:cs="Times New Roman"/>
      <w:smallCaps/>
      <w:spacing w:val="0"/>
      <w:sz w:val="18"/>
      <w:szCs w:val="18"/>
      <w:shd w:val="clear" w:color="auto" w:fill="FFFFFF"/>
    </w:rPr>
  </w:style>
  <w:style w:type="character" w:customStyle="1" w:styleId="Zkladntext39Constantia4">
    <w:name w:val="Základní text (39) + Constantia4"/>
    <w:aliases w:val="8 pt6"/>
    <w:uiPriority w:val="99"/>
    <w:rsid w:val="0064573B"/>
    <w:rPr>
      <w:rFonts w:ascii="Constantia" w:hAnsi="Constantia" w:cs="Constantia"/>
      <w:spacing w:val="0"/>
      <w:sz w:val="16"/>
      <w:szCs w:val="16"/>
      <w:shd w:val="clear" w:color="auto" w:fill="FFFFFF"/>
      <w:lang w:val="cs-CZ" w:eastAsia="cs-CZ"/>
    </w:rPr>
  </w:style>
  <w:style w:type="character" w:customStyle="1" w:styleId="Zkladntext399pt3">
    <w:name w:val="Základní text (39) + 9 pt3"/>
    <w:aliases w:val="Malá písmena89"/>
    <w:uiPriority w:val="99"/>
    <w:rsid w:val="000A76A7"/>
    <w:rPr>
      <w:rFonts w:ascii="Times New Roman" w:hAnsi="Times New Roman" w:cs="Times New Roman"/>
      <w:smallCaps/>
      <w:spacing w:val="0"/>
      <w:sz w:val="18"/>
      <w:szCs w:val="18"/>
      <w:shd w:val="clear" w:color="auto" w:fill="FFFFFF"/>
      <w:lang w:val="cs-CZ" w:eastAsia="cs-CZ"/>
    </w:rPr>
  </w:style>
  <w:style w:type="character" w:customStyle="1" w:styleId="Zkladntext399pt2">
    <w:name w:val="Základní text (39) + 9 pt2"/>
    <w:uiPriority w:val="99"/>
    <w:rsid w:val="000A76A7"/>
    <w:rPr>
      <w:rFonts w:ascii="Times New Roman" w:hAnsi="Times New Roman" w:cs="Times New Roman"/>
      <w:spacing w:val="0"/>
      <w:sz w:val="18"/>
      <w:szCs w:val="18"/>
      <w:shd w:val="clear" w:color="auto" w:fill="FFFFFF"/>
    </w:rPr>
  </w:style>
  <w:style w:type="character" w:customStyle="1" w:styleId="Zkladntext399pt4">
    <w:name w:val="Základní text (39) + 9 pt4"/>
    <w:aliases w:val="Malá písmena92"/>
    <w:uiPriority w:val="99"/>
    <w:rsid w:val="008D60DF"/>
    <w:rPr>
      <w:rFonts w:ascii="Times New Roman" w:hAnsi="Times New Roman" w:cs="Times New Roman"/>
      <w:smallCaps/>
      <w:spacing w:val="0"/>
      <w:sz w:val="18"/>
      <w:szCs w:val="18"/>
      <w:shd w:val="clear" w:color="auto" w:fill="FFFFFF"/>
    </w:rPr>
  </w:style>
  <w:style w:type="character" w:customStyle="1" w:styleId="Zkladntext39dkovn-1pt1">
    <w:name w:val="Základní text (39) + Řádkování -1 pt1"/>
    <w:uiPriority w:val="99"/>
    <w:rsid w:val="00E31B57"/>
    <w:rPr>
      <w:rFonts w:ascii="Times New Roman" w:hAnsi="Times New Roman" w:cs="Times New Roman"/>
      <w:spacing w:val="-20"/>
      <w:sz w:val="20"/>
      <w:szCs w:val="20"/>
      <w:shd w:val="clear" w:color="auto" w:fill="FFFFFF"/>
    </w:rPr>
  </w:style>
  <w:style w:type="character" w:customStyle="1" w:styleId="Zkladntext39Constantia2">
    <w:name w:val="Základní text (39) + Constantia2"/>
    <w:aliases w:val="510,5 pt172"/>
    <w:uiPriority w:val="99"/>
    <w:rsid w:val="00E31B57"/>
    <w:rPr>
      <w:rFonts w:ascii="Constantia" w:hAnsi="Constantia" w:cs="Constantia"/>
      <w:spacing w:val="0"/>
      <w:sz w:val="11"/>
      <w:szCs w:val="11"/>
      <w:shd w:val="clear" w:color="auto" w:fill="FFFFFF"/>
    </w:rPr>
  </w:style>
  <w:style w:type="character" w:customStyle="1" w:styleId="Zkladntext399pt1">
    <w:name w:val="Základní text (39) + 9 pt1"/>
    <w:aliases w:val="Malá písmena88"/>
    <w:uiPriority w:val="99"/>
    <w:rsid w:val="002A35E0"/>
    <w:rPr>
      <w:rFonts w:ascii="Times New Roman" w:hAnsi="Times New Roman" w:cs="Times New Roman"/>
      <w:smallCaps/>
      <w:spacing w:val="0"/>
      <w:sz w:val="18"/>
      <w:szCs w:val="18"/>
      <w:shd w:val="clear" w:color="auto" w:fill="FFFFFF"/>
    </w:rPr>
  </w:style>
  <w:style w:type="character" w:customStyle="1" w:styleId="Zkladntext3971">
    <w:name w:val="Základní text (39) + 71"/>
    <w:aliases w:val="5 pt169"/>
    <w:uiPriority w:val="99"/>
    <w:rsid w:val="008C35EB"/>
    <w:rPr>
      <w:rFonts w:ascii="Times New Roman" w:hAnsi="Times New Roman" w:cs="Times New Roman"/>
      <w:spacing w:val="0"/>
      <w:sz w:val="15"/>
      <w:szCs w:val="15"/>
      <w:shd w:val="clear" w:color="auto" w:fill="FFFFFF"/>
    </w:rPr>
  </w:style>
  <w:style w:type="character" w:customStyle="1" w:styleId="Zkladntext41">
    <w:name w:val="Základní text (41)_"/>
    <w:link w:val="Zkladntext410"/>
    <w:uiPriority w:val="99"/>
    <w:rsid w:val="00E84291"/>
    <w:rPr>
      <w:sz w:val="19"/>
      <w:szCs w:val="19"/>
      <w:shd w:val="clear" w:color="auto" w:fill="FFFFFF"/>
    </w:rPr>
  </w:style>
  <w:style w:type="character" w:customStyle="1" w:styleId="Zkladntext419pt4">
    <w:name w:val="Základní text (41) + 9 pt4"/>
    <w:aliases w:val="Malá písmena87"/>
    <w:uiPriority w:val="99"/>
    <w:rsid w:val="00E84291"/>
    <w:rPr>
      <w:smallCaps/>
      <w:sz w:val="18"/>
      <w:szCs w:val="18"/>
      <w:shd w:val="clear" w:color="auto" w:fill="FFFFFF"/>
    </w:rPr>
  </w:style>
  <w:style w:type="paragraph" w:customStyle="1" w:styleId="Zkladntext410">
    <w:name w:val="Základní text (41)"/>
    <w:basedOn w:val="Normln"/>
    <w:link w:val="Zkladntext41"/>
    <w:uiPriority w:val="99"/>
    <w:rsid w:val="00E84291"/>
    <w:pPr>
      <w:shd w:val="clear" w:color="auto" w:fill="FFFFFF"/>
      <w:spacing w:line="256" w:lineRule="exact"/>
      <w:jc w:val="left"/>
    </w:pPr>
    <w:rPr>
      <w:rFonts w:ascii="Times New Roman" w:eastAsia="Times New Roman" w:hAnsi="Times New Roman"/>
      <w:noProof w:val="0"/>
      <w:sz w:val="19"/>
      <w:szCs w:val="19"/>
      <w:lang w:val="x-none" w:eastAsia="x-none"/>
    </w:rPr>
  </w:style>
  <w:style w:type="paragraph" w:styleId="Pedmtkomente">
    <w:name w:val="annotation subject"/>
    <w:basedOn w:val="Textkomente"/>
    <w:next w:val="Textkomente"/>
    <w:link w:val="PedmtkomenteChar"/>
    <w:uiPriority w:val="99"/>
    <w:semiHidden/>
    <w:unhideWhenUsed/>
    <w:rsid w:val="00682109"/>
    <w:rPr>
      <w:b/>
      <w:bCs/>
    </w:rPr>
  </w:style>
  <w:style w:type="character" w:customStyle="1" w:styleId="PedmtkomenteChar">
    <w:name w:val="Předmět komentáře Char"/>
    <w:link w:val="Pedmtkomente"/>
    <w:uiPriority w:val="99"/>
    <w:semiHidden/>
    <w:rsid w:val="00682109"/>
    <w:rPr>
      <w:rFonts w:ascii="Calibri" w:eastAsia="Times" w:hAnsi="Calibri"/>
      <w:b/>
      <w:bCs/>
    </w:rPr>
  </w:style>
  <w:style w:type="character" w:customStyle="1" w:styleId="Zkladntext42">
    <w:name w:val="Základní text (42)_"/>
    <w:link w:val="Zkladntext420"/>
    <w:uiPriority w:val="99"/>
    <w:rsid w:val="00837A88"/>
    <w:rPr>
      <w:sz w:val="18"/>
      <w:szCs w:val="18"/>
      <w:shd w:val="clear" w:color="auto" w:fill="FFFFFF"/>
    </w:rPr>
  </w:style>
  <w:style w:type="paragraph" w:customStyle="1" w:styleId="Zkladntext420">
    <w:name w:val="Základní text (42)"/>
    <w:basedOn w:val="Normln"/>
    <w:link w:val="Zkladntext42"/>
    <w:uiPriority w:val="99"/>
    <w:rsid w:val="00837A88"/>
    <w:pPr>
      <w:shd w:val="clear" w:color="auto" w:fill="FFFFFF"/>
      <w:spacing w:before="360" w:line="256" w:lineRule="exact"/>
      <w:ind w:hanging="180"/>
      <w:jc w:val="left"/>
    </w:pPr>
    <w:rPr>
      <w:rFonts w:ascii="Times New Roman" w:eastAsia="Times New Roman" w:hAnsi="Times New Roman"/>
      <w:noProof w:val="0"/>
      <w:sz w:val="18"/>
      <w:szCs w:val="18"/>
      <w:lang w:val="x-none" w:eastAsia="x-none"/>
    </w:rPr>
  </w:style>
  <w:style w:type="character" w:customStyle="1" w:styleId="Zkladntext428">
    <w:name w:val="Základní text (42) + 8"/>
    <w:aliases w:val="5 pt179"/>
    <w:uiPriority w:val="99"/>
    <w:rsid w:val="00974BF9"/>
    <w:rPr>
      <w:rFonts w:ascii="Times New Roman" w:hAnsi="Times New Roman" w:cs="Times New Roman"/>
      <w:spacing w:val="0"/>
      <w:sz w:val="17"/>
      <w:szCs w:val="17"/>
      <w:shd w:val="clear" w:color="auto" w:fill="FFFFFF"/>
    </w:rPr>
  </w:style>
  <w:style w:type="character" w:customStyle="1" w:styleId="Zkladntext427">
    <w:name w:val="Základní text (42) + 7"/>
    <w:aliases w:val="5 pt166"/>
    <w:uiPriority w:val="99"/>
    <w:rsid w:val="00974BF9"/>
    <w:rPr>
      <w:rFonts w:ascii="Times New Roman" w:hAnsi="Times New Roman" w:cs="Times New Roman"/>
      <w:spacing w:val="0"/>
      <w:sz w:val="15"/>
      <w:szCs w:val="15"/>
      <w:shd w:val="clear" w:color="auto" w:fill="FFFFFF"/>
    </w:rPr>
  </w:style>
  <w:style w:type="character" w:customStyle="1" w:styleId="Zkladntext42Malpsmena">
    <w:name w:val="Základní text (42) + Malá písmena"/>
    <w:uiPriority w:val="99"/>
    <w:rsid w:val="00974BF9"/>
    <w:rPr>
      <w:rFonts w:ascii="Times New Roman" w:hAnsi="Times New Roman" w:cs="Times New Roman"/>
      <w:smallCaps/>
      <w:spacing w:val="0"/>
      <w:sz w:val="18"/>
      <w:szCs w:val="18"/>
      <w:shd w:val="clear" w:color="auto" w:fill="FFFFFF"/>
    </w:rPr>
  </w:style>
  <w:style w:type="character" w:customStyle="1" w:styleId="Zkladntext429">
    <w:name w:val="Základní text (42) + 9"/>
    <w:aliases w:val="5 pt165,Kurzíva36"/>
    <w:uiPriority w:val="99"/>
    <w:rsid w:val="00974BF9"/>
    <w:rPr>
      <w:rFonts w:ascii="Times New Roman" w:hAnsi="Times New Roman" w:cs="Times New Roman"/>
      <w:i/>
      <w:iCs/>
      <w:spacing w:val="0"/>
      <w:sz w:val="19"/>
      <w:szCs w:val="19"/>
      <w:shd w:val="clear" w:color="auto" w:fill="FFFFFF"/>
    </w:rPr>
  </w:style>
  <w:style w:type="character" w:customStyle="1" w:styleId="Zkladntext419pt3">
    <w:name w:val="Základní text (41) + 9 pt3"/>
    <w:aliases w:val="Malá písmena86"/>
    <w:uiPriority w:val="99"/>
    <w:rsid w:val="001C6307"/>
    <w:rPr>
      <w:rFonts w:ascii="Times New Roman" w:hAnsi="Times New Roman" w:cs="Times New Roman"/>
      <w:smallCaps/>
      <w:spacing w:val="0"/>
      <w:sz w:val="18"/>
      <w:szCs w:val="18"/>
      <w:shd w:val="clear" w:color="auto" w:fill="FFFFFF"/>
    </w:rPr>
  </w:style>
  <w:style w:type="character" w:customStyle="1" w:styleId="Zkladntext417pt">
    <w:name w:val="Základní text (41) + 7 pt"/>
    <w:aliases w:val="Malá písmena85"/>
    <w:uiPriority w:val="99"/>
    <w:rsid w:val="001C6307"/>
    <w:rPr>
      <w:rFonts w:ascii="Times New Roman" w:hAnsi="Times New Roman" w:cs="Times New Roman"/>
      <w:smallCaps/>
      <w:spacing w:val="0"/>
      <w:sz w:val="14"/>
      <w:szCs w:val="14"/>
      <w:shd w:val="clear" w:color="auto" w:fill="FFFFFF"/>
    </w:rPr>
  </w:style>
  <w:style w:type="character" w:customStyle="1" w:styleId="Zkladntext41Kurzva3">
    <w:name w:val="Základní text (41) + Kurzíva3"/>
    <w:uiPriority w:val="99"/>
    <w:rsid w:val="001C6307"/>
    <w:rPr>
      <w:rFonts w:ascii="Times New Roman" w:hAnsi="Times New Roman" w:cs="Times New Roman"/>
      <w:i/>
      <w:iCs/>
      <w:spacing w:val="0"/>
      <w:sz w:val="19"/>
      <w:szCs w:val="19"/>
      <w:shd w:val="clear" w:color="auto" w:fill="FFFFFF"/>
    </w:rPr>
  </w:style>
  <w:style w:type="character" w:customStyle="1" w:styleId="Zkladntext517">
    <w:name w:val="Základní text (51)7"/>
    <w:uiPriority w:val="99"/>
    <w:rsid w:val="00F73265"/>
    <w:rPr>
      <w:rFonts w:ascii="Constantia" w:hAnsi="Constantia" w:cs="Constantia"/>
      <w:spacing w:val="0"/>
      <w:sz w:val="16"/>
      <w:szCs w:val="16"/>
    </w:rPr>
  </w:style>
  <w:style w:type="character" w:customStyle="1" w:styleId="Zkladntext51TimesNewRoman15">
    <w:name w:val="Základní text (51) + Times New Roman15"/>
    <w:aliases w:val="9 pt8,Malá písmena59"/>
    <w:uiPriority w:val="99"/>
    <w:rsid w:val="00F73265"/>
    <w:rPr>
      <w:rFonts w:ascii="Times New Roman" w:hAnsi="Times New Roman" w:cs="Times New Roman"/>
      <w:smallCaps/>
      <w:spacing w:val="0"/>
      <w:sz w:val="18"/>
      <w:szCs w:val="18"/>
    </w:rPr>
  </w:style>
  <w:style w:type="character" w:customStyle="1" w:styleId="Zkladntext51TimesNewRoman14">
    <w:name w:val="Základní text (51) + Times New Roman14"/>
    <w:aliases w:val="54,5 pt104"/>
    <w:uiPriority w:val="99"/>
    <w:rsid w:val="00F73265"/>
    <w:rPr>
      <w:rFonts w:ascii="Times New Roman" w:hAnsi="Times New Roman" w:cs="Times New Roman"/>
      <w:spacing w:val="0"/>
      <w:sz w:val="11"/>
      <w:szCs w:val="11"/>
      <w:lang w:val="cs-CZ" w:eastAsia="cs-CZ"/>
    </w:rPr>
  </w:style>
  <w:style w:type="character" w:customStyle="1" w:styleId="Zkladntext515">
    <w:name w:val="Základní text (51)5"/>
    <w:uiPriority w:val="99"/>
    <w:rsid w:val="00CB56CB"/>
    <w:rPr>
      <w:rFonts w:ascii="Constantia" w:hAnsi="Constantia" w:cs="Constantia"/>
      <w:spacing w:val="0"/>
      <w:sz w:val="16"/>
      <w:szCs w:val="16"/>
    </w:rPr>
  </w:style>
  <w:style w:type="character" w:customStyle="1" w:styleId="Zkladntext5161">
    <w:name w:val="Základní text (51) + 61"/>
    <w:aliases w:val="5 pt100"/>
    <w:uiPriority w:val="99"/>
    <w:rsid w:val="00CB56CB"/>
    <w:rPr>
      <w:rFonts w:ascii="Constantia" w:hAnsi="Constantia" w:cs="Constantia"/>
      <w:spacing w:val="0"/>
      <w:sz w:val="13"/>
      <w:szCs w:val="13"/>
      <w:lang w:val="cs-CZ" w:eastAsia="cs-CZ"/>
    </w:rPr>
  </w:style>
  <w:style w:type="character" w:customStyle="1" w:styleId="Zkladntext51TimesNewRoman9">
    <w:name w:val="Základní text (51) + Times New Roman9"/>
    <w:aliases w:val="9 pt6,Malá písmena56"/>
    <w:uiPriority w:val="99"/>
    <w:rsid w:val="00CB56CB"/>
    <w:rPr>
      <w:rFonts w:ascii="Times New Roman" w:hAnsi="Times New Roman" w:cs="Times New Roman"/>
      <w:smallCaps/>
      <w:spacing w:val="0"/>
      <w:sz w:val="18"/>
      <w:szCs w:val="18"/>
    </w:rPr>
  </w:style>
  <w:style w:type="character" w:customStyle="1" w:styleId="Zkladntext489pt5">
    <w:name w:val="Základní text (48) + 9 pt5"/>
    <w:aliases w:val="Malá písmena73"/>
    <w:uiPriority w:val="99"/>
    <w:rsid w:val="00A81579"/>
    <w:rPr>
      <w:rFonts w:ascii="Times New Roman" w:hAnsi="Times New Roman" w:cs="Times New Roman"/>
      <w:smallCaps/>
      <w:spacing w:val="0"/>
      <w:sz w:val="18"/>
      <w:szCs w:val="18"/>
      <w:lang w:val="de-DE" w:eastAsia="de-DE"/>
    </w:rPr>
  </w:style>
  <w:style w:type="character" w:customStyle="1" w:styleId="Zkladntext48Constantia">
    <w:name w:val="Základní text (48) + Constantia"/>
    <w:aliases w:val="57,5 pt136"/>
    <w:uiPriority w:val="99"/>
    <w:rsid w:val="00A81579"/>
    <w:rPr>
      <w:rFonts w:ascii="Constantia" w:hAnsi="Constantia" w:cs="Constantia"/>
      <w:spacing w:val="0"/>
      <w:sz w:val="11"/>
      <w:szCs w:val="11"/>
    </w:rPr>
  </w:style>
  <w:style w:type="character" w:customStyle="1" w:styleId="Zkladntext4873">
    <w:name w:val="Základní text (48) + 73"/>
    <w:aliases w:val="5 pt135,Řádkování -1 pt9"/>
    <w:uiPriority w:val="99"/>
    <w:rsid w:val="00A81579"/>
    <w:rPr>
      <w:rFonts w:ascii="Times New Roman" w:hAnsi="Times New Roman" w:cs="Times New Roman"/>
      <w:spacing w:val="-20"/>
      <w:sz w:val="15"/>
      <w:szCs w:val="15"/>
    </w:rPr>
  </w:style>
  <w:style w:type="character" w:customStyle="1" w:styleId="aur">
    <w:name w:val="aur"/>
    <w:basedOn w:val="Standardnpsmoodstavce"/>
    <w:rsid w:val="00B11A43"/>
  </w:style>
  <w:style w:type="paragraph" w:styleId="Zkladntext22">
    <w:name w:val="Body Text 2"/>
    <w:basedOn w:val="Normln"/>
    <w:link w:val="Zkladntext2Char"/>
    <w:uiPriority w:val="99"/>
    <w:semiHidden/>
    <w:unhideWhenUsed/>
    <w:rsid w:val="00944007"/>
    <w:pPr>
      <w:spacing w:after="120" w:line="480" w:lineRule="auto"/>
    </w:pPr>
    <w:rPr>
      <w:noProof w:val="0"/>
      <w:lang w:val="x-none" w:eastAsia="x-none"/>
    </w:rPr>
  </w:style>
  <w:style w:type="character" w:customStyle="1" w:styleId="Zkladntext2Char">
    <w:name w:val="Základní text 2 Char"/>
    <w:link w:val="Zkladntext22"/>
    <w:uiPriority w:val="99"/>
    <w:semiHidden/>
    <w:rsid w:val="00944007"/>
    <w:rPr>
      <w:rFonts w:ascii="Calibri" w:eastAsia="Times" w:hAnsi="Calibri"/>
      <w:sz w:val="24"/>
    </w:rPr>
  </w:style>
  <w:style w:type="character" w:customStyle="1" w:styleId="auv">
    <w:name w:val="auv"/>
    <w:basedOn w:val="Standardnpsmoodstavce"/>
    <w:rsid w:val="002F4C66"/>
  </w:style>
  <w:style w:type="character" w:customStyle="1" w:styleId="aul">
    <w:name w:val="aul"/>
    <w:basedOn w:val="Standardnpsmoodstavce"/>
    <w:rsid w:val="002F4C66"/>
  </w:style>
  <w:style w:type="character" w:customStyle="1" w:styleId="Zkladntext225">
    <w:name w:val="Základní text (22) + 5"/>
    <w:aliases w:val="5 pt287"/>
    <w:uiPriority w:val="99"/>
    <w:rsid w:val="004B04A0"/>
    <w:rPr>
      <w:rFonts w:ascii="Times New Roman" w:hAnsi="Times New Roman" w:cs="Times New Roman"/>
      <w:spacing w:val="0"/>
      <w:sz w:val="11"/>
      <w:szCs w:val="11"/>
      <w:lang w:val="de-DE" w:eastAsia="de-DE"/>
    </w:rPr>
  </w:style>
  <w:style w:type="character" w:customStyle="1" w:styleId="Zkladntext9ptdkovn0pt">
    <w:name w:val="Základní text + 9 pt;Řádkování 0 pt"/>
    <w:rsid w:val="00727AFD"/>
    <w:rPr>
      <w:rFonts w:ascii="Times New Roman" w:eastAsia="Times New Roman" w:hAnsi="Times New Roman" w:cs="Times New Roman"/>
      <w:b w:val="0"/>
      <w:bCs w:val="0"/>
      <w:i w:val="0"/>
      <w:iCs w:val="0"/>
      <w:smallCaps w:val="0"/>
      <w:strike w:val="0"/>
      <w:color w:val="000000"/>
      <w:spacing w:val="8"/>
      <w:w w:val="100"/>
      <w:position w:val="0"/>
      <w:sz w:val="18"/>
      <w:szCs w:val="18"/>
      <w:u w:val="none"/>
      <w:shd w:val="clear" w:color="auto" w:fill="FFFFFF"/>
      <w:lang w:val="en-US"/>
    </w:rPr>
  </w:style>
  <w:style w:type="character" w:customStyle="1" w:styleId="Zkladntext33BookmanOldStyle65ptdkovn0pt">
    <w:name w:val="Základní text (33) + Bookman Old Style;6;5 pt;Řádkování 0 pt"/>
    <w:rsid w:val="00B43AA0"/>
    <w:rPr>
      <w:rFonts w:ascii="Bookman Old Style" w:eastAsia="Bookman Old Style" w:hAnsi="Bookman Old Style" w:cs="Bookman Old Style"/>
      <w:b w:val="0"/>
      <w:bCs w:val="0"/>
      <w:i w:val="0"/>
      <w:iCs w:val="0"/>
      <w:smallCaps w:val="0"/>
      <w:strike w:val="0"/>
      <w:color w:val="000000"/>
      <w:spacing w:val="-6"/>
      <w:w w:val="100"/>
      <w:position w:val="0"/>
      <w:sz w:val="13"/>
      <w:szCs w:val="13"/>
      <w:u w:val="none"/>
      <w:shd w:val="clear" w:color="auto" w:fill="FFFFFF"/>
    </w:rPr>
  </w:style>
  <w:style w:type="character" w:customStyle="1" w:styleId="Poznmkapodarou47ptKurzva">
    <w:name w:val="Poznámka pod čarou (4) + 7 pt;Kurzíva"/>
    <w:rsid w:val="007B4A57"/>
    <w:rPr>
      <w:rFonts w:ascii="Times New Roman" w:eastAsia="Times New Roman" w:hAnsi="Times New Roman" w:cs="Times New Roman"/>
      <w:b w:val="0"/>
      <w:bCs w:val="0"/>
      <w:i/>
      <w:iCs/>
      <w:smallCaps w:val="0"/>
      <w:strike w:val="0"/>
      <w:color w:val="000000"/>
      <w:spacing w:val="0"/>
      <w:w w:val="100"/>
      <w:position w:val="0"/>
      <w:sz w:val="14"/>
      <w:szCs w:val="14"/>
      <w:u w:val="none"/>
      <w:lang w:val="en-US"/>
    </w:rPr>
  </w:style>
  <w:style w:type="character" w:customStyle="1" w:styleId="Zkladntext7ptTun">
    <w:name w:val="Základní text + 7 pt;Tučné"/>
    <w:rsid w:val="007B4A57"/>
    <w:rPr>
      <w:rFonts w:ascii="Times New Roman" w:eastAsia="Times New Roman" w:hAnsi="Times New Roman" w:cs="Times New Roman"/>
      <w:b/>
      <w:bCs/>
      <w:i w:val="0"/>
      <w:iCs w:val="0"/>
      <w:smallCaps w:val="0"/>
      <w:strike w:val="0"/>
      <w:color w:val="000000"/>
      <w:spacing w:val="10"/>
      <w:w w:val="100"/>
      <w:position w:val="0"/>
      <w:sz w:val="14"/>
      <w:szCs w:val="14"/>
      <w:u w:val="none"/>
      <w:shd w:val="clear" w:color="auto" w:fill="FFFFFF"/>
      <w:lang w:val="en-US"/>
    </w:rPr>
  </w:style>
  <w:style w:type="paragraph" w:customStyle="1" w:styleId="Zkladntext51">
    <w:name w:val="Základní text5"/>
    <w:basedOn w:val="Normln"/>
    <w:uiPriority w:val="99"/>
    <w:rsid w:val="007B4A57"/>
    <w:pPr>
      <w:widowControl w:val="0"/>
      <w:shd w:val="clear" w:color="auto" w:fill="FFFFFF"/>
      <w:spacing w:before="300" w:line="0" w:lineRule="atLeast"/>
      <w:ind w:hanging="360"/>
      <w:jc w:val="left"/>
    </w:pPr>
    <w:rPr>
      <w:rFonts w:ascii="Times New Roman" w:eastAsia="Times New Roman" w:hAnsi="Times New Roman"/>
      <w:color w:val="000000"/>
      <w:spacing w:val="10"/>
      <w:sz w:val="17"/>
      <w:szCs w:val="17"/>
      <w:lang w:val="en-US"/>
    </w:rPr>
  </w:style>
  <w:style w:type="character" w:customStyle="1" w:styleId="Zkladntext6pt">
    <w:name w:val="Základní text + 6 pt"/>
    <w:rsid w:val="00455A2D"/>
    <w:rPr>
      <w:rFonts w:ascii="Century Schoolbook" w:eastAsia="Century Schoolbook" w:hAnsi="Century Schoolbook" w:cs="Century Schoolbook"/>
      <w:b w:val="0"/>
      <w:bCs w:val="0"/>
      <w:i w:val="0"/>
      <w:iCs w:val="0"/>
      <w:smallCaps w:val="0"/>
      <w:strike w:val="0"/>
      <w:color w:val="000000"/>
      <w:spacing w:val="0"/>
      <w:w w:val="100"/>
      <w:position w:val="0"/>
      <w:sz w:val="12"/>
      <w:szCs w:val="12"/>
      <w:u w:val="none"/>
      <w:shd w:val="clear" w:color="auto" w:fill="FFFFFF"/>
      <w:lang w:val="en-US"/>
    </w:rPr>
  </w:style>
  <w:style w:type="character" w:customStyle="1" w:styleId="FontStyle94">
    <w:name w:val="Font Style94"/>
    <w:rsid w:val="003B2615"/>
    <w:rPr>
      <w:rFonts w:ascii="Times New Roman" w:hAnsi="Times New Roman" w:cs="Times New Roman"/>
      <w:i/>
      <w:iCs/>
      <w:sz w:val="18"/>
      <w:szCs w:val="18"/>
    </w:rPr>
  </w:style>
  <w:style w:type="character" w:customStyle="1" w:styleId="FontStyle116">
    <w:name w:val="Font Style116"/>
    <w:rsid w:val="003B2615"/>
    <w:rPr>
      <w:rFonts w:ascii="Times New Roman" w:hAnsi="Times New Roman" w:cs="Times New Roman"/>
      <w:sz w:val="18"/>
      <w:szCs w:val="18"/>
    </w:rPr>
  </w:style>
  <w:style w:type="character" w:customStyle="1" w:styleId="FontStyle112">
    <w:name w:val="Font Style112"/>
    <w:rsid w:val="00E661B2"/>
    <w:rPr>
      <w:rFonts w:ascii="Times New Roman" w:hAnsi="Times New Roman" w:cs="Times New Roman"/>
      <w:b/>
      <w:bCs/>
      <w:sz w:val="20"/>
      <w:szCs w:val="20"/>
    </w:rPr>
  </w:style>
  <w:style w:type="character" w:customStyle="1" w:styleId="FontStyle113">
    <w:name w:val="Font Style113"/>
    <w:rsid w:val="00E661B2"/>
    <w:rPr>
      <w:rFonts w:ascii="Times New Roman" w:hAnsi="Times New Roman" w:cs="Times New Roman"/>
      <w:i/>
      <w:iCs/>
      <w:sz w:val="18"/>
      <w:szCs w:val="18"/>
    </w:rPr>
  </w:style>
  <w:style w:type="paragraph" w:customStyle="1" w:styleId="Style23">
    <w:name w:val="Style23"/>
    <w:basedOn w:val="Normln"/>
    <w:uiPriority w:val="99"/>
    <w:rsid w:val="00336E7C"/>
    <w:pPr>
      <w:widowControl w:val="0"/>
      <w:autoSpaceDE w:val="0"/>
      <w:autoSpaceDN w:val="0"/>
      <w:adjustRightInd w:val="0"/>
      <w:spacing w:line="219" w:lineRule="exact"/>
      <w:ind w:firstLine="408"/>
    </w:pPr>
    <w:rPr>
      <w:rFonts w:ascii="Times New Roman" w:eastAsia="Times New Roman" w:hAnsi="Times New Roman"/>
      <w:sz w:val="20"/>
      <w:szCs w:val="24"/>
    </w:rPr>
  </w:style>
  <w:style w:type="paragraph" w:customStyle="1" w:styleId="Style22">
    <w:name w:val="Style22"/>
    <w:basedOn w:val="Normln"/>
    <w:uiPriority w:val="99"/>
    <w:rsid w:val="00305CBA"/>
    <w:pPr>
      <w:widowControl w:val="0"/>
      <w:autoSpaceDE w:val="0"/>
      <w:autoSpaceDN w:val="0"/>
      <w:adjustRightInd w:val="0"/>
      <w:spacing w:line="230" w:lineRule="exact"/>
    </w:pPr>
    <w:rPr>
      <w:rFonts w:ascii="Times New Roman" w:eastAsia="Times New Roman" w:hAnsi="Times New Roman"/>
      <w:sz w:val="20"/>
      <w:szCs w:val="24"/>
    </w:rPr>
  </w:style>
  <w:style w:type="character" w:customStyle="1" w:styleId="meta-key">
    <w:name w:val="meta-key"/>
    <w:basedOn w:val="Standardnpsmoodstavce"/>
    <w:rsid w:val="0043722A"/>
  </w:style>
  <w:style w:type="character" w:customStyle="1" w:styleId="meta-value">
    <w:name w:val="meta-value"/>
    <w:basedOn w:val="Standardnpsmoodstavce"/>
    <w:rsid w:val="0043722A"/>
  </w:style>
  <w:style w:type="character" w:customStyle="1" w:styleId="optionalcoma">
    <w:name w:val="optionalcoma"/>
    <w:basedOn w:val="Standardnpsmoodstavce"/>
    <w:rsid w:val="0043722A"/>
  </w:style>
  <w:style w:type="character" w:customStyle="1" w:styleId="volumeissue">
    <w:name w:val="volumeissue"/>
    <w:basedOn w:val="Standardnpsmoodstavce"/>
    <w:rsid w:val="0043722A"/>
  </w:style>
  <w:style w:type="character" w:customStyle="1" w:styleId="FontStyle127">
    <w:name w:val="Font Style127"/>
    <w:rsid w:val="002C0CE6"/>
    <w:rPr>
      <w:rFonts w:ascii="Times New Roman" w:hAnsi="Times New Roman" w:cs="Times New Roman"/>
      <w:sz w:val="18"/>
      <w:szCs w:val="18"/>
    </w:rPr>
  </w:style>
  <w:style w:type="character" w:customStyle="1" w:styleId="versetext">
    <w:name w:val="versetext"/>
    <w:basedOn w:val="Standardnpsmoodstavce"/>
    <w:rsid w:val="0052424E"/>
  </w:style>
  <w:style w:type="character" w:customStyle="1" w:styleId="Zkladntext6ptdkovn0pt">
    <w:name w:val="Základní text + 6 pt;Řádkování 0 pt"/>
    <w:rsid w:val="00262CF6"/>
    <w:rPr>
      <w:rFonts w:ascii="Times New Roman" w:eastAsia="Times New Roman" w:hAnsi="Times New Roman" w:cs="Times New Roman"/>
      <w:b w:val="0"/>
      <w:bCs w:val="0"/>
      <w:i w:val="0"/>
      <w:iCs w:val="0"/>
      <w:smallCaps w:val="0"/>
      <w:strike w:val="0"/>
      <w:color w:val="000000"/>
      <w:spacing w:val="14"/>
      <w:w w:val="100"/>
      <w:position w:val="0"/>
      <w:sz w:val="12"/>
      <w:szCs w:val="12"/>
      <w:u w:val="none"/>
      <w:shd w:val="clear" w:color="auto" w:fill="FFFFFF"/>
    </w:rPr>
  </w:style>
  <w:style w:type="character" w:customStyle="1" w:styleId="Zkladntext6ptMalpsmenadkovn0pt">
    <w:name w:val="Základní text + 6 pt;Malá písmena;Řádkování 0 pt"/>
    <w:rsid w:val="00262CF6"/>
    <w:rPr>
      <w:rFonts w:ascii="Times New Roman" w:eastAsia="Times New Roman" w:hAnsi="Times New Roman" w:cs="Times New Roman"/>
      <w:b w:val="0"/>
      <w:bCs w:val="0"/>
      <w:i w:val="0"/>
      <w:iCs w:val="0"/>
      <w:smallCaps/>
      <w:strike w:val="0"/>
      <w:color w:val="000000"/>
      <w:spacing w:val="14"/>
      <w:w w:val="100"/>
      <w:position w:val="0"/>
      <w:sz w:val="12"/>
      <w:szCs w:val="12"/>
      <w:u w:val="none"/>
      <w:shd w:val="clear" w:color="auto" w:fill="FFFFFF"/>
    </w:rPr>
  </w:style>
  <w:style w:type="character" w:customStyle="1" w:styleId="style3">
    <w:name w:val="style_3"/>
    <w:basedOn w:val="Standardnpsmoodstavce"/>
    <w:rsid w:val="00E93A06"/>
  </w:style>
  <w:style w:type="character" w:customStyle="1" w:styleId="style4">
    <w:name w:val="style_4"/>
    <w:basedOn w:val="Standardnpsmoodstavce"/>
    <w:rsid w:val="00E93A06"/>
  </w:style>
  <w:style w:type="character" w:customStyle="1" w:styleId="FontStyle136">
    <w:name w:val="Font Style136"/>
    <w:rsid w:val="00F85A0A"/>
    <w:rPr>
      <w:rFonts w:ascii="Times New Roman" w:hAnsi="Times New Roman" w:cs="Times New Roman"/>
      <w:sz w:val="22"/>
      <w:szCs w:val="22"/>
    </w:rPr>
  </w:style>
  <w:style w:type="character" w:customStyle="1" w:styleId="nowrap">
    <w:name w:val="nowrap"/>
    <w:basedOn w:val="Standardnpsmoodstavce"/>
    <w:rsid w:val="00E142A3"/>
  </w:style>
  <w:style w:type="paragraph" w:customStyle="1" w:styleId="Zkladntext151">
    <w:name w:val="Základní text15"/>
    <w:basedOn w:val="Normln"/>
    <w:uiPriority w:val="99"/>
    <w:rsid w:val="00774898"/>
    <w:pPr>
      <w:widowControl w:val="0"/>
      <w:shd w:val="clear" w:color="auto" w:fill="FFFFFF"/>
      <w:spacing w:before="600" w:after="240" w:line="0" w:lineRule="atLeast"/>
      <w:ind w:hanging="740"/>
      <w:jc w:val="center"/>
    </w:pPr>
    <w:rPr>
      <w:rFonts w:ascii="Batang" w:eastAsia="Batang" w:hAnsi="Batang" w:cs="Batang"/>
      <w:color w:val="000000"/>
      <w:spacing w:val="1"/>
      <w:sz w:val="15"/>
      <w:szCs w:val="15"/>
    </w:rPr>
  </w:style>
  <w:style w:type="character" w:customStyle="1" w:styleId="Zkladntext3Nekurzvadkovn0pt">
    <w:name w:val="Základní text (3) + Ne kurzíva;Řádkování 0 pt"/>
    <w:rsid w:val="004733D1"/>
    <w:rPr>
      <w:rFonts w:ascii="Batang" w:eastAsia="Batang" w:hAnsi="Batang" w:cs="Batang"/>
      <w:b w:val="0"/>
      <w:bCs w:val="0"/>
      <w:i/>
      <w:iCs/>
      <w:smallCaps w:val="0"/>
      <w:strike w:val="0"/>
      <w:color w:val="000000"/>
      <w:spacing w:val="1"/>
      <w:w w:val="100"/>
      <w:position w:val="0"/>
      <w:sz w:val="15"/>
      <w:szCs w:val="15"/>
      <w:u w:val="none"/>
      <w:lang w:val="fr-FR"/>
    </w:rPr>
  </w:style>
  <w:style w:type="character" w:customStyle="1" w:styleId="Zkladntext36ptNekurzvadkovn0pt">
    <w:name w:val="Základní text (3) + 6 pt;Ne kurzíva;Řádkování 0 pt"/>
    <w:rsid w:val="004733D1"/>
    <w:rPr>
      <w:rFonts w:ascii="Batang" w:eastAsia="Batang" w:hAnsi="Batang" w:cs="Batang"/>
      <w:b w:val="0"/>
      <w:bCs w:val="0"/>
      <w:i/>
      <w:iCs/>
      <w:smallCaps w:val="0"/>
      <w:strike w:val="0"/>
      <w:color w:val="000000"/>
      <w:spacing w:val="2"/>
      <w:w w:val="100"/>
      <w:position w:val="0"/>
      <w:sz w:val="12"/>
      <w:szCs w:val="12"/>
      <w:u w:val="none"/>
      <w:lang w:val="fr-FR"/>
    </w:rPr>
  </w:style>
  <w:style w:type="character" w:customStyle="1" w:styleId="addworkinfo">
    <w:name w:val="addworkinfo"/>
    <w:basedOn w:val="Standardnpsmoodstavce"/>
    <w:rsid w:val="00104BF2"/>
  </w:style>
  <w:style w:type="character" w:customStyle="1" w:styleId="ZkladntextGeorgia16ptKurzvadkovn0pt">
    <w:name w:val="Základní text + Georgia;16 pt;Kurzíva;Řádkování 0 pt"/>
    <w:rsid w:val="002C1DFF"/>
    <w:rPr>
      <w:rFonts w:ascii="Georgia" w:eastAsia="Georgia" w:hAnsi="Georgia" w:cs="Georgia"/>
      <w:b w:val="0"/>
      <w:bCs w:val="0"/>
      <w:i/>
      <w:iCs/>
      <w:smallCaps w:val="0"/>
      <w:strike w:val="0"/>
      <w:color w:val="000000"/>
      <w:spacing w:val="19"/>
      <w:w w:val="100"/>
      <w:position w:val="0"/>
      <w:sz w:val="32"/>
      <w:szCs w:val="32"/>
      <w:u w:val="none"/>
      <w:shd w:val="clear" w:color="auto" w:fill="FFFFFF"/>
    </w:rPr>
  </w:style>
  <w:style w:type="character" w:customStyle="1" w:styleId="Zkladntext85ptdkovn0pt">
    <w:name w:val="Základní text + 8;5 pt;Řádkování 0 pt"/>
    <w:rsid w:val="002F6608"/>
    <w:rPr>
      <w:rFonts w:ascii="FrankRuehl" w:eastAsia="FrankRuehl" w:hAnsi="FrankRuehl" w:cs="FrankRuehl"/>
      <w:b w:val="0"/>
      <w:bCs w:val="0"/>
      <w:i w:val="0"/>
      <w:iCs w:val="0"/>
      <w:smallCaps w:val="0"/>
      <w:strike w:val="0"/>
      <w:color w:val="000000"/>
      <w:spacing w:val="-7"/>
      <w:w w:val="100"/>
      <w:position w:val="0"/>
      <w:sz w:val="17"/>
      <w:szCs w:val="17"/>
      <w:u w:val="none"/>
      <w:shd w:val="clear" w:color="auto" w:fill="FFFFFF"/>
      <w:lang w:val="fr-FR"/>
    </w:rPr>
  </w:style>
  <w:style w:type="character" w:customStyle="1" w:styleId="Zkladntext12ptKurzvadkovn0pt">
    <w:name w:val="Základní text + 12 pt;Kurzíva;Řádkování 0 pt"/>
    <w:rsid w:val="009E13D8"/>
    <w:rPr>
      <w:rFonts w:ascii="AngsanaUPC" w:eastAsia="AngsanaUPC" w:hAnsi="AngsanaUPC" w:cs="AngsanaUPC"/>
      <w:b w:val="0"/>
      <w:bCs w:val="0"/>
      <w:i/>
      <w:iCs/>
      <w:smallCaps w:val="0"/>
      <w:strike w:val="0"/>
      <w:color w:val="000000"/>
      <w:spacing w:val="-3"/>
      <w:w w:val="100"/>
      <w:position w:val="0"/>
      <w:sz w:val="24"/>
      <w:szCs w:val="24"/>
      <w:u w:val="none"/>
      <w:shd w:val="clear" w:color="auto" w:fill="FFFFFF"/>
    </w:rPr>
  </w:style>
  <w:style w:type="character" w:customStyle="1" w:styleId="citation">
    <w:name w:val="citation"/>
    <w:basedOn w:val="Standardnpsmoodstavce"/>
    <w:rsid w:val="004D460E"/>
  </w:style>
  <w:style w:type="character" w:customStyle="1" w:styleId="Zkladntext10dkovn2pt">
    <w:name w:val="Základní text (10) + Řádkování 2 pt"/>
    <w:rsid w:val="081349B9"/>
    <w:rPr>
      <w:rFonts w:ascii="Constantia" w:eastAsia="Constantia" w:hAnsi="Constantia" w:cs="Constantia"/>
      <w:b/>
      <w:bCs/>
      <w:i w:val="0"/>
      <w:iCs w:val="0"/>
      <w:smallCaps w:val="0"/>
      <w:strike w:val="0"/>
      <w:color w:val="000000"/>
      <w:spacing w:val="51"/>
      <w:w w:val="100"/>
      <w:position w:val="0"/>
      <w:sz w:val="18"/>
      <w:szCs w:val="18"/>
      <w:u w:val="none"/>
      <w:shd w:val="clear" w:color="auto" w:fill="FFFFFF"/>
    </w:rPr>
  </w:style>
  <w:style w:type="character" w:customStyle="1" w:styleId="Zkladntext10Garamond105ptdkovn0pt">
    <w:name w:val="Základní text (10) + Garamond;10;5 pt;Řádkování 0 pt"/>
    <w:rsid w:val="081349B9"/>
    <w:rPr>
      <w:rFonts w:ascii="Garamond" w:eastAsia="Garamond" w:hAnsi="Garamond" w:cs="Garamond"/>
      <w:b/>
      <w:bCs/>
      <w:i w:val="0"/>
      <w:iCs w:val="0"/>
      <w:smallCaps w:val="0"/>
      <w:strike w:val="0"/>
      <w:color w:val="000000"/>
      <w:spacing w:val="2"/>
      <w:w w:val="100"/>
      <w:position w:val="0"/>
      <w:sz w:val="21"/>
      <w:szCs w:val="21"/>
      <w:u w:val="none"/>
      <w:shd w:val="clear" w:color="auto" w:fill="FFFFFF"/>
    </w:rPr>
  </w:style>
  <w:style w:type="character" w:customStyle="1" w:styleId="notranslate">
    <w:name w:val="notranslate"/>
    <w:basedOn w:val="Standardnpsmoodstavce"/>
    <w:rsid w:val="083B70A8"/>
  </w:style>
  <w:style w:type="character" w:customStyle="1" w:styleId="booksubtitle">
    <w:name w:val="book_subtitle"/>
    <w:basedOn w:val="Standardnpsmoodstavce"/>
    <w:rsid w:val="08C31609"/>
  </w:style>
  <w:style w:type="character" w:customStyle="1" w:styleId="green">
    <w:name w:val="green"/>
    <w:basedOn w:val="Standardnpsmoodstavce"/>
    <w:rsid w:val="08CB5577"/>
  </w:style>
  <w:style w:type="character" w:customStyle="1" w:styleId="Zkladntext45">
    <w:name w:val="Základní text (45)"/>
    <w:rsid w:val="086440AC"/>
    <w:rPr>
      <w:rFonts w:ascii="Batang" w:eastAsia="Batang" w:hAnsi="Batang" w:cs="Batang" w:hint="eastAsia"/>
      <w:b w:val="0"/>
      <w:bCs w:val="0"/>
      <w:i w:val="0"/>
      <w:iCs w:val="0"/>
      <w:smallCaps w:val="0"/>
      <w:spacing w:val="0"/>
      <w:sz w:val="20"/>
      <w:szCs w:val="20"/>
      <w:u w:val="single"/>
    </w:rPr>
  </w:style>
  <w:style w:type="character" w:customStyle="1" w:styleId="ZkladntextChar1">
    <w:name w:val="Základní text Char1"/>
    <w:uiPriority w:val="99"/>
    <w:rsid w:val="08430CE9"/>
    <w:rPr>
      <w:rFonts w:ascii="Century Schoolbook" w:hAnsi="Century Schoolbook" w:cs="Century Schoolbook"/>
      <w:sz w:val="20"/>
      <w:szCs w:val="20"/>
      <w:u w:val="none"/>
    </w:rPr>
  </w:style>
  <w:style w:type="character" w:customStyle="1" w:styleId="tpp">
    <w:name w:val="tpp"/>
    <w:basedOn w:val="Standardnpsmoodstavce"/>
    <w:rsid w:val="08595F85"/>
  </w:style>
  <w:style w:type="character" w:customStyle="1" w:styleId="red">
    <w:name w:val="red"/>
    <w:basedOn w:val="Standardnpsmoodstavce"/>
    <w:rsid w:val="08DB551D"/>
  </w:style>
  <w:style w:type="character" w:customStyle="1" w:styleId="style30">
    <w:name w:val="style3"/>
    <w:basedOn w:val="Standardnpsmoodstavce"/>
    <w:rsid w:val="08723323"/>
  </w:style>
  <w:style w:type="paragraph" w:customStyle="1" w:styleId="Kommentarthema">
    <w:name w:val="Kommentarthema"/>
    <w:basedOn w:val="Textkomente"/>
    <w:next w:val="Textkomente"/>
    <w:uiPriority w:val="99"/>
    <w:semiHidden/>
    <w:rsid w:val="00E86AF2"/>
    <w:pPr>
      <w:tabs>
        <w:tab w:val="left" w:pos="284"/>
      </w:tabs>
      <w:spacing w:line="312" w:lineRule="auto"/>
    </w:pPr>
    <w:rPr>
      <w:rFonts w:ascii="Times New Roman" w:eastAsia="Times New Roman" w:hAnsi="Times New Roman"/>
      <w:b/>
      <w:bCs/>
      <w:lang w:val="de-DE"/>
    </w:rPr>
  </w:style>
  <w:style w:type="character" w:customStyle="1" w:styleId="txt12">
    <w:name w:val="txt12"/>
    <w:basedOn w:val="Standardnpsmoodstavce"/>
    <w:rsid w:val="00BE0532"/>
  </w:style>
  <w:style w:type="paragraph" w:styleId="Odstavecseseznamem">
    <w:name w:val="List Paragraph"/>
    <w:basedOn w:val="Normln"/>
    <w:uiPriority w:val="34"/>
    <w:rsid w:val="006D3425"/>
    <w:pPr>
      <w:ind w:left="720"/>
      <w:contextualSpacing/>
    </w:pPr>
  </w:style>
  <w:style w:type="character" w:customStyle="1" w:styleId="Zkladntext7ptdkovn0pt">
    <w:name w:val="Základní text + 7 pt;Řádkování 0 pt"/>
    <w:rsid w:val="0003243C"/>
    <w:rPr>
      <w:rFonts w:ascii="Times New Roman" w:eastAsia="Times New Roman" w:hAnsi="Times New Roman" w:cs="Times New Roman"/>
      <w:b w:val="0"/>
      <w:bCs w:val="0"/>
      <w:i w:val="0"/>
      <w:iCs w:val="0"/>
      <w:smallCaps w:val="0"/>
      <w:strike w:val="0"/>
      <w:color w:val="000000"/>
      <w:spacing w:val="0"/>
      <w:w w:val="100"/>
      <w:position w:val="0"/>
      <w:sz w:val="14"/>
      <w:szCs w:val="14"/>
      <w:u w:val="none"/>
      <w:shd w:val="clear" w:color="auto" w:fill="FFFFFF"/>
      <w:lang w:val="en-US"/>
    </w:rPr>
  </w:style>
  <w:style w:type="character" w:customStyle="1" w:styleId="Zkladntext7ptMalpsmena">
    <w:name w:val="Základní text + 7 pt;Malá písmena"/>
    <w:rsid w:val="0003243C"/>
    <w:rPr>
      <w:rFonts w:ascii="Times New Roman" w:eastAsia="Times New Roman" w:hAnsi="Times New Roman" w:cs="Times New Roman"/>
      <w:b w:val="0"/>
      <w:bCs w:val="0"/>
      <w:i w:val="0"/>
      <w:iCs w:val="0"/>
      <w:smallCaps/>
      <w:strike w:val="0"/>
      <w:color w:val="000000"/>
      <w:spacing w:val="10"/>
      <w:w w:val="100"/>
      <w:position w:val="0"/>
      <w:sz w:val="14"/>
      <w:szCs w:val="14"/>
      <w:u w:val="none"/>
      <w:shd w:val="clear" w:color="auto" w:fill="FFFFFF"/>
      <w:lang w:val="en-US"/>
    </w:rPr>
  </w:style>
  <w:style w:type="character" w:customStyle="1" w:styleId="Zkladntext7pt">
    <w:name w:val="Základní text + 7 pt"/>
    <w:rsid w:val="00C21224"/>
    <w:rPr>
      <w:rFonts w:ascii="Times New Roman" w:eastAsia="Times New Roman" w:hAnsi="Times New Roman" w:cs="Times New Roman"/>
      <w:b w:val="0"/>
      <w:bCs w:val="0"/>
      <w:i w:val="0"/>
      <w:iCs w:val="0"/>
      <w:smallCaps w:val="0"/>
      <w:strike w:val="0"/>
      <w:color w:val="000000"/>
      <w:spacing w:val="10"/>
      <w:w w:val="100"/>
      <w:position w:val="0"/>
      <w:sz w:val="14"/>
      <w:szCs w:val="14"/>
      <w:u w:val="none"/>
      <w:shd w:val="clear" w:color="auto" w:fill="FFFFFF"/>
      <w:lang w:val="fr-FR"/>
    </w:rPr>
  </w:style>
  <w:style w:type="character" w:customStyle="1" w:styleId="etyl">
    <w:name w:val="etyl"/>
    <w:basedOn w:val="Standardnpsmoodstavce"/>
    <w:rsid w:val="000B7C92"/>
  </w:style>
  <w:style w:type="character" w:customStyle="1" w:styleId="mention-gloss-double-quote">
    <w:name w:val="mention-gloss-double-quote"/>
    <w:basedOn w:val="Standardnpsmoodstavce"/>
    <w:rsid w:val="000B7C92"/>
  </w:style>
  <w:style w:type="character" w:customStyle="1" w:styleId="mention-gloss">
    <w:name w:val="mention-gloss"/>
    <w:basedOn w:val="Standardnpsmoodstavce"/>
    <w:rsid w:val="000B7C92"/>
  </w:style>
  <w:style w:type="character" w:customStyle="1" w:styleId="tr">
    <w:name w:val="tr"/>
    <w:basedOn w:val="Standardnpsmoodstavce"/>
    <w:rsid w:val="000B7C92"/>
  </w:style>
  <w:style w:type="character" w:customStyle="1" w:styleId="Zkladntext57135ptKurzvadkovn0pt">
    <w:name w:val="Základní text (57) + 13;5 pt;Kurzíva;Řádkování 0 pt"/>
    <w:rsid w:val="00342CE2"/>
    <w:rPr>
      <w:rFonts w:ascii="Constantia" w:eastAsia="Constantia" w:hAnsi="Constantia" w:cs="Constantia"/>
      <w:b w:val="0"/>
      <w:bCs w:val="0"/>
      <w:i/>
      <w:iCs/>
      <w:smallCaps w:val="0"/>
      <w:strike w:val="0"/>
      <w:color w:val="000000"/>
      <w:spacing w:val="-9"/>
      <w:w w:val="100"/>
      <w:position w:val="0"/>
      <w:sz w:val="27"/>
      <w:szCs w:val="27"/>
      <w:u w:val="none"/>
      <w:shd w:val="clear" w:color="auto" w:fill="FFFFFF"/>
      <w:lang w:val="en-US"/>
    </w:rPr>
  </w:style>
  <w:style w:type="character" w:customStyle="1" w:styleId="Nadpis1NetunKurzvadkovn0pt">
    <w:name w:val="Nadpis #1 + Ne tučné;Kurzíva;Řádkování 0 pt"/>
    <w:rsid w:val="00C00780"/>
    <w:rPr>
      <w:rFonts w:ascii="Times New Roman" w:eastAsia="Times New Roman" w:hAnsi="Times New Roman" w:cs="Times New Roman"/>
      <w:b/>
      <w:bCs/>
      <w:i/>
      <w:iCs/>
      <w:smallCaps w:val="0"/>
      <w:strike w:val="0"/>
      <w:color w:val="000000"/>
      <w:spacing w:val="0"/>
      <w:w w:val="100"/>
      <w:position w:val="0"/>
      <w:sz w:val="17"/>
      <w:szCs w:val="17"/>
      <w:u w:val="none"/>
      <w:shd w:val="clear" w:color="auto" w:fill="FFFFFF"/>
      <w:lang w:val="la"/>
    </w:rPr>
  </w:style>
  <w:style w:type="character" w:customStyle="1" w:styleId="Zkladntext121">
    <w:name w:val="Základní text12"/>
    <w:rsid w:val="00F626A9"/>
    <w:rPr>
      <w:rFonts w:ascii="Batang" w:eastAsia="Batang" w:hAnsi="Batang" w:cs="Batang"/>
      <w:b w:val="0"/>
      <w:bCs w:val="0"/>
      <w:i w:val="0"/>
      <w:iCs w:val="0"/>
      <w:smallCaps w:val="0"/>
      <w:strike w:val="0"/>
      <w:color w:val="000000"/>
      <w:spacing w:val="1"/>
      <w:w w:val="100"/>
      <w:position w:val="0"/>
      <w:sz w:val="8"/>
      <w:szCs w:val="8"/>
      <w:u w:val="none"/>
      <w:shd w:val="clear" w:color="auto" w:fill="FFFFFF"/>
      <w:lang w:val="la"/>
    </w:rPr>
  </w:style>
  <w:style w:type="character" w:customStyle="1" w:styleId="Zkladntext13">
    <w:name w:val="Základní text13"/>
    <w:rsid w:val="00F626A9"/>
    <w:rPr>
      <w:rFonts w:ascii="Batang" w:eastAsia="Batang" w:hAnsi="Batang" w:cs="Batang"/>
      <w:b w:val="0"/>
      <w:bCs w:val="0"/>
      <w:i w:val="0"/>
      <w:iCs w:val="0"/>
      <w:smallCaps w:val="0"/>
      <w:strike w:val="0"/>
      <w:color w:val="000000"/>
      <w:spacing w:val="1"/>
      <w:w w:val="100"/>
      <w:position w:val="0"/>
      <w:sz w:val="8"/>
      <w:szCs w:val="8"/>
      <w:u w:val="none"/>
      <w:shd w:val="clear" w:color="auto" w:fill="FFFFFF"/>
      <w:lang w:val="la"/>
    </w:rPr>
  </w:style>
  <w:style w:type="paragraph" w:customStyle="1" w:styleId="Zkladntext212">
    <w:name w:val="Základní text21"/>
    <w:basedOn w:val="Normln"/>
    <w:uiPriority w:val="99"/>
    <w:rsid w:val="00F626A9"/>
    <w:pPr>
      <w:widowControl w:val="0"/>
      <w:shd w:val="clear" w:color="auto" w:fill="FFFFFF"/>
      <w:spacing w:before="180" w:after="180" w:line="250" w:lineRule="exact"/>
      <w:ind w:hanging="1400"/>
      <w:jc w:val="center"/>
    </w:pPr>
    <w:rPr>
      <w:rFonts w:ascii="Batang" w:eastAsia="Batang" w:hAnsi="Batang" w:cs="Batang"/>
      <w:noProof w:val="0"/>
      <w:color w:val="000000"/>
      <w:spacing w:val="1"/>
      <w:sz w:val="8"/>
      <w:szCs w:val="8"/>
      <w:lang w:val="la"/>
    </w:rPr>
  </w:style>
  <w:style w:type="character" w:customStyle="1" w:styleId="textblock">
    <w:name w:val="textblock"/>
    <w:basedOn w:val="Standardnpsmoodstavce"/>
    <w:rsid w:val="005A405F"/>
  </w:style>
  <w:style w:type="character" w:customStyle="1" w:styleId="cuatro">
    <w:name w:val="cuatro"/>
    <w:basedOn w:val="Standardnpsmoodstavce"/>
    <w:rsid w:val="007F2DD4"/>
  </w:style>
  <w:style w:type="character" w:customStyle="1" w:styleId="Zkladntext29ptKurzvadkovn0pt">
    <w:name w:val="Základní text + 29 pt;Kurzíva;Řádkování 0 pt"/>
    <w:rsid w:val="00316A30"/>
    <w:rPr>
      <w:rFonts w:ascii="Times New Roman" w:eastAsia="Times New Roman" w:hAnsi="Times New Roman" w:cs="Times New Roman"/>
      <w:b w:val="0"/>
      <w:bCs w:val="0"/>
      <w:i/>
      <w:iCs/>
      <w:smallCaps w:val="0"/>
      <w:strike w:val="0"/>
      <w:color w:val="000000"/>
      <w:spacing w:val="-11"/>
      <w:w w:val="100"/>
      <w:position w:val="0"/>
      <w:sz w:val="58"/>
      <w:szCs w:val="58"/>
      <w:u w:val="none"/>
      <w:shd w:val="clear" w:color="auto" w:fill="FFFFFF"/>
      <w:lang w:val="fr-FR"/>
    </w:rPr>
  </w:style>
  <w:style w:type="character" w:customStyle="1" w:styleId="Zkladntext28ptKurzvadkovn-1pt">
    <w:name w:val="Základní text + 28 pt;Kurzíva;Řádkování -1 pt"/>
    <w:rsid w:val="00316A30"/>
    <w:rPr>
      <w:rFonts w:ascii="Georgia" w:eastAsia="Georgia" w:hAnsi="Georgia" w:cs="Georgia"/>
      <w:b w:val="0"/>
      <w:bCs w:val="0"/>
      <w:i/>
      <w:iCs/>
      <w:smallCaps w:val="0"/>
      <w:strike w:val="0"/>
      <w:color w:val="000000"/>
      <w:spacing w:val="-29"/>
      <w:w w:val="100"/>
      <w:position w:val="0"/>
      <w:sz w:val="56"/>
      <w:szCs w:val="56"/>
      <w:u w:val="none"/>
      <w:shd w:val="clear" w:color="auto" w:fill="FFFFFF"/>
      <w:lang w:val="fr-FR"/>
    </w:rPr>
  </w:style>
  <w:style w:type="character" w:customStyle="1" w:styleId="csc">
    <w:name w:val="csc"/>
    <w:basedOn w:val="Standardnpsmoodstavce"/>
    <w:rsid w:val="008F06C2"/>
  </w:style>
  <w:style w:type="character" w:customStyle="1" w:styleId="ital">
    <w:name w:val="ital"/>
    <w:basedOn w:val="Standardnpsmoodstavce"/>
    <w:rsid w:val="008F06C2"/>
  </w:style>
  <w:style w:type="character" w:customStyle="1" w:styleId="srexcerpt">
    <w:name w:val="sr_excerpt"/>
    <w:basedOn w:val="Standardnpsmoodstavce"/>
    <w:rsid w:val="004E1220"/>
  </w:style>
  <w:style w:type="character" w:customStyle="1" w:styleId="unicode">
    <w:name w:val="unicode"/>
    <w:basedOn w:val="Standardnpsmoodstavce"/>
    <w:rsid w:val="00A9541E"/>
  </w:style>
  <w:style w:type="character" w:customStyle="1" w:styleId="intextlink">
    <w:name w:val="intextlink"/>
    <w:basedOn w:val="Standardnpsmoodstavce"/>
    <w:rsid w:val="002B2294"/>
  </w:style>
  <w:style w:type="character" w:customStyle="1" w:styleId="greek3">
    <w:name w:val="greek3"/>
    <w:basedOn w:val="Standardnpsmoodstavce"/>
    <w:rsid w:val="00906C00"/>
  </w:style>
  <w:style w:type="character" w:customStyle="1" w:styleId="Znakypropoznmkupodarou">
    <w:name w:val="Znaky pro poznámku pod čarou"/>
    <w:unhideWhenUsed/>
    <w:rsid w:val="008D558E"/>
    <w:rPr>
      <w:vertAlign w:val="superscript"/>
    </w:rPr>
  </w:style>
  <w:style w:type="character" w:customStyle="1" w:styleId="romain">
    <w:name w:val="romain"/>
    <w:basedOn w:val="Standardnpsmoodstavce"/>
    <w:rsid w:val="00A50BF1"/>
  </w:style>
  <w:style w:type="character" w:customStyle="1" w:styleId="ZpatChar">
    <w:name w:val="Zápatí Char"/>
    <w:link w:val="Zpat"/>
    <w:uiPriority w:val="99"/>
    <w:rsid w:val="00EA5A9C"/>
    <w:rPr>
      <w:rFonts w:ascii="Calibri" w:eastAsia="Times" w:hAnsi="Calibri"/>
      <w:noProof/>
      <w:sz w:val="24"/>
    </w:rPr>
  </w:style>
  <w:style w:type="paragraph" w:styleId="Nadpisobsahu">
    <w:name w:val="TOC Heading"/>
    <w:basedOn w:val="Nadpis1"/>
    <w:next w:val="Normln"/>
    <w:uiPriority w:val="39"/>
    <w:semiHidden/>
    <w:unhideWhenUsed/>
    <w:qFormat/>
    <w:rsid w:val="00C83849"/>
    <w:pPr>
      <w:spacing w:before="480" w:after="0" w:line="276" w:lineRule="auto"/>
      <w:outlineLvl w:val="9"/>
    </w:pPr>
    <w:rPr>
      <w:noProof w:val="0"/>
      <w:color w:val="365F91"/>
      <w:sz w:val="28"/>
    </w:rPr>
  </w:style>
  <w:style w:type="paragraph" w:customStyle="1" w:styleId="gb-buy-options-link">
    <w:name w:val="gb-buy-options-link"/>
    <w:basedOn w:val="Normln"/>
    <w:uiPriority w:val="99"/>
    <w:rsid w:val="0060502D"/>
    <w:pPr>
      <w:spacing w:before="100" w:beforeAutospacing="1" w:after="100" w:afterAutospacing="1" w:line="240" w:lineRule="auto"/>
      <w:jc w:val="left"/>
    </w:pPr>
    <w:rPr>
      <w:rFonts w:ascii="Times New Roman" w:eastAsia="Times New Roman" w:hAnsi="Times New Roman"/>
      <w:noProof w:val="0"/>
      <w:szCs w:val="24"/>
    </w:rPr>
  </w:style>
  <w:style w:type="paragraph" w:customStyle="1" w:styleId="ebook-promo-description">
    <w:name w:val="ebook-promo-description"/>
    <w:basedOn w:val="Normln"/>
    <w:uiPriority w:val="99"/>
    <w:rsid w:val="00FD51E0"/>
    <w:pPr>
      <w:spacing w:before="100" w:beforeAutospacing="1" w:after="100" w:afterAutospacing="1" w:line="240" w:lineRule="auto"/>
      <w:jc w:val="left"/>
    </w:pPr>
    <w:rPr>
      <w:rFonts w:ascii="Times New Roman" w:eastAsia="Times New Roman" w:hAnsi="Times New Roman"/>
      <w:noProof w:val="0"/>
      <w:szCs w:val="24"/>
    </w:rPr>
  </w:style>
  <w:style w:type="paragraph" w:customStyle="1" w:styleId="ebook-promo-clickme">
    <w:name w:val="ebook-promo-clickme"/>
    <w:basedOn w:val="Normln"/>
    <w:uiPriority w:val="99"/>
    <w:rsid w:val="00FD51E0"/>
    <w:pPr>
      <w:spacing w:before="100" w:beforeAutospacing="1" w:after="100" w:afterAutospacing="1" w:line="240" w:lineRule="auto"/>
      <w:jc w:val="left"/>
    </w:pPr>
    <w:rPr>
      <w:rFonts w:ascii="Times New Roman" w:eastAsia="Times New Roman" w:hAnsi="Times New Roman"/>
      <w:noProof w:val="0"/>
      <w:szCs w:val="24"/>
    </w:rPr>
  </w:style>
  <w:style w:type="character" w:customStyle="1" w:styleId="productdisplayserialtitle">
    <w:name w:val="productdisplay_serialtitle"/>
    <w:basedOn w:val="Standardnpsmoodstavce"/>
    <w:rsid w:val="00726DE1"/>
  </w:style>
  <w:style w:type="character" w:customStyle="1" w:styleId="Nadpis30">
    <w:name w:val="Nadpis #3_"/>
    <w:link w:val="Nadpis31"/>
    <w:rsid w:val="00555E16"/>
    <w:rPr>
      <w:rFonts w:ascii="Georgia" w:eastAsia="Georgia" w:hAnsi="Georgia" w:cs="Georgia"/>
      <w:spacing w:val="-1"/>
      <w:sz w:val="35"/>
      <w:szCs w:val="35"/>
      <w:shd w:val="clear" w:color="auto" w:fill="FFFFFF"/>
      <w:lang w:val="en-US"/>
    </w:rPr>
  </w:style>
  <w:style w:type="paragraph" w:customStyle="1" w:styleId="Nadpis31">
    <w:name w:val="Nadpis #3"/>
    <w:basedOn w:val="Normln"/>
    <w:link w:val="Nadpis30"/>
    <w:rsid w:val="00555E16"/>
    <w:pPr>
      <w:widowControl w:val="0"/>
      <w:shd w:val="clear" w:color="auto" w:fill="FFFFFF"/>
      <w:spacing w:after="360" w:line="0" w:lineRule="atLeast"/>
      <w:jc w:val="center"/>
      <w:outlineLvl w:val="2"/>
    </w:pPr>
    <w:rPr>
      <w:rFonts w:ascii="Georgia" w:eastAsia="Georgia" w:hAnsi="Georgia"/>
      <w:noProof w:val="0"/>
      <w:spacing w:val="-1"/>
      <w:sz w:val="35"/>
      <w:szCs w:val="35"/>
      <w:lang w:val="en-US" w:eastAsia="x-none"/>
    </w:rPr>
  </w:style>
  <w:style w:type="character" w:customStyle="1" w:styleId="ZkladntextFranklinGothicHeavy75ptdkovn0pt">
    <w:name w:val="Základní text + Franklin Gothic Heavy;7;5 pt;Řádkování 0 pt"/>
    <w:rsid w:val="00192DFE"/>
    <w:rPr>
      <w:rFonts w:ascii="Franklin Gothic Heavy" w:eastAsia="Franklin Gothic Heavy" w:hAnsi="Franklin Gothic Heavy" w:cs="Franklin Gothic Heavy"/>
      <w:b w:val="0"/>
      <w:bCs w:val="0"/>
      <w:i w:val="0"/>
      <w:iCs w:val="0"/>
      <w:smallCaps w:val="0"/>
      <w:strike w:val="0"/>
      <w:color w:val="000000"/>
      <w:spacing w:val="0"/>
      <w:w w:val="100"/>
      <w:position w:val="0"/>
      <w:sz w:val="15"/>
      <w:szCs w:val="15"/>
      <w:u w:val="none"/>
      <w:shd w:val="clear" w:color="auto" w:fill="FFFFFF"/>
    </w:rPr>
  </w:style>
  <w:style w:type="character" w:customStyle="1" w:styleId="lang-ar">
    <w:name w:val="lang-ar"/>
    <w:basedOn w:val="Standardnpsmoodstavce"/>
    <w:rsid w:val="00681CD4"/>
  </w:style>
  <w:style w:type="character" w:customStyle="1" w:styleId="tocnumber">
    <w:name w:val="tocnumber"/>
    <w:basedOn w:val="Standardnpsmoodstavce"/>
    <w:rsid w:val="00681CD4"/>
  </w:style>
  <w:style w:type="character" w:customStyle="1" w:styleId="toctext">
    <w:name w:val="toctext"/>
    <w:basedOn w:val="Standardnpsmoodstavce"/>
    <w:rsid w:val="00681CD4"/>
  </w:style>
  <w:style w:type="character" w:customStyle="1" w:styleId="lang-la">
    <w:name w:val="lang-la"/>
    <w:basedOn w:val="Standardnpsmoodstavce"/>
    <w:rsid w:val="00681CD4"/>
  </w:style>
  <w:style w:type="character" w:customStyle="1" w:styleId="contribdegrees">
    <w:name w:val="contribdegrees"/>
    <w:basedOn w:val="Standardnpsmoodstavce"/>
    <w:rsid w:val="000B5D96"/>
  </w:style>
  <w:style w:type="character" w:customStyle="1" w:styleId="search-item">
    <w:name w:val="search-item"/>
    <w:basedOn w:val="Standardnpsmoodstavce"/>
    <w:rsid w:val="00026C13"/>
  </w:style>
  <w:style w:type="character" w:customStyle="1" w:styleId="Zkladntext3575pt">
    <w:name w:val="Základní text (35) + 7;5 pt"/>
    <w:rsid w:val="083060BA"/>
    <w:rPr>
      <w:rFonts w:ascii="Constantia" w:eastAsia="Constantia" w:hAnsi="Constantia" w:cs="Constantia"/>
      <w:b/>
      <w:bCs/>
      <w:i w:val="0"/>
      <w:iCs w:val="0"/>
      <w:smallCaps w:val="0"/>
      <w:strike w:val="0"/>
      <w:color w:val="000000"/>
      <w:spacing w:val="-2"/>
      <w:w w:val="100"/>
      <w:position w:val="0"/>
      <w:sz w:val="15"/>
      <w:szCs w:val="15"/>
      <w:u w:val="none"/>
      <w:shd w:val="clear" w:color="auto" w:fill="FFFFFF"/>
      <w:lang w:val="la"/>
    </w:rPr>
  </w:style>
  <w:style w:type="character" w:customStyle="1" w:styleId="Zkladntext35dkovn0pt">
    <w:name w:val="Základní text (35) + Řádkování 0 pt"/>
    <w:rsid w:val="083060BA"/>
    <w:rPr>
      <w:rFonts w:ascii="Constantia" w:eastAsia="Constantia" w:hAnsi="Constantia" w:cs="Constantia"/>
      <w:b/>
      <w:bCs/>
      <w:i w:val="0"/>
      <w:iCs w:val="0"/>
      <w:smallCaps w:val="0"/>
      <w:strike w:val="0"/>
      <w:color w:val="000000"/>
      <w:spacing w:val="-3"/>
      <w:w w:val="100"/>
      <w:position w:val="0"/>
      <w:sz w:val="19"/>
      <w:szCs w:val="19"/>
      <w:u w:val="none"/>
      <w:shd w:val="clear" w:color="auto" w:fill="FFFFFF"/>
      <w:lang w:val="la"/>
    </w:rPr>
  </w:style>
  <w:style w:type="character" w:customStyle="1" w:styleId="Zkladntext55ptTundkovn0pt">
    <w:name w:val="Základní text + 5;5 pt;Tučné;Řádkování 0 pt"/>
    <w:rsid w:val="08671345"/>
    <w:rPr>
      <w:rFonts w:ascii="Georgia" w:eastAsia="Georgia" w:hAnsi="Georgia" w:cs="Georgia"/>
      <w:b/>
      <w:bCs/>
      <w:i w:val="0"/>
      <w:iCs w:val="0"/>
      <w:smallCaps w:val="0"/>
      <w:strike w:val="0"/>
      <w:color w:val="000000"/>
      <w:spacing w:val="6"/>
      <w:w w:val="100"/>
      <w:position w:val="0"/>
      <w:sz w:val="11"/>
      <w:szCs w:val="11"/>
      <w:u w:val="none"/>
      <w:shd w:val="clear" w:color="auto" w:fill="FFFFFF"/>
      <w:lang w:val="la"/>
    </w:rPr>
  </w:style>
  <w:style w:type="character" w:customStyle="1" w:styleId="Zkladntext55pt">
    <w:name w:val="Základní text + 5;5 pt"/>
    <w:rsid w:val="08671345"/>
    <w:rPr>
      <w:rFonts w:ascii="Georgia" w:eastAsia="Georgia" w:hAnsi="Georgia" w:cs="Georgia"/>
      <w:b w:val="0"/>
      <w:bCs w:val="0"/>
      <w:i w:val="0"/>
      <w:iCs w:val="0"/>
      <w:smallCaps w:val="0"/>
      <w:strike w:val="0"/>
      <w:color w:val="000000"/>
      <w:spacing w:val="0"/>
      <w:w w:val="100"/>
      <w:position w:val="0"/>
      <w:sz w:val="11"/>
      <w:szCs w:val="11"/>
      <w:u w:val="none"/>
      <w:shd w:val="clear" w:color="auto" w:fill="FFFFFF"/>
    </w:rPr>
  </w:style>
  <w:style w:type="character" w:customStyle="1" w:styleId="Zkladntext675ptdkovn0pt">
    <w:name w:val="Základní text (6) + 7;5 pt;Řádkování 0 pt"/>
    <w:rsid w:val="08821276"/>
    <w:rPr>
      <w:rFonts w:ascii="Constantia" w:eastAsia="Constantia" w:hAnsi="Constantia" w:cs="Constantia"/>
      <w:b/>
      <w:bCs/>
      <w:i/>
      <w:iCs/>
      <w:smallCaps w:val="0"/>
      <w:strike w:val="0"/>
      <w:color w:val="000000"/>
      <w:spacing w:val="-2"/>
      <w:w w:val="100"/>
      <w:position w:val="0"/>
      <w:sz w:val="15"/>
      <w:szCs w:val="15"/>
      <w:u w:val="none"/>
      <w:shd w:val="clear" w:color="auto" w:fill="FFFFFF"/>
      <w:lang w:val="la"/>
    </w:rPr>
  </w:style>
  <w:style w:type="character" w:customStyle="1" w:styleId="collection">
    <w:name w:val="collection"/>
    <w:basedOn w:val="Standardnpsmoodstavce"/>
    <w:rsid w:val="080E6F8E"/>
  </w:style>
  <w:style w:type="character" w:customStyle="1" w:styleId="documentyear">
    <w:name w:val="documentyear"/>
    <w:basedOn w:val="Standardnpsmoodstavce"/>
    <w:rsid w:val="080E6F8E"/>
  </w:style>
  <w:style w:type="character" w:customStyle="1" w:styleId="documentvolume">
    <w:name w:val="documentvolume"/>
    <w:basedOn w:val="Standardnpsmoodstavce"/>
    <w:rsid w:val="080E6F8E"/>
  </w:style>
  <w:style w:type="character" w:customStyle="1" w:styleId="documentissuename">
    <w:name w:val="documentissuename"/>
    <w:basedOn w:val="Standardnpsmoodstavce"/>
    <w:rsid w:val="080E6F8E"/>
  </w:style>
  <w:style w:type="character" w:customStyle="1" w:styleId="documentpagerange">
    <w:name w:val="documentpagerange"/>
    <w:basedOn w:val="Standardnpsmoodstavce"/>
    <w:rsid w:val="080E6F8E"/>
  </w:style>
  <w:style w:type="character" w:customStyle="1" w:styleId="b2">
    <w:name w:val="b2"/>
    <w:basedOn w:val="Standardnpsmoodstavce"/>
    <w:rsid w:val="08264DE9"/>
  </w:style>
  <w:style w:type="character" w:customStyle="1" w:styleId="srsiglum">
    <w:name w:val="sr_siglum"/>
    <w:basedOn w:val="Standardnpsmoodstavce"/>
    <w:rsid w:val="089856E5"/>
  </w:style>
  <w:style w:type="character" w:customStyle="1" w:styleId="field-item-single">
    <w:name w:val="field-item-single"/>
    <w:basedOn w:val="Standardnpsmoodstavce"/>
    <w:rsid w:val="08A765BC"/>
  </w:style>
  <w:style w:type="character" w:customStyle="1" w:styleId="Nadpis1Char">
    <w:name w:val="Nadpis 1 Char"/>
    <w:link w:val="Nadpis1"/>
    <w:uiPriority w:val="9"/>
    <w:rsid w:val="08D96339"/>
    <w:rPr>
      <w:rFonts w:ascii="Cambria" w:hAnsi="Cambria"/>
      <w:b/>
      <w:bCs/>
      <w:noProof/>
      <w:sz w:val="26"/>
      <w:szCs w:val="28"/>
      <w:lang w:val="x-none" w:eastAsia="en-US"/>
    </w:rPr>
  </w:style>
  <w:style w:type="character" w:customStyle="1" w:styleId="Nadpis2Char">
    <w:name w:val="Nadpis 2 Char"/>
    <w:link w:val="Nadpis2"/>
    <w:uiPriority w:val="9"/>
    <w:rsid w:val="08D96339"/>
    <w:rPr>
      <w:rFonts w:ascii="Cambria" w:hAnsi="Cambria"/>
      <w:b/>
      <w:bCs/>
      <w:noProof/>
      <w:sz w:val="24"/>
      <w:szCs w:val="26"/>
      <w:lang w:val="x-none" w:eastAsia="en-US"/>
    </w:rPr>
  </w:style>
  <w:style w:type="character" w:customStyle="1" w:styleId="Nadpis3Char">
    <w:name w:val="Nadpis 3 Char"/>
    <w:link w:val="Nadpis3"/>
    <w:uiPriority w:val="9"/>
    <w:rsid w:val="08D843DB"/>
    <w:rPr>
      <w:rFonts w:ascii="Calibri" w:eastAsia="Times" w:hAnsi="Calibri"/>
      <w:b/>
      <w:bCs/>
      <w:noProof/>
      <w:sz w:val="24"/>
      <w:szCs w:val="28"/>
      <w:lang w:val="x-none" w:eastAsia="en-US"/>
    </w:rPr>
  </w:style>
  <w:style w:type="character" w:customStyle="1" w:styleId="Nadpis6Char">
    <w:name w:val="Nadpis 6 Char"/>
    <w:link w:val="Nadpis6"/>
    <w:rsid w:val="089F3C16"/>
    <w:rPr>
      <w:rFonts w:ascii="Calibri" w:eastAsia="Times" w:hAnsi="Calibri"/>
      <w:b/>
      <w:bCs/>
      <w:noProof/>
      <w:sz w:val="15"/>
      <w:szCs w:val="15"/>
      <w:lang w:val="x-none" w:eastAsia="x-none"/>
    </w:rPr>
  </w:style>
  <w:style w:type="character" w:customStyle="1" w:styleId="Nadpis7Char">
    <w:name w:val="Nadpis 7 Char"/>
    <w:link w:val="Nadpis7"/>
    <w:uiPriority w:val="99"/>
    <w:rsid w:val="089F3C16"/>
    <w:rPr>
      <w:rFonts w:ascii="Calibri" w:eastAsia="Times" w:hAnsi="Calibri"/>
      <w:b/>
      <w:bCs/>
      <w:noProof/>
      <w:sz w:val="28"/>
      <w:lang w:val="x-none" w:eastAsia="x-none"/>
    </w:rPr>
  </w:style>
  <w:style w:type="character" w:customStyle="1" w:styleId="Nadpis8Char">
    <w:name w:val="Nadpis 8 Char"/>
    <w:link w:val="Nadpis8"/>
    <w:uiPriority w:val="99"/>
    <w:rsid w:val="089F3C16"/>
    <w:rPr>
      <w:rFonts w:ascii="Arial" w:eastAsia="Times" w:hAnsi="Arial"/>
      <w:b/>
      <w:bCs/>
      <w:noProof/>
      <w:sz w:val="32"/>
      <w:lang w:val="x-none" w:eastAsia="x-none"/>
    </w:rPr>
  </w:style>
  <w:style w:type="character" w:customStyle="1" w:styleId="Nadpis9Char">
    <w:name w:val="Nadpis 9 Char"/>
    <w:link w:val="Nadpis9"/>
    <w:uiPriority w:val="99"/>
    <w:rsid w:val="089F3C16"/>
    <w:rPr>
      <w:rFonts w:ascii="Arial" w:eastAsia="Times" w:hAnsi="Arial"/>
      <w:b/>
      <w:bCs/>
      <w:smallCaps/>
      <w:noProof/>
      <w:sz w:val="24"/>
      <w:lang w:val="x-none" w:eastAsia="x-none"/>
    </w:rPr>
  </w:style>
  <w:style w:type="character" w:customStyle="1" w:styleId="Nadpis4Char">
    <w:name w:val="Nadpis 4 Char"/>
    <w:link w:val="Nadpis4"/>
    <w:uiPriority w:val="9"/>
    <w:rsid w:val="089F3C16"/>
    <w:rPr>
      <w:rFonts w:ascii="Arial" w:eastAsia="Times" w:hAnsi="Arial"/>
      <w:bCs/>
      <w:noProof/>
      <w:sz w:val="24"/>
      <w:szCs w:val="28"/>
    </w:rPr>
  </w:style>
  <w:style w:type="character" w:customStyle="1" w:styleId="Nadpis5Char">
    <w:name w:val="Nadpis 5 Char"/>
    <w:link w:val="Nadpis5"/>
    <w:rsid w:val="089F3C16"/>
    <w:rPr>
      <w:rFonts w:ascii="Calibri" w:eastAsia="Times" w:hAnsi="Calibri"/>
      <w:i/>
      <w:iCs/>
      <w:noProof/>
      <w:sz w:val="24"/>
    </w:rPr>
  </w:style>
  <w:style w:type="character" w:customStyle="1" w:styleId="RozvrendokumentuChar">
    <w:name w:val="Rozvržení dokumentu Char"/>
    <w:link w:val="Rozvrendokumentu"/>
    <w:semiHidden/>
    <w:rsid w:val="089F3C16"/>
    <w:rPr>
      <w:rFonts w:ascii="Tahoma" w:eastAsia="Times" w:hAnsi="Tahoma" w:cs="Tahoma"/>
      <w:noProof/>
      <w:sz w:val="24"/>
      <w:shd w:val="clear" w:color="auto" w:fill="000080"/>
    </w:rPr>
  </w:style>
  <w:style w:type="character" w:customStyle="1" w:styleId="ZhlavChar">
    <w:name w:val="Záhlaví Char"/>
    <w:link w:val="Zhlav"/>
    <w:uiPriority w:val="99"/>
    <w:rsid w:val="089F3C16"/>
    <w:rPr>
      <w:rFonts w:ascii="Calibri" w:eastAsia="Times" w:hAnsi="Calibri"/>
      <w:noProof/>
      <w:sz w:val="24"/>
    </w:rPr>
  </w:style>
  <w:style w:type="character" w:customStyle="1" w:styleId="publication">
    <w:name w:val="publication"/>
    <w:basedOn w:val="Standardnpsmoodstavce"/>
    <w:rsid w:val="087B3996"/>
  </w:style>
  <w:style w:type="character" w:customStyle="1" w:styleId="ZkladntextCorbel65ptdkovn0pt">
    <w:name w:val="Základní text + Corbel;6;5 pt;Řádkování 0 pt"/>
    <w:rsid w:val="08090412"/>
    <w:rPr>
      <w:rFonts w:ascii="Corbel" w:eastAsia="Corbel" w:hAnsi="Corbel" w:cs="Corbel"/>
      <w:b w:val="0"/>
      <w:bCs w:val="0"/>
      <w:i w:val="0"/>
      <w:iCs w:val="0"/>
      <w:smallCaps w:val="0"/>
      <w:strike w:val="0"/>
      <w:color w:val="000000"/>
      <w:spacing w:val="6"/>
      <w:w w:val="100"/>
      <w:position w:val="0"/>
      <w:sz w:val="13"/>
      <w:szCs w:val="13"/>
      <w:u w:val="none"/>
      <w:shd w:val="clear" w:color="auto" w:fill="FFFFFF"/>
      <w:lang w:val="el-GR"/>
    </w:rPr>
  </w:style>
  <w:style w:type="character" w:customStyle="1" w:styleId="versenumber">
    <w:name w:val="versenumber"/>
    <w:basedOn w:val="Standardnpsmoodstavce"/>
    <w:rsid w:val="083F66E4"/>
  </w:style>
  <w:style w:type="character" w:customStyle="1" w:styleId="Nzev1">
    <w:name w:val="Název1"/>
    <w:basedOn w:val="Standardnpsmoodstavce"/>
    <w:rsid w:val="08C21F07"/>
  </w:style>
  <w:style w:type="character" w:customStyle="1" w:styleId="fs150">
    <w:name w:val="fs150"/>
    <w:basedOn w:val="Standardnpsmoodstavce"/>
    <w:rsid w:val="08C21F07"/>
  </w:style>
  <w:style w:type="character" w:customStyle="1" w:styleId="en">
    <w:name w:val="en"/>
    <w:basedOn w:val="Standardnpsmoodstavce"/>
    <w:rsid w:val="08A970A6"/>
  </w:style>
  <w:style w:type="character" w:customStyle="1" w:styleId="Zkladntext53BookmanOldStyle7ptdkovn0pt">
    <w:name w:val="Základní text (53) + Bookman Old Style;7 pt;Řádkování 0 pt"/>
    <w:rsid w:val="086105C2"/>
    <w:rPr>
      <w:rFonts w:ascii="Bookman Old Style" w:eastAsia="Bookman Old Style" w:hAnsi="Bookman Old Style" w:cs="Bookman Old Style"/>
      <w:b w:val="0"/>
      <w:bCs w:val="0"/>
      <w:i w:val="0"/>
      <w:iCs w:val="0"/>
      <w:smallCaps w:val="0"/>
      <w:strike w:val="0"/>
      <w:color w:val="000000"/>
      <w:spacing w:val="-3"/>
      <w:w w:val="100"/>
      <w:position w:val="0"/>
      <w:sz w:val="14"/>
      <w:szCs w:val="14"/>
      <w:u w:val="none"/>
      <w:lang w:val="la"/>
    </w:rPr>
  </w:style>
  <w:style w:type="character" w:customStyle="1" w:styleId="bold">
    <w:name w:val="bold"/>
    <w:basedOn w:val="Standardnpsmoodstavce"/>
    <w:rsid w:val="0814087E"/>
  </w:style>
  <w:style w:type="paragraph" w:customStyle="1" w:styleId="big">
    <w:name w:val="big"/>
    <w:basedOn w:val="Normln"/>
    <w:uiPriority w:val="99"/>
    <w:rsid w:val="08CE52E4"/>
    <w:pPr>
      <w:spacing w:before="100" w:beforeAutospacing="1" w:after="100" w:afterAutospacing="1" w:line="240" w:lineRule="auto"/>
      <w:jc w:val="left"/>
    </w:pPr>
    <w:rPr>
      <w:rFonts w:ascii="Times New Roman" w:eastAsia="Times New Roman" w:hAnsi="Times New Roman"/>
      <w:noProof w:val="0"/>
      <w:szCs w:val="24"/>
    </w:rPr>
  </w:style>
  <w:style w:type="paragraph" w:customStyle="1" w:styleId="a">
    <w:basedOn w:val="Normln"/>
    <w:next w:val="Normln"/>
    <w:qFormat/>
    <w:rsid w:val="08F93D05"/>
    <w:pPr>
      <w:spacing w:before="120" w:after="240" w:line="288" w:lineRule="auto"/>
    </w:pPr>
    <w:rPr>
      <w:noProof w:val="0"/>
      <w:color w:val="000000"/>
      <w:sz w:val="22"/>
    </w:rPr>
  </w:style>
  <w:style w:type="character" w:customStyle="1" w:styleId="lang-ar-latn">
    <w:name w:val="lang-ar-latn"/>
    <w:basedOn w:val="Standardnpsmoodstavce"/>
    <w:rsid w:val="0813020B"/>
  </w:style>
  <w:style w:type="paragraph" w:styleId="Revize">
    <w:name w:val="Revision"/>
    <w:hidden/>
    <w:uiPriority w:val="99"/>
    <w:semiHidden/>
    <w:rsid w:val="08A33A20"/>
    <w:rPr>
      <w:rFonts w:ascii="Calibri" w:eastAsia="Times" w:hAnsi="Calibri"/>
      <w:noProof/>
      <w:sz w:val="24"/>
    </w:rPr>
  </w:style>
  <w:style w:type="character" w:customStyle="1" w:styleId="medium-8">
    <w:name w:val="medium-8"/>
    <w:basedOn w:val="Standardnpsmoodstavce"/>
    <w:rsid w:val="08B849E7"/>
  </w:style>
  <w:style w:type="character" w:customStyle="1" w:styleId="contributor">
    <w:name w:val="contributor"/>
    <w:rsid w:val="08BB422B"/>
  </w:style>
  <w:style w:type="character" w:customStyle="1" w:styleId="RozloendokumentuChar">
    <w:name w:val="Rozložení dokumentu Char"/>
    <w:uiPriority w:val="99"/>
    <w:semiHidden/>
    <w:rsid w:val="08FF59F5"/>
    <w:rPr>
      <w:rFonts w:ascii="Tahoma" w:eastAsia="Times" w:hAnsi="Tahoma" w:cs="Tahoma"/>
      <w:noProof/>
      <w:sz w:val="16"/>
      <w:szCs w:val="16"/>
    </w:rPr>
  </w:style>
  <w:style w:type="character" w:customStyle="1" w:styleId="Zkladntext8Malpsmena">
    <w:name w:val="Základní text (8) + Malá písmena"/>
    <w:aliases w:val="Řádkování 1 pt"/>
    <w:rsid w:val="08FF59F5"/>
    <w:rPr>
      <w:rFonts w:ascii="Corbel" w:eastAsia="Corbel" w:hAnsi="Corbel" w:cs="Corbel" w:hint="default"/>
      <w:b w:val="0"/>
      <w:bCs w:val="0"/>
      <w:i w:val="0"/>
      <w:iCs w:val="0"/>
      <w:smallCaps w:val="0"/>
      <w:color w:val="000000"/>
      <w:spacing w:val="36"/>
      <w:w w:val="40"/>
      <w:position w:val="0"/>
      <w:sz w:val="8"/>
      <w:szCs w:val="8"/>
      <w:u w:val="single"/>
      <w:shd w:val="clear" w:color="auto" w:fill="FFFFFF"/>
      <w:lang w:val="cs-CZ"/>
    </w:rPr>
  </w:style>
  <w:style w:type="character" w:customStyle="1" w:styleId="CittChar1">
    <w:name w:val="Citát Char1"/>
    <w:uiPriority w:val="99"/>
    <w:locked/>
    <w:rsid w:val="08FF59F5"/>
    <w:rPr>
      <w:rFonts w:ascii="Calibri" w:eastAsia="Times" w:hAnsi="Calibri"/>
      <w:color w:val="000000"/>
      <w:sz w:val="22"/>
    </w:rPr>
  </w:style>
  <w:style w:type="character" w:customStyle="1" w:styleId="genheadertitle">
    <w:name w:val="gen_header_title"/>
    <w:rsid w:val="00146E6A"/>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cs-CZ" w:eastAsia="cs-CZ"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938877">
      <w:bodyDiv w:val="1"/>
      <w:marLeft w:val="0"/>
      <w:marRight w:val="0"/>
      <w:marTop w:val="0"/>
      <w:marBottom w:val="0"/>
      <w:divBdr>
        <w:top w:val="none" w:sz="0" w:space="0" w:color="auto"/>
        <w:left w:val="none" w:sz="0" w:space="0" w:color="auto"/>
        <w:bottom w:val="none" w:sz="0" w:space="0" w:color="auto"/>
        <w:right w:val="none" w:sz="0" w:space="0" w:color="auto"/>
      </w:divBdr>
    </w:div>
    <w:div w:id="4940368">
      <w:bodyDiv w:val="1"/>
      <w:marLeft w:val="0"/>
      <w:marRight w:val="0"/>
      <w:marTop w:val="0"/>
      <w:marBottom w:val="0"/>
      <w:divBdr>
        <w:top w:val="none" w:sz="0" w:space="0" w:color="auto"/>
        <w:left w:val="none" w:sz="0" w:space="0" w:color="auto"/>
        <w:bottom w:val="none" w:sz="0" w:space="0" w:color="auto"/>
        <w:right w:val="none" w:sz="0" w:space="0" w:color="auto"/>
      </w:divBdr>
    </w:div>
    <w:div w:id="5401899">
      <w:bodyDiv w:val="1"/>
      <w:marLeft w:val="0"/>
      <w:marRight w:val="0"/>
      <w:marTop w:val="0"/>
      <w:marBottom w:val="0"/>
      <w:divBdr>
        <w:top w:val="none" w:sz="0" w:space="0" w:color="auto"/>
        <w:left w:val="none" w:sz="0" w:space="0" w:color="auto"/>
        <w:bottom w:val="none" w:sz="0" w:space="0" w:color="auto"/>
        <w:right w:val="none" w:sz="0" w:space="0" w:color="auto"/>
      </w:divBdr>
      <w:divsChild>
        <w:div w:id="656038349">
          <w:marLeft w:val="0"/>
          <w:marRight w:val="0"/>
          <w:marTop w:val="0"/>
          <w:marBottom w:val="0"/>
          <w:divBdr>
            <w:top w:val="none" w:sz="0" w:space="0" w:color="auto"/>
            <w:left w:val="none" w:sz="0" w:space="0" w:color="auto"/>
            <w:bottom w:val="none" w:sz="0" w:space="0" w:color="auto"/>
            <w:right w:val="none" w:sz="0" w:space="0" w:color="auto"/>
          </w:divBdr>
        </w:div>
        <w:div w:id="743530648">
          <w:marLeft w:val="0"/>
          <w:marRight w:val="0"/>
          <w:marTop w:val="0"/>
          <w:marBottom w:val="0"/>
          <w:divBdr>
            <w:top w:val="none" w:sz="0" w:space="0" w:color="auto"/>
            <w:left w:val="none" w:sz="0" w:space="0" w:color="auto"/>
            <w:bottom w:val="none" w:sz="0" w:space="0" w:color="auto"/>
            <w:right w:val="none" w:sz="0" w:space="0" w:color="auto"/>
          </w:divBdr>
        </w:div>
        <w:div w:id="1164206179">
          <w:marLeft w:val="0"/>
          <w:marRight w:val="0"/>
          <w:marTop w:val="0"/>
          <w:marBottom w:val="0"/>
          <w:divBdr>
            <w:top w:val="none" w:sz="0" w:space="0" w:color="auto"/>
            <w:left w:val="none" w:sz="0" w:space="0" w:color="auto"/>
            <w:bottom w:val="none" w:sz="0" w:space="0" w:color="auto"/>
            <w:right w:val="none" w:sz="0" w:space="0" w:color="auto"/>
          </w:divBdr>
        </w:div>
        <w:div w:id="1293369021">
          <w:marLeft w:val="0"/>
          <w:marRight w:val="0"/>
          <w:marTop w:val="0"/>
          <w:marBottom w:val="0"/>
          <w:divBdr>
            <w:top w:val="none" w:sz="0" w:space="0" w:color="auto"/>
            <w:left w:val="none" w:sz="0" w:space="0" w:color="auto"/>
            <w:bottom w:val="none" w:sz="0" w:space="0" w:color="auto"/>
            <w:right w:val="none" w:sz="0" w:space="0" w:color="auto"/>
          </w:divBdr>
        </w:div>
      </w:divsChild>
    </w:div>
    <w:div w:id="8607190">
      <w:bodyDiv w:val="1"/>
      <w:marLeft w:val="0"/>
      <w:marRight w:val="0"/>
      <w:marTop w:val="0"/>
      <w:marBottom w:val="0"/>
      <w:divBdr>
        <w:top w:val="none" w:sz="0" w:space="0" w:color="auto"/>
        <w:left w:val="none" w:sz="0" w:space="0" w:color="auto"/>
        <w:bottom w:val="none" w:sz="0" w:space="0" w:color="auto"/>
        <w:right w:val="none" w:sz="0" w:space="0" w:color="auto"/>
      </w:divBdr>
      <w:divsChild>
        <w:div w:id="195050417">
          <w:marLeft w:val="0"/>
          <w:marRight w:val="0"/>
          <w:marTop w:val="0"/>
          <w:marBottom w:val="0"/>
          <w:divBdr>
            <w:top w:val="none" w:sz="0" w:space="0" w:color="auto"/>
            <w:left w:val="none" w:sz="0" w:space="0" w:color="auto"/>
            <w:bottom w:val="none" w:sz="0" w:space="0" w:color="auto"/>
            <w:right w:val="none" w:sz="0" w:space="0" w:color="auto"/>
          </w:divBdr>
        </w:div>
        <w:div w:id="851803195">
          <w:marLeft w:val="0"/>
          <w:marRight w:val="0"/>
          <w:marTop w:val="0"/>
          <w:marBottom w:val="0"/>
          <w:divBdr>
            <w:top w:val="none" w:sz="0" w:space="0" w:color="auto"/>
            <w:left w:val="none" w:sz="0" w:space="0" w:color="auto"/>
            <w:bottom w:val="none" w:sz="0" w:space="0" w:color="auto"/>
            <w:right w:val="none" w:sz="0" w:space="0" w:color="auto"/>
          </w:divBdr>
        </w:div>
      </w:divsChild>
    </w:div>
    <w:div w:id="11076207">
      <w:bodyDiv w:val="1"/>
      <w:marLeft w:val="0"/>
      <w:marRight w:val="0"/>
      <w:marTop w:val="0"/>
      <w:marBottom w:val="0"/>
      <w:divBdr>
        <w:top w:val="none" w:sz="0" w:space="0" w:color="auto"/>
        <w:left w:val="none" w:sz="0" w:space="0" w:color="auto"/>
        <w:bottom w:val="none" w:sz="0" w:space="0" w:color="auto"/>
        <w:right w:val="none" w:sz="0" w:space="0" w:color="auto"/>
      </w:divBdr>
    </w:div>
    <w:div w:id="11689264">
      <w:bodyDiv w:val="1"/>
      <w:marLeft w:val="0"/>
      <w:marRight w:val="0"/>
      <w:marTop w:val="0"/>
      <w:marBottom w:val="0"/>
      <w:divBdr>
        <w:top w:val="none" w:sz="0" w:space="0" w:color="auto"/>
        <w:left w:val="none" w:sz="0" w:space="0" w:color="auto"/>
        <w:bottom w:val="none" w:sz="0" w:space="0" w:color="auto"/>
        <w:right w:val="none" w:sz="0" w:space="0" w:color="auto"/>
      </w:divBdr>
      <w:divsChild>
        <w:div w:id="125468367">
          <w:marLeft w:val="0"/>
          <w:marRight w:val="0"/>
          <w:marTop w:val="0"/>
          <w:marBottom w:val="0"/>
          <w:divBdr>
            <w:top w:val="none" w:sz="0" w:space="0" w:color="auto"/>
            <w:left w:val="none" w:sz="0" w:space="0" w:color="auto"/>
            <w:bottom w:val="none" w:sz="0" w:space="0" w:color="auto"/>
            <w:right w:val="none" w:sz="0" w:space="0" w:color="auto"/>
          </w:divBdr>
        </w:div>
        <w:div w:id="314381534">
          <w:marLeft w:val="0"/>
          <w:marRight w:val="0"/>
          <w:marTop w:val="0"/>
          <w:marBottom w:val="0"/>
          <w:divBdr>
            <w:top w:val="none" w:sz="0" w:space="0" w:color="auto"/>
            <w:left w:val="none" w:sz="0" w:space="0" w:color="auto"/>
            <w:bottom w:val="none" w:sz="0" w:space="0" w:color="auto"/>
            <w:right w:val="none" w:sz="0" w:space="0" w:color="auto"/>
          </w:divBdr>
        </w:div>
      </w:divsChild>
    </w:div>
    <w:div w:id="12927669">
      <w:bodyDiv w:val="1"/>
      <w:marLeft w:val="0"/>
      <w:marRight w:val="0"/>
      <w:marTop w:val="0"/>
      <w:marBottom w:val="0"/>
      <w:divBdr>
        <w:top w:val="none" w:sz="0" w:space="0" w:color="auto"/>
        <w:left w:val="none" w:sz="0" w:space="0" w:color="auto"/>
        <w:bottom w:val="none" w:sz="0" w:space="0" w:color="auto"/>
        <w:right w:val="none" w:sz="0" w:space="0" w:color="auto"/>
      </w:divBdr>
      <w:divsChild>
        <w:div w:id="123232931">
          <w:marLeft w:val="0"/>
          <w:marRight w:val="0"/>
          <w:marTop w:val="0"/>
          <w:marBottom w:val="0"/>
          <w:divBdr>
            <w:top w:val="none" w:sz="0" w:space="0" w:color="auto"/>
            <w:left w:val="none" w:sz="0" w:space="0" w:color="auto"/>
            <w:bottom w:val="none" w:sz="0" w:space="0" w:color="auto"/>
            <w:right w:val="none" w:sz="0" w:space="0" w:color="auto"/>
          </w:divBdr>
        </w:div>
        <w:div w:id="829829714">
          <w:marLeft w:val="0"/>
          <w:marRight w:val="0"/>
          <w:marTop w:val="0"/>
          <w:marBottom w:val="0"/>
          <w:divBdr>
            <w:top w:val="none" w:sz="0" w:space="0" w:color="auto"/>
            <w:left w:val="none" w:sz="0" w:space="0" w:color="auto"/>
            <w:bottom w:val="none" w:sz="0" w:space="0" w:color="auto"/>
            <w:right w:val="none" w:sz="0" w:space="0" w:color="auto"/>
          </w:divBdr>
        </w:div>
      </w:divsChild>
    </w:div>
    <w:div w:id="12999878">
      <w:bodyDiv w:val="1"/>
      <w:marLeft w:val="0"/>
      <w:marRight w:val="0"/>
      <w:marTop w:val="0"/>
      <w:marBottom w:val="0"/>
      <w:divBdr>
        <w:top w:val="none" w:sz="0" w:space="0" w:color="auto"/>
        <w:left w:val="none" w:sz="0" w:space="0" w:color="auto"/>
        <w:bottom w:val="none" w:sz="0" w:space="0" w:color="auto"/>
        <w:right w:val="none" w:sz="0" w:space="0" w:color="auto"/>
      </w:divBdr>
      <w:divsChild>
        <w:div w:id="26107616">
          <w:marLeft w:val="0"/>
          <w:marRight w:val="0"/>
          <w:marTop w:val="0"/>
          <w:marBottom w:val="0"/>
          <w:divBdr>
            <w:top w:val="none" w:sz="0" w:space="0" w:color="auto"/>
            <w:left w:val="none" w:sz="0" w:space="0" w:color="auto"/>
            <w:bottom w:val="none" w:sz="0" w:space="0" w:color="auto"/>
            <w:right w:val="none" w:sz="0" w:space="0" w:color="auto"/>
          </w:divBdr>
        </w:div>
        <w:div w:id="446319574">
          <w:marLeft w:val="0"/>
          <w:marRight w:val="0"/>
          <w:marTop w:val="0"/>
          <w:marBottom w:val="0"/>
          <w:divBdr>
            <w:top w:val="none" w:sz="0" w:space="0" w:color="auto"/>
            <w:left w:val="none" w:sz="0" w:space="0" w:color="auto"/>
            <w:bottom w:val="none" w:sz="0" w:space="0" w:color="auto"/>
            <w:right w:val="none" w:sz="0" w:space="0" w:color="auto"/>
          </w:divBdr>
        </w:div>
        <w:div w:id="824975112">
          <w:marLeft w:val="0"/>
          <w:marRight w:val="0"/>
          <w:marTop w:val="0"/>
          <w:marBottom w:val="0"/>
          <w:divBdr>
            <w:top w:val="none" w:sz="0" w:space="0" w:color="auto"/>
            <w:left w:val="none" w:sz="0" w:space="0" w:color="auto"/>
            <w:bottom w:val="none" w:sz="0" w:space="0" w:color="auto"/>
            <w:right w:val="none" w:sz="0" w:space="0" w:color="auto"/>
          </w:divBdr>
        </w:div>
        <w:div w:id="1314404724">
          <w:marLeft w:val="0"/>
          <w:marRight w:val="0"/>
          <w:marTop w:val="0"/>
          <w:marBottom w:val="0"/>
          <w:divBdr>
            <w:top w:val="none" w:sz="0" w:space="0" w:color="auto"/>
            <w:left w:val="none" w:sz="0" w:space="0" w:color="auto"/>
            <w:bottom w:val="none" w:sz="0" w:space="0" w:color="auto"/>
            <w:right w:val="none" w:sz="0" w:space="0" w:color="auto"/>
          </w:divBdr>
        </w:div>
        <w:div w:id="1334451658">
          <w:marLeft w:val="0"/>
          <w:marRight w:val="0"/>
          <w:marTop w:val="0"/>
          <w:marBottom w:val="0"/>
          <w:divBdr>
            <w:top w:val="none" w:sz="0" w:space="0" w:color="auto"/>
            <w:left w:val="none" w:sz="0" w:space="0" w:color="auto"/>
            <w:bottom w:val="none" w:sz="0" w:space="0" w:color="auto"/>
            <w:right w:val="none" w:sz="0" w:space="0" w:color="auto"/>
          </w:divBdr>
        </w:div>
        <w:div w:id="1363751074">
          <w:marLeft w:val="0"/>
          <w:marRight w:val="0"/>
          <w:marTop w:val="0"/>
          <w:marBottom w:val="0"/>
          <w:divBdr>
            <w:top w:val="none" w:sz="0" w:space="0" w:color="auto"/>
            <w:left w:val="none" w:sz="0" w:space="0" w:color="auto"/>
            <w:bottom w:val="none" w:sz="0" w:space="0" w:color="auto"/>
            <w:right w:val="none" w:sz="0" w:space="0" w:color="auto"/>
          </w:divBdr>
        </w:div>
        <w:div w:id="1579091479">
          <w:marLeft w:val="0"/>
          <w:marRight w:val="0"/>
          <w:marTop w:val="0"/>
          <w:marBottom w:val="0"/>
          <w:divBdr>
            <w:top w:val="none" w:sz="0" w:space="0" w:color="auto"/>
            <w:left w:val="none" w:sz="0" w:space="0" w:color="auto"/>
            <w:bottom w:val="none" w:sz="0" w:space="0" w:color="auto"/>
            <w:right w:val="none" w:sz="0" w:space="0" w:color="auto"/>
          </w:divBdr>
        </w:div>
        <w:div w:id="1949459289">
          <w:marLeft w:val="0"/>
          <w:marRight w:val="0"/>
          <w:marTop w:val="0"/>
          <w:marBottom w:val="0"/>
          <w:divBdr>
            <w:top w:val="none" w:sz="0" w:space="0" w:color="auto"/>
            <w:left w:val="none" w:sz="0" w:space="0" w:color="auto"/>
            <w:bottom w:val="none" w:sz="0" w:space="0" w:color="auto"/>
            <w:right w:val="none" w:sz="0" w:space="0" w:color="auto"/>
          </w:divBdr>
        </w:div>
      </w:divsChild>
    </w:div>
    <w:div w:id="15926875">
      <w:bodyDiv w:val="1"/>
      <w:marLeft w:val="0"/>
      <w:marRight w:val="0"/>
      <w:marTop w:val="0"/>
      <w:marBottom w:val="0"/>
      <w:divBdr>
        <w:top w:val="none" w:sz="0" w:space="0" w:color="auto"/>
        <w:left w:val="none" w:sz="0" w:space="0" w:color="auto"/>
        <w:bottom w:val="none" w:sz="0" w:space="0" w:color="auto"/>
        <w:right w:val="none" w:sz="0" w:space="0" w:color="auto"/>
      </w:divBdr>
      <w:divsChild>
        <w:div w:id="634407039">
          <w:marLeft w:val="0"/>
          <w:marRight w:val="0"/>
          <w:marTop w:val="0"/>
          <w:marBottom w:val="0"/>
          <w:divBdr>
            <w:top w:val="none" w:sz="0" w:space="0" w:color="auto"/>
            <w:left w:val="none" w:sz="0" w:space="0" w:color="auto"/>
            <w:bottom w:val="none" w:sz="0" w:space="0" w:color="auto"/>
            <w:right w:val="none" w:sz="0" w:space="0" w:color="auto"/>
          </w:divBdr>
          <w:divsChild>
            <w:div w:id="2018463940">
              <w:marLeft w:val="0"/>
              <w:marRight w:val="0"/>
              <w:marTop w:val="0"/>
              <w:marBottom w:val="0"/>
              <w:divBdr>
                <w:top w:val="none" w:sz="0" w:space="0" w:color="auto"/>
                <w:left w:val="none" w:sz="0" w:space="0" w:color="auto"/>
                <w:bottom w:val="none" w:sz="0" w:space="0" w:color="auto"/>
                <w:right w:val="none" w:sz="0" w:space="0" w:color="auto"/>
              </w:divBdr>
            </w:div>
            <w:div w:id="2127188712">
              <w:marLeft w:val="0"/>
              <w:marRight w:val="0"/>
              <w:marTop w:val="0"/>
              <w:marBottom w:val="0"/>
              <w:divBdr>
                <w:top w:val="none" w:sz="0" w:space="0" w:color="auto"/>
                <w:left w:val="none" w:sz="0" w:space="0" w:color="auto"/>
                <w:bottom w:val="none" w:sz="0" w:space="0" w:color="auto"/>
                <w:right w:val="none" w:sz="0" w:space="0" w:color="auto"/>
              </w:divBdr>
            </w:div>
          </w:divsChild>
        </w:div>
        <w:div w:id="1743523977">
          <w:marLeft w:val="0"/>
          <w:marRight w:val="0"/>
          <w:marTop w:val="0"/>
          <w:marBottom w:val="0"/>
          <w:divBdr>
            <w:top w:val="none" w:sz="0" w:space="0" w:color="auto"/>
            <w:left w:val="none" w:sz="0" w:space="0" w:color="auto"/>
            <w:bottom w:val="none" w:sz="0" w:space="0" w:color="auto"/>
            <w:right w:val="none" w:sz="0" w:space="0" w:color="auto"/>
          </w:divBdr>
          <w:divsChild>
            <w:div w:id="1245341896">
              <w:marLeft w:val="0"/>
              <w:marRight w:val="0"/>
              <w:marTop w:val="0"/>
              <w:marBottom w:val="0"/>
              <w:divBdr>
                <w:top w:val="none" w:sz="0" w:space="0" w:color="auto"/>
                <w:left w:val="none" w:sz="0" w:space="0" w:color="auto"/>
                <w:bottom w:val="none" w:sz="0" w:space="0" w:color="auto"/>
                <w:right w:val="none" w:sz="0" w:space="0" w:color="auto"/>
              </w:divBdr>
            </w:div>
          </w:divsChild>
        </w:div>
        <w:div w:id="1981181439">
          <w:marLeft w:val="0"/>
          <w:marRight w:val="0"/>
          <w:marTop w:val="0"/>
          <w:marBottom w:val="0"/>
          <w:divBdr>
            <w:top w:val="none" w:sz="0" w:space="0" w:color="auto"/>
            <w:left w:val="none" w:sz="0" w:space="0" w:color="auto"/>
            <w:bottom w:val="none" w:sz="0" w:space="0" w:color="auto"/>
            <w:right w:val="none" w:sz="0" w:space="0" w:color="auto"/>
          </w:divBdr>
          <w:divsChild>
            <w:div w:id="1196313195">
              <w:marLeft w:val="0"/>
              <w:marRight w:val="0"/>
              <w:marTop w:val="0"/>
              <w:marBottom w:val="0"/>
              <w:divBdr>
                <w:top w:val="none" w:sz="0" w:space="0" w:color="auto"/>
                <w:left w:val="none" w:sz="0" w:space="0" w:color="auto"/>
                <w:bottom w:val="none" w:sz="0" w:space="0" w:color="auto"/>
                <w:right w:val="none" w:sz="0" w:space="0" w:color="auto"/>
              </w:divBdr>
              <w:divsChild>
                <w:div w:id="94257075">
                  <w:marLeft w:val="0"/>
                  <w:marRight w:val="0"/>
                  <w:marTop w:val="0"/>
                  <w:marBottom w:val="0"/>
                  <w:divBdr>
                    <w:top w:val="none" w:sz="0" w:space="0" w:color="auto"/>
                    <w:left w:val="none" w:sz="0" w:space="0" w:color="auto"/>
                    <w:bottom w:val="none" w:sz="0" w:space="0" w:color="auto"/>
                    <w:right w:val="none" w:sz="0" w:space="0" w:color="auto"/>
                  </w:divBdr>
                  <w:divsChild>
                    <w:div w:id="1335573725">
                      <w:marLeft w:val="0"/>
                      <w:marRight w:val="0"/>
                      <w:marTop w:val="0"/>
                      <w:marBottom w:val="0"/>
                      <w:divBdr>
                        <w:top w:val="none" w:sz="0" w:space="0" w:color="auto"/>
                        <w:left w:val="none" w:sz="0" w:space="0" w:color="auto"/>
                        <w:bottom w:val="none" w:sz="0" w:space="0" w:color="auto"/>
                        <w:right w:val="none" w:sz="0" w:space="0" w:color="auto"/>
                      </w:divBdr>
                      <w:divsChild>
                        <w:div w:id="554203186">
                          <w:marLeft w:val="0"/>
                          <w:marRight w:val="0"/>
                          <w:marTop w:val="0"/>
                          <w:marBottom w:val="0"/>
                          <w:divBdr>
                            <w:top w:val="none" w:sz="0" w:space="0" w:color="auto"/>
                            <w:left w:val="none" w:sz="0" w:space="0" w:color="auto"/>
                            <w:bottom w:val="none" w:sz="0" w:space="0" w:color="auto"/>
                            <w:right w:val="none" w:sz="0" w:space="0" w:color="auto"/>
                          </w:divBdr>
                          <w:divsChild>
                            <w:div w:id="429277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8218261">
                      <w:marLeft w:val="0"/>
                      <w:marRight w:val="0"/>
                      <w:marTop w:val="0"/>
                      <w:marBottom w:val="0"/>
                      <w:divBdr>
                        <w:top w:val="none" w:sz="0" w:space="0" w:color="auto"/>
                        <w:left w:val="none" w:sz="0" w:space="0" w:color="auto"/>
                        <w:bottom w:val="none" w:sz="0" w:space="0" w:color="auto"/>
                        <w:right w:val="none" w:sz="0" w:space="0" w:color="auto"/>
                      </w:divBdr>
                    </w:div>
                  </w:divsChild>
                </w:div>
                <w:div w:id="833647163">
                  <w:marLeft w:val="0"/>
                  <w:marRight w:val="0"/>
                  <w:marTop w:val="0"/>
                  <w:marBottom w:val="0"/>
                  <w:divBdr>
                    <w:top w:val="none" w:sz="0" w:space="0" w:color="auto"/>
                    <w:left w:val="none" w:sz="0" w:space="0" w:color="auto"/>
                    <w:bottom w:val="none" w:sz="0" w:space="0" w:color="auto"/>
                    <w:right w:val="none" w:sz="0" w:space="0" w:color="auto"/>
                  </w:divBdr>
                  <w:divsChild>
                    <w:div w:id="264505218">
                      <w:marLeft w:val="0"/>
                      <w:marRight w:val="0"/>
                      <w:marTop w:val="0"/>
                      <w:marBottom w:val="0"/>
                      <w:divBdr>
                        <w:top w:val="none" w:sz="0" w:space="0" w:color="auto"/>
                        <w:left w:val="none" w:sz="0" w:space="0" w:color="auto"/>
                        <w:bottom w:val="none" w:sz="0" w:space="0" w:color="auto"/>
                        <w:right w:val="none" w:sz="0" w:space="0" w:color="auto"/>
                      </w:divBdr>
                    </w:div>
                    <w:div w:id="1657371708">
                      <w:marLeft w:val="0"/>
                      <w:marRight w:val="0"/>
                      <w:marTop w:val="0"/>
                      <w:marBottom w:val="0"/>
                      <w:divBdr>
                        <w:top w:val="none" w:sz="0" w:space="0" w:color="auto"/>
                        <w:left w:val="none" w:sz="0" w:space="0" w:color="auto"/>
                        <w:bottom w:val="none" w:sz="0" w:space="0" w:color="auto"/>
                        <w:right w:val="none" w:sz="0" w:space="0" w:color="auto"/>
                      </w:divBdr>
                      <w:divsChild>
                        <w:div w:id="80875957">
                          <w:marLeft w:val="0"/>
                          <w:marRight w:val="0"/>
                          <w:marTop w:val="0"/>
                          <w:marBottom w:val="0"/>
                          <w:divBdr>
                            <w:top w:val="none" w:sz="0" w:space="0" w:color="auto"/>
                            <w:left w:val="none" w:sz="0" w:space="0" w:color="auto"/>
                            <w:bottom w:val="none" w:sz="0" w:space="0" w:color="auto"/>
                            <w:right w:val="none" w:sz="0" w:space="0" w:color="auto"/>
                          </w:divBdr>
                          <w:divsChild>
                            <w:div w:id="79066925">
                              <w:marLeft w:val="0"/>
                              <w:marRight w:val="0"/>
                              <w:marTop w:val="0"/>
                              <w:marBottom w:val="0"/>
                              <w:divBdr>
                                <w:top w:val="none" w:sz="0" w:space="0" w:color="auto"/>
                                <w:left w:val="none" w:sz="0" w:space="0" w:color="auto"/>
                                <w:bottom w:val="none" w:sz="0" w:space="0" w:color="auto"/>
                                <w:right w:val="none" w:sz="0" w:space="0" w:color="auto"/>
                              </w:divBdr>
                            </w:div>
                            <w:div w:id="141581027">
                              <w:marLeft w:val="0"/>
                              <w:marRight w:val="0"/>
                              <w:marTop w:val="0"/>
                              <w:marBottom w:val="0"/>
                              <w:divBdr>
                                <w:top w:val="none" w:sz="0" w:space="0" w:color="auto"/>
                                <w:left w:val="none" w:sz="0" w:space="0" w:color="auto"/>
                                <w:bottom w:val="none" w:sz="0" w:space="0" w:color="auto"/>
                                <w:right w:val="none" w:sz="0" w:space="0" w:color="auto"/>
                              </w:divBdr>
                            </w:div>
                            <w:div w:id="336811674">
                              <w:marLeft w:val="0"/>
                              <w:marRight w:val="0"/>
                              <w:marTop w:val="0"/>
                              <w:marBottom w:val="0"/>
                              <w:divBdr>
                                <w:top w:val="none" w:sz="0" w:space="0" w:color="auto"/>
                                <w:left w:val="none" w:sz="0" w:space="0" w:color="auto"/>
                                <w:bottom w:val="none" w:sz="0" w:space="0" w:color="auto"/>
                                <w:right w:val="none" w:sz="0" w:space="0" w:color="auto"/>
                              </w:divBdr>
                            </w:div>
                            <w:div w:id="454835149">
                              <w:marLeft w:val="0"/>
                              <w:marRight w:val="0"/>
                              <w:marTop w:val="0"/>
                              <w:marBottom w:val="0"/>
                              <w:divBdr>
                                <w:top w:val="none" w:sz="0" w:space="0" w:color="auto"/>
                                <w:left w:val="none" w:sz="0" w:space="0" w:color="auto"/>
                                <w:bottom w:val="none" w:sz="0" w:space="0" w:color="auto"/>
                                <w:right w:val="none" w:sz="0" w:space="0" w:color="auto"/>
                              </w:divBdr>
                            </w:div>
                            <w:div w:id="562062035">
                              <w:marLeft w:val="0"/>
                              <w:marRight w:val="0"/>
                              <w:marTop w:val="0"/>
                              <w:marBottom w:val="0"/>
                              <w:divBdr>
                                <w:top w:val="none" w:sz="0" w:space="0" w:color="auto"/>
                                <w:left w:val="none" w:sz="0" w:space="0" w:color="auto"/>
                                <w:bottom w:val="none" w:sz="0" w:space="0" w:color="auto"/>
                                <w:right w:val="none" w:sz="0" w:space="0" w:color="auto"/>
                              </w:divBdr>
                            </w:div>
                            <w:div w:id="583807228">
                              <w:marLeft w:val="0"/>
                              <w:marRight w:val="0"/>
                              <w:marTop w:val="0"/>
                              <w:marBottom w:val="0"/>
                              <w:divBdr>
                                <w:top w:val="none" w:sz="0" w:space="0" w:color="auto"/>
                                <w:left w:val="none" w:sz="0" w:space="0" w:color="auto"/>
                                <w:bottom w:val="none" w:sz="0" w:space="0" w:color="auto"/>
                                <w:right w:val="none" w:sz="0" w:space="0" w:color="auto"/>
                              </w:divBdr>
                            </w:div>
                            <w:div w:id="625502878">
                              <w:marLeft w:val="0"/>
                              <w:marRight w:val="0"/>
                              <w:marTop w:val="0"/>
                              <w:marBottom w:val="0"/>
                              <w:divBdr>
                                <w:top w:val="none" w:sz="0" w:space="0" w:color="auto"/>
                                <w:left w:val="none" w:sz="0" w:space="0" w:color="auto"/>
                                <w:bottom w:val="none" w:sz="0" w:space="0" w:color="auto"/>
                                <w:right w:val="none" w:sz="0" w:space="0" w:color="auto"/>
                              </w:divBdr>
                            </w:div>
                            <w:div w:id="699740462">
                              <w:marLeft w:val="0"/>
                              <w:marRight w:val="0"/>
                              <w:marTop w:val="0"/>
                              <w:marBottom w:val="0"/>
                              <w:divBdr>
                                <w:top w:val="none" w:sz="0" w:space="0" w:color="auto"/>
                                <w:left w:val="none" w:sz="0" w:space="0" w:color="auto"/>
                                <w:bottom w:val="none" w:sz="0" w:space="0" w:color="auto"/>
                                <w:right w:val="none" w:sz="0" w:space="0" w:color="auto"/>
                              </w:divBdr>
                            </w:div>
                            <w:div w:id="768306578">
                              <w:marLeft w:val="0"/>
                              <w:marRight w:val="0"/>
                              <w:marTop w:val="0"/>
                              <w:marBottom w:val="0"/>
                              <w:divBdr>
                                <w:top w:val="none" w:sz="0" w:space="0" w:color="auto"/>
                                <w:left w:val="none" w:sz="0" w:space="0" w:color="auto"/>
                                <w:bottom w:val="none" w:sz="0" w:space="0" w:color="auto"/>
                                <w:right w:val="none" w:sz="0" w:space="0" w:color="auto"/>
                              </w:divBdr>
                            </w:div>
                            <w:div w:id="786393197">
                              <w:marLeft w:val="0"/>
                              <w:marRight w:val="0"/>
                              <w:marTop w:val="0"/>
                              <w:marBottom w:val="0"/>
                              <w:divBdr>
                                <w:top w:val="none" w:sz="0" w:space="0" w:color="auto"/>
                                <w:left w:val="none" w:sz="0" w:space="0" w:color="auto"/>
                                <w:bottom w:val="none" w:sz="0" w:space="0" w:color="auto"/>
                                <w:right w:val="none" w:sz="0" w:space="0" w:color="auto"/>
                              </w:divBdr>
                            </w:div>
                            <w:div w:id="928805103">
                              <w:marLeft w:val="0"/>
                              <w:marRight w:val="0"/>
                              <w:marTop w:val="0"/>
                              <w:marBottom w:val="0"/>
                              <w:divBdr>
                                <w:top w:val="none" w:sz="0" w:space="0" w:color="auto"/>
                                <w:left w:val="none" w:sz="0" w:space="0" w:color="auto"/>
                                <w:bottom w:val="none" w:sz="0" w:space="0" w:color="auto"/>
                                <w:right w:val="none" w:sz="0" w:space="0" w:color="auto"/>
                              </w:divBdr>
                              <w:divsChild>
                                <w:div w:id="1795634631">
                                  <w:marLeft w:val="0"/>
                                  <w:marRight w:val="0"/>
                                  <w:marTop w:val="0"/>
                                  <w:marBottom w:val="0"/>
                                  <w:divBdr>
                                    <w:top w:val="none" w:sz="0" w:space="0" w:color="auto"/>
                                    <w:left w:val="none" w:sz="0" w:space="0" w:color="auto"/>
                                    <w:bottom w:val="none" w:sz="0" w:space="0" w:color="auto"/>
                                    <w:right w:val="none" w:sz="0" w:space="0" w:color="auto"/>
                                  </w:divBdr>
                                  <w:divsChild>
                                    <w:div w:id="4017471">
                                      <w:marLeft w:val="0"/>
                                      <w:marRight w:val="0"/>
                                      <w:marTop w:val="0"/>
                                      <w:marBottom w:val="0"/>
                                      <w:divBdr>
                                        <w:top w:val="none" w:sz="0" w:space="0" w:color="auto"/>
                                        <w:left w:val="none" w:sz="0" w:space="0" w:color="auto"/>
                                        <w:bottom w:val="none" w:sz="0" w:space="0" w:color="auto"/>
                                        <w:right w:val="none" w:sz="0" w:space="0" w:color="auto"/>
                                      </w:divBdr>
                                    </w:div>
                                    <w:div w:id="38170599">
                                      <w:marLeft w:val="0"/>
                                      <w:marRight w:val="0"/>
                                      <w:marTop w:val="0"/>
                                      <w:marBottom w:val="0"/>
                                      <w:divBdr>
                                        <w:top w:val="none" w:sz="0" w:space="0" w:color="auto"/>
                                        <w:left w:val="none" w:sz="0" w:space="0" w:color="auto"/>
                                        <w:bottom w:val="none" w:sz="0" w:space="0" w:color="auto"/>
                                        <w:right w:val="none" w:sz="0" w:space="0" w:color="auto"/>
                                      </w:divBdr>
                                    </w:div>
                                    <w:div w:id="43991799">
                                      <w:marLeft w:val="0"/>
                                      <w:marRight w:val="0"/>
                                      <w:marTop w:val="0"/>
                                      <w:marBottom w:val="0"/>
                                      <w:divBdr>
                                        <w:top w:val="none" w:sz="0" w:space="0" w:color="auto"/>
                                        <w:left w:val="none" w:sz="0" w:space="0" w:color="auto"/>
                                        <w:bottom w:val="none" w:sz="0" w:space="0" w:color="auto"/>
                                        <w:right w:val="none" w:sz="0" w:space="0" w:color="auto"/>
                                      </w:divBdr>
                                    </w:div>
                                    <w:div w:id="46614242">
                                      <w:marLeft w:val="0"/>
                                      <w:marRight w:val="0"/>
                                      <w:marTop w:val="0"/>
                                      <w:marBottom w:val="0"/>
                                      <w:divBdr>
                                        <w:top w:val="none" w:sz="0" w:space="0" w:color="auto"/>
                                        <w:left w:val="none" w:sz="0" w:space="0" w:color="auto"/>
                                        <w:bottom w:val="none" w:sz="0" w:space="0" w:color="auto"/>
                                        <w:right w:val="none" w:sz="0" w:space="0" w:color="auto"/>
                                      </w:divBdr>
                                    </w:div>
                                    <w:div w:id="52511216">
                                      <w:marLeft w:val="0"/>
                                      <w:marRight w:val="0"/>
                                      <w:marTop w:val="0"/>
                                      <w:marBottom w:val="0"/>
                                      <w:divBdr>
                                        <w:top w:val="none" w:sz="0" w:space="0" w:color="auto"/>
                                        <w:left w:val="none" w:sz="0" w:space="0" w:color="auto"/>
                                        <w:bottom w:val="none" w:sz="0" w:space="0" w:color="auto"/>
                                        <w:right w:val="none" w:sz="0" w:space="0" w:color="auto"/>
                                      </w:divBdr>
                                    </w:div>
                                    <w:div w:id="60908824">
                                      <w:marLeft w:val="0"/>
                                      <w:marRight w:val="0"/>
                                      <w:marTop w:val="0"/>
                                      <w:marBottom w:val="0"/>
                                      <w:divBdr>
                                        <w:top w:val="none" w:sz="0" w:space="0" w:color="auto"/>
                                        <w:left w:val="none" w:sz="0" w:space="0" w:color="auto"/>
                                        <w:bottom w:val="none" w:sz="0" w:space="0" w:color="auto"/>
                                        <w:right w:val="none" w:sz="0" w:space="0" w:color="auto"/>
                                      </w:divBdr>
                                    </w:div>
                                    <w:div w:id="61484676">
                                      <w:marLeft w:val="0"/>
                                      <w:marRight w:val="0"/>
                                      <w:marTop w:val="0"/>
                                      <w:marBottom w:val="0"/>
                                      <w:divBdr>
                                        <w:top w:val="none" w:sz="0" w:space="0" w:color="auto"/>
                                        <w:left w:val="none" w:sz="0" w:space="0" w:color="auto"/>
                                        <w:bottom w:val="none" w:sz="0" w:space="0" w:color="auto"/>
                                        <w:right w:val="none" w:sz="0" w:space="0" w:color="auto"/>
                                      </w:divBdr>
                                    </w:div>
                                    <w:div w:id="80373199">
                                      <w:marLeft w:val="0"/>
                                      <w:marRight w:val="0"/>
                                      <w:marTop w:val="0"/>
                                      <w:marBottom w:val="0"/>
                                      <w:divBdr>
                                        <w:top w:val="none" w:sz="0" w:space="0" w:color="auto"/>
                                        <w:left w:val="none" w:sz="0" w:space="0" w:color="auto"/>
                                        <w:bottom w:val="none" w:sz="0" w:space="0" w:color="auto"/>
                                        <w:right w:val="none" w:sz="0" w:space="0" w:color="auto"/>
                                      </w:divBdr>
                                    </w:div>
                                    <w:div w:id="88350463">
                                      <w:marLeft w:val="0"/>
                                      <w:marRight w:val="0"/>
                                      <w:marTop w:val="0"/>
                                      <w:marBottom w:val="0"/>
                                      <w:divBdr>
                                        <w:top w:val="none" w:sz="0" w:space="0" w:color="auto"/>
                                        <w:left w:val="none" w:sz="0" w:space="0" w:color="auto"/>
                                        <w:bottom w:val="none" w:sz="0" w:space="0" w:color="auto"/>
                                        <w:right w:val="none" w:sz="0" w:space="0" w:color="auto"/>
                                      </w:divBdr>
                                    </w:div>
                                    <w:div w:id="93746823">
                                      <w:marLeft w:val="0"/>
                                      <w:marRight w:val="0"/>
                                      <w:marTop w:val="0"/>
                                      <w:marBottom w:val="0"/>
                                      <w:divBdr>
                                        <w:top w:val="none" w:sz="0" w:space="0" w:color="auto"/>
                                        <w:left w:val="none" w:sz="0" w:space="0" w:color="auto"/>
                                        <w:bottom w:val="none" w:sz="0" w:space="0" w:color="auto"/>
                                        <w:right w:val="none" w:sz="0" w:space="0" w:color="auto"/>
                                      </w:divBdr>
                                    </w:div>
                                    <w:div w:id="97989706">
                                      <w:marLeft w:val="0"/>
                                      <w:marRight w:val="0"/>
                                      <w:marTop w:val="0"/>
                                      <w:marBottom w:val="0"/>
                                      <w:divBdr>
                                        <w:top w:val="none" w:sz="0" w:space="0" w:color="auto"/>
                                        <w:left w:val="none" w:sz="0" w:space="0" w:color="auto"/>
                                        <w:bottom w:val="none" w:sz="0" w:space="0" w:color="auto"/>
                                        <w:right w:val="none" w:sz="0" w:space="0" w:color="auto"/>
                                      </w:divBdr>
                                    </w:div>
                                    <w:div w:id="127095896">
                                      <w:marLeft w:val="0"/>
                                      <w:marRight w:val="0"/>
                                      <w:marTop w:val="0"/>
                                      <w:marBottom w:val="0"/>
                                      <w:divBdr>
                                        <w:top w:val="none" w:sz="0" w:space="0" w:color="auto"/>
                                        <w:left w:val="none" w:sz="0" w:space="0" w:color="auto"/>
                                        <w:bottom w:val="none" w:sz="0" w:space="0" w:color="auto"/>
                                        <w:right w:val="none" w:sz="0" w:space="0" w:color="auto"/>
                                      </w:divBdr>
                                    </w:div>
                                    <w:div w:id="140539355">
                                      <w:marLeft w:val="0"/>
                                      <w:marRight w:val="0"/>
                                      <w:marTop w:val="0"/>
                                      <w:marBottom w:val="0"/>
                                      <w:divBdr>
                                        <w:top w:val="none" w:sz="0" w:space="0" w:color="auto"/>
                                        <w:left w:val="none" w:sz="0" w:space="0" w:color="auto"/>
                                        <w:bottom w:val="none" w:sz="0" w:space="0" w:color="auto"/>
                                        <w:right w:val="none" w:sz="0" w:space="0" w:color="auto"/>
                                      </w:divBdr>
                                    </w:div>
                                    <w:div w:id="145048487">
                                      <w:marLeft w:val="0"/>
                                      <w:marRight w:val="0"/>
                                      <w:marTop w:val="0"/>
                                      <w:marBottom w:val="0"/>
                                      <w:divBdr>
                                        <w:top w:val="none" w:sz="0" w:space="0" w:color="auto"/>
                                        <w:left w:val="none" w:sz="0" w:space="0" w:color="auto"/>
                                        <w:bottom w:val="none" w:sz="0" w:space="0" w:color="auto"/>
                                        <w:right w:val="none" w:sz="0" w:space="0" w:color="auto"/>
                                      </w:divBdr>
                                    </w:div>
                                    <w:div w:id="154150891">
                                      <w:marLeft w:val="0"/>
                                      <w:marRight w:val="0"/>
                                      <w:marTop w:val="0"/>
                                      <w:marBottom w:val="0"/>
                                      <w:divBdr>
                                        <w:top w:val="none" w:sz="0" w:space="0" w:color="auto"/>
                                        <w:left w:val="none" w:sz="0" w:space="0" w:color="auto"/>
                                        <w:bottom w:val="none" w:sz="0" w:space="0" w:color="auto"/>
                                        <w:right w:val="none" w:sz="0" w:space="0" w:color="auto"/>
                                      </w:divBdr>
                                    </w:div>
                                    <w:div w:id="162554809">
                                      <w:marLeft w:val="0"/>
                                      <w:marRight w:val="0"/>
                                      <w:marTop w:val="0"/>
                                      <w:marBottom w:val="0"/>
                                      <w:divBdr>
                                        <w:top w:val="none" w:sz="0" w:space="0" w:color="auto"/>
                                        <w:left w:val="none" w:sz="0" w:space="0" w:color="auto"/>
                                        <w:bottom w:val="none" w:sz="0" w:space="0" w:color="auto"/>
                                        <w:right w:val="none" w:sz="0" w:space="0" w:color="auto"/>
                                      </w:divBdr>
                                    </w:div>
                                    <w:div w:id="170220190">
                                      <w:marLeft w:val="0"/>
                                      <w:marRight w:val="0"/>
                                      <w:marTop w:val="0"/>
                                      <w:marBottom w:val="0"/>
                                      <w:divBdr>
                                        <w:top w:val="none" w:sz="0" w:space="0" w:color="auto"/>
                                        <w:left w:val="none" w:sz="0" w:space="0" w:color="auto"/>
                                        <w:bottom w:val="none" w:sz="0" w:space="0" w:color="auto"/>
                                        <w:right w:val="none" w:sz="0" w:space="0" w:color="auto"/>
                                      </w:divBdr>
                                    </w:div>
                                    <w:div w:id="171992335">
                                      <w:marLeft w:val="0"/>
                                      <w:marRight w:val="0"/>
                                      <w:marTop w:val="0"/>
                                      <w:marBottom w:val="0"/>
                                      <w:divBdr>
                                        <w:top w:val="none" w:sz="0" w:space="0" w:color="auto"/>
                                        <w:left w:val="none" w:sz="0" w:space="0" w:color="auto"/>
                                        <w:bottom w:val="none" w:sz="0" w:space="0" w:color="auto"/>
                                        <w:right w:val="none" w:sz="0" w:space="0" w:color="auto"/>
                                      </w:divBdr>
                                    </w:div>
                                    <w:div w:id="179468738">
                                      <w:marLeft w:val="0"/>
                                      <w:marRight w:val="0"/>
                                      <w:marTop w:val="0"/>
                                      <w:marBottom w:val="0"/>
                                      <w:divBdr>
                                        <w:top w:val="none" w:sz="0" w:space="0" w:color="auto"/>
                                        <w:left w:val="none" w:sz="0" w:space="0" w:color="auto"/>
                                        <w:bottom w:val="none" w:sz="0" w:space="0" w:color="auto"/>
                                        <w:right w:val="none" w:sz="0" w:space="0" w:color="auto"/>
                                      </w:divBdr>
                                    </w:div>
                                    <w:div w:id="179859003">
                                      <w:marLeft w:val="0"/>
                                      <w:marRight w:val="0"/>
                                      <w:marTop w:val="0"/>
                                      <w:marBottom w:val="0"/>
                                      <w:divBdr>
                                        <w:top w:val="none" w:sz="0" w:space="0" w:color="auto"/>
                                        <w:left w:val="none" w:sz="0" w:space="0" w:color="auto"/>
                                        <w:bottom w:val="none" w:sz="0" w:space="0" w:color="auto"/>
                                        <w:right w:val="none" w:sz="0" w:space="0" w:color="auto"/>
                                      </w:divBdr>
                                    </w:div>
                                    <w:div w:id="195045573">
                                      <w:marLeft w:val="0"/>
                                      <w:marRight w:val="0"/>
                                      <w:marTop w:val="0"/>
                                      <w:marBottom w:val="0"/>
                                      <w:divBdr>
                                        <w:top w:val="none" w:sz="0" w:space="0" w:color="auto"/>
                                        <w:left w:val="none" w:sz="0" w:space="0" w:color="auto"/>
                                        <w:bottom w:val="none" w:sz="0" w:space="0" w:color="auto"/>
                                        <w:right w:val="none" w:sz="0" w:space="0" w:color="auto"/>
                                      </w:divBdr>
                                    </w:div>
                                    <w:div w:id="212927140">
                                      <w:marLeft w:val="0"/>
                                      <w:marRight w:val="0"/>
                                      <w:marTop w:val="0"/>
                                      <w:marBottom w:val="0"/>
                                      <w:divBdr>
                                        <w:top w:val="none" w:sz="0" w:space="0" w:color="auto"/>
                                        <w:left w:val="none" w:sz="0" w:space="0" w:color="auto"/>
                                        <w:bottom w:val="none" w:sz="0" w:space="0" w:color="auto"/>
                                        <w:right w:val="none" w:sz="0" w:space="0" w:color="auto"/>
                                      </w:divBdr>
                                    </w:div>
                                    <w:div w:id="214970384">
                                      <w:marLeft w:val="0"/>
                                      <w:marRight w:val="0"/>
                                      <w:marTop w:val="0"/>
                                      <w:marBottom w:val="0"/>
                                      <w:divBdr>
                                        <w:top w:val="none" w:sz="0" w:space="0" w:color="auto"/>
                                        <w:left w:val="none" w:sz="0" w:space="0" w:color="auto"/>
                                        <w:bottom w:val="none" w:sz="0" w:space="0" w:color="auto"/>
                                        <w:right w:val="none" w:sz="0" w:space="0" w:color="auto"/>
                                      </w:divBdr>
                                    </w:div>
                                    <w:div w:id="217133504">
                                      <w:marLeft w:val="0"/>
                                      <w:marRight w:val="0"/>
                                      <w:marTop w:val="0"/>
                                      <w:marBottom w:val="0"/>
                                      <w:divBdr>
                                        <w:top w:val="none" w:sz="0" w:space="0" w:color="auto"/>
                                        <w:left w:val="none" w:sz="0" w:space="0" w:color="auto"/>
                                        <w:bottom w:val="none" w:sz="0" w:space="0" w:color="auto"/>
                                        <w:right w:val="none" w:sz="0" w:space="0" w:color="auto"/>
                                      </w:divBdr>
                                    </w:div>
                                    <w:div w:id="222835155">
                                      <w:marLeft w:val="0"/>
                                      <w:marRight w:val="0"/>
                                      <w:marTop w:val="0"/>
                                      <w:marBottom w:val="0"/>
                                      <w:divBdr>
                                        <w:top w:val="none" w:sz="0" w:space="0" w:color="auto"/>
                                        <w:left w:val="none" w:sz="0" w:space="0" w:color="auto"/>
                                        <w:bottom w:val="none" w:sz="0" w:space="0" w:color="auto"/>
                                        <w:right w:val="none" w:sz="0" w:space="0" w:color="auto"/>
                                      </w:divBdr>
                                    </w:div>
                                    <w:div w:id="226185634">
                                      <w:marLeft w:val="0"/>
                                      <w:marRight w:val="0"/>
                                      <w:marTop w:val="0"/>
                                      <w:marBottom w:val="0"/>
                                      <w:divBdr>
                                        <w:top w:val="none" w:sz="0" w:space="0" w:color="auto"/>
                                        <w:left w:val="none" w:sz="0" w:space="0" w:color="auto"/>
                                        <w:bottom w:val="none" w:sz="0" w:space="0" w:color="auto"/>
                                        <w:right w:val="none" w:sz="0" w:space="0" w:color="auto"/>
                                      </w:divBdr>
                                    </w:div>
                                    <w:div w:id="228081499">
                                      <w:marLeft w:val="0"/>
                                      <w:marRight w:val="0"/>
                                      <w:marTop w:val="0"/>
                                      <w:marBottom w:val="0"/>
                                      <w:divBdr>
                                        <w:top w:val="none" w:sz="0" w:space="0" w:color="auto"/>
                                        <w:left w:val="none" w:sz="0" w:space="0" w:color="auto"/>
                                        <w:bottom w:val="none" w:sz="0" w:space="0" w:color="auto"/>
                                        <w:right w:val="none" w:sz="0" w:space="0" w:color="auto"/>
                                      </w:divBdr>
                                    </w:div>
                                    <w:div w:id="240137623">
                                      <w:marLeft w:val="0"/>
                                      <w:marRight w:val="0"/>
                                      <w:marTop w:val="0"/>
                                      <w:marBottom w:val="0"/>
                                      <w:divBdr>
                                        <w:top w:val="none" w:sz="0" w:space="0" w:color="auto"/>
                                        <w:left w:val="none" w:sz="0" w:space="0" w:color="auto"/>
                                        <w:bottom w:val="none" w:sz="0" w:space="0" w:color="auto"/>
                                        <w:right w:val="none" w:sz="0" w:space="0" w:color="auto"/>
                                      </w:divBdr>
                                    </w:div>
                                    <w:div w:id="244071972">
                                      <w:marLeft w:val="0"/>
                                      <w:marRight w:val="0"/>
                                      <w:marTop w:val="0"/>
                                      <w:marBottom w:val="0"/>
                                      <w:divBdr>
                                        <w:top w:val="none" w:sz="0" w:space="0" w:color="auto"/>
                                        <w:left w:val="none" w:sz="0" w:space="0" w:color="auto"/>
                                        <w:bottom w:val="none" w:sz="0" w:space="0" w:color="auto"/>
                                        <w:right w:val="none" w:sz="0" w:space="0" w:color="auto"/>
                                      </w:divBdr>
                                    </w:div>
                                    <w:div w:id="271013170">
                                      <w:marLeft w:val="0"/>
                                      <w:marRight w:val="0"/>
                                      <w:marTop w:val="0"/>
                                      <w:marBottom w:val="0"/>
                                      <w:divBdr>
                                        <w:top w:val="none" w:sz="0" w:space="0" w:color="auto"/>
                                        <w:left w:val="none" w:sz="0" w:space="0" w:color="auto"/>
                                        <w:bottom w:val="none" w:sz="0" w:space="0" w:color="auto"/>
                                        <w:right w:val="none" w:sz="0" w:space="0" w:color="auto"/>
                                      </w:divBdr>
                                    </w:div>
                                    <w:div w:id="278530121">
                                      <w:marLeft w:val="0"/>
                                      <w:marRight w:val="0"/>
                                      <w:marTop w:val="0"/>
                                      <w:marBottom w:val="0"/>
                                      <w:divBdr>
                                        <w:top w:val="none" w:sz="0" w:space="0" w:color="auto"/>
                                        <w:left w:val="none" w:sz="0" w:space="0" w:color="auto"/>
                                        <w:bottom w:val="none" w:sz="0" w:space="0" w:color="auto"/>
                                        <w:right w:val="none" w:sz="0" w:space="0" w:color="auto"/>
                                      </w:divBdr>
                                    </w:div>
                                    <w:div w:id="294221630">
                                      <w:marLeft w:val="0"/>
                                      <w:marRight w:val="0"/>
                                      <w:marTop w:val="0"/>
                                      <w:marBottom w:val="0"/>
                                      <w:divBdr>
                                        <w:top w:val="none" w:sz="0" w:space="0" w:color="auto"/>
                                        <w:left w:val="none" w:sz="0" w:space="0" w:color="auto"/>
                                        <w:bottom w:val="none" w:sz="0" w:space="0" w:color="auto"/>
                                        <w:right w:val="none" w:sz="0" w:space="0" w:color="auto"/>
                                      </w:divBdr>
                                    </w:div>
                                    <w:div w:id="301351357">
                                      <w:marLeft w:val="0"/>
                                      <w:marRight w:val="0"/>
                                      <w:marTop w:val="0"/>
                                      <w:marBottom w:val="0"/>
                                      <w:divBdr>
                                        <w:top w:val="none" w:sz="0" w:space="0" w:color="auto"/>
                                        <w:left w:val="none" w:sz="0" w:space="0" w:color="auto"/>
                                        <w:bottom w:val="none" w:sz="0" w:space="0" w:color="auto"/>
                                        <w:right w:val="none" w:sz="0" w:space="0" w:color="auto"/>
                                      </w:divBdr>
                                    </w:div>
                                    <w:div w:id="312954293">
                                      <w:marLeft w:val="0"/>
                                      <w:marRight w:val="0"/>
                                      <w:marTop w:val="0"/>
                                      <w:marBottom w:val="0"/>
                                      <w:divBdr>
                                        <w:top w:val="none" w:sz="0" w:space="0" w:color="auto"/>
                                        <w:left w:val="none" w:sz="0" w:space="0" w:color="auto"/>
                                        <w:bottom w:val="none" w:sz="0" w:space="0" w:color="auto"/>
                                        <w:right w:val="none" w:sz="0" w:space="0" w:color="auto"/>
                                      </w:divBdr>
                                    </w:div>
                                    <w:div w:id="318270734">
                                      <w:marLeft w:val="0"/>
                                      <w:marRight w:val="0"/>
                                      <w:marTop w:val="0"/>
                                      <w:marBottom w:val="0"/>
                                      <w:divBdr>
                                        <w:top w:val="none" w:sz="0" w:space="0" w:color="auto"/>
                                        <w:left w:val="none" w:sz="0" w:space="0" w:color="auto"/>
                                        <w:bottom w:val="none" w:sz="0" w:space="0" w:color="auto"/>
                                        <w:right w:val="none" w:sz="0" w:space="0" w:color="auto"/>
                                      </w:divBdr>
                                    </w:div>
                                    <w:div w:id="341014420">
                                      <w:marLeft w:val="0"/>
                                      <w:marRight w:val="0"/>
                                      <w:marTop w:val="0"/>
                                      <w:marBottom w:val="0"/>
                                      <w:divBdr>
                                        <w:top w:val="none" w:sz="0" w:space="0" w:color="auto"/>
                                        <w:left w:val="none" w:sz="0" w:space="0" w:color="auto"/>
                                        <w:bottom w:val="none" w:sz="0" w:space="0" w:color="auto"/>
                                        <w:right w:val="none" w:sz="0" w:space="0" w:color="auto"/>
                                      </w:divBdr>
                                    </w:div>
                                    <w:div w:id="366028168">
                                      <w:marLeft w:val="0"/>
                                      <w:marRight w:val="0"/>
                                      <w:marTop w:val="0"/>
                                      <w:marBottom w:val="0"/>
                                      <w:divBdr>
                                        <w:top w:val="none" w:sz="0" w:space="0" w:color="auto"/>
                                        <w:left w:val="none" w:sz="0" w:space="0" w:color="auto"/>
                                        <w:bottom w:val="none" w:sz="0" w:space="0" w:color="auto"/>
                                        <w:right w:val="none" w:sz="0" w:space="0" w:color="auto"/>
                                      </w:divBdr>
                                    </w:div>
                                    <w:div w:id="399208735">
                                      <w:marLeft w:val="0"/>
                                      <w:marRight w:val="0"/>
                                      <w:marTop w:val="0"/>
                                      <w:marBottom w:val="0"/>
                                      <w:divBdr>
                                        <w:top w:val="none" w:sz="0" w:space="0" w:color="auto"/>
                                        <w:left w:val="none" w:sz="0" w:space="0" w:color="auto"/>
                                        <w:bottom w:val="none" w:sz="0" w:space="0" w:color="auto"/>
                                        <w:right w:val="none" w:sz="0" w:space="0" w:color="auto"/>
                                      </w:divBdr>
                                    </w:div>
                                    <w:div w:id="439759917">
                                      <w:marLeft w:val="0"/>
                                      <w:marRight w:val="0"/>
                                      <w:marTop w:val="0"/>
                                      <w:marBottom w:val="0"/>
                                      <w:divBdr>
                                        <w:top w:val="none" w:sz="0" w:space="0" w:color="auto"/>
                                        <w:left w:val="none" w:sz="0" w:space="0" w:color="auto"/>
                                        <w:bottom w:val="none" w:sz="0" w:space="0" w:color="auto"/>
                                        <w:right w:val="none" w:sz="0" w:space="0" w:color="auto"/>
                                      </w:divBdr>
                                    </w:div>
                                    <w:div w:id="450442513">
                                      <w:marLeft w:val="0"/>
                                      <w:marRight w:val="0"/>
                                      <w:marTop w:val="0"/>
                                      <w:marBottom w:val="0"/>
                                      <w:divBdr>
                                        <w:top w:val="none" w:sz="0" w:space="0" w:color="auto"/>
                                        <w:left w:val="none" w:sz="0" w:space="0" w:color="auto"/>
                                        <w:bottom w:val="none" w:sz="0" w:space="0" w:color="auto"/>
                                        <w:right w:val="none" w:sz="0" w:space="0" w:color="auto"/>
                                      </w:divBdr>
                                    </w:div>
                                    <w:div w:id="452286564">
                                      <w:marLeft w:val="0"/>
                                      <w:marRight w:val="0"/>
                                      <w:marTop w:val="0"/>
                                      <w:marBottom w:val="0"/>
                                      <w:divBdr>
                                        <w:top w:val="none" w:sz="0" w:space="0" w:color="auto"/>
                                        <w:left w:val="none" w:sz="0" w:space="0" w:color="auto"/>
                                        <w:bottom w:val="none" w:sz="0" w:space="0" w:color="auto"/>
                                        <w:right w:val="none" w:sz="0" w:space="0" w:color="auto"/>
                                      </w:divBdr>
                                    </w:div>
                                    <w:div w:id="452553001">
                                      <w:marLeft w:val="0"/>
                                      <w:marRight w:val="0"/>
                                      <w:marTop w:val="0"/>
                                      <w:marBottom w:val="0"/>
                                      <w:divBdr>
                                        <w:top w:val="none" w:sz="0" w:space="0" w:color="auto"/>
                                        <w:left w:val="none" w:sz="0" w:space="0" w:color="auto"/>
                                        <w:bottom w:val="none" w:sz="0" w:space="0" w:color="auto"/>
                                        <w:right w:val="none" w:sz="0" w:space="0" w:color="auto"/>
                                      </w:divBdr>
                                    </w:div>
                                    <w:div w:id="456024911">
                                      <w:marLeft w:val="0"/>
                                      <w:marRight w:val="0"/>
                                      <w:marTop w:val="0"/>
                                      <w:marBottom w:val="0"/>
                                      <w:divBdr>
                                        <w:top w:val="none" w:sz="0" w:space="0" w:color="auto"/>
                                        <w:left w:val="none" w:sz="0" w:space="0" w:color="auto"/>
                                        <w:bottom w:val="none" w:sz="0" w:space="0" w:color="auto"/>
                                        <w:right w:val="none" w:sz="0" w:space="0" w:color="auto"/>
                                      </w:divBdr>
                                    </w:div>
                                    <w:div w:id="460195769">
                                      <w:marLeft w:val="0"/>
                                      <w:marRight w:val="0"/>
                                      <w:marTop w:val="0"/>
                                      <w:marBottom w:val="0"/>
                                      <w:divBdr>
                                        <w:top w:val="none" w:sz="0" w:space="0" w:color="auto"/>
                                        <w:left w:val="none" w:sz="0" w:space="0" w:color="auto"/>
                                        <w:bottom w:val="none" w:sz="0" w:space="0" w:color="auto"/>
                                        <w:right w:val="none" w:sz="0" w:space="0" w:color="auto"/>
                                      </w:divBdr>
                                    </w:div>
                                    <w:div w:id="460465589">
                                      <w:marLeft w:val="0"/>
                                      <w:marRight w:val="0"/>
                                      <w:marTop w:val="0"/>
                                      <w:marBottom w:val="0"/>
                                      <w:divBdr>
                                        <w:top w:val="none" w:sz="0" w:space="0" w:color="auto"/>
                                        <w:left w:val="none" w:sz="0" w:space="0" w:color="auto"/>
                                        <w:bottom w:val="none" w:sz="0" w:space="0" w:color="auto"/>
                                        <w:right w:val="none" w:sz="0" w:space="0" w:color="auto"/>
                                      </w:divBdr>
                                    </w:div>
                                    <w:div w:id="478112438">
                                      <w:marLeft w:val="0"/>
                                      <w:marRight w:val="0"/>
                                      <w:marTop w:val="0"/>
                                      <w:marBottom w:val="0"/>
                                      <w:divBdr>
                                        <w:top w:val="none" w:sz="0" w:space="0" w:color="auto"/>
                                        <w:left w:val="none" w:sz="0" w:space="0" w:color="auto"/>
                                        <w:bottom w:val="none" w:sz="0" w:space="0" w:color="auto"/>
                                        <w:right w:val="none" w:sz="0" w:space="0" w:color="auto"/>
                                      </w:divBdr>
                                    </w:div>
                                    <w:div w:id="488983100">
                                      <w:marLeft w:val="0"/>
                                      <w:marRight w:val="0"/>
                                      <w:marTop w:val="0"/>
                                      <w:marBottom w:val="0"/>
                                      <w:divBdr>
                                        <w:top w:val="none" w:sz="0" w:space="0" w:color="auto"/>
                                        <w:left w:val="none" w:sz="0" w:space="0" w:color="auto"/>
                                        <w:bottom w:val="none" w:sz="0" w:space="0" w:color="auto"/>
                                        <w:right w:val="none" w:sz="0" w:space="0" w:color="auto"/>
                                      </w:divBdr>
                                    </w:div>
                                    <w:div w:id="490105437">
                                      <w:marLeft w:val="0"/>
                                      <w:marRight w:val="0"/>
                                      <w:marTop w:val="0"/>
                                      <w:marBottom w:val="0"/>
                                      <w:divBdr>
                                        <w:top w:val="none" w:sz="0" w:space="0" w:color="auto"/>
                                        <w:left w:val="none" w:sz="0" w:space="0" w:color="auto"/>
                                        <w:bottom w:val="none" w:sz="0" w:space="0" w:color="auto"/>
                                        <w:right w:val="none" w:sz="0" w:space="0" w:color="auto"/>
                                      </w:divBdr>
                                    </w:div>
                                    <w:div w:id="514852107">
                                      <w:marLeft w:val="0"/>
                                      <w:marRight w:val="0"/>
                                      <w:marTop w:val="0"/>
                                      <w:marBottom w:val="0"/>
                                      <w:divBdr>
                                        <w:top w:val="none" w:sz="0" w:space="0" w:color="auto"/>
                                        <w:left w:val="none" w:sz="0" w:space="0" w:color="auto"/>
                                        <w:bottom w:val="none" w:sz="0" w:space="0" w:color="auto"/>
                                        <w:right w:val="none" w:sz="0" w:space="0" w:color="auto"/>
                                      </w:divBdr>
                                    </w:div>
                                    <w:div w:id="520819715">
                                      <w:marLeft w:val="0"/>
                                      <w:marRight w:val="0"/>
                                      <w:marTop w:val="0"/>
                                      <w:marBottom w:val="0"/>
                                      <w:divBdr>
                                        <w:top w:val="none" w:sz="0" w:space="0" w:color="auto"/>
                                        <w:left w:val="none" w:sz="0" w:space="0" w:color="auto"/>
                                        <w:bottom w:val="none" w:sz="0" w:space="0" w:color="auto"/>
                                        <w:right w:val="none" w:sz="0" w:space="0" w:color="auto"/>
                                      </w:divBdr>
                                    </w:div>
                                    <w:div w:id="583760990">
                                      <w:marLeft w:val="0"/>
                                      <w:marRight w:val="0"/>
                                      <w:marTop w:val="0"/>
                                      <w:marBottom w:val="0"/>
                                      <w:divBdr>
                                        <w:top w:val="none" w:sz="0" w:space="0" w:color="auto"/>
                                        <w:left w:val="none" w:sz="0" w:space="0" w:color="auto"/>
                                        <w:bottom w:val="none" w:sz="0" w:space="0" w:color="auto"/>
                                        <w:right w:val="none" w:sz="0" w:space="0" w:color="auto"/>
                                      </w:divBdr>
                                    </w:div>
                                    <w:div w:id="599486027">
                                      <w:marLeft w:val="0"/>
                                      <w:marRight w:val="0"/>
                                      <w:marTop w:val="0"/>
                                      <w:marBottom w:val="0"/>
                                      <w:divBdr>
                                        <w:top w:val="none" w:sz="0" w:space="0" w:color="auto"/>
                                        <w:left w:val="none" w:sz="0" w:space="0" w:color="auto"/>
                                        <w:bottom w:val="none" w:sz="0" w:space="0" w:color="auto"/>
                                        <w:right w:val="none" w:sz="0" w:space="0" w:color="auto"/>
                                      </w:divBdr>
                                    </w:div>
                                    <w:div w:id="601838195">
                                      <w:marLeft w:val="0"/>
                                      <w:marRight w:val="0"/>
                                      <w:marTop w:val="0"/>
                                      <w:marBottom w:val="0"/>
                                      <w:divBdr>
                                        <w:top w:val="none" w:sz="0" w:space="0" w:color="auto"/>
                                        <w:left w:val="none" w:sz="0" w:space="0" w:color="auto"/>
                                        <w:bottom w:val="none" w:sz="0" w:space="0" w:color="auto"/>
                                        <w:right w:val="none" w:sz="0" w:space="0" w:color="auto"/>
                                      </w:divBdr>
                                    </w:div>
                                    <w:div w:id="611322730">
                                      <w:marLeft w:val="0"/>
                                      <w:marRight w:val="0"/>
                                      <w:marTop w:val="0"/>
                                      <w:marBottom w:val="0"/>
                                      <w:divBdr>
                                        <w:top w:val="none" w:sz="0" w:space="0" w:color="auto"/>
                                        <w:left w:val="none" w:sz="0" w:space="0" w:color="auto"/>
                                        <w:bottom w:val="none" w:sz="0" w:space="0" w:color="auto"/>
                                        <w:right w:val="none" w:sz="0" w:space="0" w:color="auto"/>
                                      </w:divBdr>
                                    </w:div>
                                    <w:div w:id="631715144">
                                      <w:marLeft w:val="0"/>
                                      <w:marRight w:val="0"/>
                                      <w:marTop w:val="0"/>
                                      <w:marBottom w:val="0"/>
                                      <w:divBdr>
                                        <w:top w:val="none" w:sz="0" w:space="0" w:color="auto"/>
                                        <w:left w:val="none" w:sz="0" w:space="0" w:color="auto"/>
                                        <w:bottom w:val="none" w:sz="0" w:space="0" w:color="auto"/>
                                        <w:right w:val="none" w:sz="0" w:space="0" w:color="auto"/>
                                      </w:divBdr>
                                    </w:div>
                                    <w:div w:id="634876345">
                                      <w:marLeft w:val="0"/>
                                      <w:marRight w:val="0"/>
                                      <w:marTop w:val="0"/>
                                      <w:marBottom w:val="0"/>
                                      <w:divBdr>
                                        <w:top w:val="none" w:sz="0" w:space="0" w:color="auto"/>
                                        <w:left w:val="none" w:sz="0" w:space="0" w:color="auto"/>
                                        <w:bottom w:val="none" w:sz="0" w:space="0" w:color="auto"/>
                                        <w:right w:val="none" w:sz="0" w:space="0" w:color="auto"/>
                                      </w:divBdr>
                                    </w:div>
                                    <w:div w:id="636423359">
                                      <w:marLeft w:val="0"/>
                                      <w:marRight w:val="0"/>
                                      <w:marTop w:val="0"/>
                                      <w:marBottom w:val="0"/>
                                      <w:divBdr>
                                        <w:top w:val="none" w:sz="0" w:space="0" w:color="auto"/>
                                        <w:left w:val="none" w:sz="0" w:space="0" w:color="auto"/>
                                        <w:bottom w:val="none" w:sz="0" w:space="0" w:color="auto"/>
                                        <w:right w:val="none" w:sz="0" w:space="0" w:color="auto"/>
                                      </w:divBdr>
                                    </w:div>
                                    <w:div w:id="649599047">
                                      <w:marLeft w:val="0"/>
                                      <w:marRight w:val="0"/>
                                      <w:marTop w:val="0"/>
                                      <w:marBottom w:val="0"/>
                                      <w:divBdr>
                                        <w:top w:val="none" w:sz="0" w:space="0" w:color="auto"/>
                                        <w:left w:val="none" w:sz="0" w:space="0" w:color="auto"/>
                                        <w:bottom w:val="none" w:sz="0" w:space="0" w:color="auto"/>
                                        <w:right w:val="none" w:sz="0" w:space="0" w:color="auto"/>
                                      </w:divBdr>
                                    </w:div>
                                    <w:div w:id="654525943">
                                      <w:marLeft w:val="0"/>
                                      <w:marRight w:val="0"/>
                                      <w:marTop w:val="0"/>
                                      <w:marBottom w:val="0"/>
                                      <w:divBdr>
                                        <w:top w:val="none" w:sz="0" w:space="0" w:color="auto"/>
                                        <w:left w:val="none" w:sz="0" w:space="0" w:color="auto"/>
                                        <w:bottom w:val="none" w:sz="0" w:space="0" w:color="auto"/>
                                        <w:right w:val="none" w:sz="0" w:space="0" w:color="auto"/>
                                      </w:divBdr>
                                    </w:div>
                                    <w:div w:id="655688588">
                                      <w:marLeft w:val="0"/>
                                      <w:marRight w:val="0"/>
                                      <w:marTop w:val="0"/>
                                      <w:marBottom w:val="0"/>
                                      <w:divBdr>
                                        <w:top w:val="none" w:sz="0" w:space="0" w:color="auto"/>
                                        <w:left w:val="none" w:sz="0" w:space="0" w:color="auto"/>
                                        <w:bottom w:val="none" w:sz="0" w:space="0" w:color="auto"/>
                                        <w:right w:val="none" w:sz="0" w:space="0" w:color="auto"/>
                                      </w:divBdr>
                                    </w:div>
                                    <w:div w:id="666136461">
                                      <w:marLeft w:val="0"/>
                                      <w:marRight w:val="0"/>
                                      <w:marTop w:val="0"/>
                                      <w:marBottom w:val="0"/>
                                      <w:divBdr>
                                        <w:top w:val="none" w:sz="0" w:space="0" w:color="auto"/>
                                        <w:left w:val="none" w:sz="0" w:space="0" w:color="auto"/>
                                        <w:bottom w:val="none" w:sz="0" w:space="0" w:color="auto"/>
                                        <w:right w:val="none" w:sz="0" w:space="0" w:color="auto"/>
                                      </w:divBdr>
                                    </w:div>
                                    <w:div w:id="680163282">
                                      <w:marLeft w:val="0"/>
                                      <w:marRight w:val="0"/>
                                      <w:marTop w:val="0"/>
                                      <w:marBottom w:val="0"/>
                                      <w:divBdr>
                                        <w:top w:val="none" w:sz="0" w:space="0" w:color="auto"/>
                                        <w:left w:val="none" w:sz="0" w:space="0" w:color="auto"/>
                                        <w:bottom w:val="none" w:sz="0" w:space="0" w:color="auto"/>
                                        <w:right w:val="none" w:sz="0" w:space="0" w:color="auto"/>
                                      </w:divBdr>
                                    </w:div>
                                    <w:div w:id="683895773">
                                      <w:marLeft w:val="0"/>
                                      <w:marRight w:val="0"/>
                                      <w:marTop w:val="0"/>
                                      <w:marBottom w:val="0"/>
                                      <w:divBdr>
                                        <w:top w:val="none" w:sz="0" w:space="0" w:color="auto"/>
                                        <w:left w:val="none" w:sz="0" w:space="0" w:color="auto"/>
                                        <w:bottom w:val="none" w:sz="0" w:space="0" w:color="auto"/>
                                        <w:right w:val="none" w:sz="0" w:space="0" w:color="auto"/>
                                      </w:divBdr>
                                    </w:div>
                                    <w:div w:id="707948029">
                                      <w:marLeft w:val="0"/>
                                      <w:marRight w:val="0"/>
                                      <w:marTop w:val="0"/>
                                      <w:marBottom w:val="0"/>
                                      <w:divBdr>
                                        <w:top w:val="none" w:sz="0" w:space="0" w:color="auto"/>
                                        <w:left w:val="none" w:sz="0" w:space="0" w:color="auto"/>
                                        <w:bottom w:val="none" w:sz="0" w:space="0" w:color="auto"/>
                                        <w:right w:val="none" w:sz="0" w:space="0" w:color="auto"/>
                                      </w:divBdr>
                                    </w:div>
                                    <w:div w:id="744452043">
                                      <w:marLeft w:val="0"/>
                                      <w:marRight w:val="0"/>
                                      <w:marTop w:val="0"/>
                                      <w:marBottom w:val="0"/>
                                      <w:divBdr>
                                        <w:top w:val="none" w:sz="0" w:space="0" w:color="auto"/>
                                        <w:left w:val="none" w:sz="0" w:space="0" w:color="auto"/>
                                        <w:bottom w:val="none" w:sz="0" w:space="0" w:color="auto"/>
                                        <w:right w:val="none" w:sz="0" w:space="0" w:color="auto"/>
                                      </w:divBdr>
                                    </w:div>
                                    <w:div w:id="778836608">
                                      <w:marLeft w:val="0"/>
                                      <w:marRight w:val="0"/>
                                      <w:marTop w:val="0"/>
                                      <w:marBottom w:val="0"/>
                                      <w:divBdr>
                                        <w:top w:val="none" w:sz="0" w:space="0" w:color="auto"/>
                                        <w:left w:val="none" w:sz="0" w:space="0" w:color="auto"/>
                                        <w:bottom w:val="none" w:sz="0" w:space="0" w:color="auto"/>
                                        <w:right w:val="none" w:sz="0" w:space="0" w:color="auto"/>
                                      </w:divBdr>
                                    </w:div>
                                    <w:div w:id="784736754">
                                      <w:marLeft w:val="0"/>
                                      <w:marRight w:val="0"/>
                                      <w:marTop w:val="0"/>
                                      <w:marBottom w:val="0"/>
                                      <w:divBdr>
                                        <w:top w:val="none" w:sz="0" w:space="0" w:color="auto"/>
                                        <w:left w:val="none" w:sz="0" w:space="0" w:color="auto"/>
                                        <w:bottom w:val="none" w:sz="0" w:space="0" w:color="auto"/>
                                        <w:right w:val="none" w:sz="0" w:space="0" w:color="auto"/>
                                      </w:divBdr>
                                    </w:div>
                                    <w:div w:id="804933352">
                                      <w:marLeft w:val="0"/>
                                      <w:marRight w:val="0"/>
                                      <w:marTop w:val="0"/>
                                      <w:marBottom w:val="0"/>
                                      <w:divBdr>
                                        <w:top w:val="none" w:sz="0" w:space="0" w:color="auto"/>
                                        <w:left w:val="none" w:sz="0" w:space="0" w:color="auto"/>
                                        <w:bottom w:val="none" w:sz="0" w:space="0" w:color="auto"/>
                                        <w:right w:val="none" w:sz="0" w:space="0" w:color="auto"/>
                                      </w:divBdr>
                                    </w:div>
                                    <w:div w:id="805314521">
                                      <w:marLeft w:val="0"/>
                                      <w:marRight w:val="0"/>
                                      <w:marTop w:val="0"/>
                                      <w:marBottom w:val="0"/>
                                      <w:divBdr>
                                        <w:top w:val="none" w:sz="0" w:space="0" w:color="auto"/>
                                        <w:left w:val="none" w:sz="0" w:space="0" w:color="auto"/>
                                        <w:bottom w:val="none" w:sz="0" w:space="0" w:color="auto"/>
                                        <w:right w:val="none" w:sz="0" w:space="0" w:color="auto"/>
                                      </w:divBdr>
                                    </w:div>
                                    <w:div w:id="812866239">
                                      <w:marLeft w:val="0"/>
                                      <w:marRight w:val="0"/>
                                      <w:marTop w:val="0"/>
                                      <w:marBottom w:val="0"/>
                                      <w:divBdr>
                                        <w:top w:val="none" w:sz="0" w:space="0" w:color="auto"/>
                                        <w:left w:val="none" w:sz="0" w:space="0" w:color="auto"/>
                                        <w:bottom w:val="none" w:sz="0" w:space="0" w:color="auto"/>
                                        <w:right w:val="none" w:sz="0" w:space="0" w:color="auto"/>
                                      </w:divBdr>
                                    </w:div>
                                    <w:div w:id="819418894">
                                      <w:marLeft w:val="0"/>
                                      <w:marRight w:val="0"/>
                                      <w:marTop w:val="0"/>
                                      <w:marBottom w:val="0"/>
                                      <w:divBdr>
                                        <w:top w:val="none" w:sz="0" w:space="0" w:color="auto"/>
                                        <w:left w:val="none" w:sz="0" w:space="0" w:color="auto"/>
                                        <w:bottom w:val="none" w:sz="0" w:space="0" w:color="auto"/>
                                        <w:right w:val="none" w:sz="0" w:space="0" w:color="auto"/>
                                      </w:divBdr>
                                    </w:div>
                                    <w:div w:id="823011332">
                                      <w:marLeft w:val="0"/>
                                      <w:marRight w:val="0"/>
                                      <w:marTop w:val="0"/>
                                      <w:marBottom w:val="0"/>
                                      <w:divBdr>
                                        <w:top w:val="none" w:sz="0" w:space="0" w:color="auto"/>
                                        <w:left w:val="none" w:sz="0" w:space="0" w:color="auto"/>
                                        <w:bottom w:val="none" w:sz="0" w:space="0" w:color="auto"/>
                                        <w:right w:val="none" w:sz="0" w:space="0" w:color="auto"/>
                                      </w:divBdr>
                                    </w:div>
                                    <w:div w:id="832649340">
                                      <w:marLeft w:val="0"/>
                                      <w:marRight w:val="0"/>
                                      <w:marTop w:val="0"/>
                                      <w:marBottom w:val="0"/>
                                      <w:divBdr>
                                        <w:top w:val="none" w:sz="0" w:space="0" w:color="auto"/>
                                        <w:left w:val="none" w:sz="0" w:space="0" w:color="auto"/>
                                        <w:bottom w:val="none" w:sz="0" w:space="0" w:color="auto"/>
                                        <w:right w:val="none" w:sz="0" w:space="0" w:color="auto"/>
                                      </w:divBdr>
                                    </w:div>
                                    <w:div w:id="834876917">
                                      <w:marLeft w:val="0"/>
                                      <w:marRight w:val="0"/>
                                      <w:marTop w:val="0"/>
                                      <w:marBottom w:val="0"/>
                                      <w:divBdr>
                                        <w:top w:val="none" w:sz="0" w:space="0" w:color="auto"/>
                                        <w:left w:val="none" w:sz="0" w:space="0" w:color="auto"/>
                                        <w:bottom w:val="none" w:sz="0" w:space="0" w:color="auto"/>
                                        <w:right w:val="none" w:sz="0" w:space="0" w:color="auto"/>
                                      </w:divBdr>
                                    </w:div>
                                    <w:div w:id="844245415">
                                      <w:marLeft w:val="0"/>
                                      <w:marRight w:val="0"/>
                                      <w:marTop w:val="0"/>
                                      <w:marBottom w:val="0"/>
                                      <w:divBdr>
                                        <w:top w:val="none" w:sz="0" w:space="0" w:color="auto"/>
                                        <w:left w:val="none" w:sz="0" w:space="0" w:color="auto"/>
                                        <w:bottom w:val="none" w:sz="0" w:space="0" w:color="auto"/>
                                        <w:right w:val="none" w:sz="0" w:space="0" w:color="auto"/>
                                      </w:divBdr>
                                    </w:div>
                                    <w:div w:id="859664882">
                                      <w:marLeft w:val="0"/>
                                      <w:marRight w:val="0"/>
                                      <w:marTop w:val="0"/>
                                      <w:marBottom w:val="0"/>
                                      <w:divBdr>
                                        <w:top w:val="none" w:sz="0" w:space="0" w:color="auto"/>
                                        <w:left w:val="none" w:sz="0" w:space="0" w:color="auto"/>
                                        <w:bottom w:val="none" w:sz="0" w:space="0" w:color="auto"/>
                                        <w:right w:val="none" w:sz="0" w:space="0" w:color="auto"/>
                                      </w:divBdr>
                                      <w:divsChild>
                                        <w:div w:id="1300921521">
                                          <w:marLeft w:val="0"/>
                                          <w:marRight w:val="0"/>
                                          <w:marTop w:val="0"/>
                                          <w:marBottom w:val="0"/>
                                          <w:divBdr>
                                            <w:top w:val="none" w:sz="0" w:space="0" w:color="auto"/>
                                            <w:left w:val="none" w:sz="0" w:space="0" w:color="auto"/>
                                            <w:bottom w:val="none" w:sz="0" w:space="0" w:color="auto"/>
                                            <w:right w:val="none" w:sz="0" w:space="0" w:color="auto"/>
                                          </w:divBdr>
                                          <w:divsChild>
                                            <w:div w:id="12733714">
                                              <w:marLeft w:val="0"/>
                                              <w:marRight w:val="0"/>
                                              <w:marTop w:val="0"/>
                                              <w:marBottom w:val="0"/>
                                              <w:divBdr>
                                                <w:top w:val="none" w:sz="0" w:space="0" w:color="auto"/>
                                                <w:left w:val="none" w:sz="0" w:space="0" w:color="auto"/>
                                                <w:bottom w:val="none" w:sz="0" w:space="0" w:color="auto"/>
                                                <w:right w:val="none" w:sz="0" w:space="0" w:color="auto"/>
                                              </w:divBdr>
                                            </w:div>
                                            <w:div w:id="23293267">
                                              <w:marLeft w:val="0"/>
                                              <w:marRight w:val="0"/>
                                              <w:marTop w:val="0"/>
                                              <w:marBottom w:val="0"/>
                                              <w:divBdr>
                                                <w:top w:val="none" w:sz="0" w:space="0" w:color="auto"/>
                                                <w:left w:val="none" w:sz="0" w:space="0" w:color="auto"/>
                                                <w:bottom w:val="none" w:sz="0" w:space="0" w:color="auto"/>
                                                <w:right w:val="none" w:sz="0" w:space="0" w:color="auto"/>
                                              </w:divBdr>
                                            </w:div>
                                            <w:div w:id="33583666">
                                              <w:marLeft w:val="0"/>
                                              <w:marRight w:val="0"/>
                                              <w:marTop w:val="0"/>
                                              <w:marBottom w:val="0"/>
                                              <w:divBdr>
                                                <w:top w:val="none" w:sz="0" w:space="0" w:color="auto"/>
                                                <w:left w:val="none" w:sz="0" w:space="0" w:color="auto"/>
                                                <w:bottom w:val="none" w:sz="0" w:space="0" w:color="auto"/>
                                                <w:right w:val="none" w:sz="0" w:space="0" w:color="auto"/>
                                              </w:divBdr>
                                            </w:div>
                                            <w:div w:id="60761865">
                                              <w:marLeft w:val="0"/>
                                              <w:marRight w:val="0"/>
                                              <w:marTop w:val="0"/>
                                              <w:marBottom w:val="0"/>
                                              <w:divBdr>
                                                <w:top w:val="none" w:sz="0" w:space="0" w:color="auto"/>
                                                <w:left w:val="none" w:sz="0" w:space="0" w:color="auto"/>
                                                <w:bottom w:val="none" w:sz="0" w:space="0" w:color="auto"/>
                                                <w:right w:val="none" w:sz="0" w:space="0" w:color="auto"/>
                                              </w:divBdr>
                                            </w:div>
                                            <w:div w:id="117916175">
                                              <w:marLeft w:val="0"/>
                                              <w:marRight w:val="0"/>
                                              <w:marTop w:val="0"/>
                                              <w:marBottom w:val="0"/>
                                              <w:divBdr>
                                                <w:top w:val="none" w:sz="0" w:space="0" w:color="auto"/>
                                                <w:left w:val="none" w:sz="0" w:space="0" w:color="auto"/>
                                                <w:bottom w:val="none" w:sz="0" w:space="0" w:color="auto"/>
                                                <w:right w:val="none" w:sz="0" w:space="0" w:color="auto"/>
                                              </w:divBdr>
                                            </w:div>
                                            <w:div w:id="142044522">
                                              <w:marLeft w:val="0"/>
                                              <w:marRight w:val="0"/>
                                              <w:marTop w:val="0"/>
                                              <w:marBottom w:val="0"/>
                                              <w:divBdr>
                                                <w:top w:val="none" w:sz="0" w:space="0" w:color="auto"/>
                                                <w:left w:val="none" w:sz="0" w:space="0" w:color="auto"/>
                                                <w:bottom w:val="none" w:sz="0" w:space="0" w:color="auto"/>
                                                <w:right w:val="none" w:sz="0" w:space="0" w:color="auto"/>
                                              </w:divBdr>
                                            </w:div>
                                            <w:div w:id="165749452">
                                              <w:marLeft w:val="0"/>
                                              <w:marRight w:val="0"/>
                                              <w:marTop w:val="0"/>
                                              <w:marBottom w:val="0"/>
                                              <w:divBdr>
                                                <w:top w:val="none" w:sz="0" w:space="0" w:color="auto"/>
                                                <w:left w:val="none" w:sz="0" w:space="0" w:color="auto"/>
                                                <w:bottom w:val="none" w:sz="0" w:space="0" w:color="auto"/>
                                                <w:right w:val="none" w:sz="0" w:space="0" w:color="auto"/>
                                              </w:divBdr>
                                            </w:div>
                                            <w:div w:id="286745069">
                                              <w:marLeft w:val="0"/>
                                              <w:marRight w:val="0"/>
                                              <w:marTop w:val="0"/>
                                              <w:marBottom w:val="0"/>
                                              <w:divBdr>
                                                <w:top w:val="none" w:sz="0" w:space="0" w:color="auto"/>
                                                <w:left w:val="none" w:sz="0" w:space="0" w:color="auto"/>
                                                <w:bottom w:val="none" w:sz="0" w:space="0" w:color="auto"/>
                                                <w:right w:val="none" w:sz="0" w:space="0" w:color="auto"/>
                                              </w:divBdr>
                                            </w:div>
                                            <w:div w:id="391932094">
                                              <w:marLeft w:val="0"/>
                                              <w:marRight w:val="0"/>
                                              <w:marTop w:val="0"/>
                                              <w:marBottom w:val="0"/>
                                              <w:divBdr>
                                                <w:top w:val="none" w:sz="0" w:space="0" w:color="auto"/>
                                                <w:left w:val="none" w:sz="0" w:space="0" w:color="auto"/>
                                                <w:bottom w:val="none" w:sz="0" w:space="0" w:color="auto"/>
                                                <w:right w:val="none" w:sz="0" w:space="0" w:color="auto"/>
                                              </w:divBdr>
                                            </w:div>
                                            <w:div w:id="446387984">
                                              <w:marLeft w:val="0"/>
                                              <w:marRight w:val="0"/>
                                              <w:marTop w:val="0"/>
                                              <w:marBottom w:val="0"/>
                                              <w:divBdr>
                                                <w:top w:val="none" w:sz="0" w:space="0" w:color="auto"/>
                                                <w:left w:val="none" w:sz="0" w:space="0" w:color="auto"/>
                                                <w:bottom w:val="none" w:sz="0" w:space="0" w:color="auto"/>
                                                <w:right w:val="none" w:sz="0" w:space="0" w:color="auto"/>
                                              </w:divBdr>
                                            </w:div>
                                            <w:div w:id="486166464">
                                              <w:marLeft w:val="0"/>
                                              <w:marRight w:val="0"/>
                                              <w:marTop w:val="0"/>
                                              <w:marBottom w:val="0"/>
                                              <w:divBdr>
                                                <w:top w:val="none" w:sz="0" w:space="0" w:color="auto"/>
                                                <w:left w:val="none" w:sz="0" w:space="0" w:color="auto"/>
                                                <w:bottom w:val="none" w:sz="0" w:space="0" w:color="auto"/>
                                                <w:right w:val="none" w:sz="0" w:space="0" w:color="auto"/>
                                              </w:divBdr>
                                            </w:div>
                                            <w:div w:id="549338942">
                                              <w:marLeft w:val="0"/>
                                              <w:marRight w:val="0"/>
                                              <w:marTop w:val="0"/>
                                              <w:marBottom w:val="0"/>
                                              <w:divBdr>
                                                <w:top w:val="none" w:sz="0" w:space="0" w:color="auto"/>
                                                <w:left w:val="none" w:sz="0" w:space="0" w:color="auto"/>
                                                <w:bottom w:val="none" w:sz="0" w:space="0" w:color="auto"/>
                                                <w:right w:val="none" w:sz="0" w:space="0" w:color="auto"/>
                                              </w:divBdr>
                                            </w:div>
                                            <w:div w:id="568734958">
                                              <w:marLeft w:val="0"/>
                                              <w:marRight w:val="0"/>
                                              <w:marTop w:val="0"/>
                                              <w:marBottom w:val="0"/>
                                              <w:divBdr>
                                                <w:top w:val="none" w:sz="0" w:space="0" w:color="auto"/>
                                                <w:left w:val="none" w:sz="0" w:space="0" w:color="auto"/>
                                                <w:bottom w:val="none" w:sz="0" w:space="0" w:color="auto"/>
                                                <w:right w:val="none" w:sz="0" w:space="0" w:color="auto"/>
                                              </w:divBdr>
                                            </w:div>
                                            <w:div w:id="578367663">
                                              <w:marLeft w:val="0"/>
                                              <w:marRight w:val="0"/>
                                              <w:marTop w:val="0"/>
                                              <w:marBottom w:val="0"/>
                                              <w:divBdr>
                                                <w:top w:val="none" w:sz="0" w:space="0" w:color="auto"/>
                                                <w:left w:val="none" w:sz="0" w:space="0" w:color="auto"/>
                                                <w:bottom w:val="none" w:sz="0" w:space="0" w:color="auto"/>
                                                <w:right w:val="none" w:sz="0" w:space="0" w:color="auto"/>
                                              </w:divBdr>
                                            </w:div>
                                            <w:div w:id="582027422">
                                              <w:marLeft w:val="0"/>
                                              <w:marRight w:val="0"/>
                                              <w:marTop w:val="0"/>
                                              <w:marBottom w:val="0"/>
                                              <w:divBdr>
                                                <w:top w:val="none" w:sz="0" w:space="0" w:color="auto"/>
                                                <w:left w:val="none" w:sz="0" w:space="0" w:color="auto"/>
                                                <w:bottom w:val="none" w:sz="0" w:space="0" w:color="auto"/>
                                                <w:right w:val="none" w:sz="0" w:space="0" w:color="auto"/>
                                              </w:divBdr>
                                            </w:div>
                                            <w:div w:id="591083266">
                                              <w:marLeft w:val="0"/>
                                              <w:marRight w:val="0"/>
                                              <w:marTop w:val="0"/>
                                              <w:marBottom w:val="0"/>
                                              <w:divBdr>
                                                <w:top w:val="none" w:sz="0" w:space="0" w:color="auto"/>
                                                <w:left w:val="none" w:sz="0" w:space="0" w:color="auto"/>
                                                <w:bottom w:val="none" w:sz="0" w:space="0" w:color="auto"/>
                                                <w:right w:val="none" w:sz="0" w:space="0" w:color="auto"/>
                                              </w:divBdr>
                                            </w:div>
                                            <w:div w:id="696545436">
                                              <w:marLeft w:val="0"/>
                                              <w:marRight w:val="0"/>
                                              <w:marTop w:val="0"/>
                                              <w:marBottom w:val="0"/>
                                              <w:divBdr>
                                                <w:top w:val="none" w:sz="0" w:space="0" w:color="auto"/>
                                                <w:left w:val="none" w:sz="0" w:space="0" w:color="auto"/>
                                                <w:bottom w:val="none" w:sz="0" w:space="0" w:color="auto"/>
                                                <w:right w:val="none" w:sz="0" w:space="0" w:color="auto"/>
                                              </w:divBdr>
                                            </w:div>
                                            <w:div w:id="700738844">
                                              <w:marLeft w:val="0"/>
                                              <w:marRight w:val="0"/>
                                              <w:marTop w:val="0"/>
                                              <w:marBottom w:val="0"/>
                                              <w:divBdr>
                                                <w:top w:val="none" w:sz="0" w:space="0" w:color="auto"/>
                                                <w:left w:val="none" w:sz="0" w:space="0" w:color="auto"/>
                                                <w:bottom w:val="none" w:sz="0" w:space="0" w:color="auto"/>
                                                <w:right w:val="none" w:sz="0" w:space="0" w:color="auto"/>
                                              </w:divBdr>
                                            </w:div>
                                            <w:div w:id="755327635">
                                              <w:marLeft w:val="0"/>
                                              <w:marRight w:val="0"/>
                                              <w:marTop w:val="0"/>
                                              <w:marBottom w:val="0"/>
                                              <w:divBdr>
                                                <w:top w:val="none" w:sz="0" w:space="0" w:color="auto"/>
                                                <w:left w:val="none" w:sz="0" w:space="0" w:color="auto"/>
                                                <w:bottom w:val="none" w:sz="0" w:space="0" w:color="auto"/>
                                                <w:right w:val="none" w:sz="0" w:space="0" w:color="auto"/>
                                              </w:divBdr>
                                            </w:div>
                                            <w:div w:id="793207241">
                                              <w:marLeft w:val="0"/>
                                              <w:marRight w:val="0"/>
                                              <w:marTop w:val="0"/>
                                              <w:marBottom w:val="0"/>
                                              <w:divBdr>
                                                <w:top w:val="none" w:sz="0" w:space="0" w:color="auto"/>
                                                <w:left w:val="none" w:sz="0" w:space="0" w:color="auto"/>
                                                <w:bottom w:val="none" w:sz="0" w:space="0" w:color="auto"/>
                                                <w:right w:val="none" w:sz="0" w:space="0" w:color="auto"/>
                                              </w:divBdr>
                                            </w:div>
                                            <w:div w:id="795829475">
                                              <w:marLeft w:val="0"/>
                                              <w:marRight w:val="0"/>
                                              <w:marTop w:val="0"/>
                                              <w:marBottom w:val="0"/>
                                              <w:divBdr>
                                                <w:top w:val="none" w:sz="0" w:space="0" w:color="auto"/>
                                                <w:left w:val="none" w:sz="0" w:space="0" w:color="auto"/>
                                                <w:bottom w:val="none" w:sz="0" w:space="0" w:color="auto"/>
                                                <w:right w:val="none" w:sz="0" w:space="0" w:color="auto"/>
                                              </w:divBdr>
                                            </w:div>
                                            <w:div w:id="798186131">
                                              <w:marLeft w:val="0"/>
                                              <w:marRight w:val="0"/>
                                              <w:marTop w:val="0"/>
                                              <w:marBottom w:val="0"/>
                                              <w:divBdr>
                                                <w:top w:val="none" w:sz="0" w:space="0" w:color="auto"/>
                                                <w:left w:val="none" w:sz="0" w:space="0" w:color="auto"/>
                                                <w:bottom w:val="none" w:sz="0" w:space="0" w:color="auto"/>
                                                <w:right w:val="none" w:sz="0" w:space="0" w:color="auto"/>
                                              </w:divBdr>
                                            </w:div>
                                            <w:div w:id="897207734">
                                              <w:marLeft w:val="0"/>
                                              <w:marRight w:val="0"/>
                                              <w:marTop w:val="0"/>
                                              <w:marBottom w:val="0"/>
                                              <w:divBdr>
                                                <w:top w:val="none" w:sz="0" w:space="0" w:color="auto"/>
                                                <w:left w:val="none" w:sz="0" w:space="0" w:color="auto"/>
                                                <w:bottom w:val="none" w:sz="0" w:space="0" w:color="auto"/>
                                                <w:right w:val="none" w:sz="0" w:space="0" w:color="auto"/>
                                              </w:divBdr>
                                            </w:div>
                                            <w:div w:id="909382870">
                                              <w:marLeft w:val="0"/>
                                              <w:marRight w:val="0"/>
                                              <w:marTop w:val="0"/>
                                              <w:marBottom w:val="0"/>
                                              <w:divBdr>
                                                <w:top w:val="none" w:sz="0" w:space="0" w:color="auto"/>
                                                <w:left w:val="none" w:sz="0" w:space="0" w:color="auto"/>
                                                <w:bottom w:val="none" w:sz="0" w:space="0" w:color="auto"/>
                                                <w:right w:val="none" w:sz="0" w:space="0" w:color="auto"/>
                                              </w:divBdr>
                                            </w:div>
                                            <w:div w:id="958491083">
                                              <w:marLeft w:val="0"/>
                                              <w:marRight w:val="0"/>
                                              <w:marTop w:val="0"/>
                                              <w:marBottom w:val="0"/>
                                              <w:divBdr>
                                                <w:top w:val="none" w:sz="0" w:space="0" w:color="auto"/>
                                                <w:left w:val="none" w:sz="0" w:space="0" w:color="auto"/>
                                                <w:bottom w:val="none" w:sz="0" w:space="0" w:color="auto"/>
                                                <w:right w:val="none" w:sz="0" w:space="0" w:color="auto"/>
                                              </w:divBdr>
                                            </w:div>
                                            <w:div w:id="1014190964">
                                              <w:marLeft w:val="0"/>
                                              <w:marRight w:val="0"/>
                                              <w:marTop w:val="0"/>
                                              <w:marBottom w:val="0"/>
                                              <w:divBdr>
                                                <w:top w:val="none" w:sz="0" w:space="0" w:color="auto"/>
                                                <w:left w:val="none" w:sz="0" w:space="0" w:color="auto"/>
                                                <w:bottom w:val="none" w:sz="0" w:space="0" w:color="auto"/>
                                                <w:right w:val="none" w:sz="0" w:space="0" w:color="auto"/>
                                              </w:divBdr>
                                            </w:div>
                                            <w:div w:id="1055154317">
                                              <w:marLeft w:val="0"/>
                                              <w:marRight w:val="0"/>
                                              <w:marTop w:val="0"/>
                                              <w:marBottom w:val="0"/>
                                              <w:divBdr>
                                                <w:top w:val="none" w:sz="0" w:space="0" w:color="auto"/>
                                                <w:left w:val="none" w:sz="0" w:space="0" w:color="auto"/>
                                                <w:bottom w:val="none" w:sz="0" w:space="0" w:color="auto"/>
                                                <w:right w:val="none" w:sz="0" w:space="0" w:color="auto"/>
                                              </w:divBdr>
                                            </w:div>
                                            <w:div w:id="1145273677">
                                              <w:marLeft w:val="0"/>
                                              <w:marRight w:val="0"/>
                                              <w:marTop w:val="0"/>
                                              <w:marBottom w:val="0"/>
                                              <w:divBdr>
                                                <w:top w:val="none" w:sz="0" w:space="0" w:color="auto"/>
                                                <w:left w:val="none" w:sz="0" w:space="0" w:color="auto"/>
                                                <w:bottom w:val="none" w:sz="0" w:space="0" w:color="auto"/>
                                                <w:right w:val="none" w:sz="0" w:space="0" w:color="auto"/>
                                              </w:divBdr>
                                            </w:div>
                                            <w:div w:id="1214197348">
                                              <w:marLeft w:val="0"/>
                                              <w:marRight w:val="0"/>
                                              <w:marTop w:val="0"/>
                                              <w:marBottom w:val="0"/>
                                              <w:divBdr>
                                                <w:top w:val="none" w:sz="0" w:space="0" w:color="auto"/>
                                                <w:left w:val="none" w:sz="0" w:space="0" w:color="auto"/>
                                                <w:bottom w:val="none" w:sz="0" w:space="0" w:color="auto"/>
                                                <w:right w:val="none" w:sz="0" w:space="0" w:color="auto"/>
                                              </w:divBdr>
                                            </w:div>
                                            <w:div w:id="1233352179">
                                              <w:marLeft w:val="0"/>
                                              <w:marRight w:val="0"/>
                                              <w:marTop w:val="0"/>
                                              <w:marBottom w:val="0"/>
                                              <w:divBdr>
                                                <w:top w:val="none" w:sz="0" w:space="0" w:color="auto"/>
                                                <w:left w:val="none" w:sz="0" w:space="0" w:color="auto"/>
                                                <w:bottom w:val="none" w:sz="0" w:space="0" w:color="auto"/>
                                                <w:right w:val="none" w:sz="0" w:space="0" w:color="auto"/>
                                              </w:divBdr>
                                            </w:div>
                                            <w:div w:id="1233736595">
                                              <w:marLeft w:val="0"/>
                                              <w:marRight w:val="0"/>
                                              <w:marTop w:val="0"/>
                                              <w:marBottom w:val="0"/>
                                              <w:divBdr>
                                                <w:top w:val="none" w:sz="0" w:space="0" w:color="auto"/>
                                                <w:left w:val="none" w:sz="0" w:space="0" w:color="auto"/>
                                                <w:bottom w:val="none" w:sz="0" w:space="0" w:color="auto"/>
                                                <w:right w:val="none" w:sz="0" w:space="0" w:color="auto"/>
                                              </w:divBdr>
                                            </w:div>
                                            <w:div w:id="1308434509">
                                              <w:marLeft w:val="0"/>
                                              <w:marRight w:val="0"/>
                                              <w:marTop w:val="0"/>
                                              <w:marBottom w:val="0"/>
                                              <w:divBdr>
                                                <w:top w:val="none" w:sz="0" w:space="0" w:color="auto"/>
                                                <w:left w:val="none" w:sz="0" w:space="0" w:color="auto"/>
                                                <w:bottom w:val="none" w:sz="0" w:space="0" w:color="auto"/>
                                                <w:right w:val="none" w:sz="0" w:space="0" w:color="auto"/>
                                              </w:divBdr>
                                            </w:div>
                                            <w:div w:id="1315140723">
                                              <w:marLeft w:val="0"/>
                                              <w:marRight w:val="0"/>
                                              <w:marTop w:val="0"/>
                                              <w:marBottom w:val="0"/>
                                              <w:divBdr>
                                                <w:top w:val="none" w:sz="0" w:space="0" w:color="auto"/>
                                                <w:left w:val="none" w:sz="0" w:space="0" w:color="auto"/>
                                                <w:bottom w:val="none" w:sz="0" w:space="0" w:color="auto"/>
                                                <w:right w:val="none" w:sz="0" w:space="0" w:color="auto"/>
                                              </w:divBdr>
                                            </w:div>
                                            <w:div w:id="1323896403">
                                              <w:marLeft w:val="0"/>
                                              <w:marRight w:val="0"/>
                                              <w:marTop w:val="0"/>
                                              <w:marBottom w:val="0"/>
                                              <w:divBdr>
                                                <w:top w:val="none" w:sz="0" w:space="0" w:color="auto"/>
                                                <w:left w:val="none" w:sz="0" w:space="0" w:color="auto"/>
                                                <w:bottom w:val="none" w:sz="0" w:space="0" w:color="auto"/>
                                                <w:right w:val="none" w:sz="0" w:space="0" w:color="auto"/>
                                              </w:divBdr>
                                            </w:div>
                                            <w:div w:id="1349914685">
                                              <w:marLeft w:val="0"/>
                                              <w:marRight w:val="0"/>
                                              <w:marTop w:val="0"/>
                                              <w:marBottom w:val="0"/>
                                              <w:divBdr>
                                                <w:top w:val="none" w:sz="0" w:space="0" w:color="auto"/>
                                                <w:left w:val="none" w:sz="0" w:space="0" w:color="auto"/>
                                                <w:bottom w:val="none" w:sz="0" w:space="0" w:color="auto"/>
                                                <w:right w:val="none" w:sz="0" w:space="0" w:color="auto"/>
                                              </w:divBdr>
                                            </w:div>
                                            <w:div w:id="1362173290">
                                              <w:marLeft w:val="0"/>
                                              <w:marRight w:val="0"/>
                                              <w:marTop w:val="0"/>
                                              <w:marBottom w:val="0"/>
                                              <w:divBdr>
                                                <w:top w:val="none" w:sz="0" w:space="0" w:color="auto"/>
                                                <w:left w:val="none" w:sz="0" w:space="0" w:color="auto"/>
                                                <w:bottom w:val="none" w:sz="0" w:space="0" w:color="auto"/>
                                                <w:right w:val="none" w:sz="0" w:space="0" w:color="auto"/>
                                              </w:divBdr>
                                            </w:div>
                                            <w:div w:id="1383745258">
                                              <w:marLeft w:val="0"/>
                                              <w:marRight w:val="0"/>
                                              <w:marTop w:val="0"/>
                                              <w:marBottom w:val="0"/>
                                              <w:divBdr>
                                                <w:top w:val="none" w:sz="0" w:space="0" w:color="auto"/>
                                                <w:left w:val="none" w:sz="0" w:space="0" w:color="auto"/>
                                                <w:bottom w:val="none" w:sz="0" w:space="0" w:color="auto"/>
                                                <w:right w:val="none" w:sz="0" w:space="0" w:color="auto"/>
                                              </w:divBdr>
                                            </w:div>
                                            <w:div w:id="1462916632">
                                              <w:marLeft w:val="0"/>
                                              <w:marRight w:val="0"/>
                                              <w:marTop w:val="0"/>
                                              <w:marBottom w:val="0"/>
                                              <w:divBdr>
                                                <w:top w:val="none" w:sz="0" w:space="0" w:color="auto"/>
                                                <w:left w:val="none" w:sz="0" w:space="0" w:color="auto"/>
                                                <w:bottom w:val="none" w:sz="0" w:space="0" w:color="auto"/>
                                                <w:right w:val="none" w:sz="0" w:space="0" w:color="auto"/>
                                              </w:divBdr>
                                            </w:div>
                                            <w:div w:id="1482114479">
                                              <w:marLeft w:val="0"/>
                                              <w:marRight w:val="0"/>
                                              <w:marTop w:val="0"/>
                                              <w:marBottom w:val="0"/>
                                              <w:divBdr>
                                                <w:top w:val="none" w:sz="0" w:space="0" w:color="auto"/>
                                                <w:left w:val="none" w:sz="0" w:space="0" w:color="auto"/>
                                                <w:bottom w:val="none" w:sz="0" w:space="0" w:color="auto"/>
                                                <w:right w:val="none" w:sz="0" w:space="0" w:color="auto"/>
                                              </w:divBdr>
                                            </w:div>
                                            <w:div w:id="1557080296">
                                              <w:marLeft w:val="0"/>
                                              <w:marRight w:val="0"/>
                                              <w:marTop w:val="0"/>
                                              <w:marBottom w:val="0"/>
                                              <w:divBdr>
                                                <w:top w:val="none" w:sz="0" w:space="0" w:color="auto"/>
                                                <w:left w:val="none" w:sz="0" w:space="0" w:color="auto"/>
                                                <w:bottom w:val="none" w:sz="0" w:space="0" w:color="auto"/>
                                                <w:right w:val="none" w:sz="0" w:space="0" w:color="auto"/>
                                              </w:divBdr>
                                            </w:div>
                                            <w:div w:id="1588227747">
                                              <w:marLeft w:val="0"/>
                                              <w:marRight w:val="0"/>
                                              <w:marTop w:val="0"/>
                                              <w:marBottom w:val="0"/>
                                              <w:divBdr>
                                                <w:top w:val="none" w:sz="0" w:space="0" w:color="auto"/>
                                                <w:left w:val="none" w:sz="0" w:space="0" w:color="auto"/>
                                                <w:bottom w:val="none" w:sz="0" w:space="0" w:color="auto"/>
                                                <w:right w:val="none" w:sz="0" w:space="0" w:color="auto"/>
                                              </w:divBdr>
                                            </w:div>
                                            <w:div w:id="1653369753">
                                              <w:marLeft w:val="0"/>
                                              <w:marRight w:val="0"/>
                                              <w:marTop w:val="0"/>
                                              <w:marBottom w:val="0"/>
                                              <w:divBdr>
                                                <w:top w:val="none" w:sz="0" w:space="0" w:color="auto"/>
                                                <w:left w:val="none" w:sz="0" w:space="0" w:color="auto"/>
                                                <w:bottom w:val="none" w:sz="0" w:space="0" w:color="auto"/>
                                                <w:right w:val="none" w:sz="0" w:space="0" w:color="auto"/>
                                              </w:divBdr>
                                            </w:div>
                                            <w:div w:id="1654598481">
                                              <w:marLeft w:val="0"/>
                                              <w:marRight w:val="0"/>
                                              <w:marTop w:val="0"/>
                                              <w:marBottom w:val="0"/>
                                              <w:divBdr>
                                                <w:top w:val="none" w:sz="0" w:space="0" w:color="auto"/>
                                                <w:left w:val="none" w:sz="0" w:space="0" w:color="auto"/>
                                                <w:bottom w:val="none" w:sz="0" w:space="0" w:color="auto"/>
                                                <w:right w:val="none" w:sz="0" w:space="0" w:color="auto"/>
                                              </w:divBdr>
                                            </w:div>
                                            <w:div w:id="1787848820">
                                              <w:marLeft w:val="0"/>
                                              <w:marRight w:val="0"/>
                                              <w:marTop w:val="0"/>
                                              <w:marBottom w:val="0"/>
                                              <w:divBdr>
                                                <w:top w:val="none" w:sz="0" w:space="0" w:color="auto"/>
                                                <w:left w:val="none" w:sz="0" w:space="0" w:color="auto"/>
                                                <w:bottom w:val="none" w:sz="0" w:space="0" w:color="auto"/>
                                                <w:right w:val="none" w:sz="0" w:space="0" w:color="auto"/>
                                              </w:divBdr>
                                            </w:div>
                                            <w:div w:id="1825707456">
                                              <w:marLeft w:val="0"/>
                                              <w:marRight w:val="0"/>
                                              <w:marTop w:val="0"/>
                                              <w:marBottom w:val="0"/>
                                              <w:divBdr>
                                                <w:top w:val="none" w:sz="0" w:space="0" w:color="auto"/>
                                                <w:left w:val="none" w:sz="0" w:space="0" w:color="auto"/>
                                                <w:bottom w:val="none" w:sz="0" w:space="0" w:color="auto"/>
                                                <w:right w:val="none" w:sz="0" w:space="0" w:color="auto"/>
                                              </w:divBdr>
                                            </w:div>
                                            <w:div w:id="1850026843">
                                              <w:marLeft w:val="0"/>
                                              <w:marRight w:val="0"/>
                                              <w:marTop w:val="0"/>
                                              <w:marBottom w:val="0"/>
                                              <w:divBdr>
                                                <w:top w:val="none" w:sz="0" w:space="0" w:color="auto"/>
                                                <w:left w:val="none" w:sz="0" w:space="0" w:color="auto"/>
                                                <w:bottom w:val="none" w:sz="0" w:space="0" w:color="auto"/>
                                                <w:right w:val="none" w:sz="0" w:space="0" w:color="auto"/>
                                              </w:divBdr>
                                            </w:div>
                                            <w:div w:id="1854875119">
                                              <w:marLeft w:val="0"/>
                                              <w:marRight w:val="0"/>
                                              <w:marTop w:val="0"/>
                                              <w:marBottom w:val="0"/>
                                              <w:divBdr>
                                                <w:top w:val="none" w:sz="0" w:space="0" w:color="auto"/>
                                                <w:left w:val="none" w:sz="0" w:space="0" w:color="auto"/>
                                                <w:bottom w:val="none" w:sz="0" w:space="0" w:color="auto"/>
                                                <w:right w:val="none" w:sz="0" w:space="0" w:color="auto"/>
                                              </w:divBdr>
                                            </w:div>
                                            <w:div w:id="2030257708">
                                              <w:marLeft w:val="0"/>
                                              <w:marRight w:val="0"/>
                                              <w:marTop w:val="0"/>
                                              <w:marBottom w:val="0"/>
                                              <w:divBdr>
                                                <w:top w:val="none" w:sz="0" w:space="0" w:color="auto"/>
                                                <w:left w:val="none" w:sz="0" w:space="0" w:color="auto"/>
                                                <w:bottom w:val="none" w:sz="0" w:space="0" w:color="auto"/>
                                                <w:right w:val="none" w:sz="0" w:space="0" w:color="auto"/>
                                              </w:divBdr>
                                            </w:div>
                                            <w:div w:id="2090035028">
                                              <w:marLeft w:val="0"/>
                                              <w:marRight w:val="0"/>
                                              <w:marTop w:val="0"/>
                                              <w:marBottom w:val="0"/>
                                              <w:divBdr>
                                                <w:top w:val="none" w:sz="0" w:space="0" w:color="auto"/>
                                                <w:left w:val="none" w:sz="0" w:space="0" w:color="auto"/>
                                                <w:bottom w:val="none" w:sz="0" w:space="0" w:color="auto"/>
                                                <w:right w:val="none" w:sz="0" w:space="0" w:color="auto"/>
                                              </w:divBdr>
                                            </w:div>
                                            <w:div w:id="2095541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00719">
                                      <w:marLeft w:val="0"/>
                                      <w:marRight w:val="0"/>
                                      <w:marTop w:val="0"/>
                                      <w:marBottom w:val="0"/>
                                      <w:divBdr>
                                        <w:top w:val="none" w:sz="0" w:space="0" w:color="auto"/>
                                        <w:left w:val="none" w:sz="0" w:space="0" w:color="auto"/>
                                        <w:bottom w:val="none" w:sz="0" w:space="0" w:color="auto"/>
                                        <w:right w:val="none" w:sz="0" w:space="0" w:color="auto"/>
                                      </w:divBdr>
                                    </w:div>
                                    <w:div w:id="864027356">
                                      <w:marLeft w:val="0"/>
                                      <w:marRight w:val="0"/>
                                      <w:marTop w:val="0"/>
                                      <w:marBottom w:val="0"/>
                                      <w:divBdr>
                                        <w:top w:val="none" w:sz="0" w:space="0" w:color="auto"/>
                                        <w:left w:val="none" w:sz="0" w:space="0" w:color="auto"/>
                                        <w:bottom w:val="none" w:sz="0" w:space="0" w:color="auto"/>
                                        <w:right w:val="none" w:sz="0" w:space="0" w:color="auto"/>
                                      </w:divBdr>
                                    </w:div>
                                    <w:div w:id="895631771">
                                      <w:marLeft w:val="0"/>
                                      <w:marRight w:val="0"/>
                                      <w:marTop w:val="0"/>
                                      <w:marBottom w:val="0"/>
                                      <w:divBdr>
                                        <w:top w:val="none" w:sz="0" w:space="0" w:color="auto"/>
                                        <w:left w:val="none" w:sz="0" w:space="0" w:color="auto"/>
                                        <w:bottom w:val="none" w:sz="0" w:space="0" w:color="auto"/>
                                        <w:right w:val="none" w:sz="0" w:space="0" w:color="auto"/>
                                      </w:divBdr>
                                    </w:div>
                                    <w:div w:id="935211853">
                                      <w:marLeft w:val="0"/>
                                      <w:marRight w:val="0"/>
                                      <w:marTop w:val="0"/>
                                      <w:marBottom w:val="0"/>
                                      <w:divBdr>
                                        <w:top w:val="none" w:sz="0" w:space="0" w:color="auto"/>
                                        <w:left w:val="none" w:sz="0" w:space="0" w:color="auto"/>
                                        <w:bottom w:val="none" w:sz="0" w:space="0" w:color="auto"/>
                                        <w:right w:val="none" w:sz="0" w:space="0" w:color="auto"/>
                                      </w:divBdr>
                                    </w:div>
                                    <w:div w:id="950405259">
                                      <w:marLeft w:val="0"/>
                                      <w:marRight w:val="0"/>
                                      <w:marTop w:val="0"/>
                                      <w:marBottom w:val="0"/>
                                      <w:divBdr>
                                        <w:top w:val="none" w:sz="0" w:space="0" w:color="auto"/>
                                        <w:left w:val="none" w:sz="0" w:space="0" w:color="auto"/>
                                        <w:bottom w:val="none" w:sz="0" w:space="0" w:color="auto"/>
                                        <w:right w:val="none" w:sz="0" w:space="0" w:color="auto"/>
                                      </w:divBdr>
                                    </w:div>
                                    <w:div w:id="962417844">
                                      <w:marLeft w:val="0"/>
                                      <w:marRight w:val="0"/>
                                      <w:marTop w:val="0"/>
                                      <w:marBottom w:val="0"/>
                                      <w:divBdr>
                                        <w:top w:val="none" w:sz="0" w:space="0" w:color="auto"/>
                                        <w:left w:val="none" w:sz="0" w:space="0" w:color="auto"/>
                                        <w:bottom w:val="none" w:sz="0" w:space="0" w:color="auto"/>
                                        <w:right w:val="none" w:sz="0" w:space="0" w:color="auto"/>
                                      </w:divBdr>
                                    </w:div>
                                    <w:div w:id="974914760">
                                      <w:marLeft w:val="0"/>
                                      <w:marRight w:val="0"/>
                                      <w:marTop w:val="0"/>
                                      <w:marBottom w:val="0"/>
                                      <w:divBdr>
                                        <w:top w:val="none" w:sz="0" w:space="0" w:color="auto"/>
                                        <w:left w:val="none" w:sz="0" w:space="0" w:color="auto"/>
                                        <w:bottom w:val="none" w:sz="0" w:space="0" w:color="auto"/>
                                        <w:right w:val="none" w:sz="0" w:space="0" w:color="auto"/>
                                      </w:divBdr>
                                    </w:div>
                                    <w:div w:id="980354596">
                                      <w:marLeft w:val="0"/>
                                      <w:marRight w:val="0"/>
                                      <w:marTop w:val="0"/>
                                      <w:marBottom w:val="0"/>
                                      <w:divBdr>
                                        <w:top w:val="none" w:sz="0" w:space="0" w:color="auto"/>
                                        <w:left w:val="none" w:sz="0" w:space="0" w:color="auto"/>
                                        <w:bottom w:val="none" w:sz="0" w:space="0" w:color="auto"/>
                                        <w:right w:val="none" w:sz="0" w:space="0" w:color="auto"/>
                                      </w:divBdr>
                                    </w:div>
                                    <w:div w:id="995450286">
                                      <w:marLeft w:val="0"/>
                                      <w:marRight w:val="0"/>
                                      <w:marTop w:val="0"/>
                                      <w:marBottom w:val="0"/>
                                      <w:divBdr>
                                        <w:top w:val="none" w:sz="0" w:space="0" w:color="auto"/>
                                        <w:left w:val="none" w:sz="0" w:space="0" w:color="auto"/>
                                        <w:bottom w:val="none" w:sz="0" w:space="0" w:color="auto"/>
                                        <w:right w:val="none" w:sz="0" w:space="0" w:color="auto"/>
                                      </w:divBdr>
                                    </w:div>
                                    <w:div w:id="1010569645">
                                      <w:marLeft w:val="0"/>
                                      <w:marRight w:val="0"/>
                                      <w:marTop w:val="0"/>
                                      <w:marBottom w:val="0"/>
                                      <w:divBdr>
                                        <w:top w:val="none" w:sz="0" w:space="0" w:color="auto"/>
                                        <w:left w:val="none" w:sz="0" w:space="0" w:color="auto"/>
                                        <w:bottom w:val="none" w:sz="0" w:space="0" w:color="auto"/>
                                        <w:right w:val="none" w:sz="0" w:space="0" w:color="auto"/>
                                      </w:divBdr>
                                    </w:div>
                                    <w:div w:id="1028411206">
                                      <w:marLeft w:val="0"/>
                                      <w:marRight w:val="0"/>
                                      <w:marTop w:val="0"/>
                                      <w:marBottom w:val="0"/>
                                      <w:divBdr>
                                        <w:top w:val="none" w:sz="0" w:space="0" w:color="auto"/>
                                        <w:left w:val="none" w:sz="0" w:space="0" w:color="auto"/>
                                        <w:bottom w:val="none" w:sz="0" w:space="0" w:color="auto"/>
                                        <w:right w:val="none" w:sz="0" w:space="0" w:color="auto"/>
                                      </w:divBdr>
                                    </w:div>
                                    <w:div w:id="1039549924">
                                      <w:marLeft w:val="0"/>
                                      <w:marRight w:val="0"/>
                                      <w:marTop w:val="0"/>
                                      <w:marBottom w:val="0"/>
                                      <w:divBdr>
                                        <w:top w:val="none" w:sz="0" w:space="0" w:color="auto"/>
                                        <w:left w:val="none" w:sz="0" w:space="0" w:color="auto"/>
                                        <w:bottom w:val="none" w:sz="0" w:space="0" w:color="auto"/>
                                        <w:right w:val="none" w:sz="0" w:space="0" w:color="auto"/>
                                      </w:divBdr>
                                    </w:div>
                                    <w:div w:id="1048459705">
                                      <w:marLeft w:val="0"/>
                                      <w:marRight w:val="0"/>
                                      <w:marTop w:val="0"/>
                                      <w:marBottom w:val="0"/>
                                      <w:divBdr>
                                        <w:top w:val="none" w:sz="0" w:space="0" w:color="auto"/>
                                        <w:left w:val="none" w:sz="0" w:space="0" w:color="auto"/>
                                        <w:bottom w:val="none" w:sz="0" w:space="0" w:color="auto"/>
                                        <w:right w:val="none" w:sz="0" w:space="0" w:color="auto"/>
                                      </w:divBdr>
                                    </w:div>
                                    <w:div w:id="1050811031">
                                      <w:marLeft w:val="0"/>
                                      <w:marRight w:val="0"/>
                                      <w:marTop w:val="0"/>
                                      <w:marBottom w:val="0"/>
                                      <w:divBdr>
                                        <w:top w:val="none" w:sz="0" w:space="0" w:color="auto"/>
                                        <w:left w:val="none" w:sz="0" w:space="0" w:color="auto"/>
                                        <w:bottom w:val="none" w:sz="0" w:space="0" w:color="auto"/>
                                        <w:right w:val="none" w:sz="0" w:space="0" w:color="auto"/>
                                      </w:divBdr>
                                    </w:div>
                                    <w:div w:id="1077215790">
                                      <w:marLeft w:val="0"/>
                                      <w:marRight w:val="0"/>
                                      <w:marTop w:val="0"/>
                                      <w:marBottom w:val="0"/>
                                      <w:divBdr>
                                        <w:top w:val="none" w:sz="0" w:space="0" w:color="auto"/>
                                        <w:left w:val="none" w:sz="0" w:space="0" w:color="auto"/>
                                        <w:bottom w:val="none" w:sz="0" w:space="0" w:color="auto"/>
                                        <w:right w:val="none" w:sz="0" w:space="0" w:color="auto"/>
                                      </w:divBdr>
                                    </w:div>
                                    <w:div w:id="1095786628">
                                      <w:marLeft w:val="0"/>
                                      <w:marRight w:val="0"/>
                                      <w:marTop w:val="0"/>
                                      <w:marBottom w:val="0"/>
                                      <w:divBdr>
                                        <w:top w:val="none" w:sz="0" w:space="0" w:color="auto"/>
                                        <w:left w:val="none" w:sz="0" w:space="0" w:color="auto"/>
                                        <w:bottom w:val="none" w:sz="0" w:space="0" w:color="auto"/>
                                        <w:right w:val="none" w:sz="0" w:space="0" w:color="auto"/>
                                      </w:divBdr>
                                    </w:div>
                                    <w:div w:id="1114790939">
                                      <w:marLeft w:val="0"/>
                                      <w:marRight w:val="0"/>
                                      <w:marTop w:val="0"/>
                                      <w:marBottom w:val="0"/>
                                      <w:divBdr>
                                        <w:top w:val="none" w:sz="0" w:space="0" w:color="auto"/>
                                        <w:left w:val="none" w:sz="0" w:space="0" w:color="auto"/>
                                        <w:bottom w:val="none" w:sz="0" w:space="0" w:color="auto"/>
                                        <w:right w:val="none" w:sz="0" w:space="0" w:color="auto"/>
                                      </w:divBdr>
                                    </w:div>
                                    <w:div w:id="1138759715">
                                      <w:marLeft w:val="0"/>
                                      <w:marRight w:val="0"/>
                                      <w:marTop w:val="0"/>
                                      <w:marBottom w:val="0"/>
                                      <w:divBdr>
                                        <w:top w:val="none" w:sz="0" w:space="0" w:color="auto"/>
                                        <w:left w:val="none" w:sz="0" w:space="0" w:color="auto"/>
                                        <w:bottom w:val="none" w:sz="0" w:space="0" w:color="auto"/>
                                        <w:right w:val="none" w:sz="0" w:space="0" w:color="auto"/>
                                      </w:divBdr>
                                    </w:div>
                                    <w:div w:id="1139617293">
                                      <w:marLeft w:val="0"/>
                                      <w:marRight w:val="0"/>
                                      <w:marTop w:val="0"/>
                                      <w:marBottom w:val="0"/>
                                      <w:divBdr>
                                        <w:top w:val="none" w:sz="0" w:space="0" w:color="auto"/>
                                        <w:left w:val="none" w:sz="0" w:space="0" w:color="auto"/>
                                        <w:bottom w:val="none" w:sz="0" w:space="0" w:color="auto"/>
                                        <w:right w:val="none" w:sz="0" w:space="0" w:color="auto"/>
                                      </w:divBdr>
                                    </w:div>
                                    <w:div w:id="1154637428">
                                      <w:marLeft w:val="0"/>
                                      <w:marRight w:val="0"/>
                                      <w:marTop w:val="0"/>
                                      <w:marBottom w:val="0"/>
                                      <w:divBdr>
                                        <w:top w:val="none" w:sz="0" w:space="0" w:color="auto"/>
                                        <w:left w:val="none" w:sz="0" w:space="0" w:color="auto"/>
                                        <w:bottom w:val="none" w:sz="0" w:space="0" w:color="auto"/>
                                        <w:right w:val="none" w:sz="0" w:space="0" w:color="auto"/>
                                      </w:divBdr>
                                    </w:div>
                                    <w:div w:id="1158612568">
                                      <w:marLeft w:val="0"/>
                                      <w:marRight w:val="0"/>
                                      <w:marTop w:val="0"/>
                                      <w:marBottom w:val="0"/>
                                      <w:divBdr>
                                        <w:top w:val="none" w:sz="0" w:space="0" w:color="auto"/>
                                        <w:left w:val="none" w:sz="0" w:space="0" w:color="auto"/>
                                        <w:bottom w:val="none" w:sz="0" w:space="0" w:color="auto"/>
                                        <w:right w:val="none" w:sz="0" w:space="0" w:color="auto"/>
                                      </w:divBdr>
                                    </w:div>
                                    <w:div w:id="1160001902">
                                      <w:marLeft w:val="0"/>
                                      <w:marRight w:val="0"/>
                                      <w:marTop w:val="0"/>
                                      <w:marBottom w:val="0"/>
                                      <w:divBdr>
                                        <w:top w:val="none" w:sz="0" w:space="0" w:color="auto"/>
                                        <w:left w:val="none" w:sz="0" w:space="0" w:color="auto"/>
                                        <w:bottom w:val="none" w:sz="0" w:space="0" w:color="auto"/>
                                        <w:right w:val="none" w:sz="0" w:space="0" w:color="auto"/>
                                      </w:divBdr>
                                    </w:div>
                                    <w:div w:id="1174686570">
                                      <w:marLeft w:val="0"/>
                                      <w:marRight w:val="0"/>
                                      <w:marTop w:val="0"/>
                                      <w:marBottom w:val="0"/>
                                      <w:divBdr>
                                        <w:top w:val="none" w:sz="0" w:space="0" w:color="auto"/>
                                        <w:left w:val="none" w:sz="0" w:space="0" w:color="auto"/>
                                        <w:bottom w:val="none" w:sz="0" w:space="0" w:color="auto"/>
                                        <w:right w:val="none" w:sz="0" w:space="0" w:color="auto"/>
                                      </w:divBdr>
                                    </w:div>
                                    <w:div w:id="1184056391">
                                      <w:marLeft w:val="0"/>
                                      <w:marRight w:val="0"/>
                                      <w:marTop w:val="0"/>
                                      <w:marBottom w:val="0"/>
                                      <w:divBdr>
                                        <w:top w:val="none" w:sz="0" w:space="0" w:color="auto"/>
                                        <w:left w:val="none" w:sz="0" w:space="0" w:color="auto"/>
                                        <w:bottom w:val="none" w:sz="0" w:space="0" w:color="auto"/>
                                        <w:right w:val="none" w:sz="0" w:space="0" w:color="auto"/>
                                      </w:divBdr>
                                    </w:div>
                                    <w:div w:id="1193036946">
                                      <w:marLeft w:val="0"/>
                                      <w:marRight w:val="0"/>
                                      <w:marTop w:val="0"/>
                                      <w:marBottom w:val="0"/>
                                      <w:divBdr>
                                        <w:top w:val="none" w:sz="0" w:space="0" w:color="auto"/>
                                        <w:left w:val="none" w:sz="0" w:space="0" w:color="auto"/>
                                        <w:bottom w:val="none" w:sz="0" w:space="0" w:color="auto"/>
                                        <w:right w:val="none" w:sz="0" w:space="0" w:color="auto"/>
                                      </w:divBdr>
                                    </w:div>
                                    <w:div w:id="1193423003">
                                      <w:marLeft w:val="0"/>
                                      <w:marRight w:val="0"/>
                                      <w:marTop w:val="0"/>
                                      <w:marBottom w:val="0"/>
                                      <w:divBdr>
                                        <w:top w:val="none" w:sz="0" w:space="0" w:color="auto"/>
                                        <w:left w:val="none" w:sz="0" w:space="0" w:color="auto"/>
                                        <w:bottom w:val="none" w:sz="0" w:space="0" w:color="auto"/>
                                        <w:right w:val="none" w:sz="0" w:space="0" w:color="auto"/>
                                      </w:divBdr>
                                    </w:div>
                                    <w:div w:id="1257788599">
                                      <w:marLeft w:val="0"/>
                                      <w:marRight w:val="0"/>
                                      <w:marTop w:val="0"/>
                                      <w:marBottom w:val="0"/>
                                      <w:divBdr>
                                        <w:top w:val="none" w:sz="0" w:space="0" w:color="auto"/>
                                        <w:left w:val="none" w:sz="0" w:space="0" w:color="auto"/>
                                        <w:bottom w:val="none" w:sz="0" w:space="0" w:color="auto"/>
                                        <w:right w:val="none" w:sz="0" w:space="0" w:color="auto"/>
                                      </w:divBdr>
                                    </w:div>
                                    <w:div w:id="1257865025">
                                      <w:marLeft w:val="0"/>
                                      <w:marRight w:val="0"/>
                                      <w:marTop w:val="0"/>
                                      <w:marBottom w:val="0"/>
                                      <w:divBdr>
                                        <w:top w:val="none" w:sz="0" w:space="0" w:color="auto"/>
                                        <w:left w:val="none" w:sz="0" w:space="0" w:color="auto"/>
                                        <w:bottom w:val="none" w:sz="0" w:space="0" w:color="auto"/>
                                        <w:right w:val="none" w:sz="0" w:space="0" w:color="auto"/>
                                      </w:divBdr>
                                    </w:div>
                                    <w:div w:id="1263293651">
                                      <w:marLeft w:val="0"/>
                                      <w:marRight w:val="0"/>
                                      <w:marTop w:val="0"/>
                                      <w:marBottom w:val="0"/>
                                      <w:divBdr>
                                        <w:top w:val="none" w:sz="0" w:space="0" w:color="auto"/>
                                        <w:left w:val="none" w:sz="0" w:space="0" w:color="auto"/>
                                        <w:bottom w:val="none" w:sz="0" w:space="0" w:color="auto"/>
                                        <w:right w:val="none" w:sz="0" w:space="0" w:color="auto"/>
                                      </w:divBdr>
                                    </w:div>
                                    <w:div w:id="1273129949">
                                      <w:marLeft w:val="0"/>
                                      <w:marRight w:val="0"/>
                                      <w:marTop w:val="0"/>
                                      <w:marBottom w:val="0"/>
                                      <w:divBdr>
                                        <w:top w:val="none" w:sz="0" w:space="0" w:color="auto"/>
                                        <w:left w:val="none" w:sz="0" w:space="0" w:color="auto"/>
                                        <w:bottom w:val="none" w:sz="0" w:space="0" w:color="auto"/>
                                        <w:right w:val="none" w:sz="0" w:space="0" w:color="auto"/>
                                      </w:divBdr>
                                    </w:div>
                                    <w:div w:id="1273899617">
                                      <w:marLeft w:val="0"/>
                                      <w:marRight w:val="0"/>
                                      <w:marTop w:val="0"/>
                                      <w:marBottom w:val="0"/>
                                      <w:divBdr>
                                        <w:top w:val="none" w:sz="0" w:space="0" w:color="auto"/>
                                        <w:left w:val="none" w:sz="0" w:space="0" w:color="auto"/>
                                        <w:bottom w:val="none" w:sz="0" w:space="0" w:color="auto"/>
                                        <w:right w:val="none" w:sz="0" w:space="0" w:color="auto"/>
                                      </w:divBdr>
                                    </w:div>
                                    <w:div w:id="1282148172">
                                      <w:marLeft w:val="0"/>
                                      <w:marRight w:val="0"/>
                                      <w:marTop w:val="0"/>
                                      <w:marBottom w:val="0"/>
                                      <w:divBdr>
                                        <w:top w:val="none" w:sz="0" w:space="0" w:color="auto"/>
                                        <w:left w:val="none" w:sz="0" w:space="0" w:color="auto"/>
                                        <w:bottom w:val="none" w:sz="0" w:space="0" w:color="auto"/>
                                        <w:right w:val="none" w:sz="0" w:space="0" w:color="auto"/>
                                      </w:divBdr>
                                    </w:div>
                                    <w:div w:id="1284773017">
                                      <w:marLeft w:val="0"/>
                                      <w:marRight w:val="0"/>
                                      <w:marTop w:val="0"/>
                                      <w:marBottom w:val="0"/>
                                      <w:divBdr>
                                        <w:top w:val="none" w:sz="0" w:space="0" w:color="auto"/>
                                        <w:left w:val="none" w:sz="0" w:space="0" w:color="auto"/>
                                        <w:bottom w:val="none" w:sz="0" w:space="0" w:color="auto"/>
                                        <w:right w:val="none" w:sz="0" w:space="0" w:color="auto"/>
                                      </w:divBdr>
                                    </w:div>
                                    <w:div w:id="1285576539">
                                      <w:marLeft w:val="0"/>
                                      <w:marRight w:val="0"/>
                                      <w:marTop w:val="0"/>
                                      <w:marBottom w:val="0"/>
                                      <w:divBdr>
                                        <w:top w:val="none" w:sz="0" w:space="0" w:color="auto"/>
                                        <w:left w:val="none" w:sz="0" w:space="0" w:color="auto"/>
                                        <w:bottom w:val="none" w:sz="0" w:space="0" w:color="auto"/>
                                        <w:right w:val="none" w:sz="0" w:space="0" w:color="auto"/>
                                      </w:divBdr>
                                    </w:div>
                                    <w:div w:id="1313679766">
                                      <w:marLeft w:val="0"/>
                                      <w:marRight w:val="0"/>
                                      <w:marTop w:val="0"/>
                                      <w:marBottom w:val="0"/>
                                      <w:divBdr>
                                        <w:top w:val="none" w:sz="0" w:space="0" w:color="auto"/>
                                        <w:left w:val="none" w:sz="0" w:space="0" w:color="auto"/>
                                        <w:bottom w:val="none" w:sz="0" w:space="0" w:color="auto"/>
                                        <w:right w:val="none" w:sz="0" w:space="0" w:color="auto"/>
                                      </w:divBdr>
                                    </w:div>
                                    <w:div w:id="1326780095">
                                      <w:marLeft w:val="0"/>
                                      <w:marRight w:val="0"/>
                                      <w:marTop w:val="0"/>
                                      <w:marBottom w:val="0"/>
                                      <w:divBdr>
                                        <w:top w:val="none" w:sz="0" w:space="0" w:color="auto"/>
                                        <w:left w:val="none" w:sz="0" w:space="0" w:color="auto"/>
                                        <w:bottom w:val="none" w:sz="0" w:space="0" w:color="auto"/>
                                        <w:right w:val="none" w:sz="0" w:space="0" w:color="auto"/>
                                      </w:divBdr>
                                    </w:div>
                                    <w:div w:id="1328090699">
                                      <w:marLeft w:val="0"/>
                                      <w:marRight w:val="0"/>
                                      <w:marTop w:val="0"/>
                                      <w:marBottom w:val="0"/>
                                      <w:divBdr>
                                        <w:top w:val="none" w:sz="0" w:space="0" w:color="auto"/>
                                        <w:left w:val="none" w:sz="0" w:space="0" w:color="auto"/>
                                        <w:bottom w:val="none" w:sz="0" w:space="0" w:color="auto"/>
                                        <w:right w:val="none" w:sz="0" w:space="0" w:color="auto"/>
                                      </w:divBdr>
                                    </w:div>
                                    <w:div w:id="1349914370">
                                      <w:marLeft w:val="0"/>
                                      <w:marRight w:val="0"/>
                                      <w:marTop w:val="0"/>
                                      <w:marBottom w:val="0"/>
                                      <w:divBdr>
                                        <w:top w:val="none" w:sz="0" w:space="0" w:color="auto"/>
                                        <w:left w:val="none" w:sz="0" w:space="0" w:color="auto"/>
                                        <w:bottom w:val="none" w:sz="0" w:space="0" w:color="auto"/>
                                        <w:right w:val="none" w:sz="0" w:space="0" w:color="auto"/>
                                      </w:divBdr>
                                    </w:div>
                                    <w:div w:id="1354191012">
                                      <w:marLeft w:val="0"/>
                                      <w:marRight w:val="0"/>
                                      <w:marTop w:val="0"/>
                                      <w:marBottom w:val="0"/>
                                      <w:divBdr>
                                        <w:top w:val="none" w:sz="0" w:space="0" w:color="auto"/>
                                        <w:left w:val="none" w:sz="0" w:space="0" w:color="auto"/>
                                        <w:bottom w:val="none" w:sz="0" w:space="0" w:color="auto"/>
                                        <w:right w:val="none" w:sz="0" w:space="0" w:color="auto"/>
                                      </w:divBdr>
                                    </w:div>
                                    <w:div w:id="1389840800">
                                      <w:marLeft w:val="0"/>
                                      <w:marRight w:val="0"/>
                                      <w:marTop w:val="0"/>
                                      <w:marBottom w:val="0"/>
                                      <w:divBdr>
                                        <w:top w:val="none" w:sz="0" w:space="0" w:color="auto"/>
                                        <w:left w:val="none" w:sz="0" w:space="0" w:color="auto"/>
                                        <w:bottom w:val="none" w:sz="0" w:space="0" w:color="auto"/>
                                        <w:right w:val="none" w:sz="0" w:space="0" w:color="auto"/>
                                      </w:divBdr>
                                    </w:div>
                                    <w:div w:id="1395926547">
                                      <w:marLeft w:val="0"/>
                                      <w:marRight w:val="0"/>
                                      <w:marTop w:val="0"/>
                                      <w:marBottom w:val="0"/>
                                      <w:divBdr>
                                        <w:top w:val="none" w:sz="0" w:space="0" w:color="auto"/>
                                        <w:left w:val="none" w:sz="0" w:space="0" w:color="auto"/>
                                        <w:bottom w:val="none" w:sz="0" w:space="0" w:color="auto"/>
                                        <w:right w:val="none" w:sz="0" w:space="0" w:color="auto"/>
                                      </w:divBdr>
                                    </w:div>
                                    <w:div w:id="1397898883">
                                      <w:marLeft w:val="0"/>
                                      <w:marRight w:val="0"/>
                                      <w:marTop w:val="0"/>
                                      <w:marBottom w:val="0"/>
                                      <w:divBdr>
                                        <w:top w:val="none" w:sz="0" w:space="0" w:color="auto"/>
                                        <w:left w:val="none" w:sz="0" w:space="0" w:color="auto"/>
                                        <w:bottom w:val="none" w:sz="0" w:space="0" w:color="auto"/>
                                        <w:right w:val="none" w:sz="0" w:space="0" w:color="auto"/>
                                      </w:divBdr>
                                    </w:div>
                                    <w:div w:id="1400782316">
                                      <w:marLeft w:val="0"/>
                                      <w:marRight w:val="0"/>
                                      <w:marTop w:val="0"/>
                                      <w:marBottom w:val="0"/>
                                      <w:divBdr>
                                        <w:top w:val="none" w:sz="0" w:space="0" w:color="auto"/>
                                        <w:left w:val="none" w:sz="0" w:space="0" w:color="auto"/>
                                        <w:bottom w:val="none" w:sz="0" w:space="0" w:color="auto"/>
                                        <w:right w:val="none" w:sz="0" w:space="0" w:color="auto"/>
                                      </w:divBdr>
                                    </w:div>
                                    <w:div w:id="1403210573">
                                      <w:marLeft w:val="0"/>
                                      <w:marRight w:val="0"/>
                                      <w:marTop w:val="0"/>
                                      <w:marBottom w:val="0"/>
                                      <w:divBdr>
                                        <w:top w:val="none" w:sz="0" w:space="0" w:color="auto"/>
                                        <w:left w:val="none" w:sz="0" w:space="0" w:color="auto"/>
                                        <w:bottom w:val="none" w:sz="0" w:space="0" w:color="auto"/>
                                        <w:right w:val="none" w:sz="0" w:space="0" w:color="auto"/>
                                      </w:divBdr>
                                    </w:div>
                                    <w:div w:id="1425809902">
                                      <w:marLeft w:val="0"/>
                                      <w:marRight w:val="0"/>
                                      <w:marTop w:val="0"/>
                                      <w:marBottom w:val="0"/>
                                      <w:divBdr>
                                        <w:top w:val="none" w:sz="0" w:space="0" w:color="auto"/>
                                        <w:left w:val="none" w:sz="0" w:space="0" w:color="auto"/>
                                        <w:bottom w:val="none" w:sz="0" w:space="0" w:color="auto"/>
                                        <w:right w:val="none" w:sz="0" w:space="0" w:color="auto"/>
                                      </w:divBdr>
                                    </w:div>
                                    <w:div w:id="1426611780">
                                      <w:marLeft w:val="0"/>
                                      <w:marRight w:val="0"/>
                                      <w:marTop w:val="0"/>
                                      <w:marBottom w:val="0"/>
                                      <w:divBdr>
                                        <w:top w:val="none" w:sz="0" w:space="0" w:color="auto"/>
                                        <w:left w:val="none" w:sz="0" w:space="0" w:color="auto"/>
                                        <w:bottom w:val="none" w:sz="0" w:space="0" w:color="auto"/>
                                        <w:right w:val="none" w:sz="0" w:space="0" w:color="auto"/>
                                      </w:divBdr>
                                    </w:div>
                                    <w:div w:id="1429503373">
                                      <w:marLeft w:val="0"/>
                                      <w:marRight w:val="0"/>
                                      <w:marTop w:val="0"/>
                                      <w:marBottom w:val="0"/>
                                      <w:divBdr>
                                        <w:top w:val="none" w:sz="0" w:space="0" w:color="auto"/>
                                        <w:left w:val="none" w:sz="0" w:space="0" w:color="auto"/>
                                        <w:bottom w:val="none" w:sz="0" w:space="0" w:color="auto"/>
                                        <w:right w:val="none" w:sz="0" w:space="0" w:color="auto"/>
                                      </w:divBdr>
                                    </w:div>
                                    <w:div w:id="1429811260">
                                      <w:marLeft w:val="0"/>
                                      <w:marRight w:val="0"/>
                                      <w:marTop w:val="0"/>
                                      <w:marBottom w:val="0"/>
                                      <w:divBdr>
                                        <w:top w:val="none" w:sz="0" w:space="0" w:color="auto"/>
                                        <w:left w:val="none" w:sz="0" w:space="0" w:color="auto"/>
                                        <w:bottom w:val="none" w:sz="0" w:space="0" w:color="auto"/>
                                        <w:right w:val="none" w:sz="0" w:space="0" w:color="auto"/>
                                      </w:divBdr>
                                    </w:div>
                                    <w:div w:id="1442264847">
                                      <w:marLeft w:val="0"/>
                                      <w:marRight w:val="0"/>
                                      <w:marTop w:val="0"/>
                                      <w:marBottom w:val="0"/>
                                      <w:divBdr>
                                        <w:top w:val="none" w:sz="0" w:space="0" w:color="auto"/>
                                        <w:left w:val="none" w:sz="0" w:space="0" w:color="auto"/>
                                        <w:bottom w:val="none" w:sz="0" w:space="0" w:color="auto"/>
                                        <w:right w:val="none" w:sz="0" w:space="0" w:color="auto"/>
                                      </w:divBdr>
                                    </w:div>
                                    <w:div w:id="1443572034">
                                      <w:marLeft w:val="0"/>
                                      <w:marRight w:val="0"/>
                                      <w:marTop w:val="0"/>
                                      <w:marBottom w:val="0"/>
                                      <w:divBdr>
                                        <w:top w:val="none" w:sz="0" w:space="0" w:color="auto"/>
                                        <w:left w:val="none" w:sz="0" w:space="0" w:color="auto"/>
                                        <w:bottom w:val="none" w:sz="0" w:space="0" w:color="auto"/>
                                        <w:right w:val="none" w:sz="0" w:space="0" w:color="auto"/>
                                      </w:divBdr>
                                    </w:div>
                                    <w:div w:id="1448813739">
                                      <w:marLeft w:val="0"/>
                                      <w:marRight w:val="0"/>
                                      <w:marTop w:val="0"/>
                                      <w:marBottom w:val="0"/>
                                      <w:divBdr>
                                        <w:top w:val="none" w:sz="0" w:space="0" w:color="auto"/>
                                        <w:left w:val="none" w:sz="0" w:space="0" w:color="auto"/>
                                        <w:bottom w:val="none" w:sz="0" w:space="0" w:color="auto"/>
                                        <w:right w:val="none" w:sz="0" w:space="0" w:color="auto"/>
                                      </w:divBdr>
                                    </w:div>
                                    <w:div w:id="1477991142">
                                      <w:marLeft w:val="0"/>
                                      <w:marRight w:val="0"/>
                                      <w:marTop w:val="0"/>
                                      <w:marBottom w:val="0"/>
                                      <w:divBdr>
                                        <w:top w:val="none" w:sz="0" w:space="0" w:color="auto"/>
                                        <w:left w:val="none" w:sz="0" w:space="0" w:color="auto"/>
                                        <w:bottom w:val="none" w:sz="0" w:space="0" w:color="auto"/>
                                        <w:right w:val="none" w:sz="0" w:space="0" w:color="auto"/>
                                      </w:divBdr>
                                    </w:div>
                                    <w:div w:id="1478498818">
                                      <w:marLeft w:val="0"/>
                                      <w:marRight w:val="0"/>
                                      <w:marTop w:val="0"/>
                                      <w:marBottom w:val="0"/>
                                      <w:divBdr>
                                        <w:top w:val="none" w:sz="0" w:space="0" w:color="auto"/>
                                        <w:left w:val="none" w:sz="0" w:space="0" w:color="auto"/>
                                        <w:bottom w:val="none" w:sz="0" w:space="0" w:color="auto"/>
                                        <w:right w:val="none" w:sz="0" w:space="0" w:color="auto"/>
                                      </w:divBdr>
                                    </w:div>
                                    <w:div w:id="1532954814">
                                      <w:marLeft w:val="0"/>
                                      <w:marRight w:val="0"/>
                                      <w:marTop w:val="0"/>
                                      <w:marBottom w:val="0"/>
                                      <w:divBdr>
                                        <w:top w:val="none" w:sz="0" w:space="0" w:color="auto"/>
                                        <w:left w:val="none" w:sz="0" w:space="0" w:color="auto"/>
                                        <w:bottom w:val="none" w:sz="0" w:space="0" w:color="auto"/>
                                        <w:right w:val="none" w:sz="0" w:space="0" w:color="auto"/>
                                      </w:divBdr>
                                    </w:div>
                                    <w:div w:id="1544710134">
                                      <w:marLeft w:val="0"/>
                                      <w:marRight w:val="0"/>
                                      <w:marTop w:val="0"/>
                                      <w:marBottom w:val="0"/>
                                      <w:divBdr>
                                        <w:top w:val="none" w:sz="0" w:space="0" w:color="auto"/>
                                        <w:left w:val="none" w:sz="0" w:space="0" w:color="auto"/>
                                        <w:bottom w:val="none" w:sz="0" w:space="0" w:color="auto"/>
                                        <w:right w:val="none" w:sz="0" w:space="0" w:color="auto"/>
                                      </w:divBdr>
                                    </w:div>
                                    <w:div w:id="1545368421">
                                      <w:marLeft w:val="0"/>
                                      <w:marRight w:val="0"/>
                                      <w:marTop w:val="0"/>
                                      <w:marBottom w:val="0"/>
                                      <w:divBdr>
                                        <w:top w:val="none" w:sz="0" w:space="0" w:color="auto"/>
                                        <w:left w:val="none" w:sz="0" w:space="0" w:color="auto"/>
                                        <w:bottom w:val="none" w:sz="0" w:space="0" w:color="auto"/>
                                        <w:right w:val="none" w:sz="0" w:space="0" w:color="auto"/>
                                      </w:divBdr>
                                    </w:div>
                                    <w:div w:id="1554392192">
                                      <w:marLeft w:val="0"/>
                                      <w:marRight w:val="0"/>
                                      <w:marTop w:val="0"/>
                                      <w:marBottom w:val="0"/>
                                      <w:divBdr>
                                        <w:top w:val="none" w:sz="0" w:space="0" w:color="auto"/>
                                        <w:left w:val="none" w:sz="0" w:space="0" w:color="auto"/>
                                        <w:bottom w:val="none" w:sz="0" w:space="0" w:color="auto"/>
                                        <w:right w:val="none" w:sz="0" w:space="0" w:color="auto"/>
                                      </w:divBdr>
                                    </w:div>
                                    <w:div w:id="1573656861">
                                      <w:marLeft w:val="0"/>
                                      <w:marRight w:val="0"/>
                                      <w:marTop w:val="0"/>
                                      <w:marBottom w:val="0"/>
                                      <w:divBdr>
                                        <w:top w:val="none" w:sz="0" w:space="0" w:color="auto"/>
                                        <w:left w:val="none" w:sz="0" w:space="0" w:color="auto"/>
                                        <w:bottom w:val="none" w:sz="0" w:space="0" w:color="auto"/>
                                        <w:right w:val="none" w:sz="0" w:space="0" w:color="auto"/>
                                      </w:divBdr>
                                    </w:div>
                                    <w:div w:id="1578974338">
                                      <w:marLeft w:val="0"/>
                                      <w:marRight w:val="0"/>
                                      <w:marTop w:val="0"/>
                                      <w:marBottom w:val="0"/>
                                      <w:divBdr>
                                        <w:top w:val="none" w:sz="0" w:space="0" w:color="auto"/>
                                        <w:left w:val="none" w:sz="0" w:space="0" w:color="auto"/>
                                        <w:bottom w:val="none" w:sz="0" w:space="0" w:color="auto"/>
                                        <w:right w:val="none" w:sz="0" w:space="0" w:color="auto"/>
                                      </w:divBdr>
                                    </w:div>
                                    <w:div w:id="1582711753">
                                      <w:marLeft w:val="0"/>
                                      <w:marRight w:val="0"/>
                                      <w:marTop w:val="0"/>
                                      <w:marBottom w:val="0"/>
                                      <w:divBdr>
                                        <w:top w:val="none" w:sz="0" w:space="0" w:color="auto"/>
                                        <w:left w:val="none" w:sz="0" w:space="0" w:color="auto"/>
                                        <w:bottom w:val="none" w:sz="0" w:space="0" w:color="auto"/>
                                        <w:right w:val="none" w:sz="0" w:space="0" w:color="auto"/>
                                      </w:divBdr>
                                    </w:div>
                                    <w:div w:id="1599409736">
                                      <w:marLeft w:val="0"/>
                                      <w:marRight w:val="0"/>
                                      <w:marTop w:val="0"/>
                                      <w:marBottom w:val="0"/>
                                      <w:divBdr>
                                        <w:top w:val="none" w:sz="0" w:space="0" w:color="auto"/>
                                        <w:left w:val="none" w:sz="0" w:space="0" w:color="auto"/>
                                        <w:bottom w:val="none" w:sz="0" w:space="0" w:color="auto"/>
                                        <w:right w:val="none" w:sz="0" w:space="0" w:color="auto"/>
                                      </w:divBdr>
                                    </w:div>
                                    <w:div w:id="1600332950">
                                      <w:marLeft w:val="0"/>
                                      <w:marRight w:val="0"/>
                                      <w:marTop w:val="0"/>
                                      <w:marBottom w:val="0"/>
                                      <w:divBdr>
                                        <w:top w:val="none" w:sz="0" w:space="0" w:color="auto"/>
                                        <w:left w:val="none" w:sz="0" w:space="0" w:color="auto"/>
                                        <w:bottom w:val="none" w:sz="0" w:space="0" w:color="auto"/>
                                        <w:right w:val="none" w:sz="0" w:space="0" w:color="auto"/>
                                      </w:divBdr>
                                    </w:div>
                                    <w:div w:id="1601327574">
                                      <w:marLeft w:val="0"/>
                                      <w:marRight w:val="0"/>
                                      <w:marTop w:val="0"/>
                                      <w:marBottom w:val="0"/>
                                      <w:divBdr>
                                        <w:top w:val="none" w:sz="0" w:space="0" w:color="auto"/>
                                        <w:left w:val="none" w:sz="0" w:space="0" w:color="auto"/>
                                        <w:bottom w:val="none" w:sz="0" w:space="0" w:color="auto"/>
                                        <w:right w:val="none" w:sz="0" w:space="0" w:color="auto"/>
                                      </w:divBdr>
                                    </w:div>
                                    <w:div w:id="1601527271">
                                      <w:marLeft w:val="0"/>
                                      <w:marRight w:val="0"/>
                                      <w:marTop w:val="0"/>
                                      <w:marBottom w:val="0"/>
                                      <w:divBdr>
                                        <w:top w:val="none" w:sz="0" w:space="0" w:color="auto"/>
                                        <w:left w:val="none" w:sz="0" w:space="0" w:color="auto"/>
                                        <w:bottom w:val="none" w:sz="0" w:space="0" w:color="auto"/>
                                        <w:right w:val="none" w:sz="0" w:space="0" w:color="auto"/>
                                      </w:divBdr>
                                    </w:div>
                                    <w:div w:id="1608658790">
                                      <w:marLeft w:val="0"/>
                                      <w:marRight w:val="0"/>
                                      <w:marTop w:val="0"/>
                                      <w:marBottom w:val="0"/>
                                      <w:divBdr>
                                        <w:top w:val="none" w:sz="0" w:space="0" w:color="auto"/>
                                        <w:left w:val="none" w:sz="0" w:space="0" w:color="auto"/>
                                        <w:bottom w:val="none" w:sz="0" w:space="0" w:color="auto"/>
                                        <w:right w:val="none" w:sz="0" w:space="0" w:color="auto"/>
                                      </w:divBdr>
                                    </w:div>
                                    <w:div w:id="1639798329">
                                      <w:marLeft w:val="0"/>
                                      <w:marRight w:val="0"/>
                                      <w:marTop w:val="0"/>
                                      <w:marBottom w:val="0"/>
                                      <w:divBdr>
                                        <w:top w:val="none" w:sz="0" w:space="0" w:color="auto"/>
                                        <w:left w:val="none" w:sz="0" w:space="0" w:color="auto"/>
                                        <w:bottom w:val="none" w:sz="0" w:space="0" w:color="auto"/>
                                        <w:right w:val="none" w:sz="0" w:space="0" w:color="auto"/>
                                      </w:divBdr>
                                    </w:div>
                                    <w:div w:id="1644429878">
                                      <w:marLeft w:val="0"/>
                                      <w:marRight w:val="0"/>
                                      <w:marTop w:val="0"/>
                                      <w:marBottom w:val="0"/>
                                      <w:divBdr>
                                        <w:top w:val="none" w:sz="0" w:space="0" w:color="auto"/>
                                        <w:left w:val="none" w:sz="0" w:space="0" w:color="auto"/>
                                        <w:bottom w:val="none" w:sz="0" w:space="0" w:color="auto"/>
                                        <w:right w:val="none" w:sz="0" w:space="0" w:color="auto"/>
                                      </w:divBdr>
                                    </w:div>
                                    <w:div w:id="1646199280">
                                      <w:marLeft w:val="0"/>
                                      <w:marRight w:val="0"/>
                                      <w:marTop w:val="0"/>
                                      <w:marBottom w:val="0"/>
                                      <w:divBdr>
                                        <w:top w:val="none" w:sz="0" w:space="0" w:color="auto"/>
                                        <w:left w:val="none" w:sz="0" w:space="0" w:color="auto"/>
                                        <w:bottom w:val="none" w:sz="0" w:space="0" w:color="auto"/>
                                        <w:right w:val="none" w:sz="0" w:space="0" w:color="auto"/>
                                      </w:divBdr>
                                    </w:div>
                                    <w:div w:id="1647852931">
                                      <w:marLeft w:val="0"/>
                                      <w:marRight w:val="0"/>
                                      <w:marTop w:val="0"/>
                                      <w:marBottom w:val="0"/>
                                      <w:divBdr>
                                        <w:top w:val="none" w:sz="0" w:space="0" w:color="auto"/>
                                        <w:left w:val="none" w:sz="0" w:space="0" w:color="auto"/>
                                        <w:bottom w:val="none" w:sz="0" w:space="0" w:color="auto"/>
                                        <w:right w:val="none" w:sz="0" w:space="0" w:color="auto"/>
                                      </w:divBdr>
                                    </w:div>
                                    <w:div w:id="1651596379">
                                      <w:marLeft w:val="0"/>
                                      <w:marRight w:val="0"/>
                                      <w:marTop w:val="0"/>
                                      <w:marBottom w:val="0"/>
                                      <w:divBdr>
                                        <w:top w:val="none" w:sz="0" w:space="0" w:color="auto"/>
                                        <w:left w:val="none" w:sz="0" w:space="0" w:color="auto"/>
                                        <w:bottom w:val="none" w:sz="0" w:space="0" w:color="auto"/>
                                        <w:right w:val="none" w:sz="0" w:space="0" w:color="auto"/>
                                      </w:divBdr>
                                    </w:div>
                                    <w:div w:id="1663389303">
                                      <w:marLeft w:val="0"/>
                                      <w:marRight w:val="0"/>
                                      <w:marTop w:val="0"/>
                                      <w:marBottom w:val="0"/>
                                      <w:divBdr>
                                        <w:top w:val="none" w:sz="0" w:space="0" w:color="auto"/>
                                        <w:left w:val="none" w:sz="0" w:space="0" w:color="auto"/>
                                        <w:bottom w:val="none" w:sz="0" w:space="0" w:color="auto"/>
                                        <w:right w:val="none" w:sz="0" w:space="0" w:color="auto"/>
                                      </w:divBdr>
                                    </w:div>
                                    <w:div w:id="1667170614">
                                      <w:marLeft w:val="0"/>
                                      <w:marRight w:val="0"/>
                                      <w:marTop w:val="0"/>
                                      <w:marBottom w:val="0"/>
                                      <w:divBdr>
                                        <w:top w:val="none" w:sz="0" w:space="0" w:color="auto"/>
                                        <w:left w:val="none" w:sz="0" w:space="0" w:color="auto"/>
                                        <w:bottom w:val="none" w:sz="0" w:space="0" w:color="auto"/>
                                        <w:right w:val="none" w:sz="0" w:space="0" w:color="auto"/>
                                      </w:divBdr>
                                    </w:div>
                                    <w:div w:id="1681077366">
                                      <w:marLeft w:val="0"/>
                                      <w:marRight w:val="0"/>
                                      <w:marTop w:val="0"/>
                                      <w:marBottom w:val="0"/>
                                      <w:divBdr>
                                        <w:top w:val="none" w:sz="0" w:space="0" w:color="auto"/>
                                        <w:left w:val="none" w:sz="0" w:space="0" w:color="auto"/>
                                        <w:bottom w:val="none" w:sz="0" w:space="0" w:color="auto"/>
                                        <w:right w:val="none" w:sz="0" w:space="0" w:color="auto"/>
                                      </w:divBdr>
                                    </w:div>
                                    <w:div w:id="1691107285">
                                      <w:marLeft w:val="0"/>
                                      <w:marRight w:val="0"/>
                                      <w:marTop w:val="0"/>
                                      <w:marBottom w:val="0"/>
                                      <w:divBdr>
                                        <w:top w:val="none" w:sz="0" w:space="0" w:color="auto"/>
                                        <w:left w:val="none" w:sz="0" w:space="0" w:color="auto"/>
                                        <w:bottom w:val="none" w:sz="0" w:space="0" w:color="auto"/>
                                        <w:right w:val="none" w:sz="0" w:space="0" w:color="auto"/>
                                      </w:divBdr>
                                    </w:div>
                                    <w:div w:id="1707290472">
                                      <w:marLeft w:val="0"/>
                                      <w:marRight w:val="0"/>
                                      <w:marTop w:val="0"/>
                                      <w:marBottom w:val="0"/>
                                      <w:divBdr>
                                        <w:top w:val="none" w:sz="0" w:space="0" w:color="auto"/>
                                        <w:left w:val="none" w:sz="0" w:space="0" w:color="auto"/>
                                        <w:bottom w:val="none" w:sz="0" w:space="0" w:color="auto"/>
                                        <w:right w:val="none" w:sz="0" w:space="0" w:color="auto"/>
                                      </w:divBdr>
                                    </w:div>
                                    <w:div w:id="1708794610">
                                      <w:marLeft w:val="0"/>
                                      <w:marRight w:val="0"/>
                                      <w:marTop w:val="0"/>
                                      <w:marBottom w:val="0"/>
                                      <w:divBdr>
                                        <w:top w:val="none" w:sz="0" w:space="0" w:color="auto"/>
                                        <w:left w:val="none" w:sz="0" w:space="0" w:color="auto"/>
                                        <w:bottom w:val="none" w:sz="0" w:space="0" w:color="auto"/>
                                        <w:right w:val="none" w:sz="0" w:space="0" w:color="auto"/>
                                      </w:divBdr>
                                    </w:div>
                                    <w:div w:id="1712722874">
                                      <w:marLeft w:val="0"/>
                                      <w:marRight w:val="0"/>
                                      <w:marTop w:val="0"/>
                                      <w:marBottom w:val="0"/>
                                      <w:divBdr>
                                        <w:top w:val="none" w:sz="0" w:space="0" w:color="auto"/>
                                        <w:left w:val="none" w:sz="0" w:space="0" w:color="auto"/>
                                        <w:bottom w:val="none" w:sz="0" w:space="0" w:color="auto"/>
                                        <w:right w:val="none" w:sz="0" w:space="0" w:color="auto"/>
                                      </w:divBdr>
                                    </w:div>
                                    <w:div w:id="1715497265">
                                      <w:marLeft w:val="0"/>
                                      <w:marRight w:val="0"/>
                                      <w:marTop w:val="0"/>
                                      <w:marBottom w:val="0"/>
                                      <w:divBdr>
                                        <w:top w:val="none" w:sz="0" w:space="0" w:color="auto"/>
                                        <w:left w:val="none" w:sz="0" w:space="0" w:color="auto"/>
                                        <w:bottom w:val="none" w:sz="0" w:space="0" w:color="auto"/>
                                        <w:right w:val="none" w:sz="0" w:space="0" w:color="auto"/>
                                      </w:divBdr>
                                    </w:div>
                                    <w:div w:id="1722972251">
                                      <w:marLeft w:val="0"/>
                                      <w:marRight w:val="0"/>
                                      <w:marTop w:val="0"/>
                                      <w:marBottom w:val="0"/>
                                      <w:divBdr>
                                        <w:top w:val="none" w:sz="0" w:space="0" w:color="auto"/>
                                        <w:left w:val="none" w:sz="0" w:space="0" w:color="auto"/>
                                        <w:bottom w:val="none" w:sz="0" w:space="0" w:color="auto"/>
                                        <w:right w:val="none" w:sz="0" w:space="0" w:color="auto"/>
                                      </w:divBdr>
                                    </w:div>
                                    <w:div w:id="1723214122">
                                      <w:marLeft w:val="0"/>
                                      <w:marRight w:val="0"/>
                                      <w:marTop w:val="0"/>
                                      <w:marBottom w:val="0"/>
                                      <w:divBdr>
                                        <w:top w:val="none" w:sz="0" w:space="0" w:color="auto"/>
                                        <w:left w:val="none" w:sz="0" w:space="0" w:color="auto"/>
                                        <w:bottom w:val="none" w:sz="0" w:space="0" w:color="auto"/>
                                        <w:right w:val="none" w:sz="0" w:space="0" w:color="auto"/>
                                      </w:divBdr>
                                    </w:div>
                                    <w:div w:id="1739862332">
                                      <w:marLeft w:val="0"/>
                                      <w:marRight w:val="0"/>
                                      <w:marTop w:val="0"/>
                                      <w:marBottom w:val="0"/>
                                      <w:divBdr>
                                        <w:top w:val="none" w:sz="0" w:space="0" w:color="auto"/>
                                        <w:left w:val="none" w:sz="0" w:space="0" w:color="auto"/>
                                        <w:bottom w:val="none" w:sz="0" w:space="0" w:color="auto"/>
                                        <w:right w:val="none" w:sz="0" w:space="0" w:color="auto"/>
                                      </w:divBdr>
                                    </w:div>
                                    <w:div w:id="1741055191">
                                      <w:marLeft w:val="0"/>
                                      <w:marRight w:val="0"/>
                                      <w:marTop w:val="0"/>
                                      <w:marBottom w:val="0"/>
                                      <w:divBdr>
                                        <w:top w:val="none" w:sz="0" w:space="0" w:color="auto"/>
                                        <w:left w:val="none" w:sz="0" w:space="0" w:color="auto"/>
                                        <w:bottom w:val="none" w:sz="0" w:space="0" w:color="auto"/>
                                        <w:right w:val="none" w:sz="0" w:space="0" w:color="auto"/>
                                      </w:divBdr>
                                    </w:div>
                                    <w:div w:id="1754202345">
                                      <w:marLeft w:val="0"/>
                                      <w:marRight w:val="0"/>
                                      <w:marTop w:val="0"/>
                                      <w:marBottom w:val="0"/>
                                      <w:divBdr>
                                        <w:top w:val="none" w:sz="0" w:space="0" w:color="auto"/>
                                        <w:left w:val="none" w:sz="0" w:space="0" w:color="auto"/>
                                        <w:bottom w:val="none" w:sz="0" w:space="0" w:color="auto"/>
                                        <w:right w:val="none" w:sz="0" w:space="0" w:color="auto"/>
                                      </w:divBdr>
                                    </w:div>
                                    <w:div w:id="1767463433">
                                      <w:marLeft w:val="0"/>
                                      <w:marRight w:val="0"/>
                                      <w:marTop w:val="0"/>
                                      <w:marBottom w:val="0"/>
                                      <w:divBdr>
                                        <w:top w:val="none" w:sz="0" w:space="0" w:color="auto"/>
                                        <w:left w:val="none" w:sz="0" w:space="0" w:color="auto"/>
                                        <w:bottom w:val="none" w:sz="0" w:space="0" w:color="auto"/>
                                        <w:right w:val="none" w:sz="0" w:space="0" w:color="auto"/>
                                      </w:divBdr>
                                    </w:div>
                                    <w:div w:id="1775663473">
                                      <w:marLeft w:val="0"/>
                                      <w:marRight w:val="0"/>
                                      <w:marTop w:val="0"/>
                                      <w:marBottom w:val="0"/>
                                      <w:divBdr>
                                        <w:top w:val="none" w:sz="0" w:space="0" w:color="auto"/>
                                        <w:left w:val="none" w:sz="0" w:space="0" w:color="auto"/>
                                        <w:bottom w:val="none" w:sz="0" w:space="0" w:color="auto"/>
                                        <w:right w:val="none" w:sz="0" w:space="0" w:color="auto"/>
                                      </w:divBdr>
                                    </w:div>
                                    <w:div w:id="1776091983">
                                      <w:marLeft w:val="0"/>
                                      <w:marRight w:val="0"/>
                                      <w:marTop w:val="0"/>
                                      <w:marBottom w:val="0"/>
                                      <w:divBdr>
                                        <w:top w:val="none" w:sz="0" w:space="0" w:color="auto"/>
                                        <w:left w:val="none" w:sz="0" w:space="0" w:color="auto"/>
                                        <w:bottom w:val="none" w:sz="0" w:space="0" w:color="auto"/>
                                        <w:right w:val="none" w:sz="0" w:space="0" w:color="auto"/>
                                      </w:divBdr>
                                    </w:div>
                                    <w:div w:id="1780955892">
                                      <w:marLeft w:val="0"/>
                                      <w:marRight w:val="0"/>
                                      <w:marTop w:val="0"/>
                                      <w:marBottom w:val="0"/>
                                      <w:divBdr>
                                        <w:top w:val="none" w:sz="0" w:space="0" w:color="auto"/>
                                        <w:left w:val="none" w:sz="0" w:space="0" w:color="auto"/>
                                        <w:bottom w:val="none" w:sz="0" w:space="0" w:color="auto"/>
                                        <w:right w:val="none" w:sz="0" w:space="0" w:color="auto"/>
                                      </w:divBdr>
                                    </w:div>
                                    <w:div w:id="1794444527">
                                      <w:marLeft w:val="0"/>
                                      <w:marRight w:val="0"/>
                                      <w:marTop w:val="0"/>
                                      <w:marBottom w:val="0"/>
                                      <w:divBdr>
                                        <w:top w:val="none" w:sz="0" w:space="0" w:color="auto"/>
                                        <w:left w:val="none" w:sz="0" w:space="0" w:color="auto"/>
                                        <w:bottom w:val="none" w:sz="0" w:space="0" w:color="auto"/>
                                        <w:right w:val="none" w:sz="0" w:space="0" w:color="auto"/>
                                      </w:divBdr>
                                    </w:div>
                                    <w:div w:id="1817455921">
                                      <w:marLeft w:val="0"/>
                                      <w:marRight w:val="0"/>
                                      <w:marTop w:val="0"/>
                                      <w:marBottom w:val="0"/>
                                      <w:divBdr>
                                        <w:top w:val="none" w:sz="0" w:space="0" w:color="auto"/>
                                        <w:left w:val="none" w:sz="0" w:space="0" w:color="auto"/>
                                        <w:bottom w:val="none" w:sz="0" w:space="0" w:color="auto"/>
                                        <w:right w:val="none" w:sz="0" w:space="0" w:color="auto"/>
                                      </w:divBdr>
                                    </w:div>
                                    <w:div w:id="1846701504">
                                      <w:marLeft w:val="0"/>
                                      <w:marRight w:val="0"/>
                                      <w:marTop w:val="0"/>
                                      <w:marBottom w:val="0"/>
                                      <w:divBdr>
                                        <w:top w:val="none" w:sz="0" w:space="0" w:color="auto"/>
                                        <w:left w:val="none" w:sz="0" w:space="0" w:color="auto"/>
                                        <w:bottom w:val="none" w:sz="0" w:space="0" w:color="auto"/>
                                        <w:right w:val="none" w:sz="0" w:space="0" w:color="auto"/>
                                      </w:divBdr>
                                    </w:div>
                                    <w:div w:id="1882282807">
                                      <w:marLeft w:val="0"/>
                                      <w:marRight w:val="0"/>
                                      <w:marTop w:val="0"/>
                                      <w:marBottom w:val="0"/>
                                      <w:divBdr>
                                        <w:top w:val="none" w:sz="0" w:space="0" w:color="auto"/>
                                        <w:left w:val="none" w:sz="0" w:space="0" w:color="auto"/>
                                        <w:bottom w:val="none" w:sz="0" w:space="0" w:color="auto"/>
                                        <w:right w:val="none" w:sz="0" w:space="0" w:color="auto"/>
                                      </w:divBdr>
                                    </w:div>
                                    <w:div w:id="1884561744">
                                      <w:marLeft w:val="0"/>
                                      <w:marRight w:val="0"/>
                                      <w:marTop w:val="0"/>
                                      <w:marBottom w:val="0"/>
                                      <w:divBdr>
                                        <w:top w:val="none" w:sz="0" w:space="0" w:color="auto"/>
                                        <w:left w:val="none" w:sz="0" w:space="0" w:color="auto"/>
                                        <w:bottom w:val="none" w:sz="0" w:space="0" w:color="auto"/>
                                        <w:right w:val="none" w:sz="0" w:space="0" w:color="auto"/>
                                      </w:divBdr>
                                    </w:div>
                                    <w:div w:id="1886604379">
                                      <w:marLeft w:val="0"/>
                                      <w:marRight w:val="0"/>
                                      <w:marTop w:val="0"/>
                                      <w:marBottom w:val="0"/>
                                      <w:divBdr>
                                        <w:top w:val="none" w:sz="0" w:space="0" w:color="auto"/>
                                        <w:left w:val="none" w:sz="0" w:space="0" w:color="auto"/>
                                        <w:bottom w:val="none" w:sz="0" w:space="0" w:color="auto"/>
                                        <w:right w:val="none" w:sz="0" w:space="0" w:color="auto"/>
                                      </w:divBdr>
                                    </w:div>
                                    <w:div w:id="1908344462">
                                      <w:marLeft w:val="0"/>
                                      <w:marRight w:val="0"/>
                                      <w:marTop w:val="0"/>
                                      <w:marBottom w:val="0"/>
                                      <w:divBdr>
                                        <w:top w:val="none" w:sz="0" w:space="0" w:color="auto"/>
                                        <w:left w:val="none" w:sz="0" w:space="0" w:color="auto"/>
                                        <w:bottom w:val="none" w:sz="0" w:space="0" w:color="auto"/>
                                        <w:right w:val="none" w:sz="0" w:space="0" w:color="auto"/>
                                      </w:divBdr>
                                    </w:div>
                                    <w:div w:id="1911189008">
                                      <w:marLeft w:val="0"/>
                                      <w:marRight w:val="0"/>
                                      <w:marTop w:val="0"/>
                                      <w:marBottom w:val="0"/>
                                      <w:divBdr>
                                        <w:top w:val="none" w:sz="0" w:space="0" w:color="auto"/>
                                        <w:left w:val="none" w:sz="0" w:space="0" w:color="auto"/>
                                        <w:bottom w:val="none" w:sz="0" w:space="0" w:color="auto"/>
                                        <w:right w:val="none" w:sz="0" w:space="0" w:color="auto"/>
                                      </w:divBdr>
                                    </w:div>
                                    <w:div w:id="1943223174">
                                      <w:marLeft w:val="0"/>
                                      <w:marRight w:val="0"/>
                                      <w:marTop w:val="0"/>
                                      <w:marBottom w:val="0"/>
                                      <w:divBdr>
                                        <w:top w:val="none" w:sz="0" w:space="0" w:color="auto"/>
                                        <w:left w:val="none" w:sz="0" w:space="0" w:color="auto"/>
                                        <w:bottom w:val="none" w:sz="0" w:space="0" w:color="auto"/>
                                        <w:right w:val="none" w:sz="0" w:space="0" w:color="auto"/>
                                      </w:divBdr>
                                    </w:div>
                                    <w:div w:id="1954970369">
                                      <w:marLeft w:val="0"/>
                                      <w:marRight w:val="0"/>
                                      <w:marTop w:val="0"/>
                                      <w:marBottom w:val="0"/>
                                      <w:divBdr>
                                        <w:top w:val="none" w:sz="0" w:space="0" w:color="auto"/>
                                        <w:left w:val="none" w:sz="0" w:space="0" w:color="auto"/>
                                        <w:bottom w:val="none" w:sz="0" w:space="0" w:color="auto"/>
                                        <w:right w:val="none" w:sz="0" w:space="0" w:color="auto"/>
                                      </w:divBdr>
                                    </w:div>
                                    <w:div w:id="1961301539">
                                      <w:marLeft w:val="0"/>
                                      <w:marRight w:val="0"/>
                                      <w:marTop w:val="0"/>
                                      <w:marBottom w:val="0"/>
                                      <w:divBdr>
                                        <w:top w:val="none" w:sz="0" w:space="0" w:color="auto"/>
                                        <w:left w:val="none" w:sz="0" w:space="0" w:color="auto"/>
                                        <w:bottom w:val="none" w:sz="0" w:space="0" w:color="auto"/>
                                        <w:right w:val="none" w:sz="0" w:space="0" w:color="auto"/>
                                      </w:divBdr>
                                    </w:div>
                                    <w:div w:id="1966738176">
                                      <w:marLeft w:val="0"/>
                                      <w:marRight w:val="0"/>
                                      <w:marTop w:val="0"/>
                                      <w:marBottom w:val="0"/>
                                      <w:divBdr>
                                        <w:top w:val="none" w:sz="0" w:space="0" w:color="auto"/>
                                        <w:left w:val="none" w:sz="0" w:space="0" w:color="auto"/>
                                        <w:bottom w:val="none" w:sz="0" w:space="0" w:color="auto"/>
                                        <w:right w:val="none" w:sz="0" w:space="0" w:color="auto"/>
                                      </w:divBdr>
                                    </w:div>
                                    <w:div w:id="1972706332">
                                      <w:marLeft w:val="0"/>
                                      <w:marRight w:val="0"/>
                                      <w:marTop w:val="0"/>
                                      <w:marBottom w:val="0"/>
                                      <w:divBdr>
                                        <w:top w:val="none" w:sz="0" w:space="0" w:color="auto"/>
                                        <w:left w:val="none" w:sz="0" w:space="0" w:color="auto"/>
                                        <w:bottom w:val="none" w:sz="0" w:space="0" w:color="auto"/>
                                        <w:right w:val="none" w:sz="0" w:space="0" w:color="auto"/>
                                      </w:divBdr>
                                    </w:div>
                                    <w:div w:id="1977098895">
                                      <w:marLeft w:val="0"/>
                                      <w:marRight w:val="0"/>
                                      <w:marTop w:val="0"/>
                                      <w:marBottom w:val="0"/>
                                      <w:divBdr>
                                        <w:top w:val="none" w:sz="0" w:space="0" w:color="auto"/>
                                        <w:left w:val="none" w:sz="0" w:space="0" w:color="auto"/>
                                        <w:bottom w:val="none" w:sz="0" w:space="0" w:color="auto"/>
                                        <w:right w:val="none" w:sz="0" w:space="0" w:color="auto"/>
                                      </w:divBdr>
                                    </w:div>
                                    <w:div w:id="1984383619">
                                      <w:marLeft w:val="0"/>
                                      <w:marRight w:val="0"/>
                                      <w:marTop w:val="0"/>
                                      <w:marBottom w:val="0"/>
                                      <w:divBdr>
                                        <w:top w:val="none" w:sz="0" w:space="0" w:color="auto"/>
                                        <w:left w:val="none" w:sz="0" w:space="0" w:color="auto"/>
                                        <w:bottom w:val="none" w:sz="0" w:space="0" w:color="auto"/>
                                        <w:right w:val="none" w:sz="0" w:space="0" w:color="auto"/>
                                      </w:divBdr>
                                    </w:div>
                                    <w:div w:id="1989631765">
                                      <w:marLeft w:val="0"/>
                                      <w:marRight w:val="0"/>
                                      <w:marTop w:val="0"/>
                                      <w:marBottom w:val="0"/>
                                      <w:divBdr>
                                        <w:top w:val="none" w:sz="0" w:space="0" w:color="auto"/>
                                        <w:left w:val="none" w:sz="0" w:space="0" w:color="auto"/>
                                        <w:bottom w:val="none" w:sz="0" w:space="0" w:color="auto"/>
                                        <w:right w:val="none" w:sz="0" w:space="0" w:color="auto"/>
                                      </w:divBdr>
                                    </w:div>
                                    <w:div w:id="2003384629">
                                      <w:marLeft w:val="0"/>
                                      <w:marRight w:val="0"/>
                                      <w:marTop w:val="0"/>
                                      <w:marBottom w:val="0"/>
                                      <w:divBdr>
                                        <w:top w:val="none" w:sz="0" w:space="0" w:color="auto"/>
                                        <w:left w:val="none" w:sz="0" w:space="0" w:color="auto"/>
                                        <w:bottom w:val="none" w:sz="0" w:space="0" w:color="auto"/>
                                        <w:right w:val="none" w:sz="0" w:space="0" w:color="auto"/>
                                      </w:divBdr>
                                    </w:div>
                                    <w:div w:id="2009553094">
                                      <w:marLeft w:val="0"/>
                                      <w:marRight w:val="0"/>
                                      <w:marTop w:val="0"/>
                                      <w:marBottom w:val="0"/>
                                      <w:divBdr>
                                        <w:top w:val="none" w:sz="0" w:space="0" w:color="auto"/>
                                        <w:left w:val="none" w:sz="0" w:space="0" w:color="auto"/>
                                        <w:bottom w:val="none" w:sz="0" w:space="0" w:color="auto"/>
                                        <w:right w:val="none" w:sz="0" w:space="0" w:color="auto"/>
                                      </w:divBdr>
                                    </w:div>
                                    <w:div w:id="2018464780">
                                      <w:marLeft w:val="0"/>
                                      <w:marRight w:val="0"/>
                                      <w:marTop w:val="0"/>
                                      <w:marBottom w:val="0"/>
                                      <w:divBdr>
                                        <w:top w:val="none" w:sz="0" w:space="0" w:color="auto"/>
                                        <w:left w:val="none" w:sz="0" w:space="0" w:color="auto"/>
                                        <w:bottom w:val="none" w:sz="0" w:space="0" w:color="auto"/>
                                        <w:right w:val="none" w:sz="0" w:space="0" w:color="auto"/>
                                      </w:divBdr>
                                    </w:div>
                                    <w:div w:id="2021931633">
                                      <w:marLeft w:val="0"/>
                                      <w:marRight w:val="0"/>
                                      <w:marTop w:val="0"/>
                                      <w:marBottom w:val="0"/>
                                      <w:divBdr>
                                        <w:top w:val="none" w:sz="0" w:space="0" w:color="auto"/>
                                        <w:left w:val="none" w:sz="0" w:space="0" w:color="auto"/>
                                        <w:bottom w:val="none" w:sz="0" w:space="0" w:color="auto"/>
                                        <w:right w:val="none" w:sz="0" w:space="0" w:color="auto"/>
                                      </w:divBdr>
                                    </w:div>
                                    <w:div w:id="2024742971">
                                      <w:marLeft w:val="0"/>
                                      <w:marRight w:val="0"/>
                                      <w:marTop w:val="0"/>
                                      <w:marBottom w:val="0"/>
                                      <w:divBdr>
                                        <w:top w:val="none" w:sz="0" w:space="0" w:color="auto"/>
                                        <w:left w:val="none" w:sz="0" w:space="0" w:color="auto"/>
                                        <w:bottom w:val="none" w:sz="0" w:space="0" w:color="auto"/>
                                        <w:right w:val="none" w:sz="0" w:space="0" w:color="auto"/>
                                      </w:divBdr>
                                    </w:div>
                                    <w:div w:id="2037340940">
                                      <w:marLeft w:val="0"/>
                                      <w:marRight w:val="0"/>
                                      <w:marTop w:val="0"/>
                                      <w:marBottom w:val="0"/>
                                      <w:divBdr>
                                        <w:top w:val="none" w:sz="0" w:space="0" w:color="auto"/>
                                        <w:left w:val="none" w:sz="0" w:space="0" w:color="auto"/>
                                        <w:bottom w:val="none" w:sz="0" w:space="0" w:color="auto"/>
                                        <w:right w:val="none" w:sz="0" w:space="0" w:color="auto"/>
                                      </w:divBdr>
                                    </w:div>
                                    <w:div w:id="2037538940">
                                      <w:marLeft w:val="0"/>
                                      <w:marRight w:val="0"/>
                                      <w:marTop w:val="0"/>
                                      <w:marBottom w:val="0"/>
                                      <w:divBdr>
                                        <w:top w:val="none" w:sz="0" w:space="0" w:color="auto"/>
                                        <w:left w:val="none" w:sz="0" w:space="0" w:color="auto"/>
                                        <w:bottom w:val="none" w:sz="0" w:space="0" w:color="auto"/>
                                        <w:right w:val="none" w:sz="0" w:space="0" w:color="auto"/>
                                      </w:divBdr>
                                    </w:div>
                                    <w:div w:id="2040278362">
                                      <w:marLeft w:val="0"/>
                                      <w:marRight w:val="0"/>
                                      <w:marTop w:val="0"/>
                                      <w:marBottom w:val="0"/>
                                      <w:divBdr>
                                        <w:top w:val="none" w:sz="0" w:space="0" w:color="auto"/>
                                        <w:left w:val="none" w:sz="0" w:space="0" w:color="auto"/>
                                        <w:bottom w:val="none" w:sz="0" w:space="0" w:color="auto"/>
                                        <w:right w:val="none" w:sz="0" w:space="0" w:color="auto"/>
                                      </w:divBdr>
                                    </w:div>
                                    <w:div w:id="2064988500">
                                      <w:marLeft w:val="0"/>
                                      <w:marRight w:val="0"/>
                                      <w:marTop w:val="0"/>
                                      <w:marBottom w:val="0"/>
                                      <w:divBdr>
                                        <w:top w:val="none" w:sz="0" w:space="0" w:color="auto"/>
                                        <w:left w:val="none" w:sz="0" w:space="0" w:color="auto"/>
                                        <w:bottom w:val="none" w:sz="0" w:space="0" w:color="auto"/>
                                        <w:right w:val="none" w:sz="0" w:space="0" w:color="auto"/>
                                      </w:divBdr>
                                    </w:div>
                                    <w:div w:id="2065257413">
                                      <w:marLeft w:val="0"/>
                                      <w:marRight w:val="0"/>
                                      <w:marTop w:val="0"/>
                                      <w:marBottom w:val="0"/>
                                      <w:divBdr>
                                        <w:top w:val="none" w:sz="0" w:space="0" w:color="auto"/>
                                        <w:left w:val="none" w:sz="0" w:space="0" w:color="auto"/>
                                        <w:bottom w:val="none" w:sz="0" w:space="0" w:color="auto"/>
                                        <w:right w:val="none" w:sz="0" w:space="0" w:color="auto"/>
                                      </w:divBdr>
                                    </w:div>
                                    <w:div w:id="2065326446">
                                      <w:marLeft w:val="0"/>
                                      <w:marRight w:val="0"/>
                                      <w:marTop w:val="0"/>
                                      <w:marBottom w:val="0"/>
                                      <w:divBdr>
                                        <w:top w:val="none" w:sz="0" w:space="0" w:color="auto"/>
                                        <w:left w:val="none" w:sz="0" w:space="0" w:color="auto"/>
                                        <w:bottom w:val="none" w:sz="0" w:space="0" w:color="auto"/>
                                        <w:right w:val="none" w:sz="0" w:space="0" w:color="auto"/>
                                      </w:divBdr>
                                    </w:div>
                                    <w:div w:id="2075738797">
                                      <w:marLeft w:val="0"/>
                                      <w:marRight w:val="0"/>
                                      <w:marTop w:val="0"/>
                                      <w:marBottom w:val="0"/>
                                      <w:divBdr>
                                        <w:top w:val="none" w:sz="0" w:space="0" w:color="auto"/>
                                        <w:left w:val="none" w:sz="0" w:space="0" w:color="auto"/>
                                        <w:bottom w:val="none" w:sz="0" w:space="0" w:color="auto"/>
                                        <w:right w:val="none" w:sz="0" w:space="0" w:color="auto"/>
                                      </w:divBdr>
                                    </w:div>
                                    <w:div w:id="2075815800">
                                      <w:marLeft w:val="0"/>
                                      <w:marRight w:val="0"/>
                                      <w:marTop w:val="0"/>
                                      <w:marBottom w:val="0"/>
                                      <w:divBdr>
                                        <w:top w:val="none" w:sz="0" w:space="0" w:color="auto"/>
                                        <w:left w:val="none" w:sz="0" w:space="0" w:color="auto"/>
                                        <w:bottom w:val="none" w:sz="0" w:space="0" w:color="auto"/>
                                        <w:right w:val="none" w:sz="0" w:space="0" w:color="auto"/>
                                      </w:divBdr>
                                    </w:div>
                                    <w:div w:id="2079017316">
                                      <w:marLeft w:val="0"/>
                                      <w:marRight w:val="0"/>
                                      <w:marTop w:val="0"/>
                                      <w:marBottom w:val="0"/>
                                      <w:divBdr>
                                        <w:top w:val="none" w:sz="0" w:space="0" w:color="auto"/>
                                        <w:left w:val="none" w:sz="0" w:space="0" w:color="auto"/>
                                        <w:bottom w:val="none" w:sz="0" w:space="0" w:color="auto"/>
                                        <w:right w:val="none" w:sz="0" w:space="0" w:color="auto"/>
                                      </w:divBdr>
                                    </w:div>
                                    <w:div w:id="2081707900">
                                      <w:marLeft w:val="0"/>
                                      <w:marRight w:val="0"/>
                                      <w:marTop w:val="0"/>
                                      <w:marBottom w:val="0"/>
                                      <w:divBdr>
                                        <w:top w:val="none" w:sz="0" w:space="0" w:color="auto"/>
                                        <w:left w:val="none" w:sz="0" w:space="0" w:color="auto"/>
                                        <w:bottom w:val="none" w:sz="0" w:space="0" w:color="auto"/>
                                        <w:right w:val="none" w:sz="0" w:space="0" w:color="auto"/>
                                      </w:divBdr>
                                    </w:div>
                                    <w:div w:id="2083327965">
                                      <w:marLeft w:val="0"/>
                                      <w:marRight w:val="0"/>
                                      <w:marTop w:val="0"/>
                                      <w:marBottom w:val="0"/>
                                      <w:divBdr>
                                        <w:top w:val="none" w:sz="0" w:space="0" w:color="auto"/>
                                        <w:left w:val="none" w:sz="0" w:space="0" w:color="auto"/>
                                        <w:bottom w:val="none" w:sz="0" w:space="0" w:color="auto"/>
                                        <w:right w:val="none" w:sz="0" w:space="0" w:color="auto"/>
                                      </w:divBdr>
                                    </w:div>
                                    <w:div w:id="2084832908">
                                      <w:marLeft w:val="0"/>
                                      <w:marRight w:val="0"/>
                                      <w:marTop w:val="0"/>
                                      <w:marBottom w:val="0"/>
                                      <w:divBdr>
                                        <w:top w:val="none" w:sz="0" w:space="0" w:color="auto"/>
                                        <w:left w:val="none" w:sz="0" w:space="0" w:color="auto"/>
                                        <w:bottom w:val="none" w:sz="0" w:space="0" w:color="auto"/>
                                        <w:right w:val="none" w:sz="0" w:space="0" w:color="auto"/>
                                      </w:divBdr>
                                    </w:div>
                                    <w:div w:id="2121220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8179464">
                              <w:marLeft w:val="0"/>
                              <w:marRight w:val="0"/>
                              <w:marTop w:val="0"/>
                              <w:marBottom w:val="0"/>
                              <w:divBdr>
                                <w:top w:val="none" w:sz="0" w:space="0" w:color="auto"/>
                                <w:left w:val="none" w:sz="0" w:space="0" w:color="auto"/>
                                <w:bottom w:val="none" w:sz="0" w:space="0" w:color="auto"/>
                                <w:right w:val="none" w:sz="0" w:space="0" w:color="auto"/>
                              </w:divBdr>
                            </w:div>
                            <w:div w:id="1038748525">
                              <w:marLeft w:val="0"/>
                              <w:marRight w:val="0"/>
                              <w:marTop w:val="0"/>
                              <w:marBottom w:val="0"/>
                              <w:divBdr>
                                <w:top w:val="none" w:sz="0" w:space="0" w:color="auto"/>
                                <w:left w:val="none" w:sz="0" w:space="0" w:color="auto"/>
                                <w:bottom w:val="none" w:sz="0" w:space="0" w:color="auto"/>
                                <w:right w:val="none" w:sz="0" w:space="0" w:color="auto"/>
                              </w:divBdr>
                            </w:div>
                            <w:div w:id="1108039027">
                              <w:marLeft w:val="0"/>
                              <w:marRight w:val="0"/>
                              <w:marTop w:val="0"/>
                              <w:marBottom w:val="0"/>
                              <w:divBdr>
                                <w:top w:val="none" w:sz="0" w:space="0" w:color="auto"/>
                                <w:left w:val="none" w:sz="0" w:space="0" w:color="auto"/>
                                <w:bottom w:val="none" w:sz="0" w:space="0" w:color="auto"/>
                                <w:right w:val="none" w:sz="0" w:space="0" w:color="auto"/>
                              </w:divBdr>
                            </w:div>
                            <w:div w:id="1108429987">
                              <w:marLeft w:val="0"/>
                              <w:marRight w:val="0"/>
                              <w:marTop w:val="0"/>
                              <w:marBottom w:val="0"/>
                              <w:divBdr>
                                <w:top w:val="none" w:sz="0" w:space="0" w:color="auto"/>
                                <w:left w:val="none" w:sz="0" w:space="0" w:color="auto"/>
                                <w:bottom w:val="none" w:sz="0" w:space="0" w:color="auto"/>
                                <w:right w:val="none" w:sz="0" w:space="0" w:color="auto"/>
                              </w:divBdr>
                            </w:div>
                            <w:div w:id="1134911959">
                              <w:marLeft w:val="0"/>
                              <w:marRight w:val="0"/>
                              <w:marTop w:val="0"/>
                              <w:marBottom w:val="0"/>
                              <w:divBdr>
                                <w:top w:val="none" w:sz="0" w:space="0" w:color="auto"/>
                                <w:left w:val="none" w:sz="0" w:space="0" w:color="auto"/>
                                <w:bottom w:val="none" w:sz="0" w:space="0" w:color="auto"/>
                                <w:right w:val="none" w:sz="0" w:space="0" w:color="auto"/>
                              </w:divBdr>
                            </w:div>
                            <w:div w:id="1151019022">
                              <w:marLeft w:val="0"/>
                              <w:marRight w:val="0"/>
                              <w:marTop w:val="0"/>
                              <w:marBottom w:val="0"/>
                              <w:divBdr>
                                <w:top w:val="none" w:sz="0" w:space="0" w:color="auto"/>
                                <w:left w:val="none" w:sz="0" w:space="0" w:color="auto"/>
                                <w:bottom w:val="none" w:sz="0" w:space="0" w:color="auto"/>
                                <w:right w:val="none" w:sz="0" w:space="0" w:color="auto"/>
                              </w:divBdr>
                            </w:div>
                            <w:div w:id="1160192362">
                              <w:marLeft w:val="0"/>
                              <w:marRight w:val="0"/>
                              <w:marTop w:val="0"/>
                              <w:marBottom w:val="0"/>
                              <w:divBdr>
                                <w:top w:val="none" w:sz="0" w:space="0" w:color="auto"/>
                                <w:left w:val="none" w:sz="0" w:space="0" w:color="auto"/>
                                <w:bottom w:val="none" w:sz="0" w:space="0" w:color="auto"/>
                                <w:right w:val="none" w:sz="0" w:space="0" w:color="auto"/>
                              </w:divBdr>
                            </w:div>
                            <w:div w:id="1204561329">
                              <w:marLeft w:val="0"/>
                              <w:marRight w:val="0"/>
                              <w:marTop w:val="0"/>
                              <w:marBottom w:val="0"/>
                              <w:divBdr>
                                <w:top w:val="none" w:sz="0" w:space="0" w:color="auto"/>
                                <w:left w:val="none" w:sz="0" w:space="0" w:color="auto"/>
                                <w:bottom w:val="none" w:sz="0" w:space="0" w:color="auto"/>
                                <w:right w:val="none" w:sz="0" w:space="0" w:color="auto"/>
                              </w:divBdr>
                            </w:div>
                            <w:div w:id="1221744731">
                              <w:marLeft w:val="0"/>
                              <w:marRight w:val="0"/>
                              <w:marTop w:val="0"/>
                              <w:marBottom w:val="0"/>
                              <w:divBdr>
                                <w:top w:val="none" w:sz="0" w:space="0" w:color="auto"/>
                                <w:left w:val="none" w:sz="0" w:space="0" w:color="auto"/>
                                <w:bottom w:val="none" w:sz="0" w:space="0" w:color="auto"/>
                                <w:right w:val="none" w:sz="0" w:space="0" w:color="auto"/>
                              </w:divBdr>
                            </w:div>
                            <w:div w:id="1231574062">
                              <w:marLeft w:val="0"/>
                              <w:marRight w:val="0"/>
                              <w:marTop w:val="0"/>
                              <w:marBottom w:val="0"/>
                              <w:divBdr>
                                <w:top w:val="none" w:sz="0" w:space="0" w:color="auto"/>
                                <w:left w:val="none" w:sz="0" w:space="0" w:color="auto"/>
                                <w:bottom w:val="none" w:sz="0" w:space="0" w:color="auto"/>
                                <w:right w:val="none" w:sz="0" w:space="0" w:color="auto"/>
                              </w:divBdr>
                            </w:div>
                            <w:div w:id="1232354880">
                              <w:marLeft w:val="0"/>
                              <w:marRight w:val="0"/>
                              <w:marTop w:val="0"/>
                              <w:marBottom w:val="0"/>
                              <w:divBdr>
                                <w:top w:val="none" w:sz="0" w:space="0" w:color="auto"/>
                                <w:left w:val="none" w:sz="0" w:space="0" w:color="auto"/>
                                <w:bottom w:val="none" w:sz="0" w:space="0" w:color="auto"/>
                                <w:right w:val="none" w:sz="0" w:space="0" w:color="auto"/>
                              </w:divBdr>
                            </w:div>
                            <w:div w:id="1363941629">
                              <w:marLeft w:val="0"/>
                              <w:marRight w:val="0"/>
                              <w:marTop w:val="0"/>
                              <w:marBottom w:val="0"/>
                              <w:divBdr>
                                <w:top w:val="none" w:sz="0" w:space="0" w:color="auto"/>
                                <w:left w:val="none" w:sz="0" w:space="0" w:color="auto"/>
                                <w:bottom w:val="none" w:sz="0" w:space="0" w:color="auto"/>
                                <w:right w:val="none" w:sz="0" w:space="0" w:color="auto"/>
                              </w:divBdr>
                            </w:div>
                            <w:div w:id="1409116465">
                              <w:marLeft w:val="0"/>
                              <w:marRight w:val="0"/>
                              <w:marTop w:val="0"/>
                              <w:marBottom w:val="0"/>
                              <w:divBdr>
                                <w:top w:val="none" w:sz="0" w:space="0" w:color="auto"/>
                                <w:left w:val="none" w:sz="0" w:space="0" w:color="auto"/>
                                <w:bottom w:val="none" w:sz="0" w:space="0" w:color="auto"/>
                                <w:right w:val="none" w:sz="0" w:space="0" w:color="auto"/>
                              </w:divBdr>
                            </w:div>
                            <w:div w:id="1559435688">
                              <w:marLeft w:val="0"/>
                              <w:marRight w:val="0"/>
                              <w:marTop w:val="0"/>
                              <w:marBottom w:val="0"/>
                              <w:divBdr>
                                <w:top w:val="none" w:sz="0" w:space="0" w:color="auto"/>
                                <w:left w:val="none" w:sz="0" w:space="0" w:color="auto"/>
                                <w:bottom w:val="none" w:sz="0" w:space="0" w:color="auto"/>
                                <w:right w:val="none" w:sz="0" w:space="0" w:color="auto"/>
                              </w:divBdr>
                            </w:div>
                            <w:div w:id="1595162062">
                              <w:marLeft w:val="0"/>
                              <w:marRight w:val="0"/>
                              <w:marTop w:val="0"/>
                              <w:marBottom w:val="0"/>
                              <w:divBdr>
                                <w:top w:val="none" w:sz="0" w:space="0" w:color="auto"/>
                                <w:left w:val="none" w:sz="0" w:space="0" w:color="auto"/>
                                <w:bottom w:val="none" w:sz="0" w:space="0" w:color="auto"/>
                                <w:right w:val="none" w:sz="0" w:space="0" w:color="auto"/>
                              </w:divBdr>
                            </w:div>
                            <w:div w:id="1608464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2263031">
                      <w:marLeft w:val="0"/>
                      <w:marRight w:val="0"/>
                      <w:marTop w:val="0"/>
                      <w:marBottom w:val="0"/>
                      <w:divBdr>
                        <w:top w:val="none" w:sz="0" w:space="0" w:color="auto"/>
                        <w:left w:val="none" w:sz="0" w:space="0" w:color="auto"/>
                        <w:bottom w:val="none" w:sz="0" w:space="0" w:color="auto"/>
                        <w:right w:val="none" w:sz="0" w:space="0" w:color="auto"/>
                      </w:divBdr>
                    </w:div>
                  </w:divsChild>
                </w:div>
                <w:div w:id="1003510800">
                  <w:marLeft w:val="0"/>
                  <w:marRight w:val="0"/>
                  <w:marTop w:val="0"/>
                  <w:marBottom w:val="0"/>
                  <w:divBdr>
                    <w:top w:val="none" w:sz="0" w:space="0" w:color="auto"/>
                    <w:left w:val="none" w:sz="0" w:space="0" w:color="auto"/>
                    <w:bottom w:val="none" w:sz="0" w:space="0" w:color="auto"/>
                    <w:right w:val="none" w:sz="0" w:space="0" w:color="auto"/>
                  </w:divBdr>
                  <w:divsChild>
                    <w:div w:id="286082445">
                      <w:marLeft w:val="0"/>
                      <w:marRight w:val="0"/>
                      <w:marTop w:val="0"/>
                      <w:marBottom w:val="0"/>
                      <w:divBdr>
                        <w:top w:val="none" w:sz="0" w:space="0" w:color="auto"/>
                        <w:left w:val="none" w:sz="0" w:space="0" w:color="auto"/>
                        <w:bottom w:val="none" w:sz="0" w:space="0" w:color="auto"/>
                        <w:right w:val="none" w:sz="0" w:space="0" w:color="auto"/>
                      </w:divBdr>
                      <w:divsChild>
                        <w:div w:id="774249337">
                          <w:marLeft w:val="0"/>
                          <w:marRight w:val="0"/>
                          <w:marTop w:val="0"/>
                          <w:marBottom w:val="0"/>
                          <w:divBdr>
                            <w:top w:val="none" w:sz="0" w:space="0" w:color="auto"/>
                            <w:left w:val="none" w:sz="0" w:space="0" w:color="auto"/>
                            <w:bottom w:val="none" w:sz="0" w:space="0" w:color="auto"/>
                            <w:right w:val="none" w:sz="0" w:space="0" w:color="auto"/>
                          </w:divBdr>
                        </w:div>
                        <w:div w:id="1214729553">
                          <w:marLeft w:val="0"/>
                          <w:marRight w:val="0"/>
                          <w:marTop w:val="0"/>
                          <w:marBottom w:val="0"/>
                          <w:divBdr>
                            <w:top w:val="none" w:sz="0" w:space="0" w:color="auto"/>
                            <w:left w:val="none" w:sz="0" w:space="0" w:color="auto"/>
                            <w:bottom w:val="none" w:sz="0" w:space="0" w:color="auto"/>
                            <w:right w:val="none" w:sz="0" w:space="0" w:color="auto"/>
                          </w:divBdr>
                        </w:div>
                        <w:div w:id="2144342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8851427">
              <w:marLeft w:val="0"/>
              <w:marRight w:val="0"/>
              <w:marTop w:val="0"/>
              <w:marBottom w:val="0"/>
              <w:divBdr>
                <w:top w:val="none" w:sz="0" w:space="0" w:color="auto"/>
                <w:left w:val="none" w:sz="0" w:space="0" w:color="auto"/>
                <w:bottom w:val="none" w:sz="0" w:space="0" w:color="auto"/>
                <w:right w:val="none" w:sz="0" w:space="0" w:color="auto"/>
              </w:divBdr>
              <w:divsChild>
                <w:div w:id="1869827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40300">
      <w:bodyDiv w:val="1"/>
      <w:marLeft w:val="0"/>
      <w:marRight w:val="0"/>
      <w:marTop w:val="0"/>
      <w:marBottom w:val="0"/>
      <w:divBdr>
        <w:top w:val="none" w:sz="0" w:space="0" w:color="auto"/>
        <w:left w:val="none" w:sz="0" w:space="0" w:color="auto"/>
        <w:bottom w:val="none" w:sz="0" w:space="0" w:color="auto"/>
        <w:right w:val="none" w:sz="0" w:space="0" w:color="auto"/>
      </w:divBdr>
      <w:divsChild>
        <w:div w:id="1207378636">
          <w:marLeft w:val="0"/>
          <w:marRight w:val="0"/>
          <w:marTop w:val="0"/>
          <w:marBottom w:val="0"/>
          <w:divBdr>
            <w:top w:val="none" w:sz="0" w:space="0" w:color="auto"/>
            <w:left w:val="none" w:sz="0" w:space="0" w:color="auto"/>
            <w:bottom w:val="none" w:sz="0" w:space="0" w:color="auto"/>
            <w:right w:val="none" w:sz="0" w:space="0" w:color="auto"/>
          </w:divBdr>
        </w:div>
        <w:div w:id="1314456321">
          <w:marLeft w:val="0"/>
          <w:marRight w:val="0"/>
          <w:marTop w:val="0"/>
          <w:marBottom w:val="0"/>
          <w:divBdr>
            <w:top w:val="none" w:sz="0" w:space="0" w:color="auto"/>
            <w:left w:val="none" w:sz="0" w:space="0" w:color="auto"/>
            <w:bottom w:val="none" w:sz="0" w:space="0" w:color="auto"/>
            <w:right w:val="none" w:sz="0" w:space="0" w:color="auto"/>
          </w:divBdr>
        </w:div>
      </w:divsChild>
    </w:div>
    <w:div w:id="22291534">
      <w:bodyDiv w:val="1"/>
      <w:marLeft w:val="0"/>
      <w:marRight w:val="0"/>
      <w:marTop w:val="0"/>
      <w:marBottom w:val="0"/>
      <w:divBdr>
        <w:top w:val="none" w:sz="0" w:space="0" w:color="auto"/>
        <w:left w:val="none" w:sz="0" w:space="0" w:color="auto"/>
        <w:bottom w:val="none" w:sz="0" w:space="0" w:color="auto"/>
        <w:right w:val="none" w:sz="0" w:space="0" w:color="auto"/>
      </w:divBdr>
    </w:div>
    <w:div w:id="32583673">
      <w:bodyDiv w:val="1"/>
      <w:marLeft w:val="0"/>
      <w:marRight w:val="0"/>
      <w:marTop w:val="0"/>
      <w:marBottom w:val="0"/>
      <w:divBdr>
        <w:top w:val="none" w:sz="0" w:space="0" w:color="auto"/>
        <w:left w:val="none" w:sz="0" w:space="0" w:color="auto"/>
        <w:bottom w:val="none" w:sz="0" w:space="0" w:color="auto"/>
        <w:right w:val="none" w:sz="0" w:space="0" w:color="auto"/>
      </w:divBdr>
    </w:div>
    <w:div w:id="33428237">
      <w:bodyDiv w:val="1"/>
      <w:marLeft w:val="0"/>
      <w:marRight w:val="0"/>
      <w:marTop w:val="0"/>
      <w:marBottom w:val="0"/>
      <w:divBdr>
        <w:top w:val="none" w:sz="0" w:space="0" w:color="auto"/>
        <w:left w:val="none" w:sz="0" w:space="0" w:color="auto"/>
        <w:bottom w:val="none" w:sz="0" w:space="0" w:color="auto"/>
        <w:right w:val="none" w:sz="0" w:space="0" w:color="auto"/>
      </w:divBdr>
    </w:div>
    <w:div w:id="35080622">
      <w:bodyDiv w:val="1"/>
      <w:marLeft w:val="0"/>
      <w:marRight w:val="0"/>
      <w:marTop w:val="0"/>
      <w:marBottom w:val="0"/>
      <w:divBdr>
        <w:top w:val="none" w:sz="0" w:space="0" w:color="auto"/>
        <w:left w:val="none" w:sz="0" w:space="0" w:color="auto"/>
        <w:bottom w:val="none" w:sz="0" w:space="0" w:color="auto"/>
        <w:right w:val="none" w:sz="0" w:space="0" w:color="auto"/>
      </w:divBdr>
    </w:div>
    <w:div w:id="35857793">
      <w:bodyDiv w:val="1"/>
      <w:marLeft w:val="0"/>
      <w:marRight w:val="0"/>
      <w:marTop w:val="0"/>
      <w:marBottom w:val="0"/>
      <w:divBdr>
        <w:top w:val="none" w:sz="0" w:space="0" w:color="auto"/>
        <w:left w:val="none" w:sz="0" w:space="0" w:color="auto"/>
        <w:bottom w:val="none" w:sz="0" w:space="0" w:color="auto"/>
        <w:right w:val="none" w:sz="0" w:space="0" w:color="auto"/>
      </w:divBdr>
      <w:divsChild>
        <w:div w:id="277610769">
          <w:marLeft w:val="0"/>
          <w:marRight w:val="0"/>
          <w:marTop w:val="0"/>
          <w:marBottom w:val="0"/>
          <w:divBdr>
            <w:top w:val="none" w:sz="0" w:space="0" w:color="auto"/>
            <w:left w:val="none" w:sz="0" w:space="0" w:color="auto"/>
            <w:bottom w:val="none" w:sz="0" w:space="0" w:color="auto"/>
            <w:right w:val="none" w:sz="0" w:space="0" w:color="auto"/>
          </w:divBdr>
        </w:div>
        <w:div w:id="2084177457">
          <w:marLeft w:val="0"/>
          <w:marRight w:val="0"/>
          <w:marTop w:val="0"/>
          <w:marBottom w:val="0"/>
          <w:divBdr>
            <w:top w:val="none" w:sz="0" w:space="0" w:color="auto"/>
            <w:left w:val="none" w:sz="0" w:space="0" w:color="auto"/>
            <w:bottom w:val="none" w:sz="0" w:space="0" w:color="auto"/>
            <w:right w:val="none" w:sz="0" w:space="0" w:color="auto"/>
          </w:divBdr>
        </w:div>
      </w:divsChild>
    </w:div>
    <w:div w:id="37751146">
      <w:bodyDiv w:val="1"/>
      <w:marLeft w:val="0"/>
      <w:marRight w:val="0"/>
      <w:marTop w:val="0"/>
      <w:marBottom w:val="0"/>
      <w:divBdr>
        <w:top w:val="none" w:sz="0" w:space="0" w:color="auto"/>
        <w:left w:val="none" w:sz="0" w:space="0" w:color="auto"/>
        <w:bottom w:val="none" w:sz="0" w:space="0" w:color="auto"/>
        <w:right w:val="none" w:sz="0" w:space="0" w:color="auto"/>
      </w:divBdr>
    </w:div>
    <w:div w:id="42414636">
      <w:bodyDiv w:val="1"/>
      <w:marLeft w:val="0"/>
      <w:marRight w:val="0"/>
      <w:marTop w:val="0"/>
      <w:marBottom w:val="0"/>
      <w:divBdr>
        <w:top w:val="none" w:sz="0" w:space="0" w:color="auto"/>
        <w:left w:val="none" w:sz="0" w:space="0" w:color="auto"/>
        <w:bottom w:val="none" w:sz="0" w:space="0" w:color="auto"/>
        <w:right w:val="none" w:sz="0" w:space="0" w:color="auto"/>
      </w:divBdr>
      <w:divsChild>
        <w:div w:id="350182711">
          <w:marLeft w:val="0"/>
          <w:marRight w:val="0"/>
          <w:marTop w:val="0"/>
          <w:marBottom w:val="0"/>
          <w:divBdr>
            <w:top w:val="none" w:sz="0" w:space="0" w:color="auto"/>
            <w:left w:val="none" w:sz="0" w:space="0" w:color="auto"/>
            <w:bottom w:val="none" w:sz="0" w:space="0" w:color="auto"/>
            <w:right w:val="none" w:sz="0" w:space="0" w:color="auto"/>
          </w:divBdr>
        </w:div>
        <w:div w:id="662316022">
          <w:marLeft w:val="0"/>
          <w:marRight w:val="0"/>
          <w:marTop w:val="0"/>
          <w:marBottom w:val="0"/>
          <w:divBdr>
            <w:top w:val="none" w:sz="0" w:space="0" w:color="auto"/>
            <w:left w:val="none" w:sz="0" w:space="0" w:color="auto"/>
            <w:bottom w:val="none" w:sz="0" w:space="0" w:color="auto"/>
            <w:right w:val="none" w:sz="0" w:space="0" w:color="auto"/>
          </w:divBdr>
        </w:div>
        <w:div w:id="782069264">
          <w:marLeft w:val="0"/>
          <w:marRight w:val="0"/>
          <w:marTop w:val="0"/>
          <w:marBottom w:val="0"/>
          <w:divBdr>
            <w:top w:val="none" w:sz="0" w:space="0" w:color="auto"/>
            <w:left w:val="none" w:sz="0" w:space="0" w:color="auto"/>
            <w:bottom w:val="none" w:sz="0" w:space="0" w:color="auto"/>
            <w:right w:val="none" w:sz="0" w:space="0" w:color="auto"/>
          </w:divBdr>
        </w:div>
        <w:div w:id="1070078141">
          <w:marLeft w:val="0"/>
          <w:marRight w:val="0"/>
          <w:marTop w:val="0"/>
          <w:marBottom w:val="0"/>
          <w:divBdr>
            <w:top w:val="none" w:sz="0" w:space="0" w:color="auto"/>
            <w:left w:val="none" w:sz="0" w:space="0" w:color="auto"/>
            <w:bottom w:val="none" w:sz="0" w:space="0" w:color="auto"/>
            <w:right w:val="none" w:sz="0" w:space="0" w:color="auto"/>
          </w:divBdr>
        </w:div>
      </w:divsChild>
    </w:div>
    <w:div w:id="46077475">
      <w:bodyDiv w:val="1"/>
      <w:marLeft w:val="0"/>
      <w:marRight w:val="0"/>
      <w:marTop w:val="0"/>
      <w:marBottom w:val="0"/>
      <w:divBdr>
        <w:top w:val="none" w:sz="0" w:space="0" w:color="auto"/>
        <w:left w:val="none" w:sz="0" w:space="0" w:color="auto"/>
        <w:bottom w:val="none" w:sz="0" w:space="0" w:color="auto"/>
        <w:right w:val="none" w:sz="0" w:space="0" w:color="auto"/>
      </w:divBdr>
    </w:div>
    <w:div w:id="46954113">
      <w:bodyDiv w:val="1"/>
      <w:marLeft w:val="0"/>
      <w:marRight w:val="0"/>
      <w:marTop w:val="0"/>
      <w:marBottom w:val="0"/>
      <w:divBdr>
        <w:top w:val="none" w:sz="0" w:space="0" w:color="auto"/>
        <w:left w:val="none" w:sz="0" w:space="0" w:color="auto"/>
        <w:bottom w:val="none" w:sz="0" w:space="0" w:color="auto"/>
        <w:right w:val="none" w:sz="0" w:space="0" w:color="auto"/>
      </w:divBdr>
      <w:divsChild>
        <w:div w:id="1773740578">
          <w:marLeft w:val="0"/>
          <w:marRight w:val="0"/>
          <w:marTop w:val="0"/>
          <w:marBottom w:val="0"/>
          <w:divBdr>
            <w:top w:val="none" w:sz="0" w:space="0" w:color="auto"/>
            <w:left w:val="none" w:sz="0" w:space="0" w:color="auto"/>
            <w:bottom w:val="none" w:sz="0" w:space="0" w:color="auto"/>
            <w:right w:val="none" w:sz="0" w:space="0" w:color="auto"/>
          </w:divBdr>
        </w:div>
      </w:divsChild>
    </w:div>
    <w:div w:id="49615609">
      <w:bodyDiv w:val="1"/>
      <w:marLeft w:val="0"/>
      <w:marRight w:val="0"/>
      <w:marTop w:val="0"/>
      <w:marBottom w:val="0"/>
      <w:divBdr>
        <w:top w:val="none" w:sz="0" w:space="0" w:color="auto"/>
        <w:left w:val="none" w:sz="0" w:space="0" w:color="auto"/>
        <w:bottom w:val="none" w:sz="0" w:space="0" w:color="auto"/>
        <w:right w:val="none" w:sz="0" w:space="0" w:color="auto"/>
      </w:divBdr>
    </w:div>
    <w:div w:id="58789150">
      <w:bodyDiv w:val="1"/>
      <w:marLeft w:val="0"/>
      <w:marRight w:val="0"/>
      <w:marTop w:val="0"/>
      <w:marBottom w:val="0"/>
      <w:divBdr>
        <w:top w:val="none" w:sz="0" w:space="0" w:color="auto"/>
        <w:left w:val="none" w:sz="0" w:space="0" w:color="auto"/>
        <w:bottom w:val="none" w:sz="0" w:space="0" w:color="auto"/>
        <w:right w:val="none" w:sz="0" w:space="0" w:color="auto"/>
      </w:divBdr>
      <w:divsChild>
        <w:div w:id="429398294">
          <w:marLeft w:val="0"/>
          <w:marRight w:val="0"/>
          <w:marTop w:val="0"/>
          <w:marBottom w:val="0"/>
          <w:divBdr>
            <w:top w:val="none" w:sz="0" w:space="0" w:color="auto"/>
            <w:left w:val="none" w:sz="0" w:space="0" w:color="auto"/>
            <w:bottom w:val="none" w:sz="0" w:space="0" w:color="auto"/>
            <w:right w:val="none" w:sz="0" w:space="0" w:color="auto"/>
          </w:divBdr>
        </w:div>
        <w:div w:id="1605072310">
          <w:marLeft w:val="0"/>
          <w:marRight w:val="0"/>
          <w:marTop w:val="0"/>
          <w:marBottom w:val="0"/>
          <w:divBdr>
            <w:top w:val="none" w:sz="0" w:space="0" w:color="auto"/>
            <w:left w:val="none" w:sz="0" w:space="0" w:color="auto"/>
            <w:bottom w:val="none" w:sz="0" w:space="0" w:color="auto"/>
            <w:right w:val="none" w:sz="0" w:space="0" w:color="auto"/>
          </w:divBdr>
        </w:div>
      </w:divsChild>
    </w:div>
    <w:div w:id="62415506">
      <w:bodyDiv w:val="1"/>
      <w:marLeft w:val="0"/>
      <w:marRight w:val="0"/>
      <w:marTop w:val="0"/>
      <w:marBottom w:val="0"/>
      <w:divBdr>
        <w:top w:val="none" w:sz="0" w:space="0" w:color="auto"/>
        <w:left w:val="none" w:sz="0" w:space="0" w:color="auto"/>
        <w:bottom w:val="none" w:sz="0" w:space="0" w:color="auto"/>
        <w:right w:val="none" w:sz="0" w:space="0" w:color="auto"/>
      </w:divBdr>
    </w:div>
    <w:div w:id="64375975">
      <w:bodyDiv w:val="1"/>
      <w:marLeft w:val="0"/>
      <w:marRight w:val="0"/>
      <w:marTop w:val="0"/>
      <w:marBottom w:val="0"/>
      <w:divBdr>
        <w:top w:val="none" w:sz="0" w:space="0" w:color="auto"/>
        <w:left w:val="none" w:sz="0" w:space="0" w:color="auto"/>
        <w:bottom w:val="none" w:sz="0" w:space="0" w:color="auto"/>
        <w:right w:val="none" w:sz="0" w:space="0" w:color="auto"/>
      </w:divBdr>
      <w:divsChild>
        <w:div w:id="852568734">
          <w:marLeft w:val="0"/>
          <w:marRight w:val="0"/>
          <w:marTop w:val="0"/>
          <w:marBottom w:val="0"/>
          <w:divBdr>
            <w:top w:val="none" w:sz="0" w:space="0" w:color="auto"/>
            <w:left w:val="none" w:sz="0" w:space="0" w:color="auto"/>
            <w:bottom w:val="none" w:sz="0" w:space="0" w:color="auto"/>
            <w:right w:val="none" w:sz="0" w:space="0" w:color="auto"/>
          </w:divBdr>
        </w:div>
        <w:div w:id="893853489">
          <w:marLeft w:val="0"/>
          <w:marRight w:val="0"/>
          <w:marTop w:val="0"/>
          <w:marBottom w:val="0"/>
          <w:divBdr>
            <w:top w:val="none" w:sz="0" w:space="0" w:color="auto"/>
            <w:left w:val="none" w:sz="0" w:space="0" w:color="auto"/>
            <w:bottom w:val="none" w:sz="0" w:space="0" w:color="auto"/>
            <w:right w:val="none" w:sz="0" w:space="0" w:color="auto"/>
          </w:divBdr>
        </w:div>
      </w:divsChild>
    </w:div>
    <w:div w:id="66537282">
      <w:bodyDiv w:val="1"/>
      <w:marLeft w:val="0"/>
      <w:marRight w:val="0"/>
      <w:marTop w:val="0"/>
      <w:marBottom w:val="0"/>
      <w:divBdr>
        <w:top w:val="none" w:sz="0" w:space="0" w:color="auto"/>
        <w:left w:val="none" w:sz="0" w:space="0" w:color="auto"/>
        <w:bottom w:val="none" w:sz="0" w:space="0" w:color="auto"/>
        <w:right w:val="none" w:sz="0" w:space="0" w:color="auto"/>
      </w:divBdr>
    </w:div>
    <w:div w:id="71434377">
      <w:bodyDiv w:val="1"/>
      <w:marLeft w:val="0"/>
      <w:marRight w:val="0"/>
      <w:marTop w:val="0"/>
      <w:marBottom w:val="0"/>
      <w:divBdr>
        <w:top w:val="none" w:sz="0" w:space="0" w:color="auto"/>
        <w:left w:val="none" w:sz="0" w:space="0" w:color="auto"/>
        <w:bottom w:val="none" w:sz="0" w:space="0" w:color="auto"/>
        <w:right w:val="none" w:sz="0" w:space="0" w:color="auto"/>
      </w:divBdr>
    </w:div>
    <w:div w:id="77413235">
      <w:bodyDiv w:val="1"/>
      <w:marLeft w:val="0"/>
      <w:marRight w:val="0"/>
      <w:marTop w:val="0"/>
      <w:marBottom w:val="0"/>
      <w:divBdr>
        <w:top w:val="none" w:sz="0" w:space="0" w:color="auto"/>
        <w:left w:val="none" w:sz="0" w:space="0" w:color="auto"/>
        <w:bottom w:val="none" w:sz="0" w:space="0" w:color="auto"/>
        <w:right w:val="none" w:sz="0" w:space="0" w:color="auto"/>
      </w:divBdr>
    </w:div>
    <w:div w:id="79956930">
      <w:bodyDiv w:val="1"/>
      <w:marLeft w:val="0"/>
      <w:marRight w:val="0"/>
      <w:marTop w:val="0"/>
      <w:marBottom w:val="0"/>
      <w:divBdr>
        <w:top w:val="none" w:sz="0" w:space="0" w:color="auto"/>
        <w:left w:val="none" w:sz="0" w:space="0" w:color="auto"/>
        <w:bottom w:val="none" w:sz="0" w:space="0" w:color="auto"/>
        <w:right w:val="none" w:sz="0" w:space="0" w:color="auto"/>
      </w:divBdr>
    </w:div>
    <w:div w:id="81462214">
      <w:bodyDiv w:val="1"/>
      <w:marLeft w:val="0"/>
      <w:marRight w:val="0"/>
      <w:marTop w:val="0"/>
      <w:marBottom w:val="0"/>
      <w:divBdr>
        <w:top w:val="none" w:sz="0" w:space="0" w:color="auto"/>
        <w:left w:val="none" w:sz="0" w:space="0" w:color="auto"/>
        <w:bottom w:val="none" w:sz="0" w:space="0" w:color="auto"/>
        <w:right w:val="none" w:sz="0" w:space="0" w:color="auto"/>
      </w:divBdr>
    </w:div>
    <w:div w:id="85268180">
      <w:bodyDiv w:val="1"/>
      <w:marLeft w:val="0"/>
      <w:marRight w:val="0"/>
      <w:marTop w:val="0"/>
      <w:marBottom w:val="0"/>
      <w:divBdr>
        <w:top w:val="none" w:sz="0" w:space="0" w:color="auto"/>
        <w:left w:val="none" w:sz="0" w:space="0" w:color="auto"/>
        <w:bottom w:val="none" w:sz="0" w:space="0" w:color="auto"/>
        <w:right w:val="none" w:sz="0" w:space="0" w:color="auto"/>
      </w:divBdr>
    </w:div>
    <w:div w:id="91558461">
      <w:bodyDiv w:val="1"/>
      <w:marLeft w:val="0"/>
      <w:marRight w:val="0"/>
      <w:marTop w:val="0"/>
      <w:marBottom w:val="0"/>
      <w:divBdr>
        <w:top w:val="none" w:sz="0" w:space="0" w:color="auto"/>
        <w:left w:val="none" w:sz="0" w:space="0" w:color="auto"/>
        <w:bottom w:val="none" w:sz="0" w:space="0" w:color="auto"/>
        <w:right w:val="none" w:sz="0" w:space="0" w:color="auto"/>
      </w:divBdr>
      <w:divsChild>
        <w:div w:id="1091270834">
          <w:marLeft w:val="0"/>
          <w:marRight w:val="0"/>
          <w:marTop w:val="0"/>
          <w:marBottom w:val="0"/>
          <w:divBdr>
            <w:top w:val="none" w:sz="0" w:space="0" w:color="auto"/>
            <w:left w:val="none" w:sz="0" w:space="0" w:color="auto"/>
            <w:bottom w:val="none" w:sz="0" w:space="0" w:color="auto"/>
            <w:right w:val="none" w:sz="0" w:space="0" w:color="auto"/>
          </w:divBdr>
        </w:div>
        <w:div w:id="1517500575">
          <w:marLeft w:val="0"/>
          <w:marRight w:val="0"/>
          <w:marTop w:val="0"/>
          <w:marBottom w:val="0"/>
          <w:divBdr>
            <w:top w:val="none" w:sz="0" w:space="0" w:color="auto"/>
            <w:left w:val="none" w:sz="0" w:space="0" w:color="auto"/>
            <w:bottom w:val="none" w:sz="0" w:space="0" w:color="auto"/>
            <w:right w:val="none" w:sz="0" w:space="0" w:color="auto"/>
          </w:divBdr>
        </w:div>
        <w:div w:id="1740252269">
          <w:marLeft w:val="0"/>
          <w:marRight w:val="0"/>
          <w:marTop w:val="0"/>
          <w:marBottom w:val="0"/>
          <w:divBdr>
            <w:top w:val="none" w:sz="0" w:space="0" w:color="auto"/>
            <w:left w:val="none" w:sz="0" w:space="0" w:color="auto"/>
            <w:bottom w:val="none" w:sz="0" w:space="0" w:color="auto"/>
            <w:right w:val="none" w:sz="0" w:space="0" w:color="auto"/>
          </w:divBdr>
        </w:div>
      </w:divsChild>
    </w:div>
    <w:div w:id="94836467">
      <w:bodyDiv w:val="1"/>
      <w:marLeft w:val="0"/>
      <w:marRight w:val="0"/>
      <w:marTop w:val="0"/>
      <w:marBottom w:val="0"/>
      <w:divBdr>
        <w:top w:val="none" w:sz="0" w:space="0" w:color="auto"/>
        <w:left w:val="none" w:sz="0" w:space="0" w:color="auto"/>
        <w:bottom w:val="none" w:sz="0" w:space="0" w:color="auto"/>
        <w:right w:val="none" w:sz="0" w:space="0" w:color="auto"/>
      </w:divBdr>
      <w:divsChild>
        <w:div w:id="840051295">
          <w:marLeft w:val="0"/>
          <w:marRight w:val="0"/>
          <w:marTop w:val="0"/>
          <w:marBottom w:val="0"/>
          <w:divBdr>
            <w:top w:val="none" w:sz="0" w:space="0" w:color="auto"/>
            <w:left w:val="none" w:sz="0" w:space="0" w:color="auto"/>
            <w:bottom w:val="none" w:sz="0" w:space="0" w:color="auto"/>
            <w:right w:val="none" w:sz="0" w:space="0" w:color="auto"/>
          </w:divBdr>
        </w:div>
        <w:div w:id="1256477863">
          <w:marLeft w:val="0"/>
          <w:marRight w:val="0"/>
          <w:marTop w:val="0"/>
          <w:marBottom w:val="0"/>
          <w:divBdr>
            <w:top w:val="none" w:sz="0" w:space="0" w:color="auto"/>
            <w:left w:val="none" w:sz="0" w:space="0" w:color="auto"/>
            <w:bottom w:val="none" w:sz="0" w:space="0" w:color="auto"/>
            <w:right w:val="none" w:sz="0" w:space="0" w:color="auto"/>
          </w:divBdr>
        </w:div>
      </w:divsChild>
    </w:div>
    <w:div w:id="95367407">
      <w:bodyDiv w:val="1"/>
      <w:marLeft w:val="0"/>
      <w:marRight w:val="0"/>
      <w:marTop w:val="0"/>
      <w:marBottom w:val="0"/>
      <w:divBdr>
        <w:top w:val="none" w:sz="0" w:space="0" w:color="auto"/>
        <w:left w:val="none" w:sz="0" w:space="0" w:color="auto"/>
        <w:bottom w:val="none" w:sz="0" w:space="0" w:color="auto"/>
        <w:right w:val="none" w:sz="0" w:space="0" w:color="auto"/>
      </w:divBdr>
    </w:div>
    <w:div w:id="95757179">
      <w:bodyDiv w:val="1"/>
      <w:marLeft w:val="0"/>
      <w:marRight w:val="0"/>
      <w:marTop w:val="0"/>
      <w:marBottom w:val="0"/>
      <w:divBdr>
        <w:top w:val="none" w:sz="0" w:space="0" w:color="auto"/>
        <w:left w:val="none" w:sz="0" w:space="0" w:color="auto"/>
        <w:bottom w:val="none" w:sz="0" w:space="0" w:color="auto"/>
        <w:right w:val="none" w:sz="0" w:space="0" w:color="auto"/>
      </w:divBdr>
    </w:div>
    <w:div w:id="97989548">
      <w:bodyDiv w:val="1"/>
      <w:marLeft w:val="0"/>
      <w:marRight w:val="0"/>
      <w:marTop w:val="0"/>
      <w:marBottom w:val="0"/>
      <w:divBdr>
        <w:top w:val="none" w:sz="0" w:space="0" w:color="auto"/>
        <w:left w:val="none" w:sz="0" w:space="0" w:color="auto"/>
        <w:bottom w:val="none" w:sz="0" w:space="0" w:color="auto"/>
        <w:right w:val="none" w:sz="0" w:space="0" w:color="auto"/>
      </w:divBdr>
    </w:div>
    <w:div w:id="99179619">
      <w:bodyDiv w:val="1"/>
      <w:marLeft w:val="0"/>
      <w:marRight w:val="0"/>
      <w:marTop w:val="0"/>
      <w:marBottom w:val="0"/>
      <w:divBdr>
        <w:top w:val="none" w:sz="0" w:space="0" w:color="auto"/>
        <w:left w:val="none" w:sz="0" w:space="0" w:color="auto"/>
        <w:bottom w:val="none" w:sz="0" w:space="0" w:color="auto"/>
        <w:right w:val="none" w:sz="0" w:space="0" w:color="auto"/>
      </w:divBdr>
      <w:divsChild>
        <w:div w:id="314645317">
          <w:marLeft w:val="0"/>
          <w:marRight w:val="0"/>
          <w:marTop w:val="0"/>
          <w:marBottom w:val="0"/>
          <w:divBdr>
            <w:top w:val="none" w:sz="0" w:space="0" w:color="auto"/>
            <w:left w:val="none" w:sz="0" w:space="0" w:color="auto"/>
            <w:bottom w:val="none" w:sz="0" w:space="0" w:color="auto"/>
            <w:right w:val="none" w:sz="0" w:space="0" w:color="auto"/>
          </w:divBdr>
        </w:div>
        <w:div w:id="1167868386">
          <w:marLeft w:val="0"/>
          <w:marRight w:val="0"/>
          <w:marTop w:val="0"/>
          <w:marBottom w:val="0"/>
          <w:divBdr>
            <w:top w:val="none" w:sz="0" w:space="0" w:color="auto"/>
            <w:left w:val="none" w:sz="0" w:space="0" w:color="auto"/>
            <w:bottom w:val="none" w:sz="0" w:space="0" w:color="auto"/>
            <w:right w:val="none" w:sz="0" w:space="0" w:color="auto"/>
          </w:divBdr>
        </w:div>
      </w:divsChild>
    </w:div>
    <w:div w:id="103576436">
      <w:bodyDiv w:val="1"/>
      <w:marLeft w:val="0"/>
      <w:marRight w:val="0"/>
      <w:marTop w:val="0"/>
      <w:marBottom w:val="0"/>
      <w:divBdr>
        <w:top w:val="none" w:sz="0" w:space="0" w:color="auto"/>
        <w:left w:val="none" w:sz="0" w:space="0" w:color="auto"/>
        <w:bottom w:val="none" w:sz="0" w:space="0" w:color="auto"/>
        <w:right w:val="none" w:sz="0" w:space="0" w:color="auto"/>
      </w:divBdr>
    </w:div>
    <w:div w:id="108938405">
      <w:bodyDiv w:val="1"/>
      <w:marLeft w:val="0"/>
      <w:marRight w:val="0"/>
      <w:marTop w:val="0"/>
      <w:marBottom w:val="0"/>
      <w:divBdr>
        <w:top w:val="none" w:sz="0" w:space="0" w:color="auto"/>
        <w:left w:val="none" w:sz="0" w:space="0" w:color="auto"/>
        <w:bottom w:val="none" w:sz="0" w:space="0" w:color="auto"/>
        <w:right w:val="none" w:sz="0" w:space="0" w:color="auto"/>
      </w:divBdr>
    </w:div>
    <w:div w:id="110514823">
      <w:bodyDiv w:val="1"/>
      <w:marLeft w:val="0"/>
      <w:marRight w:val="0"/>
      <w:marTop w:val="0"/>
      <w:marBottom w:val="0"/>
      <w:divBdr>
        <w:top w:val="none" w:sz="0" w:space="0" w:color="auto"/>
        <w:left w:val="none" w:sz="0" w:space="0" w:color="auto"/>
        <w:bottom w:val="none" w:sz="0" w:space="0" w:color="auto"/>
        <w:right w:val="none" w:sz="0" w:space="0" w:color="auto"/>
      </w:divBdr>
    </w:div>
    <w:div w:id="111902710">
      <w:bodyDiv w:val="1"/>
      <w:marLeft w:val="0"/>
      <w:marRight w:val="0"/>
      <w:marTop w:val="0"/>
      <w:marBottom w:val="0"/>
      <w:divBdr>
        <w:top w:val="none" w:sz="0" w:space="0" w:color="auto"/>
        <w:left w:val="none" w:sz="0" w:space="0" w:color="auto"/>
        <w:bottom w:val="none" w:sz="0" w:space="0" w:color="auto"/>
        <w:right w:val="none" w:sz="0" w:space="0" w:color="auto"/>
      </w:divBdr>
      <w:divsChild>
        <w:div w:id="274603486">
          <w:marLeft w:val="0"/>
          <w:marRight w:val="0"/>
          <w:marTop w:val="0"/>
          <w:marBottom w:val="0"/>
          <w:divBdr>
            <w:top w:val="none" w:sz="0" w:space="0" w:color="auto"/>
            <w:left w:val="none" w:sz="0" w:space="0" w:color="auto"/>
            <w:bottom w:val="none" w:sz="0" w:space="0" w:color="auto"/>
            <w:right w:val="none" w:sz="0" w:space="0" w:color="auto"/>
          </w:divBdr>
        </w:div>
        <w:div w:id="1681850592">
          <w:marLeft w:val="0"/>
          <w:marRight w:val="0"/>
          <w:marTop w:val="0"/>
          <w:marBottom w:val="0"/>
          <w:divBdr>
            <w:top w:val="none" w:sz="0" w:space="0" w:color="auto"/>
            <w:left w:val="none" w:sz="0" w:space="0" w:color="auto"/>
            <w:bottom w:val="none" w:sz="0" w:space="0" w:color="auto"/>
            <w:right w:val="none" w:sz="0" w:space="0" w:color="auto"/>
          </w:divBdr>
        </w:div>
      </w:divsChild>
    </w:div>
    <w:div w:id="112939658">
      <w:bodyDiv w:val="1"/>
      <w:marLeft w:val="0"/>
      <w:marRight w:val="0"/>
      <w:marTop w:val="0"/>
      <w:marBottom w:val="0"/>
      <w:divBdr>
        <w:top w:val="none" w:sz="0" w:space="0" w:color="auto"/>
        <w:left w:val="none" w:sz="0" w:space="0" w:color="auto"/>
        <w:bottom w:val="none" w:sz="0" w:space="0" w:color="auto"/>
        <w:right w:val="none" w:sz="0" w:space="0" w:color="auto"/>
      </w:divBdr>
      <w:divsChild>
        <w:div w:id="1420251459">
          <w:marLeft w:val="0"/>
          <w:marRight w:val="0"/>
          <w:marTop w:val="0"/>
          <w:marBottom w:val="0"/>
          <w:divBdr>
            <w:top w:val="none" w:sz="0" w:space="0" w:color="auto"/>
            <w:left w:val="none" w:sz="0" w:space="0" w:color="auto"/>
            <w:bottom w:val="none" w:sz="0" w:space="0" w:color="auto"/>
            <w:right w:val="none" w:sz="0" w:space="0" w:color="auto"/>
          </w:divBdr>
        </w:div>
        <w:div w:id="1580551896">
          <w:marLeft w:val="0"/>
          <w:marRight w:val="0"/>
          <w:marTop w:val="0"/>
          <w:marBottom w:val="0"/>
          <w:divBdr>
            <w:top w:val="none" w:sz="0" w:space="0" w:color="auto"/>
            <w:left w:val="none" w:sz="0" w:space="0" w:color="auto"/>
            <w:bottom w:val="none" w:sz="0" w:space="0" w:color="auto"/>
            <w:right w:val="none" w:sz="0" w:space="0" w:color="auto"/>
          </w:divBdr>
        </w:div>
      </w:divsChild>
    </w:div>
    <w:div w:id="114450736">
      <w:bodyDiv w:val="1"/>
      <w:marLeft w:val="0"/>
      <w:marRight w:val="0"/>
      <w:marTop w:val="0"/>
      <w:marBottom w:val="0"/>
      <w:divBdr>
        <w:top w:val="none" w:sz="0" w:space="0" w:color="auto"/>
        <w:left w:val="none" w:sz="0" w:space="0" w:color="auto"/>
        <w:bottom w:val="none" w:sz="0" w:space="0" w:color="auto"/>
        <w:right w:val="none" w:sz="0" w:space="0" w:color="auto"/>
      </w:divBdr>
      <w:divsChild>
        <w:div w:id="51000951">
          <w:marLeft w:val="0"/>
          <w:marRight w:val="0"/>
          <w:marTop w:val="0"/>
          <w:marBottom w:val="0"/>
          <w:divBdr>
            <w:top w:val="none" w:sz="0" w:space="0" w:color="auto"/>
            <w:left w:val="none" w:sz="0" w:space="0" w:color="auto"/>
            <w:bottom w:val="none" w:sz="0" w:space="0" w:color="auto"/>
            <w:right w:val="none" w:sz="0" w:space="0" w:color="auto"/>
          </w:divBdr>
        </w:div>
        <w:div w:id="379088074">
          <w:marLeft w:val="0"/>
          <w:marRight w:val="0"/>
          <w:marTop w:val="0"/>
          <w:marBottom w:val="0"/>
          <w:divBdr>
            <w:top w:val="none" w:sz="0" w:space="0" w:color="auto"/>
            <w:left w:val="none" w:sz="0" w:space="0" w:color="auto"/>
            <w:bottom w:val="none" w:sz="0" w:space="0" w:color="auto"/>
            <w:right w:val="none" w:sz="0" w:space="0" w:color="auto"/>
          </w:divBdr>
        </w:div>
        <w:div w:id="720641636">
          <w:marLeft w:val="0"/>
          <w:marRight w:val="0"/>
          <w:marTop w:val="0"/>
          <w:marBottom w:val="0"/>
          <w:divBdr>
            <w:top w:val="none" w:sz="0" w:space="0" w:color="auto"/>
            <w:left w:val="none" w:sz="0" w:space="0" w:color="auto"/>
            <w:bottom w:val="none" w:sz="0" w:space="0" w:color="auto"/>
            <w:right w:val="none" w:sz="0" w:space="0" w:color="auto"/>
          </w:divBdr>
        </w:div>
      </w:divsChild>
    </w:div>
    <w:div w:id="114956145">
      <w:bodyDiv w:val="1"/>
      <w:marLeft w:val="0"/>
      <w:marRight w:val="0"/>
      <w:marTop w:val="0"/>
      <w:marBottom w:val="0"/>
      <w:divBdr>
        <w:top w:val="none" w:sz="0" w:space="0" w:color="auto"/>
        <w:left w:val="none" w:sz="0" w:space="0" w:color="auto"/>
        <w:bottom w:val="none" w:sz="0" w:space="0" w:color="auto"/>
        <w:right w:val="none" w:sz="0" w:space="0" w:color="auto"/>
      </w:divBdr>
    </w:div>
    <w:div w:id="116871509">
      <w:bodyDiv w:val="1"/>
      <w:marLeft w:val="0"/>
      <w:marRight w:val="0"/>
      <w:marTop w:val="0"/>
      <w:marBottom w:val="0"/>
      <w:divBdr>
        <w:top w:val="none" w:sz="0" w:space="0" w:color="auto"/>
        <w:left w:val="none" w:sz="0" w:space="0" w:color="auto"/>
        <w:bottom w:val="none" w:sz="0" w:space="0" w:color="auto"/>
        <w:right w:val="none" w:sz="0" w:space="0" w:color="auto"/>
      </w:divBdr>
      <w:divsChild>
        <w:div w:id="1744522209">
          <w:marLeft w:val="0"/>
          <w:marRight w:val="0"/>
          <w:marTop w:val="0"/>
          <w:marBottom w:val="0"/>
          <w:divBdr>
            <w:top w:val="none" w:sz="0" w:space="0" w:color="auto"/>
            <w:left w:val="none" w:sz="0" w:space="0" w:color="auto"/>
            <w:bottom w:val="none" w:sz="0" w:space="0" w:color="auto"/>
            <w:right w:val="none" w:sz="0" w:space="0" w:color="auto"/>
          </w:divBdr>
        </w:div>
      </w:divsChild>
    </w:div>
    <w:div w:id="117842251">
      <w:bodyDiv w:val="1"/>
      <w:marLeft w:val="0"/>
      <w:marRight w:val="0"/>
      <w:marTop w:val="0"/>
      <w:marBottom w:val="0"/>
      <w:divBdr>
        <w:top w:val="none" w:sz="0" w:space="0" w:color="auto"/>
        <w:left w:val="none" w:sz="0" w:space="0" w:color="auto"/>
        <w:bottom w:val="none" w:sz="0" w:space="0" w:color="auto"/>
        <w:right w:val="none" w:sz="0" w:space="0" w:color="auto"/>
      </w:divBdr>
      <w:divsChild>
        <w:div w:id="104933018">
          <w:marLeft w:val="0"/>
          <w:marRight w:val="0"/>
          <w:marTop w:val="0"/>
          <w:marBottom w:val="0"/>
          <w:divBdr>
            <w:top w:val="none" w:sz="0" w:space="0" w:color="auto"/>
            <w:left w:val="none" w:sz="0" w:space="0" w:color="auto"/>
            <w:bottom w:val="none" w:sz="0" w:space="0" w:color="auto"/>
            <w:right w:val="none" w:sz="0" w:space="0" w:color="auto"/>
          </w:divBdr>
        </w:div>
        <w:div w:id="1591357150">
          <w:marLeft w:val="0"/>
          <w:marRight w:val="0"/>
          <w:marTop w:val="0"/>
          <w:marBottom w:val="0"/>
          <w:divBdr>
            <w:top w:val="none" w:sz="0" w:space="0" w:color="auto"/>
            <w:left w:val="none" w:sz="0" w:space="0" w:color="auto"/>
            <w:bottom w:val="none" w:sz="0" w:space="0" w:color="auto"/>
            <w:right w:val="none" w:sz="0" w:space="0" w:color="auto"/>
          </w:divBdr>
        </w:div>
      </w:divsChild>
    </w:div>
    <w:div w:id="117843916">
      <w:bodyDiv w:val="1"/>
      <w:marLeft w:val="0"/>
      <w:marRight w:val="0"/>
      <w:marTop w:val="0"/>
      <w:marBottom w:val="0"/>
      <w:divBdr>
        <w:top w:val="none" w:sz="0" w:space="0" w:color="auto"/>
        <w:left w:val="none" w:sz="0" w:space="0" w:color="auto"/>
        <w:bottom w:val="none" w:sz="0" w:space="0" w:color="auto"/>
        <w:right w:val="none" w:sz="0" w:space="0" w:color="auto"/>
      </w:divBdr>
      <w:divsChild>
        <w:div w:id="839151309">
          <w:marLeft w:val="0"/>
          <w:marRight w:val="0"/>
          <w:marTop w:val="0"/>
          <w:marBottom w:val="0"/>
          <w:divBdr>
            <w:top w:val="none" w:sz="0" w:space="0" w:color="auto"/>
            <w:left w:val="none" w:sz="0" w:space="0" w:color="auto"/>
            <w:bottom w:val="none" w:sz="0" w:space="0" w:color="auto"/>
            <w:right w:val="none" w:sz="0" w:space="0" w:color="auto"/>
          </w:divBdr>
        </w:div>
        <w:div w:id="1482309242">
          <w:marLeft w:val="0"/>
          <w:marRight w:val="0"/>
          <w:marTop w:val="0"/>
          <w:marBottom w:val="0"/>
          <w:divBdr>
            <w:top w:val="none" w:sz="0" w:space="0" w:color="auto"/>
            <w:left w:val="none" w:sz="0" w:space="0" w:color="auto"/>
            <w:bottom w:val="none" w:sz="0" w:space="0" w:color="auto"/>
            <w:right w:val="none" w:sz="0" w:space="0" w:color="auto"/>
          </w:divBdr>
        </w:div>
        <w:div w:id="1692147684">
          <w:marLeft w:val="0"/>
          <w:marRight w:val="0"/>
          <w:marTop w:val="0"/>
          <w:marBottom w:val="0"/>
          <w:divBdr>
            <w:top w:val="none" w:sz="0" w:space="0" w:color="auto"/>
            <w:left w:val="none" w:sz="0" w:space="0" w:color="auto"/>
            <w:bottom w:val="none" w:sz="0" w:space="0" w:color="auto"/>
            <w:right w:val="none" w:sz="0" w:space="0" w:color="auto"/>
          </w:divBdr>
        </w:div>
      </w:divsChild>
    </w:div>
    <w:div w:id="127358354">
      <w:bodyDiv w:val="1"/>
      <w:marLeft w:val="0"/>
      <w:marRight w:val="0"/>
      <w:marTop w:val="0"/>
      <w:marBottom w:val="0"/>
      <w:divBdr>
        <w:top w:val="none" w:sz="0" w:space="0" w:color="auto"/>
        <w:left w:val="none" w:sz="0" w:space="0" w:color="auto"/>
        <w:bottom w:val="none" w:sz="0" w:space="0" w:color="auto"/>
        <w:right w:val="none" w:sz="0" w:space="0" w:color="auto"/>
      </w:divBdr>
    </w:div>
    <w:div w:id="128058699">
      <w:bodyDiv w:val="1"/>
      <w:marLeft w:val="0"/>
      <w:marRight w:val="0"/>
      <w:marTop w:val="0"/>
      <w:marBottom w:val="0"/>
      <w:divBdr>
        <w:top w:val="none" w:sz="0" w:space="0" w:color="auto"/>
        <w:left w:val="none" w:sz="0" w:space="0" w:color="auto"/>
        <w:bottom w:val="none" w:sz="0" w:space="0" w:color="auto"/>
        <w:right w:val="none" w:sz="0" w:space="0" w:color="auto"/>
      </w:divBdr>
      <w:divsChild>
        <w:div w:id="551498512">
          <w:marLeft w:val="0"/>
          <w:marRight w:val="0"/>
          <w:marTop w:val="0"/>
          <w:marBottom w:val="0"/>
          <w:divBdr>
            <w:top w:val="none" w:sz="0" w:space="0" w:color="auto"/>
            <w:left w:val="none" w:sz="0" w:space="0" w:color="auto"/>
            <w:bottom w:val="none" w:sz="0" w:space="0" w:color="auto"/>
            <w:right w:val="none" w:sz="0" w:space="0" w:color="auto"/>
          </w:divBdr>
        </w:div>
        <w:div w:id="569467351">
          <w:marLeft w:val="0"/>
          <w:marRight w:val="0"/>
          <w:marTop w:val="0"/>
          <w:marBottom w:val="0"/>
          <w:divBdr>
            <w:top w:val="none" w:sz="0" w:space="0" w:color="auto"/>
            <w:left w:val="none" w:sz="0" w:space="0" w:color="auto"/>
            <w:bottom w:val="none" w:sz="0" w:space="0" w:color="auto"/>
            <w:right w:val="none" w:sz="0" w:space="0" w:color="auto"/>
          </w:divBdr>
        </w:div>
      </w:divsChild>
    </w:div>
    <w:div w:id="128283242">
      <w:bodyDiv w:val="1"/>
      <w:marLeft w:val="0"/>
      <w:marRight w:val="0"/>
      <w:marTop w:val="0"/>
      <w:marBottom w:val="0"/>
      <w:divBdr>
        <w:top w:val="none" w:sz="0" w:space="0" w:color="auto"/>
        <w:left w:val="none" w:sz="0" w:space="0" w:color="auto"/>
        <w:bottom w:val="none" w:sz="0" w:space="0" w:color="auto"/>
        <w:right w:val="none" w:sz="0" w:space="0" w:color="auto"/>
      </w:divBdr>
    </w:div>
    <w:div w:id="131562654">
      <w:bodyDiv w:val="1"/>
      <w:marLeft w:val="0"/>
      <w:marRight w:val="0"/>
      <w:marTop w:val="0"/>
      <w:marBottom w:val="0"/>
      <w:divBdr>
        <w:top w:val="none" w:sz="0" w:space="0" w:color="auto"/>
        <w:left w:val="none" w:sz="0" w:space="0" w:color="auto"/>
        <w:bottom w:val="none" w:sz="0" w:space="0" w:color="auto"/>
        <w:right w:val="none" w:sz="0" w:space="0" w:color="auto"/>
      </w:divBdr>
      <w:divsChild>
        <w:div w:id="368460344">
          <w:marLeft w:val="0"/>
          <w:marRight w:val="0"/>
          <w:marTop w:val="0"/>
          <w:marBottom w:val="0"/>
          <w:divBdr>
            <w:top w:val="none" w:sz="0" w:space="0" w:color="auto"/>
            <w:left w:val="none" w:sz="0" w:space="0" w:color="auto"/>
            <w:bottom w:val="none" w:sz="0" w:space="0" w:color="auto"/>
            <w:right w:val="none" w:sz="0" w:space="0" w:color="auto"/>
          </w:divBdr>
        </w:div>
        <w:div w:id="1288773755">
          <w:marLeft w:val="0"/>
          <w:marRight w:val="0"/>
          <w:marTop w:val="0"/>
          <w:marBottom w:val="0"/>
          <w:divBdr>
            <w:top w:val="none" w:sz="0" w:space="0" w:color="auto"/>
            <w:left w:val="none" w:sz="0" w:space="0" w:color="auto"/>
            <w:bottom w:val="none" w:sz="0" w:space="0" w:color="auto"/>
            <w:right w:val="none" w:sz="0" w:space="0" w:color="auto"/>
          </w:divBdr>
        </w:div>
        <w:div w:id="1885678578">
          <w:marLeft w:val="0"/>
          <w:marRight w:val="0"/>
          <w:marTop w:val="0"/>
          <w:marBottom w:val="0"/>
          <w:divBdr>
            <w:top w:val="none" w:sz="0" w:space="0" w:color="auto"/>
            <w:left w:val="none" w:sz="0" w:space="0" w:color="auto"/>
            <w:bottom w:val="none" w:sz="0" w:space="0" w:color="auto"/>
            <w:right w:val="none" w:sz="0" w:space="0" w:color="auto"/>
          </w:divBdr>
        </w:div>
      </w:divsChild>
    </w:div>
    <w:div w:id="137771894">
      <w:bodyDiv w:val="1"/>
      <w:marLeft w:val="0"/>
      <w:marRight w:val="0"/>
      <w:marTop w:val="0"/>
      <w:marBottom w:val="0"/>
      <w:divBdr>
        <w:top w:val="none" w:sz="0" w:space="0" w:color="auto"/>
        <w:left w:val="none" w:sz="0" w:space="0" w:color="auto"/>
        <w:bottom w:val="none" w:sz="0" w:space="0" w:color="auto"/>
        <w:right w:val="none" w:sz="0" w:space="0" w:color="auto"/>
      </w:divBdr>
    </w:div>
    <w:div w:id="142238588">
      <w:bodyDiv w:val="1"/>
      <w:marLeft w:val="0"/>
      <w:marRight w:val="0"/>
      <w:marTop w:val="0"/>
      <w:marBottom w:val="0"/>
      <w:divBdr>
        <w:top w:val="none" w:sz="0" w:space="0" w:color="auto"/>
        <w:left w:val="none" w:sz="0" w:space="0" w:color="auto"/>
        <w:bottom w:val="none" w:sz="0" w:space="0" w:color="auto"/>
        <w:right w:val="none" w:sz="0" w:space="0" w:color="auto"/>
      </w:divBdr>
    </w:div>
    <w:div w:id="149911254">
      <w:bodyDiv w:val="1"/>
      <w:marLeft w:val="0"/>
      <w:marRight w:val="0"/>
      <w:marTop w:val="0"/>
      <w:marBottom w:val="0"/>
      <w:divBdr>
        <w:top w:val="none" w:sz="0" w:space="0" w:color="auto"/>
        <w:left w:val="none" w:sz="0" w:space="0" w:color="auto"/>
        <w:bottom w:val="none" w:sz="0" w:space="0" w:color="auto"/>
        <w:right w:val="none" w:sz="0" w:space="0" w:color="auto"/>
      </w:divBdr>
      <w:divsChild>
        <w:div w:id="1306935718">
          <w:marLeft w:val="0"/>
          <w:marRight w:val="0"/>
          <w:marTop w:val="0"/>
          <w:marBottom w:val="0"/>
          <w:divBdr>
            <w:top w:val="none" w:sz="0" w:space="0" w:color="auto"/>
            <w:left w:val="none" w:sz="0" w:space="0" w:color="auto"/>
            <w:bottom w:val="none" w:sz="0" w:space="0" w:color="auto"/>
            <w:right w:val="none" w:sz="0" w:space="0" w:color="auto"/>
          </w:divBdr>
        </w:div>
        <w:div w:id="1518158521">
          <w:marLeft w:val="0"/>
          <w:marRight w:val="0"/>
          <w:marTop w:val="0"/>
          <w:marBottom w:val="0"/>
          <w:divBdr>
            <w:top w:val="none" w:sz="0" w:space="0" w:color="auto"/>
            <w:left w:val="none" w:sz="0" w:space="0" w:color="auto"/>
            <w:bottom w:val="none" w:sz="0" w:space="0" w:color="auto"/>
            <w:right w:val="none" w:sz="0" w:space="0" w:color="auto"/>
          </w:divBdr>
        </w:div>
      </w:divsChild>
    </w:div>
    <w:div w:id="160170771">
      <w:bodyDiv w:val="1"/>
      <w:marLeft w:val="0"/>
      <w:marRight w:val="0"/>
      <w:marTop w:val="0"/>
      <w:marBottom w:val="0"/>
      <w:divBdr>
        <w:top w:val="none" w:sz="0" w:space="0" w:color="auto"/>
        <w:left w:val="none" w:sz="0" w:space="0" w:color="auto"/>
        <w:bottom w:val="none" w:sz="0" w:space="0" w:color="auto"/>
        <w:right w:val="none" w:sz="0" w:space="0" w:color="auto"/>
      </w:divBdr>
      <w:divsChild>
        <w:div w:id="34551656">
          <w:marLeft w:val="0"/>
          <w:marRight w:val="0"/>
          <w:marTop w:val="0"/>
          <w:marBottom w:val="0"/>
          <w:divBdr>
            <w:top w:val="none" w:sz="0" w:space="0" w:color="auto"/>
            <w:left w:val="none" w:sz="0" w:space="0" w:color="auto"/>
            <w:bottom w:val="none" w:sz="0" w:space="0" w:color="auto"/>
            <w:right w:val="none" w:sz="0" w:space="0" w:color="auto"/>
          </w:divBdr>
        </w:div>
        <w:div w:id="919946739">
          <w:marLeft w:val="0"/>
          <w:marRight w:val="0"/>
          <w:marTop w:val="0"/>
          <w:marBottom w:val="0"/>
          <w:divBdr>
            <w:top w:val="none" w:sz="0" w:space="0" w:color="auto"/>
            <w:left w:val="none" w:sz="0" w:space="0" w:color="auto"/>
            <w:bottom w:val="none" w:sz="0" w:space="0" w:color="auto"/>
            <w:right w:val="none" w:sz="0" w:space="0" w:color="auto"/>
          </w:divBdr>
        </w:div>
      </w:divsChild>
    </w:div>
    <w:div w:id="161052014">
      <w:bodyDiv w:val="1"/>
      <w:marLeft w:val="0"/>
      <w:marRight w:val="0"/>
      <w:marTop w:val="0"/>
      <w:marBottom w:val="0"/>
      <w:divBdr>
        <w:top w:val="none" w:sz="0" w:space="0" w:color="auto"/>
        <w:left w:val="none" w:sz="0" w:space="0" w:color="auto"/>
        <w:bottom w:val="none" w:sz="0" w:space="0" w:color="auto"/>
        <w:right w:val="none" w:sz="0" w:space="0" w:color="auto"/>
      </w:divBdr>
      <w:divsChild>
        <w:div w:id="1414552091">
          <w:marLeft w:val="0"/>
          <w:marRight w:val="0"/>
          <w:marTop w:val="0"/>
          <w:marBottom w:val="0"/>
          <w:divBdr>
            <w:top w:val="none" w:sz="0" w:space="0" w:color="auto"/>
            <w:left w:val="none" w:sz="0" w:space="0" w:color="auto"/>
            <w:bottom w:val="none" w:sz="0" w:space="0" w:color="auto"/>
            <w:right w:val="none" w:sz="0" w:space="0" w:color="auto"/>
          </w:divBdr>
        </w:div>
        <w:div w:id="1467158052">
          <w:marLeft w:val="0"/>
          <w:marRight w:val="0"/>
          <w:marTop w:val="0"/>
          <w:marBottom w:val="0"/>
          <w:divBdr>
            <w:top w:val="none" w:sz="0" w:space="0" w:color="auto"/>
            <w:left w:val="none" w:sz="0" w:space="0" w:color="auto"/>
            <w:bottom w:val="none" w:sz="0" w:space="0" w:color="auto"/>
            <w:right w:val="none" w:sz="0" w:space="0" w:color="auto"/>
          </w:divBdr>
        </w:div>
      </w:divsChild>
    </w:div>
    <w:div w:id="163205914">
      <w:bodyDiv w:val="1"/>
      <w:marLeft w:val="0"/>
      <w:marRight w:val="0"/>
      <w:marTop w:val="0"/>
      <w:marBottom w:val="0"/>
      <w:divBdr>
        <w:top w:val="none" w:sz="0" w:space="0" w:color="auto"/>
        <w:left w:val="none" w:sz="0" w:space="0" w:color="auto"/>
        <w:bottom w:val="none" w:sz="0" w:space="0" w:color="auto"/>
        <w:right w:val="none" w:sz="0" w:space="0" w:color="auto"/>
      </w:divBdr>
    </w:div>
    <w:div w:id="169832863">
      <w:bodyDiv w:val="1"/>
      <w:marLeft w:val="0"/>
      <w:marRight w:val="0"/>
      <w:marTop w:val="0"/>
      <w:marBottom w:val="0"/>
      <w:divBdr>
        <w:top w:val="none" w:sz="0" w:space="0" w:color="auto"/>
        <w:left w:val="none" w:sz="0" w:space="0" w:color="auto"/>
        <w:bottom w:val="none" w:sz="0" w:space="0" w:color="auto"/>
        <w:right w:val="none" w:sz="0" w:space="0" w:color="auto"/>
      </w:divBdr>
      <w:divsChild>
        <w:div w:id="312565576">
          <w:marLeft w:val="0"/>
          <w:marRight w:val="0"/>
          <w:marTop w:val="0"/>
          <w:marBottom w:val="0"/>
          <w:divBdr>
            <w:top w:val="none" w:sz="0" w:space="0" w:color="auto"/>
            <w:left w:val="none" w:sz="0" w:space="0" w:color="auto"/>
            <w:bottom w:val="none" w:sz="0" w:space="0" w:color="auto"/>
            <w:right w:val="none" w:sz="0" w:space="0" w:color="auto"/>
          </w:divBdr>
        </w:div>
        <w:div w:id="1662614930">
          <w:marLeft w:val="0"/>
          <w:marRight w:val="0"/>
          <w:marTop w:val="0"/>
          <w:marBottom w:val="0"/>
          <w:divBdr>
            <w:top w:val="none" w:sz="0" w:space="0" w:color="auto"/>
            <w:left w:val="none" w:sz="0" w:space="0" w:color="auto"/>
            <w:bottom w:val="none" w:sz="0" w:space="0" w:color="auto"/>
            <w:right w:val="none" w:sz="0" w:space="0" w:color="auto"/>
          </w:divBdr>
        </w:div>
      </w:divsChild>
    </w:div>
    <w:div w:id="171646945">
      <w:bodyDiv w:val="1"/>
      <w:marLeft w:val="0"/>
      <w:marRight w:val="0"/>
      <w:marTop w:val="0"/>
      <w:marBottom w:val="0"/>
      <w:divBdr>
        <w:top w:val="none" w:sz="0" w:space="0" w:color="auto"/>
        <w:left w:val="none" w:sz="0" w:space="0" w:color="auto"/>
        <w:bottom w:val="none" w:sz="0" w:space="0" w:color="auto"/>
        <w:right w:val="none" w:sz="0" w:space="0" w:color="auto"/>
      </w:divBdr>
    </w:div>
    <w:div w:id="175317205">
      <w:bodyDiv w:val="1"/>
      <w:marLeft w:val="0"/>
      <w:marRight w:val="0"/>
      <w:marTop w:val="0"/>
      <w:marBottom w:val="0"/>
      <w:divBdr>
        <w:top w:val="none" w:sz="0" w:space="0" w:color="auto"/>
        <w:left w:val="none" w:sz="0" w:space="0" w:color="auto"/>
        <w:bottom w:val="none" w:sz="0" w:space="0" w:color="auto"/>
        <w:right w:val="none" w:sz="0" w:space="0" w:color="auto"/>
      </w:divBdr>
    </w:div>
    <w:div w:id="177693734">
      <w:bodyDiv w:val="1"/>
      <w:marLeft w:val="0"/>
      <w:marRight w:val="0"/>
      <w:marTop w:val="0"/>
      <w:marBottom w:val="0"/>
      <w:divBdr>
        <w:top w:val="none" w:sz="0" w:space="0" w:color="auto"/>
        <w:left w:val="none" w:sz="0" w:space="0" w:color="auto"/>
        <w:bottom w:val="none" w:sz="0" w:space="0" w:color="auto"/>
        <w:right w:val="none" w:sz="0" w:space="0" w:color="auto"/>
      </w:divBdr>
      <w:divsChild>
        <w:div w:id="1131095993">
          <w:marLeft w:val="0"/>
          <w:marRight w:val="0"/>
          <w:marTop w:val="0"/>
          <w:marBottom w:val="0"/>
          <w:divBdr>
            <w:top w:val="none" w:sz="0" w:space="0" w:color="auto"/>
            <w:left w:val="none" w:sz="0" w:space="0" w:color="auto"/>
            <w:bottom w:val="none" w:sz="0" w:space="0" w:color="auto"/>
            <w:right w:val="none" w:sz="0" w:space="0" w:color="auto"/>
          </w:divBdr>
          <w:divsChild>
            <w:div w:id="615674863">
              <w:marLeft w:val="0"/>
              <w:marRight w:val="0"/>
              <w:marTop w:val="0"/>
              <w:marBottom w:val="0"/>
              <w:divBdr>
                <w:top w:val="none" w:sz="0" w:space="0" w:color="auto"/>
                <w:left w:val="none" w:sz="0" w:space="0" w:color="auto"/>
                <w:bottom w:val="none" w:sz="0" w:space="0" w:color="auto"/>
                <w:right w:val="none" w:sz="0" w:space="0" w:color="auto"/>
              </w:divBdr>
            </w:div>
            <w:div w:id="1252742802">
              <w:marLeft w:val="0"/>
              <w:marRight w:val="0"/>
              <w:marTop w:val="0"/>
              <w:marBottom w:val="0"/>
              <w:divBdr>
                <w:top w:val="none" w:sz="0" w:space="0" w:color="auto"/>
                <w:left w:val="none" w:sz="0" w:space="0" w:color="auto"/>
                <w:bottom w:val="none" w:sz="0" w:space="0" w:color="auto"/>
                <w:right w:val="none" w:sz="0" w:space="0" w:color="auto"/>
              </w:divBdr>
            </w:div>
          </w:divsChild>
        </w:div>
        <w:div w:id="2059357150">
          <w:marLeft w:val="0"/>
          <w:marRight w:val="0"/>
          <w:marTop w:val="0"/>
          <w:marBottom w:val="0"/>
          <w:divBdr>
            <w:top w:val="none" w:sz="0" w:space="0" w:color="auto"/>
            <w:left w:val="none" w:sz="0" w:space="0" w:color="auto"/>
            <w:bottom w:val="none" w:sz="0" w:space="0" w:color="auto"/>
            <w:right w:val="none" w:sz="0" w:space="0" w:color="auto"/>
          </w:divBdr>
        </w:div>
      </w:divsChild>
    </w:div>
    <w:div w:id="179244138">
      <w:bodyDiv w:val="1"/>
      <w:marLeft w:val="0"/>
      <w:marRight w:val="0"/>
      <w:marTop w:val="0"/>
      <w:marBottom w:val="0"/>
      <w:divBdr>
        <w:top w:val="none" w:sz="0" w:space="0" w:color="auto"/>
        <w:left w:val="none" w:sz="0" w:space="0" w:color="auto"/>
        <w:bottom w:val="none" w:sz="0" w:space="0" w:color="auto"/>
        <w:right w:val="none" w:sz="0" w:space="0" w:color="auto"/>
      </w:divBdr>
    </w:div>
    <w:div w:id="179323495">
      <w:bodyDiv w:val="1"/>
      <w:marLeft w:val="0"/>
      <w:marRight w:val="0"/>
      <w:marTop w:val="0"/>
      <w:marBottom w:val="0"/>
      <w:divBdr>
        <w:top w:val="none" w:sz="0" w:space="0" w:color="auto"/>
        <w:left w:val="none" w:sz="0" w:space="0" w:color="auto"/>
        <w:bottom w:val="none" w:sz="0" w:space="0" w:color="auto"/>
        <w:right w:val="none" w:sz="0" w:space="0" w:color="auto"/>
      </w:divBdr>
    </w:div>
    <w:div w:id="184710398">
      <w:bodyDiv w:val="1"/>
      <w:marLeft w:val="0"/>
      <w:marRight w:val="0"/>
      <w:marTop w:val="0"/>
      <w:marBottom w:val="0"/>
      <w:divBdr>
        <w:top w:val="none" w:sz="0" w:space="0" w:color="auto"/>
        <w:left w:val="none" w:sz="0" w:space="0" w:color="auto"/>
        <w:bottom w:val="none" w:sz="0" w:space="0" w:color="auto"/>
        <w:right w:val="none" w:sz="0" w:space="0" w:color="auto"/>
      </w:divBdr>
      <w:divsChild>
        <w:div w:id="567347466">
          <w:marLeft w:val="0"/>
          <w:marRight w:val="0"/>
          <w:marTop w:val="0"/>
          <w:marBottom w:val="0"/>
          <w:divBdr>
            <w:top w:val="none" w:sz="0" w:space="0" w:color="auto"/>
            <w:left w:val="none" w:sz="0" w:space="0" w:color="auto"/>
            <w:bottom w:val="none" w:sz="0" w:space="0" w:color="auto"/>
            <w:right w:val="none" w:sz="0" w:space="0" w:color="auto"/>
          </w:divBdr>
        </w:div>
        <w:div w:id="952371357">
          <w:marLeft w:val="0"/>
          <w:marRight w:val="0"/>
          <w:marTop w:val="0"/>
          <w:marBottom w:val="0"/>
          <w:divBdr>
            <w:top w:val="none" w:sz="0" w:space="0" w:color="auto"/>
            <w:left w:val="none" w:sz="0" w:space="0" w:color="auto"/>
            <w:bottom w:val="none" w:sz="0" w:space="0" w:color="auto"/>
            <w:right w:val="none" w:sz="0" w:space="0" w:color="auto"/>
          </w:divBdr>
        </w:div>
        <w:div w:id="1323118973">
          <w:marLeft w:val="0"/>
          <w:marRight w:val="0"/>
          <w:marTop w:val="0"/>
          <w:marBottom w:val="0"/>
          <w:divBdr>
            <w:top w:val="none" w:sz="0" w:space="0" w:color="auto"/>
            <w:left w:val="none" w:sz="0" w:space="0" w:color="auto"/>
            <w:bottom w:val="none" w:sz="0" w:space="0" w:color="auto"/>
            <w:right w:val="none" w:sz="0" w:space="0" w:color="auto"/>
          </w:divBdr>
        </w:div>
        <w:div w:id="1581913965">
          <w:marLeft w:val="0"/>
          <w:marRight w:val="0"/>
          <w:marTop w:val="0"/>
          <w:marBottom w:val="0"/>
          <w:divBdr>
            <w:top w:val="none" w:sz="0" w:space="0" w:color="auto"/>
            <w:left w:val="none" w:sz="0" w:space="0" w:color="auto"/>
            <w:bottom w:val="none" w:sz="0" w:space="0" w:color="auto"/>
            <w:right w:val="none" w:sz="0" w:space="0" w:color="auto"/>
          </w:divBdr>
        </w:div>
        <w:div w:id="1595236714">
          <w:marLeft w:val="0"/>
          <w:marRight w:val="0"/>
          <w:marTop w:val="0"/>
          <w:marBottom w:val="0"/>
          <w:divBdr>
            <w:top w:val="none" w:sz="0" w:space="0" w:color="auto"/>
            <w:left w:val="none" w:sz="0" w:space="0" w:color="auto"/>
            <w:bottom w:val="none" w:sz="0" w:space="0" w:color="auto"/>
            <w:right w:val="none" w:sz="0" w:space="0" w:color="auto"/>
          </w:divBdr>
        </w:div>
      </w:divsChild>
    </w:div>
    <w:div w:id="186410791">
      <w:bodyDiv w:val="1"/>
      <w:marLeft w:val="0"/>
      <w:marRight w:val="0"/>
      <w:marTop w:val="0"/>
      <w:marBottom w:val="0"/>
      <w:divBdr>
        <w:top w:val="none" w:sz="0" w:space="0" w:color="auto"/>
        <w:left w:val="none" w:sz="0" w:space="0" w:color="auto"/>
        <w:bottom w:val="none" w:sz="0" w:space="0" w:color="auto"/>
        <w:right w:val="none" w:sz="0" w:space="0" w:color="auto"/>
      </w:divBdr>
      <w:divsChild>
        <w:div w:id="132195704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95701759">
      <w:bodyDiv w:val="1"/>
      <w:marLeft w:val="0"/>
      <w:marRight w:val="0"/>
      <w:marTop w:val="0"/>
      <w:marBottom w:val="0"/>
      <w:divBdr>
        <w:top w:val="none" w:sz="0" w:space="0" w:color="auto"/>
        <w:left w:val="none" w:sz="0" w:space="0" w:color="auto"/>
        <w:bottom w:val="none" w:sz="0" w:space="0" w:color="auto"/>
        <w:right w:val="none" w:sz="0" w:space="0" w:color="auto"/>
      </w:divBdr>
    </w:div>
    <w:div w:id="195851760">
      <w:bodyDiv w:val="1"/>
      <w:marLeft w:val="0"/>
      <w:marRight w:val="0"/>
      <w:marTop w:val="0"/>
      <w:marBottom w:val="0"/>
      <w:divBdr>
        <w:top w:val="none" w:sz="0" w:space="0" w:color="auto"/>
        <w:left w:val="none" w:sz="0" w:space="0" w:color="auto"/>
        <w:bottom w:val="none" w:sz="0" w:space="0" w:color="auto"/>
        <w:right w:val="none" w:sz="0" w:space="0" w:color="auto"/>
      </w:divBdr>
      <w:divsChild>
        <w:div w:id="331955114">
          <w:marLeft w:val="0"/>
          <w:marRight w:val="0"/>
          <w:marTop w:val="0"/>
          <w:marBottom w:val="0"/>
          <w:divBdr>
            <w:top w:val="none" w:sz="0" w:space="0" w:color="auto"/>
            <w:left w:val="none" w:sz="0" w:space="0" w:color="auto"/>
            <w:bottom w:val="none" w:sz="0" w:space="0" w:color="auto"/>
            <w:right w:val="none" w:sz="0" w:space="0" w:color="auto"/>
          </w:divBdr>
        </w:div>
      </w:divsChild>
    </w:div>
    <w:div w:id="201527123">
      <w:bodyDiv w:val="1"/>
      <w:marLeft w:val="0"/>
      <w:marRight w:val="0"/>
      <w:marTop w:val="0"/>
      <w:marBottom w:val="0"/>
      <w:divBdr>
        <w:top w:val="none" w:sz="0" w:space="0" w:color="auto"/>
        <w:left w:val="none" w:sz="0" w:space="0" w:color="auto"/>
        <w:bottom w:val="none" w:sz="0" w:space="0" w:color="auto"/>
        <w:right w:val="none" w:sz="0" w:space="0" w:color="auto"/>
      </w:divBdr>
    </w:div>
    <w:div w:id="201670354">
      <w:bodyDiv w:val="1"/>
      <w:marLeft w:val="0"/>
      <w:marRight w:val="0"/>
      <w:marTop w:val="0"/>
      <w:marBottom w:val="0"/>
      <w:divBdr>
        <w:top w:val="none" w:sz="0" w:space="0" w:color="auto"/>
        <w:left w:val="none" w:sz="0" w:space="0" w:color="auto"/>
        <w:bottom w:val="none" w:sz="0" w:space="0" w:color="auto"/>
        <w:right w:val="none" w:sz="0" w:space="0" w:color="auto"/>
      </w:divBdr>
    </w:div>
    <w:div w:id="209077229">
      <w:bodyDiv w:val="1"/>
      <w:marLeft w:val="0"/>
      <w:marRight w:val="0"/>
      <w:marTop w:val="0"/>
      <w:marBottom w:val="0"/>
      <w:divBdr>
        <w:top w:val="none" w:sz="0" w:space="0" w:color="auto"/>
        <w:left w:val="none" w:sz="0" w:space="0" w:color="auto"/>
        <w:bottom w:val="none" w:sz="0" w:space="0" w:color="auto"/>
        <w:right w:val="none" w:sz="0" w:space="0" w:color="auto"/>
      </w:divBdr>
    </w:div>
    <w:div w:id="214584857">
      <w:bodyDiv w:val="1"/>
      <w:marLeft w:val="0"/>
      <w:marRight w:val="0"/>
      <w:marTop w:val="0"/>
      <w:marBottom w:val="0"/>
      <w:divBdr>
        <w:top w:val="none" w:sz="0" w:space="0" w:color="auto"/>
        <w:left w:val="none" w:sz="0" w:space="0" w:color="auto"/>
        <w:bottom w:val="none" w:sz="0" w:space="0" w:color="auto"/>
        <w:right w:val="none" w:sz="0" w:space="0" w:color="auto"/>
      </w:divBdr>
      <w:divsChild>
        <w:div w:id="395250798">
          <w:marLeft w:val="0"/>
          <w:marRight w:val="0"/>
          <w:marTop w:val="0"/>
          <w:marBottom w:val="0"/>
          <w:divBdr>
            <w:top w:val="none" w:sz="0" w:space="0" w:color="auto"/>
            <w:left w:val="none" w:sz="0" w:space="0" w:color="auto"/>
            <w:bottom w:val="none" w:sz="0" w:space="0" w:color="auto"/>
            <w:right w:val="none" w:sz="0" w:space="0" w:color="auto"/>
          </w:divBdr>
        </w:div>
        <w:div w:id="1555582031">
          <w:marLeft w:val="0"/>
          <w:marRight w:val="0"/>
          <w:marTop w:val="0"/>
          <w:marBottom w:val="0"/>
          <w:divBdr>
            <w:top w:val="none" w:sz="0" w:space="0" w:color="auto"/>
            <w:left w:val="none" w:sz="0" w:space="0" w:color="auto"/>
            <w:bottom w:val="none" w:sz="0" w:space="0" w:color="auto"/>
            <w:right w:val="none" w:sz="0" w:space="0" w:color="auto"/>
          </w:divBdr>
        </w:div>
      </w:divsChild>
    </w:div>
    <w:div w:id="218395305">
      <w:bodyDiv w:val="1"/>
      <w:marLeft w:val="0"/>
      <w:marRight w:val="0"/>
      <w:marTop w:val="0"/>
      <w:marBottom w:val="0"/>
      <w:divBdr>
        <w:top w:val="none" w:sz="0" w:space="0" w:color="auto"/>
        <w:left w:val="none" w:sz="0" w:space="0" w:color="auto"/>
        <w:bottom w:val="none" w:sz="0" w:space="0" w:color="auto"/>
        <w:right w:val="none" w:sz="0" w:space="0" w:color="auto"/>
      </w:divBdr>
    </w:div>
    <w:div w:id="220287105">
      <w:bodyDiv w:val="1"/>
      <w:marLeft w:val="0"/>
      <w:marRight w:val="0"/>
      <w:marTop w:val="0"/>
      <w:marBottom w:val="0"/>
      <w:divBdr>
        <w:top w:val="none" w:sz="0" w:space="0" w:color="auto"/>
        <w:left w:val="none" w:sz="0" w:space="0" w:color="auto"/>
        <w:bottom w:val="none" w:sz="0" w:space="0" w:color="auto"/>
        <w:right w:val="none" w:sz="0" w:space="0" w:color="auto"/>
      </w:divBdr>
      <w:divsChild>
        <w:div w:id="30540381">
          <w:marLeft w:val="0"/>
          <w:marRight w:val="0"/>
          <w:marTop w:val="0"/>
          <w:marBottom w:val="0"/>
          <w:divBdr>
            <w:top w:val="none" w:sz="0" w:space="0" w:color="auto"/>
            <w:left w:val="none" w:sz="0" w:space="0" w:color="auto"/>
            <w:bottom w:val="none" w:sz="0" w:space="0" w:color="auto"/>
            <w:right w:val="none" w:sz="0" w:space="0" w:color="auto"/>
          </w:divBdr>
        </w:div>
        <w:div w:id="1004628236">
          <w:marLeft w:val="0"/>
          <w:marRight w:val="0"/>
          <w:marTop w:val="0"/>
          <w:marBottom w:val="0"/>
          <w:divBdr>
            <w:top w:val="none" w:sz="0" w:space="0" w:color="auto"/>
            <w:left w:val="none" w:sz="0" w:space="0" w:color="auto"/>
            <w:bottom w:val="none" w:sz="0" w:space="0" w:color="auto"/>
            <w:right w:val="none" w:sz="0" w:space="0" w:color="auto"/>
          </w:divBdr>
        </w:div>
      </w:divsChild>
    </w:div>
    <w:div w:id="220559832">
      <w:bodyDiv w:val="1"/>
      <w:marLeft w:val="0"/>
      <w:marRight w:val="0"/>
      <w:marTop w:val="0"/>
      <w:marBottom w:val="0"/>
      <w:divBdr>
        <w:top w:val="none" w:sz="0" w:space="0" w:color="auto"/>
        <w:left w:val="none" w:sz="0" w:space="0" w:color="auto"/>
        <w:bottom w:val="none" w:sz="0" w:space="0" w:color="auto"/>
        <w:right w:val="none" w:sz="0" w:space="0" w:color="auto"/>
      </w:divBdr>
      <w:divsChild>
        <w:div w:id="1163011191">
          <w:marLeft w:val="0"/>
          <w:marRight w:val="0"/>
          <w:marTop w:val="0"/>
          <w:marBottom w:val="0"/>
          <w:divBdr>
            <w:top w:val="none" w:sz="0" w:space="0" w:color="auto"/>
            <w:left w:val="none" w:sz="0" w:space="0" w:color="auto"/>
            <w:bottom w:val="none" w:sz="0" w:space="0" w:color="auto"/>
            <w:right w:val="none" w:sz="0" w:space="0" w:color="auto"/>
          </w:divBdr>
        </w:div>
        <w:div w:id="1869247710">
          <w:marLeft w:val="0"/>
          <w:marRight w:val="0"/>
          <w:marTop w:val="0"/>
          <w:marBottom w:val="0"/>
          <w:divBdr>
            <w:top w:val="none" w:sz="0" w:space="0" w:color="auto"/>
            <w:left w:val="none" w:sz="0" w:space="0" w:color="auto"/>
            <w:bottom w:val="none" w:sz="0" w:space="0" w:color="auto"/>
            <w:right w:val="none" w:sz="0" w:space="0" w:color="auto"/>
          </w:divBdr>
        </w:div>
      </w:divsChild>
    </w:div>
    <w:div w:id="220823516">
      <w:bodyDiv w:val="1"/>
      <w:marLeft w:val="0"/>
      <w:marRight w:val="0"/>
      <w:marTop w:val="0"/>
      <w:marBottom w:val="0"/>
      <w:divBdr>
        <w:top w:val="none" w:sz="0" w:space="0" w:color="auto"/>
        <w:left w:val="none" w:sz="0" w:space="0" w:color="auto"/>
        <w:bottom w:val="none" w:sz="0" w:space="0" w:color="auto"/>
        <w:right w:val="none" w:sz="0" w:space="0" w:color="auto"/>
      </w:divBdr>
      <w:divsChild>
        <w:div w:id="105470025">
          <w:marLeft w:val="0"/>
          <w:marRight w:val="0"/>
          <w:marTop w:val="0"/>
          <w:marBottom w:val="0"/>
          <w:divBdr>
            <w:top w:val="none" w:sz="0" w:space="0" w:color="auto"/>
            <w:left w:val="none" w:sz="0" w:space="0" w:color="auto"/>
            <w:bottom w:val="none" w:sz="0" w:space="0" w:color="auto"/>
            <w:right w:val="none" w:sz="0" w:space="0" w:color="auto"/>
          </w:divBdr>
          <w:divsChild>
            <w:div w:id="866673971">
              <w:marLeft w:val="0"/>
              <w:marRight w:val="0"/>
              <w:marTop w:val="0"/>
              <w:marBottom w:val="0"/>
              <w:divBdr>
                <w:top w:val="none" w:sz="0" w:space="0" w:color="auto"/>
                <w:left w:val="none" w:sz="0" w:space="0" w:color="auto"/>
                <w:bottom w:val="none" w:sz="0" w:space="0" w:color="auto"/>
                <w:right w:val="none" w:sz="0" w:space="0" w:color="auto"/>
              </w:divBdr>
            </w:div>
          </w:divsChild>
        </w:div>
        <w:div w:id="672299231">
          <w:marLeft w:val="0"/>
          <w:marRight w:val="0"/>
          <w:marTop w:val="0"/>
          <w:marBottom w:val="0"/>
          <w:divBdr>
            <w:top w:val="none" w:sz="0" w:space="0" w:color="auto"/>
            <w:left w:val="none" w:sz="0" w:space="0" w:color="auto"/>
            <w:bottom w:val="none" w:sz="0" w:space="0" w:color="auto"/>
            <w:right w:val="none" w:sz="0" w:space="0" w:color="auto"/>
          </w:divBdr>
        </w:div>
      </w:divsChild>
    </w:div>
    <w:div w:id="222568823">
      <w:bodyDiv w:val="1"/>
      <w:marLeft w:val="0"/>
      <w:marRight w:val="0"/>
      <w:marTop w:val="0"/>
      <w:marBottom w:val="0"/>
      <w:divBdr>
        <w:top w:val="none" w:sz="0" w:space="0" w:color="auto"/>
        <w:left w:val="none" w:sz="0" w:space="0" w:color="auto"/>
        <w:bottom w:val="none" w:sz="0" w:space="0" w:color="auto"/>
        <w:right w:val="none" w:sz="0" w:space="0" w:color="auto"/>
      </w:divBdr>
      <w:divsChild>
        <w:div w:id="34933563">
          <w:marLeft w:val="0"/>
          <w:marRight w:val="0"/>
          <w:marTop w:val="0"/>
          <w:marBottom w:val="0"/>
          <w:divBdr>
            <w:top w:val="none" w:sz="0" w:space="0" w:color="auto"/>
            <w:left w:val="none" w:sz="0" w:space="0" w:color="auto"/>
            <w:bottom w:val="none" w:sz="0" w:space="0" w:color="auto"/>
            <w:right w:val="none" w:sz="0" w:space="0" w:color="auto"/>
          </w:divBdr>
        </w:div>
        <w:div w:id="1092163953">
          <w:marLeft w:val="0"/>
          <w:marRight w:val="0"/>
          <w:marTop w:val="0"/>
          <w:marBottom w:val="0"/>
          <w:divBdr>
            <w:top w:val="none" w:sz="0" w:space="0" w:color="auto"/>
            <w:left w:val="none" w:sz="0" w:space="0" w:color="auto"/>
            <w:bottom w:val="none" w:sz="0" w:space="0" w:color="auto"/>
            <w:right w:val="none" w:sz="0" w:space="0" w:color="auto"/>
          </w:divBdr>
        </w:div>
        <w:div w:id="1385833119">
          <w:marLeft w:val="0"/>
          <w:marRight w:val="0"/>
          <w:marTop w:val="0"/>
          <w:marBottom w:val="0"/>
          <w:divBdr>
            <w:top w:val="none" w:sz="0" w:space="0" w:color="auto"/>
            <w:left w:val="none" w:sz="0" w:space="0" w:color="auto"/>
            <w:bottom w:val="none" w:sz="0" w:space="0" w:color="auto"/>
            <w:right w:val="none" w:sz="0" w:space="0" w:color="auto"/>
          </w:divBdr>
        </w:div>
      </w:divsChild>
    </w:div>
    <w:div w:id="223029383">
      <w:bodyDiv w:val="1"/>
      <w:marLeft w:val="0"/>
      <w:marRight w:val="0"/>
      <w:marTop w:val="0"/>
      <w:marBottom w:val="0"/>
      <w:divBdr>
        <w:top w:val="none" w:sz="0" w:space="0" w:color="auto"/>
        <w:left w:val="none" w:sz="0" w:space="0" w:color="auto"/>
        <w:bottom w:val="none" w:sz="0" w:space="0" w:color="auto"/>
        <w:right w:val="none" w:sz="0" w:space="0" w:color="auto"/>
      </w:divBdr>
    </w:div>
    <w:div w:id="228686313">
      <w:bodyDiv w:val="1"/>
      <w:marLeft w:val="0"/>
      <w:marRight w:val="0"/>
      <w:marTop w:val="0"/>
      <w:marBottom w:val="0"/>
      <w:divBdr>
        <w:top w:val="none" w:sz="0" w:space="0" w:color="auto"/>
        <w:left w:val="none" w:sz="0" w:space="0" w:color="auto"/>
        <w:bottom w:val="none" w:sz="0" w:space="0" w:color="auto"/>
        <w:right w:val="none" w:sz="0" w:space="0" w:color="auto"/>
      </w:divBdr>
    </w:div>
    <w:div w:id="232130559">
      <w:bodyDiv w:val="1"/>
      <w:marLeft w:val="0"/>
      <w:marRight w:val="0"/>
      <w:marTop w:val="0"/>
      <w:marBottom w:val="0"/>
      <w:divBdr>
        <w:top w:val="none" w:sz="0" w:space="0" w:color="auto"/>
        <w:left w:val="none" w:sz="0" w:space="0" w:color="auto"/>
        <w:bottom w:val="none" w:sz="0" w:space="0" w:color="auto"/>
        <w:right w:val="none" w:sz="0" w:space="0" w:color="auto"/>
      </w:divBdr>
      <w:divsChild>
        <w:div w:id="124396250">
          <w:marLeft w:val="0"/>
          <w:marRight w:val="0"/>
          <w:marTop w:val="0"/>
          <w:marBottom w:val="0"/>
          <w:divBdr>
            <w:top w:val="none" w:sz="0" w:space="0" w:color="auto"/>
            <w:left w:val="none" w:sz="0" w:space="0" w:color="auto"/>
            <w:bottom w:val="none" w:sz="0" w:space="0" w:color="auto"/>
            <w:right w:val="none" w:sz="0" w:space="0" w:color="auto"/>
          </w:divBdr>
        </w:div>
        <w:div w:id="1410927023">
          <w:marLeft w:val="0"/>
          <w:marRight w:val="0"/>
          <w:marTop w:val="0"/>
          <w:marBottom w:val="0"/>
          <w:divBdr>
            <w:top w:val="none" w:sz="0" w:space="0" w:color="auto"/>
            <w:left w:val="none" w:sz="0" w:space="0" w:color="auto"/>
            <w:bottom w:val="none" w:sz="0" w:space="0" w:color="auto"/>
            <w:right w:val="none" w:sz="0" w:space="0" w:color="auto"/>
          </w:divBdr>
        </w:div>
      </w:divsChild>
    </w:div>
    <w:div w:id="233470069">
      <w:bodyDiv w:val="1"/>
      <w:marLeft w:val="0"/>
      <w:marRight w:val="0"/>
      <w:marTop w:val="0"/>
      <w:marBottom w:val="0"/>
      <w:divBdr>
        <w:top w:val="none" w:sz="0" w:space="0" w:color="auto"/>
        <w:left w:val="none" w:sz="0" w:space="0" w:color="auto"/>
        <w:bottom w:val="none" w:sz="0" w:space="0" w:color="auto"/>
        <w:right w:val="none" w:sz="0" w:space="0" w:color="auto"/>
      </w:divBdr>
    </w:div>
    <w:div w:id="235214458">
      <w:bodyDiv w:val="1"/>
      <w:marLeft w:val="0"/>
      <w:marRight w:val="0"/>
      <w:marTop w:val="0"/>
      <w:marBottom w:val="0"/>
      <w:divBdr>
        <w:top w:val="none" w:sz="0" w:space="0" w:color="auto"/>
        <w:left w:val="none" w:sz="0" w:space="0" w:color="auto"/>
        <w:bottom w:val="none" w:sz="0" w:space="0" w:color="auto"/>
        <w:right w:val="none" w:sz="0" w:space="0" w:color="auto"/>
      </w:divBdr>
    </w:div>
    <w:div w:id="240263206">
      <w:bodyDiv w:val="1"/>
      <w:marLeft w:val="0"/>
      <w:marRight w:val="0"/>
      <w:marTop w:val="0"/>
      <w:marBottom w:val="0"/>
      <w:divBdr>
        <w:top w:val="none" w:sz="0" w:space="0" w:color="auto"/>
        <w:left w:val="none" w:sz="0" w:space="0" w:color="auto"/>
        <w:bottom w:val="none" w:sz="0" w:space="0" w:color="auto"/>
        <w:right w:val="none" w:sz="0" w:space="0" w:color="auto"/>
      </w:divBdr>
    </w:div>
    <w:div w:id="240794088">
      <w:bodyDiv w:val="1"/>
      <w:marLeft w:val="0"/>
      <w:marRight w:val="0"/>
      <w:marTop w:val="0"/>
      <w:marBottom w:val="0"/>
      <w:divBdr>
        <w:top w:val="none" w:sz="0" w:space="0" w:color="auto"/>
        <w:left w:val="none" w:sz="0" w:space="0" w:color="auto"/>
        <w:bottom w:val="none" w:sz="0" w:space="0" w:color="auto"/>
        <w:right w:val="none" w:sz="0" w:space="0" w:color="auto"/>
      </w:divBdr>
    </w:div>
    <w:div w:id="241793949">
      <w:bodyDiv w:val="1"/>
      <w:marLeft w:val="0"/>
      <w:marRight w:val="0"/>
      <w:marTop w:val="0"/>
      <w:marBottom w:val="0"/>
      <w:divBdr>
        <w:top w:val="none" w:sz="0" w:space="0" w:color="auto"/>
        <w:left w:val="none" w:sz="0" w:space="0" w:color="auto"/>
        <w:bottom w:val="none" w:sz="0" w:space="0" w:color="auto"/>
        <w:right w:val="none" w:sz="0" w:space="0" w:color="auto"/>
      </w:divBdr>
    </w:div>
    <w:div w:id="243035357">
      <w:bodyDiv w:val="1"/>
      <w:marLeft w:val="0"/>
      <w:marRight w:val="0"/>
      <w:marTop w:val="0"/>
      <w:marBottom w:val="0"/>
      <w:divBdr>
        <w:top w:val="none" w:sz="0" w:space="0" w:color="auto"/>
        <w:left w:val="none" w:sz="0" w:space="0" w:color="auto"/>
        <w:bottom w:val="none" w:sz="0" w:space="0" w:color="auto"/>
        <w:right w:val="none" w:sz="0" w:space="0" w:color="auto"/>
      </w:divBdr>
    </w:div>
    <w:div w:id="246349942">
      <w:bodyDiv w:val="1"/>
      <w:marLeft w:val="0"/>
      <w:marRight w:val="0"/>
      <w:marTop w:val="0"/>
      <w:marBottom w:val="0"/>
      <w:divBdr>
        <w:top w:val="none" w:sz="0" w:space="0" w:color="auto"/>
        <w:left w:val="none" w:sz="0" w:space="0" w:color="auto"/>
        <w:bottom w:val="none" w:sz="0" w:space="0" w:color="auto"/>
        <w:right w:val="none" w:sz="0" w:space="0" w:color="auto"/>
      </w:divBdr>
      <w:divsChild>
        <w:div w:id="88737709">
          <w:marLeft w:val="0"/>
          <w:marRight w:val="0"/>
          <w:marTop w:val="0"/>
          <w:marBottom w:val="0"/>
          <w:divBdr>
            <w:top w:val="none" w:sz="0" w:space="0" w:color="auto"/>
            <w:left w:val="none" w:sz="0" w:space="0" w:color="auto"/>
            <w:bottom w:val="none" w:sz="0" w:space="0" w:color="auto"/>
            <w:right w:val="none" w:sz="0" w:space="0" w:color="auto"/>
          </w:divBdr>
        </w:div>
        <w:div w:id="1295333500">
          <w:marLeft w:val="0"/>
          <w:marRight w:val="0"/>
          <w:marTop w:val="0"/>
          <w:marBottom w:val="0"/>
          <w:divBdr>
            <w:top w:val="none" w:sz="0" w:space="0" w:color="auto"/>
            <w:left w:val="none" w:sz="0" w:space="0" w:color="auto"/>
            <w:bottom w:val="none" w:sz="0" w:space="0" w:color="auto"/>
            <w:right w:val="none" w:sz="0" w:space="0" w:color="auto"/>
          </w:divBdr>
        </w:div>
      </w:divsChild>
    </w:div>
    <w:div w:id="246614252">
      <w:bodyDiv w:val="1"/>
      <w:marLeft w:val="0"/>
      <w:marRight w:val="0"/>
      <w:marTop w:val="0"/>
      <w:marBottom w:val="0"/>
      <w:divBdr>
        <w:top w:val="none" w:sz="0" w:space="0" w:color="auto"/>
        <w:left w:val="none" w:sz="0" w:space="0" w:color="auto"/>
        <w:bottom w:val="none" w:sz="0" w:space="0" w:color="auto"/>
        <w:right w:val="none" w:sz="0" w:space="0" w:color="auto"/>
      </w:divBdr>
    </w:div>
    <w:div w:id="249510933">
      <w:bodyDiv w:val="1"/>
      <w:marLeft w:val="0"/>
      <w:marRight w:val="0"/>
      <w:marTop w:val="0"/>
      <w:marBottom w:val="0"/>
      <w:divBdr>
        <w:top w:val="none" w:sz="0" w:space="0" w:color="auto"/>
        <w:left w:val="none" w:sz="0" w:space="0" w:color="auto"/>
        <w:bottom w:val="none" w:sz="0" w:space="0" w:color="auto"/>
        <w:right w:val="none" w:sz="0" w:space="0" w:color="auto"/>
      </w:divBdr>
    </w:div>
    <w:div w:id="253369226">
      <w:bodyDiv w:val="1"/>
      <w:marLeft w:val="0"/>
      <w:marRight w:val="0"/>
      <w:marTop w:val="0"/>
      <w:marBottom w:val="0"/>
      <w:divBdr>
        <w:top w:val="none" w:sz="0" w:space="0" w:color="auto"/>
        <w:left w:val="none" w:sz="0" w:space="0" w:color="auto"/>
        <w:bottom w:val="none" w:sz="0" w:space="0" w:color="auto"/>
        <w:right w:val="none" w:sz="0" w:space="0" w:color="auto"/>
      </w:divBdr>
      <w:divsChild>
        <w:div w:id="943347165">
          <w:marLeft w:val="0"/>
          <w:marRight w:val="0"/>
          <w:marTop w:val="0"/>
          <w:marBottom w:val="0"/>
          <w:divBdr>
            <w:top w:val="none" w:sz="0" w:space="0" w:color="auto"/>
            <w:left w:val="none" w:sz="0" w:space="0" w:color="auto"/>
            <w:bottom w:val="none" w:sz="0" w:space="0" w:color="auto"/>
            <w:right w:val="none" w:sz="0" w:space="0" w:color="auto"/>
          </w:divBdr>
        </w:div>
        <w:div w:id="1928494520">
          <w:marLeft w:val="0"/>
          <w:marRight w:val="0"/>
          <w:marTop w:val="0"/>
          <w:marBottom w:val="0"/>
          <w:divBdr>
            <w:top w:val="none" w:sz="0" w:space="0" w:color="auto"/>
            <w:left w:val="none" w:sz="0" w:space="0" w:color="auto"/>
            <w:bottom w:val="none" w:sz="0" w:space="0" w:color="auto"/>
            <w:right w:val="none" w:sz="0" w:space="0" w:color="auto"/>
          </w:divBdr>
        </w:div>
      </w:divsChild>
    </w:div>
    <w:div w:id="255402711">
      <w:bodyDiv w:val="1"/>
      <w:marLeft w:val="0"/>
      <w:marRight w:val="0"/>
      <w:marTop w:val="0"/>
      <w:marBottom w:val="0"/>
      <w:divBdr>
        <w:top w:val="none" w:sz="0" w:space="0" w:color="auto"/>
        <w:left w:val="none" w:sz="0" w:space="0" w:color="auto"/>
        <w:bottom w:val="none" w:sz="0" w:space="0" w:color="auto"/>
        <w:right w:val="none" w:sz="0" w:space="0" w:color="auto"/>
      </w:divBdr>
      <w:divsChild>
        <w:div w:id="745417401">
          <w:marLeft w:val="0"/>
          <w:marRight w:val="0"/>
          <w:marTop w:val="0"/>
          <w:marBottom w:val="0"/>
          <w:divBdr>
            <w:top w:val="none" w:sz="0" w:space="0" w:color="auto"/>
            <w:left w:val="none" w:sz="0" w:space="0" w:color="auto"/>
            <w:bottom w:val="none" w:sz="0" w:space="0" w:color="auto"/>
            <w:right w:val="none" w:sz="0" w:space="0" w:color="auto"/>
          </w:divBdr>
        </w:div>
        <w:div w:id="1995789656">
          <w:marLeft w:val="0"/>
          <w:marRight w:val="0"/>
          <w:marTop w:val="0"/>
          <w:marBottom w:val="0"/>
          <w:divBdr>
            <w:top w:val="none" w:sz="0" w:space="0" w:color="auto"/>
            <w:left w:val="none" w:sz="0" w:space="0" w:color="auto"/>
            <w:bottom w:val="none" w:sz="0" w:space="0" w:color="auto"/>
            <w:right w:val="none" w:sz="0" w:space="0" w:color="auto"/>
          </w:divBdr>
        </w:div>
      </w:divsChild>
    </w:div>
    <w:div w:id="255482460">
      <w:bodyDiv w:val="1"/>
      <w:marLeft w:val="0"/>
      <w:marRight w:val="0"/>
      <w:marTop w:val="0"/>
      <w:marBottom w:val="0"/>
      <w:divBdr>
        <w:top w:val="none" w:sz="0" w:space="0" w:color="auto"/>
        <w:left w:val="none" w:sz="0" w:space="0" w:color="auto"/>
        <w:bottom w:val="none" w:sz="0" w:space="0" w:color="auto"/>
        <w:right w:val="none" w:sz="0" w:space="0" w:color="auto"/>
      </w:divBdr>
    </w:div>
    <w:div w:id="261568001">
      <w:bodyDiv w:val="1"/>
      <w:marLeft w:val="0"/>
      <w:marRight w:val="0"/>
      <w:marTop w:val="0"/>
      <w:marBottom w:val="0"/>
      <w:divBdr>
        <w:top w:val="none" w:sz="0" w:space="0" w:color="auto"/>
        <w:left w:val="none" w:sz="0" w:space="0" w:color="auto"/>
        <w:bottom w:val="none" w:sz="0" w:space="0" w:color="auto"/>
        <w:right w:val="none" w:sz="0" w:space="0" w:color="auto"/>
      </w:divBdr>
    </w:div>
    <w:div w:id="261883216">
      <w:bodyDiv w:val="1"/>
      <w:marLeft w:val="0"/>
      <w:marRight w:val="0"/>
      <w:marTop w:val="0"/>
      <w:marBottom w:val="0"/>
      <w:divBdr>
        <w:top w:val="none" w:sz="0" w:space="0" w:color="auto"/>
        <w:left w:val="none" w:sz="0" w:space="0" w:color="auto"/>
        <w:bottom w:val="none" w:sz="0" w:space="0" w:color="auto"/>
        <w:right w:val="none" w:sz="0" w:space="0" w:color="auto"/>
      </w:divBdr>
      <w:divsChild>
        <w:div w:id="1722752906">
          <w:marLeft w:val="0"/>
          <w:marRight w:val="0"/>
          <w:marTop w:val="0"/>
          <w:marBottom w:val="0"/>
          <w:divBdr>
            <w:top w:val="none" w:sz="0" w:space="0" w:color="auto"/>
            <w:left w:val="none" w:sz="0" w:space="0" w:color="auto"/>
            <w:bottom w:val="none" w:sz="0" w:space="0" w:color="auto"/>
            <w:right w:val="none" w:sz="0" w:space="0" w:color="auto"/>
          </w:divBdr>
        </w:div>
        <w:div w:id="2127774842">
          <w:marLeft w:val="0"/>
          <w:marRight w:val="0"/>
          <w:marTop w:val="0"/>
          <w:marBottom w:val="0"/>
          <w:divBdr>
            <w:top w:val="none" w:sz="0" w:space="0" w:color="auto"/>
            <w:left w:val="none" w:sz="0" w:space="0" w:color="auto"/>
            <w:bottom w:val="none" w:sz="0" w:space="0" w:color="auto"/>
            <w:right w:val="none" w:sz="0" w:space="0" w:color="auto"/>
          </w:divBdr>
        </w:div>
      </w:divsChild>
    </w:div>
    <w:div w:id="264457371">
      <w:bodyDiv w:val="1"/>
      <w:marLeft w:val="0"/>
      <w:marRight w:val="0"/>
      <w:marTop w:val="0"/>
      <w:marBottom w:val="0"/>
      <w:divBdr>
        <w:top w:val="none" w:sz="0" w:space="0" w:color="auto"/>
        <w:left w:val="none" w:sz="0" w:space="0" w:color="auto"/>
        <w:bottom w:val="none" w:sz="0" w:space="0" w:color="auto"/>
        <w:right w:val="none" w:sz="0" w:space="0" w:color="auto"/>
      </w:divBdr>
    </w:div>
    <w:div w:id="271940261">
      <w:bodyDiv w:val="1"/>
      <w:marLeft w:val="0"/>
      <w:marRight w:val="0"/>
      <w:marTop w:val="0"/>
      <w:marBottom w:val="0"/>
      <w:divBdr>
        <w:top w:val="none" w:sz="0" w:space="0" w:color="auto"/>
        <w:left w:val="none" w:sz="0" w:space="0" w:color="auto"/>
        <w:bottom w:val="none" w:sz="0" w:space="0" w:color="auto"/>
        <w:right w:val="none" w:sz="0" w:space="0" w:color="auto"/>
      </w:divBdr>
      <w:divsChild>
        <w:div w:id="31614870">
          <w:marLeft w:val="0"/>
          <w:marRight w:val="0"/>
          <w:marTop w:val="0"/>
          <w:marBottom w:val="0"/>
          <w:divBdr>
            <w:top w:val="none" w:sz="0" w:space="0" w:color="auto"/>
            <w:left w:val="none" w:sz="0" w:space="0" w:color="auto"/>
            <w:bottom w:val="none" w:sz="0" w:space="0" w:color="auto"/>
            <w:right w:val="none" w:sz="0" w:space="0" w:color="auto"/>
          </w:divBdr>
        </w:div>
        <w:div w:id="1444114632">
          <w:marLeft w:val="0"/>
          <w:marRight w:val="0"/>
          <w:marTop w:val="0"/>
          <w:marBottom w:val="0"/>
          <w:divBdr>
            <w:top w:val="none" w:sz="0" w:space="0" w:color="auto"/>
            <w:left w:val="none" w:sz="0" w:space="0" w:color="auto"/>
            <w:bottom w:val="none" w:sz="0" w:space="0" w:color="auto"/>
            <w:right w:val="none" w:sz="0" w:space="0" w:color="auto"/>
          </w:divBdr>
        </w:div>
        <w:div w:id="1665931389">
          <w:marLeft w:val="0"/>
          <w:marRight w:val="0"/>
          <w:marTop w:val="0"/>
          <w:marBottom w:val="0"/>
          <w:divBdr>
            <w:top w:val="none" w:sz="0" w:space="0" w:color="auto"/>
            <w:left w:val="none" w:sz="0" w:space="0" w:color="auto"/>
            <w:bottom w:val="none" w:sz="0" w:space="0" w:color="auto"/>
            <w:right w:val="none" w:sz="0" w:space="0" w:color="auto"/>
          </w:divBdr>
        </w:div>
      </w:divsChild>
    </w:div>
    <w:div w:id="272516157">
      <w:bodyDiv w:val="1"/>
      <w:marLeft w:val="0"/>
      <w:marRight w:val="0"/>
      <w:marTop w:val="0"/>
      <w:marBottom w:val="0"/>
      <w:divBdr>
        <w:top w:val="none" w:sz="0" w:space="0" w:color="auto"/>
        <w:left w:val="none" w:sz="0" w:space="0" w:color="auto"/>
        <w:bottom w:val="none" w:sz="0" w:space="0" w:color="auto"/>
        <w:right w:val="none" w:sz="0" w:space="0" w:color="auto"/>
      </w:divBdr>
      <w:divsChild>
        <w:div w:id="1399015472">
          <w:marLeft w:val="0"/>
          <w:marRight w:val="0"/>
          <w:marTop w:val="0"/>
          <w:marBottom w:val="0"/>
          <w:divBdr>
            <w:top w:val="none" w:sz="0" w:space="0" w:color="auto"/>
            <w:left w:val="none" w:sz="0" w:space="0" w:color="auto"/>
            <w:bottom w:val="none" w:sz="0" w:space="0" w:color="auto"/>
            <w:right w:val="none" w:sz="0" w:space="0" w:color="auto"/>
          </w:divBdr>
        </w:div>
        <w:div w:id="2080324652">
          <w:marLeft w:val="0"/>
          <w:marRight w:val="0"/>
          <w:marTop w:val="0"/>
          <w:marBottom w:val="0"/>
          <w:divBdr>
            <w:top w:val="none" w:sz="0" w:space="0" w:color="auto"/>
            <w:left w:val="none" w:sz="0" w:space="0" w:color="auto"/>
            <w:bottom w:val="none" w:sz="0" w:space="0" w:color="auto"/>
            <w:right w:val="none" w:sz="0" w:space="0" w:color="auto"/>
          </w:divBdr>
        </w:div>
      </w:divsChild>
    </w:div>
    <w:div w:id="274145224">
      <w:bodyDiv w:val="1"/>
      <w:marLeft w:val="0"/>
      <w:marRight w:val="0"/>
      <w:marTop w:val="0"/>
      <w:marBottom w:val="0"/>
      <w:divBdr>
        <w:top w:val="none" w:sz="0" w:space="0" w:color="auto"/>
        <w:left w:val="none" w:sz="0" w:space="0" w:color="auto"/>
        <w:bottom w:val="none" w:sz="0" w:space="0" w:color="auto"/>
        <w:right w:val="none" w:sz="0" w:space="0" w:color="auto"/>
      </w:divBdr>
    </w:div>
    <w:div w:id="275720502">
      <w:bodyDiv w:val="1"/>
      <w:marLeft w:val="0"/>
      <w:marRight w:val="0"/>
      <w:marTop w:val="0"/>
      <w:marBottom w:val="0"/>
      <w:divBdr>
        <w:top w:val="none" w:sz="0" w:space="0" w:color="auto"/>
        <w:left w:val="none" w:sz="0" w:space="0" w:color="auto"/>
        <w:bottom w:val="none" w:sz="0" w:space="0" w:color="auto"/>
        <w:right w:val="none" w:sz="0" w:space="0" w:color="auto"/>
      </w:divBdr>
    </w:div>
    <w:div w:id="278803349">
      <w:bodyDiv w:val="1"/>
      <w:marLeft w:val="0"/>
      <w:marRight w:val="0"/>
      <w:marTop w:val="0"/>
      <w:marBottom w:val="0"/>
      <w:divBdr>
        <w:top w:val="none" w:sz="0" w:space="0" w:color="auto"/>
        <w:left w:val="none" w:sz="0" w:space="0" w:color="auto"/>
        <w:bottom w:val="none" w:sz="0" w:space="0" w:color="auto"/>
        <w:right w:val="none" w:sz="0" w:space="0" w:color="auto"/>
      </w:divBdr>
      <w:divsChild>
        <w:div w:id="163791002">
          <w:marLeft w:val="0"/>
          <w:marRight w:val="0"/>
          <w:marTop w:val="0"/>
          <w:marBottom w:val="0"/>
          <w:divBdr>
            <w:top w:val="none" w:sz="0" w:space="0" w:color="auto"/>
            <w:left w:val="none" w:sz="0" w:space="0" w:color="auto"/>
            <w:bottom w:val="none" w:sz="0" w:space="0" w:color="auto"/>
            <w:right w:val="none" w:sz="0" w:space="0" w:color="auto"/>
          </w:divBdr>
        </w:div>
        <w:div w:id="261888389">
          <w:marLeft w:val="0"/>
          <w:marRight w:val="0"/>
          <w:marTop w:val="0"/>
          <w:marBottom w:val="0"/>
          <w:divBdr>
            <w:top w:val="none" w:sz="0" w:space="0" w:color="auto"/>
            <w:left w:val="none" w:sz="0" w:space="0" w:color="auto"/>
            <w:bottom w:val="none" w:sz="0" w:space="0" w:color="auto"/>
            <w:right w:val="none" w:sz="0" w:space="0" w:color="auto"/>
          </w:divBdr>
        </w:div>
        <w:div w:id="1589654008">
          <w:marLeft w:val="0"/>
          <w:marRight w:val="0"/>
          <w:marTop w:val="0"/>
          <w:marBottom w:val="0"/>
          <w:divBdr>
            <w:top w:val="none" w:sz="0" w:space="0" w:color="auto"/>
            <w:left w:val="none" w:sz="0" w:space="0" w:color="auto"/>
            <w:bottom w:val="none" w:sz="0" w:space="0" w:color="auto"/>
            <w:right w:val="none" w:sz="0" w:space="0" w:color="auto"/>
          </w:divBdr>
        </w:div>
      </w:divsChild>
    </w:div>
    <w:div w:id="279915698">
      <w:bodyDiv w:val="1"/>
      <w:marLeft w:val="0"/>
      <w:marRight w:val="0"/>
      <w:marTop w:val="0"/>
      <w:marBottom w:val="0"/>
      <w:divBdr>
        <w:top w:val="none" w:sz="0" w:space="0" w:color="auto"/>
        <w:left w:val="none" w:sz="0" w:space="0" w:color="auto"/>
        <w:bottom w:val="none" w:sz="0" w:space="0" w:color="auto"/>
        <w:right w:val="none" w:sz="0" w:space="0" w:color="auto"/>
      </w:divBdr>
    </w:div>
    <w:div w:id="283731190">
      <w:bodyDiv w:val="1"/>
      <w:marLeft w:val="0"/>
      <w:marRight w:val="0"/>
      <w:marTop w:val="0"/>
      <w:marBottom w:val="0"/>
      <w:divBdr>
        <w:top w:val="none" w:sz="0" w:space="0" w:color="auto"/>
        <w:left w:val="none" w:sz="0" w:space="0" w:color="auto"/>
        <w:bottom w:val="none" w:sz="0" w:space="0" w:color="auto"/>
        <w:right w:val="none" w:sz="0" w:space="0" w:color="auto"/>
      </w:divBdr>
      <w:divsChild>
        <w:div w:id="1460302719">
          <w:marLeft w:val="0"/>
          <w:marRight w:val="0"/>
          <w:marTop w:val="0"/>
          <w:marBottom w:val="0"/>
          <w:divBdr>
            <w:top w:val="none" w:sz="0" w:space="0" w:color="auto"/>
            <w:left w:val="none" w:sz="0" w:space="0" w:color="auto"/>
            <w:bottom w:val="none" w:sz="0" w:space="0" w:color="auto"/>
            <w:right w:val="none" w:sz="0" w:space="0" w:color="auto"/>
          </w:divBdr>
        </w:div>
        <w:div w:id="1964116966">
          <w:marLeft w:val="0"/>
          <w:marRight w:val="0"/>
          <w:marTop w:val="0"/>
          <w:marBottom w:val="0"/>
          <w:divBdr>
            <w:top w:val="none" w:sz="0" w:space="0" w:color="auto"/>
            <w:left w:val="none" w:sz="0" w:space="0" w:color="auto"/>
            <w:bottom w:val="none" w:sz="0" w:space="0" w:color="auto"/>
            <w:right w:val="none" w:sz="0" w:space="0" w:color="auto"/>
          </w:divBdr>
        </w:div>
      </w:divsChild>
    </w:div>
    <w:div w:id="284167226">
      <w:bodyDiv w:val="1"/>
      <w:marLeft w:val="0"/>
      <w:marRight w:val="0"/>
      <w:marTop w:val="0"/>
      <w:marBottom w:val="0"/>
      <w:divBdr>
        <w:top w:val="none" w:sz="0" w:space="0" w:color="auto"/>
        <w:left w:val="none" w:sz="0" w:space="0" w:color="auto"/>
        <w:bottom w:val="none" w:sz="0" w:space="0" w:color="auto"/>
        <w:right w:val="none" w:sz="0" w:space="0" w:color="auto"/>
      </w:divBdr>
      <w:divsChild>
        <w:div w:id="737242796">
          <w:marLeft w:val="0"/>
          <w:marRight w:val="0"/>
          <w:marTop w:val="0"/>
          <w:marBottom w:val="0"/>
          <w:divBdr>
            <w:top w:val="none" w:sz="0" w:space="0" w:color="auto"/>
            <w:left w:val="none" w:sz="0" w:space="0" w:color="auto"/>
            <w:bottom w:val="none" w:sz="0" w:space="0" w:color="auto"/>
            <w:right w:val="none" w:sz="0" w:space="0" w:color="auto"/>
          </w:divBdr>
        </w:div>
        <w:div w:id="1384713674">
          <w:marLeft w:val="0"/>
          <w:marRight w:val="0"/>
          <w:marTop w:val="0"/>
          <w:marBottom w:val="0"/>
          <w:divBdr>
            <w:top w:val="none" w:sz="0" w:space="0" w:color="auto"/>
            <w:left w:val="none" w:sz="0" w:space="0" w:color="auto"/>
            <w:bottom w:val="none" w:sz="0" w:space="0" w:color="auto"/>
            <w:right w:val="none" w:sz="0" w:space="0" w:color="auto"/>
          </w:divBdr>
        </w:div>
        <w:div w:id="1707291739">
          <w:marLeft w:val="0"/>
          <w:marRight w:val="0"/>
          <w:marTop w:val="0"/>
          <w:marBottom w:val="0"/>
          <w:divBdr>
            <w:top w:val="none" w:sz="0" w:space="0" w:color="auto"/>
            <w:left w:val="none" w:sz="0" w:space="0" w:color="auto"/>
            <w:bottom w:val="none" w:sz="0" w:space="0" w:color="auto"/>
            <w:right w:val="none" w:sz="0" w:space="0" w:color="auto"/>
          </w:divBdr>
        </w:div>
      </w:divsChild>
    </w:div>
    <w:div w:id="284625502">
      <w:bodyDiv w:val="1"/>
      <w:marLeft w:val="0"/>
      <w:marRight w:val="0"/>
      <w:marTop w:val="0"/>
      <w:marBottom w:val="0"/>
      <w:divBdr>
        <w:top w:val="none" w:sz="0" w:space="0" w:color="auto"/>
        <w:left w:val="none" w:sz="0" w:space="0" w:color="auto"/>
        <w:bottom w:val="none" w:sz="0" w:space="0" w:color="auto"/>
        <w:right w:val="none" w:sz="0" w:space="0" w:color="auto"/>
      </w:divBdr>
    </w:div>
    <w:div w:id="287011103">
      <w:bodyDiv w:val="1"/>
      <w:marLeft w:val="0"/>
      <w:marRight w:val="0"/>
      <w:marTop w:val="0"/>
      <w:marBottom w:val="0"/>
      <w:divBdr>
        <w:top w:val="none" w:sz="0" w:space="0" w:color="auto"/>
        <w:left w:val="none" w:sz="0" w:space="0" w:color="auto"/>
        <w:bottom w:val="none" w:sz="0" w:space="0" w:color="auto"/>
        <w:right w:val="none" w:sz="0" w:space="0" w:color="auto"/>
      </w:divBdr>
      <w:divsChild>
        <w:div w:id="490953435">
          <w:marLeft w:val="0"/>
          <w:marRight w:val="0"/>
          <w:marTop w:val="0"/>
          <w:marBottom w:val="0"/>
          <w:divBdr>
            <w:top w:val="none" w:sz="0" w:space="0" w:color="auto"/>
            <w:left w:val="none" w:sz="0" w:space="0" w:color="auto"/>
            <w:bottom w:val="none" w:sz="0" w:space="0" w:color="auto"/>
            <w:right w:val="none" w:sz="0" w:space="0" w:color="auto"/>
          </w:divBdr>
        </w:div>
        <w:div w:id="742996388">
          <w:marLeft w:val="0"/>
          <w:marRight w:val="0"/>
          <w:marTop w:val="0"/>
          <w:marBottom w:val="0"/>
          <w:divBdr>
            <w:top w:val="none" w:sz="0" w:space="0" w:color="auto"/>
            <w:left w:val="none" w:sz="0" w:space="0" w:color="auto"/>
            <w:bottom w:val="none" w:sz="0" w:space="0" w:color="auto"/>
            <w:right w:val="none" w:sz="0" w:space="0" w:color="auto"/>
          </w:divBdr>
        </w:div>
        <w:div w:id="1888909621">
          <w:marLeft w:val="0"/>
          <w:marRight w:val="0"/>
          <w:marTop w:val="0"/>
          <w:marBottom w:val="0"/>
          <w:divBdr>
            <w:top w:val="none" w:sz="0" w:space="0" w:color="auto"/>
            <w:left w:val="none" w:sz="0" w:space="0" w:color="auto"/>
            <w:bottom w:val="none" w:sz="0" w:space="0" w:color="auto"/>
            <w:right w:val="none" w:sz="0" w:space="0" w:color="auto"/>
          </w:divBdr>
        </w:div>
      </w:divsChild>
    </w:div>
    <w:div w:id="287123665">
      <w:bodyDiv w:val="1"/>
      <w:marLeft w:val="0"/>
      <w:marRight w:val="0"/>
      <w:marTop w:val="0"/>
      <w:marBottom w:val="0"/>
      <w:divBdr>
        <w:top w:val="none" w:sz="0" w:space="0" w:color="auto"/>
        <w:left w:val="none" w:sz="0" w:space="0" w:color="auto"/>
        <w:bottom w:val="none" w:sz="0" w:space="0" w:color="auto"/>
        <w:right w:val="none" w:sz="0" w:space="0" w:color="auto"/>
      </w:divBdr>
      <w:divsChild>
        <w:div w:id="607393523">
          <w:marLeft w:val="0"/>
          <w:marRight w:val="0"/>
          <w:marTop w:val="0"/>
          <w:marBottom w:val="0"/>
          <w:divBdr>
            <w:top w:val="none" w:sz="0" w:space="0" w:color="auto"/>
            <w:left w:val="none" w:sz="0" w:space="0" w:color="auto"/>
            <w:bottom w:val="none" w:sz="0" w:space="0" w:color="auto"/>
            <w:right w:val="none" w:sz="0" w:space="0" w:color="auto"/>
          </w:divBdr>
        </w:div>
        <w:div w:id="1964652208">
          <w:marLeft w:val="0"/>
          <w:marRight w:val="0"/>
          <w:marTop w:val="0"/>
          <w:marBottom w:val="0"/>
          <w:divBdr>
            <w:top w:val="none" w:sz="0" w:space="0" w:color="auto"/>
            <w:left w:val="none" w:sz="0" w:space="0" w:color="auto"/>
            <w:bottom w:val="none" w:sz="0" w:space="0" w:color="auto"/>
            <w:right w:val="none" w:sz="0" w:space="0" w:color="auto"/>
          </w:divBdr>
        </w:div>
      </w:divsChild>
    </w:div>
    <w:div w:id="289559238">
      <w:bodyDiv w:val="1"/>
      <w:marLeft w:val="0"/>
      <w:marRight w:val="0"/>
      <w:marTop w:val="0"/>
      <w:marBottom w:val="0"/>
      <w:divBdr>
        <w:top w:val="none" w:sz="0" w:space="0" w:color="auto"/>
        <w:left w:val="none" w:sz="0" w:space="0" w:color="auto"/>
        <w:bottom w:val="none" w:sz="0" w:space="0" w:color="auto"/>
        <w:right w:val="none" w:sz="0" w:space="0" w:color="auto"/>
      </w:divBdr>
      <w:divsChild>
        <w:div w:id="586616670">
          <w:marLeft w:val="0"/>
          <w:marRight w:val="0"/>
          <w:marTop w:val="0"/>
          <w:marBottom w:val="0"/>
          <w:divBdr>
            <w:top w:val="none" w:sz="0" w:space="0" w:color="auto"/>
            <w:left w:val="none" w:sz="0" w:space="0" w:color="auto"/>
            <w:bottom w:val="none" w:sz="0" w:space="0" w:color="auto"/>
            <w:right w:val="none" w:sz="0" w:space="0" w:color="auto"/>
          </w:divBdr>
        </w:div>
        <w:div w:id="1161850742">
          <w:marLeft w:val="0"/>
          <w:marRight w:val="0"/>
          <w:marTop w:val="0"/>
          <w:marBottom w:val="0"/>
          <w:divBdr>
            <w:top w:val="none" w:sz="0" w:space="0" w:color="auto"/>
            <w:left w:val="none" w:sz="0" w:space="0" w:color="auto"/>
            <w:bottom w:val="none" w:sz="0" w:space="0" w:color="auto"/>
            <w:right w:val="none" w:sz="0" w:space="0" w:color="auto"/>
          </w:divBdr>
        </w:div>
      </w:divsChild>
    </w:div>
    <w:div w:id="292715985">
      <w:bodyDiv w:val="1"/>
      <w:marLeft w:val="0"/>
      <w:marRight w:val="0"/>
      <w:marTop w:val="0"/>
      <w:marBottom w:val="0"/>
      <w:divBdr>
        <w:top w:val="none" w:sz="0" w:space="0" w:color="auto"/>
        <w:left w:val="none" w:sz="0" w:space="0" w:color="auto"/>
        <w:bottom w:val="none" w:sz="0" w:space="0" w:color="auto"/>
        <w:right w:val="none" w:sz="0" w:space="0" w:color="auto"/>
      </w:divBdr>
      <w:divsChild>
        <w:div w:id="768697098">
          <w:marLeft w:val="0"/>
          <w:marRight w:val="0"/>
          <w:marTop w:val="0"/>
          <w:marBottom w:val="0"/>
          <w:divBdr>
            <w:top w:val="none" w:sz="0" w:space="0" w:color="auto"/>
            <w:left w:val="none" w:sz="0" w:space="0" w:color="auto"/>
            <w:bottom w:val="none" w:sz="0" w:space="0" w:color="auto"/>
            <w:right w:val="none" w:sz="0" w:space="0" w:color="auto"/>
          </w:divBdr>
        </w:div>
        <w:div w:id="2024282502">
          <w:marLeft w:val="0"/>
          <w:marRight w:val="0"/>
          <w:marTop w:val="0"/>
          <w:marBottom w:val="0"/>
          <w:divBdr>
            <w:top w:val="none" w:sz="0" w:space="0" w:color="auto"/>
            <w:left w:val="none" w:sz="0" w:space="0" w:color="auto"/>
            <w:bottom w:val="none" w:sz="0" w:space="0" w:color="auto"/>
            <w:right w:val="none" w:sz="0" w:space="0" w:color="auto"/>
          </w:divBdr>
        </w:div>
      </w:divsChild>
    </w:div>
    <w:div w:id="295113252">
      <w:bodyDiv w:val="1"/>
      <w:marLeft w:val="0"/>
      <w:marRight w:val="0"/>
      <w:marTop w:val="0"/>
      <w:marBottom w:val="0"/>
      <w:divBdr>
        <w:top w:val="none" w:sz="0" w:space="0" w:color="auto"/>
        <w:left w:val="none" w:sz="0" w:space="0" w:color="auto"/>
        <w:bottom w:val="none" w:sz="0" w:space="0" w:color="auto"/>
        <w:right w:val="none" w:sz="0" w:space="0" w:color="auto"/>
      </w:divBdr>
    </w:div>
    <w:div w:id="295766466">
      <w:bodyDiv w:val="1"/>
      <w:marLeft w:val="0"/>
      <w:marRight w:val="0"/>
      <w:marTop w:val="0"/>
      <w:marBottom w:val="0"/>
      <w:divBdr>
        <w:top w:val="none" w:sz="0" w:space="0" w:color="auto"/>
        <w:left w:val="none" w:sz="0" w:space="0" w:color="auto"/>
        <w:bottom w:val="none" w:sz="0" w:space="0" w:color="auto"/>
        <w:right w:val="none" w:sz="0" w:space="0" w:color="auto"/>
      </w:divBdr>
    </w:div>
    <w:div w:id="295919095">
      <w:bodyDiv w:val="1"/>
      <w:marLeft w:val="0"/>
      <w:marRight w:val="0"/>
      <w:marTop w:val="0"/>
      <w:marBottom w:val="0"/>
      <w:divBdr>
        <w:top w:val="none" w:sz="0" w:space="0" w:color="auto"/>
        <w:left w:val="none" w:sz="0" w:space="0" w:color="auto"/>
        <w:bottom w:val="none" w:sz="0" w:space="0" w:color="auto"/>
        <w:right w:val="none" w:sz="0" w:space="0" w:color="auto"/>
      </w:divBdr>
      <w:divsChild>
        <w:div w:id="1391345265">
          <w:marLeft w:val="0"/>
          <w:marRight w:val="0"/>
          <w:marTop w:val="0"/>
          <w:marBottom w:val="0"/>
          <w:divBdr>
            <w:top w:val="none" w:sz="0" w:space="0" w:color="auto"/>
            <w:left w:val="none" w:sz="0" w:space="0" w:color="auto"/>
            <w:bottom w:val="none" w:sz="0" w:space="0" w:color="auto"/>
            <w:right w:val="none" w:sz="0" w:space="0" w:color="auto"/>
          </w:divBdr>
          <w:divsChild>
            <w:div w:id="2112971798">
              <w:marLeft w:val="0"/>
              <w:marRight w:val="0"/>
              <w:marTop w:val="0"/>
              <w:marBottom w:val="0"/>
              <w:divBdr>
                <w:top w:val="none" w:sz="0" w:space="0" w:color="auto"/>
                <w:left w:val="none" w:sz="0" w:space="0" w:color="auto"/>
                <w:bottom w:val="none" w:sz="0" w:space="0" w:color="auto"/>
                <w:right w:val="none" w:sz="0" w:space="0" w:color="auto"/>
              </w:divBdr>
              <w:divsChild>
                <w:div w:id="1577133632">
                  <w:marLeft w:val="0"/>
                  <w:marRight w:val="0"/>
                  <w:marTop w:val="0"/>
                  <w:marBottom w:val="0"/>
                  <w:divBdr>
                    <w:top w:val="none" w:sz="0" w:space="0" w:color="auto"/>
                    <w:left w:val="none" w:sz="0" w:space="0" w:color="auto"/>
                    <w:bottom w:val="none" w:sz="0" w:space="0" w:color="auto"/>
                    <w:right w:val="none" w:sz="0" w:space="0" w:color="auto"/>
                  </w:divBdr>
                  <w:divsChild>
                    <w:div w:id="1417824677">
                      <w:marLeft w:val="0"/>
                      <w:marRight w:val="0"/>
                      <w:marTop w:val="0"/>
                      <w:marBottom w:val="0"/>
                      <w:divBdr>
                        <w:top w:val="none" w:sz="0" w:space="0" w:color="auto"/>
                        <w:left w:val="none" w:sz="0" w:space="0" w:color="auto"/>
                        <w:bottom w:val="none" w:sz="0" w:space="0" w:color="auto"/>
                        <w:right w:val="none" w:sz="0" w:space="0" w:color="auto"/>
                      </w:divBdr>
                      <w:divsChild>
                        <w:div w:id="1698894581">
                          <w:marLeft w:val="0"/>
                          <w:marRight w:val="0"/>
                          <w:marTop w:val="0"/>
                          <w:marBottom w:val="0"/>
                          <w:divBdr>
                            <w:top w:val="none" w:sz="0" w:space="0" w:color="auto"/>
                            <w:left w:val="none" w:sz="0" w:space="0" w:color="auto"/>
                            <w:bottom w:val="none" w:sz="0" w:space="0" w:color="auto"/>
                            <w:right w:val="none" w:sz="0" w:space="0" w:color="auto"/>
                          </w:divBdr>
                          <w:divsChild>
                            <w:div w:id="1008796168">
                              <w:marLeft w:val="0"/>
                              <w:marRight w:val="0"/>
                              <w:marTop w:val="0"/>
                              <w:marBottom w:val="0"/>
                              <w:divBdr>
                                <w:top w:val="none" w:sz="0" w:space="0" w:color="auto"/>
                                <w:left w:val="none" w:sz="0" w:space="0" w:color="auto"/>
                                <w:bottom w:val="none" w:sz="0" w:space="0" w:color="auto"/>
                                <w:right w:val="none" w:sz="0" w:space="0" w:color="auto"/>
                              </w:divBdr>
                              <w:divsChild>
                                <w:div w:id="902641928">
                                  <w:marLeft w:val="0"/>
                                  <w:marRight w:val="0"/>
                                  <w:marTop w:val="0"/>
                                  <w:marBottom w:val="0"/>
                                  <w:divBdr>
                                    <w:top w:val="none" w:sz="0" w:space="0" w:color="auto"/>
                                    <w:left w:val="none" w:sz="0" w:space="0" w:color="auto"/>
                                    <w:bottom w:val="none" w:sz="0" w:space="0" w:color="auto"/>
                                    <w:right w:val="none" w:sz="0" w:space="0" w:color="auto"/>
                                  </w:divBdr>
                                </w:div>
                                <w:div w:id="1216356990">
                                  <w:marLeft w:val="0"/>
                                  <w:marRight w:val="0"/>
                                  <w:marTop w:val="0"/>
                                  <w:marBottom w:val="0"/>
                                  <w:divBdr>
                                    <w:top w:val="none" w:sz="0" w:space="0" w:color="auto"/>
                                    <w:left w:val="none" w:sz="0" w:space="0" w:color="auto"/>
                                    <w:bottom w:val="none" w:sz="0" w:space="0" w:color="auto"/>
                                    <w:right w:val="none" w:sz="0" w:space="0" w:color="auto"/>
                                  </w:divBdr>
                                  <w:divsChild>
                                    <w:div w:id="132448357">
                                      <w:marLeft w:val="0"/>
                                      <w:marRight w:val="0"/>
                                      <w:marTop w:val="0"/>
                                      <w:marBottom w:val="0"/>
                                      <w:divBdr>
                                        <w:top w:val="none" w:sz="0" w:space="0" w:color="auto"/>
                                        <w:left w:val="none" w:sz="0" w:space="0" w:color="auto"/>
                                        <w:bottom w:val="none" w:sz="0" w:space="0" w:color="auto"/>
                                        <w:right w:val="none" w:sz="0" w:space="0" w:color="auto"/>
                                      </w:divBdr>
                                    </w:div>
                                    <w:div w:id="500434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18082224">
          <w:marLeft w:val="0"/>
          <w:marRight w:val="0"/>
          <w:marTop w:val="0"/>
          <w:marBottom w:val="0"/>
          <w:divBdr>
            <w:top w:val="none" w:sz="0" w:space="0" w:color="auto"/>
            <w:left w:val="none" w:sz="0" w:space="0" w:color="auto"/>
            <w:bottom w:val="none" w:sz="0" w:space="0" w:color="auto"/>
            <w:right w:val="none" w:sz="0" w:space="0" w:color="auto"/>
          </w:divBdr>
          <w:divsChild>
            <w:div w:id="1178883944">
              <w:marLeft w:val="0"/>
              <w:marRight w:val="0"/>
              <w:marTop w:val="0"/>
              <w:marBottom w:val="0"/>
              <w:divBdr>
                <w:top w:val="none" w:sz="0" w:space="0" w:color="auto"/>
                <w:left w:val="none" w:sz="0" w:space="0" w:color="auto"/>
                <w:bottom w:val="none" w:sz="0" w:space="0" w:color="auto"/>
                <w:right w:val="none" w:sz="0" w:space="0" w:color="auto"/>
              </w:divBdr>
              <w:divsChild>
                <w:div w:id="644314849">
                  <w:marLeft w:val="0"/>
                  <w:marRight w:val="0"/>
                  <w:marTop w:val="0"/>
                  <w:marBottom w:val="0"/>
                  <w:divBdr>
                    <w:top w:val="none" w:sz="0" w:space="0" w:color="auto"/>
                    <w:left w:val="none" w:sz="0" w:space="0" w:color="auto"/>
                    <w:bottom w:val="none" w:sz="0" w:space="0" w:color="auto"/>
                    <w:right w:val="none" w:sz="0" w:space="0" w:color="auto"/>
                  </w:divBdr>
                  <w:divsChild>
                    <w:div w:id="782192645">
                      <w:marLeft w:val="0"/>
                      <w:marRight w:val="0"/>
                      <w:marTop w:val="0"/>
                      <w:marBottom w:val="0"/>
                      <w:divBdr>
                        <w:top w:val="none" w:sz="0" w:space="0" w:color="auto"/>
                        <w:left w:val="none" w:sz="0" w:space="0" w:color="auto"/>
                        <w:bottom w:val="none" w:sz="0" w:space="0" w:color="auto"/>
                        <w:right w:val="none" w:sz="0" w:space="0" w:color="auto"/>
                      </w:divBdr>
                      <w:divsChild>
                        <w:div w:id="1083603437">
                          <w:marLeft w:val="0"/>
                          <w:marRight w:val="0"/>
                          <w:marTop w:val="0"/>
                          <w:marBottom w:val="0"/>
                          <w:divBdr>
                            <w:top w:val="none" w:sz="0" w:space="0" w:color="auto"/>
                            <w:left w:val="none" w:sz="0" w:space="0" w:color="auto"/>
                            <w:bottom w:val="none" w:sz="0" w:space="0" w:color="auto"/>
                            <w:right w:val="none" w:sz="0" w:space="0" w:color="auto"/>
                          </w:divBdr>
                        </w:div>
                      </w:divsChild>
                    </w:div>
                    <w:div w:id="20174893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96373885">
      <w:bodyDiv w:val="1"/>
      <w:marLeft w:val="0"/>
      <w:marRight w:val="0"/>
      <w:marTop w:val="0"/>
      <w:marBottom w:val="0"/>
      <w:divBdr>
        <w:top w:val="none" w:sz="0" w:space="0" w:color="auto"/>
        <w:left w:val="none" w:sz="0" w:space="0" w:color="auto"/>
        <w:bottom w:val="none" w:sz="0" w:space="0" w:color="auto"/>
        <w:right w:val="none" w:sz="0" w:space="0" w:color="auto"/>
      </w:divBdr>
      <w:divsChild>
        <w:div w:id="249580089">
          <w:marLeft w:val="0"/>
          <w:marRight w:val="0"/>
          <w:marTop w:val="0"/>
          <w:marBottom w:val="0"/>
          <w:divBdr>
            <w:top w:val="none" w:sz="0" w:space="0" w:color="auto"/>
            <w:left w:val="none" w:sz="0" w:space="0" w:color="auto"/>
            <w:bottom w:val="none" w:sz="0" w:space="0" w:color="auto"/>
            <w:right w:val="none" w:sz="0" w:space="0" w:color="auto"/>
          </w:divBdr>
        </w:div>
        <w:div w:id="1759475664">
          <w:marLeft w:val="0"/>
          <w:marRight w:val="0"/>
          <w:marTop w:val="0"/>
          <w:marBottom w:val="0"/>
          <w:divBdr>
            <w:top w:val="none" w:sz="0" w:space="0" w:color="auto"/>
            <w:left w:val="none" w:sz="0" w:space="0" w:color="auto"/>
            <w:bottom w:val="none" w:sz="0" w:space="0" w:color="auto"/>
            <w:right w:val="none" w:sz="0" w:space="0" w:color="auto"/>
          </w:divBdr>
        </w:div>
      </w:divsChild>
    </w:div>
    <w:div w:id="297490431">
      <w:bodyDiv w:val="1"/>
      <w:marLeft w:val="0"/>
      <w:marRight w:val="0"/>
      <w:marTop w:val="0"/>
      <w:marBottom w:val="0"/>
      <w:divBdr>
        <w:top w:val="none" w:sz="0" w:space="0" w:color="auto"/>
        <w:left w:val="none" w:sz="0" w:space="0" w:color="auto"/>
        <w:bottom w:val="none" w:sz="0" w:space="0" w:color="auto"/>
        <w:right w:val="none" w:sz="0" w:space="0" w:color="auto"/>
      </w:divBdr>
      <w:divsChild>
        <w:div w:id="303584562">
          <w:marLeft w:val="0"/>
          <w:marRight w:val="0"/>
          <w:marTop w:val="0"/>
          <w:marBottom w:val="0"/>
          <w:divBdr>
            <w:top w:val="none" w:sz="0" w:space="0" w:color="auto"/>
            <w:left w:val="none" w:sz="0" w:space="0" w:color="auto"/>
            <w:bottom w:val="none" w:sz="0" w:space="0" w:color="auto"/>
            <w:right w:val="none" w:sz="0" w:space="0" w:color="auto"/>
          </w:divBdr>
        </w:div>
        <w:div w:id="591934426">
          <w:marLeft w:val="0"/>
          <w:marRight w:val="0"/>
          <w:marTop w:val="0"/>
          <w:marBottom w:val="0"/>
          <w:divBdr>
            <w:top w:val="none" w:sz="0" w:space="0" w:color="auto"/>
            <w:left w:val="none" w:sz="0" w:space="0" w:color="auto"/>
            <w:bottom w:val="none" w:sz="0" w:space="0" w:color="auto"/>
            <w:right w:val="none" w:sz="0" w:space="0" w:color="auto"/>
          </w:divBdr>
        </w:div>
        <w:div w:id="935868931">
          <w:marLeft w:val="0"/>
          <w:marRight w:val="0"/>
          <w:marTop w:val="0"/>
          <w:marBottom w:val="0"/>
          <w:divBdr>
            <w:top w:val="none" w:sz="0" w:space="0" w:color="auto"/>
            <w:left w:val="none" w:sz="0" w:space="0" w:color="auto"/>
            <w:bottom w:val="none" w:sz="0" w:space="0" w:color="auto"/>
            <w:right w:val="none" w:sz="0" w:space="0" w:color="auto"/>
          </w:divBdr>
        </w:div>
      </w:divsChild>
    </w:div>
    <w:div w:id="298848186">
      <w:bodyDiv w:val="1"/>
      <w:marLeft w:val="0"/>
      <w:marRight w:val="0"/>
      <w:marTop w:val="0"/>
      <w:marBottom w:val="0"/>
      <w:divBdr>
        <w:top w:val="none" w:sz="0" w:space="0" w:color="auto"/>
        <w:left w:val="none" w:sz="0" w:space="0" w:color="auto"/>
        <w:bottom w:val="none" w:sz="0" w:space="0" w:color="auto"/>
        <w:right w:val="none" w:sz="0" w:space="0" w:color="auto"/>
      </w:divBdr>
      <w:divsChild>
        <w:div w:id="1359820090">
          <w:marLeft w:val="0"/>
          <w:marRight w:val="0"/>
          <w:marTop w:val="0"/>
          <w:marBottom w:val="0"/>
          <w:divBdr>
            <w:top w:val="none" w:sz="0" w:space="0" w:color="auto"/>
            <w:left w:val="none" w:sz="0" w:space="0" w:color="auto"/>
            <w:bottom w:val="none" w:sz="0" w:space="0" w:color="auto"/>
            <w:right w:val="none" w:sz="0" w:space="0" w:color="auto"/>
          </w:divBdr>
          <w:divsChild>
            <w:div w:id="1024984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0499118">
      <w:bodyDiv w:val="1"/>
      <w:marLeft w:val="0"/>
      <w:marRight w:val="0"/>
      <w:marTop w:val="0"/>
      <w:marBottom w:val="0"/>
      <w:divBdr>
        <w:top w:val="none" w:sz="0" w:space="0" w:color="auto"/>
        <w:left w:val="none" w:sz="0" w:space="0" w:color="auto"/>
        <w:bottom w:val="none" w:sz="0" w:space="0" w:color="auto"/>
        <w:right w:val="none" w:sz="0" w:space="0" w:color="auto"/>
      </w:divBdr>
    </w:div>
    <w:div w:id="301694944">
      <w:bodyDiv w:val="1"/>
      <w:marLeft w:val="0"/>
      <w:marRight w:val="0"/>
      <w:marTop w:val="0"/>
      <w:marBottom w:val="0"/>
      <w:divBdr>
        <w:top w:val="none" w:sz="0" w:space="0" w:color="auto"/>
        <w:left w:val="none" w:sz="0" w:space="0" w:color="auto"/>
        <w:bottom w:val="none" w:sz="0" w:space="0" w:color="auto"/>
        <w:right w:val="none" w:sz="0" w:space="0" w:color="auto"/>
      </w:divBdr>
    </w:div>
    <w:div w:id="305163864">
      <w:bodyDiv w:val="1"/>
      <w:marLeft w:val="0"/>
      <w:marRight w:val="0"/>
      <w:marTop w:val="0"/>
      <w:marBottom w:val="0"/>
      <w:divBdr>
        <w:top w:val="none" w:sz="0" w:space="0" w:color="auto"/>
        <w:left w:val="none" w:sz="0" w:space="0" w:color="auto"/>
        <w:bottom w:val="none" w:sz="0" w:space="0" w:color="auto"/>
        <w:right w:val="none" w:sz="0" w:space="0" w:color="auto"/>
      </w:divBdr>
    </w:div>
    <w:div w:id="305285931">
      <w:bodyDiv w:val="1"/>
      <w:marLeft w:val="0"/>
      <w:marRight w:val="0"/>
      <w:marTop w:val="0"/>
      <w:marBottom w:val="0"/>
      <w:divBdr>
        <w:top w:val="none" w:sz="0" w:space="0" w:color="auto"/>
        <w:left w:val="none" w:sz="0" w:space="0" w:color="auto"/>
        <w:bottom w:val="none" w:sz="0" w:space="0" w:color="auto"/>
        <w:right w:val="none" w:sz="0" w:space="0" w:color="auto"/>
      </w:divBdr>
      <w:divsChild>
        <w:div w:id="373122736">
          <w:marLeft w:val="0"/>
          <w:marRight w:val="0"/>
          <w:marTop w:val="0"/>
          <w:marBottom w:val="0"/>
          <w:divBdr>
            <w:top w:val="none" w:sz="0" w:space="0" w:color="auto"/>
            <w:left w:val="none" w:sz="0" w:space="0" w:color="auto"/>
            <w:bottom w:val="none" w:sz="0" w:space="0" w:color="auto"/>
            <w:right w:val="none" w:sz="0" w:space="0" w:color="auto"/>
          </w:divBdr>
        </w:div>
        <w:div w:id="374619826">
          <w:marLeft w:val="0"/>
          <w:marRight w:val="0"/>
          <w:marTop w:val="0"/>
          <w:marBottom w:val="0"/>
          <w:divBdr>
            <w:top w:val="none" w:sz="0" w:space="0" w:color="auto"/>
            <w:left w:val="none" w:sz="0" w:space="0" w:color="auto"/>
            <w:bottom w:val="none" w:sz="0" w:space="0" w:color="auto"/>
            <w:right w:val="none" w:sz="0" w:space="0" w:color="auto"/>
          </w:divBdr>
        </w:div>
        <w:div w:id="1486046319">
          <w:marLeft w:val="0"/>
          <w:marRight w:val="0"/>
          <w:marTop w:val="0"/>
          <w:marBottom w:val="0"/>
          <w:divBdr>
            <w:top w:val="none" w:sz="0" w:space="0" w:color="auto"/>
            <w:left w:val="none" w:sz="0" w:space="0" w:color="auto"/>
            <w:bottom w:val="none" w:sz="0" w:space="0" w:color="auto"/>
            <w:right w:val="none" w:sz="0" w:space="0" w:color="auto"/>
          </w:divBdr>
        </w:div>
        <w:div w:id="1794054466">
          <w:marLeft w:val="0"/>
          <w:marRight w:val="0"/>
          <w:marTop w:val="0"/>
          <w:marBottom w:val="0"/>
          <w:divBdr>
            <w:top w:val="none" w:sz="0" w:space="0" w:color="auto"/>
            <w:left w:val="none" w:sz="0" w:space="0" w:color="auto"/>
            <w:bottom w:val="none" w:sz="0" w:space="0" w:color="auto"/>
            <w:right w:val="none" w:sz="0" w:space="0" w:color="auto"/>
          </w:divBdr>
        </w:div>
      </w:divsChild>
    </w:div>
    <w:div w:id="305361408">
      <w:bodyDiv w:val="1"/>
      <w:marLeft w:val="0"/>
      <w:marRight w:val="0"/>
      <w:marTop w:val="0"/>
      <w:marBottom w:val="0"/>
      <w:divBdr>
        <w:top w:val="none" w:sz="0" w:space="0" w:color="auto"/>
        <w:left w:val="none" w:sz="0" w:space="0" w:color="auto"/>
        <w:bottom w:val="none" w:sz="0" w:space="0" w:color="auto"/>
        <w:right w:val="none" w:sz="0" w:space="0" w:color="auto"/>
      </w:divBdr>
    </w:div>
    <w:div w:id="309022889">
      <w:bodyDiv w:val="1"/>
      <w:marLeft w:val="0"/>
      <w:marRight w:val="0"/>
      <w:marTop w:val="0"/>
      <w:marBottom w:val="0"/>
      <w:divBdr>
        <w:top w:val="none" w:sz="0" w:space="0" w:color="auto"/>
        <w:left w:val="none" w:sz="0" w:space="0" w:color="auto"/>
        <w:bottom w:val="none" w:sz="0" w:space="0" w:color="auto"/>
        <w:right w:val="none" w:sz="0" w:space="0" w:color="auto"/>
      </w:divBdr>
    </w:div>
    <w:div w:id="313070804">
      <w:bodyDiv w:val="1"/>
      <w:marLeft w:val="0"/>
      <w:marRight w:val="0"/>
      <w:marTop w:val="0"/>
      <w:marBottom w:val="0"/>
      <w:divBdr>
        <w:top w:val="none" w:sz="0" w:space="0" w:color="auto"/>
        <w:left w:val="none" w:sz="0" w:space="0" w:color="auto"/>
        <w:bottom w:val="none" w:sz="0" w:space="0" w:color="auto"/>
        <w:right w:val="none" w:sz="0" w:space="0" w:color="auto"/>
      </w:divBdr>
      <w:divsChild>
        <w:div w:id="59910704">
          <w:marLeft w:val="0"/>
          <w:marRight w:val="0"/>
          <w:marTop w:val="0"/>
          <w:marBottom w:val="0"/>
          <w:divBdr>
            <w:top w:val="none" w:sz="0" w:space="0" w:color="auto"/>
            <w:left w:val="none" w:sz="0" w:space="0" w:color="auto"/>
            <w:bottom w:val="none" w:sz="0" w:space="0" w:color="auto"/>
            <w:right w:val="none" w:sz="0" w:space="0" w:color="auto"/>
          </w:divBdr>
        </w:div>
        <w:div w:id="116873602">
          <w:marLeft w:val="0"/>
          <w:marRight w:val="0"/>
          <w:marTop w:val="0"/>
          <w:marBottom w:val="0"/>
          <w:divBdr>
            <w:top w:val="none" w:sz="0" w:space="0" w:color="auto"/>
            <w:left w:val="none" w:sz="0" w:space="0" w:color="auto"/>
            <w:bottom w:val="none" w:sz="0" w:space="0" w:color="auto"/>
            <w:right w:val="none" w:sz="0" w:space="0" w:color="auto"/>
          </w:divBdr>
        </w:div>
        <w:div w:id="1475104790">
          <w:marLeft w:val="0"/>
          <w:marRight w:val="0"/>
          <w:marTop w:val="0"/>
          <w:marBottom w:val="0"/>
          <w:divBdr>
            <w:top w:val="none" w:sz="0" w:space="0" w:color="auto"/>
            <w:left w:val="none" w:sz="0" w:space="0" w:color="auto"/>
            <w:bottom w:val="none" w:sz="0" w:space="0" w:color="auto"/>
            <w:right w:val="none" w:sz="0" w:space="0" w:color="auto"/>
          </w:divBdr>
        </w:div>
      </w:divsChild>
    </w:div>
    <w:div w:id="315768409">
      <w:bodyDiv w:val="1"/>
      <w:marLeft w:val="0"/>
      <w:marRight w:val="0"/>
      <w:marTop w:val="0"/>
      <w:marBottom w:val="0"/>
      <w:divBdr>
        <w:top w:val="none" w:sz="0" w:space="0" w:color="auto"/>
        <w:left w:val="none" w:sz="0" w:space="0" w:color="auto"/>
        <w:bottom w:val="none" w:sz="0" w:space="0" w:color="auto"/>
        <w:right w:val="none" w:sz="0" w:space="0" w:color="auto"/>
      </w:divBdr>
      <w:divsChild>
        <w:div w:id="117376458">
          <w:marLeft w:val="0"/>
          <w:marRight w:val="0"/>
          <w:marTop w:val="0"/>
          <w:marBottom w:val="0"/>
          <w:divBdr>
            <w:top w:val="none" w:sz="0" w:space="0" w:color="auto"/>
            <w:left w:val="none" w:sz="0" w:space="0" w:color="auto"/>
            <w:bottom w:val="none" w:sz="0" w:space="0" w:color="auto"/>
            <w:right w:val="none" w:sz="0" w:space="0" w:color="auto"/>
          </w:divBdr>
        </w:div>
        <w:div w:id="711464434">
          <w:marLeft w:val="0"/>
          <w:marRight w:val="0"/>
          <w:marTop w:val="0"/>
          <w:marBottom w:val="0"/>
          <w:divBdr>
            <w:top w:val="none" w:sz="0" w:space="0" w:color="auto"/>
            <w:left w:val="none" w:sz="0" w:space="0" w:color="auto"/>
            <w:bottom w:val="none" w:sz="0" w:space="0" w:color="auto"/>
            <w:right w:val="none" w:sz="0" w:space="0" w:color="auto"/>
          </w:divBdr>
        </w:div>
        <w:div w:id="866716092">
          <w:marLeft w:val="0"/>
          <w:marRight w:val="0"/>
          <w:marTop w:val="0"/>
          <w:marBottom w:val="0"/>
          <w:divBdr>
            <w:top w:val="none" w:sz="0" w:space="0" w:color="auto"/>
            <w:left w:val="none" w:sz="0" w:space="0" w:color="auto"/>
            <w:bottom w:val="none" w:sz="0" w:space="0" w:color="auto"/>
            <w:right w:val="none" w:sz="0" w:space="0" w:color="auto"/>
          </w:divBdr>
        </w:div>
        <w:div w:id="1007750788">
          <w:marLeft w:val="0"/>
          <w:marRight w:val="0"/>
          <w:marTop w:val="0"/>
          <w:marBottom w:val="0"/>
          <w:divBdr>
            <w:top w:val="none" w:sz="0" w:space="0" w:color="auto"/>
            <w:left w:val="none" w:sz="0" w:space="0" w:color="auto"/>
            <w:bottom w:val="none" w:sz="0" w:space="0" w:color="auto"/>
            <w:right w:val="none" w:sz="0" w:space="0" w:color="auto"/>
          </w:divBdr>
        </w:div>
        <w:div w:id="1123111194">
          <w:marLeft w:val="0"/>
          <w:marRight w:val="0"/>
          <w:marTop w:val="0"/>
          <w:marBottom w:val="0"/>
          <w:divBdr>
            <w:top w:val="none" w:sz="0" w:space="0" w:color="auto"/>
            <w:left w:val="none" w:sz="0" w:space="0" w:color="auto"/>
            <w:bottom w:val="none" w:sz="0" w:space="0" w:color="auto"/>
            <w:right w:val="none" w:sz="0" w:space="0" w:color="auto"/>
          </w:divBdr>
        </w:div>
        <w:div w:id="1359157992">
          <w:marLeft w:val="0"/>
          <w:marRight w:val="0"/>
          <w:marTop w:val="0"/>
          <w:marBottom w:val="0"/>
          <w:divBdr>
            <w:top w:val="none" w:sz="0" w:space="0" w:color="auto"/>
            <w:left w:val="none" w:sz="0" w:space="0" w:color="auto"/>
            <w:bottom w:val="none" w:sz="0" w:space="0" w:color="auto"/>
            <w:right w:val="none" w:sz="0" w:space="0" w:color="auto"/>
          </w:divBdr>
        </w:div>
        <w:div w:id="1609845874">
          <w:marLeft w:val="0"/>
          <w:marRight w:val="0"/>
          <w:marTop w:val="0"/>
          <w:marBottom w:val="0"/>
          <w:divBdr>
            <w:top w:val="none" w:sz="0" w:space="0" w:color="auto"/>
            <w:left w:val="none" w:sz="0" w:space="0" w:color="auto"/>
            <w:bottom w:val="none" w:sz="0" w:space="0" w:color="auto"/>
            <w:right w:val="none" w:sz="0" w:space="0" w:color="auto"/>
          </w:divBdr>
        </w:div>
        <w:div w:id="1636720195">
          <w:marLeft w:val="0"/>
          <w:marRight w:val="0"/>
          <w:marTop w:val="0"/>
          <w:marBottom w:val="0"/>
          <w:divBdr>
            <w:top w:val="none" w:sz="0" w:space="0" w:color="auto"/>
            <w:left w:val="none" w:sz="0" w:space="0" w:color="auto"/>
            <w:bottom w:val="none" w:sz="0" w:space="0" w:color="auto"/>
            <w:right w:val="none" w:sz="0" w:space="0" w:color="auto"/>
          </w:divBdr>
        </w:div>
        <w:div w:id="1821116215">
          <w:marLeft w:val="0"/>
          <w:marRight w:val="0"/>
          <w:marTop w:val="0"/>
          <w:marBottom w:val="0"/>
          <w:divBdr>
            <w:top w:val="none" w:sz="0" w:space="0" w:color="auto"/>
            <w:left w:val="none" w:sz="0" w:space="0" w:color="auto"/>
            <w:bottom w:val="none" w:sz="0" w:space="0" w:color="auto"/>
            <w:right w:val="none" w:sz="0" w:space="0" w:color="auto"/>
          </w:divBdr>
        </w:div>
        <w:div w:id="1902055626">
          <w:marLeft w:val="0"/>
          <w:marRight w:val="0"/>
          <w:marTop w:val="0"/>
          <w:marBottom w:val="0"/>
          <w:divBdr>
            <w:top w:val="none" w:sz="0" w:space="0" w:color="auto"/>
            <w:left w:val="none" w:sz="0" w:space="0" w:color="auto"/>
            <w:bottom w:val="none" w:sz="0" w:space="0" w:color="auto"/>
            <w:right w:val="none" w:sz="0" w:space="0" w:color="auto"/>
          </w:divBdr>
        </w:div>
      </w:divsChild>
    </w:div>
    <w:div w:id="319311624">
      <w:bodyDiv w:val="1"/>
      <w:marLeft w:val="0"/>
      <w:marRight w:val="0"/>
      <w:marTop w:val="0"/>
      <w:marBottom w:val="0"/>
      <w:divBdr>
        <w:top w:val="none" w:sz="0" w:space="0" w:color="auto"/>
        <w:left w:val="none" w:sz="0" w:space="0" w:color="auto"/>
        <w:bottom w:val="none" w:sz="0" w:space="0" w:color="auto"/>
        <w:right w:val="none" w:sz="0" w:space="0" w:color="auto"/>
      </w:divBdr>
    </w:div>
    <w:div w:id="321009507">
      <w:bodyDiv w:val="1"/>
      <w:marLeft w:val="0"/>
      <w:marRight w:val="0"/>
      <w:marTop w:val="0"/>
      <w:marBottom w:val="0"/>
      <w:divBdr>
        <w:top w:val="none" w:sz="0" w:space="0" w:color="auto"/>
        <w:left w:val="none" w:sz="0" w:space="0" w:color="auto"/>
        <w:bottom w:val="none" w:sz="0" w:space="0" w:color="auto"/>
        <w:right w:val="none" w:sz="0" w:space="0" w:color="auto"/>
      </w:divBdr>
      <w:divsChild>
        <w:div w:id="142308447">
          <w:marLeft w:val="0"/>
          <w:marRight w:val="0"/>
          <w:marTop w:val="0"/>
          <w:marBottom w:val="0"/>
          <w:divBdr>
            <w:top w:val="none" w:sz="0" w:space="0" w:color="auto"/>
            <w:left w:val="none" w:sz="0" w:space="0" w:color="auto"/>
            <w:bottom w:val="none" w:sz="0" w:space="0" w:color="auto"/>
            <w:right w:val="none" w:sz="0" w:space="0" w:color="auto"/>
          </w:divBdr>
        </w:div>
        <w:div w:id="1034312771">
          <w:marLeft w:val="0"/>
          <w:marRight w:val="0"/>
          <w:marTop w:val="0"/>
          <w:marBottom w:val="0"/>
          <w:divBdr>
            <w:top w:val="none" w:sz="0" w:space="0" w:color="auto"/>
            <w:left w:val="none" w:sz="0" w:space="0" w:color="auto"/>
            <w:bottom w:val="none" w:sz="0" w:space="0" w:color="auto"/>
            <w:right w:val="none" w:sz="0" w:space="0" w:color="auto"/>
          </w:divBdr>
        </w:div>
      </w:divsChild>
    </w:div>
    <w:div w:id="321279652">
      <w:bodyDiv w:val="1"/>
      <w:marLeft w:val="0"/>
      <w:marRight w:val="0"/>
      <w:marTop w:val="0"/>
      <w:marBottom w:val="0"/>
      <w:divBdr>
        <w:top w:val="none" w:sz="0" w:space="0" w:color="auto"/>
        <w:left w:val="none" w:sz="0" w:space="0" w:color="auto"/>
        <w:bottom w:val="none" w:sz="0" w:space="0" w:color="auto"/>
        <w:right w:val="none" w:sz="0" w:space="0" w:color="auto"/>
      </w:divBdr>
      <w:divsChild>
        <w:div w:id="1244993804">
          <w:marLeft w:val="0"/>
          <w:marRight w:val="0"/>
          <w:marTop w:val="0"/>
          <w:marBottom w:val="0"/>
          <w:divBdr>
            <w:top w:val="none" w:sz="0" w:space="0" w:color="auto"/>
            <w:left w:val="none" w:sz="0" w:space="0" w:color="auto"/>
            <w:bottom w:val="none" w:sz="0" w:space="0" w:color="auto"/>
            <w:right w:val="none" w:sz="0" w:space="0" w:color="auto"/>
          </w:divBdr>
        </w:div>
        <w:div w:id="1617835656">
          <w:marLeft w:val="0"/>
          <w:marRight w:val="0"/>
          <w:marTop w:val="0"/>
          <w:marBottom w:val="0"/>
          <w:divBdr>
            <w:top w:val="none" w:sz="0" w:space="0" w:color="auto"/>
            <w:left w:val="none" w:sz="0" w:space="0" w:color="auto"/>
            <w:bottom w:val="none" w:sz="0" w:space="0" w:color="auto"/>
            <w:right w:val="none" w:sz="0" w:space="0" w:color="auto"/>
          </w:divBdr>
        </w:div>
      </w:divsChild>
    </w:div>
    <w:div w:id="322781175">
      <w:bodyDiv w:val="1"/>
      <w:marLeft w:val="0"/>
      <w:marRight w:val="0"/>
      <w:marTop w:val="0"/>
      <w:marBottom w:val="0"/>
      <w:divBdr>
        <w:top w:val="none" w:sz="0" w:space="0" w:color="auto"/>
        <w:left w:val="none" w:sz="0" w:space="0" w:color="auto"/>
        <w:bottom w:val="none" w:sz="0" w:space="0" w:color="auto"/>
        <w:right w:val="none" w:sz="0" w:space="0" w:color="auto"/>
      </w:divBdr>
    </w:div>
    <w:div w:id="328365493">
      <w:bodyDiv w:val="1"/>
      <w:marLeft w:val="0"/>
      <w:marRight w:val="0"/>
      <w:marTop w:val="0"/>
      <w:marBottom w:val="0"/>
      <w:divBdr>
        <w:top w:val="none" w:sz="0" w:space="0" w:color="auto"/>
        <w:left w:val="none" w:sz="0" w:space="0" w:color="auto"/>
        <w:bottom w:val="none" w:sz="0" w:space="0" w:color="auto"/>
        <w:right w:val="none" w:sz="0" w:space="0" w:color="auto"/>
      </w:divBdr>
      <w:divsChild>
        <w:div w:id="874075853">
          <w:marLeft w:val="0"/>
          <w:marRight w:val="0"/>
          <w:marTop w:val="0"/>
          <w:marBottom w:val="0"/>
          <w:divBdr>
            <w:top w:val="none" w:sz="0" w:space="0" w:color="auto"/>
            <w:left w:val="none" w:sz="0" w:space="0" w:color="auto"/>
            <w:bottom w:val="none" w:sz="0" w:space="0" w:color="auto"/>
            <w:right w:val="none" w:sz="0" w:space="0" w:color="auto"/>
          </w:divBdr>
        </w:div>
        <w:div w:id="1639603815">
          <w:marLeft w:val="0"/>
          <w:marRight w:val="0"/>
          <w:marTop w:val="0"/>
          <w:marBottom w:val="0"/>
          <w:divBdr>
            <w:top w:val="none" w:sz="0" w:space="0" w:color="auto"/>
            <w:left w:val="none" w:sz="0" w:space="0" w:color="auto"/>
            <w:bottom w:val="none" w:sz="0" w:space="0" w:color="auto"/>
            <w:right w:val="none" w:sz="0" w:space="0" w:color="auto"/>
          </w:divBdr>
        </w:div>
      </w:divsChild>
    </w:div>
    <w:div w:id="329916150">
      <w:bodyDiv w:val="1"/>
      <w:marLeft w:val="0"/>
      <w:marRight w:val="0"/>
      <w:marTop w:val="0"/>
      <w:marBottom w:val="0"/>
      <w:divBdr>
        <w:top w:val="none" w:sz="0" w:space="0" w:color="auto"/>
        <w:left w:val="none" w:sz="0" w:space="0" w:color="auto"/>
        <w:bottom w:val="none" w:sz="0" w:space="0" w:color="auto"/>
        <w:right w:val="none" w:sz="0" w:space="0" w:color="auto"/>
      </w:divBdr>
      <w:divsChild>
        <w:div w:id="601492013">
          <w:marLeft w:val="0"/>
          <w:marRight w:val="0"/>
          <w:marTop w:val="0"/>
          <w:marBottom w:val="0"/>
          <w:divBdr>
            <w:top w:val="none" w:sz="0" w:space="0" w:color="auto"/>
            <w:left w:val="none" w:sz="0" w:space="0" w:color="auto"/>
            <w:bottom w:val="none" w:sz="0" w:space="0" w:color="auto"/>
            <w:right w:val="none" w:sz="0" w:space="0" w:color="auto"/>
          </w:divBdr>
        </w:div>
        <w:div w:id="1947271389">
          <w:marLeft w:val="0"/>
          <w:marRight w:val="0"/>
          <w:marTop w:val="0"/>
          <w:marBottom w:val="0"/>
          <w:divBdr>
            <w:top w:val="none" w:sz="0" w:space="0" w:color="auto"/>
            <w:left w:val="none" w:sz="0" w:space="0" w:color="auto"/>
            <w:bottom w:val="none" w:sz="0" w:space="0" w:color="auto"/>
            <w:right w:val="none" w:sz="0" w:space="0" w:color="auto"/>
          </w:divBdr>
        </w:div>
      </w:divsChild>
    </w:div>
    <w:div w:id="332298899">
      <w:bodyDiv w:val="1"/>
      <w:marLeft w:val="0"/>
      <w:marRight w:val="0"/>
      <w:marTop w:val="0"/>
      <w:marBottom w:val="0"/>
      <w:divBdr>
        <w:top w:val="none" w:sz="0" w:space="0" w:color="auto"/>
        <w:left w:val="none" w:sz="0" w:space="0" w:color="auto"/>
        <w:bottom w:val="none" w:sz="0" w:space="0" w:color="auto"/>
        <w:right w:val="none" w:sz="0" w:space="0" w:color="auto"/>
      </w:divBdr>
    </w:div>
    <w:div w:id="335766949">
      <w:bodyDiv w:val="1"/>
      <w:marLeft w:val="0"/>
      <w:marRight w:val="0"/>
      <w:marTop w:val="0"/>
      <w:marBottom w:val="0"/>
      <w:divBdr>
        <w:top w:val="none" w:sz="0" w:space="0" w:color="auto"/>
        <w:left w:val="none" w:sz="0" w:space="0" w:color="auto"/>
        <w:bottom w:val="none" w:sz="0" w:space="0" w:color="auto"/>
        <w:right w:val="none" w:sz="0" w:space="0" w:color="auto"/>
      </w:divBdr>
    </w:div>
    <w:div w:id="335808852">
      <w:bodyDiv w:val="1"/>
      <w:marLeft w:val="0"/>
      <w:marRight w:val="0"/>
      <w:marTop w:val="0"/>
      <w:marBottom w:val="0"/>
      <w:divBdr>
        <w:top w:val="none" w:sz="0" w:space="0" w:color="auto"/>
        <w:left w:val="none" w:sz="0" w:space="0" w:color="auto"/>
        <w:bottom w:val="none" w:sz="0" w:space="0" w:color="auto"/>
        <w:right w:val="none" w:sz="0" w:space="0" w:color="auto"/>
      </w:divBdr>
    </w:div>
    <w:div w:id="336616659">
      <w:bodyDiv w:val="1"/>
      <w:marLeft w:val="0"/>
      <w:marRight w:val="0"/>
      <w:marTop w:val="0"/>
      <w:marBottom w:val="0"/>
      <w:divBdr>
        <w:top w:val="none" w:sz="0" w:space="0" w:color="auto"/>
        <w:left w:val="none" w:sz="0" w:space="0" w:color="auto"/>
        <w:bottom w:val="none" w:sz="0" w:space="0" w:color="auto"/>
        <w:right w:val="none" w:sz="0" w:space="0" w:color="auto"/>
      </w:divBdr>
      <w:divsChild>
        <w:div w:id="499319437">
          <w:marLeft w:val="0"/>
          <w:marRight w:val="0"/>
          <w:marTop w:val="0"/>
          <w:marBottom w:val="0"/>
          <w:divBdr>
            <w:top w:val="none" w:sz="0" w:space="0" w:color="auto"/>
            <w:left w:val="none" w:sz="0" w:space="0" w:color="auto"/>
            <w:bottom w:val="none" w:sz="0" w:space="0" w:color="auto"/>
            <w:right w:val="none" w:sz="0" w:space="0" w:color="auto"/>
          </w:divBdr>
        </w:div>
        <w:div w:id="1857576370">
          <w:marLeft w:val="0"/>
          <w:marRight w:val="0"/>
          <w:marTop w:val="0"/>
          <w:marBottom w:val="0"/>
          <w:divBdr>
            <w:top w:val="none" w:sz="0" w:space="0" w:color="auto"/>
            <w:left w:val="none" w:sz="0" w:space="0" w:color="auto"/>
            <w:bottom w:val="none" w:sz="0" w:space="0" w:color="auto"/>
            <w:right w:val="none" w:sz="0" w:space="0" w:color="auto"/>
          </w:divBdr>
        </w:div>
      </w:divsChild>
    </w:div>
    <w:div w:id="338311643">
      <w:bodyDiv w:val="1"/>
      <w:marLeft w:val="0"/>
      <w:marRight w:val="0"/>
      <w:marTop w:val="0"/>
      <w:marBottom w:val="0"/>
      <w:divBdr>
        <w:top w:val="none" w:sz="0" w:space="0" w:color="auto"/>
        <w:left w:val="none" w:sz="0" w:space="0" w:color="auto"/>
        <w:bottom w:val="none" w:sz="0" w:space="0" w:color="auto"/>
        <w:right w:val="none" w:sz="0" w:space="0" w:color="auto"/>
      </w:divBdr>
    </w:div>
    <w:div w:id="338428375">
      <w:bodyDiv w:val="1"/>
      <w:marLeft w:val="0"/>
      <w:marRight w:val="0"/>
      <w:marTop w:val="0"/>
      <w:marBottom w:val="0"/>
      <w:divBdr>
        <w:top w:val="none" w:sz="0" w:space="0" w:color="auto"/>
        <w:left w:val="none" w:sz="0" w:space="0" w:color="auto"/>
        <w:bottom w:val="none" w:sz="0" w:space="0" w:color="auto"/>
        <w:right w:val="none" w:sz="0" w:space="0" w:color="auto"/>
      </w:divBdr>
    </w:div>
    <w:div w:id="338429311">
      <w:bodyDiv w:val="1"/>
      <w:marLeft w:val="0"/>
      <w:marRight w:val="0"/>
      <w:marTop w:val="0"/>
      <w:marBottom w:val="0"/>
      <w:divBdr>
        <w:top w:val="none" w:sz="0" w:space="0" w:color="auto"/>
        <w:left w:val="none" w:sz="0" w:space="0" w:color="auto"/>
        <w:bottom w:val="none" w:sz="0" w:space="0" w:color="auto"/>
        <w:right w:val="none" w:sz="0" w:space="0" w:color="auto"/>
      </w:divBdr>
    </w:div>
    <w:div w:id="339506561">
      <w:bodyDiv w:val="1"/>
      <w:marLeft w:val="0"/>
      <w:marRight w:val="0"/>
      <w:marTop w:val="0"/>
      <w:marBottom w:val="0"/>
      <w:divBdr>
        <w:top w:val="none" w:sz="0" w:space="0" w:color="auto"/>
        <w:left w:val="none" w:sz="0" w:space="0" w:color="auto"/>
        <w:bottom w:val="none" w:sz="0" w:space="0" w:color="auto"/>
        <w:right w:val="none" w:sz="0" w:space="0" w:color="auto"/>
      </w:divBdr>
    </w:div>
    <w:div w:id="342898384">
      <w:bodyDiv w:val="1"/>
      <w:marLeft w:val="0"/>
      <w:marRight w:val="0"/>
      <w:marTop w:val="0"/>
      <w:marBottom w:val="0"/>
      <w:divBdr>
        <w:top w:val="none" w:sz="0" w:space="0" w:color="auto"/>
        <w:left w:val="none" w:sz="0" w:space="0" w:color="auto"/>
        <w:bottom w:val="none" w:sz="0" w:space="0" w:color="auto"/>
        <w:right w:val="none" w:sz="0" w:space="0" w:color="auto"/>
      </w:divBdr>
    </w:div>
    <w:div w:id="344863783">
      <w:bodyDiv w:val="1"/>
      <w:marLeft w:val="0"/>
      <w:marRight w:val="0"/>
      <w:marTop w:val="0"/>
      <w:marBottom w:val="0"/>
      <w:divBdr>
        <w:top w:val="none" w:sz="0" w:space="0" w:color="auto"/>
        <w:left w:val="none" w:sz="0" w:space="0" w:color="auto"/>
        <w:bottom w:val="none" w:sz="0" w:space="0" w:color="auto"/>
        <w:right w:val="none" w:sz="0" w:space="0" w:color="auto"/>
      </w:divBdr>
    </w:div>
    <w:div w:id="346371668">
      <w:bodyDiv w:val="1"/>
      <w:marLeft w:val="0"/>
      <w:marRight w:val="0"/>
      <w:marTop w:val="0"/>
      <w:marBottom w:val="0"/>
      <w:divBdr>
        <w:top w:val="none" w:sz="0" w:space="0" w:color="auto"/>
        <w:left w:val="none" w:sz="0" w:space="0" w:color="auto"/>
        <w:bottom w:val="none" w:sz="0" w:space="0" w:color="auto"/>
        <w:right w:val="none" w:sz="0" w:space="0" w:color="auto"/>
      </w:divBdr>
    </w:div>
    <w:div w:id="355085127">
      <w:bodyDiv w:val="1"/>
      <w:marLeft w:val="0"/>
      <w:marRight w:val="0"/>
      <w:marTop w:val="0"/>
      <w:marBottom w:val="0"/>
      <w:divBdr>
        <w:top w:val="none" w:sz="0" w:space="0" w:color="auto"/>
        <w:left w:val="none" w:sz="0" w:space="0" w:color="auto"/>
        <w:bottom w:val="none" w:sz="0" w:space="0" w:color="auto"/>
        <w:right w:val="none" w:sz="0" w:space="0" w:color="auto"/>
      </w:divBdr>
    </w:div>
    <w:div w:id="356078746">
      <w:bodyDiv w:val="1"/>
      <w:marLeft w:val="0"/>
      <w:marRight w:val="0"/>
      <w:marTop w:val="0"/>
      <w:marBottom w:val="0"/>
      <w:divBdr>
        <w:top w:val="none" w:sz="0" w:space="0" w:color="auto"/>
        <w:left w:val="none" w:sz="0" w:space="0" w:color="auto"/>
        <w:bottom w:val="none" w:sz="0" w:space="0" w:color="auto"/>
        <w:right w:val="none" w:sz="0" w:space="0" w:color="auto"/>
      </w:divBdr>
      <w:divsChild>
        <w:div w:id="297498826">
          <w:marLeft w:val="0"/>
          <w:marRight w:val="0"/>
          <w:marTop w:val="0"/>
          <w:marBottom w:val="0"/>
          <w:divBdr>
            <w:top w:val="none" w:sz="0" w:space="0" w:color="auto"/>
            <w:left w:val="none" w:sz="0" w:space="0" w:color="auto"/>
            <w:bottom w:val="none" w:sz="0" w:space="0" w:color="auto"/>
            <w:right w:val="none" w:sz="0" w:space="0" w:color="auto"/>
          </w:divBdr>
        </w:div>
        <w:div w:id="351416150">
          <w:marLeft w:val="0"/>
          <w:marRight w:val="0"/>
          <w:marTop w:val="0"/>
          <w:marBottom w:val="0"/>
          <w:divBdr>
            <w:top w:val="none" w:sz="0" w:space="0" w:color="auto"/>
            <w:left w:val="none" w:sz="0" w:space="0" w:color="auto"/>
            <w:bottom w:val="none" w:sz="0" w:space="0" w:color="auto"/>
            <w:right w:val="none" w:sz="0" w:space="0" w:color="auto"/>
          </w:divBdr>
        </w:div>
      </w:divsChild>
    </w:div>
    <w:div w:id="358555019">
      <w:bodyDiv w:val="1"/>
      <w:marLeft w:val="0"/>
      <w:marRight w:val="0"/>
      <w:marTop w:val="0"/>
      <w:marBottom w:val="0"/>
      <w:divBdr>
        <w:top w:val="none" w:sz="0" w:space="0" w:color="auto"/>
        <w:left w:val="none" w:sz="0" w:space="0" w:color="auto"/>
        <w:bottom w:val="none" w:sz="0" w:space="0" w:color="auto"/>
        <w:right w:val="none" w:sz="0" w:space="0" w:color="auto"/>
      </w:divBdr>
      <w:divsChild>
        <w:div w:id="47191059">
          <w:marLeft w:val="0"/>
          <w:marRight w:val="0"/>
          <w:marTop w:val="0"/>
          <w:marBottom w:val="0"/>
          <w:divBdr>
            <w:top w:val="none" w:sz="0" w:space="0" w:color="auto"/>
            <w:left w:val="none" w:sz="0" w:space="0" w:color="auto"/>
            <w:bottom w:val="none" w:sz="0" w:space="0" w:color="auto"/>
            <w:right w:val="none" w:sz="0" w:space="0" w:color="auto"/>
          </w:divBdr>
        </w:div>
        <w:div w:id="482743947">
          <w:marLeft w:val="0"/>
          <w:marRight w:val="0"/>
          <w:marTop w:val="0"/>
          <w:marBottom w:val="0"/>
          <w:divBdr>
            <w:top w:val="none" w:sz="0" w:space="0" w:color="auto"/>
            <w:left w:val="none" w:sz="0" w:space="0" w:color="auto"/>
            <w:bottom w:val="none" w:sz="0" w:space="0" w:color="auto"/>
            <w:right w:val="none" w:sz="0" w:space="0" w:color="auto"/>
          </w:divBdr>
        </w:div>
        <w:div w:id="1325084883">
          <w:marLeft w:val="0"/>
          <w:marRight w:val="0"/>
          <w:marTop w:val="0"/>
          <w:marBottom w:val="0"/>
          <w:divBdr>
            <w:top w:val="none" w:sz="0" w:space="0" w:color="auto"/>
            <w:left w:val="none" w:sz="0" w:space="0" w:color="auto"/>
            <w:bottom w:val="none" w:sz="0" w:space="0" w:color="auto"/>
            <w:right w:val="none" w:sz="0" w:space="0" w:color="auto"/>
          </w:divBdr>
        </w:div>
      </w:divsChild>
    </w:div>
    <w:div w:id="359672262">
      <w:bodyDiv w:val="1"/>
      <w:marLeft w:val="0"/>
      <w:marRight w:val="0"/>
      <w:marTop w:val="0"/>
      <w:marBottom w:val="0"/>
      <w:divBdr>
        <w:top w:val="none" w:sz="0" w:space="0" w:color="auto"/>
        <w:left w:val="none" w:sz="0" w:space="0" w:color="auto"/>
        <w:bottom w:val="none" w:sz="0" w:space="0" w:color="auto"/>
        <w:right w:val="none" w:sz="0" w:space="0" w:color="auto"/>
      </w:divBdr>
      <w:divsChild>
        <w:div w:id="345250265">
          <w:marLeft w:val="0"/>
          <w:marRight w:val="0"/>
          <w:marTop w:val="0"/>
          <w:marBottom w:val="0"/>
          <w:divBdr>
            <w:top w:val="none" w:sz="0" w:space="0" w:color="auto"/>
            <w:left w:val="none" w:sz="0" w:space="0" w:color="auto"/>
            <w:bottom w:val="none" w:sz="0" w:space="0" w:color="auto"/>
            <w:right w:val="none" w:sz="0" w:space="0" w:color="auto"/>
          </w:divBdr>
          <w:divsChild>
            <w:div w:id="2107992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2563082">
      <w:bodyDiv w:val="1"/>
      <w:marLeft w:val="0"/>
      <w:marRight w:val="0"/>
      <w:marTop w:val="0"/>
      <w:marBottom w:val="0"/>
      <w:divBdr>
        <w:top w:val="none" w:sz="0" w:space="0" w:color="auto"/>
        <w:left w:val="none" w:sz="0" w:space="0" w:color="auto"/>
        <w:bottom w:val="none" w:sz="0" w:space="0" w:color="auto"/>
        <w:right w:val="none" w:sz="0" w:space="0" w:color="auto"/>
      </w:divBdr>
      <w:divsChild>
        <w:div w:id="656419817">
          <w:marLeft w:val="0"/>
          <w:marRight w:val="0"/>
          <w:marTop w:val="0"/>
          <w:marBottom w:val="0"/>
          <w:divBdr>
            <w:top w:val="none" w:sz="0" w:space="0" w:color="auto"/>
            <w:left w:val="none" w:sz="0" w:space="0" w:color="auto"/>
            <w:bottom w:val="none" w:sz="0" w:space="0" w:color="auto"/>
            <w:right w:val="none" w:sz="0" w:space="0" w:color="auto"/>
          </w:divBdr>
        </w:div>
        <w:div w:id="831288856">
          <w:marLeft w:val="0"/>
          <w:marRight w:val="0"/>
          <w:marTop w:val="0"/>
          <w:marBottom w:val="0"/>
          <w:divBdr>
            <w:top w:val="none" w:sz="0" w:space="0" w:color="auto"/>
            <w:left w:val="none" w:sz="0" w:space="0" w:color="auto"/>
            <w:bottom w:val="none" w:sz="0" w:space="0" w:color="auto"/>
            <w:right w:val="none" w:sz="0" w:space="0" w:color="auto"/>
          </w:divBdr>
        </w:div>
      </w:divsChild>
    </w:div>
    <w:div w:id="374934612">
      <w:bodyDiv w:val="1"/>
      <w:marLeft w:val="0"/>
      <w:marRight w:val="0"/>
      <w:marTop w:val="0"/>
      <w:marBottom w:val="0"/>
      <w:divBdr>
        <w:top w:val="none" w:sz="0" w:space="0" w:color="auto"/>
        <w:left w:val="none" w:sz="0" w:space="0" w:color="auto"/>
        <w:bottom w:val="none" w:sz="0" w:space="0" w:color="auto"/>
        <w:right w:val="none" w:sz="0" w:space="0" w:color="auto"/>
      </w:divBdr>
      <w:divsChild>
        <w:div w:id="639917867">
          <w:marLeft w:val="0"/>
          <w:marRight w:val="0"/>
          <w:marTop w:val="0"/>
          <w:marBottom w:val="0"/>
          <w:divBdr>
            <w:top w:val="none" w:sz="0" w:space="0" w:color="auto"/>
            <w:left w:val="none" w:sz="0" w:space="0" w:color="auto"/>
            <w:bottom w:val="none" w:sz="0" w:space="0" w:color="auto"/>
            <w:right w:val="none" w:sz="0" w:space="0" w:color="auto"/>
          </w:divBdr>
        </w:div>
        <w:div w:id="695424308">
          <w:marLeft w:val="0"/>
          <w:marRight w:val="0"/>
          <w:marTop w:val="0"/>
          <w:marBottom w:val="0"/>
          <w:divBdr>
            <w:top w:val="none" w:sz="0" w:space="0" w:color="auto"/>
            <w:left w:val="none" w:sz="0" w:space="0" w:color="auto"/>
            <w:bottom w:val="none" w:sz="0" w:space="0" w:color="auto"/>
            <w:right w:val="none" w:sz="0" w:space="0" w:color="auto"/>
          </w:divBdr>
        </w:div>
        <w:div w:id="1353067614">
          <w:marLeft w:val="0"/>
          <w:marRight w:val="0"/>
          <w:marTop w:val="0"/>
          <w:marBottom w:val="0"/>
          <w:divBdr>
            <w:top w:val="none" w:sz="0" w:space="0" w:color="auto"/>
            <w:left w:val="none" w:sz="0" w:space="0" w:color="auto"/>
            <w:bottom w:val="none" w:sz="0" w:space="0" w:color="auto"/>
            <w:right w:val="none" w:sz="0" w:space="0" w:color="auto"/>
          </w:divBdr>
        </w:div>
        <w:div w:id="1534880786">
          <w:marLeft w:val="0"/>
          <w:marRight w:val="0"/>
          <w:marTop w:val="0"/>
          <w:marBottom w:val="0"/>
          <w:divBdr>
            <w:top w:val="none" w:sz="0" w:space="0" w:color="auto"/>
            <w:left w:val="none" w:sz="0" w:space="0" w:color="auto"/>
            <w:bottom w:val="none" w:sz="0" w:space="0" w:color="auto"/>
            <w:right w:val="none" w:sz="0" w:space="0" w:color="auto"/>
          </w:divBdr>
        </w:div>
      </w:divsChild>
    </w:div>
    <w:div w:id="376198895">
      <w:bodyDiv w:val="1"/>
      <w:marLeft w:val="0"/>
      <w:marRight w:val="0"/>
      <w:marTop w:val="0"/>
      <w:marBottom w:val="0"/>
      <w:divBdr>
        <w:top w:val="none" w:sz="0" w:space="0" w:color="auto"/>
        <w:left w:val="none" w:sz="0" w:space="0" w:color="auto"/>
        <w:bottom w:val="none" w:sz="0" w:space="0" w:color="auto"/>
        <w:right w:val="none" w:sz="0" w:space="0" w:color="auto"/>
      </w:divBdr>
      <w:divsChild>
        <w:div w:id="293289247">
          <w:marLeft w:val="0"/>
          <w:marRight w:val="0"/>
          <w:marTop w:val="0"/>
          <w:marBottom w:val="0"/>
          <w:divBdr>
            <w:top w:val="none" w:sz="0" w:space="0" w:color="auto"/>
            <w:left w:val="none" w:sz="0" w:space="0" w:color="auto"/>
            <w:bottom w:val="none" w:sz="0" w:space="0" w:color="auto"/>
            <w:right w:val="none" w:sz="0" w:space="0" w:color="auto"/>
          </w:divBdr>
        </w:div>
        <w:div w:id="1435856097">
          <w:marLeft w:val="0"/>
          <w:marRight w:val="0"/>
          <w:marTop w:val="0"/>
          <w:marBottom w:val="0"/>
          <w:divBdr>
            <w:top w:val="none" w:sz="0" w:space="0" w:color="auto"/>
            <w:left w:val="none" w:sz="0" w:space="0" w:color="auto"/>
            <w:bottom w:val="none" w:sz="0" w:space="0" w:color="auto"/>
            <w:right w:val="none" w:sz="0" w:space="0" w:color="auto"/>
          </w:divBdr>
        </w:div>
      </w:divsChild>
    </w:div>
    <w:div w:id="376781538">
      <w:bodyDiv w:val="1"/>
      <w:marLeft w:val="0"/>
      <w:marRight w:val="0"/>
      <w:marTop w:val="0"/>
      <w:marBottom w:val="0"/>
      <w:divBdr>
        <w:top w:val="none" w:sz="0" w:space="0" w:color="auto"/>
        <w:left w:val="none" w:sz="0" w:space="0" w:color="auto"/>
        <w:bottom w:val="none" w:sz="0" w:space="0" w:color="auto"/>
        <w:right w:val="none" w:sz="0" w:space="0" w:color="auto"/>
      </w:divBdr>
      <w:divsChild>
        <w:div w:id="721441898">
          <w:marLeft w:val="0"/>
          <w:marRight w:val="0"/>
          <w:marTop w:val="0"/>
          <w:marBottom w:val="0"/>
          <w:divBdr>
            <w:top w:val="none" w:sz="0" w:space="0" w:color="auto"/>
            <w:left w:val="none" w:sz="0" w:space="0" w:color="auto"/>
            <w:bottom w:val="none" w:sz="0" w:space="0" w:color="auto"/>
            <w:right w:val="none" w:sz="0" w:space="0" w:color="auto"/>
          </w:divBdr>
        </w:div>
        <w:div w:id="1699963542">
          <w:marLeft w:val="0"/>
          <w:marRight w:val="0"/>
          <w:marTop w:val="0"/>
          <w:marBottom w:val="0"/>
          <w:divBdr>
            <w:top w:val="none" w:sz="0" w:space="0" w:color="auto"/>
            <w:left w:val="none" w:sz="0" w:space="0" w:color="auto"/>
            <w:bottom w:val="none" w:sz="0" w:space="0" w:color="auto"/>
            <w:right w:val="none" w:sz="0" w:space="0" w:color="auto"/>
          </w:divBdr>
        </w:div>
        <w:div w:id="2099131800">
          <w:marLeft w:val="0"/>
          <w:marRight w:val="0"/>
          <w:marTop w:val="0"/>
          <w:marBottom w:val="0"/>
          <w:divBdr>
            <w:top w:val="none" w:sz="0" w:space="0" w:color="auto"/>
            <w:left w:val="none" w:sz="0" w:space="0" w:color="auto"/>
            <w:bottom w:val="none" w:sz="0" w:space="0" w:color="auto"/>
            <w:right w:val="none" w:sz="0" w:space="0" w:color="auto"/>
          </w:divBdr>
        </w:div>
      </w:divsChild>
    </w:div>
    <w:div w:id="376856043">
      <w:bodyDiv w:val="1"/>
      <w:marLeft w:val="0"/>
      <w:marRight w:val="0"/>
      <w:marTop w:val="0"/>
      <w:marBottom w:val="0"/>
      <w:divBdr>
        <w:top w:val="none" w:sz="0" w:space="0" w:color="auto"/>
        <w:left w:val="none" w:sz="0" w:space="0" w:color="auto"/>
        <w:bottom w:val="none" w:sz="0" w:space="0" w:color="auto"/>
        <w:right w:val="none" w:sz="0" w:space="0" w:color="auto"/>
      </w:divBdr>
      <w:divsChild>
        <w:div w:id="323901493">
          <w:marLeft w:val="0"/>
          <w:marRight w:val="0"/>
          <w:marTop w:val="0"/>
          <w:marBottom w:val="0"/>
          <w:divBdr>
            <w:top w:val="none" w:sz="0" w:space="0" w:color="auto"/>
            <w:left w:val="none" w:sz="0" w:space="0" w:color="auto"/>
            <w:bottom w:val="none" w:sz="0" w:space="0" w:color="auto"/>
            <w:right w:val="none" w:sz="0" w:space="0" w:color="auto"/>
          </w:divBdr>
        </w:div>
        <w:div w:id="427120687">
          <w:marLeft w:val="0"/>
          <w:marRight w:val="0"/>
          <w:marTop w:val="0"/>
          <w:marBottom w:val="0"/>
          <w:divBdr>
            <w:top w:val="none" w:sz="0" w:space="0" w:color="auto"/>
            <w:left w:val="none" w:sz="0" w:space="0" w:color="auto"/>
            <w:bottom w:val="none" w:sz="0" w:space="0" w:color="auto"/>
            <w:right w:val="none" w:sz="0" w:space="0" w:color="auto"/>
          </w:divBdr>
        </w:div>
      </w:divsChild>
    </w:div>
    <w:div w:id="377049955">
      <w:bodyDiv w:val="1"/>
      <w:marLeft w:val="0"/>
      <w:marRight w:val="0"/>
      <w:marTop w:val="0"/>
      <w:marBottom w:val="0"/>
      <w:divBdr>
        <w:top w:val="none" w:sz="0" w:space="0" w:color="auto"/>
        <w:left w:val="none" w:sz="0" w:space="0" w:color="auto"/>
        <w:bottom w:val="none" w:sz="0" w:space="0" w:color="auto"/>
        <w:right w:val="none" w:sz="0" w:space="0" w:color="auto"/>
      </w:divBdr>
    </w:div>
    <w:div w:id="380833018">
      <w:bodyDiv w:val="1"/>
      <w:marLeft w:val="0"/>
      <w:marRight w:val="0"/>
      <w:marTop w:val="0"/>
      <w:marBottom w:val="0"/>
      <w:divBdr>
        <w:top w:val="none" w:sz="0" w:space="0" w:color="auto"/>
        <w:left w:val="none" w:sz="0" w:space="0" w:color="auto"/>
        <w:bottom w:val="none" w:sz="0" w:space="0" w:color="auto"/>
        <w:right w:val="none" w:sz="0" w:space="0" w:color="auto"/>
      </w:divBdr>
      <w:divsChild>
        <w:div w:id="382602870">
          <w:marLeft w:val="0"/>
          <w:marRight w:val="0"/>
          <w:marTop w:val="0"/>
          <w:marBottom w:val="0"/>
          <w:divBdr>
            <w:top w:val="none" w:sz="0" w:space="0" w:color="auto"/>
            <w:left w:val="none" w:sz="0" w:space="0" w:color="auto"/>
            <w:bottom w:val="none" w:sz="0" w:space="0" w:color="auto"/>
            <w:right w:val="none" w:sz="0" w:space="0" w:color="auto"/>
          </w:divBdr>
        </w:div>
        <w:div w:id="631640339">
          <w:marLeft w:val="0"/>
          <w:marRight w:val="0"/>
          <w:marTop w:val="0"/>
          <w:marBottom w:val="0"/>
          <w:divBdr>
            <w:top w:val="none" w:sz="0" w:space="0" w:color="auto"/>
            <w:left w:val="none" w:sz="0" w:space="0" w:color="auto"/>
            <w:bottom w:val="none" w:sz="0" w:space="0" w:color="auto"/>
            <w:right w:val="none" w:sz="0" w:space="0" w:color="auto"/>
          </w:divBdr>
        </w:div>
        <w:div w:id="1437406680">
          <w:marLeft w:val="0"/>
          <w:marRight w:val="0"/>
          <w:marTop w:val="0"/>
          <w:marBottom w:val="0"/>
          <w:divBdr>
            <w:top w:val="none" w:sz="0" w:space="0" w:color="auto"/>
            <w:left w:val="none" w:sz="0" w:space="0" w:color="auto"/>
            <w:bottom w:val="none" w:sz="0" w:space="0" w:color="auto"/>
            <w:right w:val="none" w:sz="0" w:space="0" w:color="auto"/>
          </w:divBdr>
        </w:div>
      </w:divsChild>
    </w:div>
    <w:div w:id="380905124">
      <w:bodyDiv w:val="1"/>
      <w:marLeft w:val="0"/>
      <w:marRight w:val="0"/>
      <w:marTop w:val="0"/>
      <w:marBottom w:val="0"/>
      <w:divBdr>
        <w:top w:val="none" w:sz="0" w:space="0" w:color="auto"/>
        <w:left w:val="none" w:sz="0" w:space="0" w:color="auto"/>
        <w:bottom w:val="none" w:sz="0" w:space="0" w:color="auto"/>
        <w:right w:val="none" w:sz="0" w:space="0" w:color="auto"/>
      </w:divBdr>
      <w:divsChild>
        <w:div w:id="1280842737">
          <w:marLeft w:val="0"/>
          <w:marRight w:val="0"/>
          <w:marTop w:val="0"/>
          <w:marBottom w:val="0"/>
          <w:divBdr>
            <w:top w:val="none" w:sz="0" w:space="0" w:color="auto"/>
            <w:left w:val="none" w:sz="0" w:space="0" w:color="auto"/>
            <w:bottom w:val="none" w:sz="0" w:space="0" w:color="auto"/>
            <w:right w:val="none" w:sz="0" w:space="0" w:color="auto"/>
          </w:divBdr>
        </w:div>
        <w:div w:id="2128231198">
          <w:marLeft w:val="0"/>
          <w:marRight w:val="0"/>
          <w:marTop w:val="0"/>
          <w:marBottom w:val="0"/>
          <w:divBdr>
            <w:top w:val="none" w:sz="0" w:space="0" w:color="auto"/>
            <w:left w:val="none" w:sz="0" w:space="0" w:color="auto"/>
            <w:bottom w:val="none" w:sz="0" w:space="0" w:color="auto"/>
            <w:right w:val="none" w:sz="0" w:space="0" w:color="auto"/>
          </w:divBdr>
        </w:div>
      </w:divsChild>
    </w:div>
    <w:div w:id="383717923">
      <w:bodyDiv w:val="1"/>
      <w:marLeft w:val="0"/>
      <w:marRight w:val="0"/>
      <w:marTop w:val="0"/>
      <w:marBottom w:val="0"/>
      <w:divBdr>
        <w:top w:val="none" w:sz="0" w:space="0" w:color="auto"/>
        <w:left w:val="none" w:sz="0" w:space="0" w:color="auto"/>
        <w:bottom w:val="none" w:sz="0" w:space="0" w:color="auto"/>
        <w:right w:val="none" w:sz="0" w:space="0" w:color="auto"/>
      </w:divBdr>
      <w:divsChild>
        <w:div w:id="1840998615">
          <w:marLeft w:val="0"/>
          <w:marRight w:val="0"/>
          <w:marTop w:val="0"/>
          <w:marBottom w:val="0"/>
          <w:divBdr>
            <w:top w:val="none" w:sz="0" w:space="0" w:color="auto"/>
            <w:left w:val="none" w:sz="0" w:space="0" w:color="auto"/>
            <w:bottom w:val="none" w:sz="0" w:space="0" w:color="auto"/>
            <w:right w:val="none" w:sz="0" w:space="0" w:color="auto"/>
          </w:divBdr>
        </w:div>
        <w:div w:id="1916015887">
          <w:marLeft w:val="0"/>
          <w:marRight w:val="0"/>
          <w:marTop w:val="0"/>
          <w:marBottom w:val="0"/>
          <w:divBdr>
            <w:top w:val="none" w:sz="0" w:space="0" w:color="auto"/>
            <w:left w:val="none" w:sz="0" w:space="0" w:color="auto"/>
            <w:bottom w:val="none" w:sz="0" w:space="0" w:color="auto"/>
            <w:right w:val="none" w:sz="0" w:space="0" w:color="auto"/>
          </w:divBdr>
        </w:div>
      </w:divsChild>
    </w:div>
    <w:div w:id="384913653">
      <w:bodyDiv w:val="1"/>
      <w:marLeft w:val="0"/>
      <w:marRight w:val="0"/>
      <w:marTop w:val="0"/>
      <w:marBottom w:val="0"/>
      <w:divBdr>
        <w:top w:val="none" w:sz="0" w:space="0" w:color="auto"/>
        <w:left w:val="none" w:sz="0" w:space="0" w:color="auto"/>
        <w:bottom w:val="none" w:sz="0" w:space="0" w:color="auto"/>
        <w:right w:val="none" w:sz="0" w:space="0" w:color="auto"/>
      </w:divBdr>
      <w:divsChild>
        <w:div w:id="637955724">
          <w:marLeft w:val="0"/>
          <w:marRight w:val="0"/>
          <w:marTop w:val="0"/>
          <w:marBottom w:val="0"/>
          <w:divBdr>
            <w:top w:val="none" w:sz="0" w:space="0" w:color="auto"/>
            <w:left w:val="none" w:sz="0" w:space="0" w:color="auto"/>
            <w:bottom w:val="none" w:sz="0" w:space="0" w:color="auto"/>
            <w:right w:val="none" w:sz="0" w:space="0" w:color="auto"/>
          </w:divBdr>
        </w:div>
        <w:div w:id="2031829945">
          <w:marLeft w:val="0"/>
          <w:marRight w:val="0"/>
          <w:marTop w:val="0"/>
          <w:marBottom w:val="0"/>
          <w:divBdr>
            <w:top w:val="none" w:sz="0" w:space="0" w:color="auto"/>
            <w:left w:val="none" w:sz="0" w:space="0" w:color="auto"/>
            <w:bottom w:val="none" w:sz="0" w:space="0" w:color="auto"/>
            <w:right w:val="none" w:sz="0" w:space="0" w:color="auto"/>
          </w:divBdr>
        </w:div>
      </w:divsChild>
    </w:div>
    <w:div w:id="386074899">
      <w:bodyDiv w:val="1"/>
      <w:marLeft w:val="0"/>
      <w:marRight w:val="0"/>
      <w:marTop w:val="0"/>
      <w:marBottom w:val="0"/>
      <w:divBdr>
        <w:top w:val="none" w:sz="0" w:space="0" w:color="auto"/>
        <w:left w:val="none" w:sz="0" w:space="0" w:color="auto"/>
        <w:bottom w:val="none" w:sz="0" w:space="0" w:color="auto"/>
        <w:right w:val="none" w:sz="0" w:space="0" w:color="auto"/>
      </w:divBdr>
    </w:div>
    <w:div w:id="387069001">
      <w:bodyDiv w:val="1"/>
      <w:marLeft w:val="0"/>
      <w:marRight w:val="0"/>
      <w:marTop w:val="0"/>
      <w:marBottom w:val="0"/>
      <w:divBdr>
        <w:top w:val="none" w:sz="0" w:space="0" w:color="auto"/>
        <w:left w:val="none" w:sz="0" w:space="0" w:color="auto"/>
        <w:bottom w:val="none" w:sz="0" w:space="0" w:color="auto"/>
        <w:right w:val="none" w:sz="0" w:space="0" w:color="auto"/>
      </w:divBdr>
    </w:div>
    <w:div w:id="391926318">
      <w:bodyDiv w:val="1"/>
      <w:marLeft w:val="0"/>
      <w:marRight w:val="0"/>
      <w:marTop w:val="0"/>
      <w:marBottom w:val="0"/>
      <w:divBdr>
        <w:top w:val="none" w:sz="0" w:space="0" w:color="auto"/>
        <w:left w:val="none" w:sz="0" w:space="0" w:color="auto"/>
        <w:bottom w:val="none" w:sz="0" w:space="0" w:color="auto"/>
        <w:right w:val="none" w:sz="0" w:space="0" w:color="auto"/>
      </w:divBdr>
    </w:div>
    <w:div w:id="392583890">
      <w:bodyDiv w:val="1"/>
      <w:marLeft w:val="0"/>
      <w:marRight w:val="0"/>
      <w:marTop w:val="0"/>
      <w:marBottom w:val="0"/>
      <w:divBdr>
        <w:top w:val="none" w:sz="0" w:space="0" w:color="auto"/>
        <w:left w:val="none" w:sz="0" w:space="0" w:color="auto"/>
        <w:bottom w:val="none" w:sz="0" w:space="0" w:color="auto"/>
        <w:right w:val="none" w:sz="0" w:space="0" w:color="auto"/>
      </w:divBdr>
    </w:div>
    <w:div w:id="399718079">
      <w:bodyDiv w:val="1"/>
      <w:marLeft w:val="0"/>
      <w:marRight w:val="0"/>
      <w:marTop w:val="0"/>
      <w:marBottom w:val="0"/>
      <w:divBdr>
        <w:top w:val="none" w:sz="0" w:space="0" w:color="auto"/>
        <w:left w:val="none" w:sz="0" w:space="0" w:color="auto"/>
        <w:bottom w:val="none" w:sz="0" w:space="0" w:color="auto"/>
        <w:right w:val="none" w:sz="0" w:space="0" w:color="auto"/>
      </w:divBdr>
    </w:div>
    <w:div w:id="400687362">
      <w:bodyDiv w:val="1"/>
      <w:marLeft w:val="0"/>
      <w:marRight w:val="0"/>
      <w:marTop w:val="0"/>
      <w:marBottom w:val="0"/>
      <w:divBdr>
        <w:top w:val="none" w:sz="0" w:space="0" w:color="auto"/>
        <w:left w:val="none" w:sz="0" w:space="0" w:color="auto"/>
        <w:bottom w:val="none" w:sz="0" w:space="0" w:color="auto"/>
        <w:right w:val="none" w:sz="0" w:space="0" w:color="auto"/>
      </w:divBdr>
    </w:div>
    <w:div w:id="401606192">
      <w:bodyDiv w:val="1"/>
      <w:marLeft w:val="0"/>
      <w:marRight w:val="0"/>
      <w:marTop w:val="0"/>
      <w:marBottom w:val="0"/>
      <w:divBdr>
        <w:top w:val="none" w:sz="0" w:space="0" w:color="auto"/>
        <w:left w:val="none" w:sz="0" w:space="0" w:color="auto"/>
        <w:bottom w:val="none" w:sz="0" w:space="0" w:color="auto"/>
        <w:right w:val="none" w:sz="0" w:space="0" w:color="auto"/>
      </w:divBdr>
      <w:divsChild>
        <w:div w:id="1370490878">
          <w:marLeft w:val="0"/>
          <w:marRight w:val="0"/>
          <w:marTop w:val="0"/>
          <w:marBottom w:val="0"/>
          <w:divBdr>
            <w:top w:val="none" w:sz="0" w:space="0" w:color="auto"/>
            <w:left w:val="none" w:sz="0" w:space="0" w:color="auto"/>
            <w:bottom w:val="none" w:sz="0" w:space="0" w:color="auto"/>
            <w:right w:val="none" w:sz="0" w:space="0" w:color="auto"/>
          </w:divBdr>
        </w:div>
        <w:div w:id="1703242288">
          <w:marLeft w:val="0"/>
          <w:marRight w:val="0"/>
          <w:marTop w:val="0"/>
          <w:marBottom w:val="0"/>
          <w:divBdr>
            <w:top w:val="none" w:sz="0" w:space="0" w:color="auto"/>
            <w:left w:val="none" w:sz="0" w:space="0" w:color="auto"/>
            <w:bottom w:val="none" w:sz="0" w:space="0" w:color="auto"/>
            <w:right w:val="none" w:sz="0" w:space="0" w:color="auto"/>
          </w:divBdr>
        </w:div>
      </w:divsChild>
    </w:div>
    <w:div w:id="401874171">
      <w:bodyDiv w:val="1"/>
      <w:marLeft w:val="0"/>
      <w:marRight w:val="0"/>
      <w:marTop w:val="0"/>
      <w:marBottom w:val="0"/>
      <w:divBdr>
        <w:top w:val="none" w:sz="0" w:space="0" w:color="auto"/>
        <w:left w:val="none" w:sz="0" w:space="0" w:color="auto"/>
        <w:bottom w:val="none" w:sz="0" w:space="0" w:color="auto"/>
        <w:right w:val="none" w:sz="0" w:space="0" w:color="auto"/>
      </w:divBdr>
    </w:div>
    <w:div w:id="403527769">
      <w:bodyDiv w:val="1"/>
      <w:marLeft w:val="0"/>
      <w:marRight w:val="0"/>
      <w:marTop w:val="0"/>
      <w:marBottom w:val="0"/>
      <w:divBdr>
        <w:top w:val="none" w:sz="0" w:space="0" w:color="auto"/>
        <w:left w:val="none" w:sz="0" w:space="0" w:color="auto"/>
        <w:bottom w:val="none" w:sz="0" w:space="0" w:color="auto"/>
        <w:right w:val="none" w:sz="0" w:space="0" w:color="auto"/>
      </w:divBdr>
    </w:div>
    <w:div w:id="405301496">
      <w:bodyDiv w:val="1"/>
      <w:marLeft w:val="0"/>
      <w:marRight w:val="0"/>
      <w:marTop w:val="0"/>
      <w:marBottom w:val="0"/>
      <w:divBdr>
        <w:top w:val="none" w:sz="0" w:space="0" w:color="auto"/>
        <w:left w:val="none" w:sz="0" w:space="0" w:color="auto"/>
        <w:bottom w:val="none" w:sz="0" w:space="0" w:color="auto"/>
        <w:right w:val="none" w:sz="0" w:space="0" w:color="auto"/>
      </w:divBdr>
      <w:divsChild>
        <w:div w:id="1195196011">
          <w:marLeft w:val="0"/>
          <w:marRight w:val="0"/>
          <w:marTop w:val="0"/>
          <w:marBottom w:val="0"/>
          <w:divBdr>
            <w:top w:val="none" w:sz="0" w:space="0" w:color="auto"/>
            <w:left w:val="none" w:sz="0" w:space="0" w:color="auto"/>
            <w:bottom w:val="none" w:sz="0" w:space="0" w:color="auto"/>
            <w:right w:val="none" w:sz="0" w:space="0" w:color="auto"/>
          </w:divBdr>
        </w:div>
        <w:div w:id="2098552837">
          <w:marLeft w:val="0"/>
          <w:marRight w:val="0"/>
          <w:marTop w:val="0"/>
          <w:marBottom w:val="0"/>
          <w:divBdr>
            <w:top w:val="none" w:sz="0" w:space="0" w:color="auto"/>
            <w:left w:val="none" w:sz="0" w:space="0" w:color="auto"/>
            <w:bottom w:val="none" w:sz="0" w:space="0" w:color="auto"/>
            <w:right w:val="none" w:sz="0" w:space="0" w:color="auto"/>
          </w:divBdr>
        </w:div>
      </w:divsChild>
    </w:div>
    <w:div w:id="410468143">
      <w:bodyDiv w:val="1"/>
      <w:marLeft w:val="0"/>
      <w:marRight w:val="0"/>
      <w:marTop w:val="0"/>
      <w:marBottom w:val="0"/>
      <w:divBdr>
        <w:top w:val="none" w:sz="0" w:space="0" w:color="auto"/>
        <w:left w:val="none" w:sz="0" w:space="0" w:color="auto"/>
        <w:bottom w:val="none" w:sz="0" w:space="0" w:color="auto"/>
        <w:right w:val="none" w:sz="0" w:space="0" w:color="auto"/>
      </w:divBdr>
      <w:divsChild>
        <w:div w:id="2059545457">
          <w:marLeft w:val="0"/>
          <w:marRight w:val="0"/>
          <w:marTop w:val="0"/>
          <w:marBottom w:val="0"/>
          <w:divBdr>
            <w:top w:val="none" w:sz="0" w:space="0" w:color="auto"/>
            <w:left w:val="none" w:sz="0" w:space="0" w:color="auto"/>
            <w:bottom w:val="none" w:sz="0" w:space="0" w:color="auto"/>
            <w:right w:val="none" w:sz="0" w:space="0" w:color="auto"/>
          </w:divBdr>
        </w:div>
      </w:divsChild>
    </w:div>
    <w:div w:id="411705083">
      <w:bodyDiv w:val="1"/>
      <w:marLeft w:val="0"/>
      <w:marRight w:val="0"/>
      <w:marTop w:val="0"/>
      <w:marBottom w:val="0"/>
      <w:divBdr>
        <w:top w:val="none" w:sz="0" w:space="0" w:color="auto"/>
        <w:left w:val="none" w:sz="0" w:space="0" w:color="auto"/>
        <w:bottom w:val="none" w:sz="0" w:space="0" w:color="auto"/>
        <w:right w:val="none" w:sz="0" w:space="0" w:color="auto"/>
      </w:divBdr>
      <w:divsChild>
        <w:div w:id="824662953">
          <w:marLeft w:val="0"/>
          <w:marRight w:val="0"/>
          <w:marTop w:val="0"/>
          <w:marBottom w:val="0"/>
          <w:divBdr>
            <w:top w:val="none" w:sz="0" w:space="0" w:color="auto"/>
            <w:left w:val="none" w:sz="0" w:space="0" w:color="auto"/>
            <w:bottom w:val="none" w:sz="0" w:space="0" w:color="auto"/>
            <w:right w:val="none" w:sz="0" w:space="0" w:color="auto"/>
          </w:divBdr>
        </w:div>
        <w:div w:id="1174565413">
          <w:marLeft w:val="0"/>
          <w:marRight w:val="0"/>
          <w:marTop w:val="0"/>
          <w:marBottom w:val="0"/>
          <w:divBdr>
            <w:top w:val="none" w:sz="0" w:space="0" w:color="auto"/>
            <w:left w:val="none" w:sz="0" w:space="0" w:color="auto"/>
            <w:bottom w:val="none" w:sz="0" w:space="0" w:color="auto"/>
            <w:right w:val="none" w:sz="0" w:space="0" w:color="auto"/>
          </w:divBdr>
        </w:div>
      </w:divsChild>
    </w:div>
    <w:div w:id="418527788">
      <w:bodyDiv w:val="1"/>
      <w:marLeft w:val="0"/>
      <w:marRight w:val="0"/>
      <w:marTop w:val="0"/>
      <w:marBottom w:val="0"/>
      <w:divBdr>
        <w:top w:val="none" w:sz="0" w:space="0" w:color="auto"/>
        <w:left w:val="none" w:sz="0" w:space="0" w:color="auto"/>
        <w:bottom w:val="none" w:sz="0" w:space="0" w:color="auto"/>
        <w:right w:val="none" w:sz="0" w:space="0" w:color="auto"/>
      </w:divBdr>
    </w:div>
    <w:div w:id="423500169">
      <w:bodyDiv w:val="1"/>
      <w:marLeft w:val="0"/>
      <w:marRight w:val="0"/>
      <w:marTop w:val="0"/>
      <w:marBottom w:val="0"/>
      <w:divBdr>
        <w:top w:val="none" w:sz="0" w:space="0" w:color="auto"/>
        <w:left w:val="none" w:sz="0" w:space="0" w:color="auto"/>
        <w:bottom w:val="none" w:sz="0" w:space="0" w:color="auto"/>
        <w:right w:val="none" w:sz="0" w:space="0" w:color="auto"/>
      </w:divBdr>
    </w:div>
    <w:div w:id="424109473">
      <w:bodyDiv w:val="1"/>
      <w:marLeft w:val="0"/>
      <w:marRight w:val="0"/>
      <w:marTop w:val="0"/>
      <w:marBottom w:val="0"/>
      <w:divBdr>
        <w:top w:val="none" w:sz="0" w:space="0" w:color="auto"/>
        <w:left w:val="none" w:sz="0" w:space="0" w:color="auto"/>
        <w:bottom w:val="none" w:sz="0" w:space="0" w:color="auto"/>
        <w:right w:val="none" w:sz="0" w:space="0" w:color="auto"/>
      </w:divBdr>
    </w:div>
    <w:div w:id="426578269">
      <w:bodyDiv w:val="1"/>
      <w:marLeft w:val="0"/>
      <w:marRight w:val="0"/>
      <w:marTop w:val="0"/>
      <w:marBottom w:val="0"/>
      <w:divBdr>
        <w:top w:val="none" w:sz="0" w:space="0" w:color="auto"/>
        <w:left w:val="none" w:sz="0" w:space="0" w:color="auto"/>
        <w:bottom w:val="none" w:sz="0" w:space="0" w:color="auto"/>
        <w:right w:val="none" w:sz="0" w:space="0" w:color="auto"/>
      </w:divBdr>
    </w:div>
    <w:div w:id="427317481">
      <w:bodyDiv w:val="1"/>
      <w:marLeft w:val="0"/>
      <w:marRight w:val="0"/>
      <w:marTop w:val="0"/>
      <w:marBottom w:val="0"/>
      <w:divBdr>
        <w:top w:val="none" w:sz="0" w:space="0" w:color="auto"/>
        <w:left w:val="none" w:sz="0" w:space="0" w:color="auto"/>
        <w:bottom w:val="none" w:sz="0" w:space="0" w:color="auto"/>
        <w:right w:val="none" w:sz="0" w:space="0" w:color="auto"/>
      </w:divBdr>
    </w:div>
    <w:div w:id="433944633">
      <w:bodyDiv w:val="1"/>
      <w:marLeft w:val="0"/>
      <w:marRight w:val="0"/>
      <w:marTop w:val="0"/>
      <w:marBottom w:val="0"/>
      <w:divBdr>
        <w:top w:val="none" w:sz="0" w:space="0" w:color="auto"/>
        <w:left w:val="none" w:sz="0" w:space="0" w:color="auto"/>
        <w:bottom w:val="none" w:sz="0" w:space="0" w:color="auto"/>
        <w:right w:val="none" w:sz="0" w:space="0" w:color="auto"/>
      </w:divBdr>
      <w:divsChild>
        <w:div w:id="85808875">
          <w:marLeft w:val="0"/>
          <w:marRight w:val="0"/>
          <w:marTop w:val="0"/>
          <w:marBottom w:val="0"/>
          <w:divBdr>
            <w:top w:val="none" w:sz="0" w:space="0" w:color="auto"/>
            <w:left w:val="none" w:sz="0" w:space="0" w:color="auto"/>
            <w:bottom w:val="none" w:sz="0" w:space="0" w:color="auto"/>
            <w:right w:val="none" w:sz="0" w:space="0" w:color="auto"/>
          </w:divBdr>
        </w:div>
        <w:div w:id="696548044">
          <w:marLeft w:val="0"/>
          <w:marRight w:val="0"/>
          <w:marTop w:val="0"/>
          <w:marBottom w:val="0"/>
          <w:divBdr>
            <w:top w:val="none" w:sz="0" w:space="0" w:color="auto"/>
            <w:left w:val="none" w:sz="0" w:space="0" w:color="auto"/>
            <w:bottom w:val="none" w:sz="0" w:space="0" w:color="auto"/>
            <w:right w:val="none" w:sz="0" w:space="0" w:color="auto"/>
          </w:divBdr>
        </w:div>
      </w:divsChild>
    </w:div>
    <w:div w:id="437067459">
      <w:bodyDiv w:val="1"/>
      <w:marLeft w:val="0"/>
      <w:marRight w:val="0"/>
      <w:marTop w:val="0"/>
      <w:marBottom w:val="0"/>
      <w:divBdr>
        <w:top w:val="none" w:sz="0" w:space="0" w:color="auto"/>
        <w:left w:val="none" w:sz="0" w:space="0" w:color="auto"/>
        <w:bottom w:val="none" w:sz="0" w:space="0" w:color="auto"/>
        <w:right w:val="none" w:sz="0" w:space="0" w:color="auto"/>
      </w:divBdr>
    </w:div>
    <w:div w:id="439645109">
      <w:bodyDiv w:val="1"/>
      <w:marLeft w:val="0"/>
      <w:marRight w:val="0"/>
      <w:marTop w:val="0"/>
      <w:marBottom w:val="0"/>
      <w:divBdr>
        <w:top w:val="none" w:sz="0" w:space="0" w:color="auto"/>
        <w:left w:val="none" w:sz="0" w:space="0" w:color="auto"/>
        <w:bottom w:val="none" w:sz="0" w:space="0" w:color="auto"/>
        <w:right w:val="none" w:sz="0" w:space="0" w:color="auto"/>
      </w:divBdr>
    </w:div>
    <w:div w:id="439762580">
      <w:bodyDiv w:val="1"/>
      <w:marLeft w:val="0"/>
      <w:marRight w:val="0"/>
      <w:marTop w:val="0"/>
      <w:marBottom w:val="0"/>
      <w:divBdr>
        <w:top w:val="none" w:sz="0" w:space="0" w:color="auto"/>
        <w:left w:val="none" w:sz="0" w:space="0" w:color="auto"/>
        <w:bottom w:val="none" w:sz="0" w:space="0" w:color="auto"/>
        <w:right w:val="none" w:sz="0" w:space="0" w:color="auto"/>
      </w:divBdr>
      <w:divsChild>
        <w:div w:id="191917973">
          <w:marLeft w:val="0"/>
          <w:marRight w:val="0"/>
          <w:marTop w:val="0"/>
          <w:marBottom w:val="0"/>
          <w:divBdr>
            <w:top w:val="none" w:sz="0" w:space="0" w:color="auto"/>
            <w:left w:val="none" w:sz="0" w:space="0" w:color="auto"/>
            <w:bottom w:val="none" w:sz="0" w:space="0" w:color="auto"/>
            <w:right w:val="none" w:sz="0" w:space="0" w:color="auto"/>
          </w:divBdr>
        </w:div>
        <w:div w:id="1131553028">
          <w:marLeft w:val="0"/>
          <w:marRight w:val="0"/>
          <w:marTop w:val="0"/>
          <w:marBottom w:val="0"/>
          <w:divBdr>
            <w:top w:val="none" w:sz="0" w:space="0" w:color="auto"/>
            <w:left w:val="none" w:sz="0" w:space="0" w:color="auto"/>
            <w:bottom w:val="none" w:sz="0" w:space="0" w:color="auto"/>
            <w:right w:val="none" w:sz="0" w:space="0" w:color="auto"/>
          </w:divBdr>
          <w:divsChild>
            <w:div w:id="1501113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4734223">
      <w:bodyDiv w:val="1"/>
      <w:marLeft w:val="0"/>
      <w:marRight w:val="0"/>
      <w:marTop w:val="0"/>
      <w:marBottom w:val="0"/>
      <w:divBdr>
        <w:top w:val="none" w:sz="0" w:space="0" w:color="auto"/>
        <w:left w:val="none" w:sz="0" w:space="0" w:color="auto"/>
        <w:bottom w:val="none" w:sz="0" w:space="0" w:color="auto"/>
        <w:right w:val="none" w:sz="0" w:space="0" w:color="auto"/>
      </w:divBdr>
    </w:div>
    <w:div w:id="455830716">
      <w:bodyDiv w:val="1"/>
      <w:marLeft w:val="0"/>
      <w:marRight w:val="0"/>
      <w:marTop w:val="0"/>
      <w:marBottom w:val="0"/>
      <w:divBdr>
        <w:top w:val="none" w:sz="0" w:space="0" w:color="auto"/>
        <w:left w:val="none" w:sz="0" w:space="0" w:color="auto"/>
        <w:bottom w:val="none" w:sz="0" w:space="0" w:color="auto"/>
        <w:right w:val="none" w:sz="0" w:space="0" w:color="auto"/>
      </w:divBdr>
    </w:div>
    <w:div w:id="456606738">
      <w:bodyDiv w:val="1"/>
      <w:marLeft w:val="0"/>
      <w:marRight w:val="0"/>
      <w:marTop w:val="0"/>
      <w:marBottom w:val="0"/>
      <w:divBdr>
        <w:top w:val="none" w:sz="0" w:space="0" w:color="auto"/>
        <w:left w:val="none" w:sz="0" w:space="0" w:color="auto"/>
        <w:bottom w:val="none" w:sz="0" w:space="0" w:color="auto"/>
        <w:right w:val="none" w:sz="0" w:space="0" w:color="auto"/>
      </w:divBdr>
      <w:divsChild>
        <w:div w:id="250823908">
          <w:marLeft w:val="0"/>
          <w:marRight w:val="0"/>
          <w:marTop w:val="0"/>
          <w:marBottom w:val="0"/>
          <w:divBdr>
            <w:top w:val="none" w:sz="0" w:space="0" w:color="auto"/>
            <w:left w:val="none" w:sz="0" w:space="0" w:color="auto"/>
            <w:bottom w:val="none" w:sz="0" w:space="0" w:color="auto"/>
            <w:right w:val="none" w:sz="0" w:space="0" w:color="auto"/>
          </w:divBdr>
        </w:div>
        <w:div w:id="506216219">
          <w:marLeft w:val="0"/>
          <w:marRight w:val="0"/>
          <w:marTop w:val="0"/>
          <w:marBottom w:val="0"/>
          <w:divBdr>
            <w:top w:val="none" w:sz="0" w:space="0" w:color="auto"/>
            <w:left w:val="none" w:sz="0" w:space="0" w:color="auto"/>
            <w:bottom w:val="none" w:sz="0" w:space="0" w:color="auto"/>
            <w:right w:val="none" w:sz="0" w:space="0" w:color="auto"/>
          </w:divBdr>
        </w:div>
        <w:div w:id="1816951123">
          <w:marLeft w:val="0"/>
          <w:marRight w:val="0"/>
          <w:marTop w:val="0"/>
          <w:marBottom w:val="0"/>
          <w:divBdr>
            <w:top w:val="none" w:sz="0" w:space="0" w:color="auto"/>
            <w:left w:val="none" w:sz="0" w:space="0" w:color="auto"/>
            <w:bottom w:val="none" w:sz="0" w:space="0" w:color="auto"/>
            <w:right w:val="none" w:sz="0" w:space="0" w:color="auto"/>
          </w:divBdr>
        </w:div>
      </w:divsChild>
    </w:div>
    <w:div w:id="457577320">
      <w:bodyDiv w:val="1"/>
      <w:marLeft w:val="0"/>
      <w:marRight w:val="0"/>
      <w:marTop w:val="0"/>
      <w:marBottom w:val="0"/>
      <w:divBdr>
        <w:top w:val="none" w:sz="0" w:space="0" w:color="auto"/>
        <w:left w:val="none" w:sz="0" w:space="0" w:color="auto"/>
        <w:bottom w:val="none" w:sz="0" w:space="0" w:color="auto"/>
        <w:right w:val="none" w:sz="0" w:space="0" w:color="auto"/>
      </w:divBdr>
    </w:div>
    <w:div w:id="457797223">
      <w:bodyDiv w:val="1"/>
      <w:marLeft w:val="0"/>
      <w:marRight w:val="0"/>
      <w:marTop w:val="0"/>
      <w:marBottom w:val="0"/>
      <w:divBdr>
        <w:top w:val="none" w:sz="0" w:space="0" w:color="auto"/>
        <w:left w:val="none" w:sz="0" w:space="0" w:color="auto"/>
        <w:bottom w:val="none" w:sz="0" w:space="0" w:color="auto"/>
        <w:right w:val="none" w:sz="0" w:space="0" w:color="auto"/>
      </w:divBdr>
      <w:divsChild>
        <w:div w:id="1486895384">
          <w:marLeft w:val="0"/>
          <w:marRight w:val="0"/>
          <w:marTop w:val="0"/>
          <w:marBottom w:val="0"/>
          <w:divBdr>
            <w:top w:val="none" w:sz="0" w:space="0" w:color="auto"/>
            <w:left w:val="none" w:sz="0" w:space="0" w:color="auto"/>
            <w:bottom w:val="none" w:sz="0" w:space="0" w:color="auto"/>
            <w:right w:val="none" w:sz="0" w:space="0" w:color="auto"/>
          </w:divBdr>
        </w:div>
        <w:div w:id="1524661007">
          <w:marLeft w:val="0"/>
          <w:marRight w:val="0"/>
          <w:marTop w:val="0"/>
          <w:marBottom w:val="0"/>
          <w:divBdr>
            <w:top w:val="none" w:sz="0" w:space="0" w:color="auto"/>
            <w:left w:val="none" w:sz="0" w:space="0" w:color="auto"/>
            <w:bottom w:val="none" w:sz="0" w:space="0" w:color="auto"/>
            <w:right w:val="none" w:sz="0" w:space="0" w:color="auto"/>
          </w:divBdr>
        </w:div>
        <w:div w:id="1790125895">
          <w:marLeft w:val="0"/>
          <w:marRight w:val="0"/>
          <w:marTop w:val="0"/>
          <w:marBottom w:val="0"/>
          <w:divBdr>
            <w:top w:val="none" w:sz="0" w:space="0" w:color="auto"/>
            <w:left w:val="none" w:sz="0" w:space="0" w:color="auto"/>
            <w:bottom w:val="none" w:sz="0" w:space="0" w:color="auto"/>
            <w:right w:val="none" w:sz="0" w:space="0" w:color="auto"/>
          </w:divBdr>
        </w:div>
        <w:div w:id="1953395586">
          <w:marLeft w:val="0"/>
          <w:marRight w:val="0"/>
          <w:marTop w:val="0"/>
          <w:marBottom w:val="0"/>
          <w:divBdr>
            <w:top w:val="none" w:sz="0" w:space="0" w:color="auto"/>
            <w:left w:val="none" w:sz="0" w:space="0" w:color="auto"/>
            <w:bottom w:val="none" w:sz="0" w:space="0" w:color="auto"/>
            <w:right w:val="none" w:sz="0" w:space="0" w:color="auto"/>
          </w:divBdr>
        </w:div>
      </w:divsChild>
    </w:div>
    <w:div w:id="458574438">
      <w:bodyDiv w:val="1"/>
      <w:marLeft w:val="0"/>
      <w:marRight w:val="0"/>
      <w:marTop w:val="0"/>
      <w:marBottom w:val="0"/>
      <w:divBdr>
        <w:top w:val="none" w:sz="0" w:space="0" w:color="auto"/>
        <w:left w:val="none" w:sz="0" w:space="0" w:color="auto"/>
        <w:bottom w:val="none" w:sz="0" w:space="0" w:color="auto"/>
        <w:right w:val="none" w:sz="0" w:space="0" w:color="auto"/>
      </w:divBdr>
      <w:divsChild>
        <w:div w:id="743337949">
          <w:marLeft w:val="0"/>
          <w:marRight w:val="0"/>
          <w:marTop w:val="0"/>
          <w:marBottom w:val="0"/>
          <w:divBdr>
            <w:top w:val="none" w:sz="0" w:space="0" w:color="auto"/>
            <w:left w:val="none" w:sz="0" w:space="0" w:color="auto"/>
            <w:bottom w:val="none" w:sz="0" w:space="0" w:color="auto"/>
            <w:right w:val="none" w:sz="0" w:space="0" w:color="auto"/>
          </w:divBdr>
        </w:div>
        <w:div w:id="1174566738">
          <w:marLeft w:val="0"/>
          <w:marRight w:val="0"/>
          <w:marTop w:val="0"/>
          <w:marBottom w:val="0"/>
          <w:divBdr>
            <w:top w:val="none" w:sz="0" w:space="0" w:color="auto"/>
            <w:left w:val="none" w:sz="0" w:space="0" w:color="auto"/>
            <w:bottom w:val="none" w:sz="0" w:space="0" w:color="auto"/>
            <w:right w:val="none" w:sz="0" w:space="0" w:color="auto"/>
          </w:divBdr>
        </w:div>
      </w:divsChild>
    </w:div>
    <w:div w:id="466243195">
      <w:bodyDiv w:val="1"/>
      <w:marLeft w:val="0"/>
      <w:marRight w:val="0"/>
      <w:marTop w:val="0"/>
      <w:marBottom w:val="0"/>
      <w:divBdr>
        <w:top w:val="none" w:sz="0" w:space="0" w:color="auto"/>
        <w:left w:val="none" w:sz="0" w:space="0" w:color="auto"/>
        <w:bottom w:val="none" w:sz="0" w:space="0" w:color="auto"/>
        <w:right w:val="none" w:sz="0" w:space="0" w:color="auto"/>
      </w:divBdr>
      <w:divsChild>
        <w:div w:id="494423740">
          <w:marLeft w:val="0"/>
          <w:marRight w:val="0"/>
          <w:marTop w:val="0"/>
          <w:marBottom w:val="0"/>
          <w:divBdr>
            <w:top w:val="none" w:sz="0" w:space="0" w:color="auto"/>
            <w:left w:val="none" w:sz="0" w:space="0" w:color="auto"/>
            <w:bottom w:val="none" w:sz="0" w:space="0" w:color="auto"/>
            <w:right w:val="none" w:sz="0" w:space="0" w:color="auto"/>
          </w:divBdr>
          <w:divsChild>
            <w:div w:id="1218054233">
              <w:marLeft w:val="0"/>
              <w:marRight w:val="0"/>
              <w:marTop w:val="0"/>
              <w:marBottom w:val="0"/>
              <w:divBdr>
                <w:top w:val="none" w:sz="0" w:space="0" w:color="auto"/>
                <w:left w:val="none" w:sz="0" w:space="0" w:color="auto"/>
                <w:bottom w:val="none" w:sz="0" w:space="0" w:color="auto"/>
                <w:right w:val="none" w:sz="0" w:space="0" w:color="auto"/>
              </w:divBdr>
              <w:divsChild>
                <w:div w:id="584337235">
                  <w:marLeft w:val="0"/>
                  <w:marRight w:val="0"/>
                  <w:marTop w:val="0"/>
                  <w:marBottom w:val="0"/>
                  <w:divBdr>
                    <w:top w:val="none" w:sz="0" w:space="0" w:color="auto"/>
                    <w:left w:val="none" w:sz="0" w:space="0" w:color="auto"/>
                    <w:bottom w:val="none" w:sz="0" w:space="0" w:color="auto"/>
                    <w:right w:val="none" w:sz="0" w:space="0" w:color="auto"/>
                  </w:divBdr>
                  <w:divsChild>
                    <w:div w:id="1037894090">
                      <w:marLeft w:val="0"/>
                      <w:marRight w:val="0"/>
                      <w:marTop w:val="0"/>
                      <w:marBottom w:val="0"/>
                      <w:divBdr>
                        <w:top w:val="none" w:sz="0" w:space="0" w:color="auto"/>
                        <w:left w:val="none" w:sz="0" w:space="0" w:color="auto"/>
                        <w:bottom w:val="none" w:sz="0" w:space="0" w:color="auto"/>
                        <w:right w:val="none" w:sz="0" w:space="0" w:color="auto"/>
                      </w:divBdr>
                      <w:divsChild>
                        <w:div w:id="275522465">
                          <w:marLeft w:val="0"/>
                          <w:marRight w:val="0"/>
                          <w:marTop w:val="0"/>
                          <w:marBottom w:val="0"/>
                          <w:divBdr>
                            <w:top w:val="none" w:sz="0" w:space="0" w:color="auto"/>
                            <w:left w:val="none" w:sz="0" w:space="0" w:color="auto"/>
                            <w:bottom w:val="none" w:sz="0" w:space="0" w:color="auto"/>
                            <w:right w:val="none" w:sz="0" w:space="0" w:color="auto"/>
                          </w:divBdr>
                        </w:div>
                        <w:div w:id="464928917">
                          <w:marLeft w:val="0"/>
                          <w:marRight w:val="0"/>
                          <w:marTop w:val="0"/>
                          <w:marBottom w:val="0"/>
                          <w:divBdr>
                            <w:top w:val="none" w:sz="0" w:space="0" w:color="auto"/>
                            <w:left w:val="none" w:sz="0" w:space="0" w:color="auto"/>
                            <w:bottom w:val="none" w:sz="0" w:space="0" w:color="auto"/>
                            <w:right w:val="none" w:sz="0" w:space="0" w:color="auto"/>
                          </w:divBdr>
                          <w:divsChild>
                            <w:div w:id="1952935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16834247">
              <w:marLeft w:val="0"/>
              <w:marRight w:val="0"/>
              <w:marTop w:val="0"/>
              <w:marBottom w:val="0"/>
              <w:divBdr>
                <w:top w:val="none" w:sz="0" w:space="0" w:color="auto"/>
                <w:left w:val="none" w:sz="0" w:space="0" w:color="auto"/>
                <w:bottom w:val="none" w:sz="0" w:space="0" w:color="auto"/>
                <w:right w:val="none" w:sz="0" w:space="0" w:color="auto"/>
              </w:divBdr>
              <w:divsChild>
                <w:div w:id="660624805">
                  <w:marLeft w:val="0"/>
                  <w:marRight w:val="0"/>
                  <w:marTop w:val="0"/>
                  <w:marBottom w:val="0"/>
                  <w:divBdr>
                    <w:top w:val="none" w:sz="0" w:space="0" w:color="auto"/>
                    <w:left w:val="none" w:sz="0" w:space="0" w:color="auto"/>
                    <w:bottom w:val="none" w:sz="0" w:space="0" w:color="auto"/>
                    <w:right w:val="none" w:sz="0" w:space="0" w:color="auto"/>
                  </w:divBdr>
                  <w:divsChild>
                    <w:div w:id="806438501">
                      <w:marLeft w:val="0"/>
                      <w:marRight w:val="0"/>
                      <w:marTop w:val="0"/>
                      <w:marBottom w:val="0"/>
                      <w:divBdr>
                        <w:top w:val="none" w:sz="0" w:space="0" w:color="auto"/>
                        <w:left w:val="none" w:sz="0" w:space="0" w:color="auto"/>
                        <w:bottom w:val="none" w:sz="0" w:space="0" w:color="auto"/>
                        <w:right w:val="none" w:sz="0" w:space="0" w:color="auto"/>
                      </w:divBdr>
                      <w:divsChild>
                        <w:div w:id="1079596353">
                          <w:marLeft w:val="0"/>
                          <w:marRight w:val="0"/>
                          <w:marTop w:val="0"/>
                          <w:marBottom w:val="0"/>
                          <w:divBdr>
                            <w:top w:val="none" w:sz="0" w:space="0" w:color="auto"/>
                            <w:left w:val="none" w:sz="0" w:space="0" w:color="auto"/>
                            <w:bottom w:val="none" w:sz="0" w:space="0" w:color="auto"/>
                            <w:right w:val="none" w:sz="0" w:space="0" w:color="auto"/>
                          </w:divBdr>
                          <w:divsChild>
                            <w:div w:id="928737616">
                              <w:marLeft w:val="0"/>
                              <w:marRight w:val="0"/>
                              <w:marTop w:val="0"/>
                              <w:marBottom w:val="0"/>
                              <w:divBdr>
                                <w:top w:val="none" w:sz="0" w:space="0" w:color="auto"/>
                                <w:left w:val="none" w:sz="0" w:space="0" w:color="auto"/>
                                <w:bottom w:val="none" w:sz="0" w:space="0" w:color="auto"/>
                                <w:right w:val="none" w:sz="0" w:space="0" w:color="auto"/>
                              </w:divBdr>
                              <w:divsChild>
                                <w:div w:id="1790124509">
                                  <w:marLeft w:val="0"/>
                                  <w:marRight w:val="0"/>
                                  <w:marTop w:val="0"/>
                                  <w:marBottom w:val="0"/>
                                  <w:divBdr>
                                    <w:top w:val="none" w:sz="0" w:space="0" w:color="auto"/>
                                    <w:left w:val="none" w:sz="0" w:space="0" w:color="auto"/>
                                    <w:bottom w:val="none" w:sz="0" w:space="0" w:color="auto"/>
                                    <w:right w:val="none" w:sz="0" w:space="0" w:color="auto"/>
                                  </w:divBdr>
                                  <w:divsChild>
                                    <w:div w:id="1215237303">
                                      <w:marLeft w:val="0"/>
                                      <w:marRight w:val="0"/>
                                      <w:marTop w:val="0"/>
                                      <w:marBottom w:val="0"/>
                                      <w:divBdr>
                                        <w:top w:val="none" w:sz="0" w:space="0" w:color="auto"/>
                                        <w:left w:val="none" w:sz="0" w:space="0" w:color="auto"/>
                                        <w:bottom w:val="none" w:sz="0" w:space="0" w:color="auto"/>
                                        <w:right w:val="none" w:sz="0" w:space="0" w:color="auto"/>
                                      </w:divBdr>
                                    </w:div>
                                    <w:div w:id="1824421525">
                                      <w:marLeft w:val="0"/>
                                      <w:marRight w:val="0"/>
                                      <w:marTop w:val="0"/>
                                      <w:marBottom w:val="0"/>
                                      <w:divBdr>
                                        <w:top w:val="none" w:sz="0" w:space="0" w:color="auto"/>
                                        <w:left w:val="none" w:sz="0" w:space="0" w:color="auto"/>
                                        <w:bottom w:val="none" w:sz="0" w:space="0" w:color="auto"/>
                                        <w:right w:val="none" w:sz="0" w:space="0" w:color="auto"/>
                                      </w:divBdr>
                                      <w:divsChild>
                                        <w:div w:id="816841814">
                                          <w:marLeft w:val="0"/>
                                          <w:marRight w:val="0"/>
                                          <w:marTop w:val="0"/>
                                          <w:marBottom w:val="0"/>
                                          <w:divBdr>
                                            <w:top w:val="none" w:sz="0" w:space="0" w:color="auto"/>
                                            <w:left w:val="none" w:sz="0" w:space="0" w:color="auto"/>
                                            <w:bottom w:val="none" w:sz="0" w:space="0" w:color="auto"/>
                                            <w:right w:val="none" w:sz="0" w:space="0" w:color="auto"/>
                                          </w:divBdr>
                                        </w:div>
                                        <w:div w:id="1629042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468670169">
      <w:bodyDiv w:val="1"/>
      <w:marLeft w:val="0"/>
      <w:marRight w:val="0"/>
      <w:marTop w:val="0"/>
      <w:marBottom w:val="0"/>
      <w:divBdr>
        <w:top w:val="none" w:sz="0" w:space="0" w:color="auto"/>
        <w:left w:val="none" w:sz="0" w:space="0" w:color="auto"/>
        <w:bottom w:val="none" w:sz="0" w:space="0" w:color="auto"/>
        <w:right w:val="none" w:sz="0" w:space="0" w:color="auto"/>
      </w:divBdr>
    </w:div>
    <w:div w:id="468791857">
      <w:bodyDiv w:val="1"/>
      <w:marLeft w:val="0"/>
      <w:marRight w:val="0"/>
      <w:marTop w:val="0"/>
      <w:marBottom w:val="0"/>
      <w:divBdr>
        <w:top w:val="none" w:sz="0" w:space="0" w:color="auto"/>
        <w:left w:val="none" w:sz="0" w:space="0" w:color="auto"/>
        <w:bottom w:val="none" w:sz="0" w:space="0" w:color="auto"/>
        <w:right w:val="none" w:sz="0" w:space="0" w:color="auto"/>
      </w:divBdr>
    </w:div>
    <w:div w:id="475533749">
      <w:bodyDiv w:val="1"/>
      <w:marLeft w:val="0"/>
      <w:marRight w:val="0"/>
      <w:marTop w:val="0"/>
      <w:marBottom w:val="0"/>
      <w:divBdr>
        <w:top w:val="none" w:sz="0" w:space="0" w:color="auto"/>
        <w:left w:val="none" w:sz="0" w:space="0" w:color="auto"/>
        <w:bottom w:val="none" w:sz="0" w:space="0" w:color="auto"/>
        <w:right w:val="none" w:sz="0" w:space="0" w:color="auto"/>
      </w:divBdr>
    </w:div>
    <w:div w:id="477261168">
      <w:bodyDiv w:val="1"/>
      <w:marLeft w:val="0"/>
      <w:marRight w:val="0"/>
      <w:marTop w:val="0"/>
      <w:marBottom w:val="0"/>
      <w:divBdr>
        <w:top w:val="none" w:sz="0" w:space="0" w:color="auto"/>
        <w:left w:val="none" w:sz="0" w:space="0" w:color="auto"/>
        <w:bottom w:val="none" w:sz="0" w:space="0" w:color="auto"/>
        <w:right w:val="none" w:sz="0" w:space="0" w:color="auto"/>
      </w:divBdr>
      <w:divsChild>
        <w:div w:id="1122069872">
          <w:marLeft w:val="0"/>
          <w:marRight w:val="0"/>
          <w:marTop w:val="0"/>
          <w:marBottom w:val="0"/>
          <w:divBdr>
            <w:top w:val="none" w:sz="0" w:space="0" w:color="auto"/>
            <w:left w:val="none" w:sz="0" w:space="0" w:color="auto"/>
            <w:bottom w:val="none" w:sz="0" w:space="0" w:color="auto"/>
            <w:right w:val="none" w:sz="0" w:space="0" w:color="auto"/>
          </w:divBdr>
        </w:div>
        <w:div w:id="1232542440">
          <w:marLeft w:val="0"/>
          <w:marRight w:val="0"/>
          <w:marTop w:val="0"/>
          <w:marBottom w:val="0"/>
          <w:divBdr>
            <w:top w:val="none" w:sz="0" w:space="0" w:color="auto"/>
            <w:left w:val="none" w:sz="0" w:space="0" w:color="auto"/>
            <w:bottom w:val="none" w:sz="0" w:space="0" w:color="auto"/>
            <w:right w:val="none" w:sz="0" w:space="0" w:color="auto"/>
          </w:divBdr>
        </w:div>
      </w:divsChild>
    </w:div>
    <w:div w:id="482354144">
      <w:bodyDiv w:val="1"/>
      <w:marLeft w:val="0"/>
      <w:marRight w:val="0"/>
      <w:marTop w:val="0"/>
      <w:marBottom w:val="0"/>
      <w:divBdr>
        <w:top w:val="none" w:sz="0" w:space="0" w:color="auto"/>
        <w:left w:val="none" w:sz="0" w:space="0" w:color="auto"/>
        <w:bottom w:val="none" w:sz="0" w:space="0" w:color="auto"/>
        <w:right w:val="none" w:sz="0" w:space="0" w:color="auto"/>
      </w:divBdr>
    </w:div>
    <w:div w:id="492796595">
      <w:bodyDiv w:val="1"/>
      <w:marLeft w:val="0"/>
      <w:marRight w:val="0"/>
      <w:marTop w:val="0"/>
      <w:marBottom w:val="0"/>
      <w:divBdr>
        <w:top w:val="none" w:sz="0" w:space="0" w:color="auto"/>
        <w:left w:val="none" w:sz="0" w:space="0" w:color="auto"/>
        <w:bottom w:val="none" w:sz="0" w:space="0" w:color="auto"/>
        <w:right w:val="none" w:sz="0" w:space="0" w:color="auto"/>
      </w:divBdr>
    </w:div>
    <w:div w:id="492961934">
      <w:bodyDiv w:val="1"/>
      <w:marLeft w:val="0"/>
      <w:marRight w:val="0"/>
      <w:marTop w:val="0"/>
      <w:marBottom w:val="0"/>
      <w:divBdr>
        <w:top w:val="none" w:sz="0" w:space="0" w:color="auto"/>
        <w:left w:val="none" w:sz="0" w:space="0" w:color="auto"/>
        <w:bottom w:val="none" w:sz="0" w:space="0" w:color="auto"/>
        <w:right w:val="none" w:sz="0" w:space="0" w:color="auto"/>
      </w:divBdr>
      <w:divsChild>
        <w:div w:id="1111508227">
          <w:marLeft w:val="0"/>
          <w:marRight w:val="0"/>
          <w:marTop w:val="0"/>
          <w:marBottom w:val="0"/>
          <w:divBdr>
            <w:top w:val="none" w:sz="0" w:space="0" w:color="auto"/>
            <w:left w:val="none" w:sz="0" w:space="0" w:color="auto"/>
            <w:bottom w:val="none" w:sz="0" w:space="0" w:color="auto"/>
            <w:right w:val="none" w:sz="0" w:space="0" w:color="auto"/>
          </w:divBdr>
        </w:div>
      </w:divsChild>
    </w:div>
    <w:div w:id="496461607">
      <w:bodyDiv w:val="1"/>
      <w:marLeft w:val="0"/>
      <w:marRight w:val="0"/>
      <w:marTop w:val="0"/>
      <w:marBottom w:val="0"/>
      <w:divBdr>
        <w:top w:val="none" w:sz="0" w:space="0" w:color="auto"/>
        <w:left w:val="none" w:sz="0" w:space="0" w:color="auto"/>
        <w:bottom w:val="none" w:sz="0" w:space="0" w:color="auto"/>
        <w:right w:val="none" w:sz="0" w:space="0" w:color="auto"/>
      </w:divBdr>
      <w:divsChild>
        <w:div w:id="588388835">
          <w:marLeft w:val="0"/>
          <w:marRight w:val="0"/>
          <w:marTop w:val="0"/>
          <w:marBottom w:val="0"/>
          <w:divBdr>
            <w:top w:val="none" w:sz="0" w:space="0" w:color="auto"/>
            <w:left w:val="none" w:sz="0" w:space="0" w:color="auto"/>
            <w:bottom w:val="none" w:sz="0" w:space="0" w:color="auto"/>
            <w:right w:val="none" w:sz="0" w:space="0" w:color="auto"/>
          </w:divBdr>
        </w:div>
        <w:div w:id="969164966">
          <w:marLeft w:val="0"/>
          <w:marRight w:val="0"/>
          <w:marTop w:val="0"/>
          <w:marBottom w:val="0"/>
          <w:divBdr>
            <w:top w:val="none" w:sz="0" w:space="0" w:color="auto"/>
            <w:left w:val="none" w:sz="0" w:space="0" w:color="auto"/>
            <w:bottom w:val="none" w:sz="0" w:space="0" w:color="auto"/>
            <w:right w:val="none" w:sz="0" w:space="0" w:color="auto"/>
          </w:divBdr>
        </w:div>
        <w:div w:id="1932470690">
          <w:marLeft w:val="0"/>
          <w:marRight w:val="0"/>
          <w:marTop w:val="0"/>
          <w:marBottom w:val="0"/>
          <w:divBdr>
            <w:top w:val="none" w:sz="0" w:space="0" w:color="auto"/>
            <w:left w:val="none" w:sz="0" w:space="0" w:color="auto"/>
            <w:bottom w:val="none" w:sz="0" w:space="0" w:color="auto"/>
            <w:right w:val="none" w:sz="0" w:space="0" w:color="auto"/>
          </w:divBdr>
        </w:div>
      </w:divsChild>
    </w:div>
    <w:div w:id="504443276">
      <w:bodyDiv w:val="1"/>
      <w:marLeft w:val="0"/>
      <w:marRight w:val="0"/>
      <w:marTop w:val="0"/>
      <w:marBottom w:val="0"/>
      <w:divBdr>
        <w:top w:val="none" w:sz="0" w:space="0" w:color="auto"/>
        <w:left w:val="none" w:sz="0" w:space="0" w:color="auto"/>
        <w:bottom w:val="none" w:sz="0" w:space="0" w:color="auto"/>
        <w:right w:val="none" w:sz="0" w:space="0" w:color="auto"/>
      </w:divBdr>
      <w:divsChild>
        <w:div w:id="174273477">
          <w:marLeft w:val="0"/>
          <w:marRight w:val="0"/>
          <w:marTop w:val="0"/>
          <w:marBottom w:val="0"/>
          <w:divBdr>
            <w:top w:val="none" w:sz="0" w:space="0" w:color="auto"/>
            <w:left w:val="none" w:sz="0" w:space="0" w:color="auto"/>
            <w:bottom w:val="none" w:sz="0" w:space="0" w:color="auto"/>
            <w:right w:val="none" w:sz="0" w:space="0" w:color="auto"/>
          </w:divBdr>
        </w:div>
        <w:div w:id="1247030689">
          <w:marLeft w:val="0"/>
          <w:marRight w:val="0"/>
          <w:marTop w:val="0"/>
          <w:marBottom w:val="0"/>
          <w:divBdr>
            <w:top w:val="none" w:sz="0" w:space="0" w:color="auto"/>
            <w:left w:val="none" w:sz="0" w:space="0" w:color="auto"/>
            <w:bottom w:val="none" w:sz="0" w:space="0" w:color="auto"/>
            <w:right w:val="none" w:sz="0" w:space="0" w:color="auto"/>
          </w:divBdr>
        </w:div>
      </w:divsChild>
    </w:div>
    <w:div w:id="507714630">
      <w:bodyDiv w:val="1"/>
      <w:marLeft w:val="0"/>
      <w:marRight w:val="0"/>
      <w:marTop w:val="0"/>
      <w:marBottom w:val="0"/>
      <w:divBdr>
        <w:top w:val="none" w:sz="0" w:space="0" w:color="auto"/>
        <w:left w:val="none" w:sz="0" w:space="0" w:color="auto"/>
        <w:bottom w:val="none" w:sz="0" w:space="0" w:color="auto"/>
        <w:right w:val="none" w:sz="0" w:space="0" w:color="auto"/>
      </w:divBdr>
      <w:divsChild>
        <w:div w:id="1044525627">
          <w:marLeft w:val="0"/>
          <w:marRight w:val="0"/>
          <w:marTop w:val="0"/>
          <w:marBottom w:val="0"/>
          <w:divBdr>
            <w:top w:val="none" w:sz="0" w:space="0" w:color="auto"/>
            <w:left w:val="none" w:sz="0" w:space="0" w:color="auto"/>
            <w:bottom w:val="none" w:sz="0" w:space="0" w:color="auto"/>
            <w:right w:val="none" w:sz="0" w:space="0" w:color="auto"/>
          </w:divBdr>
        </w:div>
      </w:divsChild>
    </w:div>
    <w:div w:id="511918524">
      <w:bodyDiv w:val="1"/>
      <w:marLeft w:val="0"/>
      <w:marRight w:val="0"/>
      <w:marTop w:val="0"/>
      <w:marBottom w:val="0"/>
      <w:divBdr>
        <w:top w:val="none" w:sz="0" w:space="0" w:color="auto"/>
        <w:left w:val="none" w:sz="0" w:space="0" w:color="auto"/>
        <w:bottom w:val="none" w:sz="0" w:space="0" w:color="auto"/>
        <w:right w:val="none" w:sz="0" w:space="0" w:color="auto"/>
      </w:divBdr>
    </w:div>
    <w:div w:id="513493521">
      <w:bodyDiv w:val="1"/>
      <w:marLeft w:val="0"/>
      <w:marRight w:val="0"/>
      <w:marTop w:val="0"/>
      <w:marBottom w:val="0"/>
      <w:divBdr>
        <w:top w:val="none" w:sz="0" w:space="0" w:color="auto"/>
        <w:left w:val="none" w:sz="0" w:space="0" w:color="auto"/>
        <w:bottom w:val="none" w:sz="0" w:space="0" w:color="auto"/>
        <w:right w:val="none" w:sz="0" w:space="0" w:color="auto"/>
      </w:divBdr>
    </w:div>
    <w:div w:id="514923044">
      <w:bodyDiv w:val="1"/>
      <w:marLeft w:val="0"/>
      <w:marRight w:val="0"/>
      <w:marTop w:val="0"/>
      <w:marBottom w:val="0"/>
      <w:divBdr>
        <w:top w:val="none" w:sz="0" w:space="0" w:color="auto"/>
        <w:left w:val="none" w:sz="0" w:space="0" w:color="auto"/>
        <w:bottom w:val="none" w:sz="0" w:space="0" w:color="auto"/>
        <w:right w:val="none" w:sz="0" w:space="0" w:color="auto"/>
      </w:divBdr>
    </w:div>
    <w:div w:id="515464571">
      <w:bodyDiv w:val="1"/>
      <w:marLeft w:val="0"/>
      <w:marRight w:val="0"/>
      <w:marTop w:val="0"/>
      <w:marBottom w:val="0"/>
      <w:divBdr>
        <w:top w:val="none" w:sz="0" w:space="0" w:color="auto"/>
        <w:left w:val="none" w:sz="0" w:space="0" w:color="auto"/>
        <w:bottom w:val="none" w:sz="0" w:space="0" w:color="auto"/>
        <w:right w:val="none" w:sz="0" w:space="0" w:color="auto"/>
      </w:divBdr>
      <w:divsChild>
        <w:div w:id="891577048">
          <w:marLeft w:val="0"/>
          <w:marRight w:val="0"/>
          <w:marTop w:val="0"/>
          <w:marBottom w:val="0"/>
          <w:divBdr>
            <w:top w:val="none" w:sz="0" w:space="0" w:color="auto"/>
            <w:left w:val="none" w:sz="0" w:space="0" w:color="auto"/>
            <w:bottom w:val="none" w:sz="0" w:space="0" w:color="auto"/>
            <w:right w:val="none" w:sz="0" w:space="0" w:color="auto"/>
          </w:divBdr>
        </w:div>
        <w:div w:id="1948998343">
          <w:marLeft w:val="0"/>
          <w:marRight w:val="0"/>
          <w:marTop w:val="0"/>
          <w:marBottom w:val="0"/>
          <w:divBdr>
            <w:top w:val="none" w:sz="0" w:space="0" w:color="auto"/>
            <w:left w:val="none" w:sz="0" w:space="0" w:color="auto"/>
            <w:bottom w:val="none" w:sz="0" w:space="0" w:color="auto"/>
            <w:right w:val="none" w:sz="0" w:space="0" w:color="auto"/>
          </w:divBdr>
        </w:div>
      </w:divsChild>
    </w:div>
    <w:div w:id="516113597">
      <w:bodyDiv w:val="1"/>
      <w:marLeft w:val="0"/>
      <w:marRight w:val="0"/>
      <w:marTop w:val="0"/>
      <w:marBottom w:val="0"/>
      <w:divBdr>
        <w:top w:val="none" w:sz="0" w:space="0" w:color="auto"/>
        <w:left w:val="none" w:sz="0" w:space="0" w:color="auto"/>
        <w:bottom w:val="none" w:sz="0" w:space="0" w:color="auto"/>
        <w:right w:val="none" w:sz="0" w:space="0" w:color="auto"/>
      </w:divBdr>
      <w:divsChild>
        <w:div w:id="449057392">
          <w:marLeft w:val="0"/>
          <w:marRight w:val="0"/>
          <w:marTop w:val="0"/>
          <w:marBottom w:val="0"/>
          <w:divBdr>
            <w:top w:val="none" w:sz="0" w:space="0" w:color="auto"/>
            <w:left w:val="none" w:sz="0" w:space="0" w:color="auto"/>
            <w:bottom w:val="none" w:sz="0" w:space="0" w:color="auto"/>
            <w:right w:val="none" w:sz="0" w:space="0" w:color="auto"/>
          </w:divBdr>
        </w:div>
        <w:div w:id="1565871093">
          <w:marLeft w:val="0"/>
          <w:marRight w:val="0"/>
          <w:marTop w:val="0"/>
          <w:marBottom w:val="0"/>
          <w:divBdr>
            <w:top w:val="none" w:sz="0" w:space="0" w:color="auto"/>
            <w:left w:val="none" w:sz="0" w:space="0" w:color="auto"/>
            <w:bottom w:val="none" w:sz="0" w:space="0" w:color="auto"/>
            <w:right w:val="none" w:sz="0" w:space="0" w:color="auto"/>
          </w:divBdr>
        </w:div>
      </w:divsChild>
    </w:div>
    <w:div w:id="519247967">
      <w:bodyDiv w:val="1"/>
      <w:marLeft w:val="0"/>
      <w:marRight w:val="0"/>
      <w:marTop w:val="0"/>
      <w:marBottom w:val="0"/>
      <w:divBdr>
        <w:top w:val="none" w:sz="0" w:space="0" w:color="auto"/>
        <w:left w:val="none" w:sz="0" w:space="0" w:color="auto"/>
        <w:bottom w:val="none" w:sz="0" w:space="0" w:color="auto"/>
        <w:right w:val="none" w:sz="0" w:space="0" w:color="auto"/>
      </w:divBdr>
      <w:divsChild>
        <w:div w:id="107819304">
          <w:marLeft w:val="0"/>
          <w:marRight w:val="0"/>
          <w:marTop w:val="0"/>
          <w:marBottom w:val="0"/>
          <w:divBdr>
            <w:top w:val="none" w:sz="0" w:space="0" w:color="auto"/>
            <w:left w:val="none" w:sz="0" w:space="0" w:color="auto"/>
            <w:bottom w:val="none" w:sz="0" w:space="0" w:color="auto"/>
            <w:right w:val="none" w:sz="0" w:space="0" w:color="auto"/>
          </w:divBdr>
        </w:div>
        <w:div w:id="706874012">
          <w:marLeft w:val="0"/>
          <w:marRight w:val="0"/>
          <w:marTop w:val="0"/>
          <w:marBottom w:val="0"/>
          <w:divBdr>
            <w:top w:val="none" w:sz="0" w:space="0" w:color="auto"/>
            <w:left w:val="none" w:sz="0" w:space="0" w:color="auto"/>
            <w:bottom w:val="none" w:sz="0" w:space="0" w:color="auto"/>
            <w:right w:val="none" w:sz="0" w:space="0" w:color="auto"/>
          </w:divBdr>
        </w:div>
        <w:div w:id="1393650186">
          <w:marLeft w:val="0"/>
          <w:marRight w:val="0"/>
          <w:marTop w:val="0"/>
          <w:marBottom w:val="0"/>
          <w:divBdr>
            <w:top w:val="none" w:sz="0" w:space="0" w:color="auto"/>
            <w:left w:val="none" w:sz="0" w:space="0" w:color="auto"/>
            <w:bottom w:val="none" w:sz="0" w:space="0" w:color="auto"/>
            <w:right w:val="none" w:sz="0" w:space="0" w:color="auto"/>
          </w:divBdr>
        </w:div>
      </w:divsChild>
    </w:div>
    <w:div w:id="520316813">
      <w:bodyDiv w:val="1"/>
      <w:marLeft w:val="0"/>
      <w:marRight w:val="0"/>
      <w:marTop w:val="0"/>
      <w:marBottom w:val="0"/>
      <w:divBdr>
        <w:top w:val="none" w:sz="0" w:space="0" w:color="auto"/>
        <w:left w:val="none" w:sz="0" w:space="0" w:color="auto"/>
        <w:bottom w:val="none" w:sz="0" w:space="0" w:color="auto"/>
        <w:right w:val="none" w:sz="0" w:space="0" w:color="auto"/>
      </w:divBdr>
    </w:div>
    <w:div w:id="524756091">
      <w:bodyDiv w:val="1"/>
      <w:marLeft w:val="0"/>
      <w:marRight w:val="0"/>
      <w:marTop w:val="0"/>
      <w:marBottom w:val="0"/>
      <w:divBdr>
        <w:top w:val="none" w:sz="0" w:space="0" w:color="auto"/>
        <w:left w:val="none" w:sz="0" w:space="0" w:color="auto"/>
        <w:bottom w:val="none" w:sz="0" w:space="0" w:color="auto"/>
        <w:right w:val="none" w:sz="0" w:space="0" w:color="auto"/>
      </w:divBdr>
    </w:div>
    <w:div w:id="526409056">
      <w:bodyDiv w:val="1"/>
      <w:marLeft w:val="0"/>
      <w:marRight w:val="0"/>
      <w:marTop w:val="0"/>
      <w:marBottom w:val="0"/>
      <w:divBdr>
        <w:top w:val="none" w:sz="0" w:space="0" w:color="auto"/>
        <w:left w:val="none" w:sz="0" w:space="0" w:color="auto"/>
        <w:bottom w:val="none" w:sz="0" w:space="0" w:color="auto"/>
        <w:right w:val="none" w:sz="0" w:space="0" w:color="auto"/>
      </w:divBdr>
    </w:div>
    <w:div w:id="528027843">
      <w:bodyDiv w:val="1"/>
      <w:marLeft w:val="0"/>
      <w:marRight w:val="0"/>
      <w:marTop w:val="0"/>
      <w:marBottom w:val="0"/>
      <w:divBdr>
        <w:top w:val="none" w:sz="0" w:space="0" w:color="auto"/>
        <w:left w:val="none" w:sz="0" w:space="0" w:color="auto"/>
        <w:bottom w:val="none" w:sz="0" w:space="0" w:color="auto"/>
        <w:right w:val="none" w:sz="0" w:space="0" w:color="auto"/>
      </w:divBdr>
    </w:div>
    <w:div w:id="539711229">
      <w:bodyDiv w:val="1"/>
      <w:marLeft w:val="0"/>
      <w:marRight w:val="0"/>
      <w:marTop w:val="0"/>
      <w:marBottom w:val="0"/>
      <w:divBdr>
        <w:top w:val="none" w:sz="0" w:space="0" w:color="auto"/>
        <w:left w:val="none" w:sz="0" w:space="0" w:color="auto"/>
        <w:bottom w:val="none" w:sz="0" w:space="0" w:color="auto"/>
        <w:right w:val="none" w:sz="0" w:space="0" w:color="auto"/>
      </w:divBdr>
    </w:div>
    <w:div w:id="542251237">
      <w:bodyDiv w:val="1"/>
      <w:marLeft w:val="0"/>
      <w:marRight w:val="0"/>
      <w:marTop w:val="0"/>
      <w:marBottom w:val="0"/>
      <w:divBdr>
        <w:top w:val="none" w:sz="0" w:space="0" w:color="auto"/>
        <w:left w:val="none" w:sz="0" w:space="0" w:color="auto"/>
        <w:bottom w:val="none" w:sz="0" w:space="0" w:color="auto"/>
        <w:right w:val="none" w:sz="0" w:space="0" w:color="auto"/>
      </w:divBdr>
    </w:div>
    <w:div w:id="542331398">
      <w:bodyDiv w:val="1"/>
      <w:marLeft w:val="0"/>
      <w:marRight w:val="0"/>
      <w:marTop w:val="0"/>
      <w:marBottom w:val="0"/>
      <w:divBdr>
        <w:top w:val="none" w:sz="0" w:space="0" w:color="auto"/>
        <w:left w:val="none" w:sz="0" w:space="0" w:color="auto"/>
        <w:bottom w:val="none" w:sz="0" w:space="0" w:color="auto"/>
        <w:right w:val="none" w:sz="0" w:space="0" w:color="auto"/>
      </w:divBdr>
    </w:div>
    <w:div w:id="544027631">
      <w:bodyDiv w:val="1"/>
      <w:marLeft w:val="0"/>
      <w:marRight w:val="0"/>
      <w:marTop w:val="0"/>
      <w:marBottom w:val="0"/>
      <w:divBdr>
        <w:top w:val="none" w:sz="0" w:space="0" w:color="auto"/>
        <w:left w:val="none" w:sz="0" w:space="0" w:color="auto"/>
        <w:bottom w:val="none" w:sz="0" w:space="0" w:color="auto"/>
        <w:right w:val="none" w:sz="0" w:space="0" w:color="auto"/>
      </w:divBdr>
    </w:div>
    <w:div w:id="544413257">
      <w:bodyDiv w:val="1"/>
      <w:marLeft w:val="0"/>
      <w:marRight w:val="0"/>
      <w:marTop w:val="0"/>
      <w:marBottom w:val="0"/>
      <w:divBdr>
        <w:top w:val="none" w:sz="0" w:space="0" w:color="auto"/>
        <w:left w:val="none" w:sz="0" w:space="0" w:color="auto"/>
        <w:bottom w:val="none" w:sz="0" w:space="0" w:color="auto"/>
        <w:right w:val="none" w:sz="0" w:space="0" w:color="auto"/>
      </w:divBdr>
    </w:div>
    <w:div w:id="545606192">
      <w:bodyDiv w:val="1"/>
      <w:marLeft w:val="0"/>
      <w:marRight w:val="0"/>
      <w:marTop w:val="0"/>
      <w:marBottom w:val="0"/>
      <w:divBdr>
        <w:top w:val="none" w:sz="0" w:space="0" w:color="auto"/>
        <w:left w:val="none" w:sz="0" w:space="0" w:color="auto"/>
        <w:bottom w:val="none" w:sz="0" w:space="0" w:color="auto"/>
        <w:right w:val="none" w:sz="0" w:space="0" w:color="auto"/>
      </w:divBdr>
      <w:divsChild>
        <w:div w:id="1712220178">
          <w:marLeft w:val="0"/>
          <w:marRight w:val="0"/>
          <w:marTop w:val="0"/>
          <w:marBottom w:val="0"/>
          <w:divBdr>
            <w:top w:val="none" w:sz="0" w:space="0" w:color="auto"/>
            <w:left w:val="none" w:sz="0" w:space="0" w:color="auto"/>
            <w:bottom w:val="none" w:sz="0" w:space="0" w:color="auto"/>
            <w:right w:val="none" w:sz="0" w:space="0" w:color="auto"/>
          </w:divBdr>
        </w:div>
        <w:div w:id="1923099470">
          <w:marLeft w:val="0"/>
          <w:marRight w:val="0"/>
          <w:marTop w:val="0"/>
          <w:marBottom w:val="0"/>
          <w:divBdr>
            <w:top w:val="none" w:sz="0" w:space="0" w:color="auto"/>
            <w:left w:val="none" w:sz="0" w:space="0" w:color="auto"/>
            <w:bottom w:val="none" w:sz="0" w:space="0" w:color="auto"/>
            <w:right w:val="none" w:sz="0" w:space="0" w:color="auto"/>
          </w:divBdr>
        </w:div>
      </w:divsChild>
    </w:div>
    <w:div w:id="546995748">
      <w:bodyDiv w:val="1"/>
      <w:marLeft w:val="0"/>
      <w:marRight w:val="0"/>
      <w:marTop w:val="0"/>
      <w:marBottom w:val="0"/>
      <w:divBdr>
        <w:top w:val="none" w:sz="0" w:space="0" w:color="auto"/>
        <w:left w:val="none" w:sz="0" w:space="0" w:color="auto"/>
        <w:bottom w:val="none" w:sz="0" w:space="0" w:color="auto"/>
        <w:right w:val="none" w:sz="0" w:space="0" w:color="auto"/>
      </w:divBdr>
      <w:divsChild>
        <w:div w:id="671955716">
          <w:marLeft w:val="0"/>
          <w:marRight w:val="0"/>
          <w:marTop w:val="0"/>
          <w:marBottom w:val="0"/>
          <w:divBdr>
            <w:top w:val="none" w:sz="0" w:space="0" w:color="auto"/>
            <w:left w:val="none" w:sz="0" w:space="0" w:color="auto"/>
            <w:bottom w:val="none" w:sz="0" w:space="0" w:color="auto"/>
            <w:right w:val="none" w:sz="0" w:space="0" w:color="auto"/>
          </w:divBdr>
        </w:div>
        <w:div w:id="727266228">
          <w:marLeft w:val="0"/>
          <w:marRight w:val="0"/>
          <w:marTop w:val="0"/>
          <w:marBottom w:val="0"/>
          <w:divBdr>
            <w:top w:val="none" w:sz="0" w:space="0" w:color="auto"/>
            <w:left w:val="none" w:sz="0" w:space="0" w:color="auto"/>
            <w:bottom w:val="none" w:sz="0" w:space="0" w:color="auto"/>
            <w:right w:val="none" w:sz="0" w:space="0" w:color="auto"/>
          </w:divBdr>
        </w:div>
      </w:divsChild>
    </w:div>
    <w:div w:id="547764894">
      <w:bodyDiv w:val="1"/>
      <w:marLeft w:val="0"/>
      <w:marRight w:val="0"/>
      <w:marTop w:val="0"/>
      <w:marBottom w:val="0"/>
      <w:divBdr>
        <w:top w:val="none" w:sz="0" w:space="0" w:color="auto"/>
        <w:left w:val="none" w:sz="0" w:space="0" w:color="auto"/>
        <w:bottom w:val="none" w:sz="0" w:space="0" w:color="auto"/>
        <w:right w:val="none" w:sz="0" w:space="0" w:color="auto"/>
      </w:divBdr>
      <w:divsChild>
        <w:div w:id="322124812">
          <w:marLeft w:val="0"/>
          <w:marRight w:val="0"/>
          <w:marTop w:val="0"/>
          <w:marBottom w:val="0"/>
          <w:divBdr>
            <w:top w:val="none" w:sz="0" w:space="0" w:color="auto"/>
            <w:left w:val="none" w:sz="0" w:space="0" w:color="auto"/>
            <w:bottom w:val="none" w:sz="0" w:space="0" w:color="auto"/>
            <w:right w:val="none" w:sz="0" w:space="0" w:color="auto"/>
          </w:divBdr>
          <w:divsChild>
            <w:div w:id="460342603">
              <w:marLeft w:val="0"/>
              <w:marRight w:val="0"/>
              <w:marTop w:val="0"/>
              <w:marBottom w:val="0"/>
              <w:divBdr>
                <w:top w:val="none" w:sz="0" w:space="0" w:color="auto"/>
                <w:left w:val="none" w:sz="0" w:space="0" w:color="auto"/>
                <w:bottom w:val="none" w:sz="0" w:space="0" w:color="auto"/>
                <w:right w:val="none" w:sz="0" w:space="0" w:color="auto"/>
              </w:divBdr>
              <w:divsChild>
                <w:div w:id="945190988">
                  <w:marLeft w:val="0"/>
                  <w:marRight w:val="0"/>
                  <w:marTop w:val="0"/>
                  <w:marBottom w:val="0"/>
                  <w:divBdr>
                    <w:top w:val="none" w:sz="0" w:space="0" w:color="auto"/>
                    <w:left w:val="none" w:sz="0" w:space="0" w:color="auto"/>
                    <w:bottom w:val="none" w:sz="0" w:space="0" w:color="auto"/>
                    <w:right w:val="none" w:sz="0" w:space="0" w:color="auto"/>
                  </w:divBdr>
                </w:div>
                <w:div w:id="1654137700">
                  <w:marLeft w:val="0"/>
                  <w:marRight w:val="0"/>
                  <w:marTop w:val="0"/>
                  <w:marBottom w:val="0"/>
                  <w:divBdr>
                    <w:top w:val="none" w:sz="0" w:space="0" w:color="auto"/>
                    <w:left w:val="none" w:sz="0" w:space="0" w:color="auto"/>
                    <w:bottom w:val="none" w:sz="0" w:space="0" w:color="auto"/>
                    <w:right w:val="none" w:sz="0" w:space="0" w:color="auto"/>
                  </w:divBdr>
                </w:div>
              </w:divsChild>
            </w:div>
            <w:div w:id="2091583095">
              <w:marLeft w:val="0"/>
              <w:marRight w:val="0"/>
              <w:marTop w:val="0"/>
              <w:marBottom w:val="0"/>
              <w:divBdr>
                <w:top w:val="none" w:sz="0" w:space="0" w:color="auto"/>
                <w:left w:val="none" w:sz="0" w:space="0" w:color="auto"/>
                <w:bottom w:val="none" w:sz="0" w:space="0" w:color="auto"/>
                <w:right w:val="none" w:sz="0" w:space="0" w:color="auto"/>
              </w:divBdr>
              <w:divsChild>
                <w:div w:id="256521937">
                  <w:marLeft w:val="0"/>
                  <w:marRight w:val="0"/>
                  <w:marTop w:val="0"/>
                  <w:marBottom w:val="0"/>
                  <w:divBdr>
                    <w:top w:val="none" w:sz="0" w:space="0" w:color="auto"/>
                    <w:left w:val="none" w:sz="0" w:space="0" w:color="auto"/>
                    <w:bottom w:val="none" w:sz="0" w:space="0" w:color="auto"/>
                    <w:right w:val="none" w:sz="0" w:space="0" w:color="auto"/>
                  </w:divBdr>
                </w:div>
                <w:div w:id="1693258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4219158">
          <w:marLeft w:val="0"/>
          <w:marRight w:val="0"/>
          <w:marTop w:val="0"/>
          <w:marBottom w:val="0"/>
          <w:divBdr>
            <w:top w:val="none" w:sz="0" w:space="0" w:color="auto"/>
            <w:left w:val="none" w:sz="0" w:space="0" w:color="auto"/>
            <w:bottom w:val="none" w:sz="0" w:space="0" w:color="auto"/>
            <w:right w:val="none" w:sz="0" w:space="0" w:color="auto"/>
          </w:divBdr>
          <w:divsChild>
            <w:div w:id="570123093">
              <w:marLeft w:val="0"/>
              <w:marRight w:val="0"/>
              <w:marTop w:val="0"/>
              <w:marBottom w:val="0"/>
              <w:divBdr>
                <w:top w:val="none" w:sz="0" w:space="0" w:color="auto"/>
                <w:left w:val="none" w:sz="0" w:space="0" w:color="auto"/>
                <w:bottom w:val="none" w:sz="0" w:space="0" w:color="auto"/>
                <w:right w:val="none" w:sz="0" w:space="0" w:color="auto"/>
              </w:divBdr>
            </w:div>
            <w:div w:id="1279140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1961031">
      <w:bodyDiv w:val="1"/>
      <w:marLeft w:val="0"/>
      <w:marRight w:val="0"/>
      <w:marTop w:val="0"/>
      <w:marBottom w:val="0"/>
      <w:divBdr>
        <w:top w:val="none" w:sz="0" w:space="0" w:color="auto"/>
        <w:left w:val="none" w:sz="0" w:space="0" w:color="auto"/>
        <w:bottom w:val="none" w:sz="0" w:space="0" w:color="auto"/>
        <w:right w:val="none" w:sz="0" w:space="0" w:color="auto"/>
      </w:divBdr>
      <w:divsChild>
        <w:div w:id="520516259">
          <w:marLeft w:val="0"/>
          <w:marRight w:val="0"/>
          <w:marTop w:val="0"/>
          <w:marBottom w:val="0"/>
          <w:divBdr>
            <w:top w:val="none" w:sz="0" w:space="0" w:color="auto"/>
            <w:left w:val="none" w:sz="0" w:space="0" w:color="auto"/>
            <w:bottom w:val="none" w:sz="0" w:space="0" w:color="auto"/>
            <w:right w:val="none" w:sz="0" w:space="0" w:color="auto"/>
          </w:divBdr>
        </w:div>
        <w:div w:id="1445492128">
          <w:marLeft w:val="0"/>
          <w:marRight w:val="0"/>
          <w:marTop w:val="0"/>
          <w:marBottom w:val="0"/>
          <w:divBdr>
            <w:top w:val="none" w:sz="0" w:space="0" w:color="auto"/>
            <w:left w:val="none" w:sz="0" w:space="0" w:color="auto"/>
            <w:bottom w:val="none" w:sz="0" w:space="0" w:color="auto"/>
            <w:right w:val="none" w:sz="0" w:space="0" w:color="auto"/>
          </w:divBdr>
        </w:div>
        <w:div w:id="1756708290">
          <w:marLeft w:val="0"/>
          <w:marRight w:val="0"/>
          <w:marTop w:val="0"/>
          <w:marBottom w:val="0"/>
          <w:divBdr>
            <w:top w:val="none" w:sz="0" w:space="0" w:color="auto"/>
            <w:left w:val="none" w:sz="0" w:space="0" w:color="auto"/>
            <w:bottom w:val="none" w:sz="0" w:space="0" w:color="auto"/>
            <w:right w:val="none" w:sz="0" w:space="0" w:color="auto"/>
          </w:divBdr>
        </w:div>
        <w:div w:id="1850021593">
          <w:marLeft w:val="0"/>
          <w:marRight w:val="0"/>
          <w:marTop w:val="0"/>
          <w:marBottom w:val="0"/>
          <w:divBdr>
            <w:top w:val="none" w:sz="0" w:space="0" w:color="auto"/>
            <w:left w:val="none" w:sz="0" w:space="0" w:color="auto"/>
            <w:bottom w:val="none" w:sz="0" w:space="0" w:color="auto"/>
            <w:right w:val="none" w:sz="0" w:space="0" w:color="auto"/>
          </w:divBdr>
        </w:div>
      </w:divsChild>
    </w:div>
    <w:div w:id="554465051">
      <w:bodyDiv w:val="1"/>
      <w:marLeft w:val="0"/>
      <w:marRight w:val="0"/>
      <w:marTop w:val="0"/>
      <w:marBottom w:val="0"/>
      <w:divBdr>
        <w:top w:val="none" w:sz="0" w:space="0" w:color="auto"/>
        <w:left w:val="none" w:sz="0" w:space="0" w:color="auto"/>
        <w:bottom w:val="none" w:sz="0" w:space="0" w:color="auto"/>
        <w:right w:val="none" w:sz="0" w:space="0" w:color="auto"/>
      </w:divBdr>
    </w:div>
    <w:div w:id="554583793">
      <w:bodyDiv w:val="1"/>
      <w:marLeft w:val="0"/>
      <w:marRight w:val="0"/>
      <w:marTop w:val="0"/>
      <w:marBottom w:val="0"/>
      <w:divBdr>
        <w:top w:val="none" w:sz="0" w:space="0" w:color="auto"/>
        <w:left w:val="none" w:sz="0" w:space="0" w:color="auto"/>
        <w:bottom w:val="none" w:sz="0" w:space="0" w:color="auto"/>
        <w:right w:val="none" w:sz="0" w:space="0" w:color="auto"/>
      </w:divBdr>
      <w:divsChild>
        <w:div w:id="330371628">
          <w:marLeft w:val="0"/>
          <w:marRight w:val="0"/>
          <w:marTop w:val="0"/>
          <w:marBottom w:val="0"/>
          <w:divBdr>
            <w:top w:val="none" w:sz="0" w:space="0" w:color="auto"/>
            <w:left w:val="none" w:sz="0" w:space="0" w:color="auto"/>
            <w:bottom w:val="none" w:sz="0" w:space="0" w:color="auto"/>
            <w:right w:val="none" w:sz="0" w:space="0" w:color="auto"/>
          </w:divBdr>
        </w:div>
        <w:div w:id="1106731446">
          <w:marLeft w:val="0"/>
          <w:marRight w:val="0"/>
          <w:marTop w:val="0"/>
          <w:marBottom w:val="0"/>
          <w:divBdr>
            <w:top w:val="none" w:sz="0" w:space="0" w:color="auto"/>
            <w:left w:val="none" w:sz="0" w:space="0" w:color="auto"/>
            <w:bottom w:val="none" w:sz="0" w:space="0" w:color="auto"/>
            <w:right w:val="none" w:sz="0" w:space="0" w:color="auto"/>
          </w:divBdr>
        </w:div>
      </w:divsChild>
    </w:div>
    <w:div w:id="557785298">
      <w:bodyDiv w:val="1"/>
      <w:marLeft w:val="0"/>
      <w:marRight w:val="0"/>
      <w:marTop w:val="0"/>
      <w:marBottom w:val="0"/>
      <w:divBdr>
        <w:top w:val="none" w:sz="0" w:space="0" w:color="auto"/>
        <w:left w:val="none" w:sz="0" w:space="0" w:color="auto"/>
        <w:bottom w:val="none" w:sz="0" w:space="0" w:color="auto"/>
        <w:right w:val="none" w:sz="0" w:space="0" w:color="auto"/>
      </w:divBdr>
      <w:divsChild>
        <w:div w:id="820540335">
          <w:marLeft w:val="0"/>
          <w:marRight w:val="0"/>
          <w:marTop w:val="0"/>
          <w:marBottom w:val="0"/>
          <w:divBdr>
            <w:top w:val="none" w:sz="0" w:space="0" w:color="auto"/>
            <w:left w:val="none" w:sz="0" w:space="0" w:color="auto"/>
            <w:bottom w:val="none" w:sz="0" w:space="0" w:color="auto"/>
            <w:right w:val="none" w:sz="0" w:space="0" w:color="auto"/>
          </w:divBdr>
        </w:div>
      </w:divsChild>
    </w:div>
    <w:div w:id="559486263">
      <w:bodyDiv w:val="1"/>
      <w:marLeft w:val="0"/>
      <w:marRight w:val="0"/>
      <w:marTop w:val="0"/>
      <w:marBottom w:val="0"/>
      <w:divBdr>
        <w:top w:val="none" w:sz="0" w:space="0" w:color="auto"/>
        <w:left w:val="none" w:sz="0" w:space="0" w:color="auto"/>
        <w:bottom w:val="none" w:sz="0" w:space="0" w:color="auto"/>
        <w:right w:val="none" w:sz="0" w:space="0" w:color="auto"/>
      </w:divBdr>
      <w:divsChild>
        <w:div w:id="363290879">
          <w:marLeft w:val="0"/>
          <w:marRight w:val="0"/>
          <w:marTop w:val="0"/>
          <w:marBottom w:val="0"/>
          <w:divBdr>
            <w:top w:val="none" w:sz="0" w:space="0" w:color="auto"/>
            <w:left w:val="none" w:sz="0" w:space="0" w:color="auto"/>
            <w:bottom w:val="none" w:sz="0" w:space="0" w:color="auto"/>
            <w:right w:val="none" w:sz="0" w:space="0" w:color="auto"/>
          </w:divBdr>
        </w:div>
        <w:div w:id="1061754697">
          <w:marLeft w:val="0"/>
          <w:marRight w:val="0"/>
          <w:marTop w:val="0"/>
          <w:marBottom w:val="0"/>
          <w:divBdr>
            <w:top w:val="none" w:sz="0" w:space="0" w:color="auto"/>
            <w:left w:val="none" w:sz="0" w:space="0" w:color="auto"/>
            <w:bottom w:val="none" w:sz="0" w:space="0" w:color="auto"/>
            <w:right w:val="none" w:sz="0" w:space="0" w:color="auto"/>
          </w:divBdr>
        </w:div>
        <w:div w:id="1377393941">
          <w:marLeft w:val="0"/>
          <w:marRight w:val="0"/>
          <w:marTop w:val="0"/>
          <w:marBottom w:val="0"/>
          <w:divBdr>
            <w:top w:val="none" w:sz="0" w:space="0" w:color="auto"/>
            <w:left w:val="none" w:sz="0" w:space="0" w:color="auto"/>
            <w:bottom w:val="none" w:sz="0" w:space="0" w:color="auto"/>
            <w:right w:val="none" w:sz="0" w:space="0" w:color="auto"/>
          </w:divBdr>
        </w:div>
      </w:divsChild>
    </w:div>
    <w:div w:id="563568967">
      <w:bodyDiv w:val="1"/>
      <w:marLeft w:val="0"/>
      <w:marRight w:val="0"/>
      <w:marTop w:val="0"/>
      <w:marBottom w:val="0"/>
      <w:divBdr>
        <w:top w:val="none" w:sz="0" w:space="0" w:color="auto"/>
        <w:left w:val="none" w:sz="0" w:space="0" w:color="auto"/>
        <w:bottom w:val="none" w:sz="0" w:space="0" w:color="auto"/>
        <w:right w:val="none" w:sz="0" w:space="0" w:color="auto"/>
      </w:divBdr>
    </w:div>
    <w:div w:id="564880683">
      <w:bodyDiv w:val="1"/>
      <w:marLeft w:val="0"/>
      <w:marRight w:val="0"/>
      <w:marTop w:val="0"/>
      <w:marBottom w:val="0"/>
      <w:divBdr>
        <w:top w:val="none" w:sz="0" w:space="0" w:color="auto"/>
        <w:left w:val="none" w:sz="0" w:space="0" w:color="auto"/>
        <w:bottom w:val="none" w:sz="0" w:space="0" w:color="auto"/>
        <w:right w:val="none" w:sz="0" w:space="0" w:color="auto"/>
      </w:divBdr>
      <w:divsChild>
        <w:div w:id="523177954">
          <w:marLeft w:val="0"/>
          <w:marRight w:val="0"/>
          <w:marTop w:val="0"/>
          <w:marBottom w:val="0"/>
          <w:divBdr>
            <w:top w:val="none" w:sz="0" w:space="0" w:color="auto"/>
            <w:left w:val="none" w:sz="0" w:space="0" w:color="auto"/>
            <w:bottom w:val="none" w:sz="0" w:space="0" w:color="auto"/>
            <w:right w:val="none" w:sz="0" w:space="0" w:color="auto"/>
          </w:divBdr>
        </w:div>
        <w:div w:id="651446104">
          <w:marLeft w:val="0"/>
          <w:marRight w:val="0"/>
          <w:marTop w:val="0"/>
          <w:marBottom w:val="0"/>
          <w:divBdr>
            <w:top w:val="none" w:sz="0" w:space="0" w:color="auto"/>
            <w:left w:val="none" w:sz="0" w:space="0" w:color="auto"/>
            <w:bottom w:val="none" w:sz="0" w:space="0" w:color="auto"/>
            <w:right w:val="none" w:sz="0" w:space="0" w:color="auto"/>
          </w:divBdr>
        </w:div>
        <w:div w:id="1750032021">
          <w:marLeft w:val="0"/>
          <w:marRight w:val="0"/>
          <w:marTop w:val="0"/>
          <w:marBottom w:val="0"/>
          <w:divBdr>
            <w:top w:val="none" w:sz="0" w:space="0" w:color="auto"/>
            <w:left w:val="none" w:sz="0" w:space="0" w:color="auto"/>
            <w:bottom w:val="none" w:sz="0" w:space="0" w:color="auto"/>
            <w:right w:val="none" w:sz="0" w:space="0" w:color="auto"/>
          </w:divBdr>
        </w:div>
      </w:divsChild>
    </w:div>
    <w:div w:id="570778012">
      <w:bodyDiv w:val="1"/>
      <w:marLeft w:val="0"/>
      <w:marRight w:val="0"/>
      <w:marTop w:val="0"/>
      <w:marBottom w:val="0"/>
      <w:divBdr>
        <w:top w:val="none" w:sz="0" w:space="0" w:color="auto"/>
        <w:left w:val="none" w:sz="0" w:space="0" w:color="auto"/>
        <w:bottom w:val="none" w:sz="0" w:space="0" w:color="auto"/>
        <w:right w:val="none" w:sz="0" w:space="0" w:color="auto"/>
      </w:divBdr>
    </w:div>
    <w:div w:id="578028297">
      <w:bodyDiv w:val="1"/>
      <w:marLeft w:val="0"/>
      <w:marRight w:val="0"/>
      <w:marTop w:val="0"/>
      <w:marBottom w:val="0"/>
      <w:divBdr>
        <w:top w:val="none" w:sz="0" w:space="0" w:color="auto"/>
        <w:left w:val="none" w:sz="0" w:space="0" w:color="auto"/>
        <w:bottom w:val="none" w:sz="0" w:space="0" w:color="auto"/>
        <w:right w:val="none" w:sz="0" w:space="0" w:color="auto"/>
      </w:divBdr>
    </w:div>
    <w:div w:id="578180106">
      <w:bodyDiv w:val="1"/>
      <w:marLeft w:val="0"/>
      <w:marRight w:val="0"/>
      <w:marTop w:val="0"/>
      <w:marBottom w:val="0"/>
      <w:divBdr>
        <w:top w:val="none" w:sz="0" w:space="0" w:color="auto"/>
        <w:left w:val="none" w:sz="0" w:space="0" w:color="auto"/>
        <w:bottom w:val="none" w:sz="0" w:space="0" w:color="auto"/>
        <w:right w:val="none" w:sz="0" w:space="0" w:color="auto"/>
      </w:divBdr>
    </w:div>
    <w:div w:id="579410195">
      <w:bodyDiv w:val="1"/>
      <w:marLeft w:val="0"/>
      <w:marRight w:val="0"/>
      <w:marTop w:val="0"/>
      <w:marBottom w:val="0"/>
      <w:divBdr>
        <w:top w:val="none" w:sz="0" w:space="0" w:color="auto"/>
        <w:left w:val="none" w:sz="0" w:space="0" w:color="auto"/>
        <w:bottom w:val="none" w:sz="0" w:space="0" w:color="auto"/>
        <w:right w:val="none" w:sz="0" w:space="0" w:color="auto"/>
      </w:divBdr>
      <w:divsChild>
        <w:div w:id="52512323">
          <w:marLeft w:val="0"/>
          <w:marRight w:val="0"/>
          <w:marTop w:val="0"/>
          <w:marBottom w:val="0"/>
          <w:divBdr>
            <w:top w:val="none" w:sz="0" w:space="0" w:color="auto"/>
            <w:left w:val="none" w:sz="0" w:space="0" w:color="auto"/>
            <w:bottom w:val="none" w:sz="0" w:space="0" w:color="auto"/>
            <w:right w:val="none" w:sz="0" w:space="0" w:color="auto"/>
          </w:divBdr>
        </w:div>
        <w:div w:id="184251343">
          <w:marLeft w:val="0"/>
          <w:marRight w:val="0"/>
          <w:marTop w:val="0"/>
          <w:marBottom w:val="0"/>
          <w:divBdr>
            <w:top w:val="none" w:sz="0" w:space="0" w:color="auto"/>
            <w:left w:val="none" w:sz="0" w:space="0" w:color="auto"/>
            <w:bottom w:val="none" w:sz="0" w:space="0" w:color="auto"/>
            <w:right w:val="none" w:sz="0" w:space="0" w:color="auto"/>
          </w:divBdr>
        </w:div>
      </w:divsChild>
    </w:div>
    <w:div w:id="579410336">
      <w:bodyDiv w:val="1"/>
      <w:marLeft w:val="0"/>
      <w:marRight w:val="0"/>
      <w:marTop w:val="0"/>
      <w:marBottom w:val="0"/>
      <w:divBdr>
        <w:top w:val="none" w:sz="0" w:space="0" w:color="auto"/>
        <w:left w:val="none" w:sz="0" w:space="0" w:color="auto"/>
        <w:bottom w:val="none" w:sz="0" w:space="0" w:color="auto"/>
        <w:right w:val="none" w:sz="0" w:space="0" w:color="auto"/>
      </w:divBdr>
    </w:div>
    <w:div w:id="580258215">
      <w:bodyDiv w:val="1"/>
      <w:marLeft w:val="0"/>
      <w:marRight w:val="0"/>
      <w:marTop w:val="0"/>
      <w:marBottom w:val="0"/>
      <w:divBdr>
        <w:top w:val="none" w:sz="0" w:space="0" w:color="auto"/>
        <w:left w:val="none" w:sz="0" w:space="0" w:color="auto"/>
        <w:bottom w:val="none" w:sz="0" w:space="0" w:color="auto"/>
        <w:right w:val="none" w:sz="0" w:space="0" w:color="auto"/>
      </w:divBdr>
      <w:divsChild>
        <w:div w:id="299920543">
          <w:marLeft w:val="0"/>
          <w:marRight w:val="0"/>
          <w:marTop w:val="0"/>
          <w:marBottom w:val="0"/>
          <w:divBdr>
            <w:top w:val="none" w:sz="0" w:space="0" w:color="auto"/>
            <w:left w:val="none" w:sz="0" w:space="0" w:color="auto"/>
            <w:bottom w:val="none" w:sz="0" w:space="0" w:color="auto"/>
            <w:right w:val="none" w:sz="0" w:space="0" w:color="auto"/>
          </w:divBdr>
        </w:div>
        <w:div w:id="1928347129">
          <w:marLeft w:val="0"/>
          <w:marRight w:val="0"/>
          <w:marTop w:val="0"/>
          <w:marBottom w:val="0"/>
          <w:divBdr>
            <w:top w:val="none" w:sz="0" w:space="0" w:color="auto"/>
            <w:left w:val="none" w:sz="0" w:space="0" w:color="auto"/>
            <w:bottom w:val="none" w:sz="0" w:space="0" w:color="auto"/>
            <w:right w:val="none" w:sz="0" w:space="0" w:color="auto"/>
          </w:divBdr>
          <w:divsChild>
            <w:div w:id="943074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2615212">
      <w:bodyDiv w:val="1"/>
      <w:marLeft w:val="0"/>
      <w:marRight w:val="0"/>
      <w:marTop w:val="0"/>
      <w:marBottom w:val="0"/>
      <w:divBdr>
        <w:top w:val="none" w:sz="0" w:space="0" w:color="auto"/>
        <w:left w:val="none" w:sz="0" w:space="0" w:color="auto"/>
        <w:bottom w:val="none" w:sz="0" w:space="0" w:color="auto"/>
        <w:right w:val="none" w:sz="0" w:space="0" w:color="auto"/>
      </w:divBdr>
      <w:divsChild>
        <w:div w:id="1406344802">
          <w:marLeft w:val="0"/>
          <w:marRight w:val="0"/>
          <w:marTop w:val="0"/>
          <w:marBottom w:val="0"/>
          <w:divBdr>
            <w:top w:val="none" w:sz="0" w:space="0" w:color="auto"/>
            <w:left w:val="none" w:sz="0" w:space="0" w:color="auto"/>
            <w:bottom w:val="none" w:sz="0" w:space="0" w:color="auto"/>
            <w:right w:val="none" w:sz="0" w:space="0" w:color="auto"/>
          </w:divBdr>
          <w:divsChild>
            <w:div w:id="254676651">
              <w:marLeft w:val="0"/>
              <w:marRight w:val="0"/>
              <w:marTop w:val="0"/>
              <w:marBottom w:val="0"/>
              <w:divBdr>
                <w:top w:val="none" w:sz="0" w:space="0" w:color="auto"/>
                <w:left w:val="none" w:sz="0" w:space="0" w:color="auto"/>
                <w:bottom w:val="none" w:sz="0" w:space="0" w:color="auto"/>
                <w:right w:val="none" w:sz="0" w:space="0" w:color="auto"/>
              </w:divBdr>
            </w:div>
            <w:div w:id="1625699479">
              <w:marLeft w:val="0"/>
              <w:marRight w:val="0"/>
              <w:marTop w:val="0"/>
              <w:marBottom w:val="0"/>
              <w:divBdr>
                <w:top w:val="none" w:sz="0" w:space="0" w:color="auto"/>
                <w:left w:val="none" w:sz="0" w:space="0" w:color="auto"/>
                <w:bottom w:val="none" w:sz="0" w:space="0" w:color="auto"/>
                <w:right w:val="none" w:sz="0" w:space="0" w:color="auto"/>
              </w:divBdr>
            </w:div>
          </w:divsChild>
        </w:div>
        <w:div w:id="1601839372">
          <w:marLeft w:val="0"/>
          <w:marRight w:val="0"/>
          <w:marTop w:val="0"/>
          <w:marBottom w:val="0"/>
          <w:divBdr>
            <w:top w:val="none" w:sz="0" w:space="0" w:color="auto"/>
            <w:left w:val="none" w:sz="0" w:space="0" w:color="auto"/>
            <w:bottom w:val="none" w:sz="0" w:space="0" w:color="auto"/>
            <w:right w:val="none" w:sz="0" w:space="0" w:color="auto"/>
          </w:divBdr>
        </w:div>
      </w:divsChild>
    </w:div>
    <w:div w:id="583031911">
      <w:bodyDiv w:val="1"/>
      <w:marLeft w:val="0"/>
      <w:marRight w:val="0"/>
      <w:marTop w:val="0"/>
      <w:marBottom w:val="0"/>
      <w:divBdr>
        <w:top w:val="none" w:sz="0" w:space="0" w:color="auto"/>
        <w:left w:val="none" w:sz="0" w:space="0" w:color="auto"/>
        <w:bottom w:val="none" w:sz="0" w:space="0" w:color="auto"/>
        <w:right w:val="none" w:sz="0" w:space="0" w:color="auto"/>
      </w:divBdr>
    </w:div>
    <w:div w:id="585191365">
      <w:bodyDiv w:val="1"/>
      <w:marLeft w:val="0"/>
      <w:marRight w:val="0"/>
      <w:marTop w:val="0"/>
      <w:marBottom w:val="0"/>
      <w:divBdr>
        <w:top w:val="none" w:sz="0" w:space="0" w:color="auto"/>
        <w:left w:val="none" w:sz="0" w:space="0" w:color="auto"/>
        <w:bottom w:val="none" w:sz="0" w:space="0" w:color="auto"/>
        <w:right w:val="none" w:sz="0" w:space="0" w:color="auto"/>
      </w:divBdr>
    </w:div>
    <w:div w:id="585454445">
      <w:bodyDiv w:val="1"/>
      <w:marLeft w:val="0"/>
      <w:marRight w:val="0"/>
      <w:marTop w:val="0"/>
      <w:marBottom w:val="0"/>
      <w:divBdr>
        <w:top w:val="none" w:sz="0" w:space="0" w:color="auto"/>
        <w:left w:val="none" w:sz="0" w:space="0" w:color="auto"/>
        <w:bottom w:val="none" w:sz="0" w:space="0" w:color="auto"/>
        <w:right w:val="none" w:sz="0" w:space="0" w:color="auto"/>
      </w:divBdr>
    </w:div>
    <w:div w:id="585765228">
      <w:bodyDiv w:val="1"/>
      <w:marLeft w:val="0"/>
      <w:marRight w:val="0"/>
      <w:marTop w:val="0"/>
      <w:marBottom w:val="0"/>
      <w:divBdr>
        <w:top w:val="none" w:sz="0" w:space="0" w:color="auto"/>
        <w:left w:val="none" w:sz="0" w:space="0" w:color="auto"/>
        <w:bottom w:val="none" w:sz="0" w:space="0" w:color="auto"/>
        <w:right w:val="none" w:sz="0" w:space="0" w:color="auto"/>
      </w:divBdr>
    </w:div>
    <w:div w:id="587545839">
      <w:bodyDiv w:val="1"/>
      <w:marLeft w:val="0"/>
      <w:marRight w:val="0"/>
      <w:marTop w:val="0"/>
      <w:marBottom w:val="0"/>
      <w:divBdr>
        <w:top w:val="none" w:sz="0" w:space="0" w:color="auto"/>
        <w:left w:val="none" w:sz="0" w:space="0" w:color="auto"/>
        <w:bottom w:val="none" w:sz="0" w:space="0" w:color="auto"/>
        <w:right w:val="none" w:sz="0" w:space="0" w:color="auto"/>
      </w:divBdr>
    </w:div>
    <w:div w:id="595014564">
      <w:bodyDiv w:val="1"/>
      <w:marLeft w:val="0"/>
      <w:marRight w:val="0"/>
      <w:marTop w:val="0"/>
      <w:marBottom w:val="0"/>
      <w:divBdr>
        <w:top w:val="none" w:sz="0" w:space="0" w:color="auto"/>
        <w:left w:val="none" w:sz="0" w:space="0" w:color="auto"/>
        <w:bottom w:val="none" w:sz="0" w:space="0" w:color="auto"/>
        <w:right w:val="none" w:sz="0" w:space="0" w:color="auto"/>
      </w:divBdr>
      <w:divsChild>
        <w:div w:id="1236161608">
          <w:marLeft w:val="0"/>
          <w:marRight w:val="0"/>
          <w:marTop w:val="0"/>
          <w:marBottom w:val="0"/>
          <w:divBdr>
            <w:top w:val="none" w:sz="0" w:space="0" w:color="auto"/>
            <w:left w:val="none" w:sz="0" w:space="0" w:color="auto"/>
            <w:bottom w:val="none" w:sz="0" w:space="0" w:color="auto"/>
            <w:right w:val="none" w:sz="0" w:space="0" w:color="auto"/>
          </w:divBdr>
        </w:div>
        <w:div w:id="1755937651">
          <w:marLeft w:val="0"/>
          <w:marRight w:val="0"/>
          <w:marTop w:val="0"/>
          <w:marBottom w:val="0"/>
          <w:divBdr>
            <w:top w:val="none" w:sz="0" w:space="0" w:color="auto"/>
            <w:left w:val="none" w:sz="0" w:space="0" w:color="auto"/>
            <w:bottom w:val="none" w:sz="0" w:space="0" w:color="auto"/>
            <w:right w:val="none" w:sz="0" w:space="0" w:color="auto"/>
          </w:divBdr>
        </w:div>
      </w:divsChild>
    </w:div>
    <w:div w:id="599678781">
      <w:bodyDiv w:val="1"/>
      <w:marLeft w:val="0"/>
      <w:marRight w:val="0"/>
      <w:marTop w:val="0"/>
      <w:marBottom w:val="0"/>
      <w:divBdr>
        <w:top w:val="none" w:sz="0" w:space="0" w:color="auto"/>
        <w:left w:val="none" w:sz="0" w:space="0" w:color="auto"/>
        <w:bottom w:val="none" w:sz="0" w:space="0" w:color="auto"/>
        <w:right w:val="none" w:sz="0" w:space="0" w:color="auto"/>
      </w:divBdr>
      <w:divsChild>
        <w:div w:id="195192075">
          <w:marLeft w:val="0"/>
          <w:marRight w:val="0"/>
          <w:marTop w:val="0"/>
          <w:marBottom w:val="0"/>
          <w:divBdr>
            <w:top w:val="none" w:sz="0" w:space="0" w:color="auto"/>
            <w:left w:val="none" w:sz="0" w:space="0" w:color="auto"/>
            <w:bottom w:val="none" w:sz="0" w:space="0" w:color="auto"/>
            <w:right w:val="none" w:sz="0" w:space="0" w:color="auto"/>
          </w:divBdr>
        </w:div>
        <w:div w:id="2010208710">
          <w:marLeft w:val="0"/>
          <w:marRight w:val="0"/>
          <w:marTop w:val="0"/>
          <w:marBottom w:val="0"/>
          <w:divBdr>
            <w:top w:val="none" w:sz="0" w:space="0" w:color="auto"/>
            <w:left w:val="none" w:sz="0" w:space="0" w:color="auto"/>
            <w:bottom w:val="none" w:sz="0" w:space="0" w:color="auto"/>
            <w:right w:val="none" w:sz="0" w:space="0" w:color="auto"/>
          </w:divBdr>
        </w:div>
      </w:divsChild>
    </w:div>
    <w:div w:id="601111150">
      <w:bodyDiv w:val="1"/>
      <w:marLeft w:val="0"/>
      <w:marRight w:val="0"/>
      <w:marTop w:val="0"/>
      <w:marBottom w:val="0"/>
      <w:divBdr>
        <w:top w:val="none" w:sz="0" w:space="0" w:color="auto"/>
        <w:left w:val="none" w:sz="0" w:space="0" w:color="auto"/>
        <w:bottom w:val="none" w:sz="0" w:space="0" w:color="auto"/>
        <w:right w:val="none" w:sz="0" w:space="0" w:color="auto"/>
      </w:divBdr>
      <w:divsChild>
        <w:div w:id="702631575">
          <w:marLeft w:val="0"/>
          <w:marRight w:val="0"/>
          <w:marTop w:val="0"/>
          <w:marBottom w:val="0"/>
          <w:divBdr>
            <w:top w:val="none" w:sz="0" w:space="0" w:color="auto"/>
            <w:left w:val="none" w:sz="0" w:space="0" w:color="auto"/>
            <w:bottom w:val="none" w:sz="0" w:space="0" w:color="auto"/>
            <w:right w:val="none" w:sz="0" w:space="0" w:color="auto"/>
          </w:divBdr>
        </w:div>
        <w:div w:id="1778721462">
          <w:marLeft w:val="0"/>
          <w:marRight w:val="0"/>
          <w:marTop w:val="0"/>
          <w:marBottom w:val="0"/>
          <w:divBdr>
            <w:top w:val="none" w:sz="0" w:space="0" w:color="auto"/>
            <w:left w:val="none" w:sz="0" w:space="0" w:color="auto"/>
            <w:bottom w:val="none" w:sz="0" w:space="0" w:color="auto"/>
            <w:right w:val="none" w:sz="0" w:space="0" w:color="auto"/>
          </w:divBdr>
        </w:div>
      </w:divsChild>
    </w:div>
    <w:div w:id="606733914">
      <w:bodyDiv w:val="1"/>
      <w:marLeft w:val="0"/>
      <w:marRight w:val="0"/>
      <w:marTop w:val="0"/>
      <w:marBottom w:val="0"/>
      <w:divBdr>
        <w:top w:val="none" w:sz="0" w:space="0" w:color="auto"/>
        <w:left w:val="none" w:sz="0" w:space="0" w:color="auto"/>
        <w:bottom w:val="none" w:sz="0" w:space="0" w:color="auto"/>
        <w:right w:val="none" w:sz="0" w:space="0" w:color="auto"/>
      </w:divBdr>
      <w:divsChild>
        <w:div w:id="234440510">
          <w:marLeft w:val="0"/>
          <w:marRight w:val="0"/>
          <w:marTop w:val="0"/>
          <w:marBottom w:val="0"/>
          <w:divBdr>
            <w:top w:val="none" w:sz="0" w:space="0" w:color="auto"/>
            <w:left w:val="none" w:sz="0" w:space="0" w:color="auto"/>
            <w:bottom w:val="none" w:sz="0" w:space="0" w:color="auto"/>
            <w:right w:val="none" w:sz="0" w:space="0" w:color="auto"/>
          </w:divBdr>
        </w:div>
        <w:div w:id="611741805">
          <w:marLeft w:val="0"/>
          <w:marRight w:val="0"/>
          <w:marTop w:val="0"/>
          <w:marBottom w:val="0"/>
          <w:divBdr>
            <w:top w:val="none" w:sz="0" w:space="0" w:color="auto"/>
            <w:left w:val="none" w:sz="0" w:space="0" w:color="auto"/>
            <w:bottom w:val="none" w:sz="0" w:space="0" w:color="auto"/>
            <w:right w:val="none" w:sz="0" w:space="0" w:color="auto"/>
          </w:divBdr>
        </w:div>
      </w:divsChild>
    </w:div>
    <w:div w:id="610473838">
      <w:bodyDiv w:val="1"/>
      <w:marLeft w:val="0"/>
      <w:marRight w:val="0"/>
      <w:marTop w:val="0"/>
      <w:marBottom w:val="0"/>
      <w:divBdr>
        <w:top w:val="none" w:sz="0" w:space="0" w:color="auto"/>
        <w:left w:val="none" w:sz="0" w:space="0" w:color="auto"/>
        <w:bottom w:val="none" w:sz="0" w:space="0" w:color="auto"/>
        <w:right w:val="none" w:sz="0" w:space="0" w:color="auto"/>
      </w:divBdr>
    </w:div>
    <w:div w:id="615646753">
      <w:bodyDiv w:val="1"/>
      <w:marLeft w:val="0"/>
      <w:marRight w:val="0"/>
      <w:marTop w:val="0"/>
      <w:marBottom w:val="0"/>
      <w:divBdr>
        <w:top w:val="none" w:sz="0" w:space="0" w:color="auto"/>
        <w:left w:val="none" w:sz="0" w:space="0" w:color="auto"/>
        <w:bottom w:val="none" w:sz="0" w:space="0" w:color="auto"/>
        <w:right w:val="none" w:sz="0" w:space="0" w:color="auto"/>
      </w:divBdr>
    </w:div>
    <w:div w:id="618991108">
      <w:bodyDiv w:val="1"/>
      <w:marLeft w:val="0"/>
      <w:marRight w:val="0"/>
      <w:marTop w:val="0"/>
      <w:marBottom w:val="0"/>
      <w:divBdr>
        <w:top w:val="none" w:sz="0" w:space="0" w:color="auto"/>
        <w:left w:val="none" w:sz="0" w:space="0" w:color="auto"/>
        <w:bottom w:val="none" w:sz="0" w:space="0" w:color="auto"/>
        <w:right w:val="none" w:sz="0" w:space="0" w:color="auto"/>
      </w:divBdr>
    </w:div>
    <w:div w:id="621376313">
      <w:bodyDiv w:val="1"/>
      <w:marLeft w:val="0"/>
      <w:marRight w:val="0"/>
      <w:marTop w:val="0"/>
      <w:marBottom w:val="0"/>
      <w:divBdr>
        <w:top w:val="none" w:sz="0" w:space="0" w:color="auto"/>
        <w:left w:val="none" w:sz="0" w:space="0" w:color="auto"/>
        <w:bottom w:val="none" w:sz="0" w:space="0" w:color="auto"/>
        <w:right w:val="none" w:sz="0" w:space="0" w:color="auto"/>
      </w:divBdr>
      <w:divsChild>
        <w:div w:id="1149252899">
          <w:marLeft w:val="0"/>
          <w:marRight w:val="0"/>
          <w:marTop w:val="0"/>
          <w:marBottom w:val="0"/>
          <w:divBdr>
            <w:top w:val="none" w:sz="0" w:space="0" w:color="auto"/>
            <w:left w:val="none" w:sz="0" w:space="0" w:color="auto"/>
            <w:bottom w:val="none" w:sz="0" w:space="0" w:color="auto"/>
            <w:right w:val="none" w:sz="0" w:space="0" w:color="auto"/>
          </w:divBdr>
        </w:div>
        <w:div w:id="1595435364">
          <w:marLeft w:val="0"/>
          <w:marRight w:val="0"/>
          <w:marTop w:val="0"/>
          <w:marBottom w:val="0"/>
          <w:divBdr>
            <w:top w:val="none" w:sz="0" w:space="0" w:color="auto"/>
            <w:left w:val="none" w:sz="0" w:space="0" w:color="auto"/>
            <w:bottom w:val="none" w:sz="0" w:space="0" w:color="auto"/>
            <w:right w:val="none" w:sz="0" w:space="0" w:color="auto"/>
          </w:divBdr>
        </w:div>
      </w:divsChild>
    </w:div>
    <w:div w:id="622925645">
      <w:bodyDiv w:val="1"/>
      <w:marLeft w:val="0"/>
      <w:marRight w:val="0"/>
      <w:marTop w:val="0"/>
      <w:marBottom w:val="0"/>
      <w:divBdr>
        <w:top w:val="none" w:sz="0" w:space="0" w:color="auto"/>
        <w:left w:val="none" w:sz="0" w:space="0" w:color="auto"/>
        <w:bottom w:val="none" w:sz="0" w:space="0" w:color="auto"/>
        <w:right w:val="none" w:sz="0" w:space="0" w:color="auto"/>
      </w:divBdr>
      <w:divsChild>
        <w:div w:id="390155070">
          <w:marLeft w:val="0"/>
          <w:marRight w:val="0"/>
          <w:marTop w:val="0"/>
          <w:marBottom w:val="0"/>
          <w:divBdr>
            <w:top w:val="none" w:sz="0" w:space="0" w:color="auto"/>
            <w:left w:val="none" w:sz="0" w:space="0" w:color="auto"/>
            <w:bottom w:val="none" w:sz="0" w:space="0" w:color="auto"/>
            <w:right w:val="none" w:sz="0" w:space="0" w:color="auto"/>
          </w:divBdr>
        </w:div>
        <w:div w:id="632179514">
          <w:marLeft w:val="0"/>
          <w:marRight w:val="0"/>
          <w:marTop w:val="0"/>
          <w:marBottom w:val="0"/>
          <w:divBdr>
            <w:top w:val="none" w:sz="0" w:space="0" w:color="auto"/>
            <w:left w:val="none" w:sz="0" w:space="0" w:color="auto"/>
            <w:bottom w:val="none" w:sz="0" w:space="0" w:color="auto"/>
            <w:right w:val="none" w:sz="0" w:space="0" w:color="auto"/>
          </w:divBdr>
        </w:div>
        <w:div w:id="845636793">
          <w:marLeft w:val="0"/>
          <w:marRight w:val="0"/>
          <w:marTop w:val="0"/>
          <w:marBottom w:val="0"/>
          <w:divBdr>
            <w:top w:val="none" w:sz="0" w:space="0" w:color="auto"/>
            <w:left w:val="none" w:sz="0" w:space="0" w:color="auto"/>
            <w:bottom w:val="none" w:sz="0" w:space="0" w:color="auto"/>
            <w:right w:val="none" w:sz="0" w:space="0" w:color="auto"/>
          </w:divBdr>
        </w:div>
      </w:divsChild>
    </w:div>
    <w:div w:id="624120163">
      <w:bodyDiv w:val="1"/>
      <w:marLeft w:val="0"/>
      <w:marRight w:val="0"/>
      <w:marTop w:val="0"/>
      <w:marBottom w:val="0"/>
      <w:divBdr>
        <w:top w:val="none" w:sz="0" w:space="0" w:color="auto"/>
        <w:left w:val="none" w:sz="0" w:space="0" w:color="auto"/>
        <w:bottom w:val="none" w:sz="0" w:space="0" w:color="auto"/>
        <w:right w:val="none" w:sz="0" w:space="0" w:color="auto"/>
      </w:divBdr>
    </w:div>
    <w:div w:id="631131978">
      <w:bodyDiv w:val="1"/>
      <w:marLeft w:val="0"/>
      <w:marRight w:val="0"/>
      <w:marTop w:val="0"/>
      <w:marBottom w:val="0"/>
      <w:divBdr>
        <w:top w:val="none" w:sz="0" w:space="0" w:color="auto"/>
        <w:left w:val="none" w:sz="0" w:space="0" w:color="auto"/>
        <w:bottom w:val="none" w:sz="0" w:space="0" w:color="auto"/>
        <w:right w:val="none" w:sz="0" w:space="0" w:color="auto"/>
      </w:divBdr>
      <w:divsChild>
        <w:div w:id="133104419">
          <w:marLeft w:val="0"/>
          <w:marRight w:val="0"/>
          <w:marTop w:val="0"/>
          <w:marBottom w:val="0"/>
          <w:divBdr>
            <w:top w:val="none" w:sz="0" w:space="0" w:color="auto"/>
            <w:left w:val="none" w:sz="0" w:space="0" w:color="auto"/>
            <w:bottom w:val="none" w:sz="0" w:space="0" w:color="auto"/>
            <w:right w:val="none" w:sz="0" w:space="0" w:color="auto"/>
          </w:divBdr>
        </w:div>
        <w:div w:id="593825714">
          <w:marLeft w:val="0"/>
          <w:marRight w:val="0"/>
          <w:marTop w:val="0"/>
          <w:marBottom w:val="0"/>
          <w:divBdr>
            <w:top w:val="none" w:sz="0" w:space="0" w:color="auto"/>
            <w:left w:val="none" w:sz="0" w:space="0" w:color="auto"/>
            <w:bottom w:val="none" w:sz="0" w:space="0" w:color="auto"/>
            <w:right w:val="none" w:sz="0" w:space="0" w:color="auto"/>
          </w:divBdr>
        </w:div>
        <w:div w:id="1429227649">
          <w:marLeft w:val="0"/>
          <w:marRight w:val="0"/>
          <w:marTop w:val="0"/>
          <w:marBottom w:val="0"/>
          <w:divBdr>
            <w:top w:val="none" w:sz="0" w:space="0" w:color="auto"/>
            <w:left w:val="none" w:sz="0" w:space="0" w:color="auto"/>
            <w:bottom w:val="none" w:sz="0" w:space="0" w:color="auto"/>
            <w:right w:val="none" w:sz="0" w:space="0" w:color="auto"/>
          </w:divBdr>
        </w:div>
      </w:divsChild>
    </w:div>
    <w:div w:id="634726375">
      <w:bodyDiv w:val="1"/>
      <w:marLeft w:val="0"/>
      <w:marRight w:val="0"/>
      <w:marTop w:val="0"/>
      <w:marBottom w:val="0"/>
      <w:divBdr>
        <w:top w:val="none" w:sz="0" w:space="0" w:color="auto"/>
        <w:left w:val="none" w:sz="0" w:space="0" w:color="auto"/>
        <w:bottom w:val="none" w:sz="0" w:space="0" w:color="auto"/>
        <w:right w:val="none" w:sz="0" w:space="0" w:color="auto"/>
      </w:divBdr>
      <w:divsChild>
        <w:div w:id="246958369">
          <w:marLeft w:val="0"/>
          <w:marRight w:val="0"/>
          <w:marTop w:val="0"/>
          <w:marBottom w:val="0"/>
          <w:divBdr>
            <w:top w:val="none" w:sz="0" w:space="0" w:color="auto"/>
            <w:left w:val="none" w:sz="0" w:space="0" w:color="auto"/>
            <w:bottom w:val="none" w:sz="0" w:space="0" w:color="auto"/>
            <w:right w:val="none" w:sz="0" w:space="0" w:color="auto"/>
          </w:divBdr>
        </w:div>
        <w:div w:id="1781413288">
          <w:marLeft w:val="0"/>
          <w:marRight w:val="0"/>
          <w:marTop w:val="0"/>
          <w:marBottom w:val="0"/>
          <w:divBdr>
            <w:top w:val="none" w:sz="0" w:space="0" w:color="auto"/>
            <w:left w:val="none" w:sz="0" w:space="0" w:color="auto"/>
            <w:bottom w:val="none" w:sz="0" w:space="0" w:color="auto"/>
            <w:right w:val="none" w:sz="0" w:space="0" w:color="auto"/>
          </w:divBdr>
        </w:div>
      </w:divsChild>
    </w:div>
    <w:div w:id="636183085">
      <w:bodyDiv w:val="1"/>
      <w:marLeft w:val="0"/>
      <w:marRight w:val="0"/>
      <w:marTop w:val="0"/>
      <w:marBottom w:val="0"/>
      <w:divBdr>
        <w:top w:val="none" w:sz="0" w:space="0" w:color="auto"/>
        <w:left w:val="none" w:sz="0" w:space="0" w:color="auto"/>
        <w:bottom w:val="none" w:sz="0" w:space="0" w:color="auto"/>
        <w:right w:val="none" w:sz="0" w:space="0" w:color="auto"/>
      </w:divBdr>
      <w:divsChild>
        <w:div w:id="252669664">
          <w:marLeft w:val="0"/>
          <w:marRight w:val="0"/>
          <w:marTop w:val="0"/>
          <w:marBottom w:val="0"/>
          <w:divBdr>
            <w:top w:val="none" w:sz="0" w:space="0" w:color="auto"/>
            <w:left w:val="none" w:sz="0" w:space="0" w:color="auto"/>
            <w:bottom w:val="none" w:sz="0" w:space="0" w:color="auto"/>
            <w:right w:val="none" w:sz="0" w:space="0" w:color="auto"/>
          </w:divBdr>
        </w:div>
        <w:div w:id="550460383">
          <w:marLeft w:val="0"/>
          <w:marRight w:val="0"/>
          <w:marTop w:val="0"/>
          <w:marBottom w:val="0"/>
          <w:divBdr>
            <w:top w:val="none" w:sz="0" w:space="0" w:color="auto"/>
            <w:left w:val="none" w:sz="0" w:space="0" w:color="auto"/>
            <w:bottom w:val="none" w:sz="0" w:space="0" w:color="auto"/>
            <w:right w:val="none" w:sz="0" w:space="0" w:color="auto"/>
          </w:divBdr>
        </w:div>
      </w:divsChild>
    </w:div>
    <w:div w:id="645547061">
      <w:bodyDiv w:val="1"/>
      <w:marLeft w:val="0"/>
      <w:marRight w:val="0"/>
      <w:marTop w:val="0"/>
      <w:marBottom w:val="0"/>
      <w:divBdr>
        <w:top w:val="none" w:sz="0" w:space="0" w:color="auto"/>
        <w:left w:val="none" w:sz="0" w:space="0" w:color="auto"/>
        <w:bottom w:val="none" w:sz="0" w:space="0" w:color="auto"/>
        <w:right w:val="none" w:sz="0" w:space="0" w:color="auto"/>
      </w:divBdr>
    </w:div>
    <w:div w:id="645813912">
      <w:bodyDiv w:val="1"/>
      <w:marLeft w:val="0"/>
      <w:marRight w:val="0"/>
      <w:marTop w:val="0"/>
      <w:marBottom w:val="0"/>
      <w:divBdr>
        <w:top w:val="none" w:sz="0" w:space="0" w:color="auto"/>
        <w:left w:val="none" w:sz="0" w:space="0" w:color="auto"/>
        <w:bottom w:val="none" w:sz="0" w:space="0" w:color="auto"/>
        <w:right w:val="none" w:sz="0" w:space="0" w:color="auto"/>
      </w:divBdr>
    </w:div>
    <w:div w:id="649409776">
      <w:bodyDiv w:val="1"/>
      <w:marLeft w:val="0"/>
      <w:marRight w:val="0"/>
      <w:marTop w:val="0"/>
      <w:marBottom w:val="0"/>
      <w:divBdr>
        <w:top w:val="none" w:sz="0" w:space="0" w:color="auto"/>
        <w:left w:val="none" w:sz="0" w:space="0" w:color="auto"/>
        <w:bottom w:val="none" w:sz="0" w:space="0" w:color="auto"/>
        <w:right w:val="none" w:sz="0" w:space="0" w:color="auto"/>
      </w:divBdr>
    </w:div>
    <w:div w:id="651910197">
      <w:bodyDiv w:val="1"/>
      <w:marLeft w:val="0"/>
      <w:marRight w:val="0"/>
      <w:marTop w:val="0"/>
      <w:marBottom w:val="0"/>
      <w:divBdr>
        <w:top w:val="none" w:sz="0" w:space="0" w:color="auto"/>
        <w:left w:val="none" w:sz="0" w:space="0" w:color="auto"/>
        <w:bottom w:val="none" w:sz="0" w:space="0" w:color="auto"/>
        <w:right w:val="none" w:sz="0" w:space="0" w:color="auto"/>
      </w:divBdr>
    </w:div>
    <w:div w:id="654188778">
      <w:bodyDiv w:val="1"/>
      <w:marLeft w:val="0"/>
      <w:marRight w:val="0"/>
      <w:marTop w:val="0"/>
      <w:marBottom w:val="0"/>
      <w:divBdr>
        <w:top w:val="none" w:sz="0" w:space="0" w:color="auto"/>
        <w:left w:val="none" w:sz="0" w:space="0" w:color="auto"/>
        <w:bottom w:val="none" w:sz="0" w:space="0" w:color="auto"/>
        <w:right w:val="none" w:sz="0" w:space="0" w:color="auto"/>
      </w:divBdr>
    </w:div>
    <w:div w:id="654603877">
      <w:bodyDiv w:val="1"/>
      <w:marLeft w:val="0"/>
      <w:marRight w:val="0"/>
      <w:marTop w:val="0"/>
      <w:marBottom w:val="0"/>
      <w:divBdr>
        <w:top w:val="none" w:sz="0" w:space="0" w:color="auto"/>
        <w:left w:val="none" w:sz="0" w:space="0" w:color="auto"/>
        <w:bottom w:val="none" w:sz="0" w:space="0" w:color="auto"/>
        <w:right w:val="none" w:sz="0" w:space="0" w:color="auto"/>
      </w:divBdr>
      <w:divsChild>
        <w:div w:id="307246605">
          <w:marLeft w:val="0"/>
          <w:marRight w:val="0"/>
          <w:marTop w:val="0"/>
          <w:marBottom w:val="0"/>
          <w:divBdr>
            <w:top w:val="none" w:sz="0" w:space="0" w:color="auto"/>
            <w:left w:val="none" w:sz="0" w:space="0" w:color="auto"/>
            <w:bottom w:val="none" w:sz="0" w:space="0" w:color="auto"/>
            <w:right w:val="none" w:sz="0" w:space="0" w:color="auto"/>
          </w:divBdr>
        </w:div>
        <w:div w:id="1696540638">
          <w:marLeft w:val="0"/>
          <w:marRight w:val="0"/>
          <w:marTop w:val="0"/>
          <w:marBottom w:val="0"/>
          <w:divBdr>
            <w:top w:val="none" w:sz="0" w:space="0" w:color="auto"/>
            <w:left w:val="none" w:sz="0" w:space="0" w:color="auto"/>
            <w:bottom w:val="none" w:sz="0" w:space="0" w:color="auto"/>
            <w:right w:val="none" w:sz="0" w:space="0" w:color="auto"/>
          </w:divBdr>
        </w:div>
      </w:divsChild>
    </w:div>
    <w:div w:id="658120539">
      <w:bodyDiv w:val="1"/>
      <w:marLeft w:val="0"/>
      <w:marRight w:val="0"/>
      <w:marTop w:val="0"/>
      <w:marBottom w:val="0"/>
      <w:divBdr>
        <w:top w:val="none" w:sz="0" w:space="0" w:color="auto"/>
        <w:left w:val="none" w:sz="0" w:space="0" w:color="auto"/>
        <w:bottom w:val="none" w:sz="0" w:space="0" w:color="auto"/>
        <w:right w:val="none" w:sz="0" w:space="0" w:color="auto"/>
      </w:divBdr>
    </w:div>
    <w:div w:id="664673515">
      <w:bodyDiv w:val="1"/>
      <w:marLeft w:val="0"/>
      <w:marRight w:val="0"/>
      <w:marTop w:val="0"/>
      <w:marBottom w:val="0"/>
      <w:divBdr>
        <w:top w:val="none" w:sz="0" w:space="0" w:color="auto"/>
        <w:left w:val="none" w:sz="0" w:space="0" w:color="auto"/>
        <w:bottom w:val="none" w:sz="0" w:space="0" w:color="auto"/>
        <w:right w:val="none" w:sz="0" w:space="0" w:color="auto"/>
      </w:divBdr>
      <w:divsChild>
        <w:div w:id="853956165">
          <w:marLeft w:val="0"/>
          <w:marRight w:val="0"/>
          <w:marTop w:val="0"/>
          <w:marBottom w:val="0"/>
          <w:divBdr>
            <w:top w:val="none" w:sz="0" w:space="0" w:color="auto"/>
            <w:left w:val="none" w:sz="0" w:space="0" w:color="auto"/>
            <w:bottom w:val="none" w:sz="0" w:space="0" w:color="auto"/>
            <w:right w:val="none" w:sz="0" w:space="0" w:color="auto"/>
          </w:divBdr>
        </w:div>
        <w:div w:id="1647323680">
          <w:marLeft w:val="0"/>
          <w:marRight w:val="0"/>
          <w:marTop w:val="0"/>
          <w:marBottom w:val="0"/>
          <w:divBdr>
            <w:top w:val="none" w:sz="0" w:space="0" w:color="auto"/>
            <w:left w:val="none" w:sz="0" w:space="0" w:color="auto"/>
            <w:bottom w:val="none" w:sz="0" w:space="0" w:color="auto"/>
            <w:right w:val="none" w:sz="0" w:space="0" w:color="auto"/>
          </w:divBdr>
        </w:div>
      </w:divsChild>
    </w:div>
    <w:div w:id="665935345">
      <w:bodyDiv w:val="1"/>
      <w:marLeft w:val="0"/>
      <w:marRight w:val="0"/>
      <w:marTop w:val="0"/>
      <w:marBottom w:val="0"/>
      <w:divBdr>
        <w:top w:val="none" w:sz="0" w:space="0" w:color="auto"/>
        <w:left w:val="none" w:sz="0" w:space="0" w:color="auto"/>
        <w:bottom w:val="none" w:sz="0" w:space="0" w:color="auto"/>
        <w:right w:val="none" w:sz="0" w:space="0" w:color="auto"/>
      </w:divBdr>
      <w:divsChild>
        <w:div w:id="12267621">
          <w:marLeft w:val="0"/>
          <w:marRight w:val="0"/>
          <w:marTop w:val="0"/>
          <w:marBottom w:val="0"/>
          <w:divBdr>
            <w:top w:val="none" w:sz="0" w:space="0" w:color="auto"/>
            <w:left w:val="none" w:sz="0" w:space="0" w:color="auto"/>
            <w:bottom w:val="none" w:sz="0" w:space="0" w:color="auto"/>
            <w:right w:val="none" w:sz="0" w:space="0" w:color="auto"/>
          </w:divBdr>
          <w:divsChild>
            <w:div w:id="287594632">
              <w:marLeft w:val="0"/>
              <w:marRight w:val="0"/>
              <w:marTop w:val="0"/>
              <w:marBottom w:val="0"/>
              <w:divBdr>
                <w:top w:val="none" w:sz="0" w:space="0" w:color="auto"/>
                <w:left w:val="none" w:sz="0" w:space="0" w:color="auto"/>
                <w:bottom w:val="none" w:sz="0" w:space="0" w:color="auto"/>
                <w:right w:val="none" w:sz="0" w:space="0" w:color="auto"/>
              </w:divBdr>
              <w:divsChild>
                <w:div w:id="1732189103">
                  <w:marLeft w:val="0"/>
                  <w:marRight w:val="0"/>
                  <w:marTop w:val="0"/>
                  <w:marBottom w:val="0"/>
                  <w:divBdr>
                    <w:top w:val="none" w:sz="0" w:space="0" w:color="auto"/>
                    <w:left w:val="none" w:sz="0" w:space="0" w:color="auto"/>
                    <w:bottom w:val="none" w:sz="0" w:space="0" w:color="auto"/>
                    <w:right w:val="none" w:sz="0" w:space="0" w:color="auto"/>
                  </w:divBdr>
                  <w:divsChild>
                    <w:div w:id="1698702561">
                      <w:marLeft w:val="0"/>
                      <w:marRight w:val="0"/>
                      <w:marTop w:val="0"/>
                      <w:marBottom w:val="0"/>
                      <w:divBdr>
                        <w:top w:val="none" w:sz="0" w:space="0" w:color="auto"/>
                        <w:left w:val="none" w:sz="0" w:space="0" w:color="auto"/>
                        <w:bottom w:val="none" w:sz="0" w:space="0" w:color="auto"/>
                        <w:right w:val="none" w:sz="0" w:space="0" w:color="auto"/>
                      </w:divBdr>
                      <w:divsChild>
                        <w:div w:id="382338524">
                          <w:marLeft w:val="0"/>
                          <w:marRight w:val="0"/>
                          <w:marTop w:val="0"/>
                          <w:marBottom w:val="0"/>
                          <w:divBdr>
                            <w:top w:val="none" w:sz="0" w:space="0" w:color="auto"/>
                            <w:left w:val="none" w:sz="0" w:space="0" w:color="auto"/>
                            <w:bottom w:val="none" w:sz="0" w:space="0" w:color="auto"/>
                            <w:right w:val="none" w:sz="0" w:space="0" w:color="auto"/>
                          </w:divBdr>
                          <w:divsChild>
                            <w:div w:id="608902437">
                              <w:marLeft w:val="0"/>
                              <w:marRight w:val="0"/>
                              <w:marTop w:val="0"/>
                              <w:marBottom w:val="0"/>
                              <w:divBdr>
                                <w:top w:val="none" w:sz="0" w:space="0" w:color="auto"/>
                                <w:left w:val="none" w:sz="0" w:space="0" w:color="auto"/>
                                <w:bottom w:val="none" w:sz="0" w:space="0" w:color="auto"/>
                                <w:right w:val="none" w:sz="0" w:space="0" w:color="auto"/>
                              </w:divBdr>
                              <w:divsChild>
                                <w:div w:id="375784247">
                                  <w:marLeft w:val="0"/>
                                  <w:marRight w:val="0"/>
                                  <w:marTop w:val="0"/>
                                  <w:marBottom w:val="0"/>
                                  <w:divBdr>
                                    <w:top w:val="none" w:sz="0" w:space="0" w:color="auto"/>
                                    <w:left w:val="none" w:sz="0" w:space="0" w:color="auto"/>
                                    <w:bottom w:val="none" w:sz="0" w:space="0" w:color="auto"/>
                                    <w:right w:val="none" w:sz="0" w:space="0" w:color="auto"/>
                                  </w:divBdr>
                                </w:div>
                                <w:div w:id="1453018051">
                                  <w:marLeft w:val="0"/>
                                  <w:marRight w:val="0"/>
                                  <w:marTop w:val="0"/>
                                  <w:marBottom w:val="0"/>
                                  <w:divBdr>
                                    <w:top w:val="none" w:sz="0" w:space="0" w:color="auto"/>
                                    <w:left w:val="none" w:sz="0" w:space="0" w:color="auto"/>
                                    <w:bottom w:val="none" w:sz="0" w:space="0" w:color="auto"/>
                                    <w:right w:val="none" w:sz="0" w:space="0" w:color="auto"/>
                                  </w:divBdr>
                                </w:div>
                              </w:divsChild>
                            </w:div>
                            <w:div w:id="941187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0823046">
          <w:marLeft w:val="0"/>
          <w:marRight w:val="0"/>
          <w:marTop w:val="0"/>
          <w:marBottom w:val="0"/>
          <w:divBdr>
            <w:top w:val="none" w:sz="0" w:space="0" w:color="auto"/>
            <w:left w:val="none" w:sz="0" w:space="0" w:color="auto"/>
            <w:bottom w:val="none" w:sz="0" w:space="0" w:color="auto"/>
            <w:right w:val="none" w:sz="0" w:space="0" w:color="auto"/>
          </w:divBdr>
          <w:divsChild>
            <w:div w:id="719019769">
              <w:marLeft w:val="0"/>
              <w:marRight w:val="0"/>
              <w:marTop w:val="0"/>
              <w:marBottom w:val="0"/>
              <w:divBdr>
                <w:top w:val="none" w:sz="0" w:space="0" w:color="auto"/>
                <w:left w:val="none" w:sz="0" w:space="0" w:color="auto"/>
                <w:bottom w:val="none" w:sz="0" w:space="0" w:color="auto"/>
                <w:right w:val="none" w:sz="0" w:space="0" w:color="auto"/>
              </w:divBdr>
              <w:divsChild>
                <w:div w:id="782848452">
                  <w:marLeft w:val="0"/>
                  <w:marRight w:val="0"/>
                  <w:marTop w:val="0"/>
                  <w:marBottom w:val="0"/>
                  <w:divBdr>
                    <w:top w:val="none" w:sz="0" w:space="0" w:color="auto"/>
                    <w:left w:val="none" w:sz="0" w:space="0" w:color="auto"/>
                    <w:bottom w:val="none" w:sz="0" w:space="0" w:color="auto"/>
                    <w:right w:val="none" w:sz="0" w:space="0" w:color="auto"/>
                  </w:divBdr>
                  <w:divsChild>
                    <w:div w:id="85852458">
                      <w:marLeft w:val="0"/>
                      <w:marRight w:val="0"/>
                      <w:marTop w:val="0"/>
                      <w:marBottom w:val="0"/>
                      <w:divBdr>
                        <w:top w:val="none" w:sz="0" w:space="0" w:color="auto"/>
                        <w:left w:val="none" w:sz="0" w:space="0" w:color="auto"/>
                        <w:bottom w:val="none" w:sz="0" w:space="0" w:color="auto"/>
                        <w:right w:val="none" w:sz="0" w:space="0" w:color="auto"/>
                      </w:divBdr>
                    </w:div>
                  </w:divsChild>
                </w:div>
                <w:div w:id="1529640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2756593">
      <w:bodyDiv w:val="1"/>
      <w:marLeft w:val="0"/>
      <w:marRight w:val="0"/>
      <w:marTop w:val="0"/>
      <w:marBottom w:val="0"/>
      <w:divBdr>
        <w:top w:val="none" w:sz="0" w:space="0" w:color="auto"/>
        <w:left w:val="none" w:sz="0" w:space="0" w:color="auto"/>
        <w:bottom w:val="none" w:sz="0" w:space="0" w:color="auto"/>
        <w:right w:val="none" w:sz="0" w:space="0" w:color="auto"/>
      </w:divBdr>
    </w:div>
    <w:div w:id="674724420">
      <w:bodyDiv w:val="1"/>
      <w:marLeft w:val="0"/>
      <w:marRight w:val="0"/>
      <w:marTop w:val="0"/>
      <w:marBottom w:val="0"/>
      <w:divBdr>
        <w:top w:val="none" w:sz="0" w:space="0" w:color="auto"/>
        <w:left w:val="none" w:sz="0" w:space="0" w:color="auto"/>
        <w:bottom w:val="none" w:sz="0" w:space="0" w:color="auto"/>
        <w:right w:val="none" w:sz="0" w:space="0" w:color="auto"/>
      </w:divBdr>
      <w:divsChild>
        <w:div w:id="31197669">
          <w:marLeft w:val="0"/>
          <w:marRight w:val="0"/>
          <w:marTop w:val="0"/>
          <w:marBottom w:val="0"/>
          <w:divBdr>
            <w:top w:val="none" w:sz="0" w:space="0" w:color="auto"/>
            <w:left w:val="none" w:sz="0" w:space="0" w:color="auto"/>
            <w:bottom w:val="none" w:sz="0" w:space="0" w:color="auto"/>
            <w:right w:val="none" w:sz="0" w:space="0" w:color="auto"/>
          </w:divBdr>
          <w:divsChild>
            <w:div w:id="886338283">
              <w:marLeft w:val="0"/>
              <w:marRight w:val="0"/>
              <w:marTop w:val="0"/>
              <w:marBottom w:val="0"/>
              <w:divBdr>
                <w:top w:val="none" w:sz="0" w:space="0" w:color="auto"/>
                <w:left w:val="none" w:sz="0" w:space="0" w:color="auto"/>
                <w:bottom w:val="none" w:sz="0" w:space="0" w:color="auto"/>
                <w:right w:val="none" w:sz="0" w:space="0" w:color="auto"/>
              </w:divBdr>
            </w:div>
            <w:div w:id="1206790340">
              <w:marLeft w:val="0"/>
              <w:marRight w:val="0"/>
              <w:marTop w:val="0"/>
              <w:marBottom w:val="0"/>
              <w:divBdr>
                <w:top w:val="none" w:sz="0" w:space="0" w:color="auto"/>
                <w:left w:val="none" w:sz="0" w:space="0" w:color="auto"/>
                <w:bottom w:val="none" w:sz="0" w:space="0" w:color="auto"/>
                <w:right w:val="none" w:sz="0" w:space="0" w:color="auto"/>
              </w:divBdr>
            </w:div>
          </w:divsChild>
        </w:div>
        <w:div w:id="840631534">
          <w:marLeft w:val="0"/>
          <w:marRight w:val="0"/>
          <w:marTop w:val="0"/>
          <w:marBottom w:val="0"/>
          <w:divBdr>
            <w:top w:val="none" w:sz="0" w:space="0" w:color="auto"/>
            <w:left w:val="none" w:sz="0" w:space="0" w:color="auto"/>
            <w:bottom w:val="none" w:sz="0" w:space="0" w:color="auto"/>
            <w:right w:val="none" w:sz="0" w:space="0" w:color="auto"/>
          </w:divBdr>
          <w:divsChild>
            <w:div w:id="277301207">
              <w:marLeft w:val="0"/>
              <w:marRight w:val="0"/>
              <w:marTop w:val="0"/>
              <w:marBottom w:val="0"/>
              <w:divBdr>
                <w:top w:val="none" w:sz="0" w:space="0" w:color="auto"/>
                <w:left w:val="none" w:sz="0" w:space="0" w:color="auto"/>
                <w:bottom w:val="none" w:sz="0" w:space="0" w:color="auto"/>
                <w:right w:val="none" w:sz="0" w:space="0" w:color="auto"/>
              </w:divBdr>
            </w:div>
          </w:divsChild>
        </w:div>
        <w:div w:id="1468431803">
          <w:marLeft w:val="0"/>
          <w:marRight w:val="0"/>
          <w:marTop w:val="0"/>
          <w:marBottom w:val="0"/>
          <w:divBdr>
            <w:top w:val="none" w:sz="0" w:space="0" w:color="auto"/>
            <w:left w:val="none" w:sz="0" w:space="0" w:color="auto"/>
            <w:bottom w:val="none" w:sz="0" w:space="0" w:color="auto"/>
            <w:right w:val="none" w:sz="0" w:space="0" w:color="auto"/>
          </w:divBdr>
          <w:divsChild>
            <w:div w:id="586381126">
              <w:marLeft w:val="0"/>
              <w:marRight w:val="0"/>
              <w:marTop w:val="0"/>
              <w:marBottom w:val="0"/>
              <w:divBdr>
                <w:top w:val="none" w:sz="0" w:space="0" w:color="auto"/>
                <w:left w:val="none" w:sz="0" w:space="0" w:color="auto"/>
                <w:bottom w:val="none" w:sz="0" w:space="0" w:color="auto"/>
                <w:right w:val="none" w:sz="0" w:space="0" w:color="auto"/>
              </w:divBdr>
              <w:divsChild>
                <w:div w:id="801114466">
                  <w:marLeft w:val="0"/>
                  <w:marRight w:val="0"/>
                  <w:marTop w:val="0"/>
                  <w:marBottom w:val="0"/>
                  <w:divBdr>
                    <w:top w:val="none" w:sz="0" w:space="0" w:color="auto"/>
                    <w:left w:val="none" w:sz="0" w:space="0" w:color="auto"/>
                    <w:bottom w:val="none" w:sz="0" w:space="0" w:color="auto"/>
                    <w:right w:val="none" w:sz="0" w:space="0" w:color="auto"/>
                  </w:divBdr>
                  <w:divsChild>
                    <w:div w:id="1161240796">
                      <w:marLeft w:val="0"/>
                      <w:marRight w:val="0"/>
                      <w:marTop w:val="0"/>
                      <w:marBottom w:val="0"/>
                      <w:divBdr>
                        <w:top w:val="none" w:sz="0" w:space="0" w:color="auto"/>
                        <w:left w:val="none" w:sz="0" w:space="0" w:color="auto"/>
                        <w:bottom w:val="none" w:sz="0" w:space="0" w:color="auto"/>
                        <w:right w:val="none" w:sz="0" w:space="0" w:color="auto"/>
                      </w:divBdr>
                      <w:divsChild>
                        <w:div w:id="713383187">
                          <w:marLeft w:val="0"/>
                          <w:marRight w:val="0"/>
                          <w:marTop w:val="0"/>
                          <w:marBottom w:val="0"/>
                          <w:divBdr>
                            <w:top w:val="none" w:sz="0" w:space="0" w:color="auto"/>
                            <w:left w:val="none" w:sz="0" w:space="0" w:color="auto"/>
                            <w:bottom w:val="none" w:sz="0" w:space="0" w:color="auto"/>
                            <w:right w:val="none" w:sz="0" w:space="0" w:color="auto"/>
                          </w:divBdr>
                        </w:div>
                        <w:div w:id="1354574605">
                          <w:marLeft w:val="0"/>
                          <w:marRight w:val="0"/>
                          <w:marTop w:val="0"/>
                          <w:marBottom w:val="0"/>
                          <w:divBdr>
                            <w:top w:val="none" w:sz="0" w:space="0" w:color="auto"/>
                            <w:left w:val="none" w:sz="0" w:space="0" w:color="auto"/>
                            <w:bottom w:val="none" w:sz="0" w:space="0" w:color="auto"/>
                            <w:right w:val="none" w:sz="0" w:space="0" w:color="auto"/>
                          </w:divBdr>
                        </w:div>
                        <w:div w:id="1745293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0105436">
                  <w:marLeft w:val="0"/>
                  <w:marRight w:val="0"/>
                  <w:marTop w:val="0"/>
                  <w:marBottom w:val="0"/>
                  <w:divBdr>
                    <w:top w:val="none" w:sz="0" w:space="0" w:color="auto"/>
                    <w:left w:val="none" w:sz="0" w:space="0" w:color="auto"/>
                    <w:bottom w:val="none" w:sz="0" w:space="0" w:color="auto"/>
                    <w:right w:val="none" w:sz="0" w:space="0" w:color="auto"/>
                  </w:divBdr>
                  <w:divsChild>
                    <w:div w:id="550070712">
                      <w:marLeft w:val="0"/>
                      <w:marRight w:val="0"/>
                      <w:marTop w:val="0"/>
                      <w:marBottom w:val="0"/>
                      <w:divBdr>
                        <w:top w:val="none" w:sz="0" w:space="0" w:color="auto"/>
                        <w:left w:val="none" w:sz="0" w:space="0" w:color="auto"/>
                        <w:bottom w:val="none" w:sz="0" w:space="0" w:color="auto"/>
                        <w:right w:val="none" w:sz="0" w:space="0" w:color="auto"/>
                      </w:divBdr>
                      <w:divsChild>
                        <w:div w:id="1134055367">
                          <w:marLeft w:val="0"/>
                          <w:marRight w:val="0"/>
                          <w:marTop w:val="0"/>
                          <w:marBottom w:val="0"/>
                          <w:divBdr>
                            <w:top w:val="none" w:sz="0" w:space="0" w:color="auto"/>
                            <w:left w:val="none" w:sz="0" w:space="0" w:color="auto"/>
                            <w:bottom w:val="none" w:sz="0" w:space="0" w:color="auto"/>
                            <w:right w:val="none" w:sz="0" w:space="0" w:color="auto"/>
                          </w:divBdr>
                          <w:divsChild>
                            <w:div w:id="942497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5964223">
                      <w:marLeft w:val="0"/>
                      <w:marRight w:val="0"/>
                      <w:marTop w:val="0"/>
                      <w:marBottom w:val="0"/>
                      <w:divBdr>
                        <w:top w:val="none" w:sz="0" w:space="0" w:color="auto"/>
                        <w:left w:val="none" w:sz="0" w:space="0" w:color="auto"/>
                        <w:bottom w:val="none" w:sz="0" w:space="0" w:color="auto"/>
                        <w:right w:val="none" w:sz="0" w:space="0" w:color="auto"/>
                      </w:divBdr>
                    </w:div>
                  </w:divsChild>
                </w:div>
                <w:div w:id="1808355499">
                  <w:marLeft w:val="0"/>
                  <w:marRight w:val="0"/>
                  <w:marTop w:val="0"/>
                  <w:marBottom w:val="0"/>
                  <w:divBdr>
                    <w:top w:val="none" w:sz="0" w:space="0" w:color="auto"/>
                    <w:left w:val="none" w:sz="0" w:space="0" w:color="auto"/>
                    <w:bottom w:val="none" w:sz="0" w:space="0" w:color="auto"/>
                    <w:right w:val="none" w:sz="0" w:space="0" w:color="auto"/>
                  </w:divBdr>
                  <w:divsChild>
                    <w:div w:id="91896955">
                      <w:marLeft w:val="0"/>
                      <w:marRight w:val="0"/>
                      <w:marTop w:val="0"/>
                      <w:marBottom w:val="0"/>
                      <w:divBdr>
                        <w:top w:val="none" w:sz="0" w:space="0" w:color="auto"/>
                        <w:left w:val="none" w:sz="0" w:space="0" w:color="auto"/>
                        <w:bottom w:val="none" w:sz="0" w:space="0" w:color="auto"/>
                        <w:right w:val="none" w:sz="0" w:space="0" w:color="auto"/>
                      </w:divBdr>
                    </w:div>
                    <w:div w:id="1062368927">
                      <w:marLeft w:val="0"/>
                      <w:marRight w:val="0"/>
                      <w:marTop w:val="0"/>
                      <w:marBottom w:val="0"/>
                      <w:divBdr>
                        <w:top w:val="none" w:sz="0" w:space="0" w:color="auto"/>
                        <w:left w:val="none" w:sz="0" w:space="0" w:color="auto"/>
                        <w:bottom w:val="none" w:sz="0" w:space="0" w:color="auto"/>
                        <w:right w:val="none" w:sz="0" w:space="0" w:color="auto"/>
                      </w:divBdr>
                      <w:divsChild>
                        <w:div w:id="450441167">
                          <w:marLeft w:val="0"/>
                          <w:marRight w:val="0"/>
                          <w:marTop w:val="0"/>
                          <w:marBottom w:val="0"/>
                          <w:divBdr>
                            <w:top w:val="none" w:sz="0" w:space="0" w:color="auto"/>
                            <w:left w:val="none" w:sz="0" w:space="0" w:color="auto"/>
                            <w:bottom w:val="none" w:sz="0" w:space="0" w:color="auto"/>
                            <w:right w:val="none" w:sz="0" w:space="0" w:color="auto"/>
                          </w:divBdr>
                          <w:divsChild>
                            <w:div w:id="93018302">
                              <w:marLeft w:val="0"/>
                              <w:marRight w:val="0"/>
                              <w:marTop w:val="0"/>
                              <w:marBottom w:val="0"/>
                              <w:divBdr>
                                <w:top w:val="none" w:sz="0" w:space="0" w:color="auto"/>
                                <w:left w:val="none" w:sz="0" w:space="0" w:color="auto"/>
                                <w:bottom w:val="none" w:sz="0" w:space="0" w:color="auto"/>
                                <w:right w:val="none" w:sz="0" w:space="0" w:color="auto"/>
                              </w:divBdr>
                            </w:div>
                            <w:div w:id="134295111">
                              <w:marLeft w:val="0"/>
                              <w:marRight w:val="0"/>
                              <w:marTop w:val="0"/>
                              <w:marBottom w:val="0"/>
                              <w:divBdr>
                                <w:top w:val="none" w:sz="0" w:space="0" w:color="auto"/>
                                <w:left w:val="none" w:sz="0" w:space="0" w:color="auto"/>
                                <w:bottom w:val="none" w:sz="0" w:space="0" w:color="auto"/>
                                <w:right w:val="none" w:sz="0" w:space="0" w:color="auto"/>
                              </w:divBdr>
                            </w:div>
                            <w:div w:id="230846197">
                              <w:marLeft w:val="0"/>
                              <w:marRight w:val="0"/>
                              <w:marTop w:val="0"/>
                              <w:marBottom w:val="0"/>
                              <w:divBdr>
                                <w:top w:val="none" w:sz="0" w:space="0" w:color="auto"/>
                                <w:left w:val="none" w:sz="0" w:space="0" w:color="auto"/>
                                <w:bottom w:val="none" w:sz="0" w:space="0" w:color="auto"/>
                                <w:right w:val="none" w:sz="0" w:space="0" w:color="auto"/>
                              </w:divBdr>
                            </w:div>
                            <w:div w:id="374354511">
                              <w:marLeft w:val="0"/>
                              <w:marRight w:val="0"/>
                              <w:marTop w:val="0"/>
                              <w:marBottom w:val="0"/>
                              <w:divBdr>
                                <w:top w:val="none" w:sz="0" w:space="0" w:color="auto"/>
                                <w:left w:val="none" w:sz="0" w:space="0" w:color="auto"/>
                                <w:bottom w:val="none" w:sz="0" w:space="0" w:color="auto"/>
                                <w:right w:val="none" w:sz="0" w:space="0" w:color="auto"/>
                              </w:divBdr>
                            </w:div>
                            <w:div w:id="547844493">
                              <w:marLeft w:val="0"/>
                              <w:marRight w:val="0"/>
                              <w:marTop w:val="0"/>
                              <w:marBottom w:val="0"/>
                              <w:divBdr>
                                <w:top w:val="none" w:sz="0" w:space="0" w:color="auto"/>
                                <w:left w:val="none" w:sz="0" w:space="0" w:color="auto"/>
                                <w:bottom w:val="none" w:sz="0" w:space="0" w:color="auto"/>
                                <w:right w:val="none" w:sz="0" w:space="0" w:color="auto"/>
                              </w:divBdr>
                            </w:div>
                            <w:div w:id="678118152">
                              <w:marLeft w:val="0"/>
                              <w:marRight w:val="0"/>
                              <w:marTop w:val="0"/>
                              <w:marBottom w:val="0"/>
                              <w:divBdr>
                                <w:top w:val="none" w:sz="0" w:space="0" w:color="auto"/>
                                <w:left w:val="none" w:sz="0" w:space="0" w:color="auto"/>
                                <w:bottom w:val="none" w:sz="0" w:space="0" w:color="auto"/>
                                <w:right w:val="none" w:sz="0" w:space="0" w:color="auto"/>
                              </w:divBdr>
                            </w:div>
                            <w:div w:id="759639327">
                              <w:marLeft w:val="0"/>
                              <w:marRight w:val="0"/>
                              <w:marTop w:val="0"/>
                              <w:marBottom w:val="0"/>
                              <w:divBdr>
                                <w:top w:val="none" w:sz="0" w:space="0" w:color="auto"/>
                                <w:left w:val="none" w:sz="0" w:space="0" w:color="auto"/>
                                <w:bottom w:val="none" w:sz="0" w:space="0" w:color="auto"/>
                                <w:right w:val="none" w:sz="0" w:space="0" w:color="auto"/>
                              </w:divBdr>
                            </w:div>
                            <w:div w:id="846022523">
                              <w:marLeft w:val="0"/>
                              <w:marRight w:val="0"/>
                              <w:marTop w:val="0"/>
                              <w:marBottom w:val="0"/>
                              <w:divBdr>
                                <w:top w:val="none" w:sz="0" w:space="0" w:color="auto"/>
                                <w:left w:val="none" w:sz="0" w:space="0" w:color="auto"/>
                                <w:bottom w:val="none" w:sz="0" w:space="0" w:color="auto"/>
                                <w:right w:val="none" w:sz="0" w:space="0" w:color="auto"/>
                              </w:divBdr>
                            </w:div>
                            <w:div w:id="853960616">
                              <w:marLeft w:val="0"/>
                              <w:marRight w:val="0"/>
                              <w:marTop w:val="0"/>
                              <w:marBottom w:val="0"/>
                              <w:divBdr>
                                <w:top w:val="none" w:sz="0" w:space="0" w:color="auto"/>
                                <w:left w:val="none" w:sz="0" w:space="0" w:color="auto"/>
                                <w:bottom w:val="none" w:sz="0" w:space="0" w:color="auto"/>
                                <w:right w:val="none" w:sz="0" w:space="0" w:color="auto"/>
                              </w:divBdr>
                            </w:div>
                            <w:div w:id="1139612780">
                              <w:marLeft w:val="0"/>
                              <w:marRight w:val="0"/>
                              <w:marTop w:val="0"/>
                              <w:marBottom w:val="0"/>
                              <w:divBdr>
                                <w:top w:val="none" w:sz="0" w:space="0" w:color="auto"/>
                                <w:left w:val="none" w:sz="0" w:space="0" w:color="auto"/>
                                <w:bottom w:val="none" w:sz="0" w:space="0" w:color="auto"/>
                                <w:right w:val="none" w:sz="0" w:space="0" w:color="auto"/>
                              </w:divBdr>
                            </w:div>
                            <w:div w:id="1200700089">
                              <w:marLeft w:val="0"/>
                              <w:marRight w:val="0"/>
                              <w:marTop w:val="0"/>
                              <w:marBottom w:val="0"/>
                              <w:divBdr>
                                <w:top w:val="none" w:sz="0" w:space="0" w:color="auto"/>
                                <w:left w:val="none" w:sz="0" w:space="0" w:color="auto"/>
                                <w:bottom w:val="none" w:sz="0" w:space="0" w:color="auto"/>
                                <w:right w:val="none" w:sz="0" w:space="0" w:color="auto"/>
                              </w:divBdr>
                              <w:divsChild>
                                <w:div w:id="160512956">
                                  <w:marLeft w:val="0"/>
                                  <w:marRight w:val="0"/>
                                  <w:marTop w:val="0"/>
                                  <w:marBottom w:val="0"/>
                                  <w:divBdr>
                                    <w:top w:val="none" w:sz="0" w:space="0" w:color="auto"/>
                                    <w:left w:val="none" w:sz="0" w:space="0" w:color="auto"/>
                                    <w:bottom w:val="none" w:sz="0" w:space="0" w:color="auto"/>
                                    <w:right w:val="none" w:sz="0" w:space="0" w:color="auto"/>
                                  </w:divBdr>
                                  <w:divsChild>
                                    <w:div w:id="45683382">
                                      <w:marLeft w:val="0"/>
                                      <w:marRight w:val="0"/>
                                      <w:marTop w:val="0"/>
                                      <w:marBottom w:val="0"/>
                                      <w:divBdr>
                                        <w:top w:val="none" w:sz="0" w:space="0" w:color="auto"/>
                                        <w:left w:val="none" w:sz="0" w:space="0" w:color="auto"/>
                                        <w:bottom w:val="none" w:sz="0" w:space="0" w:color="auto"/>
                                        <w:right w:val="none" w:sz="0" w:space="0" w:color="auto"/>
                                      </w:divBdr>
                                    </w:div>
                                    <w:div w:id="58672440">
                                      <w:marLeft w:val="0"/>
                                      <w:marRight w:val="0"/>
                                      <w:marTop w:val="0"/>
                                      <w:marBottom w:val="0"/>
                                      <w:divBdr>
                                        <w:top w:val="none" w:sz="0" w:space="0" w:color="auto"/>
                                        <w:left w:val="none" w:sz="0" w:space="0" w:color="auto"/>
                                        <w:bottom w:val="none" w:sz="0" w:space="0" w:color="auto"/>
                                        <w:right w:val="none" w:sz="0" w:space="0" w:color="auto"/>
                                      </w:divBdr>
                                    </w:div>
                                    <w:div w:id="88820168">
                                      <w:marLeft w:val="0"/>
                                      <w:marRight w:val="0"/>
                                      <w:marTop w:val="0"/>
                                      <w:marBottom w:val="0"/>
                                      <w:divBdr>
                                        <w:top w:val="none" w:sz="0" w:space="0" w:color="auto"/>
                                        <w:left w:val="none" w:sz="0" w:space="0" w:color="auto"/>
                                        <w:bottom w:val="none" w:sz="0" w:space="0" w:color="auto"/>
                                        <w:right w:val="none" w:sz="0" w:space="0" w:color="auto"/>
                                      </w:divBdr>
                                    </w:div>
                                    <w:div w:id="109934688">
                                      <w:marLeft w:val="0"/>
                                      <w:marRight w:val="0"/>
                                      <w:marTop w:val="0"/>
                                      <w:marBottom w:val="0"/>
                                      <w:divBdr>
                                        <w:top w:val="none" w:sz="0" w:space="0" w:color="auto"/>
                                        <w:left w:val="none" w:sz="0" w:space="0" w:color="auto"/>
                                        <w:bottom w:val="none" w:sz="0" w:space="0" w:color="auto"/>
                                        <w:right w:val="none" w:sz="0" w:space="0" w:color="auto"/>
                                      </w:divBdr>
                                    </w:div>
                                    <w:div w:id="118765300">
                                      <w:marLeft w:val="0"/>
                                      <w:marRight w:val="0"/>
                                      <w:marTop w:val="0"/>
                                      <w:marBottom w:val="0"/>
                                      <w:divBdr>
                                        <w:top w:val="none" w:sz="0" w:space="0" w:color="auto"/>
                                        <w:left w:val="none" w:sz="0" w:space="0" w:color="auto"/>
                                        <w:bottom w:val="none" w:sz="0" w:space="0" w:color="auto"/>
                                        <w:right w:val="none" w:sz="0" w:space="0" w:color="auto"/>
                                      </w:divBdr>
                                    </w:div>
                                    <w:div w:id="127431656">
                                      <w:marLeft w:val="0"/>
                                      <w:marRight w:val="0"/>
                                      <w:marTop w:val="0"/>
                                      <w:marBottom w:val="0"/>
                                      <w:divBdr>
                                        <w:top w:val="none" w:sz="0" w:space="0" w:color="auto"/>
                                        <w:left w:val="none" w:sz="0" w:space="0" w:color="auto"/>
                                        <w:bottom w:val="none" w:sz="0" w:space="0" w:color="auto"/>
                                        <w:right w:val="none" w:sz="0" w:space="0" w:color="auto"/>
                                      </w:divBdr>
                                    </w:div>
                                    <w:div w:id="166021934">
                                      <w:marLeft w:val="0"/>
                                      <w:marRight w:val="0"/>
                                      <w:marTop w:val="0"/>
                                      <w:marBottom w:val="0"/>
                                      <w:divBdr>
                                        <w:top w:val="none" w:sz="0" w:space="0" w:color="auto"/>
                                        <w:left w:val="none" w:sz="0" w:space="0" w:color="auto"/>
                                        <w:bottom w:val="none" w:sz="0" w:space="0" w:color="auto"/>
                                        <w:right w:val="none" w:sz="0" w:space="0" w:color="auto"/>
                                      </w:divBdr>
                                    </w:div>
                                    <w:div w:id="175660151">
                                      <w:marLeft w:val="0"/>
                                      <w:marRight w:val="0"/>
                                      <w:marTop w:val="0"/>
                                      <w:marBottom w:val="0"/>
                                      <w:divBdr>
                                        <w:top w:val="none" w:sz="0" w:space="0" w:color="auto"/>
                                        <w:left w:val="none" w:sz="0" w:space="0" w:color="auto"/>
                                        <w:bottom w:val="none" w:sz="0" w:space="0" w:color="auto"/>
                                        <w:right w:val="none" w:sz="0" w:space="0" w:color="auto"/>
                                      </w:divBdr>
                                    </w:div>
                                    <w:div w:id="222328779">
                                      <w:marLeft w:val="0"/>
                                      <w:marRight w:val="0"/>
                                      <w:marTop w:val="0"/>
                                      <w:marBottom w:val="0"/>
                                      <w:divBdr>
                                        <w:top w:val="none" w:sz="0" w:space="0" w:color="auto"/>
                                        <w:left w:val="none" w:sz="0" w:space="0" w:color="auto"/>
                                        <w:bottom w:val="none" w:sz="0" w:space="0" w:color="auto"/>
                                        <w:right w:val="none" w:sz="0" w:space="0" w:color="auto"/>
                                      </w:divBdr>
                                    </w:div>
                                    <w:div w:id="253709262">
                                      <w:marLeft w:val="0"/>
                                      <w:marRight w:val="0"/>
                                      <w:marTop w:val="0"/>
                                      <w:marBottom w:val="0"/>
                                      <w:divBdr>
                                        <w:top w:val="none" w:sz="0" w:space="0" w:color="auto"/>
                                        <w:left w:val="none" w:sz="0" w:space="0" w:color="auto"/>
                                        <w:bottom w:val="none" w:sz="0" w:space="0" w:color="auto"/>
                                        <w:right w:val="none" w:sz="0" w:space="0" w:color="auto"/>
                                      </w:divBdr>
                                    </w:div>
                                    <w:div w:id="274411543">
                                      <w:marLeft w:val="0"/>
                                      <w:marRight w:val="0"/>
                                      <w:marTop w:val="0"/>
                                      <w:marBottom w:val="0"/>
                                      <w:divBdr>
                                        <w:top w:val="none" w:sz="0" w:space="0" w:color="auto"/>
                                        <w:left w:val="none" w:sz="0" w:space="0" w:color="auto"/>
                                        <w:bottom w:val="none" w:sz="0" w:space="0" w:color="auto"/>
                                        <w:right w:val="none" w:sz="0" w:space="0" w:color="auto"/>
                                      </w:divBdr>
                                    </w:div>
                                    <w:div w:id="285738049">
                                      <w:marLeft w:val="0"/>
                                      <w:marRight w:val="0"/>
                                      <w:marTop w:val="0"/>
                                      <w:marBottom w:val="0"/>
                                      <w:divBdr>
                                        <w:top w:val="none" w:sz="0" w:space="0" w:color="auto"/>
                                        <w:left w:val="none" w:sz="0" w:space="0" w:color="auto"/>
                                        <w:bottom w:val="none" w:sz="0" w:space="0" w:color="auto"/>
                                        <w:right w:val="none" w:sz="0" w:space="0" w:color="auto"/>
                                      </w:divBdr>
                                    </w:div>
                                    <w:div w:id="392431415">
                                      <w:marLeft w:val="0"/>
                                      <w:marRight w:val="0"/>
                                      <w:marTop w:val="0"/>
                                      <w:marBottom w:val="0"/>
                                      <w:divBdr>
                                        <w:top w:val="none" w:sz="0" w:space="0" w:color="auto"/>
                                        <w:left w:val="none" w:sz="0" w:space="0" w:color="auto"/>
                                        <w:bottom w:val="none" w:sz="0" w:space="0" w:color="auto"/>
                                        <w:right w:val="none" w:sz="0" w:space="0" w:color="auto"/>
                                      </w:divBdr>
                                    </w:div>
                                    <w:div w:id="392892531">
                                      <w:marLeft w:val="0"/>
                                      <w:marRight w:val="0"/>
                                      <w:marTop w:val="0"/>
                                      <w:marBottom w:val="0"/>
                                      <w:divBdr>
                                        <w:top w:val="none" w:sz="0" w:space="0" w:color="auto"/>
                                        <w:left w:val="none" w:sz="0" w:space="0" w:color="auto"/>
                                        <w:bottom w:val="none" w:sz="0" w:space="0" w:color="auto"/>
                                        <w:right w:val="none" w:sz="0" w:space="0" w:color="auto"/>
                                      </w:divBdr>
                                    </w:div>
                                    <w:div w:id="446122746">
                                      <w:marLeft w:val="0"/>
                                      <w:marRight w:val="0"/>
                                      <w:marTop w:val="0"/>
                                      <w:marBottom w:val="0"/>
                                      <w:divBdr>
                                        <w:top w:val="none" w:sz="0" w:space="0" w:color="auto"/>
                                        <w:left w:val="none" w:sz="0" w:space="0" w:color="auto"/>
                                        <w:bottom w:val="none" w:sz="0" w:space="0" w:color="auto"/>
                                        <w:right w:val="none" w:sz="0" w:space="0" w:color="auto"/>
                                      </w:divBdr>
                                    </w:div>
                                    <w:div w:id="494345052">
                                      <w:marLeft w:val="0"/>
                                      <w:marRight w:val="0"/>
                                      <w:marTop w:val="0"/>
                                      <w:marBottom w:val="0"/>
                                      <w:divBdr>
                                        <w:top w:val="none" w:sz="0" w:space="0" w:color="auto"/>
                                        <w:left w:val="none" w:sz="0" w:space="0" w:color="auto"/>
                                        <w:bottom w:val="none" w:sz="0" w:space="0" w:color="auto"/>
                                        <w:right w:val="none" w:sz="0" w:space="0" w:color="auto"/>
                                      </w:divBdr>
                                    </w:div>
                                    <w:div w:id="551113434">
                                      <w:marLeft w:val="0"/>
                                      <w:marRight w:val="0"/>
                                      <w:marTop w:val="0"/>
                                      <w:marBottom w:val="0"/>
                                      <w:divBdr>
                                        <w:top w:val="none" w:sz="0" w:space="0" w:color="auto"/>
                                        <w:left w:val="none" w:sz="0" w:space="0" w:color="auto"/>
                                        <w:bottom w:val="none" w:sz="0" w:space="0" w:color="auto"/>
                                        <w:right w:val="none" w:sz="0" w:space="0" w:color="auto"/>
                                      </w:divBdr>
                                    </w:div>
                                    <w:div w:id="559439159">
                                      <w:marLeft w:val="0"/>
                                      <w:marRight w:val="0"/>
                                      <w:marTop w:val="0"/>
                                      <w:marBottom w:val="0"/>
                                      <w:divBdr>
                                        <w:top w:val="none" w:sz="0" w:space="0" w:color="auto"/>
                                        <w:left w:val="none" w:sz="0" w:space="0" w:color="auto"/>
                                        <w:bottom w:val="none" w:sz="0" w:space="0" w:color="auto"/>
                                        <w:right w:val="none" w:sz="0" w:space="0" w:color="auto"/>
                                      </w:divBdr>
                                    </w:div>
                                    <w:div w:id="559555953">
                                      <w:marLeft w:val="0"/>
                                      <w:marRight w:val="0"/>
                                      <w:marTop w:val="0"/>
                                      <w:marBottom w:val="0"/>
                                      <w:divBdr>
                                        <w:top w:val="none" w:sz="0" w:space="0" w:color="auto"/>
                                        <w:left w:val="none" w:sz="0" w:space="0" w:color="auto"/>
                                        <w:bottom w:val="none" w:sz="0" w:space="0" w:color="auto"/>
                                        <w:right w:val="none" w:sz="0" w:space="0" w:color="auto"/>
                                      </w:divBdr>
                                    </w:div>
                                    <w:div w:id="576017554">
                                      <w:marLeft w:val="0"/>
                                      <w:marRight w:val="0"/>
                                      <w:marTop w:val="0"/>
                                      <w:marBottom w:val="0"/>
                                      <w:divBdr>
                                        <w:top w:val="none" w:sz="0" w:space="0" w:color="auto"/>
                                        <w:left w:val="none" w:sz="0" w:space="0" w:color="auto"/>
                                        <w:bottom w:val="none" w:sz="0" w:space="0" w:color="auto"/>
                                        <w:right w:val="none" w:sz="0" w:space="0" w:color="auto"/>
                                      </w:divBdr>
                                    </w:div>
                                    <w:div w:id="580875937">
                                      <w:marLeft w:val="0"/>
                                      <w:marRight w:val="0"/>
                                      <w:marTop w:val="0"/>
                                      <w:marBottom w:val="0"/>
                                      <w:divBdr>
                                        <w:top w:val="none" w:sz="0" w:space="0" w:color="auto"/>
                                        <w:left w:val="none" w:sz="0" w:space="0" w:color="auto"/>
                                        <w:bottom w:val="none" w:sz="0" w:space="0" w:color="auto"/>
                                        <w:right w:val="none" w:sz="0" w:space="0" w:color="auto"/>
                                      </w:divBdr>
                                    </w:div>
                                    <w:div w:id="616985392">
                                      <w:marLeft w:val="0"/>
                                      <w:marRight w:val="0"/>
                                      <w:marTop w:val="0"/>
                                      <w:marBottom w:val="0"/>
                                      <w:divBdr>
                                        <w:top w:val="none" w:sz="0" w:space="0" w:color="auto"/>
                                        <w:left w:val="none" w:sz="0" w:space="0" w:color="auto"/>
                                        <w:bottom w:val="none" w:sz="0" w:space="0" w:color="auto"/>
                                        <w:right w:val="none" w:sz="0" w:space="0" w:color="auto"/>
                                      </w:divBdr>
                                    </w:div>
                                    <w:div w:id="619796919">
                                      <w:marLeft w:val="0"/>
                                      <w:marRight w:val="0"/>
                                      <w:marTop w:val="0"/>
                                      <w:marBottom w:val="0"/>
                                      <w:divBdr>
                                        <w:top w:val="none" w:sz="0" w:space="0" w:color="auto"/>
                                        <w:left w:val="none" w:sz="0" w:space="0" w:color="auto"/>
                                        <w:bottom w:val="none" w:sz="0" w:space="0" w:color="auto"/>
                                        <w:right w:val="none" w:sz="0" w:space="0" w:color="auto"/>
                                      </w:divBdr>
                                    </w:div>
                                    <w:div w:id="647247984">
                                      <w:marLeft w:val="0"/>
                                      <w:marRight w:val="0"/>
                                      <w:marTop w:val="0"/>
                                      <w:marBottom w:val="0"/>
                                      <w:divBdr>
                                        <w:top w:val="none" w:sz="0" w:space="0" w:color="auto"/>
                                        <w:left w:val="none" w:sz="0" w:space="0" w:color="auto"/>
                                        <w:bottom w:val="none" w:sz="0" w:space="0" w:color="auto"/>
                                        <w:right w:val="none" w:sz="0" w:space="0" w:color="auto"/>
                                      </w:divBdr>
                                    </w:div>
                                    <w:div w:id="663779166">
                                      <w:marLeft w:val="0"/>
                                      <w:marRight w:val="0"/>
                                      <w:marTop w:val="0"/>
                                      <w:marBottom w:val="0"/>
                                      <w:divBdr>
                                        <w:top w:val="none" w:sz="0" w:space="0" w:color="auto"/>
                                        <w:left w:val="none" w:sz="0" w:space="0" w:color="auto"/>
                                        <w:bottom w:val="none" w:sz="0" w:space="0" w:color="auto"/>
                                        <w:right w:val="none" w:sz="0" w:space="0" w:color="auto"/>
                                      </w:divBdr>
                                    </w:div>
                                    <w:div w:id="675033061">
                                      <w:marLeft w:val="0"/>
                                      <w:marRight w:val="0"/>
                                      <w:marTop w:val="0"/>
                                      <w:marBottom w:val="0"/>
                                      <w:divBdr>
                                        <w:top w:val="none" w:sz="0" w:space="0" w:color="auto"/>
                                        <w:left w:val="none" w:sz="0" w:space="0" w:color="auto"/>
                                        <w:bottom w:val="none" w:sz="0" w:space="0" w:color="auto"/>
                                        <w:right w:val="none" w:sz="0" w:space="0" w:color="auto"/>
                                      </w:divBdr>
                                    </w:div>
                                    <w:div w:id="700328348">
                                      <w:marLeft w:val="0"/>
                                      <w:marRight w:val="0"/>
                                      <w:marTop w:val="0"/>
                                      <w:marBottom w:val="0"/>
                                      <w:divBdr>
                                        <w:top w:val="none" w:sz="0" w:space="0" w:color="auto"/>
                                        <w:left w:val="none" w:sz="0" w:space="0" w:color="auto"/>
                                        <w:bottom w:val="none" w:sz="0" w:space="0" w:color="auto"/>
                                        <w:right w:val="none" w:sz="0" w:space="0" w:color="auto"/>
                                      </w:divBdr>
                                    </w:div>
                                    <w:div w:id="704597546">
                                      <w:marLeft w:val="0"/>
                                      <w:marRight w:val="0"/>
                                      <w:marTop w:val="0"/>
                                      <w:marBottom w:val="0"/>
                                      <w:divBdr>
                                        <w:top w:val="none" w:sz="0" w:space="0" w:color="auto"/>
                                        <w:left w:val="none" w:sz="0" w:space="0" w:color="auto"/>
                                        <w:bottom w:val="none" w:sz="0" w:space="0" w:color="auto"/>
                                        <w:right w:val="none" w:sz="0" w:space="0" w:color="auto"/>
                                      </w:divBdr>
                                      <w:divsChild>
                                        <w:div w:id="1163472683">
                                          <w:marLeft w:val="0"/>
                                          <w:marRight w:val="0"/>
                                          <w:marTop w:val="0"/>
                                          <w:marBottom w:val="0"/>
                                          <w:divBdr>
                                            <w:top w:val="none" w:sz="0" w:space="0" w:color="auto"/>
                                            <w:left w:val="none" w:sz="0" w:space="0" w:color="auto"/>
                                            <w:bottom w:val="none" w:sz="0" w:space="0" w:color="auto"/>
                                            <w:right w:val="none" w:sz="0" w:space="0" w:color="auto"/>
                                          </w:divBdr>
                                          <w:divsChild>
                                            <w:div w:id="23754835">
                                              <w:marLeft w:val="0"/>
                                              <w:marRight w:val="0"/>
                                              <w:marTop w:val="0"/>
                                              <w:marBottom w:val="0"/>
                                              <w:divBdr>
                                                <w:top w:val="none" w:sz="0" w:space="0" w:color="auto"/>
                                                <w:left w:val="none" w:sz="0" w:space="0" w:color="auto"/>
                                                <w:bottom w:val="none" w:sz="0" w:space="0" w:color="auto"/>
                                                <w:right w:val="none" w:sz="0" w:space="0" w:color="auto"/>
                                              </w:divBdr>
                                            </w:div>
                                            <w:div w:id="70352318">
                                              <w:marLeft w:val="0"/>
                                              <w:marRight w:val="0"/>
                                              <w:marTop w:val="0"/>
                                              <w:marBottom w:val="0"/>
                                              <w:divBdr>
                                                <w:top w:val="none" w:sz="0" w:space="0" w:color="auto"/>
                                                <w:left w:val="none" w:sz="0" w:space="0" w:color="auto"/>
                                                <w:bottom w:val="none" w:sz="0" w:space="0" w:color="auto"/>
                                                <w:right w:val="none" w:sz="0" w:space="0" w:color="auto"/>
                                              </w:divBdr>
                                            </w:div>
                                            <w:div w:id="75832120">
                                              <w:marLeft w:val="0"/>
                                              <w:marRight w:val="0"/>
                                              <w:marTop w:val="0"/>
                                              <w:marBottom w:val="0"/>
                                              <w:divBdr>
                                                <w:top w:val="none" w:sz="0" w:space="0" w:color="auto"/>
                                                <w:left w:val="none" w:sz="0" w:space="0" w:color="auto"/>
                                                <w:bottom w:val="none" w:sz="0" w:space="0" w:color="auto"/>
                                                <w:right w:val="none" w:sz="0" w:space="0" w:color="auto"/>
                                              </w:divBdr>
                                            </w:div>
                                            <w:div w:id="120147308">
                                              <w:marLeft w:val="0"/>
                                              <w:marRight w:val="0"/>
                                              <w:marTop w:val="0"/>
                                              <w:marBottom w:val="0"/>
                                              <w:divBdr>
                                                <w:top w:val="none" w:sz="0" w:space="0" w:color="auto"/>
                                                <w:left w:val="none" w:sz="0" w:space="0" w:color="auto"/>
                                                <w:bottom w:val="none" w:sz="0" w:space="0" w:color="auto"/>
                                                <w:right w:val="none" w:sz="0" w:space="0" w:color="auto"/>
                                              </w:divBdr>
                                            </w:div>
                                            <w:div w:id="183834851">
                                              <w:marLeft w:val="0"/>
                                              <w:marRight w:val="0"/>
                                              <w:marTop w:val="0"/>
                                              <w:marBottom w:val="0"/>
                                              <w:divBdr>
                                                <w:top w:val="none" w:sz="0" w:space="0" w:color="auto"/>
                                                <w:left w:val="none" w:sz="0" w:space="0" w:color="auto"/>
                                                <w:bottom w:val="none" w:sz="0" w:space="0" w:color="auto"/>
                                                <w:right w:val="none" w:sz="0" w:space="0" w:color="auto"/>
                                              </w:divBdr>
                                            </w:div>
                                            <w:div w:id="201788312">
                                              <w:marLeft w:val="0"/>
                                              <w:marRight w:val="0"/>
                                              <w:marTop w:val="0"/>
                                              <w:marBottom w:val="0"/>
                                              <w:divBdr>
                                                <w:top w:val="none" w:sz="0" w:space="0" w:color="auto"/>
                                                <w:left w:val="none" w:sz="0" w:space="0" w:color="auto"/>
                                                <w:bottom w:val="none" w:sz="0" w:space="0" w:color="auto"/>
                                                <w:right w:val="none" w:sz="0" w:space="0" w:color="auto"/>
                                              </w:divBdr>
                                            </w:div>
                                            <w:div w:id="298540430">
                                              <w:marLeft w:val="0"/>
                                              <w:marRight w:val="0"/>
                                              <w:marTop w:val="0"/>
                                              <w:marBottom w:val="0"/>
                                              <w:divBdr>
                                                <w:top w:val="none" w:sz="0" w:space="0" w:color="auto"/>
                                                <w:left w:val="none" w:sz="0" w:space="0" w:color="auto"/>
                                                <w:bottom w:val="none" w:sz="0" w:space="0" w:color="auto"/>
                                                <w:right w:val="none" w:sz="0" w:space="0" w:color="auto"/>
                                              </w:divBdr>
                                            </w:div>
                                            <w:div w:id="336855906">
                                              <w:marLeft w:val="0"/>
                                              <w:marRight w:val="0"/>
                                              <w:marTop w:val="0"/>
                                              <w:marBottom w:val="0"/>
                                              <w:divBdr>
                                                <w:top w:val="none" w:sz="0" w:space="0" w:color="auto"/>
                                                <w:left w:val="none" w:sz="0" w:space="0" w:color="auto"/>
                                                <w:bottom w:val="none" w:sz="0" w:space="0" w:color="auto"/>
                                                <w:right w:val="none" w:sz="0" w:space="0" w:color="auto"/>
                                              </w:divBdr>
                                            </w:div>
                                            <w:div w:id="381952938">
                                              <w:marLeft w:val="0"/>
                                              <w:marRight w:val="0"/>
                                              <w:marTop w:val="0"/>
                                              <w:marBottom w:val="0"/>
                                              <w:divBdr>
                                                <w:top w:val="none" w:sz="0" w:space="0" w:color="auto"/>
                                                <w:left w:val="none" w:sz="0" w:space="0" w:color="auto"/>
                                                <w:bottom w:val="none" w:sz="0" w:space="0" w:color="auto"/>
                                                <w:right w:val="none" w:sz="0" w:space="0" w:color="auto"/>
                                              </w:divBdr>
                                            </w:div>
                                            <w:div w:id="470637049">
                                              <w:marLeft w:val="0"/>
                                              <w:marRight w:val="0"/>
                                              <w:marTop w:val="0"/>
                                              <w:marBottom w:val="0"/>
                                              <w:divBdr>
                                                <w:top w:val="none" w:sz="0" w:space="0" w:color="auto"/>
                                                <w:left w:val="none" w:sz="0" w:space="0" w:color="auto"/>
                                                <w:bottom w:val="none" w:sz="0" w:space="0" w:color="auto"/>
                                                <w:right w:val="none" w:sz="0" w:space="0" w:color="auto"/>
                                              </w:divBdr>
                                            </w:div>
                                            <w:div w:id="518543323">
                                              <w:marLeft w:val="0"/>
                                              <w:marRight w:val="0"/>
                                              <w:marTop w:val="0"/>
                                              <w:marBottom w:val="0"/>
                                              <w:divBdr>
                                                <w:top w:val="none" w:sz="0" w:space="0" w:color="auto"/>
                                                <w:left w:val="none" w:sz="0" w:space="0" w:color="auto"/>
                                                <w:bottom w:val="none" w:sz="0" w:space="0" w:color="auto"/>
                                                <w:right w:val="none" w:sz="0" w:space="0" w:color="auto"/>
                                              </w:divBdr>
                                            </w:div>
                                            <w:div w:id="543953665">
                                              <w:marLeft w:val="0"/>
                                              <w:marRight w:val="0"/>
                                              <w:marTop w:val="0"/>
                                              <w:marBottom w:val="0"/>
                                              <w:divBdr>
                                                <w:top w:val="none" w:sz="0" w:space="0" w:color="auto"/>
                                                <w:left w:val="none" w:sz="0" w:space="0" w:color="auto"/>
                                                <w:bottom w:val="none" w:sz="0" w:space="0" w:color="auto"/>
                                                <w:right w:val="none" w:sz="0" w:space="0" w:color="auto"/>
                                              </w:divBdr>
                                            </w:div>
                                            <w:div w:id="564727134">
                                              <w:marLeft w:val="0"/>
                                              <w:marRight w:val="0"/>
                                              <w:marTop w:val="0"/>
                                              <w:marBottom w:val="0"/>
                                              <w:divBdr>
                                                <w:top w:val="none" w:sz="0" w:space="0" w:color="auto"/>
                                                <w:left w:val="none" w:sz="0" w:space="0" w:color="auto"/>
                                                <w:bottom w:val="none" w:sz="0" w:space="0" w:color="auto"/>
                                                <w:right w:val="none" w:sz="0" w:space="0" w:color="auto"/>
                                              </w:divBdr>
                                            </w:div>
                                            <w:div w:id="620651175">
                                              <w:marLeft w:val="0"/>
                                              <w:marRight w:val="0"/>
                                              <w:marTop w:val="0"/>
                                              <w:marBottom w:val="0"/>
                                              <w:divBdr>
                                                <w:top w:val="none" w:sz="0" w:space="0" w:color="auto"/>
                                                <w:left w:val="none" w:sz="0" w:space="0" w:color="auto"/>
                                                <w:bottom w:val="none" w:sz="0" w:space="0" w:color="auto"/>
                                                <w:right w:val="none" w:sz="0" w:space="0" w:color="auto"/>
                                              </w:divBdr>
                                            </w:div>
                                            <w:div w:id="692145227">
                                              <w:marLeft w:val="0"/>
                                              <w:marRight w:val="0"/>
                                              <w:marTop w:val="0"/>
                                              <w:marBottom w:val="0"/>
                                              <w:divBdr>
                                                <w:top w:val="none" w:sz="0" w:space="0" w:color="auto"/>
                                                <w:left w:val="none" w:sz="0" w:space="0" w:color="auto"/>
                                                <w:bottom w:val="none" w:sz="0" w:space="0" w:color="auto"/>
                                                <w:right w:val="none" w:sz="0" w:space="0" w:color="auto"/>
                                              </w:divBdr>
                                            </w:div>
                                            <w:div w:id="709303715">
                                              <w:marLeft w:val="0"/>
                                              <w:marRight w:val="0"/>
                                              <w:marTop w:val="0"/>
                                              <w:marBottom w:val="0"/>
                                              <w:divBdr>
                                                <w:top w:val="none" w:sz="0" w:space="0" w:color="auto"/>
                                                <w:left w:val="none" w:sz="0" w:space="0" w:color="auto"/>
                                                <w:bottom w:val="none" w:sz="0" w:space="0" w:color="auto"/>
                                                <w:right w:val="none" w:sz="0" w:space="0" w:color="auto"/>
                                              </w:divBdr>
                                            </w:div>
                                            <w:div w:id="758451670">
                                              <w:marLeft w:val="0"/>
                                              <w:marRight w:val="0"/>
                                              <w:marTop w:val="0"/>
                                              <w:marBottom w:val="0"/>
                                              <w:divBdr>
                                                <w:top w:val="none" w:sz="0" w:space="0" w:color="auto"/>
                                                <w:left w:val="none" w:sz="0" w:space="0" w:color="auto"/>
                                                <w:bottom w:val="none" w:sz="0" w:space="0" w:color="auto"/>
                                                <w:right w:val="none" w:sz="0" w:space="0" w:color="auto"/>
                                              </w:divBdr>
                                            </w:div>
                                            <w:div w:id="781189637">
                                              <w:marLeft w:val="0"/>
                                              <w:marRight w:val="0"/>
                                              <w:marTop w:val="0"/>
                                              <w:marBottom w:val="0"/>
                                              <w:divBdr>
                                                <w:top w:val="none" w:sz="0" w:space="0" w:color="auto"/>
                                                <w:left w:val="none" w:sz="0" w:space="0" w:color="auto"/>
                                                <w:bottom w:val="none" w:sz="0" w:space="0" w:color="auto"/>
                                                <w:right w:val="none" w:sz="0" w:space="0" w:color="auto"/>
                                              </w:divBdr>
                                            </w:div>
                                            <w:div w:id="810632498">
                                              <w:marLeft w:val="0"/>
                                              <w:marRight w:val="0"/>
                                              <w:marTop w:val="0"/>
                                              <w:marBottom w:val="0"/>
                                              <w:divBdr>
                                                <w:top w:val="none" w:sz="0" w:space="0" w:color="auto"/>
                                                <w:left w:val="none" w:sz="0" w:space="0" w:color="auto"/>
                                                <w:bottom w:val="none" w:sz="0" w:space="0" w:color="auto"/>
                                                <w:right w:val="none" w:sz="0" w:space="0" w:color="auto"/>
                                              </w:divBdr>
                                            </w:div>
                                            <w:div w:id="899244910">
                                              <w:marLeft w:val="0"/>
                                              <w:marRight w:val="0"/>
                                              <w:marTop w:val="0"/>
                                              <w:marBottom w:val="0"/>
                                              <w:divBdr>
                                                <w:top w:val="none" w:sz="0" w:space="0" w:color="auto"/>
                                                <w:left w:val="none" w:sz="0" w:space="0" w:color="auto"/>
                                                <w:bottom w:val="none" w:sz="0" w:space="0" w:color="auto"/>
                                                <w:right w:val="none" w:sz="0" w:space="0" w:color="auto"/>
                                              </w:divBdr>
                                            </w:div>
                                            <w:div w:id="1018115741">
                                              <w:marLeft w:val="0"/>
                                              <w:marRight w:val="0"/>
                                              <w:marTop w:val="0"/>
                                              <w:marBottom w:val="0"/>
                                              <w:divBdr>
                                                <w:top w:val="none" w:sz="0" w:space="0" w:color="auto"/>
                                                <w:left w:val="none" w:sz="0" w:space="0" w:color="auto"/>
                                                <w:bottom w:val="none" w:sz="0" w:space="0" w:color="auto"/>
                                                <w:right w:val="none" w:sz="0" w:space="0" w:color="auto"/>
                                              </w:divBdr>
                                            </w:div>
                                            <w:div w:id="1028719281">
                                              <w:marLeft w:val="0"/>
                                              <w:marRight w:val="0"/>
                                              <w:marTop w:val="0"/>
                                              <w:marBottom w:val="0"/>
                                              <w:divBdr>
                                                <w:top w:val="none" w:sz="0" w:space="0" w:color="auto"/>
                                                <w:left w:val="none" w:sz="0" w:space="0" w:color="auto"/>
                                                <w:bottom w:val="none" w:sz="0" w:space="0" w:color="auto"/>
                                                <w:right w:val="none" w:sz="0" w:space="0" w:color="auto"/>
                                              </w:divBdr>
                                            </w:div>
                                            <w:div w:id="1051730483">
                                              <w:marLeft w:val="0"/>
                                              <w:marRight w:val="0"/>
                                              <w:marTop w:val="0"/>
                                              <w:marBottom w:val="0"/>
                                              <w:divBdr>
                                                <w:top w:val="none" w:sz="0" w:space="0" w:color="auto"/>
                                                <w:left w:val="none" w:sz="0" w:space="0" w:color="auto"/>
                                                <w:bottom w:val="none" w:sz="0" w:space="0" w:color="auto"/>
                                                <w:right w:val="none" w:sz="0" w:space="0" w:color="auto"/>
                                              </w:divBdr>
                                            </w:div>
                                            <w:div w:id="1072042699">
                                              <w:marLeft w:val="0"/>
                                              <w:marRight w:val="0"/>
                                              <w:marTop w:val="0"/>
                                              <w:marBottom w:val="0"/>
                                              <w:divBdr>
                                                <w:top w:val="none" w:sz="0" w:space="0" w:color="auto"/>
                                                <w:left w:val="none" w:sz="0" w:space="0" w:color="auto"/>
                                                <w:bottom w:val="none" w:sz="0" w:space="0" w:color="auto"/>
                                                <w:right w:val="none" w:sz="0" w:space="0" w:color="auto"/>
                                              </w:divBdr>
                                            </w:div>
                                            <w:div w:id="1077942130">
                                              <w:marLeft w:val="0"/>
                                              <w:marRight w:val="0"/>
                                              <w:marTop w:val="0"/>
                                              <w:marBottom w:val="0"/>
                                              <w:divBdr>
                                                <w:top w:val="none" w:sz="0" w:space="0" w:color="auto"/>
                                                <w:left w:val="none" w:sz="0" w:space="0" w:color="auto"/>
                                                <w:bottom w:val="none" w:sz="0" w:space="0" w:color="auto"/>
                                                <w:right w:val="none" w:sz="0" w:space="0" w:color="auto"/>
                                              </w:divBdr>
                                            </w:div>
                                            <w:div w:id="1126700702">
                                              <w:marLeft w:val="0"/>
                                              <w:marRight w:val="0"/>
                                              <w:marTop w:val="0"/>
                                              <w:marBottom w:val="0"/>
                                              <w:divBdr>
                                                <w:top w:val="none" w:sz="0" w:space="0" w:color="auto"/>
                                                <w:left w:val="none" w:sz="0" w:space="0" w:color="auto"/>
                                                <w:bottom w:val="none" w:sz="0" w:space="0" w:color="auto"/>
                                                <w:right w:val="none" w:sz="0" w:space="0" w:color="auto"/>
                                              </w:divBdr>
                                            </w:div>
                                            <w:div w:id="1128860488">
                                              <w:marLeft w:val="0"/>
                                              <w:marRight w:val="0"/>
                                              <w:marTop w:val="0"/>
                                              <w:marBottom w:val="0"/>
                                              <w:divBdr>
                                                <w:top w:val="none" w:sz="0" w:space="0" w:color="auto"/>
                                                <w:left w:val="none" w:sz="0" w:space="0" w:color="auto"/>
                                                <w:bottom w:val="none" w:sz="0" w:space="0" w:color="auto"/>
                                                <w:right w:val="none" w:sz="0" w:space="0" w:color="auto"/>
                                              </w:divBdr>
                                            </w:div>
                                            <w:div w:id="1175997648">
                                              <w:marLeft w:val="0"/>
                                              <w:marRight w:val="0"/>
                                              <w:marTop w:val="0"/>
                                              <w:marBottom w:val="0"/>
                                              <w:divBdr>
                                                <w:top w:val="none" w:sz="0" w:space="0" w:color="auto"/>
                                                <w:left w:val="none" w:sz="0" w:space="0" w:color="auto"/>
                                                <w:bottom w:val="none" w:sz="0" w:space="0" w:color="auto"/>
                                                <w:right w:val="none" w:sz="0" w:space="0" w:color="auto"/>
                                              </w:divBdr>
                                            </w:div>
                                            <w:div w:id="1187140168">
                                              <w:marLeft w:val="0"/>
                                              <w:marRight w:val="0"/>
                                              <w:marTop w:val="0"/>
                                              <w:marBottom w:val="0"/>
                                              <w:divBdr>
                                                <w:top w:val="none" w:sz="0" w:space="0" w:color="auto"/>
                                                <w:left w:val="none" w:sz="0" w:space="0" w:color="auto"/>
                                                <w:bottom w:val="none" w:sz="0" w:space="0" w:color="auto"/>
                                                <w:right w:val="none" w:sz="0" w:space="0" w:color="auto"/>
                                              </w:divBdr>
                                            </w:div>
                                            <w:div w:id="1193957441">
                                              <w:marLeft w:val="0"/>
                                              <w:marRight w:val="0"/>
                                              <w:marTop w:val="0"/>
                                              <w:marBottom w:val="0"/>
                                              <w:divBdr>
                                                <w:top w:val="none" w:sz="0" w:space="0" w:color="auto"/>
                                                <w:left w:val="none" w:sz="0" w:space="0" w:color="auto"/>
                                                <w:bottom w:val="none" w:sz="0" w:space="0" w:color="auto"/>
                                                <w:right w:val="none" w:sz="0" w:space="0" w:color="auto"/>
                                              </w:divBdr>
                                            </w:div>
                                            <w:div w:id="1257905880">
                                              <w:marLeft w:val="0"/>
                                              <w:marRight w:val="0"/>
                                              <w:marTop w:val="0"/>
                                              <w:marBottom w:val="0"/>
                                              <w:divBdr>
                                                <w:top w:val="none" w:sz="0" w:space="0" w:color="auto"/>
                                                <w:left w:val="none" w:sz="0" w:space="0" w:color="auto"/>
                                                <w:bottom w:val="none" w:sz="0" w:space="0" w:color="auto"/>
                                                <w:right w:val="none" w:sz="0" w:space="0" w:color="auto"/>
                                              </w:divBdr>
                                            </w:div>
                                            <w:div w:id="1281834818">
                                              <w:marLeft w:val="0"/>
                                              <w:marRight w:val="0"/>
                                              <w:marTop w:val="0"/>
                                              <w:marBottom w:val="0"/>
                                              <w:divBdr>
                                                <w:top w:val="none" w:sz="0" w:space="0" w:color="auto"/>
                                                <w:left w:val="none" w:sz="0" w:space="0" w:color="auto"/>
                                                <w:bottom w:val="none" w:sz="0" w:space="0" w:color="auto"/>
                                                <w:right w:val="none" w:sz="0" w:space="0" w:color="auto"/>
                                              </w:divBdr>
                                            </w:div>
                                            <w:div w:id="1287395133">
                                              <w:marLeft w:val="0"/>
                                              <w:marRight w:val="0"/>
                                              <w:marTop w:val="0"/>
                                              <w:marBottom w:val="0"/>
                                              <w:divBdr>
                                                <w:top w:val="none" w:sz="0" w:space="0" w:color="auto"/>
                                                <w:left w:val="none" w:sz="0" w:space="0" w:color="auto"/>
                                                <w:bottom w:val="none" w:sz="0" w:space="0" w:color="auto"/>
                                                <w:right w:val="none" w:sz="0" w:space="0" w:color="auto"/>
                                              </w:divBdr>
                                            </w:div>
                                            <w:div w:id="1324508842">
                                              <w:marLeft w:val="0"/>
                                              <w:marRight w:val="0"/>
                                              <w:marTop w:val="0"/>
                                              <w:marBottom w:val="0"/>
                                              <w:divBdr>
                                                <w:top w:val="none" w:sz="0" w:space="0" w:color="auto"/>
                                                <w:left w:val="none" w:sz="0" w:space="0" w:color="auto"/>
                                                <w:bottom w:val="none" w:sz="0" w:space="0" w:color="auto"/>
                                                <w:right w:val="none" w:sz="0" w:space="0" w:color="auto"/>
                                              </w:divBdr>
                                            </w:div>
                                            <w:div w:id="1371147602">
                                              <w:marLeft w:val="0"/>
                                              <w:marRight w:val="0"/>
                                              <w:marTop w:val="0"/>
                                              <w:marBottom w:val="0"/>
                                              <w:divBdr>
                                                <w:top w:val="none" w:sz="0" w:space="0" w:color="auto"/>
                                                <w:left w:val="none" w:sz="0" w:space="0" w:color="auto"/>
                                                <w:bottom w:val="none" w:sz="0" w:space="0" w:color="auto"/>
                                                <w:right w:val="none" w:sz="0" w:space="0" w:color="auto"/>
                                              </w:divBdr>
                                            </w:div>
                                            <w:div w:id="1427726095">
                                              <w:marLeft w:val="0"/>
                                              <w:marRight w:val="0"/>
                                              <w:marTop w:val="0"/>
                                              <w:marBottom w:val="0"/>
                                              <w:divBdr>
                                                <w:top w:val="none" w:sz="0" w:space="0" w:color="auto"/>
                                                <w:left w:val="none" w:sz="0" w:space="0" w:color="auto"/>
                                                <w:bottom w:val="none" w:sz="0" w:space="0" w:color="auto"/>
                                                <w:right w:val="none" w:sz="0" w:space="0" w:color="auto"/>
                                              </w:divBdr>
                                            </w:div>
                                            <w:div w:id="1428428843">
                                              <w:marLeft w:val="0"/>
                                              <w:marRight w:val="0"/>
                                              <w:marTop w:val="0"/>
                                              <w:marBottom w:val="0"/>
                                              <w:divBdr>
                                                <w:top w:val="none" w:sz="0" w:space="0" w:color="auto"/>
                                                <w:left w:val="none" w:sz="0" w:space="0" w:color="auto"/>
                                                <w:bottom w:val="none" w:sz="0" w:space="0" w:color="auto"/>
                                                <w:right w:val="none" w:sz="0" w:space="0" w:color="auto"/>
                                              </w:divBdr>
                                            </w:div>
                                            <w:div w:id="1445733146">
                                              <w:marLeft w:val="0"/>
                                              <w:marRight w:val="0"/>
                                              <w:marTop w:val="0"/>
                                              <w:marBottom w:val="0"/>
                                              <w:divBdr>
                                                <w:top w:val="none" w:sz="0" w:space="0" w:color="auto"/>
                                                <w:left w:val="none" w:sz="0" w:space="0" w:color="auto"/>
                                                <w:bottom w:val="none" w:sz="0" w:space="0" w:color="auto"/>
                                                <w:right w:val="none" w:sz="0" w:space="0" w:color="auto"/>
                                              </w:divBdr>
                                            </w:div>
                                            <w:div w:id="1468938073">
                                              <w:marLeft w:val="0"/>
                                              <w:marRight w:val="0"/>
                                              <w:marTop w:val="0"/>
                                              <w:marBottom w:val="0"/>
                                              <w:divBdr>
                                                <w:top w:val="none" w:sz="0" w:space="0" w:color="auto"/>
                                                <w:left w:val="none" w:sz="0" w:space="0" w:color="auto"/>
                                                <w:bottom w:val="none" w:sz="0" w:space="0" w:color="auto"/>
                                                <w:right w:val="none" w:sz="0" w:space="0" w:color="auto"/>
                                              </w:divBdr>
                                            </w:div>
                                            <w:div w:id="1485275028">
                                              <w:marLeft w:val="0"/>
                                              <w:marRight w:val="0"/>
                                              <w:marTop w:val="0"/>
                                              <w:marBottom w:val="0"/>
                                              <w:divBdr>
                                                <w:top w:val="none" w:sz="0" w:space="0" w:color="auto"/>
                                                <w:left w:val="none" w:sz="0" w:space="0" w:color="auto"/>
                                                <w:bottom w:val="none" w:sz="0" w:space="0" w:color="auto"/>
                                                <w:right w:val="none" w:sz="0" w:space="0" w:color="auto"/>
                                              </w:divBdr>
                                            </w:div>
                                            <w:div w:id="1508862890">
                                              <w:marLeft w:val="0"/>
                                              <w:marRight w:val="0"/>
                                              <w:marTop w:val="0"/>
                                              <w:marBottom w:val="0"/>
                                              <w:divBdr>
                                                <w:top w:val="none" w:sz="0" w:space="0" w:color="auto"/>
                                                <w:left w:val="none" w:sz="0" w:space="0" w:color="auto"/>
                                                <w:bottom w:val="none" w:sz="0" w:space="0" w:color="auto"/>
                                                <w:right w:val="none" w:sz="0" w:space="0" w:color="auto"/>
                                              </w:divBdr>
                                            </w:div>
                                            <w:div w:id="1585064344">
                                              <w:marLeft w:val="0"/>
                                              <w:marRight w:val="0"/>
                                              <w:marTop w:val="0"/>
                                              <w:marBottom w:val="0"/>
                                              <w:divBdr>
                                                <w:top w:val="none" w:sz="0" w:space="0" w:color="auto"/>
                                                <w:left w:val="none" w:sz="0" w:space="0" w:color="auto"/>
                                                <w:bottom w:val="none" w:sz="0" w:space="0" w:color="auto"/>
                                                <w:right w:val="none" w:sz="0" w:space="0" w:color="auto"/>
                                              </w:divBdr>
                                            </w:div>
                                            <w:div w:id="1615139450">
                                              <w:marLeft w:val="0"/>
                                              <w:marRight w:val="0"/>
                                              <w:marTop w:val="0"/>
                                              <w:marBottom w:val="0"/>
                                              <w:divBdr>
                                                <w:top w:val="none" w:sz="0" w:space="0" w:color="auto"/>
                                                <w:left w:val="none" w:sz="0" w:space="0" w:color="auto"/>
                                                <w:bottom w:val="none" w:sz="0" w:space="0" w:color="auto"/>
                                                <w:right w:val="none" w:sz="0" w:space="0" w:color="auto"/>
                                              </w:divBdr>
                                            </w:div>
                                            <w:div w:id="1695227741">
                                              <w:marLeft w:val="0"/>
                                              <w:marRight w:val="0"/>
                                              <w:marTop w:val="0"/>
                                              <w:marBottom w:val="0"/>
                                              <w:divBdr>
                                                <w:top w:val="none" w:sz="0" w:space="0" w:color="auto"/>
                                                <w:left w:val="none" w:sz="0" w:space="0" w:color="auto"/>
                                                <w:bottom w:val="none" w:sz="0" w:space="0" w:color="auto"/>
                                                <w:right w:val="none" w:sz="0" w:space="0" w:color="auto"/>
                                              </w:divBdr>
                                            </w:div>
                                            <w:div w:id="1728645740">
                                              <w:marLeft w:val="0"/>
                                              <w:marRight w:val="0"/>
                                              <w:marTop w:val="0"/>
                                              <w:marBottom w:val="0"/>
                                              <w:divBdr>
                                                <w:top w:val="none" w:sz="0" w:space="0" w:color="auto"/>
                                                <w:left w:val="none" w:sz="0" w:space="0" w:color="auto"/>
                                                <w:bottom w:val="none" w:sz="0" w:space="0" w:color="auto"/>
                                                <w:right w:val="none" w:sz="0" w:space="0" w:color="auto"/>
                                              </w:divBdr>
                                            </w:div>
                                            <w:div w:id="1747268559">
                                              <w:marLeft w:val="0"/>
                                              <w:marRight w:val="0"/>
                                              <w:marTop w:val="0"/>
                                              <w:marBottom w:val="0"/>
                                              <w:divBdr>
                                                <w:top w:val="none" w:sz="0" w:space="0" w:color="auto"/>
                                                <w:left w:val="none" w:sz="0" w:space="0" w:color="auto"/>
                                                <w:bottom w:val="none" w:sz="0" w:space="0" w:color="auto"/>
                                                <w:right w:val="none" w:sz="0" w:space="0" w:color="auto"/>
                                              </w:divBdr>
                                            </w:div>
                                            <w:div w:id="1889222773">
                                              <w:marLeft w:val="0"/>
                                              <w:marRight w:val="0"/>
                                              <w:marTop w:val="0"/>
                                              <w:marBottom w:val="0"/>
                                              <w:divBdr>
                                                <w:top w:val="none" w:sz="0" w:space="0" w:color="auto"/>
                                                <w:left w:val="none" w:sz="0" w:space="0" w:color="auto"/>
                                                <w:bottom w:val="none" w:sz="0" w:space="0" w:color="auto"/>
                                                <w:right w:val="none" w:sz="0" w:space="0" w:color="auto"/>
                                              </w:divBdr>
                                            </w:div>
                                            <w:div w:id="1918898072">
                                              <w:marLeft w:val="0"/>
                                              <w:marRight w:val="0"/>
                                              <w:marTop w:val="0"/>
                                              <w:marBottom w:val="0"/>
                                              <w:divBdr>
                                                <w:top w:val="none" w:sz="0" w:space="0" w:color="auto"/>
                                                <w:left w:val="none" w:sz="0" w:space="0" w:color="auto"/>
                                                <w:bottom w:val="none" w:sz="0" w:space="0" w:color="auto"/>
                                                <w:right w:val="none" w:sz="0" w:space="0" w:color="auto"/>
                                              </w:divBdr>
                                            </w:div>
                                            <w:div w:id="1941136189">
                                              <w:marLeft w:val="0"/>
                                              <w:marRight w:val="0"/>
                                              <w:marTop w:val="0"/>
                                              <w:marBottom w:val="0"/>
                                              <w:divBdr>
                                                <w:top w:val="none" w:sz="0" w:space="0" w:color="auto"/>
                                                <w:left w:val="none" w:sz="0" w:space="0" w:color="auto"/>
                                                <w:bottom w:val="none" w:sz="0" w:space="0" w:color="auto"/>
                                                <w:right w:val="none" w:sz="0" w:space="0" w:color="auto"/>
                                              </w:divBdr>
                                            </w:div>
                                            <w:div w:id="2065446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4715374">
                                      <w:marLeft w:val="0"/>
                                      <w:marRight w:val="0"/>
                                      <w:marTop w:val="0"/>
                                      <w:marBottom w:val="0"/>
                                      <w:divBdr>
                                        <w:top w:val="none" w:sz="0" w:space="0" w:color="auto"/>
                                        <w:left w:val="none" w:sz="0" w:space="0" w:color="auto"/>
                                        <w:bottom w:val="none" w:sz="0" w:space="0" w:color="auto"/>
                                        <w:right w:val="none" w:sz="0" w:space="0" w:color="auto"/>
                                      </w:divBdr>
                                    </w:div>
                                    <w:div w:id="762334105">
                                      <w:marLeft w:val="0"/>
                                      <w:marRight w:val="0"/>
                                      <w:marTop w:val="0"/>
                                      <w:marBottom w:val="0"/>
                                      <w:divBdr>
                                        <w:top w:val="none" w:sz="0" w:space="0" w:color="auto"/>
                                        <w:left w:val="none" w:sz="0" w:space="0" w:color="auto"/>
                                        <w:bottom w:val="none" w:sz="0" w:space="0" w:color="auto"/>
                                        <w:right w:val="none" w:sz="0" w:space="0" w:color="auto"/>
                                      </w:divBdr>
                                    </w:div>
                                    <w:div w:id="777682184">
                                      <w:marLeft w:val="0"/>
                                      <w:marRight w:val="0"/>
                                      <w:marTop w:val="0"/>
                                      <w:marBottom w:val="0"/>
                                      <w:divBdr>
                                        <w:top w:val="none" w:sz="0" w:space="0" w:color="auto"/>
                                        <w:left w:val="none" w:sz="0" w:space="0" w:color="auto"/>
                                        <w:bottom w:val="none" w:sz="0" w:space="0" w:color="auto"/>
                                        <w:right w:val="none" w:sz="0" w:space="0" w:color="auto"/>
                                      </w:divBdr>
                                    </w:div>
                                    <w:div w:id="789669351">
                                      <w:marLeft w:val="0"/>
                                      <w:marRight w:val="0"/>
                                      <w:marTop w:val="0"/>
                                      <w:marBottom w:val="0"/>
                                      <w:divBdr>
                                        <w:top w:val="none" w:sz="0" w:space="0" w:color="auto"/>
                                        <w:left w:val="none" w:sz="0" w:space="0" w:color="auto"/>
                                        <w:bottom w:val="none" w:sz="0" w:space="0" w:color="auto"/>
                                        <w:right w:val="none" w:sz="0" w:space="0" w:color="auto"/>
                                      </w:divBdr>
                                    </w:div>
                                    <w:div w:id="820970832">
                                      <w:marLeft w:val="0"/>
                                      <w:marRight w:val="0"/>
                                      <w:marTop w:val="0"/>
                                      <w:marBottom w:val="0"/>
                                      <w:divBdr>
                                        <w:top w:val="none" w:sz="0" w:space="0" w:color="auto"/>
                                        <w:left w:val="none" w:sz="0" w:space="0" w:color="auto"/>
                                        <w:bottom w:val="none" w:sz="0" w:space="0" w:color="auto"/>
                                        <w:right w:val="none" w:sz="0" w:space="0" w:color="auto"/>
                                      </w:divBdr>
                                    </w:div>
                                    <w:div w:id="882643656">
                                      <w:marLeft w:val="0"/>
                                      <w:marRight w:val="0"/>
                                      <w:marTop w:val="0"/>
                                      <w:marBottom w:val="0"/>
                                      <w:divBdr>
                                        <w:top w:val="none" w:sz="0" w:space="0" w:color="auto"/>
                                        <w:left w:val="none" w:sz="0" w:space="0" w:color="auto"/>
                                        <w:bottom w:val="none" w:sz="0" w:space="0" w:color="auto"/>
                                        <w:right w:val="none" w:sz="0" w:space="0" w:color="auto"/>
                                      </w:divBdr>
                                    </w:div>
                                    <w:div w:id="889608446">
                                      <w:marLeft w:val="0"/>
                                      <w:marRight w:val="0"/>
                                      <w:marTop w:val="0"/>
                                      <w:marBottom w:val="0"/>
                                      <w:divBdr>
                                        <w:top w:val="none" w:sz="0" w:space="0" w:color="auto"/>
                                        <w:left w:val="none" w:sz="0" w:space="0" w:color="auto"/>
                                        <w:bottom w:val="none" w:sz="0" w:space="0" w:color="auto"/>
                                        <w:right w:val="none" w:sz="0" w:space="0" w:color="auto"/>
                                      </w:divBdr>
                                    </w:div>
                                    <w:div w:id="927692734">
                                      <w:marLeft w:val="0"/>
                                      <w:marRight w:val="0"/>
                                      <w:marTop w:val="0"/>
                                      <w:marBottom w:val="0"/>
                                      <w:divBdr>
                                        <w:top w:val="none" w:sz="0" w:space="0" w:color="auto"/>
                                        <w:left w:val="none" w:sz="0" w:space="0" w:color="auto"/>
                                        <w:bottom w:val="none" w:sz="0" w:space="0" w:color="auto"/>
                                        <w:right w:val="none" w:sz="0" w:space="0" w:color="auto"/>
                                      </w:divBdr>
                                    </w:div>
                                    <w:div w:id="942960581">
                                      <w:marLeft w:val="0"/>
                                      <w:marRight w:val="0"/>
                                      <w:marTop w:val="0"/>
                                      <w:marBottom w:val="0"/>
                                      <w:divBdr>
                                        <w:top w:val="none" w:sz="0" w:space="0" w:color="auto"/>
                                        <w:left w:val="none" w:sz="0" w:space="0" w:color="auto"/>
                                        <w:bottom w:val="none" w:sz="0" w:space="0" w:color="auto"/>
                                        <w:right w:val="none" w:sz="0" w:space="0" w:color="auto"/>
                                      </w:divBdr>
                                    </w:div>
                                    <w:div w:id="953026855">
                                      <w:marLeft w:val="0"/>
                                      <w:marRight w:val="0"/>
                                      <w:marTop w:val="0"/>
                                      <w:marBottom w:val="0"/>
                                      <w:divBdr>
                                        <w:top w:val="none" w:sz="0" w:space="0" w:color="auto"/>
                                        <w:left w:val="none" w:sz="0" w:space="0" w:color="auto"/>
                                        <w:bottom w:val="none" w:sz="0" w:space="0" w:color="auto"/>
                                        <w:right w:val="none" w:sz="0" w:space="0" w:color="auto"/>
                                      </w:divBdr>
                                    </w:div>
                                    <w:div w:id="995305517">
                                      <w:marLeft w:val="0"/>
                                      <w:marRight w:val="0"/>
                                      <w:marTop w:val="0"/>
                                      <w:marBottom w:val="0"/>
                                      <w:divBdr>
                                        <w:top w:val="none" w:sz="0" w:space="0" w:color="auto"/>
                                        <w:left w:val="none" w:sz="0" w:space="0" w:color="auto"/>
                                        <w:bottom w:val="none" w:sz="0" w:space="0" w:color="auto"/>
                                        <w:right w:val="none" w:sz="0" w:space="0" w:color="auto"/>
                                      </w:divBdr>
                                    </w:div>
                                    <w:div w:id="1016158302">
                                      <w:marLeft w:val="0"/>
                                      <w:marRight w:val="0"/>
                                      <w:marTop w:val="0"/>
                                      <w:marBottom w:val="0"/>
                                      <w:divBdr>
                                        <w:top w:val="none" w:sz="0" w:space="0" w:color="auto"/>
                                        <w:left w:val="none" w:sz="0" w:space="0" w:color="auto"/>
                                        <w:bottom w:val="none" w:sz="0" w:space="0" w:color="auto"/>
                                        <w:right w:val="none" w:sz="0" w:space="0" w:color="auto"/>
                                      </w:divBdr>
                                    </w:div>
                                    <w:div w:id="1028531146">
                                      <w:marLeft w:val="0"/>
                                      <w:marRight w:val="0"/>
                                      <w:marTop w:val="0"/>
                                      <w:marBottom w:val="0"/>
                                      <w:divBdr>
                                        <w:top w:val="none" w:sz="0" w:space="0" w:color="auto"/>
                                        <w:left w:val="none" w:sz="0" w:space="0" w:color="auto"/>
                                        <w:bottom w:val="none" w:sz="0" w:space="0" w:color="auto"/>
                                        <w:right w:val="none" w:sz="0" w:space="0" w:color="auto"/>
                                      </w:divBdr>
                                    </w:div>
                                    <w:div w:id="1059472433">
                                      <w:marLeft w:val="0"/>
                                      <w:marRight w:val="0"/>
                                      <w:marTop w:val="0"/>
                                      <w:marBottom w:val="0"/>
                                      <w:divBdr>
                                        <w:top w:val="none" w:sz="0" w:space="0" w:color="auto"/>
                                        <w:left w:val="none" w:sz="0" w:space="0" w:color="auto"/>
                                        <w:bottom w:val="none" w:sz="0" w:space="0" w:color="auto"/>
                                        <w:right w:val="none" w:sz="0" w:space="0" w:color="auto"/>
                                      </w:divBdr>
                                    </w:div>
                                    <w:div w:id="1136602480">
                                      <w:marLeft w:val="0"/>
                                      <w:marRight w:val="0"/>
                                      <w:marTop w:val="0"/>
                                      <w:marBottom w:val="0"/>
                                      <w:divBdr>
                                        <w:top w:val="none" w:sz="0" w:space="0" w:color="auto"/>
                                        <w:left w:val="none" w:sz="0" w:space="0" w:color="auto"/>
                                        <w:bottom w:val="none" w:sz="0" w:space="0" w:color="auto"/>
                                        <w:right w:val="none" w:sz="0" w:space="0" w:color="auto"/>
                                      </w:divBdr>
                                    </w:div>
                                    <w:div w:id="1160999279">
                                      <w:marLeft w:val="0"/>
                                      <w:marRight w:val="0"/>
                                      <w:marTop w:val="0"/>
                                      <w:marBottom w:val="0"/>
                                      <w:divBdr>
                                        <w:top w:val="none" w:sz="0" w:space="0" w:color="auto"/>
                                        <w:left w:val="none" w:sz="0" w:space="0" w:color="auto"/>
                                        <w:bottom w:val="none" w:sz="0" w:space="0" w:color="auto"/>
                                        <w:right w:val="none" w:sz="0" w:space="0" w:color="auto"/>
                                      </w:divBdr>
                                    </w:div>
                                    <w:div w:id="1202862434">
                                      <w:marLeft w:val="0"/>
                                      <w:marRight w:val="0"/>
                                      <w:marTop w:val="0"/>
                                      <w:marBottom w:val="0"/>
                                      <w:divBdr>
                                        <w:top w:val="none" w:sz="0" w:space="0" w:color="auto"/>
                                        <w:left w:val="none" w:sz="0" w:space="0" w:color="auto"/>
                                        <w:bottom w:val="none" w:sz="0" w:space="0" w:color="auto"/>
                                        <w:right w:val="none" w:sz="0" w:space="0" w:color="auto"/>
                                      </w:divBdr>
                                    </w:div>
                                    <w:div w:id="1217401283">
                                      <w:marLeft w:val="0"/>
                                      <w:marRight w:val="0"/>
                                      <w:marTop w:val="0"/>
                                      <w:marBottom w:val="0"/>
                                      <w:divBdr>
                                        <w:top w:val="none" w:sz="0" w:space="0" w:color="auto"/>
                                        <w:left w:val="none" w:sz="0" w:space="0" w:color="auto"/>
                                        <w:bottom w:val="none" w:sz="0" w:space="0" w:color="auto"/>
                                        <w:right w:val="none" w:sz="0" w:space="0" w:color="auto"/>
                                      </w:divBdr>
                                    </w:div>
                                    <w:div w:id="1253709179">
                                      <w:marLeft w:val="0"/>
                                      <w:marRight w:val="0"/>
                                      <w:marTop w:val="0"/>
                                      <w:marBottom w:val="0"/>
                                      <w:divBdr>
                                        <w:top w:val="none" w:sz="0" w:space="0" w:color="auto"/>
                                        <w:left w:val="none" w:sz="0" w:space="0" w:color="auto"/>
                                        <w:bottom w:val="none" w:sz="0" w:space="0" w:color="auto"/>
                                        <w:right w:val="none" w:sz="0" w:space="0" w:color="auto"/>
                                      </w:divBdr>
                                    </w:div>
                                    <w:div w:id="1254820302">
                                      <w:marLeft w:val="0"/>
                                      <w:marRight w:val="0"/>
                                      <w:marTop w:val="0"/>
                                      <w:marBottom w:val="0"/>
                                      <w:divBdr>
                                        <w:top w:val="none" w:sz="0" w:space="0" w:color="auto"/>
                                        <w:left w:val="none" w:sz="0" w:space="0" w:color="auto"/>
                                        <w:bottom w:val="none" w:sz="0" w:space="0" w:color="auto"/>
                                        <w:right w:val="none" w:sz="0" w:space="0" w:color="auto"/>
                                      </w:divBdr>
                                    </w:div>
                                    <w:div w:id="1268544609">
                                      <w:marLeft w:val="0"/>
                                      <w:marRight w:val="0"/>
                                      <w:marTop w:val="0"/>
                                      <w:marBottom w:val="0"/>
                                      <w:divBdr>
                                        <w:top w:val="none" w:sz="0" w:space="0" w:color="auto"/>
                                        <w:left w:val="none" w:sz="0" w:space="0" w:color="auto"/>
                                        <w:bottom w:val="none" w:sz="0" w:space="0" w:color="auto"/>
                                        <w:right w:val="none" w:sz="0" w:space="0" w:color="auto"/>
                                      </w:divBdr>
                                    </w:div>
                                    <w:div w:id="1286229771">
                                      <w:marLeft w:val="0"/>
                                      <w:marRight w:val="0"/>
                                      <w:marTop w:val="0"/>
                                      <w:marBottom w:val="0"/>
                                      <w:divBdr>
                                        <w:top w:val="none" w:sz="0" w:space="0" w:color="auto"/>
                                        <w:left w:val="none" w:sz="0" w:space="0" w:color="auto"/>
                                        <w:bottom w:val="none" w:sz="0" w:space="0" w:color="auto"/>
                                        <w:right w:val="none" w:sz="0" w:space="0" w:color="auto"/>
                                      </w:divBdr>
                                    </w:div>
                                    <w:div w:id="1320767002">
                                      <w:marLeft w:val="0"/>
                                      <w:marRight w:val="0"/>
                                      <w:marTop w:val="0"/>
                                      <w:marBottom w:val="0"/>
                                      <w:divBdr>
                                        <w:top w:val="none" w:sz="0" w:space="0" w:color="auto"/>
                                        <w:left w:val="none" w:sz="0" w:space="0" w:color="auto"/>
                                        <w:bottom w:val="none" w:sz="0" w:space="0" w:color="auto"/>
                                        <w:right w:val="none" w:sz="0" w:space="0" w:color="auto"/>
                                      </w:divBdr>
                                    </w:div>
                                    <w:div w:id="1345329304">
                                      <w:marLeft w:val="0"/>
                                      <w:marRight w:val="0"/>
                                      <w:marTop w:val="0"/>
                                      <w:marBottom w:val="0"/>
                                      <w:divBdr>
                                        <w:top w:val="none" w:sz="0" w:space="0" w:color="auto"/>
                                        <w:left w:val="none" w:sz="0" w:space="0" w:color="auto"/>
                                        <w:bottom w:val="none" w:sz="0" w:space="0" w:color="auto"/>
                                        <w:right w:val="none" w:sz="0" w:space="0" w:color="auto"/>
                                      </w:divBdr>
                                    </w:div>
                                    <w:div w:id="1354915039">
                                      <w:marLeft w:val="0"/>
                                      <w:marRight w:val="0"/>
                                      <w:marTop w:val="0"/>
                                      <w:marBottom w:val="0"/>
                                      <w:divBdr>
                                        <w:top w:val="none" w:sz="0" w:space="0" w:color="auto"/>
                                        <w:left w:val="none" w:sz="0" w:space="0" w:color="auto"/>
                                        <w:bottom w:val="none" w:sz="0" w:space="0" w:color="auto"/>
                                        <w:right w:val="none" w:sz="0" w:space="0" w:color="auto"/>
                                      </w:divBdr>
                                    </w:div>
                                    <w:div w:id="1360470193">
                                      <w:marLeft w:val="0"/>
                                      <w:marRight w:val="0"/>
                                      <w:marTop w:val="0"/>
                                      <w:marBottom w:val="0"/>
                                      <w:divBdr>
                                        <w:top w:val="none" w:sz="0" w:space="0" w:color="auto"/>
                                        <w:left w:val="none" w:sz="0" w:space="0" w:color="auto"/>
                                        <w:bottom w:val="none" w:sz="0" w:space="0" w:color="auto"/>
                                        <w:right w:val="none" w:sz="0" w:space="0" w:color="auto"/>
                                      </w:divBdr>
                                    </w:div>
                                    <w:div w:id="1365328416">
                                      <w:marLeft w:val="0"/>
                                      <w:marRight w:val="0"/>
                                      <w:marTop w:val="0"/>
                                      <w:marBottom w:val="0"/>
                                      <w:divBdr>
                                        <w:top w:val="none" w:sz="0" w:space="0" w:color="auto"/>
                                        <w:left w:val="none" w:sz="0" w:space="0" w:color="auto"/>
                                        <w:bottom w:val="none" w:sz="0" w:space="0" w:color="auto"/>
                                        <w:right w:val="none" w:sz="0" w:space="0" w:color="auto"/>
                                      </w:divBdr>
                                    </w:div>
                                    <w:div w:id="1369799175">
                                      <w:marLeft w:val="0"/>
                                      <w:marRight w:val="0"/>
                                      <w:marTop w:val="0"/>
                                      <w:marBottom w:val="0"/>
                                      <w:divBdr>
                                        <w:top w:val="none" w:sz="0" w:space="0" w:color="auto"/>
                                        <w:left w:val="none" w:sz="0" w:space="0" w:color="auto"/>
                                        <w:bottom w:val="none" w:sz="0" w:space="0" w:color="auto"/>
                                        <w:right w:val="none" w:sz="0" w:space="0" w:color="auto"/>
                                      </w:divBdr>
                                    </w:div>
                                    <w:div w:id="1392927805">
                                      <w:marLeft w:val="0"/>
                                      <w:marRight w:val="0"/>
                                      <w:marTop w:val="0"/>
                                      <w:marBottom w:val="0"/>
                                      <w:divBdr>
                                        <w:top w:val="none" w:sz="0" w:space="0" w:color="auto"/>
                                        <w:left w:val="none" w:sz="0" w:space="0" w:color="auto"/>
                                        <w:bottom w:val="none" w:sz="0" w:space="0" w:color="auto"/>
                                        <w:right w:val="none" w:sz="0" w:space="0" w:color="auto"/>
                                      </w:divBdr>
                                    </w:div>
                                    <w:div w:id="1401100992">
                                      <w:marLeft w:val="0"/>
                                      <w:marRight w:val="0"/>
                                      <w:marTop w:val="0"/>
                                      <w:marBottom w:val="0"/>
                                      <w:divBdr>
                                        <w:top w:val="none" w:sz="0" w:space="0" w:color="auto"/>
                                        <w:left w:val="none" w:sz="0" w:space="0" w:color="auto"/>
                                        <w:bottom w:val="none" w:sz="0" w:space="0" w:color="auto"/>
                                        <w:right w:val="none" w:sz="0" w:space="0" w:color="auto"/>
                                      </w:divBdr>
                                    </w:div>
                                    <w:div w:id="1404909079">
                                      <w:marLeft w:val="0"/>
                                      <w:marRight w:val="0"/>
                                      <w:marTop w:val="0"/>
                                      <w:marBottom w:val="0"/>
                                      <w:divBdr>
                                        <w:top w:val="none" w:sz="0" w:space="0" w:color="auto"/>
                                        <w:left w:val="none" w:sz="0" w:space="0" w:color="auto"/>
                                        <w:bottom w:val="none" w:sz="0" w:space="0" w:color="auto"/>
                                        <w:right w:val="none" w:sz="0" w:space="0" w:color="auto"/>
                                      </w:divBdr>
                                    </w:div>
                                    <w:div w:id="1404991331">
                                      <w:marLeft w:val="0"/>
                                      <w:marRight w:val="0"/>
                                      <w:marTop w:val="0"/>
                                      <w:marBottom w:val="0"/>
                                      <w:divBdr>
                                        <w:top w:val="none" w:sz="0" w:space="0" w:color="auto"/>
                                        <w:left w:val="none" w:sz="0" w:space="0" w:color="auto"/>
                                        <w:bottom w:val="none" w:sz="0" w:space="0" w:color="auto"/>
                                        <w:right w:val="none" w:sz="0" w:space="0" w:color="auto"/>
                                      </w:divBdr>
                                    </w:div>
                                    <w:div w:id="1407998522">
                                      <w:marLeft w:val="0"/>
                                      <w:marRight w:val="0"/>
                                      <w:marTop w:val="0"/>
                                      <w:marBottom w:val="0"/>
                                      <w:divBdr>
                                        <w:top w:val="none" w:sz="0" w:space="0" w:color="auto"/>
                                        <w:left w:val="none" w:sz="0" w:space="0" w:color="auto"/>
                                        <w:bottom w:val="none" w:sz="0" w:space="0" w:color="auto"/>
                                        <w:right w:val="none" w:sz="0" w:space="0" w:color="auto"/>
                                      </w:divBdr>
                                    </w:div>
                                    <w:div w:id="1504903467">
                                      <w:marLeft w:val="0"/>
                                      <w:marRight w:val="0"/>
                                      <w:marTop w:val="0"/>
                                      <w:marBottom w:val="0"/>
                                      <w:divBdr>
                                        <w:top w:val="none" w:sz="0" w:space="0" w:color="auto"/>
                                        <w:left w:val="none" w:sz="0" w:space="0" w:color="auto"/>
                                        <w:bottom w:val="none" w:sz="0" w:space="0" w:color="auto"/>
                                        <w:right w:val="none" w:sz="0" w:space="0" w:color="auto"/>
                                      </w:divBdr>
                                    </w:div>
                                    <w:div w:id="1581060746">
                                      <w:marLeft w:val="0"/>
                                      <w:marRight w:val="0"/>
                                      <w:marTop w:val="0"/>
                                      <w:marBottom w:val="0"/>
                                      <w:divBdr>
                                        <w:top w:val="none" w:sz="0" w:space="0" w:color="auto"/>
                                        <w:left w:val="none" w:sz="0" w:space="0" w:color="auto"/>
                                        <w:bottom w:val="none" w:sz="0" w:space="0" w:color="auto"/>
                                        <w:right w:val="none" w:sz="0" w:space="0" w:color="auto"/>
                                      </w:divBdr>
                                    </w:div>
                                    <w:div w:id="1600522058">
                                      <w:marLeft w:val="0"/>
                                      <w:marRight w:val="0"/>
                                      <w:marTop w:val="0"/>
                                      <w:marBottom w:val="0"/>
                                      <w:divBdr>
                                        <w:top w:val="none" w:sz="0" w:space="0" w:color="auto"/>
                                        <w:left w:val="none" w:sz="0" w:space="0" w:color="auto"/>
                                        <w:bottom w:val="none" w:sz="0" w:space="0" w:color="auto"/>
                                        <w:right w:val="none" w:sz="0" w:space="0" w:color="auto"/>
                                      </w:divBdr>
                                    </w:div>
                                    <w:div w:id="1693871359">
                                      <w:marLeft w:val="0"/>
                                      <w:marRight w:val="0"/>
                                      <w:marTop w:val="0"/>
                                      <w:marBottom w:val="0"/>
                                      <w:divBdr>
                                        <w:top w:val="none" w:sz="0" w:space="0" w:color="auto"/>
                                        <w:left w:val="none" w:sz="0" w:space="0" w:color="auto"/>
                                        <w:bottom w:val="none" w:sz="0" w:space="0" w:color="auto"/>
                                        <w:right w:val="none" w:sz="0" w:space="0" w:color="auto"/>
                                      </w:divBdr>
                                    </w:div>
                                    <w:div w:id="1694459808">
                                      <w:marLeft w:val="0"/>
                                      <w:marRight w:val="0"/>
                                      <w:marTop w:val="0"/>
                                      <w:marBottom w:val="0"/>
                                      <w:divBdr>
                                        <w:top w:val="none" w:sz="0" w:space="0" w:color="auto"/>
                                        <w:left w:val="none" w:sz="0" w:space="0" w:color="auto"/>
                                        <w:bottom w:val="none" w:sz="0" w:space="0" w:color="auto"/>
                                        <w:right w:val="none" w:sz="0" w:space="0" w:color="auto"/>
                                      </w:divBdr>
                                    </w:div>
                                    <w:div w:id="1744572013">
                                      <w:marLeft w:val="0"/>
                                      <w:marRight w:val="0"/>
                                      <w:marTop w:val="0"/>
                                      <w:marBottom w:val="0"/>
                                      <w:divBdr>
                                        <w:top w:val="none" w:sz="0" w:space="0" w:color="auto"/>
                                        <w:left w:val="none" w:sz="0" w:space="0" w:color="auto"/>
                                        <w:bottom w:val="none" w:sz="0" w:space="0" w:color="auto"/>
                                        <w:right w:val="none" w:sz="0" w:space="0" w:color="auto"/>
                                      </w:divBdr>
                                    </w:div>
                                    <w:div w:id="1768623036">
                                      <w:marLeft w:val="0"/>
                                      <w:marRight w:val="0"/>
                                      <w:marTop w:val="0"/>
                                      <w:marBottom w:val="0"/>
                                      <w:divBdr>
                                        <w:top w:val="none" w:sz="0" w:space="0" w:color="auto"/>
                                        <w:left w:val="none" w:sz="0" w:space="0" w:color="auto"/>
                                        <w:bottom w:val="none" w:sz="0" w:space="0" w:color="auto"/>
                                        <w:right w:val="none" w:sz="0" w:space="0" w:color="auto"/>
                                      </w:divBdr>
                                    </w:div>
                                    <w:div w:id="1794057971">
                                      <w:marLeft w:val="0"/>
                                      <w:marRight w:val="0"/>
                                      <w:marTop w:val="0"/>
                                      <w:marBottom w:val="0"/>
                                      <w:divBdr>
                                        <w:top w:val="none" w:sz="0" w:space="0" w:color="auto"/>
                                        <w:left w:val="none" w:sz="0" w:space="0" w:color="auto"/>
                                        <w:bottom w:val="none" w:sz="0" w:space="0" w:color="auto"/>
                                        <w:right w:val="none" w:sz="0" w:space="0" w:color="auto"/>
                                      </w:divBdr>
                                    </w:div>
                                    <w:div w:id="1835298732">
                                      <w:marLeft w:val="0"/>
                                      <w:marRight w:val="0"/>
                                      <w:marTop w:val="0"/>
                                      <w:marBottom w:val="0"/>
                                      <w:divBdr>
                                        <w:top w:val="none" w:sz="0" w:space="0" w:color="auto"/>
                                        <w:left w:val="none" w:sz="0" w:space="0" w:color="auto"/>
                                        <w:bottom w:val="none" w:sz="0" w:space="0" w:color="auto"/>
                                        <w:right w:val="none" w:sz="0" w:space="0" w:color="auto"/>
                                      </w:divBdr>
                                    </w:div>
                                    <w:div w:id="1902447276">
                                      <w:marLeft w:val="0"/>
                                      <w:marRight w:val="0"/>
                                      <w:marTop w:val="0"/>
                                      <w:marBottom w:val="0"/>
                                      <w:divBdr>
                                        <w:top w:val="none" w:sz="0" w:space="0" w:color="auto"/>
                                        <w:left w:val="none" w:sz="0" w:space="0" w:color="auto"/>
                                        <w:bottom w:val="none" w:sz="0" w:space="0" w:color="auto"/>
                                        <w:right w:val="none" w:sz="0" w:space="0" w:color="auto"/>
                                      </w:divBdr>
                                    </w:div>
                                    <w:div w:id="1908688130">
                                      <w:marLeft w:val="0"/>
                                      <w:marRight w:val="0"/>
                                      <w:marTop w:val="0"/>
                                      <w:marBottom w:val="0"/>
                                      <w:divBdr>
                                        <w:top w:val="none" w:sz="0" w:space="0" w:color="auto"/>
                                        <w:left w:val="none" w:sz="0" w:space="0" w:color="auto"/>
                                        <w:bottom w:val="none" w:sz="0" w:space="0" w:color="auto"/>
                                        <w:right w:val="none" w:sz="0" w:space="0" w:color="auto"/>
                                      </w:divBdr>
                                    </w:div>
                                    <w:div w:id="1930119143">
                                      <w:marLeft w:val="0"/>
                                      <w:marRight w:val="0"/>
                                      <w:marTop w:val="0"/>
                                      <w:marBottom w:val="0"/>
                                      <w:divBdr>
                                        <w:top w:val="none" w:sz="0" w:space="0" w:color="auto"/>
                                        <w:left w:val="none" w:sz="0" w:space="0" w:color="auto"/>
                                        <w:bottom w:val="none" w:sz="0" w:space="0" w:color="auto"/>
                                        <w:right w:val="none" w:sz="0" w:space="0" w:color="auto"/>
                                      </w:divBdr>
                                    </w:div>
                                    <w:div w:id="1943032220">
                                      <w:marLeft w:val="0"/>
                                      <w:marRight w:val="0"/>
                                      <w:marTop w:val="0"/>
                                      <w:marBottom w:val="0"/>
                                      <w:divBdr>
                                        <w:top w:val="none" w:sz="0" w:space="0" w:color="auto"/>
                                        <w:left w:val="none" w:sz="0" w:space="0" w:color="auto"/>
                                        <w:bottom w:val="none" w:sz="0" w:space="0" w:color="auto"/>
                                        <w:right w:val="none" w:sz="0" w:space="0" w:color="auto"/>
                                      </w:divBdr>
                                    </w:div>
                                    <w:div w:id="1947495128">
                                      <w:marLeft w:val="0"/>
                                      <w:marRight w:val="0"/>
                                      <w:marTop w:val="0"/>
                                      <w:marBottom w:val="0"/>
                                      <w:divBdr>
                                        <w:top w:val="none" w:sz="0" w:space="0" w:color="auto"/>
                                        <w:left w:val="none" w:sz="0" w:space="0" w:color="auto"/>
                                        <w:bottom w:val="none" w:sz="0" w:space="0" w:color="auto"/>
                                        <w:right w:val="none" w:sz="0" w:space="0" w:color="auto"/>
                                      </w:divBdr>
                                    </w:div>
                                    <w:div w:id="1949971732">
                                      <w:marLeft w:val="0"/>
                                      <w:marRight w:val="0"/>
                                      <w:marTop w:val="0"/>
                                      <w:marBottom w:val="0"/>
                                      <w:divBdr>
                                        <w:top w:val="none" w:sz="0" w:space="0" w:color="auto"/>
                                        <w:left w:val="none" w:sz="0" w:space="0" w:color="auto"/>
                                        <w:bottom w:val="none" w:sz="0" w:space="0" w:color="auto"/>
                                        <w:right w:val="none" w:sz="0" w:space="0" w:color="auto"/>
                                      </w:divBdr>
                                    </w:div>
                                    <w:div w:id="2017221286">
                                      <w:marLeft w:val="0"/>
                                      <w:marRight w:val="0"/>
                                      <w:marTop w:val="0"/>
                                      <w:marBottom w:val="0"/>
                                      <w:divBdr>
                                        <w:top w:val="none" w:sz="0" w:space="0" w:color="auto"/>
                                        <w:left w:val="none" w:sz="0" w:space="0" w:color="auto"/>
                                        <w:bottom w:val="none" w:sz="0" w:space="0" w:color="auto"/>
                                        <w:right w:val="none" w:sz="0" w:space="0" w:color="auto"/>
                                      </w:divBdr>
                                    </w:div>
                                    <w:div w:id="2044477297">
                                      <w:marLeft w:val="0"/>
                                      <w:marRight w:val="0"/>
                                      <w:marTop w:val="0"/>
                                      <w:marBottom w:val="0"/>
                                      <w:divBdr>
                                        <w:top w:val="none" w:sz="0" w:space="0" w:color="auto"/>
                                        <w:left w:val="none" w:sz="0" w:space="0" w:color="auto"/>
                                        <w:bottom w:val="none" w:sz="0" w:space="0" w:color="auto"/>
                                        <w:right w:val="none" w:sz="0" w:space="0" w:color="auto"/>
                                      </w:divBdr>
                                    </w:div>
                                    <w:div w:id="2083021745">
                                      <w:marLeft w:val="0"/>
                                      <w:marRight w:val="0"/>
                                      <w:marTop w:val="0"/>
                                      <w:marBottom w:val="0"/>
                                      <w:divBdr>
                                        <w:top w:val="none" w:sz="0" w:space="0" w:color="auto"/>
                                        <w:left w:val="none" w:sz="0" w:space="0" w:color="auto"/>
                                        <w:bottom w:val="none" w:sz="0" w:space="0" w:color="auto"/>
                                        <w:right w:val="none" w:sz="0" w:space="0" w:color="auto"/>
                                      </w:divBdr>
                                    </w:div>
                                    <w:div w:id="2114012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1618739">
                              <w:marLeft w:val="0"/>
                              <w:marRight w:val="0"/>
                              <w:marTop w:val="0"/>
                              <w:marBottom w:val="0"/>
                              <w:divBdr>
                                <w:top w:val="none" w:sz="0" w:space="0" w:color="auto"/>
                                <w:left w:val="none" w:sz="0" w:space="0" w:color="auto"/>
                                <w:bottom w:val="none" w:sz="0" w:space="0" w:color="auto"/>
                                <w:right w:val="none" w:sz="0" w:space="0" w:color="auto"/>
                              </w:divBdr>
                            </w:div>
                            <w:div w:id="1252734336">
                              <w:marLeft w:val="0"/>
                              <w:marRight w:val="0"/>
                              <w:marTop w:val="0"/>
                              <w:marBottom w:val="0"/>
                              <w:divBdr>
                                <w:top w:val="none" w:sz="0" w:space="0" w:color="auto"/>
                                <w:left w:val="none" w:sz="0" w:space="0" w:color="auto"/>
                                <w:bottom w:val="none" w:sz="0" w:space="0" w:color="auto"/>
                                <w:right w:val="none" w:sz="0" w:space="0" w:color="auto"/>
                              </w:divBdr>
                            </w:div>
                            <w:div w:id="1274900308">
                              <w:marLeft w:val="0"/>
                              <w:marRight w:val="0"/>
                              <w:marTop w:val="0"/>
                              <w:marBottom w:val="0"/>
                              <w:divBdr>
                                <w:top w:val="none" w:sz="0" w:space="0" w:color="auto"/>
                                <w:left w:val="none" w:sz="0" w:space="0" w:color="auto"/>
                                <w:bottom w:val="none" w:sz="0" w:space="0" w:color="auto"/>
                                <w:right w:val="none" w:sz="0" w:space="0" w:color="auto"/>
                              </w:divBdr>
                            </w:div>
                            <w:div w:id="1297684927">
                              <w:marLeft w:val="0"/>
                              <w:marRight w:val="0"/>
                              <w:marTop w:val="0"/>
                              <w:marBottom w:val="0"/>
                              <w:divBdr>
                                <w:top w:val="none" w:sz="0" w:space="0" w:color="auto"/>
                                <w:left w:val="none" w:sz="0" w:space="0" w:color="auto"/>
                                <w:bottom w:val="none" w:sz="0" w:space="0" w:color="auto"/>
                                <w:right w:val="none" w:sz="0" w:space="0" w:color="auto"/>
                              </w:divBdr>
                            </w:div>
                            <w:div w:id="1469935453">
                              <w:marLeft w:val="0"/>
                              <w:marRight w:val="0"/>
                              <w:marTop w:val="0"/>
                              <w:marBottom w:val="0"/>
                              <w:divBdr>
                                <w:top w:val="none" w:sz="0" w:space="0" w:color="auto"/>
                                <w:left w:val="none" w:sz="0" w:space="0" w:color="auto"/>
                                <w:bottom w:val="none" w:sz="0" w:space="0" w:color="auto"/>
                                <w:right w:val="none" w:sz="0" w:space="0" w:color="auto"/>
                              </w:divBdr>
                            </w:div>
                            <w:div w:id="1497960137">
                              <w:marLeft w:val="0"/>
                              <w:marRight w:val="0"/>
                              <w:marTop w:val="0"/>
                              <w:marBottom w:val="0"/>
                              <w:divBdr>
                                <w:top w:val="none" w:sz="0" w:space="0" w:color="auto"/>
                                <w:left w:val="none" w:sz="0" w:space="0" w:color="auto"/>
                                <w:bottom w:val="none" w:sz="0" w:space="0" w:color="auto"/>
                                <w:right w:val="none" w:sz="0" w:space="0" w:color="auto"/>
                              </w:divBdr>
                            </w:div>
                            <w:div w:id="1548028481">
                              <w:marLeft w:val="0"/>
                              <w:marRight w:val="0"/>
                              <w:marTop w:val="0"/>
                              <w:marBottom w:val="0"/>
                              <w:divBdr>
                                <w:top w:val="none" w:sz="0" w:space="0" w:color="auto"/>
                                <w:left w:val="none" w:sz="0" w:space="0" w:color="auto"/>
                                <w:bottom w:val="none" w:sz="0" w:space="0" w:color="auto"/>
                                <w:right w:val="none" w:sz="0" w:space="0" w:color="auto"/>
                              </w:divBdr>
                            </w:div>
                            <w:div w:id="1641570305">
                              <w:marLeft w:val="0"/>
                              <w:marRight w:val="0"/>
                              <w:marTop w:val="0"/>
                              <w:marBottom w:val="0"/>
                              <w:divBdr>
                                <w:top w:val="none" w:sz="0" w:space="0" w:color="auto"/>
                                <w:left w:val="none" w:sz="0" w:space="0" w:color="auto"/>
                                <w:bottom w:val="none" w:sz="0" w:space="0" w:color="auto"/>
                                <w:right w:val="none" w:sz="0" w:space="0" w:color="auto"/>
                              </w:divBdr>
                            </w:div>
                            <w:div w:id="1683705125">
                              <w:marLeft w:val="0"/>
                              <w:marRight w:val="0"/>
                              <w:marTop w:val="0"/>
                              <w:marBottom w:val="0"/>
                              <w:divBdr>
                                <w:top w:val="none" w:sz="0" w:space="0" w:color="auto"/>
                                <w:left w:val="none" w:sz="0" w:space="0" w:color="auto"/>
                                <w:bottom w:val="none" w:sz="0" w:space="0" w:color="auto"/>
                                <w:right w:val="none" w:sz="0" w:space="0" w:color="auto"/>
                              </w:divBdr>
                            </w:div>
                            <w:div w:id="1692491338">
                              <w:marLeft w:val="0"/>
                              <w:marRight w:val="0"/>
                              <w:marTop w:val="0"/>
                              <w:marBottom w:val="0"/>
                              <w:divBdr>
                                <w:top w:val="none" w:sz="0" w:space="0" w:color="auto"/>
                                <w:left w:val="none" w:sz="0" w:space="0" w:color="auto"/>
                                <w:bottom w:val="none" w:sz="0" w:space="0" w:color="auto"/>
                                <w:right w:val="none" w:sz="0" w:space="0" w:color="auto"/>
                              </w:divBdr>
                            </w:div>
                            <w:div w:id="1848983849">
                              <w:marLeft w:val="0"/>
                              <w:marRight w:val="0"/>
                              <w:marTop w:val="0"/>
                              <w:marBottom w:val="0"/>
                              <w:divBdr>
                                <w:top w:val="none" w:sz="0" w:space="0" w:color="auto"/>
                                <w:left w:val="none" w:sz="0" w:space="0" w:color="auto"/>
                                <w:bottom w:val="none" w:sz="0" w:space="0" w:color="auto"/>
                                <w:right w:val="none" w:sz="0" w:space="0" w:color="auto"/>
                              </w:divBdr>
                            </w:div>
                            <w:div w:id="1910186056">
                              <w:marLeft w:val="0"/>
                              <w:marRight w:val="0"/>
                              <w:marTop w:val="0"/>
                              <w:marBottom w:val="0"/>
                              <w:divBdr>
                                <w:top w:val="none" w:sz="0" w:space="0" w:color="auto"/>
                                <w:left w:val="none" w:sz="0" w:space="0" w:color="auto"/>
                                <w:bottom w:val="none" w:sz="0" w:space="0" w:color="auto"/>
                                <w:right w:val="none" w:sz="0" w:space="0" w:color="auto"/>
                              </w:divBdr>
                            </w:div>
                            <w:div w:id="1919090853">
                              <w:marLeft w:val="0"/>
                              <w:marRight w:val="0"/>
                              <w:marTop w:val="0"/>
                              <w:marBottom w:val="0"/>
                              <w:divBdr>
                                <w:top w:val="none" w:sz="0" w:space="0" w:color="auto"/>
                                <w:left w:val="none" w:sz="0" w:space="0" w:color="auto"/>
                                <w:bottom w:val="none" w:sz="0" w:space="0" w:color="auto"/>
                                <w:right w:val="none" w:sz="0" w:space="0" w:color="auto"/>
                              </w:divBdr>
                            </w:div>
                            <w:div w:id="1960648399">
                              <w:marLeft w:val="0"/>
                              <w:marRight w:val="0"/>
                              <w:marTop w:val="0"/>
                              <w:marBottom w:val="0"/>
                              <w:divBdr>
                                <w:top w:val="none" w:sz="0" w:space="0" w:color="auto"/>
                                <w:left w:val="none" w:sz="0" w:space="0" w:color="auto"/>
                                <w:bottom w:val="none" w:sz="0" w:space="0" w:color="auto"/>
                                <w:right w:val="none" w:sz="0" w:space="0" w:color="auto"/>
                              </w:divBdr>
                            </w:div>
                            <w:div w:id="1981229363">
                              <w:marLeft w:val="0"/>
                              <w:marRight w:val="0"/>
                              <w:marTop w:val="0"/>
                              <w:marBottom w:val="0"/>
                              <w:divBdr>
                                <w:top w:val="none" w:sz="0" w:space="0" w:color="auto"/>
                                <w:left w:val="none" w:sz="0" w:space="0" w:color="auto"/>
                                <w:bottom w:val="none" w:sz="0" w:space="0" w:color="auto"/>
                                <w:right w:val="none" w:sz="0" w:space="0" w:color="auto"/>
                              </w:divBdr>
                            </w:div>
                            <w:div w:id="2034961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08371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3497499">
              <w:marLeft w:val="0"/>
              <w:marRight w:val="0"/>
              <w:marTop w:val="0"/>
              <w:marBottom w:val="0"/>
              <w:divBdr>
                <w:top w:val="none" w:sz="0" w:space="0" w:color="auto"/>
                <w:left w:val="none" w:sz="0" w:space="0" w:color="auto"/>
                <w:bottom w:val="none" w:sz="0" w:space="0" w:color="auto"/>
                <w:right w:val="none" w:sz="0" w:space="0" w:color="auto"/>
              </w:divBdr>
              <w:divsChild>
                <w:div w:id="674890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4765410">
      <w:bodyDiv w:val="1"/>
      <w:marLeft w:val="0"/>
      <w:marRight w:val="0"/>
      <w:marTop w:val="0"/>
      <w:marBottom w:val="0"/>
      <w:divBdr>
        <w:top w:val="none" w:sz="0" w:space="0" w:color="auto"/>
        <w:left w:val="none" w:sz="0" w:space="0" w:color="auto"/>
        <w:bottom w:val="none" w:sz="0" w:space="0" w:color="auto"/>
        <w:right w:val="none" w:sz="0" w:space="0" w:color="auto"/>
      </w:divBdr>
    </w:div>
    <w:div w:id="675496032">
      <w:bodyDiv w:val="1"/>
      <w:marLeft w:val="0"/>
      <w:marRight w:val="0"/>
      <w:marTop w:val="0"/>
      <w:marBottom w:val="0"/>
      <w:divBdr>
        <w:top w:val="none" w:sz="0" w:space="0" w:color="auto"/>
        <w:left w:val="none" w:sz="0" w:space="0" w:color="auto"/>
        <w:bottom w:val="none" w:sz="0" w:space="0" w:color="auto"/>
        <w:right w:val="none" w:sz="0" w:space="0" w:color="auto"/>
      </w:divBdr>
      <w:divsChild>
        <w:div w:id="106849818">
          <w:marLeft w:val="0"/>
          <w:marRight w:val="0"/>
          <w:marTop w:val="0"/>
          <w:marBottom w:val="0"/>
          <w:divBdr>
            <w:top w:val="none" w:sz="0" w:space="0" w:color="auto"/>
            <w:left w:val="none" w:sz="0" w:space="0" w:color="auto"/>
            <w:bottom w:val="none" w:sz="0" w:space="0" w:color="auto"/>
            <w:right w:val="none" w:sz="0" w:space="0" w:color="auto"/>
          </w:divBdr>
        </w:div>
        <w:div w:id="250549787">
          <w:marLeft w:val="0"/>
          <w:marRight w:val="0"/>
          <w:marTop w:val="0"/>
          <w:marBottom w:val="0"/>
          <w:divBdr>
            <w:top w:val="none" w:sz="0" w:space="0" w:color="auto"/>
            <w:left w:val="none" w:sz="0" w:space="0" w:color="auto"/>
            <w:bottom w:val="none" w:sz="0" w:space="0" w:color="auto"/>
            <w:right w:val="none" w:sz="0" w:space="0" w:color="auto"/>
          </w:divBdr>
        </w:div>
        <w:div w:id="1020549073">
          <w:marLeft w:val="0"/>
          <w:marRight w:val="0"/>
          <w:marTop w:val="0"/>
          <w:marBottom w:val="0"/>
          <w:divBdr>
            <w:top w:val="none" w:sz="0" w:space="0" w:color="auto"/>
            <w:left w:val="none" w:sz="0" w:space="0" w:color="auto"/>
            <w:bottom w:val="none" w:sz="0" w:space="0" w:color="auto"/>
            <w:right w:val="none" w:sz="0" w:space="0" w:color="auto"/>
          </w:divBdr>
        </w:div>
      </w:divsChild>
    </w:div>
    <w:div w:id="677661330">
      <w:bodyDiv w:val="1"/>
      <w:marLeft w:val="0"/>
      <w:marRight w:val="0"/>
      <w:marTop w:val="0"/>
      <w:marBottom w:val="0"/>
      <w:divBdr>
        <w:top w:val="none" w:sz="0" w:space="0" w:color="auto"/>
        <w:left w:val="none" w:sz="0" w:space="0" w:color="auto"/>
        <w:bottom w:val="none" w:sz="0" w:space="0" w:color="auto"/>
        <w:right w:val="none" w:sz="0" w:space="0" w:color="auto"/>
      </w:divBdr>
      <w:divsChild>
        <w:div w:id="959145273">
          <w:marLeft w:val="0"/>
          <w:marRight w:val="0"/>
          <w:marTop w:val="0"/>
          <w:marBottom w:val="0"/>
          <w:divBdr>
            <w:top w:val="none" w:sz="0" w:space="0" w:color="auto"/>
            <w:left w:val="none" w:sz="0" w:space="0" w:color="auto"/>
            <w:bottom w:val="none" w:sz="0" w:space="0" w:color="auto"/>
            <w:right w:val="none" w:sz="0" w:space="0" w:color="auto"/>
          </w:divBdr>
        </w:div>
        <w:div w:id="1678342037">
          <w:marLeft w:val="0"/>
          <w:marRight w:val="0"/>
          <w:marTop w:val="0"/>
          <w:marBottom w:val="0"/>
          <w:divBdr>
            <w:top w:val="none" w:sz="0" w:space="0" w:color="auto"/>
            <w:left w:val="none" w:sz="0" w:space="0" w:color="auto"/>
            <w:bottom w:val="none" w:sz="0" w:space="0" w:color="auto"/>
            <w:right w:val="none" w:sz="0" w:space="0" w:color="auto"/>
          </w:divBdr>
        </w:div>
      </w:divsChild>
    </w:div>
    <w:div w:id="679894148">
      <w:bodyDiv w:val="1"/>
      <w:marLeft w:val="0"/>
      <w:marRight w:val="0"/>
      <w:marTop w:val="0"/>
      <w:marBottom w:val="0"/>
      <w:divBdr>
        <w:top w:val="none" w:sz="0" w:space="0" w:color="auto"/>
        <w:left w:val="none" w:sz="0" w:space="0" w:color="auto"/>
        <w:bottom w:val="none" w:sz="0" w:space="0" w:color="auto"/>
        <w:right w:val="none" w:sz="0" w:space="0" w:color="auto"/>
      </w:divBdr>
    </w:div>
    <w:div w:id="680089426">
      <w:bodyDiv w:val="1"/>
      <w:marLeft w:val="0"/>
      <w:marRight w:val="0"/>
      <w:marTop w:val="0"/>
      <w:marBottom w:val="0"/>
      <w:divBdr>
        <w:top w:val="none" w:sz="0" w:space="0" w:color="auto"/>
        <w:left w:val="none" w:sz="0" w:space="0" w:color="auto"/>
        <w:bottom w:val="none" w:sz="0" w:space="0" w:color="auto"/>
        <w:right w:val="none" w:sz="0" w:space="0" w:color="auto"/>
      </w:divBdr>
    </w:div>
    <w:div w:id="683628856">
      <w:bodyDiv w:val="1"/>
      <w:marLeft w:val="0"/>
      <w:marRight w:val="0"/>
      <w:marTop w:val="0"/>
      <w:marBottom w:val="0"/>
      <w:divBdr>
        <w:top w:val="none" w:sz="0" w:space="0" w:color="auto"/>
        <w:left w:val="none" w:sz="0" w:space="0" w:color="auto"/>
        <w:bottom w:val="none" w:sz="0" w:space="0" w:color="auto"/>
        <w:right w:val="none" w:sz="0" w:space="0" w:color="auto"/>
      </w:divBdr>
      <w:divsChild>
        <w:div w:id="575866942">
          <w:marLeft w:val="0"/>
          <w:marRight w:val="0"/>
          <w:marTop w:val="0"/>
          <w:marBottom w:val="0"/>
          <w:divBdr>
            <w:top w:val="none" w:sz="0" w:space="0" w:color="auto"/>
            <w:left w:val="none" w:sz="0" w:space="0" w:color="auto"/>
            <w:bottom w:val="none" w:sz="0" w:space="0" w:color="auto"/>
            <w:right w:val="none" w:sz="0" w:space="0" w:color="auto"/>
          </w:divBdr>
        </w:div>
        <w:div w:id="1250115122">
          <w:marLeft w:val="0"/>
          <w:marRight w:val="0"/>
          <w:marTop w:val="0"/>
          <w:marBottom w:val="0"/>
          <w:divBdr>
            <w:top w:val="none" w:sz="0" w:space="0" w:color="auto"/>
            <w:left w:val="none" w:sz="0" w:space="0" w:color="auto"/>
            <w:bottom w:val="none" w:sz="0" w:space="0" w:color="auto"/>
            <w:right w:val="none" w:sz="0" w:space="0" w:color="auto"/>
          </w:divBdr>
        </w:div>
      </w:divsChild>
    </w:div>
    <w:div w:id="686908944">
      <w:bodyDiv w:val="1"/>
      <w:marLeft w:val="0"/>
      <w:marRight w:val="0"/>
      <w:marTop w:val="0"/>
      <w:marBottom w:val="0"/>
      <w:divBdr>
        <w:top w:val="none" w:sz="0" w:space="0" w:color="auto"/>
        <w:left w:val="none" w:sz="0" w:space="0" w:color="auto"/>
        <w:bottom w:val="none" w:sz="0" w:space="0" w:color="auto"/>
        <w:right w:val="none" w:sz="0" w:space="0" w:color="auto"/>
      </w:divBdr>
    </w:div>
    <w:div w:id="693311502">
      <w:bodyDiv w:val="1"/>
      <w:marLeft w:val="0"/>
      <w:marRight w:val="0"/>
      <w:marTop w:val="0"/>
      <w:marBottom w:val="0"/>
      <w:divBdr>
        <w:top w:val="none" w:sz="0" w:space="0" w:color="auto"/>
        <w:left w:val="none" w:sz="0" w:space="0" w:color="auto"/>
        <w:bottom w:val="none" w:sz="0" w:space="0" w:color="auto"/>
        <w:right w:val="none" w:sz="0" w:space="0" w:color="auto"/>
      </w:divBdr>
    </w:div>
    <w:div w:id="702243219">
      <w:bodyDiv w:val="1"/>
      <w:marLeft w:val="0"/>
      <w:marRight w:val="0"/>
      <w:marTop w:val="0"/>
      <w:marBottom w:val="0"/>
      <w:divBdr>
        <w:top w:val="none" w:sz="0" w:space="0" w:color="auto"/>
        <w:left w:val="none" w:sz="0" w:space="0" w:color="auto"/>
        <w:bottom w:val="none" w:sz="0" w:space="0" w:color="auto"/>
        <w:right w:val="none" w:sz="0" w:space="0" w:color="auto"/>
      </w:divBdr>
      <w:divsChild>
        <w:div w:id="350766195">
          <w:marLeft w:val="0"/>
          <w:marRight w:val="0"/>
          <w:marTop w:val="0"/>
          <w:marBottom w:val="0"/>
          <w:divBdr>
            <w:top w:val="none" w:sz="0" w:space="0" w:color="auto"/>
            <w:left w:val="none" w:sz="0" w:space="0" w:color="auto"/>
            <w:bottom w:val="none" w:sz="0" w:space="0" w:color="auto"/>
            <w:right w:val="none" w:sz="0" w:space="0" w:color="auto"/>
          </w:divBdr>
        </w:div>
        <w:div w:id="460608962">
          <w:marLeft w:val="0"/>
          <w:marRight w:val="0"/>
          <w:marTop w:val="0"/>
          <w:marBottom w:val="0"/>
          <w:divBdr>
            <w:top w:val="none" w:sz="0" w:space="0" w:color="auto"/>
            <w:left w:val="none" w:sz="0" w:space="0" w:color="auto"/>
            <w:bottom w:val="none" w:sz="0" w:space="0" w:color="auto"/>
            <w:right w:val="none" w:sz="0" w:space="0" w:color="auto"/>
          </w:divBdr>
        </w:div>
        <w:div w:id="508328590">
          <w:marLeft w:val="0"/>
          <w:marRight w:val="0"/>
          <w:marTop w:val="0"/>
          <w:marBottom w:val="0"/>
          <w:divBdr>
            <w:top w:val="none" w:sz="0" w:space="0" w:color="auto"/>
            <w:left w:val="none" w:sz="0" w:space="0" w:color="auto"/>
            <w:bottom w:val="none" w:sz="0" w:space="0" w:color="auto"/>
            <w:right w:val="none" w:sz="0" w:space="0" w:color="auto"/>
          </w:divBdr>
        </w:div>
        <w:div w:id="1452281658">
          <w:marLeft w:val="0"/>
          <w:marRight w:val="0"/>
          <w:marTop w:val="0"/>
          <w:marBottom w:val="0"/>
          <w:divBdr>
            <w:top w:val="none" w:sz="0" w:space="0" w:color="auto"/>
            <w:left w:val="none" w:sz="0" w:space="0" w:color="auto"/>
            <w:bottom w:val="none" w:sz="0" w:space="0" w:color="auto"/>
            <w:right w:val="none" w:sz="0" w:space="0" w:color="auto"/>
          </w:divBdr>
        </w:div>
        <w:div w:id="2134474325">
          <w:marLeft w:val="0"/>
          <w:marRight w:val="0"/>
          <w:marTop w:val="0"/>
          <w:marBottom w:val="0"/>
          <w:divBdr>
            <w:top w:val="none" w:sz="0" w:space="0" w:color="auto"/>
            <w:left w:val="none" w:sz="0" w:space="0" w:color="auto"/>
            <w:bottom w:val="none" w:sz="0" w:space="0" w:color="auto"/>
            <w:right w:val="none" w:sz="0" w:space="0" w:color="auto"/>
          </w:divBdr>
        </w:div>
      </w:divsChild>
    </w:div>
    <w:div w:id="703093762">
      <w:bodyDiv w:val="1"/>
      <w:marLeft w:val="0"/>
      <w:marRight w:val="0"/>
      <w:marTop w:val="0"/>
      <w:marBottom w:val="0"/>
      <w:divBdr>
        <w:top w:val="none" w:sz="0" w:space="0" w:color="auto"/>
        <w:left w:val="none" w:sz="0" w:space="0" w:color="auto"/>
        <w:bottom w:val="none" w:sz="0" w:space="0" w:color="auto"/>
        <w:right w:val="none" w:sz="0" w:space="0" w:color="auto"/>
      </w:divBdr>
    </w:div>
    <w:div w:id="706880179">
      <w:bodyDiv w:val="1"/>
      <w:marLeft w:val="0"/>
      <w:marRight w:val="0"/>
      <w:marTop w:val="0"/>
      <w:marBottom w:val="0"/>
      <w:divBdr>
        <w:top w:val="none" w:sz="0" w:space="0" w:color="auto"/>
        <w:left w:val="none" w:sz="0" w:space="0" w:color="auto"/>
        <w:bottom w:val="none" w:sz="0" w:space="0" w:color="auto"/>
        <w:right w:val="none" w:sz="0" w:space="0" w:color="auto"/>
      </w:divBdr>
      <w:divsChild>
        <w:div w:id="272174681">
          <w:marLeft w:val="0"/>
          <w:marRight w:val="0"/>
          <w:marTop w:val="0"/>
          <w:marBottom w:val="0"/>
          <w:divBdr>
            <w:top w:val="none" w:sz="0" w:space="0" w:color="auto"/>
            <w:left w:val="none" w:sz="0" w:space="0" w:color="auto"/>
            <w:bottom w:val="none" w:sz="0" w:space="0" w:color="auto"/>
            <w:right w:val="none" w:sz="0" w:space="0" w:color="auto"/>
          </w:divBdr>
        </w:div>
        <w:div w:id="1708870521">
          <w:marLeft w:val="0"/>
          <w:marRight w:val="0"/>
          <w:marTop w:val="0"/>
          <w:marBottom w:val="0"/>
          <w:divBdr>
            <w:top w:val="none" w:sz="0" w:space="0" w:color="auto"/>
            <w:left w:val="none" w:sz="0" w:space="0" w:color="auto"/>
            <w:bottom w:val="none" w:sz="0" w:space="0" w:color="auto"/>
            <w:right w:val="none" w:sz="0" w:space="0" w:color="auto"/>
          </w:divBdr>
        </w:div>
        <w:div w:id="1850215890">
          <w:marLeft w:val="0"/>
          <w:marRight w:val="0"/>
          <w:marTop w:val="0"/>
          <w:marBottom w:val="0"/>
          <w:divBdr>
            <w:top w:val="none" w:sz="0" w:space="0" w:color="auto"/>
            <w:left w:val="none" w:sz="0" w:space="0" w:color="auto"/>
            <w:bottom w:val="none" w:sz="0" w:space="0" w:color="auto"/>
            <w:right w:val="none" w:sz="0" w:space="0" w:color="auto"/>
          </w:divBdr>
        </w:div>
      </w:divsChild>
    </w:div>
    <w:div w:id="710109045">
      <w:bodyDiv w:val="1"/>
      <w:marLeft w:val="0"/>
      <w:marRight w:val="0"/>
      <w:marTop w:val="0"/>
      <w:marBottom w:val="0"/>
      <w:divBdr>
        <w:top w:val="none" w:sz="0" w:space="0" w:color="auto"/>
        <w:left w:val="none" w:sz="0" w:space="0" w:color="auto"/>
        <w:bottom w:val="none" w:sz="0" w:space="0" w:color="auto"/>
        <w:right w:val="none" w:sz="0" w:space="0" w:color="auto"/>
      </w:divBdr>
    </w:div>
    <w:div w:id="713773687">
      <w:bodyDiv w:val="1"/>
      <w:marLeft w:val="0"/>
      <w:marRight w:val="0"/>
      <w:marTop w:val="0"/>
      <w:marBottom w:val="0"/>
      <w:divBdr>
        <w:top w:val="none" w:sz="0" w:space="0" w:color="auto"/>
        <w:left w:val="none" w:sz="0" w:space="0" w:color="auto"/>
        <w:bottom w:val="none" w:sz="0" w:space="0" w:color="auto"/>
        <w:right w:val="none" w:sz="0" w:space="0" w:color="auto"/>
      </w:divBdr>
    </w:div>
    <w:div w:id="718212584">
      <w:bodyDiv w:val="1"/>
      <w:marLeft w:val="0"/>
      <w:marRight w:val="0"/>
      <w:marTop w:val="0"/>
      <w:marBottom w:val="0"/>
      <w:divBdr>
        <w:top w:val="none" w:sz="0" w:space="0" w:color="auto"/>
        <w:left w:val="none" w:sz="0" w:space="0" w:color="auto"/>
        <w:bottom w:val="none" w:sz="0" w:space="0" w:color="auto"/>
        <w:right w:val="none" w:sz="0" w:space="0" w:color="auto"/>
      </w:divBdr>
      <w:divsChild>
        <w:div w:id="1521356128">
          <w:marLeft w:val="0"/>
          <w:marRight w:val="0"/>
          <w:marTop w:val="0"/>
          <w:marBottom w:val="0"/>
          <w:divBdr>
            <w:top w:val="none" w:sz="0" w:space="0" w:color="auto"/>
            <w:left w:val="none" w:sz="0" w:space="0" w:color="auto"/>
            <w:bottom w:val="none" w:sz="0" w:space="0" w:color="auto"/>
            <w:right w:val="none" w:sz="0" w:space="0" w:color="auto"/>
          </w:divBdr>
        </w:div>
        <w:div w:id="1910001045">
          <w:marLeft w:val="0"/>
          <w:marRight w:val="0"/>
          <w:marTop w:val="0"/>
          <w:marBottom w:val="0"/>
          <w:divBdr>
            <w:top w:val="none" w:sz="0" w:space="0" w:color="auto"/>
            <w:left w:val="none" w:sz="0" w:space="0" w:color="auto"/>
            <w:bottom w:val="none" w:sz="0" w:space="0" w:color="auto"/>
            <w:right w:val="none" w:sz="0" w:space="0" w:color="auto"/>
          </w:divBdr>
        </w:div>
        <w:div w:id="1974631291">
          <w:marLeft w:val="0"/>
          <w:marRight w:val="0"/>
          <w:marTop w:val="0"/>
          <w:marBottom w:val="0"/>
          <w:divBdr>
            <w:top w:val="none" w:sz="0" w:space="0" w:color="auto"/>
            <w:left w:val="none" w:sz="0" w:space="0" w:color="auto"/>
            <w:bottom w:val="none" w:sz="0" w:space="0" w:color="auto"/>
            <w:right w:val="none" w:sz="0" w:space="0" w:color="auto"/>
          </w:divBdr>
        </w:div>
      </w:divsChild>
    </w:div>
    <w:div w:id="719404651">
      <w:bodyDiv w:val="1"/>
      <w:marLeft w:val="0"/>
      <w:marRight w:val="0"/>
      <w:marTop w:val="0"/>
      <w:marBottom w:val="0"/>
      <w:divBdr>
        <w:top w:val="none" w:sz="0" w:space="0" w:color="auto"/>
        <w:left w:val="none" w:sz="0" w:space="0" w:color="auto"/>
        <w:bottom w:val="none" w:sz="0" w:space="0" w:color="auto"/>
        <w:right w:val="none" w:sz="0" w:space="0" w:color="auto"/>
      </w:divBdr>
      <w:divsChild>
        <w:div w:id="257910231">
          <w:marLeft w:val="0"/>
          <w:marRight w:val="0"/>
          <w:marTop w:val="0"/>
          <w:marBottom w:val="0"/>
          <w:divBdr>
            <w:top w:val="none" w:sz="0" w:space="0" w:color="auto"/>
            <w:left w:val="none" w:sz="0" w:space="0" w:color="auto"/>
            <w:bottom w:val="none" w:sz="0" w:space="0" w:color="auto"/>
            <w:right w:val="none" w:sz="0" w:space="0" w:color="auto"/>
          </w:divBdr>
        </w:div>
        <w:div w:id="426580481">
          <w:marLeft w:val="0"/>
          <w:marRight w:val="0"/>
          <w:marTop w:val="0"/>
          <w:marBottom w:val="0"/>
          <w:divBdr>
            <w:top w:val="none" w:sz="0" w:space="0" w:color="auto"/>
            <w:left w:val="none" w:sz="0" w:space="0" w:color="auto"/>
            <w:bottom w:val="none" w:sz="0" w:space="0" w:color="auto"/>
            <w:right w:val="none" w:sz="0" w:space="0" w:color="auto"/>
          </w:divBdr>
        </w:div>
        <w:div w:id="1579514594">
          <w:marLeft w:val="0"/>
          <w:marRight w:val="0"/>
          <w:marTop w:val="0"/>
          <w:marBottom w:val="0"/>
          <w:divBdr>
            <w:top w:val="none" w:sz="0" w:space="0" w:color="auto"/>
            <w:left w:val="none" w:sz="0" w:space="0" w:color="auto"/>
            <w:bottom w:val="none" w:sz="0" w:space="0" w:color="auto"/>
            <w:right w:val="none" w:sz="0" w:space="0" w:color="auto"/>
          </w:divBdr>
        </w:div>
        <w:div w:id="1851750415">
          <w:marLeft w:val="0"/>
          <w:marRight w:val="0"/>
          <w:marTop w:val="0"/>
          <w:marBottom w:val="0"/>
          <w:divBdr>
            <w:top w:val="none" w:sz="0" w:space="0" w:color="auto"/>
            <w:left w:val="none" w:sz="0" w:space="0" w:color="auto"/>
            <w:bottom w:val="none" w:sz="0" w:space="0" w:color="auto"/>
            <w:right w:val="none" w:sz="0" w:space="0" w:color="auto"/>
          </w:divBdr>
        </w:div>
      </w:divsChild>
    </w:div>
    <w:div w:id="721754970">
      <w:bodyDiv w:val="1"/>
      <w:marLeft w:val="0"/>
      <w:marRight w:val="0"/>
      <w:marTop w:val="0"/>
      <w:marBottom w:val="0"/>
      <w:divBdr>
        <w:top w:val="none" w:sz="0" w:space="0" w:color="auto"/>
        <w:left w:val="none" w:sz="0" w:space="0" w:color="auto"/>
        <w:bottom w:val="none" w:sz="0" w:space="0" w:color="auto"/>
        <w:right w:val="none" w:sz="0" w:space="0" w:color="auto"/>
      </w:divBdr>
    </w:div>
    <w:div w:id="723220110">
      <w:bodyDiv w:val="1"/>
      <w:marLeft w:val="0"/>
      <w:marRight w:val="0"/>
      <w:marTop w:val="0"/>
      <w:marBottom w:val="0"/>
      <w:divBdr>
        <w:top w:val="none" w:sz="0" w:space="0" w:color="auto"/>
        <w:left w:val="none" w:sz="0" w:space="0" w:color="auto"/>
        <w:bottom w:val="none" w:sz="0" w:space="0" w:color="auto"/>
        <w:right w:val="none" w:sz="0" w:space="0" w:color="auto"/>
      </w:divBdr>
      <w:divsChild>
        <w:div w:id="1200316167">
          <w:marLeft w:val="0"/>
          <w:marRight w:val="0"/>
          <w:marTop w:val="0"/>
          <w:marBottom w:val="0"/>
          <w:divBdr>
            <w:top w:val="none" w:sz="0" w:space="0" w:color="auto"/>
            <w:left w:val="none" w:sz="0" w:space="0" w:color="auto"/>
            <w:bottom w:val="none" w:sz="0" w:space="0" w:color="auto"/>
            <w:right w:val="none" w:sz="0" w:space="0" w:color="auto"/>
          </w:divBdr>
          <w:divsChild>
            <w:div w:id="1739548864">
              <w:marLeft w:val="0"/>
              <w:marRight w:val="0"/>
              <w:marTop w:val="0"/>
              <w:marBottom w:val="0"/>
              <w:divBdr>
                <w:top w:val="none" w:sz="0" w:space="0" w:color="auto"/>
                <w:left w:val="none" w:sz="0" w:space="0" w:color="auto"/>
                <w:bottom w:val="none" w:sz="0" w:space="0" w:color="auto"/>
                <w:right w:val="none" w:sz="0" w:space="0" w:color="auto"/>
              </w:divBdr>
            </w:div>
            <w:div w:id="2010214013">
              <w:marLeft w:val="0"/>
              <w:marRight w:val="0"/>
              <w:marTop w:val="0"/>
              <w:marBottom w:val="0"/>
              <w:divBdr>
                <w:top w:val="none" w:sz="0" w:space="0" w:color="auto"/>
                <w:left w:val="none" w:sz="0" w:space="0" w:color="auto"/>
                <w:bottom w:val="none" w:sz="0" w:space="0" w:color="auto"/>
                <w:right w:val="none" w:sz="0" w:space="0" w:color="auto"/>
              </w:divBdr>
            </w:div>
          </w:divsChild>
        </w:div>
        <w:div w:id="1853103382">
          <w:marLeft w:val="0"/>
          <w:marRight w:val="0"/>
          <w:marTop w:val="0"/>
          <w:marBottom w:val="0"/>
          <w:divBdr>
            <w:top w:val="none" w:sz="0" w:space="0" w:color="auto"/>
            <w:left w:val="none" w:sz="0" w:space="0" w:color="auto"/>
            <w:bottom w:val="none" w:sz="0" w:space="0" w:color="auto"/>
            <w:right w:val="none" w:sz="0" w:space="0" w:color="auto"/>
          </w:divBdr>
          <w:divsChild>
            <w:div w:id="268976118">
              <w:marLeft w:val="0"/>
              <w:marRight w:val="0"/>
              <w:marTop w:val="0"/>
              <w:marBottom w:val="0"/>
              <w:divBdr>
                <w:top w:val="none" w:sz="0" w:space="0" w:color="auto"/>
                <w:left w:val="none" w:sz="0" w:space="0" w:color="auto"/>
                <w:bottom w:val="none" w:sz="0" w:space="0" w:color="auto"/>
                <w:right w:val="none" w:sz="0" w:space="0" w:color="auto"/>
              </w:divBdr>
              <w:divsChild>
                <w:div w:id="665978706">
                  <w:marLeft w:val="0"/>
                  <w:marRight w:val="0"/>
                  <w:marTop w:val="0"/>
                  <w:marBottom w:val="0"/>
                  <w:divBdr>
                    <w:top w:val="none" w:sz="0" w:space="0" w:color="auto"/>
                    <w:left w:val="none" w:sz="0" w:space="0" w:color="auto"/>
                    <w:bottom w:val="none" w:sz="0" w:space="0" w:color="auto"/>
                    <w:right w:val="none" w:sz="0" w:space="0" w:color="auto"/>
                  </w:divBdr>
                </w:div>
                <w:div w:id="1805200591">
                  <w:marLeft w:val="0"/>
                  <w:marRight w:val="0"/>
                  <w:marTop w:val="0"/>
                  <w:marBottom w:val="0"/>
                  <w:divBdr>
                    <w:top w:val="none" w:sz="0" w:space="0" w:color="auto"/>
                    <w:left w:val="none" w:sz="0" w:space="0" w:color="auto"/>
                    <w:bottom w:val="none" w:sz="0" w:space="0" w:color="auto"/>
                    <w:right w:val="none" w:sz="0" w:space="0" w:color="auto"/>
                  </w:divBdr>
                </w:div>
              </w:divsChild>
            </w:div>
            <w:div w:id="530341015">
              <w:marLeft w:val="0"/>
              <w:marRight w:val="0"/>
              <w:marTop w:val="0"/>
              <w:marBottom w:val="0"/>
              <w:divBdr>
                <w:top w:val="none" w:sz="0" w:space="0" w:color="auto"/>
                <w:left w:val="none" w:sz="0" w:space="0" w:color="auto"/>
                <w:bottom w:val="none" w:sz="0" w:space="0" w:color="auto"/>
                <w:right w:val="none" w:sz="0" w:space="0" w:color="auto"/>
              </w:divBdr>
              <w:divsChild>
                <w:div w:id="441344066">
                  <w:marLeft w:val="0"/>
                  <w:marRight w:val="0"/>
                  <w:marTop w:val="0"/>
                  <w:marBottom w:val="0"/>
                  <w:divBdr>
                    <w:top w:val="none" w:sz="0" w:space="0" w:color="auto"/>
                    <w:left w:val="none" w:sz="0" w:space="0" w:color="auto"/>
                    <w:bottom w:val="none" w:sz="0" w:space="0" w:color="auto"/>
                    <w:right w:val="none" w:sz="0" w:space="0" w:color="auto"/>
                  </w:divBdr>
                </w:div>
                <w:div w:id="1509906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3678907">
      <w:bodyDiv w:val="1"/>
      <w:marLeft w:val="0"/>
      <w:marRight w:val="0"/>
      <w:marTop w:val="0"/>
      <w:marBottom w:val="0"/>
      <w:divBdr>
        <w:top w:val="none" w:sz="0" w:space="0" w:color="auto"/>
        <w:left w:val="none" w:sz="0" w:space="0" w:color="auto"/>
        <w:bottom w:val="none" w:sz="0" w:space="0" w:color="auto"/>
        <w:right w:val="none" w:sz="0" w:space="0" w:color="auto"/>
      </w:divBdr>
      <w:divsChild>
        <w:div w:id="419831588">
          <w:marLeft w:val="0"/>
          <w:marRight w:val="0"/>
          <w:marTop w:val="0"/>
          <w:marBottom w:val="0"/>
          <w:divBdr>
            <w:top w:val="none" w:sz="0" w:space="0" w:color="auto"/>
            <w:left w:val="none" w:sz="0" w:space="0" w:color="auto"/>
            <w:bottom w:val="none" w:sz="0" w:space="0" w:color="auto"/>
            <w:right w:val="none" w:sz="0" w:space="0" w:color="auto"/>
          </w:divBdr>
        </w:div>
        <w:div w:id="621961630">
          <w:marLeft w:val="0"/>
          <w:marRight w:val="0"/>
          <w:marTop w:val="0"/>
          <w:marBottom w:val="0"/>
          <w:divBdr>
            <w:top w:val="none" w:sz="0" w:space="0" w:color="auto"/>
            <w:left w:val="none" w:sz="0" w:space="0" w:color="auto"/>
            <w:bottom w:val="none" w:sz="0" w:space="0" w:color="auto"/>
            <w:right w:val="none" w:sz="0" w:space="0" w:color="auto"/>
          </w:divBdr>
        </w:div>
      </w:divsChild>
    </w:div>
    <w:div w:id="723800016">
      <w:bodyDiv w:val="1"/>
      <w:marLeft w:val="0"/>
      <w:marRight w:val="0"/>
      <w:marTop w:val="0"/>
      <w:marBottom w:val="0"/>
      <w:divBdr>
        <w:top w:val="none" w:sz="0" w:space="0" w:color="auto"/>
        <w:left w:val="none" w:sz="0" w:space="0" w:color="auto"/>
        <w:bottom w:val="none" w:sz="0" w:space="0" w:color="auto"/>
        <w:right w:val="none" w:sz="0" w:space="0" w:color="auto"/>
      </w:divBdr>
    </w:div>
    <w:div w:id="723914168">
      <w:bodyDiv w:val="1"/>
      <w:marLeft w:val="0"/>
      <w:marRight w:val="0"/>
      <w:marTop w:val="0"/>
      <w:marBottom w:val="0"/>
      <w:divBdr>
        <w:top w:val="none" w:sz="0" w:space="0" w:color="auto"/>
        <w:left w:val="none" w:sz="0" w:space="0" w:color="auto"/>
        <w:bottom w:val="none" w:sz="0" w:space="0" w:color="auto"/>
        <w:right w:val="none" w:sz="0" w:space="0" w:color="auto"/>
      </w:divBdr>
      <w:divsChild>
        <w:div w:id="624191987">
          <w:marLeft w:val="0"/>
          <w:marRight w:val="0"/>
          <w:marTop w:val="0"/>
          <w:marBottom w:val="0"/>
          <w:divBdr>
            <w:top w:val="none" w:sz="0" w:space="0" w:color="auto"/>
            <w:left w:val="none" w:sz="0" w:space="0" w:color="auto"/>
            <w:bottom w:val="none" w:sz="0" w:space="0" w:color="auto"/>
            <w:right w:val="none" w:sz="0" w:space="0" w:color="auto"/>
          </w:divBdr>
        </w:div>
        <w:div w:id="1010135769">
          <w:marLeft w:val="0"/>
          <w:marRight w:val="0"/>
          <w:marTop w:val="0"/>
          <w:marBottom w:val="0"/>
          <w:divBdr>
            <w:top w:val="none" w:sz="0" w:space="0" w:color="auto"/>
            <w:left w:val="none" w:sz="0" w:space="0" w:color="auto"/>
            <w:bottom w:val="none" w:sz="0" w:space="0" w:color="auto"/>
            <w:right w:val="none" w:sz="0" w:space="0" w:color="auto"/>
          </w:divBdr>
        </w:div>
      </w:divsChild>
    </w:div>
    <w:div w:id="723991718">
      <w:bodyDiv w:val="1"/>
      <w:marLeft w:val="0"/>
      <w:marRight w:val="0"/>
      <w:marTop w:val="0"/>
      <w:marBottom w:val="0"/>
      <w:divBdr>
        <w:top w:val="none" w:sz="0" w:space="0" w:color="auto"/>
        <w:left w:val="none" w:sz="0" w:space="0" w:color="auto"/>
        <w:bottom w:val="none" w:sz="0" w:space="0" w:color="auto"/>
        <w:right w:val="none" w:sz="0" w:space="0" w:color="auto"/>
      </w:divBdr>
    </w:div>
    <w:div w:id="724521584">
      <w:bodyDiv w:val="1"/>
      <w:marLeft w:val="0"/>
      <w:marRight w:val="0"/>
      <w:marTop w:val="0"/>
      <w:marBottom w:val="0"/>
      <w:divBdr>
        <w:top w:val="none" w:sz="0" w:space="0" w:color="auto"/>
        <w:left w:val="none" w:sz="0" w:space="0" w:color="auto"/>
        <w:bottom w:val="none" w:sz="0" w:space="0" w:color="auto"/>
        <w:right w:val="none" w:sz="0" w:space="0" w:color="auto"/>
      </w:divBdr>
      <w:divsChild>
        <w:div w:id="1072658787">
          <w:marLeft w:val="0"/>
          <w:marRight w:val="0"/>
          <w:marTop w:val="0"/>
          <w:marBottom w:val="0"/>
          <w:divBdr>
            <w:top w:val="none" w:sz="0" w:space="0" w:color="auto"/>
            <w:left w:val="none" w:sz="0" w:space="0" w:color="auto"/>
            <w:bottom w:val="none" w:sz="0" w:space="0" w:color="auto"/>
            <w:right w:val="none" w:sz="0" w:space="0" w:color="auto"/>
          </w:divBdr>
        </w:div>
        <w:div w:id="1884245397">
          <w:marLeft w:val="0"/>
          <w:marRight w:val="0"/>
          <w:marTop w:val="0"/>
          <w:marBottom w:val="0"/>
          <w:divBdr>
            <w:top w:val="none" w:sz="0" w:space="0" w:color="auto"/>
            <w:left w:val="none" w:sz="0" w:space="0" w:color="auto"/>
            <w:bottom w:val="none" w:sz="0" w:space="0" w:color="auto"/>
            <w:right w:val="none" w:sz="0" w:space="0" w:color="auto"/>
          </w:divBdr>
        </w:div>
        <w:div w:id="1920748103">
          <w:marLeft w:val="0"/>
          <w:marRight w:val="0"/>
          <w:marTop w:val="0"/>
          <w:marBottom w:val="0"/>
          <w:divBdr>
            <w:top w:val="none" w:sz="0" w:space="0" w:color="auto"/>
            <w:left w:val="none" w:sz="0" w:space="0" w:color="auto"/>
            <w:bottom w:val="none" w:sz="0" w:space="0" w:color="auto"/>
            <w:right w:val="none" w:sz="0" w:space="0" w:color="auto"/>
          </w:divBdr>
        </w:div>
      </w:divsChild>
    </w:div>
    <w:div w:id="726103086">
      <w:bodyDiv w:val="1"/>
      <w:marLeft w:val="0"/>
      <w:marRight w:val="0"/>
      <w:marTop w:val="0"/>
      <w:marBottom w:val="0"/>
      <w:divBdr>
        <w:top w:val="none" w:sz="0" w:space="0" w:color="auto"/>
        <w:left w:val="none" w:sz="0" w:space="0" w:color="auto"/>
        <w:bottom w:val="none" w:sz="0" w:space="0" w:color="auto"/>
        <w:right w:val="none" w:sz="0" w:space="0" w:color="auto"/>
      </w:divBdr>
    </w:div>
    <w:div w:id="726227564">
      <w:bodyDiv w:val="1"/>
      <w:marLeft w:val="0"/>
      <w:marRight w:val="0"/>
      <w:marTop w:val="0"/>
      <w:marBottom w:val="0"/>
      <w:divBdr>
        <w:top w:val="none" w:sz="0" w:space="0" w:color="auto"/>
        <w:left w:val="none" w:sz="0" w:space="0" w:color="auto"/>
        <w:bottom w:val="none" w:sz="0" w:space="0" w:color="auto"/>
        <w:right w:val="none" w:sz="0" w:space="0" w:color="auto"/>
      </w:divBdr>
    </w:div>
    <w:div w:id="733040858">
      <w:bodyDiv w:val="1"/>
      <w:marLeft w:val="0"/>
      <w:marRight w:val="0"/>
      <w:marTop w:val="0"/>
      <w:marBottom w:val="0"/>
      <w:divBdr>
        <w:top w:val="none" w:sz="0" w:space="0" w:color="auto"/>
        <w:left w:val="none" w:sz="0" w:space="0" w:color="auto"/>
        <w:bottom w:val="none" w:sz="0" w:space="0" w:color="auto"/>
        <w:right w:val="none" w:sz="0" w:space="0" w:color="auto"/>
      </w:divBdr>
      <w:divsChild>
        <w:div w:id="218976106">
          <w:marLeft w:val="0"/>
          <w:marRight w:val="0"/>
          <w:marTop w:val="0"/>
          <w:marBottom w:val="0"/>
          <w:divBdr>
            <w:top w:val="none" w:sz="0" w:space="0" w:color="auto"/>
            <w:left w:val="none" w:sz="0" w:space="0" w:color="auto"/>
            <w:bottom w:val="none" w:sz="0" w:space="0" w:color="auto"/>
            <w:right w:val="none" w:sz="0" w:space="0" w:color="auto"/>
          </w:divBdr>
          <w:divsChild>
            <w:div w:id="1241283399">
              <w:marLeft w:val="0"/>
              <w:marRight w:val="0"/>
              <w:marTop w:val="0"/>
              <w:marBottom w:val="0"/>
              <w:divBdr>
                <w:top w:val="none" w:sz="0" w:space="0" w:color="auto"/>
                <w:left w:val="none" w:sz="0" w:space="0" w:color="auto"/>
                <w:bottom w:val="none" w:sz="0" w:space="0" w:color="auto"/>
                <w:right w:val="none" w:sz="0" w:space="0" w:color="auto"/>
              </w:divBdr>
              <w:divsChild>
                <w:div w:id="2008054798">
                  <w:marLeft w:val="0"/>
                  <w:marRight w:val="0"/>
                  <w:marTop w:val="0"/>
                  <w:marBottom w:val="0"/>
                  <w:divBdr>
                    <w:top w:val="none" w:sz="0" w:space="0" w:color="auto"/>
                    <w:left w:val="none" w:sz="0" w:space="0" w:color="auto"/>
                    <w:bottom w:val="none" w:sz="0" w:space="0" w:color="auto"/>
                    <w:right w:val="none" w:sz="0" w:space="0" w:color="auto"/>
                  </w:divBdr>
                  <w:divsChild>
                    <w:div w:id="1883783015">
                      <w:marLeft w:val="0"/>
                      <w:marRight w:val="0"/>
                      <w:marTop w:val="0"/>
                      <w:marBottom w:val="0"/>
                      <w:divBdr>
                        <w:top w:val="none" w:sz="0" w:space="0" w:color="auto"/>
                        <w:left w:val="none" w:sz="0" w:space="0" w:color="auto"/>
                        <w:bottom w:val="none" w:sz="0" w:space="0" w:color="auto"/>
                        <w:right w:val="none" w:sz="0" w:space="0" w:color="auto"/>
                      </w:divBdr>
                      <w:divsChild>
                        <w:div w:id="1393624147">
                          <w:marLeft w:val="0"/>
                          <w:marRight w:val="0"/>
                          <w:marTop w:val="0"/>
                          <w:marBottom w:val="0"/>
                          <w:divBdr>
                            <w:top w:val="none" w:sz="0" w:space="0" w:color="auto"/>
                            <w:left w:val="none" w:sz="0" w:space="0" w:color="auto"/>
                            <w:bottom w:val="none" w:sz="0" w:space="0" w:color="auto"/>
                            <w:right w:val="none" w:sz="0" w:space="0" w:color="auto"/>
                          </w:divBdr>
                          <w:divsChild>
                            <w:div w:id="572008112">
                              <w:marLeft w:val="0"/>
                              <w:marRight w:val="0"/>
                              <w:marTop w:val="0"/>
                              <w:marBottom w:val="0"/>
                              <w:divBdr>
                                <w:top w:val="none" w:sz="0" w:space="0" w:color="auto"/>
                                <w:left w:val="none" w:sz="0" w:space="0" w:color="auto"/>
                                <w:bottom w:val="none" w:sz="0" w:space="0" w:color="auto"/>
                                <w:right w:val="none" w:sz="0" w:space="0" w:color="auto"/>
                              </w:divBdr>
                              <w:divsChild>
                                <w:div w:id="1230652168">
                                  <w:marLeft w:val="0"/>
                                  <w:marRight w:val="0"/>
                                  <w:marTop w:val="0"/>
                                  <w:marBottom w:val="0"/>
                                  <w:divBdr>
                                    <w:top w:val="none" w:sz="0" w:space="0" w:color="auto"/>
                                    <w:left w:val="none" w:sz="0" w:space="0" w:color="auto"/>
                                    <w:bottom w:val="none" w:sz="0" w:space="0" w:color="auto"/>
                                    <w:right w:val="none" w:sz="0" w:space="0" w:color="auto"/>
                                  </w:divBdr>
                                </w:div>
                                <w:div w:id="1650475447">
                                  <w:marLeft w:val="0"/>
                                  <w:marRight w:val="0"/>
                                  <w:marTop w:val="0"/>
                                  <w:marBottom w:val="0"/>
                                  <w:divBdr>
                                    <w:top w:val="none" w:sz="0" w:space="0" w:color="auto"/>
                                    <w:left w:val="none" w:sz="0" w:space="0" w:color="auto"/>
                                    <w:bottom w:val="none" w:sz="0" w:space="0" w:color="auto"/>
                                    <w:right w:val="none" w:sz="0" w:space="0" w:color="auto"/>
                                  </w:divBdr>
                                  <w:divsChild>
                                    <w:div w:id="343434296">
                                      <w:marLeft w:val="0"/>
                                      <w:marRight w:val="0"/>
                                      <w:marTop w:val="0"/>
                                      <w:marBottom w:val="0"/>
                                      <w:divBdr>
                                        <w:top w:val="none" w:sz="0" w:space="0" w:color="auto"/>
                                        <w:left w:val="none" w:sz="0" w:space="0" w:color="auto"/>
                                        <w:bottom w:val="none" w:sz="0" w:space="0" w:color="auto"/>
                                        <w:right w:val="none" w:sz="0" w:space="0" w:color="auto"/>
                                      </w:divBdr>
                                    </w:div>
                                    <w:div w:id="14688165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68659584">
          <w:marLeft w:val="0"/>
          <w:marRight w:val="0"/>
          <w:marTop w:val="0"/>
          <w:marBottom w:val="0"/>
          <w:divBdr>
            <w:top w:val="none" w:sz="0" w:space="0" w:color="auto"/>
            <w:left w:val="none" w:sz="0" w:space="0" w:color="auto"/>
            <w:bottom w:val="none" w:sz="0" w:space="0" w:color="auto"/>
            <w:right w:val="none" w:sz="0" w:space="0" w:color="auto"/>
          </w:divBdr>
          <w:divsChild>
            <w:div w:id="1101031848">
              <w:marLeft w:val="0"/>
              <w:marRight w:val="0"/>
              <w:marTop w:val="0"/>
              <w:marBottom w:val="0"/>
              <w:divBdr>
                <w:top w:val="none" w:sz="0" w:space="0" w:color="auto"/>
                <w:left w:val="none" w:sz="0" w:space="0" w:color="auto"/>
                <w:bottom w:val="none" w:sz="0" w:space="0" w:color="auto"/>
                <w:right w:val="none" w:sz="0" w:space="0" w:color="auto"/>
              </w:divBdr>
              <w:divsChild>
                <w:div w:id="2081521227">
                  <w:marLeft w:val="0"/>
                  <w:marRight w:val="0"/>
                  <w:marTop w:val="0"/>
                  <w:marBottom w:val="0"/>
                  <w:divBdr>
                    <w:top w:val="none" w:sz="0" w:space="0" w:color="auto"/>
                    <w:left w:val="none" w:sz="0" w:space="0" w:color="auto"/>
                    <w:bottom w:val="none" w:sz="0" w:space="0" w:color="auto"/>
                    <w:right w:val="none" w:sz="0" w:space="0" w:color="auto"/>
                  </w:divBdr>
                  <w:divsChild>
                    <w:div w:id="1639070654">
                      <w:marLeft w:val="0"/>
                      <w:marRight w:val="0"/>
                      <w:marTop w:val="0"/>
                      <w:marBottom w:val="0"/>
                      <w:divBdr>
                        <w:top w:val="none" w:sz="0" w:space="0" w:color="auto"/>
                        <w:left w:val="none" w:sz="0" w:space="0" w:color="auto"/>
                        <w:bottom w:val="none" w:sz="0" w:space="0" w:color="auto"/>
                        <w:right w:val="none" w:sz="0" w:space="0" w:color="auto"/>
                      </w:divBdr>
                    </w:div>
                    <w:div w:id="2079939563">
                      <w:marLeft w:val="0"/>
                      <w:marRight w:val="0"/>
                      <w:marTop w:val="0"/>
                      <w:marBottom w:val="0"/>
                      <w:divBdr>
                        <w:top w:val="none" w:sz="0" w:space="0" w:color="auto"/>
                        <w:left w:val="none" w:sz="0" w:space="0" w:color="auto"/>
                        <w:bottom w:val="none" w:sz="0" w:space="0" w:color="auto"/>
                        <w:right w:val="none" w:sz="0" w:space="0" w:color="auto"/>
                      </w:divBdr>
                      <w:divsChild>
                        <w:div w:id="2122144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34548305">
      <w:bodyDiv w:val="1"/>
      <w:marLeft w:val="0"/>
      <w:marRight w:val="0"/>
      <w:marTop w:val="0"/>
      <w:marBottom w:val="0"/>
      <w:divBdr>
        <w:top w:val="none" w:sz="0" w:space="0" w:color="auto"/>
        <w:left w:val="none" w:sz="0" w:space="0" w:color="auto"/>
        <w:bottom w:val="none" w:sz="0" w:space="0" w:color="auto"/>
        <w:right w:val="none" w:sz="0" w:space="0" w:color="auto"/>
      </w:divBdr>
    </w:div>
    <w:div w:id="737749799">
      <w:bodyDiv w:val="1"/>
      <w:marLeft w:val="0"/>
      <w:marRight w:val="0"/>
      <w:marTop w:val="0"/>
      <w:marBottom w:val="0"/>
      <w:divBdr>
        <w:top w:val="none" w:sz="0" w:space="0" w:color="auto"/>
        <w:left w:val="none" w:sz="0" w:space="0" w:color="auto"/>
        <w:bottom w:val="none" w:sz="0" w:space="0" w:color="auto"/>
        <w:right w:val="none" w:sz="0" w:space="0" w:color="auto"/>
      </w:divBdr>
    </w:div>
    <w:div w:id="747655489">
      <w:bodyDiv w:val="1"/>
      <w:marLeft w:val="0"/>
      <w:marRight w:val="0"/>
      <w:marTop w:val="0"/>
      <w:marBottom w:val="0"/>
      <w:divBdr>
        <w:top w:val="none" w:sz="0" w:space="0" w:color="auto"/>
        <w:left w:val="none" w:sz="0" w:space="0" w:color="auto"/>
        <w:bottom w:val="none" w:sz="0" w:space="0" w:color="auto"/>
        <w:right w:val="none" w:sz="0" w:space="0" w:color="auto"/>
      </w:divBdr>
      <w:divsChild>
        <w:div w:id="29035659">
          <w:marLeft w:val="0"/>
          <w:marRight w:val="0"/>
          <w:marTop w:val="0"/>
          <w:marBottom w:val="0"/>
          <w:divBdr>
            <w:top w:val="none" w:sz="0" w:space="0" w:color="auto"/>
            <w:left w:val="none" w:sz="0" w:space="0" w:color="auto"/>
            <w:bottom w:val="none" w:sz="0" w:space="0" w:color="auto"/>
            <w:right w:val="none" w:sz="0" w:space="0" w:color="auto"/>
          </w:divBdr>
        </w:div>
        <w:div w:id="1070420632">
          <w:marLeft w:val="0"/>
          <w:marRight w:val="0"/>
          <w:marTop w:val="0"/>
          <w:marBottom w:val="0"/>
          <w:divBdr>
            <w:top w:val="none" w:sz="0" w:space="0" w:color="auto"/>
            <w:left w:val="none" w:sz="0" w:space="0" w:color="auto"/>
            <w:bottom w:val="none" w:sz="0" w:space="0" w:color="auto"/>
            <w:right w:val="none" w:sz="0" w:space="0" w:color="auto"/>
          </w:divBdr>
        </w:div>
      </w:divsChild>
    </w:div>
    <w:div w:id="758453200">
      <w:bodyDiv w:val="1"/>
      <w:marLeft w:val="0"/>
      <w:marRight w:val="0"/>
      <w:marTop w:val="0"/>
      <w:marBottom w:val="0"/>
      <w:divBdr>
        <w:top w:val="none" w:sz="0" w:space="0" w:color="auto"/>
        <w:left w:val="none" w:sz="0" w:space="0" w:color="auto"/>
        <w:bottom w:val="none" w:sz="0" w:space="0" w:color="auto"/>
        <w:right w:val="none" w:sz="0" w:space="0" w:color="auto"/>
      </w:divBdr>
      <w:divsChild>
        <w:div w:id="689380006">
          <w:marLeft w:val="0"/>
          <w:marRight w:val="0"/>
          <w:marTop w:val="0"/>
          <w:marBottom w:val="0"/>
          <w:divBdr>
            <w:top w:val="none" w:sz="0" w:space="0" w:color="auto"/>
            <w:left w:val="none" w:sz="0" w:space="0" w:color="auto"/>
            <w:bottom w:val="none" w:sz="0" w:space="0" w:color="auto"/>
            <w:right w:val="none" w:sz="0" w:space="0" w:color="auto"/>
          </w:divBdr>
        </w:div>
        <w:div w:id="1510372011">
          <w:marLeft w:val="0"/>
          <w:marRight w:val="0"/>
          <w:marTop w:val="0"/>
          <w:marBottom w:val="0"/>
          <w:divBdr>
            <w:top w:val="none" w:sz="0" w:space="0" w:color="auto"/>
            <w:left w:val="none" w:sz="0" w:space="0" w:color="auto"/>
            <w:bottom w:val="none" w:sz="0" w:space="0" w:color="auto"/>
            <w:right w:val="none" w:sz="0" w:space="0" w:color="auto"/>
          </w:divBdr>
        </w:div>
      </w:divsChild>
    </w:div>
    <w:div w:id="765226741">
      <w:bodyDiv w:val="1"/>
      <w:marLeft w:val="0"/>
      <w:marRight w:val="0"/>
      <w:marTop w:val="0"/>
      <w:marBottom w:val="0"/>
      <w:divBdr>
        <w:top w:val="none" w:sz="0" w:space="0" w:color="auto"/>
        <w:left w:val="none" w:sz="0" w:space="0" w:color="auto"/>
        <w:bottom w:val="none" w:sz="0" w:space="0" w:color="auto"/>
        <w:right w:val="none" w:sz="0" w:space="0" w:color="auto"/>
      </w:divBdr>
    </w:div>
    <w:div w:id="766465941">
      <w:bodyDiv w:val="1"/>
      <w:marLeft w:val="0"/>
      <w:marRight w:val="0"/>
      <w:marTop w:val="0"/>
      <w:marBottom w:val="0"/>
      <w:divBdr>
        <w:top w:val="none" w:sz="0" w:space="0" w:color="auto"/>
        <w:left w:val="none" w:sz="0" w:space="0" w:color="auto"/>
        <w:bottom w:val="none" w:sz="0" w:space="0" w:color="auto"/>
        <w:right w:val="none" w:sz="0" w:space="0" w:color="auto"/>
      </w:divBdr>
    </w:div>
    <w:div w:id="766929774">
      <w:bodyDiv w:val="1"/>
      <w:marLeft w:val="0"/>
      <w:marRight w:val="0"/>
      <w:marTop w:val="0"/>
      <w:marBottom w:val="0"/>
      <w:divBdr>
        <w:top w:val="none" w:sz="0" w:space="0" w:color="auto"/>
        <w:left w:val="none" w:sz="0" w:space="0" w:color="auto"/>
        <w:bottom w:val="none" w:sz="0" w:space="0" w:color="auto"/>
        <w:right w:val="none" w:sz="0" w:space="0" w:color="auto"/>
      </w:divBdr>
    </w:div>
    <w:div w:id="767888832">
      <w:bodyDiv w:val="1"/>
      <w:marLeft w:val="0"/>
      <w:marRight w:val="0"/>
      <w:marTop w:val="0"/>
      <w:marBottom w:val="0"/>
      <w:divBdr>
        <w:top w:val="none" w:sz="0" w:space="0" w:color="auto"/>
        <w:left w:val="none" w:sz="0" w:space="0" w:color="auto"/>
        <w:bottom w:val="none" w:sz="0" w:space="0" w:color="auto"/>
        <w:right w:val="none" w:sz="0" w:space="0" w:color="auto"/>
      </w:divBdr>
    </w:div>
    <w:div w:id="771709971">
      <w:bodyDiv w:val="1"/>
      <w:marLeft w:val="0"/>
      <w:marRight w:val="0"/>
      <w:marTop w:val="0"/>
      <w:marBottom w:val="0"/>
      <w:divBdr>
        <w:top w:val="none" w:sz="0" w:space="0" w:color="auto"/>
        <w:left w:val="none" w:sz="0" w:space="0" w:color="auto"/>
        <w:bottom w:val="none" w:sz="0" w:space="0" w:color="auto"/>
        <w:right w:val="none" w:sz="0" w:space="0" w:color="auto"/>
      </w:divBdr>
      <w:divsChild>
        <w:div w:id="766075799">
          <w:marLeft w:val="0"/>
          <w:marRight w:val="0"/>
          <w:marTop w:val="0"/>
          <w:marBottom w:val="0"/>
          <w:divBdr>
            <w:top w:val="none" w:sz="0" w:space="0" w:color="auto"/>
            <w:left w:val="none" w:sz="0" w:space="0" w:color="auto"/>
            <w:bottom w:val="none" w:sz="0" w:space="0" w:color="auto"/>
            <w:right w:val="none" w:sz="0" w:space="0" w:color="auto"/>
          </w:divBdr>
        </w:div>
        <w:div w:id="1174688441">
          <w:marLeft w:val="0"/>
          <w:marRight w:val="0"/>
          <w:marTop w:val="0"/>
          <w:marBottom w:val="0"/>
          <w:divBdr>
            <w:top w:val="none" w:sz="0" w:space="0" w:color="auto"/>
            <w:left w:val="none" w:sz="0" w:space="0" w:color="auto"/>
            <w:bottom w:val="none" w:sz="0" w:space="0" w:color="auto"/>
            <w:right w:val="none" w:sz="0" w:space="0" w:color="auto"/>
          </w:divBdr>
        </w:div>
      </w:divsChild>
    </w:div>
    <w:div w:id="774787220">
      <w:bodyDiv w:val="1"/>
      <w:marLeft w:val="0"/>
      <w:marRight w:val="0"/>
      <w:marTop w:val="0"/>
      <w:marBottom w:val="0"/>
      <w:divBdr>
        <w:top w:val="none" w:sz="0" w:space="0" w:color="auto"/>
        <w:left w:val="none" w:sz="0" w:space="0" w:color="auto"/>
        <w:bottom w:val="none" w:sz="0" w:space="0" w:color="auto"/>
        <w:right w:val="none" w:sz="0" w:space="0" w:color="auto"/>
      </w:divBdr>
    </w:div>
    <w:div w:id="779182951">
      <w:bodyDiv w:val="1"/>
      <w:marLeft w:val="0"/>
      <w:marRight w:val="0"/>
      <w:marTop w:val="0"/>
      <w:marBottom w:val="0"/>
      <w:divBdr>
        <w:top w:val="none" w:sz="0" w:space="0" w:color="auto"/>
        <w:left w:val="none" w:sz="0" w:space="0" w:color="auto"/>
        <w:bottom w:val="none" w:sz="0" w:space="0" w:color="auto"/>
        <w:right w:val="none" w:sz="0" w:space="0" w:color="auto"/>
      </w:divBdr>
      <w:divsChild>
        <w:div w:id="367340792">
          <w:marLeft w:val="0"/>
          <w:marRight w:val="0"/>
          <w:marTop w:val="0"/>
          <w:marBottom w:val="0"/>
          <w:divBdr>
            <w:top w:val="none" w:sz="0" w:space="0" w:color="auto"/>
            <w:left w:val="none" w:sz="0" w:space="0" w:color="auto"/>
            <w:bottom w:val="none" w:sz="0" w:space="0" w:color="auto"/>
            <w:right w:val="none" w:sz="0" w:space="0" w:color="auto"/>
          </w:divBdr>
        </w:div>
        <w:div w:id="1710102557">
          <w:marLeft w:val="0"/>
          <w:marRight w:val="0"/>
          <w:marTop w:val="0"/>
          <w:marBottom w:val="0"/>
          <w:divBdr>
            <w:top w:val="none" w:sz="0" w:space="0" w:color="auto"/>
            <w:left w:val="none" w:sz="0" w:space="0" w:color="auto"/>
            <w:bottom w:val="none" w:sz="0" w:space="0" w:color="auto"/>
            <w:right w:val="none" w:sz="0" w:space="0" w:color="auto"/>
          </w:divBdr>
        </w:div>
      </w:divsChild>
    </w:div>
    <w:div w:id="780149516">
      <w:bodyDiv w:val="1"/>
      <w:marLeft w:val="0"/>
      <w:marRight w:val="0"/>
      <w:marTop w:val="0"/>
      <w:marBottom w:val="0"/>
      <w:divBdr>
        <w:top w:val="none" w:sz="0" w:space="0" w:color="auto"/>
        <w:left w:val="none" w:sz="0" w:space="0" w:color="auto"/>
        <w:bottom w:val="none" w:sz="0" w:space="0" w:color="auto"/>
        <w:right w:val="none" w:sz="0" w:space="0" w:color="auto"/>
      </w:divBdr>
    </w:div>
    <w:div w:id="783113601">
      <w:bodyDiv w:val="1"/>
      <w:marLeft w:val="0"/>
      <w:marRight w:val="0"/>
      <w:marTop w:val="0"/>
      <w:marBottom w:val="0"/>
      <w:divBdr>
        <w:top w:val="none" w:sz="0" w:space="0" w:color="auto"/>
        <w:left w:val="none" w:sz="0" w:space="0" w:color="auto"/>
        <w:bottom w:val="none" w:sz="0" w:space="0" w:color="auto"/>
        <w:right w:val="none" w:sz="0" w:space="0" w:color="auto"/>
      </w:divBdr>
      <w:divsChild>
        <w:div w:id="629554092">
          <w:marLeft w:val="0"/>
          <w:marRight w:val="0"/>
          <w:marTop w:val="0"/>
          <w:marBottom w:val="0"/>
          <w:divBdr>
            <w:top w:val="none" w:sz="0" w:space="0" w:color="auto"/>
            <w:left w:val="none" w:sz="0" w:space="0" w:color="auto"/>
            <w:bottom w:val="none" w:sz="0" w:space="0" w:color="auto"/>
            <w:right w:val="none" w:sz="0" w:space="0" w:color="auto"/>
          </w:divBdr>
        </w:div>
        <w:div w:id="1447385092">
          <w:marLeft w:val="0"/>
          <w:marRight w:val="0"/>
          <w:marTop w:val="0"/>
          <w:marBottom w:val="0"/>
          <w:divBdr>
            <w:top w:val="none" w:sz="0" w:space="0" w:color="auto"/>
            <w:left w:val="none" w:sz="0" w:space="0" w:color="auto"/>
            <w:bottom w:val="none" w:sz="0" w:space="0" w:color="auto"/>
            <w:right w:val="none" w:sz="0" w:space="0" w:color="auto"/>
          </w:divBdr>
        </w:div>
      </w:divsChild>
    </w:div>
    <w:div w:id="784155021">
      <w:bodyDiv w:val="1"/>
      <w:marLeft w:val="0"/>
      <w:marRight w:val="0"/>
      <w:marTop w:val="0"/>
      <w:marBottom w:val="0"/>
      <w:divBdr>
        <w:top w:val="none" w:sz="0" w:space="0" w:color="auto"/>
        <w:left w:val="none" w:sz="0" w:space="0" w:color="auto"/>
        <w:bottom w:val="none" w:sz="0" w:space="0" w:color="auto"/>
        <w:right w:val="none" w:sz="0" w:space="0" w:color="auto"/>
      </w:divBdr>
    </w:div>
    <w:div w:id="786001629">
      <w:bodyDiv w:val="1"/>
      <w:marLeft w:val="0"/>
      <w:marRight w:val="0"/>
      <w:marTop w:val="0"/>
      <w:marBottom w:val="0"/>
      <w:divBdr>
        <w:top w:val="none" w:sz="0" w:space="0" w:color="auto"/>
        <w:left w:val="none" w:sz="0" w:space="0" w:color="auto"/>
        <w:bottom w:val="none" w:sz="0" w:space="0" w:color="auto"/>
        <w:right w:val="none" w:sz="0" w:space="0" w:color="auto"/>
      </w:divBdr>
      <w:divsChild>
        <w:div w:id="1585601060">
          <w:marLeft w:val="0"/>
          <w:marRight w:val="0"/>
          <w:marTop w:val="0"/>
          <w:marBottom w:val="0"/>
          <w:divBdr>
            <w:top w:val="none" w:sz="0" w:space="0" w:color="auto"/>
            <w:left w:val="none" w:sz="0" w:space="0" w:color="auto"/>
            <w:bottom w:val="none" w:sz="0" w:space="0" w:color="auto"/>
            <w:right w:val="none" w:sz="0" w:space="0" w:color="auto"/>
          </w:divBdr>
          <w:divsChild>
            <w:div w:id="1605726332">
              <w:marLeft w:val="0"/>
              <w:marRight w:val="0"/>
              <w:marTop w:val="0"/>
              <w:marBottom w:val="0"/>
              <w:divBdr>
                <w:top w:val="none" w:sz="0" w:space="0" w:color="auto"/>
                <w:left w:val="none" w:sz="0" w:space="0" w:color="auto"/>
                <w:bottom w:val="none" w:sz="0" w:space="0" w:color="auto"/>
                <w:right w:val="none" w:sz="0" w:space="0" w:color="auto"/>
              </w:divBdr>
            </w:div>
            <w:div w:id="18553396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9206230">
      <w:bodyDiv w:val="1"/>
      <w:marLeft w:val="0"/>
      <w:marRight w:val="0"/>
      <w:marTop w:val="0"/>
      <w:marBottom w:val="0"/>
      <w:divBdr>
        <w:top w:val="none" w:sz="0" w:space="0" w:color="auto"/>
        <w:left w:val="none" w:sz="0" w:space="0" w:color="auto"/>
        <w:bottom w:val="none" w:sz="0" w:space="0" w:color="auto"/>
        <w:right w:val="none" w:sz="0" w:space="0" w:color="auto"/>
      </w:divBdr>
      <w:divsChild>
        <w:div w:id="379013510">
          <w:marLeft w:val="0"/>
          <w:marRight w:val="0"/>
          <w:marTop w:val="0"/>
          <w:marBottom w:val="0"/>
          <w:divBdr>
            <w:top w:val="none" w:sz="0" w:space="0" w:color="auto"/>
            <w:left w:val="none" w:sz="0" w:space="0" w:color="auto"/>
            <w:bottom w:val="none" w:sz="0" w:space="0" w:color="auto"/>
            <w:right w:val="none" w:sz="0" w:space="0" w:color="auto"/>
          </w:divBdr>
        </w:div>
        <w:div w:id="1582988733">
          <w:marLeft w:val="0"/>
          <w:marRight w:val="0"/>
          <w:marTop w:val="0"/>
          <w:marBottom w:val="0"/>
          <w:divBdr>
            <w:top w:val="none" w:sz="0" w:space="0" w:color="auto"/>
            <w:left w:val="none" w:sz="0" w:space="0" w:color="auto"/>
            <w:bottom w:val="none" w:sz="0" w:space="0" w:color="auto"/>
            <w:right w:val="none" w:sz="0" w:space="0" w:color="auto"/>
          </w:divBdr>
        </w:div>
        <w:div w:id="1900937250">
          <w:marLeft w:val="0"/>
          <w:marRight w:val="0"/>
          <w:marTop w:val="0"/>
          <w:marBottom w:val="0"/>
          <w:divBdr>
            <w:top w:val="none" w:sz="0" w:space="0" w:color="auto"/>
            <w:left w:val="none" w:sz="0" w:space="0" w:color="auto"/>
            <w:bottom w:val="none" w:sz="0" w:space="0" w:color="auto"/>
            <w:right w:val="none" w:sz="0" w:space="0" w:color="auto"/>
          </w:divBdr>
        </w:div>
      </w:divsChild>
    </w:div>
    <w:div w:id="791558408">
      <w:bodyDiv w:val="1"/>
      <w:marLeft w:val="0"/>
      <w:marRight w:val="0"/>
      <w:marTop w:val="0"/>
      <w:marBottom w:val="0"/>
      <w:divBdr>
        <w:top w:val="none" w:sz="0" w:space="0" w:color="auto"/>
        <w:left w:val="none" w:sz="0" w:space="0" w:color="auto"/>
        <w:bottom w:val="none" w:sz="0" w:space="0" w:color="auto"/>
        <w:right w:val="none" w:sz="0" w:space="0" w:color="auto"/>
      </w:divBdr>
    </w:div>
    <w:div w:id="794831717">
      <w:bodyDiv w:val="1"/>
      <w:marLeft w:val="0"/>
      <w:marRight w:val="0"/>
      <w:marTop w:val="0"/>
      <w:marBottom w:val="0"/>
      <w:divBdr>
        <w:top w:val="none" w:sz="0" w:space="0" w:color="auto"/>
        <w:left w:val="none" w:sz="0" w:space="0" w:color="auto"/>
        <w:bottom w:val="none" w:sz="0" w:space="0" w:color="auto"/>
        <w:right w:val="none" w:sz="0" w:space="0" w:color="auto"/>
      </w:divBdr>
      <w:divsChild>
        <w:div w:id="197207704">
          <w:marLeft w:val="0"/>
          <w:marRight w:val="0"/>
          <w:marTop w:val="0"/>
          <w:marBottom w:val="0"/>
          <w:divBdr>
            <w:top w:val="none" w:sz="0" w:space="0" w:color="auto"/>
            <w:left w:val="none" w:sz="0" w:space="0" w:color="auto"/>
            <w:bottom w:val="none" w:sz="0" w:space="0" w:color="auto"/>
            <w:right w:val="none" w:sz="0" w:space="0" w:color="auto"/>
          </w:divBdr>
        </w:div>
        <w:div w:id="1451827349">
          <w:marLeft w:val="0"/>
          <w:marRight w:val="0"/>
          <w:marTop w:val="0"/>
          <w:marBottom w:val="0"/>
          <w:divBdr>
            <w:top w:val="none" w:sz="0" w:space="0" w:color="auto"/>
            <w:left w:val="none" w:sz="0" w:space="0" w:color="auto"/>
            <w:bottom w:val="none" w:sz="0" w:space="0" w:color="auto"/>
            <w:right w:val="none" w:sz="0" w:space="0" w:color="auto"/>
          </w:divBdr>
        </w:div>
      </w:divsChild>
    </w:div>
    <w:div w:id="798107453">
      <w:bodyDiv w:val="1"/>
      <w:marLeft w:val="0"/>
      <w:marRight w:val="0"/>
      <w:marTop w:val="0"/>
      <w:marBottom w:val="0"/>
      <w:divBdr>
        <w:top w:val="none" w:sz="0" w:space="0" w:color="auto"/>
        <w:left w:val="none" w:sz="0" w:space="0" w:color="auto"/>
        <w:bottom w:val="none" w:sz="0" w:space="0" w:color="auto"/>
        <w:right w:val="none" w:sz="0" w:space="0" w:color="auto"/>
      </w:divBdr>
    </w:div>
    <w:div w:id="798382824">
      <w:bodyDiv w:val="1"/>
      <w:marLeft w:val="0"/>
      <w:marRight w:val="0"/>
      <w:marTop w:val="0"/>
      <w:marBottom w:val="0"/>
      <w:divBdr>
        <w:top w:val="none" w:sz="0" w:space="0" w:color="auto"/>
        <w:left w:val="none" w:sz="0" w:space="0" w:color="auto"/>
        <w:bottom w:val="none" w:sz="0" w:space="0" w:color="auto"/>
        <w:right w:val="none" w:sz="0" w:space="0" w:color="auto"/>
      </w:divBdr>
    </w:div>
    <w:div w:id="798689143">
      <w:bodyDiv w:val="1"/>
      <w:marLeft w:val="0"/>
      <w:marRight w:val="0"/>
      <w:marTop w:val="0"/>
      <w:marBottom w:val="0"/>
      <w:divBdr>
        <w:top w:val="none" w:sz="0" w:space="0" w:color="auto"/>
        <w:left w:val="none" w:sz="0" w:space="0" w:color="auto"/>
        <w:bottom w:val="none" w:sz="0" w:space="0" w:color="auto"/>
        <w:right w:val="none" w:sz="0" w:space="0" w:color="auto"/>
      </w:divBdr>
    </w:div>
    <w:div w:id="801046790">
      <w:bodyDiv w:val="1"/>
      <w:marLeft w:val="0"/>
      <w:marRight w:val="0"/>
      <w:marTop w:val="0"/>
      <w:marBottom w:val="0"/>
      <w:divBdr>
        <w:top w:val="none" w:sz="0" w:space="0" w:color="auto"/>
        <w:left w:val="none" w:sz="0" w:space="0" w:color="auto"/>
        <w:bottom w:val="none" w:sz="0" w:space="0" w:color="auto"/>
        <w:right w:val="none" w:sz="0" w:space="0" w:color="auto"/>
      </w:divBdr>
      <w:divsChild>
        <w:div w:id="669521984">
          <w:marLeft w:val="0"/>
          <w:marRight w:val="0"/>
          <w:marTop w:val="0"/>
          <w:marBottom w:val="0"/>
          <w:divBdr>
            <w:top w:val="none" w:sz="0" w:space="0" w:color="auto"/>
            <w:left w:val="none" w:sz="0" w:space="0" w:color="auto"/>
            <w:bottom w:val="none" w:sz="0" w:space="0" w:color="auto"/>
            <w:right w:val="none" w:sz="0" w:space="0" w:color="auto"/>
          </w:divBdr>
        </w:div>
        <w:div w:id="979844245">
          <w:marLeft w:val="0"/>
          <w:marRight w:val="0"/>
          <w:marTop w:val="0"/>
          <w:marBottom w:val="0"/>
          <w:divBdr>
            <w:top w:val="none" w:sz="0" w:space="0" w:color="auto"/>
            <w:left w:val="none" w:sz="0" w:space="0" w:color="auto"/>
            <w:bottom w:val="none" w:sz="0" w:space="0" w:color="auto"/>
            <w:right w:val="none" w:sz="0" w:space="0" w:color="auto"/>
          </w:divBdr>
        </w:div>
        <w:div w:id="1382245611">
          <w:marLeft w:val="0"/>
          <w:marRight w:val="0"/>
          <w:marTop w:val="0"/>
          <w:marBottom w:val="0"/>
          <w:divBdr>
            <w:top w:val="none" w:sz="0" w:space="0" w:color="auto"/>
            <w:left w:val="none" w:sz="0" w:space="0" w:color="auto"/>
            <w:bottom w:val="none" w:sz="0" w:space="0" w:color="auto"/>
            <w:right w:val="none" w:sz="0" w:space="0" w:color="auto"/>
          </w:divBdr>
        </w:div>
      </w:divsChild>
    </w:div>
    <w:div w:id="809178327">
      <w:bodyDiv w:val="1"/>
      <w:marLeft w:val="0"/>
      <w:marRight w:val="0"/>
      <w:marTop w:val="0"/>
      <w:marBottom w:val="0"/>
      <w:divBdr>
        <w:top w:val="none" w:sz="0" w:space="0" w:color="auto"/>
        <w:left w:val="none" w:sz="0" w:space="0" w:color="auto"/>
        <w:bottom w:val="none" w:sz="0" w:space="0" w:color="auto"/>
        <w:right w:val="none" w:sz="0" w:space="0" w:color="auto"/>
      </w:divBdr>
    </w:div>
    <w:div w:id="809787125">
      <w:bodyDiv w:val="1"/>
      <w:marLeft w:val="0"/>
      <w:marRight w:val="0"/>
      <w:marTop w:val="0"/>
      <w:marBottom w:val="0"/>
      <w:divBdr>
        <w:top w:val="none" w:sz="0" w:space="0" w:color="auto"/>
        <w:left w:val="none" w:sz="0" w:space="0" w:color="auto"/>
        <w:bottom w:val="none" w:sz="0" w:space="0" w:color="auto"/>
        <w:right w:val="none" w:sz="0" w:space="0" w:color="auto"/>
      </w:divBdr>
    </w:div>
    <w:div w:id="812867289">
      <w:bodyDiv w:val="1"/>
      <w:marLeft w:val="0"/>
      <w:marRight w:val="0"/>
      <w:marTop w:val="0"/>
      <w:marBottom w:val="0"/>
      <w:divBdr>
        <w:top w:val="none" w:sz="0" w:space="0" w:color="auto"/>
        <w:left w:val="none" w:sz="0" w:space="0" w:color="auto"/>
        <w:bottom w:val="none" w:sz="0" w:space="0" w:color="auto"/>
        <w:right w:val="none" w:sz="0" w:space="0" w:color="auto"/>
      </w:divBdr>
    </w:div>
    <w:div w:id="818962985">
      <w:bodyDiv w:val="1"/>
      <w:marLeft w:val="0"/>
      <w:marRight w:val="0"/>
      <w:marTop w:val="0"/>
      <w:marBottom w:val="0"/>
      <w:divBdr>
        <w:top w:val="none" w:sz="0" w:space="0" w:color="auto"/>
        <w:left w:val="none" w:sz="0" w:space="0" w:color="auto"/>
        <w:bottom w:val="none" w:sz="0" w:space="0" w:color="auto"/>
        <w:right w:val="none" w:sz="0" w:space="0" w:color="auto"/>
      </w:divBdr>
    </w:div>
    <w:div w:id="819690932">
      <w:bodyDiv w:val="1"/>
      <w:marLeft w:val="0"/>
      <w:marRight w:val="0"/>
      <w:marTop w:val="0"/>
      <w:marBottom w:val="0"/>
      <w:divBdr>
        <w:top w:val="none" w:sz="0" w:space="0" w:color="auto"/>
        <w:left w:val="none" w:sz="0" w:space="0" w:color="auto"/>
        <w:bottom w:val="none" w:sz="0" w:space="0" w:color="auto"/>
        <w:right w:val="none" w:sz="0" w:space="0" w:color="auto"/>
      </w:divBdr>
    </w:div>
    <w:div w:id="823591632">
      <w:bodyDiv w:val="1"/>
      <w:marLeft w:val="0"/>
      <w:marRight w:val="0"/>
      <w:marTop w:val="0"/>
      <w:marBottom w:val="0"/>
      <w:divBdr>
        <w:top w:val="none" w:sz="0" w:space="0" w:color="auto"/>
        <w:left w:val="none" w:sz="0" w:space="0" w:color="auto"/>
        <w:bottom w:val="none" w:sz="0" w:space="0" w:color="auto"/>
        <w:right w:val="none" w:sz="0" w:space="0" w:color="auto"/>
      </w:divBdr>
    </w:div>
    <w:div w:id="824513590">
      <w:bodyDiv w:val="1"/>
      <w:marLeft w:val="0"/>
      <w:marRight w:val="0"/>
      <w:marTop w:val="0"/>
      <w:marBottom w:val="0"/>
      <w:divBdr>
        <w:top w:val="none" w:sz="0" w:space="0" w:color="auto"/>
        <w:left w:val="none" w:sz="0" w:space="0" w:color="auto"/>
        <w:bottom w:val="none" w:sz="0" w:space="0" w:color="auto"/>
        <w:right w:val="none" w:sz="0" w:space="0" w:color="auto"/>
      </w:divBdr>
    </w:div>
    <w:div w:id="824976325">
      <w:bodyDiv w:val="1"/>
      <w:marLeft w:val="0"/>
      <w:marRight w:val="0"/>
      <w:marTop w:val="0"/>
      <w:marBottom w:val="0"/>
      <w:divBdr>
        <w:top w:val="none" w:sz="0" w:space="0" w:color="auto"/>
        <w:left w:val="none" w:sz="0" w:space="0" w:color="auto"/>
        <w:bottom w:val="none" w:sz="0" w:space="0" w:color="auto"/>
        <w:right w:val="none" w:sz="0" w:space="0" w:color="auto"/>
      </w:divBdr>
    </w:div>
    <w:div w:id="825630072">
      <w:bodyDiv w:val="1"/>
      <w:marLeft w:val="0"/>
      <w:marRight w:val="0"/>
      <w:marTop w:val="0"/>
      <w:marBottom w:val="0"/>
      <w:divBdr>
        <w:top w:val="none" w:sz="0" w:space="0" w:color="auto"/>
        <w:left w:val="none" w:sz="0" w:space="0" w:color="auto"/>
        <w:bottom w:val="none" w:sz="0" w:space="0" w:color="auto"/>
        <w:right w:val="none" w:sz="0" w:space="0" w:color="auto"/>
      </w:divBdr>
      <w:divsChild>
        <w:div w:id="207762127">
          <w:marLeft w:val="0"/>
          <w:marRight w:val="0"/>
          <w:marTop w:val="0"/>
          <w:marBottom w:val="0"/>
          <w:divBdr>
            <w:top w:val="none" w:sz="0" w:space="0" w:color="auto"/>
            <w:left w:val="none" w:sz="0" w:space="0" w:color="auto"/>
            <w:bottom w:val="none" w:sz="0" w:space="0" w:color="auto"/>
            <w:right w:val="none" w:sz="0" w:space="0" w:color="auto"/>
          </w:divBdr>
        </w:div>
        <w:div w:id="1164706534">
          <w:marLeft w:val="0"/>
          <w:marRight w:val="0"/>
          <w:marTop w:val="0"/>
          <w:marBottom w:val="0"/>
          <w:divBdr>
            <w:top w:val="none" w:sz="0" w:space="0" w:color="auto"/>
            <w:left w:val="none" w:sz="0" w:space="0" w:color="auto"/>
            <w:bottom w:val="none" w:sz="0" w:space="0" w:color="auto"/>
            <w:right w:val="none" w:sz="0" w:space="0" w:color="auto"/>
          </w:divBdr>
        </w:div>
      </w:divsChild>
    </w:div>
    <w:div w:id="827598073">
      <w:bodyDiv w:val="1"/>
      <w:marLeft w:val="0"/>
      <w:marRight w:val="0"/>
      <w:marTop w:val="0"/>
      <w:marBottom w:val="0"/>
      <w:divBdr>
        <w:top w:val="none" w:sz="0" w:space="0" w:color="auto"/>
        <w:left w:val="none" w:sz="0" w:space="0" w:color="auto"/>
        <w:bottom w:val="none" w:sz="0" w:space="0" w:color="auto"/>
        <w:right w:val="none" w:sz="0" w:space="0" w:color="auto"/>
      </w:divBdr>
    </w:div>
    <w:div w:id="828133878">
      <w:bodyDiv w:val="1"/>
      <w:marLeft w:val="0"/>
      <w:marRight w:val="0"/>
      <w:marTop w:val="0"/>
      <w:marBottom w:val="0"/>
      <w:divBdr>
        <w:top w:val="none" w:sz="0" w:space="0" w:color="auto"/>
        <w:left w:val="none" w:sz="0" w:space="0" w:color="auto"/>
        <w:bottom w:val="none" w:sz="0" w:space="0" w:color="auto"/>
        <w:right w:val="none" w:sz="0" w:space="0" w:color="auto"/>
      </w:divBdr>
    </w:div>
    <w:div w:id="828835276">
      <w:bodyDiv w:val="1"/>
      <w:marLeft w:val="0"/>
      <w:marRight w:val="0"/>
      <w:marTop w:val="0"/>
      <w:marBottom w:val="0"/>
      <w:divBdr>
        <w:top w:val="none" w:sz="0" w:space="0" w:color="auto"/>
        <w:left w:val="none" w:sz="0" w:space="0" w:color="auto"/>
        <w:bottom w:val="none" w:sz="0" w:space="0" w:color="auto"/>
        <w:right w:val="none" w:sz="0" w:space="0" w:color="auto"/>
      </w:divBdr>
    </w:div>
    <w:div w:id="828862474">
      <w:bodyDiv w:val="1"/>
      <w:marLeft w:val="0"/>
      <w:marRight w:val="0"/>
      <w:marTop w:val="0"/>
      <w:marBottom w:val="0"/>
      <w:divBdr>
        <w:top w:val="none" w:sz="0" w:space="0" w:color="auto"/>
        <w:left w:val="none" w:sz="0" w:space="0" w:color="auto"/>
        <w:bottom w:val="none" w:sz="0" w:space="0" w:color="auto"/>
        <w:right w:val="none" w:sz="0" w:space="0" w:color="auto"/>
      </w:divBdr>
    </w:div>
    <w:div w:id="832573738">
      <w:bodyDiv w:val="1"/>
      <w:marLeft w:val="0"/>
      <w:marRight w:val="0"/>
      <w:marTop w:val="0"/>
      <w:marBottom w:val="0"/>
      <w:divBdr>
        <w:top w:val="none" w:sz="0" w:space="0" w:color="auto"/>
        <w:left w:val="none" w:sz="0" w:space="0" w:color="auto"/>
        <w:bottom w:val="none" w:sz="0" w:space="0" w:color="auto"/>
        <w:right w:val="none" w:sz="0" w:space="0" w:color="auto"/>
      </w:divBdr>
      <w:divsChild>
        <w:div w:id="1426682973">
          <w:marLeft w:val="0"/>
          <w:marRight w:val="0"/>
          <w:marTop w:val="0"/>
          <w:marBottom w:val="0"/>
          <w:divBdr>
            <w:top w:val="none" w:sz="0" w:space="0" w:color="auto"/>
            <w:left w:val="none" w:sz="0" w:space="0" w:color="auto"/>
            <w:bottom w:val="none" w:sz="0" w:space="0" w:color="auto"/>
            <w:right w:val="none" w:sz="0" w:space="0" w:color="auto"/>
          </w:divBdr>
        </w:div>
      </w:divsChild>
    </w:div>
    <w:div w:id="837233984">
      <w:bodyDiv w:val="1"/>
      <w:marLeft w:val="0"/>
      <w:marRight w:val="0"/>
      <w:marTop w:val="0"/>
      <w:marBottom w:val="0"/>
      <w:divBdr>
        <w:top w:val="none" w:sz="0" w:space="0" w:color="auto"/>
        <w:left w:val="none" w:sz="0" w:space="0" w:color="auto"/>
        <w:bottom w:val="none" w:sz="0" w:space="0" w:color="auto"/>
        <w:right w:val="none" w:sz="0" w:space="0" w:color="auto"/>
      </w:divBdr>
      <w:divsChild>
        <w:div w:id="554894174">
          <w:marLeft w:val="0"/>
          <w:marRight w:val="0"/>
          <w:marTop w:val="0"/>
          <w:marBottom w:val="0"/>
          <w:divBdr>
            <w:top w:val="none" w:sz="0" w:space="0" w:color="auto"/>
            <w:left w:val="none" w:sz="0" w:space="0" w:color="auto"/>
            <w:bottom w:val="none" w:sz="0" w:space="0" w:color="auto"/>
            <w:right w:val="none" w:sz="0" w:space="0" w:color="auto"/>
          </w:divBdr>
        </w:div>
        <w:div w:id="1258169574">
          <w:marLeft w:val="0"/>
          <w:marRight w:val="0"/>
          <w:marTop w:val="0"/>
          <w:marBottom w:val="0"/>
          <w:divBdr>
            <w:top w:val="none" w:sz="0" w:space="0" w:color="auto"/>
            <w:left w:val="none" w:sz="0" w:space="0" w:color="auto"/>
            <w:bottom w:val="none" w:sz="0" w:space="0" w:color="auto"/>
            <w:right w:val="none" w:sz="0" w:space="0" w:color="auto"/>
          </w:divBdr>
        </w:div>
      </w:divsChild>
    </w:div>
    <w:div w:id="837774533">
      <w:bodyDiv w:val="1"/>
      <w:marLeft w:val="0"/>
      <w:marRight w:val="0"/>
      <w:marTop w:val="0"/>
      <w:marBottom w:val="0"/>
      <w:divBdr>
        <w:top w:val="none" w:sz="0" w:space="0" w:color="auto"/>
        <w:left w:val="none" w:sz="0" w:space="0" w:color="auto"/>
        <w:bottom w:val="none" w:sz="0" w:space="0" w:color="auto"/>
        <w:right w:val="none" w:sz="0" w:space="0" w:color="auto"/>
      </w:divBdr>
    </w:div>
    <w:div w:id="839933658">
      <w:bodyDiv w:val="1"/>
      <w:marLeft w:val="0"/>
      <w:marRight w:val="0"/>
      <w:marTop w:val="0"/>
      <w:marBottom w:val="0"/>
      <w:divBdr>
        <w:top w:val="none" w:sz="0" w:space="0" w:color="auto"/>
        <w:left w:val="none" w:sz="0" w:space="0" w:color="auto"/>
        <w:bottom w:val="none" w:sz="0" w:space="0" w:color="auto"/>
        <w:right w:val="none" w:sz="0" w:space="0" w:color="auto"/>
      </w:divBdr>
    </w:div>
    <w:div w:id="848763359">
      <w:bodyDiv w:val="1"/>
      <w:marLeft w:val="0"/>
      <w:marRight w:val="0"/>
      <w:marTop w:val="0"/>
      <w:marBottom w:val="0"/>
      <w:divBdr>
        <w:top w:val="none" w:sz="0" w:space="0" w:color="auto"/>
        <w:left w:val="none" w:sz="0" w:space="0" w:color="auto"/>
        <w:bottom w:val="none" w:sz="0" w:space="0" w:color="auto"/>
        <w:right w:val="none" w:sz="0" w:space="0" w:color="auto"/>
      </w:divBdr>
      <w:divsChild>
        <w:div w:id="178467584">
          <w:marLeft w:val="0"/>
          <w:marRight w:val="0"/>
          <w:marTop w:val="0"/>
          <w:marBottom w:val="0"/>
          <w:divBdr>
            <w:top w:val="none" w:sz="0" w:space="0" w:color="auto"/>
            <w:left w:val="none" w:sz="0" w:space="0" w:color="auto"/>
            <w:bottom w:val="none" w:sz="0" w:space="0" w:color="auto"/>
            <w:right w:val="none" w:sz="0" w:space="0" w:color="auto"/>
          </w:divBdr>
        </w:div>
        <w:div w:id="438331337">
          <w:marLeft w:val="0"/>
          <w:marRight w:val="0"/>
          <w:marTop w:val="0"/>
          <w:marBottom w:val="0"/>
          <w:divBdr>
            <w:top w:val="none" w:sz="0" w:space="0" w:color="auto"/>
            <w:left w:val="none" w:sz="0" w:space="0" w:color="auto"/>
            <w:bottom w:val="none" w:sz="0" w:space="0" w:color="auto"/>
            <w:right w:val="none" w:sz="0" w:space="0" w:color="auto"/>
          </w:divBdr>
        </w:div>
      </w:divsChild>
    </w:div>
    <w:div w:id="851143245">
      <w:bodyDiv w:val="1"/>
      <w:marLeft w:val="0"/>
      <w:marRight w:val="0"/>
      <w:marTop w:val="0"/>
      <w:marBottom w:val="0"/>
      <w:divBdr>
        <w:top w:val="none" w:sz="0" w:space="0" w:color="auto"/>
        <w:left w:val="none" w:sz="0" w:space="0" w:color="auto"/>
        <w:bottom w:val="none" w:sz="0" w:space="0" w:color="auto"/>
        <w:right w:val="none" w:sz="0" w:space="0" w:color="auto"/>
      </w:divBdr>
    </w:div>
    <w:div w:id="858549336">
      <w:bodyDiv w:val="1"/>
      <w:marLeft w:val="0"/>
      <w:marRight w:val="0"/>
      <w:marTop w:val="0"/>
      <w:marBottom w:val="0"/>
      <w:divBdr>
        <w:top w:val="none" w:sz="0" w:space="0" w:color="auto"/>
        <w:left w:val="none" w:sz="0" w:space="0" w:color="auto"/>
        <w:bottom w:val="none" w:sz="0" w:space="0" w:color="auto"/>
        <w:right w:val="none" w:sz="0" w:space="0" w:color="auto"/>
      </w:divBdr>
      <w:divsChild>
        <w:div w:id="1755853515">
          <w:marLeft w:val="0"/>
          <w:marRight w:val="0"/>
          <w:marTop w:val="0"/>
          <w:marBottom w:val="0"/>
          <w:divBdr>
            <w:top w:val="none" w:sz="0" w:space="0" w:color="auto"/>
            <w:left w:val="none" w:sz="0" w:space="0" w:color="auto"/>
            <w:bottom w:val="none" w:sz="0" w:space="0" w:color="auto"/>
            <w:right w:val="none" w:sz="0" w:space="0" w:color="auto"/>
          </w:divBdr>
        </w:div>
        <w:div w:id="1796437386">
          <w:marLeft w:val="0"/>
          <w:marRight w:val="0"/>
          <w:marTop w:val="0"/>
          <w:marBottom w:val="0"/>
          <w:divBdr>
            <w:top w:val="none" w:sz="0" w:space="0" w:color="auto"/>
            <w:left w:val="none" w:sz="0" w:space="0" w:color="auto"/>
            <w:bottom w:val="none" w:sz="0" w:space="0" w:color="auto"/>
            <w:right w:val="none" w:sz="0" w:space="0" w:color="auto"/>
          </w:divBdr>
        </w:div>
      </w:divsChild>
    </w:div>
    <w:div w:id="858853099">
      <w:bodyDiv w:val="1"/>
      <w:marLeft w:val="0"/>
      <w:marRight w:val="0"/>
      <w:marTop w:val="0"/>
      <w:marBottom w:val="0"/>
      <w:divBdr>
        <w:top w:val="none" w:sz="0" w:space="0" w:color="auto"/>
        <w:left w:val="none" w:sz="0" w:space="0" w:color="auto"/>
        <w:bottom w:val="none" w:sz="0" w:space="0" w:color="auto"/>
        <w:right w:val="none" w:sz="0" w:space="0" w:color="auto"/>
      </w:divBdr>
    </w:div>
    <w:div w:id="859127128">
      <w:bodyDiv w:val="1"/>
      <w:marLeft w:val="0"/>
      <w:marRight w:val="0"/>
      <w:marTop w:val="0"/>
      <w:marBottom w:val="0"/>
      <w:divBdr>
        <w:top w:val="none" w:sz="0" w:space="0" w:color="auto"/>
        <w:left w:val="none" w:sz="0" w:space="0" w:color="auto"/>
        <w:bottom w:val="none" w:sz="0" w:space="0" w:color="auto"/>
        <w:right w:val="none" w:sz="0" w:space="0" w:color="auto"/>
      </w:divBdr>
    </w:div>
    <w:div w:id="861477138">
      <w:bodyDiv w:val="1"/>
      <w:marLeft w:val="0"/>
      <w:marRight w:val="0"/>
      <w:marTop w:val="0"/>
      <w:marBottom w:val="0"/>
      <w:divBdr>
        <w:top w:val="none" w:sz="0" w:space="0" w:color="auto"/>
        <w:left w:val="none" w:sz="0" w:space="0" w:color="auto"/>
        <w:bottom w:val="none" w:sz="0" w:space="0" w:color="auto"/>
        <w:right w:val="none" w:sz="0" w:space="0" w:color="auto"/>
      </w:divBdr>
    </w:div>
    <w:div w:id="863593766">
      <w:bodyDiv w:val="1"/>
      <w:marLeft w:val="0"/>
      <w:marRight w:val="0"/>
      <w:marTop w:val="0"/>
      <w:marBottom w:val="0"/>
      <w:divBdr>
        <w:top w:val="none" w:sz="0" w:space="0" w:color="auto"/>
        <w:left w:val="none" w:sz="0" w:space="0" w:color="auto"/>
        <w:bottom w:val="none" w:sz="0" w:space="0" w:color="auto"/>
        <w:right w:val="none" w:sz="0" w:space="0" w:color="auto"/>
      </w:divBdr>
    </w:div>
    <w:div w:id="864909181">
      <w:bodyDiv w:val="1"/>
      <w:marLeft w:val="0"/>
      <w:marRight w:val="0"/>
      <w:marTop w:val="0"/>
      <w:marBottom w:val="0"/>
      <w:divBdr>
        <w:top w:val="none" w:sz="0" w:space="0" w:color="auto"/>
        <w:left w:val="none" w:sz="0" w:space="0" w:color="auto"/>
        <w:bottom w:val="none" w:sz="0" w:space="0" w:color="auto"/>
        <w:right w:val="none" w:sz="0" w:space="0" w:color="auto"/>
      </w:divBdr>
    </w:div>
    <w:div w:id="870802653">
      <w:bodyDiv w:val="1"/>
      <w:marLeft w:val="0"/>
      <w:marRight w:val="0"/>
      <w:marTop w:val="0"/>
      <w:marBottom w:val="0"/>
      <w:divBdr>
        <w:top w:val="none" w:sz="0" w:space="0" w:color="auto"/>
        <w:left w:val="none" w:sz="0" w:space="0" w:color="auto"/>
        <w:bottom w:val="none" w:sz="0" w:space="0" w:color="auto"/>
        <w:right w:val="none" w:sz="0" w:space="0" w:color="auto"/>
      </w:divBdr>
    </w:div>
    <w:div w:id="871844123">
      <w:bodyDiv w:val="1"/>
      <w:marLeft w:val="0"/>
      <w:marRight w:val="0"/>
      <w:marTop w:val="0"/>
      <w:marBottom w:val="0"/>
      <w:divBdr>
        <w:top w:val="none" w:sz="0" w:space="0" w:color="auto"/>
        <w:left w:val="none" w:sz="0" w:space="0" w:color="auto"/>
        <w:bottom w:val="none" w:sz="0" w:space="0" w:color="auto"/>
        <w:right w:val="none" w:sz="0" w:space="0" w:color="auto"/>
      </w:divBdr>
    </w:div>
    <w:div w:id="875581884">
      <w:bodyDiv w:val="1"/>
      <w:marLeft w:val="0"/>
      <w:marRight w:val="0"/>
      <w:marTop w:val="0"/>
      <w:marBottom w:val="0"/>
      <w:divBdr>
        <w:top w:val="none" w:sz="0" w:space="0" w:color="auto"/>
        <w:left w:val="none" w:sz="0" w:space="0" w:color="auto"/>
        <w:bottom w:val="none" w:sz="0" w:space="0" w:color="auto"/>
        <w:right w:val="none" w:sz="0" w:space="0" w:color="auto"/>
      </w:divBdr>
    </w:div>
    <w:div w:id="876545747">
      <w:bodyDiv w:val="1"/>
      <w:marLeft w:val="0"/>
      <w:marRight w:val="0"/>
      <w:marTop w:val="0"/>
      <w:marBottom w:val="0"/>
      <w:divBdr>
        <w:top w:val="none" w:sz="0" w:space="0" w:color="auto"/>
        <w:left w:val="none" w:sz="0" w:space="0" w:color="auto"/>
        <w:bottom w:val="none" w:sz="0" w:space="0" w:color="auto"/>
        <w:right w:val="none" w:sz="0" w:space="0" w:color="auto"/>
      </w:divBdr>
    </w:div>
    <w:div w:id="879049327">
      <w:bodyDiv w:val="1"/>
      <w:marLeft w:val="0"/>
      <w:marRight w:val="0"/>
      <w:marTop w:val="0"/>
      <w:marBottom w:val="0"/>
      <w:divBdr>
        <w:top w:val="none" w:sz="0" w:space="0" w:color="auto"/>
        <w:left w:val="none" w:sz="0" w:space="0" w:color="auto"/>
        <w:bottom w:val="none" w:sz="0" w:space="0" w:color="auto"/>
        <w:right w:val="none" w:sz="0" w:space="0" w:color="auto"/>
      </w:divBdr>
      <w:divsChild>
        <w:div w:id="22635688">
          <w:marLeft w:val="0"/>
          <w:marRight w:val="0"/>
          <w:marTop w:val="0"/>
          <w:marBottom w:val="0"/>
          <w:divBdr>
            <w:top w:val="none" w:sz="0" w:space="0" w:color="auto"/>
            <w:left w:val="none" w:sz="0" w:space="0" w:color="auto"/>
            <w:bottom w:val="none" w:sz="0" w:space="0" w:color="auto"/>
            <w:right w:val="none" w:sz="0" w:space="0" w:color="auto"/>
          </w:divBdr>
        </w:div>
        <w:div w:id="417210230">
          <w:marLeft w:val="0"/>
          <w:marRight w:val="0"/>
          <w:marTop w:val="0"/>
          <w:marBottom w:val="0"/>
          <w:divBdr>
            <w:top w:val="none" w:sz="0" w:space="0" w:color="auto"/>
            <w:left w:val="none" w:sz="0" w:space="0" w:color="auto"/>
            <w:bottom w:val="none" w:sz="0" w:space="0" w:color="auto"/>
            <w:right w:val="none" w:sz="0" w:space="0" w:color="auto"/>
          </w:divBdr>
        </w:div>
        <w:div w:id="885917687">
          <w:marLeft w:val="0"/>
          <w:marRight w:val="0"/>
          <w:marTop w:val="0"/>
          <w:marBottom w:val="0"/>
          <w:divBdr>
            <w:top w:val="none" w:sz="0" w:space="0" w:color="auto"/>
            <w:left w:val="none" w:sz="0" w:space="0" w:color="auto"/>
            <w:bottom w:val="none" w:sz="0" w:space="0" w:color="auto"/>
            <w:right w:val="none" w:sz="0" w:space="0" w:color="auto"/>
          </w:divBdr>
        </w:div>
      </w:divsChild>
    </w:div>
    <w:div w:id="882597180">
      <w:bodyDiv w:val="1"/>
      <w:marLeft w:val="0"/>
      <w:marRight w:val="0"/>
      <w:marTop w:val="0"/>
      <w:marBottom w:val="0"/>
      <w:divBdr>
        <w:top w:val="none" w:sz="0" w:space="0" w:color="auto"/>
        <w:left w:val="none" w:sz="0" w:space="0" w:color="auto"/>
        <w:bottom w:val="none" w:sz="0" w:space="0" w:color="auto"/>
        <w:right w:val="none" w:sz="0" w:space="0" w:color="auto"/>
      </w:divBdr>
    </w:div>
    <w:div w:id="888494319">
      <w:bodyDiv w:val="1"/>
      <w:marLeft w:val="0"/>
      <w:marRight w:val="0"/>
      <w:marTop w:val="0"/>
      <w:marBottom w:val="0"/>
      <w:divBdr>
        <w:top w:val="none" w:sz="0" w:space="0" w:color="auto"/>
        <w:left w:val="none" w:sz="0" w:space="0" w:color="auto"/>
        <w:bottom w:val="none" w:sz="0" w:space="0" w:color="auto"/>
        <w:right w:val="none" w:sz="0" w:space="0" w:color="auto"/>
      </w:divBdr>
    </w:div>
    <w:div w:id="897932252">
      <w:bodyDiv w:val="1"/>
      <w:marLeft w:val="0"/>
      <w:marRight w:val="0"/>
      <w:marTop w:val="0"/>
      <w:marBottom w:val="0"/>
      <w:divBdr>
        <w:top w:val="none" w:sz="0" w:space="0" w:color="auto"/>
        <w:left w:val="none" w:sz="0" w:space="0" w:color="auto"/>
        <w:bottom w:val="none" w:sz="0" w:space="0" w:color="auto"/>
        <w:right w:val="none" w:sz="0" w:space="0" w:color="auto"/>
      </w:divBdr>
    </w:div>
    <w:div w:id="902914143">
      <w:bodyDiv w:val="1"/>
      <w:marLeft w:val="0"/>
      <w:marRight w:val="0"/>
      <w:marTop w:val="0"/>
      <w:marBottom w:val="0"/>
      <w:divBdr>
        <w:top w:val="none" w:sz="0" w:space="0" w:color="auto"/>
        <w:left w:val="none" w:sz="0" w:space="0" w:color="auto"/>
        <w:bottom w:val="none" w:sz="0" w:space="0" w:color="auto"/>
        <w:right w:val="none" w:sz="0" w:space="0" w:color="auto"/>
      </w:divBdr>
      <w:divsChild>
        <w:div w:id="430048321">
          <w:marLeft w:val="0"/>
          <w:marRight w:val="0"/>
          <w:marTop w:val="0"/>
          <w:marBottom w:val="0"/>
          <w:divBdr>
            <w:top w:val="none" w:sz="0" w:space="0" w:color="auto"/>
            <w:left w:val="none" w:sz="0" w:space="0" w:color="auto"/>
            <w:bottom w:val="none" w:sz="0" w:space="0" w:color="auto"/>
            <w:right w:val="none" w:sz="0" w:space="0" w:color="auto"/>
          </w:divBdr>
        </w:div>
        <w:div w:id="2114200332">
          <w:marLeft w:val="0"/>
          <w:marRight w:val="0"/>
          <w:marTop w:val="0"/>
          <w:marBottom w:val="0"/>
          <w:divBdr>
            <w:top w:val="none" w:sz="0" w:space="0" w:color="auto"/>
            <w:left w:val="none" w:sz="0" w:space="0" w:color="auto"/>
            <w:bottom w:val="none" w:sz="0" w:space="0" w:color="auto"/>
            <w:right w:val="none" w:sz="0" w:space="0" w:color="auto"/>
          </w:divBdr>
        </w:div>
      </w:divsChild>
    </w:div>
    <w:div w:id="903836854">
      <w:bodyDiv w:val="1"/>
      <w:marLeft w:val="0"/>
      <w:marRight w:val="0"/>
      <w:marTop w:val="0"/>
      <w:marBottom w:val="0"/>
      <w:divBdr>
        <w:top w:val="none" w:sz="0" w:space="0" w:color="auto"/>
        <w:left w:val="none" w:sz="0" w:space="0" w:color="auto"/>
        <w:bottom w:val="none" w:sz="0" w:space="0" w:color="auto"/>
        <w:right w:val="none" w:sz="0" w:space="0" w:color="auto"/>
      </w:divBdr>
    </w:div>
    <w:div w:id="904148697">
      <w:bodyDiv w:val="1"/>
      <w:marLeft w:val="0"/>
      <w:marRight w:val="0"/>
      <w:marTop w:val="0"/>
      <w:marBottom w:val="0"/>
      <w:divBdr>
        <w:top w:val="none" w:sz="0" w:space="0" w:color="auto"/>
        <w:left w:val="none" w:sz="0" w:space="0" w:color="auto"/>
        <w:bottom w:val="none" w:sz="0" w:space="0" w:color="auto"/>
        <w:right w:val="none" w:sz="0" w:space="0" w:color="auto"/>
      </w:divBdr>
    </w:div>
    <w:div w:id="906109826">
      <w:bodyDiv w:val="1"/>
      <w:marLeft w:val="0"/>
      <w:marRight w:val="0"/>
      <w:marTop w:val="0"/>
      <w:marBottom w:val="0"/>
      <w:divBdr>
        <w:top w:val="none" w:sz="0" w:space="0" w:color="auto"/>
        <w:left w:val="none" w:sz="0" w:space="0" w:color="auto"/>
        <w:bottom w:val="none" w:sz="0" w:space="0" w:color="auto"/>
        <w:right w:val="none" w:sz="0" w:space="0" w:color="auto"/>
      </w:divBdr>
      <w:divsChild>
        <w:div w:id="386032366">
          <w:marLeft w:val="0"/>
          <w:marRight w:val="0"/>
          <w:marTop w:val="0"/>
          <w:marBottom w:val="0"/>
          <w:divBdr>
            <w:top w:val="none" w:sz="0" w:space="0" w:color="auto"/>
            <w:left w:val="none" w:sz="0" w:space="0" w:color="auto"/>
            <w:bottom w:val="none" w:sz="0" w:space="0" w:color="auto"/>
            <w:right w:val="none" w:sz="0" w:space="0" w:color="auto"/>
          </w:divBdr>
        </w:div>
        <w:div w:id="552232684">
          <w:marLeft w:val="0"/>
          <w:marRight w:val="0"/>
          <w:marTop w:val="0"/>
          <w:marBottom w:val="0"/>
          <w:divBdr>
            <w:top w:val="none" w:sz="0" w:space="0" w:color="auto"/>
            <w:left w:val="none" w:sz="0" w:space="0" w:color="auto"/>
            <w:bottom w:val="none" w:sz="0" w:space="0" w:color="auto"/>
            <w:right w:val="none" w:sz="0" w:space="0" w:color="auto"/>
          </w:divBdr>
        </w:div>
        <w:div w:id="1510833112">
          <w:marLeft w:val="0"/>
          <w:marRight w:val="0"/>
          <w:marTop w:val="0"/>
          <w:marBottom w:val="0"/>
          <w:divBdr>
            <w:top w:val="none" w:sz="0" w:space="0" w:color="auto"/>
            <w:left w:val="none" w:sz="0" w:space="0" w:color="auto"/>
            <w:bottom w:val="none" w:sz="0" w:space="0" w:color="auto"/>
            <w:right w:val="none" w:sz="0" w:space="0" w:color="auto"/>
          </w:divBdr>
        </w:div>
      </w:divsChild>
    </w:div>
    <w:div w:id="907308455">
      <w:bodyDiv w:val="1"/>
      <w:marLeft w:val="0"/>
      <w:marRight w:val="0"/>
      <w:marTop w:val="0"/>
      <w:marBottom w:val="0"/>
      <w:divBdr>
        <w:top w:val="none" w:sz="0" w:space="0" w:color="auto"/>
        <w:left w:val="none" w:sz="0" w:space="0" w:color="auto"/>
        <w:bottom w:val="none" w:sz="0" w:space="0" w:color="auto"/>
        <w:right w:val="none" w:sz="0" w:space="0" w:color="auto"/>
      </w:divBdr>
      <w:divsChild>
        <w:div w:id="1362785780">
          <w:marLeft w:val="0"/>
          <w:marRight w:val="0"/>
          <w:marTop w:val="0"/>
          <w:marBottom w:val="0"/>
          <w:divBdr>
            <w:top w:val="none" w:sz="0" w:space="0" w:color="auto"/>
            <w:left w:val="none" w:sz="0" w:space="0" w:color="auto"/>
            <w:bottom w:val="none" w:sz="0" w:space="0" w:color="auto"/>
            <w:right w:val="none" w:sz="0" w:space="0" w:color="auto"/>
          </w:divBdr>
        </w:div>
        <w:div w:id="1707482506">
          <w:marLeft w:val="0"/>
          <w:marRight w:val="0"/>
          <w:marTop w:val="0"/>
          <w:marBottom w:val="0"/>
          <w:divBdr>
            <w:top w:val="none" w:sz="0" w:space="0" w:color="auto"/>
            <w:left w:val="none" w:sz="0" w:space="0" w:color="auto"/>
            <w:bottom w:val="none" w:sz="0" w:space="0" w:color="auto"/>
            <w:right w:val="none" w:sz="0" w:space="0" w:color="auto"/>
          </w:divBdr>
        </w:div>
      </w:divsChild>
    </w:div>
    <w:div w:id="908004167">
      <w:bodyDiv w:val="1"/>
      <w:marLeft w:val="0"/>
      <w:marRight w:val="0"/>
      <w:marTop w:val="0"/>
      <w:marBottom w:val="0"/>
      <w:divBdr>
        <w:top w:val="none" w:sz="0" w:space="0" w:color="auto"/>
        <w:left w:val="none" w:sz="0" w:space="0" w:color="auto"/>
        <w:bottom w:val="none" w:sz="0" w:space="0" w:color="auto"/>
        <w:right w:val="none" w:sz="0" w:space="0" w:color="auto"/>
      </w:divBdr>
    </w:div>
    <w:div w:id="912618393">
      <w:bodyDiv w:val="1"/>
      <w:marLeft w:val="0"/>
      <w:marRight w:val="0"/>
      <w:marTop w:val="0"/>
      <w:marBottom w:val="0"/>
      <w:divBdr>
        <w:top w:val="none" w:sz="0" w:space="0" w:color="auto"/>
        <w:left w:val="none" w:sz="0" w:space="0" w:color="auto"/>
        <w:bottom w:val="none" w:sz="0" w:space="0" w:color="auto"/>
        <w:right w:val="none" w:sz="0" w:space="0" w:color="auto"/>
      </w:divBdr>
    </w:div>
    <w:div w:id="915744029">
      <w:bodyDiv w:val="1"/>
      <w:marLeft w:val="0"/>
      <w:marRight w:val="0"/>
      <w:marTop w:val="0"/>
      <w:marBottom w:val="0"/>
      <w:divBdr>
        <w:top w:val="none" w:sz="0" w:space="0" w:color="auto"/>
        <w:left w:val="none" w:sz="0" w:space="0" w:color="auto"/>
        <w:bottom w:val="none" w:sz="0" w:space="0" w:color="auto"/>
        <w:right w:val="none" w:sz="0" w:space="0" w:color="auto"/>
      </w:divBdr>
      <w:divsChild>
        <w:div w:id="141117279">
          <w:marLeft w:val="0"/>
          <w:marRight w:val="0"/>
          <w:marTop w:val="0"/>
          <w:marBottom w:val="0"/>
          <w:divBdr>
            <w:top w:val="none" w:sz="0" w:space="0" w:color="auto"/>
            <w:left w:val="none" w:sz="0" w:space="0" w:color="auto"/>
            <w:bottom w:val="none" w:sz="0" w:space="0" w:color="auto"/>
            <w:right w:val="none" w:sz="0" w:space="0" w:color="auto"/>
          </w:divBdr>
          <w:divsChild>
            <w:div w:id="859242616">
              <w:marLeft w:val="0"/>
              <w:marRight w:val="0"/>
              <w:marTop w:val="0"/>
              <w:marBottom w:val="0"/>
              <w:divBdr>
                <w:top w:val="none" w:sz="0" w:space="0" w:color="auto"/>
                <w:left w:val="none" w:sz="0" w:space="0" w:color="auto"/>
                <w:bottom w:val="none" w:sz="0" w:space="0" w:color="auto"/>
                <w:right w:val="none" w:sz="0" w:space="0" w:color="auto"/>
              </w:divBdr>
            </w:div>
            <w:div w:id="1834755673">
              <w:marLeft w:val="0"/>
              <w:marRight w:val="0"/>
              <w:marTop w:val="0"/>
              <w:marBottom w:val="0"/>
              <w:divBdr>
                <w:top w:val="none" w:sz="0" w:space="0" w:color="auto"/>
                <w:left w:val="none" w:sz="0" w:space="0" w:color="auto"/>
                <w:bottom w:val="none" w:sz="0" w:space="0" w:color="auto"/>
                <w:right w:val="none" w:sz="0" w:space="0" w:color="auto"/>
              </w:divBdr>
            </w:div>
          </w:divsChild>
        </w:div>
        <w:div w:id="710228759">
          <w:marLeft w:val="0"/>
          <w:marRight w:val="0"/>
          <w:marTop w:val="0"/>
          <w:marBottom w:val="0"/>
          <w:divBdr>
            <w:top w:val="none" w:sz="0" w:space="0" w:color="auto"/>
            <w:left w:val="none" w:sz="0" w:space="0" w:color="auto"/>
            <w:bottom w:val="none" w:sz="0" w:space="0" w:color="auto"/>
            <w:right w:val="none" w:sz="0" w:space="0" w:color="auto"/>
          </w:divBdr>
        </w:div>
      </w:divsChild>
    </w:div>
    <w:div w:id="918900813">
      <w:bodyDiv w:val="1"/>
      <w:marLeft w:val="0"/>
      <w:marRight w:val="0"/>
      <w:marTop w:val="0"/>
      <w:marBottom w:val="0"/>
      <w:divBdr>
        <w:top w:val="none" w:sz="0" w:space="0" w:color="auto"/>
        <w:left w:val="none" w:sz="0" w:space="0" w:color="auto"/>
        <w:bottom w:val="none" w:sz="0" w:space="0" w:color="auto"/>
        <w:right w:val="none" w:sz="0" w:space="0" w:color="auto"/>
      </w:divBdr>
    </w:div>
    <w:div w:id="924417605">
      <w:bodyDiv w:val="1"/>
      <w:marLeft w:val="0"/>
      <w:marRight w:val="0"/>
      <w:marTop w:val="0"/>
      <w:marBottom w:val="0"/>
      <w:divBdr>
        <w:top w:val="none" w:sz="0" w:space="0" w:color="auto"/>
        <w:left w:val="none" w:sz="0" w:space="0" w:color="auto"/>
        <w:bottom w:val="none" w:sz="0" w:space="0" w:color="auto"/>
        <w:right w:val="none" w:sz="0" w:space="0" w:color="auto"/>
      </w:divBdr>
    </w:div>
    <w:div w:id="928654202">
      <w:bodyDiv w:val="1"/>
      <w:marLeft w:val="0"/>
      <w:marRight w:val="0"/>
      <w:marTop w:val="0"/>
      <w:marBottom w:val="0"/>
      <w:divBdr>
        <w:top w:val="none" w:sz="0" w:space="0" w:color="auto"/>
        <w:left w:val="none" w:sz="0" w:space="0" w:color="auto"/>
        <w:bottom w:val="none" w:sz="0" w:space="0" w:color="auto"/>
        <w:right w:val="none" w:sz="0" w:space="0" w:color="auto"/>
      </w:divBdr>
      <w:divsChild>
        <w:div w:id="232931319">
          <w:marLeft w:val="0"/>
          <w:marRight w:val="0"/>
          <w:marTop w:val="0"/>
          <w:marBottom w:val="0"/>
          <w:divBdr>
            <w:top w:val="none" w:sz="0" w:space="0" w:color="auto"/>
            <w:left w:val="none" w:sz="0" w:space="0" w:color="auto"/>
            <w:bottom w:val="none" w:sz="0" w:space="0" w:color="auto"/>
            <w:right w:val="none" w:sz="0" w:space="0" w:color="auto"/>
          </w:divBdr>
        </w:div>
        <w:div w:id="245311472">
          <w:marLeft w:val="0"/>
          <w:marRight w:val="0"/>
          <w:marTop w:val="0"/>
          <w:marBottom w:val="0"/>
          <w:divBdr>
            <w:top w:val="none" w:sz="0" w:space="0" w:color="auto"/>
            <w:left w:val="none" w:sz="0" w:space="0" w:color="auto"/>
            <w:bottom w:val="none" w:sz="0" w:space="0" w:color="auto"/>
            <w:right w:val="none" w:sz="0" w:space="0" w:color="auto"/>
          </w:divBdr>
        </w:div>
        <w:div w:id="1227490626">
          <w:marLeft w:val="0"/>
          <w:marRight w:val="0"/>
          <w:marTop w:val="0"/>
          <w:marBottom w:val="0"/>
          <w:divBdr>
            <w:top w:val="none" w:sz="0" w:space="0" w:color="auto"/>
            <w:left w:val="none" w:sz="0" w:space="0" w:color="auto"/>
            <w:bottom w:val="none" w:sz="0" w:space="0" w:color="auto"/>
            <w:right w:val="none" w:sz="0" w:space="0" w:color="auto"/>
          </w:divBdr>
        </w:div>
        <w:div w:id="1970237281">
          <w:marLeft w:val="0"/>
          <w:marRight w:val="0"/>
          <w:marTop w:val="0"/>
          <w:marBottom w:val="0"/>
          <w:divBdr>
            <w:top w:val="none" w:sz="0" w:space="0" w:color="auto"/>
            <w:left w:val="none" w:sz="0" w:space="0" w:color="auto"/>
            <w:bottom w:val="none" w:sz="0" w:space="0" w:color="auto"/>
            <w:right w:val="none" w:sz="0" w:space="0" w:color="auto"/>
          </w:divBdr>
        </w:div>
      </w:divsChild>
    </w:div>
    <w:div w:id="929124374">
      <w:bodyDiv w:val="1"/>
      <w:marLeft w:val="0"/>
      <w:marRight w:val="0"/>
      <w:marTop w:val="0"/>
      <w:marBottom w:val="0"/>
      <w:divBdr>
        <w:top w:val="none" w:sz="0" w:space="0" w:color="auto"/>
        <w:left w:val="none" w:sz="0" w:space="0" w:color="auto"/>
        <w:bottom w:val="none" w:sz="0" w:space="0" w:color="auto"/>
        <w:right w:val="none" w:sz="0" w:space="0" w:color="auto"/>
      </w:divBdr>
    </w:div>
    <w:div w:id="930284860">
      <w:bodyDiv w:val="1"/>
      <w:marLeft w:val="0"/>
      <w:marRight w:val="0"/>
      <w:marTop w:val="0"/>
      <w:marBottom w:val="0"/>
      <w:divBdr>
        <w:top w:val="none" w:sz="0" w:space="0" w:color="auto"/>
        <w:left w:val="none" w:sz="0" w:space="0" w:color="auto"/>
        <w:bottom w:val="none" w:sz="0" w:space="0" w:color="auto"/>
        <w:right w:val="none" w:sz="0" w:space="0" w:color="auto"/>
      </w:divBdr>
    </w:div>
    <w:div w:id="930627093">
      <w:bodyDiv w:val="1"/>
      <w:marLeft w:val="0"/>
      <w:marRight w:val="0"/>
      <w:marTop w:val="0"/>
      <w:marBottom w:val="0"/>
      <w:divBdr>
        <w:top w:val="none" w:sz="0" w:space="0" w:color="auto"/>
        <w:left w:val="none" w:sz="0" w:space="0" w:color="auto"/>
        <w:bottom w:val="none" w:sz="0" w:space="0" w:color="auto"/>
        <w:right w:val="none" w:sz="0" w:space="0" w:color="auto"/>
      </w:divBdr>
    </w:div>
    <w:div w:id="933434500">
      <w:bodyDiv w:val="1"/>
      <w:marLeft w:val="0"/>
      <w:marRight w:val="0"/>
      <w:marTop w:val="0"/>
      <w:marBottom w:val="0"/>
      <w:divBdr>
        <w:top w:val="none" w:sz="0" w:space="0" w:color="auto"/>
        <w:left w:val="none" w:sz="0" w:space="0" w:color="auto"/>
        <w:bottom w:val="none" w:sz="0" w:space="0" w:color="auto"/>
        <w:right w:val="none" w:sz="0" w:space="0" w:color="auto"/>
      </w:divBdr>
    </w:div>
    <w:div w:id="942959280">
      <w:bodyDiv w:val="1"/>
      <w:marLeft w:val="0"/>
      <w:marRight w:val="0"/>
      <w:marTop w:val="0"/>
      <w:marBottom w:val="0"/>
      <w:divBdr>
        <w:top w:val="none" w:sz="0" w:space="0" w:color="auto"/>
        <w:left w:val="none" w:sz="0" w:space="0" w:color="auto"/>
        <w:bottom w:val="none" w:sz="0" w:space="0" w:color="auto"/>
        <w:right w:val="none" w:sz="0" w:space="0" w:color="auto"/>
      </w:divBdr>
      <w:divsChild>
        <w:div w:id="6520175">
          <w:marLeft w:val="0"/>
          <w:marRight w:val="0"/>
          <w:marTop w:val="0"/>
          <w:marBottom w:val="0"/>
          <w:divBdr>
            <w:top w:val="none" w:sz="0" w:space="0" w:color="auto"/>
            <w:left w:val="none" w:sz="0" w:space="0" w:color="auto"/>
            <w:bottom w:val="none" w:sz="0" w:space="0" w:color="auto"/>
            <w:right w:val="none" w:sz="0" w:space="0" w:color="auto"/>
          </w:divBdr>
        </w:div>
        <w:div w:id="1102577884">
          <w:marLeft w:val="0"/>
          <w:marRight w:val="0"/>
          <w:marTop w:val="0"/>
          <w:marBottom w:val="0"/>
          <w:divBdr>
            <w:top w:val="none" w:sz="0" w:space="0" w:color="auto"/>
            <w:left w:val="none" w:sz="0" w:space="0" w:color="auto"/>
            <w:bottom w:val="none" w:sz="0" w:space="0" w:color="auto"/>
            <w:right w:val="none" w:sz="0" w:space="0" w:color="auto"/>
          </w:divBdr>
        </w:div>
        <w:div w:id="1716660605">
          <w:marLeft w:val="0"/>
          <w:marRight w:val="0"/>
          <w:marTop w:val="0"/>
          <w:marBottom w:val="0"/>
          <w:divBdr>
            <w:top w:val="none" w:sz="0" w:space="0" w:color="auto"/>
            <w:left w:val="none" w:sz="0" w:space="0" w:color="auto"/>
            <w:bottom w:val="none" w:sz="0" w:space="0" w:color="auto"/>
            <w:right w:val="none" w:sz="0" w:space="0" w:color="auto"/>
          </w:divBdr>
        </w:div>
      </w:divsChild>
    </w:div>
    <w:div w:id="943419986">
      <w:bodyDiv w:val="1"/>
      <w:marLeft w:val="0"/>
      <w:marRight w:val="0"/>
      <w:marTop w:val="0"/>
      <w:marBottom w:val="0"/>
      <w:divBdr>
        <w:top w:val="none" w:sz="0" w:space="0" w:color="auto"/>
        <w:left w:val="none" w:sz="0" w:space="0" w:color="auto"/>
        <w:bottom w:val="none" w:sz="0" w:space="0" w:color="auto"/>
        <w:right w:val="none" w:sz="0" w:space="0" w:color="auto"/>
      </w:divBdr>
    </w:div>
    <w:div w:id="945498715">
      <w:bodyDiv w:val="1"/>
      <w:marLeft w:val="0"/>
      <w:marRight w:val="0"/>
      <w:marTop w:val="0"/>
      <w:marBottom w:val="0"/>
      <w:divBdr>
        <w:top w:val="none" w:sz="0" w:space="0" w:color="auto"/>
        <w:left w:val="none" w:sz="0" w:space="0" w:color="auto"/>
        <w:bottom w:val="none" w:sz="0" w:space="0" w:color="auto"/>
        <w:right w:val="none" w:sz="0" w:space="0" w:color="auto"/>
      </w:divBdr>
    </w:div>
    <w:div w:id="946499871">
      <w:bodyDiv w:val="1"/>
      <w:marLeft w:val="0"/>
      <w:marRight w:val="0"/>
      <w:marTop w:val="0"/>
      <w:marBottom w:val="0"/>
      <w:divBdr>
        <w:top w:val="none" w:sz="0" w:space="0" w:color="auto"/>
        <w:left w:val="none" w:sz="0" w:space="0" w:color="auto"/>
        <w:bottom w:val="none" w:sz="0" w:space="0" w:color="auto"/>
        <w:right w:val="none" w:sz="0" w:space="0" w:color="auto"/>
      </w:divBdr>
      <w:divsChild>
        <w:div w:id="531185739">
          <w:marLeft w:val="0"/>
          <w:marRight w:val="0"/>
          <w:marTop w:val="0"/>
          <w:marBottom w:val="0"/>
          <w:divBdr>
            <w:top w:val="none" w:sz="0" w:space="0" w:color="auto"/>
            <w:left w:val="none" w:sz="0" w:space="0" w:color="auto"/>
            <w:bottom w:val="none" w:sz="0" w:space="0" w:color="auto"/>
            <w:right w:val="none" w:sz="0" w:space="0" w:color="auto"/>
          </w:divBdr>
        </w:div>
        <w:div w:id="698237829">
          <w:marLeft w:val="0"/>
          <w:marRight w:val="0"/>
          <w:marTop w:val="0"/>
          <w:marBottom w:val="0"/>
          <w:divBdr>
            <w:top w:val="none" w:sz="0" w:space="0" w:color="auto"/>
            <w:left w:val="none" w:sz="0" w:space="0" w:color="auto"/>
            <w:bottom w:val="none" w:sz="0" w:space="0" w:color="auto"/>
            <w:right w:val="none" w:sz="0" w:space="0" w:color="auto"/>
          </w:divBdr>
        </w:div>
        <w:div w:id="1894534895">
          <w:marLeft w:val="0"/>
          <w:marRight w:val="0"/>
          <w:marTop w:val="0"/>
          <w:marBottom w:val="0"/>
          <w:divBdr>
            <w:top w:val="none" w:sz="0" w:space="0" w:color="auto"/>
            <w:left w:val="none" w:sz="0" w:space="0" w:color="auto"/>
            <w:bottom w:val="none" w:sz="0" w:space="0" w:color="auto"/>
            <w:right w:val="none" w:sz="0" w:space="0" w:color="auto"/>
          </w:divBdr>
        </w:div>
      </w:divsChild>
    </w:div>
    <w:div w:id="946813525">
      <w:bodyDiv w:val="1"/>
      <w:marLeft w:val="0"/>
      <w:marRight w:val="0"/>
      <w:marTop w:val="0"/>
      <w:marBottom w:val="0"/>
      <w:divBdr>
        <w:top w:val="none" w:sz="0" w:space="0" w:color="auto"/>
        <w:left w:val="none" w:sz="0" w:space="0" w:color="auto"/>
        <w:bottom w:val="none" w:sz="0" w:space="0" w:color="auto"/>
        <w:right w:val="none" w:sz="0" w:space="0" w:color="auto"/>
      </w:divBdr>
    </w:div>
    <w:div w:id="947738550">
      <w:bodyDiv w:val="1"/>
      <w:marLeft w:val="0"/>
      <w:marRight w:val="0"/>
      <w:marTop w:val="0"/>
      <w:marBottom w:val="0"/>
      <w:divBdr>
        <w:top w:val="none" w:sz="0" w:space="0" w:color="auto"/>
        <w:left w:val="none" w:sz="0" w:space="0" w:color="auto"/>
        <w:bottom w:val="none" w:sz="0" w:space="0" w:color="auto"/>
        <w:right w:val="none" w:sz="0" w:space="0" w:color="auto"/>
      </w:divBdr>
      <w:divsChild>
        <w:div w:id="966930240">
          <w:marLeft w:val="0"/>
          <w:marRight w:val="0"/>
          <w:marTop w:val="0"/>
          <w:marBottom w:val="0"/>
          <w:divBdr>
            <w:top w:val="none" w:sz="0" w:space="0" w:color="auto"/>
            <w:left w:val="none" w:sz="0" w:space="0" w:color="auto"/>
            <w:bottom w:val="none" w:sz="0" w:space="0" w:color="auto"/>
            <w:right w:val="none" w:sz="0" w:space="0" w:color="auto"/>
          </w:divBdr>
        </w:div>
        <w:div w:id="1185362722">
          <w:marLeft w:val="0"/>
          <w:marRight w:val="0"/>
          <w:marTop w:val="0"/>
          <w:marBottom w:val="0"/>
          <w:divBdr>
            <w:top w:val="none" w:sz="0" w:space="0" w:color="auto"/>
            <w:left w:val="none" w:sz="0" w:space="0" w:color="auto"/>
            <w:bottom w:val="none" w:sz="0" w:space="0" w:color="auto"/>
            <w:right w:val="none" w:sz="0" w:space="0" w:color="auto"/>
          </w:divBdr>
        </w:div>
      </w:divsChild>
    </w:div>
    <w:div w:id="950169031">
      <w:bodyDiv w:val="1"/>
      <w:marLeft w:val="0"/>
      <w:marRight w:val="0"/>
      <w:marTop w:val="0"/>
      <w:marBottom w:val="0"/>
      <w:divBdr>
        <w:top w:val="none" w:sz="0" w:space="0" w:color="auto"/>
        <w:left w:val="none" w:sz="0" w:space="0" w:color="auto"/>
        <w:bottom w:val="none" w:sz="0" w:space="0" w:color="auto"/>
        <w:right w:val="none" w:sz="0" w:space="0" w:color="auto"/>
      </w:divBdr>
    </w:div>
    <w:div w:id="955723261">
      <w:bodyDiv w:val="1"/>
      <w:marLeft w:val="0"/>
      <w:marRight w:val="0"/>
      <w:marTop w:val="0"/>
      <w:marBottom w:val="0"/>
      <w:divBdr>
        <w:top w:val="none" w:sz="0" w:space="0" w:color="auto"/>
        <w:left w:val="none" w:sz="0" w:space="0" w:color="auto"/>
        <w:bottom w:val="none" w:sz="0" w:space="0" w:color="auto"/>
        <w:right w:val="none" w:sz="0" w:space="0" w:color="auto"/>
      </w:divBdr>
      <w:divsChild>
        <w:div w:id="56853953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963925306">
      <w:bodyDiv w:val="1"/>
      <w:marLeft w:val="0"/>
      <w:marRight w:val="0"/>
      <w:marTop w:val="0"/>
      <w:marBottom w:val="0"/>
      <w:divBdr>
        <w:top w:val="none" w:sz="0" w:space="0" w:color="auto"/>
        <w:left w:val="none" w:sz="0" w:space="0" w:color="auto"/>
        <w:bottom w:val="none" w:sz="0" w:space="0" w:color="auto"/>
        <w:right w:val="none" w:sz="0" w:space="0" w:color="auto"/>
      </w:divBdr>
      <w:divsChild>
        <w:div w:id="858083558">
          <w:marLeft w:val="0"/>
          <w:marRight w:val="0"/>
          <w:marTop w:val="0"/>
          <w:marBottom w:val="0"/>
          <w:divBdr>
            <w:top w:val="none" w:sz="0" w:space="0" w:color="auto"/>
            <w:left w:val="none" w:sz="0" w:space="0" w:color="auto"/>
            <w:bottom w:val="none" w:sz="0" w:space="0" w:color="auto"/>
            <w:right w:val="none" w:sz="0" w:space="0" w:color="auto"/>
          </w:divBdr>
        </w:div>
        <w:div w:id="1098258335">
          <w:marLeft w:val="0"/>
          <w:marRight w:val="0"/>
          <w:marTop w:val="0"/>
          <w:marBottom w:val="0"/>
          <w:divBdr>
            <w:top w:val="none" w:sz="0" w:space="0" w:color="auto"/>
            <w:left w:val="none" w:sz="0" w:space="0" w:color="auto"/>
            <w:bottom w:val="none" w:sz="0" w:space="0" w:color="auto"/>
            <w:right w:val="none" w:sz="0" w:space="0" w:color="auto"/>
          </w:divBdr>
        </w:div>
      </w:divsChild>
    </w:div>
    <w:div w:id="969557482">
      <w:bodyDiv w:val="1"/>
      <w:marLeft w:val="0"/>
      <w:marRight w:val="0"/>
      <w:marTop w:val="0"/>
      <w:marBottom w:val="0"/>
      <w:divBdr>
        <w:top w:val="none" w:sz="0" w:space="0" w:color="auto"/>
        <w:left w:val="none" w:sz="0" w:space="0" w:color="auto"/>
        <w:bottom w:val="none" w:sz="0" w:space="0" w:color="auto"/>
        <w:right w:val="none" w:sz="0" w:space="0" w:color="auto"/>
      </w:divBdr>
      <w:divsChild>
        <w:div w:id="1842815967">
          <w:marLeft w:val="0"/>
          <w:marRight w:val="0"/>
          <w:marTop w:val="0"/>
          <w:marBottom w:val="0"/>
          <w:divBdr>
            <w:top w:val="none" w:sz="0" w:space="0" w:color="auto"/>
            <w:left w:val="none" w:sz="0" w:space="0" w:color="auto"/>
            <w:bottom w:val="none" w:sz="0" w:space="0" w:color="auto"/>
            <w:right w:val="none" w:sz="0" w:space="0" w:color="auto"/>
          </w:divBdr>
        </w:div>
        <w:div w:id="2050185438">
          <w:marLeft w:val="0"/>
          <w:marRight w:val="0"/>
          <w:marTop w:val="0"/>
          <w:marBottom w:val="0"/>
          <w:divBdr>
            <w:top w:val="none" w:sz="0" w:space="0" w:color="auto"/>
            <w:left w:val="none" w:sz="0" w:space="0" w:color="auto"/>
            <w:bottom w:val="none" w:sz="0" w:space="0" w:color="auto"/>
            <w:right w:val="none" w:sz="0" w:space="0" w:color="auto"/>
          </w:divBdr>
        </w:div>
      </w:divsChild>
    </w:div>
    <w:div w:id="971595594">
      <w:bodyDiv w:val="1"/>
      <w:marLeft w:val="0"/>
      <w:marRight w:val="0"/>
      <w:marTop w:val="0"/>
      <w:marBottom w:val="0"/>
      <w:divBdr>
        <w:top w:val="none" w:sz="0" w:space="0" w:color="auto"/>
        <w:left w:val="none" w:sz="0" w:space="0" w:color="auto"/>
        <w:bottom w:val="none" w:sz="0" w:space="0" w:color="auto"/>
        <w:right w:val="none" w:sz="0" w:space="0" w:color="auto"/>
      </w:divBdr>
      <w:divsChild>
        <w:div w:id="1023556957">
          <w:marLeft w:val="0"/>
          <w:marRight w:val="0"/>
          <w:marTop w:val="0"/>
          <w:marBottom w:val="0"/>
          <w:divBdr>
            <w:top w:val="none" w:sz="0" w:space="0" w:color="auto"/>
            <w:left w:val="none" w:sz="0" w:space="0" w:color="auto"/>
            <w:bottom w:val="none" w:sz="0" w:space="0" w:color="auto"/>
            <w:right w:val="none" w:sz="0" w:space="0" w:color="auto"/>
          </w:divBdr>
        </w:div>
        <w:div w:id="1925794082">
          <w:marLeft w:val="0"/>
          <w:marRight w:val="0"/>
          <w:marTop w:val="0"/>
          <w:marBottom w:val="0"/>
          <w:divBdr>
            <w:top w:val="none" w:sz="0" w:space="0" w:color="auto"/>
            <w:left w:val="none" w:sz="0" w:space="0" w:color="auto"/>
            <w:bottom w:val="none" w:sz="0" w:space="0" w:color="auto"/>
            <w:right w:val="none" w:sz="0" w:space="0" w:color="auto"/>
          </w:divBdr>
        </w:div>
      </w:divsChild>
    </w:div>
    <w:div w:id="972253695">
      <w:bodyDiv w:val="1"/>
      <w:marLeft w:val="0"/>
      <w:marRight w:val="0"/>
      <w:marTop w:val="0"/>
      <w:marBottom w:val="0"/>
      <w:divBdr>
        <w:top w:val="none" w:sz="0" w:space="0" w:color="auto"/>
        <w:left w:val="none" w:sz="0" w:space="0" w:color="auto"/>
        <w:bottom w:val="none" w:sz="0" w:space="0" w:color="auto"/>
        <w:right w:val="none" w:sz="0" w:space="0" w:color="auto"/>
      </w:divBdr>
    </w:div>
    <w:div w:id="978152445">
      <w:bodyDiv w:val="1"/>
      <w:marLeft w:val="0"/>
      <w:marRight w:val="0"/>
      <w:marTop w:val="0"/>
      <w:marBottom w:val="0"/>
      <w:divBdr>
        <w:top w:val="none" w:sz="0" w:space="0" w:color="auto"/>
        <w:left w:val="none" w:sz="0" w:space="0" w:color="auto"/>
        <w:bottom w:val="none" w:sz="0" w:space="0" w:color="auto"/>
        <w:right w:val="none" w:sz="0" w:space="0" w:color="auto"/>
      </w:divBdr>
      <w:divsChild>
        <w:div w:id="433013356">
          <w:marLeft w:val="0"/>
          <w:marRight w:val="0"/>
          <w:marTop w:val="0"/>
          <w:marBottom w:val="0"/>
          <w:divBdr>
            <w:top w:val="none" w:sz="0" w:space="0" w:color="auto"/>
            <w:left w:val="none" w:sz="0" w:space="0" w:color="auto"/>
            <w:bottom w:val="none" w:sz="0" w:space="0" w:color="auto"/>
            <w:right w:val="none" w:sz="0" w:space="0" w:color="auto"/>
          </w:divBdr>
        </w:div>
        <w:div w:id="633485383">
          <w:marLeft w:val="0"/>
          <w:marRight w:val="0"/>
          <w:marTop w:val="0"/>
          <w:marBottom w:val="0"/>
          <w:divBdr>
            <w:top w:val="none" w:sz="0" w:space="0" w:color="auto"/>
            <w:left w:val="none" w:sz="0" w:space="0" w:color="auto"/>
            <w:bottom w:val="none" w:sz="0" w:space="0" w:color="auto"/>
            <w:right w:val="none" w:sz="0" w:space="0" w:color="auto"/>
          </w:divBdr>
        </w:div>
      </w:divsChild>
    </w:div>
    <w:div w:id="984705445">
      <w:bodyDiv w:val="1"/>
      <w:marLeft w:val="0"/>
      <w:marRight w:val="0"/>
      <w:marTop w:val="0"/>
      <w:marBottom w:val="0"/>
      <w:divBdr>
        <w:top w:val="none" w:sz="0" w:space="0" w:color="auto"/>
        <w:left w:val="none" w:sz="0" w:space="0" w:color="auto"/>
        <w:bottom w:val="none" w:sz="0" w:space="0" w:color="auto"/>
        <w:right w:val="none" w:sz="0" w:space="0" w:color="auto"/>
      </w:divBdr>
    </w:div>
    <w:div w:id="984816310">
      <w:bodyDiv w:val="1"/>
      <w:marLeft w:val="0"/>
      <w:marRight w:val="0"/>
      <w:marTop w:val="0"/>
      <w:marBottom w:val="0"/>
      <w:divBdr>
        <w:top w:val="none" w:sz="0" w:space="0" w:color="auto"/>
        <w:left w:val="none" w:sz="0" w:space="0" w:color="auto"/>
        <w:bottom w:val="none" w:sz="0" w:space="0" w:color="auto"/>
        <w:right w:val="none" w:sz="0" w:space="0" w:color="auto"/>
      </w:divBdr>
      <w:divsChild>
        <w:div w:id="341973212">
          <w:marLeft w:val="0"/>
          <w:marRight w:val="0"/>
          <w:marTop w:val="0"/>
          <w:marBottom w:val="0"/>
          <w:divBdr>
            <w:top w:val="none" w:sz="0" w:space="0" w:color="auto"/>
            <w:left w:val="none" w:sz="0" w:space="0" w:color="auto"/>
            <w:bottom w:val="none" w:sz="0" w:space="0" w:color="auto"/>
            <w:right w:val="none" w:sz="0" w:space="0" w:color="auto"/>
          </w:divBdr>
          <w:divsChild>
            <w:div w:id="182673282">
              <w:marLeft w:val="0"/>
              <w:marRight w:val="0"/>
              <w:marTop w:val="0"/>
              <w:marBottom w:val="0"/>
              <w:divBdr>
                <w:top w:val="none" w:sz="0" w:space="0" w:color="auto"/>
                <w:left w:val="none" w:sz="0" w:space="0" w:color="auto"/>
                <w:bottom w:val="none" w:sz="0" w:space="0" w:color="auto"/>
                <w:right w:val="none" w:sz="0" w:space="0" w:color="auto"/>
              </w:divBdr>
            </w:div>
            <w:div w:id="616371815">
              <w:marLeft w:val="0"/>
              <w:marRight w:val="0"/>
              <w:marTop w:val="0"/>
              <w:marBottom w:val="0"/>
              <w:divBdr>
                <w:top w:val="none" w:sz="0" w:space="0" w:color="auto"/>
                <w:left w:val="none" w:sz="0" w:space="0" w:color="auto"/>
                <w:bottom w:val="none" w:sz="0" w:space="0" w:color="auto"/>
                <w:right w:val="none" w:sz="0" w:space="0" w:color="auto"/>
              </w:divBdr>
            </w:div>
          </w:divsChild>
        </w:div>
        <w:div w:id="1113590976">
          <w:marLeft w:val="0"/>
          <w:marRight w:val="0"/>
          <w:marTop w:val="0"/>
          <w:marBottom w:val="0"/>
          <w:divBdr>
            <w:top w:val="none" w:sz="0" w:space="0" w:color="auto"/>
            <w:left w:val="none" w:sz="0" w:space="0" w:color="auto"/>
            <w:bottom w:val="none" w:sz="0" w:space="0" w:color="auto"/>
            <w:right w:val="none" w:sz="0" w:space="0" w:color="auto"/>
          </w:divBdr>
        </w:div>
      </w:divsChild>
    </w:div>
    <w:div w:id="987324000">
      <w:bodyDiv w:val="1"/>
      <w:marLeft w:val="0"/>
      <w:marRight w:val="0"/>
      <w:marTop w:val="0"/>
      <w:marBottom w:val="0"/>
      <w:divBdr>
        <w:top w:val="none" w:sz="0" w:space="0" w:color="auto"/>
        <w:left w:val="none" w:sz="0" w:space="0" w:color="auto"/>
        <w:bottom w:val="none" w:sz="0" w:space="0" w:color="auto"/>
        <w:right w:val="none" w:sz="0" w:space="0" w:color="auto"/>
      </w:divBdr>
      <w:divsChild>
        <w:div w:id="261643904">
          <w:marLeft w:val="0"/>
          <w:marRight w:val="0"/>
          <w:marTop w:val="0"/>
          <w:marBottom w:val="0"/>
          <w:divBdr>
            <w:top w:val="none" w:sz="0" w:space="0" w:color="auto"/>
            <w:left w:val="none" w:sz="0" w:space="0" w:color="auto"/>
            <w:bottom w:val="none" w:sz="0" w:space="0" w:color="auto"/>
            <w:right w:val="none" w:sz="0" w:space="0" w:color="auto"/>
          </w:divBdr>
        </w:div>
        <w:div w:id="513612139">
          <w:marLeft w:val="0"/>
          <w:marRight w:val="0"/>
          <w:marTop w:val="0"/>
          <w:marBottom w:val="0"/>
          <w:divBdr>
            <w:top w:val="none" w:sz="0" w:space="0" w:color="auto"/>
            <w:left w:val="none" w:sz="0" w:space="0" w:color="auto"/>
            <w:bottom w:val="none" w:sz="0" w:space="0" w:color="auto"/>
            <w:right w:val="none" w:sz="0" w:space="0" w:color="auto"/>
          </w:divBdr>
        </w:div>
        <w:div w:id="1733767042">
          <w:marLeft w:val="0"/>
          <w:marRight w:val="0"/>
          <w:marTop w:val="0"/>
          <w:marBottom w:val="0"/>
          <w:divBdr>
            <w:top w:val="none" w:sz="0" w:space="0" w:color="auto"/>
            <w:left w:val="none" w:sz="0" w:space="0" w:color="auto"/>
            <w:bottom w:val="none" w:sz="0" w:space="0" w:color="auto"/>
            <w:right w:val="none" w:sz="0" w:space="0" w:color="auto"/>
          </w:divBdr>
        </w:div>
      </w:divsChild>
    </w:div>
    <w:div w:id="994185713">
      <w:bodyDiv w:val="1"/>
      <w:marLeft w:val="0"/>
      <w:marRight w:val="0"/>
      <w:marTop w:val="0"/>
      <w:marBottom w:val="0"/>
      <w:divBdr>
        <w:top w:val="none" w:sz="0" w:space="0" w:color="auto"/>
        <w:left w:val="none" w:sz="0" w:space="0" w:color="auto"/>
        <w:bottom w:val="none" w:sz="0" w:space="0" w:color="auto"/>
        <w:right w:val="none" w:sz="0" w:space="0" w:color="auto"/>
      </w:divBdr>
    </w:div>
    <w:div w:id="995499332">
      <w:bodyDiv w:val="1"/>
      <w:marLeft w:val="0"/>
      <w:marRight w:val="0"/>
      <w:marTop w:val="0"/>
      <w:marBottom w:val="0"/>
      <w:divBdr>
        <w:top w:val="none" w:sz="0" w:space="0" w:color="auto"/>
        <w:left w:val="none" w:sz="0" w:space="0" w:color="auto"/>
        <w:bottom w:val="none" w:sz="0" w:space="0" w:color="auto"/>
        <w:right w:val="none" w:sz="0" w:space="0" w:color="auto"/>
      </w:divBdr>
    </w:div>
    <w:div w:id="995915233">
      <w:bodyDiv w:val="1"/>
      <w:marLeft w:val="0"/>
      <w:marRight w:val="0"/>
      <w:marTop w:val="0"/>
      <w:marBottom w:val="0"/>
      <w:divBdr>
        <w:top w:val="none" w:sz="0" w:space="0" w:color="auto"/>
        <w:left w:val="none" w:sz="0" w:space="0" w:color="auto"/>
        <w:bottom w:val="none" w:sz="0" w:space="0" w:color="auto"/>
        <w:right w:val="none" w:sz="0" w:space="0" w:color="auto"/>
      </w:divBdr>
      <w:divsChild>
        <w:div w:id="1224680092">
          <w:marLeft w:val="0"/>
          <w:marRight w:val="0"/>
          <w:marTop w:val="0"/>
          <w:marBottom w:val="0"/>
          <w:divBdr>
            <w:top w:val="none" w:sz="0" w:space="0" w:color="auto"/>
            <w:left w:val="none" w:sz="0" w:space="0" w:color="auto"/>
            <w:bottom w:val="none" w:sz="0" w:space="0" w:color="auto"/>
            <w:right w:val="none" w:sz="0" w:space="0" w:color="auto"/>
          </w:divBdr>
        </w:div>
        <w:div w:id="2081757177">
          <w:marLeft w:val="0"/>
          <w:marRight w:val="0"/>
          <w:marTop w:val="0"/>
          <w:marBottom w:val="0"/>
          <w:divBdr>
            <w:top w:val="none" w:sz="0" w:space="0" w:color="auto"/>
            <w:left w:val="none" w:sz="0" w:space="0" w:color="auto"/>
            <w:bottom w:val="none" w:sz="0" w:space="0" w:color="auto"/>
            <w:right w:val="none" w:sz="0" w:space="0" w:color="auto"/>
          </w:divBdr>
        </w:div>
      </w:divsChild>
    </w:div>
    <w:div w:id="998968420">
      <w:bodyDiv w:val="1"/>
      <w:marLeft w:val="0"/>
      <w:marRight w:val="0"/>
      <w:marTop w:val="0"/>
      <w:marBottom w:val="0"/>
      <w:divBdr>
        <w:top w:val="none" w:sz="0" w:space="0" w:color="auto"/>
        <w:left w:val="none" w:sz="0" w:space="0" w:color="auto"/>
        <w:bottom w:val="none" w:sz="0" w:space="0" w:color="auto"/>
        <w:right w:val="none" w:sz="0" w:space="0" w:color="auto"/>
      </w:divBdr>
      <w:divsChild>
        <w:div w:id="451365511">
          <w:marLeft w:val="0"/>
          <w:marRight w:val="0"/>
          <w:marTop w:val="0"/>
          <w:marBottom w:val="0"/>
          <w:divBdr>
            <w:top w:val="none" w:sz="0" w:space="0" w:color="auto"/>
            <w:left w:val="none" w:sz="0" w:space="0" w:color="auto"/>
            <w:bottom w:val="none" w:sz="0" w:space="0" w:color="auto"/>
            <w:right w:val="none" w:sz="0" w:space="0" w:color="auto"/>
          </w:divBdr>
        </w:div>
        <w:div w:id="935794280">
          <w:marLeft w:val="0"/>
          <w:marRight w:val="0"/>
          <w:marTop w:val="0"/>
          <w:marBottom w:val="0"/>
          <w:divBdr>
            <w:top w:val="none" w:sz="0" w:space="0" w:color="auto"/>
            <w:left w:val="none" w:sz="0" w:space="0" w:color="auto"/>
            <w:bottom w:val="none" w:sz="0" w:space="0" w:color="auto"/>
            <w:right w:val="none" w:sz="0" w:space="0" w:color="auto"/>
          </w:divBdr>
        </w:div>
        <w:div w:id="1002899386">
          <w:marLeft w:val="0"/>
          <w:marRight w:val="0"/>
          <w:marTop w:val="0"/>
          <w:marBottom w:val="0"/>
          <w:divBdr>
            <w:top w:val="none" w:sz="0" w:space="0" w:color="auto"/>
            <w:left w:val="none" w:sz="0" w:space="0" w:color="auto"/>
            <w:bottom w:val="none" w:sz="0" w:space="0" w:color="auto"/>
            <w:right w:val="none" w:sz="0" w:space="0" w:color="auto"/>
          </w:divBdr>
        </w:div>
        <w:div w:id="1995601426">
          <w:marLeft w:val="0"/>
          <w:marRight w:val="0"/>
          <w:marTop w:val="0"/>
          <w:marBottom w:val="0"/>
          <w:divBdr>
            <w:top w:val="none" w:sz="0" w:space="0" w:color="auto"/>
            <w:left w:val="none" w:sz="0" w:space="0" w:color="auto"/>
            <w:bottom w:val="none" w:sz="0" w:space="0" w:color="auto"/>
            <w:right w:val="none" w:sz="0" w:space="0" w:color="auto"/>
          </w:divBdr>
        </w:div>
        <w:div w:id="2030981229">
          <w:marLeft w:val="0"/>
          <w:marRight w:val="0"/>
          <w:marTop w:val="0"/>
          <w:marBottom w:val="0"/>
          <w:divBdr>
            <w:top w:val="none" w:sz="0" w:space="0" w:color="auto"/>
            <w:left w:val="none" w:sz="0" w:space="0" w:color="auto"/>
            <w:bottom w:val="none" w:sz="0" w:space="0" w:color="auto"/>
            <w:right w:val="none" w:sz="0" w:space="0" w:color="auto"/>
          </w:divBdr>
        </w:div>
      </w:divsChild>
    </w:div>
    <w:div w:id="1006783000">
      <w:bodyDiv w:val="1"/>
      <w:marLeft w:val="0"/>
      <w:marRight w:val="0"/>
      <w:marTop w:val="0"/>
      <w:marBottom w:val="0"/>
      <w:divBdr>
        <w:top w:val="none" w:sz="0" w:space="0" w:color="auto"/>
        <w:left w:val="none" w:sz="0" w:space="0" w:color="auto"/>
        <w:bottom w:val="none" w:sz="0" w:space="0" w:color="auto"/>
        <w:right w:val="none" w:sz="0" w:space="0" w:color="auto"/>
      </w:divBdr>
    </w:div>
    <w:div w:id="1006980031">
      <w:bodyDiv w:val="1"/>
      <w:marLeft w:val="0"/>
      <w:marRight w:val="0"/>
      <w:marTop w:val="0"/>
      <w:marBottom w:val="0"/>
      <w:divBdr>
        <w:top w:val="none" w:sz="0" w:space="0" w:color="auto"/>
        <w:left w:val="none" w:sz="0" w:space="0" w:color="auto"/>
        <w:bottom w:val="none" w:sz="0" w:space="0" w:color="auto"/>
        <w:right w:val="none" w:sz="0" w:space="0" w:color="auto"/>
      </w:divBdr>
      <w:divsChild>
        <w:div w:id="832183863">
          <w:marLeft w:val="0"/>
          <w:marRight w:val="0"/>
          <w:marTop w:val="0"/>
          <w:marBottom w:val="0"/>
          <w:divBdr>
            <w:top w:val="none" w:sz="0" w:space="0" w:color="auto"/>
            <w:left w:val="none" w:sz="0" w:space="0" w:color="auto"/>
            <w:bottom w:val="none" w:sz="0" w:space="0" w:color="auto"/>
            <w:right w:val="none" w:sz="0" w:space="0" w:color="auto"/>
          </w:divBdr>
        </w:div>
        <w:div w:id="1043408430">
          <w:marLeft w:val="0"/>
          <w:marRight w:val="0"/>
          <w:marTop w:val="0"/>
          <w:marBottom w:val="0"/>
          <w:divBdr>
            <w:top w:val="none" w:sz="0" w:space="0" w:color="auto"/>
            <w:left w:val="none" w:sz="0" w:space="0" w:color="auto"/>
            <w:bottom w:val="none" w:sz="0" w:space="0" w:color="auto"/>
            <w:right w:val="none" w:sz="0" w:space="0" w:color="auto"/>
          </w:divBdr>
        </w:div>
      </w:divsChild>
    </w:div>
    <w:div w:id="1009793398">
      <w:bodyDiv w:val="1"/>
      <w:marLeft w:val="0"/>
      <w:marRight w:val="0"/>
      <w:marTop w:val="0"/>
      <w:marBottom w:val="0"/>
      <w:divBdr>
        <w:top w:val="none" w:sz="0" w:space="0" w:color="auto"/>
        <w:left w:val="none" w:sz="0" w:space="0" w:color="auto"/>
        <w:bottom w:val="none" w:sz="0" w:space="0" w:color="auto"/>
        <w:right w:val="none" w:sz="0" w:space="0" w:color="auto"/>
      </w:divBdr>
      <w:divsChild>
        <w:div w:id="245119417">
          <w:marLeft w:val="0"/>
          <w:marRight w:val="0"/>
          <w:marTop w:val="0"/>
          <w:marBottom w:val="0"/>
          <w:divBdr>
            <w:top w:val="none" w:sz="0" w:space="0" w:color="auto"/>
            <w:left w:val="none" w:sz="0" w:space="0" w:color="auto"/>
            <w:bottom w:val="none" w:sz="0" w:space="0" w:color="auto"/>
            <w:right w:val="none" w:sz="0" w:space="0" w:color="auto"/>
          </w:divBdr>
        </w:div>
        <w:div w:id="323702054">
          <w:marLeft w:val="0"/>
          <w:marRight w:val="0"/>
          <w:marTop w:val="0"/>
          <w:marBottom w:val="0"/>
          <w:divBdr>
            <w:top w:val="none" w:sz="0" w:space="0" w:color="auto"/>
            <w:left w:val="none" w:sz="0" w:space="0" w:color="auto"/>
            <w:bottom w:val="none" w:sz="0" w:space="0" w:color="auto"/>
            <w:right w:val="none" w:sz="0" w:space="0" w:color="auto"/>
          </w:divBdr>
        </w:div>
        <w:div w:id="411127144">
          <w:marLeft w:val="0"/>
          <w:marRight w:val="0"/>
          <w:marTop w:val="0"/>
          <w:marBottom w:val="0"/>
          <w:divBdr>
            <w:top w:val="none" w:sz="0" w:space="0" w:color="auto"/>
            <w:left w:val="none" w:sz="0" w:space="0" w:color="auto"/>
            <w:bottom w:val="none" w:sz="0" w:space="0" w:color="auto"/>
            <w:right w:val="none" w:sz="0" w:space="0" w:color="auto"/>
          </w:divBdr>
        </w:div>
        <w:div w:id="753862978">
          <w:marLeft w:val="0"/>
          <w:marRight w:val="0"/>
          <w:marTop w:val="0"/>
          <w:marBottom w:val="0"/>
          <w:divBdr>
            <w:top w:val="none" w:sz="0" w:space="0" w:color="auto"/>
            <w:left w:val="none" w:sz="0" w:space="0" w:color="auto"/>
            <w:bottom w:val="none" w:sz="0" w:space="0" w:color="auto"/>
            <w:right w:val="none" w:sz="0" w:space="0" w:color="auto"/>
          </w:divBdr>
        </w:div>
        <w:div w:id="1518694955">
          <w:marLeft w:val="0"/>
          <w:marRight w:val="0"/>
          <w:marTop w:val="0"/>
          <w:marBottom w:val="0"/>
          <w:divBdr>
            <w:top w:val="none" w:sz="0" w:space="0" w:color="auto"/>
            <w:left w:val="none" w:sz="0" w:space="0" w:color="auto"/>
            <w:bottom w:val="none" w:sz="0" w:space="0" w:color="auto"/>
            <w:right w:val="none" w:sz="0" w:space="0" w:color="auto"/>
          </w:divBdr>
        </w:div>
        <w:div w:id="2139955643">
          <w:marLeft w:val="0"/>
          <w:marRight w:val="0"/>
          <w:marTop w:val="0"/>
          <w:marBottom w:val="0"/>
          <w:divBdr>
            <w:top w:val="none" w:sz="0" w:space="0" w:color="auto"/>
            <w:left w:val="none" w:sz="0" w:space="0" w:color="auto"/>
            <w:bottom w:val="none" w:sz="0" w:space="0" w:color="auto"/>
            <w:right w:val="none" w:sz="0" w:space="0" w:color="auto"/>
          </w:divBdr>
        </w:div>
      </w:divsChild>
    </w:div>
    <w:div w:id="1011252621">
      <w:bodyDiv w:val="1"/>
      <w:marLeft w:val="0"/>
      <w:marRight w:val="0"/>
      <w:marTop w:val="0"/>
      <w:marBottom w:val="0"/>
      <w:divBdr>
        <w:top w:val="none" w:sz="0" w:space="0" w:color="auto"/>
        <w:left w:val="none" w:sz="0" w:space="0" w:color="auto"/>
        <w:bottom w:val="none" w:sz="0" w:space="0" w:color="auto"/>
        <w:right w:val="none" w:sz="0" w:space="0" w:color="auto"/>
      </w:divBdr>
    </w:div>
    <w:div w:id="1011300151">
      <w:bodyDiv w:val="1"/>
      <w:marLeft w:val="0"/>
      <w:marRight w:val="0"/>
      <w:marTop w:val="0"/>
      <w:marBottom w:val="0"/>
      <w:divBdr>
        <w:top w:val="none" w:sz="0" w:space="0" w:color="auto"/>
        <w:left w:val="none" w:sz="0" w:space="0" w:color="auto"/>
        <w:bottom w:val="none" w:sz="0" w:space="0" w:color="auto"/>
        <w:right w:val="none" w:sz="0" w:space="0" w:color="auto"/>
      </w:divBdr>
    </w:div>
    <w:div w:id="1012301062">
      <w:bodyDiv w:val="1"/>
      <w:marLeft w:val="0"/>
      <w:marRight w:val="0"/>
      <w:marTop w:val="0"/>
      <w:marBottom w:val="0"/>
      <w:divBdr>
        <w:top w:val="none" w:sz="0" w:space="0" w:color="auto"/>
        <w:left w:val="none" w:sz="0" w:space="0" w:color="auto"/>
        <w:bottom w:val="none" w:sz="0" w:space="0" w:color="auto"/>
        <w:right w:val="none" w:sz="0" w:space="0" w:color="auto"/>
      </w:divBdr>
      <w:divsChild>
        <w:div w:id="3287459">
          <w:marLeft w:val="0"/>
          <w:marRight w:val="0"/>
          <w:marTop w:val="0"/>
          <w:marBottom w:val="0"/>
          <w:divBdr>
            <w:top w:val="none" w:sz="0" w:space="0" w:color="auto"/>
            <w:left w:val="none" w:sz="0" w:space="0" w:color="auto"/>
            <w:bottom w:val="none" w:sz="0" w:space="0" w:color="auto"/>
            <w:right w:val="none" w:sz="0" w:space="0" w:color="auto"/>
          </w:divBdr>
        </w:div>
        <w:div w:id="1671954614">
          <w:marLeft w:val="0"/>
          <w:marRight w:val="0"/>
          <w:marTop w:val="0"/>
          <w:marBottom w:val="0"/>
          <w:divBdr>
            <w:top w:val="none" w:sz="0" w:space="0" w:color="auto"/>
            <w:left w:val="none" w:sz="0" w:space="0" w:color="auto"/>
            <w:bottom w:val="none" w:sz="0" w:space="0" w:color="auto"/>
            <w:right w:val="none" w:sz="0" w:space="0" w:color="auto"/>
          </w:divBdr>
        </w:div>
      </w:divsChild>
    </w:div>
    <w:div w:id="1013648902">
      <w:bodyDiv w:val="1"/>
      <w:marLeft w:val="0"/>
      <w:marRight w:val="0"/>
      <w:marTop w:val="0"/>
      <w:marBottom w:val="0"/>
      <w:divBdr>
        <w:top w:val="none" w:sz="0" w:space="0" w:color="auto"/>
        <w:left w:val="none" w:sz="0" w:space="0" w:color="auto"/>
        <w:bottom w:val="none" w:sz="0" w:space="0" w:color="auto"/>
        <w:right w:val="none" w:sz="0" w:space="0" w:color="auto"/>
      </w:divBdr>
      <w:divsChild>
        <w:div w:id="388962934">
          <w:marLeft w:val="0"/>
          <w:marRight w:val="0"/>
          <w:marTop w:val="0"/>
          <w:marBottom w:val="0"/>
          <w:divBdr>
            <w:top w:val="none" w:sz="0" w:space="0" w:color="auto"/>
            <w:left w:val="none" w:sz="0" w:space="0" w:color="auto"/>
            <w:bottom w:val="none" w:sz="0" w:space="0" w:color="auto"/>
            <w:right w:val="none" w:sz="0" w:space="0" w:color="auto"/>
          </w:divBdr>
        </w:div>
        <w:div w:id="643394324">
          <w:marLeft w:val="0"/>
          <w:marRight w:val="0"/>
          <w:marTop w:val="0"/>
          <w:marBottom w:val="0"/>
          <w:divBdr>
            <w:top w:val="none" w:sz="0" w:space="0" w:color="auto"/>
            <w:left w:val="none" w:sz="0" w:space="0" w:color="auto"/>
            <w:bottom w:val="none" w:sz="0" w:space="0" w:color="auto"/>
            <w:right w:val="none" w:sz="0" w:space="0" w:color="auto"/>
          </w:divBdr>
        </w:div>
        <w:div w:id="1250386538">
          <w:marLeft w:val="0"/>
          <w:marRight w:val="0"/>
          <w:marTop w:val="0"/>
          <w:marBottom w:val="0"/>
          <w:divBdr>
            <w:top w:val="none" w:sz="0" w:space="0" w:color="auto"/>
            <w:left w:val="none" w:sz="0" w:space="0" w:color="auto"/>
            <w:bottom w:val="none" w:sz="0" w:space="0" w:color="auto"/>
            <w:right w:val="none" w:sz="0" w:space="0" w:color="auto"/>
          </w:divBdr>
        </w:div>
      </w:divsChild>
    </w:div>
    <w:div w:id="1021277457">
      <w:bodyDiv w:val="1"/>
      <w:marLeft w:val="0"/>
      <w:marRight w:val="0"/>
      <w:marTop w:val="0"/>
      <w:marBottom w:val="0"/>
      <w:divBdr>
        <w:top w:val="none" w:sz="0" w:space="0" w:color="auto"/>
        <w:left w:val="none" w:sz="0" w:space="0" w:color="auto"/>
        <w:bottom w:val="none" w:sz="0" w:space="0" w:color="auto"/>
        <w:right w:val="none" w:sz="0" w:space="0" w:color="auto"/>
      </w:divBdr>
    </w:div>
    <w:div w:id="1021397793">
      <w:bodyDiv w:val="1"/>
      <w:marLeft w:val="0"/>
      <w:marRight w:val="0"/>
      <w:marTop w:val="0"/>
      <w:marBottom w:val="0"/>
      <w:divBdr>
        <w:top w:val="none" w:sz="0" w:space="0" w:color="auto"/>
        <w:left w:val="none" w:sz="0" w:space="0" w:color="auto"/>
        <w:bottom w:val="none" w:sz="0" w:space="0" w:color="auto"/>
        <w:right w:val="none" w:sz="0" w:space="0" w:color="auto"/>
      </w:divBdr>
    </w:div>
    <w:div w:id="1028095644">
      <w:bodyDiv w:val="1"/>
      <w:marLeft w:val="0"/>
      <w:marRight w:val="0"/>
      <w:marTop w:val="0"/>
      <w:marBottom w:val="0"/>
      <w:divBdr>
        <w:top w:val="none" w:sz="0" w:space="0" w:color="auto"/>
        <w:left w:val="none" w:sz="0" w:space="0" w:color="auto"/>
        <w:bottom w:val="none" w:sz="0" w:space="0" w:color="auto"/>
        <w:right w:val="none" w:sz="0" w:space="0" w:color="auto"/>
      </w:divBdr>
      <w:divsChild>
        <w:div w:id="838079349">
          <w:marLeft w:val="0"/>
          <w:marRight w:val="0"/>
          <w:marTop w:val="0"/>
          <w:marBottom w:val="0"/>
          <w:divBdr>
            <w:top w:val="none" w:sz="0" w:space="0" w:color="auto"/>
            <w:left w:val="none" w:sz="0" w:space="0" w:color="auto"/>
            <w:bottom w:val="none" w:sz="0" w:space="0" w:color="auto"/>
            <w:right w:val="none" w:sz="0" w:space="0" w:color="auto"/>
          </w:divBdr>
        </w:div>
        <w:div w:id="2134211377">
          <w:marLeft w:val="0"/>
          <w:marRight w:val="0"/>
          <w:marTop w:val="0"/>
          <w:marBottom w:val="0"/>
          <w:divBdr>
            <w:top w:val="none" w:sz="0" w:space="0" w:color="auto"/>
            <w:left w:val="none" w:sz="0" w:space="0" w:color="auto"/>
            <w:bottom w:val="none" w:sz="0" w:space="0" w:color="auto"/>
            <w:right w:val="none" w:sz="0" w:space="0" w:color="auto"/>
          </w:divBdr>
        </w:div>
      </w:divsChild>
    </w:div>
    <w:div w:id="1028262221">
      <w:bodyDiv w:val="1"/>
      <w:marLeft w:val="0"/>
      <w:marRight w:val="0"/>
      <w:marTop w:val="0"/>
      <w:marBottom w:val="0"/>
      <w:divBdr>
        <w:top w:val="none" w:sz="0" w:space="0" w:color="auto"/>
        <w:left w:val="none" w:sz="0" w:space="0" w:color="auto"/>
        <w:bottom w:val="none" w:sz="0" w:space="0" w:color="auto"/>
        <w:right w:val="none" w:sz="0" w:space="0" w:color="auto"/>
      </w:divBdr>
      <w:divsChild>
        <w:div w:id="761725244">
          <w:marLeft w:val="0"/>
          <w:marRight w:val="0"/>
          <w:marTop w:val="0"/>
          <w:marBottom w:val="0"/>
          <w:divBdr>
            <w:top w:val="none" w:sz="0" w:space="0" w:color="auto"/>
            <w:left w:val="none" w:sz="0" w:space="0" w:color="auto"/>
            <w:bottom w:val="none" w:sz="0" w:space="0" w:color="auto"/>
            <w:right w:val="none" w:sz="0" w:space="0" w:color="auto"/>
          </w:divBdr>
        </w:div>
        <w:div w:id="1788154906">
          <w:marLeft w:val="0"/>
          <w:marRight w:val="0"/>
          <w:marTop w:val="0"/>
          <w:marBottom w:val="0"/>
          <w:divBdr>
            <w:top w:val="none" w:sz="0" w:space="0" w:color="auto"/>
            <w:left w:val="none" w:sz="0" w:space="0" w:color="auto"/>
            <w:bottom w:val="none" w:sz="0" w:space="0" w:color="auto"/>
            <w:right w:val="none" w:sz="0" w:space="0" w:color="auto"/>
          </w:divBdr>
        </w:div>
      </w:divsChild>
    </w:div>
    <w:div w:id="1033652440">
      <w:bodyDiv w:val="1"/>
      <w:marLeft w:val="0"/>
      <w:marRight w:val="0"/>
      <w:marTop w:val="0"/>
      <w:marBottom w:val="0"/>
      <w:divBdr>
        <w:top w:val="none" w:sz="0" w:space="0" w:color="auto"/>
        <w:left w:val="none" w:sz="0" w:space="0" w:color="auto"/>
        <w:bottom w:val="none" w:sz="0" w:space="0" w:color="auto"/>
        <w:right w:val="none" w:sz="0" w:space="0" w:color="auto"/>
      </w:divBdr>
      <w:divsChild>
        <w:div w:id="149905320">
          <w:marLeft w:val="0"/>
          <w:marRight w:val="0"/>
          <w:marTop w:val="0"/>
          <w:marBottom w:val="0"/>
          <w:divBdr>
            <w:top w:val="none" w:sz="0" w:space="0" w:color="auto"/>
            <w:left w:val="none" w:sz="0" w:space="0" w:color="auto"/>
            <w:bottom w:val="none" w:sz="0" w:space="0" w:color="auto"/>
            <w:right w:val="none" w:sz="0" w:space="0" w:color="auto"/>
          </w:divBdr>
        </w:div>
        <w:div w:id="1588148389">
          <w:marLeft w:val="0"/>
          <w:marRight w:val="0"/>
          <w:marTop w:val="0"/>
          <w:marBottom w:val="0"/>
          <w:divBdr>
            <w:top w:val="none" w:sz="0" w:space="0" w:color="auto"/>
            <w:left w:val="none" w:sz="0" w:space="0" w:color="auto"/>
            <w:bottom w:val="none" w:sz="0" w:space="0" w:color="auto"/>
            <w:right w:val="none" w:sz="0" w:space="0" w:color="auto"/>
          </w:divBdr>
        </w:div>
        <w:div w:id="1688557670">
          <w:marLeft w:val="0"/>
          <w:marRight w:val="0"/>
          <w:marTop w:val="0"/>
          <w:marBottom w:val="0"/>
          <w:divBdr>
            <w:top w:val="none" w:sz="0" w:space="0" w:color="auto"/>
            <w:left w:val="none" w:sz="0" w:space="0" w:color="auto"/>
            <w:bottom w:val="none" w:sz="0" w:space="0" w:color="auto"/>
            <w:right w:val="none" w:sz="0" w:space="0" w:color="auto"/>
          </w:divBdr>
        </w:div>
      </w:divsChild>
    </w:div>
    <w:div w:id="1037507719">
      <w:bodyDiv w:val="1"/>
      <w:marLeft w:val="0"/>
      <w:marRight w:val="0"/>
      <w:marTop w:val="0"/>
      <w:marBottom w:val="0"/>
      <w:divBdr>
        <w:top w:val="none" w:sz="0" w:space="0" w:color="auto"/>
        <w:left w:val="none" w:sz="0" w:space="0" w:color="auto"/>
        <w:bottom w:val="none" w:sz="0" w:space="0" w:color="auto"/>
        <w:right w:val="none" w:sz="0" w:space="0" w:color="auto"/>
      </w:divBdr>
      <w:divsChild>
        <w:div w:id="35392404">
          <w:marLeft w:val="0"/>
          <w:marRight w:val="0"/>
          <w:marTop w:val="0"/>
          <w:marBottom w:val="0"/>
          <w:divBdr>
            <w:top w:val="none" w:sz="0" w:space="0" w:color="auto"/>
            <w:left w:val="none" w:sz="0" w:space="0" w:color="auto"/>
            <w:bottom w:val="none" w:sz="0" w:space="0" w:color="auto"/>
            <w:right w:val="none" w:sz="0" w:space="0" w:color="auto"/>
          </w:divBdr>
        </w:div>
        <w:div w:id="795176095">
          <w:marLeft w:val="0"/>
          <w:marRight w:val="0"/>
          <w:marTop w:val="0"/>
          <w:marBottom w:val="0"/>
          <w:divBdr>
            <w:top w:val="none" w:sz="0" w:space="0" w:color="auto"/>
            <w:left w:val="none" w:sz="0" w:space="0" w:color="auto"/>
            <w:bottom w:val="none" w:sz="0" w:space="0" w:color="auto"/>
            <w:right w:val="none" w:sz="0" w:space="0" w:color="auto"/>
          </w:divBdr>
        </w:div>
        <w:div w:id="957642026">
          <w:marLeft w:val="0"/>
          <w:marRight w:val="0"/>
          <w:marTop w:val="0"/>
          <w:marBottom w:val="0"/>
          <w:divBdr>
            <w:top w:val="none" w:sz="0" w:space="0" w:color="auto"/>
            <w:left w:val="none" w:sz="0" w:space="0" w:color="auto"/>
            <w:bottom w:val="none" w:sz="0" w:space="0" w:color="auto"/>
            <w:right w:val="none" w:sz="0" w:space="0" w:color="auto"/>
          </w:divBdr>
        </w:div>
      </w:divsChild>
    </w:div>
    <w:div w:id="1039277596">
      <w:bodyDiv w:val="1"/>
      <w:marLeft w:val="0"/>
      <w:marRight w:val="0"/>
      <w:marTop w:val="0"/>
      <w:marBottom w:val="0"/>
      <w:divBdr>
        <w:top w:val="none" w:sz="0" w:space="0" w:color="auto"/>
        <w:left w:val="none" w:sz="0" w:space="0" w:color="auto"/>
        <w:bottom w:val="none" w:sz="0" w:space="0" w:color="auto"/>
        <w:right w:val="none" w:sz="0" w:space="0" w:color="auto"/>
      </w:divBdr>
      <w:divsChild>
        <w:div w:id="897941334">
          <w:marLeft w:val="0"/>
          <w:marRight w:val="0"/>
          <w:marTop w:val="0"/>
          <w:marBottom w:val="0"/>
          <w:divBdr>
            <w:top w:val="none" w:sz="0" w:space="0" w:color="auto"/>
            <w:left w:val="none" w:sz="0" w:space="0" w:color="auto"/>
            <w:bottom w:val="none" w:sz="0" w:space="0" w:color="auto"/>
            <w:right w:val="none" w:sz="0" w:space="0" w:color="auto"/>
          </w:divBdr>
        </w:div>
        <w:div w:id="1602183309">
          <w:marLeft w:val="0"/>
          <w:marRight w:val="0"/>
          <w:marTop w:val="0"/>
          <w:marBottom w:val="0"/>
          <w:divBdr>
            <w:top w:val="none" w:sz="0" w:space="0" w:color="auto"/>
            <w:left w:val="none" w:sz="0" w:space="0" w:color="auto"/>
            <w:bottom w:val="none" w:sz="0" w:space="0" w:color="auto"/>
            <w:right w:val="none" w:sz="0" w:space="0" w:color="auto"/>
          </w:divBdr>
        </w:div>
      </w:divsChild>
    </w:div>
    <w:div w:id="1039822569">
      <w:bodyDiv w:val="1"/>
      <w:marLeft w:val="0"/>
      <w:marRight w:val="0"/>
      <w:marTop w:val="0"/>
      <w:marBottom w:val="0"/>
      <w:divBdr>
        <w:top w:val="none" w:sz="0" w:space="0" w:color="auto"/>
        <w:left w:val="none" w:sz="0" w:space="0" w:color="auto"/>
        <w:bottom w:val="none" w:sz="0" w:space="0" w:color="auto"/>
        <w:right w:val="none" w:sz="0" w:space="0" w:color="auto"/>
      </w:divBdr>
    </w:div>
    <w:div w:id="1043210763">
      <w:bodyDiv w:val="1"/>
      <w:marLeft w:val="0"/>
      <w:marRight w:val="0"/>
      <w:marTop w:val="0"/>
      <w:marBottom w:val="0"/>
      <w:divBdr>
        <w:top w:val="none" w:sz="0" w:space="0" w:color="auto"/>
        <w:left w:val="none" w:sz="0" w:space="0" w:color="auto"/>
        <w:bottom w:val="none" w:sz="0" w:space="0" w:color="auto"/>
        <w:right w:val="none" w:sz="0" w:space="0" w:color="auto"/>
      </w:divBdr>
    </w:div>
    <w:div w:id="1047098519">
      <w:bodyDiv w:val="1"/>
      <w:marLeft w:val="0"/>
      <w:marRight w:val="0"/>
      <w:marTop w:val="0"/>
      <w:marBottom w:val="0"/>
      <w:divBdr>
        <w:top w:val="none" w:sz="0" w:space="0" w:color="auto"/>
        <w:left w:val="none" w:sz="0" w:space="0" w:color="auto"/>
        <w:bottom w:val="none" w:sz="0" w:space="0" w:color="auto"/>
        <w:right w:val="none" w:sz="0" w:space="0" w:color="auto"/>
      </w:divBdr>
    </w:div>
    <w:div w:id="1049651666">
      <w:bodyDiv w:val="1"/>
      <w:marLeft w:val="0"/>
      <w:marRight w:val="0"/>
      <w:marTop w:val="0"/>
      <w:marBottom w:val="0"/>
      <w:divBdr>
        <w:top w:val="none" w:sz="0" w:space="0" w:color="auto"/>
        <w:left w:val="none" w:sz="0" w:space="0" w:color="auto"/>
        <w:bottom w:val="none" w:sz="0" w:space="0" w:color="auto"/>
        <w:right w:val="none" w:sz="0" w:space="0" w:color="auto"/>
      </w:divBdr>
      <w:divsChild>
        <w:div w:id="530071094">
          <w:marLeft w:val="0"/>
          <w:marRight w:val="0"/>
          <w:marTop w:val="0"/>
          <w:marBottom w:val="0"/>
          <w:divBdr>
            <w:top w:val="none" w:sz="0" w:space="0" w:color="auto"/>
            <w:left w:val="none" w:sz="0" w:space="0" w:color="auto"/>
            <w:bottom w:val="none" w:sz="0" w:space="0" w:color="auto"/>
            <w:right w:val="none" w:sz="0" w:space="0" w:color="auto"/>
          </w:divBdr>
        </w:div>
        <w:div w:id="785349548">
          <w:marLeft w:val="0"/>
          <w:marRight w:val="0"/>
          <w:marTop w:val="0"/>
          <w:marBottom w:val="0"/>
          <w:divBdr>
            <w:top w:val="none" w:sz="0" w:space="0" w:color="auto"/>
            <w:left w:val="none" w:sz="0" w:space="0" w:color="auto"/>
            <w:bottom w:val="none" w:sz="0" w:space="0" w:color="auto"/>
            <w:right w:val="none" w:sz="0" w:space="0" w:color="auto"/>
          </w:divBdr>
        </w:div>
        <w:div w:id="1750999277">
          <w:marLeft w:val="0"/>
          <w:marRight w:val="0"/>
          <w:marTop w:val="0"/>
          <w:marBottom w:val="0"/>
          <w:divBdr>
            <w:top w:val="none" w:sz="0" w:space="0" w:color="auto"/>
            <w:left w:val="none" w:sz="0" w:space="0" w:color="auto"/>
            <w:bottom w:val="none" w:sz="0" w:space="0" w:color="auto"/>
            <w:right w:val="none" w:sz="0" w:space="0" w:color="auto"/>
          </w:divBdr>
        </w:div>
      </w:divsChild>
    </w:div>
    <w:div w:id="1051030117">
      <w:bodyDiv w:val="1"/>
      <w:marLeft w:val="0"/>
      <w:marRight w:val="0"/>
      <w:marTop w:val="0"/>
      <w:marBottom w:val="0"/>
      <w:divBdr>
        <w:top w:val="none" w:sz="0" w:space="0" w:color="auto"/>
        <w:left w:val="none" w:sz="0" w:space="0" w:color="auto"/>
        <w:bottom w:val="none" w:sz="0" w:space="0" w:color="auto"/>
        <w:right w:val="none" w:sz="0" w:space="0" w:color="auto"/>
      </w:divBdr>
    </w:div>
    <w:div w:id="1053844549">
      <w:bodyDiv w:val="1"/>
      <w:marLeft w:val="0"/>
      <w:marRight w:val="0"/>
      <w:marTop w:val="0"/>
      <w:marBottom w:val="0"/>
      <w:divBdr>
        <w:top w:val="none" w:sz="0" w:space="0" w:color="auto"/>
        <w:left w:val="none" w:sz="0" w:space="0" w:color="auto"/>
        <w:bottom w:val="none" w:sz="0" w:space="0" w:color="auto"/>
        <w:right w:val="none" w:sz="0" w:space="0" w:color="auto"/>
      </w:divBdr>
    </w:div>
    <w:div w:id="1057049494">
      <w:bodyDiv w:val="1"/>
      <w:marLeft w:val="0"/>
      <w:marRight w:val="0"/>
      <w:marTop w:val="0"/>
      <w:marBottom w:val="0"/>
      <w:divBdr>
        <w:top w:val="none" w:sz="0" w:space="0" w:color="auto"/>
        <w:left w:val="none" w:sz="0" w:space="0" w:color="auto"/>
        <w:bottom w:val="none" w:sz="0" w:space="0" w:color="auto"/>
        <w:right w:val="none" w:sz="0" w:space="0" w:color="auto"/>
      </w:divBdr>
      <w:divsChild>
        <w:div w:id="836843991">
          <w:marLeft w:val="0"/>
          <w:marRight w:val="0"/>
          <w:marTop w:val="0"/>
          <w:marBottom w:val="0"/>
          <w:divBdr>
            <w:top w:val="none" w:sz="0" w:space="0" w:color="auto"/>
            <w:left w:val="none" w:sz="0" w:space="0" w:color="auto"/>
            <w:bottom w:val="none" w:sz="0" w:space="0" w:color="auto"/>
            <w:right w:val="none" w:sz="0" w:space="0" w:color="auto"/>
          </w:divBdr>
        </w:div>
        <w:div w:id="1720277941">
          <w:marLeft w:val="0"/>
          <w:marRight w:val="0"/>
          <w:marTop w:val="0"/>
          <w:marBottom w:val="0"/>
          <w:divBdr>
            <w:top w:val="none" w:sz="0" w:space="0" w:color="auto"/>
            <w:left w:val="none" w:sz="0" w:space="0" w:color="auto"/>
            <w:bottom w:val="none" w:sz="0" w:space="0" w:color="auto"/>
            <w:right w:val="none" w:sz="0" w:space="0" w:color="auto"/>
          </w:divBdr>
        </w:div>
        <w:div w:id="2038772899">
          <w:marLeft w:val="0"/>
          <w:marRight w:val="0"/>
          <w:marTop w:val="0"/>
          <w:marBottom w:val="0"/>
          <w:divBdr>
            <w:top w:val="none" w:sz="0" w:space="0" w:color="auto"/>
            <w:left w:val="none" w:sz="0" w:space="0" w:color="auto"/>
            <w:bottom w:val="none" w:sz="0" w:space="0" w:color="auto"/>
            <w:right w:val="none" w:sz="0" w:space="0" w:color="auto"/>
          </w:divBdr>
        </w:div>
      </w:divsChild>
    </w:div>
    <w:div w:id="1058550471">
      <w:bodyDiv w:val="1"/>
      <w:marLeft w:val="0"/>
      <w:marRight w:val="0"/>
      <w:marTop w:val="0"/>
      <w:marBottom w:val="0"/>
      <w:divBdr>
        <w:top w:val="none" w:sz="0" w:space="0" w:color="auto"/>
        <w:left w:val="none" w:sz="0" w:space="0" w:color="auto"/>
        <w:bottom w:val="none" w:sz="0" w:space="0" w:color="auto"/>
        <w:right w:val="none" w:sz="0" w:space="0" w:color="auto"/>
      </w:divBdr>
    </w:div>
    <w:div w:id="1059062407">
      <w:bodyDiv w:val="1"/>
      <w:marLeft w:val="0"/>
      <w:marRight w:val="0"/>
      <w:marTop w:val="0"/>
      <w:marBottom w:val="0"/>
      <w:divBdr>
        <w:top w:val="none" w:sz="0" w:space="0" w:color="auto"/>
        <w:left w:val="none" w:sz="0" w:space="0" w:color="auto"/>
        <w:bottom w:val="none" w:sz="0" w:space="0" w:color="auto"/>
        <w:right w:val="none" w:sz="0" w:space="0" w:color="auto"/>
      </w:divBdr>
    </w:div>
    <w:div w:id="1059400264">
      <w:bodyDiv w:val="1"/>
      <w:marLeft w:val="0"/>
      <w:marRight w:val="0"/>
      <w:marTop w:val="0"/>
      <w:marBottom w:val="0"/>
      <w:divBdr>
        <w:top w:val="none" w:sz="0" w:space="0" w:color="auto"/>
        <w:left w:val="none" w:sz="0" w:space="0" w:color="auto"/>
        <w:bottom w:val="none" w:sz="0" w:space="0" w:color="auto"/>
        <w:right w:val="none" w:sz="0" w:space="0" w:color="auto"/>
      </w:divBdr>
    </w:div>
    <w:div w:id="1062755977">
      <w:bodyDiv w:val="1"/>
      <w:marLeft w:val="0"/>
      <w:marRight w:val="0"/>
      <w:marTop w:val="0"/>
      <w:marBottom w:val="0"/>
      <w:divBdr>
        <w:top w:val="none" w:sz="0" w:space="0" w:color="auto"/>
        <w:left w:val="none" w:sz="0" w:space="0" w:color="auto"/>
        <w:bottom w:val="none" w:sz="0" w:space="0" w:color="auto"/>
        <w:right w:val="none" w:sz="0" w:space="0" w:color="auto"/>
      </w:divBdr>
    </w:div>
    <w:div w:id="1063287130">
      <w:bodyDiv w:val="1"/>
      <w:marLeft w:val="0"/>
      <w:marRight w:val="0"/>
      <w:marTop w:val="0"/>
      <w:marBottom w:val="0"/>
      <w:divBdr>
        <w:top w:val="none" w:sz="0" w:space="0" w:color="auto"/>
        <w:left w:val="none" w:sz="0" w:space="0" w:color="auto"/>
        <w:bottom w:val="none" w:sz="0" w:space="0" w:color="auto"/>
        <w:right w:val="none" w:sz="0" w:space="0" w:color="auto"/>
      </w:divBdr>
    </w:div>
    <w:div w:id="1064521532">
      <w:bodyDiv w:val="1"/>
      <w:marLeft w:val="0"/>
      <w:marRight w:val="0"/>
      <w:marTop w:val="0"/>
      <w:marBottom w:val="0"/>
      <w:divBdr>
        <w:top w:val="none" w:sz="0" w:space="0" w:color="auto"/>
        <w:left w:val="none" w:sz="0" w:space="0" w:color="auto"/>
        <w:bottom w:val="none" w:sz="0" w:space="0" w:color="auto"/>
        <w:right w:val="none" w:sz="0" w:space="0" w:color="auto"/>
      </w:divBdr>
      <w:divsChild>
        <w:div w:id="99033972">
          <w:marLeft w:val="0"/>
          <w:marRight w:val="0"/>
          <w:marTop w:val="0"/>
          <w:marBottom w:val="0"/>
          <w:divBdr>
            <w:top w:val="none" w:sz="0" w:space="0" w:color="auto"/>
            <w:left w:val="none" w:sz="0" w:space="0" w:color="auto"/>
            <w:bottom w:val="none" w:sz="0" w:space="0" w:color="auto"/>
            <w:right w:val="none" w:sz="0" w:space="0" w:color="auto"/>
          </w:divBdr>
          <w:divsChild>
            <w:div w:id="1416315348">
              <w:marLeft w:val="0"/>
              <w:marRight w:val="0"/>
              <w:marTop w:val="0"/>
              <w:marBottom w:val="0"/>
              <w:divBdr>
                <w:top w:val="none" w:sz="0" w:space="0" w:color="auto"/>
                <w:left w:val="none" w:sz="0" w:space="0" w:color="auto"/>
                <w:bottom w:val="none" w:sz="0" w:space="0" w:color="auto"/>
                <w:right w:val="none" w:sz="0" w:space="0" w:color="auto"/>
              </w:divBdr>
            </w:div>
          </w:divsChild>
        </w:div>
        <w:div w:id="455300534">
          <w:marLeft w:val="0"/>
          <w:marRight w:val="0"/>
          <w:marTop w:val="0"/>
          <w:marBottom w:val="0"/>
          <w:divBdr>
            <w:top w:val="none" w:sz="0" w:space="0" w:color="auto"/>
            <w:left w:val="none" w:sz="0" w:space="0" w:color="auto"/>
            <w:bottom w:val="none" w:sz="0" w:space="0" w:color="auto"/>
            <w:right w:val="none" w:sz="0" w:space="0" w:color="auto"/>
          </w:divBdr>
          <w:divsChild>
            <w:div w:id="162552946">
              <w:marLeft w:val="0"/>
              <w:marRight w:val="0"/>
              <w:marTop w:val="0"/>
              <w:marBottom w:val="0"/>
              <w:divBdr>
                <w:top w:val="none" w:sz="0" w:space="0" w:color="auto"/>
                <w:left w:val="none" w:sz="0" w:space="0" w:color="auto"/>
                <w:bottom w:val="none" w:sz="0" w:space="0" w:color="auto"/>
                <w:right w:val="none" w:sz="0" w:space="0" w:color="auto"/>
              </w:divBdr>
              <w:divsChild>
                <w:div w:id="925114388">
                  <w:marLeft w:val="0"/>
                  <w:marRight w:val="0"/>
                  <w:marTop w:val="0"/>
                  <w:marBottom w:val="0"/>
                  <w:divBdr>
                    <w:top w:val="none" w:sz="0" w:space="0" w:color="auto"/>
                    <w:left w:val="none" w:sz="0" w:space="0" w:color="auto"/>
                    <w:bottom w:val="none" w:sz="0" w:space="0" w:color="auto"/>
                    <w:right w:val="none" w:sz="0" w:space="0" w:color="auto"/>
                  </w:divBdr>
                  <w:divsChild>
                    <w:div w:id="369886900">
                      <w:marLeft w:val="0"/>
                      <w:marRight w:val="0"/>
                      <w:marTop w:val="0"/>
                      <w:marBottom w:val="0"/>
                      <w:divBdr>
                        <w:top w:val="none" w:sz="0" w:space="0" w:color="auto"/>
                        <w:left w:val="none" w:sz="0" w:space="0" w:color="auto"/>
                        <w:bottom w:val="none" w:sz="0" w:space="0" w:color="auto"/>
                        <w:right w:val="none" w:sz="0" w:space="0" w:color="auto"/>
                      </w:divBdr>
                      <w:divsChild>
                        <w:div w:id="1018115176">
                          <w:marLeft w:val="0"/>
                          <w:marRight w:val="0"/>
                          <w:marTop w:val="0"/>
                          <w:marBottom w:val="0"/>
                          <w:divBdr>
                            <w:top w:val="none" w:sz="0" w:space="0" w:color="auto"/>
                            <w:left w:val="none" w:sz="0" w:space="0" w:color="auto"/>
                            <w:bottom w:val="none" w:sz="0" w:space="0" w:color="auto"/>
                            <w:right w:val="none" w:sz="0" w:space="0" w:color="auto"/>
                          </w:divBdr>
                        </w:div>
                        <w:div w:id="1432505581">
                          <w:marLeft w:val="0"/>
                          <w:marRight w:val="0"/>
                          <w:marTop w:val="0"/>
                          <w:marBottom w:val="0"/>
                          <w:divBdr>
                            <w:top w:val="none" w:sz="0" w:space="0" w:color="auto"/>
                            <w:left w:val="none" w:sz="0" w:space="0" w:color="auto"/>
                            <w:bottom w:val="none" w:sz="0" w:space="0" w:color="auto"/>
                            <w:right w:val="none" w:sz="0" w:space="0" w:color="auto"/>
                          </w:divBdr>
                        </w:div>
                        <w:div w:id="1570771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9336505">
                  <w:marLeft w:val="0"/>
                  <w:marRight w:val="0"/>
                  <w:marTop w:val="0"/>
                  <w:marBottom w:val="0"/>
                  <w:divBdr>
                    <w:top w:val="none" w:sz="0" w:space="0" w:color="auto"/>
                    <w:left w:val="none" w:sz="0" w:space="0" w:color="auto"/>
                    <w:bottom w:val="none" w:sz="0" w:space="0" w:color="auto"/>
                    <w:right w:val="none" w:sz="0" w:space="0" w:color="auto"/>
                  </w:divBdr>
                  <w:divsChild>
                    <w:div w:id="432089406">
                      <w:marLeft w:val="0"/>
                      <w:marRight w:val="0"/>
                      <w:marTop w:val="0"/>
                      <w:marBottom w:val="0"/>
                      <w:divBdr>
                        <w:top w:val="none" w:sz="0" w:space="0" w:color="auto"/>
                        <w:left w:val="none" w:sz="0" w:space="0" w:color="auto"/>
                        <w:bottom w:val="none" w:sz="0" w:space="0" w:color="auto"/>
                        <w:right w:val="none" w:sz="0" w:space="0" w:color="auto"/>
                      </w:divBdr>
                      <w:divsChild>
                        <w:div w:id="743185904">
                          <w:marLeft w:val="0"/>
                          <w:marRight w:val="0"/>
                          <w:marTop w:val="0"/>
                          <w:marBottom w:val="0"/>
                          <w:divBdr>
                            <w:top w:val="none" w:sz="0" w:space="0" w:color="auto"/>
                            <w:left w:val="none" w:sz="0" w:space="0" w:color="auto"/>
                            <w:bottom w:val="none" w:sz="0" w:space="0" w:color="auto"/>
                            <w:right w:val="none" w:sz="0" w:space="0" w:color="auto"/>
                          </w:divBdr>
                          <w:divsChild>
                            <w:div w:id="2112168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7251450">
                      <w:marLeft w:val="0"/>
                      <w:marRight w:val="0"/>
                      <w:marTop w:val="0"/>
                      <w:marBottom w:val="0"/>
                      <w:divBdr>
                        <w:top w:val="none" w:sz="0" w:space="0" w:color="auto"/>
                        <w:left w:val="none" w:sz="0" w:space="0" w:color="auto"/>
                        <w:bottom w:val="none" w:sz="0" w:space="0" w:color="auto"/>
                        <w:right w:val="none" w:sz="0" w:space="0" w:color="auto"/>
                      </w:divBdr>
                    </w:div>
                  </w:divsChild>
                </w:div>
                <w:div w:id="1673489351">
                  <w:marLeft w:val="0"/>
                  <w:marRight w:val="0"/>
                  <w:marTop w:val="0"/>
                  <w:marBottom w:val="0"/>
                  <w:divBdr>
                    <w:top w:val="none" w:sz="0" w:space="0" w:color="auto"/>
                    <w:left w:val="none" w:sz="0" w:space="0" w:color="auto"/>
                    <w:bottom w:val="none" w:sz="0" w:space="0" w:color="auto"/>
                    <w:right w:val="none" w:sz="0" w:space="0" w:color="auto"/>
                  </w:divBdr>
                  <w:divsChild>
                    <w:div w:id="621691034">
                      <w:marLeft w:val="0"/>
                      <w:marRight w:val="0"/>
                      <w:marTop w:val="0"/>
                      <w:marBottom w:val="0"/>
                      <w:divBdr>
                        <w:top w:val="none" w:sz="0" w:space="0" w:color="auto"/>
                        <w:left w:val="none" w:sz="0" w:space="0" w:color="auto"/>
                        <w:bottom w:val="none" w:sz="0" w:space="0" w:color="auto"/>
                        <w:right w:val="none" w:sz="0" w:space="0" w:color="auto"/>
                      </w:divBdr>
                      <w:divsChild>
                        <w:div w:id="774442830">
                          <w:marLeft w:val="0"/>
                          <w:marRight w:val="0"/>
                          <w:marTop w:val="0"/>
                          <w:marBottom w:val="0"/>
                          <w:divBdr>
                            <w:top w:val="none" w:sz="0" w:space="0" w:color="auto"/>
                            <w:left w:val="none" w:sz="0" w:space="0" w:color="auto"/>
                            <w:bottom w:val="none" w:sz="0" w:space="0" w:color="auto"/>
                            <w:right w:val="none" w:sz="0" w:space="0" w:color="auto"/>
                          </w:divBdr>
                          <w:divsChild>
                            <w:div w:id="138504529">
                              <w:marLeft w:val="0"/>
                              <w:marRight w:val="0"/>
                              <w:marTop w:val="0"/>
                              <w:marBottom w:val="0"/>
                              <w:divBdr>
                                <w:top w:val="none" w:sz="0" w:space="0" w:color="auto"/>
                                <w:left w:val="none" w:sz="0" w:space="0" w:color="auto"/>
                                <w:bottom w:val="none" w:sz="0" w:space="0" w:color="auto"/>
                                <w:right w:val="none" w:sz="0" w:space="0" w:color="auto"/>
                              </w:divBdr>
                            </w:div>
                            <w:div w:id="163935817">
                              <w:marLeft w:val="0"/>
                              <w:marRight w:val="0"/>
                              <w:marTop w:val="0"/>
                              <w:marBottom w:val="0"/>
                              <w:divBdr>
                                <w:top w:val="none" w:sz="0" w:space="0" w:color="auto"/>
                                <w:left w:val="none" w:sz="0" w:space="0" w:color="auto"/>
                                <w:bottom w:val="none" w:sz="0" w:space="0" w:color="auto"/>
                                <w:right w:val="none" w:sz="0" w:space="0" w:color="auto"/>
                              </w:divBdr>
                              <w:divsChild>
                                <w:div w:id="2125690568">
                                  <w:marLeft w:val="0"/>
                                  <w:marRight w:val="0"/>
                                  <w:marTop w:val="0"/>
                                  <w:marBottom w:val="0"/>
                                  <w:divBdr>
                                    <w:top w:val="none" w:sz="0" w:space="0" w:color="auto"/>
                                    <w:left w:val="none" w:sz="0" w:space="0" w:color="auto"/>
                                    <w:bottom w:val="none" w:sz="0" w:space="0" w:color="auto"/>
                                    <w:right w:val="none" w:sz="0" w:space="0" w:color="auto"/>
                                  </w:divBdr>
                                  <w:divsChild>
                                    <w:div w:id="10184095">
                                      <w:marLeft w:val="0"/>
                                      <w:marRight w:val="0"/>
                                      <w:marTop w:val="0"/>
                                      <w:marBottom w:val="0"/>
                                      <w:divBdr>
                                        <w:top w:val="none" w:sz="0" w:space="0" w:color="auto"/>
                                        <w:left w:val="none" w:sz="0" w:space="0" w:color="auto"/>
                                        <w:bottom w:val="none" w:sz="0" w:space="0" w:color="auto"/>
                                        <w:right w:val="none" w:sz="0" w:space="0" w:color="auto"/>
                                      </w:divBdr>
                                    </w:div>
                                    <w:div w:id="23294299">
                                      <w:marLeft w:val="0"/>
                                      <w:marRight w:val="0"/>
                                      <w:marTop w:val="0"/>
                                      <w:marBottom w:val="0"/>
                                      <w:divBdr>
                                        <w:top w:val="none" w:sz="0" w:space="0" w:color="auto"/>
                                        <w:left w:val="none" w:sz="0" w:space="0" w:color="auto"/>
                                        <w:bottom w:val="none" w:sz="0" w:space="0" w:color="auto"/>
                                        <w:right w:val="none" w:sz="0" w:space="0" w:color="auto"/>
                                      </w:divBdr>
                                    </w:div>
                                    <w:div w:id="29384159">
                                      <w:marLeft w:val="0"/>
                                      <w:marRight w:val="0"/>
                                      <w:marTop w:val="0"/>
                                      <w:marBottom w:val="0"/>
                                      <w:divBdr>
                                        <w:top w:val="none" w:sz="0" w:space="0" w:color="auto"/>
                                        <w:left w:val="none" w:sz="0" w:space="0" w:color="auto"/>
                                        <w:bottom w:val="none" w:sz="0" w:space="0" w:color="auto"/>
                                        <w:right w:val="none" w:sz="0" w:space="0" w:color="auto"/>
                                      </w:divBdr>
                                    </w:div>
                                    <w:div w:id="32973079">
                                      <w:marLeft w:val="0"/>
                                      <w:marRight w:val="0"/>
                                      <w:marTop w:val="0"/>
                                      <w:marBottom w:val="0"/>
                                      <w:divBdr>
                                        <w:top w:val="none" w:sz="0" w:space="0" w:color="auto"/>
                                        <w:left w:val="none" w:sz="0" w:space="0" w:color="auto"/>
                                        <w:bottom w:val="none" w:sz="0" w:space="0" w:color="auto"/>
                                        <w:right w:val="none" w:sz="0" w:space="0" w:color="auto"/>
                                      </w:divBdr>
                                    </w:div>
                                    <w:div w:id="38743645">
                                      <w:marLeft w:val="0"/>
                                      <w:marRight w:val="0"/>
                                      <w:marTop w:val="0"/>
                                      <w:marBottom w:val="0"/>
                                      <w:divBdr>
                                        <w:top w:val="none" w:sz="0" w:space="0" w:color="auto"/>
                                        <w:left w:val="none" w:sz="0" w:space="0" w:color="auto"/>
                                        <w:bottom w:val="none" w:sz="0" w:space="0" w:color="auto"/>
                                        <w:right w:val="none" w:sz="0" w:space="0" w:color="auto"/>
                                      </w:divBdr>
                                    </w:div>
                                    <w:div w:id="42104387">
                                      <w:marLeft w:val="0"/>
                                      <w:marRight w:val="0"/>
                                      <w:marTop w:val="0"/>
                                      <w:marBottom w:val="0"/>
                                      <w:divBdr>
                                        <w:top w:val="none" w:sz="0" w:space="0" w:color="auto"/>
                                        <w:left w:val="none" w:sz="0" w:space="0" w:color="auto"/>
                                        <w:bottom w:val="none" w:sz="0" w:space="0" w:color="auto"/>
                                        <w:right w:val="none" w:sz="0" w:space="0" w:color="auto"/>
                                      </w:divBdr>
                                    </w:div>
                                    <w:div w:id="47266936">
                                      <w:marLeft w:val="0"/>
                                      <w:marRight w:val="0"/>
                                      <w:marTop w:val="0"/>
                                      <w:marBottom w:val="0"/>
                                      <w:divBdr>
                                        <w:top w:val="none" w:sz="0" w:space="0" w:color="auto"/>
                                        <w:left w:val="none" w:sz="0" w:space="0" w:color="auto"/>
                                        <w:bottom w:val="none" w:sz="0" w:space="0" w:color="auto"/>
                                        <w:right w:val="none" w:sz="0" w:space="0" w:color="auto"/>
                                      </w:divBdr>
                                    </w:div>
                                    <w:div w:id="57362161">
                                      <w:marLeft w:val="0"/>
                                      <w:marRight w:val="0"/>
                                      <w:marTop w:val="0"/>
                                      <w:marBottom w:val="0"/>
                                      <w:divBdr>
                                        <w:top w:val="none" w:sz="0" w:space="0" w:color="auto"/>
                                        <w:left w:val="none" w:sz="0" w:space="0" w:color="auto"/>
                                        <w:bottom w:val="none" w:sz="0" w:space="0" w:color="auto"/>
                                        <w:right w:val="none" w:sz="0" w:space="0" w:color="auto"/>
                                      </w:divBdr>
                                    </w:div>
                                    <w:div w:id="68234570">
                                      <w:marLeft w:val="0"/>
                                      <w:marRight w:val="0"/>
                                      <w:marTop w:val="0"/>
                                      <w:marBottom w:val="0"/>
                                      <w:divBdr>
                                        <w:top w:val="none" w:sz="0" w:space="0" w:color="auto"/>
                                        <w:left w:val="none" w:sz="0" w:space="0" w:color="auto"/>
                                        <w:bottom w:val="none" w:sz="0" w:space="0" w:color="auto"/>
                                        <w:right w:val="none" w:sz="0" w:space="0" w:color="auto"/>
                                      </w:divBdr>
                                    </w:div>
                                    <w:div w:id="79375103">
                                      <w:marLeft w:val="0"/>
                                      <w:marRight w:val="0"/>
                                      <w:marTop w:val="0"/>
                                      <w:marBottom w:val="0"/>
                                      <w:divBdr>
                                        <w:top w:val="none" w:sz="0" w:space="0" w:color="auto"/>
                                        <w:left w:val="none" w:sz="0" w:space="0" w:color="auto"/>
                                        <w:bottom w:val="none" w:sz="0" w:space="0" w:color="auto"/>
                                        <w:right w:val="none" w:sz="0" w:space="0" w:color="auto"/>
                                      </w:divBdr>
                                    </w:div>
                                    <w:div w:id="87242176">
                                      <w:marLeft w:val="0"/>
                                      <w:marRight w:val="0"/>
                                      <w:marTop w:val="0"/>
                                      <w:marBottom w:val="0"/>
                                      <w:divBdr>
                                        <w:top w:val="none" w:sz="0" w:space="0" w:color="auto"/>
                                        <w:left w:val="none" w:sz="0" w:space="0" w:color="auto"/>
                                        <w:bottom w:val="none" w:sz="0" w:space="0" w:color="auto"/>
                                        <w:right w:val="none" w:sz="0" w:space="0" w:color="auto"/>
                                      </w:divBdr>
                                    </w:div>
                                    <w:div w:id="110126144">
                                      <w:marLeft w:val="0"/>
                                      <w:marRight w:val="0"/>
                                      <w:marTop w:val="0"/>
                                      <w:marBottom w:val="0"/>
                                      <w:divBdr>
                                        <w:top w:val="none" w:sz="0" w:space="0" w:color="auto"/>
                                        <w:left w:val="none" w:sz="0" w:space="0" w:color="auto"/>
                                        <w:bottom w:val="none" w:sz="0" w:space="0" w:color="auto"/>
                                        <w:right w:val="none" w:sz="0" w:space="0" w:color="auto"/>
                                      </w:divBdr>
                                    </w:div>
                                    <w:div w:id="117338600">
                                      <w:marLeft w:val="0"/>
                                      <w:marRight w:val="0"/>
                                      <w:marTop w:val="0"/>
                                      <w:marBottom w:val="0"/>
                                      <w:divBdr>
                                        <w:top w:val="none" w:sz="0" w:space="0" w:color="auto"/>
                                        <w:left w:val="none" w:sz="0" w:space="0" w:color="auto"/>
                                        <w:bottom w:val="none" w:sz="0" w:space="0" w:color="auto"/>
                                        <w:right w:val="none" w:sz="0" w:space="0" w:color="auto"/>
                                      </w:divBdr>
                                    </w:div>
                                    <w:div w:id="148904741">
                                      <w:marLeft w:val="0"/>
                                      <w:marRight w:val="0"/>
                                      <w:marTop w:val="0"/>
                                      <w:marBottom w:val="0"/>
                                      <w:divBdr>
                                        <w:top w:val="none" w:sz="0" w:space="0" w:color="auto"/>
                                        <w:left w:val="none" w:sz="0" w:space="0" w:color="auto"/>
                                        <w:bottom w:val="none" w:sz="0" w:space="0" w:color="auto"/>
                                        <w:right w:val="none" w:sz="0" w:space="0" w:color="auto"/>
                                      </w:divBdr>
                                    </w:div>
                                    <w:div w:id="151025111">
                                      <w:marLeft w:val="0"/>
                                      <w:marRight w:val="0"/>
                                      <w:marTop w:val="0"/>
                                      <w:marBottom w:val="0"/>
                                      <w:divBdr>
                                        <w:top w:val="none" w:sz="0" w:space="0" w:color="auto"/>
                                        <w:left w:val="none" w:sz="0" w:space="0" w:color="auto"/>
                                        <w:bottom w:val="none" w:sz="0" w:space="0" w:color="auto"/>
                                        <w:right w:val="none" w:sz="0" w:space="0" w:color="auto"/>
                                      </w:divBdr>
                                    </w:div>
                                    <w:div w:id="157381349">
                                      <w:marLeft w:val="0"/>
                                      <w:marRight w:val="0"/>
                                      <w:marTop w:val="0"/>
                                      <w:marBottom w:val="0"/>
                                      <w:divBdr>
                                        <w:top w:val="none" w:sz="0" w:space="0" w:color="auto"/>
                                        <w:left w:val="none" w:sz="0" w:space="0" w:color="auto"/>
                                        <w:bottom w:val="none" w:sz="0" w:space="0" w:color="auto"/>
                                        <w:right w:val="none" w:sz="0" w:space="0" w:color="auto"/>
                                      </w:divBdr>
                                    </w:div>
                                    <w:div w:id="174610493">
                                      <w:marLeft w:val="0"/>
                                      <w:marRight w:val="0"/>
                                      <w:marTop w:val="0"/>
                                      <w:marBottom w:val="0"/>
                                      <w:divBdr>
                                        <w:top w:val="none" w:sz="0" w:space="0" w:color="auto"/>
                                        <w:left w:val="none" w:sz="0" w:space="0" w:color="auto"/>
                                        <w:bottom w:val="none" w:sz="0" w:space="0" w:color="auto"/>
                                        <w:right w:val="none" w:sz="0" w:space="0" w:color="auto"/>
                                      </w:divBdr>
                                    </w:div>
                                    <w:div w:id="181863518">
                                      <w:marLeft w:val="0"/>
                                      <w:marRight w:val="0"/>
                                      <w:marTop w:val="0"/>
                                      <w:marBottom w:val="0"/>
                                      <w:divBdr>
                                        <w:top w:val="none" w:sz="0" w:space="0" w:color="auto"/>
                                        <w:left w:val="none" w:sz="0" w:space="0" w:color="auto"/>
                                        <w:bottom w:val="none" w:sz="0" w:space="0" w:color="auto"/>
                                        <w:right w:val="none" w:sz="0" w:space="0" w:color="auto"/>
                                      </w:divBdr>
                                    </w:div>
                                    <w:div w:id="194778261">
                                      <w:marLeft w:val="0"/>
                                      <w:marRight w:val="0"/>
                                      <w:marTop w:val="0"/>
                                      <w:marBottom w:val="0"/>
                                      <w:divBdr>
                                        <w:top w:val="none" w:sz="0" w:space="0" w:color="auto"/>
                                        <w:left w:val="none" w:sz="0" w:space="0" w:color="auto"/>
                                        <w:bottom w:val="none" w:sz="0" w:space="0" w:color="auto"/>
                                        <w:right w:val="none" w:sz="0" w:space="0" w:color="auto"/>
                                      </w:divBdr>
                                    </w:div>
                                    <w:div w:id="198251242">
                                      <w:marLeft w:val="0"/>
                                      <w:marRight w:val="0"/>
                                      <w:marTop w:val="0"/>
                                      <w:marBottom w:val="0"/>
                                      <w:divBdr>
                                        <w:top w:val="none" w:sz="0" w:space="0" w:color="auto"/>
                                        <w:left w:val="none" w:sz="0" w:space="0" w:color="auto"/>
                                        <w:bottom w:val="none" w:sz="0" w:space="0" w:color="auto"/>
                                        <w:right w:val="none" w:sz="0" w:space="0" w:color="auto"/>
                                      </w:divBdr>
                                    </w:div>
                                    <w:div w:id="205334086">
                                      <w:marLeft w:val="0"/>
                                      <w:marRight w:val="0"/>
                                      <w:marTop w:val="0"/>
                                      <w:marBottom w:val="0"/>
                                      <w:divBdr>
                                        <w:top w:val="none" w:sz="0" w:space="0" w:color="auto"/>
                                        <w:left w:val="none" w:sz="0" w:space="0" w:color="auto"/>
                                        <w:bottom w:val="none" w:sz="0" w:space="0" w:color="auto"/>
                                        <w:right w:val="none" w:sz="0" w:space="0" w:color="auto"/>
                                      </w:divBdr>
                                    </w:div>
                                    <w:div w:id="222985550">
                                      <w:marLeft w:val="0"/>
                                      <w:marRight w:val="0"/>
                                      <w:marTop w:val="0"/>
                                      <w:marBottom w:val="0"/>
                                      <w:divBdr>
                                        <w:top w:val="none" w:sz="0" w:space="0" w:color="auto"/>
                                        <w:left w:val="none" w:sz="0" w:space="0" w:color="auto"/>
                                        <w:bottom w:val="none" w:sz="0" w:space="0" w:color="auto"/>
                                        <w:right w:val="none" w:sz="0" w:space="0" w:color="auto"/>
                                      </w:divBdr>
                                    </w:div>
                                    <w:div w:id="230123574">
                                      <w:marLeft w:val="0"/>
                                      <w:marRight w:val="0"/>
                                      <w:marTop w:val="0"/>
                                      <w:marBottom w:val="0"/>
                                      <w:divBdr>
                                        <w:top w:val="none" w:sz="0" w:space="0" w:color="auto"/>
                                        <w:left w:val="none" w:sz="0" w:space="0" w:color="auto"/>
                                        <w:bottom w:val="none" w:sz="0" w:space="0" w:color="auto"/>
                                        <w:right w:val="none" w:sz="0" w:space="0" w:color="auto"/>
                                      </w:divBdr>
                                    </w:div>
                                    <w:div w:id="230433033">
                                      <w:marLeft w:val="0"/>
                                      <w:marRight w:val="0"/>
                                      <w:marTop w:val="0"/>
                                      <w:marBottom w:val="0"/>
                                      <w:divBdr>
                                        <w:top w:val="none" w:sz="0" w:space="0" w:color="auto"/>
                                        <w:left w:val="none" w:sz="0" w:space="0" w:color="auto"/>
                                        <w:bottom w:val="none" w:sz="0" w:space="0" w:color="auto"/>
                                        <w:right w:val="none" w:sz="0" w:space="0" w:color="auto"/>
                                      </w:divBdr>
                                    </w:div>
                                    <w:div w:id="234248137">
                                      <w:marLeft w:val="0"/>
                                      <w:marRight w:val="0"/>
                                      <w:marTop w:val="0"/>
                                      <w:marBottom w:val="0"/>
                                      <w:divBdr>
                                        <w:top w:val="none" w:sz="0" w:space="0" w:color="auto"/>
                                        <w:left w:val="none" w:sz="0" w:space="0" w:color="auto"/>
                                        <w:bottom w:val="none" w:sz="0" w:space="0" w:color="auto"/>
                                        <w:right w:val="none" w:sz="0" w:space="0" w:color="auto"/>
                                      </w:divBdr>
                                    </w:div>
                                    <w:div w:id="236087816">
                                      <w:marLeft w:val="0"/>
                                      <w:marRight w:val="0"/>
                                      <w:marTop w:val="0"/>
                                      <w:marBottom w:val="0"/>
                                      <w:divBdr>
                                        <w:top w:val="none" w:sz="0" w:space="0" w:color="auto"/>
                                        <w:left w:val="none" w:sz="0" w:space="0" w:color="auto"/>
                                        <w:bottom w:val="none" w:sz="0" w:space="0" w:color="auto"/>
                                        <w:right w:val="none" w:sz="0" w:space="0" w:color="auto"/>
                                      </w:divBdr>
                                    </w:div>
                                    <w:div w:id="250552807">
                                      <w:marLeft w:val="0"/>
                                      <w:marRight w:val="0"/>
                                      <w:marTop w:val="0"/>
                                      <w:marBottom w:val="0"/>
                                      <w:divBdr>
                                        <w:top w:val="none" w:sz="0" w:space="0" w:color="auto"/>
                                        <w:left w:val="none" w:sz="0" w:space="0" w:color="auto"/>
                                        <w:bottom w:val="none" w:sz="0" w:space="0" w:color="auto"/>
                                        <w:right w:val="none" w:sz="0" w:space="0" w:color="auto"/>
                                      </w:divBdr>
                                    </w:div>
                                    <w:div w:id="262155091">
                                      <w:marLeft w:val="0"/>
                                      <w:marRight w:val="0"/>
                                      <w:marTop w:val="0"/>
                                      <w:marBottom w:val="0"/>
                                      <w:divBdr>
                                        <w:top w:val="none" w:sz="0" w:space="0" w:color="auto"/>
                                        <w:left w:val="none" w:sz="0" w:space="0" w:color="auto"/>
                                        <w:bottom w:val="none" w:sz="0" w:space="0" w:color="auto"/>
                                        <w:right w:val="none" w:sz="0" w:space="0" w:color="auto"/>
                                      </w:divBdr>
                                    </w:div>
                                    <w:div w:id="278076502">
                                      <w:marLeft w:val="0"/>
                                      <w:marRight w:val="0"/>
                                      <w:marTop w:val="0"/>
                                      <w:marBottom w:val="0"/>
                                      <w:divBdr>
                                        <w:top w:val="none" w:sz="0" w:space="0" w:color="auto"/>
                                        <w:left w:val="none" w:sz="0" w:space="0" w:color="auto"/>
                                        <w:bottom w:val="none" w:sz="0" w:space="0" w:color="auto"/>
                                        <w:right w:val="none" w:sz="0" w:space="0" w:color="auto"/>
                                      </w:divBdr>
                                    </w:div>
                                    <w:div w:id="279798717">
                                      <w:marLeft w:val="0"/>
                                      <w:marRight w:val="0"/>
                                      <w:marTop w:val="0"/>
                                      <w:marBottom w:val="0"/>
                                      <w:divBdr>
                                        <w:top w:val="none" w:sz="0" w:space="0" w:color="auto"/>
                                        <w:left w:val="none" w:sz="0" w:space="0" w:color="auto"/>
                                        <w:bottom w:val="none" w:sz="0" w:space="0" w:color="auto"/>
                                        <w:right w:val="none" w:sz="0" w:space="0" w:color="auto"/>
                                      </w:divBdr>
                                    </w:div>
                                    <w:div w:id="280889607">
                                      <w:marLeft w:val="0"/>
                                      <w:marRight w:val="0"/>
                                      <w:marTop w:val="0"/>
                                      <w:marBottom w:val="0"/>
                                      <w:divBdr>
                                        <w:top w:val="none" w:sz="0" w:space="0" w:color="auto"/>
                                        <w:left w:val="none" w:sz="0" w:space="0" w:color="auto"/>
                                        <w:bottom w:val="none" w:sz="0" w:space="0" w:color="auto"/>
                                        <w:right w:val="none" w:sz="0" w:space="0" w:color="auto"/>
                                      </w:divBdr>
                                    </w:div>
                                    <w:div w:id="284242948">
                                      <w:marLeft w:val="0"/>
                                      <w:marRight w:val="0"/>
                                      <w:marTop w:val="0"/>
                                      <w:marBottom w:val="0"/>
                                      <w:divBdr>
                                        <w:top w:val="none" w:sz="0" w:space="0" w:color="auto"/>
                                        <w:left w:val="none" w:sz="0" w:space="0" w:color="auto"/>
                                        <w:bottom w:val="none" w:sz="0" w:space="0" w:color="auto"/>
                                        <w:right w:val="none" w:sz="0" w:space="0" w:color="auto"/>
                                      </w:divBdr>
                                    </w:div>
                                    <w:div w:id="290208577">
                                      <w:marLeft w:val="0"/>
                                      <w:marRight w:val="0"/>
                                      <w:marTop w:val="0"/>
                                      <w:marBottom w:val="0"/>
                                      <w:divBdr>
                                        <w:top w:val="none" w:sz="0" w:space="0" w:color="auto"/>
                                        <w:left w:val="none" w:sz="0" w:space="0" w:color="auto"/>
                                        <w:bottom w:val="none" w:sz="0" w:space="0" w:color="auto"/>
                                        <w:right w:val="none" w:sz="0" w:space="0" w:color="auto"/>
                                      </w:divBdr>
                                    </w:div>
                                    <w:div w:id="290593133">
                                      <w:marLeft w:val="0"/>
                                      <w:marRight w:val="0"/>
                                      <w:marTop w:val="0"/>
                                      <w:marBottom w:val="0"/>
                                      <w:divBdr>
                                        <w:top w:val="none" w:sz="0" w:space="0" w:color="auto"/>
                                        <w:left w:val="none" w:sz="0" w:space="0" w:color="auto"/>
                                        <w:bottom w:val="none" w:sz="0" w:space="0" w:color="auto"/>
                                        <w:right w:val="none" w:sz="0" w:space="0" w:color="auto"/>
                                      </w:divBdr>
                                    </w:div>
                                    <w:div w:id="300431247">
                                      <w:marLeft w:val="0"/>
                                      <w:marRight w:val="0"/>
                                      <w:marTop w:val="0"/>
                                      <w:marBottom w:val="0"/>
                                      <w:divBdr>
                                        <w:top w:val="none" w:sz="0" w:space="0" w:color="auto"/>
                                        <w:left w:val="none" w:sz="0" w:space="0" w:color="auto"/>
                                        <w:bottom w:val="none" w:sz="0" w:space="0" w:color="auto"/>
                                        <w:right w:val="none" w:sz="0" w:space="0" w:color="auto"/>
                                      </w:divBdr>
                                    </w:div>
                                    <w:div w:id="320620688">
                                      <w:marLeft w:val="0"/>
                                      <w:marRight w:val="0"/>
                                      <w:marTop w:val="0"/>
                                      <w:marBottom w:val="0"/>
                                      <w:divBdr>
                                        <w:top w:val="none" w:sz="0" w:space="0" w:color="auto"/>
                                        <w:left w:val="none" w:sz="0" w:space="0" w:color="auto"/>
                                        <w:bottom w:val="none" w:sz="0" w:space="0" w:color="auto"/>
                                        <w:right w:val="none" w:sz="0" w:space="0" w:color="auto"/>
                                      </w:divBdr>
                                    </w:div>
                                    <w:div w:id="347755449">
                                      <w:marLeft w:val="0"/>
                                      <w:marRight w:val="0"/>
                                      <w:marTop w:val="0"/>
                                      <w:marBottom w:val="0"/>
                                      <w:divBdr>
                                        <w:top w:val="none" w:sz="0" w:space="0" w:color="auto"/>
                                        <w:left w:val="none" w:sz="0" w:space="0" w:color="auto"/>
                                        <w:bottom w:val="none" w:sz="0" w:space="0" w:color="auto"/>
                                        <w:right w:val="none" w:sz="0" w:space="0" w:color="auto"/>
                                      </w:divBdr>
                                    </w:div>
                                    <w:div w:id="350691869">
                                      <w:marLeft w:val="0"/>
                                      <w:marRight w:val="0"/>
                                      <w:marTop w:val="0"/>
                                      <w:marBottom w:val="0"/>
                                      <w:divBdr>
                                        <w:top w:val="none" w:sz="0" w:space="0" w:color="auto"/>
                                        <w:left w:val="none" w:sz="0" w:space="0" w:color="auto"/>
                                        <w:bottom w:val="none" w:sz="0" w:space="0" w:color="auto"/>
                                        <w:right w:val="none" w:sz="0" w:space="0" w:color="auto"/>
                                      </w:divBdr>
                                    </w:div>
                                    <w:div w:id="362639197">
                                      <w:marLeft w:val="0"/>
                                      <w:marRight w:val="0"/>
                                      <w:marTop w:val="0"/>
                                      <w:marBottom w:val="0"/>
                                      <w:divBdr>
                                        <w:top w:val="none" w:sz="0" w:space="0" w:color="auto"/>
                                        <w:left w:val="none" w:sz="0" w:space="0" w:color="auto"/>
                                        <w:bottom w:val="none" w:sz="0" w:space="0" w:color="auto"/>
                                        <w:right w:val="none" w:sz="0" w:space="0" w:color="auto"/>
                                      </w:divBdr>
                                    </w:div>
                                    <w:div w:id="377825982">
                                      <w:marLeft w:val="0"/>
                                      <w:marRight w:val="0"/>
                                      <w:marTop w:val="0"/>
                                      <w:marBottom w:val="0"/>
                                      <w:divBdr>
                                        <w:top w:val="none" w:sz="0" w:space="0" w:color="auto"/>
                                        <w:left w:val="none" w:sz="0" w:space="0" w:color="auto"/>
                                        <w:bottom w:val="none" w:sz="0" w:space="0" w:color="auto"/>
                                        <w:right w:val="none" w:sz="0" w:space="0" w:color="auto"/>
                                      </w:divBdr>
                                    </w:div>
                                    <w:div w:id="388575672">
                                      <w:marLeft w:val="0"/>
                                      <w:marRight w:val="0"/>
                                      <w:marTop w:val="0"/>
                                      <w:marBottom w:val="0"/>
                                      <w:divBdr>
                                        <w:top w:val="none" w:sz="0" w:space="0" w:color="auto"/>
                                        <w:left w:val="none" w:sz="0" w:space="0" w:color="auto"/>
                                        <w:bottom w:val="none" w:sz="0" w:space="0" w:color="auto"/>
                                        <w:right w:val="none" w:sz="0" w:space="0" w:color="auto"/>
                                      </w:divBdr>
                                    </w:div>
                                    <w:div w:id="411121772">
                                      <w:marLeft w:val="0"/>
                                      <w:marRight w:val="0"/>
                                      <w:marTop w:val="0"/>
                                      <w:marBottom w:val="0"/>
                                      <w:divBdr>
                                        <w:top w:val="none" w:sz="0" w:space="0" w:color="auto"/>
                                        <w:left w:val="none" w:sz="0" w:space="0" w:color="auto"/>
                                        <w:bottom w:val="none" w:sz="0" w:space="0" w:color="auto"/>
                                        <w:right w:val="none" w:sz="0" w:space="0" w:color="auto"/>
                                      </w:divBdr>
                                    </w:div>
                                    <w:div w:id="424040570">
                                      <w:marLeft w:val="0"/>
                                      <w:marRight w:val="0"/>
                                      <w:marTop w:val="0"/>
                                      <w:marBottom w:val="0"/>
                                      <w:divBdr>
                                        <w:top w:val="none" w:sz="0" w:space="0" w:color="auto"/>
                                        <w:left w:val="none" w:sz="0" w:space="0" w:color="auto"/>
                                        <w:bottom w:val="none" w:sz="0" w:space="0" w:color="auto"/>
                                        <w:right w:val="none" w:sz="0" w:space="0" w:color="auto"/>
                                      </w:divBdr>
                                    </w:div>
                                    <w:div w:id="437217749">
                                      <w:marLeft w:val="0"/>
                                      <w:marRight w:val="0"/>
                                      <w:marTop w:val="0"/>
                                      <w:marBottom w:val="0"/>
                                      <w:divBdr>
                                        <w:top w:val="none" w:sz="0" w:space="0" w:color="auto"/>
                                        <w:left w:val="none" w:sz="0" w:space="0" w:color="auto"/>
                                        <w:bottom w:val="none" w:sz="0" w:space="0" w:color="auto"/>
                                        <w:right w:val="none" w:sz="0" w:space="0" w:color="auto"/>
                                      </w:divBdr>
                                    </w:div>
                                    <w:div w:id="441196175">
                                      <w:marLeft w:val="0"/>
                                      <w:marRight w:val="0"/>
                                      <w:marTop w:val="0"/>
                                      <w:marBottom w:val="0"/>
                                      <w:divBdr>
                                        <w:top w:val="none" w:sz="0" w:space="0" w:color="auto"/>
                                        <w:left w:val="none" w:sz="0" w:space="0" w:color="auto"/>
                                        <w:bottom w:val="none" w:sz="0" w:space="0" w:color="auto"/>
                                        <w:right w:val="none" w:sz="0" w:space="0" w:color="auto"/>
                                      </w:divBdr>
                                    </w:div>
                                    <w:div w:id="445924318">
                                      <w:marLeft w:val="0"/>
                                      <w:marRight w:val="0"/>
                                      <w:marTop w:val="0"/>
                                      <w:marBottom w:val="0"/>
                                      <w:divBdr>
                                        <w:top w:val="none" w:sz="0" w:space="0" w:color="auto"/>
                                        <w:left w:val="none" w:sz="0" w:space="0" w:color="auto"/>
                                        <w:bottom w:val="none" w:sz="0" w:space="0" w:color="auto"/>
                                        <w:right w:val="none" w:sz="0" w:space="0" w:color="auto"/>
                                      </w:divBdr>
                                    </w:div>
                                    <w:div w:id="450057329">
                                      <w:marLeft w:val="0"/>
                                      <w:marRight w:val="0"/>
                                      <w:marTop w:val="0"/>
                                      <w:marBottom w:val="0"/>
                                      <w:divBdr>
                                        <w:top w:val="none" w:sz="0" w:space="0" w:color="auto"/>
                                        <w:left w:val="none" w:sz="0" w:space="0" w:color="auto"/>
                                        <w:bottom w:val="none" w:sz="0" w:space="0" w:color="auto"/>
                                        <w:right w:val="none" w:sz="0" w:space="0" w:color="auto"/>
                                      </w:divBdr>
                                    </w:div>
                                    <w:div w:id="471558403">
                                      <w:marLeft w:val="0"/>
                                      <w:marRight w:val="0"/>
                                      <w:marTop w:val="0"/>
                                      <w:marBottom w:val="0"/>
                                      <w:divBdr>
                                        <w:top w:val="none" w:sz="0" w:space="0" w:color="auto"/>
                                        <w:left w:val="none" w:sz="0" w:space="0" w:color="auto"/>
                                        <w:bottom w:val="none" w:sz="0" w:space="0" w:color="auto"/>
                                        <w:right w:val="none" w:sz="0" w:space="0" w:color="auto"/>
                                      </w:divBdr>
                                    </w:div>
                                    <w:div w:id="481626343">
                                      <w:marLeft w:val="0"/>
                                      <w:marRight w:val="0"/>
                                      <w:marTop w:val="0"/>
                                      <w:marBottom w:val="0"/>
                                      <w:divBdr>
                                        <w:top w:val="none" w:sz="0" w:space="0" w:color="auto"/>
                                        <w:left w:val="none" w:sz="0" w:space="0" w:color="auto"/>
                                        <w:bottom w:val="none" w:sz="0" w:space="0" w:color="auto"/>
                                        <w:right w:val="none" w:sz="0" w:space="0" w:color="auto"/>
                                      </w:divBdr>
                                    </w:div>
                                    <w:div w:id="484206165">
                                      <w:marLeft w:val="0"/>
                                      <w:marRight w:val="0"/>
                                      <w:marTop w:val="0"/>
                                      <w:marBottom w:val="0"/>
                                      <w:divBdr>
                                        <w:top w:val="none" w:sz="0" w:space="0" w:color="auto"/>
                                        <w:left w:val="none" w:sz="0" w:space="0" w:color="auto"/>
                                        <w:bottom w:val="none" w:sz="0" w:space="0" w:color="auto"/>
                                        <w:right w:val="none" w:sz="0" w:space="0" w:color="auto"/>
                                      </w:divBdr>
                                    </w:div>
                                    <w:div w:id="486946024">
                                      <w:marLeft w:val="0"/>
                                      <w:marRight w:val="0"/>
                                      <w:marTop w:val="0"/>
                                      <w:marBottom w:val="0"/>
                                      <w:divBdr>
                                        <w:top w:val="none" w:sz="0" w:space="0" w:color="auto"/>
                                        <w:left w:val="none" w:sz="0" w:space="0" w:color="auto"/>
                                        <w:bottom w:val="none" w:sz="0" w:space="0" w:color="auto"/>
                                        <w:right w:val="none" w:sz="0" w:space="0" w:color="auto"/>
                                      </w:divBdr>
                                    </w:div>
                                    <w:div w:id="493768045">
                                      <w:marLeft w:val="0"/>
                                      <w:marRight w:val="0"/>
                                      <w:marTop w:val="0"/>
                                      <w:marBottom w:val="0"/>
                                      <w:divBdr>
                                        <w:top w:val="none" w:sz="0" w:space="0" w:color="auto"/>
                                        <w:left w:val="none" w:sz="0" w:space="0" w:color="auto"/>
                                        <w:bottom w:val="none" w:sz="0" w:space="0" w:color="auto"/>
                                        <w:right w:val="none" w:sz="0" w:space="0" w:color="auto"/>
                                      </w:divBdr>
                                    </w:div>
                                    <w:div w:id="511340171">
                                      <w:marLeft w:val="0"/>
                                      <w:marRight w:val="0"/>
                                      <w:marTop w:val="0"/>
                                      <w:marBottom w:val="0"/>
                                      <w:divBdr>
                                        <w:top w:val="none" w:sz="0" w:space="0" w:color="auto"/>
                                        <w:left w:val="none" w:sz="0" w:space="0" w:color="auto"/>
                                        <w:bottom w:val="none" w:sz="0" w:space="0" w:color="auto"/>
                                        <w:right w:val="none" w:sz="0" w:space="0" w:color="auto"/>
                                      </w:divBdr>
                                    </w:div>
                                    <w:div w:id="511803286">
                                      <w:marLeft w:val="0"/>
                                      <w:marRight w:val="0"/>
                                      <w:marTop w:val="0"/>
                                      <w:marBottom w:val="0"/>
                                      <w:divBdr>
                                        <w:top w:val="none" w:sz="0" w:space="0" w:color="auto"/>
                                        <w:left w:val="none" w:sz="0" w:space="0" w:color="auto"/>
                                        <w:bottom w:val="none" w:sz="0" w:space="0" w:color="auto"/>
                                        <w:right w:val="none" w:sz="0" w:space="0" w:color="auto"/>
                                      </w:divBdr>
                                    </w:div>
                                    <w:div w:id="513037366">
                                      <w:marLeft w:val="0"/>
                                      <w:marRight w:val="0"/>
                                      <w:marTop w:val="0"/>
                                      <w:marBottom w:val="0"/>
                                      <w:divBdr>
                                        <w:top w:val="none" w:sz="0" w:space="0" w:color="auto"/>
                                        <w:left w:val="none" w:sz="0" w:space="0" w:color="auto"/>
                                        <w:bottom w:val="none" w:sz="0" w:space="0" w:color="auto"/>
                                        <w:right w:val="none" w:sz="0" w:space="0" w:color="auto"/>
                                      </w:divBdr>
                                    </w:div>
                                    <w:div w:id="516846248">
                                      <w:marLeft w:val="0"/>
                                      <w:marRight w:val="0"/>
                                      <w:marTop w:val="0"/>
                                      <w:marBottom w:val="0"/>
                                      <w:divBdr>
                                        <w:top w:val="none" w:sz="0" w:space="0" w:color="auto"/>
                                        <w:left w:val="none" w:sz="0" w:space="0" w:color="auto"/>
                                        <w:bottom w:val="none" w:sz="0" w:space="0" w:color="auto"/>
                                        <w:right w:val="none" w:sz="0" w:space="0" w:color="auto"/>
                                      </w:divBdr>
                                    </w:div>
                                    <w:div w:id="546332006">
                                      <w:marLeft w:val="0"/>
                                      <w:marRight w:val="0"/>
                                      <w:marTop w:val="0"/>
                                      <w:marBottom w:val="0"/>
                                      <w:divBdr>
                                        <w:top w:val="none" w:sz="0" w:space="0" w:color="auto"/>
                                        <w:left w:val="none" w:sz="0" w:space="0" w:color="auto"/>
                                        <w:bottom w:val="none" w:sz="0" w:space="0" w:color="auto"/>
                                        <w:right w:val="none" w:sz="0" w:space="0" w:color="auto"/>
                                      </w:divBdr>
                                    </w:div>
                                    <w:div w:id="551380239">
                                      <w:marLeft w:val="0"/>
                                      <w:marRight w:val="0"/>
                                      <w:marTop w:val="0"/>
                                      <w:marBottom w:val="0"/>
                                      <w:divBdr>
                                        <w:top w:val="none" w:sz="0" w:space="0" w:color="auto"/>
                                        <w:left w:val="none" w:sz="0" w:space="0" w:color="auto"/>
                                        <w:bottom w:val="none" w:sz="0" w:space="0" w:color="auto"/>
                                        <w:right w:val="none" w:sz="0" w:space="0" w:color="auto"/>
                                      </w:divBdr>
                                    </w:div>
                                    <w:div w:id="564486057">
                                      <w:marLeft w:val="0"/>
                                      <w:marRight w:val="0"/>
                                      <w:marTop w:val="0"/>
                                      <w:marBottom w:val="0"/>
                                      <w:divBdr>
                                        <w:top w:val="none" w:sz="0" w:space="0" w:color="auto"/>
                                        <w:left w:val="none" w:sz="0" w:space="0" w:color="auto"/>
                                        <w:bottom w:val="none" w:sz="0" w:space="0" w:color="auto"/>
                                        <w:right w:val="none" w:sz="0" w:space="0" w:color="auto"/>
                                      </w:divBdr>
                                    </w:div>
                                    <w:div w:id="564799831">
                                      <w:marLeft w:val="0"/>
                                      <w:marRight w:val="0"/>
                                      <w:marTop w:val="0"/>
                                      <w:marBottom w:val="0"/>
                                      <w:divBdr>
                                        <w:top w:val="none" w:sz="0" w:space="0" w:color="auto"/>
                                        <w:left w:val="none" w:sz="0" w:space="0" w:color="auto"/>
                                        <w:bottom w:val="none" w:sz="0" w:space="0" w:color="auto"/>
                                        <w:right w:val="none" w:sz="0" w:space="0" w:color="auto"/>
                                      </w:divBdr>
                                    </w:div>
                                    <w:div w:id="565724752">
                                      <w:marLeft w:val="0"/>
                                      <w:marRight w:val="0"/>
                                      <w:marTop w:val="0"/>
                                      <w:marBottom w:val="0"/>
                                      <w:divBdr>
                                        <w:top w:val="none" w:sz="0" w:space="0" w:color="auto"/>
                                        <w:left w:val="none" w:sz="0" w:space="0" w:color="auto"/>
                                        <w:bottom w:val="none" w:sz="0" w:space="0" w:color="auto"/>
                                        <w:right w:val="none" w:sz="0" w:space="0" w:color="auto"/>
                                      </w:divBdr>
                                    </w:div>
                                    <w:div w:id="572935788">
                                      <w:marLeft w:val="0"/>
                                      <w:marRight w:val="0"/>
                                      <w:marTop w:val="0"/>
                                      <w:marBottom w:val="0"/>
                                      <w:divBdr>
                                        <w:top w:val="none" w:sz="0" w:space="0" w:color="auto"/>
                                        <w:left w:val="none" w:sz="0" w:space="0" w:color="auto"/>
                                        <w:bottom w:val="none" w:sz="0" w:space="0" w:color="auto"/>
                                        <w:right w:val="none" w:sz="0" w:space="0" w:color="auto"/>
                                      </w:divBdr>
                                    </w:div>
                                    <w:div w:id="575088637">
                                      <w:marLeft w:val="0"/>
                                      <w:marRight w:val="0"/>
                                      <w:marTop w:val="0"/>
                                      <w:marBottom w:val="0"/>
                                      <w:divBdr>
                                        <w:top w:val="none" w:sz="0" w:space="0" w:color="auto"/>
                                        <w:left w:val="none" w:sz="0" w:space="0" w:color="auto"/>
                                        <w:bottom w:val="none" w:sz="0" w:space="0" w:color="auto"/>
                                        <w:right w:val="none" w:sz="0" w:space="0" w:color="auto"/>
                                      </w:divBdr>
                                    </w:div>
                                    <w:div w:id="575406441">
                                      <w:marLeft w:val="0"/>
                                      <w:marRight w:val="0"/>
                                      <w:marTop w:val="0"/>
                                      <w:marBottom w:val="0"/>
                                      <w:divBdr>
                                        <w:top w:val="none" w:sz="0" w:space="0" w:color="auto"/>
                                        <w:left w:val="none" w:sz="0" w:space="0" w:color="auto"/>
                                        <w:bottom w:val="none" w:sz="0" w:space="0" w:color="auto"/>
                                        <w:right w:val="none" w:sz="0" w:space="0" w:color="auto"/>
                                      </w:divBdr>
                                    </w:div>
                                    <w:div w:id="581335842">
                                      <w:marLeft w:val="0"/>
                                      <w:marRight w:val="0"/>
                                      <w:marTop w:val="0"/>
                                      <w:marBottom w:val="0"/>
                                      <w:divBdr>
                                        <w:top w:val="none" w:sz="0" w:space="0" w:color="auto"/>
                                        <w:left w:val="none" w:sz="0" w:space="0" w:color="auto"/>
                                        <w:bottom w:val="none" w:sz="0" w:space="0" w:color="auto"/>
                                        <w:right w:val="none" w:sz="0" w:space="0" w:color="auto"/>
                                      </w:divBdr>
                                    </w:div>
                                    <w:div w:id="611673481">
                                      <w:marLeft w:val="0"/>
                                      <w:marRight w:val="0"/>
                                      <w:marTop w:val="0"/>
                                      <w:marBottom w:val="0"/>
                                      <w:divBdr>
                                        <w:top w:val="none" w:sz="0" w:space="0" w:color="auto"/>
                                        <w:left w:val="none" w:sz="0" w:space="0" w:color="auto"/>
                                        <w:bottom w:val="none" w:sz="0" w:space="0" w:color="auto"/>
                                        <w:right w:val="none" w:sz="0" w:space="0" w:color="auto"/>
                                      </w:divBdr>
                                    </w:div>
                                    <w:div w:id="616834906">
                                      <w:marLeft w:val="0"/>
                                      <w:marRight w:val="0"/>
                                      <w:marTop w:val="0"/>
                                      <w:marBottom w:val="0"/>
                                      <w:divBdr>
                                        <w:top w:val="none" w:sz="0" w:space="0" w:color="auto"/>
                                        <w:left w:val="none" w:sz="0" w:space="0" w:color="auto"/>
                                        <w:bottom w:val="none" w:sz="0" w:space="0" w:color="auto"/>
                                        <w:right w:val="none" w:sz="0" w:space="0" w:color="auto"/>
                                      </w:divBdr>
                                    </w:div>
                                    <w:div w:id="628510170">
                                      <w:marLeft w:val="0"/>
                                      <w:marRight w:val="0"/>
                                      <w:marTop w:val="0"/>
                                      <w:marBottom w:val="0"/>
                                      <w:divBdr>
                                        <w:top w:val="none" w:sz="0" w:space="0" w:color="auto"/>
                                        <w:left w:val="none" w:sz="0" w:space="0" w:color="auto"/>
                                        <w:bottom w:val="none" w:sz="0" w:space="0" w:color="auto"/>
                                        <w:right w:val="none" w:sz="0" w:space="0" w:color="auto"/>
                                      </w:divBdr>
                                    </w:div>
                                    <w:div w:id="642126264">
                                      <w:marLeft w:val="0"/>
                                      <w:marRight w:val="0"/>
                                      <w:marTop w:val="0"/>
                                      <w:marBottom w:val="0"/>
                                      <w:divBdr>
                                        <w:top w:val="none" w:sz="0" w:space="0" w:color="auto"/>
                                        <w:left w:val="none" w:sz="0" w:space="0" w:color="auto"/>
                                        <w:bottom w:val="none" w:sz="0" w:space="0" w:color="auto"/>
                                        <w:right w:val="none" w:sz="0" w:space="0" w:color="auto"/>
                                      </w:divBdr>
                                    </w:div>
                                    <w:div w:id="658001299">
                                      <w:marLeft w:val="0"/>
                                      <w:marRight w:val="0"/>
                                      <w:marTop w:val="0"/>
                                      <w:marBottom w:val="0"/>
                                      <w:divBdr>
                                        <w:top w:val="none" w:sz="0" w:space="0" w:color="auto"/>
                                        <w:left w:val="none" w:sz="0" w:space="0" w:color="auto"/>
                                        <w:bottom w:val="none" w:sz="0" w:space="0" w:color="auto"/>
                                        <w:right w:val="none" w:sz="0" w:space="0" w:color="auto"/>
                                      </w:divBdr>
                                    </w:div>
                                    <w:div w:id="669526624">
                                      <w:marLeft w:val="0"/>
                                      <w:marRight w:val="0"/>
                                      <w:marTop w:val="0"/>
                                      <w:marBottom w:val="0"/>
                                      <w:divBdr>
                                        <w:top w:val="none" w:sz="0" w:space="0" w:color="auto"/>
                                        <w:left w:val="none" w:sz="0" w:space="0" w:color="auto"/>
                                        <w:bottom w:val="none" w:sz="0" w:space="0" w:color="auto"/>
                                        <w:right w:val="none" w:sz="0" w:space="0" w:color="auto"/>
                                      </w:divBdr>
                                    </w:div>
                                    <w:div w:id="676808722">
                                      <w:marLeft w:val="0"/>
                                      <w:marRight w:val="0"/>
                                      <w:marTop w:val="0"/>
                                      <w:marBottom w:val="0"/>
                                      <w:divBdr>
                                        <w:top w:val="none" w:sz="0" w:space="0" w:color="auto"/>
                                        <w:left w:val="none" w:sz="0" w:space="0" w:color="auto"/>
                                        <w:bottom w:val="none" w:sz="0" w:space="0" w:color="auto"/>
                                        <w:right w:val="none" w:sz="0" w:space="0" w:color="auto"/>
                                      </w:divBdr>
                                    </w:div>
                                    <w:div w:id="697123312">
                                      <w:marLeft w:val="0"/>
                                      <w:marRight w:val="0"/>
                                      <w:marTop w:val="0"/>
                                      <w:marBottom w:val="0"/>
                                      <w:divBdr>
                                        <w:top w:val="none" w:sz="0" w:space="0" w:color="auto"/>
                                        <w:left w:val="none" w:sz="0" w:space="0" w:color="auto"/>
                                        <w:bottom w:val="none" w:sz="0" w:space="0" w:color="auto"/>
                                        <w:right w:val="none" w:sz="0" w:space="0" w:color="auto"/>
                                      </w:divBdr>
                                    </w:div>
                                    <w:div w:id="746925823">
                                      <w:marLeft w:val="0"/>
                                      <w:marRight w:val="0"/>
                                      <w:marTop w:val="0"/>
                                      <w:marBottom w:val="0"/>
                                      <w:divBdr>
                                        <w:top w:val="none" w:sz="0" w:space="0" w:color="auto"/>
                                        <w:left w:val="none" w:sz="0" w:space="0" w:color="auto"/>
                                        <w:bottom w:val="none" w:sz="0" w:space="0" w:color="auto"/>
                                        <w:right w:val="none" w:sz="0" w:space="0" w:color="auto"/>
                                      </w:divBdr>
                                    </w:div>
                                    <w:div w:id="773522355">
                                      <w:marLeft w:val="0"/>
                                      <w:marRight w:val="0"/>
                                      <w:marTop w:val="0"/>
                                      <w:marBottom w:val="0"/>
                                      <w:divBdr>
                                        <w:top w:val="none" w:sz="0" w:space="0" w:color="auto"/>
                                        <w:left w:val="none" w:sz="0" w:space="0" w:color="auto"/>
                                        <w:bottom w:val="none" w:sz="0" w:space="0" w:color="auto"/>
                                        <w:right w:val="none" w:sz="0" w:space="0" w:color="auto"/>
                                      </w:divBdr>
                                    </w:div>
                                    <w:div w:id="778599944">
                                      <w:marLeft w:val="0"/>
                                      <w:marRight w:val="0"/>
                                      <w:marTop w:val="0"/>
                                      <w:marBottom w:val="0"/>
                                      <w:divBdr>
                                        <w:top w:val="none" w:sz="0" w:space="0" w:color="auto"/>
                                        <w:left w:val="none" w:sz="0" w:space="0" w:color="auto"/>
                                        <w:bottom w:val="none" w:sz="0" w:space="0" w:color="auto"/>
                                        <w:right w:val="none" w:sz="0" w:space="0" w:color="auto"/>
                                      </w:divBdr>
                                    </w:div>
                                    <w:div w:id="787358446">
                                      <w:marLeft w:val="0"/>
                                      <w:marRight w:val="0"/>
                                      <w:marTop w:val="0"/>
                                      <w:marBottom w:val="0"/>
                                      <w:divBdr>
                                        <w:top w:val="none" w:sz="0" w:space="0" w:color="auto"/>
                                        <w:left w:val="none" w:sz="0" w:space="0" w:color="auto"/>
                                        <w:bottom w:val="none" w:sz="0" w:space="0" w:color="auto"/>
                                        <w:right w:val="none" w:sz="0" w:space="0" w:color="auto"/>
                                      </w:divBdr>
                                    </w:div>
                                    <w:div w:id="809709846">
                                      <w:marLeft w:val="0"/>
                                      <w:marRight w:val="0"/>
                                      <w:marTop w:val="0"/>
                                      <w:marBottom w:val="0"/>
                                      <w:divBdr>
                                        <w:top w:val="none" w:sz="0" w:space="0" w:color="auto"/>
                                        <w:left w:val="none" w:sz="0" w:space="0" w:color="auto"/>
                                        <w:bottom w:val="none" w:sz="0" w:space="0" w:color="auto"/>
                                        <w:right w:val="none" w:sz="0" w:space="0" w:color="auto"/>
                                      </w:divBdr>
                                    </w:div>
                                    <w:div w:id="814760459">
                                      <w:marLeft w:val="0"/>
                                      <w:marRight w:val="0"/>
                                      <w:marTop w:val="0"/>
                                      <w:marBottom w:val="0"/>
                                      <w:divBdr>
                                        <w:top w:val="none" w:sz="0" w:space="0" w:color="auto"/>
                                        <w:left w:val="none" w:sz="0" w:space="0" w:color="auto"/>
                                        <w:bottom w:val="none" w:sz="0" w:space="0" w:color="auto"/>
                                        <w:right w:val="none" w:sz="0" w:space="0" w:color="auto"/>
                                      </w:divBdr>
                                    </w:div>
                                    <w:div w:id="834489401">
                                      <w:marLeft w:val="0"/>
                                      <w:marRight w:val="0"/>
                                      <w:marTop w:val="0"/>
                                      <w:marBottom w:val="0"/>
                                      <w:divBdr>
                                        <w:top w:val="none" w:sz="0" w:space="0" w:color="auto"/>
                                        <w:left w:val="none" w:sz="0" w:space="0" w:color="auto"/>
                                        <w:bottom w:val="none" w:sz="0" w:space="0" w:color="auto"/>
                                        <w:right w:val="none" w:sz="0" w:space="0" w:color="auto"/>
                                      </w:divBdr>
                                    </w:div>
                                    <w:div w:id="848372653">
                                      <w:marLeft w:val="0"/>
                                      <w:marRight w:val="0"/>
                                      <w:marTop w:val="0"/>
                                      <w:marBottom w:val="0"/>
                                      <w:divBdr>
                                        <w:top w:val="none" w:sz="0" w:space="0" w:color="auto"/>
                                        <w:left w:val="none" w:sz="0" w:space="0" w:color="auto"/>
                                        <w:bottom w:val="none" w:sz="0" w:space="0" w:color="auto"/>
                                        <w:right w:val="none" w:sz="0" w:space="0" w:color="auto"/>
                                      </w:divBdr>
                                    </w:div>
                                    <w:div w:id="869105255">
                                      <w:marLeft w:val="0"/>
                                      <w:marRight w:val="0"/>
                                      <w:marTop w:val="0"/>
                                      <w:marBottom w:val="0"/>
                                      <w:divBdr>
                                        <w:top w:val="none" w:sz="0" w:space="0" w:color="auto"/>
                                        <w:left w:val="none" w:sz="0" w:space="0" w:color="auto"/>
                                        <w:bottom w:val="none" w:sz="0" w:space="0" w:color="auto"/>
                                        <w:right w:val="none" w:sz="0" w:space="0" w:color="auto"/>
                                      </w:divBdr>
                                    </w:div>
                                    <w:div w:id="872696833">
                                      <w:marLeft w:val="0"/>
                                      <w:marRight w:val="0"/>
                                      <w:marTop w:val="0"/>
                                      <w:marBottom w:val="0"/>
                                      <w:divBdr>
                                        <w:top w:val="none" w:sz="0" w:space="0" w:color="auto"/>
                                        <w:left w:val="none" w:sz="0" w:space="0" w:color="auto"/>
                                        <w:bottom w:val="none" w:sz="0" w:space="0" w:color="auto"/>
                                        <w:right w:val="none" w:sz="0" w:space="0" w:color="auto"/>
                                      </w:divBdr>
                                    </w:div>
                                    <w:div w:id="874343023">
                                      <w:marLeft w:val="0"/>
                                      <w:marRight w:val="0"/>
                                      <w:marTop w:val="0"/>
                                      <w:marBottom w:val="0"/>
                                      <w:divBdr>
                                        <w:top w:val="none" w:sz="0" w:space="0" w:color="auto"/>
                                        <w:left w:val="none" w:sz="0" w:space="0" w:color="auto"/>
                                        <w:bottom w:val="none" w:sz="0" w:space="0" w:color="auto"/>
                                        <w:right w:val="none" w:sz="0" w:space="0" w:color="auto"/>
                                      </w:divBdr>
                                    </w:div>
                                    <w:div w:id="883643555">
                                      <w:marLeft w:val="0"/>
                                      <w:marRight w:val="0"/>
                                      <w:marTop w:val="0"/>
                                      <w:marBottom w:val="0"/>
                                      <w:divBdr>
                                        <w:top w:val="none" w:sz="0" w:space="0" w:color="auto"/>
                                        <w:left w:val="none" w:sz="0" w:space="0" w:color="auto"/>
                                        <w:bottom w:val="none" w:sz="0" w:space="0" w:color="auto"/>
                                        <w:right w:val="none" w:sz="0" w:space="0" w:color="auto"/>
                                      </w:divBdr>
                                    </w:div>
                                    <w:div w:id="905915965">
                                      <w:marLeft w:val="0"/>
                                      <w:marRight w:val="0"/>
                                      <w:marTop w:val="0"/>
                                      <w:marBottom w:val="0"/>
                                      <w:divBdr>
                                        <w:top w:val="none" w:sz="0" w:space="0" w:color="auto"/>
                                        <w:left w:val="none" w:sz="0" w:space="0" w:color="auto"/>
                                        <w:bottom w:val="none" w:sz="0" w:space="0" w:color="auto"/>
                                        <w:right w:val="none" w:sz="0" w:space="0" w:color="auto"/>
                                      </w:divBdr>
                                    </w:div>
                                    <w:div w:id="917373204">
                                      <w:marLeft w:val="0"/>
                                      <w:marRight w:val="0"/>
                                      <w:marTop w:val="0"/>
                                      <w:marBottom w:val="0"/>
                                      <w:divBdr>
                                        <w:top w:val="none" w:sz="0" w:space="0" w:color="auto"/>
                                        <w:left w:val="none" w:sz="0" w:space="0" w:color="auto"/>
                                        <w:bottom w:val="none" w:sz="0" w:space="0" w:color="auto"/>
                                        <w:right w:val="none" w:sz="0" w:space="0" w:color="auto"/>
                                      </w:divBdr>
                                    </w:div>
                                    <w:div w:id="925042412">
                                      <w:marLeft w:val="0"/>
                                      <w:marRight w:val="0"/>
                                      <w:marTop w:val="0"/>
                                      <w:marBottom w:val="0"/>
                                      <w:divBdr>
                                        <w:top w:val="none" w:sz="0" w:space="0" w:color="auto"/>
                                        <w:left w:val="none" w:sz="0" w:space="0" w:color="auto"/>
                                        <w:bottom w:val="none" w:sz="0" w:space="0" w:color="auto"/>
                                        <w:right w:val="none" w:sz="0" w:space="0" w:color="auto"/>
                                      </w:divBdr>
                                    </w:div>
                                    <w:div w:id="928271089">
                                      <w:marLeft w:val="0"/>
                                      <w:marRight w:val="0"/>
                                      <w:marTop w:val="0"/>
                                      <w:marBottom w:val="0"/>
                                      <w:divBdr>
                                        <w:top w:val="none" w:sz="0" w:space="0" w:color="auto"/>
                                        <w:left w:val="none" w:sz="0" w:space="0" w:color="auto"/>
                                        <w:bottom w:val="none" w:sz="0" w:space="0" w:color="auto"/>
                                        <w:right w:val="none" w:sz="0" w:space="0" w:color="auto"/>
                                      </w:divBdr>
                                    </w:div>
                                    <w:div w:id="935215500">
                                      <w:marLeft w:val="0"/>
                                      <w:marRight w:val="0"/>
                                      <w:marTop w:val="0"/>
                                      <w:marBottom w:val="0"/>
                                      <w:divBdr>
                                        <w:top w:val="none" w:sz="0" w:space="0" w:color="auto"/>
                                        <w:left w:val="none" w:sz="0" w:space="0" w:color="auto"/>
                                        <w:bottom w:val="none" w:sz="0" w:space="0" w:color="auto"/>
                                        <w:right w:val="none" w:sz="0" w:space="0" w:color="auto"/>
                                      </w:divBdr>
                                    </w:div>
                                    <w:div w:id="943850209">
                                      <w:marLeft w:val="0"/>
                                      <w:marRight w:val="0"/>
                                      <w:marTop w:val="0"/>
                                      <w:marBottom w:val="0"/>
                                      <w:divBdr>
                                        <w:top w:val="none" w:sz="0" w:space="0" w:color="auto"/>
                                        <w:left w:val="none" w:sz="0" w:space="0" w:color="auto"/>
                                        <w:bottom w:val="none" w:sz="0" w:space="0" w:color="auto"/>
                                        <w:right w:val="none" w:sz="0" w:space="0" w:color="auto"/>
                                      </w:divBdr>
                                    </w:div>
                                    <w:div w:id="947930939">
                                      <w:marLeft w:val="0"/>
                                      <w:marRight w:val="0"/>
                                      <w:marTop w:val="0"/>
                                      <w:marBottom w:val="0"/>
                                      <w:divBdr>
                                        <w:top w:val="none" w:sz="0" w:space="0" w:color="auto"/>
                                        <w:left w:val="none" w:sz="0" w:space="0" w:color="auto"/>
                                        <w:bottom w:val="none" w:sz="0" w:space="0" w:color="auto"/>
                                        <w:right w:val="none" w:sz="0" w:space="0" w:color="auto"/>
                                      </w:divBdr>
                                    </w:div>
                                    <w:div w:id="948465790">
                                      <w:marLeft w:val="0"/>
                                      <w:marRight w:val="0"/>
                                      <w:marTop w:val="0"/>
                                      <w:marBottom w:val="0"/>
                                      <w:divBdr>
                                        <w:top w:val="none" w:sz="0" w:space="0" w:color="auto"/>
                                        <w:left w:val="none" w:sz="0" w:space="0" w:color="auto"/>
                                        <w:bottom w:val="none" w:sz="0" w:space="0" w:color="auto"/>
                                        <w:right w:val="none" w:sz="0" w:space="0" w:color="auto"/>
                                      </w:divBdr>
                                    </w:div>
                                    <w:div w:id="954866533">
                                      <w:marLeft w:val="0"/>
                                      <w:marRight w:val="0"/>
                                      <w:marTop w:val="0"/>
                                      <w:marBottom w:val="0"/>
                                      <w:divBdr>
                                        <w:top w:val="none" w:sz="0" w:space="0" w:color="auto"/>
                                        <w:left w:val="none" w:sz="0" w:space="0" w:color="auto"/>
                                        <w:bottom w:val="none" w:sz="0" w:space="0" w:color="auto"/>
                                        <w:right w:val="none" w:sz="0" w:space="0" w:color="auto"/>
                                      </w:divBdr>
                                    </w:div>
                                    <w:div w:id="965428408">
                                      <w:marLeft w:val="0"/>
                                      <w:marRight w:val="0"/>
                                      <w:marTop w:val="0"/>
                                      <w:marBottom w:val="0"/>
                                      <w:divBdr>
                                        <w:top w:val="none" w:sz="0" w:space="0" w:color="auto"/>
                                        <w:left w:val="none" w:sz="0" w:space="0" w:color="auto"/>
                                        <w:bottom w:val="none" w:sz="0" w:space="0" w:color="auto"/>
                                        <w:right w:val="none" w:sz="0" w:space="0" w:color="auto"/>
                                      </w:divBdr>
                                    </w:div>
                                    <w:div w:id="992101454">
                                      <w:marLeft w:val="0"/>
                                      <w:marRight w:val="0"/>
                                      <w:marTop w:val="0"/>
                                      <w:marBottom w:val="0"/>
                                      <w:divBdr>
                                        <w:top w:val="none" w:sz="0" w:space="0" w:color="auto"/>
                                        <w:left w:val="none" w:sz="0" w:space="0" w:color="auto"/>
                                        <w:bottom w:val="none" w:sz="0" w:space="0" w:color="auto"/>
                                        <w:right w:val="none" w:sz="0" w:space="0" w:color="auto"/>
                                      </w:divBdr>
                                    </w:div>
                                    <w:div w:id="993872976">
                                      <w:marLeft w:val="0"/>
                                      <w:marRight w:val="0"/>
                                      <w:marTop w:val="0"/>
                                      <w:marBottom w:val="0"/>
                                      <w:divBdr>
                                        <w:top w:val="none" w:sz="0" w:space="0" w:color="auto"/>
                                        <w:left w:val="none" w:sz="0" w:space="0" w:color="auto"/>
                                        <w:bottom w:val="none" w:sz="0" w:space="0" w:color="auto"/>
                                        <w:right w:val="none" w:sz="0" w:space="0" w:color="auto"/>
                                      </w:divBdr>
                                    </w:div>
                                    <w:div w:id="998776233">
                                      <w:marLeft w:val="0"/>
                                      <w:marRight w:val="0"/>
                                      <w:marTop w:val="0"/>
                                      <w:marBottom w:val="0"/>
                                      <w:divBdr>
                                        <w:top w:val="none" w:sz="0" w:space="0" w:color="auto"/>
                                        <w:left w:val="none" w:sz="0" w:space="0" w:color="auto"/>
                                        <w:bottom w:val="none" w:sz="0" w:space="0" w:color="auto"/>
                                        <w:right w:val="none" w:sz="0" w:space="0" w:color="auto"/>
                                      </w:divBdr>
                                    </w:div>
                                    <w:div w:id="1007095102">
                                      <w:marLeft w:val="0"/>
                                      <w:marRight w:val="0"/>
                                      <w:marTop w:val="0"/>
                                      <w:marBottom w:val="0"/>
                                      <w:divBdr>
                                        <w:top w:val="none" w:sz="0" w:space="0" w:color="auto"/>
                                        <w:left w:val="none" w:sz="0" w:space="0" w:color="auto"/>
                                        <w:bottom w:val="none" w:sz="0" w:space="0" w:color="auto"/>
                                        <w:right w:val="none" w:sz="0" w:space="0" w:color="auto"/>
                                      </w:divBdr>
                                    </w:div>
                                    <w:div w:id="1011293429">
                                      <w:marLeft w:val="0"/>
                                      <w:marRight w:val="0"/>
                                      <w:marTop w:val="0"/>
                                      <w:marBottom w:val="0"/>
                                      <w:divBdr>
                                        <w:top w:val="none" w:sz="0" w:space="0" w:color="auto"/>
                                        <w:left w:val="none" w:sz="0" w:space="0" w:color="auto"/>
                                        <w:bottom w:val="none" w:sz="0" w:space="0" w:color="auto"/>
                                        <w:right w:val="none" w:sz="0" w:space="0" w:color="auto"/>
                                      </w:divBdr>
                                    </w:div>
                                    <w:div w:id="1012299930">
                                      <w:marLeft w:val="0"/>
                                      <w:marRight w:val="0"/>
                                      <w:marTop w:val="0"/>
                                      <w:marBottom w:val="0"/>
                                      <w:divBdr>
                                        <w:top w:val="none" w:sz="0" w:space="0" w:color="auto"/>
                                        <w:left w:val="none" w:sz="0" w:space="0" w:color="auto"/>
                                        <w:bottom w:val="none" w:sz="0" w:space="0" w:color="auto"/>
                                        <w:right w:val="none" w:sz="0" w:space="0" w:color="auto"/>
                                      </w:divBdr>
                                    </w:div>
                                    <w:div w:id="1026368601">
                                      <w:marLeft w:val="0"/>
                                      <w:marRight w:val="0"/>
                                      <w:marTop w:val="0"/>
                                      <w:marBottom w:val="0"/>
                                      <w:divBdr>
                                        <w:top w:val="none" w:sz="0" w:space="0" w:color="auto"/>
                                        <w:left w:val="none" w:sz="0" w:space="0" w:color="auto"/>
                                        <w:bottom w:val="none" w:sz="0" w:space="0" w:color="auto"/>
                                        <w:right w:val="none" w:sz="0" w:space="0" w:color="auto"/>
                                      </w:divBdr>
                                    </w:div>
                                    <w:div w:id="1028919335">
                                      <w:marLeft w:val="0"/>
                                      <w:marRight w:val="0"/>
                                      <w:marTop w:val="0"/>
                                      <w:marBottom w:val="0"/>
                                      <w:divBdr>
                                        <w:top w:val="none" w:sz="0" w:space="0" w:color="auto"/>
                                        <w:left w:val="none" w:sz="0" w:space="0" w:color="auto"/>
                                        <w:bottom w:val="none" w:sz="0" w:space="0" w:color="auto"/>
                                        <w:right w:val="none" w:sz="0" w:space="0" w:color="auto"/>
                                      </w:divBdr>
                                    </w:div>
                                    <w:div w:id="1033193151">
                                      <w:marLeft w:val="0"/>
                                      <w:marRight w:val="0"/>
                                      <w:marTop w:val="0"/>
                                      <w:marBottom w:val="0"/>
                                      <w:divBdr>
                                        <w:top w:val="none" w:sz="0" w:space="0" w:color="auto"/>
                                        <w:left w:val="none" w:sz="0" w:space="0" w:color="auto"/>
                                        <w:bottom w:val="none" w:sz="0" w:space="0" w:color="auto"/>
                                        <w:right w:val="none" w:sz="0" w:space="0" w:color="auto"/>
                                      </w:divBdr>
                                    </w:div>
                                    <w:div w:id="1038508547">
                                      <w:marLeft w:val="0"/>
                                      <w:marRight w:val="0"/>
                                      <w:marTop w:val="0"/>
                                      <w:marBottom w:val="0"/>
                                      <w:divBdr>
                                        <w:top w:val="none" w:sz="0" w:space="0" w:color="auto"/>
                                        <w:left w:val="none" w:sz="0" w:space="0" w:color="auto"/>
                                        <w:bottom w:val="none" w:sz="0" w:space="0" w:color="auto"/>
                                        <w:right w:val="none" w:sz="0" w:space="0" w:color="auto"/>
                                      </w:divBdr>
                                    </w:div>
                                    <w:div w:id="1048995744">
                                      <w:marLeft w:val="0"/>
                                      <w:marRight w:val="0"/>
                                      <w:marTop w:val="0"/>
                                      <w:marBottom w:val="0"/>
                                      <w:divBdr>
                                        <w:top w:val="none" w:sz="0" w:space="0" w:color="auto"/>
                                        <w:left w:val="none" w:sz="0" w:space="0" w:color="auto"/>
                                        <w:bottom w:val="none" w:sz="0" w:space="0" w:color="auto"/>
                                        <w:right w:val="none" w:sz="0" w:space="0" w:color="auto"/>
                                      </w:divBdr>
                                    </w:div>
                                    <w:div w:id="1056977987">
                                      <w:marLeft w:val="0"/>
                                      <w:marRight w:val="0"/>
                                      <w:marTop w:val="0"/>
                                      <w:marBottom w:val="0"/>
                                      <w:divBdr>
                                        <w:top w:val="none" w:sz="0" w:space="0" w:color="auto"/>
                                        <w:left w:val="none" w:sz="0" w:space="0" w:color="auto"/>
                                        <w:bottom w:val="none" w:sz="0" w:space="0" w:color="auto"/>
                                        <w:right w:val="none" w:sz="0" w:space="0" w:color="auto"/>
                                      </w:divBdr>
                                    </w:div>
                                    <w:div w:id="1102536219">
                                      <w:marLeft w:val="0"/>
                                      <w:marRight w:val="0"/>
                                      <w:marTop w:val="0"/>
                                      <w:marBottom w:val="0"/>
                                      <w:divBdr>
                                        <w:top w:val="none" w:sz="0" w:space="0" w:color="auto"/>
                                        <w:left w:val="none" w:sz="0" w:space="0" w:color="auto"/>
                                        <w:bottom w:val="none" w:sz="0" w:space="0" w:color="auto"/>
                                        <w:right w:val="none" w:sz="0" w:space="0" w:color="auto"/>
                                      </w:divBdr>
                                    </w:div>
                                    <w:div w:id="1110196884">
                                      <w:marLeft w:val="0"/>
                                      <w:marRight w:val="0"/>
                                      <w:marTop w:val="0"/>
                                      <w:marBottom w:val="0"/>
                                      <w:divBdr>
                                        <w:top w:val="none" w:sz="0" w:space="0" w:color="auto"/>
                                        <w:left w:val="none" w:sz="0" w:space="0" w:color="auto"/>
                                        <w:bottom w:val="none" w:sz="0" w:space="0" w:color="auto"/>
                                        <w:right w:val="none" w:sz="0" w:space="0" w:color="auto"/>
                                      </w:divBdr>
                                    </w:div>
                                    <w:div w:id="1112045149">
                                      <w:marLeft w:val="0"/>
                                      <w:marRight w:val="0"/>
                                      <w:marTop w:val="0"/>
                                      <w:marBottom w:val="0"/>
                                      <w:divBdr>
                                        <w:top w:val="none" w:sz="0" w:space="0" w:color="auto"/>
                                        <w:left w:val="none" w:sz="0" w:space="0" w:color="auto"/>
                                        <w:bottom w:val="none" w:sz="0" w:space="0" w:color="auto"/>
                                        <w:right w:val="none" w:sz="0" w:space="0" w:color="auto"/>
                                      </w:divBdr>
                                    </w:div>
                                    <w:div w:id="1117873386">
                                      <w:marLeft w:val="0"/>
                                      <w:marRight w:val="0"/>
                                      <w:marTop w:val="0"/>
                                      <w:marBottom w:val="0"/>
                                      <w:divBdr>
                                        <w:top w:val="none" w:sz="0" w:space="0" w:color="auto"/>
                                        <w:left w:val="none" w:sz="0" w:space="0" w:color="auto"/>
                                        <w:bottom w:val="none" w:sz="0" w:space="0" w:color="auto"/>
                                        <w:right w:val="none" w:sz="0" w:space="0" w:color="auto"/>
                                      </w:divBdr>
                                    </w:div>
                                    <w:div w:id="1119448410">
                                      <w:marLeft w:val="0"/>
                                      <w:marRight w:val="0"/>
                                      <w:marTop w:val="0"/>
                                      <w:marBottom w:val="0"/>
                                      <w:divBdr>
                                        <w:top w:val="none" w:sz="0" w:space="0" w:color="auto"/>
                                        <w:left w:val="none" w:sz="0" w:space="0" w:color="auto"/>
                                        <w:bottom w:val="none" w:sz="0" w:space="0" w:color="auto"/>
                                        <w:right w:val="none" w:sz="0" w:space="0" w:color="auto"/>
                                      </w:divBdr>
                                    </w:div>
                                    <w:div w:id="1134059102">
                                      <w:marLeft w:val="0"/>
                                      <w:marRight w:val="0"/>
                                      <w:marTop w:val="0"/>
                                      <w:marBottom w:val="0"/>
                                      <w:divBdr>
                                        <w:top w:val="none" w:sz="0" w:space="0" w:color="auto"/>
                                        <w:left w:val="none" w:sz="0" w:space="0" w:color="auto"/>
                                        <w:bottom w:val="none" w:sz="0" w:space="0" w:color="auto"/>
                                        <w:right w:val="none" w:sz="0" w:space="0" w:color="auto"/>
                                      </w:divBdr>
                                    </w:div>
                                    <w:div w:id="1189295108">
                                      <w:marLeft w:val="0"/>
                                      <w:marRight w:val="0"/>
                                      <w:marTop w:val="0"/>
                                      <w:marBottom w:val="0"/>
                                      <w:divBdr>
                                        <w:top w:val="none" w:sz="0" w:space="0" w:color="auto"/>
                                        <w:left w:val="none" w:sz="0" w:space="0" w:color="auto"/>
                                        <w:bottom w:val="none" w:sz="0" w:space="0" w:color="auto"/>
                                        <w:right w:val="none" w:sz="0" w:space="0" w:color="auto"/>
                                      </w:divBdr>
                                    </w:div>
                                    <w:div w:id="1216888905">
                                      <w:marLeft w:val="0"/>
                                      <w:marRight w:val="0"/>
                                      <w:marTop w:val="0"/>
                                      <w:marBottom w:val="0"/>
                                      <w:divBdr>
                                        <w:top w:val="none" w:sz="0" w:space="0" w:color="auto"/>
                                        <w:left w:val="none" w:sz="0" w:space="0" w:color="auto"/>
                                        <w:bottom w:val="none" w:sz="0" w:space="0" w:color="auto"/>
                                        <w:right w:val="none" w:sz="0" w:space="0" w:color="auto"/>
                                      </w:divBdr>
                                    </w:div>
                                    <w:div w:id="1231620232">
                                      <w:marLeft w:val="0"/>
                                      <w:marRight w:val="0"/>
                                      <w:marTop w:val="0"/>
                                      <w:marBottom w:val="0"/>
                                      <w:divBdr>
                                        <w:top w:val="none" w:sz="0" w:space="0" w:color="auto"/>
                                        <w:left w:val="none" w:sz="0" w:space="0" w:color="auto"/>
                                        <w:bottom w:val="none" w:sz="0" w:space="0" w:color="auto"/>
                                        <w:right w:val="none" w:sz="0" w:space="0" w:color="auto"/>
                                      </w:divBdr>
                                    </w:div>
                                    <w:div w:id="1244536360">
                                      <w:marLeft w:val="0"/>
                                      <w:marRight w:val="0"/>
                                      <w:marTop w:val="0"/>
                                      <w:marBottom w:val="0"/>
                                      <w:divBdr>
                                        <w:top w:val="none" w:sz="0" w:space="0" w:color="auto"/>
                                        <w:left w:val="none" w:sz="0" w:space="0" w:color="auto"/>
                                        <w:bottom w:val="none" w:sz="0" w:space="0" w:color="auto"/>
                                        <w:right w:val="none" w:sz="0" w:space="0" w:color="auto"/>
                                      </w:divBdr>
                                    </w:div>
                                    <w:div w:id="1292782237">
                                      <w:marLeft w:val="0"/>
                                      <w:marRight w:val="0"/>
                                      <w:marTop w:val="0"/>
                                      <w:marBottom w:val="0"/>
                                      <w:divBdr>
                                        <w:top w:val="none" w:sz="0" w:space="0" w:color="auto"/>
                                        <w:left w:val="none" w:sz="0" w:space="0" w:color="auto"/>
                                        <w:bottom w:val="none" w:sz="0" w:space="0" w:color="auto"/>
                                        <w:right w:val="none" w:sz="0" w:space="0" w:color="auto"/>
                                      </w:divBdr>
                                    </w:div>
                                    <w:div w:id="1300501697">
                                      <w:marLeft w:val="0"/>
                                      <w:marRight w:val="0"/>
                                      <w:marTop w:val="0"/>
                                      <w:marBottom w:val="0"/>
                                      <w:divBdr>
                                        <w:top w:val="none" w:sz="0" w:space="0" w:color="auto"/>
                                        <w:left w:val="none" w:sz="0" w:space="0" w:color="auto"/>
                                        <w:bottom w:val="none" w:sz="0" w:space="0" w:color="auto"/>
                                        <w:right w:val="none" w:sz="0" w:space="0" w:color="auto"/>
                                      </w:divBdr>
                                    </w:div>
                                    <w:div w:id="1311596100">
                                      <w:marLeft w:val="0"/>
                                      <w:marRight w:val="0"/>
                                      <w:marTop w:val="0"/>
                                      <w:marBottom w:val="0"/>
                                      <w:divBdr>
                                        <w:top w:val="none" w:sz="0" w:space="0" w:color="auto"/>
                                        <w:left w:val="none" w:sz="0" w:space="0" w:color="auto"/>
                                        <w:bottom w:val="none" w:sz="0" w:space="0" w:color="auto"/>
                                        <w:right w:val="none" w:sz="0" w:space="0" w:color="auto"/>
                                      </w:divBdr>
                                    </w:div>
                                    <w:div w:id="1321347208">
                                      <w:marLeft w:val="0"/>
                                      <w:marRight w:val="0"/>
                                      <w:marTop w:val="0"/>
                                      <w:marBottom w:val="0"/>
                                      <w:divBdr>
                                        <w:top w:val="none" w:sz="0" w:space="0" w:color="auto"/>
                                        <w:left w:val="none" w:sz="0" w:space="0" w:color="auto"/>
                                        <w:bottom w:val="none" w:sz="0" w:space="0" w:color="auto"/>
                                        <w:right w:val="none" w:sz="0" w:space="0" w:color="auto"/>
                                      </w:divBdr>
                                    </w:div>
                                    <w:div w:id="1322655726">
                                      <w:marLeft w:val="0"/>
                                      <w:marRight w:val="0"/>
                                      <w:marTop w:val="0"/>
                                      <w:marBottom w:val="0"/>
                                      <w:divBdr>
                                        <w:top w:val="none" w:sz="0" w:space="0" w:color="auto"/>
                                        <w:left w:val="none" w:sz="0" w:space="0" w:color="auto"/>
                                        <w:bottom w:val="none" w:sz="0" w:space="0" w:color="auto"/>
                                        <w:right w:val="none" w:sz="0" w:space="0" w:color="auto"/>
                                      </w:divBdr>
                                    </w:div>
                                    <w:div w:id="1331710855">
                                      <w:marLeft w:val="0"/>
                                      <w:marRight w:val="0"/>
                                      <w:marTop w:val="0"/>
                                      <w:marBottom w:val="0"/>
                                      <w:divBdr>
                                        <w:top w:val="none" w:sz="0" w:space="0" w:color="auto"/>
                                        <w:left w:val="none" w:sz="0" w:space="0" w:color="auto"/>
                                        <w:bottom w:val="none" w:sz="0" w:space="0" w:color="auto"/>
                                        <w:right w:val="none" w:sz="0" w:space="0" w:color="auto"/>
                                      </w:divBdr>
                                    </w:div>
                                    <w:div w:id="1360012770">
                                      <w:marLeft w:val="0"/>
                                      <w:marRight w:val="0"/>
                                      <w:marTop w:val="0"/>
                                      <w:marBottom w:val="0"/>
                                      <w:divBdr>
                                        <w:top w:val="none" w:sz="0" w:space="0" w:color="auto"/>
                                        <w:left w:val="none" w:sz="0" w:space="0" w:color="auto"/>
                                        <w:bottom w:val="none" w:sz="0" w:space="0" w:color="auto"/>
                                        <w:right w:val="none" w:sz="0" w:space="0" w:color="auto"/>
                                      </w:divBdr>
                                    </w:div>
                                    <w:div w:id="1362902598">
                                      <w:marLeft w:val="0"/>
                                      <w:marRight w:val="0"/>
                                      <w:marTop w:val="0"/>
                                      <w:marBottom w:val="0"/>
                                      <w:divBdr>
                                        <w:top w:val="none" w:sz="0" w:space="0" w:color="auto"/>
                                        <w:left w:val="none" w:sz="0" w:space="0" w:color="auto"/>
                                        <w:bottom w:val="none" w:sz="0" w:space="0" w:color="auto"/>
                                        <w:right w:val="none" w:sz="0" w:space="0" w:color="auto"/>
                                      </w:divBdr>
                                    </w:div>
                                    <w:div w:id="1373916558">
                                      <w:marLeft w:val="0"/>
                                      <w:marRight w:val="0"/>
                                      <w:marTop w:val="0"/>
                                      <w:marBottom w:val="0"/>
                                      <w:divBdr>
                                        <w:top w:val="none" w:sz="0" w:space="0" w:color="auto"/>
                                        <w:left w:val="none" w:sz="0" w:space="0" w:color="auto"/>
                                        <w:bottom w:val="none" w:sz="0" w:space="0" w:color="auto"/>
                                        <w:right w:val="none" w:sz="0" w:space="0" w:color="auto"/>
                                      </w:divBdr>
                                    </w:div>
                                    <w:div w:id="1375615355">
                                      <w:marLeft w:val="0"/>
                                      <w:marRight w:val="0"/>
                                      <w:marTop w:val="0"/>
                                      <w:marBottom w:val="0"/>
                                      <w:divBdr>
                                        <w:top w:val="none" w:sz="0" w:space="0" w:color="auto"/>
                                        <w:left w:val="none" w:sz="0" w:space="0" w:color="auto"/>
                                        <w:bottom w:val="none" w:sz="0" w:space="0" w:color="auto"/>
                                        <w:right w:val="none" w:sz="0" w:space="0" w:color="auto"/>
                                      </w:divBdr>
                                    </w:div>
                                    <w:div w:id="1378968538">
                                      <w:marLeft w:val="0"/>
                                      <w:marRight w:val="0"/>
                                      <w:marTop w:val="0"/>
                                      <w:marBottom w:val="0"/>
                                      <w:divBdr>
                                        <w:top w:val="none" w:sz="0" w:space="0" w:color="auto"/>
                                        <w:left w:val="none" w:sz="0" w:space="0" w:color="auto"/>
                                        <w:bottom w:val="none" w:sz="0" w:space="0" w:color="auto"/>
                                        <w:right w:val="none" w:sz="0" w:space="0" w:color="auto"/>
                                      </w:divBdr>
                                    </w:div>
                                    <w:div w:id="1389187250">
                                      <w:marLeft w:val="0"/>
                                      <w:marRight w:val="0"/>
                                      <w:marTop w:val="0"/>
                                      <w:marBottom w:val="0"/>
                                      <w:divBdr>
                                        <w:top w:val="none" w:sz="0" w:space="0" w:color="auto"/>
                                        <w:left w:val="none" w:sz="0" w:space="0" w:color="auto"/>
                                        <w:bottom w:val="none" w:sz="0" w:space="0" w:color="auto"/>
                                        <w:right w:val="none" w:sz="0" w:space="0" w:color="auto"/>
                                      </w:divBdr>
                                    </w:div>
                                    <w:div w:id="1397051224">
                                      <w:marLeft w:val="0"/>
                                      <w:marRight w:val="0"/>
                                      <w:marTop w:val="0"/>
                                      <w:marBottom w:val="0"/>
                                      <w:divBdr>
                                        <w:top w:val="none" w:sz="0" w:space="0" w:color="auto"/>
                                        <w:left w:val="none" w:sz="0" w:space="0" w:color="auto"/>
                                        <w:bottom w:val="none" w:sz="0" w:space="0" w:color="auto"/>
                                        <w:right w:val="none" w:sz="0" w:space="0" w:color="auto"/>
                                      </w:divBdr>
                                    </w:div>
                                    <w:div w:id="1419712219">
                                      <w:marLeft w:val="0"/>
                                      <w:marRight w:val="0"/>
                                      <w:marTop w:val="0"/>
                                      <w:marBottom w:val="0"/>
                                      <w:divBdr>
                                        <w:top w:val="none" w:sz="0" w:space="0" w:color="auto"/>
                                        <w:left w:val="none" w:sz="0" w:space="0" w:color="auto"/>
                                        <w:bottom w:val="none" w:sz="0" w:space="0" w:color="auto"/>
                                        <w:right w:val="none" w:sz="0" w:space="0" w:color="auto"/>
                                      </w:divBdr>
                                    </w:div>
                                    <w:div w:id="1420365263">
                                      <w:marLeft w:val="0"/>
                                      <w:marRight w:val="0"/>
                                      <w:marTop w:val="0"/>
                                      <w:marBottom w:val="0"/>
                                      <w:divBdr>
                                        <w:top w:val="none" w:sz="0" w:space="0" w:color="auto"/>
                                        <w:left w:val="none" w:sz="0" w:space="0" w:color="auto"/>
                                        <w:bottom w:val="none" w:sz="0" w:space="0" w:color="auto"/>
                                        <w:right w:val="none" w:sz="0" w:space="0" w:color="auto"/>
                                      </w:divBdr>
                                    </w:div>
                                    <w:div w:id="1427799687">
                                      <w:marLeft w:val="0"/>
                                      <w:marRight w:val="0"/>
                                      <w:marTop w:val="0"/>
                                      <w:marBottom w:val="0"/>
                                      <w:divBdr>
                                        <w:top w:val="none" w:sz="0" w:space="0" w:color="auto"/>
                                        <w:left w:val="none" w:sz="0" w:space="0" w:color="auto"/>
                                        <w:bottom w:val="none" w:sz="0" w:space="0" w:color="auto"/>
                                        <w:right w:val="none" w:sz="0" w:space="0" w:color="auto"/>
                                      </w:divBdr>
                                    </w:div>
                                    <w:div w:id="1436364778">
                                      <w:marLeft w:val="0"/>
                                      <w:marRight w:val="0"/>
                                      <w:marTop w:val="0"/>
                                      <w:marBottom w:val="0"/>
                                      <w:divBdr>
                                        <w:top w:val="none" w:sz="0" w:space="0" w:color="auto"/>
                                        <w:left w:val="none" w:sz="0" w:space="0" w:color="auto"/>
                                        <w:bottom w:val="none" w:sz="0" w:space="0" w:color="auto"/>
                                        <w:right w:val="none" w:sz="0" w:space="0" w:color="auto"/>
                                      </w:divBdr>
                                    </w:div>
                                    <w:div w:id="1445927779">
                                      <w:marLeft w:val="0"/>
                                      <w:marRight w:val="0"/>
                                      <w:marTop w:val="0"/>
                                      <w:marBottom w:val="0"/>
                                      <w:divBdr>
                                        <w:top w:val="none" w:sz="0" w:space="0" w:color="auto"/>
                                        <w:left w:val="none" w:sz="0" w:space="0" w:color="auto"/>
                                        <w:bottom w:val="none" w:sz="0" w:space="0" w:color="auto"/>
                                        <w:right w:val="none" w:sz="0" w:space="0" w:color="auto"/>
                                      </w:divBdr>
                                    </w:div>
                                    <w:div w:id="1451246485">
                                      <w:marLeft w:val="0"/>
                                      <w:marRight w:val="0"/>
                                      <w:marTop w:val="0"/>
                                      <w:marBottom w:val="0"/>
                                      <w:divBdr>
                                        <w:top w:val="none" w:sz="0" w:space="0" w:color="auto"/>
                                        <w:left w:val="none" w:sz="0" w:space="0" w:color="auto"/>
                                        <w:bottom w:val="none" w:sz="0" w:space="0" w:color="auto"/>
                                        <w:right w:val="none" w:sz="0" w:space="0" w:color="auto"/>
                                      </w:divBdr>
                                    </w:div>
                                    <w:div w:id="1460107563">
                                      <w:marLeft w:val="0"/>
                                      <w:marRight w:val="0"/>
                                      <w:marTop w:val="0"/>
                                      <w:marBottom w:val="0"/>
                                      <w:divBdr>
                                        <w:top w:val="none" w:sz="0" w:space="0" w:color="auto"/>
                                        <w:left w:val="none" w:sz="0" w:space="0" w:color="auto"/>
                                        <w:bottom w:val="none" w:sz="0" w:space="0" w:color="auto"/>
                                        <w:right w:val="none" w:sz="0" w:space="0" w:color="auto"/>
                                      </w:divBdr>
                                    </w:div>
                                    <w:div w:id="1476992644">
                                      <w:marLeft w:val="0"/>
                                      <w:marRight w:val="0"/>
                                      <w:marTop w:val="0"/>
                                      <w:marBottom w:val="0"/>
                                      <w:divBdr>
                                        <w:top w:val="none" w:sz="0" w:space="0" w:color="auto"/>
                                        <w:left w:val="none" w:sz="0" w:space="0" w:color="auto"/>
                                        <w:bottom w:val="none" w:sz="0" w:space="0" w:color="auto"/>
                                        <w:right w:val="none" w:sz="0" w:space="0" w:color="auto"/>
                                      </w:divBdr>
                                      <w:divsChild>
                                        <w:div w:id="1369183636">
                                          <w:marLeft w:val="0"/>
                                          <w:marRight w:val="0"/>
                                          <w:marTop w:val="0"/>
                                          <w:marBottom w:val="0"/>
                                          <w:divBdr>
                                            <w:top w:val="none" w:sz="0" w:space="0" w:color="auto"/>
                                            <w:left w:val="none" w:sz="0" w:space="0" w:color="auto"/>
                                            <w:bottom w:val="none" w:sz="0" w:space="0" w:color="auto"/>
                                            <w:right w:val="none" w:sz="0" w:space="0" w:color="auto"/>
                                          </w:divBdr>
                                          <w:divsChild>
                                            <w:div w:id="44912842">
                                              <w:marLeft w:val="0"/>
                                              <w:marRight w:val="0"/>
                                              <w:marTop w:val="0"/>
                                              <w:marBottom w:val="0"/>
                                              <w:divBdr>
                                                <w:top w:val="none" w:sz="0" w:space="0" w:color="auto"/>
                                                <w:left w:val="none" w:sz="0" w:space="0" w:color="auto"/>
                                                <w:bottom w:val="none" w:sz="0" w:space="0" w:color="auto"/>
                                                <w:right w:val="none" w:sz="0" w:space="0" w:color="auto"/>
                                              </w:divBdr>
                                            </w:div>
                                            <w:div w:id="45691285">
                                              <w:marLeft w:val="0"/>
                                              <w:marRight w:val="0"/>
                                              <w:marTop w:val="0"/>
                                              <w:marBottom w:val="0"/>
                                              <w:divBdr>
                                                <w:top w:val="none" w:sz="0" w:space="0" w:color="auto"/>
                                                <w:left w:val="none" w:sz="0" w:space="0" w:color="auto"/>
                                                <w:bottom w:val="none" w:sz="0" w:space="0" w:color="auto"/>
                                                <w:right w:val="none" w:sz="0" w:space="0" w:color="auto"/>
                                              </w:divBdr>
                                            </w:div>
                                            <w:div w:id="55394063">
                                              <w:marLeft w:val="0"/>
                                              <w:marRight w:val="0"/>
                                              <w:marTop w:val="0"/>
                                              <w:marBottom w:val="0"/>
                                              <w:divBdr>
                                                <w:top w:val="none" w:sz="0" w:space="0" w:color="auto"/>
                                                <w:left w:val="none" w:sz="0" w:space="0" w:color="auto"/>
                                                <w:bottom w:val="none" w:sz="0" w:space="0" w:color="auto"/>
                                                <w:right w:val="none" w:sz="0" w:space="0" w:color="auto"/>
                                              </w:divBdr>
                                            </w:div>
                                            <w:div w:id="121509956">
                                              <w:marLeft w:val="0"/>
                                              <w:marRight w:val="0"/>
                                              <w:marTop w:val="0"/>
                                              <w:marBottom w:val="0"/>
                                              <w:divBdr>
                                                <w:top w:val="none" w:sz="0" w:space="0" w:color="auto"/>
                                                <w:left w:val="none" w:sz="0" w:space="0" w:color="auto"/>
                                                <w:bottom w:val="none" w:sz="0" w:space="0" w:color="auto"/>
                                                <w:right w:val="none" w:sz="0" w:space="0" w:color="auto"/>
                                              </w:divBdr>
                                            </w:div>
                                            <w:div w:id="173231997">
                                              <w:marLeft w:val="0"/>
                                              <w:marRight w:val="0"/>
                                              <w:marTop w:val="0"/>
                                              <w:marBottom w:val="0"/>
                                              <w:divBdr>
                                                <w:top w:val="none" w:sz="0" w:space="0" w:color="auto"/>
                                                <w:left w:val="none" w:sz="0" w:space="0" w:color="auto"/>
                                                <w:bottom w:val="none" w:sz="0" w:space="0" w:color="auto"/>
                                                <w:right w:val="none" w:sz="0" w:space="0" w:color="auto"/>
                                              </w:divBdr>
                                            </w:div>
                                            <w:div w:id="206376048">
                                              <w:marLeft w:val="0"/>
                                              <w:marRight w:val="0"/>
                                              <w:marTop w:val="0"/>
                                              <w:marBottom w:val="0"/>
                                              <w:divBdr>
                                                <w:top w:val="none" w:sz="0" w:space="0" w:color="auto"/>
                                                <w:left w:val="none" w:sz="0" w:space="0" w:color="auto"/>
                                                <w:bottom w:val="none" w:sz="0" w:space="0" w:color="auto"/>
                                                <w:right w:val="none" w:sz="0" w:space="0" w:color="auto"/>
                                              </w:divBdr>
                                            </w:div>
                                            <w:div w:id="444233868">
                                              <w:marLeft w:val="0"/>
                                              <w:marRight w:val="0"/>
                                              <w:marTop w:val="0"/>
                                              <w:marBottom w:val="0"/>
                                              <w:divBdr>
                                                <w:top w:val="none" w:sz="0" w:space="0" w:color="auto"/>
                                                <w:left w:val="none" w:sz="0" w:space="0" w:color="auto"/>
                                                <w:bottom w:val="none" w:sz="0" w:space="0" w:color="auto"/>
                                                <w:right w:val="none" w:sz="0" w:space="0" w:color="auto"/>
                                              </w:divBdr>
                                            </w:div>
                                            <w:div w:id="483933967">
                                              <w:marLeft w:val="0"/>
                                              <w:marRight w:val="0"/>
                                              <w:marTop w:val="0"/>
                                              <w:marBottom w:val="0"/>
                                              <w:divBdr>
                                                <w:top w:val="none" w:sz="0" w:space="0" w:color="auto"/>
                                                <w:left w:val="none" w:sz="0" w:space="0" w:color="auto"/>
                                                <w:bottom w:val="none" w:sz="0" w:space="0" w:color="auto"/>
                                                <w:right w:val="none" w:sz="0" w:space="0" w:color="auto"/>
                                              </w:divBdr>
                                            </w:div>
                                            <w:div w:id="500462251">
                                              <w:marLeft w:val="0"/>
                                              <w:marRight w:val="0"/>
                                              <w:marTop w:val="0"/>
                                              <w:marBottom w:val="0"/>
                                              <w:divBdr>
                                                <w:top w:val="none" w:sz="0" w:space="0" w:color="auto"/>
                                                <w:left w:val="none" w:sz="0" w:space="0" w:color="auto"/>
                                                <w:bottom w:val="none" w:sz="0" w:space="0" w:color="auto"/>
                                                <w:right w:val="none" w:sz="0" w:space="0" w:color="auto"/>
                                              </w:divBdr>
                                            </w:div>
                                            <w:div w:id="521436512">
                                              <w:marLeft w:val="0"/>
                                              <w:marRight w:val="0"/>
                                              <w:marTop w:val="0"/>
                                              <w:marBottom w:val="0"/>
                                              <w:divBdr>
                                                <w:top w:val="none" w:sz="0" w:space="0" w:color="auto"/>
                                                <w:left w:val="none" w:sz="0" w:space="0" w:color="auto"/>
                                                <w:bottom w:val="none" w:sz="0" w:space="0" w:color="auto"/>
                                                <w:right w:val="none" w:sz="0" w:space="0" w:color="auto"/>
                                              </w:divBdr>
                                            </w:div>
                                            <w:div w:id="523249224">
                                              <w:marLeft w:val="0"/>
                                              <w:marRight w:val="0"/>
                                              <w:marTop w:val="0"/>
                                              <w:marBottom w:val="0"/>
                                              <w:divBdr>
                                                <w:top w:val="none" w:sz="0" w:space="0" w:color="auto"/>
                                                <w:left w:val="none" w:sz="0" w:space="0" w:color="auto"/>
                                                <w:bottom w:val="none" w:sz="0" w:space="0" w:color="auto"/>
                                                <w:right w:val="none" w:sz="0" w:space="0" w:color="auto"/>
                                              </w:divBdr>
                                            </w:div>
                                            <w:div w:id="614749249">
                                              <w:marLeft w:val="0"/>
                                              <w:marRight w:val="0"/>
                                              <w:marTop w:val="0"/>
                                              <w:marBottom w:val="0"/>
                                              <w:divBdr>
                                                <w:top w:val="none" w:sz="0" w:space="0" w:color="auto"/>
                                                <w:left w:val="none" w:sz="0" w:space="0" w:color="auto"/>
                                                <w:bottom w:val="none" w:sz="0" w:space="0" w:color="auto"/>
                                                <w:right w:val="none" w:sz="0" w:space="0" w:color="auto"/>
                                              </w:divBdr>
                                            </w:div>
                                            <w:div w:id="682635956">
                                              <w:marLeft w:val="0"/>
                                              <w:marRight w:val="0"/>
                                              <w:marTop w:val="0"/>
                                              <w:marBottom w:val="0"/>
                                              <w:divBdr>
                                                <w:top w:val="none" w:sz="0" w:space="0" w:color="auto"/>
                                                <w:left w:val="none" w:sz="0" w:space="0" w:color="auto"/>
                                                <w:bottom w:val="none" w:sz="0" w:space="0" w:color="auto"/>
                                                <w:right w:val="none" w:sz="0" w:space="0" w:color="auto"/>
                                              </w:divBdr>
                                            </w:div>
                                            <w:div w:id="691492218">
                                              <w:marLeft w:val="0"/>
                                              <w:marRight w:val="0"/>
                                              <w:marTop w:val="0"/>
                                              <w:marBottom w:val="0"/>
                                              <w:divBdr>
                                                <w:top w:val="none" w:sz="0" w:space="0" w:color="auto"/>
                                                <w:left w:val="none" w:sz="0" w:space="0" w:color="auto"/>
                                                <w:bottom w:val="none" w:sz="0" w:space="0" w:color="auto"/>
                                                <w:right w:val="none" w:sz="0" w:space="0" w:color="auto"/>
                                              </w:divBdr>
                                            </w:div>
                                            <w:div w:id="732503728">
                                              <w:marLeft w:val="0"/>
                                              <w:marRight w:val="0"/>
                                              <w:marTop w:val="0"/>
                                              <w:marBottom w:val="0"/>
                                              <w:divBdr>
                                                <w:top w:val="none" w:sz="0" w:space="0" w:color="auto"/>
                                                <w:left w:val="none" w:sz="0" w:space="0" w:color="auto"/>
                                                <w:bottom w:val="none" w:sz="0" w:space="0" w:color="auto"/>
                                                <w:right w:val="none" w:sz="0" w:space="0" w:color="auto"/>
                                              </w:divBdr>
                                            </w:div>
                                            <w:div w:id="845436242">
                                              <w:marLeft w:val="0"/>
                                              <w:marRight w:val="0"/>
                                              <w:marTop w:val="0"/>
                                              <w:marBottom w:val="0"/>
                                              <w:divBdr>
                                                <w:top w:val="none" w:sz="0" w:space="0" w:color="auto"/>
                                                <w:left w:val="none" w:sz="0" w:space="0" w:color="auto"/>
                                                <w:bottom w:val="none" w:sz="0" w:space="0" w:color="auto"/>
                                                <w:right w:val="none" w:sz="0" w:space="0" w:color="auto"/>
                                              </w:divBdr>
                                            </w:div>
                                            <w:div w:id="850950398">
                                              <w:marLeft w:val="0"/>
                                              <w:marRight w:val="0"/>
                                              <w:marTop w:val="0"/>
                                              <w:marBottom w:val="0"/>
                                              <w:divBdr>
                                                <w:top w:val="none" w:sz="0" w:space="0" w:color="auto"/>
                                                <w:left w:val="none" w:sz="0" w:space="0" w:color="auto"/>
                                                <w:bottom w:val="none" w:sz="0" w:space="0" w:color="auto"/>
                                                <w:right w:val="none" w:sz="0" w:space="0" w:color="auto"/>
                                              </w:divBdr>
                                            </w:div>
                                            <w:div w:id="899286646">
                                              <w:marLeft w:val="0"/>
                                              <w:marRight w:val="0"/>
                                              <w:marTop w:val="0"/>
                                              <w:marBottom w:val="0"/>
                                              <w:divBdr>
                                                <w:top w:val="none" w:sz="0" w:space="0" w:color="auto"/>
                                                <w:left w:val="none" w:sz="0" w:space="0" w:color="auto"/>
                                                <w:bottom w:val="none" w:sz="0" w:space="0" w:color="auto"/>
                                                <w:right w:val="none" w:sz="0" w:space="0" w:color="auto"/>
                                              </w:divBdr>
                                            </w:div>
                                            <w:div w:id="901868474">
                                              <w:marLeft w:val="0"/>
                                              <w:marRight w:val="0"/>
                                              <w:marTop w:val="0"/>
                                              <w:marBottom w:val="0"/>
                                              <w:divBdr>
                                                <w:top w:val="none" w:sz="0" w:space="0" w:color="auto"/>
                                                <w:left w:val="none" w:sz="0" w:space="0" w:color="auto"/>
                                                <w:bottom w:val="none" w:sz="0" w:space="0" w:color="auto"/>
                                                <w:right w:val="none" w:sz="0" w:space="0" w:color="auto"/>
                                              </w:divBdr>
                                            </w:div>
                                            <w:div w:id="917907531">
                                              <w:marLeft w:val="0"/>
                                              <w:marRight w:val="0"/>
                                              <w:marTop w:val="0"/>
                                              <w:marBottom w:val="0"/>
                                              <w:divBdr>
                                                <w:top w:val="none" w:sz="0" w:space="0" w:color="auto"/>
                                                <w:left w:val="none" w:sz="0" w:space="0" w:color="auto"/>
                                                <w:bottom w:val="none" w:sz="0" w:space="0" w:color="auto"/>
                                                <w:right w:val="none" w:sz="0" w:space="0" w:color="auto"/>
                                              </w:divBdr>
                                            </w:div>
                                            <w:div w:id="963847043">
                                              <w:marLeft w:val="0"/>
                                              <w:marRight w:val="0"/>
                                              <w:marTop w:val="0"/>
                                              <w:marBottom w:val="0"/>
                                              <w:divBdr>
                                                <w:top w:val="none" w:sz="0" w:space="0" w:color="auto"/>
                                                <w:left w:val="none" w:sz="0" w:space="0" w:color="auto"/>
                                                <w:bottom w:val="none" w:sz="0" w:space="0" w:color="auto"/>
                                                <w:right w:val="none" w:sz="0" w:space="0" w:color="auto"/>
                                              </w:divBdr>
                                            </w:div>
                                            <w:div w:id="985360753">
                                              <w:marLeft w:val="0"/>
                                              <w:marRight w:val="0"/>
                                              <w:marTop w:val="0"/>
                                              <w:marBottom w:val="0"/>
                                              <w:divBdr>
                                                <w:top w:val="none" w:sz="0" w:space="0" w:color="auto"/>
                                                <w:left w:val="none" w:sz="0" w:space="0" w:color="auto"/>
                                                <w:bottom w:val="none" w:sz="0" w:space="0" w:color="auto"/>
                                                <w:right w:val="none" w:sz="0" w:space="0" w:color="auto"/>
                                              </w:divBdr>
                                            </w:div>
                                            <w:div w:id="988435787">
                                              <w:marLeft w:val="0"/>
                                              <w:marRight w:val="0"/>
                                              <w:marTop w:val="0"/>
                                              <w:marBottom w:val="0"/>
                                              <w:divBdr>
                                                <w:top w:val="none" w:sz="0" w:space="0" w:color="auto"/>
                                                <w:left w:val="none" w:sz="0" w:space="0" w:color="auto"/>
                                                <w:bottom w:val="none" w:sz="0" w:space="0" w:color="auto"/>
                                                <w:right w:val="none" w:sz="0" w:space="0" w:color="auto"/>
                                              </w:divBdr>
                                            </w:div>
                                            <w:div w:id="1069305031">
                                              <w:marLeft w:val="0"/>
                                              <w:marRight w:val="0"/>
                                              <w:marTop w:val="0"/>
                                              <w:marBottom w:val="0"/>
                                              <w:divBdr>
                                                <w:top w:val="none" w:sz="0" w:space="0" w:color="auto"/>
                                                <w:left w:val="none" w:sz="0" w:space="0" w:color="auto"/>
                                                <w:bottom w:val="none" w:sz="0" w:space="0" w:color="auto"/>
                                                <w:right w:val="none" w:sz="0" w:space="0" w:color="auto"/>
                                              </w:divBdr>
                                            </w:div>
                                            <w:div w:id="1080833643">
                                              <w:marLeft w:val="0"/>
                                              <w:marRight w:val="0"/>
                                              <w:marTop w:val="0"/>
                                              <w:marBottom w:val="0"/>
                                              <w:divBdr>
                                                <w:top w:val="none" w:sz="0" w:space="0" w:color="auto"/>
                                                <w:left w:val="none" w:sz="0" w:space="0" w:color="auto"/>
                                                <w:bottom w:val="none" w:sz="0" w:space="0" w:color="auto"/>
                                                <w:right w:val="none" w:sz="0" w:space="0" w:color="auto"/>
                                              </w:divBdr>
                                            </w:div>
                                            <w:div w:id="1106003863">
                                              <w:marLeft w:val="0"/>
                                              <w:marRight w:val="0"/>
                                              <w:marTop w:val="0"/>
                                              <w:marBottom w:val="0"/>
                                              <w:divBdr>
                                                <w:top w:val="none" w:sz="0" w:space="0" w:color="auto"/>
                                                <w:left w:val="none" w:sz="0" w:space="0" w:color="auto"/>
                                                <w:bottom w:val="none" w:sz="0" w:space="0" w:color="auto"/>
                                                <w:right w:val="none" w:sz="0" w:space="0" w:color="auto"/>
                                              </w:divBdr>
                                            </w:div>
                                            <w:div w:id="1120077304">
                                              <w:marLeft w:val="0"/>
                                              <w:marRight w:val="0"/>
                                              <w:marTop w:val="0"/>
                                              <w:marBottom w:val="0"/>
                                              <w:divBdr>
                                                <w:top w:val="none" w:sz="0" w:space="0" w:color="auto"/>
                                                <w:left w:val="none" w:sz="0" w:space="0" w:color="auto"/>
                                                <w:bottom w:val="none" w:sz="0" w:space="0" w:color="auto"/>
                                                <w:right w:val="none" w:sz="0" w:space="0" w:color="auto"/>
                                              </w:divBdr>
                                            </w:div>
                                            <w:div w:id="1186216667">
                                              <w:marLeft w:val="0"/>
                                              <w:marRight w:val="0"/>
                                              <w:marTop w:val="0"/>
                                              <w:marBottom w:val="0"/>
                                              <w:divBdr>
                                                <w:top w:val="none" w:sz="0" w:space="0" w:color="auto"/>
                                                <w:left w:val="none" w:sz="0" w:space="0" w:color="auto"/>
                                                <w:bottom w:val="none" w:sz="0" w:space="0" w:color="auto"/>
                                                <w:right w:val="none" w:sz="0" w:space="0" w:color="auto"/>
                                              </w:divBdr>
                                            </w:div>
                                            <w:div w:id="1190026581">
                                              <w:marLeft w:val="0"/>
                                              <w:marRight w:val="0"/>
                                              <w:marTop w:val="0"/>
                                              <w:marBottom w:val="0"/>
                                              <w:divBdr>
                                                <w:top w:val="none" w:sz="0" w:space="0" w:color="auto"/>
                                                <w:left w:val="none" w:sz="0" w:space="0" w:color="auto"/>
                                                <w:bottom w:val="none" w:sz="0" w:space="0" w:color="auto"/>
                                                <w:right w:val="none" w:sz="0" w:space="0" w:color="auto"/>
                                              </w:divBdr>
                                            </w:div>
                                            <w:div w:id="1246185714">
                                              <w:marLeft w:val="0"/>
                                              <w:marRight w:val="0"/>
                                              <w:marTop w:val="0"/>
                                              <w:marBottom w:val="0"/>
                                              <w:divBdr>
                                                <w:top w:val="none" w:sz="0" w:space="0" w:color="auto"/>
                                                <w:left w:val="none" w:sz="0" w:space="0" w:color="auto"/>
                                                <w:bottom w:val="none" w:sz="0" w:space="0" w:color="auto"/>
                                                <w:right w:val="none" w:sz="0" w:space="0" w:color="auto"/>
                                              </w:divBdr>
                                            </w:div>
                                            <w:div w:id="1257714202">
                                              <w:marLeft w:val="0"/>
                                              <w:marRight w:val="0"/>
                                              <w:marTop w:val="0"/>
                                              <w:marBottom w:val="0"/>
                                              <w:divBdr>
                                                <w:top w:val="none" w:sz="0" w:space="0" w:color="auto"/>
                                                <w:left w:val="none" w:sz="0" w:space="0" w:color="auto"/>
                                                <w:bottom w:val="none" w:sz="0" w:space="0" w:color="auto"/>
                                                <w:right w:val="none" w:sz="0" w:space="0" w:color="auto"/>
                                              </w:divBdr>
                                            </w:div>
                                            <w:div w:id="1260144736">
                                              <w:marLeft w:val="0"/>
                                              <w:marRight w:val="0"/>
                                              <w:marTop w:val="0"/>
                                              <w:marBottom w:val="0"/>
                                              <w:divBdr>
                                                <w:top w:val="none" w:sz="0" w:space="0" w:color="auto"/>
                                                <w:left w:val="none" w:sz="0" w:space="0" w:color="auto"/>
                                                <w:bottom w:val="none" w:sz="0" w:space="0" w:color="auto"/>
                                                <w:right w:val="none" w:sz="0" w:space="0" w:color="auto"/>
                                              </w:divBdr>
                                            </w:div>
                                            <w:div w:id="1407798601">
                                              <w:marLeft w:val="0"/>
                                              <w:marRight w:val="0"/>
                                              <w:marTop w:val="0"/>
                                              <w:marBottom w:val="0"/>
                                              <w:divBdr>
                                                <w:top w:val="none" w:sz="0" w:space="0" w:color="auto"/>
                                                <w:left w:val="none" w:sz="0" w:space="0" w:color="auto"/>
                                                <w:bottom w:val="none" w:sz="0" w:space="0" w:color="auto"/>
                                                <w:right w:val="none" w:sz="0" w:space="0" w:color="auto"/>
                                              </w:divBdr>
                                            </w:div>
                                            <w:div w:id="1440024305">
                                              <w:marLeft w:val="0"/>
                                              <w:marRight w:val="0"/>
                                              <w:marTop w:val="0"/>
                                              <w:marBottom w:val="0"/>
                                              <w:divBdr>
                                                <w:top w:val="none" w:sz="0" w:space="0" w:color="auto"/>
                                                <w:left w:val="none" w:sz="0" w:space="0" w:color="auto"/>
                                                <w:bottom w:val="none" w:sz="0" w:space="0" w:color="auto"/>
                                                <w:right w:val="none" w:sz="0" w:space="0" w:color="auto"/>
                                              </w:divBdr>
                                            </w:div>
                                            <w:div w:id="1451702151">
                                              <w:marLeft w:val="0"/>
                                              <w:marRight w:val="0"/>
                                              <w:marTop w:val="0"/>
                                              <w:marBottom w:val="0"/>
                                              <w:divBdr>
                                                <w:top w:val="none" w:sz="0" w:space="0" w:color="auto"/>
                                                <w:left w:val="none" w:sz="0" w:space="0" w:color="auto"/>
                                                <w:bottom w:val="none" w:sz="0" w:space="0" w:color="auto"/>
                                                <w:right w:val="none" w:sz="0" w:space="0" w:color="auto"/>
                                              </w:divBdr>
                                            </w:div>
                                            <w:div w:id="1463690576">
                                              <w:marLeft w:val="0"/>
                                              <w:marRight w:val="0"/>
                                              <w:marTop w:val="0"/>
                                              <w:marBottom w:val="0"/>
                                              <w:divBdr>
                                                <w:top w:val="none" w:sz="0" w:space="0" w:color="auto"/>
                                                <w:left w:val="none" w:sz="0" w:space="0" w:color="auto"/>
                                                <w:bottom w:val="none" w:sz="0" w:space="0" w:color="auto"/>
                                                <w:right w:val="none" w:sz="0" w:space="0" w:color="auto"/>
                                              </w:divBdr>
                                            </w:div>
                                            <w:div w:id="1497499039">
                                              <w:marLeft w:val="0"/>
                                              <w:marRight w:val="0"/>
                                              <w:marTop w:val="0"/>
                                              <w:marBottom w:val="0"/>
                                              <w:divBdr>
                                                <w:top w:val="none" w:sz="0" w:space="0" w:color="auto"/>
                                                <w:left w:val="none" w:sz="0" w:space="0" w:color="auto"/>
                                                <w:bottom w:val="none" w:sz="0" w:space="0" w:color="auto"/>
                                                <w:right w:val="none" w:sz="0" w:space="0" w:color="auto"/>
                                              </w:divBdr>
                                            </w:div>
                                            <w:div w:id="1572159924">
                                              <w:marLeft w:val="0"/>
                                              <w:marRight w:val="0"/>
                                              <w:marTop w:val="0"/>
                                              <w:marBottom w:val="0"/>
                                              <w:divBdr>
                                                <w:top w:val="none" w:sz="0" w:space="0" w:color="auto"/>
                                                <w:left w:val="none" w:sz="0" w:space="0" w:color="auto"/>
                                                <w:bottom w:val="none" w:sz="0" w:space="0" w:color="auto"/>
                                                <w:right w:val="none" w:sz="0" w:space="0" w:color="auto"/>
                                              </w:divBdr>
                                            </w:div>
                                            <w:div w:id="1728652365">
                                              <w:marLeft w:val="0"/>
                                              <w:marRight w:val="0"/>
                                              <w:marTop w:val="0"/>
                                              <w:marBottom w:val="0"/>
                                              <w:divBdr>
                                                <w:top w:val="none" w:sz="0" w:space="0" w:color="auto"/>
                                                <w:left w:val="none" w:sz="0" w:space="0" w:color="auto"/>
                                                <w:bottom w:val="none" w:sz="0" w:space="0" w:color="auto"/>
                                                <w:right w:val="none" w:sz="0" w:space="0" w:color="auto"/>
                                              </w:divBdr>
                                            </w:div>
                                            <w:div w:id="1751998248">
                                              <w:marLeft w:val="0"/>
                                              <w:marRight w:val="0"/>
                                              <w:marTop w:val="0"/>
                                              <w:marBottom w:val="0"/>
                                              <w:divBdr>
                                                <w:top w:val="none" w:sz="0" w:space="0" w:color="auto"/>
                                                <w:left w:val="none" w:sz="0" w:space="0" w:color="auto"/>
                                                <w:bottom w:val="none" w:sz="0" w:space="0" w:color="auto"/>
                                                <w:right w:val="none" w:sz="0" w:space="0" w:color="auto"/>
                                              </w:divBdr>
                                            </w:div>
                                            <w:div w:id="1755972866">
                                              <w:marLeft w:val="0"/>
                                              <w:marRight w:val="0"/>
                                              <w:marTop w:val="0"/>
                                              <w:marBottom w:val="0"/>
                                              <w:divBdr>
                                                <w:top w:val="none" w:sz="0" w:space="0" w:color="auto"/>
                                                <w:left w:val="none" w:sz="0" w:space="0" w:color="auto"/>
                                                <w:bottom w:val="none" w:sz="0" w:space="0" w:color="auto"/>
                                                <w:right w:val="none" w:sz="0" w:space="0" w:color="auto"/>
                                              </w:divBdr>
                                            </w:div>
                                            <w:div w:id="1772697207">
                                              <w:marLeft w:val="0"/>
                                              <w:marRight w:val="0"/>
                                              <w:marTop w:val="0"/>
                                              <w:marBottom w:val="0"/>
                                              <w:divBdr>
                                                <w:top w:val="none" w:sz="0" w:space="0" w:color="auto"/>
                                                <w:left w:val="none" w:sz="0" w:space="0" w:color="auto"/>
                                                <w:bottom w:val="none" w:sz="0" w:space="0" w:color="auto"/>
                                                <w:right w:val="none" w:sz="0" w:space="0" w:color="auto"/>
                                              </w:divBdr>
                                            </w:div>
                                            <w:div w:id="1884632341">
                                              <w:marLeft w:val="0"/>
                                              <w:marRight w:val="0"/>
                                              <w:marTop w:val="0"/>
                                              <w:marBottom w:val="0"/>
                                              <w:divBdr>
                                                <w:top w:val="none" w:sz="0" w:space="0" w:color="auto"/>
                                                <w:left w:val="none" w:sz="0" w:space="0" w:color="auto"/>
                                                <w:bottom w:val="none" w:sz="0" w:space="0" w:color="auto"/>
                                                <w:right w:val="none" w:sz="0" w:space="0" w:color="auto"/>
                                              </w:divBdr>
                                            </w:div>
                                            <w:div w:id="1951618609">
                                              <w:marLeft w:val="0"/>
                                              <w:marRight w:val="0"/>
                                              <w:marTop w:val="0"/>
                                              <w:marBottom w:val="0"/>
                                              <w:divBdr>
                                                <w:top w:val="none" w:sz="0" w:space="0" w:color="auto"/>
                                                <w:left w:val="none" w:sz="0" w:space="0" w:color="auto"/>
                                                <w:bottom w:val="none" w:sz="0" w:space="0" w:color="auto"/>
                                                <w:right w:val="none" w:sz="0" w:space="0" w:color="auto"/>
                                              </w:divBdr>
                                            </w:div>
                                            <w:div w:id="1974287794">
                                              <w:marLeft w:val="0"/>
                                              <w:marRight w:val="0"/>
                                              <w:marTop w:val="0"/>
                                              <w:marBottom w:val="0"/>
                                              <w:divBdr>
                                                <w:top w:val="none" w:sz="0" w:space="0" w:color="auto"/>
                                                <w:left w:val="none" w:sz="0" w:space="0" w:color="auto"/>
                                                <w:bottom w:val="none" w:sz="0" w:space="0" w:color="auto"/>
                                                <w:right w:val="none" w:sz="0" w:space="0" w:color="auto"/>
                                              </w:divBdr>
                                            </w:div>
                                            <w:div w:id="2004812667">
                                              <w:marLeft w:val="0"/>
                                              <w:marRight w:val="0"/>
                                              <w:marTop w:val="0"/>
                                              <w:marBottom w:val="0"/>
                                              <w:divBdr>
                                                <w:top w:val="none" w:sz="0" w:space="0" w:color="auto"/>
                                                <w:left w:val="none" w:sz="0" w:space="0" w:color="auto"/>
                                                <w:bottom w:val="none" w:sz="0" w:space="0" w:color="auto"/>
                                                <w:right w:val="none" w:sz="0" w:space="0" w:color="auto"/>
                                              </w:divBdr>
                                            </w:div>
                                            <w:div w:id="2014407417">
                                              <w:marLeft w:val="0"/>
                                              <w:marRight w:val="0"/>
                                              <w:marTop w:val="0"/>
                                              <w:marBottom w:val="0"/>
                                              <w:divBdr>
                                                <w:top w:val="none" w:sz="0" w:space="0" w:color="auto"/>
                                                <w:left w:val="none" w:sz="0" w:space="0" w:color="auto"/>
                                                <w:bottom w:val="none" w:sz="0" w:space="0" w:color="auto"/>
                                                <w:right w:val="none" w:sz="0" w:space="0" w:color="auto"/>
                                              </w:divBdr>
                                            </w:div>
                                            <w:div w:id="2021619442">
                                              <w:marLeft w:val="0"/>
                                              <w:marRight w:val="0"/>
                                              <w:marTop w:val="0"/>
                                              <w:marBottom w:val="0"/>
                                              <w:divBdr>
                                                <w:top w:val="none" w:sz="0" w:space="0" w:color="auto"/>
                                                <w:left w:val="none" w:sz="0" w:space="0" w:color="auto"/>
                                                <w:bottom w:val="none" w:sz="0" w:space="0" w:color="auto"/>
                                                <w:right w:val="none" w:sz="0" w:space="0" w:color="auto"/>
                                              </w:divBdr>
                                            </w:div>
                                            <w:div w:id="2034071495">
                                              <w:marLeft w:val="0"/>
                                              <w:marRight w:val="0"/>
                                              <w:marTop w:val="0"/>
                                              <w:marBottom w:val="0"/>
                                              <w:divBdr>
                                                <w:top w:val="none" w:sz="0" w:space="0" w:color="auto"/>
                                                <w:left w:val="none" w:sz="0" w:space="0" w:color="auto"/>
                                                <w:bottom w:val="none" w:sz="0" w:space="0" w:color="auto"/>
                                                <w:right w:val="none" w:sz="0" w:space="0" w:color="auto"/>
                                              </w:divBdr>
                                            </w:div>
                                            <w:div w:id="2042585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0289148">
                                      <w:marLeft w:val="0"/>
                                      <w:marRight w:val="0"/>
                                      <w:marTop w:val="0"/>
                                      <w:marBottom w:val="0"/>
                                      <w:divBdr>
                                        <w:top w:val="none" w:sz="0" w:space="0" w:color="auto"/>
                                        <w:left w:val="none" w:sz="0" w:space="0" w:color="auto"/>
                                        <w:bottom w:val="none" w:sz="0" w:space="0" w:color="auto"/>
                                        <w:right w:val="none" w:sz="0" w:space="0" w:color="auto"/>
                                      </w:divBdr>
                                    </w:div>
                                    <w:div w:id="1490440880">
                                      <w:marLeft w:val="0"/>
                                      <w:marRight w:val="0"/>
                                      <w:marTop w:val="0"/>
                                      <w:marBottom w:val="0"/>
                                      <w:divBdr>
                                        <w:top w:val="none" w:sz="0" w:space="0" w:color="auto"/>
                                        <w:left w:val="none" w:sz="0" w:space="0" w:color="auto"/>
                                        <w:bottom w:val="none" w:sz="0" w:space="0" w:color="auto"/>
                                        <w:right w:val="none" w:sz="0" w:space="0" w:color="auto"/>
                                      </w:divBdr>
                                    </w:div>
                                    <w:div w:id="1499267431">
                                      <w:marLeft w:val="0"/>
                                      <w:marRight w:val="0"/>
                                      <w:marTop w:val="0"/>
                                      <w:marBottom w:val="0"/>
                                      <w:divBdr>
                                        <w:top w:val="none" w:sz="0" w:space="0" w:color="auto"/>
                                        <w:left w:val="none" w:sz="0" w:space="0" w:color="auto"/>
                                        <w:bottom w:val="none" w:sz="0" w:space="0" w:color="auto"/>
                                        <w:right w:val="none" w:sz="0" w:space="0" w:color="auto"/>
                                      </w:divBdr>
                                    </w:div>
                                    <w:div w:id="1503472461">
                                      <w:marLeft w:val="0"/>
                                      <w:marRight w:val="0"/>
                                      <w:marTop w:val="0"/>
                                      <w:marBottom w:val="0"/>
                                      <w:divBdr>
                                        <w:top w:val="none" w:sz="0" w:space="0" w:color="auto"/>
                                        <w:left w:val="none" w:sz="0" w:space="0" w:color="auto"/>
                                        <w:bottom w:val="none" w:sz="0" w:space="0" w:color="auto"/>
                                        <w:right w:val="none" w:sz="0" w:space="0" w:color="auto"/>
                                      </w:divBdr>
                                    </w:div>
                                    <w:div w:id="1529221871">
                                      <w:marLeft w:val="0"/>
                                      <w:marRight w:val="0"/>
                                      <w:marTop w:val="0"/>
                                      <w:marBottom w:val="0"/>
                                      <w:divBdr>
                                        <w:top w:val="none" w:sz="0" w:space="0" w:color="auto"/>
                                        <w:left w:val="none" w:sz="0" w:space="0" w:color="auto"/>
                                        <w:bottom w:val="none" w:sz="0" w:space="0" w:color="auto"/>
                                        <w:right w:val="none" w:sz="0" w:space="0" w:color="auto"/>
                                      </w:divBdr>
                                    </w:div>
                                    <w:div w:id="1546481956">
                                      <w:marLeft w:val="0"/>
                                      <w:marRight w:val="0"/>
                                      <w:marTop w:val="0"/>
                                      <w:marBottom w:val="0"/>
                                      <w:divBdr>
                                        <w:top w:val="none" w:sz="0" w:space="0" w:color="auto"/>
                                        <w:left w:val="none" w:sz="0" w:space="0" w:color="auto"/>
                                        <w:bottom w:val="none" w:sz="0" w:space="0" w:color="auto"/>
                                        <w:right w:val="none" w:sz="0" w:space="0" w:color="auto"/>
                                      </w:divBdr>
                                    </w:div>
                                    <w:div w:id="1559045926">
                                      <w:marLeft w:val="0"/>
                                      <w:marRight w:val="0"/>
                                      <w:marTop w:val="0"/>
                                      <w:marBottom w:val="0"/>
                                      <w:divBdr>
                                        <w:top w:val="none" w:sz="0" w:space="0" w:color="auto"/>
                                        <w:left w:val="none" w:sz="0" w:space="0" w:color="auto"/>
                                        <w:bottom w:val="none" w:sz="0" w:space="0" w:color="auto"/>
                                        <w:right w:val="none" w:sz="0" w:space="0" w:color="auto"/>
                                      </w:divBdr>
                                    </w:div>
                                    <w:div w:id="1563830919">
                                      <w:marLeft w:val="0"/>
                                      <w:marRight w:val="0"/>
                                      <w:marTop w:val="0"/>
                                      <w:marBottom w:val="0"/>
                                      <w:divBdr>
                                        <w:top w:val="none" w:sz="0" w:space="0" w:color="auto"/>
                                        <w:left w:val="none" w:sz="0" w:space="0" w:color="auto"/>
                                        <w:bottom w:val="none" w:sz="0" w:space="0" w:color="auto"/>
                                        <w:right w:val="none" w:sz="0" w:space="0" w:color="auto"/>
                                      </w:divBdr>
                                    </w:div>
                                    <w:div w:id="1579241566">
                                      <w:marLeft w:val="0"/>
                                      <w:marRight w:val="0"/>
                                      <w:marTop w:val="0"/>
                                      <w:marBottom w:val="0"/>
                                      <w:divBdr>
                                        <w:top w:val="none" w:sz="0" w:space="0" w:color="auto"/>
                                        <w:left w:val="none" w:sz="0" w:space="0" w:color="auto"/>
                                        <w:bottom w:val="none" w:sz="0" w:space="0" w:color="auto"/>
                                        <w:right w:val="none" w:sz="0" w:space="0" w:color="auto"/>
                                      </w:divBdr>
                                    </w:div>
                                    <w:div w:id="1581325546">
                                      <w:marLeft w:val="0"/>
                                      <w:marRight w:val="0"/>
                                      <w:marTop w:val="0"/>
                                      <w:marBottom w:val="0"/>
                                      <w:divBdr>
                                        <w:top w:val="none" w:sz="0" w:space="0" w:color="auto"/>
                                        <w:left w:val="none" w:sz="0" w:space="0" w:color="auto"/>
                                        <w:bottom w:val="none" w:sz="0" w:space="0" w:color="auto"/>
                                        <w:right w:val="none" w:sz="0" w:space="0" w:color="auto"/>
                                      </w:divBdr>
                                    </w:div>
                                    <w:div w:id="1634556111">
                                      <w:marLeft w:val="0"/>
                                      <w:marRight w:val="0"/>
                                      <w:marTop w:val="0"/>
                                      <w:marBottom w:val="0"/>
                                      <w:divBdr>
                                        <w:top w:val="none" w:sz="0" w:space="0" w:color="auto"/>
                                        <w:left w:val="none" w:sz="0" w:space="0" w:color="auto"/>
                                        <w:bottom w:val="none" w:sz="0" w:space="0" w:color="auto"/>
                                        <w:right w:val="none" w:sz="0" w:space="0" w:color="auto"/>
                                      </w:divBdr>
                                    </w:div>
                                    <w:div w:id="1639145780">
                                      <w:marLeft w:val="0"/>
                                      <w:marRight w:val="0"/>
                                      <w:marTop w:val="0"/>
                                      <w:marBottom w:val="0"/>
                                      <w:divBdr>
                                        <w:top w:val="none" w:sz="0" w:space="0" w:color="auto"/>
                                        <w:left w:val="none" w:sz="0" w:space="0" w:color="auto"/>
                                        <w:bottom w:val="none" w:sz="0" w:space="0" w:color="auto"/>
                                        <w:right w:val="none" w:sz="0" w:space="0" w:color="auto"/>
                                      </w:divBdr>
                                    </w:div>
                                    <w:div w:id="1645117241">
                                      <w:marLeft w:val="0"/>
                                      <w:marRight w:val="0"/>
                                      <w:marTop w:val="0"/>
                                      <w:marBottom w:val="0"/>
                                      <w:divBdr>
                                        <w:top w:val="none" w:sz="0" w:space="0" w:color="auto"/>
                                        <w:left w:val="none" w:sz="0" w:space="0" w:color="auto"/>
                                        <w:bottom w:val="none" w:sz="0" w:space="0" w:color="auto"/>
                                        <w:right w:val="none" w:sz="0" w:space="0" w:color="auto"/>
                                      </w:divBdr>
                                    </w:div>
                                    <w:div w:id="1654412511">
                                      <w:marLeft w:val="0"/>
                                      <w:marRight w:val="0"/>
                                      <w:marTop w:val="0"/>
                                      <w:marBottom w:val="0"/>
                                      <w:divBdr>
                                        <w:top w:val="none" w:sz="0" w:space="0" w:color="auto"/>
                                        <w:left w:val="none" w:sz="0" w:space="0" w:color="auto"/>
                                        <w:bottom w:val="none" w:sz="0" w:space="0" w:color="auto"/>
                                        <w:right w:val="none" w:sz="0" w:space="0" w:color="auto"/>
                                      </w:divBdr>
                                    </w:div>
                                    <w:div w:id="1656912292">
                                      <w:marLeft w:val="0"/>
                                      <w:marRight w:val="0"/>
                                      <w:marTop w:val="0"/>
                                      <w:marBottom w:val="0"/>
                                      <w:divBdr>
                                        <w:top w:val="none" w:sz="0" w:space="0" w:color="auto"/>
                                        <w:left w:val="none" w:sz="0" w:space="0" w:color="auto"/>
                                        <w:bottom w:val="none" w:sz="0" w:space="0" w:color="auto"/>
                                        <w:right w:val="none" w:sz="0" w:space="0" w:color="auto"/>
                                      </w:divBdr>
                                    </w:div>
                                    <w:div w:id="1660570651">
                                      <w:marLeft w:val="0"/>
                                      <w:marRight w:val="0"/>
                                      <w:marTop w:val="0"/>
                                      <w:marBottom w:val="0"/>
                                      <w:divBdr>
                                        <w:top w:val="none" w:sz="0" w:space="0" w:color="auto"/>
                                        <w:left w:val="none" w:sz="0" w:space="0" w:color="auto"/>
                                        <w:bottom w:val="none" w:sz="0" w:space="0" w:color="auto"/>
                                        <w:right w:val="none" w:sz="0" w:space="0" w:color="auto"/>
                                      </w:divBdr>
                                    </w:div>
                                    <w:div w:id="1663779779">
                                      <w:marLeft w:val="0"/>
                                      <w:marRight w:val="0"/>
                                      <w:marTop w:val="0"/>
                                      <w:marBottom w:val="0"/>
                                      <w:divBdr>
                                        <w:top w:val="none" w:sz="0" w:space="0" w:color="auto"/>
                                        <w:left w:val="none" w:sz="0" w:space="0" w:color="auto"/>
                                        <w:bottom w:val="none" w:sz="0" w:space="0" w:color="auto"/>
                                        <w:right w:val="none" w:sz="0" w:space="0" w:color="auto"/>
                                      </w:divBdr>
                                    </w:div>
                                    <w:div w:id="1667132226">
                                      <w:marLeft w:val="0"/>
                                      <w:marRight w:val="0"/>
                                      <w:marTop w:val="0"/>
                                      <w:marBottom w:val="0"/>
                                      <w:divBdr>
                                        <w:top w:val="none" w:sz="0" w:space="0" w:color="auto"/>
                                        <w:left w:val="none" w:sz="0" w:space="0" w:color="auto"/>
                                        <w:bottom w:val="none" w:sz="0" w:space="0" w:color="auto"/>
                                        <w:right w:val="none" w:sz="0" w:space="0" w:color="auto"/>
                                      </w:divBdr>
                                    </w:div>
                                    <w:div w:id="1685014066">
                                      <w:marLeft w:val="0"/>
                                      <w:marRight w:val="0"/>
                                      <w:marTop w:val="0"/>
                                      <w:marBottom w:val="0"/>
                                      <w:divBdr>
                                        <w:top w:val="none" w:sz="0" w:space="0" w:color="auto"/>
                                        <w:left w:val="none" w:sz="0" w:space="0" w:color="auto"/>
                                        <w:bottom w:val="none" w:sz="0" w:space="0" w:color="auto"/>
                                        <w:right w:val="none" w:sz="0" w:space="0" w:color="auto"/>
                                      </w:divBdr>
                                    </w:div>
                                    <w:div w:id="1685552454">
                                      <w:marLeft w:val="0"/>
                                      <w:marRight w:val="0"/>
                                      <w:marTop w:val="0"/>
                                      <w:marBottom w:val="0"/>
                                      <w:divBdr>
                                        <w:top w:val="none" w:sz="0" w:space="0" w:color="auto"/>
                                        <w:left w:val="none" w:sz="0" w:space="0" w:color="auto"/>
                                        <w:bottom w:val="none" w:sz="0" w:space="0" w:color="auto"/>
                                        <w:right w:val="none" w:sz="0" w:space="0" w:color="auto"/>
                                      </w:divBdr>
                                    </w:div>
                                    <w:div w:id="1700232043">
                                      <w:marLeft w:val="0"/>
                                      <w:marRight w:val="0"/>
                                      <w:marTop w:val="0"/>
                                      <w:marBottom w:val="0"/>
                                      <w:divBdr>
                                        <w:top w:val="none" w:sz="0" w:space="0" w:color="auto"/>
                                        <w:left w:val="none" w:sz="0" w:space="0" w:color="auto"/>
                                        <w:bottom w:val="none" w:sz="0" w:space="0" w:color="auto"/>
                                        <w:right w:val="none" w:sz="0" w:space="0" w:color="auto"/>
                                      </w:divBdr>
                                    </w:div>
                                    <w:div w:id="1705671057">
                                      <w:marLeft w:val="0"/>
                                      <w:marRight w:val="0"/>
                                      <w:marTop w:val="0"/>
                                      <w:marBottom w:val="0"/>
                                      <w:divBdr>
                                        <w:top w:val="none" w:sz="0" w:space="0" w:color="auto"/>
                                        <w:left w:val="none" w:sz="0" w:space="0" w:color="auto"/>
                                        <w:bottom w:val="none" w:sz="0" w:space="0" w:color="auto"/>
                                        <w:right w:val="none" w:sz="0" w:space="0" w:color="auto"/>
                                      </w:divBdr>
                                    </w:div>
                                    <w:div w:id="1744330722">
                                      <w:marLeft w:val="0"/>
                                      <w:marRight w:val="0"/>
                                      <w:marTop w:val="0"/>
                                      <w:marBottom w:val="0"/>
                                      <w:divBdr>
                                        <w:top w:val="none" w:sz="0" w:space="0" w:color="auto"/>
                                        <w:left w:val="none" w:sz="0" w:space="0" w:color="auto"/>
                                        <w:bottom w:val="none" w:sz="0" w:space="0" w:color="auto"/>
                                        <w:right w:val="none" w:sz="0" w:space="0" w:color="auto"/>
                                      </w:divBdr>
                                    </w:div>
                                    <w:div w:id="1757894204">
                                      <w:marLeft w:val="0"/>
                                      <w:marRight w:val="0"/>
                                      <w:marTop w:val="0"/>
                                      <w:marBottom w:val="0"/>
                                      <w:divBdr>
                                        <w:top w:val="none" w:sz="0" w:space="0" w:color="auto"/>
                                        <w:left w:val="none" w:sz="0" w:space="0" w:color="auto"/>
                                        <w:bottom w:val="none" w:sz="0" w:space="0" w:color="auto"/>
                                        <w:right w:val="none" w:sz="0" w:space="0" w:color="auto"/>
                                      </w:divBdr>
                                    </w:div>
                                    <w:div w:id="1773744091">
                                      <w:marLeft w:val="0"/>
                                      <w:marRight w:val="0"/>
                                      <w:marTop w:val="0"/>
                                      <w:marBottom w:val="0"/>
                                      <w:divBdr>
                                        <w:top w:val="none" w:sz="0" w:space="0" w:color="auto"/>
                                        <w:left w:val="none" w:sz="0" w:space="0" w:color="auto"/>
                                        <w:bottom w:val="none" w:sz="0" w:space="0" w:color="auto"/>
                                        <w:right w:val="none" w:sz="0" w:space="0" w:color="auto"/>
                                      </w:divBdr>
                                    </w:div>
                                    <w:div w:id="1788238980">
                                      <w:marLeft w:val="0"/>
                                      <w:marRight w:val="0"/>
                                      <w:marTop w:val="0"/>
                                      <w:marBottom w:val="0"/>
                                      <w:divBdr>
                                        <w:top w:val="none" w:sz="0" w:space="0" w:color="auto"/>
                                        <w:left w:val="none" w:sz="0" w:space="0" w:color="auto"/>
                                        <w:bottom w:val="none" w:sz="0" w:space="0" w:color="auto"/>
                                        <w:right w:val="none" w:sz="0" w:space="0" w:color="auto"/>
                                      </w:divBdr>
                                    </w:div>
                                    <w:div w:id="1798059024">
                                      <w:marLeft w:val="0"/>
                                      <w:marRight w:val="0"/>
                                      <w:marTop w:val="0"/>
                                      <w:marBottom w:val="0"/>
                                      <w:divBdr>
                                        <w:top w:val="none" w:sz="0" w:space="0" w:color="auto"/>
                                        <w:left w:val="none" w:sz="0" w:space="0" w:color="auto"/>
                                        <w:bottom w:val="none" w:sz="0" w:space="0" w:color="auto"/>
                                        <w:right w:val="none" w:sz="0" w:space="0" w:color="auto"/>
                                      </w:divBdr>
                                    </w:div>
                                    <w:div w:id="1803814191">
                                      <w:marLeft w:val="0"/>
                                      <w:marRight w:val="0"/>
                                      <w:marTop w:val="0"/>
                                      <w:marBottom w:val="0"/>
                                      <w:divBdr>
                                        <w:top w:val="none" w:sz="0" w:space="0" w:color="auto"/>
                                        <w:left w:val="none" w:sz="0" w:space="0" w:color="auto"/>
                                        <w:bottom w:val="none" w:sz="0" w:space="0" w:color="auto"/>
                                        <w:right w:val="none" w:sz="0" w:space="0" w:color="auto"/>
                                      </w:divBdr>
                                    </w:div>
                                    <w:div w:id="1806771242">
                                      <w:marLeft w:val="0"/>
                                      <w:marRight w:val="0"/>
                                      <w:marTop w:val="0"/>
                                      <w:marBottom w:val="0"/>
                                      <w:divBdr>
                                        <w:top w:val="none" w:sz="0" w:space="0" w:color="auto"/>
                                        <w:left w:val="none" w:sz="0" w:space="0" w:color="auto"/>
                                        <w:bottom w:val="none" w:sz="0" w:space="0" w:color="auto"/>
                                        <w:right w:val="none" w:sz="0" w:space="0" w:color="auto"/>
                                      </w:divBdr>
                                    </w:div>
                                    <w:div w:id="1807576338">
                                      <w:marLeft w:val="0"/>
                                      <w:marRight w:val="0"/>
                                      <w:marTop w:val="0"/>
                                      <w:marBottom w:val="0"/>
                                      <w:divBdr>
                                        <w:top w:val="none" w:sz="0" w:space="0" w:color="auto"/>
                                        <w:left w:val="none" w:sz="0" w:space="0" w:color="auto"/>
                                        <w:bottom w:val="none" w:sz="0" w:space="0" w:color="auto"/>
                                        <w:right w:val="none" w:sz="0" w:space="0" w:color="auto"/>
                                      </w:divBdr>
                                    </w:div>
                                    <w:div w:id="1814828365">
                                      <w:marLeft w:val="0"/>
                                      <w:marRight w:val="0"/>
                                      <w:marTop w:val="0"/>
                                      <w:marBottom w:val="0"/>
                                      <w:divBdr>
                                        <w:top w:val="none" w:sz="0" w:space="0" w:color="auto"/>
                                        <w:left w:val="none" w:sz="0" w:space="0" w:color="auto"/>
                                        <w:bottom w:val="none" w:sz="0" w:space="0" w:color="auto"/>
                                        <w:right w:val="none" w:sz="0" w:space="0" w:color="auto"/>
                                      </w:divBdr>
                                    </w:div>
                                    <w:div w:id="1818377731">
                                      <w:marLeft w:val="0"/>
                                      <w:marRight w:val="0"/>
                                      <w:marTop w:val="0"/>
                                      <w:marBottom w:val="0"/>
                                      <w:divBdr>
                                        <w:top w:val="none" w:sz="0" w:space="0" w:color="auto"/>
                                        <w:left w:val="none" w:sz="0" w:space="0" w:color="auto"/>
                                        <w:bottom w:val="none" w:sz="0" w:space="0" w:color="auto"/>
                                        <w:right w:val="none" w:sz="0" w:space="0" w:color="auto"/>
                                      </w:divBdr>
                                    </w:div>
                                    <w:div w:id="1828130676">
                                      <w:marLeft w:val="0"/>
                                      <w:marRight w:val="0"/>
                                      <w:marTop w:val="0"/>
                                      <w:marBottom w:val="0"/>
                                      <w:divBdr>
                                        <w:top w:val="none" w:sz="0" w:space="0" w:color="auto"/>
                                        <w:left w:val="none" w:sz="0" w:space="0" w:color="auto"/>
                                        <w:bottom w:val="none" w:sz="0" w:space="0" w:color="auto"/>
                                        <w:right w:val="none" w:sz="0" w:space="0" w:color="auto"/>
                                      </w:divBdr>
                                    </w:div>
                                    <w:div w:id="1831826815">
                                      <w:marLeft w:val="0"/>
                                      <w:marRight w:val="0"/>
                                      <w:marTop w:val="0"/>
                                      <w:marBottom w:val="0"/>
                                      <w:divBdr>
                                        <w:top w:val="none" w:sz="0" w:space="0" w:color="auto"/>
                                        <w:left w:val="none" w:sz="0" w:space="0" w:color="auto"/>
                                        <w:bottom w:val="none" w:sz="0" w:space="0" w:color="auto"/>
                                        <w:right w:val="none" w:sz="0" w:space="0" w:color="auto"/>
                                      </w:divBdr>
                                    </w:div>
                                    <w:div w:id="1878353644">
                                      <w:marLeft w:val="0"/>
                                      <w:marRight w:val="0"/>
                                      <w:marTop w:val="0"/>
                                      <w:marBottom w:val="0"/>
                                      <w:divBdr>
                                        <w:top w:val="none" w:sz="0" w:space="0" w:color="auto"/>
                                        <w:left w:val="none" w:sz="0" w:space="0" w:color="auto"/>
                                        <w:bottom w:val="none" w:sz="0" w:space="0" w:color="auto"/>
                                        <w:right w:val="none" w:sz="0" w:space="0" w:color="auto"/>
                                      </w:divBdr>
                                    </w:div>
                                    <w:div w:id="1879388033">
                                      <w:marLeft w:val="0"/>
                                      <w:marRight w:val="0"/>
                                      <w:marTop w:val="0"/>
                                      <w:marBottom w:val="0"/>
                                      <w:divBdr>
                                        <w:top w:val="none" w:sz="0" w:space="0" w:color="auto"/>
                                        <w:left w:val="none" w:sz="0" w:space="0" w:color="auto"/>
                                        <w:bottom w:val="none" w:sz="0" w:space="0" w:color="auto"/>
                                        <w:right w:val="none" w:sz="0" w:space="0" w:color="auto"/>
                                      </w:divBdr>
                                    </w:div>
                                    <w:div w:id="1889219648">
                                      <w:marLeft w:val="0"/>
                                      <w:marRight w:val="0"/>
                                      <w:marTop w:val="0"/>
                                      <w:marBottom w:val="0"/>
                                      <w:divBdr>
                                        <w:top w:val="none" w:sz="0" w:space="0" w:color="auto"/>
                                        <w:left w:val="none" w:sz="0" w:space="0" w:color="auto"/>
                                        <w:bottom w:val="none" w:sz="0" w:space="0" w:color="auto"/>
                                        <w:right w:val="none" w:sz="0" w:space="0" w:color="auto"/>
                                      </w:divBdr>
                                    </w:div>
                                    <w:div w:id="1893689812">
                                      <w:marLeft w:val="0"/>
                                      <w:marRight w:val="0"/>
                                      <w:marTop w:val="0"/>
                                      <w:marBottom w:val="0"/>
                                      <w:divBdr>
                                        <w:top w:val="none" w:sz="0" w:space="0" w:color="auto"/>
                                        <w:left w:val="none" w:sz="0" w:space="0" w:color="auto"/>
                                        <w:bottom w:val="none" w:sz="0" w:space="0" w:color="auto"/>
                                        <w:right w:val="none" w:sz="0" w:space="0" w:color="auto"/>
                                      </w:divBdr>
                                    </w:div>
                                    <w:div w:id="1897013966">
                                      <w:marLeft w:val="0"/>
                                      <w:marRight w:val="0"/>
                                      <w:marTop w:val="0"/>
                                      <w:marBottom w:val="0"/>
                                      <w:divBdr>
                                        <w:top w:val="none" w:sz="0" w:space="0" w:color="auto"/>
                                        <w:left w:val="none" w:sz="0" w:space="0" w:color="auto"/>
                                        <w:bottom w:val="none" w:sz="0" w:space="0" w:color="auto"/>
                                        <w:right w:val="none" w:sz="0" w:space="0" w:color="auto"/>
                                      </w:divBdr>
                                    </w:div>
                                    <w:div w:id="1906644531">
                                      <w:marLeft w:val="0"/>
                                      <w:marRight w:val="0"/>
                                      <w:marTop w:val="0"/>
                                      <w:marBottom w:val="0"/>
                                      <w:divBdr>
                                        <w:top w:val="none" w:sz="0" w:space="0" w:color="auto"/>
                                        <w:left w:val="none" w:sz="0" w:space="0" w:color="auto"/>
                                        <w:bottom w:val="none" w:sz="0" w:space="0" w:color="auto"/>
                                        <w:right w:val="none" w:sz="0" w:space="0" w:color="auto"/>
                                      </w:divBdr>
                                    </w:div>
                                    <w:div w:id="1924415208">
                                      <w:marLeft w:val="0"/>
                                      <w:marRight w:val="0"/>
                                      <w:marTop w:val="0"/>
                                      <w:marBottom w:val="0"/>
                                      <w:divBdr>
                                        <w:top w:val="none" w:sz="0" w:space="0" w:color="auto"/>
                                        <w:left w:val="none" w:sz="0" w:space="0" w:color="auto"/>
                                        <w:bottom w:val="none" w:sz="0" w:space="0" w:color="auto"/>
                                        <w:right w:val="none" w:sz="0" w:space="0" w:color="auto"/>
                                      </w:divBdr>
                                    </w:div>
                                    <w:div w:id="1926568713">
                                      <w:marLeft w:val="0"/>
                                      <w:marRight w:val="0"/>
                                      <w:marTop w:val="0"/>
                                      <w:marBottom w:val="0"/>
                                      <w:divBdr>
                                        <w:top w:val="none" w:sz="0" w:space="0" w:color="auto"/>
                                        <w:left w:val="none" w:sz="0" w:space="0" w:color="auto"/>
                                        <w:bottom w:val="none" w:sz="0" w:space="0" w:color="auto"/>
                                        <w:right w:val="none" w:sz="0" w:space="0" w:color="auto"/>
                                      </w:divBdr>
                                    </w:div>
                                    <w:div w:id="1934580985">
                                      <w:marLeft w:val="0"/>
                                      <w:marRight w:val="0"/>
                                      <w:marTop w:val="0"/>
                                      <w:marBottom w:val="0"/>
                                      <w:divBdr>
                                        <w:top w:val="none" w:sz="0" w:space="0" w:color="auto"/>
                                        <w:left w:val="none" w:sz="0" w:space="0" w:color="auto"/>
                                        <w:bottom w:val="none" w:sz="0" w:space="0" w:color="auto"/>
                                        <w:right w:val="none" w:sz="0" w:space="0" w:color="auto"/>
                                      </w:divBdr>
                                    </w:div>
                                    <w:div w:id="1934781723">
                                      <w:marLeft w:val="0"/>
                                      <w:marRight w:val="0"/>
                                      <w:marTop w:val="0"/>
                                      <w:marBottom w:val="0"/>
                                      <w:divBdr>
                                        <w:top w:val="none" w:sz="0" w:space="0" w:color="auto"/>
                                        <w:left w:val="none" w:sz="0" w:space="0" w:color="auto"/>
                                        <w:bottom w:val="none" w:sz="0" w:space="0" w:color="auto"/>
                                        <w:right w:val="none" w:sz="0" w:space="0" w:color="auto"/>
                                      </w:divBdr>
                                    </w:div>
                                    <w:div w:id="1956600112">
                                      <w:marLeft w:val="0"/>
                                      <w:marRight w:val="0"/>
                                      <w:marTop w:val="0"/>
                                      <w:marBottom w:val="0"/>
                                      <w:divBdr>
                                        <w:top w:val="none" w:sz="0" w:space="0" w:color="auto"/>
                                        <w:left w:val="none" w:sz="0" w:space="0" w:color="auto"/>
                                        <w:bottom w:val="none" w:sz="0" w:space="0" w:color="auto"/>
                                        <w:right w:val="none" w:sz="0" w:space="0" w:color="auto"/>
                                      </w:divBdr>
                                    </w:div>
                                    <w:div w:id="1973436691">
                                      <w:marLeft w:val="0"/>
                                      <w:marRight w:val="0"/>
                                      <w:marTop w:val="0"/>
                                      <w:marBottom w:val="0"/>
                                      <w:divBdr>
                                        <w:top w:val="none" w:sz="0" w:space="0" w:color="auto"/>
                                        <w:left w:val="none" w:sz="0" w:space="0" w:color="auto"/>
                                        <w:bottom w:val="none" w:sz="0" w:space="0" w:color="auto"/>
                                        <w:right w:val="none" w:sz="0" w:space="0" w:color="auto"/>
                                      </w:divBdr>
                                    </w:div>
                                    <w:div w:id="1983078600">
                                      <w:marLeft w:val="0"/>
                                      <w:marRight w:val="0"/>
                                      <w:marTop w:val="0"/>
                                      <w:marBottom w:val="0"/>
                                      <w:divBdr>
                                        <w:top w:val="none" w:sz="0" w:space="0" w:color="auto"/>
                                        <w:left w:val="none" w:sz="0" w:space="0" w:color="auto"/>
                                        <w:bottom w:val="none" w:sz="0" w:space="0" w:color="auto"/>
                                        <w:right w:val="none" w:sz="0" w:space="0" w:color="auto"/>
                                      </w:divBdr>
                                    </w:div>
                                    <w:div w:id="1991403968">
                                      <w:marLeft w:val="0"/>
                                      <w:marRight w:val="0"/>
                                      <w:marTop w:val="0"/>
                                      <w:marBottom w:val="0"/>
                                      <w:divBdr>
                                        <w:top w:val="none" w:sz="0" w:space="0" w:color="auto"/>
                                        <w:left w:val="none" w:sz="0" w:space="0" w:color="auto"/>
                                        <w:bottom w:val="none" w:sz="0" w:space="0" w:color="auto"/>
                                        <w:right w:val="none" w:sz="0" w:space="0" w:color="auto"/>
                                      </w:divBdr>
                                    </w:div>
                                    <w:div w:id="1996445619">
                                      <w:marLeft w:val="0"/>
                                      <w:marRight w:val="0"/>
                                      <w:marTop w:val="0"/>
                                      <w:marBottom w:val="0"/>
                                      <w:divBdr>
                                        <w:top w:val="none" w:sz="0" w:space="0" w:color="auto"/>
                                        <w:left w:val="none" w:sz="0" w:space="0" w:color="auto"/>
                                        <w:bottom w:val="none" w:sz="0" w:space="0" w:color="auto"/>
                                        <w:right w:val="none" w:sz="0" w:space="0" w:color="auto"/>
                                      </w:divBdr>
                                    </w:div>
                                    <w:div w:id="2009819646">
                                      <w:marLeft w:val="0"/>
                                      <w:marRight w:val="0"/>
                                      <w:marTop w:val="0"/>
                                      <w:marBottom w:val="0"/>
                                      <w:divBdr>
                                        <w:top w:val="none" w:sz="0" w:space="0" w:color="auto"/>
                                        <w:left w:val="none" w:sz="0" w:space="0" w:color="auto"/>
                                        <w:bottom w:val="none" w:sz="0" w:space="0" w:color="auto"/>
                                        <w:right w:val="none" w:sz="0" w:space="0" w:color="auto"/>
                                      </w:divBdr>
                                    </w:div>
                                    <w:div w:id="2011326872">
                                      <w:marLeft w:val="0"/>
                                      <w:marRight w:val="0"/>
                                      <w:marTop w:val="0"/>
                                      <w:marBottom w:val="0"/>
                                      <w:divBdr>
                                        <w:top w:val="none" w:sz="0" w:space="0" w:color="auto"/>
                                        <w:left w:val="none" w:sz="0" w:space="0" w:color="auto"/>
                                        <w:bottom w:val="none" w:sz="0" w:space="0" w:color="auto"/>
                                        <w:right w:val="none" w:sz="0" w:space="0" w:color="auto"/>
                                      </w:divBdr>
                                    </w:div>
                                    <w:div w:id="2027100786">
                                      <w:marLeft w:val="0"/>
                                      <w:marRight w:val="0"/>
                                      <w:marTop w:val="0"/>
                                      <w:marBottom w:val="0"/>
                                      <w:divBdr>
                                        <w:top w:val="none" w:sz="0" w:space="0" w:color="auto"/>
                                        <w:left w:val="none" w:sz="0" w:space="0" w:color="auto"/>
                                        <w:bottom w:val="none" w:sz="0" w:space="0" w:color="auto"/>
                                        <w:right w:val="none" w:sz="0" w:space="0" w:color="auto"/>
                                      </w:divBdr>
                                    </w:div>
                                    <w:div w:id="2042315745">
                                      <w:marLeft w:val="0"/>
                                      <w:marRight w:val="0"/>
                                      <w:marTop w:val="0"/>
                                      <w:marBottom w:val="0"/>
                                      <w:divBdr>
                                        <w:top w:val="none" w:sz="0" w:space="0" w:color="auto"/>
                                        <w:left w:val="none" w:sz="0" w:space="0" w:color="auto"/>
                                        <w:bottom w:val="none" w:sz="0" w:space="0" w:color="auto"/>
                                        <w:right w:val="none" w:sz="0" w:space="0" w:color="auto"/>
                                      </w:divBdr>
                                    </w:div>
                                    <w:div w:id="2109084707">
                                      <w:marLeft w:val="0"/>
                                      <w:marRight w:val="0"/>
                                      <w:marTop w:val="0"/>
                                      <w:marBottom w:val="0"/>
                                      <w:divBdr>
                                        <w:top w:val="none" w:sz="0" w:space="0" w:color="auto"/>
                                        <w:left w:val="none" w:sz="0" w:space="0" w:color="auto"/>
                                        <w:bottom w:val="none" w:sz="0" w:space="0" w:color="auto"/>
                                        <w:right w:val="none" w:sz="0" w:space="0" w:color="auto"/>
                                      </w:divBdr>
                                    </w:div>
                                    <w:div w:id="2114202988">
                                      <w:marLeft w:val="0"/>
                                      <w:marRight w:val="0"/>
                                      <w:marTop w:val="0"/>
                                      <w:marBottom w:val="0"/>
                                      <w:divBdr>
                                        <w:top w:val="none" w:sz="0" w:space="0" w:color="auto"/>
                                        <w:left w:val="none" w:sz="0" w:space="0" w:color="auto"/>
                                        <w:bottom w:val="none" w:sz="0" w:space="0" w:color="auto"/>
                                        <w:right w:val="none" w:sz="0" w:space="0" w:color="auto"/>
                                      </w:divBdr>
                                    </w:div>
                                    <w:div w:id="2125999838">
                                      <w:marLeft w:val="0"/>
                                      <w:marRight w:val="0"/>
                                      <w:marTop w:val="0"/>
                                      <w:marBottom w:val="0"/>
                                      <w:divBdr>
                                        <w:top w:val="none" w:sz="0" w:space="0" w:color="auto"/>
                                        <w:left w:val="none" w:sz="0" w:space="0" w:color="auto"/>
                                        <w:bottom w:val="none" w:sz="0" w:space="0" w:color="auto"/>
                                        <w:right w:val="none" w:sz="0" w:space="0" w:color="auto"/>
                                      </w:divBdr>
                                    </w:div>
                                    <w:div w:id="2139373443">
                                      <w:marLeft w:val="0"/>
                                      <w:marRight w:val="0"/>
                                      <w:marTop w:val="0"/>
                                      <w:marBottom w:val="0"/>
                                      <w:divBdr>
                                        <w:top w:val="none" w:sz="0" w:space="0" w:color="auto"/>
                                        <w:left w:val="none" w:sz="0" w:space="0" w:color="auto"/>
                                        <w:bottom w:val="none" w:sz="0" w:space="0" w:color="auto"/>
                                        <w:right w:val="none" w:sz="0" w:space="0" w:color="auto"/>
                                      </w:divBdr>
                                    </w:div>
                                    <w:div w:id="2139563127">
                                      <w:marLeft w:val="0"/>
                                      <w:marRight w:val="0"/>
                                      <w:marTop w:val="0"/>
                                      <w:marBottom w:val="0"/>
                                      <w:divBdr>
                                        <w:top w:val="none" w:sz="0" w:space="0" w:color="auto"/>
                                        <w:left w:val="none" w:sz="0" w:space="0" w:color="auto"/>
                                        <w:bottom w:val="none" w:sz="0" w:space="0" w:color="auto"/>
                                        <w:right w:val="none" w:sz="0" w:space="0" w:color="auto"/>
                                      </w:divBdr>
                                    </w:div>
                                    <w:div w:id="2145275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698255">
                              <w:marLeft w:val="0"/>
                              <w:marRight w:val="0"/>
                              <w:marTop w:val="0"/>
                              <w:marBottom w:val="0"/>
                              <w:divBdr>
                                <w:top w:val="none" w:sz="0" w:space="0" w:color="auto"/>
                                <w:left w:val="none" w:sz="0" w:space="0" w:color="auto"/>
                                <w:bottom w:val="none" w:sz="0" w:space="0" w:color="auto"/>
                                <w:right w:val="none" w:sz="0" w:space="0" w:color="auto"/>
                              </w:divBdr>
                            </w:div>
                            <w:div w:id="569730683">
                              <w:marLeft w:val="0"/>
                              <w:marRight w:val="0"/>
                              <w:marTop w:val="0"/>
                              <w:marBottom w:val="0"/>
                              <w:divBdr>
                                <w:top w:val="none" w:sz="0" w:space="0" w:color="auto"/>
                                <w:left w:val="none" w:sz="0" w:space="0" w:color="auto"/>
                                <w:bottom w:val="none" w:sz="0" w:space="0" w:color="auto"/>
                                <w:right w:val="none" w:sz="0" w:space="0" w:color="auto"/>
                              </w:divBdr>
                            </w:div>
                            <w:div w:id="642580700">
                              <w:marLeft w:val="0"/>
                              <w:marRight w:val="0"/>
                              <w:marTop w:val="0"/>
                              <w:marBottom w:val="0"/>
                              <w:divBdr>
                                <w:top w:val="none" w:sz="0" w:space="0" w:color="auto"/>
                                <w:left w:val="none" w:sz="0" w:space="0" w:color="auto"/>
                                <w:bottom w:val="none" w:sz="0" w:space="0" w:color="auto"/>
                                <w:right w:val="none" w:sz="0" w:space="0" w:color="auto"/>
                              </w:divBdr>
                            </w:div>
                            <w:div w:id="743113977">
                              <w:marLeft w:val="0"/>
                              <w:marRight w:val="0"/>
                              <w:marTop w:val="0"/>
                              <w:marBottom w:val="0"/>
                              <w:divBdr>
                                <w:top w:val="none" w:sz="0" w:space="0" w:color="auto"/>
                                <w:left w:val="none" w:sz="0" w:space="0" w:color="auto"/>
                                <w:bottom w:val="none" w:sz="0" w:space="0" w:color="auto"/>
                                <w:right w:val="none" w:sz="0" w:space="0" w:color="auto"/>
                              </w:divBdr>
                            </w:div>
                            <w:div w:id="810169381">
                              <w:marLeft w:val="0"/>
                              <w:marRight w:val="0"/>
                              <w:marTop w:val="0"/>
                              <w:marBottom w:val="0"/>
                              <w:divBdr>
                                <w:top w:val="none" w:sz="0" w:space="0" w:color="auto"/>
                                <w:left w:val="none" w:sz="0" w:space="0" w:color="auto"/>
                                <w:bottom w:val="none" w:sz="0" w:space="0" w:color="auto"/>
                                <w:right w:val="none" w:sz="0" w:space="0" w:color="auto"/>
                              </w:divBdr>
                            </w:div>
                            <w:div w:id="975063221">
                              <w:marLeft w:val="0"/>
                              <w:marRight w:val="0"/>
                              <w:marTop w:val="0"/>
                              <w:marBottom w:val="0"/>
                              <w:divBdr>
                                <w:top w:val="none" w:sz="0" w:space="0" w:color="auto"/>
                                <w:left w:val="none" w:sz="0" w:space="0" w:color="auto"/>
                                <w:bottom w:val="none" w:sz="0" w:space="0" w:color="auto"/>
                                <w:right w:val="none" w:sz="0" w:space="0" w:color="auto"/>
                              </w:divBdr>
                            </w:div>
                            <w:div w:id="1183545607">
                              <w:marLeft w:val="0"/>
                              <w:marRight w:val="0"/>
                              <w:marTop w:val="0"/>
                              <w:marBottom w:val="0"/>
                              <w:divBdr>
                                <w:top w:val="none" w:sz="0" w:space="0" w:color="auto"/>
                                <w:left w:val="none" w:sz="0" w:space="0" w:color="auto"/>
                                <w:bottom w:val="none" w:sz="0" w:space="0" w:color="auto"/>
                                <w:right w:val="none" w:sz="0" w:space="0" w:color="auto"/>
                              </w:divBdr>
                            </w:div>
                            <w:div w:id="1555239465">
                              <w:marLeft w:val="0"/>
                              <w:marRight w:val="0"/>
                              <w:marTop w:val="0"/>
                              <w:marBottom w:val="0"/>
                              <w:divBdr>
                                <w:top w:val="none" w:sz="0" w:space="0" w:color="auto"/>
                                <w:left w:val="none" w:sz="0" w:space="0" w:color="auto"/>
                                <w:bottom w:val="none" w:sz="0" w:space="0" w:color="auto"/>
                                <w:right w:val="none" w:sz="0" w:space="0" w:color="auto"/>
                              </w:divBdr>
                            </w:div>
                            <w:div w:id="1608463110">
                              <w:marLeft w:val="0"/>
                              <w:marRight w:val="0"/>
                              <w:marTop w:val="0"/>
                              <w:marBottom w:val="0"/>
                              <w:divBdr>
                                <w:top w:val="none" w:sz="0" w:space="0" w:color="auto"/>
                                <w:left w:val="none" w:sz="0" w:space="0" w:color="auto"/>
                                <w:bottom w:val="none" w:sz="0" w:space="0" w:color="auto"/>
                                <w:right w:val="none" w:sz="0" w:space="0" w:color="auto"/>
                              </w:divBdr>
                            </w:div>
                            <w:div w:id="1611933720">
                              <w:marLeft w:val="0"/>
                              <w:marRight w:val="0"/>
                              <w:marTop w:val="0"/>
                              <w:marBottom w:val="0"/>
                              <w:divBdr>
                                <w:top w:val="none" w:sz="0" w:space="0" w:color="auto"/>
                                <w:left w:val="none" w:sz="0" w:space="0" w:color="auto"/>
                                <w:bottom w:val="none" w:sz="0" w:space="0" w:color="auto"/>
                                <w:right w:val="none" w:sz="0" w:space="0" w:color="auto"/>
                              </w:divBdr>
                            </w:div>
                            <w:div w:id="1614098131">
                              <w:marLeft w:val="0"/>
                              <w:marRight w:val="0"/>
                              <w:marTop w:val="0"/>
                              <w:marBottom w:val="0"/>
                              <w:divBdr>
                                <w:top w:val="none" w:sz="0" w:space="0" w:color="auto"/>
                                <w:left w:val="none" w:sz="0" w:space="0" w:color="auto"/>
                                <w:bottom w:val="none" w:sz="0" w:space="0" w:color="auto"/>
                                <w:right w:val="none" w:sz="0" w:space="0" w:color="auto"/>
                              </w:divBdr>
                            </w:div>
                            <w:div w:id="1628703216">
                              <w:marLeft w:val="0"/>
                              <w:marRight w:val="0"/>
                              <w:marTop w:val="0"/>
                              <w:marBottom w:val="0"/>
                              <w:divBdr>
                                <w:top w:val="none" w:sz="0" w:space="0" w:color="auto"/>
                                <w:left w:val="none" w:sz="0" w:space="0" w:color="auto"/>
                                <w:bottom w:val="none" w:sz="0" w:space="0" w:color="auto"/>
                                <w:right w:val="none" w:sz="0" w:space="0" w:color="auto"/>
                              </w:divBdr>
                            </w:div>
                            <w:div w:id="1672030124">
                              <w:marLeft w:val="0"/>
                              <w:marRight w:val="0"/>
                              <w:marTop w:val="0"/>
                              <w:marBottom w:val="0"/>
                              <w:divBdr>
                                <w:top w:val="none" w:sz="0" w:space="0" w:color="auto"/>
                                <w:left w:val="none" w:sz="0" w:space="0" w:color="auto"/>
                                <w:bottom w:val="none" w:sz="0" w:space="0" w:color="auto"/>
                                <w:right w:val="none" w:sz="0" w:space="0" w:color="auto"/>
                              </w:divBdr>
                            </w:div>
                            <w:div w:id="1693913453">
                              <w:marLeft w:val="0"/>
                              <w:marRight w:val="0"/>
                              <w:marTop w:val="0"/>
                              <w:marBottom w:val="0"/>
                              <w:divBdr>
                                <w:top w:val="none" w:sz="0" w:space="0" w:color="auto"/>
                                <w:left w:val="none" w:sz="0" w:space="0" w:color="auto"/>
                                <w:bottom w:val="none" w:sz="0" w:space="0" w:color="auto"/>
                                <w:right w:val="none" w:sz="0" w:space="0" w:color="auto"/>
                              </w:divBdr>
                            </w:div>
                            <w:div w:id="1811511167">
                              <w:marLeft w:val="0"/>
                              <w:marRight w:val="0"/>
                              <w:marTop w:val="0"/>
                              <w:marBottom w:val="0"/>
                              <w:divBdr>
                                <w:top w:val="none" w:sz="0" w:space="0" w:color="auto"/>
                                <w:left w:val="none" w:sz="0" w:space="0" w:color="auto"/>
                                <w:bottom w:val="none" w:sz="0" w:space="0" w:color="auto"/>
                                <w:right w:val="none" w:sz="0" w:space="0" w:color="auto"/>
                              </w:divBdr>
                            </w:div>
                            <w:div w:id="1920480763">
                              <w:marLeft w:val="0"/>
                              <w:marRight w:val="0"/>
                              <w:marTop w:val="0"/>
                              <w:marBottom w:val="0"/>
                              <w:divBdr>
                                <w:top w:val="none" w:sz="0" w:space="0" w:color="auto"/>
                                <w:left w:val="none" w:sz="0" w:space="0" w:color="auto"/>
                                <w:bottom w:val="none" w:sz="0" w:space="0" w:color="auto"/>
                                <w:right w:val="none" w:sz="0" w:space="0" w:color="auto"/>
                              </w:divBdr>
                            </w:div>
                            <w:div w:id="1934436637">
                              <w:marLeft w:val="0"/>
                              <w:marRight w:val="0"/>
                              <w:marTop w:val="0"/>
                              <w:marBottom w:val="0"/>
                              <w:divBdr>
                                <w:top w:val="none" w:sz="0" w:space="0" w:color="auto"/>
                                <w:left w:val="none" w:sz="0" w:space="0" w:color="auto"/>
                                <w:bottom w:val="none" w:sz="0" w:space="0" w:color="auto"/>
                                <w:right w:val="none" w:sz="0" w:space="0" w:color="auto"/>
                              </w:divBdr>
                            </w:div>
                            <w:div w:id="1936328945">
                              <w:marLeft w:val="0"/>
                              <w:marRight w:val="0"/>
                              <w:marTop w:val="0"/>
                              <w:marBottom w:val="0"/>
                              <w:divBdr>
                                <w:top w:val="none" w:sz="0" w:space="0" w:color="auto"/>
                                <w:left w:val="none" w:sz="0" w:space="0" w:color="auto"/>
                                <w:bottom w:val="none" w:sz="0" w:space="0" w:color="auto"/>
                                <w:right w:val="none" w:sz="0" w:space="0" w:color="auto"/>
                              </w:divBdr>
                            </w:div>
                            <w:div w:id="1994026298">
                              <w:marLeft w:val="0"/>
                              <w:marRight w:val="0"/>
                              <w:marTop w:val="0"/>
                              <w:marBottom w:val="0"/>
                              <w:divBdr>
                                <w:top w:val="none" w:sz="0" w:space="0" w:color="auto"/>
                                <w:left w:val="none" w:sz="0" w:space="0" w:color="auto"/>
                                <w:bottom w:val="none" w:sz="0" w:space="0" w:color="auto"/>
                                <w:right w:val="none" w:sz="0" w:space="0" w:color="auto"/>
                              </w:divBdr>
                            </w:div>
                            <w:div w:id="2047752548">
                              <w:marLeft w:val="0"/>
                              <w:marRight w:val="0"/>
                              <w:marTop w:val="0"/>
                              <w:marBottom w:val="0"/>
                              <w:divBdr>
                                <w:top w:val="none" w:sz="0" w:space="0" w:color="auto"/>
                                <w:left w:val="none" w:sz="0" w:space="0" w:color="auto"/>
                                <w:bottom w:val="none" w:sz="0" w:space="0" w:color="auto"/>
                                <w:right w:val="none" w:sz="0" w:space="0" w:color="auto"/>
                              </w:divBdr>
                            </w:div>
                            <w:div w:id="2048289446">
                              <w:marLeft w:val="0"/>
                              <w:marRight w:val="0"/>
                              <w:marTop w:val="0"/>
                              <w:marBottom w:val="0"/>
                              <w:divBdr>
                                <w:top w:val="none" w:sz="0" w:space="0" w:color="auto"/>
                                <w:left w:val="none" w:sz="0" w:space="0" w:color="auto"/>
                                <w:bottom w:val="none" w:sz="0" w:space="0" w:color="auto"/>
                                <w:right w:val="none" w:sz="0" w:space="0" w:color="auto"/>
                              </w:divBdr>
                            </w:div>
                            <w:div w:id="2050257328">
                              <w:marLeft w:val="0"/>
                              <w:marRight w:val="0"/>
                              <w:marTop w:val="0"/>
                              <w:marBottom w:val="0"/>
                              <w:divBdr>
                                <w:top w:val="none" w:sz="0" w:space="0" w:color="auto"/>
                                <w:left w:val="none" w:sz="0" w:space="0" w:color="auto"/>
                                <w:bottom w:val="none" w:sz="0" w:space="0" w:color="auto"/>
                                <w:right w:val="none" w:sz="0" w:space="0" w:color="auto"/>
                              </w:divBdr>
                            </w:div>
                            <w:div w:id="2052340783">
                              <w:marLeft w:val="0"/>
                              <w:marRight w:val="0"/>
                              <w:marTop w:val="0"/>
                              <w:marBottom w:val="0"/>
                              <w:divBdr>
                                <w:top w:val="none" w:sz="0" w:space="0" w:color="auto"/>
                                <w:left w:val="none" w:sz="0" w:space="0" w:color="auto"/>
                                <w:bottom w:val="none" w:sz="0" w:space="0" w:color="auto"/>
                                <w:right w:val="none" w:sz="0" w:space="0" w:color="auto"/>
                              </w:divBdr>
                            </w:div>
                            <w:div w:id="2054694937">
                              <w:marLeft w:val="0"/>
                              <w:marRight w:val="0"/>
                              <w:marTop w:val="0"/>
                              <w:marBottom w:val="0"/>
                              <w:divBdr>
                                <w:top w:val="none" w:sz="0" w:space="0" w:color="auto"/>
                                <w:left w:val="none" w:sz="0" w:space="0" w:color="auto"/>
                                <w:bottom w:val="none" w:sz="0" w:space="0" w:color="auto"/>
                                <w:right w:val="none" w:sz="0" w:space="0" w:color="auto"/>
                              </w:divBdr>
                            </w:div>
                            <w:div w:id="2104033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1680134">
                      <w:marLeft w:val="0"/>
                      <w:marRight w:val="0"/>
                      <w:marTop w:val="0"/>
                      <w:marBottom w:val="0"/>
                      <w:divBdr>
                        <w:top w:val="none" w:sz="0" w:space="0" w:color="auto"/>
                        <w:left w:val="none" w:sz="0" w:space="0" w:color="auto"/>
                        <w:bottom w:val="none" w:sz="0" w:space="0" w:color="auto"/>
                        <w:right w:val="none" w:sz="0" w:space="0" w:color="auto"/>
                      </w:divBdr>
                    </w:div>
                    <w:div w:id="2038581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1494419">
              <w:marLeft w:val="0"/>
              <w:marRight w:val="0"/>
              <w:marTop w:val="0"/>
              <w:marBottom w:val="0"/>
              <w:divBdr>
                <w:top w:val="none" w:sz="0" w:space="0" w:color="auto"/>
                <w:left w:val="none" w:sz="0" w:space="0" w:color="auto"/>
                <w:bottom w:val="none" w:sz="0" w:space="0" w:color="auto"/>
                <w:right w:val="none" w:sz="0" w:space="0" w:color="auto"/>
              </w:divBdr>
              <w:divsChild>
                <w:div w:id="965623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1240926">
          <w:marLeft w:val="0"/>
          <w:marRight w:val="0"/>
          <w:marTop w:val="0"/>
          <w:marBottom w:val="0"/>
          <w:divBdr>
            <w:top w:val="none" w:sz="0" w:space="0" w:color="auto"/>
            <w:left w:val="none" w:sz="0" w:space="0" w:color="auto"/>
            <w:bottom w:val="none" w:sz="0" w:space="0" w:color="auto"/>
            <w:right w:val="none" w:sz="0" w:space="0" w:color="auto"/>
          </w:divBdr>
          <w:divsChild>
            <w:div w:id="1453597381">
              <w:marLeft w:val="0"/>
              <w:marRight w:val="0"/>
              <w:marTop w:val="0"/>
              <w:marBottom w:val="0"/>
              <w:divBdr>
                <w:top w:val="none" w:sz="0" w:space="0" w:color="auto"/>
                <w:left w:val="none" w:sz="0" w:space="0" w:color="auto"/>
                <w:bottom w:val="none" w:sz="0" w:space="0" w:color="auto"/>
                <w:right w:val="none" w:sz="0" w:space="0" w:color="auto"/>
              </w:divBdr>
            </w:div>
            <w:div w:id="1725907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9960625">
      <w:bodyDiv w:val="1"/>
      <w:marLeft w:val="0"/>
      <w:marRight w:val="0"/>
      <w:marTop w:val="0"/>
      <w:marBottom w:val="0"/>
      <w:divBdr>
        <w:top w:val="none" w:sz="0" w:space="0" w:color="auto"/>
        <w:left w:val="none" w:sz="0" w:space="0" w:color="auto"/>
        <w:bottom w:val="none" w:sz="0" w:space="0" w:color="auto"/>
        <w:right w:val="none" w:sz="0" w:space="0" w:color="auto"/>
      </w:divBdr>
    </w:div>
    <w:div w:id="1072460905">
      <w:bodyDiv w:val="1"/>
      <w:marLeft w:val="0"/>
      <w:marRight w:val="0"/>
      <w:marTop w:val="0"/>
      <w:marBottom w:val="0"/>
      <w:divBdr>
        <w:top w:val="none" w:sz="0" w:space="0" w:color="auto"/>
        <w:left w:val="none" w:sz="0" w:space="0" w:color="auto"/>
        <w:bottom w:val="none" w:sz="0" w:space="0" w:color="auto"/>
        <w:right w:val="none" w:sz="0" w:space="0" w:color="auto"/>
      </w:divBdr>
    </w:div>
    <w:div w:id="1073505737">
      <w:bodyDiv w:val="1"/>
      <w:marLeft w:val="0"/>
      <w:marRight w:val="0"/>
      <w:marTop w:val="0"/>
      <w:marBottom w:val="0"/>
      <w:divBdr>
        <w:top w:val="none" w:sz="0" w:space="0" w:color="auto"/>
        <w:left w:val="none" w:sz="0" w:space="0" w:color="auto"/>
        <w:bottom w:val="none" w:sz="0" w:space="0" w:color="auto"/>
        <w:right w:val="none" w:sz="0" w:space="0" w:color="auto"/>
      </w:divBdr>
    </w:div>
    <w:div w:id="1077752581">
      <w:bodyDiv w:val="1"/>
      <w:marLeft w:val="0"/>
      <w:marRight w:val="0"/>
      <w:marTop w:val="0"/>
      <w:marBottom w:val="0"/>
      <w:divBdr>
        <w:top w:val="none" w:sz="0" w:space="0" w:color="auto"/>
        <w:left w:val="none" w:sz="0" w:space="0" w:color="auto"/>
        <w:bottom w:val="none" w:sz="0" w:space="0" w:color="auto"/>
        <w:right w:val="none" w:sz="0" w:space="0" w:color="auto"/>
      </w:divBdr>
      <w:divsChild>
        <w:div w:id="683939790">
          <w:marLeft w:val="0"/>
          <w:marRight w:val="0"/>
          <w:marTop w:val="0"/>
          <w:marBottom w:val="0"/>
          <w:divBdr>
            <w:top w:val="none" w:sz="0" w:space="0" w:color="auto"/>
            <w:left w:val="none" w:sz="0" w:space="0" w:color="auto"/>
            <w:bottom w:val="none" w:sz="0" w:space="0" w:color="auto"/>
            <w:right w:val="none" w:sz="0" w:space="0" w:color="auto"/>
          </w:divBdr>
        </w:div>
        <w:div w:id="963458845">
          <w:marLeft w:val="0"/>
          <w:marRight w:val="0"/>
          <w:marTop w:val="0"/>
          <w:marBottom w:val="0"/>
          <w:divBdr>
            <w:top w:val="none" w:sz="0" w:space="0" w:color="auto"/>
            <w:left w:val="none" w:sz="0" w:space="0" w:color="auto"/>
            <w:bottom w:val="none" w:sz="0" w:space="0" w:color="auto"/>
            <w:right w:val="none" w:sz="0" w:space="0" w:color="auto"/>
          </w:divBdr>
        </w:div>
        <w:div w:id="2015839498">
          <w:marLeft w:val="0"/>
          <w:marRight w:val="0"/>
          <w:marTop w:val="0"/>
          <w:marBottom w:val="0"/>
          <w:divBdr>
            <w:top w:val="none" w:sz="0" w:space="0" w:color="auto"/>
            <w:left w:val="none" w:sz="0" w:space="0" w:color="auto"/>
            <w:bottom w:val="none" w:sz="0" w:space="0" w:color="auto"/>
            <w:right w:val="none" w:sz="0" w:space="0" w:color="auto"/>
          </w:divBdr>
        </w:div>
      </w:divsChild>
    </w:div>
    <w:div w:id="1078477258">
      <w:bodyDiv w:val="1"/>
      <w:marLeft w:val="0"/>
      <w:marRight w:val="0"/>
      <w:marTop w:val="0"/>
      <w:marBottom w:val="0"/>
      <w:divBdr>
        <w:top w:val="none" w:sz="0" w:space="0" w:color="auto"/>
        <w:left w:val="none" w:sz="0" w:space="0" w:color="auto"/>
        <w:bottom w:val="none" w:sz="0" w:space="0" w:color="auto"/>
        <w:right w:val="none" w:sz="0" w:space="0" w:color="auto"/>
      </w:divBdr>
    </w:div>
    <w:div w:id="1081681835">
      <w:bodyDiv w:val="1"/>
      <w:marLeft w:val="0"/>
      <w:marRight w:val="0"/>
      <w:marTop w:val="0"/>
      <w:marBottom w:val="0"/>
      <w:divBdr>
        <w:top w:val="none" w:sz="0" w:space="0" w:color="auto"/>
        <w:left w:val="none" w:sz="0" w:space="0" w:color="auto"/>
        <w:bottom w:val="none" w:sz="0" w:space="0" w:color="auto"/>
        <w:right w:val="none" w:sz="0" w:space="0" w:color="auto"/>
      </w:divBdr>
    </w:div>
    <w:div w:id="1081874058">
      <w:bodyDiv w:val="1"/>
      <w:marLeft w:val="0"/>
      <w:marRight w:val="0"/>
      <w:marTop w:val="0"/>
      <w:marBottom w:val="0"/>
      <w:divBdr>
        <w:top w:val="none" w:sz="0" w:space="0" w:color="auto"/>
        <w:left w:val="none" w:sz="0" w:space="0" w:color="auto"/>
        <w:bottom w:val="none" w:sz="0" w:space="0" w:color="auto"/>
        <w:right w:val="none" w:sz="0" w:space="0" w:color="auto"/>
      </w:divBdr>
    </w:div>
    <w:div w:id="1086850500">
      <w:bodyDiv w:val="1"/>
      <w:marLeft w:val="0"/>
      <w:marRight w:val="0"/>
      <w:marTop w:val="0"/>
      <w:marBottom w:val="0"/>
      <w:divBdr>
        <w:top w:val="none" w:sz="0" w:space="0" w:color="auto"/>
        <w:left w:val="none" w:sz="0" w:space="0" w:color="auto"/>
        <w:bottom w:val="none" w:sz="0" w:space="0" w:color="auto"/>
        <w:right w:val="none" w:sz="0" w:space="0" w:color="auto"/>
      </w:divBdr>
      <w:divsChild>
        <w:div w:id="19740495">
          <w:marLeft w:val="0"/>
          <w:marRight w:val="0"/>
          <w:marTop w:val="0"/>
          <w:marBottom w:val="0"/>
          <w:divBdr>
            <w:top w:val="none" w:sz="0" w:space="0" w:color="auto"/>
            <w:left w:val="none" w:sz="0" w:space="0" w:color="auto"/>
            <w:bottom w:val="none" w:sz="0" w:space="0" w:color="auto"/>
            <w:right w:val="none" w:sz="0" w:space="0" w:color="auto"/>
          </w:divBdr>
        </w:div>
        <w:div w:id="1104544308">
          <w:marLeft w:val="0"/>
          <w:marRight w:val="0"/>
          <w:marTop w:val="0"/>
          <w:marBottom w:val="0"/>
          <w:divBdr>
            <w:top w:val="none" w:sz="0" w:space="0" w:color="auto"/>
            <w:left w:val="none" w:sz="0" w:space="0" w:color="auto"/>
            <w:bottom w:val="none" w:sz="0" w:space="0" w:color="auto"/>
            <w:right w:val="none" w:sz="0" w:space="0" w:color="auto"/>
          </w:divBdr>
        </w:div>
        <w:div w:id="1670710821">
          <w:marLeft w:val="0"/>
          <w:marRight w:val="0"/>
          <w:marTop w:val="0"/>
          <w:marBottom w:val="0"/>
          <w:divBdr>
            <w:top w:val="none" w:sz="0" w:space="0" w:color="auto"/>
            <w:left w:val="none" w:sz="0" w:space="0" w:color="auto"/>
            <w:bottom w:val="none" w:sz="0" w:space="0" w:color="auto"/>
            <w:right w:val="none" w:sz="0" w:space="0" w:color="auto"/>
          </w:divBdr>
        </w:div>
      </w:divsChild>
    </w:div>
    <w:div w:id="1089740147">
      <w:bodyDiv w:val="1"/>
      <w:marLeft w:val="0"/>
      <w:marRight w:val="0"/>
      <w:marTop w:val="0"/>
      <w:marBottom w:val="0"/>
      <w:divBdr>
        <w:top w:val="none" w:sz="0" w:space="0" w:color="auto"/>
        <w:left w:val="none" w:sz="0" w:space="0" w:color="auto"/>
        <w:bottom w:val="none" w:sz="0" w:space="0" w:color="auto"/>
        <w:right w:val="none" w:sz="0" w:space="0" w:color="auto"/>
      </w:divBdr>
    </w:div>
    <w:div w:id="1091319433">
      <w:bodyDiv w:val="1"/>
      <w:marLeft w:val="0"/>
      <w:marRight w:val="0"/>
      <w:marTop w:val="0"/>
      <w:marBottom w:val="0"/>
      <w:divBdr>
        <w:top w:val="none" w:sz="0" w:space="0" w:color="auto"/>
        <w:left w:val="none" w:sz="0" w:space="0" w:color="auto"/>
        <w:bottom w:val="none" w:sz="0" w:space="0" w:color="auto"/>
        <w:right w:val="none" w:sz="0" w:space="0" w:color="auto"/>
      </w:divBdr>
    </w:div>
    <w:div w:id="1093667160">
      <w:bodyDiv w:val="1"/>
      <w:marLeft w:val="0"/>
      <w:marRight w:val="0"/>
      <w:marTop w:val="0"/>
      <w:marBottom w:val="0"/>
      <w:divBdr>
        <w:top w:val="none" w:sz="0" w:space="0" w:color="auto"/>
        <w:left w:val="none" w:sz="0" w:space="0" w:color="auto"/>
        <w:bottom w:val="none" w:sz="0" w:space="0" w:color="auto"/>
        <w:right w:val="none" w:sz="0" w:space="0" w:color="auto"/>
      </w:divBdr>
      <w:divsChild>
        <w:div w:id="88475792">
          <w:marLeft w:val="0"/>
          <w:marRight w:val="0"/>
          <w:marTop w:val="0"/>
          <w:marBottom w:val="0"/>
          <w:divBdr>
            <w:top w:val="none" w:sz="0" w:space="0" w:color="auto"/>
            <w:left w:val="none" w:sz="0" w:space="0" w:color="auto"/>
            <w:bottom w:val="none" w:sz="0" w:space="0" w:color="auto"/>
            <w:right w:val="none" w:sz="0" w:space="0" w:color="auto"/>
          </w:divBdr>
        </w:div>
        <w:div w:id="170532563">
          <w:marLeft w:val="0"/>
          <w:marRight w:val="0"/>
          <w:marTop w:val="0"/>
          <w:marBottom w:val="0"/>
          <w:divBdr>
            <w:top w:val="none" w:sz="0" w:space="0" w:color="auto"/>
            <w:left w:val="none" w:sz="0" w:space="0" w:color="auto"/>
            <w:bottom w:val="none" w:sz="0" w:space="0" w:color="auto"/>
            <w:right w:val="none" w:sz="0" w:space="0" w:color="auto"/>
          </w:divBdr>
        </w:div>
        <w:div w:id="524175874">
          <w:marLeft w:val="0"/>
          <w:marRight w:val="0"/>
          <w:marTop w:val="0"/>
          <w:marBottom w:val="0"/>
          <w:divBdr>
            <w:top w:val="none" w:sz="0" w:space="0" w:color="auto"/>
            <w:left w:val="none" w:sz="0" w:space="0" w:color="auto"/>
            <w:bottom w:val="none" w:sz="0" w:space="0" w:color="auto"/>
            <w:right w:val="none" w:sz="0" w:space="0" w:color="auto"/>
          </w:divBdr>
        </w:div>
      </w:divsChild>
    </w:div>
    <w:div w:id="1100444364">
      <w:bodyDiv w:val="1"/>
      <w:marLeft w:val="0"/>
      <w:marRight w:val="0"/>
      <w:marTop w:val="0"/>
      <w:marBottom w:val="0"/>
      <w:divBdr>
        <w:top w:val="none" w:sz="0" w:space="0" w:color="auto"/>
        <w:left w:val="none" w:sz="0" w:space="0" w:color="auto"/>
        <w:bottom w:val="none" w:sz="0" w:space="0" w:color="auto"/>
        <w:right w:val="none" w:sz="0" w:space="0" w:color="auto"/>
      </w:divBdr>
    </w:div>
    <w:div w:id="1101339584">
      <w:bodyDiv w:val="1"/>
      <w:marLeft w:val="0"/>
      <w:marRight w:val="0"/>
      <w:marTop w:val="0"/>
      <w:marBottom w:val="0"/>
      <w:divBdr>
        <w:top w:val="none" w:sz="0" w:space="0" w:color="auto"/>
        <w:left w:val="none" w:sz="0" w:space="0" w:color="auto"/>
        <w:bottom w:val="none" w:sz="0" w:space="0" w:color="auto"/>
        <w:right w:val="none" w:sz="0" w:space="0" w:color="auto"/>
      </w:divBdr>
    </w:div>
    <w:div w:id="1101992386">
      <w:bodyDiv w:val="1"/>
      <w:marLeft w:val="0"/>
      <w:marRight w:val="0"/>
      <w:marTop w:val="0"/>
      <w:marBottom w:val="0"/>
      <w:divBdr>
        <w:top w:val="none" w:sz="0" w:space="0" w:color="auto"/>
        <w:left w:val="none" w:sz="0" w:space="0" w:color="auto"/>
        <w:bottom w:val="none" w:sz="0" w:space="0" w:color="auto"/>
        <w:right w:val="none" w:sz="0" w:space="0" w:color="auto"/>
      </w:divBdr>
      <w:divsChild>
        <w:div w:id="426124815">
          <w:marLeft w:val="0"/>
          <w:marRight w:val="0"/>
          <w:marTop w:val="0"/>
          <w:marBottom w:val="0"/>
          <w:divBdr>
            <w:top w:val="none" w:sz="0" w:space="0" w:color="auto"/>
            <w:left w:val="none" w:sz="0" w:space="0" w:color="auto"/>
            <w:bottom w:val="none" w:sz="0" w:space="0" w:color="auto"/>
            <w:right w:val="none" w:sz="0" w:space="0" w:color="auto"/>
          </w:divBdr>
          <w:divsChild>
            <w:div w:id="359553962">
              <w:marLeft w:val="0"/>
              <w:marRight w:val="0"/>
              <w:marTop w:val="0"/>
              <w:marBottom w:val="0"/>
              <w:divBdr>
                <w:top w:val="none" w:sz="0" w:space="0" w:color="auto"/>
                <w:left w:val="none" w:sz="0" w:space="0" w:color="auto"/>
                <w:bottom w:val="none" w:sz="0" w:space="0" w:color="auto"/>
                <w:right w:val="none" w:sz="0" w:space="0" w:color="auto"/>
              </w:divBdr>
            </w:div>
          </w:divsChild>
        </w:div>
        <w:div w:id="835799767">
          <w:marLeft w:val="0"/>
          <w:marRight w:val="0"/>
          <w:marTop w:val="0"/>
          <w:marBottom w:val="0"/>
          <w:divBdr>
            <w:top w:val="none" w:sz="0" w:space="0" w:color="auto"/>
            <w:left w:val="none" w:sz="0" w:space="0" w:color="auto"/>
            <w:bottom w:val="none" w:sz="0" w:space="0" w:color="auto"/>
            <w:right w:val="none" w:sz="0" w:space="0" w:color="auto"/>
          </w:divBdr>
        </w:div>
        <w:div w:id="879130884">
          <w:marLeft w:val="0"/>
          <w:marRight w:val="0"/>
          <w:marTop w:val="0"/>
          <w:marBottom w:val="0"/>
          <w:divBdr>
            <w:top w:val="none" w:sz="0" w:space="0" w:color="auto"/>
            <w:left w:val="none" w:sz="0" w:space="0" w:color="auto"/>
            <w:bottom w:val="none" w:sz="0" w:space="0" w:color="auto"/>
            <w:right w:val="none" w:sz="0" w:space="0" w:color="auto"/>
          </w:divBdr>
        </w:div>
      </w:divsChild>
    </w:div>
    <w:div w:id="1101998020">
      <w:bodyDiv w:val="1"/>
      <w:marLeft w:val="0"/>
      <w:marRight w:val="0"/>
      <w:marTop w:val="0"/>
      <w:marBottom w:val="0"/>
      <w:divBdr>
        <w:top w:val="none" w:sz="0" w:space="0" w:color="auto"/>
        <w:left w:val="none" w:sz="0" w:space="0" w:color="auto"/>
        <w:bottom w:val="none" w:sz="0" w:space="0" w:color="auto"/>
        <w:right w:val="none" w:sz="0" w:space="0" w:color="auto"/>
      </w:divBdr>
    </w:div>
    <w:div w:id="1104303690">
      <w:bodyDiv w:val="1"/>
      <w:marLeft w:val="0"/>
      <w:marRight w:val="0"/>
      <w:marTop w:val="0"/>
      <w:marBottom w:val="0"/>
      <w:divBdr>
        <w:top w:val="none" w:sz="0" w:space="0" w:color="auto"/>
        <w:left w:val="none" w:sz="0" w:space="0" w:color="auto"/>
        <w:bottom w:val="none" w:sz="0" w:space="0" w:color="auto"/>
        <w:right w:val="none" w:sz="0" w:space="0" w:color="auto"/>
      </w:divBdr>
    </w:div>
    <w:div w:id="1105493289">
      <w:bodyDiv w:val="1"/>
      <w:marLeft w:val="0"/>
      <w:marRight w:val="0"/>
      <w:marTop w:val="0"/>
      <w:marBottom w:val="0"/>
      <w:divBdr>
        <w:top w:val="none" w:sz="0" w:space="0" w:color="auto"/>
        <w:left w:val="none" w:sz="0" w:space="0" w:color="auto"/>
        <w:bottom w:val="none" w:sz="0" w:space="0" w:color="auto"/>
        <w:right w:val="none" w:sz="0" w:space="0" w:color="auto"/>
      </w:divBdr>
    </w:div>
    <w:div w:id="1106386583">
      <w:bodyDiv w:val="1"/>
      <w:marLeft w:val="0"/>
      <w:marRight w:val="0"/>
      <w:marTop w:val="0"/>
      <w:marBottom w:val="0"/>
      <w:divBdr>
        <w:top w:val="none" w:sz="0" w:space="0" w:color="auto"/>
        <w:left w:val="none" w:sz="0" w:space="0" w:color="auto"/>
        <w:bottom w:val="none" w:sz="0" w:space="0" w:color="auto"/>
        <w:right w:val="none" w:sz="0" w:space="0" w:color="auto"/>
      </w:divBdr>
    </w:div>
    <w:div w:id="1106928626">
      <w:bodyDiv w:val="1"/>
      <w:marLeft w:val="0"/>
      <w:marRight w:val="0"/>
      <w:marTop w:val="0"/>
      <w:marBottom w:val="0"/>
      <w:divBdr>
        <w:top w:val="none" w:sz="0" w:space="0" w:color="auto"/>
        <w:left w:val="none" w:sz="0" w:space="0" w:color="auto"/>
        <w:bottom w:val="none" w:sz="0" w:space="0" w:color="auto"/>
        <w:right w:val="none" w:sz="0" w:space="0" w:color="auto"/>
      </w:divBdr>
    </w:div>
    <w:div w:id="1109813035">
      <w:bodyDiv w:val="1"/>
      <w:marLeft w:val="0"/>
      <w:marRight w:val="0"/>
      <w:marTop w:val="0"/>
      <w:marBottom w:val="0"/>
      <w:divBdr>
        <w:top w:val="none" w:sz="0" w:space="0" w:color="auto"/>
        <w:left w:val="none" w:sz="0" w:space="0" w:color="auto"/>
        <w:bottom w:val="none" w:sz="0" w:space="0" w:color="auto"/>
        <w:right w:val="none" w:sz="0" w:space="0" w:color="auto"/>
      </w:divBdr>
    </w:div>
    <w:div w:id="1126004578">
      <w:bodyDiv w:val="1"/>
      <w:marLeft w:val="0"/>
      <w:marRight w:val="0"/>
      <w:marTop w:val="0"/>
      <w:marBottom w:val="0"/>
      <w:divBdr>
        <w:top w:val="none" w:sz="0" w:space="0" w:color="auto"/>
        <w:left w:val="none" w:sz="0" w:space="0" w:color="auto"/>
        <w:bottom w:val="none" w:sz="0" w:space="0" w:color="auto"/>
        <w:right w:val="none" w:sz="0" w:space="0" w:color="auto"/>
      </w:divBdr>
    </w:div>
    <w:div w:id="1128662482">
      <w:bodyDiv w:val="1"/>
      <w:marLeft w:val="0"/>
      <w:marRight w:val="0"/>
      <w:marTop w:val="0"/>
      <w:marBottom w:val="0"/>
      <w:divBdr>
        <w:top w:val="none" w:sz="0" w:space="0" w:color="auto"/>
        <w:left w:val="none" w:sz="0" w:space="0" w:color="auto"/>
        <w:bottom w:val="none" w:sz="0" w:space="0" w:color="auto"/>
        <w:right w:val="none" w:sz="0" w:space="0" w:color="auto"/>
      </w:divBdr>
      <w:divsChild>
        <w:div w:id="465394679">
          <w:marLeft w:val="0"/>
          <w:marRight w:val="0"/>
          <w:marTop w:val="0"/>
          <w:marBottom w:val="0"/>
          <w:divBdr>
            <w:top w:val="none" w:sz="0" w:space="0" w:color="auto"/>
            <w:left w:val="none" w:sz="0" w:space="0" w:color="auto"/>
            <w:bottom w:val="none" w:sz="0" w:space="0" w:color="auto"/>
            <w:right w:val="none" w:sz="0" w:space="0" w:color="auto"/>
          </w:divBdr>
        </w:div>
        <w:div w:id="2105610619">
          <w:marLeft w:val="0"/>
          <w:marRight w:val="0"/>
          <w:marTop w:val="0"/>
          <w:marBottom w:val="0"/>
          <w:divBdr>
            <w:top w:val="none" w:sz="0" w:space="0" w:color="auto"/>
            <w:left w:val="none" w:sz="0" w:space="0" w:color="auto"/>
            <w:bottom w:val="none" w:sz="0" w:space="0" w:color="auto"/>
            <w:right w:val="none" w:sz="0" w:space="0" w:color="auto"/>
          </w:divBdr>
        </w:div>
      </w:divsChild>
    </w:div>
    <w:div w:id="1128861765">
      <w:bodyDiv w:val="1"/>
      <w:marLeft w:val="0"/>
      <w:marRight w:val="0"/>
      <w:marTop w:val="0"/>
      <w:marBottom w:val="0"/>
      <w:divBdr>
        <w:top w:val="none" w:sz="0" w:space="0" w:color="auto"/>
        <w:left w:val="none" w:sz="0" w:space="0" w:color="auto"/>
        <w:bottom w:val="none" w:sz="0" w:space="0" w:color="auto"/>
        <w:right w:val="none" w:sz="0" w:space="0" w:color="auto"/>
      </w:divBdr>
    </w:div>
    <w:div w:id="1131705177">
      <w:bodyDiv w:val="1"/>
      <w:marLeft w:val="0"/>
      <w:marRight w:val="0"/>
      <w:marTop w:val="0"/>
      <w:marBottom w:val="0"/>
      <w:divBdr>
        <w:top w:val="none" w:sz="0" w:space="0" w:color="auto"/>
        <w:left w:val="none" w:sz="0" w:space="0" w:color="auto"/>
        <w:bottom w:val="none" w:sz="0" w:space="0" w:color="auto"/>
        <w:right w:val="none" w:sz="0" w:space="0" w:color="auto"/>
      </w:divBdr>
      <w:divsChild>
        <w:div w:id="869220335">
          <w:marLeft w:val="0"/>
          <w:marRight w:val="0"/>
          <w:marTop w:val="0"/>
          <w:marBottom w:val="0"/>
          <w:divBdr>
            <w:top w:val="none" w:sz="0" w:space="0" w:color="auto"/>
            <w:left w:val="none" w:sz="0" w:space="0" w:color="auto"/>
            <w:bottom w:val="none" w:sz="0" w:space="0" w:color="auto"/>
            <w:right w:val="none" w:sz="0" w:space="0" w:color="auto"/>
          </w:divBdr>
        </w:div>
        <w:div w:id="1055009046">
          <w:marLeft w:val="0"/>
          <w:marRight w:val="0"/>
          <w:marTop w:val="0"/>
          <w:marBottom w:val="0"/>
          <w:divBdr>
            <w:top w:val="none" w:sz="0" w:space="0" w:color="auto"/>
            <w:left w:val="none" w:sz="0" w:space="0" w:color="auto"/>
            <w:bottom w:val="none" w:sz="0" w:space="0" w:color="auto"/>
            <w:right w:val="none" w:sz="0" w:space="0" w:color="auto"/>
          </w:divBdr>
        </w:div>
      </w:divsChild>
    </w:div>
    <w:div w:id="1132019838">
      <w:bodyDiv w:val="1"/>
      <w:marLeft w:val="0"/>
      <w:marRight w:val="0"/>
      <w:marTop w:val="0"/>
      <w:marBottom w:val="0"/>
      <w:divBdr>
        <w:top w:val="none" w:sz="0" w:space="0" w:color="auto"/>
        <w:left w:val="none" w:sz="0" w:space="0" w:color="auto"/>
        <w:bottom w:val="none" w:sz="0" w:space="0" w:color="auto"/>
        <w:right w:val="none" w:sz="0" w:space="0" w:color="auto"/>
      </w:divBdr>
      <w:divsChild>
        <w:div w:id="951203822">
          <w:marLeft w:val="0"/>
          <w:marRight w:val="0"/>
          <w:marTop w:val="0"/>
          <w:marBottom w:val="0"/>
          <w:divBdr>
            <w:top w:val="none" w:sz="0" w:space="0" w:color="auto"/>
            <w:left w:val="none" w:sz="0" w:space="0" w:color="auto"/>
            <w:bottom w:val="none" w:sz="0" w:space="0" w:color="auto"/>
            <w:right w:val="none" w:sz="0" w:space="0" w:color="auto"/>
          </w:divBdr>
        </w:div>
        <w:div w:id="1883981860">
          <w:marLeft w:val="0"/>
          <w:marRight w:val="0"/>
          <w:marTop w:val="0"/>
          <w:marBottom w:val="0"/>
          <w:divBdr>
            <w:top w:val="none" w:sz="0" w:space="0" w:color="auto"/>
            <w:left w:val="none" w:sz="0" w:space="0" w:color="auto"/>
            <w:bottom w:val="none" w:sz="0" w:space="0" w:color="auto"/>
            <w:right w:val="none" w:sz="0" w:space="0" w:color="auto"/>
          </w:divBdr>
        </w:div>
      </w:divsChild>
    </w:div>
    <w:div w:id="1134102379">
      <w:bodyDiv w:val="1"/>
      <w:marLeft w:val="0"/>
      <w:marRight w:val="0"/>
      <w:marTop w:val="0"/>
      <w:marBottom w:val="0"/>
      <w:divBdr>
        <w:top w:val="none" w:sz="0" w:space="0" w:color="auto"/>
        <w:left w:val="none" w:sz="0" w:space="0" w:color="auto"/>
        <w:bottom w:val="none" w:sz="0" w:space="0" w:color="auto"/>
        <w:right w:val="none" w:sz="0" w:space="0" w:color="auto"/>
      </w:divBdr>
      <w:divsChild>
        <w:div w:id="852914152">
          <w:marLeft w:val="0"/>
          <w:marRight w:val="0"/>
          <w:marTop w:val="0"/>
          <w:marBottom w:val="0"/>
          <w:divBdr>
            <w:top w:val="none" w:sz="0" w:space="0" w:color="auto"/>
            <w:left w:val="none" w:sz="0" w:space="0" w:color="auto"/>
            <w:bottom w:val="none" w:sz="0" w:space="0" w:color="auto"/>
            <w:right w:val="none" w:sz="0" w:space="0" w:color="auto"/>
          </w:divBdr>
        </w:div>
        <w:div w:id="1990472685">
          <w:marLeft w:val="0"/>
          <w:marRight w:val="0"/>
          <w:marTop w:val="0"/>
          <w:marBottom w:val="0"/>
          <w:divBdr>
            <w:top w:val="none" w:sz="0" w:space="0" w:color="auto"/>
            <w:left w:val="none" w:sz="0" w:space="0" w:color="auto"/>
            <w:bottom w:val="none" w:sz="0" w:space="0" w:color="auto"/>
            <w:right w:val="none" w:sz="0" w:space="0" w:color="auto"/>
          </w:divBdr>
        </w:div>
      </w:divsChild>
    </w:div>
    <w:div w:id="1135374142">
      <w:bodyDiv w:val="1"/>
      <w:marLeft w:val="0"/>
      <w:marRight w:val="0"/>
      <w:marTop w:val="0"/>
      <w:marBottom w:val="0"/>
      <w:divBdr>
        <w:top w:val="none" w:sz="0" w:space="0" w:color="auto"/>
        <w:left w:val="none" w:sz="0" w:space="0" w:color="auto"/>
        <w:bottom w:val="none" w:sz="0" w:space="0" w:color="auto"/>
        <w:right w:val="none" w:sz="0" w:space="0" w:color="auto"/>
      </w:divBdr>
      <w:divsChild>
        <w:div w:id="1020933793">
          <w:marLeft w:val="0"/>
          <w:marRight w:val="0"/>
          <w:marTop w:val="0"/>
          <w:marBottom w:val="0"/>
          <w:divBdr>
            <w:top w:val="none" w:sz="0" w:space="0" w:color="auto"/>
            <w:left w:val="none" w:sz="0" w:space="0" w:color="auto"/>
            <w:bottom w:val="none" w:sz="0" w:space="0" w:color="auto"/>
            <w:right w:val="none" w:sz="0" w:space="0" w:color="auto"/>
          </w:divBdr>
        </w:div>
        <w:div w:id="1319533802">
          <w:marLeft w:val="0"/>
          <w:marRight w:val="0"/>
          <w:marTop w:val="0"/>
          <w:marBottom w:val="0"/>
          <w:divBdr>
            <w:top w:val="none" w:sz="0" w:space="0" w:color="auto"/>
            <w:left w:val="none" w:sz="0" w:space="0" w:color="auto"/>
            <w:bottom w:val="none" w:sz="0" w:space="0" w:color="auto"/>
            <w:right w:val="none" w:sz="0" w:space="0" w:color="auto"/>
          </w:divBdr>
        </w:div>
      </w:divsChild>
    </w:div>
    <w:div w:id="1135836720">
      <w:bodyDiv w:val="1"/>
      <w:marLeft w:val="0"/>
      <w:marRight w:val="0"/>
      <w:marTop w:val="0"/>
      <w:marBottom w:val="0"/>
      <w:divBdr>
        <w:top w:val="none" w:sz="0" w:space="0" w:color="auto"/>
        <w:left w:val="none" w:sz="0" w:space="0" w:color="auto"/>
        <w:bottom w:val="none" w:sz="0" w:space="0" w:color="auto"/>
        <w:right w:val="none" w:sz="0" w:space="0" w:color="auto"/>
      </w:divBdr>
      <w:divsChild>
        <w:div w:id="1461847089">
          <w:marLeft w:val="0"/>
          <w:marRight w:val="0"/>
          <w:marTop w:val="0"/>
          <w:marBottom w:val="0"/>
          <w:divBdr>
            <w:top w:val="none" w:sz="0" w:space="0" w:color="auto"/>
            <w:left w:val="none" w:sz="0" w:space="0" w:color="auto"/>
            <w:bottom w:val="none" w:sz="0" w:space="0" w:color="auto"/>
            <w:right w:val="none" w:sz="0" w:space="0" w:color="auto"/>
          </w:divBdr>
        </w:div>
        <w:div w:id="1662849411">
          <w:marLeft w:val="0"/>
          <w:marRight w:val="0"/>
          <w:marTop w:val="0"/>
          <w:marBottom w:val="0"/>
          <w:divBdr>
            <w:top w:val="none" w:sz="0" w:space="0" w:color="auto"/>
            <w:left w:val="none" w:sz="0" w:space="0" w:color="auto"/>
            <w:bottom w:val="none" w:sz="0" w:space="0" w:color="auto"/>
            <w:right w:val="none" w:sz="0" w:space="0" w:color="auto"/>
          </w:divBdr>
        </w:div>
      </w:divsChild>
    </w:div>
    <w:div w:id="1140614159">
      <w:bodyDiv w:val="1"/>
      <w:marLeft w:val="0"/>
      <w:marRight w:val="0"/>
      <w:marTop w:val="0"/>
      <w:marBottom w:val="0"/>
      <w:divBdr>
        <w:top w:val="none" w:sz="0" w:space="0" w:color="auto"/>
        <w:left w:val="none" w:sz="0" w:space="0" w:color="auto"/>
        <w:bottom w:val="none" w:sz="0" w:space="0" w:color="auto"/>
        <w:right w:val="none" w:sz="0" w:space="0" w:color="auto"/>
      </w:divBdr>
      <w:divsChild>
        <w:div w:id="675116022">
          <w:marLeft w:val="0"/>
          <w:marRight w:val="0"/>
          <w:marTop w:val="0"/>
          <w:marBottom w:val="0"/>
          <w:divBdr>
            <w:top w:val="none" w:sz="0" w:space="0" w:color="auto"/>
            <w:left w:val="none" w:sz="0" w:space="0" w:color="auto"/>
            <w:bottom w:val="none" w:sz="0" w:space="0" w:color="auto"/>
            <w:right w:val="none" w:sz="0" w:space="0" w:color="auto"/>
          </w:divBdr>
        </w:div>
        <w:div w:id="930283554">
          <w:marLeft w:val="0"/>
          <w:marRight w:val="0"/>
          <w:marTop w:val="0"/>
          <w:marBottom w:val="0"/>
          <w:divBdr>
            <w:top w:val="none" w:sz="0" w:space="0" w:color="auto"/>
            <w:left w:val="none" w:sz="0" w:space="0" w:color="auto"/>
            <w:bottom w:val="none" w:sz="0" w:space="0" w:color="auto"/>
            <w:right w:val="none" w:sz="0" w:space="0" w:color="auto"/>
          </w:divBdr>
        </w:div>
      </w:divsChild>
    </w:div>
    <w:div w:id="1144198839">
      <w:bodyDiv w:val="1"/>
      <w:marLeft w:val="0"/>
      <w:marRight w:val="0"/>
      <w:marTop w:val="0"/>
      <w:marBottom w:val="0"/>
      <w:divBdr>
        <w:top w:val="none" w:sz="0" w:space="0" w:color="auto"/>
        <w:left w:val="none" w:sz="0" w:space="0" w:color="auto"/>
        <w:bottom w:val="none" w:sz="0" w:space="0" w:color="auto"/>
        <w:right w:val="none" w:sz="0" w:space="0" w:color="auto"/>
      </w:divBdr>
      <w:divsChild>
        <w:div w:id="966087234">
          <w:marLeft w:val="0"/>
          <w:marRight w:val="0"/>
          <w:marTop w:val="0"/>
          <w:marBottom w:val="0"/>
          <w:divBdr>
            <w:top w:val="none" w:sz="0" w:space="0" w:color="auto"/>
            <w:left w:val="none" w:sz="0" w:space="0" w:color="auto"/>
            <w:bottom w:val="none" w:sz="0" w:space="0" w:color="auto"/>
            <w:right w:val="none" w:sz="0" w:space="0" w:color="auto"/>
          </w:divBdr>
        </w:div>
        <w:div w:id="1311246682">
          <w:marLeft w:val="0"/>
          <w:marRight w:val="0"/>
          <w:marTop w:val="0"/>
          <w:marBottom w:val="0"/>
          <w:divBdr>
            <w:top w:val="none" w:sz="0" w:space="0" w:color="auto"/>
            <w:left w:val="none" w:sz="0" w:space="0" w:color="auto"/>
            <w:bottom w:val="none" w:sz="0" w:space="0" w:color="auto"/>
            <w:right w:val="none" w:sz="0" w:space="0" w:color="auto"/>
          </w:divBdr>
        </w:div>
        <w:div w:id="1507132008">
          <w:marLeft w:val="0"/>
          <w:marRight w:val="0"/>
          <w:marTop w:val="0"/>
          <w:marBottom w:val="0"/>
          <w:divBdr>
            <w:top w:val="none" w:sz="0" w:space="0" w:color="auto"/>
            <w:left w:val="none" w:sz="0" w:space="0" w:color="auto"/>
            <w:bottom w:val="none" w:sz="0" w:space="0" w:color="auto"/>
            <w:right w:val="none" w:sz="0" w:space="0" w:color="auto"/>
          </w:divBdr>
        </w:div>
      </w:divsChild>
    </w:div>
    <w:div w:id="1144857671">
      <w:bodyDiv w:val="1"/>
      <w:marLeft w:val="0"/>
      <w:marRight w:val="0"/>
      <w:marTop w:val="0"/>
      <w:marBottom w:val="0"/>
      <w:divBdr>
        <w:top w:val="none" w:sz="0" w:space="0" w:color="auto"/>
        <w:left w:val="none" w:sz="0" w:space="0" w:color="auto"/>
        <w:bottom w:val="none" w:sz="0" w:space="0" w:color="auto"/>
        <w:right w:val="none" w:sz="0" w:space="0" w:color="auto"/>
      </w:divBdr>
    </w:div>
    <w:div w:id="1145970342">
      <w:bodyDiv w:val="1"/>
      <w:marLeft w:val="0"/>
      <w:marRight w:val="0"/>
      <w:marTop w:val="0"/>
      <w:marBottom w:val="0"/>
      <w:divBdr>
        <w:top w:val="none" w:sz="0" w:space="0" w:color="auto"/>
        <w:left w:val="none" w:sz="0" w:space="0" w:color="auto"/>
        <w:bottom w:val="none" w:sz="0" w:space="0" w:color="auto"/>
        <w:right w:val="none" w:sz="0" w:space="0" w:color="auto"/>
      </w:divBdr>
      <w:divsChild>
        <w:div w:id="938372619">
          <w:marLeft w:val="0"/>
          <w:marRight w:val="0"/>
          <w:marTop w:val="0"/>
          <w:marBottom w:val="0"/>
          <w:divBdr>
            <w:top w:val="none" w:sz="0" w:space="0" w:color="auto"/>
            <w:left w:val="none" w:sz="0" w:space="0" w:color="auto"/>
            <w:bottom w:val="none" w:sz="0" w:space="0" w:color="auto"/>
            <w:right w:val="none" w:sz="0" w:space="0" w:color="auto"/>
          </w:divBdr>
        </w:div>
        <w:div w:id="1253709934">
          <w:marLeft w:val="0"/>
          <w:marRight w:val="0"/>
          <w:marTop w:val="0"/>
          <w:marBottom w:val="0"/>
          <w:divBdr>
            <w:top w:val="none" w:sz="0" w:space="0" w:color="auto"/>
            <w:left w:val="none" w:sz="0" w:space="0" w:color="auto"/>
            <w:bottom w:val="none" w:sz="0" w:space="0" w:color="auto"/>
            <w:right w:val="none" w:sz="0" w:space="0" w:color="auto"/>
          </w:divBdr>
        </w:div>
        <w:div w:id="1334256037">
          <w:marLeft w:val="0"/>
          <w:marRight w:val="0"/>
          <w:marTop w:val="0"/>
          <w:marBottom w:val="0"/>
          <w:divBdr>
            <w:top w:val="none" w:sz="0" w:space="0" w:color="auto"/>
            <w:left w:val="none" w:sz="0" w:space="0" w:color="auto"/>
            <w:bottom w:val="none" w:sz="0" w:space="0" w:color="auto"/>
            <w:right w:val="none" w:sz="0" w:space="0" w:color="auto"/>
          </w:divBdr>
        </w:div>
      </w:divsChild>
    </w:div>
    <w:div w:id="1147747196">
      <w:bodyDiv w:val="1"/>
      <w:marLeft w:val="0"/>
      <w:marRight w:val="0"/>
      <w:marTop w:val="0"/>
      <w:marBottom w:val="0"/>
      <w:divBdr>
        <w:top w:val="none" w:sz="0" w:space="0" w:color="auto"/>
        <w:left w:val="none" w:sz="0" w:space="0" w:color="auto"/>
        <w:bottom w:val="none" w:sz="0" w:space="0" w:color="auto"/>
        <w:right w:val="none" w:sz="0" w:space="0" w:color="auto"/>
      </w:divBdr>
    </w:div>
    <w:div w:id="1148742760">
      <w:bodyDiv w:val="1"/>
      <w:marLeft w:val="0"/>
      <w:marRight w:val="0"/>
      <w:marTop w:val="0"/>
      <w:marBottom w:val="0"/>
      <w:divBdr>
        <w:top w:val="none" w:sz="0" w:space="0" w:color="auto"/>
        <w:left w:val="none" w:sz="0" w:space="0" w:color="auto"/>
        <w:bottom w:val="none" w:sz="0" w:space="0" w:color="auto"/>
        <w:right w:val="none" w:sz="0" w:space="0" w:color="auto"/>
      </w:divBdr>
    </w:div>
    <w:div w:id="1149832098">
      <w:bodyDiv w:val="1"/>
      <w:marLeft w:val="0"/>
      <w:marRight w:val="0"/>
      <w:marTop w:val="0"/>
      <w:marBottom w:val="0"/>
      <w:divBdr>
        <w:top w:val="none" w:sz="0" w:space="0" w:color="auto"/>
        <w:left w:val="none" w:sz="0" w:space="0" w:color="auto"/>
        <w:bottom w:val="none" w:sz="0" w:space="0" w:color="auto"/>
        <w:right w:val="none" w:sz="0" w:space="0" w:color="auto"/>
      </w:divBdr>
      <w:divsChild>
        <w:div w:id="481384046">
          <w:marLeft w:val="0"/>
          <w:marRight w:val="0"/>
          <w:marTop w:val="0"/>
          <w:marBottom w:val="0"/>
          <w:divBdr>
            <w:top w:val="none" w:sz="0" w:space="0" w:color="auto"/>
            <w:left w:val="none" w:sz="0" w:space="0" w:color="auto"/>
            <w:bottom w:val="none" w:sz="0" w:space="0" w:color="auto"/>
            <w:right w:val="none" w:sz="0" w:space="0" w:color="auto"/>
          </w:divBdr>
        </w:div>
        <w:div w:id="663170489">
          <w:marLeft w:val="0"/>
          <w:marRight w:val="0"/>
          <w:marTop w:val="0"/>
          <w:marBottom w:val="0"/>
          <w:divBdr>
            <w:top w:val="none" w:sz="0" w:space="0" w:color="auto"/>
            <w:left w:val="none" w:sz="0" w:space="0" w:color="auto"/>
            <w:bottom w:val="none" w:sz="0" w:space="0" w:color="auto"/>
            <w:right w:val="none" w:sz="0" w:space="0" w:color="auto"/>
          </w:divBdr>
        </w:div>
        <w:div w:id="1218198438">
          <w:marLeft w:val="0"/>
          <w:marRight w:val="0"/>
          <w:marTop w:val="0"/>
          <w:marBottom w:val="0"/>
          <w:divBdr>
            <w:top w:val="none" w:sz="0" w:space="0" w:color="auto"/>
            <w:left w:val="none" w:sz="0" w:space="0" w:color="auto"/>
            <w:bottom w:val="none" w:sz="0" w:space="0" w:color="auto"/>
            <w:right w:val="none" w:sz="0" w:space="0" w:color="auto"/>
          </w:divBdr>
        </w:div>
        <w:div w:id="1637832778">
          <w:marLeft w:val="0"/>
          <w:marRight w:val="0"/>
          <w:marTop w:val="0"/>
          <w:marBottom w:val="0"/>
          <w:divBdr>
            <w:top w:val="none" w:sz="0" w:space="0" w:color="auto"/>
            <w:left w:val="none" w:sz="0" w:space="0" w:color="auto"/>
            <w:bottom w:val="none" w:sz="0" w:space="0" w:color="auto"/>
            <w:right w:val="none" w:sz="0" w:space="0" w:color="auto"/>
          </w:divBdr>
        </w:div>
        <w:div w:id="1844856628">
          <w:marLeft w:val="0"/>
          <w:marRight w:val="0"/>
          <w:marTop w:val="0"/>
          <w:marBottom w:val="0"/>
          <w:divBdr>
            <w:top w:val="none" w:sz="0" w:space="0" w:color="auto"/>
            <w:left w:val="none" w:sz="0" w:space="0" w:color="auto"/>
            <w:bottom w:val="none" w:sz="0" w:space="0" w:color="auto"/>
            <w:right w:val="none" w:sz="0" w:space="0" w:color="auto"/>
          </w:divBdr>
        </w:div>
      </w:divsChild>
    </w:div>
    <w:div w:id="1157918761">
      <w:bodyDiv w:val="1"/>
      <w:marLeft w:val="0"/>
      <w:marRight w:val="0"/>
      <w:marTop w:val="0"/>
      <w:marBottom w:val="0"/>
      <w:divBdr>
        <w:top w:val="none" w:sz="0" w:space="0" w:color="auto"/>
        <w:left w:val="none" w:sz="0" w:space="0" w:color="auto"/>
        <w:bottom w:val="none" w:sz="0" w:space="0" w:color="auto"/>
        <w:right w:val="none" w:sz="0" w:space="0" w:color="auto"/>
      </w:divBdr>
    </w:div>
    <w:div w:id="1160924771">
      <w:bodyDiv w:val="1"/>
      <w:marLeft w:val="0"/>
      <w:marRight w:val="0"/>
      <w:marTop w:val="0"/>
      <w:marBottom w:val="0"/>
      <w:divBdr>
        <w:top w:val="none" w:sz="0" w:space="0" w:color="auto"/>
        <w:left w:val="none" w:sz="0" w:space="0" w:color="auto"/>
        <w:bottom w:val="none" w:sz="0" w:space="0" w:color="auto"/>
        <w:right w:val="none" w:sz="0" w:space="0" w:color="auto"/>
      </w:divBdr>
    </w:div>
    <w:div w:id="1172377289">
      <w:bodyDiv w:val="1"/>
      <w:marLeft w:val="0"/>
      <w:marRight w:val="0"/>
      <w:marTop w:val="0"/>
      <w:marBottom w:val="0"/>
      <w:divBdr>
        <w:top w:val="none" w:sz="0" w:space="0" w:color="auto"/>
        <w:left w:val="none" w:sz="0" w:space="0" w:color="auto"/>
        <w:bottom w:val="none" w:sz="0" w:space="0" w:color="auto"/>
        <w:right w:val="none" w:sz="0" w:space="0" w:color="auto"/>
      </w:divBdr>
      <w:divsChild>
        <w:div w:id="89935972">
          <w:marLeft w:val="0"/>
          <w:marRight w:val="0"/>
          <w:marTop w:val="0"/>
          <w:marBottom w:val="0"/>
          <w:divBdr>
            <w:top w:val="none" w:sz="0" w:space="0" w:color="auto"/>
            <w:left w:val="none" w:sz="0" w:space="0" w:color="auto"/>
            <w:bottom w:val="none" w:sz="0" w:space="0" w:color="auto"/>
            <w:right w:val="none" w:sz="0" w:space="0" w:color="auto"/>
          </w:divBdr>
        </w:div>
        <w:div w:id="586571764">
          <w:marLeft w:val="0"/>
          <w:marRight w:val="0"/>
          <w:marTop w:val="0"/>
          <w:marBottom w:val="0"/>
          <w:divBdr>
            <w:top w:val="none" w:sz="0" w:space="0" w:color="auto"/>
            <w:left w:val="none" w:sz="0" w:space="0" w:color="auto"/>
            <w:bottom w:val="none" w:sz="0" w:space="0" w:color="auto"/>
            <w:right w:val="none" w:sz="0" w:space="0" w:color="auto"/>
          </w:divBdr>
        </w:div>
      </w:divsChild>
    </w:div>
    <w:div w:id="1174760879">
      <w:bodyDiv w:val="1"/>
      <w:marLeft w:val="0"/>
      <w:marRight w:val="0"/>
      <w:marTop w:val="0"/>
      <w:marBottom w:val="0"/>
      <w:divBdr>
        <w:top w:val="none" w:sz="0" w:space="0" w:color="auto"/>
        <w:left w:val="none" w:sz="0" w:space="0" w:color="auto"/>
        <w:bottom w:val="none" w:sz="0" w:space="0" w:color="auto"/>
        <w:right w:val="none" w:sz="0" w:space="0" w:color="auto"/>
      </w:divBdr>
    </w:div>
    <w:div w:id="1179155552">
      <w:bodyDiv w:val="1"/>
      <w:marLeft w:val="0"/>
      <w:marRight w:val="0"/>
      <w:marTop w:val="0"/>
      <w:marBottom w:val="0"/>
      <w:divBdr>
        <w:top w:val="none" w:sz="0" w:space="0" w:color="auto"/>
        <w:left w:val="none" w:sz="0" w:space="0" w:color="auto"/>
        <w:bottom w:val="none" w:sz="0" w:space="0" w:color="auto"/>
        <w:right w:val="none" w:sz="0" w:space="0" w:color="auto"/>
      </w:divBdr>
      <w:divsChild>
        <w:div w:id="85615441">
          <w:marLeft w:val="0"/>
          <w:marRight w:val="0"/>
          <w:marTop w:val="0"/>
          <w:marBottom w:val="0"/>
          <w:divBdr>
            <w:top w:val="none" w:sz="0" w:space="0" w:color="auto"/>
            <w:left w:val="none" w:sz="0" w:space="0" w:color="auto"/>
            <w:bottom w:val="none" w:sz="0" w:space="0" w:color="auto"/>
            <w:right w:val="none" w:sz="0" w:space="0" w:color="auto"/>
          </w:divBdr>
        </w:div>
        <w:div w:id="784498022">
          <w:marLeft w:val="0"/>
          <w:marRight w:val="0"/>
          <w:marTop w:val="0"/>
          <w:marBottom w:val="0"/>
          <w:divBdr>
            <w:top w:val="none" w:sz="0" w:space="0" w:color="auto"/>
            <w:left w:val="none" w:sz="0" w:space="0" w:color="auto"/>
            <w:bottom w:val="none" w:sz="0" w:space="0" w:color="auto"/>
            <w:right w:val="none" w:sz="0" w:space="0" w:color="auto"/>
          </w:divBdr>
        </w:div>
        <w:div w:id="1638410348">
          <w:marLeft w:val="0"/>
          <w:marRight w:val="0"/>
          <w:marTop w:val="0"/>
          <w:marBottom w:val="0"/>
          <w:divBdr>
            <w:top w:val="none" w:sz="0" w:space="0" w:color="auto"/>
            <w:left w:val="none" w:sz="0" w:space="0" w:color="auto"/>
            <w:bottom w:val="none" w:sz="0" w:space="0" w:color="auto"/>
            <w:right w:val="none" w:sz="0" w:space="0" w:color="auto"/>
          </w:divBdr>
        </w:div>
      </w:divsChild>
    </w:div>
    <w:div w:id="1179929811">
      <w:bodyDiv w:val="1"/>
      <w:marLeft w:val="0"/>
      <w:marRight w:val="0"/>
      <w:marTop w:val="0"/>
      <w:marBottom w:val="0"/>
      <w:divBdr>
        <w:top w:val="none" w:sz="0" w:space="0" w:color="auto"/>
        <w:left w:val="none" w:sz="0" w:space="0" w:color="auto"/>
        <w:bottom w:val="none" w:sz="0" w:space="0" w:color="auto"/>
        <w:right w:val="none" w:sz="0" w:space="0" w:color="auto"/>
      </w:divBdr>
    </w:div>
    <w:div w:id="1181703012">
      <w:bodyDiv w:val="1"/>
      <w:marLeft w:val="0"/>
      <w:marRight w:val="0"/>
      <w:marTop w:val="0"/>
      <w:marBottom w:val="0"/>
      <w:divBdr>
        <w:top w:val="none" w:sz="0" w:space="0" w:color="auto"/>
        <w:left w:val="none" w:sz="0" w:space="0" w:color="auto"/>
        <w:bottom w:val="none" w:sz="0" w:space="0" w:color="auto"/>
        <w:right w:val="none" w:sz="0" w:space="0" w:color="auto"/>
      </w:divBdr>
    </w:div>
    <w:div w:id="1184170918">
      <w:bodyDiv w:val="1"/>
      <w:marLeft w:val="0"/>
      <w:marRight w:val="0"/>
      <w:marTop w:val="0"/>
      <w:marBottom w:val="0"/>
      <w:divBdr>
        <w:top w:val="none" w:sz="0" w:space="0" w:color="auto"/>
        <w:left w:val="none" w:sz="0" w:space="0" w:color="auto"/>
        <w:bottom w:val="none" w:sz="0" w:space="0" w:color="auto"/>
        <w:right w:val="none" w:sz="0" w:space="0" w:color="auto"/>
      </w:divBdr>
      <w:divsChild>
        <w:div w:id="112284539">
          <w:marLeft w:val="0"/>
          <w:marRight w:val="0"/>
          <w:marTop w:val="0"/>
          <w:marBottom w:val="0"/>
          <w:divBdr>
            <w:top w:val="none" w:sz="0" w:space="0" w:color="auto"/>
            <w:left w:val="none" w:sz="0" w:space="0" w:color="auto"/>
            <w:bottom w:val="none" w:sz="0" w:space="0" w:color="auto"/>
            <w:right w:val="none" w:sz="0" w:space="0" w:color="auto"/>
          </w:divBdr>
        </w:div>
        <w:div w:id="626933638">
          <w:marLeft w:val="0"/>
          <w:marRight w:val="0"/>
          <w:marTop w:val="0"/>
          <w:marBottom w:val="0"/>
          <w:divBdr>
            <w:top w:val="none" w:sz="0" w:space="0" w:color="auto"/>
            <w:left w:val="none" w:sz="0" w:space="0" w:color="auto"/>
            <w:bottom w:val="none" w:sz="0" w:space="0" w:color="auto"/>
            <w:right w:val="none" w:sz="0" w:space="0" w:color="auto"/>
          </w:divBdr>
        </w:div>
      </w:divsChild>
    </w:div>
    <w:div w:id="1187792918">
      <w:bodyDiv w:val="1"/>
      <w:marLeft w:val="0"/>
      <w:marRight w:val="0"/>
      <w:marTop w:val="0"/>
      <w:marBottom w:val="0"/>
      <w:divBdr>
        <w:top w:val="none" w:sz="0" w:space="0" w:color="auto"/>
        <w:left w:val="none" w:sz="0" w:space="0" w:color="auto"/>
        <w:bottom w:val="none" w:sz="0" w:space="0" w:color="auto"/>
        <w:right w:val="none" w:sz="0" w:space="0" w:color="auto"/>
      </w:divBdr>
      <w:divsChild>
        <w:div w:id="609163838">
          <w:marLeft w:val="0"/>
          <w:marRight w:val="0"/>
          <w:marTop w:val="0"/>
          <w:marBottom w:val="0"/>
          <w:divBdr>
            <w:top w:val="none" w:sz="0" w:space="0" w:color="auto"/>
            <w:left w:val="none" w:sz="0" w:space="0" w:color="auto"/>
            <w:bottom w:val="none" w:sz="0" w:space="0" w:color="auto"/>
            <w:right w:val="none" w:sz="0" w:space="0" w:color="auto"/>
          </w:divBdr>
        </w:div>
        <w:div w:id="1803687461">
          <w:marLeft w:val="0"/>
          <w:marRight w:val="0"/>
          <w:marTop w:val="0"/>
          <w:marBottom w:val="0"/>
          <w:divBdr>
            <w:top w:val="none" w:sz="0" w:space="0" w:color="auto"/>
            <w:left w:val="none" w:sz="0" w:space="0" w:color="auto"/>
            <w:bottom w:val="none" w:sz="0" w:space="0" w:color="auto"/>
            <w:right w:val="none" w:sz="0" w:space="0" w:color="auto"/>
          </w:divBdr>
        </w:div>
      </w:divsChild>
    </w:div>
    <w:div w:id="1205874436">
      <w:bodyDiv w:val="1"/>
      <w:marLeft w:val="0"/>
      <w:marRight w:val="0"/>
      <w:marTop w:val="0"/>
      <w:marBottom w:val="0"/>
      <w:divBdr>
        <w:top w:val="none" w:sz="0" w:space="0" w:color="auto"/>
        <w:left w:val="none" w:sz="0" w:space="0" w:color="auto"/>
        <w:bottom w:val="none" w:sz="0" w:space="0" w:color="auto"/>
        <w:right w:val="none" w:sz="0" w:space="0" w:color="auto"/>
      </w:divBdr>
    </w:div>
    <w:div w:id="1221478933">
      <w:bodyDiv w:val="1"/>
      <w:marLeft w:val="0"/>
      <w:marRight w:val="0"/>
      <w:marTop w:val="0"/>
      <w:marBottom w:val="0"/>
      <w:divBdr>
        <w:top w:val="none" w:sz="0" w:space="0" w:color="auto"/>
        <w:left w:val="none" w:sz="0" w:space="0" w:color="auto"/>
        <w:bottom w:val="none" w:sz="0" w:space="0" w:color="auto"/>
        <w:right w:val="none" w:sz="0" w:space="0" w:color="auto"/>
      </w:divBdr>
    </w:div>
    <w:div w:id="1227455071">
      <w:bodyDiv w:val="1"/>
      <w:marLeft w:val="0"/>
      <w:marRight w:val="0"/>
      <w:marTop w:val="0"/>
      <w:marBottom w:val="0"/>
      <w:divBdr>
        <w:top w:val="none" w:sz="0" w:space="0" w:color="auto"/>
        <w:left w:val="none" w:sz="0" w:space="0" w:color="auto"/>
        <w:bottom w:val="none" w:sz="0" w:space="0" w:color="auto"/>
        <w:right w:val="none" w:sz="0" w:space="0" w:color="auto"/>
      </w:divBdr>
      <w:divsChild>
        <w:div w:id="1608922224">
          <w:marLeft w:val="0"/>
          <w:marRight w:val="0"/>
          <w:marTop w:val="0"/>
          <w:marBottom w:val="0"/>
          <w:divBdr>
            <w:top w:val="none" w:sz="0" w:space="0" w:color="auto"/>
            <w:left w:val="none" w:sz="0" w:space="0" w:color="auto"/>
            <w:bottom w:val="none" w:sz="0" w:space="0" w:color="auto"/>
            <w:right w:val="none" w:sz="0" w:space="0" w:color="auto"/>
          </w:divBdr>
        </w:div>
        <w:div w:id="1800033245">
          <w:marLeft w:val="0"/>
          <w:marRight w:val="0"/>
          <w:marTop w:val="0"/>
          <w:marBottom w:val="0"/>
          <w:divBdr>
            <w:top w:val="none" w:sz="0" w:space="0" w:color="auto"/>
            <w:left w:val="none" w:sz="0" w:space="0" w:color="auto"/>
            <w:bottom w:val="none" w:sz="0" w:space="0" w:color="auto"/>
            <w:right w:val="none" w:sz="0" w:space="0" w:color="auto"/>
          </w:divBdr>
        </w:div>
      </w:divsChild>
    </w:div>
    <w:div w:id="1229654169">
      <w:bodyDiv w:val="1"/>
      <w:marLeft w:val="0"/>
      <w:marRight w:val="0"/>
      <w:marTop w:val="0"/>
      <w:marBottom w:val="0"/>
      <w:divBdr>
        <w:top w:val="none" w:sz="0" w:space="0" w:color="auto"/>
        <w:left w:val="none" w:sz="0" w:space="0" w:color="auto"/>
        <w:bottom w:val="none" w:sz="0" w:space="0" w:color="auto"/>
        <w:right w:val="none" w:sz="0" w:space="0" w:color="auto"/>
      </w:divBdr>
    </w:div>
    <w:div w:id="1229683130">
      <w:bodyDiv w:val="1"/>
      <w:marLeft w:val="0"/>
      <w:marRight w:val="0"/>
      <w:marTop w:val="0"/>
      <w:marBottom w:val="0"/>
      <w:divBdr>
        <w:top w:val="none" w:sz="0" w:space="0" w:color="auto"/>
        <w:left w:val="none" w:sz="0" w:space="0" w:color="auto"/>
        <w:bottom w:val="none" w:sz="0" w:space="0" w:color="auto"/>
        <w:right w:val="none" w:sz="0" w:space="0" w:color="auto"/>
      </w:divBdr>
      <w:divsChild>
        <w:div w:id="1223366407">
          <w:marLeft w:val="0"/>
          <w:marRight w:val="0"/>
          <w:marTop w:val="0"/>
          <w:marBottom w:val="0"/>
          <w:divBdr>
            <w:top w:val="none" w:sz="0" w:space="0" w:color="auto"/>
            <w:left w:val="none" w:sz="0" w:space="0" w:color="auto"/>
            <w:bottom w:val="none" w:sz="0" w:space="0" w:color="auto"/>
            <w:right w:val="none" w:sz="0" w:space="0" w:color="auto"/>
          </w:divBdr>
        </w:div>
        <w:div w:id="1452279777">
          <w:marLeft w:val="0"/>
          <w:marRight w:val="0"/>
          <w:marTop w:val="0"/>
          <w:marBottom w:val="0"/>
          <w:divBdr>
            <w:top w:val="none" w:sz="0" w:space="0" w:color="auto"/>
            <w:left w:val="none" w:sz="0" w:space="0" w:color="auto"/>
            <w:bottom w:val="none" w:sz="0" w:space="0" w:color="auto"/>
            <w:right w:val="none" w:sz="0" w:space="0" w:color="auto"/>
          </w:divBdr>
        </w:div>
        <w:div w:id="1672179011">
          <w:marLeft w:val="0"/>
          <w:marRight w:val="0"/>
          <w:marTop w:val="0"/>
          <w:marBottom w:val="0"/>
          <w:divBdr>
            <w:top w:val="none" w:sz="0" w:space="0" w:color="auto"/>
            <w:left w:val="none" w:sz="0" w:space="0" w:color="auto"/>
            <w:bottom w:val="none" w:sz="0" w:space="0" w:color="auto"/>
            <w:right w:val="none" w:sz="0" w:space="0" w:color="auto"/>
          </w:divBdr>
        </w:div>
        <w:div w:id="1889758912">
          <w:marLeft w:val="0"/>
          <w:marRight w:val="0"/>
          <w:marTop w:val="0"/>
          <w:marBottom w:val="0"/>
          <w:divBdr>
            <w:top w:val="none" w:sz="0" w:space="0" w:color="auto"/>
            <w:left w:val="none" w:sz="0" w:space="0" w:color="auto"/>
            <w:bottom w:val="none" w:sz="0" w:space="0" w:color="auto"/>
            <w:right w:val="none" w:sz="0" w:space="0" w:color="auto"/>
          </w:divBdr>
        </w:div>
      </w:divsChild>
    </w:div>
    <w:div w:id="1232039678">
      <w:bodyDiv w:val="1"/>
      <w:marLeft w:val="0"/>
      <w:marRight w:val="0"/>
      <w:marTop w:val="0"/>
      <w:marBottom w:val="0"/>
      <w:divBdr>
        <w:top w:val="none" w:sz="0" w:space="0" w:color="auto"/>
        <w:left w:val="none" w:sz="0" w:space="0" w:color="auto"/>
        <w:bottom w:val="none" w:sz="0" w:space="0" w:color="auto"/>
        <w:right w:val="none" w:sz="0" w:space="0" w:color="auto"/>
      </w:divBdr>
    </w:div>
    <w:div w:id="1232883136">
      <w:bodyDiv w:val="1"/>
      <w:marLeft w:val="0"/>
      <w:marRight w:val="0"/>
      <w:marTop w:val="0"/>
      <w:marBottom w:val="0"/>
      <w:divBdr>
        <w:top w:val="none" w:sz="0" w:space="0" w:color="auto"/>
        <w:left w:val="none" w:sz="0" w:space="0" w:color="auto"/>
        <w:bottom w:val="none" w:sz="0" w:space="0" w:color="auto"/>
        <w:right w:val="none" w:sz="0" w:space="0" w:color="auto"/>
      </w:divBdr>
    </w:div>
    <w:div w:id="1237783123">
      <w:bodyDiv w:val="1"/>
      <w:marLeft w:val="0"/>
      <w:marRight w:val="0"/>
      <w:marTop w:val="0"/>
      <w:marBottom w:val="0"/>
      <w:divBdr>
        <w:top w:val="none" w:sz="0" w:space="0" w:color="auto"/>
        <w:left w:val="none" w:sz="0" w:space="0" w:color="auto"/>
        <w:bottom w:val="none" w:sz="0" w:space="0" w:color="auto"/>
        <w:right w:val="none" w:sz="0" w:space="0" w:color="auto"/>
      </w:divBdr>
      <w:divsChild>
        <w:div w:id="590773521">
          <w:marLeft w:val="0"/>
          <w:marRight w:val="0"/>
          <w:marTop w:val="0"/>
          <w:marBottom w:val="0"/>
          <w:divBdr>
            <w:top w:val="none" w:sz="0" w:space="0" w:color="auto"/>
            <w:left w:val="none" w:sz="0" w:space="0" w:color="auto"/>
            <w:bottom w:val="none" w:sz="0" w:space="0" w:color="auto"/>
            <w:right w:val="none" w:sz="0" w:space="0" w:color="auto"/>
          </w:divBdr>
        </w:div>
        <w:div w:id="631326880">
          <w:marLeft w:val="0"/>
          <w:marRight w:val="0"/>
          <w:marTop w:val="0"/>
          <w:marBottom w:val="0"/>
          <w:divBdr>
            <w:top w:val="none" w:sz="0" w:space="0" w:color="auto"/>
            <w:left w:val="none" w:sz="0" w:space="0" w:color="auto"/>
            <w:bottom w:val="none" w:sz="0" w:space="0" w:color="auto"/>
            <w:right w:val="none" w:sz="0" w:space="0" w:color="auto"/>
          </w:divBdr>
        </w:div>
        <w:div w:id="1104308680">
          <w:marLeft w:val="0"/>
          <w:marRight w:val="0"/>
          <w:marTop w:val="0"/>
          <w:marBottom w:val="0"/>
          <w:divBdr>
            <w:top w:val="none" w:sz="0" w:space="0" w:color="auto"/>
            <w:left w:val="none" w:sz="0" w:space="0" w:color="auto"/>
            <w:bottom w:val="none" w:sz="0" w:space="0" w:color="auto"/>
            <w:right w:val="none" w:sz="0" w:space="0" w:color="auto"/>
          </w:divBdr>
        </w:div>
      </w:divsChild>
    </w:div>
    <w:div w:id="1238202614">
      <w:bodyDiv w:val="1"/>
      <w:marLeft w:val="0"/>
      <w:marRight w:val="0"/>
      <w:marTop w:val="0"/>
      <w:marBottom w:val="0"/>
      <w:divBdr>
        <w:top w:val="none" w:sz="0" w:space="0" w:color="auto"/>
        <w:left w:val="none" w:sz="0" w:space="0" w:color="auto"/>
        <w:bottom w:val="none" w:sz="0" w:space="0" w:color="auto"/>
        <w:right w:val="none" w:sz="0" w:space="0" w:color="auto"/>
      </w:divBdr>
    </w:div>
    <w:div w:id="1241134040">
      <w:bodyDiv w:val="1"/>
      <w:marLeft w:val="0"/>
      <w:marRight w:val="0"/>
      <w:marTop w:val="0"/>
      <w:marBottom w:val="0"/>
      <w:divBdr>
        <w:top w:val="none" w:sz="0" w:space="0" w:color="auto"/>
        <w:left w:val="none" w:sz="0" w:space="0" w:color="auto"/>
        <w:bottom w:val="none" w:sz="0" w:space="0" w:color="auto"/>
        <w:right w:val="none" w:sz="0" w:space="0" w:color="auto"/>
      </w:divBdr>
      <w:divsChild>
        <w:div w:id="295457683">
          <w:marLeft w:val="0"/>
          <w:marRight w:val="0"/>
          <w:marTop w:val="0"/>
          <w:marBottom w:val="0"/>
          <w:divBdr>
            <w:top w:val="none" w:sz="0" w:space="0" w:color="auto"/>
            <w:left w:val="none" w:sz="0" w:space="0" w:color="auto"/>
            <w:bottom w:val="none" w:sz="0" w:space="0" w:color="auto"/>
            <w:right w:val="none" w:sz="0" w:space="0" w:color="auto"/>
          </w:divBdr>
        </w:div>
        <w:div w:id="1019040335">
          <w:marLeft w:val="0"/>
          <w:marRight w:val="0"/>
          <w:marTop w:val="0"/>
          <w:marBottom w:val="0"/>
          <w:divBdr>
            <w:top w:val="none" w:sz="0" w:space="0" w:color="auto"/>
            <w:left w:val="none" w:sz="0" w:space="0" w:color="auto"/>
            <w:bottom w:val="none" w:sz="0" w:space="0" w:color="auto"/>
            <w:right w:val="none" w:sz="0" w:space="0" w:color="auto"/>
          </w:divBdr>
        </w:div>
      </w:divsChild>
    </w:div>
    <w:div w:id="1259219129">
      <w:bodyDiv w:val="1"/>
      <w:marLeft w:val="0"/>
      <w:marRight w:val="0"/>
      <w:marTop w:val="0"/>
      <w:marBottom w:val="0"/>
      <w:divBdr>
        <w:top w:val="none" w:sz="0" w:space="0" w:color="auto"/>
        <w:left w:val="none" w:sz="0" w:space="0" w:color="auto"/>
        <w:bottom w:val="none" w:sz="0" w:space="0" w:color="auto"/>
        <w:right w:val="none" w:sz="0" w:space="0" w:color="auto"/>
      </w:divBdr>
    </w:div>
    <w:div w:id="1261526833">
      <w:bodyDiv w:val="1"/>
      <w:marLeft w:val="0"/>
      <w:marRight w:val="0"/>
      <w:marTop w:val="0"/>
      <w:marBottom w:val="0"/>
      <w:divBdr>
        <w:top w:val="none" w:sz="0" w:space="0" w:color="auto"/>
        <w:left w:val="none" w:sz="0" w:space="0" w:color="auto"/>
        <w:bottom w:val="none" w:sz="0" w:space="0" w:color="auto"/>
        <w:right w:val="none" w:sz="0" w:space="0" w:color="auto"/>
      </w:divBdr>
      <w:divsChild>
        <w:div w:id="199513836">
          <w:marLeft w:val="0"/>
          <w:marRight w:val="0"/>
          <w:marTop w:val="0"/>
          <w:marBottom w:val="0"/>
          <w:divBdr>
            <w:top w:val="none" w:sz="0" w:space="0" w:color="auto"/>
            <w:left w:val="none" w:sz="0" w:space="0" w:color="auto"/>
            <w:bottom w:val="none" w:sz="0" w:space="0" w:color="auto"/>
            <w:right w:val="none" w:sz="0" w:space="0" w:color="auto"/>
          </w:divBdr>
        </w:div>
        <w:div w:id="779227459">
          <w:marLeft w:val="0"/>
          <w:marRight w:val="0"/>
          <w:marTop w:val="0"/>
          <w:marBottom w:val="0"/>
          <w:divBdr>
            <w:top w:val="none" w:sz="0" w:space="0" w:color="auto"/>
            <w:left w:val="none" w:sz="0" w:space="0" w:color="auto"/>
            <w:bottom w:val="none" w:sz="0" w:space="0" w:color="auto"/>
            <w:right w:val="none" w:sz="0" w:space="0" w:color="auto"/>
          </w:divBdr>
        </w:div>
        <w:div w:id="913706309">
          <w:marLeft w:val="0"/>
          <w:marRight w:val="0"/>
          <w:marTop w:val="0"/>
          <w:marBottom w:val="0"/>
          <w:divBdr>
            <w:top w:val="none" w:sz="0" w:space="0" w:color="auto"/>
            <w:left w:val="none" w:sz="0" w:space="0" w:color="auto"/>
            <w:bottom w:val="none" w:sz="0" w:space="0" w:color="auto"/>
            <w:right w:val="none" w:sz="0" w:space="0" w:color="auto"/>
          </w:divBdr>
        </w:div>
      </w:divsChild>
    </w:div>
    <w:div w:id="1263419994">
      <w:bodyDiv w:val="1"/>
      <w:marLeft w:val="0"/>
      <w:marRight w:val="0"/>
      <w:marTop w:val="0"/>
      <w:marBottom w:val="0"/>
      <w:divBdr>
        <w:top w:val="none" w:sz="0" w:space="0" w:color="auto"/>
        <w:left w:val="none" w:sz="0" w:space="0" w:color="auto"/>
        <w:bottom w:val="none" w:sz="0" w:space="0" w:color="auto"/>
        <w:right w:val="none" w:sz="0" w:space="0" w:color="auto"/>
      </w:divBdr>
    </w:div>
    <w:div w:id="1263873713">
      <w:bodyDiv w:val="1"/>
      <w:marLeft w:val="0"/>
      <w:marRight w:val="0"/>
      <w:marTop w:val="0"/>
      <w:marBottom w:val="0"/>
      <w:divBdr>
        <w:top w:val="none" w:sz="0" w:space="0" w:color="auto"/>
        <w:left w:val="none" w:sz="0" w:space="0" w:color="auto"/>
        <w:bottom w:val="none" w:sz="0" w:space="0" w:color="auto"/>
        <w:right w:val="none" w:sz="0" w:space="0" w:color="auto"/>
      </w:divBdr>
    </w:div>
    <w:div w:id="1265767664">
      <w:bodyDiv w:val="1"/>
      <w:marLeft w:val="0"/>
      <w:marRight w:val="0"/>
      <w:marTop w:val="0"/>
      <w:marBottom w:val="0"/>
      <w:divBdr>
        <w:top w:val="none" w:sz="0" w:space="0" w:color="auto"/>
        <w:left w:val="none" w:sz="0" w:space="0" w:color="auto"/>
        <w:bottom w:val="none" w:sz="0" w:space="0" w:color="auto"/>
        <w:right w:val="none" w:sz="0" w:space="0" w:color="auto"/>
      </w:divBdr>
      <w:divsChild>
        <w:div w:id="660350427">
          <w:marLeft w:val="0"/>
          <w:marRight w:val="0"/>
          <w:marTop w:val="0"/>
          <w:marBottom w:val="0"/>
          <w:divBdr>
            <w:top w:val="none" w:sz="0" w:space="0" w:color="auto"/>
            <w:left w:val="none" w:sz="0" w:space="0" w:color="auto"/>
            <w:bottom w:val="none" w:sz="0" w:space="0" w:color="auto"/>
            <w:right w:val="none" w:sz="0" w:space="0" w:color="auto"/>
          </w:divBdr>
          <w:divsChild>
            <w:div w:id="1361666564">
              <w:marLeft w:val="0"/>
              <w:marRight w:val="0"/>
              <w:marTop w:val="0"/>
              <w:marBottom w:val="0"/>
              <w:divBdr>
                <w:top w:val="none" w:sz="0" w:space="0" w:color="auto"/>
                <w:left w:val="none" w:sz="0" w:space="0" w:color="auto"/>
                <w:bottom w:val="none" w:sz="0" w:space="0" w:color="auto"/>
                <w:right w:val="none" w:sz="0" w:space="0" w:color="auto"/>
              </w:divBdr>
            </w:div>
            <w:div w:id="1461412505">
              <w:marLeft w:val="0"/>
              <w:marRight w:val="0"/>
              <w:marTop w:val="0"/>
              <w:marBottom w:val="0"/>
              <w:divBdr>
                <w:top w:val="none" w:sz="0" w:space="0" w:color="auto"/>
                <w:left w:val="none" w:sz="0" w:space="0" w:color="auto"/>
                <w:bottom w:val="none" w:sz="0" w:space="0" w:color="auto"/>
                <w:right w:val="none" w:sz="0" w:space="0" w:color="auto"/>
              </w:divBdr>
            </w:div>
          </w:divsChild>
        </w:div>
        <w:div w:id="1782214522">
          <w:marLeft w:val="0"/>
          <w:marRight w:val="0"/>
          <w:marTop w:val="0"/>
          <w:marBottom w:val="0"/>
          <w:divBdr>
            <w:top w:val="none" w:sz="0" w:space="0" w:color="auto"/>
            <w:left w:val="none" w:sz="0" w:space="0" w:color="auto"/>
            <w:bottom w:val="none" w:sz="0" w:space="0" w:color="auto"/>
            <w:right w:val="none" w:sz="0" w:space="0" w:color="auto"/>
          </w:divBdr>
        </w:div>
      </w:divsChild>
    </w:div>
    <w:div w:id="1270353939">
      <w:bodyDiv w:val="1"/>
      <w:marLeft w:val="0"/>
      <w:marRight w:val="0"/>
      <w:marTop w:val="0"/>
      <w:marBottom w:val="0"/>
      <w:divBdr>
        <w:top w:val="none" w:sz="0" w:space="0" w:color="auto"/>
        <w:left w:val="none" w:sz="0" w:space="0" w:color="auto"/>
        <w:bottom w:val="none" w:sz="0" w:space="0" w:color="auto"/>
        <w:right w:val="none" w:sz="0" w:space="0" w:color="auto"/>
      </w:divBdr>
      <w:divsChild>
        <w:div w:id="487944219">
          <w:marLeft w:val="0"/>
          <w:marRight w:val="0"/>
          <w:marTop w:val="0"/>
          <w:marBottom w:val="0"/>
          <w:divBdr>
            <w:top w:val="none" w:sz="0" w:space="0" w:color="auto"/>
            <w:left w:val="none" w:sz="0" w:space="0" w:color="auto"/>
            <w:bottom w:val="none" w:sz="0" w:space="0" w:color="auto"/>
            <w:right w:val="none" w:sz="0" w:space="0" w:color="auto"/>
          </w:divBdr>
        </w:div>
        <w:div w:id="1622960050">
          <w:marLeft w:val="0"/>
          <w:marRight w:val="0"/>
          <w:marTop w:val="0"/>
          <w:marBottom w:val="0"/>
          <w:divBdr>
            <w:top w:val="none" w:sz="0" w:space="0" w:color="auto"/>
            <w:left w:val="none" w:sz="0" w:space="0" w:color="auto"/>
            <w:bottom w:val="none" w:sz="0" w:space="0" w:color="auto"/>
            <w:right w:val="none" w:sz="0" w:space="0" w:color="auto"/>
          </w:divBdr>
        </w:div>
      </w:divsChild>
    </w:div>
    <w:div w:id="1271932495">
      <w:bodyDiv w:val="1"/>
      <w:marLeft w:val="0"/>
      <w:marRight w:val="0"/>
      <w:marTop w:val="0"/>
      <w:marBottom w:val="0"/>
      <w:divBdr>
        <w:top w:val="none" w:sz="0" w:space="0" w:color="auto"/>
        <w:left w:val="none" w:sz="0" w:space="0" w:color="auto"/>
        <w:bottom w:val="none" w:sz="0" w:space="0" w:color="auto"/>
        <w:right w:val="none" w:sz="0" w:space="0" w:color="auto"/>
      </w:divBdr>
    </w:div>
    <w:div w:id="1279021623">
      <w:bodyDiv w:val="1"/>
      <w:marLeft w:val="0"/>
      <w:marRight w:val="0"/>
      <w:marTop w:val="0"/>
      <w:marBottom w:val="0"/>
      <w:divBdr>
        <w:top w:val="none" w:sz="0" w:space="0" w:color="auto"/>
        <w:left w:val="none" w:sz="0" w:space="0" w:color="auto"/>
        <w:bottom w:val="none" w:sz="0" w:space="0" w:color="auto"/>
        <w:right w:val="none" w:sz="0" w:space="0" w:color="auto"/>
      </w:divBdr>
    </w:div>
    <w:div w:id="1280725175">
      <w:bodyDiv w:val="1"/>
      <w:marLeft w:val="0"/>
      <w:marRight w:val="0"/>
      <w:marTop w:val="0"/>
      <w:marBottom w:val="0"/>
      <w:divBdr>
        <w:top w:val="none" w:sz="0" w:space="0" w:color="auto"/>
        <w:left w:val="none" w:sz="0" w:space="0" w:color="auto"/>
        <w:bottom w:val="none" w:sz="0" w:space="0" w:color="auto"/>
        <w:right w:val="none" w:sz="0" w:space="0" w:color="auto"/>
      </w:divBdr>
    </w:div>
    <w:div w:id="1280989700">
      <w:bodyDiv w:val="1"/>
      <w:marLeft w:val="0"/>
      <w:marRight w:val="0"/>
      <w:marTop w:val="0"/>
      <w:marBottom w:val="0"/>
      <w:divBdr>
        <w:top w:val="none" w:sz="0" w:space="0" w:color="auto"/>
        <w:left w:val="none" w:sz="0" w:space="0" w:color="auto"/>
        <w:bottom w:val="none" w:sz="0" w:space="0" w:color="auto"/>
        <w:right w:val="none" w:sz="0" w:space="0" w:color="auto"/>
      </w:divBdr>
    </w:div>
    <w:div w:id="1282959145">
      <w:bodyDiv w:val="1"/>
      <w:marLeft w:val="0"/>
      <w:marRight w:val="0"/>
      <w:marTop w:val="0"/>
      <w:marBottom w:val="0"/>
      <w:divBdr>
        <w:top w:val="none" w:sz="0" w:space="0" w:color="auto"/>
        <w:left w:val="none" w:sz="0" w:space="0" w:color="auto"/>
        <w:bottom w:val="none" w:sz="0" w:space="0" w:color="auto"/>
        <w:right w:val="none" w:sz="0" w:space="0" w:color="auto"/>
      </w:divBdr>
      <w:divsChild>
        <w:div w:id="25064021">
          <w:marLeft w:val="0"/>
          <w:marRight w:val="0"/>
          <w:marTop w:val="0"/>
          <w:marBottom w:val="0"/>
          <w:divBdr>
            <w:top w:val="none" w:sz="0" w:space="0" w:color="auto"/>
            <w:left w:val="none" w:sz="0" w:space="0" w:color="auto"/>
            <w:bottom w:val="none" w:sz="0" w:space="0" w:color="auto"/>
            <w:right w:val="none" w:sz="0" w:space="0" w:color="auto"/>
          </w:divBdr>
        </w:div>
      </w:divsChild>
    </w:div>
    <w:div w:id="1284654002">
      <w:bodyDiv w:val="1"/>
      <w:marLeft w:val="0"/>
      <w:marRight w:val="0"/>
      <w:marTop w:val="0"/>
      <w:marBottom w:val="0"/>
      <w:divBdr>
        <w:top w:val="none" w:sz="0" w:space="0" w:color="auto"/>
        <w:left w:val="none" w:sz="0" w:space="0" w:color="auto"/>
        <w:bottom w:val="none" w:sz="0" w:space="0" w:color="auto"/>
        <w:right w:val="none" w:sz="0" w:space="0" w:color="auto"/>
      </w:divBdr>
      <w:divsChild>
        <w:div w:id="689331592">
          <w:marLeft w:val="0"/>
          <w:marRight w:val="0"/>
          <w:marTop w:val="0"/>
          <w:marBottom w:val="0"/>
          <w:divBdr>
            <w:top w:val="none" w:sz="0" w:space="0" w:color="auto"/>
            <w:left w:val="none" w:sz="0" w:space="0" w:color="auto"/>
            <w:bottom w:val="none" w:sz="0" w:space="0" w:color="auto"/>
            <w:right w:val="none" w:sz="0" w:space="0" w:color="auto"/>
          </w:divBdr>
        </w:div>
      </w:divsChild>
    </w:div>
    <w:div w:id="1293711991">
      <w:bodyDiv w:val="1"/>
      <w:marLeft w:val="0"/>
      <w:marRight w:val="0"/>
      <w:marTop w:val="0"/>
      <w:marBottom w:val="0"/>
      <w:divBdr>
        <w:top w:val="none" w:sz="0" w:space="0" w:color="auto"/>
        <w:left w:val="none" w:sz="0" w:space="0" w:color="auto"/>
        <w:bottom w:val="none" w:sz="0" w:space="0" w:color="auto"/>
        <w:right w:val="none" w:sz="0" w:space="0" w:color="auto"/>
      </w:divBdr>
    </w:div>
    <w:div w:id="1297757320">
      <w:bodyDiv w:val="1"/>
      <w:marLeft w:val="0"/>
      <w:marRight w:val="0"/>
      <w:marTop w:val="0"/>
      <w:marBottom w:val="0"/>
      <w:divBdr>
        <w:top w:val="none" w:sz="0" w:space="0" w:color="auto"/>
        <w:left w:val="none" w:sz="0" w:space="0" w:color="auto"/>
        <w:bottom w:val="none" w:sz="0" w:space="0" w:color="auto"/>
        <w:right w:val="none" w:sz="0" w:space="0" w:color="auto"/>
      </w:divBdr>
      <w:divsChild>
        <w:div w:id="213006442">
          <w:marLeft w:val="0"/>
          <w:marRight w:val="0"/>
          <w:marTop w:val="0"/>
          <w:marBottom w:val="0"/>
          <w:divBdr>
            <w:top w:val="none" w:sz="0" w:space="0" w:color="auto"/>
            <w:left w:val="none" w:sz="0" w:space="0" w:color="auto"/>
            <w:bottom w:val="none" w:sz="0" w:space="0" w:color="auto"/>
            <w:right w:val="none" w:sz="0" w:space="0" w:color="auto"/>
          </w:divBdr>
        </w:div>
        <w:div w:id="444542132">
          <w:marLeft w:val="0"/>
          <w:marRight w:val="0"/>
          <w:marTop w:val="0"/>
          <w:marBottom w:val="0"/>
          <w:divBdr>
            <w:top w:val="none" w:sz="0" w:space="0" w:color="auto"/>
            <w:left w:val="none" w:sz="0" w:space="0" w:color="auto"/>
            <w:bottom w:val="none" w:sz="0" w:space="0" w:color="auto"/>
            <w:right w:val="none" w:sz="0" w:space="0" w:color="auto"/>
          </w:divBdr>
        </w:div>
        <w:div w:id="1124538904">
          <w:marLeft w:val="0"/>
          <w:marRight w:val="0"/>
          <w:marTop w:val="0"/>
          <w:marBottom w:val="0"/>
          <w:divBdr>
            <w:top w:val="none" w:sz="0" w:space="0" w:color="auto"/>
            <w:left w:val="none" w:sz="0" w:space="0" w:color="auto"/>
            <w:bottom w:val="none" w:sz="0" w:space="0" w:color="auto"/>
            <w:right w:val="none" w:sz="0" w:space="0" w:color="auto"/>
          </w:divBdr>
        </w:div>
      </w:divsChild>
    </w:div>
    <w:div w:id="1301380857">
      <w:bodyDiv w:val="1"/>
      <w:marLeft w:val="0"/>
      <w:marRight w:val="0"/>
      <w:marTop w:val="0"/>
      <w:marBottom w:val="0"/>
      <w:divBdr>
        <w:top w:val="none" w:sz="0" w:space="0" w:color="auto"/>
        <w:left w:val="none" w:sz="0" w:space="0" w:color="auto"/>
        <w:bottom w:val="none" w:sz="0" w:space="0" w:color="auto"/>
        <w:right w:val="none" w:sz="0" w:space="0" w:color="auto"/>
      </w:divBdr>
    </w:div>
    <w:div w:id="1301494368">
      <w:bodyDiv w:val="1"/>
      <w:marLeft w:val="0"/>
      <w:marRight w:val="0"/>
      <w:marTop w:val="0"/>
      <w:marBottom w:val="0"/>
      <w:divBdr>
        <w:top w:val="none" w:sz="0" w:space="0" w:color="auto"/>
        <w:left w:val="none" w:sz="0" w:space="0" w:color="auto"/>
        <w:bottom w:val="none" w:sz="0" w:space="0" w:color="auto"/>
        <w:right w:val="none" w:sz="0" w:space="0" w:color="auto"/>
      </w:divBdr>
    </w:div>
    <w:div w:id="1302734139">
      <w:bodyDiv w:val="1"/>
      <w:marLeft w:val="0"/>
      <w:marRight w:val="0"/>
      <w:marTop w:val="0"/>
      <w:marBottom w:val="0"/>
      <w:divBdr>
        <w:top w:val="none" w:sz="0" w:space="0" w:color="auto"/>
        <w:left w:val="none" w:sz="0" w:space="0" w:color="auto"/>
        <w:bottom w:val="none" w:sz="0" w:space="0" w:color="auto"/>
        <w:right w:val="none" w:sz="0" w:space="0" w:color="auto"/>
      </w:divBdr>
    </w:div>
    <w:div w:id="1302882985">
      <w:bodyDiv w:val="1"/>
      <w:marLeft w:val="0"/>
      <w:marRight w:val="0"/>
      <w:marTop w:val="0"/>
      <w:marBottom w:val="0"/>
      <w:divBdr>
        <w:top w:val="none" w:sz="0" w:space="0" w:color="auto"/>
        <w:left w:val="none" w:sz="0" w:space="0" w:color="auto"/>
        <w:bottom w:val="none" w:sz="0" w:space="0" w:color="auto"/>
        <w:right w:val="none" w:sz="0" w:space="0" w:color="auto"/>
      </w:divBdr>
      <w:divsChild>
        <w:div w:id="395710770">
          <w:marLeft w:val="0"/>
          <w:marRight w:val="0"/>
          <w:marTop w:val="0"/>
          <w:marBottom w:val="0"/>
          <w:divBdr>
            <w:top w:val="none" w:sz="0" w:space="0" w:color="auto"/>
            <w:left w:val="none" w:sz="0" w:space="0" w:color="auto"/>
            <w:bottom w:val="none" w:sz="0" w:space="0" w:color="auto"/>
            <w:right w:val="none" w:sz="0" w:space="0" w:color="auto"/>
          </w:divBdr>
        </w:div>
        <w:div w:id="638340109">
          <w:marLeft w:val="0"/>
          <w:marRight w:val="0"/>
          <w:marTop w:val="0"/>
          <w:marBottom w:val="0"/>
          <w:divBdr>
            <w:top w:val="none" w:sz="0" w:space="0" w:color="auto"/>
            <w:left w:val="none" w:sz="0" w:space="0" w:color="auto"/>
            <w:bottom w:val="none" w:sz="0" w:space="0" w:color="auto"/>
            <w:right w:val="none" w:sz="0" w:space="0" w:color="auto"/>
          </w:divBdr>
        </w:div>
        <w:div w:id="968318751">
          <w:marLeft w:val="0"/>
          <w:marRight w:val="0"/>
          <w:marTop w:val="0"/>
          <w:marBottom w:val="0"/>
          <w:divBdr>
            <w:top w:val="none" w:sz="0" w:space="0" w:color="auto"/>
            <w:left w:val="none" w:sz="0" w:space="0" w:color="auto"/>
            <w:bottom w:val="none" w:sz="0" w:space="0" w:color="auto"/>
            <w:right w:val="none" w:sz="0" w:space="0" w:color="auto"/>
          </w:divBdr>
        </w:div>
      </w:divsChild>
    </w:div>
    <w:div w:id="1303080075">
      <w:bodyDiv w:val="1"/>
      <w:marLeft w:val="0"/>
      <w:marRight w:val="0"/>
      <w:marTop w:val="0"/>
      <w:marBottom w:val="0"/>
      <w:divBdr>
        <w:top w:val="none" w:sz="0" w:space="0" w:color="auto"/>
        <w:left w:val="none" w:sz="0" w:space="0" w:color="auto"/>
        <w:bottom w:val="none" w:sz="0" w:space="0" w:color="auto"/>
        <w:right w:val="none" w:sz="0" w:space="0" w:color="auto"/>
      </w:divBdr>
    </w:div>
    <w:div w:id="1305542893">
      <w:bodyDiv w:val="1"/>
      <w:marLeft w:val="0"/>
      <w:marRight w:val="0"/>
      <w:marTop w:val="0"/>
      <w:marBottom w:val="0"/>
      <w:divBdr>
        <w:top w:val="none" w:sz="0" w:space="0" w:color="auto"/>
        <w:left w:val="none" w:sz="0" w:space="0" w:color="auto"/>
        <w:bottom w:val="none" w:sz="0" w:space="0" w:color="auto"/>
        <w:right w:val="none" w:sz="0" w:space="0" w:color="auto"/>
      </w:divBdr>
      <w:divsChild>
        <w:div w:id="218174723">
          <w:marLeft w:val="0"/>
          <w:marRight w:val="0"/>
          <w:marTop w:val="0"/>
          <w:marBottom w:val="0"/>
          <w:divBdr>
            <w:top w:val="none" w:sz="0" w:space="0" w:color="auto"/>
            <w:left w:val="none" w:sz="0" w:space="0" w:color="auto"/>
            <w:bottom w:val="none" w:sz="0" w:space="0" w:color="auto"/>
            <w:right w:val="none" w:sz="0" w:space="0" w:color="auto"/>
          </w:divBdr>
        </w:div>
        <w:div w:id="728110460">
          <w:marLeft w:val="0"/>
          <w:marRight w:val="0"/>
          <w:marTop w:val="0"/>
          <w:marBottom w:val="0"/>
          <w:divBdr>
            <w:top w:val="none" w:sz="0" w:space="0" w:color="auto"/>
            <w:left w:val="none" w:sz="0" w:space="0" w:color="auto"/>
            <w:bottom w:val="none" w:sz="0" w:space="0" w:color="auto"/>
            <w:right w:val="none" w:sz="0" w:space="0" w:color="auto"/>
          </w:divBdr>
        </w:div>
      </w:divsChild>
    </w:div>
    <w:div w:id="1312293727">
      <w:bodyDiv w:val="1"/>
      <w:marLeft w:val="0"/>
      <w:marRight w:val="0"/>
      <w:marTop w:val="0"/>
      <w:marBottom w:val="0"/>
      <w:divBdr>
        <w:top w:val="none" w:sz="0" w:space="0" w:color="auto"/>
        <w:left w:val="none" w:sz="0" w:space="0" w:color="auto"/>
        <w:bottom w:val="none" w:sz="0" w:space="0" w:color="auto"/>
        <w:right w:val="none" w:sz="0" w:space="0" w:color="auto"/>
      </w:divBdr>
      <w:divsChild>
        <w:div w:id="408384881">
          <w:marLeft w:val="0"/>
          <w:marRight w:val="0"/>
          <w:marTop w:val="0"/>
          <w:marBottom w:val="0"/>
          <w:divBdr>
            <w:top w:val="none" w:sz="0" w:space="0" w:color="auto"/>
            <w:left w:val="none" w:sz="0" w:space="0" w:color="auto"/>
            <w:bottom w:val="none" w:sz="0" w:space="0" w:color="auto"/>
            <w:right w:val="none" w:sz="0" w:space="0" w:color="auto"/>
          </w:divBdr>
        </w:div>
        <w:div w:id="648628288">
          <w:marLeft w:val="0"/>
          <w:marRight w:val="0"/>
          <w:marTop w:val="0"/>
          <w:marBottom w:val="0"/>
          <w:divBdr>
            <w:top w:val="none" w:sz="0" w:space="0" w:color="auto"/>
            <w:left w:val="none" w:sz="0" w:space="0" w:color="auto"/>
            <w:bottom w:val="none" w:sz="0" w:space="0" w:color="auto"/>
            <w:right w:val="none" w:sz="0" w:space="0" w:color="auto"/>
          </w:divBdr>
        </w:div>
        <w:div w:id="1102341755">
          <w:marLeft w:val="0"/>
          <w:marRight w:val="0"/>
          <w:marTop w:val="0"/>
          <w:marBottom w:val="0"/>
          <w:divBdr>
            <w:top w:val="none" w:sz="0" w:space="0" w:color="auto"/>
            <w:left w:val="none" w:sz="0" w:space="0" w:color="auto"/>
            <w:bottom w:val="none" w:sz="0" w:space="0" w:color="auto"/>
            <w:right w:val="none" w:sz="0" w:space="0" w:color="auto"/>
          </w:divBdr>
        </w:div>
      </w:divsChild>
    </w:div>
    <w:div w:id="1316296714">
      <w:bodyDiv w:val="1"/>
      <w:marLeft w:val="0"/>
      <w:marRight w:val="0"/>
      <w:marTop w:val="0"/>
      <w:marBottom w:val="0"/>
      <w:divBdr>
        <w:top w:val="none" w:sz="0" w:space="0" w:color="auto"/>
        <w:left w:val="none" w:sz="0" w:space="0" w:color="auto"/>
        <w:bottom w:val="none" w:sz="0" w:space="0" w:color="auto"/>
        <w:right w:val="none" w:sz="0" w:space="0" w:color="auto"/>
      </w:divBdr>
      <w:divsChild>
        <w:div w:id="1034886207">
          <w:marLeft w:val="0"/>
          <w:marRight w:val="0"/>
          <w:marTop w:val="0"/>
          <w:marBottom w:val="0"/>
          <w:divBdr>
            <w:top w:val="none" w:sz="0" w:space="0" w:color="auto"/>
            <w:left w:val="none" w:sz="0" w:space="0" w:color="auto"/>
            <w:bottom w:val="none" w:sz="0" w:space="0" w:color="auto"/>
            <w:right w:val="none" w:sz="0" w:space="0" w:color="auto"/>
          </w:divBdr>
        </w:div>
        <w:div w:id="1073235661">
          <w:marLeft w:val="0"/>
          <w:marRight w:val="0"/>
          <w:marTop w:val="0"/>
          <w:marBottom w:val="0"/>
          <w:divBdr>
            <w:top w:val="none" w:sz="0" w:space="0" w:color="auto"/>
            <w:left w:val="none" w:sz="0" w:space="0" w:color="auto"/>
            <w:bottom w:val="none" w:sz="0" w:space="0" w:color="auto"/>
            <w:right w:val="none" w:sz="0" w:space="0" w:color="auto"/>
          </w:divBdr>
        </w:div>
      </w:divsChild>
    </w:div>
    <w:div w:id="1317107025">
      <w:bodyDiv w:val="1"/>
      <w:marLeft w:val="0"/>
      <w:marRight w:val="0"/>
      <w:marTop w:val="0"/>
      <w:marBottom w:val="0"/>
      <w:divBdr>
        <w:top w:val="none" w:sz="0" w:space="0" w:color="auto"/>
        <w:left w:val="none" w:sz="0" w:space="0" w:color="auto"/>
        <w:bottom w:val="none" w:sz="0" w:space="0" w:color="auto"/>
        <w:right w:val="none" w:sz="0" w:space="0" w:color="auto"/>
      </w:divBdr>
    </w:div>
    <w:div w:id="1321689548">
      <w:bodyDiv w:val="1"/>
      <w:marLeft w:val="0"/>
      <w:marRight w:val="0"/>
      <w:marTop w:val="0"/>
      <w:marBottom w:val="0"/>
      <w:divBdr>
        <w:top w:val="none" w:sz="0" w:space="0" w:color="auto"/>
        <w:left w:val="none" w:sz="0" w:space="0" w:color="auto"/>
        <w:bottom w:val="none" w:sz="0" w:space="0" w:color="auto"/>
        <w:right w:val="none" w:sz="0" w:space="0" w:color="auto"/>
      </w:divBdr>
    </w:div>
    <w:div w:id="1322467437">
      <w:bodyDiv w:val="1"/>
      <w:marLeft w:val="0"/>
      <w:marRight w:val="0"/>
      <w:marTop w:val="0"/>
      <w:marBottom w:val="0"/>
      <w:divBdr>
        <w:top w:val="none" w:sz="0" w:space="0" w:color="auto"/>
        <w:left w:val="none" w:sz="0" w:space="0" w:color="auto"/>
        <w:bottom w:val="none" w:sz="0" w:space="0" w:color="auto"/>
        <w:right w:val="none" w:sz="0" w:space="0" w:color="auto"/>
      </w:divBdr>
      <w:divsChild>
        <w:div w:id="436751561">
          <w:marLeft w:val="0"/>
          <w:marRight w:val="0"/>
          <w:marTop w:val="0"/>
          <w:marBottom w:val="0"/>
          <w:divBdr>
            <w:top w:val="none" w:sz="0" w:space="0" w:color="auto"/>
            <w:left w:val="none" w:sz="0" w:space="0" w:color="auto"/>
            <w:bottom w:val="none" w:sz="0" w:space="0" w:color="auto"/>
            <w:right w:val="none" w:sz="0" w:space="0" w:color="auto"/>
          </w:divBdr>
        </w:div>
        <w:div w:id="529298271">
          <w:marLeft w:val="0"/>
          <w:marRight w:val="0"/>
          <w:marTop w:val="0"/>
          <w:marBottom w:val="0"/>
          <w:divBdr>
            <w:top w:val="none" w:sz="0" w:space="0" w:color="auto"/>
            <w:left w:val="none" w:sz="0" w:space="0" w:color="auto"/>
            <w:bottom w:val="none" w:sz="0" w:space="0" w:color="auto"/>
            <w:right w:val="none" w:sz="0" w:space="0" w:color="auto"/>
          </w:divBdr>
        </w:div>
        <w:div w:id="714307686">
          <w:marLeft w:val="0"/>
          <w:marRight w:val="0"/>
          <w:marTop w:val="0"/>
          <w:marBottom w:val="0"/>
          <w:divBdr>
            <w:top w:val="none" w:sz="0" w:space="0" w:color="auto"/>
            <w:left w:val="none" w:sz="0" w:space="0" w:color="auto"/>
            <w:bottom w:val="none" w:sz="0" w:space="0" w:color="auto"/>
            <w:right w:val="none" w:sz="0" w:space="0" w:color="auto"/>
          </w:divBdr>
        </w:div>
      </w:divsChild>
    </w:div>
    <w:div w:id="1326974599">
      <w:bodyDiv w:val="1"/>
      <w:marLeft w:val="0"/>
      <w:marRight w:val="0"/>
      <w:marTop w:val="0"/>
      <w:marBottom w:val="0"/>
      <w:divBdr>
        <w:top w:val="none" w:sz="0" w:space="0" w:color="auto"/>
        <w:left w:val="none" w:sz="0" w:space="0" w:color="auto"/>
        <w:bottom w:val="none" w:sz="0" w:space="0" w:color="auto"/>
        <w:right w:val="none" w:sz="0" w:space="0" w:color="auto"/>
      </w:divBdr>
    </w:div>
    <w:div w:id="1328748244">
      <w:bodyDiv w:val="1"/>
      <w:marLeft w:val="0"/>
      <w:marRight w:val="0"/>
      <w:marTop w:val="0"/>
      <w:marBottom w:val="0"/>
      <w:divBdr>
        <w:top w:val="none" w:sz="0" w:space="0" w:color="auto"/>
        <w:left w:val="none" w:sz="0" w:space="0" w:color="auto"/>
        <w:bottom w:val="none" w:sz="0" w:space="0" w:color="auto"/>
        <w:right w:val="none" w:sz="0" w:space="0" w:color="auto"/>
      </w:divBdr>
      <w:divsChild>
        <w:div w:id="548152705">
          <w:marLeft w:val="0"/>
          <w:marRight w:val="0"/>
          <w:marTop w:val="0"/>
          <w:marBottom w:val="0"/>
          <w:divBdr>
            <w:top w:val="none" w:sz="0" w:space="0" w:color="auto"/>
            <w:left w:val="none" w:sz="0" w:space="0" w:color="auto"/>
            <w:bottom w:val="none" w:sz="0" w:space="0" w:color="auto"/>
            <w:right w:val="none" w:sz="0" w:space="0" w:color="auto"/>
          </w:divBdr>
        </w:div>
        <w:div w:id="1231187726">
          <w:marLeft w:val="0"/>
          <w:marRight w:val="0"/>
          <w:marTop w:val="0"/>
          <w:marBottom w:val="0"/>
          <w:divBdr>
            <w:top w:val="none" w:sz="0" w:space="0" w:color="auto"/>
            <w:left w:val="none" w:sz="0" w:space="0" w:color="auto"/>
            <w:bottom w:val="none" w:sz="0" w:space="0" w:color="auto"/>
            <w:right w:val="none" w:sz="0" w:space="0" w:color="auto"/>
          </w:divBdr>
        </w:div>
      </w:divsChild>
    </w:div>
    <w:div w:id="1329475950">
      <w:bodyDiv w:val="1"/>
      <w:marLeft w:val="0"/>
      <w:marRight w:val="0"/>
      <w:marTop w:val="0"/>
      <w:marBottom w:val="0"/>
      <w:divBdr>
        <w:top w:val="none" w:sz="0" w:space="0" w:color="auto"/>
        <w:left w:val="none" w:sz="0" w:space="0" w:color="auto"/>
        <w:bottom w:val="none" w:sz="0" w:space="0" w:color="auto"/>
        <w:right w:val="none" w:sz="0" w:space="0" w:color="auto"/>
      </w:divBdr>
    </w:div>
    <w:div w:id="1330212700">
      <w:bodyDiv w:val="1"/>
      <w:marLeft w:val="0"/>
      <w:marRight w:val="0"/>
      <w:marTop w:val="0"/>
      <w:marBottom w:val="0"/>
      <w:divBdr>
        <w:top w:val="none" w:sz="0" w:space="0" w:color="auto"/>
        <w:left w:val="none" w:sz="0" w:space="0" w:color="auto"/>
        <w:bottom w:val="none" w:sz="0" w:space="0" w:color="auto"/>
        <w:right w:val="none" w:sz="0" w:space="0" w:color="auto"/>
      </w:divBdr>
      <w:divsChild>
        <w:div w:id="869495438">
          <w:marLeft w:val="0"/>
          <w:marRight w:val="0"/>
          <w:marTop w:val="0"/>
          <w:marBottom w:val="0"/>
          <w:divBdr>
            <w:top w:val="none" w:sz="0" w:space="0" w:color="auto"/>
            <w:left w:val="none" w:sz="0" w:space="0" w:color="auto"/>
            <w:bottom w:val="none" w:sz="0" w:space="0" w:color="auto"/>
            <w:right w:val="none" w:sz="0" w:space="0" w:color="auto"/>
          </w:divBdr>
        </w:div>
        <w:div w:id="1701978988">
          <w:marLeft w:val="0"/>
          <w:marRight w:val="0"/>
          <w:marTop w:val="0"/>
          <w:marBottom w:val="0"/>
          <w:divBdr>
            <w:top w:val="none" w:sz="0" w:space="0" w:color="auto"/>
            <w:left w:val="none" w:sz="0" w:space="0" w:color="auto"/>
            <w:bottom w:val="none" w:sz="0" w:space="0" w:color="auto"/>
            <w:right w:val="none" w:sz="0" w:space="0" w:color="auto"/>
          </w:divBdr>
        </w:div>
        <w:div w:id="1750346654">
          <w:marLeft w:val="0"/>
          <w:marRight w:val="0"/>
          <w:marTop w:val="0"/>
          <w:marBottom w:val="0"/>
          <w:divBdr>
            <w:top w:val="none" w:sz="0" w:space="0" w:color="auto"/>
            <w:left w:val="none" w:sz="0" w:space="0" w:color="auto"/>
            <w:bottom w:val="none" w:sz="0" w:space="0" w:color="auto"/>
            <w:right w:val="none" w:sz="0" w:space="0" w:color="auto"/>
          </w:divBdr>
        </w:div>
      </w:divsChild>
    </w:div>
    <w:div w:id="1333098657">
      <w:bodyDiv w:val="1"/>
      <w:marLeft w:val="0"/>
      <w:marRight w:val="0"/>
      <w:marTop w:val="0"/>
      <w:marBottom w:val="0"/>
      <w:divBdr>
        <w:top w:val="none" w:sz="0" w:space="0" w:color="auto"/>
        <w:left w:val="none" w:sz="0" w:space="0" w:color="auto"/>
        <w:bottom w:val="none" w:sz="0" w:space="0" w:color="auto"/>
        <w:right w:val="none" w:sz="0" w:space="0" w:color="auto"/>
      </w:divBdr>
    </w:div>
    <w:div w:id="1333140187">
      <w:bodyDiv w:val="1"/>
      <w:marLeft w:val="0"/>
      <w:marRight w:val="0"/>
      <w:marTop w:val="0"/>
      <w:marBottom w:val="0"/>
      <w:divBdr>
        <w:top w:val="none" w:sz="0" w:space="0" w:color="auto"/>
        <w:left w:val="none" w:sz="0" w:space="0" w:color="auto"/>
        <w:bottom w:val="none" w:sz="0" w:space="0" w:color="auto"/>
        <w:right w:val="none" w:sz="0" w:space="0" w:color="auto"/>
      </w:divBdr>
      <w:divsChild>
        <w:div w:id="1256742770">
          <w:marLeft w:val="0"/>
          <w:marRight w:val="0"/>
          <w:marTop w:val="0"/>
          <w:marBottom w:val="0"/>
          <w:divBdr>
            <w:top w:val="none" w:sz="0" w:space="0" w:color="auto"/>
            <w:left w:val="none" w:sz="0" w:space="0" w:color="auto"/>
            <w:bottom w:val="none" w:sz="0" w:space="0" w:color="auto"/>
            <w:right w:val="none" w:sz="0" w:space="0" w:color="auto"/>
          </w:divBdr>
        </w:div>
      </w:divsChild>
    </w:div>
    <w:div w:id="1335842654">
      <w:bodyDiv w:val="1"/>
      <w:marLeft w:val="0"/>
      <w:marRight w:val="0"/>
      <w:marTop w:val="0"/>
      <w:marBottom w:val="0"/>
      <w:divBdr>
        <w:top w:val="none" w:sz="0" w:space="0" w:color="auto"/>
        <w:left w:val="none" w:sz="0" w:space="0" w:color="auto"/>
        <w:bottom w:val="none" w:sz="0" w:space="0" w:color="auto"/>
        <w:right w:val="none" w:sz="0" w:space="0" w:color="auto"/>
      </w:divBdr>
    </w:div>
    <w:div w:id="1346207638">
      <w:bodyDiv w:val="1"/>
      <w:marLeft w:val="0"/>
      <w:marRight w:val="0"/>
      <w:marTop w:val="0"/>
      <w:marBottom w:val="0"/>
      <w:divBdr>
        <w:top w:val="none" w:sz="0" w:space="0" w:color="auto"/>
        <w:left w:val="none" w:sz="0" w:space="0" w:color="auto"/>
        <w:bottom w:val="none" w:sz="0" w:space="0" w:color="auto"/>
        <w:right w:val="none" w:sz="0" w:space="0" w:color="auto"/>
      </w:divBdr>
    </w:div>
    <w:div w:id="1347949896">
      <w:bodyDiv w:val="1"/>
      <w:marLeft w:val="0"/>
      <w:marRight w:val="0"/>
      <w:marTop w:val="0"/>
      <w:marBottom w:val="0"/>
      <w:divBdr>
        <w:top w:val="none" w:sz="0" w:space="0" w:color="auto"/>
        <w:left w:val="none" w:sz="0" w:space="0" w:color="auto"/>
        <w:bottom w:val="none" w:sz="0" w:space="0" w:color="auto"/>
        <w:right w:val="none" w:sz="0" w:space="0" w:color="auto"/>
      </w:divBdr>
    </w:div>
    <w:div w:id="1348142289">
      <w:bodyDiv w:val="1"/>
      <w:marLeft w:val="0"/>
      <w:marRight w:val="0"/>
      <w:marTop w:val="0"/>
      <w:marBottom w:val="0"/>
      <w:divBdr>
        <w:top w:val="none" w:sz="0" w:space="0" w:color="auto"/>
        <w:left w:val="none" w:sz="0" w:space="0" w:color="auto"/>
        <w:bottom w:val="none" w:sz="0" w:space="0" w:color="auto"/>
        <w:right w:val="none" w:sz="0" w:space="0" w:color="auto"/>
      </w:divBdr>
    </w:div>
    <w:div w:id="1352335719">
      <w:bodyDiv w:val="1"/>
      <w:marLeft w:val="0"/>
      <w:marRight w:val="0"/>
      <w:marTop w:val="0"/>
      <w:marBottom w:val="0"/>
      <w:divBdr>
        <w:top w:val="none" w:sz="0" w:space="0" w:color="auto"/>
        <w:left w:val="none" w:sz="0" w:space="0" w:color="auto"/>
        <w:bottom w:val="none" w:sz="0" w:space="0" w:color="auto"/>
        <w:right w:val="none" w:sz="0" w:space="0" w:color="auto"/>
      </w:divBdr>
    </w:div>
    <w:div w:id="1361970719">
      <w:bodyDiv w:val="1"/>
      <w:marLeft w:val="0"/>
      <w:marRight w:val="0"/>
      <w:marTop w:val="0"/>
      <w:marBottom w:val="0"/>
      <w:divBdr>
        <w:top w:val="none" w:sz="0" w:space="0" w:color="auto"/>
        <w:left w:val="none" w:sz="0" w:space="0" w:color="auto"/>
        <w:bottom w:val="none" w:sz="0" w:space="0" w:color="auto"/>
        <w:right w:val="none" w:sz="0" w:space="0" w:color="auto"/>
      </w:divBdr>
    </w:div>
    <w:div w:id="1362783518">
      <w:bodyDiv w:val="1"/>
      <w:marLeft w:val="0"/>
      <w:marRight w:val="0"/>
      <w:marTop w:val="0"/>
      <w:marBottom w:val="0"/>
      <w:divBdr>
        <w:top w:val="none" w:sz="0" w:space="0" w:color="auto"/>
        <w:left w:val="none" w:sz="0" w:space="0" w:color="auto"/>
        <w:bottom w:val="none" w:sz="0" w:space="0" w:color="auto"/>
        <w:right w:val="none" w:sz="0" w:space="0" w:color="auto"/>
      </w:divBdr>
    </w:div>
    <w:div w:id="1367483011">
      <w:bodyDiv w:val="1"/>
      <w:marLeft w:val="0"/>
      <w:marRight w:val="0"/>
      <w:marTop w:val="0"/>
      <w:marBottom w:val="0"/>
      <w:divBdr>
        <w:top w:val="none" w:sz="0" w:space="0" w:color="auto"/>
        <w:left w:val="none" w:sz="0" w:space="0" w:color="auto"/>
        <w:bottom w:val="none" w:sz="0" w:space="0" w:color="auto"/>
        <w:right w:val="none" w:sz="0" w:space="0" w:color="auto"/>
      </w:divBdr>
    </w:div>
    <w:div w:id="1367757879">
      <w:bodyDiv w:val="1"/>
      <w:marLeft w:val="0"/>
      <w:marRight w:val="0"/>
      <w:marTop w:val="0"/>
      <w:marBottom w:val="0"/>
      <w:divBdr>
        <w:top w:val="none" w:sz="0" w:space="0" w:color="auto"/>
        <w:left w:val="none" w:sz="0" w:space="0" w:color="auto"/>
        <w:bottom w:val="none" w:sz="0" w:space="0" w:color="auto"/>
        <w:right w:val="none" w:sz="0" w:space="0" w:color="auto"/>
      </w:divBdr>
    </w:div>
    <w:div w:id="1372144880">
      <w:bodyDiv w:val="1"/>
      <w:marLeft w:val="0"/>
      <w:marRight w:val="0"/>
      <w:marTop w:val="0"/>
      <w:marBottom w:val="0"/>
      <w:divBdr>
        <w:top w:val="none" w:sz="0" w:space="0" w:color="auto"/>
        <w:left w:val="none" w:sz="0" w:space="0" w:color="auto"/>
        <w:bottom w:val="none" w:sz="0" w:space="0" w:color="auto"/>
        <w:right w:val="none" w:sz="0" w:space="0" w:color="auto"/>
      </w:divBdr>
    </w:div>
    <w:div w:id="1376154946">
      <w:bodyDiv w:val="1"/>
      <w:marLeft w:val="0"/>
      <w:marRight w:val="0"/>
      <w:marTop w:val="0"/>
      <w:marBottom w:val="0"/>
      <w:divBdr>
        <w:top w:val="none" w:sz="0" w:space="0" w:color="auto"/>
        <w:left w:val="none" w:sz="0" w:space="0" w:color="auto"/>
        <w:bottom w:val="none" w:sz="0" w:space="0" w:color="auto"/>
        <w:right w:val="none" w:sz="0" w:space="0" w:color="auto"/>
      </w:divBdr>
      <w:divsChild>
        <w:div w:id="1006638534">
          <w:marLeft w:val="0"/>
          <w:marRight w:val="0"/>
          <w:marTop w:val="0"/>
          <w:marBottom w:val="0"/>
          <w:divBdr>
            <w:top w:val="none" w:sz="0" w:space="0" w:color="auto"/>
            <w:left w:val="none" w:sz="0" w:space="0" w:color="auto"/>
            <w:bottom w:val="none" w:sz="0" w:space="0" w:color="auto"/>
            <w:right w:val="none" w:sz="0" w:space="0" w:color="auto"/>
          </w:divBdr>
        </w:div>
        <w:div w:id="1717122757">
          <w:marLeft w:val="0"/>
          <w:marRight w:val="0"/>
          <w:marTop w:val="0"/>
          <w:marBottom w:val="0"/>
          <w:divBdr>
            <w:top w:val="none" w:sz="0" w:space="0" w:color="auto"/>
            <w:left w:val="none" w:sz="0" w:space="0" w:color="auto"/>
            <w:bottom w:val="none" w:sz="0" w:space="0" w:color="auto"/>
            <w:right w:val="none" w:sz="0" w:space="0" w:color="auto"/>
          </w:divBdr>
        </w:div>
      </w:divsChild>
    </w:div>
    <w:div w:id="1378436344">
      <w:bodyDiv w:val="1"/>
      <w:marLeft w:val="0"/>
      <w:marRight w:val="0"/>
      <w:marTop w:val="0"/>
      <w:marBottom w:val="0"/>
      <w:divBdr>
        <w:top w:val="none" w:sz="0" w:space="0" w:color="auto"/>
        <w:left w:val="none" w:sz="0" w:space="0" w:color="auto"/>
        <w:bottom w:val="none" w:sz="0" w:space="0" w:color="auto"/>
        <w:right w:val="none" w:sz="0" w:space="0" w:color="auto"/>
      </w:divBdr>
    </w:div>
    <w:div w:id="1378776016">
      <w:bodyDiv w:val="1"/>
      <w:marLeft w:val="0"/>
      <w:marRight w:val="0"/>
      <w:marTop w:val="0"/>
      <w:marBottom w:val="0"/>
      <w:divBdr>
        <w:top w:val="none" w:sz="0" w:space="0" w:color="auto"/>
        <w:left w:val="none" w:sz="0" w:space="0" w:color="auto"/>
        <w:bottom w:val="none" w:sz="0" w:space="0" w:color="auto"/>
        <w:right w:val="none" w:sz="0" w:space="0" w:color="auto"/>
      </w:divBdr>
      <w:divsChild>
        <w:div w:id="996568027">
          <w:marLeft w:val="0"/>
          <w:marRight w:val="0"/>
          <w:marTop w:val="0"/>
          <w:marBottom w:val="0"/>
          <w:divBdr>
            <w:top w:val="none" w:sz="0" w:space="0" w:color="auto"/>
            <w:left w:val="none" w:sz="0" w:space="0" w:color="auto"/>
            <w:bottom w:val="none" w:sz="0" w:space="0" w:color="auto"/>
            <w:right w:val="none" w:sz="0" w:space="0" w:color="auto"/>
          </w:divBdr>
        </w:div>
        <w:div w:id="1241134282">
          <w:marLeft w:val="0"/>
          <w:marRight w:val="0"/>
          <w:marTop w:val="0"/>
          <w:marBottom w:val="0"/>
          <w:divBdr>
            <w:top w:val="none" w:sz="0" w:space="0" w:color="auto"/>
            <w:left w:val="none" w:sz="0" w:space="0" w:color="auto"/>
            <w:bottom w:val="none" w:sz="0" w:space="0" w:color="auto"/>
            <w:right w:val="none" w:sz="0" w:space="0" w:color="auto"/>
          </w:divBdr>
        </w:div>
      </w:divsChild>
    </w:div>
    <w:div w:id="1380857360">
      <w:bodyDiv w:val="1"/>
      <w:marLeft w:val="0"/>
      <w:marRight w:val="0"/>
      <w:marTop w:val="0"/>
      <w:marBottom w:val="0"/>
      <w:divBdr>
        <w:top w:val="none" w:sz="0" w:space="0" w:color="auto"/>
        <w:left w:val="none" w:sz="0" w:space="0" w:color="auto"/>
        <w:bottom w:val="none" w:sz="0" w:space="0" w:color="auto"/>
        <w:right w:val="none" w:sz="0" w:space="0" w:color="auto"/>
      </w:divBdr>
      <w:divsChild>
        <w:div w:id="742065231">
          <w:marLeft w:val="0"/>
          <w:marRight w:val="0"/>
          <w:marTop w:val="0"/>
          <w:marBottom w:val="0"/>
          <w:divBdr>
            <w:top w:val="none" w:sz="0" w:space="0" w:color="auto"/>
            <w:left w:val="none" w:sz="0" w:space="0" w:color="auto"/>
            <w:bottom w:val="none" w:sz="0" w:space="0" w:color="auto"/>
            <w:right w:val="none" w:sz="0" w:space="0" w:color="auto"/>
          </w:divBdr>
          <w:divsChild>
            <w:div w:id="1624801277">
              <w:marLeft w:val="0"/>
              <w:marRight w:val="0"/>
              <w:marTop w:val="0"/>
              <w:marBottom w:val="0"/>
              <w:divBdr>
                <w:top w:val="none" w:sz="0" w:space="0" w:color="auto"/>
                <w:left w:val="none" w:sz="0" w:space="0" w:color="auto"/>
                <w:bottom w:val="none" w:sz="0" w:space="0" w:color="auto"/>
                <w:right w:val="none" w:sz="0" w:space="0" w:color="auto"/>
              </w:divBdr>
            </w:div>
          </w:divsChild>
        </w:div>
        <w:div w:id="1342318657">
          <w:marLeft w:val="0"/>
          <w:marRight w:val="0"/>
          <w:marTop w:val="0"/>
          <w:marBottom w:val="0"/>
          <w:divBdr>
            <w:top w:val="none" w:sz="0" w:space="0" w:color="auto"/>
            <w:left w:val="none" w:sz="0" w:space="0" w:color="auto"/>
            <w:bottom w:val="none" w:sz="0" w:space="0" w:color="auto"/>
            <w:right w:val="none" w:sz="0" w:space="0" w:color="auto"/>
          </w:divBdr>
        </w:div>
      </w:divsChild>
    </w:div>
    <w:div w:id="1383210848">
      <w:bodyDiv w:val="1"/>
      <w:marLeft w:val="0"/>
      <w:marRight w:val="0"/>
      <w:marTop w:val="0"/>
      <w:marBottom w:val="0"/>
      <w:divBdr>
        <w:top w:val="none" w:sz="0" w:space="0" w:color="auto"/>
        <w:left w:val="none" w:sz="0" w:space="0" w:color="auto"/>
        <w:bottom w:val="none" w:sz="0" w:space="0" w:color="auto"/>
        <w:right w:val="none" w:sz="0" w:space="0" w:color="auto"/>
      </w:divBdr>
      <w:divsChild>
        <w:div w:id="587469487">
          <w:marLeft w:val="0"/>
          <w:marRight w:val="0"/>
          <w:marTop w:val="0"/>
          <w:marBottom w:val="0"/>
          <w:divBdr>
            <w:top w:val="none" w:sz="0" w:space="0" w:color="auto"/>
            <w:left w:val="none" w:sz="0" w:space="0" w:color="auto"/>
            <w:bottom w:val="none" w:sz="0" w:space="0" w:color="auto"/>
            <w:right w:val="none" w:sz="0" w:space="0" w:color="auto"/>
          </w:divBdr>
        </w:div>
        <w:div w:id="1428504165">
          <w:marLeft w:val="0"/>
          <w:marRight w:val="0"/>
          <w:marTop w:val="0"/>
          <w:marBottom w:val="0"/>
          <w:divBdr>
            <w:top w:val="none" w:sz="0" w:space="0" w:color="auto"/>
            <w:left w:val="none" w:sz="0" w:space="0" w:color="auto"/>
            <w:bottom w:val="none" w:sz="0" w:space="0" w:color="auto"/>
            <w:right w:val="none" w:sz="0" w:space="0" w:color="auto"/>
          </w:divBdr>
        </w:div>
        <w:div w:id="1457676642">
          <w:marLeft w:val="0"/>
          <w:marRight w:val="0"/>
          <w:marTop w:val="0"/>
          <w:marBottom w:val="0"/>
          <w:divBdr>
            <w:top w:val="none" w:sz="0" w:space="0" w:color="auto"/>
            <w:left w:val="none" w:sz="0" w:space="0" w:color="auto"/>
            <w:bottom w:val="none" w:sz="0" w:space="0" w:color="auto"/>
            <w:right w:val="none" w:sz="0" w:space="0" w:color="auto"/>
          </w:divBdr>
        </w:div>
      </w:divsChild>
    </w:div>
    <w:div w:id="1384451673">
      <w:bodyDiv w:val="1"/>
      <w:marLeft w:val="0"/>
      <w:marRight w:val="0"/>
      <w:marTop w:val="0"/>
      <w:marBottom w:val="0"/>
      <w:divBdr>
        <w:top w:val="none" w:sz="0" w:space="0" w:color="auto"/>
        <w:left w:val="none" w:sz="0" w:space="0" w:color="auto"/>
        <w:bottom w:val="none" w:sz="0" w:space="0" w:color="auto"/>
        <w:right w:val="none" w:sz="0" w:space="0" w:color="auto"/>
      </w:divBdr>
    </w:div>
    <w:div w:id="1384602356">
      <w:bodyDiv w:val="1"/>
      <w:marLeft w:val="0"/>
      <w:marRight w:val="0"/>
      <w:marTop w:val="0"/>
      <w:marBottom w:val="0"/>
      <w:divBdr>
        <w:top w:val="none" w:sz="0" w:space="0" w:color="auto"/>
        <w:left w:val="none" w:sz="0" w:space="0" w:color="auto"/>
        <w:bottom w:val="none" w:sz="0" w:space="0" w:color="auto"/>
        <w:right w:val="none" w:sz="0" w:space="0" w:color="auto"/>
      </w:divBdr>
    </w:div>
    <w:div w:id="1388144479">
      <w:bodyDiv w:val="1"/>
      <w:marLeft w:val="0"/>
      <w:marRight w:val="0"/>
      <w:marTop w:val="0"/>
      <w:marBottom w:val="0"/>
      <w:divBdr>
        <w:top w:val="none" w:sz="0" w:space="0" w:color="auto"/>
        <w:left w:val="none" w:sz="0" w:space="0" w:color="auto"/>
        <w:bottom w:val="none" w:sz="0" w:space="0" w:color="auto"/>
        <w:right w:val="none" w:sz="0" w:space="0" w:color="auto"/>
      </w:divBdr>
      <w:divsChild>
        <w:div w:id="737479996">
          <w:marLeft w:val="0"/>
          <w:marRight w:val="0"/>
          <w:marTop w:val="0"/>
          <w:marBottom w:val="0"/>
          <w:divBdr>
            <w:top w:val="none" w:sz="0" w:space="0" w:color="auto"/>
            <w:left w:val="none" w:sz="0" w:space="0" w:color="auto"/>
            <w:bottom w:val="none" w:sz="0" w:space="0" w:color="auto"/>
            <w:right w:val="none" w:sz="0" w:space="0" w:color="auto"/>
          </w:divBdr>
        </w:div>
        <w:div w:id="915633625">
          <w:marLeft w:val="0"/>
          <w:marRight w:val="0"/>
          <w:marTop w:val="0"/>
          <w:marBottom w:val="0"/>
          <w:divBdr>
            <w:top w:val="none" w:sz="0" w:space="0" w:color="auto"/>
            <w:left w:val="none" w:sz="0" w:space="0" w:color="auto"/>
            <w:bottom w:val="none" w:sz="0" w:space="0" w:color="auto"/>
            <w:right w:val="none" w:sz="0" w:space="0" w:color="auto"/>
          </w:divBdr>
        </w:div>
        <w:div w:id="1005396298">
          <w:marLeft w:val="0"/>
          <w:marRight w:val="0"/>
          <w:marTop w:val="0"/>
          <w:marBottom w:val="0"/>
          <w:divBdr>
            <w:top w:val="none" w:sz="0" w:space="0" w:color="auto"/>
            <w:left w:val="none" w:sz="0" w:space="0" w:color="auto"/>
            <w:bottom w:val="none" w:sz="0" w:space="0" w:color="auto"/>
            <w:right w:val="none" w:sz="0" w:space="0" w:color="auto"/>
          </w:divBdr>
        </w:div>
      </w:divsChild>
    </w:div>
    <w:div w:id="1389649892">
      <w:bodyDiv w:val="1"/>
      <w:marLeft w:val="0"/>
      <w:marRight w:val="0"/>
      <w:marTop w:val="0"/>
      <w:marBottom w:val="0"/>
      <w:divBdr>
        <w:top w:val="none" w:sz="0" w:space="0" w:color="auto"/>
        <w:left w:val="none" w:sz="0" w:space="0" w:color="auto"/>
        <w:bottom w:val="none" w:sz="0" w:space="0" w:color="auto"/>
        <w:right w:val="none" w:sz="0" w:space="0" w:color="auto"/>
      </w:divBdr>
      <w:divsChild>
        <w:div w:id="446966996">
          <w:marLeft w:val="0"/>
          <w:marRight w:val="0"/>
          <w:marTop w:val="0"/>
          <w:marBottom w:val="0"/>
          <w:divBdr>
            <w:top w:val="none" w:sz="0" w:space="0" w:color="auto"/>
            <w:left w:val="none" w:sz="0" w:space="0" w:color="auto"/>
            <w:bottom w:val="none" w:sz="0" w:space="0" w:color="auto"/>
            <w:right w:val="none" w:sz="0" w:space="0" w:color="auto"/>
          </w:divBdr>
        </w:div>
        <w:div w:id="1474636151">
          <w:marLeft w:val="0"/>
          <w:marRight w:val="0"/>
          <w:marTop w:val="0"/>
          <w:marBottom w:val="0"/>
          <w:divBdr>
            <w:top w:val="none" w:sz="0" w:space="0" w:color="auto"/>
            <w:left w:val="none" w:sz="0" w:space="0" w:color="auto"/>
            <w:bottom w:val="none" w:sz="0" w:space="0" w:color="auto"/>
            <w:right w:val="none" w:sz="0" w:space="0" w:color="auto"/>
          </w:divBdr>
        </w:div>
      </w:divsChild>
    </w:div>
    <w:div w:id="1392733712">
      <w:bodyDiv w:val="1"/>
      <w:marLeft w:val="0"/>
      <w:marRight w:val="0"/>
      <w:marTop w:val="0"/>
      <w:marBottom w:val="0"/>
      <w:divBdr>
        <w:top w:val="none" w:sz="0" w:space="0" w:color="auto"/>
        <w:left w:val="none" w:sz="0" w:space="0" w:color="auto"/>
        <w:bottom w:val="none" w:sz="0" w:space="0" w:color="auto"/>
        <w:right w:val="none" w:sz="0" w:space="0" w:color="auto"/>
      </w:divBdr>
    </w:div>
    <w:div w:id="1394426801">
      <w:bodyDiv w:val="1"/>
      <w:marLeft w:val="0"/>
      <w:marRight w:val="0"/>
      <w:marTop w:val="0"/>
      <w:marBottom w:val="0"/>
      <w:divBdr>
        <w:top w:val="none" w:sz="0" w:space="0" w:color="auto"/>
        <w:left w:val="none" w:sz="0" w:space="0" w:color="auto"/>
        <w:bottom w:val="none" w:sz="0" w:space="0" w:color="auto"/>
        <w:right w:val="none" w:sz="0" w:space="0" w:color="auto"/>
      </w:divBdr>
      <w:divsChild>
        <w:div w:id="1009019089">
          <w:marLeft w:val="0"/>
          <w:marRight w:val="0"/>
          <w:marTop w:val="0"/>
          <w:marBottom w:val="0"/>
          <w:divBdr>
            <w:top w:val="none" w:sz="0" w:space="0" w:color="auto"/>
            <w:left w:val="none" w:sz="0" w:space="0" w:color="auto"/>
            <w:bottom w:val="none" w:sz="0" w:space="0" w:color="auto"/>
            <w:right w:val="none" w:sz="0" w:space="0" w:color="auto"/>
          </w:divBdr>
        </w:div>
        <w:div w:id="1410885591">
          <w:marLeft w:val="0"/>
          <w:marRight w:val="0"/>
          <w:marTop w:val="0"/>
          <w:marBottom w:val="0"/>
          <w:divBdr>
            <w:top w:val="none" w:sz="0" w:space="0" w:color="auto"/>
            <w:left w:val="none" w:sz="0" w:space="0" w:color="auto"/>
            <w:bottom w:val="none" w:sz="0" w:space="0" w:color="auto"/>
            <w:right w:val="none" w:sz="0" w:space="0" w:color="auto"/>
          </w:divBdr>
        </w:div>
      </w:divsChild>
    </w:div>
    <w:div w:id="1394500321">
      <w:bodyDiv w:val="1"/>
      <w:marLeft w:val="0"/>
      <w:marRight w:val="0"/>
      <w:marTop w:val="0"/>
      <w:marBottom w:val="0"/>
      <w:divBdr>
        <w:top w:val="none" w:sz="0" w:space="0" w:color="auto"/>
        <w:left w:val="none" w:sz="0" w:space="0" w:color="auto"/>
        <w:bottom w:val="none" w:sz="0" w:space="0" w:color="auto"/>
        <w:right w:val="none" w:sz="0" w:space="0" w:color="auto"/>
      </w:divBdr>
    </w:div>
    <w:div w:id="1399552353">
      <w:bodyDiv w:val="1"/>
      <w:marLeft w:val="0"/>
      <w:marRight w:val="0"/>
      <w:marTop w:val="0"/>
      <w:marBottom w:val="0"/>
      <w:divBdr>
        <w:top w:val="none" w:sz="0" w:space="0" w:color="auto"/>
        <w:left w:val="none" w:sz="0" w:space="0" w:color="auto"/>
        <w:bottom w:val="none" w:sz="0" w:space="0" w:color="auto"/>
        <w:right w:val="none" w:sz="0" w:space="0" w:color="auto"/>
      </w:divBdr>
    </w:div>
    <w:div w:id="1399749347">
      <w:bodyDiv w:val="1"/>
      <w:marLeft w:val="0"/>
      <w:marRight w:val="0"/>
      <w:marTop w:val="0"/>
      <w:marBottom w:val="0"/>
      <w:divBdr>
        <w:top w:val="none" w:sz="0" w:space="0" w:color="auto"/>
        <w:left w:val="none" w:sz="0" w:space="0" w:color="auto"/>
        <w:bottom w:val="none" w:sz="0" w:space="0" w:color="auto"/>
        <w:right w:val="none" w:sz="0" w:space="0" w:color="auto"/>
      </w:divBdr>
    </w:div>
    <w:div w:id="1404179800">
      <w:bodyDiv w:val="1"/>
      <w:marLeft w:val="0"/>
      <w:marRight w:val="0"/>
      <w:marTop w:val="0"/>
      <w:marBottom w:val="0"/>
      <w:divBdr>
        <w:top w:val="none" w:sz="0" w:space="0" w:color="auto"/>
        <w:left w:val="none" w:sz="0" w:space="0" w:color="auto"/>
        <w:bottom w:val="none" w:sz="0" w:space="0" w:color="auto"/>
        <w:right w:val="none" w:sz="0" w:space="0" w:color="auto"/>
      </w:divBdr>
    </w:div>
    <w:div w:id="1405184328">
      <w:bodyDiv w:val="1"/>
      <w:marLeft w:val="0"/>
      <w:marRight w:val="0"/>
      <w:marTop w:val="0"/>
      <w:marBottom w:val="0"/>
      <w:divBdr>
        <w:top w:val="none" w:sz="0" w:space="0" w:color="auto"/>
        <w:left w:val="none" w:sz="0" w:space="0" w:color="auto"/>
        <w:bottom w:val="none" w:sz="0" w:space="0" w:color="auto"/>
        <w:right w:val="none" w:sz="0" w:space="0" w:color="auto"/>
      </w:divBdr>
    </w:div>
    <w:div w:id="1407071252">
      <w:bodyDiv w:val="1"/>
      <w:marLeft w:val="0"/>
      <w:marRight w:val="0"/>
      <w:marTop w:val="0"/>
      <w:marBottom w:val="0"/>
      <w:divBdr>
        <w:top w:val="none" w:sz="0" w:space="0" w:color="auto"/>
        <w:left w:val="none" w:sz="0" w:space="0" w:color="auto"/>
        <w:bottom w:val="none" w:sz="0" w:space="0" w:color="auto"/>
        <w:right w:val="none" w:sz="0" w:space="0" w:color="auto"/>
      </w:divBdr>
    </w:div>
    <w:div w:id="1408455645">
      <w:bodyDiv w:val="1"/>
      <w:marLeft w:val="0"/>
      <w:marRight w:val="0"/>
      <w:marTop w:val="0"/>
      <w:marBottom w:val="0"/>
      <w:divBdr>
        <w:top w:val="none" w:sz="0" w:space="0" w:color="auto"/>
        <w:left w:val="none" w:sz="0" w:space="0" w:color="auto"/>
        <w:bottom w:val="none" w:sz="0" w:space="0" w:color="auto"/>
        <w:right w:val="none" w:sz="0" w:space="0" w:color="auto"/>
      </w:divBdr>
      <w:divsChild>
        <w:div w:id="975797045">
          <w:marLeft w:val="0"/>
          <w:marRight w:val="0"/>
          <w:marTop w:val="0"/>
          <w:marBottom w:val="0"/>
          <w:divBdr>
            <w:top w:val="none" w:sz="0" w:space="0" w:color="auto"/>
            <w:left w:val="none" w:sz="0" w:space="0" w:color="auto"/>
            <w:bottom w:val="none" w:sz="0" w:space="0" w:color="auto"/>
            <w:right w:val="none" w:sz="0" w:space="0" w:color="auto"/>
          </w:divBdr>
        </w:div>
        <w:div w:id="1432582248">
          <w:marLeft w:val="0"/>
          <w:marRight w:val="0"/>
          <w:marTop w:val="0"/>
          <w:marBottom w:val="0"/>
          <w:divBdr>
            <w:top w:val="none" w:sz="0" w:space="0" w:color="auto"/>
            <w:left w:val="none" w:sz="0" w:space="0" w:color="auto"/>
            <w:bottom w:val="none" w:sz="0" w:space="0" w:color="auto"/>
            <w:right w:val="none" w:sz="0" w:space="0" w:color="auto"/>
          </w:divBdr>
        </w:div>
      </w:divsChild>
    </w:div>
    <w:div w:id="1408459377">
      <w:bodyDiv w:val="1"/>
      <w:marLeft w:val="0"/>
      <w:marRight w:val="0"/>
      <w:marTop w:val="0"/>
      <w:marBottom w:val="0"/>
      <w:divBdr>
        <w:top w:val="none" w:sz="0" w:space="0" w:color="auto"/>
        <w:left w:val="none" w:sz="0" w:space="0" w:color="auto"/>
        <w:bottom w:val="none" w:sz="0" w:space="0" w:color="auto"/>
        <w:right w:val="none" w:sz="0" w:space="0" w:color="auto"/>
      </w:divBdr>
      <w:divsChild>
        <w:div w:id="450133937">
          <w:marLeft w:val="0"/>
          <w:marRight w:val="0"/>
          <w:marTop w:val="0"/>
          <w:marBottom w:val="0"/>
          <w:divBdr>
            <w:top w:val="none" w:sz="0" w:space="0" w:color="auto"/>
            <w:left w:val="none" w:sz="0" w:space="0" w:color="auto"/>
            <w:bottom w:val="none" w:sz="0" w:space="0" w:color="auto"/>
            <w:right w:val="none" w:sz="0" w:space="0" w:color="auto"/>
          </w:divBdr>
        </w:div>
        <w:div w:id="1507861947">
          <w:marLeft w:val="0"/>
          <w:marRight w:val="0"/>
          <w:marTop w:val="0"/>
          <w:marBottom w:val="0"/>
          <w:divBdr>
            <w:top w:val="none" w:sz="0" w:space="0" w:color="auto"/>
            <w:left w:val="none" w:sz="0" w:space="0" w:color="auto"/>
            <w:bottom w:val="none" w:sz="0" w:space="0" w:color="auto"/>
            <w:right w:val="none" w:sz="0" w:space="0" w:color="auto"/>
          </w:divBdr>
        </w:div>
      </w:divsChild>
    </w:div>
    <w:div w:id="1408653181">
      <w:bodyDiv w:val="1"/>
      <w:marLeft w:val="0"/>
      <w:marRight w:val="0"/>
      <w:marTop w:val="0"/>
      <w:marBottom w:val="0"/>
      <w:divBdr>
        <w:top w:val="none" w:sz="0" w:space="0" w:color="auto"/>
        <w:left w:val="none" w:sz="0" w:space="0" w:color="auto"/>
        <w:bottom w:val="none" w:sz="0" w:space="0" w:color="auto"/>
        <w:right w:val="none" w:sz="0" w:space="0" w:color="auto"/>
      </w:divBdr>
    </w:div>
    <w:div w:id="1411197325">
      <w:bodyDiv w:val="1"/>
      <w:marLeft w:val="0"/>
      <w:marRight w:val="0"/>
      <w:marTop w:val="0"/>
      <w:marBottom w:val="0"/>
      <w:divBdr>
        <w:top w:val="none" w:sz="0" w:space="0" w:color="auto"/>
        <w:left w:val="none" w:sz="0" w:space="0" w:color="auto"/>
        <w:bottom w:val="none" w:sz="0" w:space="0" w:color="auto"/>
        <w:right w:val="none" w:sz="0" w:space="0" w:color="auto"/>
      </w:divBdr>
    </w:div>
    <w:div w:id="1412432172">
      <w:bodyDiv w:val="1"/>
      <w:marLeft w:val="0"/>
      <w:marRight w:val="0"/>
      <w:marTop w:val="0"/>
      <w:marBottom w:val="0"/>
      <w:divBdr>
        <w:top w:val="none" w:sz="0" w:space="0" w:color="auto"/>
        <w:left w:val="none" w:sz="0" w:space="0" w:color="auto"/>
        <w:bottom w:val="none" w:sz="0" w:space="0" w:color="auto"/>
        <w:right w:val="none" w:sz="0" w:space="0" w:color="auto"/>
      </w:divBdr>
      <w:divsChild>
        <w:div w:id="83036221">
          <w:marLeft w:val="0"/>
          <w:marRight w:val="0"/>
          <w:marTop w:val="0"/>
          <w:marBottom w:val="0"/>
          <w:divBdr>
            <w:top w:val="none" w:sz="0" w:space="0" w:color="auto"/>
            <w:left w:val="none" w:sz="0" w:space="0" w:color="auto"/>
            <w:bottom w:val="none" w:sz="0" w:space="0" w:color="auto"/>
            <w:right w:val="none" w:sz="0" w:space="0" w:color="auto"/>
          </w:divBdr>
        </w:div>
        <w:div w:id="685714516">
          <w:marLeft w:val="0"/>
          <w:marRight w:val="0"/>
          <w:marTop w:val="0"/>
          <w:marBottom w:val="0"/>
          <w:divBdr>
            <w:top w:val="none" w:sz="0" w:space="0" w:color="auto"/>
            <w:left w:val="none" w:sz="0" w:space="0" w:color="auto"/>
            <w:bottom w:val="none" w:sz="0" w:space="0" w:color="auto"/>
            <w:right w:val="none" w:sz="0" w:space="0" w:color="auto"/>
          </w:divBdr>
        </w:div>
        <w:div w:id="895169505">
          <w:marLeft w:val="0"/>
          <w:marRight w:val="0"/>
          <w:marTop w:val="0"/>
          <w:marBottom w:val="0"/>
          <w:divBdr>
            <w:top w:val="none" w:sz="0" w:space="0" w:color="auto"/>
            <w:left w:val="none" w:sz="0" w:space="0" w:color="auto"/>
            <w:bottom w:val="none" w:sz="0" w:space="0" w:color="auto"/>
            <w:right w:val="none" w:sz="0" w:space="0" w:color="auto"/>
          </w:divBdr>
        </w:div>
        <w:div w:id="1977102486">
          <w:marLeft w:val="0"/>
          <w:marRight w:val="0"/>
          <w:marTop w:val="0"/>
          <w:marBottom w:val="0"/>
          <w:divBdr>
            <w:top w:val="none" w:sz="0" w:space="0" w:color="auto"/>
            <w:left w:val="none" w:sz="0" w:space="0" w:color="auto"/>
            <w:bottom w:val="none" w:sz="0" w:space="0" w:color="auto"/>
            <w:right w:val="none" w:sz="0" w:space="0" w:color="auto"/>
          </w:divBdr>
        </w:div>
      </w:divsChild>
    </w:div>
    <w:div w:id="1415012773">
      <w:bodyDiv w:val="1"/>
      <w:marLeft w:val="0"/>
      <w:marRight w:val="0"/>
      <w:marTop w:val="0"/>
      <w:marBottom w:val="0"/>
      <w:divBdr>
        <w:top w:val="none" w:sz="0" w:space="0" w:color="auto"/>
        <w:left w:val="none" w:sz="0" w:space="0" w:color="auto"/>
        <w:bottom w:val="none" w:sz="0" w:space="0" w:color="auto"/>
        <w:right w:val="none" w:sz="0" w:space="0" w:color="auto"/>
      </w:divBdr>
      <w:divsChild>
        <w:div w:id="672147704">
          <w:marLeft w:val="0"/>
          <w:marRight w:val="0"/>
          <w:marTop w:val="0"/>
          <w:marBottom w:val="0"/>
          <w:divBdr>
            <w:top w:val="none" w:sz="0" w:space="0" w:color="auto"/>
            <w:left w:val="none" w:sz="0" w:space="0" w:color="auto"/>
            <w:bottom w:val="none" w:sz="0" w:space="0" w:color="auto"/>
            <w:right w:val="none" w:sz="0" w:space="0" w:color="auto"/>
          </w:divBdr>
        </w:div>
        <w:div w:id="1484353386">
          <w:marLeft w:val="0"/>
          <w:marRight w:val="0"/>
          <w:marTop w:val="0"/>
          <w:marBottom w:val="0"/>
          <w:divBdr>
            <w:top w:val="none" w:sz="0" w:space="0" w:color="auto"/>
            <w:left w:val="none" w:sz="0" w:space="0" w:color="auto"/>
            <w:bottom w:val="none" w:sz="0" w:space="0" w:color="auto"/>
            <w:right w:val="none" w:sz="0" w:space="0" w:color="auto"/>
          </w:divBdr>
        </w:div>
      </w:divsChild>
    </w:div>
    <w:div w:id="1419326863">
      <w:bodyDiv w:val="1"/>
      <w:marLeft w:val="0"/>
      <w:marRight w:val="0"/>
      <w:marTop w:val="0"/>
      <w:marBottom w:val="0"/>
      <w:divBdr>
        <w:top w:val="none" w:sz="0" w:space="0" w:color="auto"/>
        <w:left w:val="none" w:sz="0" w:space="0" w:color="auto"/>
        <w:bottom w:val="none" w:sz="0" w:space="0" w:color="auto"/>
        <w:right w:val="none" w:sz="0" w:space="0" w:color="auto"/>
      </w:divBdr>
    </w:div>
    <w:div w:id="1425762641">
      <w:bodyDiv w:val="1"/>
      <w:marLeft w:val="0"/>
      <w:marRight w:val="0"/>
      <w:marTop w:val="0"/>
      <w:marBottom w:val="0"/>
      <w:divBdr>
        <w:top w:val="none" w:sz="0" w:space="0" w:color="auto"/>
        <w:left w:val="none" w:sz="0" w:space="0" w:color="auto"/>
        <w:bottom w:val="none" w:sz="0" w:space="0" w:color="auto"/>
        <w:right w:val="none" w:sz="0" w:space="0" w:color="auto"/>
      </w:divBdr>
      <w:divsChild>
        <w:div w:id="464468090">
          <w:marLeft w:val="0"/>
          <w:marRight w:val="0"/>
          <w:marTop w:val="0"/>
          <w:marBottom w:val="0"/>
          <w:divBdr>
            <w:top w:val="none" w:sz="0" w:space="0" w:color="auto"/>
            <w:left w:val="none" w:sz="0" w:space="0" w:color="auto"/>
            <w:bottom w:val="none" w:sz="0" w:space="0" w:color="auto"/>
            <w:right w:val="none" w:sz="0" w:space="0" w:color="auto"/>
          </w:divBdr>
        </w:div>
        <w:div w:id="833296618">
          <w:marLeft w:val="0"/>
          <w:marRight w:val="0"/>
          <w:marTop w:val="0"/>
          <w:marBottom w:val="0"/>
          <w:divBdr>
            <w:top w:val="none" w:sz="0" w:space="0" w:color="auto"/>
            <w:left w:val="none" w:sz="0" w:space="0" w:color="auto"/>
            <w:bottom w:val="none" w:sz="0" w:space="0" w:color="auto"/>
            <w:right w:val="none" w:sz="0" w:space="0" w:color="auto"/>
          </w:divBdr>
        </w:div>
      </w:divsChild>
    </w:div>
    <w:div w:id="1427574573">
      <w:bodyDiv w:val="1"/>
      <w:marLeft w:val="0"/>
      <w:marRight w:val="0"/>
      <w:marTop w:val="0"/>
      <w:marBottom w:val="0"/>
      <w:divBdr>
        <w:top w:val="none" w:sz="0" w:space="0" w:color="auto"/>
        <w:left w:val="none" w:sz="0" w:space="0" w:color="auto"/>
        <w:bottom w:val="none" w:sz="0" w:space="0" w:color="auto"/>
        <w:right w:val="none" w:sz="0" w:space="0" w:color="auto"/>
      </w:divBdr>
    </w:div>
    <w:div w:id="1428423032">
      <w:bodyDiv w:val="1"/>
      <w:marLeft w:val="0"/>
      <w:marRight w:val="0"/>
      <w:marTop w:val="0"/>
      <w:marBottom w:val="0"/>
      <w:divBdr>
        <w:top w:val="none" w:sz="0" w:space="0" w:color="auto"/>
        <w:left w:val="none" w:sz="0" w:space="0" w:color="auto"/>
        <w:bottom w:val="none" w:sz="0" w:space="0" w:color="auto"/>
        <w:right w:val="none" w:sz="0" w:space="0" w:color="auto"/>
      </w:divBdr>
      <w:divsChild>
        <w:div w:id="373119443">
          <w:marLeft w:val="0"/>
          <w:marRight w:val="0"/>
          <w:marTop w:val="0"/>
          <w:marBottom w:val="0"/>
          <w:divBdr>
            <w:top w:val="none" w:sz="0" w:space="0" w:color="auto"/>
            <w:left w:val="none" w:sz="0" w:space="0" w:color="auto"/>
            <w:bottom w:val="none" w:sz="0" w:space="0" w:color="auto"/>
            <w:right w:val="none" w:sz="0" w:space="0" w:color="auto"/>
          </w:divBdr>
        </w:div>
        <w:div w:id="501357228">
          <w:marLeft w:val="0"/>
          <w:marRight w:val="0"/>
          <w:marTop w:val="0"/>
          <w:marBottom w:val="0"/>
          <w:divBdr>
            <w:top w:val="none" w:sz="0" w:space="0" w:color="auto"/>
            <w:left w:val="none" w:sz="0" w:space="0" w:color="auto"/>
            <w:bottom w:val="none" w:sz="0" w:space="0" w:color="auto"/>
            <w:right w:val="none" w:sz="0" w:space="0" w:color="auto"/>
          </w:divBdr>
        </w:div>
        <w:div w:id="2098553476">
          <w:marLeft w:val="0"/>
          <w:marRight w:val="0"/>
          <w:marTop w:val="0"/>
          <w:marBottom w:val="0"/>
          <w:divBdr>
            <w:top w:val="none" w:sz="0" w:space="0" w:color="auto"/>
            <w:left w:val="none" w:sz="0" w:space="0" w:color="auto"/>
            <w:bottom w:val="none" w:sz="0" w:space="0" w:color="auto"/>
            <w:right w:val="none" w:sz="0" w:space="0" w:color="auto"/>
          </w:divBdr>
        </w:div>
      </w:divsChild>
    </w:div>
    <w:div w:id="1428890933">
      <w:bodyDiv w:val="1"/>
      <w:marLeft w:val="0"/>
      <w:marRight w:val="0"/>
      <w:marTop w:val="0"/>
      <w:marBottom w:val="0"/>
      <w:divBdr>
        <w:top w:val="none" w:sz="0" w:space="0" w:color="auto"/>
        <w:left w:val="none" w:sz="0" w:space="0" w:color="auto"/>
        <w:bottom w:val="none" w:sz="0" w:space="0" w:color="auto"/>
        <w:right w:val="none" w:sz="0" w:space="0" w:color="auto"/>
      </w:divBdr>
      <w:divsChild>
        <w:div w:id="24671319">
          <w:marLeft w:val="0"/>
          <w:marRight w:val="0"/>
          <w:marTop w:val="0"/>
          <w:marBottom w:val="0"/>
          <w:divBdr>
            <w:top w:val="none" w:sz="0" w:space="0" w:color="auto"/>
            <w:left w:val="none" w:sz="0" w:space="0" w:color="auto"/>
            <w:bottom w:val="none" w:sz="0" w:space="0" w:color="auto"/>
            <w:right w:val="none" w:sz="0" w:space="0" w:color="auto"/>
          </w:divBdr>
        </w:div>
        <w:div w:id="42949121">
          <w:marLeft w:val="0"/>
          <w:marRight w:val="0"/>
          <w:marTop w:val="0"/>
          <w:marBottom w:val="0"/>
          <w:divBdr>
            <w:top w:val="none" w:sz="0" w:space="0" w:color="auto"/>
            <w:left w:val="none" w:sz="0" w:space="0" w:color="auto"/>
            <w:bottom w:val="none" w:sz="0" w:space="0" w:color="auto"/>
            <w:right w:val="none" w:sz="0" w:space="0" w:color="auto"/>
          </w:divBdr>
        </w:div>
        <w:div w:id="891111696">
          <w:marLeft w:val="0"/>
          <w:marRight w:val="0"/>
          <w:marTop w:val="0"/>
          <w:marBottom w:val="0"/>
          <w:divBdr>
            <w:top w:val="none" w:sz="0" w:space="0" w:color="auto"/>
            <w:left w:val="none" w:sz="0" w:space="0" w:color="auto"/>
            <w:bottom w:val="none" w:sz="0" w:space="0" w:color="auto"/>
            <w:right w:val="none" w:sz="0" w:space="0" w:color="auto"/>
          </w:divBdr>
        </w:div>
        <w:div w:id="1620720358">
          <w:marLeft w:val="0"/>
          <w:marRight w:val="0"/>
          <w:marTop w:val="0"/>
          <w:marBottom w:val="0"/>
          <w:divBdr>
            <w:top w:val="none" w:sz="0" w:space="0" w:color="auto"/>
            <w:left w:val="none" w:sz="0" w:space="0" w:color="auto"/>
            <w:bottom w:val="none" w:sz="0" w:space="0" w:color="auto"/>
            <w:right w:val="none" w:sz="0" w:space="0" w:color="auto"/>
          </w:divBdr>
        </w:div>
        <w:div w:id="1812870520">
          <w:marLeft w:val="0"/>
          <w:marRight w:val="0"/>
          <w:marTop w:val="0"/>
          <w:marBottom w:val="0"/>
          <w:divBdr>
            <w:top w:val="none" w:sz="0" w:space="0" w:color="auto"/>
            <w:left w:val="none" w:sz="0" w:space="0" w:color="auto"/>
            <w:bottom w:val="none" w:sz="0" w:space="0" w:color="auto"/>
            <w:right w:val="none" w:sz="0" w:space="0" w:color="auto"/>
          </w:divBdr>
        </w:div>
      </w:divsChild>
    </w:div>
    <w:div w:id="1436094499">
      <w:bodyDiv w:val="1"/>
      <w:marLeft w:val="0"/>
      <w:marRight w:val="0"/>
      <w:marTop w:val="0"/>
      <w:marBottom w:val="0"/>
      <w:divBdr>
        <w:top w:val="none" w:sz="0" w:space="0" w:color="auto"/>
        <w:left w:val="none" w:sz="0" w:space="0" w:color="auto"/>
        <w:bottom w:val="none" w:sz="0" w:space="0" w:color="auto"/>
        <w:right w:val="none" w:sz="0" w:space="0" w:color="auto"/>
      </w:divBdr>
    </w:div>
    <w:div w:id="1441607221">
      <w:bodyDiv w:val="1"/>
      <w:marLeft w:val="0"/>
      <w:marRight w:val="0"/>
      <w:marTop w:val="0"/>
      <w:marBottom w:val="0"/>
      <w:divBdr>
        <w:top w:val="none" w:sz="0" w:space="0" w:color="auto"/>
        <w:left w:val="none" w:sz="0" w:space="0" w:color="auto"/>
        <w:bottom w:val="none" w:sz="0" w:space="0" w:color="auto"/>
        <w:right w:val="none" w:sz="0" w:space="0" w:color="auto"/>
      </w:divBdr>
    </w:div>
    <w:div w:id="1443453461">
      <w:bodyDiv w:val="1"/>
      <w:marLeft w:val="0"/>
      <w:marRight w:val="0"/>
      <w:marTop w:val="0"/>
      <w:marBottom w:val="0"/>
      <w:divBdr>
        <w:top w:val="none" w:sz="0" w:space="0" w:color="auto"/>
        <w:left w:val="none" w:sz="0" w:space="0" w:color="auto"/>
        <w:bottom w:val="none" w:sz="0" w:space="0" w:color="auto"/>
        <w:right w:val="none" w:sz="0" w:space="0" w:color="auto"/>
      </w:divBdr>
      <w:divsChild>
        <w:div w:id="1569609563">
          <w:marLeft w:val="0"/>
          <w:marRight w:val="0"/>
          <w:marTop w:val="0"/>
          <w:marBottom w:val="0"/>
          <w:divBdr>
            <w:top w:val="none" w:sz="0" w:space="0" w:color="auto"/>
            <w:left w:val="none" w:sz="0" w:space="0" w:color="auto"/>
            <w:bottom w:val="none" w:sz="0" w:space="0" w:color="auto"/>
            <w:right w:val="none" w:sz="0" w:space="0" w:color="auto"/>
          </w:divBdr>
        </w:div>
        <w:div w:id="2001031429">
          <w:marLeft w:val="0"/>
          <w:marRight w:val="0"/>
          <w:marTop w:val="0"/>
          <w:marBottom w:val="0"/>
          <w:divBdr>
            <w:top w:val="none" w:sz="0" w:space="0" w:color="auto"/>
            <w:left w:val="none" w:sz="0" w:space="0" w:color="auto"/>
            <w:bottom w:val="none" w:sz="0" w:space="0" w:color="auto"/>
            <w:right w:val="none" w:sz="0" w:space="0" w:color="auto"/>
          </w:divBdr>
        </w:div>
      </w:divsChild>
    </w:div>
    <w:div w:id="1446538514">
      <w:bodyDiv w:val="1"/>
      <w:marLeft w:val="0"/>
      <w:marRight w:val="0"/>
      <w:marTop w:val="0"/>
      <w:marBottom w:val="0"/>
      <w:divBdr>
        <w:top w:val="none" w:sz="0" w:space="0" w:color="auto"/>
        <w:left w:val="none" w:sz="0" w:space="0" w:color="auto"/>
        <w:bottom w:val="none" w:sz="0" w:space="0" w:color="auto"/>
        <w:right w:val="none" w:sz="0" w:space="0" w:color="auto"/>
      </w:divBdr>
      <w:divsChild>
        <w:div w:id="252859403">
          <w:marLeft w:val="0"/>
          <w:marRight w:val="0"/>
          <w:marTop w:val="0"/>
          <w:marBottom w:val="0"/>
          <w:divBdr>
            <w:top w:val="none" w:sz="0" w:space="0" w:color="auto"/>
            <w:left w:val="none" w:sz="0" w:space="0" w:color="auto"/>
            <w:bottom w:val="none" w:sz="0" w:space="0" w:color="auto"/>
            <w:right w:val="none" w:sz="0" w:space="0" w:color="auto"/>
          </w:divBdr>
        </w:div>
        <w:div w:id="1543399994">
          <w:marLeft w:val="0"/>
          <w:marRight w:val="0"/>
          <w:marTop w:val="0"/>
          <w:marBottom w:val="0"/>
          <w:divBdr>
            <w:top w:val="none" w:sz="0" w:space="0" w:color="auto"/>
            <w:left w:val="none" w:sz="0" w:space="0" w:color="auto"/>
            <w:bottom w:val="none" w:sz="0" w:space="0" w:color="auto"/>
            <w:right w:val="none" w:sz="0" w:space="0" w:color="auto"/>
          </w:divBdr>
        </w:div>
      </w:divsChild>
    </w:div>
    <w:div w:id="1447196369">
      <w:bodyDiv w:val="1"/>
      <w:marLeft w:val="0"/>
      <w:marRight w:val="0"/>
      <w:marTop w:val="0"/>
      <w:marBottom w:val="0"/>
      <w:divBdr>
        <w:top w:val="none" w:sz="0" w:space="0" w:color="auto"/>
        <w:left w:val="none" w:sz="0" w:space="0" w:color="auto"/>
        <w:bottom w:val="none" w:sz="0" w:space="0" w:color="auto"/>
        <w:right w:val="none" w:sz="0" w:space="0" w:color="auto"/>
      </w:divBdr>
      <w:divsChild>
        <w:div w:id="1825731648">
          <w:marLeft w:val="0"/>
          <w:marRight w:val="0"/>
          <w:marTop w:val="0"/>
          <w:marBottom w:val="0"/>
          <w:divBdr>
            <w:top w:val="none" w:sz="0" w:space="0" w:color="auto"/>
            <w:left w:val="none" w:sz="0" w:space="0" w:color="auto"/>
            <w:bottom w:val="none" w:sz="0" w:space="0" w:color="auto"/>
            <w:right w:val="none" w:sz="0" w:space="0" w:color="auto"/>
          </w:divBdr>
        </w:div>
        <w:div w:id="1838691634">
          <w:marLeft w:val="0"/>
          <w:marRight w:val="0"/>
          <w:marTop w:val="0"/>
          <w:marBottom w:val="0"/>
          <w:divBdr>
            <w:top w:val="none" w:sz="0" w:space="0" w:color="auto"/>
            <w:left w:val="none" w:sz="0" w:space="0" w:color="auto"/>
            <w:bottom w:val="none" w:sz="0" w:space="0" w:color="auto"/>
            <w:right w:val="none" w:sz="0" w:space="0" w:color="auto"/>
          </w:divBdr>
        </w:div>
      </w:divsChild>
    </w:div>
    <w:div w:id="1454709357">
      <w:bodyDiv w:val="1"/>
      <w:marLeft w:val="0"/>
      <w:marRight w:val="0"/>
      <w:marTop w:val="0"/>
      <w:marBottom w:val="0"/>
      <w:divBdr>
        <w:top w:val="none" w:sz="0" w:space="0" w:color="auto"/>
        <w:left w:val="none" w:sz="0" w:space="0" w:color="auto"/>
        <w:bottom w:val="none" w:sz="0" w:space="0" w:color="auto"/>
        <w:right w:val="none" w:sz="0" w:space="0" w:color="auto"/>
      </w:divBdr>
      <w:divsChild>
        <w:div w:id="167058397">
          <w:marLeft w:val="0"/>
          <w:marRight w:val="0"/>
          <w:marTop w:val="0"/>
          <w:marBottom w:val="0"/>
          <w:divBdr>
            <w:top w:val="none" w:sz="0" w:space="0" w:color="auto"/>
            <w:left w:val="none" w:sz="0" w:space="0" w:color="auto"/>
            <w:bottom w:val="none" w:sz="0" w:space="0" w:color="auto"/>
            <w:right w:val="none" w:sz="0" w:space="0" w:color="auto"/>
          </w:divBdr>
          <w:divsChild>
            <w:div w:id="199249912">
              <w:marLeft w:val="0"/>
              <w:marRight w:val="0"/>
              <w:marTop w:val="0"/>
              <w:marBottom w:val="0"/>
              <w:divBdr>
                <w:top w:val="none" w:sz="0" w:space="0" w:color="auto"/>
                <w:left w:val="none" w:sz="0" w:space="0" w:color="auto"/>
                <w:bottom w:val="none" w:sz="0" w:space="0" w:color="auto"/>
                <w:right w:val="none" w:sz="0" w:space="0" w:color="auto"/>
              </w:divBdr>
              <w:divsChild>
                <w:div w:id="28796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4573504">
          <w:marLeft w:val="0"/>
          <w:marRight w:val="0"/>
          <w:marTop w:val="0"/>
          <w:marBottom w:val="0"/>
          <w:divBdr>
            <w:top w:val="none" w:sz="0" w:space="0" w:color="auto"/>
            <w:left w:val="none" w:sz="0" w:space="0" w:color="auto"/>
            <w:bottom w:val="none" w:sz="0" w:space="0" w:color="auto"/>
            <w:right w:val="none" w:sz="0" w:space="0" w:color="auto"/>
          </w:divBdr>
          <w:divsChild>
            <w:div w:id="2007509320">
              <w:marLeft w:val="0"/>
              <w:marRight w:val="0"/>
              <w:marTop w:val="0"/>
              <w:marBottom w:val="0"/>
              <w:divBdr>
                <w:top w:val="none" w:sz="0" w:space="0" w:color="auto"/>
                <w:left w:val="none" w:sz="0" w:space="0" w:color="auto"/>
                <w:bottom w:val="none" w:sz="0" w:space="0" w:color="auto"/>
                <w:right w:val="none" w:sz="0" w:space="0" w:color="auto"/>
              </w:divBdr>
              <w:divsChild>
                <w:div w:id="1242256006">
                  <w:marLeft w:val="0"/>
                  <w:marRight w:val="0"/>
                  <w:marTop w:val="0"/>
                  <w:marBottom w:val="0"/>
                  <w:divBdr>
                    <w:top w:val="none" w:sz="0" w:space="0" w:color="auto"/>
                    <w:left w:val="none" w:sz="0" w:space="0" w:color="auto"/>
                    <w:bottom w:val="none" w:sz="0" w:space="0" w:color="auto"/>
                    <w:right w:val="none" w:sz="0" w:space="0" w:color="auto"/>
                  </w:divBdr>
                </w:div>
                <w:div w:id="1586643232">
                  <w:marLeft w:val="0"/>
                  <w:marRight w:val="0"/>
                  <w:marTop w:val="0"/>
                  <w:marBottom w:val="0"/>
                  <w:divBdr>
                    <w:top w:val="none" w:sz="0" w:space="0" w:color="auto"/>
                    <w:left w:val="none" w:sz="0" w:space="0" w:color="auto"/>
                    <w:bottom w:val="none" w:sz="0" w:space="0" w:color="auto"/>
                    <w:right w:val="none" w:sz="0" w:space="0" w:color="auto"/>
                  </w:divBdr>
                  <w:divsChild>
                    <w:div w:id="439758683">
                      <w:marLeft w:val="0"/>
                      <w:marRight w:val="0"/>
                      <w:marTop w:val="0"/>
                      <w:marBottom w:val="0"/>
                      <w:divBdr>
                        <w:top w:val="none" w:sz="0" w:space="0" w:color="auto"/>
                        <w:left w:val="none" w:sz="0" w:space="0" w:color="auto"/>
                        <w:bottom w:val="none" w:sz="0" w:space="0" w:color="auto"/>
                        <w:right w:val="none" w:sz="0" w:space="0" w:color="auto"/>
                      </w:divBdr>
                    </w:div>
                    <w:div w:id="1832720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8205000">
          <w:marLeft w:val="0"/>
          <w:marRight w:val="0"/>
          <w:marTop w:val="0"/>
          <w:marBottom w:val="0"/>
          <w:divBdr>
            <w:top w:val="none" w:sz="0" w:space="0" w:color="auto"/>
            <w:left w:val="none" w:sz="0" w:space="0" w:color="auto"/>
            <w:bottom w:val="none" w:sz="0" w:space="0" w:color="auto"/>
            <w:right w:val="none" w:sz="0" w:space="0" w:color="auto"/>
          </w:divBdr>
          <w:divsChild>
            <w:div w:id="628895309">
              <w:marLeft w:val="0"/>
              <w:marRight w:val="0"/>
              <w:marTop w:val="0"/>
              <w:marBottom w:val="0"/>
              <w:divBdr>
                <w:top w:val="none" w:sz="0" w:space="0" w:color="auto"/>
                <w:left w:val="none" w:sz="0" w:space="0" w:color="auto"/>
                <w:bottom w:val="none" w:sz="0" w:space="0" w:color="auto"/>
                <w:right w:val="none" w:sz="0" w:space="0" w:color="auto"/>
              </w:divBdr>
              <w:divsChild>
                <w:div w:id="1954480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8790673">
      <w:bodyDiv w:val="1"/>
      <w:marLeft w:val="0"/>
      <w:marRight w:val="0"/>
      <w:marTop w:val="0"/>
      <w:marBottom w:val="0"/>
      <w:divBdr>
        <w:top w:val="none" w:sz="0" w:space="0" w:color="auto"/>
        <w:left w:val="none" w:sz="0" w:space="0" w:color="auto"/>
        <w:bottom w:val="none" w:sz="0" w:space="0" w:color="auto"/>
        <w:right w:val="none" w:sz="0" w:space="0" w:color="auto"/>
      </w:divBdr>
      <w:divsChild>
        <w:div w:id="42561148">
          <w:marLeft w:val="0"/>
          <w:marRight w:val="0"/>
          <w:marTop w:val="0"/>
          <w:marBottom w:val="0"/>
          <w:divBdr>
            <w:top w:val="none" w:sz="0" w:space="0" w:color="auto"/>
            <w:left w:val="none" w:sz="0" w:space="0" w:color="auto"/>
            <w:bottom w:val="none" w:sz="0" w:space="0" w:color="auto"/>
            <w:right w:val="none" w:sz="0" w:space="0" w:color="auto"/>
          </w:divBdr>
        </w:div>
        <w:div w:id="943920182">
          <w:marLeft w:val="0"/>
          <w:marRight w:val="0"/>
          <w:marTop w:val="0"/>
          <w:marBottom w:val="0"/>
          <w:divBdr>
            <w:top w:val="none" w:sz="0" w:space="0" w:color="auto"/>
            <w:left w:val="none" w:sz="0" w:space="0" w:color="auto"/>
            <w:bottom w:val="none" w:sz="0" w:space="0" w:color="auto"/>
            <w:right w:val="none" w:sz="0" w:space="0" w:color="auto"/>
          </w:divBdr>
        </w:div>
      </w:divsChild>
    </w:div>
    <w:div w:id="1462193693">
      <w:bodyDiv w:val="1"/>
      <w:marLeft w:val="0"/>
      <w:marRight w:val="0"/>
      <w:marTop w:val="0"/>
      <w:marBottom w:val="0"/>
      <w:divBdr>
        <w:top w:val="none" w:sz="0" w:space="0" w:color="auto"/>
        <w:left w:val="none" w:sz="0" w:space="0" w:color="auto"/>
        <w:bottom w:val="none" w:sz="0" w:space="0" w:color="auto"/>
        <w:right w:val="none" w:sz="0" w:space="0" w:color="auto"/>
      </w:divBdr>
    </w:div>
    <w:div w:id="1471291916">
      <w:bodyDiv w:val="1"/>
      <w:marLeft w:val="0"/>
      <w:marRight w:val="0"/>
      <w:marTop w:val="0"/>
      <w:marBottom w:val="0"/>
      <w:divBdr>
        <w:top w:val="none" w:sz="0" w:space="0" w:color="auto"/>
        <w:left w:val="none" w:sz="0" w:space="0" w:color="auto"/>
        <w:bottom w:val="none" w:sz="0" w:space="0" w:color="auto"/>
        <w:right w:val="none" w:sz="0" w:space="0" w:color="auto"/>
      </w:divBdr>
      <w:divsChild>
        <w:div w:id="521474007">
          <w:marLeft w:val="0"/>
          <w:marRight w:val="0"/>
          <w:marTop w:val="0"/>
          <w:marBottom w:val="0"/>
          <w:divBdr>
            <w:top w:val="none" w:sz="0" w:space="0" w:color="auto"/>
            <w:left w:val="none" w:sz="0" w:space="0" w:color="auto"/>
            <w:bottom w:val="none" w:sz="0" w:space="0" w:color="auto"/>
            <w:right w:val="none" w:sz="0" w:space="0" w:color="auto"/>
          </w:divBdr>
        </w:div>
        <w:div w:id="1240022116">
          <w:marLeft w:val="0"/>
          <w:marRight w:val="0"/>
          <w:marTop w:val="0"/>
          <w:marBottom w:val="0"/>
          <w:divBdr>
            <w:top w:val="none" w:sz="0" w:space="0" w:color="auto"/>
            <w:left w:val="none" w:sz="0" w:space="0" w:color="auto"/>
            <w:bottom w:val="none" w:sz="0" w:space="0" w:color="auto"/>
            <w:right w:val="none" w:sz="0" w:space="0" w:color="auto"/>
          </w:divBdr>
        </w:div>
      </w:divsChild>
    </w:div>
    <w:div w:id="1474060522">
      <w:bodyDiv w:val="1"/>
      <w:marLeft w:val="0"/>
      <w:marRight w:val="0"/>
      <w:marTop w:val="0"/>
      <w:marBottom w:val="0"/>
      <w:divBdr>
        <w:top w:val="none" w:sz="0" w:space="0" w:color="auto"/>
        <w:left w:val="none" w:sz="0" w:space="0" w:color="auto"/>
        <w:bottom w:val="none" w:sz="0" w:space="0" w:color="auto"/>
        <w:right w:val="none" w:sz="0" w:space="0" w:color="auto"/>
      </w:divBdr>
      <w:divsChild>
        <w:div w:id="1179927019">
          <w:marLeft w:val="0"/>
          <w:marRight w:val="0"/>
          <w:marTop w:val="0"/>
          <w:marBottom w:val="0"/>
          <w:divBdr>
            <w:top w:val="none" w:sz="0" w:space="0" w:color="auto"/>
            <w:left w:val="none" w:sz="0" w:space="0" w:color="auto"/>
            <w:bottom w:val="none" w:sz="0" w:space="0" w:color="auto"/>
            <w:right w:val="none" w:sz="0" w:space="0" w:color="auto"/>
          </w:divBdr>
        </w:div>
        <w:div w:id="1910573559">
          <w:marLeft w:val="0"/>
          <w:marRight w:val="0"/>
          <w:marTop w:val="0"/>
          <w:marBottom w:val="0"/>
          <w:divBdr>
            <w:top w:val="none" w:sz="0" w:space="0" w:color="auto"/>
            <w:left w:val="none" w:sz="0" w:space="0" w:color="auto"/>
            <w:bottom w:val="none" w:sz="0" w:space="0" w:color="auto"/>
            <w:right w:val="none" w:sz="0" w:space="0" w:color="auto"/>
          </w:divBdr>
        </w:div>
      </w:divsChild>
    </w:div>
    <w:div w:id="1475181097">
      <w:bodyDiv w:val="1"/>
      <w:marLeft w:val="0"/>
      <w:marRight w:val="0"/>
      <w:marTop w:val="0"/>
      <w:marBottom w:val="0"/>
      <w:divBdr>
        <w:top w:val="none" w:sz="0" w:space="0" w:color="auto"/>
        <w:left w:val="none" w:sz="0" w:space="0" w:color="auto"/>
        <w:bottom w:val="none" w:sz="0" w:space="0" w:color="auto"/>
        <w:right w:val="none" w:sz="0" w:space="0" w:color="auto"/>
      </w:divBdr>
    </w:div>
    <w:div w:id="1483234279">
      <w:bodyDiv w:val="1"/>
      <w:marLeft w:val="0"/>
      <w:marRight w:val="0"/>
      <w:marTop w:val="0"/>
      <w:marBottom w:val="0"/>
      <w:divBdr>
        <w:top w:val="none" w:sz="0" w:space="0" w:color="auto"/>
        <w:left w:val="none" w:sz="0" w:space="0" w:color="auto"/>
        <w:bottom w:val="none" w:sz="0" w:space="0" w:color="auto"/>
        <w:right w:val="none" w:sz="0" w:space="0" w:color="auto"/>
      </w:divBdr>
    </w:div>
    <w:div w:id="1483307667">
      <w:bodyDiv w:val="1"/>
      <w:marLeft w:val="0"/>
      <w:marRight w:val="0"/>
      <w:marTop w:val="0"/>
      <w:marBottom w:val="0"/>
      <w:divBdr>
        <w:top w:val="none" w:sz="0" w:space="0" w:color="auto"/>
        <w:left w:val="none" w:sz="0" w:space="0" w:color="auto"/>
        <w:bottom w:val="none" w:sz="0" w:space="0" w:color="auto"/>
        <w:right w:val="none" w:sz="0" w:space="0" w:color="auto"/>
      </w:divBdr>
    </w:div>
    <w:div w:id="1485202542">
      <w:bodyDiv w:val="1"/>
      <w:marLeft w:val="0"/>
      <w:marRight w:val="0"/>
      <w:marTop w:val="0"/>
      <w:marBottom w:val="0"/>
      <w:divBdr>
        <w:top w:val="none" w:sz="0" w:space="0" w:color="auto"/>
        <w:left w:val="none" w:sz="0" w:space="0" w:color="auto"/>
        <w:bottom w:val="none" w:sz="0" w:space="0" w:color="auto"/>
        <w:right w:val="none" w:sz="0" w:space="0" w:color="auto"/>
      </w:divBdr>
    </w:div>
    <w:div w:id="1486431995">
      <w:bodyDiv w:val="1"/>
      <w:marLeft w:val="0"/>
      <w:marRight w:val="0"/>
      <w:marTop w:val="0"/>
      <w:marBottom w:val="0"/>
      <w:divBdr>
        <w:top w:val="none" w:sz="0" w:space="0" w:color="auto"/>
        <w:left w:val="none" w:sz="0" w:space="0" w:color="auto"/>
        <w:bottom w:val="none" w:sz="0" w:space="0" w:color="auto"/>
        <w:right w:val="none" w:sz="0" w:space="0" w:color="auto"/>
      </w:divBdr>
      <w:divsChild>
        <w:div w:id="122584405">
          <w:marLeft w:val="0"/>
          <w:marRight w:val="0"/>
          <w:marTop w:val="0"/>
          <w:marBottom w:val="0"/>
          <w:divBdr>
            <w:top w:val="none" w:sz="0" w:space="0" w:color="auto"/>
            <w:left w:val="none" w:sz="0" w:space="0" w:color="auto"/>
            <w:bottom w:val="none" w:sz="0" w:space="0" w:color="auto"/>
            <w:right w:val="none" w:sz="0" w:space="0" w:color="auto"/>
          </w:divBdr>
        </w:div>
      </w:divsChild>
    </w:div>
    <w:div w:id="1486976110">
      <w:bodyDiv w:val="1"/>
      <w:marLeft w:val="0"/>
      <w:marRight w:val="0"/>
      <w:marTop w:val="0"/>
      <w:marBottom w:val="0"/>
      <w:divBdr>
        <w:top w:val="none" w:sz="0" w:space="0" w:color="auto"/>
        <w:left w:val="none" w:sz="0" w:space="0" w:color="auto"/>
        <w:bottom w:val="none" w:sz="0" w:space="0" w:color="auto"/>
        <w:right w:val="none" w:sz="0" w:space="0" w:color="auto"/>
      </w:divBdr>
      <w:divsChild>
        <w:div w:id="492137332">
          <w:marLeft w:val="0"/>
          <w:marRight w:val="0"/>
          <w:marTop w:val="0"/>
          <w:marBottom w:val="0"/>
          <w:divBdr>
            <w:top w:val="none" w:sz="0" w:space="0" w:color="auto"/>
            <w:left w:val="none" w:sz="0" w:space="0" w:color="auto"/>
            <w:bottom w:val="none" w:sz="0" w:space="0" w:color="auto"/>
            <w:right w:val="none" w:sz="0" w:space="0" w:color="auto"/>
          </w:divBdr>
        </w:div>
        <w:div w:id="1573587809">
          <w:marLeft w:val="0"/>
          <w:marRight w:val="0"/>
          <w:marTop w:val="0"/>
          <w:marBottom w:val="0"/>
          <w:divBdr>
            <w:top w:val="none" w:sz="0" w:space="0" w:color="auto"/>
            <w:left w:val="none" w:sz="0" w:space="0" w:color="auto"/>
            <w:bottom w:val="none" w:sz="0" w:space="0" w:color="auto"/>
            <w:right w:val="none" w:sz="0" w:space="0" w:color="auto"/>
          </w:divBdr>
        </w:div>
      </w:divsChild>
    </w:div>
    <w:div w:id="1487479177">
      <w:bodyDiv w:val="1"/>
      <w:marLeft w:val="0"/>
      <w:marRight w:val="0"/>
      <w:marTop w:val="0"/>
      <w:marBottom w:val="0"/>
      <w:divBdr>
        <w:top w:val="none" w:sz="0" w:space="0" w:color="auto"/>
        <w:left w:val="none" w:sz="0" w:space="0" w:color="auto"/>
        <w:bottom w:val="none" w:sz="0" w:space="0" w:color="auto"/>
        <w:right w:val="none" w:sz="0" w:space="0" w:color="auto"/>
      </w:divBdr>
      <w:divsChild>
        <w:div w:id="905338995">
          <w:marLeft w:val="0"/>
          <w:marRight w:val="0"/>
          <w:marTop w:val="0"/>
          <w:marBottom w:val="0"/>
          <w:divBdr>
            <w:top w:val="none" w:sz="0" w:space="0" w:color="auto"/>
            <w:left w:val="none" w:sz="0" w:space="0" w:color="auto"/>
            <w:bottom w:val="none" w:sz="0" w:space="0" w:color="auto"/>
            <w:right w:val="none" w:sz="0" w:space="0" w:color="auto"/>
          </w:divBdr>
        </w:div>
        <w:div w:id="977615685">
          <w:marLeft w:val="0"/>
          <w:marRight w:val="0"/>
          <w:marTop w:val="0"/>
          <w:marBottom w:val="0"/>
          <w:divBdr>
            <w:top w:val="none" w:sz="0" w:space="0" w:color="auto"/>
            <w:left w:val="none" w:sz="0" w:space="0" w:color="auto"/>
            <w:bottom w:val="none" w:sz="0" w:space="0" w:color="auto"/>
            <w:right w:val="none" w:sz="0" w:space="0" w:color="auto"/>
          </w:divBdr>
        </w:div>
      </w:divsChild>
    </w:div>
    <w:div w:id="1488354956">
      <w:bodyDiv w:val="1"/>
      <w:marLeft w:val="0"/>
      <w:marRight w:val="0"/>
      <w:marTop w:val="0"/>
      <w:marBottom w:val="0"/>
      <w:divBdr>
        <w:top w:val="none" w:sz="0" w:space="0" w:color="auto"/>
        <w:left w:val="none" w:sz="0" w:space="0" w:color="auto"/>
        <w:bottom w:val="none" w:sz="0" w:space="0" w:color="auto"/>
        <w:right w:val="none" w:sz="0" w:space="0" w:color="auto"/>
      </w:divBdr>
      <w:divsChild>
        <w:div w:id="1537698479">
          <w:marLeft w:val="0"/>
          <w:marRight w:val="0"/>
          <w:marTop w:val="0"/>
          <w:marBottom w:val="0"/>
          <w:divBdr>
            <w:top w:val="none" w:sz="0" w:space="0" w:color="auto"/>
            <w:left w:val="none" w:sz="0" w:space="0" w:color="auto"/>
            <w:bottom w:val="none" w:sz="0" w:space="0" w:color="auto"/>
            <w:right w:val="none" w:sz="0" w:space="0" w:color="auto"/>
          </w:divBdr>
        </w:div>
      </w:divsChild>
    </w:div>
    <w:div w:id="1489058158">
      <w:bodyDiv w:val="1"/>
      <w:marLeft w:val="0"/>
      <w:marRight w:val="0"/>
      <w:marTop w:val="0"/>
      <w:marBottom w:val="0"/>
      <w:divBdr>
        <w:top w:val="none" w:sz="0" w:space="0" w:color="auto"/>
        <w:left w:val="none" w:sz="0" w:space="0" w:color="auto"/>
        <w:bottom w:val="none" w:sz="0" w:space="0" w:color="auto"/>
        <w:right w:val="none" w:sz="0" w:space="0" w:color="auto"/>
      </w:divBdr>
    </w:div>
    <w:div w:id="1492717111">
      <w:bodyDiv w:val="1"/>
      <w:marLeft w:val="0"/>
      <w:marRight w:val="0"/>
      <w:marTop w:val="0"/>
      <w:marBottom w:val="0"/>
      <w:divBdr>
        <w:top w:val="none" w:sz="0" w:space="0" w:color="auto"/>
        <w:left w:val="none" w:sz="0" w:space="0" w:color="auto"/>
        <w:bottom w:val="none" w:sz="0" w:space="0" w:color="auto"/>
        <w:right w:val="none" w:sz="0" w:space="0" w:color="auto"/>
      </w:divBdr>
    </w:div>
    <w:div w:id="1493178257">
      <w:bodyDiv w:val="1"/>
      <w:marLeft w:val="0"/>
      <w:marRight w:val="0"/>
      <w:marTop w:val="0"/>
      <w:marBottom w:val="0"/>
      <w:divBdr>
        <w:top w:val="none" w:sz="0" w:space="0" w:color="auto"/>
        <w:left w:val="none" w:sz="0" w:space="0" w:color="auto"/>
        <w:bottom w:val="none" w:sz="0" w:space="0" w:color="auto"/>
        <w:right w:val="none" w:sz="0" w:space="0" w:color="auto"/>
      </w:divBdr>
    </w:div>
    <w:div w:id="1495606030">
      <w:bodyDiv w:val="1"/>
      <w:marLeft w:val="0"/>
      <w:marRight w:val="0"/>
      <w:marTop w:val="0"/>
      <w:marBottom w:val="0"/>
      <w:divBdr>
        <w:top w:val="none" w:sz="0" w:space="0" w:color="auto"/>
        <w:left w:val="none" w:sz="0" w:space="0" w:color="auto"/>
        <w:bottom w:val="none" w:sz="0" w:space="0" w:color="auto"/>
        <w:right w:val="none" w:sz="0" w:space="0" w:color="auto"/>
      </w:divBdr>
    </w:div>
    <w:div w:id="1508863948">
      <w:bodyDiv w:val="1"/>
      <w:marLeft w:val="0"/>
      <w:marRight w:val="0"/>
      <w:marTop w:val="0"/>
      <w:marBottom w:val="0"/>
      <w:divBdr>
        <w:top w:val="none" w:sz="0" w:space="0" w:color="auto"/>
        <w:left w:val="none" w:sz="0" w:space="0" w:color="auto"/>
        <w:bottom w:val="none" w:sz="0" w:space="0" w:color="auto"/>
        <w:right w:val="none" w:sz="0" w:space="0" w:color="auto"/>
      </w:divBdr>
      <w:divsChild>
        <w:div w:id="635642612">
          <w:marLeft w:val="0"/>
          <w:marRight w:val="0"/>
          <w:marTop w:val="0"/>
          <w:marBottom w:val="0"/>
          <w:divBdr>
            <w:top w:val="none" w:sz="0" w:space="0" w:color="auto"/>
            <w:left w:val="none" w:sz="0" w:space="0" w:color="auto"/>
            <w:bottom w:val="none" w:sz="0" w:space="0" w:color="auto"/>
            <w:right w:val="none" w:sz="0" w:space="0" w:color="auto"/>
          </w:divBdr>
        </w:div>
        <w:div w:id="2111007577">
          <w:marLeft w:val="0"/>
          <w:marRight w:val="0"/>
          <w:marTop w:val="0"/>
          <w:marBottom w:val="0"/>
          <w:divBdr>
            <w:top w:val="none" w:sz="0" w:space="0" w:color="auto"/>
            <w:left w:val="none" w:sz="0" w:space="0" w:color="auto"/>
            <w:bottom w:val="none" w:sz="0" w:space="0" w:color="auto"/>
            <w:right w:val="none" w:sz="0" w:space="0" w:color="auto"/>
          </w:divBdr>
        </w:div>
      </w:divsChild>
    </w:div>
    <w:div w:id="1509245982">
      <w:bodyDiv w:val="1"/>
      <w:marLeft w:val="0"/>
      <w:marRight w:val="0"/>
      <w:marTop w:val="0"/>
      <w:marBottom w:val="0"/>
      <w:divBdr>
        <w:top w:val="none" w:sz="0" w:space="0" w:color="auto"/>
        <w:left w:val="none" w:sz="0" w:space="0" w:color="auto"/>
        <w:bottom w:val="none" w:sz="0" w:space="0" w:color="auto"/>
        <w:right w:val="none" w:sz="0" w:space="0" w:color="auto"/>
      </w:divBdr>
      <w:divsChild>
        <w:div w:id="505753092">
          <w:marLeft w:val="0"/>
          <w:marRight w:val="0"/>
          <w:marTop w:val="0"/>
          <w:marBottom w:val="0"/>
          <w:divBdr>
            <w:top w:val="none" w:sz="0" w:space="0" w:color="auto"/>
            <w:left w:val="none" w:sz="0" w:space="0" w:color="auto"/>
            <w:bottom w:val="none" w:sz="0" w:space="0" w:color="auto"/>
            <w:right w:val="none" w:sz="0" w:space="0" w:color="auto"/>
          </w:divBdr>
        </w:div>
        <w:div w:id="1771778617">
          <w:marLeft w:val="0"/>
          <w:marRight w:val="0"/>
          <w:marTop w:val="0"/>
          <w:marBottom w:val="0"/>
          <w:divBdr>
            <w:top w:val="none" w:sz="0" w:space="0" w:color="auto"/>
            <w:left w:val="none" w:sz="0" w:space="0" w:color="auto"/>
            <w:bottom w:val="none" w:sz="0" w:space="0" w:color="auto"/>
            <w:right w:val="none" w:sz="0" w:space="0" w:color="auto"/>
          </w:divBdr>
        </w:div>
      </w:divsChild>
    </w:div>
    <w:div w:id="1512833458">
      <w:bodyDiv w:val="1"/>
      <w:marLeft w:val="0"/>
      <w:marRight w:val="0"/>
      <w:marTop w:val="0"/>
      <w:marBottom w:val="0"/>
      <w:divBdr>
        <w:top w:val="none" w:sz="0" w:space="0" w:color="auto"/>
        <w:left w:val="none" w:sz="0" w:space="0" w:color="auto"/>
        <w:bottom w:val="none" w:sz="0" w:space="0" w:color="auto"/>
        <w:right w:val="none" w:sz="0" w:space="0" w:color="auto"/>
      </w:divBdr>
    </w:div>
    <w:div w:id="1519731408">
      <w:bodyDiv w:val="1"/>
      <w:marLeft w:val="0"/>
      <w:marRight w:val="0"/>
      <w:marTop w:val="0"/>
      <w:marBottom w:val="0"/>
      <w:divBdr>
        <w:top w:val="none" w:sz="0" w:space="0" w:color="auto"/>
        <w:left w:val="none" w:sz="0" w:space="0" w:color="auto"/>
        <w:bottom w:val="none" w:sz="0" w:space="0" w:color="auto"/>
        <w:right w:val="none" w:sz="0" w:space="0" w:color="auto"/>
      </w:divBdr>
      <w:divsChild>
        <w:div w:id="724648480">
          <w:marLeft w:val="0"/>
          <w:marRight w:val="0"/>
          <w:marTop w:val="0"/>
          <w:marBottom w:val="0"/>
          <w:divBdr>
            <w:top w:val="none" w:sz="0" w:space="0" w:color="auto"/>
            <w:left w:val="none" w:sz="0" w:space="0" w:color="auto"/>
            <w:bottom w:val="none" w:sz="0" w:space="0" w:color="auto"/>
            <w:right w:val="none" w:sz="0" w:space="0" w:color="auto"/>
          </w:divBdr>
        </w:div>
        <w:div w:id="757018839">
          <w:marLeft w:val="0"/>
          <w:marRight w:val="0"/>
          <w:marTop w:val="0"/>
          <w:marBottom w:val="0"/>
          <w:divBdr>
            <w:top w:val="none" w:sz="0" w:space="0" w:color="auto"/>
            <w:left w:val="none" w:sz="0" w:space="0" w:color="auto"/>
            <w:bottom w:val="none" w:sz="0" w:space="0" w:color="auto"/>
            <w:right w:val="none" w:sz="0" w:space="0" w:color="auto"/>
          </w:divBdr>
        </w:div>
        <w:div w:id="994181905">
          <w:marLeft w:val="0"/>
          <w:marRight w:val="0"/>
          <w:marTop w:val="0"/>
          <w:marBottom w:val="0"/>
          <w:divBdr>
            <w:top w:val="none" w:sz="0" w:space="0" w:color="auto"/>
            <w:left w:val="none" w:sz="0" w:space="0" w:color="auto"/>
            <w:bottom w:val="none" w:sz="0" w:space="0" w:color="auto"/>
            <w:right w:val="none" w:sz="0" w:space="0" w:color="auto"/>
          </w:divBdr>
        </w:div>
      </w:divsChild>
    </w:div>
    <w:div w:id="1521973377">
      <w:bodyDiv w:val="1"/>
      <w:marLeft w:val="0"/>
      <w:marRight w:val="0"/>
      <w:marTop w:val="0"/>
      <w:marBottom w:val="0"/>
      <w:divBdr>
        <w:top w:val="none" w:sz="0" w:space="0" w:color="auto"/>
        <w:left w:val="none" w:sz="0" w:space="0" w:color="auto"/>
        <w:bottom w:val="none" w:sz="0" w:space="0" w:color="auto"/>
        <w:right w:val="none" w:sz="0" w:space="0" w:color="auto"/>
      </w:divBdr>
    </w:div>
    <w:div w:id="1524629937">
      <w:bodyDiv w:val="1"/>
      <w:marLeft w:val="0"/>
      <w:marRight w:val="0"/>
      <w:marTop w:val="0"/>
      <w:marBottom w:val="0"/>
      <w:divBdr>
        <w:top w:val="none" w:sz="0" w:space="0" w:color="auto"/>
        <w:left w:val="none" w:sz="0" w:space="0" w:color="auto"/>
        <w:bottom w:val="none" w:sz="0" w:space="0" w:color="auto"/>
        <w:right w:val="none" w:sz="0" w:space="0" w:color="auto"/>
      </w:divBdr>
    </w:div>
    <w:div w:id="1525436358">
      <w:bodyDiv w:val="1"/>
      <w:marLeft w:val="0"/>
      <w:marRight w:val="0"/>
      <w:marTop w:val="0"/>
      <w:marBottom w:val="0"/>
      <w:divBdr>
        <w:top w:val="none" w:sz="0" w:space="0" w:color="auto"/>
        <w:left w:val="none" w:sz="0" w:space="0" w:color="auto"/>
        <w:bottom w:val="none" w:sz="0" w:space="0" w:color="auto"/>
        <w:right w:val="none" w:sz="0" w:space="0" w:color="auto"/>
      </w:divBdr>
      <w:divsChild>
        <w:div w:id="149560815">
          <w:marLeft w:val="0"/>
          <w:marRight w:val="0"/>
          <w:marTop w:val="0"/>
          <w:marBottom w:val="0"/>
          <w:divBdr>
            <w:top w:val="none" w:sz="0" w:space="0" w:color="auto"/>
            <w:left w:val="none" w:sz="0" w:space="0" w:color="auto"/>
            <w:bottom w:val="none" w:sz="0" w:space="0" w:color="auto"/>
            <w:right w:val="none" w:sz="0" w:space="0" w:color="auto"/>
          </w:divBdr>
        </w:div>
        <w:div w:id="834103974">
          <w:marLeft w:val="0"/>
          <w:marRight w:val="0"/>
          <w:marTop w:val="0"/>
          <w:marBottom w:val="0"/>
          <w:divBdr>
            <w:top w:val="none" w:sz="0" w:space="0" w:color="auto"/>
            <w:left w:val="none" w:sz="0" w:space="0" w:color="auto"/>
            <w:bottom w:val="none" w:sz="0" w:space="0" w:color="auto"/>
            <w:right w:val="none" w:sz="0" w:space="0" w:color="auto"/>
          </w:divBdr>
        </w:div>
      </w:divsChild>
    </w:div>
    <w:div w:id="1525552440">
      <w:bodyDiv w:val="1"/>
      <w:marLeft w:val="0"/>
      <w:marRight w:val="0"/>
      <w:marTop w:val="0"/>
      <w:marBottom w:val="0"/>
      <w:divBdr>
        <w:top w:val="none" w:sz="0" w:space="0" w:color="auto"/>
        <w:left w:val="none" w:sz="0" w:space="0" w:color="auto"/>
        <w:bottom w:val="none" w:sz="0" w:space="0" w:color="auto"/>
        <w:right w:val="none" w:sz="0" w:space="0" w:color="auto"/>
      </w:divBdr>
    </w:div>
    <w:div w:id="1529641040">
      <w:bodyDiv w:val="1"/>
      <w:marLeft w:val="0"/>
      <w:marRight w:val="0"/>
      <w:marTop w:val="0"/>
      <w:marBottom w:val="0"/>
      <w:divBdr>
        <w:top w:val="none" w:sz="0" w:space="0" w:color="auto"/>
        <w:left w:val="none" w:sz="0" w:space="0" w:color="auto"/>
        <w:bottom w:val="none" w:sz="0" w:space="0" w:color="auto"/>
        <w:right w:val="none" w:sz="0" w:space="0" w:color="auto"/>
      </w:divBdr>
    </w:div>
    <w:div w:id="1531260291">
      <w:bodyDiv w:val="1"/>
      <w:marLeft w:val="0"/>
      <w:marRight w:val="0"/>
      <w:marTop w:val="0"/>
      <w:marBottom w:val="0"/>
      <w:divBdr>
        <w:top w:val="none" w:sz="0" w:space="0" w:color="auto"/>
        <w:left w:val="none" w:sz="0" w:space="0" w:color="auto"/>
        <w:bottom w:val="none" w:sz="0" w:space="0" w:color="auto"/>
        <w:right w:val="none" w:sz="0" w:space="0" w:color="auto"/>
      </w:divBdr>
      <w:divsChild>
        <w:div w:id="971516062">
          <w:marLeft w:val="0"/>
          <w:marRight w:val="0"/>
          <w:marTop w:val="0"/>
          <w:marBottom w:val="0"/>
          <w:divBdr>
            <w:top w:val="none" w:sz="0" w:space="0" w:color="auto"/>
            <w:left w:val="none" w:sz="0" w:space="0" w:color="auto"/>
            <w:bottom w:val="none" w:sz="0" w:space="0" w:color="auto"/>
            <w:right w:val="none" w:sz="0" w:space="0" w:color="auto"/>
          </w:divBdr>
        </w:div>
        <w:div w:id="1966345335">
          <w:marLeft w:val="0"/>
          <w:marRight w:val="0"/>
          <w:marTop w:val="0"/>
          <w:marBottom w:val="0"/>
          <w:divBdr>
            <w:top w:val="none" w:sz="0" w:space="0" w:color="auto"/>
            <w:left w:val="none" w:sz="0" w:space="0" w:color="auto"/>
            <w:bottom w:val="none" w:sz="0" w:space="0" w:color="auto"/>
            <w:right w:val="none" w:sz="0" w:space="0" w:color="auto"/>
          </w:divBdr>
        </w:div>
      </w:divsChild>
    </w:div>
    <w:div w:id="1532957564">
      <w:bodyDiv w:val="1"/>
      <w:marLeft w:val="0"/>
      <w:marRight w:val="0"/>
      <w:marTop w:val="0"/>
      <w:marBottom w:val="0"/>
      <w:divBdr>
        <w:top w:val="none" w:sz="0" w:space="0" w:color="auto"/>
        <w:left w:val="none" w:sz="0" w:space="0" w:color="auto"/>
        <w:bottom w:val="none" w:sz="0" w:space="0" w:color="auto"/>
        <w:right w:val="none" w:sz="0" w:space="0" w:color="auto"/>
      </w:divBdr>
      <w:divsChild>
        <w:div w:id="431702129">
          <w:marLeft w:val="0"/>
          <w:marRight w:val="0"/>
          <w:marTop w:val="0"/>
          <w:marBottom w:val="0"/>
          <w:divBdr>
            <w:top w:val="none" w:sz="0" w:space="0" w:color="auto"/>
            <w:left w:val="none" w:sz="0" w:space="0" w:color="auto"/>
            <w:bottom w:val="none" w:sz="0" w:space="0" w:color="auto"/>
            <w:right w:val="none" w:sz="0" w:space="0" w:color="auto"/>
          </w:divBdr>
        </w:div>
        <w:div w:id="1341201152">
          <w:marLeft w:val="0"/>
          <w:marRight w:val="0"/>
          <w:marTop w:val="0"/>
          <w:marBottom w:val="0"/>
          <w:divBdr>
            <w:top w:val="none" w:sz="0" w:space="0" w:color="auto"/>
            <w:left w:val="none" w:sz="0" w:space="0" w:color="auto"/>
            <w:bottom w:val="none" w:sz="0" w:space="0" w:color="auto"/>
            <w:right w:val="none" w:sz="0" w:space="0" w:color="auto"/>
          </w:divBdr>
        </w:div>
      </w:divsChild>
    </w:div>
    <w:div w:id="1543708429">
      <w:bodyDiv w:val="1"/>
      <w:marLeft w:val="0"/>
      <w:marRight w:val="0"/>
      <w:marTop w:val="0"/>
      <w:marBottom w:val="0"/>
      <w:divBdr>
        <w:top w:val="none" w:sz="0" w:space="0" w:color="auto"/>
        <w:left w:val="none" w:sz="0" w:space="0" w:color="auto"/>
        <w:bottom w:val="none" w:sz="0" w:space="0" w:color="auto"/>
        <w:right w:val="none" w:sz="0" w:space="0" w:color="auto"/>
      </w:divBdr>
      <w:divsChild>
        <w:div w:id="419063761">
          <w:marLeft w:val="0"/>
          <w:marRight w:val="0"/>
          <w:marTop w:val="0"/>
          <w:marBottom w:val="0"/>
          <w:divBdr>
            <w:top w:val="none" w:sz="0" w:space="0" w:color="auto"/>
            <w:left w:val="none" w:sz="0" w:space="0" w:color="auto"/>
            <w:bottom w:val="none" w:sz="0" w:space="0" w:color="auto"/>
            <w:right w:val="none" w:sz="0" w:space="0" w:color="auto"/>
          </w:divBdr>
        </w:div>
        <w:div w:id="1318798377">
          <w:marLeft w:val="0"/>
          <w:marRight w:val="0"/>
          <w:marTop w:val="0"/>
          <w:marBottom w:val="0"/>
          <w:divBdr>
            <w:top w:val="none" w:sz="0" w:space="0" w:color="auto"/>
            <w:left w:val="none" w:sz="0" w:space="0" w:color="auto"/>
            <w:bottom w:val="none" w:sz="0" w:space="0" w:color="auto"/>
            <w:right w:val="none" w:sz="0" w:space="0" w:color="auto"/>
          </w:divBdr>
        </w:div>
        <w:div w:id="1477144056">
          <w:marLeft w:val="0"/>
          <w:marRight w:val="0"/>
          <w:marTop w:val="0"/>
          <w:marBottom w:val="0"/>
          <w:divBdr>
            <w:top w:val="none" w:sz="0" w:space="0" w:color="auto"/>
            <w:left w:val="none" w:sz="0" w:space="0" w:color="auto"/>
            <w:bottom w:val="none" w:sz="0" w:space="0" w:color="auto"/>
            <w:right w:val="none" w:sz="0" w:space="0" w:color="auto"/>
          </w:divBdr>
        </w:div>
        <w:div w:id="1918594737">
          <w:marLeft w:val="0"/>
          <w:marRight w:val="0"/>
          <w:marTop w:val="0"/>
          <w:marBottom w:val="0"/>
          <w:divBdr>
            <w:top w:val="none" w:sz="0" w:space="0" w:color="auto"/>
            <w:left w:val="none" w:sz="0" w:space="0" w:color="auto"/>
            <w:bottom w:val="none" w:sz="0" w:space="0" w:color="auto"/>
            <w:right w:val="none" w:sz="0" w:space="0" w:color="auto"/>
          </w:divBdr>
        </w:div>
        <w:div w:id="2071687832">
          <w:marLeft w:val="0"/>
          <w:marRight w:val="0"/>
          <w:marTop w:val="0"/>
          <w:marBottom w:val="0"/>
          <w:divBdr>
            <w:top w:val="none" w:sz="0" w:space="0" w:color="auto"/>
            <w:left w:val="none" w:sz="0" w:space="0" w:color="auto"/>
            <w:bottom w:val="none" w:sz="0" w:space="0" w:color="auto"/>
            <w:right w:val="none" w:sz="0" w:space="0" w:color="auto"/>
          </w:divBdr>
        </w:div>
      </w:divsChild>
    </w:div>
    <w:div w:id="1544170465">
      <w:bodyDiv w:val="1"/>
      <w:marLeft w:val="0"/>
      <w:marRight w:val="0"/>
      <w:marTop w:val="0"/>
      <w:marBottom w:val="0"/>
      <w:divBdr>
        <w:top w:val="none" w:sz="0" w:space="0" w:color="auto"/>
        <w:left w:val="none" w:sz="0" w:space="0" w:color="auto"/>
        <w:bottom w:val="none" w:sz="0" w:space="0" w:color="auto"/>
        <w:right w:val="none" w:sz="0" w:space="0" w:color="auto"/>
      </w:divBdr>
      <w:divsChild>
        <w:div w:id="1611010795">
          <w:marLeft w:val="0"/>
          <w:marRight w:val="0"/>
          <w:marTop w:val="0"/>
          <w:marBottom w:val="0"/>
          <w:divBdr>
            <w:top w:val="none" w:sz="0" w:space="0" w:color="auto"/>
            <w:left w:val="none" w:sz="0" w:space="0" w:color="auto"/>
            <w:bottom w:val="none" w:sz="0" w:space="0" w:color="auto"/>
            <w:right w:val="none" w:sz="0" w:space="0" w:color="auto"/>
          </w:divBdr>
          <w:divsChild>
            <w:div w:id="751656689">
              <w:marLeft w:val="0"/>
              <w:marRight w:val="0"/>
              <w:marTop w:val="0"/>
              <w:marBottom w:val="0"/>
              <w:divBdr>
                <w:top w:val="none" w:sz="0" w:space="0" w:color="auto"/>
                <w:left w:val="none" w:sz="0" w:space="0" w:color="auto"/>
                <w:bottom w:val="none" w:sz="0" w:space="0" w:color="auto"/>
                <w:right w:val="none" w:sz="0" w:space="0" w:color="auto"/>
              </w:divBdr>
            </w:div>
            <w:div w:id="1775705431">
              <w:marLeft w:val="0"/>
              <w:marRight w:val="0"/>
              <w:marTop w:val="0"/>
              <w:marBottom w:val="0"/>
              <w:divBdr>
                <w:top w:val="none" w:sz="0" w:space="0" w:color="auto"/>
                <w:left w:val="none" w:sz="0" w:space="0" w:color="auto"/>
                <w:bottom w:val="none" w:sz="0" w:space="0" w:color="auto"/>
                <w:right w:val="none" w:sz="0" w:space="0" w:color="auto"/>
              </w:divBdr>
            </w:div>
          </w:divsChild>
        </w:div>
        <w:div w:id="1627851926">
          <w:marLeft w:val="0"/>
          <w:marRight w:val="0"/>
          <w:marTop w:val="0"/>
          <w:marBottom w:val="0"/>
          <w:divBdr>
            <w:top w:val="none" w:sz="0" w:space="0" w:color="auto"/>
            <w:left w:val="none" w:sz="0" w:space="0" w:color="auto"/>
            <w:bottom w:val="none" w:sz="0" w:space="0" w:color="auto"/>
            <w:right w:val="none" w:sz="0" w:space="0" w:color="auto"/>
          </w:divBdr>
        </w:div>
      </w:divsChild>
    </w:div>
    <w:div w:id="1544904797">
      <w:bodyDiv w:val="1"/>
      <w:marLeft w:val="0"/>
      <w:marRight w:val="0"/>
      <w:marTop w:val="0"/>
      <w:marBottom w:val="0"/>
      <w:divBdr>
        <w:top w:val="none" w:sz="0" w:space="0" w:color="auto"/>
        <w:left w:val="none" w:sz="0" w:space="0" w:color="auto"/>
        <w:bottom w:val="none" w:sz="0" w:space="0" w:color="auto"/>
        <w:right w:val="none" w:sz="0" w:space="0" w:color="auto"/>
      </w:divBdr>
      <w:divsChild>
        <w:div w:id="897400399">
          <w:marLeft w:val="0"/>
          <w:marRight w:val="0"/>
          <w:marTop w:val="0"/>
          <w:marBottom w:val="0"/>
          <w:divBdr>
            <w:top w:val="none" w:sz="0" w:space="0" w:color="auto"/>
            <w:left w:val="none" w:sz="0" w:space="0" w:color="auto"/>
            <w:bottom w:val="none" w:sz="0" w:space="0" w:color="auto"/>
            <w:right w:val="none" w:sz="0" w:space="0" w:color="auto"/>
          </w:divBdr>
        </w:div>
        <w:div w:id="974602837">
          <w:marLeft w:val="0"/>
          <w:marRight w:val="0"/>
          <w:marTop w:val="0"/>
          <w:marBottom w:val="0"/>
          <w:divBdr>
            <w:top w:val="none" w:sz="0" w:space="0" w:color="auto"/>
            <w:left w:val="none" w:sz="0" w:space="0" w:color="auto"/>
            <w:bottom w:val="none" w:sz="0" w:space="0" w:color="auto"/>
            <w:right w:val="none" w:sz="0" w:space="0" w:color="auto"/>
          </w:divBdr>
        </w:div>
        <w:div w:id="1199664649">
          <w:marLeft w:val="0"/>
          <w:marRight w:val="0"/>
          <w:marTop w:val="0"/>
          <w:marBottom w:val="0"/>
          <w:divBdr>
            <w:top w:val="none" w:sz="0" w:space="0" w:color="auto"/>
            <w:left w:val="none" w:sz="0" w:space="0" w:color="auto"/>
            <w:bottom w:val="none" w:sz="0" w:space="0" w:color="auto"/>
            <w:right w:val="none" w:sz="0" w:space="0" w:color="auto"/>
          </w:divBdr>
        </w:div>
        <w:div w:id="1846632784">
          <w:marLeft w:val="0"/>
          <w:marRight w:val="0"/>
          <w:marTop w:val="0"/>
          <w:marBottom w:val="0"/>
          <w:divBdr>
            <w:top w:val="none" w:sz="0" w:space="0" w:color="auto"/>
            <w:left w:val="none" w:sz="0" w:space="0" w:color="auto"/>
            <w:bottom w:val="none" w:sz="0" w:space="0" w:color="auto"/>
            <w:right w:val="none" w:sz="0" w:space="0" w:color="auto"/>
          </w:divBdr>
        </w:div>
        <w:div w:id="1857117913">
          <w:marLeft w:val="0"/>
          <w:marRight w:val="0"/>
          <w:marTop w:val="0"/>
          <w:marBottom w:val="0"/>
          <w:divBdr>
            <w:top w:val="none" w:sz="0" w:space="0" w:color="auto"/>
            <w:left w:val="none" w:sz="0" w:space="0" w:color="auto"/>
            <w:bottom w:val="none" w:sz="0" w:space="0" w:color="auto"/>
            <w:right w:val="none" w:sz="0" w:space="0" w:color="auto"/>
          </w:divBdr>
        </w:div>
        <w:div w:id="2101832776">
          <w:marLeft w:val="0"/>
          <w:marRight w:val="0"/>
          <w:marTop w:val="0"/>
          <w:marBottom w:val="0"/>
          <w:divBdr>
            <w:top w:val="none" w:sz="0" w:space="0" w:color="auto"/>
            <w:left w:val="none" w:sz="0" w:space="0" w:color="auto"/>
            <w:bottom w:val="none" w:sz="0" w:space="0" w:color="auto"/>
            <w:right w:val="none" w:sz="0" w:space="0" w:color="auto"/>
          </w:divBdr>
        </w:div>
      </w:divsChild>
    </w:div>
    <w:div w:id="1546024116">
      <w:bodyDiv w:val="1"/>
      <w:marLeft w:val="0"/>
      <w:marRight w:val="0"/>
      <w:marTop w:val="0"/>
      <w:marBottom w:val="0"/>
      <w:divBdr>
        <w:top w:val="none" w:sz="0" w:space="0" w:color="auto"/>
        <w:left w:val="none" w:sz="0" w:space="0" w:color="auto"/>
        <w:bottom w:val="none" w:sz="0" w:space="0" w:color="auto"/>
        <w:right w:val="none" w:sz="0" w:space="0" w:color="auto"/>
      </w:divBdr>
      <w:divsChild>
        <w:div w:id="651953328">
          <w:marLeft w:val="0"/>
          <w:marRight w:val="0"/>
          <w:marTop w:val="0"/>
          <w:marBottom w:val="0"/>
          <w:divBdr>
            <w:top w:val="none" w:sz="0" w:space="0" w:color="auto"/>
            <w:left w:val="none" w:sz="0" w:space="0" w:color="auto"/>
            <w:bottom w:val="none" w:sz="0" w:space="0" w:color="auto"/>
            <w:right w:val="none" w:sz="0" w:space="0" w:color="auto"/>
          </w:divBdr>
        </w:div>
        <w:div w:id="766775765">
          <w:marLeft w:val="0"/>
          <w:marRight w:val="0"/>
          <w:marTop w:val="0"/>
          <w:marBottom w:val="0"/>
          <w:divBdr>
            <w:top w:val="none" w:sz="0" w:space="0" w:color="auto"/>
            <w:left w:val="none" w:sz="0" w:space="0" w:color="auto"/>
            <w:bottom w:val="none" w:sz="0" w:space="0" w:color="auto"/>
            <w:right w:val="none" w:sz="0" w:space="0" w:color="auto"/>
          </w:divBdr>
        </w:div>
      </w:divsChild>
    </w:div>
    <w:div w:id="1546672327">
      <w:bodyDiv w:val="1"/>
      <w:marLeft w:val="0"/>
      <w:marRight w:val="0"/>
      <w:marTop w:val="0"/>
      <w:marBottom w:val="0"/>
      <w:divBdr>
        <w:top w:val="none" w:sz="0" w:space="0" w:color="auto"/>
        <w:left w:val="none" w:sz="0" w:space="0" w:color="auto"/>
        <w:bottom w:val="none" w:sz="0" w:space="0" w:color="auto"/>
        <w:right w:val="none" w:sz="0" w:space="0" w:color="auto"/>
      </w:divBdr>
    </w:div>
    <w:div w:id="1549877837">
      <w:bodyDiv w:val="1"/>
      <w:marLeft w:val="0"/>
      <w:marRight w:val="0"/>
      <w:marTop w:val="0"/>
      <w:marBottom w:val="0"/>
      <w:divBdr>
        <w:top w:val="none" w:sz="0" w:space="0" w:color="auto"/>
        <w:left w:val="none" w:sz="0" w:space="0" w:color="auto"/>
        <w:bottom w:val="none" w:sz="0" w:space="0" w:color="auto"/>
        <w:right w:val="none" w:sz="0" w:space="0" w:color="auto"/>
      </w:divBdr>
    </w:div>
    <w:div w:id="1553687703">
      <w:bodyDiv w:val="1"/>
      <w:marLeft w:val="0"/>
      <w:marRight w:val="0"/>
      <w:marTop w:val="0"/>
      <w:marBottom w:val="0"/>
      <w:divBdr>
        <w:top w:val="none" w:sz="0" w:space="0" w:color="auto"/>
        <w:left w:val="none" w:sz="0" w:space="0" w:color="auto"/>
        <w:bottom w:val="none" w:sz="0" w:space="0" w:color="auto"/>
        <w:right w:val="none" w:sz="0" w:space="0" w:color="auto"/>
      </w:divBdr>
      <w:divsChild>
        <w:div w:id="766655308">
          <w:marLeft w:val="0"/>
          <w:marRight w:val="0"/>
          <w:marTop w:val="0"/>
          <w:marBottom w:val="0"/>
          <w:divBdr>
            <w:top w:val="none" w:sz="0" w:space="0" w:color="auto"/>
            <w:left w:val="none" w:sz="0" w:space="0" w:color="auto"/>
            <w:bottom w:val="none" w:sz="0" w:space="0" w:color="auto"/>
            <w:right w:val="none" w:sz="0" w:space="0" w:color="auto"/>
          </w:divBdr>
        </w:div>
        <w:div w:id="1845976763">
          <w:marLeft w:val="0"/>
          <w:marRight w:val="0"/>
          <w:marTop w:val="0"/>
          <w:marBottom w:val="0"/>
          <w:divBdr>
            <w:top w:val="none" w:sz="0" w:space="0" w:color="auto"/>
            <w:left w:val="none" w:sz="0" w:space="0" w:color="auto"/>
            <w:bottom w:val="none" w:sz="0" w:space="0" w:color="auto"/>
            <w:right w:val="none" w:sz="0" w:space="0" w:color="auto"/>
          </w:divBdr>
        </w:div>
      </w:divsChild>
    </w:div>
    <w:div w:id="1554194251">
      <w:bodyDiv w:val="1"/>
      <w:marLeft w:val="0"/>
      <w:marRight w:val="0"/>
      <w:marTop w:val="0"/>
      <w:marBottom w:val="0"/>
      <w:divBdr>
        <w:top w:val="none" w:sz="0" w:space="0" w:color="auto"/>
        <w:left w:val="none" w:sz="0" w:space="0" w:color="auto"/>
        <w:bottom w:val="none" w:sz="0" w:space="0" w:color="auto"/>
        <w:right w:val="none" w:sz="0" w:space="0" w:color="auto"/>
      </w:divBdr>
      <w:divsChild>
        <w:div w:id="326792036">
          <w:marLeft w:val="0"/>
          <w:marRight w:val="0"/>
          <w:marTop w:val="0"/>
          <w:marBottom w:val="0"/>
          <w:divBdr>
            <w:top w:val="none" w:sz="0" w:space="0" w:color="auto"/>
            <w:left w:val="none" w:sz="0" w:space="0" w:color="auto"/>
            <w:bottom w:val="none" w:sz="0" w:space="0" w:color="auto"/>
            <w:right w:val="none" w:sz="0" w:space="0" w:color="auto"/>
          </w:divBdr>
        </w:div>
        <w:div w:id="1663662324">
          <w:marLeft w:val="0"/>
          <w:marRight w:val="0"/>
          <w:marTop w:val="0"/>
          <w:marBottom w:val="0"/>
          <w:divBdr>
            <w:top w:val="none" w:sz="0" w:space="0" w:color="auto"/>
            <w:left w:val="none" w:sz="0" w:space="0" w:color="auto"/>
            <w:bottom w:val="none" w:sz="0" w:space="0" w:color="auto"/>
            <w:right w:val="none" w:sz="0" w:space="0" w:color="auto"/>
          </w:divBdr>
        </w:div>
      </w:divsChild>
    </w:div>
    <w:div w:id="1555504657">
      <w:bodyDiv w:val="1"/>
      <w:marLeft w:val="0"/>
      <w:marRight w:val="0"/>
      <w:marTop w:val="0"/>
      <w:marBottom w:val="0"/>
      <w:divBdr>
        <w:top w:val="none" w:sz="0" w:space="0" w:color="auto"/>
        <w:left w:val="none" w:sz="0" w:space="0" w:color="auto"/>
        <w:bottom w:val="none" w:sz="0" w:space="0" w:color="auto"/>
        <w:right w:val="none" w:sz="0" w:space="0" w:color="auto"/>
      </w:divBdr>
    </w:div>
    <w:div w:id="1556041477">
      <w:bodyDiv w:val="1"/>
      <w:marLeft w:val="0"/>
      <w:marRight w:val="0"/>
      <w:marTop w:val="0"/>
      <w:marBottom w:val="0"/>
      <w:divBdr>
        <w:top w:val="none" w:sz="0" w:space="0" w:color="auto"/>
        <w:left w:val="none" w:sz="0" w:space="0" w:color="auto"/>
        <w:bottom w:val="none" w:sz="0" w:space="0" w:color="auto"/>
        <w:right w:val="none" w:sz="0" w:space="0" w:color="auto"/>
      </w:divBdr>
      <w:divsChild>
        <w:div w:id="735854565">
          <w:marLeft w:val="0"/>
          <w:marRight w:val="0"/>
          <w:marTop w:val="0"/>
          <w:marBottom w:val="0"/>
          <w:divBdr>
            <w:top w:val="none" w:sz="0" w:space="0" w:color="auto"/>
            <w:left w:val="none" w:sz="0" w:space="0" w:color="auto"/>
            <w:bottom w:val="none" w:sz="0" w:space="0" w:color="auto"/>
            <w:right w:val="none" w:sz="0" w:space="0" w:color="auto"/>
          </w:divBdr>
        </w:div>
        <w:div w:id="971053956">
          <w:marLeft w:val="0"/>
          <w:marRight w:val="0"/>
          <w:marTop w:val="0"/>
          <w:marBottom w:val="0"/>
          <w:divBdr>
            <w:top w:val="none" w:sz="0" w:space="0" w:color="auto"/>
            <w:left w:val="none" w:sz="0" w:space="0" w:color="auto"/>
            <w:bottom w:val="none" w:sz="0" w:space="0" w:color="auto"/>
            <w:right w:val="none" w:sz="0" w:space="0" w:color="auto"/>
          </w:divBdr>
        </w:div>
      </w:divsChild>
    </w:div>
    <w:div w:id="1560094377">
      <w:bodyDiv w:val="1"/>
      <w:marLeft w:val="0"/>
      <w:marRight w:val="0"/>
      <w:marTop w:val="0"/>
      <w:marBottom w:val="0"/>
      <w:divBdr>
        <w:top w:val="none" w:sz="0" w:space="0" w:color="auto"/>
        <w:left w:val="none" w:sz="0" w:space="0" w:color="auto"/>
        <w:bottom w:val="none" w:sz="0" w:space="0" w:color="auto"/>
        <w:right w:val="none" w:sz="0" w:space="0" w:color="auto"/>
      </w:divBdr>
      <w:divsChild>
        <w:div w:id="632490858">
          <w:marLeft w:val="0"/>
          <w:marRight w:val="0"/>
          <w:marTop w:val="0"/>
          <w:marBottom w:val="0"/>
          <w:divBdr>
            <w:top w:val="none" w:sz="0" w:space="0" w:color="auto"/>
            <w:left w:val="none" w:sz="0" w:space="0" w:color="auto"/>
            <w:bottom w:val="none" w:sz="0" w:space="0" w:color="auto"/>
            <w:right w:val="none" w:sz="0" w:space="0" w:color="auto"/>
          </w:divBdr>
        </w:div>
        <w:div w:id="1167790831">
          <w:marLeft w:val="0"/>
          <w:marRight w:val="0"/>
          <w:marTop w:val="0"/>
          <w:marBottom w:val="0"/>
          <w:divBdr>
            <w:top w:val="none" w:sz="0" w:space="0" w:color="auto"/>
            <w:left w:val="none" w:sz="0" w:space="0" w:color="auto"/>
            <w:bottom w:val="none" w:sz="0" w:space="0" w:color="auto"/>
            <w:right w:val="none" w:sz="0" w:space="0" w:color="auto"/>
          </w:divBdr>
          <w:divsChild>
            <w:div w:id="136607894">
              <w:marLeft w:val="0"/>
              <w:marRight w:val="0"/>
              <w:marTop w:val="0"/>
              <w:marBottom w:val="0"/>
              <w:divBdr>
                <w:top w:val="none" w:sz="0" w:space="0" w:color="auto"/>
                <w:left w:val="none" w:sz="0" w:space="0" w:color="auto"/>
                <w:bottom w:val="none" w:sz="0" w:space="0" w:color="auto"/>
                <w:right w:val="none" w:sz="0" w:space="0" w:color="auto"/>
              </w:divBdr>
            </w:div>
            <w:div w:id="1674992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1163036">
      <w:bodyDiv w:val="1"/>
      <w:marLeft w:val="0"/>
      <w:marRight w:val="0"/>
      <w:marTop w:val="0"/>
      <w:marBottom w:val="0"/>
      <w:divBdr>
        <w:top w:val="none" w:sz="0" w:space="0" w:color="auto"/>
        <w:left w:val="none" w:sz="0" w:space="0" w:color="auto"/>
        <w:bottom w:val="none" w:sz="0" w:space="0" w:color="auto"/>
        <w:right w:val="none" w:sz="0" w:space="0" w:color="auto"/>
      </w:divBdr>
    </w:div>
    <w:div w:id="1565949179">
      <w:bodyDiv w:val="1"/>
      <w:marLeft w:val="0"/>
      <w:marRight w:val="0"/>
      <w:marTop w:val="0"/>
      <w:marBottom w:val="0"/>
      <w:divBdr>
        <w:top w:val="none" w:sz="0" w:space="0" w:color="auto"/>
        <w:left w:val="none" w:sz="0" w:space="0" w:color="auto"/>
        <w:bottom w:val="none" w:sz="0" w:space="0" w:color="auto"/>
        <w:right w:val="none" w:sz="0" w:space="0" w:color="auto"/>
      </w:divBdr>
      <w:divsChild>
        <w:div w:id="390353007">
          <w:marLeft w:val="0"/>
          <w:marRight w:val="0"/>
          <w:marTop w:val="0"/>
          <w:marBottom w:val="0"/>
          <w:divBdr>
            <w:top w:val="none" w:sz="0" w:space="0" w:color="auto"/>
            <w:left w:val="none" w:sz="0" w:space="0" w:color="auto"/>
            <w:bottom w:val="none" w:sz="0" w:space="0" w:color="auto"/>
            <w:right w:val="none" w:sz="0" w:space="0" w:color="auto"/>
          </w:divBdr>
        </w:div>
        <w:div w:id="1119683631">
          <w:marLeft w:val="0"/>
          <w:marRight w:val="0"/>
          <w:marTop w:val="0"/>
          <w:marBottom w:val="0"/>
          <w:divBdr>
            <w:top w:val="none" w:sz="0" w:space="0" w:color="auto"/>
            <w:left w:val="none" w:sz="0" w:space="0" w:color="auto"/>
            <w:bottom w:val="none" w:sz="0" w:space="0" w:color="auto"/>
            <w:right w:val="none" w:sz="0" w:space="0" w:color="auto"/>
          </w:divBdr>
        </w:div>
      </w:divsChild>
    </w:div>
    <w:div w:id="1566447516">
      <w:bodyDiv w:val="1"/>
      <w:marLeft w:val="0"/>
      <w:marRight w:val="0"/>
      <w:marTop w:val="0"/>
      <w:marBottom w:val="0"/>
      <w:divBdr>
        <w:top w:val="none" w:sz="0" w:space="0" w:color="auto"/>
        <w:left w:val="none" w:sz="0" w:space="0" w:color="auto"/>
        <w:bottom w:val="none" w:sz="0" w:space="0" w:color="auto"/>
        <w:right w:val="none" w:sz="0" w:space="0" w:color="auto"/>
      </w:divBdr>
      <w:divsChild>
        <w:div w:id="51195211">
          <w:marLeft w:val="0"/>
          <w:marRight w:val="0"/>
          <w:marTop w:val="0"/>
          <w:marBottom w:val="0"/>
          <w:divBdr>
            <w:top w:val="none" w:sz="0" w:space="0" w:color="auto"/>
            <w:left w:val="none" w:sz="0" w:space="0" w:color="auto"/>
            <w:bottom w:val="none" w:sz="0" w:space="0" w:color="auto"/>
            <w:right w:val="none" w:sz="0" w:space="0" w:color="auto"/>
          </w:divBdr>
        </w:div>
        <w:div w:id="227109914">
          <w:marLeft w:val="0"/>
          <w:marRight w:val="0"/>
          <w:marTop w:val="0"/>
          <w:marBottom w:val="0"/>
          <w:divBdr>
            <w:top w:val="none" w:sz="0" w:space="0" w:color="auto"/>
            <w:left w:val="none" w:sz="0" w:space="0" w:color="auto"/>
            <w:bottom w:val="none" w:sz="0" w:space="0" w:color="auto"/>
            <w:right w:val="none" w:sz="0" w:space="0" w:color="auto"/>
          </w:divBdr>
        </w:div>
        <w:div w:id="657808978">
          <w:marLeft w:val="0"/>
          <w:marRight w:val="0"/>
          <w:marTop w:val="0"/>
          <w:marBottom w:val="0"/>
          <w:divBdr>
            <w:top w:val="none" w:sz="0" w:space="0" w:color="auto"/>
            <w:left w:val="none" w:sz="0" w:space="0" w:color="auto"/>
            <w:bottom w:val="none" w:sz="0" w:space="0" w:color="auto"/>
            <w:right w:val="none" w:sz="0" w:space="0" w:color="auto"/>
          </w:divBdr>
        </w:div>
        <w:div w:id="820149192">
          <w:marLeft w:val="0"/>
          <w:marRight w:val="0"/>
          <w:marTop w:val="0"/>
          <w:marBottom w:val="0"/>
          <w:divBdr>
            <w:top w:val="none" w:sz="0" w:space="0" w:color="auto"/>
            <w:left w:val="none" w:sz="0" w:space="0" w:color="auto"/>
            <w:bottom w:val="none" w:sz="0" w:space="0" w:color="auto"/>
            <w:right w:val="none" w:sz="0" w:space="0" w:color="auto"/>
          </w:divBdr>
        </w:div>
        <w:div w:id="1155495178">
          <w:marLeft w:val="0"/>
          <w:marRight w:val="0"/>
          <w:marTop w:val="0"/>
          <w:marBottom w:val="0"/>
          <w:divBdr>
            <w:top w:val="none" w:sz="0" w:space="0" w:color="auto"/>
            <w:left w:val="none" w:sz="0" w:space="0" w:color="auto"/>
            <w:bottom w:val="none" w:sz="0" w:space="0" w:color="auto"/>
            <w:right w:val="none" w:sz="0" w:space="0" w:color="auto"/>
          </w:divBdr>
        </w:div>
      </w:divsChild>
    </w:div>
    <w:div w:id="1583753072">
      <w:bodyDiv w:val="1"/>
      <w:marLeft w:val="0"/>
      <w:marRight w:val="0"/>
      <w:marTop w:val="0"/>
      <w:marBottom w:val="0"/>
      <w:divBdr>
        <w:top w:val="none" w:sz="0" w:space="0" w:color="auto"/>
        <w:left w:val="none" w:sz="0" w:space="0" w:color="auto"/>
        <w:bottom w:val="none" w:sz="0" w:space="0" w:color="auto"/>
        <w:right w:val="none" w:sz="0" w:space="0" w:color="auto"/>
      </w:divBdr>
      <w:divsChild>
        <w:div w:id="263194162">
          <w:marLeft w:val="0"/>
          <w:marRight w:val="0"/>
          <w:marTop w:val="0"/>
          <w:marBottom w:val="0"/>
          <w:divBdr>
            <w:top w:val="none" w:sz="0" w:space="0" w:color="auto"/>
            <w:left w:val="none" w:sz="0" w:space="0" w:color="auto"/>
            <w:bottom w:val="none" w:sz="0" w:space="0" w:color="auto"/>
            <w:right w:val="none" w:sz="0" w:space="0" w:color="auto"/>
          </w:divBdr>
        </w:div>
        <w:div w:id="857233537">
          <w:marLeft w:val="0"/>
          <w:marRight w:val="0"/>
          <w:marTop w:val="0"/>
          <w:marBottom w:val="0"/>
          <w:divBdr>
            <w:top w:val="none" w:sz="0" w:space="0" w:color="auto"/>
            <w:left w:val="none" w:sz="0" w:space="0" w:color="auto"/>
            <w:bottom w:val="none" w:sz="0" w:space="0" w:color="auto"/>
            <w:right w:val="none" w:sz="0" w:space="0" w:color="auto"/>
          </w:divBdr>
        </w:div>
      </w:divsChild>
    </w:div>
    <w:div w:id="1588811248">
      <w:bodyDiv w:val="1"/>
      <w:marLeft w:val="0"/>
      <w:marRight w:val="0"/>
      <w:marTop w:val="0"/>
      <w:marBottom w:val="0"/>
      <w:divBdr>
        <w:top w:val="none" w:sz="0" w:space="0" w:color="auto"/>
        <w:left w:val="none" w:sz="0" w:space="0" w:color="auto"/>
        <w:bottom w:val="none" w:sz="0" w:space="0" w:color="auto"/>
        <w:right w:val="none" w:sz="0" w:space="0" w:color="auto"/>
      </w:divBdr>
      <w:divsChild>
        <w:div w:id="99767703">
          <w:marLeft w:val="0"/>
          <w:marRight w:val="0"/>
          <w:marTop w:val="0"/>
          <w:marBottom w:val="0"/>
          <w:divBdr>
            <w:top w:val="none" w:sz="0" w:space="0" w:color="auto"/>
            <w:left w:val="none" w:sz="0" w:space="0" w:color="auto"/>
            <w:bottom w:val="none" w:sz="0" w:space="0" w:color="auto"/>
            <w:right w:val="none" w:sz="0" w:space="0" w:color="auto"/>
          </w:divBdr>
        </w:div>
        <w:div w:id="694233964">
          <w:marLeft w:val="0"/>
          <w:marRight w:val="0"/>
          <w:marTop w:val="0"/>
          <w:marBottom w:val="0"/>
          <w:divBdr>
            <w:top w:val="none" w:sz="0" w:space="0" w:color="auto"/>
            <w:left w:val="none" w:sz="0" w:space="0" w:color="auto"/>
            <w:bottom w:val="none" w:sz="0" w:space="0" w:color="auto"/>
            <w:right w:val="none" w:sz="0" w:space="0" w:color="auto"/>
          </w:divBdr>
        </w:div>
      </w:divsChild>
    </w:div>
    <w:div w:id="1591812683">
      <w:bodyDiv w:val="1"/>
      <w:marLeft w:val="0"/>
      <w:marRight w:val="0"/>
      <w:marTop w:val="0"/>
      <w:marBottom w:val="0"/>
      <w:divBdr>
        <w:top w:val="none" w:sz="0" w:space="0" w:color="auto"/>
        <w:left w:val="none" w:sz="0" w:space="0" w:color="auto"/>
        <w:bottom w:val="none" w:sz="0" w:space="0" w:color="auto"/>
        <w:right w:val="none" w:sz="0" w:space="0" w:color="auto"/>
      </w:divBdr>
      <w:divsChild>
        <w:div w:id="67506963">
          <w:marLeft w:val="0"/>
          <w:marRight w:val="0"/>
          <w:marTop w:val="0"/>
          <w:marBottom w:val="0"/>
          <w:divBdr>
            <w:top w:val="none" w:sz="0" w:space="0" w:color="auto"/>
            <w:left w:val="none" w:sz="0" w:space="0" w:color="auto"/>
            <w:bottom w:val="none" w:sz="0" w:space="0" w:color="auto"/>
            <w:right w:val="none" w:sz="0" w:space="0" w:color="auto"/>
          </w:divBdr>
        </w:div>
        <w:div w:id="731662111">
          <w:marLeft w:val="0"/>
          <w:marRight w:val="0"/>
          <w:marTop w:val="0"/>
          <w:marBottom w:val="0"/>
          <w:divBdr>
            <w:top w:val="none" w:sz="0" w:space="0" w:color="auto"/>
            <w:left w:val="none" w:sz="0" w:space="0" w:color="auto"/>
            <w:bottom w:val="none" w:sz="0" w:space="0" w:color="auto"/>
            <w:right w:val="none" w:sz="0" w:space="0" w:color="auto"/>
          </w:divBdr>
        </w:div>
      </w:divsChild>
    </w:div>
    <w:div w:id="1593735514">
      <w:bodyDiv w:val="1"/>
      <w:marLeft w:val="0"/>
      <w:marRight w:val="0"/>
      <w:marTop w:val="0"/>
      <w:marBottom w:val="0"/>
      <w:divBdr>
        <w:top w:val="none" w:sz="0" w:space="0" w:color="auto"/>
        <w:left w:val="none" w:sz="0" w:space="0" w:color="auto"/>
        <w:bottom w:val="none" w:sz="0" w:space="0" w:color="auto"/>
        <w:right w:val="none" w:sz="0" w:space="0" w:color="auto"/>
      </w:divBdr>
    </w:div>
    <w:div w:id="1596592605">
      <w:bodyDiv w:val="1"/>
      <w:marLeft w:val="0"/>
      <w:marRight w:val="0"/>
      <w:marTop w:val="0"/>
      <w:marBottom w:val="0"/>
      <w:divBdr>
        <w:top w:val="none" w:sz="0" w:space="0" w:color="auto"/>
        <w:left w:val="none" w:sz="0" w:space="0" w:color="auto"/>
        <w:bottom w:val="none" w:sz="0" w:space="0" w:color="auto"/>
        <w:right w:val="none" w:sz="0" w:space="0" w:color="auto"/>
      </w:divBdr>
    </w:div>
    <w:div w:id="1596669063">
      <w:bodyDiv w:val="1"/>
      <w:marLeft w:val="0"/>
      <w:marRight w:val="0"/>
      <w:marTop w:val="0"/>
      <w:marBottom w:val="0"/>
      <w:divBdr>
        <w:top w:val="none" w:sz="0" w:space="0" w:color="auto"/>
        <w:left w:val="none" w:sz="0" w:space="0" w:color="auto"/>
        <w:bottom w:val="none" w:sz="0" w:space="0" w:color="auto"/>
        <w:right w:val="none" w:sz="0" w:space="0" w:color="auto"/>
      </w:divBdr>
    </w:div>
    <w:div w:id="1599144685">
      <w:bodyDiv w:val="1"/>
      <w:marLeft w:val="0"/>
      <w:marRight w:val="0"/>
      <w:marTop w:val="0"/>
      <w:marBottom w:val="0"/>
      <w:divBdr>
        <w:top w:val="none" w:sz="0" w:space="0" w:color="auto"/>
        <w:left w:val="none" w:sz="0" w:space="0" w:color="auto"/>
        <w:bottom w:val="none" w:sz="0" w:space="0" w:color="auto"/>
        <w:right w:val="none" w:sz="0" w:space="0" w:color="auto"/>
      </w:divBdr>
      <w:divsChild>
        <w:div w:id="512839550">
          <w:marLeft w:val="0"/>
          <w:marRight w:val="0"/>
          <w:marTop w:val="0"/>
          <w:marBottom w:val="0"/>
          <w:divBdr>
            <w:top w:val="none" w:sz="0" w:space="0" w:color="auto"/>
            <w:left w:val="none" w:sz="0" w:space="0" w:color="auto"/>
            <w:bottom w:val="none" w:sz="0" w:space="0" w:color="auto"/>
            <w:right w:val="none" w:sz="0" w:space="0" w:color="auto"/>
          </w:divBdr>
        </w:div>
        <w:div w:id="645553258">
          <w:marLeft w:val="0"/>
          <w:marRight w:val="0"/>
          <w:marTop w:val="0"/>
          <w:marBottom w:val="0"/>
          <w:divBdr>
            <w:top w:val="none" w:sz="0" w:space="0" w:color="auto"/>
            <w:left w:val="none" w:sz="0" w:space="0" w:color="auto"/>
            <w:bottom w:val="none" w:sz="0" w:space="0" w:color="auto"/>
            <w:right w:val="none" w:sz="0" w:space="0" w:color="auto"/>
          </w:divBdr>
        </w:div>
        <w:div w:id="1422798365">
          <w:marLeft w:val="0"/>
          <w:marRight w:val="0"/>
          <w:marTop w:val="0"/>
          <w:marBottom w:val="0"/>
          <w:divBdr>
            <w:top w:val="none" w:sz="0" w:space="0" w:color="auto"/>
            <w:left w:val="none" w:sz="0" w:space="0" w:color="auto"/>
            <w:bottom w:val="none" w:sz="0" w:space="0" w:color="auto"/>
            <w:right w:val="none" w:sz="0" w:space="0" w:color="auto"/>
          </w:divBdr>
        </w:div>
      </w:divsChild>
    </w:div>
    <w:div w:id="1599799789">
      <w:bodyDiv w:val="1"/>
      <w:marLeft w:val="0"/>
      <w:marRight w:val="0"/>
      <w:marTop w:val="0"/>
      <w:marBottom w:val="0"/>
      <w:divBdr>
        <w:top w:val="none" w:sz="0" w:space="0" w:color="auto"/>
        <w:left w:val="none" w:sz="0" w:space="0" w:color="auto"/>
        <w:bottom w:val="none" w:sz="0" w:space="0" w:color="auto"/>
        <w:right w:val="none" w:sz="0" w:space="0" w:color="auto"/>
      </w:divBdr>
    </w:div>
    <w:div w:id="1601378167">
      <w:bodyDiv w:val="1"/>
      <w:marLeft w:val="0"/>
      <w:marRight w:val="0"/>
      <w:marTop w:val="0"/>
      <w:marBottom w:val="0"/>
      <w:divBdr>
        <w:top w:val="none" w:sz="0" w:space="0" w:color="auto"/>
        <w:left w:val="none" w:sz="0" w:space="0" w:color="auto"/>
        <w:bottom w:val="none" w:sz="0" w:space="0" w:color="auto"/>
        <w:right w:val="none" w:sz="0" w:space="0" w:color="auto"/>
      </w:divBdr>
    </w:div>
    <w:div w:id="1608929161">
      <w:bodyDiv w:val="1"/>
      <w:marLeft w:val="0"/>
      <w:marRight w:val="0"/>
      <w:marTop w:val="0"/>
      <w:marBottom w:val="0"/>
      <w:divBdr>
        <w:top w:val="none" w:sz="0" w:space="0" w:color="auto"/>
        <w:left w:val="none" w:sz="0" w:space="0" w:color="auto"/>
        <w:bottom w:val="none" w:sz="0" w:space="0" w:color="auto"/>
        <w:right w:val="none" w:sz="0" w:space="0" w:color="auto"/>
      </w:divBdr>
      <w:divsChild>
        <w:div w:id="714037347">
          <w:marLeft w:val="0"/>
          <w:marRight w:val="0"/>
          <w:marTop w:val="0"/>
          <w:marBottom w:val="0"/>
          <w:divBdr>
            <w:top w:val="none" w:sz="0" w:space="0" w:color="auto"/>
            <w:left w:val="none" w:sz="0" w:space="0" w:color="auto"/>
            <w:bottom w:val="none" w:sz="0" w:space="0" w:color="auto"/>
            <w:right w:val="none" w:sz="0" w:space="0" w:color="auto"/>
          </w:divBdr>
        </w:div>
        <w:div w:id="1573659026">
          <w:marLeft w:val="0"/>
          <w:marRight w:val="0"/>
          <w:marTop w:val="0"/>
          <w:marBottom w:val="0"/>
          <w:divBdr>
            <w:top w:val="none" w:sz="0" w:space="0" w:color="auto"/>
            <w:left w:val="none" w:sz="0" w:space="0" w:color="auto"/>
            <w:bottom w:val="none" w:sz="0" w:space="0" w:color="auto"/>
            <w:right w:val="none" w:sz="0" w:space="0" w:color="auto"/>
          </w:divBdr>
        </w:div>
      </w:divsChild>
    </w:div>
    <w:div w:id="1612123676">
      <w:bodyDiv w:val="1"/>
      <w:marLeft w:val="0"/>
      <w:marRight w:val="0"/>
      <w:marTop w:val="0"/>
      <w:marBottom w:val="0"/>
      <w:divBdr>
        <w:top w:val="none" w:sz="0" w:space="0" w:color="auto"/>
        <w:left w:val="none" w:sz="0" w:space="0" w:color="auto"/>
        <w:bottom w:val="none" w:sz="0" w:space="0" w:color="auto"/>
        <w:right w:val="none" w:sz="0" w:space="0" w:color="auto"/>
      </w:divBdr>
    </w:div>
    <w:div w:id="1618487693">
      <w:bodyDiv w:val="1"/>
      <w:marLeft w:val="0"/>
      <w:marRight w:val="0"/>
      <w:marTop w:val="0"/>
      <w:marBottom w:val="0"/>
      <w:divBdr>
        <w:top w:val="none" w:sz="0" w:space="0" w:color="auto"/>
        <w:left w:val="none" w:sz="0" w:space="0" w:color="auto"/>
        <w:bottom w:val="none" w:sz="0" w:space="0" w:color="auto"/>
        <w:right w:val="none" w:sz="0" w:space="0" w:color="auto"/>
      </w:divBdr>
    </w:div>
    <w:div w:id="1620141814">
      <w:bodyDiv w:val="1"/>
      <w:marLeft w:val="0"/>
      <w:marRight w:val="0"/>
      <w:marTop w:val="0"/>
      <w:marBottom w:val="0"/>
      <w:divBdr>
        <w:top w:val="none" w:sz="0" w:space="0" w:color="auto"/>
        <w:left w:val="none" w:sz="0" w:space="0" w:color="auto"/>
        <w:bottom w:val="none" w:sz="0" w:space="0" w:color="auto"/>
        <w:right w:val="none" w:sz="0" w:space="0" w:color="auto"/>
      </w:divBdr>
    </w:div>
    <w:div w:id="1622834578">
      <w:bodyDiv w:val="1"/>
      <w:marLeft w:val="0"/>
      <w:marRight w:val="0"/>
      <w:marTop w:val="0"/>
      <w:marBottom w:val="0"/>
      <w:divBdr>
        <w:top w:val="none" w:sz="0" w:space="0" w:color="auto"/>
        <w:left w:val="none" w:sz="0" w:space="0" w:color="auto"/>
        <w:bottom w:val="none" w:sz="0" w:space="0" w:color="auto"/>
        <w:right w:val="none" w:sz="0" w:space="0" w:color="auto"/>
      </w:divBdr>
      <w:divsChild>
        <w:div w:id="465440388">
          <w:marLeft w:val="0"/>
          <w:marRight w:val="0"/>
          <w:marTop w:val="0"/>
          <w:marBottom w:val="0"/>
          <w:divBdr>
            <w:top w:val="none" w:sz="0" w:space="0" w:color="auto"/>
            <w:left w:val="none" w:sz="0" w:space="0" w:color="auto"/>
            <w:bottom w:val="none" w:sz="0" w:space="0" w:color="auto"/>
            <w:right w:val="none" w:sz="0" w:space="0" w:color="auto"/>
          </w:divBdr>
        </w:div>
        <w:div w:id="1050613836">
          <w:marLeft w:val="0"/>
          <w:marRight w:val="0"/>
          <w:marTop w:val="0"/>
          <w:marBottom w:val="0"/>
          <w:divBdr>
            <w:top w:val="none" w:sz="0" w:space="0" w:color="auto"/>
            <w:left w:val="none" w:sz="0" w:space="0" w:color="auto"/>
            <w:bottom w:val="none" w:sz="0" w:space="0" w:color="auto"/>
            <w:right w:val="none" w:sz="0" w:space="0" w:color="auto"/>
          </w:divBdr>
        </w:div>
      </w:divsChild>
    </w:div>
    <w:div w:id="1625311952">
      <w:bodyDiv w:val="1"/>
      <w:marLeft w:val="0"/>
      <w:marRight w:val="0"/>
      <w:marTop w:val="0"/>
      <w:marBottom w:val="0"/>
      <w:divBdr>
        <w:top w:val="none" w:sz="0" w:space="0" w:color="auto"/>
        <w:left w:val="none" w:sz="0" w:space="0" w:color="auto"/>
        <w:bottom w:val="none" w:sz="0" w:space="0" w:color="auto"/>
        <w:right w:val="none" w:sz="0" w:space="0" w:color="auto"/>
      </w:divBdr>
    </w:div>
    <w:div w:id="1629697026">
      <w:bodyDiv w:val="1"/>
      <w:marLeft w:val="0"/>
      <w:marRight w:val="0"/>
      <w:marTop w:val="0"/>
      <w:marBottom w:val="0"/>
      <w:divBdr>
        <w:top w:val="none" w:sz="0" w:space="0" w:color="auto"/>
        <w:left w:val="none" w:sz="0" w:space="0" w:color="auto"/>
        <w:bottom w:val="none" w:sz="0" w:space="0" w:color="auto"/>
        <w:right w:val="none" w:sz="0" w:space="0" w:color="auto"/>
      </w:divBdr>
      <w:divsChild>
        <w:div w:id="102385655">
          <w:marLeft w:val="0"/>
          <w:marRight w:val="0"/>
          <w:marTop w:val="0"/>
          <w:marBottom w:val="0"/>
          <w:divBdr>
            <w:top w:val="none" w:sz="0" w:space="0" w:color="auto"/>
            <w:left w:val="none" w:sz="0" w:space="0" w:color="auto"/>
            <w:bottom w:val="none" w:sz="0" w:space="0" w:color="auto"/>
            <w:right w:val="none" w:sz="0" w:space="0" w:color="auto"/>
          </w:divBdr>
        </w:div>
        <w:div w:id="416245821">
          <w:marLeft w:val="0"/>
          <w:marRight w:val="0"/>
          <w:marTop w:val="0"/>
          <w:marBottom w:val="0"/>
          <w:divBdr>
            <w:top w:val="none" w:sz="0" w:space="0" w:color="auto"/>
            <w:left w:val="none" w:sz="0" w:space="0" w:color="auto"/>
            <w:bottom w:val="none" w:sz="0" w:space="0" w:color="auto"/>
            <w:right w:val="none" w:sz="0" w:space="0" w:color="auto"/>
          </w:divBdr>
        </w:div>
        <w:div w:id="1144618460">
          <w:marLeft w:val="0"/>
          <w:marRight w:val="0"/>
          <w:marTop w:val="0"/>
          <w:marBottom w:val="0"/>
          <w:divBdr>
            <w:top w:val="none" w:sz="0" w:space="0" w:color="auto"/>
            <w:left w:val="none" w:sz="0" w:space="0" w:color="auto"/>
            <w:bottom w:val="none" w:sz="0" w:space="0" w:color="auto"/>
            <w:right w:val="none" w:sz="0" w:space="0" w:color="auto"/>
          </w:divBdr>
        </w:div>
      </w:divsChild>
    </w:div>
    <w:div w:id="1646813393">
      <w:bodyDiv w:val="1"/>
      <w:marLeft w:val="0"/>
      <w:marRight w:val="0"/>
      <w:marTop w:val="0"/>
      <w:marBottom w:val="0"/>
      <w:divBdr>
        <w:top w:val="none" w:sz="0" w:space="0" w:color="auto"/>
        <w:left w:val="none" w:sz="0" w:space="0" w:color="auto"/>
        <w:bottom w:val="none" w:sz="0" w:space="0" w:color="auto"/>
        <w:right w:val="none" w:sz="0" w:space="0" w:color="auto"/>
      </w:divBdr>
    </w:div>
    <w:div w:id="1647006059">
      <w:bodyDiv w:val="1"/>
      <w:marLeft w:val="0"/>
      <w:marRight w:val="0"/>
      <w:marTop w:val="0"/>
      <w:marBottom w:val="0"/>
      <w:divBdr>
        <w:top w:val="none" w:sz="0" w:space="0" w:color="auto"/>
        <w:left w:val="none" w:sz="0" w:space="0" w:color="auto"/>
        <w:bottom w:val="none" w:sz="0" w:space="0" w:color="auto"/>
        <w:right w:val="none" w:sz="0" w:space="0" w:color="auto"/>
      </w:divBdr>
      <w:divsChild>
        <w:div w:id="4939032">
          <w:marLeft w:val="0"/>
          <w:marRight w:val="0"/>
          <w:marTop w:val="0"/>
          <w:marBottom w:val="0"/>
          <w:divBdr>
            <w:top w:val="none" w:sz="0" w:space="0" w:color="auto"/>
            <w:left w:val="none" w:sz="0" w:space="0" w:color="auto"/>
            <w:bottom w:val="none" w:sz="0" w:space="0" w:color="auto"/>
            <w:right w:val="none" w:sz="0" w:space="0" w:color="auto"/>
          </w:divBdr>
        </w:div>
        <w:div w:id="323169325">
          <w:marLeft w:val="0"/>
          <w:marRight w:val="0"/>
          <w:marTop w:val="0"/>
          <w:marBottom w:val="0"/>
          <w:divBdr>
            <w:top w:val="none" w:sz="0" w:space="0" w:color="auto"/>
            <w:left w:val="none" w:sz="0" w:space="0" w:color="auto"/>
            <w:bottom w:val="none" w:sz="0" w:space="0" w:color="auto"/>
            <w:right w:val="none" w:sz="0" w:space="0" w:color="auto"/>
          </w:divBdr>
        </w:div>
      </w:divsChild>
    </w:div>
    <w:div w:id="1647274237">
      <w:bodyDiv w:val="1"/>
      <w:marLeft w:val="0"/>
      <w:marRight w:val="0"/>
      <w:marTop w:val="0"/>
      <w:marBottom w:val="0"/>
      <w:divBdr>
        <w:top w:val="none" w:sz="0" w:space="0" w:color="auto"/>
        <w:left w:val="none" w:sz="0" w:space="0" w:color="auto"/>
        <w:bottom w:val="none" w:sz="0" w:space="0" w:color="auto"/>
        <w:right w:val="none" w:sz="0" w:space="0" w:color="auto"/>
      </w:divBdr>
    </w:div>
    <w:div w:id="1653100682">
      <w:bodyDiv w:val="1"/>
      <w:marLeft w:val="0"/>
      <w:marRight w:val="0"/>
      <w:marTop w:val="0"/>
      <w:marBottom w:val="0"/>
      <w:divBdr>
        <w:top w:val="none" w:sz="0" w:space="0" w:color="auto"/>
        <w:left w:val="none" w:sz="0" w:space="0" w:color="auto"/>
        <w:bottom w:val="none" w:sz="0" w:space="0" w:color="auto"/>
        <w:right w:val="none" w:sz="0" w:space="0" w:color="auto"/>
      </w:divBdr>
    </w:div>
    <w:div w:id="1655912486">
      <w:bodyDiv w:val="1"/>
      <w:marLeft w:val="0"/>
      <w:marRight w:val="0"/>
      <w:marTop w:val="0"/>
      <w:marBottom w:val="0"/>
      <w:divBdr>
        <w:top w:val="none" w:sz="0" w:space="0" w:color="auto"/>
        <w:left w:val="none" w:sz="0" w:space="0" w:color="auto"/>
        <w:bottom w:val="none" w:sz="0" w:space="0" w:color="auto"/>
        <w:right w:val="none" w:sz="0" w:space="0" w:color="auto"/>
      </w:divBdr>
      <w:divsChild>
        <w:div w:id="309403723">
          <w:marLeft w:val="0"/>
          <w:marRight w:val="0"/>
          <w:marTop w:val="0"/>
          <w:marBottom w:val="0"/>
          <w:divBdr>
            <w:top w:val="none" w:sz="0" w:space="0" w:color="auto"/>
            <w:left w:val="none" w:sz="0" w:space="0" w:color="auto"/>
            <w:bottom w:val="none" w:sz="0" w:space="0" w:color="auto"/>
            <w:right w:val="none" w:sz="0" w:space="0" w:color="auto"/>
          </w:divBdr>
        </w:div>
      </w:divsChild>
    </w:div>
    <w:div w:id="1662733407">
      <w:bodyDiv w:val="1"/>
      <w:marLeft w:val="0"/>
      <w:marRight w:val="0"/>
      <w:marTop w:val="0"/>
      <w:marBottom w:val="0"/>
      <w:divBdr>
        <w:top w:val="none" w:sz="0" w:space="0" w:color="auto"/>
        <w:left w:val="none" w:sz="0" w:space="0" w:color="auto"/>
        <w:bottom w:val="none" w:sz="0" w:space="0" w:color="auto"/>
        <w:right w:val="none" w:sz="0" w:space="0" w:color="auto"/>
      </w:divBdr>
    </w:div>
    <w:div w:id="1675690610">
      <w:bodyDiv w:val="1"/>
      <w:marLeft w:val="0"/>
      <w:marRight w:val="0"/>
      <w:marTop w:val="0"/>
      <w:marBottom w:val="0"/>
      <w:divBdr>
        <w:top w:val="none" w:sz="0" w:space="0" w:color="auto"/>
        <w:left w:val="none" w:sz="0" w:space="0" w:color="auto"/>
        <w:bottom w:val="none" w:sz="0" w:space="0" w:color="auto"/>
        <w:right w:val="none" w:sz="0" w:space="0" w:color="auto"/>
      </w:divBdr>
    </w:div>
    <w:div w:id="1679768513">
      <w:bodyDiv w:val="1"/>
      <w:marLeft w:val="0"/>
      <w:marRight w:val="0"/>
      <w:marTop w:val="0"/>
      <w:marBottom w:val="0"/>
      <w:divBdr>
        <w:top w:val="none" w:sz="0" w:space="0" w:color="auto"/>
        <w:left w:val="none" w:sz="0" w:space="0" w:color="auto"/>
        <w:bottom w:val="none" w:sz="0" w:space="0" w:color="auto"/>
        <w:right w:val="none" w:sz="0" w:space="0" w:color="auto"/>
      </w:divBdr>
      <w:divsChild>
        <w:div w:id="1638449">
          <w:marLeft w:val="0"/>
          <w:marRight w:val="0"/>
          <w:marTop w:val="0"/>
          <w:marBottom w:val="0"/>
          <w:divBdr>
            <w:top w:val="none" w:sz="0" w:space="0" w:color="auto"/>
            <w:left w:val="none" w:sz="0" w:space="0" w:color="auto"/>
            <w:bottom w:val="none" w:sz="0" w:space="0" w:color="auto"/>
            <w:right w:val="none" w:sz="0" w:space="0" w:color="auto"/>
          </w:divBdr>
        </w:div>
        <w:div w:id="1852525173">
          <w:marLeft w:val="0"/>
          <w:marRight w:val="0"/>
          <w:marTop w:val="0"/>
          <w:marBottom w:val="0"/>
          <w:divBdr>
            <w:top w:val="none" w:sz="0" w:space="0" w:color="auto"/>
            <w:left w:val="none" w:sz="0" w:space="0" w:color="auto"/>
            <w:bottom w:val="none" w:sz="0" w:space="0" w:color="auto"/>
            <w:right w:val="none" w:sz="0" w:space="0" w:color="auto"/>
          </w:divBdr>
        </w:div>
      </w:divsChild>
    </w:div>
    <w:div w:id="1680814958">
      <w:bodyDiv w:val="1"/>
      <w:marLeft w:val="0"/>
      <w:marRight w:val="0"/>
      <w:marTop w:val="0"/>
      <w:marBottom w:val="0"/>
      <w:divBdr>
        <w:top w:val="none" w:sz="0" w:space="0" w:color="auto"/>
        <w:left w:val="none" w:sz="0" w:space="0" w:color="auto"/>
        <w:bottom w:val="none" w:sz="0" w:space="0" w:color="auto"/>
        <w:right w:val="none" w:sz="0" w:space="0" w:color="auto"/>
      </w:divBdr>
      <w:divsChild>
        <w:div w:id="1063406009">
          <w:marLeft w:val="0"/>
          <w:marRight w:val="0"/>
          <w:marTop w:val="0"/>
          <w:marBottom w:val="0"/>
          <w:divBdr>
            <w:top w:val="none" w:sz="0" w:space="0" w:color="auto"/>
            <w:left w:val="none" w:sz="0" w:space="0" w:color="auto"/>
            <w:bottom w:val="none" w:sz="0" w:space="0" w:color="auto"/>
            <w:right w:val="none" w:sz="0" w:space="0" w:color="auto"/>
          </w:divBdr>
        </w:div>
        <w:div w:id="2141456022">
          <w:marLeft w:val="0"/>
          <w:marRight w:val="0"/>
          <w:marTop w:val="0"/>
          <w:marBottom w:val="0"/>
          <w:divBdr>
            <w:top w:val="none" w:sz="0" w:space="0" w:color="auto"/>
            <w:left w:val="none" w:sz="0" w:space="0" w:color="auto"/>
            <w:bottom w:val="none" w:sz="0" w:space="0" w:color="auto"/>
            <w:right w:val="none" w:sz="0" w:space="0" w:color="auto"/>
          </w:divBdr>
        </w:div>
      </w:divsChild>
    </w:div>
    <w:div w:id="1685086169">
      <w:bodyDiv w:val="1"/>
      <w:marLeft w:val="0"/>
      <w:marRight w:val="0"/>
      <w:marTop w:val="0"/>
      <w:marBottom w:val="0"/>
      <w:divBdr>
        <w:top w:val="none" w:sz="0" w:space="0" w:color="auto"/>
        <w:left w:val="none" w:sz="0" w:space="0" w:color="auto"/>
        <w:bottom w:val="none" w:sz="0" w:space="0" w:color="auto"/>
        <w:right w:val="none" w:sz="0" w:space="0" w:color="auto"/>
      </w:divBdr>
    </w:div>
    <w:div w:id="1692488030">
      <w:bodyDiv w:val="1"/>
      <w:marLeft w:val="0"/>
      <w:marRight w:val="0"/>
      <w:marTop w:val="0"/>
      <w:marBottom w:val="0"/>
      <w:divBdr>
        <w:top w:val="none" w:sz="0" w:space="0" w:color="auto"/>
        <w:left w:val="none" w:sz="0" w:space="0" w:color="auto"/>
        <w:bottom w:val="none" w:sz="0" w:space="0" w:color="auto"/>
        <w:right w:val="none" w:sz="0" w:space="0" w:color="auto"/>
      </w:divBdr>
      <w:divsChild>
        <w:div w:id="47385222">
          <w:marLeft w:val="0"/>
          <w:marRight w:val="0"/>
          <w:marTop w:val="0"/>
          <w:marBottom w:val="0"/>
          <w:divBdr>
            <w:top w:val="none" w:sz="0" w:space="0" w:color="auto"/>
            <w:left w:val="none" w:sz="0" w:space="0" w:color="auto"/>
            <w:bottom w:val="none" w:sz="0" w:space="0" w:color="auto"/>
            <w:right w:val="none" w:sz="0" w:space="0" w:color="auto"/>
          </w:divBdr>
        </w:div>
        <w:div w:id="805129311">
          <w:marLeft w:val="0"/>
          <w:marRight w:val="0"/>
          <w:marTop w:val="0"/>
          <w:marBottom w:val="0"/>
          <w:divBdr>
            <w:top w:val="none" w:sz="0" w:space="0" w:color="auto"/>
            <w:left w:val="none" w:sz="0" w:space="0" w:color="auto"/>
            <w:bottom w:val="none" w:sz="0" w:space="0" w:color="auto"/>
            <w:right w:val="none" w:sz="0" w:space="0" w:color="auto"/>
          </w:divBdr>
        </w:div>
        <w:div w:id="845098821">
          <w:marLeft w:val="0"/>
          <w:marRight w:val="0"/>
          <w:marTop w:val="0"/>
          <w:marBottom w:val="0"/>
          <w:divBdr>
            <w:top w:val="none" w:sz="0" w:space="0" w:color="auto"/>
            <w:left w:val="none" w:sz="0" w:space="0" w:color="auto"/>
            <w:bottom w:val="none" w:sz="0" w:space="0" w:color="auto"/>
            <w:right w:val="none" w:sz="0" w:space="0" w:color="auto"/>
          </w:divBdr>
        </w:div>
      </w:divsChild>
    </w:div>
    <w:div w:id="1694382692">
      <w:bodyDiv w:val="1"/>
      <w:marLeft w:val="0"/>
      <w:marRight w:val="0"/>
      <w:marTop w:val="0"/>
      <w:marBottom w:val="0"/>
      <w:divBdr>
        <w:top w:val="none" w:sz="0" w:space="0" w:color="auto"/>
        <w:left w:val="none" w:sz="0" w:space="0" w:color="auto"/>
        <w:bottom w:val="none" w:sz="0" w:space="0" w:color="auto"/>
        <w:right w:val="none" w:sz="0" w:space="0" w:color="auto"/>
      </w:divBdr>
    </w:div>
    <w:div w:id="1697541888">
      <w:bodyDiv w:val="1"/>
      <w:marLeft w:val="0"/>
      <w:marRight w:val="0"/>
      <w:marTop w:val="0"/>
      <w:marBottom w:val="0"/>
      <w:divBdr>
        <w:top w:val="none" w:sz="0" w:space="0" w:color="auto"/>
        <w:left w:val="none" w:sz="0" w:space="0" w:color="auto"/>
        <w:bottom w:val="none" w:sz="0" w:space="0" w:color="auto"/>
        <w:right w:val="none" w:sz="0" w:space="0" w:color="auto"/>
      </w:divBdr>
    </w:div>
    <w:div w:id="1697656666">
      <w:bodyDiv w:val="1"/>
      <w:marLeft w:val="0"/>
      <w:marRight w:val="0"/>
      <w:marTop w:val="0"/>
      <w:marBottom w:val="0"/>
      <w:divBdr>
        <w:top w:val="none" w:sz="0" w:space="0" w:color="auto"/>
        <w:left w:val="none" w:sz="0" w:space="0" w:color="auto"/>
        <w:bottom w:val="none" w:sz="0" w:space="0" w:color="auto"/>
        <w:right w:val="none" w:sz="0" w:space="0" w:color="auto"/>
      </w:divBdr>
    </w:div>
    <w:div w:id="1702198375">
      <w:bodyDiv w:val="1"/>
      <w:marLeft w:val="0"/>
      <w:marRight w:val="0"/>
      <w:marTop w:val="0"/>
      <w:marBottom w:val="0"/>
      <w:divBdr>
        <w:top w:val="none" w:sz="0" w:space="0" w:color="auto"/>
        <w:left w:val="none" w:sz="0" w:space="0" w:color="auto"/>
        <w:bottom w:val="none" w:sz="0" w:space="0" w:color="auto"/>
        <w:right w:val="none" w:sz="0" w:space="0" w:color="auto"/>
      </w:divBdr>
    </w:div>
    <w:div w:id="1703700364">
      <w:bodyDiv w:val="1"/>
      <w:marLeft w:val="0"/>
      <w:marRight w:val="0"/>
      <w:marTop w:val="0"/>
      <w:marBottom w:val="0"/>
      <w:divBdr>
        <w:top w:val="none" w:sz="0" w:space="0" w:color="auto"/>
        <w:left w:val="none" w:sz="0" w:space="0" w:color="auto"/>
        <w:bottom w:val="none" w:sz="0" w:space="0" w:color="auto"/>
        <w:right w:val="none" w:sz="0" w:space="0" w:color="auto"/>
      </w:divBdr>
    </w:div>
    <w:div w:id="1703938427">
      <w:bodyDiv w:val="1"/>
      <w:marLeft w:val="0"/>
      <w:marRight w:val="0"/>
      <w:marTop w:val="0"/>
      <w:marBottom w:val="0"/>
      <w:divBdr>
        <w:top w:val="none" w:sz="0" w:space="0" w:color="auto"/>
        <w:left w:val="none" w:sz="0" w:space="0" w:color="auto"/>
        <w:bottom w:val="none" w:sz="0" w:space="0" w:color="auto"/>
        <w:right w:val="none" w:sz="0" w:space="0" w:color="auto"/>
      </w:divBdr>
      <w:divsChild>
        <w:div w:id="610820222">
          <w:marLeft w:val="0"/>
          <w:marRight w:val="0"/>
          <w:marTop w:val="0"/>
          <w:marBottom w:val="0"/>
          <w:divBdr>
            <w:top w:val="none" w:sz="0" w:space="0" w:color="auto"/>
            <w:left w:val="none" w:sz="0" w:space="0" w:color="auto"/>
            <w:bottom w:val="none" w:sz="0" w:space="0" w:color="auto"/>
            <w:right w:val="none" w:sz="0" w:space="0" w:color="auto"/>
          </w:divBdr>
        </w:div>
        <w:div w:id="1970937749">
          <w:marLeft w:val="0"/>
          <w:marRight w:val="0"/>
          <w:marTop w:val="0"/>
          <w:marBottom w:val="0"/>
          <w:divBdr>
            <w:top w:val="none" w:sz="0" w:space="0" w:color="auto"/>
            <w:left w:val="none" w:sz="0" w:space="0" w:color="auto"/>
            <w:bottom w:val="none" w:sz="0" w:space="0" w:color="auto"/>
            <w:right w:val="none" w:sz="0" w:space="0" w:color="auto"/>
          </w:divBdr>
        </w:div>
      </w:divsChild>
    </w:div>
    <w:div w:id="1705207825">
      <w:bodyDiv w:val="1"/>
      <w:marLeft w:val="0"/>
      <w:marRight w:val="0"/>
      <w:marTop w:val="0"/>
      <w:marBottom w:val="0"/>
      <w:divBdr>
        <w:top w:val="none" w:sz="0" w:space="0" w:color="auto"/>
        <w:left w:val="none" w:sz="0" w:space="0" w:color="auto"/>
        <w:bottom w:val="none" w:sz="0" w:space="0" w:color="auto"/>
        <w:right w:val="none" w:sz="0" w:space="0" w:color="auto"/>
      </w:divBdr>
    </w:div>
    <w:div w:id="1705211196">
      <w:bodyDiv w:val="1"/>
      <w:marLeft w:val="0"/>
      <w:marRight w:val="0"/>
      <w:marTop w:val="0"/>
      <w:marBottom w:val="0"/>
      <w:divBdr>
        <w:top w:val="none" w:sz="0" w:space="0" w:color="auto"/>
        <w:left w:val="none" w:sz="0" w:space="0" w:color="auto"/>
        <w:bottom w:val="none" w:sz="0" w:space="0" w:color="auto"/>
        <w:right w:val="none" w:sz="0" w:space="0" w:color="auto"/>
      </w:divBdr>
    </w:div>
    <w:div w:id="1711804328">
      <w:bodyDiv w:val="1"/>
      <w:marLeft w:val="0"/>
      <w:marRight w:val="0"/>
      <w:marTop w:val="0"/>
      <w:marBottom w:val="0"/>
      <w:divBdr>
        <w:top w:val="none" w:sz="0" w:space="0" w:color="auto"/>
        <w:left w:val="none" w:sz="0" w:space="0" w:color="auto"/>
        <w:bottom w:val="none" w:sz="0" w:space="0" w:color="auto"/>
        <w:right w:val="none" w:sz="0" w:space="0" w:color="auto"/>
      </w:divBdr>
      <w:divsChild>
        <w:div w:id="922955011">
          <w:marLeft w:val="0"/>
          <w:marRight w:val="0"/>
          <w:marTop w:val="0"/>
          <w:marBottom w:val="0"/>
          <w:divBdr>
            <w:top w:val="none" w:sz="0" w:space="0" w:color="auto"/>
            <w:left w:val="none" w:sz="0" w:space="0" w:color="auto"/>
            <w:bottom w:val="none" w:sz="0" w:space="0" w:color="auto"/>
            <w:right w:val="none" w:sz="0" w:space="0" w:color="auto"/>
          </w:divBdr>
          <w:divsChild>
            <w:div w:id="1782265162">
              <w:marLeft w:val="0"/>
              <w:marRight w:val="0"/>
              <w:marTop w:val="0"/>
              <w:marBottom w:val="0"/>
              <w:divBdr>
                <w:top w:val="none" w:sz="0" w:space="0" w:color="auto"/>
                <w:left w:val="none" w:sz="0" w:space="0" w:color="auto"/>
                <w:bottom w:val="none" w:sz="0" w:space="0" w:color="auto"/>
                <w:right w:val="none" w:sz="0" w:space="0" w:color="auto"/>
              </w:divBdr>
            </w:div>
            <w:div w:id="1934586035">
              <w:marLeft w:val="0"/>
              <w:marRight w:val="0"/>
              <w:marTop w:val="0"/>
              <w:marBottom w:val="0"/>
              <w:divBdr>
                <w:top w:val="none" w:sz="0" w:space="0" w:color="auto"/>
                <w:left w:val="none" w:sz="0" w:space="0" w:color="auto"/>
                <w:bottom w:val="none" w:sz="0" w:space="0" w:color="auto"/>
                <w:right w:val="none" w:sz="0" w:space="0" w:color="auto"/>
              </w:divBdr>
            </w:div>
          </w:divsChild>
        </w:div>
        <w:div w:id="1682317133">
          <w:marLeft w:val="0"/>
          <w:marRight w:val="0"/>
          <w:marTop w:val="0"/>
          <w:marBottom w:val="0"/>
          <w:divBdr>
            <w:top w:val="none" w:sz="0" w:space="0" w:color="auto"/>
            <w:left w:val="none" w:sz="0" w:space="0" w:color="auto"/>
            <w:bottom w:val="none" w:sz="0" w:space="0" w:color="auto"/>
            <w:right w:val="none" w:sz="0" w:space="0" w:color="auto"/>
          </w:divBdr>
        </w:div>
      </w:divsChild>
    </w:div>
    <w:div w:id="1714036409">
      <w:bodyDiv w:val="1"/>
      <w:marLeft w:val="0"/>
      <w:marRight w:val="0"/>
      <w:marTop w:val="0"/>
      <w:marBottom w:val="0"/>
      <w:divBdr>
        <w:top w:val="none" w:sz="0" w:space="0" w:color="auto"/>
        <w:left w:val="none" w:sz="0" w:space="0" w:color="auto"/>
        <w:bottom w:val="none" w:sz="0" w:space="0" w:color="auto"/>
        <w:right w:val="none" w:sz="0" w:space="0" w:color="auto"/>
      </w:divBdr>
    </w:div>
    <w:div w:id="1717730343">
      <w:bodyDiv w:val="1"/>
      <w:marLeft w:val="0"/>
      <w:marRight w:val="0"/>
      <w:marTop w:val="0"/>
      <w:marBottom w:val="0"/>
      <w:divBdr>
        <w:top w:val="none" w:sz="0" w:space="0" w:color="auto"/>
        <w:left w:val="none" w:sz="0" w:space="0" w:color="auto"/>
        <w:bottom w:val="none" w:sz="0" w:space="0" w:color="auto"/>
        <w:right w:val="none" w:sz="0" w:space="0" w:color="auto"/>
      </w:divBdr>
      <w:divsChild>
        <w:div w:id="86967765">
          <w:marLeft w:val="0"/>
          <w:marRight w:val="0"/>
          <w:marTop w:val="0"/>
          <w:marBottom w:val="0"/>
          <w:divBdr>
            <w:top w:val="none" w:sz="0" w:space="0" w:color="auto"/>
            <w:left w:val="none" w:sz="0" w:space="0" w:color="auto"/>
            <w:bottom w:val="none" w:sz="0" w:space="0" w:color="auto"/>
            <w:right w:val="none" w:sz="0" w:space="0" w:color="auto"/>
          </w:divBdr>
        </w:div>
        <w:div w:id="1226331331">
          <w:marLeft w:val="0"/>
          <w:marRight w:val="0"/>
          <w:marTop w:val="0"/>
          <w:marBottom w:val="0"/>
          <w:divBdr>
            <w:top w:val="none" w:sz="0" w:space="0" w:color="auto"/>
            <w:left w:val="none" w:sz="0" w:space="0" w:color="auto"/>
            <w:bottom w:val="none" w:sz="0" w:space="0" w:color="auto"/>
            <w:right w:val="none" w:sz="0" w:space="0" w:color="auto"/>
          </w:divBdr>
        </w:div>
        <w:div w:id="1399207605">
          <w:marLeft w:val="0"/>
          <w:marRight w:val="0"/>
          <w:marTop w:val="0"/>
          <w:marBottom w:val="0"/>
          <w:divBdr>
            <w:top w:val="none" w:sz="0" w:space="0" w:color="auto"/>
            <w:left w:val="none" w:sz="0" w:space="0" w:color="auto"/>
            <w:bottom w:val="none" w:sz="0" w:space="0" w:color="auto"/>
            <w:right w:val="none" w:sz="0" w:space="0" w:color="auto"/>
          </w:divBdr>
        </w:div>
        <w:div w:id="1421639108">
          <w:marLeft w:val="0"/>
          <w:marRight w:val="0"/>
          <w:marTop w:val="0"/>
          <w:marBottom w:val="0"/>
          <w:divBdr>
            <w:top w:val="none" w:sz="0" w:space="0" w:color="auto"/>
            <w:left w:val="none" w:sz="0" w:space="0" w:color="auto"/>
            <w:bottom w:val="none" w:sz="0" w:space="0" w:color="auto"/>
            <w:right w:val="none" w:sz="0" w:space="0" w:color="auto"/>
          </w:divBdr>
        </w:div>
        <w:div w:id="1863975412">
          <w:marLeft w:val="0"/>
          <w:marRight w:val="0"/>
          <w:marTop w:val="0"/>
          <w:marBottom w:val="0"/>
          <w:divBdr>
            <w:top w:val="none" w:sz="0" w:space="0" w:color="auto"/>
            <w:left w:val="none" w:sz="0" w:space="0" w:color="auto"/>
            <w:bottom w:val="none" w:sz="0" w:space="0" w:color="auto"/>
            <w:right w:val="none" w:sz="0" w:space="0" w:color="auto"/>
          </w:divBdr>
        </w:div>
      </w:divsChild>
    </w:div>
    <w:div w:id="1722099228">
      <w:bodyDiv w:val="1"/>
      <w:marLeft w:val="0"/>
      <w:marRight w:val="0"/>
      <w:marTop w:val="0"/>
      <w:marBottom w:val="0"/>
      <w:divBdr>
        <w:top w:val="none" w:sz="0" w:space="0" w:color="auto"/>
        <w:left w:val="none" w:sz="0" w:space="0" w:color="auto"/>
        <w:bottom w:val="none" w:sz="0" w:space="0" w:color="auto"/>
        <w:right w:val="none" w:sz="0" w:space="0" w:color="auto"/>
      </w:divBdr>
    </w:div>
    <w:div w:id="1724135589">
      <w:bodyDiv w:val="1"/>
      <w:marLeft w:val="0"/>
      <w:marRight w:val="0"/>
      <w:marTop w:val="0"/>
      <w:marBottom w:val="0"/>
      <w:divBdr>
        <w:top w:val="none" w:sz="0" w:space="0" w:color="auto"/>
        <w:left w:val="none" w:sz="0" w:space="0" w:color="auto"/>
        <w:bottom w:val="none" w:sz="0" w:space="0" w:color="auto"/>
        <w:right w:val="none" w:sz="0" w:space="0" w:color="auto"/>
      </w:divBdr>
      <w:divsChild>
        <w:div w:id="206989742">
          <w:marLeft w:val="0"/>
          <w:marRight w:val="0"/>
          <w:marTop w:val="0"/>
          <w:marBottom w:val="0"/>
          <w:divBdr>
            <w:top w:val="none" w:sz="0" w:space="0" w:color="auto"/>
            <w:left w:val="none" w:sz="0" w:space="0" w:color="auto"/>
            <w:bottom w:val="none" w:sz="0" w:space="0" w:color="auto"/>
            <w:right w:val="none" w:sz="0" w:space="0" w:color="auto"/>
          </w:divBdr>
        </w:div>
        <w:div w:id="1048526641">
          <w:marLeft w:val="0"/>
          <w:marRight w:val="0"/>
          <w:marTop w:val="0"/>
          <w:marBottom w:val="0"/>
          <w:divBdr>
            <w:top w:val="none" w:sz="0" w:space="0" w:color="auto"/>
            <w:left w:val="none" w:sz="0" w:space="0" w:color="auto"/>
            <w:bottom w:val="none" w:sz="0" w:space="0" w:color="auto"/>
            <w:right w:val="none" w:sz="0" w:space="0" w:color="auto"/>
          </w:divBdr>
        </w:div>
        <w:div w:id="1287738976">
          <w:marLeft w:val="0"/>
          <w:marRight w:val="0"/>
          <w:marTop w:val="0"/>
          <w:marBottom w:val="0"/>
          <w:divBdr>
            <w:top w:val="none" w:sz="0" w:space="0" w:color="auto"/>
            <w:left w:val="none" w:sz="0" w:space="0" w:color="auto"/>
            <w:bottom w:val="none" w:sz="0" w:space="0" w:color="auto"/>
            <w:right w:val="none" w:sz="0" w:space="0" w:color="auto"/>
          </w:divBdr>
        </w:div>
        <w:div w:id="1387560695">
          <w:marLeft w:val="0"/>
          <w:marRight w:val="0"/>
          <w:marTop w:val="0"/>
          <w:marBottom w:val="0"/>
          <w:divBdr>
            <w:top w:val="none" w:sz="0" w:space="0" w:color="auto"/>
            <w:left w:val="none" w:sz="0" w:space="0" w:color="auto"/>
            <w:bottom w:val="none" w:sz="0" w:space="0" w:color="auto"/>
            <w:right w:val="none" w:sz="0" w:space="0" w:color="auto"/>
          </w:divBdr>
        </w:div>
      </w:divsChild>
    </w:div>
    <w:div w:id="1726174574">
      <w:bodyDiv w:val="1"/>
      <w:marLeft w:val="0"/>
      <w:marRight w:val="0"/>
      <w:marTop w:val="0"/>
      <w:marBottom w:val="0"/>
      <w:divBdr>
        <w:top w:val="none" w:sz="0" w:space="0" w:color="auto"/>
        <w:left w:val="none" w:sz="0" w:space="0" w:color="auto"/>
        <w:bottom w:val="none" w:sz="0" w:space="0" w:color="auto"/>
        <w:right w:val="none" w:sz="0" w:space="0" w:color="auto"/>
      </w:divBdr>
      <w:divsChild>
        <w:div w:id="6686024">
          <w:marLeft w:val="0"/>
          <w:marRight w:val="0"/>
          <w:marTop w:val="0"/>
          <w:marBottom w:val="0"/>
          <w:divBdr>
            <w:top w:val="none" w:sz="0" w:space="0" w:color="auto"/>
            <w:left w:val="none" w:sz="0" w:space="0" w:color="auto"/>
            <w:bottom w:val="none" w:sz="0" w:space="0" w:color="auto"/>
            <w:right w:val="none" w:sz="0" w:space="0" w:color="auto"/>
          </w:divBdr>
        </w:div>
        <w:div w:id="811826598">
          <w:marLeft w:val="0"/>
          <w:marRight w:val="0"/>
          <w:marTop w:val="0"/>
          <w:marBottom w:val="0"/>
          <w:divBdr>
            <w:top w:val="none" w:sz="0" w:space="0" w:color="auto"/>
            <w:left w:val="none" w:sz="0" w:space="0" w:color="auto"/>
            <w:bottom w:val="none" w:sz="0" w:space="0" w:color="auto"/>
            <w:right w:val="none" w:sz="0" w:space="0" w:color="auto"/>
          </w:divBdr>
        </w:div>
        <w:div w:id="1998219504">
          <w:marLeft w:val="0"/>
          <w:marRight w:val="0"/>
          <w:marTop w:val="0"/>
          <w:marBottom w:val="0"/>
          <w:divBdr>
            <w:top w:val="none" w:sz="0" w:space="0" w:color="auto"/>
            <w:left w:val="none" w:sz="0" w:space="0" w:color="auto"/>
            <w:bottom w:val="none" w:sz="0" w:space="0" w:color="auto"/>
            <w:right w:val="none" w:sz="0" w:space="0" w:color="auto"/>
          </w:divBdr>
        </w:div>
      </w:divsChild>
    </w:div>
    <w:div w:id="1731922435">
      <w:bodyDiv w:val="1"/>
      <w:marLeft w:val="0"/>
      <w:marRight w:val="0"/>
      <w:marTop w:val="0"/>
      <w:marBottom w:val="0"/>
      <w:divBdr>
        <w:top w:val="none" w:sz="0" w:space="0" w:color="auto"/>
        <w:left w:val="none" w:sz="0" w:space="0" w:color="auto"/>
        <w:bottom w:val="none" w:sz="0" w:space="0" w:color="auto"/>
        <w:right w:val="none" w:sz="0" w:space="0" w:color="auto"/>
      </w:divBdr>
    </w:div>
    <w:div w:id="1735661005">
      <w:bodyDiv w:val="1"/>
      <w:marLeft w:val="0"/>
      <w:marRight w:val="0"/>
      <w:marTop w:val="0"/>
      <w:marBottom w:val="0"/>
      <w:divBdr>
        <w:top w:val="none" w:sz="0" w:space="0" w:color="auto"/>
        <w:left w:val="none" w:sz="0" w:space="0" w:color="auto"/>
        <w:bottom w:val="none" w:sz="0" w:space="0" w:color="auto"/>
        <w:right w:val="none" w:sz="0" w:space="0" w:color="auto"/>
      </w:divBdr>
      <w:divsChild>
        <w:div w:id="501313481">
          <w:marLeft w:val="0"/>
          <w:marRight w:val="0"/>
          <w:marTop w:val="0"/>
          <w:marBottom w:val="0"/>
          <w:divBdr>
            <w:top w:val="none" w:sz="0" w:space="0" w:color="auto"/>
            <w:left w:val="none" w:sz="0" w:space="0" w:color="auto"/>
            <w:bottom w:val="none" w:sz="0" w:space="0" w:color="auto"/>
            <w:right w:val="none" w:sz="0" w:space="0" w:color="auto"/>
          </w:divBdr>
        </w:div>
        <w:div w:id="686907837">
          <w:marLeft w:val="0"/>
          <w:marRight w:val="0"/>
          <w:marTop w:val="0"/>
          <w:marBottom w:val="0"/>
          <w:divBdr>
            <w:top w:val="none" w:sz="0" w:space="0" w:color="auto"/>
            <w:left w:val="none" w:sz="0" w:space="0" w:color="auto"/>
            <w:bottom w:val="none" w:sz="0" w:space="0" w:color="auto"/>
            <w:right w:val="none" w:sz="0" w:space="0" w:color="auto"/>
          </w:divBdr>
        </w:div>
        <w:div w:id="810294874">
          <w:marLeft w:val="0"/>
          <w:marRight w:val="0"/>
          <w:marTop w:val="0"/>
          <w:marBottom w:val="0"/>
          <w:divBdr>
            <w:top w:val="none" w:sz="0" w:space="0" w:color="auto"/>
            <w:left w:val="none" w:sz="0" w:space="0" w:color="auto"/>
            <w:bottom w:val="none" w:sz="0" w:space="0" w:color="auto"/>
            <w:right w:val="none" w:sz="0" w:space="0" w:color="auto"/>
          </w:divBdr>
        </w:div>
      </w:divsChild>
    </w:div>
    <w:div w:id="1738670208">
      <w:bodyDiv w:val="1"/>
      <w:marLeft w:val="0"/>
      <w:marRight w:val="0"/>
      <w:marTop w:val="0"/>
      <w:marBottom w:val="0"/>
      <w:divBdr>
        <w:top w:val="none" w:sz="0" w:space="0" w:color="auto"/>
        <w:left w:val="none" w:sz="0" w:space="0" w:color="auto"/>
        <w:bottom w:val="none" w:sz="0" w:space="0" w:color="auto"/>
        <w:right w:val="none" w:sz="0" w:space="0" w:color="auto"/>
      </w:divBdr>
      <w:divsChild>
        <w:div w:id="914632103">
          <w:marLeft w:val="0"/>
          <w:marRight w:val="0"/>
          <w:marTop w:val="0"/>
          <w:marBottom w:val="0"/>
          <w:divBdr>
            <w:top w:val="none" w:sz="0" w:space="0" w:color="auto"/>
            <w:left w:val="none" w:sz="0" w:space="0" w:color="auto"/>
            <w:bottom w:val="none" w:sz="0" w:space="0" w:color="auto"/>
            <w:right w:val="none" w:sz="0" w:space="0" w:color="auto"/>
          </w:divBdr>
        </w:div>
        <w:div w:id="1464423545">
          <w:marLeft w:val="0"/>
          <w:marRight w:val="0"/>
          <w:marTop w:val="0"/>
          <w:marBottom w:val="0"/>
          <w:divBdr>
            <w:top w:val="none" w:sz="0" w:space="0" w:color="auto"/>
            <w:left w:val="none" w:sz="0" w:space="0" w:color="auto"/>
            <w:bottom w:val="none" w:sz="0" w:space="0" w:color="auto"/>
            <w:right w:val="none" w:sz="0" w:space="0" w:color="auto"/>
          </w:divBdr>
        </w:div>
      </w:divsChild>
    </w:div>
    <w:div w:id="1742094307">
      <w:bodyDiv w:val="1"/>
      <w:marLeft w:val="0"/>
      <w:marRight w:val="0"/>
      <w:marTop w:val="0"/>
      <w:marBottom w:val="0"/>
      <w:divBdr>
        <w:top w:val="none" w:sz="0" w:space="0" w:color="auto"/>
        <w:left w:val="none" w:sz="0" w:space="0" w:color="auto"/>
        <w:bottom w:val="none" w:sz="0" w:space="0" w:color="auto"/>
        <w:right w:val="none" w:sz="0" w:space="0" w:color="auto"/>
      </w:divBdr>
    </w:div>
    <w:div w:id="1747145785">
      <w:bodyDiv w:val="1"/>
      <w:marLeft w:val="0"/>
      <w:marRight w:val="0"/>
      <w:marTop w:val="0"/>
      <w:marBottom w:val="0"/>
      <w:divBdr>
        <w:top w:val="none" w:sz="0" w:space="0" w:color="auto"/>
        <w:left w:val="none" w:sz="0" w:space="0" w:color="auto"/>
        <w:bottom w:val="none" w:sz="0" w:space="0" w:color="auto"/>
        <w:right w:val="none" w:sz="0" w:space="0" w:color="auto"/>
      </w:divBdr>
      <w:divsChild>
        <w:div w:id="448165785">
          <w:marLeft w:val="0"/>
          <w:marRight w:val="0"/>
          <w:marTop w:val="0"/>
          <w:marBottom w:val="0"/>
          <w:divBdr>
            <w:top w:val="none" w:sz="0" w:space="0" w:color="auto"/>
            <w:left w:val="none" w:sz="0" w:space="0" w:color="auto"/>
            <w:bottom w:val="none" w:sz="0" w:space="0" w:color="auto"/>
            <w:right w:val="none" w:sz="0" w:space="0" w:color="auto"/>
          </w:divBdr>
        </w:div>
        <w:div w:id="1098597854">
          <w:marLeft w:val="0"/>
          <w:marRight w:val="0"/>
          <w:marTop w:val="0"/>
          <w:marBottom w:val="0"/>
          <w:divBdr>
            <w:top w:val="none" w:sz="0" w:space="0" w:color="auto"/>
            <w:left w:val="none" w:sz="0" w:space="0" w:color="auto"/>
            <w:bottom w:val="none" w:sz="0" w:space="0" w:color="auto"/>
            <w:right w:val="none" w:sz="0" w:space="0" w:color="auto"/>
          </w:divBdr>
        </w:div>
        <w:div w:id="1712343697">
          <w:marLeft w:val="0"/>
          <w:marRight w:val="0"/>
          <w:marTop w:val="0"/>
          <w:marBottom w:val="0"/>
          <w:divBdr>
            <w:top w:val="none" w:sz="0" w:space="0" w:color="auto"/>
            <w:left w:val="none" w:sz="0" w:space="0" w:color="auto"/>
            <w:bottom w:val="none" w:sz="0" w:space="0" w:color="auto"/>
            <w:right w:val="none" w:sz="0" w:space="0" w:color="auto"/>
          </w:divBdr>
        </w:div>
      </w:divsChild>
    </w:div>
    <w:div w:id="1748260407">
      <w:bodyDiv w:val="1"/>
      <w:marLeft w:val="0"/>
      <w:marRight w:val="0"/>
      <w:marTop w:val="0"/>
      <w:marBottom w:val="0"/>
      <w:divBdr>
        <w:top w:val="none" w:sz="0" w:space="0" w:color="auto"/>
        <w:left w:val="none" w:sz="0" w:space="0" w:color="auto"/>
        <w:bottom w:val="none" w:sz="0" w:space="0" w:color="auto"/>
        <w:right w:val="none" w:sz="0" w:space="0" w:color="auto"/>
      </w:divBdr>
      <w:divsChild>
        <w:div w:id="1981685771">
          <w:marLeft w:val="0"/>
          <w:marRight w:val="0"/>
          <w:marTop w:val="0"/>
          <w:marBottom w:val="0"/>
          <w:divBdr>
            <w:top w:val="none" w:sz="0" w:space="0" w:color="auto"/>
            <w:left w:val="none" w:sz="0" w:space="0" w:color="auto"/>
            <w:bottom w:val="none" w:sz="0" w:space="0" w:color="auto"/>
            <w:right w:val="none" w:sz="0" w:space="0" w:color="auto"/>
          </w:divBdr>
        </w:div>
      </w:divsChild>
    </w:div>
    <w:div w:id="1748649078">
      <w:bodyDiv w:val="1"/>
      <w:marLeft w:val="0"/>
      <w:marRight w:val="0"/>
      <w:marTop w:val="0"/>
      <w:marBottom w:val="0"/>
      <w:divBdr>
        <w:top w:val="none" w:sz="0" w:space="0" w:color="auto"/>
        <w:left w:val="none" w:sz="0" w:space="0" w:color="auto"/>
        <w:bottom w:val="none" w:sz="0" w:space="0" w:color="auto"/>
        <w:right w:val="none" w:sz="0" w:space="0" w:color="auto"/>
      </w:divBdr>
      <w:divsChild>
        <w:div w:id="1203708095">
          <w:marLeft w:val="0"/>
          <w:marRight w:val="0"/>
          <w:marTop w:val="0"/>
          <w:marBottom w:val="0"/>
          <w:divBdr>
            <w:top w:val="none" w:sz="0" w:space="0" w:color="auto"/>
            <w:left w:val="none" w:sz="0" w:space="0" w:color="auto"/>
            <w:bottom w:val="none" w:sz="0" w:space="0" w:color="auto"/>
            <w:right w:val="none" w:sz="0" w:space="0" w:color="auto"/>
          </w:divBdr>
        </w:div>
        <w:div w:id="1464038174">
          <w:marLeft w:val="0"/>
          <w:marRight w:val="0"/>
          <w:marTop w:val="0"/>
          <w:marBottom w:val="0"/>
          <w:divBdr>
            <w:top w:val="none" w:sz="0" w:space="0" w:color="auto"/>
            <w:left w:val="none" w:sz="0" w:space="0" w:color="auto"/>
            <w:bottom w:val="none" w:sz="0" w:space="0" w:color="auto"/>
            <w:right w:val="none" w:sz="0" w:space="0" w:color="auto"/>
          </w:divBdr>
        </w:div>
      </w:divsChild>
    </w:div>
    <w:div w:id="1749497440">
      <w:bodyDiv w:val="1"/>
      <w:marLeft w:val="0"/>
      <w:marRight w:val="0"/>
      <w:marTop w:val="0"/>
      <w:marBottom w:val="0"/>
      <w:divBdr>
        <w:top w:val="none" w:sz="0" w:space="0" w:color="auto"/>
        <w:left w:val="none" w:sz="0" w:space="0" w:color="auto"/>
        <w:bottom w:val="none" w:sz="0" w:space="0" w:color="auto"/>
        <w:right w:val="none" w:sz="0" w:space="0" w:color="auto"/>
      </w:divBdr>
    </w:div>
    <w:div w:id="1755273572">
      <w:bodyDiv w:val="1"/>
      <w:marLeft w:val="0"/>
      <w:marRight w:val="0"/>
      <w:marTop w:val="0"/>
      <w:marBottom w:val="0"/>
      <w:divBdr>
        <w:top w:val="none" w:sz="0" w:space="0" w:color="auto"/>
        <w:left w:val="none" w:sz="0" w:space="0" w:color="auto"/>
        <w:bottom w:val="none" w:sz="0" w:space="0" w:color="auto"/>
        <w:right w:val="none" w:sz="0" w:space="0" w:color="auto"/>
      </w:divBdr>
    </w:div>
    <w:div w:id="1756896033">
      <w:bodyDiv w:val="1"/>
      <w:marLeft w:val="0"/>
      <w:marRight w:val="0"/>
      <w:marTop w:val="0"/>
      <w:marBottom w:val="0"/>
      <w:divBdr>
        <w:top w:val="none" w:sz="0" w:space="0" w:color="auto"/>
        <w:left w:val="none" w:sz="0" w:space="0" w:color="auto"/>
        <w:bottom w:val="none" w:sz="0" w:space="0" w:color="auto"/>
        <w:right w:val="none" w:sz="0" w:space="0" w:color="auto"/>
      </w:divBdr>
      <w:divsChild>
        <w:div w:id="1040938699">
          <w:marLeft w:val="0"/>
          <w:marRight w:val="0"/>
          <w:marTop w:val="0"/>
          <w:marBottom w:val="0"/>
          <w:divBdr>
            <w:top w:val="none" w:sz="0" w:space="0" w:color="auto"/>
            <w:left w:val="none" w:sz="0" w:space="0" w:color="auto"/>
            <w:bottom w:val="none" w:sz="0" w:space="0" w:color="auto"/>
            <w:right w:val="none" w:sz="0" w:space="0" w:color="auto"/>
          </w:divBdr>
        </w:div>
        <w:div w:id="1128429863">
          <w:marLeft w:val="0"/>
          <w:marRight w:val="0"/>
          <w:marTop w:val="0"/>
          <w:marBottom w:val="0"/>
          <w:divBdr>
            <w:top w:val="none" w:sz="0" w:space="0" w:color="auto"/>
            <w:left w:val="none" w:sz="0" w:space="0" w:color="auto"/>
            <w:bottom w:val="none" w:sz="0" w:space="0" w:color="auto"/>
            <w:right w:val="none" w:sz="0" w:space="0" w:color="auto"/>
          </w:divBdr>
        </w:div>
        <w:div w:id="1977371782">
          <w:marLeft w:val="0"/>
          <w:marRight w:val="0"/>
          <w:marTop w:val="0"/>
          <w:marBottom w:val="0"/>
          <w:divBdr>
            <w:top w:val="none" w:sz="0" w:space="0" w:color="auto"/>
            <w:left w:val="none" w:sz="0" w:space="0" w:color="auto"/>
            <w:bottom w:val="none" w:sz="0" w:space="0" w:color="auto"/>
            <w:right w:val="none" w:sz="0" w:space="0" w:color="auto"/>
          </w:divBdr>
        </w:div>
      </w:divsChild>
    </w:div>
    <w:div w:id="1764646673">
      <w:bodyDiv w:val="1"/>
      <w:marLeft w:val="0"/>
      <w:marRight w:val="0"/>
      <w:marTop w:val="0"/>
      <w:marBottom w:val="0"/>
      <w:divBdr>
        <w:top w:val="none" w:sz="0" w:space="0" w:color="auto"/>
        <w:left w:val="none" w:sz="0" w:space="0" w:color="auto"/>
        <w:bottom w:val="none" w:sz="0" w:space="0" w:color="auto"/>
        <w:right w:val="none" w:sz="0" w:space="0" w:color="auto"/>
      </w:divBdr>
    </w:div>
    <w:div w:id="1767532110">
      <w:bodyDiv w:val="1"/>
      <w:marLeft w:val="0"/>
      <w:marRight w:val="0"/>
      <w:marTop w:val="0"/>
      <w:marBottom w:val="0"/>
      <w:divBdr>
        <w:top w:val="none" w:sz="0" w:space="0" w:color="auto"/>
        <w:left w:val="none" w:sz="0" w:space="0" w:color="auto"/>
        <w:bottom w:val="none" w:sz="0" w:space="0" w:color="auto"/>
        <w:right w:val="none" w:sz="0" w:space="0" w:color="auto"/>
      </w:divBdr>
      <w:divsChild>
        <w:div w:id="930747333">
          <w:marLeft w:val="0"/>
          <w:marRight w:val="0"/>
          <w:marTop w:val="0"/>
          <w:marBottom w:val="0"/>
          <w:divBdr>
            <w:top w:val="none" w:sz="0" w:space="0" w:color="auto"/>
            <w:left w:val="none" w:sz="0" w:space="0" w:color="auto"/>
            <w:bottom w:val="none" w:sz="0" w:space="0" w:color="auto"/>
            <w:right w:val="none" w:sz="0" w:space="0" w:color="auto"/>
          </w:divBdr>
        </w:div>
        <w:div w:id="1577976563">
          <w:marLeft w:val="0"/>
          <w:marRight w:val="0"/>
          <w:marTop w:val="0"/>
          <w:marBottom w:val="0"/>
          <w:divBdr>
            <w:top w:val="none" w:sz="0" w:space="0" w:color="auto"/>
            <w:left w:val="none" w:sz="0" w:space="0" w:color="auto"/>
            <w:bottom w:val="none" w:sz="0" w:space="0" w:color="auto"/>
            <w:right w:val="none" w:sz="0" w:space="0" w:color="auto"/>
          </w:divBdr>
        </w:div>
      </w:divsChild>
    </w:div>
    <w:div w:id="1770421924">
      <w:bodyDiv w:val="1"/>
      <w:marLeft w:val="0"/>
      <w:marRight w:val="0"/>
      <w:marTop w:val="0"/>
      <w:marBottom w:val="0"/>
      <w:divBdr>
        <w:top w:val="none" w:sz="0" w:space="0" w:color="auto"/>
        <w:left w:val="none" w:sz="0" w:space="0" w:color="auto"/>
        <w:bottom w:val="none" w:sz="0" w:space="0" w:color="auto"/>
        <w:right w:val="none" w:sz="0" w:space="0" w:color="auto"/>
      </w:divBdr>
      <w:divsChild>
        <w:div w:id="470636133">
          <w:marLeft w:val="0"/>
          <w:marRight w:val="0"/>
          <w:marTop w:val="0"/>
          <w:marBottom w:val="0"/>
          <w:divBdr>
            <w:top w:val="none" w:sz="0" w:space="0" w:color="auto"/>
            <w:left w:val="none" w:sz="0" w:space="0" w:color="auto"/>
            <w:bottom w:val="none" w:sz="0" w:space="0" w:color="auto"/>
            <w:right w:val="none" w:sz="0" w:space="0" w:color="auto"/>
          </w:divBdr>
        </w:div>
        <w:div w:id="1445231661">
          <w:marLeft w:val="0"/>
          <w:marRight w:val="0"/>
          <w:marTop w:val="0"/>
          <w:marBottom w:val="0"/>
          <w:divBdr>
            <w:top w:val="none" w:sz="0" w:space="0" w:color="auto"/>
            <w:left w:val="none" w:sz="0" w:space="0" w:color="auto"/>
            <w:bottom w:val="none" w:sz="0" w:space="0" w:color="auto"/>
            <w:right w:val="none" w:sz="0" w:space="0" w:color="auto"/>
          </w:divBdr>
        </w:div>
        <w:div w:id="2104570652">
          <w:marLeft w:val="0"/>
          <w:marRight w:val="0"/>
          <w:marTop w:val="0"/>
          <w:marBottom w:val="0"/>
          <w:divBdr>
            <w:top w:val="none" w:sz="0" w:space="0" w:color="auto"/>
            <w:left w:val="none" w:sz="0" w:space="0" w:color="auto"/>
            <w:bottom w:val="none" w:sz="0" w:space="0" w:color="auto"/>
            <w:right w:val="none" w:sz="0" w:space="0" w:color="auto"/>
          </w:divBdr>
        </w:div>
      </w:divsChild>
    </w:div>
    <w:div w:id="1770663970">
      <w:bodyDiv w:val="1"/>
      <w:marLeft w:val="0"/>
      <w:marRight w:val="0"/>
      <w:marTop w:val="0"/>
      <w:marBottom w:val="0"/>
      <w:divBdr>
        <w:top w:val="none" w:sz="0" w:space="0" w:color="auto"/>
        <w:left w:val="none" w:sz="0" w:space="0" w:color="auto"/>
        <w:bottom w:val="none" w:sz="0" w:space="0" w:color="auto"/>
        <w:right w:val="none" w:sz="0" w:space="0" w:color="auto"/>
      </w:divBdr>
      <w:divsChild>
        <w:div w:id="80880071">
          <w:marLeft w:val="0"/>
          <w:marRight w:val="0"/>
          <w:marTop w:val="0"/>
          <w:marBottom w:val="0"/>
          <w:divBdr>
            <w:top w:val="none" w:sz="0" w:space="0" w:color="auto"/>
            <w:left w:val="none" w:sz="0" w:space="0" w:color="auto"/>
            <w:bottom w:val="none" w:sz="0" w:space="0" w:color="auto"/>
            <w:right w:val="none" w:sz="0" w:space="0" w:color="auto"/>
          </w:divBdr>
        </w:div>
        <w:div w:id="1624582586">
          <w:marLeft w:val="0"/>
          <w:marRight w:val="0"/>
          <w:marTop w:val="0"/>
          <w:marBottom w:val="0"/>
          <w:divBdr>
            <w:top w:val="none" w:sz="0" w:space="0" w:color="auto"/>
            <w:left w:val="none" w:sz="0" w:space="0" w:color="auto"/>
            <w:bottom w:val="none" w:sz="0" w:space="0" w:color="auto"/>
            <w:right w:val="none" w:sz="0" w:space="0" w:color="auto"/>
          </w:divBdr>
        </w:div>
      </w:divsChild>
    </w:div>
    <w:div w:id="1775900800">
      <w:bodyDiv w:val="1"/>
      <w:marLeft w:val="0"/>
      <w:marRight w:val="0"/>
      <w:marTop w:val="0"/>
      <w:marBottom w:val="0"/>
      <w:divBdr>
        <w:top w:val="none" w:sz="0" w:space="0" w:color="auto"/>
        <w:left w:val="none" w:sz="0" w:space="0" w:color="auto"/>
        <w:bottom w:val="none" w:sz="0" w:space="0" w:color="auto"/>
        <w:right w:val="none" w:sz="0" w:space="0" w:color="auto"/>
      </w:divBdr>
      <w:divsChild>
        <w:div w:id="1613659925">
          <w:marLeft w:val="0"/>
          <w:marRight w:val="0"/>
          <w:marTop w:val="0"/>
          <w:marBottom w:val="0"/>
          <w:divBdr>
            <w:top w:val="none" w:sz="0" w:space="0" w:color="auto"/>
            <w:left w:val="none" w:sz="0" w:space="0" w:color="auto"/>
            <w:bottom w:val="none" w:sz="0" w:space="0" w:color="auto"/>
            <w:right w:val="none" w:sz="0" w:space="0" w:color="auto"/>
          </w:divBdr>
        </w:div>
      </w:divsChild>
    </w:div>
    <w:div w:id="1775979852">
      <w:bodyDiv w:val="1"/>
      <w:marLeft w:val="0"/>
      <w:marRight w:val="0"/>
      <w:marTop w:val="0"/>
      <w:marBottom w:val="0"/>
      <w:divBdr>
        <w:top w:val="none" w:sz="0" w:space="0" w:color="auto"/>
        <w:left w:val="none" w:sz="0" w:space="0" w:color="auto"/>
        <w:bottom w:val="none" w:sz="0" w:space="0" w:color="auto"/>
        <w:right w:val="none" w:sz="0" w:space="0" w:color="auto"/>
      </w:divBdr>
    </w:div>
    <w:div w:id="1776486175">
      <w:bodyDiv w:val="1"/>
      <w:marLeft w:val="0"/>
      <w:marRight w:val="0"/>
      <w:marTop w:val="0"/>
      <w:marBottom w:val="0"/>
      <w:divBdr>
        <w:top w:val="none" w:sz="0" w:space="0" w:color="auto"/>
        <w:left w:val="none" w:sz="0" w:space="0" w:color="auto"/>
        <w:bottom w:val="none" w:sz="0" w:space="0" w:color="auto"/>
        <w:right w:val="none" w:sz="0" w:space="0" w:color="auto"/>
      </w:divBdr>
      <w:divsChild>
        <w:div w:id="1274551394">
          <w:marLeft w:val="0"/>
          <w:marRight w:val="0"/>
          <w:marTop w:val="0"/>
          <w:marBottom w:val="0"/>
          <w:divBdr>
            <w:top w:val="none" w:sz="0" w:space="0" w:color="auto"/>
            <w:left w:val="none" w:sz="0" w:space="0" w:color="auto"/>
            <w:bottom w:val="none" w:sz="0" w:space="0" w:color="auto"/>
            <w:right w:val="none" w:sz="0" w:space="0" w:color="auto"/>
          </w:divBdr>
        </w:div>
        <w:div w:id="1714885673">
          <w:marLeft w:val="0"/>
          <w:marRight w:val="0"/>
          <w:marTop w:val="0"/>
          <w:marBottom w:val="0"/>
          <w:divBdr>
            <w:top w:val="none" w:sz="0" w:space="0" w:color="auto"/>
            <w:left w:val="none" w:sz="0" w:space="0" w:color="auto"/>
            <w:bottom w:val="none" w:sz="0" w:space="0" w:color="auto"/>
            <w:right w:val="none" w:sz="0" w:space="0" w:color="auto"/>
          </w:divBdr>
        </w:div>
      </w:divsChild>
    </w:div>
    <w:div w:id="1780684617">
      <w:bodyDiv w:val="1"/>
      <w:marLeft w:val="0"/>
      <w:marRight w:val="0"/>
      <w:marTop w:val="0"/>
      <w:marBottom w:val="0"/>
      <w:divBdr>
        <w:top w:val="none" w:sz="0" w:space="0" w:color="auto"/>
        <w:left w:val="none" w:sz="0" w:space="0" w:color="auto"/>
        <w:bottom w:val="none" w:sz="0" w:space="0" w:color="auto"/>
        <w:right w:val="none" w:sz="0" w:space="0" w:color="auto"/>
      </w:divBdr>
    </w:div>
    <w:div w:id="1780947334">
      <w:bodyDiv w:val="1"/>
      <w:marLeft w:val="0"/>
      <w:marRight w:val="0"/>
      <w:marTop w:val="0"/>
      <w:marBottom w:val="0"/>
      <w:divBdr>
        <w:top w:val="none" w:sz="0" w:space="0" w:color="auto"/>
        <w:left w:val="none" w:sz="0" w:space="0" w:color="auto"/>
        <w:bottom w:val="none" w:sz="0" w:space="0" w:color="auto"/>
        <w:right w:val="none" w:sz="0" w:space="0" w:color="auto"/>
      </w:divBdr>
      <w:divsChild>
        <w:div w:id="287782565">
          <w:marLeft w:val="0"/>
          <w:marRight w:val="0"/>
          <w:marTop w:val="0"/>
          <w:marBottom w:val="0"/>
          <w:divBdr>
            <w:top w:val="none" w:sz="0" w:space="0" w:color="auto"/>
            <w:left w:val="none" w:sz="0" w:space="0" w:color="auto"/>
            <w:bottom w:val="none" w:sz="0" w:space="0" w:color="auto"/>
            <w:right w:val="none" w:sz="0" w:space="0" w:color="auto"/>
          </w:divBdr>
        </w:div>
        <w:div w:id="1792359725">
          <w:marLeft w:val="0"/>
          <w:marRight w:val="0"/>
          <w:marTop w:val="0"/>
          <w:marBottom w:val="0"/>
          <w:divBdr>
            <w:top w:val="none" w:sz="0" w:space="0" w:color="auto"/>
            <w:left w:val="none" w:sz="0" w:space="0" w:color="auto"/>
            <w:bottom w:val="none" w:sz="0" w:space="0" w:color="auto"/>
            <w:right w:val="none" w:sz="0" w:space="0" w:color="auto"/>
          </w:divBdr>
        </w:div>
      </w:divsChild>
    </w:div>
    <w:div w:id="1781679238">
      <w:bodyDiv w:val="1"/>
      <w:marLeft w:val="0"/>
      <w:marRight w:val="0"/>
      <w:marTop w:val="0"/>
      <w:marBottom w:val="0"/>
      <w:divBdr>
        <w:top w:val="none" w:sz="0" w:space="0" w:color="auto"/>
        <w:left w:val="none" w:sz="0" w:space="0" w:color="auto"/>
        <w:bottom w:val="none" w:sz="0" w:space="0" w:color="auto"/>
        <w:right w:val="none" w:sz="0" w:space="0" w:color="auto"/>
      </w:divBdr>
    </w:div>
    <w:div w:id="1786315942">
      <w:bodyDiv w:val="1"/>
      <w:marLeft w:val="0"/>
      <w:marRight w:val="0"/>
      <w:marTop w:val="0"/>
      <w:marBottom w:val="0"/>
      <w:divBdr>
        <w:top w:val="none" w:sz="0" w:space="0" w:color="auto"/>
        <w:left w:val="none" w:sz="0" w:space="0" w:color="auto"/>
        <w:bottom w:val="none" w:sz="0" w:space="0" w:color="auto"/>
        <w:right w:val="none" w:sz="0" w:space="0" w:color="auto"/>
      </w:divBdr>
    </w:div>
    <w:div w:id="1787238291">
      <w:bodyDiv w:val="1"/>
      <w:marLeft w:val="0"/>
      <w:marRight w:val="0"/>
      <w:marTop w:val="0"/>
      <w:marBottom w:val="0"/>
      <w:divBdr>
        <w:top w:val="none" w:sz="0" w:space="0" w:color="auto"/>
        <w:left w:val="none" w:sz="0" w:space="0" w:color="auto"/>
        <w:bottom w:val="none" w:sz="0" w:space="0" w:color="auto"/>
        <w:right w:val="none" w:sz="0" w:space="0" w:color="auto"/>
      </w:divBdr>
    </w:div>
    <w:div w:id="1788310598">
      <w:bodyDiv w:val="1"/>
      <w:marLeft w:val="0"/>
      <w:marRight w:val="0"/>
      <w:marTop w:val="0"/>
      <w:marBottom w:val="0"/>
      <w:divBdr>
        <w:top w:val="none" w:sz="0" w:space="0" w:color="auto"/>
        <w:left w:val="none" w:sz="0" w:space="0" w:color="auto"/>
        <w:bottom w:val="none" w:sz="0" w:space="0" w:color="auto"/>
        <w:right w:val="none" w:sz="0" w:space="0" w:color="auto"/>
      </w:divBdr>
    </w:div>
    <w:div w:id="1789276878">
      <w:bodyDiv w:val="1"/>
      <w:marLeft w:val="0"/>
      <w:marRight w:val="0"/>
      <w:marTop w:val="0"/>
      <w:marBottom w:val="0"/>
      <w:divBdr>
        <w:top w:val="none" w:sz="0" w:space="0" w:color="auto"/>
        <w:left w:val="none" w:sz="0" w:space="0" w:color="auto"/>
        <w:bottom w:val="none" w:sz="0" w:space="0" w:color="auto"/>
        <w:right w:val="none" w:sz="0" w:space="0" w:color="auto"/>
      </w:divBdr>
      <w:divsChild>
        <w:div w:id="659970477">
          <w:marLeft w:val="0"/>
          <w:marRight w:val="0"/>
          <w:marTop w:val="0"/>
          <w:marBottom w:val="0"/>
          <w:divBdr>
            <w:top w:val="none" w:sz="0" w:space="0" w:color="auto"/>
            <w:left w:val="none" w:sz="0" w:space="0" w:color="auto"/>
            <w:bottom w:val="none" w:sz="0" w:space="0" w:color="auto"/>
            <w:right w:val="none" w:sz="0" w:space="0" w:color="auto"/>
          </w:divBdr>
        </w:div>
        <w:div w:id="1174371161">
          <w:marLeft w:val="0"/>
          <w:marRight w:val="0"/>
          <w:marTop w:val="0"/>
          <w:marBottom w:val="0"/>
          <w:divBdr>
            <w:top w:val="none" w:sz="0" w:space="0" w:color="auto"/>
            <w:left w:val="none" w:sz="0" w:space="0" w:color="auto"/>
            <w:bottom w:val="none" w:sz="0" w:space="0" w:color="auto"/>
            <w:right w:val="none" w:sz="0" w:space="0" w:color="auto"/>
          </w:divBdr>
        </w:div>
        <w:div w:id="1745176247">
          <w:marLeft w:val="0"/>
          <w:marRight w:val="0"/>
          <w:marTop w:val="0"/>
          <w:marBottom w:val="0"/>
          <w:divBdr>
            <w:top w:val="none" w:sz="0" w:space="0" w:color="auto"/>
            <w:left w:val="none" w:sz="0" w:space="0" w:color="auto"/>
            <w:bottom w:val="none" w:sz="0" w:space="0" w:color="auto"/>
            <w:right w:val="none" w:sz="0" w:space="0" w:color="auto"/>
          </w:divBdr>
        </w:div>
      </w:divsChild>
    </w:div>
    <w:div w:id="1793523985">
      <w:bodyDiv w:val="1"/>
      <w:marLeft w:val="0"/>
      <w:marRight w:val="0"/>
      <w:marTop w:val="0"/>
      <w:marBottom w:val="0"/>
      <w:divBdr>
        <w:top w:val="none" w:sz="0" w:space="0" w:color="auto"/>
        <w:left w:val="none" w:sz="0" w:space="0" w:color="auto"/>
        <w:bottom w:val="none" w:sz="0" w:space="0" w:color="auto"/>
        <w:right w:val="none" w:sz="0" w:space="0" w:color="auto"/>
      </w:divBdr>
    </w:div>
    <w:div w:id="1793668614">
      <w:bodyDiv w:val="1"/>
      <w:marLeft w:val="0"/>
      <w:marRight w:val="0"/>
      <w:marTop w:val="0"/>
      <w:marBottom w:val="0"/>
      <w:divBdr>
        <w:top w:val="none" w:sz="0" w:space="0" w:color="auto"/>
        <w:left w:val="none" w:sz="0" w:space="0" w:color="auto"/>
        <w:bottom w:val="none" w:sz="0" w:space="0" w:color="auto"/>
        <w:right w:val="none" w:sz="0" w:space="0" w:color="auto"/>
      </w:divBdr>
    </w:div>
    <w:div w:id="1803385741">
      <w:bodyDiv w:val="1"/>
      <w:marLeft w:val="0"/>
      <w:marRight w:val="0"/>
      <w:marTop w:val="0"/>
      <w:marBottom w:val="0"/>
      <w:divBdr>
        <w:top w:val="none" w:sz="0" w:space="0" w:color="auto"/>
        <w:left w:val="none" w:sz="0" w:space="0" w:color="auto"/>
        <w:bottom w:val="none" w:sz="0" w:space="0" w:color="auto"/>
        <w:right w:val="none" w:sz="0" w:space="0" w:color="auto"/>
      </w:divBdr>
      <w:divsChild>
        <w:div w:id="916791274">
          <w:marLeft w:val="0"/>
          <w:marRight w:val="0"/>
          <w:marTop w:val="0"/>
          <w:marBottom w:val="0"/>
          <w:divBdr>
            <w:top w:val="none" w:sz="0" w:space="0" w:color="auto"/>
            <w:left w:val="none" w:sz="0" w:space="0" w:color="auto"/>
            <w:bottom w:val="none" w:sz="0" w:space="0" w:color="auto"/>
            <w:right w:val="none" w:sz="0" w:space="0" w:color="auto"/>
          </w:divBdr>
        </w:div>
      </w:divsChild>
    </w:div>
    <w:div w:id="1804538361">
      <w:bodyDiv w:val="1"/>
      <w:marLeft w:val="0"/>
      <w:marRight w:val="0"/>
      <w:marTop w:val="0"/>
      <w:marBottom w:val="0"/>
      <w:divBdr>
        <w:top w:val="none" w:sz="0" w:space="0" w:color="auto"/>
        <w:left w:val="none" w:sz="0" w:space="0" w:color="auto"/>
        <w:bottom w:val="none" w:sz="0" w:space="0" w:color="auto"/>
        <w:right w:val="none" w:sz="0" w:space="0" w:color="auto"/>
      </w:divBdr>
    </w:div>
    <w:div w:id="1804881827">
      <w:bodyDiv w:val="1"/>
      <w:marLeft w:val="0"/>
      <w:marRight w:val="0"/>
      <w:marTop w:val="0"/>
      <w:marBottom w:val="0"/>
      <w:divBdr>
        <w:top w:val="none" w:sz="0" w:space="0" w:color="auto"/>
        <w:left w:val="none" w:sz="0" w:space="0" w:color="auto"/>
        <w:bottom w:val="none" w:sz="0" w:space="0" w:color="auto"/>
        <w:right w:val="none" w:sz="0" w:space="0" w:color="auto"/>
      </w:divBdr>
    </w:div>
    <w:div w:id="1805123965">
      <w:bodyDiv w:val="1"/>
      <w:marLeft w:val="0"/>
      <w:marRight w:val="0"/>
      <w:marTop w:val="0"/>
      <w:marBottom w:val="0"/>
      <w:divBdr>
        <w:top w:val="none" w:sz="0" w:space="0" w:color="auto"/>
        <w:left w:val="none" w:sz="0" w:space="0" w:color="auto"/>
        <w:bottom w:val="none" w:sz="0" w:space="0" w:color="auto"/>
        <w:right w:val="none" w:sz="0" w:space="0" w:color="auto"/>
      </w:divBdr>
    </w:div>
    <w:div w:id="1806581228">
      <w:bodyDiv w:val="1"/>
      <w:marLeft w:val="0"/>
      <w:marRight w:val="0"/>
      <w:marTop w:val="0"/>
      <w:marBottom w:val="0"/>
      <w:divBdr>
        <w:top w:val="none" w:sz="0" w:space="0" w:color="auto"/>
        <w:left w:val="none" w:sz="0" w:space="0" w:color="auto"/>
        <w:bottom w:val="none" w:sz="0" w:space="0" w:color="auto"/>
        <w:right w:val="none" w:sz="0" w:space="0" w:color="auto"/>
      </w:divBdr>
    </w:div>
    <w:div w:id="1809980944">
      <w:bodyDiv w:val="1"/>
      <w:marLeft w:val="0"/>
      <w:marRight w:val="0"/>
      <w:marTop w:val="0"/>
      <w:marBottom w:val="0"/>
      <w:divBdr>
        <w:top w:val="none" w:sz="0" w:space="0" w:color="auto"/>
        <w:left w:val="none" w:sz="0" w:space="0" w:color="auto"/>
        <w:bottom w:val="none" w:sz="0" w:space="0" w:color="auto"/>
        <w:right w:val="none" w:sz="0" w:space="0" w:color="auto"/>
      </w:divBdr>
      <w:divsChild>
        <w:div w:id="801270583">
          <w:marLeft w:val="0"/>
          <w:marRight w:val="0"/>
          <w:marTop w:val="0"/>
          <w:marBottom w:val="0"/>
          <w:divBdr>
            <w:top w:val="none" w:sz="0" w:space="0" w:color="auto"/>
            <w:left w:val="none" w:sz="0" w:space="0" w:color="auto"/>
            <w:bottom w:val="none" w:sz="0" w:space="0" w:color="auto"/>
            <w:right w:val="none" w:sz="0" w:space="0" w:color="auto"/>
          </w:divBdr>
        </w:div>
        <w:div w:id="1018196285">
          <w:marLeft w:val="0"/>
          <w:marRight w:val="0"/>
          <w:marTop w:val="0"/>
          <w:marBottom w:val="0"/>
          <w:divBdr>
            <w:top w:val="none" w:sz="0" w:space="0" w:color="auto"/>
            <w:left w:val="none" w:sz="0" w:space="0" w:color="auto"/>
            <w:bottom w:val="none" w:sz="0" w:space="0" w:color="auto"/>
            <w:right w:val="none" w:sz="0" w:space="0" w:color="auto"/>
          </w:divBdr>
        </w:div>
      </w:divsChild>
    </w:div>
    <w:div w:id="1810170186">
      <w:bodyDiv w:val="1"/>
      <w:marLeft w:val="0"/>
      <w:marRight w:val="0"/>
      <w:marTop w:val="0"/>
      <w:marBottom w:val="0"/>
      <w:divBdr>
        <w:top w:val="none" w:sz="0" w:space="0" w:color="auto"/>
        <w:left w:val="none" w:sz="0" w:space="0" w:color="auto"/>
        <w:bottom w:val="none" w:sz="0" w:space="0" w:color="auto"/>
        <w:right w:val="none" w:sz="0" w:space="0" w:color="auto"/>
      </w:divBdr>
    </w:div>
    <w:div w:id="1810322057">
      <w:bodyDiv w:val="1"/>
      <w:marLeft w:val="0"/>
      <w:marRight w:val="0"/>
      <w:marTop w:val="0"/>
      <w:marBottom w:val="0"/>
      <w:divBdr>
        <w:top w:val="none" w:sz="0" w:space="0" w:color="auto"/>
        <w:left w:val="none" w:sz="0" w:space="0" w:color="auto"/>
        <w:bottom w:val="none" w:sz="0" w:space="0" w:color="auto"/>
        <w:right w:val="none" w:sz="0" w:space="0" w:color="auto"/>
      </w:divBdr>
    </w:div>
    <w:div w:id="1810708640">
      <w:bodyDiv w:val="1"/>
      <w:marLeft w:val="0"/>
      <w:marRight w:val="0"/>
      <w:marTop w:val="0"/>
      <w:marBottom w:val="0"/>
      <w:divBdr>
        <w:top w:val="none" w:sz="0" w:space="0" w:color="auto"/>
        <w:left w:val="none" w:sz="0" w:space="0" w:color="auto"/>
        <w:bottom w:val="none" w:sz="0" w:space="0" w:color="auto"/>
        <w:right w:val="none" w:sz="0" w:space="0" w:color="auto"/>
      </w:divBdr>
    </w:div>
    <w:div w:id="1815104101">
      <w:bodyDiv w:val="1"/>
      <w:marLeft w:val="0"/>
      <w:marRight w:val="0"/>
      <w:marTop w:val="0"/>
      <w:marBottom w:val="0"/>
      <w:divBdr>
        <w:top w:val="none" w:sz="0" w:space="0" w:color="auto"/>
        <w:left w:val="none" w:sz="0" w:space="0" w:color="auto"/>
        <w:bottom w:val="none" w:sz="0" w:space="0" w:color="auto"/>
        <w:right w:val="none" w:sz="0" w:space="0" w:color="auto"/>
      </w:divBdr>
    </w:div>
    <w:div w:id="1816800676">
      <w:bodyDiv w:val="1"/>
      <w:marLeft w:val="0"/>
      <w:marRight w:val="0"/>
      <w:marTop w:val="0"/>
      <w:marBottom w:val="0"/>
      <w:divBdr>
        <w:top w:val="none" w:sz="0" w:space="0" w:color="auto"/>
        <w:left w:val="none" w:sz="0" w:space="0" w:color="auto"/>
        <w:bottom w:val="none" w:sz="0" w:space="0" w:color="auto"/>
        <w:right w:val="none" w:sz="0" w:space="0" w:color="auto"/>
      </w:divBdr>
      <w:divsChild>
        <w:div w:id="258879283">
          <w:marLeft w:val="0"/>
          <w:marRight w:val="0"/>
          <w:marTop w:val="0"/>
          <w:marBottom w:val="0"/>
          <w:divBdr>
            <w:top w:val="none" w:sz="0" w:space="0" w:color="auto"/>
            <w:left w:val="none" w:sz="0" w:space="0" w:color="auto"/>
            <w:bottom w:val="none" w:sz="0" w:space="0" w:color="auto"/>
            <w:right w:val="none" w:sz="0" w:space="0" w:color="auto"/>
          </w:divBdr>
        </w:div>
        <w:div w:id="1385956475">
          <w:marLeft w:val="0"/>
          <w:marRight w:val="0"/>
          <w:marTop w:val="0"/>
          <w:marBottom w:val="0"/>
          <w:divBdr>
            <w:top w:val="none" w:sz="0" w:space="0" w:color="auto"/>
            <w:left w:val="none" w:sz="0" w:space="0" w:color="auto"/>
            <w:bottom w:val="none" w:sz="0" w:space="0" w:color="auto"/>
            <w:right w:val="none" w:sz="0" w:space="0" w:color="auto"/>
          </w:divBdr>
        </w:div>
        <w:div w:id="1534347315">
          <w:marLeft w:val="0"/>
          <w:marRight w:val="0"/>
          <w:marTop w:val="0"/>
          <w:marBottom w:val="0"/>
          <w:divBdr>
            <w:top w:val="none" w:sz="0" w:space="0" w:color="auto"/>
            <w:left w:val="none" w:sz="0" w:space="0" w:color="auto"/>
            <w:bottom w:val="none" w:sz="0" w:space="0" w:color="auto"/>
            <w:right w:val="none" w:sz="0" w:space="0" w:color="auto"/>
          </w:divBdr>
        </w:div>
      </w:divsChild>
    </w:div>
    <w:div w:id="1818065750">
      <w:bodyDiv w:val="1"/>
      <w:marLeft w:val="0"/>
      <w:marRight w:val="0"/>
      <w:marTop w:val="0"/>
      <w:marBottom w:val="0"/>
      <w:divBdr>
        <w:top w:val="none" w:sz="0" w:space="0" w:color="auto"/>
        <w:left w:val="none" w:sz="0" w:space="0" w:color="auto"/>
        <w:bottom w:val="none" w:sz="0" w:space="0" w:color="auto"/>
        <w:right w:val="none" w:sz="0" w:space="0" w:color="auto"/>
      </w:divBdr>
      <w:divsChild>
        <w:div w:id="522784545">
          <w:marLeft w:val="0"/>
          <w:marRight w:val="0"/>
          <w:marTop w:val="0"/>
          <w:marBottom w:val="0"/>
          <w:divBdr>
            <w:top w:val="none" w:sz="0" w:space="0" w:color="auto"/>
            <w:left w:val="none" w:sz="0" w:space="0" w:color="auto"/>
            <w:bottom w:val="none" w:sz="0" w:space="0" w:color="auto"/>
            <w:right w:val="none" w:sz="0" w:space="0" w:color="auto"/>
          </w:divBdr>
        </w:div>
        <w:div w:id="1546329631">
          <w:marLeft w:val="0"/>
          <w:marRight w:val="0"/>
          <w:marTop w:val="0"/>
          <w:marBottom w:val="0"/>
          <w:divBdr>
            <w:top w:val="none" w:sz="0" w:space="0" w:color="auto"/>
            <w:left w:val="none" w:sz="0" w:space="0" w:color="auto"/>
            <w:bottom w:val="none" w:sz="0" w:space="0" w:color="auto"/>
            <w:right w:val="none" w:sz="0" w:space="0" w:color="auto"/>
          </w:divBdr>
        </w:div>
      </w:divsChild>
    </w:div>
    <w:div w:id="1820612495">
      <w:bodyDiv w:val="1"/>
      <w:marLeft w:val="0"/>
      <w:marRight w:val="0"/>
      <w:marTop w:val="0"/>
      <w:marBottom w:val="0"/>
      <w:divBdr>
        <w:top w:val="none" w:sz="0" w:space="0" w:color="auto"/>
        <w:left w:val="none" w:sz="0" w:space="0" w:color="auto"/>
        <w:bottom w:val="none" w:sz="0" w:space="0" w:color="auto"/>
        <w:right w:val="none" w:sz="0" w:space="0" w:color="auto"/>
      </w:divBdr>
    </w:div>
    <w:div w:id="1820802816">
      <w:bodyDiv w:val="1"/>
      <w:marLeft w:val="0"/>
      <w:marRight w:val="0"/>
      <w:marTop w:val="0"/>
      <w:marBottom w:val="0"/>
      <w:divBdr>
        <w:top w:val="none" w:sz="0" w:space="0" w:color="auto"/>
        <w:left w:val="none" w:sz="0" w:space="0" w:color="auto"/>
        <w:bottom w:val="none" w:sz="0" w:space="0" w:color="auto"/>
        <w:right w:val="none" w:sz="0" w:space="0" w:color="auto"/>
      </w:divBdr>
    </w:div>
    <w:div w:id="1821076491">
      <w:bodyDiv w:val="1"/>
      <w:marLeft w:val="0"/>
      <w:marRight w:val="0"/>
      <w:marTop w:val="0"/>
      <w:marBottom w:val="0"/>
      <w:divBdr>
        <w:top w:val="none" w:sz="0" w:space="0" w:color="auto"/>
        <w:left w:val="none" w:sz="0" w:space="0" w:color="auto"/>
        <w:bottom w:val="none" w:sz="0" w:space="0" w:color="auto"/>
        <w:right w:val="none" w:sz="0" w:space="0" w:color="auto"/>
      </w:divBdr>
    </w:div>
    <w:div w:id="1821188832">
      <w:bodyDiv w:val="1"/>
      <w:marLeft w:val="0"/>
      <w:marRight w:val="0"/>
      <w:marTop w:val="0"/>
      <w:marBottom w:val="0"/>
      <w:divBdr>
        <w:top w:val="none" w:sz="0" w:space="0" w:color="auto"/>
        <w:left w:val="none" w:sz="0" w:space="0" w:color="auto"/>
        <w:bottom w:val="none" w:sz="0" w:space="0" w:color="auto"/>
        <w:right w:val="none" w:sz="0" w:space="0" w:color="auto"/>
      </w:divBdr>
      <w:divsChild>
        <w:div w:id="1499232895">
          <w:marLeft w:val="0"/>
          <w:marRight w:val="0"/>
          <w:marTop w:val="0"/>
          <w:marBottom w:val="0"/>
          <w:divBdr>
            <w:top w:val="none" w:sz="0" w:space="0" w:color="auto"/>
            <w:left w:val="none" w:sz="0" w:space="0" w:color="auto"/>
            <w:bottom w:val="none" w:sz="0" w:space="0" w:color="auto"/>
            <w:right w:val="none" w:sz="0" w:space="0" w:color="auto"/>
          </w:divBdr>
        </w:div>
        <w:div w:id="2107918861">
          <w:marLeft w:val="0"/>
          <w:marRight w:val="0"/>
          <w:marTop w:val="0"/>
          <w:marBottom w:val="0"/>
          <w:divBdr>
            <w:top w:val="none" w:sz="0" w:space="0" w:color="auto"/>
            <w:left w:val="none" w:sz="0" w:space="0" w:color="auto"/>
            <w:bottom w:val="none" w:sz="0" w:space="0" w:color="auto"/>
            <w:right w:val="none" w:sz="0" w:space="0" w:color="auto"/>
          </w:divBdr>
        </w:div>
      </w:divsChild>
    </w:div>
    <w:div w:id="1821530772">
      <w:bodyDiv w:val="1"/>
      <w:marLeft w:val="0"/>
      <w:marRight w:val="0"/>
      <w:marTop w:val="0"/>
      <w:marBottom w:val="0"/>
      <w:divBdr>
        <w:top w:val="none" w:sz="0" w:space="0" w:color="auto"/>
        <w:left w:val="none" w:sz="0" w:space="0" w:color="auto"/>
        <w:bottom w:val="none" w:sz="0" w:space="0" w:color="auto"/>
        <w:right w:val="none" w:sz="0" w:space="0" w:color="auto"/>
      </w:divBdr>
      <w:divsChild>
        <w:div w:id="428283441">
          <w:marLeft w:val="0"/>
          <w:marRight w:val="0"/>
          <w:marTop w:val="0"/>
          <w:marBottom w:val="0"/>
          <w:divBdr>
            <w:top w:val="none" w:sz="0" w:space="0" w:color="auto"/>
            <w:left w:val="none" w:sz="0" w:space="0" w:color="auto"/>
            <w:bottom w:val="none" w:sz="0" w:space="0" w:color="auto"/>
            <w:right w:val="none" w:sz="0" w:space="0" w:color="auto"/>
          </w:divBdr>
        </w:div>
        <w:div w:id="518550026">
          <w:marLeft w:val="0"/>
          <w:marRight w:val="0"/>
          <w:marTop w:val="0"/>
          <w:marBottom w:val="0"/>
          <w:divBdr>
            <w:top w:val="none" w:sz="0" w:space="0" w:color="auto"/>
            <w:left w:val="none" w:sz="0" w:space="0" w:color="auto"/>
            <w:bottom w:val="none" w:sz="0" w:space="0" w:color="auto"/>
            <w:right w:val="none" w:sz="0" w:space="0" w:color="auto"/>
          </w:divBdr>
        </w:div>
        <w:div w:id="1942880774">
          <w:marLeft w:val="0"/>
          <w:marRight w:val="0"/>
          <w:marTop w:val="0"/>
          <w:marBottom w:val="0"/>
          <w:divBdr>
            <w:top w:val="none" w:sz="0" w:space="0" w:color="auto"/>
            <w:left w:val="none" w:sz="0" w:space="0" w:color="auto"/>
            <w:bottom w:val="none" w:sz="0" w:space="0" w:color="auto"/>
            <w:right w:val="none" w:sz="0" w:space="0" w:color="auto"/>
          </w:divBdr>
        </w:div>
      </w:divsChild>
    </w:div>
    <w:div w:id="1822115663">
      <w:bodyDiv w:val="1"/>
      <w:marLeft w:val="0"/>
      <w:marRight w:val="0"/>
      <w:marTop w:val="0"/>
      <w:marBottom w:val="0"/>
      <w:divBdr>
        <w:top w:val="none" w:sz="0" w:space="0" w:color="auto"/>
        <w:left w:val="none" w:sz="0" w:space="0" w:color="auto"/>
        <w:bottom w:val="none" w:sz="0" w:space="0" w:color="auto"/>
        <w:right w:val="none" w:sz="0" w:space="0" w:color="auto"/>
      </w:divBdr>
      <w:divsChild>
        <w:div w:id="852960007">
          <w:marLeft w:val="0"/>
          <w:marRight w:val="0"/>
          <w:marTop w:val="0"/>
          <w:marBottom w:val="0"/>
          <w:divBdr>
            <w:top w:val="none" w:sz="0" w:space="0" w:color="auto"/>
            <w:left w:val="none" w:sz="0" w:space="0" w:color="auto"/>
            <w:bottom w:val="none" w:sz="0" w:space="0" w:color="auto"/>
            <w:right w:val="none" w:sz="0" w:space="0" w:color="auto"/>
          </w:divBdr>
        </w:div>
        <w:div w:id="1236159284">
          <w:marLeft w:val="0"/>
          <w:marRight w:val="0"/>
          <w:marTop w:val="0"/>
          <w:marBottom w:val="0"/>
          <w:divBdr>
            <w:top w:val="none" w:sz="0" w:space="0" w:color="auto"/>
            <w:left w:val="none" w:sz="0" w:space="0" w:color="auto"/>
            <w:bottom w:val="none" w:sz="0" w:space="0" w:color="auto"/>
            <w:right w:val="none" w:sz="0" w:space="0" w:color="auto"/>
          </w:divBdr>
        </w:div>
        <w:div w:id="1308781611">
          <w:marLeft w:val="0"/>
          <w:marRight w:val="0"/>
          <w:marTop w:val="0"/>
          <w:marBottom w:val="0"/>
          <w:divBdr>
            <w:top w:val="none" w:sz="0" w:space="0" w:color="auto"/>
            <w:left w:val="none" w:sz="0" w:space="0" w:color="auto"/>
            <w:bottom w:val="none" w:sz="0" w:space="0" w:color="auto"/>
            <w:right w:val="none" w:sz="0" w:space="0" w:color="auto"/>
          </w:divBdr>
        </w:div>
        <w:div w:id="1606494220">
          <w:marLeft w:val="0"/>
          <w:marRight w:val="0"/>
          <w:marTop w:val="0"/>
          <w:marBottom w:val="0"/>
          <w:divBdr>
            <w:top w:val="none" w:sz="0" w:space="0" w:color="auto"/>
            <w:left w:val="none" w:sz="0" w:space="0" w:color="auto"/>
            <w:bottom w:val="none" w:sz="0" w:space="0" w:color="auto"/>
            <w:right w:val="none" w:sz="0" w:space="0" w:color="auto"/>
          </w:divBdr>
        </w:div>
        <w:div w:id="1619678714">
          <w:marLeft w:val="0"/>
          <w:marRight w:val="0"/>
          <w:marTop w:val="0"/>
          <w:marBottom w:val="0"/>
          <w:divBdr>
            <w:top w:val="none" w:sz="0" w:space="0" w:color="auto"/>
            <w:left w:val="none" w:sz="0" w:space="0" w:color="auto"/>
            <w:bottom w:val="none" w:sz="0" w:space="0" w:color="auto"/>
            <w:right w:val="none" w:sz="0" w:space="0" w:color="auto"/>
          </w:divBdr>
        </w:div>
      </w:divsChild>
    </w:div>
    <w:div w:id="1823887947">
      <w:bodyDiv w:val="1"/>
      <w:marLeft w:val="0"/>
      <w:marRight w:val="0"/>
      <w:marTop w:val="0"/>
      <w:marBottom w:val="0"/>
      <w:divBdr>
        <w:top w:val="none" w:sz="0" w:space="0" w:color="auto"/>
        <w:left w:val="none" w:sz="0" w:space="0" w:color="auto"/>
        <w:bottom w:val="none" w:sz="0" w:space="0" w:color="auto"/>
        <w:right w:val="none" w:sz="0" w:space="0" w:color="auto"/>
      </w:divBdr>
    </w:div>
    <w:div w:id="1825853177">
      <w:bodyDiv w:val="1"/>
      <w:marLeft w:val="0"/>
      <w:marRight w:val="0"/>
      <w:marTop w:val="0"/>
      <w:marBottom w:val="0"/>
      <w:divBdr>
        <w:top w:val="none" w:sz="0" w:space="0" w:color="auto"/>
        <w:left w:val="none" w:sz="0" w:space="0" w:color="auto"/>
        <w:bottom w:val="none" w:sz="0" w:space="0" w:color="auto"/>
        <w:right w:val="none" w:sz="0" w:space="0" w:color="auto"/>
      </w:divBdr>
    </w:div>
    <w:div w:id="1827427816">
      <w:bodyDiv w:val="1"/>
      <w:marLeft w:val="0"/>
      <w:marRight w:val="0"/>
      <w:marTop w:val="0"/>
      <w:marBottom w:val="0"/>
      <w:divBdr>
        <w:top w:val="none" w:sz="0" w:space="0" w:color="auto"/>
        <w:left w:val="none" w:sz="0" w:space="0" w:color="auto"/>
        <w:bottom w:val="none" w:sz="0" w:space="0" w:color="auto"/>
        <w:right w:val="none" w:sz="0" w:space="0" w:color="auto"/>
      </w:divBdr>
    </w:div>
    <w:div w:id="1829128934">
      <w:bodyDiv w:val="1"/>
      <w:marLeft w:val="0"/>
      <w:marRight w:val="0"/>
      <w:marTop w:val="0"/>
      <w:marBottom w:val="0"/>
      <w:divBdr>
        <w:top w:val="none" w:sz="0" w:space="0" w:color="auto"/>
        <w:left w:val="none" w:sz="0" w:space="0" w:color="auto"/>
        <w:bottom w:val="none" w:sz="0" w:space="0" w:color="auto"/>
        <w:right w:val="none" w:sz="0" w:space="0" w:color="auto"/>
      </w:divBdr>
    </w:div>
    <w:div w:id="1830636058">
      <w:bodyDiv w:val="1"/>
      <w:marLeft w:val="0"/>
      <w:marRight w:val="0"/>
      <w:marTop w:val="0"/>
      <w:marBottom w:val="0"/>
      <w:divBdr>
        <w:top w:val="none" w:sz="0" w:space="0" w:color="auto"/>
        <w:left w:val="none" w:sz="0" w:space="0" w:color="auto"/>
        <w:bottom w:val="none" w:sz="0" w:space="0" w:color="auto"/>
        <w:right w:val="none" w:sz="0" w:space="0" w:color="auto"/>
      </w:divBdr>
      <w:divsChild>
        <w:div w:id="202518314">
          <w:marLeft w:val="0"/>
          <w:marRight w:val="0"/>
          <w:marTop w:val="0"/>
          <w:marBottom w:val="0"/>
          <w:divBdr>
            <w:top w:val="none" w:sz="0" w:space="0" w:color="auto"/>
            <w:left w:val="none" w:sz="0" w:space="0" w:color="auto"/>
            <w:bottom w:val="none" w:sz="0" w:space="0" w:color="auto"/>
            <w:right w:val="none" w:sz="0" w:space="0" w:color="auto"/>
          </w:divBdr>
        </w:div>
        <w:div w:id="695347423">
          <w:marLeft w:val="0"/>
          <w:marRight w:val="0"/>
          <w:marTop w:val="0"/>
          <w:marBottom w:val="0"/>
          <w:divBdr>
            <w:top w:val="none" w:sz="0" w:space="0" w:color="auto"/>
            <w:left w:val="none" w:sz="0" w:space="0" w:color="auto"/>
            <w:bottom w:val="none" w:sz="0" w:space="0" w:color="auto"/>
            <w:right w:val="none" w:sz="0" w:space="0" w:color="auto"/>
          </w:divBdr>
        </w:div>
      </w:divsChild>
    </w:div>
    <w:div w:id="1830754621">
      <w:bodyDiv w:val="1"/>
      <w:marLeft w:val="0"/>
      <w:marRight w:val="0"/>
      <w:marTop w:val="0"/>
      <w:marBottom w:val="0"/>
      <w:divBdr>
        <w:top w:val="none" w:sz="0" w:space="0" w:color="auto"/>
        <w:left w:val="none" w:sz="0" w:space="0" w:color="auto"/>
        <w:bottom w:val="none" w:sz="0" w:space="0" w:color="auto"/>
        <w:right w:val="none" w:sz="0" w:space="0" w:color="auto"/>
      </w:divBdr>
    </w:div>
    <w:div w:id="1832063550">
      <w:bodyDiv w:val="1"/>
      <w:marLeft w:val="0"/>
      <w:marRight w:val="0"/>
      <w:marTop w:val="0"/>
      <w:marBottom w:val="0"/>
      <w:divBdr>
        <w:top w:val="none" w:sz="0" w:space="0" w:color="auto"/>
        <w:left w:val="none" w:sz="0" w:space="0" w:color="auto"/>
        <w:bottom w:val="none" w:sz="0" w:space="0" w:color="auto"/>
        <w:right w:val="none" w:sz="0" w:space="0" w:color="auto"/>
      </w:divBdr>
      <w:divsChild>
        <w:div w:id="1172573190">
          <w:marLeft w:val="0"/>
          <w:marRight w:val="0"/>
          <w:marTop w:val="0"/>
          <w:marBottom w:val="0"/>
          <w:divBdr>
            <w:top w:val="none" w:sz="0" w:space="0" w:color="auto"/>
            <w:left w:val="none" w:sz="0" w:space="0" w:color="auto"/>
            <w:bottom w:val="none" w:sz="0" w:space="0" w:color="auto"/>
            <w:right w:val="none" w:sz="0" w:space="0" w:color="auto"/>
          </w:divBdr>
        </w:div>
        <w:div w:id="1590236384">
          <w:marLeft w:val="0"/>
          <w:marRight w:val="0"/>
          <w:marTop w:val="0"/>
          <w:marBottom w:val="0"/>
          <w:divBdr>
            <w:top w:val="none" w:sz="0" w:space="0" w:color="auto"/>
            <w:left w:val="none" w:sz="0" w:space="0" w:color="auto"/>
            <w:bottom w:val="none" w:sz="0" w:space="0" w:color="auto"/>
            <w:right w:val="none" w:sz="0" w:space="0" w:color="auto"/>
          </w:divBdr>
        </w:div>
      </w:divsChild>
    </w:div>
    <w:div w:id="1833830118">
      <w:bodyDiv w:val="1"/>
      <w:marLeft w:val="0"/>
      <w:marRight w:val="0"/>
      <w:marTop w:val="0"/>
      <w:marBottom w:val="0"/>
      <w:divBdr>
        <w:top w:val="none" w:sz="0" w:space="0" w:color="auto"/>
        <w:left w:val="none" w:sz="0" w:space="0" w:color="auto"/>
        <w:bottom w:val="none" w:sz="0" w:space="0" w:color="auto"/>
        <w:right w:val="none" w:sz="0" w:space="0" w:color="auto"/>
      </w:divBdr>
    </w:div>
    <w:div w:id="1838228095">
      <w:bodyDiv w:val="1"/>
      <w:marLeft w:val="0"/>
      <w:marRight w:val="0"/>
      <w:marTop w:val="0"/>
      <w:marBottom w:val="0"/>
      <w:divBdr>
        <w:top w:val="none" w:sz="0" w:space="0" w:color="auto"/>
        <w:left w:val="none" w:sz="0" w:space="0" w:color="auto"/>
        <w:bottom w:val="none" w:sz="0" w:space="0" w:color="auto"/>
        <w:right w:val="none" w:sz="0" w:space="0" w:color="auto"/>
      </w:divBdr>
      <w:divsChild>
        <w:div w:id="1975140970">
          <w:marLeft w:val="0"/>
          <w:marRight w:val="0"/>
          <w:marTop w:val="0"/>
          <w:marBottom w:val="0"/>
          <w:divBdr>
            <w:top w:val="none" w:sz="0" w:space="0" w:color="auto"/>
            <w:left w:val="none" w:sz="0" w:space="0" w:color="auto"/>
            <w:bottom w:val="none" w:sz="0" w:space="0" w:color="auto"/>
            <w:right w:val="none" w:sz="0" w:space="0" w:color="auto"/>
          </w:divBdr>
        </w:div>
        <w:div w:id="2133358840">
          <w:marLeft w:val="0"/>
          <w:marRight w:val="0"/>
          <w:marTop w:val="0"/>
          <w:marBottom w:val="0"/>
          <w:divBdr>
            <w:top w:val="none" w:sz="0" w:space="0" w:color="auto"/>
            <w:left w:val="none" w:sz="0" w:space="0" w:color="auto"/>
            <w:bottom w:val="none" w:sz="0" w:space="0" w:color="auto"/>
            <w:right w:val="none" w:sz="0" w:space="0" w:color="auto"/>
          </w:divBdr>
        </w:div>
      </w:divsChild>
    </w:div>
    <w:div w:id="1844314215">
      <w:bodyDiv w:val="1"/>
      <w:marLeft w:val="0"/>
      <w:marRight w:val="0"/>
      <w:marTop w:val="0"/>
      <w:marBottom w:val="0"/>
      <w:divBdr>
        <w:top w:val="none" w:sz="0" w:space="0" w:color="auto"/>
        <w:left w:val="none" w:sz="0" w:space="0" w:color="auto"/>
        <w:bottom w:val="none" w:sz="0" w:space="0" w:color="auto"/>
        <w:right w:val="none" w:sz="0" w:space="0" w:color="auto"/>
      </w:divBdr>
    </w:div>
    <w:div w:id="1849171262">
      <w:bodyDiv w:val="1"/>
      <w:marLeft w:val="0"/>
      <w:marRight w:val="0"/>
      <w:marTop w:val="0"/>
      <w:marBottom w:val="0"/>
      <w:divBdr>
        <w:top w:val="none" w:sz="0" w:space="0" w:color="auto"/>
        <w:left w:val="none" w:sz="0" w:space="0" w:color="auto"/>
        <w:bottom w:val="none" w:sz="0" w:space="0" w:color="auto"/>
        <w:right w:val="none" w:sz="0" w:space="0" w:color="auto"/>
      </w:divBdr>
      <w:divsChild>
        <w:div w:id="434910508">
          <w:marLeft w:val="0"/>
          <w:marRight w:val="0"/>
          <w:marTop w:val="0"/>
          <w:marBottom w:val="0"/>
          <w:divBdr>
            <w:top w:val="none" w:sz="0" w:space="0" w:color="auto"/>
            <w:left w:val="none" w:sz="0" w:space="0" w:color="auto"/>
            <w:bottom w:val="none" w:sz="0" w:space="0" w:color="auto"/>
            <w:right w:val="none" w:sz="0" w:space="0" w:color="auto"/>
          </w:divBdr>
        </w:div>
        <w:div w:id="1261840291">
          <w:marLeft w:val="0"/>
          <w:marRight w:val="0"/>
          <w:marTop w:val="0"/>
          <w:marBottom w:val="0"/>
          <w:divBdr>
            <w:top w:val="none" w:sz="0" w:space="0" w:color="auto"/>
            <w:left w:val="none" w:sz="0" w:space="0" w:color="auto"/>
            <w:bottom w:val="none" w:sz="0" w:space="0" w:color="auto"/>
            <w:right w:val="none" w:sz="0" w:space="0" w:color="auto"/>
          </w:divBdr>
        </w:div>
        <w:div w:id="1933389636">
          <w:marLeft w:val="0"/>
          <w:marRight w:val="0"/>
          <w:marTop w:val="0"/>
          <w:marBottom w:val="0"/>
          <w:divBdr>
            <w:top w:val="none" w:sz="0" w:space="0" w:color="auto"/>
            <w:left w:val="none" w:sz="0" w:space="0" w:color="auto"/>
            <w:bottom w:val="none" w:sz="0" w:space="0" w:color="auto"/>
            <w:right w:val="none" w:sz="0" w:space="0" w:color="auto"/>
          </w:divBdr>
        </w:div>
      </w:divsChild>
    </w:div>
    <w:div w:id="1850757241">
      <w:bodyDiv w:val="1"/>
      <w:marLeft w:val="0"/>
      <w:marRight w:val="0"/>
      <w:marTop w:val="0"/>
      <w:marBottom w:val="0"/>
      <w:divBdr>
        <w:top w:val="none" w:sz="0" w:space="0" w:color="auto"/>
        <w:left w:val="none" w:sz="0" w:space="0" w:color="auto"/>
        <w:bottom w:val="none" w:sz="0" w:space="0" w:color="auto"/>
        <w:right w:val="none" w:sz="0" w:space="0" w:color="auto"/>
      </w:divBdr>
      <w:divsChild>
        <w:div w:id="1107852002">
          <w:marLeft w:val="0"/>
          <w:marRight w:val="0"/>
          <w:marTop w:val="0"/>
          <w:marBottom w:val="0"/>
          <w:divBdr>
            <w:top w:val="none" w:sz="0" w:space="0" w:color="auto"/>
            <w:left w:val="none" w:sz="0" w:space="0" w:color="auto"/>
            <w:bottom w:val="none" w:sz="0" w:space="0" w:color="auto"/>
            <w:right w:val="none" w:sz="0" w:space="0" w:color="auto"/>
          </w:divBdr>
          <w:divsChild>
            <w:div w:id="29498655">
              <w:marLeft w:val="0"/>
              <w:marRight w:val="0"/>
              <w:marTop w:val="0"/>
              <w:marBottom w:val="0"/>
              <w:divBdr>
                <w:top w:val="none" w:sz="0" w:space="0" w:color="auto"/>
                <w:left w:val="none" w:sz="0" w:space="0" w:color="auto"/>
                <w:bottom w:val="none" w:sz="0" w:space="0" w:color="auto"/>
                <w:right w:val="none" w:sz="0" w:space="0" w:color="auto"/>
              </w:divBdr>
            </w:div>
            <w:div w:id="254098947">
              <w:marLeft w:val="0"/>
              <w:marRight w:val="0"/>
              <w:marTop w:val="0"/>
              <w:marBottom w:val="0"/>
              <w:divBdr>
                <w:top w:val="none" w:sz="0" w:space="0" w:color="auto"/>
                <w:left w:val="none" w:sz="0" w:space="0" w:color="auto"/>
                <w:bottom w:val="none" w:sz="0" w:space="0" w:color="auto"/>
                <w:right w:val="none" w:sz="0" w:space="0" w:color="auto"/>
              </w:divBdr>
            </w:div>
          </w:divsChild>
        </w:div>
        <w:div w:id="1465922537">
          <w:marLeft w:val="0"/>
          <w:marRight w:val="0"/>
          <w:marTop w:val="0"/>
          <w:marBottom w:val="0"/>
          <w:divBdr>
            <w:top w:val="none" w:sz="0" w:space="0" w:color="auto"/>
            <w:left w:val="none" w:sz="0" w:space="0" w:color="auto"/>
            <w:bottom w:val="none" w:sz="0" w:space="0" w:color="auto"/>
            <w:right w:val="none" w:sz="0" w:space="0" w:color="auto"/>
          </w:divBdr>
          <w:divsChild>
            <w:div w:id="414667497">
              <w:marLeft w:val="0"/>
              <w:marRight w:val="0"/>
              <w:marTop w:val="0"/>
              <w:marBottom w:val="0"/>
              <w:divBdr>
                <w:top w:val="none" w:sz="0" w:space="0" w:color="auto"/>
                <w:left w:val="none" w:sz="0" w:space="0" w:color="auto"/>
                <w:bottom w:val="none" w:sz="0" w:space="0" w:color="auto"/>
                <w:right w:val="none" w:sz="0" w:space="0" w:color="auto"/>
              </w:divBdr>
              <w:divsChild>
                <w:div w:id="708649790">
                  <w:marLeft w:val="0"/>
                  <w:marRight w:val="0"/>
                  <w:marTop w:val="0"/>
                  <w:marBottom w:val="0"/>
                  <w:divBdr>
                    <w:top w:val="none" w:sz="0" w:space="0" w:color="auto"/>
                    <w:left w:val="none" w:sz="0" w:space="0" w:color="auto"/>
                    <w:bottom w:val="none" w:sz="0" w:space="0" w:color="auto"/>
                    <w:right w:val="none" w:sz="0" w:space="0" w:color="auto"/>
                  </w:divBdr>
                </w:div>
                <w:div w:id="1579024819">
                  <w:marLeft w:val="0"/>
                  <w:marRight w:val="0"/>
                  <w:marTop w:val="0"/>
                  <w:marBottom w:val="0"/>
                  <w:divBdr>
                    <w:top w:val="none" w:sz="0" w:space="0" w:color="auto"/>
                    <w:left w:val="none" w:sz="0" w:space="0" w:color="auto"/>
                    <w:bottom w:val="none" w:sz="0" w:space="0" w:color="auto"/>
                    <w:right w:val="none" w:sz="0" w:space="0" w:color="auto"/>
                  </w:divBdr>
                </w:div>
              </w:divsChild>
            </w:div>
            <w:div w:id="986132048">
              <w:marLeft w:val="0"/>
              <w:marRight w:val="0"/>
              <w:marTop w:val="0"/>
              <w:marBottom w:val="0"/>
              <w:divBdr>
                <w:top w:val="none" w:sz="0" w:space="0" w:color="auto"/>
                <w:left w:val="none" w:sz="0" w:space="0" w:color="auto"/>
                <w:bottom w:val="none" w:sz="0" w:space="0" w:color="auto"/>
                <w:right w:val="none" w:sz="0" w:space="0" w:color="auto"/>
              </w:divBdr>
              <w:divsChild>
                <w:div w:id="78799103">
                  <w:marLeft w:val="0"/>
                  <w:marRight w:val="0"/>
                  <w:marTop w:val="0"/>
                  <w:marBottom w:val="0"/>
                  <w:divBdr>
                    <w:top w:val="none" w:sz="0" w:space="0" w:color="auto"/>
                    <w:left w:val="none" w:sz="0" w:space="0" w:color="auto"/>
                    <w:bottom w:val="none" w:sz="0" w:space="0" w:color="auto"/>
                    <w:right w:val="none" w:sz="0" w:space="0" w:color="auto"/>
                  </w:divBdr>
                </w:div>
                <w:div w:id="1191837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4028649">
      <w:bodyDiv w:val="1"/>
      <w:marLeft w:val="0"/>
      <w:marRight w:val="0"/>
      <w:marTop w:val="0"/>
      <w:marBottom w:val="0"/>
      <w:divBdr>
        <w:top w:val="none" w:sz="0" w:space="0" w:color="auto"/>
        <w:left w:val="none" w:sz="0" w:space="0" w:color="auto"/>
        <w:bottom w:val="none" w:sz="0" w:space="0" w:color="auto"/>
        <w:right w:val="none" w:sz="0" w:space="0" w:color="auto"/>
      </w:divBdr>
    </w:div>
    <w:div w:id="1856190316">
      <w:bodyDiv w:val="1"/>
      <w:marLeft w:val="0"/>
      <w:marRight w:val="0"/>
      <w:marTop w:val="0"/>
      <w:marBottom w:val="0"/>
      <w:divBdr>
        <w:top w:val="none" w:sz="0" w:space="0" w:color="auto"/>
        <w:left w:val="none" w:sz="0" w:space="0" w:color="auto"/>
        <w:bottom w:val="none" w:sz="0" w:space="0" w:color="auto"/>
        <w:right w:val="none" w:sz="0" w:space="0" w:color="auto"/>
      </w:divBdr>
    </w:div>
    <w:div w:id="1863669882">
      <w:bodyDiv w:val="1"/>
      <w:marLeft w:val="0"/>
      <w:marRight w:val="0"/>
      <w:marTop w:val="0"/>
      <w:marBottom w:val="0"/>
      <w:divBdr>
        <w:top w:val="none" w:sz="0" w:space="0" w:color="auto"/>
        <w:left w:val="none" w:sz="0" w:space="0" w:color="auto"/>
        <w:bottom w:val="none" w:sz="0" w:space="0" w:color="auto"/>
        <w:right w:val="none" w:sz="0" w:space="0" w:color="auto"/>
      </w:divBdr>
      <w:divsChild>
        <w:div w:id="714278925">
          <w:marLeft w:val="0"/>
          <w:marRight w:val="0"/>
          <w:marTop w:val="0"/>
          <w:marBottom w:val="0"/>
          <w:divBdr>
            <w:top w:val="none" w:sz="0" w:space="0" w:color="auto"/>
            <w:left w:val="none" w:sz="0" w:space="0" w:color="auto"/>
            <w:bottom w:val="none" w:sz="0" w:space="0" w:color="auto"/>
            <w:right w:val="none" w:sz="0" w:space="0" w:color="auto"/>
          </w:divBdr>
        </w:div>
        <w:div w:id="1423063992">
          <w:marLeft w:val="0"/>
          <w:marRight w:val="0"/>
          <w:marTop w:val="0"/>
          <w:marBottom w:val="0"/>
          <w:divBdr>
            <w:top w:val="none" w:sz="0" w:space="0" w:color="auto"/>
            <w:left w:val="none" w:sz="0" w:space="0" w:color="auto"/>
            <w:bottom w:val="none" w:sz="0" w:space="0" w:color="auto"/>
            <w:right w:val="none" w:sz="0" w:space="0" w:color="auto"/>
          </w:divBdr>
        </w:div>
        <w:div w:id="1906716237">
          <w:marLeft w:val="0"/>
          <w:marRight w:val="0"/>
          <w:marTop w:val="0"/>
          <w:marBottom w:val="0"/>
          <w:divBdr>
            <w:top w:val="none" w:sz="0" w:space="0" w:color="auto"/>
            <w:left w:val="none" w:sz="0" w:space="0" w:color="auto"/>
            <w:bottom w:val="none" w:sz="0" w:space="0" w:color="auto"/>
            <w:right w:val="none" w:sz="0" w:space="0" w:color="auto"/>
          </w:divBdr>
        </w:div>
      </w:divsChild>
    </w:div>
    <w:div w:id="1867449384">
      <w:bodyDiv w:val="1"/>
      <w:marLeft w:val="0"/>
      <w:marRight w:val="0"/>
      <w:marTop w:val="0"/>
      <w:marBottom w:val="0"/>
      <w:divBdr>
        <w:top w:val="none" w:sz="0" w:space="0" w:color="auto"/>
        <w:left w:val="none" w:sz="0" w:space="0" w:color="auto"/>
        <w:bottom w:val="none" w:sz="0" w:space="0" w:color="auto"/>
        <w:right w:val="none" w:sz="0" w:space="0" w:color="auto"/>
      </w:divBdr>
    </w:div>
    <w:div w:id="1868594896">
      <w:bodyDiv w:val="1"/>
      <w:marLeft w:val="0"/>
      <w:marRight w:val="0"/>
      <w:marTop w:val="0"/>
      <w:marBottom w:val="0"/>
      <w:divBdr>
        <w:top w:val="none" w:sz="0" w:space="0" w:color="auto"/>
        <w:left w:val="none" w:sz="0" w:space="0" w:color="auto"/>
        <w:bottom w:val="none" w:sz="0" w:space="0" w:color="auto"/>
        <w:right w:val="none" w:sz="0" w:space="0" w:color="auto"/>
      </w:divBdr>
      <w:divsChild>
        <w:div w:id="82721731">
          <w:marLeft w:val="0"/>
          <w:marRight w:val="0"/>
          <w:marTop w:val="0"/>
          <w:marBottom w:val="0"/>
          <w:divBdr>
            <w:top w:val="none" w:sz="0" w:space="0" w:color="auto"/>
            <w:left w:val="none" w:sz="0" w:space="0" w:color="auto"/>
            <w:bottom w:val="none" w:sz="0" w:space="0" w:color="auto"/>
            <w:right w:val="none" w:sz="0" w:space="0" w:color="auto"/>
          </w:divBdr>
        </w:div>
        <w:div w:id="957301890">
          <w:marLeft w:val="0"/>
          <w:marRight w:val="0"/>
          <w:marTop w:val="0"/>
          <w:marBottom w:val="0"/>
          <w:divBdr>
            <w:top w:val="none" w:sz="0" w:space="0" w:color="auto"/>
            <w:left w:val="none" w:sz="0" w:space="0" w:color="auto"/>
            <w:bottom w:val="none" w:sz="0" w:space="0" w:color="auto"/>
            <w:right w:val="none" w:sz="0" w:space="0" w:color="auto"/>
          </w:divBdr>
        </w:div>
        <w:div w:id="1042286011">
          <w:marLeft w:val="0"/>
          <w:marRight w:val="0"/>
          <w:marTop w:val="0"/>
          <w:marBottom w:val="0"/>
          <w:divBdr>
            <w:top w:val="none" w:sz="0" w:space="0" w:color="auto"/>
            <w:left w:val="none" w:sz="0" w:space="0" w:color="auto"/>
            <w:bottom w:val="none" w:sz="0" w:space="0" w:color="auto"/>
            <w:right w:val="none" w:sz="0" w:space="0" w:color="auto"/>
          </w:divBdr>
        </w:div>
      </w:divsChild>
    </w:div>
    <w:div w:id="1868983434">
      <w:bodyDiv w:val="1"/>
      <w:marLeft w:val="0"/>
      <w:marRight w:val="0"/>
      <w:marTop w:val="0"/>
      <w:marBottom w:val="0"/>
      <w:divBdr>
        <w:top w:val="none" w:sz="0" w:space="0" w:color="auto"/>
        <w:left w:val="none" w:sz="0" w:space="0" w:color="auto"/>
        <w:bottom w:val="none" w:sz="0" w:space="0" w:color="auto"/>
        <w:right w:val="none" w:sz="0" w:space="0" w:color="auto"/>
      </w:divBdr>
      <w:divsChild>
        <w:div w:id="786579492">
          <w:marLeft w:val="0"/>
          <w:marRight w:val="0"/>
          <w:marTop w:val="0"/>
          <w:marBottom w:val="0"/>
          <w:divBdr>
            <w:top w:val="none" w:sz="0" w:space="0" w:color="auto"/>
            <w:left w:val="none" w:sz="0" w:space="0" w:color="auto"/>
            <w:bottom w:val="none" w:sz="0" w:space="0" w:color="auto"/>
            <w:right w:val="none" w:sz="0" w:space="0" w:color="auto"/>
          </w:divBdr>
        </w:div>
        <w:div w:id="934485591">
          <w:marLeft w:val="0"/>
          <w:marRight w:val="0"/>
          <w:marTop w:val="0"/>
          <w:marBottom w:val="0"/>
          <w:divBdr>
            <w:top w:val="none" w:sz="0" w:space="0" w:color="auto"/>
            <w:left w:val="none" w:sz="0" w:space="0" w:color="auto"/>
            <w:bottom w:val="none" w:sz="0" w:space="0" w:color="auto"/>
            <w:right w:val="none" w:sz="0" w:space="0" w:color="auto"/>
          </w:divBdr>
        </w:div>
      </w:divsChild>
    </w:div>
    <w:div w:id="1869484267">
      <w:bodyDiv w:val="1"/>
      <w:marLeft w:val="0"/>
      <w:marRight w:val="0"/>
      <w:marTop w:val="0"/>
      <w:marBottom w:val="0"/>
      <w:divBdr>
        <w:top w:val="none" w:sz="0" w:space="0" w:color="auto"/>
        <w:left w:val="none" w:sz="0" w:space="0" w:color="auto"/>
        <w:bottom w:val="none" w:sz="0" w:space="0" w:color="auto"/>
        <w:right w:val="none" w:sz="0" w:space="0" w:color="auto"/>
      </w:divBdr>
    </w:div>
    <w:div w:id="1869685468">
      <w:bodyDiv w:val="1"/>
      <w:marLeft w:val="0"/>
      <w:marRight w:val="0"/>
      <w:marTop w:val="0"/>
      <w:marBottom w:val="0"/>
      <w:divBdr>
        <w:top w:val="none" w:sz="0" w:space="0" w:color="auto"/>
        <w:left w:val="none" w:sz="0" w:space="0" w:color="auto"/>
        <w:bottom w:val="none" w:sz="0" w:space="0" w:color="auto"/>
        <w:right w:val="none" w:sz="0" w:space="0" w:color="auto"/>
      </w:divBdr>
      <w:divsChild>
        <w:div w:id="920725039">
          <w:marLeft w:val="0"/>
          <w:marRight w:val="0"/>
          <w:marTop w:val="0"/>
          <w:marBottom w:val="0"/>
          <w:divBdr>
            <w:top w:val="none" w:sz="0" w:space="0" w:color="auto"/>
            <w:left w:val="none" w:sz="0" w:space="0" w:color="auto"/>
            <w:bottom w:val="none" w:sz="0" w:space="0" w:color="auto"/>
            <w:right w:val="none" w:sz="0" w:space="0" w:color="auto"/>
          </w:divBdr>
          <w:divsChild>
            <w:div w:id="2080901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0601660">
      <w:bodyDiv w:val="1"/>
      <w:marLeft w:val="0"/>
      <w:marRight w:val="0"/>
      <w:marTop w:val="0"/>
      <w:marBottom w:val="0"/>
      <w:divBdr>
        <w:top w:val="none" w:sz="0" w:space="0" w:color="auto"/>
        <w:left w:val="none" w:sz="0" w:space="0" w:color="auto"/>
        <w:bottom w:val="none" w:sz="0" w:space="0" w:color="auto"/>
        <w:right w:val="none" w:sz="0" w:space="0" w:color="auto"/>
      </w:divBdr>
    </w:div>
    <w:div w:id="1871644232">
      <w:bodyDiv w:val="1"/>
      <w:marLeft w:val="0"/>
      <w:marRight w:val="0"/>
      <w:marTop w:val="0"/>
      <w:marBottom w:val="0"/>
      <w:divBdr>
        <w:top w:val="none" w:sz="0" w:space="0" w:color="auto"/>
        <w:left w:val="none" w:sz="0" w:space="0" w:color="auto"/>
        <w:bottom w:val="none" w:sz="0" w:space="0" w:color="auto"/>
        <w:right w:val="none" w:sz="0" w:space="0" w:color="auto"/>
      </w:divBdr>
    </w:div>
    <w:div w:id="1872916621">
      <w:bodyDiv w:val="1"/>
      <w:marLeft w:val="0"/>
      <w:marRight w:val="0"/>
      <w:marTop w:val="0"/>
      <w:marBottom w:val="0"/>
      <w:divBdr>
        <w:top w:val="none" w:sz="0" w:space="0" w:color="auto"/>
        <w:left w:val="none" w:sz="0" w:space="0" w:color="auto"/>
        <w:bottom w:val="none" w:sz="0" w:space="0" w:color="auto"/>
        <w:right w:val="none" w:sz="0" w:space="0" w:color="auto"/>
      </w:divBdr>
    </w:div>
    <w:div w:id="1878618250">
      <w:bodyDiv w:val="1"/>
      <w:marLeft w:val="0"/>
      <w:marRight w:val="0"/>
      <w:marTop w:val="0"/>
      <w:marBottom w:val="0"/>
      <w:divBdr>
        <w:top w:val="none" w:sz="0" w:space="0" w:color="auto"/>
        <w:left w:val="none" w:sz="0" w:space="0" w:color="auto"/>
        <w:bottom w:val="none" w:sz="0" w:space="0" w:color="auto"/>
        <w:right w:val="none" w:sz="0" w:space="0" w:color="auto"/>
      </w:divBdr>
      <w:divsChild>
        <w:div w:id="1328094830">
          <w:marLeft w:val="0"/>
          <w:marRight w:val="0"/>
          <w:marTop w:val="0"/>
          <w:marBottom w:val="0"/>
          <w:divBdr>
            <w:top w:val="none" w:sz="0" w:space="0" w:color="auto"/>
            <w:left w:val="none" w:sz="0" w:space="0" w:color="auto"/>
            <w:bottom w:val="none" w:sz="0" w:space="0" w:color="auto"/>
            <w:right w:val="none" w:sz="0" w:space="0" w:color="auto"/>
          </w:divBdr>
        </w:div>
        <w:div w:id="1876038520">
          <w:marLeft w:val="0"/>
          <w:marRight w:val="0"/>
          <w:marTop w:val="0"/>
          <w:marBottom w:val="0"/>
          <w:divBdr>
            <w:top w:val="none" w:sz="0" w:space="0" w:color="auto"/>
            <w:left w:val="none" w:sz="0" w:space="0" w:color="auto"/>
            <w:bottom w:val="none" w:sz="0" w:space="0" w:color="auto"/>
            <w:right w:val="none" w:sz="0" w:space="0" w:color="auto"/>
          </w:divBdr>
        </w:div>
      </w:divsChild>
    </w:div>
    <w:div w:id="1885368194">
      <w:bodyDiv w:val="1"/>
      <w:marLeft w:val="0"/>
      <w:marRight w:val="0"/>
      <w:marTop w:val="0"/>
      <w:marBottom w:val="0"/>
      <w:divBdr>
        <w:top w:val="none" w:sz="0" w:space="0" w:color="auto"/>
        <w:left w:val="none" w:sz="0" w:space="0" w:color="auto"/>
        <w:bottom w:val="none" w:sz="0" w:space="0" w:color="auto"/>
        <w:right w:val="none" w:sz="0" w:space="0" w:color="auto"/>
      </w:divBdr>
      <w:divsChild>
        <w:div w:id="432634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886481250">
      <w:bodyDiv w:val="1"/>
      <w:marLeft w:val="0"/>
      <w:marRight w:val="0"/>
      <w:marTop w:val="0"/>
      <w:marBottom w:val="0"/>
      <w:divBdr>
        <w:top w:val="none" w:sz="0" w:space="0" w:color="auto"/>
        <w:left w:val="none" w:sz="0" w:space="0" w:color="auto"/>
        <w:bottom w:val="none" w:sz="0" w:space="0" w:color="auto"/>
        <w:right w:val="none" w:sz="0" w:space="0" w:color="auto"/>
      </w:divBdr>
      <w:divsChild>
        <w:div w:id="1256745229">
          <w:marLeft w:val="0"/>
          <w:marRight w:val="0"/>
          <w:marTop w:val="0"/>
          <w:marBottom w:val="0"/>
          <w:divBdr>
            <w:top w:val="none" w:sz="0" w:space="0" w:color="auto"/>
            <w:left w:val="none" w:sz="0" w:space="0" w:color="auto"/>
            <w:bottom w:val="none" w:sz="0" w:space="0" w:color="auto"/>
            <w:right w:val="none" w:sz="0" w:space="0" w:color="auto"/>
          </w:divBdr>
        </w:div>
        <w:div w:id="1307707075">
          <w:marLeft w:val="0"/>
          <w:marRight w:val="0"/>
          <w:marTop w:val="0"/>
          <w:marBottom w:val="0"/>
          <w:divBdr>
            <w:top w:val="none" w:sz="0" w:space="0" w:color="auto"/>
            <w:left w:val="none" w:sz="0" w:space="0" w:color="auto"/>
            <w:bottom w:val="none" w:sz="0" w:space="0" w:color="auto"/>
            <w:right w:val="none" w:sz="0" w:space="0" w:color="auto"/>
          </w:divBdr>
        </w:div>
        <w:div w:id="2088384896">
          <w:marLeft w:val="0"/>
          <w:marRight w:val="0"/>
          <w:marTop w:val="0"/>
          <w:marBottom w:val="0"/>
          <w:divBdr>
            <w:top w:val="none" w:sz="0" w:space="0" w:color="auto"/>
            <w:left w:val="none" w:sz="0" w:space="0" w:color="auto"/>
            <w:bottom w:val="none" w:sz="0" w:space="0" w:color="auto"/>
            <w:right w:val="none" w:sz="0" w:space="0" w:color="auto"/>
          </w:divBdr>
        </w:div>
      </w:divsChild>
    </w:div>
    <w:div w:id="1892502312">
      <w:bodyDiv w:val="1"/>
      <w:marLeft w:val="0"/>
      <w:marRight w:val="0"/>
      <w:marTop w:val="0"/>
      <w:marBottom w:val="0"/>
      <w:divBdr>
        <w:top w:val="none" w:sz="0" w:space="0" w:color="auto"/>
        <w:left w:val="none" w:sz="0" w:space="0" w:color="auto"/>
        <w:bottom w:val="none" w:sz="0" w:space="0" w:color="auto"/>
        <w:right w:val="none" w:sz="0" w:space="0" w:color="auto"/>
      </w:divBdr>
    </w:div>
    <w:div w:id="1892571654">
      <w:bodyDiv w:val="1"/>
      <w:marLeft w:val="0"/>
      <w:marRight w:val="0"/>
      <w:marTop w:val="0"/>
      <w:marBottom w:val="0"/>
      <w:divBdr>
        <w:top w:val="none" w:sz="0" w:space="0" w:color="auto"/>
        <w:left w:val="none" w:sz="0" w:space="0" w:color="auto"/>
        <w:bottom w:val="none" w:sz="0" w:space="0" w:color="auto"/>
        <w:right w:val="none" w:sz="0" w:space="0" w:color="auto"/>
      </w:divBdr>
    </w:div>
    <w:div w:id="1893691130">
      <w:bodyDiv w:val="1"/>
      <w:marLeft w:val="0"/>
      <w:marRight w:val="0"/>
      <w:marTop w:val="0"/>
      <w:marBottom w:val="0"/>
      <w:divBdr>
        <w:top w:val="none" w:sz="0" w:space="0" w:color="auto"/>
        <w:left w:val="none" w:sz="0" w:space="0" w:color="auto"/>
        <w:bottom w:val="none" w:sz="0" w:space="0" w:color="auto"/>
        <w:right w:val="none" w:sz="0" w:space="0" w:color="auto"/>
      </w:divBdr>
    </w:div>
    <w:div w:id="1894807242">
      <w:bodyDiv w:val="1"/>
      <w:marLeft w:val="0"/>
      <w:marRight w:val="0"/>
      <w:marTop w:val="0"/>
      <w:marBottom w:val="0"/>
      <w:divBdr>
        <w:top w:val="none" w:sz="0" w:space="0" w:color="auto"/>
        <w:left w:val="none" w:sz="0" w:space="0" w:color="auto"/>
        <w:bottom w:val="none" w:sz="0" w:space="0" w:color="auto"/>
        <w:right w:val="none" w:sz="0" w:space="0" w:color="auto"/>
      </w:divBdr>
    </w:div>
    <w:div w:id="1899590670">
      <w:bodyDiv w:val="1"/>
      <w:marLeft w:val="0"/>
      <w:marRight w:val="0"/>
      <w:marTop w:val="0"/>
      <w:marBottom w:val="0"/>
      <w:divBdr>
        <w:top w:val="none" w:sz="0" w:space="0" w:color="auto"/>
        <w:left w:val="none" w:sz="0" w:space="0" w:color="auto"/>
        <w:bottom w:val="none" w:sz="0" w:space="0" w:color="auto"/>
        <w:right w:val="none" w:sz="0" w:space="0" w:color="auto"/>
      </w:divBdr>
      <w:divsChild>
        <w:div w:id="949825208">
          <w:marLeft w:val="0"/>
          <w:marRight w:val="0"/>
          <w:marTop w:val="0"/>
          <w:marBottom w:val="0"/>
          <w:divBdr>
            <w:top w:val="none" w:sz="0" w:space="0" w:color="auto"/>
            <w:left w:val="none" w:sz="0" w:space="0" w:color="auto"/>
            <w:bottom w:val="none" w:sz="0" w:space="0" w:color="auto"/>
            <w:right w:val="none" w:sz="0" w:space="0" w:color="auto"/>
          </w:divBdr>
        </w:div>
        <w:div w:id="1281449075">
          <w:marLeft w:val="0"/>
          <w:marRight w:val="0"/>
          <w:marTop w:val="0"/>
          <w:marBottom w:val="0"/>
          <w:divBdr>
            <w:top w:val="none" w:sz="0" w:space="0" w:color="auto"/>
            <w:left w:val="none" w:sz="0" w:space="0" w:color="auto"/>
            <w:bottom w:val="none" w:sz="0" w:space="0" w:color="auto"/>
            <w:right w:val="none" w:sz="0" w:space="0" w:color="auto"/>
          </w:divBdr>
        </w:div>
        <w:div w:id="1708482669">
          <w:marLeft w:val="0"/>
          <w:marRight w:val="0"/>
          <w:marTop w:val="0"/>
          <w:marBottom w:val="0"/>
          <w:divBdr>
            <w:top w:val="none" w:sz="0" w:space="0" w:color="auto"/>
            <w:left w:val="none" w:sz="0" w:space="0" w:color="auto"/>
            <w:bottom w:val="none" w:sz="0" w:space="0" w:color="auto"/>
            <w:right w:val="none" w:sz="0" w:space="0" w:color="auto"/>
          </w:divBdr>
        </w:div>
      </w:divsChild>
    </w:div>
    <w:div w:id="1902017547">
      <w:bodyDiv w:val="1"/>
      <w:marLeft w:val="0"/>
      <w:marRight w:val="0"/>
      <w:marTop w:val="0"/>
      <w:marBottom w:val="0"/>
      <w:divBdr>
        <w:top w:val="none" w:sz="0" w:space="0" w:color="auto"/>
        <w:left w:val="none" w:sz="0" w:space="0" w:color="auto"/>
        <w:bottom w:val="none" w:sz="0" w:space="0" w:color="auto"/>
        <w:right w:val="none" w:sz="0" w:space="0" w:color="auto"/>
      </w:divBdr>
      <w:divsChild>
        <w:div w:id="569540396">
          <w:marLeft w:val="0"/>
          <w:marRight w:val="0"/>
          <w:marTop w:val="0"/>
          <w:marBottom w:val="0"/>
          <w:divBdr>
            <w:top w:val="none" w:sz="0" w:space="0" w:color="auto"/>
            <w:left w:val="none" w:sz="0" w:space="0" w:color="auto"/>
            <w:bottom w:val="none" w:sz="0" w:space="0" w:color="auto"/>
            <w:right w:val="none" w:sz="0" w:space="0" w:color="auto"/>
          </w:divBdr>
        </w:div>
        <w:div w:id="1356883297">
          <w:marLeft w:val="0"/>
          <w:marRight w:val="0"/>
          <w:marTop w:val="0"/>
          <w:marBottom w:val="0"/>
          <w:divBdr>
            <w:top w:val="none" w:sz="0" w:space="0" w:color="auto"/>
            <w:left w:val="none" w:sz="0" w:space="0" w:color="auto"/>
            <w:bottom w:val="none" w:sz="0" w:space="0" w:color="auto"/>
            <w:right w:val="none" w:sz="0" w:space="0" w:color="auto"/>
          </w:divBdr>
        </w:div>
        <w:div w:id="1597322241">
          <w:marLeft w:val="0"/>
          <w:marRight w:val="0"/>
          <w:marTop w:val="0"/>
          <w:marBottom w:val="0"/>
          <w:divBdr>
            <w:top w:val="none" w:sz="0" w:space="0" w:color="auto"/>
            <w:left w:val="none" w:sz="0" w:space="0" w:color="auto"/>
            <w:bottom w:val="none" w:sz="0" w:space="0" w:color="auto"/>
            <w:right w:val="none" w:sz="0" w:space="0" w:color="auto"/>
          </w:divBdr>
        </w:div>
        <w:div w:id="1863588528">
          <w:marLeft w:val="0"/>
          <w:marRight w:val="0"/>
          <w:marTop w:val="0"/>
          <w:marBottom w:val="0"/>
          <w:divBdr>
            <w:top w:val="none" w:sz="0" w:space="0" w:color="auto"/>
            <w:left w:val="none" w:sz="0" w:space="0" w:color="auto"/>
            <w:bottom w:val="none" w:sz="0" w:space="0" w:color="auto"/>
            <w:right w:val="none" w:sz="0" w:space="0" w:color="auto"/>
          </w:divBdr>
        </w:div>
      </w:divsChild>
    </w:div>
    <w:div w:id="1906597930">
      <w:bodyDiv w:val="1"/>
      <w:marLeft w:val="0"/>
      <w:marRight w:val="0"/>
      <w:marTop w:val="0"/>
      <w:marBottom w:val="0"/>
      <w:divBdr>
        <w:top w:val="none" w:sz="0" w:space="0" w:color="auto"/>
        <w:left w:val="none" w:sz="0" w:space="0" w:color="auto"/>
        <w:bottom w:val="none" w:sz="0" w:space="0" w:color="auto"/>
        <w:right w:val="none" w:sz="0" w:space="0" w:color="auto"/>
      </w:divBdr>
    </w:div>
    <w:div w:id="1908831771">
      <w:bodyDiv w:val="1"/>
      <w:marLeft w:val="0"/>
      <w:marRight w:val="0"/>
      <w:marTop w:val="0"/>
      <w:marBottom w:val="0"/>
      <w:divBdr>
        <w:top w:val="none" w:sz="0" w:space="0" w:color="auto"/>
        <w:left w:val="none" w:sz="0" w:space="0" w:color="auto"/>
        <w:bottom w:val="none" w:sz="0" w:space="0" w:color="auto"/>
        <w:right w:val="none" w:sz="0" w:space="0" w:color="auto"/>
      </w:divBdr>
    </w:div>
    <w:div w:id="1909532828">
      <w:bodyDiv w:val="1"/>
      <w:marLeft w:val="0"/>
      <w:marRight w:val="0"/>
      <w:marTop w:val="0"/>
      <w:marBottom w:val="0"/>
      <w:divBdr>
        <w:top w:val="none" w:sz="0" w:space="0" w:color="auto"/>
        <w:left w:val="none" w:sz="0" w:space="0" w:color="auto"/>
        <w:bottom w:val="none" w:sz="0" w:space="0" w:color="auto"/>
        <w:right w:val="none" w:sz="0" w:space="0" w:color="auto"/>
      </w:divBdr>
    </w:div>
    <w:div w:id="1912081008">
      <w:bodyDiv w:val="1"/>
      <w:marLeft w:val="0"/>
      <w:marRight w:val="0"/>
      <w:marTop w:val="0"/>
      <w:marBottom w:val="0"/>
      <w:divBdr>
        <w:top w:val="none" w:sz="0" w:space="0" w:color="auto"/>
        <w:left w:val="none" w:sz="0" w:space="0" w:color="auto"/>
        <w:bottom w:val="none" w:sz="0" w:space="0" w:color="auto"/>
        <w:right w:val="none" w:sz="0" w:space="0" w:color="auto"/>
      </w:divBdr>
      <w:divsChild>
        <w:div w:id="275135268">
          <w:marLeft w:val="0"/>
          <w:marRight w:val="0"/>
          <w:marTop w:val="0"/>
          <w:marBottom w:val="0"/>
          <w:divBdr>
            <w:top w:val="none" w:sz="0" w:space="0" w:color="auto"/>
            <w:left w:val="none" w:sz="0" w:space="0" w:color="auto"/>
            <w:bottom w:val="none" w:sz="0" w:space="0" w:color="auto"/>
            <w:right w:val="none" w:sz="0" w:space="0" w:color="auto"/>
          </w:divBdr>
        </w:div>
        <w:div w:id="277832147">
          <w:marLeft w:val="0"/>
          <w:marRight w:val="0"/>
          <w:marTop w:val="0"/>
          <w:marBottom w:val="0"/>
          <w:divBdr>
            <w:top w:val="none" w:sz="0" w:space="0" w:color="auto"/>
            <w:left w:val="none" w:sz="0" w:space="0" w:color="auto"/>
            <w:bottom w:val="none" w:sz="0" w:space="0" w:color="auto"/>
            <w:right w:val="none" w:sz="0" w:space="0" w:color="auto"/>
          </w:divBdr>
        </w:div>
        <w:div w:id="463817527">
          <w:marLeft w:val="0"/>
          <w:marRight w:val="0"/>
          <w:marTop w:val="0"/>
          <w:marBottom w:val="0"/>
          <w:divBdr>
            <w:top w:val="none" w:sz="0" w:space="0" w:color="auto"/>
            <w:left w:val="none" w:sz="0" w:space="0" w:color="auto"/>
            <w:bottom w:val="none" w:sz="0" w:space="0" w:color="auto"/>
            <w:right w:val="none" w:sz="0" w:space="0" w:color="auto"/>
          </w:divBdr>
        </w:div>
        <w:div w:id="996154868">
          <w:marLeft w:val="0"/>
          <w:marRight w:val="0"/>
          <w:marTop w:val="0"/>
          <w:marBottom w:val="0"/>
          <w:divBdr>
            <w:top w:val="none" w:sz="0" w:space="0" w:color="auto"/>
            <w:left w:val="none" w:sz="0" w:space="0" w:color="auto"/>
            <w:bottom w:val="none" w:sz="0" w:space="0" w:color="auto"/>
            <w:right w:val="none" w:sz="0" w:space="0" w:color="auto"/>
          </w:divBdr>
        </w:div>
      </w:divsChild>
    </w:div>
    <w:div w:id="1914465131">
      <w:bodyDiv w:val="1"/>
      <w:marLeft w:val="0"/>
      <w:marRight w:val="0"/>
      <w:marTop w:val="0"/>
      <w:marBottom w:val="0"/>
      <w:divBdr>
        <w:top w:val="none" w:sz="0" w:space="0" w:color="auto"/>
        <w:left w:val="none" w:sz="0" w:space="0" w:color="auto"/>
        <w:bottom w:val="none" w:sz="0" w:space="0" w:color="auto"/>
        <w:right w:val="none" w:sz="0" w:space="0" w:color="auto"/>
      </w:divBdr>
    </w:div>
    <w:div w:id="1915627112">
      <w:bodyDiv w:val="1"/>
      <w:marLeft w:val="0"/>
      <w:marRight w:val="0"/>
      <w:marTop w:val="0"/>
      <w:marBottom w:val="0"/>
      <w:divBdr>
        <w:top w:val="none" w:sz="0" w:space="0" w:color="auto"/>
        <w:left w:val="none" w:sz="0" w:space="0" w:color="auto"/>
        <w:bottom w:val="none" w:sz="0" w:space="0" w:color="auto"/>
        <w:right w:val="none" w:sz="0" w:space="0" w:color="auto"/>
      </w:divBdr>
    </w:div>
    <w:div w:id="1919243865">
      <w:bodyDiv w:val="1"/>
      <w:marLeft w:val="0"/>
      <w:marRight w:val="0"/>
      <w:marTop w:val="0"/>
      <w:marBottom w:val="0"/>
      <w:divBdr>
        <w:top w:val="none" w:sz="0" w:space="0" w:color="auto"/>
        <w:left w:val="none" w:sz="0" w:space="0" w:color="auto"/>
        <w:bottom w:val="none" w:sz="0" w:space="0" w:color="auto"/>
        <w:right w:val="none" w:sz="0" w:space="0" w:color="auto"/>
      </w:divBdr>
    </w:div>
    <w:div w:id="1924072016">
      <w:bodyDiv w:val="1"/>
      <w:marLeft w:val="0"/>
      <w:marRight w:val="0"/>
      <w:marTop w:val="0"/>
      <w:marBottom w:val="0"/>
      <w:divBdr>
        <w:top w:val="none" w:sz="0" w:space="0" w:color="auto"/>
        <w:left w:val="none" w:sz="0" w:space="0" w:color="auto"/>
        <w:bottom w:val="none" w:sz="0" w:space="0" w:color="auto"/>
        <w:right w:val="none" w:sz="0" w:space="0" w:color="auto"/>
      </w:divBdr>
      <w:divsChild>
        <w:div w:id="338704591">
          <w:marLeft w:val="0"/>
          <w:marRight w:val="0"/>
          <w:marTop w:val="0"/>
          <w:marBottom w:val="0"/>
          <w:divBdr>
            <w:top w:val="none" w:sz="0" w:space="0" w:color="auto"/>
            <w:left w:val="none" w:sz="0" w:space="0" w:color="auto"/>
            <w:bottom w:val="none" w:sz="0" w:space="0" w:color="auto"/>
            <w:right w:val="none" w:sz="0" w:space="0" w:color="auto"/>
          </w:divBdr>
          <w:divsChild>
            <w:div w:id="111747271">
              <w:marLeft w:val="0"/>
              <w:marRight w:val="0"/>
              <w:marTop w:val="0"/>
              <w:marBottom w:val="0"/>
              <w:divBdr>
                <w:top w:val="none" w:sz="0" w:space="0" w:color="auto"/>
                <w:left w:val="none" w:sz="0" w:space="0" w:color="auto"/>
                <w:bottom w:val="none" w:sz="0" w:space="0" w:color="auto"/>
                <w:right w:val="none" w:sz="0" w:space="0" w:color="auto"/>
              </w:divBdr>
            </w:div>
            <w:div w:id="1126587642">
              <w:marLeft w:val="0"/>
              <w:marRight w:val="0"/>
              <w:marTop w:val="0"/>
              <w:marBottom w:val="0"/>
              <w:divBdr>
                <w:top w:val="none" w:sz="0" w:space="0" w:color="auto"/>
                <w:left w:val="none" w:sz="0" w:space="0" w:color="auto"/>
                <w:bottom w:val="none" w:sz="0" w:space="0" w:color="auto"/>
                <w:right w:val="none" w:sz="0" w:space="0" w:color="auto"/>
              </w:divBdr>
            </w:div>
          </w:divsChild>
        </w:div>
        <w:div w:id="1958945946">
          <w:marLeft w:val="0"/>
          <w:marRight w:val="0"/>
          <w:marTop w:val="0"/>
          <w:marBottom w:val="0"/>
          <w:divBdr>
            <w:top w:val="none" w:sz="0" w:space="0" w:color="auto"/>
            <w:left w:val="none" w:sz="0" w:space="0" w:color="auto"/>
            <w:bottom w:val="none" w:sz="0" w:space="0" w:color="auto"/>
            <w:right w:val="none" w:sz="0" w:space="0" w:color="auto"/>
          </w:divBdr>
        </w:div>
      </w:divsChild>
    </w:div>
    <w:div w:id="1926382836">
      <w:bodyDiv w:val="1"/>
      <w:marLeft w:val="0"/>
      <w:marRight w:val="0"/>
      <w:marTop w:val="0"/>
      <w:marBottom w:val="0"/>
      <w:divBdr>
        <w:top w:val="none" w:sz="0" w:space="0" w:color="auto"/>
        <w:left w:val="none" w:sz="0" w:space="0" w:color="auto"/>
        <w:bottom w:val="none" w:sz="0" w:space="0" w:color="auto"/>
        <w:right w:val="none" w:sz="0" w:space="0" w:color="auto"/>
      </w:divBdr>
      <w:divsChild>
        <w:div w:id="865093199">
          <w:marLeft w:val="0"/>
          <w:marRight w:val="0"/>
          <w:marTop w:val="0"/>
          <w:marBottom w:val="0"/>
          <w:divBdr>
            <w:top w:val="none" w:sz="0" w:space="0" w:color="auto"/>
            <w:left w:val="none" w:sz="0" w:space="0" w:color="auto"/>
            <w:bottom w:val="none" w:sz="0" w:space="0" w:color="auto"/>
            <w:right w:val="none" w:sz="0" w:space="0" w:color="auto"/>
          </w:divBdr>
        </w:div>
      </w:divsChild>
    </w:div>
    <w:div w:id="1935431760">
      <w:bodyDiv w:val="1"/>
      <w:marLeft w:val="0"/>
      <w:marRight w:val="0"/>
      <w:marTop w:val="0"/>
      <w:marBottom w:val="0"/>
      <w:divBdr>
        <w:top w:val="none" w:sz="0" w:space="0" w:color="auto"/>
        <w:left w:val="none" w:sz="0" w:space="0" w:color="auto"/>
        <w:bottom w:val="none" w:sz="0" w:space="0" w:color="auto"/>
        <w:right w:val="none" w:sz="0" w:space="0" w:color="auto"/>
      </w:divBdr>
      <w:divsChild>
        <w:div w:id="424621108">
          <w:marLeft w:val="0"/>
          <w:marRight w:val="0"/>
          <w:marTop w:val="0"/>
          <w:marBottom w:val="0"/>
          <w:divBdr>
            <w:top w:val="none" w:sz="0" w:space="0" w:color="auto"/>
            <w:left w:val="none" w:sz="0" w:space="0" w:color="auto"/>
            <w:bottom w:val="none" w:sz="0" w:space="0" w:color="auto"/>
            <w:right w:val="none" w:sz="0" w:space="0" w:color="auto"/>
          </w:divBdr>
        </w:div>
        <w:div w:id="1220290646">
          <w:marLeft w:val="0"/>
          <w:marRight w:val="0"/>
          <w:marTop w:val="0"/>
          <w:marBottom w:val="0"/>
          <w:divBdr>
            <w:top w:val="none" w:sz="0" w:space="0" w:color="auto"/>
            <w:left w:val="none" w:sz="0" w:space="0" w:color="auto"/>
            <w:bottom w:val="none" w:sz="0" w:space="0" w:color="auto"/>
            <w:right w:val="none" w:sz="0" w:space="0" w:color="auto"/>
          </w:divBdr>
        </w:div>
      </w:divsChild>
    </w:div>
    <w:div w:id="1935674126">
      <w:bodyDiv w:val="1"/>
      <w:marLeft w:val="0"/>
      <w:marRight w:val="0"/>
      <w:marTop w:val="0"/>
      <w:marBottom w:val="0"/>
      <w:divBdr>
        <w:top w:val="none" w:sz="0" w:space="0" w:color="auto"/>
        <w:left w:val="none" w:sz="0" w:space="0" w:color="auto"/>
        <w:bottom w:val="none" w:sz="0" w:space="0" w:color="auto"/>
        <w:right w:val="none" w:sz="0" w:space="0" w:color="auto"/>
      </w:divBdr>
    </w:div>
    <w:div w:id="1937900910">
      <w:bodyDiv w:val="1"/>
      <w:marLeft w:val="0"/>
      <w:marRight w:val="0"/>
      <w:marTop w:val="0"/>
      <w:marBottom w:val="0"/>
      <w:divBdr>
        <w:top w:val="none" w:sz="0" w:space="0" w:color="auto"/>
        <w:left w:val="none" w:sz="0" w:space="0" w:color="auto"/>
        <w:bottom w:val="none" w:sz="0" w:space="0" w:color="auto"/>
        <w:right w:val="none" w:sz="0" w:space="0" w:color="auto"/>
      </w:divBdr>
      <w:divsChild>
        <w:div w:id="1402365575">
          <w:marLeft w:val="0"/>
          <w:marRight w:val="0"/>
          <w:marTop w:val="0"/>
          <w:marBottom w:val="0"/>
          <w:divBdr>
            <w:top w:val="none" w:sz="0" w:space="0" w:color="auto"/>
            <w:left w:val="none" w:sz="0" w:space="0" w:color="auto"/>
            <w:bottom w:val="none" w:sz="0" w:space="0" w:color="auto"/>
            <w:right w:val="none" w:sz="0" w:space="0" w:color="auto"/>
          </w:divBdr>
        </w:div>
        <w:div w:id="1816868660">
          <w:marLeft w:val="0"/>
          <w:marRight w:val="0"/>
          <w:marTop w:val="0"/>
          <w:marBottom w:val="0"/>
          <w:divBdr>
            <w:top w:val="none" w:sz="0" w:space="0" w:color="auto"/>
            <w:left w:val="none" w:sz="0" w:space="0" w:color="auto"/>
            <w:bottom w:val="none" w:sz="0" w:space="0" w:color="auto"/>
            <w:right w:val="none" w:sz="0" w:space="0" w:color="auto"/>
          </w:divBdr>
        </w:div>
      </w:divsChild>
    </w:div>
    <w:div w:id="1939215054">
      <w:bodyDiv w:val="1"/>
      <w:marLeft w:val="0"/>
      <w:marRight w:val="0"/>
      <w:marTop w:val="0"/>
      <w:marBottom w:val="0"/>
      <w:divBdr>
        <w:top w:val="none" w:sz="0" w:space="0" w:color="auto"/>
        <w:left w:val="none" w:sz="0" w:space="0" w:color="auto"/>
        <w:bottom w:val="none" w:sz="0" w:space="0" w:color="auto"/>
        <w:right w:val="none" w:sz="0" w:space="0" w:color="auto"/>
      </w:divBdr>
      <w:divsChild>
        <w:div w:id="597522352">
          <w:marLeft w:val="0"/>
          <w:marRight w:val="0"/>
          <w:marTop w:val="0"/>
          <w:marBottom w:val="0"/>
          <w:divBdr>
            <w:top w:val="none" w:sz="0" w:space="0" w:color="auto"/>
            <w:left w:val="none" w:sz="0" w:space="0" w:color="auto"/>
            <w:bottom w:val="none" w:sz="0" w:space="0" w:color="auto"/>
            <w:right w:val="none" w:sz="0" w:space="0" w:color="auto"/>
          </w:divBdr>
        </w:div>
        <w:div w:id="1343976659">
          <w:marLeft w:val="0"/>
          <w:marRight w:val="0"/>
          <w:marTop w:val="0"/>
          <w:marBottom w:val="0"/>
          <w:divBdr>
            <w:top w:val="none" w:sz="0" w:space="0" w:color="auto"/>
            <w:left w:val="none" w:sz="0" w:space="0" w:color="auto"/>
            <w:bottom w:val="none" w:sz="0" w:space="0" w:color="auto"/>
            <w:right w:val="none" w:sz="0" w:space="0" w:color="auto"/>
          </w:divBdr>
        </w:div>
      </w:divsChild>
    </w:div>
    <w:div w:id="1939290837">
      <w:bodyDiv w:val="1"/>
      <w:marLeft w:val="0"/>
      <w:marRight w:val="0"/>
      <w:marTop w:val="0"/>
      <w:marBottom w:val="0"/>
      <w:divBdr>
        <w:top w:val="none" w:sz="0" w:space="0" w:color="auto"/>
        <w:left w:val="none" w:sz="0" w:space="0" w:color="auto"/>
        <w:bottom w:val="none" w:sz="0" w:space="0" w:color="auto"/>
        <w:right w:val="none" w:sz="0" w:space="0" w:color="auto"/>
      </w:divBdr>
    </w:div>
    <w:div w:id="1941138647">
      <w:bodyDiv w:val="1"/>
      <w:marLeft w:val="0"/>
      <w:marRight w:val="0"/>
      <w:marTop w:val="0"/>
      <w:marBottom w:val="0"/>
      <w:divBdr>
        <w:top w:val="none" w:sz="0" w:space="0" w:color="auto"/>
        <w:left w:val="none" w:sz="0" w:space="0" w:color="auto"/>
        <w:bottom w:val="none" w:sz="0" w:space="0" w:color="auto"/>
        <w:right w:val="none" w:sz="0" w:space="0" w:color="auto"/>
      </w:divBdr>
      <w:divsChild>
        <w:div w:id="1734893481">
          <w:marLeft w:val="0"/>
          <w:marRight w:val="0"/>
          <w:marTop w:val="0"/>
          <w:marBottom w:val="0"/>
          <w:divBdr>
            <w:top w:val="none" w:sz="0" w:space="0" w:color="auto"/>
            <w:left w:val="none" w:sz="0" w:space="0" w:color="auto"/>
            <w:bottom w:val="none" w:sz="0" w:space="0" w:color="auto"/>
            <w:right w:val="none" w:sz="0" w:space="0" w:color="auto"/>
          </w:divBdr>
        </w:div>
        <w:div w:id="1987663537">
          <w:marLeft w:val="0"/>
          <w:marRight w:val="0"/>
          <w:marTop w:val="0"/>
          <w:marBottom w:val="0"/>
          <w:divBdr>
            <w:top w:val="none" w:sz="0" w:space="0" w:color="auto"/>
            <w:left w:val="none" w:sz="0" w:space="0" w:color="auto"/>
            <w:bottom w:val="none" w:sz="0" w:space="0" w:color="auto"/>
            <w:right w:val="none" w:sz="0" w:space="0" w:color="auto"/>
          </w:divBdr>
        </w:div>
      </w:divsChild>
    </w:div>
    <w:div w:id="1944455968">
      <w:bodyDiv w:val="1"/>
      <w:marLeft w:val="0"/>
      <w:marRight w:val="0"/>
      <w:marTop w:val="0"/>
      <w:marBottom w:val="0"/>
      <w:divBdr>
        <w:top w:val="none" w:sz="0" w:space="0" w:color="auto"/>
        <w:left w:val="none" w:sz="0" w:space="0" w:color="auto"/>
        <w:bottom w:val="none" w:sz="0" w:space="0" w:color="auto"/>
        <w:right w:val="none" w:sz="0" w:space="0" w:color="auto"/>
      </w:divBdr>
      <w:divsChild>
        <w:div w:id="468287288">
          <w:marLeft w:val="0"/>
          <w:marRight w:val="0"/>
          <w:marTop w:val="0"/>
          <w:marBottom w:val="0"/>
          <w:divBdr>
            <w:top w:val="none" w:sz="0" w:space="0" w:color="auto"/>
            <w:left w:val="none" w:sz="0" w:space="0" w:color="auto"/>
            <w:bottom w:val="none" w:sz="0" w:space="0" w:color="auto"/>
            <w:right w:val="none" w:sz="0" w:space="0" w:color="auto"/>
          </w:divBdr>
        </w:div>
        <w:div w:id="848907632">
          <w:marLeft w:val="0"/>
          <w:marRight w:val="0"/>
          <w:marTop w:val="0"/>
          <w:marBottom w:val="0"/>
          <w:divBdr>
            <w:top w:val="none" w:sz="0" w:space="0" w:color="auto"/>
            <w:left w:val="none" w:sz="0" w:space="0" w:color="auto"/>
            <w:bottom w:val="none" w:sz="0" w:space="0" w:color="auto"/>
            <w:right w:val="none" w:sz="0" w:space="0" w:color="auto"/>
          </w:divBdr>
        </w:div>
      </w:divsChild>
    </w:div>
    <w:div w:id="1946577808">
      <w:bodyDiv w:val="1"/>
      <w:marLeft w:val="0"/>
      <w:marRight w:val="0"/>
      <w:marTop w:val="0"/>
      <w:marBottom w:val="0"/>
      <w:divBdr>
        <w:top w:val="none" w:sz="0" w:space="0" w:color="auto"/>
        <w:left w:val="none" w:sz="0" w:space="0" w:color="auto"/>
        <w:bottom w:val="none" w:sz="0" w:space="0" w:color="auto"/>
        <w:right w:val="none" w:sz="0" w:space="0" w:color="auto"/>
      </w:divBdr>
      <w:divsChild>
        <w:div w:id="489833466">
          <w:marLeft w:val="0"/>
          <w:marRight w:val="0"/>
          <w:marTop w:val="0"/>
          <w:marBottom w:val="0"/>
          <w:divBdr>
            <w:top w:val="none" w:sz="0" w:space="0" w:color="auto"/>
            <w:left w:val="none" w:sz="0" w:space="0" w:color="auto"/>
            <w:bottom w:val="none" w:sz="0" w:space="0" w:color="auto"/>
            <w:right w:val="none" w:sz="0" w:space="0" w:color="auto"/>
          </w:divBdr>
        </w:div>
        <w:div w:id="1006177151">
          <w:marLeft w:val="0"/>
          <w:marRight w:val="0"/>
          <w:marTop w:val="0"/>
          <w:marBottom w:val="0"/>
          <w:divBdr>
            <w:top w:val="none" w:sz="0" w:space="0" w:color="auto"/>
            <w:left w:val="none" w:sz="0" w:space="0" w:color="auto"/>
            <w:bottom w:val="none" w:sz="0" w:space="0" w:color="auto"/>
            <w:right w:val="none" w:sz="0" w:space="0" w:color="auto"/>
          </w:divBdr>
        </w:div>
        <w:div w:id="2033414587">
          <w:marLeft w:val="0"/>
          <w:marRight w:val="0"/>
          <w:marTop w:val="0"/>
          <w:marBottom w:val="0"/>
          <w:divBdr>
            <w:top w:val="none" w:sz="0" w:space="0" w:color="auto"/>
            <w:left w:val="none" w:sz="0" w:space="0" w:color="auto"/>
            <w:bottom w:val="none" w:sz="0" w:space="0" w:color="auto"/>
            <w:right w:val="none" w:sz="0" w:space="0" w:color="auto"/>
          </w:divBdr>
        </w:div>
      </w:divsChild>
    </w:div>
    <w:div w:id="1952391846">
      <w:bodyDiv w:val="1"/>
      <w:marLeft w:val="0"/>
      <w:marRight w:val="0"/>
      <w:marTop w:val="0"/>
      <w:marBottom w:val="0"/>
      <w:divBdr>
        <w:top w:val="none" w:sz="0" w:space="0" w:color="auto"/>
        <w:left w:val="none" w:sz="0" w:space="0" w:color="auto"/>
        <w:bottom w:val="none" w:sz="0" w:space="0" w:color="auto"/>
        <w:right w:val="none" w:sz="0" w:space="0" w:color="auto"/>
      </w:divBdr>
      <w:divsChild>
        <w:div w:id="863904474">
          <w:marLeft w:val="0"/>
          <w:marRight w:val="0"/>
          <w:marTop w:val="0"/>
          <w:marBottom w:val="0"/>
          <w:divBdr>
            <w:top w:val="none" w:sz="0" w:space="0" w:color="auto"/>
            <w:left w:val="none" w:sz="0" w:space="0" w:color="auto"/>
            <w:bottom w:val="none" w:sz="0" w:space="0" w:color="auto"/>
            <w:right w:val="none" w:sz="0" w:space="0" w:color="auto"/>
          </w:divBdr>
        </w:div>
        <w:div w:id="1205411201">
          <w:marLeft w:val="0"/>
          <w:marRight w:val="0"/>
          <w:marTop w:val="0"/>
          <w:marBottom w:val="0"/>
          <w:divBdr>
            <w:top w:val="none" w:sz="0" w:space="0" w:color="auto"/>
            <w:left w:val="none" w:sz="0" w:space="0" w:color="auto"/>
            <w:bottom w:val="none" w:sz="0" w:space="0" w:color="auto"/>
            <w:right w:val="none" w:sz="0" w:space="0" w:color="auto"/>
          </w:divBdr>
          <w:divsChild>
            <w:div w:id="335620494">
              <w:marLeft w:val="0"/>
              <w:marRight w:val="0"/>
              <w:marTop w:val="0"/>
              <w:marBottom w:val="0"/>
              <w:divBdr>
                <w:top w:val="none" w:sz="0" w:space="0" w:color="auto"/>
                <w:left w:val="none" w:sz="0" w:space="0" w:color="auto"/>
                <w:bottom w:val="none" w:sz="0" w:space="0" w:color="auto"/>
                <w:right w:val="none" w:sz="0" w:space="0" w:color="auto"/>
              </w:divBdr>
            </w:div>
            <w:div w:id="428158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1063813">
      <w:bodyDiv w:val="1"/>
      <w:marLeft w:val="0"/>
      <w:marRight w:val="0"/>
      <w:marTop w:val="0"/>
      <w:marBottom w:val="0"/>
      <w:divBdr>
        <w:top w:val="none" w:sz="0" w:space="0" w:color="auto"/>
        <w:left w:val="none" w:sz="0" w:space="0" w:color="auto"/>
        <w:bottom w:val="none" w:sz="0" w:space="0" w:color="auto"/>
        <w:right w:val="none" w:sz="0" w:space="0" w:color="auto"/>
      </w:divBdr>
    </w:div>
    <w:div w:id="1962373886">
      <w:bodyDiv w:val="1"/>
      <w:marLeft w:val="0"/>
      <w:marRight w:val="0"/>
      <w:marTop w:val="0"/>
      <w:marBottom w:val="0"/>
      <w:divBdr>
        <w:top w:val="none" w:sz="0" w:space="0" w:color="auto"/>
        <w:left w:val="none" w:sz="0" w:space="0" w:color="auto"/>
        <w:bottom w:val="none" w:sz="0" w:space="0" w:color="auto"/>
        <w:right w:val="none" w:sz="0" w:space="0" w:color="auto"/>
      </w:divBdr>
    </w:div>
    <w:div w:id="1963337280">
      <w:bodyDiv w:val="1"/>
      <w:marLeft w:val="0"/>
      <w:marRight w:val="0"/>
      <w:marTop w:val="0"/>
      <w:marBottom w:val="0"/>
      <w:divBdr>
        <w:top w:val="none" w:sz="0" w:space="0" w:color="auto"/>
        <w:left w:val="none" w:sz="0" w:space="0" w:color="auto"/>
        <w:bottom w:val="none" w:sz="0" w:space="0" w:color="auto"/>
        <w:right w:val="none" w:sz="0" w:space="0" w:color="auto"/>
      </w:divBdr>
    </w:div>
    <w:div w:id="1963488673">
      <w:bodyDiv w:val="1"/>
      <w:marLeft w:val="0"/>
      <w:marRight w:val="0"/>
      <w:marTop w:val="0"/>
      <w:marBottom w:val="0"/>
      <w:divBdr>
        <w:top w:val="none" w:sz="0" w:space="0" w:color="auto"/>
        <w:left w:val="none" w:sz="0" w:space="0" w:color="auto"/>
        <w:bottom w:val="none" w:sz="0" w:space="0" w:color="auto"/>
        <w:right w:val="none" w:sz="0" w:space="0" w:color="auto"/>
      </w:divBdr>
      <w:divsChild>
        <w:div w:id="3020131">
          <w:marLeft w:val="0"/>
          <w:marRight w:val="0"/>
          <w:marTop w:val="0"/>
          <w:marBottom w:val="0"/>
          <w:divBdr>
            <w:top w:val="none" w:sz="0" w:space="0" w:color="auto"/>
            <w:left w:val="none" w:sz="0" w:space="0" w:color="auto"/>
            <w:bottom w:val="none" w:sz="0" w:space="0" w:color="auto"/>
            <w:right w:val="none" w:sz="0" w:space="0" w:color="auto"/>
          </w:divBdr>
        </w:div>
        <w:div w:id="2142962998">
          <w:marLeft w:val="0"/>
          <w:marRight w:val="0"/>
          <w:marTop w:val="0"/>
          <w:marBottom w:val="0"/>
          <w:divBdr>
            <w:top w:val="none" w:sz="0" w:space="0" w:color="auto"/>
            <w:left w:val="none" w:sz="0" w:space="0" w:color="auto"/>
            <w:bottom w:val="none" w:sz="0" w:space="0" w:color="auto"/>
            <w:right w:val="none" w:sz="0" w:space="0" w:color="auto"/>
          </w:divBdr>
        </w:div>
      </w:divsChild>
    </w:div>
    <w:div w:id="1964385321">
      <w:bodyDiv w:val="1"/>
      <w:marLeft w:val="0"/>
      <w:marRight w:val="0"/>
      <w:marTop w:val="0"/>
      <w:marBottom w:val="0"/>
      <w:divBdr>
        <w:top w:val="none" w:sz="0" w:space="0" w:color="auto"/>
        <w:left w:val="none" w:sz="0" w:space="0" w:color="auto"/>
        <w:bottom w:val="none" w:sz="0" w:space="0" w:color="auto"/>
        <w:right w:val="none" w:sz="0" w:space="0" w:color="auto"/>
      </w:divBdr>
    </w:div>
    <w:div w:id="1965890724">
      <w:bodyDiv w:val="1"/>
      <w:marLeft w:val="0"/>
      <w:marRight w:val="0"/>
      <w:marTop w:val="0"/>
      <w:marBottom w:val="0"/>
      <w:divBdr>
        <w:top w:val="none" w:sz="0" w:space="0" w:color="auto"/>
        <w:left w:val="none" w:sz="0" w:space="0" w:color="auto"/>
        <w:bottom w:val="none" w:sz="0" w:space="0" w:color="auto"/>
        <w:right w:val="none" w:sz="0" w:space="0" w:color="auto"/>
      </w:divBdr>
    </w:div>
    <w:div w:id="1965962885">
      <w:bodyDiv w:val="1"/>
      <w:marLeft w:val="0"/>
      <w:marRight w:val="0"/>
      <w:marTop w:val="0"/>
      <w:marBottom w:val="0"/>
      <w:divBdr>
        <w:top w:val="none" w:sz="0" w:space="0" w:color="auto"/>
        <w:left w:val="none" w:sz="0" w:space="0" w:color="auto"/>
        <w:bottom w:val="none" w:sz="0" w:space="0" w:color="auto"/>
        <w:right w:val="none" w:sz="0" w:space="0" w:color="auto"/>
      </w:divBdr>
      <w:divsChild>
        <w:div w:id="369963221">
          <w:marLeft w:val="0"/>
          <w:marRight w:val="0"/>
          <w:marTop w:val="0"/>
          <w:marBottom w:val="0"/>
          <w:divBdr>
            <w:top w:val="none" w:sz="0" w:space="0" w:color="auto"/>
            <w:left w:val="none" w:sz="0" w:space="0" w:color="auto"/>
            <w:bottom w:val="none" w:sz="0" w:space="0" w:color="auto"/>
            <w:right w:val="none" w:sz="0" w:space="0" w:color="auto"/>
          </w:divBdr>
        </w:div>
        <w:div w:id="1144354658">
          <w:marLeft w:val="0"/>
          <w:marRight w:val="0"/>
          <w:marTop w:val="0"/>
          <w:marBottom w:val="0"/>
          <w:divBdr>
            <w:top w:val="none" w:sz="0" w:space="0" w:color="auto"/>
            <w:left w:val="none" w:sz="0" w:space="0" w:color="auto"/>
            <w:bottom w:val="none" w:sz="0" w:space="0" w:color="auto"/>
            <w:right w:val="none" w:sz="0" w:space="0" w:color="auto"/>
          </w:divBdr>
        </w:div>
      </w:divsChild>
    </w:div>
    <w:div w:id="1971552098">
      <w:bodyDiv w:val="1"/>
      <w:marLeft w:val="0"/>
      <w:marRight w:val="0"/>
      <w:marTop w:val="0"/>
      <w:marBottom w:val="0"/>
      <w:divBdr>
        <w:top w:val="none" w:sz="0" w:space="0" w:color="auto"/>
        <w:left w:val="none" w:sz="0" w:space="0" w:color="auto"/>
        <w:bottom w:val="none" w:sz="0" w:space="0" w:color="auto"/>
        <w:right w:val="none" w:sz="0" w:space="0" w:color="auto"/>
      </w:divBdr>
    </w:div>
    <w:div w:id="1975671132">
      <w:bodyDiv w:val="1"/>
      <w:marLeft w:val="0"/>
      <w:marRight w:val="0"/>
      <w:marTop w:val="0"/>
      <w:marBottom w:val="0"/>
      <w:divBdr>
        <w:top w:val="none" w:sz="0" w:space="0" w:color="auto"/>
        <w:left w:val="none" w:sz="0" w:space="0" w:color="auto"/>
        <w:bottom w:val="none" w:sz="0" w:space="0" w:color="auto"/>
        <w:right w:val="none" w:sz="0" w:space="0" w:color="auto"/>
      </w:divBdr>
      <w:divsChild>
        <w:div w:id="1504315345">
          <w:marLeft w:val="0"/>
          <w:marRight w:val="0"/>
          <w:marTop w:val="0"/>
          <w:marBottom w:val="0"/>
          <w:divBdr>
            <w:top w:val="none" w:sz="0" w:space="0" w:color="auto"/>
            <w:left w:val="none" w:sz="0" w:space="0" w:color="auto"/>
            <w:bottom w:val="none" w:sz="0" w:space="0" w:color="auto"/>
            <w:right w:val="none" w:sz="0" w:space="0" w:color="auto"/>
          </w:divBdr>
        </w:div>
        <w:div w:id="1532721309">
          <w:marLeft w:val="0"/>
          <w:marRight w:val="0"/>
          <w:marTop w:val="0"/>
          <w:marBottom w:val="0"/>
          <w:divBdr>
            <w:top w:val="none" w:sz="0" w:space="0" w:color="auto"/>
            <w:left w:val="none" w:sz="0" w:space="0" w:color="auto"/>
            <w:bottom w:val="none" w:sz="0" w:space="0" w:color="auto"/>
            <w:right w:val="none" w:sz="0" w:space="0" w:color="auto"/>
          </w:divBdr>
        </w:div>
      </w:divsChild>
    </w:div>
    <w:div w:id="1975790446">
      <w:bodyDiv w:val="1"/>
      <w:marLeft w:val="0"/>
      <w:marRight w:val="0"/>
      <w:marTop w:val="0"/>
      <w:marBottom w:val="0"/>
      <w:divBdr>
        <w:top w:val="none" w:sz="0" w:space="0" w:color="auto"/>
        <w:left w:val="none" w:sz="0" w:space="0" w:color="auto"/>
        <w:bottom w:val="none" w:sz="0" w:space="0" w:color="auto"/>
        <w:right w:val="none" w:sz="0" w:space="0" w:color="auto"/>
      </w:divBdr>
      <w:divsChild>
        <w:div w:id="31137501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980762836">
      <w:bodyDiv w:val="1"/>
      <w:marLeft w:val="0"/>
      <w:marRight w:val="0"/>
      <w:marTop w:val="0"/>
      <w:marBottom w:val="0"/>
      <w:divBdr>
        <w:top w:val="none" w:sz="0" w:space="0" w:color="auto"/>
        <w:left w:val="none" w:sz="0" w:space="0" w:color="auto"/>
        <w:bottom w:val="none" w:sz="0" w:space="0" w:color="auto"/>
        <w:right w:val="none" w:sz="0" w:space="0" w:color="auto"/>
      </w:divBdr>
    </w:div>
    <w:div w:id="1988321240">
      <w:bodyDiv w:val="1"/>
      <w:marLeft w:val="4"/>
      <w:marRight w:val="4"/>
      <w:marTop w:val="67"/>
      <w:marBottom w:val="67"/>
      <w:divBdr>
        <w:top w:val="none" w:sz="0" w:space="0" w:color="auto"/>
        <w:left w:val="none" w:sz="0" w:space="0" w:color="auto"/>
        <w:bottom w:val="none" w:sz="0" w:space="0" w:color="auto"/>
        <w:right w:val="none" w:sz="0" w:space="0" w:color="auto"/>
      </w:divBdr>
    </w:div>
    <w:div w:id="1988434895">
      <w:bodyDiv w:val="1"/>
      <w:marLeft w:val="0"/>
      <w:marRight w:val="0"/>
      <w:marTop w:val="0"/>
      <w:marBottom w:val="0"/>
      <w:divBdr>
        <w:top w:val="none" w:sz="0" w:space="0" w:color="auto"/>
        <w:left w:val="none" w:sz="0" w:space="0" w:color="auto"/>
        <w:bottom w:val="none" w:sz="0" w:space="0" w:color="auto"/>
        <w:right w:val="none" w:sz="0" w:space="0" w:color="auto"/>
      </w:divBdr>
      <w:divsChild>
        <w:div w:id="2704556">
          <w:marLeft w:val="0"/>
          <w:marRight w:val="0"/>
          <w:marTop w:val="0"/>
          <w:marBottom w:val="0"/>
          <w:divBdr>
            <w:top w:val="none" w:sz="0" w:space="0" w:color="auto"/>
            <w:left w:val="none" w:sz="0" w:space="0" w:color="auto"/>
            <w:bottom w:val="none" w:sz="0" w:space="0" w:color="auto"/>
            <w:right w:val="none" w:sz="0" w:space="0" w:color="auto"/>
          </w:divBdr>
        </w:div>
        <w:div w:id="521822061">
          <w:marLeft w:val="0"/>
          <w:marRight w:val="0"/>
          <w:marTop w:val="0"/>
          <w:marBottom w:val="0"/>
          <w:divBdr>
            <w:top w:val="none" w:sz="0" w:space="0" w:color="auto"/>
            <w:left w:val="none" w:sz="0" w:space="0" w:color="auto"/>
            <w:bottom w:val="none" w:sz="0" w:space="0" w:color="auto"/>
            <w:right w:val="none" w:sz="0" w:space="0" w:color="auto"/>
          </w:divBdr>
        </w:div>
        <w:div w:id="655575847">
          <w:marLeft w:val="0"/>
          <w:marRight w:val="0"/>
          <w:marTop w:val="0"/>
          <w:marBottom w:val="0"/>
          <w:divBdr>
            <w:top w:val="none" w:sz="0" w:space="0" w:color="auto"/>
            <w:left w:val="none" w:sz="0" w:space="0" w:color="auto"/>
            <w:bottom w:val="none" w:sz="0" w:space="0" w:color="auto"/>
            <w:right w:val="none" w:sz="0" w:space="0" w:color="auto"/>
          </w:divBdr>
        </w:div>
        <w:div w:id="910654277">
          <w:marLeft w:val="0"/>
          <w:marRight w:val="0"/>
          <w:marTop w:val="0"/>
          <w:marBottom w:val="0"/>
          <w:divBdr>
            <w:top w:val="none" w:sz="0" w:space="0" w:color="auto"/>
            <w:left w:val="none" w:sz="0" w:space="0" w:color="auto"/>
            <w:bottom w:val="none" w:sz="0" w:space="0" w:color="auto"/>
            <w:right w:val="none" w:sz="0" w:space="0" w:color="auto"/>
          </w:divBdr>
        </w:div>
        <w:div w:id="915894697">
          <w:marLeft w:val="0"/>
          <w:marRight w:val="0"/>
          <w:marTop w:val="0"/>
          <w:marBottom w:val="0"/>
          <w:divBdr>
            <w:top w:val="none" w:sz="0" w:space="0" w:color="auto"/>
            <w:left w:val="none" w:sz="0" w:space="0" w:color="auto"/>
            <w:bottom w:val="none" w:sz="0" w:space="0" w:color="auto"/>
            <w:right w:val="none" w:sz="0" w:space="0" w:color="auto"/>
          </w:divBdr>
        </w:div>
        <w:div w:id="1802075012">
          <w:marLeft w:val="0"/>
          <w:marRight w:val="0"/>
          <w:marTop w:val="0"/>
          <w:marBottom w:val="0"/>
          <w:divBdr>
            <w:top w:val="none" w:sz="0" w:space="0" w:color="auto"/>
            <w:left w:val="none" w:sz="0" w:space="0" w:color="auto"/>
            <w:bottom w:val="none" w:sz="0" w:space="0" w:color="auto"/>
            <w:right w:val="none" w:sz="0" w:space="0" w:color="auto"/>
          </w:divBdr>
        </w:div>
      </w:divsChild>
    </w:div>
    <w:div w:id="1990085960">
      <w:bodyDiv w:val="1"/>
      <w:marLeft w:val="0"/>
      <w:marRight w:val="0"/>
      <w:marTop w:val="0"/>
      <w:marBottom w:val="0"/>
      <w:divBdr>
        <w:top w:val="none" w:sz="0" w:space="0" w:color="auto"/>
        <w:left w:val="none" w:sz="0" w:space="0" w:color="auto"/>
        <w:bottom w:val="none" w:sz="0" w:space="0" w:color="auto"/>
        <w:right w:val="none" w:sz="0" w:space="0" w:color="auto"/>
      </w:divBdr>
    </w:div>
    <w:div w:id="1990942831">
      <w:bodyDiv w:val="1"/>
      <w:marLeft w:val="0"/>
      <w:marRight w:val="0"/>
      <w:marTop w:val="0"/>
      <w:marBottom w:val="0"/>
      <w:divBdr>
        <w:top w:val="none" w:sz="0" w:space="0" w:color="auto"/>
        <w:left w:val="none" w:sz="0" w:space="0" w:color="auto"/>
        <w:bottom w:val="none" w:sz="0" w:space="0" w:color="auto"/>
        <w:right w:val="none" w:sz="0" w:space="0" w:color="auto"/>
      </w:divBdr>
      <w:divsChild>
        <w:div w:id="336201206">
          <w:marLeft w:val="0"/>
          <w:marRight w:val="0"/>
          <w:marTop w:val="0"/>
          <w:marBottom w:val="0"/>
          <w:divBdr>
            <w:top w:val="none" w:sz="0" w:space="0" w:color="auto"/>
            <w:left w:val="none" w:sz="0" w:space="0" w:color="auto"/>
            <w:bottom w:val="none" w:sz="0" w:space="0" w:color="auto"/>
            <w:right w:val="none" w:sz="0" w:space="0" w:color="auto"/>
          </w:divBdr>
        </w:div>
        <w:div w:id="1219509108">
          <w:marLeft w:val="0"/>
          <w:marRight w:val="0"/>
          <w:marTop w:val="0"/>
          <w:marBottom w:val="0"/>
          <w:divBdr>
            <w:top w:val="none" w:sz="0" w:space="0" w:color="auto"/>
            <w:left w:val="none" w:sz="0" w:space="0" w:color="auto"/>
            <w:bottom w:val="none" w:sz="0" w:space="0" w:color="auto"/>
            <w:right w:val="none" w:sz="0" w:space="0" w:color="auto"/>
          </w:divBdr>
        </w:div>
        <w:div w:id="1771780484">
          <w:marLeft w:val="0"/>
          <w:marRight w:val="0"/>
          <w:marTop w:val="0"/>
          <w:marBottom w:val="0"/>
          <w:divBdr>
            <w:top w:val="none" w:sz="0" w:space="0" w:color="auto"/>
            <w:left w:val="none" w:sz="0" w:space="0" w:color="auto"/>
            <w:bottom w:val="none" w:sz="0" w:space="0" w:color="auto"/>
            <w:right w:val="none" w:sz="0" w:space="0" w:color="auto"/>
          </w:divBdr>
        </w:div>
      </w:divsChild>
    </w:div>
    <w:div w:id="1995790346">
      <w:bodyDiv w:val="1"/>
      <w:marLeft w:val="0"/>
      <w:marRight w:val="0"/>
      <w:marTop w:val="0"/>
      <w:marBottom w:val="0"/>
      <w:divBdr>
        <w:top w:val="none" w:sz="0" w:space="0" w:color="auto"/>
        <w:left w:val="none" w:sz="0" w:space="0" w:color="auto"/>
        <w:bottom w:val="none" w:sz="0" w:space="0" w:color="auto"/>
        <w:right w:val="none" w:sz="0" w:space="0" w:color="auto"/>
      </w:divBdr>
      <w:divsChild>
        <w:div w:id="117533121">
          <w:marLeft w:val="0"/>
          <w:marRight w:val="0"/>
          <w:marTop w:val="0"/>
          <w:marBottom w:val="0"/>
          <w:divBdr>
            <w:top w:val="none" w:sz="0" w:space="0" w:color="auto"/>
            <w:left w:val="none" w:sz="0" w:space="0" w:color="auto"/>
            <w:bottom w:val="none" w:sz="0" w:space="0" w:color="auto"/>
            <w:right w:val="none" w:sz="0" w:space="0" w:color="auto"/>
          </w:divBdr>
        </w:div>
        <w:div w:id="887375716">
          <w:marLeft w:val="0"/>
          <w:marRight w:val="0"/>
          <w:marTop w:val="0"/>
          <w:marBottom w:val="0"/>
          <w:divBdr>
            <w:top w:val="none" w:sz="0" w:space="0" w:color="auto"/>
            <w:left w:val="none" w:sz="0" w:space="0" w:color="auto"/>
            <w:bottom w:val="none" w:sz="0" w:space="0" w:color="auto"/>
            <w:right w:val="none" w:sz="0" w:space="0" w:color="auto"/>
          </w:divBdr>
        </w:div>
      </w:divsChild>
    </w:div>
    <w:div w:id="1997881833">
      <w:bodyDiv w:val="1"/>
      <w:marLeft w:val="0"/>
      <w:marRight w:val="0"/>
      <w:marTop w:val="0"/>
      <w:marBottom w:val="0"/>
      <w:divBdr>
        <w:top w:val="none" w:sz="0" w:space="0" w:color="auto"/>
        <w:left w:val="none" w:sz="0" w:space="0" w:color="auto"/>
        <w:bottom w:val="none" w:sz="0" w:space="0" w:color="auto"/>
        <w:right w:val="none" w:sz="0" w:space="0" w:color="auto"/>
      </w:divBdr>
      <w:divsChild>
        <w:div w:id="960455023">
          <w:marLeft w:val="0"/>
          <w:marRight w:val="0"/>
          <w:marTop w:val="0"/>
          <w:marBottom w:val="0"/>
          <w:divBdr>
            <w:top w:val="none" w:sz="0" w:space="0" w:color="auto"/>
            <w:left w:val="none" w:sz="0" w:space="0" w:color="auto"/>
            <w:bottom w:val="none" w:sz="0" w:space="0" w:color="auto"/>
            <w:right w:val="none" w:sz="0" w:space="0" w:color="auto"/>
          </w:divBdr>
          <w:divsChild>
            <w:div w:id="30230119">
              <w:marLeft w:val="0"/>
              <w:marRight w:val="0"/>
              <w:marTop w:val="0"/>
              <w:marBottom w:val="0"/>
              <w:divBdr>
                <w:top w:val="none" w:sz="0" w:space="0" w:color="auto"/>
                <w:left w:val="none" w:sz="0" w:space="0" w:color="auto"/>
                <w:bottom w:val="none" w:sz="0" w:space="0" w:color="auto"/>
                <w:right w:val="none" w:sz="0" w:space="0" w:color="auto"/>
              </w:divBdr>
            </w:div>
            <w:div w:id="2078162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9654747">
      <w:bodyDiv w:val="1"/>
      <w:marLeft w:val="0"/>
      <w:marRight w:val="0"/>
      <w:marTop w:val="0"/>
      <w:marBottom w:val="0"/>
      <w:divBdr>
        <w:top w:val="none" w:sz="0" w:space="0" w:color="auto"/>
        <w:left w:val="none" w:sz="0" w:space="0" w:color="auto"/>
        <w:bottom w:val="none" w:sz="0" w:space="0" w:color="auto"/>
        <w:right w:val="none" w:sz="0" w:space="0" w:color="auto"/>
      </w:divBdr>
    </w:div>
    <w:div w:id="2005039666">
      <w:bodyDiv w:val="1"/>
      <w:marLeft w:val="0"/>
      <w:marRight w:val="0"/>
      <w:marTop w:val="0"/>
      <w:marBottom w:val="0"/>
      <w:divBdr>
        <w:top w:val="none" w:sz="0" w:space="0" w:color="auto"/>
        <w:left w:val="none" w:sz="0" w:space="0" w:color="auto"/>
        <w:bottom w:val="none" w:sz="0" w:space="0" w:color="auto"/>
        <w:right w:val="none" w:sz="0" w:space="0" w:color="auto"/>
      </w:divBdr>
      <w:divsChild>
        <w:div w:id="1819489227">
          <w:marLeft w:val="0"/>
          <w:marRight w:val="0"/>
          <w:marTop w:val="0"/>
          <w:marBottom w:val="0"/>
          <w:divBdr>
            <w:top w:val="none" w:sz="0" w:space="0" w:color="auto"/>
            <w:left w:val="none" w:sz="0" w:space="0" w:color="auto"/>
            <w:bottom w:val="none" w:sz="0" w:space="0" w:color="auto"/>
            <w:right w:val="none" w:sz="0" w:space="0" w:color="auto"/>
          </w:divBdr>
        </w:div>
        <w:div w:id="2047489437">
          <w:marLeft w:val="0"/>
          <w:marRight w:val="0"/>
          <w:marTop w:val="0"/>
          <w:marBottom w:val="0"/>
          <w:divBdr>
            <w:top w:val="none" w:sz="0" w:space="0" w:color="auto"/>
            <w:left w:val="none" w:sz="0" w:space="0" w:color="auto"/>
            <w:bottom w:val="none" w:sz="0" w:space="0" w:color="auto"/>
            <w:right w:val="none" w:sz="0" w:space="0" w:color="auto"/>
          </w:divBdr>
        </w:div>
      </w:divsChild>
    </w:div>
    <w:div w:id="2009794365">
      <w:bodyDiv w:val="1"/>
      <w:marLeft w:val="0"/>
      <w:marRight w:val="0"/>
      <w:marTop w:val="0"/>
      <w:marBottom w:val="0"/>
      <w:divBdr>
        <w:top w:val="none" w:sz="0" w:space="0" w:color="auto"/>
        <w:left w:val="none" w:sz="0" w:space="0" w:color="auto"/>
        <w:bottom w:val="none" w:sz="0" w:space="0" w:color="auto"/>
        <w:right w:val="none" w:sz="0" w:space="0" w:color="auto"/>
      </w:divBdr>
    </w:div>
    <w:div w:id="2010524912">
      <w:bodyDiv w:val="1"/>
      <w:marLeft w:val="0"/>
      <w:marRight w:val="0"/>
      <w:marTop w:val="0"/>
      <w:marBottom w:val="0"/>
      <w:divBdr>
        <w:top w:val="none" w:sz="0" w:space="0" w:color="auto"/>
        <w:left w:val="none" w:sz="0" w:space="0" w:color="auto"/>
        <w:bottom w:val="none" w:sz="0" w:space="0" w:color="auto"/>
        <w:right w:val="none" w:sz="0" w:space="0" w:color="auto"/>
      </w:divBdr>
    </w:div>
    <w:div w:id="2020621950">
      <w:bodyDiv w:val="1"/>
      <w:marLeft w:val="0"/>
      <w:marRight w:val="0"/>
      <w:marTop w:val="0"/>
      <w:marBottom w:val="0"/>
      <w:divBdr>
        <w:top w:val="none" w:sz="0" w:space="0" w:color="auto"/>
        <w:left w:val="none" w:sz="0" w:space="0" w:color="auto"/>
        <w:bottom w:val="none" w:sz="0" w:space="0" w:color="auto"/>
        <w:right w:val="none" w:sz="0" w:space="0" w:color="auto"/>
      </w:divBdr>
    </w:div>
    <w:div w:id="2022853207">
      <w:bodyDiv w:val="1"/>
      <w:marLeft w:val="0"/>
      <w:marRight w:val="0"/>
      <w:marTop w:val="0"/>
      <w:marBottom w:val="0"/>
      <w:divBdr>
        <w:top w:val="none" w:sz="0" w:space="0" w:color="auto"/>
        <w:left w:val="none" w:sz="0" w:space="0" w:color="auto"/>
        <w:bottom w:val="none" w:sz="0" w:space="0" w:color="auto"/>
        <w:right w:val="none" w:sz="0" w:space="0" w:color="auto"/>
      </w:divBdr>
      <w:divsChild>
        <w:div w:id="579409789">
          <w:marLeft w:val="0"/>
          <w:marRight w:val="0"/>
          <w:marTop w:val="0"/>
          <w:marBottom w:val="0"/>
          <w:divBdr>
            <w:top w:val="none" w:sz="0" w:space="0" w:color="auto"/>
            <w:left w:val="none" w:sz="0" w:space="0" w:color="auto"/>
            <w:bottom w:val="none" w:sz="0" w:space="0" w:color="auto"/>
            <w:right w:val="none" w:sz="0" w:space="0" w:color="auto"/>
          </w:divBdr>
        </w:div>
        <w:div w:id="811873307">
          <w:marLeft w:val="0"/>
          <w:marRight w:val="0"/>
          <w:marTop w:val="0"/>
          <w:marBottom w:val="0"/>
          <w:divBdr>
            <w:top w:val="none" w:sz="0" w:space="0" w:color="auto"/>
            <w:left w:val="none" w:sz="0" w:space="0" w:color="auto"/>
            <w:bottom w:val="none" w:sz="0" w:space="0" w:color="auto"/>
            <w:right w:val="none" w:sz="0" w:space="0" w:color="auto"/>
          </w:divBdr>
        </w:div>
      </w:divsChild>
    </w:div>
    <w:div w:id="2026011928">
      <w:bodyDiv w:val="1"/>
      <w:marLeft w:val="0"/>
      <w:marRight w:val="0"/>
      <w:marTop w:val="0"/>
      <w:marBottom w:val="0"/>
      <w:divBdr>
        <w:top w:val="none" w:sz="0" w:space="0" w:color="auto"/>
        <w:left w:val="none" w:sz="0" w:space="0" w:color="auto"/>
        <w:bottom w:val="none" w:sz="0" w:space="0" w:color="auto"/>
        <w:right w:val="none" w:sz="0" w:space="0" w:color="auto"/>
      </w:divBdr>
      <w:divsChild>
        <w:div w:id="1711854">
          <w:marLeft w:val="0"/>
          <w:marRight w:val="0"/>
          <w:marTop w:val="0"/>
          <w:marBottom w:val="0"/>
          <w:divBdr>
            <w:top w:val="none" w:sz="0" w:space="0" w:color="auto"/>
            <w:left w:val="none" w:sz="0" w:space="0" w:color="auto"/>
            <w:bottom w:val="none" w:sz="0" w:space="0" w:color="auto"/>
            <w:right w:val="none" w:sz="0" w:space="0" w:color="auto"/>
          </w:divBdr>
        </w:div>
        <w:div w:id="735861976">
          <w:marLeft w:val="0"/>
          <w:marRight w:val="0"/>
          <w:marTop w:val="0"/>
          <w:marBottom w:val="0"/>
          <w:divBdr>
            <w:top w:val="none" w:sz="0" w:space="0" w:color="auto"/>
            <w:left w:val="none" w:sz="0" w:space="0" w:color="auto"/>
            <w:bottom w:val="none" w:sz="0" w:space="0" w:color="auto"/>
            <w:right w:val="none" w:sz="0" w:space="0" w:color="auto"/>
          </w:divBdr>
        </w:div>
        <w:div w:id="1434864739">
          <w:marLeft w:val="0"/>
          <w:marRight w:val="0"/>
          <w:marTop w:val="0"/>
          <w:marBottom w:val="0"/>
          <w:divBdr>
            <w:top w:val="none" w:sz="0" w:space="0" w:color="auto"/>
            <w:left w:val="none" w:sz="0" w:space="0" w:color="auto"/>
            <w:bottom w:val="none" w:sz="0" w:space="0" w:color="auto"/>
            <w:right w:val="none" w:sz="0" w:space="0" w:color="auto"/>
          </w:divBdr>
        </w:div>
      </w:divsChild>
    </w:div>
    <w:div w:id="2027519957">
      <w:bodyDiv w:val="1"/>
      <w:marLeft w:val="0"/>
      <w:marRight w:val="0"/>
      <w:marTop w:val="0"/>
      <w:marBottom w:val="0"/>
      <w:divBdr>
        <w:top w:val="none" w:sz="0" w:space="0" w:color="auto"/>
        <w:left w:val="none" w:sz="0" w:space="0" w:color="auto"/>
        <w:bottom w:val="none" w:sz="0" w:space="0" w:color="auto"/>
        <w:right w:val="none" w:sz="0" w:space="0" w:color="auto"/>
      </w:divBdr>
    </w:div>
    <w:div w:id="2032486411">
      <w:bodyDiv w:val="1"/>
      <w:marLeft w:val="0"/>
      <w:marRight w:val="0"/>
      <w:marTop w:val="0"/>
      <w:marBottom w:val="0"/>
      <w:divBdr>
        <w:top w:val="none" w:sz="0" w:space="0" w:color="auto"/>
        <w:left w:val="none" w:sz="0" w:space="0" w:color="auto"/>
        <w:bottom w:val="none" w:sz="0" w:space="0" w:color="auto"/>
        <w:right w:val="none" w:sz="0" w:space="0" w:color="auto"/>
      </w:divBdr>
    </w:div>
    <w:div w:id="2033802171">
      <w:bodyDiv w:val="1"/>
      <w:marLeft w:val="0"/>
      <w:marRight w:val="0"/>
      <w:marTop w:val="0"/>
      <w:marBottom w:val="0"/>
      <w:divBdr>
        <w:top w:val="none" w:sz="0" w:space="0" w:color="auto"/>
        <w:left w:val="none" w:sz="0" w:space="0" w:color="auto"/>
        <w:bottom w:val="none" w:sz="0" w:space="0" w:color="auto"/>
        <w:right w:val="none" w:sz="0" w:space="0" w:color="auto"/>
      </w:divBdr>
      <w:divsChild>
        <w:div w:id="263659303">
          <w:marLeft w:val="0"/>
          <w:marRight w:val="0"/>
          <w:marTop w:val="0"/>
          <w:marBottom w:val="0"/>
          <w:divBdr>
            <w:top w:val="none" w:sz="0" w:space="0" w:color="auto"/>
            <w:left w:val="none" w:sz="0" w:space="0" w:color="auto"/>
            <w:bottom w:val="none" w:sz="0" w:space="0" w:color="auto"/>
            <w:right w:val="none" w:sz="0" w:space="0" w:color="auto"/>
          </w:divBdr>
        </w:div>
        <w:div w:id="573047871">
          <w:marLeft w:val="0"/>
          <w:marRight w:val="0"/>
          <w:marTop w:val="0"/>
          <w:marBottom w:val="0"/>
          <w:divBdr>
            <w:top w:val="none" w:sz="0" w:space="0" w:color="auto"/>
            <w:left w:val="none" w:sz="0" w:space="0" w:color="auto"/>
            <w:bottom w:val="none" w:sz="0" w:space="0" w:color="auto"/>
            <w:right w:val="none" w:sz="0" w:space="0" w:color="auto"/>
          </w:divBdr>
        </w:div>
        <w:div w:id="1523320996">
          <w:marLeft w:val="0"/>
          <w:marRight w:val="0"/>
          <w:marTop w:val="0"/>
          <w:marBottom w:val="0"/>
          <w:divBdr>
            <w:top w:val="none" w:sz="0" w:space="0" w:color="auto"/>
            <w:left w:val="none" w:sz="0" w:space="0" w:color="auto"/>
            <w:bottom w:val="none" w:sz="0" w:space="0" w:color="auto"/>
            <w:right w:val="none" w:sz="0" w:space="0" w:color="auto"/>
          </w:divBdr>
        </w:div>
      </w:divsChild>
    </w:div>
    <w:div w:id="2037149323">
      <w:bodyDiv w:val="1"/>
      <w:marLeft w:val="0"/>
      <w:marRight w:val="0"/>
      <w:marTop w:val="0"/>
      <w:marBottom w:val="0"/>
      <w:divBdr>
        <w:top w:val="none" w:sz="0" w:space="0" w:color="auto"/>
        <w:left w:val="none" w:sz="0" w:space="0" w:color="auto"/>
        <w:bottom w:val="none" w:sz="0" w:space="0" w:color="auto"/>
        <w:right w:val="none" w:sz="0" w:space="0" w:color="auto"/>
      </w:divBdr>
      <w:divsChild>
        <w:div w:id="546913125">
          <w:marLeft w:val="0"/>
          <w:marRight w:val="0"/>
          <w:marTop w:val="0"/>
          <w:marBottom w:val="0"/>
          <w:divBdr>
            <w:top w:val="none" w:sz="0" w:space="0" w:color="auto"/>
            <w:left w:val="none" w:sz="0" w:space="0" w:color="auto"/>
            <w:bottom w:val="none" w:sz="0" w:space="0" w:color="auto"/>
            <w:right w:val="none" w:sz="0" w:space="0" w:color="auto"/>
          </w:divBdr>
        </w:div>
        <w:div w:id="1010988190">
          <w:marLeft w:val="0"/>
          <w:marRight w:val="0"/>
          <w:marTop w:val="0"/>
          <w:marBottom w:val="0"/>
          <w:divBdr>
            <w:top w:val="none" w:sz="0" w:space="0" w:color="auto"/>
            <w:left w:val="none" w:sz="0" w:space="0" w:color="auto"/>
            <w:bottom w:val="none" w:sz="0" w:space="0" w:color="auto"/>
            <w:right w:val="none" w:sz="0" w:space="0" w:color="auto"/>
          </w:divBdr>
        </w:div>
      </w:divsChild>
    </w:div>
    <w:div w:id="2043241273">
      <w:bodyDiv w:val="1"/>
      <w:marLeft w:val="0"/>
      <w:marRight w:val="0"/>
      <w:marTop w:val="0"/>
      <w:marBottom w:val="0"/>
      <w:divBdr>
        <w:top w:val="none" w:sz="0" w:space="0" w:color="auto"/>
        <w:left w:val="none" w:sz="0" w:space="0" w:color="auto"/>
        <w:bottom w:val="none" w:sz="0" w:space="0" w:color="auto"/>
        <w:right w:val="none" w:sz="0" w:space="0" w:color="auto"/>
      </w:divBdr>
    </w:div>
    <w:div w:id="2045866624">
      <w:bodyDiv w:val="1"/>
      <w:marLeft w:val="0"/>
      <w:marRight w:val="0"/>
      <w:marTop w:val="0"/>
      <w:marBottom w:val="0"/>
      <w:divBdr>
        <w:top w:val="none" w:sz="0" w:space="0" w:color="auto"/>
        <w:left w:val="none" w:sz="0" w:space="0" w:color="auto"/>
        <w:bottom w:val="none" w:sz="0" w:space="0" w:color="auto"/>
        <w:right w:val="none" w:sz="0" w:space="0" w:color="auto"/>
      </w:divBdr>
      <w:divsChild>
        <w:div w:id="1405058123">
          <w:marLeft w:val="0"/>
          <w:marRight w:val="0"/>
          <w:marTop w:val="0"/>
          <w:marBottom w:val="0"/>
          <w:divBdr>
            <w:top w:val="none" w:sz="0" w:space="0" w:color="auto"/>
            <w:left w:val="none" w:sz="0" w:space="0" w:color="auto"/>
            <w:bottom w:val="none" w:sz="0" w:space="0" w:color="auto"/>
            <w:right w:val="none" w:sz="0" w:space="0" w:color="auto"/>
          </w:divBdr>
        </w:div>
        <w:div w:id="1683430225">
          <w:marLeft w:val="0"/>
          <w:marRight w:val="0"/>
          <w:marTop w:val="0"/>
          <w:marBottom w:val="0"/>
          <w:divBdr>
            <w:top w:val="none" w:sz="0" w:space="0" w:color="auto"/>
            <w:left w:val="none" w:sz="0" w:space="0" w:color="auto"/>
            <w:bottom w:val="none" w:sz="0" w:space="0" w:color="auto"/>
            <w:right w:val="none" w:sz="0" w:space="0" w:color="auto"/>
          </w:divBdr>
        </w:div>
        <w:div w:id="2019307158">
          <w:marLeft w:val="0"/>
          <w:marRight w:val="0"/>
          <w:marTop w:val="0"/>
          <w:marBottom w:val="0"/>
          <w:divBdr>
            <w:top w:val="none" w:sz="0" w:space="0" w:color="auto"/>
            <w:left w:val="none" w:sz="0" w:space="0" w:color="auto"/>
            <w:bottom w:val="none" w:sz="0" w:space="0" w:color="auto"/>
            <w:right w:val="none" w:sz="0" w:space="0" w:color="auto"/>
          </w:divBdr>
        </w:div>
      </w:divsChild>
    </w:div>
    <w:div w:id="2048605173">
      <w:bodyDiv w:val="1"/>
      <w:marLeft w:val="0"/>
      <w:marRight w:val="0"/>
      <w:marTop w:val="0"/>
      <w:marBottom w:val="0"/>
      <w:divBdr>
        <w:top w:val="none" w:sz="0" w:space="0" w:color="auto"/>
        <w:left w:val="none" w:sz="0" w:space="0" w:color="auto"/>
        <w:bottom w:val="none" w:sz="0" w:space="0" w:color="auto"/>
        <w:right w:val="none" w:sz="0" w:space="0" w:color="auto"/>
      </w:divBdr>
    </w:div>
    <w:div w:id="2052226593">
      <w:bodyDiv w:val="1"/>
      <w:marLeft w:val="0"/>
      <w:marRight w:val="0"/>
      <w:marTop w:val="0"/>
      <w:marBottom w:val="0"/>
      <w:divBdr>
        <w:top w:val="none" w:sz="0" w:space="0" w:color="auto"/>
        <w:left w:val="none" w:sz="0" w:space="0" w:color="auto"/>
        <w:bottom w:val="none" w:sz="0" w:space="0" w:color="auto"/>
        <w:right w:val="none" w:sz="0" w:space="0" w:color="auto"/>
      </w:divBdr>
    </w:div>
    <w:div w:id="2054694851">
      <w:bodyDiv w:val="1"/>
      <w:marLeft w:val="0"/>
      <w:marRight w:val="0"/>
      <w:marTop w:val="0"/>
      <w:marBottom w:val="0"/>
      <w:divBdr>
        <w:top w:val="none" w:sz="0" w:space="0" w:color="auto"/>
        <w:left w:val="none" w:sz="0" w:space="0" w:color="auto"/>
        <w:bottom w:val="none" w:sz="0" w:space="0" w:color="auto"/>
        <w:right w:val="none" w:sz="0" w:space="0" w:color="auto"/>
      </w:divBdr>
    </w:div>
    <w:div w:id="2062947278">
      <w:bodyDiv w:val="1"/>
      <w:marLeft w:val="0"/>
      <w:marRight w:val="0"/>
      <w:marTop w:val="0"/>
      <w:marBottom w:val="0"/>
      <w:divBdr>
        <w:top w:val="none" w:sz="0" w:space="0" w:color="auto"/>
        <w:left w:val="none" w:sz="0" w:space="0" w:color="auto"/>
        <w:bottom w:val="none" w:sz="0" w:space="0" w:color="auto"/>
        <w:right w:val="none" w:sz="0" w:space="0" w:color="auto"/>
      </w:divBdr>
    </w:div>
    <w:div w:id="2064060713">
      <w:bodyDiv w:val="1"/>
      <w:marLeft w:val="0"/>
      <w:marRight w:val="0"/>
      <w:marTop w:val="0"/>
      <w:marBottom w:val="0"/>
      <w:divBdr>
        <w:top w:val="none" w:sz="0" w:space="0" w:color="auto"/>
        <w:left w:val="none" w:sz="0" w:space="0" w:color="auto"/>
        <w:bottom w:val="none" w:sz="0" w:space="0" w:color="auto"/>
        <w:right w:val="none" w:sz="0" w:space="0" w:color="auto"/>
      </w:divBdr>
    </w:div>
    <w:div w:id="2064790905">
      <w:bodyDiv w:val="1"/>
      <w:marLeft w:val="0"/>
      <w:marRight w:val="0"/>
      <w:marTop w:val="0"/>
      <w:marBottom w:val="0"/>
      <w:divBdr>
        <w:top w:val="none" w:sz="0" w:space="0" w:color="auto"/>
        <w:left w:val="none" w:sz="0" w:space="0" w:color="auto"/>
        <w:bottom w:val="none" w:sz="0" w:space="0" w:color="auto"/>
        <w:right w:val="none" w:sz="0" w:space="0" w:color="auto"/>
      </w:divBdr>
      <w:divsChild>
        <w:div w:id="344744159">
          <w:marLeft w:val="0"/>
          <w:marRight w:val="0"/>
          <w:marTop w:val="0"/>
          <w:marBottom w:val="0"/>
          <w:divBdr>
            <w:top w:val="none" w:sz="0" w:space="0" w:color="auto"/>
            <w:left w:val="none" w:sz="0" w:space="0" w:color="auto"/>
            <w:bottom w:val="none" w:sz="0" w:space="0" w:color="auto"/>
            <w:right w:val="none" w:sz="0" w:space="0" w:color="auto"/>
          </w:divBdr>
        </w:div>
        <w:div w:id="866333159">
          <w:marLeft w:val="0"/>
          <w:marRight w:val="0"/>
          <w:marTop w:val="0"/>
          <w:marBottom w:val="0"/>
          <w:divBdr>
            <w:top w:val="none" w:sz="0" w:space="0" w:color="auto"/>
            <w:left w:val="none" w:sz="0" w:space="0" w:color="auto"/>
            <w:bottom w:val="none" w:sz="0" w:space="0" w:color="auto"/>
            <w:right w:val="none" w:sz="0" w:space="0" w:color="auto"/>
          </w:divBdr>
        </w:div>
        <w:div w:id="2121022745">
          <w:marLeft w:val="0"/>
          <w:marRight w:val="0"/>
          <w:marTop w:val="0"/>
          <w:marBottom w:val="0"/>
          <w:divBdr>
            <w:top w:val="none" w:sz="0" w:space="0" w:color="auto"/>
            <w:left w:val="none" w:sz="0" w:space="0" w:color="auto"/>
            <w:bottom w:val="none" w:sz="0" w:space="0" w:color="auto"/>
            <w:right w:val="none" w:sz="0" w:space="0" w:color="auto"/>
          </w:divBdr>
        </w:div>
      </w:divsChild>
    </w:div>
    <w:div w:id="2065831123">
      <w:bodyDiv w:val="1"/>
      <w:marLeft w:val="0"/>
      <w:marRight w:val="0"/>
      <w:marTop w:val="0"/>
      <w:marBottom w:val="0"/>
      <w:divBdr>
        <w:top w:val="none" w:sz="0" w:space="0" w:color="auto"/>
        <w:left w:val="none" w:sz="0" w:space="0" w:color="auto"/>
        <w:bottom w:val="none" w:sz="0" w:space="0" w:color="auto"/>
        <w:right w:val="none" w:sz="0" w:space="0" w:color="auto"/>
      </w:divBdr>
    </w:div>
    <w:div w:id="2068644911">
      <w:bodyDiv w:val="1"/>
      <w:marLeft w:val="0"/>
      <w:marRight w:val="0"/>
      <w:marTop w:val="0"/>
      <w:marBottom w:val="0"/>
      <w:divBdr>
        <w:top w:val="none" w:sz="0" w:space="0" w:color="auto"/>
        <w:left w:val="none" w:sz="0" w:space="0" w:color="auto"/>
        <w:bottom w:val="none" w:sz="0" w:space="0" w:color="auto"/>
        <w:right w:val="none" w:sz="0" w:space="0" w:color="auto"/>
      </w:divBdr>
      <w:divsChild>
        <w:div w:id="1275554686">
          <w:marLeft w:val="0"/>
          <w:marRight w:val="0"/>
          <w:marTop w:val="0"/>
          <w:marBottom w:val="0"/>
          <w:divBdr>
            <w:top w:val="none" w:sz="0" w:space="0" w:color="auto"/>
            <w:left w:val="none" w:sz="0" w:space="0" w:color="auto"/>
            <w:bottom w:val="none" w:sz="0" w:space="0" w:color="auto"/>
            <w:right w:val="none" w:sz="0" w:space="0" w:color="auto"/>
          </w:divBdr>
        </w:div>
        <w:div w:id="1295018480">
          <w:marLeft w:val="0"/>
          <w:marRight w:val="0"/>
          <w:marTop w:val="0"/>
          <w:marBottom w:val="0"/>
          <w:divBdr>
            <w:top w:val="none" w:sz="0" w:space="0" w:color="auto"/>
            <w:left w:val="none" w:sz="0" w:space="0" w:color="auto"/>
            <w:bottom w:val="none" w:sz="0" w:space="0" w:color="auto"/>
            <w:right w:val="none" w:sz="0" w:space="0" w:color="auto"/>
          </w:divBdr>
        </w:div>
      </w:divsChild>
    </w:div>
    <w:div w:id="2069113153">
      <w:bodyDiv w:val="1"/>
      <w:marLeft w:val="0"/>
      <w:marRight w:val="0"/>
      <w:marTop w:val="0"/>
      <w:marBottom w:val="0"/>
      <w:divBdr>
        <w:top w:val="none" w:sz="0" w:space="0" w:color="auto"/>
        <w:left w:val="none" w:sz="0" w:space="0" w:color="auto"/>
        <w:bottom w:val="none" w:sz="0" w:space="0" w:color="auto"/>
        <w:right w:val="none" w:sz="0" w:space="0" w:color="auto"/>
      </w:divBdr>
    </w:div>
    <w:div w:id="2070641545">
      <w:bodyDiv w:val="1"/>
      <w:marLeft w:val="0"/>
      <w:marRight w:val="0"/>
      <w:marTop w:val="0"/>
      <w:marBottom w:val="0"/>
      <w:divBdr>
        <w:top w:val="none" w:sz="0" w:space="0" w:color="auto"/>
        <w:left w:val="none" w:sz="0" w:space="0" w:color="auto"/>
        <w:bottom w:val="none" w:sz="0" w:space="0" w:color="auto"/>
        <w:right w:val="none" w:sz="0" w:space="0" w:color="auto"/>
      </w:divBdr>
    </w:div>
    <w:div w:id="2071419793">
      <w:bodyDiv w:val="1"/>
      <w:marLeft w:val="0"/>
      <w:marRight w:val="0"/>
      <w:marTop w:val="0"/>
      <w:marBottom w:val="0"/>
      <w:divBdr>
        <w:top w:val="none" w:sz="0" w:space="0" w:color="auto"/>
        <w:left w:val="none" w:sz="0" w:space="0" w:color="auto"/>
        <w:bottom w:val="none" w:sz="0" w:space="0" w:color="auto"/>
        <w:right w:val="none" w:sz="0" w:space="0" w:color="auto"/>
      </w:divBdr>
    </w:div>
    <w:div w:id="2074962416">
      <w:bodyDiv w:val="1"/>
      <w:marLeft w:val="0"/>
      <w:marRight w:val="0"/>
      <w:marTop w:val="0"/>
      <w:marBottom w:val="0"/>
      <w:divBdr>
        <w:top w:val="none" w:sz="0" w:space="0" w:color="auto"/>
        <w:left w:val="none" w:sz="0" w:space="0" w:color="auto"/>
        <w:bottom w:val="none" w:sz="0" w:space="0" w:color="auto"/>
        <w:right w:val="none" w:sz="0" w:space="0" w:color="auto"/>
      </w:divBdr>
    </w:div>
    <w:div w:id="2077704167">
      <w:bodyDiv w:val="1"/>
      <w:marLeft w:val="0"/>
      <w:marRight w:val="0"/>
      <w:marTop w:val="0"/>
      <w:marBottom w:val="0"/>
      <w:divBdr>
        <w:top w:val="none" w:sz="0" w:space="0" w:color="auto"/>
        <w:left w:val="none" w:sz="0" w:space="0" w:color="auto"/>
        <w:bottom w:val="none" w:sz="0" w:space="0" w:color="auto"/>
        <w:right w:val="none" w:sz="0" w:space="0" w:color="auto"/>
      </w:divBdr>
      <w:divsChild>
        <w:div w:id="168369024">
          <w:marLeft w:val="0"/>
          <w:marRight w:val="0"/>
          <w:marTop w:val="0"/>
          <w:marBottom w:val="0"/>
          <w:divBdr>
            <w:top w:val="none" w:sz="0" w:space="0" w:color="auto"/>
            <w:left w:val="none" w:sz="0" w:space="0" w:color="auto"/>
            <w:bottom w:val="none" w:sz="0" w:space="0" w:color="auto"/>
            <w:right w:val="none" w:sz="0" w:space="0" w:color="auto"/>
          </w:divBdr>
          <w:divsChild>
            <w:div w:id="587468720">
              <w:marLeft w:val="0"/>
              <w:marRight w:val="0"/>
              <w:marTop w:val="0"/>
              <w:marBottom w:val="0"/>
              <w:divBdr>
                <w:top w:val="none" w:sz="0" w:space="0" w:color="auto"/>
                <w:left w:val="none" w:sz="0" w:space="0" w:color="auto"/>
                <w:bottom w:val="none" w:sz="0" w:space="0" w:color="auto"/>
                <w:right w:val="none" w:sz="0" w:space="0" w:color="auto"/>
              </w:divBdr>
            </w:div>
            <w:div w:id="1723670267">
              <w:marLeft w:val="0"/>
              <w:marRight w:val="0"/>
              <w:marTop w:val="0"/>
              <w:marBottom w:val="0"/>
              <w:divBdr>
                <w:top w:val="none" w:sz="0" w:space="0" w:color="auto"/>
                <w:left w:val="none" w:sz="0" w:space="0" w:color="auto"/>
                <w:bottom w:val="none" w:sz="0" w:space="0" w:color="auto"/>
                <w:right w:val="none" w:sz="0" w:space="0" w:color="auto"/>
              </w:divBdr>
            </w:div>
          </w:divsChild>
        </w:div>
        <w:div w:id="2002200383">
          <w:marLeft w:val="0"/>
          <w:marRight w:val="0"/>
          <w:marTop w:val="0"/>
          <w:marBottom w:val="0"/>
          <w:divBdr>
            <w:top w:val="none" w:sz="0" w:space="0" w:color="auto"/>
            <w:left w:val="none" w:sz="0" w:space="0" w:color="auto"/>
            <w:bottom w:val="none" w:sz="0" w:space="0" w:color="auto"/>
            <w:right w:val="none" w:sz="0" w:space="0" w:color="auto"/>
          </w:divBdr>
        </w:div>
      </w:divsChild>
    </w:div>
    <w:div w:id="2081319958">
      <w:bodyDiv w:val="1"/>
      <w:marLeft w:val="0"/>
      <w:marRight w:val="0"/>
      <w:marTop w:val="0"/>
      <w:marBottom w:val="0"/>
      <w:divBdr>
        <w:top w:val="none" w:sz="0" w:space="0" w:color="auto"/>
        <w:left w:val="none" w:sz="0" w:space="0" w:color="auto"/>
        <w:bottom w:val="none" w:sz="0" w:space="0" w:color="auto"/>
        <w:right w:val="none" w:sz="0" w:space="0" w:color="auto"/>
      </w:divBdr>
    </w:div>
    <w:div w:id="2083135368">
      <w:bodyDiv w:val="1"/>
      <w:marLeft w:val="0"/>
      <w:marRight w:val="0"/>
      <w:marTop w:val="0"/>
      <w:marBottom w:val="0"/>
      <w:divBdr>
        <w:top w:val="none" w:sz="0" w:space="0" w:color="auto"/>
        <w:left w:val="none" w:sz="0" w:space="0" w:color="auto"/>
        <w:bottom w:val="none" w:sz="0" w:space="0" w:color="auto"/>
        <w:right w:val="none" w:sz="0" w:space="0" w:color="auto"/>
      </w:divBdr>
    </w:div>
    <w:div w:id="2085835300">
      <w:bodyDiv w:val="1"/>
      <w:marLeft w:val="0"/>
      <w:marRight w:val="0"/>
      <w:marTop w:val="0"/>
      <w:marBottom w:val="0"/>
      <w:divBdr>
        <w:top w:val="none" w:sz="0" w:space="0" w:color="auto"/>
        <w:left w:val="none" w:sz="0" w:space="0" w:color="auto"/>
        <w:bottom w:val="none" w:sz="0" w:space="0" w:color="auto"/>
        <w:right w:val="none" w:sz="0" w:space="0" w:color="auto"/>
      </w:divBdr>
      <w:divsChild>
        <w:div w:id="538318454">
          <w:marLeft w:val="0"/>
          <w:marRight w:val="0"/>
          <w:marTop w:val="0"/>
          <w:marBottom w:val="0"/>
          <w:divBdr>
            <w:top w:val="none" w:sz="0" w:space="0" w:color="auto"/>
            <w:left w:val="none" w:sz="0" w:space="0" w:color="auto"/>
            <w:bottom w:val="none" w:sz="0" w:space="0" w:color="auto"/>
            <w:right w:val="none" w:sz="0" w:space="0" w:color="auto"/>
          </w:divBdr>
        </w:div>
        <w:div w:id="1210846923">
          <w:marLeft w:val="0"/>
          <w:marRight w:val="0"/>
          <w:marTop w:val="0"/>
          <w:marBottom w:val="0"/>
          <w:divBdr>
            <w:top w:val="none" w:sz="0" w:space="0" w:color="auto"/>
            <w:left w:val="none" w:sz="0" w:space="0" w:color="auto"/>
            <w:bottom w:val="none" w:sz="0" w:space="0" w:color="auto"/>
            <w:right w:val="none" w:sz="0" w:space="0" w:color="auto"/>
          </w:divBdr>
        </w:div>
        <w:div w:id="1290936739">
          <w:marLeft w:val="0"/>
          <w:marRight w:val="0"/>
          <w:marTop w:val="0"/>
          <w:marBottom w:val="0"/>
          <w:divBdr>
            <w:top w:val="none" w:sz="0" w:space="0" w:color="auto"/>
            <w:left w:val="none" w:sz="0" w:space="0" w:color="auto"/>
            <w:bottom w:val="none" w:sz="0" w:space="0" w:color="auto"/>
            <w:right w:val="none" w:sz="0" w:space="0" w:color="auto"/>
          </w:divBdr>
        </w:div>
      </w:divsChild>
    </w:div>
    <w:div w:id="2089616679">
      <w:bodyDiv w:val="1"/>
      <w:marLeft w:val="0"/>
      <w:marRight w:val="0"/>
      <w:marTop w:val="0"/>
      <w:marBottom w:val="0"/>
      <w:divBdr>
        <w:top w:val="none" w:sz="0" w:space="0" w:color="auto"/>
        <w:left w:val="none" w:sz="0" w:space="0" w:color="auto"/>
        <w:bottom w:val="none" w:sz="0" w:space="0" w:color="auto"/>
        <w:right w:val="none" w:sz="0" w:space="0" w:color="auto"/>
      </w:divBdr>
      <w:divsChild>
        <w:div w:id="13461779">
          <w:marLeft w:val="0"/>
          <w:marRight w:val="0"/>
          <w:marTop w:val="0"/>
          <w:marBottom w:val="0"/>
          <w:divBdr>
            <w:top w:val="none" w:sz="0" w:space="0" w:color="auto"/>
            <w:left w:val="none" w:sz="0" w:space="0" w:color="auto"/>
            <w:bottom w:val="none" w:sz="0" w:space="0" w:color="auto"/>
            <w:right w:val="none" w:sz="0" w:space="0" w:color="auto"/>
          </w:divBdr>
        </w:div>
        <w:div w:id="782654060">
          <w:marLeft w:val="0"/>
          <w:marRight w:val="0"/>
          <w:marTop w:val="0"/>
          <w:marBottom w:val="0"/>
          <w:divBdr>
            <w:top w:val="none" w:sz="0" w:space="0" w:color="auto"/>
            <w:left w:val="none" w:sz="0" w:space="0" w:color="auto"/>
            <w:bottom w:val="none" w:sz="0" w:space="0" w:color="auto"/>
            <w:right w:val="none" w:sz="0" w:space="0" w:color="auto"/>
          </w:divBdr>
        </w:div>
        <w:div w:id="1174881655">
          <w:marLeft w:val="0"/>
          <w:marRight w:val="0"/>
          <w:marTop w:val="0"/>
          <w:marBottom w:val="0"/>
          <w:divBdr>
            <w:top w:val="none" w:sz="0" w:space="0" w:color="auto"/>
            <w:left w:val="none" w:sz="0" w:space="0" w:color="auto"/>
            <w:bottom w:val="none" w:sz="0" w:space="0" w:color="auto"/>
            <w:right w:val="none" w:sz="0" w:space="0" w:color="auto"/>
          </w:divBdr>
        </w:div>
      </w:divsChild>
    </w:div>
    <w:div w:id="2102137992">
      <w:bodyDiv w:val="1"/>
      <w:marLeft w:val="0"/>
      <w:marRight w:val="0"/>
      <w:marTop w:val="0"/>
      <w:marBottom w:val="0"/>
      <w:divBdr>
        <w:top w:val="none" w:sz="0" w:space="0" w:color="auto"/>
        <w:left w:val="none" w:sz="0" w:space="0" w:color="auto"/>
        <w:bottom w:val="none" w:sz="0" w:space="0" w:color="auto"/>
        <w:right w:val="none" w:sz="0" w:space="0" w:color="auto"/>
      </w:divBdr>
    </w:div>
    <w:div w:id="2104644540">
      <w:bodyDiv w:val="1"/>
      <w:marLeft w:val="0"/>
      <w:marRight w:val="0"/>
      <w:marTop w:val="0"/>
      <w:marBottom w:val="0"/>
      <w:divBdr>
        <w:top w:val="none" w:sz="0" w:space="0" w:color="auto"/>
        <w:left w:val="none" w:sz="0" w:space="0" w:color="auto"/>
        <w:bottom w:val="none" w:sz="0" w:space="0" w:color="auto"/>
        <w:right w:val="none" w:sz="0" w:space="0" w:color="auto"/>
      </w:divBdr>
    </w:div>
    <w:div w:id="2105149572">
      <w:bodyDiv w:val="1"/>
      <w:marLeft w:val="0"/>
      <w:marRight w:val="0"/>
      <w:marTop w:val="0"/>
      <w:marBottom w:val="0"/>
      <w:divBdr>
        <w:top w:val="none" w:sz="0" w:space="0" w:color="auto"/>
        <w:left w:val="none" w:sz="0" w:space="0" w:color="auto"/>
        <w:bottom w:val="none" w:sz="0" w:space="0" w:color="auto"/>
        <w:right w:val="none" w:sz="0" w:space="0" w:color="auto"/>
      </w:divBdr>
      <w:divsChild>
        <w:div w:id="893589345">
          <w:marLeft w:val="0"/>
          <w:marRight w:val="0"/>
          <w:marTop w:val="0"/>
          <w:marBottom w:val="0"/>
          <w:divBdr>
            <w:top w:val="none" w:sz="0" w:space="0" w:color="auto"/>
            <w:left w:val="none" w:sz="0" w:space="0" w:color="auto"/>
            <w:bottom w:val="none" w:sz="0" w:space="0" w:color="auto"/>
            <w:right w:val="none" w:sz="0" w:space="0" w:color="auto"/>
          </w:divBdr>
        </w:div>
        <w:div w:id="2048021740">
          <w:marLeft w:val="0"/>
          <w:marRight w:val="0"/>
          <w:marTop w:val="0"/>
          <w:marBottom w:val="0"/>
          <w:divBdr>
            <w:top w:val="none" w:sz="0" w:space="0" w:color="auto"/>
            <w:left w:val="none" w:sz="0" w:space="0" w:color="auto"/>
            <w:bottom w:val="none" w:sz="0" w:space="0" w:color="auto"/>
            <w:right w:val="none" w:sz="0" w:space="0" w:color="auto"/>
          </w:divBdr>
        </w:div>
      </w:divsChild>
    </w:div>
    <w:div w:id="2110276743">
      <w:bodyDiv w:val="1"/>
      <w:marLeft w:val="0"/>
      <w:marRight w:val="0"/>
      <w:marTop w:val="0"/>
      <w:marBottom w:val="0"/>
      <w:divBdr>
        <w:top w:val="none" w:sz="0" w:space="0" w:color="auto"/>
        <w:left w:val="none" w:sz="0" w:space="0" w:color="auto"/>
        <w:bottom w:val="none" w:sz="0" w:space="0" w:color="auto"/>
        <w:right w:val="none" w:sz="0" w:space="0" w:color="auto"/>
      </w:divBdr>
    </w:div>
    <w:div w:id="2112309665">
      <w:bodyDiv w:val="1"/>
      <w:marLeft w:val="0"/>
      <w:marRight w:val="0"/>
      <w:marTop w:val="0"/>
      <w:marBottom w:val="0"/>
      <w:divBdr>
        <w:top w:val="none" w:sz="0" w:space="0" w:color="auto"/>
        <w:left w:val="none" w:sz="0" w:space="0" w:color="auto"/>
        <w:bottom w:val="none" w:sz="0" w:space="0" w:color="auto"/>
        <w:right w:val="none" w:sz="0" w:space="0" w:color="auto"/>
      </w:divBdr>
    </w:div>
    <w:div w:id="2115443129">
      <w:bodyDiv w:val="1"/>
      <w:marLeft w:val="0"/>
      <w:marRight w:val="0"/>
      <w:marTop w:val="0"/>
      <w:marBottom w:val="0"/>
      <w:divBdr>
        <w:top w:val="none" w:sz="0" w:space="0" w:color="auto"/>
        <w:left w:val="none" w:sz="0" w:space="0" w:color="auto"/>
        <w:bottom w:val="none" w:sz="0" w:space="0" w:color="auto"/>
        <w:right w:val="none" w:sz="0" w:space="0" w:color="auto"/>
      </w:divBdr>
    </w:div>
    <w:div w:id="2120906853">
      <w:bodyDiv w:val="1"/>
      <w:marLeft w:val="0"/>
      <w:marRight w:val="0"/>
      <w:marTop w:val="0"/>
      <w:marBottom w:val="0"/>
      <w:divBdr>
        <w:top w:val="none" w:sz="0" w:space="0" w:color="auto"/>
        <w:left w:val="none" w:sz="0" w:space="0" w:color="auto"/>
        <w:bottom w:val="none" w:sz="0" w:space="0" w:color="auto"/>
        <w:right w:val="none" w:sz="0" w:space="0" w:color="auto"/>
      </w:divBdr>
      <w:divsChild>
        <w:div w:id="71590121">
          <w:marLeft w:val="0"/>
          <w:marRight w:val="0"/>
          <w:marTop w:val="0"/>
          <w:marBottom w:val="0"/>
          <w:divBdr>
            <w:top w:val="none" w:sz="0" w:space="0" w:color="auto"/>
            <w:left w:val="none" w:sz="0" w:space="0" w:color="auto"/>
            <w:bottom w:val="none" w:sz="0" w:space="0" w:color="auto"/>
            <w:right w:val="none" w:sz="0" w:space="0" w:color="auto"/>
          </w:divBdr>
        </w:div>
      </w:divsChild>
    </w:div>
    <w:div w:id="2122260519">
      <w:bodyDiv w:val="1"/>
      <w:marLeft w:val="0"/>
      <w:marRight w:val="0"/>
      <w:marTop w:val="0"/>
      <w:marBottom w:val="0"/>
      <w:divBdr>
        <w:top w:val="none" w:sz="0" w:space="0" w:color="auto"/>
        <w:left w:val="none" w:sz="0" w:space="0" w:color="auto"/>
        <w:bottom w:val="none" w:sz="0" w:space="0" w:color="auto"/>
        <w:right w:val="none" w:sz="0" w:space="0" w:color="auto"/>
      </w:divBdr>
      <w:divsChild>
        <w:div w:id="897588779">
          <w:marLeft w:val="0"/>
          <w:marRight w:val="0"/>
          <w:marTop w:val="0"/>
          <w:marBottom w:val="0"/>
          <w:divBdr>
            <w:top w:val="none" w:sz="0" w:space="0" w:color="auto"/>
            <w:left w:val="none" w:sz="0" w:space="0" w:color="auto"/>
            <w:bottom w:val="none" w:sz="0" w:space="0" w:color="auto"/>
            <w:right w:val="none" w:sz="0" w:space="0" w:color="auto"/>
          </w:divBdr>
        </w:div>
        <w:div w:id="1295719643">
          <w:marLeft w:val="0"/>
          <w:marRight w:val="0"/>
          <w:marTop w:val="0"/>
          <w:marBottom w:val="0"/>
          <w:divBdr>
            <w:top w:val="none" w:sz="0" w:space="0" w:color="auto"/>
            <w:left w:val="none" w:sz="0" w:space="0" w:color="auto"/>
            <w:bottom w:val="none" w:sz="0" w:space="0" w:color="auto"/>
            <w:right w:val="none" w:sz="0" w:space="0" w:color="auto"/>
          </w:divBdr>
        </w:div>
        <w:div w:id="1656377638">
          <w:marLeft w:val="0"/>
          <w:marRight w:val="0"/>
          <w:marTop w:val="0"/>
          <w:marBottom w:val="0"/>
          <w:divBdr>
            <w:top w:val="none" w:sz="0" w:space="0" w:color="auto"/>
            <w:left w:val="none" w:sz="0" w:space="0" w:color="auto"/>
            <w:bottom w:val="none" w:sz="0" w:space="0" w:color="auto"/>
            <w:right w:val="none" w:sz="0" w:space="0" w:color="auto"/>
          </w:divBdr>
        </w:div>
        <w:div w:id="1820883278">
          <w:marLeft w:val="0"/>
          <w:marRight w:val="0"/>
          <w:marTop w:val="0"/>
          <w:marBottom w:val="0"/>
          <w:divBdr>
            <w:top w:val="none" w:sz="0" w:space="0" w:color="auto"/>
            <w:left w:val="none" w:sz="0" w:space="0" w:color="auto"/>
            <w:bottom w:val="none" w:sz="0" w:space="0" w:color="auto"/>
            <w:right w:val="none" w:sz="0" w:space="0" w:color="auto"/>
          </w:divBdr>
        </w:div>
      </w:divsChild>
    </w:div>
    <w:div w:id="2122795189">
      <w:bodyDiv w:val="1"/>
      <w:marLeft w:val="0"/>
      <w:marRight w:val="0"/>
      <w:marTop w:val="0"/>
      <w:marBottom w:val="0"/>
      <w:divBdr>
        <w:top w:val="none" w:sz="0" w:space="0" w:color="auto"/>
        <w:left w:val="none" w:sz="0" w:space="0" w:color="auto"/>
        <w:bottom w:val="none" w:sz="0" w:space="0" w:color="auto"/>
        <w:right w:val="none" w:sz="0" w:space="0" w:color="auto"/>
      </w:divBdr>
    </w:div>
    <w:div w:id="2123647141">
      <w:bodyDiv w:val="1"/>
      <w:marLeft w:val="0"/>
      <w:marRight w:val="0"/>
      <w:marTop w:val="0"/>
      <w:marBottom w:val="0"/>
      <w:divBdr>
        <w:top w:val="none" w:sz="0" w:space="0" w:color="auto"/>
        <w:left w:val="none" w:sz="0" w:space="0" w:color="auto"/>
        <w:bottom w:val="none" w:sz="0" w:space="0" w:color="auto"/>
        <w:right w:val="none" w:sz="0" w:space="0" w:color="auto"/>
      </w:divBdr>
    </w:div>
    <w:div w:id="2125077965">
      <w:bodyDiv w:val="1"/>
      <w:marLeft w:val="0"/>
      <w:marRight w:val="0"/>
      <w:marTop w:val="0"/>
      <w:marBottom w:val="0"/>
      <w:divBdr>
        <w:top w:val="none" w:sz="0" w:space="0" w:color="auto"/>
        <w:left w:val="none" w:sz="0" w:space="0" w:color="auto"/>
        <w:bottom w:val="none" w:sz="0" w:space="0" w:color="auto"/>
        <w:right w:val="none" w:sz="0" w:space="0" w:color="auto"/>
      </w:divBdr>
    </w:div>
    <w:div w:id="2126851582">
      <w:bodyDiv w:val="1"/>
      <w:marLeft w:val="0"/>
      <w:marRight w:val="0"/>
      <w:marTop w:val="0"/>
      <w:marBottom w:val="0"/>
      <w:divBdr>
        <w:top w:val="none" w:sz="0" w:space="0" w:color="auto"/>
        <w:left w:val="none" w:sz="0" w:space="0" w:color="auto"/>
        <w:bottom w:val="none" w:sz="0" w:space="0" w:color="auto"/>
        <w:right w:val="none" w:sz="0" w:space="0" w:color="auto"/>
      </w:divBdr>
    </w:div>
    <w:div w:id="2126998215">
      <w:bodyDiv w:val="1"/>
      <w:marLeft w:val="0"/>
      <w:marRight w:val="0"/>
      <w:marTop w:val="0"/>
      <w:marBottom w:val="0"/>
      <w:divBdr>
        <w:top w:val="none" w:sz="0" w:space="0" w:color="auto"/>
        <w:left w:val="none" w:sz="0" w:space="0" w:color="auto"/>
        <w:bottom w:val="none" w:sz="0" w:space="0" w:color="auto"/>
        <w:right w:val="none" w:sz="0" w:space="0" w:color="auto"/>
      </w:divBdr>
    </w:div>
    <w:div w:id="2128886461">
      <w:bodyDiv w:val="1"/>
      <w:marLeft w:val="0"/>
      <w:marRight w:val="0"/>
      <w:marTop w:val="0"/>
      <w:marBottom w:val="0"/>
      <w:divBdr>
        <w:top w:val="none" w:sz="0" w:space="0" w:color="auto"/>
        <w:left w:val="none" w:sz="0" w:space="0" w:color="auto"/>
        <w:bottom w:val="none" w:sz="0" w:space="0" w:color="auto"/>
        <w:right w:val="none" w:sz="0" w:space="0" w:color="auto"/>
      </w:divBdr>
      <w:divsChild>
        <w:div w:id="248316624">
          <w:marLeft w:val="0"/>
          <w:marRight w:val="0"/>
          <w:marTop w:val="0"/>
          <w:marBottom w:val="0"/>
          <w:divBdr>
            <w:top w:val="none" w:sz="0" w:space="0" w:color="auto"/>
            <w:left w:val="none" w:sz="0" w:space="0" w:color="auto"/>
            <w:bottom w:val="none" w:sz="0" w:space="0" w:color="auto"/>
            <w:right w:val="none" w:sz="0" w:space="0" w:color="auto"/>
          </w:divBdr>
        </w:div>
        <w:div w:id="601303563">
          <w:marLeft w:val="0"/>
          <w:marRight w:val="0"/>
          <w:marTop w:val="0"/>
          <w:marBottom w:val="0"/>
          <w:divBdr>
            <w:top w:val="none" w:sz="0" w:space="0" w:color="auto"/>
            <w:left w:val="none" w:sz="0" w:space="0" w:color="auto"/>
            <w:bottom w:val="none" w:sz="0" w:space="0" w:color="auto"/>
            <w:right w:val="none" w:sz="0" w:space="0" w:color="auto"/>
          </w:divBdr>
        </w:div>
        <w:div w:id="1447311325">
          <w:marLeft w:val="0"/>
          <w:marRight w:val="0"/>
          <w:marTop w:val="0"/>
          <w:marBottom w:val="0"/>
          <w:divBdr>
            <w:top w:val="none" w:sz="0" w:space="0" w:color="auto"/>
            <w:left w:val="none" w:sz="0" w:space="0" w:color="auto"/>
            <w:bottom w:val="none" w:sz="0" w:space="0" w:color="auto"/>
            <w:right w:val="none" w:sz="0" w:space="0" w:color="auto"/>
          </w:divBdr>
        </w:div>
        <w:div w:id="1767916718">
          <w:marLeft w:val="0"/>
          <w:marRight w:val="0"/>
          <w:marTop w:val="0"/>
          <w:marBottom w:val="0"/>
          <w:divBdr>
            <w:top w:val="none" w:sz="0" w:space="0" w:color="auto"/>
            <w:left w:val="none" w:sz="0" w:space="0" w:color="auto"/>
            <w:bottom w:val="none" w:sz="0" w:space="0" w:color="auto"/>
            <w:right w:val="none" w:sz="0" w:space="0" w:color="auto"/>
          </w:divBdr>
        </w:div>
      </w:divsChild>
    </w:div>
    <w:div w:id="2133092491">
      <w:bodyDiv w:val="1"/>
      <w:marLeft w:val="0"/>
      <w:marRight w:val="0"/>
      <w:marTop w:val="0"/>
      <w:marBottom w:val="0"/>
      <w:divBdr>
        <w:top w:val="none" w:sz="0" w:space="0" w:color="auto"/>
        <w:left w:val="none" w:sz="0" w:space="0" w:color="auto"/>
        <w:bottom w:val="none" w:sz="0" w:space="0" w:color="auto"/>
        <w:right w:val="none" w:sz="0" w:space="0" w:color="auto"/>
      </w:divBdr>
      <w:divsChild>
        <w:div w:id="685131023">
          <w:marLeft w:val="0"/>
          <w:marRight w:val="0"/>
          <w:marTop w:val="0"/>
          <w:marBottom w:val="0"/>
          <w:divBdr>
            <w:top w:val="none" w:sz="0" w:space="0" w:color="auto"/>
            <w:left w:val="none" w:sz="0" w:space="0" w:color="auto"/>
            <w:bottom w:val="none" w:sz="0" w:space="0" w:color="auto"/>
            <w:right w:val="none" w:sz="0" w:space="0" w:color="auto"/>
          </w:divBdr>
          <w:divsChild>
            <w:div w:id="530845101">
              <w:marLeft w:val="0"/>
              <w:marRight w:val="0"/>
              <w:marTop w:val="0"/>
              <w:marBottom w:val="0"/>
              <w:divBdr>
                <w:top w:val="none" w:sz="0" w:space="0" w:color="auto"/>
                <w:left w:val="none" w:sz="0" w:space="0" w:color="auto"/>
                <w:bottom w:val="none" w:sz="0" w:space="0" w:color="auto"/>
                <w:right w:val="none" w:sz="0" w:space="0" w:color="auto"/>
              </w:divBdr>
            </w:div>
          </w:divsChild>
        </w:div>
        <w:div w:id="1998340782">
          <w:marLeft w:val="0"/>
          <w:marRight w:val="0"/>
          <w:marTop w:val="0"/>
          <w:marBottom w:val="0"/>
          <w:divBdr>
            <w:top w:val="none" w:sz="0" w:space="0" w:color="auto"/>
            <w:left w:val="none" w:sz="0" w:space="0" w:color="auto"/>
            <w:bottom w:val="none" w:sz="0" w:space="0" w:color="auto"/>
            <w:right w:val="none" w:sz="0" w:space="0" w:color="auto"/>
          </w:divBdr>
        </w:div>
      </w:divsChild>
    </w:div>
    <w:div w:id="2141798237">
      <w:bodyDiv w:val="1"/>
      <w:marLeft w:val="0"/>
      <w:marRight w:val="0"/>
      <w:marTop w:val="0"/>
      <w:marBottom w:val="0"/>
      <w:divBdr>
        <w:top w:val="none" w:sz="0" w:space="0" w:color="auto"/>
        <w:left w:val="none" w:sz="0" w:space="0" w:color="auto"/>
        <w:bottom w:val="none" w:sz="0" w:space="0" w:color="auto"/>
        <w:right w:val="none" w:sz="0" w:space="0" w:color="auto"/>
      </w:divBdr>
    </w:div>
    <w:div w:id="2141917955">
      <w:bodyDiv w:val="1"/>
      <w:marLeft w:val="0"/>
      <w:marRight w:val="0"/>
      <w:marTop w:val="0"/>
      <w:marBottom w:val="0"/>
      <w:divBdr>
        <w:top w:val="none" w:sz="0" w:space="0" w:color="auto"/>
        <w:left w:val="none" w:sz="0" w:space="0" w:color="auto"/>
        <w:bottom w:val="none" w:sz="0" w:space="0" w:color="auto"/>
        <w:right w:val="none" w:sz="0" w:space="0" w:color="auto"/>
      </w:divBdr>
    </w:div>
    <w:div w:id="2142652435">
      <w:bodyDiv w:val="1"/>
      <w:marLeft w:val="0"/>
      <w:marRight w:val="0"/>
      <w:marTop w:val="0"/>
      <w:marBottom w:val="0"/>
      <w:divBdr>
        <w:top w:val="none" w:sz="0" w:space="0" w:color="auto"/>
        <w:left w:val="none" w:sz="0" w:space="0" w:color="auto"/>
        <w:bottom w:val="none" w:sz="0" w:space="0" w:color="auto"/>
        <w:right w:val="none" w:sz="0" w:space="0" w:color="auto"/>
      </w:divBdr>
      <w:divsChild>
        <w:div w:id="1479223165">
          <w:marLeft w:val="0"/>
          <w:marRight w:val="0"/>
          <w:marTop w:val="0"/>
          <w:marBottom w:val="0"/>
          <w:divBdr>
            <w:top w:val="none" w:sz="0" w:space="0" w:color="auto"/>
            <w:left w:val="none" w:sz="0" w:space="0" w:color="auto"/>
            <w:bottom w:val="none" w:sz="0" w:space="0" w:color="auto"/>
            <w:right w:val="none" w:sz="0" w:space="0" w:color="auto"/>
          </w:divBdr>
          <w:divsChild>
            <w:div w:id="757403695">
              <w:marLeft w:val="0"/>
              <w:marRight w:val="0"/>
              <w:marTop w:val="0"/>
              <w:marBottom w:val="0"/>
              <w:divBdr>
                <w:top w:val="none" w:sz="0" w:space="0" w:color="auto"/>
                <w:left w:val="none" w:sz="0" w:space="0" w:color="auto"/>
                <w:bottom w:val="none" w:sz="0" w:space="0" w:color="auto"/>
                <w:right w:val="none" w:sz="0" w:space="0" w:color="auto"/>
              </w:divBdr>
            </w:div>
            <w:div w:id="1018579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2727253">
      <w:bodyDiv w:val="1"/>
      <w:marLeft w:val="0"/>
      <w:marRight w:val="0"/>
      <w:marTop w:val="0"/>
      <w:marBottom w:val="0"/>
      <w:divBdr>
        <w:top w:val="none" w:sz="0" w:space="0" w:color="auto"/>
        <w:left w:val="none" w:sz="0" w:space="0" w:color="auto"/>
        <w:bottom w:val="none" w:sz="0" w:space="0" w:color="auto"/>
        <w:right w:val="none" w:sz="0" w:space="0" w:color="auto"/>
      </w:divBdr>
      <w:divsChild>
        <w:div w:id="41945469">
          <w:marLeft w:val="0"/>
          <w:marRight w:val="0"/>
          <w:marTop w:val="0"/>
          <w:marBottom w:val="0"/>
          <w:divBdr>
            <w:top w:val="none" w:sz="0" w:space="0" w:color="auto"/>
            <w:left w:val="none" w:sz="0" w:space="0" w:color="auto"/>
            <w:bottom w:val="none" w:sz="0" w:space="0" w:color="auto"/>
            <w:right w:val="none" w:sz="0" w:space="0" w:color="auto"/>
          </w:divBdr>
        </w:div>
        <w:div w:id="291206859">
          <w:marLeft w:val="0"/>
          <w:marRight w:val="0"/>
          <w:marTop w:val="0"/>
          <w:marBottom w:val="0"/>
          <w:divBdr>
            <w:top w:val="none" w:sz="0" w:space="0" w:color="auto"/>
            <w:left w:val="none" w:sz="0" w:space="0" w:color="auto"/>
            <w:bottom w:val="none" w:sz="0" w:space="0" w:color="auto"/>
            <w:right w:val="none" w:sz="0" w:space="0" w:color="auto"/>
          </w:divBdr>
        </w:div>
        <w:div w:id="587160028">
          <w:marLeft w:val="0"/>
          <w:marRight w:val="0"/>
          <w:marTop w:val="0"/>
          <w:marBottom w:val="0"/>
          <w:divBdr>
            <w:top w:val="none" w:sz="0" w:space="0" w:color="auto"/>
            <w:left w:val="none" w:sz="0" w:space="0" w:color="auto"/>
            <w:bottom w:val="none" w:sz="0" w:space="0" w:color="auto"/>
            <w:right w:val="none" w:sz="0" w:space="0" w:color="auto"/>
          </w:divBdr>
        </w:div>
        <w:div w:id="1428385544">
          <w:marLeft w:val="0"/>
          <w:marRight w:val="0"/>
          <w:marTop w:val="0"/>
          <w:marBottom w:val="0"/>
          <w:divBdr>
            <w:top w:val="none" w:sz="0" w:space="0" w:color="auto"/>
            <w:left w:val="none" w:sz="0" w:space="0" w:color="auto"/>
            <w:bottom w:val="none" w:sz="0" w:space="0" w:color="auto"/>
            <w:right w:val="none" w:sz="0" w:space="0" w:color="auto"/>
          </w:divBdr>
        </w:div>
      </w:divsChild>
    </w:div>
    <w:div w:id="2144035729">
      <w:bodyDiv w:val="1"/>
      <w:marLeft w:val="0"/>
      <w:marRight w:val="0"/>
      <w:marTop w:val="0"/>
      <w:marBottom w:val="0"/>
      <w:divBdr>
        <w:top w:val="none" w:sz="0" w:space="0" w:color="auto"/>
        <w:left w:val="none" w:sz="0" w:space="0" w:color="auto"/>
        <w:bottom w:val="none" w:sz="0" w:space="0" w:color="auto"/>
        <w:right w:val="none" w:sz="0" w:space="0" w:color="auto"/>
      </w:divBdr>
      <w:divsChild>
        <w:div w:id="382291156">
          <w:marLeft w:val="0"/>
          <w:marRight w:val="0"/>
          <w:marTop w:val="0"/>
          <w:marBottom w:val="0"/>
          <w:divBdr>
            <w:top w:val="none" w:sz="0" w:space="0" w:color="auto"/>
            <w:left w:val="none" w:sz="0" w:space="0" w:color="auto"/>
            <w:bottom w:val="none" w:sz="0" w:space="0" w:color="auto"/>
            <w:right w:val="none" w:sz="0" w:space="0" w:color="auto"/>
          </w:divBdr>
        </w:div>
        <w:div w:id="124676969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4.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3.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hyperlink" Target="http://www.hermaion.cz" TargetMode="Externa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yperlink" Target="http://www.hermaion.cz" TargetMode="External"/><Relationship Id="rId14" Type="http://schemas.openxmlformats.org/officeDocument/2006/relationships/footer" Target="footer5.xm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213CBDA-7F07-493D-8A72-6CDB1ADD8D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53147</TotalTime>
  <Pages>518</Pages>
  <Words>198783</Words>
  <Characters>1172823</Characters>
  <Application>Microsoft Office Word</Application>
  <DocSecurity>0</DocSecurity>
  <Lines>9773</Lines>
  <Paragraphs>2737</Paragraphs>
  <ScaleCrop>false</ScaleCrop>
  <HeadingPairs>
    <vt:vector size="2" baseType="variant">
      <vt:variant>
        <vt:lpstr>Název</vt:lpstr>
      </vt:variant>
      <vt:variant>
        <vt:i4>1</vt:i4>
      </vt:variant>
    </vt:vector>
  </HeadingPairs>
  <TitlesOfParts>
    <vt:vector size="1" baseType="lpstr">
      <vt:lpstr>Hermeneutika objektivity. K dějinnosti jednoho produktivního pochybení</vt:lpstr>
    </vt:vector>
  </TitlesOfParts>
  <Company/>
  <LinksUpToDate>false</LinksUpToDate>
  <CharactersWithSpaces>1368869</CharactersWithSpaces>
  <SharedDoc>false</SharedDoc>
  <HLinks>
    <vt:vector size="234" baseType="variant">
      <vt:variant>
        <vt:i4>1966133</vt:i4>
      </vt:variant>
      <vt:variant>
        <vt:i4>202</vt:i4>
      </vt:variant>
      <vt:variant>
        <vt:i4>0</vt:i4>
      </vt:variant>
      <vt:variant>
        <vt:i4>5</vt:i4>
      </vt:variant>
      <vt:variant>
        <vt:lpwstr/>
      </vt:variant>
      <vt:variant>
        <vt:lpwstr>_Toc12538890</vt:lpwstr>
      </vt:variant>
      <vt:variant>
        <vt:i4>1507380</vt:i4>
      </vt:variant>
      <vt:variant>
        <vt:i4>196</vt:i4>
      </vt:variant>
      <vt:variant>
        <vt:i4>0</vt:i4>
      </vt:variant>
      <vt:variant>
        <vt:i4>5</vt:i4>
      </vt:variant>
      <vt:variant>
        <vt:lpwstr/>
      </vt:variant>
      <vt:variant>
        <vt:lpwstr>_Toc12538889</vt:lpwstr>
      </vt:variant>
      <vt:variant>
        <vt:i4>1441844</vt:i4>
      </vt:variant>
      <vt:variant>
        <vt:i4>190</vt:i4>
      </vt:variant>
      <vt:variant>
        <vt:i4>0</vt:i4>
      </vt:variant>
      <vt:variant>
        <vt:i4>5</vt:i4>
      </vt:variant>
      <vt:variant>
        <vt:lpwstr/>
      </vt:variant>
      <vt:variant>
        <vt:lpwstr>_Toc12538888</vt:lpwstr>
      </vt:variant>
      <vt:variant>
        <vt:i4>1638452</vt:i4>
      </vt:variant>
      <vt:variant>
        <vt:i4>184</vt:i4>
      </vt:variant>
      <vt:variant>
        <vt:i4>0</vt:i4>
      </vt:variant>
      <vt:variant>
        <vt:i4>5</vt:i4>
      </vt:variant>
      <vt:variant>
        <vt:lpwstr/>
      </vt:variant>
      <vt:variant>
        <vt:lpwstr>_Toc12538887</vt:lpwstr>
      </vt:variant>
      <vt:variant>
        <vt:i4>1572916</vt:i4>
      </vt:variant>
      <vt:variant>
        <vt:i4>178</vt:i4>
      </vt:variant>
      <vt:variant>
        <vt:i4>0</vt:i4>
      </vt:variant>
      <vt:variant>
        <vt:i4>5</vt:i4>
      </vt:variant>
      <vt:variant>
        <vt:lpwstr/>
      </vt:variant>
      <vt:variant>
        <vt:lpwstr>_Toc12538886</vt:lpwstr>
      </vt:variant>
      <vt:variant>
        <vt:i4>1769524</vt:i4>
      </vt:variant>
      <vt:variant>
        <vt:i4>172</vt:i4>
      </vt:variant>
      <vt:variant>
        <vt:i4>0</vt:i4>
      </vt:variant>
      <vt:variant>
        <vt:i4>5</vt:i4>
      </vt:variant>
      <vt:variant>
        <vt:lpwstr/>
      </vt:variant>
      <vt:variant>
        <vt:lpwstr>_Toc12538885</vt:lpwstr>
      </vt:variant>
      <vt:variant>
        <vt:i4>1703988</vt:i4>
      </vt:variant>
      <vt:variant>
        <vt:i4>166</vt:i4>
      </vt:variant>
      <vt:variant>
        <vt:i4>0</vt:i4>
      </vt:variant>
      <vt:variant>
        <vt:i4>5</vt:i4>
      </vt:variant>
      <vt:variant>
        <vt:lpwstr/>
      </vt:variant>
      <vt:variant>
        <vt:lpwstr>_Toc12538884</vt:lpwstr>
      </vt:variant>
      <vt:variant>
        <vt:i4>1900596</vt:i4>
      </vt:variant>
      <vt:variant>
        <vt:i4>160</vt:i4>
      </vt:variant>
      <vt:variant>
        <vt:i4>0</vt:i4>
      </vt:variant>
      <vt:variant>
        <vt:i4>5</vt:i4>
      </vt:variant>
      <vt:variant>
        <vt:lpwstr/>
      </vt:variant>
      <vt:variant>
        <vt:lpwstr>_Toc12538883</vt:lpwstr>
      </vt:variant>
      <vt:variant>
        <vt:i4>1835060</vt:i4>
      </vt:variant>
      <vt:variant>
        <vt:i4>154</vt:i4>
      </vt:variant>
      <vt:variant>
        <vt:i4>0</vt:i4>
      </vt:variant>
      <vt:variant>
        <vt:i4>5</vt:i4>
      </vt:variant>
      <vt:variant>
        <vt:lpwstr/>
      </vt:variant>
      <vt:variant>
        <vt:lpwstr>_Toc12538882</vt:lpwstr>
      </vt:variant>
      <vt:variant>
        <vt:i4>2031668</vt:i4>
      </vt:variant>
      <vt:variant>
        <vt:i4>148</vt:i4>
      </vt:variant>
      <vt:variant>
        <vt:i4>0</vt:i4>
      </vt:variant>
      <vt:variant>
        <vt:i4>5</vt:i4>
      </vt:variant>
      <vt:variant>
        <vt:lpwstr/>
      </vt:variant>
      <vt:variant>
        <vt:lpwstr>_Toc12538881</vt:lpwstr>
      </vt:variant>
      <vt:variant>
        <vt:i4>1966132</vt:i4>
      </vt:variant>
      <vt:variant>
        <vt:i4>142</vt:i4>
      </vt:variant>
      <vt:variant>
        <vt:i4>0</vt:i4>
      </vt:variant>
      <vt:variant>
        <vt:i4>5</vt:i4>
      </vt:variant>
      <vt:variant>
        <vt:lpwstr/>
      </vt:variant>
      <vt:variant>
        <vt:lpwstr>_Toc12538880</vt:lpwstr>
      </vt:variant>
      <vt:variant>
        <vt:i4>1507387</vt:i4>
      </vt:variant>
      <vt:variant>
        <vt:i4>136</vt:i4>
      </vt:variant>
      <vt:variant>
        <vt:i4>0</vt:i4>
      </vt:variant>
      <vt:variant>
        <vt:i4>5</vt:i4>
      </vt:variant>
      <vt:variant>
        <vt:lpwstr/>
      </vt:variant>
      <vt:variant>
        <vt:lpwstr>_Toc12538879</vt:lpwstr>
      </vt:variant>
      <vt:variant>
        <vt:i4>1441851</vt:i4>
      </vt:variant>
      <vt:variant>
        <vt:i4>130</vt:i4>
      </vt:variant>
      <vt:variant>
        <vt:i4>0</vt:i4>
      </vt:variant>
      <vt:variant>
        <vt:i4>5</vt:i4>
      </vt:variant>
      <vt:variant>
        <vt:lpwstr/>
      </vt:variant>
      <vt:variant>
        <vt:lpwstr>_Toc12538878</vt:lpwstr>
      </vt:variant>
      <vt:variant>
        <vt:i4>1638459</vt:i4>
      </vt:variant>
      <vt:variant>
        <vt:i4>124</vt:i4>
      </vt:variant>
      <vt:variant>
        <vt:i4>0</vt:i4>
      </vt:variant>
      <vt:variant>
        <vt:i4>5</vt:i4>
      </vt:variant>
      <vt:variant>
        <vt:lpwstr/>
      </vt:variant>
      <vt:variant>
        <vt:lpwstr>_Toc12538877</vt:lpwstr>
      </vt:variant>
      <vt:variant>
        <vt:i4>1572923</vt:i4>
      </vt:variant>
      <vt:variant>
        <vt:i4>118</vt:i4>
      </vt:variant>
      <vt:variant>
        <vt:i4>0</vt:i4>
      </vt:variant>
      <vt:variant>
        <vt:i4>5</vt:i4>
      </vt:variant>
      <vt:variant>
        <vt:lpwstr/>
      </vt:variant>
      <vt:variant>
        <vt:lpwstr>_Toc12538876</vt:lpwstr>
      </vt:variant>
      <vt:variant>
        <vt:i4>1769531</vt:i4>
      </vt:variant>
      <vt:variant>
        <vt:i4>112</vt:i4>
      </vt:variant>
      <vt:variant>
        <vt:i4>0</vt:i4>
      </vt:variant>
      <vt:variant>
        <vt:i4>5</vt:i4>
      </vt:variant>
      <vt:variant>
        <vt:lpwstr/>
      </vt:variant>
      <vt:variant>
        <vt:lpwstr>_Toc12538875</vt:lpwstr>
      </vt:variant>
      <vt:variant>
        <vt:i4>1703995</vt:i4>
      </vt:variant>
      <vt:variant>
        <vt:i4>106</vt:i4>
      </vt:variant>
      <vt:variant>
        <vt:i4>0</vt:i4>
      </vt:variant>
      <vt:variant>
        <vt:i4>5</vt:i4>
      </vt:variant>
      <vt:variant>
        <vt:lpwstr/>
      </vt:variant>
      <vt:variant>
        <vt:lpwstr>_Toc12538874</vt:lpwstr>
      </vt:variant>
      <vt:variant>
        <vt:i4>1900603</vt:i4>
      </vt:variant>
      <vt:variant>
        <vt:i4>100</vt:i4>
      </vt:variant>
      <vt:variant>
        <vt:i4>0</vt:i4>
      </vt:variant>
      <vt:variant>
        <vt:i4>5</vt:i4>
      </vt:variant>
      <vt:variant>
        <vt:lpwstr/>
      </vt:variant>
      <vt:variant>
        <vt:lpwstr>_Toc12538873</vt:lpwstr>
      </vt:variant>
      <vt:variant>
        <vt:i4>1835067</vt:i4>
      </vt:variant>
      <vt:variant>
        <vt:i4>94</vt:i4>
      </vt:variant>
      <vt:variant>
        <vt:i4>0</vt:i4>
      </vt:variant>
      <vt:variant>
        <vt:i4>5</vt:i4>
      </vt:variant>
      <vt:variant>
        <vt:lpwstr/>
      </vt:variant>
      <vt:variant>
        <vt:lpwstr>_Toc12538872</vt:lpwstr>
      </vt:variant>
      <vt:variant>
        <vt:i4>2031675</vt:i4>
      </vt:variant>
      <vt:variant>
        <vt:i4>88</vt:i4>
      </vt:variant>
      <vt:variant>
        <vt:i4>0</vt:i4>
      </vt:variant>
      <vt:variant>
        <vt:i4>5</vt:i4>
      </vt:variant>
      <vt:variant>
        <vt:lpwstr/>
      </vt:variant>
      <vt:variant>
        <vt:lpwstr>_Toc12538871</vt:lpwstr>
      </vt:variant>
      <vt:variant>
        <vt:i4>1966139</vt:i4>
      </vt:variant>
      <vt:variant>
        <vt:i4>82</vt:i4>
      </vt:variant>
      <vt:variant>
        <vt:i4>0</vt:i4>
      </vt:variant>
      <vt:variant>
        <vt:i4>5</vt:i4>
      </vt:variant>
      <vt:variant>
        <vt:lpwstr/>
      </vt:variant>
      <vt:variant>
        <vt:lpwstr>_Toc12538870</vt:lpwstr>
      </vt:variant>
      <vt:variant>
        <vt:i4>1507386</vt:i4>
      </vt:variant>
      <vt:variant>
        <vt:i4>76</vt:i4>
      </vt:variant>
      <vt:variant>
        <vt:i4>0</vt:i4>
      </vt:variant>
      <vt:variant>
        <vt:i4>5</vt:i4>
      </vt:variant>
      <vt:variant>
        <vt:lpwstr/>
      </vt:variant>
      <vt:variant>
        <vt:lpwstr>_Toc12538869</vt:lpwstr>
      </vt:variant>
      <vt:variant>
        <vt:i4>1441850</vt:i4>
      </vt:variant>
      <vt:variant>
        <vt:i4>70</vt:i4>
      </vt:variant>
      <vt:variant>
        <vt:i4>0</vt:i4>
      </vt:variant>
      <vt:variant>
        <vt:i4>5</vt:i4>
      </vt:variant>
      <vt:variant>
        <vt:lpwstr/>
      </vt:variant>
      <vt:variant>
        <vt:lpwstr>_Toc12538868</vt:lpwstr>
      </vt:variant>
      <vt:variant>
        <vt:i4>1638458</vt:i4>
      </vt:variant>
      <vt:variant>
        <vt:i4>64</vt:i4>
      </vt:variant>
      <vt:variant>
        <vt:i4>0</vt:i4>
      </vt:variant>
      <vt:variant>
        <vt:i4>5</vt:i4>
      </vt:variant>
      <vt:variant>
        <vt:lpwstr/>
      </vt:variant>
      <vt:variant>
        <vt:lpwstr>_Toc12538867</vt:lpwstr>
      </vt:variant>
      <vt:variant>
        <vt:i4>1572922</vt:i4>
      </vt:variant>
      <vt:variant>
        <vt:i4>58</vt:i4>
      </vt:variant>
      <vt:variant>
        <vt:i4>0</vt:i4>
      </vt:variant>
      <vt:variant>
        <vt:i4>5</vt:i4>
      </vt:variant>
      <vt:variant>
        <vt:lpwstr/>
      </vt:variant>
      <vt:variant>
        <vt:lpwstr>_Toc12538866</vt:lpwstr>
      </vt:variant>
      <vt:variant>
        <vt:i4>1769530</vt:i4>
      </vt:variant>
      <vt:variant>
        <vt:i4>52</vt:i4>
      </vt:variant>
      <vt:variant>
        <vt:i4>0</vt:i4>
      </vt:variant>
      <vt:variant>
        <vt:i4>5</vt:i4>
      </vt:variant>
      <vt:variant>
        <vt:lpwstr/>
      </vt:variant>
      <vt:variant>
        <vt:lpwstr>_Toc12538865</vt:lpwstr>
      </vt:variant>
      <vt:variant>
        <vt:i4>1703994</vt:i4>
      </vt:variant>
      <vt:variant>
        <vt:i4>46</vt:i4>
      </vt:variant>
      <vt:variant>
        <vt:i4>0</vt:i4>
      </vt:variant>
      <vt:variant>
        <vt:i4>5</vt:i4>
      </vt:variant>
      <vt:variant>
        <vt:lpwstr/>
      </vt:variant>
      <vt:variant>
        <vt:lpwstr>_Toc12538864</vt:lpwstr>
      </vt:variant>
      <vt:variant>
        <vt:i4>1900602</vt:i4>
      </vt:variant>
      <vt:variant>
        <vt:i4>40</vt:i4>
      </vt:variant>
      <vt:variant>
        <vt:i4>0</vt:i4>
      </vt:variant>
      <vt:variant>
        <vt:i4>5</vt:i4>
      </vt:variant>
      <vt:variant>
        <vt:lpwstr/>
      </vt:variant>
      <vt:variant>
        <vt:lpwstr>_Toc12538863</vt:lpwstr>
      </vt:variant>
      <vt:variant>
        <vt:i4>3735574</vt:i4>
      </vt:variant>
      <vt:variant>
        <vt:i4>30</vt:i4>
      </vt:variant>
      <vt:variant>
        <vt:i4>0</vt:i4>
      </vt:variant>
      <vt:variant>
        <vt:i4>5</vt:i4>
      </vt:variant>
      <vt:variant>
        <vt:lpwstr>http://www.perseus.tufts.edu/hopper/morph?l=shmei%3Don&amp;la=greek&amp;can=shmei%3Don0&amp;prior=ei)wqo\s</vt:lpwstr>
      </vt:variant>
      <vt:variant>
        <vt:lpwstr/>
      </vt:variant>
      <vt:variant>
        <vt:i4>5505027</vt:i4>
      </vt:variant>
      <vt:variant>
        <vt:i4>27</vt:i4>
      </vt:variant>
      <vt:variant>
        <vt:i4>0</vt:i4>
      </vt:variant>
      <vt:variant>
        <vt:i4>5</vt:i4>
      </vt:variant>
      <vt:variant>
        <vt:lpwstr>http://www.perseus.tufts.edu/hopper/morph?l=ei%29wqo%5Cs&amp;la=greek&amp;can=ei%29wqo%5Cs0&amp;prior=to\</vt:lpwstr>
      </vt:variant>
      <vt:variant>
        <vt:lpwstr/>
      </vt:variant>
      <vt:variant>
        <vt:i4>2293868</vt:i4>
      </vt:variant>
      <vt:variant>
        <vt:i4>24</vt:i4>
      </vt:variant>
      <vt:variant>
        <vt:i4>0</vt:i4>
      </vt:variant>
      <vt:variant>
        <vt:i4>5</vt:i4>
      </vt:variant>
      <vt:variant>
        <vt:lpwstr>http://www.perseus.tufts.edu/hopper/morph?l=to%5C&amp;la=greek&amp;can=to%5C1&amp;prior=moi</vt:lpwstr>
      </vt:variant>
      <vt:variant>
        <vt:lpwstr/>
      </vt:variant>
      <vt:variant>
        <vt:i4>393333</vt:i4>
      </vt:variant>
      <vt:variant>
        <vt:i4>21</vt:i4>
      </vt:variant>
      <vt:variant>
        <vt:i4>0</vt:i4>
      </vt:variant>
      <vt:variant>
        <vt:i4>5</vt:i4>
      </vt:variant>
      <vt:variant>
        <vt:lpwstr>http://www.perseus.tufts.edu/hopper/morph?l=kalo%2Fn&amp;la=greek&amp;can=kalo%2Fn0&amp;prior=kai\</vt:lpwstr>
      </vt:variant>
      <vt:variant>
        <vt:lpwstr/>
      </vt:variant>
      <vt:variant>
        <vt:i4>6160387</vt:i4>
      </vt:variant>
      <vt:variant>
        <vt:i4>18</vt:i4>
      </vt:variant>
      <vt:variant>
        <vt:i4>0</vt:i4>
      </vt:variant>
      <vt:variant>
        <vt:i4>5</vt:i4>
      </vt:variant>
      <vt:variant>
        <vt:lpwstr>http://www.perseus.tufts.edu/hopper/morph?l=kai%5C&amp;la=greek&amp;can=kai%5C0&amp;prior=te</vt:lpwstr>
      </vt:variant>
      <vt:variant>
        <vt:lpwstr/>
      </vt:variant>
      <vt:variant>
        <vt:i4>7471151</vt:i4>
      </vt:variant>
      <vt:variant>
        <vt:i4>15</vt:i4>
      </vt:variant>
      <vt:variant>
        <vt:i4>0</vt:i4>
      </vt:variant>
      <vt:variant>
        <vt:i4>5</vt:i4>
      </vt:variant>
      <vt:variant>
        <vt:lpwstr>http://www.perseus.tufts.edu/hopper/morph?l=te&amp;la=greek&amp;can=te0&amp;prior=a)gaqo/n</vt:lpwstr>
      </vt:variant>
      <vt:variant>
        <vt:lpwstr/>
      </vt:variant>
      <vt:variant>
        <vt:i4>4980831</vt:i4>
      </vt:variant>
      <vt:variant>
        <vt:i4>12</vt:i4>
      </vt:variant>
      <vt:variant>
        <vt:i4>0</vt:i4>
      </vt:variant>
      <vt:variant>
        <vt:i4>5</vt:i4>
      </vt:variant>
      <vt:variant>
        <vt:lpwstr>http://www.perseus.tufts.edu/hopper/morph?l=a%29gaqo%2Fn&amp;la=greek&amp;can=a%29gaqo%2Fn0&amp;prior=a)ll%27</vt:lpwstr>
      </vt:variant>
      <vt:variant>
        <vt:lpwstr/>
      </vt:variant>
      <vt:variant>
        <vt:i4>2162728</vt:i4>
      </vt:variant>
      <vt:variant>
        <vt:i4>9</vt:i4>
      </vt:variant>
      <vt:variant>
        <vt:i4>0</vt:i4>
      </vt:variant>
      <vt:variant>
        <vt:i4>5</vt:i4>
      </vt:variant>
      <vt:variant>
        <vt:lpwstr>http://www.perseus.tufts.edu/hopper/morph?l=ge%2Fnos&amp;la=greek&amp;can=ge%2Fnos0&amp;prior=xrusou=n</vt:lpwstr>
      </vt:variant>
      <vt:variant>
        <vt:lpwstr/>
      </vt:variant>
      <vt:variant>
        <vt:i4>5505027</vt:i4>
      </vt:variant>
      <vt:variant>
        <vt:i4>6</vt:i4>
      </vt:variant>
      <vt:variant>
        <vt:i4>0</vt:i4>
      </vt:variant>
      <vt:variant>
        <vt:i4>5</vt:i4>
      </vt:variant>
      <vt:variant>
        <vt:lpwstr>http://www.perseus.tufts.edu/hopper/morph?l=xrusou%3Dn&amp;la=greek&amp;can=xrusou%3Dn0&amp;prior=to\</vt:lpwstr>
      </vt:variant>
      <vt:variant>
        <vt:lpwstr/>
      </vt:variant>
      <vt:variant>
        <vt:i4>1114151</vt:i4>
      </vt:variant>
      <vt:variant>
        <vt:i4>3</vt:i4>
      </vt:variant>
      <vt:variant>
        <vt:i4>0</vt:i4>
      </vt:variant>
      <vt:variant>
        <vt:i4>5</vt:i4>
      </vt:variant>
      <vt:variant>
        <vt:lpwstr>http://www.perseus.tufts.edu/hopper/morph?l=to%5C&amp;la=greek&amp;can=to%5C0&amp;prior=au)to\n</vt:lpwstr>
      </vt:variant>
      <vt:variant>
        <vt:lpwstr/>
      </vt:variant>
      <vt:variant>
        <vt:i4>3997740</vt:i4>
      </vt:variant>
      <vt:variant>
        <vt:i4>0</vt:i4>
      </vt:variant>
      <vt:variant>
        <vt:i4>0</vt:i4>
      </vt:variant>
      <vt:variant>
        <vt:i4>5</vt:i4>
      </vt:variant>
      <vt:variant>
        <vt:lpwstr>http://www.perseus.tufts.edu/hopper/morph?l=a%29rxh%2F&amp;la=greek&amp;can=a%29rxh%2F0</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Hermeneutika objektivity. K dějinnosti jednoho produktivního pochybení</dc:title>
  <dc:creator>Václav Umlauf</dc:creator>
  <dc:description>Tento file není dovoleno šířit, kopírovat, publikovat atd, bez výslovného souhlasu autora. Text je chráněněn autorskými právy. No part of any contribution may be reproduced in any form
without permissionof author.  Copyright ©Václav Umlauf</dc:description>
  <cp:lastModifiedBy>Matrix</cp:lastModifiedBy>
  <cp:revision>9115</cp:revision>
  <cp:lastPrinted>2017-07-06T18:35:00Z</cp:lastPrinted>
  <dcterms:created xsi:type="dcterms:W3CDTF">2020-05-22T12:47:00Z</dcterms:created>
  <dcterms:modified xsi:type="dcterms:W3CDTF">2023-11-04T11:59:00Z</dcterms:modified>
</cp:coreProperties>
</file>